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EN</w:t>
      </w:r>
    </w:p>
    <w:p w:rsidR="00FF3ED5" w:rsidRDefault="00FF3ED5" w:rsidP="00A33695">
      <w:pPr>
        <w:jc w:val="center"/>
        <w:rPr>
          <w:rFonts w:ascii="Times New Roman" w:hAnsi="Times New Roman"/>
          <w:b/>
          <w:sz w:val="24"/>
        </w:rPr>
      </w:pPr>
      <w:r>
        <w:rPr>
          <w:rFonts w:ascii="Times New Roman" w:hAnsi="Times New Roman"/>
          <w:b/>
          <w:sz w:val="24"/>
        </w:rPr>
        <w:t>ANEXO IV</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ANEXO IX</w:t>
      </w:r>
    </w:p>
    <w:p w:rsidR="00DD58A5" w:rsidRDefault="00F41B3A" w:rsidP="00C87CEE">
      <w:pPr>
        <w:jc w:val="center"/>
        <w:rPr>
          <w:rFonts w:ascii="Times New Roman" w:hAnsi="Times New Roman"/>
          <w:b/>
          <w:sz w:val="24"/>
        </w:rPr>
      </w:pPr>
      <w:r>
        <w:rPr>
          <w:rFonts w:ascii="Times New Roman" w:hAnsi="Times New Roman"/>
          <w:b/>
          <w:sz w:val="24"/>
        </w:rPr>
        <w:t xml:space="preserve">INSTRUCCIONES PARA LA NOTIFICACIÓN DE LAS GRANDES EXPOSICIONES Y </w:t>
      </w:r>
    </w:p>
    <w:p w:rsidR="00C87CEE" w:rsidRPr="00EF13C2" w:rsidRDefault="00F41B3A" w:rsidP="00C87CEE">
      <w:pPr>
        <w:jc w:val="center"/>
        <w:rPr>
          <w:rFonts w:ascii="Times New Roman" w:hAnsi="Times New Roman"/>
          <w:b/>
          <w:sz w:val="24"/>
        </w:rPr>
      </w:pPr>
      <w:r>
        <w:rPr>
          <w:rFonts w:ascii="Times New Roman" w:hAnsi="Times New Roman"/>
          <w:b/>
          <w:sz w:val="24"/>
        </w:rPr>
        <w:t>DEL RIESGO DE CONCENTRACIÓN</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Índice</w:t>
      </w:r>
    </w:p>
    <w:p w:rsidR="002F1193" w:rsidRDefault="00C33202">
      <w:pPr>
        <w:pStyle w:val="TOC2"/>
        <w:rPr>
          <w:rFonts w:asciiTheme="minorHAnsi" w:eastAsiaTheme="minorEastAsia" w:hAnsiTheme="minorHAnsi" w:cstheme="minorBidi"/>
          <w:b w:val="0"/>
          <w:smallCaps w:val="0"/>
          <w:sz w:val="22"/>
          <w:lang w:val="en-GB" w:eastAsia="en-GB" w:bidi="ar-SA"/>
        </w:rPr>
      </w:pPr>
      <w:r>
        <w:rPr>
          <w:rFonts w:ascii="Times New Roman" w:hAnsi="Times New Roman"/>
          <w:noProof w:val="0"/>
          <w:sz w:val="24"/>
          <w:szCs w:val="24"/>
        </w:rPr>
        <w:fldChar w:fldCharType="begin"/>
      </w:r>
      <w:r w:rsidR="00621F98">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23915023" w:history="1">
        <w:r w:rsidR="002F1193" w:rsidRPr="005D7477">
          <w:rPr>
            <w:rStyle w:val="Hyperlink"/>
            <w:rFonts w:ascii="Times New Roman" w:hAnsi="Times New Roman"/>
          </w:rPr>
          <w:t>PARTE I: INSTRUCCIONES GENERALES</w:t>
        </w:r>
        <w:r w:rsidR="002F1193">
          <w:rPr>
            <w:webHidden/>
          </w:rPr>
          <w:tab/>
        </w:r>
        <w:r w:rsidR="002F1193">
          <w:rPr>
            <w:webHidden/>
          </w:rPr>
          <w:fldChar w:fldCharType="begin"/>
        </w:r>
        <w:r w:rsidR="002F1193">
          <w:rPr>
            <w:webHidden/>
          </w:rPr>
          <w:instrText xml:space="preserve"> PAGEREF _Toc523915023 \h </w:instrText>
        </w:r>
        <w:r w:rsidR="002F1193">
          <w:rPr>
            <w:webHidden/>
          </w:rPr>
        </w:r>
        <w:r w:rsidR="002F1193">
          <w:rPr>
            <w:webHidden/>
          </w:rPr>
          <w:fldChar w:fldCharType="separate"/>
        </w:r>
        <w:r w:rsidR="002F1193">
          <w:rPr>
            <w:webHidden/>
          </w:rPr>
          <w:t>2</w:t>
        </w:r>
        <w:r w:rsidR="002F1193">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24" w:history="1">
        <w:r w:rsidRPr="005D7477">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Estructura y convenciones</w:t>
        </w:r>
        <w:r>
          <w:rPr>
            <w:webHidden/>
          </w:rPr>
          <w:tab/>
        </w:r>
        <w:r>
          <w:rPr>
            <w:webHidden/>
          </w:rPr>
          <w:fldChar w:fldCharType="begin"/>
        </w:r>
        <w:r>
          <w:rPr>
            <w:webHidden/>
          </w:rPr>
          <w:instrText xml:space="preserve"> PAGEREF _Toc523915024 \h </w:instrText>
        </w:r>
        <w:r>
          <w:rPr>
            <w:webHidden/>
          </w:rPr>
        </w:r>
        <w:r>
          <w:rPr>
            <w:webHidden/>
          </w:rPr>
          <w:fldChar w:fldCharType="separate"/>
        </w:r>
        <w:r>
          <w:rPr>
            <w:webHidden/>
          </w:rPr>
          <w:t>2</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25" w:history="1">
        <w:r w:rsidRPr="005D7477">
          <w:rPr>
            <w:rStyle w:val="Hyperlink"/>
          </w:rPr>
          <w:t>2.</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Abreviaturas</w:t>
        </w:r>
        <w:r>
          <w:rPr>
            <w:webHidden/>
          </w:rPr>
          <w:tab/>
        </w:r>
        <w:r>
          <w:rPr>
            <w:webHidden/>
          </w:rPr>
          <w:fldChar w:fldCharType="begin"/>
        </w:r>
        <w:r>
          <w:rPr>
            <w:webHidden/>
          </w:rPr>
          <w:instrText xml:space="preserve"> PAGEREF _Toc523915025 \h </w:instrText>
        </w:r>
        <w:r>
          <w:rPr>
            <w:webHidden/>
          </w:rPr>
        </w:r>
        <w:r>
          <w:rPr>
            <w:webHidden/>
          </w:rPr>
          <w:fldChar w:fldCharType="separate"/>
        </w:r>
        <w:r>
          <w:rPr>
            <w:webHidden/>
          </w:rPr>
          <w:t>2</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26" w:history="1">
        <w:r w:rsidRPr="005D7477">
          <w:rPr>
            <w:rStyle w:val="Hyperlink"/>
            <w:rFonts w:ascii="Times New Roman" w:hAnsi="Times New Roman"/>
          </w:rPr>
          <w:t>PARTE II: INSTRUCCIONES RELATIVAS A LAS PLANTILLAS</w:t>
        </w:r>
        <w:r>
          <w:rPr>
            <w:webHidden/>
          </w:rPr>
          <w:tab/>
        </w:r>
        <w:r>
          <w:rPr>
            <w:webHidden/>
          </w:rPr>
          <w:fldChar w:fldCharType="begin"/>
        </w:r>
        <w:r>
          <w:rPr>
            <w:webHidden/>
          </w:rPr>
          <w:instrText xml:space="preserve"> PAGEREF _Toc523915026 \h </w:instrText>
        </w:r>
        <w:r>
          <w:rPr>
            <w:webHidden/>
          </w:rPr>
        </w:r>
        <w:r>
          <w:rPr>
            <w:webHidden/>
          </w:rPr>
          <w:fldChar w:fldCharType="separate"/>
        </w:r>
        <w:r>
          <w:rPr>
            <w:webHidden/>
          </w:rPr>
          <w:t>4</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27" w:history="1">
        <w:r w:rsidRPr="005D7477">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Alcance y nivel de la información sobre grandes exposiciones</w:t>
        </w:r>
        <w:r>
          <w:rPr>
            <w:webHidden/>
          </w:rPr>
          <w:tab/>
        </w:r>
        <w:r>
          <w:rPr>
            <w:webHidden/>
          </w:rPr>
          <w:fldChar w:fldCharType="begin"/>
        </w:r>
        <w:r>
          <w:rPr>
            <w:webHidden/>
          </w:rPr>
          <w:instrText xml:space="preserve"> PAGEREF _Toc523915027 \h </w:instrText>
        </w:r>
        <w:r>
          <w:rPr>
            <w:webHidden/>
          </w:rPr>
        </w:r>
        <w:r>
          <w:rPr>
            <w:webHidden/>
          </w:rPr>
          <w:fldChar w:fldCharType="separate"/>
        </w:r>
        <w:r>
          <w:rPr>
            <w:webHidden/>
          </w:rPr>
          <w:t>4</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28" w:history="1">
        <w:r w:rsidRPr="005D7477">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Estructura de las plantillas de grandes exposiciones</w:t>
        </w:r>
        <w:r>
          <w:rPr>
            <w:webHidden/>
          </w:rPr>
          <w:tab/>
        </w:r>
        <w:r>
          <w:rPr>
            <w:webHidden/>
          </w:rPr>
          <w:fldChar w:fldCharType="begin"/>
        </w:r>
        <w:r>
          <w:rPr>
            <w:webHidden/>
          </w:rPr>
          <w:instrText xml:space="preserve"> PAGEREF _Toc523915028 \h </w:instrText>
        </w:r>
        <w:r>
          <w:rPr>
            <w:webHidden/>
          </w:rPr>
        </w:r>
        <w:r>
          <w:rPr>
            <w:webHidden/>
          </w:rPr>
          <w:fldChar w:fldCharType="separate"/>
        </w:r>
        <w:r>
          <w:rPr>
            <w:webHidden/>
          </w:rPr>
          <w:t>5</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29" w:history="1">
        <w:r w:rsidRPr="005D7477">
          <w:rPr>
            <w:rStyle w:val="Hyperlink"/>
            <w:rFonts w:ascii="Times New Roman" w:eastAsia="Arial" w:hAnsi="Times New Roman"/>
          </w:rPr>
          <w:t>3.</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Definiciones e instrucciones generales a efectos de la información sobre grandes exposiciones</w:t>
        </w:r>
        <w:r>
          <w:rPr>
            <w:webHidden/>
          </w:rPr>
          <w:tab/>
        </w:r>
        <w:r>
          <w:rPr>
            <w:webHidden/>
          </w:rPr>
          <w:fldChar w:fldCharType="begin"/>
        </w:r>
        <w:r>
          <w:rPr>
            <w:webHidden/>
          </w:rPr>
          <w:instrText xml:space="preserve"> PAGEREF _Toc523915029 \h </w:instrText>
        </w:r>
        <w:r>
          <w:rPr>
            <w:webHidden/>
          </w:rPr>
        </w:r>
        <w:r>
          <w:rPr>
            <w:webHidden/>
          </w:rPr>
          <w:fldChar w:fldCharType="separate"/>
        </w:r>
        <w:r>
          <w:rPr>
            <w:webHidden/>
          </w:rPr>
          <w:t>5</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0" w:history="1">
        <w:r w:rsidRPr="005D7477">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C 26.00 - Límites de las grandes exposiciones (LE Limits)</w:t>
        </w:r>
        <w:r>
          <w:rPr>
            <w:webHidden/>
          </w:rPr>
          <w:tab/>
        </w:r>
        <w:r>
          <w:rPr>
            <w:webHidden/>
          </w:rPr>
          <w:fldChar w:fldCharType="begin"/>
        </w:r>
        <w:r>
          <w:rPr>
            <w:webHidden/>
          </w:rPr>
          <w:instrText xml:space="preserve"> PAGEREF _Toc523915030 \h </w:instrText>
        </w:r>
        <w:r>
          <w:rPr>
            <w:webHidden/>
          </w:rPr>
        </w:r>
        <w:r>
          <w:rPr>
            <w:webHidden/>
          </w:rPr>
          <w:fldChar w:fldCharType="separate"/>
        </w:r>
        <w:r>
          <w:rPr>
            <w:webHidden/>
          </w:rPr>
          <w:t>7</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1" w:history="1">
        <w:r w:rsidRPr="005D7477">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_Toc523915031 \h </w:instrText>
        </w:r>
        <w:r>
          <w:rPr>
            <w:webHidden/>
          </w:rPr>
        </w:r>
        <w:r>
          <w:rPr>
            <w:webHidden/>
          </w:rPr>
          <w:fldChar w:fldCharType="separate"/>
        </w:r>
        <w:r>
          <w:rPr>
            <w:webHidden/>
          </w:rPr>
          <w:t>7</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2" w:history="1">
        <w:r w:rsidRPr="005D7477">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C 27.00 - Identificación de la contraparte (LE1)</w:t>
        </w:r>
        <w:r>
          <w:rPr>
            <w:webHidden/>
          </w:rPr>
          <w:tab/>
        </w:r>
        <w:r>
          <w:rPr>
            <w:webHidden/>
          </w:rPr>
          <w:fldChar w:fldCharType="begin"/>
        </w:r>
        <w:r>
          <w:rPr>
            <w:webHidden/>
          </w:rPr>
          <w:instrText xml:space="preserve"> PAGEREF _Toc523915032 \h </w:instrText>
        </w:r>
        <w:r>
          <w:rPr>
            <w:webHidden/>
          </w:rPr>
        </w:r>
        <w:r>
          <w:rPr>
            <w:webHidden/>
          </w:rPr>
          <w:fldChar w:fldCharType="separate"/>
        </w:r>
        <w:r>
          <w:rPr>
            <w:webHidden/>
          </w:rPr>
          <w:t>8</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3" w:history="1">
        <w:r w:rsidRPr="005D7477">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Instrucciones relativas a columnas concretas</w:t>
        </w:r>
        <w:r>
          <w:rPr>
            <w:webHidden/>
          </w:rPr>
          <w:tab/>
        </w:r>
        <w:r>
          <w:rPr>
            <w:webHidden/>
          </w:rPr>
          <w:fldChar w:fldCharType="begin"/>
        </w:r>
        <w:r>
          <w:rPr>
            <w:webHidden/>
          </w:rPr>
          <w:instrText xml:space="preserve"> PAGEREF _Toc523915033 \h </w:instrText>
        </w:r>
        <w:r>
          <w:rPr>
            <w:webHidden/>
          </w:rPr>
        </w:r>
        <w:r>
          <w:rPr>
            <w:webHidden/>
          </w:rPr>
          <w:fldChar w:fldCharType="separate"/>
        </w:r>
        <w:r>
          <w:rPr>
            <w:webHidden/>
          </w:rPr>
          <w:t>8</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4" w:history="1">
        <w:r w:rsidRPr="005D7477">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C 28.00 - Exposiciones de la cartera de negociación y de la cartera de inversión (LE2)</w:t>
        </w:r>
        <w:r>
          <w:rPr>
            <w:webHidden/>
          </w:rPr>
          <w:tab/>
        </w:r>
        <w:r>
          <w:rPr>
            <w:webHidden/>
          </w:rPr>
          <w:fldChar w:fldCharType="begin"/>
        </w:r>
        <w:r>
          <w:rPr>
            <w:webHidden/>
          </w:rPr>
          <w:instrText xml:space="preserve"> PAGEREF _Toc523915034 \h </w:instrText>
        </w:r>
        <w:r>
          <w:rPr>
            <w:webHidden/>
          </w:rPr>
        </w:r>
        <w:r>
          <w:rPr>
            <w:webHidden/>
          </w:rPr>
          <w:fldChar w:fldCharType="separate"/>
        </w:r>
        <w:r>
          <w:rPr>
            <w:webHidden/>
          </w:rPr>
          <w:t>10</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5" w:history="1">
        <w:r w:rsidRPr="005D7477">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Instrucciones relativas a columnas concretas</w:t>
        </w:r>
        <w:r>
          <w:rPr>
            <w:webHidden/>
          </w:rPr>
          <w:tab/>
        </w:r>
        <w:r>
          <w:rPr>
            <w:webHidden/>
          </w:rPr>
          <w:fldChar w:fldCharType="begin"/>
        </w:r>
        <w:r>
          <w:rPr>
            <w:webHidden/>
          </w:rPr>
          <w:instrText xml:space="preserve"> PAGEREF _Toc523915035 \h </w:instrText>
        </w:r>
        <w:r>
          <w:rPr>
            <w:webHidden/>
          </w:rPr>
        </w:r>
        <w:r>
          <w:rPr>
            <w:webHidden/>
          </w:rPr>
          <w:fldChar w:fldCharType="separate"/>
        </w:r>
        <w:r>
          <w:rPr>
            <w:webHidden/>
          </w:rPr>
          <w:t>10</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6" w:history="1">
        <w:r w:rsidRPr="005D7477">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C 29.00 - Detalle de las exposiciones frente a clientes individuales dentro de grupos de clientes vinculados entre sí (LE3)</w:t>
        </w:r>
        <w:r>
          <w:rPr>
            <w:webHidden/>
          </w:rPr>
          <w:tab/>
        </w:r>
        <w:r>
          <w:rPr>
            <w:webHidden/>
          </w:rPr>
          <w:fldChar w:fldCharType="begin"/>
        </w:r>
        <w:r>
          <w:rPr>
            <w:webHidden/>
          </w:rPr>
          <w:instrText xml:space="preserve"> PAGEREF _Toc523915036 \h </w:instrText>
        </w:r>
        <w:r>
          <w:rPr>
            <w:webHidden/>
          </w:rPr>
        </w:r>
        <w:r>
          <w:rPr>
            <w:webHidden/>
          </w:rPr>
          <w:fldChar w:fldCharType="separate"/>
        </w:r>
        <w:r>
          <w:rPr>
            <w:webHidden/>
          </w:rPr>
          <w:t>18</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7" w:history="1">
        <w:r w:rsidRPr="005D7477">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Instrucciones relativas a columnas concretas</w:t>
        </w:r>
        <w:r>
          <w:rPr>
            <w:webHidden/>
          </w:rPr>
          <w:tab/>
        </w:r>
        <w:r>
          <w:rPr>
            <w:webHidden/>
          </w:rPr>
          <w:fldChar w:fldCharType="begin"/>
        </w:r>
        <w:r>
          <w:rPr>
            <w:webHidden/>
          </w:rPr>
          <w:instrText xml:space="preserve"> PAGEREF _Toc523915037 \h </w:instrText>
        </w:r>
        <w:r>
          <w:rPr>
            <w:webHidden/>
          </w:rPr>
        </w:r>
        <w:r>
          <w:rPr>
            <w:webHidden/>
          </w:rPr>
          <w:fldChar w:fldCharType="separate"/>
        </w:r>
        <w:r>
          <w:rPr>
            <w:webHidden/>
          </w:rPr>
          <w:t>18</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8" w:history="1">
        <w:r w:rsidRPr="005D7477">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C 30.00 - Períodos de vencimiento de las diez mayores exposiciones frente a entidades y las diez mayores exposiciones frente a entes del sector financiero no regulados (plantilla LE4)</w:t>
        </w:r>
        <w:r>
          <w:rPr>
            <w:webHidden/>
          </w:rPr>
          <w:tab/>
        </w:r>
        <w:r>
          <w:rPr>
            <w:webHidden/>
          </w:rPr>
          <w:fldChar w:fldCharType="begin"/>
        </w:r>
        <w:r>
          <w:rPr>
            <w:webHidden/>
          </w:rPr>
          <w:instrText xml:space="preserve"> PAGEREF _Toc523915038 \h </w:instrText>
        </w:r>
        <w:r>
          <w:rPr>
            <w:webHidden/>
          </w:rPr>
        </w:r>
        <w:r>
          <w:rPr>
            <w:webHidden/>
          </w:rPr>
          <w:fldChar w:fldCharType="separate"/>
        </w:r>
        <w:r>
          <w:rPr>
            <w:webHidden/>
          </w:rPr>
          <w:t>19</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39" w:history="1">
        <w:r w:rsidRPr="005D7477">
          <w:rPr>
            <w:rStyle w:val="Hyperlink"/>
            <w:rFonts w:ascii="Times New Roman" w:hAnsi="Times New Roman"/>
          </w:rPr>
          <w:t>8.1.</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Instrucciones relativas a columnas concretas</w:t>
        </w:r>
        <w:r>
          <w:rPr>
            <w:webHidden/>
          </w:rPr>
          <w:tab/>
        </w:r>
        <w:r>
          <w:rPr>
            <w:webHidden/>
          </w:rPr>
          <w:fldChar w:fldCharType="begin"/>
        </w:r>
        <w:r>
          <w:rPr>
            <w:webHidden/>
          </w:rPr>
          <w:instrText xml:space="preserve"> PAGEREF _Toc523915039 \h </w:instrText>
        </w:r>
        <w:r>
          <w:rPr>
            <w:webHidden/>
          </w:rPr>
        </w:r>
        <w:r>
          <w:rPr>
            <w:webHidden/>
          </w:rPr>
          <w:fldChar w:fldCharType="separate"/>
        </w:r>
        <w:r>
          <w:rPr>
            <w:webHidden/>
          </w:rPr>
          <w:t>19</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40" w:history="1">
        <w:r w:rsidRPr="005D7477">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C 31.00 - Períodos de vencimiento de las diez mayores exposiciones frente a entidades y las diez mayores exposiciones frente a entes del sector financiero no regulados: detalle de las exposiciones frente a clientes individuales dentro de grupos de clientes vinculados entre sí (plantilla LE5)</w:t>
        </w:r>
        <w:r>
          <w:rPr>
            <w:webHidden/>
          </w:rPr>
          <w:tab/>
        </w:r>
        <w:r>
          <w:rPr>
            <w:webHidden/>
          </w:rPr>
          <w:fldChar w:fldCharType="begin"/>
        </w:r>
        <w:r>
          <w:rPr>
            <w:webHidden/>
          </w:rPr>
          <w:instrText xml:space="preserve"> PAGEREF _Toc523915040 \h </w:instrText>
        </w:r>
        <w:r>
          <w:rPr>
            <w:webHidden/>
          </w:rPr>
        </w:r>
        <w:r>
          <w:rPr>
            <w:webHidden/>
          </w:rPr>
          <w:fldChar w:fldCharType="separate"/>
        </w:r>
        <w:r>
          <w:rPr>
            <w:webHidden/>
          </w:rPr>
          <w:t>20</w:t>
        </w:r>
        <w:r>
          <w:rPr>
            <w:webHidden/>
          </w:rPr>
          <w:fldChar w:fldCharType="end"/>
        </w:r>
      </w:hyperlink>
    </w:p>
    <w:p w:rsidR="002F1193" w:rsidRDefault="002F1193">
      <w:pPr>
        <w:pStyle w:val="TOC2"/>
        <w:rPr>
          <w:rFonts w:asciiTheme="minorHAnsi" w:eastAsiaTheme="minorEastAsia" w:hAnsiTheme="minorHAnsi" w:cstheme="minorBidi"/>
          <w:b w:val="0"/>
          <w:smallCaps w:val="0"/>
          <w:sz w:val="22"/>
          <w:lang w:val="en-GB" w:eastAsia="en-GB" w:bidi="ar-SA"/>
        </w:rPr>
      </w:pPr>
      <w:hyperlink w:anchor="_Toc523915041" w:history="1">
        <w:r w:rsidRPr="005D7477">
          <w:rPr>
            <w:rStyle w:val="Hyperlink"/>
            <w:rFonts w:ascii="Times New Roman" w:hAnsi="Times New Roman"/>
          </w:rPr>
          <w:t>9.1.</w:t>
        </w:r>
        <w:r>
          <w:rPr>
            <w:rFonts w:asciiTheme="minorHAnsi" w:eastAsiaTheme="minorEastAsia" w:hAnsiTheme="minorHAnsi" w:cstheme="minorBidi"/>
            <w:b w:val="0"/>
            <w:smallCaps w:val="0"/>
            <w:sz w:val="22"/>
            <w:lang w:val="en-GB" w:eastAsia="en-GB" w:bidi="ar-SA"/>
          </w:rPr>
          <w:tab/>
        </w:r>
        <w:r w:rsidRPr="005D7477">
          <w:rPr>
            <w:rStyle w:val="Hyperlink"/>
            <w:rFonts w:ascii="Times New Roman" w:hAnsi="Times New Roman"/>
          </w:rPr>
          <w:t>Instrucciones relativas a columnas concretas</w:t>
        </w:r>
        <w:r>
          <w:rPr>
            <w:webHidden/>
          </w:rPr>
          <w:tab/>
        </w:r>
        <w:r>
          <w:rPr>
            <w:webHidden/>
          </w:rPr>
          <w:fldChar w:fldCharType="begin"/>
        </w:r>
        <w:r>
          <w:rPr>
            <w:webHidden/>
          </w:rPr>
          <w:instrText xml:space="preserve"> PAGEREF _Toc523915041 \h </w:instrText>
        </w:r>
        <w:r>
          <w:rPr>
            <w:webHidden/>
          </w:rPr>
        </w:r>
        <w:r>
          <w:rPr>
            <w:webHidden/>
          </w:rPr>
          <w:fldChar w:fldCharType="separate"/>
        </w:r>
        <w:r>
          <w:rPr>
            <w:webHidden/>
          </w:rPr>
          <w:t>21</w:t>
        </w:r>
        <w:r>
          <w:rPr>
            <w:webHidden/>
          </w:rPr>
          <w:fldChar w:fldCharType="end"/>
        </w:r>
      </w:hyperlink>
    </w:p>
    <w:p w:rsidR="000679AC" w:rsidRDefault="00C33202">
      <w:pPr>
        <w:rPr>
          <w:rFonts w:ascii="Times New Roman" w:eastAsia="SimSun" w:hAnsi="Times New Roman"/>
          <w:sz w:val="24"/>
        </w:rPr>
        <w:sectPr w:rsidR="000679AC"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9777FB" w:rsidRPr="009777FB" w:rsidRDefault="003105C6" w:rsidP="0093135A">
      <w:pPr>
        <w:pStyle w:val="Heading2"/>
        <w:rPr>
          <w:bCs/>
        </w:rPr>
      </w:pPr>
      <w:bookmarkStart w:id="2" w:name="_Toc264038394"/>
      <w:bookmarkStart w:id="3" w:name="_Toc393461951"/>
      <w:bookmarkStart w:id="4" w:name="_Toc523915023"/>
      <w:r>
        <w:rPr>
          <w:rFonts w:ascii="Times New Roman" w:hAnsi="Times New Roman"/>
        </w:rPr>
        <w:lastRenderedPageBreak/>
        <w:t>PARTE I:</w:t>
      </w:r>
      <w:bookmarkEnd w:id="2"/>
      <w:r>
        <w:rPr>
          <w:rFonts w:ascii="Times New Roman" w:hAnsi="Times New Roman"/>
        </w:rPr>
        <w:t xml:space="preserve"> INSTRUCCIONES GENERALES</w:t>
      </w:r>
      <w:bookmarkEnd w:id="3"/>
      <w:bookmarkEnd w:id="4"/>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393461952"/>
      <w:bookmarkStart w:id="6" w:name="_Toc523915024"/>
      <w:r>
        <w:rPr>
          <w:rFonts w:ascii="Times New Roman" w:hAnsi="Times New Roman"/>
          <w:b/>
          <w:sz w:val="24"/>
          <w:u w:val="none"/>
        </w:rPr>
        <w:t>Estructura y convenciones</w:t>
      </w:r>
      <w:bookmarkEnd w:id="5"/>
      <w:bookmarkEnd w:id="6"/>
    </w:p>
    <w:p w:rsidR="00393539" w:rsidRPr="0039317F" w:rsidRDefault="00D40975" w:rsidP="0039317F">
      <w:pPr>
        <w:pStyle w:val="InstructionsText2"/>
      </w:pPr>
      <w:bookmarkStart w:id="7" w:name="_Toc264038399"/>
      <w:bookmarkStart w:id="8" w:name="_Toc294018834"/>
      <w:r>
        <w:t>El marco de información sobre grandes exposiciones (large exposures, «LE») está formado por seis plantillas que incluyen la información siguiente:</w:t>
      </w:r>
    </w:p>
    <w:p w:rsidR="00DA54E3" w:rsidRPr="0039317F" w:rsidRDefault="00CC2429" w:rsidP="0039317F">
      <w:pPr>
        <w:pStyle w:val="InstructionsText2"/>
        <w:numPr>
          <w:ilvl w:val="1"/>
          <w:numId w:val="15"/>
        </w:numPr>
        <w:rPr>
          <w:rFonts w:eastAsia="Arial"/>
        </w:rPr>
      </w:pPr>
      <w:r>
        <w:t>límites de las grandes exposiciones;</w:t>
      </w:r>
    </w:p>
    <w:p w:rsidR="00DA54E3" w:rsidRPr="0039317F" w:rsidRDefault="00CC2429" w:rsidP="0039317F">
      <w:pPr>
        <w:pStyle w:val="InstructionsText2"/>
        <w:numPr>
          <w:ilvl w:val="1"/>
          <w:numId w:val="15"/>
        </w:numPr>
        <w:rPr>
          <w:rFonts w:eastAsia="Arial"/>
        </w:rPr>
      </w:pPr>
      <w:r>
        <w:t>identificación de la contraparte (plantilla LE1);</w:t>
      </w:r>
    </w:p>
    <w:p w:rsidR="00393539" w:rsidRPr="0039317F" w:rsidRDefault="00CC2429" w:rsidP="0039317F">
      <w:pPr>
        <w:pStyle w:val="InstructionsText2"/>
        <w:numPr>
          <w:ilvl w:val="1"/>
          <w:numId w:val="15"/>
        </w:numPr>
        <w:rPr>
          <w:rFonts w:eastAsia="Arial"/>
        </w:rPr>
      </w:pPr>
      <w:r>
        <w:t xml:space="preserve">exposiciones de la cartera de negociación y de la cartera de inversión (plantilla LE2); </w:t>
      </w:r>
    </w:p>
    <w:p w:rsidR="00393539" w:rsidRPr="0039317F" w:rsidRDefault="00CC2429" w:rsidP="0039317F">
      <w:pPr>
        <w:pStyle w:val="InstructionsText2"/>
        <w:numPr>
          <w:ilvl w:val="1"/>
          <w:numId w:val="15"/>
        </w:numPr>
        <w:rPr>
          <w:rFonts w:eastAsia="Arial"/>
        </w:rPr>
      </w:pPr>
      <w:r>
        <w:t>detalle de las exposiciones frente a clientes individuales dentro de grupos de clientes vinculados entre sí (plantilla LE3);</w:t>
      </w:r>
    </w:p>
    <w:p w:rsidR="00627430" w:rsidRPr="0039317F" w:rsidRDefault="00CC2429" w:rsidP="0039317F">
      <w:pPr>
        <w:pStyle w:val="InstructionsText2"/>
        <w:numPr>
          <w:ilvl w:val="1"/>
          <w:numId w:val="15"/>
        </w:numPr>
        <w:rPr>
          <w:rFonts w:eastAsia="Arial"/>
        </w:rPr>
      </w:pPr>
      <w:r>
        <w:t xml:space="preserve">períodos de vencimiento de las diez mayores exposiciones frente a entidades y las diez mayores exposiciones frente a entes del sector financiero no regulados (plantilla LE4); </w:t>
      </w:r>
    </w:p>
    <w:p w:rsidR="00DA54E3" w:rsidRPr="0039317F" w:rsidRDefault="00CC2429" w:rsidP="0039317F">
      <w:pPr>
        <w:pStyle w:val="InstructionsText2"/>
        <w:numPr>
          <w:ilvl w:val="1"/>
          <w:numId w:val="15"/>
        </w:numPr>
        <w:rPr>
          <w:rFonts w:eastAsia="Arial"/>
        </w:rPr>
      </w:pPr>
      <w:r>
        <w:t>períodos de vencimiento de las diez mayores exposiciones frente a entidades y las diez mayores e</w:t>
      </w:r>
      <w:bookmarkStart w:id="9" w:name="_GoBack"/>
      <w:bookmarkEnd w:id="9"/>
      <w:r>
        <w:t>xposiciones frente a entes del sector financiero no regulados: detalle de las exposiciones frente a clientes individuales dentro de grupos de clientes vinculados entre sí (plantilla LE5).</w:t>
      </w:r>
    </w:p>
    <w:p w:rsidR="003D56DE" w:rsidRPr="0039317F" w:rsidRDefault="00756759" w:rsidP="0039317F">
      <w:pPr>
        <w:pStyle w:val="InstructionsText2"/>
      </w:pPr>
      <w:r>
        <w:t>Las instrucciones incluyen referencias legales e información detallada sobre los datos que deben comunicarse en cada plantilla.</w:t>
      </w:r>
    </w:p>
    <w:p w:rsidR="00B0191A" w:rsidRPr="0039317F" w:rsidRDefault="003105C6" w:rsidP="0039317F">
      <w:pPr>
        <w:pStyle w:val="InstructionsText2"/>
      </w:pPr>
      <w:r>
        <w:t>En relación con las columnas, las filas y las celdas de las plantillas, las instrucciones y las normas de validación siguen la convención de designación establecida en los apa</w:t>
      </w:r>
      <w:r>
        <w:t>r</w:t>
      </w:r>
      <w:r>
        <w:t xml:space="preserve">tados siguientes. </w:t>
      </w:r>
    </w:p>
    <w:p w:rsidR="00B0191A" w:rsidRPr="0039317F" w:rsidRDefault="00F36707" w:rsidP="0039317F">
      <w:pPr>
        <w:pStyle w:val="InstructionsText2"/>
      </w:pPr>
      <w:r>
        <w:t>En las instrucciones y las normas de validación se utiliza generalmente la convención siguiente: {plantilla; fila; columna}. Se utilizará un asterisco para indicar que la val</w:t>
      </w:r>
      <w:r>
        <w:t>i</w:t>
      </w:r>
      <w:r>
        <w:t>dación se hace para todas las filas comunicadas.</w:t>
      </w:r>
    </w:p>
    <w:p w:rsidR="00B0191A" w:rsidRPr="0039317F" w:rsidRDefault="003105C6" w:rsidP="0039317F">
      <w:pPr>
        <w:pStyle w:val="InstructionsText2"/>
        <w:rPr>
          <w:rFonts w:eastAsia="Arial"/>
        </w:rPr>
      </w:pPr>
      <w:r>
        <w:t>En el caso de las validaciones dentro de una plantilla en la que solo se utilicen puntos de datos de esa plantilla, las notaciones no se refieren a una plantilla: {fila; columna}.</w:t>
      </w:r>
    </w:p>
    <w:p w:rsidR="00B0191A" w:rsidRDefault="006217F1" w:rsidP="0039317F">
      <w:pPr>
        <w:pStyle w:val="InstructionsText2"/>
      </w:pPr>
      <w:r>
        <w:t xml:space="preserve">ABS (valor) significa el valor absoluto sin signo. </w:t>
      </w:r>
      <w:bookmarkEnd w:id="7"/>
      <w:bookmarkEnd w:id="8"/>
      <w:r>
        <w:t>Cualquier importe que aumente las exposiciones se comunicará como cifra positiva. Por el contrario, cualquier importe que reduzca las exposiciones se comunicará como cifra negativa. Cuando un signo n</w:t>
      </w:r>
      <w:r>
        <w:t>e</w:t>
      </w:r>
      <w:r>
        <w:t>gativo (-) preceda a la designación de un elemento, no se comunicará ninguna cifra positiva para ese elemento.</w:t>
      </w:r>
    </w:p>
    <w:p w:rsidR="0093135A" w:rsidRPr="0078562D" w:rsidRDefault="0078562D" w:rsidP="0078562D">
      <w:pPr>
        <w:pStyle w:val="Instructionsberschrift2"/>
        <w:numPr>
          <w:ilvl w:val="0"/>
          <w:numId w:val="20"/>
        </w:numPr>
        <w:rPr>
          <w:b/>
        </w:rPr>
      </w:pPr>
      <w:bookmarkStart w:id="10" w:name="_Toc523915025"/>
      <w:r>
        <w:rPr>
          <w:rFonts w:ascii="Times New Roman" w:hAnsi="Times New Roman"/>
          <w:b/>
          <w:sz w:val="24"/>
          <w:u w:val="none"/>
        </w:rPr>
        <w:t>Abreviaturas</w:t>
      </w:r>
      <w:bookmarkEnd w:id="10"/>
    </w:p>
    <w:p w:rsidR="0093135A" w:rsidRDefault="0093135A" w:rsidP="0093135A">
      <w:pPr>
        <w:pStyle w:val="InstructionsText2"/>
      </w:pPr>
      <w:r>
        <w:t>A los efectos del presente anexo, el Reglamento (UE) n.º 575/2013 se menciona como «RRC».</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3915026"/>
      <w:r>
        <w:rPr>
          <w:rFonts w:ascii="Times New Roman" w:hAnsi="Times New Roman"/>
        </w:rPr>
        <w:lastRenderedPageBreak/>
        <w:t>PARTE II: INSTRUCCIONES RELATIVAS A LAS PLANTILLAS</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En el presente anexo, las instrucciones relativas a la notificación de las grandes exposiciones se aplicarán igualmente a la notificación de las exposiciones significativas exigida por los a</w:t>
      </w:r>
      <w:r>
        <w:rPr>
          <w:rFonts w:ascii="Times New Roman" w:hAnsi="Times New Roman"/>
          <w:sz w:val="24"/>
        </w:rPr>
        <w:t>r</w:t>
      </w:r>
      <w:r>
        <w:rPr>
          <w:rFonts w:ascii="Times New Roman" w:hAnsi="Times New Roman"/>
          <w:sz w:val="24"/>
        </w:rPr>
        <w:t>tículos 9 y 11, de conformidad con el ámbito definido en los mismos.</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3915027"/>
      <w:r>
        <w:rPr>
          <w:rFonts w:ascii="Times New Roman" w:hAnsi="Times New Roman"/>
          <w:b/>
          <w:sz w:val="24"/>
          <w:u w:val="none"/>
        </w:rPr>
        <w:t>Alcance y nivel de la información sobre grandes exposiciones</w:t>
      </w:r>
      <w:bookmarkEnd w:id="14"/>
      <w:bookmarkEnd w:id="15"/>
    </w:p>
    <w:p w:rsidR="000F13EA" w:rsidRPr="0039317F" w:rsidRDefault="000F13EA" w:rsidP="0039317F">
      <w:pPr>
        <w:pStyle w:val="InstructionsText2"/>
        <w:numPr>
          <w:ilvl w:val="0"/>
          <w:numId w:val="27"/>
        </w:numPr>
        <w:rPr>
          <w:rFonts w:eastAsia="Arial"/>
        </w:rPr>
      </w:pPr>
      <w:r>
        <w:t>Para comunicar información sobre grandes exposiciones frente a clientes o grupos de clientes vinculados entre sí, de conformidad con el artículo 394, apartado 1, del R</w:t>
      </w:r>
      <w:r>
        <w:t>e</w:t>
      </w:r>
      <w:r>
        <w:t xml:space="preserve">glamento (UE) nº 575/2013 («RRC»), en base individual, las entidades utilizarán las plantillas LE1, LE2 y LE3. </w:t>
      </w:r>
    </w:p>
    <w:p w:rsidR="00B0191A" w:rsidRPr="0039317F" w:rsidRDefault="000F13EA" w:rsidP="0039317F">
      <w:pPr>
        <w:pStyle w:val="InstructionsText2"/>
        <w:rPr>
          <w:rFonts w:eastAsia="Arial"/>
        </w:rPr>
      </w:pPr>
      <w:r>
        <w:t>Para comunicar información sobre grandes exposiciones frente a clientes o grupos de clientes vinculados entre sí, de conformidad con el artículo 394, apartado 1, del RRC, en base consolidada, las entidades matrices de un Estado miembro utilizarán las plant</w:t>
      </w:r>
      <w:r>
        <w:t>i</w:t>
      </w:r>
      <w:r>
        <w:t xml:space="preserve">llas LE1, LE2 y LE3. </w:t>
      </w:r>
    </w:p>
    <w:p w:rsidR="00B0191A" w:rsidRPr="0039317F" w:rsidRDefault="00A11FB0" w:rsidP="000F0ADE">
      <w:pPr>
        <w:pStyle w:val="InstructionsText2"/>
        <w:rPr>
          <w:rFonts w:eastAsia="Arial"/>
        </w:rPr>
      </w:pPr>
      <w:r>
        <w:t>Se considerará cada gran exposición definida de conformidad con el artículo 392 del RRC, incluidas las grandes exposiciones que no se tendrán en cuenta para el cumpl</w:t>
      </w:r>
      <w:r>
        <w:t>i</w:t>
      </w:r>
      <w:r>
        <w:t xml:space="preserve">miento de la limitación de las grandes exposiciones establecida en el artículo 395 del RRC. </w:t>
      </w:r>
    </w:p>
    <w:p w:rsidR="00B0191A" w:rsidRPr="0039317F" w:rsidRDefault="001C7BF0" w:rsidP="000F0ADE">
      <w:pPr>
        <w:pStyle w:val="InstructionsText2"/>
        <w:rPr>
          <w:rFonts w:eastAsia="Arial"/>
        </w:rPr>
      </w:pPr>
      <w:r>
        <w:t>Para comunicar información sobre las veinte mayores exposiciones frente a clientes o grupos de clientes vinculados entre sí, de conformidad con el artículo 394, apartado 1, última frase, del RRC, en base consolidada, las entidades matrices de un Estado miembro sujetas a la parte tercera, título II, capítulo 3, del RRC utilizarán las plantillas LE1, LE2 y LE3. El importe que se utilizará para determinar esas veinte mayores e</w:t>
      </w:r>
      <w:r>
        <w:t>x</w:t>
      </w:r>
      <w:r>
        <w:t xml:space="preserve">posiciones será el valor de exposición resultante de restar el importe de la columna 320 («Importes exentos») de la plantilla LE2 del importe de la columna 210 («Total») de esa misma plantilla. </w:t>
      </w:r>
    </w:p>
    <w:p w:rsidR="00B0191A" w:rsidRPr="0039317F" w:rsidRDefault="00C1644D">
      <w:pPr>
        <w:pStyle w:val="InstructionsText2"/>
        <w:rPr>
          <w:rFonts w:eastAsia="Arial"/>
        </w:rPr>
      </w:pPr>
      <w:r>
        <w:t>Para comunicar información en base consolidada sobre las diez mayores exposiciones frente a entidades y las diez mayores exposiciones frente a entes del sector financiero no regulados, de conformidad con el artículo 394, apartado 2, letras a) a d), del RRC, las entidades matrices de un Estado miembro utilizarán las plantillas LE1, LE2 y LE3. Para comunicar la estructura de vencimientos de esas exposiciones, de conformidad con el artículo 394, apartado 2, letra e), del RRC, las entidades matrices de un Estado miembro utilizarán las plantillas LE4 y LE5. El importe que se utilizará para determ</w:t>
      </w:r>
      <w:r>
        <w:t>i</w:t>
      </w:r>
      <w:r>
        <w:t>nar esas veinte mayores exposiciones será el valor de exposición calculado en la c</w:t>
      </w:r>
      <w:r>
        <w:t>o</w:t>
      </w:r>
      <w:r>
        <w:t>lumna 210 («Total») de la plantilla LE2.</w:t>
      </w:r>
    </w:p>
    <w:p w:rsidR="00B0191A" w:rsidRPr="0039317F" w:rsidRDefault="001E0F83">
      <w:pPr>
        <w:pStyle w:val="InstructionsText2"/>
        <w:rPr>
          <w:rFonts w:eastAsia="Arial"/>
        </w:rPr>
      </w:pPr>
      <w:r>
        <w:t>Los datos sobre las grandes exposiciones y las pertinentes mayores exposiciones frente a grupos de clientes vinculados entre sí y frente a clientes individuales no pertenecie</w:t>
      </w:r>
      <w:r>
        <w:t>n</w:t>
      </w:r>
      <w:r>
        <w:t>tes a un grupo de clientes vinculados entre sí se suministrarán en la plantilla LE2 (en la que un grupo de clientes vinculados entre sí se comunicará como una única expos</w:t>
      </w:r>
      <w:r>
        <w:t>i</w:t>
      </w:r>
      <w:r>
        <w:t xml:space="preserve">ción). </w:t>
      </w:r>
    </w:p>
    <w:p w:rsidR="00B0191A" w:rsidRPr="0039317F" w:rsidRDefault="008A4511">
      <w:pPr>
        <w:pStyle w:val="InstructionsText2"/>
        <w:rPr>
          <w:rFonts w:eastAsia="Arial"/>
        </w:rPr>
      </w:pPr>
      <w:r>
        <w:t xml:space="preserve">Las entidades suministrarán en la plantilla LE3 los datos relativos a las exposiciones frente a clientes individuales pertenecientes a los grupos de clientes vinculados entre sí </w:t>
      </w:r>
      <w:r>
        <w:lastRenderedPageBreak/>
        <w:t xml:space="preserve">que se consignen en la plantilla LE2. La comunicación de una exposición frente a un cliente individual en la plantilla LE2 no se repetirá en la plantilla LE3.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3915028"/>
      <w:r>
        <w:rPr>
          <w:rFonts w:ascii="Times New Roman" w:hAnsi="Times New Roman"/>
          <w:b/>
          <w:sz w:val="24"/>
          <w:u w:val="none"/>
        </w:rPr>
        <w:t>Estructura de las plantillas de grandes exposiciones</w:t>
      </w:r>
      <w:bookmarkEnd w:id="16"/>
      <w:bookmarkEnd w:id="17"/>
    </w:p>
    <w:p w:rsidR="00A11EC0" w:rsidRPr="0039317F" w:rsidRDefault="00B945FE" w:rsidP="0039317F">
      <w:pPr>
        <w:pStyle w:val="InstructionsText2"/>
        <w:rPr>
          <w:rFonts w:eastAsia="Arial"/>
        </w:rPr>
      </w:pPr>
      <w:r>
        <w:t>Las columnas de la plantilla LE1 presentarán la información relativa a la identific</w:t>
      </w:r>
      <w:r>
        <w:t>a</w:t>
      </w:r>
      <w:r>
        <w:t>ción de los clientes individuales, o de grupos de clientes vinculados entre sí, a los que esté expuesta una entidad.</w:t>
      </w:r>
    </w:p>
    <w:p w:rsidR="00B0191A" w:rsidRPr="0039317F" w:rsidRDefault="009362E7" w:rsidP="0039317F">
      <w:pPr>
        <w:pStyle w:val="InstructionsText2"/>
        <w:rPr>
          <w:rFonts w:eastAsia="Arial"/>
        </w:rPr>
      </w:pPr>
      <w:r>
        <w:t>Las columnas de las plantillas LE2 y LE3 contendrán los siguientes bloques de info</w:t>
      </w:r>
      <w:r>
        <w:t>r</w:t>
      </w:r>
      <w:r>
        <w:t xml:space="preserve">mación:   </w:t>
      </w:r>
    </w:p>
    <w:p w:rsidR="00B0191A" w:rsidRPr="0039317F" w:rsidRDefault="001E0F83" w:rsidP="000F0ADE">
      <w:pPr>
        <w:pStyle w:val="InstructionsText2"/>
        <w:numPr>
          <w:ilvl w:val="1"/>
          <w:numId w:val="15"/>
        </w:numPr>
        <w:rPr>
          <w:rFonts w:eastAsia="Arial"/>
        </w:rPr>
      </w:pPr>
      <w:r>
        <w:t>el valor de la exposición antes de aplicar las exenciones y de tener en cuenta el efecto de la reducción del riesgo de crédito, incluidas la exposición directa e indirecta y las exposiciones adicionales que se deriven de operaciones en las que exista una exposición frente a activos subyacentes;</w:t>
      </w:r>
    </w:p>
    <w:p w:rsidR="00B0191A" w:rsidRPr="0039317F" w:rsidRDefault="001E0F83" w:rsidP="000F0ADE">
      <w:pPr>
        <w:pStyle w:val="InstructionsText2"/>
        <w:numPr>
          <w:ilvl w:val="1"/>
          <w:numId w:val="15"/>
        </w:numPr>
        <w:rPr>
          <w:rFonts w:eastAsia="Arial"/>
        </w:rPr>
      </w:pPr>
      <w:r>
        <w:t>el efecto de las exenciones y de las técnicas de reducción del riesgo de crédito;</w:t>
      </w:r>
    </w:p>
    <w:p w:rsidR="00B0191A" w:rsidRPr="0039317F" w:rsidRDefault="001E0F83">
      <w:pPr>
        <w:pStyle w:val="InstructionsText2"/>
        <w:numPr>
          <w:ilvl w:val="1"/>
          <w:numId w:val="15"/>
        </w:numPr>
        <w:rPr>
          <w:rFonts w:eastAsia="Arial"/>
        </w:rPr>
      </w:pPr>
      <w:r>
        <w:t>el valor de la exposición después de aplicar las exenciones y de tener en cuenta el efecto de la reducción del riesgo de crédito, calculado a efectos de lo previ</w:t>
      </w:r>
      <w:r>
        <w:t>s</w:t>
      </w:r>
      <w:r>
        <w:t xml:space="preserve">to en el artículo 395, apartado 1, del RRC. </w:t>
      </w:r>
    </w:p>
    <w:p w:rsidR="00B0191A" w:rsidRPr="0039317F" w:rsidRDefault="00B4530A" w:rsidP="0039317F">
      <w:pPr>
        <w:pStyle w:val="InstructionsText2"/>
        <w:rPr>
          <w:rFonts w:eastAsia="Arial"/>
        </w:rPr>
      </w:pPr>
      <w:r>
        <w:t>Las columnas de las plantillas LE4 y LE5 presentarán la información relativa a los p</w:t>
      </w:r>
      <w:r>
        <w:t>e</w:t>
      </w:r>
      <w:r>
        <w:t>ríodos de vencimiento a los que se asignarán los importes previstos de vencimiento próximo de las diez mayores exposiciones frente a entidades y de las diez mayores e</w:t>
      </w:r>
      <w:r>
        <w:t>x</w:t>
      </w:r>
      <w:r>
        <w:t xml:space="preserve">posiciones frente a entes del sector financiero no regulados.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3915029"/>
      <w:r>
        <w:rPr>
          <w:rFonts w:ascii="Times New Roman" w:hAnsi="Times New Roman"/>
          <w:b/>
          <w:sz w:val="24"/>
          <w:u w:val="none"/>
        </w:rPr>
        <w:t>Definiciones e instrucciones generales a efectos de la información sobre grandes e</w:t>
      </w:r>
      <w:r>
        <w:rPr>
          <w:rFonts w:ascii="Times New Roman" w:hAnsi="Times New Roman"/>
          <w:b/>
          <w:sz w:val="24"/>
          <w:u w:val="none"/>
        </w:rPr>
        <w:t>x</w:t>
      </w:r>
      <w:r>
        <w:rPr>
          <w:rFonts w:ascii="Times New Roman" w:hAnsi="Times New Roman"/>
          <w:b/>
          <w:sz w:val="24"/>
          <w:u w:val="none"/>
        </w:rPr>
        <w:t>posiciones</w:t>
      </w:r>
      <w:bookmarkEnd w:id="18"/>
      <w:bookmarkEnd w:id="19"/>
    </w:p>
    <w:p w:rsidR="001E0F83" w:rsidRPr="0039317F" w:rsidRDefault="00B945FE" w:rsidP="0039317F">
      <w:pPr>
        <w:pStyle w:val="InstructionsText2"/>
        <w:rPr>
          <w:rFonts w:eastAsia="Arial"/>
        </w:rPr>
      </w:pPr>
      <w:r>
        <w:t>«Grupo de clientes vinculados entre sí» se define en el artículo 4, apartado 1, punto 39, del RRC.</w:t>
      </w:r>
    </w:p>
    <w:p w:rsidR="00B0191A" w:rsidRPr="0039317F" w:rsidRDefault="00915A9C" w:rsidP="0039317F">
      <w:pPr>
        <w:pStyle w:val="InstructionsText2"/>
        <w:rPr>
          <w:rFonts w:eastAsia="Arial"/>
        </w:rPr>
      </w:pPr>
      <w:r>
        <w:t xml:space="preserve">«Entes del sector financiero no regulados» se define en el artículo 142, apartado 1, punto 5, del RRC.  </w:t>
      </w:r>
    </w:p>
    <w:p w:rsidR="00B0191A" w:rsidRPr="0039317F" w:rsidRDefault="00D441A7" w:rsidP="0039317F">
      <w:pPr>
        <w:pStyle w:val="InstructionsText2"/>
        <w:rPr>
          <w:rFonts w:eastAsia="Arial"/>
        </w:rPr>
      </w:pPr>
      <w:r>
        <w:t xml:space="preserve">«Entidades» se define en el artículo 4, apartado 1, punto 3, del RRC.  </w:t>
      </w:r>
    </w:p>
    <w:p w:rsidR="00B0191A" w:rsidRPr="0039317F" w:rsidRDefault="009B34D1" w:rsidP="0039317F">
      <w:pPr>
        <w:pStyle w:val="InstructionsText2"/>
        <w:rPr>
          <w:rFonts w:eastAsia="Arial"/>
        </w:rPr>
      </w:pPr>
      <w:r>
        <w:t>Se comunicarán las exposiciones frente a «asociaciones de Derecho civil». Además, las entidades añadirán los importes de los créditos de la asociación de Derecho civil a la deuda de cada uno de sus miembros. Las exposiciones frente a asociaciones de D</w:t>
      </w:r>
      <w:r>
        <w:t>e</w:t>
      </w:r>
      <w:r>
        <w:t>recho civil que incluyan cuotas se dividirán o se asignarán a sus miembros en función de sus cuotas respectivas. Se comunicarán del mismo modo las exposiciones frente a determinadas figuras (por ejemplo, cuentas conjuntas, comunidades de herederos, préstamos por persona interpuesta) que actúen de hecho como asociaciones de Der</w:t>
      </w:r>
      <w:r>
        <w:t>e</w:t>
      </w:r>
      <w:r>
        <w:t xml:space="preserve">cho civil. </w:t>
      </w:r>
    </w:p>
    <w:p w:rsidR="00910E26" w:rsidRPr="0039317F" w:rsidRDefault="00D441A7" w:rsidP="0039317F">
      <w:pPr>
        <w:pStyle w:val="InstructionsText2"/>
        <w:rPr>
          <w:rFonts w:eastAsia="Arial"/>
        </w:rPr>
      </w:pPr>
      <w:r>
        <w:t>Los activos y las exposiciones fuera de balance se utilizarán sin aplicación de pond</w:t>
      </w:r>
      <w:r>
        <w:t>e</w:t>
      </w:r>
      <w:r>
        <w:t xml:space="preserve">raciones de riesgo ni grados de riesgo, de conformidad con el artículo 389 del RRC. </w:t>
      </w:r>
      <w:r>
        <w:lastRenderedPageBreak/>
        <w:t>En concreto, no se aplicarán factores de conversión de crédito a las exposiciones fuera de balance.</w:t>
      </w:r>
    </w:p>
    <w:p w:rsidR="00B0191A" w:rsidRPr="0039317F" w:rsidRDefault="0039317F" w:rsidP="0039317F">
      <w:pPr>
        <w:pStyle w:val="InstructionsText2"/>
        <w:rPr>
          <w:rFonts w:eastAsia="Arial"/>
        </w:rPr>
      </w:pPr>
      <w:r>
        <w:t xml:space="preserve"> «Exposiciones» se define en el artículo 389 del RRC. </w:t>
      </w:r>
    </w:p>
    <w:p w:rsidR="00B0191A" w:rsidRPr="0039317F" w:rsidRDefault="001243C8" w:rsidP="0039317F">
      <w:pPr>
        <w:pStyle w:val="InstructionsText2"/>
        <w:numPr>
          <w:ilvl w:val="1"/>
          <w:numId w:val="15"/>
        </w:numPr>
        <w:rPr>
          <w:rFonts w:eastAsia="Arial"/>
        </w:rPr>
      </w:pPr>
      <w:r>
        <w:t xml:space="preserve">Comprende los activos o partidas fuera de balance pertenecientes a la cartera de negociación y a la cartera de inversión, incluyendo las partidas previstas en el artículo 400 del RRC, pero excluyendo las sujetas a lo previsto en el artículo 390, apartado 6, letras a) a d), del RRC. </w:t>
      </w:r>
    </w:p>
    <w:p w:rsidR="00B0191A" w:rsidRPr="0039317F" w:rsidRDefault="00AB5AE4" w:rsidP="000F0ADE">
      <w:pPr>
        <w:pStyle w:val="InstructionsText2"/>
        <w:numPr>
          <w:ilvl w:val="1"/>
          <w:numId w:val="15"/>
        </w:numPr>
        <w:rPr>
          <w:rFonts w:eastAsia="Arial"/>
        </w:rPr>
      </w:pPr>
      <w:r>
        <w:t>«Exposiciones indirectas» son las exposiciones asignadas al garante o al em</w:t>
      </w:r>
      <w:r>
        <w:t>i</w:t>
      </w:r>
      <w:r>
        <w:t xml:space="preserve">sor de la garantía real y no al prestatario inmediato, de acuerdo con el artículo 403 del RRC. </w:t>
      </w:r>
      <w:r>
        <w:rPr>
          <w:i/>
        </w:rPr>
        <w:t>Las definiciones que aquí se recogen no pueden diferenciarse en nada de las definiciones contenidas en el acto de base.</w:t>
      </w:r>
      <w:r>
        <w:t>]</w:t>
      </w:r>
    </w:p>
    <w:p w:rsidR="00B0191A" w:rsidRPr="0039317F" w:rsidRDefault="00F40CD9" w:rsidP="0039317F">
      <w:pPr>
        <w:pStyle w:val="InstructionsText2"/>
        <w:rPr>
          <w:rFonts w:eastAsia="Arial"/>
        </w:rPr>
      </w:pPr>
      <w:r>
        <w:t>Las exposiciones frente a grupos de clientes vinculados entre sí se calcularán de co</w:t>
      </w:r>
      <w:r>
        <w:t>n</w:t>
      </w:r>
      <w:r>
        <w:t>formidad con el artículo 390, apartado 5.</w:t>
      </w:r>
    </w:p>
    <w:p w:rsidR="0008722B" w:rsidRPr="0039317F" w:rsidRDefault="008645CF" w:rsidP="0039317F">
      <w:pPr>
        <w:pStyle w:val="InstructionsText2"/>
        <w:rPr>
          <w:rFonts w:eastAsia="Arial"/>
        </w:rPr>
      </w:pPr>
      <w:r>
        <w:t>Para la determinación del valor de exposición de las grandes exposiciones podrán t</w:t>
      </w:r>
      <w:r>
        <w:t>e</w:t>
      </w:r>
      <w:r>
        <w:t>nerse en cuenta los «acuerdos de compensación», según lo establecido en el artículo 390, apartados 1 a 3, del RRC. El valor de exposición de un instrumento derivado i</w:t>
      </w:r>
      <w:r>
        <w:t>n</w:t>
      </w:r>
      <w:r>
        <w:t>cluido en el anexo II del RRC se determinará con arreglo a lo dispuesto en su parte tercera, título II, capítulo 6, teniendo en cuenta los efectos de los contratos de nov</w:t>
      </w:r>
      <w:r>
        <w:t>a</w:t>
      </w:r>
      <w:r>
        <w:t>ción y de otros acuerdos de compensación a los efectos de dichos métodos, de co</w:t>
      </w:r>
      <w:r>
        <w:t>n</w:t>
      </w:r>
      <w:r>
        <w:t>formidad con lo dispuesto en la parte tercera, título II, capítulo 6, del RRC. El valor de exposición de las operaciones de recompra, de las operaciones de préstamo o de toma en préstamo de valores o materias primas, de las operaciones de liquidación diferida y de las operaciones de préstamo con reposición del margen podrá determinarse de acuerdo con lo dispuesto en la parte tercera, título II, capítulo 4 o capítulo 6, del RRC. Según el artículo 296 del RRC, el valor de exposición de una única obligación jurídica surgida de un acuerdo de compensación contractual entre productos con una contr</w:t>
      </w:r>
      <w:r>
        <w:t>a</w:t>
      </w:r>
      <w:r>
        <w:t>parte de la entidad declarante se comunicará como «otros compromisos» en las plant</w:t>
      </w:r>
      <w:r>
        <w:t>i</w:t>
      </w:r>
      <w:r>
        <w:t>llas de grandes exposiciones.</w:t>
      </w:r>
    </w:p>
    <w:p w:rsidR="00AB28E2" w:rsidRPr="0039317F" w:rsidRDefault="001E0F83" w:rsidP="0039317F">
      <w:pPr>
        <w:pStyle w:val="InstructionsText2"/>
        <w:rPr>
          <w:rFonts w:eastAsia="Arial"/>
        </w:rPr>
      </w:pPr>
      <w:r>
        <w:t>El «valor de exposición» se calculará de conformidad con el artículo 390 del RRC.</w:t>
      </w:r>
    </w:p>
    <w:p w:rsidR="00B0191A" w:rsidRPr="0039317F" w:rsidRDefault="001E0F83" w:rsidP="0039317F">
      <w:pPr>
        <w:pStyle w:val="InstructionsText2"/>
        <w:rPr>
          <w:rFonts w:eastAsia="Arial"/>
        </w:rPr>
      </w:pPr>
      <w:r>
        <w:t>El efecto de la aplicación total o parcial de exenciones y de técnicas admisibles de r</w:t>
      </w:r>
      <w:r>
        <w:t>e</w:t>
      </w:r>
      <w:r>
        <w:t>ducción del riesgo de crédito para el cálculo de las exposiciones a los efectos del a</w:t>
      </w:r>
      <w:r>
        <w:t>r</w:t>
      </w:r>
      <w:r>
        <w:t xml:space="preserve">tículo 395, apartado 1, del RRC se describe en los artículos 399 a 403 del mismo. </w:t>
      </w:r>
    </w:p>
    <w:p w:rsidR="00AB28E2" w:rsidRPr="0039317F" w:rsidRDefault="0017740A" w:rsidP="0039317F">
      <w:pPr>
        <w:pStyle w:val="InstructionsText2"/>
        <w:rPr>
          <w:rFonts w:eastAsia="Arial"/>
        </w:rPr>
      </w:pPr>
      <w:r>
        <w:t>Los pactos de recompra inversa que deban incluirse en la declaración de grandes e</w:t>
      </w:r>
      <w:r>
        <w:t>x</w:t>
      </w:r>
      <w:r>
        <w:t>posiciones se comunicarán de conformidad con el artículo 402, apartado 3, del RRC. Siempre que se cumplan los criterios del artículo 402, apartado 3, del RRC, la entidad comunicará las grandes exposiciones frente a cada uno de los terceros por el importe del crédito que la contraparte de la operación tenga sobre el tercero y no por el importe de la exposición frente a la contraparte.</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3915030"/>
      <w:r>
        <w:rPr>
          <w:rFonts w:ascii="Times New Roman" w:hAnsi="Times New Roman"/>
          <w:b/>
          <w:sz w:val="24"/>
          <w:u w:val="none"/>
        </w:rPr>
        <w:lastRenderedPageBreak/>
        <w:t>C 26.00 - Límites de las grandes exposiciones (LE Limits)</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3915031"/>
      <w:r>
        <w:rPr>
          <w:rFonts w:ascii="Times New Roman" w:hAnsi="Times New Roman"/>
          <w:sz w:val="24"/>
        </w:rPr>
        <w:t>Instrucciones relativas a filas concretas</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Filas</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No entidades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395, apartado 1, artículo 458, apartado 2, letra d), inciso ii), artículo 458, apartado 10, y artículo 459, letra b), del RRC.</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comunicará el importe del límite aplicable a las contrapartes que no sean entidades. Este importe es el 25 % del capital admisible, que se comunica en la fila 226 de la plantilla 4 del anexo I, a menos que proceda un porcentaje más restrictivo por aplicación de medidas nacionales, de conformidad con el artículo 458 del RRC, o de los actos delegados adoptados de conformidad con el artículo 459, letra b), del RRC.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Entidades</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395, apartado 1, artículo 458, apartado 2, letra d), inciso ii), artículo 458, apartado 10, y artículo 459, letra b), del RRC.</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comunicará el importe del límite aplicable a las contrapartes que sean e</w:t>
            </w:r>
            <w:r>
              <w:rPr>
                <w:rStyle w:val="FormatvorlageInstructionsTabelleText"/>
                <w:rFonts w:ascii="Times New Roman" w:hAnsi="Times New Roman"/>
                <w:sz w:val="24"/>
              </w:rPr>
              <w:t>n</w:t>
            </w:r>
            <w:r>
              <w:rPr>
                <w:rStyle w:val="FormatvorlageInstructionsTabelleText"/>
                <w:rFonts w:ascii="Times New Roman" w:hAnsi="Times New Roman"/>
                <w:sz w:val="24"/>
              </w:rPr>
              <w:t>tidades. Según el artículo 395, apartado 1, del RRC, este importe será el s</w:t>
            </w:r>
            <w:r>
              <w:rPr>
                <w:rStyle w:val="FormatvorlageInstructionsTabelleText"/>
                <w:rFonts w:ascii="Times New Roman" w:hAnsi="Times New Roman"/>
                <w:sz w:val="24"/>
              </w:rPr>
              <w:t>i</w:t>
            </w:r>
            <w:r>
              <w:rPr>
                <w:rStyle w:val="FormatvorlageInstructionsTabelleText"/>
                <w:rFonts w:ascii="Times New Roman" w:hAnsi="Times New Roman"/>
                <w:sz w:val="24"/>
              </w:rPr>
              <w:t>guiente:</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Si el 25 % del capital admisible es superior a 150 millones EUR (o un límite inferior a 150 millones EUR establecido por la autoridad competente de conformidad con el artículo 395, apartado 1, párrafo tercero, del RRC), se comunicará el 25 % del capital admisible.</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Si la cifra de 150 millones EUR (o un límite inferior establecido por la autoridad competente de conformidad con el artículo 395, apartado 1, párrafo tercero, del RRC) supera el 25 % del capital admisible de la entidad, se comunicarán 150 millones EUR (o el límite inferior que, en su caso, la autoridad competente haya establecido). Si la e</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tidad ha determinado un límite inferior en relación con su capital admisible, de conformidad con el artículo 395, apartado 1, párrafo segundo, del RRC, se comunicará ese límite.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Estos límites podrán ser más estrictos en caso de aplicación de medidas n</w:t>
            </w:r>
            <w:r>
              <w:rPr>
                <w:rStyle w:val="FormatvorlageInstructionsTabelleText"/>
                <w:rFonts w:ascii="Times New Roman" w:hAnsi="Times New Roman"/>
                <w:sz w:val="24"/>
              </w:rPr>
              <w:t>a</w:t>
            </w:r>
            <w:r>
              <w:rPr>
                <w:rStyle w:val="FormatvorlageInstructionsTabelleText"/>
                <w:rFonts w:ascii="Times New Roman" w:hAnsi="Times New Roman"/>
                <w:sz w:val="24"/>
              </w:rPr>
              <w:t>cionales de conformidad con el artículo 395, apartado 6, o con el artículo 458 del RRC o de los actos delegados adoptados de conformidad con el a</w:t>
            </w:r>
            <w:r>
              <w:rPr>
                <w:rStyle w:val="FormatvorlageInstructionsTabelleText"/>
                <w:rFonts w:ascii="Times New Roman" w:hAnsi="Times New Roman"/>
                <w:sz w:val="24"/>
              </w:rPr>
              <w:t>r</w:t>
            </w:r>
            <w:r>
              <w:rPr>
                <w:rStyle w:val="FormatvorlageInstructionsTabelleText"/>
                <w:rFonts w:ascii="Times New Roman" w:hAnsi="Times New Roman"/>
                <w:sz w:val="24"/>
              </w:rPr>
              <w:t>tículo 459, letra b), del RRC.</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Entidades en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395, apartado 1, y artículo 459, letra a), del RRC.</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El importe que se comunicará será el límite absoluto (consignado en la fila 020) expresado como porcentaje del capital admisible.</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3915032"/>
      <w:r>
        <w:rPr>
          <w:rFonts w:ascii="Times New Roman" w:hAnsi="Times New Roman"/>
          <w:b/>
          <w:sz w:val="24"/>
          <w:u w:val="none"/>
        </w:rPr>
        <w:t>C 27.00 - Identificación de la contraparte (LE1)</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3915033"/>
      <w:r>
        <w:rPr>
          <w:rFonts w:ascii="Times New Roman" w:hAnsi="Times New Roman"/>
          <w:sz w:val="24"/>
        </w:rPr>
        <w:t>Instrucciones relativas a columnas concretas</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Columna</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Identificación de la contraparte:</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entidades comunicarán la identidad de toda contraparte sobre la que se presente información en cualquiera de las plantillas C 28.00 a C 31.00. No se comunicará la identidad del grupo de clientes vinculados entre sí a menos que el sistema nacional de información proporcione un código único con respecto a dicho grupo.</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conformidad con el artículo 394, apartado 1, letra a), del RRC, las ent</w:t>
            </w:r>
            <w:r>
              <w:rPr>
                <w:rStyle w:val="FormatvorlageInstructionsTabelleText"/>
                <w:rFonts w:ascii="Times New Roman" w:hAnsi="Times New Roman"/>
                <w:sz w:val="24"/>
              </w:rPr>
              <w:t>i</w:t>
            </w:r>
            <w:r>
              <w:rPr>
                <w:rStyle w:val="FormatvorlageInstructionsTabelleText"/>
                <w:rFonts w:ascii="Times New Roman" w:hAnsi="Times New Roman"/>
                <w:sz w:val="24"/>
              </w:rPr>
              <w:t>dades comunicarán la identidad de la contraparte frente a la cual hayan as</w:t>
            </w:r>
            <w:r>
              <w:rPr>
                <w:rStyle w:val="FormatvorlageInstructionsTabelleText"/>
                <w:rFonts w:ascii="Times New Roman" w:hAnsi="Times New Roman"/>
                <w:sz w:val="24"/>
              </w:rPr>
              <w:t>u</w:t>
            </w:r>
            <w:r>
              <w:rPr>
                <w:rStyle w:val="FormatvorlageInstructionsTabelleText"/>
                <w:rFonts w:ascii="Times New Roman" w:hAnsi="Times New Roman"/>
                <w:sz w:val="24"/>
              </w:rPr>
              <w:t xml:space="preserve">mido una gran exposición, tal como se define esta en el artículo 392 del RRC.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conformidad con el artículo 394, apartado 2, letra a), del RRC, las ent</w:t>
            </w:r>
            <w:r>
              <w:rPr>
                <w:rStyle w:val="FormatvorlageInstructionsTabelleText"/>
                <w:rFonts w:ascii="Times New Roman" w:hAnsi="Times New Roman"/>
                <w:sz w:val="24"/>
              </w:rPr>
              <w:t>i</w:t>
            </w:r>
            <w:r>
              <w:rPr>
                <w:rStyle w:val="FormatvorlageInstructionsTabelleText"/>
                <w:rFonts w:ascii="Times New Roman" w:hAnsi="Times New Roman"/>
                <w:sz w:val="24"/>
              </w:rPr>
              <w:t>dades comunicarán la identidad de la contraparte frente a la cual hayan as</w:t>
            </w:r>
            <w:r>
              <w:rPr>
                <w:rStyle w:val="FormatvorlageInstructionsTabelleText"/>
                <w:rFonts w:ascii="Times New Roman" w:hAnsi="Times New Roman"/>
                <w:sz w:val="24"/>
              </w:rPr>
              <w:t>u</w:t>
            </w:r>
            <w:r>
              <w:rPr>
                <w:rStyle w:val="FormatvorlageInstructionsTabelleText"/>
                <w:rFonts w:ascii="Times New Roman" w:hAnsi="Times New Roman"/>
                <w:sz w:val="24"/>
              </w:rPr>
              <w:t>mido las mayores exposiciones (en los casos en que la contraparte sea una entidad o un ente del sector financiero no regulado).</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código es un identificador de la fila y debe ser único para cada fila del cuadro.</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código se utilizará para identificar a la contraparte individual. No obsta</w:t>
            </w:r>
            <w:r>
              <w:rPr>
                <w:rStyle w:val="FormatvorlageInstructionsTabelleText"/>
                <w:rFonts w:ascii="Times New Roman" w:hAnsi="Times New Roman"/>
                <w:sz w:val="24"/>
              </w:rPr>
              <w:t>n</w:t>
            </w:r>
            <w:r>
              <w:rPr>
                <w:rStyle w:val="FormatvorlageInstructionsTabelleText"/>
                <w:rFonts w:ascii="Times New Roman" w:hAnsi="Times New Roman"/>
                <w:sz w:val="24"/>
              </w:rPr>
              <w:t>te, el propósito de esta columna es vincular los datos de la contraparte i</w:t>
            </w:r>
            <w:r>
              <w:rPr>
                <w:rStyle w:val="FormatvorlageInstructionsTabelleText"/>
                <w:rFonts w:ascii="Times New Roman" w:hAnsi="Times New Roman"/>
                <w:sz w:val="24"/>
              </w:rPr>
              <w:t>n</w:t>
            </w:r>
            <w:r>
              <w:rPr>
                <w:rStyle w:val="FormatvorlageInstructionsTabelleText"/>
                <w:rFonts w:ascii="Times New Roman" w:hAnsi="Times New Roman"/>
                <w:sz w:val="24"/>
              </w:rPr>
              <w:t>cluidos en C 27.00 con las exposiciones comunicadas en C 28.00 a C 31.00. No se indicará el código del grupo de clientes vinculados entre sí a menos que el sistema nacional de información proporcione un código único con respecto a dicho grupo. Los códigos se utilizarán de manera uniforme a lo largo del tiempo.</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composición del código dependerá del sistema nacional de información, salvo que se disponga en la Unión de una codificación uniforme.</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Nombre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nombre será el del grupo cuando se notifique un grupo de clientes vinc</w:t>
            </w:r>
            <w:r>
              <w:rPr>
                <w:rStyle w:val="FormatvorlageInstructionsTabelleText"/>
                <w:rFonts w:ascii="Times New Roman" w:hAnsi="Times New Roman"/>
                <w:sz w:val="24"/>
              </w:rPr>
              <w:t>u</w:t>
            </w:r>
            <w:r>
              <w:rPr>
                <w:rStyle w:val="FormatvorlageInstructionsTabelleText"/>
                <w:rFonts w:ascii="Times New Roman" w:hAnsi="Times New Roman"/>
                <w:sz w:val="24"/>
              </w:rPr>
              <w:t>lados entre sí. En los demás casos, el nombre será el de la contraparte ind</w:t>
            </w:r>
            <w:r>
              <w:rPr>
                <w:rStyle w:val="FormatvorlageInstructionsTabelleText"/>
                <w:rFonts w:ascii="Times New Roman" w:hAnsi="Times New Roman"/>
                <w:sz w:val="24"/>
              </w:rPr>
              <w:t>i</w:t>
            </w:r>
            <w:r>
              <w:rPr>
                <w:rStyle w:val="FormatvorlageInstructionsTabelleText"/>
                <w:rFonts w:ascii="Times New Roman" w:hAnsi="Times New Roman"/>
                <w:sz w:val="24"/>
              </w:rPr>
              <w:t>vidual.</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Para un grupo de clientes vinculados entre sí, el nombre que se comunicará será el de la sociedad matriz o, cuando el grupo de clientes vinculados entre sí no tenga una sociedad matriz, el nombre comercial del grupo.</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LEI</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Código de identificación de entidades jurídicas de la contraparte.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Residencia de la contraparte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usará el código ISO 3166-1-alfa-2 del país de constitución de la contr</w:t>
            </w:r>
            <w:r>
              <w:rPr>
                <w:rStyle w:val="FormatvorlageInstructionsTabelleText"/>
                <w:rFonts w:ascii="Times New Roman" w:hAnsi="Times New Roman"/>
                <w:sz w:val="24"/>
              </w:rPr>
              <w:t>a</w:t>
            </w:r>
            <w:r>
              <w:rPr>
                <w:rStyle w:val="FormatvorlageInstructionsTabelleText"/>
                <w:rFonts w:ascii="Times New Roman" w:hAnsi="Times New Roman"/>
                <w:sz w:val="24"/>
              </w:rPr>
              <w:t>parte (incluidos los pseudocódigos ISO para las organizaciones internacion</w:t>
            </w:r>
            <w:r>
              <w:rPr>
                <w:rStyle w:val="FormatvorlageInstructionsTabelleText"/>
                <w:rFonts w:ascii="Times New Roman" w:hAnsi="Times New Roman"/>
                <w:sz w:val="24"/>
              </w:rPr>
              <w:t>a</w:t>
            </w:r>
            <w:r>
              <w:rPr>
                <w:rStyle w:val="FormatvorlageInstructionsTabelleText"/>
                <w:rFonts w:ascii="Times New Roman" w:hAnsi="Times New Roman"/>
                <w:sz w:val="24"/>
              </w:rPr>
              <w:t>les, disponibles en la última edición del «Vademécum de la balanza de p</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gos» de Eurostat).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los grupos de clientes vinculados entre sí no se comunicará la reside</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cia.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Sector de la contraparte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asignará un sector a cada contraparte sobre la base de las clases de sect</w:t>
            </w:r>
            <w:r>
              <w:rPr>
                <w:rStyle w:val="FormatvorlageInstructionsTabelleText"/>
                <w:rFonts w:ascii="Times New Roman" w:hAnsi="Times New Roman"/>
                <w:sz w:val="24"/>
              </w:rPr>
              <w:t>o</w:t>
            </w:r>
            <w:r>
              <w:rPr>
                <w:rStyle w:val="FormatvorlageInstructionsTabelleText"/>
                <w:rFonts w:ascii="Times New Roman" w:hAnsi="Times New Roman"/>
                <w:sz w:val="24"/>
              </w:rPr>
              <w:t>res económicos de FINREP:</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bancos centrales;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administraciones públicas;</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entidades de crédito;</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empresas de inversión, tal como se definen en el artículo 4, apartado 1, punto 2, del RRC;</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otras sociedades financieras (excepto las empresas de inversión);</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sociedades no financieras;</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hogares.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Para los grupos de clientes vinculados entre sí no se comunicará el sector.</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NACE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el sector económico, se utilizarán los códigos NACE (Nomenclatura e</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tadística de las actividades económicas de la Unión Europea).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Esta columna solo se aplicará a las contrapartes «Otras sociedades financi</w:t>
            </w:r>
            <w:r>
              <w:rPr>
                <w:rStyle w:val="FormatvorlageInstructionsTabelleText"/>
                <w:rFonts w:ascii="Times New Roman" w:hAnsi="Times New Roman"/>
                <w:sz w:val="24"/>
              </w:rPr>
              <w:t>e</w:t>
            </w:r>
            <w:r>
              <w:rPr>
                <w:rStyle w:val="FormatvorlageInstructionsTabelleText"/>
                <w:rFonts w:ascii="Times New Roman" w:hAnsi="Times New Roman"/>
                <w:sz w:val="24"/>
              </w:rPr>
              <w:t>ras» y «Sociedades no financieras».  Los códigos NACE se utilizarán para las «Sociedades no financieras» con un solo nivel de detalle (por ejemplo, «F – Construcción») y para las «Otras sociedades financieras», con dos niv</w:t>
            </w:r>
            <w:r>
              <w:rPr>
                <w:rStyle w:val="FormatvorlageInstructionsTabelleText"/>
                <w:rFonts w:ascii="Times New Roman" w:hAnsi="Times New Roman"/>
                <w:sz w:val="24"/>
              </w:rPr>
              <w:t>e</w:t>
            </w:r>
            <w:r>
              <w:rPr>
                <w:rStyle w:val="FormatvorlageInstructionsTabelleText"/>
                <w:rFonts w:ascii="Times New Roman" w:hAnsi="Times New Roman"/>
                <w:sz w:val="24"/>
              </w:rPr>
              <w:t>les de detalle, que ofrecen información separada sobre las actividades de s</w:t>
            </w:r>
            <w:r>
              <w:rPr>
                <w:rStyle w:val="FormatvorlageInstructionsTabelleText"/>
                <w:rFonts w:ascii="Times New Roman" w:hAnsi="Times New Roman"/>
                <w:sz w:val="24"/>
              </w:rPr>
              <w:t>e</w:t>
            </w:r>
            <w:r>
              <w:rPr>
                <w:rStyle w:val="FormatvorlageInstructionsTabelleText"/>
                <w:rFonts w:ascii="Times New Roman" w:hAnsi="Times New Roman"/>
                <w:sz w:val="24"/>
              </w:rPr>
              <w:t>guro (por ejemplo, «K65 - Seguros, reaseguros y planes de pensiones, e</w:t>
            </w:r>
            <w:r>
              <w:rPr>
                <w:rStyle w:val="FormatvorlageInstructionsTabelleText"/>
                <w:rFonts w:ascii="Times New Roman" w:hAnsi="Times New Roman"/>
                <w:sz w:val="24"/>
              </w:rPr>
              <w:t>x</w:t>
            </w:r>
            <w:r>
              <w:rPr>
                <w:rStyle w:val="FormatvorlageInstructionsTabelleText"/>
                <w:rFonts w:ascii="Times New Roman" w:hAnsi="Times New Roman"/>
                <w:sz w:val="24"/>
              </w:rPr>
              <w:t xml:space="preserve">cepto la seguridad social obligatoria»).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sectores económicos «Otras sociedades financieras» y «Sociedades no financieras» se clasificarán sobre la base del desglose de las contrapartes s</w:t>
            </w:r>
            <w:r>
              <w:rPr>
                <w:rStyle w:val="FormatvorlageInstructionsTabelleText"/>
                <w:rFonts w:ascii="Times New Roman" w:hAnsi="Times New Roman"/>
                <w:sz w:val="24"/>
              </w:rPr>
              <w:t>e</w:t>
            </w:r>
            <w:r>
              <w:rPr>
                <w:rStyle w:val="FormatvorlageInstructionsTabelleText"/>
                <w:rFonts w:ascii="Times New Roman" w:hAnsi="Times New Roman"/>
                <w:sz w:val="24"/>
              </w:rPr>
              <w:t>gún FINREP.</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los grupos de clientes vinculados entre sí no se comunicará el código NACE.</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contraparte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 xml:space="preserve">Artículo 394, apartado 2, del RRC. </w:t>
            </w:r>
            <w:r>
              <w:rPr>
                <w:i/>
              </w:rPr>
              <w:t xml:space="preserve"> </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tipo de contraparte de las diez mayores exposiciones frente a entidades y las diez mayores exposiciones frente a entes del sector financiero no regul</w:t>
            </w:r>
            <w:r>
              <w:rPr>
                <w:rStyle w:val="FormatvorlageInstructionsTabelleText"/>
                <w:rFonts w:ascii="Times New Roman" w:hAnsi="Times New Roman"/>
                <w:sz w:val="24"/>
              </w:rPr>
              <w:t>a</w:t>
            </w:r>
            <w:r>
              <w:rPr>
                <w:rStyle w:val="FormatvorlageInstructionsTabelleText"/>
                <w:rFonts w:ascii="Times New Roman" w:hAnsi="Times New Roman"/>
                <w:sz w:val="24"/>
              </w:rPr>
              <w:t xml:space="preserve">dos se especificará utilizando «I» para las entidades y «U» para los entes del sector financiero no regulados.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3915034"/>
      <w:r>
        <w:rPr>
          <w:rFonts w:ascii="Times New Roman" w:hAnsi="Times New Roman"/>
          <w:b/>
          <w:sz w:val="24"/>
          <w:u w:val="none"/>
        </w:rPr>
        <w:t>C 28.00 - Exposiciones de la cartera de negociación y de la cartera de inversión (LE2)</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3915035"/>
      <w:r>
        <w:rPr>
          <w:rFonts w:ascii="Times New Roman" w:hAnsi="Times New Roman"/>
          <w:sz w:val="24"/>
        </w:rPr>
        <w:t>Instrucciones relativas a columnas concretas</w:t>
      </w:r>
      <w:bookmarkEnd w:id="30"/>
      <w:bookmarkEnd w:id="31"/>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Columna</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Cuando se trate de un grupo de clientes vinculados entre sí, y en el supuesto de que se disponga de un código único a nivel nacional, se indicará este c</w:t>
            </w:r>
            <w:r>
              <w:rPr>
                <w:rStyle w:val="FormatvorlageInstructionsTabelleText"/>
                <w:rFonts w:ascii="Times New Roman" w:hAnsi="Times New Roman"/>
                <w:sz w:val="24"/>
              </w:rPr>
              <w:t>ó</w:t>
            </w:r>
            <w:r>
              <w:rPr>
                <w:rStyle w:val="FormatvorlageInstructionsTabelleText"/>
                <w:rFonts w:ascii="Times New Roman" w:hAnsi="Times New Roman"/>
                <w:sz w:val="24"/>
              </w:rPr>
              <w:t>digo como código de dicho grupo. Si no existe un código único a nivel n</w:t>
            </w:r>
            <w:r>
              <w:rPr>
                <w:rStyle w:val="FormatvorlageInstructionsTabelleText"/>
                <w:rFonts w:ascii="Times New Roman" w:hAnsi="Times New Roman"/>
                <w:sz w:val="24"/>
              </w:rPr>
              <w:t>a</w:t>
            </w:r>
            <w:r>
              <w:rPr>
                <w:rStyle w:val="FormatvorlageInstructionsTabelleText"/>
                <w:rFonts w:ascii="Times New Roman" w:hAnsi="Times New Roman"/>
                <w:sz w:val="24"/>
              </w:rPr>
              <w:t>cional, el código a indicar será el de la sociedad matriz que figure en C 27.00.</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Cuando el grupo de clientes vinculados entre sí no tenga una sociedad m</w:t>
            </w:r>
            <w:r>
              <w:rPr>
                <w:rStyle w:val="FormatvorlageInstructionsTabelleText"/>
                <w:rFonts w:ascii="Times New Roman" w:hAnsi="Times New Roman"/>
                <w:sz w:val="24"/>
              </w:rPr>
              <w:t>a</w:t>
            </w:r>
            <w:r>
              <w:rPr>
                <w:rStyle w:val="FormatvorlageInstructionsTabelleText"/>
                <w:rFonts w:ascii="Times New Roman" w:hAnsi="Times New Roman"/>
                <w:sz w:val="24"/>
              </w:rPr>
              <w:t>triz, el código que se comunicará será el del ente individual que sea consid</w:t>
            </w:r>
            <w:r>
              <w:rPr>
                <w:rStyle w:val="FormatvorlageInstructionsTabelleText"/>
                <w:rFonts w:ascii="Times New Roman" w:hAnsi="Times New Roman"/>
                <w:sz w:val="24"/>
              </w:rPr>
              <w:t>e</w:t>
            </w:r>
            <w:r>
              <w:rPr>
                <w:rStyle w:val="FormatvorlageInstructionsTabelleText"/>
                <w:rFonts w:ascii="Times New Roman" w:hAnsi="Times New Roman"/>
                <w:sz w:val="24"/>
              </w:rPr>
              <w:t>rado por la entidad el más significativo dentro del grupo. En todos los demás casos, el código corresponderá a la contraparte individual.</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códigos se utilizarán de manera uniforme a lo largo del tiempo.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composición del código dependerá del sistema nacional de información, salvo que se disponga en la UE de una codificación uniforme.</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Grupo o cliente individual</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entidad indicará «1» para comunicar las exposiciones frente a clientes i</w:t>
            </w:r>
            <w:r>
              <w:rPr>
                <w:rStyle w:val="FormatvorlageInstructionsTabelleText"/>
                <w:rFonts w:ascii="Times New Roman" w:hAnsi="Times New Roman"/>
                <w:sz w:val="24"/>
              </w:rPr>
              <w:t>n</w:t>
            </w:r>
            <w:r>
              <w:rPr>
                <w:rStyle w:val="FormatvorlageInstructionsTabelleText"/>
                <w:rFonts w:ascii="Times New Roman" w:hAnsi="Times New Roman"/>
                <w:sz w:val="24"/>
              </w:rPr>
              <w:t>dividuales y «2» para comunicar las exposiciones frente a grupos de clientes vinculados entre sí.</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Operaciones en las que existe una exposición frente a activos subyace</w:t>
            </w:r>
            <w:r>
              <w:rPr>
                <w:rStyle w:val="InstructionsTabelleberschrift"/>
                <w:rFonts w:ascii="Times New Roman" w:hAnsi="Times New Roman"/>
                <w:sz w:val="24"/>
              </w:rPr>
              <w:t>n</w:t>
            </w:r>
            <w:r>
              <w:rPr>
                <w:rStyle w:val="InstructionsTabelleberschrift"/>
                <w:rFonts w:ascii="Times New Roman" w:hAnsi="Times New Roman"/>
                <w:sz w:val="24"/>
              </w:rPr>
              <w:t xml:space="preserve">tes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390, apartado 7, del RRC.</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 conformidad con las especificaciones técnicas adicionales de las autor</w:t>
            </w:r>
            <w:r>
              <w:rPr>
                <w:rStyle w:val="FormatvorlageInstructionsTabelleText"/>
                <w:rFonts w:ascii="Times New Roman" w:hAnsi="Times New Roman"/>
                <w:sz w:val="24"/>
              </w:rPr>
              <w:t>i</w:t>
            </w:r>
            <w:r>
              <w:rPr>
                <w:rStyle w:val="FormatvorlageInstructionsTabelleText"/>
                <w:rFonts w:ascii="Times New Roman" w:hAnsi="Times New Roman"/>
                <w:sz w:val="24"/>
              </w:rPr>
              <w:t>dades nacionales competentes, cuando la entidad esté expuesta a la contr</w:t>
            </w:r>
            <w:r>
              <w:rPr>
                <w:rStyle w:val="FormatvorlageInstructionsTabelleText"/>
                <w:rFonts w:ascii="Times New Roman" w:hAnsi="Times New Roman"/>
                <w:sz w:val="24"/>
              </w:rPr>
              <w:t>a</w:t>
            </w:r>
            <w:r>
              <w:rPr>
                <w:rStyle w:val="FormatvorlageInstructionsTabelleText"/>
                <w:rFonts w:ascii="Times New Roman" w:hAnsi="Times New Roman"/>
                <w:sz w:val="24"/>
              </w:rPr>
              <w:t>parte comunicada en el marco de una operación en la que exista una expos</w:t>
            </w:r>
            <w:r>
              <w:rPr>
                <w:rStyle w:val="FormatvorlageInstructionsTabelleText"/>
                <w:rFonts w:ascii="Times New Roman" w:hAnsi="Times New Roman"/>
                <w:sz w:val="24"/>
              </w:rPr>
              <w:t>i</w:t>
            </w:r>
            <w:r>
              <w:rPr>
                <w:rStyle w:val="FormatvorlageInstructionsTabelleText"/>
                <w:rFonts w:ascii="Times New Roman" w:hAnsi="Times New Roman"/>
                <w:sz w:val="24"/>
              </w:rPr>
              <w:t xml:space="preserve">ción frente a activos subyacentes, se indicará «Sí»; de otro modo, se indicará «No».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originales</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24, 389, 390 y 392 del</w:t>
            </w:r>
            <w:r>
              <w:rPr>
                <w:rStyle w:val="FormatvorlageInstructionsTabelleText"/>
                <w:rFonts w:ascii="Times New Roman" w:hAnsi="Times New Roman"/>
                <w:sz w:val="24"/>
              </w:rPr>
              <w:t>RRC</w:t>
            </w:r>
            <w:r>
              <w:rPr>
                <w:rStyle w:val="InstructionsTabelleberschrift"/>
                <w:rFonts w:ascii="Times New Roman" w:hAnsi="Times New Roman"/>
                <w:b w:val="0"/>
                <w:sz w:val="24"/>
                <w:u w:val="none"/>
              </w:rPr>
              <w:t>.</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entidad comunicará en este bloque de columnas las exposiciones origin</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les, tanto las directas como las indirectas y las adicionales que se deriven de operaciones en las que exista una exposición frente a activos subyacentes.</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De conformidad con el artículo 389 del</w:t>
            </w:r>
            <w:r>
              <w:rPr>
                <w:rStyle w:val="FormatvorlageInstructionsTabelleText"/>
                <w:rFonts w:ascii="Times New Roman" w:hAnsi="Times New Roman"/>
                <w:sz w:val="24"/>
              </w:rPr>
              <w:t xml:space="preserve"> RRC</w:t>
            </w:r>
            <w:r>
              <w:t>, los activos y exposiciones fu</w:t>
            </w:r>
            <w:r>
              <w:t>e</w:t>
            </w:r>
            <w:r>
              <w:t>ra de balance se utilizarán sin aplicación de ponderaciones de riesgo ni gr</w:t>
            </w:r>
            <w:r>
              <w:t>a</w:t>
            </w:r>
            <w:r>
              <w:t xml:space="preserve">dos de riesgo. En concreto, no se aplicarán factores de conversión de crédito a las exposiciones fuera de balance.  </w:t>
            </w:r>
          </w:p>
          <w:p w:rsidR="00B0191A" w:rsidRPr="0039317F" w:rsidRDefault="00B0191A" w:rsidP="0039317F">
            <w:pPr>
              <w:pStyle w:val="InstructionsText"/>
            </w:pPr>
          </w:p>
          <w:p w:rsidR="00B0191A" w:rsidRPr="0039317F" w:rsidRDefault="00BB3751" w:rsidP="0039317F">
            <w:pPr>
              <w:pStyle w:val="InstructionsText"/>
            </w:pPr>
            <w:r>
              <w:t>Estas columnas contendrán la exposición original, es decir, el valor de exp</w:t>
            </w:r>
            <w:r>
              <w:t>o</w:t>
            </w:r>
            <w:r>
              <w:t>sición sin tener en cuenta los ajustes de valor y provisiones, que se deducirán en la columna 210.</w:t>
            </w:r>
          </w:p>
          <w:p w:rsidR="00B0191A" w:rsidRPr="0039317F" w:rsidRDefault="00B0191A" w:rsidP="0039317F">
            <w:pPr>
              <w:pStyle w:val="InstructionsText"/>
            </w:pPr>
          </w:p>
          <w:p w:rsidR="00B0191A" w:rsidRPr="0039317F" w:rsidRDefault="00C92E09" w:rsidP="0039317F">
            <w:pPr>
              <w:pStyle w:val="InstructionsText"/>
            </w:pPr>
            <w:r>
              <w:t>La definición y el cálculo del valor de exposición se establecen en los artíc</w:t>
            </w:r>
            <w:r>
              <w:t>u</w:t>
            </w:r>
            <w:r>
              <w:t xml:space="preserve">los 389 y 390 del </w:t>
            </w:r>
            <w:r>
              <w:rPr>
                <w:rStyle w:val="FormatvorlageInstructionsTabelleText"/>
                <w:rFonts w:ascii="Times New Roman" w:hAnsi="Times New Roman"/>
                <w:sz w:val="24"/>
              </w:rPr>
              <w:t>RRC</w:t>
            </w:r>
            <w:r>
              <w:t>. La valoración de los activos y de las exposiciones fuera de balance se efectuará de conformidad con el marco contable aplic</w:t>
            </w:r>
            <w:r>
              <w:t>a</w:t>
            </w:r>
            <w:r>
              <w:t xml:space="preserve">ble a la entidad, con arreglo al artículo 24 del </w:t>
            </w:r>
            <w:r>
              <w:rPr>
                <w:rStyle w:val="FormatvorlageInstructionsTabelleText"/>
                <w:rFonts w:ascii="Times New Roman" w:hAnsi="Times New Roman"/>
                <w:sz w:val="24"/>
              </w:rPr>
              <w:t>RRC</w:t>
            </w:r>
            <w:r>
              <w:t>.</w:t>
            </w:r>
          </w:p>
          <w:p w:rsidR="00B0191A" w:rsidRPr="0039317F" w:rsidRDefault="00B0191A" w:rsidP="0039317F">
            <w:pPr>
              <w:pStyle w:val="InstructionsText"/>
            </w:pPr>
          </w:p>
          <w:p w:rsidR="00B0191A" w:rsidRPr="0039317F" w:rsidRDefault="00BB3751" w:rsidP="0039317F">
            <w:pPr>
              <w:pStyle w:val="InstructionsText"/>
            </w:pPr>
            <w:r>
              <w:t>Se incluirán en estas columnas las exposiciones deducidas de los fondos propios que no sean exposiciones con arreglo al artículo 390, apartado 6, l</w:t>
            </w:r>
            <w:r>
              <w:t>e</w:t>
            </w:r>
            <w:r>
              <w:t>tra e). Tales exposiciones se deducirán en la columna 200.</w:t>
            </w:r>
          </w:p>
          <w:p w:rsidR="00B0191A" w:rsidRPr="0039317F" w:rsidRDefault="00B0191A" w:rsidP="0039317F">
            <w:pPr>
              <w:pStyle w:val="InstructionsText"/>
            </w:pPr>
          </w:p>
          <w:p w:rsidR="00B0191A" w:rsidRPr="0039317F" w:rsidRDefault="00BB3751" w:rsidP="0039317F">
            <w:pPr>
              <w:pStyle w:val="InstructionsText"/>
            </w:pPr>
            <w:r>
              <w:t>No se incluirán en estas columnas las exposiciones a que se refiere el artíc</w:t>
            </w:r>
            <w:r>
              <w:t>u</w:t>
            </w:r>
            <w:r>
              <w:t xml:space="preserve">lo 390, apartado 6, letras a) a d), del </w:t>
            </w:r>
            <w:r>
              <w:rPr>
                <w:rStyle w:val="FormatvorlageInstructionsTabelleText"/>
                <w:rFonts w:ascii="Times New Roman" w:hAnsi="Times New Roman"/>
                <w:sz w:val="24"/>
              </w:rPr>
              <w:t>RRC</w:t>
            </w:r>
            <w:r>
              <w:t xml:space="preserve">. </w:t>
            </w:r>
          </w:p>
          <w:p w:rsidR="00B0191A" w:rsidRPr="0039317F" w:rsidRDefault="00B0191A" w:rsidP="0039317F">
            <w:pPr>
              <w:pStyle w:val="InstructionsText"/>
            </w:pPr>
          </w:p>
          <w:p w:rsidR="00B0191A" w:rsidRPr="0039317F" w:rsidRDefault="00BB3751" w:rsidP="0039317F">
            <w:pPr>
              <w:pStyle w:val="InstructionsText"/>
              <w:rPr>
                <w:rFonts w:eastAsia="Arial"/>
              </w:rPr>
            </w:pPr>
            <w:r>
              <w:t>Las exposiciones originales incluirán los activos y exposiciones fuera de b</w:t>
            </w:r>
            <w:r>
              <w:t>a</w:t>
            </w:r>
            <w:r>
              <w:t xml:space="preserve">lance con arreglo al artículo 400 del </w:t>
            </w:r>
            <w:r>
              <w:rPr>
                <w:rStyle w:val="FormatvorlageInstructionsTabelleText"/>
                <w:rFonts w:ascii="Times New Roman" w:hAnsi="Times New Roman"/>
                <w:sz w:val="24"/>
              </w:rPr>
              <w:t>RRC</w:t>
            </w:r>
            <w:r>
              <w:t xml:space="preserve">. Las exenciones se deducirán, a efectos de lo dispuesto en el artículo 395, apartado 1, del </w:t>
            </w:r>
            <w:r>
              <w:rPr>
                <w:rStyle w:val="FormatvorlageInstructionsTabelleText"/>
                <w:rFonts w:ascii="Times New Roman" w:hAnsi="Times New Roman"/>
                <w:sz w:val="24"/>
              </w:rPr>
              <w:t>RRC</w:t>
            </w:r>
            <w:r>
              <w:t>, en la colu</w:t>
            </w:r>
            <w:r>
              <w:t>m</w:t>
            </w:r>
            <w:r>
              <w:t>na 320.</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Se incluirán tanto las exposiciones de la cartera de negociación como las de la cartera de inversión.</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Para el desglose de las exposiciones entre instrumentos financieros, en el c</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so de diferentes exposiciones que por aplicación de acuerdos de compens</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ción constituyan una sola exposición, se asignará esta última al instrumento financiero correspondiente al activo principal incluido en el acuerdo de compensación (véase además la introducción).</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original total</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entidad comunicará la suma de las exposiciones directas e indirectas, así como de las </w:t>
            </w:r>
            <w:r>
              <w:rPr>
                <w:rStyle w:val="FormatvorlageInstructionsTabelleText"/>
                <w:rFonts w:ascii="Times New Roman" w:hAnsi="Times New Roman"/>
                <w:sz w:val="24"/>
              </w:rPr>
              <w:t>exposiciones adicionales derivadas de la exposición a operaci</w:t>
            </w:r>
            <w:r>
              <w:rPr>
                <w:rStyle w:val="FormatvorlageInstructionsTabelleText"/>
                <w:rFonts w:ascii="Times New Roman" w:hAnsi="Times New Roman"/>
                <w:sz w:val="24"/>
              </w:rPr>
              <w:t>o</w:t>
            </w:r>
            <w:r>
              <w:rPr>
                <w:rStyle w:val="FormatvorlageInstructionsTabelleText"/>
                <w:rFonts w:ascii="Times New Roman" w:hAnsi="Times New Roman"/>
                <w:sz w:val="24"/>
              </w:rPr>
              <w:t>nes en las que exista una exposición frente a activos subyacentes</w:t>
            </w:r>
            <w:r>
              <w:rPr>
                <w:rStyle w:val="InstructionsTabelleberschrift"/>
                <w:rFonts w:ascii="Times New Roman" w:hAnsi="Times New Roman"/>
                <w:b w:val="0"/>
                <w:sz w:val="24"/>
                <w:u w:val="none"/>
              </w:rPr>
              <w:t>.</w:t>
            </w:r>
            <w: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 cual: con impago</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178 del RRC.</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t>La entidad comunicará la parte de la exposición original total correspondie</w:t>
            </w:r>
            <w:r>
              <w:t>n</w:t>
            </w:r>
            <w:r>
              <w:t>te a exposiciones con impago.</w:t>
            </w:r>
            <w:r>
              <w:rPr>
                <w:rStyle w:val="FormatvorlageInstructionsTabelleText"/>
                <w:rFonts w:ascii="Times New Roman" w:hAnsi="Times New Roman"/>
                <w:sz w:val="24"/>
              </w:rPr>
              <w:t xml:space="preserve">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directas</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entenderá por exposiciones directas las exposiciones referidas al «prest</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tario inmediato».</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deuda</w:t>
            </w:r>
          </w:p>
          <w:p w:rsidR="00B0191A" w:rsidRPr="00384ADB" w:rsidRDefault="00B0191A" w:rsidP="0039317F">
            <w:pPr>
              <w:pStyle w:val="InstructionsText"/>
            </w:pPr>
          </w:p>
          <w:p w:rsidR="00B0191A" w:rsidRPr="0039317F" w:rsidRDefault="00193DDC" w:rsidP="0039317F">
            <w:pPr>
              <w:pStyle w:val="InstructionsText"/>
            </w:pPr>
            <w:r>
              <w:t>Reglamento (EU) n.º 1071/2013 («BCE/2013/33»), anexo II, parte 2, cu</w:t>
            </w:r>
            <w:r>
              <w:t>a</w:t>
            </w:r>
            <w:r>
              <w:t>dro, categorías 2 y 3.</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instrumentos de deuda incluirán los valores representativos de deuda y los préstamos y anticipos.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t>Los instrumentos incluidos en esta columna serán los calificados como «Préstamos con un vencimiento inicial de hasta un año/de más de un año y de hasta cinco años/de más de cinco años» o como «Valores representativos de deuda», según el Reglamento BCE/2013/33.</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t>Se incluirán en esta columna las operaciones de recompra, las operaciones de préstamo o de toma en préstamo de valores o de materias primas (oper</w:t>
            </w:r>
            <w:r>
              <w:t>a</w:t>
            </w:r>
            <w:r>
              <w:t>ciones de financiación de valores) y las operaciones de préstamo con repos</w:t>
            </w:r>
            <w:r>
              <w:t>i</w:t>
            </w:r>
            <w:r>
              <w:t>ción del margen.</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Reglamento BCE/2013/33, anexo II, parte 2, cuadro, categorías 4 y 5.</w:t>
            </w:r>
          </w:p>
          <w:p w:rsidR="00B0191A" w:rsidRPr="0039317F" w:rsidRDefault="00B0191A" w:rsidP="0039317F">
            <w:pPr>
              <w:pStyle w:val="InstructionsText"/>
            </w:pPr>
          </w:p>
          <w:p w:rsidR="00B0191A" w:rsidRPr="0039317F" w:rsidRDefault="00BB3751" w:rsidP="0039317F">
            <w:pPr>
              <w:pStyle w:val="InstructionsText"/>
            </w:pPr>
            <w:r>
              <w:t>Los instrumentos incluidos en esta columna serán los calificados como «Pa</w:t>
            </w:r>
            <w:r>
              <w:t>r</w:t>
            </w:r>
            <w:r>
              <w:t>ticipaciones en el capital» o como «Participaciones en fondos de inversión» en el Reglamento BCE/2013/33.</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Derivados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t>Artículo 272, apartado 2, y anexo II del RRC.</w:t>
            </w:r>
          </w:p>
          <w:p w:rsidR="00B0191A" w:rsidRPr="0039317F" w:rsidRDefault="00B0191A" w:rsidP="000F0ADE">
            <w:pPr>
              <w:pStyle w:val="InstructionsText"/>
            </w:pPr>
          </w:p>
          <w:p w:rsidR="00B0191A" w:rsidRPr="0039317F" w:rsidRDefault="009E58B0">
            <w:pPr>
              <w:pStyle w:val="InstructionsText"/>
            </w:pPr>
            <w:r>
              <w:t xml:space="preserve">Se comunicarán en esta columna los derivados enumerados en el anexo II del RRC y las operaciones con liquidación diferida definidas en el artículo 272, apartado 2, del RRC. </w:t>
            </w:r>
          </w:p>
          <w:p w:rsidR="00B0191A" w:rsidRPr="0039317F" w:rsidRDefault="00B0191A">
            <w:pPr>
              <w:pStyle w:val="InstructionsText"/>
            </w:pPr>
          </w:p>
          <w:p w:rsidR="00B0191A" w:rsidRPr="0039317F" w:rsidRDefault="00BB3751">
            <w:pPr>
              <w:pStyle w:val="InstructionsText"/>
            </w:pPr>
            <w:r>
              <w:t>Se incluirán en esta columna los derivados de crédito que estén sujetos a riesgo de contraparte.</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fuera de balance</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Anexo I del RRC.</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El valor que se comunicará en estas columnas será el valor nominal antes de cualquier reducción de los ajustes por riesgo de crédito específico y sin apl</w:t>
            </w:r>
            <w:r>
              <w:rPr>
                <w:rFonts w:ascii="Times New Roman" w:hAnsi="Times New Roman"/>
                <w:sz w:val="24"/>
              </w:rPr>
              <w:t>i</w:t>
            </w:r>
            <w:r>
              <w:rPr>
                <w:rFonts w:ascii="Times New Roman" w:hAnsi="Times New Roman"/>
                <w:sz w:val="24"/>
              </w:rPr>
              <w:t>cación de factores de conversión.</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Compromisos de préstamo</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punto 1, letras c) y h), punto 2, letra b), inciso ii), punto 3, letra b), inciso i), y punto 4, letra a), del RRC. </w:t>
            </w:r>
          </w:p>
          <w:p w:rsidR="00B0191A" w:rsidRPr="0039317F" w:rsidRDefault="00B0191A">
            <w:pPr>
              <w:pStyle w:val="InstructionsText"/>
            </w:pPr>
          </w:p>
          <w:p w:rsidR="00B0191A" w:rsidRPr="0039317F" w:rsidRDefault="00BB3751">
            <w:pPr>
              <w:pStyle w:val="InstructionsText"/>
            </w:pPr>
            <w:r>
              <w:t>Los compromisos de préstamo son compromisos firmes de concesión de un crédito en condiciones predeterminadas, salvo los que sean derivados, po</w:t>
            </w:r>
            <w:r>
              <w:t>r</w:t>
            </w:r>
            <w:r>
              <w:t xml:space="preserve">que estos pueden liquidarse en efectivo o mediante la entrega o la emisión de otro instrumento financiero.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financieras</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punto 1, letras a), b) y f), del RRC.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garantías financieras son contratos que obligan al emisor a efectuar d</w:t>
            </w:r>
            <w:r>
              <w:rPr>
                <w:rStyle w:val="FormatvorlageInstructionsTabelleText"/>
                <w:rFonts w:ascii="Times New Roman" w:hAnsi="Times New Roman"/>
                <w:sz w:val="24"/>
              </w:rPr>
              <w:t>e</w:t>
            </w:r>
            <w:r>
              <w:rPr>
                <w:rStyle w:val="FormatvorlageInstructionsTabelleText"/>
                <w:rFonts w:ascii="Times New Roman" w:hAnsi="Times New Roman"/>
                <w:sz w:val="24"/>
              </w:rPr>
              <w:t>terminados pagos para reembolsar al titular las pérdidas que sufra a causa del impago por un determinado deudor dentro del plazo establecido en las condiciones originales o modificadas de un instrumento de deuda. Se com</w:t>
            </w:r>
            <w:r>
              <w:rPr>
                <w:rStyle w:val="FormatvorlageInstructionsTabelleText"/>
                <w:rFonts w:ascii="Times New Roman" w:hAnsi="Times New Roman"/>
                <w:sz w:val="24"/>
              </w:rPr>
              <w:t>u</w:t>
            </w:r>
            <w:r>
              <w:rPr>
                <w:rStyle w:val="FormatvorlageInstructionsTabelleText"/>
                <w:rFonts w:ascii="Times New Roman" w:hAnsi="Times New Roman"/>
                <w:sz w:val="24"/>
              </w:rPr>
              <w:t>nicarán en esta columna los derivados de crédito que no se incluyan en la c</w:t>
            </w:r>
            <w:r>
              <w:rPr>
                <w:rStyle w:val="FormatvorlageInstructionsTabelleText"/>
                <w:rFonts w:ascii="Times New Roman" w:hAnsi="Times New Roman"/>
                <w:sz w:val="24"/>
              </w:rPr>
              <w:t>o</w:t>
            </w:r>
            <w:r>
              <w:rPr>
                <w:rStyle w:val="FormatvorlageInstructionsTabelleText"/>
                <w:rFonts w:ascii="Times New Roman" w:hAnsi="Times New Roman"/>
                <w:sz w:val="24"/>
              </w:rPr>
              <w:t>lumna «Derivados».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compromisos</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Son otros compromisos las partidas del anexo I del RRC no incluidas en las categorías anteriores. Se comunicará en esta columna el valor de exposición de una única obligación jurídica surgida de un acuerdo de compensación contractual entre productos con una contraparte de la entidad declarante.</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indirectas</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t>Artículo 403 del RRC.</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t>De conformidad con el artículo 403 del RRC, una entidad de crédito podrá utilizar el enfoque alternativo cuando una exposición frente a un cliente esté garantizada por un tercero o por garantías reales emitidas por un tercero.</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entidad comunicará en este bloque de columnas los importes de las exp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 xml:space="preserve">siciones directas que se reasignen al garante o al emisor de las garantías </w:t>
            </w:r>
            <w:r>
              <w:rPr>
                <w:rStyle w:val="InstructionsTabelleberschrift"/>
                <w:rFonts w:ascii="Times New Roman" w:hAnsi="Times New Roman"/>
                <w:b w:val="0"/>
                <w:sz w:val="24"/>
                <w:u w:val="none"/>
              </w:rPr>
              <w:lastRenderedPageBreak/>
              <w:t>siempre que al último se le asigne una ponderación del riesgo igual o inf</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rior a la que se aplicaría al tercero en virtud de la parte tercera, título II, cap</w:t>
            </w:r>
            <w:r>
              <w:rPr>
                <w:rStyle w:val="InstructionsTabelleberschrift"/>
                <w:rFonts w:ascii="Times New Roman" w:hAnsi="Times New Roman"/>
                <w:b w:val="0"/>
                <w:sz w:val="24"/>
                <w:u w:val="none"/>
              </w:rPr>
              <w:t>í</w:t>
            </w:r>
            <w:r>
              <w:rPr>
                <w:rStyle w:val="InstructionsTabelleberschrift"/>
                <w:rFonts w:ascii="Times New Roman" w:hAnsi="Times New Roman"/>
                <w:b w:val="0"/>
                <w:sz w:val="24"/>
                <w:u w:val="none"/>
              </w:rPr>
              <w:t xml:space="preserve">tulo 2, del RRC. </w:t>
            </w:r>
            <w:r>
              <w:t>La exposición original de referencia protegida (exposición directa) se deducirá de la exposición frente al prestatario original en las c</w:t>
            </w:r>
            <w:r>
              <w:t>o</w:t>
            </w:r>
            <w:r>
              <w:t>lumnas de «Técnicas admisibles de reducción del riesgo de crédito».</w:t>
            </w:r>
            <w:r>
              <w:rPr>
                <w:rStyle w:val="InstructionsTabelleberschrift"/>
                <w:rFonts w:ascii="Times New Roman" w:hAnsi="Times New Roman"/>
                <w:b w:val="0"/>
                <w:sz w:val="24"/>
                <w:u w:val="none"/>
              </w:rPr>
              <w:t xml:space="preserve"> La e</w:t>
            </w:r>
            <w:r>
              <w:rPr>
                <w:rStyle w:val="InstructionsTabelleberschrift"/>
                <w:rFonts w:ascii="Times New Roman" w:hAnsi="Times New Roman"/>
                <w:b w:val="0"/>
                <w:sz w:val="24"/>
                <w:u w:val="none"/>
              </w:rPr>
              <w:t>x</w:t>
            </w:r>
            <w:r>
              <w:rPr>
                <w:rStyle w:val="InstructionsTabelleberschrift"/>
                <w:rFonts w:ascii="Times New Roman" w:hAnsi="Times New Roman"/>
                <w:b w:val="0"/>
                <w:sz w:val="24"/>
                <w:u w:val="none"/>
              </w:rPr>
              <w:t>posición indirecta aumentará la exposición frente al garante o al emisor de las garantías por el efecto de sustitución. Esto mismo se aplicará a las gara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tías concedidas dentro de un grupo de clientes vinculados entre sí.</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entidad comunicará el importe original de las exposiciones indirectas en la columna correspondiente al tipo de exposición directa garantizada, de forma que, cuando la exposición directa garantizada sea un instrumento de deuda, el importe de la «Exposición indirecta» asignado al garante se com</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nicará en la columna «Instrumentos de deuda».</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t>También se comunicarán en este bloque de columnas las exposiciones resu</w:t>
            </w:r>
            <w:r>
              <w:t>l</w:t>
            </w:r>
            <w:r>
              <w:t>tantes de bonos vinculados a crédito, de conformidad con el artículo 399 del RRC.</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deuda</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060.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Véase la columna 070.</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fuera de balance</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El valor de estas columnas será el valor nominal antes de cualquier redu</w:t>
            </w:r>
            <w:r>
              <w:rPr>
                <w:rFonts w:ascii="Times New Roman" w:hAnsi="Times New Roman"/>
                <w:sz w:val="24"/>
              </w:rPr>
              <w:t>c</w:t>
            </w:r>
            <w:r>
              <w:rPr>
                <w:rFonts w:ascii="Times New Roman" w:hAnsi="Times New Roman"/>
                <w:sz w:val="24"/>
              </w:rPr>
              <w:t>ción de los ajustes por riesgo de crédito específico y sin aplicación de fact</w:t>
            </w:r>
            <w:r>
              <w:rPr>
                <w:rFonts w:ascii="Times New Roman" w:hAnsi="Times New Roman"/>
                <w:sz w:val="24"/>
              </w:rPr>
              <w:t>o</w:t>
            </w:r>
            <w:r>
              <w:rPr>
                <w:rFonts w:ascii="Times New Roman" w:hAnsi="Times New Roman"/>
                <w:sz w:val="24"/>
              </w:rPr>
              <w:t>res de conversión.</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Compromisos de préstamo</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financieras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compromisos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adicionales resultantes de operaciones en las que existe una exposición frente a activos subyacentes</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390, apartado 7, del RRC.</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Exposiciones adicionales resultantes de operaciones en las que exista una exposición frente a activos subyacentes.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Ajustes de valor y provisiones</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Artículos 24, 34, 110 y 111 del RRC.</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Ajustes de valor y provisiones previstos en el marco contable correspondie</w:t>
            </w:r>
            <w:r>
              <w:rPr>
                <w:rStyle w:val="FormatvorlageInstructionsTabelleText"/>
                <w:rFonts w:ascii="Times New Roman" w:hAnsi="Times New Roman"/>
                <w:color w:val="auto"/>
                <w:sz w:val="24"/>
              </w:rPr>
              <w:t>n</w:t>
            </w:r>
            <w:r>
              <w:rPr>
                <w:rStyle w:val="FormatvorlageInstructionsTabelleText"/>
                <w:rFonts w:ascii="Times New Roman" w:hAnsi="Times New Roman"/>
                <w:color w:val="auto"/>
                <w:sz w:val="24"/>
              </w:rPr>
              <w:t>te (Directiva 86/635/CEE o Reglamento (CE) n.º 1606/2002) que afecten a la valoración de las exposiciones de conformidad con los artículos 24 y 110 del RRC.</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 xml:space="preserve">Se comunicarán en esta columna los ajustes de valor y provisiones contra la exposición bruta de la columna 040.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Exposiciones deducidas de los fondos propios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t>Artículo 390, apartado 6, letra e), del RRC.</w:t>
            </w:r>
            <w:r>
              <w:rPr>
                <w:rStyle w:val="FormatvorlageInstructionsTabelleText"/>
                <w:rFonts w:ascii="Times New Roman" w:hAnsi="Times New Roman"/>
                <w:sz w:val="24"/>
              </w:rPr>
              <w:t xml:space="preserve">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Se comunicarán las exposiciones deducidas de los fondos propios, que se 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cluirán en las diferentes columnas de la «Exposición original total».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de exposición antes de aplicar las exenciones y de la reducción del riesgo de crédito</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t>Artículo 394, apartado 1, letra b), del RRC.</w:t>
            </w:r>
          </w:p>
          <w:p w:rsidR="00BB3751" w:rsidRPr="00384ADB" w:rsidRDefault="00BB3751" w:rsidP="0039317F">
            <w:pPr>
              <w:pStyle w:val="InstructionsText"/>
            </w:pPr>
          </w:p>
          <w:p w:rsidR="00BB3751" w:rsidRPr="00384ADB" w:rsidRDefault="008A4511" w:rsidP="0039317F">
            <w:pPr>
              <w:pStyle w:val="InstructionsText"/>
            </w:pPr>
            <w:r>
              <w:t>En su caso, las entidades comunicarán el valor de exposición antes de tener en cuenta el efecto de la reducción del riesgo de crédito.</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rsidR="00BB3751" w:rsidRPr="0039317F" w:rsidRDefault="00BB3751" w:rsidP="0039317F">
            <w:pPr>
              <w:pStyle w:val="InstructionsText"/>
            </w:pPr>
          </w:p>
          <w:p w:rsidR="00BB3751" w:rsidRPr="0039317F" w:rsidRDefault="00BB3751" w:rsidP="0039317F">
            <w:pPr>
              <w:pStyle w:val="InstructionsText"/>
            </w:pPr>
            <w:r>
              <w:t>El valor de exposición que se comunicará en esta columna será el importe empleado para determinar si una exposición se considera gran exposición a tenor del artículo 392 del RRC.</w:t>
            </w:r>
          </w:p>
          <w:p w:rsidR="00B0191A" w:rsidRPr="0039317F" w:rsidRDefault="00B0191A" w:rsidP="000F0ADE">
            <w:pPr>
              <w:pStyle w:val="InstructionsText"/>
            </w:pPr>
          </w:p>
          <w:p w:rsidR="00B0191A" w:rsidRPr="0039317F" w:rsidRDefault="00BB3751">
            <w:pPr>
              <w:pStyle w:val="InstructionsText"/>
            </w:pPr>
            <w:r>
              <w:t>Ese importe incluirá la exposición original después de sustraer los ajustes de valor y provisiones y el importe de las exposiciones deducido de los fondos propios.</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 cual: cartera de inversión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de la cartera de inversión en la exposición total antes de aplicar las exenciones y de la reducción del riesgo de crédito.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capital admisible</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71, letra b), y artículo 395 del RRC.</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El importe que se comunicará será el porcentaje del valor de exposición a</w:t>
            </w:r>
            <w:r>
              <w:rPr>
                <w:rStyle w:val="FormatvorlageInstructionsTabelleText"/>
                <w:rFonts w:ascii="Times New Roman" w:hAnsi="Times New Roman"/>
                <w:sz w:val="24"/>
              </w:rPr>
              <w:t>n</w:t>
            </w:r>
            <w:r>
              <w:rPr>
                <w:rStyle w:val="FormatvorlageInstructionsTabelleText"/>
                <w:rFonts w:ascii="Times New Roman" w:hAnsi="Times New Roman"/>
                <w:sz w:val="24"/>
              </w:rPr>
              <w:t>tes de aplicar las exenciones y de la reducción del riesgo de crédito, en rel</w:t>
            </w:r>
            <w:r>
              <w:rPr>
                <w:rStyle w:val="FormatvorlageInstructionsTabelleText"/>
                <w:rFonts w:ascii="Times New Roman" w:hAnsi="Times New Roman"/>
                <w:sz w:val="24"/>
              </w:rPr>
              <w:t>a</w:t>
            </w:r>
            <w:r>
              <w:rPr>
                <w:rStyle w:val="FormatvorlageInstructionsTabelleText"/>
                <w:rFonts w:ascii="Times New Roman" w:hAnsi="Times New Roman"/>
                <w:sz w:val="24"/>
              </w:rPr>
              <w:t>ción con el capital admisible de la entidad, tal como se define este en el a</w:t>
            </w:r>
            <w:r>
              <w:rPr>
                <w:rStyle w:val="FormatvorlageInstructionsTabelleText"/>
                <w:rFonts w:ascii="Times New Roman" w:hAnsi="Times New Roman"/>
                <w:sz w:val="24"/>
              </w:rPr>
              <w:t>r</w:t>
            </w:r>
            <w:r>
              <w:rPr>
                <w:rStyle w:val="FormatvorlageInstructionsTabelleText"/>
                <w:rFonts w:ascii="Times New Roman" w:hAnsi="Times New Roman"/>
                <w:sz w:val="24"/>
              </w:rPr>
              <w:t>tículo 4, apartado 1, punto 71, letra b), del RRC.</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Técnicas admisibles de reducción del riesgo de crédito</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399 y 401 a 403 del RRC.</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Técnicas de reducción del riesgo de crédito, tal como se define en el artículo 4, apartado 1, punto 57, del RRC.</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efectos de esta comunicación, se utilizarán las técnicas de reducción del riesgo de crédito reconocidas en la parte tercera, título II, capítulos 3 y 4, del RRC, de conformidad con sus artículos 401 a 403.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técnicas de reducción del riesgo de crédito pueden tener tres efectos d</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ferentes en el régimen de grandes exposiciones: efecto de sustitución, cobe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tura del riesgo de crédito con garantías reales o instrumentos similares di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tinta del efecto de sustitución, y tratamiento de los bienes inmuebles.</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Efecto de sustitución de las técnicas admisibles de reducción del rie</w:t>
            </w:r>
            <w:r>
              <w:rPr>
                <w:rStyle w:val="InstructionsTabelleberschrift"/>
                <w:rFonts w:ascii="Times New Roman" w:hAnsi="Times New Roman"/>
                <w:sz w:val="24"/>
              </w:rPr>
              <w:t>s</w:t>
            </w:r>
            <w:r>
              <w:rPr>
                <w:rStyle w:val="InstructionsTabelleberschrift"/>
                <w:rFonts w:ascii="Times New Roman" w:hAnsi="Times New Roman"/>
                <w:sz w:val="24"/>
              </w:rPr>
              <w:t>go de crédito</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t>Artículo 403 del RRC.</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t>El importe de la cobertura del riesgo de crédito con garantías reales o in</w:t>
            </w:r>
            <w:r>
              <w:t>s</w:t>
            </w:r>
            <w:r>
              <w:t>trumentos similares o con garantías personales que se comunicará en estas columnas corresponderá a las exposiciones garantizadas por un tercero, o por garantías reales emitidas por un tercero, siempre que la entidad decida considerar que la exposición se ha asumido frente al garante o al emisor de la garantía.</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deuda</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060.</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patrimonio</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Véase la columna 070.</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Derivados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Exposiciones fuera de balance</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El valor de estas columnas se entenderá sin aplicación de factores de conve</w:t>
            </w:r>
            <w:r>
              <w:rPr>
                <w:rFonts w:ascii="Times New Roman" w:hAnsi="Times New Roman"/>
                <w:sz w:val="24"/>
              </w:rPr>
              <w:t>r</w:t>
            </w:r>
            <w:r>
              <w:rPr>
                <w:rFonts w:ascii="Times New Roman" w:hAnsi="Times New Roman"/>
                <w:sz w:val="24"/>
              </w:rPr>
              <w:t>sión.</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Compromisos de préstamo</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Garantías financieras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Otros compromisos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Cobertura del riesgo de crédito con garantías reales o instrumentos similares distinta del efecto de sustitución</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t>Artículo 401 del RRC.</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t>La entidad comunicará los importes de la cobertura del riesgo de crédito con garantías reales o instrumentos similares, definida en el artículo 4, apartado 1, punto 58, del RRC, que se deduzcan del valor de exposición en aplicación del artículo 401 del RRC.</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Bienes inmuebles</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t>Artículo 402 del RRC.</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t>La entidad comunicará los importes que se deduzcan del valor de exposición en aplicación del artículo 402 del RRC.</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Importes exentos</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Articulo 400 del </w:t>
            </w:r>
            <w:r>
              <w:rPr>
                <w:rStyle w:val="FormatvorlageInstructionsTabelleText"/>
                <w:rFonts w:ascii="Times New Roman" w:hAnsi="Times New Roman"/>
                <w:sz w:val="24"/>
              </w:rPr>
              <w:t>RRC</w:t>
            </w:r>
            <w:r>
              <w:rPr>
                <w:rStyle w:val="InstructionsTabelleberschrift"/>
                <w:rFonts w:ascii="Times New Roman" w:hAnsi="Times New Roman"/>
                <w:b w:val="0"/>
                <w:sz w:val="24"/>
                <w:u w:val="none"/>
              </w:rPr>
              <w:t>.</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La entidad comunicará los importes exentos del régimen de grandes expos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ciones.</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de la exposición después de aplicar las exenciones y de la redu</w:t>
            </w:r>
            <w:r>
              <w:rPr>
                <w:rStyle w:val="InstructionsTabelleberschrift"/>
                <w:rFonts w:ascii="Times New Roman" w:hAnsi="Times New Roman"/>
                <w:sz w:val="24"/>
              </w:rPr>
              <w:t>c</w:t>
            </w:r>
            <w:r>
              <w:rPr>
                <w:rStyle w:val="InstructionsTabelleberschrift"/>
                <w:rFonts w:ascii="Times New Roman" w:hAnsi="Times New Roman"/>
                <w:sz w:val="24"/>
              </w:rPr>
              <w:t>ción del riesgo de crédito</w:t>
            </w:r>
          </w:p>
          <w:p w:rsidR="00BB3751" w:rsidRPr="0039317F" w:rsidRDefault="00BB3751" w:rsidP="0039317F">
            <w:pPr>
              <w:pStyle w:val="InstructionsText"/>
            </w:pPr>
          </w:p>
          <w:p w:rsidR="00BB3751" w:rsidRPr="0039317F" w:rsidRDefault="00BB3751" w:rsidP="0039317F">
            <w:pPr>
              <w:pStyle w:val="InstructionsText"/>
            </w:pPr>
            <w:r>
              <w:t>Artículo 394, apartado 1, letra d), del RRC.</w:t>
            </w:r>
          </w:p>
          <w:p w:rsidR="00B0191A" w:rsidRPr="0039317F" w:rsidRDefault="00B0191A" w:rsidP="000F0ADE">
            <w:pPr>
              <w:pStyle w:val="InstructionsText"/>
            </w:pPr>
          </w:p>
          <w:p w:rsidR="00B0191A" w:rsidRPr="0039317F" w:rsidRDefault="0054768B">
            <w:pPr>
              <w:pStyle w:val="InstructionsText"/>
            </w:pPr>
            <w:r>
              <w:t>La entidad comunicará el valor de exposición después de tener en cuenta el efecto de las exenciones y de la reducción del riesgo de crédito, calculado a efectos de lo previsto en el artículo 395, apartado 1, del RRC.</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rsidR="00BB3751" w:rsidRPr="00384ADB" w:rsidRDefault="00BB3751" w:rsidP="0039317F">
            <w:pPr>
              <w:pStyle w:val="InstructionsText"/>
            </w:pPr>
          </w:p>
          <w:p w:rsidR="00BB3751" w:rsidRPr="0039317F" w:rsidRDefault="00BB3751" w:rsidP="000F0ADE">
            <w:pPr>
              <w:pStyle w:val="InstructionsText"/>
            </w:pPr>
            <w:r>
              <w:t>Esta columna incluirá el importe que se tendrá en cuenta para cumplir con el límite de las grandes exposiciones establecido en el artículo 395 del RRC.</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cartera de inversión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entidad comunicará la exposición total, después de aplicar las exenciones y de tener en cuenta el efecto de la reducción del riesgo de crédito, en rel</w:t>
            </w:r>
            <w:r>
              <w:rPr>
                <w:rStyle w:val="FormatvorlageInstructionsTabelleText"/>
                <w:rFonts w:ascii="Times New Roman" w:hAnsi="Times New Roman"/>
                <w:sz w:val="24"/>
              </w:rPr>
              <w:t>a</w:t>
            </w:r>
            <w:r>
              <w:rPr>
                <w:rStyle w:val="FormatvorlageInstructionsTabelleText"/>
                <w:rFonts w:ascii="Times New Roman" w:hAnsi="Times New Roman"/>
                <w:sz w:val="24"/>
              </w:rPr>
              <w:t>ción con la cartera de inversión.</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capital admisible</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La entidad comunicará el porcentaje del valor de exposición, después de aplicar las exenciones y de la reducción del riesgo de crédito, en relación con su capital admisible, tal como se define este en el artículo 4, apartado 1, punto 71, letra b), del RRC.</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3915036"/>
      <w:r>
        <w:rPr>
          <w:rFonts w:ascii="Times New Roman" w:hAnsi="Times New Roman"/>
          <w:b/>
          <w:sz w:val="24"/>
          <w:u w:val="none"/>
        </w:rPr>
        <w:t>C 29.00 - Detalle de las exposiciones frente a clientes individuales dentro de grupos de clientes vinculados entre sí</w:t>
      </w:r>
      <w:bookmarkEnd w:id="34"/>
      <w:r>
        <w:rPr>
          <w:rFonts w:ascii="Times New Roman" w:hAnsi="Times New Roman"/>
          <w:b/>
          <w:sz w:val="24"/>
          <w:u w:val="none"/>
        </w:rPr>
        <w:t xml:space="preserve"> (LE3)</w:t>
      </w:r>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3915037"/>
      <w:r>
        <w:rPr>
          <w:rFonts w:ascii="Times New Roman" w:hAnsi="Times New Roman"/>
          <w:sz w:val="24"/>
        </w:rPr>
        <w:t>Instrucciones relativas a columnas concretas</w:t>
      </w:r>
      <w:bookmarkEnd w:id="37"/>
      <w:bookmarkEnd w:id="38"/>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Columna</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La entidad comunicará en la plantilla LE3 los datos de los clientes indiv</w:t>
            </w:r>
            <w:r>
              <w:t>i</w:t>
            </w:r>
            <w:r>
              <w:t xml:space="preserve">duales pertenecientes a los grupos de clientes vinculados entre sí incluidos en las filas de la plantilla LE2.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columnas 010 y 020 constituyen un identificador compuesto de la fila, cuya combinación será única para cada fila del cuadro.</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Deberá indicarse el código de la contraparte individual perteneciente al gr</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po de clientes vinculados entre sí.</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del grupo</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columnas 010 y 020 constituyen un identificador compuesto de la fila, cuya combinación será única para cada fila del cuadro.</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se dispone a nivel nacional de un código único para cada grupo de clie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tes vinculados entre sí, se indicará ese código. Cuando no exista un código único a nivel nacional, el código que se indicará será el utilizado para com</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nicar las exposiciones frente al grupo de clientes vinculados entre sí en C 28.00 (LE2).</w:t>
            </w:r>
          </w:p>
          <w:p w:rsidR="00B0191A" w:rsidRPr="00384ADB" w:rsidRDefault="00D46F08">
            <w:pPr>
              <w:pStyle w:val="InstructionsText"/>
              <w:rPr>
                <w:rStyle w:val="InstructionsTabelleberschrift"/>
                <w:rFonts w:ascii="Times New Roman" w:hAnsi="Times New Roman"/>
                <w:b w:val="0"/>
                <w:sz w:val="24"/>
                <w:u w:val="none"/>
              </w:rPr>
            </w:pPr>
            <w:r>
              <w:t>Cuando un cliente pertenezca a varios grupos de clientes vinculados entre sí, se comunicará como miembro de todos los grupos.</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Operaciones en las que existe una exposición frente a activos subyace</w:t>
            </w:r>
            <w:r>
              <w:rPr>
                <w:rStyle w:val="InstructionsTabelleberschrift"/>
                <w:rFonts w:ascii="Times New Roman" w:hAnsi="Times New Roman"/>
                <w:sz w:val="24"/>
              </w:rPr>
              <w:t>n</w:t>
            </w:r>
            <w:r>
              <w:rPr>
                <w:rStyle w:val="InstructionsTabelleberschrift"/>
                <w:rFonts w:ascii="Times New Roman" w:hAnsi="Times New Roman"/>
                <w:sz w:val="24"/>
              </w:rPr>
              <w:lastRenderedPageBreak/>
              <w:t xml:space="preserve">tes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030 de la plantilla LE2.</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vinculación</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tipo de vinculación entre el ente individual y el grupo de clientes vincul</w:t>
            </w:r>
            <w:r>
              <w:rPr>
                <w:rStyle w:val="FormatvorlageInstructionsTabelleText"/>
                <w:rFonts w:ascii="Times New Roman" w:hAnsi="Times New Roman"/>
                <w:sz w:val="24"/>
              </w:rPr>
              <w:t>a</w:t>
            </w:r>
            <w:r>
              <w:rPr>
                <w:rStyle w:val="FormatvorlageInstructionsTabelleText"/>
                <w:rFonts w:ascii="Times New Roman" w:hAnsi="Times New Roman"/>
                <w:sz w:val="24"/>
              </w:rPr>
              <w:t>dos entre sí se indicará utilizando:</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en el sentido del artículo 4, apartado 1, punto 39, letra a), del RRC (co</w:t>
            </w:r>
            <w:r>
              <w:rPr>
                <w:rStyle w:val="FormatvorlageInstructionsTabelleText"/>
                <w:rFonts w:ascii="Times New Roman" w:hAnsi="Times New Roman"/>
                <w:sz w:val="24"/>
              </w:rPr>
              <w:t>n</w:t>
            </w:r>
            <w:r>
              <w:rPr>
                <w:rStyle w:val="FormatvorlageInstructionsTabelleText"/>
                <w:rFonts w:ascii="Times New Roman" w:hAnsi="Times New Roman"/>
                <w:sz w:val="24"/>
              </w:rPr>
              <w:t>trol); o</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en el sentido del artículo 4, apartado 1, punto 39, letra b), del RRC (vi</w:t>
            </w:r>
            <w:r>
              <w:rPr>
                <w:rStyle w:val="FormatvorlageInstructionsTabelleText"/>
                <w:rFonts w:ascii="Times New Roman" w:hAnsi="Times New Roman"/>
                <w:sz w:val="24"/>
              </w:rPr>
              <w:t>n</w:t>
            </w:r>
            <w:r>
              <w:rPr>
                <w:rStyle w:val="FormatvorlageInstructionsTabelleText"/>
                <w:rFonts w:ascii="Times New Roman" w:hAnsi="Times New Roman"/>
                <w:sz w:val="24"/>
              </w:rPr>
              <w:t>culación).</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los instrumentos financieros que figuran en la plantilla LE2 se pr</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porcionen al conjunto del grupo de clientes vinculados entre sí, estos instr</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mentos se asignarán a las diferentes contrapartes en la plantilla LE3 en fu</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ción de los criterios de actividad de la entidad.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Las restantes instrucciones son las mismas que para la plantilla LE2.</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3915038"/>
      <w:bookmarkEnd w:id="0"/>
      <w:bookmarkEnd w:id="1"/>
      <w:r>
        <w:rPr>
          <w:rFonts w:ascii="Times New Roman" w:hAnsi="Times New Roman"/>
          <w:b/>
          <w:sz w:val="24"/>
          <w:u w:val="none"/>
        </w:rPr>
        <w:t>C 30.00 - Períodos de vencimiento de las diez mayores exposiciones frente a entid</w:t>
      </w:r>
      <w:r>
        <w:rPr>
          <w:rFonts w:ascii="Times New Roman" w:hAnsi="Times New Roman"/>
          <w:b/>
          <w:sz w:val="24"/>
          <w:u w:val="none"/>
        </w:rPr>
        <w:t>a</w:t>
      </w:r>
      <w:r>
        <w:rPr>
          <w:rFonts w:ascii="Times New Roman" w:hAnsi="Times New Roman"/>
          <w:b/>
          <w:sz w:val="24"/>
          <w:u w:val="none"/>
        </w:rPr>
        <w:t>des y las diez mayores exposiciones frente a entes del sector financiero no regulados</w:t>
      </w:r>
      <w:bookmarkEnd w:id="42"/>
      <w:r>
        <w:rPr>
          <w:rFonts w:ascii="Times New Roman" w:hAnsi="Times New Roman"/>
          <w:b/>
          <w:sz w:val="24"/>
          <w:u w:val="none"/>
        </w:rPr>
        <w:t xml:space="preserve"> (plantilla LE4)</w:t>
      </w:r>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3915039"/>
      <w:r>
        <w:rPr>
          <w:rFonts w:ascii="Times New Roman" w:hAnsi="Times New Roman"/>
          <w:sz w:val="24"/>
        </w:rPr>
        <w:t>Instrucciones relativas a columnas concretas</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Columna</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código es un identificador de la fila y debe ser único para cada fila del cuadro.</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010 de la plantilla LE1.</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Períodos de vencimiento de las exposiciones</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t>Artículo 394, apartado 2, letra e), del RRC.</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entidad comunicará esta información para las diez mayores exposiciones frente a entidades y las diez mayores exposiciones frente a entes del sector financiero no regulados.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períodos de vencimiento se definen mediante intervalos mensuales hasta un año, intervalos trimestrales a partir de uno y hasta tres años e intervalos mayores a partir de tres años.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Cada valor de exposición antes de aplicar las exenciones y la reducción del riesgo de crédito (columna 210 de la plantilla LE2) se comunicará por su </w:t>
            </w:r>
            <w:r>
              <w:rPr>
                <w:rStyle w:val="InstructionsTabelleberschrift"/>
                <w:rFonts w:ascii="Times New Roman" w:hAnsi="Times New Roman"/>
                <w:b w:val="0"/>
                <w:sz w:val="24"/>
                <w:u w:val="none"/>
              </w:rPr>
              <w:lastRenderedPageBreak/>
              <w:t>importe íntegro pendiente en el período de vencimiento correspondiente a su vencimiento residual esperado. En el caso de que varias relaciones separadas constituyan una exposición frente a un cliente, cada una de esas partes de la exposición se comunicará por su importe íntegro pendiente en el período de vencimiento correspondiente a su vencimiento residual esperado.  Los in</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trumentos que no tengan un vencimiento fijo, como los de patrimonio, se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cluirán en la columna «Vencimiento indefinido».</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comunicará el vencimiento esperado de la exposición tanto para las exp</w:t>
            </w:r>
            <w:r>
              <w:rPr>
                <w:rStyle w:val="InstructionsTabelleberschrift"/>
                <w:rFonts w:ascii="Times New Roman" w:hAnsi="Times New Roman"/>
                <w:b w:val="0"/>
                <w:sz w:val="24"/>
                <w:u w:val="none"/>
              </w:rPr>
              <w:t>o</w:t>
            </w:r>
            <w:r>
              <w:rPr>
                <w:rStyle w:val="InstructionsTabelleberschrift"/>
                <w:rFonts w:ascii="Times New Roman" w:hAnsi="Times New Roman"/>
                <w:b w:val="0"/>
                <w:sz w:val="24"/>
                <w:u w:val="none"/>
              </w:rPr>
              <w:t>siciones directas como para las indirectas.</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las exposiciones directas, al asignar los importes esperados de instrume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tos de deuda y derivados a los diferentes períodos de vencimiento de esta plantilla, se seguirán las instrucciones de la plantilla de la escala de venc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mientos de las medidas adicionales de la liquidez (véase el anexo XXIII del presente Reglamento).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las exposiciones fuera de balance, se utilizará el vencimiento del riesgo subyacente para asignar los importes esperados a los diferentes períodos de vencimiento. Más concretamente, para los depósitos a futuro eso significa la estructura de vencimientos del depósito; para las garantías fina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cieras, la estructura de vencimientos del activo financiero subyacente; para las líneas no utilizadas de los compromisos de préstamo, la estructura de vencimientos del préstamo; y para los demás compromisos, la estructura de vencimientos del compromiso.</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las exposiciones indirectas, la asignación a los períodos de vencimiento se basará en el vencimiento de las operaciones garantizadas que generen la exposición directa.</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supuesto de que una exposición o parte de una exposición deba cons</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derarse en situación de impago y, como tal, se consigne en las plantillas C 28.00 (LE 2, columna 050) y C 29.00 (LE 3, columna 060), la liquidación (run-off) prevista de la exposición impagada deberá asignarse a los corre</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pondientes períodos de vencimiento como sigue:</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a pesar del impago, la entidad declarante disponga de un c</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lendario claro previsto de pagos de reembolso de la exposición, los asignará oportunamente a los correspondientes períodos de venc</w:t>
            </w:r>
            <w:r>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miento.</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la entidad declarante no tenga una idea fundamentada de cuándo se reembolsarán, en su caso, los importes impagados, los asignará a la categoría «vencimiento indefinido».</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3915040"/>
      <w:r>
        <w:rPr>
          <w:rFonts w:ascii="Times New Roman" w:hAnsi="Times New Roman"/>
          <w:b/>
          <w:sz w:val="24"/>
          <w:u w:val="none"/>
        </w:rPr>
        <w:t>C 31.00 - Períodos de vencimiento de las diez mayores exposiciones frente a entid</w:t>
      </w:r>
      <w:r>
        <w:rPr>
          <w:rFonts w:ascii="Times New Roman" w:hAnsi="Times New Roman"/>
          <w:b/>
          <w:sz w:val="24"/>
          <w:u w:val="none"/>
        </w:rPr>
        <w:t>a</w:t>
      </w:r>
      <w:r>
        <w:rPr>
          <w:rFonts w:ascii="Times New Roman" w:hAnsi="Times New Roman"/>
          <w:b/>
          <w:sz w:val="24"/>
          <w:u w:val="none"/>
        </w:rPr>
        <w:t xml:space="preserve">des y las diez mayores exposiciones frente a entes del sector financiero no regulados: </w:t>
      </w:r>
      <w:r>
        <w:rPr>
          <w:rFonts w:ascii="Times New Roman" w:hAnsi="Times New Roman"/>
          <w:b/>
          <w:sz w:val="24"/>
          <w:u w:val="none"/>
        </w:rPr>
        <w:lastRenderedPageBreak/>
        <w:t>detalle de las exposiciones frente a clientes individuales dentro de grupos de clientes vinculados entre sí (plantilla LE5)</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3915041"/>
      <w:r>
        <w:rPr>
          <w:rFonts w:ascii="Times New Roman" w:hAnsi="Times New Roman"/>
          <w:sz w:val="24"/>
        </w:rPr>
        <w:t>Instrucciones relativas a columnas concretas</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Columna</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La entidad comunicará en la plantilla LE5 los datos relativos a cada una de las contrapartes pertenecientes a los grupos de clientes vinculados entre sí incluidos en las filas de la plantilla LE4.</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columnas 010 y 020 constituyen un identificador compuesto de la fila, cuya combinación será única para cada fila del cuadro.</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columna 010 de la plantilla LE3.</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del grupo</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columnas 010 y 020 constituyen un identificador compuesto de la fila, cuya combinación será única para cada fila del cuadro.</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columna 020 de la plantilla LE3.</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Períodos de vencimiento de las exposiciones</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Véanse las columnas 020-250 de la plantilla LE4.</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2F1193">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2F1193">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C33202">
      <w:rPr>
        <w:rFonts w:ascii="Times New Roman" w:hAnsi="Times New Roman"/>
        <w:noProof/>
      </w:rPr>
      <w:t>21</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79AC"/>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19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202"/>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s-ES"/>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es-ES"/>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es-ES"/>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es-ES"/>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s-ES"/>
    </w:rPr>
  </w:style>
  <w:style w:type="character" w:customStyle="1" w:styleId="Heading3Char1">
    <w:name w:val="Heading 3 Char1"/>
    <w:link w:val="Heading3"/>
    <w:uiPriority w:val="99"/>
    <w:rsid w:val="001E5A75"/>
    <w:rPr>
      <w:rFonts w:ascii="Arial" w:hAnsi="Arial"/>
      <w:b/>
      <w:szCs w:val="20"/>
      <w:lang w:eastAsia="es-ES"/>
    </w:rPr>
  </w:style>
  <w:style w:type="character" w:customStyle="1" w:styleId="Heading4Char">
    <w:name w:val="Heading 4 Char"/>
    <w:link w:val="Heading4"/>
    <w:uiPriority w:val="99"/>
    <w:rsid w:val="00DE0962"/>
    <w:rPr>
      <w:rFonts w:ascii="Verdana" w:eastAsia="Times New Roman" w:hAnsi="Verdana"/>
      <w:b/>
      <w:szCs w:val="24"/>
      <w:u w:val="single"/>
      <w:lang w:eastAsia="es-ES"/>
    </w:rPr>
  </w:style>
  <w:style w:type="character" w:customStyle="1" w:styleId="Heading5Char">
    <w:name w:val="Heading 5 Char"/>
    <w:link w:val="Heading5"/>
    <w:uiPriority w:val="1"/>
    <w:rsid w:val="001E5A75"/>
    <w:rPr>
      <w:rFonts w:ascii="Arial" w:hAnsi="Arial"/>
      <w:b/>
      <w:i/>
      <w:szCs w:val="20"/>
      <w:lang w:eastAsia="es-ES"/>
    </w:rPr>
  </w:style>
  <w:style w:type="character" w:customStyle="1" w:styleId="Heading6Char">
    <w:name w:val="Heading 6 Char"/>
    <w:link w:val="Heading6"/>
    <w:semiHidden/>
    <w:rsid w:val="001E5A75"/>
    <w:rPr>
      <w:rFonts w:ascii="Times New Roman" w:hAnsi="Times New Roman"/>
      <w:b/>
      <w:bCs/>
      <w:lang w:eastAsia="es-ES"/>
    </w:rPr>
  </w:style>
  <w:style w:type="character" w:customStyle="1" w:styleId="Heading7Char">
    <w:name w:val="Heading 7 Char"/>
    <w:link w:val="Heading7"/>
    <w:semiHidden/>
    <w:rsid w:val="001E5A75"/>
    <w:rPr>
      <w:rFonts w:ascii="Times New Roman" w:hAnsi="Times New Roman"/>
      <w:sz w:val="24"/>
      <w:szCs w:val="20"/>
      <w:lang w:eastAsia="es-ES"/>
    </w:rPr>
  </w:style>
  <w:style w:type="character" w:customStyle="1" w:styleId="Heading8Char">
    <w:name w:val="Heading 8 Char"/>
    <w:link w:val="Heading8"/>
    <w:semiHidden/>
    <w:rsid w:val="001E5A75"/>
    <w:rPr>
      <w:rFonts w:ascii="Times New Roman" w:hAnsi="Times New Roman"/>
      <w:i/>
      <w:iCs/>
      <w:sz w:val="24"/>
      <w:szCs w:val="20"/>
      <w:lang w:eastAsia="es-ES"/>
    </w:rPr>
  </w:style>
  <w:style w:type="character" w:customStyle="1" w:styleId="Heading9Char">
    <w:name w:val="Heading 9 Char"/>
    <w:link w:val="Heading9"/>
    <w:semiHidden/>
    <w:rsid w:val="001E5A75"/>
    <w:rPr>
      <w:rFonts w:ascii="Arial" w:hAnsi="Arial" w:cs="Arial"/>
      <w:lang w:eastAsia="es-ES"/>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es-ES"/>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es-ES"/>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s-ES" w:eastAsia="es-E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s-E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s-E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s-E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es-ES" w:eastAsia="es-ES"/>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es-ES"/>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s-ES" w:eastAsia="es-ES" w:bidi="es-ES"/>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s-E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s-ES"/>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es-ES"/>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es-ES"/>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es-ES"/>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s-ES"/>
    </w:rPr>
  </w:style>
  <w:style w:type="character" w:customStyle="1" w:styleId="Heading3Char1">
    <w:name w:val="Heading 3 Char1"/>
    <w:link w:val="Heading3"/>
    <w:uiPriority w:val="99"/>
    <w:rsid w:val="001E5A75"/>
    <w:rPr>
      <w:rFonts w:ascii="Arial" w:hAnsi="Arial"/>
      <w:b/>
      <w:szCs w:val="20"/>
      <w:lang w:eastAsia="es-ES"/>
    </w:rPr>
  </w:style>
  <w:style w:type="character" w:customStyle="1" w:styleId="Heading4Char">
    <w:name w:val="Heading 4 Char"/>
    <w:link w:val="Heading4"/>
    <w:uiPriority w:val="99"/>
    <w:rsid w:val="00DE0962"/>
    <w:rPr>
      <w:rFonts w:ascii="Verdana" w:eastAsia="Times New Roman" w:hAnsi="Verdana"/>
      <w:b/>
      <w:szCs w:val="24"/>
      <w:u w:val="single"/>
      <w:lang w:eastAsia="es-ES"/>
    </w:rPr>
  </w:style>
  <w:style w:type="character" w:customStyle="1" w:styleId="Heading5Char">
    <w:name w:val="Heading 5 Char"/>
    <w:link w:val="Heading5"/>
    <w:uiPriority w:val="1"/>
    <w:rsid w:val="001E5A75"/>
    <w:rPr>
      <w:rFonts w:ascii="Arial" w:hAnsi="Arial"/>
      <w:b/>
      <w:i/>
      <w:szCs w:val="20"/>
      <w:lang w:eastAsia="es-ES"/>
    </w:rPr>
  </w:style>
  <w:style w:type="character" w:customStyle="1" w:styleId="Heading6Char">
    <w:name w:val="Heading 6 Char"/>
    <w:link w:val="Heading6"/>
    <w:semiHidden/>
    <w:rsid w:val="001E5A75"/>
    <w:rPr>
      <w:rFonts w:ascii="Times New Roman" w:hAnsi="Times New Roman"/>
      <w:b/>
      <w:bCs/>
      <w:lang w:eastAsia="es-ES"/>
    </w:rPr>
  </w:style>
  <w:style w:type="character" w:customStyle="1" w:styleId="Heading7Char">
    <w:name w:val="Heading 7 Char"/>
    <w:link w:val="Heading7"/>
    <w:semiHidden/>
    <w:rsid w:val="001E5A75"/>
    <w:rPr>
      <w:rFonts w:ascii="Times New Roman" w:hAnsi="Times New Roman"/>
      <w:sz w:val="24"/>
      <w:szCs w:val="20"/>
      <w:lang w:eastAsia="es-ES"/>
    </w:rPr>
  </w:style>
  <w:style w:type="character" w:customStyle="1" w:styleId="Heading8Char">
    <w:name w:val="Heading 8 Char"/>
    <w:link w:val="Heading8"/>
    <w:semiHidden/>
    <w:rsid w:val="001E5A75"/>
    <w:rPr>
      <w:rFonts w:ascii="Times New Roman" w:hAnsi="Times New Roman"/>
      <w:i/>
      <w:iCs/>
      <w:sz w:val="24"/>
      <w:szCs w:val="20"/>
      <w:lang w:eastAsia="es-ES"/>
    </w:rPr>
  </w:style>
  <w:style w:type="character" w:customStyle="1" w:styleId="Heading9Char">
    <w:name w:val="Heading 9 Char"/>
    <w:link w:val="Heading9"/>
    <w:semiHidden/>
    <w:rsid w:val="001E5A75"/>
    <w:rPr>
      <w:rFonts w:ascii="Arial" w:hAnsi="Arial" w:cs="Arial"/>
      <w:lang w:eastAsia="es-ES"/>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es-ES"/>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es-ES"/>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s-ES" w:eastAsia="es-E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s-E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s-E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s-E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es-ES" w:eastAsia="es-ES"/>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es-ES"/>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s-ES" w:eastAsia="es-ES" w:bidi="es-ES"/>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s-E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E1472-C645-4676-B61C-BD12B1E9359D}">
  <ds:schemaRefs>
    <ds:schemaRef ds:uri="http://schemas.openxmlformats.org/officeDocument/2006/bibliography"/>
  </ds:schemaRefs>
</ds:datastoreItem>
</file>

<file path=customXml/itemProps2.xml><?xml version="1.0" encoding="utf-8"?>
<ds:datastoreItem xmlns:ds="http://schemas.openxmlformats.org/officeDocument/2006/customXml" ds:itemID="{B668942E-7AFC-42D5-85C3-333B251C8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6425</Words>
  <Characters>33479</Characters>
  <Application>Microsoft Office Word</Application>
  <DocSecurity>0</DocSecurity>
  <Lines>973</Lines>
  <Paragraphs>382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39590</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AUTOR</cp:lastModifiedBy>
  <cp:revision>5</cp:revision>
  <dcterms:created xsi:type="dcterms:W3CDTF">2018-06-13T13:34:00Z</dcterms:created>
  <dcterms:modified xsi:type="dcterms:W3CDTF">2018-09-05T10:49:00Z</dcterms:modified>
</cp:coreProperties>
</file>