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825E5B" w:rsidRDefault="008934A4" w:rsidP="00A15D28">
      <w:pPr>
        <w:jc w:val="center"/>
        <w:rPr>
          <w:rFonts w:ascii="Times New Roman" w:hAnsi="Times New Roman"/>
          <w:b/>
          <w:sz w:val="24"/>
          <w:szCs w:val="24"/>
        </w:rPr>
      </w:pPr>
      <w:r w:rsidRPr="00825E5B">
        <w:rPr>
          <w:rFonts w:ascii="Times New Roman" w:hAnsi="Times New Roman"/>
          <w:b/>
          <w:sz w:val="24"/>
        </w:rPr>
        <w:t>RO</w:t>
      </w:r>
    </w:p>
    <w:p w:rsidR="008934A4" w:rsidRPr="00825E5B" w:rsidRDefault="008934A4" w:rsidP="00A15D28">
      <w:pPr>
        <w:jc w:val="center"/>
        <w:rPr>
          <w:rFonts w:ascii="Times New Roman" w:hAnsi="Times New Roman"/>
          <w:b/>
          <w:sz w:val="24"/>
          <w:szCs w:val="24"/>
        </w:rPr>
      </w:pPr>
      <w:r w:rsidRPr="00825E5B">
        <w:rPr>
          <w:rFonts w:ascii="Times New Roman" w:hAnsi="Times New Roman"/>
          <w:b/>
          <w:sz w:val="24"/>
        </w:rPr>
        <w:t>ANEXA V</w:t>
      </w:r>
    </w:p>
    <w:p w:rsidR="001F0676" w:rsidRPr="00825E5B" w:rsidRDefault="001F0676" w:rsidP="00A15D28">
      <w:pPr>
        <w:jc w:val="center"/>
        <w:rPr>
          <w:rFonts w:ascii="Times New Roman" w:hAnsi="Times New Roman"/>
          <w:sz w:val="24"/>
          <w:szCs w:val="24"/>
        </w:rPr>
      </w:pPr>
    </w:p>
    <w:p w:rsidR="00BB7DB0" w:rsidRPr="00825E5B" w:rsidRDefault="00BB7DB0" w:rsidP="00A15D28">
      <w:pPr>
        <w:jc w:val="center"/>
        <w:rPr>
          <w:rFonts w:ascii="Times New Roman" w:hAnsi="Times New Roman"/>
          <w:sz w:val="24"/>
          <w:szCs w:val="24"/>
        </w:rPr>
      </w:pPr>
    </w:p>
    <w:p w:rsidR="001807E9" w:rsidRPr="00825E5B" w:rsidRDefault="001807E9" w:rsidP="00A15D28">
      <w:pPr>
        <w:jc w:val="center"/>
        <w:rPr>
          <w:rFonts w:ascii="Times New Roman" w:hAnsi="Times New Roman"/>
          <w:sz w:val="24"/>
          <w:szCs w:val="24"/>
        </w:rPr>
      </w:pPr>
    </w:p>
    <w:p w:rsidR="00A15D28" w:rsidRPr="00825E5B" w:rsidRDefault="00A15D28" w:rsidP="00A15D28">
      <w:pPr>
        <w:jc w:val="center"/>
        <w:rPr>
          <w:rFonts w:ascii="Times New Roman" w:hAnsi="Times New Roman"/>
          <w:sz w:val="28"/>
          <w:szCs w:val="28"/>
          <w:u w:val="single"/>
        </w:rPr>
      </w:pPr>
      <w:r w:rsidRPr="00825E5B">
        <w:rPr>
          <w:rFonts w:ascii="Times New Roman" w:hAnsi="Times New Roman"/>
          <w:b/>
          <w:sz w:val="24"/>
          <w:u w:val="single"/>
        </w:rPr>
        <w:t>„ANEXA XI</w:t>
      </w:r>
    </w:p>
    <w:p w:rsidR="00A15D28" w:rsidRPr="00825E5B" w:rsidRDefault="00A15D28" w:rsidP="00A15D28">
      <w:pPr>
        <w:jc w:val="center"/>
        <w:rPr>
          <w:rFonts w:ascii="Times New Roman" w:hAnsi="Times New Roman"/>
        </w:rPr>
      </w:pPr>
      <w:r w:rsidRPr="00825E5B">
        <w:rPr>
          <w:rFonts w:ascii="Times New Roman" w:hAnsi="Times New Roman"/>
          <w:b/>
          <w:sz w:val="24"/>
        </w:rPr>
        <w:t>RAPORTAREA PRIVIND EFECTUL DE LEVIER</w:t>
      </w:r>
    </w:p>
    <w:p w:rsidR="00F4754B" w:rsidRPr="00825E5B" w:rsidRDefault="00F4754B" w:rsidP="00F4754B">
      <w:pPr>
        <w:pStyle w:val="BodyText1"/>
        <w:rPr>
          <w:rFonts w:ascii="Times New Roman" w:hAnsi="Times New Roman"/>
        </w:rPr>
      </w:pPr>
    </w:p>
    <w:p w:rsidR="00A15D28" w:rsidRPr="00825E5B" w:rsidRDefault="00A15D28" w:rsidP="00F4754B">
      <w:pPr>
        <w:pStyle w:val="BodyText1"/>
        <w:rPr>
          <w:rFonts w:ascii="Times New Roman" w:hAnsi="Times New Roman"/>
        </w:rPr>
      </w:pPr>
    </w:p>
    <w:p w:rsidR="00F4754B" w:rsidRPr="00825E5B" w:rsidRDefault="00F4754B" w:rsidP="00F4754B">
      <w:pPr>
        <w:pStyle w:val="BodyText1"/>
        <w:rPr>
          <w:rFonts w:ascii="Times New Roman" w:hAnsi="Times New Roman"/>
        </w:rPr>
      </w:pPr>
    </w:p>
    <w:p w:rsidR="009112BB" w:rsidRPr="00825E5B" w:rsidRDefault="009112BB" w:rsidP="009112BB">
      <w:pPr>
        <w:pStyle w:val="BodyText1"/>
        <w:ind w:left="720"/>
        <w:rPr>
          <w:rFonts w:ascii="Times New Roman" w:hAnsi="Times New Roman"/>
        </w:rPr>
      </w:pPr>
    </w:p>
    <w:p w:rsidR="00BE51C2" w:rsidRPr="00825E5B" w:rsidRDefault="00825E5B">
      <w:pPr>
        <w:pStyle w:val="TOC1"/>
        <w:rPr>
          <w:rFonts w:asciiTheme="minorHAnsi" w:eastAsiaTheme="minorEastAsia" w:hAnsiTheme="minorHAnsi" w:cstheme="minorBidi"/>
          <w:color w:val="auto"/>
          <w:sz w:val="22"/>
          <w:szCs w:val="22"/>
          <w:lang w:eastAsia="en-GB" w:bidi="ar-SA"/>
        </w:rPr>
      </w:pPr>
      <w:r w:rsidRPr="00825E5B">
        <w:rPr>
          <w:rFonts w:ascii="Times New Roman" w:hAnsi="Times New Roman"/>
          <w:b/>
          <w:noProof w:val="0"/>
        </w:rPr>
        <w:fldChar w:fldCharType="begin"/>
      </w:r>
      <w:r w:rsidR="00391EF9" w:rsidRPr="00825E5B">
        <w:rPr>
          <w:rFonts w:ascii="Times New Roman" w:hAnsi="Times New Roman"/>
          <w:b/>
          <w:noProof w:val="0"/>
        </w:rPr>
        <w:instrText xml:space="preserve"> TOC \o "1-3" \h \z \u </w:instrText>
      </w:r>
      <w:r w:rsidRPr="00825E5B">
        <w:rPr>
          <w:rFonts w:ascii="Times New Roman" w:hAnsi="Times New Roman"/>
          <w:b/>
          <w:noProof w:val="0"/>
        </w:rPr>
        <w:fldChar w:fldCharType="separate"/>
      </w:r>
      <w:hyperlink w:anchor="_Toc523995563" w:history="1">
        <w:r w:rsidR="00BE51C2" w:rsidRPr="00825E5B">
          <w:rPr>
            <w:rStyle w:val="Hyperlink"/>
            <w:rFonts w:ascii="Times New Roman" w:hAnsi="Times New Roman"/>
            <w:b/>
          </w:rPr>
          <w:t>PARTEA I: INSTRUC</w:t>
        </w:r>
        <w:r w:rsidR="00367C88">
          <w:rPr>
            <w:rStyle w:val="Hyperlink"/>
            <w:rFonts w:ascii="Times New Roman" w:hAnsi="Times New Roman"/>
            <w:b/>
          </w:rPr>
          <w:t>Ț</w:t>
        </w:r>
        <w:r w:rsidR="00BE51C2" w:rsidRPr="00825E5B">
          <w:rPr>
            <w:rStyle w:val="Hyperlink"/>
            <w:rFonts w:ascii="Times New Roman" w:hAnsi="Times New Roman"/>
            <w:b/>
          </w:rPr>
          <w:t>IUNI GENERALE</w:t>
        </w:r>
        <w:r w:rsidR="00BE51C2" w:rsidRPr="00825E5B">
          <w:rPr>
            <w:webHidden/>
          </w:rPr>
          <w:tab/>
        </w:r>
        <w:r w:rsidR="00BE51C2" w:rsidRPr="00825E5B">
          <w:rPr>
            <w:webHidden/>
          </w:rPr>
          <w:fldChar w:fldCharType="begin"/>
        </w:r>
        <w:r w:rsidR="00BE51C2" w:rsidRPr="00825E5B">
          <w:rPr>
            <w:webHidden/>
          </w:rPr>
          <w:instrText xml:space="preserve"> PAGEREF _Toc523995563 \h </w:instrText>
        </w:r>
        <w:r w:rsidR="00BE51C2" w:rsidRPr="00825E5B">
          <w:rPr>
            <w:webHidden/>
          </w:rPr>
        </w:r>
        <w:r w:rsidR="00BE51C2" w:rsidRPr="00825E5B">
          <w:rPr>
            <w:webHidden/>
          </w:rPr>
          <w:fldChar w:fldCharType="separate"/>
        </w:r>
        <w:r w:rsidR="00367C88">
          <w:rPr>
            <w:webHidden/>
          </w:rPr>
          <w:t>2</w:t>
        </w:r>
        <w:r w:rsidR="00BE51C2" w:rsidRPr="00825E5B">
          <w:rPr>
            <w:webHidden/>
          </w:rPr>
          <w:fldChar w:fldCharType="end"/>
        </w:r>
      </w:hyperlink>
    </w:p>
    <w:p w:rsidR="00BE51C2" w:rsidRPr="00825E5B" w:rsidRDefault="00594F0A">
      <w:pPr>
        <w:pStyle w:val="TOC2"/>
        <w:rPr>
          <w:rFonts w:asciiTheme="minorHAnsi" w:eastAsiaTheme="minorEastAsia" w:hAnsiTheme="minorHAnsi" w:cstheme="minorBidi"/>
          <w:b w:val="0"/>
          <w:smallCaps w:val="0"/>
          <w:sz w:val="22"/>
          <w:lang w:eastAsia="en-GB" w:bidi="ar-SA"/>
        </w:rPr>
      </w:pPr>
      <w:hyperlink w:anchor="_Toc523995564" w:history="1">
        <w:r w:rsidR="00BE51C2" w:rsidRPr="00825E5B">
          <w:rPr>
            <w:rStyle w:val="Hyperlink"/>
            <w:rFonts w:ascii="Times New Roman" w:hAnsi="Times New Roman"/>
          </w:rPr>
          <w:t>1.</w:t>
        </w:r>
        <w:r w:rsidR="00BE51C2" w:rsidRPr="00825E5B">
          <w:rPr>
            <w:rFonts w:asciiTheme="minorHAnsi" w:eastAsiaTheme="minorEastAsia" w:hAnsiTheme="minorHAnsi" w:cstheme="minorBidi"/>
            <w:b w:val="0"/>
            <w:smallCaps w:val="0"/>
            <w:sz w:val="22"/>
            <w:lang w:eastAsia="en-GB" w:bidi="ar-SA"/>
          </w:rPr>
          <w:tab/>
        </w:r>
        <w:r w:rsidR="00BE51C2" w:rsidRPr="00825E5B">
          <w:rPr>
            <w:rStyle w:val="Hyperlink"/>
            <w:rFonts w:ascii="Times New Roman" w:hAnsi="Times New Roman"/>
          </w:rPr>
          <w:t xml:space="preserve">Denumirea formularelor </w:t>
        </w:r>
        <w:r w:rsidR="00367C88">
          <w:rPr>
            <w:rStyle w:val="Hyperlink"/>
            <w:rFonts w:ascii="Times New Roman" w:hAnsi="Times New Roman"/>
          </w:rPr>
          <w:t>ș</w:t>
        </w:r>
        <w:r w:rsidR="00BE51C2" w:rsidRPr="00825E5B">
          <w:rPr>
            <w:rStyle w:val="Hyperlink"/>
            <w:rFonts w:ascii="Times New Roman" w:hAnsi="Times New Roman"/>
          </w:rPr>
          <w:t>i alte conven</w:t>
        </w:r>
        <w:r w:rsidR="00367C88">
          <w:rPr>
            <w:rStyle w:val="Hyperlink"/>
            <w:rFonts w:ascii="Times New Roman" w:hAnsi="Times New Roman"/>
          </w:rPr>
          <w:t>ț</w:t>
        </w:r>
        <w:r w:rsidR="00BE51C2" w:rsidRPr="00825E5B">
          <w:rPr>
            <w:rStyle w:val="Hyperlink"/>
            <w:rFonts w:ascii="Times New Roman" w:hAnsi="Times New Roman"/>
          </w:rPr>
          <w:t>ii</w:t>
        </w:r>
        <w:r w:rsidR="00BE51C2" w:rsidRPr="00825E5B">
          <w:rPr>
            <w:webHidden/>
          </w:rPr>
          <w:tab/>
        </w:r>
        <w:r w:rsidR="00BE51C2" w:rsidRPr="00825E5B">
          <w:rPr>
            <w:webHidden/>
          </w:rPr>
          <w:fldChar w:fldCharType="begin"/>
        </w:r>
        <w:r w:rsidR="00BE51C2" w:rsidRPr="00825E5B">
          <w:rPr>
            <w:webHidden/>
          </w:rPr>
          <w:instrText xml:space="preserve"> PAGEREF _Toc523995564 \h </w:instrText>
        </w:r>
        <w:r w:rsidR="00BE51C2" w:rsidRPr="00825E5B">
          <w:rPr>
            <w:webHidden/>
          </w:rPr>
        </w:r>
        <w:r w:rsidR="00BE51C2" w:rsidRPr="00825E5B">
          <w:rPr>
            <w:webHidden/>
          </w:rPr>
          <w:fldChar w:fldCharType="separate"/>
        </w:r>
        <w:r w:rsidR="00367C88">
          <w:rPr>
            <w:webHidden/>
          </w:rPr>
          <w:t>2</w:t>
        </w:r>
        <w:r w:rsidR="00BE51C2" w:rsidRPr="00825E5B">
          <w:rPr>
            <w:webHidden/>
          </w:rPr>
          <w:fldChar w:fldCharType="end"/>
        </w:r>
      </w:hyperlink>
    </w:p>
    <w:p w:rsidR="00BE51C2" w:rsidRPr="00825E5B" w:rsidRDefault="00594F0A">
      <w:pPr>
        <w:pStyle w:val="TOC3"/>
        <w:rPr>
          <w:rFonts w:asciiTheme="minorHAnsi" w:eastAsiaTheme="minorEastAsia" w:hAnsiTheme="minorHAnsi" w:cstheme="minorBidi"/>
          <w:smallCaps w:val="0"/>
          <w:sz w:val="22"/>
          <w:szCs w:val="22"/>
          <w:lang w:eastAsia="en-GB" w:bidi="ar-SA"/>
        </w:rPr>
      </w:pPr>
      <w:hyperlink w:anchor="_Toc523995565" w:history="1">
        <w:r w:rsidR="00BE51C2" w:rsidRPr="00825E5B">
          <w:rPr>
            <w:rStyle w:val="Hyperlink"/>
            <w:rFonts w:ascii="Times New Roman" w:hAnsi="Times New Roman"/>
            <w:b/>
          </w:rPr>
          <w:t>1.1.</w:t>
        </w:r>
        <w:r w:rsidR="00BE51C2" w:rsidRPr="00825E5B">
          <w:rPr>
            <w:rFonts w:asciiTheme="minorHAnsi" w:eastAsiaTheme="minorEastAsia" w:hAnsiTheme="minorHAnsi" w:cstheme="minorBidi"/>
            <w:smallCaps w:val="0"/>
            <w:sz w:val="22"/>
            <w:szCs w:val="22"/>
            <w:lang w:eastAsia="en-GB" w:bidi="ar-SA"/>
          </w:rPr>
          <w:tab/>
        </w:r>
        <w:r w:rsidR="00BE51C2" w:rsidRPr="00825E5B">
          <w:rPr>
            <w:rStyle w:val="Hyperlink"/>
            <w:rFonts w:ascii="Times New Roman" w:hAnsi="Times New Roman"/>
            <w:b/>
          </w:rPr>
          <w:t>Denumirea formularelor</w:t>
        </w:r>
        <w:r w:rsidR="00BE51C2" w:rsidRPr="00825E5B">
          <w:rPr>
            <w:webHidden/>
          </w:rPr>
          <w:tab/>
        </w:r>
        <w:r w:rsidR="00BE51C2" w:rsidRPr="00825E5B">
          <w:rPr>
            <w:webHidden/>
          </w:rPr>
          <w:fldChar w:fldCharType="begin"/>
        </w:r>
        <w:r w:rsidR="00BE51C2" w:rsidRPr="00825E5B">
          <w:rPr>
            <w:webHidden/>
          </w:rPr>
          <w:instrText xml:space="preserve"> PAGEREF _Toc523995565 \h </w:instrText>
        </w:r>
        <w:r w:rsidR="00BE51C2" w:rsidRPr="00825E5B">
          <w:rPr>
            <w:webHidden/>
          </w:rPr>
        </w:r>
        <w:r w:rsidR="00BE51C2" w:rsidRPr="00825E5B">
          <w:rPr>
            <w:webHidden/>
          </w:rPr>
          <w:fldChar w:fldCharType="separate"/>
        </w:r>
        <w:r w:rsidR="00367C88">
          <w:rPr>
            <w:webHidden/>
          </w:rPr>
          <w:t>2</w:t>
        </w:r>
        <w:r w:rsidR="00BE51C2" w:rsidRPr="00825E5B">
          <w:rPr>
            <w:webHidden/>
          </w:rPr>
          <w:fldChar w:fldCharType="end"/>
        </w:r>
      </w:hyperlink>
    </w:p>
    <w:p w:rsidR="00BE51C2" w:rsidRPr="00825E5B" w:rsidRDefault="00594F0A">
      <w:pPr>
        <w:pStyle w:val="TOC3"/>
        <w:rPr>
          <w:rFonts w:asciiTheme="minorHAnsi" w:eastAsiaTheme="minorEastAsia" w:hAnsiTheme="minorHAnsi" w:cstheme="minorBidi"/>
          <w:smallCaps w:val="0"/>
          <w:sz w:val="22"/>
          <w:szCs w:val="22"/>
          <w:lang w:eastAsia="en-GB" w:bidi="ar-SA"/>
        </w:rPr>
      </w:pPr>
      <w:hyperlink w:anchor="_Toc523995566" w:history="1">
        <w:r w:rsidR="00BE51C2" w:rsidRPr="00825E5B">
          <w:rPr>
            <w:rStyle w:val="Hyperlink"/>
            <w:rFonts w:ascii="Times New Roman" w:hAnsi="Times New Roman"/>
            <w:b/>
          </w:rPr>
          <w:t>1.2.</w:t>
        </w:r>
        <w:r w:rsidR="00BE51C2" w:rsidRPr="00825E5B">
          <w:rPr>
            <w:rFonts w:asciiTheme="minorHAnsi" w:eastAsiaTheme="minorEastAsia" w:hAnsiTheme="minorHAnsi" w:cstheme="minorBidi"/>
            <w:smallCaps w:val="0"/>
            <w:sz w:val="22"/>
            <w:szCs w:val="22"/>
            <w:lang w:eastAsia="en-GB" w:bidi="ar-SA"/>
          </w:rPr>
          <w:tab/>
        </w:r>
        <w:r w:rsidR="00BE51C2" w:rsidRPr="00825E5B">
          <w:rPr>
            <w:rStyle w:val="Hyperlink"/>
            <w:rFonts w:ascii="Times New Roman" w:hAnsi="Times New Roman"/>
            <w:b/>
          </w:rPr>
          <w:t>Conven</w:t>
        </w:r>
        <w:r w:rsidR="00367C88">
          <w:rPr>
            <w:rStyle w:val="Hyperlink"/>
            <w:rFonts w:ascii="Times New Roman" w:hAnsi="Times New Roman"/>
            <w:b/>
          </w:rPr>
          <w:t>ț</w:t>
        </w:r>
        <w:r w:rsidR="00BE51C2" w:rsidRPr="00825E5B">
          <w:rPr>
            <w:rStyle w:val="Hyperlink"/>
            <w:rFonts w:ascii="Times New Roman" w:hAnsi="Times New Roman"/>
            <w:b/>
          </w:rPr>
          <w:t>ia de numerotare</w:t>
        </w:r>
        <w:r w:rsidR="00BE51C2" w:rsidRPr="00825E5B">
          <w:rPr>
            <w:webHidden/>
          </w:rPr>
          <w:tab/>
        </w:r>
        <w:r w:rsidR="00BE51C2" w:rsidRPr="00825E5B">
          <w:rPr>
            <w:webHidden/>
          </w:rPr>
          <w:fldChar w:fldCharType="begin"/>
        </w:r>
        <w:r w:rsidR="00BE51C2" w:rsidRPr="00825E5B">
          <w:rPr>
            <w:webHidden/>
          </w:rPr>
          <w:instrText xml:space="preserve"> PAGEREF _Toc523995566 \h </w:instrText>
        </w:r>
        <w:r w:rsidR="00BE51C2" w:rsidRPr="00825E5B">
          <w:rPr>
            <w:webHidden/>
          </w:rPr>
        </w:r>
        <w:r w:rsidR="00BE51C2" w:rsidRPr="00825E5B">
          <w:rPr>
            <w:webHidden/>
          </w:rPr>
          <w:fldChar w:fldCharType="separate"/>
        </w:r>
        <w:r w:rsidR="00367C88">
          <w:rPr>
            <w:webHidden/>
          </w:rPr>
          <w:t>2</w:t>
        </w:r>
        <w:r w:rsidR="00BE51C2" w:rsidRPr="00825E5B">
          <w:rPr>
            <w:webHidden/>
          </w:rPr>
          <w:fldChar w:fldCharType="end"/>
        </w:r>
      </w:hyperlink>
    </w:p>
    <w:p w:rsidR="00BE51C2" w:rsidRPr="00825E5B" w:rsidRDefault="00594F0A">
      <w:pPr>
        <w:pStyle w:val="TOC3"/>
        <w:rPr>
          <w:rFonts w:asciiTheme="minorHAnsi" w:eastAsiaTheme="minorEastAsia" w:hAnsiTheme="minorHAnsi" w:cstheme="minorBidi"/>
          <w:smallCaps w:val="0"/>
          <w:sz w:val="22"/>
          <w:szCs w:val="22"/>
          <w:lang w:eastAsia="en-GB" w:bidi="ar-SA"/>
        </w:rPr>
      </w:pPr>
      <w:hyperlink w:anchor="_Toc523995567" w:history="1">
        <w:r w:rsidR="00BE51C2" w:rsidRPr="00825E5B">
          <w:rPr>
            <w:rStyle w:val="Hyperlink"/>
            <w:rFonts w:ascii="Times New Roman" w:hAnsi="Times New Roman"/>
            <w:b/>
          </w:rPr>
          <w:t>1.3.</w:t>
        </w:r>
        <w:r w:rsidR="00BE51C2" w:rsidRPr="00825E5B">
          <w:rPr>
            <w:rFonts w:asciiTheme="minorHAnsi" w:eastAsiaTheme="minorEastAsia" w:hAnsiTheme="minorHAnsi" w:cstheme="minorBidi"/>
            <w:smallCaps w:val="0"/>
            <w:sz w:val="22"/>
            <w:szCs w:val="22"/>
            <w:lang w:eastAsia="en-GB" w:bidi="ar-SA"/>
          </w:rPr>
          <w:tab/>
        </w:r>
        <w:r w:rsidR="00BE51C2" w:rsidRPr="00825E5B">
          <w:rPr>
            <w:rStyle w:val="Hyperlink"/>
            <w:rFonts w:ascii="Times New Roman" w:hAnsi="Times New Roman"/>
            <w:b/>
          </w:rPr>
          <w:t>Abrevieri</w:t>
        </w:r>
        <w:r w:rsidR="00BE51C2" w:rsidRPr="00825E5B">
          <w:rPr>
            <w:webHidden/>
          </w:rPr>
          <w:tab/>
        </w:r>
        <w:r w:rsidR="00BE51C2" w:rsidRPr="00825E5B">
          <w:rPr>
            <w:webHidden/>
          </w:rPr>
          <w:fldChar w:fldCharType="begin"/>
        </w:r>
        <w:r w:rsidR="00BE51C2" w:rsidRPr="00825E5B">
          <w:rPr>
            <w:webHidden/>
          </w:rPr>
          <w:instrText xml:space="preserve"> PAGEREF _Toc523995567 \h </w:instrText>
        </w:r>
        <w:r w:rsidR="00BE51C2" w:rsidRPr="00825E5B">
          <w:rPr>
            <w:webHidden/>
          </w:rPr>
        </w:r>
        <w:r w:rsidR="00BE51C2" w:rsidRPr="00825E5B">
          <w:rPr>
            <w:webHidden/>
          </w:rPr>
          <w:fldChar w:fldCharType="separate"/>
        </w:r>
        <w:r w:rsidR="00367C88">
          <w:rPr>
            <w:webHidden/>
          </w:rPr>
          <w:t>2</w:t>
        </w:r>
        <w:r w:rsidR="00BE51C2" w:rsidRPr="00825E5B">
          <w:rPr>
            <w:webHidden/>
          </w:rPr>
          <w:fldChar w:fldCharType="end"/>
        </w:r>
      </w:hyperlink>
    </w:p>
    <w:p w:rsidR="00BE51C2" w:rsidRPr="00825E5B" w:rsidRDefault="00594F0A">
      <w:pPr>
        <w:pStyle w:val="TOC3"/>
        <w:rPr>
          <w:rFonts w:asciiTheme="minorHAnsi" w:eastAsiaTheme="minorEastAsia" w:hAnsiTheme="minorHAnsi" w:cstheme="minorBidi"/>
          <w:smallCaps w:val="0"/>
          <w:sz w:val="22"/>
          <w:szCs w:val="22"/>
          <w:lang w:eastAsia="en-GB" w:bidi="ar-SA"/>
        </w:rPr>
      </w:pPr>
      <w:hyperlink w:anchor="_Toc523995568" w:history="1">
        <w:r w:rsidR="00BE51C2" w:rsidRPr="00825E5B">
          <w:rPr>
            <w:rStyle w:val="Hyperlink"/>
            <w:rFonts w:ascii="Times New Roman" w:hAnsi="Times New Roman"/>
            <w:b/>
          </w:rPr>
          <w:t>1.4.</w:t>
        </w:r>
        <w:r w:rsidR="00BE51C2" w:rsidRPr="00825E5B">
          <w:rPr>
            <w:rFonts w:asciiTheme="minorHAnsi" w:eastAsiaTheme="minorEastAsia" w:hAnsiTheme="minorHAnsi" w:cstheme="minorBidi"/>
            <w:smallCaps w:val="0"/>
            <w:sz w:val="22"/>
            <w:szCs w:val="22"/>
            <w:lang w:eastAsia="en-GB" w:bidi="ar-SA"/>
          </w:rPr>
          <w:tab/>
        </w:r>
        <w:r w:rsidR="00BE51C2" w:rsidRPr="00825E5B">
          <w:rPr>
            <w:rStyle w:val="Hyperlink"/>
            <w:rFonts w:ascii="Times New Roman" w:hAnsi="Times New Roman"/>
            <w:b/>
          </w:rPr>
          <w:t>Conven</w:t>
        </w:r>
        <w:r w:rsidR="00367C88">
          <w:rPr>
            <w:rStyle w:val="Hyperlink"/>
            <w:rFonts w:ascii="Times New Roman" w:hAnsi="Times New Roman"/>
            <w:b/>
          </w:rPr>
          <w:t>ț</w:t>
        </w:r>
        <w:r w:rsidR="00BE51C2" w:rsidRPr="00825E5B">
          <w:rPr>
            <w:rStyle w:val="Hyperlink"/>
            <w:rFonts w:ascii="Times New Roman" w:hAnsi="Times New Roman"/>
            <w:b/>
          </w:rPr>
          <w:t>ia privind semnul</w:t>
        </w:r>
        <w:r w:rsidR="00BE51C2" w:rsidRPr="00825E5B">
          <w:rPr>
            <w:webHidden/>
          </w:rPr>
          <w:tab/>
        </w:r>
        <w:r w:rsidR="00BE51C2" w:rsidRPr="00825E5B">
          <w:rPr>
            <w:webHidden/>
          </w:rPr>
          <w:fldChar w:fldCharType="begin"/>
        </w:r>
        <w:r w:rsidR="00BE51C2" w:rsidRPr="00825E5B">
          <w:rPr>
            <w:webHidden/>
          </w:rPr>
          <w:instrText xml:space="preserve"> PAGEREF _Toc523995568 \h </w:instrText>
        </w:r>
        <w:r w:rsidR="00BE51C2" w:rsidRPr="00825E5B">
          <w:rPr>
            <w:webHidden/>
          </w:rPr>
        </w:r>
        <w:r w:rsidR="00BE51C2" w:rsidRPr="00825E5B">
          <w:rPr>
            <w:webHidden/>
          </w:rPr>
          <w:fldChar w:fldCharType="separate"/>
        </w:r>
        <w:r w:rsidR="00367C88">
          <w:rPr>
            <w:webHidden/>
          </w:rPr>
          <w:t>3</w:t>
        </w:r>
        <w:r w:rsidR="00BE51C2" w:rsidRPr="00825E5B">
          <w:rPr>
            <w:webHidden/>
          </w:rPr>
          <w:fldChar w:fldCharType="end"/>
        </w:r>
      </w:hyperlink>
    </w:p>
    <w:p w:rsidR="00BE51C2" w:rsidRPr="00825E5B" w:rsidRDefault="00594F0A">
      <w:pPr>
        <w:pStyle w:val="TOC1"/>
        <w:rPr>
          <w:rFonts w:asciiTheme="minorHAnsi" w:eastAsiaTheme="minorEastAsia" w:hAnsiTheme="minorHAnsi" w:cstheme="minorBidi"/>
          <w:color w:val="auto"/>
          <w:sz w:val="22"/>
          <w:szCs w:val="22"/>
          <w:lang w:eastAsia="en-GB" w:bidi="ar-SA"/>
        </w:rPr>
      </w:pPr>
      <w:hyperlink w:anchor="_Toc523995569" w:history="1">
        <w:r w:rsidR="00BE51C2" w:rsidRPr="00825E5B">
          <w:rPr>
            <w:rStyle w:val="Hyperlink"/>
            <w:rFonts w:ascii="Times New Roman" w:hAnsi="Times New Roman"/>
            <w:b/>
          </w:rPr>
          <w:t>PARTEA II: INSTRUC</w:t>
        </w:r>
        <w:r w:rsidR="00367C88">
          <w:rPr>
            <w:rStyle w:val="Hyperlink"/>
            <w:rFonts w:ascii="Times New Roman" w:hAnsi="Times New Roman"/>
            <w:b/>
          </w:rPr>
          <w:t>Ț</w:t>
        </w:r>
        <w:r w:rsidR="00BE51C2" w:rsidRPr="00825E5B">
          <w:rPr>
            <w:rStyle w:val="Hyperlink"/>
            <w:rFonts w:ascii="Times New Roman" w:hAnsi="Times New Roman"/>
            <w:b/>
          </w:rPr>
          <w:t>IUNI AFERENTE FORMULARELOR</w:t>
        </w:r>
        <w:r w:rsidR="00BE51C2" w:rsidRPr="00825E5B">
          <w:rPr>
            <w:webHidden/>
          </w:rPr>
          <w:tab/>
        </w:r>
        <w:r w:rsidR="00BE51C2" w:rsidRPr="00825E5B">
          <w:rPr>
            <w:webHidden/>
          </w:rPr>
          <w:fldChar w:fldCharType="begin"/>
        </w:r>
        <w:r w:rsidR="00BE51C2" w:rsidRPr="00825E5B">
          <w:rPr>
            <w:webHidden/>
          </w:rPr>
          <w:instrText xml:space="preserve"> PAGEREF _Toc523995569 \h </w:instrText>
        </w:r>
        <w:r w:rsidR="00BE51C2" w:rsidRPr="00825E5B">
          <w:rPr>
            <w:webHidden/>
          </w:rPr>
        </w:r>
        <w:r w:rsidR="00BE51C2" w:rsidRPr="00825E5B">
          <w:rPr>
            <w:webHidden/>
          </w:rPr>
          <w:fldChar w:fldCharType="separate"/>
        </w:r>
        <w:r w:rsidR="00367C88">
          <w:rPr>
            <w:webHidden/>
          </w:rPr>
          <w:t>4</w:t>
        </w:r>
        <w:r w:rsidR="00BE51C2" w:rsidRPr="00825E5B">
          <w:rPr>
            <w:webHidden/>
          </w:rPr>
          <w:fldChar w:fldCharType="end"/>
        </w:r>
      </w:hyperlink>
    </w:p>
    <w:p w:rsidR="00BE51C2" w:rsidRPr="00825E5B" w:rsidRDefault="00594F0A">
      <w:pPr>
        <w:pStyle w:val="TOC2"/>
        <w:rPr>
          <w:rFonts w:asciiTheme="minorHAnsi" w:eastAsiaTheme="minorEastAsia" w:hAnsiTheme="minorHAnsi" w:cstheme="minorBidi"/>
          <w:b w:val="0"/>
          <w:smallCaps w:val="0"/>
          <w:sz w:val="22"/>
          <w:lang w:eastAsia="en-GB" w:bidi="ar-SA"/>
        </w:rPr>
      </w:pPr>
      <w:hyperlink w:anchor="_Toc523995570" w:history="1">
        <w:r w:rsidR="00BE51C2" w:rsidRPr="00825E5B">
          <w:rPr>
            <w:rStyle w:val="Hyperlink"/>
            <w:rFonts w:ascii="Times New Roman" w:hAnsi="Times New Roman"/>
          </w:rPr>
          <w:t>1.</w:t>
        </w:r>
        <w:r w:rsidR="00BE51C2" w:rsidRPr="00825E5B">
          <w:rPr>
            <w:rFonts w:asciiTheme="minorHAnsi" w:eastAsiaTheme="minorEastAsia" w:hAnsiTheme="minorHAnsi" w:cstheme="minorBidi"/>
            <w:b w:val="0"/>
            <w:smallCaps w:val="0"/>
            <w:sz w:val="22"/>
            <w:lang w:eastAsia="en-GB" w:bidi="ar-SA"/>
          </w:rPr>
          <w:tab/>
        </w:r>
        <w:r w:rsidR="00BE51C2" w:rsidRPr="00825E5B">
          <w:rPr>
            <w:rStyle w:val="Hyperlink"/>
            <w:rFonts w:ascii="Times New Roman" w:hAnsi="Times New Roman"/>
          </w:rPr>
          <w:t xml:space="preserve">Structură </w:t>
        </w:r>
        <w:r w:rsidR="00367C88">
          <w:rPr>
            <w:rStyle w:val="Hyperlink"/>
            <w:rFonts w:ascii="Times New Roman" w:hAnsi="Times New Roman"/>
          </w:rPr>
          <w:t>ș</w:t>
        </w:r>
        <w:r w:rsidR="00BE51C2" w:rsidRPr="00825E5B">
          <w:rPr>
            <w:rStyle w:val="Hyperlink"/>
            <w:rFonts w:ascii="Times New Roman" w:hAnsi="Times New Roman"/>
          </w:rPr>
          <w:t>i frecven</w:t>
        </w:r>
        <w:r w:rsidR="00367C88">
          <w:rPr>
            <w:rStyle w:val="Hyperlink"/>
            <w:rFonts w:ascii="Times New Roman" w:hAnsi="Times New Roman"/>
          </w:rPr>
          <w:t>ț</w:t>
        </w:r>
        <w:r w:rsidR="00BE51C2" w:rsidRPr="00825E5B">
          <w:rPr>
            <w:rStyle w:val="Hyperlink"/>
            <w:rFonts w:ascii="Times New Roman" w:hAnsi="Times New Roman"/>
          </w:rPr>
          <w:t>ă</w:t>
        </w:r>
        <w:r w:rsidR="00BE51C2" w:rsidRPr="00825E5B">
          <w:rPr>
            <w:webHidden/>
          </w:rPr>
          <w:tab/>
        </w:r>
        <w:r w:rsidR="00BE51C2" w:rsidRPr="00825E5B">
          <w:rPr>
            <w:webHidden/>
          </w:rPr>
          <w:fldChar w:fldCharType="begin"/>
        </w:r>
        <w:r w:rsidR="00BE51C2" w:rsidRPr="00825E5B">
          <w:rPr>
            <w:webHidden/>
          </w:rPr>
          <w:instrText xml:space="preserve"> PAGEREF _Toc523995570 \h </w:instrText>
        </w:r>
        <w:r w:rsidR="00BE51C2" w:rsidRPr="00825E5B">
          <w:rPr>
            <w:webHidden/>
          </w:rPr>
        </w:r>
        <w:r w:rsidR="00BE51C2" w:rsidRPr="00825E5B">
          <w:rPr>
            <w:webHidden/>
          </w:rPr>
          <w:fldChar w:fldCharType="separate"/>
        </w:r>
        <w:r w:rsidR="00367C88">
          <w:rPr>
            <w:webHidden/>
          </w:rPr>
          <w:t>4</w:t>
        </w:r>
        <w:r w:rsidR="00BE51C2" w:rsidRPr="00825E5B">
          <w:rPr>
            <w:webHidden/>
          </w:rPr>
          <w:fldChar w:fldCharType="end"/>
        </w:r>
      </w:hyperlink>
    </w:p>
    <w:p w:rsidR="00BE51C2" w:rsidRPr="00825E5B" w:rsidRDefault="00594F0A">
      <w:pPr>
        <w:pStyle w:val="TOC2"/>
        <w:rPr>
          <w:rFonts w:asciiTheme="minorHAnsi" w:eastAsiaTheme="minorEastAsia" w:hAnsiTheme="minorHAnsi" w:cstheme="minorBidi"/>
          <w:b w:val="0"/>
          <w:smallCaps w:val="0"/>
          <w:sz w:val="22"/>
          <w:lang w:eastAsia="en-GB" w:bidi="ar-SA"/>
        </w:rPr>
      </w:pPr>
      <w:hyperlink w:anchor="_Toc523995571" w:history="1">
        <w:r w:rsidR="00BE51C2" w:rsidRPr="00825E5B">
          <w:rPr>
            <w:rStyle w:val="Hyperlink"/>
            <w:rFonts w:ascii="Times New Roman" w:hAnsi="Times New Roman"/>
          </w:rPr>
          <w:t>2.</w:t>
        </w:r>
        <w:r w:rsidR="00BE51C2" w:rsidRPr="00825E5B">
          <w:rPr>
            <w:rFonts w:asciiTheme="minorHAnsi" w:eastAsiaTheme="minorEastAsia" w:hAnsiTheme="minorHAnsi" w:cstheme="minorBidi"/>
            <w:b w:val="0"/>
            <w:smallCaps w:val="0"/>
            <w:sz w:val="22"/>
            <w:lang w:eastAsia="en-GB" w:bidi="ar-SA"/>
          </w:rPr>
          <w:tab/>
        </w:r>
        <w:r w:rsidR="00BE51C2" w:rsidRPr="00825E5B">
          <w:rPr>
            <w:rStyle w:val="Hyperlink"/>
            <w:rFonts w:ascii="Times New Roman" w:hAnsi="Times New Roman"/>
          </w:rPr>
          <w:t>Formule pentru calculul indicatorului efectului de levier</w:t>
        </w:r>
        <w:r w:rsidR="00BE51C2" w:rsidRPr="00825E5B">
          <w:rPr>
            <w:webHidden/>
          </w:rPr>
          <w:tab/>
        </w:r>
        <w:r w:rsidR="00BE51C2" w:rsidRPr="00825E5B">
          <w:rPr>
            <w:webHidden/>
          </w:rPr>
          <w:fldChar w:fldCharType="begin"/>
        </w:r>
        <w:r w:rsidR="00BE51C2" w:rsidRPr="00825E5B">
          <w:rPr>
            <w:webHidden/>
          </w:rPr>
          <w:instrText xml:space="preserve"> PAGEREF _Toc523995571 \h </w:instrText>
        </w:r>
        <w:r w:rsidR="00BE51C2" w:rsidRPr="00825E5B">
          <w:rPr>
            <w:webHidden/>
          </w:rPr>
        </w:r>
        <w:r w:rsidR="00BE51C2" w:rsidRPr="00825E5B">
          <w:rPr>
            <w:webHidden/>
          </w:rPr>
          <w:fldChar w:fldCharType="separate"/>
        </w:r>
        <w:r w:rsidR="00367C88">
          <w:rPr>
            <w:webHidden/>
          </w:rPr>
          <w:t>4</w:t>
        </w:r>
        <w:r w:rsidR="00BE51C2" w:rsidRPr="00825E5B">
          <w:rPr>
            <w:webHidden/>
          </w:rPr>
          <w:fldChar w:fldCharType="end"/>
        </w:r>
      </w:hyperlink>
    </w:p>
    <w:p w:rsidR="00BE51C2" w:rsidRPr="00825E5B" w:rsidRDefault="00594F0A">
      <w:pPr>
        <w:pStyle w:val="TOC2"/>
        <w:rPr>
          <w:rFonts w:asciiTheme="minorHAnsi" w:eastAsiaTheme="minorEastAsia" w:hAnsiTheme="minorHAnsi" w:cstheme="minorBidi"/>
          <w:b w:val="0"/>
          <w:smallCaps w:val="0"/>
          <w:sz w:val="22"/>
          <w:lang w:eastAsia="en-GB" w:bidi="ar-SA"/>
        </w:rPr>
      </w:pPr>
      <w:hyperlink w:anchor="_Toc523995572" w:history="1">
        <w:r w:rsidR="00BE51C2" w:rsidRPr="00825E5B">
          <w:rPr>
            <w:rStyle w:val="Hyperlink"/>
            <w:rFonts w:ascii="Times New Roman" w:hAnsi="Times New Roman"/>
          </w:rPr>
          <w:t>3.</w:t>
        </w:r>
        <w:r w:rsidR="00BE51C2" w:rsidRPr="00825E5B">
          <w:rPr>
            <w:rFonts w:asciiTheme="minorHAnsi" w:eastAsiaTheme="minorEastAsia" w:hAnsiTheme="minorHAnsi" w:cstheme="minorBidi"/>
            <w:b w:val="0"/>
            <w:smallCaps w:val="0"/>
            <w:sz w:val="22"/>
            <w:lang w:eastAsia="en-GB" w:bidi="ar-SA"/>
          </w:rPr>
          <w:tab/>
        </w:r>
        <w:r w:rsidR="00BE51C2" w:rsidRPr="00825E5B">
          <w:rPr>
            <w:rStyle w:val="Hyperlink"/>
            <w:rFonts w:ascii="Times New Roman" w:hAnsi="Times New Roman"/>
          </w:rPr>
          <w:t>Praguri de semnifica</w:t>
        </w:r>
        <w:r w:rsidR="00367C88">
          <w:rPr>
            <w:rStyle w:val="Hyperlink"/>
            <w:rFonts w:ascii="Times New Roman" w:hAnsi="Times New Roman"/>
          </w:rPr>
          <w:t>ț</w:t>
        </w:r>
        <w:r w:rsidR="00BE51C2" w:rsidRPr="00825E5B">
          <w:rPr>
            <w:rStyle w:val="Hyperlink"/>
            <w:rFonts w:ascii="Times New Roman" w:hAnsi="Times New Roman"/>
          </w:rPr>
          <w:t>ie pentru instrumentele financiare derivate</w:t>
        </w:r>
        <w:r w:rsidR="00BE51C2" w:rsidRPr="00825E5B">
          <w:rPr>
            <w:webHidden/>
          </w:rPr>
          <w:tab/>
        </w:r>
        <w:r w:rsidR="00BE51C2" w:rsidRPr="00825E5B">
          <w:rPr>
            <w:webHidden/>
          </w:rPr>
          <w:fldChar w:fldCharType="begin"/>
        </w:r>
        <w:r w:rsidR="00BE51C2" w:rsidRPr="00825E5B">
          <w:rPr>
            <w:webHidden/>
          </w:rPr>
          <w:instrText xml:space="preserve"> PAGEREF _Toc523995572 \h </w:instrText>
        </w:r>
        <w:r w:rsidR="00BE51C2" w:rsidRPr="00825E5B">
          <w:rPr>
            <w:webHidden/>
          </w:rPr>
        </w:r>
        <w:r w:rsidR="00BE51C2" w:rsidRPr="00825E5B">
          <w:rPr>
            <w:webHidden/>
          </w:rPr>
          <w:fldChar w:fldCharType="separate"/>
        </w:r>
        <w:r w:rsidR="00367C88">
          <w:rPr>
            <w:webHidden/>
          </w:rPr>
          <w:t>4</w:t>
        </w:r>
        <w:r w:rsidR="00BE51C2" w:rsidRPr="00825E5B">
          <w:rPr>
            <w:webHidden/>
          </w:rPr>
          <w:fldChar w:fldCharType="end"/>
        </w:r>
      </w:hyperlink>
    </w:p>
    <w:p w:rsidR="00BE51C2" w:rsidRPr="00825E5B" w:rsidRDefault="00594F0A">
      <w:pPr>
        <w:pStyle w:val="TOC2"/>
        <w:rPr>
          <w:rFonts w:asciiTheme="minorHAnsi" w:eastAsiaTheme="minorEastAsia" w:hAnsiTheme="minorHAnsi" w:cstheme="minorBidi"/>
          <w:b w:val="0"/>
          <w:smallCaps w:val="0"/>
          <w:sz w:val="22"/>
          <w:lang w:eastAsia="en-GB" w:bidi="ar-SA"/>
        </w:rPr>
      </w:pPr>
      <w:hyperlink w:anchor="_Toc523995573" w:history="1">
        <w:r w:rsidR="00BE51C2" w:rsidRPr="00825E5B">
          <w:rPr>
            <w:rStyle w:val="Hyperlink"/>
            <w:rFonts w:ascii="Times New Roman" w:hAnsi="Times New Roman"/>
          </w:rPr>
          <w:t>4.</w:t>
        </w:r>
        <w:r w:rsidR="00BE51C2" w:rsidRPr="00825E5B">
          <w:rPr>
            <w:rFonts w:asciiTheme="minorHAnsi" w:eastAsiaTheme="minorEastAsia" w:hAnsiTheme="minorHAnsi" w:cstheme="minorBidi"/>
            <w:b w:val="0"/>
            <w:smallCaps w:val="0"/>
            <w:sz w:val="22"/>
            <w:lang w:eastAsia="en-GB" w:bidi="ar-SA"/>
          </w:rPr>
          <w:tab/>
        </w:r>
        <w:r w:rsidR="00BE51C2" w:rsidRPr="00825E5B">
          <w:rPr>
            <w:rStyle w:val="Hyperlink"/>
            <w:rFonts w:ascii="Times New Roman" w:hAnsi="Times New Roman"/>
          </w:rPr>
          <w:t>C 47.00 – Calculul indicatorului efectului de levier (LRCalc)</w:t>
        </w:r>
        <w:r w:rsidR="00BE51C2" w:rsidRPr="00825E5B">
          <w:rPr>
            <w:webHidden/>
          </w:rPr>
          <w:tab/>
        </w:r>
        <w:r w:rsidR="00BE51C2" w:rsidRPr="00825E5B">
          <w:rPr>
            <w:webHidden/>
          </w:rPr>
          <w:fldChar w:fldCharType="begin"/>
        </w:r>
        <w:r w:rsidR="00BE51C2" w:rsidRPr="00825E5B">
          <w:rPr>
            <w:webHidden/>
          </w:rPr>
          <w:instrText xml:space="preserve"> PAGEREF _Toc523995573 \h </w:instrText>
        </w:r>
        <w:r w:rsidR="00BE51C2" w:rsidRPr="00825E5B">
          <w:rPr>
            <w:webHidden/>
          </w:rPr>
        </w:r>
        <w:r w:rsidR="00BE51C2" w:rsidRPr="00825E5B">
          <w:rPr>
            <w:webHidden/>
          </w:rPr>
          <w:fldChar w:fldCharType="separate"/>
        </w:r>
        <w:r w:rsidR="00367C88">
          <w:rPr>
            <w:webHidden/>
          </w:rPr>
          <w:t>5</w:t>
        </w:r>
        <w:r w:rsidR="00BE51C2" w:rsidRPr="00825E5B">
          <w:rPr>
            <w:webHidden/>
          </w:rPr>
          <w:fldChar w:fldCharType="end"/>
        </w:r>
      </w:hyperlink>
    </w:p>
    <w:p w:rsidR="00BE51C2" w:rsidRPr="00825E5B" w:rsidRDefault="00594F0A">
      <w:pPr>
        <w:pStyle w:val="TOC2"/>
        <w:rPr>
          <w:rFonts w:asciiTheme="minorHAnsi" w:eastAsiaTheme="minorEastAsia" w:hAnsiTheme="minorHAnsi" w:cstheme="minorBidi"/>
          <w:b w:val="0"/>
          <w:smallCaps w:val="0"/>
          <w:sz w:val="22"/>
          <w:lang w:eastAsia="en-GB" w:bidi="ar-SA"/>
        </w:rPr>
      </w:pPr>
      <w:hyperlink w:anchor="_Toc523995574" w:history="1">
        <w:r w:rsidR="00BE51C2" w:rsidRPr="00825E5B">
          <w:rPr>
            <w:rStyle w:val="Hyperlink"/>
            <w:rFonts w:ascii="Times New Roman" w:hAnsi="Times New Roman"/>
          </w:rPr>
          <w:t>5.</w:t>
        </w:r>
        <w:r w:rsidR="00BE51C2" w:rsidRPr="00825E5B">
          <w:rPr>
            <w:rFonts w:asciiTheme="minorHAnsi" w:eastAsiaTheme="minorEastAsia" w:hAnsiTheme="minorHAnsi" w:cstheme="minorBidi"/>
            <w:b w:val="0"/>
            <w:smallCaps w:val="0"/>
            <w:sz w:val="22"/>
            <w:lang w:eastAsia="en-GB" w:bidi="ar-SA"/>
          </w:rPr>
          <w:tab/>
        </w:r>
        <w:r w:rsidR="00BE51C2" w:rsidRPr="00825E5B">
          <w:rPr>
            <w:rStyle w:val="Hyperlink"/>
            <w:rFonts w:ascii="Times New Roman" w:hAnsi="Times New Roman"/>
          </w:rPr>
          <w:t>C 40.00 – Tratamentul alternativ al indicatorului de măsurare a expunerii (LR1)</w:t>
        </w:r>
        <w:r w:rsidR="00BE51C2" w:rsidRPr="00825E5B">
          <w:rPr>
            <w:webHidden/>
          </w:rPr>
          <w:tab/>
        </w:r>
        <w:r w:rsidR="00BE51C2" w:rsidRPr="00825E5B">
          <w:rPr>
            <w:webHidden/>
          </w:rPr>
          <w:fldChar w:fldCharType="begin"/>
        </w:r>
        <w:r w:rsidR="00BE51C2" w:rsidRPr="00825E5B">
          <w:rPr>
            <w:webHidden/>
          </w:rPr>
          <w:instrText xml:space="preserve"> PAGEREF _Toc523995574 \h </w:instrText>
        </w:r>
        <w:r w:rsidR="00BE51C2" w:rsidRPr="00825E5B">
          <w:rPr>
            <w:webHidden/>
          </w:rPr>
        </w:r>
        <w:r w:rsidR="00BE51C2" w:rsidRPr="00825E5B">
          <w:rPr>
            <w:webHidden/>
          </w:rPr>
          <w:fldChar w:fldCharType="separate"/>
        </w:r>
        <w:r w:rsidR="00367C88">
          <w:rPr>
            <w:webHidden/>
          </w:rPr>
          <w:t>15</w:t>
        </w:r>
        <w:r w:rsidR="00BE51C2" w:rsidRPr="00825E5B">
          <w:rPr>
            <w:webHidden/>
          </w:rPr>
          <w:fldChar w:fldCharType="end"/>
        </w:r>
      </w:hyperlink>
    </w:p>
    <w:p w:rsidR="00BE51C2" w:rsidRPr="00825E5B" w:rsidRDefault="00594F0A">
      <w:pPr>
        <w:pStyle w:val="TOC2"/>
        <w:rPr>
          <w:rFonts w:asciiTheme="minorHAnsi" w:eastAsiaTheme="minorEastAsia" w:hAnsiTheme="minorHAnsi" w:cstheme="minorBidi"/>
          <w:b w:val="0"/>
          <w:smallCaps w:val="0"/>
          <w:sz w:val="22"/>
          <w:lang w:eastAsia="en-GB" w:bidi="ar-SA"/>
        </w:rPr>
      </w:pPr>
      <w:hyperlink w:anchor="_Toc523995575" w:history="1">
        <w:r w:rsidR="00BE51C2" w:rsidRPr="00825E5B">
          <w:rPr>
            <w:rStyle w:val="Hyperlink"/>
            <w:rFonts w:ascii="Times New Roman" w:hAnsi="Times New Roman"/>
          </w:rPr>
          <w:t>6.</w:t>
        </w:r>
        <w:r w:rsidR="00BE51C2" w:rsidRPr="00825E5B">
          <w:rPr>
            <w:rFonts w:asciiTheme="minorHAnsi" w:eastAsiaTheme="minorEastAsia" w:hAnsiTheme="minorHAnsi" w:cstheme="minorBidi"/>
            <w:b w:val="0"/>
            <w:smallCaps w:val="0"/>
            <w:sz w:val="22"/>
            <w:lang w:eastAsia="en-GB" w:bidi="ar-SA"/>
          </w:rPr>
          <w:tab/>
        </w:r>
        <w:r w:rsidR="00BE51C2" w:rsidRPr="00825E5B">
          <w:rPr>
            <w:rStyle w:val="Hyperlink"/>
            <w:rFonts w:ascii="Times New Roman" w:hAnsi="Times New Roman"/>
          </w:rPr>
          <w:t>C 41.00 – Elemente bilan</w:t>
        </w:r>
        <w:r w:rsidR="00367C88">
          <w:rPr>
            <w:rStyle w:val="Hyperlink"/>
            <w:rFonts w:ascii="Times New Roman" w:hAnsi="Times New Roman"/>
          </w:rPr>
          <w:t>ț</w:t>
        </w:r>
        <w:r w:rsidR="00BE51C2" w:rsidRPr="00825E5B">
          <w:rPr>
            <w:rStyle w:val="Hyperlink"/>
            <w:rFonts w:ascii="Times New Roman" w:hAnsi="Times New Roman"/>
          </w:rPr>
          <w:t xml:space="preserve">iere </w:t>
        </w:r>
        <w:r w:rsidR="00367C88">
          <w:rPr>
            <w:rStyle w:val="Hyperlink"/>
            <w:rFonts w:ascii="Times New Roman" w:hAnsi="Times New Roman"/>
          </w:rPr>
          <w:t>ș</w:t>
        </w:r>
        <w:r w:rsidR="00BE51C2" w:rsidRPr="00825E5B">
          <w:rPr>
            <w:rStyle w:val="Hyperlink"/>
            <w:rFonts w:ascii="Times New Roman" w:hAnsi="Times New Roman"/>
          </w:rPr>
          <w:t>i extrabilan</w:t>
        </w:r>
        <w:r w:rsidR="00367C88">
          <w:rPr>
            <w:rStyle w:val="Hyperlink"/>
            <w:rFonts w:ascii="Times New Roman" w:hAnsi="Times New Roman"/>
          </w:rPr>
          <w:t>ț</w:t>
        </w:r>
        <w:r w:rsidR="00BE51C2" w:rsidRPr="00825E5B">
          <w:rPr>
            <w:rStyle w:val="Hyperlink"/>
            <w:rFonts w:ascii="Times New Roman" w:hAnsi="Times New Roman"/>
          </w:rPr>
          <w:t>iere – Defalcarea suplimentară a expunerilor (LR2)</w:t>
        </w:r>
        <w:r w:rsidR="00BE51C2" w:rsidRPr="00825E5B">
          <w:rPr>
            <w:webHidden/>
          </w:rPr>
          <w:tab/>
        </w:r>
        <w:r w:rsidR="00BE51C2" w:rsidRPr="00825E5B">
          <w:rPr>
            <w:webHidden/>
          </w:rPr>
          <w:fldChar w:fldCharType="begin"/>
        </w:r>
        <w:r w:rsidR="00BE51C2" w:rsidRPr="00825E5B">
          <w:rPr>
            <w:webHidden/>
          </w:rPr>
          <w:instrText xml:space="preserve"> PAGEREF _Toc523995575 \h </w:instrText>
        </w:r>
        <w:r w:rsidR="00BE51C2" w:rsidRPr="00825E5B">
          <w:rPr>
            <w:webHidden/>
          </w:rPr>
        </w:r>
        <w:r w:rsidR="00BE51C2" w:rsidRPr="00825E5B">
          <w:rPr>
            <w:webHidden/>
          </w:rPr>
          <w:fldChar w:fldCharType="separate"/>
        </w:r>
        <w:r w:rsidR="00367C88">
          <w:rPr>
            <w:webHidden/>
          </w:rPr>
          <w:t>25</w:t>
        </w:r>
        <w:r w:rsidR="00BE51C2" w:rsidRPr="00825E5B">
          <w:rPr>
            <w:webHidden/>
          </w:rPr>
          <w:fldChar w:fldCharType="end"/>
        </w:r>
      </w:hyperlink>
    </w:p>
    <w:p w:rsidR="00BE51C2" w:rsidRPr="00825E5B" w:rsidRDefault="00594F0A">
      <w:pPr>
        <w:pStyle w:val="TOC2"/>
        <w:rPr>
          <w:rFonts w:asciiTheme="minorHAnsi" w:eastAsiaTheme="minorEastAsia" w:hAnsiTheme="minorHAnsi" w:cstheme="minorBidi"/>
          <w:b w:val="0"/>
          <w:smallCaps w:val="0"/>
          <w:sz w:val="22"/>
          <w:lang w:eastAsia="en-GB" w:bidi="ar-SA"/>
        </w:rPr>
      </w:pPr>
      <w:hyperlink w:anchor="_Toc523995576" w:history="1">
        <w:r w:rsidR="00BE51C2" w:rsidRPr="00825E5B">
          <w:rPr>
            <w:rStyle w:val="Hyperlink"/>
            <w:rFonts w:ascii="Times New Roman" w:hAnsi="Times New Roman"/>
          </w:rPr>
          <w:t>7.</w:t>
        </w:r>
        <w:r w:rsidR="00BE51C2" w:rsidRPr="00825E5B">
          <w:rPr>
            <w:rFonts w:asciiTheme="minorHAnsi" w:eastAsiaTheme="minorEastAsia" w:hAnsiTheme="minorHAnsi" w:cstheme="minorBidi"/>
            <w:b w:val="0"/>
            <w:smallCaps w:val="0"/>
            <w:sz w:val="22"/>
            <w:lang w:eastAsia="en-GB" w:bidi="ar-SA"/>
          </w:rPr>
          <w:tab/>
        </w:r>
        <w:r w:rsidR="00BE51C2" w:rsidRPr="00825E5B">
          <w:rPr>
            <w:rStyle w:val="Hyperlink"/>
            <w:rFonts w:ascii="Times New Roman" w:hAnsi="Times New Roman"/>
          </w:rPr>
          <w:t>C 42.00 – Defini</w:t>
        </w:r>
        <w:r w:rsidR="00367C88">
          <w:rPr>
            <w:rStyle w:val="Hyperlink"/>
            <w:rFonts w:ascii="Times New Roman" w:hAnsi="Times New Roman"/>
          </w:rPr>
          <w:t>ț</w:t>
        </w:r>
        <w:r w:rsidR="00BE51C2" w:rsidRPr="00825E5B">
          <w:rPr>
            <w:rStyle w:val="Hyperlink"/>
            <w:rFonts w:ascii="Times New Roman" w:hAnsi="Times New Roman"/>
          </w:rPr>
          <w:t>ia alternativă a capitalului (LR3)</w:t>
        </w:r>
        <w:r w:rsidR="00BE51C2" w:rsidRPr="00825E5B">
          <w:rPr>
            <w:webHidden/>
          </w:rPr>
          <w:tab/>
        </w:r>
        <w:r w:rsidR="00BE51C2" w:rsidRPr="00825E5B">
          <w:rPr>
            <w:webHidden/>
          </w:rPr>
          <w:fldChar w:fldCharType="begin"/>
        </w:r>
        <w:r w:rsidR="00BE51C2" w:rsidRPr="00825E5B">
          <w:rPr>
            <w:webHidden/>
          </w:rPr>
          <w:instrText xml:space="preserve"> PAGEREF _Toc523995576 \h </w:instrText>
        </w:r>
        <w:r w:rsidR="00BE51C2" w:rsidRPr="00825E5B">
          <w:rPr>
            <w:webHidden/>
          </w:rPr>
        </w:r>
        <w:r w:rsidR="00BE51C2" w:rsidRPr="00825E5B">
          <w:rPr>
            <w:webHidden/>
          </w:rPr>
          <w:fldChar w:fldCharType="separate"/>
        </w:r>
        <w:r w:rsidR="00367C88">
          <w:rPr>
            <w:webHidden/>
          </w:rPr>
          <w:t>27</w:t>
        </w:r>
        <w:r w:rsidR="00BE51C2" w:rsidRPr="00825E5B">
          <w:rPr>
            <w:webHidden/>
          </w:rPr>
          <w:fldChar w:fldCharType="end"/>
        </w:r>
      </w:hyperlink>
    </w:p>
    <w:p w:rsidR="00BE51C2" w:rsidRPr="00825E5B" w:rsidRDefault="00594F0A">
      <w:pPr>
        <w:pStyle w:val="TOC2"/>
        <w:rPr>
          <w:rFonts w:asciiTheme="minorHAnsi" w:eastAsiaTheme="minorEastAsia" w:hAnsiTheme="minorHAnsi" w:cstheme="minorBidi"/>
          <w:b w:val="0"/>
          <w:smallCaps w:val="0"/>
          <w:sz w:val="22"/>
          <w:lang w:eastAsia="en-GB" w:bidi="ar-SA"/>
        </w:rPr>
      </w:pPr>
      <w:hyperlink w:anchor="_Toc523995577" w:history="1">
        <w:r w:rsidR="00BE51C2" w:rsidRPr="00825E5B">
          <w:rPr>
            <w:rStyle w:val="Hyperlink"/>
            <w:rFonts w:ascii="Times New Roman" w:hAnsi="Times New Roman"/>
          </w:rPr>
          <w:t>8.</w:t>
        </w:r>
        <w:r w:rsidR="00BE51C2" w:rsidRPr="00825E5B">
          <w:rPr>
            <w:rFonts w:asciiTheme="minorHAnsi" w:eastAsiaTheme="minorEastAsia" w:hAnsiTheme="minorHAnsi" w:cstheme="minorBidi"/>
            <w:b w:val="0"/>
            <w:smallCaps w:val="0"/>
            <w:sz w:val="22"/>
            <w:lang w:eastAsia="en-GB" w:bidi="ar-SA"/>
          </w:rPr>
          <w:tab/>
        </w:r>
        <w:r w:rsidR="00BE51C2" w:rsidRPr="00825E5B">
          <w:rPr>
            <w:rStyle w:val="Hyperlink"/>
            <w:rFonts w:ascii="Times New Roman" w:hAnsi="Times New Roman"/>
          </w:rPr>
          <w:t>C 43.00 – Defalcarea alternativă a componentelor indicatorului de măsurare a expunerii utilizat pentru calcularea indicatorului efectului de levier (LR4)</w:t>
        </w:r>
        <w:r w:rsidR="00BE51C2" w:rsidRPr="00825E5B">
          <w:rPr>
            <w:webHidden/>
          </w:rPr>
          <w:tab/>
        </w:r>
        <w:r w:rsidR="00BE51C2" w:rsidRPr="00825E5B">
          <w:rPr>
            <w:webHidden/>
          </w:rPr>
          <w:fldChar w:fldCharType="begin"/>
        </w:r>
        <w:r w:rsidR="00BE51C2" w:rsidRPr="00825E5B">
          <w:rPr>
            <w:webHidden/>
          </w:rPr>
          <w:instrText xml:space="preserve"> PAGEREF _Toc523995577 \h </w:instrText>
        </w:r>
        <w:r w:rsidR="00BE51C2" w:rsidRPr="00825E5B">
          <w:rPr>
            <w:webHidden/>
          </w:rPr>
        </w:r>
        <w:r w:rsidR="00BE51C2" w:rsidRPr="00825E5B">
          <w:rPr>
            <w:webHidden/>
          </w:rPr>
          <w:fldChar w:fldCharType="separate"/>
        </w:r>
        <w:r w:rsidR="00367C88">
          <w:rPr>
            <w:webHidden/>
          </w:rPr>
          <w:t>29</w:t>
        </w:r>
        <w:r w:rsidR="00BE51C2" w:rsidRPr="00825E5B">
          <w:rPr>
            <w:webHidden/>
          </w:rPr>
          <w:fldChar w:fldCharType="end"/>
        </w:r>
      </w:hyperlink>
    </w:p>
    <w:p w:rsidR="00BE51C2" w:rsidRPr="00825E5B" w:rsidRDefault="00594F0A">
      <w:pPr>
        <w:pStyle w:val="TOC2"/>
        <w:rPr>
          <w:rFonts w:asciiTheme="minorHAnsi" w:eastAsiaTheme="minorEastAsia" w:hAnsiTheme="minorHAnsi" w:cstheme="minorBidi"/>
          <w:b w:val="0"/>
          <w:smallCaps w:val="0"/>
          <w:sz w:val="22"/>
          <w:lang w:eastAsia="en-GB" w:bidi="ar-SA"/>
        </w:rPr>
      </w:pPr>
      <w:hyperlink w:anchor="_Toc523995578" w:history="1">
        <w:r w:rsidR="00BE51C2" w:rsidRPr="00825E5B">
          <w:rPr>
            <w:rStyle w:val="Hyperlink"/>
            <w:rFonts w:ascii="Times New Roman" w:hAnsi="Times New Roman"/>
          </w:rPr>
          <w:t>9.</w:t>
        </w:r>
        <w:r w:rsidR="00BE51C2" w:rsidRPr="00825E5B">
          <w:rPr>
            <w:rFonts w:asciiTheme="minorHAnsi" w:eastAsiaTheme="minorEastAsia" w:hAnsiTheme="minorHAnsi" w:cstheme="minorBidi"/>
            <w:b w:val="0"/>
            <w:smallCaps w:val="0"/>
            <w:sz w:val="22"/>
            <w:lang w:eastAsia="en-GB" w:bidi="ar-SA"/>
          </w:rPr>
          <w:tab/>
        </w:r>
        <w:r w:rsidR="00BE51C2" w:rsidRPr="00825E5B">
          <w:rPr>
            <w:rStyle w:val="Hyperlink"/>
            <w:rFonts w:ascii="Times New Roman" w:hAnsi="Times New Roman"/>
          </w:rPr>
          <w:t>C 44.00 – Informa</w:t>
        </w:r>
        <w:r w:rsidR="00367C88">
          <w:rPr>
            <w:rStyle w:val="Hyperlink"/>
            <w:rFonts w:ascii="Times New Roman" w:hAnsi="Times New Roman"/>
          </w:rPr>
          <w:t>ț</w:t>
        </w:r>
        <w:r w:rsidR="00BE51C2" w:rsidRPr="00825E5B">
          <w:rPr>
            <w:rStyle w:val="Hyperlink"/>
            <w:rFonts w:ascii="Times New Roman" w:hAnsi="Times New Roman"/>
          </w:rPr>
          <w:t>ii generale (LR5)</w:t>
        </w:r>
        <w:r w:rsidR="00BE51C2" w:rsidRPr="00825E5B">
          <w:rPr>
            <w:webHidden/>
          </w:rPr>
          <w:tab/>
        </w:r>
        <w:r w:rsidR="00BE51C2" w:rsidRPr="00825E5B">
          <w:rPr>
            <w:webHidden/>
          </w:rPr>
          <w:fldChar w:fldCharType="begin"/>
        </w:r>
        <w:r w:rsidR="00BE51C2" w:rsidRPr="00825E5B">
          <w:rPr>
            <w:webHidden/>
          </w:rPr>
          <w:instrText xml:space="preserve"> PAGEREF _Toc523995578 \h </w:instrText>
        </w:r>
        <w:r w:rsidR="00BE51C2" w:rsidRPr="00825E5B">
          <w:rPr>
            <w:webHidden/>
          </w:rPr>
        </w:r>
        <w:r w:rsidR="00BE51C2" w:rsidRPr="00825E5B">
          <w:rPr>
            <w:webHidden/>
          </w:rPr>
          <w:fldChar w:fldCharType="separate"/>
        </w:r>
        <w:r w:rsidR="00367C88">
          <w:rPr>
            <w:webHidden/>
          </w:rPr>
          <w:t>48</w:t>
        </w:r>
        <w:r w:rsidR="00BE51C2" w:rsidRPr="00825E5B">
          <w:rPr>
            <w:webHidden/>
          </w:rPr>
          <w:fldChar w:fldCharType="end"/>
        </w:r>
      </w:hyperlink>
    </w:p>
    <w:p w:rsidR="0096162A" w:rsidRPr="00825E5B" w:rsidRDefault="00825E5B">
      <w:pPr>
        <w:pStyle w:val="BodyText1"/>
        <w:rPr>
          <w:rFonts w:ascii="Times New Roman" w:eastAsiaTheme="minorEastAsia" w:hAnsi="Times New Roman"/>
          <w:color w:val="auto"/>
          <w:sz w:val="22"/>
          <w:szCs w:val="22"/>
        </w:rPr>
        <w:sectPr w:rsidR="0096162A" w:rsidRPr="00825E5B"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sidRPr="00825E5B">
        <w:rPr>
          <w:rFonts w:ascii="Times New Roman" w:hAnsi="Times New Roman"/>
        </w:rPr>
        <w:fldChar w:fldCharType="end"/>
      </w:r>
    </w:p>
    <w:p w:rsidR="00F4754B" w:rsidRPr="00825E5B" w:rsidRDefault="00F4754B" w:rsidP="00F4754B">
      <w:pPr>
        <w:pStyle w:val="BodyText1"/>
        <w:rPr>
          <w:rFonts w:ascii="Times New Roman" w:hAnsi="Times New Roman"/>
        </w:rPr>
      </w:pPr>
    </w:p>
    <w:p w:rsidR="00217D1F" w:rsidRPr="00825E5B"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3995563"/>
      <w:r w:rsidRPr="00825E5B">
        <w:rPr>
          <w:rFonts w:ascii="Times New Roman" w:hAnsi="Times New Roman"/>
          <w:b/>
          <w:sz w:val="24"/>
        </w:rPr>
        <w:t>PARTEA I:</w:t>
      </w:r>
      <w:bookmarkEnd w:id="0"/>
      <w:r w:rsidRPr="00825E5B">
        <w:rPr>
          <w:rFonts w:ascii="Times New Roman" w:hAnsi="Times New Roman"/>
          <w:b/>
          <w:sz w:val="24"/>
        </w:rPr>
        <w:t xml:space="preserve"> INSTRUC</w:t>
      </w:r>
      <w:r w:rsidR="00367C88">
        <w:rPr>
          <w:rFonts w:ascii="Times New Roman" w:hAnsi="Times New Roman"/>
          <w:b/>
          <w:sz w:val="24"/>
        </w:rPr>
        <w:t>Ț</w:t>
      </w:r>
      <w:r w:rsidRPr="00825E5B">
        <w:rPr>
          <w:rFonts w:ascii="Times New Roman" w:hAnsi="Times New Roman"/>
          <w:b/>
          <w:sz w:val="24"/>
        </w:rPr>
        <w:t>IUNI GENERALE</w:t>
      </w:r>
      <w:bookmarkEnd w:id="1"/>
      <w:bookmarkEnd w:id="2"/>
      <w:bookmarkEnd w:id="3"/>
      <w:bookmarkEnd w:id="4"/>
      <w:bookmarkEnd w:id="5"/>
    </w:p>
    <w:p w:rsidR="00FF2091" w:rsidRPr="00825E5B" w:rsidRDefault="00FF2091" w:rsidP="00A860E1">
      <w:pPr>
        <w:pStyle w:val="BodyText1"/>
      </w:pPr>
      <w:bookmarkStart w:id="6" w:name="_Toc351048500"/>
    </w:p>
    <w:p w:rsidR="00217D1F" w:rsidRPr="00825E5B"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3995564"/>
      <w:r w:rsidRPr="00825E5B">
        <w:rPr>
          <w:rFonts w:ascii="Times New Roman" w:hAnsi="Times New Roman"/>
          <w:b/>
        </w:rPr>
        <w:t>1.</w:t>
      </w:r>
      <w:r w:rsidRPr="00825E5B">
        <w:tab/>
      </w:r>
      <w:r w:rsidRPr="00825E5B">
        <w:rPr>
          <w:rFonts w:ascii="Times New Roman" w:hAnsi="Times New Roman"/>
          <w:b/>
        </w:rPr>
        <w:t xml:space="preserve">Denumirea formularelor </w:t>
      </w:r>
      <w:r w:rsidR="00367C88">
        <w:rPr>
          <w:rFonts w:ascii="Times New Roman" w:hAnsi="Times New Roman"/>
          <w:b/>
        </w:rPr>
        <w:t>ș</w:t>
      </w:r>
      <w:r w:rsidRPr="00825E5B">
        <w:rPr>
          <w:rFonts w:ascii="Times New Roman" w:hAnsi="Times New Roman"/>
          <w:b/>
        </w:rPr>
        <w:t>i alte conven</w:t>
      </w:r>
      <w:r w:rsidR="00367C88">
        <w:rPr>
          <w:rFonts w:ascii="Times New Roman" w:hAnsi="Times New Roman"/>
          <w:b/>
        </w:rPr>
        <w:t>ț</w:t>
      </w:r>
      <w:r w:rsidRPr="00825E5B">
        <w:rPr>
          <w:rFonts w:ascii="Times New Roman" w:hAnsi="Times New Roman"/>
          <w:b/>
        </w:rPr>
        <w:t>ii</w:t>
      </w:r>
      <w:bookmarkEnd w:id="6"/>
      <w:bookmarkEnd w:id="7"/>
      <w:bookmarkEnd w:id="8"/>
      <w:bookmarkEnd w:id="9"/>
      <w:bookmarkEnd w:id="10"/>
    </w:p>
    <w:p w:rsidR="00FF2091" w:rsidRPr="00825E5B" w:rsidRDefault="00FF2091" w:rsidP="00A860E1">
      <w:pPr>
        <w:pStyle w:val="BodyText1"/>
      </w:pPr>
    </w:p>
    <w:p w:rsidR="00217D1F" w:rsidRPr="00825E5B"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523995565"/>
      <w:bookmarkStart w:id="15" w:name="_Toc264038399"/>
      <w:bookmarkStart w:id="16" w:name="_Toc294018834"/>
      <w:r w:rsidRPr="00825E5B">
        <w:rPr>
          <w:rFonts w:ascii="Times New Roman" w:hAnsi="Times New Roman"/>
          <w:b/>
        </w:rPr>
        <w:t>1.1.</w:t>
      </w:r>
      <w:r w:rsidRPr="00825E5B">
        <w:tab/>
      </w:r>
      <w:r w:rsidRPr="00825E5B">
        <w:rPr>
          <w:rFonts w:ascii="Times New Roman" w:hAnsi="Times New Roman"/>
          <w:b/>
        </w:rPr>
        <w:t>Denumirea</w:t>
      </w:r>
      <w:bookmarkEnd w:id="11"/>
      <w:r w:rsidRPr="00825E5B">
        <w:rPr>
          <w:rFonts w:ascii="Times New Roman" w:hAnsi="Times New Roman"/>
          <w:b/>
        </w:rPr>
        <w:t xml:space="preserve"> formularelor</w:t>
      </w:r>
      <w:bookmarkEnd w:id="12"/>
      <w:bookmarkEnd w:id="13"/>
      <w:bookmarkEnd w:id="14"/>
    </w:p>
    <w:p w:rsidR="00FF2091" w:rsidRPr="00825E5B" w:rsidRDefault="00FF2091" w:rsidP="00A860E1">
      <w:pPr>
        <w:pStyle w:val="BodyText1"/>
      </w:pPr>
    </w:p>
    <w:p w:rsidR="00E22856" w:rsidRPr="00825E5B" w:rsidRDefault="00500508" w:rsidP="00500508">
      <w:pPr>
        <w:pStyle w:val="BodyText1"/>
        <w:ind w:left="720" w:hanging="360"/>
        <w:rPr>
          <w:rFonts w:ascii="Times New Roman" w:hAnsi="Times New Roman"/>
        </w:rPr>
      </w:pPr>
      <w:r w:rsidRPr="00825E5B">
        <w:rPr>
          <w:rFonts w:ascii="Times New Roman" w:hAnsi="Times New Roman"/>
        </w:rPr>
        <w:t>1.</w:t>
      </w:r>
      <w:r w:rsidRPr="00825E5B">
        <w:tab/>
      </w:r>
      <w:r w:rsidRPr="00825E5B">
        <w:rPr>
          <w:rFonts w:ascii="Times New Roman" w:hAnsi="Times New Roman"/>
        </w:rPr>
        <w:t>Prezenta anexă con</w:t>
      </w:r>
      <w:r w:rsidR="00367C88">
        <w:rPr>
          <w:rFonts w:ascii="Times New Roman" w:hAnsi="Times New Roman"/>
        </w:rPr>
        <w:t>ț</w:t>
      </w:r>
      <w:r w:rsidRPr="00825E5B">
        <w:rPr>
          <w:rFonts w:ascii="Times New Roman" w:hAnsi="Times New Roman"/>
        </w:rPr>
        <w:t>ine instruc</w:t>
      </w:r>
      <w:r w:rsidR="00367C88">
        <w:rPr>
          <w:rFonts w:ascii="Times New Roman" w:hAnsi="Times New Roman"/>
        </w:rPr>
        <w:t>ț</w:t>
      </w:r>
      <w:r w:rsidRPr="00825E5B">
        <w:rPr>
          <w:rFonts w:ascii="Times New Roman" w:hAnsi="Times New Roman"/>
        </w:rPr>
        <w:t xml:space="preserve">iuni suplimentare privind formularele (denumite în continuare «LR») incluse în anexa X la prezentul regulament. </w:t>
      </w:r>
    </w:p>
    <w:p w:rsidR="00E22856" w:rsidRPr="00825E5B" w:rsidRDefault="00E22856" w:rsidP="00E22856">
      <w:pPr>
        <w:pStyle w:val="BodyText1"/>
        <w:ind w:left="720"/>
        <w:rPr>
          <w:rFonts w:ascii="Times New Roman" w:hAnsi="Times New Roman"/>
        </w:rPr>
      </w:pPr>
    </w:p>
    <w:p w:rsidR="00F4754B" w:rsidRPr="00825E5B" w:rsidRDefault="00500508" w:rsidP="00500508">
      <w:pPr>
        <w:pStyle w:val="InstructionsText2"/>
        <w:numPr>
          <w:ilvl w:val="0"/>
          <w:numId w:val="0"/>
        </w:numPr>
        <w:ind w:left="720" w:hanging="360"/>
        <w:rPr>
          <w:rFonts w:eastAsia="Times New Roman"/>
          <w:bCs/>
          <w:szCs w:val="17"/>
        </w:rPr>
      </w:pPr>
      <w:r w:rsidRPr="00825E5B">
        <w:t>2.</w:t>
      </w:r>
      <w:r w:rsidRPr="00825E5B">
        <w:tab/>
        <w:t xml:space="preserve">În total, cadrul este constituit din </w:t>
      </w:r>
      <w:r w:rsidR="00367C88">
        <w:t>ș</w:t>
      </w:r>
      <w:r w:rsidRPr="00825E5B">
        <w:t>ase formulare:</w:t>
      </w:r>
    </w:p>
    <w:p w:rsidR="00675587" w:rsidRPr="00825E5B" w:rsidRDefault="00500508" w:rsidP="00500508">
      <w:pPr>
        <w:pStyle w:val="InstructionsText2"/>
        <w:numPr>
          <w:ilvl w:val="0"/>
          <w:numId w:val="0"/>
        </w:numPr>
        <w:ind w:left="1080" w:hanging="360"/>
        <w:rPr>
          <w:rFonts w:ascii="Symbol" w:eastAsia="Times New Roman" w:hAnsi="Symbol"/>
          <w:bCs/>
          <w:szCs w:val="17"/>
        </w:rPr>
      </w:pPr>
      <w:r w:rsidRPr="00825E5B">
        <w:tab/>
        <w:t>C47.00: Calculul indicatorului efectului de levier (LRCalc): Calculul indicatorului efectului de levier;</w:t>
      </w:r>
    </w:p>
    <w:p w:rsidR="00675587" w:rsidRPr="00825E5B" w:rsidRDefault="00500508" w:rsidP="00500508">
      <w:pPr>
        <w:pStyle w:val="InstructionsText2"/>
        <w:numPr>
          <w:ilvl w:val="0"/>
          <w:numId w:val="0"/>
        </w:numPr>
        <w:ind w:left="1080" w:hanging="360"/>
        <w:rPr>
          <w:rFonts w:ascii="Symbol" w:eastAsia="Times New Roman" w:hAnsi="Symbol"/>
          <w:bCs/>
          <w:szCs w:val="17"/>
        </w:rPr>
      </w:pPr>
      <w:r w:rsidRPr="00825E5B">
        <w:tab/>
        <w:t>C40.00: Indicatorul efectului de levier – Formularul 1 (LR1): Tratamentul alternativ al indicatorului de măsurare a expunerii;</w:t>
      </w:r>
    </w:p>
    <w:p w:rsidR="00675587" w:rsidRPr="00825E5B" w:rsidRDefault="00500508" w:rsidP="00500508">
      <w:pPr>
        <w:pStyle w:val="InstructionsText2"/>
        <w:numPr>
          <w:ilvl w:val="0"/>
          <w:numId w:val="0"/>
        </w:numPr>
        <w:ind w:left="1080" w:hanging="360"/>
        <w:rPr>
          <w:rFonts w:ascii="Symbol" w:eastAsia="Times New Roman" w:hAnsi="Symbol"/>
          <w:bCs/>
          <w:szCs w:val="17"/>
        </w:rPr>
      </w:pPr>
      <w:r w:rsidRPr="00825E5B">
        <w:tab/>
        <w:t>C41.00: Indicatorul efectului de levier – Formularul 2 (LR2): Elemente bilan</w:t>
      </w:r>
      <w:r w:rsidR="00367C88">
        <w:t>ț</w:t>
      </w:r>
      <w:r w:rsidRPr="00825E5B">
        <w:t xml:space="preserve">iere </w:t>
      </w:r>
      <w:r w:rsidR="00367C88">
        <w:t>ș</w:t>
      </w:r>
      <w:r w:rsidRPr="00825E5B">
        <w:t>i extrabilan</w:t>
      </w:r>
      <w:r w:rsidR="00367C88">
        <w:t>ț</w:t>
      </w:r>
      <w:r w:rsidRPr="00825E5B">
        <w:t>iere – Defalcarea suplimentară a expunerilor;</w:t>
      </w:r>
    </w:p>
    <w:p w:rsidR="00675587" w:rsidRPr="00825E5B" w:rsidRDefault="00500508" w:rsidP="00500508">
      <w:pPr>
        <w:pStyle w:val="InstructionsText2"/>
        <w:numPr>
          <w:ilvl w:val="0"/>
          <w:numId w:val="0"/>
        </w:numPr>
        <w:ind w:left="1080" w:hanging="360"/>
        <w:rPr>
          <w:rFonts w:ascii="Symbol" w:eastAsia="Times New Roman" w:hAnsi="Symbol"/>
          <w:bCs/>
          <w:szCs w:val="17"/>
        </w:rPr>
      </w:pPr>
      <w:r w:rsidRPr="00825E5B">
        <w:tab/>
        <w:t>C42.00: Indicatorul efectului de levier – Formularul 3 (LR3): Defini</w:t>
      </w:r>
      <w:r w:rsidR="00367C88">
        <w:t>ț</w:t>
      </w:r>
      <w:r w:rsidRPr="00825E5B">
        <w:t>ia alternativă a capitalului;</w:t>
      </w:r>
    </w:p>
    <w:p w:rsidR="00675587" w:rsidRPr="00825E5B" w:rsidRDefault="00500508" w:rsidP="00500508">
      <w:pPr>
        <w:pStyle w:val="InstructionsText2"/>
        <w:numPr>
          <w:ilvl w:val="0"/>
          <w:numId w:val="0"/>
        </w:numPr>
        <w:ind w:left="1080" w:hanging="360"/>
        <w:rPr>
          <w:rFonts w:ascii="Symbol" w:eastAsia="Times New Roman" w:hAnsi="Symbol"/>
          <w:bCs/>
          <w:szCs w:val="17"/>
        </w:rPr>
      </w:pPr>
      <w:r w:rsidRPr="00825E5B">
        <w:tab/>
        <w:t xml:space="preserve">C43.00: Indicatorul efectului de levier – Formularul 4 (LR4): Defalcarea componentelor indicatorului de măsurare a expunerii utilizat pentru calcularea indicatorului efectului de levier </w:t>
      </w:r>
      <w:r w:rsidR="00367C88">
        <w:t>ș</w:t>
      </w:r>
      <w:r w:rsidRPr="00825E5B">
        <w:t>i</w:t>
      </w:r>
    </w:p>
    <w:p w:rsidR="00675587" w:rsidRPr="00825E5B" w:rsidRDefault="00500508" w:rsidP="00500508">
      <w:pPr>
        <w:pStyle w:val="InstructionsText2"/>
        <w:numPr>
          <w:ilvl w:val="0"/>
          <w:numId w:val="0"/>
        </w:numPr>
        <w:ind w:left="1080" w:hanging="360"/>
        <w:rPr>
          <w:rFonts w:ascii="Symbol" w:eastAsia="Times New Roman" w:hAnsi="Symbol"/>
          <w:bCs/>
          <w:szCs w:val="17"/>
        </w:rPr>
      </w:pPr>
      <w:r w:rsidRPr="00825E5B">
        <w:tab/>
        <w:t>C44.00: Indicatorul efectului de levier – Formularul 5 (LR5): Informa</w:t>
      </w:r>
      <w:r w:rsidR="00367C88">
        <w:t>ț</w:t>
      </w:r>
      <w:r w:rsidRPr="00825E5B">
        <w:t>ii generale.</w:t>
      </w:r>
    </w:p>
    <w:p w:rsidR="00F4754B" w:rsidRPr="00825E5B" w:rsidRDefault="00500508" w:rsidP="00500508">
      <w:pPr>
        <w:pStyle w:val="InstructionsText2"/>
        <w:numPr>
          <w:ilvl w:val="0"/>
          <w:numId w:val="0"/>
        </w:numPr>
        <w:ind w:left="720" w:hanging="360"/>
        <w:rPr>
          <w:rFonts w:eastAsia="Times New Roman"/>
          <w:bCs/>
          <w:szCs w:val="17"/>
        </w:rPr>
      </w:pPr>
      <w:r w:rsidRPr="00825E5B">
        <w:t>3.</w:t>
      </w:r>
      <w:r w:rsidRPr="00825E5B">
        <w:tab/>
        <w:t>Pentru fiecare formular sunt furnizate referin</w:t>
      </w:r>
      <w:r w:rsidR="00367C88">
        <w:t>ț</w:t>
      </w:r>
      <w:r w:rsidRPr="00825E5B">
        <w:t xml:space="preserve">e juridice, precum </w:t>
      </w:r>
      <w:r w:rsidR="00367C88">
        <w:t>ș</w:t>
      </w:r>
      <w:r w:rsidRPr="00825E5B">
        <w:t>i informa</w:t>
      </w:r>
      <w:r w:rsidR="00367C88">
        <w:t>ț</w:t>
      </w:r>
      <w:r w:rsidRPr="00825E5B">
        <w:t>ii suplimentare detaliate cu privire la aspectele mai generale ale raportării.</w:t>
      </w:r>
    </w:p>
    <w:p w:rsidR="00FC2664" w:rsidRPr="00825E5B" w:rsidRDefault="00FC2664" w:rsidP="007E2A41">
      <w:pPr>
        <w:pStyle w:val="BodyText1"/>
        <w:spacing w:line="240" w:lineRule="auto"/>
        <w:ind w:left="720"/>
        <w:rPr>
          <w:rFonts w:ascii="Times New Roman" w:hAnsi="Times New Roman"/>
        </w:rPr>
      </w:pPr>
    </w:p>
    <w:p w:rsidR="00217D1F" w:rsidRPr="00825E5B"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3995566"/>
      <w:bookmarkEnd w:id="17"/>
      <w:r w:rsidRPr="00825E5B">
        <w:rPr>
          <w:rFonts w:ascii="Times New Roman" w:hAnsi="Times New Roman"/>
          <w:b/>
        </w:rPr>
        <w:t>1.2.</w:t>
      </w:r>
      <w:r w:rsidRPr="00825E5B">
        <w:tab/>
      </w:r>
      <w:r w:rsidRPr="00825E5B">
        <w:rPr>
          <w:rFonts w:ascii="Times New Roman" w:hAnsi="Times New Roman"/>
          <w:b/>
        </w:rPr>
        <w:t>Conven</w:t>
      </w:r>
      <w:r w:rsidR="00367C88">
        <w:rPr>
          <w:rFonts w:ascii="Times New Roman" w:hAnsi="Times New Roman"/>
          <w:b/>
        </w:rPr>
        <w:t>ț</w:t>
      </w:r>
      <w:r w:rsidRPr="00825E5B">
        <w:rPr>
          <w:rFonts w:ascii="Times New Roman" w:hAnsi="Times New Roman"/>
          <w:b/>
        </w:rPr>
        <w:t>ia de numerotare</w:t>
      </w:r>
      <w:bookmarkEnd w:id="18"/>
      <w:bookmarkEnd w:id="19"/>
      <w:bookmarkEnd w:id="20"/>
      <w:bookmarkEnd w:id="21"/>
      <w:bookmarkEnd w:id="22"/>
    </w:p>
    <w:p w:rsidR="007E2A41" w:rsidRPr="00825E5B" w:rsidRDefault="007E2A41" w:rsidP="00217B44">
      <w:pPr>
        <w:pStyle w:val="BodyText1"/>
      </w:pPr>
    </w:p>
    <w:p w:rsidR="00F4754B" w:rsidRPr="00825E5B" w:rsidRDefault="00500508" w:rsidP="00500508">
      <w:pPr>
        <w:pStyle w:val="InstructionsText2"/>
        <w:numPr>
          <w:ilvl w:val="0"/>
          <w:numId w:val="0"/>
        </w:numPr>
        <w:ind w:left="720" w:hanging="360"/>
        <w:rPr>
          <w:rFonts w:eastAsia="Times New Roman"/>
          <w:bCs/>
          <w:szCs w:val="17"/>
        </w:rPr>
      </w:pPr>
      <w:r w:rsidRPr="00825E5B">
        <w:t>4.</w:t>
      </w:r>
      <w:r w:rsidRPr="00825E5B">
        <w:tab/>
        <w:t>În ceea ce prive</w:t>
      </w:r>
      <w:r w:rsidR="00367C88">
        <w:t>ș</w:t>
      </w:r>
      <w:r w:rsidRPr="00825E5B">
        <w:t>te referin</w:t>
      </w:r>
      <w:r w:rsidR="00367C88">
        <w:t>ț</w:t>
      </w:r>
      <w:r w:rsidRPr="00825E5B">
        <w:t xml:space="preserve">ele la coloanele, rândurile </w:t>
      </w:r>
      <w:r w:rsidR="00367C88">
        <w:t>ș</w:t>
      </w:r>
      <w:r w:rsidRPr="00825E5B">
        <w:t>i celulele formularelor, documentul respectă conven</w:t>
      </w:r>
      <w:r w:rsidR="00367C88">
        <w:t>ț</w:t>
      </w:r>
      <w:r w:rsidRPr="00825E5B">
        <w:t>ia stabilită în următoarele paragrafe. Aceste coduri numerice sunt utilizate pe scară largă în normele de validare.</w:t>
      </w:r>
    </w:p>
    <w:p w:rsidR="00F4754B" w:rsidRPr="00825E5B" w:rsidRDefault="00500508" w:rsidP="00500508">
      <w:pPr>
        <w:pStyle w:val="InstructionsText2"/>
        <w:numPr>
          <w:ilvl w:val="0"/>
          <w:numId w:val="0"/>
        </w:numPr>
        <w:ind w:left="720" w:hanging="360"/>
        <w:rPr>
          <w:rFonts w:eastAsia="Times New Roman"/>
          <w:bCs/>
          <w:szCs w:val="17"/>
        </w:rPr>
      </w:pPr>
      <w:r w:rsidRPr="00825E5B">
        <w:t>5.</w:t>
      </w:r>
      <w:r w:rsidRPr="00825E5B">
        <w:tab/>
        <w:t>În instruc</w:t>
      </w:r>
      <w:r w:rsidR="00367C88">
        <w:t>ț</w:t>
      </w:r>
      <w:r w:rsidRPr="00825E5B">
        <w:t>iuni se utilizează următoarea nota</w:t>
      </w:r>
      <w:r w:rsidR="00367C88">
        <w:t>ț</w:t>
      </w:r>
      <w:r w:rsidRPr="00825E5B">
        <w:t>ie generală: {Formular;Rând;Coloană}. Pentru a indica faptul că se face trimitere la întregul rând sau întreaga coloană se va utiliza un asterisc.</w:t>
      </w:r>
    </w:p>
    <w:p w:rsidR="00F4754B" w:rsidRPr="00825E5B" w:rsidRDefault="00500508" w:rsidP="00500508">
      <w:pPr>
        <w:pStyle w:val="InstructionsText2"/>
        <w:numPr>
          <w:ilvl w:val="0"/>
          <w:numId w:val="0"/>
        </w:numPr>
        <w:ind w:left="720" w:hanging="360"/>
        <w:rPr>
          <w:rFonts w:eastAsia="Times New Roman"/>
          <w:bCs/>
          <w:szCs w:val="17"/>
        </w:rPr>
      </w:pPr>
      <w:r w:rsidRPr="00825E5B">
        <w:t>6.</w:t>
      </w:r>
      <w:r w:rsidRPr="00825E5B">
        <w:tab/>
        <w:t>În cazul validărilor din cadrul unui formular, în care sunt utilizate numai punctele de date din formularul respectiv, nota</w:t>
      </w:r>
      <w:r w:rsidR="00367C88">
        <w:t>ț</w:t>
      </w:r>
      <w:r w:rsidRPr="00825E5B">
        <w:t>iile nu se vor referi la un formular: {Rând;Coloană}.</w:t>
      </w:r>
    </w:p>
    <w:p w:rsidR="00F4754B" w:rsidRPr="00825E5B" w:rsidRDefault="00500508" w:rsidP="00500508">
      <w:pPr>
        <w:pStyle w:val="InstructionsText2"/>
        <w:numPr>
          <w:ilvl w:val="0"/>
          <w:numId w:val="0"/>
        </w:numPr>
        <w:ind w:left="720" w:hanging="360"/>
        <w:rPr>
          <w:rFonts w:eastAsia="Times New Roman"/>
          <w:bCs/>
          <w:szCs w:val="17"/>
        </w:rPr>
      </w:pPr>
      <w:r w:rsidRPr="00825E5B">
        <w:t>7.</w:t>
      </w:r>
      <w:r w:rsidRPr="00825E5B">
        <w:tab/>
        <w:t xml:space="preserve">În raportarea privind efectul de levier, «din care» se referă la un element care constituie un subset al unei categorii de expuneri de nivel mai ridicat, în timp ce «element memorandum» se referă la un element separat care nu este un subset al unei clase de expuneri. Este obligatoriu să se completeze ambele tipuri de celule, dacă nu se specifică altfel. </w:t>
      </w:r>
    </w:p>
    <w:p w:rsidR="001D6F2F" w:rsidRPr="00825E5B" w:rsidRDefault="00500508" w:rsidP="00500508">
      <w:pPr>
        <w:pStyle w:val="BodyText1"/>
        <w:ind w:left="357" w:hanging="357"/>
        <w:outlineLvl w:val="2"/>
        <w:rPr>
          <w:rFonts w:ascii="Times New Roman" w:hAnsi="Times New Roman"/>
          <w:b/>
        </w:rPr>
      </w:pPr>
      <w:bookmarkStart w:id="23" w:name="_Toc423089064"/>
      <w:bookmarkStart w:id="24" w:name="_Toc523995567"/>
      <w:r w:rsidRPr="00825E5B">
        <w:rPr>
          <w:rFonts w:ascii="Times New Roman" w:hAnsi="Times New Roman"/>
          <w:b/>
        </w:rPr>
        <w:t>1.3.</w:t>
      </w:r>
      <w:r w:rsidRPr="00825E5B">
        <w:tab/>
      </w:r>
      <w:r w:rsidRPr="00825E5B">
        <w:rPr>
          <w:rFonts w:ascii="Times New Roman" w:hAnsi="Times New Roman"/>
          <w:b/>
        </w:rPr>
        <w:t>Abrevieri</w:t>
      </w:r>
      <w:bookmarkEnd w:id="23"/>
      <w:bookmarkEnd w:id="24"/>
    </w:p>
    <w:p w:rsidR="001D6F2F" w:rsidRPr="00825E5B" w:rsidRDefault="001D6F2F" w:rsidP="001D6F2F">
      <w:pPr>
        <w:pStyle w:val="BodyText1"/>
      </w:pPr>
      <w:bookmarkStart w:id="25" w:name="_Toc359414279"/>
      <w:bookmarkStart w:id="26" w:name="_Toc322687868"/>
      <w:bookmarkStart w:id="27" w:name="_Toc351048503"/>
      <w:bookmarkStart w:id="28" w:name="_Toc359414280"/>
      <w:bookmarkEnd w:id="25"/>
    </w:p>
    <w:p w:rsidR="00627E07" w:rsidRPr="00825E5B" w:rsidRDefault="00500508" w:rsidP="00500508">
      <w:pPr>
        <w:pStyle w:val="InstructionsText2"/>
        <w:numPr>
          <w:ilvl w:val="0"/>
          <w:numId w:val="0"/>
        </w:numPr>
        <w:ind w:left="720" w:hanging="360"/>
        <w:rPr>
          <w:rFonts w:eastAsia="Times New Roman"/>
          <w:bCs/>
          <w:szCs w:val="17"/>
        </w:rPr>
      </w:pPr>
      <w:r w:rsidRPr="00825E5B">
        <w:t>8.</w:t>
      </w:r>
      <w:r w:rsidRPr="00825E5B">
        <w:tab/>
        <w:t xml:space="preserve">În sensul prezentei anexe </w:t>
      </w:r>
      <w:r w:rsidR="00367C88">
        <w:t>ș</w:t>
      </w:r>
      <w:r w:rsidRPr="00825E5B">
        <w:t>i al formularelor aferente se utilizează următoarele abrevieri:</w:t>
      </w:r>
    </w:p>
    <w:p w:rsidR="00627E07" w:rsidRPr="00825E5B" w:rsidRDefault="00500508" w:rsidP="00500508">
      <w:pPr>
        <w:pStyle w:val="InstructionsText2"/>
        <w:numPr>
          <w:ilvl w:val="0"/>
          <w:numId w:val="0"/>
        </w:numPr>
        <w:ind w:left="1440" w:hanging="360"/>
        <w:rPr>
          <w:rFonts w:eastAsia="Times New Roman"/>
          <w:bCs/>
          <w:szCs w:val="17"/>
        </w:rPr>
      </w:pPr>
      <w:r w:rsidRPr="00825E5B">
        <w:lastRenderedPageBreak/>
        <w:t>a.</w:t>
      </w:r>
      <w:r w:rsidRPr="00825E5B">
        <w:tab/>
        <w:t>CRR, care este abrevierea Regulamentului privind cerin</w:t>
      </w:r>
      <w:r w:rsidR="00367C88">
        <w:t>ț</w:t>
      </w:r>
      <w:r w:rsidRPr="00825E5B">
        <w:t>ele de capital (</w:t>
      </w:r>
      <w:r w:rsidRPr="00825E5B">
        <w:rPr>
          <w:i/>
        </w:rPr>
        <w:t>Capital Requirements Regulation</w:t>
      </w:r>
      <w:r w:rsidRPr="00825E5B">
        <w:t xml:space="preserve">) </w:t>
      </w:r>
      <w:r w:rsidR="00367C88">
        <w:t>ș</w:t>
      </w:r>
      <w:r w:rsidRPr="00825E5B">
        <w:t>i înseamnă Regulamentul (UE) nr. 575/2013;</w:t>
      </w:r>
    </w:p>
    <w:p w:rsidR="00627E07" w:rsidRPr="00825E5B" w:rsidRDefault="00500508" w:rsidP="00500508">
      <w:pPr>
        <w:pStyle w:val="InstructionsText2"/>
        <w:numPr>
          <w:ilvl w:val="0"/>
          <w:numId w:val="0"/>
        </w:numPr>
        <w:ind w:left="1440" w:hanging="360"/>
        <w:rPr>
          <w:rFonts w:eastAsia="Times New Roman"/>
          <w:bCs/>
          <w:szCs w:val="17"/>
        </w:rPr>
      </w:pPr>
      <w:r w:rsidRPr="00825E5B">
        <w:t>b.</w:t>
      </w:r>
      <w:r w:rsidRPr="00825E5B">
        <w:tab/>
        <w:t>SFT, care este abrevierea opera</w:t>
      </w:r>
      <w:r w:rsidR="00367C88">
        <w:t>ț</w:t>
      </w:r>
      <w:r w:rsidRPr="00825E5B">
        <w:t>iunilor de finan</w:t>
      </w:r>
      <w:r w:rsidR="00367C88">
        <w:t>ț</w:t>
      </w:r>
      <w:r w:rsidRPr="00825E5B">
        <w:t>are prin titluri (</w:t>
      </w:r>
      <w:r w:rsidRPr="00825E5B">
        <w:rPr>
          <w:i/>
        </w:rPr>
        <w:t>Securities Financing Transaction</w:t>
      </w:r>
      <w:r w:rsidRPr="00825E5B">
        <w:t xml:space="preserve">) </w:t>
      </w:r>
      <w:r w:rsidR="00367C88">
        <w:t>ș</w:t>
      </w:r>
      <w:r w:rsidRPr="00825E5B">
        <w:t>i înseamnă «tranzac</w:t>
      </w:r>
      <w:r w:rsidR="00367C88">
        <w:t>ț</w:t>
      </w:r>
      <w:r w:rsidRPr="00825E5B">
        <w:t>ii de răscumpărare, opera</w:t>
      </w:r>
      <w:r w:rsidR="00367C88">
        <w:t>ț</w:t>
      </w:r>
      <w:r w:rsidRPr="00825E5B">
        <w:t>iuni de dare sau luare de titluri sau mărfuri cu împrumut, tranzac</w:t>
      </w:r>
      <w:r w:rsidR="00367C88">
        <w:t>ț</w:t>
      </w:r>
      <w:r w:rsidRPr="00825E5B">
        <w:t xml:space="preserve">ii cu termen lung de decontare </w:t>
      </w:r>
      <w:r w:rsidR="00367C88">
        <w:t>ș</w:t>
      </w:r>
      <w:r w:rsidRPr="00825E5B">
        <w:t>i tranzac</w:t>
      </w:r>
      <w:r w:rsidR="00367C88">
        <w:t>ț</w:t>
      </w:r>
      <w:r w:rsidRPr="00825E5B">
        <w:t>ii de creditare în marjă», astfel cum se prevede în Regulamentul (UE) nr. 575/2013;</w:t>
      </w:r>
    </w:p>
    <w:p w:rsidR="008E7068" w:rsidRPr="00825E5B" w:rsidRDefault="00500508" w:rsidP="00500508">
      <w:pPr>
        <w:pStyle w:val="InstructionsText2"/>
        <w:numPr>
          <w:ilvl w:val="0"/>
          <w:numId w:val="0"/>
        </w:numPr>
        <w:ind w:left="1440" w:hanging="360"/>
        <w:rPr>
          <w:rFonts w:eastAsia="Times New Roman"/>
          <w:bCs/>
          <w:szCs w:val="17"/>
        </w:rPr>
      </w:pPr>
      <w:r w:rsidRPr="00825E5B">
        <w:t>c.</w:t>
      </w:r>
      <w:r w:rsidRPr="00825E5B">
        <w:tab/>
        <w:t>CRM, care este abrevierea diminuării riscului de credit (</w:t>
      </w:r>
      <w:r w:rsidRPr="00825E5B">
        <w:rPr>
          <w:i/>
        </w:rPr>
        <w:t>Credit Risk Mitigation</w:t>
      </w:r>
      <w:r w:rsidRPr="00825E5B">
        <w:t>).</w:t>
      </w:r>
    </w:p>
    <w:p w:rsidR="00217D1F" w:rsidRPr="00825E5B" w:rsidRDefault="00500508" w:rsidP="00500508">
      <w:pPr>
        <w:pStyle w:val="BodyText1"/>
        <w:ind w:left="357" w:hanging="357"/>
        <w:outlineLvl w:val="2"/>
        <w:rPr>
          <w:rFonts w:ascii="Times New Roman" w:hAnsi="Times New Roman"/>
          <w:b/>
        </w:rPr>
      </w:pPr>
      <w:bookmarkStart w:id="29" w:name="_Toc423089065"/>
      <w:bookmarkStart w:id="30" w:name="_Toc523995568"/>
      <w:r w:rsidRPr="00825E5B">
        <w:rPr>
          <w:rFonts w:ascii="Times New Roman" w:hAnsi="Times New Roman"/>
          <w:b/>
        </w:rPr>
        <w:t>1.4.</w:t>
      </w:r>
      <w:r w:rsidRPr="00825E5B">
        <w:tab/>
      </w:r>
      <w:r w:rsidRPr="00825E5B">
        <w:rPr>
          <w:rFonts w:ascii="Times New Roman" w:hAnsi="Times New Roman"/>
          <w:b/>
        </w:rPr>
        <w:t>Conven</w:t>
      </w:r>
      <w:r w:rsidR="00367C88">
        <w:rPr>
          <w:rFonts w:ascii="Times New Roman" w:hAnsi="Times New Roman"/>
          <w:b/>
        </w:rPr>
        <w:t>ț</w:t>
      </w:r>
      <w:r w:rsidRPr="00825E5B">
        <w:rPr>
          <w:rFonts w:ascii="Times New Roman" w:hAnsi="Times New Roman"/>
          <w:b/>
        </w:rPr>
        <w:t>ia privind semnul</w:t>
      </w:r>
      <w:bookmarkEnd w:id="15"/>
      <w:bookmarkEnd w:id="16"/>
      <w:bookmarkEnd w:id="26"/>
      <w:bookmarkEnd w:id="27"/>
      <w:bookmarkEnd w:id="28"/>
      <w:bookmarkEnd w:id="29"/>
      <w:bookmarkEnd w:id="30"/>
    </w:p>
    <w:p w:rsidR="00FF2091" w:rsidRPr="00825E5B" w:rsidRDefault="00FF2091" w:rsidP="007C2D57">
      <w:pPr>
        <w:pStyle w:val="BodyText1"/>
      </w:pPr>
    </w:p>
    <w:p w:rsidR="00B90CB5" w:rsidRPr="00825E5B" w:rsidRDefault="00500508" w:rsidP="00500508">
      <w:pPr>
        <w:pStyle w:val="InstructionsText2"/>
        <w:numPr>
          <w:ilvl w:val="0"/>
          <w:numId w:val="0"/>
        </w:numPr>
        <w:ind w:left="720" w:hanging="360"/>
        <w:rPr>
          <w:rFonts w:eastAsia="Times New Roman"/>
          <w:bCs/>
          <w:szCs w:val="17"/>
        </w:rPr>
      </w:pPr>
      <w:bookmarkStart w:id="31" w:name="_Toc322687869"/>
      <w:r w:rsidRPr="00825E5B">
        <w:t>9.</w:t>
      </w:r>
      <w:r w:rsidRPr="00825E5B">
        <w:tab/>
        <w:t>Toate cuantumurile se raportează ca valori pozitive.</w:t>
      </w:r>
      <w:bookmarkStart w:id="32" w:name="_Toc264033192"/>
      <w:bookmarkEnd w:id="32"/>
      <w:r w:rsidRPr="00825E5B">
        <w:t xml:space="preserve"> Fac excep</w:t>
      </w:r>
      <w:r w:rsidR="00367C88">
        <w:t>ț</w:t>
      </w:r>
      <w:r w:rsidRPr="00825E5B">
        <w:t xml:space="preserve">ie cuantumurile raportate în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w:t>
      </w:r>
      <w:r w:rsidR="00367C88">
        <w:t>ș</w:t>
      </w:r>
      <w:r w:rsidRPr="00825E5B">
        <w:t>i {LR3;085;010}. A se re</w:t>
      </w:r>
      <w:r w:rsidR="00367C88">
        <w:t>ț</w:t>
      </w:r>
      <w:r w:rsidRPr="00825E5B">
        <w:t xml:space="preserve">ine că {LRCalc;050;010}, {LRCalc;070;010}, {LRCalc;080;010}, {LRCalc;100;010}, {LRCalc;120;010}, {LRCalc;140;010}, {LRCalc;210;010}, {LRCalc;220;010}, {LRCalc;240;010}, {LRCalc;250;010}, {LRCalc;260;010}, {LRCalc;270;010}, {LRCalc;280;010}, {LR3;055;010}, {LR3;065;010}, {LR3;075;010} </w:t>
      </w:r>
      <w:r w:rsidR="00367C88">
        <w:t>ș</w:t>
      </w:r>
      <w:r w:rsidRPr="00825E5B">
        <w:t>i {LR3;085;010} pot con</w:t>
      </w:r>
      <w:r w:rsidR="00367C88">
        <w:t>ț</w:t>
      </w:r>
      <w:r w:rsidRPr="00825E5B">
        <w:t>ine numai valori negative. A se re</w:t>
      </w:r>
      <w:r w:rsidR="00367C88">
        <w:t>ț</w:t>
      </w:r>
      <w:r w:rsidRPr="00825E5B">
        <w:t xml:space="preserve">ine de asemenea că, în afara unor cazuri extreme, {LRCalc;310;010}, {LRCalc;320;010}, {LRCalc;330;010}, {LRCalc;340;010}, {LR3;010;010}, {LR3;020;010}, {LR3;030;010} </w:t>
      </w:r>
      <w:r w:rsidR="00367C88">
        <w:t>ș</w:t>
      </w:r>
      <w:r w:rsidRPr="00825E5B">
        <w:t>i {LR3;040;010} pot con</w:t>
      </w:r>
      <w:r w:rsidR="00367C88">
        <w:t>ț</w:t>
      </w:r>
      <w:r w:rsidRPr="00825E5B">
        <w:t>ine numai valori pozitive.</w:t>
      </w:r>
    </w:p>
    <w:p w:rsidR="001F28C3" w:rsidRPr="00825E5B" w:rsidRDefault="001F28C3" w:rsidP="00FD2C06">
      <w:pPr>
        <w:pStyle w:val="InstructionsText2"/>
        <w:numPr>
          <w:ilvl w:val="0"/>
          <w:numId w:val="0"/>
        </w:numPr>
        <w:ind w:left="720"/>
        <w:rPr>
          <w:rFonts w:eastAsia="Times New Roman"/>
          <w:bCs/>
          <w:szCs w:val="17"/>
        </w:rPr>
      </w:pPr>
    </w:p>
    <w:p w:rsidR="00217D1F" w:rsidRPr="00825E5B" w:rsidRDefault="00F4754B" w:rsidP="00217D1F">
      <w:pPr>
        <w:pStyle w:val="BodyText1"/>
        <w:outlineLvl w:val="0"/>
        <w:rPr>
          <w:rFonts w:ascii="Times New Roman" w:hAnsi="Times New Roman"/>
          <w:b/>
          <w:sz w:val="24"/>
          <w:szCs w:val="24"/>
        </w:rPr>
      </w:pPr>
      <w:r w:rsidRPr="00825E5B">
        <w:br w:type="page"/>
      </w:r>
      <w:bookmarkStart w:id="33" w:name="_Toc351048504"/>
      <w:bookmarkStart w:id="34" w:name="_Toc359414281"/>
      <w:bookmarkStart w:id="35" w:name="_Toc423089066"/>
      <w:bookmarkStart w:id="36" w:name="_Toc523995569"/>
      <w:r w:rsidRPr="00825E5B">
        <w:rPr>
          <w:rFonts w:ascii="Times New Roman" w:hAnsi="Times New Roman"/>
          <w:b/>
          <w:sz w:val="24"/>
        </w:rPr>
        <w:lastRenderedPageBreak/>
        <w:t>PARTEA II: INSTRUC</w:t>
      </w:r>
      <w:r w:rsidR="00367C88">
        <w:rPr>
          <w:rFonts w:ascii="Times New Roman" w:hAnsi="Times New Roman"/>
          <w:b/>
          <w:sz w:val="24"/>
        </w:rPr>
        <w:t>Ț</w:t>
      </w:r>
      <w:r w:rsidRPr="00825E5B">
        <w:rPr>
          <w:rFonts w:ascii="Times New Roman" w:hAnsi="Times New Roman"/>
          <w:b/>
          <w:sz w:val="24"/>
        </w:rPr>
        <w:t>IUNI AFERENTE FORMULARELOR</w:t>
      </w:r>
      <w:bookmarkEnd w:id="31"/>
      <w:bookmarkEnd w:id="33"/>
      <w:bookmarkEnd w:id="34"/>
      <w:bookmarkEnd w:id="35"/>
      <w:bookmarkEnd w:id="36"/>
    </w:p>
    <w:p w:rsidR="00D91BC3" w:rsidRPr="00825E5B" w:rsidRDefault="00D91BC3" w:rsidP="00217B44">
      <w:pPr>
        <w:pStyle w:val="BodyText1"/>
      </w:pPr>
    </w:p>
    <w:p w:rsidR="00217D1F" w:rsidRPr="00825E5B" w:rsidRDefault="00500508" w:rsidP="00500508">
      <w:pPr>
        <w:pStyle w:val="BodyText1"/>
        <w:ind w:left="357" w:hanging="357"/>
        <w:outlineLvl w:val="1"/>
        <w:rPr>
          <w:rFonts w:ascii="Times New Roman" w:hAnsi="Times New Roman"/>
          <w:b/>
        </w:rPr>
      </w:pPr>
      <w:bookmarkStart w:id="37" w:name="_Toc359414282"/>
      <w:bookmarkStart w:id="38" w:name="_Toc423089067"/>
      <w:bookmarkStart w:id="39" w:name="_Toc523995570"/>
      <w:bookmarkStart w:id="40" w:name="_Toc322631544"/>
      <w:bookmarkStart w:id="41" w:name="_Toc322687870"/>
      <w:r w:rsidRPr="00825E5B">
        <w:rPr>
          <w:rFonts w:ascii="Times New Roman" w:hAnsi="Times New Roman"/>
          <w:b/>
        </w:rPr>
        <w:t>1.</w:t>
      </w:r>
      <w:r w:rsidRPr="00825E5B">
        <w:tab/>
      </w:r>
      <w:r w:rsidRPr="00825E5B">
        <w:rPr>
          <w:rFonts w:ascii="Times New Roman" w:hAnsi="Times New Roman"/>
          <w:b/>
        </w:rPr>
        <w:t xml:space="preserve">Structură </w:t>
      </w:r>
      <w:r w:rsidR="00367C88">
        <w:rPr>
          <w:rFonts w:ascii="Times New Roman" w:hAnsi="Times New Roman"/>
          <w:b/>
        </w:rPr>
        <w:t>ș</w:t>
      </w:r>
      <w:r w:rsidRPr="00825E5B">
        <w:rPr>
          <w:rFonts w:ascii="Times New Roman" w:hAnsi="Times New Roman"/>
          <w:b/>
        </w:rPr>
        <w:t>i frecven</w:t>
      </w:r>
      <w:r w:rsidR="00367C88">
        <w:rPr>
          <w:rFonts w:ascii="Times New Roman" w:hAnsi="Times New Roman"/>
          <w:b/>
        </w:rPr>
        <w:t>ț</w:t>
      </w:r>
      <w:r w:rsidRPr="00825E5B">
        <w:rPr>
          <w:rFonts w:ascii="Times New Roman" w:hAnsi="Times New Roman"/>
          <w:b/>
        </w:rPr>
        <w:t>ă</w:t>
      </w:r>
      <w:bookmarkEnd w:id="37"/>
      <w:bookmarkEnd w:id="38"/>
      <w:bookmarkEnd w:id="39"/>
      <w:r w:rsidRPr="00825E5B">
        <w:rPr>
          <w:rFonts w:ascii="Times New Roman" w:hAnsi="Times New Roman"/>
          <w:b/>
        </w:rPr>
        <w:t xml:space="preserve"> </w:t>
      </w:r>
      <w:bookmarkEnd w:id="40"/>
      <w:bookmarkEnd w:id="41"/>
    </w:p>
    <w:p w:rsidR="00D91BC3" w:rsidRPr="00825E5B" w:rsidRDefault="00D91BC3" w:rsidP="00217B44">
      <w:pPr>
        <w:pStyle w:val="BodyText1"/>
      </w:pPr>
    </w:p>
    <w:p w:rsidR="00F4754B" w:rsidRPr="00825E5B" w:rsidRDefault="00500508" w:rsidP="00500508">
      <w:pPr>
        <w:pStyle w:val="BodyText1"/>
        <w:spacing w:line="240" w:lineRule="auto"/>
        <w:ind w:left="720" w:hanging="360"/>
        <w:rPr>
          <w:rFonts w:ascii="Times New Roman" w:hAnsi="Times New Roman"/>
        </w:rPr>
      </w:pPr>
      <w:bookmarkStart w:id="42" w:name="_Toc322533849"/>
      <w:r w:rsidRPr="00825E5B">
        <w:rPr>
          <w:rFonts w:ascii="Times New Roman" w:hAnsi="Times New Roman"/>
        </w:rPr>
        <w:t>1.</w:t>
      </w:r>
      <w:r w:rsidRPr="00825E5B">
        <w:tab/>
      </w:r>
      <w:r w:rsidRPr="00825E5B">
        <w:rPr>
          <w:rFonts w:ascii="Times New Roman" w:hAnsi="Times New Roman"/>
        </w:rPr>
        <w:t>Formularul indicatorului efectului de levier se compune din două păr</w:t>
      </w:r>
      <w:r w:rsidR="00367C88">
        <w:rPr>
          <w:rFonts w:ascii="Times New Roman" w:hAnsi="Times New Roman"/>
        </w:rPr>
        <w:t>ț</w:t>
      </w:r>
      <w:r w:rsidRPr="00825E5B">
        <w:rPr>
          <w:rFonts w:ascii="Times New Roman" w:hAnsi="Times New Roman"/>
        </w:rPr>
        <w:t>i. Partea A con</w:t>
      </w:r>
      <w:r w:rsidR="00367C88">
        <w:rPr>
          <w:rFonts w:ascii="Times New Roman" w:hAnsi="Times New Roman"/>
        </w:rPr>
        <w:t>ț</w:t>
      </w:r>
      <w:r w:rsidRPr="00825E5B">
        <w:rPr>
          <w:rFonts w:ascii="Times New Roman" w:hAnsi="Times New Roman"/>
        </w:rPr>
        <w:t xml:space="preserve">ine toate elementele de date care intră în calculul indicatorului efectului de levier </w:t>
      </w:r>
      <w:r w:rsidR="00367C88">
        <w:rPr>
          <w:rFonts w:ascii="Times New Roman" w:hAnsi="Times New Roman"/>
        </w:rPr>
        <w:t>ș</w:t>
      </w:r>
      <w:r w:rsidRPr="00825E5B">
        <w:rPr>
          <w:rFonts w:ascii="Times New Roman" w:hAnsi="Times New Roman"/>
        </w:rPr>
        <w:t>i pe care institu</w:t>
      </w:r>
      <w:r w:rsidR="00367C88">
        <w:rPr>
          <w:rFonts w:ascii="Times New Roman" w:hAnsi="Times New Roman"/>
        </w:rPr>
        <w:t>ț</w:t>
      </w:r>
      <w:r w:rsidRPr="00825E5B">
        <w:rPr>
          <w:rFonts w:ascii="Times New Roman" w:hAnsi="Times New Roman"/>
        </w:rPr>
        <w:t>iile le transmit autorită</w:t>
      </w:r>
      <w:r w:rsidR="00367C88">
        <w:rPr>
          <w:rFonts w:ascii="Times New Roman" w:hAnsi="Times New Roman"/>
        </w:rPr>
        <w:t>ț</w:t>
      </w:r>
      <w:r w:rsidRPr="00825E5B">
        <w:rPr>
          <w:rFonts w:ascii="Times New Roman" w:hAnsi="Times New Roman"/>
        </w:rPr>
        <w:t>ilor competente în conformitate cu articolul 430 alineatul (1) primul paragraf din CRR, iar partea B con</w:t>
      </w:r>
      <w:r w:rsidR="00367C88">
        <w:rPr>
          <w:rFonts w:ascii="Times New Roman" w:hAnsi="Times New Roman"/>
        </w:rPr>
        <w:t>ț</w:t>
      </w:r>
      <w:r w:rsidRPr="00825E5B">
        <w:rPr>
          <w:rFonts w:ascii="Times New Roman" w:hAnsi="Times New Roman"/>
        </w:rPr>
        <w:t>ine toate elementele de date pe care institu</w:t>
      </w:r>
      <w:r w:rsidR="00367C88">
        <w:rPr>
          <w:rFonts w:ascii="Times New Roman" w:hAnsi="Times New Roman"/>
        </w:rPr>
        <w:t>ț</w:t>
      </w:r>
      <w:r w:rsidRPr="00825E5B">
        <w:rPr>
          <w:rFonts w:ascii="Times New Roman" w:hAnsi="Times New Roman"/>
        </w:rPr>
        <w:t>iile le transmit în conformitate cu articolul 430 alineatul (1) al doilea paragraf din CRR (</w:t>
      </w:r>
      <w:r w:rsidR="00367C88">
        <w:rPr>
          <w:rFonts w:ascii="Times New Roman" w:hAnsi="Times New Roman"/>
        </w:rPr>
        <w:t>ș</w:t>
      </w:r>
      <w:r w:rsidRPr="00825E5B">
        <w:rPr>
          <w:rFonts w:ascii="Times New Roman" w:hAnsi="Times New Roman"/>
        </w:rPr>
        <w:t>i anume, pentru întocmirea raportului men</w:t>
      </w:r>
      <w:r w:rsidR="00367C88">
        <w:rPr>
          <w:rFonts w:ascii="Times New Roman" w:hAnsi="Times New Roman"/>
        </w:rPr>
        <w:t>ț</w:t>
      </w:r>
      <w:r w:rsidRPr="00825E5B">
        <w:rPr>
          <w:rFonts w:ascii="Times New Roman" w:hAnsi="Times New Roman"/>
        </w:rPr>
        <w:t>ionat la articolul 511 din CRR).</w:t>
      </w:r>
    </w:p>
    <w:p w:rsidR="00FC2664" w:rsidRPr="00825E5B" w:rsidRDefault="00FC2664" w:rsidP="00F4754B">
      <w:pPr>
        <w:pStyle w:val="BodyText1"/>
        <w:rPr>
          <w:rFonts w:ascii="Times New Roman" w:hAnsi="Times New Roman"/>
        </w:rPr>
      </w:pPr>
    </w:p>
    <w:p w:rsidR="00FF2091"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2.</w:t>
      </w:r>
      <w:r w:rsidRPr="00825E5B">
        <w:tab/>
      </w:r>
      <w:r w:rsidRPr="00825E5B">
        <w:rPr>
          <w:rFonts w:ascii="Times New Roman" w:hAnsi="Times New Roman"/>
        </w:rPr>
        <w:t>Atunci când compilează datele pentru prezentul ITS, institu</w:t>
      </w:r>
      <w:r w:rsidR="00367C88">
        <w:rPr>
          <w:rFonts w:ascii="Times New Roman" w:hAnsi="Times New Roman"/>
        </w:rPr>
        <w:t>ț</w:t>
      </w:r>
      <w:r w:rsidRPr="00825E5B">
        <w:rPr>
          <w:rFonts w:ascii="Times New Roman" w:hAnsi="Times New Roman"/>
        </w:rPr>
        <w:t>iile iau în considerare tratamentul activelor fiduciare în conformitate cu articolul 429 alineatul (13) din CRR.</w:t>
      </w:r>
    </w:p>
    <w:p w:rsidR="00FC2664" w:rsidRPr="00825E5B" w:rsidRDefault="00FC2664" w:rsidP="00F4754B">
      <w:pPr>
        <w:pStyle w:val="BodyText1"/>
        <w:rPr>
          <w:rFonts w:ascii="Times New Roman" w:hAnsi="Times New Roman"/>
        </w:rPr>
      </w:pPr>
    </w:p>
    <w:p w:rsidR="00505096" w:rsidRPr="00825E5B" w:rsidRDefault="00500508" w:rsidP="00500508">
      <w:pPr>
        <w:pStyle w:val="BodyText1"/>
        <w:ind w:left="357" w:hanging="357"/>
        <w:outlineLvl w:val="1"/>
        <w:rPr>
          <w:rFonts w:ascii="Times New Roman" w:hAnsi="Times New Roman"/>
          <w:b/>
        </w:rPr>
      </w:pPr>
      <w:bookmarkStart w:id="43" w:name="_Toc359414283"/>
      <w:bookmarkStart w:id="44" w:name="_Toc423089068"/>
      <w:bookmarkStart w:id="45" w:name="_Toc523995571"/>
      <w:r w:rsidRPr="00825E5B">
        <w:rPr>
          <w:rFonts w:ascii="Times New Roman" w:hAnsi="Times New Roman"/>
          <w:b/>
        </w:rPr>
        <w:t>2.</w:t>
      </w:r>
      <w:r w:rsidRPr="00825E5B">
        <w:tab/>
      </w:r>
      <w:r w:rsidRPr="00825E5B">
        <w:rPr>
          <w:rFonts w:ascii="Times New Roman" w:hAnsi="Times New Roman"/>
          <w:b/>
        </w:rPr>
        <w:t>Formule pentru calculul indicatorului efectului de levier</w:t>
      </w:r>
      <w:bookmarkEnd w:id="43"/>
      <w:bookmarkEnd w:id="44"/>
      <w:bookmarkEnd w:id="45"/>
    </w:p>
    <w:p w:rsidR="00B9185D" w:rsidRPr="00825E5B" w:rsidRDefault="00B9185D" w:rsidP="00FF2091">
      <w:pPr>
        <w:pStyle w:val="BodyText1"/>
        <w:spacing w:line="240" w:lineRule="auto"/>
        <w:rPr>
          <w:rFonts w:ascii="Times New Roman" w:hAnsi="Times New Roman"/>
        </w:rPr>
      </w:pPr>
    </w:p>
    <w:p w:rsidR="00505096"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3.</w:t>
      </w:r>
      <w:r w:rsidRPr="00825E5B">
        <w:tab/>
      </w:r>
      <w:r w:rsidRPr="00825E5B">
        <w:rPr>
          <w:rFonts w:ascii="Times New Roman" w:hAnsi="Times New Roman"/>
        </w:rPr>
        <w:t xml:space="preserve">Indicatorul efectului de levier se bazează pe un indicator de măsurare a capitalului </w:t>
      </w:r>
      <w:r w:rsidR="00367C88">
        <w:rPr>
          <w:rFonts w:ascii="Times New Roman" w:hAnsi="Times New Roman"/>
        </w:rPr>
        <w:t>ș</w:t>
      </w:r>
      <w:r w:rsidRPr="00825E5B">
        <w:rPr>
          <w:rFonts w:ascii="Times New Roman" w:hAnsi="Times New Roman"/>
        </w:rPr>
        <w:t>i pe un indicator de măsurare a expunerii totale, care pot fi calcula</w:t>
      </w:r>
      <w:r w:rsidR="00367C88">
        <w:rPr>
          <w:rFonts w:ascii="Times New Roman" w:hAnsi="Times New Roman"/>
        </w:rPr>
        <w:t>ț</w:t>
      </w:r>
      <w:r w:rsidRPr="00825E5B">
        <w:rPr>
          <w:rFonts w:ascii="Times New Roman" w:hAnsi="Times New Roman"/>
        </w:rPr>
        <w:t xml:space="preserve">i cu ajutorul celulelor din partea A. </w:t>
      </w:r>
    </w:p>
    <w:p w:rsidR="00FC2664" w:rsidRPr="00825E5B" w:rsidRDefault="00FC2664"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4.</w:t>
      </w:r>
      <w:r w:rsidRPr="00825E5B">
        <w:tab/>
      </w:r>
      <w:r w:rsidRPr="00825E5B">
        <w:rPr>
          <w:rFonts w:ascii="Times New Roman" w:hAnsi="Times New Roman"/>
        </w:rPr>
        <w:t>Indicatorul efectului de levier – conform defini</w:t>
      </w:r>
      <w:r w:rsidR="00367C88">
        <w:rPr>
          <w:rFonts w:ascii="Times New Roman" w:hAnsi="Times New Roman"/>
        </w:rPr>
        <w:t>ț</w:t>
      </w:r>
      <w:r w:rsidRPr="00825E5B">
        <w:rPr>
          <w:rFonts w:ascii="Times New Roman" w:hAnsi="Times New Roman"/>
        </w:rPr>
        <w:t>iei introduse integral = {LRCalc;310;010}/{LRCalc;290;010}.</w:t>
      </w:r>
    </w:p>
    <w:p w:rsidR="00FC2664" w:rsidRPr="00825E5B" w:rsidRDefault="00FC2664"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5.</w:t>
      </w:r>
      <w:r w:rsidRPr="00825E5B">
        <w:tab/>
      </w:r>
      <w:r w:rsidRPr="00825E5B">
        <w:rPr>
          <w:rFonts w:ascii="Times New Roman" w:hAnsi="Times New Roman"/>
        </w:rPr>
        <w:t>Indicatorul efectului de levier – conform defini</w:t>
      </w:r>
      <w:r w:rsidR="00367C88">
        <w:rPr>
          <w:rFonts w:ascii="Times New Roman" w:hAnsi="Times New Roman"/>
        </w:rPr>
        <w:t>ț</w:t>
      </w:r>
      <w:r w:rsidRPr="00825E5B">
        <w:rPr>
          <w:rFonts w:ascii="Times New Roman" w:hAnsi="Times New Roman"/>
        </w:rPr>
        <w:t>iei tranzitorii = {LRCalc;320;010}/{LRCalc;300;010}.</w:t>
      </w:r>
    </w:p>
    <w:p w:rsidR="00FC2664" w:rsidRPr="00825E5B" w:rsidRDefault="00FC2664" w:rsidP="007E2A41">
      <w:pPr>
        <w:pStyle w:val="BodyText1"/>
        <w:spacing w:line="240" w:lineRule="auto"/>
        <w:rPr>
          <w:rFonts w:ascii="Times New Roman" w:hAnsi="Times New Roman"/>
        </w:rPr>
      </w:pPr>
      <w:bookmarkStart w:id="46" w:name="_Toc322533852"/>
      <w:bookmarkEnd w:id="42"/>
    </w:p>
    <w:p w:rsidR="00FC2664" w:rsidRPr="00825E5B" w:rsidRDefault="00FC2664" w:rsidP="007E2A41">
      <w:pPr>
        <w:pStyle w:val="BodyText1"/>
        <w:spacing w:line="240" w:lineRule="auto"/>
        <w:rPr>
          <w:rFonts w:ascii="Times New Roman" w:hAnsi="Times New Roman"/>
        </w:rPr>
      </w:pPr>
    </w:p>
    <w:p w:rsidR="00505096" w:rsidRPr="00825E5B" w:rsidRDefault="00500508" w:rsidP="00500508">
      <w:pPr>
        <w:pStyle w:val="BodyText1"/>
        <w:ind w:left="357" w:hanging="357"/>
        <w:outlineLvl w:val="1"/>
        <w:rPr>
          <w:rFonts w:ascii="Times New Roman" w:hAnsi="Times New Roman"/>
          <w:b/>
        </w:rPr>
      </w:pPr>
      <w:bookmarkStart w:id="47" w:name="_Toc359414284"/>
      <w:bookmarkStart w:id="48" w:name="_Toc423089069"/>
      <w:bookmarkStart w:id="49" w:name="_Toc523995572"/>
      <w:r w:rsidRPr="00825E5B">
        <w:rPr>
          <w:rFonts w:ascii="Times New Roman" w:hAnsi="Times New Roman"/>
          <w:b/>
        </w:rPr>
        <w:t>3.</w:t>
      </w:r>
      <w:r w:rsidRPr="00825E5B">
        <w:tab/>
      </w:r>
      <w:r w:rsidRPr="00825E5B">
        <w:rPr>
          <w:rFonts w:ascii="Times New Roman" w:hAnsi="Times New Roman"/>
          <w:b/>
        </w:rPr>
        <w:t>Praguri de semnifica</w:t>
      </w:r>
      <w:r w:rsidR="00367C88">
        <w:rPr>
          <w:rFonts w:ascii="Times New Roman" w:hAnsi="Times New Roman"/>
          <w:b/>
        </w:rPr>
        <w:t>ț</w:t>
      </w:r>
      <w:r w:rsidRPr="00825E5B">
        <w:rPr>
          <w:rFonts w:ascii="Times New Roman" w:hAnsi="Times New Roman"/>
          <w:b/>
        </w:rPr>
        <w:t>ie pentru instrumentele financiare derivate</w:t>
      </w:r>
      <w:bookmarkEnd w:id="47"/>
      <w:bookmarkEnd w:id="48"/>
      <w:bookmarkEnd w:id="49"/>
    </w:p>
    <w:p w:rsidR="00505096" w:rsidRPr="00825E5B" w:rsidRDefault="00505096" w:rsidP="007E2A41">
      <w:pPr>
        <w:pStyle w:val="BodyText1"/>
        <w:spacing w:line="240" w:lineRule="auto"/>
        <w:rPr>
          <w:rFonts w:ascii="Times New Roman" w:hAnsi="Times New Roman"/>
        </w:rPr>
      </w:pPr>
    </w:p>
    <w:p w:rsidR="00505096" w:rsidRPr="00825E5B" w:rsidRDefault="00505096"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6.</w:t>
      </w:r>
      <w:r w:rsidRPr="00825E5B">
        <w:tab/>
      </w:r>
      <w:r w:rsidRPr="00825E5B">
        <w:rPr>
          <w:rFonts w:ascii="Times New Roman" w:hAnsi="Times New Roman"/>
        </w:rPr>
        <w:t>Pentru a reduce sarcina de raportare a institu</w:t>
      </w:r>
      <w:r w:rsidR="00367C88">
        <w:rPr>
          <w:rFonts w:ascii="Times New Roman" w:hAnsi="Times New Roman"/>
        </w:rPr>
        <w:t>ț</w:t>
      </w:r>
      <w:r w:rsidRPr="00825E5B">
        <w:rPr>
          <w:rFonts w:ascii="Times New Roman" w:hAnsi="Times New Roman"/>
        </w:rPr>
        <w:t>iilor cu expuneri limitate pe instrumente financiare derivate, la evaluarea importan</w:t>
      </w:r>
      <w:r w:rsidR="00367C88">
        <w:rPr>
          <w:rFonts w:ascii="Times New Roman" w:hAnsi="Times New Roman"/>
        </w:rPr>
        <w:t>ț</w:t>
      </w:r>
      <w:r w:rsidRPr="00825E5B">
        <w:rPr>
          <w:rFonts w:ascii="Times New Roman" w:hAnsi="Times New Roman"/>
        </w:rPr>
        <w:t>ei relative a expunerilor pe instrumente financiare derivate fa</w:t>
      </w:r>
      <w:r w:rsidR="00367C88">
        <w:rPr>
          <w:rFonts w:ascii="Times New Roman" w:hAnsi="Times New Roman"/>
        </w:rPr>
        <w:t>ț</w:t>
      </w:r>
      <w:r w:rsidRPr="00825E5B">
        <w:rPr>
          <w:rFonts w:ascii="Times New Roman" w:hAnsi="Times New Roman"/>
        </w:rPr>
        <w:t>ă de expunerea totală corespunzătoare indicatorului efectului de levier se utilizează următorii indicatori de măsurare. Institu</w:t>
      </w:r>
      <w:r w:rsidR="00367C88">
        <w:rPr>
          <w:rFonts w:ascii="Times New Roman" w:hAnsi="Times New Roman"/>
        </w:rPr>
        <w:t>ț</w:t>
      </w:r>
      <w:r w:rsidRPr="00825E5B">
        <w:rPr>
          <w:rFonts w:ascii="Times New Roman" w:hAnsi="Times New Roman"/>
        </w:rPr>
        <w:t>iile calculează ace</w:t>
      </w:r>
      <w:r w:rsidR="00367C88">
        <w:rPr>
          <w:rFonts w:ascii="Times New Roman" w:hAnsi="Times New Roman"/>
        </w:rPr>
        <w:t>ș</w:t>
      </w:r>
      <w:r w:rsidRPr="00825E5B">
        <w:rPr>
          <w:rFonts w:ascii="Times New Roman" w:hAnsi="Times New Roman"/>
        </w:rPr>
        <w:t>ti indicatori de măsurare după cum urmează</w:t>
      </w:r>
      <w:bookmarkStart w:id="50" w:name="_Toc322533853"/>
      <w:bookmarkEnd w:id="46"/>
      <w:r w:rsidRPr="00825E5B">
        <w:rPr>
          <w:rFonts w:ascii="Times New Roman" w:hAnsi="Times New Roman"/>
        </w:rPr>
        <w:t>:</w:t>
      </w:r>
    </w:p>
    <w:p w:rsidR="00A30899" w:rsidRPr="00825E5B" w:rsidRDefault="00A30899" w:rsidP="007E2A41">
      <w:pPr>
        <w:pStyle w:val="ListParagraph"/>
        <w:rPr>
          <w:rFonts w:ascii="Times New Roman" w:hAnsi="Times New Roman"/>
          <w:szCs w:val="20"/>
        </w:rPr>
      </w:pPr>
    </w:p>
    <w:p w:rsidR="00A30899" w:rsidRPr="00825E5B" w:rsidRDefault="00500508" w:rsidP="00500508">
      <w:pPr>
        <w:pStyle w:val="BodyText1"/>
        <w:spacing w:line="240" w:lineRule="auto"/>
        <w:ind w:left="720" w:hanging="360"/>
        <w:jc w:val="left"/>
        <w:rPr>
          <w:rFonts w:ascii="Times New Roman" w:hAnsi="Times New Roman"/>
        </w:rPr>
      </w:pPr>
      <w:bookmarkStart w:id="51" w:name="_Toc322533854"/>
      <w:bookmarkEnd w:id="50"/>
      <w:r w:rsidRPr="00825E5B">
        <w:rPr>
          <w:rFonts w:ascii="Times New Roman" w:hAnsi="Times New Roman"/>
        </w:rPr>
        <w:t>7.</w:t>
      </w:r>
      <w:r w:rsidRPr="00825E5B">
        <w:tab/>
      </w:r>
      <w:r w:rsidRPr="00825E5B">
        <w:rPr>
          <w:rFonts w:ascii="Times New Roman" w:hAnsi="Times New Roman"/>
        </w:rPr>
        <w:t xml:space="preserve">Cota instrumentelor financiare derivate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Indicatorul de m</m:t>
            </m:r>
            <m:r>
              <m:rPr>
                <m:sty m:val="p"/>
              </m:rPr>
              <w:rPr>
                <w:rFonts w:ascii="Cambria Math" w:hAnsi="Times New Roman"/>
              </w:rPr>
              <m:t>ă</m:t>
            </m:r>
            <m:r>
              <m:rPr>
                <m:sty m:val="p"/>
              </m:rPr>
              <w:rPr>
                <w:rFonts w:ascii="Cambria Math" w:hAnsi="Times New Roman"/>
              </w:rPr>
              <m:t>surare a expunerii totale</m:t>
            </m:r>
          </m:den>
        </m:f>
      </m:oMath>
      <w:r w:rsidRPr="00825E5B">
        <w:rPr>
          <w:rFonts w:ascii="Times New Roman" w:hAnsi="Times New Roman"/>
        </w:rPr>
        <w:t>.</w:t>
      </w:r>
    </w:p>
    <w:p w:rsidR="00FC2664" w:rsidRPr="00825E5B" w:rsidRDefault="00FC2664" w:rsidP="007E2A41">
      <w:pPr>
        <w:pStyle w:val="BodyText1"/>
        <w:spacing w:line="240" w:lineRule="auto"/>
        <w:rPr>
          <w:rFonts w:ascii="Times New Roman" w:hAnsi="Times New Roman"/>
        </w:rPr>
      </w:pPr>
    </w:p>
    <w:p w:rsidR="00EB7F64"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8.</w:t>
      </w:r>
      <w:r w:rsidRPr="00825E5B">
        <w:tab/>
      </w:r>
      <w:r w:rsidRPr="00825E5B">
        <w:rPr>
          <w:rFonts w:ascii="Times New Roman" w:hAnsi="Times New Roman"/>
        </w:rPr>
        <w:t>În care indicatorul de măsurare a expunerii totale este egal cu: {LRCalc;290;010}.</w:t>
      </w:r>
    </w:p>
    <w:p w:rsidR="00F4754B" w:rsidRPr="00825E5B" w:rsidRDefault="00F4754B" w:rsidP="00E5591F">
      <w:pPr>
        <w:pStyle w:val="BodyText1"/>
        <w:spacing w:line="240" w:lineRule="auto"/>
        <w:ind w:left="720"/>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9.</w:t>
      </w:r>
      <w:r w:rsidRPr="00825E5B">
        <w:tab/>
      </w:r>
      <w:r w:rsidRPr="00825E5B">
        <w:rPr>
          <w:rFonts w:ascii="Times New Roman" w:hAnsi="Times New Roman"/>
        </w:rPr>
        <w:t>Valoarea no</w:t>
      </w:r>
      <w:r w:rsidR="00367C88">
        <w:rPr>
          <w:rFonts w:ascii="Times New Roman" w:hAnsi="Times New Roman"/>
        </w:rPr>
        <w:t>ț</w:t>
      </w:r>
      <w:r w:rsidRPr="00825E5B">
        <w:rPr>
          <w:rFonts w:ascii="Times New Roman" w:hAnsi="Times New Roman"/>
        </w:rPr>
        <w:t>ională totală folosită ca referin</w:t>
      </w:r>
      <w:r w:rsidR="00367C88">
        <w:rPr>
          <w:rFonts w:ascii="Times New Roman" w:hAnsi="Times New Roman"/>
        </w:rPr>
        <w:t>ț</w:t>
      </w:r>
      <w:r w:rsidRPr="00825E5B">
        <w:rPr>
          <w:rFonts w:ascii="Times New Roman" w:hAnsi="Times New Roman"/>
        </w:rPr>
        <w:t>ă de instrumentele financiare derivate = {LR1; 010;070}. Institu</w:t>
      </w:r>
      <w:r w:rsidR="00367C88">
        <w:rPr>
          <w:rFonts w:ascii="Times New Roman" w:hAnsi="Times New Roman"/>
        </w:rPr>
        <w:t>ț</w:t>
      </w:r>
      <w:r w:rsidRPr="00825E5B">
        <w:rPr>
          <w:rFonts w:ascii="Times New Roman" w:hAnsi="Times New Roman"/>
        </w:rPr>
        <w:t>iile completează întotdeauna această celulă.</w:t>
      </w:r>
    </w:p>
    <w:p w:rsidR="00FC2664" w:rsidRPr="00825E5B" w:rsidRDefault="00FC2664"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10.</w:t>
      </w:r>
      <w:r w:rsidRPr="00825E5B">
        <w:tab/>
      </w:r>
      <w:r w:rsidRPr="00825E5B">
        <w:rPr>
          <w:rFonts w:ascii="Times New Roman" w:hAnsi="Times New Roman"/>
        </w:rPr>
        <w:t>Volumul instrumentelor financiare derivate de credit = {LR1;020;070} + {LR1;050;070}. Institu</w:t>
      </w:r>
      <w:r w:rsidR="00367C88">
        <w:rPr>
          <w:rFonts w:ascii="Times New Roman" w:hAnsi="Times New Roman"/>
        </w:rPr>
        <w:t>ț</w:t>
      </w:r>
      <w:r w:rsidRPr="00825E5B">
        <w:rPr>
          <w:rFonts w:ascii="Times New Roman" w:hAnsi="Times New Roman"/>
        </w:rPr>
        <w:t>iile completează întotdeauna aceste celule.</w:t>
      </w:r>
    </w:p>
    <w:p w:rsidR="00FC2664" w:rsidRPr="00825E5B" w:rsidRDefault="00FC2664"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11.</w:t>
      </w:r>
      <w:r w:rsidRPr="00825E5B">
        <w:tab/>
      </w:r>
      <w:r w:rsidRPr="00825E5B">
        <w:rPr>
          <w:rFonts w:ascii="Times New Roman" w:hAnsi="Times New Roman"/>
        </w:rPr>
        <w:t>Institu</w:t>
      </w:r>
      <w:r w:rsidR="00367C88">
        <w:rPr>
          <w:rFonts w:ascii="Times New Roman" w:hAnsi="Times New Roman"/>
        </w:rPr>
        <w:t>ț</w:t>
      </w:r>
      <w:r w:rsidRPr="00825E5B">
        <w:rPr>
          <w:rFonts w:ascii="Times New Roman" w:hAnsi="Times New Roman"/>
        </w:rPr>
        <w:t>iile au obliga</w:t>
      </w:r>
      <w:r w:rsidR="00367C88">
        <w:rPr>
          <w:rFonts w:ascii="Times New Roman" w:hAnsi="Times New Roman"/>
        </w:rPr>
        <w:t>ț</w:t>
      </w:r>
      <w:r w:rsidRPr="00825E5B">
        <w:rPr>
          <w:rFonts w:ascii="Times New Roman" w:hAnsi="Times New Roman"/>
        </w:rPr>
        <w:t>ia de a completa celulele men</w:t>
      </w:r>
      <w:r w:rsidR="00367C88">
        <w:rPr>
          <w:rFonts w:ascii="Times New Roman" w:hAnsi="Times New Roman"/>
        </w:rPr>
        <w:t>ț</w:t>
      </w:r>
      <w:r w:rsidRPr="00825E5B">
        <w:rPr>
          <w:rFonts w:ascii="Times New Roman" w:hAnsi="Times New Roman"/>
        </w:rPr>
        <w:t>ionate la punctul 14 î</w:t>
      </w:r>
      <w:bookmarkStart w:id="52" w:name="_GoBack"/>
      <w:bookmarkEnd w:id="52"/>
      <w:r w:rsidRPr="00825E5B">
        <w:rPr>
          <w:rFonts w:ascii="Times New Roman" w:hAnsi="Times New Roman"/>
        </w:rPr>
        <w:t>n următoarea perioadă de raportare, dacă este îndeplinită oricare dintre următoarele condi</w:t>
      </w:r>
      <w:r w:rsidR="00367C88">
        <w:rPr>
          <w:rFonts w:ascii="Times New Roman" w:hAnsi="Times New Roman"/>
        </w:rPr>
        <w:t>ț</w:t>
      </w:r>
      <w:r w:rsidRPr="00825E5B">
        <w:rPr>
          <w:rFonts w:ascii="Times New Roman" w:hAnsi="Times New Roman"/>
        </w:rPr>
        <w:t>ii:</w:t>
      </w:r>
    </w:p>
    <w:p w:rsidR="00607A1B" w:rsidRPr="00825E5B" w:rsidRDefault="00607A1B" w:rsidP="00607A1B">
      <w:pPr>
        <w:pStyle w:val="BodyText1"/>
        <w:spacing w:line="240" w:lineRule="auto"/>
        <w:ind w:left="720"/>
        <w:rPr>
          <w:rFonts w:ascii="Times New Roman" w:hAnsi="Times New Roman"/>
        </w:rPr>
      </w:pPr>
    </w:p>
    <w:p w:rsidR="00F4754B" w:rsidRPr="00825E5B" w:rsidRDefault="00500508" w:rsidP="00500508">
      <w:pPr>
        <w:pStyle w:val="InstructionsText2"/>
        <w:numPr>
          <w:ilvl w:val="0"/>
          <w:numId w:val="0"/>
        </w:numPr>
        <w:ind w:left="1080" w:hanging="360"/>
        <w:rPr>
          <w:rFonts w:ascii="Symbol" w:eastAsia="Times New Roman" w:hAnsi="Symbol"/>
          <w:bCs/>
          <w:szCs w:val="17"/>
        </w:rPr>
      </w:pPr>
      <w:r w:rsidRPr="00825E5B">
        <w:tab/>
        <w:t>cota instrumentelor financiare derivate, men</w:t>
      </w:r>
      <w:r w:rsidR="00367C88">
        <w:t>ț</w:t>
      </w:r>
      <w:r w:rsidRPr="00825E5B">
        <w:t>ionată la punctul 7, este mai mare de 1,5 % la două date de referin</w:t>
      </w:r>
      <w:r w:rsidR="00367C88">
        <w:t>ț</w:t>
      </w:r>
      <w:r w:rsidRPr="00825E5B">
        <w:t>ă a raportării consecutive;</w:t>
      </w:r>
    </w:p>
    <w:p w:rsidR="00675587" w:rsidRPr="00825E5B" w:rsidRDefault="00500508" w:rsidP="00500508">
      <w:pPr>
        <w:pStyle w:val="InstructionsText2"/>
        <w:numPr>
          <w:ilvl w:val="0"/>
          <w:numId w:val="0"/>
        </w:numPr>
        <w:ind w:left="1080" w:hanging="360"/>
        <w:rPr>
          <w:rFonts w:ascii="Symbol" w:eastAsia="Times New Roman" w:hAnsi="Symbol"/>
          <w:bCs/>
          <w:szCs w:val="17"/>
        </w:rPr>
      </w:pPr>
      <w:r w:rsidRPr="00825E5B">
        <w:tab/>
        <w:t>cota instrumentelor financiare derivate, men</w:t>
      </w:r>
      <w:r w:rsidR="00367C88">
        <w:t>ț</w:t>
      </w:r>
      <w:r w:rsidRPr="00825E5B">
        <w:t>ionată la punctul 7, depă</w:t>
      </w:r>
      <w:r w:rsidR="00367C88">
        <w:t>ș</w:t>
      </w:r>
      <w:r w:rsidRPr="00825E5B">
        <w:t>e</w:t>
      </w:r>
      <w:r w:rsidR="00367C88">
        <w:t>ș</w:t>
      </w:r>
      <w:r w:rsidRPr="00825E5B">
        <w:t>te 2,0 %.</w:t>
      </w:r>
    </w:p>
    <w:p w:rsidR="00F4754B" w:rsidRPr="00825E5B" w:rsidRDefault="00F4754B"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lastRenderedPageBreak/>
        <w:t>12.</w:t>
      </w:r>
      <w:r w:rsidRPr="00825E5B">
        <w:tab/>
      </w:r>
      <w:r w:rsidRPr="00825E5B">
        <w:rPr>
          <w:rFonts w:ascii="Times New Roman" w:hAnsi="Times New Roman"/>
        </w:rPr>
        <w:t>Institu</w:t>
      </w:r>
      <w:r w:rsidR="00367C88">
        <w:rPr>
          <w:rFonts w:ascii="Times New Roman" w:hAnsi="Times New Roman"/>
        </w:rPr>
        <w:t>ț</w:t>
      </w:r>
      <w:r w:rsidRPr="00825E5B">
        <w:rPr>
          <w:rFonts w:ascii="Times New Roman" w:hAnsi="Times New Roman"/>
        </w:rPr>
        <w:t>iile în cazul cărora valoarea no</w:t>
      </w:r>
      <w:r w:rsidR="00367C88">
        <w:rPr>
          <w:rFonts w:ascii="Times New Roman" w:hAnsi="Times New Roman"/>
        </w:rPr>
        <w:t>ț</w:t>
      </w:r>
      <w:r w:rsidRPr="00825E5B">
        <w:rPr>
          <w:rFonts w:ascii="Times New Roman" w:hAnsi="Times New Roman"/>
        </w:rPr>
        <w:t>ională totală folosită ca referin</w:t>
      </w:r>
      <w:r w:rsidR="00367C88">
        <w:rPr>
          <w:rFonts w:ascii="Times New Roman" w:hAnsi="Times New Roman"/>
        </w:rPr>
        <w:t>ț</w:t>
      </w:r>
      <w:r w:rsidRPr="00825E5B">
        <w:rPr>
          <w:rFonts w:ascii="Times New Roman" w:hAnsi="Times New Roman"/>
        </w:rPr>
        <w:t>ă de instrumentele financiare derivate, astfel cum este definită la punctul 9, depă</w:t>
      </w:r>
      <w:r w:rsidR="00367C88">
        <w:rPr>
          <w:rFonts w:ascii="Times New Roman" w:hAnsi="Times New Roman"/>
        </w:rPr>
        <w:t>ș</w:t>
      </w:r>
      <w:r w:rsidRPr="00825E5B">
        <w:rPr>
          <w:rFonts w:ascii="Times New Roman" w:hAnsi="Times New Roman"/>
        </w:rPr>
        <w:t>e</w:t>
      </w:r>
      <w:r w:rsidR="00367C88">
        <w:rPr>
          <w:rFonts w:ascii="Times New Roman" w:hAnsi="Times New Roman"/>
        </w:rPr>
        <w:t>ș</w:t>
      </w:r>
      <w:r w:rsidRPr="00825E5B">
        <w:rPr>
          <w:rFonts w:ascii="Times New Roman" w:hAnsi="Times New Roman"/>
        </w:rPr>
        <w:t>te 10 miliarde EUR completează celulele men</w:t>
      </w:r>
      <w:r w:rsidR="00367C88">
        <w:rPr>
          <w:rFonts w:ascii="Times New Roman" w:hAnsi="Times New Roman"/>
        </w:rPr>
        <w:t>ț</w:t>
      </w:r>
      <w:r w:rsidRPr="00825E5B">
        <w:rPr>
          <w:rFonts w:ascii="Times New Roman" w:hAnsi="Times New Roman"/>
        </w:rPr>
        <w:t>ionate la punctul 14, chiar dacă cota lor de instrumente financiare derivate nu îndepline</w:t>
      </w:r>
      <w:r w:rsidR="00367C88">
        <w:rPr>
          <w:rFonts w:ascii="Times New Roman" w:hAnsi="Times New Roman"/>
        </w:rPr>
        <w:t>ș</w:t>
      </w:r>
      <w:r w:rsidRPr="00825E5B">
        <w:rPr>
          <w:rFonts w:ascii="Times New Roman" w:hAnsi="Times New Roman"/>
        </w:rPr>
        <w:t>te condi</w:t>
      </w:r>
      <w:r w:rsidR="00367C88">
        <w:rPr>
          <w:rFonts w:ascii="Times New Roman" w:hAnsi="Times New Roman"/>
        </w:rPr>
        <w:t>ț</w:t>
      </w:r>
      <w:r w:rsidRPr="00825E5B">
        <w:rPr>
          <w:rFonts w:ascii="Times New Roman" w:hAnsi="Times New Roman"/>
        </w:rPr>
        <w:t>iile descrise la punctul 11.</w:t>
      </w:r>
    </w:p>
    <w:p w:rsidR="00FC2664" w:rsidRPr="00825E5B" w:rsidRDefault="00FC2664"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13.</w:t>
      </w:r>
      <w:r w:rsidRPr="00825E5B">
        <w:tab/>
      </w:r>
      <w:r w:rsidRPr="00825E5B">
        <w:rPr>
          <w:rFonts w:ascii="Times New Roman" w:hAnsi="Times New Roman"/>
        </w:rPr>
        <w:t>Institu</w:t>
      </w:r>
      <w:r w:rsidR="00367C88">
        <w:rPr>
          <w:rFonts w:ascii="Times New Roman" w:hAnsi="Times New Roman"/>
        </w:rPr>
        <w:t>ț</w:t>
      </w:r>
      <w:r w:rsidRPr="00825E5B">
        <w:rPr>
          <w:rFonts w:ascii="Times New Roman" w:hAnsi="Times New Roman"/>
        </w:rPr>
        <w:t>iile au obliga</w:t>
      </w:r>
      <w:r w:rsidR="00367C88">
        <w:rPr>
          <w:rFonts w:ascii="Times New Roman" w:hAnsi="Times New Roman"/>
        </w:rPr>
        <w:t>ț</w:t>
      </w:r>
      <w:r w:rsidRPr="00825E5B">
        <w:rPr>
          <w:rFonts w:ascii="Times New Roman" w:hAnsi="Times New Roman"/>
        </w:rPr>
        <w:t>ia de a completa celulele men</w:t>
      </w:r>
      <w:r w:rsidR="00367C88">
        <w:rPr>
          <w:rFonts w:ascii="Times New Roman" w:hAnsi="Times New Roman"/>
        </w:rPr>
        <w:t>ț</w:t>
      </w:r>
      <w:r w:rsidRPr="00825E5B">
        <w:rPr>
          <w:rFonts w:ascii="Times New Roman" w:hAnsi="Times New Roman"/>
        </w:rPr>
        <w:t>ionate la punctul 15 dacă este îndeplinită oricare dintre următoarele condi</w:t>
      </w:r>
      <w:r w:rsidR="00367C88">
        <w:rPr>
          <w:rFonts w:ascii="Times New Roman" w:hAnsi="Times New Roman"/>
        </w:rPr>
        <w:t>ț</w:t>
      </w:r>
      <w:r w:rsidRPr="00825E5B">
        <w:rPr>
          <w:rFonts w:ascii="Times New Roman" w:hAnsi="Times New Roman"/>
        </w:rPr>
        <w:t>ii:</w:t>
      </w:r>
    </w:p>
    <w:p w:rsidR="00607A1B" w:rsidRPr="00825E5B" w:rsidRDefault="00607A1B" w:rsidP="00607A1B">
      <w:pPr>
        <w:pStyle w:val="BodyText1"/>
        <w:spacing w:line="240" w:lineRule="auto"/>
        <w:rPr>
          <w:rFonts w:ascii="Times New Roman" w:hAnsi="Times New Roman"/>
        </w:rPr>
      </w:pPr>
    </w:p>
    <w:p w:rsidR="00F4754B" w:rsidRPr="00825E5B" w:rsidRDefault="00500508" w:rsidP="00500508">
      <w:pPr>
        <w:pStyle w:val="InstructionsText2"/>
        <w:numPr>
          <w:ilvl w:val="0"/>
          <w:numId w:val="0"/>
        </w:numPr>
        <w:ind w:left="1080" w:hanging="360"/>
        <w:rPr>
          <w:rFonts w:ascii="Symbol" w:eastAsia="Times New Roman" w:hAnsi="Symbol"/>
          <w:bCs/>
          <w:szCs w:val="17"/>
        </w:rPr>
      </w:pPr>
      <w:r w:rsidRPr="00825E5B">
        <w:tab/>
        <w:t>volumul instrumentelor financiare derivate de credit, men</w:t>
      </w:r>
      <w:r w:rsidR="00367C88">
        <w:t>ț</w:t>
      </w:r>
      <w:r w:rsidRPr="00825E5B">
        <w:t>ionat la punctul 10, depă</w:t>
      </w:r>
      <w:r w:rsidR="00367C88">
        <w:t>ș</w:t>
      </w:r>
      <w:r w:rsidRPr="00825E5B">
        <w:t>e</w:t>
      </w:r>
      <w:r w:rsidR="00367C88">
        <w:t>ș</w:t>
      </w:r>
      <w:r w:rsidRPr="00825E5B">
        <w:t>te 300 de milioane EUR la două date de referin</w:t>
      </w:r>
      <w:r w:rsidR="00367C88">
        <w:t>ț</w:t>
      </w:r>
      <w:r w:rsidRPr="00825E5B">
        <w:t>ă a raportării consecutive;</w:t>
      </w:r>
    </w:p>
    <w:p w:rsidR="00675587" w:rsidRPr="00825E5B" w:rsidRDefault="00500508" w:rsidP="00500508">
      <w:pPr>
        <w:pStyle w:val="InstructionsText2"/>
        <w:numPr>
          <w:ilvl w:val="0"/>
          <w:numId w:val="0"/>
        </w:numPr>
        <w:ind w:left="1080" w:hanging="360"/>
        <w:rPr>
          <w:rFonts w:ascii="Symbol" w:eastAsia="Times New Roman" w:hAnsi="Symbol"/>
          <w:bCs/>
          <w:szCs w:val="17"/>
        </w:rPr>
      </w:pPr>
      <w:r w:rsidRPr="00825E5B">
        <w:tab/>
        <w:t>volumul instrumentelor financiare derivate de credit, men</w:t>
      </w:r>
      <w:r w:rsidR="00367C88">
        <w:t>ț</w:t>
      </w:r>
      <w:r w:rsidRPr="00825E5B">
        <w:t>ionat la punctul 10, depă</w:t>
      </w:r>
      <w:r w:rsidR="00367C88">
        <w:t>ș</w:t>
      </w:r>
      <w:r w:rsidRPr="00825E5B">
        <w:t>e</w:t>
      </w:r>
      <w:r w:rsidR="00367C88">
        <w:t>ș</w:t>
      </w:r>
      <w:r w:rsidRPr="00825E5B">
        <w:t>te 500 de milioane EUR.</w:t>
      </w:r>
    </w:p>
    <w:p w:rsidR="00F4754B" w:rsidRPr="00825E5B" w:rsidRDefault="00F4754B" w:rsidP="00E5591F">
      <w:pPr>
        <w:pStyle w:val="BodyText1"/>
        <w:spacing w:line="240" w:lineRule="auto"/>
        <w:jc w:val="left"/>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14.</w:t>
      </w:r>
      <w:r w:rsidRPr="00825E5B">
        <w:tab/>
      </w:r>
      <w:r w:rsidRPr="00825E5B">
        <w:rPr>
          <w:rFonts w:ascii="Times New Roman" w:hAnsi="Times New Roman"/>
        </w:rPr>
        <w:t>Celulele pe care institu</w:t>
      </w:r>
      <w:r w:rsidR="00367C88">
        <w:rPr>
          <w:rFonts w:ascii="Times New Roman" w:hAnsi="Times New Roman"/>
        </w:rPr>
        <w:t>ț</w:t>
      </w:r>
      <w:r w:rsidRPr="00825E5B">
        <w:rPr>
          <w:rFonts w:ascii="Times New Roman" w:hAnsi="Times New Roman"/>
        </w:rPr>
        <w:t>iile au obliga</w:t>
      </w:r>
      <w:r w:rsidR="00367C88">
        <w:rPr>
          <w:rFonts w:ascii="Times New Roman" w:hAnsi="Times New Roman"/>
        </w:rPr>
        <w:t>ț</w:t>
      </w:r>
      <w:r w:rsidRPr="00825E5B">
        <w:rPr>
          <w:rFonts w:ascii="Times New Roman" w:hAnsi="Times New Roman"/>
        </w:rPr>
        <w:t xml:space="preserve">ia de a le completa în conformitate cu punctul 11 sunt următoarele: {LR1;010;010}, {LR1;010;020}, {LR1;010;050}, {LR1;020;010}, {LR1;020;020}, {LR1;020;050}, {LR1;030;050}, {LR1;030;070}, {LR1;040;050}, {LR1;040;070}, {LR1;050;010}, {LR1;050;020}, {LR1;050;050}, {LR1;060;010}, {LR1;060;020}, {LR1;060;050} </w:t>
      </w:r>
      <w:r w:rsidR="00367C88">
        <w:rPr>
          <w:rFonts w:ascii="Times New Roman" w:hAnsi="Times New Roman"/>
        </w:rPr>
        <w:t>ș</w:t>
      </w:r>
      <w:r w:rsidRPr="00825E5B">
        <w:rPr>
          <w:rFonts w:ascii="Times New Roman" w:hAnsi="Times New Roman"/>
        </w:rPr>
        <w:t>i {LR1;060;070}.</w:t>
      </w:r>
    </w:p>
    <w:p w:rsidR="00FC2664" w:rsidRPr="00825E5B" w:rsidRDefault="00FC2664"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15.</w:t>
      </w:r>
      <w:r w:rsidRPr="00825E5B">
        <w:tab/>
      </w:r>
      <w:r w:rsidRPr="00825E5B">
        <w:rPr>
          <w:rFonts w:ascii="Times New Roman" w:hAnsi="Times New Roman"/>
        </w:rPr>
        <w:t>Celulele pe care institu</w:t>
      </w:r>
      <w:r w:rsidR="00367C88">
        <w:rPr>
          <w:rFonts w:ascii="Times New Roman" w:hAnsi="Times New Roman"/>
        </w:rPr>
        <w:t>ț</w:t>
      </w:r>
      <w:r w:rsidRPr="00825E5B">
        <w:rPr>
          <w:rFonts w:ascii="Times New Roman" w:hAnsi="Times New Roman"/>
        </w:rPr>
        <w:t>iile au obliga</w:t>
      </w:r>
      <w:r w:rsidR="00367C88">
        <w:rPr>
          <w:rFonts w:ascii="Times New Roman" w:hAnsi="Times New Roman"/>
        </w:rPr>
        <w:t>ț</w:t>
      </w:r>
      <w:r w:rsidRPr="00825E5B">
        <w:rPr>
          <w:rFonts w:ascii="Times New Roman" w:hAnsi="Times New Roman"/>
        </w:rPr>
        <w:t xml:space="preserve">ia de a le completa în conformitate cu punctul 13 sunt următoarele: {LR1;020;075}, {LR1;050;075} </w:t>
      </w:r>
      <w:r w:rsidR="00367C88">
        <w:rPr>
          <w:rFonts w:ascii="Times New Roman" w:hAnsi="Times New Roman"/>
        </w:rPr>
        <w:t>ș</w:t>
      </w:r>
      <w:r w:rsidRPr="00825E5B">
        <w:rPr>
          <w:rFonts w:ascii="Times New Roman" w:hAnsi="Times New Roman"/>
        </w:rPr>
        <w:t>i {LR1;050;085}.</w:t>
      </w:r>
    </w:p>
    <w:p w:rsidR="00FC2664" w:rsidRPr="00825E5B" w:rsidRDefault="00FC2664" w:rsidP="007E2A41">
      <w:pPr>
        <w:pStyle w:val="BodyText1"/>
        <w:spacing w:line="240" w:lineRule="auto"/>
        <w:rPr>
          <w:rFonts w:ascii="Times New Roman" w:hAnsi="Times New Roman"/>
        </w:rPr>
      </w:pPr>
    </w:p>
    <w:p w:rsidR="00FC2664" w:rsidRPr="00825E5B"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1"/>
    </w:p>
    <w:p w:rsidR="00217D1F" w:rsidRPr="00825E5B"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3995573"/>
      <w:r w:rsidRPr="00825E5B">
        <w:rPr>
          <w:rFonts w:ascii="Times New Roman" w:hAnsi="Times New Roman"/>
          <w:b/>
        </w:rPr>
        <w:t>4.</w:t>
      </w:r>
      <w:r w:rsidRPr="00825E5B">
        <w:tab/>
      </w:r>
      <w:r w:rsidRPr="00825E5B">
        <w:rPr>
          <w:rFonts w:ascii="Times New Roman" w:hAnsi="Times New Roman"/>
          <w:b/>
        </w:rPr>
        <w:t>C 47.00 – Calculul indicatorului efectului de levier</w:t>
      </w:r>
      <w:bookmarkEnd w:id="53"/>
      <w:bookmarkEnd w:id="56"/>
      <w:r w:rsidRPr="00825E5B">
        <w:rPr>
          <w:rFonts w:ascii="Times New Roman" w:hAnsi="Times New Roman"/>
          <w:b/>
        </w:rPr>
        <w:t xml:space="preserve"> (LRCalc)</w:t>
      </w:r>
      <w:bookmarkEnd w:id="57"/>
      <w:bookmarkEnd w:id="58"/>
    </w:p>
    <w:p w:rsidR="00F4754B" w:rsidRPr="00825E5B" w:rsidRDefault="00F4754B" w:rsidP="00F4754B">
      <w:pPr>
        <w:pStyle w:val="BodyText1"/>
        <w:rPr>
          <w:rFonts w:ascii="Times New Roman" w:hAnsi="Times New Roman"/>
        </w:rPr>
      </w:pPr>
    </w:p>
    <w:p w:rsidR="00AE2798" w:rsidRPr="00825E5B" w:rsidRDefault="00AE2798" w:rsidP="00AE2798">
      <w:pPr>
        <w:pStyle w:val="BodyText1"/>
        <w:spacing w:line="240" w:lineRule="auto"/>
        <w:rPr>
          <w:rFonts w:ascii="Times New Roman" w:hAnsi="Times New Roman"/>
        </w:rPr>
      </w:pPr>
    </w:p>
    <w:p w:rsidR="00AE2798"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16.</w:t>
      </w:r>
      <w:r w:rsidRPr="00825E5B">
        <w:tab/>
      </w:r>
      <w:r w:rsidRPr="00825E5B">
        <w:rPr>
          <w:rFonts w:ascii="Times New Roman" w:hAnsi="Times New Roman"/>
        </w:rPr>
        <w:t xml:space="preserve">În prezenta parte din formularul de raportare se colectează datele necesare pentru a calcula indicatorul efectului de levier, astfel cum este definit la articolele 429, 429a </w:t>
      </w:r>
      <w:r w:rsidR="00367C88">
        <w:rPr>
          <w:rFonts w:ascii="Times New Roman" w:hAnsi="Times New Roman"/>
        </w:rPr>
        <w:t>ș</w:t>
      </w:r>
      <w:r w:rsidRPr="00825E5B">
        <w:rPr>
          <w:rFonts w:ascii="Times New Roman" w:hAnsi="Times New Roman"/>
        </w:rPr>
        <w:t xml:space="preserve">i 429b din CRR. </w:t>
      </w:r>
    </w:p>
    <w:p w:rsidR="00AE2798" w:rsidRPr="00825E5B" w:rsidRDefault="00AE2798" w:rsidP="00AE2798">
      <w:pPr>
        <w:pStyle w:val="BodyText1"/>
        <w:spacing w:line="240" w:lineRule="auto"/>
        <w:rPr>
          <w:rFonts w:ascii="Times New Roman" w:hAnsi="Times New Roman"/>
        </w:rPr>
      </w:pPr>
    </w:p>
    <w:p w:rsidR="00AE2798"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17.</w:t>
      </w:r>
      <w:r w:rsidRPr="00825E5B">
        <w:tab/>
      </w: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trimestrial indicatorul efectului de levier. În fiecare trimestru, valoarea «la data de referin</w:t>
      </w:r>
      <w:r w:rsidR="00367C88">
        <w:rPr>
          <w:rFonts w:ascii="Times New Roman" w:hAnsi="Times New Roman"/>
        </w:rPr>
        <w:t>ț</w:t>
      </w:r>
      <w:r w:rsidRPr="00825E5B">
        <w:rPr>
          <w:rFonts w:ascii="Times New Roman" w:hAnsi="Times New Roman"/>
        </w:rPr>
        <w:t>ă a raportării» este valoarea din ultima zi calendaristică a celei de a treia luni a trimestrului respectiv.</w:t>
      </w:r>
    </w:p>
    <w:p w:rsidR="00C151ED" w:rsidRPr="00825E5B" w:rsidRDefault="00C151ED" w:rsidP="00FD2C06">
      <w:pPr>
        <w:pStyle w:val="BodyText1"/>
        <w:spacing w:line="240" w:lineRule="auto"/>
        <w:ind w:left="720"/>
        <w:rPr>
          <w:rFonts w:ascii="Times New Roman" w:hAnsi="Times New Roman"/>
        </w:rPr>
      </w:pPr>
    </w:p>
    <w:p w:rsidR="00B011A0"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18.</w:t>
      </w:r>
      <w:r w:rsidRPr="00825E5B">
        <w:tab/>
      </w: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raportează date în {010;010}-{030;010}, {060;010}, {090;010}, {110;010} </w:t>
      </w:r>
      <w:r w:rsidR="00367C88">
        <w:rPr>
          <w:rFonts w:ascii="Times New Roman" w:hAnsi="Times New Roman"/>
        </w:rPr>
        <w:t>ș</w:t>
      </w:r>
      <w:r w:rsidRPr="00825E5B">
        <w:rPr>
          <w:rFonts w:ascii="Times New Roman" w:hAnsi="Times New Roman"/>
        </w:rPr>
        <w:t xml:space="preserve">i {150;010}-{190;010} ca </w:t>
      </w:r>
      <w:r w:rsidR="00367C88">
        <w:rPr>
          <w:rFonts w:ascii="Times New Roman" w:hAnsi="Times New Roman"/>
        </w:rPr>
        <w:t>ș</w:t>
      </w:r>
      <w:r w:rsidRPr="00825E5B">
        <w:rPr>
          <w:rFonts w:ascii="Times New Roman" w:hAnsi="Times New Roman"/>
        </w:rPr>
        <w:t>i cum nu s-ar aplica exceptările men</w:t>
      </w:r>
      <w:r w:rsidR="00367C88">
        <w:rPr>
          <w:rFonts w:ascii="Times New Roman" w:hAnsi="Times New Roman"/>
        </w:rPr>
        <w:t>ț</w:t>
      </w:r>
      <w:r w:rsidRPr="00825E5B">
        <w:rPr>
          <w:rFonts w:ascii="Times New Roman" w:hAnsi="Times New Roman"/>
        </w:rPr>
        <w:t xml:space="preserve">ionate în {050;010}, {080;010}, {100;010}, {120;010} </w:t>
      </w:r>
      <w:r w:rsidR="00367C88">
        <w:rPr>
          <w:rFonts w:ascii="Times New Roman" w:hAnsi="Times New Roman"/>
        </w:rPr>
        <w:t>ș</w:t>
      </w:r>
      <w:r w:rsidRPr="00825E5B">
        <w:rPr>
          <w:rFonts w:ascii="Times New Roman" w:hAnsi="Times New Roman"/>
        </w:rPr>
        <w:t>i {220;010}.</w:t>
      </w:r>
    </w:p>
    <w:p w:rsidR="00F36D5B" w:rsidRPr="00825E5B" w:rsidRDefault="00F36D5B" w:rsidP="00FD2C06">
      <w:pPr>
        <w:pStyle w:val="BodyText1"/>
        <w:spacing w:line="240" w:lineRule="auto"/>
        <w:ind w:left="720"/>
        <w:rPr>
          <w:rFonts w:ascii="Times New Roman" w:hAnsi="Times New Roman"/>
        </w:rPr>
      </w:pPr>
    </w:p>
    <w:p w:rsidR="00F36D5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19.</w:t>
      </w:r>
      <w:r w:rsidRPr="00825E5B">
        <w:tab/>
      </w: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raportează date în {010;010}-{240;010} ca </w:t>
      </w:r>
      <w:r w:rsidR="00367C88">
        <w:rPr>
          <w:rFonts w:ascii="Times New Roman" w:hAnsi="Times New Roman"/>
        </w:rPr>
        <w:t>ș</w:t>
      </w:r>
      <w:r w:rsidRPr="00825E5B">
        <w:rPr>
          <w:rFonts w:ascii="Times New Roman" w:hAnsi="Times New Roman"/>
        </w:rPr>
        <w:t>i cum nu s-ar aplica exceptările men</w:t>
      </w:r>
      <w:r w:rsidR="00367C88">
        <w:rPr>
          <w:rFonts w:ascii="Times New Roman" w:hAnsi="Times New Roman"/>
        </w:rPr>
        <w:t>ț</w:t>
      </w:r>
      <w:r w:rsidRPr="00825E5B">
        <w:rPr>
          <w:rFonts w:ascii="Times New Roman" w:hAnsi="Times New Roman"/>
        </w:rPr>
        <w:t xml:space="preserve">ionate în {250;010} </w:t>
      </w:r>
      <w:r w:rsidR="00367C88">
        <w:rPr>
          <w:rFonts w:ascii="Times New Roman" w:hAnsi="Times New Roman"/>
        </w:rPr>
        <w:t>ș</w:t>
      </w:r>
      <w:r w:rsidRPr="00825E5B">
        <w:rPr>
          <w:rFonts w:ascii="Times New Roman" w:hAnsi="Times New Roman"/>
        </w:rPr>
        <w:t>i {260;010}.</w:t>
      </w:r>
    </w:p>
    <w:p w:rsidR="00720503" w:rsidRPr="00825E5B" w:rsidRDefault="00720503" w:rsidP="00FD2C06">
      <w:pPr>
        <w:pStyle w:val="ListParagraph"/>
        <w:rPr>
          <w:rFonts w:ascii="Times New Roman" w:hAnsi="Times New Roman"/>
        </w:rPr>
      </w:pPr>
    </w:p>
    <w:p w:rsidR="00720503" w:rsidRPr="00825E5B" w:rsidRDefault="00500508" w:rsidP="00500508">
      <w:pPr>
        <w:pStyle w:val="InstructionsText2"/>
        <w:numPr>
          <w:ilvl w:val="0"/>
          <w:numId w:val="0"/>
        </w:numPr>
        <w:ind w:left="720" w:hanging="360"/>
      </w:pPr>
      <w:r w:rsidRPr="00825E5B">
        <w:t>20.</w:t>
      </w:r>
      <w:r w:rsidRPr="00825E5B">
        <w:tab/>
        <w:t>Orice cuantum cu care se majorează fondurile proprii sau expunerea pentru calcularea indicatorului efectului de levier se raportează ca valoare pozitivă. În schimb, orice cuantum cu care se reduce totalul fondurilor proprii sau expunerea pentru calcularea indicatorului efectului de levier se raportează ca valoare negativă. În cazul în care există un semn negativ (-) în fa</w:t>
      </w:r>
      <w:r w:rsidR="00367C88">
        <w:t>ț</w:t>
      </w:r>
      <w:r w:rsidRPr="00825E5B">
        <w:t>a denumirii unui element, se presupune că pentru elementul respectiv nu se va raporta nicio valoare pozitivă.</w:t>
      </w:r>
    </w:p>
    <w:p w:rsidR="00720503" w:rsidRPr="00825E5B" w:rsidRDefault="00720503" w:rsidP="00FD2C06">
      <w:pPr>
        <w:pStyle w:val="BodyText1"/>
        <w:spacing w:line="240" w:lineRule="auto"/>
        <w:ind w:left="720"/>
        <w:rPr>
          <w:rFonts w:ascii="Times New Roman" w:hAnsi="Times New Roman"/>
        </w:rPr>
      </w:pPr>
    </w:p>
    <w:p w:rsidR="00AE2798" w:rsidRPr="00825E5B"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825E5B" w:rsidTr="00FE0FF1">
        <w:trPr>
          <w:trHeight w:val="304"/>
        </w:trPr>
        <w:tc>
          <w:tcPr>
            <w:tcW w:w="1418" w:type="dxa"/>
            <w:shd w:val="clear" w:color="auto" w:fill="D9D9D9"/>
          </w:tcPr>
          <w:p w:rsidR="00AE2798" w:rsidRPr="00825E5B" w:rsidRDefault="00AE2798" w:rsidP="00FE0FF1">
            <w:pPr>
              <w:pStyle w:val="BodyText1"/>
              <w:rPr>
                <w:rFonts w:ascii="Times New Roman" w:hAnsi="Times New Roman"/>
              </w:rPr>
            </w:pPr>
          </w:p>
        </w:tc>
        <w:tc>
          <w:tcPr>
            <w:tcW w:w="7590" w:type="dxa"/>
            <w:shd w:val="clear" w:color="auto" w:fill="D9D9D9"/>
          </w:tcPr>
          <w:p w:rsidR="00AE2798" w:rsidRPr="00825E5B" w:rsidRDefault="00AE2798" w:rsidP="00FE0FF1">
            <w:pPr>
              <w:pStyle w:val="BodyText1"/>
              <w:rPr>
                <w:rFonts w:ascii="Times New Roman" w:hAnsi="Times New Roman"/>
                <w:bCs/>
                <w:u w:val="single"/>
              </w:rPr>
            </w:pPr>
            <w:r w:rsidRPr="00825E5B">
              <w:rPr>
                <w:rFonts w:ascii="Times New Roman" w:hAnsi="Times New Roman"/>
              </w:rPr>
              <w:t>Referin</w:t>
            </w:r>
            <w:r w:rsidR="00367C88">
              <w:rPr>
                <w:rFonts w:ascii="Times New Roman" w:hAnsi="Times New Roman"/>
              </w:rPr>
              <w:t>ț</w:t>
            </w:r>
            <w:r w:rsidRPr="00825E5B">
              <w:rPr>
                <w:rFonts w:ascii="Times New Roman" w:hAnsi="Times New Roman"/>
              </w:rPr>
              <w:t xml:space="preserve">e juridice </w:t>
            </w:r>
            <w:r w:rsidR="00367C88">
              <w:rPr>
                <w:rFonts w:ascii="Times New Roman" w:hAnsi="Times New Roman"/>
              </w:rPr>
              <w:t>ș</w:t>
            </w:r>
            <w:r w:rsidRPr="00825E5B">
              <w:rPr>
                <w:rFonts w:ascii="Times New Roman" w:hAnsi="Times New Roman"/>
              </w:rPr>
              <w:t>i instruc</w:t>
            </w:r>
            <w:r w:rsidR="00367C88">
              <w:rPr>
                <w:rFonts w:ascii="Times New Roman" w:hAnsi="Times New Roman"/>
              </w:rPr>
              <w:t>ț</w:t>
            </w:r>
            <w:r w:rsidRPr="00825E5B">
              <w:rPr>
                <w:rFonts w:ascii="Times New Roman" w:hAnsi="Times New Roman"/>
              </w:rPr>
              <w:t>iuni</w:t>
            </w:r>
          </w:p>
        </w:tc>
      </w:tr>
      <w:tr w:rsidR="00AE2798" w:rsidRPr="00825E5B" w:rsidTr="00FE0FF1">
        <w:trPr>
          <w:trHeight w:val="304"/>
        </w:trPr>
        <w:tc>
          <w:tcPr>
            <w:tcW w:w="1418" w:type="dxa"/>
            <w:shd w:val="clear" w:color="auto" w:fill="D9D9D9"/>
          </w:tcPr>
          <w:p w:rsidR="00AE2798" w:rsidRPr="00825E5B" w:rsidRDefault="00AE2798" w:rsidP="00500508">
            <w:pPr>
              <w:pStyle w:val="BodyText1"/>
              <w:rPr>
                <w:rFonts w:ascii="Times New Roman" w:hAnsi="Times New Roman"/>
                <w:b/>
              </w:rPr>
            </w:pPr>
            <w:r w:rsidRPr="00825E5B">
              <w:rPr>
                <w:rFonts w:ascii="Times New Roman" w:hAnsi="Times New Roman"/>
                <w:b/>
              </w:rPr>
              <w:t xml:space="preserve">Rând </w:t>
            </w:r>
            <w:r w:rsidR="00367C88">
              <w:rPr>
                <w:rFonts w:ascii="Times New Roman" w:hAnsi="Times New Roman"/>
                <w:b/>
              </w:rPr>
              <w:t>ș</w:t>
            </w:r>
            <w:r w:rsidRPr="00825E5B">
              <w:rPr>
                <w:rFonts w:ascii="Times New Roman" w:hAnsi="Times New Roman"/>
                <w:b/>
              </w:rPr>
              <w:t>i coloană</w:t>
            </w:r>
          </w:p>
        </w:tc>
        <w:tc>
          <w:tcPr>
            <w:tcW w:w="7590" w:type="dxa"/>
            <w:shd w:val="clear" w:color="auto" w:fill="D9D9D9"/>
          </w:tcPr>
          <w:p w:rsidR="00AE2798" w:rsidRPr="00825E5B" w:rsidRDefault="00AE2798" w:rsidP="00FE0FF1">
            <w:pPr>
              <w:pStyle w:val="BodyText1"/>
              <w:rPr>
                <w:rFonts w:ascii="Times New Roman" w:hAnsi="Times New Roman"/>
                <w:b/>
                <w:bCs/>
              </w:rPr>
            </w:pPr>
            <w:r w:rsidRPr="00825E5B">
              <w:rPr>
                <w:rFonts w:ascii="Times New Roman" w:hAnsi="Times New Roman"/>
                <w:b/>
              </w:rPr>
              <w:t>Valori ale expunerii</w:t>
            </w:r>
          </w:p>
        </w:tc>
      </w:tr>
      <w:tr w:rsidR="00AE2798" w:rsidRPr="00825E5B" w:rsidTr="00FE0FF1">
        <w:trPr>
          <w:trHeight w:val="304"/>
        </w:trPr>
        <w:tc>
          <w:tcPr>
            <w:tcW w:w="1418" w:type="dxa"/>
          </w:tcPr>
          <w:p w:rsidR="00AE2798" w:rsidRPr="00825E5B" w:rsidRDefault="00AE2798" w:rsidP="00FE0FF1">
            <w:pPr>
              <w:pStyle w:val="BodyText1"/>
              <w:rPr>
                <w:rFonts w:ascii="Times New Roman" w:hAnsi="Times New Roman"/>
                <w:bCs/>
              </w:rPr>
            </w:pPr>
            <w:r w:rsidRPr="00825E5B">
              <w:rPr>
                <w:rFonts w:ascii="Times New Roman" w:hAnsi="Times New Roman"/>
              </w:rPr>
              <w:t>{010;010}</w:t>
            </w:r>
          </w:p>
          <w:p w:rsidR="00AE2798" w:rsidRPr="00825E5B" w:rsidRDefault="00AE2798" w:rsidP="00FE0FF1">
            <w:pPr>
              <w:pStyle w:val="BodyText1"/>
              <w:rPr>
                <w:rFonts w:ascii="Times New Roman" w:hAnsi="Times New Roman"/>
                <w:bCs/>
              </w:rPr>
            </w:pPr>
          </w:p>
        </w:tc>
        <w:tc>
          <w:tcPr>
            <w:tcW w:w="7590" w:type="dxa"/>
          </w:tcPr>
          <w:p w:rsidR="00AE2798" w:rsidRPr="00825E5B" w:rsidRDefault="00AE2798" w:rsidP="00FE0FF1">
            <w:pPr>
              <w:pStyle w:val="BodyText1"/>
              <w:spacing w:line="240" w:lineRule="auto"/>
              <w:rPr>
                <w:rFonts w:ascii="Times New Roman" w:hAnsi="Times New Roman"/>
                <w:b/>
                <w:bCs/>
                <w:u w:val="single"/>
              </w:rPr>
            </w:pPr>
            <w:r w:rsidRPr="00825E5B">
              <w:rPr>
                <w:rFonts w:ascii="Times New Roman" w:hAnsi="Times New Roman"/>
                <w:b/>
              </w:rPr>
              <w:t xml:space="preserve">SFT-uri: expunere conform articolului 429 alineatele (5) </w:t>
            </w:r>
            <w:r w:rsidR="00367C88">
              <w:rPr>
                <w:rFonts w:ascii="Times New Roman" w:hAnsi="Times New Roman"/>
                <w:b/>
              </w:rPr>
              <w:t>ș</w:t>
            </w:r>
            <w:r w:rsidRPr="00825E5B">
              <w:rPr>
                <w:rFonts w:ascii="Times New Roman" w:hAnsi="Times New Roman"/>
                <w:b/>
              </w:rPr>
              <w:t>i (8)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Articolul 429 alineatul (5) litera (d) </w:t>
            </w:r>
            <w:r w:rsidR="00367C88">
              <w:rPr>
                <w:rFonts w:ascii="Times New Roman" w:hAnsi="Times New Roman"/>
              </w:rPr>
              <w:t>ș</w:t>
            </w:r>
            <w:r w:rsidRPr="00825E5B">
              <w:rPr>
                <w:rFonts w:ascii="Times New Roman" w:hAnsi="Times New Roman"/>
              </w:rPr>
              <w:t>i articolul 429 alineatul (8) din CRR</w:t>
            </w:r>
          </w:p>
          <w:p w:rsidR="00AE2798" w:rsidRPr="00825E5B" w:rsidRDefault="00AE2798" w:rsidP="00FE0FF1">
            <w:pPr>
              <w:pStyle w:val="BodyText1"/>
              <w:spacing w:line="240" w:lineRule="auto"/>
              <w:rPr>
                <w:rFonts w:ascii="Times New Roman" w:hAnsi="Times New Roman"/>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lastRenderedPageBreak/>
              <w:t xml:space="preserve">Expunerea pentru SFT-uri, calculată în conformitate cu articolul 429 alineatul (5) litera (d) </w:t>
            </w:r>
            <w:r w:rsidR="00367C88">
              <w:rPr>
                <w:rFonts w:ascii="Times New Roman" w:hAnsi="Times New Roman"/>
              </w:rPr>
              <w:t>ș</w:t>
            </w:r>
            <w:r w:rsidRPr="00825E5B">
              <w:rPr>
                <w:rFonts w:ascii="Times New Roman" w:hAnsi="Times New Roman"/>
              </w:rPr>
              <w:t xml:space="preserve">i cu articolul 429 alineatul (8) din CRR. </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în această celulă tranzac</w:t>
            </w:r>
            <w:r w:rsidR="00367C88">
              <w:rPr>
                <w:rFonts w:ascii="Times New Roman" w:hAnsi="Times New Roman"/>
              </w:rPr>
              <w:t>ț</w:t>
            </w:r>
            <w:r w:rsidRPr="00825E5B">
              <w:rPr>
                <w:rFonts w:ascii="Times New Roman" w:hAnsi="Times New Roman"/>
              </w:rPr>
              <w:t>iile prevăzute la articolul 429b alineatul (6) litera (c).</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numerarul primit sau titlurile care sunt furnizate unei contrapăr</w:t>
            </w:r>
            <w:r w:rsidR="00367C88">
              <w:rPr>
                <w:rFonts w:ascii="Times New Roman" w:hAnsi="Times New Roman"/>
              </w:rPr>
              <w:t>ț</w:t>
            </w:r>
            <w:r w:rsidRPr="00825E5B">
              <w:rPr>
                <w:rFonts w:ascii="Times New Roman" w:hAnsi="Times New Roman"/>
              </w:rPr>
              <w:t>i prin intermediul tranzac</w:t>
            </w:r>
            <w:r w:rsidR="00367C88">
              <w:rPr>
                <w:rFonts w:ascii="Times New Roman" w:hAnsi="Times New Roman"/>
              </w:rPr>
              <w:t>ț</w:t>
            </w:r>
            <w:r w:rsidRPr="00825E5B">
              <w:rPr>
                <w:rFonts w:ascii="Times New Roman" w:hAnsi="Times New Roman"/>
              </w:rPr>
              <w:t>iilor sus-men</w:t>
            </w:r>
            <w:r w:rsidR="00367C88">
              <w:rPr>
                <w:rFonts w:ascii="Times New Roman" w:hAnsi="Times New Roman"/>
              </w:rPr>
              <w:t>ț</w:t>
            </w:r>
            <w:r w:rsidRPr="00825E5B">
              <w:rPr>
                <w:rFonts w:ascii="Times New Roman" w:hAnsi="Times New Roman"/>
              </w:rPr>
              <w:t xml:space="preserve">ionate </w:t>
            </w:r>
            <w:r w:rsidR="00367C88">
              <w:rPr>
                <w:rFonts w:ascii="Times New Roman" w:hAnsi="Times New Roman"/>
              </w:rPr>
              <w:t>ș</w:t>
            </w:r>
            <w:r w:rsidRPr="00825E5B">
              <w:rPr>
                <w:rFonts w:ascii="Times New Roman" w:hAnsi="Times New Roman"/>
              </w:rPr>
              <w:t>i care sunt re</w:t>
            </w:r>
            <w:r w:rsidR="00367C88">
              <w:rPr>
                <w:rFonts w:ascii="Times New Roman" w:hAnsi="Times New Roman"/>
              </w:rPr>
              <w:t>ț</w:t>
            </w:r>
            <w:r w:rsidRPr="00825E5B">
              <w:rPr>
                <w:rFonts w:ascii="Times New Roman" w:hAnsi="Times New Roman"/>
              </w:rPr>
              <w:t>inute în bilan</w:t>
            </w:r>
            <w:r w:rsidR="00367C88">
              <w:rPr>
                <w:rFonts w:ascii="Times New Roman" w:hAnsi="Times New Roman"/>
              </w:rPr>
              <w:t>ț</w:t>
            </w:r>
            <w:r w:rsidRPr="00825E5B">
              <w:rPr>
                <w:rFonts w:ascii="Times New Roman" w:hAnsi="Times New Roman"/>
              </w:rPr>
              <w:t xml:space="preserve"> (</w:t>
            </w:r>
            <w:r w:rsidR="00367C88">
              <w:rPr>
                <w:rFonts w:ascii="Times New Roman" w:hAnsi="Times New Roman"/>
              </w:rPr>
              <w:t>ș</w:t>
            </w:r>
            <w:r w:rsidRPr="00825E5B">
              <w:rPr>
                <w:rFonts w:ascii="Times New Roman" w:hAnsi="Times New Roman"/>
              </w:rPr>
              <w:t>i anume, pentru care criteriile contabile de scoatere din bilan</w:t>
            </w:r>
            <w:r w:rsidR="00367C88">
              <w:rPr>
                <w:rFonts w:ascii="Times New Roman" w:hAnsi="Times New Roman"/>
              </w:rPr>
              <w:t>ț</w:t>
            </w:r>
            <w:r w:rsidRPr="00825E5B">
              <w:rPr>
                <w:rFonts w:ascii="Times New Roman" w:hAnsi="Times New Roman"/>
              </w:rPr>
              <w:t xml:space="preserve"> nu sunt îndeplinite). Institu</w:t>
            </w:r>
            <w:r w:rsidR="00367C88">
              <w:rPr>
                <w:rFonts w:ascii="Times New Roman" w:hAnsi="Times New Roman"/>
              </w:rPr>
              <w:t>ț</w:t>
            </w:r>
            <w:r w:rsidRPr="00825E5B">
              <w:rPr>
                <w:rFonts w:ascii="Times New Roman" w:hAnsi="Times New Roman"/>
              </w:rPr>
              <w:t>iile includ însă elementele respective în {190,010}.</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SFT-urile încheiate în calitate de agent atunci când institu</w:t>
            </w:r>
            <w:r w:rsidR="00367C88">
              <w:rPr>
                <w:rFonts w:ascii="Times New Roman" w:hAnsi="Times New Roman"/>
              </w:rPr>
              <w:t>ț</w:t>
            </w:r>
            <w:r w:rsidRPr="00825E5B">
              <w:rPr>
                <w:rFonts w:ascii="Times New Roman" w:hAnsi="Times New Roman"/>
              </w:rPr>
              <w:t>ia furnizează unui client sau unei contrapăr</w:t>
            </w:r>
            <w:r w:rsidR="00367C88">
              <w:rPr>
                <w:rFonts w:ascii="Times New Roman" w:hAnsi="Times New Roman"/>
              </w:rPr>
              <w:t>ț</w:t>
            </w:r>
            <w:r w:rsidRPr="00825E5B">
              <w:rPr>
                <w:rFonts w:ascii="Times New Roman" w:hAnsi="Times New Roman"/>
              </w:rPr>
              <w:t>i o indemniza</w:t>
            </w:r>
            <w:r w:rsidR="00367C88">
              <w:rPr>
                <w:rFonts w:ascii="Times New Roman" w:hAnsi="Times New Roman"/>
              </w:rPr>
              <w:t>ț</w:t>
            </w:r>
            <w:r w:rsidRPr="00825E5B">
              <w:rPr>
                <w:rFonts w:ascii="Times New Roman" w:hAnsi="Times New Roman"/>
              </w:rPr>
              <w:t>ie sau o garan</w:t>
            </w:r>
            <w:r w:rsidR="00367C88">
              <w:rPr>
                <w:rFonts w:ascii="Times New Roman" w:hAnsi="Times New Roman"/>
              </w:rPr>
              <w:t>ț</w:t>
            </w:r>
            <w:r w:rsidRPr="00825E5B">
              <w:rPr>
                <w:rFonts w:ascii="Times New Roman" w:hAnsi="Times New Roman"/>
              </w:rPr>
              <w:t>ie limitată la orice diferen</w:t>
            </w:r>
            <w:r w:rsidR="00367C88">
              <w:rPr>
                <w:rFonts w:ascii="Times New Roman" w:hAnsi="Times New Roman"/>
              </w:rPr>
              <w:t>ț</w:t>
            </w:r>
            <w:r w:rsidRPr="00825E5B">
              <w:rPr>
                <w:rFonts w:ascii="Times New Roman" w:hAnsi="Times New Roman"/>
              </w:rPr>
              <w:t xml:space="preserve">ă între valoarea titlului de valoare sau a sumei în numerar pe care clientul a împrumutat-o </w:t>
            </w:r>
            <w:r w:rsidR="00367C88">
              <w:rPr>
                <w:rFonts w:ascii="Times New Roman" w:hAnsi="Times New Roman"/>
              </w:rPr>
              <w:t>ș</w:t>
            </w:r>
            <w:r w:rsidRPr="00825E5B">
              <w:rPr>
                <w:rFonts w:ascii="Times New Roman" w:hAnsi="Times New Roman"/>
              </w:rPr>
              <w:t>i valoarea garan</w:t>
            </w:r>
            <w:r w:rsidR="00367C88">
              <w:rPr>
                <w:rFonts w:ascii="Times New Roman" w:hAnsi="Times New Roman"/>
              </w:rPr>
              <w:t>ț</w:t>
            </w:r>
            <w:r w:rsidRPr="00825E5B">
              <w:rPr>
                <w:rFonts w:ascii="Times New Roman" w:hAnsi="Times New Roman"/>
              </w:rPr>
              <w:t>iei reale pe care debitorul a furnizat-o în conformitate cu articolul 429b alineatul (6) litera (a) din CRR.</w:t>
            </w:r>
          </w:p>
          <w:p w:rsidR="00AE2798" w:rsidRPr="00825E5B" w:rsidRDefault="00AE2798" w:rsidP="00FE0FF1">
            <w:pPr>
              <w:pStyle w:val="BodyText1"/>
              <w:spacing w:line="240" w:lineRule="auto"/>
              <w:rPr>
                <w:rFonts w:ascii="Times New Roman" w:hAnsi="Times New Roman"/>
                <w:bCs/>
                <w:u w:val="single"/>
              </w:rPr>
            </w:pPr>
          </w:p>
        </w:tc>
      </w:tr>
      <w:tr w:rsidR="00AE2798" w:rsidRPr="00825E5B" w:rsidTr="00FE0FF1">
        <w:trPr>
          <w:trHeight w:val="304"/>
        </w:trPr>
        <w:tc>
          <w:tcPr>
            <w:tcW w:w="1418" w:type="dxa"/>
          </w:tcPr>
          <w:p w:rsidR="00AE2798" w:rsidRPr="00825E5B" w:rsidRDefault="00AE2798" w:rsidP="00F71081">
            <w:pPr>
              <w:pStyle w:val="BodyText1"/>
              <w:rPr>
                <w:rFonts w:ascii="Times New Roman" w:hAnsi="Times New Roman"/>
                <w:bCs/>
              </w:rPr>
            </w:pPr>
            <w:r w:rsidRPr="00825E5B">
              <w:rPr>
                <w:rFonts w:ascii="Times New Roman" w:hAnsi="Times New Roman"/>
              </w:rPr>
              <w:lastRenderedPageBreak/>
              <w:t>{020;010}</w:t>
            </w:r>
          </w:p>
        </w:tc>
        <w:tc>
          <w:tcPr>
            <w:tcW w:w="7590" w:type="dxa"/>
          </w:tcPr>
          <w:p w:rsidR="00AE2798" w:rsidRPr="00825E5B" w:rsidRDefault="00AE2798" w:rsidP="00FE0FF1">
            <w:pPr>
              <w:pStyle w:val="BodyText1"/>
              <w:spacing w:line="240" w:lineRule="auto"/>
              <w:rPr>
                <w:rFonts w:ascii="Times New Roman" w:hAnsi="Times New Roman"/>
                <w:b/>
                <w:bCs/>
              </w:rPr>
            </w:pPr>
            <w:r w:rsidRPr="00825E5B">
              <w:rPr>
                <w:rFonts w:ascii="Times New Roman" w:hAnsi="Times New Roman"/>
                <w:b/>
              </w:rPr>
              <w:t>SFT-uri: majorare pentru riscul de contraparte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429b alineatul (1)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Majorarea pentru riscul de contraparte în cazul SFT-urilor, inclusiv extrabilan</w:t>
            </w:r>
            <w:r w:rsidR="00367C88">
              <w:rPr>
                <w:rFonts w:ascii="Times New Roman" w:hAnsi="Times New Roman"/>
              </w:rPr>
              <w:t>ț</w:t>
            </w:r>
            <w:r w:rsidRPr="00825E5B">
              <w:rPr>
                <w:rFonts w:ascii="Times New Roman" w:hAnsi="Times New Roman"/>
              </w:rPr>
              <w:t>iere, determinată în conformitate cu articolul 429b alineatul (2) sau (3) din CRR, după caz.</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în această celulă tranzac</w:t>
            </w:r>
            <w:r w:rsidR="00367C88">
              <w:rPr>
                <w:rFonts w:ascii="Times New Roman" w:hAnsi="Times New Roman"/>
              </w:rPr>
              <w:t>ț</w:t>
            </w:r>
            <w:r w:rsidRPr="00825E5B">
              <w:rPr>
                <w:rFonts w:ascii="Times New Roman" w:hAnsi="Times New Roman"/>
              </w:rPr>
              <w:t>iile prevăzute la articolul 429b alineatul (6) litera (c).</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SFT-urile încheiate în calitate de agent atunci când institu</w:t>
            </w:r>
            <w:r w:rsidR="00367C88">
              <w:rPr>
                <w:rFonts w:ascii="Times New Roman" w:hAnsi="Times New Roman"/>
              </w:rPr>
              <w:t>ț</w:t>
            </w:r>
            <w:r w:rsidRPr="00825E5B">
              <w:rPr>
                <w:rFonts w:ascii="Times New Roman" w:hAnsi="Times New Roman"/>
              </w:rPr>
              <w:t>ia furnizează unui client sau unei contrapăr</w:t>
            </w:r>
            <w:r w:rsidR="00367C88">
              <w:rPr>
                <w:rFonts w:ascii="Times New Roman" w:hAnsi="Times New Roman"/>
              </w:rPr>
              <w:t>ț</w:t>
            </w:r>
            <w:r w:rsidRPr="00825E5B">
              <w:rPr>
                <w:rFonts w:ascii="Times New Roman" w:hAnsi="Times New Roman"/>
              </w:rPr>
              <w:t>i o indemniza</w:t>
            </w:r>
            <w:r w:rsidR="00367C88">
              <w:rPr>
                <w:rFonts w:ascii="Times New Roman" w:hAnsi="Times New Roman"/>
              </w:rPr>
              <w:t>ț</w:t>
            </w:r>
            <w:r w:rsidRPr="00825E5B">
              <w:rPr>
                <w:rFonts w:ascii="Times New Roman" w:hAnsi="Times New Roman"/>
              </w:rPr>
              <w:t>ie sau o garan</w:t>
            </w:r>
            <w:r w:rsidR="00367C88">
              <w:rPr>
                <w:rFonts w:ascii="Times New Roman" w:hAnsi="Times New Roman"/>
              </w:rPr>
              <w:t>ț</w:t>
            </w:r>
            <w:r w:rsidRPr="00825E5B">
              <w:rPr>
                <w:rFonts w:ascii="Times New Roman" w:hAnsi="Times New Roman"/>
              </w:rPr>
              <w:t>ie limitată la orice diferen</w:t>
            </w:r>
            <w:r w:rsidR="00367C88">
              <w:rPr>
                <w:rFonts w:ascii="Times New Roman" w:hAnsi="Times New Roman"/>
              </w:rPr>
              <w:t>ț</w:t>
            </w:r>
            <w:r w:rsidRPr="00825E5B">
              <w:rPr>
                <w:rFonts w:ascii="Times New Roman" w:hAnsi="Times New Roman"/>
              </w:rPr>
              <w:t xml:space="preserve">ă între valoarea titlului de valoare sau a sumei în numerar pe care clientul a împrumutat-o </w:t>
            </w:r>
            <w:r w:rsidR="00367C88">
              <w:rPr>
                <w:rFonts w:ascii="Times New Roman" w:hAnsi="Times New Roman"/>
              </w:rPr>
              <w:t>ș</w:t>
            </w:r>
            <w:r w:rsidRPr="00825E5B">
              <w:rPr>
                <w:rFonts w:ascii="Times New Roman" w:hAnsi="Times New Roman"/>
              </w:rPr>
              <w:t>i valoarea garan</w:t>
            </w:r>
            <w:r w:rsidR="00367C88">
              <w:rPr>
                <w:rFonts w:ascii="Times New Roman" w:hAnsi="Times New Roman"/>
              </w:rPr>
              <w:t>ț</w:t>
            </w:r>
            <w:r w:rsidRPr="00825E5B">
              <w:rPr>
                <w:rFonts w:ascii="Times New Roman" w:hAnsi="Times New Roman"/>
              </w:rPr>
              <w:t>iei reale pe care debitorul a furnizat-o în conformitate cu articolul 429b alineatul (6) litera (a) din CRR. Institu</w:t>
            </w:r>
            <w:r w:rsidR="00367C88">
              <w:rPr>
                <w:rFonts w:ascii="Times New Roman" w:hAnsi="Times New Roman"/>
              </w:rPr>
              <w:t>ț</w:t>
            </w:r>
            <w:r w:rsidRPr="00825E5B">
              <w:rPr>
                <w:rFonts w:ascii="Times New Roman" w:hAnsi="Times New Roman"/>
              </w:rPr>
              <w:t>iile includ însă elementele respective în {040;010}.</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Pr>
          <w:p w:rsidR="00AE2798" w:rsidRPr="00825E5B" w:rsidRDefault="00AE2798" w:rsidP="00FE0FF1">
            <w:pPr>
              <w:pStyle w:val="BodyText1"/>
              <w:rPr>
                <w:rFonts w:ascii="Times New Roman" w:hAnsi="Times New Roman"/>
                <w:bCs/>
              </w:rPr>
            </w:pPr>
            <w:r w:rsidRPr="00825E5B">
              <w:rPr>
                <w:rFonts w:ascii="Times New Roman" w:hAnsi="Times New Roman"/>
              </w:rPr>
              <w:t>{030;010}</w:t>
            </w:r>
          </w:p>
          <w:p w:rsidR="00AE2798" w:rsidRPr="00825E5B" w:rsidRDefault="00AE2798" w:rsidP="00FE0FF1">
            <w:pPr>
              <w:pStyle w:val="BodyText1"/>
              <w:rPr>
                <w:rFonts w:ascii="Times New Roman" w:hAnsi="Times New Roman"/>
                <w:bCs/>
              </w:rPr>
            </w:pPr>
          </w:p>
        </w:tc>
        <w:tc>
          <w:tcPr>
            <w:tcW w:w="7590" w:type="dxa"/>
          </w:tcPr>
          <w:p w:rsidR="00AE2798" w:rsidRPr="00825E5B" w:rsidRDefault="00AE2798" w:rsidP="00FE0FF1">
            <w:pPr>
              <w:pStyle w:val="BodyText1"/>
              <w:spacing w:line="240" w:lineRule="auto"/>
              <w:rPr>
                <w:rFonts w:ascii="Times New Roman" w:hAnsi="Times New Roman"/>
                <w:b/>
                <w:bCs/>
              </w:rPr>
            </w:pPr>
            <w:r w:rsidRPr="00825E5B">
              <w:rPr>
                <w:rFonts w:ascii="Times New Roman" w:hAnsi="Times New Roman"/>
                <w:b/>
              </w:rPr>
              <w:t xml:space="preserve">Derogare pentru SFT-uri: majorare conform articolului 429b alineatul (4) </w:t>
            </w:r>
            <w:r w:rsidR="00367C88">
              <w:rPr>
                <w:rFonts w:ascii="Times New Roman" w:hAnsi="Times New Roman"/>
                <w:b/>
              </w:rPr>
              <w:t>ș</w:t>
            </w:r>
            <w:r w:rsidRPr="00825E5B">
              <w:rPr>
                <w:rFonts w:ascii="Times New Roman" w:hAnsi="Times New Roman"/>
                <w:b/>
              </w:rPr>
              <w:t>i articolului 222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Articolul 429b alineatul (4) </w:t>
            </w:r>
            <w:r w:rsidR="00367C88">
              <w:rPr>
                <w:rFonts w:ascii="Times New Roman" w:hAnsi="Times New Roman"/>
              </w:rPr>
              <w:t>ș</w:t>
            </w:r>
            <w:r w:rsidRPr="00825E5B">
              <w:rPr>
                <w:rFonts w:ascii="Times New Roman" w:hAnsi="Times New Roman"/>
              </w:rPr>
              <w:t>i articolul 222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Valoarea expunerii în cazul SFT-urilor, inclusiv extrabilan</w:t>
            </w:r>
            <w:r w:rsidR="00367C88">
              <w:rPr>
                <w:rFonts w:ascii="Times New Roman" w:hAnsi="Times New Roman"/>
              </w:rPr>
              <w:t>ț</w:t>
            </w:r>
            <w:r w:rsidRPr="00825E5B">
              <w:rPr>
                <w:rFonts w:ascii="Times New Roman" w:hAnsi="Times New Roman"/>
              </w:rPr>
              <w:t xml:space="preserve">iere, calculată în conformitate cu articolul 222 din CRR, sub rezerva unui prag de 20 % pentru ponderea de risc aplicabilă. </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în această celulă tranzac</w:t>
            </w:r>
            <w:r w:rsidR="00367C88">
              <w:rPr>
                <w:rFonts w:ascii="Times New Roman" w:hAnsi="Times New Roman"/>
              </w:rPr>
              <w:t>ț</w:t>
            </w:r>
            <w:r w:rsidRPr="00825E5B">
              <w:rPr>
                <w:rFonts w:ascii="Times New Roman" w:hAnsi="Times New Roman"/>
              </w:rPr>
              <w:t>iile prevăzute la articolul 429b alineatul (6) litera (c)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iau în considerare în această celulă tranzac</w:t>
            </w:r>
            <w:r w:rsidR="00367C88">
              <w:rPr>
                <w:rFonts w:ascii="Times New Roman" w:hAnsi="Times New Roman"/>
              </w:rPr>
              <w:t>ț</w:t>
            </w:r>
            <w:r w:rsidRPr="00825E5B">
              <w:rPr>
                <w:rFonts w:ascii="Times New Roman" w:hAnsi="Times New Roman"/>
              </w:rPr>
              <w:t>iile pentru care partea de majorare din valoarea expunerii pentru calcularea indicatorului efectului de levier este determinată în conformitate cu metoda definită la articolul 429b alineatul (1) din CRR.</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Pr>
          <w:p w:rsidR="00AE2798" w:rsidRPr="00825E5B" w:rsidRDefault="00AE2798" w:rsidP="00F71081">
            <w:pPr>
              <w:pStyle w:val="BodyText1"/>
              <w:rPr>
                <w:rFonts w:ascii="Times New Roman" w:hAnsi="Times New Roman"/>
                <w:bCs/>
              </w:rPr>
            </w:pPr>
            <w:r w:rsidRPr="00825E5B">
              <w:rPr>
                <w:rFonts w:ascii="Times New Roman" w:hAnsi="Times New Roman"/>
              </w:rPr>
              <w:t>{040;010}</w:t>
            </w:r>
          </w:p>
        </w:tc>
        <w:tc>
          <w:tcPr>
            <w:tcW w:w="7590" w:type="dxa"/>
          </w:tcPr>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b/>
              </w:rPr>
              <w:t>Riscul de contraparte pentru SFT-uri încheiate în calitate de agent în conformitate cu articolul 429b alineatul (6)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Articolul 429b alineatul (6) litera (a) </w:t>
            </w:r>
            <w:r w:rsidR="00367C88">
              <w:rPr>
                <w:rFonts w:ascii="Times New Roman" w:hAnsi="Times New Roman"/>
              </w:rPr>
              <w:t>ș</w:t>
            </w:r>
            <w:r w:rsidRPr="00825E5B">
              <w:rPr>
                <w:rFonts w:ascii="Times New Roman" w:hAnsi="Times New Roman"/>
              </w:rPr>
              <w:t xml:space="preserve">i articolul 429b alineatele (2) </w:t>
            </w:r>
            <w:r w:rsidR="00367C88">
              <w:rPr>
                <w:rFonts w:ascii="Times New Roman" w:hAnsi="Times New Roman"/>
              </w:rPr>
              <w:t>ș</w:t>
            </w:r>
            <w:r w:rsidRPr="00825E5B">
              <w:rPr>
                <w:rFonts w:ascii="Times New Roman" w:hAnsi="Times New Roman"/>
              </w:rPr>
              <w:t>i (3)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Valoarea expunerii în cazul SFT-urilor încheiate în calitate de agent, atunci când institu</w:t>
            </w:r>
            <w:r w:rsidR="00367C88">
              <w:rPr>
                <w:rFonts w:ascii="Times New Roman" w:hAnsi="Times New Roman"/>
              </w:rPr>
              <w:t>ț</w:t>
            </w:r>
            <w:r w:rsidRPr="00825E5B">
              <w:rPr>
                <w:rFonts w:ascii="Times New Roman" w:hAnsi="Times New Roman"/>
              </w:rPr>
              <w:t>ia furnizează unui client sau unei contrapăr</w:t>
            </w:r>
            <w:r w:rsidR="00367C88">
              <w:rPr>
                <w:rFonts w:ascii="Times New Roman" w:hAnsi="Times New Roman"/>
              </w:rPr>
              <w:t>ț</w:t>
            </w:r>
            <w:r w:rsidRPr="00825E5B">
              <w:rPr>
                <w:rFonts w:ascii="Times New Roman" w:hAnsi="Times New Roman"/>
              </w:rPr>
              <w:t>i o indemniza</w:t>
            </w:r>
            <w:r w:rsidR="00367C88">
              <w:rPr>
                <w:rFonts w:ascii="Times New Roman" w:hAnsi="Times New Roman"/>
              </w:rPr>
              <w:t>ț</w:t>
            </w:r>
            <w:r w:rsidRPr="00825E5B">
              <w:rPr>
                <w:rFonts w:ascii="Times New Roman" w:hAnsi="Times New Roman"/>
              </w:rPr>
              <w:t>ie sau o garan</w:t>
            </w:r>
            <w:r w:rsidR="00367C88">
              <w:rPr>
                <w:rFonts w:ascii="Times New Roman" w:hAnsi="Times New Roman"/>
              </w:rPr>
              <w:t>ț</w:t>
            </w:r>
            <w:r w:rsidRPr="00825E5B">
              <w:rPr>
                <w:rFonts w:ascii="Times New Roman" w:hAnsi="Times New Roman"/>
              </w:rPr>
              <w:t>ie limitată la orice diferen</w:t>
            </w:r>
            <w:r w:rsidR="00367C88">
              <w:rPr>
                <w:rFonts w:ascii="Times New Roman" w:hAnsi="Times New Roman"/>
              </w:rPr>
              <w:t>ț</w:t>
            </w:r>
            <w:r w:rsidRPr="00825E5B">
              <w:rPr>
                <w:rFonts w:ascii="Times New Roman" w:hAnsi="Times New Roman"/>
              </w:rPr>
              <w:t xml:space="preserve">ă între valoarea titlului de valoare sau a sumei în numerar pe care clientul a împrumutat-o </w:t>
            </w:r>
            <w:r w:rsidR="00367C88">
              <w:rPr>
                <w:rFonts w:ascii="Times New Roman" w:hAnsi="Times New Roman"/>
              </w:rPr>
              <w:t>ș</w:t>
            </w:r>
            <w:r w:rsidRPr="00825E5B">
              <w:rPr>
                <w:rFonts w:ascii="Times New Roman" w:hAnsi="Times New Roman"/>
              </w:rPr>
              <w:t>i valoarea garan</w:t>
            </w:r>
            <w:r w:rsidR="00367C88">
              <w:rPr>
                <w:rFonts w:ascii="Times New Roman" w:hAnsi="Times New Roman"/>
              </w:rPr>
              <w:t>ț</w:t>
            </w:r>
            <w:r w:rsidRPr="00825E5B">
              <w:rPr>
                <w:rFonts w:ascii="Times New Roman" w:hAnsi="Times New Roman"/>
              </w:rPr>
              <w:t xml:space="preserve">iei reale pe care debitorul a furnizat-o în conformitate cu articolul 429b alineatul (6) litera (a) din CRR, constă numai în majorarea determinată în </w:t>
            </w:r>
            <w:r w:rsidRPr="00825E5B">
              <w:rPr>
                <w:rFonts w:ascii="Times New Roman" w:hAnsi="Times New Roman"/>
              </w:rPr>
              <w:lastRenderedPageBreak/>
              <w:t>conformitate cu articolul 429b alineatul (2) sau (3) din CRR, după caz.</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tranzac</w:t>
            </w:r>
            <w:r w:rsidR="00367C88">
              <w:rPr>
                <w:rFonts w:ascii="Times New Roman" w:hAnsi="Times New Roman"/>
              </w:rPr>
              <w:t>ț</w:t>
            </w:r>
            <w:r w:rsidRPr="00825E5B">
              <w:rPr>
                <w:rFonts w:ascii="Times New Roman" w:hAnsi="Times New Roman"/>
              </w:rPr>
              <w:t>iile prevăzute la articolul 429b alineatul (6) litera (c). Institu</w:t>
            </w:r>
            <w:r w:rsidR="00367C88">
              <w:rPr>
                <w:rFonts w:ascii="Times New Roman" w:hAnsi="Times New Roman"/>
              </w:rPr>
              <w:t>ț</w:t>
            </w:r>
            <w:r w:rsidRPr="00825E5B">
              <w:rPr>
                <w:rFonts w:ascii="Times New Roman" w:hAnsi="Times New Roman"/>
              </w:rPr>
              <w:t xml:space="preserve">iile includ însă elementele respective în {010;010} </w:t>
            </w:r>
            <w:r w:rsidR="00367C88">
              <w:rPr>
                <w:rFonts w:ascii="Times New Roman" w:hAnsi="Times New Roman"/>
              </w:rPr>
              <w:t>ș</w:t>
            </w:r>
            <w:r w:rsidRPr="00825E5B">
              <w:rPr>
                <w:rFonts w:ascii="Times New Roman" w:hAnsi="Times New Roman"/>
              </w:rPr>
              <w:t xml:space="preserve">i {020;010} sau {010;010} </w:t>
            </w:r>
            <w:r w:rsidR="00367C88">
              <w:rPr>
                <w:rFonts w:ascii="Times New Roman" w:hAnsi="Times New Roman"/>
              </w:rPr>
              <w:t>ș</w:t>
            </w:r>
            <w:r w:rsidRPr="00825E5B">
              <w:rPr>
                <w:rFonts w:ascii="Times New Roman" w:hAnsi="Times New Roman"/>
              </w:rPr>
              <w:t>i {030;010}, după caz.</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Pr>
          <w:p w:rsidR="00AE2798" w:rsidRPr="00825E5B" w:rsidRDefault="00AE2798" w:rsidP="00F71081">
            <w:pPr>
              <w:pStyle w:val="BodyText1"/>
              <w:rPr>
                <w:rFonts w:ascii="Times New Roman" w:hAnsi="Times New Roman"/>
                <w:bCs/>
              </w:rPr>
            </w:pPr>
            <w:r w:rsidRPr="00825E5B">
              <w:rPr>
                <w:rFonts w:ascii="Times New Roman" w:hAnsi="Times New Roman"/>
              </w:rPr>
              <w:lastRenderedPageBreak/>
              <w:t>{050;010}</w:t>
            </w:r>
          </w:p>
        </w:tc>
        <w:tc>
          <w:tcPr>
            <w:tcW w:w="7590" w:type="dxa"/>
          </w:tcPr>
          <w:p w:rsidR="00AE2798" w:rsidRPr="00825E5B" w:rsidRDefault="005556DC" w:rsidP="00FE0FF1">
            <w:pPr>
              <w:pStyle w:val="BodyText1"/>
              <w:spacing w:line="240" w:lineRule="auto"/>
              <w:rPr>
                <w:rFonts w:ascii="Times New Roman" w:hAnsi="Times New Roman"/>
                <w:bCs/>
              </w:rPr>
            </w:pPr>
            <w:r w:rsidRPr="00825E5B">
              <w:rPr>
                <w:rFonts w:ascii="Times New Roman" w:hAnsi="Times New Roman"/>
                <w:b/>
              </w:rPr>
              <w:t>(-) Segmentul CPC exclus din expunerile aferente SFT-urilor în cazul cărora clientul a fost compensat</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Articolul 429 alineatul (11) </w:t>
            </w:r>
            <w:r w:rsidR="00367C88">
              <w:rPr>
                <w:rFonts w:ascii="Times New Roman" w:hAnsi="Times New Roman"/>
              </w:rPr>
              <w:t>ș</w:t>
            </w:r>
            <w:r w:rsidRPr="00825E5B">
              <w:rPr>
                <w:rFonts w:ascii="Times New Roman" w:hAnsi="Times New Roman"/>
              </w:rPr>
              <w:t>i articolul 306 alineatul (1) litera (c)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Segmentul CPC exclus din expunerile aferente SFT-urilor în cazul cărora clientul a fost compensat, dacă respectivele elemente îndeplinesc condi</w:t>
            </w:r>
            <w:r w:rsidR="00367C88">
              <w:rPr>
                <w:rFonts w:ascii="Times New Roman" w:hAnsi="Times New Roman"/>
              </w:rPr>
              <w:t>ț</w:t>
            </w:r>
            <w:r w:rsidRPr="00825E5B">
              <w:rPr>
                <w:rFonts w:ascii="Times New Roman" w:hAnsi="Times New Roman"/>
              </w:rPr>
              <w:t>iile prevăzute la articolul 306 alineatul (1) litera (c) din CRR.</w:t>
            </w:r>
          </w:p>
          <w:p w:rsidR="004052F0" w:rsidRPr="00825E5B" w:rsidRDefault="004052F0" w:rsidP="00FE0FF1">
            <w:pPr>
              <w:pStyle w:val="BodyText1"/>
              <w:spacing w:line="240" w:lineRule="auto"/>
              <w:rPr>
                <w:rFonts w:ascii="Times New Roman" w:hAnsi="Times New Roman"/>
                <w:bCs/>
              </w:rPr>
            </w:pPr>
          </w:p>
          <w:p w:rsidR="004052F0" w:rsidRPr="00825E5B" w:rsidRDefault="004052F0" w:rsidP="00FE0FF1">
            <w:pPr>
              <w:pStyle w:val="BodyText1"/>
              <w:spacing w:line="240" w:lineRule="auto"/>
              <w:rPr>
                <w:rFonts w:ascii="Times New Roman" w:hAnsi="Times New Roman"/>
                <w:bCs/>
              </w:rPr>
            </w:pPr>
            <w:r w:rsidRPr="00825E5B">
              <w:rPr>
                <w:rFonts w:ascii="Times New Roman" w:hAnsi="Times New Roman"/>
              </w:rPr>
              <w:t>Arunci când este un titlu de valoare, segmentul CPC exclus nu se raportează în această celulă decât dacă este un titlu de valoare regajat care, în temeiul cadrului contabil aplicabil [</w:t>
            </w:r>
            <w:r w:rsidR="00367C88">
              <w:rPr>
                <w:rFonts w:ascii="Times New Roman" w:hAnsi="Times New Roman"/>
              </w:rPr>
              <w:t>ș</w:t>
            </w:r>
            <w:r w:rsidRPr="00825E5B">
              <w:rPr>
                <w:rFonts w:ascii="Times New Roman" w:hAnsi="Times New Roman"/>
              </w:rPr>
              <w:t>i anume, în conformitate cu articolul 111 alineatul (1) prima teză din CRR], este inclus la valoarea sa totală.</w:t>
            </w:r>
          </w:p>
          <w:p w:rsidR="004052F0" w:rsidRPr="00825E5B" w:rsidRDefault="004052F0" w:rsidP="00FE0FF1">
            <w:pPr>
              <w:pStyle w:val="BodyText1"/>
              <w:spacing w:line="240" w:lineRule="auto"/>
              <w:rPr>
                <w:rFonts w:ascii="Times New Roman" w:hAnsi="Times New Roman"/>
                <w:bCs/>
              </w:rPr>
            </w:pPr>
          </w:p>
          <w:p w:rsidR="004052F0" w:rsidRPr="00825E5B" w:rsidRDefault="004052F0" w:rsidP="00FD2C06">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includ valoarea raportată în această celulă, ca </w:t>
            </w:r>
            <w:r w:rsidR="00367C88">
              <w:rPr>
                <w:rFonts w:ascii="Times New Roman" w:hAnsi="Times New Roman"/>
              </w:rPr>
              <w:t>ș</w:t>
            </w:r>
            <w:r w:rsidRPr="00825E5B">
              <w:rPr>
                <w:rFonts w:ascii="Times New Roman" w:hAnsi="Times New Roman"/>
              </w:rPr>
              <w:t xml:space="preserve">i cum nu s-ar aplica nicio excludere, </w:t>
            </w:r>
            <w:r w:rsidR="00367C88">
              <w:rPr>
                <w:rFonts w:ascii="Times New Roman" w:hAnsi="Times New Roman"/>
              </w:rPr>
              <w:t>ș</w:t>
            </w:r>
            <w:r w:rsidRPr="00825E5B">
              <w:rPr>
                <w:rFonts w:ascii="Times New Roman" w:hAnsi="Times New Roman"/>
              </w:rPr>
              <w:t xml:space="preserve">i în {010;010}, {020;010} </w:t>
            </w:r>
            <w:r w:rsidR="00367C88">
              <w:rPr>
                <w:rFonts w:ascii="Times New Roman" w:hAnsi="Times New Roman"/>
              </w:rPr>
              <w:t>ș</w:t>
            </w:r>
            <w:r w:rsidRPr="00825E5B">
              <w:rPr>
                <w:rFonts w:ascii="Times New Roman" w:hAnsi="Times New Roman"/>
              </w:rPr>
              <w:t xml:space="preserve">i {030;010} </w:t>
            </w:r>
            <w:r w:rsidR="00367C88">
              <w:rPr>
                <w:rFonts w:ascii="Times New Roman" w:hAnsi="Times New Roman"/>
              </w:rPr>
              <w:t>ș</w:t>
            </w:r>
            <w:r w:rsidRPr="00825E5B">
              <w:rPr>
                <w:rFonts w:ascii="Times New Roman" w:hAnsi="Times New Roman"/>
              </w:rPr>
              <w:t>i, dacă este îndeplinită condi</w:t>
            </w:r>
            <w:r w:rsidR="00367C88">
              <w:rPr>
                <w:rFonts w:ascii="Times New Roman" w:hAnsi="Times New Roman"/>
              </w:rPr>
              <w:t>ț</w:t>
            </w:r>
            <w:r w:rsidRPr="00825E5B">
              <w:rPr>
                <w:rFonts w:ascii="Times New Roman" w:hAnsi="Times New Roman"/>
              </w:rPr>
              <w:t>ia din a doua jumătate a tezei anterioare, în {190;010}.</w:t>
            </w:r>
          </w:p>
          <w:p w:rsidR="00AF6C6D" w:rsidRPr="00825E5B" w:rsidRDefault="00AF6C6D" w:rsidP="00FD2C06">
            <w:pPr>
              <w:pStyle w:val="BodyText1"/>
              <w:spacing w:line="240" w:lineRule="auto"/>
              <w:rPr>
                <w:rFonts w:ascii="Times New Roman" w:hAnsi="Times New Roman"/>
                <w:bCs/>
              </w:rPr>
            </w:pPr>
          </w:p>
          <w:p w:rsidR="00AF6C6D" w:rsidRPr="00825E5B" w:rsidRDefault="00AF6C6D" w:rsidP="00FD2C06">
            <w:pPr>
              <w:pStyle w:val="BodyText1"/>
              <w:spacing w:line="240" w:lineRule="auto"/>
              <w:rPr>
                <w:rFonts w:ascii="Times New Roman" w:hAnsi="Times New Roman"/>
                <w:bCs/>
              </w:rPr>
            </w:pPr>
            <w:r w:rsidRPr="00825E5B">
              <w:rPr>
                <w:rFonts w:ascii="Times New Roman" w:hAnsi="Times New Roman"/>
              </w:rPr>
              <w:t>Atunci când pentru un segment exclus al unui SFT a furnizat o marjă ini</w:t>
            </w:r>
            <w:r w:rsidR="00367C88">
              <w:rPr>
                <w:rFonts w:ascii="Times New Roman" w:hAnsi="Times New Roman"/>
              </w:rPr>
              <w:t>ț</w:t>
            </w:r>
            <w:r w:rsidRPr="00825E5B">
              <w:rPr>
                <w:rFonts w:ascii="Times New Roman" w:hAnsi="Times New Roman"/>
              </w:rPr>
              <w:t xml:space="preserve">ială care este raportată în {190;010} </w:t>
            </w:r>
            <w:r w:rsidR="00367C88">
              <w:rPr>
                <w:rFonts w:ascii="Times New Roman" w:hAnsi="Times New Roman"/>
              </w:rPr>
              <w:t>ș</w:t>
            </w:r>
            <w:r w:rsidRPr="00825E5B">
              <w:rPr>
                <w:rFonts w:ascii="Times New Roman" w:hAnsi="Times New Roman"/>
              </w:rPr>
              <w:t>i neraportată în {020;010} sau {030;010}, institu</w:t>
            </w:r>
            <w:r w:rsidR="00367C88">
              <w:rPr>
                <w:rFonts w:ascii="Times New Roman" w:hAnsi="Times New Roman"/>
              </w:rPr>
              <w:t>ț</w:t>
            </w:r>
            <w:r w:rsidRPr="00825E5B">
              <w:rPr>
                <w:rFonts w:ascii="Times New Roman" w:hAnsi="Times New Roman"/>
              </w:rPr>
              <w:t>ia poate raporta marja respectivă în această celulă.</w:t>
            </w:r>
          </w:p>
          <w:p w:rsidR="00AE2798" w:rsidRPr="00825E5B" w:rsidRDefault="00AE2798" w:rsidP="00C0429A">
            <w:pPr>
              <w:pStyle w:val="BodyText1"/>
              <w:spacing w:line="240" w:lineRule="auto"/>
              <w:rPr>
                <w:rFonts w:ascii="Times New Roman" w:hAnsi="Times New Roman"/>
                <w:bCs/>
              </w:rPr>
            </w:pPr>
          </w:p>
        </w:tc>
      </w:tr>
      <w:tr w:rsidR="00AE2798" w:rsidRPr="00825E5B" w:rsidTr="00FE0FF1">
        <w:trPr>
          <w:trHeight w:val="304"/>
        </w:trPr>
        <w:tc>
          <w:tcPr>
            <w:tcW w:w="1418" w:type="dxa"/>
          </w:tcPr>
          <w:p w:rsidR="00AE2798" w:rsidRPr="00825E5B" w:rsidRDefault="00AE2798" w:rsidP="00FE0FF1">
            <w:pPr>
              <w:pStyle w:val="BodyText1"/>
              <w:rPr>
                <w:rFonts w:ascii="Times New Roman" w:hAnsi="Times New Roman"/>
                <w:bCs/>
              </w:rPr>
            </w:pPr>
            <w:r w:rsidRPr="00825E5B">
              <w:rPr>
                <w:rFonts w:ascii="Times New Roman" w:hAnsi="Times New Roman"/>
              </w:rPr>
              <w:t>{060;010}</w:t>
            </w:r>
          </w:p>
          <w:p w:rsidR="00AE2798" w:rsidRPr="00825E5B" w:rsidRDefault="00AE2798" w:rsidP="00FE0FF1">
            <w:pPr>
              <w:pStyle w:val="BodyText1"/>
              <w:rPr>
                <w:rFonts w:ascii="Times New Roman" w:hAnsi="Times New Roman"/>
                <w:bCs/>
              </w:rPr>
            </w:pPr>
          </w:p>
        </w:tc>
        <w:tc>
          <w:tcPr>
            <w:tcW w:w="7590" w:type="dxa"/>
          </w:tcPr>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b/>
              </w:rPr>
              <w:t xml:space="preserve">Instrumente financiare derivate: Costul de înlocuire curent </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Articolele 429a, 274, 295, 296, 297 </w:t>
            </w:r>
            <w:r w:rsidR="00367C88">
              <w:rPr>
                <w:rFonts w:ascii="Times New Roman" w:hAnsi="Times New Roman"/>
              </w:rPr>
              <w:t>ș</w:t>
            </w:r>
            <w:r w:rsidRPr="00825E5B">
              <w:rPr>
                <w:rFonts w:ascii="Times New Roman" w:hAnsi="Times New Roman"/>
              </w:rPr>
              <w:t>i 298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Costul de înlocuire curent, astfel cum se specifică la articolul 274 alineatul (1) din CRR, pentru contractele enumerate în anexa II la CRR </w:t>
            </w:r>
            <w:r w:rsidR="00367C88">
              <w:rPr>
                <w:rFonts w:ascii="Times New Roman" w:hAnsi="Times New Roman"/>
              </w:rPr>
              <w:t>ș</w:t>
            </w:r>
            <w:r w:rsidRPr="00825E5B">
              <w:rPr>
                <w:rFonts w:ascii="Times New Roman" w:hAnsi="Times New Roman"/>
              </w:rPr>
              <w:t>i instrumentele financiare derivate de credit, inclusiv cele extrabilan</w:t>
            </w:r>
            <w:r w:rsidR="00367C88">
              <w:rPr>
                <w:rFonts w:ascii="Times New Roman" w:hAnsi="Times New Roman"/>
              </w:rPr>
              <w:t>ț</w:t>
            </w:r>
            <w:r w:rsidRPr="00825E5B">
              <w:rPr>
                <w:rFonts w:ascii="Times New Roman" w:hAnsi="Times New Roman"/>
              </w:rPr>
              <w:t>iere, raportat la valoarea brută, adică fără deducerea marjei de varia</w:t>
            </w:r>
            <w:r w:rsidR="00367C88">
              <w:rPr>
                <w:rFonts w:ascii="Times New Roman" w:hAnsi="Times New Roman"/>
              </w:rPr>
              <w:t>ț</w:t>
            </w:r>
            <w:r w:rsidRPr="00825E5B">
              <w:rPr>
                <w:rFonts w:ascii="Times New Roman" w:hAnsi="Times New Roman"/>
              </w:rPr>
              <w:t>ie primite.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Astfel cum este stabilit la articolul 429a alineatul (1) din CRR, institu</w:t>
            </w:r>
            <w:r w:rsidR="00367C88">
              <w:rPr>
                <w:rFonts w:ascii="Times New Roman" w:hAnsi="Times New Roman"/>
              </w:rPr>
              <w:t>ț</w:t>
            </w:r>
            <w:r w:rsidRPr="00825E5B">
              <w:rPr>
                <w:rFonts w:ascii="Times New Roman" w:hAnsi="Times New Roman"/>
              </w:rPr>
              <w:t>iile pot să ia în considerare efectele contractelor de nova</w:t>
            </w:r>
            <w:r w:rsidR="00367C88">
              <w:rPr>
                <w:rFonts w:ascii="Times New Roman" w:hAnsi="Times New Roman"/>
              </w:rPr>
              <w:t>ț</w:t>
            </w:r>
            <w:r w:rsidRPr="00825E5B">
              <w:rPr>
                <w:rFonts w:ascii="Times New Roman" w:hAnsi="Times New Roman"/>
              </w:rPr>
              <w:t xml:space="preserve">ie </w:t>
            </w:r>
            <w:r w:rsidR="00367C88">
              <w:rPr>
                <w:rFonts w:ascii="Times New Roman" w:hAnsi="Times New Roman"/>
              </w:rPr>
              <w:t>ș</w:t>
            </w:r>
            <w:r w:rsidRPr="00825E5B">
              <w:rPr>
                <w:rFonts w:ascii="Times New Roman" w:hAnsi="Times New Roman"/>
              </w:rPr>
              <w:t>i ale altor acorduri de compensare în conformitate cu articolul 295 din CRR. Compensarea între produse diferite nu se aplică. Cu toate acestea, institu</w:t>
            </w:r>
            <w:r w:rsidR="00367C88">
              <w:rPr>
                <w:rFonts w:ascii="Times New Roman" w:hAnsi="Times New Roman"/>
              </w:rPr>
              <w:t>ț</w:t>
            </w:r>
            <w:r w:rsidRPr="00825E5B">
              <w:rPr>
                <w:rFonts w:ascii="Times New Roman" w:hAnsi="Times New Roman"/>
              </w:rPr>
              <w:t>iile pot să compenseze în cadrul categoriei de produse men</w:t>
            </w:r>
            <w:r w:rsidR="00367C88">
              <w:rPr>
                <w:rFonts w:ascii="Times New Roman" w:hAnsi="Times New Roman"/>
              </w:rPr>
              <w:t>ț</w:t>
            </w:r>
            <w:r w:rsidRPr="00825E5B">
              <w:rPr>
                <w:rFonts w:ascii="Times New Roman" w:hAnsi="Times New Roman"/>
              </w:rPr>
              <w:t xml:space="preserve">ionate la articolul 272 punctul 25 litera (c) din CRR </w:t>
            </w:r>
            <w:r w:rsidR="00367C88">
              <w:rPr>
                <w:rFonts w:ascii="Times New Roman" w:hAnsi="Times New Roman"/>
              </w:rPr>
              <w:t>ș</w:t>
            </w:r>
            <w:r w:rsidRPr="00825E5B">
              <w:rPr>
                <w:rFonts w:ascii="Times New Roman" w:hAnsi="Times New Roman"/>
              </w:rPr>
              <w:t>i instrumente financiare derivate de credit, în cazul în care acestea fac obiectul unui acord de compensare contractuală între produse diferite, men</w:t>
            </w:r>
            <w:r w:rsidR="00367C88">
              <w:rPr>
                <w:rFonts w:ascii="Times New Roman" w:hAnsi="Times New Roman"/>
              </w:rPr>
              <w:t>ț</w:t>
            </w:r>
            <w:r w:rsidRPr="00825E5B">
              <w:rPr>
                <w:rFonts w:ascii="Times New Roman" w:hAnsi="Times New Roman"/>
              </w:rPr>
              <w:t>ionat la articolul 295 litera (c) din CRR.</w:t>
            </w:r>
          </w:p>
          <w:p w:rsidR="00AE2798" w:rsidRPr="00825E5B" w:rsidRDefault="00AE2798" w:rsidP="00FE0FF1">
            <w:pPr>
              <w:pStyle w:val="BodyText1"/>
              <w:spacing w:line="240" w:lineRule="auto"/>
              <w:rPr>
                <w:rFonts w:ascii="Times New Roman" w:hAnsi="Times New Roman"/>
              </w:rPr>
            </w:pPr>
          </w:p>
          <w:p w:rsidR="00AE2798" w:rsidRPr="00825E5B" w:rsidRDefault="00AE2798" w:rsidP="00FE0FF1">
            <w:pPr>
              <w:pStyle w:val="BodyText1"/>
              <w:spacing w:line="240" w:lineRule="auto"/>
              <w:rPr>
                <w:rFonts w:ascii="Times New Roman" w:hAnsi="Times New Roman"/>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contractele măsurate prin aplicarea metodei expunerii ini</w:t>
            </w:r>
            <w:r w:rsidR="00367C88">
              <w:rPr>
                <w:rFonts w:ascii="Times New Roman" w:hAnsi="Times New Roman"/>
              </w:rPr>
              <w:t>ț</w:t>
            </w:r>
            <w:r w:rsidRPr="00825E5B">
              <w:rPr>
                <w:rFonts w:ascii="Times New Roman" w:hAnsi="Times New Roman"/>
              </w:rPr>
              <w:t xml:space="preserve">iale în conformitate cu articolul 429a alineatul (8) </w:t>
            </w:r>
            <w:r w:rsidR="00367C88">
              <w:rPr>
                <w:rFonts w:ascii="Times New Roman" w:hAnsi="Times New Roman"/>
              </w:rPr>
              <w:t>ș</w:t>
            </w:r>
            <w:r w:rsidRPr="00825E5B">
              <w:rPr>
                <w:rFonts w:ascii="Times New Roman" w:hAnsi="Times New Roman"/>
              </w:rPr>
              <w:t>i cu articolul 275 din CRR.</w:t>
            </w:r>
          </w:p>
          <w:p w:rsidR="00AE2798" w:rsidRPr="00825E5B" w:rsidRDefault="00AE2798" w:rsidP="00FE0FF1">
            <w:pPr>
              <w:pStyle w:val="BodyText1"/>
              <w:spacing w:line="240" w:lineRule="auto"/>
              <w:rPr>
                <w:rFonts w:ascii="Times New Roman" w:hAnsi="Times New Roman"/>
                <w:u w:val="single"/>
              </w:rPr>
            </w:pPr>
          </w:p>
        </w:tc>
      </w:tr>
      <w:tr w:rsidR="00AE2798" w:rsidRPr="00825E5B" w:rsidTr="00FE0FF1">
        <w:trPr>
          <w:trHeight w:val="304"/>
        </w:trPr>
        <w:tc>
          <w:tcPr>
            <w:tcW w:w="1418" w:type="dxa"/>
            <w:tcBorders>
              <w:bottom w:val="single" w:sz="4" w:space="0" w:color="auto"/>
            </w:tcBorders>
          </w:tcPr>
          <w:p w:rsidR="00AE2798" w:rsidRPr="00825E5B" w:rsidRDefault="00AE2798" w:rsidP="00F71081">
            <w:pPr>
              <w:pStyle w:val="BodyText1"/>
              <w:rPr>
                <w:rFonts w:ascii="Times New Roman" w:hAnsi="Times New Roman"/>
                <w:bCs/>
              </w:rPr>
            </w:pPr>
            <w:r w:rsidRPr="00825E5B">
              <w:rPr>
                <w:rFonts w:ascii="Times New Roman" w:hAnsi="Times New Roman"/>
              </w:rPr>
              <w:t>{070;010}</w:t>
            </w:r>
          </w:p>
        </w:tc>
        <w:tc>
          <w:tcPr>
            <w:tcW w:w="7590" w:type="dxa"/>
            <w:tcBorders>
              <w:bottom w:val="single" w:sz="4" w:space="0" w:color="auto"/>
            </w:tcBorders>
          </w:tcPr>
          <w:p w:rsidR="00AE2798" w:rsidRPr="00825E5B" w:rsidRDefault="005556DC" w:rsidP="00FE0FF1">
            <w:pPr>
              <w:pStyle w:val="BodyText1"/>
              <w:spacing w:line="240" w:lineRule="auto"/>
              <w:rPr>
                <w:rFonts w:ascii="Times New Roman" w:hAnsi="Times New Roman"/>
                <w:bCs/>
              </w:rPr>
            </w:pPr>
            <w:r w:rsidRPr="00825E5B">
              <w:rPr>
                <w:rFonts w:ascii="Times New Roman" w:hAnsi="Times New Roman"/>
                <w:b/>
              </w:rPr>
              <w:t>(-) Deducerea marjei eligibile de varia</w:t>
            </w:r>
            <w:r w:rsidR="00367C88">
              <w:rPr>
                <w:rFonts w:ascii="Times New Roman" w:hAnsi="Times New Roman"/>
                <w:b/>
              </w:rPr>
              <w:t>ț</w:t>
            </w:r>
            <w:r w:rsidRPr="00825E5B">
              <w:rPr>
                <w:rFonts w:ascii="Times New Roman" w:hAnsi="Times New Roman"/>
                <w:b/>
              </w:rPr>
              <w:t>ie în numerar primite din valoarea de pia</w:t>
            </w:r>
            <w:r w:rsidR="00367C88">
              <w:rPr>
                <w:rFonts w:ascii="Times New Roman" w:hAnsi="Times New Roman"/>
                <w:b/>
              </w:rPr>
              <w:t>ț</w:t>
            </w:r>
            <w:r w:rsidRPr="00825E5B">
              <w:rPr>
                <w:rFonts w:ascii="Times New Roman" w:hAnsi="Times New Roman"/>
                <w:b/>
              </w:rPr>
              <w:t>ă a instrumentelor financiare derivate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429a alineatul (3)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Marja de varia</w:t>
            </w:r>
            <w:r w:rsidR="00367C88">
              <w:rPr>
                <w:rFonts w:ascii="Times New Roman" w:hAnsi="Times New Roman"/>
              </w:rPr>
              <w:t>ț</w:t>
            </w:r>
            <w:r w:rsidRPr="00825E5B">
              <w:rPr>
                <w:rFonts w:ascii="Times New Roman" w:hAnsi="Times New Roman"/>
              </w:rPr>
              <w:t xml:space="preserve">ie primită în numerar de la contraparte </w:t>
            </w:r>
            <w:r w:rsidR="00367C88">
              <w:rPr>
                <w:rFonts w:ascii="Times New Roman" w:hAnsi="Times New Roman"/>
              </w:rPr>
              <w:t>ș</w:t>
            </w:r>
            <w:r w:rsidRPr="00825E5B">
              <w:rPr>
                <w:rFonts w:ascii="Times New Roman" w:hAnsi="Times New Roman"/>
              </w:rPr>
              <w:t>i eligibilă pentru deducere din partea reprezentată de costul de înlocuire din expunerea instrumentelor financiare derivate, în conformitate cu articolul 429a alineatul (3) din CRR.</w:t>
            </w:r>
          </w:p>
          <w:p w:rsidR="00291B93" w:rsidRPr="00825E5B" w:rsidRDefault="00291B93" w:rsidP="00FE0FF1">
            <w:pPr>
              <w:pStyle w:val="BodyText1"/>
              <w:spacing w:line="240" w:lineRule="auto"/>
              <w:rPr>
                <w:rFonts w:ascii="Times New Roman" w:hAnsi="Times New Roman"/>
                <w:bCs/>
              </w:rPr>
            </w:pPr>
          </w:p>
          <w:p w:rsidR="00291B93" w:rsidRPr="00825E5B" w:rsidRDefault="00291B93" w:rsidP="00FE0FF1">
            <w:pPr>
              <w:pStyle w:val="BodyText1"/>
              <w:spacing w:line="240" w:lineRule="auto"/>
              <w:rPr>
                <w:rFonts w:ascii="Times New Roman" w:hAnsi="Times New Roman"/>
                <w:bCs/>
              </w:rPr>
            </w:pPr>
            <w:r w:rsidRPr="00825E5B">
              <w:rPr>
                <w:rFonts w:ascii="Times New Roman" w:hAnsi="Times New Roman"/>
              </w:rPr>
              <w:t>Nu se raportează eventuala marjă de varia</w:t>
            </w:r>
            <w:r w:rsidR="00367C88">
              <w:rPr>
                <w:rFonts w:ascii="Times New Roman" w:hAnsi="Times New Roman"/>
              </w:rPr>
              <w:t>ț</w:t>
            </w:r>
            <w:r w:rsidRPr="00825E5B">
              <w:rPr>
                <w:rFonts w:ascii="Times New Roman" w:hAnsi="Times New Roman"/>
              </w:rPr>
              <w:t>ie în numerar primită pentru un segment CPC exclus, în conformitate cu articolul 429 alineatul (11) din CRR.</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Borders>
              <w:bottom w:val="single" w:sz="4" w:space="0" w:color="auto"/>
            </w:tcBorders>
          </w:tcPr>
          <w:p w:rsidR="00AE2798" w:rsidRPr="00825E5B" w:rsidRDefault="00AE2798" w:rsidP="00F71081">
            <w:pPr>
              <w:pStyle w:val="BodyText1"/>
              <w:rPr>
                <w:rFonts w:ascii="Times New Roman" w:hAnsi="Times New Roman"/>
                <w:bCs/>
              </w:rPr>
            </w:pPr>
            <w:r w:rsidRPr="00825E5B">
              <w:rPr>
                <w:rFonts w:ascii="Times New Roman" w:hAnsi="Times New Roman"/>
              </w:rPr>
              <w:lastRenderedPageBreak/>
              <w:t>{080;010}</w:t>
            </w:r>
          </w:p>
        </w:tc>
        <w:tc>
          <w:tcPr>
            <w:tcW w:w="7590" w:type="dxa"/>
            <w:tcBorders>
              <w:bottom w:val="single" w:sz="4" w:space="0" w:color="auto"/>
            </w:tcBorders>
          </w:tcPr>
          <w:p w:rsidR="00AE2798" w:rsidRPr="00825E5B" w:rsidRDefault="005556DC" w:rsidP="00FE0FF1">
            <w:pPr>
              <w:pStyle w:val="BodyText1"/>
              <w:spacing w:line="240" w:lineRule="auto"/>
              <w:rPr>
                <w:rFonts w:ascii="Times New Roman" w:hAnsi="Times New Roman"/>
                <w:bCs/>
              </w:rPr>
            </w:pPr>
            <w:r w:rsidRPr="00825E5B">
              <w:rPr>
                <w:rFonts w:ascii="Times New Roman" w:hAnsi="Times New Roman"/>
                <w:b/>
              </w:rPr>
              <w:t>(-) Segmentul CPC exclus din expunerile aferente tranzac</w:t>
            </w:r>
            <w:r w:rsidR="00367C88">
              <w:rPr>
                <w:rFonts w:ascii="Times New Roman" w:hAnsi="Times New Roman"/>
                <w:b/>
              </w:rPr>
              <w:t>ț</w:t>
            </w:r>
            <w:r w:rsidRPr="00825E5B">
              <w:rPr>
                <w:rFonts w:ascii="Times New Roman" w:hAnsi="Times New Roman"/>
                <w:b/>
              </w:rPr>
              <w:t>iilor în cazul cărora clientul a fost compensat (costuri de înlocuire)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 alineatul (11)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Partea reprezentată de costul de înlocuire din expunerile fa</w:t>
            </w:r>
            <w:r w:rsidR="00367C88">
              <w:rPr>
                <w:rFonts w:ascii="Times New Roman" w:hAnsi="Times New Roman"/>
              </w:rPr>
              <w:t>ț</w:t>
            </w:r>
            <w:r w:rsidRPr="00825E5B">
              <w:rPr>
                <w:rFonts w:ascii="Times New Roman" w:hAnsi="Times New Roman"/>
              </w:rPr>
              <w:t>ă de o CPCC excluse din opera</w:t>
            </w:r>
            <w:r w:rsidR="00367C88">
              <w:rPr>
                <w:rFonts w:ascii="Times New Roman" w:hAnsi="Times New Roman"/>
              </w:rPr>
              <w:t>ț</w:t>
            </w:r>
            <w:r w:rsidRPr="00825E5B">
              <w:rPr>
                <w:rFonts w:ascii="Times New Roman" w:hAnsi="Times New Roman"/>
              </w:rPr>
              <w:t>iunile cu instrumente financiare derivate în cazul cărora clientul a fost compensat, dacă respectivele elemente îndeplinesc condi</w:t>
            </w:r>
            <w:r w:rsidR="00367C88">
              <w:rPr>
                <w:rFonts w:ascii="Times New Roman" w:hAnsi="Times New Roman"/>
              </w:rPr>
              <w:t>ț</w:t>
            </w:r>
            <w:r w:rsidRPr="00825E5B">
              <w:rPr>
                <w:rFonts w:ascii="Times New Roman" w:hAnsi="Times New Roman"/>
              </w:rPr>
              <w:t>iile prevăzute la articolul 306 alineatul (1) litera (c) din CRR. Acest cuantum se raportează la valoarea brută, adică fără deducerea marjei de varia</w:t>
            </w:r>
            <w:r w:rsidR="00367C88">
              <w:rPr>
                <w:rFonts w:ascii="Times New Roman" w:hAnsi="Times New Roman"/>
              </w:rPr>
              <w:t>ț</w:t>
            </w:r>
            <w:r w:rsidRPr="00825E5B">
              <w:rPr>
                <w:rFonts w:ascii="Times New Roman" w:hAnsi="Times New Roman"/>
              </w:rPr>
              <w:t>ie în numerar primite în cadrul acestui segment.</w:t>
            </w:r>
          </w:p>
          <w:p w:rsidR="00AE2798" w:rsidRPr="00825E5B" w:rsidRDefault="00AE2798" w:rsidP="00FE0FF1">
            <w:pPr>
              <w:pStyle w:val="BodyText1"/>
              <w:spacing w:line="240" w:lineRule="auto"/>
              <w:rPr>
                <w:rFonts w:ascii="Times New Roman" w:hAnsi="Times New Roman"/>
                <w:bCs/>
              </w:rPr>
            </w:pPr>
          </w:p>
          <w:p w:rsidR="00184D76" w:rsidRPr="00825E5B" w:rsidRDefault="00184D76" w:rsidP="00184D76">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includ valoarea raportată în această celulă </w:t>
            </w:r>
            <w:r w:rsidR="00367C88">
              <w:rPr>
                <w:rFonts w:ascii="Times New Roman" w:hAnsi="Times New Roman"/>
              </w:rPr>
              <w:t>ș</w:t>
            </w:r>
            <w:r w:rsidRPr="00825E5B">
              <w:rPr>
                <w:rFonts w:ascii="Times New Roman" w:hAnsi="Times New Roman"/>
              </w:rPr>
              <w:t xml:space="preserve">i în {060;010}, ca </w:t>
            </w:r>
            <w:r w:rsidR="00367C88">
              <w:rPr>
                <w:rFonts w:ascii="Times New Roman" w:hAnsi="Times New Roman"/>
              </w:rPr>
              <w:t>ș</w:t>
            </w:r>
            <w:r w:rsidRPr="00825E5B">
              <w:rPr>
                <w:rFonts w:ascii="Times New Roman" w:hAnsi="Times New Roman"/>
              </w:rPr>
              <w:t>i cum nu s-ar fi aplicat nicio excludere.</w:t>
            </w:r>
          </w:p>
          <w:p w:rsidR="00184D76" w:rsidRPr="00825E5B" w:rsidRDefault="00184D76" w:rsidP="00FE0FF1">
            <w:pPr>
              <w:pStyle w:val="BodyText1"/>
              <w:spacing w:line="240" w:lineRule="auto"/>
              <w:rPr>
                <w:rFonts w:ascii="Times New Roman" w:hAnsi="Times New Roman"/>
                <w:bCs/>
              </w:rPr>
            </w:pPr>
          </w:p>
        </w:tc>
      </w:tr>
      <w:tr w:rsidR="00AE2798" w:rsidRPr="00825E5B" w:rsidTr="00FE0FF1">
        <w:trPr>
          <w:trHeight w:val="304"/>
        </w:trPr>
        <w:tc>
          <w:tcPr>
            <w:tcW w:w="1418" w:type="dxa"/>
            <w:tcBorders>
              <w:bottom w:val="single" w:sz="4" w:space="0" w:color="auto"/>
            </w:tcBorders>
          </w:tcPr>
          <w:p w:rsidR="00AE2798" w:rsidRPr="00825E5B" w:rsidRDefault="00AE2798" w:rsidP="00FE0FF1">
            <w:pPr>
              <w:pStyle w:val="BodyText1"/>
              <w:rPr>
                <w:rFonts w:ascii="Times New Roman" w:hAnsi="Times New Roman"/>
                <w:bCs/>
              </w:rPr>
            </w:pPr>
            <w:r w:rsidRPr="00825E5B">
              <w:rPr>
                <w:rFonts w:ascii="Times New Roman" w:hAnsi="Times New Roman"/>
              </w:rPr>
              <w:t>{090;010}</w:t>
            </w:r>
          </w:p>
          <w:p w:rsidR="00AE2798" w:rsidRPr="00825E5B" w:rsidRDefault="00AE2798" w:rsidP="00FE0FF1">
            <w:pPr>
              <w:pStyle w:val="BodyText1"/>
              <w:rPr>
                <w:rFonts w:ascii="Times New Roman" w:hAnsi="Times New Roman"/>
                <w:bCs/>
              </w:rPr>
            </w:pPr>
          </w:p>
        </w:tc>
        <w:tc>
          <w:tcPr>
            <w:tcW w:w="7590" w:type="dxa"/>
            <w:tcBorders>
              <w:bottom w:val="single" w:sz="4" w:space="0" w:color="auto"/>
            </w:tcBorders>
          </w:tcPr>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b/>
              </w:rPr>
              <w:t>Instrumente financiare derivate: majorare după metoda marcării la pia</w:t>
            </w:r>
            <w:r w:rsidR="00367C88">
              <w:rPr>
                <w:rFonts w:ascii="Times New Roman" w:hAnsi="Times New Roman"/>
                <w:b/>
              </w:rPr>
              <w:t>ț</w:t>
            </w:r>
            <w:r w:rsidRPr="00825E5B">
              <w:rPr>
                <w:rFonts w:ascii="Times New Roman" w:hAnsi="Times New Roman"/>
                <w:b/>
              </w:rPr>
              <w:t>ă</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Articolele 429a, 274, 295, 296, 297 </w:t>
            </w:r>
            <w:r w:rsidR="00367C88">
              <w:rPr>
                <w:rFonts w:ascii="Times New Roman" w:hAnsi="Times New Roman"/>
              </w:rPr>
              <w:t>ș</w:t>
            </w:r>
            <w:r w:rsidRPr="00825E5B">
              <w:rPr>
                <w:rFonts w:ascii="Times New Roman" w:hAnsi="Times New Roman"/>
              </w:rPr>
              <w:t xml:space="preserve">i 298 </w:t>
            </w:r>
            <w:r w:rsidR="00367C88">
              <w:rPr>
                <w:rFonts w:ascii="Times New Roman" w:hAnsi="Times New Roman"/>
              </w:rPr>
              <w:t>ș</w:t>
            </w:r>
            <w:r w:rsidRPr="00825E5B">
              <w:rPr>
                <w:rFonts w:ascii="Times New Roman" w:hAnsi="Times New Roman"/>
              </w:rPr>
              <w:t>i articolul 299 alineatul (2)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majorarea pentru expunerea viitoare poten</w:t>
            </w:r>
            <w:r w:rsidR="00367C88">
              <w:rPr>
                <w:rFonts w:ascii="Times New Roman" w:hAnsi="Times New Roman"/>
              </w:rPr>
              <w:t>ț</w:t>
            </w:r>
            <w:r w:rsidRPr="00825E5B">
              <w:rPr>
                <w:rFonts w:ascii="Times New Roman" w:hAnsi="Times New Roman"/>
              </w:rPr>
              <w:t xml:space="preserve">ială a contractelor enumerate în anexa II la CRR </w:t>
            </w:r>
            <w:r w:rsidR="00367C88">
              <w:rPr>
                <w:rFonts w:ascii="Times New Roman" w:hAnsi="Times New Roman"/>
              </w:rPr>
              <w:t>ș</w:t>
            </w:r>
            <w:r w:rsidRPr="00825E5B">
              <w:rPr>
                <w:rFonts w:ascii="Times New Roman" w:hAnsi="Times New Roman"/>
              </w:rPr>
              <w:t>i a instrumentelor financiare derivate de credit, inclusiv a celor extrabilan</w:t>
            </w:r>
            <w:r w:rsidR="00367C88">
              <w:rPr>
                <w:rFonts w:ascii="Times New Roman" w:hAnsi="Times New Roman"/>
              </w:rPr>
              <w:t>ț</w:t>
            </w:r>
            <w:r w:rsidRPr="00825E5B">
              <w:rPr>
                <w:rFonts w:ascii="Times New Roman" w:hAnsi="Times New Roman"/>
              </w:rPr>
              <w:t>iere, calculul fiind efectuat în conformitate cu metoda marcării la pia</w:t>
            </w:r>
            <w:r w:rsidR="00367C88">
              <w:rPr>
                <w:rFonts w:ascii="Times New Roman" w:hAnsi="Times New Roman"/>
              </w:rPr>
              <w:t>ț</w:t>
            </w:r>
            <w:r w:rsidRPr="00825E5B">
              <w:rPr>
                <w:rFonts w:ascii="Times New Roman" w:hAnsi="Times New Roman"/>
              </w:rPr>
              <w:t xml:space="preserve">ă [articolul 274 din CRR pentru contractele enumerate în anexa II la CRR </w:t>
            </w:r>
            <w:r w:rsidR="00367C88">
              <w:rPr>
                <w:rFonts w:ascii="Times New Roman" w:hAnsi="Times New Roman"/>
              </w:rPr>
              <w:t>ș</w:t>
            </w:r>
            <w:r w:rsidRPr="00825E5B">
              <w:rPr>
                <w:rFonts w:ascii="Times New Roman" w:hAnsi="Times New Roman"/>
              </w:rPr>
              <w:t xml:space="preserve">i articolul 299 alineatul (2) din CRR pentru instrumentele financiare derivate de credit] </w:t>
            </w:r>
            <w:r w:rsidR="00367C88">
              <w:rPr>
                <w:rFonts w:ascii="Times New Roman" w:hAnsi="Times New Roman"/>
              </w:rPr>
              <w:t>ș</w:t>
            </w:r>
            <w:r w:rsidRPr="00825E5B">
              <w:rPr>
                <w:rFonts w:ascii="Times New Roman" w:hAnsi="Times New Roman"/>
              </w:rPr>
              <w:t>i aplicându-se normele de compensare prevăzute la articolul 429a alineatul (1) din CRR. La determinarea valorii expunerii contractelor respective, institu</w:t>
            </w:r>
            <w:r w:rsidR="00367C88">
              <w:rPr>
                <w:rFonts w:ascii="Times New Roman" w:hAnsi="Times New Roman"/>
              </w:rPr>
              <w:t>ț</w:t>
            </w:r>
            <w:r w:rsidRPr="00825E5B">
              <w:rPr>
                <w:rFonts w:ascii="Times New Roman" w:hAnsi="Times New Roman"/>
              </w:rPr>
              <w:t>iile pot lua în considerare efectele contractelor de nova</w:t>
            </w:r>
            <w:r w:rsidR="00367C88">
              <w:rPr>
                <w:rFonts w:ascii="Times New Roman" w:hAnsi="Times New Roman"/>
              </w:rPr>
              <w:t>ț</w:t>
            </w:r>
            <w:r w:rsidRPr="00825E5B">
              <w:rPr>
                <w:rFonts w:ascii="Times New Roman" w:hAnsi="Times New Roman"/>
              </w:rPr>
              <w:t xml:space="preserve">ie </w:t>
            </w:r>
            <w:r w:rsidR="00367C88">
              <w:rPr>
                <w:rFonts w:ascii="Times New Roman" w:hAnsi="Times New Roman"/>
              </w:rPr>
              <w:t>ș</w:t>
            </w:r>
            <w:r w:rsidRPr="00825E5B">
              <w:rPr>
                <w:rFonts w:ascii="Times New Roman" w:hAnsi="Times New Roman"/>
              </w:rPr>
              <w:t>i ale altor acorduri de compensare, în conformitate cu articolul 295 din CRR. Compensarea între produse diferite nu se aplică. Cu toate acestea, institu</w:t>
            </w:r>
            <w:r w:rsidR="00367C88">
              <w:rPr>
                <w:rFonts w:ascii="Times New Roman" w:hAnsi="Times New Roman"/>
              </w:rPr>
              <w:t>ț</w:t>
            </w:r>
            <w:r w:rsidRPr="00825E5B">
              <w:rPr>
                <w:rFonts w:ascii="Times New Roman" w:hAnsi="Times New Roman"/>
              </w:rPr>
              <w:t>iile pot să compenseze în cadrul categoriei de produse men</w:t>
            </w:r>
            <w:r w:rsidR="00367C88">
              <w:rPr>
                <w:rFonts w:ascii="Times New Roman" w:hAnsi="Times New Roman"/>
              </w:rPr>
              <w:t>ț</w:t>
            </w:r>
            <w:r w:rsidRPr="00825E5B">
              <w:rPr>
                <w:rFonts w:ascii="Times New Roman" w:hAnsi="Times New Roman"/>
              </w:rPr>
              <w:t>ionate la articolul 272 punctul 25 litera</w:t>
            </w:r>
            <w:r w:rsidR="001B01D0">
              <w:rPr>
                <w:rFonts w:ascii="Times New Roman" w:hAnsi="Times New Roman"/>
              </w:rPr>
              <w:t> </w:t>
            </w:r>
            <w:r w:rsidRPr="00825E5B">
              <w:rPr>
                <w:rFonts w:ascii="Times New Roman" w:hAnsi="Times New Roman"/>
              </w:rPr>
              <w:t xml:space="preserve">(c) din CRR </w:t>
            </w:r>
            <w:r w:rsidR="00367C88">
              <w:rPr>
                <w:rFonts w:ascii="Times New Roman" w:hAnsi="Times New Roman"/>
              </w:rPr>
              <w:t>ș</w:t>
            </w:r>
            <w:r w:rsidRPr="00825E5B">
              <w:rPr>
                <w:rFonts w:ascii="Times New Roman" w:hAnsi="Times New Roman"/>
              </w:rPr>
              <w:t>i instrumente financiare derivate de credit, în cazul în care acestea fac obiectul unui acord de compensare contractuală între produse diferite, men</w:t>
            </w:r>
            <w:r w:rsidR="00367C88">
              <w:rPr>
                <w:rFonts w:ascii="Times New Roman" w:hAnsi="Times New Roman"/>
              </w:rPr>
              <w:t>ț</w:t>
            </w:r>
            <w:r w:rsidRPr="00825E5B">
              <w:rPr>
                <w:rFonts w:ascii="Times New Roman" w:hAnsi="Times New Roman"/>
              </w:rPr>
              <w:t xml:space="preserve">ionat la articolul 295 litera (c) din CRR. </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În conformitate cu articolul 429a alineatul (1) al doilea paragraf din CRR, atunci când determină expunerea de credit viitoare poten</w:t>
            </w:r>
            <w:r w:rsidR="00367C88">
              <w:rPr>
                <w:rFonts w:ascii="Times New Roman" w:hAnsi="Times New Roman"/>
              </w:rPr>
              <w:t>ț</w:t>
            </w:r>
            <w:r w:rsidRPr="00825E5B">
              <w:rPr>
                <w:rFonts w:ascii="Times New Roman" w:hAnsi="Times New Roman"/>
              </w:rPr>
              <w:t>ială a instrumentelor financiare derivate de credit, institu</w:t>
            </w:r>
            <w:r w:rsidR="00367C88">
              <w:rPr>
                <w:rFonts w:ascii="Times New Roman" w:hAnsi="Times New Roman"/>
              </w:rPr>
              <w:t>ț</w:t>
            </w:r>
            <w:r w:rsidRPr="00825E5B">
              <w:rPr>
                <w:rFonts w:ascii="Times New Roman" w:hAnsi="Times New Roman"/>
              </w:rPr>
              <w:t>iile aplică principiile stabilite la articolul 299 alineatul (2) litera (a) din CRR tuturor instrumentelor lor financiare derivate de credit, nu numai celor atribuite portofoliului de tranzac</w:t>
            </w:r>
            <w:r w:rsidR="00367C88">
              <w:rPr>
                <w:rFonts w:ascii="Times New Roman" w:hAnsi="Times New Roman"/>
              </w:rPr>
              <w:t>ț</w:t>
            </w:r>
            <w:r w:rsidRPr="00825E5B">
              <w:rPr>
                <w:rFonts w:ascii="Times New Roman" w:hAnsi="Times New Roman"/>
              </w:rPr>
              <w:t xml:space="preserve">ionare. </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contractele măsurate prin aplicarea metodei expunerii ini</w:t>
            </w:r>
            <w:r w:rsidR="00367C88">
              <w:rPr>
                <w:rFonts w:ascii="Times New Roman" w:hAnsi="Times New Roman"/>
              </w:rPr>
              <w:t>ț</w:t>
            </w:r>
            <w:r w:rsidRPr="00825E5B">
              <w:rPr>
                <w:rFonts w:ascii="Times New Roman" w:hAnsi="Times New Roman"/>
              </w:rPr>
              <w:t xml:space="preserve">iale în conformitate cu articolul 429a alineatul (8) </w:t>
            </w:r>
            <w:r w:rsidR="00367C88">
              <w:rPr>
                <w:rFonts w:ascii="Times New Roman" w:hAnsi="Times New Roman"/>
              </w:rPr>
              <w:t>ș</w:t>
            </w:r>
            <w:r w:rsidRPr="00825E5B">
              <w:rPr>
                <w:rFonts w:ascii="Times New Roman" w:hAnsi="Times New Roman"/>
              </w:rPr>
              <w:t>i cu articolul 275 din CRR.</w:t>
            </w:r>
          </w:p>
          <w:p w:rsidR="00AE2798" w:rsidRPr="00825E5B" w:rsidRDefault="00AE2798" w:rsidP="00FE0FF1">
            <w:pPr>
              <w:pStyle w:val="BodyText1"/>
              <w:spacing w:line="240" w:lineRule="auto"/>
              <w:rPr>
                <w:rFonts w:ascii="Times New Roman" w:hAnsi="Times New Roman"/>
                <w:bCs/>
                <w:u w:val="single"/>
              </w:rPr>
            </w:pPr>
          </w:p>
        </w:tc>
      </w:tr>
      <w:tr w:rsidR="00AE2798" w:rsidRPr="00825E5B" w:rsidTr="00FE0FF1">
        <w:trPr>
          <w:trHeight w:val="304"/>
        </w:trPr>
        <w:tc>
          <w:tcPr>
            <w:tcW w:w="1418" w:type="dxa"/>
          </w:tcPr>
          <w:p w:rsidR="00AE2798" w:rsidRPr="00825E5B" w:rsidRDefault="00AE2798" w:rsidP="00F71081">
            <w:pPr>
              <w:pStyle w:val="BodyText1"/>
              <w:rPr>
                <w:rFonts w:ascii="Times New Roman" w:hAnsi="Times New Roman"/>
                <w:bCs/>
              </w:rPr>
            </w:pPr>
            <w:r w:rsidRPr="00825E5B">
              <w:rPr>
                <w:rFonts w:ascii="Times New Roman" w:hAnsi="Times New Roman"/>
              </w:rPr>
              <w:t>{100;010}</w:t>
            </w:r>
          </w:p>
        </w:tc>
        <w:tc>
          <w:tcPr>
            <w:tcW w:w="7590" w:type="dxa"/>
          </w:tcPr>
          <w:p w:rsidR="00AE2798" w:rsidRPr="00825E5B" w:rsidRDefault="005556DC" w:rsidP="00FE0FF1">
            <w:pPr>
              <w:pStyle w:val="BodyText1"/>
              <w:spacing w:line="240" w:lineRule="auto"/>
              <w:rPr>
                <w:rFonts w:ascii="Times New Roman" w:hAnsi="Times New Roman"/>
                <w:bCs/>
              </w:rPr>
            </w:pPr>
            <w:r w:rsidRPr="00825E5B">
              <w:rPr>
                <w:rFonts w:ascii="Times New Roman" w:hAnsi="Times New Roman"/>
                <w:b/>
              </w:rPr>
              <w:t>(-) Segmentul CPC exclus din expunerile aferente tranzac</w:t>
            </w:r>
            <w:r w:rsidR="00367C88">
              <w:rPr>
                <w:rFonts w:ascii="Times New Roman" w:hAnsi="Times New Roman"/>
                <w:b/>
              </w:rPr>
              <w:t>ț</w:t>
            </w:r>
            <w:r w:rsidRPr="00825E5B">
              <w:rPr>
                <w:rFonts w:ascii="Times New Roman" w:hAnsi="Times New Roman"/>
                <w:b/>
              </w:rPr>
              <w:t>iilor în cazul cărora clientul a fost compensat (expunere viitoare poten</w:t>
            </w:r>
            <w:r w:rsidR="00367C88">
              <w:rPr>
                <w:rFonts w:ascii="Times New Roman" w:hAnsi="Times New Roman"/>
                <w:b/>
              </w:rPr>
              <w:t>ț</w:t>
            </w:r>
            <w:r w:rsidRPr="00825E5B">
              <w:rPr>
                <w:rFonts w:ascii="Times New Roman" w:hAnsi="Times New Roman"/>
                <w:b/>
              </w:rPr>
              <w:t>ială)</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 alineatul (11)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Expunerea viitoare poten</w:t>
            </w:r>
            <w:r w:rsidR="00367C88">
              <w:rPr>
                <w:rFonts w:ascii="Times New Roman" w:hAnsi="Times New Roman"/>
              </w:rPr>
              <w:t>ț</w:t>
            </w:r>
            <w:r w:rsidRPr="00825E5B">
              <w:rPr>
                <w:rFonts w:ascii="Times New Roman" w:hAnsi="Times New Roman"/>
              </w:rPr>
              <w:t>ială a expunerilor fa</w:t>
            </w:r>
            <w:r w:rsidR="00367C88">
              <w:rPr>
                <w:rFonts w:ascii="Times New Roman" w:hAnsi="Times New Roman"/>
              </w:rPr>
              <w:t>ț</w:t>
            </w:r>
            <w:r w:rsidRPr="00825E5B">
              <w:rPr>
                <w:rFonts w:ascii="Times New Roman" w:hAnsi="Times New Roman"/>
              </w:rPr>
              <w:t>ă de o CPCC excluse din tranzac</w:t>
            </w:r>
            <w:r w:rsidR="00367C88">
              <w:rPr>
                <w:rFonts w:ascii="Times New Roman" w:hAnsi="Times New Roman"/>
              </w:rPr>
              <w:t>ț</w:t>
            </w:r>
            <w:r w:rsidRPr="00825E5B">
              <w:rPr>
                <w:rFonts w:ascii="Times New Roman" w:hAnsi="Times New Roman"/>
              </w:rPr>
              <w:t>iile cu instrumente financiare derivate în cazul cărora clientul a fost compensat, dacă respectivele elemente îndeplinesc condi</w:t>
            </w:r>
            <w:r w:rsidR="00367C88">
              <w:rPr>
                <w:rFonts w:ascii="Times New Roman" w:hAnsi="Times New Roman"/>
              </w:rPr>
              <w:t>ț</w:t>
            </w:r>
            <w:r w:rsidRPr="00825E5B">
              <w:rPr>
                <w:rFonts w:ascii="Times New Roman" w:hAnsi="Times New Roman"/>
              </w:rPr>
              <w:t>iile prevăzute la articolul 306 alineatul (1) litera (c) din CRR.</w:t>
            </w:r>
          </w:p>
          <w:p w:rsidR="001B3BF0" w:rsidRPr="00825E5B" w:rsidRDefault="001B3BF0" w:rsidP="00FE0FF1">
            <w:pPr>
              <w:pStyle w:val="BodyText1"/>
              <w:spacing w:line="240" w:lineRule="auto"/>
              <w:rPr>
                <w:rFonts w:ascii="Times New Roman" w:hAnsi="Times New Roman"/>
                <w:bCs/>
              </w:rPr>
            </w:pPr>
          </w:p>
          <w:p w:rsidR="001B3BF0" w:rsidRPr="00825E5B" w:rsidRDefault="001B3BF0"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includ valoarea raportată în această celulă </w:t>
            </w:r>
            <w:r w:rsidR="00367C88">
              <w:rPr>
                <w:rFonts w:ascii="Times New Roman" w:hAnsi="Times New Roman"/>
              </w:rPr>
              <w:t>ș</w:t>
            </w:r>
            <w:r w:rsidRPr="00825E5B">
              <w:rPr>
                <w:rFonts w:ascii="Times New Roman" w:hAnsi="Times New Roman"/>
              </w:rPr>
              <w:t xml:space="preserve">i în {090;010}, ca </w:t>
            </w:r>
            <w:r w:rsidR="00367C88">
              <w:rPr>
                <w:rFonts w:ascii="Times New Roman" w:hAnsi="Times New Roman"/>
              </w:rPr>
              <w:t>ș</w:t>
            </w:r>
            <w:r w:rsidRPr="00825E5B">
              <w:rPr>
                <w:rFonts w:ascii="Times New Roman" w:hAnsi="Times New Roman"/>
              </w:rPr>
              <w:t>i cum nu s-ar fi aplicat nicio excludere.</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Pr>
          <w:p w:rsidR="00AE2798" w:rsidRPr="00825E5B" w:rsidRDefault="00AE2798" w:rsidP="00FE0FF1">
            <w:pPr>
              <w:pStyle w:val="BodyText1"/>
              <w:rPr>
                <w:rFonts w:ascii="Times New Roman" w:hAnsi="Times New Roman"/>
                <w:bCs/>
              </w:rPr>
            </w:pPr>
            <w:r w:rsidRPr="00825E5B">
              <w:rPr>
                <w:rFonts w:ascii="Times New Roman" w:hAnsi="Times New Roman"/>
              </w:rPr>
              <w:t>{110;010}</w:t>
            </w:r>
          </w:p>
          <w:p w:rsidR="00AE2798" w:rsidRPr="00825E5B" w:rsidRDefault="00AE2798" w:rsidP="00FE0FF1">
            <w:pPr>
              <w:pStyle w:val="BodyText1"/>
              <w:rPr>
                <w:rFonts w:ascii="Times New Roman" w:hAnsi="Times New Roman"/>
                <w:bCs/>
              </w:rPr>
            </w:pPr>
          </w:p>
        </w:tc>
        <w:tc>
          <w:tcPr>
            <w:tcW w:w="7590" w:type="dxa"/>
          </w:tcPr>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b/>
              </w:rPr>
              <w:t>Derogare pentru instrumente financiare derivate: metoda expunerii ini</w:t>
            </w:r>
            <w:r w:rsidR="00367C88">
              <w:rPr>
                <w:rFonts w:ascii="Times New Roman" w:hAnsi="Times New Roman"/>
                <w:b/>
              </w:rPr>
              <w:t>ț</w:t>
            </w:r>
            <w:r w:rsidRPr="00825E5B">
              <w:rPr>
                <w:rFonts w:ascii="Times New Roman" w:hAnsi="Times New Roman"/>
                <w:b/>
              </w:rPr>
              <w:t>iale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Articolul 429a alineatul (8) </w:t>
            </w:r>
            <w:r w:rsidR="00367C88">
              <w:rPr>
                <w:rFonts w:ascii="Times New Roman" w:hAnsi="Times New Roman"/>
              </w:rPr>
              <w:t>ș</w:t>
            </w:r>
            <w:r w:rsidRPr="00825E5B">
              <w:rPr>
                <w:rFonts w:ascii="Times New Roman" w:hAnsi="Times New Roman"/>
              </w:rPr>
              <w:t>i articolul 275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lastRenderedPageBreak/>
              <w:t>Această celulă con</w:t>
            </w:r>
            <w:r w:rsidR="00367C88">
              <w:rPr>
                <w:rFonts w:ascii="Times New Roman" w:hAnsi="Times New Roman"/>
              </w:rPr>
              <w:t>ț</w:t>
            </w:r>
            <w:r w:rsidRPr="00825E5B">
              <w:rPr>
                <w:rFonts w:ascii="Times New Roman" w:hAnsi="Times New Roman"/>
              </w:rPr>
              <w:t xml:space="preserve">ine indicatorul de măsurare a expunerii în cazul contractelor enumerate la punctele 1 </w:t>
            </w:r>
            <w:r w:rsidR="00367C88">
              <w:rPr>
                <w:rFonts w:ascii="Times New Roman" w:hAnsi="Times New Roman"/>
              </w:rPr>
              <w:t>ș</w:t>
            </w:r>
            <w:r w:rsidRPr="00825E5B">
              <w:rPr>
                <w:rFonts w:ascii="Times New Roman" w:hAnsi="Times New Roman"/>
              </w:rPr>
              <w:t>i 2 din anexa II la CRR, calculat în conformitate cu metoda expunerii ini</w:t>
            </w:r>
            <w:r w:rsidR="00367C88">
              <w:rPr>
                <w:rFonts w:ascii="Times New Roman" w:hAnsi="Times New Roman"/>
              </w:rPr>
              <w:t>ț</w:t>
            </w:r>
            <w:r w:rsidRPr="00825E5B">
              <w:rPr>
                <w:rFonts w:ascii="Times New Roman" w:hAnsi="Times New Roman"/>
              </w:rPr>
              <w:t>iale prevăzută la articolul 275 din CRR.</w:t>
            </w:r>
          </w:p>
          <w:p w:rsidR="00AE2798" w:rsidRPr="00825E5B" w:rsidRDefault="00AE2798" w:rsidP="00FE0FF1">
            <w:pPr>
              <w:pStyle w:val="BodyText1"/>
              <w:spacing w:line="240" w:lineRule="auto"/>
              <w:rPr>
                <w:rFonts w:ascii="Times New Roman" w:hAnsi="Times New Roman"/>
                <w:bCs/>
              </w:rPr>
            </w:pPr>
          </w:p>
          <w:p w:rsidR="00AE2798" w:rsidRPr="00825E5B" w:rsidRDefault="003F598C"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care aplică metoda expunerii ini</w:t>
            </w:r>
            <w:r w:rsidR="00367C88">
              <w:rPr>
                <w:rFonts w:ascii="Times New Roman" w:hAnsi="Times New Roman"/>
              </w:rPr>
              <w:t>ț</w:t>
            </w:r>
            <w:r w:rsidRPr="00825E5B">
              <w:rPr>
                <w:rFonts w:ascii="Times New Roman" w:hAnsi="Times New Roman"/>
              </w:rPr>
              <w:t>iale nu scad din indicatorul de măsurare a expunerii cuantumul marjei de varia</w:t>
            </w:r>
            <w:r w:rsidR="00367C88">
              <w:rPr>
                <w:rFonts w:ascii="Times New Roman" w:hAnsi="Times New Roman"/>
              </w:rPr>
              <w:t>ț</w:t>
            </w:r>
            <w:r w:rsidRPr="00825E5B">
              <w:rPr>
                <w:rFonts w:ascii="Times New Roman" w:hAnsi="Times New Roman"/>
              </w:rPr>
              <w:t>ie primite în numerar în conformitate cu articolul 429a alineatul (8)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care nu utilizează metoda expunerii ini</w:t>
            </w:r>
            <w:r w:rsidR="00367C88">
              <w:rPr>
                <w:rFonts w:ascii="Times New Roman" w:hAnsi="Times New Roman"/>
              </w:rPr>
              <w:t>ț</w:t>
            </w:r>
            <w:r w:rsidRPr="00825E5B">
              <w:rPr>
                <w:rFonts w:ascii="Times New Roman" w:hAnsi="Times New Roman"/>
              </w:rPr>
              <w:t>iale nu raportează nimic în această celulă.</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iau în considerare în această celulă contractele măsurate prin aplicarea metodei marcării la pia</w:t>
            </w:r>
            <w:r w:rsidR="00367C88">
              <w:rPr>
                <w:rFonts w:ascii="Times New Roman" w:hAnsi="Times New Roman"/>
              </w:rPr>
              <w:t>ț</w:t>
            </w:r>
            <w:r w:rsidRPr="00825E5B">
              <w:rPr>
                <w:rFonts w:ascii="Times New Roman" w:hAnsi="Times New Roman"/>
              </w:rPr>
              <w:t xml:space="preserve">ă în conformitate cu articolul 429a alineatul (1) </w:t>
            </w:r>
            <w:r w:rsidR="00367C88">
              <w:rPr>
                <w:rFonts w:ascii="Times New Roman" w:hAnsi="Times New Roman"/>
              </w:rPr>
              <w:t>ș</w:t>
            </w:r>
            <w:r w:rsidRPr="00825E5B">
              <w:rPr>
                <w:rFonts w:ascii="Times New Roman" w:hAnsi="Times New Roman"/>
              </w:rPr>
              <w:t>i cu articolul 274 din CRR.</w:t>
            </w:r>
          </w:p>
          <w:p w:rsidR="00AE2798" w:rsidRPr="00825E5B" w:rsidRDefault="00AE2798" w:rsidP="00FE0FF1">
            <w:pPr>
              <w:pStyle w:val="BodyText1"/>
              <w:spacing w:line="240" w:lineRule="auto"/>
              <w:rPr>
                <w:rFonts w:ascii="Times New Roman" w:hAnsi="Times New Roman"/>
                <w:bCs/>
                <w:u w:val="single"/>
              </w:rPr>
            </w:pPr>
          </w:p>
        </w:tc>
      </w:tr>
      <w:tr w:rsidR="00AE2798" w:rsidRPr="00825E5B" w:rsidTr="00FE0FF1">
        <w:trPr>
          <w:trHeight w:val="304"/>
        </w:trPr>
        <w:tc>
          <w:tcPr>
            <w:tcW w:w="1418" w:type="dxa"/>
          </w:tcPr>
          <w:p w:rsidR="00AE2798" w:rsidRPr="00825E5B" w:rsidRDefault="00AE2798" w:rsidP="00F71081">
            <w:pPr>
              <w:pStyle w:val="BodyText1"/>
              <w:rPr>
                <w:rFonts w:ascii="Times New Roman" w:hAnsi="Times New Roman"/>
                <w:bCs/>
              </w:rPr>
            </w:pPr>
            <w:r w:rsidRPr="00825E5B">
              <w:rPr>
                <w:rFonts w:ascii="Times New Roman" w:hAnsi="Times New Roman"/>
              </w:rPr>
              <w:lastRenderedPageBreak/>
              <w:t>{120;010}</w:t>
            </w:r>
          </w:p>
        </w:tc>
        <w:tc>
          <w:tcPr>
            <w:tcW w:w="7590" w:type="dxa"/>
          </w:tcPr>
          <w:p w:rsidR="00AE2798" w:rsidRPr="00825E5B" w:rsidRDefault="00422C76" w:rsidP="00FE0FF1">
            <w:pPr>
              <w:pStyle w:val="BodyText1"/>
              <w:spacing w:line="240" w:lineRule="auto"/>
              <w:rPr>
                <w:rFonts w:ascii="Times New Roman" w:hAnsi="Times New Roman"/>
                <w:bCs/>
              </w:rPr>
            </w:pPr>
            <w:r w:rsidRPr="00825E5B">
              <w:rPr>
                <w:rFonts w:ascii="Times New Roman" w:hAnsi="Times New Roman"/>
                <w:b/>
              </w:rPr>
              <w:t>(-) Segmentul CPC exclus din expunerile aferente tranzac</w:t>
            </w:r>
            <w:r w:rsidR="00367C88">
              <w:rPr>
                <w:rFonts w:ascii="Times New Roman" w:hAnsi="Times New Roman"/>
                <w:b/>
              </w:rPr>
              <w:t>ț</w:t>
            </w:r>
            <w:r w:rsidRPr="00825E5B">
              <w:rPr>
                <w:rFonts w:ascii="Times New Roman" w:hAnsi="Times New Roman"/>
                <w:b/>
              </w:rPr>
              <w:t>iilor în cazul cărora clientul a fost compensat (metoda expunerii ini</w:t>
            </w:r>
            <w:r w:rsidR="00367C88">
              <w:rPr>
                <w:rFonts w:ascii="Times New Roman" w:hAnsi="Times New Roman"/>
                <w:b/>
              </w:rPr>
              <w:t>ț</w:t>
            </w:r>
            <w:r w:rsidRPr="00825E5B">
              <w:rPr>
                <w:rFonts w:ascii="Times New Roman" w:hAnsi="Times New Roman"/>
                <w:b/>
              </w:rPr>
              <w:t>iale)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 alineatul (11)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Segmentul CPC exclus din expunerile aferente tranzac</w:t>
            </w:r>
            <w:r w:rsidR="00367C88">
              <w:rPr>
                <w:rFonts w:ascii="Times New Roman" w:hAnsi="Times New Roman"/>
              </w:rPr>
              <w:t>ț</w:t>
            </w:r>
            <w:r w:rsidRPr="00825E5B">
              <w:rPr>
                <w:rFonts w:ascii="Times New Roman" w:hAnsi="Times New Roman"/>
              </w:rPr>
              <w:t>iilor în cazul cărora clientul a fost compensat, atunci când se aplică metoda expunerii ini</w:t>
            </w:r>
            <w:r w:rsidR="00367C88">
              <w:rPr>
                <w:rFonts w:ascii="Times New Roman" w:hAnsi="Times New Roman"/>
              </w:rPr>
              <w:t>ț</w:t>
            </w:r>
            <w:r w:rsidRPr="00825E5B">
              <w:rPr>
                <w:rFonts w:ascii="Times New Roman" w:hAnsi="Times New Roman"/>
              </w:rPr>
              <w:t>iale, prevăzută la articolul 275 din CRR, dacă respectivele elemente îndeplinesc condi</w:t>
            </w:r>
            <w:r w:rsidR="00367C88">
              <w:rPr>
                <w:rFonts w:ascii="Times New Roman" w:hAnsi="Times New Roman"/>
              </w:rPr>
              <w:t>ț</w:t>
            </w:r>
            <w:r w:rsidRPr="00825E5B">
              <w:rPr>
                <w:rFonts w:ascii="Times New Roman" w:hAnsi="Times New Roman"/>
              </w:rPr>
              <w:t>iile prevăzute la articolul 306 alineatul (1) litera (c) din CRR.</w:t>
            </w:r>
          </w:p>
          <w:p w:rsidR="001B3BF0" w:rsidRPr="00825E5B" w:rsidRDefault="001B3BF0" w:rsidP="00FE0FF1">
            <w:pPr>
              <w:pStyle w:val="BodyText1"/>
              <w:spacing w:line="240" w:lineRule="auto"/>
              <w:rPr>
                <w:rFonts w:ascii="Times New Roman" w:hAnsi="Times New Roman"/>
                <w:bCs/>
              </w:rPr>
            </w:pPr>
          </w:p>
          <w:p w:rsidR="001B3BF0" w:rsidRPr="00825E5B" w:rsidRDefault="001B3BF0"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includ valoarea raportată în această celulă </w:t>
            </w:r>
            <w:r w:rsidR="00367C88">
              <w:rPr>
                <w:rFonts w:ascii="Times New Roman" w:hAnsi="Times New Roman"/>
              </w:rPr>
              <w:t>ș</w:t>
            </w:r>
            <w:r w:rsidRPr="00825E5B">
              <w:rPr>
                <w:rFonts w:ascii="Times New Roman" w:hAnsi="Times New Roman"/>
              </w:rPr>
              <w:t xml:space="preserve">i în {110;010}, ca </w:t>
            </w:r>
            <w:r w:rsidR="00367C88">
              <w:rPr>
                <w:rFonts w:ascii="Times New Roman" w:hAnsi="Times New Roman"/>
              </w:rPr>
              <w:t>ș</w:t>
            </w:r>
            <w:r w:rsidRPr="00825E5B">
              <w:rPr>
                <w:rFonts w:ascii="Times New Roman" w:hAnsi="Times New Roman"/>
              </w:rPr>
              <w:t>i cum nu s-ar fi aplicat nicio excludere.</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Pr>
          <w:p w:rsidR="00AE2798" w:rsidRPr="00825E5B" w:rsidRDefault="00AE2798" w:rsidP="00FE0FF1">
            <w:pPr>
              <w:pStyle w:val="BodyText1"/>
              <w:rPr>
                <w:rFonts w:ascii="Times New Roman" w:hAnsi="Times New Roman"/>
                <w:bCs/>
              </w:rPr>
            </w:pPr>
            <w:r w:rsidRPr="00825E5B">
              <w:rPr>
                <w:rFonts w:ascii="Times New Roman" w:hAnsi="Times New Roman"/>
              </w:rPr>
              <w:t>{130;010}</w:t>
            </w:r>
          </w:p>
        </w:tc>
        <w:tc>
          <w:tcPr>
            <w:tcW w:w="7590" w:type="dxa"/>
          </w:tcPr>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b/>
              </w:rPr>
              <w:t>Cuantumul no</w:t>
            </w:r>
            <w:r w:rsidR="00367C88">
              <w:rPr>
                <w:rFonts w:ascii="Times New Roman" w:hAnsi="Times New Roman"/>
                <w:b/>
              </w:rPr>
              <w:t>ț</w:t>
            </w:r>
            <w:r w:rsidRPr="00825E5B">
              <w:rPr>
                <w:rFonts w:ascii="Times New Roman" w:hAnsi="Times New Roman"/>
                <w:b/>
              </w:rPr>
              <w:t>ional plafonat al instrumentelor financiare derivate de credit vândute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429a alineatele (5)-(7)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Valoarea no</w:t>
            </w:r>
            <w:r w:rsidR="00367C88">
              <w:rPr>
                <w:rFonts w:ascii="Times New Roman" w:hAnsi="Times New Roman"/>
              </w:rPr>
              <w:t>ț</w:t>
            </w:r>
            <w:r w:rsidRPr="00825E5B">
              <w:rPr>
                <w:rFonts w:ascii="Times New Roman" w:hAnsi="Times New Roman"/>
              </w:rPr>
              <w:t>ională plafonată a instrumentelor financiare derivate de credit vândute (</w:t>
            </w:r>
            <w:r w:rsidR="00367C88">
              <w:rPr>
                <w:rFonts w:ascii="Times New Roman" w:hAnsi="Times New Roman"/>
              </w:rPr>
              <w:t>ș</w:t>
            </w:r>
            <w:r w:rsidRPr="00825E5B">
              <w:rPr>
                <w:rFonts w:ascii="Times New Roman" w:hAnsi="Times New Roman"/>
              </w:rPr>
              <w:t>i anume, atunci când institu</w:t>
            </w:r>
            <w:r w:rsidR="00367C88">
              <w:rPr>
                <w:rFonts w:ascii="Times New Roman" w:hAnsi="Times New Roman"/>
              </w:rPr>
              <w:t>ț</w:t>
            </w:r>
            <w:r w:rsidRPr="00825E5B">
              <w:rPr>
                <w:rFonts w:ascii="Times New Roman" w:hAnsi="Times New Roman"/>
              </w:rPr>
              <w:t>ia oferă protec</w:t>
            </w:r>
            <w:r w:rsidR="00367C88">
              <w:rPr>
                <w:rFonts w:ascii="Times New Roman" w:hAnsi="Times New Roman"/>
              </w:rPr>
              <w:t>ț</w:t>
            </w:r>
            <w:r w:rsidRPr="00825E5B">
              <w:rPr>
                <w:rFonts w:ascii="Times New Roman" w:hAnsi="Times New Roman"/>
              </w:rPr>
              <w:t>ie de credit unei contrapăr</w:t>
            </w:r>
            <w:r w:rsidR="00367C88">
              <w:rPr>
                <w:rFonts w:ascii="Times New Roman" w:hAnsi="Times New Roman"/>
              </w:rPr>
              <w:t>ț</w:t>
            </w:r>
            <w:r w:rsidRPr="00825E5B">
              <w:rPr>
                <w:rFonts w:ascii="Times New Roman" w:hAnsi="Times New Roman"/>
              </w:rPr>
              <w:t>i), astfel cum se prevede la articolul 429a alineatele (5)-(7) din CRR.</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Pr>
          <w:p w:rsidR="00AE2798" w:rsidRPr="00825E5B" w:rsidRDefault="00AE2798" w:rsidP="00FE0FF1">
            <w:pPr>
              <w:pStyle w:val="BodyText1"/>
              <w:rPr>
                <w:rFonts w:ascii="Times New Roman" w:hAnsi="Times New Roman"/>
                <w:bCs/>
              </w:rPr>
            </w:pPr>
            <w:r w:rsidRPr="00825E5B">
              <w:rPr>
                <w:rFonts w:ascii="Times New Roman" w:hAnsi="Times New Roman"/>
              </w:rPr>
              <w:t>{140;010}</w:t>
            </w:r>
          </w:p>
        </w:tc>
        <w:tc>
          <w:tcPr>
            <w:tcW w:w="7590" w:type="dxa"/>
          </w:tcPr>
          <w:p w:rsidR="00AE2798" w:rsidRPr="00825E5B" w:rsidRDefault="00422C76" w:rsidP="00FE0FF1">
            <w:pPr>
              <w:pStyle w:val="BodyText1"/>
              <w:spacing w:line="240" w:lineRule="auto"/>
              <w:rPr>
                <w:rFonts w:ascii="Times New Roman" w:hAnsi="Times New Roman"/>
                <w:bCs/>
              </w:rPr>
            </w:pPr>
            <w:r w:rsidRPr="00825E5B">
              <w:rPr>
                <w:rFonts w:ascii="Times New Roman" w:hAnsi="Times New Roman"/>
                <w:b/>
              </w:rPr>
              <w:t>(-) Deducerea instrumentelor financiare derivate de credit cumpărate eligibile din instrumentele financiare derivate de credit vândute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429a alineatele (5)-(7)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Valoarea no</w:t>
            </w:r>
            <w:r w:rsidR="00367C88">
              <w:rPr>
                <w:rFonts w:ascii="Times New Roman" w:hAnsi="Times New Roman"/>
              </w:rPr>
              <w:t>ț</w:t>
            </w:r>
            <w:r w:rsidRPr="00825E5B">
              <w:rPr>
                <w:rFonts w:ascii="Times New Roman" w:hAnsi="Times New Roman"/>
              </w:rPr>
              <w:t>ională plafonată a instrumentelor financiare derivate de credit cumpărate (</w:t>
            </w:r>
            <w:r w:rsidR="00367C88">
              <w:rPr>
                <w:rFonts w:ascii="Times New Roman" w:hAnsi="Times New Roman"/>
              </w:rPr>
              <w:t>ș</w:t>
            </w:r>
            <w:r w:rsidRPr="00825E5B">
              <w:rPr>
                <w:rFonts w:ascii="Times New Roman" w:hAnsi="Times New Roman"/>
              </w:rPr>
              <w:t>i anume, atunci când institu</w:t>
            </w:r>
            <w:r w:rsidR="00367C88">
              <w:rPr>
                <w:rFonts w:ascii="Times New Roman" w:hAnsi="Times New Roman"/>
              </w:rPr>
              <w:t>ț</w:t>
            </w:r>
            <w:r w:rsidRPr="00825E5B">
              <w:rPr>
                <w:rFonts w:ascii="Times New Roman" w:hAnsi="Times New Roman"/>
              </w:rPr>
              <w:t>ia cumpără protec</w:t>
            </w:r>
            <w:r w:rsidR="00367C88">
              <w:rPr>
                <w:rFonts w:ascii="Times New Roman" w:hAnsi="Times New Roman"/>
              </w:rPr>
              <w:t>ț</w:t>
            </w:r>
            <w:r w:rsidRPr="00825E5B">
              <w:rPr>
                <w:rFonts w:ascii="Times New Roman" w:hAnsi="Times New Roman"/>
              </w:rPr>
              <w:t>ie de credit de la o contraparte) pentru acelea</w:t>
            </w:r>
            <w:r w:rsidR="00367C88">
              <w:rPr>
                <w:rFonts w:ascii="Times New Roman" w:hAnsi="Times New Roman"/>
              </w:rPr>
              <w:t>ș</w:t>
            </w:r>
            <w:r w:rsidRPr="00825E5B">
              <w:rPr>
                <w:rFonts w:ascii="Times New Roman" w:hAnsi="Times New Roman"/>
              </w:rPr>
              <w:t>i nume de referin</w:t>
            </w:r>
            <w:r w:rsidR="00367C88">
              <w:rPr>
                <w:rFonts w:ascii="Times New Roman" w:hAnsi="Times New Roman"/>
              </w:rPr>
              <w:t>ț</w:t>
            </w:r>
            <w:r w:rsidRPr="00825E5B">
              <w:rPr>
                <w:rFonts w:ascii="Times New Roman" w:hAnsi="Times New Roman"/>
              </w:rPr>
              <w:t>ă ca instrumentele financiare derivate de credit vândute de institu</w:t>
            </w:r>
            <w:r w:rsidR="00367C88">
              <w:rPr>
                <w:rFonts w:ascii="Times New Roman" w:hAnsi="Times New Roman"/>
              </w:rPr>
              <w:t>ț</w:t>
            </w:r>
            <w:r w:rsidRPr="00825E5B">
              <w:rPr>
                <w:rFonts w:ascii="Times New Roman" w:hAnsi="Times New Roman"/>
              </w:rPr>
              <w:t>ie, în cazul în care scaden</w:t>
            </w:r>
            <w:r w:rsidR="00367C88">
              <w:rPr>
                <w:rFonts w:ascii="Times New Roman" w:hAnsi="Times New Roman"/>
              </w:rPr>
              <w:t>ț</w:t>
            </w:r>
            <w:r w:rsidRPr="00825E5B">
              <w:rPr>
                <w:rFonts w:ascii="Times New Roman" w:hAnsi="Times New Roman"/>
              </w:rPr>
              <w:t>a rămasă a protec</w:t>
            </w:r>
            <w:r w:rsidR="00367C88">
              <w:rPr>
                <w:rFonts w:ascii="Times New Roman" w:hAnsi="Times New Roman"/>
              </w:rPr>
              <w:t>ț</w:t>
            </w:r>
            <w:r w:rsidRPr="00825E5B">
              <w:rPr>
                <w:rFonts w:ascii="Times New Roman" w:hAnsi="Times New Roman"/>
              </w:rPr>
              <w:t>iei cumpărate este mai mare sau egală cu scaden</w:t>
            </w:r>
            <w:r w:rsidR="00367C88">
              <w:rPr>
                <w:rFonts w:ascii="Times New Roman" w:hAnsi="Times New Roman"/>
              </w:rPr>
              <w:t>ț</w:t>
            </w:r>
            <w:r w:rsidRPr="00825E5B">
              <w:rPr>
                <w:rFonts w:ascii="Times New Roman" w:hAnsi="Times New Roman"/>
              </w:rPr>
              <w:t>a rămasă a protec</w:t>
            </w:r>
            <w:r w:rsidR="00367C88">
              <w:rPr>
                <w:rFonts w:ascii="Times New Roman" w:hAnsi="Times New Roman"/>
              </w:rPr>
              <w:t>ț</w:t>
            </w:r>
            <w:r w:rsidRPr="00825E5B">
              <w:rPr>
                <w:rFonts w:ascii="Times New Roman" w:hAnsi="Times New Roman"/>
              </w:rPr>
              <w:t>iei vândute. Prin urmare, valoarea nu poate fi mai mare decât valoarea introdusă în {130;010} pentru fiecare nume de referin</w:t>
            </w:r>
            <w:r w:rsidR="00367C88">
              <w:rPr>
                <w:rFonts w:ascii="Times New Roman" w:hAnsi="Times New Roman"/>
              </w:rPr>
              <w:t>ț</w:t>
            </w:r>
            <w:r w:rsidRPr="00825E5B">
              <w:rPr>
                <w:rFonts w:ascii="Times New Roman" w:hAnsi="Times New Roman"/>
              </w:rPr>
              <w:t>ă.</w:t>
            </w:r>
          </w:p>
          <w:p w:rsidR="00AE2798" w:rsidRPr="00825E5B" w:rsidRDefault="00AE2798" w:rsidP="00FE0FF1">
            <w:pPr>
              <w:pStyle w:val="BodyText1"/>
              <w:spacing w:line="240" w:lineRule="auto"/>
              <w:rPr>
                <w:rFonts w:ascii="Times New Roman" w:hAnsi="Times New Roman"/>
                <w:bCs/>
              </w:rPr>
            </w:pPr>
          </w:p>
        </w:tc>
      </w:tr>
      <w:tr w:rsidR="00AE2798" w:rsidRPr="00825E5B" w:rsidTr="006E259E">
        <w:trPr>
          <w:trHeight w:val="983"/>
        </w:trPr>
        <w:tc>
          <w:tcPr>
            <w:tcW w:w="1418" w:type="dxa"/>
          </w:tcPr>
          <w:p w:rsidR="00AE2798" w:rsidRPr="00825E5B" w:rsidRDefault="00AE2798" w:rsidP="00FE0FF1">
            <w:pPr>
              <w:pStyle w:val="BodyText1"/>
              <w:rPr>
                <w:rFonts w:ascii="Times New Roman" w:hAnsi="Times New Roman"/>
                <w:bCs/>
              </w:rPr>
            </w:pPr>
            <w:r w:rsidRPr="00825E5B">
              <w:rPr>
                <w:rFonts w:ascii="Times New Roman" w:hAnsi="Times New Roman"/>
              </w:rPr>
              <w:t>{150;010}</w:t>
            </w:r>
          </w:p>
          <w:p w:rsidR="00AE2798" w:rsidRPr="00825E5B" w:rsidRDefault="00AE2798" w:rsidP="00FE0FF1">
            <w:pPr>
              <w:pStyle w:val="BodyText1"/>
              <w:rPr>
                <w:rFonts w:ascii="Times New Roman" w:hAnsi="Times New Roman"/>
                <w:bCs/>
              </w:rPr>
            </w:pPr>
          </w:p>
        </w:tc>
        <w:tc>
          <w:tcPr>
            <w:tcW w:w="7590" w:type="dxa"/>
          </w:tcPr>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b/>
              </w:rPr>
              <w:t>Elemente extrabilan</w:t>
            </w:r>
            <w:r w:rsidR="00367C88">
              <w:rPr>
                <w:rFonts w:ascii="Times New Roman" w:hAnsi="Times New Roman"/>
                <w:b/>
              </w:rPr>
              <w:t>ț</w:t>
            </w:r>
            <w:r w:rsidRPr="00825E5B">
              <w:rPr>
                <w:rFonts w:ascii="Times New Roman" w:hAnsi="Times New Roman"/>
                <w:b/>
              </w:rPr>
              <w:t>iere cu un factor de conversie a creditului de 10 % în conformitate cu articolul 429 alineatul (10)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Articolul 429 alineatul (10), articolul 111 alineatul (1) litera (d) </w:t>
            </w:r>
            <w:r w:rsidR="00367C88">
              <w:rPr>
                <w:rFonts w:ascii="Times New Roman" w:hAnsi="Times New Roman"/>
              </w:rPr>
              <w:t>ș</w:t>
            </w:r>
            <w:r w:rsidRPr="00825E5B">
              <w:rPr>
                <w:rFonts w:ascii="Times New Roman" w:hAnsi="Times New Roman"/>
              </w:rPr>
              <w:t>i articolul 166 alineatul (9)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Valoarea expunerii, determinată în conformitate cu articolul 429 alineatul (10) </w:t>
            </w:r>
            <w:r w:rsidR="00367C88">
              <w:rPr>
                <w:rFonts w:ascii="Times New Roman" w:hAnsi="Times New Roman"/>
              </w:rPr>
              <w:t>ș</w:t>
            </w:r>
            <w:r w:rsidRPr="00825E5B">
              <w:rPr>
                <w:rFonts w:ascii="Times New Roman" w:hAnsi="Times New Roman"/>
              </w:rPr>
              <w:t>i cu articolul 111 alineatul (1) litera (d) din CRR, în cazul elementelor extrabilan</w:t>
            </w:r>
            <w:r w:rsidR="00367C88">
              <w:rPr>
                <w:rFonts w:ascii="Times New Roman" w:hAnsi="Times New Roman"/>
              </w:rPr>
              <w:t>ț</w:t>
            </w:r>
            <w:r w:rsidRPr="00825E5B">
              <w:rPr>
                <w:rFonts w:ascii="Times New Roman" w:hAnsi="Times New Roman"/>
              </w:rPr>
              <w:t xml:space="preserve">iere cu risc scăzut cărora li s-ar aplica un factor de conversie a creditului de 0 % </w:t>
            </w:r>
            <w:r w:rsidR="00367C88">
              <w:rPr>
                <w:rFonts w:ascii="Times New Roman" w:hAnsi="Times New Roman"/>
              </w:rPr>
              <w:t>ș</w:t>
            </w:r>
            <w:r w:rsidRPr="00825E5B">
              <w:rPr>
                <w:rFonts w:ascii="Times New Roman" w:hAnsi="Times New Roman"/>
              </w:rPr>
              <w:t>i care sunt men</w:t>
            </w:r>
            <w:r w:rsidR="00367C88">
              <w:rPr>
                <w:rFonts w:ascii="Times New Roman" w:hAnsi="Times New Roman"/>
              </w:rPr>
              <w:t>ț</w:t>
            </w:r>
            <w:r w:rsidRPr="00825E5B">
              <w:rPr>
                <w:rFonts w:ascii="Times New Roman" w:hAnsi="Times New Roman"/>
              </w:rPr>
              <w:t>ionate la punctul 4 literele (a)-(c) din anexa I la CRR (se reaminte</w:t>
            </w:r>
            <w:r w:rsidR="00367C88">
              <w:rPr>
                <w:rFonts w:ascii="Times New Roman" w:hAnsi="Times New Roman"/>
              </w:rPr>
              <w:t>ș</w:t>
            </w:r>
            <w:r w:rsidRPr="00825E5B">
              <w:rPr>
                <w:rFonts w:ascii="Times New Roman" w:hAnsi="Times New Roman"/>
              </w:rPr>
              <w:t xml:space="preserve">te că valoarea expunerii în acest caz este de 10 % din valoarea nominală). </w:t>
            </w:r>
            <w:r w:rsidR="00367C88">
              <w:rPr>
                <w:rFonts w:ascii="Times New Roman" w:hAnsi="Times New Roman"/>
              </w:rPr>
              <w:t>Ș</w:t>
            </w:r>
            <w:r w:rsidRPr="00825E5B">
              <w:rPr>
                <w:rFonts w:ascii="Times New Roman" w:hAnsi="Times New Roman"/>
              </w:rPr>
              <w:t>i anume angajamentele care pot fi revocate necondi</w:t>
            </w:r>
            <w:r w:rsidR="00367C88">
              <w:rPr>
                <w:rFonts w:ascii="Times New Roman" w:hAnsi="Times New Roman"/>
              </w:rPr>
              <w:t>ț</w:t>
            </w:r>
            <w:r w:rsidRPr="00825E5B">
              <w:rPr>
                <w:rFonts w:ascii="Times New Roman" w:hAnsi="Times New Roman"/>
              </w:rPr>
              <w:t xml:space="preserve">ionat, în orice moment </w:t>
            </w:r>
            <w:r w:rsidR="00367C88">
              <w:rPr>
                <w:rFonts w:ascii="Times New Roman" w:hAnsi="Times New Roman"/>
              </w:rPr>
              <w:t>ș</w:t>
            </w:r>
            <w:r w:rsidRPr="00825E5B">
              <w:rPr>
                <w:rFonts w:ascii="Times New Roman" w:hAnsi="Times New Roman"/>
              </w:rPr>
              <w:t>i fără notificare prealabilă, de către institu</w:t>
            </w:r>
            <w:r w:rsidR="00367C88">
              <w:rPr>
                <w:rFonts w:ascii="Times New Roman" w:hAnsi="Times New Roman"/>
              </w:rPr>
              <w:t>ț</w:t>
            </w:r>
            <w:r w:rsidRPr="00825E5B">
              <w:rPr>
                <w:rFonts w:ascii="Times New Roman" w:hAnsi="Times New Roman"/>
              </w:rPr>
              <w:t xml:space="preserve">ie sau care </w:t>
            </w:r>
            <w:r w:rsidRPr="00825E5B">
              <w:rPr>
                <w:rFonts w:ascii="Times New Roman" w:hAnsi="Times New Roman"/>
              </w:rPr>
              <w:lastRenderedPageBreak/>
              <w:t>prevăd efectiv revocarea automată ca urmare a deteriorării bonită</w:t>
            </w:r>
            <w:r w:rsidR="00367C88">
              <w:rPr>
                <w:rFonts w:ascii="Times New Roman" w:hAnsi="Times New Roman"/>
              </w:rPr>
              <w:t>ț</w:t>
            </w:r>
            <w:r w:rsidRPr="00825E5B">
              <w:rPr>
                <w:rFonts w:ascii="Times New Roman" w:hAnsi="Times New Roman"/>
              </w:rPr>
              <w:t>ii debitorului.</w:t>
            </w:r>
            <w:r w:rsidRPr="00825E5B">
              <w:t xml:space="preserve"> </w:t>
            </w:r>
            <w:r w:rsidRPr="00825E5B">
              <w:rPr>
                <w:rFonts w:ascii="Times New Roman" w:hAnsi="Times New Roman"/>
              </w:rPr>
              <w:t>Se reaminte</w:t>
            </w:r>
            <w:r w:rsidR="00367C88">
              <w:rPr>
                <w:rFonts w:ascii="Times New Roman" w:hAnsi="Times New Roman"/>
              </w:rPr>
              <w:t>ș</w:t>
            </w:r>
            <w:r w:rsidRPr="00825E5B">
              <w:rPr>
                <w:rFonts w:ascii="Times New Roman" w:hAnsi="Times New Roman"/>
              </w:rPr>
              <w:t>te că din valoarea nominală nu se scad ajustările specifice pentru riscul de credit.</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În cazul în care un angajament se referă la prelungirea unui alt angajament, se utilizează cel mai mic dintre cei doi factori de conversie asocia</w:t>
            </w:r>
            <w:r w:rsidR="00367C88">
              <w:rPr>
                <w:rFonts w:ascii="Times New Roman" w:hAnsi="Times New Roman"/>
              </w:rPr>
              <w:t>ț</w:t>
            </w:r>
            <w:r w:rsidRPr="00825E5B">
              <w:rPr>
                <w:rFonts w:ascii="Times New Roman" w:hAnsi="Times New Roman"/>
              </w:rPr>
              <w:t>i angajamentelor individuale, în conformitate cu articolul 166 alineatul (9)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p w:rsidR="00AE2798" w:rsidRPr="00825E5B" w:rsidRDefault="00AE2798" w:rsidP="00FE0FF1">
            <w:pPr>
              <w:pStyle w:val="BodyText1"/>
              <w:spacing w:line="240" w:lineRule="auto"/>
              <w:rPr>
                <w:rFonts w:ascii="Times New Roman" w:hAnsi="Times New Roman"/>
                <w:bCs/>
                <w:u w:val="single"/>
              </w:rPr>
            </w:pPr>
          </w:p>
        </w:tc>
      </w:tr>
      <w:tr w:rsidR="00AE2798" w:rsidRPr="00825E5B" w:rsidTr="00FD2C06">
        <w:trPr>
          <w:trHeight w:val="712"/>
        </w:trPr>
        <w:tc>
          <w:tcPr>
            <w:tcW w:w="1418" w:type="dxa"/>
          </w:tcPr>
          <w:p w:rsidR="00AE2798" w:rsidRPr="00825E5B" w:rsidRDefault="00AE2798" w:rsidP="00FE0FF1">
            <w:pPr>
              <w:pStyle w:val="BodyText1"/>
              <w:rPr>
                <w:rFonts w:ascii="Times New Roman" w:hAnsi="Times New Roman"/>
                <w:bCs/>
              </w:rPr>
            </w:pPr>
            <w:r w:rsidRPr="00825E5B">
              <w:rPr>
                <w:rFonts w:ascii="Times New Roman" w:hAnsi="Times New Roman"/>
              </w:rPr>
              <w:lastRenderedPageBreak/>
              <w:t>{160;010}</w:t>
            </w:r>
          </w:p>
        </w:tc>
        <w:tc>
          <w:tcPr>
            <w:tcW w:w="7590" w:type="dxa"/>
          </w:tcPr>
          <w:p w:rsidR="00AE2798" w:rsidRPr="00825E5B" w:rsidRDefault="00AE2798" w:rsidP="00FE0FF1">
            <w:pPr>
              <w:pStyle w:val="BodyText1"/>
              <w:spacing w:line="240" w:lineRule="auto"/>
              <w:rPr>
                <w:rFonts w:ascii="Times New Roman" w:hAnsi="Times New Roman"/>
                <w:b/>
                <w:bCs/>
              </w:rPr>
            </w:pPr>
            <w:r w:rsidRPr="00825E5B">
              <w:rPr>
                <w:rFonts w:ascii="Times New Roman" w:hAnsi="Times New Roman"/>
                <w:b/>
              </w:rPr>
              <w:t>Elemente extrabilan</w:t>
            </w:r>
            <w:r w:rsidR="00367C88">
              <w:rPr>
                <w:rFonts w:ascii="Times New Roman" w:hAnsi="Times New Roman"/>
                <w:b/>
              </w:rPr>
              <w:t>ț</w:t>
            </w:r>
            <w:r w:rsidRPr="00825E5B">
              <w:rPr>
                <w:rFonts w:ascii="Times New Roman" w:hAnsi="Times New Roman"/>
                <w:b/>
              </w:rPr>
              <w:t>iere cu un factor de conversie a creditului de 20 % în conformitate cu articolul 429 alineatul (10) din CRR</w:t>
            </w:r>
          </w:p>
          <w:p w:rsidR="00AE2798" w:rsidRPr="00825E5B" w:rsidRDefault="00AE2798" w:rsidP="00FE0FF1">
            <w:pPr>
              <w:pStyle w:val="BodyText1"/>
              <w:spacing w:line="240" w:lineRule="auto"/>
              <w:rPr>
                <w:rFonts w:ascii="Times New Roman" w:hAnsi="Times New Roman"/>
                <w:b/>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Articolul 429 alineatul (10), articolul 111 alineatul (1) litera (c) </w:t>
            </w:r>
            <w:r w:rsidR="00367C88">
              <w:rPr>
                <w:rFonts w:ascii="Times New Roman" w:hAnsi="Times New Roman"/>
              </w:rPr>
              <w:t>ș</w:t>
            </w:r>
            <w:r w:rsidRPr="00825E5B">
              <w:rPr>
                <w:rFonts w:ascii="Times New Roman" w:hAnsi="Times New Roman"/>
              </w:rPr>
              <w:t>i articolul 166 alineatul (9)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Valoarea expunerii, determinată în conformitate cu articolul 429 alineatul (10) </w:t>
            </w:r>
            <w:r w:rsidR="00367C88">
              <w:rPr>
                <w:rFonts w:ascii="Times New Roman" w:hAnsi="Times New Roman"/>
              </w:rPr>
              <w:t>ș</w:t>
            </w:r>
            <w:r w:rsidRPr="00825E5B">
              <w:rPr>
                <w:rFonts w:ascii="Times New Roman" w:hAnsi="Times New Roman"/>
              </w:rPr>
              <w:t>i cu articolul 111 alineatul (1) litera (c) din CRR, în cazul elementelor extrabilan</w:t>
            </w:r>
            <w:r w:rsidR="00367C88">
              <w:rPr>
                <w:rFonts w:ascii="Times New Roman" w:hAnsi="Times New Roman"/>
              </w:rPr>
              <w:t>ț</w:t>
            </w:r>
            <w:r w:rsidRPr="00825E5B">
              <w:rPr>
                <w:rFonts w:ascii="Times New Roman" w:hAnsi="Times New Roman"/>
              </w:rPr>
              <w:t xml:space="preserve">iere cu risc moderat cărora li s-ar aplica un factor de conversie a creditului de 20 % </w:t>
            </w:r>
            <w:r w:rsidR="00367C88">
              <w:rPr>
                <w:rFonts w:ascii="Times New Roman" w:hAnsi="Times New Roman"/>
              </w:rPr>
              <w:t>ș</w:t>
            </w:r>
            <w:r w:rsidRPr="00825E5B">
              <w:rPr>
                <w:rFonts w:ascii="Times New Roman" w:hAnsi="Times New Roman"/>
              </w:rPr>
              <w:t>i care sunt men</w:t>
            </w:r>
            <w:r w:rsidR="00367C88">
              <w:rPr>
                <w:rFonts w:ascii="Times New Roman" w:hAnsi="Times New Roman"/>
              </w:rPr>
              <w:t>ț</w:t>
            </w:r>
            <w:r w:rsidRPr="00825E5B">
              <w:rPr>
                <w:rFonts w:ascii="Times New Roman" w:hAnsi="Times New Roman"/>
              </w:rPr>
              <w:t xml:space="preserve">ionate la punctul 3 literele (a) </w:t>
            </w:r>
            <w:r w:rsidR="00367C88">
              <w:rPr>
                <w:rFonts w:ascii="Times New Roman" w:hAnsi="Times New Roman"/>
              </w:rPr>
              <w:t>ș</w:t>
            </w:r>
            <w:r w:rsidRPr="00825E5B">
              <w:rPr>
                <w:rFonts w:ascii="Times New Roman" w:hAnsi="Times New Roman"/>
              </w:rPr>
              <w:t>i (b) din anexa I la CRR (se reaminte</w:t>
            </w:r>
            <w:r w:rsidR="00367C88">
              <w:rPr>
                <w:rFonts w:ascii="Times New Roman" w:hAnsi="Times New Roman"/>
              </w:rPr>
              <w:t>ș</w:t>
            </w:r>
            <w:r w:rsidRPr="00825E5B">
              <w:rPr>
                <w:rFonts w:ascii="Times New Roman" w:hAnsi="Times New Roman"/>
              </w:rPr>
              <w:t>te că valoarea expunerii în acest caz este de 20 % din valoarea nominală).</w:t>
            </w:r>
            <w:r w:rsidRPr="00825E5B">
              <w:t xml:space="preserve"> </w:t>
            </w:r>
            <w:r w:rsidRPr="00825E5B">
              <w:rPr>
                <w:rFonts w:ascii="Times New Roman" w:hAnsi="Times New Roman"/>
              </w:rPr>
              <w:t>Se reaminte</w:t>
            </w:r>
            <w:r w:rsidR="00367C88">
              <w:rPr>
                <w:rFonts w:ascii="Times New Roman" w:hAnsi="Times New Roman"/>
              </w:rPr>
              <w:t>ș</w:t>
            </w:r>
            <w:r w:rsidRPr="00825E5B">
              <w:rPr>
                <w:rFonts w:ascii="Times New Roman" w:hAnsi="Times New Roman"/>
              </w:rPr>
              <w:t>te că din valoarea nominală nu se scad ajustările specifice pentru riscul de credit.</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În cazul în care un angajament se referă la prelungirea unui alt angajament, se utilizează cel mai mic dintre cei doi factori de conversie asocia</w:t>
            </w:r>
            <w:r w:rsidR="00367C88">
              <w:rPr>
                <w:rFonts w:ascii="Times New Roman" w:hAnsi="Times New Roman"/>
              </w:rPr>
              <w:t>ț</w:t>
            </w:r>
            <w:r w:rsidRPr="00825E5B">
              <w:rPr>
                <w:rFonts w:ascii="Times New Roman" w:hAnsi="Times New Roman"/>
              </w:rPr>
              <w:t>i angajamentelor individuale, în conformitate cu articolul 166 alineatul (9)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433E1A">
            <w:pPr>
              <w:pStyle w:val="BodyText1"/>
              <w:spacing w:line="240" w:lineRule="auto"/>
              <w:rPr>
                <w:rFonts w:ascii="Times New Roman" w:hAnsi="Times New Roman"/>
                <w:b/>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tc>
      </w:tr>
      <w:tr w:rsidR="00AE2798" w:rsidRPr="00825E5B" w:rsidTr="00FE0FF1">
        <w:trPr>
          <w:trHeight w:val="304"/>
        </w:trPr>
        <w:tc>
          <w:tcPr>
            <w:tcW w:w="1418" w:type="dxa"/>
          </w:tcPr>
          <w:p w:rsidR="00AE2798" w:rsidRPr="00825E5B" w:rsidRDefault="00AE2798" w:rsidP="00FE0FF1">
            <w:pPr>
              <w:pStyle w:val="BodyText1"/>
              <w:rPr>
                <w:rFonts w:ascii="Times New Roman" w:hAnsi="Times New Roman"/>
                <w:bCs/>
              </w:rPr>
            </w:pPr>
            <w:r w:rsidRPr="00825E5B">
              <w:rPr>
                <w:rFonts w:ascii="Times New Roman" w:hAnsi="Times New Roman"/>
              </w:rPr>
              <w:t>{170;010}</w:t>
            </w:r>
          </w:p>
          <w:p w:rsidR="00AE2798" w:rsidRPr="00825E5B" w:rsidRDefault="00AE2798" w:rsidP="00FE0FF1">
            <w:pPr>
              <w:pStyle w:val="BodyText1"/>
              <w:rPr>
                <w:rFonts w:ascii="Times New Roman" w:hAnsi="Times New Roman"/>
                <w:bCs/>
              </w:rPr>
            </w:pPr>
          </w:p>
        </w:tc>
        <w:tc>
          <w:tcPr>
            <w:tcW w:w="7590" w:type="dxa"/>
          </w:tcPr>
          <w:p w:rsidR="00AE2798" w:rsidRPr="00825E5B" w:rsidRDefault="00AE2798" w:rsidP="00FE0FF1">
            <w:pPr>
              <w:pStyle w:val="BodyText1"/>
              <w:spacing w:line="240" w:lineRule="auto"/>
              <w:rPr>
                <w:rFonts w:ascii="Times New Roman" w:hAnsi="Times New Roman"/>
                <w:b/>
                <w:bCs/>
              </w:rPr>
            </w:pPr>
            <w:r w:rsidRPr="00825E5B">
              <w:rPr>
                <w:rFonts w:ascii="Times New Roman" w:hAnsi="Times New Roman"/>
                <w:b/>
              </w:rPr>
              <w:t>Elemente extrabilan</w:t>
            </w:r>
            <w:r w:rsidR="00367C88">
              <w:rPr>
                <w:rFonts w:ascii="Times New Roman" w:hAnsi="Times New Roman"/>
                <w:b/>
              </w:rPr>
              <w:t>ț</w:t>
            </w:r>
            <w:r w:rsidRPr="00825E5B">
              <w:rPr>
                <w:rFonts w:ascii="Times New Roman" w:hAnsi="Times New Roman"/>
                <w:b/>
              </w:rPr>
              <w:t>iere cu un factor de conversie a creditului de 50 % în conformitate cu articolul 429 alineatul (10) din CRR</w:t>
            </w:r>
          </w:p>
          <w:p w:rsidR="00AE2798" w:rsidRPr="00825E5B" w:rsidRDefault="00AE2798" w:rsidP="00FE0FF1">
            <w:pPr>
              <w:pStyle w:val="BodyText1"/>
              <w:spacing w:line="240" w:lineRule="auto"/>
              <w:rPr>
                <w:rFonts w:ascii="Times New Roman" w:hAnsi="Times New Roman"/>
                <w:b/>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Articolul 429 alineatul (10), articolul 111 alineatul (1) litera (b) </w:t>
            </w:r>
            <w:r w:rsidR="00367C88">
              <w:rPr>
                <w:rFonts w:ascii="Times New Roman" w:hAnsi="Times New Roman"/>
              </w:rPr>
              <w:t>ș</w:t>
            </w:r>
            <w:r w:rsidRPr="00825E5B">
              <w:rPr>
                <w:rFonts w:ascii="Times New Roman" w:hAnsi="Times New Roman"/>
              </w:rPr>
              <w:t>i articolul 166 alineatul (9) din CRR</w:t>
            </w:r>
          </w:p>
          <w:p w:rsidR="00AE2798" w:rsidRPr="00825E5B" w:rsidRDefault="00AE2798" w:rsidP="00FE0FF1">
            <w:pPr>
              <w:pStyle w:val="BodyText1"/>
              <w:spacing w:line="240" w:lineRule="auto"/>
              <w:rPr>
                <w:rFonts w:ascii="Times New Roman" w:hAnsi="Times New Roman"/>
                <w:bCs/>
              </w:rPr>
            </w:pPr>
          </w:p>
          <w:p w:rsidR="008C7B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Valoarea expunerii, determinată în conformitate cu articolul 429 alineatul (10) </w:t>
            </w:r>
            <w:r w:rsidR="00367C88">
              <w:rPr>
                <w:rFonts w:ascii="Times New Roman" w:hAnsi="Times New Roman"/>
              </w:rPr>
              <w:t>ș</w:t>
            </w:r>
            <w:r w:rsidRPr="00825E5B">
              <w:rPr>
                <w:rFonts w:ascii="Times New Roman" w:hAnsi="Times New Roman"/>
              </w:rPr>
              <w:t>i cu articolul 111 alineatul (1) litera (b) din CRR, în cazul elementelor extrabilan</w:t>
            </w:r>
            <w:r w:rsidR="00367C88">
              <w:rPr>
                <w:rFonts w:ascii="Times New Roman" w:hAnsi="Times New Roman"/>
              </w:rPr>
              <w:t>ț</w:t>
            </w:r>
            <w:r w:rsidRPr="00825E5B">
              <w:rPr>
                <w:rFonts w:ascii="Times New Roman" w:hAnsi="Times New Roman"/>
              </w:rPr>
              <w:t xml:space="preserve">iere cu risc mediu cărora li s-ar aplica un factor de conversie a creditului de 50 %, astfel cum este definit în abordarea standardizată a riscului de credit, </w:t>
            </w:r>
            <w:r w:rsidR="00367C88">
              <w:rPr>
                <w:rFonts w:ascii="Times New Roman" w:hAnsi="Times New Roman"/>
              </w:rPr>
              <w:t>ș</w:t>
            </w:r>
            <w:r w:rsidRPr="00825E5B">
              <w:rPr>
                <w:rFonts w:ascii="Times New Roman" w:hAnsi="Times New Roman"/>
              </w:rPr>
              <w:t>i care sunt men</w:t>
            </w:r>
            <w:r w:rsidR="00367C88">
              <w:rPr>
                <w:rFonts w:ascii="Times New Roman" w:hAnsi="Times New Roman"/>
              </w:rPr>
              <w:t>ț</w:t>
            </w:r>
            <w:r w:rsidRPr="00825E5B">
              <w:rPr>
                <w:rFonts w:ascii="Times New Roman" w:hAnsi="Times New Roman"/>
              </w:rPr>
              <w:t xml:space="preserve">ionate la punctul 2 literele (a) </w:t>
            </w:r>
            <w:r w:rsidR="00367C88">
              <w:rPr>
                <w:rFonts w:ascii="Times New Roman" w:hAnsi="Times New Roman"/>
              </w:rPr>
              <w:t>ș</w:t>
            </w:r>
            <w:r w:rsidRPr="00825E5B">
              <w:rPr>
                <w:rFonts w:ascii="Times New Roman" w:hAnsi="Times New Roman"/>
              </w:rPr>
              <w:t>i (b) din anexa I la CRR (se reaminte</w:t>
            </w:r>
            <w:r w:rsidR="00367C88">
              <w:rPr>
                <w:rFonts w:ascii="Times New Roman" w:hAnsi="Times New Roman"/>
              </w:rPr>
              <w:t>ș</w:t>
            </w:r>
            <w:r w:rsidRPr="00825E5B">
              <w:rPr>
                <w:rFonts w:ascii="Times New Roman" w:hAnsi="Times New Roman"/>
              </w:rPr>
              <w:t>te că valoarea expunerii în acest caz este de 50 % din valoarea nominală). Se reaminte</w:t>
            </w:r>
            <w:r w:rsidR="00367C88">
              <w:rPr>
                <w:rFonts w:ascii="Times New Roman" w:hAnsi="Times New Roman"/>
              </w:rPr>
              <w:t>ș</w:t>
            </w:r>
            <w:r w:rsidRPr="00825E5B">
              <w:rPr>
                <w:rFonts w:ascii="Times New Roman" w:hAnsi="Times New Roman"/>
              </w:rPr>
              <w:t>te că din valoarea nominală nu se scad ajustările specifice pentru riscul de credit.</w:t>
            </w:r>
          </w:p>
          <w:p w:rsidR="008C7B98" w:rsidRPr="00825E5B" w:rsidRDefault="008C7B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În această celulă se iau în considerare facilită</w:t>
            </w:r>
            <w:r w:rsidR="00367C88">
              <w:rPr>
                <w:rFonts w:ascii="Times New Roman" w:hAnsi="Times New Roman"/>
              </w:rPr>
              <w:t>ț</w:t>
            </w:r>
            <w:r w:rsidRPr="00825E5B">
              <w:rPr>
                <w:rFonts w:ascii="Times New Roman" w:hAnsi="Times New Roman"/>
              </w:rPr>
              <w:t xml:space="preserve">ile de lichiditate </w:t>
            </w:r>
            <w:r w:rsidR="00367C88">
              <w:rPr>
                <w:rFonts w:ascii="Times New Roman" w:hAnsi="Times New Roman"/>
              </w:rPr>
              <w:t>ș</w:t>
            </w:r>
            <w:r w:rsidRPr="00825E5B">
              <w:rPr>
                <w:rFonts w:ascii="Times New Roman" w:hAnsi="Times New Roman"/>
              </w:rPr>
              <w:t>i alte angajamente pentru securitizări. Cu alte cuvinte, factorul de conversie a creditului este, în conformitate cu articolul 255 din CRR, de 50 % pentru toate facilită</w:t>
            </w:r>
            <w:r w:rsidR="00367C88">
              <w:rPr>
                <w:rFonts w:ascii="Times New Roman" w:hAnsi="Times New Roman"/>
              </w:rPr>
              <w:t>ț</w:t>
            </w:r>
            <w:r w:rsidRPr="00825E5B">
              <w:rPr>
                <w:rFonts w:ascii="Times New Roman" w:hAnsi="Times New Roman"/>
              </w:rPr>
              <w:t>ile de lichiditate, indiferent de scaden</w:t>
            </w:r>
            <w:r w:rsidR="00367C88">
              <w:rPr>
                <w:rFonts w:ascii="Times New Roman" w:hAnsi="Times New Roman"/>
              </w:rPr>
              <w:t>ț</w:t>
            </w:r>
            <w:r w:rsidRPr="00825E5B">
              <w:rPr>
                <w:rFonts w:ascii="Times New Roman" w:hAnsi="Times New Roman"/>
              </w:rPr>
              <w:t xml:space="preserve">ă. </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În cazul în care un angajament se referă la prelungirea unui alt angajament, se utilizează cel mai mic dintre cei doi factori de conversie asocia</w:t>
            </w:r>
            <w:r w:rsidR="00367C88">
              <w:rPr>
                <w:rFonts w:ascii="Times New Roman" w:hAnsi="Times New Roman"/>
              </w:rPr>
              <w:t>ț</w:t>
            </w:r>
            <w:r w:rsidRPr="00825E5B">
              <w:rPr>
                <w:rFonts w:ascii="Times New Roman" w:hAnsi="Times New Roman"/>
              </w:rPr>
              <w:t>i angajamentelor individuale, în conformitate cu articolul 166 alineatul (9)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p w:rsidR="00AE2798" w:rsidRPr="00825E5B" w:rsidRDefault="00AE2798" w:rsidP="00FE0FF1">
            <w:pPr>
              <w:pStyle w:val="BodyText1"/>
              <w:spacing w:line="240" w:lineRule="auto"/>
              <w:rPr>
                <w:rFonts w:ascii="Times New Roman" w:hAnsi="Times New Roman"/>
                <w:b/>
                <w:bCs/>
              </w:rPr>
            </w:pPr>
          </w:p>
        </w:tc>
      </w:tr>
      <w:tr w:rsidR="00AE2798" w:rsidRPr="00825E5B" w:rsidTr="00FE0FF1">
        <w:trPr>
          <w:trHeight w:val="304"/>
        </w:trPr>
        <w:tc>
          <w:tcPr>
            <w:tcW w:w="1418" w:type="dxa"/>
            <w:tcBorders>
              <w:bottom w:val="single" w:sz="4" w:space="0" w:color="auto"/>
            </w:tcBorders>
          </w:tcPr>
          <w:p w:rsidR="00AE2798" w:rsidRPr="00825E5B" w:rsidRDefault="00AE2798" w:rsidP="00FE0FF1">
            <w:pPr>
              <w:pStyle w:val="BodyText1"/>
              <w:rPr>
                <w:rFonts w:ascii="Times New Roman" w:hAnsi="Times New Roman"/>
                <w:bCs/>
              </w:rPr>
            </w:pPr>
            <w:r w:rsidRPr="00825E5B">
              <w:rPr>
                <w:rFonts w:ascii="Times New Roman" w:hAnsi="Times New Roman"/>
              </w:rPr>
              <w:lastRenderedPageBreak/>
              <w:t>{180;010}</w:t>
            </w:r>
          </w:p>
          <w:p w:rsidR="00AE2798" w:rsidRPr="00825E5B" w:rsidRDefault="00AE2798" w:rsidP="00FE0FF1">
            <w:pPr>
              <w:pStyle w:val="BodyText1"/>
              <w:rPr>
                <w:rFonts w:ascii="Times New Roman" w:hAnsi="Times New Roman"/>
                <w:bCs/>
              </w:rPr>
            </w:pPr>
          </w:p>
        </w:tc>
        <w:tc>
          <w:tcPr>
            <w:tcW w:w="7590" w:type="dxa"/>
            <w:tcBorders>
              <w:bottom w:val="single" w:sz="4" w:space="0" w:color="auto"/>
            </w:tcBorders>
          </w:tcPr>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b/>
              </w:rPr>
              <w:t>Elemente extrabilan</w:t>
            </w:r>
            <w:r w:rsidR="00367C88">
              <w:rPr>
                <w:rFonts w:ascii="Times New Roman" w:hAnsi="Times New Roman"/>
                <w:b/>
              </w:rPr>
              <w:t>ț</w:t>
            </w:r>
            <w:r w:rsidRPr="00825E5B">
              <w:rPr>
                <w:rFonts w:ascii="Times New Roman" w:hAnsi="Times New Roman"/>
                <w:b/>
              </w:rPr>
              <w:t>iere cu un factor de conversie a creditului de 100 % în conformitate cu articolul 429 alineatul (10)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Articolul 429 alineatul (10), articolul 111 alineatul (1) litera (a) </w:t>
            </w:r>
            <w:r w:rsidR="00367C88">
              <w:rPr>
                <w:rFonts w:ascii="Times New Roman" w:hAnsi="Times New Roman"/>
              </w:rPr>
              <w:t>ș</w:t>
            </w:r>
            <w:r w:rsidRPr="00825E5B">
              <w:rPr>
                <w:rFonts w:ascii="Times New Roman" w:hAnsi="Times New Roman"/>
              </w:rPr>
              <w:t>i articolul 166 alineatul (9) din CRR</w:t>
            </w:r>
          </w:p>
          <w:p w:rsidR="00AE2798" w:rsidRPr="00825E5B" w:rsidRDefault="00AE2798" w:rsidP="00FE0FF1">
            <w:pPr>
              <w:pStyle w:val="BodyText1"/>
              <w:spacing w:line="240" w:lineRule="auto"/>
              <w:rPr>
                <w:rFonts w:ascii="Times New Roman" w:hAnsi="Times New Roman"/>
                <w:bCs/>
              </w:rPr>
            </w:pPr>
          </w:p>
          <w:p w:rsidR="008C7B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Valoarea expunerii, determinată în conformitate cu articolul 429 alineatul (10) </w:t>
            </w:r>
            <w:r w:rsidR="00367C88">
              <w:rPr>
                <w:rFonts w:ascii="Times New Roman" w:hAnsi="Times New Roman"/>
              </w:rPr>
              <w:t>ș</w:t>
            </w:r>
            <w:r w:rsidRPr="00825E5B">
              <w:rPr>
                <w:rFonts w:ascii="Times New Roman" w:hAnsi="Times New Roman"/>
              </w:rPr>
              <w:t>i cu articolul 111 alineatul (1) litera (a) din CRR, în cazul elementelor extrabilan</w:t>
            </w:r>
            <w:r w:rsidR="00367C88">
              <w:rPr>
                <w:rFonts w:ascii="Times New Roman" w:hAnsi="Times New Roman"/>
              </w:rPr>
              <w:t>ț</w:t>
            </w:r>
            <w:r w:rsidRPr="00825E5B">
              <w:rPr>
                <w:rFonts w:ascii="Times New Roman" w:hAnsi="Times New Roman"/>
              </w:rPr>
              <w:t xml:space="preserve">iere cu risc ridicat cărora li s-ar aplica un factor de conversie a creditului de 100 % </w:t>
            </w:r>
            <w:r w:rsidR="00367C88">
              <w:rPr>
                <w:rFonts w:ascii="Times New Roman" w:hAnsi="Times New Roman"/>
              </w:rPr>
              <w:t>ș</w:t>
            </w:r>
            <w:r w:rsidRPr="00825E5B">
              <w:rPr>
                <w:rFonts w:ascii="Times New Roman" w:hAnsi="Times New Roman"/>
              </w:rPr>
              <w:t>i care sunt men</w:t>
            </w:r>
            <w:r w:rsidR="00367C88">
              <w:rPr>
                <w:rFonts w:ascii="Times New Roman" w:hAnsi="Times New Roman"/>
              </w:rPr>
              <w:t>ț</w:t>
            </w:r>
            <w:r w:rsidRPr="00825E5B">
              <w:rPr>
                <w:rFonts w:ascii="Times New Roman" w:hAnsi="Times New Roman"/>
              </w:rPr>
              <w:t>ionate la punctul 1 literele (a)-(k) din anexa I la CRR (se reaminte</w:t>
            </w:r>
            <w:r w:rsidR="00367C88">
              <w:rPr>
                <w:rFonts w:ascii="Times New Roman" w:hAnsi="Times New Roman"/>
              </w:rPr>
              <w:t>ș</w:t>
            </w:r>
            <w:r w:rsidRPr="00825E5B">
              <w:rPr>
                <w:rFonts w:ascii="Times New Roman" w:hAnsi="Times New Roman"/>
              </w:rPr>
              <w:t>te că valoarea expunerii în acest caz este de 100 % din valoarea nominală). Se reaminte</w:t>
            </w:r>
            <w:r w:rsidR="00367C88">
              <w:rPr>
                <w:rFonts w:ascii="Times New Roman" w:hAnsi="Times New Roman"/>
              </w:rPr>
              <w:t>ș</w:t>
            </w:r>
            <w:r w:rsidRPr="00825E5B">
              <w:rPr>
                <w:rFonts w:ascii="Times New Roman" w:hAnsi="Times New Roman"/>
              </w:rPr>
              <w:t xml:space="preserve">te că din valoarea nominală nu se scad ajustările specifice pentru riscul de credit. </w:t>
            </w:r>
          </w:p>
          <w:p w:rsidR="008C7B98" w:rsidRPr="00825E5B" w:rsidRDefault="008C7B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În această celulă se iau în considerare facilită</w:t>
            </w:r>
            <w:r w:rsidR="00367C88">
              <w:rPr>
                <w:rFonts w:ascii="Times New Roman" w:hAnsi="Times New Roman"/>
              </w:rPr>
              <w:t>ț</w:t>
            </w:r>
            <w:r w:rsidRPr="00825E5B">
              <w:rPr>
                <w:rFonts w:ascii="Times New Roman" w:hAnsi="Times New Roman"/>
              </w:rPr>
              <w:t xml:space="preserve">ile de lichiditate </w:t>
            </w:r>
            <w:r w:rsidR="00367C88">
              <w:rPr>
                <w:rFonts w:ascii="Times New Roman" w:hAnsi="Times New Roman"/>
              </w:rPr>
              <w:t>ș</w:t>
            </w:r>
            <w:r w:rsidRPr="00825E5B">
              <w:rPr>
                <w:rFonts w:ascii="Times New Roman" w:hAnsi="Times New Roman"/>
              </w:rPr>
              <w:t xml:space="preserve">i alte angajamente pentru securitizări. </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În cazul în care un angajament se referă la prelungirea unui alt angajament, se utilizează cel mai mic dintre cei doi factori de conversie asocia</w:t>
            </w:r>
            <w:r w:rsidR="00367C88">
              <w:rPr>
                <w:rFonts w:ascii="Times New Roman" w:hAnsi="Times New Roman"/>
              </w:rPr>
              <w:t>ț</w:t>
            </w:r>
            <w:r w:rsidRPr="00825E5B">
              <w:rPr>
                <w:rFonts w:ascii="Times New Roman" w:hAnsi="Times New Roman"/>
              </w:rPr>
              <w:t>i angajamentelor individuale, în conformitate cu articolul 166 alineatul (9)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p w:rsidR="00AE2798" w:rsidRPr="00825E5B" w:rsidRDefault="00AE2798" w:rsidP="00FE0FF1">
            <w:pPr>
              <w:pStyle w:val="BodyText1"/>
              <w:spacing w:line="240" w:lineRule="auto"/>
              <w:rPr>
                <w:rFonts w:ascii="Times New Roman" w:hAnsi="Times New Roman"/>
                <w:bCs/>
                <w:u w:val="single"/>
              </w:rPr>
            </w:pPr>
          </w:p>
        </w:tc>
      </w:tr>
      <w:tr w:rsidR="00AE2798" w:rsidRPr="00825E5B" w:rsidTr="00FE0FF1">
        <w:trPr>
          <w:trHeight w:val="304"/>
        </w:trPr>
        <w:tc>
          <w:tcPr>
            <w:tcW w:w="1418" w:type="dxa"/>
            <w:tcBorders>
              <w:bottom w:val="single" w:sz="4" w:space="0" w:color="auto"/>
            </w:tcBorders>
          </w:tcPr>
          <w:p w:rsidR="00AE2798" w:rsidRPr="00825E5B" w:rsidRDefault="00AE2798" w:rsidP="00FE0FF1">
            <w:pPr>
              <w:pStyle w:val="BodyText1"/>
              <w:rPr>
                <w:rFonts w:ascii="Times New Roman" w:hAnsi="Times New Roman"/>
                <w:bCs/>
              </w:rPr>
            </w:pPr>
            <w:r w:rsidRPr="00825E5B">
              <w:rPr>
                <w:rFonts w:ascii="Times New Roman" w:hAnsi="Times New Roman"/>
              </w:rPr>
              <w:t>{190;010}</w:t>
            </w:r>
          </w:p>
          <w:p w:rsidR="00AE2798" w:rsidRPr="00825E5B" w:rsidRDefault="00AE2798" w:rsidP="00FE0FF1">
            <w:pPr>
              <w:pStyle w:val="BodyText1"/>
              <w:rPr>
                <w:rFonts w:ascii="Times New Roman" w:hAnsi="Times New Roman"/>
                <w:bCs/>
              </w:rPr>
            </w:pPr>
          </w:p>
        </w:tc>
        <w:tc>
          <w:tcPr>
            <w:tcW w:w="7590" w:type="dxa"/>
            <w:tcBorders>
              <w:bottom w:val="single" w:sz="4" w:space="0" w:color="auto"/>
            </w:tcBorders>
          </w:tcPr>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b/>
              </w:rPr>
              <w:t xml:space="preserve">Alte active </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 alineatul (5)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Toate activele, cu excep</w:t>
            </w:r>
            <w:r w:rsidR="00367C88">
              <w:rPr>
                <w:rFonts w:ascii="Times New Roman" w:hAnsi="Times New Roman"/>
              </w:rPr>
              <w:t>ț</w:t>
            </w:r>
            <w:r w:rsidRPr="00825E5B">
              <w:rPr>
                <w:rFonts w:ascii="Times New Roman" w:hAnsi="Times New Roman"/>
              </w:rPr>
              <w:t xml:space="preserve">ia contractelor enumerate în anexa II la CRR, a instrumentelor financiare derivate de credit </w:t>
            </w:r>
            <w:r w:rsidR="00367C88">
              <w:rPr>
                <w:rFonts w:ascii="Times New Roman" w:hAnsi="Times New Roman"/>
              </w:rPr>
              <w:t>ș</w:t>
            </w:r>
            <w:r w:rsidRPr="00825E5B">
              <w:rPr>
                <w:rFonts w:ascii="Times New Roman" w:hAnsi="Times New Roman"/>
              </w:rPr>
              <w:t>i a SFT-urilor (de exemplu, printre activele care se raportează în această celulă se numără crean</w:t>
            </w:r>
            <w:r w:rsidR="00367C88">
              <w:rPr>
                <w:rFonts w:ascii="Times New Roman" w:hAnsi="Times New Roman"/>
              </w:rPr>
              <w:t>ț</w:t>
            </w:r>
            <w:r w:rsidRPr="00825E5B">
              <w:rPr>
                <w:rFonts w:ascii="Times New Roman" w:hAnsi="Times New Roman"/>
              </w:rPr>
              <w:t>ele furnizate pentru marja de varia</w:t>
            </w:r>
            <w:r w:rsidR="00367C88">
              <w:rPr>
                <w:rFonts w:ascii="Times New Roman" w:hAnsi="Times New Roman"/>
              </w:rPr>
              <w:t>ț</w:t>
            </w:r>
            <w:r w:rsidRPr="00825E5B">
              <w:rPr>
                <w:rFonts w:ascii="Times New Roman" w:hAnsi="Times New Roman"/>
              </w:rPr>
              <w:t>ie în numerar atunci când sunt recunoscute în temeiul cadrului contabil curent, activele lichide, astfel cum sunt definite în temeiul indicatorului de acoperire a necesarului de lichiditate, tranzac</w:t>
            </w:r>
            <w:r w:rsidR="00367C88">
              <w:rPr>
                <w:rFonts w:ascii="Times New Roman" w:hAnsi="Times New Roman"/>
              </w:rPr>
              <w:t>ț</w:t>
            </w:r>
            <w:r w:rsidRPr="00825E5B">
              <w:rPr>
                <w:rFonts w:ascii="Times New Roman" w:hAnsi="Times New Roman"/>
              </w:rPr>
              <w:t>iile nereu</w:t>
            </w:r>
            <w:r w:rsidR="00367C88">
              <w:rPr>
                <w:rFonts w:ascii="Times New Roman" w:hAnsi="Times New Roman"/>
              </w:rPr>
              <w:t>ș</w:t>
            </w:r>
            <w:r w:rsidRPr="00825E5B">
              <w:rPr>
                <w:rFonts w:ascii="Times New Roman" w:hAnsi="Times New Roman"/>
              </w:rPr>
              <w:t xml:space="preserve">ite </w:t>
            </w:r>
            <w:r w:rsidR="00367C88">
              <w:rPr>
                <w:rFonts w:ascii="Times New Roman" w:hAnsi="Times New Roman"/>
              </w:rPr>
              <w:t>ș</w:t>
            </w:r>
            <w:r w:rsidRPr="00825E5B">
              <w:rPr>
                <w:rFonts w:ascii="Times New Roman" w:hAnsi="Times New Roman"/>
              </w:rPr>
              <w:t>i nedecontate). Evaluarea efectuată de institu</w:t>
            </w:r>
            <w:r w:rsidR="00367C88">
              <w:rPr>
                <w:rFonts w:ascii="Times New Roman" w:hAnsi="Times New Roman"/>
              </w:rPr>
              <w:t>ț</w:t>
            </w:r>
            <w:r w:rsidRPr="00825E5B">
              <w:rPr>
                <w:rFonts w:ascii="Times New Roman" w:hAnsi="Times New Roman"/>
              </w:rPr>
              <w:t>ii trebuie să se bazeze pe principiile stabilite la articolul 429 alineatul (5)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includ în această celulă numerarul primit sau titlurile care sunt furnizate unei contrapăr</w:t>
            </w:r>
            <w:r w:rsidR="00367C88">
              <w:rPr>
                <w:rFonts w:ascii="Times New Roman" w:hAnsi="Times New Roman"/>
              </w:rPr>
              <w:t>ț</w:t>
            </w:r>
            <w:r w:rsidRPr="00825E5B">
              <w:rPr>
                <w:rFonts w:ascii="Times New Roman" w:hAnsi="Times New Roman"/>
              </w:rPr>
              <w:t xml:space="preserve">i prin intermediul SFT-urilor </w:t>
            </w:r>
            <w:r w:rsidR="00367C88">
              <w:rPr>
                <w:rFonts w:ascii="Times New Roman" w:hAnsi="Times New Roman"/>
              </w:rPr>
              <w:t>ș</w:t>
            </w:r>
            <w:r w:rsidRPr="00825E5B">
              <w:rPr>
                <w:rFonts w:ascii="Times New Roman" w:hAnsi="Times New Roman"/>
              </w:rPr>
              <w:t>i care sunt re</w:t>
            </w:r>
            <w:r w:rsidR="00367C88">
              <w:rPr>
                <w:rFonts w:ascii="Times New Roman" w:hAnsi="Times New Roman"/>
              </w:rPr>
              <w:t>ț</w:t>
            </w:r>
            <w:r w:rsidRPr="00825E5B">
              <w:rPr>
                <w:rFonts w:ascii="Times New Roman" w:hAnsi="Times New Roman"/>
              </w:rPr>
              <w:t>inute în bilan</w:t>
            </w:r>
            <w:r w:rsidR="00367C88">
              <w:rPr>
                <w:rFonts w:ascii="Times New Roman" w:hAnsi="Times New Roman"/>
              </w:rPr>
              <w:t>ț</w:t>
            </w:r>
            <w:r w:rsidRPr="00825E5B">
              <w:rPr>
                <w:rFonts w:ascii="Times New Roman" w:hAnsi="Times New Roman"/>
              </w:rPr>
              <w:t xml:space="preserve"> (</w:t>
            </w:r>
            <w:r w:rsidR="00367C88">
              <w:rPr>
                <w:rFonts w:ascii="Times New Roman" w:hAnsi="Times New Roman"/>
              </w:rPr>
              <w:t>ș</w:t>
            </w:r>
            <w:r w:rsidRPr="00825E5B">
              <w:rPr>
                <w:rFonts w:ascii="Times New Roman" w:hAnsi="Times New Roman"/>
              </w:rPr>
              <w:t>i anume, pentru care criteriile contabile de scoatere din bilan</w:t>
            </w:r>
            <w:r w:rsidR="00367C88">
              <w:rPr>
                <w:rFonts w:ascii="Times New Roman" w:hAnsi="Times New Roman"/>
              </w:rPr>
              <w:t>ț</w:t>
            </w:r>
            <w:r w:rsidRPr="00825E5B">
              <w:rPr>
                <w:rFonts w:ascii="Times New Roman" w:hAnsi="Times New Roman"/>
              </w:rPr>
              <w:t xml:space="preserve"> nu sunt îndeplinite). În plus, institu</w:t>
            </w:r>
            <w:r w:rsidR="00367C88">
              <w:rPr>
                <w:rFonts w:ascii="Times New Roman" w:hAnsi="Times New Roman"/>
              </w:rPr>
              <w:t>ț</w:t>
            </w:r>
            <w:r w:rsidRPr="00825E5B">
              <w:rPr>
                <w:rFonts w:ascii="Times New Roman" w:hAnsi="Times New Roman"/>
              </w:rPr>
              <w:t xml:space="preserve">iile recunosc în această celulă elementele deduse din fondurile proprii de nivel 1 </w:t>
            </w:r>
            <w:r w:rsidR="00367C88">
              <w:rPr>
                <w:rFonts w:ascii="Times New Roman" w:hAnsi="Times New Roman"/>
              </w:rPr>
              <w:t>ș</w:t>
            </w:r>
            <w:r w:rsidRPr="00825E5B">
              <w:rPr>
                <w:rFonts w:ascii="Times New Roman" w:hAnsi="Times New Roman"/>
              </w:rPr>
              <w:t>i elementele de fonduri proprii de nivel 1 suplimentar (de exemplu, imobilizările necorporale, crean</w:t>
            </w:r>
            <w:r w:rsidR="00367C88">
              <w:rPr>
                <w:rFonts w:ascii="Times New Roman" w:hAnsi="Times New Roman"/>
              </w:rPr>
              <w:t>ț</w:t>
            </w:r>
            <w:r w:rsidRPr="00825E5B">
              <w:rPr>
                <w:rFonts w:ascii="Times New Roman" w:hAnsi="Times New Roman"/>
              </w:rPr>
              <w:t xml:space="preserve">ele privind impozitul amânat etc.). </w:t>
            </w:r>
          </w:p>
          <w:p w:rsidR="00AE2798" w:rsidRPr="00825E5B" w:rsidRDefault="00AE2798" w:rsidP="00FE0FF1">
            <w:pPr>
              <w:pStyle w:val="BodyText1"/>
              <w:spacing w:line="240" w:lineRule="auto"/>
              <w:rPr>
                <w:rFonts w:ascii="Times New Roman" w:hAnsi="Times New Roman"/>
                <w:bCs/>
                <w:u w:val="single"/>
              </w:rPr>
            </w:pPr>
          </w:p>
        </w:tc>
      </w:tr>
      <w:tr w:rsidR="00AE2798" w:rsidRPr="00825E5B" w:rsidTr="00FE0FF1">
        <w:trPr>
          <w:trHeight w:val="304"/>
        </w:trPr>
        <w:tc>
          <w:tcPr>
            <w:tcW w:w="1418" w:type="dxa"/>
            <w:tcBorders>
              <w:bottom w:val="single" w:sz="4" w:space="0" w:color="auto"/>
            </w:tcBorders>
          </w:tcPr>
          <w:p w:rsidR="00AE2798" w:rsidRPr="00825E5B" w:rsidRDefault="00AE2798" w:rsidP="00FE0FF1">
            <w:pPr>
              <w:pStyle w:val="BodyText1"/>
              <w:rPr>
                <w:rFonts w:ascii="Times New Roman" w:hAnsi="Times New Roman"/>
                <w:bCs/>
              </w:rPr>
            </w:pPr>
            <w:r w:rsidRPr="00825E5B">
              <w:rPr>
                <w:rFonts w:ascii="Times New Roman" w:hAnsi="Times New Roman"/>
              </w:rPr>
              <w:t>{200;010}</w:t>
            </w:r>
          </w:p>
        </w:tc>
        <w:tc>
          <w:tcPr>
            <w:tcW w:w="7590" w:type="dxa"/>
            <w:tcBorders>
              <w:bottom w:val="single" w:sz="4" w:space="0" w:color="auto"/>
            </w:tcBorders>
          </w:tcPr>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b/>
              </w:rPr>
              <w:t>Valoarea brută a garan</w:t>
            </w:r>
            <w:r w:rsidR="00367C88">
              <w:rPr>
                <w:rFonts w:ascii="Times New Roman" w:hAnsi="Times New Roman"/>
                <w:b/>
              </w:rPr>
              <w:t>ț</w:t>
            </w:r>
            <w:r w:rsidRPr="00825E5B">
              <w:rPr>
                <w:rFonts w:ascii="Times New Roman" w:hAnsi="Times New Roman"/>
                <w:b/>
              </w:rPr>
              <w:t>iilor reale oferite pentru instrumentele financiare derivate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429a alineatul (2)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Cuantumul oricărei garan</w:t>
            </w:r>
            <w:r w:rsidR="00367C88">
              <w:rPr>
                <w:rFonts w:ascii="Times New Roman" w:hAnsi="Times New Roman"/>
              </w:rPr>
              <w:t>ț</w:t>
            </w:r>
            <w:r w:rsidRPr="00825E5B">
              <w:rPr>
                <w:rFonts w:ascii="Times New Roman" w:hAnsi="Times New Roman"/>
              </w:rPr>
              <w:t>ii reale oferite pentru instrumente financiare derivate, atunci când oferirea respectivei garan</w:t>
            </w:r>
            <w:r w:rsidR="00367C88">
              <w:rPr>
                <w:rFonts w:ascii="Times New Roman" w:hAnsi="Times New Roman"/>
              </w:rPr>
              <w:t>ț</w:t>
            </w:r>
            <w:r w:rsidRPr="00825E5B">
              <w:rPr>
                <w:rFonts w:ascii="Times New Roman" w:hAnsi="Times New Roman"/>
              </w:rPr>
              <w:t>ii reduce cuantumul activelor din cadrul contabil aplicabil, astfel cum este stabilit la articolul 429a alineatul (2)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marja ini</w:t>
            </w:r>
            <w:r w:rsidR="00367C88">
              <w:rPr>
                <w:rFonts w:ascii="Times New Roman" w:hAnsi="Times New Roman"/>
              </w:rPr>
              <w:t>ț</w:t>
            </w:r>
            <w:r w:rsidRPr="00825E5B">
              <w:rPr>
                <w:rFonts w:ascii="Times New Roman" w:hAnsi="Times New Roman"/>
              </w:rPr>
              <w:t>ială pentru tranzac</w:t>
            </w:r>
            <w:r w:rsidR="00367C88">
              <w:rPr>
                <w:rFonts w:ascii="Times New Roman" w:hAnsi="Times New Roman"/>
              </w:rPr>
              <w:t>ț</w:t>
            </w:r>
            <w:r w:rsidRPr="00825E5B">
              <w:rPr>
                <w:rFonts w:ascii="Times New Roman" w:hAnsi="Times New Roman"/>
              </w:rPr>
              <w:t>iile cu instrumente financiare derivate în cazul cărora clien</w:t>
            </w:r>
            <w:r w:rsidR="00367C88">
              <w:rPr>
                <w:rFonts w:ascii="Times New Roman" w:hAnsi="Times New Roman"/>
              </w:rPr>
              <w:t>ț</w:t>
            </w:r>
            <w:r w:rsidRPr="00825E5B">
              <w:rPr>
                <w:rFonts w:ascii="Times New Roman" w:hAnsi="Times New Roman"/>
              </w:rPr>
              <w:t>ii au fost compensa</w:t>
            </w:r>
            <w:r w:rsidR="00367C88">
              <w:rPr>
                <w:rFonts w:ascii="Times New Roman" w:hAnsi="Times New Roman"/>
              </w:rPr>
              <w:t>ț</w:t>
            </w:r>
            <w:r w:rsidRPr="00825E5B">
              <w:rPr>
                <w:rFonts w:ascii="Times New Roman" w:hAnsi="Times New Roman"/>
              </w:rPr>
              <w:t xml:space="preserve">i </w:t>
            </w:r>
            <w:r w:rsidR="00367C88">
              <w:rPr>
                <w:rFonts w:ascii="Times New Roman" w:hAnsi="Times New Roman"/>
              </w:rPr>
              <w:t>ș</w:t>
            </w:r>
            <w:r w:rsidRPr="00825E5B">
              <w:rPr>
                <w:rFonts w:ascii="Times New Roman" w:hAnsi="Times New Roman"/>
              </w:rPr>
              <w:t xml:space="preserve">i care au fost încheiate cu o contraparte centrală calificată (CPCC) </w:t>
            </w:r>
            <w:r w:rsidR="00367C88">
              <w:rPr>
                <w:rFonts w:ascii="Times New Roman" w:hAnsi="Times New Roman"/>
              </w:rPr>
              <w:t>ș</w:t>
            </w:r>
            <w:r w:rsidRPr="00825E5B">
              <w:rPr>
                <w:rFonts w:ascii="Times New Roman" w:hAnsi="Times New Roman"/>
              </w:rPr>
              <w:t>i nici marja de varia</w:t>
            </w:r>
            <w:r w:rsidR="00367C88">
              <w:rPr>
                <w:rFonts w:ascii="Times New Roman" w:hAnsi="Times New Roman"/>
              </w:rPr>
              <w:t>ț</w:t>
            </w:r>
            <w:r w:rsidRPr="00825E5B">
              <w:rPr>
                <w:rFonts w:ascii="Times New Roman" w:hAnsi="Times New Roman"/>
              </w:rPr>
              <w:t>ie în numerar eligibilă, astfel cum este definită la articolul 429a alineatul (3) din CRR.</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Borders>
              <w:bottom w:val="single" w:sz="4" w:space="0" w:color="auto"/>
            </w:tcBorders>
          </w:tcPr>
          <w:p w:rsidR="00AE2798" w:rsidRPr="00825E5B" w:rsidRDefault="00AE2798" w:rsidP="00FE0FF1">
            <w:pPr>
              <w:pStyle w:val="BodyText1"/>
              <w:rPr>
                <w:rFonts w:ascii="Times New Roman" w:hAnsi="Times New Roman"/>
                <w:bCs/>
              </w:rPr>
            </w:pPr>
            <w:r w:rsidRPr="00825E5B">
              <w:rPr>
                <w:rFonts w:ascii="Times New Roman" w:hAnsi="Times New Roman"/>
              </w:rPr>
              <w:t>{210;010}</w:t>
            </w:r>
          </w:p>
        </w:tc>
        <w:tc>
          <w:tcPr>
            <w:tcW w:w="7590" w:type="dxa"/>
            <w:tcBorders>
              <w:bottom w:val="single" w:sz="4" w:space="0" w:color="auto"/>
            </w:tcBorders>
          </w:tcPr>
          <w:p w:rsidR="00AE2798" w:rsidRPr="00825E5B" w:rsidRDefault="00422C76" w:rsidP="00FE0FF1">
            <w:pPr>
              <w:pStyle w:val="BodyText1"/>
              <w:spacing w:line="240" w:lineRule="auto"/>
              <w:rPr>
                <w:rFonts w:ascii="Times New Roman" w:hAnsi="Times New Roman"/>
                <w:bCs/>
              </w:rPr>
            </w:pPr>
            <w:r w:rsidRPr="00825E5B">
              <w:rPr>
                <w:rFonts w:ascii="Times New Roman" w:hAnsi="Times New Roman"/>
                <w:b/>
              </w:rPr>
              <w:t>(-) Crean</w:t>
            </w:r>
            <w:r w:rsidR="00367C88">
              <w:rPr>
                <w:rFonts w:ascii="Times New Roman" w:hAnsi="Times New Roman"/>
                <w:b/>
              </w:rPr>
              <w:t>ț</w:t>
            </w:r>
            <w:r w:rsidRPr="00825E5B">
              <w:rPr>
                <w:rFonts w:ascii="Times New Roman" w:hAnsi="Times New Roman"/>
                <w:b/>
              </w:rPr>
              <w:t>e pentru marja de varia</w:t>
            </w:r>
            <w:r w:rsidR="00367C88">
              <w:rPr>
                <w:rFonts w:ascii="Times New Roman" w:hAnsi="Times New Roman"/>
                <w:b/>
              </w:rPr>
              <w:t>ț</w:t>
            </w:r>
            <w:r w:rsidRPr="00825E5B">
              <w:rPr>
                <w:rFonts w:ascii="Times New Roman" w:hAnsi="Times New Roman"/>
                <w:b/>
              </w:rPr>
              <w:t>ie în numerar furnizate în tranzac</w:t>
            </w:r>
            <w:r w:rsidR="00367C88">
              <w:rPr>
                <w:rFonts w:ascii="Times New Roman" w:hAnsi="Times New Roman"/>
                <w:b/>
              </w:rPr>
              <w:t>ț</w:t>
            </w:r>
            <w:r w:rsidRPr="00825E5B">
              <w:rPr>
                <w:rFonts w:ascii="Times New Roman" w:hAnsi="Times New Roman"/>
                <w:b/>
              </w:rPr>
              <w:t>iile cu instrumente financiare derivate</w:t>
            </w:r>
          </w:p>
          <w:p w:rsidR="00AE2798" w:rsidRPr="00825E5B" w:rsidRDefault="00AE2798" w:rsidP="00FE0FF1">
            <w:pPr>
              <w:pStyle w:val="BodyText1"/>
              <w:spacing w:line="240" w:lineRule="auto"/>
              <w:rPr>
                <w:rFonts w:ascii="Times New Roman" w:hAnsi="Times New Roman"/>
                <w:bCs/>
              </w:rPr>
            </w:pPr>
          </w:p>
          <w:p w:rsidR="00AE2798" w:rsidRPr="00825E5B" w:rsidRDefault="006D3F98" w:rsidP="00FE0FF1">
            <w:pPr>
              <w:pStyle w:val="BodyText1"/>
              <w:spacing w:line="240" w:lineRule="auto"/>
              <w:rPr>
                <w:rFonts w:ascii="Times New Roman" w:hAnsi="Times New Roman"/>
                <w:bCs/>
              </w:rPr>
            </w:pPr>
            <w:r w:rsidRPr="00825E5B">
              <w:rPr>
                <w:rFonts w:ascii="Times New Roman" w:hAnsi="Times New Roman"/>
              </w:rPr>
              <w:lastRenderedPageBreak/>
              <w:t>Articolul 429a alineatul (3) al treilea paragraf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Crean</w:t>
            </w:r>
            <w:r w:rsidR="00367C88">
              <w:rPr>
                <w:rFonts w:ascii="Times New Roman" w:hAnsi="Times New Roman"/>
              </w:rPr>
              <w:t>ț</w:t>
            </w:r>
            <w:r w:rsidRPr="00825E5B">
              <w:rPr>
                <w:rFonts w:ascii="Times New Roman" w:hAnsi="Times New Roman"/>
              </w:rPr>
              <w:t>ele pentru marja de varia</w:t>
            </w:r>
            <w:r w:rsidR="00367C88">
              <w:rPr>
                <w:rFonts w:ascii="Times New Roman" w:hAnsi="Times New Roman"/>
              </w:rPr>
              <w:t>ț</w:t>
            </w:r>
            <w:r w:rsidRPr="00825E5B">
              <w:rPr>
                <w:rFonts w:ascii="Times New Roman" w:hAnsi="Times New Roman"/>
              </w:rPr>
              <w:t>ie plătită în numerar contrapăr</w:t>
            </w:r>
            <w:r w:rsidR="00367C88">
              <w:rPr>
                <w:rFonts w:ascii="Times New Roman" w:hAnsi="Times New Roman"/>
              </w:rPr>
              <w:t>ț</w:t>
            </w:r>
            <w:r w:rsidRPr="00825E5B">
              <w:rPr>
                <w:rFonts w:ascii="Times New Roman" w:hAnsi="Times New Roman"/>
              </w:rPr>
              <w:t>ii în tranzac</w:t>
            </w:r>
            <w:r w:rsidR="00367C88">
              <w:rPr>
                <w:rFonts w:ascii="Times New Roman" w:hAnsi="Times New Roman"/>
              </w:rPr>
              <w:t>ț</w:t>
            </w:r>
            <w:r w:rsidRPr="00825E5B">
              <w:rPr>
                <w:rFonts w:ascii="Times New Roman" w:hAnsi="Times New Roman"/>
              </w:rPr>
              <w:t>iile cu instrumente financiare derivate, în cazul în care institu</w:t>
            </w:r>
            <w:r w:rsidR="00367C88">
              <w:rPr>
                <w:rFonts w:ascii="Times New Roman" w:hAnsi="Times New Roman"/>
              </w:rPr>
              <w:t>ț</w:t>
            </w:r>
            <w:r w:rsidRPr="00825E5B">
              <w:rPr>
                <w:rFonts w:ascii="Times New Roman" w:hAnsi="Times New Roman"/>
              </w:rPr>
              <w:t>ia are obliga</w:t>
            </w:r>
            <w:r w:rsidR="00367C88">
              <w:rPr>
                <w:rFonts w:ascii="Times New Roman" w:hAnsi="Times New Roman"/>
              </w:rPr>
              <w:t>ț</w:t>
            </w:r>
            <w:r w:rsidRPr="00825E5B">
              <w:rPr>
                <w:rFonts w:ascii="Times New Roman" w:hAnsi="Times New Roman"/>
              </w:rPr>
              <w:t>ia, în temeiul cadrului contabil aplicabil, să recunoască respectivele crean</w:t>
            </w:r>
            <w:r w:rsidR="00367C88">
              <w:rPr>
                <w:rFonts w:ascii="Times New Roman" w:hAnsi="Times New Roman"/>
              </w:rPr>
              <w:t>ț</w:t>
            </w:r>
            <w:r w:rsidRPr="00825E5B">
              <w:rPr>
                <w:rFonts w:ascii="Times New Roman" w:hAnsi="Times New Roman"/>
              </w:rPr>
              <w:t>e ca active, dacă sunt îndeplinite condi</w:t>
            </w:r>
            <w:r w:rsidR="00367C88">
              <w:rPr>
                <w:rFonts w:ascii="Times New Roman" w:hAnsi="Times New Roman"/>
              </w:rPr>
              <w:t>ț</w:t>
            </w:r>
            <w:r w:rsidRPr="00825E5B">
              <w:rPr>
                <w:rFonts w:ascii="Times New Roman" w:hAnsi="Times New Roman"/>
              </w:rPr>
              <w:t>iile de la articolul 429a alineatul (3) literele (a)-(e)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Cuantumul raportat se include, de asemenea, în celelalte active raportate în {190, 010}.</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Borders>
              <w:bottom w:val="single" w:sz="4" w:space="0" w:color="auto"/>
            </w:tcBorders>
          </w:tcPr>
          <w:p w:rsidR="00AE2798" w:rsidRPr="00825E5B" w:rsidRDefault="00AE2798" w:rsidP="00FE0FF1">
            <w:pPr>
              <w:pStyle w:val="BodyText1"/>
              <w:rPr>
                <w:rFonts w:ascii="Times New Roman" w:hAnsi="Times New Roman"/>
                <w:bCs/>
              </w:rPr>
            </w:pPr>
            <w:r w:rsidRPr="00825E5B">
              <w:rPr>
                <w:rFonts w:ascii="Times New Roman" w:hAnsi="Times New Roman"/>
              </w:rPr>
              <w:lastRenderedPageBreak/>
              <w:t>{220;010}</w:t>
            </w:r>
          </w:p>
        </w:tc>
        <w:tc>
          <w:tcPr>
            <w:tcW w:w="7590" w:type="dxa"/>
            <w:tcBorders>
              <w:bottom w:val="single" w:sz="4" w:space="0" w:color="auto"/>
            </w:tcBorders>
          </w:tcPr>
          <w:p w:rsidR="00AE2798" w:rsidRPr="00825E5B" w:rsidRDefault="00422C76" w:rsidP="00FE0FF1">
            <w:pPr>
              <w:pStyle w:val="BodyText1"/>
              <w:spacing w:line="240" w:lineRule="auto"/>
              <w:rPr>
                <w:rFonts w:ascii="Times New Roman" w:hAnsi="Times New Roman"/>
                <w:bCs/>
              </w:rPr>
            </w:pPr>
            <w:r w:rsidRPr="00825E5B">
              <w:rPr>
                <w:rFonts w:ascii="Times New Roman" w:hAnsi="Times New Roman"/>
                <w:b/>
              </w:rPr>
              <w:t>(-) Segmentul CPC exclus din expunerile aferente tranzac</w:t>
            </w:r>
            <w:r w:rsidR="00367C88">
              <w:rPr>
                <w:rFonts w:ascii="Times New Roman" w:hAnsi="Times New Roman"/>
                <w:b/>
              </w:rPr>
              <w:t>ț</w:t>
            </w:r>
            <w:r w:rsidRPr="00825E5B">
              <w:rPr>
                <w:rFonts w:ascii="Times New Roman" w:hAnsi="Times New Roman"/>
                <w:b/>
              </w:rPr>
              <w:t>iilor în cazul cărora clientul a fost compensat (marjă ini</w:t>
            </w:r>
            <w:r w:rsidR="00367C88">
              <w:rPr>
                <w:rFonts w:ascii="Times New Roman" w:hAnsi="Times New Roman"/>
                <w:b/>
              </w:rPr>
              <w:t>ț</w:t>
            </w:r>
            <w:r w:rsidRPr="00825E5B">
              <w:rPr>
                <w:rFonts w:ascii="Times New Roman" w:hAnsi="Times New Roman"/>
                <w:b/>
              </w:rPr>
              <w:t>ială)</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 alineatul (11)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Partea aferentă marjei ini</w:t>
            </w:r>
            <w:r w:rsidR="00367C88">
              <w:rPr>
                <w:rFonts w:ascii="Times New Roman" w:hAnsi="Times New Roman"/>
              </w:rPr>
              <w:t>ț</w:t>
            </w:r>
            <w:r w:rsidRPr="00825E5B">
              <w:rPr>
                <w:rFonts w:ascii="Times New Roman" w:hAnsi="Times New Roman"/>
              </w:rPr>
              <w:t>iale (furnizate) din expunerile fa</w:t>
            </w:r>
            <w:r w:rsidR="00367C88">
              <w:rPr>
                <w:rFonts w:ascii="Times New Roman" w:hAnsi="Times New Roman"/>
              </w:rPr>
              <w:t>ț</w:t>
            </w:r>
            <w:r w:rsidRPr="00825E5B">
              <w:rPr>
                <w:rFonts w:ascii="Times New Roman" w:hAnsi="Times New Roman"/>
              </w:rPr>
              <w:t>ă de o CPCC excluse din tranzac</w:t>
            </w:r>
            <w:r w:rsidR="00367C88">
              <w:rPr>
                <w:rFonts w:ascii="Times New Roman" w:hAnsi="Times New Roman"/>
              </w:rPr>
              <w:t>ț</w:t>
            </w:r>
            <w:r w:rsidRPr="00825E5B">
              <w:rPr>
                <w:rFonts w:ascii="Times New Roman" w:hAnsi="Times New Roman"/>
              </w:rPr>
              <w:t>iile cu instrumente financiare derivate în cazul cărora clientul a fost compensat, dacă respectivele elemente îndeplinesc condi</w:t>
            </w:r>
            <w:r w:rsidR="00367C88">
              <w:rPr>
                <w:rFonts w:ascii="Times New Roman" w:hAnsi="Times New Roman"/>
              </w:rPr>
              <w:t>ț</w:t>
            </w:r>
            <w:r w:rsidRPr="00825E5B">
              <w:rPr>
                <w:rFonts w:ascii="Times New Roman" w:hAnsi="Times New Roman"/>
              </w:rPr>
              <w:t>iile prevăzute la articolul 306 alineatul (1) litera (c)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Cuantumul raportat se include, de asemenea, în celelalte active raportate în {190, 010}.</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Borders>
              <w:bottom w:val="single" w:sz="4" w:space="0" w:color="auto"/>
            </w:tcBorders>
          </w:tcPr>
          <w:p w:rsidR="00AE2798" w:rsidRPr="00825E5B" w:rsidRDefault="00AE2798" w:rsidP="00FE0FF1">
            <w:pPr>
              <w:pStyle w:val="BodyText1"/>
              <w:rPr>
                <w:rFonts w:ascii="Times New Roman" w:hAnsi="Times New Roman"/>
                <w:bCs/>
              </w:rPr>
            </w:pPr>
            <w:r w:rsidRPr="00825E5B">
              <w:rPr>
                <w:rFonts w:ascii="Times New Roman" w:hAnsi="Times New Roman"/>
              </w:rPr>
              <w:t>{230;010}</w:t>
            </w:r>
          </w:p>
        </w:tc>
        <w:tc>
          <w:tcPr>
            <w:tcW w:w="7590" w:type="dxa"/>
            <w:tcBorders>
              <w:bottom w:val="single" w:sz="4" w:space="0" w:color="auto"/>
            </w:tcBorders>
          </w:tcPr>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b/>
              </w:rPr>
              <w:t>Ajustări pentru tranzac</w:t>
            </w:r>
            <w:r w:rsidR="00367C88">
              <w:rPr>
                <w:rFonts w:ascii="Times New Roman" w:hAnsi="Times New Roman"/>
                <w:b/>
              </w:rPr>
              <w:t>ț</w:t>
            </w:r>
            <w:r w:rsidRPr="00825E5B">
              <w:rPr>
                <w:rFonts w:ascii="Times New Roman" w:hAnsi="Times New Roman"/>
                <w:b/>
              </w:rPr>
              <w:t>iile contabilizate ca vânzări de SFT-uri</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429b alineatul (5)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Valoarea titlurilor date cu împrumut în cadrul unei tranzac</w:t>
            </w:r>
            <w:r w:rsidR="00367C88">
              <w:rPr>
                <w:rFonts w:ascii="Times New Roman" w:hAnsi="Times New Roman"/>
              </w:rPr>
              <w:t>ț</w:t>
            </w:r>
            <w:r w:rsidRPr="00825E5B">
              <w:rPr>
                <w:rFonts w:ascii="Times New Roman" w:hAnsi="Times New Roman"/>
              </w:rPr>
              <w:t>ii de răscumpărare care sunt derecunoscute ca urmare a unei tranzac</w:t>
            </w:r>
            <w:r w:rsidR="00367C88">
              <w:rPr>
                <w:rFonts w:ascii="Times New Roman" w:hAnsi="Times New Roman"/>
              </w:rPr>
              <w:t>ț</w:t>
            </w:r>
            <w:r w:rsidRPr="00825E5B">
              <w:rPr>
                <w:rFonts w:ascii="Times New Roman" w:hAnsi="Times New Roman"/>
              </w:rPr>
              <w:t>ii contabilizate ca vânzare în temeiul cadrului contabil aplicabil.</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Borders>
              <w:bottom w:val="single" w:sz="4" w:space="0" w:color="auto"/>
            </w:tcBorders>
          </w:tcPr>
          <w:p w:rsidR="00AE2798" w:rsidRPr="00825E5B" w:rsidRDefault="00AE2798" w:rsidP="00FE0FF1">
            <w:pPr>
              <w:pStyle w:val="BodyText1"/>
              <w:rPr>
                <w:rFonts w:ascii="Times New Roman" w:hAnsi="Times New Roman"/>
                <w:bCs/>
              </w:rPr>
            </w:pPr>
            <w:r w:rsidRPr="00825E5B">
              <w:rPr>
                <w:rFonts w:ascii="Times New Roman" w:hAnsi="Times New Roman"/>
              </w:rPr>
              <w:t>{240;010}</w:t>
            </w:r>
          </w:p>
        </w:tc>
        <w:tc>
          <w:tcPr>
            <w:tcW w:w="7590" w:type="dxa"/>
            <w:tcBorders>
              <w:bottom w:val="single" w:sz="4" w:space="0" w:color="auto"/>
            </w:tcBorders>
          </w:tcPr>
          <w:p w:rsidR="00AE2798" w:rsidRPr="00825E5B" w:rsidRDefault="00422C76" w:rsidP="00FE0FF1">
            <w:pPr>
              <w:pStyle w:val="BodyText1"/>
              <w:spacing w:line="240" w:lineRule="auto"/>
              <w:rPr>
                <w:rFonts w:ascii="Times New Roman" w:hAnsi="Times New Roman"/>
                <w:bCs/>
              </w:rPr>
            </w:pPr>
            <w:r w:rsidRPr="00825E5B">
              <w:rPr>
                <w:rFonts w:ascii="Times New Roman" w:hAnsi="Times New Roman"/>
                <w:b/>
              </w:rPr>
              <w:t>(-) Active fiduciare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Articolul 429 alineatul (13)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Valoarea activelor fiduciare care îndeplinesc criteriile de derecunoa</w:t>
            </w:r>
            <w:r w:rsidR="00367C88">
              <w:rPr>
                <w:rFonts w:ascii="Times New Roman" w:hAnsi="Times New Roman"/>
              </w:rPr>
              <w:t>ș</w:t>
            </w:r>
            <w:r w:rsidRPr="00825E5B">
              <w:rPr>
                <w:rFonts w:ascii="Times New Roman" w:hAnsi="Times New Roman"/>
              </w:rPr>
              <w:t xml:space="preserve">tere din IAS 39 </w:t>
            </w:r>
            <w:r w:rsidR="00367C88">
              <w:rPr>
                <w:rFonts w:ascii="Times New Roman" w:hAnsi="Times New Roman"/>
              </w:rPr>
              <w:t>ș</w:t>
            </w:r>
            <w:r w:rsidRPr="00825E5B">
              <w:rPr>
                <w:rFonts w:ascii="Times New Roman" w:hAnsi="Times New Roman"/>
              </w:rPr>
              <w:t>i, când este cazul, criteriile de deconsolidare din IFRS 10, în conformitate cu articolul 429 alineatul (13) din CRR, presupunând că nu există efecte ale compensării contabile sau alte efecte ale CRM (cu alte cuvinte, se reiau eventualele efecte ale compensării contabile sau ale CRM care s-au răsfrânt asupra valorii contabile).</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Cuantumul raportat se include, de asemenea, în celelalte active raportate în {190, 010}.</w:t>
            </w:r>
          </w:p>
          <w:p w:rsidR="00AE2798" w:rsidRPr="00825E5B" w:rsidRDefault="00AE2798" w:rsidP="00FE0FF1">
            <w:pPr>
              <w:pStyle w:val="BodyText1"/>
              <w:spacing w:line="240" w:lineRule="auto"/>
              <w:rPr>
                <w:rFonts w:ascii="Times New Roman" w:hAnsi="Times New Roman"/>
                <w:bCs/>
              </w:rPr>
            </w:pPr>
          </w:p>
        </w:tc>
      </w:tr>
      <w:tr w:rsidR="00AE2798" w:rsidRPr="00825E5B" w:rsidTr="00FE0FF1">
        <w:trPr>
          <w:trHeight w:val="304"/>
        </w:trPr>
        <w:tc>
          <w:tcPr>
            <w:tcW w:w="1418" w:type="dxa"/>
            <w:tcBorders>
              <w:bottom w:val="single" w:sz="4" w:space="0" w:color="auto"/>
            </w:tcBorders>
          </w:tcPr>
          <w:p w:rsidR="00AE2798" w:rsidRPr="00825E5B" w:rsidRDefault="00AE2798" w:rsidP="00FE0FF1">
            <w:pPr>
              <w:pStyle w:val="BodyText1"/>
              <w:rPr>
                <w:rFonts w:ascii="Times New Roman" w:hAnsi="Times New Roman"/>
                <w:bCs/>
              </w:rPr>
            </w:pPr>
            <w:r w:rsidRPr="00825E5B">
              <w:rPr>
                <w:rFonts w:ascii="Times New Roman" w:hAnsi="Times New Roman"/>
              </w:rPr>
              <w:t>{250;010}</w:t>
            </w:r>
          </w:p>
        </w:tc>
        <w:tc>
          <w:tcPr>
            <w:tcW w:w="7590" w:type="dxa"/>
            <w:tcBorders>
              <w:bottom w:val="single" w:sz="4" w:space="0" w:color="auto"/>
            </w:tcBorders>
          </w:tcPr>
          <w:p w:rsidR="00AE2798" w:rsidRPr="00825E5B" w:rsidRDefault="00422C76" w:rsidP="00FE0FF1">
            <w:pPr>
              <w:pStyle w:val="BodyText1"/>
              <w:spacing w:line="240" w:lineRule="auto"/>
              <w:rPr>
                <w:rFonts w:ascii="Times New Roman" w:hAnsi="Times New Roman"/>
                <w:bCs/>
              </w:rPr>
            </w:pPr>
            <w:r w:rsidRPr="00825E5B">
              <w:rPr>
                <w:rFonts w:ascii="Times New Roman" w:hAnsi="Times New Roman"/>
                <w:b/>
              </w:rPr>
              <w:t>(-) Expuneri intragrup (pe bază individuală) excluse în conformitate cu articolul 429 alineatul (7)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Articolul 429 alineatul (7) </w:t>
            </w:r>
            <w:r w:rsidR="00367C88">
              <w:rPr>
                <w:rFonts w:ascii="Times New Roman" w:hAnsi="Times New Roman"/>
              </w:rPr>
              <w:t>ș</w:t>
            </w:r>
            <w:r w:rsidRPr="00825E5B">
              <w:rPr>
                <w:rFonts w:ascii="Times New Roman" w:hAnsi="Times New Roman"/>
              </w:rPr>
              <w:t>i articolul 113 alineatul (6) din CRR</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Expuneri care nu au fost consolidate la nivelul aplicabil de consolidare </w:t>
            </w:r>
            <w:r w:rsidR="00367C88">
              <w:rPr>
                <w:rFonts w:ascii="Times New Roman" w:hAnsi="Times New Roman"/>
              </w:rPr>
              <w:t>ș</w:t>
            </w:r>
            <w:r w:rsidRPr="00825E5B">
              <w:rPr>
                <w:rFonts w:ascii="Times New Roman" w:hAnsi="Times New Roman"/>
              </w:rPr>
              <w:t>i care pot beneficia de tratamentul prevăzut la articolul 113 alineatul (6) din CRR, dacă sunt îndeplinite toate condi</w:t>
            </w:r>
            <w:r w:rsidR="00367C88">
              <w:rPr>
                <w:rFonts w:ascii="Times New Roman" w:hAnsi="Times New Roman"/>
              </w:rPr>
              <w:t>ț</w:t>
            </w:r>
            <w:r w:rsidRPr="00825E5B">
              <w:rPr>
                <w:rFonts w:ascii="Times New Roman" w:hAnsi="Times New Roman"/>
              </w:rPr>
              <w:t xml:space="preserve">iile prevăzute la articolul 113 alineatul (6) literele (a)-(e) din CRR </w:t>
            </w:r>
            <w:r w:rsidR="00367C88">
              <w:rPr>
                <w:rFonts w:ascii="Times New Roman" w:hAnsi="Times New Roman"/>
              </w:rPr>
              <w:t>ș</w:t>
            </w:r>
            <w:r w:rsidRPr="00825E5B">
              <w:rPr>
                <w:rFonts w:ascii="Times New Roman" w:hAnsi="Times New Roman"/>
              </w:rPr>
              <w:t>i dacă autorită</w:t>
            </w:r>
            <w:r w:rsidR="00367C88">
              <w:rPr>
                <w:rFonts w:ascii="Times New Roman" w:hAnsi="Times New Roman"/>
              </w:rPr>
              <w:t>ț</w:t>
            </w:r>
            <w:r w:rsidRPr="00825E5B">
              <w:rPr>
                <w:rFonts w:ascii="Times New Roman" w:hAnsi="Times New Roman"/>
              </w:rPr>
              <w:t xml:space="preserve">ile competente </w:t>
            </w:r>
            <w:r w:rsidR="00367C88">
              <w:rPr>
                <w:rFonts w:ascii="Times New Roman" w:hAnsi="Times New Roman"/>
              </w:rPr>
              <w:t>ș</w:t>
            </w:r>
            <w:r w:rsidRPr="00825E5B">
              <w:rPr>
                <w:rFonts w:ascii="Times New Roman" w:hAnsi="Times New Roman"/>
              </w:rPr>
              <w:t>i-au dat aprobarea.</w:t>
            </w:r>
          </w:p>
          <w:p w:rsidR="00AE2798" w:rsidRPr="00825E5B" w:rsidRDefault="00AE2798" w:rsidP="00FE0FF1">
            <w:pPr>
              <w:pStyle w:val="BodyText1"/>
              <w:spacing w:line="240" w:lineRule="auto"/>
              <w:rPr>
                <w:rFonts w:ascii="Times New Roman" w:hAnsi="Times New Roman"/>
                <w:bCs/>
              </w:rPr>
            </w:pPr>
          </w:p>
          <w:p w:rsidR="00AE2798" w:rsidRPr="00825E5B" w:rsidRDefault="00AE2798" w:rsidP="00FE0FF1">
            <w:pPr>
              <w:pStyle w:val="BodyText1"/>
              <w:spacing w:line="240" w:lineRule="auto"/>
              <w:rPr>
                <w:rFonts w:ascii="Times New Roman" w:hAnsi="Times New Roman"/>
                <w:bCs/>
              </w:rPr>
            </w:pPr>
            <w:r w:rsidRPr="00825E5B">
              <w:rPr>
                <w:rFonts w:ascii="Times New Roman" w:hAnsi="Times New Roman"/>
              </w:rPr>
              <w:t xml:space="preserve">Cuantumul raportat se include </w:t>
            </w:r>
            <w:r w:rsidR="00367C88">
              <w:rPr>
                <w:rFonts w:ascii="Times New Roman" w:hAnsi="Times New Roman"/>
              </w:rPr>
              <w:t>ș</w:t>
            </w:r>
            <w:r w:rsidRPr="00825E5B">
              <w:rPr>
                <w:rFonts w:ascii="Times New Roman" w:hAnsi="Times New Roman"/>
              </w:rPr>
              <w:t xml:space="preserve">i în celulele aplicabile de mai sus, ca </w:t>
            </w:r>
            <w:r w:rsidR="00367C88">
              <w:rPr>
                <w:rFonts w:ascii="Times New Roman" w:hAnsi="Times New Roman"/>
              </w:rPr>
              <w:t>ș</w:t>
            </w:r>
            <w:r w:rsidRPr="00825E5B">
              <w:rPr>
                <w:rFonts w:ascii="Times New Roman" w:hAnsi="Times New Roman"/>
              </w:rPr>
              <w:t>i cum nu s-ar fi aplicat nicio excludere.</w:t>
            </w:r>
          </w:p>
          <w:p w:rsidR="00AE2798" w:rsidRPr="00825E5B" w:rsidRDefault="00AE2798" w:rsidP="00FE0FF1">
            <w:pPr>
              <w:pStyle w:val="BodyText1"/>
              <w:spacing w:line="240" w:lineRule="auto"/>
              <w:rPr>
                <w:rFonts w:ascii="Times New Roman" w:hAnsi="Times New Roman"/>
                <w:bCs/>
              </w:rPr>
            </w:pPr>
          </w:p>
        </w:tc>
      </w:tr>
      <w:tr w:rsidR="004A1A27" w:rsidRPr="00825E5B" w:rsidTr="00FE0FF1">
        <w:trPr>
          <w:trHeight w:val="304"/>
        </w:trPr>
        <w:tc>
          <w:tcPr>
            <w:tcW w:w="1418" w:type="dxa"/>
            <w:tcBorders>
              <w:bottom w:val="single" w:sz="4" w:space="0" w:color="auto"/>
            </w:tcBorders>
          </w:tcPr>
          <w:p w:rsidR="004A1A27" w:rsidRPr="00825E5B" w:rsidRDefault="004A1A27" w:rsidP="00FE0FF1">
            <w:pPr>
              <w:pStyle w:val="BodyText1"/>
              <w:rPr>
                <w:rFonts w:ascii="Times New Roman" w:hAnsi="Times New Roman"/>
                <w:bCs/>
              </w:rPr>
            </w:pPr>
            <w:r w:rsidRPr="00825E5B">
              <w:rPr>
                <w:rFonts w:ascii="Times New Roman" w:hAnsi="Times New Roman"/>
              </w:rPr>
              <w:t>{260;010}</w:t>
            </w:r>
          </w:p>
        </w:tc>
        <w:tc>
          <w:tcPr>
            <w:tcW w:w="7590" w:type="dxa"/>
            <w:tcBorders>
              <w:bottom w:val="single" w:sz="4" w:space="0" w:color="auto"/>
            </w:tcBorders>
          </w:tcPr>
          <w:p w:rsidR="004A1A27" w:rsidRPr="00825E5B" w:rsidRDefault="00422C76" w:rsidP="003113EE">
            <w:pPr>
              <w:pStyle w:val="BodyText1"/>
              <w:spacing w:line="240" w:lineRule="auto"/>
              <w:rPr>
                <w:rFonts w:ascii="Times New Roman" w:hAnsi="Times New Roman"/>
                <w:bCs/>
              </w:rPr>
            </w:pPr>
            <w:r w:rsidRPr="00825E5B">
              <w:rPr>
                <w:rFonts w:ascii="Times New Roman" w:hAnsi="Times New Roman"/>
                <w:b/>
              </w:rPr>
              <w:t>(-) Expuneri excluse în conformitate cu articolul 429 alineatul (14) din CRR</w:t>
            </w:r>
          </w:p>
          <w:p w:rsidR="004A1A27" w:rsidRPr="00825E5B" w:rsidRDefault="004A1A27" w:rsidP="003113EE">
            <w:pPr>
              <w:pStyle w:val="BodyText1"/>
              <w:spacing w:line="240" w:lineRule="auto"/>
              <w:rPr>
                <w:rFonts w:ascii="Times New Roman" w:hAnsi="Times New Roman"/>
                <w:bCs/>
              </w:rPr>
            </w:pPr>
          </w:p>
          <w:p w:rsidR="004A1A27" w:rsidRPr="00825E5B" w:rsidRDefault="004A1A27" w:rsidP="003113EE">
            <w:pPr>
              <w:pStyle w:val="BodyText1"/>
              <w:spacing w:line="240" w:lineRule="auto"/>
              <w:rPr>
                <w:rFonts w:ascii="Times New Roman" w:hAnsi="Times New Roman"/>
                <w:bCs/>
              </w:rPr>
            </w:pPr>
            <w:r w:rsidRPr="00825E5B">
              <w:rPr>
                <w:rFonts w:ascii="Times New Roman" w:hAnsi="Times New Roman"/>
              </w:rPr>
              <w:t>Articolul 429 alineatul (14) din CRR</w:t>
            </w:r>
          </w:p>
          <w:p w:rsidR="004A1A27" w:rsidRPr="00825E5B" w:rsidRDefault="004A1A27" w:rsidP="003113EE">
            <w:pPr>
              <w:pStyle w:val="BodyText1"/>
              <w:spacing w:line="240" w:lineRule="auto"/>
              <w:rPr>
                <w:rFonts w:ascii="Times New Roman" w:hAnsi="Times New Roman"/>
                <w:bCs/>
              </w:rPr>
            </w:pPr>
          </w:p>
          <w:p w:rsidR="004A1A27" w:rsidRPr="00825E5B" w:rsidRDefault="004A1A27" w:rsidP="003113EE">
            <w:pPr>
              <w:pStyle w:val="BodyText1"/>
              <w:spacing w:line="240" w:lineRule="auto"/>
              <w:rPr>
                <w:rFonts w:ascii="Times New Roman" w:hAnsi="Times New Roman"/>
                <w:bCs/>
              </w:rPr>
            </w:pPr>
            <w:r w:rsidRPr="00825E5B">
              <w:rPr>
                <w:rFonts w:ascii="Times New Roman" w:hAnsi="Times New Roman"/>
              </w:rPr>
              <w:t xml:space="preserve">Expuneri excluse în conformitate cu articolul 429 alineatul (14) din CRR, dacă sunt </w:t>
            </w:r>
            <w:r w:rsidRPr="00825E5B">
              <w:rPr>
                <w:rFonts w:ascii="Times New Roman" w:hAnsi="Times New Roman"/>
              </w:rPr>
              <w:lastRenderedPageBreak/>
              <w:t>îndeplinite condi</w:t>
            </w:r>
            <w:r w:rsidR="00367C88">
              <w:rPr>
                <w:rFonts w:ascii="Times New Roman" w:hAnsi="Times New Roman"/>
              </w:rPr>
              <w:t>ț</w:t>
            </w:r>
            <w:r w:rsidRPr="00825E5B">
              <w:rPr>
                <w:rFonts w:ascii="Times New Roman" w:hAnsi="Times New Roman"/>
              </w:rPr>
              <w:t>iile prevăzute la articolul men</w:t>
            </w:r>
            <w:r w:rsidR="00367C88">
              <w:rPr>
                <w:rFonts w:ascii="Times New Roman" w:hAnsi="Times New Roman"/>
              </w:rPr>
              <w:t>ț</w:t>
            </w:r>
            <w:r w:rsidRPr="00825E5B">
              <w:rPr>
                <w:rFonts w:ascii="Times New Roman" w:hAnsi="Times New Roman"/>
              </w:rPr>
              <w:t xml:space="preserve">ionat </w:t>
            </w:r>
            <w:r w:rsidR="00367C88">
              <w:rPr>
                <w:rFonts w:ascii="Times New Roman" w:hAnsi="Times New Roman"/>
              </w:rPr>
              <w:t>ș</w:t>
            </w:r>
            <w:r w:rsidRPr="00825E5B">
              <w:rPr>
                <w:rFonts w:ascii="Times New Roman" w:hAnsi="Times New Roman"/>
              </w:rPr>
              <w:t>i dacă autorită</w:t>
            </w:r>
            <w:r w:rsidR="00367C88">
              <w:rPr>
                <w:rFonts w:ascii="Times New Roman" w:hAnsi="Times New Roman"/>
              </w:rPr>
              <w:t>ț</w:t>
            </w:r>
            <w:r w:rsidRPr="00825E5B">
              <w:rPr>
                <w:rFonts w:ascii="Times New Roman" w:hAnsi="Times New Roman"/>
              </w:rPr>
              <w:t xml:space="preserve">ile competente </w:t>
            </w:r>
            <w:r w:rsidR="00367C88">
              <w:rPr>
                <w:rFonts w:ascii="Times New Roman" w:hAnsi="Times New Roman"/>
              </w:rPr>
              <w:t>ș</w:t>
            </w:r>
            <w:r w:rsidRPr="00825E5B">
              <w:rPr>
                <w:rFonts w:ascii="Times New Roman" w:hAnsi="Times New Roman"/>
              </w:rPr>
              <w:t>i-au dat aprobarea.</w:t>
            </w:r>
          </w:p>
          <w:p w:rsidR="004A1A27" w:rsidRPr="00825E5B" w:rsidRDefault="004A1A27" w:rsidP="003113EE">
            <w:pPr>
              <w:pStyle w:val="BodyText1"/>
              <w:spacing w:line="240" w:lineRule="auto"/>
              <w:rPr>
                <w:rFonts w:ascii="Times New Roman" w:hAnsi="Times New Roman"/>
                <w:bCs/>
              </w:rPr>
            </w:pPr>
          </w:p>
          <w:p w:rsidR="004A1A27" w:rsidRPr="00825E5B" w:rsidRDefault="004A1A27" w:rsidP="003113EE">
            <w:pPr>
              <w:pStyle w:val="BodyText1"/>
              <w:spacing w:line="240" w:lineRule="auto"/>
              <w:rPr>
                <w:rFonts w:ascii="Times New Roman" w:hAnsi="Times New Roman"/>
                <w:bCs/>
              </w:rPr>
            </w:pPr>
            <w:r w:rsidRPr="00825E5B">
              <w:rPr>
                <w:rFonts w:ascii="Times New Roman" w:hAnsi="Times New Roman"/>
              </w:rPr>
              <w:t xml:space="preserve">Cuantumul raportat se include </w:t>
            </w:r>
            <w:r w:rsidR="00367C88">
              <w:rPr>
                <w:rFonts w:ascii="Times New Roman" w:hAnsi="Times New Roman"/>
              </w:rPr>
              <w:t>ș</w:t>
            </w:r>
            <w:r w:rsidRPr="00825E5B">
              <w:rPr>
                <w:rFonts w:ascii="Times New Roman" w:hAnsi="Times New Roman"/>
              </w:rPr>
              <w:t xml:space="preserve">i în celulele aplicabile de mai sus, ca </w:t>
            </w:r>
            <w:r w:rsidR="00367C88">
              <w:rPr>
                <w:rFonts w:ascii="Times New Roman" w:hAnsi="Times New Roman"/>
              </w:rPr>
              <w:t>ș</w:t>
            </w:r>
            <w:r w:rsidRPr="00825E5B">
              <w:rPr>
                <w:rFonts w:ascii="Times New Roman" w:hAnsi="Times New Roman"/>
              </w:rPr>
              <w:t>i cum nu s-ar fi aplicat nicio excludere.</w:t>
            </w:r>
          </w:p>
          <w:p w:rsidR="004A1A27" w:rsidRPr="00825E5B" w:rsidRDefault="004A1A27" w:rsidP="00FE0FF1">
            <w:pPr>
              <w:pStyle w:val="BodyText1"/>
              <w:spacing w:line="240" w:lineRule="auto"/>
              <w:rPr>
                <w:rFonts w:ascii="Times New Roman" w:hAnsi="Times New Roman"/>
                <w:b/>
                <w:bCs/>
              </w:rPr>
            </w:pPr>
          </w:p>
        </w:tc>
      </w:tr>
      <w:tr w:rsidR="009264ED" w:rsidRPr="00825E5B" w:rsidTr="00FE0FF1">
        <w:trPr>
          <w:trHeight w:val="304"/>
        </w:trPr>
        <w:tc>
          <w:tcPr>
            <w:tcW w:w="1418" w:type="dxa"/>
            <w:tcBorders>
              <w:bottom w:val="single" w:sz="4" w:space="0" w:color="auto"/>
            </w:tcBorders>
          </w:tcPr>
          <w:p w:rsidR="009264ED" w:rsidRPr="00825E5B" w:rsidRDefault="009264ED" w:rsidP="009264ED">
            <w:pPr>
              <w:pStyle w:val="BodyText1"/>
              <w:rPr>
                <w:rFonts w:ascii="Times New Roman" w:hAnsi="Times New Roman"/>
                <w:bCs/>
              </w:rPr>
            </w:pPr>
            <w:r w:rsidRPr="00825E5B">
              <w:rPr>
                <w:rFonts w:ascii="Times New Roman" w:hAnsi="Times New Roman"/>
              </w:rPr>
              <w:lastRenderedPageBreak/>
              <w:t>{270;010}</w:t>
            </w:r>
          </w:p>
          <w:p w:rsidR="009264ED" w:rsidRPr="00825E5B" w:rsidRDefault="009264ED" w:rsidP="00FE0FF1">
            <w:pPr>
              <w:pStyle w:val="BodyText1"/>
              <w:rPr>
                <w:rFonts w:ascii="Times New Roman" w:hAnsi="Times New Roman"/>
                <w:bCs/>
              </w:rPr>
            </w:pPr>
          </w:p>
        </w:tc>
        <w:tc>
          <w:tcPr>
            <w:tcW w:w="7590" w:type="dxa"/>
            <w:tcBorders>
              <w:bottom w:val="single" w:sz="4" w:space="0" w:color="auto"/>
            </w:tcBorders>
          </w:tcPr>
          <w:p w:rsidR="009264ED" w:rsidRPr="00825E5B" w:rsidRDefault="009264ED" w:rsidP="009264ED">
            <w:pPr>
              <w:pStyle w:val="BodyText1"/>
              <w:spacing w:line="240" w:lineRule="auto"/>
              <w:rPr>
                <w:rFonts w:ascii="Times New Roman" w:hAnsi="Times New Roman"/>
              </w:rPr>
            </w:pPr>
            <w:r w:rsidRPr="00825E5B">
              <w:rPr>
                <w:rFonts w:ascii="Times New Roman" w:hAnsi="Times New Roman"/>
                <w:b/>
              </w:rPr>
              <w:t>(-) Cuantumul activelor scăzut – din fonduri proprii de nivel 1 – conform defini</w:t>
            </w:r>
            <w:r w:rsidR="00367C88">
              <w:rPr>
                <w:rFonts w:ascii="Times New Roman" w:hAnsi="Times New Roman"/>
                <w:b/>
              </w:rPr>
              <w:t>ț</w:t>
            </w:r>
            <w:r w:rsidRPr="00825E5B">
              <w:rPr>
                <w:rFonts w:ascii="Times New Roman" w:hAnsi="Times New Roman"/>
                <w:b/>
              </w:rPr>
              <w:t>iei introduse integral</w:t>
            </w:r>
          </w:p>
          <w:p w:rsidR="009264ED" w:rsidRPr="00825E5B" w:rsidRDefault="009264ED" w:rsidP="009264ED">
            <w:pPr>
              <w:pStyle w:val="BodyText1"/>
              <w:spacing w:line="240" w:lineRule="auto"/>
              <w:rPr>
                <w:rFonts w:ascii="Times New Roman" w:hAnsi="Times New Roman"/>
              </w:rPr>
            </w:pPr>
          </w:p>
          <w:p w:rsidR="009264ED" w:rsidRPr="00825E5B" w:rsidRDefault="009264ED" w:rsidP="009264ED">
            <w:pPr>
              <w:pStyle w:val="BodyText1"/>
              <w:spacing w:line="240" w:lineRule="auto"/>
              <w:rPr>
                <w:rFonts w:ascii="Times New Roman" w:hAnsi="Times New Roman"/>
              </w:rPr>
            </w:pPr>
            <w:r w:rsidRPr="00825E5B">
              <w:rPr>
                <w:rFonts w:ascii="Times New Roman" w:hAnsi="Times New Roman"/>
              </w:rPr>
              <w:t xml:space="preserve">Articolul 429 alineatul (4) litera (a) </w:t>
            </w:r>
            <w:r w:rsidR="00367C88">
              <w:rPr>
                <w:rFonts w:ascii="Times New Roman" w:hAnsi="Times New Roman"/>
              </w:rPr>
              <w:t>ș</w:t>
            </w:r>
            <w:r w:rsidRPr="00825E5B">
              <w:rPr>
                <w:rFonts w:ascii="Times New Roman" w:hAnsi="Times New Roman"/>
              </w:rPr>
              <w:t>i articolul 499 alineatul (1) litera (a) din CRR</w:t>
            </w:r>
          </w:p>
          <w:p w:rsidR="009264ED" w:rsidRPr="00825E5B" w:rsidRDefault="009264ED" w:rsidP="009264ED">
            <w:pPr>
              <w:pStyle w:val="BodyText1"/>
              <w:spacing w:line="240" w:lineRule="auto"/>
              <w:rPr>
                <w:rFonts w:ascii="Times New Roman" w:hAnsi="Times New Roman"/>
              </w:rPr>
            </w:pPr>
          </w:p>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rPr>
              <w:t xml:space="preserve">Cuprinde toate ajustările care vizează valoarea unui activ </w:t>
            </w:r>
            <w:r w:rsidR="00367C88">
              <w:rPr>
                <w:rFonts w:ascii="Times New Roman" w:hAnsi="Times New Roman"/>
              </w:rPr>
              <w:t>ș</w:t>
            </w:r>
            <w:r w:rsidRPr="00825E5B">
              <w:rPr>
                <w:rFonts w:ascii="Times New Roman" w:hAnsi="Times New Roman"/>
              </w:rPr>
              <w:t>i care sunt prevăzute la:</w:t>
            </w:r>
          </w:p>
          <w:p w:rsidR="009264ED" w:rsidRPr="00825E5B" w:rsidRDefault="00500508" w:rsidP="00500508">
            <w:pPr>
              <w:pStyle w:val="BodyText1"/>
              <w:spacing w:line="240" w:lineRule="auto"/>
              <w:ind w:left="72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 xml:space="preserve">articolele 32-35 din CRR sau </w:t>
            </w:r>
          </w:p>
          <w:p w:rsidR="009264ED" w:rsidRPr="00825E5B" w:rsidRDefault="00500508" w:rsidP="00500508">
            <w:pPr>
              <w:pStyle w:val="BodyText1"/>
              <w:spacing w:line="240" w:lineRule="auto"/>
              <w:ind w:left="72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articolele 36-47 din CRR sau</w:t>
            </w:r>
          </w:p>
          <w:p w:rsidR="009264ED" w:rsidRPr="00825E5B" w:rsidRDefault="00500508" w:rsidP="00500508">
            <w:pPr>
              <w:pStyle w:val="BodyText1"/>
              <w:spacing w:line="240" w:lineRule="auto"/>
              <w:ind w:left="72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articolele 56-60 din CRR,</w:t>
            </w:r>
          </w:p>
          <w:p w:rsidR="006D3F98" w:rsidRPr="00825E5B" w:rsidRDefault="006D3F98" w:rsidP="002573FC">
            <w:pPr>
              <w:pStyle w:val="BodyText1"/>
              <w:spacing w:line="240" w:lineRule="auto"/>
              <w:rPr>
                <w:rFonts w:ascii="Times New Roman" w:hAnsi="Times New Roman"/>
                <w:bCs/>
              </w:rPr>
            </w:pPr>
            <w:r w:rsidRPr="00825E5B">
              <w:rPr>
                <w:rFonts w:ascii="Times New Roman" w:hAnsi="Times New Roman"/>
              </w:rPr>
              <w:t>după caz.</w:t>
            </w:r>
          </w:p>
          <w:p w:rsidR="009264ED" w:rsidRPr="00825E5B" w:rsidRDefault="009264ED" w:rsidP="009264ED">
            <w:pPr>
              <w:pStyle w:val="BodyText1"/>
              <w:spacing w:line="240" w:lineRule="auto"/>
              <w:rPr>
                <w:rFonts w:ascii="Times New Roman" w:hAnsi="Times New Roman"/>
                <w:bCs/>
              </w:rPr>
            </w:pPr>
          </w:p>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w:t>
            </w:r>
            <w:r w:rsidR="00367C88">
              <w:rPr>
                <w:rFonts w:ascii="Times New Roman" w:hAnsi="Times New Roman"/>
              </w:rPr>
              <w:t>ț</w:t>
            </w:r>
            <w:r w:rsidRPr="00825E5B">
              <w:rPr>
                <w:rFonts w:ascii="Times New Roman" w:hAnsi="Times New Roman"/>
              </w:rPr>
              <w:t xml:space="preserve">in seama de exceptările, alternativele </w:t>
            </w:r>
            <w:r w:rsidR="00367C88">
              <w:rPr>
                <w:rFonts w:ascii="Times New Roman" w:hAnsi="Times New Roman"/>
              </w:rPr>
              <w:t>ș</w:t>
            </w:r>
            <w:r w:rsidRPr="00825E5B">
              <w:rPr>
                <w:rFonts w:ascii="Times New Roman" w:hAnsi="Times New Roman"/>
              </w:rPr>
              <w:t xml:space="preserve">i derogările de la astfel de deduceri prevăzute la articolele 48, 49 </w:t>
            </w:r>
            <w:r w:rsidR="00367C88">
              <w:rPr>
                <w:rFonts w:ascii="Times New Roman" w:hAnsi="Times New Roman"/>
              </w:rPr>
              <w:t>ș</w:t>
            </w:r>
            <w:r w:rsidRPr="00825E5B">
              <w:rPr>
                <w:rFonts w:ascii="Times New Roman" w:hAnsi="Times New Roman"/>
              </w:rPr>
              <w:t xml:space="preserve">i 79 din CRR, fără luarea în considerare a derogării prevăzute în partea a zecea titlul I capitolele 1 </w:t>
            </w:r>
            <w:r w:rsidR="00367C88">
              <w:rPr>
                <w:rFonts w:ascii="Times New Roman" w:hAnsi="Times New Roman"/>
              </w:rPr>
              <w:t>ș</w:t>
            </w:r>
            <w:r w:rsidRPr="00825E5B">
              <w:rPr>
                <w:rFonts w:ascii="Times New Roman" w:hAnsi="Times New Roman"/>
              </w:rPr>
              <w:t>i 2 din CRR. Pentru a evita dubla contabilizare, institu</w:t>
            </w:r>
            <w:r w:rsidR="00367C88">
              <w:rPr>
                <w:rFonts w:ascii="Times New Roman" w:hAnsi="Times New Roman"/>
              </w:rPr>
              <w:t>ț</w:t>
            </w:r>
            <w:r w:rsidRPr="00825E5B">
              <w:rPr>
                <w:rFonts w:ascii="Times New Roman" w:hAnsi="Times New Roman"/>
              </w:rPr>
              <w:t xml:space="preserve">iile nu raportează ajustările deja aplicate în temeiul articolului 111 din CRR atunci când calculează valoarea expunerii în {010;010}-{260;010} </w:t>
            </w:r>
            <w:r w:rsidR="00367C88">
              <w:rPr>
                <w:rFonts w:ascii="Times New Roman" w:hAnsi="Times New Roman"/>
              </w:rPr>
              <w:t>ș</w:t>
            </w:r>
            <w:r w:rsidRPr="00825E5B">
              <w:rPr>
                <w:rFonts w:ascii="Times New Roman" w:hAnsi="Times New Roman"/>
              </w:rPr>
              <w:t>i nici ajustările care nu se scad din valoarea unui anumit activ.</w:t>
            </w:r>
          </w:p>
          <w:p w:rsidR="009264ED" w:rsidRPr="00825E5B" w:rsidRDefault="009264ED" w:rsidP="009264ED">
            <w:pPr>
              <w:pStyle w:val="BodyText1"/>
              <w:spacing w:line="240" w:lineRule="auto"/>
              <w:rPr>
                <w:rFonts w:ascii="Times New Roman" w:hAnsi="Times New Roman"/>
                <w:bCs/>
              </w:rPr>
            </w:pPr>
          </w:p>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rPr>
              <w:t xml:space="preserve">întrucât sunt deja deduse din indicatorul de măsurare a capitalului, aceste cuantumuri reduc expunerea pentru calcularea indicatorului efectului de levier </w:t>
            </w:r>
            <w:r w:rsidR="00367C88">
              <w:rPr>
                <w:rFonts w:ascii="Times New Roman" w:hAnsi="Times New Roman"/>
              </w:rPr>
              <w:t>ș</w:t>
            </w:r>
            <w:r w:rsidRPr="00825E5B">
              <w:rPr>
                <w:rFonts w:ascii="Times New Roman" w:hAnsi="Times New Roman"/>
              </w:rPr>
              <w:t>i se raportează ca valoare negativă.</w:t>
            </w:r>
          </w:p>
          <w:p w:rsidR="009264ED" w:rsidRPr="00825E5B" w:rsidRDefault="009264ED" w:rsidP="003113EE">
            <w:pPr>
              <w:pStyle w:val="BodyText1"/>
              <w:spacing w:line="240" w:lineRule="auto"/>
              <w:rPr>
                <w:rFonts w:ascii="Times New Roman" w:hAnsi="Times New Roman"/>
                <w:b/>
                <w:bCs/>
              </w:rPr>
            </w:pPr>
          </w:p>
        </w:tc>
      </w:tr>
      <w:tr w:rsidR="009264ED" w:rsidRPr="00825E5B" w:rsidTr="00FE0FF1">
        <w:trPr>
          <w:trHeight w:val="304"/>
        </w:trPr>
        <w:tc>
          <w:tcPr>
            <w:tcW w:w="1418" w:type="dxa"/>
            <w:tcBorders>
              <w:bottom w:val="single" w:sz="4" w:space="0" w:color="auto"/>
            </w:tcBorders>
          </w:tcPr>
          <w:p w:rsidR="009264ED" w:rsidRPr="00825E5B" w:rsidRDefault="009264ED" w:rsidP="009264ED">
            <w:pPr>
              <w:pStyle w:val="BodyText1"/>
              <w:rPr>
                <w:rFonts w:ascii="Times New Roman" w:hAnsi="Times New Roman"/>
                <w:bCs/>
              </w:rPr>
            </w:pPr>
            <w:r w:rsidRPr="00825E5B">
              <w:rPr>
                <w:rFonts w:ascii="Times New Roman" w:hAnsi="Times New Roman"/>
              </w:rPr>
              <w:t>{280;010}</w:t>
            </w:r>
          </w:p>
          <w:p w:rsidR="009264ED" w:rsidRPr="00825E5B" w:rsidRDefault="009264ED" w:rsidP="00FE0FF1">
            <w:pPr>
              <w:pStyle w:val="BodyText1"/>
              <w:rPr>
                <w:rFonts w:ascii="Times New Roman" w:hAnsi="Times New Roman"/>
                <w:bCs/>
              </w:rPr>
            </w:pPr>
          </w:p>
        </w:tc>
        <w:tc>
          <w:tcPr>
            <w:tcW w:w="7590" w:type="dxa"/>
            <w:tcBorders>
              <w:bottom w:val="single" w:sz="4" w:space="0" w:color="auto"/>
            </w:tcBorders>
          </w:tcPr>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b/>
              </w:rPr>
              <w:t>(-) Cuantumul activelor scăzut – din fonduri proprii de nivel 1 – conform defini</w:t>
            </w:r>
            <w:r w:rsidR="00367C88">
              <w:rPr>
                <w:rFonts w:ascii="Times New Roman" w:hAnsi="Times New Roman"/>
                <w:b/>
              </w:rPr>
              <w:t>ț</w:t>
            </w:r>
            <w:r w:rsidRPr="00825E5B">
              <w:rPr>
                <w:rFonts w:ascii="Times New Roman" w:hAnsi="Times New Roman"/>
                <w:b/>
              </w:rPr>
              <w:t>iei tranzitorii</w:t>
            </w:r>
          </w:p>
          <w:p w:rsidR="009264ED" w:rsidRPr="00825E5B" w:rsidRDefault="009264ED" w:rsidP="009264ED">
            <w:pPr>
              <w:pStyle w:val="BodyText1"/>
              <w:spacing w:line="240" w:lineRule="auto"/>
              <w:rPr>
                <w:rFonts w:ascii="Times New Roman" w:hAnsi="Times New Roman"/>
                <w:bCs/>
              </w:rPr>
            </w:pPr>
          </w:p>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rPr>
              <w:t xml:space="preserve">Articolul 429 alineatul (4) litera (a) </w:t>
            </w:r>
            <w:r w:rsidR="00367C88">
              <w:rPr>
                <w:rFonts w:ascii="Times New Roman" w:hAnsi="Times New Roman"/>
              </w:rPr>
              <w:t>ș</w:t>
            </w:r>
            <w:r w:rsidRPr="00825E5B">
              <w:rPr>
                <w:rFonts w:ascii="Times New Roman" w:hAnsi="Times New Roman"/>
              </w:rPr>
              <w:t>i articolul 499 alineatul (1) litera (b) din CRR</w:t>
            </w:r>
          </w:p>
          <w:p w:rsidR="009264ED" w:rsidRPr="00825E5B" w:rsidRDefault="009264ED" w:rsidP="009264ED">
            <w:pPr>
              <w:pStyle w:val="BodyText1"/>
              <w:spacing w:line="240" w:lineRule="auto"/>
              <w:rPr>
                <w:rFonts w:ascii="Times New Roman" w:hAnsi="Times New Roman"/>
                <w:bCs/>
              </w:rPr>
            </w:pPr>
          </w:p>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rPr>
              <w:t xml:space="preserve">Cuprinde toate ajustările care vizează valoarea unui activ </w:t>
            </w:r>
            <w:r w:rsidR="00367C88">
              <w:rPr>
                <w:rFonts w:ascii="Times New Roman" w:hAnsi="Times New Roman"/>
              </w:rPr>
              <w:t>ș</w:t>
            </w:r>
            <w:r w:rsidRPr="00825E5B">
              <w:rPr>
                <w:rFonts w:ascii="Times New Roman" w:hAnsi="Times New Roman"/>
              </w:rPr>
              <w:t>i care sunt prevăzute la:</w:t>
            </w:r>
          </w:p>
          <w:p w:rsidR="009264ED" w:rsidRPr="00825E5B" w:rsidRDefault="00500508" w:rsidP="00500508">
            <w:pPr>
              <w:pStyle w:val="BodyText1"/>
              <w:spacing w:line="240" w:lineRule="auto"/>
              <w:ind w:left="72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 xml:space="preserve">articolele 32-35 din CRR sau </w:t>
            </w:r>
          </w:p>
          <w:p w:rsidR="009264ED" w:rsidRPr="00825E5B" w:rsidRDefault="00500508" w:rsidP="00500508">
            <w:pPr>
              <w:pStyle w:val="BodyText1"/>
              <w:spacing w:line="240" w:lineRule="auto"/>
              <w:ind w:left="72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 xml:space="preserve">articolele 36-47 din CRR sau </w:t>
            </w:r>
          </w:p>
          <w:p w:rsidR="00316050" w:rsidRPr="00825E5B" w:rsidRDefault="00500508" w:rsidP="00500508">
            <w:pPr>
              <w:pStyle w:val="BodyText1"/>
              <w:spacing w:line="240" w:lineRule="auto"/>
              <w:ind w:left="72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articolele 56-60 din CRR,</w:t>
            </w:r>
          </w:p>
          <w:p w:rsidR="009264ED" w:rsidRPr="00825E5B" w:rsidRDefault="00316050" w:rsidP="002573FC">
            <w:pPr>
              <w:pStyle w:val="BodyText1"/>
              <w:spacing w:line="240" w:lineRule="auto"/>
              <w:rPr>
                <w:rFonts w:ascii="Times New Roman" w:hAnsi="Times New Roman"/>
                <w:bCs/>
              </w:rPr>
            </w:pPr>
            <w:r w:rsidRPr="00825E5B">
              <w:rPr>
                <w:rFonts w:ascii="Times New Roman" w:hAnsi="Times New Roman"/>
              </w:rPr>
              <w:t>după caz.</w:t>
            </w:r>
          </w:p>
          <w:p w:rsidR="009264ED" w:rsidRPr="00825E5B" w:rsidRDefault="009264ED" w:rsidP="009264ED">
            <w:pPr>
              <w:pStyle w:val="BodyText1"/>
              <w:spacing w:line="240" w:lineRule="auto"/>
              <w:rPr>
                <w:rFonts w:ascii="Times New Roman" w:hAnsi="Times New Roman"/>
                <w:bCs/>
              </w:rPr>
            </w:pPr>
          </w:p>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w:t>
            </w:r>
            <w:r w:rsidR="00367C88">
              <w:rPr>
                <w:rFonts w:ascii="Times New Roman" w:hAnsi="Times New Roman"/>
              </w:rPr>
              <w:t>ț</w:t>
            </w:r>
            <w:r w:rsidRPr="00825E5B">
              <w:rPr>
                <w:rFonts w:ascii="Times New Roman" w:hAnsi="Times New Roman"/>
              </w:rPr>
              <w:t xml:space="preserve">in seama de exceptările, alternativele </w:t>
            </w:r>
            <w:r w:rsidR="00367C88">
              <w:rPr>
                <w:rFonts w:ascii="Times New Roman" w:hAnsi="Times New Roman"/>
              </w:rPr>
              <w:t>ș</w:t>
            </w:r>
            <w:r w:rsidRPr="00825E5B">
              <w:rPr>
                <w:rFonts w:ascii="Times New Roman" w:hAnsi="Times New Roman"/>
              </w:rPr>
              <w:t xml:space="preserve">i derogările de la astfel de deduceri prevăzute la articolele 48, 49 </w:t>
            </w:r>
            <w:r w:rsidR="00367C88">
              <w:rPr>
                <w:rFonts w:ascii="Times New Roman" w:hAnsi="Times New Roman"/>
              </w:rPr>
              <w:t>ș</w:t>
            </w:r>
            <w:r w:rsidRPr="00825E5B">
              <w:rPr>
                <w:rFonts w:ascii="Times New Roman" w:hAnsi="Times New Roman"/>
              </w:rPr>
              <w:t xml:space="preserve">i 79 din CRR, pe lângă derogările prevăzute în partea a zecea titlul I capitolele 1 </w:t>
            </w:r>
            <w:r w:rsidR="00367C88">
              <w:rPr>
                <w:rFonts w:ascii="Times New Roman" w:hAnsi="Times New Roman"/>
              </w:rPr>
              <w:t>ș</w:t>
            </w:r>
            <w:r w:rsidRPr="00825E5B">
              <w:rPr>
                <w:rFonts w:ascii="Times New Roman" w:hAnsi="Times New Roman"/>
              </w:rPr>
              <w:t>i 2 din CRR. Pentru a evita dubla contabilizare, institu</w:t>
            </w:r>
            <w:r w:rsidR="00367C88">
              <w:rPr>
                <w:rFonts w:ascii="Times New Roman" w:hAnsi="Times New Roman"/>
              </w:rPr>
              <w:t>ț</w:t>
            </w:r>
            <w:r w:rsidRPr="00825E5B">
              <w:rPr>
                <w:rFonts w:ascii="Times New Roman" w:hAnsi="Times New Roman"/>
              </w:rPr>
              <w:t xml:space="preserve">iile nu raportează ajustările deja aplicate în temeiul articolului 111 din CRR atunci când calculează valoarea expunerii în {010;010}-{260;010} </w:t>
            </w:r>
            <w:r w:rsidR="00367C88">
              <w:rPr>
                <w:rFonts w:ascii="Times New Roman" w:hAnsi="Times New Roman"/>
              </w:rPr>
              <w:t>ș</w:t>
            </w:r>
            <w:r w:rsidRPr="00825E5B">
              <w:rPr>
                <w:rFonts w:ascii="Times New Roman" w:hAnsi="Times New Roman"/>
              </w:rPr>
              <w:t>i nici ajustările care nu se scad din valoarea unui anumit activ.</w:t>
            </w:r>
          </w:p>
          <w:p w:rsidR="009264ED" w:rsidRPr="00825E5B" w:rsidRDefault="009264ED" w:rsidP="009264ED">
            <w:pPr>
              <w:pStyle w:val="BodyText1"/>
              <w:spacing w:line="240" w:lineRule="auto"/>
              <w:rPr>
                <w:rFonts w:ascii="Times New Roman" w:hAnsi="Times New Roman"/>
                <w:bCs/>
              </w:rPr>
            </w:pPr>
          </w:p>
          <w:p w:rsidR="00F2347A" w:rsidRPr="00825E5B" w:rsidRDefault="00F2347A" w:rsidP="00F2347A">
            <w:pPr>
              <w:pStyle w:val="BodyText1"/>
              <w:spacing w:line="240" w:lineRule="auto"/>
              <w:rPr>
                <w:rFonts w:ascii="Times New Roman" w:hAnsi="Times New Roman"/>
                <w:bCs/>
              </w:rPr>
            </w:pPr>
            <w:r w:rsidRPr="00825E5B">
              <w:rPr>
                <w:rFonts w:ascii="Times New Roman" w:hAnsi="Times New Roman"/>
              </w:rPr>
              <w:t xml:space="preserve">întrucât sunt deja deduse din indicatorul de măsurare a capitalului, aceste cuantumuri reduc expunerea pentru calcularea indicatorului efectului de levier </w:t>
            </w:r>
            <w:r w:rsidR="00367C88">
              <w:rPr>
                <w:rFonts w:ascii="Times New Roman" w:hAnsi="Times New Roman"/>
              </w:rPr>
              <w:t>ș</w:t>
            </w:r>
            <w:r w:rsidRPr="00825E5B">
              <w:rPr>
                <w:rFonts w:ascii="Times New Roman" w:hAnsi="Times New Roman"/>
              </w:rPr>
              <w:t>i se raportează ca valoare negativă.</w:t>
            </w:r>
          </w:p>
          <w:p w:rsidR="009264ED" w:rsidRPr="00825E5B" w:rsidRDefault="009264ED" w:rsidP="003113EE">
            <w:pPr>
              <w:pStyle w:val="BodyText1"/>
              <w:spacing w:line="240" w:lineRule="auto"/>
              <w:rPr>
                <w:rFonts w:ascii="Times New Roman" w:hAnsi="Times New Roman"/>
                <w:b/>
                <w:bCs/>
              </w:rPr>
            </w:pPr>
          </w:p>
        </w:tc>
      </w:tr>
      <w:tr w:rsidR="009264ED" w:rsidRPr="00825E5B" w:rsidTr="00FE0FF1">
        <w:trPr>
          <w:trHeight w:val="304"/>
        </w:trPr>
        <w:tc>
          <w:tcPr>
            <w:tcW w:w="1418" w:type="dxa"/>
            <w:tcBorders>
              <w:bottom w:val="single" w:sz="4" w:space="0" w:color="auto"/>
            </w:tcBorders>
          </w:tcPr>
          <w:p w:rsidR="009264ED" w:rsidRPr="00825E5B" w:rsidRDefault="009264ED" w:rsidP="009264ED">
            <w:pPr>
              <w:pStyle w:val="BodyText1"/>
              <w:rPr>
                <w:rFonts w:ascii="Times New Roman" w:hAnsi="Times New Roman"/>
                <w:bCs/>
              </w:rPr>
            </w:pPr>
            <w:r w:rsidRPr="00825E5B">
              <w:rPr>
                <w:rFonts w:ascii="Times New Roman" w:hAnsi="Times New Roman"/>
              </w:rPr>
              <w:t>{290;010}</w:t>
            </w:r>
          </w:p>
          <w:p w:rsidR="009264ED" w:rsidRPr="00825E5B" w:rsidRDefault="009264ED" w:rsidP="009264ED">
            <w:pPr>
              <w:pStyle w:val="BodyText1"/>
              <w:rPr>
                <w:rFonts w:ascii="Times New Roman" w:hAnsi="Times New Roman"/>
                <w:bCs/>
              </w:rPr>
            </w:pPr>
          </w:p>
        </w:tc>
        <w:tc>
          <w:tcPr>
            <w:tcW w:w="7590" w:type="dxa"/>
            <w:tcBorders>
              <w:bottom w:val="single" w:sz="4" w:space="0" w:color="auto"/>
            </w:tcBorders>
          </w:tcPr>
          <w:p w:rsidR="009264ED" w:rsidRPr="00825E5B" w:rsidRDefault="009264ED" w:rsidP="009264ED">
            <w:pPr>
              <w:pStyle w:val="BodyText1"/>
              <w:spacing w:line="240" w:lineRule="auto"/>
              <w:rPr>
                <w:rFonts w:ascii="Times New Roman" w:hAnsi="Times New Roman"/>
                <w:b/>
                <w:bCs/>
              </w:rPr>
            </w:pPr>
            <w:r w:rsidRPr="00825E5B">
              <w:rPr>
                <w:rFonts w:ascii="Times New Roman" w:hAnsi="Times New Roman"/>
                <w:b/>
              </w:rPr>
              <w:t>Totalul expunerii pentru calcularea indicatorului efectului de levier – utilizând o defini</w:t>
            </w:r>
            <w:r w:rsidR="00367C88">
              <w:rPr>
                <w:rFonts w:ascii="Times New Roman" w:hAnsi="Times New Roman"/>
                <w:b/>
              </w:rPr>
              <w:t>ț</w:t>
            </w:r>
            <w:r w:rsidRPr="00825E5B">
              <w:rPr>
                <w:rFonts w:ascii="Times New Roman" w:hAnsi="Times New Roman"/>
                <w:b/>
              </w:rPr>
              <w:t>ie introdusă integral a fondurilor proprii de nivel 1</w:t>
            </w:r>
          </w:p>
          <w:p w:rsidR="009264ED" w:rsidRPr="00825E5B" w:rsidRDefault="009264ED" w:rsidP="009264ED">
            <w:pPr>
              <w:pStyle w:val="BodyText1"/>
              <w:spacing w:line="240" w:lineRule="auto"/>
              <w:rPr>
                <w:rFonts w:ascii="Times New Roman" w:hAnsi="Times New Roman"/>
                <w:bCs/>
              </w:rPr>
            </w:pPr>
          </w:p>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următorul cuantum:</w:t>
            </w:r>
          </w:p>
          <w:p w:rsidR="009264ED" w:rsidRPr="00825E5B" w:rsidRDefault="009264ED" w:rsidP="009264ED">
            <w:pPr>
              <w:pStyle w:val="BodyText1"/>
              <w:spacing w:line="240" w:lineRule="auto"/>
              <w:rPr>
                <w:rFonts w:ascii="Times New Roman" w:hAnsi="Times New Roman"/>
                <w:bCs/>
              </w:rPr>
            </w:pPr>
          </w:p>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rPr>
              <w:t xml:space="preserve">{LRCalc;010;010} + {LRCalc;020;010} + {LRCalc;030;010} + {LRCalc;040;010} + {LRCalc;050;010} + {LRCalc;060;010} + {LRCalc;070;010} + {LRCalc;080;010} + {LRCalc;090;010} + {LRCalc;100;010} + {LRCalc;110;010} + {LRCalc;120;010} + {LRCalc;130;010} – {LRCalc;140;010} + {LRCalc;150;010} + {LRCalc;160;010} + </w:t>
            </w:r>
            <w:r w:rsidRPr="00825E5B">
              <w:rPr>
                <w:rFonts w:ascii="Times New Roman" w:hAnsi="Times New Roman"/>
              </w:rPr>
              <w:lastRenderedPageBreak/>
              <w:t>{LRCalc;170;010} + {LRCalc;180;010} + {LRCalc;190;010} + {LRCalc;200;010} + {LRCalc;210;010} + {LRCalc;220;010} + {LRCalc;230;010} + {LRCalc;240;010} + {LRCalc;250;010} + {LRCalc;260;010} + {LRCalc;270;010}.</w:t>
            </w:r>
          </w:p>
          <w:p w:rsidR="009264ED" w:rsidRPr="00825E5B" w:rsidRDefault="009264ED" w:rsidP="009264ED">
            <w:pPr>
              <w:pStyle w:val="BodyText1"/>
              <w:spacing w:line="240" w:lineRule="auto"/>
              <w:rPr>
                <w:rFonts w:ascii="Times New Roman" w:hAnsi="Times New Roman"/>
                <w:b/>
                <w:bCs/>
              </w:rPr>
            </w:pPr>
          </w:p>
        </w:tc>
      </w:tr>
      <w:tr w:rsidR="009264ED" w:rsidRPr="00825E5B" w:rsidTr="00FE0FF1">
        <w:trPr>
          <w:trHeight w:val="304"/>
        </w:trPr>
        <w:tc>
          <w:tcPr>
            <w:tcW w:w="1418" w:type="dxa"/>
            <w:tcBorders>
              <w:bottom w:val="single" w:sz="4" w:space="0" w:color="auto"/>
            </w:tcBorders>
          </w:tcPr>
          <w:p w:rsidR="009264ED" w:rsidRPr="00825E5B" w:rsidRDefault="009264ED" w:rsidP="009264ED">
            <w:pPr>
              <w:pStyle w:val="BodyText1"/>
              <w:rPr>
                <w:rFonts w:ascii="Times New Roman" w:hAnsi="Times New Roman"/>
                <w:bCs/>
              </w:rPr>
            </w:pPr>
            <w:r w:rsidRPr="00825E5B">
              <w:rPr>
                <w:rFonts w:ascii="Times New Roman" w:hAnsi="Times New Roman"/>
              </w:rPr>
              <w:lastRenderedPageBreak/>
              <w:t>{300;010}</w:t>
            </w:r>
          </w:p>
          <w:p w:rsidR="009264ED" w:rsidRPr="00825E5B" w:rsidRDefault="009264ED" w:rsidP="009264ED">
            <w:pPr>
              <w:pStyle w:val="BodyText1"/>
              <w:rPr>
                <w:rFonts w:ascii="Times New Roman" w:hAnsi="Times New Roman"/>
                <w:bCs/>
              </w:rPr>
            </w:pPr>
          </w:p>
        </w:tc>
        <w:tc>
          <w:tcPr>
            <w:tcW w:w="7590" w:type="dxa"/>
            <w:tcBorders>
              <w:bottom w:val="single" w:sz="4" w:space="0" w:color="auto"/>
            </w:tcBorders>
          </w:tcPr>
          <w:p w:rsidR="009264ED" w:rsidRPr="00825E5B" w:rsidRDefault="009264ED" w:rsidP="009264ED">
            <w:pPr>
              <w:pStyle w:val="BodyText1"/>
              <w:spacing w:line="240" w:lineRule="auto"/>
              <w:rPr>
                <w:rFonts w:ascii="Times New Roman" w:hAnsi="Times New Roman"/>
                <w:b/>
                <w:bCs/>
              </w:rPr>
            </w:pPr>
            <w:r w:rsidRPr="00825E5B">
              <w:rPr>
                <w:rFonts w:ascii="Times New Roman" w:hAnsi="Times New Roman"/>
                <w:b/>
              </w:rPr>
              <w:t>Totalul expunerii pentru calcularea indicatorului efectului de levier – utilizând o defini</w:t>
            </w:r>
            <w:r w:rsidR="00367C88">
              <w:rPr>
                <w:rFonts w:ascii="Times New Roman" w:hAnsi="Times New Roman"/>
                <w:b/>
              </w:rPr>
              <w:t>ț</w:t>
            </w:r>
            <w:r w:rsidRPr="00825E5B">
              <w:rPr>
                <w:rFonts w:ascii="Times New Roman" w:hAnsi="Times New Roman"/>
                <w:b/>
              </w:rPr>
              <w:t>ie tranzitorie a fondurilor proprii de nivel 1</w:t>
            </w:r>
          </w:p>
          <w:p w:rsidR="009264ED" w:rsidRPr="00825E5B" w:rsidRDefault="009264ED" w:rsidP="009264ED">
            <w:pPr>
              <w:pStyle w:val="BodyText1"/>
              <w:spacing w:line="240" w:lineRule="auto"/>
              <w:rPr>
                <w:rFonts w:ascii="Times New Roman" w:hAnsi="Times New Roman"/>
                <w:bCs/>
              </w:rPr>
            </w:pPr>
          </w:p>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următorul cuantum:</w:t>
            </w:r>
          </w:p>
          <w:p w:rsidR="009264ED" w:rsidRPr="00825E5B" w:rsidRDefault="009264ED" w:rsidP="009264ED">
            <w:pPr>
              <w:pStyle w:val="BodyText1"/>
              <w:spacing w:line="240" w:lineRule="auto"/>
              <w:rPr>
                <w:rFonts w:ascii="Times New Roman" w:hAnsi="Times New Roman"/>
                <w:bCs/>
              </w:rPr>
            </w:pPr>
          </w:p>
          <w:p w:rsidR="009264ED" w:rsidRPr="00825E5B" w:rsidRDefault="009264ED" w:rsidP="009264ED">
            <w:pPr>
              <w:pStyle w:val="BodyText1"/>
              <w:spacing w:line="240" w:lineRule="auto"/>
              <w:rPr>
                <w:rFonts w:ascii="Times New Roman" w:hAnsi="Times New Roman"/>
                <w:bCs/>
              </w:rPr>
            </w:pPr>
            <w:r w:rsidRPr="00825E5B">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Pr="00825E5B" w:rsidRDefault="009264ED" w:rsidP="009264ED">
            <w:pPr>
              <w:pStyle w:val="BodyText1"/>
              <w:spacing w:line="240" w:lineRule="auto"/>
              <w:rPr>
                <w:rFonts w:ascii="Times New Roman" w:hAnsi="Times New Roman"/>
                <w:b/>
                <w:bCs/>
              </w:rPr>
            </w:pPr>
          </w:p>
        </w:tc>
      </w:tr>
      <w:tr w:rsidR="009264ED" w:rsidRPr="00825E5B" w:rsidTr="00FE0FF1">
        <w:trPr>
          <w:trHeight w:val="304"/>
        </w:trPr>
        <w:tc>
          <w:tcPr>
            <w:tcW w:w="1418" w:type="dxa"/>
            <w:shd w:val="pct25" w:color="auto" w:fill="auto"/>
          </w:tcPr>
          <w:p w:rsidR="009264ED" w:rsidRPr="00825E5B" w:rsidRDefault="009264ED" w:rsidP="00FE0FF1">
            <w:pPr>
              <w:pStyle w:val="BodyText1"/>
              <w:rPr>
                <w:rFonts w:ascii="Times New Roman" w:hAnsi="Times New Roman"/>
                <w:b/>
              </w:rPr>
            </w:pPr>
            <w:r w:rsidRPr="00825E5B">
              <w:rPr>
                <w:rFonts w:ascii="Times New Roman" w:hAnsi="Times New Roman"/>
                <w:b/>
              </w:rPr>
              <w:t xml:space="preserve">Rând </w:t>
            </w:r>
          </w:p>
          <w:p w:rsidR="009264ED" w:rsidRPr="00825E5B" w:rsidRDefault="00367C88" w:rsidP="00FE0FF1">
            <w:pPr>
              <w:pStyle w:val="BodyText1"/>
              <w:rPr>
                <w:rFonts w:ascii="Times New Roman" w:hAnsi="Times New Roman"/>
                <w:b/>
                <w:bCs/>
              </w:rPr>
            </w:pPr>
            <w:r>
              <w:rPr>
                <w:rFonts w:ascii="Times New Roman" w:hAnsi="Times New Roman"/>
                <w:b/>
              </w:rPr>
              <w:t>ș</w:t>
            </w:r>
            <w:r w:rsidR="009264ED" w:rsidRPr="00825E5B">
              <w:rPr>
                <w:rFonts w:ascii="Times New Roman" w:hAnsi="Times New Roman"/>
                <w:b/>
              </w:rPr>
              <w:t>i coloană</w:t>
            </w:r>
          </w:p>
        </w:tc>
        <w:tc>
          <w:tcPr>
            <w:tcW w:w="7590" w:type="dxa"/>
            <w:shd w:val="pct25" w:color="auto" w:fill="auto"/>
          </w:tcPr>
          <w:p w:rsidR="009264ED" w:rsidRPr="00825E5B" w:rsidRDefault="009264ED" w:rsidP="00970A0D">
            <w:pPr>
              <w:pStyle w:val="BodyText1"/>
              <w:spacing w:line="240" w:lineRule="auto"/>
              <w:rPr>
                <w:rFonts w:ascii="Times New Roman" w:hAnsi="Times New Roman"/>
                <w:b/>
                <w:bCs/>
              </w:rPr>
            </w:pPr>
            <w:r w:rsidRPr="00825E5B">
              <w:rPr>
                <w:rFonts w:ascii="Times New Roman" w:hAnsi="Times New Roman"/>
                <w:b/>
              </w:rPr>
              <w:t xml:space="preserve">Fonduri proprii </w:t>
            </w:r>
          </w:p>
        </w:tc>
      </w:tr>
      <w:tr w:rsidR="009264ED" w:rsidRPr="00825E5B" w:rsidTr="00FE0FF1">
        <w:trPr>
          <w:trHeight w:val="304"/>
        </w:trPr>
        <w:tc>
          <w:tcPr>
            <w:tcW w:w="1418" w:type="dxa"/>
          </w:tcPr>
          <w:p w:rsidR="009264ED" w:rsidRPr="00825E5B" w:rsidRDefault="009264ED" w:rsidP="00FE0FF1">
            <w:pPr>
              <w:pStyle w:val="BodyText1"/>
              <w:rPr>
                <w:rFonts w:ascii="Times New Roman" w:hAnsi="Times New Roman"/>
                <w:bCs/>
              </w:rPr>
            </w:pPr>
            <w:r w:rsidRPr="00825E5B">
              <w:rPr>
                <w:rFonts w:ascii="Times New Roman" w:hAnsi="Times New Roman"/>
              </w:rPr>
              <w:t>{310;010}</w:t>
            </w:r>
          </w:p>
          <w:p w:rsidR="009264ED" w:rsidRPr="00825E5B" w:rsidRDefault="009264ED" w:rsidP="00FE0FF1">
            <w:pPr>
              <w:pStyle w:val="BodyText1"/>
              <w:rPr>
                <w:rFonts w:ascii="Times New Roman" w:hAnsi="Times New Roman"/>
                <w:bCs/>
              </w:rPr>
            </w:pPr>
          </w:p>
        </w:tc>
        <w:tc>
          <w:tcPr>
            <w:tcW w:w="7590" w:type="dxa"/>
          </w:tcPr>
          <w:p w:rsidR="009264ED" w:rsidRPr="00825E5B" w:rsidRDefault="009264ED" w:rsidP="00FE0FF1">
            <w:pPr>
              <w:pStyle w:val="BodyText1"/>
              <w:spacing w:line="240" w:lineRule="auto"/>
              <w:rPr>
                <w:rFonts w:ascii="Times New Roman" w:hAnsi="Times New Roman"/>
                <w:bCs/>
              </w:rPr>
            </w:pPr>
            <w:r w:rsidRPr="00825E5B">
              <w:rPr>
                <w:rFonts w:ascii="Times New Roman" w:hAnsi="Times New Roman"/>
                <w:b/>
              </w:rPr>
              <w:t>Fondurile proprii de nivel 1 – conform defini</w:t>
            </w:r>
            <w:r w:rsidR="00367C88">
              <w:rPr>
                <w:rFonts w:ascii="Times New Roman" w:hAnsi="Times New Roman"/>
                <w:b/>
              </w:rPr>
              <w:t>ț</w:t>
            </w:r>
            <w:r w:rsidRPr="00825E5B">
              <w:rPr>
                <w:rFonts w:ascii="Times New Roman" w:hAnsi="Times New Roman"/>
                <w:b/>
              </w:rPr>
              <w:t>iei introduse integral</w:t>
            </w:r>
          </w:p>
          <w:p w:rsidR="009264ED" w:rsidRPr="00825E5B" w:rsidRDefault="009264ED" w:rsidP="00FE0FF1">
            <w:pPr>
              <w:pStyle w:val="BodyText1"/>
              <w:spacing w:line="240" w:lineRule="auto"/>
              <w:rPr>
                <w:rFonts w:ascii="Times New Roman" w:hAnsi="Times New Roman"/>
                <w:bCs/>
              </w:rPr>
            </w:pPr>
          </w:p>
          <w:p w:rsidR="009264ED" w:rsidRPr="00825E5B" w:rsidRDefault="009264ED" w:rsidP="00FE0FF1">
            <w:pPr>
              <w:pStyle w:val="BodyText1"/>
              <w:spacing w:line="240" w:lineRule="auto"/>
              <w:rPr>
                <w:rFonts w:ascii="Times New Roman" w:hAnsi="Times New Roman"/>
                <w:bCs/>
              </w:rPr>
            </w:pPr>
            <w:r w:rsidRPr="00825E5B">
              <w:rPr>
                <w:rFonts w:ascii="Times New Roman" w:hAnsi="Times New Roman"/>
              </w:rPr>
              <w:t xml:space="preserve">Articolul 429 alineatul (3) </w:t>
            </w:r>
            <w:r w:rsidR="00367C88">
              <w:rPr>
                <w:rFonts w:ascii="Times New Roman" w:hAnsi="Times New Roman"/>
              </w:rPr>
              <w:t>ș</w:t>
            </w:r>
            <w:r w:rsidRPr="00825E5B">
              <w:rPr>
                <w:rFonts w:ascii="Times New Roman" w:hAnsi="Times New Roman"/>
              </w:rPr>
              <w:t>i articolul 499 alineatul (1) din CRR</w:t>
            </w:r>
          </w:p>
          <w:p w:rsidR="009264ED" w:rsidRPr="00825E5B" w:rsidRDefault="009264ED" w:rsidP="00FE0FF1">
            <w:pPr>
              <w:pStyle w:val="BodyText1"/>
              <w:spacing w:line="240" w:lineRule="auto"/>
              <w:rPr>
                <w:rFonts w:ascii="Times New Roman" w:hAnsi="Times New Roman"/>
                <w:bCs/>
              </w:rPr>
            </w:pPr>
          </w:p>
          <w:p w:rsidR="009264ED" w:rsidRPr="00825E5B" w:rsidRDefault="009264ED" w:rsidP="00FE0FF1">
            <w:pPr>
              <w:pStyle w:val="BodyText1"/>
              <w:spacing w:line="240" w:lineRule="auto"/>
              <w:rPr>
                <w:rFonts w:ascii="Times New Roman" w:hAnsi="Times New Roman"/>
                <w:bCs/>
              </w:rPr>
            </w:pPr>
            <w:r w:rsidRPr="00825E5B">
              <w:rPr>
                <w:rFonts w:ascii="Times New Roman" w:hAnsi="Times New Roman"/>
              </w:rPr>
              <w:t xml:space="preserve">Cuantumul fondurilor proprii de nivel 1, calculat în conformitate cu articolul 25 din CRR, fără luarea în considerare a derogării prevăzute în partea a zecea titlul I capitolele 1 </w:t>
            </w:r>
            <w:r w:rsidR="00367C88">
              <w:rPr>
                <w:rFonts w:ascii="Times New Roman" w:hAnsi="Times New Roman"/>
              </w:rPr>
              <w:t>ș</w:t>
            </w:r>
            <w:r w:rsidRPr="00825E5B">
              <w:rPr>
                <w:rFonts w:ascii="Times New Roman" w:hAnsi="Times New Roman"/>
              </w:rPr>
              <w:t>i 2 din CRR.</w:t>
            </w:r>
          </w:p>
          <w:p w:rsidR="009264ED" w:rsidRPr="00825E5B" w:rsidRDefault="009264ED" w:rsidP="00FE0FF1">
            <w:pPr>
              <w:pStyle w:val="BodyText1"/>
              <w:spacing w:line="240" w:lineRule="auto"/>
              <w:rPr>
                <w:rFonts w:ascii="Times New Roman" w:hAnsi="Times New Roman"/>
                <w:bCs/>
              </w:rPr>
            </w:pPr>
          </w:p>
        </w:tc>
      </w:tr>
      <w:tr w:rsidR="009264ED" w:rsidRPr="00825E5B" w:rsidTr="00FE0FF1">
        <w:trPr>
          <w:trHeight w:val="304"/>
        </w:trPr>
        <w:tc>
          <w:tcPr>
            <w:tcW w:w="1418" w:type="dxa"/>
          </w:tcPr>
          <w:p w:rsidR="009264ED" w:rsidRPr="00825E5B" w:rsidRDefault="009264ED" w:rsidP="00FE0FF1">
            <w:pPr>
              <w:pStyle w:val="BodyText1"/>
              <w:rPr>
                <w:rFonts w:ascii="Times New Roman" w:hAnsi="Times New Roman"/>
                <w:bCs/>
              </w:rPr>
            </w:pPr>
            <w:r w:rsidRPr="00825E5B">
              <w:rPr>
                <w:rFonts w:ascii="Times New Roman" w:hAnsi="Times New Roman"/>
              </w:rPr>
              <w:t>{320;010}</w:t>
            </w:r>
          </w:p>
          <w:p w:rsidR="009264ED" w:rsidRPr="00825E5B" w:rsidRDefault="009264ED" w:rsidP="00FE0FF1">
            <w:pPr>
              <w:pStyle w:val="BodyText1"/>
              <w:rPr>
                <w:rFonts w:ascii="Times New Roman" w:hAnsi="Times New Roman"/>
                <w:bCs/>
              </w:rPr>
            </w:pPr>
          </w:p>
        </w:tc>
        <w:tc>
          <w:tcPr>
            <w:tcW w:w="7590" w:type="dxa"/>
          </w:tcPr>
          <w:p w:rsidR="009264ED" w:rsidRPr="00825E5B" w:rsidRDefault="009264ED" w:rsidP="00FE0FF1">
            <w:pPr>
              <w:pStyle w:val="BodyText1"/>
              <w:spacing w:line="240" w:lineRule="auto"/>
              <w:rPr>
                <w:rFonts w:ascii="Times New Roman" w:hAnsi="Times New Roman"/>
                <w:b/>
                <w:bCs/>
              </w:rPr>
            </w:pPr>
            <w:r w:rsidRPr="00825E5B">
              <w:rPr>
                <w:rFonts w:ascii="Times New Roman" w:hAnsi="Times New Roman"/>
                <w:b/>
              </w:rPr>
              <w:t>Fondurile proprii de nivel 1 – conform defini</w:t>
            </w:r>
            <w:r w:rsidR="00367C88">
              <w:rPr>
                <w:rFonts w:ascii="Times New Roman" w:hAnsi="Times New Roman"/>
                <w:b/>
              </w:rPr>
              <w:t>ț</w:t>
            </w:r>
            <w:r w:rsidRPr="00825E5B">
              <w:rPr>
                <w:rFonts w:ascii="Times New Roman" w:hAnsi="Times New Roman"/>
                <w:b/>
              </w:rPr>
              <w:t>iei tranzitorii</w:t>
            </w:r>
          </w:p>
          <w:p w:rsidR="009264ED" w:rsidRPr="00825E5B" w:rsidRDefault="009264ED" w:rsidP="00FE0FF1">
            <w:pPr>
              <w:pStyle w:val="BodyText1"/>
              <w:spacing w:line="240" w:lineRule="auto"/>
              <w:rPr>
                <w:rFonts w:ascii="Times New Roman" w:hAnsi="Times New Roman"/>
                <w:bCs/>
              </w:rPr>
            </w:pPr>
          </w:p>
          <w:p w:rsidR="009264ED" w:rsidRPr="00825E5B" w:rsidRDefault="009264ED" w:rsidP="00FE0FF1">
            <w:pPr>
              <w:pStyle w:val="BodyText1"/>
              <w:spacing w:line="240" w:lineRule="auto"/>
              <w:rPr>
                <w:rFonts w:ascii="Times New Roman" w:hAnsi="Times New Roman"/>
                <w:bCs/>
              </w:rPr>
            </w:pPr>
            <w:r w:rsidRPr="00825E5B">
              <w:rPr>
                <w:rFonts w:ascii="Times New Roman" w:hAnsi="Times New Roman"/>
              </w:rPr>
              <w:t xml:space="preserve">Articolul 429 alineatul (3) </w:t>
            </w:r>
            <w:r w:rsidR="00367C88">
              <w:rPr>
                <w:rFonts w:ascii="Times New Roman" w:hAnsi="Times New Roman"/>
              </w:rPr>
              <w:t>ș</w:t>
            </w:r>
            <w:r w:rsidRPr="00825E5B">
              <w:rPr>
                <w:rFonts w:ascii="Times New Roman" w:hAnsi="Times New Roman"/>
              </w:rPr>
              <w:t>i articolul 499 alineatul (1) din CRR</w:t>
            </w:r>
          </w:p>
          <w:p w:rsidR="009264ED" w:rsidRPr="00825E5B" w:rsidRDefault="009264ED" w:rsidP="00FE0FF1">
            <w:pPr>
              <w:pStyle w:val="BodyText1"/>
              <w:spacing w:line="240" w:lineRule="auto"/>
              <w:rPr>
                <w:rFonts w:ascii="Times New Roman" w:hAnsi="Times New Roman"/>
                <w:bCs/>
              </w:rPr>
            </w:pPr>
          </w:p>
          <w:p w:rsidR="009264ED" w:rsidRPr="00825E5B" w:rsidRDefault="009264ED" w:rsidP="00FE0FF1">
            <w:pPr>
              <w:pStyle w:val="BodyText1"/>
              <w:spacing w:line="240" w:lineRule="auto"/>
              <w:rPr>
                <w:rFonts w:ascii="Times New Roman" w:hAnsi="Times New Roman"/>
                <w:bCs/>
              </w:rPr>
            </w:pPr>
            <w:r w:rsidRPr="00825E5B">
              <w:rPr>
                <w:rFonts w:ascii="Times New Roman" w:hAnsi="Times New Roman"/>
              </w:rPr>
              <w:t xml:space="preserve">Cuantumul fondurilor proprii de nivel 1, calculat în conformitate cu articolul 25 din CRR, după luarea în considerare a derogării prevăzute în partea a zecea titlul I capitolele 1 </w:t>
            </w:r>
            <w:r w:rsidR="00367C88">
              <w:rPr>
                <w:rFonts w:ascii="Times New Roman" w:hAnsi="Times New Roman"/>
              </w:rPr>
              <w:t>ș</w:t>
            </w:r>
            <w:r w:rsidRPr="00825E5B">
              <w:rPr>
                <w:rFonts w:ascii="Times New Roman" w:hAnsi="Times New Roman"/>
              </w:rPr>
              <w:t>i 2 din CRR.</w:t>
            </w:r>
          </w:p>
          <w:p w:rsidR="009264ED" w:rsidRPr="00825E5B" w:rsidRDefault="009264ED" w:rsidP="00FE0FF1">
            <w:pPr>
              <w:pStyle w:val="BodyText1"/>
              <w:spacing w:line="240" w:lineRule="auto"/>
              <w:rPr>
                <w:rFonts w:ascii="Times New Roman" w:hAnsi="Times New Roman"/>
                <w:bCs/>
              </w:rPr>
            </w:pPr>
          </w:p>
        </w:tc>
      </w:tr>
      <w:tr w:rsidR="009264ED" w:rsidRPr="00825E5B" w:rsidTr="00FE0FF1">
        <w:trPr>
          <w:trHeight w:val="304"/>
        </w:trPr>
        <w:tc>
          <w:tcPr>
            <w:tcW w:w="1418" w:type="dxa"/>
            <w:shd w:val="clear" w:color="auto" w:fill="A6A6A6" w:themeFill="background1" w:themeFillShade="A6"/>
          </w:tcPr>
          <w:p w:rsidR="009264ED" w:rsidRPr="00825E5B" w:rsidRDefault="009264ED" w:rsidP="00FE0FF1">
            <w:pPr>
              <w:pStyle w:val="BodyText1"/>
              <w:rPr>
                <w:rFonts w:ascii="Times New Roman" w:hAnsi="Times New Roman"/>
                <w:b/>
              </w:rPr>
            </w:pPr>
            <w:r w:rsidRPr="00825E5B">
              <w:rPr>
                <w:rFonts w:ascii="Times New Roman" w:hAnsi="Times New Roman"/>
                <w:b/>
              </w:rPr>
              <w:t xml:space="preserve">Rând </w:t>
            </w:r>
          </w:p>
          <w:p w:rsidR="009264ED" w:rsidRPr="00825E5B" w:rsidRDefault="00367C88" w:rsidP="00FE0FF1">
            <w:pPr>
              <w:pStyle w:val="BodyText1"/>
              <w:rPr>
                <w:rFonts w:ascii="Times New Roman" w:hAnsi="Times New Roman"/>
                <w:b/>
                <w:bCs/>
              </w:rPr>
            </w:pPr>
            <w:r>
              <w:rPr>
                <w:rFonts w:ascii="Times New Roman" w:hAnsi="Times New Roman"/>
                <w:b/>
              </w:rPr>
              <w:t>ș</w:t>
            </w:r>
            <w:r w:rsidR="009264ED" w:rsidRPr="00825E5B">
              <w:rPr>
                <w:rFonts w:ascii="Times New Roman" w:hAnsi="Times New Roman"/>
                <w:b/>
              </w:rPr>
              <w:t>i coloană</w:t>
            </w:r>
          </w:p>
        </w:tc>
        <w:tc>
          <w:tcPr>
            <w:tcW w:w="7590" w:type="dxa"/>
            <w:shd w:val="clear" w:color="auto" w:fill="A6A6A6" w:themeFill="background1" w:themeFillShade="A6"/>
          </w:tcPr>
          <w:p w:rsidR="009264ED" w:rsidRPr="00825E5B" w:rsidRDefault="009264ED" w:rsidP="00FE0FF1">
            <w:pPr>
              <w:pStyle w:val="BodyText1"/>
              <w:spacing w:line="240" w:lineRule="auto"/>
              <w:rPr>
                <w:rFonts w:ascii="Times New Roman" w:hAnsi="Times New Roman"/>
                <w:b/>
                <w:bCs/>
              </w:rPr>
            </w:pPr>
            <w:r w:rsidRPr="00825E5B">
              <w:rPr>
                <w:rFonts w:ascii="Times New Roman" w:hAnsi="Times New Roman"/>
                <w:b/>
              </w:rPr>
              <w:t>Indicatorul efectului de levier</w:t>
            </w:r>
          </w:p>
        </w:tc>
      </w:tr>
      <w:tr w:rsidR="009264ED" w:rsidRPr="00825E5B" w:rsidTr="00FE0FF1">
        <w:trPr>
          <w:trHeight w:val="304"/>
        </w:trPr>
        <w:tc>
          <w:tcPr>
            <w:tcW w:w="1418" w:type="dxa"/>
          </w:tcPr>
          <w:p w:rsidR="009264ED" w:rsidRPr="00825E5B" w:rsidRDefault="009264ED" w:rsidP="00FF01D7">
            <w:pPr>
              <w:pStyle w:val="BodyText1"/>
              <w:rPr>
                <w:rFonts w:ascii="Times New Roman" w:hAnsi="Times New Roman"/>
                <w:bCs/>
              </w:rPr>
            </w:pPr>
            <w:r w:rsidRPr="00825E5B">
              <w:rPr>
                <w:rFonts w:ascii="Times New Roman" w:hAnsi="Times New Roman"/>
              </w:rPr>
              <w:t>{330;010}</w:t>
            </w:r>
          </w:p>
        </w:tc>
        <w:tc>
          <w:tcPr>
            <w:tcW w:w="7590" w:type="dxa"/>
          </w:tcPr>
          <w:p w:rsidR="009264ED" w:rsidRPr="00825E5B" w:rsidRDefault="009264ED" w:rsidP="00FE0FF1">
            <w:pPr>
              <w:pStyle w:val="BodyText1"/>
              <w:spacing w:line="240" w:lineRule="auto"/>
              <w:rPr>
                <w:rFonts w:ascii="Times New Roman" w:hAnsi="Times New Roman"/>
                <w:b/>
                <w:bCs/>
              </w:rPr>
            </w:pPr>
            <w:r w:rsidRPr="00825E5B">
              <w:rPr>
                <w:rFonts w:ascii="Times New Roman" w:hAnsi="Times New Roman"/>
                <w:b/>
              </w:rPr>
              <w:t>Indicatorul efectului de levier – utilizând o defini</w:t>
            </w:r>
            <w:r w:rsidR="00367C88">
              <w:rPr>
                <w:rFonts w:ascii="Times New Roman" w:hAnsi="Times New Roman"/>
                <w:b/>
              </w:rPr>
              <w:t>ț</w:t>
            </w:r>
            <w:r w:rsidRPr="00825E5B">
              <w:rPr>
                <w:rFonts w:ascii="Times New Roman" w:hAnsi="Times New Roman"/>
                <w:b/>
              </w:rPr>
              <w:t>ie introdusă integral a fondurilor proprii de nivel 1</w:t>
            </w:r>
          </w:p>
          <w:p w:rsidR="009264ED" w:rsidRPr="00825E5B" w:rsidRDefault="009264ED" w:rsidP="00FE0FF1">
            <w:pPr>
              <w:pStyle w:val="BodyText1"/>
              <w:spacing w:line="240" w:lineRule="auto"/>
              <w:rPr>
                <w:rFonts w:ascii="Times New Roman" w:hAnsi="Times New Roman"/>
                <w:bCs/>
              </w:rPr>
            </w:pPr>
          </w:p>
          <w:p w:rsidR="009264ED" w:rsidRPr="00825E5B" w:rsidRDefault="009264ED" w:rsidP="00FE0FF1">
            <w:pPr>
              <w:pStyle w:val="BodyText1"/>
              <w:spacing w:line="240" w:lineRule="auto"/>
              <w:rPr>
                <w:rFonts w:ascii="Times New Roman" w:hAnsi="Times New Roman"/>
                <w:bCs/>
              </w:rPr>
            </w:pPr>
            <w:r w:rsidRPr="00825E5B">
              <w:rPr>
                <w:rFonts w:ascii="Times New Roman" w:hAnsi="Times New Roman"/>
              </w:rPr>
              <w:t xml:space="preserve">Articolul 429 alineatul (2) </w:t>
            </w:r>
            <w:r w:rsidR="00367C88">
              <w:rPr>
                <w:rFonts w:ascii="Times New Roman" w:hAnsi="Times New Roman"/>
              </w:rPr>
              <w:t>ș</w:t>
            </w:r>
            <w:r w:rsidRPr="00825E5B">
              <w:rPr>
                <w:rFonts w:ascii="Times New Roman" w:hAnsi="Times New Roman"/>
              </w:rPr>
              <w:t>i articolul 499 alineatul (1) din CRR</w:t>
            </w:r>
          </w:p>
          <w:p w:rsidR="009264ED" w:rsidRPr="00825E5B" w:rsidRDefault="009264ED" w:rsidP="00FE0FF1">
            <w:pPr>
              <w:pStyle w:val="BodyText1"/>
              <w:spacing w:line="240" w:lineRule="auto"/>
              <w:rPr>
                <w:rFonts w:ascii="Times New Roman" w:hAnsi="Times New Roman"/>
                <w:bCs/>
              </w:rPr>
            </w:pPr>
          </w:p>
          <w:p w:rsidR="009264ED" w:rsidRPr="00825E5B" w:rsidRDefault="009264ED" w:rsidP="00FE0FF1">
            <w:pPr>
              <w:pStyle w:val="BodyText1"/>
              <w:spacing w:line="240" w:lineRule="auto"/>
              <w:rPr>
                <w:rFonts w:ascii="Times New Roman" w:hAnsi="Times New Roman"/>
                <w:bCs/>
              </w:rPr>
            </w:pPr>
            <w:r w:rsidRPr="00825E5B">
              <w:rPr>
                <w:rFonts w:ascii="Times New Roman" w:hAnsi="Times New Roman"/>
              </w:rPr>
              <w:t xml:space="preserve">Indicatorul efectului de levier, calculat conform punctului 4 din partea II a prezentei anexe. </w:t>
            </w:r>
          </w:p>
          <w:p w:rsidR="009264ED" w:rsidRPr="00825E5B" w:rsidRDefault="009264ED" w:rsidP="00FE0FF1">
            <w:pPr>
              <w:pStyle w:val="BodyText1"/>
              <w:spacing w:line="240" w:lineRule="auto"/>
              <w:rPr>
                <w:rFonts w:ascii="Times New Roman" w:hAnsi="Times New Roman"/>
                <w:b/>
                <w:bCs/>
              </w:rPr>
            </w:pPr>
          </w:p>
        </w:tc>
      </w:tr>
      <w:tr w:rsidR="009264ED" w:rsidRPr="00825E5B" w:rsidTr="00FE0FF1">
        <w:trPr>
          <w:trHeight w:val="304"/>
        </w:trPr>
        <w:tc>
          <w:tcPr>
            <w:tcW w:w="1418" w:type="dxa"/>
          </w:tcPr>
          <w:p w:rsidR="009264ED" w:rsidRPr="00825E5B" w:rsidRDefault="009264ED" w:rsidP="009264ED">
            <w:pPr>
              <w:pStyle w:val="BodyText1"/>
              <w:rPr>
                <w:rFonts w:ascii="Times New Roman" w:hAnsi="Times New Roman"/>
                <w:bCs/>
              </w:rPr>
            </w:pPr>
            <w:r w:rsidRPr="00825E5B">
              <w:rPr>
                <w:rFonts w:ascii="Times New Roman" w:hAnsi="Times New Roman"/>
              </w:rPr>
              <w:t>{340;010}</w:t>
            </w:r>
          </w:p>
        </w:tc>
        <w:tc>
          <w:tcPr>
            <w:tcW w:w="7590" w:type="dxa"/>
          </w:tcPr>
          <w:p w:rsidR="009264ED" w:rsidRPr="00825E5B" w:rsidRDefault="009264ED" w:rsidP="00FE0FF1">
            <w:pPr>
              <w:pStyle w:val="BodyText1"/>
              <w:spacing w:line="240" w:lineRule="auto"/>
              <w:rPr>
                <w:rFonts w:ascii="Times New Roman" w:hAnsi="Times New Roman"/>
                <w:b/>
                <w:bCs/>
              </w:rPr>
            </w:pPr>
            <w:r w:rsidRPr="00825E5B">
              <w:rPr>
                <w:rFonts w:ascii="Times New Roman" w:hAnsi="Times New Roman"/>
                <w:b/>
              </w:rPr>
              <w:t>Indicatorul efectului de levier – utilizând o defini</w:t>
            </w:r>
            <w:r w:rsidR="00367C88">
              <w:rPr>
                <w:rFonts w:ascii="Times New Roman" w:hAnsi="Times New Roman"/>
                <w:b/>
              </w:rPr>
              <w:t>ț</w:t>
            </w:r>
            <w:r w:rsidRPr="00825E5B">
              <w:rPr>
                <w:rFonts w:ascii="Times New Roman" w:hAnsi="Times New Roman"/>
                <w:b/>
              </w:rPr>
              <w:t>ie tranzitorie a fondurilor proprii de nivel 1</w:t>
            </w:r>
          </w:p>
          <w:p w:rsidR="009264ED" w:rsidRPr="00825E5B" w:rsidRDefault="009264ED" w:rsidP="00FE0FF1">
            <w:pPr>
              <w:pStyle w:val="BodyText1"/>
              <w:spacing w:line="240" w:lineRule="auto"/>
              <w:rPr>
                <w:rFonts w:ascii="Times New Roman" w:hAnsi="Times New Roman"/>
                <w:bCs/>
              </w:rPr>
            </w:pPr>
          </w:p>
          <w:p w:rsidR="009264ED" w:rsidRPr="00825E5B" w:rsidRDefault="009264ED" w:rsidP="00FE0FF1">
            <w:pPr>
              <w:pStyle w:val="BodyText1"/>
              <w:spacing w:line="240" w:lineRule="auto"/>
              <w:rPr>
                <w:rFonts w:ascii="Times New Roman" w:hAnsi="Times New Roman"/>
                <w:bCs/>
              </w:rPr>
            </w:pPr>
            <w:r w:rsidRPr="00825E5B">
              <w:rPr>
                <w:rFonts w:ascii="Times New Roman" w:hAnsi="Times New Roman"/>
              </w:rPr>
              <w:t xml:space="preserve">Articolul 429 alineatul (2) </w:t>
            </w:r>
            <w:r w:rsidR="00367C88">
              <w:rPr>
                <w:rFonts w:ascii="Times New Roman" w:hAnsi="Times New Roman"/>
              </w:rPr>
              <w:t>ș</w:t>
            </w:r>
            <w:r w:rsidRPr="00825E5B">
              <w:rPr>
                <w:rFonts w:ascii="Times New Roman" w:hAnsi="Times New Roman"/>
              </w:rPr>
              <w:t>i articolul 499 alineatul (1) din CRR</w:t>
            </w:r>
          </w:p>
          <w:p w:rsidR="009264ED" w:rsidRPr="00825E5B" w:rsidRDefault="009264ED" w:rsidP="00FE0FF1">
            <w:pPr>
              <w:pStyle w:val="BodyText1"/>
              <w:spacing w:line="240" w:lineRule="auto"/>
              <w:rPr>
                <w:rFonts w:ascii="Times New Roman" w:hAnsi="Times New Roman"/>
                <w:bCs/>
              </w:rPr>
            </w:pPr>
          </w:p>
          <w:p w:rsidR="009264ED" w:rsidRPr="00825E5B" w:rsidRDefault="009264ED" w:rsidP="00FE0FF1">
            <w:pPr>
              <w:pStyle w:val="BodyText1"/>
              <w:spacing w:line="240" w:lineRule="auto"/>
              <w:rPr>
                <w:rFonts w:ascii="Times New Roman" w:hAnsi="Times New Roman"/>
              </w:rPr>
            </w:pPr>
            <w:r w:rsidRPr="00825E5B">
              <w:rPr>
                <w:rFonts w:ascii="Times New Roman" w:hAnsi="Times New Roman"/>
              </w:rPr>
              <w:t>Indicatorul efectului de levier, calculat conform punctului 5 din partea II a prezentei anexe.</w:t>
            </w:r>
          </w:p>
          <w:p w:rsidR="009264ED" w:rsidRPr="00825E5B" w:rsidRDefault="009264ED" w:rsidP="00FE0FF1">
            <w:pPr>
              <w:pStyle w:val="BodyText1"/>
              <w:spacing w:line="240" w:lineRule="auto"/>
              <w:rPr>
                <w:rFonts w:ascii="Times New Roman" w:hAnsi="Times New Roman"/>
                <w:b/>
                <w:bCs/>
              </w:rPr>
            </w:pPr>
          </w:p>
        </w:tc>
      </w:tr>
    </w:tbl>
    <w:p w:rsidR="00AE2798" w:rsidRPr="00825E5B" w:rsidRDefault="00AE2798" w:rsidP="00AE2798">
      <w:pPr>
        <w:pStyle w:val="BodyText1"/>
        <w:rPr>
          <w:rFonts w:ascii="Times New Roman" w:hAnsi="Times New Roman"/>
        </w:rPr>
      </w:pPr>
    </w:p>
    <w:p w:rsidR="00AE2798" w:rsidRPr="00825E5B" w:rsidRDefault="00AE2798" w:rsidP="00F4754B">
      <w:pPr>
        <w:pStyle w:val="BodyText1"/>
        <w:rPr>
          <w:rFonts w:ascii="Times New Roman" w:hAnsi="Times New Roman"/>
        </w:rPr>
      </w:pPr>
    </w:p>
    <w:p w:rsidR="00AE2798" w:rsidRPr="00825E5B" w:rsidRDefault="00AE2798" w:rsidP="00F4754B">
      <w:pPr>
        <w:pStyle w:val="BodyText1"/>
        <w:rPr>
          <w:rFonts w:ascii="Times New Roman" w:hAnsi="Times New Roman"/>
        </w:rPr>
      </w:pPr>
    </w:p>
    <w:p w:rsidR="00700DA6" w:rsidRPr="00825E5B" w:rsidRDefault="00500508" w:rsidP="001A0280">
      <w:pPr>
        <w:pStyle w:val="BodyText1"/>
        <w:pageBreakBefore/>
        <w:ind w:left="357" w:hanging="357"/>
        <w:outlineLvl w:val="1"/>
        <w:rPr>
          <w:rFonts w:ascii="Times New Roman" w:hAnsi="Times New Roman"/>
          <w:b/>
        </w:rPr>
      </w:pPr>
      <w:bookmarkStart w:id="59" w:name="_Toc351048507"/>
      <w:bookmarkStart w:id="60" w:name="_Toc359414286"/>
      <w:bookmarkStart w:id="61" w:name="_Toc423089071"/>
      <w:bookmarkStart w:id="62" w:name="_Toc523995574"/>
      <w:r w:rsidRPr="00825E5B">
        <w:rPr>
          <w:rFonts w:ascii="Times New Roman" w:hAnsi="Times New Roman"/>
          <w:b/>
        </w:rPr>
        <w:lastRenderedPageBreak/>
        <w:t>5.</w:t>
      </w:r>
      <w:r w:rsidRPr="00825E5B">
        <w:tab/>
      </w:r>
      <w:r w:rsidRPr="00825E5B">
        <w:rPr>
          <w:rFonts w:ascii="Times New Roman" w:hAnsi="Times New Roman"/>
          <w:b/>
        </w:rPr>
        <w:t>C 40.00 – Tratamentul alternativ al indicatorului de măsurare a expunerii</w:t>
      </w:r>
      <w:bookmarkEnd w:id="54"/>
      <w:bookmarkEnd w:id="59"/>
      <w:bookmarkEnd w:id="60"/>
      <w:r w:rsidRPr="00825E5B">
        <w:rPr>
          <w:rFonts w:ascii="Times New Roman" w:hAnsi="Times New Roman"/>
          <w:b/>
        </w:rPr>
        <w:t xml:space="preserve"> (LR1)</w:t>
      </w:r>
      <w:bookmarkEnd w:id="61"/>
      <w:bookmarkEnd w:id="62"/>
    </w:p>
    <w:p w:rsidR="006033AB" w:rsidRPr="00825E5B" w:rsidRDefault="006033AB" w:rsidP="006033AB">
      <w:pPr>
        <w:pStyle w:val="BodyText1"/>
        <w:spacing w:line="240" w:lineRule="auto"/>
        <w:ind w:left="720"/>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21.</w:t>
      </w:r>
      <w:r w:rsidRPr="00825E5B">
        <w:tab/>
      </w:r>
      <w:r w:rsidRPr="00825E5B">
        <w:rPr>
          <w:rFonts w:ascii="Times New Roman" w:hAnsi="Times New Roman"/>
        </w:rPr>
        <w:t xml:space="preserve">În acest formular se colectează date privind tratamentul alternativ al instrumentelor financiare derivate, al SFT-urilor </w:t>
      </w:r>
      <w:r w:rsidR="00367C88">
        <w:rPr>
          <w:rFonts w:ascii="Times New Roman" w:hAnsi="Times New Roman"/>
        </w:rPr>
        <w:t>ș</w:t>
      </w:r>
      <w:r w:rsidRPr="00825E5B">
        <w:rPr>
          <w:rFonts w:ascii="Times New Roman" w:hAnsi="Times New Roman"/>
        </w:rPr>
        <w:t>i al elementelor extrabilan</w:t>
      </w:r>
      <w:r w:rsidR="00367C88">
        <w:rPr>
          <w:rFonts w:ascii="Times New Roman" w:hAnsi="Times New Roman"/>
        </w:rPr>
        <w:t>ț</w:t>
      </w:r>
      <w:r w:rsidRPr="00825E5B">
        <w:rPr>
          <w:rFonts w:ascii="Times New Roman" w:hAnsi="Times New Roman"/>
        </w:rPr>
        <w:t xml:space="preserve">iere. </w:t>
      </w:r>
    </w:p>
    <w:p w:rsidR="00FC2664" w:rsidRPr="00825E5B" w:rsidRDefault="00FC2664"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22.</w:t>
      </w:r>
      <w:r w:rsidRPr="00825E5B">
        <w:tab/>
      </w:r>
      <w:r w:rsidRPr="00825E5B">
        <w:rPr>
          <w:rFonts w:ascii="Times New Roman" w:hAnsi="Times New Roman"/>
        </w:rPr>
        <w:t>Institu</w:t>
      </w:r>
      <w:r w:rsidR="00367C88">
        <w:rPr>
          <w:rFonts w:ascii="Times New Roman" w:hAnsi="Times New Roman"/>
        </w:rPr>
        <w:t>ț</w:t>
      </w:r>
      <w:r w:rsidRPr="00825E5B">
        <w:rPr>
          <w:rFonts w:ascii="Times New Roman" w:hAnsi="Times New Roman"/>
        </w:rPr>
        <w:t>iile determină «valorile contabile din bilan</w:t>
      </w:r>
      <w:r w:rsidR="00367C88">
        <w:rPr>
          <w:rFonts w:ascii="Times New Roman" w:hAnsi="Times New Roman"/>
        </w:rPr>
        <w:t>ț</w:t>
      </w:r>
      <w:r w:rsidRPr="00825E5B">
        <w:rPr>
          <w:rFonts w:ascii="Times New Roman" w:hAnsi="Times New Roman"/>
        </w:rPr>
        <w:t>» introduse în LR1 pe baza cadrului contabil aplicabil, definit la articolul 4 alineatul (1) punctul 77 din CRR. «Valoarea contabilă presupunând că nu se recurge la compensare sau la altă tehnică CRM» se referă la valoarea contabilă din bilan</w:t>
      </w:r>
      <w:r w:rsidR="00367C88">
        <w:rPr>
          <w:rFonts w:ascii="Times New Roman" w:hAnsi="Times New Roman"/>
        </w:rPr>
        <w:t>ț</w:t>
      </w:r>
      <w:r w:rsidRPr="00825E5B">
        <w:rPr>
          <w:rFonts w:ascii="Times New Roman" w:hAnsi="Times New Roman"/>
        </w:rPr>
        <w:t xml:space="preserve"> care nu ia în considerare efectele compensării sau ale diminuării riscului. </w:t>
      </w:r>
    </w:p>
    <w:p w:rsidR="005556DC" w:rsidRPr="00825E5B" w:rsidRDefault="005556DC" w:rsidP="00FD2C06">
      <w:pPr>
        <w:pStyle w:val="BodyText1"/>
        <w:spacing w:line="240" w:lineRule="auto"/>
        <w:rPr>
          <w:rFonts w:ascii="Times New Roman" w:hAnsi="Times New Roman"/>
        </w:rPr>
      </w:pPr>
    </w:p>
    <w:p w:rsidR="005556DC"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23.</w:t>
      </w:r>
      <w:r w:rsidRPr="00825E5B">
        <w:tab/>
      </w:r>
      <w:r w:rsidRPr="00825E5B">
        <w:rPr>
          <w:rFonts w:ascii="Times New Roman" w:hAnsi="Times New Roman"/>
        </w:rPr>
        <w:t xml:space="preserve">În afară de {250;120} </w:t>
      </w:r>
      <w:r w:rsidR="00367C88">
        <w:rPr>
          <w:rFonts w:ascii="Times New Roman" w:hAnsi="Times New Roman"/>
        </w:rPr>
        <w:t>ș</w:t>
      </w:r>
      <w:r w:rsidRPr="00825E5B">
        <w:rPr>
          <w:rFonts w:ascii="Times New Roman" w:hAnsi="Times New Roman"/>
        </w:rPr>
        <w:t>i {260;120}, institu</w:t>
      </w:r>
      <w:r w:rsidR="00367C88">
        <w:rPr>
          <w:rFonts w:ascii="Times New Roman" w:hAnsi="Times New Roman"/>
        </w:rPr>
        <w:t>ț</w:t>
      </w:r>
      <w:r w:rsidRPr="00825E5B">
        <w:rPr>
          <w:rFonts w:ascii="Times New Roman" w:hAnsi="Times New Roman"/>
        </w:rPr>
        <w:t xml:space="preserve">iile raportează în LR1 ca </w:t>
      </w:r>
      <w:r w:rsidR="00367C88">
        <w:rPr>
          <w:rFonts w:ascii="Times New Roman" w:hAnsi="Times New Roman"/>
        </w:rPr>
        <w:t>ș</w:t>
      </w:r>
      <w:r w:rsidRPr="00825E5B">
        <w:rPr>
          <w:rFonts w:ascii="Times New Roman" w:hAnsi="Times New Roman"/>
        </w:rPr>
        <w:t>i cum nu s-ar aplica exceptările men</w:t>
      </w:r>
      <w:r w:rsidR="00367C88">
        <w:rPr>
          <w:rFonts w:ascii="Times New Roman" w:hAnsi="Times New Roman"/>
        </w:rPr>
        <w:t>ț</w:t>
      </w:r>
      <w:r w:rsidRPr="00825E5B">
        <w:rPr>
          <w:rFonts w:ascii="Times New Roman" w:hAnsi="Times New Roman"/>
        </w:rPr>
        <w:t xml:space="preserve">ionate în celulele {050;010}, {080;010}, {100;010}, {120;010}, {220;010}, {250;010} </w:t>
      </w:r>
      <w:r w:rsidR="00367C88">
        <w:rPr>
          <w:rFonts w:ascii="Times New Roman" w:hAnsi="Times New Roman"/>
        </w:rPr>
        <w:t>ș</w:t>
      </w:r>
      <w:r w:rsidRPr="00825E5B">
        <w:rPr>
          <w:rFonts w:ascii="Times New Roman" w:hAnsi="Times New Roman"/>
        </w:rPr>
        <w:t>i {260;010} din LRCalc.</w:t>
      </w:r>
    </w:p>
    <w:p w:rsidR="005556DC" w:rsidRPr="00825E5B" w:rsidRDefault="005556DC" w:rsidP="005556DC">
      <w:pPr>
        <w:pStyle w:val="BodyText1"/>
        <w:spacing w:line="240" w:lineRule="auto"/>
        <w:ind w:left="720"/>
        <w:rPr>
          <w:rFonts w:ascii="Times New Roman" w:hAnsi="Times New Roman"/>
        </w:rPr>
      </w:pPr>
    </w:p>
    <w:p w:rsidR="00675587" w:rsidRPr="00825E5B"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825E5B" w:rsidTr="00FC2664">
        <w:tc>
          <w:tcPr>
            <w:tcW w:w="1418" w:type="dxa"/>
            <w:shd w:val="clear" w:color="auto" w:fill="D9D9D9"/>
          </w:tcPr>
          <w:p w:rsidR="00F4754B" w:rsidRPr="00825E5B" w:rsidRDefault="00F4754B" w:rsidP="00F4754B">
            <w:pPr>
              <w:pStyle w:val="BodyText1"/>
              <w:rPr>
                <w:rFonts w:ascii="Times New Roman" w:hAnsi="Times New Roman"/>
                <w:b/>
              </w:rPr>
            </w:pPr>
            <w:r w:rsidRPr="00825E5B">
              <w:rPr>
                <w:rFonts w:ascii="Times New Roman" w:hAnsi="Times New Roman"/>
                <w:b/>
              </w:rPr>
              <w:t xml:space="preserve">Rând </w:t>
            </w:r>
          </w:p>
          <w:p w:rsidR="00F4754B" w:rsidRPr="00825E5B" w:rsidRDefault="00367C88" w:rsidP="00F4754B">
            <w:pPr>
              <w:pStyle w:val="BodyText1"/>
              <w:rPr>
                <w:rFonts w:ascii="Times New Roman" w:hAnsi="Times New Roman"/>
                <w:b/>
              </w:rPr>
            </w:pPr>
            <w:r>
              <w:rPr>
                <w:rFonts w:ascii="Times New Roman" w:hAnsi="Times New Roman"/>
                <w:b/>
              </w:rPr>
              <w:t>ș</w:t>
            </w:r>
            <w:r w:rsidR="00F4754B" w:rsidRPr="00825E5B">
              <w:rPr>
                <w:rFonts w:ascii="Times New Roman" w:hAnsi="Times New Roman"/>
                <w:b/>
              </w:rPr>
              <w:t>i coloană</w:t>
            </w:r>
          </w:p>
        </w:tc>
        <w:tc>
          <w:tcPr>
            <w:tcW w:w="7620" w:type="dxa"/>
            <w:shd w:val="clear" w:color="auto" w:fill="D9D9D9"/>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Referin</w:t>
            </w:r>
            <w:r w:rsidR="00367C88">
              <w:rPr>
                <w:rFonts w:ascii="Times New Roman" w:hAnsi="Times New Roman"/>
                <w:b/>
              </w:rPr>
              <w:t>ț</w:t>
            </w:r>
            <w:r w:rsidRPr="00825E5B">
              <w:rPr>
                <w:rFonts w:ascii="Times New Roman" w:hAnsi="Times New Roman"/>
                <w:b/>
              </w:rPr>
              <w:t xml:space="preserve">e juridice </w:t>
            </w:r>
            <w:r w:rsidR="00367C88">
              <w:rPr>
                <w:rFonts w:ascii="Times New Roman" w:hAnsi="Times New Roman"/>
                <w:b/>
              </w:rPr>
              <w:t>ș</w:t>
            </w:r>
            <w:r w:rsidRPr="00825E5B">
              <w:rPr>
                <w:rFonts w:ascii="Times New Roman" w:hAnsi="Times New Roman"/>
                <w:b/>
              </w:rPr>
              <w:t>i instruc</w:t>
            </w:r>
            <w:r w:rsidR="00367C88">
              <w:rPr>
                <w:rFonts w:ascii="Times New Roman" w:hAnsi="Times New Roman"/>
                <w:b/>
              </w:rPr>
              <w:t>ț</w:t>
            </w:r>
            <w:r w:rsidRPr="00825E5B">
              <w:rPr>
                <w:rFonts w:ascii="Times New Roman" w:hAnsi="Times New Roman"/>
                <w:b/>
              </w:rPr>
              <w:t>iuni</w:t>
            </w: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{010;010}</w:t>
            </w:r>
          </w:p>
        </w:tc>
        <w:tc>
          <w:tcPr>
            <w:tcW w:w="7620" w:type="dxa"/>
          </w:tcPr>
          <w:p w:rsidR="00F4754B" w:rsidRPr="00825E5B" w:rsidRDefault="00F4754B" w:rsidP="007E2A41">
            <w:pPr>
              <w:pStyle w:val="BodyText1"/>
              <w:spacing w:line="240" w:lineRule="auto"/>
              <w:rPr>
                <w:rFonts w:ascii="Times New Roman" w:hAnsi="Times New Roman"/>
                <w:bCs/>
                <w:u w:val="single"/>
              </w:rPr>
            </w:pPr>
            <w:r w:rsidRPr="00825E5B">
              <w:rPr>
                <w:rFonts w:ascii="Times New Roman" w:hAnsi="Times New Roman"/>
                <w:b/>
              </w:rPr>
              <w:t>Instrumente derivate – Valoarea contabilă din bilan</w:t>
            </w:r>
            <w:r w:rsidR="00367C88">
              <w:rPr>
                <w:rFonts w:ascii="Times New Roman" w:hAnsi="Times New Roman"/>
                <w:b/>
              </w:rPr>
              <w:t>ț</w:t>
            </w:r>
          </w:p>
          <w:p w:rsidR="00F4754B" w:rsidRPr="00825E5B" w:rsidRDefault="00F4754B"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{020;010}, {050;010} </w:t>
            </w:r>
            <w:r w:rsidR="00367C88">
              <w:rPr>
                <w:rFonts w:ascii="Times New Roman" w:hAnsi="Times New Roman"/>
              </w:rPr>
              <w:t>ș</w:t>
            </w:r>
            <w:r w:rsidRPr="00825E5B">
              <w:rPr>
                <w:rFonts w:ascii="Times New Roman" w:hAnsi="Times New Roman"/>
              </w:rPr>
              <w:t>i {060;010}.</w:t>
            </w:r>
          </w:p>
          <w:p w:rsidR="000A6437" w:rsidRPr="00825E5B" w:rsidRDefault="000A6437" w:rsidP="007E2A41">
            <w:pPr>
              <w:pStyle w:val="BodyText1"/>
              <w:spacing w:line="240" w:lineRule="auto"/>
              <w:rPr>
                <w:rFonts w:ascii="Times New Roman" w:hAnsi="Times New Roman"/>
                <w:b/>
                <w:bCs/>
                <w:u w:val="single"/>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{010;020}</w:t>
            </w:r>
          </w:p>
        </w:tc>
        <w:tc>
          <w:tcPr>
            <w:tcW w:w="7620" w:type="dxa"/>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Instrumente derivate – Valoarea contabilă presupunând că nu se recurge la compensare sau la altă tehnică CRM</w:t>
            </w:r>
          </w:p>
          <w:p w:rsidR="00F4754B" w:rsidRPr="00825E5B" w:rsidRDefault="00F4754B"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{020;020}, {050;020} </w:t>
            </w:r>
            <w:r w:rsidR="00367C88">
              <w:rPr>
                <w:rFonts w:ascii="Times New Roman" w:hAnsi="Times New Roman"/>
              </w:rPr>
              <w:t>ș</w:t>
            </w:r>
            <w:r w:rsidRPr="00825E5B">
              <w:rPr>
                <w:rFonts w:ascii="Times New Roman" w:hAnsi="Times New Roman"/>
              </w:rPr>
              <w:t>i {060;020}.</w:t>
            </w:r>
          </w:p>
          <w:p w:rsidR="00FF3AC1" w:rsidRPr="00825E5B" w:rsidRDefault="00FF3AC1" w:rsidP="007E2A41">
            <w:pPr>
              <w:pStyle w:val="BodyText1"/>
              <w:spacing w:line="240" w:lineRule="auto"/>
              <w:rPr>
                <w:rFonts w:ascii="Times New Roman" w:hAnsi="Times New Roman"/>
                <w:b/>
                <w:bCs/>
                <w:u w:val="single"/>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{010;050}</w:t>
            </w:r>
          </w:p>
          <w:p w:rsidR="00F4754B" w:rsidRPr="00825E5B" w:rsidRDefault="00F4754B" w:rsidP="00F4754B">
            <w:pPr>
              <w:pStyle w:val="BodyText1"/>
              <w:rPr>
                <w:rFonts w:ascii="Times New Roman" w:hAnsi="Times New Roman"/>
                <w:bCs/>
              </w:rPr>
            </w:pPr>
          </w:p>
        </w:tc>
        <w:tc>
          <w:tcPr>
            <w:tcW w:w="7620" w:type="dxa"/>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Instrumente derivate – Majorare după metoda marcării la pia</w:t>
            </w:r>
            <w:r w:rsidR="00367C88">
              <w:rPr>
                <w:rFonts w:ascii="Times New Roman" w:hAnsi="Times New Roman"/>
                <w:b/>
              </w:rPr>
              <w:t>ț</w:t>
            </w:r>
            <w:r w:rsidRPr="00825E5B">
              <w:rPr>
                <w:rFonts w:ascii="Times New Roman" w:hAnsi="Times New Roman"/>
                <w:b/>
              </w:rPr>
              <w:t>ă (presupunând că nu se recurge la compensare sau la altă tehnică CRM)</w:t>
            </w:r>
          </w:p>
          <w:p w:rsidR="00F4754B" w:rsidRPr="00825E5B" w:rsidRDefault="00F4754B"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{020;050}, {050;050} </w:t>
            </w:r>
            <w:r w:rsidR="00367C88">
              <w:rPr>
                <w:rFonts w:ascii="Times New Roman" w:hAnsi="Times New Roman"/>
              </w:rPr>
              <w:t>ș</w:t>
            </w:r>
            <w:r w:rsidRPr="00825E5B">
              <w:rPr>
                <w:rFonts w:ascii="Times New Roman" w:hAnsi="Times New Roman"/>
              </w:rPr>
              <w:t>i {060;050}.</w:t>
            </w:r>
          </w:p>
          <w:p w:rsidR="00F4754B" w:rsidRPr="00825E5B" w:rsidRDefault="00F4754B" w:rsidP="007E2A41">
            <w:pPr>
              <w:pStyle w:val="BodyText1"/>
              <w:spacing w:line="240" w:lineRule="auto"/>
              <w:rPr>
                <w:rFonts w:ascii="Times New Roman" w:hAnsi="Times New Roman"/>
                <w:b/>
                <w:bCs/>
                <w:u w:val="single"/>
              </w:rPr>
            </w:pPr>
          </w:p>
        </w:tc>
      </w:tr>
      <w:tr w:rsidR="00F4754B" w:rsidRPr="00825E5B" w:rsidTr="00FC2664">
        <w:tc>
          <w:tcPr>
            <w:tcW w:w="1418" w:type="dxa"/>
          </w:tcPr>
          <w:p w:rsidR="00F4754B" w:rsidRPr="00825E5B" w:rsidRDefault="00F4754B" w:rsidP="00F70A83">
            <w:pPr>
              <w:pStyle w:val="BodyText1"/>
              <w:rPr>
                <w:rFonts w:ascii="Times New Roman" w:hAnsi="Times New Roman"/>
                <w:bCs/>
              </w:rPr>
            </w:pPr>
            <w:r w:rsidRPr="00825E5B">
              <w:rPr>
                <w:rFonts w:ascii="Times New Roman" w:hAnsi="Times New Roman"/>
              </w:rPr>
              <w:t>{010;070}</w:t>
            </w:r>
          </w:p>
        </w:tc>
        <w:tc>
          <w:tcPr>
            <w:tcW w:w="7620" w:type="dxa"/>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Instrumente derivate – Cuantumul no</w:t>
            </w:r>
            <w:r w:rsidR="00367C88">
              <w:rPr>
                <w:rFonts w:ascii="Times New Roman" w:hAnsi="Times New Roman"/>
                <w:b/>
              </w:rPr>
              <w:t>ț</w:t>
            </w:r>
            <w:r w:rsidRPr="00825E5B">
              <w:rPr>
                <w:rFonts w:ascii="Times New Roman" w:hAnsi="Times New Roman"/>
                <w:b/>
              </w:rPr>
              <w:t>ional</w:t>
            </w:r>
          </w:p>
          <w:p w:rsidR="00F4754B" w:rsidRPr="00825E5B" w:rsidRDefault="00F4754B"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{020;070}, {050;070} </w:t>
            </w:r>
            <w:r w:rsidR="00367C88">
              <w:rPr>
                <w:rFonts w:ascii="Times New Roman" w:hAnsi="Times New Roman"/>
              </w:rPr>
              <w:t>ș</w:t>
            </w:r>
            <w:r w:rsidRPr="00825E5B">
              <w:rPr>
                <w:rFonts w:ascii="Times New Roman" w:hAnsi="Times New Roman"/>
              </w:rPr>
              <w:t>i {060;070}.</w:t>
            </w:r>
          </w:p>
          <w:p w:rsidR="00F4754B" w:rsidRPr="00825E5B" w:rsidRDefault="00F4754B" w:rsidP="007E2A41">
            <w:pPr>
              <w:pStyle w:val="BodyText1"/>
              <w:spacing w:line="240" w:lineRule="auto"/>
              <w:rPr>
                <w:rFonts w:ascii="Times New Roman" w:hAnsi="Times New Roman"/>
                <w:b/>
                <w:bCs/>
                <w:u w:val="single"/>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{020;010}</w:t>
            </w:r>
          </w:p>
        </w:tc>
        <w:tc>
          <w:tcPr>
            <w:tcW w:w="7620" w:type="dxa"/>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vândută) – Valoarea contabilă din bilan</w:t>
            </w:r>
            <w:r w:rsidR="00367C88">
              <w:rPr>
                <w:rFonts w:ascii="Times New Roman" w:hAnsi="Times New Roman"/>
                <w:b/>
              </w:rPr>
              <w:t>ț</w:t>
            </w:r>
          </w:p>
          <w:p w:rsidR="00F4754B" w:rsidRPr="00825E5B" w:rsidRDefault="00F4754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Articolul 4 alineatul (1) punctul 77 din CRR</w:t>
            </w:r>
          </w:p>
          <w:p w:rsidR="00F4754B" w:rsidRPr="00825E5B" w:rsidRDefault="00F4754B"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instrumentelor financiare derivate de credit, în cazul în care institu</w:t>
            </w:r>
            <w:r w:rsidR="00367C88">
              <w:rPr>
                <w:rFonts w:ascii="Times New Roman" w:hAnsi="Times New Roman"/>
              </w:rPr>
              <w:t>ț</w:t>
            </w:r>
            <w:r w:rsidRPr="00825E5B">
              <w:rPr>
                <w:rFonts w:ascii="Times New Roman" w:hAnsi="Times New Roman"/>
              </w:rPr>
              <w:t>ia vinde protec</w:t>
            </w:r>
            <w:r w:rsidR="00367C88">
              <w:rPr>
                <w:rFonts w:ascii="Times New Roman" w:hAnsi="Times New Roman"/>
              </w:rPr>
              <w:t>ț</w:t>
            </w:r>
            <w:r w:rsidRPr="00825E5B">
              <w:rPr>
                <w:rFonts w:ascii="Times New Roman" w:hAnsi="Times New Roman"/>
              </w:rPr>
              <w:t>ie de credit unei contrapăr</w:t>
            </w:r>
            <w:r w:rsidR="00367C88">
              <w:rPr>
                <w:rFonts w:ascii="Times New Roman" w:hAnsi="Times New Roman"/>
              </w:rPr>
              <w:t>ț</w:t>
            </w:r>
            <w:r w:rsidRPr="00825E5B">
              <w:rPr>
                <w:rFonts w:ascii="Times New Roman" w:hAnsi="Times New Roman"/>
              </w:rPr>
              <w:t xml:space="preserve">i </w:t>
            </w:r>
            <w:r w:rsidR="00367C88">
              <w:rPr>
                <w:rFonts w:ascii="Times New Roman" w:hAnsi="Times New Roman"/>
              </w:rPr>
              <w:t>ș</w:t>
            </w:r>
            <w:r w:rsidRPr="00825E5B">
              <w:rPr>
                <w:rFonts w:ascii="Times New Roman" w:hAnsi="Times New Roman"/>
              </w:rPr>
              <w:t>i contractul este recunoscut în bilan</w:t>
            </w:r>
            <w:r w:rsidR="00367C88">
              <w:rPr>
                <w:rFonts w:ascii="Times New Roman" w:hAnsi="Times New Roman"/>
              </w:rPr>
              <w:t>ț</w:t>
            </w:r>
            <w:r w:rsidRPr="00825E5B">
              <w:rPr>
                <w:rFonts w:ascii="Times New Roman" w:hAnsi="Times New Roman"/>
              </w:rPr>
              <w:t xml:space="preserve"> ca activ.</w:t>
            </w:r>
          </w:p>
          <w:p w:rsidR="00F4754B" w:rsidRPr="00825E5B" w:rsidRDefault="00F4754B" w:rsidP="007E2A41">
            <w:pPr>
              <w:pStyle w:val="BodyText1"/>
              <w:spacing w:line="240" w:lineRule="auto"/>
              <w:rPr>
                <w:rFonts w:ascii="Times New Roman" w:hAnsi="Times New Roman"/>
                <w:b/>
                <w:bCs/>
                <w:u w:val="single"/>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{020;020}</w:t>
            </w:r>
          </w:p>
        </w:tc>
        <w:tc>
          <w:tcPr>
            <w:tcW w:w="7620" w:type="dxa"/>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vândută) – Valoarea contabilă presupunând că nu se recurge la compensare sau la altă tehnică CRM</w:t>
            </w:r>
          </w:p>
          <w:p w:rsidR="00F4754B" w:rsidRPr="00825E5B" w:rsidRDefault="00F4754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Articolul 4 alineatul (1) punctul 77 din CRR</w:t>
            </w:r>
          </w:p>
          <w:p w:rsidR="00F4754B" w:rsidRPr="00825E5B" w:rsidRDefault="00F4754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instrumentelor financiare derivate de credit, în cazul în care institu</w:t>
            </w:r>
            <w:r w:rsidR="00367C88">
              <w:rPr>
                <w:rFonts w:ascii="Times New Roman" w:hAnsi="Times New Roman"/>
              </w:rPr>
              <w:t>ț</w:t>
            </w:r>
            <w:r w:rsidRPr="00825E5B">
              <w:rPr>
                <w:rFonts w:ascii="Times New Roman" w:hAnsi="Times New Roman"/>
              </w:rPr>
              <w:t>ia vinde protec</w:t>
            </w:r>
            <w:r w:rsidR="00367C88">
              <w:rPr>
                <w:rFonts w:ascii="Times New Roman" w:hAnsi="Times New Roman"/>
              </w:rPr>
              <w:t>ț</w:t>
            </w:r>
            <w:r w:rsidRPr="00825E5B">
              <w:rPr>
                <w:rFonts w:ascii="Times New Roman" w:hAnsi="Times New Roman"/>
              </w:rPr>
              <w:t>ie de credit unei contrapăr</w:t>
            </w:r>
            <w:r w:rsidR="00367C88">
              <w:rPr>
                <w:rFonts w:ascii="Times New Roman" w:hAnsi="Times New Roman"/>
              </w:rPr>
              <w:t>ț</w:t>
            </w:r>
            <w:r w:rsidRPr="00825E5B">
              <w:rPr>
                <w:rFonts w:ascii="Times New Roman" w:hAnsi="Times New Roman"/>
              </w:rPr>
              <w:t xml:space="preserve">i </w:t>
            </w:r>
            <w:r w:rsidR="00367C88">
              <w:rPr>
                <w:rFonts w:ascii="Times New Roman" w:hAnsi="Times New Roman"/>
              </w:rPr>
              <w:t>ș</w:t>
            </w:r>
            <w:r w:rsidRPr="00825E5B">
              <w:rPr>
                <w:rFonts w:ascii="Times New Roman" w:hAnsi="Times New Roman"/>
              </w:rPr>
              <w:t>i contractul este recunoscut în bilan</w:t>
            </w:r>
            <w:r w:rsidR="00367C88">
              <w:rPr>
                <w:rFonts w:ascii="Times New Roman" w:hAnsi="Times New Roman"/>
              </w:rPr>
              <w:t>ț</w:t>
            </w:r>
            <w:r w:rsidRPr="00825E5B">
              <w:rPr>
                <w:rFonts w:ascii="Times New Roman" w:hAnsi="Times New Roman"/>
              </w:rPr>
              <w:t xml:space="preserve"> ca activ, presupunând că nu există efecte ale compensării pruden</w:t>
            </w:r>
            <w:r w:rsidR="00367C88">
              <w:rPr>
                <w:rFonts w:ascii="Times New Roman" w:hAnsi="Times New Roman"/>
              </w:rPr>
              <w:t>ț</w:t>
            </w:r>
            <w:r w:rsidRPr="00825E5B">
              <w:rPr>
                <w:rFonts w:ascii="Times New Roman" w:hAnsi="Times New Roman"/>
              </w:rPr>
              <w:t>iale sau contabile ori alte efecte ale CRM (cu alte cuvinte, se reiau eventualele efecte ale compensării contabile sau ale CRM care s-au răsfrânt asupra valorii contabile).</w:t>
            </w:r>
          </w:p>
          <w:p w:rsidR="00F4754B" w:rsidRPr="00825E5B" w:rsidRDefault="00F4754B" w:rsidP="007E2A41">
            <w:pPr>
              <w:pStyle w:val="BodyText1"/>
              <w:spacing w:line="240" w:lineRule="auto"/>
              <w:rPr>
                <w:rFonts w:ascii="Times New Roman" w:hAnsi="Times New Roman"/>
                <w:b/>
                <w:bCs/>
                <w:u w:val="single"/>
              </w:rPr>
            </w:pPr>
          </w:p>
        </w:tc>
      </w:tr>
      <w:tr w:rsidR="00F4754B" w:rsidRPr="00825E5B" w:rsidTr="00FC2664">
        <w:tc>
          <w:tcPr>
            <w:tcW w:w="1418" w:type="dxa"/>
          </w:tcPr>
          <w:p w:rsidR="00F4754B" w:rsidRPr="00825E5B" w:rsidRDefault="00F4754B" w:rsidP="00F70A83">
            <w:pPr>
              <w:pStyle w:val="BodyText1"/>
              <w:rPr>
                <w:rFonts w:ascii="Times New Roman" w:hAnsi="Times New Roman"/>
                <w:bCs/>
              </w:rPr>
            </w:pPr>
            <w:r w:rsidRPr="00825E5B">
              <w:rPr>
                <w:rFonts w:ascii="Times New Roman" w:hAnsi="Times New Roman"/>
              </w:rPr>
              <w:t>{020;050}</w:t>
            </w:r>
          </w:p>
        </w:tc>
        <w:tc>
          <w:tcPr>
            <w:tcW w:w="7620" w:type="dxa"/>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 xml:space="preserve">ie vândută) – Majorare după metoda </w:t>
            </w:r>
            <w:r w:rsidRPr="00825E5B">
              <w:rPr>
                <w:rFonts w:ascii="Times New Roman" w:hAnsi="Times New Roman"/>
                <w:b/>
              </w:rPr>
              <w:lastRenderedPageBreak/>
              <w:t>marcării la pia</w:t>
            </w:r>
            <w:r w:rsidR="00367C88">
              <w:rPr>
                <w:rFonts w:ascii="Times New Roman" w:hAnsi="Times New Roman"/>
                <w:b/>
              </w:rPr>
              <w:t>ț</w:t>
            </w:r>
            <w:r w:rsidRPr="00825E5B">
              <w:rPr>
                <w:rFonts w:ascii="Times New Roman" w:hAnsi="Times New Roman"/>
                <w:b/>
              </w:rPr>
              <w:t>ă (presupunând că nu se recurge la compensare sau la altă tehnică CRM)</w:t>
            </w:r>
          </w:p>
          <w:p w:rsidR="00F4754B" w:rsidRPr="00825E5B" w:rsidRDefault="00F4754B"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{030;050} </w:t>
            </w:r>
            <w:r w:rsidR="00367C88">
              <w:rPr>
                <w:rFonts w:ascii="Times New Roman" w:hAnsi="Times New Roman"/>
              </w:rPr>
              <w:t>ș</w:t>
            </w:r>
            <w:r w:rsidRPr="00825E5B">
              <w:rPr>
                <w:rFonts w:ascii="Times New Roman" w:hAnsi="Times New Roman"/>
              </w:rPr>
              <w:t>i {040;050}.</w:t>
            </w:r>
          </w:p>
          <w:p w:rsidR="00F4754B" w:rsidRPr="00825E5B" w:rsidRDefault="00F4754B" w:rsidP="007E2A41">
            <w:pPr>
              <w:pStyle w:val="BodyText1"/>
              <w:spacing w:line="240" w:lineRule="auto"/>
              <w:rPr>
                <w:rFonts w:ascii="Times New Roman" w:hAnsi="Times New Roman"/>
                <w:b/>
                <w:bCs/>
                <w:u w:val="single"/>
              </w:rPr>
            </w:pPr>
          </w:p>
        </w:tc>
      </w:tr>
      <w:tr w:rsidR="00F4754B" w:rsidRPr="00825E5B" w:rsidTr="00FC2664">
        <w:tc>
          <w:tcPr>
            <w:tcW w:w="1418" w:type="dxa"/>
          </w:tcPr>
          <w:p w:rsidR="00F4754B" w:rsidRPr="00825E5B" w:rsidRDefault="00F4754B" w:rsidP="00F70A83">
            <w:pPr>
              <w:pStyle w:val="BodyText1"/>
              <w:rPr>
                <w:rFonts w:ascii="Times New Roman" w:hAnsi="Times New Roman"/>
                <w:bCs/>
              </w:rPr>
            </w:pPr>
            <w:r w:rsidRPr="00825E5B">
              <w:rPr>
                <w:rFonts w:ascii="Times New Roman" w:hAnsi="Times New Roman"/>
              </w:rPr>
              <w:lastRenderedPageBreak/>
              <w:t>{020;070}</w:t>
            </w:r>
          </w:p>
        </w:tc>
        <w:tc>
          <w:tcPr>
            <w:tcW w:w="7620" w:type="dxa"/>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vândută) – Cuantumul no</w:t>
            </w:r>
            <w:r w:rsidR="00367C88">
              <w:rPr>
                <w:rFonts w:ascii="Times New Roman" w:hAnsi="Times New Roman"/>
                <w:b/>
              </w:rPr>
              <w:t>ț</w:t>
            </w:r>
            <w:r w:rsidRPr="00825E5B">
              <w:rPr>
                <w:rFonts w:ascii="Times New Roman" w:hAnsi="Times New Roman"/>
                <w:b/>
              </w:rPr>
              <w:t>ional</w:t>
            </w:r>
          </w:p>
          <w:p w:rsidR="00F4754B" w:rsidRPr="00825E5B" w:rsidRDefault="00F4754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{030;070} </w:t>
            </w:r>
            <w:r w:rsidR="00367C88">
              <w:rPr>
                <w:rFonts w:ascii="Times New Roman" w:hAnsi="Times New Roman"/>
              </w:rPr>
              <w:t>ș</w:t>
            </w:r>
            <w:r w:rsidRPr="00825E5B">
              <w:rPr>
                <w:rFonts w:ascii="Times New Roman" w:hAnsi="Times New Roman"/>
              </w:rPr>
              <w:t>i {040;070}.</w:t>
            </w:r>
          </w:p>
          <w:p w:rsidR="00F4754B" w:rsidRPr="00825E5B" w:rsidRDefault="00F4754B"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1081">
            <w:pPr>
              <w:pStyle w:val="BodyText1"/>
              <w:rPr>
                <w:rFonts w:ascii="Times New Roman" w:hAnsi="Times New Roman"/>
                <w:bCs/>
              </w:rPr>
            </w:pPr>
            <w:r w:rsidRPr="00825E5B">
              <w:rPr>
                <w:rFonts w:ascii="Times New Roman" w:hAnsi="Times New Roman"/>
              </w:rPr>
              <w:t>{020;075}</w:t>
            </w:r>
          </w:p>
        </w:tc>
        <w:tc>
          <w:tcPr>
            <w:tcW w:w="7620" w:type="dxa"/>
          </w:tcPr>
          <w:p w:rsidR="00410E47" w:rsidRPr="00825E5B" w:rsidRDefault="00410E47" w:rsidP="006B5E42">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vândută) – Cuantumul no</w:t>
            </w:r>
            <w:r w:rsidR="00367C88">
              <w:rPr>
                <w:rFonts w:ascii="Times New Roman" w:hAnsi="Times New Roman"/>
                <w:b/>
              </w:rPr>
              <w:t>ț</w:t>
            </w:r>
            <w:r w:rsidRPr="00825E5B">
              <w:rPr>
                <w:rFonts w:ascii="Times New Roman" w:hAnsi="Times New Roman"/>
                <w:b/>
              </w:rPr>
              <w:t>ional plafonat</w:t>
            </w:r>
          </w:p>
          <w:p w:rsidR="00410E47" w:rsidRPr="00825E5B" w:rsidRDefault="00410E47" w:rsidP="006B5E42">
            <w:pPr>
              <w:pStyle w:val="BodyText1"/>
              <w:spacing w:line="240" w:lineRule="auto"/>
              <w:rPr>
                <w:rFonts w:ascii="Times New Roman" w:hAnsi="Times New Roman"/>
                <w:bCs/>
              </w:rPr>
            </w:pPr>
          </w:p>
          <w:p w:rsidR="00410E47" w:rsidRPr="00825E5B" w:rsidRDefault="00410E47" w:rsidP="006B5E42">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cuantumul no</w:t>
            </w:r>
            <w:r w:rsidR="00367C88">
              <w:rPr>
                <w:rFonts w:ascii="Times New Roman" w:hAnsi="Times New Roman"/>
              </w:rPr>
              <w:t>ț</w:t>
            </w:r>
            <w:r w:rsidRPr="00825E5B">
              <w:rPr>
                <w:rFonts w:ascii="Times New Roman" w:hAnsi="Times New Roman"/>
              </w:rPr>
              <w:t>ional folosit ca referin</w:t>
            </w:r>
            <w:r w:rsidR="00367C88">
              <w:rPr>
                <w:rFonts w:ascii="Times New Roman" w:hAnsi="Times New Roman"/>
              </w:rPr>
              <w:t>ț</w:t>
            </w:r>
            <w:r w:rsidRPr="00825E5B">
              <w:rPr>
                <w:rFonts w:ascii="Times New Roman" w:hAnsi="Times New Roman"/>
              </w:rPr>
              <w:t>ă de instrumentele financiare derivate de credit (protec</w:t>
            </w:r>
            <w:r w:rsidR="00367C88">
              <w:rPr>
                <w:rFonts w:ascii="Times New Roman" w:hAnsi="Times New Roman"/>
              </w:rPr>
              <w:t>ț</w:t>
            </w:r>
            <w:r w:rsidRPr="00825E5B">
              <w:rPr>
                <w:rFonts w:ascii="Times New Roman" w:hAnsi="Times New Roman"/>
              </w:rPr>
              <w:t>ie vândută) ca în {020; 070} după scăderea eventualelor modificări ale valorii juste negative care au fost încorporate în fondurile proprii de nivel 1 în privin</w:t>
            </w:r>
            <w:r w:rsidR="00367C88">
              <w:rPr>
                <w:rFonts w:ascii="Times New Roman" w:hAnsi="Times New Roman"/>
              </w:rPr>
              <w:t>ț</w:t>
            </w:r>
            <w:r w:rsidRPr="00825E5B">
              <w:rPr>
                <w:rFonts w:ascii="Times New Roman" w:hAnsi="Times New Roman"/>
              </w:rPr>
              <w:t>a instrumentului financiar derivat de credit vândut.</w:t>
            </w:r>
          </w:p>
          <w:p w:rsidR="00410E47" w:rsidRPr="00825E5B" w:rsidRDefault="00410E47" w:rsidP="006B5E42">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{030;050}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vândută) supuse unei clauze de lichidare – Majorare după metoda marcării la pia</w:t>
            </w:r>
            <w:r w:rsidR="00367C88">
              <w:rPr>
                <w:rFonts w:ascii="Times New Roman" w:hAnsi="Times New Roman"/>
                <w:b/>
              </w:rPr>
              <w:t>ț</w:t>
            </w:r>
            <w:r w:rsidRPr="00825E5B">
              <w:rPr>
                <w:rFonts w:ascii="Times New Roman" w:hAnsi="Times New Roman"/>
                <w:b/>
              </w:rPr>
              <w:t>ă (presupunând că nu se recurge la compensare sau la altă tehnică CRM)</w:t>
            </w:r>
          </w:p>
          <w:p w:rsidR="00410E47" w:rsidRPr="00825E5B" w:rsidRDefault="00410E47" w:rsidP="00406605">
            <w:pPr>
              <w:pStyle w:val="BodyText1"/>
              <w:spacing w:line="240" w:lineRule="auto"/>
              <w:jc w:val="center"/>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299 alineatul (2) din CRR</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expunerea viitoare poten</w:t>
            </w:r>
            <w:r w:rsidR="00367C88">
              <w:rPr>
                <w:rFonts w:ascii="Times New Roman" w:hAnsi="Times New Roman"/>
              </w:rPr>
              <w:t>ț</w:t>
            </w:r>
            <w:r w:rsidRPr="00825E5B">
              <w:rPr>
                <w:rFonts w:ascii="Times New Roman" w:hAnsi="Times New Roman"/>
              </w:rPr>
              <w:t>ială a instrumentelor financiare derivate de credit în cazul în care institu</w:t>
            </w:r>
            <w:r w:rsidR="00367C88">
              <w:rPr>
                <w:rFonts w:ascii="Times New Roman" w:hAnsi="Times New Roman"/>
              </w:rPr>
              <w:t>ț</w:t>
            </w:r>
            <w:r w:rsidRPr="00825E5B">
              <w:rPr>
                <w:rFonts w:ascii="Times New Roman" w:hAnsi="Times New Roman"/>
              </w:rPr>
              <w:t>ia vinde unei contrapăr</w:t>
            </w:r>
            <w:r w:rsidR="00367C88">
              <w:rPr>
                <w:rFonts w:ascii="Times New Roman" w:hAnsi="Times New Roman"/>
              </w:rPr>
              <w:t>ț</w:t>
            </w:r>
            <w:r w:rsidRPr="00825E5B">
              <w:rPr>
                <w:rFonts w:ascii="Times New Roman" w:hAnsi="Times New Roman"/>
              </w:rPr>
              <w:t>i protec</w:t>
            </w:r>
            <w:r w:rsidR="00367C88">
              <w:rPr>
                <w:rFonts w:ascii="Times New Roman" w:hAnsi="Times New Roman"/>
              </w:rPr>
              <w:t>ț</w:t>
            </w:r>
            <w:r w:rsidRPr="00825E5B">
              <w:rPr>
                <w:rFonts w:ascii="Times New Roman" w:hAnsi="Times New Roman"/>
              </w:rPr>
              <w:t>ie de credit supusă unei clauze de lichidare, presupunând că nu se recurge la compensare sau la altă tehnică CRM. Institu</w:t>
            </w:r>
            <w:r w:rsidR="00367C88">
              <w:rPr>
                <w:rFonts w:ascii="Times New Roman" w:hAnsi="Times New Roman"/>
              </w:rPr>
              <w:t>ț</w:t>
            </w:r>
            <w:r w:rsidRPr="00825E5B">
              <w:rPr>
                <w:rFonts w:ascii="Times New Roman" w:hAnsi="Times New Roman"/>
              </w:rPr>
              <w:t>iile nu includ în această celulă majorarea pentru instrumente financiare derivate de credit în cazul în care vând unei contrapăr</w:t>
            </w:r>
            <w:r w:rsidR="00367C88">
              <w:rPr>
                <w:rFonts w:ascii="Times New Roman" w:hAnsi="Times New Roman"/>
              </w:rPr>
              <w:t>ț</w:t>
            </w:r>
            <w:r w:rsidRPr="00825E5B">
              <w:rPr>
                <w:rFonts w:ascii="Times New Roman" w:hAnsi="Times New Roman"/>
              </w:rPr>
              <w:t>i protec</w:t>
            </w:r>
            <w:r w:rsidR="00367C88">
              <w:rPr>
                <w:rFonts w:ascii="Times New Roman" w:hAnsi="Times New Roman"/>
              </w:rPr>
              <w:t>ț</w:t>
            </w:r>
            <w:r w:rsidRPr="00825E5B">
              <w:rPr>
                <w:rFonts w:ascii="Times New Roman" w:hAnsi="Times New Roman"/>
              </w:rPr>
              <w:t>ie de credit care nu este supusă unei clauze de lichidare. Institu</w:t>
            </w:r>
            <w:r w:rsidR="00367C88">
              <w:rPr>
                <w:rFonts w:ascii="Times New Roman" w:hAnsi="Times New Roman"/>
              </w:rPr>
              <w:t>ț</w:t>
            </w:r>
            <w:r w:rsidRPr="00825E5B">
              <w:rPr>
                <w:rFonts w:ascii="Times New Roman" w:hAnsi="Times New Roman"/>
              </w:rPr>
              <w:t>iile îl includ în schimb în celula {LR1;040;050}.</w:t>
            </w:r>
          </w:p>
          <w:p w:rsidR="00994DCE" w:rsidRPr="00825E5B" w:rsidRDefault="00994DCE"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O clauză de lichidare este o clauză ce dă păr</w:t>
            </w:r>
            <w:r w:rsidR="00367C88">
              <w:rPr>
                <w:rFonts w:ascii="Times New Roman" w:hAnsi="Times New Roman"/>
              </w:rPr>
              <w:t>ț</w:t>
            </w:r>
            <w:r w:rsidRPr="00825E5B">
              <w:rPr>
                <w:rFonts w:ascii="Times New Roman" w:hAnsi="Times New Roman"/>
              </w:rPr>
              <w:t xml:space="preserve">ii care </w:t>
            </w:r>
            <w:r w:rsidR="00367C88">
              <w:rPr>
                <w:rFonts w:ascii="Times New Roman" w:hAnsi="Times New Roman"/>
              </w:rPr>
              <w:t>ș</w:t>
            </w:r>
            <w:r w:rsidRPr="00825E5B">
              <w:rPr>
                <w:rFonts w:ascii="Times New Roman" w:hAnsi="Times New Roman"/>
              </w:rPr>
              <w:t>i-a îndeplinit obliga</w:t>
            </w:r>
            <w:r w:rsidR="00367C88">
              <w:rPr>
                <w:rFonts w:ascii="Times New Roman" w:hAnsi="Times New Roman"/>
              </w:rPr>
              <w:t>ț</w:t>
            </w:r>
            <w:r w:rsidRPr="00825E5B">
              <w:rPr>
                <w:rFonts w:ascii="Times New Roman" w:hAnsi="Times New Roman"/>
              </w:rPr>
              <w:t xml:space="preserve">iile dreptul de a rezilia </w:t>
            </w:r>
            <w:r w:rsidR="00367C88">
              <w:rPr>
                <w:rFonts w:ascii="Times New Roman" w:hAnsi="Times New Roman"/>
              </w:rPr>
              <w:t>ș</w:t>
            </w:r>
            <w:r w:rsidRPr="00825E5B">
              <w:rPr>
                <w:rFonts w:ascii="Times New Roman" w:hAnsi="Times New Roman"/>
              </w:rPr>
              <w:t>i a lichida rapid toate tranzac</w:t>
            </w:r>
            <w:r w:rsidR="00367C88">
              <w:rPr>
                <w:rFonts w:ascii="Times New Roman" w:hAnsi="Times New Roman"/>
              </w:rPr>
              <w:t>ț</w:t>
            </w:r>
            <w:r w:rsidRPr="00825E5B">
              <w:rPr>
                <w:rFonts w:ascii="Times New Roman" w:hAnsi="Times New Roman"/>
              </w:rPr>
              <w:t>iile vizate de acord, în caz de nerespectare a obliga</w:t>
            </w:r>
            <w:r w:rsidR="00367C88">
              <w:rPr>
                <w:rFonts w:ascii="Times New Roman" w:hAnsi="Times New Roman"/>
              </w:rPr>
              <w:t>ț</w:t>
            </w:r>
            <w:r w:rsidRPr="00825E5B">
              <w:rPr>
                <w:rFonts w:ascii="Times New Roman" w:hAnsi="Times New Roman"/>
              </w:rPr>
              <w:t>iilor contractuale, inclusiv în cazul insolven</w:t>
            </w:r>
            <w:r w:rsidR="00367C88">
              <w:rPr>
                <w:rFonts w:ascii="Times New Roman" w:hAnsi="Times New Roman"/>
              </w:rPr>
              <w:t>ț</w:t>
            </w:r>
            <w:r w:rsidRPr="00825E5B">
              <w:rPr>
                <w:rFonts w:ascii="Times New Roman" w:hAnsi="Times New Roman"/>
              </w:rPr>
              <w:t>ei sau al falimentului contrapăr</w:t>
            </w:r>
            <w:r w:rsidR="00367C88">
              <w:rPr>
                <w:rFonts w:ascii="Times New Roman" w:hAnsi="Times New Roman"/>
              </w:rPr>
              <w:t>ț</w:t>
            </w:r>
            <w:r w:rsidRPr="00825E5B">
              <w:rPr>
                <w:rFonts w:ascii="Times New Roman" w:hAnsi="Times New Roman"/>
              </w:rPr>
              <w:t>ii.</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toate instrumentele financiare derivate de credit, nu numai pe cele atribuite portofoliului de tranzac</w:t>
            </w:r>
            <w:r w:rsidR="00367C88">
              <w:rPr>
                <w:rFonts w:ascii="Times New Roman" w:hAnsi="Times New Roman"/>
              </w:rPr>
              <w:t>ț</w:t>
            </w:r>
            <w:r w:rsidRPr="00825E5B">
              <w:rPr>
                <w:rFonts w:ascii="Times New Roman" w:hAnsi="Times New Roman"/>
              </w:rPr>
              <w:t xml:space="preserve">ionare. </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1081">
            <w:pPr>
              <w:pStyle w:val="BodyText1"/>
              <w:rPr>
                <w:rFonts w:ascii="Times New Roman" w:hAnsi="Times New Roman"/>
                <w:bCs/>
              </w:rPr>
            </w:pPr>
            <w:r w:rsidRPr="00825E5B">
              <w:rPr>
                <w:rFonts w:ascii="Times New Roman" w:hAnsi="Times New Roman"/>
              </w:rPr>
              <w:t>{030;070}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vândută) supuse unei clauze de lichidare – Cuantumul no</w:t>
            </w:r>
            <w:r w:rsidR="00367C88">
              <w:rPr>
                <w:rFonts w:ascii="Times New Roman" w:hAnsi="Times New Roman"/>
                <w:b/>
              </w:rPr>
              <w:t>ț</w:t>
            </w:r>
            <w:r w:rsidRPr="00825E5B">
              <w:rPr>
                <w:rFonts w:ascii="Times New Roman" w:hAnsi="Times New Roman"/>
                <w:b/>
              </w:rPr>
              <w:t>ional</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cuantumul no</w:t>
            </w:r>
            <w:r w:rsidR="00367C88">
              <w:rPr>
                <w:rFonts w:ascii="Times New Roman" w:hAnsi="Times New Roman"/>
              </w:rPr>
              <w:t>ț</w:t>
            </w:r>
            <w:r w:rsidRPr="00825E5B">
              <w:rPr>
                <w:rFonts w:ascii="Times New Roman" w:hAnsi="Times New Roman"/>
              </w:rPr>
              <w:t>ional folosit ca referin</w:t>
            </w:r>
            <w:r w:rsidR="00367C88">
              <w:rPr>
                <w:rFonts w:ascii="Times New Roman" w:hAnsi="Times New Roman"/>
              </w:rPr>
              <w:t>ț</w:t>
            </w:r>
            <w:r w:rsidRPr="00825E5B">
              <w:rPr>
                <w:rFonts w:ascii="Times New Roman" w:hAnsi="Times New Roman"/>
              </w:rPr>
              <w:t>ă de instrumentele financiare derivate de credit în cazul în care institu</w:t>
            </w:r>
            <w:r w:rsidR="00367C88">
              <w:rPr>
                <w:rFonts w:ascii="Times New Roman" w:hAnsi="Times New Roman"/>
              </w:rPr>
              <w:t>ț</w:t>
            </w:r>
            <w:r w:rsidRPr="00825E5B">
              <w:rPr>
                <w:rFonts w:ascii="Times New Roman" w:hAnsi="Times New Roman"/>
              </w:rPr>
              <w:t>ia vinde unei contrapăr</w:t>
            </w:r>
            <w:r w:rsidR="00367C88">
              <w:rPr>
                <w:rFonts w:ascii="Times New Roman" w:hAnsi="Times New Roman"/>
              </w:rPr>
              <w:t>ț</w:t>
            </w:r>
            <w:r w:rsidRPr="00825E5B">
              <w:rPr>
                <w:rFonts w:ascii="Times New Roman" w:hAnsi="Times New Roman"/>
              </w:rPr>
              <w:t>i protec</w:t>
            </w:r>
            <w:r w:rsidR="00367C88">
              <w:rPr>
                <w:rFonts w:ascii="Times New Roman" w:hAnsi="Times New Roman"/>
              </w:rPr>
              <w:t>ț</w:t>
            </w:r>
            <w:r w:rsidRPr="00825E5B">
              <w:rPr>
                <w:rFonts w:ascii="Times New Roman" w:hAnsi="Times New Roman"/>
              </w:rPr>
              <w:t xml:space="preserve">ie de credit supusă unei clauze de lichidare. </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rPr>
            </w:pPr>
            <w:r w:rsidRPr="00825E5B">
              <w:rPr>
                <w:rFonts w:ascii="Times New Roman" w:hAnsi="Times New Roman"/>
              </w:rPr>
              <w:t>O clauză de lichidare este o clauză ce dă păr</w:t>
            </w:r>
            <w:r w:rsidR="00367C88">
              <w:rPr>
                <w:rFonts w:ascii="Times New Roman" w:hAnsi="Times New Roman"/>
              </w:rPr>
              <w:t>ț</w:t>
            </w:r>
            <w:r w:rsidRPr="00825E5B">
              <w:rPr>
                <w:rFonts w:ascii="Times New Roman" w:hAnsi="Times New Roman"/>
              </w:rPr>
              <w:t xml:space="preserve">ii care </w:t>
            </w:r>
            <w:r w:rsidR="00367C88">
              <w:rPr>
                <w:rFonts w:ascii="Times New Roman" w:hAnsi="Times New Roman"/>
              </w:rPr>
              <w:t>ș</w:t>
            </w:r>
            <w:r w:rsidRPr="00825E5B">
              <w:rPr>
                <w:rFonts w:ascii="Times New Roman" w:hAnsi="Times New Roman"/>
              </w:rPr>
              <w:t>i-a îndeplinit obliga</w:t>
            </w:r>
            <w:r w:rsidR="00367C88">
              <w:rPr>
                <w:rFonts w:ascii="Times New Roman" w:hAnsi="Times New Roman"/>
              </w:rPr>
              <w:t>ț</w:t>
            </w:r>
            <w:r w:rsidRPr="00825E5B">
              <w:rPr>
                <w:rFonts w:ascii="Times New Roman" w:hAnsi="Times New Roman"/>
              </w:rPr>
              <w:t xml:space="preserve">iile dreptul de a rezilia </w:t>
            </w:r>
            <w:r w:rsidR="00367C88">
              <w:rPr>
                <w:rFonts w:ascii="Times New Roman" w:hAnsi="Times New Roman"/>
              </w:rPr>
              <w:t>ș</w:t>
            </w:r>
            <w:r w:rsidRPr="00825E5B">
              <w:rPr>
                <w:rFonts w:ascii="Times New Roman" w:hAnsi="Times New Roman"/>
              </w:rPr>
              <w:t>i a lichida rapid toate tranzac</w:t>
            </w:r>
            <w:r w:rsidR="00367C88">
              <w:rPr>
                <w:rFonts w:ascii="Times New Roman" w:hAnsi="Times New Roman"/>
              </w:rPr>
              <w:t>ț</w:t>
            </w:r>
            <w:r w:rsidRPr="00825E5B">
              <w:rPr>
                <w:rFonts w:ascii="Times New Roman" w:hAnsi="Times New Roman"/>
              </w:rPr>
              <w:t>iile vizate de acord, în caz de nerespectare a obliga</w:t>
            </w:r>
            <w:r w:rsidR="00367C88">
              <w:rPr>
                <w:rFonts w:ascii="Times New Roman" w:hAnsi="Times New Roman"/>
              </w:rPr>
              <w:t>ț</w:t>
            </w:r>
            <w:r w:rsidRPr="00825E5B">
              <w:rPr>
                <w:rFonts w:ascii="Times New Roman" w:hAnsi="Times New Roman"/>
              </w:rPr>
              <w:t>iilor contractuale, inclusiv în cazul insolven</w:t>
            </w:r>
            <w:r w:rsidR="00367C88">
              <w:rPr>
                <w:rFonts w:ascii="Times New Roman" w:hAnsi="Times New Roman"/>
              </w:rPr>
              <w:t>ț</w:t>
            </w:r>
            <w:r w:rsidRPr="00825E5B">
              <w:rPr>
                <w:rFonts w:ascii="Times New Roman" w:hAnsi="Times New Roman"/>
              </w:rPr>
              <w:t>ei sau al falimentului contrapăr</w:t>
            </w:r>
            <w:r w:rsidR="00367C88">
              <w:rPr>
                <w:rFonts w:ascii="Times New Roman" w:hAnsi="Times New Roman"/>
              </w:rPr>
              <w:t>ț</w:t>
            </w:r>
            <w:r w:rsidRPr="00825E5B">
              <w:rPr>
                <w:rFonts w:ascii="Times New Roman" w:hAnsi="Times New Roman"/>
              </w:rPr>
              <w:t>ii.</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toate instrumentele financiare derivate de credit, nu numai pe cele atribuite portofoliului de tranzac</w:t>
            </w:r>
            <w:r w:rsidR="00367C88">
              <w:rPr>
                <w:rFonts w:ascii="Times New Roman" w:hAnsi="Times New Roman"/>
              </w:rPr>
              <w:t>ț</w:t>
            </w:r>
            <w:r w:rsidRPr="00825E5B">
              <w:rPr>
                <w:rFonts w:ascii="Times New Roman" w:hAnsi="Times New Roman"/>
              </w:rPr>
              <w:t xml:space="preserve">ionare. </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{040;050}</w:t>
            </w:r>
          </w:p>
          <w:p w:rsidR="00410E47" w:rsidRPr="00825E5B" w:rsidRDefault="00410E47" w:rsidP="00F4754B">
            <w:pPr>
              <w:pStyle w:val="BodyText1"/>
              <w:rPr>
                <w:rFonts w:ascii="Times New Roman" w:hAnsi="Times New Roman"/>
                <w:bCs/>
              </w:rPr>
            </w:pP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vândută) nesupuse unei clauze de lichidare – Majorare după metoda marcării la pia</w:t>
            </w:r>
            <w:r w:rsidR="00367C88">
              <w:rPr>
                <w:rFonts w:ascii="Times New Roman" w:hAnsi="Times New Roman"/>
                <w:b/>
              </w:rPr>
              <w:t>ț</w:t>
            </w:r>
            <w:r w:rsidRPr="00825E5B">
              <w:rPr>
                <w:rFonts w:ascii="Times New Roman" w:hAnsi="Times New Roman"/>
                <w:b/>
              </w:rPr>
              <w:t>ă (presupunând că nu se recurge la compensare sau la altă tehnică CRM)</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299 alineatul (2) din CRR</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tabs>
                <w:tab w:val="center" w:pos="4153"/>
                <w:tab w:val="right" w:pos="8306"/>
              </w:tabs>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expunerea viitoare poten</w:t>
            </w:r>
            <w:r w:rsidR="00367C88">
              <w:rPr>
                <w:rFonts w:ascii="Times New Roman" w:hAnsi="Times New Roman"/>
              </w:rPr>
              <w:t>ț</w:t>
            </w:r>
            <w:r w:rsidRPr="00825E5B">
              <w:rPr>
                <w:rFonts w:ascii="Times New Roman" w:hAnsi="Times New Roman"/>
              </w:rPr>
              <w:t>ială a instrumentelor financiare derivate de credit în cazul în care institu</w:t>
            </w:r>
            <w:r w:rsidR="00367C88">
              <w:rPr>
                <w:rFonts w:ascii="Times New Roman" w:hAnsi="Times New Roman"/>
              </w:rPr>
              <w:t>ț</w:t>
            </w:r>
            <w:r w:rsidRPr="00825E5B">
              <w:rPr>
                <w:rFonts w:ascii="Times New Roman" w:hAnsi="Times New Roman"/>
              </w:rPr>
              <w:t>ia vinde unei contrapăr</w:t>
            </w:r>
            <w:r w:rsidR="00367C88">
              <w:rPr>
                <w:rFonts w:ascii="Times New Roman" w:hAnsi="Times New Roman"/>
              </w:rPr>
              <w:t>ț</w:t>
            </w:r>
            <w:r w:rsidRPr="00825E5B">
              <w:rPr>
                <w:rFonts w:ascii="Times New Roman" w:hAnsi="Times New Roman"/>
              </w:rPr>
              <w:t>i protec</w:t>
            </w:r>
            <w:r w:rsidR="00367C88">
              <w:rPr>
                <w:rFonts w:ascii="Times New Roman" w:hAnsi="Times New Roman"/>
              </w:rPr>
              <w:t>ț</w:t>
            </w:r>
            <w:r w:rsidRPr="00825E5B">
              <w:rPr>
                <w:rFonts w:ascii="Times New Roman" w:hAnsi="Times New Roman"/>
              </w:rPr>
              <w:t xml:space="preserve">ie de credit care </w:t>
            </w:r>
            <w:r w:rsidRPr="00825E5B">
              <w:rPr>
                <w:rFonts w:ascii="Times New Roman" w:hAnsi="Times New Roman"/>
                <w:b/>
                <w:u w:val="single"/>
              </w:rPr>
              <w:t>nu</w:t>
            </w:r>
            <w:r w:rsidRPr="00825E5B">
              <w:rPr>
                <w:rFonts w:ascii="Times New Roman" w:hAnsi="Times New Roman"/>
              </w:rPr>
              <w:t xml:space="preserve"> este supusă </w:t>
            </w:r>
            <w:r w:rsidRPr="00825E5B">
              <w:rPr>
                <w:rFonts w:ascii="Times New Roman" w:hAnsi="Times New Roman"/>
              </w:rPr>
              <w:lastRenderedPageBreak/>
              <w:t>unei clauze de lichidare, presupunând că nu se recurge la compensare sau la altă tehnică CRM.</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rPr>
            </w:pPr>
            <w:r w:rsidRPr="00825E5B">
              <w:rPr>
                <w:rFonts w:ascii="Times New Roman" w:hAnsi="Times New Roman"/>
              </w:rPr>
              <w:t>O clauză de lichidare este o clauză ce dă păr</w:t>
            </w:r>
            <w:r w:rsidR="00367C88">
              <w:rPr>
                <w:rFonts w:ascii="Times New Roman" w:hAnsi="Times New Roman"/>
              </w:rPr>
              <w:t>ț</w:t>
            </w:r>
            <w:r w:rsidRPr="00825E5B">
              <w:rPr>
                <w:rFonts w:ascii="Times New Roman" w:hAnsi="Times New Roman"/>
              </w:rPr>
              <w:t xml:space="preserve">ii care </w:t>
            </w:r>
            <w:r w:rsidR="00367C88">
              <w:rPr>
                <w:rFonts w:ascii="Times New Roman" w:hAnsi="Times New Roman"/>
              </w:rPr>
              <w:t>ș</w:t>
            </w:r>
            <w:r w:rsidRPr="00825E5B">
              <w:rPr>
                <w:rFonts w:ascii="Times New Roman" w:hAnsi="Times New Roman"/>
              </w:rPr>
              <w:t>i-a îndeplinit obliga</w:t>
            </w:r>
            <w:r w:rsidR="00367C88">
              <w:rPr>
                <w:rFonts w:ascii="Times New Roman" w:hAnsi="Times New Roman"/>
              </w:rPr>
              <w:t>ț</w:t>
            </w:r>
            <w:r w:rsidRPr="00825E5B">
              <w:rPr>
                <w:rFonts w:ascii="Times New Roman" w:hAnsi="Times New Roman"/>
              </w:rPr>
              <w:t xml:space="preserve">iile dreptul de a rezilia </w:t>
            </w:r>
            <w:r w:rsidR="00367C88">
              <w:rPr>
                <w:rFonts w:ascii="Times New Roman" w:hAnsi="Times New Roman"/>
              </w:rPr>
              <w:t>ș</w:t>
            </w:r>
            <w:r w:rsidRPr="00825E5B">
              <w:rPr>
                <w:rFonts w:ascii="Times New Roman" w:hAnsi="Times New Roman"/>
              </w:rPr>
              <w:t>i a lichida rapid toate tranzac</w:t>
            </w:r>
            <w:r w:rsidR="00367C88">
              <w:rPr>
                <w:rFonts w:ascii="Times New Roman" w:hAnsi="Times New Roman"/>
              </w:rPr>
              <w:t>ț</w:t>
            </w:r>
            <w:r w:rsidRPr="00825E5B">
              <w:rPr>
                <w:rFonts w:ascii="Times New Roman" w:hAnsi="Times New Roman"/>
              </w:rPr>
              <w:t>iile vizate de acord, în caz de nerespectare a obliga</w:t>
            </w:r>
            <w:r w:rsidR="00367C88">
              <w:rPr>
                <w:rFonts w:ascii="Times New Roman" w:hAnsi="Times New Roman"/>
              </w:rPr>
              <w:t>ț</w:t>
            </w:r>
            <w:r w:rsidRPr="00825E5B">
              <w:rPr>
                <w:rFonts w:ascii="Times New Roman" w:hAnsi="Times New Roman"/>
              </w:rPr>
              <w:t>iilor contractuale, inclusiv în cazul insolven</w:t>
            </w:r>
            <w:r w:rsidR="00367C88">
              <w:rPr>
                <w:rFonts w:ascii="Times New Roman" w:hAnsi="Times New Roman"/>
              </w:rPr>
              <w:t>ț</w:t>
            </w:r>
            <w:r w:rsidRPr="00825E5B">
              <w:rPr>
                <w:rFonts w:ascii="Times New Roman" w:hAnsi="Times New Roman"/>
              </w:rPr>
              <w:t>ei sau al falimentului contrapăr</w:t>
            </w:r>
            <w:r w:rsidR="00367C88">
              <w:rPr>
                <w:rFonts w:ascii="Times New Roman" w:hAnsi="Times New Roman"/>
              </w:rPr>
              <w:t>ț</w:t>
            </w:r>
            <w:r w:rsidRPr="00825E5B">
              <w:rPr>
                <w:rFonts w:ascii="Times New Roman" w:hAnsi="Times New Roman"/>
              </w:rPr>
              <w:t>ii.</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
                <w:bCs/>
                <w:u w:val="single"/>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toate instrumentele financiare derivate de credit, nu numai pe cele atribuite portofoliului de tranzac</w:t>
            </w:r>
            <w:r w:rsidR="00367C88">
              <w:rPr>
                <w:rFonts w:ascii="Times New Roman" w:hAnsi="Times New Roman"/>
              </w:rPr>
              <w:t>ț</w:t>
            </w:r>
            <w:r w:rsidRPr="00825E5B">
              <w:rPr>
                <w:rFonts w:ascii="Times New Roman" w:hAnsi="Times New Roman"/>
              </w:rPr>
              <w:t>ionare.</w:t>
            </w:r>
            <w:r w:rsidRPr="00825E5B">
              <w:rPr>
                <w:rFonts w:ascii="Times New Roman" w:hAnsi="Times New Roman"/>
                <w:b/>
                <w:u w:val="single"/>
              </w:rPr>
              <w:t xml:space="preserve"> </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lastRenderedPageBreak/>
              <w:t>{040;070}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vândută) nesupuse unei clauze de lichidare – Cuantumul no</w:t>
            </w:r>
            <w:r w:rsidR="00367C88">
              <w:rPr>
                <w:rFonts w:ascii="Times New Roman" w:hAnsi="Times New Roman"/>
                <w:b/>
              </w:rPr>
              <w:t>ț</w:t>
            </w:r>
            <w:r w:rsidRPr="00825E5B">
              <w:rPr>
                <w:rFonts w:ascii="Times New Roman" w:hAnsi="Times New Roman"/>
                <w:b/>
              </w:rPr>
              <w:t>ional</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cuantumul no</w:t>
            </w:r>
            <w:r w:rsidR="00367C88">
              <w:rPr>
                <w:rFonts w:ascii="Times New Roman" w:hAnsi="Times New Roman"/>
              </w:rPr>
              <w:t>ț</w:t>
            </w:r>
            <w:r w:rsidRPr="00825E5B">
              <w:rPr>
                <w:rFonts w:ascii="Times New Roman" w:hAnsi="Times New Roman"/>
              </w:rPr>
              <w:t>ional folosit ca referin</w:t>
            </w:r>
            <w:r w:rsidR="00367C88">
              <w:rPr>
                <w:rFonts w:ascii="Times New Roman" w:hAnsi="Times New Roman"/>
              </w:rPr>
              <w:t>ț</w:t>
            </w:r>
            <w:r w:rsidRPr="00825E5B">
              <w:rPr>
                <w:rFonts w:ascii="Times New Roman" w:hAnsi="Times New Roman"/>
              </w:rPr>
              <w:t>ă de instrumentele financiare derivate de credit în cazul în care institu</w:t>
            </w:r>
            <w:r w:rsidR="00367C88">
              <w:rPr>
                <w:rFonts w:ascii="Times New Roman" w:hAnsi="Times New Roman"/>
              </w:rPr>
              <w:t>ț</w:t>
            </w:r>
            <w:r w:rsidRPr="00825E5B">
              <w:rPr>
                <w:rFonts w:ascii="Times New Roman" w:hAnsi="Times New Roman"/>
              </w:rPr>
              <w:t>ia vinde unei contrapăr</w:t>
            </w:r>
            <w:r w:rsidR="00367C88">
              <w:rPr>
                <w:rFonts w:ascii="Times New Roman" w:hAnsi="Times New Roman"/>
              </w:rPr>
              <w:t>ț</w:t>
            </w:r>
            <w:r w:rsidRPr="00825E5B">
              <w:rPr>
                <w:rFonts w:ascii="Times New Roman" w:hAnsi="Times New Roman"/>
              </w:rPr>
              <w:t>i protec</w:t>
            </w:r>
            <w:r w:rsidR="00367C88">
              <w:rPr>
                <w:rFonts w:ascii="Times New Roman" w:hAnsi="Times New Roman"/>
              </w:rPr>
              <w:t>ț</w:t>
            </w:r>
            <w:r w:rsidRPr="00825E5B">
              <w:rPr>
                <w:rFonts w:ascii="Times New Roman" w:hAnsi="Times New Roman"/>
              </w:rPr>
              <w:t xml:space="preserve">ie de credit care </w:t>
            </w:r>
            <w:r w:rsidRPr="00825E5B">
              <w:rPr>
                <w:rFonts w:ascii="Times New Roman" w:hAnsi="Times New Roman"/>
                <w:b/>
                <w:u w:val="single"/>
              </w:rPr>
              <w:t>nu</w:t>
            </w:r>
            <w:r w:rsidRPr="00825E5B">
              <w:rPr>
                <w:rFonts w:ascii="Times New Roman" w:hAnsi="Times New Roman"/>
              </w:rPr>
              <w:t xml:space="preserve"> este supusă unei clauze de lichidare.</w:t>
            </w:r>
          </w:p>
          <w:p w:rsidR="00410E47" w:rsidRPr="00825E5B" w:rsidRDefault="00410E47" w:rsidP="007E2A41">
            <w:pPr>
              <w:pStyle w:val="BodyText1"/>
              <w:spacing w:line="240" w:lineRule="auto"/>
              <w:rPr>
                <w:rFonts w:ascii="Times New Roman" w:hAnsi="Times New Roman"/>
              </w:rPr>
            </w:pPr>
          </w:p>
          <w:p w:rsidR="00410E47" w:rsidRPr="00825E5B" w:rsidRDefault="00410E47" w:rsidP="007E2A41">
            <w:pPr>
              <w:pStyle w:val="BodyText1"/>
              <w:spacing w:line="240" w:lineRule="auto"/>
              <w:rPr>
                <w:rFonts w:ascii="Times New Roman" w:hAnsi="Times New Roman"/>
              </w:rPr>
            </w:pPr>
            <w:r w:rsidRPr="00825E5B">
              <w:rPr>
                <w:rFonts w:ascii="Times New Roman" w:hAnsi="Times New Roman"/>
              </w:rPr>
              <w:t>O clauză de lichidare este o clauză ce dă păr</w:t>
            </w:r>
            <w:r w:rsidR="00367C88">
              <w:rPr>
                <w:rFonts w:ascii="Times New Roman" w:hAnsi="Times New Roman"/>
              </w:rPr>
              <w:t>ț</w:t>
            </w:r>
            <w:r w:rsidRPr="00825E5B">
              <w:rPr>
                <w:rFonts w:ascii="Times New Roman" w:hAnsi="Times New Roman"/>
              </w:rPr>
              <w:t xml:space="preserve">ii care </w:t>
            </w:r>
            <w:r w:rsidR="00367C88">
              <w:rPr>
                <w:rFonts w:ascii="Times New Roman" w:hAnsi="Times New Roman"/>
              </w:rPr>
              <w:t>ș</w:t>
            </w:r>
            <w:r w:rsidRPr="00825E5B">
              <w:rPr>
                <w:rFonts w:ascii="Times New Roman" w:hAnsi="Times New Roman"/>
              </w:rPr>
              <w:t>i-a îndeplinit obliga</w:t>
            </w:r>
            <w:r w:rsidR="00367C88">
              <w:rPr>
                <w:rFonts w:ascii="Times New Roman" w:hAnsi="Times New Roman"/>
              </w:rPr>
              <w:t>ț</w:t>
            </w:r>
            <w:r w:rsidRPr="00825E5B">
              <w:rPr>
                <w:rFonts w:ascii="Times New Roman" w:hAnsi="Times New Roman"/>
              </w:rPr>
              <w:t xml:space="preserve">iile dreptul de a rezilia </w:t>
            </w:r>
            <w:r w:rsidR="00367C88">
              <w:rPr>
                <w:rFonts w:ascii="Times New Roman" w:hAnsi="Times New Roman"/>
              </w:rPr>
              <w:t>ș</w:t>
            </w:r>
            <w:r w:rsidRPr="00825E5B">
              <w:rPr>
                <w:rFonts w:ascii="Times New Roman" w:hAnsi="Times New Roman"/>
              </w:rPr>
              <w:t>i a lichida rapid toate tranzac</w:t>
            </w:r>
            <w:r w:rsidR="00367C88">
              <w:rPr>
                <w:rFonts w:ascii="Times New Roman" w:hAnsi="Times New Roman"/>
              </w:rPr>
              <w:t>ț</w:t>
            </w:r>
            <w:r w:rsidRPr="00825E5B">
              <w:rPr>
                <w:rFonts w:ascii="Times New Roman" w:hAnsi="Times New Roman"/>
              </w:rPr>
              <w:t>iile vizate de acord, în caz de nerespectare a obliga</w:t>
            </w:r>
            <w:r w:rsidR="00367C88">
              <w:rPr>
                <w:rFonts w:ascii="Times New Roman" w:hAnsi="Times New Roman"/>
              </w:rPr>
              <w:t>ț</w:t>
            </w:r>
            <w:r w:rsidRPr="00825E5B">
              <w:rPr>
                <w:rFonts w:ascii="Times New Roman" w:hAnsi="Times New Roman"/>
              </w:rPr>
              <w:t>iilor contractuale, inclusiv în cazul insolven</w:t>
            </w:r>
            <w:r w:rsidR="00367C88">
              <w:rPr>
                <w:rFonts w:ascii="Times New Roman" w:hAnsi="Times New Roman"/>
              </w:rPr>
              <w:t>ț</w:t>
            </w:r>
            <w:r w:rsidRPr="00825E5B">
              <w:rPr>
                <w:rFonts w:ascii="Times New Roman" w:hAnsi="Times New Roman"/>
              </w:rPr>
              <w:t>ei sau al falimentului contrapăr</w:t>
            </w:r>
            <w:r w:rsidR="00367C88">
              <w:rPr>
                <w:rFonts w:ascii="Times New Roman" w:hAnsi="Times New Roman"/>
              </w:rPr>
              <w:t>ț</w:t>
            </w:r>
            <w:r w:rsidRPr="00825E5B">
              <w:rPr>
                <w:rFonts w:ascii="Times New Roman" w:hAnsi="Times New Roman"/>
              </w:rPr>
              <w:t>ii.</w:t>
            </w:r>
          </w:p>
          <w:p w:rsidR="00410E47" w:rsidRPr="00825E5B" w:rsidRDefault="00410E47" w:rsidP="007E2A41">
            <w:pPr>
              <w:pStyle w:val="BodyText1"/>
              <w:spacing w:line="240" w:lineRule="auto"/>
              <w:rPr>
                <w:rFonts w:ascii="Times New Roman" w:hAnsi="Times New Roman"/>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toate instrumentele financiare derivate de credit, nu numai pe cele atribuite portofoliului de tranzac</w:t>
            </w:r>
            <w:r w:rsidR="00367C88">
              <w:rPr>
                <w:rFonts w:ascii="Times New Roman" w:hAnsi="Times New Roman"/>
              </w:rPr>
              <w:t>ț</w:t>
            </w:r>
            <w:r w:rsidRPr="00825E5B">
              <w:rPr>
                <w:rFonts w:ascii="Times New Roman" w:hAnsi="Times New Roman"/>
              </w:rPr>
              <w:t>ionare.</w:t>
            </w:r>
          </w:p>
          <w:p w:rsidR="00410E47" w:rsidRPr="00825E5B" w:rsidRDefault="00410E47" w:rsidP="007E2A41">
            <w:pPr>
              <w:pStyle w:val="BodyText1"/>
              <w:spacing w:line="240" w:lineRule="auto"/>
              <w:rPr>
                <w:rFonts w:ascii="Times New Roman" w:hAnsi="Times New Roman"/>
                <w:b/>
                <w:bCs/>
                <w:u w:val="single"/>
              </w:rPr>
            </w:pPr>
            <w:r w:rsidRPr="00825E5B">
              <w:rPr>
                <w:rFonts w:ascii="Times New Roman" w:hAnsi="Times New Roman"/>
                <w:b/>
                <w:u w:val="single"/>
              </w:rPr>
              <w:t xml:space="preserve"> </w:t>
            </w: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{050;010}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cumpărată) – Valoarea contabilă din bilan</w:t>
            </w:r>
            <w:r w:rsidR="00367C88">
              <w:rPr>
                <w:rFonts w:ascii="Times New Roman" w:hAnsi="Times New Roman"/>
                <w:b/>
              </w:rPr>
              <w:t>ț</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4 alineatul (1) punctul 77 din CRR</w:t>
            </w:r>
          </w:p>
          <w:p w:rsidR="00410E47" w:rsidRPr="00825E5B" w:rsidRDefault="00410E47" w:rsidP="007E2A41">
            <w:pPr>
              <w:pStyle w:val="BodyText1"/>
              <w:spacing w:line="240" w:lineRule="auto"/>
              <w:rPr>
                <w:rFonts w:ascii="Times New Roman" w:hAnsi="Times New Roman"/>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instrumentelor financiare derivate de credit în cazul în care institu</w:t>
            </w:r>
            <w:r w:rsidR="00367C88">
              <w:rPr>
                <w:rFonts w:ascii="Times New Roman" w:hAnsi="Times New Roman"/>
              </w:rPr>
              <w:t>ț</w:t>
            </w:r>
            <w:r w:rsidRPr="00825E5B">
              <w:rPr>
                <w:rFonts w:ascii="Times New Roman" w:hAnsi="Times New Roman"/>
              </w:rPr>
              <w:t>ia cumpără protec</w:t>
            </w:r>
            <w:r w:rsidR="00367C88">
              <w:rPr>
                <w:rFonts w:ascii="Times New Roman" w:hAnsi="Times New Roman"/>
              </w:rPr>
              <w:t>ț</w:t>
            </w:r>
            <w:r w:rsidRPr="00825E5B">
              <w:rPr>
                <w:rFonts w:ascii="Times New Roman" w:hAnsi="Times New Roman"/>
              </w:rPr>
              <w:t xml:space="preserve">ie de credit de la o contraparte </w:t>
            </w:r>
            <w:r w:rsidR="00367C88">
              <w:rPr>
                <w:rFonts w:ascii="Times New Roman" w:hAnsi="Times New Roman"/>
              </w:rPr>
              <w:t>ș</w:t>
            </w:r>
            <w:r w:rsidRPr="00825E5B">
              <w:rPr>
                <w:rFonts w:ascii="Times New Roman" w:hAnsi="Times New Roman"/>
              </w:rPr>
              <w:t>i contractul este recunoscut în bilan</w:t>
            </w:r>
            <w:r w:rsidR="00367C88">
              <w:rPr>
                <w:rFonts w:ascii="Times New Roman" w:hAnsi="Times New Roman"/>
              </w:rPr>
              <w:t>ț</w:t>
            </w:r>
            <w:r w:rsidRPr="00825E5B">
              <w:rPr>
                <w:rFonts w:ascii="Times New Roman" w:hAnsi="Times New Roman"/>
              </w:rPr>
              <w:t xml:space="preserve"> ca activ.</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toate instrumentele financiare derivate de credit, nu numai pe cele atribuite portofoliului de tranzac</w:t>
            </w:r>
            <w:r w:rsidR="00367C88">
              <w:rPr>
                <w:rFonts w:ascii="Times New Roman" w:hAnsi="Times New Roman"/>
              </w:rPr>
              <w:t>ț</w:t>
            </w:r>
            <w:r w:rsidRPr="00825E5B">
              <w:rPr>
                <w:rFonts w:ascii="Times New Roman" w:hAnsi="Times New Roman"/>
              </w:rPr>
              <w:t>ionare.</w:t>
            </w:r>
          </w:p>
          <w:p w:rsidR="00410E47" w:rsidRPr="00825E5B" w:rsidRDefault="00410E47" w:rsidP="007E2A41">
            <w:pPr>
              <w:pStyle w:val="BodyText1"/>
              <w:spacing w:line="240" w:lineRule="auto"/>
              <w:rPr>
                <w:rFonts w:ascii="Times New Roman" w:hAnsi="Times New Roman"/>
                <w:b/>
                <w:bCs/>
                <w:u w:val="single"/>
              </w:rPr>
            </w:pPr>
            <w:r w:rsidRPr="00825E5B">
              <w:rPr>
                <w:rFonts w:ascii="Times New Roman" w:hAnsi="Times New Roman"/>
                <w:b/>
                <w:u w:val="single"/>
              </w:rPr>
              <w:t xml:space="preserve"> </w:t>
            </w: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{050;020}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cumpărată) – Valoarea contabilă presupunând că nu se recurge la compensare sau la altă tehnică CRM</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4 alineatul (1) punctul 77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instrumentelor financiare derivate de credit în cazul în care institu</w:t>
            </w:r>
            <w:r w:rsidR="00367C88">
              <w:rPr>
                <w:rFonts w:ascii="Times New Roman" w:hAnsi="Times New Roman"/>
              </w:rPr>
              <w:t>ț</w:t>
            </w:r>
            <w:r w:rsidRPr="00825E5B">
              <w:rPr>
                <w:rFonts w:ascii="Times New Roman" w:hAnsi="Times New Roman"/>
              </w:rPr>
              <w:t>ia cumpără protec</w:t>
            </w:r>
            <w:r w:rsidR="00367C88">
              <w:rPr>
                <w:rFonts w:ascii="Times New Roman" w:hAnsi="Times New Roman"/>
              </w:rPr>
              <w:t>ț</w:t>
            </w:r>
            <w:r w:rsidRPr="00825E5B">
              <w:rPr>
                <w:rFonts w:ascii="Times New Roman" w:hAnsi="Times New Roman"/>
              </w:rPr>
              <w:t xml:space="preserve">ie de credit de la o contraparte </w:t>
            </w:r>
            <w:r w:rsidR="00367C88">
              <w:rPr>
                <w:rFonts w:ascii="Times New Roman" w:hAnsi="Times New Roman"/>
              </w:rPr>
              <w:t>ș</w:t>
            </w:r>
            <w:r w:rsidRPr="00825E5B">
              <w:rPr>
                <w:rFonts w:ascii="Times New Roman" w:hAnsi="Times New Roman"/>
              </w:rPr>
              <w:t>i contractul este recunoscut în bilan</w:t>
            </w:r>
            <w:r w:rsidR="00367C88">
              <w:rPr>
                <w:rFonts w:ascii="Times New Roman" w:hAnsi="Times New Roman"/>
              </w:rPr>
              <w:t>ț</w:t>
            </w:r>
            <w:r w:rsidRPr="00825E5B">
              <w:rPr>
                <w:rFonts w:ascii="Times New Roman" w:hAnsi="Times New Roman"/>
              </w:rPr>
              <w:t xml:space="preserve"> ca activ, presupunând că nu există efecte ale compensării pruden</w:t>
            </w:r>
            <w:r w:rsidR="00367C88">
              <w:rPr>
                <w:rFonts w:ascii="Times New Roman" w:hAnsi="Times New Roman"/>
              </w:rPr>
              <w:t>ț</w:t>
            </w:r>
            <w:r w:rsidRPr="00825E5B">
              <w:rPr>
                <w:rFonts w:ascii="Times New Roman" w:hAnsi="Times New Roman"/>
              </w:rPr>
              <w:t>iale sau contabile ori ale CRM (cu alte cuvinte, se reiau eventualele efecte ale compensării contabile sau ale CRM care s-au răsfrânt asupra valorii contabile).</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toate instrumentele financiare derivate de credit, nu numai pe cele atribuite portofoliului de tranzac</w:t>
            </w:r>
            <w:r w:rsidR="00367C88">
              <w:rPr>
                <w:rFonts w:ascii="Times New Roman" w:hAnsi="Times New Roman"/>
              </w:rPr>
              <w:t>ț</w:t>
            </w:r>
            <w:r w:rsidRPr="00825E5B">
              <w:rPr>
                <w:rFonts w:ascii="Times New Roman" w:hAnsi="Times New Roman"/>
              </w:rPr>
              <w:t>ionare.</w:t>
            </w:r>
          </w:p>
          <w:p w:rsidR="00410E47" w:rsidRPr="00825E5B" w:rsidRDefault="00410E47" w:rsidP="007E2A41">
            <w:pPr>
              <w:pStyle w:val="BodyText1"/>
              <w:spacing w:line="240" w:lineRule="auto"/>
              <w:rPr>
                <w:rFonts w:ascii="Times New Roman" w:hAnsi="Times New Roman"/>
                <w:b/>
                <w:bCs/>
                <w:u w:val="single"/>
              </w:rPr>
            </w:pPr>
            <w:r w:rsidRPr="00825E5B">
              <w:rPr>
                <w:rFonts w:ascii="Times New Roman" w:hAnsi="Times New Roman"/>
                <w:b/>
                <w:u w:val="single"/>
              </w:rPr>
              <w:t xml:space="preserve"> </w:t>
            </w: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{050;050}</w:t>
            </w:r>
          </w:p>
          <w:p w:rsidR="00410E47" w:rsidRPr="00825E5B" w:rsidRDefault="00410E47" w:rsidP="00F4754B">
            <w:pPr>
              <w:pStyle w:val="BodyText1"/>
              <w:rPr>
                <w:rFonts w:ascii="Times New Roman" w:hAnsi="Times New Roman"/>
                <w:bCs/>
              </w:rPr>
            </w:pP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cumpărată) – Majorare după metoda marcării la pia</w:t>
            </w:r>
            <w:r w:rsidR="00367C88">
              <w:rPr>
                <w:rFonts w:ascii="Times New Roman" w:hAnsi="Times New Roman"/>
                <w:b/>
              </w:rPr>
              <w:t>ț</w:t>
            </w:r>
            <w:r w:rsidRPr="00825E5B">
              <w:rPr>
                <w:rFonts w:ascii="Times New Roman" w:hAnsi="Times New Roman"/>
                <w:b/>
              </w:rPr>
              <w:t>ă (presupunând că nu se recurge la compensare sau la altă tehnică CRM)</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299 alineatul (2) din CRR</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expunerea viitoare poten</w:t>
            </w:r>
            <w:r w:rsidR="00367C88">
              <w:rPr>
                <w:rFonts w:ascii="Times New Roman" w:hAnsi="Times New Roman"/>
              </w:rPr>
              <w:t>ț</w:t>
            </w:r>
            <w:r w:rsidRPr="00825E5B">
              <w:rPr>
                <w:rFonts w:ascii="Times New Roman" w:hAnsi="Times New Roman"/>
              </w:rPr>
              <w:t>ială a instrumentelor financiare derivate de credit în cazul în care institu</w:t>
            </w:r>
            <w:r w:rsidR="00367C88">
              <w:rPr>
                <w:rFonts w:ascii="Times New Roman" w:hAnsi="Times New Roman"/>
              </w:rPr>
              <w:t>ț</w:t>
            </w:r>
            <w:r w:rsidRPr="00825E5B">
              <w:rPr>
                <w:rFonts w:ascii="Times New Roman" w:hAnsi="Times New Roman"/>
              </w:rPr>
              <w:t>ia cumpără de la o contraparte protec</w:t>
            </w:r>
            <w:r w:rsidR="00367C88">
              <w:rPr>
                <w:rFonts w:ascii="Times New Roman" w:hAnsi="Times New Roman"/>
              </w:rPr>
              <w:t>ț</w:t>
            </w:r>
            <w:r w:rsidRPr="00825E5B">
              <w:rPr>
                <w:rFonts w:ascii="Times New Roman" w:hAnsi="Times New Roman"/>
              </w:rPr>
              <w:t>ie de credit, presupunând că nu se recurge la compensare sau la altă tehnică CRM.</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toate instrumentele financiare derivate de credit, nu numai pe cele atribuite portofoliului de tranzac</w:t>
            </w:r>
            <w:r w:rsidR="00367C88">
              <w:rPr>
                <w:rFonts w:ascii="Times New Roman" w:hAnsi="Times New Roman"/>
              </w:rPr>
              <w:t>ț</w:t>
            </w:r>
            <w:r w:rsidRPr="00825E5B">
              <w:rPr>
                <w:rFonts w:ascii="Times New Roman" w:hAnsi="Times New Roman"/>
              </w:rPr>
              <w:t>ionare.</w:t>
            </w:r>
          </w:p>
          <w:p w:rsidR="00410E47" w:rsidRPr="00825E5B" w:rsidRDefault="00410E47" w:rsidP="007E2A41">
            <w:pPr>
              <w:pStyle w:val="BodyText1"/>
              <w:spacing w:line="240" w:lineRule="auto"/>
              <w:rPr>
                <w:rFonts w:ascii="Times New Roman" w:hAnsi="Times New Roman"/>
                <w:b/>
                <w:bCs/>
                <w:u w:val="single"/>
              </w:rPr>
            </w:pPr>
            <w:r w:rsidRPr="00825E5B">
              <w:rPr>
                <w:rFonts w:ascii="Times New Roman" w:hAnsi="Times New Roman"/>
                <w:b/>
                <w:u w:val="single"/>
              </w:rPr>
              <w:t xml:space="preserve"> </w:t>
            </w: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lastRenderedPageBreak/>
              <w:t>{050;070}</w:t>
            </w:r>
          </w:p>
          <w:p w:rsidR="00410E47" w:rsidRPr="00825E5B" w:rsidRDefault="00410E47" w:rsidP="00F4754B">
            <w:pPr>
              <w:pStyle w:val="BodyText1"/>
              <w:rPr>
                <w:rFonts w:ascii="Times New Roman" w:hAnsi="Times New Roman"/>
                <w:bCs/>
              </w:rPr>
            </w:pP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cumpărată) – Cuantumul no</w:t>
            </w:r>
            <w:r w:rsidR="00367C88">
              <w:rPr>
                <w:rFonts w:ascii="Times New Roman" w:hAnsi="Times New Roman"/>
                <w:b/>
              </w:rPr>
              <w:t>ț</w:t>
            </w:r>
            <w:r w:rsidRPr="00825E5B">
              <w:rPr>
                <w:rFonts w:ascii="Times New Roman" w:hAnsi="Times New Roman"/>
                <w:b/>
              </w:rPr>
              <w:t>ional</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cuantumul no</w:t>
            </w:r>
            <w:r w:rsidR="00367C88">
              <w:rPr>
                <w:rFonts w:ascii="Times New Roman" w:hAnsi="Times New Roman"/>
              </w:rPr>
              <w:t>ț</w:t>
            </w:r>
            <w:r w:rsidRPr="00825E5B">
              <w:rPr>
                <w:rFonts w:ascii="Times New Roman" w:hAnsi="Times New Roman"/>
              </w:rPr>
              <w:t>ional folosit ca referin</w:t>
            </w:r>
            <w:r w:rsidR="00367C88">
              <w:rPr>
                <w:rFonts w:ascii="Times New Roman" w:hAnsi="Times New Roman"/>
              </w:rPr>
              <w:t>ț</w:t>
            </w:r>
            <w:r w:rsidRPr="00825E5B">
              <w:rPr>
                <w:rFonts w:ascii="Times New Roman" w:hAnsi="Times New Roman"/>
              </w:rPr>
              <w:t>ă de instrumentele financiare derivate de credit în cazul în care institu</w:t>
            </w:r>
            <w:r w:rsidR="00367C88">
              <w:rPr>
                <w:rFonts w:ascii="Times New Roman" w:hAnsi="Times New Roman"/>
              </w:rPr>
              <w:t>ț</w:t>
            </w:r>
            <w:r w:rsidRPr="00825E5B">
              <w:rPr>
                <w:rFonts w:ascii="Times New Roman" w:hAnsi="Times New Roman"/>
              </w:rPr>
              <w:t>ia cumpără protec</w:t>
            </w:r>
            <w:r w:rsidR="00367C88">
              <w:rPr>
                <w:rFonts w:ascii="Times New Roman" w:hAnsi="Times New Roman"/>
              </w:rPr>
              <w:t>ț</w:t>
            </w:r>
            <w:r w:rsidRPr="00825E5B">
              <w:rPr>
                <w:rFonts w:ascii="Times New Roman" w:hAnsi="Times New Roman"/>
              </w:rPr>
              <w:t xml:space="preserve">ie de credit de la o contraparte. </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iau în considerare toate instrumentele financiare derivate de credit, nu numai pe cele atribuite portofoliului de tranzac</w:t>
            </w:r>
            <w:r w:rsidR="00367C88">
              <w:rPr>
                <w:rFonts w:ascii="Times New Roman" w:hAnsi="Times New Roman"/>
              </w:rPr>
              <w:t>ț</w:t>
            </w:r>
            <w:r w:rsidRPr="00825E5B">
              <w:rPr>
                <w:rFonts w:ascii="Times New Roman" w:hAnsi="Times New Roman"/>
              </w:rPr>
              <w:t>ionare.</w:t>
            </w:r>
          </w:p>
          <w:p w:rsidR="00410E47" w:rsidRPr="00825E5B" w:rsidRDefault="00410E47" w:rsidP="007E2A41">
            <w:pPr>
              <w:pStyle w:val="BodyText1"/>
              <w:spacing w:line="240" w:lineRule="auto"/>
              <w:rPr>
                <w:rFonts w:ascii="Times New Roman" w:hAnsi="Times New Roman"/>
                <w:b/>
                <w:bCs/>
                <w:u w:val="single"/>
              </w:rPr>
            </w:pPr>
            <w:r w:rsidRPr="00825E5B">
              <w:rPr>
                <w:rFonts w:ascii="Times New Roman" w:hAnsi="Times New Roman"/>
                <w:b/>
                <w:u w:val="single"/>
              </w:rPr>
              <w:t xml:space="preserve"> </w:t>
            </w:r>
          </w:p>
        </w:tc>
      </w:tr>
      <w:tr w:rsidR="00410E47" w:rsidRPr="00825E5B" w:rsidTr="00FC2664">
        <w:tc>
          <w:tcPr>
            <w:tcW w:w="1418" w:type="dxa"/>
          </w:tcPr>
          <w:p w:rsidR="00410E47" w:rsidRPr="00825E5B" w:rsidRDefault="00410E47" w:rsidP="00F71081">
            <w:pPr>
              <w:pStyle w:val="BodyText1"/>
              <w:rPr>
                <w:rFonts w:ascii="Times New Roman" w:hAnsi="Times New Roman"/>
                <w:bCs/>
              </w:rPr>
            </w:pPr>
            <w:r w:rsidRPr="00825E5B">
              <w:rPr>
                <w:rFonts w:ascii="Times New Roman" w:hAnsi="Times New Roman"/>
              </w:rPr>
              <w:t>{050;075}</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cumpărată) – Cuantumul no</w:t>
            </w:r>
            <w:r w:rsidR="00367C88">
              <w:rPr>
                <w:rFonts w:ascii="Times New Roman" w:hAnsi="Times New Roman"/>
                <w:b/>
              </w:rPr>
              <w:t>ț</w:t>
            </w:r>
            <w:r w:rsidRPr="00825E5B">
              <w:rPr>
                <w:rFonts w:ascii="Times New Roman" w:hAnsi="Times New Roman"/>
                <w:b/>
              </w:rPr>
              <w:t>ional plafonat</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410E47">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cuantumul no</w:t>
            </w:r>
            <w:r w:rsidR="00367C88">
              <w:rPr>
                <w:rFonts w:ascii="Times New Roman" w:hAnsi="Times New Roman"/>
              </w:rPr>
              <w:t>ț</w:t>
            </w:r>
            <w:r w:rsidRPr="00825E5B">
              <w:rPr>
                <w:rFonts w:ascii="Times New Roman" w:hAnsi="Times New Roman"/>
              </w:rPr>
              <w:t>ional folosit ca referin</w:t>
            </w:r>
            <w:r w:rsidR="00367C88">
              <w:rPr>
                <w:rFonts w:ascii="Times New Roman" w:hAnsi="Times New Roman"/>
              </w:rPr>
              <w:t>ț</w:t>
            </w:r>
            <w:r w:rsidRPr="00825E5B">
              <w:rPr>
                <w:rFonts w:ascii="Times New Roman" w:hAnsi="Times New Roman"/>
              </w:rPr>
              <w:t>ă de instrumentele financiare derivate de credit (protec</w:t>
            </w:r>
            <w:r w:rsidR="00367C88">
              <w:rPr>
                <w:rFonts w:ascii="Times New Roman" w:hAnsi="Times New Roman"/>
              </w:rPr>
              <w:t>ț</w:t>
            </w:r>
            <w:r w:rsidRPr="00825E5B">
              <w:rPr>
                <w:rFonts w:ascii="Times New Roman" w:hAnsi="Times New Roman"/>
              </w:rPr>
              <w:t>ie cumpărată) ca în {050;050}, după scăderea eventualelor modificări ale valorii juste pozitive care au fost încorporate în fondurile proprii de nivel 1 în privin</w:t>
            </w:r>
            <w:r w:rsidR="00367C88">
              <w:rPr>
                <w:rFonts w:ascii="Times New Roman" w:hAnsi="Times New Roman"/>
              </w:rPr>
              <w:t>ț</w:t>
            </w:r>
            <w:r w:rsidRPr="00825E5B">
              <w:rPr>
                <w:rFonts w:ascii="Times New Roman" w:hAnsi="Times New Roman"/>
              </w:rPr>
              <w:t>a instrumentului financiar derivat de credit cumpărat.</w:t>
            </w:r>
          </w:p>
          <w:p w:rsidR="00410E47" w:rsidRPr="00825E5B" w:rsidRDefault="00410E47" w:rsidP="007E2A41">
            <w:pPr>
              <w:pStyle w:val="BodyText1"/>
              <w:spacing w:line="240" w:lineRule="auto"/>
              <w:rPr>
                <w:rFonts w:ascii="Times New Roman" w:hAnsi="Times New Roman"/>
                <w:b/>
                <w:bCs/>
              </w:rPr>
            </w:pP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{050;085}</w:t>
            </w:r>
          </w:p>
          <w:p w:rsidR="00410E47" w:rsidRPr="00825E5B" w:rsidRDefault="00410E47" w:rsidP="00F4754B">
            <w:pPr>
              <w:pStyle w:val="BodyText1"/>
              <w:rPr>
                <w:rFonts w:ascii="Times New Roman" w:hAnsi="Times New Roman"/>
                <w:bCs/>
              </w:rPr>
            </w:pPr>
          </w:p>
        </w:tc>
        <w:tc>
          <w:tcPr>
            <w:tcW w:w="7620" w:type="dxa"/>
          </w:tcPr>
          <w:p w:rsidR="00410E47" w:rsidRPr="00825E5B" w:rsidRDefault="00ED7412" w:rsidP="007E2A41">
            <w:pPr>
              <w:pStyle w:val="BodyText1"/>
              <w:spacing w:line="240" w:lineRule="auto"/>
              <w:rPr>
                <w:rFonts w:ascii="Times New Roman" w:hAnsi="Times New Roman"/>
                <w:b/>
                <w:bCs/>
              </w:rPr>
            </w:pPr>
            <w:r w:rsidRPr="00825E5B">
              <w:rPr>
                <w:rFonts w:ascii="Times New Roman" w:hAnsi="Times New Roman"/>
                <w:b/>
              </w:rPr>
              <w:t>Instrumente financiare derivate de credit (protec</w:t>
            </w:r>
            <w:r w:rsidR="00367C88">
              <w:rPr>
                <w:rFonts w:ascii="Times New Roman" w:hAnsi="Times New Roman"/>
                <w:b/>
              </w:rPr>
              <w:t>ț</w:t>
            </w:r>
            <w:r w:rsidRPr="00825E5B">
              <w:rPr>
                <w:rFonts w:ascii="Times New Roman" w:hAnsi="Times New Roman"/>
                <w:b/>
              </w:rPr>
              <w:t>ie cumpărată) – Cuantumul no</w:t>
            </w:r>
            <w:r w:rsidR="00367C88">
              <w:rPr>
                <w:rFonts w:ascii="Times New Roman" w:hAnsi="Times New Roman"/>
                <w:b/>
              </w:rPr>
              <w:t>ț</w:t>
            </w:r>
            <w:r w:rsidRPr="00825E5B">
              <w:rPr>
                <w:rFonts w:ascii="Times New Roman" w:hAnsi="Times New Roman"/>
                <w:b/>
              </w:rPr>
              <w:t>ional plafonat (acela</w:t>
            </w:r>
            <w:r w:rsidR="00367C88">
              <w:rPr>
                <w:rFonts w:ascii="Times New Roman" w:hAnsi="Times New Roman"/>
                <w:b/>
              </w:rPr>
              <w:t>ș</w:t>
            </w:r>
            <w:r w:rsidRPr="00825E5B">
              <w:rPr>
                <w:rFonts w:ascii="Times New Roman" w:hAnsi="Times New Roman"/>
                <w:b/>
              </w:rPr>
              <w:t>i nume de referin</w:t>
            </w:r>
            <w:r w:rsidR="00367C88">
              <w:rPr>
                <w:rFonts w:ascii="Times New Roman" w:hAnsi="Times New Roman"/>
                <w:b/>
              </w:rPr>
              <w:t>ț</w:t>
            </w:r>
            <w:r w:rsidRPr="00825E5B">
              <w:rPr>
                <w:rFonts w:ascii="Times New Roman" w:hAnsi="Times New Roman"/>
                <w:b/>
              </w:rPr>
              <w:t>ă)</w:t>
            </w:r>
          </w:p>
          <w:p w:rsidR="00410E47" w:rsidRPr="00825E5B" w:rsidRDefault="00410E47" w:rsidP="007E2A41">
            <w:pPr>
              <w:pStyle w:val="BodyText1"/>
              <w:spacing w:line="240" w:lineRule="auto"/>
              <w:rPr>
                <w:rFonts w:ascii="Times New Roman" w:hAnsi="Times New Roman"/>
                <w:b/>
                <w:bCs/>
                <w:u w:val="single"/>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Cuantumul no</w:t>
            </w:r>
            <w:r w:rsidR="00367C88">
              <w:rPr>
                <w:rFonts w:ascii="Times New Roman" w:hAnsi="Times New Roman"/>
              </w:rPr>
              <w:t>ț</w:t>
            </w:r>
            <w:r w:rsidRPr="00825E5B">
              <w:rPr>
                <w:rFonts w:ascii="Times New Roman" w:hAnsi="Times New Roman"/>
              </w:rPr>
              <w:t>ional folosit ca referin</w:t>
            </w:r>
            <w:r w:rsidR="00367C88">
              <w:rPr>
                <w:rFonts w:ascii="Times New Roman" w:hAnsi="Times New Roman"/>
              </w:rPr>
              <w:t>ț</w:t>
            </w:r>
            <w:r w:rsidRPr="00825E5B">
              <w:rPr>
                <w:rFonts w:ascii="Times New Roman" w:hAnsi="Times New Roman"/>
              </w:rPr>
              <w:t>ă de instrumentele financiare derivate de credit în cazul în care institu</w:t>
            </w:r>
            <w:r w:rsidR="00367C88">
              <w:rPr>
                <w:rFonts w:ascii="Times New Roman" w:hAnsi="Times New Roman"/>
              </w:rPr>
              <w:t>ț</w:t>
            </w:r>
            <w:r w:rsidRPr="00825E5B">
              <w:rPr>
                <w:rFonts w:ascii="Times New Roman" w:hAnsi="Times New Roman"/>
              </w:rPr>
              <w:t>ia cumpără protec</w:t>
            </w:r>
            <w:r w:rsidR="00367C88">
              <w:rPr>
                <w:rFonts w:ascii="Times New Roman" w:hAnsi="Times New Roman"/>
              </w:rPr>
              <w:t>ț</w:t>
            </w:r>
            <w:r w:rsidRPr="00825E5B">
              <w:rPr>
                <w:rFonts w:ascii="Times New Roman" w:hAnsi="Times New Roman"/>
              </w:rPr>
              <w:t>ie de credit pentru acela</w:t>
            </w:r>
            <w:r w:rsidR="00367C88">
              <w:rPr>
                <w:rFonts w:ascii="Times New Roman" w:hAnsi="Times New Roman"/>
              </w:rPr>
              <w:t>ș</w:t>
            </w:r>
            <w:r w:rsidRPr="00825E5B">
              <w:rPr>
                <w:rFonts w:ascii="Times New Roman" w:hAnsi="Times New Roman"/>
              </w:rPr>
              <w:t>i nume de referin</w:t>
            </w:r>
            <w:r w:rsidR="00367C88">
              <w:rPr>
                <w:rFonts w:ascii="Times New Roman" w:hAnsi="Times New Roman"/>
              </w:rPr>
              <w:t>ț</w:t>
            </w:r>
            <w:r w:rsidRPr="00825E5B">
              <w:rPr>
                <w:rFonts w:ascii="Times New Roman" w:hAnsi="Times New Roman"/>
              </w:rPr>
              <w:t>ă suport ca al instrumentelor financiare derivate de credit vândute de institu</w:t>
            </w:r>
            <w:r w:rsidR="00367C88">
              <w:rPr>
                <w:rFonts w:ascii="Times New Roman" w:hAnsi="Times New Roman"/>
              </w:rPr>
              <w:t>ț</w:t>
            </w:r>
            <w:r w:rsidRPr="00825E5B">
              <w:rPr>
                <w:rFonts w:ascii="Times New Roman" w:hAnsi="Times New Roman"/>
              </w:rPr>
              <w:t>ia raportoare.</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Pentru completarea acestei celule, numele de referin</w:t>
            </w:r>
            <w:r w:rsidR="00367C88">
              <w:rPr>
                <w:rFonts w:ascii="Times New Roman" w:hAnsi="Times New Roman"/>
              </w:rPr>
              <w:t>ț</w:t>
            </w:r>
            <w:r w:rsidRPr="00825E5B">
              <w:rPr>
                <w:rFonts w:ascii="Times New Roman" w:hAnsi="Times New Roman"/>
              </w:rPr>
              <w:t>ă suport sunt considerate a fi acelea</w:t>
            </w:r>
            <w:r w:rsidR="00367C88">
              <w:rPr>
                <w:rFonts w:ascii="Times New Roman" w:hAnsi="Times New Roman"/>
              </w:rPr>
              <w:t>ș</w:t>
            </w:r>
            <w:r w:rsidRPr="00825E5B">
              <w:rPr>
                <w:rFonts w:ascii="Times New Roman" w:hAnsi="Times New Roman"/>
              </w:rPr>
              <w:t>i dacă se referă la aceea</w:t>
            </w:r>
            <w:r w:rsidR="00367C88">
              <w:rPr>
                <w:rFonts w:ascii="Times New Roman" w:hAnsi="Times New Roman"/>
              </w:rPr>
              <w:t>ș</w:t>
            </w:r>
            <w:r w:rsidRPr="00825E5B">
              <w:rPr>
                <w:rFonts w:ascii="Times New Roman" w:hAnsi="Times New Roman"/>
              </w:rPr>
              <w:t xml:space="preserve">i entitate juridică </w:t>
            </w:r>
            <w:r w:rsidR="00367C88">
              <w:rPr>
                <w:rFonts w:ascii="Times New Roman" w:hAnsi="Times New Roman"/>
              </w:rPr>
              <w:t>ș</w:t>
            </w:r>
            <w:r w:rsidRPr="00825E5B">
              <w:rPr>
                <w:rFonts w:ascii="Times New Roman" w:hAnsi="Times New Roman"/>
              </w:rPr>
              <w:t>i la acela</w:t>
            </w:r>
            <w:r w:rsidR="00367C88">
              <w:rPr>
                <w:rFonts w:ascii="Times New Roman" w:hAnsi="Times New Roman"/>
              </w:rPr>
              <w:t>ș</w:t>
            </w:r>
            <w:r w:rsidRPr="00825E5B">
              <w:rPr>
                <w:rFonts w:ascii="Times New Roman" w:hAnsi="Times New Roman"/>
              </w:rPr>
              <w:t xml:space="preserve">i rang. </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Protec</w:t>
            </w:r>
            <w:r w:rsidR="00367C88">
              <w:rPr>
                <w:rFonts w:ascii="Times New Roman" w:hAnsi="Times New Roman"/>
              </w:rPr>
              <w:t>ț</w:t>
            </w:r>
            <w:r w:rsidRPr="00825E5B">
              <w:rPr>
                <w:rFonts w:ascii="Times New Roman" w:hAnsi="Times New Roman"/>
              </w:rPr>
              <w:t>ia de credit cumpărată pentru un grup de entită</w:t>
            </w:r>
            <w:r w:rsidR="00367C88">
              <w:rPr>
                <w:rFonts w:ascii="Times New Roman" w:hAnsi="Times New Roman"/>
              </w:rPr>
              <w:t>ț</w:t>
            </w:r>
            <w:r w:rsidRPr="00825E5B">
              <w:rPr>
                <w:rFonts w:ascii="Times New Roman" w:hAnsi="Times New Roman"/>
              </w:rPr>
              <w:t>i de referin</w:t>
            </w:r>
            <w:r w:rsidR="00367C88">
              <w:rPr>
                <w:rFonts w:ascii="Times New Roman" w:hAnsi="Times New Roman"/>
              </w:rPr>
              <w:t>ț</w:t>
            </w:r>
            <w:r w:rsidRPr="00825E5B">
              <w:rPr>
                <w:rFonts w:ascii="Times New Roman" w:hAnsi="Times New Roman"/>
              </w:rPr>
              <w:t>ă este considerată a fi aceea</w:t>
            </w:r>
            <w:r w:rsidR="00367C88">
              <w:rPr>
                <w:rFonts w:ascii="Times New Roman" w:hAnsi="Times New Roman"/>
              </w:rPr>
              <w:t>ș</w:t>
            </w:r>
            <w:r w:rsidRPr="00825E5B">
              <w:rPr>
                <w:rFonts w:ascii="Times New Roman" w:hAnsi="Times New Roman"/>
              </w:rPr>
              <w:t>i dacă această protec</w:t>
            </w:r>
            <w:r w:rsidR="00367C88">
              <w:rPr>
                <w:rFonts w:ascii="Times New Roman" w:hAnsi="Times New Roman"/>
              </w:rPr>
              <w:t>ț</w:t>
            </w:r>
            <w:r w:rsidRPr="00825E5B">
              <w:rPr>
                <w:rFonts w:ascii="Times New Roman" w:hAnsi="Times New Roman"/>
              </w:rPr>
              <w:t>ie este echivalentă din punct de vedere economic cu cumpărarea protec</w:t>
            </w:r>
            <w:r w:rsidR="00367C88">
              <w:rPr>
                <w:rFonts w:ascii="Times New Roman" w:hAnsi="Times New Roman"/>
              </w:rPr>
              <w:t>ț</w:t>
            </w:r>
            <w:r w:rsidRPr="00825E5B">
              <w:rPr>
                <w:rFonts w:ascii="Times New Roman" w:hAnsi="Times New Roman"/>
              </w:rPr>
              <w:t>iei separat, pentru fiecare nume din grup.</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Dacă o institu</w:t>
            </w:r>
            <w:r w:rsidR="00367C88">
              <w:rPr>
                <w:rFonts w:ascii="Times New Roman" w:hAnsi="Times New Roman"/>
              </w:rPr>
              <w:t>ț</w:t>
            </w:r>
            <w:r w:rsidRPr="00825E5B">
              <w:rPr>
                <w:rFonts w:ascii="Times New Roman" w:hAnsi="Times New Roman"/>
              </w:rPr>
              <w:t>ie cumpără protec</w:t>
            </w:r>
            <w:r w:rsidR="00367C88">
              <w:rPr>
                <w:rFonts w:ascii="Times New Roman" w:hAnsi="Times New Roman"/>
              </w:rPr>
              <w:t>ț</w:t>
            </w:r>
            <w:r w:rsidRPr="00825E5B">
              <w:rPr>
                <w:rFonts w:ascii="Times New Roman" w:hAnsi="Times New Roman"/>
              </w:rPr>
              <w:t>ie de credit pentru un grup de nume de referin</w:t>
            </w:r>
            <w:r w:rsidR="00367C88">
              <w:rPr>
                <w:rFonts w:ascii="Times New Roman" w:hAnsi="Times New Roman"/>
              </w:rPr>
              <w:t>ț</w:t>
            </w:r>
            <w:r w:rsidRPr="00825E5B">
              <w:rPr>
                <w:rFonts w:ascii="Times New Roman" w:hAnsi="Times New Roman"/>
              </w:rPr>
              <w:t>ă, această protec</w:t>
            </w:r>
            <w:r w:rsidR="00367C88">
              <w:rPr>
                <w:rFonts w:ascii="Times New Roman" w:hAnsi="Times New Roman"/>
              </w:rPr>
              <w:t>ț</w:t>
            </w:r>
            <w:r w:rsidRPr="00825E5B">
              <w:rPr>
                <w:rFonts w:ascii="Times New Roman" w:hAnsi="Times New Roman"/>
              </w:rPr>
              <w:t>ie de credit este considerată a fi aceea</w:t>
            </w:r>
            <w:r w:rsidR="00367C88">
              <w:rPr>
                <w:rFonts w:ascii="Times New Roman" w:hAnsi="Times New Roman"/>
              </w:rPr>
              <w:t>ș</w:t>
            </w:r>
            <w:r w:rsidRPr="00825E5B">
              <w:rPr>
                <w:rFonts w:ascii="Times New Roman" w:hAnsi="Times New Roman"/>
              </w:rPr>
              <w:t>i numai dacă protec</w:t>
            </w:r>
            <w:r w:rsidR="00367C88">
              <w:rPr>
                <w:rFonts w:ascii="Times New Roman" w:hAnsi="Times New Roman"/>
              </w:rPr>
              <w:t>ț</w:t>
            </w:r>
            <w:r w:rsidRPr="00825E5B">
              <w:rPr>
                <w:rFonts w:ascii="Times New Roman" w:hAnsi="Times New Roman"/>
              </w:rPr>
              <w:t>ia de credit cumpărată acoperă totalitatea subgrupurilor grupului pentru care protec</w:t>
            </w:r>
            <w:r w:rsidR="00367C88">
              <w:rPr>
                <w:rFonts w:ascii="Times New Roman" w:hAnsi="Times New Roman"/>
              </w:rPr>
              <w:t>ț</w:t>
            </w:r>
            <w:r w:rsidRPr="00825E5B">
              <w:rPr>
                <w:rFonts w:ascii="Times New Roman" w:hAnsi="Times New Roman"/>
              </w:rPr>
              <w:t>ia de credit a fost vândută. Cu alte cuvinte, compensarea poate fi recunoscută numai atunci când grupul de entită</w:t>
            </w:r>
            <w:r w:rsidR="00367C88">
              <w:rPr>
                <w:rFonts w:ascii="Times New Roman" w:hAnsi="Times New Roman"/>
              </w:rPr>
              <w:t>ț</w:t>
            </w:r>
            <w:r w:rsidRPr="00825E5B">
              <w:rPr>
                <w:rFonts w:ascii="Times New Roman" w:hAnsi="Times New Roman"/>
              </w:rPr>
              <w:t>i de referin</w:t>
            </w:r>
            <w:r w:rsidR="00367C88">
              <w:rPr>
                <w:rFonts w:ascii="Times New Roman" w:hAnsi="Times New Roman"/>
              </w:rPr>
              <w:t>ț</w:t>
            </w:r>
            <w:r w:rsidRPr="00825E5B">
              <w:rPr>
                <w:rFonts w:ascii="Times New Roman" w:hAnsi="Times New Roman"/>
              </w:rPr>
              <w:t xml:space="preserve">ă </w:t>
            </w:r>
            <w:r w:rsidR="00367C88">
              <w:rPr>
                <w:rFonts w:ascii="Times New Roman" w:hAnsi="Times New Roman"/>
              </w:rPr>
              <w:t>ș</w:t>
            </w:r>
            <w:r w:rsidRPr="00825E5B">
              <w:rPr>
                <w:rFonts w:ascii="Times New Roman" w:hAnsi="Times New Roman"/>
              </w:rPr>
              <w:t>i nivelul de subordonare sunt identice în ambele tranzac</w:t>
            </w:r>
            <w:r w:rsidR="00367C88">
              <w:rPr>
                <w:rFonts w:ascii="Times New Roman" w:hAnsi="Times New Roman"/>
              </w:rPr>
              <w:t>ț</w:t>
            </w:r>
            <w:r w:rsidRPr="00825E5B">
              <w:rPr>
                <w:rFonts w:ascii="Times New Roman" w:hAnsi="Times New Roman"/>
              </w:rPr>
              <w:t xml:space="preserve">ii. </w:t>
            </w:r>
          </w:p>
          <w:p w:rsidR="006B3B83" w:rsidRPr="00825E5B" w:rsidRDefault="006B3B83"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Pentru fiecare nume de referin</w:t>
            </w:r>
            <w:r w:rsidR="00367C88">
              <w:rPr>
                <w:rFonts w:ascii="Times New Roman" w:hAnsi="Times New Roman"/>
              </w:rPr>
              <w:t>ț</w:t>
            </w:r>
            <w:r w:rsidRPr="00825E5B">
              <w:rPr>
                <w:rFonts w:ascii="Times New Roman" w:hAnsi="Times New Roman"/>
              </w:rPr>
              <w:t>ă, cuantumurile no</w:t>
            </w:r>
            <w:r w:rsidR="00367C88">
              <w:rPr>
                <w:rFonts w:ascii="Times New Roman" w:hAnsi="Times New Roman"/>
              </w:rPr>
              <w:t>ț</w:t>
            </w:r>
            <w:r w:rsidRPr="00825E5B">
              <w:rPr>
                <w:rFonts w:ascii="Times New Roman" w:hAnsi="Times New Roman"/>
              </w:rPr>
              <w:t>ionale ale protec</w:t>
            </w:r>
            <w:r w:rsidR="00367C88">
              <w:rPr>
                <w:rFonts w:ascii="Times New Roman" w:hAnsi="Times New Roman"/>
              </w:rPr>
              <w:t>ț</w:t>
            </w:r>
            <w:r w:rsidRPr="00825E5B">
              <w:rPr>
                <w:rFonts w:ascii="Times New Roman" w:hAnsi="Times New Roman"/>
              </w:rPr>
              <w:t>iei de credit cumpărate care sunt luate în considerare în această celulă nu pot depă</w:t>
            </w:r>
            <w:r w:rsidR="00367C88">
              <w:rPr>
                <w:rFonts w:ascii="Times New Roman" w:hAnsi="Times New Roman"/>
              </w:rPr>
              <w:t>ș</w:t>
            </w:r>
            <w:r w:rsidRPr="00825E5B">
              <w:rPr>
                <w:rFonts w:ascii="Times New Roman" w:hAnsi="Times New Roman"/>
              </w:rPr>
              <w:t xml:space="preserve">i cuantumurile raportate în {020;075} </w:t>
            </w:r>
            <w:r w:rsidR="00367C88">
              <w:rPr>
                <w:rFonts w:ascii="Times New Roman" w:hAnsi="Times New Roman"/>
              </w:rPr>
              <w:t>ș</w:t>
            </w:r>
            <w:r w:rsidRPr="00825E5B">
              <w:rPr>
                <w:rFonts w:ascii="Times New Roman" w:hAnsi="Times New Roman"/>
              </w:rPr>
              <w:t>i {050;075}.</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{060;010}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 Valoarea contabilă din bilan</w:t>
            </w:r>
            <w:r w:rsidR="00367C88">
              <w:rPr>
                <w:rFonts w:ascii="Times New Roman" w:hAnsi="Times New Roman"/>
                <w:b/>
              </w:rPr>
              <w:t>ț</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4 alineatul (1) punctul 77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contractelor enumerate în anexa II la CRR în cazul în care contractele sunt recunoscute în bilan</w:t>
            </w:r>
            <w:r w:rsidR="00367C88">
              <w:rPr>
                <w:rFonts w:ascii="Times New Roman" w:hAnsi="Times New Roman"/>
              </w:rPr>
              <w:t>ț</w:t>
            </w:r>
            <w:r w:rsidRPr="00825E5B">
              <w:rPr>
                <w:rFonts w:ascii="Times New Roman" w:hAnsi="Times New Roman"/>
              </w:rPr>
              <w:t xml:space="preserve"> ca active.</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{060;020}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 Valoarea contabilă presupunând că nu se recurge la compensare sau la altă tehnică CRM</w:t>
            </w:r>
          </w:p>
          <w:p w:rsidR="00410E47" w:rsidRPr="00825E5B" w:rsidRDefault="00410E47" w:rsidP="006162F0">
            <w:pPr>
              <w:pStyle w:val="BodyText1"/>
              <w:spacing w:line="240" w:lineRule="auto"/>
              <w:ind w:firstLine="720"/>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4 alineatul (1) punctul 77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contractelor enumerate în anexa II la CRR în cazul în care contractele sunt recunoscute în bilan</w:t>
            </w:r>
            <w:r w:rsidR="00367C88">
              <w:rPr>
                <w:rFonts w:ascii="Times New Roman" w:hAnsi="Times New Roman"/>
              </w:rPr>
              <w:t>ț</w:t>
            </w:r>
            <w:r w:rsidRPr="00825E5B">
              <w:rPr>
                <w:rFonts w:ascii="Times New Roman" w:hAnsi="Times New Roman"/>
              </w:rPr>
              <w:t xml:space="preserve"> ca active, presupunând că nu există efecte ale compensării pruden</w:t>
            </w:r>
            <w:r w:rsidR="00367C88">
              <w:rPr>
                <w:rFonts w:ascii="Times New Roman" w:hAnsi="Times New Roman"/>
              </w:rPr>
              <w:t>ț</w:t>
            </w:r>
            <w:r w:rsidRPr="00825E5B">
              <w:rPr>
                <w:rFonts w:ascii="Times New Roman" w:hAnsi="Times New Roman"/>
              </w:rPr>
              <w:t xml:space="preserve">iale sau contabile ori alte efecte ale </w:t>
            </w:r>
            <w:r w:rsidRPr="00825E5B">
              <w:rPr>
                <w:rFonts w:ascii="Times New Roman" w:hAnsi="Times New Roman"/>
              </w:rPr>
              <w:lastRenderedPageBreak/>
              <w:t>CRM (cu alte cuvinte, se reiau eventualele efecte ale compensării contabile sau ale CRM care s-au răsfrânt asupra valorii contabile).</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lastRenderedPageBreak/>
              <w:t>{060;050}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 Majorare după metoda marcării la pia</w:t>
            </w:r>
            <w:r w:rsidR="00367C88">
              <w:rPr>
                <w:rFonts w:ascii="Times New Roman" w:hAnsi="Times New Roman"/>
                <w:b/>
              </w:rPr>
              <w:t>ț</w:t>
            </w:r>
            <w:r w:rsidRPr="00825E5B">
              <w:rPr>
                <w:rFonts w:ascii="Times New Roman" w:hAnsi="Times New Roman"/>
                <w:b/>
              </w:rPr>
              <w:t>ă (presupunând că nu se recurge la compensare sau la altă tehnică CRM)</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274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expunerea viitoare poten</w:t>
            </w:r>
            <w:r w:rsidR="00367C88">
              <w:rPr>
                <w:rFonts w:ascii="Times New Roman" w:hAnsi="Times New Roman"/>
              </w:rPr>
              <w:t>ț</w:t>
            </w:r>
            <w:r w:rsidRPr="00825E5B">
              <w:rPr>
                <w:rFonts w:ascii="Times New Roman" w:hAnsi="Times New Roman"/>
              </w:rPr>
              <w:t>ială reglementară a contractelor enumerate în anexa II la CRR, presupunând că nu se recurge la compensare sau la altă tehnică CRM.</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1081">
            <w:pPr>
              <w:pStyle w:val="BodyText1"/>
              <w:rPr>
                <w:rFonts w:ascii="Times New Roman" w:hAnsi="Times New Roman"/>
                <w:bCs/>
              </w:rPr>
            </w:pPr>
            <w:r w:rsidRPr="00825E5B">
              <w:rPr>
                <w:rFonts w:ascii="Times New Roman" w:hAnsi="Times New Roman"/>
              </w:rPr>
              <w:t>{060;070}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Instrumente financiare derivate – Cuantumul no</w:t>
            </w:r>
            <w:r w:rsidR="00367C88">
              <w:rPr>
                <w:rFonts w:ascii="Times New Roman" w:hAnsi="Times New Roman"/>
                <w:b/>
              </w:rPr>
              <w:t>ț</w:t>
            </w:r>
            <w:r w:rsidRPr="00825E5B">
              <w:rPr>
                <w:rFonts w:ascii="Times New Roman" w:hAnsi="Times New Roman"/>
                <w:b/>
              </w:rPr>
              <w:t>ional</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cuantumul no</w:t>
            </w:r>
            <w:r w:rsidR="00367C88">
              <w:rPr>
                <w:rFonts w:ascii="Times New Roman" w:hAnsi="Times New Roman"/>
              </w:rPr>
              <w:t>ț</w:t>
            </w:r>
            <w:r w:rsidRPr="00825E5B">
              <w:rPr>
                <w:rFonts w:ascii="Times New Roman" w:hAnsi="Times New Roman"/>
              </w:rPr>
              <w:t>ional folosit ca referin</w:t>
            </w:r>
            <w:r w:rsidR="00367C88">
              <w:rPr>
                <w:rFonts w:ascii="Times New Roman" w:hAnsi="Times New Roman"/>
              </w:rPr>
              <w:t>ț</w:t>
            </w:r>
            <w:r w:rsidRPr="00825E5B">
              <w:rPr>
                <w:rFonts w:ascii="Times New Roman" w:hAnsi="Times New Roman"/>
              </w:rPr>
              <w:t>ă de contractele enumerate în anexa II la CRR.</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{070;010}</w:t>
            </w:r>
          </w:p>
        </w:tc>
        <w:tc>
          <w:tcPr>
            <w:tcW w:w="7620" w:type="dxa"/>
          </w:tcPr>
          <w:p w:rsidR="00410E47" w:rsidRPr="00825E5B" w:rsidRDefault="00A36A43" w:rsidP="007E2A41">
            <w:pPr>
              <w:pStyle w:val="BodyText1"/>
              <w:spacing w:line="240" w:lineRule="auto"/>
              <w:rPr>
                <w:rFonts w:ascii="Times New Roman" w:hAnsi="Times New Roman"/>
                <w:b/>
                <w:bCs/>
              </w:rPr>
            </w:pPr>
            <w:r w:rsidRPr="00825E5B">
              <w:rPr>
                <w:rFonts w:ascii="Times New Roman" w:hAnsi="Times New Roman"/>
                <w:b/>
              </w:rPr>
              <w:t>SFT-uri acoperite de un acord-cadru de compensare – Valoarea contabilă din bilan</w:t>
            </w:r>
            <w:r w:rsidR="00367C88">
              <w:rPr>
                <w:rFonts w:ascii="Times New Roman" w:hAnsi="Times New Roman"/>
                <w:b/>
              </w:rPr>
              <w:t>ț</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 xml:space="preserve">Articolul 4 alineatul (1) punctul 77 </w:t>
            </w:r>
            <w:r w:rsidR="00367C88">
              <w:rPr>
                <w:rFonts w:ascii="Times New Roman" w:hAnsi="Times New Roman"/>
              </w:rPr>
              <w:t>ș</w:t>
            </w:r>
            <w:r w:rsidRPr="00825E5B">
              <w:rPr>
                <w:rFonts w:ascii="Times New Roman" w:hAnsi="Times New Roman"/>
              </w:rPr>
              <w:t>i articolul 206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SFT-urilor acoperite de un acord-cadru de compensare eligibil în temeiul articolului 206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
                <w:bCs/>
                <w:u w:val="single"/>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numerarul primit sau titlurile care sunt furnizate unei contrapăr</w:t>
            </w:r>
            <w:r w:rsidR="00367C88">
              <w:rPr>
                <w:rFonts w:ascii="Times New Roman" w:hAnsi="Times New Roman"/>
              </w:rPr>
              <w:t>ț</w:t>
            </w:r>
            <w:r w:rsidRPr="00825E5B">
              <w:rPr>
                <w:rFonts w:ascii="Times New Roman" w:hAnsi="Times New Roman"/>
              </w:rPr>
              <w:t>i prin intermediul tranzac</w:t>
            </w:r>
            <w:r w:rsidR="00367C88">
              <w:rPr>
                <w:rFonts w:ascii="Times New Roman" w:hAnsi="Times New Roman"/>
              </w:rPr>
              <w:t>ț</w:t>
            </w:r>
            <w:r w:rsidRPr="00825E5B">
              <w:rPr>
                <w:rFonts w:ascii="Times New Roman" w:hAnsi="Times New Roman"/>
              </w:rPr>
              <w:t>iilor sus-men</w:t>
            </w:r>
            <w:r w:rsidR="00367C88">
              <w:rPr>
                <w:rFonts w:ascii="Times New Roman" w:hAnsi="Times New Roman"/>
              </w:rPr>
              <w:t>ț</w:t>
            </w:r>
            <w:r w:rsidRPr="00825E5B">
              <w:rPr>
                <w:rFonts w:ascii="Times New Roman" w:hAnsi="Times New Roman"/>
              </w:rPr>
              <w:t xml:space="preserve">ionate </w:t>
            </w:r>
            <w:r w:rsidR="00367C88">
              <w:rPr>
                <w:rFonts w:ascii="Times New Roman" w:hAnsi="Times New Roman"/>
              </w:rPr>
              <w:t>ș</w:t>
            </w:r>
            <w:r w:rsidRPr="00825E5B">
              <w:rPr>
                <w:rFonts w:ascii="Times New Roman" w:hAnsi="Times New Roman"/>
              </w:rPr>
              <w:t>i care sunt re</w:t>
            </w:r>
            <w:r w:rsidR="00367C88">
              <w:rPr>
                <w:rFonts w:ascii="Times New Roman" w:hAnsi="Times New Roman"/>
              </w:rPr>
              <w:t>ț</w:t>
            </w:r>
            <w:r w:rsidRPr="00825E5B">
              <w:rPr>
                <w:rFonts w:ascii="Times New Roman" w:hAnsi="Times New Roman"/>
              </w:rPr>
              <w:t>inute în bilan</w:t>
            </w:r>
            <w:r w:rsidR="00367C88">
              <w:rPr>
                <w:rFonts w:ascii="Times New Roman" w:hAnsi="Times New Roman"/>
              </w:rPr>
              <w:t>ț</w:t>
            </w:r>
            <w:r w:rsidRPr="00825E5B">
              <w:rPr>
                <w:rFonts w:ascii="Times New Roman" w:hAnsi="Times New Roman"/>
              </w:rPr>
              <w:t xml:space="preserve"> (</w:t>
            </w:r>
            <w:r w:rsidR="00367C88">
              <w:rPr>
                <w:rFonts w:ascii="Times New Roman" w:hAnsi="Times New Roman"/>
              </w:rPr>
              <w:t>ș</w:t>
            </w:r>
            <w:r w:rsidRPr="00825E5B">
              <w:rPr>
                <w:rFonts w:ascii="Times New Roman" w:hAnsi="Times New Roman"/>
              </w:rPr>
              <w:t>i anume, pentru care criteriile contabile de scoatere din bilan</w:t>
            </w:r>
            <w:r w:rsidR="00367C88">
              <w:rPr>
                <w:rFonts w:ascii="Times New Roman" w:hAnsi="Times New Roman"/>
              </w:rPr>
              <w:t>ț</w:t>
            </w:r>
            <w:r w:rsidRPr="00825E5B">
              <w:rPr>
                <w:rFonts w:ascii="Times New Roman" w:hAnsi="Times New Roman"/>
              </w:rPr>
              <w:t xml:space="preserve"> nu sunt îndeplinite). Institu</w:t>
            </w:r>
            <w:r w:rsidR="00367C88">
              <w:rPr>
                <w:rFonts w:ascii="Times New Roman" w:hAnsi="Times New Roman"/>
              </w:rPr>
              <w:t>ț</w:t>
            </w:r>
            <w:r w:rsidRPr="00825E5B">
              <w:rPr>
                <w:rFonts w:ascii="Times New Roman" w:hAnsi="Times New Roman"/>
              </w:rPr>
              <w:t>iile le includ în schimb în celula {090,010}.</w:t>
            </w:r>
            <w:r w:rsidRPr="00825E5B">
              <w:rPr>
                <w:rFonts w:ascii="Times New Roman" w:hAnsi="Times New Roman"/>
                <w:b/>
                <w:u w:val="single"/>
              </w:rPr>
              <w:t xml:space="preserve"> </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{070;020}</w:t>
            </w:r>
          </w:p>
        </w:tc>
        <w:tc>
          <w:tcPr>
            <w:tcW w:w="7620" w:type="dxa"/>
          </w:tcPr>
          <w:p w:rsidR="00410E47" w:rsidRPr="00825E5B" w:rsidRDefault="00A36A43" w:rsidP="007E2A41">
            <w:pPr>
              <w:pStyle w:val="BodyText1"/>
              <w:spacing w:line="240" w:lineRule="auto"/>
              <w:rPr>
                <w:rFonts w:ascii="Times New Roman" w:hAnsi="Times New Roman"/>
                <w:b/>
                <w:bCs/>
              </w:rPr>
            </w:pPr>
            <w:r w:rsidRPr="00825E5B">
              <w:rPr>
                <w:rFonts w:ascii="Times New Roman" w:hAnsi="Times New Roman"/>
                <w:b/>
              </w:rPr>
              <w:t>SFT-uri acoperite de un acord-cadru de compensare – Valoarea contabilă presupunând că nu se recurge la compensare sau la altă tehnică CRM</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 xml:space="preserve">Articolul 4 punctul 77 </w:t>
            </w:r>
            <w:r w:rsidR="00367C88">
              <w:rPr>
                <w:rFonts w:ascii="Times New Roman" w:hAnsi="Times New Roman"/>
              </w:rPr>
              <w:t>ș</w:t>
            </w:r>
            <w:r w:rsidRPr="00825E5B">
              <w:rPr>
                <w:rFonts w:ascii="Times New Roman" w:hAnsi="Times New Roman"/>
              </w:rPr>
              <w:t>i articolul 206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SFT-urilor acoperite de un acord-cadru de compensare eligibil în temeiul articolului 206 din CRR în cazul în care contractele sunt recunoscute în bilan</w:t>
            </w:r>
            <w:r w:rsidR="00367C88">
              <w:rPr>
                <w:rFonts w:ascii="Times New Roman" w:hAnsi="Times New Roman"/>
              </w:rPr>
              <w:t>ț</w:t>
            </w:r>
            <w:r w:rsidRPr="00825E5B">
              <w:rPr>
                <w:rFonts w:ascii="Times New Roman" w:hAnsi="Times New Roman"/>
              </w:rPr>
              <w:t xml:space="preserve"> ca active, presupunând că nu există efecte ale compensării pruden</w:t>
            </w:r>
            <w:r w:rsidR="00367C88">
              <w:rPr>
                <w:rFonts w:ascii="Times New Roman" w:hAnsi="Times New Roman"/>
              </w:rPr>
              <w:t>ț</w:t>
            </w:r>
            <w:r w:rsidRPr="00825E5B">
              <w:rPr>
                <w:rFonts w:ascii="Times New Roman" w:hAnsi="Times New Roman"/>
              </w:rPr>
              <w:t>iale sau contabile ori alte efecte ale CRM (cu alte cuvinte, se reiau eventualele efecte ale compensării contabile sau ale CRM care s-au răsfrânt asupra valorii contabile). În plus, atunci când, conform cadrului contabil aplicabil, SFT-ul se înregistrează în contabilitate ca vânzare, institu</w:t>
            </w:r>
            <w:r w:rsidR="00367C88">
              <w:rPr>
                <w:rFonts w:ascii="Times New Roman" w:hAnsi="Times New Roman"/>
              </w:rPr>
              <w:t>ț</w:t>
            </w:r>
            <w:r w:rsidRPr="00825E5B">
              <w:rPr>
                <w:rFonts w:ascii="Times New Roman" w:hAnsi="Times New Roman"/>
              </w:rPr>
              <w:t>iile reiau toate înregistrările contabile legate de vânzare.</w:t>
            </w:r>
          </w:p>
          <w:p w:rsidR="00410E47" w:rsidRPr="00825E5B" w:rsidRDefault="00410E47" w:rsidP="007E2A41">
            <w:pPr>
              <w:pStyle w:val="BodyText1"/>
              <w:spacing w:line="240" w:lineRule="auto"/>
              <w:rPr>
                <w:rFonts w:ascii="Times New Roman" w:hAnsi="Times New Roman"/>
                <w:b/>
                <w:bCs/>
                <w:u w:val="single"/>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numerarul primit sau titlurile care sunt furnizate unei contrapăr</w:t>
            </w:r>
            <w:r w:rsidR="00367C88">
              <w:rPr>
                <w:rFonts w:ascii="Times New Roman" w:hAnsi="Times New Roman"/>
              </w:rPr>
              <w:t>ț</w:t>
            </w:r>
            <w:r w:rsidRPr="00825E5B">
              <w:rPr>
                <w:rFonts w:ascii="Times New Roman" w:hAnsi="Times New Roman"/>
              </w:rPr>
              <w:t>i prin intermediul tranzac</w:t>
            </w:r>
            <w:r w:rsidR="00367C88">
              <w:rPr>
                <w:rFonts w:ascii="Times New Roman" w:hAnsi="Times New Roman"/>
              </w:rPr>
              <w:t>ț</w:t>
            </w:r>
            <w:r w:rsidRPr="00825E5B">
              <w:rPr>
                <w:rFonts w:ascii="Times New Roman" w:hAnsi="Times New Roman"/>
              </w:rPr>
              <w:t>iilor sus-men</w:t>
            </w:r>
            <w:r w:rsidR="00367C88">
              <w:rPr>
                <w:rFonts w:ascii="Times New Roman" w:hAnsi="Times New Roman"/>
              </w:rPr>
              <w:t>ț</w:t>
            </w:r>
            <w:r w:rsidRPr="00825E5B">
              <w:rPr>
                <w:rFonts w:ascii="Times New Roman" w:hAnsi="Times New Roman"/>
              </w:rPr>
              <w:t xml:space="preserve">ionate </w:t>
            </w:r>
            <w:r w:rsidR="00367C88">
              <w:rPr>
                <w:rFonts w:ascii="Times New Roman" w:hAnsi="Times New Roman"/>
              </w:rPr>
              <w:t>ș</w:t>
            </w:r>
            <w:r w:rsidRPr="00825E5B">
              <w:rPr>
                <w:rFonts w:ascii="Times New Roman" w:hAnsi="Times New Roman"/>
              </w:rPr>
              <w:t>i care sunt re</w:t>
            </w:r>
            <w:r w:rsidR="00367C88">
              <w:rPr>
                <w:rFonts w:ascii="Times New Roman" w:hAnsi="Times New Roman"/>
              </w:rPr>
              <w:t>ț</w:t>
            </w:r>
            <w:r w:rsidRPr="00825E5B">
              <w:rPr>
                <w:rFonts w:ascii="Times New Roman" w:hAnsi="Times New Roman"/>
              </w:rPr>
              <w:t>inute în bilan</w:t>
            </w:r>
            <w:r w:rsidR="00367C88">
              <w:rPr>
                <w:rFonts w:ascii="Times New Roman" w:hAnsi="Times New Roman"/>
              </w:rPr>
              <w:t>ț</w:t>
            </w:r>
            <w:r w:rsidRPr="00825E5B">
              <w:rPr>
                <w:rFonts w:ascii="Times New Roman" w:hAnsi="Times New Roman"/>
              </w:rPr>
              <w:t xml:space="preserve"> (</w:t>
            </w:r>
            <w:r w:rsidR="00367C88">
              <w:rPr>
                <w:rFonts w:ascii="Times New Roman" w:hAnsi="Times New Roman"/>
              </w:rPr>
              <w:t>ș</w:t>
            </w:r>
            <w:r w:rsidRPr="00825E5B">
              <w:rPr>
                <w:rFonts w:ascii="Times New Roman" w:hAnsi="Times New Roman"/>
              </w:rPr>
              <w:t>i anume, pentru care criteriile contabile de scoatere din bilan</w:t>
            </w:r>
            <w:r w:rsidR="00367C88">
              <w:rPr>
                <w:rFonts w:ascii="Times New Roman" w:hAnsi="Times New Roman"/>
              </w:rPr>
              <w:t>ț</w:t>
            </w:r>
            <w:r w:rsidRPr="00825E5B">
              <w:rPr>
                <w:rFonts w:ascii="Times New Roman" w:hAnsi="Times New Roman"/>
              </w:rPr>
              <w:t xml:space="preserve"> nu sunt îndeplinite). Institu</w:t>
            </w:r>
            <w:r w:rsidR="00367C88">
              <w:rPr>
                <w:rFonts w:ascii="Times New Roman" w:hAnsi="Times New Roman"/>
              </w:rPr>
              <w:t>ț</w:t>
            </w:r>
            <w:r w:rsidRPr="00825E5B">
              <w:rPr>
                <w:rFonts w:ascii="Times New Roman" w:hAnsi="Times New Roman"/>
              </w:rPr>
              <w:t>iile le includ în schimb în celula {090,020}.</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1081">
            <w:pPr>
              <w:pStyle w:val="BodyText1"/>
              <w:rPr>
                <w:rFonts w:ascii="Times New Roman" w:hAnsi="Times New Roman"/>
                <w:bCs/>
              </w:rPr>
            </w:pPr>
            <w:r w:rsidRPr="00825E5B">
              <w:rPr>
                <w:rFonts w:ascii="Times New Roman" w:hAnsi="Times New Roman"/>
              </w:rPr>
              <w:t>{070;040}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Opera</w:t>
            </w:r>
            <w:r w:rsidR="00367C88">
              <w:rPr>
                <w:rFonts w:ascii="Times New Roman" w:hAnsi="Times New Roman"/>
                <w:b/>
              </w:rPr>
              <w:t>ț</w:t>
            </w:r>
            <w:r w:rsidRPr="00825E5B">
              <w:rPr>
                <w:rFonts w:ascii="Times New Roman" w:hAnsi="Times New Roman"/>
                <w:b/>
              </w:rPr>
              <w:t>iuni de finan</w:t>
            </w:r>
            <w:r w:rsidR="00367C88">
              <w:rPr>
                <w:rFonts w:ascii="Times New Roman" w:hAnsi="Times New Roman"/>
                <w:b/>
              </w:rPr>
              <w:t>ț</w:t>
            </w:r>
            <w:r w:rsidRPr="00825E5B">
              <w:rPr>
                <w:rFonts w:ascii="Times New Roman" w:hAnsi="Times New Roman"/>
                <w:b/>
              </w:rPr>
              <w:t>are a titlurilor, acoperite de un acord-cadru de compensare – Majorare pentru SFT</w:t>
            </w: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206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rPr>
              <w:t>Pentru SFT-uri, inclusiv cele extrabilan</w:t>
            </w:r>
            <w:r w:rsidR="00367C88">
              <w:rPr>
                <w:rFonts w:ascii="Times New Roman" w:hAnsi="Times New Roman"/>
              </w:rPr>
              <w:t>ț</w:t>
            </w:r>
            <w:r w:rsidRPr="00825E5B">
              <w:rPr>
                <w:rFonts w:ascii="Times New Roman" w:hAnsi="Times New Roman"/>
              </w:rPr>
              <w:t>iere, care sunt acoperite de un acord de compensare ce îndepline</w:t>
            </w:r>
            <w:r w:rsidR="00367C88">
              <w:rPr>
                <w:rFonts w:ascii="Times New Roman" w:hAnsi="Times New Roman"/>
              </w:rPr>
              <w:t>ș</w:t>
            </w:r>
            <w:r w:rsidRPr="00825E5B">
              <w:rPr>
                <w:rFonts w:ascii="Times New Roman" w:hAnsi="Times New Roman"/>
              </w:rPr>
              <w:t>te cerin</w:t>
            </w:r>
            <w:r w:rsidR="00367C88">
              <w:rPr>
                <w:rFonts w:ascii="Times New Roman" w:hAnsi="Times New Roman"/>
              </w:rPr>
              <w:t>ț</w:t>
            </w:r>
            <w:r w:rsidRPr="00825E5B">
              <w:rPr>
                <w:rFonts w:ascii="Times New Roman" w:hAnsi="Times New Roman"/>
              </w:rPr>
              <w:t>ele prevăzute la articolul 206 din CRR, institu</w:t>
            </w:r>
            <w:r w:rsidR="00367C88">
              <w:rPr>
                <w:rFonts w:ascii="Times New Roman" w:hAnsi="Times New Roman"/>
              </w:rPr>
              <w:t>ț</w:t>
            </w:r>
            <w:r w:rsidRPr="00825E5B">
              <w:rPr>
                <w:rFonts w:ascii="Times New Roman" w:hAnsi="Times New Roman"/>
              </w:rPr>
              <w:t>iile constituie seturi de compensare. Pentru fiecare set de compensare, institu</w:t>
            </w:r>
            <w:r w:rsidR="00367C88">
              <w:rPr>
                <w:rFonts w:ascii="Times New Roman" w:hAnsi="Times New Roman"/>
              </w:rPr>
              <w:t>ț</w:t>
            </w:r>
            <w:r w:rsidRPr="00825E5B">
              <w:rPr>
                <w:rFonts w:ascii="Times New Roman" w:hAnsi="Times New Roman"/>
              </w:rPr>
              <w:t>iile calculează majorarea pentru expunerea curentă a contrapăr</w:t>
            </w:r>
            <w:r w:rsidR="00367C88">
              <w:rPr>
                <w:rFonts w:ascii="Times New Roman" w:hAnsi="Times New Roman"/>
              </w:rPr>
              <w:t>ț</w:t>
            </w:r>
            <w:r w:rsidRPr="00825E5B">
              <w:rPr>
                <w:rFonts w:ascii="Times New Roman" w:hAnsi="Times New Roman"/>
              </w:rPr>
              <w:t>ii (</w:t>
            </w:r>
            <w:r w:rsidRPr="00825E5B">
              <w:rPr>
                <w:rFonts w:ascii="Times New Roman" w:hAnsi="Times New Roman"/>
                <w:i/>
              </w:rPr>
              <w:t>current counterparty exposure</w:t>
            </w:r>
            <w:r w:rsidRPr="00825E5B">
              <w:rPr>
                <w:rFonts w:ascii="Times New Roman" w:hAnsi="Times New Roman"/>
              </w:rPr>
              <w:t>, CCE), conform următoarei formule:</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825E5B">
              <w:rPr>
                <w:rFonts w:ascii="Times New Roman" w:hAnsi="Times New Roman"/>
              </w:rPr>
              <w:t xml:space="preserve"> </w:t>
            </w: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 xml:space="preserve"> </w:t>
            </w: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unde</w:t>
            </w: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lastRenderedPageBreak/>
              <w:t>i = fiecare opera</w:t>
            </w:r>
            <w:r w:rsidR="00367C88">
              <w:rPr>
                <w:rFonts w:ascii="Times New Roman" w:hAnsi="Times New Roman"/>
              </w:rPr>
              <w:t>ț</w:t>
            </w:r>
            <w:r w:rsidRPr="00825E5B">
              <w:rPr>
                <w:rFonts w:ascii="Times New Roman" w:hAnsi="Times New Roman"/>
              </w:rPr>
              <w:t>iune inclusă în setul de compensare.</w:t>
            </w: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E</w:t>
            </w:r>
            <w:r w:rsidRPr="00825E5B">
              <w:rPr>
                <w:rFonts w:ascii="Times New Roman" w:hAnsi="Times New Roman"/>
                <w:vertAlign w:val="subscript"/>
              </w:rPr>
              <w:t>i</w:t>
            </w:r>
            <w:r w:rsidRPr="00825E5B">
              <w:rPr>
                <w:rFonts w:ascii="Times New Roman" w:hAnsi="Times New Roman"/>
              </w:rPr>
              <w:t xml:space="preserve"> = pentru opera</w:t>
            </w:r>
            <w:r w:rsidR="00367C88">
              <w:rPr>
                <w:rFonts w:ascii="Times New Roman" w:hAnsi="Times New Roman"/>
              </w:rPr>
              <w:t>ț</w:t>
            </w:r>
            <w:r w:rsidRPr="00825E5B">
              <w:rPr>
                <w:rFonts w:ascii="Times New Roman" w:hAnsi="Times New Roman"/>
              </w:rPr>
              <w:t>iunea i, valoarea E</w:t>
            </w:r>
            <w:r w:rsidRPr="00825E5B">
              <w:rPr>
                <w:rFonts w:ascii="Times New Roman" w:hAnsi="Times New Roman"/>
                <w:vertAlign w:val="subscript"/>
              </w:rPr>
              <w:t>i</w:t>
            </w:r>
            <w:r w:rsidRPr="00825E5B">
              <w:rPr>
                <w:rFonts w:ascii="Times New Roman" w:hAnsi="Times New Roman"/>
              </w:rPr>
              <w:t xml:space="preserve"> definită la articolul 220 alineatul (3) din CRR.</w:t>
            </w: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C</w:t>
            </w:r>
            <w:r w:rsidRPr="00825E5B">
              <w:rPr>
                <w:rFonts w:ascii="Times New Roman" w:hAnsi="Times New Roman"/>
                <w:vertAlign w:val="subscript"/>
              </w:rPr>
              <w:t>i</w:t>
            </w:r>
            <w:r w:rsidRPr="00825E5B">
              <w:rPr>
                <w:rFonts w:ascii="Times New Roman" w:hAnsi="Times New Roman"/>
              </w:rPr>
              <w:t xml:space="preserve"> = pentru opera</w:t>
            </w:r>
            <w:r w:rsidR="00367C88">
              <w:rPr>
                <w:rFonts w:ascii="Times New Roman" w:hAnsi="Times New Roman"/>
              </w:rPr>
              <w:t>ț</w:t>
            </w:r>
            <w:r w:rsidRPr="00825E5B">
              <w:rPr>
                <w:rFonts w:ascii="Times New Roman" w:hAnsi="Times New Roman"/>
              </w:rPr>
              <w:t>iunea i, valoarea C</w:t>
            </w:r>
            <w:r w:rsidRPr="00825E5B">
              <w:rPr>
                <w:rFonts w:ascii="Times New Roman" w:hAnsi="Times New Roman"/>
                <w:vertAlign w:val="subscript"/>
              </w:rPr>
              <w:t>i</w:t>
            </w:r>
            <w:r w:rsidRPr="00825E5B">
              <w:rPr>
                <w:rFonts w:ascii="Times New Roman" w:hAnsi="Times New Roman"/>
              </w:rPr>
              <w:t xml:space="preserve"> definită la articolul 220 alineatul (3) din CRR.</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adună valorile ob</w:t>
            </w:r>
            <w:r w:rsidR="00367C88">
              <w:rPr>
                <w:rFonts w:ascii="Times New Roman" w:hAnsi="Times New Roman"/>
              </w:rPr>
              <w:t>ț</w:t>
            </w:r>
            <w:r w:rsidRPr="00825E5B">
              <w:rPr>
                <w:rFonts w:ascii="Times New Roman" w:hAnsi="Times New Roman"/>
              </w:rPr>
              <w:t xml:space="preserve">inute cu această formulă pentru toate seturile de compensare </w:t>
            </w:r>
            <w:r w:rsidR="00367C88">
              <w:rPr>
                <w:rFonts w:ascii="Times New Roman" w:hAnsi="Times New Roman"/>
              </w:rPr>
              <w:t>ș</w:t>
            </w:r>
            <w:r w:rsidRPr="00825E5B">
              <w:rPr>
                <w:rFonts w:ascii="Times New Roman" w:hAnsi="Times New Roman"/>
              </w:rPr>
              <w:t>i raportează rezultatul în această celulă.</w:t>
            </w:r>
          </w:p>
          <w:p w:rsidR="00410E47" w:rsidRPr="00825E5B" w:rsidRDefault="00410E47" w:rsidP="007E2A41">
            <w:pPr>
              <w:pStyle w:val="BodyText1"/>
              <w:spacing w:line="240" w:lineRule="auto"/>
              <w:rPr>
                <w:rFonts w:ascii="Times New Roman" w:hAnsi="Times New Roman"/>
                <w:b/>
                <w:bCs/>
              </w:rPr>
            </w:pP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lastRenderedPageBreak/>
              <w:t>{080;010}</w:t>
            </w:r>
          </w:p>
        </w:tc>
        <w:tc>
          <w:tcPr>
            <w:tcW w:w="7620" w:type="dxa"/>
          </w:tcPr>
          <w:p w:rsidR="00410E47" w:rsidRPr="00825E5B" w:rsidRDefault="00CF66B5" w:rsidP="007E2A41">
            <w:pPr>
              <w:pStyle w:val="BodyText1"/>
              <w:spacing w:line="240" w:lineRule="auto"/>
              <w:rPr>
                <w:rFonts w:ascii="Times New Roman" w:hAnsi="Times New Roman"/>
                <w:b/>
                <w:bCs/>
              </w:rPr>
            </w:pPr>
            <w:r w:rsidRPr="00825E5B">
              <w:rPr>
                <w:rFonts w:ascii="Times New Roman" w:hAnsi="Times New Roman"/>
                <w:b/>
              </w:rPr>
              <w:t>SFT-uri neacoperite de un acord-cadru de compensare – Valoarea contabilă din bilan</w:t>
            </w:r>
            <w:r w:rsidR="00367C88">
              <w:rPr>
                <w:rFonts w:ascii="Times New Roman" w:hAnsi="Times New Roman"/>
                <w:b/>
              </w:rPr>
              <w:t>ț</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4 alineatul (1) punctul 77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xml:space="preserve">, conform cadrului contabil aplicabil, a SFT-urilor care </w:t>
            </w:r>
            <w:r w:rsidRPr="00825E5B">
              <w:rPr>
                <w:rFonts w:ascii="Times New Roman" w:hAnsi="Times New Roman"/>
                <w:b/>
                <w:u w:val="single"/>
              </w:rPr>
              <w:t>nu</w:t>
            </w:r>
            <w:r w:rsidRPr="00825E5B">
              <w:rPr>
                <w:rFonts w:ascii="Times New Roman" w:hAnsi="Times New Roman"/>
              </w:rPr>
              <w:t xml:space="preserve"> sunt acoperite de un acord-cadru de compensare eligibil în temeiul articolului 206 din CRR, în cazul în care contractele sunt recunoscute în bilan</w:t>
            </w:r>
            <w:r w:rsidR="00367C88">
              <w:rPr>
                <w:rFonts w:ascii="Times New Roman" w:hAnsi="Times New Roman"/>
              </w:rPr>
              <w:t>ț</w:t>
            </w:r>
            <w:r w:rsidRPr="00825E5B">
              <w:rPr>
                <w:rFonts w:ascii="Times New Roman" w:hAnsi="Times New Roman"/>
              </w:rPr>
              <w:t xml:space="preserve"> ca active.</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numerarul primit sau titlurile care sunt furnizate unei contrapăr</w:t>
            </w:r>
            <w:r w:rsidR="00367C88">
              <w:rPr>
                <w:rFonts w:ascii="Times New Roman" w:hAnsi="Times New Roman"/>
              </w:rPr>
              <w:t>ț</w:t>
            </w:r>
            <w:r w:rsidRPr="00825E5B">
              <w:rPr>
                <w:rFonts w:ascii="Times New Roman" w:hAnsi="Times New Roman"/>
              </w:rPr>
              <w:t>i prin intermediul tranzac</w:t>
            </w:r>
            <w:r w:rsidR="00367C88">
              <w:rPr>
                <w:rFonts w:ascii="Times New Roman" w:hAnsi="Times New Roman"/>
              </w:rPr>
              <w:t>ț</w:t>
            </w:r>
            <w:r w:rsidRPr="00825E5B">
              <w:rPr>
                <w:rFonts w:ascii="Times New Roman" w:hAnsi="Times New Roman"/>
              </w:rPr>
              <w:t>iilor sus-men</w:t>
            </w:r>
            <w:r w:rsidR="00367C88">
              <w:rPr>
                <w:rFonts w:ascii="Times New Roman" w:hAnsi="Times New Roman"/>
              </w:rPr>
              <w:t>ț</w:t>
            </w:r>
            <w:r w:rsidRPr="00825E5B">
              <w:rPr>
                <w:rFonts w:ascii="Times New Roman" w:hAnsi="Times New Roman"/>
              </w:rPr>
              <w:t xml:space="preserve">ionate </w:t>
            </w:r>
            <w:r w:rsidR="00367C88">
              <w:rPr>
                <w:rFonts w:ascii="Times New Roman" w:hAnsi="Times New Roman"/>
              </w:rPr>
              <w:t>ș</w:t>
            </w:r>
            <w:r w:rsidRPr="00825E5B">
              <w:rPr>
                <w:rFonts w:ascii="Times New Roman" w:hAnsi="Times New Roman"/>
              </w:rPr>
              <w:t>i care sunt re</w:t>
            </w:r>
            <w:r w:rsidR="00367C88">
              <w:rPr>
                <w:rFonts w:ascii="Times New Roman" w:hAnsi="Times New Roman"/>
              </w:rPr>
              <w:t>ț</w:t>
            </w:r>
            <w:r w:rsidRPr="00825E5B">
              <w:rPr>
                <w:rFonts w:ascii="Times New Roman" w:hAnsi="Times New Roman"/>
              </w:rPr>
              <w:t>inute în bilan</w:t>
            </w:r>
            <w:r w:rsidR="00367C88">
              <w:rPr>
                <w:rFonts w:ascii="Times New Roman" w:hAnsi="Times New Roman"/>
              </w:rPr>
              <w:t>ț</w:t>
            </w:r>
            <w:r w:rsidRPr="00825E5B">
              <w:rPr>
                <w:rFonts w:ascii="Times New Roman" w:hAnsi="Times New Roman"/>
              </w:rPr>
              <w:t xml:space="preserve"> (</w:t>
            </w:r>
            <w:r w:rsidR="00367C88">
              <w:rPr>
                <w:rFonts w:ascii="Times New Roman" w:hAnsi="Times New Roman"/>
              </w:rPr>
              <w:t>ș</w:t>
            </w:r>
            <w:r w:rsidRPr="00825E5B">
              <w:rPr>
                <w:rFonts w:ascii="Times New Roman" w:hAnsi="Times New Roman"/>
              </w:rPr>
              <w:t>i anume, pentru care criteriile contabile de scoatere din bilan</w:t>
            </w:r>
            <w:r w:rsidR="00367C88">
              <w:rPr>
                <w:rFonts w:ascii="Times New Roman" w:hAnsi="Times New Roman"/>
              </w:rPr>
              <w:t>ț</w:t>
            </w:r>
            <w:r w:rsidRPr="00825E5B">
              <w:rPr>
                <w:rFonts w:ascii="Times New Roman" w:hAnsi="Times New Roman"/>
              </w:rPr>
              <w:t xml:space="preserve"> nu sunt îndeplinite). Institu</w:t>
            </w:r>
            <w:r w:rsidR="00367C88">
              <w:rPr>
                <w:rFonts w:ascii="Times New Roman" w:hAnsi="Times New Roman"/>
              </w:rPr>
              <w:t>ț</w:t>
            </w:r>
            <w:r w:rsidRPr="00825E5B">
              <w:rPr>
                <w:rFonts w:ascii="Times New Roman" w:hAnsi="Times New Roman"/>
              </w:rPr>
              <w:t>iile le includ în schimb în celula {090,010}.</w:t>
            </w:r>
            <w:r w:rsidRPr="00825E5B">
              <w:rPr>
                <w:rFonts w:ascii="Times New Roman" w:hAnsi="Times New Roman"/>
                <w:b/>
                <w:u w:val="single"/>
              </w:rPr>
              <w:t xml:space="preserve"> </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{080;020}</w:t>
            </w:r>
          </w:p>
        </w:tc>
        <w:tc>
          <w:tcPr>
            <w:tcW w:w="7620" w:type="dxa"/>
          </w:tcPr>
          <w:p w:rsidR="00410E47" w:rsidRPr="00825E5B" w:rsidRDefault="00CF66B5" w:rsidP="007E2A41">
            <w:pPr>
              <w:pStyle w:val="BodyText1"/>
              <w:spacing w:line="240" w:lineRule="auto"/>
              <w:rPr>
                <w:rFonts w:ascii="Times New Roman" w:hAnsi="Times New Roman"/>
                <w:b/>
                <w:bCs/>
              </w:rPr>
            </w:pPr>
            <w:r w:rsidRPr="00825E5B">
              <w:rPr>
                <w:rFonts w:ascii="Times New Roman" w:hAnsi="Times New Roman"/>
                <w:b/>
              </w:rPr>
              <w:t>SFT-uri neacoperite de un acord-cadru de compensare – Valoarea contabilă presupunând că nu se recurge la compensare sau la altă tehnică CRM</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4 alineatul (1) punctul 77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xml:space="preserve">, conform cadrului contabil aplicabil, a SFT-urilor care </w:t>
            </w:r>
            <w:r w:rsidRPr="00825E5B">
              <w:rPr>
                <w:rFonts w:ascii="Times New Roman" w:hAnsi="Times New Roman"/>
                <w:b/>
                <w:u w:val="single"/>
              </w:rPr>
              <w:t>nu</w:t>
            </w:r>
            <w:r w:rsidRPr="00825E5B">
              <w:rPr>
                <w:rFonts w:ascii="Times New Roman" w:hAnsi="Times New Roman"/>
              </w:rPr>
              <w:t xml:space="preserve"> sunt acoperite de un acord-cadru de compensare eligibil în temeiul articolului 206 din CRR, în cazul în care contractele sunt recunoscute în bilan</w:t>
            </w:r>
            <w:r w:rsidR="00367C88">
              <w:rPr>
                <w:rFonts w:ascii="Times New Roman" w:hAnsi="Times New Roman"/>
              </w:rPr>
              <w:t>ț</w:t>
            </w:r>
            <w:r w:rsidRPr="00825E5B">
              <w:rPr>
                <w:rFonts w:ascii="Times New Roman" w:hAnsi="Times New Roman"/>
              </w:rPr>
              <w:t xml:space="preserve"> ca active, presupunând că nu există efecte ale compensării contabile ori alte efecte ale CRM (cu alte cuvinte, se reiau eventualele efecte ale compensării contabile sau ale CRM care s-au răsfrânt asupra valorii contabile). În plus, atunci când, conform cadrului contabil aplicabil, SFT-ul se înregistrează în contabilitate ca vânzare, institu</w:t>
            </w:r>
            <w:r w:rsidR="00367C88">
              <w:rPr>
                <w:rFonts w:ascii="Times New Roman" w:hAnsi="Times New Roman"/>
              </w:rPr>
              <w:t>ț</w:t>
            </w:r>
            <w:r w:rsidRPr="00825E5B">
              <w:rPr>
                <w:rFonts w:ascii="Times New Roman" w:hAnsi="Times New Roman"/>
              </w:rPr>
              <w:t>iile reiau toate înregistrările contabile legate de vânzare.</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numerarul primit sau titlurile care sunt furnizate unei contrapăr</w:t>
            </w:r>
            <w:r w:rsidR="00367C88">
              <w:rPr>
                <w:rFonts w:ascii="Times New Roman" w:hAnsi="Times New Roman"/>
              </w:rPr>
              <w:t>ț</w:t>
            </w:r>
            <w:r w:rsidRPr="00825E5B">
              <w:rPr>
                <w:rFonts w:ascii="Times New Roman" w:hAnsi="Times New Roman"/>
              </w:rPr>
              <w:t>i prin intermediul tranzac</w:t>
            </w:r>
            <w:r w:rsidR="00367C88">
              <w:rPr>
                <w:rFonts w:ascii="Times New Roman" w:hAnsi="Times New Roman"/>
              </w:rPr>
              <w:t>ț</w:t>
            </w:r>
            <w:r w:rsidRPr="00825E5B">
              <w:rPr>
                <w:rFonts w:ascii="Times New Roman" w:hAnsi="Times New Roman"/>
              </w:rPr>
              <w:t>iilor sus-men</w:t>
            </w:r>
            <w:r w:rsidR="00367C88">
              <w:rPr>
                <w:rFonts w:ascii="Times New Roman" w:hAnsi="Times New Roman"/>
              </w:rPr>
              <w:t>ț</w:t>
            </w:r>
            <w:r w:rsidRPr="00825E5B">
              <w:rPr>
                <w:rFonts w:ascii="Times New Roman" w:hAnsi="Times New Roman"/>
              </w:rPr>
              <w:t xml:space="preserve">ionate </w:t>
            </w:r>
            <w:r w:rsidR="00367C88">
              <w:rPr>
                <w:rFonts w:ascii="Times New Roman" w:hAnsi="Times New Roman"/>
              </w:rPr>
              <w:t>ș</w:t>
            </w:r>
            <w:r w:rsidRPr="00825E5B">
              <w:rPr>
                <w:rFonts w:ascii="Times New Roman" w:hAnsi="Times New Roman"/>
              </w:rPr>
              <w:t>i care sunt re</w:t>
            </w:r>
            <w:r w:rsidR="00367C88">
              <w:rPr>
                <w:rFonts w:ascii="Times New Roman" w:hAnsi="Times New Roman"/>
              </w:rPr>
              <w:t>ț</w:t>
            </w:r>
            <w:r w:rsidRPr="00825E5B">
              <w:rPr>
                <w:rFonts w:ascii="Times New Roman" w:hAnsi="Times New Roman"/>
              </w:rPr>
              <w:t>inute în bilan</w:t>
            </w:r>
            <w:r w:rsidR="00367C88">
              <w:rPr>
                <w:rFonts w:ascii="Times New Roman" w:hAnsi="Times New Roman"/>
              </w:rPr>
              <w:t>ț</w:t>
            </w:r>
            <w:r w:rsidRPr="00825E5B">
              <w:rPr>
                <w:rFonts w:ascii="Times New Roman" w:hAnsi="Times New Roman"/>
              </w:rPr>
              <w:t xml:space="preserve"> (</w:t>
            </w:r>
            <w:r w:rsidR="00367C88">
              <w:rPr>
                <w:rFonts w:ascii="Times New Roman" w:hAnsi="Times New Roman"/>
              </w:rPr>
              <w:t>ș</w:t>
            </w:r>
            <w:r w:rsidRPr="00825E5B">
              <w:rPr>
                <w:rFonts w:ascii="Times New Roman" w:hAnsi="Times New Roman"/>
              </w:rPr>
              <w:t>i anume, pentru care criteriile contabile de scoatere din bilan</w:t>
            </w:r>
            <w:r w:rsidR="00367C88">
              <w:rPr>
                <w:rFonts w:ascii="Times New Roman" w:hAnsi="Times New Roman"/>
              </w:rPr>
              <w:t>ț</w:t>
            </w:r>
            <w:r w:rsidRPr="00825E5B">
              <w:rPr>
                <w:rFonts w:ascii="Times New Roman" w:hAnsi="Times New Roman"/>
              </w:rPr>
              <w:t xml:space="preserve"> nu sunt îndeplinite). Institu</w:t>
            </w:r>
            <w:r w:rsidR="00367C88">
              <w:rPr>
                <w:rFonts w:ascii="Times New Roman" w:hAnsi="Times New Roman"/>
              </w:rPr>
              <w:t>ț</w:t>
            </w:r>
            <w:r w:rsidRPr="00825E5B">
              <w:rPr>
                <w:rFonts w:ascii="Times New Roman" w:hAnsi="Times New Roman"/>
              </w:rPr>
              <w:t>iile le includ în schimb în celula {090,020}.</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{080;040}</w:t>
            </w:r>
          </w:p>
        </w:tc>
        <w:tc>
          <w:tcPr>
            <w:tcW w:w="7620" w:type="dxa"/>
          </w:tcPr>
          <w:p w:rsidR="00410E47" w:rsidRPr="00825E5B" w:rsidRDefault="00CF66B5" w:rsidP="007E2A41">
            <w:pPr>
              <w:pStyle w:val="BodyText1"/>
              <w:spacing w:line="240" w:lineRule="auto"/>
              <w:rPr>
                <w:rFonts w:ascii="Times New Roman" w:hAnsi="Times New Roman"/>
                <w:b/>
                <w:bCs/>
              </w:rPr>
            </w:pPr>
            <w:r w:rsidRPr="00825E5B">
              <w:rPr>
                <w:rFonts w:ascii="Times New Roman" w:hAnsi="Times New Roman"/>
                <w:b/>
              </w:rPr>
              <w:t>SFT-uri neacoperite de un acord-cadru de compensare – Majorare pentru SFT</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206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217B44">
            <w:pPr>
              <w:pStyle w:val="BodyText1"/>
              <w:spacing w:line="240" w:lineRule="auto"/>
              <w:rPr>
                <w:color w:val="auto"/>
              </w:rPr>
            </w:pPr>
            <w:r w:rsidRPr="00825E5B">
              <w:rPr>
                <w:rFonts w:ascii="Times New Roman" w:hAnsi="Times New Roman"/>
              </w:rPr>
              <w:t>Pentru SFT-uri, inclusiv cele extrabilan</w:t>
            </w:r>
            <w:r w:rsidR="00367C88">
              <w:rPr>
                <w:rFonts w:ascii="Times New Roman" w:hAnsi="Times New Roman"/>
              </w:rPr>
              <w:t>ț</w:t>
            </w:r>
            <w:r w:rsidRPr="00825E5B">
              <w:rPr>
                <w:rFonts w:ascii="Times New Roman" w:hAnsi="Times New Roman"/>
              </w:rPr>
              <w:t xml:space="preserve">iere, care </w:t>
            </w:r>
            <w:r w:rsidRPr="00825E5B">
              <w:rPr>
                <w:rFonts w:ascii="Times New Roman" w:hAnsi="Times New Roman"/>
                <w:b/>
                <w:u w:val="single"/>
              </w:rPr>
              <w:t>nu</w:t>
            </w:r>
            <w:r w:rsidRPr="00825E5B">
              <w:rPr>
                <w:rFonts w:ascii="Times New Roman" w:hAnsi="Times New Roman"/>
              </w:rPr>
              <w:t xml:space="preserve"> sunt acoperite de un acord-cadru de compensare eligibil în temeiul articolului 206 din CRR, institu</w:t>
            </w:r>
            <w:r w:rsidR="00367C88">
              <w:rPr>
                <w:rFonts w:ascii="Times New Roman" w:hAnsi="Times New Roman"/>
              </w:rPr>
              <w:t>ț</w:t>
            </w:r>
            <w:r w:rsidRPr="00825E5B">
              <w:rPr>
                <w:rFonts w:ascii="Times New Roman" w:hAnsi="Times New Roman"/>
              </w:rPr>
              <w:t>iile constituie seturi formate din toate activele incluse într-o opera</w:t>
            </w:r>
            <w:r w:rsidR="00367C88">
              <w:rPr>
                <w:rFonts w:ascii="Times New Roman" w:hAnsi="Times New Roman"/>
              </w:rPr>
              <w:t>ț</w:t>
            </w:r>
            <w:r w:rsidRPr="00825E5B">
              <w:rPr>
                <w:rFonts w:ascii="Times New Roman" w:hAnsi="Times New Roman"/>
              </w:rPr>
              <w:t xml:space="preserve">iune (cu alte cuvinte, fiecare SFT este tratat ca un set) </w:t>
            </w:r>
            <w:r w:rsidR="00367C88">
              <w:rPr>
                <w:rFonts w:ascii="Times New Roman" w:hAnsi="Times New Roman"/>
              </w:rPr>
              <w:t>ș</w:t>
            </w:r>
            <w:r w:rsidRPr="00825E5B">
              <w:rPr>
                <w:rFonts w:ascii="Times New Roman" w:hAnsi="Times New Roman"/>
              </w:rPr>
              <w:t>i determină în cazul fiecărui set majorarea pentru expunerea curentă a contrapăr</w:t>
            </w:r>
            <w:r w:rsidR="00367C88">
              <w:rPr>
                <w:rFonts w:ascii="Times New Roman" w:hAnsi="Times New Roman"/>
              </w:rPr>
              <w:t>ț</w:t>
            </w:r>
            <w:r w:rsidRPr="00825E5B">
              <w:rPr>
                <w:rFonts w:ascii="Times New Roman" w:hAnsi="Times New Roman"/>
              </w:rPr>
              <w:t xml:space="preserve">ii (CCE), conform următoarei formule: </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CCE = max {(E – C); 0}</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unde</w:t>
            </w: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E = , valoarea E</w:t>
            </w:r>
            <w:r w:rsidRPr="00825E5B">
              <w:rPr>
                <w:rFonts w:ascii="Times New Roman" w:hAnsi="Times New Roman"/>
                <w:vertAlign w:val="subscript"/>
              </w:rPr>
              <w:t>i</w:t>
            </w:r>
            <w:r w:rsidRPr="00825E5B">
              <w:rPr>
                <w:rFonts w:ascii="Times New Roman" w:hAnsi="Times New Roman"/>
              </w:rPr>
              <w:t xml:space="preserve"> definită la articolul 220 alineatul (3) din CRR.</w:t>
            </w: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C = , valoarea C</w:t>
            </w:r>
            <w:r w:rsidRPr="00825E5B">
              <w:rPr>
                <w:rFonts w:ascii="Times New Roman" w:hAnsi="Times New Roman"/>
                <w:vertAlign w:val="subscript"/>
              </w:rPr>
              <w:t>i</w:t>
            </w:r>
            <w:r w:rsidRPr="00825E5B">
              <w:rPr>
                <w:rFonts w:ascii="Times New Roman" w:hAnsi="Times New Roman"/>
              </w:rPr>
              <w:t xml:space="preserve"> definită la articolul 220 alineatul (3) din CRR.</w:t>
            </w:r>
          </w:p>
          <w:p w:rsidR="00410E47" w:rsidRPr="00825E5B" w:rsidRDefault="00410E47" w:rsidP="007E2A41">
            <w:pPr>
              <w:pStyle w:val="BodyText1"/>
              <w:spacing w:line="240" w:lineRule="auto"/>
              <w:rPr>
                <w:rFonts w:ascii="Times New Roman" w:hAnsi="Times New Roman"/>
                <w:b/>
                <w:bCs/>
                <w:u w:val="single"/>
              </w:rPr>
            </w:pPr>
          </w:p>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adună valorile ob</w:t>
            </w:r>
            <w:r w:rsidR="00367C88">
              <w:rPr>
                <w:rFonts w:ascii="Times New Roman" w:hAnsi="Times New Roman"/>
              </w:rPr>
              <w:t>ț</w:t>
            </w:r>
            <w:r w:rsidRPr="00825E5B">
              <w:rPr>
                <w:rFonts w:ascii="Times New Roman" w:hAnsi="Times New Roman"/>
              </w:rPr>
              <w:t>inute cu această formulă pentru toate seturile sus-men</w:t>
            </w:r>
            <w:r w:rsidR="00367C88">
              <w:rPr>
                <w:rFonts w:ascii="Times New Roman" w:hAnsi="Times New Roman"/>
              </w:rPr>
              <w:t>ț</w:t>
            </w:r>
            <w:r w:rsidRPr="00825E5B">
              <w:rPr>
                <w:rFonts w:ascii="Times New Roman" w:hAnsi="Times New Roman"/>
              </w:rPr>
              <w:t xml:space="preserve">ionate </w:t>
            </w:r>
            <w:r w:rsidR="00367C88">
              <w:rPr>
                <w:rFonts w:ascii="Times New Roman" w:hAnsi="Times New Roman"/>
              </w:rPr>
              <w:t>ș</w:t>
            </w:r>
            <w:r w:rsidRPr="00825E5B">
              <w:rPr>
                <w:rFonts w:ascii="Times New Roman" w:hAnsi="Times New Roman"/>
              </w:rPr>
              <w:t>i raportează rezultatul în această celulă.</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t>{090;010}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Alte active – Valoarea contabilă din bilan</w:t>
            </w:r>
            <w:r w:rsidR="00367C88">
              <w:rPr>
                <w:rFonts w:ascii="Times New Roman" w:hAnsi="Times New Roman"/>
                <w:b/>
              </w:rPr>
              <w:t>ț</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lastRenderedPageBreak/>
              <w:t>Articolul 4 alineatul (1) punctul 77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tuturor activelor, cu excep</w:t>
            </w:r>
            <w:r w:rsidR="00367C88">
              <w:rPr>
                <w:rFonts w:ascii="Times New Roman" w:hAnsi="Times New Roman"/>
              </w:rPr>
              <w:t>ț</w:t>
            </w:r>
            <w:r w:rsidRPr="00825E5B">
              <w:rPr>
                <w:rFonts w:ascii="Times New Roman" w:hAnsi="Times New Roman"/>
              </w:rPr>
              <w:t xml:space="preserve">ia contractelor enumerate în anexa II la CRR, a instrumentelor financiare derivate de credit </w:t>
            </w:r>
            <w:r w:rsidR="00367C88">
              <w:rPr>
                <w:rFonts w:ascii="Times New Roman" w:hAnsi="Times New Roman"/>
              </w:rPr>
              <w:t>ș</w:t>
            </w:r>
            <w:r w:rsidRPr="00825E5B">
              <w:rPr>
                <w:rFonts w:ascii="Times New Roman" w:hAnsi="Times New Roman"/>
              </w:rPr>
              <w:t>i a SFT-urilor.</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4754B">
            <w:pPr>
              <w:pStyle w:val="BodyText1"/>
              <w:rPr>
                <w:rFonts w:ascii="Times New Roman" w:hAnsi="Times New Roman"/>
                <w:bCs/>
              </w:rPr>
            </w:pPr>
            <w:r w:rsidRPr="00825E5B">
              <w:rPr>
                <w:rFonts w:ascii="Times New Roman" w:hAnsi="Times New Roman"/>
              </w:rPr>
              <w:lastRenderedPageBreak/>
              <w:t>{090;020}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Alte active – Valoarea contabilă presupunând că nu se recurge la compensare sau la altă tehnică CRM</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4 alineatul (1) punctul 77 din CRR</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tuturor activelor, cu excep</w:t>
            </w:r>
            <w:r w:rsidR="00367C88">
              <w:rPr>
                <w:rFonts w:ascii="Times New Roman" w:hAnsi="Times New Roman"/>
              </w:rPr>
              <w:t>ț</w:t>
            </w:r>
            <w:r w:rsidRPr="00825E5B">
              <w:rPr>
                <w:rFonts w:ascii="Times New Roman" w:hAnsi="Times New Roman"/>
              </w:rPr>
              <w:t xml:space="preserve">ia contractelor enumerate în anexa II la CRR, a instrumentelor financiare derivate de credit </w:t>
            </w:r>
            <w:r w:rsidR="00367C88">
              <w:rPr>
                <w:rFonts w:ascii="Times New Roman" w:hAnsi="Times New Roman"/>
              </w:rPr>
              <w:t>ș</w:t>
            </w:r>
            <w:r w:rsidRPr="00825E5B">
              <w:rPr>
                <w:rFonts w:ascii="Times New Roman" w:hAnsi="Times New Roman"/>
              </w:rPr>
              <w:t>i a SFT-urilor, presupunând că nu există efecte ale compensării contabile ori alte efecte ale CRM (cu alte cuvinte, se reiau eventualele efecte ale compensării contabile sau ale CRM care s-au răsfrânt asupra valorii contabile).</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{100;070}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Elemente extrabilan</w:t>
            </w:r>
            <w:r w:rsidR="00367C88">
              <w:rPr>
                <w:rFonts w:ascii="Times New Roman" w:hAnsi="Times New Roman"/>
                <w:b/>
              </w:rPr>
              <w:t>ț</w:t>
            </w:r>
            <w:r w:rsidRPr="00825E5B">
              <w:rPr>
                <w:rFonts w:ascii="Times New Roman" w:hAnsi="Times New Roman"/>
                <w:b/>
              </w:rPr>
              <w:t>iere cu risc scăzut conform abordării standardizate a riscului de credit; din care – valoare nominală</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111 din CRR</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valoarea nominală a elementelor extrabilan</w:t>
            </w:r>
            <w:r w:rsidR="00367C88">
              <w:rPr>
                <w:rFonts w:ascii="Times New Roman" w:hAnsi="Times New Roman"/>
              </w:rPr>
              <w:t>ț</w:t>
            </w:r>
            <w:r w:rsidRPr="00825E5B">
              <w:rPr>
                <w:rFonts w:ascii="Times New Roman" w:hAnsi="Times New Roman"/>
              </w:rPr>
              <w:t>iere cărora li s-ar aplica un factor de conversie a creditului de 0 % în cadrul abordării standardizate a riscului de credit.</w:t>
            </w:r>
            <w:r w:rsidRPr="00825E5B">
              <w:t xml:space="preserve"> </w:t>
            </w:r>
            <w:r w:rsidRPr="00825E5B">
              <w:rPr>
                <w:rFonts w:ascii="Times New Roman" w:hAnsi="Times New Roman"/>
              </w:rPr>
              <w:t>Din această valoare nu se scad ajustările specifice pentru riscul de credit.</w:t>
            </w:r>
          </w:p>
          <w:p w:rsidR="004D36F1" w:rsidRPr="00825E5B" w:rsidRDefault="004D36F1" w:rsidP="007E2A41">
            <w:pPr>
              <w:pStyle w:val="BodyText1"/>
              <w:spacing w:line="240" w:lineRule="auto"/>
              <w:rPr>
                <w:rFonts w:ascii="Times New Roman" w:hAnsi="Times New Roman"/>
                <w:bCs/>
              </w:rPr>
            </w:pPr>
          </w:p>
          <w:p w:rsidR="004D36F1" w:rsidRPr="00825E5B" w:rsidRDefault="004D36F1"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{110;070}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Expuneri de tip retail reînnoibile; din care – valoare nominală</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 xml:space="preserve">Articolul 111 </w:t>
            </w:r>
            <w:r w:rsidR="00367C88">
              <w:rPr>
                <w:rFonts w:ascii="Times New Roman" w:hAnsi="Times New Roman"/>
              </w:rPr>
              <w:t>ș</w:t>
            </w:r>
            <w:r w:rsidRPr="00825E5B">
              <w:rPr>
                <w:rFonts w:ascii="Times New Roman" w:hAnsi="Times New Roman"/>
              </w:rPr>
              <w:t>i articolul 154 alineatul (4) din CRR</w:t>
            </w:r>
          </w:p>
          <w:p w:rsidR="00410E47" w:rsidRPr="00825E5B" w:rsidRDefault="00410E47" w:rsidP="007E2A41">
            <w:pPr>
              <w:pStyle w:val="BodyText1"/>
              <w:spacing w:line="240" w:lineRule="auto"/>
              <w:rPr>
                <w:rFonts w:ascii="Times New Roman" w:hAnsi="Times New Roman"/>
                <w:bCs/>
              </w:rPr>
            </w:pPr>
          </w:p>
          <w:p w:rsidR="00CF66B5"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valoarea nominală a expunerilor extrabilan</w:t>
            </w:r>
            <w:r w:rsidR="00367C88">
              <w:rPr>
                <w:rFonts w:ascii="Times New Roman" w:hAnsi="Times New Roman"/>
              </w:rPr>
              <w:t>ț</w:t>
            </w:r>
            <w:r w:rsidRPr="00825E5B">
              <w:rPr>
                <w:rFonts w:ascii="Times New Roman" w:hAnsi="Times New Roman"/>
              </w:rPr>
              <w:t>iere eligibile de tip retail reînnoibile care îndeplinesc condi</w:t>
            </w:r>
            <w:r w:rsidR="00367C88">
              <w:rPr>
                <w:rFonts w:ascii="Times New Roman" w:hAnsi="Times New Roman"/>
              </w:rPr>
              <w:t>ț</w:t>
            </w:r>
            <w:r w:rsidRPr="00825E5B">
              <w:rPr>
                <w:rFonts w:ascii="Times New Roman" w:hAnsi="Times New Roman"/>
              </w:rPr>
              <w:t>iile prevăzute la articolul 154 alineatul (4) literele (a)-(c) din CRR. Din această valoare nu se scad ajustările specifice pentru riscul de credit.</w:t>
            </w:r>
          </w:p>
          <w:p w:rsidR="00CF66B5" w:rsidRPr="00825E5B" w:rsidRDefault="00CF66B5"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În această categorie intră toate expunerile fa</w:t>
            </w:r>
            <w:r w:rsidR="00367C88">
              <w:rPr>
                <w:rFonts w:ascii="Times New Roman" w:hAnsi="Times New Roman"/>
              </w:rPr>
              <w:t>ț</w:t>
            </w:r>
            <w:r w:rsidRPr="00825E5B">
              <w:rPr>
                <w:rFonts w:ascii="Times New Roman" w:hAnsi="Times New Roman"/>
              </w:rPr>
              <w:t xml:space="preserve">ă de persoane fizice care sunt reînnoibile </w:t>
            </w:r>
            <w:r w:rsidR="00367C88">
              <w:rPr>
                <w:rFonts w:ascii="Times New Roman" w:hAnsi="Times New Roman"/>
              </w:rPr>
              <w:t>ș</w:t>
            </w:r>
            <w:r w:rsidRPr="00825E5B">
              <w:rPr>
                <w:rFonts w:ascii="Times New Roman" w:hAnsi="Times New Roman"/>
              </w:rPr>
              <w:t>i revocabile necondi</w:t>
            </w:r>
            <w:r w:rsidR="00367C88">
              <w:rPr>
                <w:rFonts w:ascii="Times New Roman" w:hAnsi="Times New Roman"/>
              </w:rPr>
              <w:t>ț</w:t>
            </w:r>
            <w:r w:rsidRPr="00825E5B">
              <w:rPr>
                <w:rFonts w:ascii="Times New Roman" w:hAnsi="Times New Roman"/>
              </w:rPr>
              <w:t xml:space="preserve">ionat, astfel cum se descrie la articolul 149 litera (b) din CRR, </w:t>
            </w:r>
            <w:r w:rsidR="00367C88">
              <w:rPr>
                <w:rFonts w:ascii="Times New Roman" w:hAnsi="Times New Roman"/>
              </w:rPr>
              <w:t>ș</w:t>
            </w:r>
            <w:r w:rsidRPr="00825E5B">
              <w:rPr>
                <w:rFonts w:ascii="Times New Roman" w:hAnsi="Times New Roman"/>
              </w:rPr>
              <w:t>i al căror total este limitat la 100 000 EUR per debitor.</w:t>
            </w:r>
          </w:p>
          <w:p w:rsidR="004D36F1" w:rsidRPr="00825E5B" w:rsidRDefault="004D36F1" w:rsidP="007E2A41">
            <w:pPr>
              <w:pStyle w:val="BodyText1"/>
              <w:spacing w:line="240" w:lineRule="auto"/>
              <w:rPr>
                <w:rFonts w:ascii="Times New Roman" w:hAnsi="Times New Roman"/>
                <w:bCs/>
              </w:rPr>
            </w:pPr>
          </w:p>
          <w:p w:rsidR="004D36F1" w:rsidRPr="00825E5B" w:rsidRDefault="004D36F1"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{120;070}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Angajamente revocabile necondi</w:t>
            </w:r>
            <w:r w:rsidR="00367C88">
              <w:rPr>
                <w:rFonts w:ascii="Times New Roman" w:hAnsi="Times New Roman"/>
                <w:b/>
              </w:rPr>
              <w:t>ț</w:t>
            </w:r>
            <w:r w:rsidRPr="00825E5B">
              <w:rPr>
                <w:rFonts w:ascii="Times New Roman" w:hAnsi="Times New Roman"/>
                <w:b/>
              </w:rPr>
              <w:t>ionat aferente căr</w:t>
            </w:r>
            <w:r w:rsidR="00367C88">
              <w:rPr>
                <w:rFonts w:ascii="Times New Roman" w:hAnsi="Times New Roman"/>
                <w:b/>
              </w:rPr>
              <w:t>ț</w:t>
            </w:r>
            <w:r w:rsidRPr="00825E5B">
              <w:rPr>
                <w:rFonts w:ascii="Times New Roman" w:hAnsi="Times New Roman"/>
                <w:b/>
              </w:rPr>
              <w:t>ilor de credit – Valoarea nominală</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 xml:space="preserve">Articolul 111 </w:t>
            </w:r>
            <w:r w:rsidR="00367C88">
              <w:rPr>
                <w:rFonts w:ascii="Times New Roman" w:hAnsi="Times New Roman"/>
              </w:rPr>
              <w:t>ș</w:t>
            </w:r>
            <w:r w:rsidRPr="00825E5B">
              <w:rPr>
                <w:rFonts w:ascii="Times New Roman" w:hAnsi="Times New Roman"/>
              </w:rPr>
              <w:t>i articolul 154 alineatul (4) din CRR</w:t>
            </w:r>
          </w:p>
          <w:p w:rsidR="00410E47" w:rsidRPr="00825E5B" w:rsidRDefault="00410E47" w:rsidP="007E2A41">
            <w:pPr>
              <w:pStyle w:val="BodyText1"/>
              <w:spacing w:line="240" w:lineRule="auto"/>
              <w:rPr>
                <w:rFonts w:ascii="Times New Roman" w:hAnsi="Times New Roman"/>
                <w:bCs/>
              </w:rPr>
            </w:pPr>
          </w:p>
          <w:p w:rsidR="00A51BD1" w:rsidRPr="00825E5B" w:rsidRDefault="001005A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valoarea nominală a angajamentelor aferente căr</w:t>
            </w:r>
            <w:r w:rsidR="00367C88">
              <w:rPr>
                <w:rFonts w:ascii="Times New Roman" w:hAnsi="Times New Roman"/>
              </w:rPr>
              <w:t>ț</w:t>
            </w:r>
            <w:r w:rsidRPr="00825E5B">
              <w:rPr>
                <w:rFonts w:ascii="Times New Roman" w:hAnsi="Times New Roman"/>
              </w:rPr>
              <w:t>ilor de credit care sunt revocabile necondi</w:t>
            </w:r>
            <w:r w:rsidR="00367C88">
              <w:rPr>
                <w:rFonts w:ascii="Times New Roman" w:hAnsi="Times New Roman"/>
              </w:rPr>
              <w:t>ț</w:t>
            </w:r>
            <w:r w:rsidRPr="00825E5B">
              <w:rPr>
                <w:rFonts w:ascii="Times New Roman" w:hAnsi="Times New Roman"/>
              </w:rPr>
              <w:t xml:space="preserve">ionat, în orice moment </w:t>
            </w:r>
            <w:r w:rsidR="00367C88">
              <w:rPr>
                <w:rFonts w:ascii="Times New Roman" w:hAnsi="Times New Roman"/>
              </w:rPr>
              <w:t>ș</w:t>
            </w:r>
            <w:r w:rsidRPr="00825E5B">
              <w:rPr>
                <w:rFonts w:ascii="Times New Roman" w:hAnsi="Times New Roman"/>
              </w:rPr>
              <w:t>i fără notificare prealabilă de către institu</w:t>
            </w:r>
            <w:r w:rsidR="00367C88">
              <w:rPr>
                <w:rFonts w:ascii="Times New Roman" w:hAnsi="Times New Roman"/>
              </w:rPr>
              <w:t>ț</w:t>
            </w:r>
            <w:r w:rsidRPr="00825E5B">
              <w:rPr>
                <w:rFonts w:ascii="Times New Roman" w:hAnsi="Times New Roman"/>
              </w:rPr>
              <w:t xml:space="preserve">ie </w:t>
            </w:r>
            <w:r w:rsidR="00367C88">
              <w:rPr>
                <w:rFonts w:ascii="Times New Roman" w:hAnsi="Times New Roman"/>
              </w:rPr>
              <w:t>ș</w:t>
            </w:r>
            <w:r w:rsidRPr="00825E5B">
              <w:rPr>
                <w:rFonts w:ascii="Times New Roman" w:hAnsi="Times New Roman"/>
              </w:rPr>
              <w:t>i cărora li s-ar aplica un factor de conversie a creditului de 0 % în cadrul abordării standardizate a riscului de credit.</w:t>
            </w:r>
            <w:r w:rsidRPr="00825E5B">
              <w:t xml:space="preserve"> </w:t>
            </w:r>
            <w:r w:rsidRPr="00825E5B">
              <w:rPr>
                <w:rFonts w:ascii="Times New Roman" w:hAnsi="Times New Roman"/>
              </w:rPr>
              <w:t>Din această valoare nu se scad ajustările specifice pentru riscul de credit.</w:t>
            </w:r>
          </w:p>
          <w:p w:rsidR="00A51BD1" w:rsidRPr="00825E5B" w:rsidRDefault="00A51BD1"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angajamentele de credit care prevăd efectiv revocarea automată ca urmare a deteriorării bonită</w:t>
            </w:r>
            <w:r w:rsidR="00367C88">
              <w:rPr>
                <w:rFonts w:ascii="Times New Roman" w:hAnsi="Times New Roman"/>
              </w:rPr>
              <w:t>ț</w:t>
            </w:r>
            <w:r w:rsidRPr="00825E5B">
              <w:rPr>
                <w:rFonts w:ascii="Times New Roman" w:hAnsi="Times New Roman"/>
              </w:rPr>
              <w:t>ii debitorului, dar nu sunt revocabile necondi</w:t>
            </w:r>
            <w:r w:rsidR="00367C88">
              <w:rPr>
                <w:rFonts w:ascii="Times New Roman" w:hAnsi="Times New Roman"/>
              </w:rPr>
              <w:t>ț</w:t>
            </w:r>
            <w:r w:rsidRPr="00825E5B">
              <w:rPr>
                <w:rFonts w:ascii="Times New Roman" w:hAnsi="Times New Roman"/>
              </w:rPr>
              <w:t>ionat.</w:t>
            </w:r>
          </w:p>
          <w:p w:rsidR="004D36F1" w:rsidRPr="00825E5B" w:rsidRDefault="004D36F1" w:rsidP="007E2A41">
            <w:pPr>
              <w:pStyle w:val="BodyText1"/>
              <w:spacing w:line="240" w:lineRule="auto"/>
              <w:rPr>
                <w:rFonts w:ascii="Times New Roman" w:hAnsi="Times New Roman"/>
                <w:bCs/>
              </w:rPr>
            </w:pPr>
          </w:p>
          <w:p w:rsidR="004D36F1" w:rsidRPr="00825E5B" w:rsidRDefault="004D36F1" w:rsidP="007E2A41">
            <w:pPr>
              <w:pStyle w:val="BodyText1"/>
              <w:spacing w:line="240" w:lineRule="auto"/>
              <w:rPr>
                <w:rFonts w:ascii="Times New Roman" w:hAnsi="Times New Roman"/>
                <w:bCs/>
              </w:rPr>
            </w:pPr>
            <w:r w:rsidRPr="00825E5B">
              <w:rPr>
                <w:rFonts w:ascii="Times New Roman" w:hAnsi="Times New Roman"/>
              </w:rPr>
              <w:lastRenderedPageBreak/>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lastRenderedPageBreak/>
              <w:t>{130;070}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Angajamente revocabile necondi</w:t>
            </w:r>
            <w:r w:rsidR="00367C88">
              <w:rPr>
                <w:rFonts w:ascii="Times New Roman" w:hAnsi="Times New Roman"/>
                <w:b/>
              </w:rPr>
              <w:t>ț</w:t>
            </w:r>
            <w:r w:rsidRPr="00825E5B">
              <w:rPr>
                <w:rFonts w:ascii="Times New Roman" w:hAnsi="Times New Roman"/>
                <w:b/>
              </w:rPr>
              <w:t>ionat nereînnoibile – Valoarea nominală</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 xml:space="preserve">Articolul 111 </w:t>
            </w:r>
            <w:r w:rsidR="00367C88">
              <w:rPr>
                <w:rFonts w:ascii="Times New Roman" w:hAnsi="Times New Roman"/>
              </w:rPr>
              <w:t>ș</w:t>
            </w:r>
            <w:r w:rsidRPr="00825E5B">
              <w:rPr>
                <w:rFonts w:ascii="Times New Roman" w:hAnsi="Times New Roman"/>
              </w:rPr>
              <w:t>i articolul 154 alineatul (4) din CRR</w:t>
            </w:r>
          </w:p>
          <w:p w:rsidR="00410E47" w:rsidRPr="00825E5B" w:rsidRDefault="00410E47" w:rsidP="007E2A41">
            <w:pPr>
              <w:pStyle w:val="BodyText1"/>
              <w:spacing w:line="240" w:lineRule="auto"/>
              <w:rPr>
                <w:rFonts w:ascii="Times New Roman" w:hAnsi="Times New Roman"/>
                <w:b/>
                <w:bCs/>
              </w:rPr>
            </w:pPr>
          </w:p>
          <w:p w:rsidR="00A51BD1"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valoarea nominală a altor angajamente care sunt revocabile necondi</w:t>
            </w:r>
            <w:r w:rsidR="00367C88">
              <w:rPr>
                <w:rFonts w:ascii="Times New Roman" w:hAnsi="Times New Roman"/>
              </w:rPr>
              <w:t>ț</w:t>
            </w:r>
            <w:r w:rsidRPr="00825E5B">
              <w:rPr>
                <w:rFonts w:ascii="Times New Roman" w:hAnsi="Times New Roman"/>
              </w:rPr>
              <w:t xml:space="preserve">ionat, în orice moment </w:t>
            </w:r>
            <w:r w:rsidR="00367C88">
              <w:rPr>
                <w:rFonts w:ascii="Times New Roman" w:hAnsi="Times New Roman"/>
              </w:rPr>
              <w:t>ș</w:t>
            </w:r>
            <w:r w:rsidRPr="00825E5B">
              <w:rPr>
                <w:rFonts w:ascii="Times New Roman" w:hAnsi="Times New Roman"/>
              </w:rPr>
              <w:t>i fără notificare prealabilă de către institu</w:t>
            </w:r>
            <w:r w:rsidR="00367C88">
              <w:rPr>
                <w:rFonts w:ascii="Times New Roman" w:hAnsi="Times New Roman"/>
              </w:rPr>
              <w:t>ț</w:t>
            </w:r>
            <w:r w:rsidRPr="00825E5B">
              <w:rPr>
                <w:rFonts w:ascii="Times New Roman" w:hAnsi="Times New Roman"/>
              </w:rPr>
              <w:t xml:space="preserve">ie </w:t>
            </w:r>
            <w:r w:rsidR="00367C88">
              <w:rPr>
                <w:rFonts w:ascii="Times New Roman" w:hAnsi="Times New Roman"/>
              </w:rPr>
              <w:t>ș</w:t>
            </w:r>
            <w:r w:rsidRPr="00825E5B">
              <w:rPr>
                <w:rFonts w:ascii="Times New Roman" w:hAnsi="Times New Roman"/>
              </w:rPr>
              <w:t>i cărora li s-ar aplica un factor de conversie a creditului de 0 % în cadrul abordării standardizate a riscului de credit. Din această valoare nu se scad ajustările specifice pentru riscul de credit.</w:t>
            </w:r>
          </w:p>
          <w:p w:rsidR="00A51BD1" w:rsidRPr="00825E5B" w:rsidRDefault="00A51BD1"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nu includ în această celulă angajamentele de credit care prevăd efectiv revocarea automată ca urmare a deteriorării bonită</w:t>
            </w:r>
            <w:r w:rsidR="00367C88">
              <w:rPr>
                <w:rFonts w:ascii="Times New Roman" w:hAnsi="Times New Roman"/>
              </w:rPr>
              <w:t>ț</w:t>
            </w:r>
            <w:r w:rsidRPr="00825E5B">
              <w:rPr>
                <w:rFonts w:ascii="Times New Roman" w:hAnsi="Times New Roman"/>
              </w:rPr>
              <w:t>ii debitorului, dar nu sunt revocabile necondi</w:t>
            </w:r>
            <w:r w:rsidR="00367C88">
              <w:rPr>
                <w:rFonts w:ascii="Times New Roman" w:hAnsi="Times New Roman"/>
              </w:rPr>
              <w:t>ț</w:t>
            </w:r>
            <w:r w:rsidRPr="00825E5B">
              <w:rPr>
                <w:rFonts w:ascii="Times New Roman" w:hAnsi="Times New Roman"/>
              </w:rPr>
              <w:t>ionat.</w:t>
            </w:r>
          </w:p>
          <w:p w:rsidR="004D36F1" w:rsidRPr="00825E5B" w:rsidRDefault="004D36F1" w:rsidP="007E2A41">
            <w:pPr>
              <w:pStyle w:val="BodyText1"/>
              <w:spacing w:line="240" w:lineRule="auto"/>
              <w:rPr>
                <w:rFonts w:ascii="Times New Roman" w:hAnsi="Times New Roman"/>
                <w:bCs/>
              </w:rPr>
            </w:pPr>
          </w:p>
          <w:p w:rsidR="004D36F1" w:rsidRPr="00825E5B" w:rsidRDefault="004D36F1"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{140;070}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Elemente extrabilan</w:t>
            </w:r>
            <w:r w:rsidR="00367C88">
              <w:rPr>
                <w:rFonts w:ascii="Times New Roman" w:hAnsi="Times New Roman"/>
                <w:b/>
              </w:rPr>
              <w:t>ț</w:t>
            </w:r>
            <w:r w:rsidRPr="00825E5B">
              <w:rPr>
                <w:rFonts w:ascii="Times New Roman" w:hAnsi="Times New Roman"/>
                <w:b/>
              </w:rPr>
              <w:t>iere cu risc moderat conform abordării standardizate a riscului de credit – Valoarea nominală</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111 din CRR</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valoarea nominală a elementelor extrabilan</w:t>
            </w:r>
            <w:r w:rsidR="00367C88">
              <w:rPr>
                <w:rFonts w:ascii="Times New Roman" w:hAnsi="Times New Roman"/>
              </w:rPr>
              <w:t>ț</w:t>
            </w:r>
            <w:r w:rsidRPr="00825E5B">
              <w:rPr>
                <w:rFonts w:ascii="Times New Roman" w:hAnsi="Times New Roman"/>
              </w:rPr>
              <w:t>iere cărora li s-ar aplica un factor de conversie a creditului de 20 % în cadrul abordării standardizate a riscului de credit.</w:t>
            </w:r>
            <w:r w:rsidRPr="00825E5B">
              <w:t xml:space="preserve"> </w:t>
            </w:r>
            <w:r w:rsidRPr="00825E5B">
              <w:rPr>
                <w:rFonts w:ascii="Times New Roman" w:hAnsi="Times New Roman"/>
              </w:rPr>
              <w:t>Din această valoare nu se scad ajustările specifice pentru riscul de credit.</w:t>
            </w:r>
          </w:p>
          <w:p w:rsidR="004D36F1" w:rsidRPr="00825E5B" w:rsidRDefault="004D36F1" w:rsidP="007E2A41">
            <w:pPr>
              <w:pStyle w:val="BodyText1"/>
              <w:spacing w:line="240" w:lineRule="auto"/>
              <w:rPr>
                <w:rFonts w:ascii="Times New Roman" w:hAnsi="Times New Roman"/>
                <w:bCs/>
              </w:rPr>
            </w:pPr>
          </w:p>
          <w:p w:rsidR="004D36F1" w:rsidRPr="00825E5B" w:rsidRDefault="004D36F1"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1081">
            <w:pPr>
              <w:pStyle w:val="BodyText1"/>
              <w:rPr>
                <w:rFonts w:ascii="Times New Roman" w:hAnsi="Times New Roman"/>
                <w:bCs/>
              </w:rPr>
            </w:pPr>
            <w:r w:rsidRPr="00825E5B">
              <w:rPr>
                <w:rFonts w:ascii="Times New Roman" w:hAnsi="Times New Roman"/>
              </w:rPr>
              <w:t>{150;070}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Elemente extrabilan</w:t>
            </w:r>
            <w:r w:rsidR="00367C88">
              <w:rPr>
                <w:rFonts w:ascii="Times New Roman" w:hAnsi="Times New Roman"/>
                <w:b/>
              </w:rPr>
              <w:t>ț</w:t>
            </w:r>
            <w:r w:rsidRPr="00825E5B">
              <w:rPr>
                <w:rFonts w:ascii="Times New Roman" w:hAnsi="Times New Roman"/>
                <w:b/>
              </w:rPr>
              <w:t>iere cu risc mediu conform abordării standardizate a riscului de credit – Valoarea nominală</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111 din CRR</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valoarea nominală a elementelor extrabilan</w:t>
            </w:r>
            <w:r w:rsidR="00367C88">
              <w:rPr>
                <w:rFonts w:ascii="Times New Roman" w:hAnsi="Times New Roman"/>
              </w:rPr>
              <w:t>ț</w:t>
            </w:r>
            <w:r w:rsidRPr="00825E5B">
              <w:rPr>
                <w:rFonts w:ascii="Times New Roman" w:hAnsi="Times New Roman"/>
              </w:rPr>
              <w:t>iere cărora li s-ar aplica un factor de conversie a creditului de 50 % în cadrul abordării standardizate a riscului de credit.</w:t>
            </w:r>
            <w:r w:rsidRPr="00825E5B">
              <w:t xml:space="preserve"> </w:t>
            </w:r>
            <w:r w:rsidRPr="00825E5B">
              <w:rPr>
                <w:rFonts w:ascii="Times New Roman" w:hAnsi="Times New Roman"/>
              </w:rPr>
              <w:t>Din această valoare nu se scad ajustările specifice pentru riscul de credit.</w:t>
            </w:r>
          </w:p>
          <w:p w:rsidR="004D36F1" w:rsidRPr="00825E5B" w:rsidRDefault="004D36F1" w:rsidP="007E2A41">
            <w:pPr>
              <w:pStyle w:val="BodyText1"/>
              <w:spacing w:line="240" w:lineRule="auto"/>
              <w:rPr>
                <w:rFonts w:ascii="Times New Roman" w:hAnsi="Times New Roman"/>
                <w:bCs/>
              </w:rPr>
            </w:pPr>
          </w:p>
          <w:p w:rsidR="004D36F1" w:rsidRPr="00825E5B" w:rsidRDefault="004D36F1"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{160;070}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Elemente extrabilan</w:t>
            </w:r>
            <w:r w:rsidR="00367C88">
              <w:rPr>
                <w:rFonts w:ascii="Times New Roman" w:hAnsi="Times New Roman"/>
                <w:b/>
              </w:rPr>
              <w:t>ț</w:t>
            </w:r>
            <w:r w:rsidRPr="00825E5B">
              <w:rPr>
                <w:rFonts w:ascii="Times New Roman" w:hAnsi="Times New Roman"/>
                <w:b/>
              </w:rPr>
              <w:t>iere cu risc maxim conform abordării standardizate a riscului de credit – Valoarea nominală</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111 din CRR</w:t>
            </w:r>
          </w:p>
          <w:p w:rsidR="00410E47" w:rsidRPr="00825E5B" w:rsidRDefault="00410E47" w:rsidP="007E2A41">
            <w:pPr>
              <w:pStyle w:val="BodyText1"/>
              <w:spacing w:line="240" w:lineRule="auto"/>
              <w:rPr>
                <w:rFonts w:ascii="Times New Roman" w:hAnsi="Times New Roman"/>
                <w:b/>
                <w:bCs/>
              </w:rPr>
            </w:pPr>
          </w:p>
          <w:p w:rsidR="00A51BD1" w:rsidRPr="00825E5B" w:rsidRDefault="00410E47" w:rsidP="00A51BD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valoarea nominală a elementelor extrabilan</w:t>
            </w:r>
            <w:r w:rsidR="00367C88">
              <w:rPr>
                <w:rFonts w:ascii="Times New Roman" w:hAnsi="Times New Roman"/>
              </w:rPr>
              <w:t>ț</w:t>
            </w:r>
            <w:r w:rsidRPr="00825E5B">
              <w:rPr>
                <w:rFonts w:ascii="Times New Roman" w:hAnsi="Times New Roman"/>
              </w:rPr>
              <w:t>iere cărora li s-ar aplica un factor de conversie a creditului de 100 % în cadrul abordării standardizate a riscului de credit. Din această valoare nu se scad ajustările specifice pentru riscul de credit.</w:t>
            </w:r>
          </w:p>
          <w:p w:rsidR="00410E47" w:rsidRPr="00825E5B" w:rsidRDefault="00410E47" w:rsidP="007E2A41">
            <w:pPr>
              <w:pStyle w:val="BodyText1"/>
              <w:spacing w:line="240" w:lineRule="auto"/>
              <w:rPr>
                <w:rFonts w:ascii="Times New Roman" w:hAnsi="Times New Roman"/>
                <w:bCs/>
              </w:rPr>
            </w:pPr>
          </w:p>
          <w:p w:rsidR="00410E47" w:rsidRPr="00825E5B" w:rsidRDefault="0034348F"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nu iau în considerare în această celulă contractele enumerate în anexa II la CRR, instrumentele financiare derivate de credit </w:t>
            </w:r>
            <w:r w:rsidR="00367C88">
              <w:rPr>
                <w:rFonts w:ascii="Times New Roman" w:hAnsi="Times New Roman"/>
              </w:rPr>
              <w:t>ș</w:t>
            </w:r>
            <w:r w:rsidRPr="00825E5B">
              <w:rPr>
                <w:rFonts w:ascii="Times New Roman" w:hAnsi="Times New Roman"/>
              </w:rPr>
              <w:t>i SFT-urile, în conformitate cu articolul 429 alineatul (10) din CRR.</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lastRenderedPageBreak/>
              <w:t>{170;070}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(element memorandum) Sume trase din expuneri de tip retail reînnoibile – Valoarea nominală</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Articolul 154 alineatul (4) din CRR</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valoarea nominală a sumelor trase din expunerile de tip retail reînnoibile extrabilan</w:t>
            </w:r>
            <w:r w:rsidR="00367C88">
              <w:rPr>
                <w:rFonts w:ascii="Times New Roman" w:hAnsi="Times New Roman"/>
              </w:rPr>
              <w:t>ț</w:t>
            </w:r>
            <w:r w:rsidRPr="00825E5B">
              <w:rPr>
                <w:rFonts w:ascii="Times New Roman" w:hAnsi="Times New Roman"/>
              </w:rPr>
              <w:t>iere.</w:t>
            </w:r>
            <w:r w:rsidRPr="00825E5B">
              <w:t xml:space="preserve"> </w:t>
            </w:r>
            <w:r w:rsidRPr="00825E5B">
              <w:rPr>
                <w:rFonts w:ascii="Times New Roman" w:hAnsi="Times New Roman"/>
              </w:rPr>
              <w:t>Din această valoare nu se scad ajustările specifice pentru riscul de credit.</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{180;070}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(element memorandum) Sume trase din angajamente revocabile necondi</w:t>
            </w:r>
            <w:r w:rsidR="00367C88">
              <w:rPr>
                <w:rFonts w:ascii="Times New Roman" w:hAnsi="Times New Roman"/>
                <w:b/>
              </w:rPr>
              <w:t>ț</w:t>
            </w:r>
            <w:r w:rsidRPr="00825E5B">
              <w:rPr>
                <w:rFonts w:ascii="Times New Roman" w:hAnsi="Times New Roman"/>
                <w:b/>
              </w:rPr>
              <w:t>ionat aferente căr</w:t>
            </w:r>
            <w:r w:rsidR="00367C88">
              <w:rPr>
                <w:rFonts w:ascii="Times New Roman" w:hAnsi="Times New Roman"/>
                <w:b/>
              </w:rPr>
              <w:t>ț</w:t>
            </w:r>
            <w:r w:rsidRPr="00825E5B">
              <w:rPr>
                <w:rFonts w:ascii="Times New Roman" w:hAnsi="Times New Roman"/>
                <w:b/>
              </w:rPr>
              <w:t>ilor de credit – Valoarea nominală</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 xml:space="preserve">Articolul 111 </w:t>
            </w:r>
            <w:r w:rsidR="00367C88">
              <w:rPr>
                <w:rFonts w:ascii="Times New Roman" w:hAnsi="Times New Roman"/>
              </w:rPr>
              <w:t>ș</w:t>
            </w:r>
            <w:r w:rsidRPr="00825E5B">
              <w:rPr>
                <w:rFonts w:ascii="Times New Roman" w:hAnsi="Times New Roman"/>
              </w:rPr>
              <w:t>i articolul 154 alineatul (4) din CRR</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valoarea nominală a sumelor trase din angajamente revocabile necondi</w:t>
            </w:r>
            <w:r w:rsidR="00367C88">
              <w:rPr>
                <w:rFonts w:ascii="Times New Roman" w:hAnsi="Times New Roman"/>
              </w:rPr>
              <w:t>ț</w:t>
            </w:r>
            <w:r w:rsidRPr="00825E5B">
              <w:rPr>
                <w:rFonts w:ascii="Times New Roman" w:hAnsi="Times New Roman"/>
              </w:rPr>
              <w:t>ionat aferente căr</w:t>
            </w:r>
            <w:r w:rsidR="00367C88">
              <w:rPr>
                <w:rFonts w:ascii="Times New Roman" w:hAnsi="Times New Roman"/>
              </w:rPr>
              <w:t>ț</w:t>
            </w:r>
            <w:r w:rsidRPr="00825E5B">
              <w:rPr>
                <w:rFonts w:ascii="Times New Roman" w:hAnsi="Times New Roman"/>
              </w:rPr>
              <w:t>ilor de credit. Din această valoare nu se scad ajustările specifice pentru riscul de credit.</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{190;070}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(element memorandum) Sume trase din angajamente revocabile necondi</w:t>
            </w:r>
            <w:r w:rsidR="00367C88">
              <w:rPr>
                <w:rFonts w:ascii="Times New Roman" w:hAnsi="Times New Roman"/>
                <w:b/>
              </w:rPr>
              <w:t>ț</w:t>
            </w:r>
            <w:r w:rsidRPr="00825E5B">
              <w:rPr>
                <w:rFonts w:ascii="Times New Roman" w:hAnsi="Times New Roman"/>
                <w:b/>
              </w:rPr>
              <w:t>ionat nereînnoibile – Valoarea nominală</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 xml:space="preserve">Articolul 111 </w:t>
            </w:r>
            <w:r w:rsidR="00367C88">
              <w:rPr>
                <w:rFonts w:ascii="Times New Roman" w:hAnsi="Times New Roman"/>
              </w:rPr>
              <w:t>ș</w:t>
            </w:r>
            <w:r w:rsidRPr="00825E5B">
              <w:rPr>
                <w:rFonts w:ascii="Times New Roman" w:hAnsi="Times New Roman"/>
              </w:rPr>
              <w:t>i articolul 154 alineatul (4) din CRR</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Această celulă con</w:t>
            </w:r>
            <w:r w:rsidR="00367C88">
              <w:rPr>
                <w:rFonts w:ascii="Times New Roman" w:hAnsi="Times New Roman"/>
              </w:rPr>
              <w:t>ț</w:t>
            </w:r>
            <w:r w:rsidRPr="00825E5B">
              <w:rPr>
                <w:rFonts w:ascii="Times New Roman" w:hAnsi="Times New Roman"/>
              </w:rPr>
              <w:t>ine valoarea nominală a sumelor trase din angajamente revocabile necondi</w:t>
            </w:r>
            <w:r w:rsidR="00367C88">
              <w:rPr>
                <w:rFonts w:ascii="Times New Roman" w:hAnsi="Times New Roman"/>
              </w:rPr>
              <w:t>ț</w:t>
            </w:r>
            <w:r w:rsidRPr="00825E5B">
              <w:rPr>
                <w:rFonts w:ascii="Times New Roman" w:hAnsi="Times New Roman"/>
              </w:rPr>
              <w:t>ionat nereînnoibile.</w:t>
            </w:r>
            <w:r w:rsidRPr="00825E5B">
              <w:t xml:space="preserve"> </w:t>
            </w:r>
            <w:r w:rsidRPr="00825E5B">
              <w:rPr>
                <w:rFonts w:ascii="Times New Roman" w:hAnsi="Times New Roman"/>
              </w:rPr>
              <w:t>Din această valoare nu se scad ajustările specifice pentru riscul de credit.</w:t>
            </w:r>
          </w:p>
          <w:p w:rsidR="00410E47" w:rsidRPr="00825E5B" w:rsidRDefault="00410E47" w:rsidP="007E2A41">
            <w:pPr>
              <w:pStyle w:val="BodyText1"/>
              <w:spacing w:line="240" w:lineRule="auto"/>
              <w:rPr>
                <w:rFonts w:ascii="Times New Roman" w:hAnsi="Times New Roman"/>
                <w:b/>
                <w:bCs/>
                <w:u w:val="single"/>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{210;020}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Garan</w:t>
            </w:r>
            <w:r w:rsidR="00367C88">
              <w:rPr>
                <w:rFonts w:ascii="Times New Roman" w:hAnsi="Times New Roman"/>
                <w:b/>
              </w:rPr>
              <w:t>ț</w:t>
            </w:r>
            <w:r w:rsidRPr="00825E5B">
              <w:rPr>
                <w:rFonts w:ascii="Times New Roman" w:hAnsi="Times New Roman"/>
                <w:b/>
              </w:rPr>
              <w:t>ii reale sub formă de numerar primite în opera</w:t>
            </w:r>
            <w:r w:rsidR="00367C88">
              <w:rPr>
                <w:rFonts w:ascii="Times New Roman" w:hAnsi="Times New Roman"/>
                <w:b/>
              </w:rPr>
              <w:t>ț</w:t>
            </w:r>
            <w:r w:rsidRPr="00825E5B">
              <w:rPr>
                <w:rFonts w:ascii="Times New Roman" w:hAnsi="Times New Roman"/>
                <w:b/>
              </w:rPr>
              <w:t>iuni cu instrumente financiare derivate – Valoarea contabilă, presupunând că nu se recurge la compensare sau la altă tehnică CRM</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garan</w:t>
            </w:r>
            <w:r w:rsidR="00367C88">
              <w:rPr>
                <w:rFonts w:ascii="Times New Roman" w:hAnsi="Times New Roman"/>
              </w:rPr>
              <w:t>ț</w:t>
            </w:r>
            <w:r w:rsidRPr="00825E5B">
              <w:rPr>
                <w:rFonts w:ascii="Times New Roman" w:hAnsi="Times New Roman"/>
              </w:rPr>
              <w:t>iilor reale sub formă de numerar primite în opera</w:t>
            </w:r>
            <w:r w:rsidR="00367C88">
              <w:rPr>
                <w:rFonts w:ascii="Times New Roman" w:hAnsi="Times New Roman"/>
              </w:rPr>
              <w:t>ț</w:t>
            </w:r>
            <w:r w:rsidRPr="00825E5B">
              <w:rPr>
                <w:rFonts w:ascii="Times New Roman" w:hAnsi="Times New Roman"/>
              </w:rPr>
              <w:t>iuni cu instrumente financiare derivate, presupunând că nu există efecte ale compensării contabile ori alte efecte ale CRM (cu alte cuvinte, se reiau eventualele efecte ale compensării contabile sau ale CRM care s-au răsfrânt asupra valorii contabile).</w:t>
            </w:r>
          </w:p>
          <w:p w:rsidR="00410E47" w:rsidRPr="00825E5B" w:rsidRDefault="00410E47" w:rsidP="007E2A41">
            <w:pPr>
              <w:pStyle w:val="BodyText1"/>
              <w:spacing w:line="240" w:lineRule="auto"/>
              <w:rPr>
                <w:rFonts w:ascii="Times New Roman" w:hAnsi="Times New Roman"/>
                <w:bCs/>
              </w:rPr>
            </w:pPr>
          </w:p>
          <w:p w:rsidR="00410E47" w:rsidRPr="00825E5B" w:rsidRDefault="00410E47" w:rsidP="00217B44">
            <w:pPr>
              <w:pStyle w:val="BodyText1"/>
              <w:tabs>
                <w:tab w:val="left" w:pos="4755"/>
              </w:tabs>
              <w:spacing w:line="240" w:lineRule="auto"/>
              <w:rPr>
                <w:rFonts w:ascii="Times New Roman" w:hAnsi="Times New Roman"/>
                <w:b/>
                <w:bCs/>
              </w:rPr>
            </w:pPr>
            <w:r w:rsidRPr="00825E5B">
              <w:rPr>
                <w:rFonts w:ascii="Times New Roman" w:hAnsi="Times New Roman"/>
              </w:rPr>
              <w:t xml:space="preserve">Pentru această celulă, numerar înseamnă cuantumul total al numerarului, inclusiv monede </w:t>
            </w:r>
            <w:r w:rsidR="00367C88">
              <w:rPr>
                <w:rFonts w:ascii="Times New Roman" w:hAnsi="Times New Roman"/>
              </w:rPr>
              <w:t>ș</w:t>
            </w:r>
            <w:r w:rsidRPr="00825E5B">
              <w:rPr>
                <w:rFonts w:ascii="Times New Roman" w:hAnsi="Times New Roman"/>
              </w:rPr>
              <w:t>i bancnote/valută. Cuantumul total al depozitelor de</w:t>
            </w:r>
            <w:r w:rsidR="00367C88">
              <w:rPr>
                <w:rFonts w:ascii="Times New Roman" w:hAnsi="Times New Roman"/>
              </w:rPr>
              <w:t>ț</w:t>
            </w:r>
            <w:r w:rsidRPr="00825E5B">
              <w:rPr>
                <w:rFonts w:ascii="Times New Roman" w:hAnsi="Times New Roman"/>
              </w:rPr>
              <w:t>inute la băncile centrale este luat în considerare, în măsura în care depozitele respective pot fi retrase în situa</w:t>
            </w:r>
            <w:r w:rsidR="00367C88">
              <w:rPr>
                <w:rFonts w:ascii="Times New Roman" w:hAnsi="Times New Roman"/>
              </w:rPr>
              <w:t>ț</w:t>
            </w:r>
            <w:r w:rsidRPr="00825E5B">
              <w:rPr>
                <w:rFonts w:ascii="Times New Roman" w:hAnsi="Times New Roman"/>
              </w:rPr>
              <w:t>ii de criză. Institu</w:t>
            </w:r>
            <w:r w:rsidR="00367C88">
              <w:rPr>
                <w:rFonts w:ascii="Times New Roman" w:hAnsi="Times New Roman"/>
              </w:rPr>
              <w:t>ț</w:t>
            </w:r>
            <w:r w:rsidRPr="00825E5B">
              <w:rPr>
                <w:rFonts w:ascii="Times New Roman" w:hAnsi="Times New Roman"/>
              </w:rPr>
              <w:t>iile nu înscriu în această celulă numerarul sub formă de depozit de</w:t>
            </w:r>
            <w:r w:rsidR="00367C88">
              <w:rPr>
                <w:rFonts w:ascii="Times New Roman" w:hAnsi="Times New Roman"/>
              </w:rPr>
              <w:t>ț</w:t>
            </w:r>
            <w:r w:rsidRPr="00825E5B">
              <w:rPr>
                <w:rFonts w:ascii="Times New Roman" w:hAnsi="Times New Roman"/>
              </w:rPr>
              <w:t>inut la alte institu</w:t>
            </w:r>
            <w:r w:rsidR="00367C88">
              <w:rPr>
                <w:rFonts w:ascii="Times New Roman" w:hAnsi="Times New Roman"/>
              </w:rPr>
              <w:t>ț</w:t>
            </w:r>
            <w:r w:rsidRPr="00825E5B">
              <w:rPr>
                <w:rFonts w:ascii="Times New Roman" w:hAnsi="Times New Roman"/>
              </w:rPr>
              <w:t>ii.</w:t>
            </w:r>
          </w:p>
          <w:p w:rsidR="00410E47" w:rsidRPr="00825E5B" w:rsidRDefault="00410E47" w:rsidP="007E2A41">
            <w:pPr>
              <w:pStyle w:val="BodyText1"/>
              <w:spacing w:line="240" w:lineRule="auto"/>
              <w:rPr>
                <w:rFonts w:ascii="Times New Roman" w:hAnsi="Times New Roman"/>
                <w:b/>
                <w:bCs/>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{220;020}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Crean</w:t>
            </w:r>
            <w:r w:rsidR="00367C88">
              <w:rPr>
                <w:rFonts w:ascii="Times New Roman" w:hAnsi="Times New Roman"/>
                <w:b/>
              </w:rPr>
              <w:t>ț</w:t>
            </w:r>
            <w:r w:rsidRPr="00825E5B">
              <w:rPr>
                <w:rFonts w:ascii="Times New Roman" w:hAnsi="Times New Roman"/>
                <w:b/>
              </w:rPr>
              <w:t>e pentru garan</w:t>
            </w:r>
            <w:r w:rsidR="00367C88">
              <w:rPr>
                <w:rFonts w:ascii="Times New Roman" w:hAnsi="Times New Roman"/>
                <w:b/>
              </w:rPr>
              <w:t>ț</w:t>
            </w:r>
            <w:r w:rsidRPr="00825E5B">
              <w:rPr>
                <w:rFonts w:ascii="Times New Roman" w:hAnsi="Times New Roman"/>
                <w:b/>
              </w:rPr>
              <w:t>ii reale sub formă de numerar furnizate în opera</w:t>
            </w:r>
            <w:r w:rsidR="00367C88">
              <w:rPr>
                <w:rFonts w:ascii="Times New Roman" w:hAnsi="Times New Roman"/>
                <w:b/>
              </w:rPr>
              <w:t>ț</w:t>
            </w:r>
            <w:r w:rsidRPr="00825E5B">
              <w:rPr>
                <w:rFonts w:ascii="Times New Roman" w:hAnsi="Times New Roman"/>
                <w:b/>
              </w:rPr>
              <w:t>iunile cu instrumente financiare derivate – Valoarea contabilă, presupunând că nu se recurge la compensare sau la altă tehnică CRM</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crean</w:t>
            </w:r>
            <w:r w:rsidR="00367C88">
              <w:rPr>
                <w:rFonts w:ascii="Times New Roman" w:hAnsi="Times New Roman"/>
              </w:rPr>
              <w:t>ț</w:t>
            </w:r>
            <w:r w:rsidRPr="00825E5B">
              <w:rPr>
                <w:rFonts w:ascii="Times New Roman" w:hAnsi="Times New Roman"/>
              </w:rPr>
              <w:t>elor pentru garan</w:t>
            </w:r>
            <w:r w:rsidR="00367C88">
              <w:rPr>
                <w:rFonts w:ascii="Times New Roman" w:hAnsi="Times New Roman"/>
              </w:rPr>
              <w:t>ț</w:t>
            </w:r>
            <w:r w:rsidRPr="00825E5B">
              <w:rPr>
                <w:rFonts w:ascii="Times New Roman" w:hAnsi="Times New Roman"/>
              </w:rPr>
              <w:t>ii reale sub formă de numerar furnizate în opera</w:t>
            </w:r>
            <w:r w:rsidR="00367C88">
              <w:rPr>
                <w:rFonts w:ascii="Times New Roman" w:hAnsi="Times New Roman"/>
              </w:rPr>
              <w:t>ț</w:t>
            </w:r>
            <w:r w:rsidRPr="00825E5B">
              <w:rPr>
                <w:rFonts w:ascii="Times New Roman" w:hAnsi="Times New Roman"/>
              </w:rPr>
              <w:t>iunile cu instrumente financiare derivate, presupunând că nu există efecte ale compensării contabile ori alte efecte ale CRM (cu alte cuvinte, se reiau eventualele efecte ale compensării contabile sau ale CRM care s-au răsfrânt asupra valorii contabile). Institu</w:t>
            </w:r>
            <w:r w:rsidR="00367C88">
              <w:rPr>
                <w:rFonts w:ascii="Times New Roman" w:hAnsi="Times New Roman"/>
              </w:rPr>
              <w:t>ț</w:t>
            </w:r>
            <w:r w:rsidRPr="00825E5B">
              <w:rPr>
                <w:rFonts w:ascii="Times New Roman" w:hAnsi="Times New Roman"/>
              </w:rPr>
              <w:t>iile care sunt autorizate, conform cadrului contabil aplicabil, să compenseze crean</w:t>
            </w:r>
            <w:r w:rsidR="00367C88">
              <w:rPr>
                <w:rFonts w:ascii="Times New Roman" w:hAnsi="Times New Roman"/>
              </w:rPr>
              <w:t>ț</w:t>
            </w:r>
            <w:r w:rsidRPr="00825E5B">
              <w:rPr>
                <w:rFonts w:ascii="Times New Roman" w:hAnsi="Times New Roman"/>
              </w:rPr>
              <w:t>a pentru garan</w:t>
            </w:r>
            <w:r w:rsidR="00367C88">
              <w:rPr>
                <w:rFonts w:ascii="Times New Roman" w:hAnsi="Times New Roman"/>
              </w:rPr>
              <w:t>ț</w:t>
            </w:r>
            <w:r w:rsidRPr="00825E5B">
              <w:rPr>
                <w:rFonts w:ascii="Times New Roman" w:hAnsi="Times New Roman"/>
              </w:rPr>
              <w:t xml:space="preserve">ia reală sub formă de numerar furnizată cu datoria rezultată din instrumentul financiar derivat respectiv (valoare justă negativă) </w:t>
            </w:r>
            <w:r w:rsidR="00367C88">
              <w:rPr>
                <w:rFonts w:ascii="Times New Roman" w:hAnsi="Times New Roman"/>
              </w:rPr>
              <w:t>ș</w:t>
            </w:r>
            <w:r w:rsidRPr="00825E5B">
              <w:rPr>
                <w:rFonts w:ascii="Times New Roman" w:hAnsi="Times New Roman"/>
              </w:rPr>
              <w:t xml:space="preserve">i care decid să procedeze astfel anulează compensarea </w:t>
            </w:r>
            <w:r w:rsidR="00367C88">
              <w:rPr>
                <w:rFonts w:ascii="Times New Roman" w:hAnsi="Times New Roman"/>
              </w:rPr>
              <w:t>ș</w:t>
            </w:r>
            <w:r w:rsidRPr="00825E5B">
              <w:rPr>
                <w:rFonts w:ascii="Times New Roman" w:hAnsi="Times New Roman"/>
              </w:rPr>
              <w:t>i raportează crean</w:t>
            </w:r>
            <w:r w:rsidR="00367C88">
              <w:rPr>
                <w:rFonts w:ascii="Times New Roman" w:hAnsi="Times New Roman"/>
              </w:rPr>
              <w:t>ț</w:t>
            </w:r>
            <w:r w:rsidRPr="00825E5B">
              <w:rPr>
                <w:rFonts w:ascii="Times New Roman" w:hAnsi="Times New Roman"/>
              </w:rPr>
              <w:t>a în numerar netă.</w:t>
            </w:r>
          </w:p>
          <w:p w:rsidR="00410E47" w:rsidRPr="00825E5B" w:rsidRDefault="00410E47" w:rsidP="007E2A41">
            <w:pPr>
              <w:pStyle w:val="BodyText1"/>
              <w:spacing w:line="240" w:lineRule="auto"/>
              <w:rPr>
                <w:rFonts w:ascii="Times New Roman" w:hAnsi="Times New Roman"/>
                <w:b/>
                <w:bCs/>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t>{230;020}</w:t>
            </w:r>
          </w:p>
        </w:tc>
        <w:tc>
          <w:tcPr>
            <w:tcW w:w="7620" w:type="dxa"/>
          </w:tcPr>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b/>
              </w:rPr>
              <w:t xml:space="preserve">Titluri primite în cadrul unui SFT </w:t>
            </w:r>
            <w:r w:rsidR="00367C88">
              <w:rPr>
                <w:rFonts w:ascii="Times New Roman" w:hAnsi="Times New Roman"/>
                <w:b/>
              </w:rPr>
              <w:t>ș</w:t>
            </w:r>
            <w:r w:rsidRPr="00825E5B">
              <w:rPr>
                <w:rFonts w:ascii="Times New Roman" w:hAnsi="Times New Roman"/>
                <w:b/>
              </w:rPr>
              <w:t>i recunoscute ca active – Valoarea contabilă, presupunând că nu se recurge la compensare sau la altă tehnică CRM</w:t>
            </w:r>
          </w:p>
          <w:p w:rsidR="00410E47" w:rsidRPr="00825E5B" w:rsidRDefault="00410E47" w:rsidP="007E2A41">
            <w:pPr>
              <w:pStyle w:val="BodyText1"/>
              <w:spacing w:line="240" w:lineRule="auto"/>
              <w:rPr>
                <w:rFonts w:ascii="Times New Roman" w:hAnsi="Times New Roman"/>
                <w:b/>
                <w:bCs/>
              </w:rPr>
            </w:pPr>
          </w:p>
          <w:p w:rsidR="00410E47" w:rsidRPr="00825E5B" w:rsidRDefault="00410E47" w:rsidP="007E2A41">
            <w:pPr>
              <w:pStyle w:val="BodyText1"/>
              <w:spacing w:line="240" w:lineRule="auto"/>
              <w:rPr>
                <w:rFonts w:ascii="Times New Roman" w:hAnsi="Times New Roman"/>
                <w:b/>
                <w:bCs/>
              </w:rPr>
            </w:pPr>
            <w:r w:rsidRPr="00825E5B">
              <w:rPr>
                <w:rFonts w:ascii="Times New Roman" w:hAnsi="Times New Roman"/>
              </w:rPr>
              <w:lastRenderedPageBreak/>
              <w:t>Valoarea contabilă din bilan</w:t>
            </w:r>
            <w:r w:rsidR="00367C88">
              <w:rPr>
                <w:rFonts w:ascii="Times New Roman" w:hAnsi="Times New Roman"/>
              </w:rPr>
              <w:t>ț</w:t>
            </w:r>
            <w:r w:rsidRPr="00825E5B">
              <w:rPr>
                <w:rFonts w:ascii="Times New Roman" w:hAnsi="Times New Roman"/>
              </w:rPr>
              <w:t xml:space="preserve">, conform cadrului contabil aplicabil, a titlurilor primite în cadrul unui SFT </w:t>
            </w:r>
            <w:r w:rsidR="00367C88">
              <w:rPr>
                <w:rFonts w:ascii="Times New Roman" w:hAnsi="Times New Roman"/>
              </w:rPr>
              <w:t>ș</w:t>
            </w:r>
            <w:r w:rsidRPr="00825E5B">
              <w:rPr>
                <w:rFonts w:ascii="Times New Roman" w:hAnsi="Times New Roman"/>
              </w:rPr>
              <w:t>i recunoscute ca active în cadrul contabil aplicabil, presupunând că nu există efecte ale compensării contabile ori alte efecte ale CRM (cu alte cuvinte, se reiau eventualele efecte ale compensării contabile sau ale CRM care s-au răsfrânt asupra valorii contabile).</w:t>
            </w:r>
          </w:p>
          <w:p w:rsidR="00410E47" w:rsidRPr="00825E5B" w:rsidRDefault="00410E47" w:rsidP="007E2A41">
            <w:pPr>
              <w:pStyle w:val="BodyText1"/>
              <w:spacing w:line="240" w:lineRule="auto"/>
              <w:rPr>
                <w:rFonts w:ascii="Times New Roman" w:hAnsi="Times New Roman"/>
                <w:b/>
                <w:bCs/>
              </w:rPr>
            </w:pPr>
          </w:p>
        </w:tc>
      </w:tr>
      <w:tr w:rsidR="00410E47" w:rsidRPr="00825E5B" w:rsidTr="00FC2664">
        <w:tc>
          <w:tcPr>
            <w:tcW w:w="1418" w:type="dxa"/>
          </w:tcPr>
          <w:p w:rsidR="00410E47" w:rsidRPr="00825E5B" w:rsidRDefault="00410E47" w:rsidP="00F70A83">
            <w:pPr>
              <w:pStyle w:val="BodyText1"/>
              <w:rPr>
                <w:rFonts w:ascii="Times New Roman" w:hAnsi="Times New Roman"/>
                <w:bCs/>
              </w:rPr>
            </w:pPr>
            <w:r w:rsidRPr="00825E5B">
              <w:rPr>
                <w:rFonts w:ascii="Times New Roman" w:hAnsi="Times New Roman"/>
              </w:rPr>
              <w:lastRenderedPageBreak/>
              <w:t>{240;020}</w:t>
            </w:r>
          </w:p>
        </w:tc>
        <w:tc>
          <w:tcPr>
            <w:tcW w:w="7620" w:type="dxa"/>
          </w:tcPr>
          <w:p w:rsidR="00410E47" w:rsidRPr="00825E5B" w:rsidRDefault="00410E47" w:rsidP="007E2A41">
            <w:pPr>
              <w:pStyle w:val="BodyText1"/>
              <w:tabs>
                <w:tab w:val="left" w:pos="4755"/>
              </w:tabs>
              <w:spacing w:line="240" w:lineRule="auto"/>
              <w:rPr>
                <w:rFonts w:ascii="Times New Roman" w:hAnsi="Times New Roman"/>
                <w:b/>
                <w:bCs/>
              </w:rPr>
            </w:pPr>
            <w:r w:rsidRPr="00825E5B">
              <w:rPr>
                <w:rFonts w:ascii="Times New Roman" w:hAnsi="Times New Roman"/>
                <w:b/>
              </w:rPr>
              <w:t>Numerar dat cu împrumut, prin intermediere, în cadrul SFT-urilor (crean</w:t>
            </w:r>
            <w:r w:rsidR="00367C88">
              <w:rPr>
                <w:rFonts w:ascii="Times New Roman" w:hAnsi="Times New Roman"/>
                <w:b/>
              </w:rPr>
              <w:t>ț</w:t>
            </w:r>
            <w:r w:rsidRPr="00825E5B">
              <w:rPr>
                <w:rFonts w:ascii="Times New Roman" w:hAnsi="Times New Roman"/>
                <w:b/>
              </w:rPr>
              <w:t>e în numerar) – Valoarea contabilă, presupunând că nu se recurge la compensare sau la altă tehnică CRM</w:t>
            </w:r>
          </w:p>
          <w:p w:rsidR="00410E47" w:rsidRPr="00825E5B" w:rsidRDefault="00410E47" w:rsidP="007E2A41">
            <w:pPr>
              <w:pStyle w:val="BodyText1"/>
              <w:tabs>
                <w:tab w:val="left" w:pos="4755"/>
              </w:tabs>
              <w:spacing w:line="240" w:lineRule="auto"/>
              <w:rPr>
                <w:rFonts w:ascii="Times New Roman" w:hAnsi="Times New Roman"/>
                <w:b/>
                <w:bCs/>
              </w:rPr>
            </w:pPr>
          </w:p>
          <w:p w:rsidR="00410E47" w:rsidRPr="00825E5B" w:rsidRDefault="00410E47" w:rsidP="007E2A41">
            <w:pPr>
              <w:pStyle w:val="BodyText1"/>
              <w:tabs>
                <w:tab w:val="left" w:pos="4755"/>
              </w:tabs>
              <w:spacing w:line="240" w:lineRule="auto"/>
              <w:rPr>
                <w:rFonts w:ascii="Times New Roman" w:hAnsi="Times New Roman"/>
              </w:rPr>
            </w:pPr>
            <w:r w:rsidRPr="00825E5B">
              <w:rPr>
                <w:rFonts w:ascii="Times New Roman" w:hAnsi="Times New Roman"/>
              </w:rPr>
              <w:t>Valoarea contabilă din bilan</w:t>
            </w:r>
            <w:r w:rsidR="00367C88">
              <w:rPr>
                <w:rFonts w:ascii="Times New Roman" w:hAnsi="Times New Roman"/>
              </w:rPr>
              <w:t>ț</w:t>
            </w:r>
            <w:r w:rsidRPr="00825E5B">
              <w:rPr>
                <w:rFonts w:ascii="Times New Roman" w:hAnsi="Times New Roman"/>
              </w:rPr>
              <w:t>, conform cadrului contabil aplicabil, a crean</w:t>
            </w:r>
            <w:r w:rsidR="00367C88">
              <w:rPr>
                <w:rFonts w:ascii="Times New Roman" w:hAnsi="Times New Roman"/>
              </w:rPr>
              <w:t>ț</w:t>
            </w:r>
            <w:r w:rsidRPr="00825E5B">
              <w:rPr>
                <w:rFonts w:ascii="Times New Roman" w:hAnsi="Times New Roman"/>
              </w:rPr>
              <w:t>ei în numerar pentru numerarul dat cu împrumut, prin intermediere, proprietarului titlurilor în cadrul unei tranzac</w:t>
            </w:r>
            <w:r w:rsidR="00367C88">
              <w:rPr>
                <w:rFonts w:ascii="Times New Roman" w:hAnsi="Times New Roman"/>
              </w:rPr>
              <w:t>ț</w:t>
            </w:r>
            <w:r w:rsidRPr="00825E5B">
              <w:rPr>
                <w:rFonts w:ascii="Times New Roman" w:hAnsi="Times New Roman"/>
              </w:rPr>
              <w:t>ii eligibile de dare cu împrumut de numerar prin intermediere (</w:t>
            </w:r>
            <w:r w:rsidRPr="00825E5B">
              <w:rPr>
                <w:rFonts w:ascii="Times New Roman" w:hAnsi="Times New Roman"/>
                <w:i/>
              </w:rPr>
              <w:t>cash conduit lending transaction</w:t>
            </w:r>
            <w:r w:rsidRPr="00825E5B">
              <w:rPr>
                <w:rFonts w:ascii="Times New Roman" w:hAnsi="Times New Roman"/>
              </w:rPr>
              <w:t>, CCLT), presupunând că nu există efecte ale compensării contabile ori alte efecte ale CRM (cu alte cuvinte, se reiau eventualele efecte ale compensării contabile sau ale CRM care s-au răsfrânt asupra valorii contabile).</w:t>
            </w:r>
          </w:p>
          <w:p w:rsidR="00410E47" w:rsidRPr="00825E5B" w:rsidRDefault="00410E47" w:rsidP="007E2A41">
            <w:pPr>
              <w:pStyle w:val="BodyText1"/>
              <w:tabs>
                <w:tab w:val="left" w:pos="4755"/>
              </w:tabs>
              <w:spacing w:line="240" w:lineRule="auto"/>
              <w:rPr>
                <w:rFonts w:ascii="Times New Roman" w:hAnsi="Times New Roman"/>
              </w:rPr>
            </w:pPr>
          </w:p>
          <w:p w:rsidR="00410E47" w:rsidRPr="00825E5B" w:rsidRDefault="00410E47" w:rsidP="007E2A41">
            <w:pPr>
              <w:pStyle w:val="BodyText1"/>
              <w:tabs>
                <w:tab w:val="left" w:pos="4755"/>
              </w:tabs>
              <w:spacing w:line="240" w:lineRule="auto"/>
              <w:rPr>
                <w:rFonts w:ascii="Times New Roman" w:hAnsi="Times New Roman"/>
              </w:rPr>
            </w:pPr>
            <w:r w:rsidRPr="00825E5B">
              <w:rPr>
                <w:rFonts w:ascii="Times New Roman" w:hAnsi="Times New Roman"/>
              </w:rPr>
              <w:t xml:space="preserve">Pentru această celulă, numerar înseamnă cuantumul total al numerarului, inclusiv monede </w:t>
            </w:r>
            <w:r w:rsidR="00367C88">
              <w:rPr>
                <w:rFonts w:ascii="Times New Roman" w:hAnsi="Times New Roman"/>
              </w:rPr>
              <w:t>ș</w:t>
            </w:r>
            <w:r w:rsidRPr="00825E5B">
              <w:rPr>
                <w:rFonts w:ascii="Times New Roman" w:hAnsi="Times New Roman"/>
              </w:rPr>
              <w:t>i bancnote/valută. Cuantumul total al depozitelor de</w:t>
            </w:r>
            <w:r w:rsidR="00367C88">
              <w:rPr>
                <w:rFonts w:ascii="Times New Roman" w:hAnsi="Times New Roman"/>
              </w:rPr>
              <w:t>ț</w:t>
            </w:r>
            <w:r w:rsidRPr="00825E5B">
              <w:rPr>
                <w:rFonts w:ascii="Times New Roman" w:hAnsi="Times New Roman"/>
              </w:rPr>
              <w:t>inute la băncile centrale este luat în considerare, în măsura în care depozitele respective pot fi retrase în situa</w:t>
            </w:r>
            <w:r w:rsidR="00367C88">
              <w:rPr>
                <w:rFonts w:ascii="Times New Roman" w:hAnsi="Times New Roman"/>
              </w:rPr>
              <w:t>ț</w:t>
            </w:r>
            <w:r w:rsidRPr="00825E5B">
              <w:rPr>
                <w:rFonts w:ascii="Times New Roman" w:hAnsi="Times New Roman"/>
              </w:rPr>
              <w:t>ii de criză. Institu</w:t>
            </w:r>
            <w:r w:rsidR="00367C88">
              <w:rPr>
                <w:rFonts w:ascii="Times New Roman" w:hAnsi="Times New Roman"/>
              </w:rPr>
              <w:t>ț</w:t>
            </w:r>
            <w:r w:rsidRPr="00825E5B">
              <w:rPr>
                <w:rFonts w:ascii="Times New Roman" w:hAnsi="Times New Roman"/>
              </w:rPr>
              <w:t>iile nu raportează în această celulă numerarul sub formă de depozit de</w:t>
            </w:r>
            <w:r w:rsidR="00367C88">
              <w:rPr>
                <w:rFonts w:ascii="Times New Roman" w:hAnsi="Times New Roman"/>
              </w:rPr>
              <w:t>ț</w:t>
            </w:r>
            <w:r w:rsidRPr="00825E5B">
              <w:rPr>
                <w:rFonts w:ascii="Times New Roman" w:hAnsi="Times New Roman"/>
              </w:rPr>
              <w:t>inut la alte institu</w:t>
            </w:r>
            <w:r w:rsidR="00367C88">
              <w:rPr>
                <w:rFonts w:ascii="Times New Roman" w:hAnsi="Times New Roman"/>
              </w:rPr>
              <w:t>ț</w:t>
            </w:r>
            <w:r w:rsidRPr="00825E5B">
              <w:rPr>
                <w:rFonts w:ascii="Times New Roman" w:hAnsi="Times New Roman"/>
              </w:rPr>
              <w:t>ii.</w:t>
            </w:r>
          </w:p>
          <w:p w:rsidR="00410E47" w:rsidRPr="00825E5B" w:rsidRDefault="00410E47" w:rsidP="007E2A41">
            <w:pPr>
              <w:pStyle w:val="BodyText1"/>
              <w:tabs>
                <w:tab w:val="left" w:pos="4755"/>
              </w:tabs>
              <w:spacing w:line="240" w:lineRule="auto"/>
              <w:rPr>
                <w:rFonts w:ascii="Times New Roman" w:hAnsi="Times New Roman"/>
              </w:rPr>
            </w:pPr>
          </w:p>
          <w:p w:rsidR="00410E47" w:rsidRPr="00825E5B" w:rsidRDefault="00410E47" w:rsidP="007E2A41">
            <w:pPr>
              <w:pStyle w:val="BodyText1"/>
              <w:tabs>
                <w:tab w:val="left" w:pos="4755"/>
              </w:tabs>
              <w:spacing w:line="240" w:lineRule="auto"/>
              <w:rPr>
                <w:rFonts w:ascii="Times New Roman" w:hAnsi="Times New Roman"/>
              </w:rPr>
            </w:pPr>
            <w:r w:rsidRPr="00825E5B">
              <w:rPr>
                <w:rFonts w:ascii="Times New Roman" w:hAnsi="Times New Roman"/>
              </w:rPr>
              <w:t>CCLT reprezintă o combina</w:t>
            </w:r>
            <w:r w:rsidR="00367C88">
              <w:rPr>
                <w:rFonts w:ascii="Times New Roman" w:hAnsi="Times New Roman"/>
              </w:rPr>
              <w:t>ț</w:t>
            </w:r>
            <w:r w:rsidRPr="00825E5B">
              <w:rPr>
                <w:rFonts w:ascii="Times New Roman" w:hAnsi="Times New Roman"/>
              </w:rPr>
              <w:t>ie de două tranzac</w:t>
            </w:r>
            <w:r w:rsidR="00367C88">
              <w:rPr>
                <w:rFonts w:ascii="Times New Roman" w:hAnsi="Times New Roman"/>
              </w:rPr>
              <w:t>ț</w:t>
            </w:r>
            <w:r w:rsidRPr="00825E5B">
              <w:rPr>
                <w:rFonts w:ascii="Times New Roman" w:hAnsi="Times New Roman"/>
              </w:rPr>
              <w:t>ii, în care o institu</w:t>
            </w:r>
            <w:r w:rsidR="00367C88">
              <w:rPr>
                <w:rFonts w:ascii="Times New Roman" w:hAnsi="Times New Roman"/>
              </w:rPr>
              <w:t>ț</w:t>
            </w:r>
            <w:r w:rsidRPr="00825E5B">
              <w:rPr>
                <w:rFonts w:ascii="Times New Roman" w:hAnsi="Times New Roman"/>
              </w:rPr>
              <w:t xml:space="preserve">ie ia cu împrumut titluri de la proprietarul titlurilor </w:t>
            </w:r>
            <w:r w:rsidR="00367C88">
              <w:rPr>
                <w:rFonts w:ascii="Times New Roman" w:hAnsi="Times New Roman"/>
              </w:rPr>
              <w:t>ș</w:t>
            </w:r>
            <w:r w:rsidRPr="00825E5B">
              <w:rPr>
                <w:rFonts w:ascii="Times New Roman" w:hAnsi="Times New Roman"/>
              </w:rPr>
              <w:t>i le dă cu împrumut împrumutătorului titlurilor. În acela</w:t>
            </w:r>
            <w:r w:rsidR="00367C88">
              <w:rPr>
                <w:rFonts w:ascii="Times New Roman" w:hAnsi="Times New Roman"/>
              </w:rPr>
              <w:t>ș</w:t>
            </w:r>
            <w:r w:rsidRPr="00825E5B">
              <w:rPr>
                <w:rFonts w:ascii="Times New Roman" w:hAnsi="Times New Roman"/>
              </w:rPr>
              <w:t>i timp, institu</w:t>
            </w:r>
            <w:r w:rsidR="00367C88">
              <w:rPr>
                <w:rFonts w:ascii="Times New Roman" w:hAnsi="Times New Roman"/>
              </w:rPr>
              <w:t>ț</w:t>
            </w:r>
            <w:r w:rsidRPr="00825E5B">
              <w:rPr>
                <w:rFonts w:ascii="Times New Roman" w:hAnsi="Times New Roman"/>
              </w:rPr>
              <w:t>ia prime</w:t>
            </w:r>
            <w:r w:rsidR="00367C88">
              <w:rPr>
                <w:rFonts w:ascii="Times New Roman" w:hAnsi="Times New Roman"/>
              </w:rPr>
              <w:t>ș</w:t>
            </w:r>
            <w:r w:rsidRPr="00825E5B">
              <w:rPr>
                <w:rFonts w:ascii="Times New Roman" w:hAnsi="Times New Roman"/>
              </w:rPr>
              <w:t>te garan</w:t>
            </w:r>
            <w:r w:rsidR="00367C88">
              <w:rPr>
                <w:rFonts w:ascii="Times New Roman" w:hAnsi="Times New Roman"/>
              </w:rPr>
              <w:t>ț</w:t>
            </w:r>
            <w:r w:rsidRPr="00825E5B">
              <w:rPr>
                <w:rFonts w:ascii="Times New Roman" w:hAnsi="Times New Roman"/>
              </w:rPr>
              <w:t xml:space="preserve">ii reale sub formă de numerar de la împrumutătorul titlurilor </w:t>
            </w:r>
            <w:r w:rsidR="00367C88">
              <w:rPr>
                <w:rFonts w:ascii="Times New Roman" w:hAnsi="Times New Roman"/>
              </w:rPr>
              <w:t>ș</w:t>
            </w:r>
            <w:r w:rsidRPr="00825E5B">
              <w:rPr>
                <w:rFonts w:ascii="Times New Roman" w:hAnsi="Times New Roman"/>
              </w:rPr>
              <w:t>i dă cu împrumut numerarul primit proprietarului titlurilor. Un CCLT eligibil îndepline</w:t>
            </w:r>
            <w:r w:rsidR="00367C88">
              <w:rPr>
                <w:rFonts w:ascii="Times New Roman" w:hAnsi="Times New Roman"/>
              </w:rPr>
              <w:t>ș</w:t>
            </w:r>
            <w:r w:rsidRPr="00825E5B">
              <w:rPr>
                <w:rFonts w:ascii="Times New Roman" w:hAnsi="Times New Roman"/>
              </w:rPr>
              <w:t>te următoarele condi</w:t>
            </w:r>
            <w:r w:rsidR="00367C88">
              <w:rPr>
                <w:rFonts w:ascii="Times New Roman" w:hAnsi="Times New Roman"/>
              </w:rPr>
              <w:t>ț</w:t>
            </w:r>
            <w:r w:rsidRPr="00825E5B">
              <w:rPr>
                <w:rFonts w:ascii="Times New Roman" w:hAnsi="Times New Roman"/>
              </w:rPr>
              <w:t>ii:</w:t>
            </w:r>
          </w:p>
          <w:p w:rsidR="00410E47" w:rsidRPr="00825E5B" w:rsidRDefault="00410E47" w:rsidP="007E2A41">
            <w:pPr>
              <w:pStyle w:val="BodyText1"/>
              <w:tabs>
                <w:tab w:val="left" w:pos="4755"/>
              </w:tabs>
              <w:spacing w:line="240" w:lineRule="auto"/>
              <w:rPr>
                <w:rFonts w:ascii="Times New Roman" w:hAnsi="Times New Roman"/>
              </w:rPr>
            </w:pPr>
          </w:p>
          <w:p w:rsidR="00410E47" w:rsidRPr="00825E5B" w:rsidRDefault="00500508" w:rsidP="00500508">
            <w:pPr>
              <w:pStyle w:val="Paragraph"/>
              <w:ind w:left="794" w:hanging="794"/>
              <w:rPr>
                <w:rFonts w:ascii="Times New Roman" w:hAnsi="Times New Roman"/>
                <w:color w:val="000000"/>
              </w:rPr>
            </w:pPr>
            <w:r w:rsidRPr="00825E5B">
              <w:rPr>
                <w:rFonts w:ascii="Times New Roman" w:hAnsi="Times New Roman"/>
                <w:color w:val="000000"/>
              </w:rPr>
              <w:t>(a)</w:t>
            </w:r>
            <w:r w:rsidRPr="00825E5B">
              <w:tab/>
            </w:r>
            <w:r w:rsidRPr="00825E5B">
              <w:rPr>
                <w:rFonts w:ascii="Times New Roman" w:hAnsi="Times New Roman"/>
                <w:color w:val="000000"/>
              </w:rPr>
              <w:t>ambele tranzac</w:t>
            </w:r>
            <w:r w:rsidR="00367C88">
              <w:rPr>
                <w:rFonts w:ascii="Times New Roman" w:hAnsi="Times New Roman"/>
                <w:color w:val="000000"/>
              </w:rPr>
              <w:t>ț</w:t>
            </w:r>
            <w:r w:rsidRPr="00825E5B">
              <w:rPr>
                <w:rFonts w:ascii="Times New Roman" w:hAnsi="Times New Roman"/>
                <w:color w:val="000000"/>
              </w:rPr>
              <w:t>ii care compun CCLT-ul eligibil se efectuează la aceea</w:t>
            </w:r>
            <w:r w:rsidR="00367C88">
              <w:rPr>
                <w:rFonts w:ascii="Times New Roman" w:hAnsi="Times New Roman"/>
                <w:color w:val="000000"/>
              </w:rPr>
              <w:t>ș</w:t>
            </w:r>
            <w:r w:rsidRPr="00825E5B">
              <w:rPr>
                <w:rFonts w:ascii="Times New Roman" w:hAnsi="Times New Roman"/>
                <w:color w:val="000000"/>
              </w:rPr>
              <w:t>i dată de tranzac</w:t>
            </w:r>
            <w:r w:rsidR="00367C88">
              <w:rPr>
                <w:rFonts w:ascii="Times New Roman" w:hAnsi="Times New Roman"/>
                <w:color w:val="000000"/>
              </w:rPr>
              <w:t>ț</w:t>
            </w:r>
            <w:r w:rsidRPr="00825E5B">
              <w:rPr>
                <w:rFonts w:ascii="Times New Roman" w:hAnsi="Times New Roman"/>
                <w:color w:val="000000"/>
              </w:rPr>
              <w:t>ionare sau, în cazul tranzac</w:t>
            </w:r>
            <w:r w:rsidR="00367C88">
              <w:rPr>
                <w:rFonts w:ascii="Times New Roman" w:hAnsi="Times New Roman"/>
                <w:color w:val="000000"/>
              </w:rPr>
              <w:t>ț</w:t>
            </w:r>
            <w:r w:rsidRPr="00825E5B">
              <w:rPr>
                <w:rFonts w:ascii="Times New Roman" w:hAnsi="Times New Roman"/>
                <w:color w:val="000000"/>
              </w:rPr>
              <w:t>iilor interna</w:t>
            </w:r>
            <w:r w:rsidR="00367C88">
              <w:rPr>
                <w:rFonts w:ascii="Times New Roman" w:hAnsi="Times New Roman"/>
                <w:color w:val="000000"/>
              </w:rPr>
              <w:t>ț</w:t>
            </w:r>
            <w:r w:rsidRPr="00825E5B">
              <w:rPr>
                <w:rFonts w:ascii="Times New Roman" w:hAnsi="Times New Roman"/>
                <w:color w:val="000000"/>
              </w:rPr>
              <w:t>ionale, în zile lucrătoare consecutive;</w:t>
            </w:r>
          </w:p>
          <w:p w:rsidR="00410E47" w:rsidRPr="00825E5B" w:rsidRDefault="00500508" w:rsidP="00500508">
            <w:pPr>
              <w:pStyle w:val="Paragraph"/>
              <w:ind w:left="794" w:hanging="794"/>
              <w:rPr>
                <w:rFonts w:ascii="Times New Roman" w:hAnsi="Times New Roman"/>
                <w:color w:val="000000"/>
              </w:rPr>
            </w:pPr>
            <w:r w:rsidRPr="00825E5B">
              <w:rPr>
                <w:rFonts w:ascii="Times New Roman" w:hAnsi="Times New Roman"/>
                <w:color w:val="000000"/>
              </w:rPr>
              <w:t>(b)</w:t>
            </w:r>
            <w:r w:rsidRPr="00825E5B">
              <w:tab/>
            </w:r>
            <w:r w:rsidRPr="00825E5B">
              <w:rPr>
                <w:rFonts w:ascii="Times New Roman" w:hAnsi="Times New Roman"/>
                <w:color w:val="000000"/>
              </w:rPr>
              <w:t>dacă pentru tranzac</w:t>
            </w:r>
            <w:r w:rsidR="00367C88">
              <w:rPr>
                <w:rFonts w:ascii="Times New Roman" w:hAnsi="Times New Roman"/>
                <w:color w:val="000000"/>
              </w:rPr>
              <w:t>ț</w:t>
            </w:r>
            <w:r w:rsidRPr="00825E5B">
              <w:rPr>
                <w:rFonts w:ascii="Times New Roman" w:hAnsi="Times New Roman"/>
                <w:color w:val="000000"/>
              </w:rPr>
              <w:t>iile care compun CCLT-ul nu se precizează o scaden</w:t>
            </w:r>
            <w:r w:rsidR="00367C88">
              <w:rPr>
                <w:rFonts w:ascii="Times New Roman" w:hAnsi="Times New Roman"/>
                <w:color w:val="000000"/>
              </w:rPr>
              <w:t>ț</w:t>
            </w:r>
            <w:r w:rsidRPr="00825E5B">
              <w:rPr>
                <w:rFonts w:ascii="Times New Roman" w:hAnsi="Times New Roman"/>
                <w:color w:val="000000"/>
              </w:rPr>
              <w:t>ă, institu</w:t>
            </w:r>
            <w:r w:rsidR="00367C88">
              <w:rPr>
                <w:rFonts w:ascii="Times New Roman" w:hAnsi="Times New Roman"/>
                <w:color w:val="000000"/>
              </w:rPr>
              <w:t>ț</w:t>
            </w:r>
            <w:r w:rsidRPr="00825E5B">
              <w:rPr>
                <w:rFonts w:ascii="Times New Roman" w:hAnsi="Times New Roman"/>
                <w:color w:val="000000"/>
              </w:rPr>
              <w:t>ia are dreptul legal să lichideze oricare dintre păr</w:t>
            </w:r>
            <w:r w:rsidR="00367C88">
              <w:rPr>
                <w:rFonts w:ascii="Times New Roman" w:hAnsi="Times New Roman"/>
                <w:color w:val="000000"/>
              </w:rPr>
              <w:t>ț</w:t>
            </w:r>
            <w:r w:rsidRPr="00825E5B">
              <w:rPr>
                <w:rFonts w:ascii="Times New Roman" w:hAnsi="Times New Roman"/>
                <w:color w:val="000000"/>
              </w:rPr>
              <w:t>ile CCLT-ului, respectiv ambele tranzac</w:t>
            </w:r>
            <w:r w:rsidR="00367C88">
              <w:rPr>
                <w:rFonts w:ascii="Times New Roman" w:hAnsi="Times New Roman"/>
                <w:color w:val="000000"/>
              </w:rPr>
              <w:t>ț</w:t>
            </w:r>
            <w:r w:rsidRPr="00825E5B">
              <w:rPr>
                <w:rFonts w:ascii="Times New Roman" w:hAnsi="Times New Roman"/>
                <w:color w:val="000000"/>
              </w:rPr>
              <w:t xml:space="preserve">ii componente, în orice moment </w:t>
            </w:r>
            <w:r w:rsidR="00367C88">
              <w:rPr>
                <w:rFonts w:ascii="Times New Roman" w:hAnsi="Times New Roman"/>
                <w:color w:val="000000"/>
              </w:rPr>
              <w:t>ș</w:t>
            </w:r>
            <w:r w:rsidRPr="00825E5B">
              <w:rPr>
                <w:rFonts w:ascii="Times New Roman" w:hAnsi="Times New Roman"/>
                <w:color w:val="000000"/>
              </w:rPr>
              <w:t>i fără notificare prealabilă;</w:t>
            </w:r>
          </w:p>
          <w:p w:rsidR="00410E47" w:rsidRPr="00825E5B" w:rsidRDefault="00500508" w:rsidP="00500508">
            <w:pPr>
              <w:pStyle w:val="Paragraph"/>
              <w:ind w:left="794" w:hanging="794"/>
              <w:rPr>
                <w:rFonts w:ascii="Times New Roman" w:hAnsi="Times New Roman"/>
                <w:color w:val="000000"/>
              </w:rPr>
            </w:pPr>
            <w:r w:rsidRPr="00825E5B">
              <w:rPr>
                <w:rFonts w:ascii="Times New Roman" w:hAnsi="Times New Roman"/>
                <w:color w:val="000000"/>
              </w:rPr>
              <w:t>(c)</w:t>
            </w:r>
            <w:r w:rsidRPr="00825E5B">
              <w:tab/>
            </w:r>
            <w:r w:rsidRPr="00825E5B">
              <w:rPr>
                <w:rFonts w:ascii="Times New Roman" w:hAnsi="Times New Roman"/>
                <w:color w:val="000000"/>
              </w:rPr>
              <w:t>dacă pentru tranzac</w:t>
            </w:r>
            <w:r w:rsidR="00367C88">
              <w:rPr>
                <w:rFonts w:ascii="Times New Roman" w:hAnsi="Times New Roman"/>
                <w:color w:val="000000"/>
              </w:rPr>
              <w:t>ț</w:t>
            </w:r>
            <w:r w:rsidRPr="00825E5B">
              <w:rPr>
                <w:rFonts w:ascii="Times New Roman" w:hAnsi="Times New Roman"/>
                <w:color w:val="000000"/>
              </w:rPr>
              <w:t>iile componente se precizează o scaden</w:t>
            </w:r>
            <w:r w:rsidR="00367C88">
              <w:rPr>
                <w:rFonts w:ascii="Times New Roman" w:hAnsi="Times New Roman"/>
                <w:color w:val="000000"/>
              </w:rPr>
              <w:t>ț</w:t>
            </w:r>
            <w:r w:rsidRPr="00825E5B">
              <w:rPr>
                <w:rFonts w:ascii="Times New Roman" w:hAnsi="Times New Roman"/>
                <w:color w:val="000000"/>
              </w:rPr>
              <w:t>ă, CCLT-ul nu creează neconcordan</w:t>
            </w:r>
            <w:r w:rsidR="00367C88">
              <w:rPr>
                <w:rFonts w:ascii="Times New Roman" w:hAnsi="Times New Roman"/>
                <w:color w:val="000000"/>
              </w:rPr>
              <w:t>ț</w:t>
            </w:r>
            <w:r w:rsidRPr="00825E5B">
              <w:rPr>
                <w:rFonts w:ascii="Times New Roman" w:hAnsi="Times New Roman"/>
                <w:color w:val="000000"/>
              </w:rPr>
              <w:t>e de scaden</w:t>
            </w:r>
            <w:r w:rsidR="00367C88">
              <w:rPr>
                <w:rFonts w:ascii="Times New Roman" w:hAnsi="Times New Roman"/>
                <w:color w:val="000000"/>
              </w:rPr>
              <w:t>ț</w:t>
            </w:r>
            <w:r w:rsidRPr="00825E5B">
              <w:rPr>
                <w:rFonts w:ascii="Times New Roman" w:hAnsi="Times New Roman"/>
                <w:color w:val="000000"/>
              </w:rPr>
              <w:t>e pentru institu</w:t>
            </w:r>
            <w:r w:rsidR="00367C88">
              <w:rPr>
                <w:rFonts w:ascii="Times New Roman" w:hAnsi="Times New Roman"/>
                <w:color w:val="000000"/>
              </w:rPr>
              <w:t>ț</w:t>
            </w:r>
            <w:r w:rsidRPr="00825E5B">
              <w:rPr>
                <w:rFonts w:ascii="Times New Roman" w:hAnsi="Times New Roman"/>
                <w:color w:val="000000"/>
              </w:rPr>
              <w:t>ie; institu</w:t>
            </w:r>
            <w:r w:rsidR="00367C88">
              <w:rPr>
                <w:rFonts w:ascii="Times New Roman" w:hAnsi="Times New Roman"/>
                <w:color w:val="000000"/>
              </w:rPr>
              <w:t>ț</w:t>
            </w:r>
            <w:r w:rsidRPr="00825E5B">
              <w:rPr>
                <w:rFonts w:ascii="Times New Roman" w:hAnsi="Times New Roman"/>
                <w:color w:val="000000"/>
              </w:rPr>
              <w:t>ia are dreptul legal să lichideze oricare dintre păr</w:t>
            </w:r>
            <w:r w:rsidR="00367C88">
              <w:rPr>
                <w:rFonts w:ascii="Times New Roman" w:hAnsi="Times New Roman"/>
                <w:color w:val="000000"/>
              </w:rPr>
              <w:t>ț</w:t>
            </w:r>
            <w:r w:rsidRPr="00825E5B">
              <w:rPr>
                <w:rFonts w:ascii="Times New Roman" w:hAnsi="Times New Roman"/>
                <w:color w:val="000000"/>
              </w:rPr>
              <w:t>ile CCLT-ului, respectiv ambele tranzac</w:t>
            </w:r>
            <w:r w:rsidR="00367C88">
              <w:rPr>
                <w:rFonts w:ascii="Times New Roman" w:hAnsi="Times New Roman"/>
                <w:color w:val="000000"/>
              </w:rPr>
              <w:t>ț</w:t>
            </w:r>
            <w:r w:rsidRPr="00825E5B">
              <w:rPr>
                <w:rFonts w:ascii="Times New Roman" w:hAnsi="Times New Roman"/>
                <w:color w:val="000000"/>
              </w:rPr>
              <w:t xml:space="preserve">ii componente, în orice moment </w:t>
            </w:r>
            <w:r w:rsidR="00367C88">
              <w:rPr>
                <w:rFonts w:ascii="Times New Roman" w:hAnsi="Times New Roman"/>
                <w:color w:val="000000"/>
              </w:rPr>
              <w:t>ș</w:t>
            </w:r>
            <w:r w:rsidRPr="00825E5B">
              <w:rPr>
                <w:rFonts w:ascii="Times New Roman" w:hAnsi="Times New Roman"/>
                <w:color w:val="000000"/>
              </w:rPr>
              <w:t>i fără notificare prealabilă;</w:t>
            </w:r>
          </w:p>
          <w:p w:rsidR="00410E47" w:rsidRPr="00825E5B" w:rsidRDefault="00500508" w:rsidP="00500508">
            <w:pPr>
              <w:pStyle w:val="Paragraph"/>
              <w:ind w:left="794" w:hanging="794"/>
              <w:rPr>
                <w:rFonts w:ascii="Times New Roman" w:hAnsi="Times New Roman"/>
                <w:color w:val="000000"/>
              </w:rPr>
            </w:pPr>
            <w:r w:rsidRPr="00825E5B">
              <w:rPr>
                <w:rFonts w:ascii="Times New Roman" w:hAnsi="Times New Roman"/>
                <w:color w:val="000000"/>
              </w:rPr>
              <w:t>(d)</w:t>
            </w:r>
            <w:r w:rsidRPr="00825E5B">
              <w:tab/>
            </w:r>
            <w:r w:rsidRPr="00825E5B">
              <w:rPr>
                <w:rFonts w:ascii="Times New Roman" w:hAnsi="Times New Roman"/>
                <w:color w:val="000000"/>
              </w:rPr>
              <w:t>CCLT-ul nu creează alte expuneri suplimentare.</w:t>
            </w:r>
          </w:p>
          <w:p w:rsidR="00410E47" w:rsidRPr="00825E5B" w:rsidRDefault="00410E47" w:rsidP="007E2A41">
            <w:pPr>
              <w:pStyle w:val="BodyText1"/>
              <w:spacing w:line="240" w:lineRule="auto"/>
              <w:rPr>
                <w:rFonts w:ascii="Times New Roman" w:hAnsi="Times New Roman"/>
                <w:b/>
                <w:bCs/>
              </w:rPr>
            </w:pPr>
          </w:p>
        </w:tc>
      </w:tr>
      <w:tr w:rsidR="004B5877" w:rsidRPr="00825E5B" w:rsidTr="004B5877">
        <w:tc>
          <w:tcPr>
            <w:tcW w:w="1418" w:type="dxa"/>
          </w:tcPr>
          <w:p w:rsidR="004B5877" w:rsidRPr="00825E5B" w:rsidRDefault="004B5877" w:rsidP="004178C8">
            <w:pPr>
              <w:pStyle w:val="BodyText1"/>
              <w:rPr>
                <w:rFonts w:ascii="Times New Roman" w:hAnsi="Times New Roman"/>
                <w:bCs/>
              </w:rPr>
            </w:pPr>
            <w:bookmarkStart w:id="63" w:name="_Toc322687882"/>
            <w:bookmarkEnd w:id="55"/>
            <w:r w:rsidRPr="00825E5B">
              <w:rPr>
                <w:rFonts w:ascii="Times New Roman" w:hAnsi="Times New Roman"/>
              </w:rPr>
              <w:t>{250;120}</w:t>
            </w:r>
          </w:p>
        </w:tc>
        <w:tc>
          <w:tcPr>
            <w:tcW w:w="7620" w:type="dxa"/>
          </w:tcPr>
          <w:p w:rsidR="004B5877" w:rsidRPr="00825E5B" w:rsidRDefault="004B5877" w:rsidP="004B5877">
            <w:pPr>
              <w:pStyle w:val="BodyText1"/>
              <w:tabs>
                <w:tab w:val="left" w:pos="4755"/>
              </w:tabs>
              <w:spacing w:line="240" w:lineRule="auto"/>
              <w:rPr>
                <w:rFonts w:ascii="Times New Roman" w:hAnsi="Times New Roman"/>
                <w:bCs/>
              </w:rPr>
            </w:pPr>
            <w:r w:rsidRPr="00825E5B">
              <w:rPr>
                <w:rFonts w:ascii="Times New Roman" w:hAnsi="Times New Roman"/>
                <w:b/>
              </w:rPr>
              <w:t>Expuneri care pot beneficia de tratamentul prevăzut la articolul 113 alineatul (6) din CRR – Cuantumul expunerii ipotetic excluse pentru calcularea indicatorului efectului de levier</w:t>
            </w:r>
          </w:p>
          <w:p w:rsidR="00A46F6B" w:rsidRPr="00825E5B" w:rsidRDefault="00A46F6B" w:rsidP="004178C8">
            <w:pPr>
              <w:pStyle w:val="BodyText1"/>
              <w:tabs>
                <w:tab w:val="left" w:pos="4755"/>
              </w:tabs>
              <w:spacing w:line="240" w:lineRule="auto"/>
              <w:rPr>
                <w:rFonts w:ascii="Times New Roman" w:hAnsi="Times New Roman"/>
                <w:bCs/>
              </w:rPr>
            </w:pPr>
          </w:p>
          <w:p w:rsidR="004B5877" w:rsidRPr="00825E5B" w:rsidRDefault="004B5877" w:rsidP="004178C8">
            <w:pPr>
              <w:pStyle w:val="BodyText1"/>
              <w:tabs>
                <w:tab w:val="left" w:pos="4755"/>
              </w:tabs>
              <w:spacing w:line="240" w:lineRule="auto"/>
              <w:rPr>
                <w:rFonts w:ascii="Times New Roman" w:hAnsi="Times New Roman"/>
                <w:bCs/>
              </w:rPr>
            </w:pPr>
            <w:r w:rsidRPr="00825E5B">
              <w:rPr>
                <w:rFonts w:ascii="Times New Roman" w:hAnsi="Times New Roman"/>
              </w:rPr>
              <w:t>Cuantumul expunerii totale pentru calcularea indicatorului efectului de levier care ar fi exclusă dacă autorită</w:t>
            </w:r>
            <w:r w:rsidR="00367C88">
              <w:rPr>
                <w:rFonts w:ascii="Times New Roman" w:hAnsi="Times New Roman"/>
              </w:rPr>
              <w:t>ț</w:t>
            </w:r>
            <w:r w:rsidRPr="00825E5B">
              <w:rPr>
                <w:rFonts w:ascii="Times New Roman" w:hAnsi="Times New Roman"/>
              </w:rPr>
              <w:t>ile competente ar acorda pe deplin permisiunea de a exclude expunerile pentru care s-au îndeplinit toate condi</w:t>
            </w:r>
            <w:r w:rsidR="00367C88">
              <w:rPr>
                <w:rFonts w:ascii="Times New Roman" w:hAnsi="Times New Roman"/>
              </w:rPr>
              <w:t>ț</w:t>
            </w:r>
            <w:r w:rsidRPr="00825E5B">
              <w:rPr>
                <w:rFonts w:ascii="Times New Roman" w:hAnsi="Times New Roman"/>
              </w:rPr>
              <w:t xml:space="preserve">iile prevăzute la articolul 113 alineatul (6) literele (a)-(e) din CRR </w:t>
            </w:r>
            <w:r w:rsidR="00367C88">
              <w:rPr>
                <w:rFonts w:ascii="Times New Roman" w:hAnsi="Times New Roman"/>
              </w:rPr>
              <w:t>ș</w:t>
            </w:r>
            <w:r w:rsidRPr="00825E5B">
              <w:rPr>
                <w:rFonts w:ascii="Times New Roman" w:hAnsi="Times New Roman"/>
              </w:rPr>
              <w:t>i pentru care s-a acordat aprobarea prevăzută la articolul 113 alineatul (6) din CRR. Dacă permisiunea a fost deja acordată pe deplin de către autoritatea competentă, valoarea din această celulă este egală cu cea din {LRCalc;250;010}.</w:t>
            </w:r>
          </w:p>
          <w:p w:rsidR="004B5877" w:rsidRPr="00825E5B" w:rsidRDefault="004B5877" w:rsidP="006A32F5">
            <w:pPr>
              <w:pStyle w:val="Paragraph"/>
              <w:ind w:firstLine="0"/>
              <w:rPr>
                <w:rFonts w:ascii="Times New Roman" w:hAnsi="Times New Roman"/>
                <w:b/>
                <w:bCs/>
              </w:rPr>
            </w:pPr>
          </w:p>
        </w:tc>
      </w:tr>
      <w:tr w:rsidR="004B5877" w:rsidRPr="00825E5B" w:rsidTr="004B5877">
        <w:tc>
          <w:tcPr>
            <w:tcW w:w="1418" w:type="dxa"/>
          </w:tcPr>
          <w:p w:rsidR="004B5877" w:rsidRPr="00825E5B" w:rsidRDefault="004B5877" w:rsidP="004178C8">
            <w:pPr>
              <w:pStyle w:val="BodyText1"/>
              <w:rPr>
                <w:rFonts w:ascii="Times New Roman" w:hAnsi="Times New Roman"/>
                <w:bCs/>
              </w:rPr>
            </w:pPr>
            <w:r w:rsidRPr="00825E5B">
              <w:rPr>
                <w:rFonts w:ascii="Times New Roman" w:hAnsi="Times New Roman"/>
              </w:rPr>
              <w:t>{260;120}</w:t>
            </w:r>
          </w:p>
        </w:tc>
        <w:tc>
          <w:tcPr>
            <w:tcW w:w="7620" w:type="dxa"/>
          </w:tcPr>
          <w:p w:rsidR="004B5877" w:rsidRPr="00825E5B" w:rsidRDefault="004B5877" w:rsidP="004B5877">
            <w:pPr>
              <w:pStyle w:val="BodyText1"/>
              <w:tabs>
                <w:tab w:val="left" w:pos="4755"/>
              </w:tabs>
              <w:spacing w:line="240" w:lineRule="auto"/>
              <w:rPr>
                <w:rFonts w:ascii="Times New Roman" w:hAnsi="Times New Roman"/>
                <w:b/>
                <w:bCs/>
              </w:rPr>
            </w:pPr>
            <w:r w:rsidRPr="00825E5B">
              <w:rPr>
                <w:rFonts w:ascii="Times New Roman" w:hAnsi="Times New Roman"/>
                <w:b/>
              </w:rPr>
              <w:t>Expuneri care îndeplinesc condi</w:t>
            </w:r>
            <w:r w:rsidR="00367C88">
              <w:rPr>
                <w:rFonts w:ascii="Times New Roman" w:hAnsi="Times New Roman"/>
                <w:b/>
              </w:rPr>
              <w:t>ț</w:t>
            </w:r>
            <w:r w:rsidRPr="00825E5B">
              <w:rPr>
                <w:rFonts w:ascii="Times New Roman" w:hAnsi="Times New Roman"/>
                <w:b/>
              </w:rPr>
              <w:t>iile de la articolul 429 alineatul (14) literele (a)-(c) din CRR – Cuantumul expunerii ipotetic excluse pentru calcularea indicatorului efectului de levier</w:t>
            </w:r>
          </w:p>
          <w:p w:rsidR="004B5877" w:rsidRPr="00825E5B" w:rsidRDefault="004B5877" w:rsidP="004B5877">
            <w:pPr>
              <w:pStyle w:val="BodyText1"/>
              <w:tabs>
                <w:tab w:val="left" w:pos="4755"/>
              </w:tabs>
              <w:spacing w:line="240" w:lineRule="auto"/>
              <w:rPr>
                <w:rFonts w:ascii="Times New Roman" w:hAnsi="Times New Roman"/>
                <w:bCs/>
              </w:rPr>
            </w:pPr>
          </w:p>
          <w:p w:rsidR="00214D62" w:rsidRPr="00825E5B" w:rsidRDefault="00214D62" w:rsidP="004B5877">
            <w:pPr>
              <w:pStyle w:val="BodyText1"/>
              <w:tabs>
                <w:tab w:val="left" w:pos="4755"/>
              </w:tabs>
              <w:spacing w:line="240" w:lineRule="auto"/>
              <w:rPr>
                <w:rFonts w:ascii="Times New Roman" w:hAnsi="Times New Roman"/>
                <w:bCs/>
              </w:rPr>
            </w:pPr>
            <w:r w:rsidRPr="00825E5B">
              <w:rPr>
                <w:rFonts w:ascii="Times New Roman" w:hAnsi="Times New Roman"/>
              </w:rPr>
              <w:lastRenderedPageBreak/>
              <w:t>Cuantumul expunerii totale pentru calcularea indicatorului efectului de levier care ar fi exclusă dacă autorită</w:t>
            </w:r>
            <w:r w:rsidR="00367C88">
              <w:rPr>
                <w:rFonts w:ascii="Times New Roman" w:hAnsi="Times New Roman"/>
              </w:rPr>
              <w:t>ț</w:t>
            </w:r>
            <w:r w:rsidRPr="00825E5B">
              <w:rPr>
                <w:rFonts w:ascii="Times New Roman" w:hAnsi="Times New Roman"/>
              </w:rPr>
              <w:t>ile competente ar acorda pe deplin permisiunea de a exclude expunerile care îndeplinesc condi</w:t>
            </w:r>
            <w:r w:rsidR="00367C88">
              <w:rPr>
                <w:rFonts w:ascii="Times New Roman" w:hAnsi="Times New Roman"/>
              </w:rPr>
              <w:t>ț</w:t>
            </w:r>
            <w:r w:rsidRPr="00825E5B">
              <w:rPr>
                <w:rFonts w:ascii="Times New Roman" w:hAnsi="Times New Roman"/>
              </w:rPr>
              <w:t>iile de la articolul 429 alineatul (14) literele (a)-(c) din CRR. Dacă permisiunea a fost deja acordată pe deplin de către autoritatea competentă, valoarea din această celulă este egală cu cea din {LRCalc;260;010}.</w:t>
            </w:r>
          </w:p>
          <w:p w:rsidR="004B5877" w:rsidRPr="00825E5B" w:rsidRDefault="004B5877" w:rsidP="006A32F5">
            <w:pPr>
              <w:pStyle w:val="Paragraph"/>
              <w:ind w:left="794" w:firstLine="0"/>
              <w:rPr>
                <w:rFonts w:ascii="Times New Roman" w:hAnsi="Times New Roman"/>
                <w:b/>
                <w:bCs/>
              </w:rPr>
            </w:pPr>
          </w:p>
        </w:tc>
      </w:tr>
    </w:tbl>
    <w:p w:rsidR="00F4754B" w:rsidRPr="00825E5B" w:rsidRDefault="00F4754B" w:rsidP="00F4754B">
      <w:pPr>
        <w:pStyle w:val="BodyText1"/>
        <w:rPr>
          <w:rFonts w:ascii="Times New Roman" w:hAnsi="Times New Roman"/>
          <w:b/>
        </w:rPr>
      </w:pPr>
    </w:p>
    <w:p w:rsidR="00217D1F" w:rsidRPr="00825E5B"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3995575"/>
      <w:bookmarkEnd w:id="64"/>
      <w:bookmarkEnd w:id="65"/>
      <w:bookmarkEnd w:id="66"/>
      <w:r w:rsidRPr="00825E5B">
        <w:rPr>
          <w:rFonts w:ascii="Times New Roman" w:hAnsi="Times New Roman"/>
          <w:b/>
        </w:rPr>
        <w:t>6.</w:t>
      </w:r>
      <w:r w:rsidRPr="00825E5B">
        <w:tab/>
      </w:r>
      <w:r w:rsidRPr="00825E5B">
        <w:rPr>
          <w:rFonts w:ascii="Times New Roman" w:hAnsi="Times New Roman"/>
          <w:b/>
        </w:rPr>
        <w:t>C 41.00 – Elemente bilan</w:t>
      </w:r>
      <w:r w:rsidR="00367C88">
        <w:rPr>
          <w:rFonts w:ascii="Times New Roman" w:hAnsi="Times New Roman"/>
          <w:b/>
        </w:rPr>
        <w:t>ț</w:t>
      </w:r>
      <w:r w:rsidRPr="00825E5B">
        <w:rPr>
          <w:rFonts w:ascii="Times New Roman" w:hAnsi="Times New Roman"/>
          <w:b/>
        </w:rPr>
        <w:t xml:space="preserve">iere </w:t>
      </w:r>
      <w:r w:rsidR="00367C88">
        <w:rPr>
          <w:rFonts w:ascii="Times New Roman" w:hAnsi="Times New Roman"/>
          <w:b/>
        </w:rPr>
        <w:t>ș</w:t>
      </w:r>
      <w:r w:rsidRPr="00825E5B">
        <w:rPr>
          <w:rFonts w:ascii="Times New Roman" w:hAnsi="Times New Roman"/>
          <w:b/>
        </w:rPr>
        <w:t>i extrabilan</w:t>
      </w:r>
      <w:r w:rsidR="00367C88">
        <w:rPr>
          <w:rFonts w:ascii="Times New Roman" w:hAnsi="Times New Roman"/>
          <w:b/>
        </w:rPr>
        <w:t>ț</w:t>
      </w:r>
      <w:r w:rsidRPr="00825E5B">
        <w:rPr>
          <w:rFonts w:ascii="Times New Roman" w:hAnsi="Times New Roman"/>
          <w:b/>
        </w:rPr>
        <w:t>iere – Defalcarea suplimentară a expunerilor</w:t>
      </w:r>
      <w:bookmarkEnd w:id="67"/>
      <w:bookmarkEnd w:id="68"/>
      <w:r w:rsidRPr="00825E5B">
        <w:rPr>
          <w:rFonts w:ascii="Times New Roman" w:hAnsi="Times New Roman"/>
          <w:b/>
        </w:rPr>
        <w:t xml:space="preserve"> (LR2)</w:t>
      </w:r>
      <w:bookmarkEnd w:id="69"/>
      <w:bookmarkEnd w:id="70"/>
    </w:p>
    <w:p w:rsidR="00675587" w:rsidRPr="00825E5B" w:rsidRDefault="00675587" w:rsidP="007E2A41">
      <w:pPr>
        <w:pStyle w:val="BodyText1"/>
        <w:spacing w:line="240" w:lineRule="auto"/>
        <w:ind w:left="720"/>
        <w:rPr>
          <w:rFonts w:ascii="Times New Roman" w:hAnsi="Times New Roman"/>
          <w:bCs/>
        </w:rPr>
      </w:pPr>
    </w:p>
    <w:p w:rsidR="00F4754B" w:rsidRPr="00825E5B" w:rsidRDefault="00500508" w:rsidP="00500508">
      <w:pPr>
        <w:pStyle w:val="BodyText1"/>
        <w:spacing w:line="240" w:lineRule="auto"/>
        <w:ind w:left="720" w:hanging="360"/>
        <w:rPr>
          <w:rFonts w:ascii="Times New Roman" w:hAnsi="Times New Roman"/>
          <w:bCs/>
        </w:rPr>
      </w:pPr>
      <w:r w:rsidRPr="00825E5B">
        <w:rPr>
          <w:rFonts w:ascii="Times New Roman" w:hAnsi="Times New Roman"/>
        </w:rPr>
        <w:t>24.</w:t>
      </w:r>
      <w:r w:rsidRPr="00825E5B">
        <w:tab/>
      </w:r>
      <w:r w:rsidRPr="00825E5B">
        <w:rPr>
          <w:rFonts w:ascii="Times New Roman" w:hAnsi="Times New Roman"/>
        </w:rPr>
        <w:t>În formularul LR2 se furnizează informa</w:t>
      </w:r>
      <w:r w:rsidR="00367C88">
        <w:rPr>
          <w:rFonts w:ascii="Times New Roman" w:hAnsi="Times New Roman"/>
        </w:rPr>
        <w:t>ț</w:t>
      </w:r>
      <w:r w:rsidRPr="00825E5B">
        <w:rPr>
          <w:rFonts w:ascii="Times New Roman" w:hAnsi="Times New Roman"/>
        </w:rPr>
        <w:t>ii cu privire la defalcarea suplimentară a tuturor expunerilor bilan</w:t>
      </w:r>
      <w:r w:rsidR="00367C88">
        <w:rPr>
          <w:rFonts w:ascii="Times New Roman" w:hAnsi="Times New Roman"/>
        </w:rPr>
        <w:t>ț</w:t>
      </w:r>
      <w:r w:rsidRPr="00825E5B">
        <w:rPr>
          <w:rFonts w:ascii="Times New Roman" w:hAnsi="Times New Roman"/>
        </w:rPr>
        <w:t xml:space="preserve">iere </w:t>
      </w:r>
      <w:r w:rsidR="00367C88">
        <w:rPr>
          <w:rFonts w:ascii="Times New Roman" w:hAnsi="Times New Roman"/>
        </w:rPr>
        <w:t>ș</w:t>
      </w:r>
      <w:r w:rsidRPr="00825E5B">
        <w:rPr>
          <w:rFonts w:ascii="Times New Roman" w:hAnsi="Times New Roman"/>
        </w:rPr>
        <w:t>i extrabilan</w:t>
      </w:r>
      <w:r w:rsidR="00367C88">
        <w:rPr>
          <w:rFonts w:ascii="Times New Roman" w:hAnsi="Times New Roman"/>
        </w:rPr>
        <w:t>ț</w:t>
      </w:r>
      <w:r w:rsidRPr="00825E5B">
        <w:rPr>
          <w:rFonts w:ascii="Times New Roman" w:hAnsi="Times New Roman"/>
        </w:rPr>
        <w:t>iere</w:t>
      </w:r>
      <w:r w:rsidRPr="00825E5B">
        <w:rPr>
          <w:rFonts w:ascii="Times New Roman" w:hAnsi="Times New Roman"/>
          <w:vertAlign w:val="superscript"/>
        </w:rPr>
        <w:footnoteReference w:id="2"/>
      </w:r>
      <w:r w:rsidRPr="00825E5B">
        <w:rPr>
          <w:rFonts w:ascii="Times New Roman" w:hAnsi="Times New Roman"/>
        </w:rPr>
        <w:t xml:space="preserve"> din afara portofoliului de tranzac</w:t>
      </w:r>
      <w:r w:rsidR="00367C88">
        <w:rPr>
          <w:rFonts w:ascii="Times New Roman" w:hAnsi="Times New Roman"/>
        </w:rPr>
        <w:t>ț</w:t>
      </w:r>
      <w:r w:rsidRPr="00825E5B">
        <w:rPr>
          <w:rFonts w:ascii="Times New Roman" w:hAnsi="Times New Roman"/>
        </w:rPr>
        <w:t xml:space="preserve">ionare </w:t>
      </w:r>
      <w:r w:rsidR="00367C88">
        <w:rPr>
          <w:rFonts w:ascii="Times New Roman" w:hAnsi="Times New Roman"/>
        </w:rPr>
        <w:t>ș</w:t>
      </w:r>
      <w:r w:rsidRPr="00825E5B">
        <w:rPr>
          <w:rFonts w:ascii="Times New Roman" w:hAnsi="Times New Roman"/>
        </w:rPr>
        <w:t>i a tuturor expunerilor din portofoliul de tranzac</w:t>
      </w:r>
      <w:r w:rsidR="00367C88">
        <w:rPr>
          <w:rFonts w:ascii="Times New Roman" w:hAnsi="Times New Roman"/>
        </w:rPr>
        <w:t>ț</w:t>
      </w:r>
      <w:r w:rsidRPr="00825E5B">
        <w:rPr>
          <w:rFonts w:ascii="Times New Roman" w:hAnsi="Times New Roman"/>
        </w:rPr>
        <w:t>ionare care sunt supuse riscului de contraparte. Defalcarea se efectuează în concordan</w:t>
      </w:r>
      <w:r w:rsidR="00367C88">
        <w:rPr>
          <w:rFonts w:ascii="Times New Roman" w:hAnsi="Times New Roman"/>
        </w:rPr>
        <w:t>ț</w:t>
      </w:r>
      <w:r w:rsidRPr="00825E5B">
        <w:rPr>
          <w:rFonts w:ascii="Times New Roman" w:hAnsi="Times New Roman"/>
        </w:rPr>
        <w:t>ă cu ponderile de risc aplicate conform sec</w:t>
      </w:r>
      <w:r w:rsidR="00367C88">
        <w:rPr>
          <w:rFonts w:ascii="Times New Roman" w:hAnsi="Times New Roman"/>
        </w:rPr>
        <w:t>ț</w:t>
      </w:r>
      <w:r w:rsidRPr="00825E5B">
        <w:rPr>
          <w:rFonts w:ascii="Times New Roman" w:hAnsi="Times New Roman"/>
        </w:rPr>
        <w:t>iunii referitoare la riscul de credit din CRR. Informa</w:t>
      </w:r>
      <w:r w:rsidR="00367C88">
        <w:rPr>
          <w:rFonts w:ascii="Times New Roman" w:hAnsi="Times New Roman"/>
        </w:rPr>
        <w:t>ț</w:t>
      </w:r>
      <w:r w:rsidRPr="00825E5B">
        <w:rPr>
          <w:rFonts w:ascii="Times New Roman" w:hAnsi="Times New Roman"/>
        </w:rPr>
        <w:t>iile privind expunerile sunt ob</w:t>
      </w:r>
      <w:r w:rsidR="00367C88">
        <w:rPr>
          <w:rFonts w:ascii="Times New Roman" w:hAnsi="Times New Roman"/>
        </w:rPr>
        <w:t>ț</w:t>
      </w:r>
      <w:r w:rsidRPr="00825E5B">
        <w:rPr>
          <w:rFonts w:ascii="Times New Roman" w:hAnsi="Times New Roman"/>
        </w:rPr>
        <w:t>inute diferit în func</w:t>
      </w:r>
      <w:r w:rsidR="00367C88">
        <w:rPr>
          <w:rFonts w:ascii="Times New Roman" w:hAnsi="Times New Roman"/>
        </w:rPr>
        <w:t>ț</w:t>
      </w:r>
      <w:r w:rsidRPr="00825E5B">
        <w:rPr>
          <w:rFonts w:ascii="Times New Roman" w:hAnsi="Times New Roman"/>
        </w:rPr>
        <w:t xml:space="preserve">ie de abordarea utilizată, </w:t>
      </w:r>
      <w:r w:rsidR="00367C88">
        <w:rPr>
          <w:rFonts w:ascii="Times New Roman" w:hAnsi="Times New Roman"/>
        </w:rPr>
        <w:t>ș</w:t>
      </w:r>
      <w:r w:rsidRPr="00825E5B">
        <w:rPr>
          <w:rFonts w:ascii="Times New Roman" w:hAnsi="Times New Roman"/>
        </w:rPr>
        <w:t xml:space="preserve">i anume abordarea standardizată sau abordarea bazată pe modele interne de rating. </w:t>
      </w:r>
    </w:p>
    <w:p w:rsidR="00FC2664" w:rsidRPr="00825E5B" w:rsidRDefault="00FC2664"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25.</w:t>
      </w:r>
      <w:r w:rsidRPr="00825E5B">
        <w:tab/>
      </w:r>
      <w:r w:rsidRPr="00825E5B">
        <w:rPr>
          <w:rFonts w:ascii="Times New Roman" w:hAnsi="Times New Roman"/>
        </w:rPr>
        <w:t>În cazul expunerilor sus</w:t>
      </w:r>
      <w:r w:rsidR="00367C88">
        <w:rPr>
          <w:rFonts w:ascii="Times New Roman" w:hAnsi="Times New Roman"/>
        </w:rPr>
        <w:t>ț</w:t>
      </w:r>
      <w:r w:rsidRPr="00825E5B">
        <w:rPr>
          <w:rFonts w:ascii="Times New Roman" w:hAnsi="Times New Roman"/>
        </w:rPr>
        <w:t>inute de tehnici CRM care implică înlocuirea ponderării la risc a contrapăr</w:t>
      </w:r>
      <w:r w:rsidR="00367C88">
        <w:rPr>
          <w:rFonts w:ascii="Times New Roman" w:hAnsi="Times New Roman"/>
        </w:rPr>
        <w:t>ț</w:t>
      </w:r>
      <w:r w:rsidRPr="00825E5B">
        <w:rPr>
          <w:rFonts w:ascii="Times New Roman" w:hAnsi="Times New Roman"/>
        </w:rPr>
        <w:t>ii cu ponderarea la risc a garan</w:t>
      </w:r>
      <w:r w:rsidR="00367C88">
        <w:rPr>
          <w:rFonts w:ascii="Times New Roman" w:hAnsi="Times New Roman"/>
        </w:rPr>
        <w:t>ț</w:t>
      </w:r>
      <w:r w:rsidRPr="00825E5B">
        <w:rPr>
          <w:rFonts w:ascii="Times New Roman" w:hAnsi="Times New Roman"/>
        </w:rPr>
        <w:t>iei, institu</w:t>
      </w:r>
      <w:r w:rsidR="00367C88">
        <w:rPr>
          <w:rFonts w:ascii="Times New Roman" w:hAnsi="Times New Roman"/>
        </w:rPr>
        <w:t>ț</w:t>
      </w:r>
      <w:r w:rsidRPr="00825E5B">
        <w:rPr>
          <w:rFonts w:ascii="Times New Roman" w:hAnsi="Times New Roman"/>
        </w:rPr>
        <w:t>iile se referă la ponderea de risc după efectul de substitu</w:t>
      </w:r>
      <w:r w:rsidR="00367C88">
        <w:rPr>
          <w:rFonts w:ascii="Times New Roman" w:hAnsi="Times New Roman"/>
        </w:rPr>
        <w:t>ț</w:t>
      </w:r>
      <w:r w:rsidRPr="00825E5B">
        <w:rPr>
          <w:rFonts w:ascii="Times New Roman" w:hAnsi="Times New Roman"/>
        </w:rPr>
        <w:t>ie. În cadrul abordării bazate pe modele interne de rating, institu</w:t>
      </w:r>
      <w:r w:rsidR="00367C88">
        <w:rPr>
          <w:rFonts w:ascii="Times New Roman" w:hAnsi="Times New Roman"/>
        </w:rPr>
        <w:t>ț</w:t>
      </w:r>
      <w:r w:rsidRPr="00825E5B">
        <w:rPr>
          <w:rFonts w:ascii="Times New Roman" w:hAnsi="Times New Roman"/>
        </w:rPr>
        <w:t>iile calculează în felul următor: pentru expunerile (cu excep</w:t>
      </w:r>
      <w:r w:rsidR="00367C88">
        <w:rPr>
          <w:rFonts w:ascii="Times New Roman" w:hAnsi="Times New Roman"/>
        </w:rPr>
        <w:t>ț</w:t>
      </w:r>
      <w:r w:rsidRPr="00825E5B">
        <w:rPr>
          <w:rFonts w:ascii="Times New Roman" w:hAnsi="Times New Roman"/>
        </w:rPr>
        <w:t>ia celor pentru care sunt furnizate ponderi de risc reglementare specifice) din fiecare clasă de rating a debitorilor, ponderea de risc se determină prin împăr</w:t>
      </w:r>
      <w:r w:rsidR="00367C88">
        <w:rPr>
          <w:rFonts w:ascii="Times New Roman" w:hAnsi="Times New Roman"/>
        </w:rPr>
        <w:t>ț</w:t>
      </w:r>
      <w:r w:rsidRPr="00825E5B">
        <w:rPr>
          <w:rFonts w:ascii="Times New Roman" w:hAnsi="Times New Roman"/>
        </w:rPr>
        <w:t>irea expunerii ponderate la risc ob</w:t>
      </w:r>
      <w:r w:rsidR="00367C88">
        <w:rPr>
          <w:rFonts w:ascii="Times New Roman" w:hAnsi="Times New Roman"/>
        </w:rPr>
        <w:t>ț</w:t>
      </w:r>
      <w:r w:rsidRPr="00825E5B">
        <w:rPr>
          <w:rFonts w:ascii="Times New Roman" w:hAnsi="Times New Roman"/>
        </w:rPr>
        <w:t xml:space="preserve">inute cu formula ponderii de risc sau cu formula reglementată (pentru riscul de credit </w:t>
      </w:r>
      <w:r w:rsidR="00367C88">
        <w:rPr>
          <w:rFonts w:ascii="Times New Roman" w:hAnsi="Times New Roman"/>
        </w:rPr>
        <w:t>ș</w:t>
      </w:r>
      <w:r w:rsidRPr="00825E5B">
        <w:rPr>
          <w:rFonts w:ascii="Times New Roman" w:hAnsi="Times New Roman"/>
        </w:rPr>
        <w:t xml:space="preserve">i, respectiv, pentru expunerile din securitizare) la valoarea expunerii după luarea în considerare a intrărilor </w:t>
      </w:r>
      <w:r w:rsidR="00367C88">
        <w:rPr>
          <w:rFonts w:ascii="Times New Roman" w:hAnsi="Times New Roman"/>
        </w:rPr>
        <w:t>ș</w:t>
      </w:r>
      <w:r w:rsidRPr="00825E5B">
        <w:rPr>
          <w:rFonts w:ascii="Times New Roman" w:hAnsi="Times New Roman"/>
        </w:rPr>
        <w:t>i ie</w:t>
      </w:r>
      <w:r w:rsidR="00367C88">
        <w:rPr>
          <w:rFonts w:ascii="Times New Roman" w:hAnsi="Times New Roman"/>
        </w:rPr>
        <w:t>ș</w:t>
      </w:r>
      <w:r w:rsidRPr="00825E5B">
        <w:rPr>
          <w:rFonts w:ascii="Times New Roman" w:hAnsi="Times New Roman"/>
        </w:rPr>
        <w:t>irilor datorate tehnicilor CRM cu efect de substitu</w:t>
      </w:r>
      <w:r w:rsidR="00367C88">
        <w:rPr>
          <w:rFonts w:ascii="Times New Roman" w:hAnsi="Times New Roman"/>
        </w:rPr>
        <w:t>ț</w:t>
      </w:r>
      <w:r w:rsidRPr="00825E5B">
        <w:rPr>
          <w:rFonts w:ascii="Times New Roman" w:hAnsi="Times New Roman"/>
        </w:rPr>
        <w:t xml:space="preserve">ie asupra expunerii. În cadrul abordării bazate pe modele interne de rating, expunerile clasificate ca fiind în stare de nerambursare se exclud din {020;010}-{090;010} </w:t>
      </w:r>
      <w:r w:rsidR="00367C88">
        <w:rPr>
          <w:rFonts w:ascii="Times New Roman" w:hAnsi="Times New Roman"/>
        </w:rPr>
        <w:t>ș</w:t>
      </w:r>
      <w:r w:rsidRPr="00825E5B">
        <w:rPr>
          <w:rFonts w:ascii="Times New Roman" w:hAnsi="Times New Roman"/>
        </w:rPr>
        <w:t>i se includ în {100;010}. În cadrul abordării standardizate, expunerile men</w:t>
      </w:r>
      <w:r w:rsidR="00367C88">
        <w:rPr>
          <w:rFonts w:ascii="Times New Roman" w:hAnsi="Times New Roman"/>
        </w:rPr>
        <w:t>ț</w:t>
      </w:r>
      <w:r w:rsidRPr="00825E5B">
        <w:rPr>
          <w:rFonts w:ascii="Times New Roman" w:hAnsi="Times New Roman"/>
        </w:rPr>
        <w:t xml:space="preserve">ionate la articolul 112 litera (j) din CRR se exclud din {020;020}-{090;020} </w:t>
      </w:r>
      <w:r w:rsidR="00367C88">
        <w:rPr>
          <w:rFonts w:ascii="Times New Roman" w:hAnsi="Times New Roman"/>
        </w:rPr>
        <w:t>ș</w:t>
      </w:r>
      <w:r w:rsidRPr="00825E5B">
        <w:rPr>
          <w:rFonts w:ascii="Times New Roman" w:hAnsi="Times New Roman"/>
        </w:rPr>
        <w:t>i se includ în {100;020}.</w:t>
      </w:r>
    </w:p>
    <w:p w:rsidR="00FC2664" w:rsidRPr="00825E5B" w:rsidRDefault="00FC2664"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26.</w:t>
      </w:r>
      <w:r w:rsidRPr="00825E5B">
        <w:tab/>
      </w:r>
      <w:r w:rsidRPr="00825E5B">
        <w:rPr>
          <w:rFonts w:ascii="Times New Roman" w:hAnsi="Times New Roman"/>
        </w:rPr>
        <w:t>În cadrul ambelor abordări, institu</w:t>
      </w:r>
      <w:r w:rsidR="00367C88">
        <w:rPr>
          <w:rFonts w:ascii="Times New Roman" w:hAnsi="Times New Roman"/>
        </w:rPr>
        <w:t>ț</w:t>
      </w:r>
      <w:r w:rsidRPr="00825E5B">
        <w:rPr>
          <w:rFonts w:ascii="Times New Roman" w:hAnsi="Times New Roman"/>
        </w:rPr>
        <w:t>iile iau în considerare aplicarea unei ponderi de risc de 1250 % pentru expunerile deduse din capitalul reglementat.</w:t>
      </w:r>
    </w:p>
    <w:p w:rsidR="00675587" w:rsidRPr="00825E5B"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825E5B" w:rsidTr="00FC2664">
        <w:tc>
          <w:tcPr>
            <w:tcW w:w="1418" w:type="dxa"/>
            <w:shd w:val="clear" w:color="auto" w:fill="D9D9D9"/>
          </w:tcPr>
          <w:p w:rsidR="00F4754B" w:rsidRPr="00825E5B" w:rsidRDefault="00F4754B" w:rsidP="00F0756A">
            <w:pPr>
              <w:pStyle w:val="BodyText1"/>
              <w:spacing w:line="240" w:lineRule="auto"/>
              <w:rPr>
                <w:rFonts w:ascii="Times New Roman" w:hAnsi="Times New Roman"/>
                <w:b/>
              </w:rPr>
            </w:pPr>
            <w:r w:rsidRPr="00825E5B">
              <w:rPr>
                <w:rFonts w:ascii="Times New Roman" w:hAnsi="Times New Roman"/>
                <w:b/>
              </w:rPr>
              <w:t xml:space="preserve">Rând </w:t>
            </w:r>
          </w:p>
          <w:p w:rsidR="00F4754B" w:rsidRPr="00825E5B"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825E5B" w:rsidRDefault="00F4754B" w:rsidP="00F0756A">
            <w:pPr>
              <w:pStyle w:val="BodyText1"/>
              <w:spacing w:line="240" w:lineRule="auto"/>
              <w:rPr>
                <w:rFonts w:ascii="Times New Roman" w:hAnsi="Times New Roman"/>
                <w:b/>
                <w:bCs/>
              </w:rPr>
            </w:pPr>
            <w:r w:rsidRPr="00825E5B">
              <w:rPr>
                <w:rFonts w:ascii="Times New Roman" w:hAnsi="Times New Roman"/>
                <w:b/>
              </w:rPr>
              <w:t>Referin</w:t>
            </w:r>
            <w:r w:rsidR="00367C88">
              <w:rPr>
                <w:rFonts w:ascii="Times New Roman" w:hAnsi="Times New Roman"/>
                <w:b/>
              </w:rPr>
              <w:t>ț</w:t>
            </w:r>
            <w:r w:rsidRPr="00825E5B">
              <w:rPr>
                <w:rFonts w:ascii="Times New Roman" w:hAnsi="Times New Roman"/>
                <w:b/>
              </w:rPr>
              <w:t xml:space="preserve">e juridice </w:t>
            </w:r>
            <w:r w:rsidR="00367C88">
              <w:rPr>
                <w:rFonts w:ascii="Times New Roman" w:hAnsi="Times New Roman"/>
                <w:b/>
              </w:rPr>
              <w:t>ș</w:t>
            </w:r>
            <w:r w:rsidRPr="00825E5B">
              <w:rPr>
                <w:rFonts w:ascii="Times New Roman" w:hAnsi="Times New Roman"/>
                <w:b/>
              </w:rPr>
              <w:t>i instruc</w:t>
            </w:r>
            <w:r w:rsidR="00367C88">
              <w:rPr>
                <w:rFonts w:ascii="Times New Roman" w:hAnsi="Times New Roman"/>
                <w:b/>
              </w:rPr>
              <w:t>ț</w:t>
            </w:r>
            <w:r w:rsidRPr="00825E5B">
              <w:rPr>
                <w:rFonts w:ascii="Times New Roman" w:hAnsi="Times New Roman"/>
                <w:b/>
              </w:rPr>
              <w:t>iuni</w:t>
            </w:r>
          </w:p>
          <w:p w:rsidR="00F4754B" w:rsidRPr="00825E5B" w:rsidRDefault="00F4754B" w:rsidP="00F0756A">
            <w:pPr>
              <w:pStyle w:val="BodyText1"/>
              <w:spacing w:line="240" w:lineRule="auto"/>
              <w:rPr>
                <w:rFonts w:ascii="Times New Roman" w:hAnsi="Times New Roman"/>
                <w:b/>
                <w:bCs/>
                <w:u w:val="single"/>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010</w:t>
            </w:r>
          </w:p>
          <w:p w:rsidR="00F4754B" w:rsidRPr="00825E5B" w:rsidRDefault="00F4754B" w:rsidP="00F4754B">
            <w:pPr>
              <w:pStyle w:val="BodyText1"/>
              <w:rPr>
                <w:rFonts w:ascii="Times New Roman" w:hAnsi="Times New Roman"/>
                <w:bCs/>
              </w:rPr>
            </w:pPr>
          </w:p>
        </w:tc>
        <w:tc>
          <w:tcPr>
            <w:tcW w:w="7620" w:type="dxa"/>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Totalul expunerilor bilan</w:t>
            </w:r>
            <w:r w:rsidR="00367C88">
              <w:rPr>
                <w:rFonts w:ascii="Times New Roman" w:hAnsi="Times New Roman"/>
                <w:b/>
              </w:rPr>
              <w:t>ț</w:t>
            </w:r>
            <w:r w:rsidRPr="00825E5B">
              <w:rPr>
                <w:rFonts w:ascii="Times New Roman" w:hAnsi="Times New Roman"/>
                <w:b/>
              </w:rPr>
              <w:t xml:space="preserve">iere </w:t>
            </w:r>
            <w:r w:rsidR="00367C88">
              <w:rPr>
                <w:rFonts w:ascii="Times New Roman" w:hAnsi="Times New Roman"/>
                <w:b/>
              </w:rPr>
              <w:t>ș</w:t>
            </w:r>
            <w:r w:rsidRPr="00825E5B">
              <w:rPr>
                <w:rFonts w:ascii="Times New Roman" w:hAnsi="Times New Roman"/>
                <w:b/>
              </w:rPr>
              <w:t>i extrabilan</w:t>
            </w:r>
            <w:r w:rsidR="00367C88">
              <w:rPr>
                <w:rFonts w:ascii="Times New Roman" w:hAnsi="Times New Roman"/>
                <w:b/>
              </w:rPr>
              <w:t>ț</w:t>
            </w:r>
            <w:r w:rsidRPr="00825E5B">
              <w:rPr>
                <w:rFonts w:ascii="Times New Roman" w:hAnsi="Times New Roman"/>
                <w:b/>
              </w:rPr>
              <w:t>iere din afara portofoliului de tranzac</w:t>
            </w:r>
            <w:r w:rsidR="00367C88">
              <w:rPr>
                <w:rFonts w:ascii="Times New Roman" w:hAnsi="Times New Roman"/>
                <w:b/>
              </w:rPr>
              <w:t>ț</w:t>
            </w:r>
            <w:r w:rsidRPr="00825E5B">
              <w:rPr>
                <w:rFonts w:ascii="Times New Roman" w:hAnsi="Times New Roman"/>
                <w:b/>
              </w:rPr>
              <w:t xml:space="preserve">ionare </w:t>
            </w:r>
            <w:r w:rsidR="00367C88">
              <w:rPr>
                <w:rFonts w:ascii="Times New Roman" w:hAnsi="Times New Roman"/>
                <w:b/>
              </w:rPr>
              <w:t>ș</w:t>
            </w:r>
            <w:r w:rsidRPr="00825E5B">
              <w:rPr>
                <w:rFonts w:ascii="Times New Roman" w:hAnsi="Times New Roman"/>
                <w:b/>
              </w:rPr>
              <w:t>i al expunerilor din portofoliul de tranzac</w:t>
            </w:r>
            <w:r w:rsidR="00367C88">
              <w:rPr>
                <w:rFonts w:ascii="Times New Roman" w:hAnsi="Times New Roman"/>
                <w:b/>
              </w:rPr>
              <w:t>ț</w:t>
            </w:r>
            <w:r w:rsidRPr="00825E5B">
              <w:rPr>
                <w:rFonts w:ascii="Times New Roman" w:hAnsi="Times New Roman"/>
                <w:b/>
              </w:rPr>
              <w:t>ionare care sunt supuse riscului de contraparte (defalcare în func</w:t>
            </w:r>
            <w:r w:rsidR="00367C88">
              <w:rPr>
                <w:rFonts w:ascii="Times New Roman" w:hAnsi="Times New Roman"/>
                <w:b/>
              </w:rPr>
              <w:t>ț</w:t>
            </w:r>
            <w:r w:rsidRPr="00825E5B">
              <w:rPr>
                <w:rFonts w:ascii="Times New Roman" w:hAnsi="Times New Roman"/>
                <w:b/>
              </w:rPr>
              <w:t>ie de ponderea de risc):</w:t>
            </w:r>
          </w:p>
          <w:p w:rsidR="00F4754B" w:rsidRPr="00825E5B" w:rsidRDefault="00F4754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Suma celulelor {020:*} – {100;*}.</w:t>
            </w:r>
          </w:p>
          <w:p w:rsidR="002509B1" w:rsidRPr="00825E5B" w:rsidRDefault="002509B1" w:rsidP="007E2A41">
            <w:pPr>
              <w:pStyle w:val="BodyText1"/>
              <w:spacing w:line="240" w:lineRule="auto"/>
              <w:rPr>
                <w:rFonts w:ascii="Times New Roman" w:hAnsi="Times New Roman"/>
                <w:bCs/>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020</w:t>
            </w:r>
          </w:p>
          <w:p w:rsidR="00F4754B" w:rsidRPr="00825E5B" w:rsidRDefault="00F4754B" w:rsidP="00F4754B">
            <w:pPr>
              <w:pStyle w:val="BodyText1"/>
              <w:rPr>
                <w:rFonts w:ascii="Times New Roman" w:hAnsi="Times New Roman"/>
                <w:b/>
                <w:bCs/>
                <w:u w:val="single"/>
              </w:rPr>
            </w:pPr>
          </w:p>
        </w:tc>
        <w:tc>
          <w:tcPr>
            <w:tcW w:w="7620" w:type="dxa"/>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 0%</w:t>
            </w:r>
          </w:p>
          <w:p w:rsidR="00F4754B" w:rsidRPr="00825E5B" w:rsidRDefault="00F4754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Expuneri cu o pondere de risc de 0 %.</w:t>
            </w:r>
          </w:p>
          <w:p w:rsidR="002509B1" w:rsidRPr="00825E5B" w:rsidRDefault="002509B1" w:rsidP="007E2A41">
            <w:pPr>
              <w:pStyle w:val="BodyText1"/>
              <w:spacing w:line="240" w:lineRule="auto"/>
              <w:rPr>
                <w:rFonts w:ascii="Times New Roman" w:hAnsi="Times New Roman"/>
                <w:bCs/>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030</w:t>
            </w:r>
          </w:p>
        </w:tc>
        <w:tc>
          <w:tcPr>
            <w:tcW w:w="7620" w:type="dxa"/>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 xml:space="preserve">&gt; 0 % </w:t>
            </w:r>
            <w:r w:rsidR="00367C88">
              <w:rPr>
                <w:rFonts w:ascii="Times New Roman" w:hAnsi="Times New Roman"/>
                <w:b/>
              </w:rPr>
              <w:t>ș</w:t>
            </w:r>
            <w:r w:rsidRPr="00825E5B">
              <w:rPr>
                <w:rFonts w:ascii="Times New Roman" w:hAnsi="Times New Roman"/>
                <w:b/>
              </w:rPr>
              <w:t>i ≤ 12 %</w:t>
            </w:r>
          </w:p>
          <w:p w:rsidR="00F4754B" w:rsidRPr="00825E5B" w:rsidRDefault="00F4754B"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Expuneri cu o pondere de risc cuprinsă în plaja de ponderi de risc strict mai mari de 0 % </w:t>
            </w:r>
            <w:r w:rsidR="00367C88">
              <w:rPr>
                <w:rFonts w:ascii="Times New Roman" w:hAnsi="Times New Roman"/>
              </w:rPr>
              <w:t>ș</w:t>
            </w:r>
            <w:r w:rsidRPr="00825E5B">
              <w:rPr>
                <w:rFonts w:ascii="Times New Roman" w:hAnsi="Times New Roman"/>
              </w:rPr>
              <w:t>i mai mici sau egale cu 12 %.</w:t>
            </w:r>
          </w:p>
          <w:p w:rsidR="002509B1" w:rsidRPr="00825E5B" w:rsidRDefault="002509B1" w:rsidP="007E2A41">
            <w:pPr>
              <w:pStyle w:val="BodyText1"/>
              <w:spacing w:line="240" w:lineRule="auto"/>
              <w:rPr>
                <w:rFonts w:ascii="Times New Roman" w:hAnsi="Times New Roman"/>
              </w:rPr>
            </w:pPr>
          </w:p>
        </w:tc>
      </w:tr>
      <w:tr w:rsidR="00F4754B" w:rsidRPr="00825E5B" w:rsidTr="00FC2664">
        <w:tc>
          <w:tcPr>
            <w:tcW w:w="1418" w:type="dxa"/>
            <w:tcBorders>
              <w:bottom w:val="single" w:sz="4" w:space="0" w:color="auto"/>
            </w:tcBorders>
          </w:tcPr>
          <w:p w:rsidR="00F4754B" w:rsidRPr="00825E5B" w:rsidRDefault="00F4754B" w:rsidP="00F4754B">
            <w:pPr>
              <w:pStyle w:val="BodyText1"/>
              <w:rPr>
                <w:rFonts w:ascii="Times New Roman" w:hAnsi="Times New Roman"/>
                <w:bCs/>
              </w:rPr>
            </w:pPr>
            <w:r w:rsidRPr="00825E5B">
              <w:rPr>
                <w:rFonts w:ascii="Times New Roman" w:hAnsi="Times New Roman"/>
              </w:rPr>
              <w:t>040</w:t>
            </w:r>
          </w:p>
        </w:tc>
        <w:tc>
          <w:tcPr>
            <w:tcW w:w="7620" w:type="dxa"/>
            <w:tcBorders>
              <w:bottom w:val="single" w:sz="4" w:space="0" w:color="auto"/>
            </w:tcBorders>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 xml:space="preserve">&gt; 12 % </w:t>
            </w:r>
            <w:r w:rsidR="00367C88">
              <w:rPr>
                <w:rFonts w:ascii="Times New Roman" w:hAnsi="Times New Roman"/>
                <w:b/>
              </w:rPr>
              <w:t>ș</w:t>
            </w:r>
            <w:r w:rsidRPr="00825E5B">
              <w:rPr>
                <w:rFonts w:ascii="Times New Roman" w:hAnsi="Times New Roman"/>
                <w:b/>
              </w:rPr>
              <w:t>i ≤ 20 %</w:t>
            </w:r>
          </w:p>
          <w:p w:rsidR="00F4754B" w:rsidRPr="00825E5B" w:rsidRDefault="00F4754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Expuneri cu o pondere de risc cuprinsă în plaja de ponderi de risc strict mai mari de 12 % </w:t>
            </w:r>
            <w:r w:rsidR="00367C88">
              <w:rPr>
                <w:rFonts w:ascii="Times New Roman" w:hAnsi="Times New Roman"/>
              </w:rPr>
              <w:t>ș</w:t>
            </w:r>
            <w:r w:rsidRPr="00825E5B">
              <w:rPr>
                <w:rFonts w:ascii="Times New Roman" w:hAnsi="Times New Roman"/>
              </w:rPr>
              <w:t xml:space="preserve">i mai mici sau egale cu 20 %. </w:t>
            </w:r>
          </w:p>
          <w:p w:rsidR="002509B1" w:rsidRPr="00825E5B" w:rsidRDefault="002509B1" w:rsidP="007E2A41">
            <w:pPr>
              <w:pStyle w:val="BodyText1"/>
              <w:spacing w:line="240" w:lineRule="auto"/>
              <w:rPr>
                <w:rFonts w:ascii="Times New Roman" w:hAnsi="Times New Roman"/>
                <w:bCs/>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lastRenderedPageBreak/>
              <w:t>050</w:t>
            </w:r>
          </w:p>
        </w:tc>
        <w:tc>
          <w:tcPr>
            <w:tcW w:w="7620" w:type="dxa"/>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 xml:space="preserve">&gt; 20 % </w:t>
            </w:r>
            <w:r w:rsidR="00367C88">
              <w:rPr>
                <w:rFonts w:ascii="Times New Roman" w:hAnsi="Times New Roman"/>
                <w:b/>
              </w:rPr>
              <w:t>ș</w:t>
            </w:r>
            <w:r w:rsidRPr="00825E5B">
              <w:rPr>
                <w:rFonts w:ascii="Times New Roman" w:hAnsi="Times New Roman"/>
                <w:b/>
              </w:rPr>
              <w:t>i ≤ 50 %</w:t>
            </w:r>
          </w:p>
          <w:p w:rsidR="00F4754B" w:rsidRPr="00825E5B" w:rsidRDefault="00F4754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Expuneri cu o pondere de risc cuprinsă în plaja de ponderi de risc strict mai mari de 20 % </w:t>
            </w:r>
            <w:r w:rsidR="00367C88">
              <w:rPr>
                <w:rFonts w:ascii="Times New Roman" w:hAnsi="Times New Roman"/>
              </w:rPr>
              <w:t>ș</w:t>
            </w:r>
            <w:r w:rsidRPr="00825E5B">
              <w:rPr>
                <w:rFonts w:ascii="Times New Roman" w:hAnsi="Times New Roman"/>
              </w:rPr>
              <w:t>i mai mici sau egale cu 50 %.</w:t>
            </w:r>
          </w:p>
          <w:p w:rsidR="002509B1" w:rsidRPr="00825E5B" w:rsidRDefault="002509B1" w:rsidP="007E2A41">
            <w:pPr>
              <w:pStyle w:val="BodyText1"/>
              <w:spacing w:line="240" w:lineRule="auto"/>
              <w:rPr>
                <w:rFonts w:ascii="Times New Roman" w:hAnsi="Times New Roman"/>
                <w:bCs/>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060</w:t>
            </w:r>
          </w:p>
          <w:p w:rsidR="00F4754B" w:rsidRPr="00825E5B" w:rsidRDefault="00F4754B" w:rsidP="00F4754B">
            <w:pPr>
              <w:pStyle w:val="BodyText1"/>
              <w:rPr>
                <w:rFonts w:ascii="Times New Roman" w:hAnsi="Times New Roman"/>
                <w:bCs/>
              </w:rPr>
            </w:pPr>
          </w:p>
        </w:tc>
        <w:tc>
          <w:tcPr>
            <w:tcW w:w="7620" w:type="dxa"/>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 xml:space="preserve">&gt; 50 % </w:t>
            </w:r>
            <w:r w:rsidR="00367C88">
              <w:rPr>
                <w:rFonts w:ascii="Times New Roman" w:hAnsi="Times New Roman"/>
                <w:b/>
              </w:rPr>
              <w:t>ș</w:t>
            </w:r>
            <w:r w:rsidRPr="00825E5B">
              <w:rPr>
                <w:rFonts w:ascii="Times New Roman" w:hAnsi="Times New Roman"/>
                <w:b/>
              </w:rPr>
              <w:t>i ≤ 75 %</w:t>
            </w: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 </w:t>
            </w: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Expuneri cu o pondere de risc cuprinsă în plaja de ponderi de risc strict mai mari de 50 % </w:t>
            </w:r>
            <w:r w:rsidR="00367C88">
              <w:rPr>
                <w:rFonts w:ascii="Times New Roman" w:hAnsi="Times New Roman"/>
              </w:rPr>
              <w:t>ș</w:t>
            </w:r>
            <w:r w:rsidRPr="00825E5B">
              <w:rPr>
                <w:rFonts w:ascii="Times New Roman" w:hAnsi="Times New Roman"/>
              </w:rPr>
              <w:t>i mai mici sau egale cu 75 %.</w:t>
            </w:r>
          </w:p>
          <w:p w:rsidR="002509B1" w:rsidRPr="00825E5B" w:rsidRDefault="002509B1" w:rsidP="007E2A41">
            <w:pPr>
              <w:pStyle w:val="BodyText1"/>
              <w:spacing w:line="240" w:lineRule="auto"/>
              <w:rPr>
                <w:rFonts w:ascii="Times New Roman" w:hAnsi="Times New Roman"/>
                <w:bCs/>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070</w:t>
            </w:r>
          </w:p>
          <w:p w:rsidR="00F4754B" w:rsidRPr="00825E5B" w:rsidRDefault="00F4754B" w:rsidP="00F4754B">
            <w:pPr>
              <w:pStyle w:val="BodyText1"/>
              <w:rPr>
                <w:rFonts w:ascii="Times New Roman" w:hAnsi="Times New Roman"/>
                <w:bCs/>
              </w:rPr>
            </w:pPr>
          </w:p>
        </w:tc>
        <w:tc>
          <w:tcPr>
            <w:tcW w:w="7620" w:type="dxa"/>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 xml:space="preserve">&gt; 75 % </w:t>
            </w:r>
            <w:r w:rsidR="00367C88">
              <w:rPr>
                <w:rFonts w:ascii="Times New Roman" w:hAnsi="Times New Roman"/>
                <w:b/>
              </w:rPr>
              <w:t>ș</w:t>
            </w:r>
            <w:r w:rsidRPr="00825E5B">
              <w:rPr>
                <w:rFonts w:ascii="Times New Roman" w:hAnsi="Times New Roman"/>
                <w:b/>
              </w:rPr>
              <w:t>i ≤ 100 %</w:t>
            </w: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 </w:t>
            </w: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Expuneri cu o pondere de risc cuprinsă în plaja de ponderi de risc strict mai mari de 75 % </w:t>
            </w:r>
            <w:r w:rsidR="00367C88">
              <w:rPr>
                <w:rFonts w:ascii="Times New Roman" w:hAnsi="Times New Roman"/>
              </w:rPr>
              <w:t>ș</w:t>
            </w:r>
            <w:r w:rsidRPr="00825E5B">
              <w:rPr>
                <w:rFonts w:ascii="Times New Roman" w:hAnsi="Times New Roman"/>
              </w:rPr>
              <w:t>i mai mici sau egale cu 100 %.</w:t>
            </w:r>
          </w:p>
          <w:p w:rsidR="002509B1" w:rsidRPr="00825E5B" w:rsidRDefault="002509B1" w:rsidP="007E2A41">
            <w:pPr>
              <w:pStyle w:val="BodyText1"/>
              <w:spacing w:line="240" w:lineRule="auto"/>
              <w:rPr>
                <w:rFonts w:ascii="Times New Roman" w:hAnsi="Times New Roman"/>
                <w:bCs/>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080</w:t>
            </w:r>
          </w:p>
          <w:p w:rsidR="00F4754B" w:rsidRPr="00825E5B" w:rsidRDefault="00F4754B" w:rsidP="00F4754B">
            <w:pPr>
              <w:pStyle w:val="BodyText1"/>
              <w:rPr>
                <w:rFonts w:ascii="Times New Roman" w:hAnsi="Times New Roman"/>
                <w:bCs/>
              </w:rPr>
            </w:pPr>
          </w:p>
        </w:tc>
        <w:tc>
          <w:tcPr>
            <w:tcW w:w="7620" w:type="dxa"/>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 xml:space="preserve">&gt; 100 % </w:t>
            </w:r>
            <w:r w:rsidR="00367C88">
              <w:rPr>
                <w:rFonts w:ascii="Times New Roman" w:hAnsi="Times New Roman"/>
                <w:b/>
              </w:rPr>
              <w:t>ș</w:t>
            </w:r>
            <w:r w:rsidRPr="00825E5B">
              <w:rPr>
                <w:rFonts w:ascii="Times New Roman" w:hAnsi="Times New Roman"/>
                <w:b/>
              </w:rPr>
              <w:t>i ≤ 425 %</w:t>
            </w:r>
          </w:p>
          <w:p w:rsidR="00F4754B" w:rsidRPr="00825E5B" w:rsidRDefault="00F4754B"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Expuneri cu o pondere de risc cuprinsă în plaja de ponderi de risc strict mai mari de 100 % </w:t>
            </w:r>
            <w:r w:rsidR="00367C88">
              <w:rPr>
                <w:rFonts w:ascii="Times New Roman" w:hAnsi="Times New Roman"/>
              </w:rPr>
              <w:t>ș</w:t>
            </w:r>
            <w:r w:rsidRPr="00825E5B">
              <w:rPr>
                <w:rFonts w:ascii="Times New Roman" w:hAnsi="Times New Roman"/>
              </w:rPr>
              <w:t>i mai mici sau egale cu 425 %.</w:t>
            </w:r>
          </w:p>
          <w:p w:rsidR="002509B1" w:rsidRPr="00825E5B" w:rsidRDefault="002509B1" w:rsidP="007E2A41">
            <w:pPr>
              <w:pStyle w:val="BodyText1"/>
              <w:spacing w:line="240" w:lineRule="auto"/>
              <w:rPr>
                <w:rFonts w:ascii="Times New Roman" w:hAnsi="Times New Roman"/>
              </w:rPr>
            </w:pP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090</w:t>
            </w:r>
          </w:p>
        </w:tc>
        <w:tc>
          <w:tcPr>
            <w:tcW w:w="7620" w:type="dxa"/>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 xml:space="preserve">&gt; 425 % </w:t>
            </w:r>
            <w:r w:rsidR="00367C88">
              <w:rPr>
                <w:rFonts w:ascii="Times New Roman" w:hAnsi="Times New Roman"/>
                <w:b/>
              </w:rPr>
              <w:t>ș</w:t>
            </w:r>
            <w:r w:rsidRPr="00825E5B">
              <w:rPr>
                <w:rFonts w:ascii="Times New Roman" w:hAnsi="Times New Roman"/>
                <w:b/>
              </w:rPr>
              <w:t>i ≤ 1250 %</w:t>
            </w: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 </w:t>
            </w: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Expuneri cu o pondere de risc cuprinsă în plaja de ponderi de risc strict mai mari de 425 % </w:t>
            </w:r>
            <w:r w:rsidR="00367C88">
              <w:rPr>
                <w:rFonts w:ascii="Times New Roman" w:hAnsi="Times New Roman"/>
              </w:rPr>
              <w:t>ș</w:t>
            </w:r>
            <w:r w:rsidRPr="00825E5B">
              <w:rPr>
                <w:rFonts w:ascii="Times New Roman" w:hAnsi="Times New Roman"/>
              </w:rPr>
              <w:t>i mai mici sau egale cu 1250 %.</w:t>
            </w:r>
          </w:p>
          <w:p w:rsidR="002509B1" w:rsidRPr="00825E5B" w:rsidRDefault="002509B1" w:rsidP="007E2A41">
            <w:pPr>
              <w:pStyle w:val="BodyText1"/>
              <w:spacing w:line="240" w:lineRule="auto"/>
              <w:rPr>
                <w:rFonts w:ascii="Times New Roman" w:hAnsi="Times New Roman"/>
              </w:rPr>
            </w:pPr>
          </w:p>
        </w:tc>
      </w:tr>
      <w:tr w:rsidR="00F4754B" w:rsidRPr="00825E5B" w:rsidTr="00FC2664">
        <w:tc>
          <w:tcPr>
            <w:tcW w:w="1418" w:type="dxa"/>
            <w:tcBorders>
              <w:top w:val="single" w:sz="4" w:space="0" w:color="auto"/>
              <w:left w:val="single" w:sz="4" w:space="0" w:color="auto"/>
              <w:bottom w:val="single" w:sz="4" w:space="0" w:color="auto"/>
              <w:right w:val="single" w:sz="4" w:space="0" w:color="auto"/>
            </w:tcBorders>
          </w:tcPr>
          <w:p w:rsidR="00F4754B" w:rsidRPr="00825E5B" w:rsidRDefault="00F4754B" w:rsidP="00F4754B">
            <w:pPr>
              <w:pStyle w:val="BodyText1"/>
              <w:rPr>
                <w:rFonts w:ascii="Times New Roman" w:hAnsi="Times New Roman"/>
                <w:bCs/>
              </w:rPr>
            </w:pPr>
            <w:r w:rsidRPr="00825E5B">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în stare de nerambursare</w:t>
            </w:r>
          </w:p>
          <w:p w:rsidR="00F4754B" w:rsidRPr="00825E5B" w:rsidRDefault="00F4754B" w:rsidP="007E2A41">
            <w:pPr>
              <w:pStyle w:val="BodyText1"/>
              <w:spacing w:line="240" w:lineRule="auto"/>
              <w:rPr>
                <w:rFonts w:ascii="Times New Roman" w:hAnsi="Times New Roman"/>
                <w:b/>
                <w:bCs/>
                <w:u w:val="single"/>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În cadrul abordării standardizate, expunerile men</w:t>
            </w:r>
            <w:r w:rsidR="00367C88">
              <w:rPr>
                <w:rFonts w:ascii="Times New Roman" w:hAnsi="Times New Roman"/>
              </w:rPr>
              <w:t>ț</w:t>
            </w:r>
            <w:r w:rsidRPr="00825E5B">
              <w:rPr>
                <w:rFonts w:ascii="Times New Roman" w:hAnsi="Times New Roman"/>
              </w:rPr>
              <w:t>ionate la articolul 112 litera (j) din CRR.</w:t>
            </w:r>
          </w:p>
          <w:p w:rsidR="00F4754B" w:rsidRPr="00825E5B" w:rsidRDefault="00F4754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În cadrul abordării bazate pe modele interne de rating, toate expunerile cu o probabilitate de nerambursare de 100 % sunt expuneri în stare de nerambursare. </w:t>
            </w:r>
          </w:p>
          <w:p w:rsidR="00F4754B" w:rsidRPr="00825E5B" w:rsidRDefault="00F4754B" w:rsidP="007E2A41">
            <w:pPr>
              <w:pStyle w:val="BodyText1"/>
              <w:spacing w:line="240" w:lineRule="auto"/>
              <w:rPr>
                <w:rFonts w:ascii="Times New Roman" w:hAnsi="Times New Roman"/>
                <w:bCs/>
                <w:u w:val="single"/>
              </w:rPr>
            </w:pPr>
          </w:p>
        </w:tc>
      </w:tr>
      <w:tr w:rsidR="00F4754B" w:rsidRPr="00825E5B" w:rsidTr="00FC2664">
        <w:tc>
          <w:tcPr>
            <w:tcW w:w="1418" w:type="dxa"/>
            <w:tcBorders>
              <w:top w:val="single" w:sz="4" w:space="0" w:color="auto"/>
              <w:left w:val="single" w:sz="4" w:space="0" w:color="auto"/>
              <w:bottom w:val="single" w:sz="4" w:space="0" w:color="auto"/>
              <w:right w:val="single" w:sz="4" w:space="0" w:color="auto"/>
            </w:tcBorders>
          </w:tcPr>
          <w:p w:rsidR="00F4754B" w:rsidRPr="00825E5B" w:rsidRDefault="00F4754B" w:rsidP="00F4754B">
            <w:pPr>
              <w:pStyle w:val="BodyText1"/>
              <w:rPr>
                <w:rFonts w:ascii="Times New Roman" w:hAnsi="Times New Roman"/>
                <w:bCs/>
              </w:rPr>
            </w:pPr>
            <w:r w:rsidRPr="00825E5B">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825E5B" w:rsidRDefault="00F0756A" w:rsidP="007E2A41">
            <w:pPr>
              <w:pStyle w:val="BodyText1"/>
              <w:spacing w:line="240" w:lineRule="auto"/>
              <w:rPr>
                <w:rFonts w:ascii="Times New Roman" w:hAnsi="Times New Roman"/>
                <w:b/>
                <w:bCs/>
              </w:rPr>
            </w:pPr>
            <w:r w:rsidRPr="00825E5B">
              <w:rPr>
                <w:rFonts w:ascii="Times New Roman" w:hAnsi="Times New Roman"/>
                <w:b/>
              </w:rPr>
              <w:t>(element memorandum) Elemente extrabilan</w:t>
            </w:r>
            <w:r w:rsidR="00367C88">
              <w:rPr>
                <w:rFonts w:ascii="Times New Roman" w:hAnsi="Times New Roman"/>
                <w:b/>
              </w:rPr>
              <w:t>ț</w:t>
            </w:r>
            <w:r w:rsidRPr="00825E5B">
              <w:rPr>
                <w:rFonts w:ascii="Times New Roman" w:hAnsi="Times New Roman"/>
                <w:b/>
              </w:rPr>
              <w:t>iere cu risc scăzut sau elemente extrabilan</w:t>
            </w:r>
            <w:r w:rsidR="00367C88">
              <w:rPr>
                <w:rFonts w:ascii="Times New Roman" w:hAnsi="Times New Roman"/>
                <w:b/>
              </w:rPr>
              <w:t>ț</w:t>
            </w:r>
            <w:r w:rsidRPr="00825E5B">
              <w:rPr>
                <w:rFonts w:ascii="Times New Roman" w:hAnsi="Times New Roman"/>
                <w:b/>
              </w:rPr>
              <w:t>iere care atrag un factor de conversie de 0 % ca urmare a ratei de solvabilitate</w:t>
            </w:r>
          </w:p>
          <w:p w:rsidR="00F4754B" w:rsidRPr="00825E5B" w:rsidRDefault="00F4754B" w:rsidP="007E2A41">
            <w:pPr>
              <w:pStyle w:val="BodyText1"/>
              <w:spacing w:line="240" w:lineRule="auto"/>
              <w:rPr>
                <w:rFonts w:ascii="Times New Roman" w:hAnsi="Times New Roman"/>
                <w:b/>
                <w:bCs/>
                <w:u w:val="single"/>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Elementele extrabilan</w:t>
            </w:r>
            <w:r w:rsidR="00367C88">
              <w:rPr>
                <w:rFonts w:ascii="Times New Roman" w:hAnsi="Times New Roman"/>
              </w:rPr>
              <w:t>ț</w:t>
            </w:r>
            <w:r w:rsidRPr="00825E5B">
              <w:rPr>
                <w:rFonts w:ascii="Times New Roman" w:hAnsi="Times New Roman"/>
              </w:rPr>
              <w:t xml:space="preserve">iere cu risc scăzut conform articolului 111 din CRR </w:t>
            </w:r>
            <w:r w:rsidR="00367C88">
              <w:rPr>
                <w:rFonts w:ascii="Times New Roman" w:hAnsi="Times New Roman"/>
              </w:rPr>
              <w:t>ș</w:t>
            </w:r>
            <w:r w:rsidRPr="00825E5B">
              <w:rPr>
                <w:rFonts w:ascii="Times New Roman" w:hAnsi="Times New Roman"/>
              </w:rPr>
              <w:t>i elementele extrabilan</w:t>
            </w:r>
            <w:r w:rsidR="00367C88">
              <w:rPr>
                <w:rFonts w:ascii="Times New Roman" w:hAnsi="Times New Roman"/>
              </w:rPr>
              <w:t>ț</w:t>
            </w:r>
            <w:r w:rsidRPr="00825E5B">
              <w:rPr>
                <w:rFonts w:ascii="Times New Roman" w:hAnsi="Times New Roman"/>
              </w:rPr>
              <w:t>iere care atrag un factor de conversie de 0 % conform articolului 166 din CRR.</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825E5B" w:rsidRDefault="00F4754B" w:rsidP="00F0756A">
            <w:pPr>
              <w:pStyle w:val="BodyText1"/>
              <w:spacing w:line="240" w:lineRule="auto"/>
              <w:rPr>
                <w:rFonts w:ascii="Times New Roman" w:hAnsi="Times New Roman"/>
                <w:b/>
                <w:bCs/>
              </w:rPr>
            </w:pPr>
            <w:r w:rsidRPr="00825E5B">
              <w:rPr>
                <w:rFonts w:ascii="Times New Roman" w:hAnsi="Times New Roman"/>
                <w:b/>
              </w:rPr>
              <w:t>Coloană</w:t>
            </w:r>
          </w:p>
          <w:p w:rsidR="00F0756A" w:rsidRPr="00825E5B"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825E5B" w:rsidRDefault="00F4754B" w:rsidP="00F0756A">
            <w:pPr>
              <w:pStyle w:val="BodyText1"/>
              <w:spacing w:line="240" w:lineRule="auto"/>
              <w:rPr>
                <w:rFonts w:ascii="Times New Roman" w:hAnsi="Times New Roman"/>
                <w:b/>
                <w:bCs/>
              </w:rPr>
            </w:pPr>
            <w:r w:rsidRPr="00825E5B">
              <w:rPr>
                <w:rFonts w:ascii="Times New Roman" w:hAnsi="Times New Roman"/>
                <w:b/>
              </w:rPr>
              <w:t>Referin</w:t>
            </w:r>
            <w:r w:rsidR="00367C88">
              <w:rPr>
                <w:rFonts w:ascii="Times New Roman" w:hAnsi="Times New Roman"/>
                <w:b/>
              </w:rPr>
              <w:t>ț</w:t>
            </w:r>
            <w:r w:rsidRPr="00825E5B">
              <w:rPr>
                <w:rFonts w:ascii="Times New Roman" w:hAnsi="Times New Roman"/>
                <w:b/>
              </w:rPr>
              <w:t xml:space="preserve">e juridice </w:t>
            </w:r>
            <w:r w:rsidR="00367C88">
              <w:rPr>
                <w:rFonts w:ascii="Times New Roman" w:hAnsi="Times New Roman"/>
                <w:b/>
              </w:rPr>
              <w:t>ș</w:t>
            </w:r>
            <w:r w:rsidRPr="00825E5B">
              <w:rPr>
                <w:rFonts w:ascii="Times New Roman" w:hAnsi="Times New Roman"/>
                <w:b/>
              </w:rPr>
              <w:t>i instruc</w:t>
            </w:r>
            <w:r w:rsidR="00367C88">
              <w:rPr>
                <w:rFonts w:ascii="Times New Roman" w:hAnsi="Times New Roman"/>
                <w:b/>
              </w:rPr>
              <w:t>ț</w:t>
            </w:r>
            <w:r w:rsidRPr="00825E5B">
              <w:rPr>
                <w:rFonts w:ascii="Times New Roman" w:hAnsi="Times New Roman"/>
                <w:b/>
              </w:rPr>
              <w:t>iuni</w:t>
            </w:r>
          </w:p>
          <w:p w:rsidR="002509B1" w:rsidRPr="00825E5B" w:rsidRDefault="002509B1" w:rsidP="00BE6AC4">
            <w:pPr>
              <w:pStyle w:val="BodyText1"/>
              <w:spacing w:line="240" w:lineRule="auto"/>
              <w:rPr>
                <w:rFonts w:ascii="Times New Roman" w:hAnsi="Times New Roman"/>
                <w:b/>
                <w:bCs/>
              </w:rPr>
            </w:pPr>
          </w:p>
        </w:tc>
      </w:tr>
      <w:tr w:rsidR="00F4754B" w:rsidRPr="00825E5B" w:rsidTr="00FC2664">
        <w:tc>
          <w:tcPr>
            <w:tcW w:w="1418" w:type="dxa"/>
            <w:tcBorders>
              <w:top w:val="single" w:sz="4" w:space="0" w:color="auto"/>
              <w:left w:val="single" w:sz="4" w:space="0" w:color="auto"/>
              <w:bottom w:val="single" w:sz="4" w:space="0" w:color="auto"/>
              <w:right w:val="single" w:sz="4" w:space="0" w:color="auto"/>
            </w:tcBorders>
          </w:tcPr>
          <w:p w:rsidR="00F4754B" w:rsidRPr="00825E5B" w:rsidRDefault="00513244" w:rsidP="00F4754B">
            <w:pPr>
              <w:pStyle w:val="BodyText1"/>
              <w:rPr>
                <w:rFonts w:ascii="Times New Roman" w:hAnsi="Times New Roman"/>
                <w:bCs/>
              </w:rPr>
            </w:pPr>
            <w:r w:rsidRPr="00825E5B">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bilan</w:t>
            </w:r>
            <w:r w:rsidR="00367C88">
              <w:rPr>
                <w:rFonts w:ascii="Times New Roman" w:hAnsi="Times New Roman"/>
                <w:b/>
              </w:rPr>
              <w:t>ț</w:t>
            </w:r>
            <w:r w:rsidRPr="00825E5B">
              <w:rPr>
                <w:rFonts w:ascii="Times New Roman" w:hAnsi="Times New Roman"/>
                <w:b/>
              </w:rPr>
              <w:t xml:space="preserve">iere </w:t>
            </w:r>
            <w:r w:rsidR="00367C88">
              <w:rPr>
                <w:rFonts w:ascii="Times New Roman" w:hAnsi="Times New Roman"/>
                <w:b/>
              </w:rPr>
              <w:t>ș</w:t>
            </w:r>
            <w:r w:rsidRPr="00825E5B">
              <w:rPr>
                <w:rFonts w:ascii="Times New Roman" w:hAnsi="Times New Roman"/>
                <w:b/>
              </w:rPr>
              <w:t>i extrabilan</w:t>
            </w:r>
            <w:r w:rsidR="00367C88">
              <w:rPr>
                <w:rFonts w:ascii="Times New Roman" w:hAnsi="Times New Roman"/>
                <w:b/>
              </w:rPr>
              <w:t>ț</w:t>
            </w:r>
            <w:r w:rsidRPr="00825E5B">
              <w:rPr>
                <w:rFonts w:ascii="Times New Roman" w:hAnsi="Times New Roman"/>
                <w:b/>
              </w:rPr>
              <w:t>iere (conform abordării standardizate)</w:t>
            </w:r>
          </w:p>
          <w:p w:rsidR="00F4754B" w:rsidRPr="00825E5B" w:rsidRDefault="00F4754B"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Valorile expunerilor bilan</w:t>
            </w:r>
            <w:r w:rsidR="00367C88">
              <w:rPr>
                <w:rFonts w:ascii="Times New Roman" w:hAnsi="Times New Roman"/>
              </w:rPr>
              <w:t>ț</w:t>
            </w:r>
            <w:r w:rsidRPr="00825E5B">
              <w:rPr>
                <w:rFonts w:ascii="Times New Roman" w:hAnsi="Times New Roman"/>
              </w:rPr>
              <w:t xml:space="preserve">iere </w:t>
            </w:r>
            <w:r w:rsidR="00367C88">
              <w:rPr>
                <w:rFonts w:ascii="Times New Roman" w:hAnsi="Times New Roman"/>
              </w:rPr>
              <w:t>ș</w:t>
            </w:r>
            <w:r w:rsidRPr="00825E5B">
              <w:rPr>
                <w:rFonts w:ascii="Times New Roman" w:hAnsi="Times New Roman"/>
              </w:rPr>
              <w:t>i extrabilan</w:t>
            </w:r>
            <w:r w:rsidR="00367C88">
              <w:rPr>
                <w:rFonts w:ascii="Times New Roman" w:hAnsi="Times New Roman"/>
              </w:rPr>
              <w:t>ț</w:t>
            </w:r>
            <w:r w:rsidRPr="00825E5B">
              <w:rPr>
                <w:rFonts w:ascii="Times New Roman" w:hAnsi="Times New Roman"/>
              </w:rPr>
              <w:t xml:space="preserve">iere după luarea în considerare a ajustărilor de valoare, a tuturor CRM </w:t>
            </w:r>
            <w:r w:rsidR="00367C88">
              <w:rPr>
                <w:rFonts w:ascii="Times New Roman" w:hAnsi="Times New Roman"/>
              </w:rPr>
              <w:t>ș</w:t>
            </w:r>
            <w:r w:rsidRPr="00825E5B">
              <w:rPr>
                <w:rFonts w:ascii="Times New Roman" w:hAnsi="Times New Roman"/>
              </w:rPr>
              <w:t xml:space="preserve">i a factorilor de conversie a creditului, calculate în conformitate cu partea a treia titlul II capitolul 2 din CRR. </w:t>
            </w:r>
          </w:p>
          <w:p w:rsidR="002509B1" w:rsidRPr="00825E5B" w:rsidRDefault="002509B1" w:rsidP="007E2A41">
            <w:pPr>
              <w:pStyle w:val="BodyText1"/>
              <w:spacing w:line="240" w:lineRule="auto"/>
              <w:rPr>
                <w:rFonts w:ascii="Times New Roman" w:hAnsi="Times New Roman"/>
              </w:rPr>
            </w:pPr>
          </w:p>
        </w:tc>
      </w:tr>
      <w:tr w:rsidR="00F4754B" w:rsidRPr="00825E5B" w:rsidTr="00FC2664">
        <w:tc>
          <w:tcPr>
            <w:tcW w:w="1418" w:type="dxa"/>
            <w:tcBorders>
              <w:top w:val="single" w:sz="4" w:space="0" w:color="auto"/>
              <w:left w:val="single" w:sz="4" w:space="0" w:color="auto"/>
              <w:bottom w:val="single" w:sz="4" w:space="0" w:color="auto"/>
              <w:right w:val="single" w:sz="4" w:space="0" w:color="auto"/>
            </w:tcBorders>
          </w:tcPr>
          <w:p w:rsidR="00F4754B" w:rsidRPr="00825E5B" w:rsidRDefault="00513244" w:rsidP="00F4754B">
            <w:pPr>
              <w:pStyle w:val="BodyText1"/>
              <w:rPr>
                <w:rFonts w:ascii="Times New Roman" w:hAnsi="Times New Roman"/>
                <w:bCs/>
              </w:rPr>
            </w:pPr>
            <w:r w:rsidRPr="00825E5B">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bilan</w:t>
            </w:r>
            <w:r w:rsidR="00367C88">
              <w:rPr>
                <w:rFonts w:ascii="Times New Roman" w:hAnsi="Times New Roman"/>
                <w:b/>
              </w:rPr>
              <w:t>ț</w:t>
            </w:r>
            <w:r w:rsidRPr="00825E5B">
              <w:rPr>
                <w:rFonts w:ascii="Times New Roman" w:hAnsi="Times New Roman"/>
                <w:b/>
              </w:rPr>
              <w:t xml:space="preserve">iere </w:t>
            </w:r>
            <w:r w:rsidR="00367C88">
              <w:rPr>
                <w:rFonts w:ascii="Times New Roman" w:hAnsi="Times New Roman"/>
                <w:b/>
              </w:rPr>
              <w:t>ș</w:t>
            </w:r>
            <w:r w:rsidRPr="00825E5B">
              <w:rPr>
                <w:rFonts w:ascii="Times New Roman" w:hAnsi="Times New Roman"/>
                <w:b/>
              </w:rPr>
              <w:t>i extrabilan</w:t>
            </w:r>
            <w:r w:rsidR="00367C88">
              <w:rPr>
                <w:rFonts w:ascii="Times New Roman" w:hAnsi="Times New Roman"/>
                <w:b/>
              </w:rPr>
              <w:t>ț</w:t>
            </w:r>
            <w:r w:rsidRPr="00825E5B">
              <w:rPr>
                <w:rFonts w:ascii="Times New Roman" w:hAnsi="Times New Roman"/>
                <w:b/>
              </w:rPr>
              <w:t>iere (conform abordării bazate pe modele interne de rating)</w:t>
            </w:r>
          </w:p>
          <w:p w:rsidR="00F4754B" w:rsidRPr="00825E5B" w:rsidRDefault="00F4754B"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Valorile expunerilor bilan</w:t>
            </w:r>
            <w:r w:rsidR="00367C88">
              <w:rPr>
                <w:rFonts w:ascii="Times New Roman" w:hAnsi="Times New Roman"/>
              </w:rPr>
              <w:t>ț</w:t>
            </w:r>
            <w:r w:rsidRPr="00825E5B">
              <w:rPr>
                <w:rFonts w:ascii="Times New Roman" w:hAnsi="Times New Roman"/>
              </w:rPr>
              <w:t xml:space="preserve">iere </w:t>
            </w:r>
            <w:r w:rsidR="00367C88">
              <w:rPr>
                <w:rFonts w:ascii="Times New Roman" w:hAnsi="Times New Roman"/>
              </w:rPr>
              <w:t>ș</w:t>
            </w:r>
            <w:r w:rsidRPr="00825E5B">
              <w:rPr>
                <w:rFonts w:ascii="Times New Roman" w:hAnsi="Times New Roman"/>
              </w:rPr>
              <w:t>i extrabilan</w:t>
            </w:r>
            <w:r w:rsidR="00367C88">
              <w:rPr>
                <w:rFonts w:ascii="Times New Roman" w:hAnsi="Times New Roman"/>
              </w:rPr>
              <w:t>ț</w:t>
            </w:r>
            <w:r w:rsidRPr="00825E5B">
              <w:rPr>
                <w:rFonts w:ascii="Times New Roman" w:hAnsi="Times New Roman"/>
              </w:rPr>
              <w:t xml:space="preserve">iere conform articolului 166 din CRR </w:t>
            </w:r>
            <w:r w:rsidR="00367C88">
              <w:rPr>
                <w:rFonts w:ascii="Times New Roman" w:hAnsi="Times New Roman"/>
              </w:rPr>
              <w:t>ș</w:t>
            </w:r>
            <w:r w:rsidRPr="00825E5B">
              <w:rPr>
                <w:rFonts w:ascii="Times New Roman" w:hAnsi="Times New Roman"/>
              </w:rPr>
              <w:t>i articolului 230 alineatul (1) al doilea paragraf prima teză din CRR, după luarea în considerare a ie</w:t>
            </w:r>
            <w:r w:rsidR="00367C88">
              <w:rPr>
                <w:rFonts w:ascii="Times New Roman" w:hAnsi="Times New Roman"/>
              </w:rPr>
              <w:t>ș</w:t>
            </w:r>
            <w:r w:rsidRPr="00825E5B">
              <w:rPr>
                <w:rFonts w:ascii="Times New Roman" w:hAnsi="Times New Roman"/>
              </w:rPr>
              <w:t xml:space="preserve">irilor </w:t>
            </w:r>
            <w:r w:rsidR="00367C88">
              <w:rPr>
                <w:rFonts w:ascii="Times New Roman" w:hAnsi="Times New Roman"/>
              </w:rPr>
              <w:t>ș</w:t>
            </w:r>
            <w:r w:rsidRPr="00825E5B">
              <w:rPr>
                <w:rFonts w:ascii="Times New Roman" w:hAnsi="Times New Roman"/>
              </w:rPr>
              <w:t>i intrărilor datorate tehnicilor CRM cu efecte de substitu</w:t>
            </w:r>
            <w:r w:rsidR="00367C88">
              <w:rPr>
                <w:rFonts w:ascii="Times New Roman" w:hAnsi="Times New Roman"/>
              </w:rPr>
              <w:t>ț</w:t>
            </w:r>
            <w:r w:rsidRPr="00825E5B">
              <w:rPr>
                <w:rFonts w:ascii="Times New Roman" w:hAnsi="Times New Roman"/>
              </w:rPr>
              <w:t>ie asupra expunerii.</w:t>
            </w:r>
          </w:p>
          <w:p w:rsidR="00F4754B" w:rsidRPr="00825E5B" w:rsidRDefault="00F4754B"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Pentru elementele extrabilan</w:t>
            </w:r>
            <w:r w:rsidR="00367C88">
              <w:rPr>
                <w:rFonts w:ascii="Times New Roman" w:hAnsi="Times New Roman"/>
              </w:rPr>
              <w:t>ț</w:t>
            </w:r>
            <w:r w:rsidRPr="00825E5B">
              <w:rPr>
                <w:rFonts w:ascii="Times New Roman" w:hAnsi="Times New Roman"/>
              </w:rPr>
              <w:t>iere, institu</w:t>
            </w:r>
            <w:r w:rsidR="00367C88">
              <w:rPr>
                <w:rFonts w:ascii="Times New Roman" w:hAnsi="Times New Roman"/>
              </w:rPr>
              <w:t>ț</w:t>
            </w:r>
            <w:r w:rsidRPr="00825E5B">
              <w:rPr>
                <w:rFonts w:ascii="Times New Roman" w:hAnsi="Times New Roman"/>
              </w:rPr>
              <w:t>iile aplică factorii de conversie defini</w:t>
            </w:r>
            <w:r w:rsidR="00367C88">
              <w:rPr>
                <w:rFonts w:ascii="Times New Roman" w:hAnsi="Times New Roman"/>
              </w:rPr>
              <w:t>ț</w:t>
            </w:r>
            <w:r w:rsidRPr="00825E5B">
              <w:rPr>
                <w:rFonts w:ascii="Times New Roman" w:hAnsi="Times New Roman"/>
              </w:rPr>
              <w:t>i la articolul 166 alineatele (8)-(10) din CRR.</w:t>
            </w:r>
          </w:p>
          <w:p w:rsidR="002509B1" w:rsidRPr="00825E5B" w:rsidRDefault="002509B1" w:rsidP="007E2A41">
            <w:pPr>
              <w:pStyle w:val="BodyText1"/>
              <w:spacing w:line="240" w:lineRule="auto"/>
              <w:rPr>
                <w:rFonts w:ascii="Times New Roman" w:hAnsi="Times New Roman"/>
                <w:b/>
                <w:bCs/>
              </w:rPr>
            </w:pPr>
          </w:p>
        </w:tc>
      </w:tr>
      <w:tr w:rsidR="00F4754B" w:rsidRPr="00825E5B" w:rsidTr="00FC2664">
        <w:tc>
          <w:tcPr>
            <w:tcW w:w="1418" w:type="dxa"/>
            <w:tcBorders>
              <w:top w:val="single" w:sz="4" w:space="0" w:color="auto"/>
              <w:left w:val="single" w:sz="4" w:space="0" w:color="auto"/>
              <w:bottom w:val="single" w:sz="4" w:space="0" w:color="auto"/>
              <w:right w:val="single" w:sz="4" w:space="0" w:color="auto"/>
            </w:tcBorders>
          </w:tcPr>
          <w:p w:rsidR="00F4754B" w:rsidRPr="00825E5B" w:rsidRDefault="00513244" w:rsidP="00F4754B">
            <w:pPr>
              <w:pStyle w:val="BodyText1"/>
              <w:rPr>
                <w:rFonts w:ascii="Times New Roman" w:hAnsi="Times New Roman"/>
                <w:bCs/>
              </w:rPr>
            </w:pPr>
            <w:r w:rsidRPr="00825E5B">
              <w:rPr>
                <w:rFonts w:ascii="Times New Roman" w:hAnsi="Times New Roman"/>
              </w:rPr>
              <w:lastRenderedPageBreak/>
              <w:t>030</w:t>
            </w:r>
          </w:p>
        </w:tc>
        <w:tc>
          <w:tcPr>
            <w:tcW w:w="7620" w:type="dxa"/>
            <w:tcBorders>
              <w:top w:val="single" w:sz="4" w:space="0" w:color="auto"/>
              <w:left w:val="single" w:sz="4" w:space="0" w:color="auto"/>
              <w:bottom w:val="single" w:sz="4" w:space="0" w:color="auto"/>
              <w:right w:val="single" w:sz="4" w:space="0" w:color="auto"/>
            </w:tcBorders>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Valoare nominală</w:t>
            </w:r>
          </w:p>
          <w:p w:rsidR="00F4754B" w:rsidRPr="00825E5B" w:rsidRDefault="00F4754B"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Valorile expunerilor elementelor extrabilan</w:t>
            </w:r>
            <w:r w:rsidR="00367C88">
              <w:rPr>
                <w:rFonts w:ascii="Times New Roman" w:hAnsi="Times New Roman"/>
              </w:rPr>
              <w:t>ț</w:t>
            </w:r>
            <w:r w:rsidRPr="00825E5B">
              <w:rPr>
                <w:rFonts w:ascii="Times New Roman" w:hAnsi="Times New Roman"/>
              </w:rPr>
              <w:t xml:space="preserve">iere, definite la articolele 111 </w:t>
            </w:r>
            <w:r w:rsidR="00367C88">
              <w:rPr>
                <w:rFonts w:ascii="Times New Roman" w:hAnsi="Times New Roman"/>
              </w:rPr>
              <w:t>ș</w:t>
            </w:r>
            <w:r w:rsidRPr="00825E5B">
              <w:rPr>
                <w:rFonts w:ascii="Times New Roman" w:hAnsi="Times New Roman"/>
              </w:rPr>
              <w:t xml:space="preserve">i 166 din CRR, fără aplicarea factorilor de conversie. </w:t>
            </w:r>
          </w:p>
          <w:p w:rsidR="002509B1" w:rsidRPr="00825E5B" w:rsidRDefault="002509B1" w:rsidP="007E2A41">
            <w:pPr>
              <w:pStyle w:val="BodyText1"/>
              <w:spacing w:line="240" w:lineRule="auto"/>
              <w:rPr>
                <w:rFonts w:ascii="Times New Roman" w:hAnsi="Times New Roman"/>
                <w:bCs/>
              </w:rPr>
            </w:pPr>
          </w:p>
        </w:tc>
      </w:tr>
    </w:tbl>
    <w:p w:rsidR="00F4754B" w:rsidRPr="00825E5B" w:rsidRDefault="00F4754B" w:rsidP="00F4754B">
      <w:pPr>
        <w:pStyle w:val="BodyText1"/>
        <w:rPr>
          <w:rFonts w:ascii="Times New Roman" w:hAnsi="Times New Roman"/>
        </w:rPr>
      </w:pPr>
    </w:p>
    <w:p w:rsidR="00217D1F" w:rsidRPr="00825E5B"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523995576"/>
      <w:bookmarkStart w:id="82" w:name="_Toc322687894"/>
      <w:bookmarkEnd w:id="63"/>
      <w:bookmarkEnd w:id="71"/>
      <w:bookmarkEnd w:id="72"/>
      <w:bookmarkEnd w:id="73"/>
      <w:bookmarkEnd w:id="74"/>
      <w:bookmarkEnd w:id="75"/>
      <w:bookmarkEnd w:id="76"/>
      <w:bookmarkEnd w:id="77"/>
      <w:r w:rsidRPr="00825E5B">
        <w:rPr>
          <w:rFonts w:ascii="Times New Roman" w:hAnsi="Times New Roman"/>
          <w:b/>
        </w:rPr>
        <w:t>7.</w:t>
      </w:r>
      <w:r w:rsidRPr="00825E5B">
        <w:tab/>
      </w:r>
      <w:r w:rsidRPr="00825E5B">
        <w:rPr>
          <w:rFonts w:ascii="Times New Roman" w:hAnsi="Times New Roman"/>
          <w:b/>
        </w:rPr>
        <w:t>C 42.00 – Defini</w:t>
      </w:r>
      <w:r w:rsidR="00367C88">
        <w:rPr>
          <w:rFonts w:ascii="Times New Roman" w:hAnsi="Times New Roman"/>
          <w:b/>
        </w:rPr>
        <w:t>ț</w:t>
      </w:r>
      <w:r w:rsidRPr="00825E5B">
        <w:rPr>
          <w:rFonts w:ascii="Times New Roman" w:hAnsi="Times New Roman"/>
          <w:b/>
        </w:rPr>
        <w:t>ia alternativă a capitalului</w:t>
      </w:r>
      <w:bookmarkEnd w:id="78"/>
      <w:bookmarkEnd w:id="79"/>
      <w:r w:rsidRPr="00825E5B">
        <w:rPr>
          <w:rFonts w:ascii="Times New Roman" w:hAnsi="Times New Roman"/>
          <w:b/>
        </w:rPr>
        <w:t xml:space="preserve"> (LR3)</w:t>
      </w:r>
      <w:bookmarkEnd w:id="80"/>
      <w:bookmarkEnd w:id="81"/>
      <w:r w:rsidRPr="00825E5B">
        <w:rPr>
          <w:rFonts w:ascii="Times New Roman" w:hAnsi="Times New Roman"/>
          <w:b/>
        </w:rPr>
        <w:t xml:space="preserve"> </w:t>
      </w:r>
      <w:bookmarkEnd w:id="82"/>
    </w:p>
    <w:p w:rsidR="00675587" w:rsidRPr="00825E5B" w:rsidRDefault="00675587" w:rsidP="00675587">
      <w:pPr>
        <w:pStyle w:val="BodyText1"/>
        <w:ind w:left="720"/>
        <w:rPr>
          <w:rFonts w:ascii="Times New Roman" w:hAnsi="Times New Roman"/>
        </w:rPr>
      </w:pPr>
    </w:p>
    <w:p w:rsidR="00675587"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27.</w:t>
      </w:r>
      <w:r w:rsidRPr="00825E5B">
        <w:tab/>
      </w:r>
      <w:r w:rsidRPr="00825E5B">
        <w:rPr>
          <w:rFonts w:ascii="Times New Roman" w:hAnsi="Times New Roman"/>
        </w:rPr>
        <w:t>În formularul LR3 se furnizează informa</w:t>
      </w:r>
      <w:r w:rsidR="00367C88">
        <w:rPr>
          <w:rFonts w:ascii="Times New Roman" w:hAnsi="Times New Roman"/>
        </w:rPr>
        <w:t>ț</w:t>
      </w:r>
      <w:r w:rsidRPr="00825E5B">
        <w:rPr>
          <w:rFonts w:ascii="Times New Roman" w:hAnsi="Times New Roman"/>
        </w:rPr>
        <w:t>ii cu privire la indicatorii de măsurare a capitalului necesari pentru elaborarea raportului prevăzut la articolul 511 din CRR.</w:t>
      </w:r>
    </w:p>
    <w:p w:rsidR="00F4754B" w:rsidRPr="00825E5B" w:rsidRDefault="00F4754B" w:rsidP="007E2A41">
      <w:pPr>
        <w:pStyle w:val="BodyText1"/>
        <w:spacing w:line="240" w:lineRule="auto"/>
        <w:ind w:left="720"/>
        <w:rPr>
          <w:rFonts w:ascii="Times New Roman" w:hAnsi="Times New Roman"/>
        </w:rPr>
      </w:pPr>
      <w:r w:rsidRPr="00825E5B">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825E5B" w:rsidTr="00FC2664">
        <w:tc>
          <w:tcPr>
            <w:tcW w:w="1418" w:type="dxa"/>
            <w:shd w:val="clear" w:color="auto" w:fill="D9D9D9"/>
          </w:tcPr>
          <w:p w:rsidR="00F4754B" w:rsidRPr="00825E5B" w:rsidRDefault="00F4754B" w:rsidP="00F4754B">
            <w:pPr>
              <w:pStyle w:val="BodyText1"/>
              <w:rPr>
                <w:rFonts w:ascii="Times New Roman" w:hAnsi="Times New Roman"/>
                <w:b/>
              </w:rPr>
            </w:pPr>
            <w:r w:rsidRPr="00825E5B">
              <w:rPr>
                <w:rFonts w:ascii="Times New Roman" w:hAnsi="Times New Roman"/>
                <w:b/>
              </w:rPr>
              <w:t xml:space="preserve">Rând </w:t>
            </w:r>
          </w:p>
          <w:p w:rsidR="00F4754B" w:rsidRPr="00825E5B" w:rsidRDefault="00367C88" w:rsidP="00F4754B">
            <w:pPr>
              <w:pStyle w:val="BodyText1"/>
              <w:rPr>
                <w:rFonts w:ascii="Times New Roman" w:hAnsi="Times New Roman"/>
                <w:b/>
                <w:bCs/>
                <w:u w:val="single"/>
              </w:rPr>
            </w:pPr>
            <w:r>
              <w:rPr>
                <w:rFonts w:ascii="Times New Roman" w:hAnsi="Times New Roman"/>
                <w:b/>
              </w:rPr>
              <w:t>ș</w:t>
            </w:r>
            <w:r w:rsidR="00F4754B" w:rsidRPr="00825E5B">
              <w:rPr>
                <w:rFonts w:ascii="Times New Roman" w:hAnsi="Times New Roman"/>
                <w:b/>
              </w:rPr>
              <w:t>i coloană</w:t>
            </w:r>
          </w:p>
        </w:tc>
        <w:tc>
          <w:tcPr>
            <w:tcW w:w="7620" w:type="dxa"/>
            <w:shd w:val="clear" w:color="auto" w:fill="D9D9D9"/>
          </w:tcPr>
          <w:p w:rsidR="00F4754B" w:rsidRPr="00825E5B" w:rsidRDefault="00F4754B" w:rsidP="00F4754B">
            <w:pPr>
              <w:pStyle w:val="BodyText1"/>
              <w:rPr>
                <w:rFonts w:ascii="Times New Roman" w:hAnsi="Times New Roman"/>
                <w:b/>
                <w:bCs/>
                <w:u w:val="single"/>
              </w:rPr>
            </w:pPr>
            <w:r w:rsidRPr="00825E5B">
              <w:rPr>
                <w:rFonts w:ascii="Times New Roman" w:hAnsi="Times New Roman"/>
                <w:b/>
              </w:rPr>
              <w:t>Referin</w:t>
            </w:r>
            <w:r w:rsidR="00367C88">
              <w:rPr>
                <w:rFonts w:ascii="Times New Roman" w:hAnsi="Times New Roman"/>
                <w:b/>
              </w:rPr>
              <w:t>ț</w:t>
            </w:r>
            <w:r w:rsidRPr="00825E5B">
              <w:rPr>
                <w:rFonts w:ascii="Times New Roman" w:hAnsi="Times New Roman"/>
                <w:b/>
              </w:rPr>
              <w:t xml:space="preserve">e juridice </w:t>
            </w:r>
            <w:r w:rsidR="00367C88">
              <w:rPr>
                <w:rFonts w:ascii="Times New Roman" w:hAnsi="Times New Roman"/>
                <w:b/>
              </w:rPr>
              <w:t>ș</w:t>
            </w:r>
            <w:r w:rsidRPr="00825E5B">
              <w:rPr>
                <w:rFonts w:ascii="Times New Roman" w:hAnsi="Times New Roman"/>
                <w:b/>
              </w:rPr>
              <w:t>i instruc</w:t>
            </w:r>
            <w:r w:rsidR="00367C88">
              <w:rPr>
                <w:rFonts w:ascii="Times New Roman" w:hAnsi="Times New Roman"/>
                <w:b/>
              </w:rPr>
              <w:t>ț</w:t>
            </w:r>
            <w:r w:rsidRPr="00825E5B">
              <w:rPr>
                <w:rFonts w:ascii="Times New Roman" w:hAnsi="Times New Roman"/>
                <w:b/>
              </w:rPr>
              <w:t>iuni</w:t>
            </w:r>
          </w:p>
        </w:tc>
      </w:tr>
      <w:tr w:rsidR="00F4754B" w:rsidRPr="00825E5B" w:rsidTr="00FC2664">
        <w:trPr>
          <w:trHeight w:val="1561"/>
        </w:trPr>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{010;010}</w:t>
            </w:r>
          </w:p>
        </w:tc>
        <w:tc>
          <w:tcPr>
            <w:tcW w:w="7620" w:type="dxa"/>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Fonduri proprii de nivel 1 de bază – conform defini</w:t>
            </w:r>
            <w:r w:rsidR="00367C88">
              <w:rPr>
                <w:rFonts w:ascii="Times New Roman" w:hAnsi="Times New Roman"/>
                <w:b/>
              </w:rPr>
              <w:t>ț</w:t>
            </w:r>
            <w:r w:rsidRPr="00825E5B">
              <w:rPr>
                <w:rFonts w:ascii="Times New Roman" w:hAnsi="Times New Roman"/>
                <w:b/>
              </w:rPr>
              <w:t xml:space="preserve">iei introduse integral </w:t>
            </w:r>
          </w:p>
          <w:p w:rsidR="00F4754B" w:rsidRPr="00825E5B" w:rsidRDefault="00F4754B"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Articolul 50 din CRR</w:t>
            </w:r>
          </w:p>
          <w:p w:rsidR="00F4754B" w:rsidRPr="00825E5B" w:rsidRDefault="00F4754B" w:rsidP="007E2A41">
            <w:pPr>
              <w:pStyle w:val="BodyText1"/>
              <w:spacing w:line="240" w:lineRule="auto"/>
              <w:rPr>
                <w:rFonts w:ascii="Times New Roman" w:hAnsi="Times New Roman"/>
              </w:rPr>
            </w:pPr>
          </w:p>
          <w:p w:rsidR="00F4754B" w:rsidRPr="00825E5B" w:rsidRDefault="00F4754B" w:rsidP="007A0E3A">
            <w:pPr>
              <w:pStyle w:val="BodyText1"/>
              <w:spacing w:line="240" w:lineRule="auto"/>
              <w:rPr>
                <w:rFonts w:ascii="Times New Roman" w:hAnsi="Times New Roman"/>
                <w:bCs/>
                <w:i/>
              </w:rPr>
            </w:pPr>
            <w:r w:rsidRPr="00825E5B">
              <w:rPr>
                <w:rFonts w:ascii="Times New Roman" w:hAnsi="Times New Roman"/>
              </w:rPr>
              <w:t xml:space="preserve">Cuantumul fondurilor proprii de nivel 1 de bază, astfel cum sunt definite la articolul 50 din CRR, fără luarea în considerare a derogării prevăzute în partea a zecea capitolele 1 </w:t>
            </w:r>
            <w:r w:rsidR="00367C88">
              <w:rPr>
                <w:rFonts w:ascii="Times New Roman" w:hAnsi="Times New Roman"/>
              </w:rPr>
              <w:t>ș</w:t>
            </w:r>
            <w:r w:rsidRPr="00825E5B">
              <w:rPr>
                <w:rFonts w:ascii="Times New Roman" w:hAnsi="Times New Roman"/>
              </w:rPr>
              <w:t>i 2 din CRR.</w:t>
            </w:r>
            <w:r w:rsidRPr="00825E5B">
              <w:rPr>
                <w:rFonts w:ascii="Times New Roman" w:hAnsi="Times New Roman"/>
                <w:b/>
              </w:rPr>
              <w:t xml:space="preserve"> </w:t>
            </w:r>
          </w:p>
        </w:tc>
      </w:tr>
      <w:tr w:rsidR="00F4754B" w:rsidRPr="00825E5B" w:rsidTr="00FC2664">
        <w:trPr>
          <w:trHeight w:val="1561"/>
        </w:trPr>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{020;010}</w:t>
            </w:r>
          </w:p>
        </w:tc>
        <w:tc>
          <w:tcPr>
            <w:tcW w:w="7620" w:type="dxa"/>
          </w:tcPr>
          <w:p w:rsidR="00F4754B" w:rsidRPr="00825E5B" w:rsidRDefault="00F4754B" w:rsidP="007E2A41">
            <w:pPr>
              <w:pStyle w:val="BodyText1"/>
              <w:spacing w:line="240" w:lineRule="auto"/>
              <w:rPr>
                <w:rFonts w:ascii="Times New Roman" w:hAnsi="Times New Roman"/>
                <w:i/>
              </w:rPr>
            </w:pPr>
            <w:r w:rsidRPr="00825E5B">
              <w:rPr>
                <w:rFonts w:ascii="Times New Roman" w:hAnsi="Times New Roman"/>
                <w:b/>
              </w:rPr>
              <w:t>Fonduri proprii de nivel 1 de bază – conform defini</w:t>
            </w:r>
            <w:r w:rsidR="00367C88">
              <w:rPr>
                <w:rFonts w:ascii="Times New Roman" w:hAnsi="Times New Roman"/>
                <w:b/>
              </w:rPr>
              <w:t>ț</w:t>
            </w:r>
            <w:r w:rsidRPr="00825E5B">
              <w:rPr>
                <w:rFonts w:ascii="Times New Roman" w:hAnsi="Times New Roman"/>
                <w:b/>
              </w:rPr>
              <w:t>iei tranzitorii</w:t>
            </w:r>
          </w:p>
          <w:p w:rsidR="00F4754B" w:rsidRPr="00825E5B" w:rsidRDefault="00F4754B"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Articolul 50 din CRR</w:t>
            </w:r>
          </w:p>
          <w:p w:rsidR="00F4754B" w:rsidRPr="00825E5B" w:rsidRDefault="00F4754B" w:rsidP="007E2A41">
            <w:pPr>
              <w:pStyle w:val="BodyText1"/>
              <w:spacing w:line="240" w:lineRule="auto"/>
              <w:rPr>
                <w:rFonts w:ascii="Times New Roman" w:hAnsi="Times New Roman"/>
              </w:rPr>
            </w:pPr>
          </w:p>
          <w:p w:rsidR="00F4754B" w:rsidRPr="00825E5B" w:rsidRDefault="00F4754B" w:rsidP="007A0E3A">
            <w:pPr>
              <w:pStyle w:val="BodyText1"/>
              <w:spacing w:line="240" w:lineRule="auto"/>
              <w:rPr>
                <w:rFonts w:ascii="Times New Roman" w:hAnsi="Times New Roman"/>
              </w:rPr>
            </w:pPr>
            <w:r w:rsidRPr="00825E5B">
              <w:rPr>
                <w:rFonts w:ascii="Times New Roman" w:hAnsi="Times New Roman"/>
              </w:rPr>
              <w:t xml:space="preserve">Cuantumul fondurilor proprii de nivel 1 de bază, astfel cum sunt definite la articolul 50 din CRR, după luarea în considerare a derogării prevăzute în partea a zecea capitolele 1 </w:t>
            </w:r>
            <w:r w:rsidR="00367C88">
              <w:rPr>
                <w:rFonts w:ascii="Times New Roman" w:hAnsi="Times New Roman"/>
              </w:rPr>
              <w:t>ș</w:t>
            </w:r>
            <w:r w:rsidRPr="00825E5B">
              <w:rPr>
                <w:rFonts w:ascii="Times New Roman" w:hAnsi="Times New Roman"/>
              </w:rPr>
              <w:t>i 2 din CRR.</w:t>
            </w:r>
          </w:p>
        </w:tc>
      </w:tr>
      <w:tr w:rsidR="00F4754B" w:rsidRPr="00825E5B" w:rsidTr="00FC2664">
        <w:tc>
          <w:tcPr>
            <w:tcW w:w="1418" w:type="dxa"/>
            <w:tcBorders>
              <w:bottom w:val="single" w:sz="4" w:space="0" w:color="auto"/>
            </w:tcBorders>
          </w:tcPr>
          <w:p w:rsidR="00F4754B" w:rsidRPr="00825E5B" w:rsidRDefault="00F4754B" w:rsidP="00F4754B">
            <w:pPr>
              <w:pStyle w:val="BodyText1"/>
              <w:rPr>
                <w:rFonts w:ascii="Times New Roman" w:hAnsi="Times New Roman"/>
                <w:bCs/>
                <w:u w:val="single"/>
              </w:rPr>
            </w:pPr>
            <w:r w:rsidRPr="00825E5B">
              <w:rPr>
                <w:rFonts w:ascii="Times New Roman" w:hAnsi="Times New Roman"/>
              </w:rPr>
              <w:t>{030;010}</w:t>
            </w:r>
          </w:p>
        </w:tc>
        <w:tc>
          <w:tcPr>
            <w:tcW w:w="7620" w:type="dxa"/>
            <w:tcBorders>
              <w:bottom w:val="single" w:sz="4" w:space="0" w:color="auto"/>
            </w:tcBorders>
          </w:tcPr>
          <w:p w:rsidR="00F4754B" w:rsidRPr="00825E5B" w:rsidRDefault="00F4754B" w:rsidP="007E2A41">
            <w:pPr>
              <w:pStyle w:val="BodyText1"/>
              <w:spacing w:line="240" w:lineRule="auto"/>
              <w:rPr>
                <w:rFonts w:ascii="Times New Roman" w:hAnsi="Times New Roman"/>
                <w:i/>
              </w:rPr>
            </w:pPr>
            <w:r w:rsidRPr="00825E5B">
              <w:rPr>
                <w:rFonts w:ascii="Times New Roman" w:hAnsi="Times New Roman"/>
                <w:b/>
              </w:rPr>
              <w:t>Fonduri proprii totale – conform defini</w:t>
            </w:r>
            <w:r w:rsidR="00367C88">
              <w:rPr>
                <w:rFonts w:ascii="Times New Roman" w:hAnsi="Times New Roman"/>
                <w:b/>
              </w:rPr>
              <w:t>ț</w:t>
            </w:r>
            <w:r w:rsidRPr="00825E5B">
              <w:rPr>
                <w:rFonts w:ascii="Times New Roman" w:hAnsi="Times New Roman"/>
                <w:b/>
              </w:rPr>
              <w:t>iei introduse integral</w:t>
            </w:r>
          </w:p>
          <w:p w:rsidR="00F4754B" w:rsidRPr="00825E5B" w:rsidRDefault="00F4754B" w:rsidP="007E2A41">
            <w:pPr>
              <w:pStyle w:val="BodyText1"/>
              <w:spacing w:line="240" w:lineRule="auto"/>
              <w:rPr>
                <w:rFonts w:ascii="Times New Roman" w:hAnsi="Times New Roman"/>
                <w:i/>
                <w:u w:val="single"/>
              </w:rPr>
            </w:pPr>
          </w:p>
          <w:p w:rsidR="00F4754B" w:rsidRPr="00825E5B" w:rsidRDefault="00F4754B" w:rsidP="007E2A41">
            <w:pPr>
              <w:pStyle w:val="BodyText1"/>
              <w:spacing w:line="240" w:lineRule="auto"/>
              <w:rPr>
                <w:rFonts w:ascii="Times New Roman" w:hAnsi="Times New Roman"/>
                <w:i/>
              </w:rPr>
            </w:pPr>
            <w:r w:rsidRPr="00825E5B">
              <w:rPr>
                <w:rFonts w:ascii="Times New Roman" w:hAnsi="Times New Roman"/>
              </w:rPr>
              <w:t>Articolul 72 din CRR</w:t>
            </w:r>
          </w:p>
          <w:p w:rsidR="00F4754B" w:rsidRPr="00825E5B" w:rsidRDefault="00F4754B" w:rsidP="007E2A41">
            <w:pPr>
              <w:pStyle w:val="BodyText1"/>
              <w:spacing w:line="240" w:lineRule="auto"/>
              <w:rPr>
                <w:rFonts w:ascii="Times New Roman" w:hAnsi="Times New Roman"/>
                <w:i/>
                <w:u w:val="single"/>
              </w:rPr>
            </w:pPr>
          </w:p>
          <w:p w:rsidR="00F4754B" w:rsidRPr="00825E5B" w:rsidRDefault="00F4754B" w:rsidP="007E2A41">
            <w:pPr>
              <w:pStyle w:val="BodyText1"/>
              <w:spacing w:line="240" w:lineRule="auto"/>
              <w:rPr>
                <w:rFonts w:ascii="Times New Roman" w:hAnsi="Times New Roman"/>
                <w:i/>
              </w:rPr>
            </w:pPr>
            <w:r w:rsidRPr="00825E5B">
              <w:rPr>
                <w:rFonts w:ascii="Times New Roman" w:hAnsi="Times New Roman"/>
              </w:rPr>
              <w:t xml:space="preserve">Cuantumul fondurilor proprii, astfel cum sunt definite la articolul 72 din CRR, fără luarea în considerare a derogării prevăzute în partea a zecea capitolele 1 </w:t>
            </w:r>
            <w:r w:rsidR="00367C88">
              <w:rPr>
                <w:rFonts w:ascii="Times New Roman" w:hAnsi="Times New Roman"/>
              </w:rPr>
              <w:t>ș</w:t>
            </w:r>
            <w:r w:rsidRPr="00825E5B">
              <w:rPr>
                <w:rFonts w:ascii="Times New Roman" w:hAnsi="Times New Roman"/>
              </w:rPr>
              <w:t>i 2 din CRR.</w:t>
            </w:r>
          </w:p>
          <w:p w:rsidR="00F4754B" w:rsidRPr="00825E5B" w:rsidRDefault="00F4754B" w:rsidP="007E2A41">
            <w:pPr>
              <w:pStyle w:val="BodyText1"/>
              <w:spacing w:line="240" w:lineRule="auto"/>
              <w:rPr>
                <w:rFonts w:ascii="Times New Roman" w:hAnsi="Times New Roman"/>
                <w:i/>
                <w:u w:val="single"/>
              </w:rPr>
            </w:pPr>
          </w:p>
        </w:tc>
      </w:tr>
      <w:tr w:rsidR="00F4754B" w:rsidRPr="00825E5B" w:rsidTr="00FC2664">
        <w:tc>
          <w:tcPr>
            <w:tcW w:w="1418" w:type="dxa"/>
            <w:tcBorders>
              <w:bottom w:val="single" w:sz="4" w:space="0" w:color="auto"/>
            </w:tcBorders>
          </w:tcPr>
          <w:p w:rsidR="00F4754B" w:rsidRPr="00825E5B" w:rsidRDefault="00F4754B" w:rsidP="00F4754B">
            <w:pPr>
              <w:pStyle w:val="BodyText1"/>
              <w:rPr>
                <w:rFonts w:ascii="Times New Roman" w:hAnsi="Times New Roman"/>
                <w:bCs/>
              </w:rPr>
            </w:pPr>
            <w:r w:rsidRPr="00825E5B">
              <w:rPr>
                <w:rFonts w:ascii="Times New Roman" w:hAnsi="Times New Roman"/>
              </w:rPr>
              <w:t>{040;010}</w:t>
            </w:r>
          </w:p>
        </w:tc>
        <w:tc>
          <w:tcPr>
            <w:tcW w:w="7620" w:type="dxa"/>
            <w:tcBorders>
              <w:bottom w:val="single" w:sz="4" w:space="0" w:color="auto"/>
            </w:tcBorders>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Fonduri proprii totale – conform defini</w:t>
            </w:r>
            <w:r w:rsidR="00367C88">
              <w:rPr>
                <w:rFonts w:ascii="Times New Roman" w:hAnsi="Times New Roman"/>
                <w:b/>
              </w:rPr>
              <w:t>ț</w:t>
            </w:r>
            <w:r w:rsidRPr="00825E5B">
              <w:rPr>
                <w:rFonts w:ascii="Times New Roman" w:hAnsi="Times New Roman"/>
                <w:b/>
              </w:rPr>
              <w:t>iei tranzitorii</w:t>
            </w:r>
          </w:p>
          <w:p w:rsidR="00F4754B" w:rsidRPr="00825E5B" w:rsidRDefault="00F4754B" w:rsidP="007E2A41">
            <w:pPr>
              <w:pStyle w:val="BodyText1"/>
              <w:spacing w:line="240" w:lineRule="auto"/>
              <w:rPr>
                <w:rFonts w:ascii="Times New Roman" w:hAnsi="Times New Roman"/>
                <w:bCs/>
                <w:u w:val="single"/>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Articolul 72 din CRR</w:t>
            </w:r>
          </w:p>
          <w:p w:rsidR="00F4754B" w:rsidRPr="00825E5B" w:rsidRDefault="00F4754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 xml:space="preserve">Cuantumul fondurilor proprii, astfel cum sunt definite la articolul 72 din CRR, după luarea în considerare a derogării prevăzute în partea a zecea capitolele 1 </w:t>
            </w:r>
            <w:r w:rsidR="00367C88">
              <w:rPr>
                <w:rFonts w:ascii="Times New Roman" w:hAnsi="Times New Roman"/>
              </w:rPr>
              <w:t>ș</w:t>
            </w:r>
            <w:r w:rsidRPr="00825E5B">
              <w:rPr>
                <w:rFonts w:ascii="Times New Roman" w:hAnsi="Times New Roman"/>
              </w:rPr>
              <w:t>i 2 din CRR.</w:t>
            </w:r>
          </w:p>
          <w:p w:rsidR="00F4754B" w:rsidRPr="00825E5B" w:rsidRDefault="00F4754B" w:rsidP="007E2A41">
            <w:pPr>
              <w:pStyle w:val="BodyText1"/>
              <w:spacing w:line="240" w:lineRule="auto"/>
              <w:rPr>
                <w:rFonts w:ascii="Times New Roman" w:hAnsi="Times New Roman"/>
                <w:bCs/>
                <w:u w:val="single"/>
              </w:rPr>
            </w:pPr>
          </w:p>
        </w:tc>
      </w:tr>
      <w:tr w:rsidR="00F4754B" w:rsidRPr="00825E5B" w:rsidTr="00FC2664">
        <w:tc>
          <w:tcPr>
            <w:tcW w:w="1418" w:type="dxa"/>
          </w:tcPr>
          <w:p w:rsidR="00F4754B" w:rsidRPr="00825E5B" w:rsidRDefault="00F4754B" w:rsidP="00F70A83">
            <w:pPr>
              <w:pStyle w:val="BodyText1"/>
              <w:rPr>
                <w:rFonts w:ascii="Times New Roman" w:hAnsi="Times New Roman"/>
                <w:bCs/>
              </w:rPr>
            </w:pPr>
            <w:r w:rsidRPr="00825E5B">
              <w:rPr>
                <w:rFonts w:ascii="Times New Roman" w:hAnsi="Times New Roman"/>
              </w:rPr>
              <w:t>{055;010}</w:t>
            </w:r>
          </w:p>
        </w:tc>
        <w:tc>
          <w:tcPr>
            <w:tcW w:w="7620" w:type="dxa"/>
          </w:tcPr>
          <w:p w:rsidR="00F4754B" w:rsidRPr="00825E5B" w:rsidRDefault="00E818E9" w:rsidP="007E2A41">
            <w:pPr>
              <w:pStyle w:val="BodyText1"/>
              <w:spacing w:line="240" w:lineRule="auto"/>
              <w:rPr>
                <w:rFonts w:ascii="Times New Roman" w:hAnsi="Times New Roman"/>
                <w:b/>
                <w:bCs/>
              </w:rPr>
            </w:pPr>
            <w:r w:rsidRPr="00825E5B">
              <w:rPr>
                <w:rFonts w:ascii="Times New Roman" w:hAnsi="Times New Roman"/>
                <w:b/>
              </w:rPr>
              <w:t>Cuantumul activelor scăzut – din elementele de fonduri proprii de nivel 1 de bază – conform defini</w:t>
            </w:r>
            <w:r w:rsidR="00367C88">
              <w:rPr>
                <w:rFonts w:ascii="Times New Roman" w:hAnsi="Times New Roman"/>
                <w:b/>
              </w:rPr>
              <w:t>ț</w:t>
            </w:r>
            <w:r w:rsidRPr="00825E5B">
              <w:rPr>
                <w:rFonts w:ascii="Times New Roman" w:hAnsi="Times New Roman"/>
                <w:b/>
              </w:rPr>
              <w:t>iei introduse integral</w:t>
            </w:r>
          </w:p>
          <w:p w:rsidR="00F4754B" w:rsidRPr="00825E5B" w:rsidRDefault="00F4754B" w:rsidP="007E2A41">
            <w:pPr>
              <w:pStyle w:val="BodyText1"/>
              <w:spacing w:line="240" w:lineRule="auto"/>
              <w:rPr>
                <w:rFonts w:ascii="Times New Roman" w:hAnsi="Times New Roman"/>
                <w:bCs/>
                <w:u w:val="single"/>
              </w:rPr>
            </w:pPr>
          </w:p>
          <w:p w:rsidR="00C81710"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Cuprinde cuantumul ajustărilor reglementare aduse elementelor de fonduri proprii de nivel 1 de bază care vizează valoarea unui activ </w:t>
            </w:r>
            <w:r w:rsidR="00367C88">
              <w:rPr>
                <w:rFonts w:ascii="Times New Roman" w:hAnsi="Times New Roman"/>
              </w:rPr>
              <w:t>ș</w:t>
            </w:r>
            <w:r w:rsidRPr="00825E5B">
              <w:rPr>
                <w:rFonts w:ascii="Times New Roman" w:hAnsi="Times New Roman"/>
              </w:rPr>
              <w:t>i care sunt prevăzute la:</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32-35 din CRR sau</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36-47 din CRR,</w:t>
            </w:r>
          </w:p>
          <w:p w:rsidR="007A0E3A" w:rsidRPr="00825E5B" w:rsidRDefault="007A0E3A" w:rsidP="006914A2">
            <w:pPr>
              <w:pStyle w:val="BodyText1"/>
              <w:spacing w:line="240" w:lineRule="auto"/>
              <w:rPr>
                <w:rFonts w:ascii="Times New Roman" w:hAnsi="Times New Roman"/>
                <w:b/>
                <w:bCs/>
              </w:rPr>
            </w:pPr>
            <w:r w:rsidRPr="00825E5B">
              <w:rPr>
                <w:rFonts w:ascii="Times New Roman" w:hAnsi="Times New Roman"/>
              </w:rPr>
              <w:t>după caz</w:t>
            </w:r>
          </w:p>
          <w:p w:rsidR="00C81710" w:rsidRPr="00825E5B" w:rsidRDefault="00C81710" w:rsidP="005556DC">
            <w:pPr>
              <w:pStyle w:val="BodyText1"/>
              <w:spacing w:line="240" w:lineRule="auto"/>
              <w:rPr>
                <w:rFonts w:ascii="Times New Roman" w:hAnsi="Times New Roman"/>
                <w:bCs/>
              </w:rPr>
            </w:pPr>
          </w:p>
          <w:p w:rsidR="00F4754B" w:rsidRPr="00825E5B" w:rsidRDefault="00C81710" w:rsidP="00422C76">
            <w:pPr>
              <w:pStyle w:val="BodyText1"/>
              <w:spacing w:line="240" w:lineRule="auto"/>
              <w:rPr>
                <w:rFonts w:ascii="Times New Roman" w:hAnsi="Times New Roman"/>
                <w:b/>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w:t>
            </w:r>
            <w:r w:rsidR="00367C88">
              <w:rPr>
                <w:rFonts w:ascii="Times New Roman" w:hAnsi="Times New Roman"/>
              </w:rPr>
              <w:t>ț</w:t>
            </w:r>
            <w:r w:rsidRPr="00825E5B">
              <w:rPr>
                <w:rFonts w:ascii="Times New Roman" w:hAnsi="Times New Roman"/>
              </w:rPr>
              <w:t xml:space="preserve">in seama de exceptările, alternativele </w:t>
            </w:r>
            <w:r w:rsidR="00367C88">
              <w:rPr>
                <w:rFonts w:ascii="Times New Roman" w:hAnsi="Times New Roman"/>
              </w:rPr>
              <w:t>ș</w:t>
            </w:r>
            <w:r w:rsidRPr="00825E5B">
              <w:rPr>
                <w:rFonts w:ascii="Times New Roman" w:hAnsi="Times New Roman"/>
              </w:rPr>
              <w:t xml:space="preserve">i derogările de la astfel de deduceri prevăzute la articolele 48, 49 </w:t>
            </w:r>
            <w:r w:rsidR="00367C88">
              <w:rPr>
                <w:rFonts w:ascii="Times New Roman" w:hAnsi="Times New Roman"/>
              </w:rPr>
              <w:t>ș</w:t>
            </w:r>
            <w:r w:rsidRPr="00825E5B">
              <w:rPr>
                <w:rFonts w:ascii="Times New Roman" w:hAnsi="Times New Roman"/>
              </w:rPr>
              <w:t xml:space="preserve">i 79 din CRR, fără luarea în considerare a derogării prevăzute în partea a zecea capitolele 1 </w:t>
            </w:r>
            <w:r w:rsidR="00367C88">
              <w:rPr>
                <w:rFonts w:ascii="Times New Roman" w:hAnsi="Times New Roman"/>
              </w:rPr>
              <w:t>ș</w:t>
            </w:r>
            <w:r w:rsidRPr="00825E5B">
              <w:rPr>
                <w:rFonts w:ascii="Times New Roman" w:hAnsi="Times New Roman"/>
              </w:rPr>
              <w:t>i 2 din CRR. Pentru a evita dubla contabilizare, institu</w:t>
            </w:r>
            <w:r w:rsidR="00367C88">
              <w:rPr>
                <w:rFonts w:ascii="Times New Roman" w:hAnsi="Times New Roman"/>
              </w:rPr>
              <w:t>ț</w:t>
            </w:r>
            <w:r w:rsidRPr="00825E5B">
              <w:rPr>
                <w:rFonts w:ascii="Times New Roman" w:hAnsi="Times New Roman"/>
              </w:rPr>
              <w:t xml:space="preserve">iile nu raportează ajustările deja aplicate în temeiul articolului 111 din CRR atunci când calculează valoarea expunerii în {LRCalc;10;10}-{LRCalc;260;10} </w:t>
            </w:r>
            <w:r w:rsidR="00367C88">
              <w:rPr>
                <w:rFonts w:ascii="Times New Roman" w:hAnsi="Times New Roman"/>
              </w:rPr>
              <w:t>ș</w:t>
            </w:r>
            <w:r w:rsidRPr="00825E5B">
              <w:rPr>
                <w:rFonts w:ascii="Times New Roman" w:hAnsi="Times New Roman"/>
              </w:rPr>
              <w:t>i nici ajustările care nu se scad din valoarea unui anumit activ.</w:t>
            </w:r>
            <w:r w:rsidRPr="00825E5B">
              <w:rPr>
                <w:rFonts w:ascii="Times New Roman" w:hAnsi="Times New Roman"/>
                <w:b/>
              </w:rPr>
              <w:t xml:space="preserve"> </w:t>
            </w:r>
          </w:p>
          <w:p w:rsidR="00C81710" w:rsidRPr="00825E5B" w:rsidRDefault="00C81710" w:rsidP="007E2A41">
            <w:pPr>
              <w:pStyle w:val="BodyText1"/>
              <w:spacing w:line="240" w:lineRule="auto"/>
              <w:rPr>
                <w:rFonts w:ascii="Times New Roman" w:hAnsi="Times New Roman"/>
                <w:b/>
                <w:bCs/>
              </w:rPr>
            </w:pPr>
          </w:p>
          <w:p w:rsidR="00C81710" w:rsidRPr="00825E5B" w:rsidRDefault="00C81710" w:rsidP="00C81710">
            <w:pPr>
              <w:pStyle w:val="BodyText1"/>
              <w:spacing w:line="240" w:lineRule="auto"/>
              <w:rPr>
                <w:rFonts w:ascii="Times New Roman" w:hAnsi="Times New Roman"/>
                <w:bCs/>
              </w:rPr>
            </w:pPr>
            <w:r w:rsidRPr="00825E5B">
              <w:rPr>
                <w:rFonts w:ascii="Times New Roman" w:hAnsi="Times New Roman"/>
              </w:rPr>
              <w:lastRenderedPageBreak/>
              <w:t xml:space="preserve">întrucât reduc totalul fondurilor proprii, aceste ajustări se raportează ca valoare negativă. </w:t>
            </w:r>
          </w:p>
          <w:p w:rsidR="00F4754B" w:rsidRPr="00825E5B" w:rsidRDefault="00F4754B" w:rsidP="007E2A41">
            <w:pPr>
              <w:pStyle w:val="BodyText1"/>
              <w:spacing w:line="240" w:lineRule="auto"/>
              <w:rPr>
                <w:rFonts w:ascii="Times New Roman" w:hAnsi="Times New Roman"/>
                <w:bCs/>
              </w:rPr>
            </w:pPr>
          </w:p>
        </w:tc>
      </w:tr>
      <w:tr w:rsidR="00F4754B" w:rsidRPr="00825E5B" w:rsidTr="00FC2664">
        <w:tc>
          <w:tcPr>
            <w:tcW w:w="1418" w:type="dxa"/>
          </w:tcPr>
          <w:p w:rsidR="00F4754B" w:rsidRPr="00825E5B" w:rsidRDefault="00F4754B" w:rsidP="00F70A83">
            <w:pPr>
              <w:pStyle w:val="BodyText1"/>
              <w:rPr>
                <w:rFonts w:ascii="Times New Roman" w:hAnsi="Times New Roman"/>
                <w:bCs/>
              </w:rPr>
            </w:pPr>
            <w:r w:rsidRPr="00825E5B">
              <w:rPr>
                <w:rFonts w:ascii="Times New Roman" w:hAnsi="Times New Roman"/>
              </w:rPr>
              <w:lastRenderedPageBreak/>
              <w:t>{065;010}</w:t>
            </w:r>
          </w:p>
        </w:tc>
        <w:tc>
          <w:tcPr>
            <w:tcW w:w="7620" w:type="dxa"/>
          </w:tcPr>
          <w:p w:rsidR="00F4754B" w:rsidRPr="00825E5B" w:rsidRDefault="00E818E9" w:rsidP="007E2A41">
            <w:pPr>
              <w:pStyle w:val="BodyText1"/>
              <w:spacing w:line="240" w:lineRule="auto"/>
              <w:rPr>
                <w:rFonts w:ascii="Times New Roman" w:hAnsi="Times New Roman"/>
                <w:bCs/>
              </w:rPr>
            </w:pPr>
            <w:r w:rsidRPr="00825E5B">
              <w:rPr>
                <w:rFonts w:ascii="Times New Roman" w:hAnsi="Times New Roman"/>
                <w:b/>
              </w:rPr>
              <w:t>Cuantumul activelor scăzut – din elementele de fonduri proprii de nivel 1 de bază – conform defini</w:t>
            </w:r>
            <w:r w:rsidR="00367C88">
              <w:rPr>
                <w:rFonts w:ascii="Times New Roman" w:hAnsi="Times New Roman"/>
                <w:b/>
              </w:rPr>
              <w:t>ț</w:t>
            </w:r>
            <w:r w:rsidRPr="00825E5B">
              <w:rPr>
                <w:rFonts w:ascii="Times New Roman" w:hAnsi="Times New Roman"/>
                <w:b/>
              </w:rPr>
              <w:t>iei tranzitorii</w:t>
            </w:r>
          </w:p>
          <w:p w:rsidR="00F4754B" w:rsidRPr="00825E5B" w:rsidRDefault="00F4754B" w:rsidP="007E2A41">
            <w:pPr>
              <w:pStyle w:val="BodyText1"/>
              <w:spacing w:line="240" w:lineRule="auto"/>
              <w:rPr>
                <w:rFonts w:ascii="Times New Roman" w:hAnsi="Times New Roman"/>
                <w:bCs/>
              </w:rPr>
            </w:pPr>
          </w:p>
          <w:p w:rsidR="00C81710" w:rsidRPr="00825E5B" w:rsidRDefault="00C81710" w:rsidP="00C81710">
            <w:pPr>
              <w:pStyle w:val="BodyText1"/>
              <w:spacing w:line="240" w:lineRule="auto"/>
              <w:rPr>
                <w:rFonts w:ascii="Times New Roman" w:hAnsi="Times New Roman"/>
                <w:bCs/>
              </w:rPr>
            </w:pPr>
            <w:r w:rsidRPr="00825E5B">
              <w:rPr>
                <w:rFonts w:ascii="Times New Roman" w:hAnsi="Times New Roman"/>
              </w:rPr>
              <w:t xml:space="preserve">Cuprinde cuantumul ajustărilor reglementare aduse elementelor de fonduri proprii de nivel 1 de bază care vizează valoarea unui activ </w:t>
            </w:r>
            <w:r w:rsidR="00367C88">
              <w:rPr>
                <w:rFonts w:ascii="Times New Roman" w:hAnsi="Times New Roman"/>
              </w:rPr>
              <w:t>ș</w:t>
            </w:r>
            <w:r w:rsidRPr="00825E5B">
              <w:rPr>
                <w:rFonts w:ascii="Times New Roman" w:hAnsi="Times New Roman"/>
              </w:rPr>
              <w:t>i care sunt prevăzute la:</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32-35 din CRR sau</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36-47 din CRR,</w:t>
            </w:r>
          </w:p>
          <w:p w:rsidR="007A0E3A" w:rsidRPr="00825E5B" w:rsidRDefault="007A0E3A" w:rsidP="006914A2">
            <w:pPr>
              <w:pStyle w:val="BodyText1"/>
              <w:spacing w:line="240" w:lineRule="auto"/>
              <w:rPr>
                <w:rFonts w:ascii="Times New Roman" w:hAnsi="Times New Roman"/>
                <w:b/>
                <w:bCs/>
              </w:rPr>
            </w:pPr>
            <w:r w:rsidRPr="00825E5B">
              <w:rPr>
                <w:rFonts w:ascii="Times New Roman" w:hAnsi="Times New Roman"/>
              </w:rPr>
              <w:t>după caz.</w:t>
            </w:r>
          </w:p>
          <w:p w:rsidR="00C81710" w:rsidRPr="00825E5B" w:rsidRDefault="00C81710" w:rsidP="007E2A41">
            <w:pPr>
              <w:pStyle w:val="BodyText1"/>
              <w:spacing w:line="240" w:lineRule="auto"/>
              <w:rPr>
                <w:rFonts w:ascii="Times New Roman" w:hAnsi="Times New Roman"/>
                <w:bCs/>
              </w:rPr>
            </w:pPr>
          </w:p>
          <w:p w:rsidR="00C81710" w:rsidRPr="00825E5B" w:rsidRDefault="00C81710" w:rsidP="00C81710">
            <w:pPr>
              <w:pStyle w:val="BodyText1"/>
              <w:spacing w:line="240" w:lineRule="auto"/>
              <w:rPr>
                <w:rFonts w:ascii="Times New Roman" w:hAnsi="Times New Roman"/>
                <w:b/>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w:t>
            </w:r>
            <w:r w:rsidR="00367C88">
              <w:rPr>
                <w:rFonts w:ascii="Times New Roman" w:hAnsi="Times New Roman"/>
              </w:rPr>
              <w:t>ț</w:t>
            </w:r>
            <w:r w:rsidRPr="00825E5B">
              <w:rPr>
                <w:rFonts w:ascii="Times New Roman" w:hAnsi="Times New Roman"/>
              </w:rPr>
              <w:t xml:space="preserve">in seama de exceptările, alternativele </w:t>
            </w:r>
            <w:r w:rsidR="00367C88">
              <w:rPr>
                <w:rFonts w:ascii="Times New Roman" w:hAnsi="Times New Roman"/>
              </w:rPr>
              <w:t>ș</w:t>
            </w:r>
            <w:r w:rsidRPr="00825E5B">
              <w:rPr>
                <w:rFonts w:ascii="Times New Roman" w:hAnsi="Times New Roman"/>
              </w:rPr>
              <w:t xml:space="preserve">i derogările de la astfel de deduceri prevăzute la articolele 48, 49 </w:t>
            </w:r>
            <w:r w:rsidR="00367C88">
              <w:rPr>
                <w:rFonts w:ascii="Times New Roman" w:hAnsi="Times New Roman"/>
              </w:rPr>
              <w:t>ș</w:t>
            </w:r>
            <w:r w:rsidRPr="00825E5B">
              <w:rPr>
                <w:rFonts w:ascii="Times New Roman" w:hAnsi="Times New Roman"/>
              </w:rPr>
              <w:t xml:space="preserve">i 79 din CRR, cu luarea în considerare a derogării prevăzute în partea a zecea capitolele 1 </w:t>
            </w:r>
            <w:r w:rsidR="00367C88">
              <w:rPr>
                <w:rFonts w:ascii="Times New Roman" w:hAnsi="Times New Roman"/>
              </w:rPr>
              <w:t>ș</w:t>
            </w:r>
            <w:r w:rsidRPr="00825E5B">
              <w:rPr>
                <w:rFonts w:ascii="Times New Roman" w:hAnsi="Times New Roman"/>
              </w:rPr>
              <w:t>i 2 din CRR. Pentru a evita dubla contabilizare, institu</w:t>
            </w:r>
            <w:r w:rsidR="00367C88">
              <w:rPr>
                <w:rFonts w:ascii="Times New Roman" w:hAnsi="Times New Roman"/>
              </w:rPr>
              <w:t>ț</w:t>
            </w:r>
            <w:r w:rsidRPr="00825E5B">
              <w:rPr>
                <w:rFonts w:ascii="Times New Roman" w:hAnsi="Times New Roman"/>
              </w:rPr>
              <w:t xml:space="preserve">iile nu raportează ajustările deja aplicate în temeiul articolului 111 din CRR atunci când calculează valoarea expunerii în {LRCalc;10;10}-{LRCalc;260;10} </w:t>
            </w:r>
            <w:r w:rsidR="00367C88">
              <w:rPr>
                <w:rFonts w:ascii="Times New Roman" w:hAnsi="Times New Roman"/>
              </w:rPr>
              <w:t>ș</w:t>
            </w:r>
            <w:r w:rsidRPr="00825E5B">
              <w:rPr>
                <w:rFonts w:ascii="Times New Roman" w:hAnsi="Times New Roman"/>
              </w:rPr>
              <w:t>i nici ajustările care nu se scad din valoarea unui anumit activ.</w:t>
            </w:r>
            <w:r w:rsidRPr="00825E5B">
              <w:rPr>
                <w:rFonts w:ascii="Times New Roman" w:hAnsi="Times New Roman"/>
                <w:b/>
              </w:rPr>
              <w:t xml:space="preserve"> </w:t>
            </w:r>
          </w:p>
          <w:p w:rsidR="00C81710" w:rsidRPr="00825E5B" w:rsidRDefault="00C81710" w:rsidP="00C81710">
            <w:pPr>
              <w:pStyle w:val="BodyText1"/>
              <w:spacing w:line="240" w:lineRule="auto"/>
              <w:rPr>
                <w:rFonts w:ascii="Times New Roman" w:hAnsi="Times New Roman"/>
                <w:b/>
                <w:bCs/>
              </w:rPr>
            </w:pPr>
          </w:p>
          <w:p w:rsidR="00C81710" w:rsidRPr="00825E5B" w:rsidRDefault="00C81710" w:rsidP="007E2A41">
            <w:pPr>
              <w:pStyle w:val="BodyText1"/>
              <w:spacing w:line="240" w:lineRule="auto"/>
              <w:rPr>
                <w:rFonts w:ascii="Times New Roman" w:hAnsi="Times New Roman"/>
                <w:bCs/>
                <w:u w:val="single"/>
              </w:rPr>
            </w:pPr>
            <w:r w:rsidRPr="00825E5B">
              <w:rPr>
                <w:rFonts w:ascii="Times New Roman" w:hAnsi="Times New Roman"/>
              </w:rPr>
              <w:t>întrucât reduc totalul fondurilor proprii, aceste ajustări se raportează ca valoare negativă.</w:t>
            </w:r>
          </w:p>
        </w:tc>
      </w:tr>
      <w:tr w:rsidR="00F4754B" w:rsidRPr="00825E5B" w:rsidTr="00FC2664">
        <w:tc>
          <w:tcPr>
            <w:tcW w:w="1418" w:type="dxa"/>
          </w:tcPr>
          <w:p w:rsidR="00F4754B" w:rsidRPr="00825E5B" w:rsidRDefault="00F4754B" w:rsidP="00F70A83">
            <w:pPr>
              <w:pStyle w:val="BodyText1"/>
              <w:rPr>
                <w:rFonts w:ascii="Times New Roman" w:hAnsi="Times New Roman"/>
                <w:bCs/>
              </w:rPr>
            </w:pPr>
            <w:r w:rsidRPr="00825E5B">
              <w:rPr>
                <w:rFonts w:ascii="Times New Roman" w:hAnsi="Times New Roman"/>
              </w:rPr>
              <w:t>{075;010}</w:t>
            </w:r>
          </w:p>
        </w:tc>
        <w:tc>
          <w:tcPr>
            <w:tcW w:w="7620" w:type="dxa"/>
          </w:tcPr>
          <w:p w:rsidR="00F4754B" w:rsidRPr="00825E5B" w:rsidRDefault="00E818E9" w:rsidP="007E2A41">
            <w:pPr>
              <w:pStyle w:val="BodyText1"/>
              <w:spacing w:line="240" w:lineRule="auto"/>
              <w:rPr>
                <w:rFonts w:ascii="Times New Roman" w:hAnsi="Times New Roman"/>
                <w:b/>
                <w:bCs/>
              </w:rPr>
            </w:pPr>
            <w:r w:rsidRPr="00825E5B">
              <w:rPr>
                <w:rFonts w:ascii="Times New Roman" w:hAnsi="Times New Roman"/>
                <w:b/>
              </w:rPr>
              <w:t>Cuantumul activelor scăzut – din elementele de fonduri proprii – conform defini</w:t>
            </w:r>
            <w:r w:rsidR="00367C88">
              <w:rPr>
                <w:rFonts w:ascii="Times New Roman" w:hAnsi="Times New Roman"/>
                <w:b/>
              </w:rPr>
              <w:t>ț</w:t>
            </w:r>
            <w:r w:rsidRPr="00825E5B">
              <w:rPr>
                <w:rFonts w:ascii="Times New Roman" w:hAnsi="Times New Roman"/>
                <w:b/>
              </w:rPr>
              <w:t>iei introduse integral</w:t>
            </w:r>
          </w:p>
          <w:p w:rsidR="00F4754B" w:rsidRPr="00825E5B" w:rsidRDefault="00F4754B" w:rsidP="007E2A41">
            <w:pPr>
              <w:pStyle w:val="BodyText1"/>
              <w:spacing w:line="240" w:lineRule="auto"/>
              <w:rPr>
                <w:rFonts w:ascii="Times New Roman" w:hAnsi="Times New Roman"/>
                <w:bCs/>
              </w:rPr>
            </w:pPr>
          </w:p>
          <w:p w:rsidR="00C81710" w:rsidRPr="00825E5B" w:rsidRDefault="00C81710" w:rsidP="00C81710">
            <w:pPr>
              <w:pStyle w:val="BodyText1"/>
              <w:spacing w:line="240" w:lineRule="auto"/>
              <w:rPr>
                <w:rFonts w:ascii="Times New Roman" w:hAnsi="Times New Roman"/>
                <w:bCs/>
              </w:rPr>
            </w:pPr>
            <w:r w:rsidRPr="00825E5B">
              <w:rPr>
                <w:rFonts w:ascii="Times New Roman" w:hAnsi="Times New Roman"/>
              </w:rPr>
              <w:t xml:space="preserve">Cuprinde cuantumul ajustărilor reglementare aduse elementelor de fonduri proprii care vizează valoarea unui activ </w:t>
            </w:r>
            <w:r w:rsidR="00367C88">
              <w:rPr>
                <w:rFonts w:ascii="Times New Roman" w:hAnsi="Times New Roman"/>
              </w:rPr>
              <w:t>ș</w:t>
            </w:r>
            <w:r w:rsidRPr="00825E5B">
              <w:rPr>
                <w:rFonts w:ascii="Times New Roman" w:hAnsi="Times New Roman"/>
              </w:rPr>
              <w:t>i care sunt prevăzute la:</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32-35 din CRR sau</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36-47 din CRR sau</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56-60 din CRR sau</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66-70 din CRR,</w:t>
            </w:r>
          </w:p>
          <w:p w:rsidR="007A0E3A" w:rsidRPr="00825E5B" w:rsidRDefault="007A0E3A" w:rsidP="00877186">
            <w:pPr>
              <w:pStyle w:val="BodyText1"/>
              <w:spacing w:line="240" w:lineRule="auto"/>
              <w:rPr>
                <w:rFonts w:ascii="Times New Roman" w:hAnsi="Times New Roman"/>
                <w:b/>
                <w:bCs/>
              </w:rPr>
            </w:pPr>
            <w:r w:rsidRPr="00825E5B">
              <w:rPr>
                <w:rFonts w:ascii="Times New Roman" w:hAnsi="Times New Roman"/>
              </w:rPr>
              <w:t>după caz.</w:t>
            </w:r>
          </w:p>
          <w:p w:rsidR="00C81710" w:rsidRPr="00825E5B" w:rsidRDefault="00C81710" w:rsidP="00C81710">
            <w:pPr>
              <w:pStyle w:val="BodyText1"/>
              <w:spacing w:line="240" w:lineRule="auto"/>
              <w:rPr>
                <w:rFonts w:ascii="Times New Roman" w:hAnsi="Times New Roman"/>
                <w:bCs/>
              </w:rPr>
            </w:pPr>
          </w:p>
          <w:p w:rsidR="00C81710" w:rsidRPr="00825E5B" w:rsidRDefault="00C81710" w:rsidP="00C81710">
            <w:pPr>
              <w:pStyle w:val="BodyText1"/>
              <w:spacing w:line="240" w:lineRule="auto"/>
              <w:rPr>
                <w:rFonts w:ascii="Times New Roman" w:hAnsi="Times New Roman"/>
                <w:b/>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w:t>
            </w:r>
            <w:r w:rsidR="00367C88">
              <w:rPr>
                <w:rFonts w:ascii="Times New Roman" w:hAnsi="Times New Roman"/>
              </w:rPr>
              <w:t>ț</w:t>
            </w:r>
            <w:r w:rsidRPr="00825E5B">
              <w:rPr>
                <w:rFonts w:ascii="Times New Roman" w:hAnsi="Times New Roman"/>
              </w:rPr>
              <w:t xml:space="preserve">in seama de exceptările, alternativele </w:t>
            </w:r>
            <w:r w:rsidR="00367C88">
              <w:rPr>
                <w:rFonts w:ascii="Times New Roman" w:hAnsi="Times New Roman"/>
              </w:rPr>
              <w:t>ș</w:t>
            </w:r>
            <w:r w:rsidRPr="00825E5B">
              <w:rPr>
                <w:rFonts w:ascii="Times New Roman" w:hAnsi="Times New Roman"/>
              </w:rPr>
              <w:t xml:space="preserve">i derogările de la astfel de deduceri prevăzute la articolele 48, 49 </w:t>
            </w:r>
            <w:r w:rsidR="00367C88">
              <w:rPr>
                <w:rFonts w:ascii="Times New Roman" w:hAnsi="Times New Roman"/>
              </w:rPr>
              <w:t>ș</w:t>
            </w:r>
            <w:r w:rsidRPr="00825E5B">
              <w:rPr>
                <w:rFonts w:ascii="Times New Roman" w:hAnsi="Times New Roman"/>
              </w:rPr>
              <w:t xml:space="preserve">i 79 din CRR, fără luarea în considerare a derogării prevăzute în partea a zecea capitolele 1 </w:t>
            </w:r>
            <w:r w:rsidR="00367C88">
              <w:rPr>
                <w:rFonts w:ascii="Times New Roman" w:hAnsi="Times New Roman"/>
              </w:rPr>
              <w:t>ș</w:t>
            </w:r>
            <w:r w:rsidRPr="00825E5B">
              <w:rPr>
                <w:rFonts w:ascii="Times New Roman" w:hAnsi="Times New Roman"/>
              </w:rPr>
              <w:t>i 2 din CRR. Pentru a evita dubla contabilizare, institu</w:t>
            </w:r>
            <w:r w:rsidR="00367C88">
              <w:rPr>
                <w:rFonts w:ascii="Times New Roman" w:hAnsi="Times New Roman"/>
              </w:rPr>
              <w:t>ț</w:t>
            </w:r>
            <w:r w:rsidRPr="00825E5B">
              <w:rPr>
                <w:rFonts w:ascii="Times New Roman" w:hAnsi="Times New Roman"/>
              </w:rPr>
              <w:t xml:space="preserve">iile nu raportează ajustările deja aplicate în temeiul articolului 111 din CRR atunci când calculează valoarea expunerii în rândurile {LRCalc;10;10}-{LRCalc;260;10} </w:t>
            </w:r>
            <w:r w:rsidR="00367C88">
              <w:rPr>
                <w:rFonts w:ascii="Times New Roman" w:hAnsi="Times New Roman"/>
              </w:rPr>
              <w:t>ș</w:t>
            </w:r>
            <w:r w:rsidRPr="00825E5B">
              <w:rPr>
                <w:rFonts w:ascii="Times New Roman" w:hAnsi="Times New Roman"/>
              </w:rPr>
              <w:t>i nici ajustările care nu se scad din valoarea unui anumit activ.</w:t>
            </w:r>
            <w:r w:rsidRPr="00825E5B">
              <w:rPr>
                <w:rFonts w:ascii="Times New Roman" w:hAnsi="Times New Roman"/>
                <w:b/>
              </w:rPr>
              <w:t xml:space="preserve"> </w:t>
            </w:r>
          </w:p>
          <w:p w:rsidR="00C81710" w:rsidRPr="00825E5B" w:rsidRDefault="00C81710" w:rsidP="00C81710">
            <w:pPr>
              <w:pStyle w:val="BodyText1"/>
              <w:spacing w:line="240" w:lineRule="auto"/>
              <w:rPr>
                <w:rFonts w:ascii="Times New Roman" w:hAnsi="Times New Roman"/>
                <w:b/>
                <w:bCs/>
              </w:rPr>
            </w:pPr>
          </w:p>
          <w:p w:rsidR="00C81710" w:rsidRPr="00825E5B" w:rsidRDefault="00C81710" w:rsidP="00C81710">
            <w:pPr>
              <w:pStyle w:val="BodyText1"/>
              <w:spacing w:line="240" w:lineRule="auto"/>
              <w:rPr>
                <w:rFonts w:ascii="Times New Roman" w:hAnsi="Times New Roman"/>
                <w:bCs/>
              </w:rPr>
            </w:pPr>
            <w:r w:rsidRPr="00825E5B">
              <w:rPr>
                <w:rFonts w:ascii="Times New Roman" w:hAnsi="Times New Roman"/>
              </w:rPr>
              <w:t xml:space="preserve">întrucât reduc totalul fondurilor proprii, aceste ajustări se raportează ca valoare negativă. </w:t>
            </w:r>
          </w:p>
          <w:p w:rsidR="00F4754B" w:rsidRPr="00825E5B" w:rsidRDefault="00F4754B" w:rsidP="005556DC">
            <w:pPr>
              <w:pStyle w:val="BodyText1"/>
              <w:spacing w:line="240" w:lineRule="auto"/>
              <w:rPr>
                <w:rFonts w:ascii="Times New Roman" w:hAnsi="Times New Roman"/>
                <w:bCs/>
                <w:u w:val="single"/>
              </w:rPr>
            </w:pPr>
          </w:p>
        </w:tc>
      </w:tr>
      <w:tr w:rsidR="00F4754B" w:rsidRPr="00825E5B" w:rsidTr="00FC2664">
        <w:tc>
          <w:tcPr>
            <w:tcW w:w="1418" w:type="dxa"/>
          </w:tcPr>
          <w:p w:rsidR="00F4754B" w:rsidRPr="00825E5B" w:rsidRDefault="00F4754B" w:rsidP="00F70A83">
            <w:pPr>
              <w:pStyle w:val="BodyText1"/>
              <w:rPr>
                <w:rFonts w:ascii="Times New Roman" w:hAnsi="Times New Roman"/>
                <w:bCs/>
              </w:rPr>
            </w:pPr>
            <w:r w:rsidRPr="00825E5B">
              <w:rPr>
                <w:rFonts w:ascii="Times New Roman" w:hAnsi="Times New Roman"/>
              </w:rPr>
              <w:t>{085,010}</w:t>
            </w:r>
          </w:p>
        </w:tc>
        <w:tc>
          <w:tcPr>
            <w:tcW w:w="7620" w:type="dxa"/>
          </w:tcPr>
          <w:p w:rsidR="00F4754B" w:rsidRPr="00825E5B" w:rsidRDefault="00E818E9" w:rsidP="007E2A41">
            <w:pPr>
              <w:pStyle w:val="BodyText1"/>
              <w:spacing w:line="240" w:lineRule="auto"/>
              <w:rPr>
                <w:rFonts w:ascii="Times New Roman" w:hAnsi="Times New Roman"/>
                <w:bCs/>
              </w:rPr>
            </w:pPr>
            <w:r w:rsidRPr="00825E5B">
              <w:rPr>
                <w:rFonts w:ascii="Times New Roman" w:hAnsi="Times New Roman"/>
                <w:b/>
              </w:rPr>
              <w:t>Cuantumul activelor scăzut – din elementele de fonduri proprii – conform defini</w:t>
            </w:r>
            <w:r w:rsidR="00367C88">
              <w:rPr>
                <w:rFonts w:ascii="Times New Roman" w:hAnsi="Times New Roman"/>
                <w:b/>
              </w:rPr>
              <w:t>ț</w:t>
            </w:r>
            <w:r w:rsidRPr="00825E5B">
              <w:rPr>
                <w:rFonts w:ascii="Times New Roman" w:hAnsi="Times New Roman"/>
                <w:b/>
              </w:rPr>
              <w:t>iei tranzitorii</w:t>
            </w:r>
          </w:p>
          <w:p w:rsidR="00F4754B" w:rsidRPr="00825E5B" w:rsidRDefault="00F4754B" w:rsidP="007E2A41">
            <w:pPr>
              <w:pStyle w:val="BodyText1"/>
              <w:spacing w:line="240" w:lineRule="auto"/>
              <w:rPr>
                <w:rFonts w:ascii="Times New Roman" w:hAnsi="Times New Roman"/>
                <w:bCs/>
              </w:rPr>
            </w:pPr>
          </w:p>
          <w:p w:rsidR="00C81710" w:rsidRPr="00825E5B" w:rsidRDefault="00C81710" w:rsidP="00C81710">
            <w:pPr>
              <w:pStyle w:val="BodyText1"/>
              <w:spacing w:line="240" w:lineRule="auto"/>
              <w:rPr>
                <w:rFonts w:ascii="Times New Roman" w:hAnsi="Times New Roman"/>
                <w:bCs/>
              </w:rPr>
            </w:pPr>
            <w:r w:rsidRPr="00825E5B">
              <w:rPr>
                <w:rFonts w:ascii="Times New Roman" w:hAnsi="Times New Roman"/>
              </w:rPr>
              <w:t xml:space="preserve">Cuprinde cuantumul ajustărilor reglementare aduse elementelor de fonduri proprii care vizează valoarea unui activ </w:t>
            </w:r>
            <w:r w:rsidR="00367C88">
              <w:rPr>
                <w:rFonts w:ascii="Times New Roman" w:hAnsi="Times New Roman"/>
              </w:rPr>
              <w:t>ș</w:t>
            </w:r>
            <w:r w:rsidRPr="00825E5B">
              <w:rPr>
                <w:rFonts w:ascii="Times New Roman" w:hAnsi="Times New Roman"/>
              </w:rPr>
              <w:t>i care sunt prevăzute la:</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32-35 din CRR sau</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36-47 din CRR sau</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56-60 din CRR sau</w:t>
            </w:r>
          </w:p>
          <w:p w:rsidR="00C81710" w:rsidRPr="00825E5B" w:rsidRDefault="00500508" w:rsidP="00500508">
            <w:pPr>
              <w:pStyle w:val="BodyText1"/>
              <w:spacing w:line="240" w:lineRule="auto"/>
              <w:ind w:left="720" w:hanging="360"/>
              <w:rPr>
                <w:rFonts w:ascii="Times New Roman" w:hAnsi="Times New Roman"/>
                <w:b/>
                <w:bCs/>
              </w:rPr>
            </w:pPr>
            <w:r w:rsidRPr="00825E5B">
              <w:rPr>
                <w:rFonts w:ascii="Times New Roman" w:hAnsi="Times New Roman"/>
              </w:rPr>
              <w:t>-</w:t>
            </w:r>
            <w:r w:rsidRPr="00825E5B">
              <w:tab/>
            </w:r>
            <w:r w:rsidRPr="00825E5B">
              <w:rPr>
                <w:rFonts w:ascii="Times New Roman" w:hAnsi="Times New Roman"/>
              </w:rPr>
              <w:t>articolele 66-70 din CRR,</w:t>
            </w:r>
          </w:p>
          <w:p w:rsidR="007A0E3A" w:rsidRPr="00825E5B" w:rsidRDefault="007A0E3A" w:rsidP="00877186">
            <w:pPr>
              <w:pStyle w:val="BodyText1"/>
              <w:spacing w:line="240" w:lineRule="auto"/>
              <w:rPr>
                <w:rFonts w:ascii="Times New Roman" w:hAnsi="Times New Roman"/>
                <w:b/>
                <w:bCs/>
              </w:rPr>
            </w:pPr>
            <w:r w:rsidRPr="00825E5B">
              <w:rPr>
                <w:rFonts w:ascii="Times New Roman" w:hAnsi="Times New Roman"/>
              </w:rPr>
              <w:t>după caz.</w:t>
            </w:r>
          </w:p>
          <w:p w:rsidR="00C81710" w:rsidRPr="00825E5B" w:rsidRDefault="00C81710" w:rsidP="00C81710">
            <w:pPr>
              <w:pStyle w:val="BodyText1"/>
              <w:spacing w:line="240" w:lineRule="auto"/>
              <w:rPr>
                <w:rFonts w:ascii="Times New Roman" w:hAnsi="Times New Roman"/>
                <w:bCs/>
              </w:rPr>
            </w:pPr>
          </w:p>
          <w:p w:rsidR="00C81710" w:rsidRPr="00825E5B" w:rsidRDefault="00C81710" w:rsidP="00C81710">
            <w:pPr>
              <w:pStyle w:val="BodyText1"/>
              <w:spacing w:line="240" w:lineRule="auto"/>
              <w:rPr>
                <w:rFonts w:ascii="Times New Roman" w:hAnsi="Times New Roman"/>
                <w:b/>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w:t>
            </w:r>
            <w:r w:rsidR="00367C88">
              <w:rPr>
                <w:rFonts w:ascii="Times New Roman" w:hAnsi="Times New Roman"/>
              </w:rPr>
              <w:t>ț</w:t>
            </w:r>
            <w:r w:rsidRPr="00825E5B">
              <w:rPr>
                <w:rFonts w:ascii="Times New Roman" w:hAnsi="Times New Roman"/>
              </w:rPr>
              <w:t xml:space="preserve">in seama de exceptările, alternativele </w:t>
            </w:r>
            <w:r w:rsidR="00367C88">
              <w:rPr>
                <w:rFonts w:ascii="Times New Roman" w:hAnsi="Times New Roman"/>
              </w:rPr>
              <w:t>ș</w:t>
            </w:r>
            <w:r w:rsidRPr="00825E5B">
              <w:rPr>
                <w:rFonts w:ascii="Times New Roman" w:hAnsi="Times New Roman"/>
              </w:rPr>
              <w:t xml:space="preserve">i derogările de la astfel de deduceri prevăzute la articolele 48, 49 </w:t>
            </w:r>
            <w:r w:rsidR="00367C88">
              <w:rPr>
                <w:rFonts w:ascii="Times New Roman" w:hAnsi="Times New Roman"/>
              </w:rPr>
              <w:t>ș</w:t>
            </w:r>
            <w:r w:rsidRPr="00825E5B">
              <w:rPr>
                <w:rFonts w:ascii="Times New Roman" w:hAnsi="Times New Roman"/>
              </w:rPr>
              <w:t xml:space="preserve">i 79 din CRR, cu luarea în considerare a derogării prevăzute în partea a zecea capitolele 1 </w:t>
            </w:r>
            <w:r w:rsidR="00367C88">
              <w:rPr>
                <w:rFonts w:ascii="Times New Roman" w:hAnsi="Times New Roman"/>
              </w:rPr>
              <w:t>ș</w:t>
            </w:r>
            <w:r w:rsidRPr="00825E5B">
              <w:rPr>
                <w:rFonts w:ascii="Times New Roman" w:hAnsi="Times New Roman"/>
              </w:rPr>
              <w:t>i 2 din CRR. Pentru a evita dubla contabilizare, institu</w:t>
            </w:r>
            <w:r w:rsidR="00367C88">
              <w:rPr>
                <w:rFonts w:ascii="Times New Roman" w:hAnsi="Times New Roman"/>
              </w:rPr>
              <w:t>ț</w:t>
            </w:r>
            <w:r w:rsidRPr="00825E5B">
              <w:rPr>
                <w:rFonts w:ascii="Times New Roman" w:hAnsi="Times New Roman"/>
              </w:rPr>
              <w:t xml:space="preserve">iile nu raportează ajustările deja aplicate în temeiul articolului 111 din CRR atunci când calculează valoarea expunerii în {LRCalc;10;10}-{LRCalc;260;10} </w:t>
            </w:r>
            <w:r w:rsidR="00367C88">
              <w:rPr>
                <w:rFonts w:ascii="Times New Roman" w:hAnsi="Times New Roman"/>
              </w:rPr>
              <w:t>ș</w:t>
            </w:r>
            <w:r w:rsidRPr="00825E5B">
              <w:rPr>
                <w:rFonts w:ascii="Times New Roman" w:hAnsi="Times New Roman"/>
              </w:rPr>
              <w:t>i nici ajustările care nu se scad din valoarea unui anumit activ.</w:t>
            </w:r>
            <w:r w:rsidRPr="00825E5B">
              <w:rPr>
                <w:rFonts w:ascii="Times New Roman" w:hAnsi="Times New Roman"/>
                <w:b/>
              </w:rPr>
              <w:t xml:space="preserve"> </w:t>
            </w:r>
          </w:p>
          <w:p w:rsidR="00C81710" w:rsidRPr="00825E5B" w:rsidRDefault="00C81710" w:rsidP="00C81710">
            <w:pPr>
              <w:pStyle w:val="BodyText1"/>
              <w:spacing w:line="240" w:lineRule="auto"/>
              <w:rPr>
                <w:rFonts w:ascii="Times New Roman" w:hAnsi="Times New Roman"/>
                <w:b/>
                <w:bCs/>
              </w:rPr>
            </w:pPr>
          </w:p>
          <w:p w:rsidR="00C81710" w:rsidRPr="00825E5B" w:rsidRDefault="00C81710" w:rsidP="00C81710">
            <w:pPr>
              <w:pStyle w:val="BodyText1"/>
              <w:spacing w:line="240" w:lineRule="auto"/>
              <w:rPr>
                <w:rFonts w:ascii="Times New Roman" w:hAnsi="Times New Roman"/>
                <w:bCs/>
              </w:rPr>
            </w:pPr>
            <w:r w:rsidRPr="00825E5B">
              <w:rPr>
                <w:rFonts w:ascii="Times New Roman" w:hAnsi="Times New Roman"/>
              </w:rPr>
              <w:t xml:space="preserve">întrucât reduc totalul fondurilor proprii, aceste ajustări se raportează ca valoare negativă. </w:t>
            </w:r>
          </w:p>
          <w:p w:rsidR="002509B1" w:rsidRPr="00825E5B" w:rsidRDefault="002509B1" w:rsidP="005556DC">
            <w:pPr>
              <w:pStyle w:val="BodyText1"/>
              <w:spacing w:line="240" w:lineRule="auto"/>
              <w:rPr>
                <w:rFonts w:ascii="Times New Roman" w:hAnsi="Times New Roman"/>
                <w:bCs/>
              </w:rPr>
            </w:pPr>
          </w:p>
        </w:tc>
      </w:tr>
    </w:tbl>
    <w:p w:rsidR="00217D1F" w:rsidRPr="00825E5B" w:rsidRDefault="00217D1F" w:rsidP="00217D1F">
      <w:pPr>
        <w:pStyle w:val="BodyText1"/>
        <w:ind w:left="567"/>
        <w:rPr>
          <w:rFonts w:ascii="Times New Roman" w:hAnsi="Times New Roman"/>
          <w:b/>
        </w:rPr>
      </w:pPr>
      <w:bookmarkStart w:id="83" w:name="_Toc322687900"/>
      <w:bookmarkStart w:id="84" w:name="_Toc322533879"/>
    </w:p>
    <w:p w:rsidR="00217D1F" w:rsidRPr="00825E5B"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3995577"/>
      <w:r w:rsidRPr="00825E5B">
        <w:rPr>
          <w:rFonts w:ascii="Times New Roman" w:hAnsi="Times New Roman"/>
          <w:b/>
        </w:rPr>
        <w:t>8.</w:t>
      </w:r>
      <w:r w:rsidRPr="00825E5B">
        <w:tab/>
      </w:r>
      <w:r w:rsidRPr="00825E5B">
        <w:rPr>
          <w:rFonts w:ascii="Times New Roman" w:hAnsi="Times New Roman"/>
          <w:b/>
        </w:rPr>
        <w:t>C 43.00 – Defalcarea alternativă a componentelor indicatorului de măsurare a expunerii utilizat pentru calcularea indicatorului efectului de levier</w:t>
      </w:r>
      <w:bookmarkEnd w:id="83"/>
      <w:bookmarkEnd w:id="85"/>
      <w:bookmarkEnd w:id="86"/>
      <w:r w:rsidRPr="00825E5B">
        <w:rPr>
          <w:rFonts w:ascii="Times New Roman" w:hAnsi="Times New Roman"/>
          <w:b/>
        </w:rPr>
        <w:t xml:space="preserve"> (LR4)</w:t>
      </w:r>
      <w:bookmarkEnd w:id="87"/>
      <w:bookmarkEnd w:id="88"/>
    </w:p>
    <w:p w:rsidR="00675587" w:rsidRPr="00825E5B" w:rsidRDefault="00675587" w:rsidP="00675587">
      <w:pPr>
        <w:pStyle w:val="BodyText1"/>
        <w:ind w:left="720"/>
        <w:rPr>
          <w:rFonts w:ascii="Times New Roman" w:hAnsi="Times New Roman"/>
        </w:rPr>
      </w:pPr>
    </w:p>
    <w:p w:rsidR="004E437E" w:rsidRPr="00825E5B" w:rsidRDefault="00500508" w:rsidP="00500508">
      <w:pPr>
        <w:pStyle w:val="BodyText1"/>
        <w:ind w:left="720" w:hanging="360"/>
        <w:rPr>
          <w:rFonts w:ascii="Times New Roman" w:hAnsi="Times New Roman"/>
        </w:rPr>
      </w:pPr>
      <w:r w:rsidRPr="00825E5B">
        <w:rPr>
          <w:rFonts w:ascii="Times New Roman" w:hAnsi="Times New Roman"/>
        </w:rPr>
        <w:t>28.</w:t>
      </w:r>
      <w:r w:rsidRPr="00825E5B">
        <w:tab/>
      </w:r>
      <w:r w:rsidRPr="00825E5B">
        <w:rPr>
          <w:rFonts w:ascii="Times New Roman" w:hAnsi="Times New Roman"/>
        </w:rPr>
        <w:t>Institu</w:t>
      </w:r>
      <w:r w:rsidR="00367C88">
        <w:rPr>
          <w:rFonts w:ascii="Times New Roman" w:hAnsi="Times New Roman"/>
        </w:rPr>
        <w:t>ț</w:t>
      </w:r>
      <w:r w:rsidRPr="00825E5B">
        <w:rPr>
          <w:rFonts w:ascii="Times New Roman" w:hAnsi="Times New Roman"/>
        </w:rPr>
        <w:t xml:space="preserve">iile raportează valorile expunerii pentru calcularea indicatorului efectului de levier în formularul LR4, după aplicarea eventualelor exceptări la care se face referire în următoarele celule LRCalc: {050;010}, {080;010}, {100;010}, {120;010}, {220; 010}, {250;010} </w:t>
      </w:r>
      <w:r w:rsidR="00367C88">
        <w:rPr>
          <w:rFonts w:ascii="Times New Roman" w:hAnsi="Times New Roman"/>
        </w:rPr>
        <w:t>ș</w:t>
      </w:r>
      <w:r w:rsidRPr="00825E5B">
        <w:rPr>
          <w:rFonts w:ascii="Times New Roman" w:hAnsi="Times New Roman"/>
        </w:rPr>
        <w:t>i {260;010}.</w:t>
      </w:r>
    </w:p>
    <w:p w:rsidR="004E437E" w:rsidRPr="00825E5B" w:rsidRDefault="004E437E" w:rsidP="00FD2C06">
      <w:pPr>
        <w:pStyle w:val="BodyText1"/>
        <w:ind w:left="720"/>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29.</w:t>
      </w:r>
      <w:r w:rsidRPr="00825E5B">
        <w:tab/>
      </w:r>
      <w:r w:rsidRPr="00825E5B">
        <w:rPr>
          <w:rFonts w:ascii="Times New Roman" w:hAnsi="Times New Roman"/>
        </w:rPr>
        <w:t>Pentru a evita dubla contabilizare, institu</w:t>
      </w:r>
      <w:r w:rsidR="00367C88">
        <w:rPr>
          <w:rFonts w:ascii="Times New Roman" w:hAnsi="Times New Roman"/>
        </w:rPr>
        <w:t>ț</w:t>
      </w:r>
      <w:r w:rsidRPr="00825E5B">
        <w:rPr>
          <w:rFonts w:ascii="Times New Roman" w:hAnsi="Times New Roman"/>
        </w:rPr>
        <w:t>iile respectă ecua</w:t>
      </w:r>
      <w:r w:rsidR="00367C88">
        <w:rPr>
          <w:rFonts w:ascii="Times New Roman" w:hAnsi="Times New Roman"/>
        </w:rPr>
        <w:t>ț</w:t>
      </w:r>
      <w:r w:rsidRPr="00825E5B">
        <w:rPr>
          <w:rFonts w:ascii="Times New Roman" w:hAnsi="Times New Roman"/>
        </w:rPr>
        <w:t xml:space="preserve">ia la care se face referire la următorul punct: </w:t>
      </w:r>
    </w:p>
    <w:p w:rsidR="00FC2664" w:rsidRPr="00825E5B" w:rsidRDefault="00FC2664" w:rsidP="007E2A41">
      <w:pPr>
        <w:pStyle w:val="BodyText1"/>
        <w:spacing w:line="240" w:lineRule="auto"/>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30.</w:t>
      </w:r>
      <w:r w:rsidRPr="00825E5B">
        <w:tab/>
      </w:r>
      <w:r w:rsidRPr="00825E5B">
        <w:rPr>
          <w:rFonts w:ascii="Times New Roman" w:hAnsi="Times New Roman"/>
        </w:rPr>
        <w:t>Ecua</w:t>
      </w:r>
      <w:r w:rsidR="00367C88">
        <w:rPr>
          <w:rFonts w:ascii="Times New Roman" w:hAnsi="Times New Roman"/>
        </w:rPr>
        <w:t>ț</w:t>
      </w:r>
      <w:r w:rsidRPr="00825E5B">
        <w:rPr>
          <w:rFonts w:ascii="Times New Roman" w:hAnsi="Times New Roman"/>
        </w:rPr>
        <w:t>ia pe care institu</w:t>
      </w:r>
      <w:r w:rsidR="00367C88">
        <w:rPr>
          <w:rFonts w:ascii="Times New Roman" w:hAnsi="Times New Roman"/>
        </w:rPr>
        <w:t>ț</w:t>
      </w:r>
      <w:r w:rsidRPr="00825E5B">
        <w:rPr>
          <w:rFonts w:ascii="Times New Roman" w:hAnsi="Times New Roman"/>
        </w:rPr>
        <w:t>iile au obliga</w:t>
      </w:r>
      <w:r w:rsidR="00367C88">
        <w:rPr>
          <w:rFonts w:ascii="Times New Roman" w:hAnsi="Times New Roman"/>
        </w:rPr>
        <w:t>ț</w:t>
      </w:r>
      <w:r w:rsidRPr="00825E5B">
        <w:rPr>
          <w:rFonts w:ascii="Times New Roman" w:hAnsi="Times New Roman"/>
        </w:rPr>
        <w:t>ia de a o respecta în conformitate cu punctul 29 este următoarea: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825E5B"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825E5B" w:rsidTr="0053335C">
        <w:trPr>
          <w:trHeight w:val="297"/>
        </w:trPr>
        <w:tc>
          <w:tcPr>
            <w:tcW w:w="1111" w:type="dxa"/>
            <w:shd w:val="clear" w:color="auto" w:fill="BFBFBF" w:themeFill="background1" w:themeFillShade="BF"/>
          </w:tcPr>
          <w:p w:rsidR="00F4754B" w:rsidRPr="00825E5B" w:rsidRDefault="00F4754B" w:rsidP="00F4754B">
            <w:pPr>
              <w:pStyle w:val="BodyText1"/>
              <w:rPr>
                <w:rFonts w:ascii="Times New Roman" w:hAnsi="Times New Roman"/>
                <w:b/>
                <w:bCs/>
                <w:i/>
              </w:rPr>
            </w:pPr>
            <w:r w:rsidRPr="00825E5B">
              <w:rPr>
                <w:rFonts w:ascii="Times New Roman" w:hAnsi="Times New Roman"/>
                <w:b/>
              </w:rPr>
              <w:t xml:space="preserve">Rând </w:t>
            </w:r>
            <w:r w:rsidR="00367C88">
              <w:rPr>
                <w:rFonts w:ascii="Times New Roman" w:hAnsi="Times New Roman"/>
                <w:b/>
              </w:rPr>
              <w:t>ș</w:t>
            </w:r>
            <w:r w:rsidRPr="00825E5B">
              <w:rPr>
                <w:rFonts w:ascii="Times New Roman" w:hAnsi="Times New Roman"/>
                <w:b/>
              </w:rPr>
              <w:t>i coloană</w:t>
            </w:r>
          </w:p>
        </w:tc>
        <w:tc>
          <w:tcPr>
            <w:tcW w:w="8133" w:type="dxa"/>
            <w:shd w:val="clear" w:color="auto" w:fill="BFBFBF" w:themeFill="background1" w:themeFillShade="BF"/>
          </w:tcPr>
          <w:p w:rsidR="00F4754B" w:rsidRPr="00825E5B" w:rsidRDefault="00F4754B" w:rsidP="00F4754B">
            <w:pPr>
              <w:pStyle w:val="BodyText1"/>
              <w:rPr>
                <w:rFonts w:ascii="Times New Roman" w:hAnsi="Times New Roman"/>
                <w:b/>
                <w:bCs/>
                <w:i/>
              </w:rPr>
            </w:pPr>
            <w:r w:rsidRPr="00825E5B">
              <w:rPr>
                <w:rFonts w:ascii="Times New Roman" w:hAnsi="Times New Roman"/>
                <w:b/>
              </w:rPr>
              <w:t>Referin</w:t>
            </w:r>
            <w:r w:rsidR="00367C88">
              <w:rPr>
                <w:rFonts w:ascii="Times New Roman" w:hAnsi="Times New Roman"/>
                <w:b/>
              </w:rPr>
              <w:t>ț</w:t>
            </w:r>
            <w:r w:rsidRPr="00825E5B">
              <w:rPr>
                <w:rFonts w:ascii="Times New Roman" w:hAnsi="Times New Roman"/>
                <w:b/>
              </w:rPr>
              <w:t xml:space="preserve">e juridice </w:t>
            </w:r>
            <w:r w:rsidR="00367C88">
              <w:rPr>
                <w:rFonts w:ascii="Times New Roman" w:hAnsi="Times New Roman"/>
                <w:b/>
              </w:rPr>
              <w:t>ș</w:t>
            </w:r>
            <w:r w:rsidRPr="00825E5B">
              <w:rPr>
                <w:rFonts w:ascii="Times New Roman" w:hAnsi="Times New Roman"/>
                <w:b/>
              </w:rPr>
              <w:t>i instruc</w:t>
            </w:r>
            <w:r w:rsidR="00367C88">
              <w:rPr>
                <w:rFonts w:ascii="Times New Roman" w:hAnsi="Times New Roman"/>
                <w:b/>
              </w:rPr>
              <w:t>ț</w:t>
            </w:r>
            <w:r w:rsidRPr="00825E5B">
              <w:rPr>
                <w:rFonts w:ascii="Times New Roman" w:hAnsi="Times New Roman"/>
                <w:b/>
              </w:rPr>
              <w:t>iuni</w:t>
            </w:r>
          </w:p>
        </w:tc>
      </w:tr>
      <w:tr w:rsidR="00F4754B" w:rsidRPr="00825E5B" w:rsidTr="0053335C">
        <w:trPr>
          <w:trHeight w:val="445"/>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{010;010}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Elemente extrabilan</w:t>
            </w:r>
            <w:r w:rsidR="00367C88">
              <w:rPr>
                <w:rFonts w:ascii="Times New Roman" w:hAnsi="Times New Roman"/>
                <w:b/>
              </w:rPr>
              <w:t>ț</w:t>
            </w:r>
            <w:r w:rsidRPr="00825E5B">
              <w:rPr>
                <w:rFonts w:ascii="Times New Roman" w:hAnsi="Times New Roman"/>
                <w:b/>
              </w:rPr>
              <w:t>iere; din care – Valoarea expunerii pentru calcularea indicatorului efectului de levier</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calculată ca suma celulelor {LRCalc;150;010}, {LRCalc;160;010}, {LRCalc;170;010} </w:t>
            </w:r>
            <w:r w:rsidR="00367C88">
              <w:rPr>
                <w:rFonts w:ascii="Times New Roman" w:hAnsi="Times New Roman"/>
              </w:rPr>
              <w:t>ș</w:t>
            </w:r>
            <w:r w:rsidRPr="00825E5B">
              <w:rPr>
                <w:rFonts w:ascii="Times New Roman" w:hAnsi="Times New Roman"/>
              </w:rPr>
              <w:t>i {LRCalc;180;010}, mai pu</w:t>
            </w:r>
            <w:r w:rsidR="00367C88">
              <w:rPr>
                <w:rFonts w:ascii="Times New Roman" w:hAnsi="Times New Roman"/>
              </w:rPr>
              <w:t>ț</w:t>
            </w:r>
            <w:r w:rsidRPr="00825E5B">
              <w:rPr>
                <w:rFonts w:ascii="Times New Roman" w:hAnsi="Times New Roman"/>
              </w:rPr>
              <w:t>in expunerile intragrup respective (pe bază individuală) excluse în conformitate cu articolul 429 alineatul (7) din CRR.</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1179"/>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{010;020}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Elemente extrabilan</w:t>
            </w:r>
            <w:r w:rsidR="00367C88">
              <w:rPr>
                <w:rFonts w:ascii="Times New Roman" w:hAnsi="Times New Roman"/>
                <w:b/>
              </w:rPr>
              <w:t>ț</w:t>
            </w:r>
            <w:r w:rsidRPr="00825E5B">
              <w:rPr>
                <w:rFonts w:ascii="Times New Roman" w:hAnsi="Times New Roman"/>
                <w:b/>
              </w:rPr>
              <w:t>iere; din care – Active ponderate la risc</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elementelor extrabilan</w:t>
            </w:r>
            <w:r w:rsidR="00367C88">
              <w:rPr>
                <w:rFonts w:ascii="Times New Roman" w:hAnsi="Times New Roman"/>
              </w:rPr>
              <w:t>ț</w:t>
            </w:r>
            <w:r w:rsidRPr="00825E5B">
              <w:rPr>
                <w:rFonts w:ascii="Times New Roman" w:hAnsi="Times New Roman"/>
              </w:rPr>
              <w:t xml:space="preserve">iere – fără SFT-uri </w:t>
            </w:r>
            <w:r w:rsidR="00367C88">
              <w:rPr>
                <w:rFonts w:ascii="Times New Roman" w:hAnsi="Times New Roman"/>
              </w:rPr>
              <w:t>ș</w:t>
            </w:r>
            <w:r w:rsidRPr="00825E5B">
              <w:rPr>
                <w:rFonts w:ascii="Times New Roman" w:hAnsi="Times New Roman"/>
              </w:rPr>
              <w:t xml:space="preserve">i instrumente financiare derivate – conform abordării standardizate </w:t>
            </w:r>
            <w:r w:rsidR="00367C88">
              <w:rPr>
                <w:rFonts w:ascii="Times New Roman" w:hAnsi="Times New Roman"/>
              </w:rPr>
              <w:t>ș</w:t>
            </w:r>
            <w:r w:rsidRPr="00825E5B">
              <w:rPr>
                <w:rFonts w:ascii="Times New Roman" w:hAnsi="Times New Roman"/>
              </w:rPr>
              <w:t>i abordării bazate pe modele interne de rating. Pentru expunerile din cadrul abordării standardizate, institu</w:t>
            </w:r>
            <w:r w:rsidR="00367C88">
              <w:rPr>
                <w:rFonts w:ascii="Times New Roman" w:hAnsi="Times New Roman"/>
              </w:rPr>
              <w:t>ț</w:t>
            </w:r>
            <w:r w:rsidRPr="00825E5B">
              <w:rPr>
                <w:rFonts w:ascii="Times New Roman" w:hAnsi="Times New Roman"/>
              </w:rPr>
              <w:t>iile determină cuantumul ponderat la risc al expunerii în conformitate cu partea a treia titlul II capitolul 2 din CRR. Pentru expunerile din cadrul abordării bazate pe modele interne de rating, institu</w:t>
            </w:r>
            <w:r w:rsidR="00367C88">
              <w:rPr>
                <w:rFonts w:ascii="Times New Roman" w:hAnsi="Times New Roman"/>
              </w:rPr>
              <w:t>ț</w:t>
            </w:r>
            <w:r w:rsidRPr="00825E5B">
              <w:rPr>
                <w:rFonts w:ascii="Times New Roman" w:hAnsi="Times New Roman"/>
              </w:rPr>
              <w:t>iile determină cuantumul ponderat la risc al expunerii în conformitate cu partea a treia titlul II capitolul 3 din CRR.</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4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{020;010}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Finan</w:t>
            </w:r>
            <w:r w:rsidR="00367C88">
              <w:rPr>
                <w:rFonts w:ascii="Times New Roman" w:hAnsi="Times New Roman"/>
                <w:b/>
              </w:rPr>
              <w:t>ț</w:t>
            </w:r>
            <w:r w:rsidRPr="00825E5B">
              <w:rPr>
                <w:rFonts w:ascii="Times New Roman" w:hAnsi="Times New Roman"/>
                <w:b/>
              </w:rPr>
              <w:t>area comer</w:t>
            </w:r>
            <w:r w:rsidR="00367C88">
              <w:rPr>
                <w:rFonts w:ascii="Times New Roman" w:hAnsi="Times New Roman"/>
                <w:b/>
              </w:rPr>
              <w:t>ț</w:t>
            </w:r>
            <w:r w:rsidRPr="00825E5B">
              <w:rPr>
                <w:rFonts w:ascii="Times New Roman" w:hAnsi="Times New Roman"/>
                <w:b/>
              </w:rPr>
              <w:t>ului; din care – Valoarea expunerii pentru calcularea indicatorului efectului de levier</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elementelor extrabilan</w:t>
            </w:r>
            <w:r w:rsidR="00367C88">
              <w:rPr>
                <w:rFonts w:ascii="Times New Roman" w:hAnsi="Times New Roman"/>
              </w:rPr>
              <w:t>ț</w:t>
            </w:r>
            <w:r w:rsidRPr="00825E5B">
              <w:rPr>
                <w:rFonts w:ascii="Times New Roman" w:hAnsi="Times New Roman"/>
              </w:rPr>
              <w:t>iere legate de finan</w:t>
            </w:r>
            <w:r w:rsidR="00367C88">
              <w:rPr>
                <w:rFonts w:ascii="Times New Roman" w:hAnsi="Times New Roman"/>
              </w:rPr>
              <w:t>ț</w:t>
            </w:r>
            <w:r w:rsidRPr="00825E5B">
              <w:rPr>
                <w:rFonts w:ascii="Times New Roman" w:hAnsi="Times New Roman"/>
              </w:rPr>
              <w:t>area comer</w:t>
            </w:r>
            <w:r w:rsidR="00367C88">
              <w:rPr>
                <w:rFonts w:ascii="Times New Roman" w:hAnsi="Times New Roman"/>
              </w:rPr>
              <w:t>ț</w:t>
            </w:r>
            <w:r w:rsidRPr="00825E5B">
              <w:rPr>
                <w:rFonts w:ascii="Times New Roman" w:hAnsi="Times New Roman"/>
              </w:rPr>
              <w:t>ului. Pentru completarea formularului LR4, elementele extrabilan</w:t>
            </w:r>
            <w:r w:rsidR="00367C88">
              <w:rPr>
                <w:rFonts w:ascii="Times New Roman" w:hAnsi="Times New Roman"/>
              </w:rPr>
              <w:t>ț</w:t>
            </w:r>
            <w:r w:rsidRPr="00825E5B">
              <w:rPr>
                <w:rFonts w:ascii="Times New Roman" w:hAnsi="Times New Roman"/>
              </w:rPr>
              <w:t>iere legate de finan</w:t>
            </w:r>
            <w:r w:rsidR="00367C88">
              <w:rPr>
                <w:rFonts w:ascii="Times New Roman" w:hAnsi="Times New Roman"/>
              </w:rPr>
              <w:t>ț</w:t>
            </w:r>
            <w:r w:rsidRPr="00825E5B">
              <w:rPr>
                <w:rFonts w:ascii="Times New Roman" w:hAnsi="Times New Roman"/>
              </w:rPr>
              <w:t>area comer</w:t>
            </w:r>
            <w:r w:rsidR="00367C88">
              <w:rPr>
                <w:rFonts w:ascii="Times New Roman" w:hAnsi="Times New Roman"/>
              </w:rPr>
              <w:t>ț</w:t>
            </w:r>
            <w:r w:rsidRPr="00825E5B">
              <w:rPr>
                <w:rFonts w:ascii="Times New Roman" w:hAnsi="Times New Roman"/>
              </w:rPr>
              <w:t xml:space="preserve">ului se referă la scrisorile de credit pentru importuri </w:t>
            </w:r>
            <w:r w:rsidR="00367C88">
              <w:rPr>
                <w:rFonts w:ascii="Times New Roman" w:hAnsi="Times New Roman"/>
              </w:rPr>
              <w:t>ș</w:t>
            </w:r>
            <w:r w:rsidRPr="00825E5B">
              <w:rPr>
                <w:rFonts w:ascii="Times New Roman" w:hAnsi="Times New Roman"/>
              </w:rPr>
              <w:t xml:space="preserve">i exporturi, emise </w:t>
            </w:r>
            <w:r w:rsidR="00367C88">
              <w:rPr>
                <w:rFonts w:ascii="Times New Roman" w:hAnsi="Times New Roman"/>
              </w:rPr>
              <w:t>ș</w:t>
            </w:r>
            <w:r w:rsidRPr="00825E5B">
              <w:rPr>
                <w:rFonts w:ascii="Times New Roman" w:hAnsi="Times New Roman"/>
              </w:rPr>
              <w:t xml:space="preserve">i confirmate, pe termen scurt </w:t>
            </w:r>
            <w:r w:rsidR="00367C88">
              <w:rPr>
                <w:rFonts w:ascii="Times New Roman" w:hAnsi="Times New Roman"/>
              </w:rPr>
              <w:t>ș</w:t>
            </w:r>
            <w:r w:rsidRPr="00825E5B">
              <w:rPr>
                <w:rFonts w:ascii="Times New Roman" w:hAnsi="Times New Roman"/>
              </w:rPr>
              <w:t xml:space="preserve">i cu autolichidare, </w:t>
            </w:r>
            <w:r w:rsidR="00367C88">
              <w:rPr>
                <w:rFonts w:ascii="Times New Roman" w:hAnsi="Times New Roman"/>
              </w:rPr>
              <w:t>ș</w:t>
            </w:r>
            <w:r w:rsidRPr="00825E5B">
              <w:rPr>
                <w:rFonts w:ascii="Times New Roman" w:hAnsi="Times New Roman"/>
              </w:rPr>
              <w:t>i la tranzac</w:t>
            </w:r>
            <w:r w:rsidR="00367C88">
              <w:rPr>
                <w:rFonts w:ascii="Times New Roman" w:hAnsi="Times New Roman"/>
              </w:rPr>
              <w:t>ț</w:t>
            </w:r>
            <w:r w:rsidRPr="00825E5B">
              <w:rPr>
                <w:rFonts w:ascii="Times New Roman" w:hAnsi="Times New Roman"/>
              </w:rPr>
              <w:t>ii similare.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1038"/>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lastRenderedPageBreak/>
              <w:t>{020;020}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Finan</w:t>
            </w:r>
            <w:r w:rsidR="00367C88">
              <w:rPr>
                <w:rFonts w:ascii="Times New Roman" w:hAnsi="Times New Roman"/>
                <w:b/>
              </w:rPr>
              <w:t>ț</w:t>
            </w:r>
            <w:r w:rsidRPr="00825E5B">
              <w:rPr>
                <w:rFonts w:ascii="Times New Roman" w:hAnsi="Times New Roman"/>
                <w:b/>
              </w:rPr>
              <w:t>area comer</w:t>
            </w:r>
            <w:r w:rsidR="00367C88">
              <w:rPr>
                <w:rFonts w:ascii="Times New Roman" w:hAnsi="Times New Roman"/>
                <w:b/>
              </w:rPr>
              <w:t>ț</w:t>
            </w:r>
            <w:r w:rsidRPr="00825E5B">
              <w:rPr>
                <w:rFonts w:ascii="Times New Roman" w:hAnsi="Times New Roman"/>
                <w:b/>
              </w:rPr>
              <w:t xml:space="preserve">ului; din care – Active ponderate la risc </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ponderată la risc a expunerii elementelor extrabilan</w:t>
            </w:r>
            <w:r w:rsidR="00367C88">
              <w:rPr>
                <w:rFonts w:ascii="Times New Roman" w:hAnsi="Times New Roman"/>
              </w:rPr>
              <w:t>ț</w:t>
            </w:r>
            <w:r w:rsidRPr="00825E5B">
              <w:rPr>
                <w:rFonts w:ascii="Times New Roman" w:hAnsi="Times New Roman"/>
              </w:rPr>
              <w:t xml:space="preserve">iere – fără SFT-uri </w:t>
            </w:r>
            <w:r w:rsidR="00367C88">
              <w:rPr>
                <w:rFonts w:ascii="Times New Roman" w:hAnsi="Times New Roman"/>
              </w:rPr>
              <w:t>ș</w:t>
            </w:r>
            <w:r w:rsidRPr="00825E5B">
              <w:rPr>
                <w:rFonts w:ascii="Times New Roman" w:hAnsi="Times New Roman"/>
              </w:rPr>
              <w:t>i instrumente financiare derivate – care se referă la finan</w:t>
            </w:r>
            <w:r w:rsidR="00367C88">
              <w:rPr>
                <w:rFonts w:ascii="Times New Roman" w:hAnsi="Times New Roman"/>
              </w:rPr>
              <w:t>ț</w:t>
            </w:r>
            <w:r w:rsidRPr="00825E5B">
              <w:rPr>
                <w:rFonts w:ascii="Times New Roman" w:hAnsi="Times New Roman"/>
              </w:rPr>
              <w:t>area comer</w:t>
            </w:r>
            <w:r w:rsidR="00367C88">
              <w:rPr>
                <w:rFonts w:ascii="Times New Roman" w:hAnsi="Times New Roman"/>
              </w:rPr>
              <w:t>ț</w:t>
            </w:r>
            <w:r w:rsidRPr="00825E5B">
              <w:rPr>
                <w:rFonts w:ascii="Times New Roman" w:hAnsi="Times New Roman"/>
              </w:rPr>
              <w:t>ului. Pentru completarea formularului LR4, elementele extrabilan</w:t>
            </w:r>
            <w:r w:rsidR="00367C88">
              <w:rPr>
                <w:rFonts w:ascii="Times New Roman" w:hAnsi="Times New Roman"/>
              </w:rPr>
              <w:t>ț</w:t>
            </w:r>
            <w:r w:rsidRPr="00825E5B">
              <w:rPr>
                <w:rFonts w:ascii="Times New Roman" w:hAnsi="Times New Roman"/>
              </w:rPr>
              <w:t>iere legate de finan</w:t>
            </w:r>
            <w:r w:rsidR="00367C88">
              <w:rPr>
                <w:rFonts w:ascii="Times New Roman" w:hAnsi="Times New Roman"/>
              </w:rPr>
              <w:t>ț</w:t>
            </w:r>
            <w:r w:rsidRPr="00825E5B">
              <w:rPr>
                <w:rFonts w:ascii="Times New Roman" w:hAnsi="Times New Roman"/>
              </w:rPr>
              <w:t>area comer</w:t>
            </w:r>
            <w:r w:rsidR="00367C88">
              <w:rPr>
                <w:rFonts w:ascii="Times New Roman" w:hAnsi="Times New Roman"/>
              </w:rPr>
              <w:t>ț</w:t>
            </w:r>
            <w:r w:rsidRPr="00825E5B">
              <w:rPr>
                <w:rFonts w:ascii="Times New Roman" w:hAnsi="Times New Roman"/>
              </w:rPr>
              <w:t xml:space="preserve">ului se referă la scrisorile de credit pentru importuri </w:t>
            </w:r>
            <w:r w:rsidR="00367C88">
              <w:rPr>
                <w:rFonts w:ascii="Times New Roman" w:hAnsi="Times New Roman"/>
              </w:rPr>
              <w:t>ș</w:t>
            </w:r>
            <w:r w:rsidRPr="00825E5B">
              <w:rPr>
                <w:rFonts w:ascii="Times New Roman" w:hAnsi="Times New Roman"/>
              </w:rPr>
              <w:t xml:space="preserve">i exporturi, emise </w:t>
            </w:r>
            <w:r w:rsidR="00367C88">
              <w:rPr>
                <w:rFonts w:ascii="Times New Roman" w:hAnsi="Times New Roman"/>
              </w:rPr>
              <w:t>ș</w:t>
            </w:r>
            <w:r w:rsidRPr="00825E5B">
              <w:rPr>
                <w:rFonts w:ascii="Times New Roman" w:hAnsi="Times New Roman"/>
              </w:rPr>
              <w:t xml:space="preserve">i confirmate, pe termen scurt </w:t>
            </w:r>
            <w:r w:rsidR="00367C88">
              <w:rPr>
                <w:rFonts w:ascii="Times New Roman" w:hAnsi="Times New Roman"/>
              </w:rPr>
              <w:t>ș</w:t>
            </w:r>
            <w:r w:rsidRPr="00825E5B">
              <w:rPr>
                <w:rFonts w:ascii="Times New Roman" w:hAnsi="Times New Roman"/>
              </w:rPr>
              <w:t xml:space="preserve">i cu autolichidare, </w:t>
            </w:r>
            <w:r w:rsidR="00367C88">
              <w:rPr>
                <w:rFonts w:ascii="Times New Roman" w:hAnsi="Times New Roman"/>
              </w:rPr>
              <w:t>ș</w:t>
            </w:r>
            <w:r w:rsidRPr="00825E5B">
              <w:rPr>
                <w:rFonts w:ascii="Times New Roman" w:hAnsi="Times New Roman"/>
              </w:rPr>
              <w:t>i la tranzac</w:t>
            </w:r>
            <w:r w:rsidR="00367C88">
              <w:rPr>
                <w:rFonts w:ascii="Times New Roman" w:hAnsi="Times New Roman"/>
              </w:rPr>
              <w:t>ț</w:t>
            </w:r>
            <w:r w:rsidRPr="00825E5B">
              <w:rPr>
                <w:rFonts w:ascii="Times New Roman" w:hAnsi="Times New Roman"/>
              </w:rPr>
              <w:t>ii similare.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1030"/>
        </w:trPr>
        <w:tc>
          <w:tcPr>
            <w:tcW w:w="1111" w:type="dxa"/>
            <w:shd w:val="clear" w:color="auto" w:fill="FFFFFF"/>
          </w:tcPr>
          <w:p w:rsidR="00F4754B" w:rsidRPr="00825E5B" w:rsidRDefault="00F4754B" w:rsidP="00F4754B">
            <w:pPr>
              <w:pStyle w:val="BodyText1"/>
              <w:rPr>
                <w:rFonts w:ascii="Times New Roman" w:hAnsi="Times New Roman"/>
                <w:bCs/>
              </w:rPr>
            </w:pPr>
            <w:r w:rsidRPr="00825E5B">
              <w:rPr>
                <w:rFonts w:ascii="Times New Roman" w:hAnsi="Times New Roman"/>
              </w:rPr>
              <w:t>{030;010}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În cadrul schemei oficiale de asigurare a creditelor de export – Valoarea expunerii pentru calcularea indicatorului efectului de levier</w:t>
            </w:r>
          </w:p>
          <w:p w:rsidR="002509B1" w:rsidRPr="00825E5B" w:rsidRDefault="002509B1" w:rsidP="007E2A41">
            <w:pPr>
              <w:pStyle w:val="BodyText1"/>
              <w:spacing w:line="240" w:lineRule="auto"/>
              <w:rPr>
                <w:rFonts w:ascii="Times New Roman" w:hAnsi="Times New Roman"/>
                <w:b/>
                <w:bCs/>
              </w:rPr>
            </w:pPr>
          </w:p>
          <w:p w:rsidR="001F28E7" w:rsidRPr="00825E5B" w:rsidRDefault="00F4754B" w:rsidP="007E2A41">
            <w:pPr>
              <w:pStyle w:val="BodyText1"/>
              <w:spacing w:line="240" w:lineRule="auto"/>
              <w:rPr>
                <w:rFonts w:ascii="Times New Roman" w:hAnsi="Times New Roman"/>
              </w:rPr>
            </w:pPr>
            <w:r w:rsidRPr="00825E5B">
              <w:rPr>
                <w:rFonts w:ascii="Times New Roman" w:hAnsi="Times New Roman"/>
              </w:rPr>
              <w:t>Valoarea expunerii pentru calcularea indicatorului efectului de levier al elementelor extrabilan</w:t>
            </w:r>
            <w:r w:rsidR="00367C88">
              <w:rPr>
                <w:rFonts w:ascii="Times New Roman" w:hAnsi="Times New Roman"/>
              </w:rPr>
              <w:t>ț</w:t>
            </w:r>
            <w:r w:rsidRPr="00825E5B">
              <w:rPr>
                <w:rFonts w:ascii="Times New Roman" w:hAnsi="Times New Roman"/>
              </w:rPr>
              <w:t>iere legate de finan</w:t>
            </w:r>
            <w:r w:rsidR="00367C88">
              <w:rPr>
                <w:rFonts w:ascii="Times New Roman" w:hAnsi="Times New Roman"/>
              </w:rPr>
              <w:t>ț</w:t>
            </w:r>
            <w:r w:rsidRPr="00825E5B">
              <w:rPr>
                <w:rFonts w:ascii="Times New Roman" w:hAnsi="Times New Roman"/>
              </w:rPr>
              <w:t>area comer</w:t>
            </w:r>
            <w:r w:rsidR="00367C88">
              <w:rPr>
                <w:rFonts w:ascii="Times New Roman" w:hAnsi="Times New Roman"/>
              </w:rPr>
              <w:t>ț</w:t>
            </w:r>
            <w:r w:rsidRPr="00825E5B">
              <w:rPr>
                <w:rFonts w:ascii="Times New Roman" w:hAnsi="Times New Roman"/>
              </w:rPr>
              <w:t>ului în cadrul unei scheme oficiale de asigurare a creditelor de export.</w:t>
            </w:r>
          </w:p>
          <w:p w:rsidR="001F28E7" w:rsidRPr="00825E5B" w:rsidRDefault="001F28E7"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Pentru completarea formularului LR4, schema oficială de asigurare a creditelor de export se referă la sprijinul oficial acordat de guvern sau de o altă entitate, cum ar fi o agen</w:t>
            </w:r>
            <w:r w:rsidR="00367C88">
              <w:rPr>
                <w:rFonts w:ascii="Times New Roman" w:hAnsi="Times New Roman"/>
              </w:rPr>
              <w:t>ț</w:t>
            </w:r>
            <w:r w:rsidRPr="00825E5B">
              <w:rPr>
                <w:rFonts w:ascii="Times New Roman" w:hAnsi="Times New Roman"/>
              </w:rPr>
              <w:t>ie oficială de creditare a exportului, sub formă de, printre altele, credite/finan</w:t>
            </w:r>
            <w:r w:rsidR="00367C88">
              <w:rPr>
                <w:rFonts w:ascii="Times New Roman" w:hAnsi="Times New Roman"/>
              </w:rPr>
              <w:t>ț</w:t>
            </w:r>
            <w:r w:rsidRPr="00825E5B">
              <w:rPr>
                <w:rFonts w:ascii="Times New Roman" w:hAnsi="Times New Roman"/>
              </w:rPr>
              <w:t>ări directe, refinan</w:t>
            </w:r>
            <w:r w:rsidR="00367C88">
              <w:rPr>
                <w:rFonts w:ascii="Times New Roman" w:hAnsi="Times New Roman"/>
              </w:rPr>
              <w:t>ț</w:t>
            </w:r>
            <w:r w:rsidRPr="00825E5B">
              <w:rPr>
                <w:rFonts w:ascii="Times New Roman" w:hAnsi="Times New Roman"/>
              </w:rPr>
              <w:t>ări, subven</w:t>
            </w:r>
            <w:r w:rsidR="00367C88">
              <w:rPr>
                <w:rFonts w:ascii="Times New Roman" w:hAnsi="Times New Roman"/>
              </w:rPr>
              <w:t>ț</w:t>
            </w:r>
            <w:r w:rsidRPr="00825E5B">
              <w:rPr>
                <w:rFonts w:ascii="Times New Roman" w:hAnsi="Times New Roman"/>
              </w:rPr>
              <w:t>ionare a ratei dobânzii (în cazul în care se garantează o rată fixă a dobânzii pe toată durata creditului), finan</w:t>
            </w:r>
            <w:r w:rsidR="00367C88">
              <w:rPr>
                <w:rFonts w:ascii="Times New Roman" w:hAnsi="Times New Roman"/>
              </w:rPr>
              <w:t>ț</w:t>
            </w:r>
            <w:r w:rsidRPr="00825E5B">
              <w:rPr>
                <w:rFonts w:ascii="Times New Roman" w:hAnsi="Times New Roman"/>
              </w:rPr>
              <w:t xml:space="preserve">are a ajutoarelor (credite </w:t>
            </w:r>
            <w:r w:rsidR="00367C88">
              <w:rPr>
                <w:rFonts w:ascii="Times New Roman" w:hAnsi="Times New Roman"/>
              </w:rPr>
              <w:t>ș</w:t>
            </w:r>
            <w:r w:rsidRPr="00825E5B">
              <w:rPr>
                <w:rFonts w:ascii="Times New Roman" w:hAnsi="Times New Roman"/>
              </w:rPr>
              <w:t xml:space="preserve">i granturi), asigurare a creditelor de export </w:t>
            </w:r>
            <w:r w:rsidR="00367C88">
              <w:rPr>
                <w:rFonts w:ascii="Times New Roman" w:hAnsi="Times New Roman"/>
              </w:rPr>
              <w:t>ș</w:t>
            </w:r>
            <w:r w:rsidRPr="00825E5B">
              <w:rPr>
                <w:rFonts w:ascii="Times New Roman" w:hAnsi="Times New Roman"/>
              </w:rPr>
              <w:t>i garan</w:t>
            </w:r>
            <w:r w:rsidR="00367C88">
              <w:rPr>
                <w:rFonts w:ascii="Times New Roman" w:hAnsi="Times New Roman"/>
              </w:rPr>
              <w:t>ț</w:t>
            </w:r>
            <w:r w:rsidRPr="00825E5B">
              <w:rPr>
                <w:rFonts w:ascii="Times New Roman" w:hAnsi="Times New Roman"/>
              </w:rPr>
              <w:t xml:space="preserve">ii. </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601"/>
        </w:trPr>
        <w:tc>
          <w:tcPr>
            <w:tcW w:w="1111" w:type="dxa"/>
            <w:shd w:val="clear" w:color="auto" w:fill="FFFFFF"/>
          </w:tcPr>
          <w:p w:rsidR="00F4754B" w:rsidRPr="00825E5B" w:rsidRDefault="00F4754B" w:rsidP="00F4754B">
            <w:pPr>
              <w:pStyle w:val="BodyText1"/>
              <w:rPr>
                <w:rFonts w:ascii="Times New Roman" w:hAnsi="Times New Roman"/>
                <w:bCs/>
              </w:rPr>
            </w:pPr>
            <w:r w:rsidRPr="00825E5B">
              <w:rPr>
                <w:rFonts w:ascii="Times New Roman" w:hAnsi="Times New Roman"/>
              </w:rPr>
              <w:t>{030;020}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În cadrul schemei oficiale de asigurare a creditelor de export – Active ponderate la risc</w:t>
            </w:r>
          </w:p>
          <w:p w:rsidR="002509B1" w:rsidRPr="00825E5B" w:rsidRDefault="002509B1" w:rsidP="007E2A41">
            <w:pPr>
              <w:pStyle w:val="BodyText1"/>
              <w:spacing w:line="240" w:lineRule="auto"/>
              <w:rPr>
                <w:rFonts w:ascii="Times New Roman" w:hAnsi="Times New Roman"/>
                <w:b/>
                <w:bCs/>
              </w:rPr>
            </w:pPr>
          </w:p>
          <w:p w:rsidR="001F28E7" w:rsidRPr="00825E5B" w:rsidRDefault="00F4754B" w:rsidP="007E2A41">
            <w:pPr>
              <w:pStyle w:val="BodyText1"/>
              <w:spacing w:line="240" w:lineRule="auto"/>
              <w:rPr>
                <w:rFonts w:ascii="Times New Roman" w:hAnsi="Times New Roman"/>
              </w:rPr>
            </w:pPr>
            <w:r w:rsidRPr="00825E5B">
              <w:rPr>
                <w:rFonts w:ascii="Times New Roman" w:hAnsi="Times New Roman"/>
              </w:rPr>
              <w:t>Valoarea ponderată la risc a expunerii elementelor extrabilan</w:t>
            </w:r>
            <w:r w:rsidR="00367C88">
              <w:rPr>
                <w:rFonts w:ascii="Times New Roman" w:hAnsi="Times New Roman"/>
              </w:rPr>
              <w:t>ț</w:t>
            </w:r>
            <w:r w:rsidRPr="00825E5B">
              <w:rPr>
                <w:rFonts w:ascii="Times New Roman" w:hAnsi="Times New Roman"/>
              </w:rPr>
              <w:t xml:space="preserve">iere – fără SFT-uri </w:t>
            </w:r>
            <w:r w:rsidR="00367C88">
              <w:rPr>
                <w:rFonts w:ascii="Times New Roman" w:hAnsi="Times New Roman"/>
              </w:rPr>
              <w:t>ș</w:t>
            </w:r>
            <w:r w:rsidRPr="00825E5B">
              <w:rPr>
                <w:rFonts w:ascii="Times New Roman" w:hAnsi="Times New Roman"/>
              </w:rPr>
              <w:t>i instrumente financiare derivate – legate de finan</w:t>
            </w:r>
            <w:r w:rsidR="00367C88">
              <w:rPr>
                <w:rFonts w:ascii="Times New Roman" w:hAnsi="Times New Roman"/>
              </w:rPr>
              <w:t>ț</w:t>
            </w:r>
            <w:r w:rsidRPr="00825E5B">
              <w:rPr>
                <w:rFonts w:ascii="Times New Roman" w:hAnsi="Times New Roman"/>
              </w:rPr>
              <w:t>area comer</w:t>
            </w:r>
            <w:r w:rsidR="00367C88">
              <w:rPr>
                <w:rFonts w:ascii="Times New Roman" w:hAnsi="Times New Roman"/>
              </w:rPr>
              <w:t>ț</w:t>
            </w:r>
            <w:r w:rsidRPr="00825E5B">
              <w:rPr>
                <w:rFonts w:ascii="Times New Roman" w:hAnsi="Times New Roman"/>
              </w:rPr>
              <w:t>ului în cadrul unei scheme oficiale de asigurare a creditelor de export.</w:t>
            </w:r>
          </w:p>
          <w:p w:rsidR="001F28E7" w:rsidRPr="00825E5B" w:rsidRDefault="001F28E7"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Pentru completarea formularului LR4, schema oficială de asigurare a creditelor de export se referă la sprijinul oficial acordat de guvern sau de o altă entitate, cum ar fi o agen</w:t>
            </w:r>
            <w:r w:rsidR="00367C88">
              <w:rPr>
                <w:rFonts w:ascii="Times New Roman" w:hAnsi="Times New Roman"/>
              </w:rPr>
              <w:t>ț</w:t>
            </w:r>
            <w:r w:rsidRPr="00825E5B">
              <w:rPr>
                <w:rFonts w:ascii="Times New Roman" w:hAnsi="Times New Roman"/>
              </w:rPr>
              <w:t>ie oficială de creditare a exportului, sub formă de, printre altele, credite/finan</w:t>
            </w:r>
            <w:r w:rsidR="00367C88">
              <w:rPr>
                <w:rFonts w:ascii="Times New Roman" w:hAnsi="Times New Roman"/>
              </w:rPr>
              <w:t>ț</w:t>
            </w:r>
            <w:r w:rsidRPr="00825E5B">
              <w:rPr>
                <w:rFonts w:ascii="Times New Roman" w:hAnsi="Times New Roman"/>
              </w:rPr>
              <w:t>ări directe, refinan</w:t>
            </w:r>
            <w:r w:rsidR="00367C88">
              <w:rPr>
                <w:rFonts w:ascii="Times New Roman" w:hAnsi="Times New Roman"/>
              </w:rPr>
              <w:t>ț</w:t>
            </w:r>
            <w:r w:rsidRPr="00825E5B">
              <w:rPr>
                <w:rFonts w:ascii="Times New Roman" w:hAnsi="Times New Roman"/>
              </w:rPr>
              <w:t>ări, subven</w:t>
            </w:r>
            <w:r w:rsidR="00367C88">
              <w:rPr>
                <w:rFonts w:ascii="Times New Roman" w:hAnsi="Times New Roman"/>
              </w:rPr>
              <w:t>ț</w:t>
            </w:r>
            <w:r w:rsidRPr="00825E5B">
              <w:rPr>
                <w:rFonts w:ascii="Times New Roman" w:hAnsi="Times New Roman"/>
              </w:rPr>
              <w:t>ionare a ratei dobânzii (în cazul în care se garantează o rată fixă a dobânzii pe toată durata creditului), finan</w:t>
            </w:r>
            <w:r w:rsidR="00367C88">
              <w:rPr>
                <w:rFonts w:ascii="Times New Roman" w:hAnsi="Times New Roman"/>
              </w:rPr>
              <w:t>ț</w:t>
            </w:r>
            <w:r w:rsidRPr="00825E5B">
              <w:rPr>
                <w:rFonts w:ascii="Times New Roman" w:hAnsi="Times New Roman"/>
              </w:rPr>
              <w:t xml:space="preserve">are a ajutoarelor (credite </w:t>
            </w:r>
            <w:r w:rsidR="00367C88">
              <w:rPr>
                <w:rFonts w:ascii="Times New Roman" w:hAnsi="Times New Roman"/>
              </w:rPr>
              <w:t>ș</w:t>
            </w:r>
            <w:r w:rsidRPr="00825E5B">
              <w:rPr>
                <w:rFonts w:ascii="Times New Roman" w:hAnsi="Times New Roman"/>
              </w:rPr>
              <w:t xml:space="preserve">i granturi), asigurare a creditelor de export </w:t>
            </w:r>
            <w:r w:rsidR="00367C88">
              <w:rPr>
                <w:rFonts w:ascii="Times New Roman" w:hAnsi="Times New Roman"/>
              </w:rPr>
              <w:t>ș</w:t>
            </w:r>
            <w:r w:rsidRPr="00825E5B">
              <w:rPr>
                <w:rFonts w:ascii="Times New Roman" w:hAnsi="Times New Roman"/>
              </w:rPr>
              <w:t>i garan</w:t>
            </w:r>
            <w:r w:rsidR="00367C88">
              <w:rPr>
                <w:rFonts w:ascii="Times New Roman" w:hAnsi="Times New Roman"/>
              </w:rPr>
              <w:t>ț</w:t>
            </w:r>
            <w:r w:rsidRPr="00825E5B">
              <w:rPr>
                <w:rFonts w:ascii="Times New Roman" w:hAnsi="Times New Roman"/>
              </w:rPr>
              <w:t xml:space="preserve">ii. </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{040;010}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 xml:space="preserve">Instrumente financiare derivate </w:t>
            </w:r>
            <w:r w:rsidR="00367C88">
              <w:rPr>
                <w:rFonts w:ascii="Times New Roman" w:hAnsi="Times New Roman"/>
                <w:b/>
              </w:rPr>
              <w:t>ș</w:t>
            </w:r>
            <w:r w:rsidRPr="00825E5B">
              <w:rPr>
                <w:rFonts w:ascii="Times New Roman" w:hAnsi="Times New Roman"/>
                <w:b/>
              </w:rPr>
              <w:t>i SFT-uri care fac obiectul unui acord de compensare între produse diferite – Valoarea expunerii pentru calcularea indicatorului efectului de levier</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al instrumentelor financiare derivate </w:t>
            </w:r>
            <w:r w:rsidR="00367C88">
              <w:rPr>
                <w:rFonts w:ascii="Times New Roman" w:hAnsi="Times New Roman"/>
              </w:rPr>
              <w:t>ș</w:t>
            </w:r>
            <w:r w:rsidRPr="00825E5B">
              <w:rPr>
                <w:rFonts w:ascii="Times New Roman" w:hAnsi="Times New Roman"/>
              </w:rPr>
              <w:t>i al SFT-urilor, în cazul în care acestea fac obiectul unui acord de compensare între produse diferite, astfel cum este definit la articolul 272 punctul 25 din CRR.</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F4754B">
            <w:pPr>
              <w:pStyle w:val="BodyText1"/>
              <w:rPr>
                <w:rFonts w:ascii="Times New Roman" w:hAnsi="Times New Roman"/>
              </w:rPr>
            </w:pPr>
            <w:r w:rsidRPr="00825E5B">
              <w:rPr>
                <w:rFonts w:ascii="Times New Roman" w:hAnsi="Times New Roman"/>
              </w:rPr>
              <w:t>{040;020}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 xml:space="preserve">Instrumente financiare derivate </w:t>
            </w:r>
            <w:r w:rsidR="00367C88">
              <w:rPr>
                <w:rFonts w:ascii="Times New Roman" w:hAnsi="Times New Roman"/>
                <w:b/>
              </w:rPr>
              <w:t>ș</w:t>
            </w:r>
            <w:r w:rsidRPr="00825E5B">
              <w:rPr>
                <w:rFonts w:ascii="Times New Roman" w:hAnsi="Times New Roman"/>
                <w:b/>
              </w:rPr>
              <w:t>i SFT-uri care fac obiectul unui acord de compensare între produse diferite – Active ponderate la risc</w:t>
            </w:r>
          </w:p>
          <w:p w:rsidR="002509B1" w:rsidRPr="00825E5B" w:rsidRDefault="002509B1" w:rsidP="007E2A41">
            <w:pPr>
              <w:pStyle w:val="BodyText1"/>
              <w:spacing w:line="240" w:lineRule="auto"/>
              <w:rPr>
                <w:rFonts w:ascii="Times New Roman" w:hAnsi="Times New Roman"/>
                <w:b/>
                <w:bCs/>
              </w:rPr>
            </w:pPr>
          </w:p>
          <w:p w:rsidR="002509B1" w:rsidRPr="00825E5B" w:rsidRDefault="00F4754B" w:rsidP="007E2A41">
            <w:pPr>
              <w:pStyle w:val="BodyText1"/>
              <w:spacing w:line="240" w:lineRule="auto"/>
              <w:rPr>
                <w:rFonts w:ascii="Times New Roman" w:hAnsi="Times New Roman"/>
                <w:bCs/>
              </w:rPr>
            </w:pPr>
            <w:r w:rsidRPr="00825E5B">
              <w:rPr>
                <w:rFonts w:ascii="Times New Roman" w:hAnsi="Times New Roman"/>
              </w:rPr>
              <w:t>Cuantumurile ponderate la risc ale expunerilor în ceea ce prive</w:t>
            </w:r>
            <w:r w:rsidR="00367C88">
              <w:rPr>
                <w:rFonts w:ascii="Times New Roman" w:hAnsi="Times New Roman"/>
              </w:rPr>
              <w:t>ș</w:t>
            </w:r>
            <w:r w:rsidRPr="00825E5B">
              <w:rPr>
                <w:rFonts w:ascii="Times New Roman" w:hAnsi="Times New Roman"/>
              </w:rPr>
              <w:t xml:space="preserve">te riscul de credit </w:t>
            </w:r>
            <w:r w:rsidR="00367C88">
              <w:rPr>
                <w:rFonts w:ascii="Times New Roman" w:hAnsi="Times New Roman"/>
              </w:rPr>
              <w:t>ș</w:t>
            </w:r>
            <w:r w:rsidRPr="00825E5B">
              <w:rPr>
                <w:rFonts w:ascii="Times New Roman" w:hAnsi="Times New Roman"/>
              </w:rPr>
              <w:t>i riscul de contraparte, astfel cum sunt calculate în temeiul păr</w:t>
            </w:r>
            <w:r w:rsidR="00367C88">
              <w:rPr>
                <w:rFonts w:ascii="Times New Roman" w:hAnsi="Times New Roman"/>
              </w:rPr>
              <w:t>ț</w:t>
            </w:r>
            <w:r w:rsidRPr="00825E5B">
              <w:rPr>
                <w:rFonts w:ascii="Times New Roman" w:hAnsi="Times New Roman"/>
              </w:rPr>
              <w:t xml:space="preserve">ii a treia titlul II din CRR, pentru instrumente financiare derivate </w:t>
            </w:r>
            <w:r w:rsidR="00367C88">
              <w:rPr>
                <w:rFonts w:ascii="Times New Roman" w:hAnsi="Times New Roman"/>
              </w:rPr>
              <w:t>ș</w:t>
            </w:r>
            <w:r w:rsidRPr="00825E5B">
              <w:rPr>
                <w:rFonts w:ascii="Times New Roman" w:hAnsi="Times New Roman"/>
              </w:rPr>
              <w:t>i SFT-uri, inclusiv extrabilan</w:t>
            </w:r>
            <w:r w:rsidR="00367C88">
              <w:rPr>
                <w:rFonts w:ascii="Times New Roman" w:hAnsi="Times New Roman"/>
              </w:rPr>
              <w:t>ț</w:t>
            </w:r>
            <w:r w:rsidRPr="00825E5B">
              <w:rPr>
                <w:rFonts w:ascii="Times New Roman" w:hAnsi="Times New Roman"/>
              </w:rPr>
              <w:t>iere, în cazul în care aceste tranzac</w:t>
            </w:r>
            <w:r w:rsidR="00367C88">
              <w:rPr>
                <w:rFonts w:ascii="Times New Roman" w:hAnsi="Times New Roman"/>
              </w:rPr>
              <w:t>ț</w:t>
            </w:r>
            <w:r w:rsidRPr="00825E5B">
              <w:rPr>
                <w:rFonts w:ascii="Times New Roman" w:hAnsi="Times New Roman"/>
              </w:rPr>
              <w:t>ii fac obiectul unui acord de compensare între produse diferite, astfel cum este definit la articolul 272 punctul 25 din CRR.</w:t>
            </w:r>
          </w:p>
          <w:p w:rsidR="00F4754B" w:rsidRPr="00825E5B" w:rsidRDefault="00F4754B"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F4754B">
            <w:pPr>
              <w:pStyle w:val="BodyText1"/>
              <w:rPr>
                <w:rFonts w:ascii="Times New Roman" w:hAnsi="Times New Roman"/>
              </w:rPr>
            </w:pPr>
            <w:r w:rsidRPr="00825E5B">
              <w:rPr>
                <w:rFonts w:ascii="Times New Roman" w:hAnsi="Times New Roman"/>
              </w:rPr>
              <w:t>{050;010}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Instrumente financiare derivate care nu fac obiectul unui acord de compensare între produse diferite – Valoarea expunerii pentru calcularea indicatorului efectului de levier</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al instrumentelor financiare derivate, în cazul în care acestea </w:t>
            </w:r>
            <w:r w:rsidRPr="00825E5B">
              <w:rPr>
                <w:rFonts w:ascii="Times New Roman" w:hAnsi="Times New Roman"/>
                <w:b/>
                <w:u w:val="single"/>
              </w:rPr>
              <w:t>nu</w:t>
            </w:r>
            <w:r w:rsidRPr="00825E5B">
              <w:rPr>
                <w:rFonts w:ascii="Times New Roman" w:hAnsi="Times New Roman"/>
              </w:rPr>
              <w:t xml:space="preserve"> fac obiectul unui acord de compensare între produse diferite, astfel cum este definit la articolul 272 punctul 25 din CRR.</w:t>
            </w:r>
          </w:p>
          <w:p w:rsidR="002509B1" w:rsidRPr="00825E5B" w:rsidRDefault="002509B1" w:rsidP="007E2A41">
            <w:pPr>
              <w:pStyle w:val="BodyText1"/>
              <w:spacing w:line="240" w:lineRule="auto"/>
              <w:rPr>
                <w:rFonts w:ascii="Times New Roman" w:hAnsi="Times New Roman"/>
                <w:b/>
                <w:bCs/>
              </w:rPr>
            </w:pPr>
          </w:p>
        </w:tc>
      </w:tr>
      <w:tr w:rsidR="00F4754B" w:rsidRPr="00825E5B" w:rsidTr="0053335C">
        <w:trPr>
          <w:trHeight w:val="71"/>
        </w:trPr>
        <w:tc>
          <w:tcPr>
            <w:tcW w:w="1111" w:type="dxa"/>
            <w:shd w:val="clear" w:color="auto" w:fill="FFFFFF"/>
          </w:tcPr>
          <w:p w:rsidR="00F4754B" w:rsidRPr="00825E5B" w:rsidRDefault="00F4754B" w:rsidP="00F4754B">
            <w:pPr>
              <w:pStyle w:val="BodyText1"/>
              <w:rPr>
                <w:rFonts w:ascii="Times New Roman" w:hAnsi="Times New Roman"/>
              </w:rPr>
            </w:pPr>
            <w:r w:rsidRPr="00825E5B">
              <w:rPr>
                <w:rFonts w:ascii="Times New Roman" w:hAnsi="Times New Roman"/>
              </w:rPr>
              <w:t>{050;020}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Instrumente financiare derivate care nu fac obiectul unui acord de compensare între produse diferite – Active ponderate la risc</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Cuantumurile ponderate la risc ale expunerilor în ceea ce prive</w:t>
            </w:r>
            <w:r w:rsidR="00367C88">
              <w:rPr>
                <w:rFonts w:ascii="Times New Roman" w:hAnsi="Times New Roman"/>
              </w:rPr>
              <w:t>ș</w:t>
            </w:r>
            <w:r w:rsidRPr="00825E5B">
              <w:rPr>
                <w:rFonts w:ascii="Times New Roman" w:hAnsi="Times New Roman"/>
              </w:rPr>
              <w:t xml:space="preserve">te riscul de credit </w:t>
            </w:r>
            <w:r w:rsidR="00367C88">
              <w:rPr>
                <w:rFonts w:ascii="Times New Roman" w:hAnsi="Times New Roman"/>
              </w:rPr>
              <w:t>ș</w:t>
            </w:r>
            <w:r w:rsidRPr="00825E5B">
              <w:rPr>
                <w:rFonts w:ascii="Times New Roman" w:hAnsi="Times New Roman"/>
              </w:rPr>
              <w:t xml:space="preserve">i riscul de </w:t>
            </w:r>
            <w:r w:rsidRPr="00825E5B">
              <w:rPr>
                <w:rFonts w:ascii="Times New Roman" w:hAnsi="Times New Roman"/>
              </w:rPr>
              <w:lastRenderedPageBreak/>
              <w:t>contraparte pentru instrumente financiare derivate, astfel cum sunt calculate în temeiul păr</w:t>
            </w:r>
            <w:r w:rsidR="00367C88">
              <w:rPr>
                <w:rFonts w:ascii="Times New Roman" w:hAnsi="Times New Roman"/>
              </w:rPr>
              <w:t>ț</w:t>
            </w:r>
            <w:r w:rsidRPr="00825E5B">
              <w:rPr>
                <w:rFonts w:ascii="Times New Roman" w:hAnsi="Times New Roman"/>
              </w:rPr>
              <w:t>ii a treia titlul II din CRR, inclusiv extrabilan</w:t>
            </w:r>
            <w:r w:rsidR="00367C88">
              <w:rPr>
                <w:rFonts w:ascii="Times New Roman" w:hAnsi="Times New Roman"/>
              </w:rPr>
              <w:t>ț</w:t>
            </w:r>
            <w:r w:rsidRPr="00825E5B">
              <w:rPr>
                <w:rFonts w:ascii="Times New Roman" w:hAnsi="Times New Roman"/>
              </w:rPr>
              <w:t>iere, în cazul în care aceste tranzac</w:t>
            </w:r>
            <w:r w:rsidR="00367C88">
              <w:rPr>
                <w:rFonts w:ascii="Times New Roman" w:hAnsi="Times New Roman"/>
              </w:rPr>
              <w:t>ț</w:t>
            </w:r>
            <w:r w:rsidRPr="00825E5B">
              <w:rPr>
                <w:rFonts w:ascii="Times New Roman" w:hAnsi="Times New Roman"/>
              </w:rPr>
              <w:t xml:space="preserve">ii nu fac obiectul unui acord de compensare între produse diferite, astfel cum este definit la articolul 272 punctul 25 din CRR. </w:t>
            </w:r>
          </w:p>
          <w:p w:rsidR="002509B1" w:rsidRPr="00825E5B" w:rsidRDefault="002509B1" w:rsidP="007E2A41">
            <w:pPr>
              <w:pStyle w:val="BodyText1"/>
              <w:spacing w:line="240" w:lineRule="auto"/>
              <w:rPr>
                <w:rFonts w:ascii="Times New Roman" w:hAnsi="Times New Roman"/>
                <w:b/>
                <w:bCs/>
              </w:rPr>
            </w:pPr>
          </w:p>
        </w:tc>
      </w:tr>
      <w:tr w:rsidR="00F4754B" w:rsidRPr="00825E5B" w:rsidTr="0053335C">
        <w:trPr>
          <w:trHeight w:val="71"/>
        </w:trPr>
        <w:tc>
          <w:tcPr>
            <w:tcW w:w="1111" w:type="dxa"/>
            <w:shd w:val="clear" w:color="auto" w:fill="FFFFFF"/>
          </w:tcPr>
          <w:p w:rsidR="00F4754B" w:rsidRPr="00825E5B" w:rsidRDefault="00F4754B" w:rsidP="00F4754B">
            <w:pPr>
              <w:pStyle w:val="BodyText1"/>
              <w:rPr>
                <w:rFonts w:ascii="Times New Roman" w:hAnsi="Times New Roman"/>
              </w:rPr>
            </w:pPr>
            <w:r w:rsidRPr="00825E5B">
              <w:rPr>
                <w:rFonts w:ascii="Times New Roman" w:hAnsi="Times New Roman"/>
              </w:rPr>
              <w:lastRenderedPageBreak/>
              <w:t>{060;010}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SFT-uri care nu fac obiectul unui acord de compensare între produse diferite – Valoarea expunerii pentru calcularea indicatorului efectului de levier</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al expunerilor aferente SFT-urilor, în cazul în care acestea </w:t>
            </w:r>
            <w:r w:rsidRPr="00825E5B">
              <w:rPr>
                <w:rFonts w:ascii="Times New Roman" w:hAnsi="Times New Roman"/>
                <w:b/>
                <w:u w:val="single"/>
              </w:rPr>
              <w:t>nu</w:t>
            </w:r>
            <w:r w:rsidRPr="00825E5B">
              <w:rPr>
                <w:rFonts w:ascii="Times New Roman" w:hAnsi="Times New Roman"/>
              </w:rPr>
              <w:t xml:space="preserve"> fac obiectul unui acord de compensare între produse diferite, astfel cum este definit la articolul 272 punctul 25 din CRR.</w:t>
            </w:r>
          </w:p>
          <w:p w:rsidR="002509B1" w:rsidRPr="00825E5B" w:rsidRDefault="002509B1" w:rsidP="007E2A41">
            <w:pPr>
              <w:pStyle w:val="BodyText1"/>
              <w:spacing w:line="240" w:lineRule="auto"/>
              <w:rPr>
                <w:rFonts w:ascii="Times New Roman" w:hAnsi="Times New Roman"/>
                <w:b/>
                <w:bCs/>
              </w:rPr>
            </w:pPr>
          </w:p>
        </w:tc>
      </w:tr>
      <w:tr w:rsidR="00F4754B" w:rsidRPr="00825E5B" w:rsidTr="0053335C">
        <w:trPr>
          <w:trHeight w:val="71"/>
        </w:trPr>
        <w:tc>
          <w:tcPr>
            <w:tcW w:w="1111" w:type="dxa"/>
            <w:shd w:val="clear" w:color="auto" w:fill="FFFFFF"/>
          </w:tcPr>
          <w:p w:rsidR="00F4754B" w:rsidRPr="00825E5B" w:rsidRDefault="00F4754B" w:rsidP="00F4754B">
            <w:pPr>
              <w:pStyle w:val="BodyText1"/>
              <w:rPr>
                <w:rFonts w:ascii="Times New Roman" w:hAnsi="Times New Roman"/>
              </w:rPr>
            </w:pPr>
            <w:r w:rsidRPr="00825E5B">
              <w:rPr>
                <w:rFonts w:ascii="Times New Roman" w:hAnsi="Times New Roman"/>
              </w:rPr>
              <w:t>{060;020}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SFT-uri care nu fac obiectul unui acord de compensare între produse diferite – Active ponderate la risc</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Cuantumurile ponderate la risc ale expunerilor în ceea ce prive</w:t>
            </w:r>
            <w:r w:rsidR="00367C88">
              <w:rPr>
                <w:rFonts w:ascii="Times New Roman" w:hAnsi="Times New Roman"/>
              </w:rPr>
              <w:t>ș</w:t>
            </w:r>
            <w:r w:rsidRPr="00825E5B">
              <w:rPr>
                <w:rFonts w:ascii="Times New Roman" w:hAnsi="Times New Roman"/>
              </w:rPr>
              <w:t xml:space="preserve">te riscul de credit </w:t>
            </w:r>
            <w:r w:rsidR="00367C88">
              <w:rPr>
                <w:rFonts w:ascii="Times New Roman" w:hAnsi="Times New Roman"/>
              </w:rPr>
              <w:t>ș</w:t>
            </w:r>
            <w:r w:rsidRPr="00825E5B">
              <w:rPr>
                <w:rFonts w:ascii="Times New Roman" w:hAnsi="Times New Roman"/>
              </w:rPr>
              <w:t>i riscul de contraparte pentru SFT-uri, astfel cum sunt calculate în temeiul păr</w:t>
            </w:r>
            <w:r w:rsidR="00367C88">
              <w:rPr>
                <w:rFonts w:ascii="Times New Roman" w:hAnsi="Times New Roman"/>
              </w:rPr>
              <w:t>ț</w:t>
            </w:r>
            <w:r w:rsidRPr="00825E5B">
              <w:rPr>
                <w:rFonts w:ascii="Times New Roman" w:hAnsi="Times New Roman"/>
              </w:rPr>
              <w:t>ii a treia titlul II din CRR, inclusiv extrabilan</w:t>
            </w:r>
            <w:r w:rsidR="00367C88">
              <w:rPr>
                <w:rFonts w:ascii="Times New Roman" w:hAnsi="Times New Roman"/>
              </w:rPr>
              <w:t>ț</w:t>
            </w:r>
            <w:r w:rsidRPr="00825E5B">
              <w:rPr>
                <w:rFonts w:ascii="Times New Roman" w:hAnsi="Times New Roman"/>
              </w:rPr>
              <w:t>iere, în cazul în care aceste opera</w:t>
            </w:r>
            <w:r w:rsidR="00367C88">
              <w:rPr>
                <w:rFonts w:ascii="Times New Roman" w:hAnsi="Times New Roman"/>
              </w:rPr>
              <w:t>ț</w:t>
            </w:r>
            <w:r w:rsidRPr="00825E5B">
              <w:rPr>
                <w:rFonts w:ascii="Times New Roman" w:hAnsi="Times New Roman"/>
              </w:rPr>
              <w:t xml:space="preserve">iuni </w:t>
            </w:r>
            <w:r w:rsidRPr="00825E5B">
              <w:rPr>
                <w:rFonts w:ascii="Times New Roman" w:hAnsi="Times New Roman"/>
                <w:b/>
                <w:u w:val="single"/>
              </w:rPr>
              <w:t>nu</w:t>
            </w:r>
            <w:r w:rsidRPr="00825E5B">
              <w:rPr>
                <w:rFonts w:ascii="Times New Roman" w:hAnsi="Times New Roman"/>
              </w:rPr>
              <w:t xml:space="preserve"> fac obiectul unui acord de compensare între produse diferite, astfel cum este definit la articolul 272 punctul 25 din CRR. </w:t>
            </w:r>
          </w:p>
          <w:p w:rsidR="002509B1" w:rsidRPr="00825E5B" w:rsidRDefault="002509B1" w:rsidP="007E2A41">
            <w:pPr>
              <w:pStyle w:val="BodyText1"/>
              <w:spacing w:line="240" w:lineRule="auto"/>
              <w:rPr>
                <w:rFonts w:ascii="Times New Roman" w:hAnsi="Times New Roman"/>
                <w:b/>
                <w:bCs/>
              </w:rPr>
            </w:pPr>
          </w:p>
        </w:tc>
      </w:tr>
      <w:tr w:rsidR="00465521" w:rsidRPr="00825E5B" w:rsidTr="0053335C">
        <w:trPr>
          <w:trHeight w:val="71"/>
        </w:trPr>
        <w:tc>
          <w:tcPr>
            <w:tcW w:w="1111" w:type="dxa"/>
            <w:shd w:val="clear" w:color="auto" w:fill="FFFFFF"/>
          </w:tcPr>
          <w:p w:rsidR="00465521" w:rsidRPr="00825E5B" w:rsidRDefault="00465521" w:rsidP="00F70A83">
            <w:pPr>
              <w:pStyle w:val="BodyText1"/>
              <w:rPr>
                <w:rFonts w:ascii="Times New Roman" w:hAnsi="Times New Roman"/>
                <w:bCs/>
              </w:rPr>
            </w:pPr>
            <w:r w:rsidRPr="00825E5B">
              <w:rPr>
                <w:rFonts w:ascii="Times New Roman" w:hAnsi="Times New Roman"/>
              </w:rPr>
              <w:t>{065;010}</w:t>
            </w:r>
          </w:p>
        </w:tc>
        <w:tc>
          <w:tcPr>
            <w:tcW w:w="8133" w:type="dxa"/>
            <w:shd w:val="clear" w:color="auto" w:fill="FFFFFF"/>
          </w:tcPr>
          <w:p w:rsidR="00465521" w:rsidRPr="00825E5B" w:rsidRDefault="004968DF" w:rsidP="007E2A41">
            <w:pPr>
              <w:pStyle w:val="BodyText1"/>
              <w:spacing w:line="240" w:lineRule="auto"/>
              <w:rPr>
                <w:rFonts w:ascii="Times New Roman" w:hAnsi="Times New Roman"/>
                <w:b/>
                <w:bCs/>
              </w:rPr>
            </w:pPr>
            <w:r w:rsidRPr="00825E5B">
              <w:rPr>
                <w:rFonts w:ascii="Times New Roman" w:hAnsi="Times New Roman"/>
                <w:b/>
              </w:rPr>
              <w:t>Cuantumurile expunerilor rezultate din tratamentul suplimentar al instrumentele financiare derivate de credit – Valoarea expunerii pentru calcularea indicatorului efectului de levier</w:t>
            </w:r>
          </w:p>
          <w:p w:rsidR="004968DF" w:rsidRPr="00825E5B" w:rsidRDefault="004968DF" w:rsidP="007E2A41">
            <w:pPr>
              <w:pStyle w:val="BodyText1"/>
              <w:spacing w:line="240" w:lineRule="auto"/>
              <w:rPr>
                <w:rFonts w:ascii="Times New Roman" w:hAnsi="Times New Roman"/>
                <w:b/>
                <w:bCs/>
              </w:rPr>
            </w:pPr>
          </w:p>
          <w:p w:rsidR="004968DF" w:rsidRPr="00825E5B" w:rsidRDefault="000D3973" w:rsidP="00DB61A5">
            <w:pPr>
              <w:pStyle w:val="BodyText1"/>
              <w:spacing w:line="240" w:lineRule="auto"/>
              <w:rPr>
                <w:rFonts w:ascii="Times New Roman" w:hAnsi="Times New Roman"/>
                <w:b/>
                <w:bCs/>
              </w:rPr>
            </w:pPr>
            <w:r w:rsidRPr="00825E5B">
              <w:rPr>
                <w:rFonts w:ascii="Times New Roman" w:hAnsi="Times New Roman"/>
              </w:rPr>
              <w:t>Această celulă corespunde diferen</w:t>
            </w:r>
            <w:r w:rsidR="00367C88">
              <w:rPr>
                <w:rFonts w:ascii="Times New Roman" w:hAnsi="Times New Roman"/>
              </w:rPr>
              <w:t>ț</w:t>
            </w:r>
            <w:r w:rsidRPr="00825E5B">
              <w:rPr>
                <w:rFonts w:ascii="Times New Roman" w:hAnsi="Times New Roman"/>
              </w:rPr>
              <w:t xml:space="preserve">ei dintre {LRCalc;130;010} </w:t>
            </w:r>
            <w:r w:rsidR="00367C88">
              <w:rPr>
                <w:rFonts w:ascii="Times New Roman" w:hAnsi="Times New Roman"/>
              </w:rPr>
              <w:t>ș</w:t>
            </w:r>
            <w:r w:rsidRPr="00825E5B">
              <w:rPr>
                <w:rFonts w:ascii="Times New Roman" w:hAnsi="Times New Roman"/>
              </w:rPr>
              <w:t>i {LRCalc;140;010}, mai pu</w:t>
            </w:r>
            <w:r w:rsidR="00367C88">
              <w:rPr>
                <w:rFonts w:ascii="Times New Roman" w:hAnsi="Times New Roman"/>
              </w:rPr>
              <w:t>ț</w:t>
            </w:r>
            <w:r w:rsidRPr="00825E5B">
              <w:rPr>
                <w:rFonts w:ascii="Times New Roman" w:hAnsi="Times New Roman"/>
              </w:rPr>
              <w:t>in expunerile intragrup respective (pe bază individuală) excluse în conformitate cu articolul 429 alineatul (7) din CRR.</w:t>
            </w:r>
            <w:r w:rsidRPr="00825E5B">
              <w:rPr>
                <w:rFonts w:ascii="Times New Roman" w:hAnsi="Times New Roman"/>
                <w:b/>
              </w:rPr>
              <w:t xml:space="preserve"> </w:t>
            </w:r>
          </w:p>
          <w:p w:rsidR="00EC2C14" w:rsidRPr="00825E5B" w:rsidRDefault="00EC2C14" w:rsidP="00DB61A5">
            <w:pPr>
              <w:pStyle w:val="BodyText1"/>
              <w:spacing w:line="240" w:lineRule="auto"/>
              <w:rPr>
                <w:rFonts w:ascii="Times New Roman" w:hAnsi="Times New Roman"/>
                <w:b/>
                <w:bCs/>
              </w:rPr>
            </w:pPr>
          </w:p>
        </w:tc>
      </w:tr>
      <w:tr w:rsidR="00F4754B" w:rsidRPr="00825E5B" w:rsidTr="0053335C">
        <w:trPr>
          <w:trHeight w:val="71"/>
        </w:trPr>
        <w:tc>
          <w:tcPr>
            <w:tcW w:w="1111" w:type="dxa"/>
            <w:shd w:val="clear" w:color="auto" w:fill="FFFFFF"/>
          </w:tcPr>
          <w:p w:rsidR="00F4754B" w:rsidRPr="00825E5B" w:rsidRDefault="00F4754B" w:rsidP="00F70A83">
            <w:pPr>
              <w:pStyle w:val="BodyText1"/>
              <w:rPr>
                <w:rFonts w:ascii="Times New Roman" w:hAnsi="Times New Roman"/>
              </w:rPr>
            </w:pPr>
            <w:r w:rsidRPr="00825E5B">
              <w:rPr>
                <w:rFonts w:ascii="Times New Roman" w:hAnsi="Times New Roman"/>
              </w:rPr>
              <w:t>{070;010}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Alte active din portofoliul de tranzac</w:t>
            </w:r>
            <w:r w:rsidR="00367C88">
              <w:rPr>
                <w:rFonts w:ascii="Times New Roman" w:hAnsi="Times New Roman"/>
                <w:b/>
              </w:rPr>
              <w:t>ț</w:t>
            </w:r>
            <w:r w:rsidRPr="00825E5B">
              <w:rPr>
                <w:rFonts w:ascii="Times New Roman" w:hAnsi="Times New Roman"/>
                <w:b/>
              </w:rPr>
              <w:t>ionare – Valoarea expunerii pentru calcularea indicatorului efectului de levier</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elementelor raportate în {LRCalc;190;010}, fără elementele din afara portofoliului de tranzac</w:t>
            </w:r>
            <w:r w:rsidR="00367C88">
              <w:rPr>
                <w:rFonts w:ascii="Times New Roman" w:hAnsi="Times New Roman"/>
              </w:rPr>
              <w:t>ț</w:t>
            </w:r>
            <w:r w:rsidRPr="00825E5B">
              <w:rPr>
                <w:rFonts w:ascii="Times New Roman" w:hAnsi="Times New Roman"/>
              </w:rPr>
              <w:t>ionare.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465521">
            <w:pPr>
              <w:pStyle w:val="BodyText1"/>
              <w:rPr>
                <w:rFonts w:ascii="Times New Roman" w:hAnsi="Times New Roman"/>
                <w:bCs/>
              </w:rPr>
            </w:pPr>
            <w:r w:rsidRPr="00825E5B">
              <w:rPr>
                <w:rFonts w:ascii="Times New Roman" w:hAnsi="Times New Roman"/>
              </w:rPr>
              <w:t>{070;020}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Alte active din portofoliul de tranzac</w:t>
            </w:r>
            <w:r w:rsidR="00367C88">
              <w:rPr>
                <w:rFonts w:ascii="Times New Roman" w:hAnsi="Times New Roman"/>
                <w:b/>
              </w:rPr>
              <w:t>ț</w:t>
            </w:r>
            <w:r w:rsidRPr="00825E5B">
              <w:rPr>
                <w:rFonts w:ascii="Times New Roman" w:hAnsi="Times New Roman"/>
                <w:b/>
              </w:rPr>
              <w:t>ionare – Active ponderate la risc</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Cerin</w:t>
            </w:r>
            <w:r w:rsidR="00367C88">
              <w:rPr>
                <w:rFonts w:ascii="Times New Roman" w:hAnsi="Times New Roman"/>
              </w:rPr>
              <w:t>ț</w:t>
            </w:r>
            <w:r w:rsidRPr="00825E5B">
              <w:rPr>
                <w:rFonts w:ascii="Times New Roman" w:hAnsi="Times New Roman"/>
              </w:rPr>
              <w:t>ele de fonduri proprii înmul</w:t>
            </w:r>
            <w:r w:rsidR="00367C88">
              <w:rPr>
                <w:rFonts w:ascii="Times New Roman" w:hAnsi="Times New Roman"/>
              </w:rPr>
              <w:t>ț</w:t>
            </w:r>
            <w:r w:rsidRPr="00825E5B">
              <w:rPr>
                <w:rFonts w:ascii="Times New Roman" w:hAnsi="Times New Roman"/>
              </w:rPr>
              <w:t>ite cu 12,5 pentru elementele care intră sub inciden</w:t>
            </w:r>
            <w:r w:rsidR="00367C88">
              <w:rPr>
                <w:rFonts w:ascii="Times New Roman" w:hAnsi="Times New Roman"/>
              </w:rPr>
              <w:t>ț</w:t>
            </w:r>
            <w:r w:rsidRPr="00825E5B">
              <w:rPr>
                <w:rFonts w:ascii="Times New Roman" w:hAnsi="Times New Roman"/>
              </w:rPr>
              <w:t>a păr</w:t>
            </w:r>
            <w:r w:rsidR="00367C88">
              <w:rPr>
                <w:rFonts w:ascii="Times New Roman" w:hAnsi="Times New Roman"/>
              </w:rPr>
              <w:t>ț</w:t>
            </w:r>
            <w:r w:rsidRPr="00825E5B">
              <w:rPr>
                <w:rFonts w:ascii="Times New Roman" w:hAnsi="Times New Roman"/>
              </w:rPr>
              <w:t>ii a treia titlul IV din CRR.</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F4754B">
            <w:pPr>
              <w:pStyle w:val="BodyText1"/>
              <w:rPr>
                <w:rFonts w:ascii="Times New Roman" w:hAnsi="Times New Roman"/>
              </w:rPr>
            </w:pPr>
            <w:r w:rsidRPr="00825E5B">
              <w:rPr>
                <w:rFonts w:ascii="Times New Roman" w:hAnsi="Times New Roman"/>
              </w:rPr>
              <w:t>{080;010}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Obliga</w:t>
            </w:r>
            <w:r w:rsidR="00367C88">
              <w:rPr>
                <w:rFonts w:ascii="Times New Roman" w:hAnsi="Times New Roman"/>
                <w:b/>
              </w:rPr>
              <w:t>ț</w:t>
            </w:r>
            <w:r w:rsidRPr="00825E5B">
              <w:rPr>
                <w:rFonts w:ascii="Times New Roman" w:hAnsi="Times New Roman"/>
                <w:b/>
              </w:rPr>
              <w:t>iuni garantate («covered bonds»)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sub formă de obliga</w:t>
            </w:r>
            <w:r w:rsidR="00367C88">
              <w:rPr>
                <w:rFonts w:ascii="Times New Roman" w:hAnsi="Times New Roman"/>
              </w:rPr>
              <w:t>ț</w:t>
            </w:r>
            <w:r w:rsidRPr="00825E5B">
              <w:rPr>
                <w:rFonts w:ascii="Times New Roman" w:hAnsi="Times New Roman"/>
              </w:rPr>
              <w:t xml:space="preserve">iuni garantate, astfel cum sunt prevăzute la articolul 129 din CRR. </w:t>
            </w:r>
          </w:p>
          <w:p w:rsidR="002509B1" w:rsidRPr="00825E5B" w:rsidRDefault="002509B1"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086A8A" w:rsidRPr="00825E5B" w:rsidRDefault="00086A8A"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{080;020}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Obliga</w:t>
            </w:r>
            <w:r w:rsidR="00367C88">
              <w:rPr>
                <w:rFonts w:ascii="Times New Roman" w:hAnsi="Times New Roman"/>
                <w:b/>
              </w:rPr>
              <w:t>ț</w:t>
            </w:r>
            <w:r w:rsidRPr="00825E5B">
              <w:rPr>
                <w:rFonts w:ascii="Times New Roman" w:hAnsi="Times New Roman"/>
                <w:b/>
              </w:rPr>
              <w:t>iuni garantate («covered bonds»)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9C4E79"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sub formă de obliga</w:t>
            </w:r>
            <w:r w:rsidR="00367C88">
              <w:rPr>
                <w:rFonts w:ascii="Times New Roman" w:hAnsi="Times New Roman"/>
              </w:rPr>
              <w:t>ț</w:t>
            </w:r>
            <w:r w:rsidRPr="00825E5B">
              <w:rPr>
                <w:rFonts w:ascii="Times New Roman" w:hAnsi="Times New Roman"/>
              </w:rPr>
              <w:t xml:space="preserve">iuni garantate, astfel cum sunt prevăzute la articolul 161 alineatul (1) litera (d)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{080;030}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Obliga</w:t>
            </w:r>
            <w:r w:rsidR="00367C88">
              <w:rPr>
                <w:rFonts w:ascii="Times New Roman" w:hAnsi="Times New Roman"/>
                <w:b/>
              </w:rPr>
              <w:t>ț</w:t>
            </w:r>
            <w:r w:rsidRPr="00825E5B">
              <w:rPr>
                <w:rFonts w:ascii="Times New Roman" w:hAnsi="Times New Roman"/>
                <w:b/>
              </w:rPr>
              <w:t>iuni garantate («covered bonds»)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sub formă de obliga</w:t>
            </w:r>
            <w:r w:rsidR="00367C88">
              <w:rPr>
                <w:rFonts w:ascii="Times New Roman" w:hAnsi="Times New Roman"/>
              </w:rPr>
              <w:t>ț</w:t>
            </w:r>
            <w:r w:rsidRPr="00825E5B">
              <w:rPr>
                <w:rFonts w:ascii="Times New Roman" w:hAnsi="Times New Roman"/>
              </w:rPr>
              <w:t xml:space="preserve">iuni garantate, astfel cum sunt prevăzute la articolul 129 din CRR. </w:t>
            </w:r>
          </w:p>
          <w:p w:rsidR="00086A8A" w:rsidRPr="00825E5B" w:rsidRDefault="00086A8A" w:rsidP="007E2A41">
            <w:pPr>
              <w:pStyle w:val="BodyText1"/>
              <w:spacing w:line="240" w:lineRule="auto"/>
              <w:rPr>
                <w:rFonts w:ascii="Times New Roman" w:hAnsi="Times New Roman"/>
                <w:bCs/>
              </w:rPr>
            </w:pPr>
          </w:p>
          <w:p w:rsidR="002509B1" w:rsidRPr="00825E5B" w:rsidRDefault="00086A8A" w:rsidP="007E2A41">
            <w:pPr>
              <w:pStyle w:val="BodyText1"/>
              <w:spacing w:line="240" w:lineRule="auto"/>
              <w:rPr>
                <w:rFonts w:ascii="Times New Roman" w:hAnsi="Times New Roman"/>
                <w:b/>
                <w:bCs/>
                <w:u w:val="single"/>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086A8A" w:rsidRPr="00825E5B" w:rsidRDefault="00086A8A"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lastRenderedPageBreak/>
              <w:t>{080;040}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Obliga</w:t>
            </w:r>
            <w:r w:rsidR="00367C88">
              <w:rPr>
                <w:rFonts w:ascii="Times New Roman" w:hAnsi="Times New Roman"/>
                <w:b/>
              </w:rPr>
              <w:t>ț</w:t>
            </w:r>
            <w:r w:rsidRPr="00825E5B">
              <w:rPr>
                <w:rFonts w:ascii="Times New Roman" w:hAnsi="Times New Roman"/>
                <w:b/>
              </w:rPr>
              <w:t>iuni garantate («covered bonds»)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sub formă de obliga</w:t>
            </w:r>
            <w:r w:rsidR="00367C88">
              <w:rPr>
                <w:rFonts w:ascii="Times New Roman" w:hAnsi="Times New Roman"/>
              </w:rPr>
              <w:t>ț</w:t>
            </w:r>
            <w:r w:rsidRPr="00825E5B">
              <w:rPr>
                <w:rFonts w:ascii="Times New Roman" w:hAnsi="Times New Roman"/>
              </w:rPr>
              <w:t xml:space="preserve">iuni garantate, astfel cum sunt prevăzute la articolul 161 alineatul (1) litera (d) din CRR. </w:t>
            </w:r>
          </w:p>
          <w:p w:rsidR="002509B1" w:rsidRPr="00825E5B" w:rsidRDefault="002509B1"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{090,010}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tratate ca suverane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Suma celulelor de la {100,010} până la {130,010}.</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{090;020}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tratate ca suverane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Suma celulelor de la {100,020} până la {130,020}.</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{090;030}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tratate ca suverane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Suma celulelor de la {100,030} până la {130,030}.</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{090;040}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tratate ca suverane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Suma celulelor de la {100,040} până la {130,040}.</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{100;010}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centrale </w:t>
            </w:r>
            <w:r w:rsidR="00367C88">
              <w:rPr>
                <w:rFonts w:ascii="Times New Roman" w:hAnsi="Times New Roman"/>
                <w:b/>
              </w:rPr>
              <w:t>ș</w:t>
            </w:r>
            <w:r w:rsidRPr="00825E5B">
              <w:rPr>
                <w:rFonts w:ascii="Times New Roman" w:hAnsi="Times New Roman"/>
                <w:b/>
              </w:rPr>
              <w:t>i bănci centrale</w:t>
            </w:r>
            <w:r w:rsidRPr="00825E5B">
              <w:t xml:space="preserve"> </w:t>
            </w:r>
            <w:r w:rsidRPr="00825E5B">
              <w:rPr>
                <w:rFonts w:ascii="Times New Roman" w:hAnsi="Times New Roman"/>
                <w:b/>
              </w:rPr>
              <w:t>–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centrale sau bănci centrale, astfel cum sunt prevăzute la articolul 114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{100;020}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centrale </w:t>
            </w:r>
            <w:r w:rsidR="00367C88">
              <w:rPr>
                <w:rFonts w:ascii="Times New Roman" w:hAnsi="Times New Roman"/>
                <w:b/>
              </w:rPr>
              <w:t>ș</w:t>
            </w:r>
            <w:r w:rsidRPr="00825E5B">
              <w:rPr>
                <w:rFonts w:ascii="Times New Roman" w:hAnsi="Times New Roman"/>
                <w:b/>
              </w:rPr>
              <w:t>i bănci centrale</w:t>
            </w:r>
            <w:r w:rsidRPr="00825E5B">
              <w:t xml:space="preserve"> </w:t>
            </w:r>
            <w:r w:rsidRPr="00825E5B">
              <w:rPr>
                <w:rFonts w:ascii="Times New Roman" w:hAnsi="Times New Roman"/>
                <w:b/>
              </w:rPr>
              <w:t>–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centrale sau bănci centrale, astfel cum sunt prevăzute la articolul 147 alineatul (2) litera (a)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lastRenderedPageBreak/>
              <w:t>{100;030}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centrale </w:t>
            </w:r>
            <w:r w:rsidR="00367C88">
              <w:rPr>
                <w:rFonts w:ascii="Times New Roman" w:hAnsi="Times New Roman"/>
                <w:b/>
              </w:rPr>
              <w:t>ș</w:t>
            </w:r>
            <w:r w:rsidRPr="00825E5B">
              <w:rPr>
                <w:rFonts w:ascii="Times New Roman" w:hAnsi="Times New Roman"/>
                <w:b/>
              </w:rPr>
              <w:t>i bănci centrale</w:t>
            </w:r>
            <w:r w:rsidRPr="00825E5B">
              <w:t xml:space="preserve"> </w:t>
            </w:r>
            <w:r w:rsidRPr="00825E5B">
              <w:rPr>
                <w:rFonts w:ascii="Times New Roman" w:hAnsi="Times New Roman"/>
                <w:b/>
              </w:rPr>
              <w:t>– Active ponderate la risc – Expuneri în cadrul abordării standardizate</w:t>
            </w:r>
          </w:p>
          <w:p w:rsidR="002509B1" w:rsidRPr="00825E5B" w:rsidRDefault="002509B1"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centrale sau bănci centrale, astfel cum sunt prevăzute la articolul 114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{100;040}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centrale </w:t>
            </w:r>
            <w:r w:rsidR="00367C88">
              <w:rPr>
                <w:rFonts w:ascii="Times New Roman" w:hAnsi="Times New Roman"/>
                <w:b/>
              </w:rPr>
              <w:t>ș</w:t>
            </w:r>
            <w:r w:rsidRPr="00825E5B">
              <w:rPr>
                <w:rFonts w:ascii="Times New Roman" w:hAnsi="Times New Roman"/>
                <w:b/>
              </w:rPr>
              <w:t>i bănci centrale</w:t>
            </w:r>
            <w:r w:rsidRPr="00825E5B">
              <w:t xml:space="preserve"> </w:t>
            </w:r>
            <w:r w:rsidRPr="00825E5B">
              <w:rPr>
                <w:rFonts w:ascii="Times New Roman" w:hAnsi="Times New Roman"/>
                <w:b/>
              </w:rPr>
              <w:t>–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centrale sau bănci centrale, astfel cum sunt prevăzute la articolul 147 alineatul (2) litera (a)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{110;010}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regionale </w:t>
            </w:r>
            <w:r w:rsidR="00367C88">
              <w:rPr>
                <w:rFonts w:ascii="Times New Roman" w:hAnsi="Times New Roman"/>
                <w:b/>
              </w:rPr>
              <w:t>ș</w:t>
            </w:r>
            <w:r w:rsidRPr="00825E5B">
              <w:rPr>
                <w:rFonts w:ascii="Times New Roman" w:hAnsi="Times New Roman"/>
                <w:b/>
              </w:rPr>
              <w:t>i autorită</w:t>
            </w:r>
            <w:r w:rsidR="00367C88">
              <w:rPr>
                <w:rFonts w:ascii="Times New Roman" w:hAnsi="Times New Roman"/>
                <w:b/>
              </w:rPr>
              <w:t>ț</w:t>
            </w:r>
            <w:r w:rsidRPr="00825E5B">
              <w:rPr>
                <w:rFonts w:ascii="Times New Roman" w:hAnsi="Times New Roman"/>
                <w:b/>
              </w:rPr>
              <w:t>i locale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regionale </w:t>
            </w:r>
            <w:r w:rsidR="00367C88">
              <w:rPr>
                <w:rFonts w:ascii="Times New Roman" w:hAnsi="Times New Roman"/>
              </w:rPr>
              <w:t>ș</w:t>
            </w:r>
            <w:r w:rsidRPr="00825E5B">
              <w:rPr>
                <w:rFonts w:ascii="Times New Roman" w:hAnsi="Times New Roman"/>
              </w:rPr>
              <w:t>i autorită</w:t>
            </w:r>
            <w:r w:rsidR="00367C88">
              <w:rPr>
                <w:rFonts w:ascii="Times New Roman" w:hAnsi="Times New Roman"/>
              </w:rPr>
              <w:t>ț</w:t>
            </w:r>
            <w:r w:rsidRPr="00825E5B">
              <w:rPr>
                <w:rFonts w:ascii="Times New Roman" w:hAnsi="Times New Roman"/>
              </w:rPr>
              <w:t>i locale tratate ca entită</w:t>
            </w:r>
            <w:r w:rsidR="00367C88">
              <w:rPr>
                <w:rFonts w:ascii="Times New Roman" w:hAnsi="Times New Roman"/>
              </w:rPr>
              <w:t>ț</w:t>
            </w:r>
            <w:r w:rsidRPr="00825E5B">
              <w:rPr>
                <w:rFonts w:ascii="Times New Roman" w:hAnsi="Times New Roman"/>
              </w:rPr>
              <w:t xml:space="preserve">i suverane, astfel cum sunt prevăzute la articolul 115 alineatele (2) </w:t>
            </w:r>
            <w:r w:rsidR="00367C88">
              <w:rPr>
                <w:rFonts w:ascii="Times New Roman" w:hAnsi="Times New Roman"/>
              </w:rPr>
              <w:t>ș</w:t>
            </w:r>
            <w:r w:rsidRPr="00825E5B">
              <w:rPr>
                <w:rFonts w:ascii="Times New Roman" w:hAnsi="Times New Roman"/>
              </w:rPr>
              <w:t xml:space="preserve">i (4)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{110;020}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regionale </w:t>
            </w:r>
            <w:r w:rsidR="00367C88">
              <w:rPr>
                <w:rFonts w:ascii="Times New Roman" w:hAnsi="Times New Roman"/>
                <w:b/>
              </w:rPr>
              <w:t>ș</w:t>
            </w:r>
            <w:r w:rsidRPr="00825E5B">
              <w:rPr>
                <w:rFonts w:ascii="Times New Roman" w:hAnsi="Times New Roman"/>
                <w:b/>
              </w:rPr>
              <w:t>i autorită</w:t>
            </w:r>
            <w:r w:rsidR="00367C88">
              <w:rPr>
                <w:rFonts w:ascii="Times New Roman" w:hAnsi="Times New Roman"/>
                <w:b/>
              </w:rPr>
              <w:t>ț</w:t>
            </w:r>
            <w:r w:rsidRPr="00825E5B">
              <w:rPr>
                <w:rFonts w:ascii="Times New Roman" w:hAnsi="Times New Roman"/>
                <w:b/>
              </w:rPr>
              <w:t>i locale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regionale </w:t>
            </w:r>
            <w:r w:rsidR="00367C88">
              <w:rPr>
                <w:rFonts w:ascii="Times New Roman" w:hAnsi="Times New Roman"/>
              </w:rPr>
              <w:t>ș</w:t>
            </w:r>
            <w:r w:rsidRPr="00825E5B">
              <w:rPr>
                <w:rFonts w:ascii="Times New Roman" w:hAnsi="Times New Roman"/>
              </w:rPr>
              <w:t>i autorită</w:t>
            </w:r>
            <w:r w:rsidR="00367C88">
              <w:rPr>
                <w:rFonts w:ascii="Times New Roman" w:hAnsi="Times New Roman"/>
              </w:rPr>
              <w:t>ț</w:t>
            </w:r>
            <w:r w:rsidRPr="00825E5B">
              <w:rPr>
                <w:rFonts w:ascii="Times New Roman" w:hAnsi="Times New Roman"/>
              </w:rPr>
              <w:t>i locale, astfel cum sunt prevăzute la articolul</w:t>
            </w:r>
            <w:r w:rsidR="00367C88">
              <w:rPr>
                <w:rFonts w:ascii="Times New Roman" w:hAnsi="Times New Roman"/>
              </w:rPr>
              <w:t> </w:t>
            </w:r>
            <w:r w:rsidRPr="00825E5B">
              <w:rPr>
                <w:rFonts w:ascii="Times New Roman" w:hAnsi="Times New Roman"/>
              </w:rPr>
              <w:t xml:space="preserve">147 alineatul (3) litera (a) din CRR. </w:t>
            </w:r>
          </w:p>
          <w:p w:rsidR="002509B1" w:rsidRPr="00825E5B" w:rsidRDefault="002509B1" w:rsidP="007E2A41">
            <w:pPr>
              <w:pStyle w:val="BodyText1"/>
              <w:spacing w:line="240" w:lineRule="auto"/>
              <w:rPr>
                <w:rFonts w:ascii="Times New Roman" w:hAnsi="Times New Roman"/>
                <w:b/>
                <w:bCs/>
                <w:u w:val="single"/>
              </w:rPr>
            </w:pPr>
          </w:p>
          <w:p w:rsidR="009C4E79" w:rsidRPr="00825E5B" w:rsidRDefault="009C4E79" w:rsidP="007E2A41">
            <w:pPr>
              <w:pStyle w:val="BodyText1"/>
              <w:spacing w:line="240" w:lineRule="auto"/>
              <w:rPr>
                <w:rFonts w:ascii="Times New Roman" w:hAnsi="Times New Roman"/>
                <w:b/>
                <w:bCs/>
                <w:u w:val="single"/>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{110;030}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regionale </w:t>
            </w:r>
            <w:r w:rsidR="00367C88">
              <w:rPr>
                <w:rFonts w:ascii="Times New Roman" w:hAnsi="Times New Roman"/>
                <w:b/>
              </w:rPr>
              <w:t>ș</w:t>
            </w:r>
            <w:r w:rsidRPr="00825E5B">
              <w:rPr>
                <w:rFonts w:ascii="Times New Roman" w:hAnsi="Times New Roman"/>
                <w:b/>
              </w:rPr>
              <w:t>i autorită</w:t>
            </w:r>
            <w:r w:rsidR="00367C88">
              <w:rPr>
                <w:rFonts w:ascii="Times New Roman" w:hAnsi="Times New Roman"/>
                <w:b/>
              </w:rPr>
              <w:t>ț</w:t>
            </w:r>
            <w:r w:rsidRPr="00825E5B">
              <w:rPr>
                <w:rFonts w:ascii="Times New Roman" w:hAnsi="Times New Roman"/>
                <w:b/>
              </w:rPr>
              <w:t>i locale tratate ca entită</w:t>
            </w:r>
            <w:r w:rsidR="00367C88">
              <w:rPr>
                <w:rFonts w:ascii="Times New Roman" w:hAnsi="Times New Roman"/>
                <w:b/>
              </w:rPr>
              <w:t>ț</w:t>
            </w:r>
            <w:r w:rsidRPr="00825E5B">
              <w:rPr>
                <w:rFonts w:ascii="Times New Roman" w:hAnsi="Times New Roman"/>
                <w:b/>
              </w:rPr>
              <w:t>i suverane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regionale </w:t>
            </w:r>
            <w:r w:rsidR="00367C88">
              <w:rPr>
                <w:rFonts w:ascii="Times New Roman" w:hAnsi="Times New Roman"/>
              </w:rPr>
              <w:t>ș</w:t>
            </w:r>
            <w:r w:rsidRPr="00825E5B">
              <w:rPr>
                <w:rFonts w:ascii="Times New Roman" w:hAnsi="Times New Roman"/>
              </w:rPr>
              <w:t>i autorită</w:t>
            </w:r>
            <w:r w:rsidR="00367C88">
              <w:rPr>
                <w:rFonts w:ascii="Times New Roman" w:hAnsi="Times New Roman"/>
              </w:rPr>
              <w:t>ț</w:t>
            </w:r>
            <w:r w:rsidRPr="00825E5B">
              <w:rPr>
                <w:rFonts w:ascii="Times New Roman" w:hAnsi="Times New Roman"/>
              </w:rPr>
              <w:t>i locale tratate ca entită</w:t>
            </w:r>
            <w:r w:rsidR="00367C88">
              <w:rPr>
                <w:rFonts w:ascii="Times New Roman" w:hAnsi="Times New Roman"/>
              </w:rPr>
              <w:t>ț</w:t>
            </w:r>
            <w:r w:rsidRPr="00825E5B">
              <w:rPr>
                <w:rFonts w:ascii="Times New Roman" w:hAnsi="Times New Roman"/>
              </w:rPr>
              <w:t xml:space="preserve">i suverane, astfel cum sunt prevăzute la articolul 115 alineatele (2) </w:t>
            </w:r>
            <w:r w:rsidR="00367C88">
              <w:rPr>
                <w:rFonts w:ascii="Times New Roman" w:hAnsi="Times New Roman"/>
              </w:rPr>
              <w:t>ș</w:t>
            </w:r>
            <w:r w:rsidRPr="00825E5B">
              <w:rPr>
                <w:rFonts w:ascii="Times New Roman" w:hAnsi="Times New Roman"/>
              </w:rPr>
              <w:t>i (4) din CRR.</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{110;040}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regionale </w:t>
            </w:r>
            <w:r w:rsidR="00367C88">
              <w:rPr>
                <w:rFonts w:ascii="Times New Roman" w:hAnsi="Times New Roman"/>
                <w:b/>
              </w:rPr>
              <w:t>ș</w:t>
            </w:r>
            <w:r w:rsidRPr="00825E5B">
              <w:rPr>
                <w:rFonts w:ascii="Times New Roman" w:hAnsi="Times New Roman"/>
                <w:b/>
              </w:rPr>
              <w:t>i autorită</w:t>
            </w:r>
            <w:r w:rsidR="00367C88">
              <w:rPr>
                <w:rFonts w:ascii="Times New Roman" w:hAnsi="Times New Roman"/>
                <w:b/>
              </w:rPr>
              <w:t>ț</w:t>
            </w:r>
            <w:r w:rsidRPr="00825E5B">
              <w:rPr>
                <w:rFonts w:ascii="Times New Roman" w:hAnsi="Times New Roman"/>
                <w:b/>
              </w:rPr>
              <w:t>i locale tratate ca entită</w:t>
            </w:r>
            <w:r w:rsidR="00367C88">
              <w:rPr>
                <w:rFonts w:ascii="Times New Roman" w:hAnsi="Times New Roman"/>
                <w:b/>
              </w:rPr>
              <w:t>ț</w:t>
            </w:r>
            <w:r w:rsidRPr="00825E5B">
              <w:rPr>
                <w:rFonts w:ascii="Times New Roman" w:hAnsi="Times New Roman"/>
                <w:b/>
              </w:rPr>
              <w:t>i suverane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regionale </w:t>
            </w:r>
            <w:r w:rsidR="00367C88">
              <w:rPr>
                <w:rFonts w:ascii="Times New Roman" w:hAnsi="Times New Roman"/>
              </w:rPr>
              <w:t>ș</w:t>
            </w:r>
            <w:r w:rsidRPr="00825E5B">
              <w:rPr>
                <w:rFonts w:ascii="Times New Roman" w:hAnsi="Times New Roman"/>
              </w:rPr>
              <w:t>i autorită</w:t>
            </w:r>
            <w:r w:rsidR="00367C88">
              <w:rPr>
                <w:rFonts w:ascii="Times New Roman" w:hAnsi="Times New Roman"/>
              </w:rPr>
              <w:t>ț</w:t>
            </w:r>
            <w:r w:rsidRPr="00825E5B">
              <w:rPr>
                <w:rFonts w:ascii="Times New Roman" w:hAnsi="Times New Roman"/>
              </w:rPr>
              <w:t xml:space="preserve">i locale, astfel cum sunt prevăzute la articolul 147 alineatul (3) litera (a)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{120;010}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 xml:space="preserve">Bănci de dezvoltare multilaterală </w:t>
            </w:r>
            <w:r w:rsidR="00367C88">
              <w:rPr>
                <w:rFonts w:ascii="Times New Roman" w:hAnsi="Times New Roman"/>
                <w:b/>
              </w:rPr>
              <w:t>ș</w:t>
            </w:r>
            <w:r w:rsidRPr="00825E5B">
              <w:rPr>
                <w:rFonts w:ascii="Times New Roman" w:hAnsi="Times New Roman"/>
                <w:b/>
              </w:rPr>
              <w:t>i organiza</w:t>
            </w:r>
            <w:r w:rsidR="00367C88">
              <w:rPr>
                <w:rFonts w:ascii="Times New Roman" w:hAnsi="Times New Roman"/>
                <w:b/>
              </w:rPr>
              <w:t>ț</w:t>
            </w:r>
            <w:r w:rsidRPr="00825E5B">
              <w:rPr>
                <w:rFonts w:ascii="Times New Roman" w:hAnsi="Times New Roman"/>
                <w:b/>
              </w:rPr>
              <w:t>ii interna</w:t>
            </w:r>
            <w:r w:rsidR="00367C88">
              <w:rPr>
                <w:rFonts w:ascii="Times New Roman" w:hAnsi="Times New Roman"/>
                <w:b/>
              </w:rPr>
              <w:t>ț</w:t>
            </w:r>
            <w:r w:rsidRPr="00825E5B">
              <w:rPr>
                <w:rFonts w:ascii="Times New Roman" w:hAnsi="Times New Roman"/>
                <w:b/>
              </w:rPr>
              <w:t>ionale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 xml:space="preserve">ă de bănci de dezvoltare multilaterală </w:t>
            </w:r>
            <w:r w:rsidR="00367C88">
              <w:rPr>
                <w:rFonts w:ascii="Times New Roman" w:hAnsi="Times New Roman"/>
              </w:rPr>
              <w:t>ș</w:t>
            </w:r>
            <w:r w:rsidRPr="00825E5B">
              <w:rPr>
                <w:rFonts w:ascii="Times New Roman" w:hAnsi="Times New Roman"/>
              </w:rPr>
              <w:t>i organiza</w:t>
            </w:r>
            <w:r w:rsidR="00367C88">
              <w:rPr>
                <w:rFonts w:ascii="Times New Roman" w:hAnsi="Times New Roman"/>
              </w:rPr>
              <w:t>ț</w:t>
            </w:r>
            <w:r w:rsidRPr="00825E5B">
              <w:rPr>
                <w:rFonts w:ascii="Times New Roman" w:hAnsi="Times New Roman"/>
              </w:rPr>
              <w:t>ii interna</w:t>
            </w:r>
            <w:r w:rsidR="00367C88">
              <w:rPr>
                <w:rFonts w:ascii="Times New Roman" w:hAnsi="Times New Roman"/>
              </w:rPr>
              <w:t>ț</w:t>
            </w:r>
            <w:r w:rsidRPr="00825E5B">
              <w:rPr>
                <w:rFonts w:ascii="Times New Roman" w:hAnsi="Times New Roman"/>
              </w:rPr>
              <w:t xml:space="preserve">ionale, astfel cum sunt prevăzute la articolul 117 alineatul (2) </w:t>
            </w:r>
            <w:r w:rsidR="00367C88">
              <w:rPr>
                <w:rFonts w:ascii="Times New Roman" w:hAnsi="Times New Roman"/>
              </w:rPr>
              <w:t>ș</w:t>
            </w:r>
            <w:r w:rsidRPr="00825E5B">
              <w:rPr>
                <w:rFonts w:ascii="Times New Roman" w:hAnsi="Times New Roman"/>
              </w:rPr>
              <w:t xml:space="preserve">i la articolul 118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A60C43">
            <w:pPr>
              <w:pStyle w:val="BodyText1"/>
              <w:rPr>
                <w:rFonts w:ascii="Times New Roman" w:hAnsi="Times New Roman"/>
              </w:rPr>
            </w:pPr>
            <w:r w:rsidRPr="00825E5B">
              <w:rPr>
                <w:rFonts w:ascii="Times New Roman" w:hAnsi="Times New Roman"/>
              </w:rPr>
              <w:lastRenderedPageBreak/>
              <w:t>{120;020}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 xml:space="preserve">Bănci de dezvoltare multilaterală </w:t>
            </w:r>
            <w:r w:rsidR="00367C88">
              <w:rPr>
                <w:rFonts w:ascii="Times New Roman" w:hAnsi="Times New Roman"/>
                <w:b/>
              </w:rPr>
              <w:t>ș</w:t>
            </w:r>
            <w:r w:rsidRPr="00825E5B">
              <w:rPr>
                <w:rFonts w:ascii="Times New Roman" w:hAnsi="Times New Roman"/>
                <w:b/>
              </w:rPr>
              <w:t>i organiza</w:t>
            </w:r>
            <w:r w:rsidR="00367C88">
              <w:rPr>
                <w:rFonts w:ascii="Times New Roman" w:hAnsi="Times New Roman"/>
                <w:b/>
              </w:rPr>
              <w:t>ț</w:t>
            </w:r>
            <w:r w:rsidRPr="00825E5B">
              <w:rPr>
                <w:rFonts w:ascii="Times New Roman" w:hAnsi="Times New Roman"/>
                <w:b/>
              </w:rPr>
              <w:t>ii interna</w:t>
            </w:r>
            <w:r w:rsidR="00367C88">
              <w:rPr>
                <w:rFonts w:ascii="Times New Roman" w:hAnsi="Times New Roman"/>
                <w:b/>
              </w:rPr>
              <w:t>ț</w:t>
            </w:r>
            <w:r w:rsidRPr="00825E5B">
              <w:rPr>
                <w:rFonts w:ascii="Times New Roman" w:hAnsi="Times New Roman"/>
                <w:b/>
              </w:rPr>
              <w:t>ionale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 xml:space="preserve">ă de bănci de dezvoltare multilaterală </w:t>
            </w:r>
            <w:r w:rsidR="00367C88">
              <w:rPr>
                <w:rFonts w:ascii="Times New Roman" w:hAnsi="Times New Roman"/>
              </w:rPr>
              <w:t>ș</w:t>
            </w:r>
            <w:r w:rsidRPr="00825E5B">
              <w:rPr>
                <w:rFonts w:ascii="Times New Roman" w:hAnsi="Times New Roman"/>
              </w:rPr>
              <w:t>i organiza</w:t>
            </w:r>
            <w:r w:rsidR="00367C88">
              <w:rPr>
                <w:rFonts w:ascii="Times New Roman" w:hAnsi="Times New Roman"/>
              </w:rPr>
              <w:t>ț</w:t>
            </w:r>
            <w:r w:rsidRPr="00825E5B">
              <w:rPr>
                <w:rFonts w:ascii="Times New Roman" w:hAnsi="Times New Roman"/>
              </w:rPr>
              <w:t>ii interna</w:t>
            </w:r>
            <w:r w:rsidR="00367C88">
              <w:rPr>
                <w:rFonts w:ascii="Times New Roman" w:hAnsi="Times New Roman"/>
              </w:rPr>
              <w:t>ț</w:t>
            </w:r>
            <w:r w:rsidRPr="00825E5B">
              <w:rPr>
                <w:rFonts w:ascii="Times New Roman" w:hAnsi="Times New Roman"/>
              </w:rPr>
              <w:t xml:space="preserve">ionale, astfel cum sunt prevăzute la articolul 147 alineatul (3) literele (b) </w:t>
            </w:r>
            <w:r w:rsidR="00367C88">
              <w:rPr>
                <w:rFonts w:ascii="Times New Roman" w:hAnsi="Times New Roman"/>
              </w:rPr>
              <w:t>ș</w:t>
            </w:r>
            <w:r w:rsidRPr="00825E5B">
              <w:rPr>
                <w:rFonts w:ascii="Times New Roman" w:hAnsi="Times New Roman"/>
              </w:rPr>
              <w:t xml:space="preserve">i (c)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{120;030}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 xml:space="preserve">Bănci de dezvoltare multilaterală </w:t>
            </w:r>
            <w:r w:rsidR="00367C88">
              <w:rPr>
                <w:rFonts w:ascii="Times New Roman" w:hAnsi="Times New Roman"/>
                <w:b/>
              </w:rPr>
              <w:t>ș</w:t>
            </w:r>
            <w:r w:rsidRPr="00825E5B">
              <w:rPr>
                <w:rFonts w:ascii="Times New Roman" w:hAnsi="Times New Roman"/>
                <w:b/>
              </w:rPr>
              <w:t>i organiza</w:t>
            </w:r>
            <w:r w:rsidR="00367C88">
              <w:rPr>
                <w:rFonts w:ascii="Times New Roman" w:hAnsi="Times New Roman"/>
                <w:b/>
              </w:rPr>
              <w:t>ț</w:t>
            </w:r>
            <w:r w:rsidRPr="00825E5B">
              <w:rPr>
                <w:rFonts w:ascii="Times New Roman" w:hAnsi="Times New Roman"/>
                <w:b/>
              </w:rPr>
              <w:t>ii interna</w:t>
            </w:r>
            <w:r w:rsidR="00367C88">
              <w:rPr>
                <w:rFonts w:ascii="Times New Roman" w:hAnsi="Times New Roman"/>
                <w:b/>
              </w:rPr>
              <w:t>ț</w:t>
            </w:r>
            <w:r w:rsidRPr="00825E5B">
              <w:rPr>
                <w:rFonts w:ascii="Times New Roman" w:hAnsi="Times New Roman"/>
                <w:b/>
              </w:rPr>
              <w:t>ionale tratate ca entită</w:t>
            </w:r>
            <w:r w:rsidR="00367C88">
              <w:rPr>
                <w:rFonts w:ascii="Times New Roman" w:hAnsi="Times New Roman"/>
                <w:b/>
              </w:rPr>
              <w:t>ț</w:t>
            </w:r>
            <w:r w:rsidRPr="00825E5B">
              <w:rPr>
                <w:rFonts w:ascii="Times New Roman" w:hAnsi="Times New Roman"/>
                <w:b/>
              </w:rPr>
              <w:t>i suverane – Active ponderate la risc – Expuneri în cadrul abordării standardizate</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 xml:space="preserve">ă de bănci de dezvoltare multilaterală </w:t>
            </w:r>
            <w:r w:rsidR="00367C88">
              <w:rPr>
                <w:rFonts w:ascii="Times New Roman" w:hAnsi="Times New Roman"/>
              </w:rPr>
              <w:t>ș</w:t>
            </w:r>
            <w:r w:rsidRPr="00825E5B">
              <w:rPr>
                <w:rFonts w:ascii="Times New Roman" w:hAnsi="Times New Roman"/>
              </w:rPr>
              <w:t>i organiza</w:t>
            </w:r>
            <w:r w:rsidR="00367C88">
              <w:rPr>
                <w:rFonts w:ascii="Times New Roman" w:hAnsi="Times New Roman"/>
              </w:rPr>
              <w:t>ț</w:t>
            </w:r>
            <w:r w:rsidRPr="00825E5B">
              <w:rPr>
                <w:rFonts w:ascii="Times New Roman" w:hAnsi="Times New Roman"/>
              </w:rPr>
              <w:t>ii interna</w:t>
            </w:r>
            <w:r w:rsidR="00367C88">
              <w:rPr>
                <w:rFonts w:ascii="Times New Roman" w:hAnsi="Times New Roman"/>
              </w:rPr>
              <w:t>ț</w:t>
            </w:r>
            <w:r w:rsidRPr="00825E5B">
              <w:rPr>
                <w:rFonts w:ascii="Times New Roman" w:hAnsi="Times New Roman"/>
              </w:rPr>
              <w:t xml:space="preserve">ionale, astfel cum sunt prevăzute la articolul 117 alineatul (2) </w:t>
            </w:r>
            <w:r w:rsidR="00367C88">
              <w:rPr>
                <w:rFonts w:ascii="Times New Roman" w:hAnsi="Times New Roman"/>
              </w:rPr>
              <w:t>ș</w:t>
            </w:r>
            <w:r w:rsidRPr="00825E5B">
              <w:rPr>
                <w:rFonts w:ascii="Times New Roman" w:hAnsi="Times New Roman"/>
              </w:rPr>
              <w:t xml:space="preserve">i la articolul 118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A60C43">
            <w:pPr>
              <w:pStyle w:val="BodyText1"/>
              <w:rPr>
                <w:rFonts w:ascii="Times New Roman" w:hAnsi="Times New Roman"/>
                <w:bCs/>
              </w:rPr>
            </w:pPr>
            <w:r w:rsidRPr="00825E5B">
              <w:rPr>
                <w:rFonts w:ascii="Times New Roman" w:hAnsi="Times New Roman"/>
              </w:rPr>
              <w:t>{120;040}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 xml:space="preserve">Bănci de dezvoltare multilaterală </w:t>
            </w:r>
            <w:r w:rsidR="00367C88">
              <w:rPr>
                <w:rFonts w:ascii="Times New Roman" w:hAnsi="Times New Roman"/>
                <w:b/>
              </w:rPr>
              <w:t>ș</w:t>
            </w:r>
            <w:r w:rsidRPr="00825E5B">
              <w:rPr>
                <w:rFonts w:ascii="Times New Roman" w:hAnsi="Times New Roman"/>
                <w:b/>
              </w:rPr>
              <w:t>i organiza</w:t>
            </w:r>
            <w:r w:rsidR="00367C88">
              <w:rPr>
                <w:rFonts w:ascii="Times New Roman" w:hAnsi="Times New Roman"/>
                <w:b/>
              </w:rPr>
              <w:t>ț</w:t>
            </w:r>
            <w:r w:rsidRPr="00825E5B">
              <w:rPr>
                <w:rFonts w:ascii="Times New Roman" w:hAnsi="Times New Roman"/>
                <w:b/>
              </w:rPr>
              <w:t>ii interna</w:t>
            </w:r>
            <w:r w:rsidR="00367C88">
              <w:rPr>
                <w:rFonts w:ascii="Times New Roman" w:hAnsi="Times New Roman"/>
                <w:b/>
              </w:rPr>
              <w:t>ț</w:t>
            </w:r>
            <w:r w:rsidRPr="00825E5B">
              <w:rPr>
                <w:rFonts w:ascii="Times New Roman" w:hAnsi="Times New Roman"/>
                <w:b/>
              </w:rPr>
              <w:t>ionale tratate ca entită</w:t>
            </w:r>
            <w:r w:rsidR="00367C88">
              <w:rPr>
                <w:rFonts w:ascii="Times New Roman" w:hAnsi="Times New Roman"/>
                <w:b/>
              </w:rPr>
              <w:t>ț</w:t>
            </w:r>
            <w:r w:rsidRPr="00825E5B">
              <w:rPr>
                <w:rFonts w:ascii="Times New Roman" w:hAnsi="Times New Roman"/>
                <w:b/>
              </w:rPr>
              <w:t>i suverane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 xml:space="preserve">ă de bănci de dezvoltare multilaterală </w:t>
            </w:r>
            <w:r w:rsidR="00367C88">
              <w:rPr>
                <w:rFonts w:ascii="Times New Roman" w:hAnsi="Times New Roman"/>
              </w:rPr>
              <w:t>ș</w:t>
            </w:r>
            <w:r w:rsidRPr="00825E5B">
              <w:rPr>
                <w:rFonts w:ascii="Times New Roman" w:hAnsi="Times New Roman"/>
              </w:rPr>
              <w:t>i organiza</w:t>
            </w:r>
            <w:r w:rsidR="00367C88">
              <w:rPr>
                <w:rFonts w:ascii="Times New Roman" w:hAnsi="Times New Roman"/>
              </w:rPr>
              <w:t>ț</w:t>
            </w:r>
            <w:r w:rsidRPr="00825E5B">
              <w:rPr>
                <w:rFonts w:ascii="Times New Roman" w:hAnsi="Times New Roman"/>
              </w:rPr>
              <w:t>ii interna</w:t>
            </w:r>
            <w:r w:rsidR="00367C88">
              <w:rPr>
                <w:rFonts w:ascii="Times New Roman" w:hAnsi="Times New Roman"/>
              </w:rPr>
              <w:t>ț</w:t>
            </w:r>
            <w:r w:rsidRPr="00825E5B">
              <w:rPr>
                <w:rFonts w:ascii="Times New Roman" w:hAnsi="Times New Roman"/>
              </w:rPr>
              <w:t xml:space="preserve">ionale, astfel cum sunt prevăzute la articolul 147 alineatul (3) literele (b) </w:t>
            </w:r>
            <w:r w:rsidR="00367C88">
              <w:rPr>
                <w:rFonts w:ascii="Times New Roman" w:hAnsi="Times New Roman"/>
              </w:rPr>
              <w:t>ș</w:t>
            </w:r>
            <w:r w:rsidRPr="00825E5B">
              <w:rPr>
                <w:rFonts w:ascii="Times New Roman" w:hAnsi="Times New Roman"/>
              </w:rPr>
              <w:t xml:space="preserve">i (c)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rPr>
            </w:pPr>
          </w:p>
        </w:tc>
      </w:tr>
      <w:tr w:rsidR="00F4754B" w:rsidRPr="00825E5B" w:rsidTr="0053335C">
        <w:trPr>
          <w:trHeight w:val="71"/>
        </w:trPr>
        <w:tc>
          <w:tcPr>
            <w:tcW w:w="1111" w:type="dxa"/>
            <w:shd w:val="clear" w:color="auto" w:fill="FFFFFF"/>
          </w:tcPr>
          <w:p w:rsidR="00F4754B" w:rsidRPr="00825E5B" w:rsidRDefault="00F4754B" w:rsidP="00EA3F88">
            <w:pPr>
              <w:pStyle w:val="BodyText1"/>
              <w:rPr>
                <w:rFonts w:ascii="Times New Roman" w:hAnsi="Times New Roman"/>
              </w:rPr>
            </w:pPr>
            <w:r w:rsidRPr="00825E5B">
              <w:rPr>
                <w:rFonts w:ascii="Times New Roman" w:hAnsi="Times New Roman"/>
              </w:rPr>
              <w:t>{130;010}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Entită</w:t>
            </w:r>
            <w:r w:rsidR="00367C88">
              <w:rPr>
                <w:rFonts w:ascii="Times New Roman" w:hAnsi="Times New Roman"/>
                <w:b/>
              </w:rPr>
              <w:t>ț</w:t>
            </w:r>
            <w:r w:rsidRPr="00825E5B">
              <w:rPr>
                <w:rFonts w:ascii="Times New Roman" w:hAnsi="Times New Roman"/>
                <w:b/>
              </w:rPr>
              <w:t>i din sectorul public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entită</w:t>
            </w:r>
            <w:r w:rsidR="00367C88">
              <w:rPr>
                <w:rFonts w:ascii="Times New Roman" w:hAnsi="Times New Roman"/>
              </w:rPr>
              <w:t>ț</w:t>
            </w:r>
            <w:r w:rsidRPr="00825E5B">
              <w:rPr>
                <w:rFonts w:ascii="Times New Roman" w:hAnsi="Times New Roman"/>
              </w:rPr>
              <w:t xml:space="preserve">i din sectorul public, astfel cum sunt prevăzute la articolul 116 alineatul (4)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rPr>
            </w:pPr>
          </w:p>
        </w:tc>
      </w:tr>
      <w:tr w:rsidR="00F4754B" w:rsidRPr="00825E5B" w:rsidTr="0053335C">
        <w:trPr>
          <w:trHeight w:val="71"/>
        </w:trPr>
        <w:tc>
          <w:tcPr>
            <w:tcW w:w="1111" w:type="dxa"/>
            <w:shd w:val="clear" w:color="auto" w:fill="FFFFFF"/>
          </w:tcPr>
          <w:p w:rsidR="00F4754B" w:rsidRPr="00825E5B" w:rsidRDefault="00F4754B" w:rsidP="00EA3F88">
            <w:pPr>
              <w:pStyle w:val="BodyText1"/>
              <w:rPr>
                <w:rFonts w:ascii="Times New Roman" w:hAnsi="Times New Roman"/>
              </w:rPr>
            </w:pPr>
            <w:r w:rsidRPr="00825E5B">
              <w:rPr>
                <w:rFonts w:ascii="Times New Roman" w:hAnsi="Times New Roman"/>
              </w:rPr>
              <w:t>{130;020}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Entită</w:t>
            </w:r>
            <w:r w:rsidR="00367C88">
              <w:rPr>
                <w:rFonts w:ascii="Times New Roman" w:hAnsi="Times New Roman"/>
                <w:b/>
              </w:rPr>
              <w:t>ț</w:t>
            </w:r>
            <w:r w:rsidRPr="00825E5B">
              <w:rPr>
                <w:rFonts w:ascii="Times New Roman" w:hAnsi="Times New Roman"/>
                <w:b/>
              </w:rPr>
              <w:t>i din sectorul public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rPr>
            </w:pPr>
          </w:p>
          <w:p w:rsidR="002509B1"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entită</w:t>
            </w:r>
            <w:r w:rsidR="00367C88">
              <w:rPr>
                <w:rFonts w:ascii="Times New Roman" w:hAnsi="Times New Roman"/>
              </w:rPr>
              <w:t>ț</w:t>
            </w:r>
            <w:r w:rsidRPr="00825E5B">
              <w:rPr>
                <w:rFonts w:ascii="Times New Roman" w:hAnsi="Times New Roman"/>
              </w:rPr>
              <w:t>i din sectorul public, astfel cum sunt prevăzute la articolul 147 alineatul (3) litera (a) din CRR.</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{130;030}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Entită</w:t>
            </w:r>
            <w:r w:rsidR="00367C88">
              <w:rPr>
                <w:rFonts w:ascii="Times New Roman" w:hAnsi="Times New Roman"/>
                <w:b/>
              </w:rPr>
              <w:t>ț</w:t>
            </w:r>
            <w:r w:rsidRPr="00825E5B">
              <w:rPr>
                <w:rFonts w:ascii="Times New Roman" w:hAnsi="Times New Roman"/>
                <w:b/>
              </w:rPr>
              <w:t>i din sectorul public tratate ca entită</w:t>
            </w:r>
            <w:r w:rsidR="00367C88">
              <w:rPr>
                <w:rFonts w:ascii="Times New Roman" w:hAnsi="Times New Roman"/>
                <w:b/>
              </w:rPr>
              <w:t>ț</w:t>
            </w:r>
            <w:r w:rsidRPr="00825E5B">
              <w:rPr>
                <w:rFonts w:ascii="Times New Roman" w:hAnsi="Times New Roman"/>
                <w:b/>
              </w:rPr>
              <w:t>i suverane – Active ponderate la risc – Expuneri în cadrul abordării standardizate</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entită</w:t>
            </w:r>
            <w:r w:rsidR="00367C88">
              <w:rPr>
                <w:rFonts w:ascii="Times New Roman" w:hAnsi="Times New Roman"/>
              </w:rPr>
              <w:t>ț</w:t>
            </w:r>
            <w:r w:rsidRPr="00825E5B">
              <w:rPr>
                <w:rFonts w:ascii="Times New Roman" w:hAnsi="Times New Roman"/>
              </w:rPr>
              <w:t xml:space="preserve">i din sectorul public, astfel cum sunt prevăzute la articolul 116 alineatul (4)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lastRenderedPageBreak/>
              <w:t>{130;040}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Entită</w:t>
            </w:r>
            <w:r w:rsidR="00367C88">
              <w:rPr>
                <w:rFonts w:ascii="Times New Roman" w:hAnsi="Times New Roman"/>
                <w:b/>
              </w:rPr>
              <w:t>ț</w:t>
            </w:r>
            <w:r w:rsidRPr="00825E5B">
              <w:rPr>
                <w:rFonts w:ascii="Times New Roman" w:hAnsi="Times New Roman"/>
                <w:b/>
              </w:rPr>
              <w:t>i din sectorul public tratate ca entită</w:t>
            </w:r>
            <w:r w:rsidR="00367C88">
              <w:rPr>
                <w:rFonts w:ascii="Times New Roman" w:hAnsi="Times New Roman"/>
                <w:b/>
              </w:rPr>
              <w:t>ț</w:t>
            </w:r>
            <w:r w:rsidRPr="00825E5B">
              <w:rPr>
                <w:rFonts w:ascii="Times New Roman" w:hAnsi="Times New Roman"/>
                <w:b/>
              </w:rPr>
              <w:t>i suverane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entită</w:t>
            </w:r>
            <w:r w:rsidR="00367C88">
              <w:rPr>
                <w:rFonts w:ascii="Times New Roman" w:hAnsi="Times New Roman"/>
              </w:rPr>
              <w:t>ț</w:t>
            </w:r>
            <w:r w:rsidRPr="00825E5B">
              <w:rPr>
                <w:rFonts w:ascii="Times New Roman" w:hAnsi="Times New Roman"/>
              </w:rPr>
              <w:t xml:space="preserve">i din sectorul public, astfel cum sunt prevăzute la articolul 147 alineatul (3) litera (a)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{140;010}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fa</w:t>
            </w:r>
            <w:r w:rsidR="00367C88">
              <w:rPr>
                <w:rFonts w:ascii="Times New Roman" w:hAnsi="Times New Roman"/>
                <w:b/>
              </w:rPr>
              <w:t>ț</w:t>
            </w:r>
            <w:r w:rsidRPr="00825E5B">
              <w:rPr>
                <w:rFonts w:ascii="Times New Roman" w:hAnsi="Times New Roman"/>
                <w:b/>
              </w:rPr>
              <w:t>ă de administra</w:t>
            </w:r>
            <w:r w:rsidR="00367C88">
              <w:rPr>
                <w:rFonts w:ascii="Times New Roman" w:hAnsi="Times New Roman"/>
                <w:b/>
              </w:rPr>
              <w:t>ț</w:t>
            </w:r>
            <w:r w:rsidRPr="00825E5B">
              <w:rPr>
                <w:rFonts w:ascii="Times New Roman" w:hAnsi="Times New Roman"/>
                <w:b/>
              </w:rPr>
              <w:t>ii regionale, bănci de dezvoltare multilaterală, organiza</w:t>
            </w:r>
            <w:r w:rsidR="00367C88">
              <w:rPr>
                <w:rFonts w:ascii="Times New Roman" w:hAnsi="Times New Roman"/>
                <w:b/>
              </w:rPr>
              <w:t>ț</w:t>
            </w:r>
            <w:r w:rsidRPr="00825E5B">
              <w:rPr>
                <w:rFonts w:ascii="Times New Roman" w:hAnsi="Times New Roman"/>
                <w:b/>
              </w:rPr>
              <w:t>ii interna</w:t>
            </w:r>
            <w:r w:rsidR="00367C88">
              <w:rPr>
                <w:rFonts w:ascii="Times New Roman" w:hAnsi="Times New Roman"/>
                <w:b/>
              </w:rPr>
              <w:t>ț</w:t>
            </w:r>
            <w:r w:rsidRPr="00825E5B">
              <w:rPr>
                <w:rFonts w:ascii="Times New Roman" w:hAnsi="Times New Roman"/>
                <w:b/>
              </w:rPr>
              <w:t xml:space="preserve">ionale </w:t>
            </w:r>
            <w:r w:rsidR="00367C88">
              <w:rPr>
                <w:rFonts w:ascii="Times New Roman" w:hAnsi="Times New Roman"/>
                <w:b/>
              </w:rPr>
              <w:t>ș</w:t>
            </w:r>
            <w:r w:rsidRPr="00825E5B">
              <w:rPr>
                <w:rFonts w:ascii="Times New Roman" w:hAnsi="Times New Roman"/>
                <w:b/>
              </w:rPr>
              <w:t>i entită</w:t>
            </w:r>
            <w:r w:rsidR="00367C88">
              <w:rPr>
                <w:rFonts w:ascii="Times New Roman" w:hAnsi="Times New Roman"/>
                <w:b/>
              </w:rPr>
              <w:t>ț</w:t>
            </w:r>
            <w:r w:rsidRPr="00825E5B">
              <w:rPr>
                <w:rFonts w:ascii="Times New Roman" w:hAnsi="Times New Roman"/>
                <w:b/>
              </w:rPr>
              <w:t xml:space="preserve">i din sectorul public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Suma celulelor de la {150,010} până la {170,010}.</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{140;020}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fa</w:t>
            </w:r>
            <w:r w:rsidR="00367C88">
              <w:rPr>
                <w:rFonts w:ascii="Times New Roman" w:hAnsi="Times New Roman"/>
                <w:b/>
              </w:rPr>
              <w:t>ț</w:t>
            </w:r>
            <w:r w:rsidRPr="00825E5B">
              <w:rPr>
                <w:rFonts w:ascii="Times New Roman" w:hAnsi="Times New Roman"/>
                <w:b/>
              </w:rPr>
              <w:t>ă de administra</w:t>
            </w:r>
            <w:r w:rsidR="00367C88">
              <w:rPr>
                <w:rFonts w:ascii="Times New Roman" w:hAnsi="Times New Roman"/>
                <w:b/>
              </w:rPr>
              <w:t>ț</w:t>
            </w:r>
            <w:r w:rsidRPr="00825E5B">
              <w:rPr>
                <w:rFonts w:ascii="Times New Roman" w:hAnsi="Times New Roman"/>
                <w:b/>
              </w:rPr>
              <w:t>ii regionale, bănci de dezvoltare multilaterală, organiza</w:t>
            </w:r>
            <w:r w:rsidR="00367C88">
              <w:rPr>
                <w:rFonts w:ascii="Times New Roman" w:hAnsi="Times New Roman"/>
                <w:b/>
              </w:rPr>
              <w:t>ț</w:t>
            </w:r>
            <w:r w:rsidRPr="00825E5B">
              <w:rPr>
                <w:rFonts w:ascii="Times New Roman" w:hAnsi="Times New Roman"/>
                <w:b/>
              </w:rPr>
              <w:t>ii interna</w:t>
            </w:r>
            <w:r w:rsidR="00367C88">
              <w:rPr>
                <w:rFonts w:ascii="Times New Roman" w:hAnsi="Times New Roman"/>
                <w:b/>
              </w:rPr>
              <w:t>ț</w:t>
            </w:r>
            <w:r w:rsidRPr="00825E5B">
              <w:rPr>
                <w:rFonts w:ascii="Times New Roman" w:hAnsi="Times New Roman"/>
                <w:b/>
              </w:rPr>
              <w:t xml:space="preserve">ionale </w:t>
            </w:r>
            <w:r w:rsidR="00367C88">
              <w:rPr>
                <w:rFonts w:ascii="Times New Roman" w:hAnsi="Times New Roman"/>
                <w:b/>
              </w:rPr>
              <w:t>ș</w:t>
            </w:r>
            <w:r w:rsidRPr="00825E5B">
              <w:rPr>
                <w:rFonts w:ascii="Times New Roman" w:hAnsi="Times New Roman"/>
                <w:b/>
              </w:rPr>
              <w:t>i entită</w:t>
            </w:r>
            <w:r w:rsidR="00367C88">
              <w:rPr>
                <w:rFonts w:ascii="Times New Roman" w:hAnsi="Times New Roman"/>
                <w:b/>
              </w:rPr>
              <w:t>ț</w:t>
            </w:r>
            <w:r w:rsidRPr="00825E5B">
              <w:rPr>
                <w:rFonts w:ascii="Times New Roman" w:hAnsi="Times New Roman"/>
                <w:b/>
              </w:rPr>
              <w:t xml:space="preserve">i din sectorul public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Suma celulelor de la {150,020} până la {170,020}.</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{140;030}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fa</w:t>
            </w:r>
            <w:r w:rsidR="00367C88">
              <w:rPr>
                <w:rFonts w:ascii="Times New Roman" w:hAnsi="Times New Roman"/>
                <w:b/>
              </w:rPr>
              <w:t>ț</w:t>
            </w:r>
            <w:r w:rsidRPr="00825E5B">
              <w:rPr>
                <w:rFonts w:ascii="Times New Roman" w:hAnsi="Times New Roman"/>
                <w:b/>
              </w:rPr>
              <w:t>ă de administra</w:t>
            </w:r>
            <w:r w:rsidR="00367C88">
              <w:rPr>
                <w:rFonts w:ascii="Times New Roman" w:hAnsi="Times New Roman"/>
                <w:b/>
              </w:rPr>
              <w:t>ț</w:t>
            </w:r>
            <w:r w:rsidRPr="00825E5B">
              <w:rPr>
                <w:rFonts w:ascii="Times New Roman" w:hAnsi="Times New Roman"/>
                <w:b/>
              </w:rPr>
              <w:t>ii regionale, bănci de dezvoltare multilaterală, organiza</w:t>
            </w:r>
            <w:r w:rsidR="00367C88">
              <w:rPr>
                <w:rFonts w:ascii="Times New Roman" w:hAnsi="Times New Roman"/>
                <w:b/>
              </w:rPr>
              <w:t>ț</w:t>
            </w:r>
            <w:r w:rsidRPr="00825E5B">
              <w:rPr>
                <w:rFonts w:ascii="Times New Roman" w:hAnsi="Times New Roman"/>
                <w:b/>
              </w:rPr>
              <w:t>ii interna</w:t>
            </w:r>
            <w:r w:rsidR="00367C88">
              <w:rPr>
                <w:rFonts w:ascii="Times New Roman" w:hAnsi="Times New Roman"/>
                <w:b/>
              </w:rPr>
              <w:t>ț</w:t>
            </w:r>
            <w:r w:rsidRPr="00825E5B">
              <w:rPr>
                <w:rFonts w:ascii="Times New Roman" w:hAnsi="Times New Roman"/>
                <w:b/>
              </w:rPr>
              <w:t xml:space="preserve">ionale </w:t>
            </w:r>
            <w:r w:rsidR="00367C88">
              <w:rPr>
                <w:rFonts w:ascii="Times New Roman" w:hAnsi="Times New Roman"/>
                <w:b/>
              </w:rPr>
              <w:t>ș</w:t>
            </w:r>
            <w:r w:rsidRPr="00825E5B">
              <w:rPr>
                <w:rFonts w:ascii="Times New Roman" w:hAnsi="Times New Roman"/>
                <w:b/>
              </w:rPr>
              <w:t>i entită</w:t>
            </w:r>
            <w:r w:rsidR="00367C88">
              <w:rPr>
                <w:rFonts w:ascii="Times New Roman" w:hAnsi="Times New Roman"/>
                <w:b/>
              </w:rPr>
              <w:t>ț</w:t>
            </w:r>
            <w:r w:rsidRPr="00825E5B">
              <w:rPr>
                <w:rFonts w:ascii="Times New Roman" w:hAnsi="Times New Roman"/>
                <w:b/>
              </w:rPr>
              <w:t xml:space="preserve">i din sectorul public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Suma celulelor de la {150,030} până la {170,030}.</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{140;040}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fa</w:t>
            </w:r>
            <w:r w:rsidR="00367C88">
              <w:rPr>
                <w:rFonts w:ascii="Times New Roman" w:hAnsi="Times New Roman"/>
                <w:b/>
              </w:rPr>
              <w:t>ț</w:t>
            </w:r>
            <w:r w:rsidRPr="00825E5B">
              <w:rPr>
                <w:rFonts w:ascii="Times New Roman" w:hAnsi="Times New Roman"/>
                <w:b/>
              </w:rPr>
              <w:t>ă de administra</w:t>
            </w:r>
            <w:r w:rsidR="00367C88">
              <w:rPr>
                <w:rFonts w:ascii="Times New Roman" w:hAnsi="Times New Roman"/>
                <w:b/>
              </w:rPr>
              <w:t>ț</w:t>
            </w:r>
            <w:r w:rsidRPr="00825E5B">
              <w:rPr>
                <w:rFonts w:ascii="Times New Roman" w:hAnsi="Times New Roman"/>
                <w:b/>
              </w:rPr>
              <w:t>ii regionale, bănci de dezvoltare multilaterală, organiza</w:t>
            </w:r>
            <w:r w:rsidR="00367C88">
              <w:rPr>
                <w:rFonts w:ascii="Times New Roman" w:hAnsi="Times New Roman"/>
                <w:b/>
              </w:rPr>
              <w:t>ț</w:t>
            </w:r>
            <w:r w:rsidRPr="00825E5B">
              <w:rPr>
                <w:rFonts w:ascii="Times New Roman" w:hAnsi="Times New Roman"/>
                <w:b/>
              </w:rPr>
              <w:t>ii interna</w:t>
            </w:r>
            <w:r w:rsidR="00367C88">
              <w:rPr>
                <w:rFonts w:ascii="Times New Roman" w:hAnsi="Times New Roman"/>
                <w:b/>
              </w:rPr>
              <w:t>ț</w:t>
            </w:r>
            <w:r w:rsidRPr="00825E5B">
              <w:rPr>
                <w:rFonts w:ascii="Times New Roman" w:hAnsi="Times New Roman"/>
                <w:b/>
              </w:rPr>
              <w:t xml:space="preserve">ionale </w:t>
            </w:r>
            <w:r w:rsidR="00367C88">
              <w:rPr>
                <w:rFonts w:ascii="Times New Roman" w:hAnsi="Times New Roman"/>
                <w:b/>
              </w:rPr>
              <w:t>ș</w:t>
            </w:r>
            <w:r w:rsidRPr="00825E5B">
              <w:rPr>
                <w:rFonts w:ascii="Times New Roman" w:hAnsi="Times New Roman"/>
                <w:b/>
              </w:rPr>
              <w:t>i entită</w:t>
            </w:r>
            <w:r w:rsidR="00367C88">
              <w:rPr>
                <w:rFonts w:ascii="Times New Roman" w:hAnsi="Times New Roman"/>
                <w:b/>
              </w:rPr>
              <w:t>ț</w:t>
            </w:r>
            <w:r w:rsidRPr="00825E5B">
              <w:rPr>
                <w:rFonts w:ascii="Times New Roman" w:hAnsi="Times New Roman"/>
                <w:b/>
              </w:rPr>
              <w:t xml:space="preserve">i din sectorul public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Suma celulelor de la {150,040} până la {170,040}.</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{150;010}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regionale </w:t>
            </w:r>
            <w:r w:rsidR="00367C88">
              <w:rPr>
                <w:rFonts w:ascii="Times New Roman" w:hAnsi="Times New Roman"/>
                <w:b/>
              </w:rPr>
              <w:t>ș</w:t>
            </w:r>
            <w:r w:rsidRPr="00825E5B">
              <w:rPr>
                <w:rFonts w:ascii="Times New Roman" w:hAnsi="Times New Roman"/>
                <w:b/>
              </w:rPr>
              <w:t>i autorită</w:t>
            </w:r>
            <w:r w:rsidR="00367C88">
              <w:rPr>
                <w:rFonts w:ascii="Times New Roman" w:hAnsi="Times New Roman"/>
                <w:b/>
              </w:rPr>
              <w:t>ț</w:t>
            </w:r>
            <w:r w:rsidRPr="00825E5B">
              <w:rPr>
                <w:rFonts w:ascii="Times New Roman" w:hAnsi="Times New Roman"/>
                <w:b/>
              </w:rPr>
              <w:t xml:space="preserve">i locale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regionale </w:t>
            </w:r>
            <w:r w:rsidR="00367C88">
              <w:rPr>
                <w:rFonts w:ascii="Times New Roman" w:hAnsi="Times New Roman"/>
              </w:rPr>
              <w:t>ș</w:t>
            </w:r>
            <w:r w:rsidRPr="00825E5B">
              <w:rPr>
                <w:rFonts w:ascii="Times New Roman" w:hAnsi="Times New Roman"/>
              </w:rPr>
              <w:t>i autorită</w:t>
            </w:r>
            <w:r w:rsidR="00367C88">
              <w:rPr>
                <w:rFonts w:ascii="Times New Roman" w:hAnsi="Times New Roman"/>
              </w:rPr>
              <w:t>ț</w:t>
            </w:r>
            <w:r w:rsidRPr="00825E5B">
              <w:rPr>
                <w:rFonts w:ascii="Times New Roman" w:hAnsi="Times New Roman"/>
              </w:rPr>
              <w:t>i locale care nu sunt tratate ca entită</w:t>
            </w:r>
            <w:r w:rsidR="00367C88">
              <w:rPr>
                <w:rFonts w:ascii="Times New Roman" w:hAnsi="Times New Roman"/>
              </w:rPr>
              <w:t>ț</w:t>
            </w:r>
            <w:r w:rsidRPr="00825E5B">
              <w:rPr>
                <w:rFonts w:ascii="Times New Roman" w:hAnsi="Times New Roman"/>
              </w:rPr>
              <w:t xml:space="preserve">i suverane, astfel cum sunt prevăzute la articolul 115 alineatele (1), (3) </w:t>
            </w:r>
            <w:r w:rsidR="00367C88">
              <w:rPr>
                <w:rFonts w:ascii="Times New Roman" w:hAnsi="Times New Roman"/>
              </w:rPr>
              <w:t>ș</w:t>
            </w:r>
            <w:r w:rsidRPr="00825E5B">
              <w:rPr>
                <w:rFonts w:ascii="Times New Roman" w:hAnsi="Times New Roman"/>
              </w:rPr>
              <w:t xml:space="preserve">i (5)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A60C43">
            <w:pPr>
              <w:pStyle w:val="BodyText1"/>
              <w:rPr>
                <w:rFonts w:ascii="Times New Roman" w:hAnsi="Times New Roman"/>
              </w:rPr>
            </w:pPr>
            <w:r w:rsidRPr="00825E5B">
              <w:rPr>
                <w:rFonts w:ascii="Times New Roman" w:hAnsi="Times New Roman"/>
              </w:rPr>
              <w:t>{150;020}</w:t>
            </w:r>
          </w:p>
        </w:tc>
        <w:tc>
          <w:tcPr>
            <w:tcW w:w="8133" w:type="dxa"/>
            <w:shd w:val="clear" w:color="auto" w:fill="FFFFFF"/>
          </w:tcPr>
          <w:p w:rsidR="002509B1" w:rsidRPr="00825E5B" w:rsidRDefault="00F4754B" w:rsidP="007E2A41">
            <w:pPr>
              <w:pStyle w:val="BodyText1"/>
              <w:spacing w:line="240" w:lineRule="auto"/>
              <w:rPr>
                <w:rFonts w:ascii="Times New Roman" w:hAnsi="Times New Roman"/>
                <w:b/>
                <w:bCs/>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regionale </w:t>
            </w:r>
            <w:r w:rsidR="00367C88">
              <w:rPr>
                <w:rFonts w:ascii="Times New Roman" w:hAnsi="Times New Roman"/>
                <w:b/>
              </w:rPr>
              <w:t>ș</w:t>
            </w:r>
            <w:r w:rsidRPr="00825E5B">
              <w:rPr>
                <w:rFonts w:ascii="Times New Roman" w:hAnsi="Times New Roman"/>
                <w:b/>
              </w:rPr>
              <w:t>i autorită</w:t>
            </w:r>
            <w:r w:rsidR="00367C88">
              <w:rPr>
                <w:rFonts w:ascii="Times New Roman" w:hAnsi="Times New Roman"/>
                <w:b/>
              </w:rPr>
              <w:t>ț</w:t>
            </w:r>
            <w:r w:rsidRPr="00825E5B">
              <w:rPr>
                <w:rFonts w:ascii="Times New Roman" w:hAnsi="Times New Roman"/>
                <w:b/>
              </w:rPr>
              <w:t xml:space="preserve">i locale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bazate pe modele interne de rating</w:t>
            </w:r>
          </w:p>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 xml:space="preserve"> </w:t>
            </w:r>
          </w:p>
          <w:p w:rsidR="002509B1" w:rsidRPr="00825E5B" w:rsidRDefault="00F4754B" w:rsidP="007E2A41">
            <w:pPr>
              <w:pStyle w:val="BodyText1"/>
              <w:spacing w:line="240" w:lineRule="auto"/>
              <w:rPr>
                <w:rFonts w:ascii="Times New Roman" w:hAnsi="Times New Roman"/>
                <w:bCs/>
              </w:rPr>
            </w:pPr>
            <w:r w:rsidRPr="00825E5B">
              <w:rPr>
                <w:rFonts w:ascii="Times New Roman" w:hAnsi="Times New Roman"/>
              </w:rPr>
              <w:lastRenderedPageBreak/>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regionale </w:t>
            </w:r>
            <w:r w:rsidR="00367C88">
              <w:rPr>
                <w:rFonts w:ascii="Times New Roman" w:hAnsi="Times New Roman"/>
              </w:rPr>
              <w:t>ș</w:t>
            </w:r>
            <w:r w:rsidRPr="00825E5B">
              <w:rPr>
                <w:rFonts w:ascii="Times New Roman" w:hAnsi="Times New Roman"/>
              </w:rPr>
              <w:t>i autorită</w:t>
            </w:r>
            <w:r w:rsidR="00367C88">
              <w:rPr>
                <w:rFonts w:ascii="Times New Roman" w:hAnsi="Times New Roman"/>
              </w:rPr>
              <w:t>ț</w:t>
            </w:r>
            <w:r w:rsidRPr="00825E5B">
              <w:rPr>
                <w:rFonts w:ascii="Times New Roman" w:hAnsi="Times New Roman"/>
              </w:rPr>
              <w:t>i locale care nu sunt tratate ca entită</w:t>
            </w:r>
            <w:r w:rsidR="00367C88">
              <w:rPr>
                <w:rFonts w:ascii="Times New Roman" w:hAnsi="Times New Roman"/>
              </w:rPr>
              <w:t>ț</w:t>
            </w:r>
            <w:r w:rsidRPr="00825E5B">
              <w:rPr>
                <w:rFonts w:ascii="Times New Roman" w:hAnsi="Times New Roman"/>
              </w:rPr>
              <w:t xml:space="preserve">i suverane, astfel cum sunt prevăzute la articolul 147 alineatul (4) litera (a)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F4754B" w:rsidRPr="00825E5B" w:rsidDel="00F559E6" w:rsidRDefault="00F4754B" w:rsidP="007E2A41">
            <w:pPr>
              <w:pStyle w:val="BodyText1"/>
              <w:spacing w:line="240" w:lineRule="auto"/>
              <w:rPr>
                <w:rFonts w:ascii="Times New Roman" w:hAnsi="Times New Roman"/>
                <w:b/>
                <w:bCs/>
                <w:u w:val="single"/>
              </w:rPr>
            </w:pPr>
            <w:r w:rsidRPr="00825E5B">
              <w:rPr>
                <w:rFonts w:ascii="Times New Roman" w:hAnsi="Times New Roman"/>
              </w:rPr>
              <w:t xml:space="preserve"> </w:t>
            </w: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lastRenderedPageBreak/>
              <w:t>{150;030}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regionale </w:t>
            </w:r>
            <w:r w:rsidR="00367C88">
              <w:rPr>
                <w:rFonts w:ascii="Times New Roman" w:hAnsi="Times New Roman"/>
                <w:b/>
              </w:rPr>
              <w:t>ș</w:t>
            </w:r>
            <w:r w:rsidRPr="00825E5B">
              <w:rPr>
                <w:rFonts w:ascii="Times New Roman" w:hAnsi="Times New Roman"/>
                <w:b/>
              </w:rPr>
              <w:t>i autorită</w:t>
            </w:r>
            <w:r w:rsidR="00367C88">
              <w:rPr>
                <w:rFonts w:ascii="Times New Roman" w:hAnsi="Times New Roman"/>
                <w:b/>
              </w:rPr>
              <w:t>ț</w:t>
            </w:r>
            <w:r w:rsidRPr="00825E5B">
              <w:rPr>
                <w:rFonts w:ascii="Times New Roman" w:hAnsi="Times New Roman"/>
                <w:b/>
              </w:rPr>
              <w:t xml:space="preserve">i locale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 xml:space="preserve">i suverane – Active ponderate la risc – Expuneri în cadrul abordării standardizate </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regionale </w:t>
            </w:r>
            <w:r w:rsidR="00367C88">
              <w:rPr>
                <w:rFonts w:ascii="Times New Roman" w:hAnsi="Times New Roman"/>
              </w:rPr>
              <w:t>ș</w:t>
            </w:r>
            <w:r w:rsidRPr="00825E5B">
              <w:rPr>
                <w:rFonts w:ascii="Times New Roman" w:hAnsi="Times New Roman"/>
              </w:rPr>
              <w:t>i autorită</w:t>
            </w:r>
            <w:r w:rsidR="00367C88">
              <w:rPr>
                <w:rFonts w:ascii="Times New Roman" w:hAnsi="Times New Roman"/>
              </w:rPr>
              <w:t>ț</w:t>
            </w:r>
            <w:r w:rsidRPr="00825E5B">
              <w:rPr>
                <w:rFonts w:ascii="Times New Roman" w:hAnsi="Times New Roman"/>
              </w:rPr>
              <w:t>i locale care nu sunt tratate ca entită</w:t>
            </w:r>
            <w:r w:rsidR="00367C88">
              <w:rPr>
                <w:rFonts w:ascii="Times New Roman" w:hAnsi="Times New Roman"/>
              </w:rPr>
              <w:t>ț</w:t>
            </w:r>
            <w:r w:rsidRPr="00825E5B">
              <w:rPr>
                <w:rFonts w:ascii="Times New Roman" w:hAnsi="Times New Roman"/>
              </w:rPr>
              <w:t xml:space="preserve">i suverane, astfel cum sunt prevăzute la articolul 115 alineatele (1), (3) </w:t>
            </w:r>
            <w:r w:rsidR="00367C88">
              <w:rPr>
                <w:rFonts w:ascii="Times New Roman" w:hAnsi="Times New Roman"/>
              </w:rPr>
              <w:t>ș</w:t>
            </w:r>
            <w:r w:rsidRPr="00825E5B">
              <w:rPr>
                <w:rFonts w:ascii="Times New Roman" w:hAnsi="Times New Roman"/>
              </w:rPr>
              <w:t xml:space="preserve">i (5)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{150;040}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Administra</w:t>
            </w:r>
            <w:r w:rsidR="00367C88">
              <w:rPr>
                <w:rFonts w:ascii="Times New Roman" w:hAnsi="Times New Roman"/>
                <w:b/>
              </w:rPr>
              <w:t>ț</w:t>
            </w:r>
            <w:r w:rsidRPr="00825E5B">
              <w:rPr>
                <w:rFonts w:ascii="Times New Roman" w:hAnsi="Times New Roman"/>
                <w:b/>
              </w:rPr>
              <w:t xml:space="preserve">ii regionale </w:t>
            </w:r>
            <w:r w:rsidR="00367C88">
              <w:rPr>
                <w:rFonts w:ascii="Times New Roman" w:hAnsi="Times New Roman"/>
                <w:b/>
              </w:rPr>
              <w:t>ș</w:t>
            </w:r>
            <w:r w:rsidRPr="00825E5B">
              <w:rPr>
                <w:rFonts w:ascii="Times New Roman" w:hAnsi="Times New Roman"/>
                <w:b/>
              </w:rPr>
              <w:t>i autorită</w:t>
            </w:r>
            <w:r w:rsidR="00367C88">
              <w:rPr>
                <w:rFonts w:ascii="Times New Roman" w:hAnsi="Times New Roman"/>
                <w:b/>
              </w:rPr>
              <w:t>ț</w:t>
            </w:r>
            <w:r w:rsidRPr="00825E5B">
              <w:rPr>
                <w:rFonts w:ascii="Times New Roman" w:hAnsi="Times New Roman"/>
                <w:b/>
              </w:rPr>
              <w:t xml:space="preserve">i locale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administra</w:t>
            </w:r>
            <w:r w:rsidR="00367C88">
              <w:rPr>
                <w:rFonts w:ascii="Times New Roman" w:hAnsi="Times New Roman"/>
              </w:rPr>
              <w:t>ț</w:t>
            </w:r>
            <w:r w:rsidRPr="00825E5B">
              <w:rPr>
                <w:rFonts w:ascii="Times New Roman" w:hAnsi="Times New Roman"/>
              </w:rPr>
              <w:t xml:space="preserve">ii regionale </w:t>
            </w:r>
            <w:r w:rsidR="00367C88">
              <w:rPr>
                <w:rFonts w:ascii="Times New Roman" w:hAnsi="Times New Roman"/>
              </w:rPr>
              <w:t>ș</w:t>
            </w:r>
            <w:r w:rsidRPr="00825E5B">
              <w:rPr>
                <w:rFonts w:ascii="Times New Roman" w:hAnsi="Times New Roman"/>
              </w:rPr>
              <w:t>i autorită</w:t>
            </w:r>
            <w:r w:rsidR="00367C88">
              <w:rPr>
                <w:rFonts w:ascii="Times New Roman" w:hAnsi="Times New Roman"/>
              </w:rPr>
              <w:t>ț</w:t>
            </w:r>
            <w:r w:rsidRPr="00825E5B">
              <w:rPr>
                <w:rFonts w:ascii="Times New Roman" w:hAnsi="Times New Roman"/>
              </w:rPr>
              <w:t>i locale care nu sunt tratate ca entită</w:t>
            </w:r>
            <w:r w:rsidR="00367C88">
              <w:rPr>
                <w:rFonts w:ascii="Times New Roman" w:hAnsi="Times New Roman"/>
              </w:rPr>
              <w:t>ț</w:t>
            </w:r>
            <w:r w:rsidRPr="00825E5B">
              <w:rPr>
                <w:rFonts w:ascii="Times New Roman" w:hAnsi="Times New Roman"/>
              </w:rPr>
              <w:t>i suverane, astfel cum sunt prevăzute la articolul 147 alineatul (4) litera (a) din CRR.</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{160;010}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 xml:space="preserve">Bănci de dezvoltare multilaterală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 xml:space="preserve">ă de bănci de dezvoltare multilaterală, astfel cum sunt prevăzute la articolul 117 alineatele (1) </w:t>
            </w:r>
            <w:r w:rsidR="00367C88">
              <w:rPr>
                <w:rFonts w:ascii="Times New Roman" w:hAnsi="Times New Roman"/>
              </w:rPr>
              <w:t>ș</w:t>
            </w:r>
            <w:r w:rsidRPr="00825E5B">
              <w:rPr>
                <w:rFonts w:ascii="Times New Roman" w:hAnsi="Times New Roman"/>
              </w:rPr>
              <w:t xml:space="preserve">i (3)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{160;020}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 xml:space="preserve">Bănci de dezvoltare multilaterală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rPr>
            </w:pPr>
          </w:p>
          <w:p w:rsidR="002509B1"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bănci de dezvoltare multilaterală care nu sunt tratate ca entită</w:t>
            </w:r>
            <w:r w:rsidR="00367C88">
              <w:rPr>
                <w:rFonts w:ascii="Times New Roman" w:hAnsi="Times New Roman"/>
              </w:rPr>
              <w:t>ț</w:t>
            </w:r>
            <w:r w:rsidRPr="00825E5B">
              <w:rPr>
                <w:rFonts w:ascii="Times New Roman" w:hAnsi="Times New Roman"/>
              </w:rPr>
              <w:t xml:space="preserve">i suverane, astfel cum sunt prevăzute la articolul 147 alineatul (4) litera (c) din CRR. </w:t>
            </w:r>
          </w:p>
          <w:p w:rsidR="00315160" w:rsidRPr="00825E5B" w:rsidRDefault="00315160"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Del="009A4B38"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{160;030}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 xml:space="preserve">Bănci de dezvoltare multilaterală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 xml:space="preserve">ă de bănci de dezvoltare multilaterală, astfel cum sunt prevăzute la articolul 117 alineatele (1) </w:t>
            </w:r>
            <w:r w:rsidR="00367C88">
              <w:rPr>
                <w:rFonts w:ascii="Times New Roman" w:hAnsi="Times New Roman"/>
              </w:rPr>
              <w:t>ș</w:t>
            </w:r>
            <w:r w:rsidRPr="00825E5B">
              <w:rPr>
                <w:rFonts w:ascii="Times New Roman" w:hAnsi="Times New Roman"/>
              </w:rPr>
              <w:t>i (3) din CRR.</w:t>
            </w:r>
          </w:p>
          <w:p w:rsidR="002509B1" w:rsidRPr="00825E5B" w:rsidRDefault="002509B1" w:rsidP="007E2A41">
            <w:pPr>
              <w:pStyle w:val="BodyText1"/>
              <w:spacing w:line="240" w:lineRule="auto"/>
              <w:rPr>
                <w:rFonts w:ascii="Times New Roman" w:hAnsi="Times New Roman"/>
                <w:b/>
                <w:bCs/>
                <w:u w:val="single"/>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086A8A" w:rsidRPr="00825E5B" w:rsidRDefault="00086A8A"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{160;040}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 xml:space="preserve">Bănci de dezvoltare multilaterală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bănci de dezvoltare multilaterală care nu sunt tratate ca entită</w:t>
            </w:r>
            <w:r w:rsidR="00367C88">
              <w:rPr>
                <w:rFonts w:ascii="Times New Roman" w:hAnsi="Times New Roman"/>
              </w:rPr>
              <w:t>ț</w:t>
            </w:r>
            <w:r w:rsidRPr="00825E5B">
              <w:rPr>
                <w:rFonts w:ascii="Times New Roman" w:hAnsi="Times New Roman"/>
              </w:rPr>
              <w:t xml:space="preserve">i suverane, astfel cum sunt prevăzute la articolul 147 alineatul (4) litera (c)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lastRenderedPageBreak/>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A60C43">
            <w:pPr>
              <w:pStyle w:val="BodyText1"/>
              <w:rPr>
                <w:rFonts w:ascii="Times New Roman" w:hAnsi="Times New Roman"/>
              </w:rPr>
            </w:pPr>
            <w:r w:rsidRPr="00825E5B">
              <w:rPr>
                <w:rFonts w:ascii="Times New Roman" w:hAnsi="Times New Roman"/>
              </w:rPr>
              <w:lastRenderedPageBreak/>
              <w:t>{170;010}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Entită</w:t>
            </w:r>
            <w:r w:rsidR="00367C88">
              <w:rPr>
                <w:rFonts w:ascii="Times New Roman" w:hAnsi="Times New Roman"/>
                <w:b/>
              </w:rPr>
              <w:t>ț</w:t>
            </w:r>
            <w:r w:rsidRPr="00825E5B">
              <w:rPr>
                <w:rFonts w:ascii="Times New Roman" w:hAnsi="Times New Roman"/>
                <w:b/>
              </w:rPr>
              <w:t xml:space="preserve">i din sectorul public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entită</w:t>
            </w:r>
            <w:r w:rsidR="00367C88">
              <w:rPr>
                <w:rFonts w:ascii="Times New Roman" w:hAnsi="Times New Roman"/>
              </w:rPr>
              <w:t>ț</w:t>
            </w:r>
            <w:r w:rsidRPr="00825E5B">
              <w:rPr>
                <w:rFonts w:ascii="Times New Roman" w:hAnsi="Times New Roman"/>
              </w:rPr>
              <w:t>i din sectorul public, astfel cum sunt prevăzute la articolul 116 alineatele</w:t>
            </w:r>
            <w:r w:rsidR="00367C88">
              <w:rPr>
                <w:rFonts w:ascii="Times New Roman" w:hAnsi="Times New Roman"/>
              </w:rPr>
              <w:t> </w:t>
            </w:r>
            <w:r w:rsidRPr="00825E5B">
              <w:rPr>
                <w:rFonts w:ascii="Times New Roman" w:hAnsi="Times New Roman"/>
              </w:rPr>
              <w:t xml:space="preserve">(1), (2), (3) </w:t>
            </w:r>
            <w:r w:rsidR="00367C88">
              <w:rPr>
                <w:rFonts w:ascii="Times New Roman" w:hAnsi="Times New Roman"/>
              </w:rPr>
              <w:t>ș</w:t>
            </w:r>
            <w:r w:rsidRPr="00825E5B">
              <w:rPr>
                <w:rFonts w:ascii="Times New Roman" w:hAnsi="Times New Roman"/>
              </w:rPr>
              <w:t xml:space="preserve">i (5)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{170;020}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Entită</w:t>
            </w:r>
            <w:r w:rsidR="00367C88">
              <w:rPr>
                <w:rFonts w:ascii="Times New Roman" w:hAnsi="Times New Roman"/>
                <w:b/>
              </w:rPr>
              <w:t>ț</w:t>
            </w:r>
            <w:r w:rsidRPr="00825E5B">
              <w:rPr>
                <w:rFonts w:ascii="Times New Roman" w:hAnsi="Times New Roman"/>
                <w:b/>
              </w:rPr>
              <w:t xml:space="preserve">i din sectorul public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entită</w:t>
            </w:r>
            <w:r w:rsidR="00367C88">
              <w:rPr>
                <w:rFonts w:ascii="Times New Roman" w:hAnsi="Times New Roman"/>
              </w:rPr>
              <w:t>ț</w:t>
            </w:r>
            <w:r w:rsidRPr="00825E5B">
              <w:rPr>
                <w:rFonts w:ascii="Times New Roman" w:hAnsi="Times New Roman"/>
              </w:rPr>
              <w:t>i din sectorul public care nu sunt tratate ca entită</w:t>
            </w:r>
            <w:r w:rsidR="00367C88">
              <w:rPr>
                <w:rFonts w:ascii="Times New Roman" w:hAnsi="Times New Roman"/>
              </w:rPr>
              <w:t>ț</w:t>
            </w:r>
            <w:r w:rsidRPr="00825E5B">
              <w:rPr>
                <w:rFonts w:ascii="Times New Roman" w:hAnsi="Times New Roman"/>
              </w:rPr>
              <w:t xml:space="preserve">i suverane, astfel cum sunt prevăzute la articolul 147 alineatul (4) litera (b)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Del="00973F19"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{170;030}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Entită</w:t>
            </w:r>
            <w:r w:rsidR="00367C88">
              <w:rPr>
                <w:rFonts w:ascii="Times New Roman" w:hAnsi="Times New Roman"/>
                <w:b/>
              </w:rPr>
              <w:t>ț</w:t>
            </w:r>
            <w:r w:rsidRPr="00825E5B">
              <w:rPr>
                <w:rFonts w:ascii="Times New Roman" w:hAnsi="Times New Roman"/>
                <w:b/>
              </w:rPr>
              <w:t xml:space="preserve">i din sectorul public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entită</w:t>
            </w:r>
            <w:r w:rsidR="00367C88">
              <w:rPr>
                <w:rFonts w:ascii="Times New Roman" w:hAnsi="Times New Roman"/>
              </w:rPr>
              <w:t>ț</w:t>
            </w:r>
            <w:r w:rsidRPr="00825E5B">
              <w:rPr>
                <w:rFonts w:ascii="Times New Roman" w:hAnsi="Times New Roman"/>
              </w:rPr>
              <w:t xml:space="preserve">i din sectorul public, astfel cum sunt prevăzute la articolul 116 alineatele (1), (2), (3) </w:t>
            </w:r>
            <w:r w:rsidR="00367C88">
              <w:rPr>
                <w:rFonts w:ascii="Times New Roman" w:hAnsi="Times New Roman"/>
              </w:rPr>
              <w:t>ș</w:t>
            </w:r>
            <w:r w:rsidRPr="00825E5B">
              <w:rPr>
                <w:rFonts w:ascii="Times New Roman" w:hAnsi="Times New Roman"/>
              </w:rPr>
              <w:t xml:space="preserve">i (5)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{170;040}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Entită</w:t>
            </w:r>
            <w:r w:rsidR="00367C88">
              <w:rPr>
                <w:rFonts w:ascii="Times New Roman" w:hAnsi="Times New Roman"/>
                <w:b/>
              </w:rPr>
              <w:t>ț</w:t>
            </w:r>
            <w:r w:rsidRPr="00825E5B">
              <w:rPr>
                <w:rFonts w:ascii="Times New Roman" w:hAnsi="Times New Roman"/>
                <w:b/>
              </w:rPr>
              <w:t xml:space="preserve">i din sectorul public care </w:t>
            </w:r>
            <w:r w:rsidRPr="00825E5B">
              <w:rPr>
                <w:rFonts w:ascii="Times New Roman" w:hAnsi="Times New Roman"/>
                <w:b/>
                <w:u w:val="single"/>
              </w:rPr>
              <w:t>nu</w:t>
            </w:r>
            <w:r w:rsidRPr="00825E5B">
              <w:rPr>
                <w:rFonts w:ascii="Times New Roman" w:hAnsi="Times New Roman"/>
                <w:b/>
              </w:rPr>
              <w:t xml:space="preserve"> sunt tratate ca entită</w:t>
            </w:r>
            <w:r w:rsidR="00367C88">
              <w:rPr>
                <w:rFonts w:ascii="Times New Roman" w:hAnsi="Times New Roman"/>
                <w:b/>
              </w:rPr>
              <w:t>ț</w:t>
            </w:r>
            <w:r w:rsidRPr="00825E5B">
              <w:rPr>
                <w:rFonts w:ascii="Times New Roman" w:hAnsi="Times New Roman"/>
                <w:b/>
              </w:rPr>
              <w:t>i suverane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entită</w:t>
            </w:r>
            <w:r w:rsidR="00367C88">
              <w:rPr>
                <w:rFonts w:ascii="Times New Roman" w:hAnsi="Times New Roman"/>
              </w:rPr>
              <w:t>ț</w:t>
            </w:r>
            <w:r w:rsidRPr="00825E5B">
              <w:rPr>
                <w:rFonts w:ascii="Times New Roman" w:hAnsi="Times New Roman"/>
              </w:rPr>
              <w:t>i din sectorul public care nu sunt tratate ca entită</w:t>
            </w:r>
            <w:r w:rsidR="00367C88">
              <w:rPr>
                <w:rFonts w:ascii="Times New Roman" w:hAnsi="Times New Roman"/>
              </w:rPr>
              <w:t>ț</w:t>
            </w:r>
            <w:r w:rsidRPr="00825E5B">
              <w:rPr>
                <w:rFonts w:ascii="Times New Roman" w:hAnsi="Times New Roman"/>
              </w:rPr>
              <w:t xml:space="preserve">i suverane, astfel cum sunt prevăzute la articolul 147 alineatul (4) litera (b) din CRR. </w:t>
            </w:r>
          </w:p>
          <w:p w:rsidR="009C4E79" w:rsidRPr="00825E5B" w:rsidRDefault="009C4E79"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{180;010}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Institu</w:t>
            </w:r>
            <w:r w:rsidR="00367C88">
              <w:rPr>
                <w:rFonts w:ascii="Times New Roman" w:hAnsi="Times New Roman"/>
                <w:b/>
              </w:rPr>
              <w:t>ț</w:t>
            </w:r>
            <w:r w:rsidRPr="00825E5B">
              <w:rPr>
                <w:rFonts w:ascii="Times New Roman" w:hAnsi="Times New Roman"/>
                <w:b/>
              </w:rPr>
              <w:t>ii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institu</w:t>
            </w:r>
            <w:r w:rsidR="00367C88">
              <w:rPr>
                <w:rFonts w:ascii="Times New Roman" w:hAnsi="Times New Roman"/>
              </w:rPr>
              <w:t>ț</w:t>
            </w:r>
            <w:r w:rsidRPr="00825E5B">
              <w:rPr>
                <w:rFonts w:ascii="Times New Roman" w:hAnsi="Times New Roman"/>
              </w:rPr>
              <w:t xml:space="preserve">ii, astfel cum sunt prevăzute la articolele 119-121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{180;020}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Institu</w:t>
            </w:r>
            <w:r w:rsidR="00367C88">
              <w:rPr>
                <w:rFonts w:ascii="Times New Roman" w:hAnsi="Times New Roman"/>
                <w:b/>
              </w:rPr>
              <w:t>ț</w:t>
            </w:r>
            <w:r w:rsidRPr="00825E5B">
              <w:rPr>
                <w:rFonts w:ascii="Times New Roman" w:hAnsi="Times New Roman"/>
                <w:b/>
              </w:rPr>
              <w:t>ii</w:t>
            </w:r>
            <w:r w:rsidRPr="00825E5B">
              <w:t xml:space="preserve"> </w:t>
            </w:r>
            <w:r w:rsidRPr="00825E5B">
              <w:rPr>
                <w:rFonts w:ascii="Times New Roman" w:hAnsi="Times New Roman"/>
                <w:b/>
              </w:rPr>
              <w:t>–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institu</w:t>
            </w:r>
            <w:r w:rsidR="00367C88">
              <w:rPr>
                <w:rFonts w:ascii="Times New Roman" w:hAnsi="Times New Roman"/>
              </w:rPr>
              <w:t>ț</w:t>
            </w:r>
            <w:r w:rsidRPr="00825E5B">
              <w:rPr>
                <w:rFonts w:ascii="Times New Roman" w:hAnsi="Times New Roman"/>
              </w:rPr>
              <w:t xml:space="preserve">ii, astfel cum sunt prevăzute la articolul 147 alineatul (2) litera (b) din CRR, </w:t>
            </w:r>
            <w:r w:rsidR="00367C88">
              <w:rPr>
                <w:rFonts w:ascii="Times New Roman" w:hAnsi="Times New Roman"/>
              </w:rPr>
              <w:t>ș</w:t>
            </w:r>
            <w:r w:rsidRPr="00825E5B">
              <w:rPr>
                <w:rFonts w:ascii="Times New Roman" w:hAnsi="Times New Roman"/>
              </w:rPr>
              <w:t xml:space="preserve">i care </w:t>
            </w:r>
            <w:r w:rsidRPr="00825E5B">
              <w:rPr>
                <w:rFonts w:ascii="Times New Roman" w:hAnsi="Times New Roman"/>
                <w:b/>
                <w:u w:val="single"/>
              </w:rPr>
              <w:t>nu</w:t>
            </w:r>
            <w:r w:rsidRPr="00825E5B">
              <w:rPr>
                <w:rFonts w:ascii="Times New Roman" w:hAnsi="Times New Roman"/>
              </w:rPr>
              <w:t xml:space="preserve"> reprezintă expuneri sub formă de obliga</w:t>
            </w:r>
            <w:r w:rsidR="00367C88">
              <w:rPr>
                <w:rFonts w:ascii="Times New Roman" w:hAnsi="Times New Roman"/>
              </w:rPr>
              <w:t>ț</w:t>
            </w:r>
            <w:r w:rsidRPr="00825E5B">
              <w:rPr>
                <w:rFonts w:ascii="Times New Roman" w:hAnsi="Times New Roman"/>
              </w:rPr>
              <w:t xml:space="preserve">iuni garantate conform articolului 161 alineatul (1) litera (d) din CRR </w:t>
            </w:r>
            <w:r w:rsidR="00367C88">
              <w:rPr>
                <w:rFonts w:ascii="Times New Roman" w:hAnsi="Times New Roman"/>
              </w:rPr>
              <w:t>ș</w:t>
            </w:r>
            <w:r w:rsidRPr="00825E5B">
              <w:rPr>
                <w:rFonts w:ascii="Times New Roman" w:hAnsi="Times New Roman"/>
              </w:rPr>
              <w:t xml:space="preserve">i </w:t>
            </w:r>
            <w:r w:rsidRPr="00825E5B">
              <w:rPr>
                <w:rFonts w:ascii="Times New Roman" w:hAnsi="Times New Roman"/>
                <w:b/>
                <w:u w:val="single"/>
              </w:rPr>
              <w:t>nu</w:t>
            </w:r>
            <w:r w:rsidRPr="00825E5B">
              <w:rPr>
                <w:rFonts w:ascii="Times New Roman" w:hAnsi="Times New Roman"/>
              </w:rPr>
              <w:t xml:space="preserve"> se încadrează la articolul 147 alineatul (4) literele (a)-(c) din CRR.</w:t>
            </w:r>
          </w:p>
          <w:p w:rsidR="002509B1" w:rsidRPr="00825E5B" w:rsidRDefault="002509B1"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lastRenderedPageBreak/>
              <w:t>{180;030}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Institu</w:t>
            </w:r>
            <w:r w:rsidR="00367C88">
              <w:rPr>
                <w:rFonts w:ascii="Times New Roman" w:hAnsi="Times New Roman"/>
                <w:b/>
              </w:rPr>
              <w:t>ț</w:t>
            </w:r>
            <w:r w:rsidRPr="00825E5B">
              <w:rPr>
                <w:rFonts w:ascii="Times New Roman" w:hAnsi="Times New Roman"/>
                <w:b/>
              </w:rPr>
              <w:t>ii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institu</w:t>
            </w:r>
            <w:r w:rsidR="00367C88">
              <w:rPr>
                <w:rFonts w:ascii="Times New Roman" w:hAnsi="Times New Roman"/>
              </w:rPr>
              <w:t>ț</w:t>
            </w:r>
            <w:r w:rsidRPr="00825E5B">
              <w:rPr>
                <w:rFonts w:ascii="Times New Roman" w:hAnsi="Times New Roman"/>
              </w:rPr>
              <w:t xml:space="preserve">ii, astfel cum sunt prevăzute la articolele 119-121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{180;040}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Institu</w:t>
            </w:r>
            <w:r w:rsidR="00367C88">
              <w:rPr>
                <w:rFonts w:ascii="Times New Roman" w:hAnsi="Times New Roman"/>
                <w:b/>
              </w:rPr>
              <w:t>ț</w:t>
            </w:r>
            <w:r w:rsidRPr="00825E5B">
              <w:rPr>
                <w:rFonts w:ascii="Times New Roman" w:hAnsi="Times New Roman"/>
                <w:b/>
              </w:rPr>
              <w:t>ii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institu</w:t>
            </w:r>
            <w:r w:rsidR="00367C88">
              <w:rPr>
                <w:rFonts w:ascii="Times New Roman" w:hAnsi="Times New Roman"/>
              </w:rPr>
              <w:t>ț</w:t>
            </w:r>
            <w:r w:rsidRPr="00825E5B">
              <w:rPr>
                <w:rFonts w:ascii="Times New Roman" w:hAnsi="Times New Roman"/>
              </w:rPr>
              <w:t xml:space="preserve">ii, astfel cum sunt prevăzute la articolul 147 alineatul (2) litera (b) din CRR, </w:t>
            </w:r>
            <w:r w:rsidRPr="00825E5B">
              <w:rPr>
                <w:rFonts w:ascii="Times New Roman" w:hAnsi="Times New Roman"/>
                <w:b/>
                <w:u w:val="single"/>
              </w:rPr>
              <w:t>nu</w:t>
            </w:r>
            <w:r w:rsidRPr="00825E5B">
              <w:rPr>
                <w:rFonts w:ascii="Times New Roman" w:hAnsi="Times New Roman"/>
              </w:rPr>
              <w:t xml:space="preserve"> reprezintă expuneri sub formă de obliga</w:t>
            </w:r>
            <w:r w:rsidR="00367C88">
              <w:rPr>
                <w:rFonts w:ascii="Times New Roman" w:hAnsi="Times New Roman"/>
              </w:rPr>
              <w:t>ț</w:t>
            </w:r>
            <w:r w:rsidRPr="00825E5B">
              <w:rPr>
                <w:rFonts w:ascii="Times New Roman" w:hAnsi="Times New Roman"/>
              </w:rPr>
              <w:t xml:space="preserve">iuni garantate, astfel cum sunt prevăzute la articolul 161 alineatul (1) litera (d) din CRR, </w:t>
            </w:r>
            <w:r w:rsidR="00367C88">
              <w:rPr>
                <w:rFonts w:ascii="Times New Roman" w:hAnsi="Times New Roman"/>
              </w:rPr>
              <w:t>ș</w:t>
            </w:r>
            <w:r w:rsidRPr="00825E5B">
              <w:rPr>
                <w:rFonts w:ascii="Times New Roman" w:hAnsi="Times New Roman"/>
              </w:rPr>
              <w:t xml:space="preserve">i </w:t>
            </w:r>
            <w:r w:rsidRPr="00825E5B">
              <w:rPr>
                <w:rFonts w:ascii="Times New Roman" w:hAnsi="Times New Roman"/>
                <w:b/>
                <w:u w:val="single"/>
              </w:rPr>
              <w:t>nu</w:t>
            </w:r>
            <w:r w:rsidRPr="00825E5B">
              <w:rPr>
                <w:rFonts w:ascii="Times New Roman" w:hAnsi="Times New Roman"/>
              </w:rPr>
              <w:t xml:space="preserve"> se încadrează la articolul 147 alineatul (4) literele (a)-(c) din CRR.</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A60C43">
            <w:pPr>
              <w:pStyle w:val="BodyText1"/>
              <w:rPr>
                <w:rFonts w:ascii="Times New Roman" w:hAnsi="Times New Roman"/>
              </w:rPr>
            </w:pPr>
            <w:r w:rsidRPr="00825E5B">
              <w:rPr>
                <w:rFonts w:ascii="Times New Roman" w:hAnsi="Times New Roman"/>
              </w:rPr>
              <w:t>{190;010}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Garantate cu ipoteci asupra bunurilor imobile; din care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garantate cu ipoteci asupra bunurilor imobile, astfel cum sunt prevăzute la articolul 124 din CRR.</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{190;020}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Garantate cu ipoteci asupra bunurilor imobile; din care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i, astfel cum sunt prevăzute la articolul 147 alineatul (2) litera (c), sau expuneri de tip retail, astfel cum sunt prevăzute la articolul 147 alineatul (2) litera (d) din CRR, dacă aceste expuneri sunt garantate cu ipoteci asupra bunurilor imobile, în conformitate cu articolul 199 alineatul (1) litera (a) din CRR.</w:t>
            </w:r>
          </w:p>
          <w:p w:rsidR="002509B1" w:rsidRPr="00825E5B" w:rsidRDefault="002509B1"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{190;030}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Garantate cu ipoteci asupra bunurilor imobile; din care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garantate cu ipoteci asupra bunurilor imobile, astfel cum sunt prevăzute la articolul 124 din CRR.</w:t>
            </w:r>
          </w:p>
          <w:p w:rsidR="002509B1" w:rsidRPr="00825E5B" w:rsidRDefault="002509B1" w:rsidP="007E2A41">
            <w:pPr>
              <w:pStyle w:val="BodyText1"/>
              <w:spacing w:line="240" w:lineRule="auto"/>
              <w:rPr>
                <w:rFonts w:ascii="Times New Roman" w:hAnsi="Times New Roman"/>
                <w:b/>
                <w:bCs/>
                <w:u w:val="single"/>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086A8A" w:rsidRPr="00825E5B" w:rsidRDefault="00086A8A"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{190;040}</w:t>
            </w:r>
          </w:p>
        </w:tc>
        <w:tc>
          <w:tcPr>
            <w:tcW w:w="8133" w:type="dxa"/>
            <w:shd w:val="clear" w:color="auto" w:fill="FFFFFF"/>
          </w:tcPr>
          <w:p w:rsidR="00F4754B" w:rsidRPr="00825E5B" w:rsidRDefault="00F4754B" w:rsidP="00706750">
            <w:pPr>
              <w:pStyle w:val="BodyText1"/>
              <w:tabs>
                <w:tab w:val="left" w:pos="6382"/>
              </w:tabs>
              <w:spacing w:line="240" w:lineRule="auto"/>
              <w:rPr>
                <w:rFonts w:ascii="Times New Roman" w:hAnsi="Times New Roman"/>
                <w:b/>
                <w:bCs/>
              </w:rPr>
            </w:pPr>
            <w:r w:rsidRPr="00825E5B">
              <w:rPr>
                <w:rFonts w:ascii="Times New Roman" w:hAnsi="Times New Roman"/>
                <w:b/>
              </w:rPr>
              <w:t>Garantate cu ipoteci asupra bunurilor imobile; din care – Active ponderate la risc – Expuneri în cadrul abordării bazate pe modele interne de rating</w:t>
            </w:r>
            <w:r w:rsidRPr="00825E5B">
              <w:tab/>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i, astfel cum sunt prevăzute la articolul 147 alineatul (2) litera (c), sau expuneri de tip retail, astfel cum sunt prevăzute la articolul 147 alineatul (2) litera (d) din CRR, dacă aceste expuneri sunt garantate cu ipoteci asupra bunurilor imobile în conformitate cu articolul 199 alineatul (1) litera (a) din CRR.</w:t>
            </w:r>
          </w:p>
          <w:p w:rsidR="002509B1" w:rsidRPr="00825E5B" w:rsidRDefault="002509B1"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EA3F88">
            <w:pPr>
              <w:pStyle w:val="BodyText1"/>
              <w:rPr>
                <w:rFonts w:ascii="Times New Roman" w:hAnsi="Times New Roman"/>
              </w:rPr>
            </w:pPr>
            <w:r w:rsidRPr="00825E5B">
              <w:rPr>
                <w:rFonts w:ascii="Times New Roman" w:hAnsi="Times New Roman"/>
              </w:rPr>
              <w:t>{200;010}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Garantate cu ipoteci asupra bunurilor imobile locative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al activelor care reprezintă expuneri garantate integral </w:t>
            </w:r>
            <w:r w:rsidR="00367C88">
              <w:rPr>
                <w:rFonts w:ascii="Times New Roman" w:hAnsi="Times New Roman"/>
              </w:rPr>
              <w:t>ș</w:t>
            </w:r>
            <w:r w:rsidRPr="00825E5B">
              <w:rPr>
                <w:rFonts w:ascii="Times New Roman" w:hAnsi="Times New Roman"/>
              </w:rPr>
              <w:t>i pe deplin cu ipoteci asupra bunurilor imobile locative, astfel cum sunt prevăzute la articolul 125 din CRR.</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lastRenderedPageBreak/>
              <w:t>{200;020}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rPr>
            </w:pPr>
            <w:r w:rsidRPr="00825E5B">
              <w:rPr>
                <w:rFonts w:ascii="Times New Roman" w:hAnsi="Times New Roman"/>
                <w:b/>
              </w:rPr>
              <w:t>Garantate cu ipoteci asupra bunurilor imobile locative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i, astfel cum sunt prevăzute la articolul 147 alineatul (2) litera (c), sau expuneri de tip retail, astfel cum sunt prevăzute la articolul 147 alineatul (2) litera (d) din CRR, dacă aceste expuneri sunt garantate cu ipoteci asupra bunurilor imobile locative, în conformitate cu articolul 199 alineatul (1) litera (a) din CRR.</w:t>
            </w:r>
          </w:p>
          <w:p w:rsidR="009C4E79" w:rsidRPr="00825E5B" w:rsidRDefault="009C4E79" w:rsidP="007E2A41">
            <w:pPr>
              <w:pStyle w:val="BodyText1"/>
              <w:spacing w:line="240" w:lineRule="auto"/>
              <w:rPr>
                <w:rFonts w:ascii="Times New Roman" w:hAnsi="Times New Roman"/>
                <w:bCs/>
              </w:rPr>
            </w:pPr>
          </w:p>
          <w:p w:rsidR="002509B1" w:rsidRPr="00825E5B" w:rsidDel="003A59D6" w:rsidRDefault="009C4E79" w:rsidP="007E2A41">
            <w:pPr>
              <w:pStyle w:val="BodyText1"/>
              <w:spacing w:line="240" w:lineRule="auto"/>
              <w:rPr>
                <w:rFonts w:ascii="Times New Roman" w:hAnsi="Times New Roman"/>
                <w:b/>
                <w:bCs/>
                <w:u w:val="single"/>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{200;030}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Garantate cu ipoteci asupra bunurilor imobile locative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Cuantumul ponderat la risc al expunerii activelor care reprezintă expuneri garantate integral </w:t>
            </w:r>
            <w:r w:rsidR="00367C88">
              <w:rPr>
                <w:rFonts w:ascii="Times New Roman" w:hAnsi="Times New Roman"/>
              </w:rPr>
              <w:t>ș</w:t>
            </w:r>
            <w:r w:rsidRPr="00825E5B">
              <w:rPr>
                <w:rFonts w:ascii="Times New Roman" w:hAnsi="Times New Roman"/>
              </w:rPr>
              <w:t>i pe deplin cu ipoteci asupra bunurilor imobile locative, astfel cum sunt prevăzute la articolul 125 din CRR.</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F4754B">
            <w:pPr>
              <w:pStyle w:val="BodyText1"/>
              <w:rPr>
                <w:rFonts w:ascii="Times New Roman" w:hAnsi="Times New Roman"/>
              </w:rPr>
            </w:pPr>
            <w:r w:rsidRPr="00825E5B">
              <w:rPr>
                <w:rFonts w:ascii="Times New Roman" w:hAnsi="Times New Roman"/>
              </w:rPr>
              <w:t>{200;040}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Garantate cu ipoteci asupra bunurilor imobile locative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astfel cum sunt prevăzute la articolul 147 alineatul (2) litera (c), sau expuneri de tip retail, astfel cum sunt prevăzute la articolul 147 alineatul (2) litera (d) din CRR, dacă aceste expuneri sunt garantate cu ipoteci asupra bunurilor imobile locative în conformitate cu articolul 199 alineatul (1) litera (a) din CRR. </w:t>
            </w:r>
          </w:p>
          <w:p w:rsidR="009C4E79" w:rsidRPr="00825E5B" w:rsidRDefault="009C4E79" w:rsidP="007E2A41">
            <w:pPr>
              <w:pStyle w:val="BodyText1"/>
              <w:spacing w:line="240" w:lineRule="auto"/>
              <w:rPr>
                <w:rFonts w:ascii="Times New Roman" w:hAnsi="Times New Roman"/>
                <w:bCs/>
              </w:rPr>
            </w:pPr>
          </w:p>
          <w:p w:rsidR="002509B1" w:rsidRPr="00825E5B" w:rsidRDefault="009C4E79" w:rsidP="007E2A41">
            <w:pPr>
              <w:pStyle w:val="BodyText1"/>
              <w:spacing w:line="240" w:lineRule="auto"/>
              <w:rPr>
                <w:rFonts w:ascii="Times New Roman" w:hAnsi="Times New Roman"/>
                <w:b/>
                <w:bCs/>
                <w:u w:val="single"/>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{210;010}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de tip retail; din care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al activelor care reprezintă expuneri de tip retail, astfel cum sunt prevăzute la articolul 123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{210;020}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de tip retail; din care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al activelor care reprezintă expuneri de tip retail, astfel cum sunt prevăzute la articolul 147 alineatul (2) litera (d) din CRR, dacă aceste expuneri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 </w:t>
            </w:r>
          </w:p>
          <w:p w:rsidR="009C4E79" w:rsidRPr="00825E5B" w:rsidRDefault="009C4E79" w:rsidP="007E2A41">
            <w:pPr>
              <w:pStyle w:val="BodyText1"/>
              <w:spacing w:line="240" w:lineRule="auto"/>
              <w:rPr>
                <w:rFonts w:ascii="Times New Roman" w:hAnsi="Times New Roman"/>
                <w:bCs/>
              </w:rPr>
            </w:pPr>
          </w:p>
          <w:p w:rsidR="00086A8A"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{210;030}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de tip retail; din care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Cuantumul ponderat la risc al expunerii activelor care reprezintă expuneri de tip retail, astfel cum </w:t>
            </w:r>
            <w:r w:rsidRPr="00825E5B">
              <w:rPr>
                <w:rFonts w:ascii="Times New Roman" w:hAnsi="Times New Roman"/>
              </w:rPr>
              <w:lastRenderedPageBreak/>
              <w:t xml:space="preserve">sunt prevăzute la articolul 123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A60C43">
            <w:pPr>
              <w:pStyle w:val="BodyText1"/>
              <w:rPr>
                <w:rFonts w:ascii="Times New Roman" w:hAnsi="Times New Roman"/>
              </w:rPr>
            </w:pPr>
            <w:r w:rsidRPr="00825E5B">
              <w:rPr>
                <w:rFonts w:ascii="Times New Roman" w:hAnsi="Times New Roman"/>
              </w:rPr>
              <w:lastRenderedPageBreak/>
              <w:t>{210;040}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de tip retail; din care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Cuantumul ponderat la risc al expunerii activelor care reprezintă expuneri de tip retail, astfel cum sunt prevăzute la articolul 147 alineatul (2) litera (d) din CRR, dacă aceste expuneri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w:t>
            </w:r>
            <w:r w:rsidR="00367C88">
              <w:rPr>
                <w:rFonts w:ascii="Times New Roman" w:hAnsi="Times New Roman"/>
              </w:rPr>
              <w:t> </w:t>
            </w:r>
            <w:r w:rsidRPr="00825E5B">
              <w:rPr>
                <w:rFonts w:ascii="Times New Roman" w:hAnsi="Times New Roman"/>
              </w:rPr>
              <w:t xml:space="preserve">(a) din CRR. </w:t>
            </w:r>
          </w:p>
          <w:p w:rsidR="002509B1" w:rsidRPr="00825E5B" w:rsidRDefault="002509B1"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{220;010}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de tip retail fa</w:t>
            </w:r>
            <w:r w:rsidR="00367C88">
              <w:rPr>
                <w:rFonts w:ascii="Times New Roman" w:hAnsi="Times New Roman"/>
                <w:b/>
              </w:rPr>
              <w:t>ț</w:t>
            </w:r>
            <w:r w:rsidRPr="00825E5B">
              <w:rPr>
                <w:rFonts w:ascii="Times New Roman" w:hAnsi="Times New Roman"/>
                <w:b/>
              </w:rPr>
              <w:t>ă de IMM-uri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de tip retail fa</w:t>
            </w:r>
            <w:r w:rsidR="00367C88">
              <w:rPr>
                <w:rFonts w:ascii="Times New Roman" w:hAnsi="Times New Roman"/>
              </w:rPr>
              <w:t>ț</w:t>
            </w:r>
            <w:r w:rsidRPr="00825E5B">
              <w:rPr>
                <w:rFonts w:ascii="Times New Roman" w:hAnsi="Times New Roman"/>
              </w:rPr>
              <w:t xml:space="preserve">ă de întreprinderi mici </w:t>
            </w:r>
            <w:r w:rsidR="00367C88">
              <w:rPr>
                <w:rFonts w:ascii="Times New Roman" w:hAnsi="Times New Roman"/>
              </w:rPr>
              <w:t>ș</w:t>
            </w:r>
            <w:r w:rsidRPr="00825E5B">
              <w:rPr>
                <w:rFonts w:ascii="Times New Roman" w:hAnsi="Times New Roman"/>
              </w:rPr>
              <w:t>i mijlocii, astfel cum sunt prevăzute la articolul</w:t>
            </w:r>
            <w:r w:rsidR="00367C88">
              <w:rPr>
                <w:rFonts w:ascii="Times New Roman" w:hAnsi="Times New Roman"/>
              </w:rPr>
              <w:t> </w:t>
            </w:r>
            <w:r w:rsidRPr="00825E5B">
              <w:rPr>
                <w:rFonts w:ascii="Times New Roman" w:hAnsi="Times New Roman"/>
              </w:rPr>
              <w:t xml:space="preserve">123 din CRR. </w:t>
            </w:r>
          </w:p>
          <w:p w:rsidR="00BB5324" w:rsidRPr="00825E5B" w:rsidRDefault="00BB5324" w:rsidP="007E2A41">
            <w:pPr>
              <w:pStyle w:val="BodyText1"/>
              <w:spacing w:line="240" w:lineRule="auto"/>
              <w:rPr>
                <w:rFonts w:ascii="Times New Roman" w:hAnsi="Times New Roman"/>
                <w:bCs/>
              </w:rPr>
            </w:pPr>
          </w:p>
          <w:p w:rsidR="004B653A" w:rsidRPr="00825E5B" w:rsidRDefault="004B653A" w:rsidP="007E2A41">
            <w:pPr>
              <w:pStyle w:val="BodyText1"/>
              <w:spacing w:line="240" w:lineRule="auto"/>
              <w:rPr>
                <w:rFonts w:ascii="Times New Roman" w:hAnsi="Times New Roman"/>
                <w:bCs/>
              </w:rPr>
            </w:pPr>
            <w:r w:rsidRPr="00825E5B">
              <w:rPr>
                <w:rFonts w:ascii="Times New Roman" w:hAnsi="Times New Roman"/>
              </w:rPr>
              <w:t>În sensul acestei celule, no</w:t>
            </w:r>
            <w:r w:rsidR="00367C88">
              <w:rPr>
                <w:rFonts w:ascii="Times New Roman" w:hAnsi="Times New Roman"/>
              </w:rPr>
              <w:t>ț</w:t>
            </w:r>
            <w:r w:rsidRPr="00825E5B">
              <w:rPr>
                <w:rFonts w:ascii="Times New Roman" w:hAnsi="Times New Roman"/>
              </w:rPr>
              <w:t>iunea de «întreprindere mică sau mijlocie» este definită în conformitate cu articolul 501 alineatul (2) litera (b) din CRR.</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{220;020}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de tip retail fa</w:t>
            </w:r>
            <w:r w:rsidR="00367C88">
              <w:rPr>
                <w:rFonts w:ascii="Times New Roman" w:hAnsi="Times New Roman"/>
                <w:b/>
              </w:rPr>
              <w:t>ț</w:t>
            </w:r>
            <w:r w:rsidRPr="00825E5B">
              <w:rPr>
                <w:rFonts w:ascii="Times New Roman" w:hAnsi="Times New Roman"/>
                <w:b/>
              </w:rPr>
              <w:t>ă de IMM-uri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315160"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de tip retail, astfel cum sunt prevăzute la articolul 147 alineatul (2) litera (d) din CRR, dacă acestea sunt expuneri fa</w:t>
            </w:r>
            <w:r w:rsidR="00367C88">
              <w:rPr>
                <w:rFonts w:ascii="Times New Roman" w:hAnsi="Times New Roman"/>
              </w:rPr>
              <w:t>ț</w:t>
            </w:r>
            <w:r w:rsidRPr="00825E5B">
              <w:rPr>
                <w:rFonts w:ascii="Times New Roman" w:hAnsi="Times New Roman"/>
              </w:rPr>
              <w:t xml:space="preserve">ă de întreprinderi mici </w:t>
            </w:r>
            <w:r w:rsidR="00367C88">
              <w:rPr>
                <w:rFonts w:ascii="Times New Roman" w:hAnsi="Times New Roman"/>
              </w:rPr>
              <w:t>ș</w:t>
            </w:r>
            <w:r w:rsidRPr="00825E5B">
              <w:rPr>
                <w:rFonts w:ascii="Times New Roman" w:hAnsi="Times New Roman"/>
              </w:rPr>
              <w:t xml:space="preserve">i mijlocii </w:t>
            </w:r>
            <w:r w:rsidR="00367C88">
              <w:rPr>
                <w:rFonts w:ascii="Times New Roman" w:hAnsi="Times New Roman"/>
              </w:rPr>
              <w:t>ș</w:t>
            </w:r>
            <w:r w:rsidRPr="00825E5B">
              <w:rPr>
                <w:rFonts w:ascii="Times New Roman" w:hAnsi="Times New Roman"/>
              </w:rPr>
              <w:t xml:space="preserve">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w:t>
            </w:r>
          </w:p>
          <w:p w:rsidR="00F4754B" w:rsidRPr="00825E5B" w:rsidRDefault="00315160" w:rsidP="007E2A41">
            <w:pPr>
              <w:pStyle w:val="BodyText1"/>
              <w:spacing w:line="240" w:lineRule="auto"/>
              <w:rPr>
                <w:rFonts w:ascii="Times New Roman" w:hAnsi="Times New Roman"/>
                <w:bCs/>
              </w:rPr>
            </w:pPr>
            <w:r w:rsidRPr="00825E5B">
              <w:rPr>
                <w:rFonts w:ascii="Times New Roman" w:hAnsi="Times New Roman"/>
              </w:rPr>
              <w:t xml:space="preserve"> </w:t>
            </w:r>
          </w:p>
          <w:p w:rsidR="004B653A" w:rsidRPr="00825E5B" w:rsidRDefault="004B653A" w:rsidP="007E2A41">
            <w:pPr>
              <w:pStyle w:val="BodyText1"/>
              <w:spacing w:line="240" w:lineRule="auto"/>
              <w:rPr>
                <w:rFonts w:ascii="Times New Roman" w:hAnsi="Times New Roman"/>
                <w:bCs/>
              </w:rPr>
            </w:pPr>
            <w:r w:rsidRPr="00825E5B">
              <w:rPr>
                <w:rFonts w:ascii="Times New Roman" w:hAnsi="Times New Roman"/>
              </w:rPr>
              <w:t>În sensul acestei celule, no</w:t>
            </w:r>
            <w:r w:rsidR="00367C88">
              <w:rPr>
                <w:rFonts w:ascii="Times New Roman" w:hAnsi="Times New Roman"/>
              </w:rPr>
              <w:t>ț</w:t>
            </w:r>
            <w:r w:rsidRPr="00825E5B">
              <w:rPr>
                <w:rFonts w:ascii="Times New Roman" w:hAnsi="Times New Roman"/>
              </w:rPr>
              <w:t>iunea de «întreprindere mică sau mijlocie» este definită în conformitate cu articolul 501 alineatul (2) litera (b) din CRR.</w:t>
            </w:r>
          </w:p>
          <w:p w:rsidR="009C4E79" w:rsidRPr="00825E5B" w:rsidRDefault="009C4E79" w:rsidP="009C4E79">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Del="00EC6E42"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{220;030}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de tip retail fa</w:t>
            </w:r>
            <w:r w:rsidR="00367C88">
              <w:rPr>
                <w:rFonts w:ascii="Times New Roman" w:hAnsi="Times New Roman"/>
                <w:b/>
              </w:rPr>
              <w:t>ț</w:t>
            </w:r>
            <w:r w:rsidRPr="00825E5B">
              <w:rPr>
                <w:rFonts w:ascii="Times New Roman" w:hAnsi="Times New Roman"/>
                <w:b/>
              </w:rPr>
              <w:t>ă de IMM-uri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de tip retail fa</w:t>
            </w:r>
            <w:r w:rsidR="00367C88">
              <w:rPr>
                <w:rFonts w:ascii="Times New Roman" w:hAnsi="Times New Roman"/>
              </w:rPr>
              <w:t>ț</w:t>
            </w:r>
            <w:r w:rsidRPr="00825E5B">
              <w:rPr>
                <w:rFonts w:ascii="Times New Roman" w:hAnsi="Times New Roman"/>
              </w:rPr>
              <w:t xml:space="preserve">ă de întreprinderi mici </w:t>
            </w:r>
            <w:r w:rsidR="00367C88">
              <w:rPr>
                <w:rFonts w:ascii="Times New Roman" w:hAnsi="Times New Roman"/>
              </w:rPr>
              <w:t>ș</w:t>
            </w:r>
            <w:r w:rsidRPr="00825E5B">
              <w:rPr>
                <w:rFonts w:ascii="Times New Roman" w:hAnsi="Times New Roman"/>
              </w:rPr>
              <w:t xml:space="preserve">i mijlocii, astfel cum sunt prevăzute la articolul 123 din CRR. </w:t>
            </w:r>
          </w:p>
          <w:p w:rsidR="00BB5324" w:rsidRPr="00825E5B" w:rsidRDefault="00BB5324" w:rsidP="007E2A41">
            <w:pPr>
              <w:pStyle w:val="BodyText1"/>
              <w:spacing w:line="240" w:lineRule="auto"/>
              <w:rPr>
                <w:rFonts w:ascii="Times New Roman" w:hAnsi="Times New Roman"/>
                <w:bCs/>
              </w:rPr>
            </w:pPr>
          </w:p>
          <w:p w:rsidR="004B653A" w:rsidRPr="00825E5B" w:rsidRDefault="004B653A" w:rsidP="007E2A41">
            <w:pPr>
              <w:pStyle w:val="BodyText1"/>
              <w:spacing w:line="240" w:lineRule="auto"/>
              <w:rPr>
                <w:rFonts w:ascii="Times New Roman" w:hAnsi="Times New Roman"/>
                <w:bCs/>
              </w:rPr>
            </w:pPr>
            <w:r w:rsidRPr="00825E5B">
              <w:rPr>
                <w:rFonts w:ascii="Times New Roman" w:hAnsi="Times New Roman"/>
              </w:rPr>
              <w:t>În sensul acestei celule, no</w:t>
            </w:r>
            <w:r w:rsidR="00367C88">
              <w:rPr>
                <w:rFonts w:ascii="Times New Roman" w:hAnsi="Times New Roman"/>
              </w:rPr>
              <w:t>ț</w:t>
            </w:r>
            <w:r w:rsidRPr="00825E5B">
              <w:rPr>
                <w:rFonts w:ascii="Times New Roman" w:hAnsi="Times New Roman"/>
              </w:rPr>
              <w:t>iunea de «întreprindere mică sau mijlocie» este definită în conformitate cu articolul 501 alineatul (2) litera (b) din CRR.</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{220;040}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de tip retail fa</w:t>
            </w:r>
            <w:r w:rsidR="00367C88">
              <w:rPr>
                <w:rFonts w:ascii="Times New Roman" w:hAnsi="Times New Roman"/>
                <w:b/>
              </w:rPr>
              <w:t>ț</w:t>
            </w:r>
            <w:r w:rsidRPr="00825E5B">
              <w:rPr>
                <w:rFonts w:ascii="Times New Roman" w:hAnsi="Times New Roman"/>
                <w:b/>
              </w:rPr>
              <w:t>ă de IMM-uri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de tip retail, astfel cum sunt prevăzute la articolul 147 alineatul (2) litera (d) din CRR, dacă acestea sunt expuneri fa</w:t>
            </w:r>
            <w:r w:rsidR="00367C88">
              <w:rPr>
                <w:rFonts w:ascii="Times New Roman" w:hAnsi="Times New Roman"/>
              </w:rPr>
              <w:t>ț</w:t>
            </w:r>
            <w:r w:rsidRPr="00825E5B">
              <w:rPr>
                <w:rFonts w:ascii="Times New Roman" w:hAnsi="Times New Roman"/>
              </w:rPr>
              <w:t xml:space="preserve">ă de întreprinderi mici </w:t>
            </w:r>
            <w:r w:rsidR="00367C88">
              <w:rPr>
                <w:rFonts w:ascii="Times New Roman" w:hAnsi="Times New Roman"/>
              </w:rPr>
              <w:t>ș</w:t>
            </w:r>
            <w:r w:rsidRPr="00825E5B">
              <w:rPr>
                <w:rFonts w:ascii="Times New Roman" w:hAnsi="Times New Roman"/>
              </w:rPr>
              <w:t xml:space="preserve">i mijlocii </w:t>
            </w:r>
            <w:r w:rsidR="00367C88">
              <w:rPr>
                <w:rFonts w:ascii="Times New Roman" w:hAnsi="Times New Roman"/>
              </w:rPr>
              <w:t>ș</w:t>
            </w:r>
            <w:r w:rsidRPr="00825E5B">
              <w:rPr>
                <w:rFonts w:ascii="Times New Roman" w:hAnsi="Times New Roman"/>
              </w:rPr>
              <w:t xml:space="preserve">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 </w:t>
            </w:r>
          </w:p>
          <w:p w:rsidR="00BB5324" w:rsidRPr="00825E5B" w:rsidRDefault="00BB5324" w:rsidP="007E2A41">
            <w:pPr>
              <w:pStyle w:val="BodyText1"/>
              <w:spacing w:line="240" w:lineRule="auto"/>
              <w:rPr>
                <w:rFonts w:ascii="Times New Roman" w:hAnsi="Times New Roman"/>
                <w:bCs/>
              </w:rPr>
            </w:pPr>
          </w:p>
          <w:p w:rsidR="004B653A" w:rsidRPr="00825E5B" w:rsidRDefault="004B653A" w:rsidP="007E2A41">
            <w:pPr>
              <w:pStyle w:val="BodyText1"/>
              <w:spacing w:line="240" w:lineRule="auto"/>
              <w:rPr>
                <w:rFonts w:ascii="Times New Roman" w:hAnsi="Times New Roman"/>
                <w:bCs/>
              </w:rPr>
            </w:pPr>
            <w:r w:rsidRPr="00825E5B">
              <w:rPr>
                <w:rFonts w:ascii="Times New Roman" w:hAnsi="Times New Roman"/>
              </w:rPr>
              <w:t>În sensul acestei celule, no</w:t>
            </w:r>
            <w:r w:rsidR="00367C88">
              <w:rPr>
                <w:rFonts w:ascii="Times New Roman" w:hAnsi="Times New Roman"/>
              </w:rPr>
              <w:t>ț</w:t>
            </w:r>
            <w:r w:rsidRPr="00825E5B">
              <w:rPr>
                <w:rFonts w:ascii="Times New Roman" w:hAnsi="Times New Roman"/>
              </w:rPr>
              <w:t xml:space="preserve">iunea de «întreprindere mică sau mijlocie» este definită în conformitate </w:t>
            </w:r>
            <w:r w:rsidRPr="00825E5B">
              <w:rPr>
                <w:rFonts w:ascii="Times New Roman" w:hAnsi="Times New Roman"/>
              </w:rPr>
              <w:lastRenderedPageBreak/>
              <w:t>cu articolul 501 alineatul (2) litera (b) din CRR.</w:t>
            </w:r>
          </w:p>
          <w:p w:rsidR="009C4E79" w:rsidRPr="00825E5B" w:rsidRDefault="009C4E79"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lastRenderedPageBreak/>
              <w:t>{230;010}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din care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 xml:space="preserve">Suma celulelor {240,010} </w:t>
            </w:r>
            <w:r w:rsidR="00367C88">
              <w:rPr>
                <w:rFonts w:ascii="Times New Roman" w:hAnsi="Times New Roman"/>
              </w:rPr>
              <w:t>ș</w:t>
            </w:r>
            <w:r w:rsidRPr="00825E5B">
              <w:rPr>
                <w:rFonts w:ascii="Times New Roman" w:hAnsi="Times New Roman"/>
              </w:rPr>
              <w:t>i {250,010}.</w:t>
            </w:r>
          </w:p>
          <w:p w:rsidR="00086A8A" w:rsidRPr="00825E5B" w:rsidRDefault="00086A8A" w:rsidP="007E2A41">
            <w:pPr>
              <w:pStyle w:val="BodyText1"/>
              <w:spacing w:line="240" w:lineRule="auto"/>
              <w:rPr>
                <w:rFonts w:ascii="Times New Roman" w:hAnsi="Times New Roman"/>
              </w:rPr>
            </w:pPr>
          </w:p>
          <w:p w:rsidR="00086A8A" w:rsidRPr="00825E5B" w:rsidRDefault="00086A8A" w:rsidP="007E2A41">
            <w:pPr>
              <w:pStyle w:val="BodyText1"/>
              <w:spacing w:line="240" w:lineRule="auto"/>
              <w:rPr>
                <w:rFonts w:ascii="Times New Roman" w:hAnsi="Times New Roman"/>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{230;020}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din care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{240,020} </w:t>
            </w:r>
            <w:r w:rsidR="00367C88">
              <w:rPr>
                <w:rFonts w:ascii="Times New Roman" w:hAnsi="Times New Roman"/>
              </w:rPr>
              <w:t>ș</w:t>
            </w:r>
            <w:r w:rsidRPr="00825E5B">
              <w:rPr>
                <w:rFonts w:ascii="Times New Roman" w:hAnsi="Times New Roman"/>
              </w:rPr>
              <w:t>i {250,020}.</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{230;030}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din care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{240,030} </w:t>
            </w:r>
            <w:r w:rsidR="00367C88">
              <w:rPr>
                <w:rFonts w:ascii="Times New Roman" w:hAnsi="Times New Roman"/>
              </w:rPr>
              <w:t>ș</w:t>
            </w:r>
            <w:r w:rsidRPr="00825E5B">
              <w:rPr>
                <w:rFonts w:ascii="Times New Roman" w:hAnsi="Times New Roman"/>
              </w:rPr>
              <w:t>i {250,030}.</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{230;040}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din care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{240,040} </w:t>
            </w:r>
            <w:r w:rsidR="00367C88">
              <w:rPr>
                <w:rFonts w:ascii="Times New Roman" w:hAnsi="Times New Roman"/>
              </w:rPr>
              <w:t>ș</w:t>
            </w:r>
            <w:r w:rsidRPr="00825E5B">
              <w:rPr>
                <w:rFonts w:ascii="Times New Roman" w:hAnsi="Times New Roman"/>
              </w:rPr>
              <w:t>i {250,040}.</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{240;010}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financiare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i financiare, astfel cum sunt prevăzute la articolul 122 din CRR. Pentru completarea formularului LR4, societă</w:t>
            </w:r>
            <w:r w:rsidR="00367C88">
              <w:rPr>
                <w:rFonts w:ascii="Times New Roman" w:hAnsi="Times New Roman"/>
              </w:rPr>
              <w:t>ț</w:t>
            </w:r>
            <w:r w:rsidRPr="00825E5B">
              <w:rPr>
                <w:rFonts w:ascii="Times New Roman" w:hAnsi="Times New Roman"/>
              </w:rPr>
              <w:t>i financiare înseamnă societă</w:t>
            </w:r>
            <w:r w:rsidR="00367C88">
              <w:rPr>
                <w:rFonts w:ascii="Times New Roman" w:hAnsi="Times New Roman"/>
              </w:rPr>
              <w:t>ț</w:t>
            </w:r>
            <w:r w:rsidRPr="00825E5B">
              <w:rPr>
                <w:rFonts w:ascii="Times New Roman" w:hAnsi="Times New Roman"/>
              </w:rPr>
              <w:t xml:space="preserve">i reglementate </w:t>
            </w:r>
            <w:r w:rsidR="00367C88">
              <w:rPr>
                <w:rFonts w:ascii="Times New Roman" w:hAnsi="Times New Roman"/>
              </w:rPr>
              <w:t>ș</w:t>
            </w:r>
            <w:r w:rsidRPr="00825E5B">
              <w:rPr>
                <w:rFonts w:ascii="Times New Roman" w:hAnsi="Times New Roman"/>
              </w:rPr>
              <w:t>i nereglementate, altele decât institu</w:t>
            </w:r>
            <w:r w:rsidR="00367C88">
              <w:rPr>
                <w:rFonts w:ascii="Times New Roman" w:hAnsi="Times New Roman"/>
              </w:rPr>
              <w:t>ț</w:t>
            </w:r>
            <w:r w:rsidRPr="00825E5B">
              <w:rPr>
                <w:rFonts w:ascii="Times New Roman" w:hAnsi="Times New Roman"/>
              </w:rPr>
              <w:t>iile men</w:t>
            </w:r>
            <w:r w:rsidR="00367C88">
              <w:rPr>
                <w:rFonts w:ascii="Times New Roman" w:hAnsi="Times New Roman"/>
              </w:rPr>
              <w:t>ț</w:t>
            </w:r>
            <w:r w:rsidRPr="00825E5B">
              <w:rPr>
                <w:rFonts w:ascii="Times New Roman" w:hAnsi="Times New Roman"/>
              </w:rPr>
              <w:t>ionate în {180;10}, a căror activitate principală constă în achizi</w:t>
            </w:r>
            <w:r w:rsidR="00367C88">
              <w:rPr>
                <w:rFonts w:ascii="Times New Roman" w:hAnsi="Times New Roman"/>
              </w:rPr>
              <w:t>ț</w:t>
            </w:r>
            <w:r w:rsidRPr="00825E5B">
              <w:rPr>
                <w:rFonts w:ascii="Times New Roman" w:hAnsi="Times New Roman"/>
              </w:rPr>
              <w:t>ionarea de participa</w:t>
            </w:r>
            <w:r w:rsidR="00367C88">
              <w:rPr>
                <w:rFonts w:ascii="Times New Roman" w:hAnsi="Times New Roman"/>
              </w:rPr>
              <w:t>ț</w:t>
            </w:r>
            <w:r w:rsidRPr="00825E5B">
              <w:rPr>
                <w:rFonts w:ascii="Times New Roman" w:hAnsi="Times New Roman"/>
              </w:rPr>
              <w:t>ii sau în desfă</w:t>
            </w:r>
            <w:r w:rsidR="00367C88">
              <w:rPr>
                <w:rFonts w:ascii="Times New Roman" w:hAnsi="Times New Roman"/>
              </w:rPr>
              <w:t>ș</w:t>
            </w:r>
            <w:r w:rsidRPr="00825E5B">
              <w:rPr>
                <w:rFonts w:ascii="Times New Roman" w:hAnsi="Times New Roman"/>
              </w:rPr>
              <w:t>urarea uneia sau a mai multora dintre activită</w:t>
            </w:r>
            <w:r w:rsidR="00367C88">
              <w:rPr>
                <w:rFonts w:ascii="Times New Roman" w:hAnsi="Times New Roman"/>
              </w:rPr>
              <w:t>ț</w:t>
            </w:r>
            <w:r w:rsidRPr="00825E5B">
              <w:rPr>
                <w:rFonts w:ascii="Times New Roman" w:hAnsi="Times New Roman"/>
              </w:rPr>
              <w:t xml:space="preserve">ile incluse în anexa I la Directiva 2013/36/UE, precum </w:t>
            </w:r>
            <w:r w:rsidR="00367C88">
              <w:rPr>
                <w:rFonts w:ascii="Times New Roman" w:hAnsi="Times New Roman"/>
              </w:rPr>
              <w:t>ș</w:t>
            </w:r>
            <w:r w:rsidRPr="00825E5B">
              <w:rPr>
                <w:rFonts w:ascii="Times New Roman" w:hAnsi="Times New Roman"/>
              </w:rPr>
              <w:t>i întreprinderile definite la articolul 4 alineatul (1) punctul 27 din CRR, altele decât institu</w:t>
            </w:r>
            <w:r w:rsidR="00367C88">
              <w:rPr>
                <w:rFonts w:ascii="Times New Roman" w:hAnsi="Times New Roman"/>
              </w:rPr>
              <w:t>ț</w:t>
            </w:r>
            <w:r w:rsidRPr="00825E5B">
              <w:rPr>
                <w:rFonts w:ascii="Times New Roman" w:hAnsi="Times New Roman"/>
              </w:rPr>
              <w:t>iile men</w:t>
            </w:r>
            <w:r w:rsidR="00367C88">
              <w:rPr>
                <w:rFonts w:ascii="Times New Roman" w:hAnsi="Times New Roman"/>
              </w:rPr>
              <w:t>ț</w:t>
            </w:r>
            <w:r w:rsidRPr="00825E5B">
              <w:rPr>
                <w:rFonts w:ascii="Times New Roman" w:hAnsi="Times New Roman"/>
              </w:rPr>
              <w:t xml:space="preserve">ionate în 180;10. </w:t>
            </w:r>
          </w:p>
          <w:p w:rsidR="00086A8A" w:rsidRPr="00825E5B" w:rsidRDefault="00BB5324" w:rsidP="007E2A41">
            <w:pPr>
              <w:pStyle w:val="BodyText1"/>
              <w:spacing w:line="240" w:lineRule="auto"/>
              <w:rPr>
                <w:rFonts w:ascii="Times New Roman" w:hAnsi="Times New Roman"/>
                <w:bCs/>
              </w:rPr>
            </w:pPr>
            <w:r w:rsidRPr="00825E5B">
              <w:rPr>
                <w:rFonts w:ascii="Times New Roman" w:hAnsi="Times New Roman"/>
              </w:rPr>
              <w:t>.</w:t>
            </w: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EA3F88">
            <w:pPr>
              <w:pStyle w:val="BodyText1"/>
              <w:rPr>
                <w:rFonts w:ascii="Times New Roman" w:hAnsi="Times New Roman"/>
              </w:rPr>
            </w:pPr>
            <w:r w:rsidRPr="00825E5B">
              <w:rPr>
                <w:rFonts w:ascii="Times New Roman" w:hAnsi="Times New Roman"/>
              </w:rPr>
              <w:t>{240;020}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financiare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i financiare, astfel cum sunt prevăzute la articolul 147 alineatul (2) litera</w:t>
            </w:r>
            <w:r w:rsidR="00367C88">
              <w:rPr>
                <w:rFonts w:ascii="Times New Roman" w:hAnsi="Times New Roman"/>
              </w:rPr>
              <w:t> </w:t>
            </w:r>
            <w:r w:rsidRPr="00825E5B">
              <w:rPr>
                <w:rFonts w:ascii="Times New Roman" w:hAnsi="Times New Roman"/>
              </w:rPr>
              <w:t xml:space="preserve">(c) din CRR, dacă aceste expuneri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 Pentru completarea formularului LR4, societă</w:t>
            </w:r>
            <w:r w:rsidR="00367C88">
              <w:rPr>
                <w:rFonts w:ascii="Times New Roman" w:hAnsi="Times New Roman"/>
              </w:rPr>
              <w:t>ț</w:t>
            </w:r>
            <w:r w:rsidRPr="00825E5B">
              <w:rPr>
                <w:rFonts w:ascii="Times New Roman" w:hAnsi="Times New Roman"/>
              </w:rPr>
              <w:t>i financiare înseamnă societă</w:t>
            </w:r>
            <w:r w:rsidR="00367C88">
              <w:rPr>
                <w:rFonts w:ascii="Times New Roman" w:hAnsi="Times New Roman"/>
              </w:rPr>
              <w:t>ț</w:t>
            </w:r>
            <w:r w:rsidRPr="00825E5B">
              <w:rPr>
                <w:rFonts w:ascii="Times New Roman" w:hAnsi="Times New Roman"/>
              </w:rPr>
              <w:t xml:space="preserve">i reglementate </w:t>
            </w:r>
            <w:r w:rsidR="00367C88">
              <w:rPr>
                <w:rFonts w:ascii="Times New Roman" w:hAnsi="Times New Roman"/>
              </w:rPr>
              <w:t>ș</w:t>
            </w:r>
            <w:r w:rsidRPr="00825E5B">
              <w:rPr>
                <w:rFonts w:ascii="Times New Roman" w:hAnsi="Times New Roman"/>
              </w:rPr>
              <w:t>i nereglementate, altele decât institu</w:t>
            </w:r>
            <w:r w:rsidR="00367C88">
              <w:rPr>
                <w:rFonts w:ascii="Times New Roman" w:hAnsi="Times New Roman"/>
              </w:rPr>
              <w:t>ț</w:t>
            </w:r>
            <w:r w:rsidRPr="00825E5B">
              <w:rPr>
                <w:rFonts w:ascii="Times New Roman" w:hAnsi="Times New Roman"/>
              </w:rPr>
              <w:t>iile men</w:t>
            </w:r>
            <w:r w:rsidR="00367C88">
              <w:rPr>
                <w:rFonts w:ascii="Times New Roman" w:hAnsi="Times New Roman"/>
              </w:rPr>
              <w:t>ț</w:t>
            </w:r>
            <w:r w:rsidRPr="00825E5B">
              <w:rPr>
                <w:rFonts w:ascii="Times New Roman" w:hAnsi="Times New Roman"/>
              </w:rPr>
              <w:t>ionate în {180;10}, a căror activitate principală constă în achizi</w:t>
            </w:r>
            <w:r w:rsidR="00367C88">
              <w:rPr>
                <w:rFonts w:ascii="Times New Roman" w:hAnsi="Times New Roman"/>
              </w:rPr>
              <w:t>ț</w:t>
            </w:r>
            <w:r w:rsidRPr="00825E5B">
              <w:rPr>
                <w:rFonts w:ascii="Times New Roman" w:hAnsi="Times New Roman"/>
              </w:rPr>
              <w:t>ionarea de participa</w:t>
            </w:r>
            <w:r w:rsidR="00367C88">
              <w:rPr>
                <w:rFonts w:ascii="Times New Roman" w:hAnsi="Times New Roman"/>
              </w:rPr>
              <w:t>ț</w:t>
            </w:r>
            <w:r w:rsidRPr="00825E5B">
              <w:rPr>
                <w:rFonts w:ascii="Times New Roman" w:hAnsi="Times New Roman"/>
              </w:rPr>
              <w:t>ii sau în desfă</w:t>
            </w:r>
            <w:r w:rsidR="00367C88">
              <w:rPr>
                <w:rFonts w:ascii="Times New Roman" w:hAnsi="Times New Roman"/>
              </w:rPr>
              <w:t>ș</w:t>
            </w:r>
            <w:r w:rsidRPr="00825E5B">
              <w:rPr>
                <w:rFonts w:ascii="Times New Roman" w:hAnsi="Times New Roman"/>
              </w:rPr>
              <w:t>urarea uneia sau a mai multora dintre activită</w:t>
            </w:r>
            <w:r w:rsidR="00367C88">
              <w:rPr>
                <w:rFonts w:ascii="Times New Roman" w:hAnsi="Times New Roman"/>
              </w:rPr>
              <w:t>ț</w:t>
            </w:r>
            <w:r w:rsidRPr="00825E5B">
              <w:rPr>
                <w:rFonts w:ascii="Times New Roman" w:hAnsi="Times New Roman"/>
              </w:rPr>
              <w:t xml:space="preserve">ile incluse în anexa I la Directiva 2013/36/UE, precum </w:t>
            </w:r>
            <w:r w:rsidR="00367C88">
              <w:rPr>
                <w:rFonts w:ascii="Times New Roman" w:hAnsi="Times New Roman"/>
              </w:rPr>
              <w:t>ș</w:t>
            </w:r>
            <w:r w:rsidRPr="00825E5B">
              <w:rPr>
                <w:rFonts w:ascii="Times New Roman" w:hAnsi="Times New Roman"/>
              </w:rPr>
              <w:t>i întreprinderile definite la articolul 4 alineatul (1) punctul 27 din CRR, altele decât institu</w:t>
            </w:r>
            <w:r w:rsidR="00367C88">
              <w:rPr>
                <w:rFonts w:ascii="Times New Roman" w:hAnsi="Times New Roman"/>
              </w:rPr>
              <w:t>ț</w:t>
            </w:r>
            <w:r w:rsidRPr="00825E5B">
              <w:rPr>
                <w:rFonts w:ascii="Times New Roman" w:hAnsi="Times New Roman"/>
              </w:rPr>
              <w:t>iile men</w:t>
            </w:r>
            <w:r w:rsidR="00367C88">
              <w:rPr>
                <w:rFonts w:ascii="Times New Roman" w:hAnsi="Times New Roman"/>
              </w:rPr>
              <w:t>ț</w:t>
            </w:r>
            <w:r w:rsidRPr="00825E5B">
              <w:rPr>
                <w:rFonts w:ascii="Times New Roman" w:hAnsi="Times New Roman"/>
              </w:rPr>
              <w:t xml:space="preserve">ionate în {180;10}. </w:t>
            </w:r>
          </w:p>
          <w:p w:rsidR="002509B1" w:rsidRPr="00825E5B" w:rsidRDefault="002509B1"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lastRenderedPageBreak/>
              <w:t>{240;030}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financiare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i financiare, astfel cum sunt prevăzute la articolul 122 din CRR. Pentru completarea formularului LR4, societă</w:t>
            </w:r>
            <w:r w:rsidR="00367C88">
              <w:rPr>
                <w:rFonts w:ascii="Times New Roman" w:hAnsi="Times New Roman"/>
              </w:rPr>
              <w:t>ț</w:t>
            </w:r>
            <w:r w:rsidRPr="00825E5B">
              <w:rPr>
                <w:rFonts w:ascii="Times New Roman" w:hAnsi="Times New Roman"/>
              </w:rPr>
              <w:t>i financiare înseamnă societă</w:t>
            </w:r>
            <w:r w:rsidR="00367C88">
              <w:rPr>
                <w:rFonts w:ascii="Times New Roman" w:hAnsi="Times New Roman"/>
              </w:rPr>
              <w:t>ț</w:t>
            </w:r>
            <w:r w:rsidRPr="00825E5B">
              <w:rPr>
                <w:rFonts w:ascii="Times New Roman" w:hAnsi="Times New Roman"/>
              </w:rPr>
              <w:t xml:space="preserve">i reglementate </w:t>
            </w:r>
            <w:r w:rsidR="00367C88">
              <w:rPr>
                <w:rFonts w:ascii="Times New Roman" w:hAnsi="Times New Roman"/>
              </w:rPr>
              <w:t>ș</w:t>
            </w:r>
            <w:r w:rsidRPr="00825E5B">
              <w:rPr>
                <w:rFonts w:ascii="Times New Roman" w:hAnsi="Times New Roman"/>
              </w:rPr>
              <w:t>i nereglementate, altele decât institu</w:t>
            </w:r>
            <w:r w:rsidR="00367C88">
              <w:rPr>
                <w:rFonts w:ascii="Times New Roman" w:hAnsi="Times New Roman"/>
              </w:rPr>
              <w:t>ț</w:t>
            </w:r>
            <w:r w:rsidRPr="00825E5B">
              <w:rPr>
                <w:rFonts w:ascii="Times New Roman" w:hAnsi="Times New Roman"/>
              </w:rPr>
              <w:t>iile men</w:t>
            </w:r>
            <w:r w:rsidR="00367C88">
              <w:rPr>
                <w:rFonts w:ascii="Times New Roman" w:hAnsi="Times New Roman"/>
              </w:rPr>
              <w:t>ț</w:t>
            </w:r>
            <w:r w:rsidRPr="00825E5B">
              <w:rPr>
                <w:rFonts w:ascii="Times New Roman" w:hAnsi="Times New Roman"/>
              </w:rPr>
              <w:t>ionate în {180;10}, a căror activitate principală constă în achizi</w:t>
            </w:r>
            <w:r w:rsidR="00367C88">
              <w:rPr>
                <w:rFonts w:ascii="Times New Roman" w:hAnsi="Times New Roman"/>
              </w:rPr>
              <w:t>ț</w:t>
            </w:r>
            <w:r w:rsidRPr="00825E5B">
              <w:rPr>
                <w:rFonts w:ascii="Times New Roman" w:hAnsi="Times New Roman"/>
              </w:rPr>
              <w:t>ionarea de participa</w:t>
            </w:r>
            <w:r w:rsidR="00367C88">
              <w:rPr>
                <w:rFonts w:ascii="Times New Roman" w:hAnsi="Times New Roman"/>
              </w:rPr>
              <w:t>ț</w:t>
            </w:r>
            <w:r w:rsidRPr="00825E5B">
              <w:rPr>
                <w:rFonts w:ascii="Times New Roman" w:hAnsi="Times New Roman"/>
              </w:rPr>
              <w:t>ii sau în desfă</w:t>
            </w:r>
            <w:r w:rsidR="00367C88">
              <w:rPr>
                <w:rFonts w:ascii="Times New Roman" w:hAnsi="Times New Roman"/>
              </w:rPr>
              <w:t>ș</w:t>
            </w:r>
            <w:r w:rsidRPr="00825E5B">
              <w:rPr>
                <w:rFonts w:ascii="Times New Roman" w:hAnsi="Times New Roman"/>
              </w:rPr>
              <w:t>urarea uneia sau a mai multora dintre activită</w:t>
            </w:r>
            <w:r w:rsidR="00367C88">
              <w:rPr>
                <w:rFonts w:ascii="Times New Roman" w:hAnsi="Times New Roman"/>
              </w:rPr>
              <w:t>ț</w:t>
            </w:r>
            <w:r w:rsidRPr="00825E5B">
              <w:rPr>
                <w:rFonts w:ascii="Times New Roman" w:hAnsi="Times New Roman"/>
              </w:rPr>
              <w:t xml:space="preserve">ile incluse în anexa I la Directiva 2013/36/UE, precum </w:t>
            </w:r>
            <w:r w:rsidR="00367C88">
              <w:rPr>
                <w:rFonts w:ascii="Times New Roman" w:hAnsi="Times New Roman"/>
              </w:rPr>
              <w:t>ș</w:t>
            </w:r>
            <w:r w:rsidRPr="00825E5B">
              <w:rPr>
                <w:rFonts w:ascii="Times New Roman" w:hAnsi="Times New Roman"/>
              </w:rPr>
              <w:t>i întreprinderile definite la articolul 4 alineatul (1) punctul 27 din CRR, altele decât institu</w:t>
            </w:r>
            <w:r w:rsidR="00367C88">
              <w:rPr>
                <w:rFonts w:ascii="Times New Roman" w:hAnsi="Times New Roman"/>
              </w:rPr>
              <w:t>ț</w:t>
            </w:r>
            <w:r w:rsidRPr="00825E5B">
              <w:rPr>
                <w:rFonts w:ascii="Times New Roman" w:hAnsi="Times New Roman"/>
              </w:rPr>
              <w:t>iile men</w:t>
            </w:r>
            <w:r w:rsidR="00367C88">
              <w:rPr>
                <w:rFonts w:ascii="Times New Roman" w:hAnsi="Times New Roman"/>
              </w:rPr>
              <w:t>ț</w:t>
            </w:r>
            <w:r w:rsidRPr="00825E5B">
              <w:rPr>
                <w:rFonts w:ascii="Times New Roman" w:hAnsi="Times New Roman"/>
              </w:rPr>
              <w:t xml:space="preserve">ionate în {180;10}.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{240;040}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financiare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financiare, astfel cum sunt prevăzute la articolul 147 alineatul (2) litera (c) din CRR, dacă aceste expuneri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 Pentru completarea formularului LR4, societă</w:t>
            </w:r>
            <w:r w:rsidR="00367C88">
              <w:rPr>
                <w:rFonts w:ascii="Times New Roman" w:hAnsi="Times New Roman"/>
              </w:rPr>
              <w:t>ț</w:t>
            </w:r>
            <w:r w:rsidRPr="00825E5B">
              <w:rPr>
                <w:rFonts w:ascii="Times New Roman" w:hAnsi="Times New Roman"/>
              </w:rPr>
              <w:t>i financiare înseamnă societă</w:t>
            </w:r>
            <w:r w:rsidR="00367C88">
              <w:rPr>
                <w:rFonts w:ascii="Times New Roman" w:hAnsi="Times New Roman"/>
              </w:rPr>
              <w:t>ț</w:t>
            </w:r>
            <w:r w:rsidRPr="00825E5B">
              <w:rPr>
                <w:rFonts w:ascii="Times New Roman" w:hAnsi="Times New Roman"/>
              </w:rPr>
              <w:t xml:space="preserve">i reglementate </w:t>
            </w:r>
            <w:r w:rsidR="00367C88">
              <w:rPr>
                <w:rFonts w:ascii="Times New Roman" w:hAnsi="Times New Roman"/>
              </w:rPr>
              <w:t>ș</w:t>
            </w:r>
            <w:r w:rsidRPr="00825E5B">
              <w:rPr>
                <w:rFonts w:ascii="Times New Roman" w:hAnsi="Times New Roman"/>
              </w:rPr>
              <w:t>i nereglementate, altele decât institu</w:t>
            </w:r>
            <w:r w:rsidR="00367C88">
              <w:rPr>
                <w:rFonts w:ascii="Times New Roman" w:hAnsi="Times New Roman"/>
              </w:rPr>
              <w:t>ț</w:t>
            </w:r>
            <w:r w:rsidRPr="00825E5B">
              <w:rPr>
                <w:rFonts w:ascii="Times New Roman" w:hAnsi="Times New Roman"/>
              </w:rPr>
              <w:t>iile men</w:t>
            </w:r>
            <w:r w:rsidR="00367C88">
              <w:rPr>
                <w:rFonts w:ascii="Times New Roman" w:hAnsi="Times New Roman"/>
              </w:rPr>
              <w:t>ț</w:t>
            </w:r>
            <w:r w:rsidRPr="00825E5B">
              <w:rPr>
                <w:rFonts w:ascii="Times New Roman" w:hAnsi="Times New Roman"/>
              </w:rPr>
              <w:t>ionate în {180;10}, a căror activitate principală constă în achizi</w:t>
            </w:r>
            <w:r w:rsidR="00367C88">
              <w:rPr>
                <w:rFonts w:ascii="Times New Roman" w:hAnsi="Times New Roman"/>
              </w:rPr>
              <w:t>ț</w:t>
            </w:r>
            <w:r w:rsidRPr="00825E5B">
              <w:rPr>
                <w:rFonts w:ascii="Times New Roman" w:hAnsi="Times New Roman"/>
              </w:rPr>
              <w:t>ionarea de participa</w:t>
            </w:r>
            <w:r w:rsidR="00367C88">
              <w:rPr>
                <w:rFonts w:ascii="Times New Roman" w:hAnsi="Times New Roman"/>
              </w:rPr>
              <w:t>ț</w:t>
            </w:r>
            <w:r w:rsidRPr="00825E5B">
              <w:rPr>
                <w:rFonts w:ascii="Times New Roman" w:hAnsi="Times New Roman"/>
              </w:rPr>
              <w:t>ii sau în desfă</w:t>
            </w:r>
            <w:r w:rsidR="00367C88">
              <w:rPr>
                <w:rFonts w:ascii="Times New Roman" w:hAnsi="Times New Roman"/>
              </w:rPr>
              <w:t>ș</w:t>
            </w:r>
            <w:r w:rsidRPr="00825E5B">
              <w:rPr>
                <w:rFonts w:ascii="Times New Roman" w:hAnsi="Times New Roman"/>
              </w:rPr>
              <w:t>urarea uneia sau a mai multora dintre activită</w:t>
            </w:r>
            <w:r w:rsidR="00367C88">
              <w:rPr>
                <w:rFonts w:ascii="Times New Roman" w:hAnsi="Times New Roman"/>
              </w:rPr>
              <w:t>ț</w:t>
            </w:r>
            <w:r w:rsidRPr="00825E5B">
              <w:rPr>
                <w:rFonts w:ascii="Times New Roman" w:hAnsi="Times New Roman"/>
              </w:rPr>
              <w:t xml:space="preserve">ile incluse în anexa I la Directiva 2013/36/UE, precum </w:t>
            </w:r>
            <w:r w:rsidR="00367C88">
              <w:rPr>
                <w:rFonts w:ascii="Times New Roman" w:hAnsi="Times New Roman"/>
              </w:rPr>
              <w:t>ș</w:t>
            </w:r>
            <w:r w:rsidRPr="00825E5B">
              <w:rPr>
                <w:rFonts w:ascii="Times New Roman" w:hAnsi="Times New Roman"/>
              </w:rPr>
              <w:t>i întreprinderile definite la articolul 4 alineatul (1) punctul 27 din CRR, altele decât institu</w:t>
            </w:r>
            <w:r w:rsidR="00367C88">
              <w:rPr>
                <w:rFonts w:ascii="Times New Roman" w:hAnsi="Times New Roman"/>
              </w:rPr>
              <w:t>ț</w:t>
            </w:r>
            <w:r w:rsidRPr="00825E5B">
              <w:rPr>
                <w:rFonts w:ascii="Times New Roman" w:hAnsi="Times New Roman"/>
              </w:rPr>
              <w:t>iile men</w:t>
            </w:r>
            <w:r w:rsidR="00367C88">
              <w:rPr>
                <w:rFonts w:ascii="Times New Roman" w:hAnsi="Times New Roman"/>
              </w:rPr>
              <w:t>ț</w:t>
            </w:r>
            <w:r w:rsidRPr="00825E5B">
              <w:rPr>
                <w:rFonts w:ascii="Times New Roman" w:hAnsi="Times New Roman"/>
              </w:rPr>
              <w:t xml:space="preserve">ionate în {180;10}.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{250;010}</w:t>
            </w:r>
          </w:p>
        </w:tc>
        <w:tc>
          <w:tcPr>
            <w:tcW w:w="8133" w:type="dxa"/>
            <w:shd w:val="clear" w:color="auto" w:fill="FFFFFF"/>
          </w:tcPr>
          <w:p w:rsidR="00F4754B" w:rsidRPr="00825E5B" w:rsidRDefault="00CD1DA1"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nefinanciare; din care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w:t>
            </w:r>
            <w:r w:rsidRPr="00825E5B">
              <w:rPr>
                <w:rFonts w:ascii="Times New Roman" w:hAnsi="Times New Roman"/>
                <w:b/>
              </w:rPr>
              <w:t>ne</w:t>
            </w:r>
            <w:r w:rsidRPr="00825E5B">
              <w:rPr>
                <w:rFonts w:ascii="Times New Roman" w:hAnsi="Times New Roman"/>
              </w:rPr>
              <w:t xml:space="preserve">financiare, astfel cum sunt prevăzute la articolul 122 din CRR. </w:t>
            </w:r>
          </w:p>
          <w:p w:rsidR="00FA71DB" w:rsidRPr="00825E5B" w:rsidRDefault="00FA71D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{260,010} </w:t>
            </w:r>
            <w:r w:rsidR="00367C88">
              <w:rPr>
                <w:rFonts w:ascii="Times New Roman" w:hAnsi="Times New Roman"/>
              </w:rPr>
              <w:t>ș</w:t>
            </w:r>
            <w:r w:rsidRPr="00825E5B">
              <w:rPr>
                <w:rFonts w:ascii="Times New Roman" w:hAnsi="Times New Roman"/>
              </w:rPr>
              <w:t>i {270,010}.</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{250;020}</w:t>
            </w:r>
          </w:p>
        </w:tc>
        <w:tc>
          <w:tcPr>
            <w:tcW w:w="8133" w:type="dxa"/>
            <w:shd w:val="clear" w:color="auto" w:fill="FFFFFF"/>
          </w:tcPr>
          <w:p w:rsidR="00F4754B" w:rsidRPr="00825E5B" w:rsidRDefault="00CD1DA1"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nefinanciare; din care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A71D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w:t>
            </w:r>
            <w:r w:rsidRPr="00825E5B">
              <w:rPr>
                <w:rFonts w:ascii="Times New Roman" w:hAnsi="Times New Roman"/>
                <w:b/>
              </w:rPr>
              <w:t>ne</w:t>
            </w:r>
            <w:r w:rsidRPr="00825E5B">
              <w:rPr>
                <w:rFonts w:ascii="Times New Roman" w:hAnsi="Times New Roman"/>
              </w:rPr>
              <w:t xml:space="preserve">financiare, astfel cum sunt prevăzute la articolul 147 alineatul (2) litera (c) din CRR, dacă aceste expuneri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 </w:t>
            </w:r>
          </w:p>
          <w:p w:rsidR="00BE6AC4" w:rsidRPr="00825E5B" w:rsidRDefault="00BE6AC4"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{260,020} </w:t>
            </w:r>
            <w:r w:rsidR="00367C88">
              <w:rPr>
                <w:rFonts w:ascii="Times New Roman" w:hAnsi="Times New Roman"/>
              </w:rPr>
              <w:t>ș</w:t>
            </w:r>
            <w:r w:rsidRPr="00825E5B">
              <w:rPr>
                <w:rFonts w:ascii="Times New Roman" w:hAnsi="Times New Roman"/>
              </w:rPr>
              <w:t>i {270,020}.</w:t>
            </w:r>
          </w:p>
          <w:p w:rsidR="002509B1" w:rsidRPr="00825E5B" w:rsidRDefault="002509B1"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A60C43">
            <w:pPr>
              <w:pStyle w:val="BodyText1"/>
              <w:rPr>
                <w:rFonts w:ascii="Times New Roman" w:hAnsi="Times New Roman"/>
              </w:rPr>
            </w:pPr>
            <w:r w:rsidRPr="00825E5B">
              <w:rPr>
                <w:rFonts w:ascii="Times New Roman" w:hAnsi="Times New Roman"/>
              </w:rPr>
              <w:t>{250;030}</w:t>
            </w:r>
          </w:p>
        </w:tc>
        <w:tc>
          <w:tcPr>
            <w:tcW w:w="8133" w:type="dxa"/>
            <w:shd w:val="clear" w:color="auto" w:fill="FFFFFF"/>
          </w:tcPr>
          <w:p w:rsidR="00F4754B" w:rsidRPr="00825E5B" w:rsidRDefault="00CD1DA1"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nefinanciare; din care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w:t>
            </w:r>
            <w:r w:rsidRPr="00825E5B">
              <w:rPr>
                <w:rFonts w:ascii="Times New Roman" w:hAnsi="Times New Roman"/>
                <w:b/>
              </w:rPr>
              <w:t>ne</w:t>
            </w:r>
            <w:r w:rsidRPr="00825E5B">
              <w:rPr>
                <w:rFonts w:ascii="Times New Roman" w:hAnsi="Times New Roman"/>
              </w:rPr>
              <w:t xml:space="preserve">financiare, astfel cum sunt prevăzute la articolul 122 din CRR. </w:t>
            </w:r>
          </w:p>
          <w:p w:rsidR="00FA71DB" w:rsidRPr="00825E5B" w:rsidRDefault="00FA71D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{260,030} </w:t>
            </w:r>
            <w:r w:rsidR="00367C88">
              <w:rPr>
                <w:rFonts w:ascii="Times New Roman" w:hAnsi="Times New Roman"/>
              </w:rPr>
              <w:t>ș</w:t>
            </w:r>
            <w:r w:rsidRPr="00825E5B">
              <w:rPr>
                <w:rFonts w:ascii="Times New Roman" w:hAnsi="Times New Roman"/>
              </w:rPr>
              <w:t>i {270,030}.</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Del="00504CFF"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EA3F88">
            <w:pPr>
              <w:pStyle w:val="BodyText1"/>
              <w:rPr>
                <w:rFonts w:ascii="Times New Roman" w:hAnsi="Times New Roman"/>
                <w:bCs/>
              </w:rPr>
            </w:pPr>
            <w:r w:rsidRPr="00825E5B">
              <w:rPr>
                <w:rFonts w:ascii="Times New Roman" w:hAnsi="Times New Roman"/>
              </w:rPr>
              <w:lastRenderedPageBreak/>
              <w:t>{250;040}</w:t>
            </w:r>
          </w:p>
        </w:tc>
        <w:tc>
          <w:tcPr>
            <w:tcW w:w="8133" w:type="dxa"/>
            <w:shd w:val="clear" w:color="auto" w:fill="FFFFFF"/>
          </w:tcPr>
          <w:p w:rsidR="00F4754B" w:rsidRPr="00825E5B" w:rsidRDefault="00CD1DA1" w:rsidP="007E2A41">
            <w:pPr>
              <w:pStyle w:val="BodyText1"/>
              <w:spacing w:line="240" w:lineRule="auto"/>
              <w:rPr>
                <w:rFonts w:ascii="Times New Roman" w:hAnsi="Times New Roman"/>
                <w:b/>
                <w:bCs/>
              </w:rPr>
            </w:pPr>
            <w:r w:rsidRPr="00825E5B">
              <w:rPr>
                <w:rFonts w:ascii="Times New Roman" w:hAnsi="Times New Roman"/>
                <w:b/>
              </w:rPr>
              <w:t>Societă</w:t>
            </w:r>
            <w:r w:rsidR="00367C88">
              <w:rPr>
                <w:rFonts w:ascii="Times New Roman" w:hAnsi="Times New Roman"/>
                <w:b/>
              </w:rPr>
              <w:t>ț</w:t>
            </w:r>
            <w:r w:rsidRPr="00825E5B">
              <w:rPr>
                <w:rFonts w:ascii="Times New Roman" w:hAnsi="Times New Roman"/>
                <w:b/>
              </w:rPr>
              <w:t>i nefinanciare; din care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w:t>
            </w:r>
            <w:r w:rsidRPr="00825E5B">
              <w:rPr>
                <w:rFonts w:ascii="Times New Roman" w:hAnsi="Times New Roman"/>
                <w:b/>
              </w:rPr>
              <w:t>ne</w:t>
            </w:r>
            <w:r w:rsidRPr="00825E5B">
              <w:rPr>
                <w:rFonts w:ascii="Times New Roman" w:hAnsi="Times New Roman"/>
              </w:rPr>
              <w:t xml:space="preserve">financiare, astfel cum sunt prevăzute la articolul 147 alineatul (2) litera (c) din CRR, dacă aceste expuneri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 </w:t>
            </w:r>
          </w:p>
          <w:p w:rsidR="00FA71DB" w:rsidRPr="00825E5B" w:rsidRDefault="00FA71DB"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Suma celulelor {260,040} </w:t>
            </w:r>
            <w:r w:rsidR="00367C88">
              <w:rPr>
                <w:rFonts w:ascii="Times New Roman" w:hAnsi="Times New Roman"/>
              </w:rPr>
              <w:t>ș</w:t>
            </w:r>
            <w:r w:rsidRPr="00825E5B">
              <w:rPr>
                <w:rFonts w:ascii="Times New Roman" w:hAnsi="Times New Roman"/>
              </w:rPr>
              <w:t>i {270,040}.</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Del="00504CFF"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{260;010}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fa</w:t>
            </w:r>
            <w:r w:rsidR="00367C88">
              <w:rPr>
                <w:rFonts w:ascii="Times New Roman" w:hAnsi="Times New Roman"/>
                <w:b/>
              </w:rPr>
              <w:t>ț</w:t>
            </w:r>
            <w:r w:rsidRPr="00825E5B">
              <w:rPr>
                <w:rFonts w:ascii="Times New Roman" w:hAnsi="Times New Roman"/>
                <w:b/>
              </w:rPr>
              <w:t>ă de IMM-uri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de tipul întreprinderilor mici </w:t>
            </w:r>
            <w:r w:rsidR="00367C88">
              <w:rPr>
                <w:rFonts w:ascii="Times New Roman" w:hAnsi="Times New Roman"/>
              </w:rPr>
              <w:t>ș</w:t>
            </w:r>
            <w:r w:rsidRPr="00825E5B">
              <w:rPr>
                <w:rFonts w:ascii="Times New Roman" w:hAnsi="Times New Roman"/>
              </w:rPr>
              <w:t xml:space="preserve">i mijlocii, astfel cum sunt prevăzute la articolul 122 din CRR. </w:t>
            </w:r>
          </w:p>
          <w:p w:rsidR="00FA71DB" w:rsidRPr="00825E5B" w:rsidRDefault="00FA71DB" w:rsidP="007E2A41">
            <w:pPr>
              <w:pStyle w:val="BodyText1"/>
              <w:spacing w:line="240" w:lineRule="auto"/>
              <w:rPr>
                <w:rFonts w:ascii="Times New Roman" w:hAnsi="Times New Roman"/>
                <w:bCs/>
              </w:rPr>
            </w:pPr>
          </w:p>
          <w:p w:rsidR="004F39F5" w:rsidRPr="00825E5B" w:rsidRDefault="004F39F5" w:rsidP="007E2A41">
            <w:pPr>
              <w:pStyle w:val="BodyText1"/>
              <w:spacing w:line="240" w:lineRule="auto"/>
              <w:rPr>
                <w:rFonts w:ascii="Times New Roman" w:hAnsi="Times New Roman"/>
                <w:bCs/>
              </w:rPr>
            </w:pPr>
            <w:r w:rsidRPr="00825E5B">
              <w:rPr>
                <w:rFonts w:ascii="Times New Roman" w:hAnsi="Times New Roman"/>
              </w:rPr>
              <w:t>În sensul acestei celule, no</w:t>
            </w:r>
            <w:r w:rsidR="00367C88">
              <w:rPr>
                <w:rFonts w:ascii="Times New Roman" w:hAnsi="Times New Roman"/>
              </w:rPr>
              <w:t>ț</w:t>
            </w:r>
            <w:r w:rsidRPr="00825E5B">
              <w:rPr>
                <w:rFonts w:ascii="Times New Roman" w:hAnsi="Times New Roman"/>
              </w:rPr>
              <w:t>iunea de «întreprindere mică sau mijlocie» este definită în conformitate cu articolul 501 alineatul (2) litera (b) din CRR.</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{260;020}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fa</w:t>
            </w:r>
            <w:r w:rsidR="00367C88">
              <w:rPr>
                <w:rFonts w:ascii="Times New Roman" w:hAnsi="Times New Roman"/>
                <w:b/>
              </w:rPr>
              <w:t>ț</w:t>
            </w:r>
            <w:r w:rsidRPr="00825E5B">
              <w:rPr>
                <w:rFonts w:ascii="Times New Roman" w:hAnsi="Times New Roman"/>
                <w:b/>
              </w:rPr>
              <w:t>ă de IMM-uri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i, astfel cum sunt prevăzute la articolul 147 alineatul (2) litera (c) din CRR, dacă acestea sunt expuneri fa</w:t>
            </w:r>
            <w:r w:rsidR="00367C88">
              <w:rPr>
                <w:rFonts w:ascii="Times New Roman" w:hAnsi="Times New Roman"/>
              </w:rPr>
              <w:t>ț</w:t>
            </w:r>
            <w:r w:rsidRPr="00825E5B">
              <w:rPr>
                <w:rFonts w:ascii="Times New Roman" w:hAnsi="Times New Roman"/>
              </w:rPr>
              <w:t xml:space="preserve">ă de întreprinderi mici </w:t>
            </w:r>
            <w:r w:rsidR="00367C88">
              <w:rPr>
                <w:rFonts w:ascii="Times New Roman" w:hAnsi="Times New Roman"/>
              </w:rPr>
              <w:t>ș</w:t>
            </w:r>
            <w:r w:rsidRPr="00825E5B">
              <w:rPr>
                <w:rFonts w:ascii="Times New Roman" w:hAnsi="Times New Roman"/>
              </w:rPr>
              <w:t xml:space="preserve">i mijlocii </w:t>
            </w:r>
            <w:r w:rsidR="00367C88">
              <w:rPr>
                <w:rFonts w:ascii="Times New Roman" w:hAnsi="Times New Roman"/>
              </w:rPr>
              <w:t>ș</w:t>
            </w:r>
            <w:r w:rsidRPr="00825E5B">
              <w:rPr>
                <w:rFonts w:ascii="Times New Roman" w:hAnsi="Times New Roman"/>
              </w:rPr>
              <w:t xml:space="preserve">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w:t>
            </w:r>
          </w:p>
          <w:p w:rsidR="00FA71DB" w:rsidRPr="00825E5B" w:rsidRDefault="00FA71DB" w:rsidP="007E2A41">
            <w:pPr>
              <w:pStyle w:val="BodyText1"/>
              <w:spacing w:line="240" w:lineRule="auto"/>
              <w:rPr>
                <w:rFonts w:ascii="Times New Roman" w:hAnsi="Times New Roman"/>
                <w:bCs/>
              </w:rPr>
            </w:pPr>
          </w:p>
          <w:p w:rsidR="002509B1" w:rsidRPr="00825E5B" w:rsidRDefault="004F39F5" w:rsidP="007E2A41">
            <w:pPr>
              <w:pStyle w:val="BodyText1"/>
              <w:spacing w:line="240" w:lineRule="auto"/>
              <w:rPr>
                <w:rFonts w:ascii="Times New Roman" w:hAnsi="Times New Roman"/>
                <w:b/>
                <w:bCs/>
                <w:u w:val="single"/>
              </w:rPr>
            </w:pPr>
            <w:r w:rsidRPr="00825E5B">
              <w:rPr>
                <w:rFonts w:ascii="Times New Roman" w:hAnsi="Times New Roman"/>
              </w:rPr>
              <w:t>În sensul acestei celule, no</w:t>
            </w:r>
            <w:r w:rsidR="00367C88">
              <w:rPr>
                <w:rFonts w:ascii="Times New Roman" w:hAnsi="Times New Roman"/>
              </w:rPr>
              <w:t>ț</w:t>
            </w:r>
            <w:r w:rsidRPr="00825E5B">
              <w:rPr>
                <w:rFonts w:ascii="Times New Roman" w:hAnsi="Times New Roman"/>
              </w:rPr>
              <w:t>iunea de «întreprindere mică sau mijlocie» este definită în conformitate cu articolul 501 alineatul (2) litera (b) din CRR.</w:t>
            </w:r>
          </w:p>
          <w:p w:rsidR="009C4E79" w:rsidRPr="00825E5B" w:rsidRDefault="009C4E79"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Del="00504CFF"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{260;030}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fa</w:t>
            </w:r>
            <w:r w:rsidR="00367C88">
              <w:rPr>
                <w:rFonts w:ascii="Times New Roman" w:hAnsi="Times New Roman"/>
                <w:b/>
              </w:rPr>
              <w:t>ț</w:t>
            </w:r>
            <w:r w:rsidRPr="00825E5B">
              <w:rPr>
                <w:rFonts w:ascii="Times New Roman" w:hAnsi="Times New Roman"/>
                <w:b/>
              </w:rPr>
              <w:t>ă de IMM-uri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de tipul întreprinderilor mici </w:t>
            </w:r>
            <w:r w:rsidR="00367C88">
              <w:rPr>
                <w:rFonts w:ascii="Times New Roman" w:hAnsi="Times New Roman"/>
              </w:rPr>
              <w:t>ș</w:t>
            </w:r>
            <w:r w:rsidRPr="00825E5B">
              <w:rPr>
                <w:rFonts w:ascii="Times New Roman" w:hAnsi="Times New Roman"/>
              </w:rPr>
              <w:t xml:space="preserve">i mijlocii, astfel cum sunt prevăzute la articolul 122 din CRR. </w:t>
            </w:r>
          </w:p>
          <w:p w:rsidR="00FA71DB" w:rsidRPr="00825E5B" w:rsidRDefault="00FA71DB" w:rsidP="007E2A41">
            <w:pPr>
              <w:pStyle w:val="BodyText1"/>
              <w:spacing w:line="240" w:lineRule="auto"/>
              <w:rPr>
                <w:rFonts w:ascii="Times New Roman" w:hAnsi="Times New Roman"/>
                <w:bCs/>
              </w:rPr>
            </w:pPr>
          </w:p>
          <w:p w:rsidR="004F39F5" w:rsidRPr="00825E5B" w:rsidRDefault="004F39F5" w:rsidP="007E2A41">
            <w:pPr>
              <w:pStyle w:val="BodyText1"/>
              <w:spacing w:line="240" w:lineRule="auto"/>
              <w:rPr>
                <w:rFonts w:ascii="Times New Roman" w:hAnsi="Times New Roman"/>
                <w:bCs/>
              </w:rPr>
            </w:pPr>
            <w:r w:rsidRPr="00825E5B">
              <w:rPr>
                <w:rFonts w:ascii="Times New Roman" w:hAnsi="Times New Roman"/>
              </w:rPr>
              <w:t>În sensul acestei celule, no</w:t>
            </w:r>
            <w:r w:rsidR="00367C88">
              <w:rPr>
                <w:rFonts w:ascii="Times New Roman" w:hAnsi="Times New Roman"/>
              </w:rPr>
              <w:t>ț</w:t>
            </w:r>
            <w:r w:rsidRPr="00825E5B">
              <w:rPr>
                <w:rFonts w:ascii="Times New Roman" w:hAnsi="Times New Roman"/>
              </w:rPr>
              <w:t>iunea de «întreprindere mică sau mijlocie» este definită în conformitate cu articolul 501 alineatul (2) litera (b) din CRR.</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{260;040}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fa</w:t>
            </w:r>
            <w:r w:rsidR="00367C88">
              <w:rPr>
                <w:rFonts w:ascii="Times New Roman" w:hAnsi="Times New Roman"/>
                <w:b/>
              </w:rPr>
              <w:t>ț</w:t>
            </w:r>
            <w:r w:rsidRPr="00825E5B">
              <w:rPr>
                <w:rFonts w:ascii="Times New Roman" w:hAnsi="Times New Roman"/>
                <w:b/>
              </w:rPr>
              <w:t>ă de IMM-uri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i, astfel cum sunt prevăzute la articolul 147 alineatul (2) litera (c) din CRR, dacă acestea sunt expuneri fa</w:t>
            </w:r>
            <w:r w:rsidR="00367C88">
              <w:rPr>
                <w:rFonts w:ascii="Times New Roman" w:hAnsi="Times New Roman"/>
              </w:rPr>
              <w:t>ț</w:t>
            </w:r>
            <w:r w:rsidRPr="00825E5B">
              <w:rPr>
                <w:rFonts w:ascii="Times New Roman" w:hAnsi="Times New Roman"/>
              </w:rPr>
              <w:t xml:space="preserve">ă de întreprinderi mici </w:t>
            </w:r>
            <w:r w:rsidR="00367C88">
              <w:rPr>
                <w:rFonts w:ascii="Times New Roman" w:hAnsi="Times New Roman"/>
              </w:rPr>
              <w:t>ș</w:t>
            </w:r>
            <w:r w:rsidRPr="00825E5B">
              <w:rPr>
                <w:rFonts w:ascii="Times New Roman" w:hAnsi="Times New Roman"/>
              </w:rPr>
              <w:t xml:space="preserve">i mijlocii </w:t>
            </w:r>
            <w:r w:rsidR="00367C88">
              <w:rPr>
                <w:rFonts w:ascii="Times New Roman" w:hAnsi="Times New Roman"/>
              </w:rPr>
              <w:t>ș</w:t>
            </w:r>
            <w:r w:rsidRPr="00825E5B">
              <w:rPr>
                <w:rFonts w:ascii="Times New Roman" w:hAnsi="Times New Roman"/>
              </w:rPr>
              <w:t xml:space="preserve">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 </w:t>
            </w:r>
          </w:p>
          <w:p w:rsidR="00FA71DB" w:rsidRPr="00825E5B" w:rsidRDefault="00FA71DB" w:rsidP="007E2A41">
            <w:pPr>
              <w:pStyle w:val="BodyText1"/>
              <w:spacing w:line="240" w:lineRule="auto"/>
              <w:rPr>
                <w:rFonts w:ascii="Times New Roman" w:hAnsi="Times New Roman"/>
                <w:bCs/>
              </w:rPr>
            </w:pPr>
          </w:p>
          <w:p w:rsidR="004F39F5" w:rsidRPr="00825E5B" w:rsidRDefault="004F39F5" w:rsidP="007E2A41">
            <w:pPr>
              <w:pStyle w:val="BodyText1"/>
              <w:spacing w:line="240" w:lineRule="auto"/>
              <w:rPr>
                <w:rFonts w:ascii="Times New Roman" w:hAnsi="Times New Roman"/>
                <w:bCs/>
              </w:rPr>
            </w:pPr>
            <w:r w:rsidRPr="00825E5B">
              <w:rPr>
                <w:rFonts w:ascii="Times New Roman" w:hAnsi="Times New Roman"/>
              </w:rPr>
              <w:t>În sensul acestei celule, no</w:t>
            </w:r>
            <w:r w:rsidR="00367C88">
              <w:rPr>
                <w:rFonts w:ascii="Times New Roman" w:hAnsi="Times New Roman"/>
              </w:rPr>
              <w:t>ț</w:t>
            </w:r>
            <w:r w:rsidRPr="00825E5B">
              <w:rPr>
                <w:rFonts w:ascii="Times New Roman" w:hAnsi="Times New Roman"/>
              </w:rPr>
              <w:t>iunea de «întreprindere mică sau mijlocie» este definită în conformitate cu articolul 501 alineatul (2) litera (b) din CRR.</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lastRenderedPageBreak/>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lastRenderedPageBreak/>
              <w:t>{270;010}</w:t>
            </w:r>
          </w:p>
        </w:tc>
        <w:tc>
          <w:tcPr>
            <w:tcW w:w="8133" w:type="dxa"/>
            <w:shd w:val="clear" w:color="auto" w:fill="FFFFFF"/>
          </w:tcPr>
          <w:p w:rsidR="00F4754B" w:rsidRPr="00825E5B" w:rsidRDefault="00BE6AC4" w:rsidP="007E2A41">
            <w:pPr>
              <w:pStyle w:val="BodyText1"/>
              <w:spacing w:line="240" w:lineRule="auto"/>
              <w:rPr>
                <w:rFonts w:ascii="Times New Roman" w:hAnsi="Times New Roman"/>
                <w:b/>
              </w:rPr>
            </w:pPr>
            <w:r w:rsidRPr="00825E5B">
              <w:rPr>
                <w:rFonts w:ascii="Times New Roman" w:hAnsi="Times New Roman"/>
                <w:b/>
              </w:rPr>
              <w:t>Expuneri, altele decât expunerile fa</w:t>
            </w:r>
            <w:r w:rsidR="00367C88">
              <w:rPr>
                <w:rFonts w:ascii="Times New Roman" w:hAnsi="Times New Roman"/>
                <w:b/>
              </w:rPr>
              <w:t>ț</w:t>
            </w:r>
            <w:r w:rsidRPr="00825E5B">
              <w:rPr>
                <w:rFonts w:ascii="Times New Roman" w:hAnsi="Times New Roman"/>
                <w:b/>
              </w:rPr>
              <w:t>ă de IMM-uri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astfel cum sunt prevăzute la articolul 122 din CRR, </w:t>
            </w:r>
            <w:r w:rsidR="00367C88">
              <w:rPr>
                <w:rFonts w:ascii="Times New Roman" w:hAnsi="Times New Roman"/>
              </w:rPr>
              <w:t>ș</w:t>
            </w:r>
            <w:r w:rsidRPr="00825E5B">
              <w:rPr>
                <w:rFonts w:ascii="Times New Roman" w:hAnsi="Times New Roman"/>
              </w:rPr>
              <w:t xml:space="preserve">i care nu sunt raportate în {230;040} </w:t>
            </w:r>
            <w:r w:rsidR="00367C88">
              <w:rPr>
                <w:rFonts w:ascii="Times New Roman" w:hAnsi="Times New Roman"/>
              </w:rPr>
              <w:t>ș</w:t>
            </w:r>
            <w:r w:rsidRPr="00825E5B">
              <w:rPr>
                <w:rFonts w:ascii="Times New Roman" w:hAnsi="Times New Roman"/>
              </w:rPr>
              <w:t xml:space="preserve">i {250;040}.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{270;020}</w:t>
            </w:r>
          </w:p>
        </w:tc>
        <w:tc>
          <w:tcPr>
            <w:tcW w:w="8133" w:type="dxa"/>
            <w:shd w:val="clear" w:color="auto" w:fill="FFFFFF"/>
          </w:tcPr>
          <w:p w:rsidR="00F4754B" w:rsidRPr="00825E5B" w:rsidRDefault="00BE6AC4" w:rsidP="007E2A41">
            <w:pPr>
              <w:pStyle w:val="BodyText1"/>
              <w:spacing w:line="240" w:lineRule="auto"/>
              <w:rPr>
                <w:rFonts w:ascii="Times New Roman" w:hAnsi="Times New Roman"/>
                <w:b/>
                <w:bCs/>
              </w:rPr>
            </w:pPr>
            <w:r w:rsidRPr="00825E5B">
              <w:rPr>
                <w:rFonts w:ascii="Times New Roman" w:hAnsi="Times New Roman"/>
                <w:b/>
              </w:rPr>
              <w:t>Expuneri, altele decât expunerile fa</w:t>
            </w:r>
            <w:r w:rsidR="00367C88">
              <w:rPr>
                <w:rFonts w:ascii="Times New Roman" w:hAnsi="Times New Roman"/>
                <w:b/>
              </w:rPr>
              <w:t>ț</w:t>
            </w:r>
            <w:r w:rsidRPr="00825E5B">
              <w:rPr>
                <w:rFonts w:ascii="Times New Roman" w:hAnsi="Times New Roman"/>
                <w:b/>
              </w:rPr>
              <w:t>ă de IMM-uri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2509B1" w:rsidRPr="00825E5B" w:rsidRDefault="00F4754B" w:rsidP="007E2A41">
            <w:pPr>
              <w:pStyle w:val="BodyText1"/>
              <w:spacing w:line="240" w:lineRule="auto"/>
              <w:rPr>
                <w:rFonts w:ascii="Times New Roman" w:hAnsi="Times New Roman"/>
                <w:b/>
                <w:bCs/>
                <w:u w:val="single"/>
              </w:rPr>
            </w:pPr>
            <w:r w:rsidRPr="00825E5B">
              <w:rPr>
                <w:rFonts w:ascii="Times New Roman" w:hAnsi="Times New Roman"/>
              </w:rPr>
              <w:t>Valoarea expunerii pentru calcularea indicatorului efectului de levier al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astfel cum sunt prevăzute la articolul 147 alineatul (2) litera (c) din CRR, dacă aceste expuneri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 </w:t>
            </w:r>
            <w:r w:rsidR="00367C88">
              <w:rPr>
                <w:rFonts w:ascii="Times New Roman" w:hAnsi="Times New Roman"/>
              </w:rPr>
              <w:t>ș</w:t>
            </w:r>
            <w:r w:rsidRPr="00825E5B">
              <w:rPr>
                <w:rFonts w:ascii="Times New Roman" w:hAnsi="Times New Roman"/>
              </w:rPr>
              <w:t xml:space="preserve">i care nu sunt raportate în {230;040} </w:t>
            </w:r>
            <w:r w:rsidR="00367C88">
              <w:rPr>
                <w:rFonts w:ascii="Times New Roman" w:hAnsi="Times New Roman"/>
              </w:rPr>
              <w:t>ș</w:t>
            </w:r>
            <w:r w:rsidRPr="00825E5B">
              <w:rPr>
                <w:rFonts w:ascii="Times New Roman" w:hAnsi="Times New Roman"/>
              </w:rPr>
              <w:t xml:space="preserve">i {250;040}. </w:t>
            </w:r>
          </w:p>
          <w:p w:rsidR="009C4E79" w:rsidRPr="00825E5B" w:rsidRDefault="009C4E79"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{270;030}</w:t>
            </w:r>
          </w:p>
        </w:tc>
        <w:tc>
          <w:tcPr>
            <w:tcW w:w="8133" w:type="dxa"/>
            <w:shd w:val="clear" w:color="auto" w:fill="FFFFFF"/>
          </w:tcPr>
          <w:p w:rsidR="00F4754B" w:rsidRPr="00825E5B" w:rsidRDefault="00BE6AC4" w:rsidP="007E2A41">
            <w:pPr>
              <w:pStyle w:val="BodyText1"/>
              <w:spacing w:line="240" w:lineRule="auto"/>
              <w:rPr>
                <w:rFonts w:ascii="Times New Roman" w:hAnsi="Times New Roman"/>
                <w:b/>
                <w:bCs/>
              </w:rPr>
            </w:pPr>
            <w:r w:rsidRPr="00825E5B">
              <w:rPr>
                <w:rFonts w:ascii="Times New Roman" w:hAnsi="Times New Roman"/>
                <w:b/>
              </w:rPr>
              <w:t>Expuneri, altele decât expunerile fa</w:t>
            </w:r>
            <w:r w:rsidR="00367C88">
              <w:rPr>
                <w:rFonts w:ascii="Times New Roman" w:hAnsi="Times New Roman"/>
                <w:b/>
              </w:rPr>
              <w:t>ț</w:t>
            </w:r>
            <w:r w:rsidRPr="00825E5B">
              <w:rPr>
                <w:rFonts w:ascii="Times New Roman" w:hAnsi="Times New Roman"/>
                <w:b/>
              </w:rPr>
              <w:t>ă de IMM-uri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astfel cum sunt prevăzute la articolul 122 din CRR, </w:t>
            </w:r>
            <w:r w:rsidR="00367C88">
              <w:rPr>
                <w:rFonts w:ascii="Times New Roman" w:hAnsi="Times New Roman"/>
              </w:rPr>
              <w:t>ș</w:t>
            </w:r>
            <w:r w:rsidRPr="00825E5B">
              <w:rPr>
                <w:rFonts w:ascii="Times New Roman" w:hAnsi="Times New Roman"/>
              </w:rPr>
              <w:t xml:space="preserve">i care nu sunt raportate în {230;040} </w:t>
            </w:r>
            <w:r w:rsidR="00367C88">
              <w:rPr>
                <w:rFonts w:ascii="Times New Roman" w:hAnsi="Times New Roman"/>
              </w:rPr>
              <w:t>ș</w:t>
            </w:r>
            <w:r w:rsidRPr="00825E5B">
              <w:rPr>
                <w:rFonts w:ascii="Times New Roman" w:hAnsi="Times New Roman"/>
              </w:rPr>
              <w:t xml:space="preserve">i {250;040}.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A60C43">
            <w:pPr>
              <w:pStyle w:val="BodyText1"/>
              <w:rPr>
                <w:rFonts w:ascii="Times New Roman" w:hAnsi="Times New Roman"/>
              </w:rPr>
            </w:pPr>
            <w:r w:rsidRPr="00825E5B">
              <w:rPr>
                <w:rFonts w:ascii="Times New Roman" w:hAnsi="Times New Roman"/>
              </w:rPr>
              <w:t>{270;040}</w:t>
            </w:r>
          </w:p>
        </w:tc>
        <w:tc>
          <w:tcPr>
            <w:tcW w:w="8133" w:type="dxa"/>
            <w:shd w:val="clear" w:color="auto" w:fill="FFFFFF"/>
          </w:tcPr>
          <w:p w:rsidR="00F4754B" w:rsidRPr="00825E5B" w:rsidRDefault="00BE6AC4" w:rsidP="007E2A41">
            <w:pPr>
              <w:pStyle w:val="BodyText1"/>
              <w:spacing w:line="240" w:lineRule="auto"/>
              <w:rPr>
                <w:rFonts w:ascii="Times New Roman" w:hAnsi="Times New Roman"/>
                <w:b/>
                <w:bCs/>
              </w:rPr>
            </w:pPr>
            <w:r w:rsidRPr="00825E5B">
              <w:rPr>
                <w:rFonts w:ascii="Times New Roman" w:hAnsi="Times New Roman"/>
                <w:b/>
              </w:rPr>
              <w:t>Expuneri, altele decât expunerile fa</w:t>
            </w:r>
            <w:r w:rsidR="00367C88">
              <w:rPr>
                <w:rFonts w:ascii="Times New Roman" w:hAnsi="Times New Roman"/>
                <w:b/>
              </w:rPr>
              <w:t>ț</w:t>
            </w:r>
            <w:r w:rsidRPr="00825E5B">
              <w:rPr>
                <w:rFonts w:ascii="Times New Roman" w:hAnsi="Times New Roman"/>
                <w:b/>
              </w:rPr>
              <w:t>ă de IMM-uri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activelor care reprezintă expuneri fa</w:t>
            </w:r>
            <w:r w:rsidR="00367C88">
              <w:rPr>
                <w:rFonts w:ascii="Times New Roman" w:hAnsi="Times New Roman"/>
              </w:rPr>
              <w:t>ț</w:t>
            </w:r>
            <w:r w:rsidRPr="00825E5B">
              <w:rPr>
                <w:rFonts w:ascii="Times New Roman" w:hAnsi="Times New Roman"/>
              </w:rPr>
              <w:t>ă de societă</w:t>
            </w:r>
            <w:r w:rsidR="00367C88">
              <w:rPr>
                <w:rFonts w:ascii="Times New Roman" w:hAnsi="Times New Roman"/>
              </w:rPr>
              <w:t>ț</w:t>
            </w:r>
            <w:r w:rsidRPr="00825E5B">
              <w:rPr>
                <w:rFonts w:ascii="Times New Roman" w:hAnsi="Times New Roman"/>
              </w:rPr>
              <w:t xml:space="preserve">i, astfel cum sunt prevăzute la articolul 147 alineatul (2) litera (c) din CRR, dacă aceste expuneri </w:t>
            </w:r>
            <w:r w:rsidRPr="00825E5B">
              <w:rPr>
                <w:rFonts w:ascii="Times New Roman" w:hAnsi="Times New Roman"/>
                <w:b/>
                <w:u w:val="single"/>
              </w:rPr>
              <w:t>nu</w:t>
            </w:r>
            <w:r w:rsidRPr="00825E5B">
              <w:rPr>
                <w:rFonts w:ascii="Times New Roman" w:hAnsi="Times New Roman"/>
              </w:rPr>
              <w:t xml:space="preserve"> sunt garantate cu ipoteci asupra bunurilor imobile în conformitate cu articolul 199 alineatul (1) litera (a) din CRR, </w:t>
            </w:r>
            <w:r w:rsidR="00367C88">
              <w:rPr>
                <w:rFonts w:ascii="Times New Roman" w:hAnsi="Times New Roman"/>
              </w:rPr>
              <w:t>ș</w:t>
            </w:r>
            <w:r w:rsidRPr="00825E5B">
              <w:rPr>
                <w:rFonts w:ascii="Times New Roman" w:hAnsi="Times New Roman"/>
              </w:rPr>
              <w:t xml:space="preserve">i care nu sunt raportate în {230;040} </w:t>
            </w:r>
            <w:r w:rsidR="00367C88">
              <w:rPr>
                <w:rFonts w:ascii="Times New Roman" w:hAnsi="Times New Roman"/>
              </w:rPr>
              <w:t>ș</w:t>
            </w:r>
            <w:r w:rsidRPr="00825E5B">
              <w:rPr>
                <w:rFonts w:ascii="Times New Roman" w:hAnsi="Times New Roman"/>
              </w:rPr>
              <w:t xml:space="preserve">i {250;040}. </w:t>
            </w:r>
          </w:p>
          <w:p w:rsidR="002509B1" w:rsidRPr="00825E5B" w:rsidRDefault="002509B1"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EA3F88">
            <w:pPr>
              <w:pStyle w:val="BodyText1"/>
              <w:rPr>
                <w:rFonts w:ascii="Times New Roman" w:hAnsi="Times New Roman"/>
              </w:rPr>
            </w:pPr>
            <w:r w:rsidRPr="00825E5B">
              <w:rPr>
                <w:rFonts w:ascii="Times New Roman" w:hAnsi="Times New Roman"/>
              </w:rPr>
              <w:t>{280;010}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în stare de nerambursare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al activelor care reprezintă expuneri în stare de nerambursare </w:t>
            </w:r>
            <w:r w:rsidR="00367C88">
              <w:rPr>
                <w:rFonts w:ascii="Times New Roman" w:hAnsi="Times New Roman"/>
              </w:rPr>
              <w:t>ș</w:t>
            </w:r>
            <w:r w:rsidRPr="00825E5B">
              <w:rPr>
                <w:rFonts w:ascii="Times New Roman" w:hAnsi="Times New Roman"/>
              </w:rPr>
              <w:t xml:space="preserve">i se încadrează, prin urmare, la articolul 127 din CRR. </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{280;020}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în stare de nerambursare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al activelor încadrate în clasele de expuneri enumerate la articolul 147 alineatul (2) din CRR, dacă s-a înregistrat o stare de nerambursare în conformitate cu articolul 178 din CRR. </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{280;030}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în stare de nerambursare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Cuantumul ponderat la risc al expunerii activelor care reprezintă expuneri în stare de nerambursare </w:t>
            </w:r>
            <w:r w:rsidR="00367C88">
              <w:rPr>
                <w:rFonts w:ascii="Times New Roman" w:hAnsi="Times New Roman"/>
              </w:rPr>
              <w:t>ș</w:t>
            </w:r>
            <w:r w:rsidRPr="00825E5B">
              <w:rPr>
                <w:rFonts w:ascii="Times New Roman" w:hAnsi="Times New Roman"/>
              </w:rPr>
              <w:t xml:space="preserve">i se încadrează, prin urmare, la articolul 127 din CRR. </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lastRenderedPageBreak/>
              <w:t>{280;040}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în stare de nerambursare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Cuantumul ponderat la risc al expunerii activelor încadrate în clasele de expuneri enumerate la articolul 147 alineatul (2) din CRR, dacă s-a înregistrat o stare de nerambursare în conformitate cu articolul 178 din CRR. </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F4754B">
            <w:pPr>
              <w:pStyle w:val="BodyText1"/>
              <w:rPr>
                <w:rFonts w:ascii="Times New Roman" w:hAnsi="Times New Roman"/>
              </w:rPr>
            </w:pPr>
            <w:r w:rsidRPr="00825E5B">
              <w:rPr>
                <w:rFonts w:ascii="Times New Roman" w:hAnsi="Times New Roman"/>
              </w:rPr>
              <w:t>{290;010}</w:t>
            </w:r>
          </w:p>
          <w:p w:rsidR="00F4754B" w:rsidRPr="00825E5B" w:rsidRDefault="00F4754B" w:rsidP="00F4754B">
            <w:pPr>
              <w:pStyle w:val="BodyText1"/>
              <w:rPr>
                <w:rFonts w:ascii="Times New Roman" w:hAnsi="Times New Roman"/>
              </w:rPr>
            </w:pP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Alte expuneri; din care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al activelor încadrate în clasele de expuneri enumerate la articolul 112 literele (k), (m), (n), (o), (p) </w:t>
            </w:r>
            <w:r w:rsidR="00367C88">
              <w:rPr>
                <w:rFonts w:ascii="Times New Roman" w:hAnsi="Times New Roman"/>
              </w:rPr>
              <w:t>ș</w:t>
            </w:r>
            <w:r w:rsidRPr="00825E5B">
              <w:rPr>
                <w:rFonts w:ascii="Times New Roman" w:hAnsi="Times New Roman"/>
              </w:rPr>
              <w:t xml:space="preserve">i (q) din CRR. </w:t>
            </w:r>
          </w:p>
          <w:p w:rsidR="00482670" w:rsidRPr="00825E5B" w:rsidRDefault="00482670" w:rsidP="007E2A41">
            <w:pPr>
              <w:pStyle w:val="BodyText1"/>
              <w:spacing w:line="240" w:lineRule="auto"/>
              <w:rPr>
                <w:rFonts w:ascii="Times New Roman" w:hAnsi="Times New Roman"/>
                <w:bCs/>
              </w:rPr>
            </w:pPr>
          </w:p>
          <w:p w:rsidR="00482670" w:rsidRPr="00825E5B" w:rsidRDefault="00482670"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activele care sunt deduse din fondurile proprii (de exemplu, imobilizările necorporale), dar nu pot fi clasificate altfel, chiar dacă o astfel de clasificare nu este necesară pentru determinarea cerin</w:t>
            </w:r>
            <w:r w:rsidR="00367C88">
              <w:rPr>
                <w:rFonts w:ascii="Times New Roman" w:hAnsi="Times New Roman"/>
              </w:rPr>
              <w:t>ț</w:t>
            </w:r>
            <w:r w:rsidRPr="00825E5B">
              <w:rPr>
                <w:rFonts w:ascii="Times New Roman" w:hAnsi="Times New Roman"/>
              </w:rPr>
              <w:t xml:space="preserve">elor de fonduri proprii bazate pe risc în coloanele {*; 030} </w:t>
            </w:r>
            <w:r w:rsidR="00367C88">
              <w:rPr>
                <w:rFonts w:ascii="Times New Roman" w:hAnsi="Times New Roman"/>
              </w:rPr>
              <w:t>ș</w:t>
            </w:r>
            <w:r w:rsidRPr="00825E5B">
              <w:rPr>
                <w:rFonts w:ascii="Times New Roman" w:hAnsi="Times New Roman"/>
              </w:rPr>
              <w:t>i {*; 040}.</w:t>
            </w:r>
          </w:p>
          <w:p w:rsidR="002509B1" w:rsidRPr="00825E5B" w:rsidRDefault="002509B1"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086A8A" w:rsidRPr="00825E5B" w:rsidRDefault="00086A8A"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{290;020}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Alte expuneri; din care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expunerii pentru calcularea indicatorului efectului de levier al activelor încadrate în clasele de expuneri enumerate la articolul 147 alineatul (2) literele (e), (f) </w:t>
            </w:r>
            <w:r w:rsidR="00367C88">
              <w:rPr>
                <w:rFonts w:ascii="Times New Roman" w:hAnsi="Times New Roman"/>
              </w:rPr>
              <w:t>ș</w:t>
            </w:r>
            <w:r w:rsidRPr="00825E5B">
              <w:rPr>
                <w:rFonts w:ascii="Times New Roman" w:hAnsi="Times New Roman"/>
              </w:rPr>
              <w:t xml:space="preserve">i (g) din CRR. </w:t>
            </w:r>
          </w:p>
          <w:p w:rsidR="00482670" w:rsidRPr="00825E5B" w:rsidRDefault="00482670" w:rsidP="007E2A41">
            <w:pPr>
              <w:pStyle w:val="BodyText1"/>
              <w:spacing w:line="240" w:lineRule="auto"/>
              <w:rPr>
                <w:rFonts w:ascii="Times New Roman" w:hAnsi="Times New Roman"/>
                <w:bCs/>
              </w:rPr>
            </w:pPr>
          </w:p>
          <w:p w:rsidR="00482670" w:rsidRPr="00825E5B" w:rsidRDefault="00482670"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activele care sunt deduse din fondurile proprii (de exemplu, imobilizările necorporale), dar nu pot fi clasificate altfel, chiar dacă o astfel de clasificare nu este necesară pentru determinarea cerin</w:t>
            </w:r>
            <w:r w:rsidR="00367C88">
              <w:rPr>
                <w:rFonts w:ascii="Times New Roman" w:hAnsi="Times New Roman"/>
              </w:rPr>
              <w:t>ț</w:t>
            </w:r>
            <w:r w:rsidRPr="00825E5B">
              <w:rPr>
                <w:rFonts w:ascii="Times New Roman" w:hAnsi="Times New Roman"/>
              </w:rPr>
              <w:t xml:space="preserve">elor de fonduri proprii bazate pe risc în coloanele {*; 030} </w:t>
            </w:r>
            <w:r w:rsidR="00367C88">
              <w:rPr>
                <w:rFonts w:ascii="Times New Roman" w:hAnsi="Times New Roman"/>
              </w:rPr>
              <w:t>ș</w:t>
            </w:r>
            <w:r w:rsidRPr="00825E5B">
              <w:rPr>
                <w:rFonts w:ascii="Times New Roman" w:hAnsi="Times New Roman"/>
              </w:rPr>
              <w:t>i {*; 040}.</w:t>
            </w:r>
          </w:p>
          <w:p w:rsidR="00BB388D" w:rsidRPr="00825E5B" w:rsidRDefault="00BB388D" w:rsidP="007E2A41">
            <w:pPr>
              <w:pStyle w:val="BodyText1"/>
              <w:spacing w:line="240" w:lineRule="auto"/>
              <w:rPr>
                <w:rFonts w:ascii="Times New Roman" w:hAnsi="Times New Roman"/>
                <w:bCs/>
              </w:rPr>
            </w:pPr>
          </w:p>
          <w:p w:rsidR="00BB388D" w:rsidRPr="00825E5B" w:rsidRDefault="00BB388D"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{290;030}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Alte expuneri; din care</w:t>
            </w:r>
            <w:r w:rsidRPr="00825E5B">
              <w:t xml:space="preserve"> </w:t>
            </w:r>
            <w:r w:rsidRPr="00825E5B">
              <w:rPr>
                <w:rFonts w:ascii="Times New Roman" w:hAnsi="Times New Roman"/>
                <w:b/>
              </w:rPr>
              <w:t>– Active ponderate la risc – Expuneri în cadrul abordării standardizate</w:t>
            </w:r>
          </w:p>
          <w:p w:rsidR="002509B1" w:rsidRPr="00825E5B" w:rsidRDefault="002509B1"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ponderată la risc a expunerii activelor încadrate în clasele de expuneri enumerate la articolul 112 literele (k), (m), (n), (o), (p) </w:t>
            </w:r>
            <w:r w:rsidR="00367C88">
              <w:rPr>
                <w:rFonts w:ascii="Times New Roman" w:hAnsi="Times New Roman"/>
              </w:rPr>
              <w:t>ș</w:t>
            </w:r>
            <w:r w:rsidRPr="00825E5B">
              <w:rPr>
                <w:rFonts w:ascii="Times New Roman" w:hAnsi="Times New Roman"/>
              </w:rPr>
              <w:t>i (q) din CRR.</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EA3F88">
            <w:pPr>
              <w:pStyle w:val="BodyText1"/>
              <w:rPr>
                <w:rFonts w:ascii="Times New Roman" w:hAnsi="Times New Roman"/>
              </w:rPr>
            </w:pPr>
            <w:r w:rsidRPr="00825E5B">
              <w:rPr>
                <w:rFonts w:ascii="Times New Roman" w:hAnsi="Times New Roman"/>
              </w:rPr>
              <w:t>{290;040}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b/>
              </w:rPr>
              <w:t>Alte expuneri; din care</w:t>
            </w:r>
            <w:r w:rsidRPr="00825E5B">
              <w:t xml:space="preserve"> </w:t>
            </w:r>
            <w:r w:rsidRPr="00825E5B">
              <w:rPr>
                <w:rFonts w:ascii="Times New Roman" w:hAnsi="Times New Roman"/>
                <w:b/>
              </w:rPr>
              <w:t>–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Valoarea ponderată la risc a expunerii activelor încadrate în clasele de expuneri enumerate la articolul 147 alineatul (2) literele (e), (f) </w:t>
            </w:r>
            <w:r w:rsidR="00367C88">
              <w:rPr>
                <w:rFonts w:ascii="Times New Roman" w:hAnsi="Times New Roman"/>
              </w:rPr>
              <w:t>ș</w:t>
            </w:r>
            <w:r w:rsidRPr="00825E5B">
              <w:rPr>
                <w:rFonts w:ascii="Times New Roman" w:hAnsi="Times New Roman"/>
              </w:rPr>
              <w:t xml:space="preserve">i (g) din CRR. </w:t>
            </w:r>
          </w:p>
          <w:p w:rsidR="00BB388D" w:rsidRPr="00825E5B" w:rsidRDefault="00BB388D" w:rsidP="007E2A41">
            <w:pPr>
              <w:pStyle w:val="BodyText1"/>
              <w:spacing w:line="240" w:lineRule="auto"/>
              <w:rPr>
                <w:rFonts w:ascii="Times New Roman" w:hAnsi="Times New Roman"/>
                <w:bCs/>
              </w:rPr>
            </w:pPr>
          </w:p>
          <w:p w:rsidR="00BB388D" w:rsidRPr="00825E5B" w:rsidRDefault="00BB388D"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{300;010}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din securitizare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activelor care reprezintă expuneri din securitizare, astfel cum sunt prevăzute la articolul 112 litera (m) din CRR.</w:t>
            </w:r>
          </w:p>
          <w:p w:rsidR="00086A8A" w:rsidRPr="00825E5B" w:rsidRDefault="00086A8A" w:rsidP="007E2A41">
            <w:pPr>
              <w:pStyle w:val="BodyText1"/>
              <w:spacing w:line="240" w:lineRule="auto"/>
              <w:rPr>
                <w:rFonts w:ascii="Times New Roman" w:hAnsi="Times New Roman"/>
                <w:bCs/>
              </w:rPr>
            </w:pPr>
          </w:p>
          <w:p w:rsidR="002509B1"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{300;020}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din securitizare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lastRenderedPageBreak/>
              <w:t xml:space="preserve">Valoarea expunerii pentru calcularea indicatorului efectului de levier al activelor care reprezintă expuneri din securitizare, astfel cum sunt prevăzute la articolul 147 alineatul (2) litera (f) din CRR. </w:t>
            </w:r>
          </w:p>
          <w:p w:rsidR="009C4E79" w:rsidRPr="00825E5B" w:rsidRDefault="009C4E79" w:rsidP="007E2A41">
            <w:pPr>
              <w:pStyle w:val="BodyText1"/>
              <w:spacing w:line="240" w:lineRule="auto"/>
              <w:rPr>
                <w:rFonts w:ascii="Times New Roman" w:hAnsi="Times New Roman"/>
                <w:bCs/>
              </w:rPr>
            </w:pPr>
          </w:p>
          <w:p w:rsidR="009C4E79" w:rsidRPr="00825E5B" w:rsidRDefault="009C4E79"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Del="00B9734C"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lastRenderedPageBreak/>
              <w:t>{300;030}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din securitizare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Cuantumul ponderat la risc al expunerii activelor care reprezintă expuneri din securitizare, astfel cum sunt prevăzute la articolul 112 litera (m) din CRR.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{300;040}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Expuneri din securitizare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 xml:space="preserve">Cuantumul ponderat la risc al expunerii activelor care reprezintă expuneri din securitizare, astfel cum sunt prevăzute la articolul 147 alineatul (2) litera (f) din CRR. </w:t>
            </w:r>
          </w:p>
          <w:p w:rsidR="002509B1" w:rsidRPr="00825E5B" w:rsidRDefault="002509B1"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EA3F88">
            <w:pPr>
              <w:pStyle w:val="BodyText1"/>
              <w:rPr>
                <w:rFonts w:ascii="Times New Roman" w:hAnsi="Times New Roman"/>
              </w:rPr>
            </w:pPr>
            <w:r w:rsidRPr="00825E5B">
              <w:rPr>
                <w:rFonts w:ascii="Times New Roman" w:hAnsi="Times New Roman"/>
              </w:rPr>
              <w:t>{310;010}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Finan</w:t>
            </w:r>
            <w:r w:rsidR="00367C88">
              <w:rPr>
                <w:rFonts w:ascii="Times New Roman" w:hAnsi="Times New Roman"/>
                <w:b/>
              </w:rPr>
              <w:t>ț</w:t>
            </w:r>
            <w:r w:rsidRPr="00825E5B">
              <w:rPr>
                <w:rFonts w:ascii="Times New Roman" w:hAnsi="Times New Roman"/>
                <w:b/>
              </w:rPr>
              <w:t>area comer</w:t>
            </w:r>
            <w:r w:rsidR="00367C88">
              <w:rPr>
                <w:rFonts w:ascii="Times New Roman" w:hAnsi="Times New Roman"/>
                <w:b/>
              </w:rPr>
              <w:t>ț</w:t>
            </w:r>
            <w:r w:rsidRPr="00825E5B">
              <w:rPr>
                <w:rFonts w:ascii="Times New Roman" w:hAnsi="Times New Roman"/>
                <w:b/>
              </w:rPr>
              <w:t>ului (element memorandum); din care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expunerii pentru calcularea indicatorului efectului de levier al elementelor bilan</w:t>
            </w:r>
            <w:r w:rsidR="00367C88">
              <w:rPr>
                <w:rFonts w:ascii="Times New Roman" w:hAnsi="Times New Roman"/>
              </w:rPr>
              <w:t>ț</w:t>
            </w:r>
            <w:r w:rsidRPr="00825E5B">
              <w:rPr>
                <w:rFonts w:ascii="Times New Roman" w:hAnsi="Times New Roman"/>
              </w:rPr>
              <w:t xml:space="preserve">iere care se referă la darea cu împrumut către un exportator sau un importator de bunuri sau servicii prin intermediul creditelor de import sau de export </w:t>
            </w:r>
            <w:r w:rsidR="00367C88">
              <w:rPr>
                <w:rFonts w:ascii="Times New Roman" w:hAnsi="Times New Roman"/>
              </w:rPr>
              <w:t>ș</w:t>
            </w:r>
            <w:r w:rsidRPr="00825E5B">
              <w:rPr>
                <w:rFonts w:ascii="Times New Roman" w:hAnsi="Times New Roman"/>
              </w:rPr>
              <w:t>i la opera</w:t>
            </w:r>
            <w:r w:rsidR="00367C88">
              <w:rPr>
                <w:rFonts w:ascii="Times New Roman" w:hAnsi="Times New Roman"/>
              </w:rPr>
              <w:t>ț</w:t>
            </w:r>
            <w:r w:rsidRPr="00825E5B">
              <w:rPr>
                <w:rFonts w:ascii="Times New Roman" w:hAnsi="Times New Roman"/>
              </w:rPr>
              <w:t xml:space="preserve">iuni similare. </w:t>
            </w:r>
          </w:p>
          <w:p w:rsidR="002509B1" w:rsidRPr="00825E5B" w:rsidRDefault="002509B1"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086A8A" w:rsidRPr="00825E5B" w:rsidRDefault="00086A8A"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{310;020}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Finan</w:t>
            </w:r>
            <w:r w:rsidR="00367C88">
              <w:rPr>
                <w:rFonts w:ascii="Times New Roman" w:hAnsi="Times New Roman"/>
                <w:b/>
              </w:rPr>
              <w:t>ț</w:t>
            </w:r>
            <w:r w:rsidRPr="00825E5B">
              <w:rPr>
                <w:rFonts w:ascii="Times New Roman" w:hAnsi="Times New Roman"/>
                <w:b/>
              </w:rPr>
              <w:t>area comer</w:t>
            </w:r>
            <w:r w:rsidR="00367C88">
              <w:rPr>
                <w:rFonts w:ascii="Times New Roman" w:hAnsi="Times New Roman"/>
                <w:b/>
              </w:rPr>
              <w:t>ț</w:t>
            </w:r>
            <w:r w:rsidRPr="00825E5B">
              <w:rPr>
                <w:rFonts w:ascii="Times New Roman" w:hAnsi="Times New Roman"/>
                <w:b/>
              </w:rPr>
              <w:t>ului (element memorandum); din care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2509B1" w:rsidRPr="00825E5B" w:rsidRDefault="00F4754B" w:rsidP="007E2A41">
            <w:pPr>
              <w:pStyle w:val="BodyText1"/>
              <w:spacing w:line="240" w:lineRule="auto"/>
              <w:rPr>
                <w:rFonts w:ascii="Times New Roman" w:hAnsi="Times New Roman"/>
                <w:b/>
                <w:bCs/>
                <w:u w:val="single"/>
              </w:rPr>
            </w:pPr>
            <w:r w:rsidRPr="00825E5B">
              <w:rPr>
                <w:rFonts w:ascii="Times New Roman" w:hAnsi="Times New Roman"/>
              </w:rPr>
              <w:t>Valoarea expunerii pentru calcularea indicatorului efectului de levier al elementelor bilan</w:t>
            </w:r>
            <w:r w:rsidR="00367C88">
              <w:rPr>
                <w:rFonts w:ascii="Times New Roman" w:hAnsi="Times New Roman"/>
              </w:rPr>
              <w:t>ț</w:t>
            </w:r>
            <w:r w:rsidRPr="00825E5B">
              <w:rPr>
                <w:rFonts w:ascii="Times New Roman" w:hAnsi="Times New Roman"/>
              </w:rPr>
              <w:t xml:space="preserve">iere care se referă la darea cu împrumut către un exportator sau un importator de bunuri sau servicii prin intermediul creditelor de import sau de export </w:t>
            </w:r>
            <w:r w:rsidR="00367C88">
              <w:rPr>
                <w:rFonts w:ascii="Times New Roman" w:hAnsi="Times New Roman"/>
              </w:rPr>
              <w:t>ș</w:t>
            </w:r>
            <w:r w:rsidRPr="00825E5B">
              <w:rPr>
                <w:rFonts w:ascii="Times New Roman" w:hAnsi="Times New Roman"/>
              </w:rPr>
              <w:t>i la opera</w:t>
            </w:r>
            <w:r w:rsidR="00367C88">
              <w:rPr>
                <w:rFonts w:ascii="Times New Roman" w:hAnsi="Times New Roman"/>
              </w:rPr>
              <w:t>ț</w:t>
            </w:r>
            <w:r w:rsidRPr="00825E5B">
              <w:rPr>
                <w:rFonts w:ascii="Times New Roman" w:hAnsi="Times New Roman"/>
              </w:rPr>
              <w:t xml:space="preserve">iuni similare. </w:t>
            </w:r>
          </w:p>
          <w:p w:rsidR="00BE6AC4" w:rsidRPr="00825E5B" w:rsidRDefault="00BE6AC4" w:rsidP="009C4E79">
            <w:pPr>
              <w:pStyle w:val="BodyText1"/>
              <w:spacing w:line="240" w:lineRule="auto"/>
              <w:rPr>
                <w:rFonts w:ascii="Times New Roman" w:hAnsi="Times New Roman"/>
                <w:bCs/>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{310;030}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Finan</w:t>
            </w:r>
            <w:r w:rsidR="00367C88">
              <w:rPr>
                <w:rFonts w:ascii="Times New Roman" w:hAnsi="Times New Roman"/>
                <w:b/>
              </w:rPr>
              <w:t>ț</w:t>
            </w:r>
            <w:r w:rsidRPr="00825E5B">
              <w:rPr>
                <w:rFonts w:ascii="Times New Roman" w:hAnsi="Times New Roman"/>
                <w:b/>
              </w:rPr>
              <w:t>area comer</w:t>
            </w:r>
            <w:r w:rsidR="00367C88">
              <w:rPr>
                <w:rFonts w:ascii="Times New Roman" w:hAnsi="Times New Roman"/>
                <w:b/>
              </w:rPr>
              <w:t>ț</w:t>
            </w:r>
            <w:r w:rsidRPr="00825E5B">
              <w:rPr>
                <w:rFonts w:ascii="Times New Roman" w:hAnsi="Times New Roman"/>
                <w:b/>
              </w:rPr>
              <w:t>ului (element memorandum); din care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Valoarea ponderată la risc a expunerii elementelor bilan</w:t>
            </w:r>
            <w:r w:rsidR="00367C88">
              <w:rPr>
                <w:rFonts w:ascii="Times New Roman" w:hAnsi="Times New Roman"/>
              </w:rPr>
              <w:t>ț</w:t>
            </w:r>
            <w:r w:rsidRPr="00825E5B">
              <w:rPr>
                <w:rFonts w:ascii="Times New Roman" w:hAnsi="Times New Roman"/>
              </w:rPr>
              <w:t xml:space="preserve">iere care se referă la darea cu împrumut către un exportator sau un importator de bunuri sau servicii prin intermediul creditelor de import sau de export </w:t>
            </w:r>
            <w:r w:rsidR="00367C88">
              <w:rPr>
                <w:rFonts w:ascii="Times New Roman" w:hAnsi="Times New Roman"/>
              </w:rPr>
              <w:t>ș</w:t>
            </w:r>
            <w:r w:rsidRPr="00825E5B">
              <w:rPr>
                <w:rFonts w:ascii="Times New Roman" w:hAnsi="Times New Roman"/>
              </w:rPr>
              <w:t>i la opera</w:t>
            </w:r>
            <w:r w:rsidR="00367C88">
              <w:rPr>
                <w:rFonts w:ascii="Times New Roman" w:hAnsi="Times New Roman"/>
              </w:rPr>
              <w:t>ț</w:t>
            </w:r>
            <w:r w:rsidRPr="00825E5B">
              <w:rPr>
                <w:rFonts w:ascii="Times New Roman" w:hAnsi="Times New Roman"/>
              </w:rPr>
              <w:t xml:space="preserve">iuni similare. </w:t>
            </w:r>
          </w:p>
          <w:p w:rsidR="00086A8A" w:rsidRPr="00825E5B" w:rsidRDefault="00086A8A" w:rsidP="007E2A41">
            <w:pPr>
              <w:pStyle w:val="BodyText1"/>
              <w:spacing w:line="240" w:lineRule="auto"/>
              <w:rPr>
                <w:rFonts w:ascii="Times New Roman" w:hAnsi="Times New Roman"/>
                <w:bCs/>
              </w:rPr>
            </w:pPr>
          </w:p>
          <w:p w:rsidR="00086A8A" w:rsidRPr="00825E5B" w:rsidRDefault="00086A8A" w:rsidP="007E2A4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{310;040}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Finan</w:t>
            </w:r>
            <w:r w:rsidR="00367C88">
              <w:rPr>
                <w:rFonts w:ascii="Times New Roman" w:hAnsi="Times New Roman"/>
                <w:b/>
              </w:rPr>
              <w:t>ț</w:t>
            </w:r>
            <w:r w:rsidRPr="00825E5B">
              <w:rPr>
                <w:rFonts w:ascii="Times New Roman" w:hAnsi="Times New Roman"/>
                <w:b/>
              </w:rPr>
              <w:t>area comer</w:t>
            </w:r>
            <w:r w:rsidR="00367C88">
              <w:rPr>
                <w:rFonts w:ascii="Times New Roman" w:hAnsi="Times New Roman"/>
                <w:b/>
              </w:rPr>
              <w:t>ț</w:t>
            </w:r>
            <w:r w:rsidRPr="00825E5B">
              <w:rPr>
                <w:rFonts w:ascii="Times New Roman" w:hAnsi="Times New Roman"/>
                <w:b/>
              </w:rPr>
              <w:t>ului (element memorandum); din care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bCs/>
              </w:rPr>
            </w:pPr>
            <w:r w:rsidRPr="00825E5B">
              <w:rPr>
                <w:rFonts w:ascii="Times New Roman" w:hAnsi="Times New Roman"/>
              </w:rPr>
              <w:t>Cuantumul ponderat la risc al expunerii elementelor bilan</w:t>
            </w:r>
            <w:r w:rsidR="00367C88">
              <w:rPr>
                <w:rFonts w:ascii="Times New Roman" w:hAnsi="Times New Roman"/>
              </w:rPr>
              <w:t>ț</w:t>
            </w:r>
            <w:r w:rsidRPr="00825E5B">
              <w:rPr>
                <w:rFonts w:ascii="Times New Roman" w:hAnsi="Times New Roman"/>
              </w:rPr>
              <w:t xml:space="preserve">iere care se referă la darea cu împrumut către un exportator sau un importator de bunuri sau servicii prin intermediul creditelor de import sau de export </w:t>
            </w:r>
            <w:r w:rsidR="00367C88">
              <w:rPr>
                <w:rFonts w:ascii="Times New Roman" w:hAnsi="Times New Roman"/>
              </w:rPr>
              <w:t>ș</w:t>
            </w:r>
            <w:r w:rsidRPr="00825E5B">
              <w:rPr>
                <w:rFonts w:ascii="Times New Roman" w:hAnsi="Times New Roman"/>
              </w:rPr>
              <w:t>i la opera</w:t>
            </w:r>
            <w:r w:rsidR="00367C88">
              <w:rPr>
                <w:rFonts w:ascii="Times New Roman" w:hAnsi="Times New Roman"/>
              </w:rPr>
              <w:t>ț</w:t>
            </w:r>
            <w:r w:rsidRPr="00825E5B">
              <w:rPr>
                <w:rFonts w:ascii="Times New Roman" w:hAnsi="Times New Roman"/>
              </w:rPr>
              <w:t xml:space="preserve">iuni similare. </w:t>
            </w:r>
          </w:p>
          <w:p w:rsidR="002509B1" w:rsidRPr="00825E5B" w:rsidRDefault="002509B1" w:rsidP="007E2A41">
            <w:pPr>
              <w:pStyle w:val="BodyText1"/>
              <w:spacing w:line="240" w:lineRule="auto"/>
              <w:rPr>
                <w:rFonts w:ascii="Times New Roman" w:hAnsi="Times New Roman"/>
                <w:b/>
                <w:bCs/>
                <w:u w:val="single"/>
              </w:rPr>
            </w:pPr>
          </w:p>
          <w:p w:rsidR="009C4E79" w:rsidRPr="00825E5B" w:rsidRDefault="009C4E79" w:rsidP="009C4E79">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9C4E79" w:rsidRPr="00825E5B" w:rsidRDefault="009C4E79"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A60C43">
            <w:pPr>
              <w:pStyle w:val="BodyText1"/>
              <w:rPr>
                <w:rFonts w:ascii="Times New Roman" w:hAnsi="Times New Roman"/>
              </w:rPr>
            </w:pPr>
            <w:r w:rsidRPr="00825E5B">
              <w:rPr>
                <w:rFonts w:ascii="Times New Roman" w:hAnsi="Times New Roman"/>
              </w:rPr>
              <w:lastRenderedPageBreak/>
              <w:t>{320;010}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În cadrul schemei oficiale de asigurare a creditelor de export – Valoarea expunerii pentru calcularea indicatorului efectului de levier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Valoarea expunerii pentru calcularea indicatorului efectului de levier al elementelor bilan</w:t>
            </w:r>
            <w:r w:rsidR="00367C88">
              <w:rPr>
                <w:rFonts w:ascii="Times New Roman" w:hAnsi="Times New Roman"/>
              </w:rPr>
              <w:t>ț</w:t>
            </w:r>
            <w:r w:rsidRPr="00825E5B">
              <w:rPr>
                <w:rFonts w:ascii="Times New Roman" w:hAnsi="Times New Roman"/>
              </w:rPr>
              <w:t>iere care se referă la finan</w:t>
            </w:r>
            <w:r w:rsidR="00367C88">
              <w:rPr>
                <w:rFonts w:ascii="Times New Roman" w:hAnsi="Times New Roman"/>
              </w:rPr>
              <w:t>ț</w:t>
            </w:r>
            <w:r w:rsidRPr="00825E5B">
              <w:rPr>
                <w:rFonts w:ascii="Times New Roman" w:hAnsi="Times New Roman"/>
              </w:rPr>
              <w:t>area comer</w:t>
            </w:r>
            <w:r w:rsidR="00367C88">
              <w:rPr>
                <w:rFonts w:ascii="Times New Roman" w:hAnsi="Times New Roman"/>
              </w:rPr>
              <w:t>ț</w:t>
            </w:r>
            <w:r w:rsidRPr="00825E5B">
              <w:rPr>
                <w:rFonts w:ascii="Times New Roman" w:hAnsi="Times New Roman"/>
              </w:rPr>
              <w:t>ului în cadrul unei scheme oficiale de asigurare a creditelor de export. Pentru completarea formularului LR4, schema oficială de asigurare a creditelor de export se referă la sprijinul oficial acordat de guvern sau de o altă entitate, cum ar fi o agen</w:t>
            </w:r>
            <w:r w:rsidR="00367C88">
              <w:rPr>
                <w:rFonts w:ascii="Times New Roman" w:hAnsi="Times New Roman"/>
              </w:rPr>
              <w:t>ț</w:t>
            </w:r>
            <w:r w:rsidRPr="00825E5B">
              <w:rPr>
                <w:rFonts w:ascii="Times New Roman" w:hAnsi="Times New Roman"/>
              </w:rPr>
              <w:t>ie oficială de creditare a exportului, sub formă de, printre altele, credite/finan</w:t>
            </w:r>
            <w:r w:rsidR="00367C88">
              <w:rPr>
                <w:rFonts w:ascii="Times New Roman" w:hAnsi="Times New Roman"/>
              </w:rPr>
              <w:t>ț</w:t>
            </w:r>
            <w:r w:rsidRPr="00825E5B">
              <w:rPr>
                <w:rFonts w:ascii="Times New Roman" w:hAnsi="Times New Roman"/>
              </w:rPr>
              <w:t>ări directe, refinan</w:t>
            </w:r>
            <w:r w:rsidR="00367C88">
              <w:rPr>
                <w:rFonts w:ascii="Times New Roman" w:hAnsi="Times New Roman"/>
              </w:rPr>
              <w:t>ț</w:t>
            </w:r>
            <w:r w:rsidRPr="00825E5B">
              <w:rPr>
                <w:rFonts w:ascii="Times New Roman" w:hAnsi="Times New Roman"/>
              </w:rPr>
              <w:t>ări, subven</w:t>
            </w:r>
            <w:r w:rsidR="00367C88">
              <w:rPr>
                <w:rFonts w:ascii="Times New Roman" w:hAnsi="Times New Roman"/>
              </w:rPr>
              <w:t>ț</w:t>
            </w:r>
            <w:r w:rsidRPr="00825E5B">
              <w:rPr>
                <w:rFonts w:ascii="Times New Roman" w:hAnsi="Times New Roman"/>
              </w:rPr>
              <w:t>ionare a ratei dobânzii (în cazul în care se garantează o rată fixă a dobânzii pe toată durata creditului), finan</w:t>
            </w:r>
            <w:r w:rsidR="00367C88">
              <w:rPr>
                <w:rFonts w:ascii="Times New Roman" w:hAnsi="Times New Roman"/>
              </w:rPr>
              <w:t>ț</w:t>
            </w:r>
            <w:r w:rsidRPr="00825E5B">
              <w:rPr>
                <w:rFonts w:ascii="Times New Roman" w:hAnsi="Times New Roman"/>
              </w:rPr>
              <w:t xml:space="preserve">are a ajutoarelor (credite </w:t>
            </w:r>
            <w:r w:rsidR="00367C88">
              <w:rPr>
                <w:rFonts w:ascii="Times New Roman" w:hAnsi="Times New Roman"/>
              </w:rPr>
              <w:t>ș</w:t>
            </w:r>
            <w:r w:rsidRPr="00825E5B">
              <w:rPr>
                <w:rFonts w:ascii="Times New Roman" w:hAnsi="Times New Roman"/>
              </w:rPr>
              <w:t xml:space="preserve">i granturi), asigurare a creditelor de export </w:t>
            </w:r>
            <w:r w:rsidR="00367C88">
              <w:rPr>
                <w:rFonts w:ascii="Times New Roman" w:hAnsi="Times New Roman"/>
              </w:rPr>
              <w:t>ș</w:t>
            </w:r>
            <w:r w:rsidRPr="00825E5B">
              <w:rPr>
                <w:rFonts w:ascii="Times New Roman" w:hAnsi="Times New Roman"/>
              </w:rPr>
              <w:t>i garan</w:t>
            </w:r>
            <w:r w:rsidR="00367C88">
              <w:rPr>
                <w:rFonts w:ascii="Times New Roman" w:hAnsi="Times New Roman"/>
              </w:rPr>
              <w:t>ț</w:t>
            </w:r>
            <w:r w:rsidRPr="00825E5B">
              <w:rPr>
                <w:rFonts w:ascii="Times New Roman" w:hAnsi="Times New Roman"/>
              </w:rPr>
              <w:t xml:space="preserve">ii. </w:t>
            </w:r>
          </w:p>
          <w:p w:rsidR="00086A8A" w:rsidRPr="00825E5B" w:rsidRDefault="00086A8A" w:rsidP="007E2A41">
            <w:pPr>
              <w:pStyle w:val="BodyText1"/>
              <w:spacing w:line="240" w:lineRule="auto"/>
              <w:rPr>
                <w:rFonts w:ascii="Times New Roman" w:hAnsi="Times New Roman"/>
              </w:rPr>
            </w:pPr>
          </w:p>
          <w:p w:rsidR="00086A8A" w:rsidRPr="00825E5B" w:rsidRDefault="00086A8A" w:rsidP="007E2A41">
            <w:pPr>
              <w:pStyle w:val="BodyText1"/>
              <w:spacing w:line="240" w:lineRule="auto"/>
              <w:rPr>
                <w:rFonts w:ascii="Times New Roman" w:hAnsi="Times New Roman"/>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Cs/>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bCs/>
              </w:rPr>
            </w:pPr>
            <w:r w:rsidRPr="00825E5B">
              <w:rPr>
                <w:rFonts w:ascii="Times New Roman" w:hAnsi="Times New Roman"/>
              </w:rPr>
              <w:t>{320;020}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În cadrul schemei oficiale de asigurare a creditelor de export – Valoarea expunerii pentru calcularea indicatorului efectului de levier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Valoarea expunerii pentru calcularea indicatorului efectului de levier al elementelor bilan</w:t>
            </w:r>
            <w:r w:rsidR="00367C88">
              <w:rPr>
                <w:rFonts w:ascii="Times New Roman" w:hAnsi="Times New Roman"/>
              </w:rPr>
              <w:t>ț</w:t>
            </w:r>
            <w:r w:rsidRPr="00825E5B">
              <w:rPr>
                <w:rFonts w:ascii="Times New Roman" w:hAnsi="Times New Roman"/>
              </w:rPr>
              <w:t>iere care se referă la finan</w:t>
            </w:r>
            <w:r w:rsidR="00367C88">
              <w:rPr>
                <w:rFonts w:ascii="Times New Roman" w:hAnsi="Times New Roman"/>
              </w:rPr>
              <w:t>ț</w:t>
            </w:r>
            <w:r w:rsidRPr="00825E5B">
              <w:rPr>
                <w:rFonts w:ascii="Times New Roman" w:hAnsi="Times New Roman"/>
              </w:rPr>
              <w:t>area comer</w:t>
            </w:r>
            <w:r w:rsidR="00367C88">
              <w:rPr>
                <w:rFonts w:ascii="Times New Roman" w:hAnsi="Times New Roman"/>
              </w:rPr>
              <w:t>ț</w:t>
            </w:r>
            <w:r w:rsidRPr="00825E5B">
              <w:rPr>
                <w:rFonts w:ascii="Times New Roman" w:hAnsi="Times New Roman"/>
              </w:rPr>
              <w:t>ului în cadrul unei scheme oficiale de asigurare a creditelor de export. Pentru completarea formularului LR4, schema oficială de asigurare a creditelor de export se referă la sprijinul oficial acordat de guvern sau de o altă entitate, cum ar fi o agen</w:t>
            </w:r>
            <w:r w:rsidR="00367C88">
              <w:rPr>
                <w:rFonts w:ascii="Times New Roman" w:hAnsi="Times New Roman"/>
              </w:rPr>
              <w:t>ț</w:t>
            </w:r>
            <w:r w:rsidRPr="00825E5B">
              <w:rPr>
                <w:rFonts w:ascii="Times New Roman" w:hAnsi="Times New Roman"/>
              </w:rPr>
              <w:t>ie oficială de creditare a exportului, sub formă de, printre altele, credite/finan</w:t>
            </w:r>
            <w:r w:rsidR="00367C88">
              <w:rPr>
                <w:rFonts w:ascii="Times New Roman" w:hAnsi="Times New Roman"/>
              </w:rPr>
              <w:t>ț</w:t>
            </w:r>
            <w:r w:rsidRPr="00825E5B">
              <w:rPr>
                <w:rFonts w:ascii="Times New Roman" w:hAnsi="Times New Roman"/>
              </w:rPr>
              <w:t>ări directe, refinan</w:t>
            </w:r>
            <w:r w:rsidR="00367C88">
              <w:rPr>
                <w:rFonts w:ascii="Times New Roman" w:hAnsi="Times New Roman"/>
              </w:rPr>
              <w:t>ț</w:t>
            </w:r>
            <w:r w:rsidRPr="00825E5B">
              <w:rPr>
                <w:rFonts w:ascii="Times New Roman" w:hAnsi="Times New Roman"/>
              </w:rPr>
              <w:t>ări, subven</w:t>
            </w:r>
            <w:r w:rsidR="00367C88">
              <w:rPr>
                <w:rFonts w:ascii="Times New Roman" w:hAnsi="Times New Roman"/>
              </w:rPr>
              <w:t>ț</w:t>
            </w:r>
            <w:r w:rsidRPr="00825E5B">
              <w:rPr>
                <w:rFonts w:ascii="Times New Roman" w:hAnsi="Times New Roman"/>
              </w:rPr>
              <w:t>ionare a ratei dobânzii (în cazul în care se garantează o rată fixă a dobânzii pe toată durata creditului), finan</w:t>
            </w:r>
            <w:r w:rsidR="00367C88">
              <w:rPr>
                <w:rFonts w:ascii="Times New Roman" w:hAnsi="Times New Roman"/>
              </w:rPr>
              <w:t>ț</w:t>
            </w:r>
            <w:r w:rsidRPr="00825E5B">
              <w:rPr>
                <w:rFonts w:ascii="Times New Roman" w:hAnsi="Times New Roman"/>
              </w:rPr>
              <w:t xml:space="preserve">are a ajutoarelor (credite </w:t>
            </w:r>
            <w:r w:rsidR="00367C88">
              <w:rPr>
                <w:rFonts w:ascii="Times New Roman" w:hAnsi="Times New Roman"/>
              </w:rPr>
              <w:t>ș</w:t>
            </w:r>
            <w:r w:rsidRPr="00825E5B">
              <w:rPr>
                <w:rFonts w:ascii="Times New Roman" w:hAnsi="Times New Roman"/>
              </w:rPr>
              <w:t xml:space="preserve">i granturi), asigurare a creditelor de export </w:t>
            </w:r>
            <w:r w:rsidR="00367C88">
              <w:rPr>
                <w:rFonts w:ascii="Times New Roman" w:hAnsi="Times New Roman"/>
              </w:rPr>
              <w:t>ș</w:t>
            </w:r>
            <w:r w:rsidRPr="00825E5B">
              <w:rPr>
                <w:rFonts w:ascii="Times New Roman" w:hAnsi="Times New Roman"/>
              </w:rPr>
              <w:t>i garan</w:t>
            </w:r>
            <w:r w:rsidR="00367C88">
              <w:rPr>
                <w:rFonts w:ascii="Times New Roman" w:hAnsi="Times New Roman"/>
              </w:rPr>
              <w:t>ț</w:t>
            </w:r>
            <w:r w:rsidRPr="00825E5B">
              <w:rPr>
                <w:rFonts w:ascii="Times New Roman" w:hAnsi="Times New Roman"/>
              </w:rPr>
              <w:t xml:space="preserve">ii. </w:t>
            </w:r>
          </w:p>
          <w:p w:rsidR="009C4E79" w:rsidRPr="00825E5B" w:rsidRDefault="009C4E79" w:rsidP="007E2A41">
            <w:pPr>
              <w:pStyle w:val="BodyText1"/>
              <w:spacing w:line="240" w:lineRule="auto"/>
              <w:rPr>
                <w:rFonts w:ascii="Times New Roman" w:hAnsi="Times New Roman"/>
              </w:rPr>
            </w:pPr>
          </w:p>
          <w:p w:rsidR="009C4E79" w:rsidRPr="00825E5B" w:rsidRDefault="009C4E79" w:rsidP="007E2A41">
            <w:pPr>
              <w:pStyle w:val="BodyText1"/>
              <w:spacing w:line="240" w:lineRule="auto"/>
              <w:rPr>
                <w:rFonts w:ascii="Times New Roman" w:hAnsi="Times New Roman"/>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Del="00600AB1"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{320;030}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În cadrul schemei oficiale de asigurare a creditelor de export – Active ponderate la risc – Expuneri în cadrul abordării standardizate</w:t>
            </w:r>
          </w:p>
          <w:p w:rsidR="002509B1" w:rsidRPr="00825E5B" w:rsidRDefault="002509B1" w:rsidP="007E2A41">
            <w:pPr>
              <w:pStyle w:val="BodyText1"/>
              <w:spacing w:line="240" w:lineRule="auto"/>
              <w:rPr>
                <w:rFonts w:ascii="Times New Roman" w:hAnsi="Times New Roman"/>
                <w:b/>
                <w:bCs/>
              </w:rPr>
            </w:pPr>
          </w:p>
          <w:p w:rsidR="00F4754B" w:rsidRPr="00825E5B" w:rsidRDefault="00F4754B" w:rsidP="007E2A41">
            <w:pPr>
              <w:pStyle w:val="BodyText1"/>
              <w:spacing w:line="240" w:lineRule="auto"/>
              <w:rPr>
                <w:rFonts w:ascii="Times New Roman" w:hAnsi="Times New Roman"/>
              </w:rPr>
            </w:pPr>
            <w:r w:rsidRPr="00825E5B">
              <w:rPr>
                <w:rFonts w:ascii="Times New Roman" w:hAnsi="Times New Roman"/>
              </w:rPr>
              <w:t>Valoarea ponderată la risc a expunerii elementelor bilan</w:t>
            </w:r>
            <w:r w:rsidR="00367C88">
              <w:rPr>
                <w:rFonts w:ascii="Times New Roman" w:hAnsi="Times New Roman"/>
              </w:rPr>
              <w:t>ț</w:t>
            </w:r>
            <w:r w:rsidRPr="00825E5B">
              <w:rPr>
                <w:rFonts w:ascii="Times New Roman" w:hAnsi="Times New Roman"/>
              </w:rPr>
              <w:t>iere care se referă la finan</w:t>
            </w:r>
            <w:r w:rsidR="00367C88">
              <w:rPr>
                <w:rFonts w:ascii="Times New Roman" w:hAnsi="Times New Roman"/>
              </w:rPr>
              <w:t>ț</w:t>
            </w:r>
            <w:r w:rsidRPr="00825E5B">
              <w:rPr>
                <w:rFonts w:ascii="Times New Roman" w:hAnsi="Times New Roman"/>
              </w:rPr>
              <w:t>area comer</w:t>
            </w:r>
            <w:r w:rsidR="00367C88">
              <w:rPr>
                <w:rFonts w:ascii="Times New Roman" w:hAnsi="Times New Roman"/>
              </w:rPr>
              <w:t>ț</w:t>
            </w:r>
            <w:r w:rsidRPr="00825E5B">
              <w:rPr>
                <w:rFonts w:ascii="Times New Roman" w:hAnsi="Times New Roman"/>
              </w:rPr>
              <w:t>ului în cadrul unei scheme oficiale de asigurare a creditelor de export. Pentru completarea formularului LR4, schema oficială de asigurare a creditelor de export se referă la sprijinul oficial acordat de guvern sau de o altă entitate, cum ar fi o agen</w:t>
            </w:r>
            <w:r w:rsidR="00367C88">
              <w:rPr>
                <w:rFonts w:ascii="Times New Roman" w:hAnsi="Times New Roman"/>
              </w:rPr>
              <w:t>ț</w:t>
            </w:r>
            <w:r w:rsidRPr="00825E5B">
              <w:rPr>
                <w:rFonts w:ascii="Times New Roman" w:hAnsi="Times New Roman"/>
              </w:rPr>
              <w:t>ie oficială de creditare a exportului, sub formă de, printre altele, credite/finan</w:t>
            </w:r>
            <w:r w:rsidR="00367C88">
              <w:rPr>
                <w:rFonts w:ascii="Times New Roman" w:hAnsi="Times New Roman"/>
              </w:rPr>
              <w:t>ț</w:t>
            </w:r>
            <w:r w:rsidRPr="00825E5B">
              <w:rPr>
                <w:rFonts w:ascii="Times New Roman" w:hAnsi="Times New Roman"/>
              </w:rPr>
              <w:t>ări directe, refinan</w:t>
            </w:r>
            <w:r w:rsidR="00367C88">
              <w:rPr>
                <w:rFonts w:ascii="Times New Roman" w:hAnsi="Times New Roman"/>
              </w:rPr>
              <w:t>ț</w:t>
            </w:r>
            <w:r w:rsidRPr="00825E5B">
              <w:rPr>
                <w:rFonts w:ascii="Times New Roman" w:hAnsi="Times New Roman"/>
              </w:rPr>
              <w:t>ări, subven</w:t>
            </w:r>
            <w:r w:rsidR="00367C88">
              <w:rPr>
                <w:rFonts w:ascii="Times New Roman" w:hAnsi="Times New Roman"/>
              </w:rPr>
              <w:t>ț</w:t>
            </w:r>
            <w:r w:rsidRPr="00825E5B">
              <w:rPr>
                <w:rFonts w:ascii="Times New Roman" w:hAnsi="Times New Roman"/>
              </w:rPr>
              <w:t>ionare a ratei dobânzii (în cazul în care se garantează o rată fixă a dobânzii pe toată durata creditului), finan</w:t>
            </w:r>
            <w:r w:rsidR="00367C88">
              <w:rPr>
                <w:rFonts w:ascii="Times New Roman" w:hAnsi="Times New Roman"/>
              </w:rPr>
              <w:t>ț</w:t>
            </w:r>
            <w:r w:rsidRPr="00825E5B">
              <w:rPr>
                <w:rFonts w:ascii="Times New Roman" w:hAnsi="Times New Roman"/>
              </w:rPr>
              <w:t xml:space="preserve">are a ajutoarelor (credite </w:t>
            </w:r>
            <w:r w:rsidR="00367C88">
              <w:rPr>
                <w:rFonts w:ascii="Times New Roman" w:hAnsi="Times New Roman"/>
              </w:rPr>
              <w:t>ș</w:t>
            </w:r>
            <w:r w:rsidRPr="00825E5B">
              <w:rPr>
                <w:rFonts w:ascii="Times New Roman" w:hAnsi="Times New Roman"/>
              </w:rPr>
              <w:t xml:space="preserve">i granturi), asigurare a creditelor de export </w:t>
            </w:r>
            <w:r w:rsidR="00367C88">
              <w:rPr>
                <w:rFonts w:ascii="Times New Roman" w:hAnsi="Times New Roman"/>
              </w:rPr>
              <w:t>ș</w:t>
            </w:r>
            <w:r w:rsidRPr="00825E5B">
              <w:rPr>
                <w:rFonts w:ascii="Times New Roman" w:hAnsi="Times New Roman"/>
              </w:rPr>
              <w:t>i garan</w:t>
            </w:r>
            <w:r w:rsidR="00367C88">
              <w:rPr>
                <w:rFonts w:ascii="Times New Roman" w:hAnsi="Times New Roman"/>
              </w:rPr>
              <w:t>ț</w:t>
            </w:r>
            <w:r w:rsidRPr="00825E5B">
              <w:rPr>
                <w:rFonts w:ascii="Times New Roman" w:hAnsi="Times New Roman"/>
              </w:rPr>
              <w:t xml:space="preserve">ii. </w:t>
            </w:r>
          </w:p>
          <w:p w:rsidR="00086A8A" w:rsidRPr="00825E5B" w:rsidRDefault="00086A8A" w:rsidP="007E2A41">
            <w:pPr>
              <w:pStyle w:val="BodyText1"/>
              <w:spacing w:line="240" w:lineRule="auto"/>
              <w:rPr>
                <w:rFonts w:ascii="Times New Roman" w:hAnsi="Times New Roman"/>
              </w:rPr>
            </w:pPr>
          </w:p>
          <w:p w:rsidR="00086A8A" w:rsidRPr="00825E5B" w:rsidRDefault="00086A8A" w:rsidP="007E2A41">
            <w:pPr>
              <w:pStyle w:val="BodyText1"/>
              <w:spacing w:line="240" w:lineRule="auto"/>
              <w:rPr>
                <w:rFonts w:ascii="Times New Roman" w:hAnsi="Times New Roman"/>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tr w:rsidR="00F4754B" w:rsidRPr="00825E5B" w:rsidTr="0053335C">
        <w:trPr>
          <w:trHeight w:val="71"/>
        </w:trPr>
        <w:tc>
          <w:tcPr>
            <w:tcW w:w="1111" w:type="dxa"/>
            <w:shd w:val="clear" w:color="auto" w:fill="FFFFFF"/>
          </w:tcPr>
          <w:p w:rsidR="00F4754B" w:rsidRPr="00825E5B" w:rsidRDefault="00F4754B" w:rsidP="006423CC">
            <w:pPr>
              <w:pStyle w:val="BodyText1"/>
              <w:rPr>
                <w:rFonts w:ascii="Times New Roman" w:hAnsi="Times New Roman"/>
              </w:rPr>
            </w:pPr>
            <w:r w:rsidRPr="00825E5B">
              <w:rPr>
                <w:rFonts w:ascii="Times New Roman" w:hAnsi="Times New Roman"/>
              </w:rPr>
              <w:t>{320;040}</w:t>
            </w:r>
          </w:p>
        </w:tc>
        <w:tc>
          <w:tcPr>
            <w:tcW w:w="8133" w:type="dxa"/>
            <w:shd w:val="clear" w:color="auto" w:fill="FFFFFF"/>
          </w:tcPr>
          <w:p w:rsidR="00F4754B" w:rsidRPr="00825E5B" w:rsidRDefault="00F4754B" w:rsidP="007E2A41">
            <w:pPr>
              <w:pStyle w:val="BodyText1"/>
              <w:spacing w:line="240" w:lineRule="auto"/>
              <w:rPr>
                <w:rFonts w:ascii="Times New Roman" w:hAnsi="Times New Roman"/>
                <w:b/>
                <w:bCs/>
              </w:rPr>
            </w:pPr>
            <w:r w:rsidRPr="00825E5B">
              <w:rPr>
                <w:rFonts w:ascii="Times New Roman" w:hAnsi="Times New Roman"/>
                <w:b/>
              </w:rPr>
              <w:t>În cadrul schemei oficiale de asigurare a creditelor de export – Active ponderate la risc – Expuneri în cadrul abordării bazate pe modele interne de rating</w:t>
            </w:r>
          </w:p>
          <w:p w:rsidR="002509B1" w:rsidRPr="00825E5B" w:rsidRDefault="002509B1" w:rsidP="007E2A41">
            <w:pPr>
              <w:pStyle w:val="BodyText1"/>
              <w:spacing w:line="240" w:lineRule="auto"/>
              <w:rPr>
                <w:rFonts w:ascii="Times New Roman" w:hAnsi="Times New Roman"/>
                <w:b/>
                <w:bCs/>
              </w:rPr>
            </w:pPr>
          </w:p>
          <w:p w:rsidR="009C4E79" w:rsidRPr="00825E5B" w:rsidRDefault="00F4754B" w:rsidP="007E2A41">
            <w:pPr>
              <w:pStyle w:val="BodyText1"/>
              <w:spacing w:line="240" w:lineRule="auto"/>
              <w:rPr>
                <w:rFonts w:ascii="Times New Roman" w:hAnsi="Times New Roman"/>
              </w:rPr>
            </w:pPr>
            <w:r w:rsidRPr="00825E5B">
              <w:rPr>
                <w:rFonts w:ascii="Times New Roman" w:hAnsi="Times New Roman"/>
              </w:rPr>
              <w:t>Cuantumul ponderat la risc al expunerii elementelor bilan</w:t>
            </w:r>
            <w:r w:rsidR="00367C88">
              <w:rPr>
                <w:rFonts w:ascii="Times New Roman" w:hAnsi="Times New Roman"/>
              </w:rPr>
              <w:t>ț</w:t>
            </w:r>
            <w:r w:rsidRPr="00825E5B">
              <w:rPr>
                <w:rFonts w:ascii="Times New Roman" w:hAnsi="Times New Roman"/>
              </w:rPr>
              <w:t>iere care se referă la finan</w:t>
            </w:r>
            <w:r w:rsidR="00367C88">
              <w:rPr>
                <w:rFonts w:ascii="Times New Roman" w:hAnsi="Times New Roman"/>
              </w:rPr>
              <w:t>ț</w:t>
            </w:r>
            <w:r w:rsidRPr="00825E5B">
              <w:rPr>
                <w:rFonts w:ascii="Times New Roman" w:hAnsi="Times New Roman"/>
              </w:rPr>
              <w:t>area comer</w:t>
            </w:r>
            <w:r w:rsidR="00367C88">
              <w:rPr>
                <w:rFonts w:ascii="Times New Roman" w:hAnsi="Times New Roman"/>
              </w:rPr>
              <w:t>ț</w:t>
            </w:r>
            <w:r w:rsidRPr="00825E5B">
              <w:rPr>
                <w:rFonts w:ascii="Times New Roman" w:hAnsi="Times New Roman"/>
              </w:rPr>
              <w:t>ului în cadrul unei scheme oficiale de asigurare a creditelor de export. Pentru completarea formularului LR4, schema oficială de asigurare a creditelor de export se referă la sprijinul oficial acordat de guvern sau de o altă entitate, cum ar fi o agen</w:t>
            </w:r>
            <w:r w:rsidR="00367C88">
              <w:rPr>
                <w:rFonts w:ascii="Times New Roman" w:hAnsi="Times New Roman"/>
              </w:rPr>
              <w:t>ț</w:t>
            </w:r>
            <w:r w:rsidRPr="00825E5B">
              <w:rPr>
                <w:rFonts w:ascii="Times New Roman" w:hAnsi="Times New Roman"/>
              </w:rPr>
              <w:t>ie oficială de creditare a exportului, sub formă de, printre altele, credite/finan</w:t>
            </w:r>
            <w:r w:rsidR="00367C88">
              <w:rPr>
                <w:rFonts w:ascii="Times New Roman" w:hAnsi="Times New Roman"/>
              </w:rPr>
              <w:t>ț</w:t>
            </w:r>
            <w:r w:rsidRPr="00825E5B">
              <w:rPr>
                <w:rFonts w:ascii="Times New Roman" w:hAnsi="Times New Roman"/>
              </w:rPr>
              <w:t>ări directe, refinan</w:t>
            </w:r>
            <w:r w:rsidR="00367C88">
              <w:rPr>
                <w:rFonts w:ascii="Times New Roman" w:hAnsi="Times New Roman"/>
              </w:rPr>
              <w:t>ț</w:t>
            </w:r>
            <w:r w:rsidRPr="00825E5B">
              <w:rPr>
                <w:rFonts w:ascii="Times New Roman" w:hAnsi="Times New Roman"/>
              </w:rPr>
              <w:t>ări, subven</w:t>
            </w:r>
            <w:r w:rsidR="00367C88">
              <w:rPr>
                <w:rFonts w:ascii="Times New Roman" w:hAnsi="Times New Roman"/>
              </w:rPr>
              <w:t>ț</w:t>
            </w:r>
            <w:r w:rsidRPr="00825E5B">
              <w:rPr>
                <w:rFonts w:ascii="Times New Roman" w:hAnsi="Times New Roman"/>
              </w:rPr>
              <w:t>ionare a ratei dobânzii (în cazul în care se garantează o rată fixă a dobânzii pe toată durata creditului), finan</w:t>
            </w:r>
            <w:r w:rsidR="00367C88">
              <w:rPr>
                <w:rFonts w:ascii="Times New Roman" w:hAnsi="Times New Roman"/>
              </w:rPr>
              <w:t>ț</w:t>
            </w:r>
            <w:r w:rsidRPr="00825E5B">
              <w:rPr>
                <w:rFonts w:ascii="Times New Roman" w:hAnsi="Times New Roman"/>
              </w:rPr>
              <w:t xml:space="preserve">are a ajutoarelor (credite </w:t>
            </w:r>
            <w:r w:rsidR="00367C88">
              <w:rPr>
                <w:rFonts w:ascii="Times New Roman" w:hAnsi="Times New Roman"/>
              </w:rPr>
              <w:t>ș</w:t>
            </w:r>
            <w:r w:rsidRPr="00825E5B">
              <w:rPr>
                <w:rFonts w:ascii="Times New Roman" w:hAnsi="Times New Roman"/>
              </w:rPr>
              <w:t xml:space="preserve">i granturi), asigurare a creditelor de export </w:t>
            </w:r>
            <w:r w:rsidR="00367C88">
              <w:rPr>
                <w:rFonts w:ascii="Times New Roman" w:hAnsi="Times New Roman"/>
              </w:rPr>
              <w:t>ș</w:t>
            </w:r>
            <w:r w:rsidRPr="00825E5B">
              <w:rPr>
                <w:rFonts w:ascii="Times New Roman" w:hAnsi="Times New Roman"/>
              </w:rPr>
              <w:t>i garan</w:t>
            </w:r>
            <w:r w:rsidR="00367C88">
              <w:rPr>
                <w:rFonts w:ascii="Times New Roman" w:hAnsi="Times New Roman"/>
              </w:rPr>
              <w:t>ț</w:t>
            </w:r>
            <w:r w:rsidRPr="00825E5B">
              <w:rPr>
                <w:rFonts w:ascii="Times New Roman" w:hAnsi="Times New Roman"/>
              </w:rPr>
              <w:t xml:space="preserve">ii. </w:t>
            </w:r>
          </w:p>
          <w:p w:rsidR="009C4E79" w:rsidRPr="00825E5B" w:rsidRDefault="009C4E79" w:rsidP="007E2A41">
            <w:pPr>
              <w:pStyle w:val="BodyText1"/>
              <w:spacing w:line="240" w:lineRule="auto"/>
              <w:rPr>
                <w:rFonts w:ascii="Times New Roman" w:hAnsi="Times New Roman"/>
              </w:rPr>
            </w:pPr>
          </w:p>
          <w:p w:rsidR="00F4754B" w:rsidRPr="00825E5B" w:rsidRDefault="009C4E79" w:rsidP="007E2A41">
            <w:pPr>
              <w:pStyle w:val="BodyText1"/>
              <w:spacing w:line="240" w:lineRule="auto"/>
              <w:rPr>
                <w:rFonts w:ascii="Times New Roman" w:hAnsi="Times New Roman"/>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iile raportează valoarea ob</w:t>
            </w:r>
            <w:r w:rsidR="00367C88">
              <w:rPr>
                <w:rFonts w:ascii="Times New Roman" w:hAnsi="Times New Roman"/>
              </w:rPr>
              <w:t>ț</w:t>
            </w:r>
            <w:r w:rsidRPr="00825E5B">
              <w:rPr>
                <w:rFonts w:ascii="Times New Roman" w:hAnsi="Times New Roman"/>
              </w:rPr>
              <w:t>inută după scăderea expunerilor aflate în stare de nerambursare.</w:t>
            </w:r>
          </w:p>
          <w:p w:rsidR="002509B1" w:rsidRPr="00825E5B" w:rsidRDefault="002509B1" w:rsidP="007E2A41">
            <w:pPr>
              <w:pStyle w:val="BodyText1"/>
              <w:spacing w:line="240" w:lineRule="auto"/>
              <w:rPr>
                <w:rFonts w:ascii="Times New Roman" w:hAnsi="Times New Roman"/>
                <w:b/>
                <w:bCs/>
                <w:u w:val="single"/>
              </w:rPr>
            </w:pPr>
          </w:p>
        </w:tc>
      </w:tr>
      <w:bookmarkEnd w:id="84"/>
    </w:tbl>
    <w:p w:rsidR="00217D1F" w:rsidRPr="00825E5B" w:rsidRDefault="00F4754B" w:rsidP="00500508">
      <w:pPr>
        <w:pStyle w:val="BodyText1"/>
        <w:ind w:left="357" w:hanging="357"/>
        <w:outlineLvl w:val="1"/>
        <w:rPr>
          <w:rFonts w:ascii="Times New Roman" w:hAnsi="Times New Roman"/>
          <w:b/>
        </w:rPr>
      </w:pPr>
      <w:r w:rsidRPr="00825E5B">
        <w:br w:type="page"/>
      </w:r>
      <w:bookmarkStart w:id="89" w:name="_Toc351048511"/>
      <w:bookmarkStart w:id="90" w:name="_Toc359414290"/>
      <w:bookmarkStart w:id="91" w:name="_Toc423089075"/>
      <w:bookmarkStart w:id="92" w:name="_Toc523995578"/>
      <w:r w:rsidRPr="00825E5B">
        <w:rPr>
          <w:rFonts w:ascii="Times New Roman" w:hAnsi="Times New Roman"/>
          <w:b/>
        </w:rPr>
        <w:lastRenderedPageBreak/>
        <w:t>9.</w:t>
      </w:r>
      <w:r w:rsidRPr="00825E5B">
        <w:tab/>
      </w:r>
      <w:r w:rsidRPr="00825E5B">
        <w:rPr>
          <w:rFonts w:ascii="Times New Roman" w:hAnsi="Times New Roman"/>
          <w:b/>
        </w:rPr>
        <w:t>C 44.00 – Informa</w:t>
      </w:r>
      <w:r w:rsidR="00367C88">
        <w:rPr>
          <w:rFonts w:ascii="Times New Roman" w:hAnsi="Times New Roman"/>
          <w:b/>
        </w:rPr>
        <w:t>ț</w:t>
      </w:r>
      <w:r w:rsidRPr="00825E5B">
        <w:rPr>
          <w:rFonts w:ascii="Times New Roman" w:hAnsi="Times New Roman"/>
          <w:b/>
        </w:rPr>
        <w:t>ii generale</w:t>
      </w:r>
      <w:bookmarkEnd w:id="89"/>
      <w:bookmarkEnd w:id="90"/>
      <w:r w:rsidRPr="00825E5B">
        <w:rPr>
          <w:rFonts w:ascii="Times New Roman" w:hAnsi="Times New Roman"/>
          <w:b/>
        </w:rPr>
        <w:t xml:space="preserve"> (LR5)</w:t>
      </w:r>
      <w:bookmarkEnd w:id="91"/>
      <w:bookmarkEnd w:id="92"/>
    </w:p>
    <w:p w:rsidR="00675587" w:rsidRPr="00825E5B" w:rsidRDefault="00675587" w:rsidP="00675587">
      <w:pPr>
        <w:pStyle w:val="BodyText1"/>
        <w:ind w:left="720"/>
        <w:rPr>
          <w:rFonts w:ascii="Times New Roman" w:hAnsi="Times New Roman"/>
        </w:rPr>
      </w:pPr>
    </w:p>
    <w:p w:rsidR="00F4754B" w:rsidRPr="00825E5B" w:rsidRDefault="00500508" w:rsidP="00500508">
      <w:pPr>
        <w:pStyle w:val="BodyText1"/>
        <w:spacing w:line="240" w:lineRule="auto"/>
        <w:ind w:left="720" w:hanging="360"/>
        <w:rPr>
          <w:rFonts w:ascii="Times New Roman" w:hAnsi="Times New Roman"/>
        </w:rPr>
      </w:pPr>
      <w:r w:rsidRPr="00825E5B">
        <w:rPr>
          <w:rFonts w:ascii="Times New Roman" w:hAnsi="Times New Roman"/>
        </w:rPr>
        <w:t>31.</w:t>
      </w:r>
      <w:r w:rsidRPr="00825E5B">
        <w:tab/>
      </w:r>
      <w:r w:rsidRPr="00825E5B">
        <w:rPr>
          <w:rFonts w:ascii="Times New Roman" w:hAnsi="Times New Roman"/>
        </w:rPr>
        <w:t>În acest formular se colectează date suplimentare pentru clasificarea activită</w:t>
      </w:r>
      <w:r w:rsidR="00367C88">
        <w:rPr>
          <w:rFonts w:ascii="Times New Roman" w:hAnsi="Times New Roman"/>
        </w:rPr>
        <w:t>ț</w:t>
      </w:r>
      <w:r w:rsidRPr="00825E5B">
        <w:rPr>
          <w:rFonts w:ascii="Times New Roman" w:hAnsi="Times New Roman"/>
        </w:rPr>
        <w:t>ilor institu</w:t>
      </w:r>
      <w:r w:rsidR="00367C88">
        <w:rPr>
          <w:rFonts w:ascii="Times New Roman" w:hAnsi="Times New Roman"/>
        </w:rPr>
        <w:t>ț</w:t>
      </w:r>
      <w:r w:rsidRPr="00825E5B">
        <w:rPr>
          <w:rFonts w:ascii="Times New Roman" w:hAnsi="Times New Roman"/>
        </w:rPr>
        <w:t xml:space="preserve">iei </w:t>
      </w:r>
      <w:r w:rsidR="00367C88">
        <w:rPr>
          <w:rFonts w:ascii="Times New Roman" w:hAnsi="Times New Roman"/>
        </w:rPr>
        <w:t>ș</w:t>
      </w:r>
      <w:r w:rsidRPr="00825E5B">
        <w:rPr>
          <w:rFonts w:ascii="Times New Roman" w:hAnsi="Times New Roman"/>
        </w:rPr>
        <w:t>i a normelor pentru care a optat aceasta.</w:t>
      </w:r>
    </w:p>
    <w:p w:rsidR="00675587" w:rsidRPr="00825E5B"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825E5B" w:rsidTr="00FC2664">
        <w:tc>
          <w:tcPr>
            <w:tcW w:w="1418" w:type="dxa"/>
            <w:shd w:val="clear" w:color="auto" w:fill="D9D9D9"/>
          </w:tcPr>
          <w:p w:rsidR="00F4754B" w:rsidRPr="00825E5B" w:rsidRDefault="00F4754B" w:rsidP="00F4754B">
            <w:pPr>
              <w:pStyle w:val="BodyText1"/>
              <w:rPr>
                <w:rFonts w:ascii="Times New Roman" w:hAnsi="Times New Roman"/>
                <w:b/>
              </w:rPr>
            </w:pPr>
            <w:r w:rsidRPr="00825E5B">
              <w:rPr>
                <w:rFonts w:ascii="Times New Roman" w:hAnsi="Times New Roman"/>
                <w:b/>
              </w:rPr>
              <w:t xml:space="preserve">Rând </w:t>
            </w:r>
          </w:p>
          <w:p w:rsidR="00F4754B" w:rsidRPr="00825E5B" w:rsidRDefault="00367C88" w:rsidP="00F4754B">
            <w:pPr>
              <w:pStyle w:val="BodyText1"/>
              <w:rPr>
                <w:rFonts w:ascii="Times New Roman" w:hAnsi="Times New Roman"/>
                <w:b/>
                <w:bCs/>
              </w:rPr>
            </w:pPr>
            <w:r>
              <w:rPr>
                <w:rFonts w:ascii="Times New Roman" w:hAnsi="Times New Roman"/>
                <w:b/>
              </w:rPr>
              <w:t>ș</w:t>
            </w:r>
            <w:r w:rsidR="00F4754B" w:rsidRPr="00825E5B">
              <w:rPr>
                <w:rFonts w:ascii="Times New Roman" w:hAnsi="Times New Roman"/>
                <w:b/>
              </w:rPr>
              <w:t>i coloană</w:t>
            </w:r>
          </w:p>
        </w:tc>
        <w:tc>
          <w:tcPr>
            <w:tcW w:w="7620" w:type="dxa"/>
            <w:shd w:val="clear" w:color="auto" w:fill="D9D9D9"/>
          </w:tcPr>
          <w:p w:rsidR="00F4754B" w:rsidRPr="00825E5B" w:rsidRDefault="00F4754B" w:rsidP="00F4754B">
            <w:pPr>
              <w:pStyle w:val="BodyText1"/>
              <w:rPr>
                <w:rFonts w:ascii="Times New Roman" w:hAnsi="Times New Roman"/>
                <w:b/>
                <w:bCs/>
              </w:rPr>
            </w:pPr>
            <w:r w:rsidRPr="00825E5B">
              <w:rPr>
                <w:rFonts w:ascii="Times New Roman" w:hAnsi="Times New Roman"/>
                <w:b/>
              </w:rPr>
              <w:t>Instruc</w:t>
            </w:r>
            <w:r w:rsidR="00367C88">
              <w:rPr>
                <w:rFonts w:ascii="Times New Roman" w:hAnsi="Times New Roman"/>
                <w:b/>
              </w:rPr>
              <w:t>ț</w:t>
            </w:r>
            <w:r w:rsidRPr="00825E5B">
              <w:rPr>
                <w:rFonts w:ascii="Times New Roman" w:hAnsi="Times New Roman"/>
                <w:b/>
              </w:rPr>
              <w:t>iuni</w:t>
            </w:r>
          </w:p>
        </w:tc>
      </w:tr>
      <w:tr w:rsidR="00F4754B" w:rsidRPr="00825E5B" w:rsidTr="00FC2664">
        <w:tc>
          <w:tcPr>
            <w:tcW w:w="1418" w:type="dxa"/>
          </w:tcPr>
          <w:p w:rsidR="00F4754B" w:rsidRPr="00825E5B" w:rsidRDefault="00F4754B" w:rsidP="00F4754B">
            <w:pPr>
              <w:pStyle w:val="BodyText1"/>
              <w:rPr>
                <w:rFonts w:ascii="Times New Roman" w:hAnsi="Times New Roman"/>
                <w:bCs/>
              </w:rPr>
            </w:pPr>
            <w:r w:rsidRPr="00825E5B">
              <w:rPr>
                <w:rFonts w:ascii="Times New Roman" w:hAnsi="Times New Roman"/>
              </w:rPr>
              <w:t>{010;010}</w:t>
            </w:r>
          </w:p>
        </w:tc>
        <w:tc>
          <w:tcPr>
            <w:tcW w:w="7620" w:type="dxa"/>
          </w:tcPr>
          <w:p w:rsidR="00F4754B" w:rsidRPr="00825E5B" w:rsidRDefault="00F4754B" w:rsidP="002509B1">
            <w:pPr>
              <w:pStyle w:val="BodyText1"/>
              <w:spacing w:line="240" w:lineRule="auto"/>
              <w:rPr>
                <w:rFonts w:ascii="Times New Roman" w:hAnsi="Times New Roman"/>
                <w:b/>
                <w:bCs/>
              </w:rPr>
            </w:pPr>
            <w:r w:rsidRPr="00825E5B">
              <w:rPr>
                <w:rFonts w:ascii="Times New Roman" w:hAnsi="Times New Roman"/>
                <w:b/>
              </w:rPr>
              <w:t>Structura juridică a institu</w:t>
            </w:r>
            <w:r w:rsidR="00367C88">
              <w:rPr>
                <w:rFonts w:ascii="Times New Roman" w:hAnsi="Times New Roman"/>
                <w:b/>
              </w:rPr>
              <w:t>ț</w:t>
            </w:r>
            <w:r w:rsidRPr="00825E5B">
              <w:rPr>
                <w:rFonts w:ascii="Times New Roman" w:hAnsi="Times New Roman"/>
                <w:b/>
              </w:rPr>
              <w:t>iei</w:t>
            </w:r>
          </w:p>
          <w:p w:rsidR="00F4754B" w:rsidRPr="00825E5B" w:rsidRDefault="00F4754B" w:rsidP="002509B1">
            <w:pPr>
              <w:pStyle w:val="BodyText1"/>
              <w:spacing w:line="240" w:lineRule="auto"/>
              <w:rPr>
                <w:rFonts w:ascii="Times New Roman" w:hAnsi="Times New Roman"/>
                <w:bCs/>
              </w:rPr>
            </w:pPr>
          </w:p>
          <w:p w:rsidR="00F4754B" w:rsidRPr="00825E5B" w:rsidRDefault="00F4754B" w:rsidP="002509B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ia indică în această celulă în care dintre următoarele categorii se încadrează din punctul de vedere al structurii sale juridice:</w:t>
            </w:r>
          </w:p>
          <w:p w:rsidR="00F4754B" w:rsidRPr="00825E5B" w:rsidRDefault="00500508" w:rsidP="0077269C">
            <w:pPr>
              <w:pStyle w:val="BodyText1"/>
              <w:spacing w:line="240" w:lineRule="auto"/>
              <w:ind w:left="36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societate pe ac</w:t>
            </w:r>
            <w:r w:rsidR="00367C88">
              <w:rPr>
                <w:rFonts w:ascii="Times New Roman" w:hAnsi="Times New Roman"/>
              </w:rPr>
              <w:t>ț</w:t>
            </w:r>
            <w:r w:rsidRPr="00825E5B">
              <w:rPr>
                <w:rFonts w:ascii="Times New Roman" w:hAnsi="Times New Roman"/>
              </w:rPr>
              <w:t>iuni;</w:t>
            </w:r>
          </w:p>
          <w:p w:rsidR="00F4754B" w:rsidRPr="00825E5B" w:rsidRDefault="00500508" w:rsidP="0077269C">
            <w:pPr>
              <w:pStyle w:val="BodyText1"/>
              <w:spacing w:line="240" w:lineRule="auto"/>
              <w:ind w:left="36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societate mutuală/cooperativă;</w:t>
            </w:r>
          </w:p>
          <w:p w:rsidR="00F4754B" w:rsidRPr="00825E5B" w:rsidRDefault="00500508" w:rsidP="0077269C">
            <w:pPr>
              <w:pStyle w:val="BodyText1"/>
              <w:spacing w:line="240" w:lineRule="auto"/>
              <w:ind w:left="36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altă societate, nu pe ac</w:t>
            </w:r>
            <w:r w:rsidR="00367C88">
              <w:rPr>
                <w:rFonts w:ascii="Times New Roman" w:hAnsi="Times New Roman"/>
              </w:rPr>
              <w:t>ț</w:t>
            </w:r>
            <w:r w:rsidRPr="00825E5B">
              <w:rPr>
                <w:rFonts w:ascii="Times New Roman" w:hAnsi="Times New Roman"/>
              </w:rPr>
              <w:t>iuni.</w:t>
            </w:r>
          </w:p>
          <w:p w:rsidR="00BE6AC4" w:rsidRPr="00825E5B" w:rsidRDefault="00BE6AC4" w:rsidP="00BE6AC4">
            <w:pPr>
              <w:pStyle w:val="BodyText1"/>
              <w:spacing w:line="240" w:lineRule="auto"/>
              <w:rPr>
                <w:rFonts w:ascii="Times New Roman" w:hAnsi="Times New Roman"/>
                <w:bCs/>
              </w:rPr>
            </w:pPr>
          </w:p>
        </w:tc>
      </w:tr>
      <w:tr w:rsidR="00F4754B" w:rsidRPr="00825E5B" w:rsidTr="00FC2664">
        <w:tc>
          <w:tcPr>
            <w:tcW w:w="1418" w:type="dxa"/>
          </w:tcPr>
          <w:p w:rsidR="00F4754B" w:rsidRPr="00825E5B" w:rsidRDefault="00F4754B" w:rsidP="00FA1A9C">
            <w:pPr>
              <w:pStyle w:val="BodyText1"/>
              <w:rPr>
                <w:rFonts w:ascii="Times New Roman" w:hAnsi="Times New Roman"/>
                <w:bCs/>
              </w:rPr>
            </w:pPr>
            <w:r w:rsidRPr="00825E5B">
              <w:rPr>
                <w:rFonts w:ascii="Times New Roman" w:hAnsi="Times New Roman"/>
              </w:rPr>
              <w:t>{020;010}</w:t>
            </w:r>
          </w:p>
        </w:tc>
        <w:tc>
          <w:tcPr>
            <w:tcW w:w="7620" w:type="dxa"/>
          </w:tcPr>
          <w:p w:rsidR="00F4754B" w:rsidRPr="00825E5B" w:rsidRDefault="00F4754B" w:rsidP="002509B1">
            <w:pPr>
              <w:pStyle w:val="BodyText1"/>
              <w:spacing w:line="240" w:lineRule="auto"/>
              <w:rPr>
                <w:rFonts w:ascii="Times New Roman" w:hAnsi="Times New Roman"/>
                <w:b/>
                <w:bCs/>
              </w:rPr>
            </w:pPr>
            <w:r w:rsidRPr="00825E5B">
              <w:rPr>
                <w:rFonts w:ascii="Times New Roman" w:hAnsi="Times New Roman"/>
                <w:b/>
              </w:rPr>
              <w:t>Tratamentul instrumentelor financiare derivate</w:t>
            </w:r>
          </w:p>
          <w:p w:rsidR="00F4754B" w:rsidRPr="00825E5B" w:rsidRDefault="00F4754B" w:rsidP="002509B1">
            <w:pPr>
              <w:pStyle w:val="BodyText1"/>
              <w:spacing w:line="240" w:lineRule="auto"/>
              <w:rPr>
                <w:rFonts w:ascii="Times New Roman" w:hAnsi="Times New Roman"/>
                <w:bCs/>
              </w:rPr>
            </w:pPr>
          </w:p>
          <w:p w:rsidR="00F4754B" w:rsidRPr="00825E5B" w:rsidRDefault="00F4754B" w:rsidP="002509B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ia indică în această celulă conform căreia dintre următoarele categorii de norme tratează instrumentele financiare derivate:</w:t>
            </w:r>
          </w:p>
          <w:p w:rsidR="00F4754B" w:rsidRPr="00825E5B" w:rsidRDefault="00500508" w:rsidP="0077269C">
            <w:pPr>
              <w:pStyle w:val="BodyText1"/>
              <w:spacing w:line="240" w:lineRule="auto"/>
              <w:ind w:left="36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metoda expunerii ini</w:t>
            </w:r>
            <w:r w:rsidR="00367C88">
              <w:rPr>
                <w:rFonts w:ascii="Times New Roman" w:hAnsi="Times New Roman"/>
              </w:rPr>
              <w:t>ț</w:t>
            </w:r>
            <w:r w:rsidRPr="00825E5B">
              <w:rPr>
                <w:rFonts w:ascii="Times New Roman" w:hAnsi="Times New Roman"/>
              </w:rPr>
              <w:t>iale;</w:t>
            </w:r>
          </w:p>
          <w:p w:rsidR="00F4754B" w:rsidRPr="00825E5B" w:rsidRDefault="00500508" w:rsidP="0077269C">
            <w:pPr>
              <w:pStyle w:val="BodyText1"/>
              <w:spacing w:line="240" w:lineRule="auto"/>
              <w:ind w:left="36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metoda marcării la pia</w:t>
            </w:r>
            <w:r w:rsidR="00367C88">
              <w:rPr>
                <w:rFonts w:ascii="Times New Roman" w:hAnsi="Times New Roman"/>
              </w:rPr>
              <w:t>ț</w:t>
            </w:r>
            <w:r w:rsidRPr="00825E5B">
              <w:rPr>
                <w:rFonts w:ascii="Times New Roman" w:hAnsi="Times New Roman"/>
              </w:rPr>
              <w:t>ă.</w:t>
            </w:r>
          </w:p>
          <w:p w:rsidR="00BE6AC4" w:rsidRPr="00825E5B" w:rsidRDefault="00BE6AC4" w:rsidP="00BE6AC4">
            <w:pPr>
              <w:pStyle w:val="BodyText1"/>
              <w:spacing w:line="240" w:lineRule="auto"/>
              <w:rPr>
                <w:rFonts w:ascii="Times New Roman" w:hAnsi="Times New Roman"/>
                <w:bCs/>
              </w:rPr>
            </w:pPr>
          </w:p>
        </w:tc>
      </w:tr>
      <w:tr w:rsidR="00F4754B" w:rsidRPr="00825E5B" w:rsidTr="00FC2664">
        <w:tc>
          <w:tcPr>
            <w:tcW w:w="1418" w:type="dxa"/>
          </w:tcPr>
          <w:p w:rsidR="00F4754B" w:rsidRPr="00825E5B" w:rsidRDefault="00F4754B" w:rsidP="00FA1A9C">
            <w:pPr>
              <w:pStyle w:val="BodyText1"/>
              <w:rPr>
                <w:rFonts w:ascii="Times New Roman" w:hAnsi="Times New Roman"/>
                <w:bCs/>
              </w:rPr>
            </w:pPr>
            <w:r w:rsidRPr="00825E5B">
              <w:rPr>
                <w:rFonts w:ascii="Times New Roman" w:hAnsi="Times New Roman"/>
              </w:rPr>
              <w:t>{040;010}</w:t>
            </w:r>
          </w:p>
        </w:tc>
        <w:tc>
          <w:tcPr>
            <w:tcW w:w="7620" w:type="dxa"/>
          </w:tcPr>
          <w:p w:rsidR="00F4754B" w:rsidRPr="00825E5B" w:rsidRDefault="00F4754B" w:rsidP="002509B1">
            <w:pPr>
              <w:pStyle w:val="BodyText1"/>
              <w:spacing w:line="240" w:lineRule="auto"/>
              <w:rPr>
                <w:rFonts w:ascii="Times New Roman" w:hAnsi="Times New Roman"/>
                <w:b/>
                <w:bCs/>
              </w:rPr>
            </w:pPr>
            <w:r w:rsidRPr="00825E5B">
              <w:rPr>
                <w:rFonts w:ascii="Times New Roman" w:hAnsi="Times New Roman"/>
                <w:b/>
              </w:rPr>
              <w:t>Tipul institu</w:t>
            </w:r>
            <w:r w:rsidR="00367C88">
              <w:rPr>
                <w:rFonts w:ascii="Times New Roman" w:hAnsi="Times New Roman"/>
                <w:b/>
              </w:rPr>
              <w:t>ț</w:t>
            </w:r>
            <w:r w:rsidRPr="00825E5B">
              <w:rPr>
                <w:rFonts w:ascii="Times New Roman" w:hAnsi="Times New Roman"/>
                <w:b/>
              </w:rPr>
              <w:t>iei</w:t>
            </w:r>
          </w:p>
          <w:p w:rsidR="00F4754B" w:rsidRPr="00825E5B" w:rsidRDefault="00F4754B" w:rsidP="002509B1">
            <w:pPr>
              <w:pStyle w:val="BodyText1"/>
              <w:spacing w:line="240" w:lineRule="auto"/>
              <w:rPr>
                <w:rFonts w:ascii="Times New Roman" w:hAnsi="Times New Roman"/>
                <w:bCs/>
              </w:rPr>
            </w:pPr>
          </w:p>
          <w:p w:rsidR="00F4754B" w:rsidRPr="00825E5B" w:rsidRDefault="00F4754B" w:rsidP="002509B1">
            <w:pPr>
              <w:pStyle w:val="BodyText1"/>
              <w:spacing w:line="240" w:lineRule="auto"/>
              <w:rPr>
                <w:rFonts w:ascii="Times New Roman" w:hAnsi="Times New Roman"/>
                <w:bCs/>
              </w:rPr>
            </w:pPr>
            <w:r w:rsidRPr="00825E5B">
              <w:rPr>
                <w:rFonts w:ascii="Times New Roman" w:hAnsi="Times New Roman"/>
              </w:rPr>
              <w:t>Institu</w:t>
            </w:r>
            <w:r w:rsidR="00367C88">
              <w:rPr>
                <w:rFonts w:ascii="Times New Roman" w:hAnsi="Times New Roman"/>
              </w:rPr>
              <w:t>ț</w:t>
            </w:r>
            <w:r w:rsidRPr="00825E5B">
              <w:rPr>
                <w:rFonts w:ascii="Times New Roman" w:hAnsi="Times New Roman"/>
              </w:rPr>
              <w:t>ia indică în această celulă în care dintre următoarele categorii se încadrează din punctul de vedere al tipului său de activitate:</w:t>
            </w:r>
          </w:p>
          <w:p w:rsidR="00F4754B" w:rsidRPr="00825E5B" w:rsidRDefault="00500508" w:rsidP="0077269C">
            <w:pPr>
              <w:pStyle w:val="BodyText1"/>
              <w:spacing w:line="240" w:lineRule="auto"/>
              <w:ind w:left="36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 xml:space="preserve">bancă universală (bancă de retail/comercială </w:t>
            </w:r>
            <w:r w:rsidR="00367C88">
              <w:rPr>
                <w:rFonts w:ascii="Times New Roman" w:hAnsi="Times New Roman"/>
              </w:rPr>
              <w:t>ș</w:t>
            </w:r>
            <w:r w:rsidRPr="00825E5B">
              <w:rPr>
                <w:rFonts w:ascii="Times New Roman" w:hAnsi="Times New Roman"/>
              </w:rPr>
              <w:t>i de investi</w:t>
            </w:r>
            <w:r w:rsidR="00367C88">
              <w:rPr>
                <w:rFonts w:ascii="Times New Roman" w:hAnsi="Times New Roman"/>
              </w:rPr>
              <w:t>ț</w:t>
            </w:r>
            <w:r w:rsidRPr="00825E5B">
              <w:rPr>
                <w:rFonts w:ascii="Times New Roman" w:hAnsi="Times New Roman"/>
              </w:rPr>
              <w:t>ii);</w:t>
            </w:r>
          </w:p>
          <w:p w:rsidR="00F4754B" w:rsidRPr="00825E5B" w:rsidRDefault="00500508" w:rsidP="0077269C">
            <w:pPr>
              <w:pStyle w:val="BodyText1"/>
              <w:spacing w:line="240" w:lineRule="auto"/>
              <w:ind w:left="36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bancă de retail/comercială;</w:t>
            </w:r>
          </w:p>
          <w:p w:rsidR="00F4754B" w:rsidRPr="00825E5B" w:rsidRDefault="00500508" w:rsidP="0077269C">
            <w:pPr>
              <w:pStyle w:val="BodyText1"/>
              <w:spacing w:line="240" w:lineRule="auto"/>
              <w:ind w:left="36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bancă de investi</w:t>
            </w:r>
            <w:r w:rsidR="00367C88">
              <w:rPr>
                <w:rFonts w:ascii="Times New Roman" w:hAnsi="Times New Roman"/>
              </w:rPr>
              <w:t>ț</w:t>
            </w:r>
            <w:r w:rsidRPr="00825E5B">
              <w:rPr>
                <w:rFonts w:ascii="Times New Roman" w:hAnsi="Times New Roman"/>
              </w:rPr>
              <w:t>ii;</w:t>
            </w:r>
          </w:p>
          <w:p w:rsidR="00875832" w:rsidRPr="00825E5B" w:rsidRDefault="00500508" w:rsidP="0077269C">
            <w:pPr>
              <w:pStyle w:val="BodyText1"/>
              <w:spacing w:line="240" w:lineRule="auto"/>
              <w:ind w:left="36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creditor specializat;</w:t>
            </w:r>
          </w:p>
          <w:p w:rsidR="00F4754B" w:rsidRPr="00825E5B" w:rsidRDefault="00875832" w:rsidP="0077269C">
            <w:pPr>
              <w:pStyle w:val="BodyText1"/>
              <w:spacing w:line="240" w:lineRule="auto"/>
              <w:ind w:left="360" w:hanging="360"/>
              <w:rPr>
                <w:rFonts w:ascii="Times New Roman" w:hAnsi="Times New Roman"/>
                <w:bCs/>
              </w:rPr>
            </w:pPr>
            <w:r w:rsidRPr="00825E5B">
              <w:rPr>
                <w:rFonts w:ascii="Times New Roman" w:hAnsi="Times New Roman"/>
              </w:rPr>
              <w:t>-</w:t>
            </w:r>
            <w:r w:rsidRPr="00825E5B">
              <w:tab/>
            </w:r>
            <w:r w:rsidRPr="00825E5B">
              <w:rPr>
                <w:rFonts w:ascii="Times New Roman" w:hAnsi="Times New Roman"/>
              </w:rPr>
              <w:t>alt model de afaceri.</w:t>
            </w:r>
          </w:p>
          <w:p w:rsidR="00BE6AC4" w:rsidRPr="00825E5B" w:rsidRDefault="00BE6AC4" w:rsidP="00BE6AC4">
            <w:pPr>
              <w:pStyle w:val="BodyText1"/>
              <w:spacing w:line="240" w:lineRule="auto"/>
              <w:rPr>
                <w:rFonts w:ascii="Times New Roman" w:hAnsi="Times New Roman"/>
                <w:bCs/>
              </w:rPr>
            </w:pPr>
          </w:p>
        </w:tc>
      </w:tr>
    </w:tbl>
    <w:p w:rsidR="00565261" w:rsidRPr="00825E5B" w:rsidRDefault="006D1C09" w:rsidP="008717E3">
      <w:pPr>
        <w:pStyle w:val="BodyText1"/>
        <w:ind w:left="567"/>
        <w:rPr>
          <w:rFonts w:ascii="Times New Roman" w:hAnsi="Times New Roman"/>
        </w:rPr>
      </w:pPr>
      <w:r w:rsidRPr="00825E5B">
        <w:rPr>
          <w:rFonts w:ascii="Times New Roman" w:hAnsi="Times New Roman"/>
          <w:sz w:val="24"/>
        </w:rPr>
        <w:t>”</w:t>
      </w:r>
    </w:p>
    <w:sectPr w:rsidR="00565261" w:rsidRPr="00825E5B"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367C88">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594F0A">
          <w:rPr>
            <w:rFonts w:ascii="Times New Roman" w:hAnsi="Times New Roman"/>
            <w:noProof/>
            <w:sz w:val="20"/>
          </w:rPr>
          <w:t>4</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Pr>
          <w:sz w:val="12"/>
        </w:rPr>
        <w:t xml:space="preserve">Acestea includ securitizările </w:t>
      </w:r>
      <w:r w:rsidR="00367C88">
        <w:rPr>
          <w:sz w:val="12"/>
        </w:rPr>
        <w:t>ș</w:t>
      </w:r>
      <w:r>
        <w:rPr>
          <w:sz w:val="12"/>
        </w:rPr>
        <w:t>i expunerile provenind din titluri de capital, supuse riscului de credit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577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3AB8"/>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0280"/>
    <w:rsid w:val="001A2ABA"/>
    <w:rsid w:val="001A46E4"/>
    <w:rsid w:val="001B01D0"/>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67C88"/>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4F0A"/>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5E5B"/>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162A"/>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51C2"/>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ro-RO"/>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ro-RO"/>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ro-RO"/>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ro-RO"/>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ro-RO"/>
    </w:rPr>
  </w:style>
  <w:style w:type="character" w:customStyle="1" w:styleId="Heading6Char">
    <w:name w:val="Heading 6 Char"/>
    <w:basedOn w:val="DefaultParagraphFont"/>
    <w:link w:val="Heading6"/>
    <w:rsid w:val="00F4754B"/>
    <w:rPr>
      <w:b/>
      <w:bCs/>
      <w:szCs w:val="22"/>
      <w:lang w:eastAsia="ro-RO"/>
    </w:rPr>
  </w:style>
  <w:style w:type="character" w:customStyle="1" w:styleId="Heading7Char">
    <w:name w:val="Heading 7 Char"/>
    <w:basedOn w:val="DefaultParagraphFont"/>
    <w:link w:val="Heading7"/>
    <w:rsid w:val="00F4754B"/>
    <w:rPr>
      <w:sz w:val="24"/>
      <w:szCs w:val="24"/>
      <w:lang w:eastAsia="ro-RO"/>
    </w:rPr>
  </w:style>
  <w:style w:type="character" w:customStyle="1" w:styleId="Heading8Char">
    <w:name w:val="Heading 8 Char"/>
    <w:basedOn w:val="DefaultParagraphFont"/>
    <w:link w:val="Heading8"/>
    <w:rsid w:val="00F4754B"/>
    <w:rPr>
      <w:i/>
      <w:iCs/>
      <w:sz w:val="24"/>
      <w:szCs w:val="24"/>
      <w:lang w:eastAsia="ro-RO"/>
    </w:rPr>
  </w:style>
  <w:style w:type="character" w:customStyle="1" w:styleId="Heading9Char">
    <w:name w:val="Heading 9 Char"/>
    <w:basedOn w:val="DefaultParagraphFont"/>
    <w:link w:val="Heading9"/>
    <w:rsid w:val="00F4754B"/>
    <w:rPr>
      <w:rFonts w:ascii="Verdana" w:hAnsi="Verdana" w:cs="Arial"/>
      <w:szCs w:val="22"/>
      <w:lang w:eastAsia="ro-RO"/>
    </w:rPr>
  </w:style>
  <w:style w:type="character" w:customStyle="1" w:styleId="Heading1Char">
    <w:name w:val="Heading 1 Char"/>
    <w:basedOn w:val="DefaultParagraphFont"/>
    <w:link w:val="Heading1"/>
    <w:rsid w:val="00F4754B"/>
    <w:rPr>
      <w:rFonts w:ascii="Arial" w:hAnsi="Arial"/>
      <w:color w:val="48748F" w:themeColor="accent1"/>
      <w:sz w:val="36"/>
      <w:lang w:eastAsia="ro-RO"/>
    </w:rPr>
  </w:style>
  <w:style w:type="character" w:customStyle="1" w:styleId="Heading2Char">
    <w:name w:val="Heading 2 Char"/>
    <w:basedOn w:val="DefaultParagraphFont"/>
    <w:link w:val="Heading2"/>
    <w:rsid w:val="00F4754B"/>
    <w:rPr>
      <w:rFonts w:ascii="Arial" w:hAnsi="Arial"/>
      <w:color w:val="48748F" w:themeColor="accent1"/>
      <w:sz w:val="24"/>
      <w:lang w:eastAsia="ro-RO"/>
    </w:rPr>
  </w:style>
  <w:style w:type="character" w:customStyle="1" w:styleId="Heading3Char">
    <w:name w:val="Heading 3 Char"/>
    <w:basedOn w:val="DefaultParagraphFont"/>
    <w:link w:val="Heading3"/>
    <w:rsid w:val="00F4754B"/>
    <w:rPr>
      <w:rFonts w:ascii="Arial" w:hAnsi="Arial"/>
      <w:b/>
      <w:color w:val="48748F" w:themeColor="accent1"/>
      <w:szCs w:val="22"/>
      <w:lang w:eastAsia="ro-RO"/>
    </w:rPr>
  </w:style>
  <w:style w:type="character" w:customStyle="1" w:styleId="Heading4Char">
    <w:name w:val="Heading 4 Char"/>
    <w:basedOn w:val="DefaultParagraphFont"/>
    <w:link w:val="Heading4"/>
    <w:rsid w:val="00F4754B"/>
    <w:rPr>
      <w:rFonts w:ascii="Arial" w:hAnsi="Arial"/>
      <w:color w:val="48748F" w:themeColor="accent1"/>
      <w:lang w:eastAsia="ro-RO"/>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ro-RO"/>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ro-RO"/>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ro-RO"/>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ro-RO"/>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ro-RO"/>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ro-RO"/>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ro-RO"/>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ro-RO"/>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ro-RO"/>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ro-RO" w:eastAsia="ro-RO"/>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ro-RO"/>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ro-RO" w:eastAsia="ro-RO" w:bidi="ro-RO"/>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ro-RO"/>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ro-RO"/>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ro-RO"/>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ro-RO"/>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ro-RO"/>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ro-RO"/>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ro-RO"/>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ro-RO"/>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ro-RO"/>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ro-RO"/>
    </w:rPr>
  </w:style>
  <w:style w:type="character" w:customStyle="1" w:styleId="Heading6Char">
    <w:name w:val="Heading 6 Char"/>
    <w:basedOn w:val="DefaultParagraphFont"/>
    <w:link w:val="Heading6"/>
    <w:rsid w:val="00F4754B"/>
    <w:rPr>
      <w:b/>
      <w:bCs/>
      <w:szCs w:val="22"/>
      <w:lang w:eastAsia="ro-RO"/>
    </w:rPr>
  </w:style>
  <w:style w:type="character" w:customStyle="1" w:styleId="Heading7Char">
    <w:name w:val="Heading 7 Char"/>
    <w:basedOn w:val="DefaultParagraphFont"/>
    <w:link w:val="Heading7"/>
    <w:rsid w:val="00F4754B"/>
    <w:rPr>
      <w:sz w:val="24"/>
      <w:szCs w:val="24"/>
      <w:lang w:eastAsia="ro-RO"/>
    </w:rPr>
  </w:style>
  <w:style w:type="character" w:customStyle="1" w:styleId="Heading8Char">
    <w:name w:val="Heading 8 Char"/>
    <w:basedOn w:val="DefaultParagraphFont"/>
    <w:link w:val="Heading8"/>
    <w:rsid w:val="00F4754B"/>
    <w:rPr>
      <w:i/>
      <w:iCs/>
      <w:sz w:val="24"/>
      <w:szCs w:val="24"/>
      <w:lang w:eastAsia="ro-RO"/>
    </w:rPr>
  </w:style>
  <w:style w:type="character" w:customStyle="1" w:styleId="Heading9Char">
    <w:name w:val="Heading 9 Char"/>
    <w:basedOn w:val="DefaultParagraphFont"/>
    <w:link w:val="Heading9"/>
    <w:rsid w:val="00F4754B"/>
    <w:rPr>
      <w:rFonts w:ascii="Verdana" w:hAnsi="Verdana" w:cs="Arial"/>
      <w:szCs w:val="22"/>
      <w:lang w:eastAsia="ro-RO"/>
    </w:rPr>
  </w:style>
  <w:style w:type="character" w:customStyle="1" w:styleId="Heading1Char">
    <w:name w:val="Heading 1 Char"/>
    <w:basedOn w:val="DefaultParagraphFont"/>
    <w:link w:val="Heading1"/>
    <w:rsid w:val="00F4754B"/>
    <w:rPr>
      <w:rFonts w:ascii="Arial" w:hAnsi="Arial"/>
      <w:color w:val="48748F" w:themeColor="accent1"/>
      <w:sz w:val="36"/>
      <w:lang w:eastAsia="ro-RO"/>
    </w:rPr>
  </w:style>
  <w:style w:type="character" w:customStyle="1" w:styleId="Heading2Char">
    <w:name w:val="Heading 2 Char"/>
    <w:basedOn w:val="DefaultParagraphFont"/>
    <w:link w:val="Heading2"/>
    <w:rsid w:val="00F4754B"/>
    <w:rPr>
      <w:rFonts w:ascii="Arial" w:hAnsi="Arial"/>
      <w:color w:val="48748F" w:themeColor="accent1"/>
      <w:sz w:val="24"/>
      <w:lang w:eastAsia="ro-RO"/>
    </w:rPr>
  </w:style>
  <w:style w:type="character" w:customStyle="1" w:styleId="Heading3Char">
    <w:name w:val="Heading 3 Char"/>
    <w:basedOn w:val="DefaultParagraphFont"/>
    <w:link w:val="Heading3"/>
    <w:rsid w:val="00F4754B"/>
    <w:rPr>
      <w:rFonts w:ascii="Arial" w:hAnsi="Arial"/>
      <w:b/>
      <w:color w:val="48748F" w:themeColor="accent1"/>
      <w:szCs w:val="22"/>
      <w:lang w:eastAsia="ro-RO"/>
    </w:rPr>
  </w:style>
  <w:style w:type="character" w:customStyle="1" w:styleId="Heading4Char">
    <w:name w:val="Heading 4 Char"/>
    <w:basedOn w:val="DefaultParagraphFont"/>
    <w:link w:val="Heading4"/>
    <w:rsid w:val="00F4754B"/>
    <w:rPr>
      <w:rFonts w:ascii="Arial" w:hAnsi="Arial"/>
      <w:color w:val="48748F" w:themeColor="accent1"/>
      <w:lang w:eastAsia="ro-RO"/>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ro-RO"/>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ro-RO"/>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ro-RO"/>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ro-RO"/>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ro-RO"/>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ro-RO"/>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ro-RO"/>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ro-RO"/>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ro-RO"/>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ro-RO" w:eastAsia="ro-RO"/>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ro-RO"/>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ro-RO" w:eastAsia="ro-RO" w:bidi="ro-RO"/>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ro-RO"/>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ro-RO"/>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ro-RO"/>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ro-RO"/>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ro-RO"/>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C4A1D5-0CC8-4F17-A29C-9AD5333E3BEE}">
  <ds:schemaRefs>
    <ds:schemaRef ds:uri="http://schemas.openxmlformats.org/officeDocument/2006/bibliography"/>
  </ds:schemaRefs>
</ds:datastoreItem>
</file>

<file path=customXml/itemProps2.xml><?xml version="1.0" encoding="utf-8"?>
<ds:datastoreItem xmlns:ds="http://schemas.openxmlformats.org/officeDocument/2006/customXml" ds:itemID="{3C6E9AB9-F8BE-4D71-871F-7CA089C6FC06}">
  <ds:schemaRefs>
    <ds:schemaRef ds:uri="http://schemas.openxmlformats.org/officeDocument/2006/bibliography"/>
  </ds:schemaRefs>
</ds:datastoreItem>
</file>

<file path=customXml/itemProps3.xml><?xml version="1.0" encoding="utf-8"?>
<ds:datastoreItem xmlns:ds="http://schemas.openxmlformats.org/officeDocument/2006/customXml" ds:itemID="{0EC18402-A26A-4108-89F1-3DBDB4783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48</Pages>
  <Words>20206</Words>
  <Characters>123432</Characters>
  <Application>Microsoft Office Word</Application>
  <DocSecurity>0</DocSecurity>
  <Lines>2933</Lines>
  <Paragraphs>1091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143019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NEAGU Simona Gabriela (DGT)</cp:lastModifiedBy>
  <cp:revision>19</cp:revision>
  <cp:lastPrinted>2015-04-10T08:05:00Z</cp:lastPrinted>
  <dcterms:created xsi:type="dcterms:W3CDTF">2018-02-06T16:20:00Z</dcterms:created>
  <dcterms:modified xsi:type="dcterms:W3CDTF">2018-09-07T09:25:00Z</dcterms:modified>
</cp:coreProperties>
</file>