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108408" w14:textId="0DB20592" w:rsidR="001B7C2B" w:rsidRDefault="001B7C2B" w:rsidP="001B7C2B">
      <w:pPr>
        <w:jc w:val="center"/>
        <w:rPr>
          <w:rFonts w:ascii="Times New Roman" w:hAnsi="Times New Roman"/>
          <w:b/>
          <w:sz w:val="24"/>
        </w:rPr>
      </w:pPr>
      <w:r>
        <w:rPr>
          <w:rFonts w:ascii="Times New Roman" w:hAnsi="Times New Roman"/>
          <w:b/>
          <w:sz w:val="24"/>
        </w:rPr>
        <w:t>DA</w:t>
      </w:r>
      <w:r>
        <w:rPr>
          <w:rFonts w:ascii="Times New Roman" w:hAnsi="Times New Roman"/>
          <w:b/>
          <w:sz w:val="24"/>
        </w:rPr>
        <w:br/>
        <w:t>BILAG VII</w:t>
      </w:r>
    </w:p>
    <w:p w14:paraId="72104D4D" w14:textId="77777777" w:rsidR="006339CC" w:rsidRPr="008B5E16" w:rsidRDefault="006339CC" w:rsidP="001B7C2B">
      <w:pPr>
        <w:jc w:val="center"/>
        <w:rPr>
          <w:rFonts w:ascii="Times New Roman" w:hAnsi="Times New Roman"/>
          <w:b/>
          <w:sz w:val="24"/>
        </w:rPr>
      </w:pPr>
    </w:p>
    <w:p w14:paraId="01904AEC" w14:textId="3721A8D1" w:rsidR="007F5684" w:rsidRPr="006339CC" w:rsidRDefault="00DD4DE1" w:rsidP="001B7C2B">
      <w:pPr>
        <w:jc w:val="center"/>
        <w:rPr>
          <w:b/>
          <w:szCs w:val="20"/>
          <w:u w:val="single"/>
        </w:rPr>
      </w:pPr>
      <w:r>
        <w:rPr>
          <w:b/>
          <w:u w:val="single"/>
        </w:rPr>
        <w:t>BILAG</w:t>
      </w:r>
      <w:r w:rsidR="007F5684">
        <w:rPr>
          <w:b/>
          <w:u w:val="single"/>
        </w:rPr>
        <w:t xml:space="preserve"> XIX</w:t>
      </w:r>
    </w:p>
    <w:p w14:paraId="1796FE74" w14:textId="29CC78AB" w:rsidR="007F5684" w:rsidRPr="00F30436" w:rsidRDefault="007F5684" w:rsidP="00F30436">
      <w:pPr>
        <w:jc w:val="center"/>
        <w:rPr>
          <w:b/>
          <w:szCs w:val="20"/>
        </w:rPr>
      </w:pPr>
      <w:r>
        <w:rPr>
          <w:b/>
        </w:rPr>
        <w:t>VEJLEDNING I UDFYLDNING AF INDBERETNINGSSKEMAET FOR YDERLIGERE OVERVÅGNINGSVÆRKTØJER I BILAG XVIII</w:t>
      </w:r>
    </w:p>
    <w:p w14:paraId="16AC5CE5" w14:textId="77777777" w:rsidR="00D02FE4" w:rsidRPr="00DD4DE1"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Y</w:t>
      </w:r>
      <w:r w:rsidRPr="00DD4DE1">
        <w:rPr>
          <w:rFonts w:ascii="Times New Roman" w:hAnsi="Times New Roman" w:cs="Times New Roman"/>
        </w:rPr>
        <w:t>derligere overvågningsværktøjer</w:t>
      </w:r>
    </w:p>
    <w:p w14:paraId="6D74775F" w14:textId="243E01B4" w:rsidR="00D02FE4" w:rsidRPr="00DD4DE1"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sidRPr="00DD4DE1">
        <w:rPr>
          <w:rFonts w:ascii="Times New Roman" w:hAnsi="Times New Roman" w:cs="Times New Roman"/>
        </w:rPr>
        <w:t xml:space="preserve">Generelt </w:t>
      </w:r>
      <w:bookmarkEnd w:id="0"/>
      <w:bookmarkEnd w:id="1"/>
    </w:p>
    <w:p w14:paraId="28146638" w14:textId="3B48FC46" w:rsidR="00A344AA" w:rsidRPr="00DD4DE1" w:rsidRDefault="004D4244" w:rsidP="008A3AEA">
      <w:pPr>
        <w:pStyle w:val="InstructionsText2"/>
        <w:numPr>
          <w:ilvl w:val="0"/>
          <w:numId w:val="4"/>
        </w:numPr>
        <w:rPr>
          <w:szCs w:val="20"/>
          <w:u w:val="none"/>
        </w:rPr>
      </w:pPr>
      <w:r w:rsidRPr="00DD4DE1">
        <w:rPr>
          <w:u w:val="none"/>
        </w:rPr>
        <w:t>Med henblik på at overvåge den del af et instituts likviditetsrisiko, der ikke er omfattet af indberetningerne vedrørende likviditetsdækning og stabil finansiering, skal institutterne udfylde skemaet i bilag XVIII i overensstemmelse med instrukserne i nærværende bilag.</w:t>
      </w:r>
    </w:p>
    <w:p w14:paraId="39998106" w14:textId="1169C0B2" w:rsidR="00A344AA" w:rsidRPr="00DD4DE1" w:rsidRDefault="00A344AA" w:rsidP="004D4244">
      <w:pPr>
        <w:pStyle w:val="InstructionsText2"/>
        <w:numPr>
          <w:ilvl w:val="0"/>
          <w:numId w:val="4"/>
        </w:numPr>
        <w:rPr>
          <w:szCs w:val="20"/>
          <w:u w:val="none"/>
        </w:rPr>
      </w:pPr>
      <w:r w:rsidRPr="00DD4DE1">
        <w:rPr>
          <w:u w:val="none"/>
        </w:rPr>
        <w:t>Ved finansiering i alt forstås alle forpligtelser, bortset fra derivater og korte positioner.</w:t>
      </w:r>
    </w:p>
    <w:p w14:paraId="50F797C6" w14:textId="2BEA0B9F" w:rsidR="00A344AA" w:rsidRPr="00DD4DE1" w:rsidRDefault="00A344AA" w:rsidP="004D4244">
      <w:pPr>
        <w:pStyle w:val="InstructionsText2"/>
        <w:numPr>
          <w:ilvl w:val="0"/>
          <w:numId w:val="4"/>
        </w:numPr>
        <w:rPr>
          <w:szCs w:val="20"/>
          <w:u w:val="none"/>
        </w:rPr>
      </w:pPr>
      <w:r w:rsidRPr="00DD4DE1">
        <w:rPr>
          <w:u w:val="none"/>
        </w:rPr>
        <w:t xml:space="preserve">Finansiering med åben løbetid, herunder på anfordringsindskud, anses for at have dag-til-dag-løbetid. </w:t>
      </w:r>
    </w:p>
    <w:p w14:paraId="4586638B" w14:textId="7526809A" w:rsidR="00A344AA" w:rsidRPr="00DD4DE1" w:rsidRDefault="00A344AA" w:rsidP="004D4244">
      <w:pPr>
        <w:pStyle w:val="InstructionsText2"/>
        <w:numPr>
          <w:ilvl w:val="0"/>
          <w:numId w:val="4"/>
        </w:numPr>
        <w:rPr>
          <w:szCs w:val="20"/>
          <w:u w:val="none"/>
        </w:rPr>
      </w:pPr>
      <w:r w:rsidRPr="00DD4DE1">
        <w:rPr>
          <w:u w:val="none"/>
        </w:rPr>
        <w:t xml:space="preserve">Oprindelig løbetid er tiden mellem indgåelsesdatoen og finansieringens forfaldsdato. Finansieringens forfaldsdato bestemmes i overensstemmelse med punkt 12 i bilag XXIII. I tilfælde af optionalitet såsom i forbindelse med punkt 12 i bilag XXIII, betyder dette, at en finansieringsposts oprindelige løbetid kan være kortere end den tid, der er gået siden indgåelsen. </w:t>
      </w:r>
      <w:bookmarkStart w:id="2" w:name="_GoBack"/>
      <w:bookmarkEnd w:id="2"/>
    </w:p>
    <w:p w14:paraId="4FA59274" w14:textId="20DE3BF0" w:rsidR="00A344AA" w:rsidRPr="00DD4DE1" w:rsidRDefault="00A344AA" w:rsidP="004D4244">
      <w:pPr>
        <w:pStyle w:val="InstructionsText2"/>
        <w:numPr>
          <w:ilvl w:val="0"/>
          <w:numId w:val="4"/>
        </w:numPr>
        <w:rPr>
          <w:szCs w:val="20"/>
          <w:u w:val="none"/>
        </w:rPr>
      </w:pPr>
      <w:r w:rsidRPr="00DD4DE1">
        <w:rPr>
          <w:u w:val="none"/>
        </w:rPr>
        <w:t>Restløbetid er tiden mellem indberetningsperiodens slutning og finansieringens forfaldsdato. Finansieringens forfaldsdato bestemmes i overensstemmelse med punkt 12 i bilag XXIII.</w:t>
      </w:r>
    </w:p>
    <w:p w14:paraId="1DF04682" w14:textId="0F5CD7EB" w:rsidR="007462FE" w:rsidRPr="00DD4DE1" w:rsidRDefault="007462FE" w:rsidP="004D4244">
      <w:pPr>
        <w:pStyle w:val="InstructionsText2"/>
        <w:numPr>
          <w:ilvl w:val="0"/>
          <w:numId w:val="4"/>
        </w:numPr>
        <w:rPr>
          <w:szCs w:val="20"/>
          <w:u w:val="none"/>
        </w:rPr>
      </w:pPr>
      <w:r w:rsidRPr="00DD4DE1">
        <w:rPr>
          <w:u w:val="none"/>
        </w:rPr>
        <w:t>Med henblik på at beregne den vægtede gennemsnitlige oprindelige løbetid eller resteløbetid anses indskud med dag-til-dag-løbetid for at have en løbetid på én dag.</w:t>
      </w:r>
    </w:p>
    <w:p w14:paraId="25CD9EF4" w14:textId="173EC59C" w:rsidR="007462FE" w:rsidRPr="00DD4DE1" w:rsidRDefault="007462FE" w:rsidP="004D4244">
      <w:pPr>
        <w:pStyle w:val="InstructionsText2"/>
        <w:numPr>
          <w:ilvl w:val="0"/>
          <w:numId w:val="4"/>
        </w:numPr>
        <w:rPr>
          <w:szCs w:val="20"/>
          <w:u w:val="none"/>
        </w:rPr>
      </w:pPr>
      <w:r w:rsidRPr="00DD4DE1">
        <w:rPr>
          <w:u w:val="none"/>
        </w:rPr>
        <w:t>Med henblik på at beregne den oprindelige løbetid og restløbetiden, når der er finansiering med en opsigelsesfrist eller klausul om annullering eller hævning før tid for instituttets modpart, antages hævning på den første mulige dato.</w:t>
      </w:r>
    </w:p>
    <w:p w14:paraId="2B81E2EC" w14:textId="77D4003A" w:rsidR="00A344AA" w:rsidRPr="00DD4DE1" w:rsidRDefault="00A344AA" w:rsidP="004D4244">
      <w:pPr>
        <w:pStyle w:val="InstructionsText2"/>
        <w:numPr>
          <w:ilvl w:val="0"/>
          <w:numId w:val="4"/>
        </w:numPr>
        <w:rPr>
          <w:szCs w:val="20"/>
          <w:u w:val="none"/>
        </w:rPr>
      </w:pPr>
      <w:r w:rsidRPr="00DD4DE1">
        <w:rPr>
          <w:u w:val="none"/>
        </w:rPr>
        <w:t>Hvad angår vedvarende forpligtelser, bortset fra vedvarende forpligtelser omfattet af optionalitet som omhandlet i punkt 12 i bilag XXIII, antages en fast løbetid og restløbetid på tyve år.</w:t>
      </w:r>
    </w:p>
    <w:p w14:paraId="30EB5133" w14:textId="46DCEFBD" w:rsidR="00A344AA" w:rsidRPr="00DD4DE1" w:rsidRDefault="00A344AA" w:rsidP="004D4244">
      <w:pPr>
        <w:pStyle w:val="InstructionsText2"/>
        <w:numPr>
          <w:ilvl w:val="0"/>
          <w:numId w:val="4"/>
        </w:numPr>
        <w:rPr>
          <w:szCs w:val="20"/>
          <w:u w:val="none"/>
        </w:rPr>
      </w:pPr>
      <w:r w:rsidRPr="00DD4DE1">
        <w:rPr>
          <w:u w:val="none"/>
        </w:rPr>
        <w:t>Med henblik på at beregne tærsklen i overensstemmelse med indberetningsskema C 67.00 og C 68.00 efter væsentlig valuta skal institutterne anvende en tærskel på 1 % af samlede forpligtelser i alle valutaer.</w:t>
      </w:r>
    </w:p>
    <w:p w14:paraId="0E1E0ED8" w14:textId="77777777" w:rsidR="00A344AA" w:rsidRPr="00DD4DE1" w:rsidRDefault="00A344AA" w:rsidP="00A344AA">
      <w:pPr>
        <w:pStyle w:val="Instructionsberschrift2"/>
        <w:numPr>
          <w:ilvl w:val="1"/>
          <w:numId w:val="2"/>
        </w:numPr>
        <w:spacing w:before="0"/>
        <w:rPr>
          <w:rFonts w:ascii="Times New Roman" w:hAnsi="Times New Roman" w:cs="Times New Roman"/>
          <w:szCs w:val="20"/>
        </w:rPr>
      </w:pPr>
      <w:r w:rsidRPr="00DD4DE1">
        <w:rPr>
          <w:rFonts w:ascii="Times New Roman" w:hAnsi="Times New Roman" w:cs="Times New Roman"/>
        </w:rPr>
        <w:t>Koncentration af finansiering efter modpart (C 67.00)</w:t>
      </w:r>
    </w:p>
    <w:p w14:paraId="322C1A75" w14:textId="525ED095" w:rsidR="00A344AA" w:rsidRPr="00DD4DE1" w:rsidRDefault="00490B62" w:rsidP="00432D9F">
      <w:pPr>
        <w:pStyle w:val="InstructionsText2"/>
        <w:numPr>
          <w:ilvl w:val="0"/>
          <w:numId w:val="6"/>
        </w:numPr>
        <w:rPr>
          <w:szCs w:val="20"/>
          <w:u w:val="none"/>
        </w:rPr>
      </w:pPr>
      <w:r w:rsidRPr="00DD4DE1">
        <w:rPr>
          <w:u w:val="none"/>
        </w:rPr>
        <w:t>For at indhente oplysninger om de indberettende institutters koncentration af finansiering efter modpart i C 67.00 skal institutterne anvende instrukserne i dette afsnit.</w:t>
      </w:r>
    </w:p>
    <w:p w14:paraId="52091F90" w14:textId="16D35E11" w:rsidR="00A344AA" w:rsidRPr="00DD4DE1" w:rsidRDefault="00A344AA" w:rsidP="00E067B1">
      <w:pPr>
        <w:pStyle w:val="InstructionsText2"/>
        <w:numPr>
          <w:ilvl w:val="0"/>
          <w:numId w:val="6"/>
        </w:numPr>
        <w:rPr>
          <w:szCs w:val="20"/>
          <w:u w:val="none"/>
        </w:rPr>
      </w:pPr>
      <w:r w:rsidRPr="00DD4DE1">
        <w:rPr>
          <w:u w:val="none"/>
        </w:rPr>
        <w:t>Institutterne skal indberette de ti største modparter eller en gruppe af indbyrdes forbundne kunder, jf. artikel 4, nr. 39), i forordning (EU) nr. 575/2013, fra hvilke den modtagne finansiering fra hver modpart eller gruppe af indbyrdes forbundne kunder overstiger en tærskel på 1 % af de samlede forpligtelser i posterne i skemaets afsnit 1. Den modpart, der indberettes under post 1.01, skal være den, der tegner sig for det største finansieringsbeløb modtaget fra en modpart eller en gruppe af indbyrdes forbundne kunder, som ligger over tærsklen på 1 % pr. indberetningsdatoen, post 1.02 er den næststørste over tærsklen på 1 % og på lignende vis med de øvrige poster.</w:t>
      </w:r>
    </w:p>
    <w:p w14:paraId="430CAED4" w14:textId="505B6732" w:rsidR="00A344AA" w:rsidRPr="00DD4DE1" w:rsidRDefault="00A344AA" w:rsidP="00490B62">
      <w:pPr>
        <w:pStyle w:val="InstructionsText2"/>
        <w:numPr>
          <w:ilvl w:val="0"/>
          <w:numId w:val="6"/>
        </w:numPr>
        <w:rPr>
          <w:szCs w:val="20"/>
          <w:u w:val="none"/>
        </w:rPr>
      </w:pPr>
      <w:r w:rsidRPr="00DD4DE1">
        <w:rPr>
          <w:u w:val="none"/>
        </w:rPr>
        <w:lastRenderedPageBreak/>
        <w:t xml:space="preserve">Hvis en modpart tilhører flere grupper af indbyrdes forbundne kunder, indberettes denne kun én gang i gruppen med den største finansiering. </w:t>
      </w:r>
    </w:p>
    <w:p w14:paraId="589BDAD9" w14:textId="67079620" w:rsidR="00A344AA" w:rsidRPr="00DD4DE1" w:rsidRDefault="00A344AA" w:rsidP="00490B62">
      <w:pPr>
        <w:pStyle w:val="InstructionsText2"/>
        <w:numPr>
          <w:ilvl w:val="0"/>
          <w:numId w:val="6"/>
        </w:numPr>
        <w:rPr>
          <w:szCs w:val="20"/>
          <w:u w:val="none"/>
        </w:rPr>
      </w:pPr>
      <w:r w:rsidRPr="00DD4DE1">
        <w:rPr>
          <w:u w:val="none"/>
        </w:rPr>
        <w:t>Institutterne skal indberette det samlede beløb for al anden øvrig finansiering i afsnit 2.</w:t>
      </w:r>
    </w:p>
    <w:p w14:paraId="6E279CE2" w14:textId="29172BB5" w:rsidR="00A344AA" w:rsidRPr="00DD4DE1" w:rsidRDefault="00A344AA" w:rsidP="00490B62">
      <w:pPr>
        <w:pStyle w:val="InstructionsText2"/>
        <w:numPr>
          <w:ilvl w:val="0"/>
          <w:numId w:val="6"/>
        </w:numPr>
        <w:rPr>
          <w:szCs w:val="20"/>
          <w:u w:val="none"/>
        </w:rPr>
      </w:pPr>
      <w:r w:rsidRPr="00DD4DE1">
        <w:rPr>
          <w:u w:val="none"/>
        </w:rPr>
        <w:t>Summen af afsnit 1 og 2 skal svare til et instituts samlede finansiering, som de fremgår af dets balance indberettet inden for rammerne af den regnskabsmæssige indberetning (FINREP).</w:t>
      </w:r>
    </w:p>
    <w:p w14:paraId="00BA7315" w14:textId="71355B4D" w:rsidR="00A344AA" w:rsidRPr="00DD4DE1" w:rsidRDefault="00A344AA" w:rsidP="00AF270F">
      <w:pPr>
        <w:pStyle w:val="InstructionsText2"/>
        <w:numPr>
          <w:ilvl w:val="0"/>
          <w:numId w:val="6"/>
        </w:numPr>
        <w:rPr>
          <w:szCs w:val="20"/>
          <w:u w:val="none"/>
        </w:rPr>
      </w:pPr>
      <w:r w:rsidRPr="00DD4DE1">
        <w:rPr>
          <w:u w:val="none"/>
        </w:rPr>
        <w:t>For hver modpart skal institutterne indberette alle kolonner fra 010 til 080.</w:t>
      </w:r>
    </w:p>
    <w:p w14:paraId="3425ECF0" w14:textId="65ED6564" w:rsidR="00A344AA" w:rsidRPr="00DD4DE1" w:rsidRDefault="00A344AA" w:rsidP="00B90134">
      <w:pPr>
        <w:pStyle w:val="InstructionsText2"/>
        <w:numPr>
          <w:ilvl w:val="0"/>
          <w:numId w:val="6"/>
        </w:numPr>
        <w:rPr>
          <w:szCs w:val="20"/>
          <w:u w:val="none"/>
        </w:rPr>
      </w:pPr>
      <w:r w:rsidRPr="00DD4DE1">
        <w:rPr>
          <w:u w:val="none"/>
        </w:rPr>
        <w:t>Hvis der modtages finansiering i mere end én produkttype, skal den indberettede type være det produkt, i hvilket den største finansieringsandel er modtaget. Der kan træffes rimelige foranstaltninger til at identificere den underliggende indehaver af værdipapirerne. Hvis et institut har oplysninger om indehaveren af værdipapirerne i kraft a sin rolle som depotbank, skal dette beløb indgå ved indberetningen af koncentrationen af modparter. Hvis der ikke foreligger oplysninger om indehaveren af værdipapirerne, er det ikke nødvendigt at indberette det pågældende beløb.</w:t>
      </w:r>
    </w:p>
    <w:p w14:paraId="2DFF75CD" w14:textId="77777777" w:rsidR="00A344AA" w:rsidRPr="00DD4DE1" w:rsidRDefault="00A344AA" w:rsidP="009032C6">
      <w:pPr>
        <w:pStyle w:val="InstructionsText2"/>
        <w:numPr>
          <w:ilvl w:val="0"/>
          <w:numId w:val="6"/>
        </w:numPr>
        <w:rPr>
          <w:szCs w:val="20"/>
          <w:u w:val="none"/>
        </w:rPr>
      </w:pPr>
      <w:r w:rsidRPr="00DD4DE1">
        <w:rPr>
          <w:u w:val="none"/>
        </w:rPr>
        <w:t>Instrukser vedrørende specifikke kolonner:</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A344AA" w:rsidRPr="00DD4DE1" w14:paraId="74B455E0" w14:textId="77777777" w:rsidTr="003F0706">
        <w:trPr>
          <w:trHeight w:val="548"/>
        </w:trPr>
        <w:tc>
          <w:tcPr>
            <w:tcW w:w="729" w:type="pct"/>
            <w:shd w:val="clear" w:color="auto" w:fill="D9D9D9"/>
            <w:noWrap/>
            <w:vAlign w:val="center"/>
          </w:tcPr>
          <w:p w14:paraId="3C56FF4E" w14:textId="77777777" w:rsidR="00A344AA" w:rsidRPr="00DD4DE1" w:rsidRDefault="00A344AA" w:rsidP="000B288B">
            <w:pPr>
              <w:spacing w:before="0" w:after="0"/>
              <w:jc w:val="left"/>
              <w:rPr>
                <w:rFonts w:ascii="Times New Roman" w:hAnsi="Times New Roman"/>
                <w:color w:val="000000"/>
              </w:rPr>
            </w:pPr>
            <w:r w:rsidRPr="00DD4DE1">
              <w:rPr>
                <w:rStyle w:val="InstructionsTabelleText"/>
                <w:rFonts w:ascii="Times New Roman" w:hAnsi="Times New Roman"/>
                <w:color w:val="000000"/>
              </w:rPr>
              <w:t>Kolonne</w:t>
            </w:r>
          </w:p>
        </w:tc>
        <w:tc>
          <w:tcPr>
            <w:tcW w:w="4271" w:type="pct"/>
            <w:gridSpan w:val="2"/>
            <w:shd w:val="clear" w:color="auto" w:fill="D9D9D9"/>
            <w:vAlign w:val="center"/>
          </w:tcPr>
          <w:p w14:paraId="708D3843" w14:textId="77777777" w:rsidR="00A344AA" w:rsidRPr="00DD4DE1" w:rsidRDefault="00A344AA" w:rsidP="000B288B">
            <w:pPr>
              <w:spacing w:before="0" w:after="0"/>
              <w:jc w:val="left"/>
              <w:rPr>
                <w:rFonts w:ascii="Times New Roman" w:hAnsi="Times New Roman"/>
              </w:rPr>
            </w:pPr>
            <w:r w:rsidRPr="00DD4DE1">
              <w:rPr>
                <w:rStyle w:val="InstructionsTabelleText"/>
                <w:rFonts w:ascii="Times New Roman" w:hAnsi="Times New Roman"/>
              </w:rPr>
              <w:t>Henvisninger til retsakter og instrukser</w:t>
            </w:r>
          </w:p>
        </w:tc>
      </w:tr>
      <w:tr w:rsidR="00A344AA" w:rsidRPr="00DD4DE1" w14:paraId="03B6122B" w14:textId="77777777" w:rsidTr="003F0706">
        <w:trPr>
          <w:trHeight w:val="765"/>
        </w:trPr>
        <w:tc>
          <w:tcPr>
            <w:tcW w:w="729" w:type="pct"/>
            <w:shd w:val="clear" w:color="auto" w:fill="auto"/>
            <w:noWrap/>
          </w:tcPr>
          <w:p w14:paraId="454F7606" w14:textId="77777777" w:rsidR="00A344AA" w:rsidRPr="00DD4DE1" w:rsidRDefault="00A344AA">
            <w:pPr>
              <w:spacing w:before="0" w:after="0"/>
              <w:jc w:val="left"/>
              <w:rPr>
                <w:rFonts w:ascii="Times New Roman" w:hAnsi="Times New Roman"/>
                <w:color w:val="000000"/>
                <w:szCs w:val="20"/>
              </w:rPr>
            </w:pPr>
            <w:r w:rsidRPr="00DD4DE1">
              <w:rPr>
                <w:rFonts w:ascii="Times New Roman" w:hAnsi="Times New Roman"/>
                <w:color w:val="000000"/>
              </w:rPr>
              <w:t>010</w:t>
            </w:r>
          </w:p>
        </w:tc>
        <w:tc>
          <w:tcPr>
            <w:tcW w:w="4271" w:type="pct"/>
            <w:gridSpan w:val="2"/>
            <w:shd w:val="clear" w:color="auto" w:fill="auto"/>
          </w:tcPr>
          <w:p w14:paraId="146FA391" w14:textId="77777777" w:rsidR="00A344AA" w:rsidRPr="00DD4DE1" w:rsidRDefault="00A344AA" w:rsidP="003A2647">
            <w:pPr>
              <w:spacing w:before="0" w:after="0"/>
              <w:rPr>
                <w:rFonts w:ascii="Times New Roman" w:hAnsi="Times New Roman"/>
                <w:b/>
                <w:szCs w:val="20"/>
                <w:u w:val="single"/>
              </w:rPr>
            </w:pPr>
            <w:r w:rsidRPr="00DD4DE1">
              <w:rPr>
                <w:rFonts w:ascii="Times New Roman" w:hAnsi="Times New Roman"/>
                <w:b/>
                <w:u w:val="single"/>
              </w:rPr>
              <w:t>Modpartens navn</w:t>
            </w:r>
          </w:p>
          <w:p w14:paraId="19E2ADEC" w14:textId="77777777" w:rsidR="00A344AA" w:rsidRPr="00DD4DE1" w:rsidRDefault="00A344AA" w:rsidP="003A2647">
            <w:pPr>
              <w:spacing w:before="0" w:after="0"/>
              <w:rPr>
                <w:rFonts w:ascii="Times New Roman" w:hAnsi="Times New Roman"/>
                <w:b/>
                <w:szCs w:val="20"/>
                <w:u w:val="single"/>
              </w:rPr>
            </w:pPr>
          </w:p>
          <w:p w14:paraId="2836EBB6" w14:textId="3EE49AEF" w:rsidR="00A344AA" w:rsidRPr="00DD4DE1" w:rsidRDefault="00A344AA" w:rsidP="00763448">
            <w:pPr>
              <w:spacing w:before="0" w:after="0"/>
              <w:rPr>
                <w:rFonts w:ascii="Times New Roman" w:hAnsi="Times New Roman"/>
                <w:szCs w:val="20"/>
              </w:rPr>
            </w:pPr>
            <w:r w:rsidRPr="00DD4DE1">
              <w:rPr>
                <w:rFonts w:ascii="Times New Roman" w:hAnsi="Times New Roman"/>
              </w:rPr>
              <w:t>Navnet på hver modpart, fra hvem den modtagne finansiering overstiger 1 % af de samlede forpligtelser, skal angives i kolonne 010 i aftagende rækkefølge, dvs. efter størrelsen af den modtagne finansiering.</w:t>
            </w:r>
          </w:p>
          <w:p w14:paraId="5DFD68B3" w14:textId="77777777" w:rsidR="00A344AA" w:rsidRPr="00DD4DE1" w:rsidRDefault="00A344AA" w:rsidP="00490B62">
            <w:pPr>
              <w:spacing w:before="0" w:after="0"/>
              <w:rPr>
                <w:rFonts w:ascii="Times New Roman" w:hAnsi="Times New Roman"/>
                <w:szCs w:val="20"/>
              </w:rPr>
            </w:pPr>
          </w:p>
          <w:p w14:paraId="5DA69516" w14:textId="05AEBC96" w:rsidR="00A344AA" w:rsidRPr="00DD4DE1" w:rsidRDefault="00C663BC" w:rsidP="00490B62">
            <w:pPr>
              <w:spacing w:before="0" w:after="0"/>
              <w:rPr>
                <w:rFonts w:ascii="Times New Roman" w:hAnsi="Times New Roman"/>
                <w:szCs w:val="20"/>
              </w:rPr>
            </w:pPr>
            <w:r w:rsidRPr="00DD4DE1">
              <w:rPr>
                <w:rFonts w:ascii="Times New Roman" w:hAnsi="Times New Roman"/>
              </w:rPr>
              <w:t xml:space="preserve">Navnet på modparten, uanset om modparten er en juridisk enhed eller en fysisk person, skal indberettes. Når modparten er en juridisk enhed, skal det navn på modparten, der angives, være det fulde navn på den juridiske enhed, som finansieringen kommer fra, inklusive eventuelle angivelser af selskabsform i overensstemmelse med national selskabsret. </w:t>
            </w:r>
          </w:p>
          <w:p w14:paraId="5AB242B5" w14:textId="77777777" w:rsidR="00A344AA" w:rsidRPr="00DD4DE1" w:rsidRDefault="00A344AA" w:rsidP="003A2647">
            <w:pPr>
              <w:spacing w:before="0" w:after="0"/>
              <w:rPr>
                <w:rFonts w:ascii="Times New Roman" w:hAnsi="Times New Roman"/>
                <w:szCs w:val="20"/>
              </w:rPr>
            </w:pPr>
          </w:p>
        </w:tc>
      </w:tr>
      <w:tr w:rsidR="00A344AA" w:rsidRPr="00DD4DE1" w14:paraId="38D9E163" w14:textId="77777777" w:rsidTr="003F0706">
        <w:trPr>
          <w:trHeight w:val="765"/>
        </w:trPr>
        <w:tc>
          <w:tcPr>
            <w:tcW w:w="729" w:type="pct"/>
            <w:shd w:val="clear" w:color="auto" w:fill="auto"/>
            <w:noWrap/>
          </w:tcPr>
          <w:p w14:paraId="7AE3AB1F" w14:textId="77777777" w:rsidR="00A344AA" w:rsidRPr="00DD4DE1" w:rsidRDefault="00A344AA" w:rsidP="000B288B">
            <w:pPr>
              <w:spacing w:before="0" w:after="0"/>
              <w:jc w:val="left"/>
              <w:rPr>
                <w:rFonts w:ascii="Times New Roman" w:hAnsi="Times New Roman"/>
                <w:color w:val="000000"/>
                <w:szCs w:val="20"/>
              </w:rPr>
            </w:pPr>
            <w:r w:rsidRPr="00DD4DE1">
              <w:rPr>
                <w:rFonts w:ascii="Times New Roman" w:hAnsi="Times New Roman"/>
                <w:color w:val="000000"/>
              </w:rPr>
              <w:t>020</w:t>
            </w:r>
          </w:p>
        </w:tc>
        <w:tc>
          <w:tcPr>
            <w:tcW w:w="4271" w:type="pct"/>
            <w:gridSpan w:val="2"/>
            <w:shd w:val="clear" w:color="auto" w:fill="auto"/>
          </w:tcPr>
          <w:p w14:paraId="0B28CA9D" w14:textId="77777777" w:rsidR="00A344AA" w:rsidRPr="00DD4DE1" w:rsidRDefault="00A344AA" w:rsidP="00763448">
            <w:pPr>
              <w:pStyle w:val="InstructionsText"/>
              <w:rPr>
                <w:rStyle w:val="InstructionsTabelleberschrift"/>
                <w:rFonts w:ascii="Times New Roman" w:hAnsi="Times New Roman"/>
                <w:szCs w:val="20"/>
                <w:lang w:val="pt-PT"/>
              </w:rPr>
            </w:pPr>
            <w:r w:rsidRPr="00DD4DE1">
              <w:rPr>
                <w:rStyle w:val="InstructionsTabelleberschrift"/>
                <w:rFonts w:ascii="Times New Roman" w:hAnsi="Times New Roman"/>
                <w:lang w:val="pt-PT"/>
              </w:rPr>
              <w:t>LEI-kode</w:t>
            </w:r>
          </w:p>
          <w:p w14:paraId="36F19060" w14:textId="77777777" w:rsidR="00A344AA" w:rsidRPr="00DD4DE1" w:rsidRDefault="00A344AA" w:rsidP="00490B62">
            <w:pPr>
              <w:pStyle w:val="InstructionsText"/>
              <w:rPr>
                <w:rStyle w:val="InstructionsTabelleberschrift"/>
                <w:rFonts w:ascii="Times New Roman" w:hAnsi="Times New Roman"/>
                <w:szCs w:val="20"/>
                <w:lang w:val="pt-PT"/>
              </w:rPr>
            </w:pPr>
          </w:p>
          <w:p w14:paraId="6C3C7436" w14:textId="77777777" w:rsidR="00A344AA" w:rsidRPr="00DD4DE1" w:rsidRDefault="00A344AA" w:rsidP="00490B62">
            <w:pPr>
              <w:pStyle w:val="InstructionsText"/>
              <w:rPr>
                <w:rStyle w:val="FormatvorlageInstructionsTabelleText"/>
                <w:rFonts w:ascii="Times New Roman" w:hAnsi="Times New Roman"/>
                <w:szCs w:val="20"/>
                <w:lang w:val="pt-PT"/>
              </w:rPr>
            </w:pPr>
            <w:r w:rsidRPr="00DD4DE1">
              <w:rPr>
                <w:rStyle w:val="FormatvorlageInstructionsTabelleText"/>
                <w:rFonts w:ascii="Times New Roman" w:hAnsi="Times New Roman"/>
                <w:lang w:val="pt-PT"/>
              </w:rPr>
              <w:t xml:space="preserve">Modpartens LEI-kode (Legal Entity Identifier). </w:t>
            </w:r>
          </w:p>
          <w:p w14:paraId="66432471" w14:textId="77777777" w:rsidR="00A344AA" w:rsidRPr="00DD4DE1" w:rsidRDefault="00A344AA" w:rsidP="00A862BD">
            <w:pPr>
              <w:pStyle w:val="InstructionsText"/>
              <w:rPr>
                <w:b/>
                <w:szCs w:val="20"/>
                <w:lang w:val="pt-PT"/>
              </w:rPr>
            </w:pPr>
          </w:p>
        </w:tc>
      </w:tr>
      <w:tr w:rsidR="00A344AA" w:rsidRPr="00DD4DE1"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DD4DE1" w:rsidRDefault="00A344AA" w:rsidP="000B288B">
            <w:pPr>
              <w:spacing w:before="0" w:after="0"/>
              <w:jc w:val="left"/>
              <w:rPr>
                <w:rFonts w:ascii="Times New Roman" w:hAnsi="Times New Roman"/>
                <w:color w:val="000000"/>
                <w:szCs w:val="20"/>
              </w:rPr>
            </w:pPr>
            <w:r w:rsidRPr="00DD4DE1">
              <w:rPr>
                <w:rFonts w:ascii="Times New Roman" w:hAnsi="Times New Roman"/>
                <w:color w:val="000000"/>
              </w:rPr>
              <w:t>030</w:t>
            </w:r>
          </w:p>
        </w:tc>
        <w:tc>
          <w:tcPr>
            <w:tcW w:w="4271" w:type="pct"/>
            <w:gridSpan w:val="2"/>
            <w:tcBorders>
              <w:bottom w:val="single" w:sz="4" w:space="0" w:color="auto"/>
            </w:tcBorders>
            <w:shd w:val="clear" w:color="auto" w:fill="auto"/>
          </w:tcPr>
          <w:p w14:paraId="6B942154" w14:textId="77777777" w:rsidR="00A344AA" w:rsidRPr="00DD4DE1" w:rsidRDefault="00A344AA" w:rsidP="003A2647">
            <w:pPr>
              <w:spacing w:before="0" w:after="0"/>
              <w:rPr>
                <w:rFonts w:ascii="Times New Roman" w:hAnsi="Times New Roman"/>
                <w:b/>
                <w:szCs w:val="20"/>
                <w:u w:val="single"/>
              </w:rPr>
            </w:pPr>
            <w:r w:rsidRPr="00DD4DE1">
              <w:rPr>
                <w:rFonts w:ascii="Times New Roman" w:hAnsi="Times New Roman"/>
                <w:b/>
                <w:u w:val="single"/>
              </w:rPr>
              <w:t>Modpartens sektor</w:t>
            </w:r>
          </w:p>
          <w:p w14:paraId="2CCF7839" w14:textId="77777777" w:rsidR="00A344AA" w:rsidRPr="00DD4DE1" w:rsidRDefault="00A344AA" w:rsidP="003A2647">
            <w:pPr>
              <w:spacing w:before="0" w:after="0"/>
              <w:rPr>
                <w:rFonts w:ascii="Times New Roman" w:hAnsi="Times New Roman"/>
                <w:b/>
                <w:szCs w:val="20"/>
                <w:u w:val="single"/>
              </w:rPr>
            </w:pPr>
          </w:p>
          <w:p w14:paraId="2E43DAFB" w14:textId="2C4B739F" w:rsidR="00A344AA" w:rsidRPr="00DD4DE1" w:rsidRDefault="00A344AA" w:rsidP="00763448">
            <w:pPr>
              <w:pStyle w:val="InstructionsText"/>
              <w:rPr>
                <w:rStyle w:val="FormatvorlageInstructionsTabelleText"/>
                <w:rFonts w:ascii="Times New Roman" w:hAnsi="Times New Roman"/>
                <w:szCs w:val="20"/>
              </w:rPr>
            </w:pPr>
            <w:r w:rsidRPr="00DD4DE1">
              <w:rPr>
                <w:rStyle w:val="FormatvorlageInstructionsTabelleText"/>
                <w:rFonts w:ascii="Times New Roman" w:hAnsi="Times New Roman"/>
              </w:rPr>
              <w:t>Der skal tildeles én sektor til hver modpart på grundlag af FINREP's økonomiske sektorklasser:</w:t>
            </w:r>
          </w:p>
          <w:p w14:paraId="7C349277" w14:textId="77777777" w:rsidR="00A344AA" w:rsidRPr="00DD4DE1" w:rsidRDefault="00A344AA" w:rsidP="00490B62">
            <w:pPr>
              <w:pStyle w:val="InstructionsText"/>
              <w:rPr>
                <w:rStyle w:val="FormatvorlageInstructionsTabelleText"/>
                <w:rFonts w:ascii="Times New Roman" w:hAnsi="Times New Roman"/>
                <w:szCs w:val="20"/>
              </w:rPr>
            </w:pPr>
          </w:p>
          <w:p w14:paraId="07E3E3C8" w14:textId="77777777" w:rsidR="00A344AA" w:rsidRPr="00DD4DE1" w:rsidRDefault="00A344AA" w:rsidP="00490B62">
            <w:pPr>
              <w:pStyle w:val="InstructionsText"/>
              <w:ind w:left="714"/>
              <w:rPr>
                <w:rStyle w:val="FormatvorlageInstructionsTabelleText"/>
                <w:rFonts w:ascii="Times New Roman" w:hAnsi="Times New Roman"/>
                <w:szCs w:val="20"/>
              </w:rPr>
            </w:pPr>
            <w:r w:rsidRPr="00DD4DE1">
              <w:rPr>
                <w:rStyle w:val="FormatvorlageInstructionsTabelleText"/>
                <w:rFonts w:ascii="Times New Roman" w:hAnsi="Times New Roman"/>
              </w:rPr>
              <w:t xml:space="preserve">i) Centralbanker ii) Offentlig forvaltning og service iii) Kreditinstitutter iv) Andre finansielle selskaber v) Ikkefinansielle selskaber vi) Husholdninger. </w:t>
            </w:r>
          </w:p>
          <w:p w14:paraId="4CA62F92" w14:textId="77777777" w:rsidR="00A344AA" w:rsidRPr="00DD4DE1" w:rsidRDefault="00A344AA" w:rsidP="00FA63BD">
            <w:pPr>
              <w:pStyle w:val="InstructionsText"/>
              <w:ind w:left="714"/>
              <w:rPr>
                <w:rStyle w:val="FormatvorlageInstructionsTabelleText"/>
                <w:rFonts w:ascii="Times New Roman" w:hAnsi="Times New Roman"/>
                <w:szCs w:val="20"/>
              </w:rPr>
            </w:pPr>
          </w:p>
          <w:p w14:paraId="1E7BCB8F" w14:textId="77777777" w:rsidR="00A344AA" w:rsidRPr="00DD4DE1" w:rsidRDefault="00A344AA" w:rsidP="00FA63BD">
            <w:pPr>
              <w:pStyle w:val="InstructionsText"/>
              <w:rPr>
                <w:rStyle w:val="FormatvorlageInstructionsTabelleText"/>
                <w:rFonts w:ascii="Times New Roman" w:hAnsi="Times New Roman"/>
                <w:szCs w:val="20"/>
              </w:rPr>
            </w:pPr>
            <w:r w:rsidRPr="00DD4DE1">
              <w:rPr>
                <w:rStyle w:val="FormatvorlageInstructionsTabelleText"/>
                <w:rFonts w:ascii="Times New Roman" w:hAnsi="Times New Roman"/>
              </w:rPr>
              <w:t>For grupper af indbyrdes forbundne kunder indberettes ingen sektor.</w:t>
            </w:r>
          </w:p>
          <w:p w14:paraId="0E3CE66C" w14:textId="77777777" w:rsidR="00A344AA" w:rsidRPr="00DD4DE1" w:rsidRDefault="00A344AA" w:rsidP="006339CC">
            <w:pPr>
              <w:pStyle w:val="InstructionsText2"/>
              <w:numPr>
                <w:ilvl w:val="0"/>
                <w:numId w:val="0"/>
              </w:numPr>
              <w:spacing w:after="0"/>
              <w:ind w:left="714"/>
              <w:rPr>
                <w:szCs w:val="20"/>
              </w:rPr>
            </w:pPr>
          </w:p>
        </w:tc>
      </w:tr>
      <w:tr w:rsidR="00A344AA" w:rsidRPr="00DD4DE1" w14:paraId="159CB0CE" w14:textId="77777777" w:rsidTr="003D0976">
        <w:trPr>
          <w:trHeight w:val="510"/>
        </w:trPr>
        <w:tc>
          <w:tcPr>
            <w:tcW w:w="729" w:type="pct"/>
            <w:tcBorders>
              <w:bottom w:val="nil"/>
            </w:tcBorders>
            <w:shd w:val="clear" w:color="auto" w:fill="auto"/>
            <w:noWrap/>
          </w:tcPr>
          <w:p w14:paraId="7DA552B5" w14:textId="77777777" w:rsidR="00A344AA" w:rsidRPr="00DD4DE1" w:rsidRDefault="00A344AA" w:rsidP="000B288B">
            <w:pPr>
              <w:spacing w:before="0" w:after="0"/>
              <w:jc w:val="left"/>
              <w:rPr>
                <w:rFonts w:ascii="Times New Roman" w:hAnsi="Times New Roman"/>
                <w:color w:val="000000"/>
                <w:szCs w:val="20"/>
              </w:rPr>
            </w:pPr>
            <w:r w:rsidRPr="00DD4DE1">
              <w:rPr>
                <w:rFonts w:ascii="Times New Roman" w:hAnsi="Times New Roman"/>
                <w:color w:val="000000"/>
              </w:rPr>
              <w:t>040</w:t>
            </w:r>
          </w:p>
        </w:tc>
        <w:tc>
          <w:tcPr>
            <w:tcW w:w="4271" w:type="pct"/>
            <w:gridSpan w:val="2"/>
            <w:tcBorders>
              <w:bottom w:val="nil"/>
            </w:tcBorders>
            <w:shd w:val="clear" w:color="auto" w:fill="auto"/>
          </w:tcPr>
          <w:p w14:paraId="4A62D5F3" w14:textId="77777777" w:rsidR="00A344AA" w:rsidRPr="00DD4DE1" w:rsidRDefault="00A344AA" w:rsidP="003A2647">
            <w:pPr>
              <w:spacing w:before="0" w:after="0"/>
              <w:rPr>
                <w:rFonts w:ascii="Times New Roman" w:hAnsi="Times New Roman"/>
                <w:b/>
                <w:szCs w:val="20"/>
                <w:u w:val="single"/>
              </w:rPr>
            </w:pPr>
            <w:r w:rsidRPr="00DD4DE1">
              <w:rPr>
                <w:rFonts w:ascii="Times New Roman" w:hAnsi="Times New Roman"/>
                <w:b/>
                <w:u w:val="single"/>
              </w:rPr>
              <w:t xml:space="preserve">Modpartens hjemsted </w:t>
            </w:r>
          </w:p>
          <w:p w14:paraId="4CB6B035" w14:textId="77777777" w:rsidR="00A344AA" w:rsidRPr="00DD4DE1" w:rsidRDefault="00A344AA" w:rsidP="00763448">
            <w:pPr>
              <w:pStyle w:val="InstructionsText"/>
              <w:rPr>
                <w:rStyle w:val="FormatvorlageInstructionsTabelleText"/>
                <w:rFonts w:ascii="Times New Roman" w:hAnsi="Times New Roman"/>
                <w:b/>
                <w:szCs w:val="20"/>
              </w:rPr>
            </w:pPr>
          </w:p>
          <w:p w14:paraId="1792AE6F" w14:textId="7E5ED76F" w:rsidR="00A344AA" w:rsidRPr="00DD4DE1" w:rsidRDefault="00A344AA" w:rsidP="00490B62">
            <w:pPr>
              <w:pStyle w:val="InstructionsText"/>
              <w:rPr>
                <w:rStyle w:val="FormatvorlageInstructionsTabelleText"/>
                <w:rFonts w:ascii="Times New Roman" w:hAnsi="Times New Roman"/>
                <w:szCs w:val="20"/>
              </w:rPr>
            </w:pPr>
            <w:r w:rsidRPr="00DD4DE1">
              <w:rPr>
                <w:rStyle w:val="FormatvorlageInstructionsTabelleText"/>
                <w:rFonts w:ascii="Times New Roman" w:hAnsi="Times New Roman"/>
              </w:rPr>
              <w:t xml:space="preserve">Der anvendes tobogstavskode efter ISO 3166-1-standarden for det land, hvor modparten har sit hjemsted (herunder pseudo-ISO-koder for internationale organisationer, som anført i den seneste udgave af Eurostats "Balance of Payments Vademecum"). </w:t>
            </w:r>
          </w:p>
          <w:p w14:paraId="713A8F3E" w14:textId="77777777" w:rsidR="00A344AA" w:rsidRPr="00DD4DE1" w:rsidRDefault="00A344AA" w:rsidP="00490B62">
            <w:pPr>
              <w:pStyle w:val="InstructionsText"/>
              <w:rPr>
                <w:rStyle w:val="FormatvorlageInstructionsTabelleText"/>
                <w:rFonts w:ascii="Times New Roman" w:hAnsi="Times New Roman"/>
                <w:szCs w:val="20"/>
              </w:rPr>
            </w:pPr>
          </w:p>
          <w:p w14:paraId="6E964331" w14:textId="77777777" w:rsidR="00A344AA" w:rsidRPr="00DD4DE1" w:rsidRDefault="00A344AA" w:rsidP="003A2647">
            <w:pPr>
              <w:spacing w:before="0" w:after="0"/>
              <w:rPr>
                <w:rFonts w:ascii="Times New Roman" w:hAnsi="Times New Roman"/>
                <w:b/>
                <w:szCs w:val="20"/>
                <w:u w:val="single"/>
              </w:rPr>
            </w:pPr>
            <w:r w:rsidRPr="00DD4DE1">
              <w:rPr>
                <w:rStyle w:val="FormatvorlageInstructionsTabelleText"/>
                <w:rFonts w:ascii="Times New Roman" w:hAnsi="Times New Roman"/>
              </w:rPr>
              <w:t xml:space="preserve">For grupper af indbyrdes forbundne kunder indberettes ikke noget land. </w:t>
            </w:r>
          </w:p>
        </w:tc>
      </w:tr>
      <w:tr w:rsidR="00A344AA" w:rsidRPr="00DD4DE1" w14:paraId="6AA91692" w14:textId="77777777" w:rsidTr="003D0976">
        <w:trPr>
          <w:trHeight w:val="510"/>
        </w:trPr>
        <w:tc>
          <w:tcPr>
            <w:tcW w:w="729" w:type="pct"/>
            <w:tcBorders>
              <w:top w:val="nil"/>
              <w:bottom w:val="single" w:sz="4" w:space="0" w:color="auto"/>
            </w:tcBorders>
            <w:shd w:val="clear" w:color="auto" w:fill="auto"/>
            <w:noWrap/>
          </w:tcPr>
          <w:p w14:paraId="37378802" w14:textId="77777777" w:rsidR="00A344AA" w:rsidRPr="00DD4DE1" w:rsidRDefault="00A344AA" w:rsidP="000B288B">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A344AA" w:rsidRPr="00DD4DE1" w:rsidRDefault="00A344AA" w:rsidP="003A2647">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A344AA" w:rsidRPr="00DD4DE1" w:rsidRDefault="00A344AA" w:rsidP="003A2647">
            <w:pPr>
              <w:spacing w:before="0" w:after="0"/>
              <w:rPr>
                <w:rFonts w:ascii="Times New Roman" w:hAnsi="Times New Roman"/>
                <w:b/>
                <w:szCs w:val="20"/>
                <w:u w:val="single"/>
              </w:rPr>
            </w:pPr>
          </w:p>
        </w:tc>
      </w:tr>
      <w:tr w:rsidR="00A344AA" w:rsidRPr="00DD4DE1"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DD4DE1" w:rsidRDefault="00A344AA" w:rsidP="000B288B">
            <w:pPr>
              <w:spacing w:before="0" w:after="0"/>
              <w:jc w:val="left"/>
              <w:rPr>
                <w:rFonts w:ascii="Times New Roman" w:hAnsi="Times New Roman"/>
                <w:color w:val="000000"/>
                <w:szCs w:val="20"/>
              </w:rPr>
            </w:pPr>
            <w:r w:rsidRPr="00DD4DE1">
              <w:rPr>
                <w:rFonts w:ascii="Times New Roman" w:hAnsi="Times New Roman"/>
                <w:color w:val="000000"/>
              </w:rPr>
              <w:lastRenderedPageBreak/>
              <w:t>050</w:t>
            </w:r>
          </w:p>
        </w:tc>
        <w:tc>
          <w:tcPr>
            <w:tcW w:w="4271" w:type="pct"/>
            <w:gridSpan w:val="2"/>
            <w:tcBorders>
              <w:top w:val="single" w:sz="4" w:space="0" w:color="auto"/>
              <w:bottom w:val="single" w:sz="4" w:space="0" w:color="auto"/>
            </w:tcBorders>
            <w:shd w:val="clear" w:color="auto" w:fill="auto"/>
          </w:tcPr>
          <w:p w14:paraId="202E35F5" w14:textId="77777777" w:rsidR="00A344AA" w:rsidRPr="00DD4DE1" w:rsidRDefault="00A344AA" w:rsidP="003A2647">
            <w:pPr>
              <w:spacing w:before="0" w:after="0"/>
              <w:rPr>
                <w:rFonts w:ascii="Times New Roman" w:hAnsi="Times New Roman"/>
                <w:b/>
                <w:szCs w:val="20"/>
                <w:u w:val="single"/>
              </w:rPr>
            </w:pPr>
            <w:r w:rsidRPr="00DD4DE1">
              <w:rPr>
                <w:rFonts w:ascii="Times New Roman" w:hAnsi="Times New Roman"/>
                <w:b/>
                <w:u w:val="single"/>
              </w:rPr>
              <w:t>Produkttype</w:t>
            </w:r>
          </w:p>
          <w:p w14:paraId="27D8CDCC" w14:textId="77777777" w:rsidR="00A344AA" w:rsidRPr="00DD4DE1" w:rsidRDefault="00A344AA" w:rsidP="003A2647">
            <w:pPr>
              <w:spacing w:before="0" w:after="0"/>
              <w:rPr>
                <w:rFonts w:ascii="Times New Roman" w:hAnsi="Times New Roman"/>
                <w:b/>
                <w:szCs w:val="20"/>
                <w:u w:val="single"/>
              </w:rPr>
            </w:pPr>
          </w:p>
          <w:p w14:paraId="435BE420" w14:textId="00C0FA31" w:rsidR="00A344AA" w:rsidRPr="00DD4DE1" w:rsidRDefault="00A344AA" w:rsidP="00763448">
            <w:pPr>
              <w:spacing w:before="0" w:after="0"/>
              <w:rPr>
                <w:rFonts w:ascii="Times New Roman" w:hAnsi="Times New Roman"/>
                <w:szCs w:val="20"/>
              </w:rPr>
            </w:pPr>
            <w:r w:rsidRPr="00DD4DE1">
              <w:rPr>
                <w:rFonts w:ascii="Times New Roman" w:hAnsi="Times New Roman"/>
              </w:rPr>
              <w:t>Modparter, der indberettes i kolonne 010, skal tildeles en produkttype svarende til det udstedte produkt, i hvilket finansieringen blev modtaget, eller i hvilket den største andel af finansieringen blev modtaget for så vidt angår blandede produkttyper. Hertil anvendes følgende koder angivet med fed skrift:</w:t>
            </w:r>
          </w:p>
          <w:p w14:paraId="374B715F" w14:textId="77777777" w:rsidR="00A344AA" w:rsidRPr="00DD4DE1" w:rsidRDefault="00A344AA" w:rsidP="003A2647">
            <w:pPr>
              <w:spacing w:before="0" w:after="0"/>
              <w:ind w:left="108"/>
              <w:rPr>
                <w:rFonts w:ascii="Times New Roman" w:hAnsi="Times New Roman"/>
                <w:color w:val="000000"/>
                <w:szCs w:val="20"/>
              </w:rPr>
            </w:pPr>
          </w:p>
          <w:p w14:paraId="644929DE" w14:textId="77777777" w:rsidR="00A344AA" w:rsidRPr="00DD4DE1" w:rsidRDefault="00A344AA" w:rsidP="003A2647">
            <w:pPr>
              <w:spacing w:before="0" w:after="0"/>
              <w:ind w:left="108"/>
              <w:rPr>
                <w:rFonts w:ascii="Times New Roman" w:hAnsi="Times New Roman"/>
                <w:color w:val="000000"/>
                <w:szCs w:val="20"/>
              </w:rPr>
            </w:pPr>
            <w:r w:rsidRPr="00DD4DE1">
              <w:rPr>
                <w:rFonts w:ascii="Times New Roman" w:hAnsi="Times New Roman"/>
                <w:b/>
                <w:color w:val="000000"/>
              </w:rPr>
              <w:t>UWF</w:t>
            </w:r>
            <w:r w:rsidRPr="00DD4DE1">
              <w:rPr>
                <w:rFonts w:ascii="Times New Roman" w:hAnsi="Times New Roman"/>
                <w:color w:val="000000"/>
              </w:rPr>
              <w:t xml:space="preserve"> (usikret engrosfinansiering fra finansielle kunder, herunder via interbankmarkedet)</w:t>
            </w:r>
          </w:p>
          <w:p w14:paraId="65D81A1D" w14:textId="77777777" w:rsidR="00A344AA" w:rsidRPr="00DD4DE1" w:rsidRDefault="00A344AA" w:rsidP="003A2647">
            <w:pPr>
              <w:spacing w:before="0" w:after="0"/>
              <w:ind w:left="108"/>
              <w:rPr>
                <w:rFonts w:ascii="Times New Roman" w:hAnsi="Times New Roman"/>
                <w:color w:val="000000"/>
                <w:szCs w:val="20"/>
              </w:rPr>
            </w:pPr>
          </w:p>
          <w:p w14:paraId="2E6EBD07" w14:textId="77777777" w:rsidR="00A344AA" w:rsidRPr="00DD4DE1" w:rsidRDefault="00A344AA" w:rsidP="003A2647">
            <w:pPr>
              <w:spacing w:before="0" w:after="0"/>
              <w:ind w:left="108"/>
              <w:rPr>
                <w:rFonts w:ascii="Times New Roman" w:hAnsi="Times New Roman"/>
                <w:color w:val="000000"/>
                <w:szCs w:val="20"/>
              </w:rPr>
            </w:pPr>
            <w:r w:rsidRPr="00DD4DE1">
              <w:rPr>
                <w:rFonts w:ascii="Times New Roman" w:hAnsi="Times New Roman"/>
                <w:b/>
                <w:color w:val="000000"/>
              </w:rPr>
              <w:t>UWNF</w:t>
            </w:r>
            <w:r w:rsidRPr="00DD4DE1">
              <w:rPr>
                <w:rFonts w:ascii="Times New Roman" w:hAnsi="Times New Roman"/>
                <w:color w:val="000000"/>
              </w:rPr>
              <w:t xml:space="preserve"> (usikret engrosfinansiering fra ikkefinansielle kunder)</w:t>
            </w:r>
          </w:p>
          <w:p w14:paraId="69567DFF" w14:textId="77777777" w:rsidR="00A344AA" w:rsidRPr="00DD4DE1" w:rsidRDefault="00A344AA" w:rsidP="003A2647">
            <w:pPr>
              <w:spacing w:before="0" w:after="0"/>
              <w:ind w:left="108"/>
              <w:rPr>
                <w:rFonts w:ascii="Times New Roman" w:hAnsi="Times New Roman"/>
                <w:color w:val="000000"/>
                <w:szCs w:val="20"/>
              </w:rPr>
            </w:pPr>
          </w:p>
          <w:p w14:paraId="362C9247" w14:textId="3E33B3E9" w:rsidR="00A344AA" w:rsidRPr="00DD4DE1" w:rsidRDefault="00792E65" w:rsidP="003A2647">
            <w:pPr>
              <w:spacing w:before="0" w:after="0"/>
              <w:ind w:left="108"/>
              <w:rPr>
                <w:rFonts w:ascii="Times New Roman" w:hAnsi="Times New Roman"/>
                <w:color w:val="000000"/>
                <w:szCs w:val="20"/>
              </w:rPr>
            </w:pPr>
            <w:r w:rsidRPr="00DD4DE1">
              <w:rPr>
                <w:rFonts w:ascii="Times New Roman" w:hAnsi="Times New Roman"/>
                <w:b/>
              </w:rPr>
              <w:t>REPO</w:t>
            </w:r>
            <w:r w:rsidRPr="00DD4DE1">
              <w:rPr>
                <w:rFonts w:ascii="Times New Roman" w:hAnsi="Times New Roman"/>
              </w:rPr>
              <w:t xml:space="preserve"> (finansiering gennem genkøbsaftaler som defineret i artikel 4, stk. 1, nr. 82), i forordning (EU) nr. 575/2013)</w:t>
            </w:r>
          </w:p>
          <w:p w14:paraId="66F4842F" w14:textId="77777777" w:rsidR="00A344AA" w:rsidRPr="00DD4DE1" w:rsidRDefault="00A344AA" w:rsidP="003A2647">
            <w:pPr>
              <w:spacing w:before="0" w:after="0"/>
              <w:ind w:left="108"/>
              <w:rPr>
                <w:rFonts w:ascii="Times New Roman" w:hAnsi="Times New Roman"/>
                <w:color w:val="000000"/>
                <w:szCs w:val="20"/>
              </w:rPr>
            </w:pPr>
          </w:p>
          <w:p w14:paraId="4D7FE979" w14:textId="00122A3D" w:rsidR="00A344AA" w:rsidRPr="00DD4DE1" w:rsidRDefault="00A344AA" w:rsidP="003A2647">
            <w:pPr>
              <w:spacing w:before="0" w:after="0"/>
              <w:ind w:left="108"/>
              <w:rPr>
                <w:rFonts w:ascii="Times New Roman" w:hAnsi="Times New Roman"/>
                <w:color w:val="000000"/>
                <w:szCs w:val="20"/>
              </w:rPr>
            </w:pPr>
            <w:r w:rsidRPr="00DD4DE1">
              <w:rPr>
                <w:rFonts w:ascii="Times New Roman" w:hAnsi="Times New Roman"/>
                <w:b/>
              </w:rPr>
              <w:t>CB</w:t>
            </w:r>
            <w:r w:rsidRPr="00DD4DE1">
              <w:rPr>
                <w:rFonts w:ascii="Times New Roman" w:hAnsi="Times New Roman"/>
              </w:rPr>
              <w:t xml:space="preserve"> (finansiering på grundlag af udstedelse af obligationer som defineret i artikel 129, stk. 4 eller 5, i forordning (EU) nr. 575/2013 eller artikel 52, stk. 4, i direktiv 2009/65/EF)</w:t>
            </w:r>
          </w:p>
          <w:p w14:paraId="3F2C9E19" w14:textId="77777777" w:rsidR="00A344AA" w:rsidRPr="00DD4DE1" w:rsidRDefault="00A344AA" w:rsidP="003A2647">
            <w:pPr>
              <w:spacing w:before="0" w:after="0"/>
              <w:ind w:left="108"/>
              <w:rPr>
                <w:rFonts w:ascii="Times New Roman" w:hAnsi="Times New Roman"/>
                <w:color w:val="000000"/>
                <w:szCs w:val="20"/>
              </w:rPr>
            </w:pPr>
          </w:p>
          <w:p w14:paraId="2DBA0870" w14:textId="00294BF3" w:rsidR="00A344AA" w:rsidRPr="00DD4DE1" w:rsidRDefault="00A344AA" w:rsidP="003A2647">
            <w:pPr>
              <w:spacing w:before="0" w:after="0"/>
              <w:ind w:left="108"/>
              <w:rPr>
                <w:rFonts w:ascii="Times New Roman" w:hAnsi="Times New Roman"/>
                <w:color w:val="000000"/>
                <w:szCs w:val="20"/>
              </w:rPr>
            </w:pPr>
            <w:r w:rsidRPr="00DD4DE1">
              <w:rPr>
                <w:rFonts w:ascii="Times New Roman" w:hAnsi="Times New Roman"/>
                <w:b/>
              </w:rPr>
              <w:t>ABS</w:t>
            </w:r>
            <w:r w:rsidRPr="00DD4DE1">
              <w:rPr>
                <w:rFonts w:ascii="Times New Roman" w:hAnsi="Times New Roman"/>
              </w:rPr>
              <w:t xml:space="preserve"> (finansiering på grundlag af udstedelse af værdipapirer med sikkerhed i aktiver (asset backed securities - ABS), herunder kortfristede gældsbreve (commercial paper - ABCP)</w:t>
            </w:r>
          </w:p>
          <w:p w14:paraId="54E284FB" w14:textId="77777777" w:rsidR="00A344AA" w:rsidRPr="00DD4DE1" w:rsidRDefault="00A344AA" w:rsidP="003A2647">
            <w:pPr>
              <w:spacing w:before="0" w:after="0"/>
              <w:ind w:left="108"/>
              <w:rPr>
                <w:rFonts w:ascii="Times New Roman" w:hAnsi="Times New Roman"/>
                <w:color w:val="000000"/>
                <w:szCs w:val="20"/>
              </w:rPr>
            </w:pPr>
          </w:p>
          <w:p w14:paraId="1114784A" w14:textId="77777777" w:rsidR="00A344AA" w:rsidRPr="00DD4DE1" w:rsidRDefault="00A344AA" w:rsidP="003A2647">
            <w:pPr>
              <w:spacing w:before="0" w:after="0"/>
              <w:ind w:left="108"/>
              <w:rPr>
                <w:rFonts w:ascii="Times New Roman" w:hAnsi="Times New Roman"/>
                <w:color w:val="000000"/>
                <w:szCs w:val="20"/>
              </w:rPr>
            </w:pPr>
            <w:r w:rsidRPr="00DD4DE1">
              <w:rPr>
                <w:rFonts w:ascii="Times New Roman" w:hAnsi="Times New Roman"/>
                <w:b/>
                <w:color w:val="000000"/>
              </w:rPr>
              <w:t>IGCP</w:t>
            </w:r>
            <w:r w:rsidRPr="00DD4DE1">
              <w:rPr>
                <w:rFonts w:ascii="Times New Roman" w:hAnsi="Times New Roman"/>
                <w:color w:val="000000"/>
              </w:rPr>
              <w:t xml:space="preserve"> (</w:t>
            </w:r>
            <w:r w:rsidRPr="00DD4DE1">
              <w:rPr>
                <w:rFonts w:ascii="Times New Roman" w:hAnsi="Times New Roman"/>
              </w:rPr>
              <w:t>finansiering modtaget fra koncerninterne modparter).</w:t>
            </w:r>
          </w:p>
          <w:p w14:paraId="59575FF6" w14:textId="77777777" w:rsidR="00A344AA" w:rsidRPr="00DD4DE1" w:rsidRDefault="00A344AA" w:rsidP="003A2647">
            <w:pPr>
              <w:spacing w:before="0" w:after="0"/>
              <w:ind w:left="108"/>
              <w:rPr>
                <w:rFonts w:ascii="Times New Roman" w:hAnsi="Times New Roman"/>
                <w:color w:val="000000"/>
                <w:szCs w:val="20"/>
              </w:rPr>
            </w:pPr>
          </w:p>
          <w:p w14:paraId="0809393C" w14:textId="77777777" w:rsidR="00A344AA" w:rsidRPr="00DD4DE1" w:rsidRDefault="00A344AA" w:rsidP="003A2647">
            <w:pPr>
              <w:spacing w:before="0" w:after="0"/>
              <w:ind w:left="108"/>
              <w:rPr>
                <w:rFonts w:ascii="Times New Roman" w:hAnsi="Times New Roman"/>
                <w:color w:val="000000"/>
                <w:szCs w:val="20"/>
              </w:rPr>
            </w:pPr>
            <w:r w:rsidRPr="00DD4DE1">
              <w:rPr>
                <w:rFonts w:ascii="Times New Roman" w:hAnsi="Times New Roman"/>
                <w:b/>
                <w:color w:val="000000"/>
              </w:rPr>
              <w:t>OSWF</w:t>
            </w:r>
            <w:r w:rsidRPr="00DD4DE1">
              <w:rPr>
                <w:rFonts w:ascii="Times New Roman" w:hAnsi="Times New Roman"/>
                <w:color w:val="000000"/>
              </w:rPr>
              <w:t xml:space="preserve"> (anden usikret engrosfinansiering)</w:t>
            </w:r>
          </w:p>
          <w:p w14:paraId="64E5769B" w14:textId="77777777" w:rsidR="00A344AA" w:rsidRPr="00DD4DE1" w:rsidRDefault="00A344AA" w:rsidP="003A2647">
            <w:pPr>
              <w:spacing w:before="0" w:after="0"/>
              <w:ind w:left="108"/>
              <w:rPr>
                <w:rFonts w:ascii="Times New Roman" w:hAnsi="Times New Roman"/>
                <w:color w:val="000000"/>
                <w:szCs w:val="20"/>
              </w:rPr>
            </w:pPr>
          </w:p>
          <w:p w14:paraId="520400E8" w14:textId="77777777" w:rsidR="00A344AA" w:rsidRPr="00DD4DE1" w:rsidRDefault="00A344AA" w:rsidP="003A2647">
            <w:pPr>
              <w:spacing w:before="0" w:after="0"/>
              <w:ind w:left="108"/>
              <w:rPr>
                <w:rFonts w:ascii="Times New Roman" w:hAnsi="Times New Roman"/>
                <w:color w:val="000000"/>
                <w:szCs w:val="20"/>
              </w:rPr>
            </w:pPr>
            <w:r w:rsidRPr="00DD4DE1">
              <w:rPr>
                <w:rFonts w:ascii="Times New Roman" w:hAnsi="Times New Roman"/>
                <w:b/>
                <w:color w:val="000000"/>
              </w:rPr>
              <w:t>OFP</w:t>
            </w:r>
            <w:r w:rsidRPr="00DD4DE1">
              <w:rPr>
                <w:rFonts w:ascii="Times New Roman" w:hAnsi="Times New Roman"/>
                <w:color w:val="000000"/>
              </w:rPr>
              <w:t xml:space="preserve"> (andre finansieringsprodukter, f.eks. detailfinansiering)</w:t>
            </w:r>
          </w:p>
          <w:p w14:paraId="7EA3B3FF" w14:textId="77777777" w:rsidR="00A344AA" w:rsidRPr="00DD4DE1" w:rsidRDefault="00A344AA" w:rsidP="003A2647">
            <w:pPr>
              <w:spacing w:before="0" w:after="0"/>
              <w:rPr>
                <w:rFonts w:ascii="Times New Roman" w:hAnsi="Times New Roman"/>
                <w:b/>
                <w:szCs w:val="20"/>
                <w:u w:val="single"/>
              </w:rPr>
            </w:pPr>
          </w:p>
        </w:tc>
      </w:tr>
      <w:tr w:rsidR="00A344AA" w:rsidRPr="00DD4DE1" w14:paraId="5F88F47E" w14:textId="77777777" w:rsidTr="003D0976">
        <w:trPr>
          <w:trHeight w:val="510"/>
        </w:trPr>
        <w:tc>
          <w:tcPr>
            <w:tcW w:w="729" w:type="pct"/>
            <w:shd w:val="clear" w:color="auto" w:fill="auto"/>
            <w:noWrap/>
          </w:tcPr>
          <w:p w14:paraId="6C7A5E49" w14:textId="77777777" w:rsidR="00A344AA" w:rsidRPr="00DD4DE1" w:rsidRDefault="00A344AA" w:rsidP="000B288B">
            <w:pPr>
              <w:spacing w:before="0" w:after="0"/>
              <w:jc w:val="left"/>
              <w:rPr>
                <w:rFonts w:ascii="Times New Roman" w:hAnsi="Times New Roman"/>
                <w:color w:val="000000"/>
                <w:szCs w:val="20"/>
              </w:rPr>
            </w:pPr>
            <w:r w:rsidRPr="00DD4DE1">
              <w:rPr>
                <w:rFonts w:ascii="Times New Roman" w:hAnsi="Times New Roman"/>
                <w:color w:val="000000"/>
              </w:rPr>
              <w:t>060</w:t>
            </w:r>
          </w:p>
        </w:tc>
        <w:tc>
          <w:tcPr>
            <w:tcW w:w="4271" w:type="pct"/>
            <w:gridSpan w:val="2"/>
            <w:tcBorders>
              <w:top w:val="single" w:sz="4" w:space="0" w:color="auto"/>
            </w:tcBorders>
            <w:shd w:val="clear" w:color="auto" w:fill="auto"/>
          </w:tcPr>
          <w:p w14:paraId="2D80056A" w14:textId="77777777" w:rsidR="00A344AA" w:rsidRPr="00DD4DE1" w:rsidRDefault="00A344AA" w:rsidP="003A2647">
            <w:pPr>
              <w:spacing w:before="0" w:after="0"/>
              <w:rPr>
                <w:rFonts w:ascii="Times New Roman" w:hAnsi="Times New Roman"/>
                <w:b/>
                <w:szCs w:val="20"/>
                <w:u w:val="single"/>
              </w:rPr>
            </w:pPr>
            <w:r w:rsidRPr="00DD4DE1">
              <w:rPr>
                <w:rFonts w:ascii="Times New Roman" w:hAnsi="Times New Roman"/>
                <w:b/>
                <w:u w:val="single"/>
              </w:rPr>
              <w:t>Modtaget beløb</w:t>
            </w:r>
          </w:p>
          <w:p w14:paraId="235C86C1" w14:textId="77777777" w:rsidR="00A344AA" w:rsidRPr="00DD4DE1" w:rsidRDefault="00A344AA" w:rsidP="003A2647">
            <w:pPr>
              <w:spacing w:before="0" w:after="0"/>
              <w:rPr>
                <w:rFonts w:ascii="Times New Roman" w:hAnsi="Times New Roman"/>
                <w:b/>
                <w:szCs w:val="20"/>
                <w:u w:val="single"/>
              </w:rPr>
            </w:pPr>
          </w:p>
          <w:p w14:paraId="2FAA6C63" w14:textId="53EB1C12" w:rsidR="00A344AA" w:rsidRPr="00DD4DE1" w:rsidRDefault="00A344AA" w:rsidP="00763448">
            <w:pPr>
              <w:spacing w:before="0" w:after="0"/>
              <w:rPr>
                <w:rFonts w:ascii="Times New Roman" w:hAnsi="Times New Roman"/>
                <w:szCs w:val="20"/>
              </w:rPr>
            </w:pPr>
            <w:r w:rsidRPr="00DD4DE1">
              <w:rPr>
                <w:rFonts w:ascii="Times New Roman" w:hAnsi="Times New Roman"/>
              </w:rPr>
              <w:t xml:space="preserve">Finansiering i alt modtaget fra modparter indberettet i kolonne 010 skal angives i kolonne 060, og institutterne skal der indberette regnskabsmæssige værdier. </w:t>
            </w:r>
          </w:p>
          <w:p w14:paraId="380CD660" w14:textId="77777777" w:rsidR="00A344AA" w:rsidRPr="00DD4DE1" w:rsidRDefault="00A344AA" w:rsidP="003A2647">
            <w:pPr>
              <w:spacing w:before="0" w:after="0"/>
              <w:rPr>
                <w:rFonts w:ascii="Times New Roman" w:hAnsi="Times New Roman"/>
                <w:b/>
                <w:szCs w:val="20"/>
                <w:u w:val="single"/>
              </w:rPr>
            </w:pPr>
          </w:p>
        </w:tc>
      </w:tr>
      <w:tr w:rsidR="00A344AA" w:rsidRPr="00DD4DE1" w14:paraId="12BAF631" w14:textId="77777777" w:rsidTr="003F0706">
        <w:trPr>
          <w:trHeight w:val="1020"/>
        </w:trPr>
        <w:tc>
          <w:tcPr>
            <w:tcW w:w="729" w:type="pct"/>
            <w:shd w:val="clear" w:color="auto" w:fill="auto"/>
            <w:noWrap/>
          </w:tcPr>
          <w:p w14:paraId="24187AE3" w14:textId="77777777" w:rsidR="00A344AA" w:rsidRPr="00DD4DE1" w:rsidRDefault="00A344AA" w:rsidP="000B288B">
            <w:pPr>
              <w:spacing w:before="0" w:after="0"/>
              <w:jc w:val="left"/>
              <w:rPr>
                <w:rFonts w:ascii="Times New Roman" w:hAnsi="Times New Roman"/>
                <w:color w:val="000000"/>
                <w:szCs w:val="20"/>
              </w:rPr>
            </w:pPr>
            <w:r w:rsidRPr="00DD4DE1">
              <w:rPr>
                <w:rFonts w:ascii="Times New Roman" w:hAnsi="Times New Roman"/>
                <w:color w:val="000000"/>
              </w:rPr>
              <w:t>070</w:t>
            </w:r>
          </w:p>
        </w:tc>
        <w:tc>
          <w:tcPr>
            <w:tcW w:w="4271" w:type="pct"/>
            <w:gridSpan w:val="2"/>
            <w:shd w:val="clear" w:color="auto" w:fill="auto"/>
          </w:tcPr>
          <w:p w14:paraId="5A2F2CA2" w14:textId="7DA0BFAE" w:rsidR="00A344AA" w:rsidRPr="00DD4DE1" w:rsidRDefault="00A344AA" w:rsidP="003A2647">
            <w:pPr>
              <w:spacing w:before="0" w:after="0"/>
              <w:rPr>
                <w:rFonts w:ascii="Times New Roman" w:hAnsi="Times New Roman"/>
                <w:b/>
                <w:szCs w:val="20"/>
                <w:u w:val="single"/>
              </w:rPr>
            </w:pPr>
            <w:r w:rsidRPr="00DD4DE1">
              <w:rPr>
                <w:rFonts w:ascii="Times New Roman" w:hAnsi="Times New Roman"/>
                <w:b/>
                <w:u w:val="single"/>
              </w:rPr>
              <w:t>Vægtet gennemsnitlig oprindelig løbetid</w:t>
            </w:r>
          </w:p>
          <w:p w14:paraId="5ED01858" w14:textId="77777777" w:rsidR="00A344AA" w:rsidRPr="00DD4DE1" w:rsidRDefault="00A344AA" w:rsidP="003A2647">
            <w:pPr>
              <w:spacing w:before="0" w:after="0"/>
              <w:rPr>
                <w:rFonts w:ascii="Times New Roman" w:hAnsi="Times New Roman"/>
                <w:b/>
                <w:szCs w:val="20"/>
                <w:u w:val="single"/>
              </w:rPr>
            </w:pPr>
          </w:p>
          <w:p w14:paraId="7042CB79" w14:textId="1AE683FA" w:rsidR="00A344AA" w:rsidRPr="00DD4DE1" w:rsidRDefault="00A344AA" w:rsidP="003A2647">
            <w:pPr>
              <w:spacing w:before="0" w:after="0"/>
              <w:rPr>
                <w:rFonts w:ascii="Times New Roman" w:hAnsi="Times New Roman"/>
                <w:szCs w:val="20"/>
              </w:rPr>
            </w:pPr>
            <w:r w:rsidRPr="00DD4DE1">
              <w:rPr>
                <w:rFonts w:ascii="Times New Roman" w:hAnsi="Times New Roman"/>
              </w:rPr>
              <w:t>For den modtagne finansiering indberettet i kolonne 060 fra den i kolonne 010 indberettede modpart skal der i kolonne 070 angives en vægtet gennemsnitlig oprindelig løbetid.</w:t>
            </w:r>
          </w:p>
          <w:p w14:paraId="4D84C330" w14:textId="77777777" w:rsidR="00A344AA" w:rsidRPr="00DD4DE1" w:rsidRDefault="00A344AA" w:rsidP="003A2647">
            <w:pPr>
              <w:spacing w:before="0" w:after="0"/>
              <w:rPr>
                <w:rFonts w:ascii="Times New Roman" w:hAnsi="Times New Roman"/>
                <w:szCs w:val="20"/>
              </w:rPr>
            </w:pPr>
          </w:p>
          <w:p w14:paraId="7940E75E" w14:textId="645EFCBA" w:rsidR="00A344AA" w:rsidRPr="00DD4DE1" w:rsidRDefault="008563C0" w:rsidP="003A2647">
            <w:pPr>
              <w:spacing w:before="0" w:after="0"/>
              <w:rPr>
                <w:rFonts w:ascii="Times New Roman" w:hAnsi="Times New Roman"/>
                <w:szCs w:val="20"/>
              </w:rPr>
            </w:pPr>
            <w:r w:rsidRPr="00DD4DE1">
              <w:rPr>
                <w:rFonts w:ascii="Times New Roman" w:hAnsi="Times New Roman"/>
              </w:rPr>
              <w:t>Den vægtede gennemsnitlige oprindelige løbetid beregnes som den gennemsnitlige oprindelige løbetid (i dage) for den finansiering, der er modtaget fra den pågældende modpart. Gennemsnittet skal vægtes efter størrelse, baseret på størrelsen af forskellige modtagne finansieringsbeløb i forhold til den samlede finansiering, der er modtaget fra den pågældende modpart.</w:t>
            </w:r>
          </w:p>
          <w:p w14:paraId="49F906AC" w14:textId="77777777" w:rsidR="00A344AA" w:rsidRPr="00DD4DE1" w:rsidRDefault="00A344AA" w:rsidP="003A2647">
            <w:pPr>
              <w:spacing w:before="0" w:after="0"/>
              <w:rPr>
                <w:rFonts w:ascii="Times New Roman" w:hAnsi="Times New Roman"/>
                <w:szCs w:val="20"/>
              </w:rPr>
            </w:pPr>
          </w:p>
          <w:p w14:paraId="33D52360" w14:textId="6B07F50B" w:rsidR="00A344AA" w:rsidRPr="00DD4DE1" w:rsidRDefault="00A344AA" w:rsidP="003A2647">
            <w:pPr>
              <w:spacing w:before="0" w:after="0"/>
              <w:rPr>
                <w:rFonts w:ascii="Times New Roman" w:hAnsi="Times New Roman"/>
                <w:szCs w:val="20"/>
              </w:rPr>
            </w:pPr>
          </w:p>
        </w:tc>
      </w:tr>
      <w:tr w:rsidR="00A344AA" w:rsidRPr="00DD4DE1" w14:paraId="3227884A" w14:textId="77777777" w:rsidTr="00856DF7">
        <w:trPr>
          <w:trHeight w:val="1020"/>
        </w:trPr>
        <w:tc>
          <w:tcPr>
            <w:tcW w:w="729" w:type="pct"/>
            <w:tcBorders>
              <w:bottom w:val="single" w:sz="4" w:space="0" w:color="auto"/>
            </w:tcBorders>
            <w:shd w:val="clear" w:color="auto" w:fill="auto"/>
            <w:noWrap/>
          </w:tcPr>
          <w:p w14:paraId="298360E3" w14:textId="77777777" w:rsidR="00A344AA" w:rsidRPr="00DD4DE1" w:rsidRDefault="00A344AA" w:rsidP="000B288B">
            <w:pPr>
              <w:spacing w:before="0" w:after="0"/>
              <w:jc w:val="left"/>
              <w:rPr>
                <w:rFonts w:ascii="Times New Roman" w:hAnsi="Times New Roman"/>
                <w:color w:val="000000"/>
                <w:szCs w:val="20"/>
              </w:rPr>
            </w:pPr>
            <w:r w:rsidRPr="00DD4DE1">
              <w:rPr>
                <w:rFonts w:ascii="Times New Roman" w:hAnsi="Times New Roman"/>
                <w:color w:val="000000"/>
              </w:rPr>
              <w:t>080</w:t>
            </w:r>
          </w:p>
        </w:tc>
        <w:tc>
          <w:tcPr>
            <w:tcW w:w="4271" w:type="pct"/>
            <w:gridSpan w:val="2"/>
            <w:tcBorders>
              <w:bottom w:val="single" w:sz="4" w:space="0" w:color="auto"/>
            </w:tcBorders>
            <w:shd w:val="clear" w:color="auto" w:fill="auto"/>
          </w:tcPr>
          <w:p w14:paraId="3028A8F3" w14:textId="77777777" w:rsidR="00A344AA" w:rsidRPr="00DD4DE1" w:rsidRDefault="00A344AA" w:rsidP="003A2647">
            <w:pPr>
              <w:spacing w:before="0" w:after="0"/>
              <w:rPr>
                <w:rFonts w:ascii="Times New Roman" w:hAnsi="Times New Roman"/>
                <w:b/>
                <w:szCs w:val="20"/>
                <w:u w:val="single"/>
              </w:rPr>
            </w:pPr>
            <w:r w:rsidRPr="00DD4DE1">
              <w:rPr>
                <w:rFonts w:ascii="Times New Roman" w:hAnsi="Times New Roman"/>
                <w:b/>
                <w:u w:val="single"/>
              </w:rPr>
              <w:t>Vægtet gennemsnitlig restløbetid</w:t>
            </w:r>
          </w:p>
          <w:p w14:paraId="22E64CDE" w14:textId="77777777" w:rsidR="00A344AA" w:rsidRPr="00DD4DE1" w:rsidRDefault="00A344AA" w:rsidP="003A2647">
            <w:pPr>
              <w:spacing w:before="0" w:after="0"/>
              <w:rPr>
                <w:rFonts w:ascii="Times New Roman" w:hAnsi="Times New Roman"/>
                <w:b/>
                <w:szCs w:val="20"/>
                <w:u w:val="single"/>
              </w:rPr>
            </w:pPr>
          </w:p>
          <w:p w14:paraId="781FAB46" w14:textId="75715CD7" w:rsidR="00A344AA" w:rsidRPr="00DD4DE1" w:rsidRDefault="00A344AA" w:rsidP="003A2647">
            <w:pPr>
              <w:spacing w:before="0" w:after="0"/>
              <w:rPr>
                <w:rFonts w:ascii="Times New Roman" w:hAnsi="Times New Roman"/>
                <w:szCs w:val="20"/>
              </w:rPr>
            </w:pPr>
            <w:r w:rsidRPr="00DD4DE1">
              <w:rPr>
                <w:rFonts w:ascii="Times New Roman" w:hAnsi="Times New Roman"/>
              </w:rPr>
              <w:t>For den modtagne finansiering indberettet i kolonne 060 fra den i kolonne 010 indberettede modpart skal der i kolonne 080 angives en vægtet gennemsnitlig restløbetid i antal dage.</w:t>
            </w:r>
          </w:p>
          <w:p w14:paraId="71FA9955" w14:textId="77777777" w:rsidR="00A344AA" w:rsidRPr="00DD4DE1" w:rsidRDefault="00A344AA" w:rsidP="003A2647">
            <w:pPr>
              <w:spacing w:before="0" w:after="0"/>
              <w:rPr>
                <w:rFonts w:ascii="Times New Roman" w:hAnsi="Times New Roman"/>
                <w:szCs w:val="20"/>
              </w:rPr>
            </w:pPr>
          </w:p>
          <w:p w14:paraId="35D94A4A" w14:textId="5B1D2D39" w:rsidR="00A344AA" w:rsidRPr="00DD4DE1" w:rsidRDefault="009C059B" w:rsidP="003A2647">
            <w:pPr>
              <w:spacing w:before="0" w:after="0"/>
              <w:rPr>
                <w:rFonts w:ascii="Times New Roman" w:hAnsi="Times New Roman"/>
                <w:szCs w:val="20"/>
              </w:rPr>
            </w:pPr>
            <w:r w:rsidRPr="00DD4DE1">
              <w:rPr>
                <w:rFonts w:ascii="Times New Roman" w:hAnsi="Times New Roman"/>
              </w:rPr>
              <w:t>Den vægtede gennemsnitlige restløbetid beregnes som den gennemsnitlige løbetid i resterende dage for den finansiering, der er modtaget fra den pågældende modpart. Gennemsnittet skal vægtes efter størrelse, baseret på størrelsen af forskellige modtagne finansieringsbeløb i forhold til den samlede finansiering, der er modtaget fra den pågældende modpart.</w:t>
            </w:r>
          </w:p>
          <w:p w14:paraId="6C03CED3" w14:textId="77777777" w:rsidR="00A344AA" w:rsidRPr="00DD4DE1" w:rsidRDefault="00A344AA" w:rsidP="003A2647">
            <w:pPr>
              <w:spacing w:before="0" w:after="0"/>
              <w:rPr>
                <w:rFonts w:ascii="Times New Roman" w:hAnsi="Times New Roman"/>
                <w:szCs w:val="20"/>
              </w:rPr>
            </w:pPr>
          </w:p>
          <w:p w14:paraId="4CB0B549" w14:textId="16B9E4AA" w:rsidR="00A344AA" w:rsidRPr="00DD4DE1" w:rsidRDefault="00A344AA" w:rsidP="003A2647">
            <w:pPr>
              <w:spacing w:before="0" w:after="0"/>
              <w:rPr>
                <w:rFonts w:ascii="Times New Roman" w:hAnsi="Times New Roman"/>
                <w:b/>
                <w:szCs w:val="20"/>
                <w:u w:val="single"/>
              </w:rPr>
            </w:pPr>
          </w:p>
        </w:tc>
      </w:tr>
    </w:tbl>
    <w:p w14:paraId="0520EE98" w14:textId="77777777" w:rsidR="00A344AA" w:rsidRPr="00DD4DE1" w:rsidRDefault="00A344AA" w:rsidP="00A344AA">
      <w:pPr>
        <w:pStyle w:val="Instructionsberschrift2"/>
        <w:numPr>
          <w:ilvl w:val="1"/>
          <w:numId w:val="2"/>
        </w:numPr>
        <w:spacing w:before="0"/>
        <w:rPr>
          <w:rFonts w:ascii="Times New Roman" w:hAnsi="Times New Roman" w:cs="Times New Roman"/>
          <w:szCs w:val="20"/>
        </w:rPr>
      </w:pPr>
      <w:r w:rsidRPr="00DD4DE1">
        <w:rPr>
          <w:rFonts w:ascii="Times New Roman" w:hAnsi="Times New Roman" w:cs="Times New Roman"/>
        </w:rPr>
        <w:lastRenderedPageBreak/>
        <w:t>Koncentration af finansiering efter produkttype (C 68.00)</w:t>
      </w:r>
    </w:p>
    <w:p w14:paraId="5B6DFC15" w14:textId="095CCDBC" w:rsidR="00A344AA" w:rsidRPr="00DD4DE1" w:rsidRDefault="00A344AA" w:rsidP="00DE2988">
      <w:pPr>
        <w:pStyle w:val="InstructionsText2"/>
        <w:numPr>
          <w:ilvl w:val="0"/>
          <w:numId w:val="13"/>
        </w:numPr>
        <w:rPr>
          <w:szCs w:val="20"/>
          <w:u w:val="none"/>
        </w:rPr>
      </w:pPr>
      <w:r w:rsidRPr="00DD4DE1">
        <w:rPr>
          <w:u w:val="none"/>
        </w:rPr>
        <w:t>Formålet med dette skema er at indsamle oplysninger om det indberettende instituts koncentration af finansiering efter produkttype, opdelt efter de finansieringstyper, der er angivet i følgende rækkeinstrukser: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3439C5" w:rsidRPr="00DD4DE1"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DD4DE1" w:rsidRDefault="003439C5" w:rsidP="00D75947">
            <w:pPr>
              <w:spacing w:before="0" w:after="0"/>
              <w:jc w:val="left"/>
              <w:rPr>
                <w:rStyle w:val="InstructionsTabelleText"/>
                <w:rFonts w:ascii="Times New Roman" w:hAnsi="Times New Roman"/>
                <w:szCs w:val="20"/>
              </w:rPr>
            </w:pPr>
            <w:r w:rsidRPr="00DD4DE1">
              <w:rPr>
                <w:rStyle w:val="InstructionsTabelleText"/>
                <w:rFonts w:ascii="Times New Roman" w:hAnsi="Times New Roman"/>
              </w:rPr>
              <w:t>Række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DD4DE1" w:rsidRDefault="003439C5" w:rsidP="00D75947">
            <w:pPr>
              <w:spacing w:before="0" w:after="0"/>
              <w:jc w:val="left"/>
              <w:rPr>
                <w:rStyle w:val="InstructionsTabelleText"/>
                <w:rFonts w:ascii="Times New Roman" w:hAnsi="Times New Roman"/>
                <w:szCs w:val="20"/>
              </w:rPr>
            </w:pPr>
            <w:r w:rsidRPr="00DD4DE1">
              <w:rPr>
                <w:rStyle w:val="InstructionsTabelleText"/>
                <w:rFonts w:ascii="Times New Roman" w:hAnsi="Times New Roman"/>
              </w:rPr>
              <w:t>Henvisninger til retsakter og instrukser</w:t>
            </w:r>
          </w:p>
        </w:tc>
      </w:tr>
      <w:tr w:rsidR="003439C5" w:rsidRPr="00DD4DE1"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DD4DE1" w:rsidRDefault="003439C5" w:rsidP="00D75947">
            <w:pPr>
              <w:spacing w:before="0" w:after="0"/>
              <w:jc w:val="left"/>
              <w:rPr>
                <w:rFonts w:ascii="Times New Roman" w:hAnsi="Times New Roman"/>
                <w:color w:val="000000"/>
                <w:szCs w:val="20"/>
              </w:rPr>
            </w:pPr>
            <w:r w:rsidRPr="00DD4DE1">
              <w:rPr>
                <w:rFonts w:ascii="Times New Roman" w:hAnsi="Times New Roman"/>
                <w:color w:val="00000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DD4DE1" w:rsidRDefault="003439C5" w:rsidP="00D75947">
            <w:pPr>
              <w:spacing w:before="0" w:after="0"/>
              <w:rPr>
                <w:rFonts w:ascii="Times New Roman" w:hAnsi="Times New Roman"/>
                <w:b/>
                <w:szCs w:val="20"/>
                <w:u w:val="single"/>
              </w:rPr>
            </w:pPr>
            <w:r w:rsidRPr="00DD4DE1">
              <w:rPr>
                <w:rFonts w:ascii="Times New Roman" w:hAnsi="Times New Roman"/>
                <w:b/>
                <w:u w:val="single"/>
              </w:rPr>
              <w:t>1.</w:t>
            </w:r>
            <w:r w:rsidRPr="00DD4DE1">
              <w:rPr>
                <w:rFonts w:ascii="Times New Roman" w:hAnsi="Times New Roman"/>
              </w:rPr>
              <w:tab/>
            </w:r>
            <w:r w:rsidRPr="00DD4DE1">
              <w:rPr>
                <w:rFonts w:ascii="Times New Roman" w:hAnsi="Times New Roman"/>
                <w:b/>
                <w:u w:val="single"/>
              </w:rPr>
              <w:t>Detailfinansiering</w:t>
            </w:r>
          </w:p>
          <w:p w14:paraId="7762E5FB" w14:textId="77777777" w:rsidR="003439C5" w:rsidRPr="00DD4DE1" w:rsidRDefault="003439C5" w:rsidP="00D75947">
            <w:pPr>
              <w:spacing w:before="0" w:after="0"/>
              <w:rPr>
                <w:rFonts w:ascii="Times New Roman" w:hAnsi="Times New Roman"/>
                <w:b/>
                <w:szCs w:val="20"/>
                <w:u w:val="single"/>
              </w:rPr>
            </w:pPr>
          </w:p>
          <w:p w14:paraId="281DC3E6" w14:textId="047B4283" w:rsidR="003439C5" w:rsidRPr="00DD4DE1" w:rsidRDefault="00E87A50" w:rsidP="00D75947">
            <w:pPr>
              <w:spacing w:before="0" w:after="0"/>
              <w:rPr>
                <w:rFonts w:ascii="Times New Roman" w:hAnsi="Times New Roman"/>
                <w:szCs w:val="20"/>
              </w:rPr>
            </w:pPr>
            <w:r w:rsidRPr="00DD4DE1">
              <w:rPr>
                <w:rFonts w:ascii="Times New Roman" w:hAnsi="Times New Roman"/>
              </w:rPr>
              <w:t>Detailindskud som defineret i artikel 3, stk. 8, i delegeret forordning (EU) 2015/61.</w:t>
            </w:r>
          </w:p>
          <w:p w14:paraId="18F10FD2" w14:textId="77777777" w:rsidR="003439C5" w:rsidRPr="00DD4DE1" w:rsidRDefault="003439C5" w:rsidP="00D75947">
            <w:pPr>
              <w:spacing w:before="0" w:after="0"/>
              <w:rPr>
                <w:rFonts w:ascii="Times New Roman" w:hAnsi="Times New Roman"/>
                <w:b/>
                <w:szCs w:val="20"/>
                <w:u w:val="single"/>
              </w:rPr>
            </w:pPr>
          </w:p>
        </w:tc>
      </w:tr>
      <w:tr w:rsidR="003439C5" w:rsidRPr="00DD4DE1"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DD4DE1" w:rsidRDefault="003439C5" w:rsidP="00D75947">
            <w:pPr>
              <w:spacing w:before="0" w:after="0"/>
              <w:jc w:val="left"/>
              <w:rPr>
                <w:rFonts w:ascii="Times New Roman" w:hAnsi="Times New Roman"/>
                <w:color w:val="000000"/>
                <w:szCs w:val="20"/>
              </w:rPr>
            </w:pPr>
            <w:r w:rsidRPr="00DD4DE1">
              <w:rPr>
                <w:rFonts w:ascii="Times New Roman" w:hAnsi="Times New Roman"/>
                <w:color w:val="00000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DD4DE1" w:rsidRDefault="00F40FD4" w:rsidP="003439C5">
            <w:pPr>
              <w:spacing w:before="0" w:after="0"/>
              <w:rPr>
                <w:rFonts w:ascii="Times New Roman" w:hAnsi="Times New Roman"/>
                <w:b/>
                <w:szCs w:val="20"/>
                <w:u w:val="single"/>
              </w:rPr>
            </w:pPr>
            <w:r w:rsidRPr="00DD4DE1">
              <w:rPr>
                <w:rFonts w:ascii="Times New Roman" w:hAnsi="Times New Roman"/>
                <w:b/>
                <w:u w:val="single"/>
              </w:rPr>
              <w:t>1.1</w:t>
            </w:r>
            <w:r w:rsidRPr="00DD4DE1">
              <w:rPr>
                <w:rFonts w:ascii="Times New Roman" w:hAnsi="Times New Roman"/>
              </w:rPr>
              <w:tab/>
            </w:r>
            <w:r w:rsidRPr="00DD4DE1">
              <w:rPr>
                <w:rFonts w:ascii="Times New Roman" w:hAnsi="Times New Roman"/>
                <w:b/>
                <w:u w:val="single"/>
              </w:rPr>
              <w:t>Heraf anfordringsindskud</w:t>
            </w:r>
          </w:p>
          <w:p w14:paraId="3D85DAFF" w14:textId="77777777" w:rsidR="003439C5" w:rsidRPr="00DD4DE1" w:rsidRDefault="003439C5" w:rsidP="00D75947">
            <w:pPr>
              <w:spacing w:before="0" w:after="0"/>
              <w:rPr>
                <w:rFonts w:ascii="Times New Roman" w:hAnsi="Times New Roman"/>
                <w:b/>
                <w:szCs w:val="20"/>
                <w:u w:val="single"/>
              </w:rPr>
            </w:pPr>
          </w:p>
          <w:p w14:paraId="6F473929" w14:textId="0E2878E2" w:rsidR="003439C5" w:rsidRPr="00DD4DE1" w:rsidRDefault="003439C5" w:rsidP="00E87A50">
            <w:pPr>
              <w:spacing w:before="0" w:after="0"/>
              <w:rPr>
                <w:rFonts w:ascii="Times New Roman" w:hAnsi="Times New Roman"/>
                <w:b/>
                <w:szCs w:val="20"/>
                <w:u w:val="single"/>
              </w:rPr>
            </w:pPr>
            <w:r w:rsidRPr="00DD4DE1">
              <w:rPr>
                <w:rFonts w:ascii="Times New Roman" w:hAnsi="Times New Roman"/>
              </w:rPr>
              <w:t>Den detailfinansiering i række 010, der er anfordringsindskud.</w:t>
            </w:r>
          </w:p>
        </w:tc>
      </w:tr>
      <w:tr w:rsidR="003439C5" w:rsidRPr="00DD4DE1"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DD4DE1" w:rsidRDefault="003439C5" w:rsidP="00D75947">
            <w:pPr>
              <w:spacing w:before="0" w:after="0"/>
              <w:jc w:val="left"/>
              <w:rPr>
                <w:rFonts w:ascii="Times New Roman" w:hAnsi="Times New Roman"/>
                <w:color w:val="000000"/>
                <w:szCs w:val="20"/>
              </w:rPr>
            </w:pPr>
            <w:r w:rsidRPr="00DD4DE1">
              <w:rPr>
                <w:rFonts w:ascii="Times New Roman" w:hAnsi="Times New Roman"/>
                <w:color w:val="00000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DD4DE1" w:rsidRDefault="00F40FD4" w:rsidP="003439C5">
            <w:pPr>
              <w:spacing w:before="0" w:after="0"/>
              <w:rPr>
                <w:rFonts w:ascii="Times New Roman" w:hAnsi="Times New Roman"/>
                <w:b/>
                <w:szCs w:val="20"/>
                <w:u w:val="single"/>
              </w:rPr>
            </w:pPr>
            <w:r w:rsidRPr="00DD4DE1">
              <w:rPr>
                <w:rFonts w:ascii="Times New Roman" w:hAnsi="Times New Roman"/>
                <w:b/>
                <w:u w:val="single"/>
              </w:rPr>
              <w:t>1.2</w:t>
            </w:r>
            <w:r w:rsidRPr="00DD4DE1">
              <w:rPr>
                <w:rFonts w:ascii="Times New Roman" w:hAnsi="Times New Roman"/>
              </w:rPr>
              <w:tab/>
            </w:r>
            <w:r w:rsidRPr="00DD4DE1">
              <w:rPr>
                <w:rFonts w:ascii="Times New Roman" w:hAnsi="Times New Roman"/>
                <w:b/>
                <w:u w:val="single"/>
              </w:rPr>
              <w:t>Heraf tidsindskud, der ikke kan hæves inden for de følgende 30 dage</w:t>
            </w:r>
          </w:p>
          <w:p w14:paraId="664C04FE" w14:textId="77777777" w:rsidR="003439C5" w:rsidRPr="00DD4DE1" w:rsidRDefault="003439C5" w:rsidP="00D75947">
            <w:pPr>
              <w:spacing w:before="0" w:after="0"/>
              <w:rPr>
                <w:rFonts w:ascii="Times New Roman" w:hAnsi="Times New Roman"/>
                <w:b/>
                <w:szCs w:val="20"/>
                <w:u w:val="single"/>
              </w:rPr>
            </w:pPr>
          </w:p>
          <w:p w14:paraId="3F7154EA" w14:textId="6CD4F7E9" w:rsidR="003439C5" w:rsidRPr="00DD4DE1" w:rsidRDefault="003439C5" w:rsidP="00F40FD4">
            <w:pPr>
              <w:spacing w:before="0" w:after="0"/>
              <w:rPr>
                <w:rFonts w:ascii="Times New Roman" w:hAnsi="Times New Roman"/>
                <w:b/>
                <w:szCs w:val="20"/>
                <w:u w:val="single"/>
              </w:rPr>
            </w:pPr>
            <w:r w:rsidRPr="00DD4DE1">
              <w:rPr>
                <w:rFonts w:ascii="Times New Roman" w:hAnsi="Times New Roman"/>
              </w:rPr>
              <w:t>Den detailfinansiering i række 010, der er tidsindskud, der ikke kan hæves inden for de følgende 30 dage.</w:t>
            </w:r>
          </w:p>
        </w:tc>
      </w:tr>
      <w:tr w:rsidR="003439C5" w:rsidRPr="00DD4DE1" w14:paraId="69E1811C" w14:textId="77777777" w:rsidTr="00D75947">
        <w:trPr>
          <w:trHeight w:val="1020"/>
        </w:trPr>
        <w:tc>
          <w:tcPr>
            <w:tcW w:w="729" w:type="pct"/>
            <w:shd w:val="clear" w:color="auto" w:fill="auto"/>
            <w:noWrap/>
          </w:tcPr>
          <w:p w14:paraId="3DFA3BE5" w14:textId="7508042F" w:rsidR="003439C5" w:rsidRPr="00DD4DE1" w:rsidRDefault="003439C5" w:rsidP="00D75947">
            <w:pPr>
              <w:spacing w:before="0" w:after="0"/>
              <w:jc w:val="left"/>
              <w:rPr>
                <w:rFonts w:ascii="Times New Roman" w:hAnsi="Times New Roman"/>
                <w:color w:val="000000"/>
                <w:szCs w:val="20"/>
              </w:rPr>
            </w:pPr>
            <w:r w:rsidRPr="00DD4DE1">
              <w:rPr>
                <w:rFonts w:ascii="Times New Roman" w:hAnsi="Times New Roman"/>
                <w:color w:val="000000"/>
              </w:rPr>
              <w:t>041</w:t>
            </w:r>
          </w:p>
        </w:tc>
        <w:tc>
          <w:tcPr>
            <w:tcW w:w="4271" w:type="pct"/>
            <w:shd w:val="clear" w:color="auto" w:fill="auto"/>
          </w:tcPr>
          <w:p w14:paraId="155ED8D2" w14:textId="349C1C2A" w:rsidR="003439C5" w:rsidRPr="00DD4DE1" w:rsidRDefault="00F40FD4" w:rsidP="003439C5">
            <w:pPr>
              <w:spacing w:before="0" w:after="0"/>
              <w:rPr>
                <w:rFonts w:ascii="Times New Roman" w:hAnsi="Times New Roman"/>
                <w:b/>
                <w:szCs w:val="20"/>
                <w:u w:val="single"/>
              </w:rPr>
            </w:pPr>
            <w:r w:rsidRPr="00DD4DE1">
              <w:rPr>
                <w:rFonts w:ascii="Times New Roman" w:hAnsi="Times New Roman"/>
                <w:b/>
                <w:u w:val="single"/>
              </w:rPr>
              <w:t>1.3</w:t>
            </w:r>
            <w:r w:rsidRPr="00DD4DE1">
              <w:rPr>
                <w:rFonts w:ascii="Times New Roman" w:hAnsi="Times New Roman"/>
              </w:rPr>
              <w:tab/>
            </w:r>
            <w:r w:rsidRPr="00DD4DE1">
              <w:rPr>
                <w:rFonts w:ascii="Times New Roman" w:hAnsi="Times New Roman"/>
                <w:b/>
                <w:u w:val="single"/>
              </w:rPr>
              <w:t>Heraf tidsindskud, der kan hæves inden for de følgende 30 dage</w:t>
            </w:r>
          </w:p>
          <w:p w14:paraId="16BCACF7" w14:textId="77777777" w:rsidR="003439C5" w:rsidRPr="00DD4DE1" w:rsidRDefault="003439C5" w:rsidP="003439C5">
            <w:pPr>
              <w:spacing w:before="0" w:after="0"/>
              <w:rPr>
                <w:rFonts w:ascii="Times New Roman" w:hAnsi="Times New Roman"/>
                <w:b/>
                <w:szCs w:val="20"/>
                <w:u w:val="single"/>
              </w:rPr>
            </w:pPr>
          </w:p>
          <w:p w14:paraId="291A1D44" w14:textId="0FAEC826" w:rsidR="003439C5" w:rsidRPr="00DD4DE1" w:rsidRDefault="00F40FD4" w:rsidP="00F40FD4">
            <w:pPr>
              <w:spacing w:before="0" w:after="0"/>
              <w:rPr>
                <w:rFonts w:ascii="Times New Roman" w:hAnsi="Times New Roman"/>
                <w:szCs w:val="20"/>
              </w:rPr>
            </w:pPr>
            <w:r w:rsidRPr="00DD4DE1">
              <w:rPr>
                <w:rFonts w:ascii="Times New Roman" w:hAnsi="Times New Roman"/>
              </w:rPr>
              <w:t>Den detailfinansiering i række 010, der er tidsindskud, der kan hæves inden for de følgende 30 dage.</w:t>
            </w:r>
          </w:p>
        </w:tc>
      </w:tr>
      <w:tr w:rsidR="003439C5" w:rsidRPr="00DD4DE1" w14:paraId="10740494" w14:textId="77777777" w:rsidTr="00D75947">
        <w:trPr>
          <w:trHeight w:val="1020"/>
        </w:trPr>
        <w:tc>
          <w:tcPr>
            <w:tcW w:w="729" w:type="pct"/>
            <w:shd w:val="clear" w:color="auto" w:fill="auto"/>
            <w:noWrap/>
          </w:tcPr>
          <w:p w14:paraId="0B22ECFC" w14:textId="3166A4D3" w:rsidR="003439C5" w:rsidRPr="00DD4DE1" w:rsidRDefault="003439C5" w:rsidP="00DD136C">
            <w:pPr>
              <w:spacing w:before="0" w:after="0"/>
              <w:jc w:val="left"/>
              <w:rPr>
                <w:rFonts w:ascii="Times New Roman" w:hAnsi="Times New Roman"/>
                <w:color w:val="000000"/>
                <w:szCs w:val="20"/>
              </w:rPr>
            </w:pPr>
            <w:r w:rsidRPr="00DD4DE1">
              <w:rPr>
                <w:rFonts w:ascii="Times New Roman" w:hAnsi="Times New Roman"/>
                <w:color w:val="000000"/>
              </w:rPr>
              <w:t>070</w:t>
            </w:r>
          </w:p>
        </w:tc>
        <w:tc>
          <w:tcPr>
            <w:tcW w:w="4271" w:type="pct"/>
            <w:shd w:val="clear" w:color="auto" w:fill="auto"/>
          </w:tcPr>
          <w:p w14:paraId="7A9B7AD4" w14:textId="3B4D9F47" w:rsidR="003439C5" w:rsidRPr="00DD4DE1" w:rsidRDefault="00F40FD4" w:rsidP="003439C5">
            <w:pPr>
              <w:spacing w:before="0" w:after="0"/>
              <w:rPr>
                <w:rFonts w:ascii="Times New Roman" w:hAnsi="Times New Roman"/>
                <w:b/>
                <w:szCs w:val="20"/>
                <w:u w:val="single"/>
              </w:rPr>
            </w:pPr>
            <w:r w:rsidRPr="00DD4DE1">
              <w:rPr>
                <w:rFonts w:ascii="Times New Roman" w:hAnsi="Times New Roman"/>
                <w:b/>
                <w:u w:val="single"/>
              </w:rPr>
              <w:t>1.4</w:t>
            </w:r>
            <w:r w:rsidRPr="00DD4DE1">
              <w:rPr>
                <w:rFonts w:ascii="Times New Roman" w:hAnsi="Times New Roman"/>
              </w:rPr>
              <w:tab/>
            </w:r>
            <w:r w:rsidRPr="00DD4DE1">
              <w:rPr>
                <w:rFonts w:ascii="Times New Roman" w:hAnsi="Times New Roman"/>
                <w:b/>
                <w:u w:val="single"/>
              </w:rPr>
              <w:t>Heraf opsparingskonti med et af følgende karakteristika</w:t>
            </w:r>
          </w:p>
          <w:p w14:paraId="1715A370" w14:textId="77777777" w:rsidR="003439C5" w:rsidRPr="00DD4DE1" w:rsidRDefault="003439C5" w:rsidP="00D75947">
            <w:pPr>
              <w:spacing w:before="0" w:after="0"/>
              <w:rPr>
                <w:rFonts w:ascii="Times New Roman" w:hAnsi="Times New Roman"/>
                <w:b/>
                <w:szCs w:val="20"/>
                <w:u w:val="single"/>
              </w:rPr>
            </w:pPr>
          </w:p>
          <w:p w14:paraId="1F5A77EE" w14:textId="77777777" w:rsidR="00F40FD4" w:rsidRPr="00DD4DE1" w:rsidRDefault="00F40FD4" w:rsidP="00E87A50">
            <w:pPr>
              <w:spacing w:before="0" w:after="0"/>
              <w:rPr>
                <w:rFonts w:ascii="Times New Roman" w:hAnsi="Times New Roman"/>
                <w:szCs w:val="20"/>
              </w:rPr>
            </w:pPr>
            <w:r w:rsidRPr="00DD4DE1">
              <w:rPr>
                <w:rFonts w:ascii="Times New Roman" w:hAnsi="Times New Roman"/>
              </w:rPr>
              <w:t>Den detailfinansiering i række 010, der er opsparingskonti med et af følgende karakteristika:</w:t>
            </w:r>
          </w:p>
          <w:p w14:paraId="7001BAD2" w14:textId="2A97E8F3" w:rsidR="003439C5" w:rsidRPr="00DD4DE1" w:rsidRDefault="00F40FD4" w:rsidP="00E87A50">
            <w:pPr>
              <w:spacing w:before="0" w:after="0"/>
              <w:rPr>
                <w:rFonts w:ascii="Times New Roman" w:hAnsi="Times New Roman"/>
                <w:szCs w:val="20"/>
              </w:rPr>
            </w:pPr>
            <w:r w:rsidRPr="00DD4DE1">
              <w:rPr>
                <w:rFonts w:ascii="Times New Roman" w:hAnsi="Times New Roman"/>
              </w:rPr>
              <w:t>- med en opsigelsesfrist på over 30 dage</w:t>
            </w:r>
          </w:p>
          <w:p w14:paraId="471376E8" w14:textId="6B5CE87D" w:rsidR="00F40FD4" w:rsidRPr="00DD4DE1" w:rsidRDefault="00F40FD4" w:rsidP="00E87A50">
            <w:pPr>
              <w:spacing w:before="0" w:after="0"/>
              <w:rPr>
                <w:rFonts w:ascii="Times New Roman" w:hAnsi="Times New Roman"/>
                <w:szCs w:val="20"/>
              </w:rPr>
            </w:pPr>
            <w:r w:rsidRPr="00DD4DE1">
              <w:rPr>
                <w:rFonts w:ascii="Times New Roman" w:hAnsi="Times New Roman"/>
              </w:rPr>
              <w:t xml:space="preserve">- uden en opsigelsesfrist på over 30 dage </w:t>
            </w:r>
          </w:p>
          <w:p w14:paraId="73B00647" w14:textId="77777777" w:rsidR="00B96DDB" w:rsidRPr="00DD4DE1" w:rsidRDefault="00B96DDB" w:rsidP="00E87A50">
            <w:pPr>
              <w:spacing w:before="0" w:after="0"/>
              <w:rPr>
                <w:rFonts w:ascii="Times New Roman" w:hAnsi="Times New Roman"/>
                <w:szCs w:val="20"/>
              </w:rPr>
            </w:pPr>
          </w:p>
          <w:p w14:paraId="393C0E32" w14:textId="77777777" w:rsidR="00B96DDB" w:rsidRPr="00DD4DE1" w:rsidRDefault="00B96DDB" w:rsidP="00B96DDB">
            <w:pPr>
              <w:spacing w:before="0" w:after="0"/>
              <w:rPr>
                <w:rFonts w:ascii="Times New Roman" w:hAnsi="Times New Roman"/>
                <w:szCs w:val="20"/>
              </w:rPr>
            </w:pPr>
            <w:r w:rsidRPr="00DD4DE1">
              <w:rPr>
                <w:rFonts w:ascii="Times New Roman" w:hAnsi="Times New Roman"/>
              </w:rPr>
              <w:t>Denne række indberettes ikke.</w:t>
            </w:r>
          </w:p>
          <w:p w14:paraId="0D6901BA" w14:textId="77777777" w:rsidR="003439C5" w:rsidRPr="00DD4DE1" w:rsidRDefault="003439C5" w:rsidP="00D75947">
            <w:pPr>
              <w:spacing w:before="0" w:after="0"/>
              <w:rPr>
                <w:rFonts w:ascii="Times New Roman" w:hAnsi="Times New Roman"/>
                <w:b/>
                <w:szCs w:val="20"/>
                <w:u w:val="single"/>
              </w:rPr>
            </w:pPr>
          </w:p>
        </w:tc>
      </w:tr>
      <w:tr w:rsidR="003439C5" w:rsidRPr="00DD4DE1" w14:paraId="36C0FB22" w14:textId="77777777" w:rsidTr="00D75947">
        <w:trPr>
          <w:trHeight w:val="1020"/>
        </w:trPr>
        <w:tc>
          <w:tcPr>
            <w:tcW w:w="729" w:type="pct"/>
            <w:shd w:val="clear" w:color="auto" w:fill="auto"/>
            <w:noWrap/>
          </w:tcPr>
          <w:p w14:paraId="167C152B" w14:textId="7FCDBA6F" w:rsidR="003439C5" w:rsidRPr="00DD4DE1" w:rsidRDefault="003439C5" w:rsidP="00DD136C">
            <w:pPr>
              <w:spacing w:before="0" w:after="0"/>
              <w:jc w:val="left"/>
              <w:rPr>
                <w:rFonts w:ascii="Times New Roman" w:hAnsi="Times New Roman"/>
                <w:color w:val="000000"/>
                <w:szCs w:val="20"/>
              </w:rPr>
            </w:pPr>
            <w:r w:rsidRPr="00DD4DE1">
              <w:rPr>
                <w:rFonts w:ascii="Times New Roman" w:hAnsi="Times New Roman"/>
                <w:color w:val="000000"/>
              </w:rPr>
              <w:t>080</w:t>
            </w:r>
          </w:p>
        </w:tc>
        <w:tc>
          <w:tcPr>
            <w:tcW w:w="4271" w:type="pct"/>
            <w:shd w:val="clear" w:color="auto" w:fill="auto"/>
          </w:tcPr>
          <w:p w14:paraId="208924A1" w14:textId="4E469B33" w:rsidR="003439C5" w:rsidRPr="00DD4DE1" w:rsidRDefault="00F40FD4" w:rsidP="003439C5">
            <w:pPr>
              <w:spacing w:before="0" w:after="0"/>
              <w:rPr>
                <w:rFonts w:ascii="Times New Roman" w:hAnsi="Times New Roman"/>
                <w:b/>
                <w:szCs w:val="20"/>
                <w:u w:val="single"/>
              </w:rPr>
            </w:pPr>
            <w:r w:rsidRPr="00DD4DE1">
              <w:rPr>
                <w:rFonts w:ascii="Times New Roman" w:hAnsi="Times New Roman"/>
                <w:b/>
                <w:u w:val="single"/>
              </w:rPr>
              <w:t xml:space="preserve">1.4.1 </w:t>
            </w:r>
            <w:r w:rsidRPr="00DD4DE1">
              <w:rPr>
                <w:rFonts w:ascii="Times New Roman" w:hAnsi="Times New Roman"/>
              </w:rPr>
              <w:tab/>
            </w:r>
            <w:r w:rsidRPr="00DD4DE1">
              <w:rPr>
                <w:rFonts w:ascii="Times New Roman" w:hAnsi="Times New Roman"/>
                <w:b/>
                <w:u w:val="single"/>
              </w:rPr>
              <w:t>Med en opsigelsesfrist på over 30 dage</w:t>
            </w:r>
          </w:p>
          <w:p w14:paraId="2CB5668A" w14:textId="468A8913" w:rsidR="00F40FD4" w:rsidRPr="00DD4DE1" w:rsidRDefault="00F40FD4" w:rsidP="00F40FD4">
            <w:pPr>
              <w:spacing w:before="0" w:after="0"/>
              <w:rPr>
                <w:rFonts w:ascii="Times New Roman" w:hAnsi="Times New Roman"/>
                <w:szCs w:val="20"/>
              </w:rPr>
            </w:pPr>
            <w:r w:rsidRPr="00DD4DE1">
              <w:rPr>
                <w:rFonts w:ascii="Times New Roman" w:hAnsi="Times New Roman"/>
              </w:rPr>
              <w:t>Den detailfinansiering i række 010, der er opsparingskonti med en opsigelsesfrist på over 30 dage.</w:t>
            </w:r>
          </w:p>
          <w:p w14:paraId="3144C832" w14:textId="3416971B" w:rsidR="003439C5" w:rsidRPr="00DD4DE1" w:rsidRDefault="003439C5" w:rsidP="00E87A50">
            <w:pPr>
              <w:spacing w:before="0" w:after="0"/>
              <w:rPr>
                <w:rFonts w:ascii="Times New Roman" w:hAnsi="Times New Roman"/>
                <w:b/>
                <w:szCs w:val="20"/>
                <w:u w:val="single"/>
              </w:rPr>
            </w:pPr>
          </w:p>
        </w:tc>
      </w:tr>
      <w:tr w:rsidR="003439C5" w:rsidRPr="00DD4DE1" w14:paraId="29C0B503" w14:textId="77777777" w:rsidTr="00D75947">
        <w:trPr>
          <w:trHeight w:val="1020"/>
        </w:trPr>
        <w:tc>
          <w:tcPr>
            <w:tcW w:w="729" w:type="pct"/>
            <w:shd w:val="clear" w:color="auto" w:fill="auto"/>
            <w:noWrap/>
          </w:tcPr>
          <w:p w14:paraId="6665A670" w14:textId="5C7948D3" w:rsidR="003439C5" w:rsidRPr="00DD4DE1" w:rsidRDefault="003439C5" w:rsidP="00DD136C">
            <w:pPr>
              <w:spacing w:before="0" w:after="0"/>
              <w:jc w:val="left"/>
              <w:rPr>
                <w:rFonts w:ascii="Times New Roman" w:hAnsi="Times New Roman"/>
                <w:color w:val="000000"/>
                <w:szCs w:val="20"/>
              </w:rPr>
            </w:pPr>
            <w:r w:rsidRPr="00DD4DE1">
              <w:rPr>
                <w:rFonts w:ascii="Times New Roman" w:hAnsi="Times New Roman"/>
                <w:color w:val="000000"/>
              </w:rPr>
              <w:t>090</w:t>
            </w:r>
          </w:p>
        </w:tc>
        <w:tc>
          <w:tcPr>
            <w:tcW w:w="4271" w:type="pct"/>
            <w:shd w:val="clear" w:color="auto" w:fill="auto"/>
          </w:tcPr>
          <w:p w14:paraId="41FDDED5" w14:textId="0D19B3DF" w:rsidR="003439C5" w:rsidRPr="00DD4DE1" w:rsidRDefault="00F40FD4" w:rsidP="003439C5">
            <w:pPr>
              <w:spacing w:before="0" w:after="0"/>
              <w:rPr>
                <w:rFonts w:ascii="Times New Roman" w:hAnsi="Times New Roman"/>
                <w:b/>
                <w:szCs w:val="20"/>
                <w:u w:val="single"/>
              </w:rPr>
            </w:pPr>
            <w:r w:rsidRPr="00DD4DE1">
              <w:rPr>
                <w:rFonts w:ascii="Times New Roman" w:hAnsi="Times New Roman"/>
                <w:b/>
                <w:u w:val="single"/>
              </w:rPr>
              <w:t xml:space="preserve">1.4.2 </w:t>
            </w:r>
            <w:r w:rsidRPr="00DD4DE1">
              <w:rPr>
                <w:rFonts w:ascii="Times New Roman" w:hAnsi="Times New Roman"/>
              </w:rPr>
              <w:tab/>
            </w:r>
            <w:r w:rsidRPr="00DD4DE1">
              <w:rPr>
                <w:rFonts w:ascii="Times New Roman" w:hAnsi="Times New Roman"/>
                <w:b/>
                <w:u w:val="single"/>
              </w:rPr>
              <w:t>Uden en opsigelsesfrist på over 30 dage</w:t>
            </w:r>
          </w:p>
          <w:p w14:paraId="435A673F" w14:textId="77777777" w:rsidR="003439C5" w:rsidRPr="00DD4DE1" w:rsidRDefault="003439C5" w:rsidP="003439C5">
            <w:pPr>
              <w:spacing w:before="0" w:after="0"/>
              <w:rPr>
                <w:rFonts w:ascii="Times New Roman" w:hAnsi="Times New Roman"/>
                <w:b/>
                <w:szCs w:val="20"/>
                <w:u w:val="single"/>
              </w:rPr>
            </w:pPr>
          </w:p>
          <w:p w14:paraId="1B1078F3" w14:textId="218E6A80" w:rsidR="003439C5" w:rsidRPr="00DD4DE1" w:rsidRDefault="00F40FD4" w:rsidP="00E87A50">
            <w:pPr>
              <w:spacing w:before="0" w:after="0"/>
              <w:rPr>
                <w:rFonts w:ascii="Times New Roman" w:hAnsi="Times New Roman"/>
                <w:szCs w:val="20"/>
              </w:rPr>
            </w:pPr>
            <w:r w:rsidRPr="00DD4DE1">
              <w:rPr>
                <w:rFonts w:ascii="Times New Roman" w:hAnsi="Times New Roman"/>
              </w:rPr>
              <w:t>Den detailfinansiering i række 010, der er opsparingskonti uden en opsigelsesfrist på over 30 dage.</w:t>
            </w:r>
          </w:p>
          <w:p w14:paraId="64AF0787" w14:textId="77777777" w:rsidR="003439C5" w:rsidRPr="00DD4DE1" w:rsidRDefault="003439C5" w:rsidP="003439C5">
            <w:pPr>
              <w:spacing w:before="0" w:after="0"/>
              <w:rPr>
                <w:rFonts w:ascii="Times New Roman" w:hAnsi="Times New Roman"/>
                <w:b/>
                <w:szCs w:val="20"/>
                <w:u w:val="single"/>
              </w:rPr>
            </w:pPr>
          </w:p>
        </w:tc>
      </w:tr>
      <w:tr w:rsidR="003439C5" w:rsidRPr="00DD4DE1" w14:paraId="3EAE3ABC" w14:textId="77777777" w:rsidTr="00D75947">
        <w:trPr>
          <w:trHeight w:val="1020"/>
        </w:trPr>
        <w:tc>
          <w:tcPr>
            <w:tcW w:w="729" w:type="pct"/>
            <w:shd w:val="clear" w:color="auto" w:fill="auto"/>
            <w:noWrap/>
          </w:tcPr>
          <w:p w14:paraId="45013687" w14:textId="7E7DAB46" w:rsidR="003439C5" w:rsidRPr="00DD4DE1" w:rsidRDefault="00DD136C" w:rsidP="003439C5">
            <w:pPr>
              <w:spacing w:before="0" w:after="0"/>
              <w:jc w:val="left"/>
              <w:rPr>
                <w:rFonts w:ascii="Times New Roman" w:hAnsi="Times New Roman"/>
                <w:color w:val="000000"/>
                <w:szCs w:val="20"/>
              </w:rPr>
            </w:pPr>
            <w:r w:rsidRPr="00DD4DE1">
              <w:rPr>
                <w:rFonts w:ascii="Times New Roman" w:hAnsi="Times New Roman"/>
                <w:color w:val="000000"/>
              </w:rPr>
              <w:t>100</w:t>
            </w:r>
          </w:p>
        </w:tc>
        <w:tc>
          <w:tcPr>
            <w:tcW w:w="4271" w:type="pct"/>
            <w:shd w:val="clear" w:color="auto" w:fill="auto"/>
          </w:tcPr>
          <w:p w14:paraId="2DB2F0A4" w14:textId="7575F29E" w:rsidR="003439C5" w:rsidRPr="00DD4DE1" w:rsidRDefault="00F40FD4" w:rsidP="00D75947">
            <w:pPr>
              <w:spacing w:before="0" w:after="0"/>
              <w:rPr>
                <w:rFonts w:ascii="Times New Roman" w:hAnsi="Times New Roman"/>
                <w:b/>
                <w:szCs w:val="20"/>
                <w:u w:val="single"/>
              </w:rPr>
            </w:pPr>
            <w:r w:rsidRPr="00DD4DE1">
              <w:rPr>
                <w:rFonts w:ascii="Times New Roman" w:hAnsi="Times New Roman"/>
                <w:b/>
                <w:u w:val="single"/>
              </w:rPr>
              <w:t>2.</w:t>
            </w:r>
            <w:r w:rsidRPr="00DD4DE1">
              <w:rPr>
                <w:rFonts w:ascii="Times New Roman" w:hAnsi="Times New Roman"/>
              </w:rPr>
              <w:tab/>
            </w:r>
            <w:r w:rsidRPr="00DD4DE1">
              <w:rPr>
                <w:rFonts w:ascii="Times New Roman" w:hAnsi="Times New Roman"/>
                <w:b/>
                <w:u w:val="single"/>
              </w:rPr>
              <w:t>Følgende betragtes som engrosfinansiering:</w:t>
            </w:r>
          </w:p>
          <w:p w14:paraId="44C69ED7" w14:textId="77777777" w:rsidR="003439C5" w:rsidRPr="00DD4DE1" w:rsidRDefault="003439C5" w:rsidP="00D75947">
            <w:pPr>
              <w:spacing w:before="0" w:after="0"/>
              <w:rPr>
                <w:rFonts w:ascii="Times New Roman" w:hAnsi="Times New Roman"/>
                <w:b/>
                <w:szCs w:val="20"/>
                <w:u w:val="single"/>
              </w:rPr>
            </w:pPr>
          </w:p>
          <w:p w14:paraId="2A1113B0" w14:textId="2BCCD9C5" w:rsidR="006624FA" w:rsidRPr="00DD4DE1" w:rsidRDefault="006624FA" w:rsidP="006624FA">
            <w:pPr>
              <w:spacing w:before="0" w:after="0"/>
              <w:rPr>
                <w:rFonts w:ascii="Times New Roman" w:hAnsi="Times New Roman"/>
                <w:szCs w:val="20"/>
              </w:rPr>
            </w:pPr>
            <w:r w:rsidRPr="00DD4DE1">
              <w:rPr>
                <w:rFonts w:ascii="Times New Roman" w:hAnsi="Times New Roman"/>
              </w:rPr>
              <w:t xml:space="preserve">Alle andre modparter end dem for detailindskud som defineret i artikel 3, stk. 8, i delegeret forordning (EU) 2015/61.  </w:t>
            </w:r>
          </w:p>
          <w:p w14:paraId="70E19694" w14:textId="77777777" w:rsidR="00D75947" w:rsidRPr="00DD4DE1" w:rsidRDefault="00D75947" w:rsidP="006624FA">
            <w:pPr>
              <w:spacing w:before="0" w:after="0"/>
              <w:rPr>
                <w:rFonts w:ascii="Times New Roman" w:hAnsi="Times New Roman"/>
                <w:szCs w:val="20"/>
              </w:rPr>
            </w:pPr>
          </w:p>
          <w:p w14:paraId="195A99EA" w14:textId="4C20BC3D" w:rsidR="00D75947" w:rsidRPr="00DD4DE1" w:rsidRDefault="00D75947" w:rsidP="006624FA">
            <w:pPr>
              <w:spacing w:before="0" w:after="0"/>
              <w:rPr>
                <w:rFonts w:ascii="Times New Roman" w:hAnsi="Times New Roman"/>
                <w:szCs w:val="20"/>
              </w:rPr>
            </w:pPr>
            <w:r w:rsidRPr="00DD4DE1">
              <w:rPr>
                <w:rFonts w:ascii="Times New Roman" w:hAnsi="Times New Roman"/>
              </w:rPr>
              <w:t>Denne række indberettes ikke.</w:t>
            </w:r>
          </w:p>
          <w:p w14:paraId="5A95C4DD" w14:textId="50C842AE" w:rsidR="003439C5" w:rsidRPr="00DD4DE1" w:rsidRDefault="003439C5" w:rsidP="003439C5">
            <w:pPr>
              <w:spacing w:before="0" w:after="0"/>
              <w:rPr>
                <w:rFonts w:ascii="Times New Roman" w:hAnsi="Times New Roman"/>
                <w:b/>
                <w:szCs w:val="20"/>
                <w:u w:val="single"/>
              </w:rPr>
            </w:pPr>
          </w:p>
        </w:tc>
      </w:tr>
      <w:tr w:rsidR="003439C5" w:rsidRPr="00DD4DE1" w14:paraId="0F613C49" w14:textId="77777777" w:rsidTr="00D75947">
        <w:trPr>
          <w:trHeight w:val="1020"/>
        </w:trPr>
        <w:tc>
          <w:tcPr>
            <w:tcW w:w="729" w:type="pct"/>
            <w:shd w:val="clear" w:color="auto" w:fill="auto"/>
            <w:noWrap/>
          </w:tcPr>
          <w:p w14:paraId="4517EFDE" w14:textId="7DD7A036" w:rsidR="003439C5" w:rsidRPr="00DD4DE1" w:rsidRDefault="00DD136C" w:rsidP="003439C5">
            <w:pPr>
              <w:spacing w:before="0" w:after="0"/>
              <w:jc w:val="left"/>
              <w:rPr>
                <w:rFonts w:ascii="Times New Roman" w:hAnsi="Times New Roman"/>
                <w:color w:val="000000"/>
                <w:szCs w:val="20"/>
              </w:rPr>
            </w:pPr>
            <w:r w:rsidRPr="00DD4DE1">
              <w:rPr>
                <w:rFonts w:ascii="Times New Roman" w:hAnsi="Times New Roman"/>
                <w:color w:val="000000"/>
              </w:rPr>
              <w:t>110</w:t>
            </w:r>
          </w:p>
        </w:tc>
        <w:tc>
          <w:tcPr>
            <w:tcW w:w="4271" w:type="pct"/>
            <w:shd w:val="clear" w:color="auto" w:fill="auto"/>
          </w:tcPr>
          <w:p w14:paraId="123E76B1" w14:textId="0074CE4E" w:rsidR="003439C5" w:rsidRPr="00DD4DE1" w:rsidRDefault="00F40FD4" w:rsidP="00D75947">
            <w:pPr>
              <w:spacing w:before="0" w:after="0"/>
              <w:rPr>
                <w:rFonts w:ascii="Times New Roman" w:hAnsi="Times New Roman"/>
                <w:b/>
                <w:szCs w:val="20"/>
                <w:u w:val="single"/>
              </w:rPr>
            </w:pPr>
            <w:r w:rsidRPr="00DD4DE1">
              <w:rPr>
                <w:rFonts w:ascii="Times New Roman" w:hAnsi="Times New Roman"/>
                <w:b/>
                <w:u w:val="single"/>
              </w:rPr>
              <w:t>2.1</w:t>
            </w:r>
            <w:r w:rsidRPr="00DD4DE1">
              <w:rPr>
                <w:rFonts w:ascii="Times New Roman" w:hAnsi="Times New Roman"/>
              </w:rPr>
              <w:tab/>
            </w:r>
            <w:r w:rsidRPr="00DD4DE1">
              <w:rPr>
                <w:rFonts w:ascii="Times New Roman" w:hAnsi="Times New Roman"/>
                <w:b/>
                <w:u w:val="single"/>
              </w:rPr>
              <w:t>Usikret engrosfinansiering</w:t>
            </w:r>
          </w:p>
          <w:p w14:paraId="08EF0039" w14:textId="77777777" w:rsidR="00E87A50" w:rsidRPr="00DD4DE1" w:rsidRDefault="00E87A50" w:rsidP="00D75947">
            <w:pPr>
              <w:spacing w:before="0" w:after="0"/>
              <w:rPr>
                <w:rFonts w:ascii="Times New Roman" w:hAnsi="Times New Roman"/>
                <w:b/>
                <w:szCs w:val="20"/>
                <w:u w:val="single"/>
              </w:rPr>
            </w:pPr>
          </w:p>
          <w:p w14:paraId="765487C0" w14:textId="44FBCA3A" w:rsidR="00AD3ACF" w:rsidRPr="00DD4DE1" w:rsidRDefault="00AD3ACF" w:rsidP="00AD3ACF">
            <w:pPr>
              <w:spacing w:before="0" w:after="0"/>
              <w:rPr>
                <w:rFonts w:ascii="Times New Roman" w:hAnsi="Times New Roman"/>
                <w:szCs w:val="20"/>
              </w:rPr>
            </w:pPr>
            <w:r w:rsidRPr="00DD4DE1">
              <w:rPr>
                <w:rFonts w:ascii="Times New Roman" w:hAnsi="Times New Roman"/>
              </w:rPr>
              <w:t>Alle andre modparter end dem for detailindskud som defineret i artikel 3, stk. 8, i delegeret forordning (EU) 2015/61, hvor finansieringen er usikret.</w:t>
            </w:r>
          </w:p>
          <w:p w14:paraId="4259F037" w14:textId="77777777" w:rsidR="003439C5" w:rsidRPr="00DD4DE1" w:rsidRDefault="003439C5" w:rsidP="003439C5">
            <w:pPr>
              <w:spacing w:before="0" w:after="0"/>
              <w:rPr>
                <w:rFonts w:ascii="Times New Roman" w:hAnsi="Times New Roman"/>
                <w:b/>
                <w:szCs w:val="20"/>
                <w:u w:val="single"/>
              </w:rPr>
            </w:pPr>
          </w:p>
        </w:tc>
      </w:tr>
      <w:tr w:rsidR="003439C5" w:rsidRPr="00DD4DE1" w14:paraId="53E051F8" w14:textId="77777777" w:rsidTr="00D75947">
        <w:trPr>
          <w:trHeight w:val="1020"/>
        </w:trPr>
        <w:tc>
          <w:tcPr>
            <w:tcW w:w="729" w:type="pct"/>
            <w:shd w:val="clear" w:color="auto" w:fill="auto"/>
            <w:noWrap/>
          </w:tcPr>
          <w:p w14:paraId="6B94D89A" w14:textId="75267786" w:rsidR="003439C5" w:rsidRPr="00DD4DE1" w:rsidRDefault="00DD136C" w:rsidP="003439C5">
            <w:pPr>
              <w:spacing w:before="0" w:after="0"/>
              <w:jc w:val="left"/>
              <w:rPr>
                <w:rFonts w:ascii="Times New Roman" w:hAnsi="Times New Roman"/>
                <w:color w:val="000000"/>
                <w:szCs w:val="20"/>
              </w:rPr>
            </w:pPr>
            <w:r w:rsidRPr="00DD4DE1">
              <w:rPr>
                <w:rFonts w:ascii="Times New Roman" w:hAnsi="Times New Roman"/>
                <w:color w:val="000000"/>
              </w:rPr>
              <w:lastRenderedPageBreak/>
              <w:t>120</w:t>
            </w:r>
          </w:p>
        </w:tc>
        <w:tc>
          <w:tcPr>
            <w:tcW w:w="4271" w:type="pct"/>
            <w:shd w:val="clear" w:color="auto" w:fill="auto"/>
          </w:tcPr>
          <w:p w14:paraId="6C6FDC97" w14:textId="596DF847" w:rsidR="003439C5" w:rsidRPr="00DD4DE1" w:rsidRDefault="00F40FD4" w:rsidP="00D75947">
            <w:pPr>
              <w:spacing w:before="0" w:after="0"/>
              <w:rPr>
                <w:rFonts w:ascii="Times New Roman" w:hAnsi="Times New Roman"/>
                <w:b/>
                <w:szCs w:val="20"/>
                <w:u w:val="single"/>
              </w:rPr>
            </w:pPr>
            <w:r w:rsidRPr="00DD4DE1">
              <w:rPr>
                <w:rFonts w:ascii="Times New Roman" w:hAnsi="Times New Roman"/>
                <w:b/>
                <w:u w:val="single"/>
              </w:rPr>
              <w:t>2.1.1</w:t>
            </w:r>
            <w:r w:rsidRPr="00DD4DE1">
              <w:rPr>
                <w:rFonts w:ascii="Times New Roman" w:hAnsi="Times New Roman"/>
              </w:rPr>
              <w:tab/>
            </w:r>
            <w:r w:rsidRPr="00DD4DE1">
              <w:rPr>
                <w:rFonts w:ascii="Times New Roman" w:hAnsi="Times New Roman"/>
                <w:b/>
                <w:u w:val="single"/>
              </w:rPr>
              <w:t>Heraf lån og indskud fra finansielle kunder</w:t>
            </w:r>
          </w:p>
          <w:p w14:paraId="3BB695C9" w14:textId="77777777" w:rsidR="003439C5" w:rsidRPr="00DD4DE1" w:rsidRDefault="003439C5" w:rsidP="00D75947">
            <w:pPr>
              <w:spacing w:before="0" w:after="0"/>
              <w:rPr>
                <w:rFonts w:ascii="Times New Roman" w:hAnsi="Times New Roman"/>
                <w:b/>
                <w:szCs w:val="20"/>
                <w:u w:val="single"/>
              </w:rPr>
            </w:pPr>
          </w:p>
          <w:p w14:paraId="0788F5FB" w14:textId="3CF5EEE5" w:rsidR="00AD3ACF" w:rsidRPr="00DD4DE1" w:rsidRDefault="00AD3ACF" w:rsidP="00AD3ACF">
            <w:pPr>
              <w:spacing w:before="0" w:after="0"/>
              <w:rPr>
                <w:rFonts w:ascii="Times New Roman" w:hAnsi="Times New Roman"/>
                <w:szCs w:val="20"/>
              </w:rPr>
            </w:pPr>
            <w:r w:rsidRPr="00DD4DE1">
              <w:rPr>
                <w:rFonts w:ascii="Times New Roman" w:hAnsi="Times New Roman"/>
              </w:rPr>
              <w:t>Den finansiering i række 110, der består af lån og indskud fra finansielle kunder.</w:t>
            </w:r>
          </w:p>
          <w:p w14:paraId="1EBF28E1" w14:textId="77777777" w:rsidR="00D75947" w:rsidRPr="00DD4DE1" w:rsidRDefault="00D75947" w:rsidP="00AD3ACF">
            <w:pPr>
              <w:spacing w:before="0" w:after="0"/>
              <w:rPr>
                <w:rFonts w:ascii="Times New Roman" w:hAnsi="Times New Roman"/>
                <w:szCs w:val="20"/>
              </w:rPr>
            </w:pPr>
          </w:p>
          <w:p w14:paraId="268FF204" w14:textId="60AA5C50" w:rsidR="00D75947" w:rsidRPr="00DD4DE1" w:rsidRDefault="00D75947" w:rsidP="00AD3ACF">
            <w:pPr>
              <w:spacing w:before="0" w:after="0"/>
              <w:rPr>
                <w:rFonts w:ascii="Times New Roman" w:hAnsi="Times New Roman"/>
                <w:szCs w:val="20"/>
              </w:rPr>
            </w:pPr>
            <w:r w:rsidRPr="00DD4DE1">
              <w:rPr>
                <w:rFonts w:ascii="Times New Roman" w:hAnsi="Times New Roman"/>
              </w:rPr>
              <w:t xml:space="preserve">Finansiering fra centralbanker medtages ikke i denne række. </w:t>
            </w:r>
          </w:p>
          <w:p w14:paraId="4846816F" w14:textId="4CB99B55" w:rsidR="003439C5" w:rsidRPr="00DD4DE1" w:rsidRDefault="003439C5" w:rsidP="003439C5">
            <w:pPr>
              <w:spacing w:before="0" w:after="0"/>
              <w:rPr>
                <w:rFonts w:ascii="Times New Roman" w:hAnsi="Times New Roman"/>
                <w:b/>
                <w:szCs w:val="20"/>
                <w:u w:val="single"/>
              </w:rPr>
            </w:pPr>
          </w:p>
        </w:tc>
      </w:tr>
      <w:tr w:rsidR="003439C5" w:rsidRPr="00DD4DE1" w14:paraId="63BC41F1" w14:textId="77777777" w:rsidTr="00D75947">
        <w:trPr>
          <w:trHeight w:val="1020"/>
        </w:trPr>
        <w:tc>
          <w:tcPr>
            <w:tcW w:w="729" w:type="pct"/>
            <w:shd w:val="clear" w:color="auto" w:fill="auto"/>
            <w:noWrap/>
          </w:tcPr>
          <w:p w14:paraId="7837B5F4" w14:textId="08872ADF" w:rsidR="003439C5" w:rsidRPr="00DD4DE1" w:rsidRDefault="003439C5" w:rsidP="00DD136C">
            <w:pPr>
              <w:spacing w:before="0" w:after="0"/>
              <w:jc w:val="left"/>
              <w:rPr>
                <w:rFonts w:ascii="Times New Roman" w:hAnsi="Times New Roman"/>
                <w:color w:val="000000"/>
                <w:szCs w:val="20"/>
              </w:rPr>
            </w:pPr>
            <w:r w:rsidRPr="00DD4DE1">
              <w:rPr>
                <w:rFonts w:ascii="Times New Roman" w:hAnsi="Times New Roman"/>
                <w:color w:val="000000"/>
              </w:rPr>
              <w:t>130</w:t>
            </w:r>
          </w:p>
        </w:tc>
        <w:tc>
          <w:tcPr>
            <w:tcW w:w="4271" w:type="pct"/>
            <w:shd w:val="clear" w:color="auto" w:fill="auto"/>
          </w:tcPr>
          <w:p w14:paraId="06A755FB" w14:textId="502C771C" w:rsidR="003439C5" w:rsidRPr="00DD4DE1" w:rsidRDefault="00F40FD4" w:rsidP="00D75947">
            <w:pPr>
              <w:spacing w:before="0" w:after="0"/>
              <w:rPr>
                <w:rFonts w:ascii="Times New Roman" w:hAnsi="Times New Roman"/>
                <w:b/>
                <w:szCs w:val="20"/>
                <w:u w:val="single"/>
              </w:rPr>
            </w:pPr>
            <w:r w:rsidRPr="00DD4DE1">
              <w:rPr>
                <w:rFonts w:ascii="Times New Roman" w:hAnsi="Times New Roman"/>
                <w:b/>
                <w:u w:val="single"/>
              </w:rPr>
              <w:t>2.1.2</w:t>
            </w:r>
            <w:r w:rsidRPr="00DD4DE1">
              <w:rPr>
                <w:rFonts w:ascii="Times New Roman" w:hAnsi="Times New Roman"/>
              </w:rPr>
              <w:tab/>
            </w:r>
            <w:r w:rsidRPr="00DD4DE1">
              <w:rPr>
                <w:rFonts w:ascii="Times New Roman" w:hAnsi="Times New Roman"/>
                <w:b/>
                <w:u w:val="single"/>
              </w:rPr>
              <w:t>Heraf lån og indskud fra ikkefinansielle kunder</w:t>
            </w:r>
          </w:p>
          <w:p w14:paraId="02E65316" w14:textId="77777777" w:rsidR="003439C5" w:rsidRPr="00DD4DE1" w:rsidRDefault="003439C5" w:rsidP="00D75947">
            <w:pPr>
              <w:spacing w:before="0" w:after="0"/>
              <w:rPr>
                <w:rFonts w:ascii="Times New Roman" w:hAnsi="Times New Roman"/>
                <w:b/>
                <w:szCs w:val="20"/>
                <w:u w:val="single"/>
              </w:rPr>
            </w:pPr>
          </w:p>
          <w:p w14:paraId="6E637B97" w14:textId="1F384B1E" w:rsidR="00AD3ACF" w:rsidRPr="00DD4DE1" w:rsidRDefault="00AD3ACF" w:rsidP="00AD3ACF">
            <w:pPr>
              <w:spacing w:before="0" w:after="0"/>
              <w:rPr>
                <w:rFonts w:ascii="Times New Roman" w:hAnsi="Times New Roman"/>
                <w:szCs w:val="20"/>
              </w:rPr>
            </w:pPr>
            <w:r w:rsidRPr="00DD4DE1">
              <w:rPr>
                <w:rFonts w:ascii="Times New Roman" w:hAnsi="Times New Roman"/>
              </w:rPr>
              <w:t>Den finansiering i række 110, der består af lån og indskud fra ikkefinansielle kunder.</w:t>
            </w:r>
          </w:p>
          <w:p w14:paraId="4A6E9ABD" w14:textId="77777777" w:rsidR="00D75947" w:rsidRPr="00DD4DE1" w:rsidRDefault="00D75947" w:rsidP="00AD3ACF">
            <w:pPr>
              <w:spacing w:before="0" w:after="0"/>
              <w:rPr>
                <w:rFonts w:ascii="Times New Roman" w:hAnsi="Times New Roman"/>
                <w:szCs w:val="20"/>
              </w:rPr>
            </w:pPr>
          </w:p>
          <w:p w14:paraId="1033118A" w14:textId="655EE402" w:rsidR="00D75947" w:rsidRPr="00DD4DE1" w:rsidRDefault="00D75947" w:rsidP="00AD3ACF">
            <w:pPr>
              <w:spacing w:before="0" w:after="0"/>
              <w:rPr>
                <w:rFonts w:ascii="Times New Roman" w:hAnsi="Times New Roman"/>
                <w:szCs w:val="20"/>
              </w:rPr>
            </w:pPr>
            <w:r w:rsidRPr="00DD4DE1">
              <w:rPr>
                <w:rFonts w:ascii="Times New Roman" w:hAnsi="Times New Roman"/>
              </w:rPr>
              <w:t>Finansiering fra centralbanker medtages ikke i denne række.</w:t>
            </w:r>
          </w:p>
          <w:p w14:paraId="0C4C3C91" w14:textId="4533C6EE" w:rsidR="003439C5" w:rsidRPr="00DD4DE1" w:rsidRDefault="003439C5" w:rsidP="003439C5">
            <w:pPr>
              <w:spacing w:before="0" w:after="0"/>
              <w:rPr>
                <w:rFonts w:ascii="Times New Roman" w:hAnsi="Times New Roman"/>
                <w:b/>
                <w:szCs w:val="20"/>
                <w:u w:val="single"/>
              </w:rPr>
            </w:pPr>
          </w:p>
        </w:tc>
      </w:tr>
      <w:tr w:rsidR="003439C5" w:rsidRPr="00DD4DE1" w14:paraId="445F9D74" w14:textId="77777777" w:rsidTr="00D75947">
        <w:trPr>
          <w:trHeight w:val="1020"/>
        </w:trPr>
        <w:tc>
          <w:tcPr>
            <w:tcW w:w="729" w:type="pct"/>
            <w:shd w:val="clear" w:color="auto" w:fill="auto"/>
            <w:noWrap/>
          </w:tcPr>
          <w:p w14:paraId="6F6E6B72" w14:textId="51559B88" w:rsidR="003439C5" w:rsidRPr="00DD4DE1" w:rsidRDefault="00DD136C" w:rsidP="003439C5">
            <w:pPr>
              <w:spacing w:before="0" w:after="0"/>
              <w:jc w:val="left"/>
              <w:rPr>
                <w:rFonts w:ascii="Times New Roman" w:hAnsi="Times New Roman"/>
                <w:color w:val="000000"/>
                <w:szCs w:val="20"/>
              </w:rPr>
            </w:pPr>
            <w:r w:rsidRPr="00DD4DE1">
              <w:rPr>
                <w:rFonts w:ascii="Times New Roman" w:hAnsi="Times New Roman"/>
                <w:color w:val="000000"/>
              </w:rPr>
              <w:t>140</w:t>
            </w:r>
          </w:p>
        </w:tc>
        <w:tc>
          <w:tcPr>
            <w:tcW w:w="4271" w:type="pct"/>
            <w:shd w:val="clear" w:color="auto" w:fill="auto"/>
          </w:tcPr>
          <w:p w14:paraId="08468F41" w14:textId="34A0F0BB" w:rsidR="003439C5" w:rsidRPr="00DD4DE1" w:rsidRDefault="00F40FD4" w:rsidP="00D75947">
            <w:pPr>
              <w:spacing w:before="0" w:after="0"/>
              <w:rPr>
                <w:rFonts w:ascii="Times New Roman" w:hAnsi="Times New Roman"/>
                <w:b/>
                <w:szCs w:val="20"/>
                <w:u w:val="single"/>
              </w:rPr>
            </w:pPr>
            <w:r w:rsidRPr="00DD4DE1">
              <w:rPr>
                <w:rFonts w:ascii="Times New Roman" w:hAnsi="Times New Roman"/>
                <w:b/>
                <w:u w:val="single"/>
              </w:rPr>
              <w:t>2.1.3</w:t>
            </w:r>
            <w:r w:rsidRPr="00DD4DE1">
              <w:rPr>
                <w:rFonts w:ascii="Times New Roman" w:hAnsi="Times New Roman"/>
              </w:rPr>
              <w:tab/>
            </w:r>
            <w:r w:rsidRPr="00DD4DE1">
              <w:rPr>
                <w:rFonts w:ascii="Times New Roman" w:hAnsi="Times New Roman"/>
                <w:b/>
                <w:u w:val="single"/>
              </w:rPr>
              <w:t>Heraf lån og indskud fra koncerninterne enheder</w:t>
            </w:r>
          </w:p>
          <w:p w14:paraId="19D87853" w14:textId="77777777" w:rsidR="00AD3ACF" w:rsidRPr="00DD4DE1" w:rsidRDefault="00AD3ACF" w:rsidP="00AD3ACF">
            <w:pPr>
              <w:spacing w:before="0" w:after="0"/>
              <w:rPr>
                <w:rFonts w:ascii="Times New Roman" w:hAnsi="Times New Roman"/>
                <w:szCs w:val="20"/>
              </w:rPr>
            </w:pPr>
          </w:p>
          <w:p w14:paraId="1FDA6EC6" w14:textId="6EA4ADBF" w:rsidR="00AD3ACF" w:rsidRPr="00DD4DE1" w:rsidRDefault="00AD3ACF" w:rsidP="00AD3ACF">
            <w:pPr>
              <w:spacing w:before="0" w:after="0"/>
              <w:rPr>
                <w:rFonts w:ascii="Times New Roman" w:hAnsi="Times New Roman"/>
                <w:szCs w:val="20"/>
              </w:rPr>
            </w:pPr>
            <w:r w:rsidRPr="00DD4DE1">
              <w:rPr>
                <w:rFonts w:ascii="Times New Roman" w:hAnsi="Times New Roman"/>
              </w:rPr>
              <w:t>Den finansiering i række 110, der består af lån og indskud fra koncerninterne enheder.</w:t>
            </w:r>
          </w:p>
          <w:p w14:paraId="2FC0AC9F" w14:textId="77777777" w:rsidR="00274EE9" w:rsidRPr="00DD4DE1" w:rsidRDefault="00274EE9" w:rsidP="00AD3ACF">
            <w:pPr>
              <w:spacing w:before="0" w:after="0"/>
              <w:rPr>
                <w:rFonts w:ascii="Times New Roman" w:hAnsi="Times New Roman"/>
                <w:szCs w:val="20"/>
              </w:rPr>
            </w:pPr>
          </w:p>
          <w:p w14:paraId="7A1CF7E9" w14:textId="13D494D6" w:rsidR="003439C5" w:rsidRPr="00DD4DE1" w:rsidRDefault="00274EE9" w:rsidP="00274EE9">
            <w:pPr>
              <w:spacing w:before="0" w:after="0"/>
              <w:rPr>
                <w:rFonts w:ascii="Times New Roman" w:hAnsi="Times New Roman"/>
                <w:b/>
                <w:szCs w:val="20"/>
                <w:u w:val="single"/>
              </w:rPr>
            </w:pPr>
            <w:r w:rsidRPr="00DD4DE1">
              <w:rPr>
                <w:rFonts w:ascii="Times New Roman" w:hAnsi="Times New Roman"/>
              </w:rPr>
              <w:t>Engrosfinansiering fra koncerninterne enheder skal kun indberettes på individuelt eller delkonsolideret grundlag.</w:t>
            </w:r>
          </w:p>
        </w:tc>
      </w:tr>
      <w:tr w:rsidR="003439C5" w:rsidRPr="00DD4DE1" w14:paraId="658E2622" w14:textId="77777777" w:rsidTr="00D75947">
        <w:trPr>
          <w:trHeight w:val="1020"/>
        </w:trPr>
        <w:tc>
          <w:tcPr>
            <w:tcW w:w="729" w:type="pct"/>
            <w:shd w:val="clear" w:color="auto" w:fill="auto"/>
            <w:noWrap/>
          </w:tcPr>
          <w:p w14:paraId="1089A569" w14:textId="39FA57DE" w:rsidR="003439C5" w:rsidRPr="00DD4DE1" w:rsidRDefault="00DD136C" w:rsidP="003439C5">
            <w:pPr>
              <w:spacing w:before="0" w:after="0"/>
              <w:jc w:val="left"/>
              <w:rPr>
                <w:rFonts w:ascii="Times New Roman" w:hAnsi="Times New Roman"/>
                <w:color w:val="000000"/>
                <w:szCs w:val="20"/>
              </w:rPr>
            </w:pPr>
            <w:r w:rsidRPr="00DD4DE1">
              <w:rPr>
                <w:rFonts w:ascii="Times New Roman" w:hAnsi="Times New Roman"/>
                <w:color w:val="000000"/>
              </w:rPr>
              <w:t>150</w:t>
            </w:r>
          </w:p>
        </w:tc>
        <w:tc>
          <w:tcPr>
            <w:tcW w:w="4271" w:type="pct"/>
            <w:shd w:val="clear" w:color="auto" w:fill="auto"/>
          </w:tcPr>
          <w:p w14:paraId="46EF8EC5" w14:textId="6BBED536" w:rsidR="003439C5" w:rsidRPr="00DD4DE1" w:rsidRDefault="00F40FD4" w:rsidP="003439C5">
            <w:pPr>
              <w:spacing w:before="0" w:after="0"/>
              <w:rPr>
                <w:rFonts w:ascii="Times New Roman" w:hAnsi="Times New Roman"/>
                <w:b/>
                <w:szCs w:val="20"/>
                <w:u w:val="single"/>
              </w:rPr>
            </w:pPr>
            <w:r w:rsidRPr="00DD4DE1">
              <w:rPr>
                <w:rFonts w:ascii="Times New Roman" w:hAnsi="Times New Roman"/>
                <w:b/>
                <w:u w:val="single"/>
              </w:rPr>
              <w:t>2.2</w:t>
            </w:r>
            <w:r w:rsidRPr="00DD4DE1">
              <w:rPr>
                <w:rFonts w:ascii="Times New Roman" w:hAnsi="Times New Roman"/>
              </w:rPr>
              <w:tab/>
            </w:r>
            <w:r w:rsidRPr="00DD4DE1">
              <w:rPr>
                <w:rFonts w:ascii="Times New Roman" w:hAnsi="Times New Roman"/>
                <w:b/>
                <w:u w:val="single"/>
              </w:rPr>
              <w:t xml:space="preserve">Sikret engrosfinansiering </w:t>
            </w:r>
          </w:p>
          <w:p w14:paraId="4AE66107" w14:textId="77777777" w:rsidR="00274EE9" w:rsidRPr="00DD4DE1" w:rsidRDefault="00274EE9" w:rsidP="00274EE9">
            <w:pPr>
              <w:spacing w:before="0" w:after="0"/>
              <w:rPr>
                <w:rFonts w:ascii="Times New Roman" w:hAnsi="Times New Roman"/>
                <w:szCs w:val="20"/>
              </w:rPr>
            </w:pPr>
          </w:p>
          <w:p w14:paraId="235C9947" w14:textId="133A7734" w:rsidR="00274EE9" w:rsidRPr="00DD4DE1" w:rsidRDefault="00274EE9" w:rsidP="00274EE9">
            <w:pPr>
              <w:spacing w:before="0" w:after="0"/>
              <w:rPr>
                <w:rFonts w:ascii="Times New Roman" w:hAnsi="Times New Roman"/>
                <w:szCs w:val="20"/>
              </w:rPr>
            </w:pPr>
            <w:r w:rsidRPr="00DD4DE1">
              <w:rPr>
                <w:rFonts w:ascii="Times New Roman" w:hAnsi="Times New Roman"/>
              </w:rPr>
              <w:t>Alle andre modparter end dem for detailindskud som defineret i artikel 3, stk. 8, i delegeret forordning (EU) 2015/61, hvor finansieringen er sikret.</w:t>
            </w:r>
          </w:p>
          <w:p w14:paraId="0B9B72C2" w14:textId="273E7D60" w:rsidR="003439C5" w:rsidRPr="00DD4DE1" w:rsidRDefault="003439C5" w:rsidP="003439C5">
            <w:pPr>
              <w:spacing w:before="0" w:after="0"/>
              <w:rPr>
                <w:rFonts w:ascii="Times New Roman" w:hAnsi="Times New Roman"/>
                <w:b/>
                <w:szCs w:val="20"/>
                <w:u w:val="single"/>
              </w:rPr>
            </w:pPr>
          </w:p>
        </w:tc>
      </w:tr>
      <w:tr w:rsidR="003439C5" w:rsidRPr="00DD4DE1" w14:paraId="2EB68234" w14:textId="77777777" w:rsidTr="00D75947">
        <w:trPr>
          <w:trHeight w:val="1020"/>
        </w:trPr>
        <w:tc>
          <w:tcPr>
            <w:tcW w:w="729" w:type="pct"/>
            <w:shd w:val="clear" w:color="auto" w:fill="auto"/>
            <w:noWrap/>
          </w:tcPr>
          <w:p w14:paraId="62D3C328" w14:textId="1D97D2A1" w:rsidR="003439C5" w:rsidRPr="00DD4DE1" w:rsidRDefault="00DD136C" w:rsidP="003439C5">
            <w:pPr>
              <w:spacing w:before="0" w:after="0"/>
              <w:jc w:val="left"/>
              <w:rPr>
                <w:rFonts w:ascii="Times New Roman" w:hAnsi="Times New Roman"/>
                <w:color w:val="000000"/>
                <w:szCs w:val="20"/>
              </w:rPr>
            </w:pPr>
            <w:r w:rsidRPr="00DD4DE1">
              <w:rPr>
                <w:rFonts w:ascii="Times New Roman" w:hAnsi="Times New Roman"/>
                <w:color w:val="000000"/>
              </w:rPr>
              <w:t>160</w:t>
            </w:r>
          </w:p>
        </w:tc>
        <w:tc>
          <w:tcPr>
            <w:tcW w:w="4271" w:type="pct"/>
            <w:shd w:val="clear" w:color="auto" w:fill="auto"/>
          </w:tcPr>
          <w:p w14:paraId="26450696" w14:textId="61B5533B" w:rsidR="003439C5" w:rsidRPr="00DD4DE1" w:rsidRDefault="00F40FD4" w:rsidP="003439C5">
            <w:pPr>
              <w:spacing w:before="0" w:after="0"/>
              <w:rPr>
                <w:rFonts w:ascii="Times New Roman" w:hAnsi="Times New Roman"/>
                <w:b/>
                <w:szCs w:val="20"/>
                <w:u w:val="single"/>
              </w:rPr>
            </w:pPr>
            <w:r w:rsidRPr="00DD4DE1">
              <w:rPr>
                <w:rFonts w:ascii="Times New Roman" w:hAnsi="Times New Roman"/>
                <w:b/>
                <w:u w:val="single"/>
              </w:rPr>
              <w:t>2.2.1</w:t>
            </w:r>
            <w:r w:rsidRPr="00DD4DE1">
              <w:rPr>
                <w:rFonts w:ascii="Times New Roman" w:hAnsi="Times New Roman"/>
              </w:rPr>
              <w:tab/>
            </w:r>
            <w:r w:rsidRPr="00DD4DE1">
              <w:rPr>
                <w:rFonts w:ascii="Times New Roman" w:hAnsi="Times New Roman"/>
                <w:b/>
                <w:u w:val="single"/>
              </w:rPr>
              <w:t>Heraf vædipapirfinansieringstransaktioner</w:t>
            </w:r>
          </w:p>
          <w:p w14:paraId="07691F9D" w14:textId="77777777" w:rsidR="00274EE9" w:rsidRPr="00DD4DE1" w:rsidRDefault="00274EE9" w:rsidP="00274EE9">
            <w:pPr>
              <w:spacing w:before="0" w:after="0"/>
              <w:rPr>
                <w:rFonts w:ascii="Times New Roman" w:hAnsi="Times New Roman"/>
                <w:szCs w:val="20"/>
              </w:rPr>
            </w:pPr>
          </w:p>
          <w:p w14:paraId="56E76DB8" w14:textId="2CEF69E2" w:rsidR="00274EE9" w:rsidRPr="00DD4DE1" w:rsidRDefault="00274EE9" w:rsidP="00274EE9">
            <w:pPr>
              <w:spacing w:before="0" w:after="0"/>
              <w:rPr>
                <w:rFonts w:ascii="Times New Roman" w:hAnsi="Times New Roman"/>
                <w:szCs w:val="20"/>
              </w:rPr>
            </w:pPr>
            <w:r w:rsidRPr="00DD4DE1">
              <w:rPr>
                <w:rFonts w:ascii="Times New Roman" w:hAnsi="Times New Roman"/>
              </w:rPr>
              <w:t>Den finansiering i række 150, som er finansiering opnået gennem genkøbsaftaler som defineret i artikel 4, stk. 1, nr. 82), i forordning (EU) nr. 575/2013.</w:t>
            </w:r>
          </w:p>
          <w:p w14:paraId="70F2D3DC" w14:textId="6524FC14" w:rsidR="003439C5" w:rsidRPr="00DD4DE1" w:rsidRDefault="003439C5" w:rsidP="003439C5">
            <w:pPr>
              <w:spacing w:before="0" w:after="0"/>
              <w:rPr>
                <w:rFonts w:ascii="Times New Roman" w:hAnsi="Times New Roman"/>
                <w:b/>
                <w:szCs w:val="20"/>
                <w:u w:val="single"/>
              </w:rPr>
            </w:pPr>
          </w:p>
        </w:tc>
      </w:tr>
      <w:tr w:rsidR="003439C5" w:rsidRPr="00DD4DE1" w14:paraId="1B268195" w14:textId="77777777" w:rsidTr="00D75947">
        <w:trPr>
          <w:trHeight w:val="1020"/>
        </w:trPr>
        <w:tc>
          <w:tcPr>
            <w:tcW w:w="729" w:type="pct"/>
            <w:shd w:val="clear" w:color="auto" w:fill="auto"/>
            <w:noWrap/>
          </w:tcPr>
          <w:p w14:paraId="636EECA5" w14:textId="495BD9D1" w:rsidR="003439C5" w:rsidRPr="00DD4DE1" w:rsidRDefault="00DD136C" w:rsidP="003439C5">
            <w:pPr>
              <w:spacing w:before="0" w:after="0"/>
              <w:jc w:val="left"/>
              <w:rPr>
                <w:rFonts w:ascii="Times New Roman" w:hAnsi="Times New Roman"/>
                <w:color w:val="000000"/>
                <w:szCs w:val="20"/>
              </w:rPr>
            </w:pPr>
            <w:r w:rsidRPr="00DD4DE1">
              <w:rPr>
                <w:rFonts w:ascii="Times New Roman" w:hAnsi="Times New Roman"/>
                <w:color w:val="000000"/>
              </w:rPr>
              <w:t>170</w:t>
            </w:r>
          </w:p>
        </w:tc>
        <w:tc>
          <w:tcPr>
            <w:tcW w:w="4271" w:type="pct"/>
            <w:shd w:val="clear" w:color="auto" w:fill="auto"/>
          </w:tcPr>
          <w:p w14:paraId="3FE9A1CB" w14:textId="355DF6A4" w:rsidR="003439C5" w:rsidRPr="00DD4DE1" w:rsidRDefault="00F40FD4" w:rsidP="00D75947">
            <w:pPr>
              <w:spacing w:before="0" w:after="0"/>
              <w:rPr>
                <w:rFonts w:ascii="Times New Roman" w:hAnsi="Times New Roman"/>
                <w:b/>
                <w:szCs w:val="20"/>
                <w:u w:val="single"/>
              </w:rPr>
            </w:pPr>
            <w:r w:rsidRPr="00DD4DE1">
              <w:rPr>
                <w:rFonts w:ascii="Times New Roman" w:hAnsi="Times New Roman"/>
                <w:b/>
                <w:u w:val="single"/>
              </w:rPr>
              <w:t>2.2.2</w:t>
            </w:r>
            <w:r w:rsidRPr="00DD4DE1">
              <w:rPr>
                <w:rFonts w:ascii="Times New Roman" w:hAnsi="Times New Roman"/>
              </w:rPr>
              <w:tab/>
            </w:r>
            <w:r w:rsidRPr="00DD4DE1">
              <w:rPr>
                <w:rFonts w:ascii="Times New Roman" w:hAnsi="Times New Roman"/>
                <w:b/>
                <w:u w:val="single"/>
              </w:rPr>
              <w:t>Heraf udstedelse af særligt dækkede obligationer og særligt dækkede realkreditobligationer</w:t>
            </w:r>
          </w:p>
          <w:p w14:paraId="00F0B9AC" w14:textId="77777777" w:rsidR="003439C5" w:rsidRPr="00DD4DE1" w:rsidRDefault="003439C5" w:rsidP="00D75947">
            <w:pPr>
              <w:spacing w:before="0" w:after="0"/>
              <w:rPr>
                <w:rFonts w:ascii="Times New Roman" w:hAnsi="Times New Roman"/>
                <w:b/>
                <w:szCs w:val="20"/>
                <w:u w:val="single"/>
              </w:rPr>
            </w:pPr>
          </w:p>
          <w:p w14:paraId="31797266" w14:textId="46AA1F90" w:rsidR="003439C5" w:rsidRPr="00DD4DE1" w:rsidRDefault="00274EE9" w:rsidP="00A84FD7">
            <w:pPr>
              <w:spacing w:before="0" w:after="0"/>
              <w:rPr>
                <w:rFonts w:ascii="Times New Roman" w:hAnsi="Times New Roman"/>
                <w:b/>
                <w:szCs w:val="20"/>
                <w:u w:val="single"/>
              </w:rPr>
            </w:pPr>
            <w:r w:rsidRPr="00DD4DE1">
              <w:rPr>
                <w:rFonts w:ascii="Times New Roman" w:hAnsi="Times New Roman"/>
              </w:rPr>
              <w:t>Den finansiering i række 150, som er finansiering opnået på grundlag af udstedelse af obligationer som defineret i artikel 129, stk. 4 eller 5, i forordning (EU) nr. 575/2013 eller artikel 52, stk. 4, i direktiv 2009/65/EF.</w:t>
            </w:r>
          </w:p>
        </w:tc>
      </w:tr>
      <w:tr w:rsidR="003439C5" w:rsidRPr="00DD4DE1" w14:paraId="03D91A24" w14:textId="77777777" w:rsidTr="00D75947">
        <w:trPr>
          <w:trHeight w:val="1020"/>
        </w:trPr>
        <w:tc>
          <w:tcPr>
            <w:tcW w:w="729" w:type="pct"/>
            <w:shd w:val="clear" w:color="auto" w:fill="auto"/>
            <w:noWrap/>
          </w:tcPr>
          <w:p w14:paraId="66BC9574" w14:textId="666BAE99" w:rsidR="003439C5" w:rsidRPr="00DD4DE1" w:rsidRDefault="00DD136C" w:rsidP="003439C5">
            <w:pPr>
              <w:spacing w:before="0" w:after="0"/>
              <w:jc w:val="left"/>
              <w:rPr>
                <w:rFonts w:ascii="Times New Roman" w:hAnsi="Times New Roman"/>
                <w:color w:val="000000"/>
                <w:szCs w:val="20"/>
              </w:rPr>
            </w:pPr>
            <w:r w:rsidRPr="00DD4DE1">
              <w:rPr>
                <w:rFonts w:ascii="Times New Roman" w:hAnsi="Times New Roman"/>
                <w:color w:val="000000"/>
              </w:rPr>
              <w:t>180</w:t>
            </w:r>
          </w:p>
        </w:tc>
        <w:tc>
          <w:tcPr>
            <w:tcW w:w="4271" w:type="pct"/>
            <w:shd w:val="clear" w:color="auto" w:fill="auto"/>
          </w:tcPr>
          <w:p w14:paraId="6F3DFEBC" w14:textId="161D0230" w:rsidR="003439C5" w:rsidRPr="00DD4DE1" w:rsidRDefault="00F40FD4" w:rsidP="00D75947">
            <w:pPr>
              <w:spacing w:before="0" w:after="0"/>
              <w:rPr>
                <w:rFonts w:ascii="Times New Roman" w:hAnsi="Times New Roman"/>
                <w:b/>
                <w:szCs w:val="20"/>
                <w:u w:val="single"/>
              </w:rPr>
            </w:pPr>
            <w:r w:rsidRPr="00DD4DE1">
              <w:rPr>
                <w:rFonts w:ascii="Times New Roman" w:hAnsi="Times New Roman"/>
                <w:b/>
                <w:u w:val="single"/>
              </w:rPr>
              <w:t>2.2.3</w:t>
            </w:r>
            <w:r w:rsidRPr="00DD4DE1">
              <w:rPr>
                <w:rFonts w:ascii="Times New Roman" w:hAnsi="Times New Roman"/>
              </w:rPr>
              <w:tab/>
            </w:r>
            <w:r w:rsidRPr="00DD4DE1">
              <w:rPr>
                <w:rFonts w:ascii="Times New Roman" w:hAnsi="Times New Roman"/>
                <w:b/>
                <w:u w:val="single"/>
              </w:rPr>
              <w:t>Heraf udstedelse af værdipapirer med sikkerhed i aktiver (asset backed securities — ABS)</w:t>
            </w:r>
          </w:p>
          <w:p w14:paraId="38626DC8" w14:textId="77777777" w:rsidR="003439C5" w:rsidRPr="00DD4DE1" w:rsidRDefault="003439C5" w:rsidP="00D75947">
            <w:pPr>
              <w:spacing w:before="0" w:after="0"/>
              <w:rPr>
                <w:rFonts w:ascii="Times New Roman" w:hAnsi="Times New Roman"/>
                <w:b/>
                <w:szCs w:val="20"/>
                <w:u w:val="single"/>
              </w:rPr>
            </w:pPr>
          </w:p>
          <w:p w14:paraId="6BBE6FEF" w14:textId="4960AB33" w:rsidR="003439C5" w:rsidRPr="00DD4DE1" w:rsidRDefault="00274EE9" w:rsidP="00A84FD7">
            <w:pPr>
              <w:spacing w:before="0" w:after="0"/>
              <w:rPr>
                <w:rFonts w:ascii="Times New Roman" w:hAnsi="Times New Roman"/>
                <w:b/>
                <w:szCs w:val="20"/>
                <w:u w:val="single"/>
              </w:rPr>
            </w:pPr>
            <w:r w:rsidRPr="00DD4DE1">
              <w:rPr>
                <w:rFonts w:ascii="Times New Roman" w:hAnsi="Times New Roman"/>
              </w:rPr>
              <w:t>Den finansiering i række 150, som er finansiering opnået gennem udstedelse af værdipapirer med sikkerhed i aktiver, herunder også kortfristede gældsbreve (commercial paper) med sikkerhed i aktiver.</w:t>
            </w:r>
          </w:p>
        </w:tc>
      </w:tr>
      <w:tr w:rsidR="003439C5" w:rsidRPr="00DD4DE1" w14:paraId="597FCB34" w14:textId="77777777" w:rsidTr="00D75947">
        <w:trPr>
          <w:trHeight w:val="1020"/>
        </w:trPr>
        <w:tc>
          <w:tcPr>
            <w:tcW w:w="729" w:type="pct"/>
            <w:shd w:val="clear" w:color="auto" w:fill="auto"/>
            <w:noWrap/>
          </w:tcPr>
          <w:p w14:paraId="4E4276DD" w14:textId="58CFA0DA" w:rsidR="003439C5" w:rsidRPr="00DD4DE1" w:rsidRDefault="00DD136C" w:rsidP="003439C5">
            <w:pPr>
              <w:spacing w:before="0" w:after="0"/>
              <w:jc w:val="left"/>
              <w:rPr>
                <w:rFonts w:ascii="Times New Roman" w:hAnsi="Times New Roman"/>
                <w:color w:val="000000"/>
                <w:szCs w:val="20"/>
              </w:rPr>
            </w:pPr>
            <w:r w:rsidRPr="00DD4DE1">
              <w:rPr>
                <w:rFonts w:ascii="Times New Roman" w:hAnsi="Times New Roman"/>
                <w:color w:val="000000"/>
              </w:rPr>
              <w:t>190</w:t>
            </w:r>
          </w:p>
        </w:tc>
        <w:tc>
          <w:tcPr>
            <w:tcW w:w="4271" w:type="pct"/>
            <w:shd w:val="clear" w:color="auto" w:fill="auto"/>
          </w:tcPr>
          <w:p w14:paraId="4610D9F3" w14:textId="14BC2F12" w:rsidR="003439C5" w:rsidRPr="00DD4DE1" w:rsidRDefault="00F40FD4" w:rsidP="00D75947">
            <w:pPr>
              <w:spacing w:before="0" w:after="0"/>
              <w:rPr>
                <w:rFonts w:ascii="Times New Roman" w:hAnsi="Times New Roman"/>
                <w:b/>
                <w:szCs w:val="20"/>
                <w:u w:val="single"/>
              </w:rPr>
            </w:pPr>
            <w:r w:rsidRPr="00DD4DE1">
              <w:rPr>
                <w:rFonts w:ascii="Times New Roman" w:hAnsi="Times New Roman"/>
                <w:b/>
                <w:u w:val="single"/>
              </w:rPr>
              <w:t>2.2.4</w:t>
            </w:r>
            <w:r w:rsidRPr="00DD4DE1">
              <w:rPr>
                <w:rFonts w:ascii="Times New Roman" w:hAnsi="Times New Roman"/>
              </w:rPr>
              <w:tab/>
            </w:r>
            <w:r w:rsidRPr="00DD4DE1">
              <w:rPr>
                <w:rFonts w:ascii="Times New Roman" w:hAnsi="Times New Roman"/>
                <w:b/>
                <w:u w:val="single"/>
              </w:rPr>
              <w:t>Heraf lån og indskud fra koncerninterne enheder</w:t>
            </w:r>
          </w:p>
          <w:p w14:paraId="39B4FABF" w14:textId="77777777" w:rsidR="003439C5" w:rsidRPr="00DD4DE1" w:rsidRDefault="003439C5" w:rsidP="00D75947">
            <w:pPr>
              <w:spacing w:before="0" w:after="0"/>
              <w:rPr>
                <w:rFonts w:ascii="Times New Roman" w:hAnsi="Times New Roman"/>
                <w:b/>
                <w:szCs w:val="20"/>
                <w:u w:val="single"/>
              </w:rPr>
            </w:pPr>
          </w:p>
          <w:p w14:paraId="10DC82D6" w14:textId="0E3D5B9D" w:rsidR="003439C5" w:rsidRPr="00DD4DE1" w:rsidRDefault="00274EE9" w:rsidP="003439C5">
            <w:pPr>
              <w:spacing w:before="0" w:after="0"/>
              <w:rPr>
                <w:rFonts w:ascii="Times New Roman" w:hAnsi="Times New Roman"/>
                <w:szCs w:val="20"/>
              </w:rPr>
            </w:pPr>
            <w:r w:rsidRPr="00DD4DE1">
              <w:rPr>
                <w:rFonts w:ascii="Times New Roman" w:hAnsi="Times New Roman"/>
              </w:rPr>
              <w:t>Den finansiering i række 150, der er finansiering fra koncerninterne enheder.</w:t>
            </w:r>
          </w:p>
          <w:p w14:paraId="7693FB65" w14:textId="77777777" w:rsidR="00274EE9" w:rsidRPr="00DD4DE1" w:rsidRDefault="00274EE9" w:rsidP="003439C5">
            <w:pPr>
              <w:spacing w:before="0" w:after="0"/>
              <w:rPr>
                <w:rFonts w:ascii="Times New Roman" w:hAnsi="Times New Roman"/>
                <w:szCs w:val="20"/>
              </w:rPr>
            </w:pPr>
          </w:p>
          <w:p w14:paraId="2A9F2247" w14:textId="77777777" w:rsidR="00274EE9" w:rsidRPr="00DD4DE1" w:rsidRDefault="00274EE9" w:rsidP="003439C5">
            <w:pPr>
              <w:spacing w:before="0" w:after="0"/>
              <w:rPr>
                <w:rFonts w:ascii="Times New Roman" w:hAnsi="Times New Roman"/>
                <w:szCs w:val="20"/>
              </w:rPr>
            </w:pPr>
            <w:r w:rsidRPr="00DD4DE1">
              <w:rPr>
                <w:rFonts w:ascii="Times New Roman" w:hAnsi="Times New Roman"/>
              </w:rPr>
              <w:t>Engrosfinansiering fra koncerninterne enheder skal kun indberettes på individuelt eller delkonsolideret grundlag.</w:t>
            </w:r>
          </w:p>
          <w:p w14:paraId="66D6CCE8" w14:textId="326011FF" w:rsidR="00274EE9" w:rsidRPr="00DD4DE1" w:rsidRDefault="00274EE9" w:rsidP="003439C5">
            <w:pPr>
              <w:spacing w:before="0" w:after="0"/>
              <w:rPr>
                <w:rFonts w:ascii="Times New Roman" w:hAnsi="Times New Roman"/>
                <w:b/>
                <w:szCs w:val="20"/>
                <w:u w:val="single"/>
              </w:rPr>
            </w:pPr>
          </w:p>
        </w:tc>
      </w:tr>
    </w:tbl>
    <w:p w14:paraId="7D6D2F2B" w14:textId="77777777" w:rsidR="003439C5" w:rsidRPr="00DD4DE1" w:rsidRDefault="003439C5" w:rsidP="00DD136C">
      <w:pPr>
        <w:pStyle w:val="InstructionsText2"/>
        <w:numPr>
          <w:ilvl w:val="0"/>
          <w:numId w:val="0"/>
        </w:numPr>
        <w:ind w:left="714"/>
        <w:rPr>
          <w:szCs w:val="20"/>
          <w:u w:val="none"/>
        </w:rPr>
      </w:pPr>
    </w:p>
    <w:p w14:paraId="6D82C3A1" w14:textId="6F9861A6" w:rsidR="00A344AA" w:rsidRPr="00DD4DE1" w:rsidRDefault="00A344AA" w:rsidP="00DE2988">
      <w:pPr>
        <w:pStyle w:val="InstructionsText2"/>
        <w:numPr>
          <w:ilvl w:val="0"/>
          <w:numId w:val="13"/>
        </w:numPr>
        <w:rPr>
          <w:szCs w:val="20"/>
          <w:u w:val="none"/>
        </w:rPr>
      </w:pPr>
      <w:r w:rsidRPr="00DD4DE1">
        <w:rPr>
          <w:u w:val="none"/>
        </w:rPr>
        <w:t xml:space="preserve">Institutterne skal i skemaet indberette den samlede finansiering, som er modtaget fra hver produkttype, der overstiger en tærskel på 1 % af de samlede forpligtelser. </w:t>
      </w:r>
    </w:p>
    <w:p w14:paraId="4C97EC73" w14:textId="5A096FC4" w:rsidR="00A344AA" w:rsidRPr="00DD4DE1" w:rsidRDefault="00A344AA" w:rsidP="00476C32">
      <w:pPr>
        <w:pStyle w:val="InstructionsText2"/>
        <w:numPr>
          <w:ilvl w:val="0"/>
          <w:numId w:val="13"/>
        </w:numPr>
        <w:rPr>
          <w:szCs w:val="20"/>
          <w:u w:val="none"/>
        </w:rPr>
      </w:pPr>
      <w:r w:rsidRPr="00DD4DE1">
        <w:rPr>
          <w:u w:val="none"/>
        </w:rPr>
        <w:t>For hver produkttype skal institutterne indberette alle kolonner fra 010 til 050.</w:t>
      </w:r>
    </w:p>
    <w:p w14:paraId="2BCBF128" w14:textId="4AA518CD" w:rsidR="00EF0ADB" w:rsidRPr="00DD4DE1" w:rsidRDefault="00A344AA" w:rsidP="00EB2AD3">
      <w:pPr>
        <w:pStyle w:val="InstructionsText2"/>
        <w:numPr>
          <w:ilvl w:val="0"/>
          <w:numId w:val="13"/>
        </w:numPr>
        <w:rPr>
          <w:szCs w:val="20"/>
          <w:u w:val="none"/>
        </w:rPr>
      </w:pPr>
      <w:r w:rsidRPr="00DD4DE1">
        <w:rPr>
          <w:u w:val="none"/>
        </w:rPr>
        <w:t>Tærsklen på 1 % af de samlede forpligtelser, skal anvendes til at bestemme de produkter, fra hvilke der er opnået finansiering i overensstemmelse med følgende:</w:t>
      </w:r>
    </w:p>
    <w:p w14:paraId="3AF457D4" w14:textId="2BCBD01F" w:rsidR="00A344AA" w:rsidRPr="00DD4DE1" w:rsidRDefault="00EF0ADB" w:rsidP="00684947">
      <w:pPr>
        <w:pStyle w:val="InstructionsText2"/>
        <w:numPr>
          <w:ilvl w:val="0"/>
          <w:numId w:val="0"/>
        </w:numPr>
        <w:ind w:left="714"/>
        <w:rPr>
          <w:szCs w:val="20"/>
          <w:u w:val="none"/>
        </w:rPr>
      </w:pPr>
      <w:r w:rsidRPr="00DD4DE1">
        <w:rPr>
          <w:u w:val="none"/>
        </w:rPr>
        <w:t xml:space="preserve">a) Tærsklen på 1 % af de samlede forpligtelser skal anvendes for de produkter, der er omhandlet i samtlige følgende rækker: 1.1 "Anfordringsindskud", 1.2 "Tidsindskud, der ikke </w:t>
      </w:r>
      <w:r w:rsidRPr="00DD4DE1">
        <w:rPr>
          <w:u w:val="none"/>
        </w:rPr>
        <w:lastRenderedPageBreak/>
        <w:t xml:space="preserve">kan hæves inden for de følgende 30 dage", 1.3 "Tidsindskud i løbet af de følgende 30 dage", 1.4 "Opsparingskonti",  2.1 "Usikret engrosfinansiering", 2.2 "Sikret engrosfinansiering". </w:t>
      </w:r>
    </w:p>
    <w:p w14:paraId="7CD07C23" w14:textId="3CF106E1" w:rsidR="00EF0ADB" w:rsidRPr="00DD4DE1" w:rsidRDefault="00EF0ADB" w:rsidP="00684947">
      <w:pPr>
        <w:pStyle w:val="InstructionsText2"/>
        <w:numPr>
          <w:ilvl w:val="0"/>
          <w:numId w:val="0"/>
        </w:numPr>
        <w:ind w:left="714"/>
        <w:rPr>
          <w:szCs w:val="20"/>
          <w:u w:val="none"/>
        </w:rPr>
      </w:pPr>
      <w:r w:rsidRPr="00DD4DE1">
        <w:rPr>
          <w:u w:val="none"/>
        </w:rPr>
        <w:t>b) Med hensyn til beregningen af tærsklen på 1 % for samlede forpligtelser for række 1.4 "Opsparingskonti" skal tærsklen anvendes på summen af 1.4.og 1.4.2.</w:t>
      </w:r>
    </w:p>
    <w:p w14:paraId="636F886A" w14:textId="2E150A7D" w:rsidR="00AE0498" w:rsidRPr="00DD4DE1" w:rsidRDefault="00AE0498" w:rsidP="00684947">
      <w:pPr>
        <w:pStyle w:val="InstructionsText2"/>
        <w:numPr>
          <w:ilvl w:val="0"/>
          <w:numId w:val="0"/>
        </w:numPr>
        <w:ind w:left="714"/>
        <w:rPr>
          <w:szCs w:val="20"/>
          <w:u w:val="none"/>
        </w:rPr>
      </w:pPr>
      <w:r w:rsidRPr="00DD4DE1">
        <w:rPr>
          <w:u w:val="none"/>
        </w:rPr>
        <w:t>c) For række 1. "Detailfinansiering" og 2. "Engrosfinansiering" anvendes tærsklen på 1 % af samlede forpligtelser kun på aggregeret niveau.</w:t>
      </w:r>
    </w:p>
    <w:p w14:paraId="2935E76B" w14:textId="65226D7D" w:rsidR="00792E65" w:rsidRPr="00DD4DE1" w:rsidRDefault="00792E65" w:rsidP="00DE2988">
      <w:pPr>
        <w:pStyle w:val="InstructionsText2"/>
        <w:numPr>
          <w:ilvl w:val="0"/>
          <w:numId w:val="13"/>
        </w:numPr>
        <w:rPr>
          <w:szCs w:val="20"/>
          <w:u w:val="none"/>
        </w:rPr>
      </w:pPr>
      <w:r w:rsidRPr="00DD4DE1">
        <w:rPr>
          <w:u w:val="none"/>
        </w:rPr>
        <w:t xml:space="preserve">De tal, der indberettes i række 1. "Detail", 2.1 "Usikret engrosfinansiering" og 2.2 "Sikret engrosfinansiering", kan omfatte bredere produkttyper end de underliggende "heraf"-poster.  </w:t>
      </w:r>
    </w:p>
    <w:p w14:paraId="2FED639D" w14:textId="77777777" w:rsidR="00A344AA" w:rsidRPr="00DD4DE1" w:rsidRDefault="00A344AA" w:rsidP="00DE2988">
      <w:pPr>
        <w:pStyle w:val="InstructionsText2"/>
        <w:numPr>
          <w:ilvl w:val="0"/>
          <w:numId w:val="13"/>
        </w:numPr>
        <w:rPr>
          <w:szCs w:val="20"/>
          <w:u w:val="none"/>
        </w:rPr>
      </w:pPr>
      <w:r w:rsidRPr="00DD4DE1">
        <w:rPr>
          <w:u w:val="none"/>
        </w:rPr>
        <w:t>Instrukser vedrørende specifikke kolonner: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A344AA" w:rsidRPr="00DD4DE1"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DD4DE1" w:rsidRDefault="00A344AA" w:rsidP="00ED2EE2">
            <w:pPr>
              <w:spacing w:before="0" w:after="0"/>
              <w:jc w:val="left"/>
              <w:rPr>
                <w:rStyle w:val="InstructionsTabelleText"/>
                <w:rFonts w:ascii="Times New Roman" w:hAnsi="Times New Roman"/>
                <w:szCs w:val="20"/>
              </w:rPr>
            </w:pPr>
            <w:r w:rsidRPr="00DD4DE1">
              <w:rPr>
                <w:rStyle w:val="InstructionsTabelleText"/>
                <w:rFonts w:ascii="Times New Roman" w:hAnsi="Times New Roman"/>
              </w:rPr>
              <w:t>Kolonne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DD4DE1" w:rsidRDefault="00A344AA" w:rsidP="00ED2EE2">
            <w:pPr>
              <w:spacing w:before="0" w:after="0"/>
              <w:jc w:val="left"/>
              <w:rPr>
                <w:rStyle w:val="InstructionsTabelleText"/>
                <w:rFonts w:ascii="Times New Roman" w:hAnsi="Times New Roman"/>
                <w:szCs w:val="20"/>
              </w:rPr>
            </w:pPr>
            <w:r w:rsidRPr="00DD4DE1">
              <w:rPr>
                <w:rStyle w:val="InstructionsTabelleText"/>
                <w:rFonts w:ascii="Times New Roman" w:hAnsi="Times New Roman"/>
              </w:rPr>
              <w:t>Henvisninger til retsakter og instrukser</w:t>
            </w:r>
          </w:p>
        </w:tc>
      </w:tr>
      <w:tr w:rsidR="00A344AA" w:rsidRPr="00DD4DE1"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DD4DE1" w:rsidRDefault="00A344AA">
            <w:pPr>
              <w:spacing w:before="0" w:after="0"/>
              <w:jc w:val="left"/>
              <w:rPr>
                <w:rFonts w:ascii="Times New Roman" w:hAnsi="Times New Roman"/>
                <w:color w:val="000000"/>
                <w:szCs w:val="20"/>
              </w:rPr>
            </w:pPr>
            <w:r w:rsidRPr="00DD4DE1">
              <w:rPr>
                <w:rFonts w:ascii="Times New Roman" w:hAnsi="Times New Roman"/>
                <w:color w:val="00000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DD4DE1" w:rsidRDefault="00A344AA" w:rsidP="00476C32">
            <w:pPr>
              <w:spacing w:before="0" w:after="0"/>
              <w:rPr>
                <w:rFonts w:ascii="Times New Roman" w:hAnsi="Times New Roman"/>
                <w:b/>
                <w:szCs w:val="20"/>
                <w:u w:val="single"/>
              </w:rPr>
            </w:pPr>
            <w:r w:rsidRPr="00DD4DE1">
              <w:rPr>
                <w:rFonts w:ascii="Times New Roman" w:hAnsi="Times New Roman"/>
                <w:b/>
                <w:u w:val="single"/>
              </w:rPr>
              <w:t>Modtaget regnskabsmæssig værdi</w:t>
            </w:r>
          </w:p>
          <w:p w14:paraId="08CE1037" w14:textId="77777777" w:rsidR="00A344AA" w:rsidRPr="00DD4DE1" w:rsidRDefault="00A344AA" w:rsidP="00476C32">
            <w:pPr>
              <w:spacing w:before="0" w:after="0"/>
              <w:rPr>
                <w:rFonts w:ascii="Times New Roman" w:hAnsi="Times New Roman"/>
                <w:b/>
                <w:szCs w:val="20"/>
                <w:u w:val="single"/>
              </w:rPr>
            </w:pPr>
          </w:p>
          <w:p w14:paraId="3436EC68" w14:textId="77777777" w:rsidR="00A344AA" w:rsidRPr="00DD4DE1" w:rsidRDefault="00A344AA" w:rsidP="00476C32">
            <w:pPr>
              <w:spacing w:before="0" w:after="0"/>
              <w:rPr>
                <w:rFonts w:ascii="Times New Roman" w:hAnsi="Times New Roman"/>
                <w:szCs w:val="20"/>
              </w:rPr>
            </w:pPr>
            <w:r w:rsidRPr="00DD4DE1">
              <w:rPr>
                <w:rFonts w:ascii="Times New Roman" w:hAnsi="Times New Roman"/>
              </w:rPr>
              <w:t xml:space="preserve">Den regnskabsmæssige værdi af modtagen finansiering for hver af produktkategorierne i kolonnen "Produktnavn" skal indberettes i skemaets kolonne 010.  </w:t>
            </w:r>
          </w:p>
          <w:p w14:paraId="6450D0D1" w14:textId="583458BA" w:rsidR="00FC506E" w:rsidRPr="00DD4DE1" w:rsidRDefault="00FC506E" w:rsidP="00476C32">
            <w:pPr>
              <w:spacing w:before="0" w:after="0"/>
              <w:rPr>
                <w:rFonts w:ascii="Times New Roman" w:hAnsi="Times New Roman"/>
                <w:b/>
                <w:szCs w:val="20"/>
                <w:u w:val="single"/>
              </w:rPr>
            </w:pPr>
          </w:p>
        </w:tc>
      </w:tr>
      <w:tr w:rsidR="00A344AA" w:rsidRPr="00DD4DE1"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DD4DE1" w:rsidRDefault="00A344AA">
            <w:pPr>
              <w:spacing w:before="0" w:after="0"/>
              <w:jc w:val="left"/>
              <w:rPr>
                <w:rFonts w:ascii="Times New Roman" w:hAnsi="Times New Roman"/>
                <w:color w:val="000000"/>
                <w:szCs w:val="20"/>
              </w:rPr>
            </w:pPr>
            <w:r w:rsidRPr="00DD4DE1">
              <w:rPr>
                <w:rFonts w:ascii="Times New Roman" w:hAnsi="Times New Roman"/>
                <w:color w:val="00000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A344AA" w:rsidRPr="00DD4DE1" w:rsidRDefault="00A344AA" w:rsidP="00476C32">
            <w:pPr>
              <w:spacing w:before="0" w:after="0"/>
              <w:rPr>
                <w:rFonts w:ascii="Times New Roman" w:hAnsi="Times New Roman"/>
                <w:b/>
                <w:szCs w:val="20"/>
                <w:u w:val="single"/>
              </w:rPr>
            </w:pPr>
            <w:r w:rsidRPr="00DD4DE1">
              <w:rPr>
                <w:rFonts w:ascii="Times New Roman" w:hAnsi="Times New Roman"/>
                <w:b/>
                <w:u w:val="single"/>
              </w:rPr>
              <w:t>Beløb omfattet af en indskudsgarantiordning i henhold til direktiv 2014/49/EU eller en tilsvarende indskudsgarantiordning i et tredjeland</w:t>
            </w:r>
          </w:p>
          <w:p w14:paraId="3404C8DD" w14:textId="77777777" w:rsidR="00A344AA" w:rsidRPr="00DD4DE1" w:rsidRDefault="00A344AA" w:rsidP="00763448">
            <w:pPr>
              <w:spacing w:before="0" w:after="0"/>
              <w:rPr>
                <w:rFonts w:ascii="Times New Roman" w:hAnsi="Times New Roman"/>
                <w:b/>
                <w:szCs w:val="20"/>
                <w:u w:val="single"/>
              </w:rPr>
            </w:pPr>
          </w:p>
          <w:p w14:paraId="369A8E24" w14:textId="36123A01" w:rsidR="00A344AA" w:rsidRPr="00DD4DE1" w:rsidRDefault="00A344AA" w:rsidP="00490B62">
            <w:pPr>
              <w:spacing w:before="0" w:after="0"/>
              <w:rPr>
                <w:rFonts w:ascii="Times New Roman" w:hAnsi="Times New Roman"/>
                <w:szCs w:val="20"/>
              </w:rPr>
            </w:pPr>
            <w:r w:rsidRPr="00DD4DE1">
              <w:rPr>
                <w:rFonts w:ascii="Times New Roman" w:hAnsi="Times New Roman"/>
              </w:rPr>
              <w:t xml:space="preserve">Her angives, hvor stor en andel af den samlede finansiering angivet i kolonne 010, som er modtaget for hver af de i kolonnen "Produktnavn" anførte produktkategorier, der er omfattet af en indskudsgarantiordning i henhold til direktiv 2014/49/EU eller en tilsvarende indskudsgarantiordning i et tredjeland. </w:t>
            </w:r>
          </w:p>
          <w:p w14:paraId="624BDC55" w14:textId="77777777" w:rsidR="00A344AA" w:rsidRPr="00DD4DE1" w:rsidRDefault="00A344AA" w:rsidP="00490B62">
            <w:pPr>
              <w:spacing w:before="0" w:after="0"/>
              <w:rPr>
                <w:rFonts w:ascii="Times New Roman" w:hAnsi="Times New Roman"/>
                <w:szCs w:val="20"/>
              </w:rPr>
            </w:pPr>
          </w:p>
          <w:p w14:paraId="1350A03E" w14:textId="309AA59A" w:rsidR="00A344AA" w:rsidRPr="00DD4DE1" w:rsidRDefault="00A344AA" w:rsidP="00FA63BD">
            <w:pPr>
              <w:spacing w:before="0" w:after="0"/>
              <w:rPr>
                <w:rFonts w:ascii="Times New Roman" w:hAnsi="Times New Roman"/>
                <w:szCs w:val="20"/>
              </w:rPr>
            </w:pPr>
            <w:r w:rsidRPr="00DD4DE1">
              <w:rPr>
                <w:rFonts w:ascii="Times New Roman" w:hAnsi="Times New Roman"/>
              </w:rPr>
              <w:t>Bemærkning: De i kolonne 020 og kolonne 030 anførte beløb for hver af produktkategorierne i kolonnen "Produktnavn" skal svare til det indberettede samlede modtagne beløb i kolonne 010.</w:t>
            </w:r>
          </w:p>
          <w:p w14:paraId="17202B90" w14:textId="77777777" w:rsidR="00A344AA" w:rsidRPr="00DD4DE1" w:rsidRDefault="00A344AA" w:rsidP="00476C32">
            <w:pPr>
              <w:spacing w:before="0" w:after="0"/>
              <w:rPr>
                <w:rFonts w:ascii="Times New Roman" w:hAnsi="Times New Roman"/>
                <w:b/>
                <w:szCs w:val="20"/>
                <w:u w:val="single"/>
              </w:rPr>
            </w:pPr>
          </w:p>
        </w:tc>
      </w:tr>
      <w:tr w:rsidR="00A344AA" w:rsidRPr="00DD4DE1"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DD4DE1" w:rsidRDefault="00A344AA">
            <w:pPr>
              <w:spacing w:before="0" w:after="0"/>
              <w:jc w:val="left"/>
              <w:rPr>
                <w:rFonts w:ascii="Times New Roman" w:hAnsi="Times New Roman"/>
                <w:color w:val="000000"/>
                <w:szCs w:val="20"/>
              </w:rPr>
            </w:pPr>
            <w:r w:rsidRPr="00DD4DE1">
              <w:rPr>
                <w:rFonts w:ascii="Times New Roman" w:hAnsi="Times New Roman"/>
                <w:color w:val="000000"/>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A344AA" w:rsidRPr="00DD4DE1" w:rsidRDefault="00A344AA" w:rsidP="00476C32">
            <w:pPr>
              <w:spacing w:before="0" w:after="0"/>
              <w:rPr>
                <w:rFonts w:ascii="Times New Roman" w:hAnsi="Times New Roman"/>
                <w:b/>
                <w:szCs w:val="20"/>
                <w:u w:val="single"/>
              </w:rPr>
            </w:pPr>
            <w:r w:rsidRPr="00DD4DE1">
              <w:rPr>
                <w:rFonts w:ascii="Times New Roman" w:hAnsi="Times New Roman"/>
                <w:b/>
                <w:u w:val="single"/>
              </w:rPr>
              <w:t>Beløb, der ikke er omfattet af en indskudsgarantiordning i henhold til direktiv 2014/49/EU eller en tilsvarende indskudsgarantiordning i et tredjeland</w:t>
            </w:r>
          </w:p>
          <w:p w14:paraId="5D57127C" w14:textId="77777777" w:rsidR="00A344AA" w:rsidRPr="00DD4DE1" w:rsidRDefault="00A344AA" w:rsidP="00476C32">
            <w:pPr>
              <w:spacing w:before="0" w:after="0"/>
              <w:rPr>
                <w:rFonts w:ascii="Times New Roman" w:hAnsi="Times New Roman"/>
                <w:b/>
                <w:szCs w:val="20"/>
                <w:u w:val="single"/>
              </w:rPr>
            </w:pPr>
          </w:p>
          <w:p w14:paraId="706D0911" w14:textId="36AAF7A9" w:rsidR="00A344AA" w:rsidRPr="00DD4DE1" w:rsidRDefault="00A344AA" w:rsidP="00763448">
            <w:pPr>
              <w:spacing w:before="0" w:after="0"/>
              <w:rPr>
                <w:rFonts w:ascii="Times New Roman" w:hAnsi="Times New Roman"/>
                <w:szCs w:val="20"/>
              </w:rPr>
            </w:pPr>
            <w:r w:rsidRPr="00DD4DE1">
              <w:rPr>
                <w:rFonts w:ascii="Times New Roman" w:hAnsi="Times New Roman"/>
              </w:rPr>
              <w:t xml:space="preserve">Her angives, hvor stor en andel af den samlede finansiering angivet i kolonne 010, som er modtaget for hver af de i kolonnen "Produktnavn" anførte produktkategorier, der </w:t>
            </w:r>
            <w:r w:rsidRPr="00DD4DE1">
              <w:rPr>
                <w:rFonts w:ascii="Times New Roman" w:hAnsi="Times New Roman"/>
                <w:u w:val="single"/>
              </w:rPr>
              <w:t>ikke</w:t>
            </w:r>
            <w:r w:rsidRPr="00DD4DE1">
              <w:rPr>
                <w:rFonts w:ascii="Times New Roman" w:hAnsi="Times New Roman"/>
              </w:rPr>
              <w:t xml:space="preserve"> er omfattet af en indskudsgarantiordning i henhold til direktiv 2014/49/EF eller en tilsvarende indskudsgarantiordning i et tredjeland. </w:t>
            </w:r>
          </w:p>
          <w:p w14:paraId="2201D234" w14:textId="77777777" w:rsidR="00A344AA" w:rsidRPr="00DD4DE1" w:rsidRDefault="00A344AA" w:rsidP="00490B62">
            <w:pPr>
              <w:spacing w:before="0" w:after="0"/>
              <w:rPr>
                <w:rFonts w:ascii="Times New Roman" w:hAnsi="Times New Roman"/>
                <w:szCs w:val="20"/>
              </w:rPr>
            </w:pPr>
          </w:p>
          <w:p w14:paraId="3AE9E67D" w14:textId="3B789BDE" w:rsidR="00A344AA" w:rsidRPr="00DD4DE1" w:rsidRDefault="00A344AA" w:rsidP="00490B62">
            <w:pPr>
              <w:spacing w:before="0" w:after="0"/>
              <w:rPr>
                <w:rFonts w:ascii="Times New Roman" w:hAnsi="Times New Roman"/>
                <w:szCs w:val="20"/>
              </w:rPr>
            </w:pPr>
            <w:r w:rsidRPr="00DD4DE1">
              <w:rPr>
                <w:rFonts w:ascii="Times New Roman" w:hAnsi="Times New Roman"/>
              </w:rPr>
              <w:t>Bemærkning: De i kolonne 020 og kolonne 030 anførte beløb for hver af produktkategorierne i kolonnen "Produktnavn" skal svare til det indberettede samlede modtagne beløb i kolonne 010.</w:t>
            </w:r>
          </w:p>
          <w:p w14:paraId="3A3C1BD5" w14:textId="77777777" w:rsidR="00A344AA" w:rsidRPr="00DD4DE1" w:rsidRDefault="00A344AA" w:rsidP="00476C32">
            <w:pPr>
              <w:spacing w:before="0" w:after="0"/>
              <w:rPr>
                <w:rFonts w:ascii="Times New Roman" w:hAnsi="Times New Roman"/>
                <w:b/>
                <w:szCs w:val="20"/>
                <w:u w:val="single"/>
              </w:rPr>
            </w:pPr>
          </w:p>
        </w:tc>
      </w:tr>
      <w:tr w:rsidR="00A344AA" w:rsidRPr="00DD4DE1" w14:paraId="451E213E" w14:textId="77777777" w:rsidTr="00ED2EE2">
        <w:trPr>
          <w:trHeight w:val="1020"/>
        </w:trPr>
        <w:tc>
          <w:tcPr>
            <w:tcW w:w="729" w:type="pct"/>
            <w:shd w:val="clear" w:color="auto" w:fill="auto"/>
            <w:noWrap/>
          </w:tcPr>
          <w:p w14:paraId="5C9786F2" w14:textId="77777777" w:rsidR="00A344AA" w:rsidRPr="00DD4DE1" w:rsidRDefault="00A344AA" w:rsidP="00ED2EE2">
            <w:pPr>
              <w:spacing w:before="0" w:after="0"/>
              <w:jc w:val="left"/>
              <w:rPr>
                <w:rFonts w:ascii="Times New Roman" w:hAnsi="Times New Roman"/>
                <w:color w:val="000000"/>
                <w:szCs w:val="20"/>
              </w:rPr>
            </w:pPr>
            <w:r w:rsidRPr="00DD4DE1">
              <w:rPr>
                <w:rFonts w:ascii="Times New Roman" w:hAnsi="Times New Roman"/>
                <w:color w:val="000000"/>
              </w:rPr>
              <w:t>040</w:t>
            </w:r>
          </w:p>
        </w:tc>
        <w:tc>
          <w:tcPr>
            <w:tcW w:w="4271" w:type="pct"/>
            <w:shd w:val="clear" w:color="auto" w:fill="auto"/>
          </w:tcPr>
          <w:p w14:paraId="3C20E7C7" w14:textId="1D00688B" w:rsidR="00A344AA" w:rsidRPr="00DD4DE1" w:rsidRDefault="00A344AA" w:rsidP="00476C32">
            <w:pPr>
              <w:spacing w:before="0" w:after="0"/>
              <w:rPr>
                <w:rFonts w:ascii="Times New Roman" w:hAnsi="Times New Roman"/>
                <w:b/>
                <w:szCs w:val="20"/>
                <w:u w:val="single"/>
              </w:rPr>
            </w:pPr>
            <w:r w:rsidRPr="00DD4DE1">
              <w:rPr>
                <w:rFonts w:ascii="Times New Roman" w:hAnsi="Times New Roman"/>
                <w:b/>
                <w:u w:val="single"/>
              </w:rPr>
              <w:t>Vægtet gennemsnitlig oprindelig løbetid</w:t>
            </w:r>
          </w:p>
          <w:p w14:paraId="55688C6B" w14:textId="77777777" w:rsidR="00A344AA" w:rsidRPr="00DD4DE1" w:rsidRDefault="00A344AA" w:rsidP="00476C32">
            <w:pPr>
              <w:spacing w:before="0" w:after="0"/>
              <w:rPr>
                <w:rFonts w:ascii="Times New Roman" w:hAnsi="Times New Roman"/>
                <w:b/>
                <w:szCs w:val="20"/>
                <w:u w:val="single"/>
              </w:rPr>
            </w:pPr>
          </w:p>
          <w:p w14:paraId="26DFB785" w14:textId="7D1359A8" w:rsidR="00A344AA" w:rsidRPr="00DD4DE1" w:rsidRDefault="00A344AA" w:rsidP="00763448">
            <w:pPr>
              <w:spacing w:before="0" w:after="0"/>
              <w:rPr>
                <w:rFonts w:ascii="Times New Roman" w:hAnsi="Times New Roman"/>
                <w:szCs w:val="20"/>
              </w:rPr>
            </w:pPr>
            <w:r w:rsidRPr="00DD4DE1">
              <w:rPr>
                <w:rFonts w:ascii="Times New Roman" w:hAnsi="Times New Roman"/>
              </w:rPr>
              <w:t>For den modtagne finansiering indberettet i kolonne 010 fra de i kolonnen "Produktnavn" indberettede produktkategorier, skal der i kolonne 040 angives en vægtet gennemsnitlig oprindelig løbetid (i dage).</w:t>
            </w:r>
          </w:p>
          <w:p w14:paraId="6F902A34" w14:textId="77777777" w:rsidR="00A344AA" w:rsidRPr="00DD4DE1" w:rsidRDefault="00A344AA" w:rsidP="00490B62">
            <w:pPr>
              <w:spacing w:before="0" w:after="0"/>
              <w:rPr>
                <w:rFonts w:ascii="Times New Roman" w:hAnsi="Times New Roman"/>
                <w:szCs w:val="20"/>
              </w:rPr>
            </w:pPr>
          </w:p>
          <w:p w14:paraId="60EE11C3" w14:textId="7258EFD6" w:rsidR="00A344AA" w:rsidRPr="00DD4DE1" w:rsidRDefault="00B06740" w:rsidP="00476C32">
            <w:pPr>
              <w:spacing w:before="0" w:after="0"/>
              <w:rPr>
                <w:rFonts w:ascii="Times New Roman" w:hAnsi="Times New Roman"/>
                <w:szCs w:val="20"/>
              </w:rPr>
            </w:pPr>
            <w:r w:rsidRPr="00DD4DE1">
              <w:rPr>
                <w:rFonts w:ascii="Times New Roman" w:hAnsi="Times New Roman"/>
              </w:rPr>
              <w:t>Den vægtede gennemsnitlige oprindelige løbetid beregnes som den gennemsnitlige oprindelige løbetid (i dage) for den finansiering, der er modtaget for den pågældende produkttype. Gennemsnittet skal vægtes efter størrelse, baseret på størrelsen af forskellige modtagne finansieringsbeløb i forhold til den samlede finansiering, der er modtaget fra alle udstedelser af den pågældende produkttype.</w:t>
            </w:r>
          </w:p>
          <w:p w14:paraId="4993C5F5" w14:textId="77777777" w:rsidR="00A344AA" w:rsidRPr="00DD4DE1" w:rsidRDefault="00A344AA" w:rsidP="00476C32">
            <w:pPr>
              <w:spacing w:before="0" w:after="0"/>
              <w:rPr>
                <w:rFonts w:ascii="Times New Roman" w:hAnsi="Times New Roman"/>
                <w:szCs w:val="20"/>
              </w:rPr>
            </w:pPr>
          </w:p>
        </w:tc>
      </w:tr>
      <w:tr w:rsidR="00A344AA" w:rsidRPr="00DD4DE1" w14:paraId="42EE78BF" w14:textId="77777777" w:rsidTr="00ED2EE2">
        <w:trPr>
          <w:trHeight w:val="1020"/>
        </w:trPr>
        <w:tc>
          <w:tcPr>
            <w:tcW w:w="729" w:type="pct"/>
            <w:shd w:val="clear" w:color="auto" w:fill="auto"/>
            <w:noWrap/>
          </w:tcPr>
          <w:p w14:paraId="2FEE2E2D" w14:textId="77777777" w:rsidR="00A344AA" w:rsidRPr="00DD4DE1" w:rsidRDefault="00A344AA" w:rsidP="00ED2EE2">
            <w:pPr>
              <w:spacing w:before="0" w:after="0"/>
              <w:jc w:val="left"/>
              <w:rPr>
                <w:rFonts w:ascii="Times New Roman" w:hAnsi="Times New Roman"/>
                <w:color w:val="000000"/>
                <w:szCs w:val="20"/>
              </w:rPr>
            </w:pPr>
            <w:r w:rsidRPr="00DD4DE1">
              <w:rPr>
                <w:rFonts w:ascii="Times New Roman" w:hAnsi="Times New Roman"/>
                <w:color w:val="000000"/>
              </w:rPr>
              <w:lastRenderedPageBreak/>
              <w:t>050</w:t>
            </w:r>
          </w:p>
        </w:tc>
        <w:tc>
          <w:tcPr>
            <w:tcW w:w="4271" w:type="pct"/>
            <w:shd w:val="clear" w:color="auto" w:fill="auto"/>
          </w:tcPr>
          <w:p w14:paraId="5F6E4857" w14:textId="77777777" w:rsidR="00A344AA" w:rsidRPr="00DD4DE1" w:rsidRDefault="00A344AA" w:rsidP="00476C32">
            <w:pPr>
              <w:spacing w:before="0" w:after="0"/>
              <w:rPr>
                <w:rFonts w:ascii="Times New Roman" w:hAnsi="Times New Roman"/>
                <w:b/>
                <w:szCs w:val="20"/>
                <w:u w:val="single"/>
              </w:rPr>
            </w:pPr>
            <w:r w:rsidRPr="00DD4DE1">
              <w:rPr>
                <w:rFonts w:ascii="Times New Roman" w:hAnsi="Times New Roman"/>
                <w:b/>
                <w:u w:val="single"/>
              </w:rPr>
              <w:t>Vægtet gennemsnitlig restløbetid</w:t>
            </w:r>
          </w:p>
          <w:p w14:paraId="24DA2333" w14:textId="77777777" w:rsidR="00A344AA" w:rsidRPr="00DD4DE1" w:rsidRDefault="00A344AA" w:rsidP="00476C32">
            <w:pPr>
              <w:spacing w:before="0" w:after="0"/>
              <w:rPr>
                <w:rFonts w:ascii="Times New Roman" w:hAnsi="Times New Roman"/>
                <w:b/>
                <w:szCs w:val="20"/>
                <w:u w:val="single"/>
              </w:rPr>
            </w:pPr>
          </w:p>
          <w:p w14:paraId="5F851D17" w14:textId="70719BB2" w:rsidR="00A344AA" w:rsidRPr="00DD4DE1" w:rsidRDefault="00A344AA" w:rsidP="00763448">
            <w:pPr>
              <w:spacing w:before="0" w:after="0"/>
              <w:rPr>
                <w:rFonts w:ascii="Times New Roman" w:hAnsi="Times New Roman"/>
                <w:szCs w:val="20"/>
              </w:rPr>
            </w:pPr>
            <w:r w:rsidRPr="00DD4DE1">
              <w:rPr>
                <w:rFonts w:ascii="Times New Roman" w:hAnsi="Times New Roman"/>
              </w:rPr>
              <w:t>For den modtagne finansiering indberettet i kolonne 010 fra de i kolonnen "Produktnavn" indberettede produktkategorier skal der i kolonne 050 angives en vægtet gennemsnitlig restløbetid (i dage).</w:t>
            </w:r>
          </w:p>
          <w:p w14:paraId="10B9D2BA" w14:textId="77777777" w:rsidR="00A344AA" w:rsidRPr="00DD4DE1" w:rsidRDefault="00A344AA" w:rsidP="00490B62">
            <w:pPr>
              <w:spacing w:before="0" w:after="0"/>
              <w:rPr>
                <w:rFonts w:ascii="Times New Roman" w:hAnsi="Times New Roman"/>
                <w:szCs w:val="20"/>
              </w:rPr>
            </w:pPr>
          </w:p>
          <w:p w14:paraId="7D5D34BD" w14:textId="7C13E3AC" w:rsidR="00A344AA" w:rsidRPr="00DD4DE1" w:rsidRDefault="00B06740" w:rsidP="00476C32">
            <w:pPr>
              <w:spacing w:before="0" w:after="0"/>
              <w:rPr>
                <w:rFonts w:ascii="Times New Roman" w:hAnsi="Times New Roman"/>
                <w:szCs w:val="20"/>
              </w:rPr>
            </w:pPr>
            <w:r w:rsidRPr="00DD4DE1">
              <w:rPr>
                <w:rFonts w:ascii="Times New Roman" w:hAnsi="Times New Roman"/>
              </w:rPr>
              <w:t>Den vægtede gennemsnitlige restløbetid beregnes som den gennemsnitlige løbetid (i dage), der er tilbage for den finansiering, der er modtaget for den pågældende produkttype. Gennemsnittet skal vægtes efter størrelse, baseret på størrelsen af forskellige modtagne finansieringsbeløb i forhold til den samlede finansiering, der er modtaget fra alle udstedelser af den pågældende produkttype.</w:t>
            </w:r>
          </w:p>
          <w:p w14:paraId="7FC1A546" w14:textId="77777777" w:rsidR="00A344AA" w:rsidRPr="00DD4DE1" w:rsidRDefault="00A344AA" w:rsidP="00476C32">
            <w:pPr>
              <w:spacing w:before="0" w:after="0"/>
              <w:rPr>
                <w:rFonts w:ascii="Times New Roman" w:hAnsi="Times New Roman"/>
                <w:b/>
                <w:szCs w:val="20"/>
                <w:u w:val="single"/>
              </w:rPr>
            </w:pPr>
          </w:p>
        </w:tc>
      </w:tr>
    </w:tbl>
    <w:p w14:paraId="519B1D10" w14:textId="77777777" w:rsidR="00A344AA" w:rsidRPr="00DD4DE1" w:rsidRDefault="00A344AA" w:rsidP="00DD5897">
      <w:pPr>
        <w:pStyle w:val="InstructionsText2"/>
        <w:numPr>
          <w:ilvl w:val="0"/>
          <w:numId w:val="0"/>
        </w:numPr>
        <w:spacing w:after="0"/>
        <w:rPr>
          <w:szCs w:val="20"/>
          <w:u w:val="none"/>
        </w:rPr>
      </w:pPr>
    </w:p>
    <w:p w14:paraId="46B6DB4F" w14:textId="77777777" w:rsidR="00A344AA" w:rsidRPr="00DD4DE1" w:rsidRDefault="00A344AA">
      <w:pPr>
        <w:rPr>
          <w:rFonts w:ascii="Times New Roman" w:hAnsi="Times New Roman"/>
        </w:rPr>
      </w:pPr>
    </w:p>
    <w:p w14:paraId="70084023" w14:textId="77777777" w:rsidR="00775F73" w:rsidRPr="00DD4DE1" w:rsidRDefault="00775F73" w:rsidP="00DD5897">
      <w:pPr>
        <w:pStyle w:val="InstructionsText2"/>
        <w:numPr>
          <w:ilvl w:val="0"/>
          <w:numId w:val="0"/>
        </w:numPr>
        <w:spacing w:after="0"/>
        <w:rPr>
          <w:szCs w:val="20"/>
          <w:u w:val="none"/>
        </w:rPr>
      </w:pPr>
    </w:p>
    <w:p w14:paraId="079161C6" w14:textId="77777777" w:rsidR="00D02FE4" w:rsidRPr="00DD4DE1" w:rsidRDefault="00181260" w:rsidP="00DD5897">
      <w:pPr>
        <w:pStyle w:val="Instructionsberschrift2"/>
        <w:numPr>
          <w:ilvl w:val="1"/>
          <w:numId w:val="2"/>
        </w:numPr>
        <w:spacing w:before="0"/>
        <w:rPr>
          <w:rFonts w:ascii="Times New Roman" w:hAnsi="Times New Roman" w:cs="Times New Roman"/>
          <w:szCs w:val="20"/>
        </w:rPr>
      </w:pPr>
      <w:r w:rsidRPr="00DD4DE1">
        <w:rPr>
          <w:rFonts w:ascii="Times New Roman" w:hAnsi="Times New Roman" w:cs="Times New Roman"/>
        </w:rPr>
        <w:t>Priser for finansiering med forskellig løbetid (C 69.00)</w:t>
      </w:r>
    </w:p>
    <w:p w14:paraId="6F60A159" w14:textId="77777777" w:rsidR="00DD5897" w:rsidRPr="00DD4DE1" w:rsidRDefault="00DD5897" w:rsidP="00DD5897">
      <w:pPr>
        <w:pStyle w:val="InstructionsText2"/>
        <w:numPr>
          <w:ilvl w:val="0"/>
          <w:numId w:val="0"/>
        </w:numPr>
        <w:spacing w:after="0"/>
        <w:rPr>
          <w:szCs w:val="20"/>
          <w:u w:val="none"/>
        </w:rPr>
      </w:pPr>
    </w:p>
    <w:p w14:paraId="691ACAEA" w14:textId="182EF00F" w:rsidR="002C154A" w:rsidRPr="00DD4DE1" w:rsidRDefault="00DD76F0" w:rsidP="0019013A">
      <w:pPr>
        <w:pStyle w:val="InstructionsText2"/>
        <w:numPr>
          <w:ilvl w:val="0"/>
          <w:numId w:val="7"/>
        </w:numPr>
        <w:rPr>
          <w:szCs w:val="20"/>
          <w:u w:val="none"/>
        </w:rPr>
      </w:pPr>
      <w:r w:rsidRPr="00DD4DE1">
        <w:rPr>
          <w:u w:val="none"/>
        </w:rPr>
        <w:t xml:space="preserve">Institutterne skal indberette oplysningerne i skema C 69.00 om transaktionsvolumen og priser betalt af institutterne for finansiering, der er opnået i indberetningsperioden og stadig til stede ved indberetningsperiodens slutning, i overensstemmelse med følgende oprindelige løbetider: </w:t>
      </w:r>
    </w:p>
    <w:p w14:paraId="43E76F50" w14:textId="57D72AF1" w:rsidR="0019013A" w:rsidRPr="00DD4DE1" w:rsidRDefault="00C13077" w:rsidP="00DE2988">
      <w:pPr>
        <w:pStyle w:val="InstructionsText2"/>
        <w:numPr>
          <w:ilvl w:val="1"/>
          <w:numId w:val="13"/>
        </w:numPr>
        <w:ind w:left="993" w:hanging="284"/>
        <w:rPr>
          <w:szCs w:val="20"/>
          <w:u w:val="none"/>
        </w:rPr>
      </w:pPr>
      <w:r w:rsidRPr="00DD4DE1">
        <w:rPr>
          <w:u w:val="none"/>
        </w:rPr>
        <w:tab/>
        <w:t>dag-til-dag (kolonne 010 og 020)</w:t>
      </w:r>
    </w:p>
    <w:p w14:paraId="20A63704" w14:textId="5F2A3152" w:rsidR="0019013A" w:rsidRPr="00DD4DE1" w:rsidRDefault="00325582" w:rsidP="00325582">
      <w:pPr>
        <w:pStyle w:val="InstructionsText2"/>
        <w:numPr>
          <w:ilvl w:val="0"/>
          <w:numId w:val="0"/>
        </w:numPr>
        <w:ind w:left="714"/>
        <w:rPr>
          <w:szCs w:val="20"/>
          <w:u w:val="none"/>
        </w:rPr>
      </w:pPr>
      <w:r w:rsidRPr="00DD4DE1">
        <w:rPr>
          <w:u w:val="none"/>
        </w:rPr>
        <w:t>b)</w:t>
      </w:r>
      <w:r w:rsidRPr="00DD4DE1">
        <w:rPr>
          <w:u w:val="none"/>
        </w:rPr>
        <w:tab/>
        <w:t>over dag-til-dag og mindre end eller lig med 1 uge (kolonne 030 og 040)</w:t>
      </w:r>
    </w:p>
    <w:p w14:paraId="23995DF6" w14:textId="6B8F5FD2" w:rsidR="0019013A" w:rsidRPr="00DD4DE1" w:rsidRDefault="00325582" w:rsidP="00325582">
      <w:pPr>
        <w:pStyle w:val="InstructionsText2"/>
        <w:numPr>
          <w:ilvl w:val="0"/>
          <w:numId w:val="0"/>
        </w:numPr>
        <w:ind w:left="714"/>
        <w:rPr>
          <w:szCs w:val="20"/>
          <w:u w:val="none"/>
        </w:rPr>
      </w:pPr>
      <w:r w:rsidRPr="00DD4DE1">
        <w:rPr>
          <w:u w:val="none"/>
        </w:rPr>
        <w:t>c)</w:t>
      </w:r>
      <w:r w:rsidRPr="00DD4DE1">
        <w:rPr>
          <w:u w:val="none"/>
        </w:rPr>
        <w:tab/>
        <w:t>over 1 uge og mindre end eller lig med 1 måned (kolonne 050 og 060)</w:t>
      </w:r>
    </w:p>
    <w:p w14:paraId="4DB6611C" w14:textId="4078B1C8" w:rsidR="0019013A" w:rsidRPr="00DD4DE1" w:rsidRDefault="00325582" w:rsidP="00325582">
      <w:pPr>
        <w:pStyle w:val="InstructionsText2"/>
        <w:numPr>
          <w:ilvl w:val="0"/>
          <w:numId w:val="0"/>
        </w:numPr>
        <w:ind w:left="714"/>
        <w:rPr>
          <w:szCs w:val="20"/>
          <w:u w:val="none"/>
        </w:rPr>
      </w:pPr>
      <w:r w:rsidRPr="00DD4DE1">
        <w:rPr>
          <w:u w:val="none"/>
        </w:rPr>
        <w:t>d)</w:t>
      </w:r>
      <w:r w:rsidRPr="00DD4DE1">
        <w:rPr>
          <w:u w:val="none"/>
        </w:rPr>
        <w:tab/>
        <w:t>over 1 måned og mindre end eller lig med 3 måneder (kolonne 070 og 080)</w:t>
      </w:r>
    </w:p>
    <w:p w14:paraId="68B85898" w14:textId="1C69E6E6" w:rsidR="0019013A" w:rsidRPr="00DD4DE1" w:rsidRDefault="00325582" w:rsidP="00325582">
      <w:pPr>
        <w:pStyle w:val="InstructionsText2"/>
        <w:numPr>
          <w:ilvl w:val="0"/>
          <w:numId w:val="0"/>
        </w:numPr>
        <w:ind w:left="714"/>
        <w:rPr>
          <w:szCs w:val="20"/>
          <w:u w:val="none"/>
        </w:rPr>
      </w:pPr>
      <w:r w:rsidRPr="00DD4DE1">
        <w:rPr>
          <w:u w:val="none"/>
        </w:rPr>
        <w:t>e)</w:t>
      </w:r>
      <w:r w:rsidRPr="00DD4DE1">
        <w:rPr>
          <w:u w:val="none"/>
        </w:rPr>
        <w:tab/>
        <w:t>over 3 måneder og mindre end eller lig med 6 måneder (kolonne 090 og 100)</w:t>
      </w:r>
    </w:p>
    <w:p w14:paraId="032BAEDE" w14:textId="15A2A145" w:rsidR="00172727" w:rsidRPr="00DD4DE1" w:rsidRDefault="00325582" w:rsidP="00325582">
      <w:pPr>
        <w:pStyle w:val="InstructionsText2"/>
        <w:numPr>
          <w:ilvl w:val="0"/>
          <w:numId w:val="0"/>
        </w:numPr>
        <w:ind w:left="714"/>
        <w:rPr>
          <w:szCs w:val="20"/>
          <w:u w:val="none"/>
        </w:rPr>
      </w:pPr>
      <w:r w:rsidRPr="00DD4DE1">
        <w:rPr>
          <w:u w:val="none"/>
        </w:rPr>
        <w:t>f)</w:t>
      </w:r>
      <w:r w:rsidRPr="00DD4DE1">
        <w:rPr>
          <w:u w:val="none"/>
        </w:rPr>
        <w:tab/>
        <w:t>over 6 måneder og mindre end eller lig med 1 år (kolonne 110 og 120)</w:t>
      </w:r>
    </w:p>
    <w:p w14:paraId="3DE0207D" w14:textId="0958FEE1" w:rsidR="0019013A" w:rsidRPr="00DD4DE1" w:rsidRDefault="00325582" w:rsidP="00325582">
      <w:pPr>
        <w:pStyle w:val="InstructionsText2"/>
        <w:numPr>
          <w:ilvl w:val="0"/>
          <w:numId w:val="0"/>
        </w:numPr>
        <w:ind w:left="714"/>
        <w:rPr>
          <w:szCs w:val="20"/>
          <w:u w:val="none"/>
        </w:rPr>
      </w:pPr>
      <w:r w:rsidRPr="00DD4DE1">
        <w:rPr>
          <w:u w:val="none"/>
        </w:rPr>
        <w:t>g)</w:t>
      </w:r>
      <w:r w:rsidRPr="00DD4DE1">
        <w:rPr>
          <w:u w:val="none"/>
        </w:rPr>
        <w:tab/>
        <w:t>over 1 år og mindre end eller lig med 2 år (kolonne 130 og 140)</w:t>
      </w:r>
    </w:p>
    <w:p w14:paraId="5A4B2AD6" w14:textId="6D6143D2" w:rsidR="0019013A" w:rsidRPr="00DD4DE1" w:rsidRDefault="00325582" w:rsidP="00325582">
      <w:pPr>
        <w:pStyle w:val="InstructionsText2"/>
        <w:numPr>
          <w:ilvl w:val="0"/>
          <w:numId w:val="0"/>
        </w:numPr>
        <w:ind w:left="714"/>
        <w:rPr>
          <w:szCs w:val="20"/>
          <w:u w:val="none"/>
        </w:rPr>
      </w:pPr>
      <w:r w:rsidRPr="00DD4DE1">
        <w:rPr>
          <w:u w:val="none"/>
        </w:rPr>
        <w:t>h)</w:t>
      </w:r>
      <w:r w:rsidRPr="00DD4DE1">
        <w:rPr>
          <w:u w:val="none"/>
        </w:rPr>
        <w:tab/>
        <w:t>over 2 år og mindre end eller lig med 5 år (kolonne 150 og 160)</w:t>
      </w:r>
    </w:p>
    <w:p w14:paraId="10B732E8" w14:textId="3D42D0AE" w:rsidR="0019013A" w:rsidRPr="00DD4DE1" w:rsidRDefault="00325582" w:rsidP="00325582">
      <w:pPr>
        <w:pStyle w:val="InstructionsText2"/>
        <w:numPr>
          <w:ilvl w:val="0"/>
          <w:numId w:val="0"/>
        </w:numPr>
        <w:ind w:left="714"/>
        <w:rPr>
          <w:szCs w:val="20"/>
          <w:u w:val="none"/>
        </w:rPr>
      </w:pPr>
      <w:r w:rsidRPr="00DD4DE1">
        <w:rPr>
          <w:u w:val="none"/>
        </w:rPr>
        <w:t>i)</w:t>
      </w:r>
      <w:r w:rsidRPr="00DD4DE1">
        <w:rPr>
          <w:u w:val="none"/>
        </w:rPr>
        <w:tab/>
        <w:t>over 5 år og mindre end eller lig med 10 år (kolonne 170 og 180).</w:t>
      </w:r>
    </w:p>
    <w:p w14:paraId="5F28959E" w14:textId="1A5C591C" w:rsidR="0019013A" w:rsidRPr="00DD4DE1" w:rsidRDefault="0019013A" w:rsidP="00DE2988">
      <w:pPr>
        <w:pStyle w:val="InstructionsText2"/>
        <w:numPr>
          <w:ilvl w:val="0"/>
          <w:numId w:val="20"/>
        </w:numPr>
        <w:rPr>
          <w:szCs w:val="20"/>
          <w:u w:val="none"/>
        </w:rPr>
      </w:pPr>
      <w:r w:rsidRPr="00DD4DE1">
        <w:rPr>
          <w:u w:val="none"/>
        </w:rPr>
        <w:t>Ved fastlæggelse af løbetiden for den modtagne finansiering skal institutterne se bort fra perioden mellem handelsdagen og afviklingsdagen, f.eks. skal en tremåneders forpligtelse med afregning om to uger indberettes under "3 måneders løbetid" (kolonne 070 og 080).</w:t>
      </w:r>
    </w:p>
    <w:p w14:paraId="3300B61A" w14:textId="77777777" w:rsidR="00A211F3" w:rsidRPr="00DD4DE1" w:rsidRDefault="002C154A" w:rsidP="00DE2988">
      <w:pPr>
        <w:pStyle w:val="InstructionsText2"/>
        <w:numPr>
          <w:ilvl w:val="0"/>
          <w:numId w:val="20"/>
        </w:numPr>
        <w:rPr>
          <w:szCs w:val="20"/>
          <w:u w:val="none"/>
        </w:rPr>
      </w:pPr>
      <w:r w:rsidRPr="00DD4DE1">
        <w:rPr>
          <w:u w:val="none"/>
        </w:rPr>
        <w:t>Det spænd, der indberettes i venstre kolonne for hver løbetidsklasse, skal være et af følgende:</w:t>
      </w:r>
    </w:p>
    <w:p w14:paraId="3D56C5E8" w14:textId="5BBC2BEA" w:rsidR="0050708F" w:rsidRPr="00DD4DE1" w:rsidRDefault="0050708F" w:rsidP="00DE2988">
      <w:pPr>
        <w:pStyle w:val="InstructionsText2"/>
        <w:numPr>
          <w:ilvl w:val="1"/>
          <w:numId w:val="20"/>
        </w:numPr>
        <w:ind w:left="993" w:hanging="284"/>
        <w:rPr>
          <w:szCs w:val="20"/>
          <w:u w:val="none"/>
        </w:rPr>
      </w:pPr>
      <w:r w:rsidRPr="00DD4DE1">
        <w:rPr>
          <w:u w:val="none"/>
        </w:rPr>
        <w:t xml:space="preserve">det spænd, der skal betales af instituttet, for forpligtelser på ikke over et år, hvis de skulle ombyttes til det som benchmark gældende dag-til-dag-indeks for den relevante valuta senest ved lukketid på dagen for transaktionen </w:t>
      </w:r>
    </w:p>
    <w:p w14:paraId="44F3338B" w14:textId="4D0D0648" w:rsidR="0050708F" w:rsidRPr="00DD4DE1" w:rsidRDefault="0050708F" w:rsidP="00DE2988">
      <w:pPr>
        <w:pStyle w:val="InstructionsText2"/>
        <w:numPr>
          <w:ilvl w:val="1"/>
          <w:numId w:val="20"/>
        </w:numPr>
        <w:ind w:left="993" w:hanging="284"/>
        <w:rPr>
          <w:szCs w:val="20"/>
          <w:u w:val="none"/>
        </w:rPr>
      </w:pPr>
      <w:r w:rsidRPr="00DD4DE1">
        <w:rPr>
          <w:u w:val="none"/>
        </w:rPr>
        <w:t>det spænd, der skal betales af instituttet ved udstedelsen for forpligtelser med en oprindelig løbetid på over et år, hvis de skulle ombyttes til det relevante benchmark (variabel, tre måneder — EURIBOR for EUR eller LIBOR for GBP og USD) senest ved lukketid på dagen for transaktionen.</w:t>
      </w:r>
    </w:p>
    <w:p w14:paraId="0C9A9801" w14:textId="3ADD5BDC" w:rsidR="006661EC" w:rsidRPr="00DD4DE1" w:rsidRDefault="006661EC" w:rsidP="00723CCD">
      <w:pPr>
        <w:pStyle w:val="InstructionsText2"/>
        <w:numPr>
          <w:ilvl w:val="0"/>
          <w:numId w:val="0"/>
        </w:numPr>
        <w:ind w:left="993"/>
        <w:rPr>
          <w:szCs w:val="20"/>
          <w:u w:val="none"/>
        </w:rPr>
      </w:pPr>
      <w:r w:rsidRPr="00DD4DE1">
        <w:rPr>
          <w:u w:val="none"/>
        </w:rPr>
        <w:t>Alene med henblik på beregning af spænd, jf. litra a) og b) ovenfor, kan instituttet på grundlag af historiske erfaringer bestemme den oprindelige løbetid med eller uden hensyntagen til optionalitet, alt efter hvad der er relevant.</w:t>
      </w:r>
    </w:p>
    <w:p w14:paraId="5EBCC42F" w14:textId="0D3FAA90" w:rsidR="00A211F3" w:rsidRPr="00DD4DE1" w:rsidRDefault="0019013A" w:rsidP="009406E9">
      <w:pPr>
        <w:pStyle w:val="InstructionsText2"/>
        <w:numPr>
          <w:ilvl w:val="0"/>
          <w:numId w:val="20"/>
        </w:numPr>
        <w:rPr>
          <w:szCs w:val="20"/>
          <w:u w:val="none"/>
        </w:rPr>
      </w:pPr>
      <w:r w:rsidRPr="00DD4DE1">
        <w:rPr>
          <w:u w:val="none"/>
        </w:rPr>
        <w:lastRenderedPageBreak/>
        <w:t xml:space="preserve">Spænd skal indberettes i basispoint med negativt fortegn, hvis den nye finansiering er billigere end under den relevante benchmarksats. De skal beregnes på basis af et vægtet gennemsnit. </w:t>
      </w:r>
    </w:p>
    <w:p w14:paraId="0ABF1B64" w14:textId="5E7F2177" w:rsidR="0050708F" w:rsidRPr="00DD4DE1" w:rsidRDefault="0050708F" w:rsidP="00144FB8">
      <w:pPr>
        <w:pStyle w:val="InstructionsText2"/>
        <w:numPr>
          <w:ilvl w:val="0"/>
          <w:numId w:val="20"/>
        </w:numPr>
        <w:rPr>
          <w:szCs w:val="20"/>
          <w:u w:val="none"/>
        </w:rPr>
      </w:pPr>
      <w:r w:rsidRPr="00DD4DE1">
        <w:rPr>
          <w:u w:val="none"/>
        </w:rPr>
        <w:t>Ved beregningen af det gennemsnitlige spænd, der skal betales på flere udstedelser/indskud/lån, skal institutterne beregne de samlede omkostninger i udstedelsesvalutaen uden hensyntagen til eventuelle valutaswaps, men medregne eventuelle tillæg eller fradrag og gebyrer, der skal betales, eller som modtages, således at løbetiden på en teoretisk eller faktisk renteswap modsvarer forpligtelsens løbetid. Spændet er renten på forpligtelsen minus swaprenten.</w:t>
      </w:r>
    </w:p>
    <w:p w14:paraId="608A7669" w14:textId="7761DC23" w:rsidR="00DD5897" w:rsidRPr="00DD4DE1" w:rsidRDefault="0019013A" w:rsidP="00DE2988">
      <w:pPr>
        <w:pStyle w:val="InstructionsText2"/>
        <w:numPr>
          <w:ilvl w:val="0"/>
          <w:numId w:val="20"/>
        </w:numPr>
        <w:rPr>
          <w:szCs w:val="20"/>
          <w:u w:val="none"/>
        </w:rPr>
      </w:pPr>
      <w:r w:rsidRPr="00DD4DE1">
        <w:rPr>
          <w:u w:val="none"/>
        </w:rPr>
        <w:t xml:space="preserve">Beløbet for finansiering modtaget for finansieringskategorierne i kolonnen "Post" skal indberettes i kolonnen "Volumen" i den relevante løbetidsklasse. </w:t>
      </w:r>
    </w:p>
    <w:p w14:paraId="3AED84FE" w14:textId="0FDF0268" w:rsidR="004B3AC2" w:rsidRPr="00DD4DE1" w:rsidRDefault="004B3AC2" w:rsidP="00DE2988">
      <w:pPr>
        <w:pStyle w:val="InstructionsText2"/>
        <w:numPr>
          <w:ilvl w:val="0"/>
          <w:numId w:val="20"/>
        </w:numPr>
        <w:rPr>
          <w:szCs w:val="20"/>
          <w:u w:val="none"/>
        </w:rPr>
      </w:pPr>
      <w:r w:rsidRPr="00DD4DE1">
        <w:rPr>
          <w:u w:val="none"/>
        </w:rPr>
        <w:t>I kolonnen "volumen" skal institutterne oplyse beløbene for den regnskabsmæssige værdi af den nye finansiering opnået i den relevante løbetidsklasse i overensstemmelse med oprindelig løbetid.</w:t>
      </w:r>
    </w:p>
    <w:p w14:paraId="4513DEDD" w14:textId="4B15A911" w:rsidR="004B3AC2" w:rsidRPr="00DD4DE1" w:rsidRDefault="00144FB8" w:rsidP="00DE2988">
      <w:pPr>
        <w:pStyle w:val="InstructionsText2"/>
        <w:numPr>
          <w:ilvl w:val="0"/>
          <w:numId w:val="20"/>
        </w:numPr>
        <w:rPr>
          <w:szCs w:val="20"/>
          <w:u w:val="none"/>
        </w:rPr>
      </w:pPr>
      <w:r w:rsidRPr="00DD4DE1">
        <w:rPr>
          <w:u w:val="none"/>
        </w:rPr>
        <w:t xml:space="preserve">Hvad angår alle poster, også ikkebalanceførte forpligtelser, skal institutterne kun indberette relaterede beløb, der er afspejlet på balancen. En ikkebalanceført forpligtelse, som er ydet til instituttet, skal først indberettes i C69.00 efter udnyttelse. I tilfælde af udnyttelse skal den volumen og det spænd, der indberettes, være det udnyttede beløb og det relevante spænd ved indberetningsperiodens slutning. Hvis udnyttelsen ikke kan refinansieres efter instituttets skøn, indberettes udnyttelsens faktiske løbetid. Hvis instituttet allerede har udnyttet faciliteten ved den foregående indberetningsperiodes slutning, og hvis instituttet efterfølgende øger anvendelsen af faciliteten, skal kun det yderligere udnyttede beløb indberettes. </w:t>
      </w:r>
    </w:p>
    <w:p w14:paraId="26598EEA" w14:textId="77777777" w:rsidR="00473407" w:rsidRPr="00DD4DE1" w:rsidRDefault="00473407" w:rsidP="00DE2988">
      <w:pPr>
        <w:pStyle w:val="InstructionsText2"/>
        <w:numPr>
          <w:ilvl w:val="0"/>
          <w:numId w:val="20"/>
        </w:numPr>
        <w:rPr>
          <w:szCs w:val="20"/>
          <w:u w:val="none"/>
        </w:rPr>
      </w:pPr>
      <w:r w:rsidRPr="00DD4DE1">
        <w:rPr>
          <w:u w:val="none"/>
        </w:rPr>
        <w:t>Indskud fra detailkunder er de indskud, der er defineret i artikel 3, nr. 8), i delegeret forordning (EU) 2015/61.</w:t>
      </w:r>
    </w:p>
    <w:p w14:paraId="54CC7D8D" w14:textId="5C6E191B" w:rsidR="00B96CA8" w:rsidRPr="00DD4DE1" w:rsidRDefault="00287BD7" w:rsidP="00DE2988">
      <w:pPr>
        <w:pStyle w:val="InstructionsText2"/>
        <w:numPr>
          <w:ilvl w:val="0"/>
          <w:numId w:val="20"/>
        </w:numPr>
        <w:rPr>
          <w:szCs w:val="20"/>
          <w:u w:val="none"/>
        </w:rPr>
      </w:pPr>
      <w:r w:rsidRPr="00DD4DE1">
        <w:rPr>
          <w:u w:val="none"/>
        </w:rPr>
        <w:t>For finansiering der er blevet refinansieret i løbet af indberetningsperioden, og som stadig er udestående ved indberetningsperiodens slutning, skal gennemsnittet af de spænd, der finder anvendelse på det pågældende tidspunkt (dvs. indberetningsperiodens slutning), indberettes. Med henblik på C69.00 anses finansiering, der er refinansieret og stadig findes ved indberetningsperiodens slutning, for at repræsentere ny finansiering.</w:t>
      </w:r>
    </w:p>
    <w:p w14:paraId="43F95C32" w14:textId="05666D10" w:rsidR="00BB3757" w:rsidRPr="00DD4DE1" w:rsidRDefault="00CD20D9" w:rsidP="00DE2988">
      <w:pPr>
        <w:pStyle w:val="InstructionsText2"/>
        <w:numPr>
          <w:ilvl w:val="0"/>
          <w:numId w:val="20"/>
        </w:numPr>
        <w:rPr>
          <w:szCs w:val="20"/>
          <w:u w:val="none"/>
        </w:rPr>
      </w:pPr>
      <w:r w:rsidRPr="00DD4DE1">
        <w:rPr>
          <w:u w:val="none"/>
        </w:rPr>
        <w:t xml:space="preserve">Som en undtagelse fra resten af punkt 1.4 skal volumen og spænd for anfordringsindskud kun indberettes, når indskyderen ikke havde et anfordringsindskud i den foregående indberetningsperiode, eller når der er en stigning i indskudsbeløbet sammenlignet med den tidligere referencedato; i så tilfælde behandles forøgelse som ny finansiering. Det spænd, der indberettes, er spændet ved periodens slutning. </w:t>
      </w:r>
    </w:p>
    <w:p w14:paraId="10927EEB" w14:textId="776A1E6F" w:rsidR="00270986" w:rsidRPr="00DD4DE1" w:rsidRDefault="00270986" w:rsidP="00DE2988">
      <w:pPr>
        <w:pStyle w:val="InstructionsText2"/>
        <w:numPr>
          <w:ilvl w:val="0"/>
          <w:numId w:val="20"/>
        </w:numPr>
        <w:rPr>
          <w:szCs w:val="20"/>
          <w:u w:val="none"/>
        </w:rPr>
      </w:pPr>
      <w:r w:rsidRPr="00DD4DE1">
        <w:rPr>
          <w:u w:val="none"/>
        </w:rPr>
        <w:t>Hvis der ikke er noget at indberette, skal felterne vedrørende indberetning stå tomme.</w:t>
      </w:r>
    </w:p>
    <w:p w14:paraId="5F1BCA9F" w14:textId="77777777" w:rsidR="002C154A" w:rsidRPr="00DD4DE1" w:rsidRDefault="002C154A" w:rsidP="00DE2988">
      <w:pPr>
        <w:pStyle w:val="InstructionsText2"/>
        <w:numPr>
          <w:ilvl w:val="0"/>
          <w:numId w:val="20"/>
        </w:numPr>
        <w:rPr>
          <w:szCs w:val="20"/>
          <w:u w:val="none"/>
        </w:rPr>
      </w:pPr>
      <w:r w:rsidRPr="00DD4DE1">
        <w:rPr>
          <w:u w:val="none"/>
        </w:rPr>
        <w:t>Instrukser vedrørende specifikke rækker: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DD4DE1" w14:paraId="3147FD97" w14:textId="77777777" w:rsidTr="00ED41A4">
        <w:trPr>
          <w:trHeight w:val="567"/>
        </w:trPr>
        <w:tc>
          <w:tcPr>
            <w:tcW w:w="817" w:type="dxa"/>
            <w:shd w:val="clear" w:color="auto" w:fill="E0E0E0"/>
            <w:noWrap/>
            <w:vAlign w:val="center"/>
          </w:tcPr>
          <w:p w14:paraId="48391A04" w14:textId="77777777" w:rsidR="002C154A" w:rsidRPr="00DD4DE1" w:rsidRDefault="002C154A" w:rsidP="00ED41A4">
            <w:pPr>
              <w:spacing w:before="0" w:after="0"/>
              <w:jc w:val="left"/>
              <w:rPr>
                <w:rFonts w:ascii="Times New Roman" w:hAnsi="Times New Roman"/>
                <w:szCs w:val="20"/>
              </w:rPr>
            </w:pPr>
            <w:r w:rsidRPr="00DD4DE1">
              <w:rPr>
                <w:rStyle w:val="InstructionsTabelleText"/>
                <w:rFonts w:ascii="Times New Roman" w:hAnsi="Times New Roman"/>
              </w:rPr>
              <w:t>Række</w:t>
            </w:r>
          </w:p>
        </w:tc>
        <w:tc>
          <w:tcPr>
            <w:tcW w:w="7705" w:type="dxa"/>
            <w:shd w:val="clear" w:color="auto" w:fill="E0E0E0"/>
            <w:noWrap/>
            <w:vAlign w:val="center"/>
          </w:tcPr>
          <w:p w14:paraId="51A7E6A4" w14:textId="77777777" w:rsidR="002C154A" w:rsidRPr="00DD4DE1" w:rsidRDefault="002C154A" w:rsidP="00ED41A4">
            <w:pPr>
              <w:spacing w:before="0" w:after="0"/>
              <w:jc w:val="left"/>
              <w:rPr>
                <w:rFonts w:ascii="Times New Roman" w:hAnsi="Times New Roman"/>
                <w:szCs w:val="20"/>
              </w:rPr>
            </w:pPr>
            <w:r w:rsidRPr="00DD4DE1">
              <w:rPr>
                <w:rStyle w:val="InstructionsTabelleText"/>
                <w:rFonts w:ascii="Times New Roman" w:hAnsi="Times New Roman"/>
              </w:rPr>
              <w:t>Henvisninger til retsakter og instrukser</w:t>
            </w:r>
          </w:p>
        </w:tc>
      </w:tr>
      <w:tr w:rsidR="00E332B3" w:rsidRPr="00DD4DE1" w14:paraId="5B055368" w14:textId="77777777" w:rsidTr="00ED41A4">
        <w:trPr>
          <w:trHeight w:val="255"/>
        </w:trPr>
        <w:tc>
          <w:tcPr>
            <w:tcW w:w="817" w:type="dxa"/>
            <w:shd w:val="clear" w:color="auto" w:fill="auto"/>
            <w:noWrap/>
          </w:tcPr>
          <w:p w14:paraId="31D865CB" w14:textId="77777777" w:rsidR="002C154A" w:rsidRPr="00DD4DE1" w:rsidRDefault="00AF1439" w:rsidP="00ED41A4">
            <w:pPr>
              <w:spacing w:before="0" w:after="0"/>
              <w:jc w:val="left"/>
              <w:rPr>
                <w:rFonts w:ascii="Times New Roman" w:hAnsi="Times New Roman"/>
                <w:szCs w:val="20"/>
              </w:rPr>
            </w:pPr>
            <w:r w:rsidRPr="00DD4DE1">
              <w:rPr>
                <w:rFonts w:ascii="Times New Roman" w:hAnsi="Times New Roman"/>
              </w:rPr>
              <w:t>010</w:t>
            </w:r>
          </w:p>
        </w:tc>
        <w:tc>
          <w:tcPr>
            <w:tcW w:w="7705" w:type="dxa"/>
            <w:shd w:val="clear" w:color="auto" w:fill="auto"/>
            <w:noWrap/>
          </w:tcPr>
          <w:p w14:paraId="55C5F1B7" w14:textId="77777777" w:rsidR="002C154A" w:rsidRPr="00DD4DE1" w:rsidRDefault="002C154A" w:rsidP="008E1558">
            <w:pPr>
              <w:rPr>
                <w:rFonts w:ascii="Times New Roman" w:hAnsi="Times New Roman"/>
                <w:b/>
                <w:szCs w:val="20"/>
                <w:u w:val="single"/>
              </w:rPr>
            </w:pPr>
            <w:r w:rsidRPr="00DD4DE1">
              <w:rPr>
                <w:rFonts w:ascii="Times New Roman" w:hAnsi="Times New Roman"/>
                <w:b/>
                <w:u w:val="single"/>
              </w:rPr>
              <w:t>1</w:t>
            </w:r>
            <w:r w:rsidRPr="00DD4DE1">
              <w:rPr>
                <w:rFonts w:ascii="Times New Roman" w:hAnsi="Times New Roman"/>
              </w:rPr>
              <w:tab/>
            </w:r>
            <w:r w:rsidRPr="00DD4DE1">
              <w:rPr>
                <w:rFonts w:ascii="Times New Roman" w:hAnsi="Times New Roman"/>
                <w:b/>
                <w:u w:val="single"/>
              </w:rPr>
              <w:t>Finansiering i alt</w:t>
            </w:r>
          </w:p>
          <w:p w14:paraId="25D6D292" w14:textId="5B9BFF82" w:rsidR="002C154A" w:rsidRPr="00DD4DE1" w:rsidRDefault="00E42487" w:rsidP="008E1558">
            <w:pPr>
              <w:rPr>
                <w:rFonts w:ascii="Times New Roman" w:hAnsi="Times New Roman"/>
                <w:szCs w:val="20"/>
              </w:rPr>
            </w:pPr>
            <w:r w:rsidRPr="00DD4DE1">
              <w:rPr>
                <w:rFonts w:ascii="Times New Roman" w:hAnsi="Times New Roman"/>
              </w:rPr>
              <w:t>Samlet volumen og vægtet gennemsnitligt spænd for al finansiering skal oplyses for alle følgende løbetider:</w:t>
            </w:r>
          </w:p>
          <w:p w14:paraId="3D5903C1" w14:textId="2E3AE74B" w:rsidR="007778A0" w:rsidRPr="00DD4DE1" w:rsidRDefault="00CD20D9" w:rsidP="00763448">
            <w:pPr>
              <w:pStyle w:val="InstructionsText2"/>
              <w:numPr>
                <w:ilvl w:val="1"/>
                <w:numId w:val="12"/>
              </w:numPr>
              <w:rPr>
                <w:szCs w:val="20"/>
                <w:u w:val="none"/>
              </w:rPr>
            </w:pPr>
            <w:r w:rsidRPr="00DD4DE1">
              <w:rPr>
                <w:u w:val="none"/>
              </w:rPr>
              <w:t>dag-til-dag (kolonne 010 og 020)</w:t>
            </w:r>
          </w:p>
          <w:p w14:paraId="1AF1DF5A" w14:textId="2735E0FA" w:rsidR="007778A0" w:rsidRPr="00DD4DE1" w:rsidRDefault="00CD20D9" w:rsidP="00490B62">
            <w:pPr>
              <w:pStyle w:val="InstructionsText2"/>
              <w:numPr>
                <w:ilvl w:val="1"/>
                <w:numId w:val="12"/>
              </w:numPr>
              <w:rPr>
                <w:szCs w:val="20"/>
                <w:u w:val="none"/>
              </w:rPr>
            </w:pPr>
            <w:r w:rsidRPr="00DD4DE1">
              <w:rPr>
                <w:u w:val="none"/>
              </w:rPr>
              <w:t>over dag-til-dag og mindre end eller lig med 1 uge (kolonne 030 og 040)</w:t>
            </w:r>
          </w:p>
          <w:p w14:paraId="4C124A2C" w14:textId="2261E76F" w:rsidR="007778A0" w:rsidRPr="00DD4DE1" w:rsidRDefault="00CD20D9" w:rsidP="00490B62">
            <w:pPr>
              <w:pStyle w:val="InstructionsText2"/>
              <w:numPr>
                <w:ilvl w:val="1"/>
                <w:numId w:val="12"/>
              </w:numPr>
              <w:rPr>
                <w:szCs w:val="20"/>
                <w:u w:val="none"/>
              </w:rPr>
            </w:pPr>
            <w:r w:rsidRPr="00DD4DE1">
              <w:rPr>
                <w:u w:val="none"/>
              </w:rPr>
              <w:t>over 1 uge og mindre end eller lig med 1 måned (kolonne 050 og 060)</w:t>
            </w:r>
          </w:p>
          <w:p w14:paraId="74B468F3" w14:textId="703F3A1B" w:rsidR="007778A0" w:rsidRPr="00DD4DE1" w:rsidRDefault="00CD20D9" w:rsidP="00FA63BD">
            <w:pPr>
              <w:pStyle w:val="InstructionsText2"/>
              <w:numPr>
                <w:ilvl w:val="1"/>
                <w:numId w:val="12"/>
              </w:numPr>
              <w:rPr>
                <w:szCs w:val="20"/>
                <w:u w:val="none"/>
              </w:rPr>
            </w:pPr>
            <w:r w:rsidRPr="00DD4DE1">
              <w:rPr>
                <w:u w:val="none"/>
              </w:rPr>
              <w:lastRenderedPageBreak/>
              <w:t>over 1 måned og mindre end eller lig med 3 måneder (kolonne 070 og 080)</w:t>
            </w:r>
          </w:p>
          <w:p w14:paraId="482B32DB" w14:textId="0B9480D3" w:rsidR="007778A0" w:rsidRPr="00DD4DE1" w:rsidRDefault="00CD20D9" w:rsidP="00FA63BD">
            <w:pPr>
              <w:pStyle w:val="InstructionsText2"/>
              <w:numPr>
                <w:ilvl w:val="1"/>
                <w:numId w:val="12"/>
              </w:numPr>
              <w:rPr>
                <w:szCs w:val="20"/>
                <w:u w:val="none"/>
              </w:rPr>
            </w:pPr>
            <w:r w:rsidRPr="00DD4DE1">
              <w:rPr>
                <w:u w:val="none"/>
              </w:rPr>
              <w:t>over 3 måneder og mindre end eller lig med 6 måneder (kolonne 090 og 100)</w:t>
            </w:r>
          </w:p>
          <w:p w14:paraId="3C4AC9B6" w14:textId="4AEB5114" w:rsidR="007778A0" w:rsidRPr="00DD4DE1" w:rsidRDefault="00CD20D9" w:rsidP="00FA63BD">
            <w:pPr>
              <w:pStyle w:val="InstructionsText2"/>
              <w:numPr>
                <w:ilvl w:val="1"/>
                <w:numId w:val="12"/>
              </w:numPr>
              <w:rPr>
                <w:szCs w:val="20"/>
                <w:u w:val="none"/>
              </w:rPr>
            </w:pPr>
            <w:r w:rsidRPr="00DD4DE1">
              <w:rPr>
                <w:u w:val="none"/>
              </w:rPr>
              <w:t>over 6 måneder og mindre end eller lig med 1 år (kolonne 110 og 120)</w:t>
            </w:r>
          </w:p>
          <w:p w14:paraId="1C290FE7" w14:textId="48055B0E" w:rsidR="007778A0" w:rsidRPr="00DD4DE1" w:rsidRDefault="00CD20D9" w:rsidP="00FA63BD">
            <w:pPr>
              <w:pStyle w:val="InstructionsText2"/>
              <w:numPr>
                <w:ilvl w:val="1"/>
                <w:numId w:val="12"/>
              </w:numPr>
              <w:rPr>
                <w:szCs w:val="20"/>
                <w:u w:val="none"/>
              </w:rPr>
            </w:pPr>
            <w:r w:rsidRPr="00DD4DE1">
              <w:rPr>
                <w:u w:val="none"/>
              </w:rPr>
              <w:t>over 1 år og mindre end eller lig med 2 år (kolonne 130 og 140)</w:t>
            </w:r>
          </w:p>
          <w:p w14:paraId="6E53E104" w14:textId="0EEA7BE2" w:rsidR="007778A0" w:rsidRPr="00DD4DE1" w:rsidRDefault="00CD20D9" w:rsidP="00FA63BD">
            <w:pPr>
              <w:pStyle w:val="InstructionsText2"/>
              <w:numPr>
                <w:ilvl w:val="1"/>
                <w:numId w:val="12"/>
              </w:numPr>
              <w:rPr>
                <w:szCs w:val="20"/>
                <w:u w:val="none"/>
              </w:rPr>
            </w:pPr>
            <w:r w:rsidRPr="00DD4DE1">
              <w:rPr>
                <w:u w:val="none"/>
              </w:rPr>
              <w:t>over 2 år og mindre end eller lig med 5 år (kolonne 150 og 160)</w:t>
            </w:r>
          </w:p>
          <w:p w14:paraId="22EC36F6" w14:textId="7C57E11E" w:rsidR="00CE333E" w:rsidRPr="00DD4DE1" w:rsidRDefault="00CD20D9" w:rsidP="00237D15">
            <w:pPr>
              <w:pStyle w:val="InstructionsText2"/>
              <w:numPr>
                <w:ilvl w:val="1"/>
                <w:numId w:val="12"/>
              </w:numPr>
              <w:rPr>
                <w:szCs w:val="20"/>
                <w:u w:val="none"/>
              </w:rPr>
            </w:pPr>
            <w:r w:rsidRPr="00DD4DE1">
              <w:rPr>
                <w:u w:val="none"/>
              </w:rPr>
              <w:t>over 5 år og mindre end eller lig med 10 år (kolonne 170 og 180).</w:t>
            </w:r>
          </w:p>
        </w:tc>
      </w:tr>
      <w:tr w:rsidR="00E332B3" w:rsidRPr="00DD4DE1" w14:paraId="2F05E0FC" w14:textId="77777777" w:rsidTr="00ED41A4">
        <w:trPr>
          <w:trHeight w:val="255"/>
        </w:trPr>
        <w:tc>
          <w:tcPr>
            <w:tcW w:w="817" w:type="dxa"/>
            <w:shd w:val="clear" w:color="auto" w:fill="auto"/>
            <w:noWrap/>
          </w:tcPr>
          <w:p w14:paraId="765DA707" w14:textId="77777777" w:rsidR="002C154A" w:rsidRPr="00DD4DE1" w:rsidRDefault="00AF1439">
            <w:pPr>
              <w:spacing w:before="0" w:after="0"/>
              <w:jc w:val="left"/>
              <w:rPr>
                <w:rFonts w:ascii="Times New Roman" w:hAnsi="Times New Roman"/>
                <w:szCs w:val="20"/>
              </w:rPr>
            </w:pPr>
            <w:r w:rsidRPr="00DD4DE1">
              <w:rPr>
                <w:rFonts w:ascii="Times New Roman" w:hAnsi="Times New Roman"/>
              </w:rPr>
              <w:lastRenderedPageBreak/>
              <w:t>020</w:t>
            </w:r>
          </w:p>
        </w:tc>
        <w:tc>
          <w:tcPr>
            <w:tcW w:w="7705" w:type="dxa"/>
            <w:shd w:val="clear" w:color="auto" w:fill="auto"/>
            <w:noWrap/>
          </w:tcPr>
          <w:p w14:paraId="01DDA71E" w14:textId="5264247F" w:rsidR="002C154A" w:rsidRPr="00DD4DE1" w:rsidRDefault="002C154A" w:rsidP="008E1558">
            <w:pPr>
              <w:rPr>
                <w:rFonts w:ascii="Times New Roman" w:hAnsi="Times New Roman"/>
                <w:b/>
                <w:szCs w:val="20"/>
                <w:u w:val="single"/>
              </w:rPr>
            </w:pPr>
            <w:r w:rsidRPr="00DD4DE1">
              <w:rPr>
                <w:rFonts w:ascii="Times New Roman" w:hAnsi="Times New Roman"/>
                <w:b/>
                <w:u w:val="single"/>
              </w:rPr>
              <w:t>1.1</w:t>
            </w:r>
            <w:r w:rsidRPr="00DD4DE1">
              <w:rPr>
                <w:rFonts w:ascii="Times New Roman" w:hAnsi="Times New Roman"/>
              </w:rPr>
              <w:tab/>
            </w:r>
            <w:r w:rsidRPr="00DD4DE1">
              <w:rPr>
                <w:rFonts w:ascii="Times New Roman" w:hAnsi="Times New Roman"/>
                <w:b/>
                <w:u w:val="single"/>
              </w:rPr>
              <w:t>Heraf: Detailfinansiering</w:t>
            </w:r>
          </w:p>
          <w:p w14:paraId="2F60C8D8" w14:textId="2FA8A3BB" w:rsidR="002C154A" w:rsidRPr="00DD4DE1" w:rsidRDefault="00CE333E" w:rsidP="001C1BA1">
            <w:pPr>
              <w:rPr>
                <w:rFonts w:ascii="Times New Roman" w:hAnsi="Times New Roman"/>
                <w:szCs w:val="20"/>
              </w:rPr>
            </w:pPr>
            <w:r w:rsidRPr="00DD4DE1">
              <w:rPr>
                <w:rFonts w:ascii="Times New Roman" w:hAnsi="Times New Roman"/>
              </w:rPr>
              <w:t>Den andel af den samlede finansiering indberettet under post 1, der udgøres af den modtagne detailfinansiering. Angiv samlet volumen og vægtet gennemsnitligt spænd.</w:t>
            </w:r>
          </w:p>
        </w:tc>
      </w:tr>
      <w:tr w:rsidR="00AF1439" w:rsidRPr="00DD4DE1" w14:paraId="2AEBF8C4" w14:textId="77777777" w:rsidTr="00ED41A4">
        <w:trPr>
          <w:trHeight w:val="255"/>
        </w:trPr>
        <w:tc>
          <w:tcPr>
            <w:tcW w:w="817" w:type="dxa"/>
            <w:shd w:val="clear" w:color="auto" w:fill="auto"/>
            <w:noWrap/>
          </w:tcPr>
          <w:p w14:paraId="0F94FE37" w14:textId="77777777" w:rsidR="00AF1439" w:rsidRPr="00DD4DE1" w:rsidRDefault="00AF1439" w:rsidP="00ED41A4">
            <w:pPr>
              <w:spacing w:before="0" w:after="0"/>
              <w:jc w:val="left"/>
              <w:rPr>
                <w:rFonts w:ascii="Times New Roman" w:hAnsi="Times New Roman"/>
                <w:szCs w:val="20"/>
              </w:rPr>
            </w:pPr>
            <w:r w:rsidRPr="00DD4DE1">
              <w:rPr>
                <w:rFonts w:ascii="Times New Roman" w:hAnsi="Times New Roman"/>
              </w:rPr>
              <w:t>030</w:t>
            </w:r>
          </w:p>
        </w:tc>
        <w:tc>
          <w:tcPr>
            <w:tcW w:w="7705" w:type="dxa"/>
            <w:shd w:val="clear" w:color="auto" w:fill="auto"/>
            <w:noWrap/>
          </w:tcPr>
          <w:p w14:paraId="61E92F36" w14:textId="739E083C" w:rsidR="00AF1439" w:rsidRPr="00DD4DE1" w:rsidRDefault="00AF1439" w:rsidP="008E1558">
            <w:pPr>
              <w:rPr>
                <w:rFonts w:ascii="Times New Roman" w:hAnsi="Times New Roman"/>
                <w:b/>
                <w:szCs w:val="20"/>
                <w:u w:val="single"/>
              </w:rPr>
            </w:pPr>
            <w:r w:rsidRPr="00DD4DE1">
              <w:rPr>
                <w:rFonts w:ascii="Times New Roman" w:hAnsi="Times New Roman"/>
                <w:b/>
                <w:u w:val="single"/>
              </w:rPr>
              <w:t>1.2</w:t>
            </w:r>
            <w:r w:rsidRPr="00DD4DE1">
              <w:rPr>
                <w:rFonts w:ascii="Times New Roman" w:hAnsi="Times New Roman"/>
              </w:rPr>
              <w:tab/>
            </w:r>
            <w:r w:rsidRPr="00DD4DE1">
              <w:rPr>
                <w:rFonts w:ascii="Times New Roman" w:hAnsi="Times New Roman"/>
                <w:b/>
                <w:u w:val="single"/>
              </w:rPr>
              <w:t>Heraf: Usikret engrosfinansiering</w:t>
            </w:r>
          </w:p>
          <w:p w14:paraId="49C52367" w14:textId="79C0122B" w:rsidR="00AF1439" w:rsidRPr="00DD4DE1" w:rsidRDefault="00AF1439" w:rsidP="001C1BA1">
            <w:pPr>
              <w:rPr>
                <w:rFonts w:ascii="Times New Roman" w:hAnsi="Times New Roman"/>
                <w:szCs w:val="20"/>
              </w:rPr>
            </w:pPr>
            <w:r w:rsidRPr="00DD4DE1">
              <w:rPr>
                <w:rFonts w:ascii="Times New Roman" w:hAnsi="Times New Roman"/>
              </w:rPr>
              <w:t>Den andel af den samlede finansiering indberettet under 1, der udgøres af den modtagne usikrede engrosfinansiering. Angiv samlet volumen og vægtet gennemsnitligt spænd.</w:t>
            </w:r>
          </w:p>
        </w:tc>
      </w:tr>
      <w:tr w:rsidR="00DD5897" w:rsidRPr="00DD4DE1" w14:paraId="6186F1AE" w14:textId="77777777" w:rsidTr="00ED41A4">
        <w:trPr>
          <w:trHeight w:val="255"/>
        </w:trPr>
        <w:tc>
          <w:tcPr>
            <w:tcW w:w="817" w:type="dxa"/>
            <w:shd w:val="clear" w:color="auto" w:fill="auto"/>
            <w:noWrap/>
          </w:tcPr>
          <w:p w14:paraId="39B34295" w14:textId="77777777" w:rsidR="00DD5897" w:rsidRPr="00DD4DE1" w:rsidRDefault="00AF1439" w:rsidP="00ED41A4">
            <w:pPr>
              <w:spacing w:before="0" w:after="0"/>
              <w:jc w:val="left"/>
              <w:rPr>
                <w:rFonts w:ascii="Times New Roman" w:hAnsi="Times New Roman"/>
                <w:szCs w:val="20"/>
              </w:rPr>
            </w:pPr>
            <w:r w:rsidRPr="00DD4DE1">
              <w:rPr>
                <w:rFonts w:ascii="Times New Roman" w:hAnsi="Times New Roman"/>
              </w:rPr>
              <w:t>040</w:t>
            </w:r>
          </w:p>
        </w:tc>
        <w:tc>
          <w:tcPr>
            <w:tcW w:w="7705" w:type="dxa"/>
            <w:shd w:val="clear" w:color="auto" w:fill="auto"/>
            <w:noWrap/>
          </w:tcPr>
          <w:p w14:paraId="2D0E1DA1" w14:textId="77777777" w:rsidR="00DD5897" w:rsidRPr="00DD4DE1" w:rsidRDefault="00DD5897" w:rsidP="00193B6D">
            <w:pPr>
              <w:rPr>
                <w:rFonts w:ascii="Times New Roman" w:hAnsi="Times New Roman"/>
                <w:b/>
                <w:szCs w:val="20"/>
                <w:u w:val="single"/>
              </w:rPr>
            </w:pPr>
            <w:r w:rsidRPr="00DD4DE1">
              <w:rPr>
                <w:rFonts w:ascii="Times New Roman" w:hAnsi="Times New Roman"/>
                <w:b/>
                <w:u w:val="single"/>
              </w:rPr>
              <w:t>1.3</w:t>
            </w:r>
            <w:r w:rsidRPr="00DD4DE1">
              <w:rPr>
                <w:rFonts w:ascii="Times New Roman" w:hAnsi="Times New Roman"/>
              </w:rPr>
              <w:tab/>
            </w:r>
            <w:r w:rsidRPr="00DD4DE1">
              <w:rPr>
                <w:rFonts w:ascii="Times New Roman" w:hAnsi="Times New Roman"/>
                <w:b/>
                <w:u w:val="single"/>
              </w:rPr>
              <w:t>Heraf: Sikret finansiering</w:t>
            </w:r>
          </w:p>
          <w:p w14:paraId="1193789E" w14:textId="77777777" w:rsidR="00DD5897" w:rsidRPr="00DD4DE1" w:rsidRDefault="00CE333E" w:rsidP="00193B6D">
            <w:pPr>
              <w:rPr>
                <w:rFonts w:ascii="Times New Roman" w:hAnsi="Times New Roman"/>
                <w:b/>
                <w:szCs w:val="20"/>
                <w:u w:val="single"/>
              </w:rPr>
            </w:pPr>
            <w:r w:rsidRPr="00DD4DE1">
              <w:rPr>
                <w:rFonts w:ascii="Times New Roman" w:hAnsi="Times New Roman"/>
              </w:rPr>
              <w:t>Den andel af den samlede finansiering indberettet under 1, der udgøres af modtaget sikret finansiering. Angiv samlet volumen og vægtet gennemsnitligt spænd.</w:t>
            </w:r>
          </w:p>
        </w:tc>
      </w:tr>
      <w:tr w:rsidR="00E332B3" w:rsidRPr="00DD4DE1" w14:paraId="1D56DA27" w14:textId="77777777" w:rsidTr="00ED41A4">
        <w:trPr>
          <w:trHeight w:val="255"/>
        </w:trPr>
        <w:tc>
          <w:tcPr>
            <w:tcW w:w="817" w:type="dxa"/>
            <w:shd w:val="clear" w:color="auto" w:fill="auto"/>
            <w:noWrap/>
          </w:tcPr>
          <w:p w14:paraId="10F28777" w14:textId="77777777" w:rsidR="002C154A" w:rsidRPr="00DD4DE1" w:rsidRDefault="00AF1439">
            <w:pPr>
              <w:spacing w:before="0" w:after="0"/>
              <w:jc w:val="left"/>
              <w:rPr>
                <w:rFonts w:ascii="Times New Roman" w:hAnsi="Times New Roman"/>
                <w:szCs w:val="20"/>
              </w:rPr>
            </w:pPr>
            <w:r w:rsidRPr="00DD4DE1">
              <w:rPr>
                <w:rFonts w:ascii="Times New Roman" w:hAnsi="Times New Roman"/>
              </w:rPr>
              <w:t>050</w:t>
            </w:r>
          </w:p>
        </w:tc>
        <w:tc>
          <w:tcPr>
            <w:tcW w:w="7705" w:type="dxa"/>
            <w:shd w:val="clear" w:color="auto" w:fill="auto"/>
            <w:noWrap/>
          </w:tcPr>
          <w:p w14:paraId="43439F3F" w14:textId="77777777" w:rsidR="002C154A" w:rsidRPr="00DD4DE1" w:rsidRDefault="002C154A" w:rsidP="00193B6D">
            <w:pPr>
              <w:rPr>
                <w:rFonts w:ascii="Times New Roman" w:hAnsi="Times New Roman"/>
                <w:b/>
                <w:szCs w:val="20"/>
                <w:u w:val="single"/>
              </w:rPr>
            </w:pPr>
            <w:r w:rsidRPr="00DD4DE1">
              <w:rPr>
                <w:rFonts w:ascii="Times New Roman" w:hAnsi="Times New Roman"/>
                <w:b/>
                <w:u w:val="single"/>
              </w:rPr>
              <w:t>1.4</w:t>
            </w:r>
            <w:r w:rsidRPr="00DD4DE1">
              <w:rPr>
                <w:rFonts w:ascii="Times New Roman" w:hAnsi="Times New Roman"/>
              </w:rPr>
              <w:tab/>
            </w:r>
            <w:r w:rsidRPr="00DD4DE1">
              <w:rPr>
                <w:rFonts w:ascii="Times New Roman" w:hAnsi="Times New Roman"/>
                <w:b/>
                <w:u w:val="single"/>
              </w:rPr>
              <w:t>Heraf: Usikret seniorgæld</w:t>
            </w:r>
          </w:p>
          <w:p w14:paraId="14410483" w14:textId="77777777" w:rsidR="00E332B3" w:rsidRPr="00DD4DE1" w:rsidRDefault="00CE333E" w:rsidP="00193B6D">
            <w:pPr>
              <w:rPr>
                <w:rFonts w:ascii="Times New Roman" w:hAnsi="Times New Roman"/>
                <w:b/>
                <w:szCs w:val="20"/>
                <w:u w:val="single"/>
              </w:rPr>
            </w:pPr>
            <w:r w:rsidRPr="00DD4DE1">
              <w:rPr>
                <w:rFonts w:ascii="Times New Roman" w:hAnsi="Times New Roman"/>
              </w:rPr>
              <w:t>Den andel af den samlede finansiering indberettet under 1, der udgøres af modtaget usikret seniorgæld. Angiv samlet volumen og vægtet gennemsnitligt spænd.</w:t>
            </w:r>
          </w:p>
        </w:tc>
      </w:tr>
      <w:tr w:rsidR="00E332B3" w:rsidRPr="00DD4DE1" w14:paraId="28F41CB6" w14:textId="77777777" w:rsidTr="00ED41A4">
        <w:trPr>
          <w:trHeight w:val="255"/>
        </w:trPr>
        <w:tc>
          <w:tcPr>
            <w:tcW w:w="817" w:type="dxa"/>
            <w:shd w:val="clear" w:color="auto" w:fill="auto"/>
            <w:noWrap/>
          </w:tcPr>
          <w:p w14:paraId="27FBC55D" w14:textId="77777777" w:rsidR="002C154A" w:rsidRPr="00DD4DE1" w:rsidRDefault="00AF1439" w:rsidP="00ED41A4">
            <w:pPr>
              <w:spacing w:before="0" w:after="0"/>
              <w:jc w:val="left"/>
              <w:rPr>
                <w:rFonts w:ascii="Times New Roman" w:hAnsi="Times New Roman"/>
                <w:szCs w:val="20"/>
              </w:rPr>
            </w:pPr>
            <w:r w:rsidRPr="00DD4DE1">
              <w:rPr>
                <w:rFonts w:ascii="Times New Roman" w:hAnsi="Times New Roman"/>
              </w:rPr>
              <w:t>060</w:t>
            </w:r>
          </w:p>
        </w:tc>
        <w:tc>
          <w:tcPr>
            <w:tcW w:w="7705" w:type="dxa"/>
            <w:shd w:val="clear" w:color="auto" w:fill="auto"/>
            <w:noWrap/>
          </w:tcPr>
          <w:p w14:paraId="00CF474C" w14:textId="77777777" w:rsidR="002C154A" w:rsidRPr="00DD4DE1" w:rsidRDefault="002C154A" w:rsidP="00193B6D">
            <w:pPr>
              <w:rPr>
                <w:rFonts w:ascii="Times New Roman" w:hAnsi="Times New Roman"/>
                <w:b/>
                <w:szCs w:val="20"/>
                <w:u w:val="single"/>
              </w:rPr>
            </w:pPr>
            <w:r w:rsidRPr="00DD4DE1">
              <w:rPr>
                <w:rFonts w:ascii="Times New Roman" w:hAnsi="Times New Roman"/>
                <w:b/>
                <w:u w:val="single"/>
              </w:rPr>
              <w:t>1.5</w:t>
            </w:r>
            <w:r w:rsidRPr="00DD4DE1">
              <w:rPr>
                <w:rFonts w:ascii="Times New Roman" w:hAnsi="Times New Roman"/>
              </w:rPr>
              <w:tab/>
            </w:r>
            <w:r w:rsidRPr="00DD4DE1">
              <w:rPr>
                <w:rFonts w:ascii="Times New Roman" w:hAnsi="Times New Roman"/>
                <w:b/>
                <w:u w:val="single"/>
              </w:rPr>
              <w:t>Heraf: Særligt dækkede obligationer og særligt dækkede realkreditobligationer</w:t>
            </w:r>
          </w:p>
          <w:p w14:paraId="2AEEDF2A" w14:textId="77777777" w:rsidR="00E332B3" w:rsidRPr="00DD4DE1" w:rsidRDefault="00CE333E" w:rsidP="00193B6D">
            <w:pPr>
              <w:rPr>
                <w:rFonts w:ascii="Times New Roman" w:hAnsi="Times New Roman"/>
                <w:b/>
                <w:szCs w:val="20"/>
                <w:u w:val="single"/>
              </w:rPr>
            </w:pPr>
            <w:r w:rsidRPr="00DD4DE1">
              <w:rPr>
                <w:rFonts w:ascii="Times New Roman" w:hAnsi="Times New Roman"/>
              </w:rPr>
              <w:t>Den andel af den samlede finansiering indberettet under 1, der udgøres af særligt dækkede obligationer og særligt dækkede realkreditobligationer, ved hvilke instituttets egne aktiver er behæftet. Angiv samlet volumen og vægtet gennemsnitligt spænd.</w:t>
            </w:r>
          </w:p>
        </w:tc>
      </w:tr>
      <w:tr w:rsidR="00E332B3" w:rsidRPr="00DD4DE1" w14:paraId="7E2EC114" w14:textId="77777777" w:rsidTr="00ED41A4">
        <w:trPr>
          <w:trHeight w:val="255"/>
        </w:trPr>
        <w:tc>
          <w:tcPr>
            <w:tcW w:w="817" w:type="dxa"/>
            <w:shd w:val="clear" w:color="auto" w:fill="auto"/>
            <w:noWrap/>
          </w:tcPr>
          <w:p w14:paraId="37FE37EA" w14:textId="77777777" w:rsidR="002C154A" w:rsidRPr="00DD4DE1" w:rsidRDefault="00AF1439" w:rsidP="00ED41A4">
            <w:pPr>
              <w:spacing w:before="0" w:after="0"/>
              <w:jc w:val="left"/>
              <w:rPr>
                <w:rFonts w:ascii="Times New Roman" w:hAnsi="Times New Roman"/>
                <w:szCs w:val="20"/>
              </w:rPr>
            </w:pPr>
            <w:r w:rsidRPr="00DD4DE1">
              <w:rPr>
                <w:rFonts w:ascii="Times New Roman" w:hAnsi="Times New Roman"/>
              </w:rPr>
              <w:t>070</w:t>
            </w:r>
          </w:p>
        </w:tc>
        <w:tc>
          <w:tcPr>
            <w:tcW w:w="7705" w:type="dxa"/>
            <w:shd w:val="clear" w:color="auto" w:fill="auto"/>
            <w:noWrap/>
          </w:tcPr>
          <w:p w14:paraId="2EB3DA46" w14:textId="4B535F73" w:rsidR="002C154A" w:rsidRPr="00DD4DE1" w:rsidRDefault="002C154A" w:rsidP="00193B6D">
            <w:pPr>
              <w:rPr>
                <w:rFonts w:ascii="Times New Roman" w:hAnsi="Times New Roman"/>
                <w:b/>
                <w:szCs w:val="20"/>
                <w:u w:val="single"/>
              </w:rPr>
            </w:pPr>
            <w:r w:rsidRPr="00DD4DE1">
              <w:rPr>
                <w:rFonts w:ascii="Times New Roman" w:hAnsi="Times New Roman"/>
                <w:b/>
                <w:u w:val="single"/>
              </w:rPr>
              <w:t>1.6</w:t>
            </w:r>
            <w:r w:rsidRPr="00DD4DE1">
              <w:rPr>
                <w:rFonts w:ascii="Times New Roman" w:hAnsi="Times New Roman"/>
              </w:rPr>
              <w:tab/>
            </w:r>
            <w:r w:rsidRPr="00DD4DE1">
              <w:rPr>
                <w:rFonts w:ascii="Times New Roman" w:hAnsi="Times New Roman"/>
                <w:b/>
                <w:u w:val="single"/>
              </w:rPr>
              <w:t>Heraf: Værdipapirer med sikkerhed i aktiver (asset backed securities - ABS), herunder kortfristede gældsbreve (commercial paper - ABCP)</w:t>
            </w:r>
          </w:p>
          <w:p w14:paraId="44C96B86" w14:textId="673B01D6" w:rsidR="00E332B3" w:rsidRPr="00DD4DE1" w:rsidRDefault="00CE333E" w:rsidP="00F24465">
            <w:pPr>
              <w:rPr>
                <w:rFonts w:ascii="Times New Roman" w:hAnsi="Times New Roman"/>
                <w:b/>
                <w:szCs w:val="20"/>
                <w:u w:val="single"/>
              </w:rPr>
            </w:pPr>
            <w:r w:rsidRPr="00DD4DE1">
              <w:rPr>
                <w:rFonts w:ascii="Times New Roman" w:hAnsi="Times New Roman"/>
              </w:rPr>
              <w:t xml:space="preserve">Den andel af den samlede finansiering indberettet under 1, der udgøres af værdipapirer med sikkerhed i aktiver (asset backed securities - ABS), herunder kortfristede gældsbreve (commercial paper </w:t>
            </w:r>
            <w:r w:rsidR="00F24465" w:rsidRPr="00DD4DE1">
              <w:rPr>
                <w:rFonts w:ascii="Times New Roman" w:hAnsi="Times New Roman"/>
              </w:rPr>
              <w:t>—</w:t>
            </w:r>
            <w:r w:rsidRPr="00DD4DE1">
              <w:rPr>
                <w:rFonts w:ascii="Times New Roman" w:hAnsi="Times New Roman"/>
              </w:rPr>
              <w:t xml:space="preserve"> ABCP). Angiv samlet volumen og vægtet gennemsnitligt spænd.</w:t>
            </w:r>
          </w:p>
        </w:tc>
      </w:tr>
    </w:tbl>
    <w:p w14:paraId="5029EEE5" w14:textId="77777777" w:rsidR="00953ED6" w:rsidRPr="00DD4DE1" w:rsidRDefault="00953ED6" w:rsidP="000343B1">
      <w:pPr>
        <w:pStyle w:val="InstructionsText"/>
        <w:rPr>
          <w:rStyle w:val="InstructionsTabelleText"/>
          <w:rFonts w:ascii="Times New Roman" w:hAnsi="Times New Roman"/>
          <w:u w:val="none"/>
        </w:rPr>
      </w:pPr>
    </w:p>
    <w:p w14:paraId="63E17173" w14:textId="77777777" w:rsidR="00181260" w:rsidRPr="00DD4DE1" w:rsidRDefault="006000DF" w:rsidP="00DD5897">
      <w:pPr>
        <w:pStyle w:val="Instructionsberschrift2"/>
        <w:numPr>
          <w:ilvl w:val="1"/>
          <w:numId w:val="2"/>
        </w:numPr>
        <w:spacing w:before="0"/>
        <w:rPr>
          <w:rFonts w:ascii="Times New Roman" w:hAnsi="Times New Roman" w:cs="Times New Roman"/>
          <w:szCs w:val="20"/>
        </w:rPr>
      </w:pPr>
      <w:r w:rsidRPr="00DD4DE1">
        <w:rPr>
          <w:rFonts w:ascii="Times New Roman" w:hAnsi="Times New Roman" w:cs="Times New Roman"/>
        </w:rPr>
        <w:t>Refinansiering (C 70.00)</w:t>
      </w:r>
    </w:p>
    <w:p w14:paraId="5ACA258A" w14:textId="276B9622" w:rsidR="00DD5897" w:rsidRPr="00DD4DE1" w:rsidRDefault="00DD5897" w:rsidP="00DD5897">
      <w:pPr>
        <w:pStyle w:val="InstructionsText2"/>
        <w:numPr>
          <w:ilvl w:val="0"/>
          <w:numId w:val="8"/>
        </w:numPr>
        <w:rPr>
          <w:szCs w:val="20"/>
          <w:u w:val="none"/>
        </w:rPr>
      </w:pPr>
      <w:bookmarkStart w:id="3" w:name="_Toc308175821"/>
      <w:bookmarkStart w:id="4" w:name="_Toc310414968"/>
      <w:r w:rsidRPr="00DD4DE1">
        <w:rPr>
          <w:u w:val="none"/>
        </w:rPr>
        <w:t>Formålet med dette skema er at indsamle oplysninger om volumen af finansiering, der udløber, og ny modtagen finansiering, dvs. "refinansiering" på daglig basis i den måned, der går forud for indberetningsdatoen.</w:t>
      </w:r>
    </w:p>
    <w:p w14:paraId="180EF408" w14:textId="5A266611" w:rsidR="00DB3C37" w:rsidRPr="00DD4DE1" w:rsidRDefault="00DB3C37" w:rsidP="00DD5897">
      <w:pPr>
        <w:pStyle w:val="InstructionsText2"/>
        <w:numPr>
          <w:ilvl w:val="0"/>
          <w:numId w:val="8"/>
        </w:numPr>
        <w:rPr>
          <w:szCs w:val="20"/>
          <w:u w:val="none"/>
        </w:rPr>
      </w:pPr>
      <w:r w:rsidRPr="00DD4DE1">
        <w:rPr>
          <w:u w:val="none"/>
        </w:rPr>
        <w:t>Institutterne skal i kalenderdage indberette den finansiering, som de har, og som udløber i overensstemmelse med følgende løbetidsklasser, i overensstemmelse med den oprindelige løbetid:</w:t>
      </w:r>
    </w:p>
    <w:p w14:paraId="10B482AB" w14:textId="6285BE75" w:rsidR="00DB3C37" w:rsidRPr="00DD4DE1" w:rsidRDefault="00237D15" w:rsidP="0094416B">
      <w:pPr>
        <w:pStyle w:val="InstructionsText2"/>
        <w:numPr>
          <w:ilvl w:val="1"/>
          <w:numId w:val="5"/>
        </w:numPr>
        <w:ind w:left="1276" w:hanging="283"/>
        <w:rPr>
          <w:szCs w:val="20"/>
          <w:u w:val="none"/>
        </w:rPr>
      </w:pPr>
      <w:r w:rsidRPr="00DD4DE1">
        <w:rPr>
          <w:u w:val="none"/>
        </w:rPr>
        <w:t>dag-til-dag (kolonne 010-040)</w:t>
      </w:r>
    </w:p>
    <w:p w14:paraId="78059097" w14:textId="4572B97B" w:rsidR="00DB3C37" w:rsidRPr="00DD4DE1" w:rsidRDefault="00237D15" w:rsidP="00DB3C37">
      <w:pPr>
        <w:pStyle w:val="InstructionsText2"/>
        <w:numPr>
          <w:ilvl w:val="1"/>
          <w:numId w:val="5"/>
        </w:numPr>
        <w:ind w:left="1276" w:hanging="283"/>
        <w:rPr>
          <w:szCs w:val="20"/>
          <w:u w:val="none"/>
        </w:rPr>
      </w:pPr>
      <w:r w:rsidRPr="00DD4DE1">
        <w:rPr>
          <w:u w:val="none"/>
        </w:rPr>
        <w:t>mellem 1 dag og 7 dage (kolonne 050-080)</w:t>
      </w:r>
    </w:p>
    <w:p w14:paraId="0888F316" w14:textId="5C20E07A" w:rsidR="00DB3C37" w:rsidRPr="00DD4DE1" w:rsidRDefault="00237D15" w:rsidP="00DB3C37">
      <w:pPr>
        <w:pStyle w:val="InstructionsText2"/>
        <w:numPr>
          <w:ilvl w:val="1"/>
          <w:numId w:val="5"/>
        </w:numPr>
        <w:ind w:left="1276" w:hanging="283"/>
        <w:rPr>
          <w:szCs w:val="20"/>
          <w:u w:val="none"/>
        </w:rPr>
      </w:pPr>
      <w:r w:rsidRPr="00DD4DE1">
        <w:rPr>
          <w:u w:val="none"/>
        </w:rPr>
        <w:t>mellem 7 dag og 14 dage (kolonne 090-120)</w:t>
      </w:r>
    </w:p>
    <w:p w14:paraId="08E23AA2" w14:textId="53446689" w:rsidR="00DB3C37" w:rsidRPr="00DD4DE1" w:rsidRDefault="00237D15" w:rsidP="00DB3C37">
      <w:pPr>
        <w:pStyle w:val="InstructionsText2"/>
        <w:numPr>
          <w:ilvl w:val="1"/>
          <w:numId w:val="5"/>
        </w:numPr>
        <w:ind w:left="1276" w:hanging="283"/>
        <w:rPr>
          <w:szCs w:val="20"/>
          <w:u w:val="none"/>
        </w:rPr>
      </w:pPr>
      <w:r w:rsidRPr="00DD4DE1">
        <w:rPr>
          <w:u w:val="none"/>
        </w:rPr>
        <w:lastRenderedPageBreak/>
        <w:t>mellem 14 dage og 1 måned (kolonne 130-160)</w:t>
      </w:r>
    </w:p>
    <w:p w14:paraId="69F00FB2" w14:textId="021E729C" w:rsidR="00DB3C37" w:rsidRPr="00DD4DE1" w:rsidRDefault="00237D15" w:rsidP="00DB3C37">
      <w:pPr>
        <w:pStyle w:val="InstructionsText2"/>
        <w:numPr>
          <w:ilvl w:val="1"/>
          <w:numId w:val="5"/>
        </w:numPr>
        <w:ind w:left="1276" w:hanging="283"/>
        <w:rPr>
          <w:szCs w:val="20"/>
          <w:u w:val="none"/>
        </w:rPr>
      </w:pPr>
      <w:r w:rsidRPr="00DD4DE1">
        <w:rPr>
          <w:u w:val="none"/>
        </w:rPr>
        <w:t>mellem 1 måned og 3 måneder (kolonne 170-200)</w:t>
      </w:r>
    </w:p>
    <w:p w14:paraId="39971E5E" w14:textId="651F802B" w:rsidR="00DB3C37" w:rsidRPr="00DD4DE1" w:rsidRDefault="00237D15" w:rsidP="00DB3C37">
      <w:pPr>
        <w:pStyle w:val="InstructionsText2"/>
        <w:numPr>
          <w:ilvl w:val="1"/>
          <w:numId w:val="5"/>
        </w:numPr>
        <w:ind w:left="1276" w:hanging="283"/>
        <w:rPr>
          <w:szCs w:val="20"/>
          <w:u w:val="none"/>
        </w:rPr>
      </w:pPr>
      <w:r w:rsidRPr="00DD4DE1">
        <w:rPr>
          <w:u w:val="none"/>
        </w:rPr>
        <w:t>mellem 3 måned og 6 måneder (kolonne 210-240)</w:t>
      </w:r>
    </w:p>
    <w:p w14:paraId="7574DBE7" w14:textId="7977E8C2" w:rsidR="009A329A" w:rsidRPr="00DD4DE1" w:rsidRDefault="00144FB8" w:rsidP="009A329A">
      <w:pPr>
        <w:pStyle w:val="InstructionsText2"/>
        <w:numPr>
          <w:ilvl w:val="1"/>
          <w:numId w:val="5"/>
        </w:numPr>
        <w:ind w:left="1276" w:hanging="283"/>
        <w:rPr>
          <w:szCs w:val="20"/>
          <w:u w:val="none"/>
        </w:rPr>
      </w:pPr>
      <w:r w:rsidRPr="00DD4DE1">
        <w:rPr>
          <w:u w:val="none"/>
        </w:rPr>
        <w:t>med løbetid over 6 måneder (kolonne 250-280).</w:t>
      </w:r>
    </w:p>
    <w:p w14:paraId="1F25325E" w14:textId="0E268387" w:rsidR="00DB3C37" w:rsidRPr="00DD4DE1" w:rsidRDefault="00DB3C37" w:rsidP="00ED41A4">
      <w:pPr>
        <w:pStyle w:val="InstructionsText2"/>
        <w:numPr>
          <w:ilvl w:val="0"/>
          <w:numId w:val="8"/>
        </w:numPr>
        <w:rPr>
          <w:szCs w:val="20"/>
          <w:u w:val="none"/>
        </w:rPr>
      </w:pPr>
      <w:r w:rsidRPr="00DD4DE1">
        <w:rPr>
          <w:u w:val="none"/>
        </w:rPr>
        <w:t xml:space="preserve">For hver løbetidsklasse beskrevet i punkt 2 ovenfor skal det beløb, der udløber, indberettes i venstre kolonne, refinansierede midler skal indberettes i kolonnen "Refinansiering", nye modtagne finansieringsmidler skal indberettes i kolonnen "Nye midler", og nettoforskellen mellem nye midler på den ene side og refinansiering minus finansiering, der udløber, på den anden side skal indberettes i højre kolonne. </w:t>
      </w:r>
    </w:p>
    <w:p w14:paraId="710A06F4" w14:textId="219179A7" w:rsidR="00DB3C37" w:rsidRPr="00DD4DE1" w:rsidRDefault="00DB3C37" w:rsidP="00DB3C37">
      <w:pPr>
        <w:pStyle w:val="InstructionsText2"/>
        <w:numPr>
          <w:ilvl w:val="0"/>
          <w:numId w:val="8"/>
        </w:numPr>
        <w:rPr>
          <w:szCs w:val="20"/>
          <w:u w:val="none"/>
        </w:rPr>
      </w:pPr>
      <w:r w:rsidRPr="00DD4DE1">
        <w:rPr>
          <w:u w:val="none"/>
        </w:rPr>
        <w:t>Nettopengestrømme i alt skal indberettes i kolonne 290 og skal svare til summen af alle "Netto"-kolonner med nr. 040, 080, 120, 160, 200, 240 og 280.</w:t>
      </w:r>
    </w:p>
    <w:p w14:paraId="28B9B16F" w14:textId="51F3D036" w:rsidR="00BD24C1" w:rsidRPr="00DD4DE1" w:rsidRDefault="00DB3C37" w:rsidP="00397ABE">
      <w:pPr>
        <w:pStyle w:val="InstructionsText2"/>
        <w:numPr>
          <w:ilvl w:val="0"/>
          <w:numId w:val="8"/>
        </w:numPr>
        <w:rPr>
          <w:szCs w:val="20"/>
          <w:u w:val="none"/>
        </w:rPr>
      </w:pPr>
      <w:r w:rsidRPr="00DD4DE1">
        <w:rPr>
          <w:u w:val="none"/>
        </w:rPr>
        <w:t>Finansieringens gennemsnitlige løbetid i dage for så vidt angår finansiering, der udløber, skal indberettes i kolonne 300.</w:t>
      </w:r>
    </w:p>
    <w:p w14:paraId="76D8AD49" w14:textId="16CEB38F" w:rsidR="003E371A" w:rsidRPr="00DD4DE1" w:rsidRDefault="003E371A" w:rsidP="00397ABE">
      <w:pPr>
        <w:pStyle w:val="InstructionsText2"/>
        <w:numPr>
          <w:ilvl w:val="0"/>
          <w:numId w:val="8"/>
        </w:numPr>
        <w:rPr>
          <w:szCs w:val="20"/>
          <w:u w:val="none"/>
        </w:rPr>
      </w:pPr>
      <w:r w:rsidRPr="00DD4DE1">
        <w:rPr>
          <w:u w:val="none"/>
        </w:rPr>
        <w:t>Finansieringens gennemsnitlige løbetid i dage for så vidt angår refinansiering skal indberettes i kolonne 310.</w:t>
      </w:r>
    </w:p>
    <w:p w14:paraId="717CD209" w14:textId="16BDF091" w:rsidR="00BD24C1" w:rsidRPr="00DD4DE1" w:rsidRDefault="00DB3C37" w:rsidP="00397ABE">
      <w:pPr>
        <w:pStyle w:val="InstructionsText2"/>
        <w:numPr>
          <w:ilvl w:val="0"/>
          <w:numId w:val="8"/>
        </w:numPr>
        <w:rPr>
          <w:szCs w:val="20"/>
          <w:u w:val="none"/>
        </w:rPr>
      </w:pPr>
      <w:r w:rsidRPr="00DD4DE1">
        <w:rPr>
          <w:u w:val="none"/>
        </w:rPr>
        <w:t xml:space="preserve"> Finansieringens gennemsnitlige løbetid i dage for så vidt angår nye midler, skal indberettes i kolonne 320.</w:t>
      </w:r>
    </w:p>
    <w:p w14:paraId="5C92A186" w14:textId="6F4BC0FE" w:rsidR="00A7751A" w:rsidRPr="00DD4DE1" w:rsidRDefault="00A7751A" w:rsidP="00A7751A">
      <w:pPr>
        <w:pStyle w:val="InstructionsText2"/>
        <w:numPr>
          <w:ilvl w:val="0"/>
          <w:numId w:val="8"/>
        </w:numPr>
        <w:rPr>
          <w:szCs w:val="20"/>
          <w:u w:val="none"/>
        </w:rPr>
      </w:pPr>
      <w:r w:rsidRPr="00DD4DE1">
        <w:rPr>
          <w:u w:val="none"/>
        </w:rPr>
        <w:t>Beløbet, "der udløber", skal omfatte alle forpligtelser, der efter kontrakten kan hæves af finansieringsgiveren, eller der udløber på den relevante dag i indberetningsperioden. Det skal altid indberettes med positivt fortegn.</w:t>
      </w:r>
    </w:p>
    <w:p w14:paraId="004B6E12" w14:textId="0B826D76" w:rsidR="00A7751A" w:rsidRPr="00DD4DE1" w:rsidRDefault="00A7751A" w:rsidP="00850B28">
      <w:pPr>
        <w:pStyle w:val="InstructionsText2"/>
        <w:numPr>
          <w:ilvl w:val="0"/>
          <w:numId w:val="8"/>
        </w:numPr>
        <w:rPr>
          <w:szCs w:val="20"/>
          <w:u w:val="none"/>
        </w:rPr>
      </w:pPr>
      <w:r w:rsidRPr="00DD4DE1">
        <w:rPr>
          <w:u w:val="none"/>
        </w:rPr>
        <w:t>Beløbet i "Refinansiering" skal omfatte det beløb, der udløber, som defineret i punkt 2 og 3, som stadig er hos instituttet på den relevante dag i indberetningsperioden. Det skal altid indberettes med positivt fortegn. Hvis finansieringens løbetid er ændret på grund af refinansieringshændelsen, skal beløbet i "Refinansiering" indberettes i en løbetidsklasse i overensstemmelse med den nye løbetid.</w:t>
      </w:r>
    </w:p>
    <w:p w14:paraId="68CA5A97" w14:textId="694BA31F" w:rsidR="00A7751A" w:rsidRPr="00DD4DE1" w:rsidRDefault="00A7751A" w:rsidP="00850B28">
      <w:pPr>
        <w:pStyle w:val="InstructionsText2"/>
        <w:numPr>
          <w:ilvl w:val="0"/>
          <w:numId w:val="8"/>
        </w:numPr>
        <w:rPr>
          <w:szCs w:val="20"/>
          <w:u w:val="none"/>
        </w:rPr>
      </w:pPr>
      <w:r w:rsidRPr="00DD4DE1">
        <w:rPr>
          <w:u w:val="none"/>
        </w:rPr>
        <w:t>Beløbet i "Nye midler" skal omfatte faktiske indgående pengestrømme på den relevante dag i indberetningsperioden. Det skal altid indberettes med positivt fortegn.</w:t>
      </w:r>
    </w:p>
    <w:p w14:paraId="36023996" w14:textId="52F7601E" w:rsidR="00A7751A" w:rsidRPr="00DD4DE1" w:rsidRDefault="00A7751A" w:rsidP="00850B28">
      <w:pPr>
        <w:pStyle w:val="InstructionsText2"/>
        <w:numPr>
          <w:ilvl w:val="0"/>
          <w:numId w:val="8"/>
        </w:numPr>
        <w:rPr>
          <w:szCs w:val="20"/>
          <w:u w:val="none"/>
        </w:rPr>
      </w:pPr>
      <w:r w:rsidRPr="00DD4DE1">
        <w:rPr>
          <w:u w:val="none"/>
        </w:rPr>
        <w:t xml:space="preserve">Nettobeløbet skal anses for at udgøre en ændring af finansieringen inden for et bestemt oprindeligt løbetidsbånd på den relevante dag i indberetningsperioden og skal beregnes ved i "nettokolonnen" at lægge de nye midler og de refinansierede midler sammen og fratrække de midler, der udløber.  </w:t>
      </w:r>
    </w:p>
    <w:bookmarkEnd w:id="3"/>
    <w:bookmarkEnd w:id="4"/>
    <w:p w14:paraId="0E67F27B" w14:textId="64F4C758" w:rsidR="00ED41A4" w:rsidRPr="00DD4DE1" w:rsidRDefault="00ED41A4" w:rsidP="00F723C5">
      <w:pPr>
        <w:pStyle w:val="InstructionsText2"/>
        <w:numPr>
          <w:ilvl w:val="0"/>
          <w:numId w:val="8"/>
        </w:numPr>
        <w:rPr>
          <w:szCs w:val="20"/>
          <w:u w:val="none"/>
        </w:rPr>
      </w:pPr>
      <w:r w:rsidRPr="00DD4DE1">
        <w:rPr>
          <w:u w:val="none"/>
        </w:rPr>
        <w:t>Instrukser vedrørende specifikke kolonner: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ED41A4" w:rsidRPr="00DD4DE1" w14:paraId="24A3446B" w14:textId="77777777" w:rsidTr="005F4FE0">
        <w:trPr>
          <w:trHeight w:val="548"/>
        </w:trPr>
        <w:tc>
          <w:tcPr>
            <w:tcW w:w="729" w:type="pct"/>
            <w:shd w:val="clear" w:color="auto" w:fill="D9D9D9"/>
            <w:noWrap/>
            <w:vAlign w:val="center"/>
          </w:tcPr>
          <w:p w14:paraId="44CE1AFF" w14:textId="77777777" w:rsidR="00ED41A4" w:rsidRPr="00DD4DE1" w:rsidRDefault="00ED41A4" w:rsidP="005F4FE0">
            <w:pPr>
              <w:spacing w:before="0" w:after="0"/>
              <w:jc w:val="left"/>
              <w:rPr>
                <w:rFonts w:ascii="Times New Roman" w:hAnsi="Times New Roman"/>
                <w:color w:val="000000"/>
                <w:szCs w:val="20"/>
              </w:rPr>
            </w:pPr>
            <w:r w:rsidRPr="00DD4DE1">
              <w:rPr>
                <w:rStyle w:val="InstructionsTabelleText"/>
                <w:rFonts w:ascii="Times New Roman" w:hAnsi="Times New Roman"/>
                <w:color w:val="000000"/>
              </w:rPr>
              <w:t>Kolonne</w:t>
            </w:r>
          </w:p>
        </w:tc>
        <w:tc>
          <w:tcPr>
            <w:tcW w:w="4271" w:type="pct"/>
            <w:shd w:val="clear" w:color="auto" w:fill="D9D9D9"/>
            <w:vAlign w:val="center"/>
          </w:tcPr>
          <w:p w14:paraId="31EE78F6" w14:textId="77777777" w:rsidR="00ED41A4" w:rsidRPr="00DD4DE1" w:rsidRDefault="00ED41A4" w:rsidP="005F4FE0">
            <w:pPr>
              <w:spacing w:before="0" w:after="0"/>
              <w:jc w:val="left"/>
              <w:rPr>
                <w:rFonts w:ascii="Times New Roman" w:hAnsi="Times New Roman"/>
                <w:szCs w:val="20"/>
              </w:rPr>
            </w:pPr>
            <w:r w:rsidRPr="00DD4DE1">
              <w:rPr>
                <w:rStyle w:val="InstructionsTabelleText"/>
                <w:rFonts w:ascii="Times New Roman" w:hAnsi="Times New Roman"/>
              </w:rPr>
              <w:t>Henvisninger til retsakter og instrukser</w:t>
            </w:r>
          </w:p>
        </w:tc>
      </w:tr>
      <w:tr w:rsidR="00ED41A4" w:rsidRPr="00DD4DE1" w14:paraId="1F75C2D4" w14:textId="77777777" w:rsidTr="00ED41A4">
        <w:trPr>
          <w:trHeight w:val="765"/>
        </w:trPr>
        <w:tc>
          <w:tcPr>
            <w:tcW w:w="729" w:type="pct"/>
            <w:shd w:val="clear" w:color="auto" w:fill="auto"/>
            <w:noWrap/>
          </w:tcPr>
          <w:p w14:paraId="2684888D" w14:textId="77777777" w:rsidR="00ED41A4" w:rsidRPr="00DD4DE1" w:rsidRDefault="00BD24C1" w:rsidP="00BD24C1">
            <w:pPr>
              <w:spacing w:before="0" w:after="0"/>
              <w:jc w:val="left"/>
              <w:rPr>
                <w:rFonts w:ascii="Times New Roman" w:hAnsi="Times New Roman"/>
                <w:color w:val="000000"/>
                <w:szCs w:val="20"/>
              </w:rPr>
            </w:pPr>
            <w:r w:rsidRPr="00DD4DE1">
              <w:rPr>
                <w:rFonts w:ascii="Times New Roman" w:hAnsi="Times New Roman"/>
                <w:color w:val="000000"/>
              </w:rPr>
              <w:t>010 til 040</w:t>
            </w:r>
          </w:p>
        </w:tc>
        <w:tc>
          <w:tcPr>
            <w:tcW w:w="4271" w:type="pct"/>
            <w:shd w:val="clear" w:color="auto" w:fill="auto"/>
          </w:tcPr>
          <w:p w14:paraId="45774E3B" w14:textId="77777777" w:rsidR="00ED41A4" w:rsidRPr="00DD4DE1" w:rsidRDefault="00BD24C1" w:rsidP="00193B6D">
            <w:pPr>
              <w:rPr>
                <w:rFonts w:ascii="Times New Roman" w:hAnsi="Times New Roman"/>
                <w:b/>
                <w:szCs w:val="20"/>
                <w:u w:val="single"/>
              </w:rPr>
            </w:pPr>
            <w:r w:rsidRPr="00DD4DE1">
              <w:rPr>
                <w:rFonts w:ascii="Times New Roman" w:hAnsi="Times New Roman"/>
                <w:b/>
                <w:u w:val="single"/>
              </w:rPr>
              <w:t>Dag-til-dag</w:t>
            </w:r>
          </w:p>
          <w:p w14:paraId="0D011271" w14:textId="3E284E08" w:rsidR="00B83BF9" w:rsidRPr="00DD4DE1" w:rsidRDefault="00ED41A4" w:rsidP="00193B6D">
            <w:pPr>
              <w:rPr>
                <w:rFonts w:ascii="Times New Roman" w:hAnsi="Times New Roman"/>
                <w:szCs w:val="20"/>
              </w:rPr>
            </w:pPr>
            <w:r w:rsidRPr="00DD4DE1">
              <w:rPr>
                <w:rFonts w:ascii="Times New Roman" w:hAnsi="Times New Roman"/>
              </w:rPr>
              <w:t>Finansiering i alt, der udløber på den relevante dag i indberetningsperioden og oprindeligt udløber på dag-til-dag-basis, skal indberettes i kolonne 010 i linjepost 1.1-1.31. For måneder med mindre end 31 dage samt for weekender skal ikkerelevante linjer stå tomme.</w:t>
            </w:r>
          </w:p>
          <w:p w14:paraId="7D2D26D4" w14:textId="2B464E25" w:rsidR="003E371A" w:rsidRPr="00DD4DE1" w:rsidRDefault="003E371A" w:rsidP="00193B6D">
            <w:pPr>
              <w:rPr>
                <w:rFonts w:ascii="Times New Roman" w:hAnsi="Times New Roman"/>
                <w:szCs w:val="20"/>
              </w:rPr>
            </w:pPr>
            <w:r w:rsidRPr="00DD4DE1">
              <w:rPr>
                <w:rFonts w:ascii="Times New Roman" w:hAnsi="Times New Roman"/>
              </w:rPr>
              <w:t>Finansiering i alt, der er refinansieret på den relevante dag i indberetningsperioden og oprindeligt udløber på dag-til-dag-basis, skal indberettes i kolonne 020 i linjepost 1.1-1.31.</w:t>
            </w:r>
          </w:p>
          <w:p w14:paraId="4837928B" w14:textId="43309A16" w:rsidR="00ED41A4" w:rsidRPr="00DD4DE1" w:rsidRDefault="00ED41A4" w:rsidP="00193B6D">
            <w:pPr>
              <w:rPr>
                <w:rFonts w:ascii="Times New Roman" w:hAnsi="Times New Roman"/>
                <w:szCs w:val="20"/>
              </w:rPr>
            </w:pPr>
            <w:r w:rsidRPr="00DD4DE1">
              <w:rPr>
                <w:rFonts w:ascii="Times New Roman" w:hAnsi="Times New Roman"/>
              </w:rPr>
              <w:t xml:space="preserve">Ny finansiering i alt, der er opnået på den relevante dag i indberetningsperioden og </w:t>
            </w:r>
            <w:r w:rsidRPr="00DD4DE1">
              <w:rPr>
                <w:rFonts w:ascii="Times New Roman" w:hAnsi="Times New Roman"/>
              </w:rPr>
              <w:lastRenderedPageBreak/>
              <w:t>oprindeligt udløber på dag-til-dag-basis, skal indberettes i kolonne 030 i linjepost 1.1-1.31.</w:t>
            </w:r>
          </w:p>
          <w:p w14:paraId="16FDBE2F" w14:textId="3BEB2550" w:rsidR="00ED41A4" w:rsidRPr="00DD4DE1" w:rsidRDefault="00ED41A4" w:rsidP="00193B6D">
            <w:pPr>
              <w:rPr>
                <w:rFonts w:ascii="Times New Roman" w:hAnsi="Times New Roman"/>
                <w:szCs w:val="20"/>
              </w:rPr>
            </w:pPr>
            <w:r w:rsidRPr="00DD4DE1">
              <w:rPr>
                <w:rFonts w:ascii="Times New Roman" w:hAnsi="Times New Roman"/>
              </w:rPr>
              <w:t>Nettoforskellen mellem finansiering, der udløber på dag-til-dag-basis, på den ene side, og refinansiering plus nye midler modtaget på dag-til-dag-basis på den anden side skal indberettes i kolonne 040 under 1.1-1.31.</w:t>
            </w:r>
          </w:p>
        </w:tc>
      </w:tr>
      <w:tr w:rsidR="00ED41A4" w:rsidRPr="00DD4DE1" w14:paraId="66A496F1" w14:textId="77777777" w:rsidTr="00ED41A4">
        <w:trPr>
          <w:trHeight w:val="765"/>
        </w:trPr>
        <w:tc>
          <w:tcPr>
            <w:tcW w:w="729" w:type="pct"/>
            <w:shd w:val="clear" w:color="auto" w:fill="auto"/>
            <w:noWrap/>
          </w:tcPr>
          <w:p w14:paraId="03C009DF" w14:textId="77777777" w:rsidR="00ED41A4" w:rsidRPr="00DD4DE1" w:rsidRDefault="00BD24C1" w:rsidP="00BD24C1">
            <w:pPr>
              <w:spacing w:before="0" w:after="0"/>
              <w:jc w:val="left"/>
              <w:rPr>
                <w:rFonts w:ascii="Times New Roman" w:hAnsi="Times New Roman"/>
                <w:color w:val="000000"/>
                <w:szCs w:val="20"/>
              </w:rPr>
            </w:pPr>
            <w:r w:rsidRPr="00DD4DE1">
              <w:rPr>
                <w:rFonts w:ascii="Times New Roman" w:hAnsi="Times New Roman"/>
                <w:color w:val="000000"/>
              </w:rPr>
              <w:lastRenderedPageBreak/>
              <w:t>050 til 080</w:t>
            </w:r>
          </w:p>
        </w:tc>
        <w:tc>
          <w:tcPr>
            <w:tcW w:w="4271" w:type="pct"/>
            <w:shd w:val="clear" w:color="auto" w:fill="auto"/>
          </w:tcPr>
          <w:p w14:paraId="79477518" w14:textId="77777777" w:rsidR="00ED41A4" w:rsidRPr="00DD4DE1" w:rsidRDefault="00ED41A4" w:rsidP="00193B6D">
            <w:pPr>
              <w:rPr>
                <w:rFonts w:ascii="Times New Roman" w:hAnsi="Times New Roman"/>
                <w:b/>
                <w:szCs w:val="20"/>
                <w:u w:val="single"/>
              </w:rPr>
            </w:pPr>
            <w:r w:rsidRPr="00DD4DE1">
              <w:rPr>
                <w:rFonts w:ascii="Times New Roman" w:hAnsi="Times New Roman"/>
                <w:b/>
                <w:u w:val="single"/>
              </w:rPr>
              <w:t>&gt; 1 dag ≤ 7 dage</w:t>
            </w:r>
          </w:p>
          <w:p w14:paraId="456405B1" w14:textId="23DE58B7" w:rsidR="00ED41A4" w:rsidRPr="00DD4DE1" w:rsidRDefault="00ED41A4" w:rsidP="00193B6D">
            <w:pPr>
              <w:rPr>
                <w:rFonts w:ascii="Times New Roman" w:hAnsi="Times New Roman"/>
                <w:szCs w:val="20"/>
              </w:rPr>
            </w:pPr>
            <w:r w:rsidRPr="00DD4DE1">
              <w:rPr>
                <w:rFonts w:ascii="Times New Roman" w:hAnsi="Times New Roman"/>
              </w:rPr>
              <w:t>Finansiering i alt, der udløber på den relevante dag i indberetningsperioden og har en oprindelig løbetid på mellem en dag og en uge, skal indberettes i kolonne 050 i linjepost 1.1-1.31. For måneder med mindre end 31 dage samt for weekender skal ikkerelevante linjer stå tomme.</w:t>
            </w:r>
          </w:p>
          <w:p w14:paraId="293B2767" w14:textId="3A94241F" w:rsidR="003E371A" w:rsidRPr="00DD4DE1" w:rsidRDefault="003E371A" w:rsidP="00193B6D">
            <w:pPr>
              <w:rPr>
                <w:rFonts w:ascii="Times New Roman" w:hAnsi="Times New Roman"/>
                <w:szCs w:val="20"/>
              </w:rPr>
            </w:pPr>
            <w:r w:rsidRPr="00DD4DE1">
              <w:rPr>
                <w:rFonts w:ascii="Times New Roman" w:hAnsi="Times New Roman"/>
              </w:rPr>
              <w:t>Finansiering i alt, der er refinansieret på den relevante dag i indberetningsperioden og har en oprindelig løbetid på mellem en dag og en uge, skal indberettes i kolonne 060 i linjepost 1.1-1.31.</w:t>
            </w:r>
          </w:p>
          <w:p w14:paraId="5D635490" w14:textId="3FBA5A2E" w:rsidR="00ED41A4" w:rsidRPr="00DD4DE1" w:rsidRDefault="00ED41A4" w:rsidP="00193B6D">
            <w:pPr>
              <w:rPr>
                <w:rFonts w:ascii="Times New Roman" w:hAnsi="Times New Roman"/>
                <w:szCs w:val="20"/>
              </w:rPr>
            </w:pPr>
            <w:r w:rsidRPr="00DD4DE1">
              <w:rPr>
                <w:rFonts w:ascii="Times New Roman" w:hAnsi="Times New Roman"/>
              </w:rPr>
              <w:t>Ny finansiering i alt, der er opnået på den relevante dag i indberetningsperioden og har en oprindelig løbetid på mellem en dag og en uge, skal indberettes i kolonne 70 i linjepost 1.1-1.31.</w:t>
            </w:r>
          </w:p>
          <w:p w14:paraId="46AFF05A" w14:textId="769E0BE0" w:rsidR="00ED41A4" w:rsidRPr="00DD4DE1" w:rsidRDefault="00ED41A4" w:rsidP="00193B6D">
            <w:pPr>
              <w:rPr>
                <w:rFonts w:ascii="Times New Roman" w:hAnsi="Times New Roman"/>
                <w:b/>
                <w:szCs w:val="20"/>
                <w:u w:val="single"/>
              </w:rPr>
            </w:pPr>
            <w:r w:rsidRPr="00DD4DE1">
              <w:rPr>
                <w:rFonts w:ascii="Times New Roman" w:hAnsi="Times New Roman"/>
              </w:rPr>
              <w:t>Nettoforskellen mellem finansiering, der udløber, på den ene side, og refinansiering plus nye midler på den anden side skal indberettes i kolonne 080 under 1.1-1.31.</w:t>
            </w:r>
          </w:p>
        </w:tc>
      </w:tr>
      <w:tr w:rsidR="00ED41A4" w:rsidRPr="00DD4DE1" w14:paraId="7A4EE419" w14:textId="77777777" w:rsidTr="00ED41A4">
        <w:trPr>
          <w:trHeight w:val="765"/>
        </w:trPr>
        <w:tc>
          <w:tcPr>
            <w:tcW w:w="729" w:type="pct"/>
            <w:shd w:val="clear" w:color="auto" w:fill="auto"/>
            <w:noWrap/>
          </w:tcPr>
          <w:p w14:paraId="533F8B1E" w14:textId="77777777" w:rsidR="00ED41A4" w:rsidRPr="00DD4DE1" w:rsidRDefault="00BD24C1" w:rsidP="00BD24C1">
            <w:pPr>
              <w:spacing w:before="0" w:after="0"/>
              <w:jc w:val="left"/>
              <w:rPr>
                <w:rFonts w:ascii="Times New Roman" w:hAnsi="Times New Roman"/>
                <w:color w:val="000000"/>
                <w:szCs w:val="20"/>
              </w:rPr>
            </w:pPr>
            <w:r w:rsidRPr="00DD4DE1">
              <w:rPr>
                <w:rFonts w:ascii="Times New Roman" w:hAnsi="Times New Roman"/>
                <w:color w:val="000000"/>
              </w:rPr>
              <w:t>090 til 120</w:t>
            </w:r>
          </w:p>
        </w:tc>
        <w:tc>
          <w:tcPr>
            <w:tcW w:w="4271" w:type="pct"/>
            <w:shd w:val="clear" w:color="auto" w:fill="auto"/>
          </w:tcPr>
          <w:p w14:paraId="47C8E97F" w14:textId="77777777" w:rsidR="00ED41A4" w:rsidRPr="00DD4DE1" w:rsidRDefault="00ED41A4" w:rsidP="00193B6D">
            <w:pPr>
              <w:rPr>
                <w:rFonts w:ascii="Times New Roman" w:hAnsi="Times New Roman"/>
                <w:b/>
                <w:szCs w:val="20"/>
                <w:u w:val="single"/>
              </w:rPr>
            </w:pPr>
            <w:r w:rsidRPr="00DD4DE1">
              <w:rPr>
                <w:rFonts w:ascii="Times New Roman" w:hAnsi="Times New Roman"/>
                <w:b/>
                <w:u w:val="single"/>
              </w:rPr>
              <w:t>&gt;7 dage ≤ 14 dage</w:t>
            </w:r>
          </w:p>
          <w:p w14:paraId="01B280B0" w14:textId="290C8E5F" w:rsidR="007C6B89" w:rsidRPr="00DD4DE1" w:rsidRDefault="007C6B89" w:rsidP="00193B6D">
            <w:pPr>
              <w:rPr>
                <w:rFonts w:ascii="Times New Roman" w:hAnsi="Times New Roman"/>
                <w:szCs w:val="20"/>
              </w:rPr>
            </w:pPr>
            <w:r w:rsidRPr="00DD4DE1">
              <w:rPr>
                <w:rFonts w:ascii="Times New Roman" w:hAnsi="Times New Roman"/>
              </w:rPr>
              <w:t>Finansiering i alt, der udløber på den relevante dag i indberetningsperioden og har en oprindelig løbetid på mellem en uge og to uger, skal indberettes i kolonne 090 i linjepost 1.1-1.31. For måneder med mindre end 31 dage samt for weekender skal ikkerelevante linjer stå tomme.</w:t>
            </w:r>
          </w:p>
          <w:p w14:paraId="37FF815B" w14:textId="6B227C03" w:rsidR="003E371A" w:rsidRPr="00DD4DE1" w:rsidRDefault="003E371A" w:rsidP="00193B6D">
            <w:pPr>
              <w:rPr>
                <w:rFonts w:ascii="Times New Roman" w:hAnsi="Times New Roman"/>
                <w:szCs w:val="20"/>
              </w:rPr>
            </w:pPr>
            <w:r w:rsidRPr="00DD4DE1">
              <w:rPr>
                <w:rFonts w:ascii="Times New Roman" w:hAnsi="Times New Roman"/>
              </w:rPr>
              <w:t>Finansiering i alt, der er refinansieret på den relevante dag i indberetningsperioden og har en oprindelig løbetid på mellem en uge og to uger, skal indberettes i kolonne 100 i linjepost 1.1-1.31.</w:t>
            </w:r>
          </w:p>
          <w:p w14:paraId="60125A59" w14:textId="24FC6F1C" w:rsidR="007C6B89" w:rsidRPr="00DD4DE1" w:rsidRDefault="007C6B89" w:rsidP="00193B6D">
            <w:pPr>
              <w:rPr>
                <w:rFonts w:ascii="Times New Roman" w:hAnsi="Times New Roman"/>
                <w:szCs w:val="20"/>
              </w:rPr>
            </w:pPr>
            <w:r w:rsidRPr="00DD4DE1">
              <w:rPr>
                <w:rFonts w:ascii="Times New Roman" w:hAnsi="Times New Roman"/>
              </w:rPr>
              <w:t>Ny finansiering i alt, der er modtaget på den relevante dag i indberetningsperioden og har en oprindelig løbetid på mellem en uge og to uger, skal indberettes i kolonne 110 i linjepost 1.1-1.31.</w:t>
            </w:r>
          </w:p>
          <w:p w14:paraId="3B20F474" w14:textId="6F4C73DF" w:rsidR="00ED41A4" w:rsidRPr="00DD4DE1" w:rsidRDefault="007C6B89" w:rsidP="00193B6D">
            <w:pPr>
              <w:rPr>
                <w:rFonts w:ascii="Times New Roman" w:hAnsi="Times New Roman"/>
                <w:b/>
                <w:szCs w:val="20"/>
                <w:u w:val="single"/>
              </w:rPr>
            </w:pPr>
            <w:r w:rsidRPr="00DD4DE1">
              <w:rPr>
                <w:rFonts w:ascii="Times New Roman" w:hAnsi="Times New Roman"/>
              </w:rPr>
              <w:t>Nettoforskellen mellem finansiering, der udløber, på den ene side, og refinansiering plus nye midler på den anden side skal indberettes i kolonne 120 under 1.1-1.31.</w:t>
            </w:r>
          </w:p>
        </w:tc>
      </w:tr>
      <w:tr w:rsidR="00ED41A4" w:rsidRPr="00DD4DE1" w14:paraId="4111D590" w14:textId="77777777" w:rsidTr="00ED41A4">
        <w:trPr>
          <w:trHeight w:val="765"/>
        </w:trPr>
        <w:tc>
          <w:tcPr>
            <w:tcW w:w="729" w:type="pct"/>
            <w:shd w:val="clear" w:color="auto" w:fill="auto"/>
            <w:noWrap/>
          </w:tcPr>
          <w:p w14:paraId="3F918ABE" w14:textId="77777777" w:rsidR="00ED41A4" w:rsidRPr="00DD4DE1" w:rsidRDefault="00BD24C1" w:rsidP="00BD24C1">
            <w:pPr>
              <w:spacing w:before="0" w:after="0"/>
              <w:jc w:val="left"/>
              <w:rPr>
                <w:rFonts w:ascii="Times New Roman" w:hAnsi="Times New Roman"/>
                <w:color w:val="000000"/>
                <w:szCs w:val="20"/>
              </w:rPr>
            </w:pPr>
            <w:r w:rsidRPr="00DD4DE1">
              <w:rPr>
                <w:rFonts w:ascii="Times New Roman" w:hAnsi="Times New Roman"/>
                <w:color w:val="000000"/>
              </w:rPr>
              <w:t>130 til 160</w:t>
            </w:r>
          </w:p>
        </w:tc>
        <w:tc>
          <w:tcPr>
            <w:tcW w:w="4271" w:type="pct"/>
            <w:shd w:val="clear" w:color="auto" w:fill="auto"/>
          </w:tcPr>
          <w:p w14:paraId="4D847802" w14:textId="77777777" w:rsidR="00ED41A4" w:rsidRPr="00DD4DE1" w:rsidRDefault="00ED41A4" w:rsidP="00193B6D">
            <w:pPr>
              <w:rPr>
                <w:rFonts w:ascii="Times New Roman" w:hAnsi="Times New Roman"/>
                <w:b/>
                <w:szCs w:val="20"/>
                <w:u w:val="single"/>
              </w:rPr>
            </w:pPr>
            <w:r w:rsidRPr="00DD4DE1">
              <w:rPr>
                <w:rFonts w:ascii="Times New Roman" w:hAnsi="Times New Roman"/>
                <w:b/>
                <w:u w:val="single"/>
              </w:rPr>
              <w:t>&gt; 14 dage ≤ 1 måned</w:t>
            </w:r>
          </w:p>
          <w:p w14:paraId="6DFCCE86" w14:textId="56D7C337" w:rsidR="007C6B89" w:rsidRPr="00DD4DE1" w:rsidRDefault="007C6B89" w:rsidP="00193B6D">
            <w:pPr>
              <w:rPr>
                <w:rFonts w:ascii="Times New Roman" w:hAnsi="Times New Roman"/>
                <w:szCs w:val="20"/>
              </w:rPr>
            </w:pPr>
            <w:r w:rsidRPr="00DD4DE1">
              <w:rPr>
                <w:rFonts w:ascii="Times New Roman" w:hAnsi="Times New Roman"/>
              </w:rPr>
              <w:t>Finansiering i alt, der udløber på den relevante dag i indberetningsperioden og har en oprindelig løbetid på mellem to uger og en måned, skal indberettes i kolonne 130 i linjepost 1.1-1.31. For måneder med mindre end 31 dage samt for weekender skal ikkerelevante linjer stå tomme.</w:t>
            </w:r>
          </w:p>
          <w:p w14:paraId="168BD6CE" w14:textId="033F4DEE" w:rsidR="003E371A" w:rsidRPr="00DD4DE1" w:rsidRDefault="003E371A" w:rsidP="00193B6D">
            <w:pPr>
              <w:rPr>
                <w:rFonts w:ascii="Times New Roman" w:hAnsi="Times New Roman"/>
                <w:szCs w:val="20"/>
              </w:rPr>
            </w:pPr>
            <w:r w:rsidRPr="00DD4DE1">
              <w:rPr>
                <w:rFonts w:ascii="Times New Roman" w:hAnsi="Times New Roman"/>
              </w:rPr>
              <w:t>Finansiering i alt, der er refinansieret på den relevante dag i indberetningsperioden og har en oprindelig løbetid på mellem to uger og en måned, skal indberettes i kolonne 140 i linjepost 1.1-1.31.</w:t>
            </w:r>
          </w:p>
          <w:p w14:paraId="0DBC5483" w14:textId="2E9D6540" w:rsidR="007C6B89" w:rsidRPr="00DD4DE1" w:rsidRDefault="007C6B89" w:rsidP="00193B6D">
            <w:pPr>
              <w:rPr>
                <w:rFonts w:ascii="Times New Roman" w:hAnsi="Times New Roman"/>
                <w:szCs w:val="20"/>
              </w:rPr>
            </w:pPr>
            <w:r w:rsidRPr="00DD4DE1">
              <w:rPr>
                <w:rFonts w:ascii="Times New Roman" w:hAnsi="Times New Roman"/>
              </w:rPr>
              <w:t>Ny finansiering i alt, der er modtaget på den relevante dag i indberetningsperioden og har en oprindelig løbetid på mellem to uger og en måned, skal indberettes i kolonne 150 i linjepost 1.1-1.31.</w:t>
            </w:r>
          </w:p>
          <w:p w14:paraId="0D02D77F" w14:textId="63063429" w:rsidR="00ED41A4" w:rsidRPr="00DD4DE1" w:rsidRDefault="007C6B89" w:rsidP="00193B6D">
            <w:pPr>
              <w:rPr>
                <w:rFonts w:ascii="Times New Roman" w:hAnsi="Times New Roman"/>
                <w:b/>
                <w:szCs w:val="20"/>
                <w:u w:val="single"/>
              </w:rPr>
            </w:pPr>
            <w:r w:rsidRPr="00DD4DE1">
              <w:rPr>
                <w:rFonts w:ascii="Times New Roman" w:hAnsi="Times New Roman"/>
              </w:rPr>
              <w:t>Nettoforskellen mellem finansiering, der udløber, på den ene side, og refinansiering plus nye midler på den anden side skal indberettes i kolonne 160 under 1.1-1.31.</w:t>
            </w:r>
          </w:p>
        </w:tc>
      </w:tr>
      <w:tr w:rsidR="00ED41A4" w:rsidRPr="00DD4DE1" w14:paraId="0A45C671" w14:textId="77777777" w:rsidTr="00ED41A4">
        <w:trPr>
          <w:trHeight w:val="765"/>
        </w:trPr>
        <w:tc>
          <w:tcPr>
            <w:tcW w:w="729" w:type="pct"/>
            <w:shd w:val="clear" w:color="auto" w:fill="auto"/>
            <w:noWrap/>
          </w:tcPr>
          <w:p w14:paraId="643AD884" w14:textId="77777777" w:rsidR="00ED41A4" w:rsidRPr="00DD4DE1" w:rsidRDefault="00BD24C1" w:rsidP="00BD24C1">
            <w:pPr>
              <w:spacing w:before="0" w:after="0"/>
              <w:jc w:val="left"/>
              <w:rPr>
                <w:rFonts w:ascii="Times New Roman" w:hAnsi="Times New Roman"/>
                <w:color w:val="000000"/>
                <w:szCs w:val="20"/>
              </w:rPr>
            </w:pPr>
            <w:r w:rsidRPr="00DD4DE1">
              <w:rPr>
                <w:rFonts w:ascii="Times New Roman" w:hAnsi="Times New Roman"/>
                <w:color w:val="000000"/>
              </w:rPr>
              <w:t>170 til 200</w:t>
            </w:r>
          </w:p>
        </w:tc>
        <w:tc>
          <w:tcPr>
            <w:tcW w:w="4271" w:type="pct"/>
            <w:shd w:val="clear" w:color="auto" w:fill="auto"/>
          </w:tcPr>
          <w:p w14:paraId="40912CAD" w14:textId="77777777" w:rsidR="00ED41A4" w:rsidRPr="00DD4DE1" w:rsidRDefault="00ED41A4" w:rsidP="00193B6D">
            <w:pPr>
              <w:rPr>
                <w:rFonts w:ascii="Times New Roman" w:hAnsi="Times New Roman"/>
                <w:b/>
                <w:szCs w:val="20"/>
                <w:u w:val="single"/>
              </w:rPr>
            </w:pPr>
            <w:r w:rsidRPr="00DD4DE1">
              <w:rPr>
                <w:rFonts w:ascii="Times New Roman" w:hAnsi="Times New Roman"/>
                <w:b/>
                <w:u w:val="single"/>
              </w:rPr>
              <w:t>&gt; 1 måned ≤ 3 måneder</w:t>
            </w:r>
          </w:p>
          <w:p w14:paraId="1C6BB1D5" w14:textId="18A59A44" w:rsidR="007C6B89" w:rsidRPr="00DD4DE1" w:rsidRDefault="007C6B89" w:rsidP="00193B6D">
            <w:pPr>
              <w:rPr>
                <w:rFonts w:ascii="Times New Roman" w:hAnsi="Times New Roman"/>
                <w:szCs w:val="20"/>
              </w:rPr>
            </w:pPr>
            <w:r w:rsidRPr="00DD4DE1">
              <w:rPr>
                <w:rFonts w:ascii="Times New Roman" w:hAnsi="Times New Roman"/>
              </w:rPr>
              <w:t xml:space="preserve">Finansiering i alt, der udløber på den relevante dag i indberetningsperioden og har en oprindelig løbetid på mellem en måned og tre måneder, skal indberettes i kolonne 170 i linjepost 1.1-1.31. For måneder med mindre end 31 dage samt for weekender skal </w:t>
            </w:r>
            <w:r w:rsidRPr="00DD4DE1">
              <w:rPr>
                <w:rFonts w:ascii="Times New Roman" w:hAnsi="Times New Roman"/>
              </w:rPr>
              <w:lastRenderedPageBreak/>
              <w:t>ikkerelevante linjer stå tomme.</w:t>
            </w:r>
          </w:p>
          <w:p w14:paraId="6A91E8B5" w14:textId="67420E29" w:rsidR="003E371A" w:rsidRPr="00DD4DE1" w:rsidRDefault="003E371A" w:rsidP="00193B6D">
            <w:pPr>
              <w:rPr>
                <w:rFonts w:ascii="Times New Roman" w:hAnsi="Times New Roman"/>
                <w:szCs w:val="20"/>
              </w:rPr>
            </w:pPr>
            <w:r w:rsidRPr="00DD4DE1">
              <w:rPr>
                <w:rFonts w:ascii="Times New Roman" w:hAnsi="Times New Roman"/>
              </w:rPr>
              <w:t>Finansiering i alt, der er refinansieret på den relevante dag i indberetningsperioden og har en oprindelig løbetid på mellem en måned og tre måneder, skal indberettes i kolonne 180 i linjepost 1.1-1.31.</w:t>
            </w:r>
          </w:p>
          <w:p w14:paraId="7A9947A9" w14:textId="6C26176E" w:rsidR="007C6B89" w:rsidRPr="00DD4DE1" w:rsidRDefault="007C6B89" w:rsidP="00193B6D">
            <w:pPr>
              <w:rPr>
                <w:rFonts w:ascii="Times New Roman" w:hAnsi="Times New Roman"/>
                <w:szCs w:val="20"/>
              </w:rPr>
            </w:pPr>
            <w:r w:rsidRPr="00DD4DE1">
              <w:rPr>
                <w:rFonts w:ascii="Times New Roman" w:hAnsi="Times New Roman"/>
              </w:rPr>
              <w:t>Ny finansiering i alt, der er modtaget på den relevante dag i indberetningsperioden og har en oprindelig løbetid på mellem en måned og tre måneder, skal indberettes i kolonne 190 i linjepost 1.1-1.31.</w:t>
            </w:r>
          </w:p>
          <w:p w14:paraId="655F0B6A" w14:textId="000BF65E" w:rsidR="00ED41A4" w:rsidRPr="00DD4DE1" w:rsidRDefault="007C6B89" w:rsidP="00193B6D">
            <w:pPr>
              <w:rPr>
                <w:rFonts w:ascii="Times New Roman" w:hAnsi="Times New Roman"/>
                <w:b/>
                <w:szCs w:val="20"/>
                <w:u w:val="single"/>
              </w:rPr>
            </w:pPr>
            <w:r w:rsidRPr="00DD4DE1">
              <w:rPr>
                <w:rFonts w:ascii="Times New Roman" w:hAnsi="Times New Roman"/>
              </w:rPr>
              <w:t>Nettoforskellen mellem finansiering, der udløber, på den ene side, og refinansiering plus nye midler på den anden side skal indberettes i kolonne 200 under 1.1-1.31.</w:t>
            </w:r>
          </w:p>
        </w:tc>
      </w:tr>
      <w:tr w:rsidR="00ED41A4" w:rsidRPr="00DD4DE1" w14:paraId="0C7B73A0" w14:textId="77777777" w:rsidTr="00ED41A4">
        <w:trPr>
          <w:trHeight w:val="765"/>
        </w:trPr>
        <w:tc>
          <w:tcPr>
            <w:tcW w:w="729" w:type="pct"/>
            <w:shd w:val="clear" w:color="auto" w:fill="auto"/>
            <w:noWrap/>
          </w:tcPr>
          <w:p w14:paraId="31DA83DD" w14:textId="77777777" w:rsidR="00ED41A4" w:rsidRPr="00DD4DE1" w:rsidRDefault="00BD24C1" w:rsidP="00BD24C1">
            <w:pPr>
              <w:spacing w:before="0" w:after="0"/>
              <w:jc w:val="left"/>
              <w:rPr>
                <w:rFonts w:ascii="Times New Roman" w:hAnsi="Times New Roman"/>
                <w:color w:val="000000"/>
                <w:szCs w:val="20"/>
              </w:rPr>
            </w:pPr>
            <w:r w:rsidRPr="00DD4DE1">
              <w:rPr>
                <w:rFonts w:ascii="Times New Roman" w:hAnsi="Times New Roman"/>
                <w:color w:val="000000"/>
              </w:rPr>
              <w:lastRenderedPageBreak/>
              <w:t>210 til 240</w:t>
            </w:r>
          </w:p>
        </w:tc>
        <w:tc>
          <w:tcPr>
            <w:tcW w:w="4271" w:type="pct"/>
            <w:shd w:val="clear" w:color="auto" w:fill="auto"/>
          </w:tcPr>
          <w:p w14:paraId="27019293" w14:textId="77777777" w:rsidR="005A40BE" w:rsidRPr="00DD4DE1" w:rsidRDefault="005A40BE" w:rsidP="00193B6D">
            <w:pPr>
              <w:rPr>
                <w:rFonts w:ascii="Times New Roman" w:hAnsi="Times New Roman"/>
                <w:b/>
                <w:szCs w:val="20"/>
                <w:u w:val="single"/>
              </w:rPr>
            </w:pPr>
            <w:r w:rsidRPr="00DD4DE1">
              <w:rPr>
                <w:rFonts w:ascii="Times New Roman" w:hAnsi="Times New Roman"/>
                <w:b/>
                <w:u w:val="single"/>
              </w:rPr>
              <w:t>&gt; 3 måneder ≤ 6 måneder</w:t>
            </w:r>
          </w:p>
          <w:p w14:paraId="0260CA5A" w14:textId="10CDCA93" w:rsidR="006044FF" w:rsidRPr="00DD4DE1" w:rsidRDefault="005A40BE" w:rsidP="00193B6D">
            <w:pPr>
              <w:rPr>
                <w:rFonts w:ascii="Times New Roman" w:hAnsi="Times New Roman"/>
                <w:szCs w:val="20"/>
              </w:rPr>
            </w:pPr>
            <w:r w:rsidRPr="00DD4DE1">
              <w:rPr>
                <w:rFonts w:ascii="Times New Roman" w:hAnsi="Times New Roman"/>
              </w:rPr>
              <w:t>Finansiering i alt, der udløber på den relevante dag i indberetningsperioden og har en oprindelig løbetid på mellem tre måneder og seks måneder, skal indberettes i kolonne 210 i linjepost 1.1-1.31. For måneder med mindre end 31 dage samt for weekender skal ikkerelevante linjer stå tomme.</w:t>
            </w:r>
          </w:p>
          <w:p w14:paraId="563F93F8" w14:textId="56788554" w:rsidR="003E371A" w:rsidRPr="00DD4DE1" w:rsidRDefault="003E371A" w:rsidP="00193B6D">
            <w:pPr>
              <w:rPr>
                <w:rFonts w:ascii="Times New Roman" w:hAnsi="Times New Roman"/>
                <w:szCs w:val="20"/>
              </w:rPr>
            </w:pPr>
            <w:r w:rsidRPr="00DD4DE1">
              <w:rPr>
                <w:rFonts w:ascii="Times New Roman" w:hAnsi="Times New Roman"/>
              </w:rPr>
              <w:t>Finansiering i alt, der er refinansieret på den relevante dag i indberetningsperioden og har en oprindelig løbetid på mellem tre måneder og seks måneder, skal indberettes i kolonne 220 i linjepost 1.1-1.31.</w:t>
            </w:r>
          </w:p>
          <w:p w14:paraId="601C708E" w14:textId="41E12978" w:rsidR="005A40BE" w:rsidRPr="00DD4DE1" w:rsidRDefault="005A40BE" w:rsidP="00193B6D">
            <w:pPr>
              <w:rPr>
                <w:rFonts w:ascii="Times New Roman" w:hAnsi="Times New Roman"/>
                <w:szCs w:val="20"/>
              </w:rPr>
            </w:pPr>
            <w:r w:rsidRPr="00DD4DE1">
              <w:rPr>
                <w:rFonts w:ascii="Times New Roman" w:hAnsi="Times New Roman"/>
              </w:rPr>
              <w:t>Ny finansiering i alt, der er modtaget på den relevante dag i indberetningsperioden og har en oprindelig løbetid på mellem tre måneder og seks måneder, skal indberettes i kolonne 230 i linjepost 1.1-1.31.</w:t>
            </w:r>
          </w:p>
          <w:p w14:paraId="3E16D1CD" w14:textId="65F73615" w:rsidR="00ED41A4" w:rsidRPr="00DD4DE1" w:rsidRDefault="005A40BE" w:rsidP="00193B6D">
            <w:pPr>
              <w:rPr>
                <w:rFonts w:ascii="Times New Roman" w:hAnsi="Times New Roman"/>
                <w:b/>
                <w:szCs w:val="20"/>
                <w:u w:val="single"/>
              </w:rPr>
            </w:pPr>
            <w:r w:rsidRPr="00DD4DE1">
              <w:rPr>
                <w:rFonts w:ascii="Times New Roman" w:hAnsi="Times New Roman"/>
              </w:rPr>
              <w:t>Nettoforskellen mellem finansiering, der udløber, på den ene side, og refinansiering plus nye midler på den anden side skal indberettes i kolonne 240 under 1.1-1.31.</w:t>
            </w:r>
          </w:p>
        </w:tc>
      </w:tr>
      <w:tr w:rsidR="00ED41A4" w:rsidRPr="00DD4DE1" w14:paraId="3D6EC655" w14:textId="77777777" w:rsidTr="00ED41A4">
        <w:trPr>
          <w:trHeight w:val="765"/>
        </w:trPr>
        <w:tc>
          <w:tcPr>
            <w:tcW w:w="729" w:type="pct"/>
            <w:shd w:val="clear" w:color="auto" w:fill="auto"/>
            <w:noWrap/>
          </w:tcPr>
          <w:p w14:paraId="770F85E8" w14:textId="77777777" w:rsidR="00ED41A4" w:rsidRPr="00DD4DE1" w:rsidRDefault="00BD24C1" w:rsidP="00BD24C1">
            <w:pPr>
              <w:spacing w:before="0" w:after="0"/>
              <w:jc w:val="left"/>
              <w:rPr>
                <w:rFonts w:ascii="Times New Roman" w:hAnsi="Times New Roman"/>
                <w:color w:val="000000"/>
                <w:szCs w:val="20"/>
              </w:rPr>
            </w:pPr>
            <w:r w:rsidRPr="00DD4DE1">
              <w:rPr>
                <w:rFonts w:ascii="Times New Roman" w:hAnsi="Times New Roman"/>
                <w:color w:val="000000"/>
              </w:rPr>
              <w:t>250 til 280</w:t>
            </w:r>
          </w:p>
        </w:tc>
        <w:tc>
          <w:tcPr>
            <w:tcW w:w="4271" w:type="pct"/>
            <w:shd w:val="clear" w:color="auto" w:fill="auto"/>
          </w:tcPr>
          <w:p w14:paraId="29910BBF" w14:textId="77777777" w:rsidR="00ED41A4" w:rsidRPr="00DD4DE1" w:rsidRDefault="005A40BE" w:rsidP="00193B6D">
            <w:pPr>
              <w:rPr>
                <w:rFonts w:ascii="Times New Roman" w:hAnsi="Times New Roman"/>
                <w:b/>
                <w:szCs w:val="20"/>
                <w:u w:val="single"/>
              </w:rPr>
            </w:pPr>
            <w:r w:rsidRPr="00DD4DE1">
              <w:rPr>
                <w:rFonts w:ascii="Times New Roman" w:hAnsi="Times New Roman"/>
                <w:b/>
                <w:u w:val="single"/>
              </w:rPr>
              <w:t>&gt; 6 måneder</w:t>
            </w:r>
          </w:p>
          <w:p w14:paraId="3C7C589B" w14:textId="6F0EC1DA" w:rsidR="007C6B89" w:rsidRPr="00DD4DE1" w:rsidRDefault="007C6B89" w:rsidP="00193B6D">
            <w:pPr>
              <w:rPr>
                <w:rFonts w:ascii="Times New Roman" w:hAnsi="Times New Roman"/>
                <w:szCs w:val="20"/>
              </w:rPr>
            </w:pPr>
            <w:r w:rsidRPr="00DD4DE1">
              <w:rPr>
                <w:rFonts w:ascii="Times New Roman" w:hAnsi="Times New Roman"/>
              </w:rPr>
              <w:t>Finansiering i alt, der udløber på den relevante dag i indberetningsperioden og har en oprindelig løbetid på over seks måneder, skal indberettes i kolonne 250 i linjepost 1.1-1.31. For måneder med mindre end 31 dage samt for weekender skal ikkerelevante linjer stå tomme.</w:t>
            </w:r>
          </w:p>
          <w:p w14:paraId="09601152" w14:textId="7600B6AF" w:rsidR="003E371A" w:rsidRPr="00DD4DE1" w:rsidRDefault="003E371A" w:rsidP="00193B6D">
            <w:pPr>
              <w:rPr>
                <w:rFonts w:ascii="Times New Roman" w:hAnsi="Times New Roman"/>
                <w:szCs w:val="20"/>
              </w:rPr>
            </w:pPr>
            <w:r w:rsidRPr="00DD4DE1">
              <w:rPr>
                <w:rFonts w:ascii="Times New Roman" w:hAnsi="Times New Roman"/>
              </w:rPr>
              <w:t>Finansiering i alt, der er refinansieret på den relevante dag i indberetningsperioden og har en oprindelig løbetid på over seks måneder, skal indberettes i kolonne 260 i linjepost 1.1-1.31.</w:t>
            </w:r>
          </w:p>
          <w:p w14:paraId="4585368E" w14:textId="146D4C77" w:rsidR="007C6B89" w:rsidRPr="00DD4DE1" w:rsidRDefault="007C6B89" w:rsidP="00193B6D">
            <w:pPr>
              <w:rPr>
                <w:rFonts w:ascii="Times New Roman" w:hAnsi="Times New Roman"/>
                <w:szCs w:val="20"/>
              </w:rPr>
            </w:pPr>
            <w:r w:rsidRPr="00DD4DE1">
              <w:rPr>
                <w:rFonts w:ascii="Times New Roman" w:hAnsi="Times New Roman"/>
              </w:rPr>
              <w:t>Ny finansiering i alt, der er modtaget på den relevante dag i indberetningsperioden og har en oprindelig løbetid på over seks måneder, skal indberettes i kolonne 270 i linjepost 1.1-1.31.</w:t>
            </w:r>
          </w:p>
          <w:p w14:paraId="228AAF2B" w14:textId="57E2BDD6" w:rsidR="00ED41A4" w:rsidRPr="00DD4DE1" w:rsidRDefault="007C6B89" w:rsidP="00193B6D">
            <w:pPr>
              <w:rPr>
                <w:rFonts w:ascii="Times New Roman" w:hAnsi="Times New Roman"/>
                <w:b/>
                <w:szCs w:val="20"/>
                <w:u w:val="single"/>
              </w:rPr>
            </w:pPr>
            <w:r w:rsidRPr="00DD4DE1">
              <w:rPr>
                <w:rFonts w:ascii="Times New Roman" w:hAnsi="Times New Roman"/>
              </w:rPr>
              <w:t>Nettoforskellen mellem finansiering, der udløber, på den ene side, og refinansiering plus nye midler på den anden side skal indberettes i kolonne 280 under 1.1-1.31.</w:t>
            </w:r>
          </w:p>
        </w:tc>
      </w:tr>
      <w:tr w:rsidR="00ED41A4" w:rsidRPr="00DD4DE1" w14:paraId="26CA8238" w14:textId="77777777" w:rsidTr="00ED41A4">
        <w:trPr>
          <w:trHeight w:val="765"/>
        </w:trPr>
        <w:tc>
          <w:tcPr>
            <w:tcW w:w="729" w:type="pct"/>
            <w:shd w:val="clear" w:color="auto" w:fill="auto"/>
            <w:noWrap/>
          </w:tcPr>
          <w:p w14:paraId="5DBB902E" w14:textId="77777777" w:rsidR="00ED41A4" w:rsidRPr="00DD4DE1" w:rsidRDefault="00BD24C1" w:rsidP="00BD24C1">
            <w:pPr>
              <w:spacing w:before="0" w:after="0"/>
              <w:jc w:val="left"/>
              <w:rPr>
                <w:rFonts w:ascii="Times New Roman" w:hAnsi="Times New Roman"/>
                <w:color w:val="000000"/>
                <w:szCs w:val="20"/>
              </w:rPr>
            </w:pPr>
            <w:r w:rsidRPr="00DD4DE1">
              <w:rPr>
                <w:rFonts w:ascii="Times New Roman" w:hAnsi="Times New Roman"/>
                <w:color w:val="000000"/>
              </w:rPr>
              <w:t>290</w:t>
            </w:r>
          </w:p>
        </w:tc>
        <w:tc>
          <w:tcPr>
            <w:tcW w:w="4271" w:type="pct"/>
            <w:shd w:val="clear" w:color="auto" w:fill="auto"/>
          </w:tcPr>
          <w:p w14:paraId="7F9724BA" w14:textId="77777777" w:rsidR="00ED41A4" w:rsidRPr="00DD4DE1" w:rsidRDefault="00ED41A4" w:rsidP="00193B6D">
            <w:pPr>
              <w:rPr>
                <w:rFonts w:ascii="Times New Roman" w:hAnsi="Times New Roman"/>
                <w:b/>
                <w:szCs w:val="20"/>
                <w:u w:val="single"/>
              </w:rPr>
            </w:pPr>
            <w:r w:rsidRPr="00DD4DE1">
              <w:rPr>
                <w:rFonts w:ascii="Times New Roman" w:hAnsi="Times New Roman"/>
                <w:b/>
                <w:u w:val="single"/>
              </w:rPr>
              <w:t>Nettopengestrømme i alt</w:t>
            </w:r>
          </w:p>
          <w:p w14:paraId="6468E29D" w14:textId="2FE5E4DD" w:rsidR="007C6B89" w:rsidRPr="00DD4DE1" w:rsidRDefault="007C6B89" w:rsidP="001861B7">
            <w:pPr>
              <w:rPr>
                <w:rFonts w:ascii="Times New Roman" w:hAnsi="Times New Roman"/>
                <w:b/>
                <w:szCs w:val="20"/>
                <w:u w:val="single"/>
              </w:rPr>
            </w:pPr>
            <w:r w:rsidRPr="00DD4DE1">
              <w:rPr>
                <w:rFonts w:ascii="Times New Roman" w:hAnsi="Times New Roman"/>
              </w:rPr>
              <w:t>Nettopengestrømme i alt svarende til summen af alle "Netto"-kolonner (040, 080, 120, 160, 200, 240 og 280) indberettes i kolonne 290.</w:t>
            </w:r>
          </w:p>
        </w:tc>
      </w:tr>
      <w:tr w:rsidR="00ED41A4" w:rsidRPr="00DD4DE1" w14:paraId="18A531BD" w14:textId="77777777" w:rsidTr="00ED41A4">
        <w:trPr>
          <w:trHeight w:val="765"/>
        </w:trPr>
        <w:tc>
          <w:tcPr>
            <w:tcW w:w="729" w:type="pct"/>
            <w:shd w:val="clear" w:color="auto" w:fill="auto"/>
            <w:noWrap/>
          </w:tcPr>
          <w:p w14:paraId="41F26860" w14:textId="401B327E" w:rsidR="00ED41A4" w:rsidRPr="00DD4DE1" w:rsidRDefault="00BD24C1" w:rsidP="002C0AF3">
            <w:pPr>
              <w:spacing w:before="0" w:after="0"/>
              <w:jc w:val="left"/>
              <w:rPr>
                <w:rFonts w:ascii="Times New Roman" w:hAnsi="Times New Roman"/>
                <w:color w:val="000000"/>
                <w:szCs w:val="20"/>
              </w:rPr>
            </w:pPr>
            <w:r w:rsidRPr="00DD4DE1">
              <w:rPr>
                <w:rFonts w:ascii="Times New Roman" w:hAnsi="Times New Roman"/>
                <w:color w:val="000000"/>
              </w:rPr>
              <w:t>300-320</w:t>
            </w:r>
          </w:p>
        </w:tc>
        <w:tc>
          <w:tcPr>
            <w:tcW w:w="4271" w:type="pct"/>
            <w:shd w:val="clear" w:color="auto" w:fill="auto"/>
          </w:tcPr>
          <w:p w14:paraId="0B9AF00A" w14:textId="77777777" w:rsidR="00ED41A4" w:rsidRPr="00DD4DE1" w:rsidRDefault="00ED41A4" w:rsidP="00193B6D">
            <w:pPr>
              <w:rPr>
                <w:rFonts w:ascii="Times New Roman" w:hAnsi="Times New Roman"/>
                <w:b/>
                <w:szCs w:val="20"/>
                <w:u w:val="single"/>
              </w:rPr>
            </w:pPr>
            <w:r w:rsidRPr="00DD4DE1">
              <w:rPr>
                <w:rFonts w:ascii="Times New Roman" w:hAnsi="Times New Roman"/>
                <w:b/>
                <w:u w:val="single"/>
              </w:rPr>
              <w:t>Gennemsnitlig løbetid (dage)</w:t>
            </w:r>
          </w:p>
          <w:p w14:paraId="51F755D8" w14:textId="4DE32C79" w:rsidR="007C6B89" w:rsidRPr="00DD4DE1" w:rsidRDefault="007C6B89" w:rsidP="00193B6D">
            <w:pPr>
              <w:rPr>
                <w:rFonts w:ascii="Times New Roman" w:hAnsi="Times New Roman"/>
                <w:b/>
                <w:szCs w:val="20"/>
                <w:u w:val="single"/>
              </w:rPr>
            </w:pPr>
            <w:r w:rsidRPr="00DD4DE1">
              <w:rPr>
                <w:rFonts w:ascii="Times New Roman" w:hAnsi="Times New Roman"/>
              </w:rPr>
              <w:t>Den vægtede gennemsnitlige løbetid i dage for al finansiering, der udløber, skal indberettes i kolonne 300. Den vægtede gennemsnitlige løbetid i dage for alle refinansierede midler indberettes i kolonne 310, den vægtede gennemsnitlige løbetid i dage for alle nye midler indberettes i kolonne 320.</w:t>
            </w:r>
          </w:p>
        </w:tc>
      </w:tr>
    </w:tbl>
    <w:p w14:paraId="0C5FD1B5" w14:textId="77777777" w:rsidR="00DD4DE1" w:rsidRPr="00DD4DE1" w:rsidRDefault="00DD4DE1">
      <w:pPr>
        <w:pStyle w:val="InstructionsText2"/>
        <w:numPr>
          <w:ilvl w:val="0"/>
          <w:numId w:val="0"/>
        </w:numPr>
        <w:rPr>
          <w:u w:val="none"/>
        </w:rPr>
      </w:pPr>
    </w:p>
    <w:sectPr w:rsidR="00DD4DE1" w:rsidRPr="00DD4DE1" w:rsidSect="00EA0D1D">
      <w:footerReference w:type="default" r:id="rId9"/>
      <w:footerReference w:type="first" r:id="rId10"/>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5845F" w14:textId="77777777" w:rsidR="00167536" w:rsidRDefault="00167536">
      <w:r>
        <w:separator/>
      </w:r>
    </w:p>
  </w:endnote>
  <w:endnote w:type="continuationSeparator" w:id="0">
    <w:p w14:paraId="7485B22D" w14:textId="77777777" w:rsidR="00167536" w:rsidRDefault="00167536">
      <w:r>
        <w:continuationSeparator/>
      </w:r>
    </w:p>
  </w:endnote>
  <w:endnote w:type="continuationNotice" w:id="1">
    <w:p w14:paraId="351FC6CF" w14:textId="77777777" w:rsidR="00167536" w:rsidRDefault="0016753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7624507"/>
      <w:docPartObj>
        <w:docPartGallery w:val="Page Numbers (Bottom of Page)"/>
        <w:docPartUnique/>
      </w:docPartObj>
    </w:sdtPr>
    <w:sdtEndPr>
      <w:rPr>
        <w:noProof/>
      </w:rPr>
    </w:sdtEndPr>
    <w:sdtContent>
      <w:p w14:paraId="211434C3" w14:textId="6C7975EA" w:rsidR="003E009D" w:rsidRDefault="003E009D">
        <w:pPr>
          <w:pStyle w:val="Footer"/>
          <w:jc w:val="center"/>
        </w:pPr>
        <w:r>
          <w:fldChar w:fldCharType="begin"/>
        </w:r>
        <w:r>
          <w:instrText xml:space="preserve"> PAGE   \* MERGEFORMAT </w:instrText>
        </w:r>
        <w:r>
          <w:fldChar w:fldCharType="separate"/>
        </w:r>
        <w:r w:rsidR="00DD4DE1">
          <w:rPr>
            <w:noProof/>
          </w:rPr>
          <w:t>12</w:t>
        </w:r>
        <w:r>
          <w:rPr>
            <w:noProof/>
          </w:rP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974065"/>
      <w:docPartObj>
        <w:docPartGallery w:val="Page Numbers (Bottom of Page)"/>
        <w:docPartUnique/>
      </w:docPartObj>
    </w:sdtPr>
    <w:sdtEndPr>
      <w:rPr>
        <w:noProof/>
      </w:rPr>
    </w:sdtEndPr>
    <w:sdtContent>
      <w:p w14:paraId="0BAAC0BA" w14:textId="10220D67" w:rsidR="00EA0D1D" w:rsidRDefault="00EA0D1D">
        <w:pPr>
          <w:pStyle w:val="Footer"/>
          <w:jc w:val="center"/>
        </w:pPr>
        <w:r>
          <w:fldChar w:fldCharType="begin"/>
        </w:r>
        <w:r>
          <w:instrText xml:space="preserve"> PAGE   \* MERGEFORMAT </w:instrText>
        </w:r>
        <w:r>
          <w:fldChar w:fldCharType="separate"/>
        </w:r>
        <w:r w:rsidR="00DD4DE1">
          <w:rPr>
            <w:noProof/>
          </w:rPr>
          <w:t>1</w:t>
        </w:r>
        <w:r>
          <w:rPr>
            <w:noProof/>
          </w:rP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63CF24" w14:textId="77777777" w:rsidR="00167536" w:rsidRDefault="00167536">
      <w:r>
        <w:separator/>
      </w:r>
    </w:p>
  </w:footnote>
  <w:footnote w:type="continuationSeparator" w:id="0">
    <w:p w14:paraId="19B8F927" w14:textId="77777777" w:rsidR="00167536" w:rsidRDefault="00167536">
      <w:r>
        <w:continuationSeparator/>
      </w:r>
    </w:p>
  </w:footnote>
  <w:footnote w:type="continuationNotice" w:id="1">
    <w:p w14:paraId="3A75644C" w14:textId="77777777" w:rsidR="00167536" w:rsidRDefault="00167536">
      <w:pPr>
        <w:spacing w:before="0"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5A04180"/>
    <w:lvl w:ilvl="0">
      <w:start w:val="1"/>
      <w:numFmt w:val="decimal"/>
      <w:lvlText w:val="%1."/>
      <w:lvlJc w:val="left"/>
      <w:pPr>
        <w:tabs>
          <w:tab w:val="num" w:pos="1492"/>
        </w:tabs>
        <w:ind w:left="1492" w:hanging="360"/>
      </w:pPr>
    </w:lvl>
  </w:abstractNum>
  <w:abstractNum w:abstractNumId="1">
    <w:nsid w:val="FFFFFF7D"/>
    <w:multiLevelType w:val="singleLevel"/>
    <w:tmpl w:val="42E82F6E"/>
    <w:lvl w:ilvl="0">
      <w:start w:val="1"/>
      <w:numFmt w:val="decimal"/>
      <w:lvlText w:val="%1."/>
      <w:lvlJc w:val="left"/>
      <w:pPr>
        <w:tabs>
          <w:tab w:val="num" w:pos="1209"/>
        </w:tabs>
        <w:ind w:left="1209" w:hanging="360"/>
      </w:pPr>
    </w:lvl>
  </w:abstractNum>
  <w:abstractNum w:abstractNumId="2">
    <w:nsid w:val="FFFFFF7E"/>
    <w:multiLevelType w:val="singleLevel"/>
    <w:tmpl w:val="BC885B20"/>
    <w:lvl w:ilvl="0">
      <w:start w:val="1"/>
      <w:numFmt w:val="decimal"/>
      <w:lvlText w:val="%1."/>
      <w:lvlJc w:val="left"/>
      <w:pPr>
        <w:tabs>
          <w:tab w:val="num" w:pos="926"/>
        </w:tabs>
        <w:ind w:left="926" w:hanging="360"/>
      </w:pPr>
    </w:lvl>
  </w:abstractNum>
  <w:abstractNum w:abstractNumId="3">
    <w:nsid w:val="FFFFFF7F"/>
    <w:multiLevelType w:val="singleLevel"/>
    <w:tmpl w:val="8E84EA72"/>
    <w:lvl w:ilvl="0">
      <w:start w:val="1"/>
      <w:numFmt w:val="decimal"/>
      <w:lvlText w:val="%1."/>
      <w:lvlJc w:val="left"/>
      <w:pPr>
        <w:tabs>
          <w:tab w:val="num" w:pos="643"/>
        </w:tabs>
        <w:ind w:left="643" w:hanging="360"/>
      </w:pPr>
    </w:lvl>
  </w:abstractNum>
  <w:abstractNum w:abstractNumId="4">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630B300"/>
    <w:lvl w:ilvl="0">
      <w:start w:val="1"/>
      <w:numFmt w:val="decimal"/>
      <w:lvlText w:val="%1."/>
      <w:lvlJc w:val="left"/>
      <w:pPr>
        <w:tabs>
          <w:tab w:val="num" w:pos="360"/>
        </w:tabs>
        <w:ind w:left="360" w:hanging="360"/>
      </w:pPr>
    </w:lvl>
  </w:abstractNum>
  <w:abstractNum w:abstractNumId="9">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nsid w:val="23674DE4"/>
    <w:multiLevelType w:val="multilevel"/>
    <w:tmpl w:val="1D58222A"/>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nsid w:val="2C29681E"/>
    <w:multiLevelType w:val="multilevel"/>
    <w:tmpl w:val="0E9CF100"/>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nsid w:val="67917771"/>
    <w:multiLevelType w:val="multilevel"/>
    <w:tmpl w:val="42AAFFC6"/>
    <w:lvl w:ilvl="0">
      <w:start w:val="2"/>
      <w:numFmt w:val="decimal"/>
      <w:lvlText w:val="%1."/>
      <w:lvlJc w:val="left"/>
      <w:pPr>
        <w:ind w:left="714" w:hanging="357"/>
      </w:pPr>
      <w:rPr>
        <w:rFonts w:hint="default"/>
      </w:rPr>
    </w:lvl>
    <w:lvl w:ilvl="1">
      <w:start w:val="1"/>
      <w:numFmt w:val="lowerLetter"/>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nsid w:val="76DC309E"/>
    <w:multiLevelType w:val="multilevel"/>
    <w:tmpl w:val="D9C4ED58"/>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6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246F"/>
    <w:rsid w:val="008E6F7E"/>
    <w:rsid w:val="008F1100"/>
    <w:rsid w:val="008F713F"/>
    <w:rsid w:val="008F741B"/>
    <w:rsid w:val="009032C6"/>
    <w:rsid w:val="009033C4"/>
    <w:rsid w:val="00903920"/>
    <w:rsid w:val="00905BEA"/>
    <w:rsid w:val="00915FB9"/>
    <w:rsid w:val="00917EBF"/>
    <w:rsid w:val="00924773"/>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4DE1"/>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465"/>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da-DK"/>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da-DK" w:eastAsia="da-DK" w:bidi="da-DK"/>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da-DK" w:eastAsia="da-DK" w:bidi="da-DK"/>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da-DK" w:eastAsia="da-DK" w:bidi="da-DK"/>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da-DK" w:eastAsia="da-DK" w:bidi="da-DK"/>
    </w:rPr>
  </w:style>
  <w:style w:type="character" w:customStyle="1" w:styleId="FunoteChar">
    <w:name w:val="Fußnote Char"/>
    <w:aliases w:val=" Char Char Char"/>
    <w:semiHidden/>
    <w:rsid w:val="009D253B"/>
    <w:rPr>
      <w:rFonts w:ascii="Arial" w:hAnsi="Arial"/>
      <w:sz w:val="18"/>
      <w:lang w:val="da-DK" w:eastAsia="da-DK" w:bidi="da-DK"/>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da-DK" w:eastAsia="da-DK" w:bidi="da-DK"/>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da-DK" w:eastAsia="da-DK"/>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da-DK" w:eastAsia="da-DK"/>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da-DK" w:eastAsia="da-DK"/>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da-DK" w:eastAsia="da-DK"/>
    </w:rPr>
  </w:style>
  <w:style w:type="character" w:customStyle="1" w:styleId="BalloonTextChar">
    <w:name w:val="Balloon Text Char"/>
    <w:link w:val="BalloonText"/>
    <w:semiHidden/>
    <w:rsid w:val="00167536"/>
    <w:rPr>
      <w:rFonts w:ascii="Tahoma" w:hAnsi="Tahoma" w:cs="Tahoma"/>
      <w:sz w:val="16"/>
      <w:szCs w:val="16"/>
      <w:lang w:val="da-DK" w:eastAsia="da-DK"/>
    </w:rPr>
  </w:style>
  <w:style w:type="character" w:customStyle="1" w:styleId="PlainTextChar">
    <w:name w:val="Plain Text Char"/>
    <w:link w:val="PlainText"/>
    <w:semiHidden/>
    <w:rsid w:val="00167536"/>
    <w:rPr>
      <w:rFonts w:ascii="Consolas" w:hAnsi="Consolas"/>
      <w:sz w:val="21"/>
      <w:szCs w:val="21"/>
      <w:lang w:val="da-DK" w:eastAsia="da-DK"/>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da-DK" w:eastAsia="da-DK"/>
    </w:rPr>
  </w:style>
  <w:style w:type="character" w:customStyle="1" w:styleId="FooterCoverPageChar">
    <w:name w:val="Footer Cover Page Char"/>
    <w:link w:val="FooterCoverPage"/>
    <w:rsid w:val="00167536"/>
    <w:rPr>
      <w:color w:val="4F81BD"/>
      <w:sz w:val="24"/>
      <w:szCs w:val="24"/>
      <w:lang w:val="da-DK" w:eastAsia="da-DK"/>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da-DK"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da-DK" w:bidi="da-DK"/>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da-DK" w:eastAsia="da-DK" w:bidi="da-DK"/>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da-DK" w:eastAsia="da-DK" w:bidi="da-DK"/>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da-DK" w:eastAsia="da-DK" w:bidi="da-DK"/>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da-DK" w:eastAsia="da-DK" w:bidi="da-DK"/>
    </w:rPr>
  </w:style>
  <w:style w:type="character" w:customStyle="1" w:styleId="FunoteChar">
    <w:name w:val="Fußnote Char"/>
    <w:aliases w:val=" Char Char Char"/>
    <w:semiHidden/>
    <w:rsid w:val="009D253B"/>
    <w:rPr>
      <w:rFonts w:ascii="Arial" w:hAnsi="Arial"/>
      <w:sz w:val="18"/>
      <w:lang w:val="da-DK" w:eastAsia="da-DK" w:bidi="da-DK"/>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da-DK" w:eastAsia="da-DK" w:bidi="da-DK"/>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da-DK" w:eastAsia="da-DK"/>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da-DK" w:eastAsia="da-DK"/>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da-DK" w:eastAsia="da-DK"/>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da-DK" w:eastAsia="da-DK"/>
    </w:rPr>
  </w:style>
  <w:style w:type="character" w:customStyle="1" w:styleId="BalloonTextChar">
    <w:name w:val="Balloon Text Char"/>
    <w:link w:val="BalloonText"/>
    <w:semiHidden/>
    <w:rsid w:val="00167536"/>
    <w:rPr>
      <w:rFonts w:ascii="Tahoma" w:hAnsi="Tahoma" w:cs="Tahoma"/>
      <w:sz w:val="16"/>
      <w:szCs w:val="16"/>
      <w:lang w:val="da-DK" w:eastAsia="da-DK"/>
    </w:rPr>
  </w:style>
  <w:style w:type="character" w:customStyle="1" w:styleId="PlainTextChar">
    <w:name w:val="Plain Text Char"/>
    <w:link w:val="PlainText"/>
    <w:semiHidden/>
    <w:rsid w:val="00167536"/>
    <w:rPr>
      <w:rFonts w:ascii="Consolas" w:hAnsi="Consolas"/>
      <w:sz w:val="21"/>
      <w:szCs w:val="21"/>
      <w:lang w:val="da-DK" w:eastAsia="da-DK"/>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da-DK" w:eastAsia="da-DK"/>
    </w:rPr>
  </w:style>
  <w:style w:type="character" w:customStyle="1" w:styleId="FooterCoverPageChar">
    <w:name w:val="Footer Cover Page Char"/>
    <w:link w:val="FooterCoverPage"/>
    <w:rsid w:val="00167536"/>
    <w:rPr>
      <w:color w:val="4F81BD"/>
      <w:sz w:val="24"/>
      <w:szCs w:val="24"/>
      <w:lang w:val="da-DK" w:eastAsia="da-DK"/>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089859-9CE5-4775-8770-AE198C150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12</Pages>
  <Words>4801</Words>
  <Characters>27600</Characters>
  <Application>Microsoft Office Word</Application>
  <DocSecurity>0</DocSecurity>
  <Lines>619</Lines>
  <Paragraphs>283</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32159</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LARSEN Erika</cp:lastModifiedBy>
  <cp:revision>14</cp:revision>
  <cp:lastPrinted>2014-06-12T08:34:00Z</cp:lastPrinted>
  <dcterms:created xsi:type="dcterms:W3CDTF">2018-02-06T16:20:00Z</dcterms:created>
  <dcterms:modified xsi:type="dcterms:W3CDTF">2018-09-05T08:42:00Z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