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4419" w:rsidRPr="00D51A68" w:rsidRDefault="006B08A5" w:rsidP="00A33695">
      <w:pPr>
        <w:jc w:val="center"/>
        <w:rPr>
          <w:rFonts w:ascii="Times New Roman" w:hAnsi="Times New Roman"/>
          <w:b/>
          <w:sz w:val="24"/>
        </w:rPr>
      </w:pPr>
      <w:bookmarkStart w:id="0" w:name="_Toc262568021"/>
      <w:bookmarkStart w:id="1" w:name="_Toc295829847"/>
      <w:bookmarkStart w:id="2" w:name="_GoBack"/>
      <w:bookmarkEnd w:id="2"/>
      <w:r w:rsidRPr="00D51A68">
        <w:rPr>
          <w:rFonts w:ascii="Times New Roman" w:hAnsi="Times New Roman"/>
          <w:b/>
          <w:sz w:val="24"/>
        </w:rPr>
        <w:t>IT</w:t>
      </w:r>
    </w:p>
    <w:p w:rsidR="00453999" w:rsidRPr="00D51A68" w:rsidRDefault="00453999" w:rsidP="00A33695">
      <w:pPr>
        <w:jc w:val="center"/>
        <w:rPr>
          <w:rFonts w:ascii="Times New Roman" w:hAnsi="Times New Roman"/>
          <w:b/>
          <w:sz w:val="24"/>
        </w:rPr>
      </w:pPr>
      <w:r w:rsidRPr="00D51A68">
        <w:rPr>
          <w:rFonts w:ascii="Times New Roman" w:hAnsi="Times New Roman"/>
          <w:b/>
          <w:sz w:val="24"/>
        </w:rPr>
        <w:t>ALLEGATO II</w:t>
      </w:r>
    </w:p>
    <w:p w:rsidR="007676ED" w:rsidRPr="00D51A68" w:rsidRDefault="007676ED" w:rsidP="00A33695">
      <w:pPr>
        <w:jc w:val="center"/>
        <w:rPr>
          <w:rFonts w:ascii="Times New Roman" w:hAnsi="Times New Roman"/>
          <w:b/>
          <w:sz w:val="24"/>
        </w:rPr>
      </w:pPr>
    </w:p>
    <w:p w:rsidR="007676ED" w:rsidRPr="00D51A68" w:rsidRDefault="007676ED" w:rsidP="00A33695">
      <w:pPr>
        <w:jc w:val="center"/>
        <w:rPr>
          <w:rFonts w:ascii="Times New Roman" w:hAnsi="Times New Roman"/>
          <w:b/>
          <w:sz w:val="24"/>
        </w:rPr>
      </w:pPr>
    </w:p>
    <w:p w:rsidR="002648B0" w:rsidRPr="00D51A68" w:rsidRDefault="002648B0" w:rsidP="00A33695">
      <w:pPr>
        <w:jc w:val="center"/>
        <w:rPr>
          <w:rFonts w:ascii="Times New Roman" w:hAnsi="Times New Roman"/>
          <w:b/>
          <w:sz w:val="24"/>
          <w:u w:val="single"/>
        </w:rPr>
      </w:pPr>
      <w:r w:rsidRPr="00D51A68">
        <w:rPr>
          <w:rFonts w:ascii="Times New Roman" w:hAnsi="Times New Roman"/>
          <w:b/>
          <w:sz w:val="24"/>
          <w:u w:val="single"/>
        </w:rPr>
        <w:t>ALLEGATO II</w:t>
      </w:r>
    </w:p>
    <w:p w:rsidR="002648B0" w:rsidRPr="00D51A68" w:rsidRDefault="002648B0" w:rsidP="00C87CEE">
      <w:pPr>
        <w:jc w:val="center"/>
        <w:rPr>
          <w:rFonts w:ascii="Times New Roman" w:hAnsi="Times New Roman"/>
          <w:b/>
          <w:sz w:val="24"/>
        </w:rPr>
      </w:pPr>
      <w:r w:rsidRPr="00D51A68">
        <w:rPr>
          <w:rFonts w:ascii="Times New Roman" w:hAnsi="Times New Roman"/>
          <w:b/>
          <w:sz w:val="24"/>
        </w:rPr>
        <w:t xml:space="preserve">SEGNALAZIONI RIGUARDANTI I FONDI PROPRI E I REQUISITI </w:t>
      </w:r>
      <w:r w:rsidR="0009277C" w:rsidRPr="00D51A68">
        <w:rPr>
          <w:rFonts w:ascii="Times New Roman" w:hAnsi="Times New Roman"/>
          <w:b/>
          <w:sz w:val="24"/>
        </w:rPr>
        <w:br/>
      </w:r>
      <w:r w:rsidRPr="00D51A68">
        <w:rPr>
          <w:rFonts w:ascii="Times New Roman" w:hAnsi="Times New Roman"/>
          <w:b/>
          <w:sz w:val="24"/>
        </w:rPr>
        <w:t>DI FONDI PROPRI</w:t>
      </w:r>
    </w:p>
    <w:p w:rsidR="00436204" w:rsidRPr="00D51A68" w:rsidRDefault="00436204" w:rsidP="00C87CEE">
      <w:pPr>
        <w:jc w:val="center"/>
        <w:rPr>
          <w:rFonts w:ascii="Times New Roman" w:hAnsi="Times New Roman"/>
          <w:b/>
          <w:sz w:val="24"/>
        </w:rPr>
      </w:pPr>
    </w:p>
    <w:p w:rsidR="00783881" w:rsidRPr="00D51A68" w:rsidRDefault="002648B0" w:rsidP="00FC1A76">
      <w:pPr>
        <w:pStyle w:val="InstructionsText"/>
      </w:pPr>
      <w:r w:rsidRPr="00D51A68">
        <w:t>Indice</w:t>
      </w:r>
    </w:p>
    <w:p w:rsidR="004B5E3A" w:rsidRPr="00D51A68" w:rsidRDefault="00FC1A76">
      <w:pPr>
        <w:pStyle w:val="TOC2"/>
        <w:rPr>
          <w:rFonts w:asciiTheme="minorHAnsi" w:eastAsiaTheme="minorEastAsia" w:hAnsiTheme="minorHAnsi" w:cstheme="minorBidi"/>
          <w:b w:val="0"/>
          <w:smallCaps w:val="0"/>
          <w:sz w:val="22"/>
          <w:lang w:eastAsia="en-GB" w:bidi="ar-SA"/>
        </w:rPr>
      </w:pPr>
      <w:r w:rsidRPr="00D51A68">
        <w:rPr>
          <w:rFonts w:ascii="Times New Roman" w:hAnsi="Times New Roman"/>
          <w:noProof w:val="0"/>
          <w:sz w:val="24"/>
          <w:szCs w:val="24"/>
        </w:rPr>
        <w:fldChar w:fldCharType="begin"/>
      </w:r>
      <w:r w:rsidR="00745369" w:rsidRPr="00D51A68">
        <w:rPr>
          <w:rFonts w:ascii="Times New Roman" w:hAnsi="Times New Roman"/>
          <w:noProof w:val="0"/>
          <w:sz w:val="24"/>
          <w:szCs w:val="24"/>
        </w:rPr>
        <w:instrText xml:space="preserve"> TOC \o "1-3" \h \z \u </w:instrText>
      </w:r>
      <w:r w:rsidRPr="00D51A68">
        <w:rPr>
          <w:rFonts w:ascii="Times New Roman" w:hAnsi="Times New Roman"/>
          <w:noProof w:val="0"/>
          <w:sz w:val="24"/>
          <w:szCs w:val="24"/>
        </w:rPr>
        <w:fldChar w:fldCharType="separate"/>
      </w:r>
      <w:hyperlink w:anchor="_Toc524096544" w:history="1">
        <w:r w:rsidR="004B5E3A" w:rsidRPr="00D51A68">
          <w:rPr>
            <w:rStyle w:val="Hyperlink"/>
            <w:rFonts w:ascii="Times New Roman" w:hAnsi="Times New Roman"/>
          </w:rPr>
          <w:t>PARTE I: ISTRUZIONI DI CARATTERE GENERALE</w:t>
        </w:r>
        <w:r w:rsidR="004B5E3A" w:rsidRPr="00D51A68">
          <w:rPr>
            <w:webHidden/>
          </w:rPr>
          <w:tab/>
        </w:r>
        <w:r w:rsidR="004B5E3A" w:rsidRPr="00D51A68">
          <w:rPr>
            <w:webHidden/>
          </w:rPr>
          <w:fldChar w:fldCharType="begin"/>
        </w:r>
        <w:r w:rsidR="004B5E3A" w:rsidRPr="00D51A68">
          <w:rPr>
            <w:webHidden/>
          </w:rPr>
          <w:instrText xml:space="preserve"> PAGEREF _Toc524096544 \h </w:instrText>
        </w:r>
        <w:r w:rsidR="004B5E3A" w:rsidRPr="00D51A68">
          <w:rPr>
            <w:webHidden/>
          </w:rPr>
        </w:r>
        <w:r w:rsidR="004B5E3A" w:rsidRPr="00D51A68">
          <w:rPr>
            <w:webHidden/>
          </w:rPr>
          <w:fldChar w:fldCharType="separate"/>
        </w:r>
        <w:r w:rsidR="00DB339B">
          <w:rPr>
            <w:webHidden/>
          </w:rPr>
          <w:t>6</w:t>
        </w:r>
        <w:r w:rsidR="004B5E3A" w:rsidRPr="00D51A68">
          <w:rPr>
            <w:webHidden/>
          </w:rPr>
          <w:fldChar w:fldCharType="end"/>
        </w:r>
      </w:hyperlink>
    </w:p>
    <w:p w:rsidR="004B5E3A" w:rsidRPr="00D51A68" w:rsidRDefault="00DB339B">
      <w:pPr>
        <w:pStyle w:val="TOC2"/>
        <w:rPr>
          <w:rFonts w:asciiTheme="minorHAnsi" w:eastAsiaTheme="minorEastAsia" w:hAnsiTheme="minorHAnsi" w:cstheme="minorBidi"/>
          <w:b w:val="0"/>
          <w:smallCaps w:val="0"/>
          <w:sz w:val="22"/>
          <w:lang w:eastAsia="en-GB" w:bidi="ar-SA"/>
        </w:rPr>
      </w:pPr>
      <w:hyperlink w:anchor="_Toc524096545" w:history="1">
        <w:r w:rsidR="004B5E3A" w:rsidRPr="00D51A68">
          <w:rPr>
            <w:rStyle w:val="Hyperlink"/>
            <w:rFonts w:ascii="Times New Roman" w:hAnsi="Times New Roman"/>
          </w:rPr>
          <w:t>1.</w:t>
        </w:r>
        <w:r w:rsidR="004B5E3A" w:rsidRPr="00D51A68">
          <w:rPr>
            <w:rFonts w:asciiTheme="minorHAnsi" w:eastAsiaTheme="minorEastAsia" w:hAnsiTheme="minorHAnsi" w:cstheme="minorBidi"/>
            <w:b w:val="0"/>
            <w:smallCaps w:val="0"/>
            <w:sz w:val="22"/>
            <w:lang w:eastAsia="en-GB" w:bidi="ar-SA"/>
          </w:rPr>
          <w:tab/>
        </w:r>
        <w:r w:rsidR="004B5E3A" w:rsidRPr="00D51A68">
          <w:rPr>
            <w:rStyle w:val="Hyperlink"/>
            <w:rFonts w:ascii="Times New Roman" w:hAnsi="Times New Roman"/>
          </w:rPr>
          <w:t>Struttura e convenzioni</w:t>
        </w:r>
        <w:r w:rsidR="004B5E3A" w:rsidRPr="00D51A68">
          <w:rPr>
            <w:webHidden/>
          </w:rPr>
          <w:tab/>
        </w:r>
        <w:r w:rsidR="004B5E3A" w:rsidRPr="00D51A68">
          <w:rPr>
            <w:webHidden/>
          </w:rPr>
          <w:fldChar w:fldCharType="begin"/>
        </w:r>
        <w:r w:rsidR="004B5E3A" w:rsidRPr="00D51A68">
          <w:rPr>
            <w:webHidden/>
          </w:rPr>
          <w:instrText xml:space="preserve"> PAGEREF _Toc524096545 \h </w:instrText>
        </w:r>
        <w:r w:rsidR="004B5E3A" w:rsidRPr="00D51A68">
          <w:rPr>
            <w:webHidden/>
          </w:rPr>
        </w:r>
        <w:r w:rsidR="004B5E3A" w:rsidRPr="00D51A68">
          <w:rPr>
            <w:webHidden/>
          </w:rPr>
          <w:fldChar w:fldCharType="separate"/>
        </w:r>
        <w:r>
          <w:rPr>
            <w:webHidden/>
          </w:rPr>
          <w:t>6</w:t>
        </w:r>
        <w:r w:rsidR="004B5E3A" w:rsidRPr="00D51A68">
          <w:rPr>
            <w:webHidden/>
          </w:rPr>
          <w:fldChar w:fldCharType="end"/>
        </w:r>
      </w:hyperlink>
    </w:p>
    <w:p w:rsidR="004B5E3A" w:rsidRPr="00D51A68" w:rsidRDefault="00DB339B">
      <w:pPr>
        <w:pStyle w:val="TOC2"/>
        <w:rPr>
          <w:rFonts w:asciiTheme="minorHAnsi" w:eastAsiaTheme="minorEastAsia" w:hAnsiTheme="minorHAnsi" w:cstheme="minorBidi"/>
          <w:b w:val="0"/>
          <w:smallCaps w:val="0"/>
          <w:sz w:val="22"/>
          <w:lang w:eastAsia="en-GB" w:bidi="ar-SA"/>
        </w:rPr>
      </w:pPr>
      <w:hyperlink w:anchor="_Toc524096546" w:history="1">
        <w:r w:rsidR="004B5E3A" w:rsidRPr="00D51A68">
          <w:rPr>
            <w:rStyle w:val="Hyperlink"/>
            <w:rFonts w:ascii="Times New Roman" w:hAnsi="Times New Roman"/>
          </w:rPr>
          <w:t>1.1.</w:t>
        </w:r>
        <w:r w:rsidR="004B5E3A" w:rsidRPr="00D51A68">
          <w:rPr>
            <w:rFonts w:asciiTheme="minorHAnsi" w:eastAsiaTheme="minorEastAsia" w:hAnsiTheme="minorHAnsi" w:cstheme="minorBidi"/>
            <w:b w:val="0"/>
            <w:smallCaps w:val="0"/>
            <w:sz w:val="22"/>
            <w:lang w:eastAsia="en-GB" w:bidi="ar-SA"/>
          </w:rPr>
          <w:tab/>
        </w:r>
        <w:r w:rsidR="004B5E3A" w:rsidRPr="00D51A68">
          <w:rPr>
            <w:rStyle w:val="Hyperlink"/>
            <w:rFonts w:ascii="Times New Roman" w:hAnsi="Times New Roman"/>
          </w:rPr>
          <w:t>Struttura</w:t>
        </w:r>
        <w:r w:rsidR="004B5E3A" w:rsidRPr="00D51A68">
          <w:rPr>
            <w:webHidden/>
          </w:rPr>
          <w:tab/>
        </w:r>
        <w:r w:rsidR="004B5E3A" w:rsidRPr="00D51A68">
          <w:rPr>
            <w:webHidden/>
          </w:rPr>
          <w:fldChar w:fldCharType="begin"/>
        </w:r>
        <w:r w:rsidR="004B5E3A" w:rsidRPr="00D51A68">
          <w:rPr>
            <w:webHidden/>
          </w:rPr>
          <w:instrText xml:space="preserve"> PAGEREF _Toc524096546 \h </w:instrText>
        </w:r>
        <w:r w:rsidR="004B5E3A" w:rsidRPr="00D51A68">
          <w:rPr>
            <w:webHidden/>
          </w:rPr>
        </w:r>
        <w:r w:rsidR="004B5E3A" w:rsidRPr="00D51A68">
          <w:rPr>
            <w:webHidden/>
          </w:rPr>
          <w:fldChar w:fldCharType="separate"/>
        </w:r>
        <w:r>
          <w:rPr>
            <w:webHidden/>
          </w:rPr>
          <w:t>6</w:t>
        </w:r>
        <w:r w:rsidR="004B5E3A" w:rsidRPr="00D51A68">
          <w:rPr>
            <w:webHidden/>
          </w:rPr>
          <w:fldChar w:fldCharType="end"/>
        </w:r>
      </w:hyperlink>
    </w:p>
    <w:p w:rsidR="004B5E3A" w:rsidRPr="00D51A68" w:rsidRDefault="00DB339B">
      <w:pPr>
        <w:pStyle w:val="TOC2"/>
        <w:rPr>
          <w:rFonts w:asciiTheme="minorHAnsi" w:eastAsiaTheme="minorEastAsia" w:hAnsiTheme="minorHAnsi" w:cstheme="minorBidi"/>
          <w:b w:val="0"/>
          <w:smallCaps w:val="0"/>
          <w:sz w:val="22"/>
          <w:lang w:eastAsia="en-GB" w:bidi="ar-SA"/>
        </w:rPr>
      </w:pPr>
      <w:hyperlink w:anchor="_Toc524096547" w:history="1">
        <w:r w:rsidR="004B5E3A" w:rsidRPr="00D51A68">
          <w:rPr>
            <w:rStyle w:val="Hyperlink"/>
            <w:rFonts w:ascii="Times New Roman" w:hAnsi="Times New Roman"/>
          </w:rPr>
          <w:t>1.2.</w:t>
        </w:r>
        <w:r w:rsidR="004B5E3A" w:rsidRPr="00D51A68">
          <w:rPr>
            <w:rFonts w:asciiTheme="minorHAnsi" w:eastAsiaTheme="minorEastAsia" w:hAnsiTheme="minorHAnsi" w:cstheme="minorBidi"/>
            <w:b w:val="0"/>
            <w:smallCaps w:val="0"/>
            <w:sz w:val="22"/>
            <w:lang w:eastAsia="en-GB" w:bidi="ar-SA"/>
          </w:rPr>
          <w:tab/>
        </w:r>
        <w:r w:rsidR="004B5E3A" w:rsidRPr="00D51A68">
          <w:rPr>
            <w:rStyle w:val="Hyperlink"/>
            <w:rFonts w:ascii="Times New Roman" w:hAnsi="Times New Roman"/>
          </w:rPr>
          <w:t>Convenzione di numerazione</w:t>
        </w:r>
        <w:r w:rsidR="004B5E3A" w:rsidRPr="00D51A68">
          <w:rPr>
            <w:webHidden/>
          </w:rPr>
          <w:tab/>
        </w:r>
        <w:r w:rsidR="004B5E3A" w:rsidRPr="00D51A68">
          <w:rPr>
            <w:webHidden/>
          </w:rPr>
          <w:fldChar w:fldCharType="begin"/>
        </w:r>
        <w:r w:rsidR="004B5E3A" w:rsidRPr="00D51A68">
          <w:rPr>
            <w:webHidden/>
          </w:rPr>
          <w:instrText xml:space="preserve"> PAGEREF _Toc524096547 \h </w:instrText>
        </w:r>
        <w:r w:rsidR="004B5E3A" w:rsidRPr="00D51A68">
          <w:rPr>
            <w:webHidden/>
          </w:rPr>
        </w:r>
        <w:r w:rsidR="004B5E3A" w:rsidRPr="00D51A68">
          <w:rPr>
            <w:webHidden/>
          </w:rPr>
          <w:fldChar w:fldCharType="separate"/>
        </w:r>
        <w:r>
          <w:rPr>
            <w:webHidden/>
          </w:rPr>
          <w:t>6</w:t>
        </w:r>
        <w:r w:rsidR="004B5E3A" w:rsidRPr="00D51A68">
          <w:rPr>
            <w:webHidden/>
          </w:rPr>
          <w:fldChar w:fldCharType="end"/>
        </w:r>
      </w:hyperlink>
    </w:p>
    <w:p w:rsidR="004B5E3A" w:rsidRPr="00D51A68" w:rsidRDefault="00DB339B">
      <w:pPr>
        <w:pStyle w:val="TOC2"/>
        <w:rPr>
          <w:rFonts w:asciiTheme="minorHAnsi" w:eastAsiaTheme="minorEastAsia" w:hAnsiTheme="minorHAnsi" w:cstheme="minorBidi"/>
          <w:b w:val="0"/>
          <w:smallCaps w:val="0"/>
          <w:sz w:val="22"/>
          <w:lang w:eastAsia="en-GB" w:bidi="ar-SA"/>
        </w:rPr>
      </w:pPr>
      <w:hyperlink w:anchor="_Toc524096548" w:history="1">
        <w:r w:rsidR="004B5E3A" w:rsidRPr="00D51A68">
          <w:rPr>
            <w:rStyle w:val="Hyperlink"/>
            <w:rFonts w:ascii="Times New Roman" w:hAnsi="Times New Roman"/>
          </w:rPr>
          <w:t>1.3.</w:t>
        </w:r>
        <w:r w:rsidR="004B5E3A" w:rsidRPr="00D51A68">
          <w:rPr>
            <w:rFonts w:asciiTheme="minorHAnsi" w:eastAsiaTheme="minorEastAsia" w:hAnsiTheme="minorHAnsi" w:cstheme="minorBidi"/>
            <w:b w:val="0"/>
            <w:smallCaps w:val="0"/>
            <w:sz w:val="22"/>
            <w:lang w:eastAsia="en-GB" w:bidi="ar-SA"/>
          </w:rPr>
          <w:tab/>
        </w:r>
        <w:r w:rsidR="004B5E3A" w:rsidRPr="00D51A68">
          <w:rPr>
            <w:rStyle w:val="Hyperlink"/>
            <w:rFonts w:ascii="Times New Roman" w:hAnsi="Times New Roman"/>
          </w:rPr>
          <w:t>Convenzione dei segni</w:t>
        </w:r>
        <w:r w:rsidR="004B5E3A" w:rsidRPr="00D51A68">
          <w:rPr>
            <w:webHidden/>
          </w:rPr>
          <w:tab/>
        </w:r>
        <w:r w:rsidR="004B5E3A" w:rsidRPr="00D51A68">
          <w:rPr>
            <w:webHidden/>
          </w:rPr>
          <w:fldChar w:fldCharType="begin"/>
        </w:r>
        <w:r w:rsidR="004B5E3A" w:rsidRPr="00D51A68">
          <w:rPr>
            <w:webHidden/>
          </w:rPr>
          <w:instrText xml:space="preserve"> PAGEREF _Toc524096548 \h </w:instrText>
        </w:r>
        <w:r w:rsidR="004B5E3A" w:rsidRPr="00D51A68">
          <w:rPr>
            <w:webHidden/>
          </w:rPr>
        </w:r>
        <w:r w:rsidR="004B5E3A" w:rsidRPr="00D51A68">
          <w:rPr>
            <w:webHidden/>
          </w:rPr>
          <w:fldChar w:fldCharType="separate"/>
        </w:r>
        <w:r>
          <w:rPr>
            <w:webHidden/>
          </w:rPr>
          <w:t>7</w:t>
        </w:r>
        <w:r w:rsidR="004B5E3A" w:rsidRPr="00D51A68">
          <w:rPr>
            <w:webHidden/>
          </w:rPr>
          <w:fldChar w:fldCharType="end"/>
        </w:r>
      </w:hyperlink>
    </w:p>
    <w:p w:rsidR="004B5E3A" w:rsidRPr="00D51A68" w:rsidRDefault="00DB339B">
      <w:pPr>
        <w:pStyle w:val="TOC2"/>
        <w:rPr>
          <w:rFonts w:asciiTheme="minorHAnsi" w:eastAsiaTheme="minorEastAsia" w:hAnsiTheme="minorHAnsi" w:cstheme="minorBidi"/>
          <w:b w:val="0"/>
          <w:smallCaps w:val="0"/>
          <w:sz w:val="22"/>
          <w:lang w:eastAsia="en-GB" w:bidi="ar-SA"/>
        </w:rPr>
      </w:pPr>
      <w:hyperlink w:anchor="_Toc524096549" w:history="1">
        <w:r w:rsidR="004B5E3A" w:rsidRPr="00D51A68">
          <w:rPr>
            <w:rStyle w:val="Hyperlink"/>
            <w:rFonts w:ascii="Times New Roman" w:hAnsi="Times New Roman"/>
          </w:rPr>
          <w:t>1.4.</w:t>
        </w:r>
        <w:r w:rsidR="004B5E3A" w:rsidRPr="00D51A68">
          <w:rPr>
            <w:rFonts w:asciiTheme="minorHAnsi" w:eastAsiaTheme="minorEastAsia" w:hAnsiTheme="minorHAnsi" w:cstheme="minorBidi"/>
            <w:b w:val="0"/>
            <w:smallCaps w:val="0"/>
            <w:sz w:val="22"/>
            <w:lang w:eastAsia="en-GB" w:bidi="ar-SA"/>
          </w:rPr>
          <w:tab/>
        </w:r>
        <w:r w:rsidR="004B5E3A" w:rsidRPr="00D51A68">
          <w:rPr>
            <w:rStyle w:val="Hyperlink"/>
            <w:rFonts w:ascii="Times New Roman" w:hAnsi="Times New Roman"/>
          </w:rPr>
          <w:t>Abbreviazioni</w:t>
        </w:r>
        <w:r w:rsidR="004B5E3A" w:rsidRPr="00D51A68">
          <w:rPr>
            <w:webHidden/>
          </w:rPr>
          <w:tab/>
        </w:r>
        <w:r w:rsidR="004B5E3A" w:rsidRPr="00D51A68">
          <w:rPr>
            <w:webHidden/>
          </w:rPr>
          <w:fldChar w:fldCharType="begin"/>
        </w:r>
        <w:r w:rsidR="004B5E3A" w:rsidRPr="00D51A68">
          <w:rPr>
            <w:webHidden/>
          </w:rPr>
          <w:instrText xml:space="preserve"> PAGEREF _Toc524096549 \h </w:instrText>
        </w:r>
        <w:r w:rsidR="004B5E3A" w:rsidRPr="00D51A68">
          <w:rPr>
            <w:webHidden/>
          </w:rPr>
        </w:r>
        <w:r w:rsidR="004B5E3A" w:rsidRPr="00D51A68">
          <w:rPr>
            <w:webHidden/>
          </w:rPr>
          <w:fldChar w:fldCharType="separate"/>
        </w:r>
        <w:r>
          <w:rPr>
            <w:webHidden/>
          </w:rPr>
          <w:t>7</w:t>
        </w:r>
        <w:r w:rsidR="004B5E3A" w:rsidRPr="00D51A68">
          <w:rPr>
            <w:webHidden/>
          </w:rPr>
          <w:fldChar w:fldCharType="end"/>
        </w:r>
      </w:hyperlink>
    </w:p>
    <w:p w:rsidR="004B5E3A" w:rsidRPr="00D51A68" w:rsidRDefault="00DB339B">
      <w:pPr>
        <w:pStyle w:val="TOC2"/>
        <w:rPr>
          <w:rFonts w:asciiTheme="minorHAnsi" w:eastAsiaTheme="minorEastAsia" w:hAnsiTheme="minorHAnsi" w:cstheme="minorBidi"/>
          <w:b w:val="0"/>
          <w:smallCaps w:val="0"/>
          <w:sz w:val="22"/>
          <w:lang w:eastAsia="en-GB" w:bidi="ar-SA"/>
        </w:rPr>
      </w:pPr>
      <w:hyperlink w:anchor="_Toc524096550" w:history="1">
        <w:r w:rsidR="004B5E3A" w:rsidRPr="00D51A68">
          <w:rPr>
            <w:rStyle w:val="Hyperlink"/>
            <w:rFonts w:ascii="Times New Roman" w:hAnsi="Times New Roman"/>
          </w:rPr>
          <w:t>PARTE II: ISTRUZIONI RELATIVE AI MODELLI</w:t>
        </w:r>
        <w:r w:rsidR="004B5E3A" w:rsidRPr="00D51A68">
          <w:rPr>
            <w:webHidden/>
          </w:rPr>
          <w:tab/>
        </w:r>
        <w:r w:rsidR="004B5E3A" w:rsidRPr="00D51A68">
          <w:rPr>
            <w:webHidden/>
          </w:rPr>
          <w:fldChar w:fldCharType="begin"/>
        </w:r>
        <w:r w:rsidR="004B5E3A" w:rsidRPr="00D51A68">
          <w:rPr>
            <w:webHidden/>
          </w:rPr>
          <w:instrText xml:space="preserve"> PAGEREF _Toc524096550 \h </w:instrText>
        </w:r>
        <w:r w:rsidR="004B5E3A" w:rsidRPr="00D51A68">
          <w:rPr>
            <w:webHidden/>
          </w:rPr>
        </w:r>
        <w:r w:rsidR="004B5E3A" w:rsidRPr="00D51A68">
          <w:rPr>
            <w:webHidden/>
          </w:rPr>
          <w:fldChar w:fldCharType="separate"/>
        </w:r>
        <w:r>
          <w:rPr>
            <w:webHidden/>
          </w:rPr>
          <w:t>8</w:t>
        </w:r>
        <w:r w:rsidR="004B5E3A" w:rsidRPr="00D51A68">
          <w:rPr>
            <w:webHidden/>
          </w:rPr>
          <w:fldChar w:fldCharType="end"/>
        </w:r>
      </w:hyperlink>
    </w:p>
    <w:p w:rsidR="004B5E3A" w:rsidRPr="00D51A68" w:rsidRDefault="00DB339B">
      <w:pPr>
        <w:pStyle w:val="TOC2"/>
        <w:rPr>
          <w:rFonts w:asciiTheme="minorHAnsi" w:eastAsiaTheme="minorEastAsia" w:hAnsiTheme="minorHAnsi" w:cstheme="minorBidi"/>
          <w:b w:val="0"/>
          <w:smallCaps w:val="0"/>
          <w:sz w:val="22"/>
          <w:lang w:eastAsia="en-GB" w:bidi="ar-SA"/>
        </w:rPr>
      </w:pPr>
      <w:hyperlink w:anchor="_Toc524096551" w:history="1">
        <w:r w:rsidR="004B5E3A" w:rsidRPr="00D51A68">
          <w:rPr>
            <w:rStyle w:val="Hyperlink"/>
            <w:rFonts w:ascii="Times New Roman" w:hAnsi="Times New Roman"/>
          </w:rPr>
          <w:t>1.</w:t>
        </w:r>
        <w:r w:rsidR="004B5E3A" w:rsidRPr="00D51A68">
          <w:rPr>
            <w:rFonts w:asciiTheme="minorHAnsi" w:eastAsiaTheme="minorEastAsia" w:hAnsiTheme="minorHAnsi" w:cstheme="minorBidi"/>
            <w:b w:val="0"/>
            <w:smallCaps w:val="0"/>
            <w:sz w:val="22"/>
            <w:lang w:eastAsia="en-GB" w:bidi="ar-SA"/>
          </w:rPr>
          <w:tab/>
        </w:r>
        <w:r w:rsidR="004B5E3A" w:rsidRPr="00D51A68">
          <w:rPr>
            <w:rStyle w:val="Hyperlink"/>
            <w:rFonts w:ascii="Times New Roman" w:hAnsi="Times New Roman"/>
          </w:rPr>
          <w:t>Descrizione dell’adeguatezza patrimoniale (CA)</w:t>
        </w:r>
        <w:r w:rsidR="004B5E3A" w:rsidRPr="00D51A68">
          <w:rPr>
            <w:webHidden/>
          </w:rPr>
          <w:tab/>
        </w:r>
        <w:r w:rsidR="004B5E3A" w:rsidRPr="00D51A68">
          <w:rPr>
            <w:webHidden/>
          </w:rPr>
          <w:fldChar w:fldCharType="begin"/>
        </w:r>
        <w:r w:rsidR="004B5E3A" w:rsidRPr="00D51A68">
          <w:rPr>
            <w:webHidden/>
          </w:rPr>
          <w:instrText xml:space="preserve"> PAGEREF _Toc524096551 \h </w:instrText>
        </w:r>
        <w:r w:rsidR="004B5E3A" w:rsidRPr="00D51A68">
          <w:rPr>
            <w:webHidden/>
          </w:rPr>
        </w:r>
        <w:r w:rsidR="004B5E3A" w:rsidRPr="00D51A68">
          <w:rPr>
            <w:webHidden/>
          </w:rPr>
          <w:fldChar w:fldCharType="separate"/>
        </w:r>
        <w:r>
          <w:rPr>
            <w:webHidden/>
          </w:rPr>
          <w:t>8</w:t>
        </w:r>
        <w:r w:rsidR="004B5E3A" w:rsidRPr="00D51A68">
          <w:rPr>
            <w:webHidden/>
          </w:rPr>
          <w:fldChar w:fldCharType="end"/>
        </w:r>
      </w:hyperlink>
    </w:p>
    <w:p w:rsidR="004B5E3A" w:rsidRPr="00D51A68" w:rsidRDefault="00DB339B">
      <w:pPr>
        <w:pStyle w:val="TOC2"/>
        <w:rPr>
          <w:rFonts w:asciiTheme="minorHAnsi" w:eastAsiaTheme="minorEastAsia" w:hAnsiTheme="minorHAnsi" w:cstheme="minorBidi"/>
          <w:b w:val="0"/>
          <w:smallCaps w:val="0"/>
          <w:sz w:val="22"/>
          <w:lang w:eastAsia="en-GB" w:bidi="ar-SA"/>
        </w:rPr>
      </w:pPr>
      <w:hyperlink w:anchor="_Toc524096552" w:history="1">
        <w:r w:rsidR="004B5E3A" w:rsidRPr="00D51A68">
          <w:rPr>
            <w:rStyle w:val="Hyperlink"/>
            <w:rFonts w:ascii="Times New Roman" w:hAnsi="Times New Roman"/>
          </w:rPr>
          <w:t>1.1.</w:t>
        </w:r>
        <w:r w:rsidR="004B5E3A" w:rsidRPr="00D51A68">
          <w:rPr>
            <w:rFonts w:asciiTheme="minorHAnsi" w:eastAsiaTheme="minorEastAsia" w:hAnsiTheme="minorHAnsi" w:cstheme="minorBidi"/>
            <w:b w:val="0"/>
            <w:smallCaps w:val="0"/>
            <w:sz w:val="22"/>
            <w:lang w:eastAsia="en-GB" w:bidi="ar-SA"/>
          </w:rPr>
          <w:tab/>
        </w:r>
        <w:r w:rsidR="004B5E3A" w:rsidRPr="00D51A68">
          <w:rPr>
            <w:rStyle w:val="Hyperlink"/>
            <w:rFonts w:ascii="Times New Roman" w:hAnsi="Times New Roman"/>
          </w:rPr>
          <w:t>Osservazioni di carattere generale</w:t>
        </w:r>
        <w:r w:rsidR="004B5E3A" w:rsidRPr="00D51A68">
          <w:rPr>
            <w:webHidden/>
          </w:rPr>
          <w:tab/>
        </w:r>
        <w:r w:rsidR="004B5E3A" w:rsidRPr="00D51A68">
          <w:rPr>
            <w:webHidden/>
          </w:rPr>
          <w:fldChar w:fldCharType="begin"/>
        </w:r>
        <w:r w:rsidR="004B5E3A" w:rsidRPr="00D51A68">
          <w:rPr>
            <w:webHidden/>
          </w:rPr>
          <w:instrText xml:space="preserve"> PAGEREF _Toc524096552 \h </w:instrText>
        </w:r>
        <w:r w:rsidR="004B5E3A" w:rsidRPr="00D51A68">
          <w:rPr>
            <w:webHidden/>
          </w:rPr>
        </w:r>
        <w:r w:rsidR="004B5E3A" w:rsidRPr="00D51A68">
          <w:rPr>
            <w:webHidden/>
          </w:rPr>
          <w:fldChar w:fldCharType="separate"/>
        </w:r>
        <w:r>
          <w:rPr>
            <w:webHidden/>
          </w:rPr>
          <w:t>8</w:t>
        </w:r>
        <w:r w:rsidR="004B5E3A" w:rsidRPr="00D51A68">
          <w:rPr>
            <w:webHidden/>
          </w:rPr>
          <w:fldChar w:fldCharType="end"/>
        </w:r>
      </w:hyperlink>
    </w:p>
    <w:p w:rsidR="004B5E3A" w:rsidRPr="00D51A68" w:rsidRDefault="00DB339B">
      <w:pPr>
        <w:pStyle w:val="TOC2"/>
        <w:rPr>
          <w:rFonts w:asciiTheme="minorHAnsi" w:eastAsiaTheme="minorEastAsia" w:hAnsiTheme="minorHAnsi" w:cstheme="minorBidi"/>
          <w:b w:val="0"/>
          <w:smallCaps w:val="0"/>
          <w:sz w:val="22"/>
          <w:lang w:eastAsia="en-GB" w:bidi="ar-SA"/>
        </w:rPr>
      </w:pPr>
      <w:hyperlink w:anchor="_Toc524096553" w:history="1">
        <w:r w:rsidR="004B5E3A" w:rsidRPr="00D51A68">
          <w:rPr>
            <w:rStyle w:val="Hyperlink"/>
            <w:rFonts w:ascii="Times New Roman" w:hAnsi="Times New Roman"/>
          </w:rPr>
          <w:t>1.2.</w:t>
        </w:r>
        <w:r w:rsidR="004B5E3A" w:rsidRPr="00D51A68">
          <w:rPr>
            <w:rFonts w:asciiTheme="minorHAnsi" w:eastAsiaTheme="minorEastAsia" w:hAnsiTheme="minorHAnsi" w:cstheme="minorBidi"/>
            <w:b w:val="0"/>
            <w:smallCaps w:val="0"/>
            <w:sz w:val="22"/>
            <w:lang w:eastAsia="en-GB" w:bidi="ar-SA"/>
          </w:rPr>
          <w:tab/>
        </w:r>
        <w:r w:rsidR="004B5E3A" w:rsidRPr="00D51A68">
          <w:rPr>
            <w:rStyle w:val="Hyperlink"/>
            <w:rFonts w:ascii="Times New Roman" w:hAnsi="Times New Roman"/>
          </w:rPr>
          <w:t>C 01.00 — FONDI PROPRI (CA1)</w:t>
        </w:r>
        <w:r w:rsidR="004B5E3A" w:rsidRPr="00D51A68">
          <w:rPr>
            <w:webHidden/>
          </w:rPr>
          <w:tab/>
        </w:r>
        <w:r w:rsidR="004B5E3A" w:rsidRPr="00D51A68">
          <w:rPr>
            <w:webHidden/>
          </w:rPr>
          <w:fldChar w:fldCharType="begin"/>
        </w:r>
        <w:r w:rsidR="004B5E3A" w:rsidRPr="00D51A68">
          <w:rPr>
            <w:webHidden/>
          </w:rPr>
          <w:instrText xml:space="preserve"> PAGEREF _Toc524096553 \h </w:instrText>
        </w:r>
        <w:r w:rsidR="004B5E3A" w:rsidRPr="00D51A68">
          <w:rPr>
            <w:webHidden/>
          </w:rPr>
        </w:r>
        <w:r w:rsidR="004B5E3A" w:rsidRPr="00D51A68">
          <w:rPr>
            <w:webHidden/>
          </w:rPr>
          <w:fldChar w:fldCharType="separate"/>
        </w:r>
        <w:r>
          <w:rPr>
            <w:webHidden/>
          </w:rPr>
          <w:t>9</w:t>
        </w:r>
        <w:r w:rsidR="004B5E3A" w:rsidRPr="00D51A68">
          <w:rPr>
            <w:webHidden/>
          </w:rPr>
          <w:fldChar w:fldCharType="end"/>
        </w:r>
      </w:hyperlink>
    </w:p>
    <w:p w:rsidR="004B5E3A" w:rsidRPr="00D51A68" w:rsidRDefault="00DB339B">
      <w:pPr>
        <w:pStyle w:val="TOC2"/>
        <w:rPr>
          <w:rFonts w:asciiTheme="minorHAnsi" w:eastAsiaTheme="minorEastAsia" w:hAnsiTheme="minorHAnsi" w:cstheme="minorBidi"/>
          <w:b w:val="0"/>
          <w:smallCaps w:val="0"/>
          <w:sz w:val="22"/>
          <w:lang w:eastAsia="en-GB" w:bidi="ar-SA"/>
        </w:rPr>
      </w:pPr>
      <w:hyperlink w:anchor="_Toc524096554" w:history="1">
        <w:r w:rsidR="004B5E3A" w:rsidRPr="00D51A68">
          <w:rPr>
            <w:rStyle w:val="Hyperlink"/>
            <w:rFonts w:ascii="Times New Roman" w:hAnsi="Times New Roman"/>
          </w:rPr>
          <w:t>1.2.1.</w:t>
        </w:r>
        <w:r w:rsidR="004B5E3A" w:rsidRPr="00D51A68">
          <w:rPr>
            <w:rFonts w:asciiTheme="minorHAnsi" w:eastAsiaTheme="minorEastAsia" w:hAnsiTheme="minorHAnsi" w:cstheme="minorBidi"/>
            <w:b w:val="0"/>
            <w:smallCaps w:val="0"/>
            <w:sz w:val="22"/>
            <w:lang w:eastAsia="en-GB" w:bidi="ar-SA"/>
          </w:rPr>
          <w:tab/>
        </w:r>
        <w:r w:rsidR="004B5E3A" w:rsidRPr="00D51A68">
          <w:rPr>
            <w:rStyle w:val="Hyperlink"/>
            <w:rFonts w:ascii="Times New Roman" w:hAnsi="Times New Roman"/>
          </w:rPr>
          <w:t>Istruzioni relative a posizioni specifiche</w:t>
        </w:r>
        <w:r w:rsidR="004B5E3A" w:rsidRPr="00D51A68">
          <w:rPr>
            <w:webHidden/>
          </w:rPr>
          <w:tab/>
        </w:r>
        <w:r w:rsidR="004B5E3A" w:rsidRPr="00D51A68">
          <w:rPr>
            <w:webHidden/>
          </w:rPr>
          <w:fldChar w:fldCharType="begin"/>
        </w:r>
        <w:r w:rsidR="004B5E3A" w:rsidRPr="00D51A68">
          <w:rPr>
            <w:webHidden/>
          </w:rPr>
          <w:instrText xml:space="preserve"> PAGEREF _Toc524096554 \h </w:instrText>
        </w:r>
        <w:r w:rsidR="004B5E3A" w:rsidRPr="00D51A68">
          <w:rPr>
            <w:webHidden/>
          </w:rPr>
        </w:r>
        <w:r w:rsidR="004B5E3A" w:rsidRPr="00D51A68">
          <w:rPr>
            <w:webHidden/>
          </w:rPr>
          <w:fldChar w:fldCharType="separate"/>
        </w:r>
        <w:r>
          <w:rPr>
            <w:webHidden/>
          </w:rPr>
          <w:t>9</w:t>
        </w:r>
        <w:r w:rsidR="004B5E3A" w:rsidRPr="00D51A68">
          <w:rPr>
            <w:webHidden/>
          </w:rPr>
          <w:fldChar w:fldCharType="end"/>
        </w:r>
      </w:hyperlink>
    </w:p>
    <w:p w:rsidR="004B5E3A" w:rsidRPr="00D51A68" w:rsidRDefault="00DB339B">
      <w:pPr>
        <w:pStyle w:val="TOC2"/>
        <w:rPr>
          <w:rFonts w:asciiTheme="minorHAnsi" w:eastAsiaTheme="minorEastAsia" w:hAnsiTheme="minorHAnsi" w:cstheme="minorBidi"/>
          <w:b w:val="0"/>
          <w:smallCaps w:val="0"/>
          <w:sz w:val="22"/>
          <w:lang w:eastAsia="en-GB" w:bidi="ar-SA"/>
        </w:rPr>
      </w:pPr>
      <w:hyperlink w:anchor="_Toc524096555" w:history="1">
        <w:r w:rsidR="004B5E3A" w:rsidRPr="00D51A68">
          <w:rPr>
            <w:rStyle w:val="Hyperlink"/>
            <w:rFonts w:ascii="Times New Roman" w:hAnsi="Times New Roman"/>
          </w:rPr>
          <w:t>1.3.</w:t>
        </w:r>
        <w:r w:rsidR="004B5E3A" w:rsidRPr="00D51A68">
          <w:rPr>
            <w:rFonts w:asciiTheme="minorHAnsi" w:eastAsiaTheme="minorEastAsia" w:hAnsiTheme="minorHAnsi" w:cstheme="minorBidi"/>
            <w:b w:val="0"/>
            <w:smallCaps w:val="0"/>
            <w:sz w:val="22"/>
            <w:lang w:eastAsia="en-GB" w:bidi="ar-SA"/>
          </w:rPr>
          <w:tab/>
        </w:r>
        <w:r w:rsidR="004B5E3A" w:rsidRPr="00D51A68">
          <w:rPr>
            <w:rStyle w:val="Hyperlink"/>
            <w:rFonts w:ascii="Times New Roman" w:hAnsi="Times New Roman"/>
          </w:rPr>
          <w:t>C 02.00 — REQUISITI DI FONDI PROPRI (CA2)</w:t>
        </w:r>
        <w:r w:rsidR="004B5E3A" w:rsidRPr="00D51A68">
          <w:rPr>
            <w:webHidden/>
          </w:rPr>
          <w:tab/>
        </w:r>
        <w:r w:rsidR="004B5E3A" w:rsidRPr="00D51A68">
          <w:rPr>
            <w:webHidden/>
          </w:rPr>
          <w:fldChar w:fldCharType="begin"/>
        </w:r>
        <w:r w:rsidR="004B5E3A" w:rsidRPr="00D51A68">
          <w:rPr>
            <w:webHidden/>
          </w:rPr>
          <w:instrText xml:space="preserve"> PAGEREF _Toc524096555 \h </w:instrText>
        </w:r>
        <w:r w:rsidR="004B5E3A" w:rsidRPr="00D51A68">
          <w:rPr>
            <w:webHidden/>
          </w:rPr>
        </w:r>
        <w:r w:rsidR="004B5E3A" w:rsidRPr="00D51A68">
          <w:rPr>
            <w:webHidden/>
          </w:rPr>
          <w:fldChar w:fldCharType="separate"/>
        </w:r>
        <w:r>
          <w:rPr>
            <w:webHidden/>
          </w:rPr>
          <w:t>26</w:t>
        </w:r>
        <w:r w:rsidR="004B5E3A" w:rsidRPr="00D51A68">
          <w:rPr>
            <w:webHidden/>
          </w:rPr>
          <w:fldChar w:fldCharType="end"/>
        </w:r>
      </w:hyperlink>
    </w:p>
    <w:p w:rsidR="004B5E3A" w:rsidRPr="00D51A68" w:rsidRDefault="00DB339B">
      <w:pPr>
        <w:pStyle w:val="TOC2"/>
        <w:rPr>
          <w:rFonts w:asciiTheme="minorHAnsi" w:eastAsiaTheme="minorEastAsia" w:hAnsiTheme="minorHAnsi" w:cstheme="minorBidi"/>
          <w:b w:val="0"/>
          <w:smallCaps w:val="0"/>
          <w:sz w:val="22"/>
          <w:lang w:eastAsia="en-GB" w:bidi="ar-SA"/>
        </w:rPr>
      </w:pPr>
      <w:hyperlink w:anchor="_Toc524096556" w:history="1">
        <w:r w:rsidR="004B5E3A" w:rsidRPr="00D51A68">
          <w:rPr>
            <w:rStyle w:val="Hyperlink"/>
            <w:rFonts w:ascii="Times New Roman" w:hAnsi="Times New Roman"/>
          </w:rPr>
          <w:t>1.3.1.</w:t>
        </w:r>
        <w:r w:rsidR="004B5E3A" w:rsidRPr="00D51A68">
          <w:rPr>
            <w:rFonts w:asciiTheme="minorHAnsi" w:eastAsiaTheme="minorEastAsia" w:hAnsiTheme="minorHAnsi" w:cstheme="minorBidi"/>
            <w:b w:val="0"/>
            <w:smallCaps w:val="0"/>
            <w:sz w:val="22"/>
            <w:lang w:eastAsia="en-GB" w:bidi="ar-SA"/>
          </w:rPr>
          <w:tab/>
        </w:r>
        <w:r w:rsidR="004B5E3A" w:rsidRPr="00D51A68">
          <w:rPr>
            <w:rStyle w:val="Hyperlink"/>
            <w:rFonts w:ascii="Times New Roman" w:hAnsi="Times New Roman"/>
          </w:rPr>
          <w:t>Istruzioni relative a posizioni specifiche</w:t>
        </w:r>
        <w:r w:rsidR="004B5E3A" w:rsidRPr="00D51A68">
          <w:rPr>
            <w:webHidden/>
          </w:rPr>
          <w:tab/>
        </w:r>
        <w:r w:rsidR="004B5E3A" w:rsidRPr="00D51A68">
          <w:rPr>
            <w:webHidden/>
          </w:rPr>
          <w:fldChar w:fldCharType="begin"/>
        </w:r>
        <w:r w:rsidR="004B5E3A" w:rsidRPr="00D51A68">
          <w:rPr>
            <w:webHidden/>
          </w:rPr>
          <w:instrText xml:space="preserve"> PAGEREF _Toc524096556 \h </w:instrText>
        </w:r>
        <w:r w:rsidR="004B5E3A" w:rsidRPr="00D51A68">
          <w:rPr>
            <w:webHidden/>
          </w:rPr>
        </w:r>
        <w:r w:rsidR="004B5E3A" w:rsidRPr="00D51A68">
          <w:rPr>
            <w:webHidden/>
          </w:rPr>
          <w:fldChar w:fldCharType="separate"/>
        </w:r>
        <w:r>
          <w:rPr>
            <w:webHidden/>
          </w:rPr>
          <w:t>26</w:t>
        </w:r>
        <w:r w:rsidR="004B5E3A" w:rsidRPr="00D51A68">
          <w:rPr>
            <w:webHidden/>
          </w:rPr>
          <w:fldChar w:fldCharType="end"/>
        </w:r>
      </w:hyperlink>
    </w:p>
    <w:p w:rsidR="004B5E3A" w:rsidRPr="00D51A68" w:rsidRDefault="00DB339B">
      <w:pPr>
        <w:pStyle w:val="TOC2"/>
        <w:rPr>
          <w:rFonts w:asciiTheme="minorHAnsi" w:eastAsiaTheme="minorEastAsia" w:hAnsiTheme="minorHAnsi" w:cstheme="minorBidi"/>
          <w:b w:val="0"/>
          <w:smallCaps w:val="0"/>
          <w:sz w:val="22"/>
          <w:lang w:eastAsia="en-GB" w:bidi="ar-SA"/>
        </w:rPr>
      </w:pPr>
      <w:hyperlink w:anchor="_Toc524096557" w:history="1">
        <w:r w:rsidR="004B5E3A" w:rsidRPr="00D51A68">
          <w:rPr>
            <w:rStyle w:val="Hyperlink"/>
            <w:rFonts w:ascii="Times New Roman" w:hAnsi="Times New Roman"/>
          </w:rPr>
          <w:t>1.4</w:t>
        </w:r>
        <w:r w:rsidR="004B5E3A" w:rsidRPr="00D51A68">
          <w:rPr>
            <w:rFonts w:asciiTheme="minorHAnsi" w:eastAsiaTheme="minorEastAsia" w:hAnsiTheme="minorHAnsi" w:cstheme="minorBidi"/>
            <w:b w:val="0"/>
            <w:smallCaps w:val="0"/>
            <w:sz w:val="22"/>
            <w:lang w:eastAsia="en-GB" w:bidi="ar-SA"/>
          </w:rPr>
          <w:tab/>
        </w:r>
        <w:r w:rsidR="004B5E3A" w:rsidRPr="00D51A68">
          <w:rPr>
            <w:rStyle w:val="Hyperlink"/>
            <w:rFonts w:ascii="Times New Roman" w:hAnsi="Times New Roman"/>
          </w:rPr>
          <w:t>C 03.00 — COEFFICIENTI DI CAPITALE E LIVELLI DI CAPITALE (CA3)</w:t>
        </w:r>
        <w:r w:rsidR="004B5E3A" w:rsidRPr="00D51A68">
          <w:rPr>
            <w:webHidden/>
          </w:rPr>
          <w:tab/>
        </w:r>
        <w:r w:rsidR="004B5E3A" w:rsidRPr="00D51A68">
          <w:rPr>
            <w:webHidden/>
          </w:rPr>
          <w:fldChar w:fldCharType="begin"/>
        </w:r>
        <w:r w:rsidR="004B5E3A" w:rsidRPr="00D51A68">
          <w:rPr>
            <w:webHidden/>
          </w:rPr>
          <w:instrText xml:space="preserve"> PAGEREF _Toc524096557 \h </w:instrText>
        </w:r>
        <w:r w:rsidR="004B5E3A" w:rsidRPr="00D51A68">
          <w:rPr>
            <w:webHidden/>
          </w:rPr>
        </w:r>
        <w:r w:rsidR="004B5E3A" w:rsidRPr="00D51A68">
          <w:rPr>
            <w:webHidden/>
          </w:rPr>
          <w:fldChar w:fldCharType="separate"/>
        </w:r>
        <w:r>
          <w:rPr>
            <w:webHidden/>
          </w:rPr>
          <w:t>37</w:t>
        </w:r>
        <w:r w:rsidR="004B5E3A" w:rsidRPr="00D51A68">
          <w:rPr>
            <w:webHidden/>
          </w:rPr>
          <w:fldChar w:fldCharType="end"/>
        </w:r>
      </w:hyperlink>
    </w:p>
    <w:p w:rsidR="004B5E3A" w:rsidRPr="00D51A68" w:rsidRDefault="00DB339B">
      <w:pPr>
        <w:pStyle w:val="TOC2"/>
        <w:rPr>
          <w:rFonts w:asciiTheme="minorHAnsi" w:eastAsiaTheme="minorEastAsia" w:hAnsiTheme="minorHAnsi" w:cstheme="minorBidi"/>
          <w:b w:val="0"/>
          <w:smallCaps w:val="0"/>
          <w:sz w:val="22"/>
          <w:lang w:eastAsia="en-GB" w:bidi="ar-SA"/>
        </w:rPr>
      </w:pPr>
      <w:hyperlink w:anchor="_Toc524096558" w:history="1">
        <w:r w:rsidR="004B5E3A" w:rsidRPr="00D51A68">
          <w:rPr>
            <w:rStyle w:val="Hyperlink"/>
            <w:rFonts w:ascii="Times New Roman" w:hAnsi="Times New Roman"/>
          </w:rPr>
          <w:t>1.4.1.</w:t>
        </w:r>
        <w:r w:rsidR="004B5E3A" w:rsidRPr="00D51A68">
          <w:rPr>
            <w:rFonts w:asciiTheme="minorHAnsi" w:eastAsiaTheme="minorEastAsia" w:hAnsiTheme="minorHAnsi" w:cstheme="minorBidi"/>
            <w:b w:val="0"/>
            <w:smallCaps w:val="0"/>
            <w:sz w:val="22"/>
            <w:lang w:eastAsia="en-GB" w:bidi="ar-SA"/>
          </w:rPr>
          <w:tab/>
        </w:r>
        <w:r w:rsidR="004B5E3A" w:rsidRPr="00D51A68">
          <w:rPr>
            <w:rStyle w:val="Hyperlink"/>
            <w:rFonts w:ascii="Times New Roman" w:hAnsi="Times New Roman"/>
          </w:rPr>
          <w:t>Istruzioni relative a posizioni specifiche</w:t>
        </w:r>
        <w:r w:rsidR="004B5E3A" w:rsidRPr="00D51A68">
          <w:rPr>
            <w:webHidden/>
          </w:rPr>
          <w:tab/>
        </w:r>
        <w:r w:rsidR="004B5E3A" w:rsidRPr="00D51A68">
          <w:rPr>
            <w:webHidden/>
          </w:rPr>
          <w:fldChar w:fldCharType="begin"/>
        </w:r>
        <w:r w:rsidR="004B5E3A" w:rsidRPr="00D51A68">
          <w:rPr>
            <w:webHidden/>
          </w:rPr>
          <w:instrText xml:space="preserve"> PAGEREF _Toc524096558 \h </w:instrText>
        </w:r>
        <w:r w:rsidR="004B5E3A" w:rsidRPr="00D51A68">
          <w:rPr>
            <w:webHidden/>
          </w:rPr>
        </w:r>
        <w:r w:rsidR="004B5E3A" w:rsidRPr="00D51A68">
          <w:rPr>
            <w:webHidden/>
          </w:rPr>
          <w:fldChar w:fldCharType="separate"/>
        </w:r>
        <w:r>
          <w:rPr>
            <w:webHidden/>
          </w:rPr>
          <w:t>37</w:t>
        </w:r>
        <w:r w:rsidR="004B5E3A" w:rsidRPr="00D51A68">
          <w:rPr>
            <w:webHidden/>
          </w:rPr>
          <w:fldChar w:fldCharType="end"/>
        </w:r>
      </w:hyperlink>
    </w:p>
    <w:p w:rsidR="004B5E3A" w:rsidRPr="00D51A68" w:rsidRDefault="00DB339B">
      <w:pPr>
        <w:pStyle w:val="TOC2"/>
        <w:rPr>
          <w:rFonts w:asciiTheme="minorHAnsi" w:eastAsiaTheme="minorEastAsia" w:hAnsiTheme="minorHAnsi" w:cstheme="minorBidi"/>
          <w:b w:val="0"/>
          <w:smallCaps w:val="0"/>
          <w:sz w:val="22"/>
          <w:lang w:eastAsia="en-GB" w:bidi="ar-SA"/>
        </w:rPr>
      </w:pPr>
      <w:hyperlink w:anchor="_Toc524096559" w:history="1">
        <w:r w:rsidR="004B5E3A" w:rsidRPr="00D51A68">
          <w:rPr>
            <w:rStyle w:val="Hyperlink"/>
            <w:rFonts w:ascii="Times New Roman" w:hAnsi="Times New Roman"/>
          </w:rPr>
          <w:t>1.5.</w:t>
        </w:r>
        <w:r w:rsidR="004B5E3A" w:rsidRPr="00D51A68">
          <w:rPr>
            <w:rFonts w:asciiTheme="minorHAnsi" w:eastAsiaTheme="minorEastAsia" w:hAnsiTheme="minorHAnsi" w:cstheme="minorBidi"/>
            <w:b w:val="0"/>
            <w:smallCaps w:val="0"/>
            <w:sz w:val="22"/>
            <w:lang w:eastAsia="en-GB" w:bidi="ar-SA"/>
          </w:rPr>
          <w:tab/>
        </w:r>
        <w:r w:rsidR="004B5E3A" w:rsidRPr="00D51A68">
          <w:rPr>
            <w:rStyle w:val="Hyperlink"/>
            <w:rFonts w:ascii="Times New Roman" w:hAnsi="Times New Roman"/>
          </w:rPr>
          <w:t>C 04.00 — VOCI PER MEMORIA (CA4)</w:t>
        </w:r>
        <w:r w:rsidR="004B5E3A" w:rsidRPr="00D51A68">
          <w:rPr>
            <w:webHidden/>
          </w:rPr>
          <w:tab/>
        </w:r>
        <w:r w:rsidR="004B5E3A" w:rsidRPr="00D51A68">
          <w:rPr>
            <w:webHidden/>
          </w:rPr>
          <w:fldChar w:fldCharType="begin"/>
        </w:r>
        <w:r w:rsidR="004B5E3A" w:rsidRPr="00D51A68">
          <w:rPr>
            <w:webHidden/>
          </w:rPr>
          <w:instrText xml:space="preserve"> PAGEREF _Toc524096559 \h </w:instrText>
        </w:r>
        <w:r w:rsidR="004B5E3A" w:rsidRPr="00D51A68">
          <w:rPr>
            <w:webHidden/>
          </w:rPr>
        </w:r>
        <w:r w:rsidR="004B5E3A" w:rsidRPr="00D51A68">
          <w:rPr>
            <w:webHidden/>
          </w:rPr>
          <w:fldChar w:fldCharType="separate"/>
        </w:r>
        <w:r>
          <w:rPr>
            <w:webHidden/>
          </w:rPr>
          <w:t>40</w:t>
        </w:r>
        <w:r w:rsidR="004B5E3A" w:rsidRPr="00D51A68">
          <w:rPr>
            <w:webHidden/>
          </w:rPr>
          <w:fldChar w:fldCharType="end"/>
        </w:r>
      </w:hyperlink>
    </w:p>
    <w:p w:rsidR="004B5E3A" w:rsidRPr="00D51A68" w:rsidRDefault="00DB339B">
      <w:pPr>
        <w:pStyle w:val="TOC2"/>
        <w:rPr>
          <w:rFonts w:asciiTheme="minorHAnsi" w:eastAsiaTheme="minorEastAsia" w:hAnsiTheme="minorHAnsi" w:cstheme="minorBidi"/>
          <w:b w:val="0"/>
          <w:smallCaps w:val="0"/>
          <w:sz w:val="22"/>
          <w:lang w:eastAsia="en-GB" w:bidi="ar-SA"/>
        </w:rPr>
      </w:pPr>
      <w:hyperlink w:anchor="_Toc524096560" w:history="1">
        <w:r w:rsidR="004B5E3A" w:rsidRPr="00D51A68">
          <w:rPr>
            <w:rStyle w:val="Hyperlink"/>
            <w:rFonts w:ascii="Times New Roman" w:hAnsi="Times New Roman"/>
          </w:rPr>
          <w:t>1.5.1.</w:t>
        </w:r>
        <w:r w:rsidR="004B5E3A" w:rsidRPr="00D51A68">
          <w:rPr>
            <w:rFonts w:asciiTheme="minorHAnsi" w:eastAsiaTheme="minorEastAsia" w:hAnsiTheme="minorHAnsi" w:cstheme="minorBidi"/>
            <w:b w:val="0"/>
            <w:smallCaps w:val="0"/>
            <w:sz w:val="22"/>
            <w:lang w:eastAsia="en-GB" w:bidi="ar-SA"/>
          </w:rPr>
          <w:tab/>
        </w:r>
        <w:r w:rsidR="004B5E3A" w:rsidRPr="00D51A68">
          <w:rPr>
            <w:rStyle w:val="Hyperlink"/>
            <w:rFonts w:ascii="Times New Roman" w:hAnsi="Times New Roman"/>
          </w:rPr>
          <w:t>Istruzioni relative a posizioni specifiche</w:t>
        </w:r>
        <w:r w:rsidR="004B5E3A" w:rsidRPr="00D51A68">
          <w:rPr>
            <w:webHidden/>
          </w:rPr>
          <w:tab/>
        </w:r>
        <w:r w:rsidR="004B5E3A" w:rsidRPr="00D51A68">
          <w:rPr>
            <w:webHidden/>
          </w:rPr>
          <w:fldChar w:fldCharType="begin"/>
        </w:r>
        <w:r w:rsidR="004B5E3A" w:rsidRPr="00D51A68">
          <w:rPr>
            <w:webHidden/>
          </w:rPr>
          <w:instrText xml:space="preserve"> PAGEREF _Toc524096560 \h </w:instrText>
        </w:r>
        <w:r w:rsidR="004B5E3A" w:rsidRPr="00D51A68">
          <w:rPr>
            <w:webHidden/>
          </w:rPr>
        </w:r>
        <w:r w:rsidR="004B5E3A" w:rsidRPr="00D51A68">
          <w:rPr>
            <w:webHidden/>
          </w:rPr>
          <w:fldChar w:fldCharType="separate"/>
        </w:r>
        <w:r>
          <w:rPr>
            <w:webHidden/>
          </w:rPr>
          <w:t>40</w:t>
        </w:r>
        <w:r w:rsidR="004B5E3A" w:rsidRPr="00D51A68">
          <w:rPr>
            <w:webHidden/>
          </w:rPr>
          <w:fldChar w:fldCharType="end"/>
        </w:r>
      </w:hyperlink>
    </w:p>
    <w:p w:rsidR="004B5E3A" w:rsidRPr="00D51A68" w:rsidRDefault="00DB339B">
      <w:pPr>
        <w:pStyle w:val="TOC2"/>
        <w:rPr>
          <w:rFonts w:asciiTheme="minorHAnsi" w:eastAsiaTheme="minorEastAsia" w:hAnsiTheme="minorHAnsi" w:cstheme="minorBidi"/>
          <w:b w:val="0"/>
          <w:smallCaps w:val="0"/>
          <w:sz w:val="22"/>
          <w:lang w:eastAsia="en-GB" w:bidi="ar-SA"/>
        </w:rPr>
      </w:pPr>
      <w:hyperlink w:anchor="_Toc524096561" w:history="1">
        <w:r w:rsidR="004B5E3A" w:rsidRPr="00D51A68">
          <w:rPr>
            <w:rStyle w:val="Hyperlink"/>
            <w:rFonts w:ascii="Times New Roman" w:hAnsi="Times New Roman"/>
          </w:rPr>
          <w:t>1.6</w:t>
        </w:r>
        <w:r w:rsidR="004B5E3A" w:rsidRPr="00D51A68">
          <w:rPr>
            <w:rFonts w:asciiTheme="minorHAnsi" w:eastAsiaTheme="minorEastAsia" w:hAnsiTheme="minorHAnsi" w:cstheme="minorBidi"/>
            <w:b w:val="0"/>
            <w:smallCaps w:val="0"/>
            <w:sz w:val="22"/>
            <w:lang w:eastAsia="en-GB" w:bidi="ar-SA"/>
          </w:rPr>
          <w:tab/>
        </w:r>
        <w:r w:rsidR="004B5E3A" w:rsidRPr="00D51A68">
          <w:rPr>
            <w:rStyle w:val="Hyperlink"/>
            <w:rFonts w:ascii="Times New Roman" w:hAnsi="Times New Roman"/>
          </w:rPr>
          <w:t>DISPOSIZIONI TRANSITORIE e STRUMENTI SOGGETTI ALLA CLAUSOLA GRANDFATHERING: STRUMENTI CHE NON COSTITUISCONO AIUTI DI STATO (CA 5)</w:t>
        </w:r>
        <w:r w:rsidR="004B5E3A" w:rsidRPr="00D51A68">
          <w:rPr>
            <w:webHidden/>
          </w:rPr>
          <w:tab/>
        </w:r>
        <w:r w:rsidR="004B5E3A" w:rsidRPr="00D51A68">
          <w:rPr>
            <w:webHidden/>
          </w:rPr>
          <w:fldChar w:fldCharType="begin"/>
        </w:r>
        <w:r w:rsidR="004B5E3A" w:rsidRPr="00D51A68">
          <w:rPr>
            <w:webHidden/>
          </w:rPr>
          <w:instrText xml:space="preserve"> PAGEREF _Toc524096561 \h </w:instrText>
        </w:r>
        <w:r w:rsidR="004B5E3A" w:rsidRPr="00D51A68">
          <w:rPr>
            <w:webHidden/>
          </w:rPr>
        </w:r>
        <w:r w:rsidR="004B5E3A" w:rsidRPr="00D51A68">
          <w:rPr>
            <w:webHidden/>
          </w:rPr>
          <w:fldChar w:fldCharType="separate"/>
        </w:r>
        <w:r>
          <w:rPr>
            <w:webHidden/>
          </w:rPr>
          <w:t>58</w:t>
        </w:r>
        <w:r w:rsidR="004B5E3A" w:rsidRPr="00D51A68">
          <w:rPr>
            <w:webHidden/>
          </w:rPr>
          <w:fldChar w:fldCharType="end"/>
        </w:r>
      </w:hyperlink>
    </w:p>
    <w:p w:rsidR="004B5E3A" w:rsidRPr="00D51A68" w:rsidRDefault="00DB339B">
      <w:pPr>
        <w:pStyle w:val="TOC2"/>
        <w:rPr>
          <w:rFonts w:asciiTheme="minorHAnsi" w:eastAsiaTheme="minorEastAsia" w:hAnsiTheme="minorHAnsi" w:cstheme="minorBidi"/>
          <w:b w:val="0"/>
          <w:smallCaps w:val="0"/>
          <w:sz w:val="22"/>
          <w:lang w:eastAsia="en-GB" w:bidi="ar-SA"/>
        </w:rPr>
      </w:pPr>
      <w:hyperlink w:anchor="_Toc524096562" w:history="1">
        <w:r w:rsidR="004B5E3A" w:rsidRPr="00D51A68">
          <w:rPr>
            <w:rStyle w:val="Hyperlink"/>
            <w:rFonts w:ascii="Times New Roman" w:hAnsi="Times New Roman"/>
          </w:rPr>
          <w:t>1.6.1</w:t>
        </w:r>
        <w:r w:rsidR="004B5E3A" w:rsidRPr="00D51A68">
          <w:rPr>
            <w:rFonts w:asciiTheme="minorHAnsi" w:eastAsiaTheme="minorEastAsia" w:hAnsiTheme="minorHAnsi" w:cstheme="minorBidi"/>
            <w:b w:val="0"/>
            <w:smallCaps w:val="0"/>
            <w:sz w:val="22"/>
            <w:lang w:eastAsia="en-GB" w:bidi="ar-SA"/>
          </w:rPr>
          <w:tab/>
        </w:r>
        <w:r w:rsidR="004B5E3A" w:rsidRPr="00D51A68">
          <w:rPr>
            <w:rStyle w:val="Hyperlink"/>
            <w:rFonts w:ascii="Times New Roman" w:hAnsi="Times New Roman"/>
          </w:rPr>
          <w:t>Osservazioni di carattere generale</w:t>
        </w:r>
        <w:r w:rsidR="004B5E3A" w:rsidRPr="00D51A68">
          <w:rPr>
            <w:webHidden/>
          </w:rPr>
          <w:tab/>
        </w:r>
        <w:r w:rsidR="004B5E3A" w:rsidRPr="00D51A68">
          <w:rPr>
            <w:webHidden/>
          </w:rPr>
          <w:fldChar w:fldCharType="begin"/>
        </w:r>
        <w:r w:rsidR="004B5E3A" w:rsidRPr="00D51A68">
          <w:rPr>
            <w:webHidden/>
          </w:rPr>
          <w:instrText xml:space="preserve"> PAGEREF _Toc524096562 \h </w:instrText>
        </w:r>
        <w:r w:rsidR="004B5E3A" w:rsidRPr="00D51A68">
          <w:rPr>
            <w:webHidden/>
          </w:rPr>
        </w:r>
        <w:r w:rsidR="004B5E3A" w:rsidRPr="00D51A68">
          <w:rPr>
            <w:webHidden/>
          </w:rPr>
          <w:fldChar w:fldCharType="separate"/>
        </w:r>
        <w:r>
          <w:rPr>
            <w:webHidden/>
          </w:rPr>
          <w:t>58</w:t>
        </w:r>
        <w:r w:rsidR="004B5E3A" w:rsidRPr="00D51A68">
          <w:rPr>
            <w:webHidden/>
          </w:rPr>
          <w:fldChar w:fldCharType="end"/>
        </w:r>
      </w:hyperlink>
    </w:p>
    <w:p w:rsidR="004B5E3A" w:rsidRPr="00D51A68" w:rsidRDefault="00DB339B">
      <w:pPr>
        <w:pStyle w:val="TOC2"/>
        <w:rPr>
          <w:rFonts w:asciiTheme="minorHAnsi" w:eastAsiaTheme="minorEastAsia" w:hAnsiTheme="minorHAnsi" w:cstheme="minorBidi"/>
          <w:b w:val="0"/>
          <w:smallCaps w:val="0"/>
          <w:sz w:val="22"/>
          <w:lang w:eastAsia="en-GB" w:bidi="ar-SA"/>
        </w:rPr>
      </w:pPr>
      <w:hyperlink w:anchor="_Toc524096563" w:history="1">
        <w:r w:rsidR="004B5E3A" w:rsidRPr="00D51A68">
          <w:rPr>
            <w:rStyle w:val="Hyperlink"/>
            <w:rFonts w:ascii="Times New Roman" w:hAnsi="Times New Roman"/>
          </w:rPr>
          <w:t>1.6.2.</w:t>
        </w:r>
        <w:r w:rsidR="004B5E3A" w:rsidRPr="00D51A68">
          <w:rPr>
            <w:rFonts w:asciiTheme="minorHAnsi" w:eastAsiaTheme="minorEastAsia" w:hAnsiTheme="minorHAnsi" w:cstheme="minorBidi"/>
            <w:b w:val="0"/>
            <w:smallCaps w:val="0"/>
            <w:sz w:val="22"/>
            <w:lang w:eastAsia="en-GB" w:bidi="ar-SA"/>
          </w:rPr>
          <w:tab/>
        </w:r>
        <w:r w:rsidR="004B5E3A" w:rsidRPr="00D51A68">
          <w:rPr>
            <w:rStyle w:val="Hyperlink"/>
            <w:rFonts w:ascii="Times New Roman" w:hAnsi="Times New Roman"/>
          </w:rPr>
          <w:t>C 05.01 — DISPOSIZIONI TRANSITORIE (CA5.1)</w:t>
        </w:r>
        <w:r w:rsidR="004B5E3A" w:rsidRPr="00D51A68">
          <w:rPr>
            <w:webHidden/>
          </w:rPr>
          <w:tab/>
        </w:r>
        <w:r w:rsidR="004B5E3A" w:rsidRPr="00D51A68">
          <w:rPr>
            <w:webHidden/>
          </w:rPr>
          <w:fldChar w:fldCharType="begin"/>
        </w:r>
        <w:r w:rsidR="004B5E3A" w:rsidRPr="00D51A68">
          <w:rPr>
            <w:webHidden/>
          </w:rPr>
          <w:instrText xml:space="preserve"> PAGEREF _Toc524096563 \h </w:instrText>
        </w:r>
        <w:r w:rsidR="004B5E3A" w:rsidRPr="00D51A68">
          <w:rPr>
            <w:webHidden/>
          </w:rPr>
        </w:r>
        <w:r w:rsidR="004B5E3A" w:rsidRPr="00D51A68">
          <w:rPr>
            <w:webHidden/>
          </w:rPr>
          <w:fldChar w:fldCharType="separate"/>
        </w:r>
        <w:r>
          <w:rPr>
            <w:webHidden/>
          </w:rPr>
          <w:t>59</w:t>
        </w:r>
        <w:r w:rsidR="004B5E3A" w:rsidRPr="00D51A68">
          <w:rPr>
            <w:webHidden/>
          </w:rPr>
          <w:fldChar w:fldCharType="end"/>
        </w:r>
      </w:hyperlink>
    </w:p>
    <w:p w:rsidR="004B5E3A" w:rsidRPr="00D51A68" w:rsidRDefault="00DB339B">
      <w:pPr>
        <w:pStyle w:val="TOC2"/>
        <w:rPr>
          <w:rFonts w:asciiTheme="minorHAnsi" w:eastAsiaTheme="minorEastAsia" w:hAnsiTheme="minorHAnsi" w:cstheme="minorBidi"/>
          <w:b w:val="0"/>
          <w:smallCaps w:val="0"/>
          <w:sz w:val="22"/>
          <w:lang w:eastAsia="en-GB" w:bidi="ar-SA"/>
        </w:rPr>
      </w:pPr>
      <w:hyperlink w:anchor="_Toc524096564" w:history="1">
        <w:r w:rsidR="004B5E3A" w:rsidRPr="00D51A68">
          <w:rPr>
            <w:rStyle w:val="Hyperlink"/>
            <w:rFonts w:ascii="Times New Roman" w:hAnsi="Times New Roman"/>
          </w:rPr>
          <w:t>1.6.2.1.</w:t>
        </w:r>
        <w:r w:rsidR="004B5E3A" w:rsidRPr="00D51A68">
          <w:rPr>
            <w:rFonts w:asciiTheme="minorHAnsi" w:eastAsiaTheme="minorEastAsia" w:hAnsiTheme="minorHAnsi" w:cstheme="minorBidi"/>
            <w:b w:val="0"/>
            <w:smallCaps w:val="0"/>
            <w:sz w:val="22"/>
            <w:lang w:eastAsia="en-GB" w:bidi="ar-SA"/>
          </w:rPr>
          <w:tab/>
        </w:r>
        <w:r w:rsidR="004B5E3A" w:rsidRPr="00D51A68">
          <w:rPr>
            <w:rStyle w:val="Hyperlink"/>
            <w:rFonts w:ascii="Times New Roman" w:hAnsi="Times New Roman"/>
          </w:rPr>
          <w:t>Istruzioni relative a posizioni specifiche</w:t>
        </w:r>
        <w:r w:rsidR="004B5E3A" w:rsidRPr="00D51A68">
          <w:rPr>
            <w:webHidden/>
          </w:rPr>
          <w:tab/>
        </w:r>
        <w:r w:rsidR="004B5E3A" w:rsidRPr="00D51A68">
          <w:rPr>
            <w:webHidden/>
          </w:rPr>
          <w:fldChar w:fldCharType="begin"/>
        </w:r>
        <w:r w:rsidR="004B5E3A" w:rsidRPr="00D51A68">
          <w:rPr>
            <w:webHidden/>
          </w:rPr>
          <w:instrText xml:space="preserve"> PAGEREF _Toc524096564 \h </w:instrText>
        </w:r>
        <w:r w:rsidR="004B5E3A" w:rsidRPr="00D51A68">
          <w:rPr>
            <w:webHidden/>
          </w:rPr>
        </w:r>
        <w:r w:rsidR="004B5E3A" w:rsidRPr="00D51A68">
          <w:rPr>
            <w:webHidden/>
          </w:rPr>
          <w:fldChar w:fldCharType="separate"/>
        </w:r>
        <w:r>
          <w:rPr>
            <w:webHidden/>
          </w:rPr>
          <w:t>60</w:t>
        </w:r>
        <w:r w:rsidR="004B5E3A" w:rsidRPr="00D51A68">
          <w:rPr>
            <w:webHidden/>
          </w:rPr>
          <w:fldChar w:fldCharType="end"/>
        </w:r>
      </w:hyperlink>
    </w:p>
    <w:p w:rsidR="004B5E3A" w:rsidRPr="00D51A68" w:rsidRDefault="00DB339B">
      <w:pPr>
        <w:pStyle w:val="TOC2"/>
        <w:rPr>
          <w:rFonts w:asciiTheme="minorHAnsi" w:eastAsiaTheme="minorEastAsia" w:hAnsiTheme="minorHAnsi" w:cstheme="minorBidi"/>
          <w:b w:val="0"/>
          <w:smallCaps w:val="0"/>
          <w:sz w:val="22"/>
          <w:lang w:eastAsia="en-GB" w:bidi="ar-SA"/>
        </w:rPr>
      </w:pPr>
      <w:hyperlink w:anchor="_Toc524096565" w:history="1">
        <w:r w:rsidR="004B5E3A" w:rsidRPr="00D51A68">
          <w:rPr>
            <w:rStyle w:val="Hyperlink"/>
            <w:rFonts w:ascii="Times New Roman" w:hAnsi="Times New Roman"/>
          </w:rPr>
          <w:t>1.6.3.</w:t>
        </w:r>
        <w:r w:rsidR="004B5E3A" w:rsidRPr="00D51A68">
          <w:rPr>
            <w:rFonts w:asciiTheme="minorHAnsi" w:eastAsiaTheme="minorEastAsia" w:hAnsiTheme="minorHAnsi" w:cstheme="minorBidi"/>
            <w:b w:val="0"/>
            <w:smallCaps w:val="0"/>
            <w:sz w:val="22"/>
            <w:lang w:eastAsia="en-GB" w:bidi="ar-SA"/>
          </w:rPr>
          <w:tab/>
        </w:r>
        <w:r w:rsidR="004B5E3A" w:rsidRPr="00D51A68">
          <w:rPr>
            <w:rStyle w:val="Hyperlink"/>
            <w:rFonts w:ascii="Times New Roman" w:hAnsi="Times New Roman"/>
          </w:rPr>
          <w:t>C 05.02 — STRUMENTI SOGGETTI ALLA CLAUSOLA GRANDFATHERING: STRUMENTI CHE NON COSTITUISCONO AIUTI DI STATO (CA5.2)</w:t>
        </w:r>
        <w:r w:rsidR="004B5E3A" w:rsidRPr="00D51A68">
          <w:rPr>
            <w:webHidden/>
          </w:rPr>
          <w:tab/>
        </w:r>
        <w:r w:rsidR="004B5E3A" w:rsidRPr="00D51A68">
          <w:rPr>
            <w:webHidden/>
          </w:rPr>
          <w:fldChar w:fldCharType="begin"/>
        </w:r>
        <w:r w:rsidR="004B5E3A" w:rsidRPr="00D51A68">
          <w:rPr>
            <w:webHidden/>
          </w:rPr>
          <w:instrText xml:space="preserve"> PAGEREF _Toc524096565 \h </w:instrText>
        </w:r>
        <w:r w:rsidR="004B5E3A" w:rsidRPr="00D51A68">
          <w:rPr>
            <w:webHidden/>
          </w:rPr>
        </w:r>
        <w:r w:rsidR="004B5E3A" w:rsidRPr="00D51A68">
          <w:rPr>
            <w:webHidden/>
          </w:rPr>
          <w:fldChar w:fldCharType="separate"/>
        </w:r>
        <w:r>
          <w:rPr>
            <w:webHidden/>
          </w:rPr>
          <w:t>69</w:t>
        </w:r>
        <w:r w:rsidR="004B5E3A" w:rsidRPr="00D51A68">
          <w:rPr>
            <w:webHidden/>
          </w:rPr>
          <w:fldChar w:fldCharType="end"/>
        </w:r>
      </w:hyperlink>
    </w:p>
    <w:p w:rsidR="004B5E3A" w:rsidRPr="00D51A68" w:rsidRDefault="00DB339B">
      <w:pPr>
        <w:pStyle w:val="TOC2"/>
        <w:rPr>
          <w:rFonts w:asciiTheme="minorHAnsi" w:eastAsiaTheme="minorEastAsia" w:hAnsiTheme="minorHAnsi" w:cstheme="minorBidi"/>
          <w:b w:val="0"/>
          <w:smallCaps w:val="0"/>
          <w:sz w:val="22"/>
          <w:lang w:eastAsia="en-GB" w:bidi="ar-SA"/>
        </w:rPr>
      </w:pPr>
      <w:hyperlink w:anchor="_Toc524096566" w:history="1">
        <w:r w:rsidR="004B5E3A" w:rsidRPr="00D51A68">
          <w:rPr>
            <w:rStyle w:val="Hyperlink"/>
            <w:rFonts w:ascii="Times New Roman" w:hAnsi="Times New Roman"/>
          </w:rPr>
          <w:t>1.6.3.1.</w:t>
        </w:r>
        <w:r w:rsidR="004B5E3A" w:rsidRPr="00D51A68">
          <w:rPr>
            <w:rFonts w:asciiTheme="minorHAnsi" w:eastAsiaTheme="minorEastAsia" w:hAnsiTheme="minorHAnsi" w:cstheme="minorBidi"/>
            <w:b w:val="0"/>
            <w:smallCaps w:val="0"/>
            <w:sz w:val="22"/>
            <w:lang w:eastAsia="en-GB" w:bidi="ar-SA"/>
          </w:rPr>
          <w:tab/>
        </w:r>
        <w:r w:rsidR="004B5E3A" w:rsidRPr="00D51A68">
          <w:rPr>
            <w:rStyle w:val="Hyperlink"/>
            <w:rFonts w:ascii="Times New Roman" w:hAnsi="Times New Roman"/>
          </w:rPr>
          <w:t>Istruzioni relative a posizioni specifiche</w:t>
        </w:r>
        <w:r w:rsidR="004B5E3A" w:rsidRPr="00D51A68">
          <w:rPr>
            <w:webHidden/>
          </w:rPr>
          <w:tab/>
        </w:r>
        <w:r w:rsidR="004B5E3A" w:rsidRPr="00D51A68">
          <w:rPr>
            <w:webHidden/>
          </w:rPr>
          <w:fldChar w:fldCharType="begin"/>
        </w:r>
        <w:r w:rsidR="004B5E3A" w:rsidRPr="00D51A68">
          <w:rPr>
            <w:webHidden/>
          </w:rPr>
          <w:instrText xml:space="preserve"> PAGEREF _Toc524096566 \h </w:instrText>
        </w:r>
        <w:r w:rsidR="004B5E3A" w:rsidRPr="00D51A68">
          <w:rPr>
            <w:webHidden/>
          </w:rPr>
        </w:r>
        <w:r w:rsidR="004B5E3A" w:rsidRPr="00D51A68">
          <w:rPr>
            <w:webHidden/>
          </w:rPr>
          <w:fldChar w:fldCharType="separate"/>
        </w:r>
        <w:r>
          <w:rPr>
            <w:webHidden/>
          </w:rPr>
          <w:t>69</w:t>
        </w:r>
        <w:r w:rsidR="004B5E3A" w:rsidRPr="00D51A68">
          <w:rPr>
            <w:webHidden/>
          </w:rPr>
          <w:fldChar w:fldCharType="end"/>
        </w:r>
      </w:hyperlink>
    </w:p>
    <w:p w:rsidR="004B5E3A" w:rsidRPr="00D51A68" w:rsidRDefault="00DB339B">
      <w:pPr>
        <w:pStyle w:val="TOC2"/>
        <w:rPr>
          <w:rFonts w:asciiTheme="minorHAnsi" w:eastAsiaTheme="minorEastAsia" w:hAnsiTheme="minorHAnsi" w:cstheme="minorBidi"/>
          <w:b w:val="0"/>
          <w:smallCaps w:val="0"/>
          <w:sz w:val="22"/>
          <w:lang w:eastAsia="en-GB" w:bidi="ar-SA"/>
        </w:rPr>
      </w:pPr>
      <w:hyperlink w:anchor="_Toc524096567" w:history="1">
        <w:r w:rsidR="004B5E3A" w:rsidRPr="00D51A68">
          <w:rPr>
            <w:rStyle w:val="Hyperlink"/>
            <w:rFonts w:ascii="Times New Roman" w:hAnsi="Times New Roman"/>
          </w:rPr>
          <w:t>2.</w:t>
        </w:r>
        <w:r w:rsidR="004B5E3A" w:rsidRPr="00D51A68">
          <w:rPr>
            <w:rFonts w:asciiTheme="minorHAnsi" w:eastAsiaTheme="minorEastAsia" w:hAnsiTheme="minorHAnsi" w:cstheme="minorBidi"/>
            <w:b w:val="0"/>
            <w:smallCaps w:val="0"/>
            <w:sz w:val="22"/>
            <w:lang w:eastAsia="en-GB" w:bidi="ar-SA"/>
          </w:rPr>
          <w:tab/>
        </w:r>
        <w:r w:rsidR="004B5E3A" w:rsidRPr="00D51A68">
          <w:rPr>
            <w:rStyle w:val="Hyperlink"/>
            <w:rFonts w:ascii="Times New Roman" w:hAnsi="Times New Roman"/>
          </w:rPr>
          <w:t>SOLVIBILITÀ DEL GRUPPO: INFORMAZIONI SULLE FILIAZIONI (GS)</w:t>
        </w:r>
        <w:r w:rsidR="004B5E3A" w:rsidRPr="00D51A68">
          <w:rPr>
            <w:webHidden/>
          </w:rPr>
          <w:tab/>
        </w:r>
        <w:r w:rsidR="004B5E3A" w:rsidRPr="00D51A68">
          <w:rPr>
            <w:webHidden/>
          </w:rPr>
          <w:fldChar w:fldCharType="begin"/>
        </w:r>
        <w:r w:rsidR="004B5E3A" w:rsidRPr="00D51A68">
          <w:rPr>
            <w:webHidden/>
          </w:rPr>
          <w:instrText xml:space="preserve"> PAGEREF _Toc524096567 \h </w:instrText>
        </w:r>
        <w:r w:rsidR="004B5E3A" w:rsidRPr="00D51A68">
          <w:rPr>
            <w:webHidden/>
          </w:rPr>
        </w:r>
        <w:r w:rsidR="004B5E3A" w:rsidRPr="00D51A68">
          <w:rPr>
            <w:webHidden/>
          </w:rPr>
          <w:fldChar w:fldCharType="separate"/>
        </w:r>
        <w:r>
          <w:rPr>
            <w:webHidden/>
          </w:rPr>
          <w:t>71</w:t>
        </w:r>
        <w:r w:rsidR="004B5E3A" w:rsidRPr="00D51A68">
          <w:rPr>
            <w:webHidden/>
          </w:rPr>
          <w:fldChar w:fldCharType="end"/>
        </w:r>
      </w:hyperlink>
    </w:p>
    <w:p w:rsidR="004B5E3A" w:rsidRPr="00D51A68" w:rsidRDefault="00DB339B">
      <w:pPr>
        <w:pStyle w:val="TOC2"/>
        <w:rPr>
          <w:rFonts w:asciiTheme="minorHAnsi" w:eastAsiaTheme="minorEastAsia" w:hAnsiTheme="minorHAnsi" w:cstheme="minorBidi"/>
          <w:b w:val="0"/>
          <w:smallCaps w:val="0"/>
          <w:sz w:val="22"/>
          <w:lang w:eastAsia="en-GB" w:bidi="ar-SA"/>
        </w:rPr>
      </w:pPr>
      <w:hyperlink w:anchor="_Toc524096568" w:history="1">
        <w:r w:rsidR="004B5E3A" w:rsidRPr="00D51A68">
          <w:rPr>
            <w:rStyle w:val="Hyperlink"/>
            <w:rFonts w:ascii="Times New Roman" w:hAnsi="Times New Roman"/>
          </w:rPr>
          <w:t>2.1.</w:t>
        </w:r>
        <w:r w:rsidR="004B5E3A" w:rsidRPr="00D51A68">
          <w:rPr>
            <w:rFonts w:asciiTheme="minorHAnsi" w:eastAsiaTheme="minorEastAsia" w:hAnsiTheme="minorHAnsi" w:cstheme="minorBidi"/>
            <w:b w:val="0"/>
            <w:smallCaps w:val="0"/>
            <w:sz w:val="22"/>
            <w:lang w:eastAsia="en-GB" w:bidi="ar-SA"/>
          </w:rPr>
          <w:tab/>
        </w:r>
        <w:r w:rsidR="004B5E3A" w:rsidRPr="00D51A68">
          <w:rPr>
            <w:rStyle w:val="Hyperlink"/>
            <w:rFonts w:ascii="Times New Roman" w:hAnsi="Times New Roman"/>
          </w:rPr>
          <w:t>Osservazioni di carattere generale</w:t>
        </w:r>
        <w:r w:rsidR="004B5E3A" w:rsidRPr="00D51A68">
          <w:rPr>
            <w:webHidden/>
          </w:rPr>
          <w:tab/>
        </w:r>
        <w:r w:rsidR="004B5E3A" w:rsidRPr="00D51A68">
          <w:rPr>
            <w:webHidden/>
          </w:rPr>
          <w:fldChar w:fldCharType="begin"/>
        </w:r>
        <w:r w:rsidR="004B5E3A" w:rsidRPr="00D51A68">
          <w:rPr>
            <w:webHidden/>
          </w:rPr>
          <w:instrText xml:space="preserve"> PAGEREF _Toc524096568 \h </w:instrText>
        </w:r>
        <w:r w:rsidR="004B5E3A" w:rsidRPr="00D51A68">
          <w:rPr>
            <w:webHidden/>
          </w:rPr>
        </w:r>
        <w:r w:rsidR="004B5E3A" w:rsidRPr="00D51A68">
          <w:rPr>
            <w:webHidden/>
          </w:rPr>
          <w:fldChar w:fldCharType="separate"/>
        </w:r>
        <w:r>
          <w:rPr>
            <w:webHidden/>
          </w:rPr>
          <w:t>71</w:t>
        </w:r>
        <w:r w:rsidR="004B5E3A" w:rsidRPr="00D51A68">
          <w:rPr>
            <w:webHidden/>
          </w:rPr>
          <w:fldChar w:fldCharType="end"/>
        </w:r>
      </w:hyperlink>
    </w:p>
    <w:p w:rsidR="004B5E3A" w:rsidRPr="00D51A68" w:rsidRDefault="00DB339B">
      <w:pPr>
        <w:pStyle w:val="TOC2"/>
        <w:rPr>
          <w:rFonts w:asciiTheme="minorHAnsi" w:eastAsiaTheme="minorEastAsia" w:hAnsiTheme="minorHAnsi" w:cstheme="minorBidi"/>
          <w:b w:val="0"/>
          <w:smallCaps w:val="0"/>
          <w:sz w:val="22"/>
          <w:lang w:eastAsia="en-GB" w:bidi="ar-SA"/>
        </w:rPr>
      </w:pPr>
      <w:hyperlink w:anchor="_Toc524096569" w:history="1">
        <w:r w:rsidR="004B5E3A" w:rsidRPr="00D51A68">
          <w:rPr>
            <w:rStyle w:val="Hyperlink"/>
            <w:rFonts w:ascii="Times New Roman" w:hAnsi="Times New Roman"/>
          </w:rPr>
          <w:t>2.2.</w:t>
        </w:r>
        <w:r w:rsidR="004B5E3A" w:rsidRPr="00D51A68">
          <w:rPr>
            <w:rFonts w:asciiTheme="minorHAnsi" w:eastAsiaTheme="minorEastAsia" w:hAnsiTheme="minorHAnsi" w:cstheme="minorBidi"/>
            <w:b w:val="0"/>
            <w:smallCaps w:val="0"/>
            <w:sz w:val="22"/>
            <w:lang w:eastAsia="en-GB" w:bidi="ar-SA"/>
          </w:rPr>
          <w:tab/>
        </w:r>
        <w:r w:rsidR="004B5E3A" w:rsidRPr="00D51A68">
          <w:rPr>
            <w:rStyle w:val="Hyperlink"/>
            <w:rFonts w:ascii="Times New Roman" w:hAnsi="Times New Roman"/>
          </w:rPr>
          <w:t>Informazioni dettagliate sulla solvibilità del gruppo</w:t>
        </w:r>
        <w:r w:rsidR="004B5E3A" w:rsidRPr="00D51A68">
          <w:rPr>
            <w:webHidden/>
          </w:rPr>
          <w:tab/>
        </w:r>
        <w:r w:rsidR="004B5E3A" w:rsidRPr="00D51A68">
          <w:rPr>
            <w:webHidden/>
          </w:rPr>
          <w:fldChar w:fldCharType="begin"/>
        </w:r>
        <w:r w:rsidR="004B5E3A" w:rsidRPr="00D51A68">
          <w:rPr>
            <w:webHidden/>
          </w:rPr>
          <w:instrText xml:space="preserve"> PAGEREF _Toc524096569 \h </w:instrText>
        </w:r>
        <w:r w:rsidR="004B5E3A" w:rsidRPr="00D51A68">
          <w:rPr>
            <w:webHidden/>
          </w:rPr>
        </w:r>
        <w:r w:rsidR="004B5E3A" w:rsidRPr="00D51A68">
          <w:rPr>
            <w:webHidden/>
          </w:rPr>
          <w:fldChar w:fldCharType="separate"/>
        </w:r>
        <w:r>
          <w:rPr>
            <w:webHidden/>
          </w:rPr>
          <w:t>72</w:t>
        </w:r>
        <w:r w:rsidR="004B5E3A" w:rsidRPr="00D51A68">
          <w:rPr>
            <w:webHidden/>
          </w:rPr>
          <w:fldChar w:fldCharType="end"/>
        </w:r>
      </w:hyperlink>
    </w:p>
    <w:p w:rsidR="004B5E3A" w:rsidRPr="00D51A68" w:rsidRDefault="00DB339B">
      <w:pPr>
        <w:pStyle w:val="TOC2"/>
        <w:rPr>
          <w:rFonts w:asciiTheme="minorHAnsi" w:eastAsiaTheme="minorEastAsia" w:hAnsiTheme="minorHAnsi" w:cstheme="minorBidi"/>
          <w:b w:val="0"/>
          <w:smallCaps w:val="0"/>
          <w:sz w:val="22"/>
          <w:lang w:eastAsia="en-GB" w:bidi="ar-SA"/>
        </w:rPr>
      </w:pPr>
      <w:hyperlink w:anchor="_Toc524096570" w:history="1">
        <w:r w:rsidR="004B5E3A" w:rsidRPr="00D51A68">
          <w:rPr>
            <w:rStyle w:val="Hyperlink"/>
            <w:rFonts w:ascii="Times New Roman" w:hAnsi="Times New Roman"/>
          </w:rPr>
          <w:t>2.3.</w:t>
        </w:r>
        <w:r w:rsidR="004B5E3A" w:rsidRPr="00D51A68">
          <w:rPr>
            <w:rFonts w:asciiTheme="minorHAnsi" w:eastAsiaTheme="minorEastAsia" w:hAnsiTheme="minorHAnsi" w:cstheme="minorBidi"/>
            <w:b w:val="0"/>
            <w:smallCaps w:val="0"/>
            <w:sz w:val="22"/>
            <w:lang w:eastAsia="en-GB" w:bidi="ar-SA"/>
          </w:rPr>
          <w:tab/>
        </w:r>
        <w:r w:rsidR="004B5E3A" w:rsidRPr="00D51A68">
          <w:rPr>
            <w:rStyle w:val="Hyperlink"/>
            <w:rFonts w:ascii="Times New Roman" w:hAnsi="Times New Roman"/>
          </w:rPr>
          <w:t>Informazioni sul contributo dei singoli soggetti alla solvibilità del gruppo</w:t>
        </w:r>
        <w:r w:rsidR="004B5E3A" w:rsidRPr="00D51A68">
          <w:rPr>
            <w:webHidden/>
          </w:rPr>
          <w:tab/>
        </w:r>
        <w:r w:rsidR="004B5E3A" w:rsidRPr="00D51A68">
          <w:rPr>
            <w:webHidden/>
          </w:rPr>
          <w:fldChar w:fldCharType="begin"/>
        </w:r>
        <w:r w:rsidR="004B5E3A" w:rsidRPr="00D51A68">
          <w:rPr>
            <w:webHidden/>
          </w:rPr>
          <w:instrText xml:space="preserve"> PAGEREF _Toc524096570 \h </w:instrText>
        </w:r>
        <w:r w:rsidR="004B5E3A" w:rsidRPr="00D51A68">
          <w:rPr>
            <w:webHidden/>
          </w:rPr>
        </w:r>
        <w:r w:rsidR="004B5E3A" w:rsidRPr="00D51A68">
          <w:rPr>
            <w:webHidden/>
          </w:rPr>
          <w:fldChar w:fldCharType="separate"/>
        </w:r>
        <w:r>
          <w:rPr>
            <w:webHidden/>
          </w:rPr>
          <w:t>72</w:t>
        </w:r>
        <w:r w:rsidR="004B5E3A" w:rsidRPr="00D51A68">
          <w:rPr>
            <w:webHidden/>
          </w:rPr>
          <w:fldChar w:fldCharType="end"/>
        </w:r>
      </w:hyperlink>
    </w:p>
    <w:p w:rsidR="004B5E3A" w:rsidRPr="00D51A68" w:rsidRDefault="00DB339B">
      <w:pPr>
        <w:pStyle w:val="TOC2"/>
        <w:rPr>
          <w:rFonts w:asciiTheme="minorHAnsi" w:eastAsiaTheme="minorEastAsia" w:hAnsiTheme="minorHAnsi" w:cstheme="minorBidi"/>
          <w:b w:val="0"/>
          <w:smallCaps w:val="0"/>
          <w:sz w:val="22"/>
          <w:lang w:eastAsia="en-GB" w:bidi="ar-SA"/>
        </w:rPr>
      </w:pPr>
      <w:hyperlink w:anchor="_Toc524096571" w:history="1">
        <w:r w:rsidR="004B5E3A" w:rsidRPr="00D51A68">
          <w:rPr>
            <w:rStyle w:val="Hyperlink"/>
            <w:rFonts w:ascii="Times New Roman" w:hAnsi="Times New Roman"/>
          </w:rPr>
          <w:t>2.4.</w:t>
        </w:r>
        <w:r w:rsidR="004B5E3A" w:rsidRPr="00D51A68">
          <w:rPr>
            <w:rFonts w:asciiTheme="minorHAnsi" w:eastAsiaTheme="minorEastAsia" w:hAnsiTheme="minorHAnsi" w:cstheme="minorBidi"/>
            <w:b w:val="0"/>
            <w:smallCaps w:val="0"/>
            <w:sz w:val="22"/>
            <w:lang w:eastAsia="en-GB" w:bidi="ar-SA"/>
          </w:rPr>
          <w:tab/>
        </w:r>
        <w:r w:rsidR="004B5E3A" w:rsidRPr="00D51A68">
          <w:rPr>
            <w:rStyle w:val="Hyperlink"/>
            <w:rFonts w:ascii="Times New Roman" w:hAnsi="Times New Roman"/>
          </w:rPr>
          <w:t>C 06.01 — SOLVIBILITÀ DEL GRUPPO: INFORMAZIONI SULLE FILIAZIONI — Totale (GS Total)</w:t>
        </w:r>
        <w:r w:rsidR="004B5E3A" w:rsidRPr="00D51A68">
          <w:rPr>
            <w:webHidden/>
          </w:rPr>
          <w:tab/>
        </w:r>
        <w:r w:rsidR="004B5E3A" w:rsidRPr="00D51A68">
          <w:rPr>
            <w:webHidden/>
          </w:rPr>
          <w:fldChar w:fldCharType="begin"/>
        </w:r>
        <w:r w:rsidR="004B5E3A" w:rsidRPr="00D51A68">
          <w:rPr>
            <w:webHidden/>
          </w:rPr>
          <w:instrText xml:space="preserve"> PAGEREF _Toc524096571 \h </w:instrText>
        </w:r>
        <w:r w:rsidR="004B5E3A" w:rsidRPr="00D51A68">
          <w:rPr>
            <w:webHidden/>
          </w:rPr>
        </w:r>
        <w:r w:rsidR="004B5E3A" w:rsidRPr="00D51A68">
          <w:rPr>
            <w:webHidden/>
          </w:rPr>
          <w:fldChar w:fldCharType="separate"/>
        </w:r>
        <w:r>
          <w:rPr>
            <w:webHidden/>
          </w:rPr>
          <w:t>73</w:t>
        </w:r>
        <w:r w:rsidR="004B5E3A" w:rsidRPr="00D51A68">
          <w:rPr>
            <w:webHidden/>
          </w:rPr>
          <w:fldChar w:fldCharType="end"/>
        </w:r>
      </w:hyperlink>
    </w:p>
    <w:p w:rsidR="004B5E3A" w:rsidRPr="00D51A68" w:rsidRDefault="00DB339B">
      <w:pPr>
        <w:pStyle w:val="TOC2"/>
        <w:rPr>
          <w:rFonts w:asciiTheme="minorHAnsi" w:eastAsiaTheme="minorEastAsia" w:hAnsiTheme="minorHAnsi" w:cstheme="minorBidi"/>
          <w:b w:val="0"/>
          <w:smallCaps w:val="0"/>
          <w:sz w:val="22"/>
          <w:lang w:eastAsia="en-GB" w:bidi="ar-SA"/>
        </w:rPr>
      </w:pPr>
      <w:hyperlink w:anchor="_Toc524096572" w:history="1">
        <w:r w:rsidR="004B5E3A" w:rsidRPr="00D51A68">
          <w:rPr>
            <w:rStyle w:val="Hyperlink"/>
            <w:rFonts w:ascii="Times New Roman" w:hAnsi="Times New Roman"/>
          </w:rPr>
          <w:t>2.5.</w:t>
        </w:r>
        <w:r w:rsidR="004B5E3A" w:rsidRPr="00D51A68">
          <w:rPr>
            <w:rFonts w:asciiTheme="minorHAnsi" w:eastAsiaTheme="minorEastAsia" w:hAnsiTheme="minorHAnsi" w:cstheme="minorBidi"/>
            <w:b w:val="0"/>
            <w:smallCaps w:val="0"/>
            <w:sz w:val="22"/>
            <w:lang w:eastAsia="en-GB" w:bidi="ar-SA"/>
          </w:rPr>
          <w:tab/>
        </w:r>
        <w:r w:rsidR="004B5E3A" w:rsidRPr="00D51A68">
          <w:rPr>
            <w:rStyle w:val="Hyperlink"/>
            <w:rFonts w:ascii="Times New Roman" w:hAnsi="Times New Roman"/>
          </w:rPr>
          <w:t>C 06.02 — SOLVIBILITÀ DEL GRUPPO: INFORMAZIONI SULLE FILIAZIONI (GS)</w:t>
        </w:r>
        <w:r w:rsidR="004B5E3A" w:rsidRPr="00D51A68">
          <w:rPr>
            <w:webHidden/>
          </w:rPr>
          <w:tab/>
        </w:r>
        <w:r w:rsidR="004B5E3A" w:rsidRPr="00D51A68">
          <w:rPr>
            <w:webHidden/>
          </w:rPr>
          <w:fldChar w:fldCharType="begin"/>
        </w:r>
        <w:r w:rsidR="004B5E3A" w:rsidRPr="00D51A68">
          <w:rPr>
            <w:webHidden/>
          </w:rPr>
          <w:instrText xml:space="preserve"> PAGEREF _Toc524096572 \h </w:instrText>
        </w:r>
        <w:r w:rsidR="004B5E3A" w:rsidRPr="00D51A68">
          <w:rPr>
            <w:webHidden/>
          </w:rPr>
        </w:r>
        <w:r w:rsidR="004B5E3A" w:rsidRPr="00D51A68">
          <w:rPr>
            <w:webHidden/>
          </w:rPr>
          <w:fldChar w:fldCharType="separate"/>
        </w:r>
        <w:r>
          <w:rPr>
            <w:webHidden/>
          </w:rPr>
          <w:t>73</w:t>
        </w:r>
        <w:r w:rsidR="004B5E3A" w:rsidRPr="00D51A68">
          <w:rPr>
            <w:webHidden/>
          </w:rPr>
          <w:fldChar w:fldCharType="end"/>
        </w:r>
      </w:hyperlink>
    </w:p>
    <w:p w:rsidR="004B5E3A" w:rsidRPr="00D51A68" w:rsidRDefault="00DB339B">
      <w:pPr>
        <w:pStyle w:val="TOC2"/>
        <w:rPr>
          <w:rFonts w:asciiTheme="minorHAnsi" w:eastAsiaTheme="minorEastAsia" w:hAnsiTheme="minorHAnsi" w:cstheme="minorBidi"/>
          <w:b w:val="0"/>
          <w:smallCaps w:val="0"/>
          <w:sz w:val="22"/>
          <w:lang w:eastAsia="en-GB" w:bidi="ar-SA"/>
        </w:rPr>
      </w:pPr>
      <w:hyperlink w:anchor="_Toc524096573" w:history="1">
        <w:r w:rsidR="004B5E3A" w:rsidRPr="00D51A68">
          <w:rPr>
            <w:rStyle w:val="Hyperlink"/>
            <w:rFonts w:ascii="Times New Roman" w:hAnsi="Times New Roman"/>
          </w:rPr>
          <w:t>3.</w:t>
        </w:r>
        <w:r w:rsidR="004B5E3A" w:rsidRPr="00D51A68">
          <w:rPr>
            <w:rFonts w:asciiTheme="minorHAnsi" w:eastAsiaTheme="minorEastAsia" w:hAnsiTheme="minorHAnsi" w:cstheme="minorBidi"/>
            <w:b w:val="0"/>
            <w:smallCaps w:val="0"/>
            <w:sz w:val="22"/>
            <w:lang w:eastAsia="en-GB" w:bidi="ar-SA"/>
          </w:rPr>
          <w:tab/>
        </w:r>
        <w:r w:rsidR="004B5E3A" w:rsidRPr="00D51A68">
          <w:rPr>
            <w:rStyle w:val="Hyperlink"/>
            <w:rFonts w:ascii="Times New Roman" w:hAnsi="Times New Roman"/>
          </w:rPr>
          <w:t>Modelli del rischio di credito</w:t>
        </w:r>
        <w:r w:rsidR="004B5E3A" w:rsidRPr="00D51A68">
          <w:rPr>
            <w:webHidden/>
          </w:rPr>
          <w:tab/>
        </w:r>
        <w:r w:rsidR="004B5E3A" w:rsidRPr="00D51A68">
          <w:rPr>
            <w:webHidden/>
          </w:rPr>
          <w:fldChar w:fldCharType="begin"/>
        </w:r>
        <w:r w:rsidR="004B5E3A" w:rsidRPr="00D51A68">
          <w:rPr>
            <w:webHidden/>
          </w:rPr>
          <w:instrText xml:space="preserve"> PAGEREF _Toc524096573 \h </w:instrText>
        </w:r>
        <w:r w:rsidR="004B5E3A" w:rsidRPr="00D51A68">
          <w:rPr>
            <w:webHidden/>
          </w:rPr>
        </w:r>
        <w:r w:rsidR="004B5E3A" w:rsidRPr="00D51A68">
          <w:rPr>
            <w:webHidden/>
          </w:rPr>
          <w:fldChar w:fldCharType="separate"/>
        </w:r>
        <w:r>
          <w:rPr>
            <w:webHidden/>
          </w:rPr>
          <w:t>82</w:t>
        </w:r>
        <w:r w:rsidR="004B5E3A" w:rsidRPr="00D51A68">
          <w:rPr>
            <w:webHidden/>
          </w:rPr>
          <w:fldChar w:fldCharType="end"/>
        </w:r>
      </w:hyperlink>
    </w:p>
    <w:p w:rsidR="004B5E3A" w:rsidRPr="00D51A68" w:rsidRDefault="00DB339B">
      <w:pPr>
        <w:pStyle w:val="TOC2"/>
        <w:rPr>
          <w:rFonts w:asciiTheme="minorHAnsi" w:eastAsiaTheme="minorEastAsia" w:hAnsiTheme="minorHAnsi" w:cstheme="minorBidi"/>
          <w:b w:val="0"/>
          <w:smallCaps w:val="0"/>
          <w:sz w:val="22"/>
          <w:lang w:eastAsia="en-GB" w:bidi="ar-SA"/>
        </w:rPr>
      </w:pPr>
      <w:hyperlink w:anchor="_Toc524096574" w:history="1">
        <w:r w:rsidR="004B5E3A" w:rsidRPr="00D51A68">
          <w:rPr>
            <w:rStyle w:val="Hyperlink"/>
            <w:rFonts w:ascii="Times New Roman" w:hAnsi="Times New Roman"/>
          </w:rPr>
          <w:t>3.1.</w:t>
        </w:r>
        <w:r w:rsidR="004B5E3A" w:rsidRPr="00D51A68">
          <w:rPr>
            <w:rFonts w:asciiTheme="minorHAnsi" w:eastAsiaTheme="minorEastAsia" w:hAnsiTheme="minorHAnsi" w:cstheme="minorBidi"/>
            <w:b w:val="0"/>
            <w:smallCaps w:val="0"/>
            <w:sz w:val="22"/>
            <w:lang w:eastAsia="en-GB" w:bidi="ar-SA"/>
          </w:rPr>
          <w:tab/>
        </w:r>
        <w:r w:rsidR="004B5E3A" w:rsidRPr="00D51A68">
          <w:rPr>
            <w:rStyle w:val="Hyperlink"/>
            <w:rFonts w:ascii="Times New Roman" w:hAnsi="Times New Roman"/>
          </w:rPr>
          <w:t>Osservazioni di carattere generale</w:t>
        </w:r>
        <w:r w:rsidR="004B5E3A" w:rsidRPr="00D51A68">
          <w:rPr>
            <w:webHidden/>
          </w:rPr>
          <w:tab/>
        </w:r>
        <w:r w:rsidR="004B5E3A" w:rsidRPr="00D51A68">
          <w:rPr>
            <w:webHidden/>
          </w:rPr>
          <w:fldChar w:fldCharType="begin"/>
        </w:r>
        <w:r w:rsidR="004B5E3A" w:rsidRPr="00D51A68">
          <w:rPr>
            <w:webHidden/>
          </w:rPr>
          <w:instrText xml:space="preserve"> PAGEREF _Toc524096574 \h </w:instrText>
        </w:r>
        <w:r w:rsidR="004B5E3A" w:rsidRPr="00D51A68">
          <w:rPr>
            <w:webHidden/>
          </w:rPr>
        </w:r>
        <w:r w:rsidR="004B5E3A" w:rsidRPr="00D51A68">
          <w:rPr>
            <w:webHidden/>
          </w:rPr>
          <w:fldChar w:fldCharType="separate"/>
        </w:r>
        <w:r>
          <w:rPr>
            <w:webHidden/>
          </w:rPr>
          <w:t>82</w:t>
        </w:r>
        <w:r w:rsidR="004B5E3A" w:rsidRPr="00D51A68">
          <w:rPr>
            <w:webHidden/>
          </w:rPr>
          <w:fldChar w:fldCharType="end"/>
        </w:r>
      </w:hyperlink>
    </w:p>
    <w:p w:rsidR="004B5E3A" w:rsidRPr="00D51A68" w:rsidRDefault="00DB339B">
      <w:pPr>
        <w:pStyle w:val="TOC2"/>
        <w:rPr>
          <w:rFonts w:asciiTheme="minorHAnsi" w:eastAsiaTheme="minorEastAsia" w:hAnsiTheme="minorHAnsi" w:cstheme="minorBidi"/>
          <w:b w:val="0"/>
          <w:smallCaps w:val="0"/>
          <w:sz w:val="22"/>
          <w:lang w:eastAsia="en-GB" w:bidi="ar-SA"/>
        </w:rPr>
      </w:pPr>
      <w:hyperlink w:anchor="_Toc524096575" w:history="1">
        <w:r w:rsidR="004B5E3A" w:rsidRPr="00D51A68">
          <w:rPr>
            <w:rStyle w:val="Hyperlink"/>
            <w:rFonts w:ascii="Times New Roman" w:hAnsi="Times New Roman"/>
          </w:rPr>
          <w:t>3.1.1.</w:t>
        </w:r>
        <w:r w:rsidR="004B5E3A" w:rsidRPr="00D51A68">
          <w:rPr>
            <w:rFonts w:asciiTheme="minorHAnsi" w:eastAsiaTheme="minorEastAsia" w:hAnsiTheme="minorHAnsi" w:cstheme="minorBidi"/>
            <w:b w:val="0"/>
            <w:smallCaps w:val="0"/>
            <w:sz w:val="22"/>
            <w:lang w:eastAsia="en-GB" w:bidi="ar-SA"/>
          </w:rPr>
          <w:tab/>
        </w:r>
        <w:r w:rsidR="004B5E3A" w:rsidRPr="00D51A68">
          <w:rPr>
            <w:rStyle w:val="Hyperlink"/>
            <w:rFonts w:ascii="Times New Roman" w:hAnsi="Times New Roman"/>
          </w:rPr>
          <w:t>Segnalazione delle tecniche di attenuazione del rischio di credito con effetto di sostituzione</w:t>
        </w:r>
        <w:r w:rsidR="004B5E3A" w:rsidRPr="00D51A68">
          <w:rPr>
            <w:webHidden/>
          </w:rPr>
          <w:tab/>
        </w:r>
        <w:r w:rsidR="004B5E3A" w:rsidRPr="00D51A68">
          <w:rPr>
            <w:webHidden/>
          </w:rPr>
          <w:fldChar w:fldCharType="begin"/>
        </w:r>
        <w:r w:rsidR="004B5E3A" w:rsidRPr="00D51A68">
          <w:rPr>
            <w:webHidden/>
          </w:rPr>
          <w:instrText xml:space="preserve"> PAGEREF _Toc524096575 \h </w:instrText>
        </w:r>
        <w:r w:rsidR="004B5E3A" w:rsidRPr="00D51A68">
          <w:rPr>
            <w:webHidden/>
          </w:rPr>
        </w:r>
        <w:r w:rsidR="004B5E3A" w:rsidRPr="00D51A68">
          <w:rPr>
            <w:webHidden/>
          </w:rPr>
          <w:fldChar w:fldCharType="separate"/>
        </w:r>
        <w:r>
          <w:rPr>
            <w:webHidden/>
          </w:rPr>
          <w:t>82</w:t>
        </w:r>
        <w:r w:rsidR="004B5E3A" w:rsidRPr="00D51A68">
          <w:rPr>
            <w:webHidden/>
          </w:rPr>
          <w:fldChar w:fldCharType="end"/>
        </w:r>
      </w:hyperlink>
    </w:p>
    <w:p w:rsidR="004B5E3A" w:rsidRPr="00D51A68" w:rsidRDefault="00DB339B">
      <w:pPr>
        <w:pStyle w:val="TOC2"/>
        <w:rPr>
          <w:rFonts w:asciiTheme="minorHAnsi" w:eastAsiaTheme="minorEastAsia" w:hAnsiTheme="minorHAnsi" w:cstheme="minorBidi"/>
          <w:b w:val="0"/>
          <w:smallCaps w:val="0"/>
          <w:sz w:val="22"/>
          <w:lang w:eastAsia="en-GB" w:bidi="ar-SA"/>
        </w:rPr>
      </w:pPr>
      <w:hyperlink w:anchor="_Toc524096576" w:history="1">
        <w:r w:rsidR="004B5E3A" w:rsidRPr="00D51A68">
          <w:rPr>
            <w:rStyle w:val="Hyperlink"/>
            <w:rFonts w:ascii="Times New Roman" w:hAnsi="Times New Roman"/>
          </w:rPr>
          <w:t>3.1.2.</w:t>
        </w:r>
        <w:r w:rsidR="004B5E3A" w:rsidRPr="00D51A68">
          <w:rPr>
            <w:rFonts w:asciiTheme="minorHAnsi" w:eastAsiaTheme="minorEastAsia" w:hAnsiTheme="minorHAnsi" w:cstheme="minorBidi"/>
            <w:b w:val="0"/>
            <w:smallCaps w:val="0"/>
            <w:sz w:val="22"/>
            <w:lang w:eastAsia="en-GB" w:bidi="ar-SA"/>
          </w:rPr>
          <w:tab/>
        </w:r>
        <w:r w:rsidR="004B5E3A" w:rsidRPr="00D51A68">
          <w:rPr>
            <w:rStyle w:val="Hyperlink"/>
            <w:rFonts w:ascii="Times New Roman" w:hAnsi="Times New Roman"/>
          </w:rPr>
          <w:t>Segnalazione del rischio di controparte</w:t>
        </w:r>
        <w:r w:rsidR="004B5E3A" w:rsidRPr="00D51A68">
          <w:rPr>
            <w:webHidden/>
          </w:rPr>
          <w:tab/>
        </w:r>
        <w:r w:rsidR="004B5E3A" w:rsidRPr="00D51A68">
          <w:rPr>
            <w:webHidden/>
          </w:rPr>
          <w:fldChar w:fldCharType="begin"/>
        </w:r>
        <w:r w:rsidR="004B5E3A" w:rsidRPr="00D51A68">
          <w:rPr>
            <w:webHidden/>
          </w:rPr>
          <w:instrText xml:space="preserve"> PAGEREF _Toc524096576 \h </w:instrText>
        </w:r>
        <w:r w:rsidR="004B5E3A" w:rsidRPr="00D51A68">
          <w:rPr>
            <w:webHidden/>
          </w:rPr>
        </w:r>
        <w:r w:rsidR="004B5E3A" w:rsidRPr="00D51A68">
          <w:rPr>
            <w:webHidden/>
          </w:rPr>
          <w:fldChar w:fldCharType="separate"/>
        </w:r>
        <w:r>
          <w:rPr>
            <w:webHidden/>
          </w:rPr>
          <w:t>83</w:t>
        </w:r>
        <w:r w:rsidR="004B5E3A" w:rsidRPr="00D51A68">
          <w:rPr>
            <w:webHidden/>
          </w:rPr>
          <w:fldChar w:fldCharType="end"/>
        </w:r>
      </w:hyperlink>
    </w:p>
    <w:p w:rsidR="004B5E3A" w:rsidRPr="00D51A68" w:rsidRDefault="00DB339B">
      <w:pPr>
        <w:pStyle w:val="TOC2"/>
        <w:rPr>
          <w:rFonts w:asciiTheme="minorHAnsi" w:eastAsiaTheme="minorEastAsia" w:hAnsiTheme="minorHAnsi" w:cstheme="minorBidi"/>
          <w:b w:val="0"/>
          <w:smallCaps w:val="0"/>
          <w:sz w:val="22"/>
          <w:lang w:eastAsia="en-GB" w:bidi="ar-SA"/>
        </w:rPr>
      </w:pPr>
      <w:hyperlink w:anchor="_Toc524096577" w:history="1">
        <w:r w:rsidR="004B5E3A" w:rsidRPr="00D51A68">
          <w:rPr>
            <w:rStyle w:val="Hyperlink"/>
            <w:rFonts w:ascii="Times New Roman" w:hAnsi="Times New Roman"/>
          </w:rPr>
          <w:t>3.2.</w:t>
        </w:r>
        <w:r w:rsidR="004B5E3A" w:rsidRPr="00D51A68">
          <w:rPr>
            <w:rFonts w:asciiTheme="minorHAnsi" w:eastAsiaTheme="minorEastAsia" w:hAnsiTheme="minorHAnsi" w:cstheme="minorBidi"/>
            <w:b w:val="0"/>
            <w:smallCaps w:val="0"/>
            <w:sz w:val="22"/>
            <w:lang w:eastAsia="en-GB" w:bidi="ar-SA"/>
          </w:rPr>
          <w:tab/>
        </w:r>
        <w:r w:rsidR="004B5E3A" w:rsidRPr="00D51A68">
          <w:rPr>
            <w:rStyle w:val="Hyperlink"/>
            <w:rFonts w:ascii="Times New Roman" w:hAnsi="Times New Roman"/>
          </w:rPr>
          <w:t>C 07.00 — Rischio di credito e rischio di controparte e operazioni con regolamento non contestuale: metodo standardizzato applicato ai requisiti patrimoniali (CR SA)</w:t>
        </w:r>
        <w:r w:rsidR="004B5E3A" w:rsidRPr="00D51A68">
          <w:rPr>
            <w:webHidden/>
          </w:rPr>
          <w:tab/>
        </w:r>
        <w:r w:rsidR="004B5E3A" w:rsidRPr="00D51A68">
          <w:rPr>
            <w:webHidden/>
          </w:rPr>
          <w:fldChar w:fldCharType="begin"/>
        </w:r>
        <w:r w:rsidR="004B5E3A" w:rsidRPr="00D51A68">
          <w:rPr>
            <w:webHidden/>
          </w:rPr>
          <w:instrText xml:space="preserve"> PAGEREF _Toc524096577 \h </w:instrText>
        </w:r>
        <w:r w:rsidR="004B5E3A" w:rsidRPr="00D51A68">
          <w:rPr>
            <w:webHidden/>
          </w:rPr>
        </w:r>
        <w:r w:rsidR="004B5E3A" w:rsidRPr="00D51A68">
          <w:rPr>
            <w:webHidden/>
          </w:rPr>
          <w:fldChar w:fldCharType="separate"/>
        </w:r>
        <w:r>
          <w:rPr>
            <w:webHidden/>
          </w:rPr>
          <w:t>83</w:t>
        </w:r>
        <w:r w:rsidR="004B5E3A" w:rsidRPr="00D51A68">
          <w:rPr>
            <w:webHidden/>
          </w:rPr>
          <w:fldChar w:fldCharType="end"/>
        </w:r>
      </w:hyperlink>
    </w:p>
    <w:p w:rsidR="004B5E3A" w:rsidRPr="00D51A68" w:rsidRDefault="00DB339B">
      <w:pPr>
        <w:pStyle w:val="TOC2"/>
        <w:rPr>
          <w:rFonts w:asciiTheme="minorHAnsi" w:eastAsiaTheme="minorEastAsia" w:hAnsiTheme="minorHAnsi" w:cstheme="minorBidi"/>
          <w:b w:val="0"/>
          <w:smallCaps w:val="0"/>
          <w:sz w:val="22"/>
          <w:lang w:eastAsia="en-GB" w:bidi="ar-SA"/>
        </w:rPr>
      </w:pPr>
      <w:hyperlink w:anchor="_Toc524096578" w:history="1">
        <w:r w:rsidR="004B5E3A" w:rsidRPr="00D51A68">
          <w:rPr>
            <w:rStyle w:val="Hyperlink"/>
            <w:rFonts w:ascii="Times New Roman" w:hAnsi="Times New Roman"/>
          </w:rPr>
          <w:t>3.2.1.</w:t>
        </w:r>
        <w:r w:rsidR="004B5E3A" w:rsidRPr="00D51A68">
          <w:rPr>
            <w:rFonts w:asciiTheme="minorHAnsi" w:eastAsiaTheme="minorEastAsia" w:hAnsiTheme="minorHAnsi" w:cstheme="minorBidi"/>
            <w:b w:val="0"/>
            <w:smallCaps w:val="0"/>
            <w:sz w:val="22"/>
            <w:lang w:eastAsia="en-GB" w:bidi="ar-SA"/>
          </w:rPr>
          <w:tab/>
        </w:r>
        <w:r w:rsidR="004B5E3A" w:rsidRPr="00D51A68">
          <w:rPr>
            <w:rStyle w:val="Hyperlink"/>
            <w:rFonts w:ascii="Times New Roman" w:hAnsi="Times New Roman"/>
          </w:rPr>
          <w:t>Osservazioni di carattere generale</w:t>
        </w:r>
        <w:r w:rsidR="004B5E3A" w:rsidRPr="00D51A68">
          <w:rPr>
            <w:webHidden/>
          </w:rPr>
          <w:tab/>
        </w:r>
        <w:r w:rsidR="004B5E3A" w:rsidRPr="00D51A68">
          <w:rPr>
            <w:webHidden/>
          </w:rPr>
          <w:fldChar w:fldCharType="begin"/>
        </w:r>
        <w:r w:rsidR="004B5E3A" w:rsidRPr="00D51A68">
          <w:rPr>
            <w:webHidden/>
          </w:rPr>
          <w:instrText xml:space="preserve"> PAGEREF _Toc524096578 \h </w:instrText>
        </w:r>
        <w:r w:rsidR="004B5E3A" w:rsidRPr="00D51A68">
          <w:rPr>
            <w:webHidden/>
          </w:rPr>
        </w:r>
        <w:r w:rsidR="004B5E3A" w:rsidRPr="00D51A68">
          <w:rPr>
            <w:webHidden/>
          </w:rPr>
          <w:fldChar w:fldCharType="separate"/>
        </w:r>
        <w:r>
          <w:rPr>
            <w:webHidden/>
          </w:rPr>
          <w:t>83</w:t>
        </w:r>
        <w:r w:rsidR="004B5E3A" w:rsidRPr="00D51A68">
          <w:rPr>
            <w:webHidden/>
          </w:rPr>
          <w:fldChar w:fldCharType="end"/>
        </w:r>
      </w:hyperlink>
    </w:p>
    <w:p w:rsidR="004B5E3A" w:rsidRPr="00D51A68" w:rsidRDefault="00DB339B">
      <w:pPr>
        <w:pStyle w:val="TOC2"/>
        <w:rPr>
          <w:rFonts w:asciiTheme="minorHAnsi" w:eastAsiaTheme="minorEastAsia" w:hAnsiTheme="minorHAnsi" w:cstheme="minorBidi"/>
          <w:b w:val="0"/>
          <w:smallCaps w:val="0"/>
          <w:sz w:val="22"/>
          <w:lang w:eastAsia="en-GB" w:bidi="ar-SA"/>
        </w:rPr>
      </w:pPr>
      <w:hyperlink w:anchor="_Toc524096579" w:history="1">
        <w:r w:rsidR="004B5E3A" w:rsidRPr="00D51A68">
          <w:rPr>
            <w:rStyle w:val="Hyperlink"/>
            <w:rFonts w:ascii="Times New Roman" w:hAnsi="Times New Roman"/>
          </w:rPr>
          <w:t>3.2.2.</w:t>
        </w:r>
        <w:r w:rsidR="004B5E3A" w:rsidRPr="00D51A68">
          <w:rPr>
            <w:rFonts w:asciiTheme="minorHAnsi" w:eastAsiaTheme="minorEastAsia" w:hAnsiTheme="minorHAnsi" w:cstheme="minorBidi"/>
            <w:b w:val="0"/>
            <w:smallCaps w:val="0"/>
            <w:sz w:val="22"/>
            <w:lang w:eastAsia="en-GB" w:bidi="ar-SA"/>
          </w:rPr>
          <w:tab/>
        </w:r>
        <w:r w:rsidR="004B5E3A" w:rsidRPr="00D51A68">
          <w:rPr>
            <w:rStyle w:val="Hyperlink"/>
            <w:rFonts w:ascii="Times New Roman" w:hAnsi="Times New Roman"/>
          </w:rPr>
          <w:t>Ambito di applicazione del modello CR SA</w:t>
        </w:r>
        <w:r w:rsidR="004B5E3A" w:rsidRPr="00D51A68">
          <w:rPr>
            <w:webHidden/>
          </w:rPr>
          <w:tab/>
        </w:r>
        <w:r w:rsidR="004B5E3A" w:rsidRPr="00D51A68">
          <w:rPr>
            <w:webHidden/>
          </w:rPr>
          <w:fldChar w:fldCharType="begin"/>
        </w:r>
        <w:r w:rsidR="004B5E3A" w:rsidRPr="00D51A68">
          <w:rPr>
            <w:webHidden/>
          </w:rPr>
          <w:instrText xml:space="preserve"> PAGEREF _Toc524096579 \h </w:instrText>
        </w:r>
        <w:r w:rsidR="004B5E3A" w:rsidRPr="00D51A68">
          <w:rPr>
            <w:webHidden/>
          </w:rPr>
        </w:r>
        <w:r w:rsidR="004B5E3A" w:rsidRPr="00D51A68">
          <w:rPr>
            <w:webHidden/>
          </w:rPr>
          <w:fldChar w:fldCharType="separate"/>
        </w:r>
        <w:r>
          <w:rPr>
            <w:webHidden/>
          </w:rPr>
          <w:t>83</w:t>
        </w:r>
        <w:r w:rsidR="004B5E3A" w:rsidRPr="00D51A68">
          <w:rPr>
            <w:webHidden/>
          </w:rPr>
          <w:fldChar w:fldCharType="end"/>
        </w:r>
      </w:hyperlink>
    </w:p>
    <w:p w:rsidR="004B5E3A" w:rsidRPr="00D51A68" w:rsidRDefault="00DB339B">
      <w:pPr>
        <w:pStyle w:val="TOC2"/>
        <w:rPr>
          <w:rFonts w:asciiTheme="minorHAnsi" w:eastAsiaTheme="minorEastAsia" w:hAnsiTheme="minorHAnsi" w:cstheme="minorBidi"/>
          <w:b w:val="0"/>
          <w:smallCaps w:val="0"/>
          <w:sz w:val="22"/>
          <w:lang w:eastAsia="en-GB" w:bidi="ar-SA"/>
        </w:rPr>
      </w:pPr>
      <w:hyperlink w:anchor="_Toc524096580" w:history="1">
        <w:r w:rsidR="004B5E3A" w:rsidRPr="00D51A68">
          <w:rPr>
            <w:rStyle w:val="Hyperlink"/>
            <w:rFonts w:ascii="Times New Roman" w:hAnsi="Times New Roman"/>
          </w:rPr>
          <w:t>3.2.3.</w:t>
        </w:r>
        <w:r w:rsidR="004B5E3A" w:rsidRPr="00D51A68">
          <w:rPr>
            <w:rFonts w:asciiTheme="minorHAnsi" w:eastAsiaTheme="minorEastAsia" w:hAnsiTheme="minorHAnsi" w:cstheme="minorBidi"/>
            <w:b w:val="0"/>
            <w:smallCaps w:val="0"/>
            <w:sz w:val="22"/>
            <w:lang w:eastAsia="en-GB" w:bidi="ar-SA"/>
          </w:rPr>
          <w:tab/>
        </w:r>
        <w:r w:rsidR="004B5E3A" w:rsidRPr="00D51A68">
          <w:rPr>
            <w:rStyle w:val="Hyperlink"/>
            <w:rFonts w:ascii="Times New Roman" w:hAnsi="Times New Roman"/>
          </w:rPr>
          <w:t xml:space="preserve"> Assegnazione di esposizioni alle classi di esposizioni secondo il metodo standardizzato</w:t>
        </w:r>
        <w:r w:rsidR="004B5E3A" w:rsidRPr="00D51A68">
          <w:rPr>
            <w:webHidden/>
          </w:rPr>
          <w:tab/>
        </w:r>
        <w:r w:rsidR="004B5E3A" w:rsidRPr="00D51A68">
          <w:rPr>
            <w:webHidden/>
          </w:rPr>
          <w:fldChar w:fldCharType="begin"/>
        </w:r>
        <w:r w:rsidR="004B5E3A" w:rsidRPr="00D51A68">
          <w:rPr>
            <w:webHidden/>
          </w:rPr>
          <w:instrText xml:space="preserve"> PAGEREF _Toc524096580 \h </w:instrText>
        </w:r>
        <w:r w:rsidR="004B5E3A" w:rsidRPr="00D51A68">
          <w:rPr>
            <w:webHidden/>
          </w:rPr>
        </w:r>
        <w:r w:rsidR="004B5E3A" w:rsidRPr="00D51A68">
          <w:rPr>
            <w:webHidden/>
          </w:rPr>
          <w:fldChar w:fldCharType="separate"/>
        </w:r>
        <w:r>
          <w:rPr>
            <w:webHidden/>
          </w:rPr>
          <w:t>85</w:t>
        </w:r>
        <w:r w:rsidR="004B5E3A" w:rsidRPr="00D51A68">
          <w:rPr>
            <w:webHidden/>
          </w:rPr>
          <w:fldChar w:fldCharType="end"/>
        </w:r>
      </w:hyperlink>
    </w:p>
    <w:p w:rsidR="004B5E3A" w:rsidRPr="00D51A68" w:rsidRDefault="00DB339B">
      <w:pPr>
        <w:pStyle w:val="TOC2"/>
        <w:rPr>
          <w:rFonts w:asciiTheme="minorHAnsi" w:eastAsiaTheme="minorEastAsia" w:hAnsiTheme="minorHAnsi" w:cstheme="minorBidi"/>
          <w:b w:val="0"/>
          <w:smallCaps w:val="0"/>
          <w:sz w:val="22"/>
          <w:lang w:eastAsia="en-GB" w:bidi="ar-SA"/>
        </w:rPr>
      </w:pPr>
      <w:hyperlink w:anchor="_Toc524096581" w:history="1">
        <w:r w:rsidR="004B5E3A" w:rsidRPr="00D51A68">
          <w:rPr>
            <w:rStyle w:val="Hyperlink"/>
            <w:rFonts w:ascii="Times New Roman" w:hAnsi="Times New Roman"/>
          </w:rPr>
          <w:t>3.2.4.</w:t>
        </w:r>
        <w:r w:rsidR="004B5E3A" w:rsidRPr="00D51A68">
          <w:rPr>
            <w:rFonts w:asciiTheme="minorHAnsi" w:eastAsiaTheme="minorEastAsia" w:hAnsiTheme="minorHAnsi" w:cstheme="minorBidi"/>
            <w:b w:val="0"/>
            <w:smallCaps w:val="0"/>
            <w:sz w:val="22"/>
            <w:lang w:eastAsia="en-GB" w:bidi="ar-SA"/>
          </w:rPr>
          <w:tab/>
        </w:r>
        <w:r w:rsidR="004B5E3A" w:rsidRPr="00D51A68">
          <w:rPr>
            <w:rStyle w:val="Hyperlink"/>
            <w:rFonts w:ascii="Times New Roman" w:hAnsi="Times New Roman"/>
          </w:rPr>
          <w:t>Chiarimenti dell’ambito di applicazione di alcune classi di esposizioni specifiche citate nell’articolo 112 del CRR</w:t>
        </w:r>
        <w:r w:rsidR="004B5E3A" w:rsidRPr="00D51A68">
          <w:rPr>
            <w:webHidden/>
          </w:rPr>
          <w:tab/>
        </w:r>
        <w:r w:rsidR="004B5E3A" w:rsidRPr="00D51A68">
          <w:rPr>
            <w:webHidden/>
          </w:rPr>
          <w:fldChar w:fldCharType="begin"/>
        </w:r>
        <w:r w:rsidR="004B5E3A" w:rsidRPr="00D51A68">
          <w:rPr>
            <w:webHidden/>
          </w:rPr>
          <w:instrText xml:space="preserve"> PAGEREF _Toc524096581 \h </w:instrText>
        </w:r>
        <w:r w:rsidR="004B5E3A" w:rsidRPr="00D51A68">
          <w:rPr>
            <w:webHidden/>
          </w:rPr>
        </w:r>
        <w:r w:rsidR="004B5E3A" w:rsidRPr="00D51A68">
          <w:rPr>
            <w:webHidden/>
          </w:rPr>
          <w:fldChar w:fldCharType="separate"/>
        </w:r>
        <w:r>
          <w:rPr>
            <w:webHidden/>
          </w:rPr>
          <w:t>90</w:t>
        </w:r>
        <w:r w:rsidR="004B5E3A" w:rsidRPr="00D51A68">
          <w:rPr>
            <w:webHidden/>
          </w:rPr>
          <w:fldChar w:fldCharType="end"/>
        </w:r>
      </w:hyperlink>
    </w:p>
    <w:p w:rsidR="004B5E3A" w:rsidRPr="00D51A68" w:rsidRDefault="00DB339B">
      <w:pPr>
        <w:pStyle w:val="TOC2"/>
        <w:rPr>
          <w:rFonts w:asciiTheme="minorHAnsi" w:eastAsiaTheme="minorEastAsia" w:hAnsiTheme="minorHAnsi" w:cstheme="minorBidi"/>
          <w:b w:val="0"/>
          <w:smallCaps w:val="0"/>
          <w:sz w:val="22"/>
          <w:lang w:eastAsia="en-GB" w:bidi="ar-SA"/>
        </w:rPr>
      </w:pPr>
      <w:hyperlink w:anchor="_Toc524096582" w:history="1">
        <w:r w:rsidR="004B5E3A" w:rsidRPr="00D51A68">
          <w:rPr>
            <w:rStyle w:val="Hyperlink"/>
            <w:rFonts w:ascii="Times New Roman" w:hAnsi="Times New Roman"/>
          </w:rPr>
          <w:t>3.2.4.1.</w:t>
        </w:r>
        <w:r w:rsidR="004B5E3A" w:rsidRPr="00D51A68">
          <w:rPr>
            <w:rFonts w:asciiTheme="minorHAnsi" w:eastAsiaTheme="minorEastAsia" w:hAnsiTheme="minorHAnsi" w:cstheme="minorBidi"/>
            <w:b w:val="0"/>
            <w:smallCaps w:val="0"/>
            <w:sz w:val="22"/>
            <w:lang w:eastAsia="en-GB" w:bidi="ar-SA"/>
          </w:rPr>
          <w:tab/>
        </w:r>
        <w:r w:rsidR="004B5E3A" w:rsidRPr="00D51A68">
          <w:rPr>
            <w:rStyle w:val="Hyperlink"/>
            <w:rFonts w:ascii="Times New Roman" w:hAnsi="Times New Roman"/>
          </w:rPr>
          <w:t>Classe di esposizioni “Enti”</w:t>
        </w:r>
        <w:r w:rsidR="004B5E3A" w:rsidRPr="00D51A68">
          <w:rPr>
            <w:webHidden/>
          </w:rPr>
          <w:tab/>
        </w:r>
        <w:r w:rsidR="004B5E3A" w:rsidRPr="00D51A68">
          <w:rPr>
            <w:webHidden/>
          </w:rPr>
          <w:fldChar w:fldCharType="begin"/>
        </w:r>
        <w:r w:rsidR="004B5E3A" w:rsidRPr="00D51A68">
          <w:rPr>
            <w:webHidden/>
          </w:rPr>
          <w:instrText xml:space="preserve"> PAGEREF _Toc524096582 \h </w:instrText>
        </w:r>
        <w:r w:rsidR="004B5E3A" w:rsidRPr="00D51A68">
          <w:rPr>
            <w:webHidden/>
          </w:rPr>
        </w:r>
        <w:r w:rsidR="004B5E3A" w:rsidRPr="00D51A68">
          <w:rPr>
            <w:webHidden/>
          </w:rPr>
          <w:fldChar w:fldCharType="separate"/>
        </w:r>
        <w:r>
          <w:rPr>
            <w:webHidden/>
          </w:rPr>
          <w:t>90</w:t>
        </w:r>
        <w:r w:rsidR="004B5E3A" w:rsidRPr="00D51A68">
          <w:rPr>
            <w:webHidden/>
          </w:rPr>
          <w:fldChar w:fldCharType="end"/>
        </w:r>
      </w:hyperlink>
    </w:p>
    <w:p w:rsidR="004B5E3A" w:rsidRPr="00D51A68" w:rsidRDefault="00DB339B">
      <w:pPr>
        <w:pStyle w:val="TOC2"/>
        <w:rPr>
          <w:rFonts w:asciiTheme="minorHAnsi" w:eastAsiaTheme="minorEastAsia" w:hAnsiTheme="minorHAnsi" w:cstheme="minorBidi"/>
          <w:b w:val="0"/>
          <w:smallCaps w:val="0"/>
          <w:sz w:val="22"/>
          <w:lang w:eastAsia="en-GB" w:bidi="ar-SA"/>
        </w:rPr>
      </w:pPr>
      <w:hyperlink w:anchor="_Toc524096583" w:history="1">
        <w:r w:rsidR="004B5E3A" w:rsidRPr="00D51A68">
          <w:rPr>
            <w:rStyle w:val="Hyperlink"/>
            <w:rFonts w:ascii="Times New Roman" w:hAnsi="Times New Roman"/>
          </w:rPr>
          <w:t>3.2.4.2.</w:t>
        </w:r>
        <w:r w:rsidR="004B5E3A" w:rsidRPr="00D51A68">
          <w:rPr>
            <w:rFonts w:asciiTheme="minorHAnsi" w:eastAsiaTheme="minorEastAsia" w:hAnsiTheme="minorHAnsi" w:cstheme="minorBidi"/>
            <w:b w:val="0"/>
            <w:smallCaps w:val="0"/>
            <w:sz w:val="22"/>
            <w:lang w:eastAsia="en-GB" w:bidi="ar-SA"/>
          </w:rPr>
          <w:tab/>
        </w:r>
        <w:r w:rsidR="004B5E3A" w:rsidRPr="00D51A68">
          <w:rPr>
            <w:rStyle w:val="Hyperlink"/>
            <w:rFonts w:ascii="Times New Roman" w:hAnsi="Times New Roman"/>
          </w:rPr>
          <w:t>Classe di esposizioni “Obbligazioni garantite”</w:t>
        </w:r>
        <w:r w:rsidR="004B5E3A" w:rsidRPr="00D51A68">
          <w:rPr>
            <w:webHidden/>
          </w:rPr>
          <w:tab/>
        </w:r>
        <w:r w:rsidR="004B5E3A" w:rsidRPr="00D51A68">
          <w:rPr>
            <w:webHidden/>
          </w:rPr>
          <w:fldChar w:fldCharType="begin"/>
        </w:r>
        <w:r w:rsidR="004B5E3A" w:rsidRPr="00D51A68">
          <w:rPr>
            <w:webHidden/>
          </w:rPr>
          <w:instrText xml:space="preserve"> PAGEREF _Toc524096583 \h </w:instrText>
        </w:r>
        <w:r w:rsidR="004B5E3A" w:rsidRPr="00D51A68">
          <w:rPr>
            <w:webHidden/>
          </w:rPr>
        </w:r>
        <w:r w:rsidR="004B5E3A" w:rsidRPr="00D51A68">
          <w:rPr>
            <w:webHidden/>
          </w:rPr>
          <w:fldChar w:fldCharType="separate"/>
        </w:r>
        <w:r>
          <w:rPr>
            <w:webHidden/>
          </w:rPr>
          <w:t>90</w:t>
        </w:r>
        <w:r w:rsidR="004B5E3A" w:rsidRPr="00D51A68">
          <w:rPr>
            <w:webHidden/>
          </w:rPr>
          <w:fldChar w:fldCharType="end"/>
        </w:r>
      </w:hyperlink>
    </w:p>
    <w:p w:rsidR="004B5E3A" w:rsidRPr="00D51A68" w:rsidRDefault="00DB339B">
      <w:pPr>
        <w:pStyle w:val="TOC2"/>
        <w:rPr>
          <w:rFonts w:asciiTheme="minorHAnsi" w:eastAsiaTheme="minorEastAsia" w:hAnsiTheme="minorHAnsi" w:cstheme="minorBidi"/>
          <w:b w:val="0"/>
          <w:smallCaps w:val="0"/>
          <w:sz w:val="22"/>
          <w:lang w:eastAsia="en-GB" w:bidi="ar-SA"/>
        </w:rPr>
      </w:pPr>
      <w:hyperlink w:anchor="_Toc524096584" w:history="1">
        <w:r w:rsidR="004B5E3A" w:rsidRPr="00D51A68">
          <w:rPr>
            <w:rStyle w:val="Hyperlink"/>
            <w:rFonts w:ascii="Times New Roman" w:hAnsi="Times New Roman"/>
          </w:rPr>
          <w:t>3.2.4.3.</w:t>
        </w:r>
        <w:r w:rsidR="004B5E3A" w:rsidRPr="00D51A68">
          <w:rPr>
            <w:rFonts w:asciiTheme="minorHAnsi" w:eastAsiaTheme="minorEastAsia" w:hAnsiTheme="minorHAnsi" w:cstheme="minorBidi"/>
            <w:b w:val="0"/>
            <w:smallCaps w:val="0"/>
            <w:sz w:val="22"/>
            <w:lang w:eastAsia="en-GB" w:bidi="ar-SA"/>
          </w:rPr>
          <w:tab/>
        </w:r>
        <w:r w:rsidR="004B5E3A" w:rsidRPr="00D51A68">
          <w:rPr>
            <w:rStyle w:val="Hyperlink"/>
            <w:rFonts w:ascii="Times New Roman" w:hAnsi="Times New Roman"/>
          </w:rPr>
          <w:t>Classe di esposizioni “Organismi di investimento collettivo”</w:t>
        </w:r>
        <w:r w:rsidR="004B5E3A" w:rsidRPr="00D51A68">
          <w:rPr>
            <w:webHidden/>
          </w:rPr>
          <w:tab/>
        </w:r>
        <w:r w:rsidR="004B5E3A" w:rsidRPr="00D51A68">
          <w:rPr>
            <w:webHidden/>
          </w:rPr>
          <w:fldChar w:fldCharType="begin"/>
        </w:r>
        <w:r w:rsidR="004B5E3A" w:rsidRPr="00D51A68">
          <w:rPr>
            <w:webHidden/>
          </w:rPr>
          <w:instrText xml:space="preserve"> PAGEREF _Toc524096584 \h </w:instrText>
        </w:r>
        <w:r w:rsidR="004B5E3A" w:rsidRPr="00D51A68">
          <w:rPr>
            <w:webHidden/>
          </w:rPr>
        </w:r>
        <w:r w:rsidR="004B5E3A" w:rsidRPr="00D51A68">
          <w:rPr>
            <w:webHidden/>
          </w:rPr>
          <w:fldChar w:fldCharType="separate"/>
        </w:r>
        <w:r>
          <w:rPr>
            <w:webHidden/>
          </w:rPr>
          <w:t>90</w:t>
        </w:r>
        <w:r w:rsidR="004B5E3A" w:rsidRPr="00D51A68">
          <w:rPr>
            <w:webHidden/>
          </w:rPr>
          <w:fldChar w:fldCharType="end"/>
        </w:r>
      </w:hyperlink>
    </w:p>
    <w:p w:rsidR="004B5E3A" w:rsidRPr="00D51A68" w:rsidRDefault="00DB339B">
      <w:pPr>
        <w:pStyle w:val="TOC2"/>
        <w:rPr>
          <w:rFonts w:asciiTheme="minorHAnsi" w:eastAsiaTheme="minorEastAsia" w:hAnsiTheme="minorHAnsi" w:cstheme="minorBidi"/>
          <w:b w:val="0"/>
          <w:smallCaps w:val="0"/>
          <w:sz w:val="22"/>
          <w:lang w:eastAsia="en-GB" w:bidi="ar-SA"/>
        </w:rPr>
      </w:pPr>
      <w:hyperlink w:anchor="_Toc524096585" w:history="1">
        <w:r w:rsidR="004B5E3A" w:rsidRPr="00D51A68">
          <w:rPr>
            <w:rStyle w:val="Hyperlink"/>
            <w:rFonts w:ascii="Times New Roman" w:hAnsi="Times New Roman"/>
          </w:rPr>
          <w:t>3.2.5.</w:t>
        </w:r>
        <w:r w:rsidR="004B5E3A" w:rsidRPr="00D51A68">
          <w:rPr>
            <w:rFonts w:asciiTheme="minorHAnsi" w:eastAsiaTheme="minorEastAsia" w:hAnsiTheme="minorHAnsi" w:cstheme="minorBidi"/>
            <w:b w:val="0"/>
            <w:smallCaps w:val="0"/>
            <w:sz w:val="22"/>
            <w:lang w:eastAsia="en-GB" w:bidi="ar-SA"/>
          </w:rPr>
          <w:tab/>
        </w:r>
        <w:r w:rsidR="004B5E3A" w:rsidRPr="00D51A68">
          <w:rPr>
            <w:rStyle w:val="Hyperlink"/>
            <w:rFonts w:ascii="Times New Roman" w:hAnsi="Times New Roman"/>
          </w:rPr>
          <w:t>Istruzioni relative a posizioni specifiche</w:t>
        </w:r>
        <w:r w:rsidR="004B5E3A" w:rsidRPr="00D51A68">
          <w:rPr>
            <w:webHidden/>
          </w:rPr>
          <w:tab/>
        </w:r>
        <w:r w:rsidR="004B5E3A" w:rsidRPr="00D51A68">
          <w:rPr>
            <w:webHidden/>
          </w:rPr>
          <w:fldChar w:fldCharType="begin"/>
        </w:r>
        <w:r w:rsidR="004B5E3A" w:rsidRPr="00D51A68">
          <w:rPr>
            <w:webHidden/>
          </w:rPr>
          <w:instrText xml:space="preserve"> PAGEREF _Toc524096585 \h </w:instrText>
        </w:r>
        <w:r w:rsidR="004B5E3A" w:rsidRPr="00D51A68">
          <w:rPr>
            <w:webHidden/>
          </w:rPr>
        </w:r>
        <w:r w:rsidR="004B5E3A" w:rsidRPr="00D51A68">
          <w:rPr>
            <w:webHidden/>
          </w:rPr>
          <w:fldChar w:fldCharType="separate"/>
        </w:r>
        <w:r>
          <w:rPr>
            <w:webHidden/>
          </w:rPr>
          <w:t>91</w:t>
        </w:r>
        <w:r w:rsidR="004B5E3A" w:rsidRPr="00D51A68">
          <w:rPr>
            <w:webHidden/>
          </w:rPr>
          <w:fldChar w:fldCharType="end"/>
        </w:r>
      </w:hyperlink>
    </w:p>
    <w:p w:rsidR="004B5E3A" w:rsidRPr="00D51A68" w:rsidRDefault="00DB339B">
      <w:pPr>
        <w:pStyle w:val="TOC2"/>
        <w:rPr>
          <w:rFonts w:asciiTheme="minorHAnsi" w:eastAsiaTheme="minorEastAsia" w:hAnsiTheme="minorHAnsi" w:cstheme="minorBidi"/>
          <w:b w:val="0"/>
          <w:smallCaps w:val="0"/>
          <w:sz w:val="22"/>
          <w:lang w:eastAsia="en-GB" w:bidi="ar-SA"/>
        </w:rPr>
      </w:pPr>
      <w:hyperlink w:anchor="_Toc524096586" w:history="1">
        <w:r w:rsidR="004B5E3A" w:rsidRPr="00D51A68">
          <w:rPr>
            <w:rStyle w:val="Hyperlink"/>
            <w:rFonts w:ascii="Times New Roman" w:hAnsi="Times New Roman"/>
          </w:rPr>
          <w:t>3.3.</w:t>
        </w:r>
        <w:r w:rsidR="004B5E3A" w:rsidRPr="00D51A68">
          <w:rPr>
            <w:rFonts w:asciiTheme="minorHAnsi" w:eastAsiaTheme="minorEastAsia" w:hAnsiTheme="minorHAnsi" w:cstheme="minorBidi"/>
            <w:b w:val="0"/>
            <w:smallCaps w:val="0"/>
            <w:sz w:val="22"/>
            <w:lang w:eastAsia="en-GB" w:bidi="ar-SA"/>
          </w:rPr>
          <w:tab/>
        </w:r>
        <w:r w:rsidR="004B5E3A" w:rsidRPr="00D51A68">
          <w:rPr>
            <w:rStyle w:val="Hyperlink"/>
            <w:rFonts w:ascii="Times New Roman" w:hAnsi="Times New Roman"/>
          </w:rPr>
          <w:t>Rischio di credito e rischio di controparte e operazioni con regolamento non contestuale: metodo IRB applicato ai requisiti patrimoniali (CR IRB)</w:t>
        </w:r>
        <w:r w:rsidR="004B5E3A" w:rsidRPr="00D51A68">
          <w:rPr>
            <w:webHidden/>
          </w:rPr>
          <w:tab/>
        </w:r>
        <w:r w:rsidR="004B5E3A" w:rsidRPr="00D51A68">
          <w:rPr>
            <w:webHidden/>
          </w:rPr>
          <w:fldChar w:fldCharType="begin"/>
        </w:r>
        <w:r w:rsidR="004B5E3A" w:rsidRPr="00D51A68">
          <w:rPr>
            <w:webHidden/>
          </w:rPr>
          <w:instrText xml:space="preserve"> PAGEREF _Toc524096586 \h </w:instrText>
        </w:r>
        <w:r w:rsidR="004B5E3A" w:rsidRPr="00D51A68">
          <w:rPr>
            <w:webHidden/>
          </w:rPr>
        </w:r>
        <w:r w:rsidR="004B5E3A" w:rsidRPr="00D51A68">
          <w:rPr>
            <w:webHidden/>
          </w:rPr>
          <w:fldChar w:fldCharType="separate"/>
        </w:r>
        <w:r>
          <w:rPr>
            <w:webHidden/>
          </w:rPr>
          <w:t>99</w:t>
        </w:r>
        <w:r w:rsidR="004B5E3A" w:rsidRPr="00D51A68">
          <w:rPr>
            <w:webHidden/>
          </w:rPr>
          <w:fldChar w:fldCharType="end"/>
        </w:r>
      </w:hyperlink>
    </w:p>
    <w:p w:rsidR="004B5E3A" w:rsidRPr="00D51A68" w:rsidRDefault="00DB339B">
      <w:pPr>
        <w:pStyle w:val="TOC2"/>
        <w:rPr>
          <w:rFonts w:asciiTheme="minorHAnsi" w:eastAsiaTheme="minorEastAsia" w:hAnsiTheme="minorHAnsi" w:cstheme="minorBidi"/>
          <w:b w:val="0"/>
          <w:smallCaps w:val="0"/>
          <w:sz w:val="22"/>
          <w:lang w:eastAsia="en-GB" w:bidi="ar-SA"/>
        </w:rPr>
      </w:pPr>
      <w:hyperlink w:anchor="_Toc524096587" w:history="1">
        <w:r w:rsidR="004B5E3A" w:rsidRPr="00D51A68">
          <w:rPr>
            <w:rStyle w:val="Hyperlink"/>
            <w:rFonts w:ascii="Times New Roman" w:hAnsi="Times New Roman"/>
          </w:rPr>
          <w:t>3.3.1.</w:t>
        </w:r>
        <w:r w:rsidR="004B5E3A" w:rsidRPr="00D51A68">
          <w:rPr>
            <w:rFonts w:asciiTheme="minorHAnsi" w:eastAsiaTheme="minorEastAsia" w:hAnsiTheme="minorHAnsi" w:cstheme="minorBidi"/>
            <w:b w:val="0"/>
            <w:smallCaps w:val="0"/>
            <w:sz w:val="22"/>
            <w:lang w:eastAsia="en-GB" w:bidi="ar-SA"/>
          </w:rPr>
          <w:tab/>
        </w:r>
        <w:r w:rsidR="004B5E3A" w:rsidRPr="00D51A68">
          <w:rPr>
            <w:rStyle w:val="Hyperlink"/>
            <w:rFonts w:ascii="Times New Roman" w:hAnsi="Times New Roman"/>
          </w:rPr>
          <w:t>Ambito di applicazione del modello CR IRB</w:t>
        </w:r>
        <w:r w:rsidR="004B5E3A" w:rsidRPr="00D51A68">
          <w:rPr>
            <w:webHidden/>
          </w:rPr>
          <w:tab/>
        </w:r>
        <w:r w:rsidR="004B5E3A" w:rsidRPr="00D51A68">
          <w:rPr>
            <w:webHidden/>
          </w:rPr>
          <w:fldChar w:fldCharType="begin"/>
        </w:r>
        <w:r w:rsidR="004B5E3A" w:rsidRPr="00D51A68">
          <w:rPr>
            <w:webHidden/>
          </w:rPr>
          <w:instrText xml:space="preserve"> PAGEREF _Toc524096587 \h </w:instrText>
        </w:r>
        <w:r w:rsidR="004B5E3A" w:rsidRPr="00D51A68">
          <w:rPr>
            <w:webHidden/>
          </w:rPr>
        </w:r>
        <w:r w:rsidR="004B5E3A" w:rsidRPr="00D51A68">
          <w:rPr>
            <w:webHidden/>
          </w:rPr>
          <w:fldChar w:fldCharType="separate"/>
        </w:r>
        <w:r>
          <w:rPr>
            <w:webHidden/>
          </w:rPr>
          <w:t>99</w:t>
        </w:r>
        <w:r w:rsidR="004B5E3A" w:rsidRPr="00D51A68">
          <w:rPr>
            <w:webHidden/>
          </w:rPr>
          <w:fldChar w:fldCharType="end"/>
        </w:r>
      </w:hyperlink>
    </w:p>
    <w:p w:rsidR="004B5E3A" w:rsidRPr="00D51A68" w:rsidRDefault="00DB339B">
      <w:pPr>
        <w:pStyle w:val="TOC2"/>
        <w:rPr>
          <w:rFonts w:asciiTheme="minorHAnsi" w:eastAsiaTheme="minorEastAsia" w:hAnsiTheme="minorHAnsi" w:cstheme="minorBidi"/>
          <w:b w:val="0"/>
          <w:smallCaps w:val="0"/>
          <w:sz w:val="22"/>
          <w:lang w:eastAsia="en-GB" w:bidi="ar-SA"/>
        </w:rPr>
      </w:pPr>
      <w:hyperlink w:anchor="_Toc524096588" w:history="1">
        <w:r w:rsidR="004B5E3A" w:rsidRPr="00D51A68">
          <w:rPr>
            <w:rStyle w:val="Hyperlink"/>
            <w:rFonts w:ascii="Times New Roman" w:hAnsi="Times New Roman"/>
          </w:rPr>
          <w:t>3.3.2.</w:t>
        </w:r>
        <w:r w:rsidR="004B5E3A" w:rsidRPr="00D51A68">
          <w:rPr>
            <w:rFonts w:asciiTheme="minorHAnsi" w:eastAsiaTheme="minorEastAsia" w:hAnsiTheme="minorHAnsi" w:cstheme="minorBidi"/>
            <w:b w:val="0"/>
            <w:smallCaps w:val="0"/>
            <w:sz w:val="22"/>
            <w:lang w:eastAsia="en-GB" w:bidi="ar-SA"/>
          </w:rPr>
          <w:tab/>
        </w:r>
        <w:r w:rsidR="004B5E3A" w:rsidRPr="00D51A68">
          <w:rPr>
            <w:rStyle w:val="Hyperlink"/>
            <w:rFonts w:ascii="Times New Roman" w:hAnsi="Times New Roman"/>
          </w:rPr>
          <w:t>Ripartizione del modello CR IRB</w:t>
        </w:r>
        <w:r w:rsidR="004B5E3A" w:rsidRPr="00D51A68">
          <w:rPr>
            <w:webHidden/>
          </w:rPr>
          <w:tab/>
        </w:r>
        <w:r w:rsidR="004B5E3A" w:rsidRPr="00D51A68">
          <w:rPr>
            <w:webHidden/>
          </w:rPr>
          <w:fldChar w:fldCharType="begin"/>
        </w:r>
        <w:r w:rsidR="004B5E3A" w:rsidRPr="00D51A68">
          <w:rPr>
            <w:webHidden/>
          </w:rPr>
          <w:instrText xml:space="preserve"> PAGEREF _Toc524096588 \h </w:instrText>
        </w:r>
        <w:r w:rsidR="004B5E3A" w:rsidRPr="00D51A68">
          <w:rPr>
            <w:webHidden/>
          </w:rPr>
        </w:r>
        <w:r w:rsidR="004B5E3A" w:rsidRPr="00D51A68">
          <w:rPr>
            <w:webHidden/>
          </w:rPr>
          <w:fldChar w:fldCharType="separate"/>
        </w:r>
        <w:r>
          <w:rPr>
            <w:webHidden/>
          </w:rPr>
          <w:t>100</w:t>
        </w:r>
        <w:r w:rsidR="004B5E3A" w:rsidRPr="00D51A68">
          <w:rPr>
            <w:webHidden/>
          </w:rPr>
          <w:fldChar w:fldCharType="end"/>
        </w:r>
      </w:hyperlink>
    </w:p>
    <w:p w:rsidR="004B5E3A" w:rsidRPr="00D51A68" w:rsidRDefault="00DB339B">
      <w:pPr>
        <w:pStyle w:val="TOC2"/>
        <w:rPr>
          <w:rFonts w:asciiTheme="minorHAnsi" w:eastAsiaTheme="minorEastAsia" w:hAnsiTheme="minorHAnsi" w:cstheme="minorBidi"/>
          <w:b w:val="0"/>
          <w:smallCaps w:val="0"/>
          <w:sz w:val="22"/>
          <w:lang w:eastAsia="en-GB" w:bidi="ar-SA"/>
        </w:rPr>
      </w:pPr>
      <w:hyperlink w:anchor="_Toc524096589" w:history="1">
        <w:r w:rsidR="004B5E3A" w:rsidRPr="00D51A68">
          <w:rPr>
            <w:rStyle w:val="Hyperlink"/>
            <w:rFonts w:ascii="Times New Roman" w:hAnsi="Times New Roman"/>
          </w:rPr>
          <w:t>3.3.3.</w:t>
        </w:r>
        <w:r w:rsidR="004B5E3A" w:rsidRPr="00D51A68">
          <w:rPr>
            <w:rFonts w:asciiTheme="minorHAnsi" w:eastAsiaTheme="minorEastAsia" w:hAnsiTheme="minorHAnsi" w:cstheme="minorBidi"/>
            <w:b w:val="0"/>
            <w:smallCaps w:val="0"/>
            <w:sz w:val="22"/>
            <w:lang w:eastAsia="en-GB" w:bidi="ar-SA"/>
          </w:rPr>
          <w:tab/>
        </w:r>
        <w:r w:rsidR="004B5E3A" w:rsidRPr="00D51A68">
          <w:rPr>
            <w:rStyle w:val="Hyperlink"/>
            <w:rFonts w:ascii="Times New Roman" w:hAnsi="Times New Roman"/>
          </w:rPr>
          <w:t>C 08.01 — Rischio di credito e rischio di controparte e operazioni con regolamento non contestuale: metodo IRB applicato ai requisiti patrimoniali (CR IRB 1)</w:t>
        </w:r>
        <w:r w:rsidR="004B5E3A" w:rsidRPr="00D51A68">
          <w:rPr>
            <w:webHidden/>
          </w:rPr>
          <w:tab/>
        </w:r>
        <w:r w:rsidR="004B5E3A" w:rsidRPr="00D51A68">
          <w:rPr>
            <w:webHidden/>
          </w:rPr>
          <w:fldChar w:fldCharType="begin"/>
        </w:r>
        <w:r w:rsidR="004B5E3A" w:rsidRPr="00D51A68">
          <w:rPr>
            <w:webHidden/>
          </w:rPr>
          <w:instrText xml:space="preserve"> PAGEREF _Toc524096589 \h </w:instrText>
        </w:r>
        <w:r w:rsidR="004B5E3A" w:rsidRPr="00D51A68">
          <w:rPr>
            <w:webHidden/>
          </w:rPr>
        </w:r>
        <w:r w:rsidR="004B5E3A" w:rsidRPr="00D51A68">
          <w:rPr>
            <w:webHidden/>
          </w:rPr>
          <w:fldChar w:fldCharType="separate"/>
        </w:r>
        <w:r>
          <w:rPr>
            <w:webHidden/>
          </w:rPr>
          <w:t>101</w:t>
        </w:r>
        <w:r w:rsidR="004B5E3A" w:rsidRPr="00D51A68">
          <w:rPr>
            <w:webHidden/>
          </w:rPr>
          <w:fldChar w:fldCharType="end"/>
        </w:r>
      </w:hyperlink>
    </w:p>
    <w:p w:rsidR="004B5E3A" w:rsidRPr="00D51A68" w:rsidRDefault="00DB339B">
      <w:pPr>
        <w:pStyle w:val="TOC2"/>
        <w:rPr>
          <w:rFonts w:asciiTheme="minorHAnsi" w:eastAsiaTheme="minorEastAsia" w:hAnsiTheme="minorHAnsi" w:cstheme="minorBidi"/>
          <w:b w:val="0"/>
          <w:smallCaps w:val="0"/>
          <w:sz w:val="22"/>
          <w:lang w:eastAsia="en-GB" w:bidi="ar-SA"/>
        </w:rPr>
      </w:pPr>
      <w:hyperlink w:anchor="_Toc524096590" w:history="1">
        <w:r w:rsidR="004B5E3A" w:rsidRPr="00D51A68">
          <w:rPr>
            <w:rStyle w:val="Hyperlink"/>
            <w:rFonts w:ascii="Times New Roman" w:hAnsi="Times New Roman"/>
          </w:rPr>
          <w:t>3.3.3.1</w:t>
        </w:r>
        <w:r w:rsidR="004B5E3A" w:rsidRPr="00D51A68">
          <w:rPr>
            <w:rFonts w:asciiTheme="minorHAnsi" w:eastAsiaTheme="minorEastAsia" w:hAnsiTheme="minorHAnsi" w:cstheme="minorBidi"/>
            <w:b w:val="0"/>
            <w:smallCaps w:val="0"/>
            <w:sz w:val="22"/>
            <w:lang w:eastAsia="en-GB" w:bidi="ar-SA"/>
          </w:rPr>
          <w:tab/>
        </w:r>
        <w:r w:rsidR="004B5E3A" w:rsidRPr="00D51A68">
          <w:rPr>
            <w:rStyle w:val="Hyperlink"/>
            <w:rFonts w:ascii="Times New Roman" w:hAnsi="Times New Roman"/>
          </w:rPr>
          <w:t>Istruzioni relative a posizioni specifiche</w:t>
        </w:r>
        <w:r w:rsidR="004B5E3A" w:rsidRPr="00D51A68">
          <w:rPr>
            <w:webHidden/>
          </w:rPr>
          <w:tab/>
        </w:r>
        <w:r w:rsidR="004B5E3A" w:rsidRPr="00D51A68">
          <w:rPr>
            <w:webHidden/>
          </w:rPr>
          <w:fldChar w:fldCharType="begin"/>
        </w:r>
        <w:r w:rsidR="004B5E3A" w:rsidRPr="00D51A68">
          <w:rPr>
            <w:webHidden/>
          </w:rPr>
          <w:instrText xml:space="preserve"> PAGEREF _Toc524096590 \h </w:instrText>
        </w:r>
        <w:r w:rsidR="004B5E3A" w:rsidRPr="00D51A68">
          <w:rPr>
            <w:webHidden/>
          </w:rPr>
        </w:r>
        <w:r w:rsidR="004B5E3A" w:rsidRPr="00D51A68">
          <w:rPr>
            <w:webHidden/>
          </w:rPr>
          <w:fldChar w:fldCharType="separate"/>
        </w:r>
        <w:r>
          <w:rPr>
            <w:webHidden/>
          </w:rPr>
          <w:t>101</w:t>
        </w:r>
        <w:r w:rsidR="004B5E3A" w:rsidRPr="00D51A68">
          <w:rPr>
            <w:webHidden/>
          </w:rPr>
          <w:fldChar w:fldCharType="end"/>
        </w:r>
      </w:hyperlink>
    </w:p>
    <w:p w:rsidR="004B5E3A" w:rsidRPr="00D51A68" w:rsidRDefault="00DB339B">
      <w:pPr>
        <w:pStyle w:val="TOC2"/>
        <w:rPr>
          <w:rFonts w:asciiTheme="minorHAnsi" w:eastAsiaTheme="minorEastAsia" w:hAnsiTheme="minorHAnsi" w:cstheme="minorBidi"/>
          <w:b w:val="0"/>
          <w:smallCaps w:val="0"/>
          <w:sz w:val="22"/>
          <w:lang w:eastAsia="en-GB" w:bidi="ar-SA"/>
        </w:rPr>
      </w:pPr>
      <w:hyperlink w:anchor="_Toc524096591" w:history="1">
        <w:r w:rsidR="004B5E3A" w:rsidRPr="00D51A68">
          <w:rPr>
            <w:rStyle w:val="Hyperlink"/>
            <w:rFonts w:ascii="Times New Roman" w:hAnsi="Times New Roman"/>
          </w:rPr>
          <w:t>3.3.4.</w:t>
        </w:r>
        <w:r w:rsidR="004B5E3A" w:rsidRPr="00D51A68">
          <w:rPr>
            <w:rFonts w:asciiTheme="minorHAnsi" w:eastAsiaTheme="minorEastAsia" w:hAnsiTheme="minorHAnsi" w:cstheme="minorBidi"/>
            <w:b w:val="0"/>
            <w:smallCaps w:val="0"/>
            <w:sz w:val="22"/>
            <w:lang w:eastAsia="en-GB" w:bidi="ar-SA"/>
          </w:rPr>
          <w:tab/>
        </w:r>
        <w:r w:rsidR="004B5E3A" w:rsidRPr="00D51A68">
          <w:rPr>
            <w:rStyle w:val="Hyperlink"/>
            <w:rFonts w:ascii="Times New Roman" w:hAnsi="Times New Roman"/>
          </w:rPr>
          <w:t>C 08.02 — Rischio di credito e rischio di controparte e operazioni con regolamento non contestuale: metodo IRB applicato ai requisiti patrimoniali — ripartizione per classe o pool di debitori (modello CR IRB 2)</w:t>
        </w:r>
        <w:r w:rsidR="004B5E3A" w:rsidRPr="00D51A68">
          <w:rPr>
            <w:webHidden/>
          </w:rPr>
          <w:tab/>
        </w:r>
        <w:r w:rsidR="004B5E3A" w:rsidRPr="00D51A68">
          <w:rPr>
            <w:webHidden/>
          </w:rPr>
          <w:fldChar w:fldCharType="begin"/>
        </w:r>
        <w:r w:rsidR="004B5E3A" w:rsidRPr="00D51A68">
          <w:rPr>
            <w:webHidden/>
          </w:rPr>
          <w:instrText xml:space="preserve"> PAGEREF _Toc524096591 \h </w:instrText>
        </w:r>
        <w:r w:rsidR="004B5E3A" w:rsidRPr="00D51A68">
          <w:rPr>
            <w:webHidden/>
          </w:rPr>
        </w:r>
        <w:r w:rsidR="004B5E3A" w:rsidRPr="00D51A68">
          <w:rPr>
            <w:webHidden/>
          </w:rPr>
          <w:fldChar w:fldCharType="separate"/>
        </w:r>
        <w:r>
          <w:rPr>
            <w:webHidden/>
          </w:rPr>
          <w:t>110</w:t>
        </w:r>
        <w:r w:rsidR="004B5E3A" w:rsidRPr="00D51A68">
          <w:rPr>
            <w:webHidden/>
          </w:rPr>
          <w:fldChar w:fldCharType="end"/>
        </w:r>
      </w:hyperlink>
    </w:p>
    <w:p w:rsidR="004B5E3A" w:rsidRPr="00D51A68" w:rsidRDefault="00DB339B">
      <w:pPr>
        <w:pStyle w:val="TOC2"/>
        <w:rPr>
          <w:rFonts w:asciiTheme="minorHAnsi" w:eastAsiaTheme="minorEastAsia" w:hAnsiTheme="minorHAnsi" w:cstheme="minorBidi"/>
          <w:b w:val="0"/>
          <w:smallCaps w:val="0"/>
          <w:sz w:val="22"/>
          <w:lang w:eastAsia="en-GB" w:bidi="ar-SA"/>
        </w:rPr>
      </w:pPr>
      <w:hyperlink w:anchor="_Toc524096592" w:history="1">
        <w:r w:rsidR="004B5E3A" w:rsidRPr="00D51A68">
          <w:rPr>
            <w:rStyle w:val="Hyperlink"/>
            <w:rFonts w:ascii="Times New Roman" w:hAnsi="Times New Roman"/>
          </w:rPr>
          <w:t>3.4.</w:t>
        </w:r>
        <w:r w:rsidR="004B5E3A" w:rsidRPr="00D51A68">
          <w:rPr>
            <w:rFonts w:asciiTheme="minorHAnsi" w:eastAsiaTheme="minorEastAsia" w:hAnsiTheme="minorHAnsi" w:cstheme="minorBidi"/>
            <w:b w:val="0"/>
            <w:smallCaps w:val="0"/>
            <w:sz w:val="22"/>
            <w:lang w:eastAsia="en-GB" w:bidi="ar-SA"/>
          </w:rPr>
          <w:tab/>
        </w:r>
        <w:r w:rsidR="004B5E3A" w:rsidRPr="00D51A68">
          <w:rPr>
            <w:rStyle w:val="Hyperlink"/>
            <w:rFonts w:ascii="Times New Roman" w:hAnsi="Times New Roman"/>
          </w:rPr>
          <w:t>Rischio di credito e rischio di controparte e operazioni con regolamento non contestuale: informazioni ripartite geograficamente</w:t>
        </w:r>
        <w:r w:rsidR="004B5E3A" w:rsidRPr="00D51A68">
          <w:rPr>
            <w:webHidden/>
          </w:rPr>
          <w:tab/>
        </w:r>
        <w:r w:rsidR="004B5E3A" w:rsidRPr="00D51A68">
          <w:rPr>
            <w:webHidden/>
          </w:rPr>
          <w:fldChar w:fldCharType="begin"/>
        </w:r>
        <w:r w:rsidR="004B5E3A" w:rsidRPr="00D51A68">
          <w:rPr>
            <w:webHidden/>
          </w:rPr>
          <w:instrText xml:space="preserve"> PAGEREF _Toc524096592 \h </w:instrText>
        </w:r>
        <w:r w:rsidR="004B5E3A" w:rsidRPr="00D51A68">
          <w:rPr>
            <w:webHidden/>
          </w:rPr>
        </w:r>
        <w:r w:rsidR="004B5E3A" w:rsidRPr="00D51A68">
          <w:rPr>
            <w:webHidden/>
          </w:rPr>
          <w:fldChar w:fldCharType="separate"/>
        </w:r>
        <w:r>
          <w:rPr>
            <w:webHidden/>
          </w:rPr>
          <w:t>111</w:t>
        </w:r>
        <w:r w:rsidR="004B5E3A" w:rsidRPr="00D51A68">
          <w:rPr>
            <w:webHidden/>
          </w:rPr>
          <w:fldChar w:fldCharType="end"/>
        </w:r>
      </w:hyperlink>
    </w:p>
    <w:p w:rsidR="004B5E3A" w:rsidRPr="00D51A68" w:rsidRDefault="00DB339B">
      <w:pPr>
        <w:pStyle w:val="TOC2"/>
        <w:rPr>
          <w:rFonts w:asciiTheme="minorHAnsi" w:eastAsiaTheme="minorEastAsia" w:hAnsiTheme="minorHAnsi" w:cstheme="minorBidi"/>
          <w:b w:val="0"/>
          <w:smallCaps w:val="0"/>
          <w:sz w:val="22"/>
          <w:lang w:eastAsia="en-GB" w:bidi="ar-SA"/>
        </w:rPr>
      </w:pPr>
      <w:hyperlink w:anchor="_Toc524096593" w:history="1">
        <w:r w:rsidR="004B5E3A" w:rsidRPr="00D51A68">
          <w:rPr>
            <w:rStyle w:val="Hyperlink"/>
            <w:rFonts w:ascii="Times New Roman" w:hAnsi="Times New Roman"/>
          </w:rPr>
          <w:t>3.4.1.</w:t>
        </w:r>
        <w:r w:rsidR="004B5E3A" w:rsidRPr="00D51A68">
          <w:rPr>
            <w:rFonts w:asciiTheme="minorHAnsi" w:eastAsiaTheme="minorEastAsia" w:hAnsiTheme="minorHAnsi" w:cstheme="minorBidi"/>
            <w:b w:val="0"/>
            <w:smallCaps w:val="0"/>
            <w:sz w:val="22"/>
            <w:lang w:eastAsia="en-GB" w:bidi="ar-SA"/>
          </w:rPr>
          <w:tab/>
        </w:r>
        <w:r w:rsidR="004B5E3A" w:rsidRPr="00D51A68">
          <w:rPr>
            <w:rStyle w:val="Hyperlink"/>
            <w:rFonts w:ascii="Times New Roman" w:hAnsi="Times New Roman"/>
          </w:rPr>
          <w:t>C 09.01 — Ripartizione geografica delle esposizioni per residenza del debitore: esposizioni in base al metodo standardizzato (CR GB 1)</w:t>
        </w:r>
        <w:r w:rsidR="004B5E3A" w:rsidRPr="00D51A68">
          <w:rPr>
            <w:webHidden/>
          </w:rPr>
          <w:tab/>
        </w:r>
        <w:r w:rsidR="004B5E3A" w:rsidRPr="00D51A68">
          <w:rPr>
            <w:webHidden/>
          </w:rPr>
          <w:fldChar w:fldCharType="begin"/>
        </w:r>
        <w:r w:rsidR="004B5E3A" w:rsidRPr="00D51A68">
          <w:rPr>
            <w:webHidden/>
          </w:rPr>
          <w:instrText xml:space="preserve"> PAGEREF _Toc524096593 \h </w:instrText>
        </w:r>
        <w:r w:rsidR="004B5E3A" w:rsidRPr="00D51A68">
          <w:rPr>
            <w:webHidden/>
          </w:rPr>
        </w:r>
        <w:r w:rsidR="004B5E3A" w:rsidRPr="00D51A68">
          <w:rPr>
            <w:webHidden/>
          </w:rPr>
          <w:fldChar w:fldCharType="separate"/>
        </w:r>
        <w:r>
          <w:rPr>
            <w:webHidden/>
          </w:rPr>
          <w:t>111</w:t>
        </w:r>
        <w:r w:rsidR="004B5E3A" w:rsidRPr="00D51A68">
          <w:rPr>
            <w:webHidden/>
          </w:rPr>
          <w:fldChar w:fldCharType="end"/>
        </w:r>
      </w:hyperlink>
    </w:p>
    <w:p w:rsidR="004B5E3A" w:rsidRPr="00D51A68" w:rsidRDefault="00DB339B">
      <w:pPr>
        <w:pStyle w:val="TOC2"/>
        <w:rPr>
          <w:rFonts w:asciiTheme="minorHAnsi" w:eastAsiaTheme="minorEastAsia" w:hAnsiTheme="minorHAnsi" w:cstheme="minorBidi"/>
          <w:b w:val="0"/>
          <w:smallCaps w:val="0"/>
          <w:sz w:val="22"/>
          <w:lang w:eastAsia="en-GB" w:bidi="ar-SA"/>
        </w:rPr>
      </w:pPr>
      <w:hyperlink w:anchor="_Toc524096594" w:history="1">
        <w:r w:rsidR="004B5E3A" w:rsidRPr="00D51A68">
          <w:rPr>
            <w:rStyle w:val="Hyperlink"/>
            <w:rFonts w:ascii="Times New Roman" w:hAnsi="Times New Roman"/>
          </w:rPr>
          <w:t>3.4.1.1.</w:t>
        </w:r>
        <w:r w:rsidR="004B5E3A" w:rsidRPr="00D51A68">
          <w:rPr>
            <w:rFonts w:asciiTheme="minorHAnsi" w:eastAsiaTheme="minorEastAsia" w:hAnsiTheme="minorHAnsi" w:cstheme="minorBidi"/>
            <w:b w:val="0"/>
            <w:smallCaps w:val="0"/>
            <w:sz w:val="22"/>
            <w:lang w:eastAsia="en-GB" w:bidi="ar-SA"/>
          </w:rPr>
          <w:tab/>
        </w:r>
        <w:r w:rsidR="004B5E3A" w:rsidRPr="00D51A68">
          <w:rPr>
            <w:rStyle w:val="Hyperlink"/>
            <w:rFonts w:ascii="Times New Roman" w:hAnsi="Times New Roman"/>
          </w:rPr>
          <w:t>Istruzioni relative a posizioni specifiche</w:t>
        </w:r>
        <w:r w:rsidR="004B5E3A" w:rsidRPr="00D51A68">
          <w:rPr>
            <w:webHidden/>
          </w:rPr>
          <w:tab/>
        </w:r>
        <w:r w:rsidR="004B5E3A" w:rsidRPr="00D51A68">
          <w:rPr>
            <w:webHidden/>
          </w:rPr>
          <w:fldChar w:fldCharType="begin"/>
        </w:r>
        <w:r w:rsidR="004B5E3A" w:rsidRPr="00D51A68">
          <w:rPr>
            <w:webHidden/>
          </w:rPr>
          <w:instrText xml:space="preserve"> PAGEREF _Toc524096594 \h </w:instrText>
        </w:r>
        <w:r w:rsidR="004B5E3A" w:rsidRPr="00D51A68">
          <w:rPr>
            <w:webHidden/>
          </w:rPr>
        </w:r>
        <w:r w:rsidR="004B5E3A" w:rsidRPr="00D51A68">
          <w:rPr>
            <w:webHidden/>
          </w:rPr>
          <w:fldChar w:fldCharType="separate"/>
        </w:r>
        <w:r>
          <w:rPr>
            <w:webHidden/>
          </w:rPr>
          <w:t>111</w:t>
        </w:r>
        <w:r w:rsidR="004B5E3A" w:rsidRPr="00D51A68">
          <w:rPr>
            <w:webHidden/>
          </w:rPr>
          <w:fldChar w:fldCharType="end"/>
        </w:r>
      </w:hyperlink>
    </w:p>
    <w:p w:rsidR="004B5E3A" w:rsidRPr="00D51A68" w:rsidRDefault="00DB339B">
      <w:pPr>
        <w:pStyle w:val="TOC2"/>
        <w:rPr>
          <w:rFonts w:asciiTheme="minorHAnsi" w:eastAsiaTheme="minorEastAsia" w:hAnsiTheme="minorHAnsi" w:cstheme="minorBidi"/>
          <w:b w:val="0"/>
          <w:smallCaps w:val="0"/>
          <w:sz w:val="22"/>
          <w:lang w:eastAsia="en-GB" w:bidi="ar-SA"/>
        </w:rPr>
      </w:pPr>
      <w:hyperlink w:anchor="_Toc524096595" w:history="1">
        <w:r w:rsidR="004B5E3A" w:rsidRPr="00D51A68">
          <w:rPr>
            <w:rStyle w:val="Hyperlink"/>
            <w:rFonts w:ascii="Times New Roman" w:hAnsi="Times New Roman"/>
          </w:rPr>
          <w:t>3.4.2.</w:t>
        </w:r>
        <w:r w:rsidR="004B5E3A" w:rsidRPr="00D51A68">
          <w:rPr>
            <w:rFonts w:asciiTheme="minorHAnsi" w:eastAsiaTheme="minorEastAsia" w:hAnsiTheme="minorHAnsi" w:cstheme="minorBidi"/>
            <w:b w:val="0"/>
            <w:smallCaps w:val="0"/>
            <w:sz w:val="22"/>
            <w:lang w:eastAsia="en-GB" w:bidi="ar-SA"/>
          </w:rPr>
          <w:tab/>
        </w:r>
        <w:r w:rsidR="004B5E3A" w:rsidRPr="00D51A68">
          <w:rPr>
            <w:rStyle w:val="Hyperlink"/>
            <w:rFonts w:ascii="Times New Roman" w:hAnsi="Times New Roman"/>
          </w:rPr>
          <w:t>C 09.02 — Ripartizione geografica delle esposizioni per residenza del debitore: esposizioni in base al metodo IRB (CR GB 2)</w:t>
        </w:r>
        <w:r w:rsidR="004B5E3A" w:rsidRPr="00D51A68">
          <w:rPr>
            <w:webHidden/>
          </w:rPr>
          <w:tab/>
        </w:r>
        <w:r w:rsidR="004B5E3A" w:rsidRPr="00D51A68">
          <w:rPr>
            <w:webHidden/>
          </w:rPr>
          <w:fldChar w:fldCharType="begin"/>
        </w:r>
        <w:r w:rsidR="004B5E3A" w:rsidRPr="00D51A68">
          <w:rPr>
            <w:webHidden/>
          </w:rPr>
          <w:instrText xml:space="preserve"> PAGEREF _Toc524096595 \h </w:instrText>
        </w:r>
        <w:r w:rsidR="004B5E3A" w:rsidRPr="00D51A68">
          <w:rPr>
            <w:webHidden/>
          </w:rPr>
        </w:r>
        <w:r w:rsidR="004B5E3A" w:rsidRPr="00D51A68">
          <w:rPr>
            <w:webHidden/>
          </w:rPr>
          <w:fldChar w:fldCharType="separate"/>
        </w:r>
        <w:r>
          <w:rPr>
            <w:webHidden/>
          </w:rPr>
          <w:t>114</w:t>
        </w:r>
        <w:r w:rsidR="004B5E3A" w:rsidRPr="00D51A68">
          <w:rPr>
            <w:webHidden/>
          </w:rPr>
          <w:fldChar w:fldCharType="end"/>
        </w:r>
      </w:hyperlink>
    </w:p>
    <w:p w:rsidR="004B5E3A" w:rsidRPr="00D51A68" w:rsidRDefault="00DB339B">
      <w:pPr>
        <w:pStyle w:val="TOC2"/>
        <w:rPr>
          <w:rFonts w:asciiTheme="minorHAnsi" w:eastAsiaTheme="minorEastAsia" w:hAnsiTheme="minorHAnsi" w:cstheme="minorBidi"/>
          <w:b w:val="0"/>
          <w:smallCaps w:val="0"/>
          <w:sz w:val="22"/>
          <w:lang w:eastAsia="en-GB" w:bidi="ar-SA"/>
        </w:rPr>
      </w:pPr>
      <w:hyperlink w:anchor="_Toc524096596" w:history="1">
        <w:r w:rsidR="004B5E3A" w:rsidRPr="00D51A68">
          <w:rPr>
            <w:rStyle w:val="Hyperlink"/>
            <w:rFonts w:ascii="Times New Roman" w:hAnsi="Times New Roman"/>
          </w:rPr>
          <w:t>3.4.2.1.</w:t>
        </w:r>
        <w:r w:rsidR="004B5E3A" w:rsidRPr="00D51A68">
          <w:rPr>
            <w:rFonts w:asciiTheme="minorHAnsi" w:eastAsiaTheme="minorEastAsia" w:hAnsiTheme="minorHAnsi" w:cstheme="minorBidi"/>
            <w:b w:val="0"/>
            <w:smallCaps w:val="0"/>
            <w:sz w:val="22"/>
            <w:lang w:eastAsia="en-GB" w:bidi="ar-SA"/>
          </w:rPr>
          <w:tab/>
        </w:r>
        <w:r w:rsidR="004B5E3A" w:rsidRPr="00D51A68">
          <w:rPr>
            <w:rStyle w:val="Hyperlink"/>
            <w:rFonts w:ascii="Times New Roman" w:hAnsi="Times New Roman"/>
          </w:rPr>
          <w:t>Istruzioni relative a posizioni specifiche</w:t>
        </w:r>
        <w:r w:rsidR="004B5E3A" w:rsidRPr="00D51A68">
          <w:rPr>
            <w:webHidden/>
          </w:rPr>
          <w:tab/>
        </w:r>
        <w:r w:rsidR="004B5E3A" w:rsidRPr="00D51A68">
          <w:rPr>
            <w:webHidden/>
          </w:rPr>
          <w:fldChar w:fldCharType="begin"/>
        </w:r>
        <w:r w:rsidR="004B5E3A" w:rsidRPr="00D51A68">
          <w:rPr>
            <w:webHidden/>
          </w:rPr>
          <w:instrText xml:space="preserve"> PAGEREF _Toc524096596 \h </w:instrText>
        </w:r>
        <w:r w:rsidR="004B5E3A" w:rsidRPr="00D51A68">
          <w:rPr>
            <w:webHidden/>
          </w:rPr>
        </w:r>
        <w:r w:rsidR="004B5E3A" w:rsidRPr="00D51A68">
          <w:rPr>
            <w:webHidden/>
          </w:rPr>
          <w:fldChar w:fldCharType="separate"/>
        </w:r>
        <w:r>
          <w:rPr>
            <w:webHidden/>
          </w:rPr>
          <w:t>114</w:t>
        </w:r>
        <w:r w:rsidR="004B5E3A" w:rsidRPr="00D51A68">
          <w:rPr>
            <w:webHidden/>
          </w:rPr>
          <w:fldChar w:fldCharType="end"/>
        </w:r>
      </w:hyperlink>
    </w:p>
    <w:p w:rsidR="004B5E3A" w:rsidRPr="00D51A68" w:rsidRDefault="00DB339B">
      <w:pPr>
        <w:pStyle w:val="TOC2"/>
        <w:rPr>
          <w:rFonts w:asciiTheme="minorHAnsi" w:eastAsiaTheme="minorEastAsia" w:hAnsiTheme="minorHAnsi" w:cstheme="minorBidi"/>
          <w:b w:val="0"/>
          <w:smallCaps w:val="0"/>
          <w:sz w:val="22"/>
          <w:lang w:eastAsia="en-GB" w:bidi="ar-SA"/>
        </w:rPr>
      </w:pPr>
      <w:hyperlink w:anchor="_Toc524096597" w:history="1">
        <w:r w:rsidR="004B5E3A" w:rsidRPr="00D51A68">
          <w:rPr>
            <w:rStyle w:val="Hyperlink"/>
            <w:rFonts w:ascii="Times New Roman" w:hAnsi="Times New Roman"/>
          </w:rPr>
          <w:t>3.4.3.</w:t>
        </w:r>
        <w:r w:rsidR="004B5E3A" w:rsidRPr="00D51A68">
          <w:rPr>
            <w:rFonts w:asciiTheme="minorHAnsi" w:eastAsiaTheme="minorEastAsia" w:hAnsiTheme="minorHAnsi" w:cstheme="minorBidi"/>
            <w:b w:val="0"/>
            <w:smallCaps w:val="0"/>
            <w:sz w:val="22"/>
            <w:lang w:eastAsia="en-GB" w:bidi="ar-SA"/>
          </w:rPr>
          <w:tab/>
        </w:r>
        <w:r w:rsidR="004B5E3A" w:rsidRPr="00D51A68">
          <w:rPr>
            <w:rStyle w:val="Hyperlink"/>
            <w:rFonts w:ascii="Times New Roman" w:hAnsi="Times New Roman"/>
          </w:rPr>
          <w:t>C 09.04 — Ripartizione delle esposizioni creditizie rilevanti ai fini del calcolo della riserva di capitale anticiclica per paese e del coefficiente anticiclico specifico dell’ente (CCB)</w:t>
        </w:r>
        <w:r w:rsidR="004B5E3A" w:rsidRPr="00D51A68">
          <w:rPr>
            <w:webHidden/>
          </w:rPr>
          <w:tab/>
        </w:r>
        <w:r w:rsidR="004B5E3A" w:rsidRPr="00D51A68">
          <w:rPr>
            <w:webHidden/>
          </w:rPr>
          <w:fldChar w:fldCharType="begin"/>
        </w:r>
        <w:r w:rsidR="004B5E3A" w:rsidRPr="00D51A68">
          <w:rPr>
            <w:webHidden/>
          </w:rPr>
          <w:instrText xml:space="preserve"> PAGEREF _Toc524096597 \h </w:instrText>
        </w:r>
        <w:r w:rsidR="004B5E3A" w:rsidRPr="00D51A68">
          <w:rPr>
            <w:webHidden/>
          </w:rPr>
        </w:r>
        <w:r w:rsidR="004B5E3A" w:rsidRPr="00D51A68">
          <w:rPr>
            <w:webHidden/>
          </w:rPr>
          <w:fldChar w:fldCharType="separate"/>
        </w:r>
        <w:r>
          <w:rPr>
            <w:webHidden/>
          </w:rPr>
          <w:t>117</w:t>
        </w:r>
        <w:r w:rsidR="004B5E3A" w:rsidRPr="00D51A68">
          <w:rPr>
            <w:webHidden/>
          </w:rPr>
          <w:fldChar w:fldCharType="end"/>
        </w:r>
      </w:hyperlink>
    </w:p>
    <w:p w:rsidR="004B5E3A" w:rsidRPr="00D51A68" w:rsidRDefault="00DB339B">
      <w:pPr>
        <w:pStyle w:val="TOC2"/>
        <w:rPr>
          <w:rFonts w:asciiTheme="minorHAnsi" w:eastAsiaTheme="minorEastAsia" w:hAnsiTheme="minorHAnsi" w:cstheme="minorBidi"/>
          <w:b w:val="0"/>
          <w:smallCaps w:val="0"/>
          <w:sz w:val="22"/>
          <w:lang w:eastAsia="en-GB" w:bidi="ar-SA"/>
        </w:rPr>
      </w:pPr>
      <w:hyperlink w:anchor="_Toc524096598" w:history="1">
        <w:r w:rsidR="004B5E3A" w:rsidRPr="00D51A68">
          <w:rPr>
            <w:rStyle w:val="Hyperlink"/>
            <w:rFonts w:ascii="Times New Roman" w:hAnsi="Times New Roman"/>
          </w:rPr>
          <w:t>3.4.3.1.</w:t>
        </w:r>
        <w:r w:rsidR="004B5E3A" w:rsidRPr="00D51A68">
          <w:rPr>
            <w:rFonts w:asciiTheme="minorHAnsi" w:eastAsiaTheme="minorEastAsia" w:hAnsiTheme="minorHAnsi" w:cstheme="minorBidi"/>
            <w:b w:val="0"/>
            <w:smallCaps w:val="0"/>
            <w:sz w:val="22"/>
            <w:lang w:eastAsia="en-GB" w:bidi="ar-SA"/>
          </w:rPr>
          <w:tab/>
        </w:r>
        <w:r w:rsidR="004B5E3A" w:rsidRPr="00D51A68">
          <w:rPr>
            <w:rStyle w:val="Hyperlink"/>
            <w:rFonts w:ascii="Times New Roman" w:hAnsi="Times New Roman"/>
          </w:rPr>
          <w:t>Osservazioni di carattere generale</w:t>
        </w:r>
        <w:r w:rsidR="004B5E3A" w:rsidRPr="00D51A68">
          <w:rPr>
            <w:webHidden/>
          </w:rPr>
          <w:tab/>
        </w:r>
        <w:r w:rsidR="004B5E3A" w:rsidRPr="00D51A68">
          <w:rPr>
            <w:webHidden/>
          </w:rPr>
          <w:fldChar w:fldCharType="begin"/>
        </w:r>
        <w:r w:rsidR="004B5E3A" w:rsidRPr="00D51A68">
          <w:rPr>
            <w:webHidden/>
          </w:rPr>
          <w:instrText xml:space="preserve"> PAGEREF _Toc524096598 \h </w:instrText>
        </w:r>
        <w:r w:rsidR="004B5E3A" w:rsidRPr="00D51A68">
          <w:rPr>
            <w:webHidden/>
          </w:rPr>
        </w:r>
        <w:r w:rsidR="004B5E3A" w:rsidRPr="00D51A68">
          <w:rPr>
            <w:webHidden/>
          </w:rPr>
          <w:fldChar w:fldCharType="separate"/>
        </w:r>
        <w:r>
          <w:rPr>
            <w:webHidden/>
          </w:rPr>
          <w:t>117</w:t>
        </w:r>
        <w:r w:rsidR="004B5E3A" w:rsidRPr="00D51A68">
          <w:rPr>
            <w:webHidden/>
          </w:rPr>
          <w:fldChar w:fldCharType="end"/>
        </w:r>
      </w:hyperlink>
    </w:p>
    <w:p w:rsidR="004B5E3A" w:rsidRPr="00D51A68" w:rsidRDefault="00DB339B">
      <w:pPr>
        <w:pStyle w:val="TOC2"/>
        <w:rPr>
          <w:rFonts w:asciiTheme="minorHAnsi" w:eastAsiaTheme="minorEastAsia" w:hAnsiTheme="minorHAnsi" w:cstheme="minorBidi"/>
          <w:b w:val="0"/>
          <w:smallCaps w:val="0"/>
          <w:sz w:val="22"/>
          <w:lang w:eastAsia="en-GB" w:bidi="ar-SA"/>
        </w:rPr>
      </w:pPr>
      <w:hyperlink w:anchor="_Toc524096599" w:history="1">
        <w:r w:rsidR="004B5E3A" w:rsidRPr="00D51A68">
          <w:rPr>
            <w:rStyle w:val="Hyperlink"/>
            <w:rFonts w:ascii="Times New Roman" w:hAnsi="Times New Roman"/>
          </w:rPr>
          <w:t>3.4.3.2.</w:t>
        </w:r>
        <w:r w:rsidR="004B5E3A" w:rsidRPr="00D51A68">
          <w:rPr>
            <w:rFonts w:asciiTheme="minorHAnsi" w:eastAsiaTheme="minorEastAsia" w:hAnsiTheme="minorHAnsi" w:cstheme="minorBidi"/>
            <w:b w:val="0"/>
            <w:smallCaps w:val="0"/>
            <w:sz w:val="22"/>
            <w:lang w:eastAsia="en-GB" w:bidi="ar-SA"/>
          </w:rPr>
          <w:tab/>
        </w:r>
        <w:r w:rsidR="004B5E3A" w:rsidRPr="00D51A68">
          <w:rPr>
            <w:rStyle w:val="Hyperlink"/>
            <w:rFonts w:ascii="Times New Roman" w:hAnsi="Times New Roman"/>
          </w:rPr>
          <w:t>Istruzioni relative a posizioni specifiche</w:t>
        </w:r>
        <w:r w:rsidR="004B5E3A" w:rsidRPr="00D51A68">
          <w:rPr>
            <w:webHidden/>
          </w:rPr>
          <w:tab/>
        </w:r>
        <w:r w:rsidR="004B5E3A" w:rsidRPr="00D51A68">
          <w:rPr>
            <w:webHidden/>
          </w:rPr>
          <w:fldChar w:fldCharType="begin"/>
        </w:r>
        <w:r w:rsidR="004B5E3A" w:rsidRPr="00D51A68">
          <w:rPr>
            <w:webHidden/>
          </w:rPr>
          <w:instrText xml:space="preserve"> PAGEREF _Toc524096599 \h </w:instrText>
        </w:r>
        <w:r w:rsidR="004B5E3A" w:rsidRPr="00D51A68">
          <w:rPr>
            <w:webHidden/>
          </w:rPr>
        </w:r>
        <w:r w:rsidR="004B5E3A" w:rsidRPr="00D51A68">
          <w:rPr>
            <w:webHidden/>
          </w:rPr>
          <w:fldChar w:fldCharType="separate"/>
        </w:r>
        <w:r>
          <w:rPr>
            <w:webHidden/>
          </w:rPr>
          <w:t>118</w:t>
        </w:r>
        <w:r w:rsidR="004B5E3A" w:rsidRPr="00D51A68">
          <w:rPr>
            <w:webHidden/>
          </w:rPr>
          <w:fldChar w:fldCharType="end"/>
        </w:r>
      </w:hyperlink>
    </w:p>
    <w:p w:rsidR="004B5E3A" w:rsidRPr="00D51A68" w:rsidRDefault="00DB339B">
      <w:pPr>
        <w:pStyle w:val="TOC2"/>
        <w:rPr>
          <w:rFonts w:asciiTheme="minorHAnsi" w:eastAsiaTheme="minorEastAsia" w:hAnsiTheme="minorHAnsi" w:cstheme="minorBidi"/>
          <w:b w:val="0"/>
          <w:smallCaps w:val="0"/>
          <w:sz w:val="22"/>
          <w:lang w:eastAsia="en-GB" w:bidi="ar-SA"/>
        </w:rPr>
      </w:pPr>
      <w:hyperlink w:anchor="_Toc524096600" w:history="1">
        <w:r w:rsidR="004B5E3A" w:rsidRPr="00D51A68">
          <w:rPr>
            <w:rStyle w:val="Hyperlink"/>
            <w:rFonts w:ascii="Times New Roman" w:hAnsi="Times New Roman"/>
          </w:rPr>
          <w:t>3.5.</w:t>
        </w:r>
        <w:r w:rsidR="004B5E3A" w:rsidRPr="00D51A68">
          <w:rPr>
            <w:rFonts w:asciiTheme="minorHAnsi" w:eastAsiaTheme="minorEastAsia" w:hAnsiTheme="minorHAnsi" w:cstheme="minorBidi"/>
            <w:b w:val="0"/>
            <w:smallCaps w:val="0"/>
            <w:sz w:val="22"/>
            <w:lang w:eastAsia="en-GB" w:bidi="ar-SA"/>
          </w:rPr>
          <w:tab/>
        </w:r>
        <w:r w:rsidR="004B5E3A" w:rsidRPr="00D51A68">
          <w:rPr>
            <w:rStyle w:val="Hyperlink"/>
            <w:rFonts w:ascii="Times New Roman" w:hAnsi="Times New Roman"/>
          </w:rPr>
          <w:t>C 10.01 e C 10.02 — Esposizioni in strumenti di capitale in base al metodo IRB (CR EQU IRB 1 e CR EQU IRB 2)</w:t>
        </w:r>
        <w:r w:rsidR="004B5E3A" w:rsidRPr="00D51A68">
          <w:rPr>
            <w:webHidden/>
          </w:rPr>
          <w:tab/>
        </w:r>
        <w:r w:rsidR="004B5E3A" w:rsidRPr="00D51A68">
          <w:rPr>
            <w:webHidden/>
          </w:rPr>
          <w:fldChar w:fldCharType="begin"/>
        </w:r>
        <w:r w:rsidR="004B5E3A" w:rsidRPr="00D51A68">
          <w:rPr>
            <w:webHidden/>
          </w:rPr>
          <w:instrText xml:space="preserve"> PAGEREF _Toc524096600 \h </w:instrText>
        </w:r>
        <w:r w:rsidR="004B5E3A" w:rsidRPr="00D51A68">
          <w:rPr>
            <w:webHidden/>
          </w:rPr>
        </w:r>
        <w:r w:rsidR="004B5E3A" w:rsidRPr="00D51A68">
          <w:rPr>
            <w:webHidden/>
          </w:rPr>
          <w:fldChar w:fldCharType="separate"/>
        </w:r>
        <w:r>
          <w:rPr>
            <w:webHidden/>
          </w:rPr>
          <w:t>122</w:t>
        </w:r>
        <w:r w:rsidR="004B5E3A" w:rsidRPr="00D51A68">
          <w:rPr>
            <w:webHidden/>
          </w:rPr>
          <w:fldChar w:fldCharType="end"/>
        </w:r>
      </w:hyperlink>
    </w:p>
    <w:p w:rsidR="004B5E3A" w:rsidRPr="00D51A68" w:rsidRDefault="00DB339B">
      <w:pPr>
        <w:pStyle w:val="TOC2"/>
        <w:rPr>
          <w:rFonts w:asciiTheme="minorHAnsi" w:eastAsiaTheme="minorEastAsia" w:hAnsiTheme="minorHAnsi" w:cstheme="minorBidi"/>
          <w:b w:val="0"/>
          <w:smallCaps w:val="0"/>
          <w:sz w:val="22"/>
          <w:lang w:eastAsia="en-GB" w:bidi="ar-SA"/>
        </w:rPr>
      </w:pPr>
      <w:hyperlink w:anchor="_Toc524096601" w:history="1">
        <w:r w:rsidR="004B5E3A" w:rsidRPr="00D51A68">
          <w:rPr>
            <w:rStyle w:val="Hyperlink"/>
            <w:rFonts w:ascii="Times New Roman" w:hAnsi="Times New Roman"/>
          </w:rPr>
          <w:t>3.5.1.</w:t>
        </w:r>
        <w:r w:rsidR="004B5E3A" w:rsidRPr="00D51A68">
          <w:rPr>
            <w:rFonts w:asciiTheme="minorHAnsi" w:eastAsiaTheme="minorEastAsia" w:hAnsiTheme="minorHAnsi" w:cstheme="minorBidi"/>
            <w:b w:val="0"/>
            <w:smallCaps w:val="0"/>
            <w:sz w:val="22"/>
            <w:lang w:eastAsia="en-GB" w:bidi="ar-SA"/>
          </w:rPr>
          <w:tab/>
        </w:r>
        <w:r w:rsidR="004B5E3A" w:rsidRPr="00D51A68">
          <w:rPr>
            <w:rStyle w:val="Hyperlink"/>
            <w:rFonts w:ascii="Times New Roman" w:hAnsi="Times New Roman"/>
          </w:rPr>
          <w:t>Osservazioni di carattere generale</w:t>
        </w:r>
        <w:r w:rsidR="004B5E3A" w:rsidRPr="00D51A68">
          <w:rPr>
            <w:webHidden/>
          </w:rPr>
          <w:tab/>
        </w:r>
        <w:r w:rsidR="004B5E3A" w:rsidRPr="00D51A68">
          <w:rPr>
            <w:webHidden/>
          </w:rPr>
          <w:fldChar w:fldCharType="begin"/>
        </w:r>
        <w:r w:rsidR="004B5E3A" w:rsidRPr="00D51A68">
          <w:rPr>
            <w:webHidden/>
          </w:rPr>
          <w:instrText xml:space="preserve"> PAGEREF _Toc524096601 \h </w:instrText>
        </w:r>
        <w:r w:rsidR="004B5E3A" w:rsidRPr="00D51A68">
          <w:rPr>
            <w:webHidden/>
          </w:rPr>
        </w:r>
        <w:r w:rsidR="004B5E3A" w:rsidRPr="00D51A68">
          <w:rPr>
            <w:webHidden/>
          </w:rPr>
          <w:fldChar w:fldCharType="separate"/>
        </w:r>
        <w:r>
          <w:rPr>
            <w:webHidden/>
          </w:rPr>
          <w:t>122</w:t>
        </w:r>
        <w:r w:rsidR="004B5E3A" w:rsidRPr="00D51A68">
          <w:rPr>
            <w:webHidden/>
          </w:rPr>
          <w:fldChar w:fldCharType="end"/>
        </w:r>
      </w:hyperlink>
    </w:p>
    <w:p w:rsidR="004B5E3A" w:rsidRPr="00D51A68" w:rsidRDefault="00DB339B">
      <w:pPr>
        <w:pStyle w:val="TOC2"/>
        <w:rPr>
          <w:rFonts w:asciiTheme="minorHAnsi" w:eastAsiaTheme="minorEastAsia" w:hAnsiTheme="minorHAnsi" w:cstheme="minorBidi"/>
          <w:b w:val="0"/>
          <w:smallCaps w:val="0"/>
          <w:sz w:val="22"/>
          <w:lang w:eastAsia="en-GB" w:bidi="ar-SA"/>
        </w:rPr>
      </w:pPr>
      <w:hyperlink w:anchor="_Toc524096602" w:history="1">
        <w:r w:rsidR="004B5E3A" w:rsidRPr="00D51A68">
          <w:rPr>
            <w:rStyle w:val="Hyperlink"/>
            <w:rFonts w:ascii="Times New Roman" w:hAnsi="Times New Roman"/>
          </w:rPr>
          <w:t>3.5.2.</w:t>
        </w:r>
        <w:r w:rsidR="004B5E3A" w:rsidRPr="00D51A68">
          <w:rPr>
            <w:rFonts w:asciiTheme="minorHAnsi" w:eastAsiaTheme="minorEastAsia" w:hAnsiTheme="minorHAnsi" w:cstheme="minorBidi"/>
            <w:b w:val="0"/>
            <w:smallCaps w:val="0"/>
            <w:sz w:val="22"/>
            <w:lang w:eastAsia="en-GB" w:bidi="ar-SA"/>
          </w:rPr>
          <w:tab/>
        </w:r>
        <w:r w:rsidR="004B5E3A" w:rsidRPr="00D51A68">
          <w:rPr>
            <w:rStyle w:val="Hyperlink"/>
            <w:rFonts w:ascii="Times New Roman" w:hAnsi="Times New Roman"/>
          </w:rPr>
          <w:t>Istruzioni relative a posizioni specifiche (valide sia per il modello CR EQU IRB 1 che per il modello CR EQU IRB 2)</w:t>
        </w:r>
        <w:r w:rsidR="004B5E3A" w:rsidRPr="00D51A68">
          <w:rPr>
            <w:webHidden/>
          </w:rPr>
          <w:tab/>
        </w:r>
        <w:r w:rsidR="004B5E3A" w:rsidRPr="00D51A68">
          <w:rPr>
            <w:webHidden/>
          </w:rPr>
          <w:fldChar w:fldCharType="begin"/>
        </w:r>
        <w:r w:rsidR="004B5E3A" w:rsidRPr="00D51A68">
          <w:rPr>
            <w:webHidden/>
          </w:rPr>
          <w:instrText xml:space="preserve"> PAGEREF _Toc524096602 \h </w:instrText>
        </w:r>
        <w:r w:rsidR="004B5E3A" w:rsidRPr="00D51A68">
          <w:rPr>
            <w:webHidden/>
          </w:rPr>
        </w:r>
        <w:r w:rsidR="004B5E3A" w:rsidRPr="00D51A68">
          <w:rPr>
            <w:webHidden/>
          </w:rPr>
          <w:fldChar w:fldCharType="separate"/>
        </w:r>
        <w:r>
          <w:rPr>
            <w:webHidden/>
          </w:rPr>
          <w:t>124</w:t>
        </w:r>
        <w:r w:rsidR="004B5E3A" w:rsidRPr="00D51A68">
          <w:rPr>
            <w:webHidden/>
          </w:rPr>
          <w:fldChar w:fldCharType="end"/>
        </w:r>
      </w:hyperlink>
    </w:p>
    <w:p w:rsidR="004B5E3A" w:rsidRPr="00D51A68" w:rsidRDefault="00DB339B">
      <w:pPr>
        <w:pStyle w:val="TOC2"/>
        <w:rPr>
          <w:rFonts w:asciiTheme="minorHAnsi" w:eastAsiaTheme="minorEastAsia" w:hAnsiTheme="minorHAnsi" w:cstheme="minorBidi"/>
          <w:b w:val="0"/>
          <w:smallCaps w:val="0"/>
          <w:sz w:val="22"/>
          <w:lang w:eastAsia="en-GB" w:bidi="ar-SA"/>
        </w:rPr>
      </w:pPr>
      <w:hyperlink w:anchor="_Toc524096603" w:history="1">
        <w:r w:rsidR="004B5E3A" w:rsidRPr="00D51A68">
          <w:rPr>
            <w:rStyle w:val="Hyperlink"/>
            <w:rFonts w:ascii="Times New Roman" w:hAnsi="Times New Roman"/>
          </w:rPr>
          <w:t>3.6.</w:t>
        </w:r>
        <w:r w:rsidR="004B5E3A" w:rsidRPr="00D51A68">
          <w:rPr>
            <w:rFonts w:asciiTheme="minorHAnsi" w:eastAsiaTheme="minorEastAsia" w:hAnsiTheme="minorHAnsi" w:cstheme="minorBidi"/>
            <w:b w:val="0"/>
            <w:smallCaps w:val="0"/>
            <w:sz w:val="22"/>
            <w:lang w:eastAsia="en-GB" w:bidi="ar-SA"/>
          </w:rPr>
          <w:tab/>
        </w:r>
        <w:r w:rsidR="004B5E3A" w:rsidRPr="00D51A68">
          <w:rPr>
            <w:rStyle w:val="Hyperlink"/>
            <w:rFonts w:ascii="Times New Roman" w:hAnsi="Times New Roman"/>
          </w:rPr>
          <w:t>C 11.00 — RISCHIO DI REGOLAMENTO/CONSEGNA (CR SETT)</w:t>
        </w:r>
        <w:r w:rsidR="004B5E3A" w:rsidRPr="00D51A68">
          <w:rPr>
            <w:webHidden/>
          </w:rPr>
          <w:tab/>
        </w:r>
        <w:r w:rsidR="004B5E3A" w:rsidRPr="00D51A68">
          <w:rPr>
            <w:webHidden/>
          </w:rPr>
          <w:fldChar w:fldCharType="begin"/>
        </w:r>
        <w:r w:rsidR="004B5E3A" w:rsidRPr="00D51A68">
          <w:rPr>
            <w:webHidden/>
          </w:rPr>
          <w:instrText xml:space="preserve"> PAGEREF _Toc524096603 \h </w:instrText>
        </w:r>
        <w:r w:rsidR="004B5E3A" w:rsidRPr="00D51A68">
          <w:rPr>
            <w:webHidden/>
          </w:rPr>
        </w:r>
        <w:r w:rsidR="004B5E3A" w:rsidRPr="00D51A68">
          <w:rPr>
            <w:webHidden/>
          </w:rPr>
          <w:fldChar w:fldCharType="separate"/>
        </w:r>
        <w:r>
          <w:rPr>
            <w:webHidden/>
          </w:rPr>
          <w:t>127</w:t>
        </w:r>
        <w:r w:rsidR="004B5E3A" w:rsidRPr="00D51A68">
          <w:rPr>
            <w:webHidden/>
          </w:rPr>
          <w:fldChar w:fldCharType="end"/>
        </w:r>
      </w:hyperlink>
    </w:p>
    <w:p w:rsidR="004B5E3A" w:rsidRPr="00D51A68" w:rsidRDefault="00DB339B">
      <w:pPr>
        <w:pStyle w:val="TOC2"/>
        <w:rPr>
          <w:rFonts w:asciiTheme="minorHAnsi" w:eastAsiaTheme="minorEastAsia" w:hAnsiTheme="minorHAnsi" w:cstheme="minorBidi"/>
          <w:b w:val="0"/>
          <w:smallCaps w:val="0"/>
          <w:sz w:val="22"/>
          <w:lang w:eastAsia="en-GB" w:bidi="ar-SA"/>
        </w:rPr>
      </w:pPr>
      <w:hyperlink w:anchor="_Toc524096604" w:history="1">
        <w:r w:rsidR="004B5E3A" w:rsidRPr="00D51A68">
          <w:rPr>
            <w:rStyle w:val="Hyperlink"/>
            <w:rFonts w:ascii="Times New Roman" w:hAnsi="Times New Roman"/>
          </w:rPr>
          <w:t>3.6.1.</w:t>
        </w:r>
        <w:r w:rsidR="004B5E3A" w:rsidRPr="00D51A68">
          <w:rPr>
            <w:rFonts w:asciiTheme="minorHAnsi" w:eastAsiaTheme="minorEastAsia" w:hAnsiTheme="minorHAnsi" w:cstheme="minorBidi"/>
            <w:b w:val="0"/>
            <w:smallCaps w:val="0"/>
            <w:sz w:val="22"/>
            <w:lang w:eastAsia="en-GB" w:bidi="ar-SA"/>
          </w:rPr>
          <w:tab/>
        </w:r>
        <w:r w:rsidR="004B5E3A" w:rsidRPr="00D51A68">
          <w:rPr>
            <w:rStyle w:val="Hyperlink"/>
            <w:rFonts w:ascii="Times New Roman" w:hAnsi="Times New Roman"/>
          </w:rPr>
          <w:t>Osservazioni di carattere generale</w:t>
        </w:r>
        <w:r w:rsidR="004B5E3A" w:rsidRPr="00D51A68">
          <w:rPr>
            <w:webHidden/>
          </w:rPr>
          <w:tab/>
        </w:r>
        <w:r w:rsidR="004B5E3A" w:rsidRPr="00D51A68">
          <w:rPr>
            <w:webHidden/>
          </w:rPr>
          <w:fldChar w:fldCharType="begin"/>
        </w:r>
        <w:r w:rsidR="004B5E3A" w:rsidRPr="00D51A68">
          <w:rPr>
            <w:webHidden/>
          </w:rPr>
          <w:instrText xml:space="preserve"> PAGEREF _Toc524096604 \h </w:instrText>
        </w:r>
        <w:r w:rsidR="004B5E3A" w:rsidRPr="00D51A68">
          <w:rPr>
            <w:webHidden/>
          </w:rPr>
        </w:r>
        <w:r w:rsidR="004B5E3A" w:rsidRPr="00D51A68">
          <w:rPr>
            <w:webHidden/>
          </w:rPr>
          <w:fldChar w:fldCharType="separate"/>
        </w:r>
        <w:r>
          <w:rPr>
            <w:webHidden/>
          </w:rPr>
          <w:t>127</w:t>
        </w:r>
        <w:r w:rsidR="004B5E3A" w:rsidRPr="00D51A68">
          <w:rPr>
            <w:webHidden/>
          </w:rPr>
          <w:fldChar w:fldCharType="end"/>
        </w:r>
      </w:hyperlink>
    </w:p>
    <w:p w:rsidR="004B5E3A" w:rsidRPr="00D51A68" w:rsidRDefault="00DB339B">
      <w:pPr>
        <w:pStyle w:val="TOC2"/>
        <w:rPr>
          <w:rFonts w:asciiTheme="minorHAnsi" w:eastAsiaTheme="minorEastAsia" w:hAnsiTheme="minorHAnsi" w:cstheme="minorBidi"/>
          <w:b w:val="0"/>
          <w:smallCaps w:val="0"/>
          <w:sz w:val="22"/>
          <w:lang w:eastAsia="en-GB" w:bidi="ar-SA"/>
        </w:rPr>
      </w:pPr>
      <w:hyperlink w:anchor="_Toc524096605" w:history="1">
        <w:r w:rsidR="004B5E3A" w:rsidRPr="00D51A68">
          <w:rPr>
            <w:rStyle w:val="Hyperlink"/>
            <w:rFonts w:ascii="Times New Roman" w:hAnsi="Times New Roman"/>
          </w:rPr>
          <w:t>3.6.2.</w:t>
        </w:r>
        <w:r w:rsidR="004B5E3A" w:rsidRPr="00D51A68">
          <w:rPr>
            <w:rFonts w:asciiTheme="minorHAnsi" w:eastAsiaTheme="minorEastAsia" w:hAnsiTheme="minorHAnsi" w:cstheme="minorBidi"/>
            <w:b w:val="0"/>
            <w:smallCaps w:val="0"/>
            <w:sz w:val="22"/>
            <w:lang w:eastAsia="en-GB" w:bidi="ar-SA"/>
          </w:rPr>
          <w:tab/>
        </w:r>
        <w:r w:rsidR="004B5E3A" w:rsidRPr="00D51A68">
          <w:rPr>
            <w:rStyle w:val="Hyperlink"/>
            <w:rFonts w:ascii="Times New Roman" w:hAnsi="Times New Roman"/>
          </w:rPr>
          <w:t>Istruzioni relative a posizioni specifiche</w:t>
        </w:r>
        <w:r w:rsidR="004B5E3A" w:rsidRPr="00D51A68">
          <w:rPr>
            <w:webHidden/>
          </w:rPr>
          <w:tab/>
        </w:r>
        <w:r w:rsidR="004B5E3A" w:rsidRPr="00D51A68">
          <w:rPr>
            <w:webHidden/>
          </w:rPr>
          <w:fldChar w:fldCharType="begin"/>
        </w:r>
        <w:r w:rsidR="004B5E3A" w:rsidRPr="00D51A68">
          <w:rPr>
            <w:webHidden/>
          </w:rPr>
          <w:instrText xml:space="preserve"> PAGEREF _Toc524096605 \h </w:instrText>
        </w:r>
        <w:r w:rsidR="004B5E3A" w:rsidRPr="00D51A68">
          <w:rPr>
            <w:webHidden/>
          </w:rPr>
        </w:r>
        <w:r w:rsidR="004B5E3A" w:rsidRPr="00D51A68">
          <w:rPr>
            <w:webHidden/>
          </w:rPr>
          <w:fldChar w:fldCharType="separate"/>
        </w:r>
        <w:r>
          <w:rPr>
            <w:webHidden/>
          </w:rPr>
          <w:t>128</w:t>
        </w:r>
        <w:r w:rsidR="004B5E3A" w:rsidRPr="00D51A68">
          <w:rPr>
            <w:webHidden/>
          </w:rPr>
          <w:fldChar w:fldCharType="end"/>
        </w:r>
      </w:hyperlink>
    </w:p>
    <w:p w:rsidR="004B5E3A" w:rsidRPr="00D51A68" w:rsidRDefault="00DB339B">
      <w:pPr>
        <w:pStyle w:val="TOC2"/>
        <w:rPr>
          <w:rFonts w:asciiTheme="minorHAnsi" w:eastAsiaTheme="minorEastAsia" w:hAnsiTheme="minorHAnsi" w:cstheme="minorBidi"/>
          <w:b w:val="0"/>
          <w:smallCaps w:val="0"/>
          <w:sz w:val="22"/>
          <w:lang w:eastAsia="en-GB" w:bidi="ar-SA"/>
        </w:rPr>
      </w:pPr>
      <w:hyperlink w:anchor="_Toc524096606" w:history="1">
        <w:r w:rsidR="004B5E3A" w:rsidRPr="00D51A68">
          <w:rPr>
            <w:rStyle w:val="Hyperlink"/>
            <w:rFonts w:ascii="Times New Roman" w:hAnsi="Times New Roman"/>
          </w:rPr>
          <w:t>3.7.</w:t>
        </w:r>
        <w:r w:rsidR="004B5E3A" w:rsidRPr="00D51A68">
          <w:rPr>
            <w:rFonts w:asciiTheme="minorHAnsi" w:eastAsiaTheme="minorEastAsia" w:hAnsiTheme="minorHAnsi" w:cstheme="minorBidi"/>
            <w:b w:val="0"/>
            <w:smallCaps w:val="0"/>
            <w:sz w:val="22"/>
            <w:lang w:eastAsia="en-GB" w:bidi="ar-SA"/>
          </w:rPr>
          <w:tab/>
        </w:r>
        <w:r w:rsidR="004B5E3A" w:rsidRPr="00D51A68">
          <w:rPr>
            <w:rStyle w:val="Hyperlink"/>
            <w:rFonts w:ascii="Times New Roman" w:hAnsi="Times New Roman"/>
          </w:rPr>
          <w:t>C 12.00 — Rischio di credito: cartolarizzazioni — Metodo standardizzato applicato ai requisiti di fondi propri (CR SEC SA)</w:t>
        </w:r>
        <w:r w:rsidR="004B5E3A" w:rsidRPr="00D51A68">
          <w:rPr>
            <w:webHidden/>
          </w:rPr>
          <w:tab/>
        </w:r>
        <w:r w:rsidR="004B5E3A" w:rsidRPr="00D51A68">
          <w:rPr>
            <w:webHidden/>
          </w:rPr>
          <w:fldChar w:fldCharType="begin"/>
        </w:r>
        <w:r w:rsidR="004B5E3A" w:rsidRPr="00D51A68">
          <w:rPr>
            <w:webHidden/>
          </w:rPr>
          <w:instrText xml:space="preserve"> PAGEREF _Toc524096606 \h </w:instrText>
        </w:r>
        <w:r w:rsidR="004B5E3A" w:rsidRPr="00D51A68">
          <w:rPr>
            <w:webHidden/>
          </w:rPr>
        </w:r>
        <w:r w:rsidR="004B5E3A" w:rsidRPr="00D51A68">
          <w:rPr>
            <w:webHidden/>
          </w:rPr>
          <w:fldChar w:fldCharType="separate"/>
        </w:r>
        <w:r>
          <w:rPr>
            <w:webHidden/>
          </w:rPr>
          <w:t>131</w:t>
        </w:r>
        <w:r w:rsidR="004B5E3A" w:rsidRPr="00D51A68">
          <w:rPr>
            <w:webHidden/>
          </w:rPr>
          <w:fldChar w:fldCharType="end"/>
        </w:r>
      </w:hyperlink>
    </w:p>
    <w:p w:rsidR="004B5E3A" w:rsidRPr="00D51A68" w:rsidRDefault="00DB339B">
      <w:pPr>
        <w:pStyle w:val="TOC2"/>
        <w:rPr>
          <w:rFonts w:asciiTheme="minorHAnsi" w:eastAsiaTheme="minorEastAsia" w:hAnsiTheme="minorHAnsi" w:cstheme="minorBidi"/>
          <w:b w:val="0"/>
          <w:smallCaps w:val="0"/>
          <w:sz w:val="22"/>
          <w:lang w:eastAsia="en-GB" w:bidi="ar-SA"/>
        </w:rPr>
      </w:pPr>
      <w:hyperlink w:anchor="_Toc524096607" w:history="1">
        <w:r w:rsidR="004B5E3A" w:rsidRPr="00D51A68">
          <w:rPr>
            <w:rStyle w:val="Hyperlink"/>
            <w:rFonts w:ascii="Times New Roman" w:hAnsi="Times New Roman"/>
          </w:rPr>
          <w:t>3.7.1.</w:t>
        </w:r>
        <w:r w:rsidR="004B5E3A" w:rsidRPr="00D51A68">
          <w:rPr>
            <w:rFonts w:asciiTheme="minorHAnsi" w:eastAsiaTheme="minorEastAsia" w:hAnsiTheme="minorHAnsi" w:cstheme="minorBidi"/>
            <w:b w:val="0"/>
            <w:smallCaps w:val="0"/>
            <w:sz w:val="22"/>
            <w:lang w:eastAsia="en-GB" w:bidi="ar-SA"/>
          </w:rPr>
          <w:tab/>
        </w:r>
        <w:r w:rsidR="004B5E3A" w:rsidRPr="00D51A68">
          <w:rPr>
            <w:rStyle w:val="Hyperlink"/>
            <w:rFonts w:ascii="Times New Roman" w:hAnsi="Times New Roman"/>
          </w:rPr>
          <w:t>Osservazioni di carattere generale</w:t>
        </w:r>
        <w:r w:rsidR="004B5E3A" w:rsidRPr="00D51A68">
          <w:rPr>
            <w:webHidden/>
          </w:rPr>
          <w:tab/>
        </w:r>
        <w:r w:rsidR="004B5E3A" w:rsidRPr="00D51A68">
          <w:rPr>
            <w:webHidden/>
          </w:rPr>
          <w:fldChar w:fldCharType="begin"/>
        </w:r>
        <w:r w:rsidR="004B5E3A" w:rsidRPr="00D51A68">
          <w:rPr>
            <w:webHidden/>
          </w:rPr>
          <w:instrText xml:space="preserve"> PAGEREF _Toc524096607 \h </w:instrText>
        </w:r>
        <w:r w:rsidR="004B5E3A" w:rsidRPr="00D51A68">
          <w:rPr>
            <w:webHidden/>
          </w:rPr>
        </w:r>
        <w:r w:rsidR="004B5E3A" w:rsidRPr="00D51A68">
          <w:rPr>
            <w:webHidden/>
          </w:rPr>
          <w:fldChar w:fldCharType="separate"/>
        </w:r>
        <w:r>
          <w:rPr>
            <w:webHidden/>
          </w:rPr>
          <w:t>131</w:t>
        </w:r>
        <w:r w:rsidR="004B5E3A" w:rsidRPr="00D51A68">
          <w:rPr>
            <w:webHidden/>
          </w:rPr>
          <w:fldChar w:fldCharType="end"/>
        </w:r>
      </w:hyperlink>
    </w:p>
    <w:p w:rsidR="004B5E3A" w:rsidRPr="00D51A68" w:rsidRDefault="00DB339B">
      <w:pPr>
        <w:pStyle w:val="TOC2"/>
        <w:rPr>
          <w:rFonts w:asciiTheme="minorHAnsi" w:eastAsiaTheme="minorEastAsia" w:hAnsiTheme="minorHAnsi" w:cstheme="minorBidi"/>
          <w:b w:val="0"/>
          <w:smallCaps w:val="0"/>
          <w:sz w:val="22"/>
          <w:lang w:eastAsia="en-GB" w:bidi="ar-SA"/>
        </w:rPr>
      </w:pPr>
      <w:hyperlink w:anchor="_Toc524096608" w:history="1">
        <w:r w:rsidR="004B5E3A" w:rsidRPr="00D51A68">
          <w:rPr>
            <w:rStyle w:val="Hyperlink"/>
            <w:rFonts w:ascii="Times New Roman" w:hAnsi="Times New Roman"/>
          </w:rPr>
          <w:t>3.7.2.</w:t>
        </w:r>
        <w:r w:rsidR="004B5E3A" w:rsidRPr="00D51A68">
          <w:rPr>
            <w:rFonts w:asciiTheme="minorHAnsi" w:eastAsiaTheme="minorEastAsia" w:hAnsiTheme="minorHAnsi" w:cstheme="minorBidi"/>
            <w:b w:val="0"/>
            <w:smallCaps w:val="0"/>
            <w:sz w:val="22"/>
            <w:lang w:eastAsia="en-GB" w:bidi="ar-SA"/>
          </w:rPr>
          <w:tab/>
        </w:r>
        <w:r w:rsidR="004B5E3A" w:rsidRPr="00D51A68">
          <w:rPr>
            <w:rStyle w:val="Hyperlink"/>
            <w:rFonts w:ascii="Times New Roman" w:hAnsi="Times New Roman"/>
          </w:rPr>
          <w:t>Istruzioni relative a posizioni specifiche</w:t>
        </w:r>
        <w:r w:rsidR="004B5E3A" w:rsidRPr="00D51A68">
          <w:rPr>
            <w:webHidden/>
          </w:rPr>
          <w:tab/>
        </w:r>
        <w:r w:rsidR="004B5E3A" w:rsidRPr="00D51A68">
          <w:rPr>
            <w:webHidden/>
          </w:rPr>
          <w:fldChar w:fldCharType="begin"/>
        </w:r>
        <w:r w:rsidR="004B5E3A" w:rsidRPr="00D51A68">
          <w:rPr>
            <w:webHidden/>
          </w:rPr>
          <w:instrText xml:space="preserve"> PAGEREF _Toc524096608 \h </w:instrText>
        </w:r>
        <w:r w:rsidR="004B5E3A" w:rsidRPr="00D51A68">
          <w:rPr>
            <w:webHidden/>
          </w:rPr>
        </w:r>
        <w:r w:rsidR="004B5E3A" w:rsidRPr="00D51A68">
          <w:rPr>
            <w:webHidden/>
          </w:rPr>
          <w:fldChar w:fldCharType="separate"/>
        </w:r>
        <w:r>
          <w:rPr>
            <w:webHidden/>
          </w:rPr>
          <w:t>131</w:t>
        </w:r>
        <w:r w:rsidR="004B5E3A" w:rsidRPr="00D51A68">
          <w:rPr>
            <w:webHidden/>
          </w:rPr>
          <w:fldChar w:fldCharType="end"/>
        </w:r>
      </w:hyperlink>
    </w:p>
    <w:p w:rsidR="004B5E3A" w:rsidRPr="00D51A68" w:rsidRDefault="00DB339B">
      <w:pPr>
        <w:pStyle w:val="TOC2"/>
        <w:rPr>
          <w:rFonts w:asciiTheme="minorHAnsi" w:eastAsiaTheme="minorEastAsia" w:hAnsiTheme="minorHAnsi" w:cstheme="minorBidi"/>
          <w:b w:val="0"/>
          <w:smallCaps w:val="0"/>
          <w:sz w:val="22"/>
          <w:lang w:eastAsia="en-GB" w:bidi="ar-SA"/>
        </w:rPr>
      </w:pPr>
      <w:hyperlink w:anchor="_Toc524096609" w:history="1">
        <w:r w:rsidR="004B5E3A" w:rsidRPr="00D51A68">
          <w:rPr>
            <w:rStyle w:val="Hyperlink"/>
            <w:rFonts w:ascii="Times New Roman" w:hAnsi="Times New Roman"/>
          </w:rPr>
          <w:t>3.8.</w:t>
        </w:r>
        <w:r w:rsidR="004B5E3A" w:rsidRPr="00D51A68">
          <w:rPr>
            <w:rFonts w:asciiTheme="minorHAnsi" w:eastAsiaTheme="minorEastAsia" w:hAnsiTheme="minorHAnsi" w:cstheme="minorBidi"/>
            <w:b w:val="0"/>
            <w:smallCaps w:val="0"/>
            <w:sz w:val="22"/>
            <w:lang w:eastAsia="en-GB" w:bidi="ar-SA"/>
          </w:rPr>
          <w:tab/>
        </w:r>
        <w:r w:rsidR="004B5E3A" w:rsidRPr="00D51A68">
          <w:rPr>
            <w:rStyle w:val="Hyperlink"/>
            <w:rFonts w:ascii="Times New Roman" w:hAnsi="Times New Roman"/>
          </w:rPr>
          <w:t>C 13.00 — Rischio di credito — Cartolarizzazioni: metodo IRB applicato ai requisiti di fondi propri (CR SEC IRB)</w:t>
        </w:r>
        <w:r w:rsidR="004B5E3A" w:rsidRPr="00D51A68">
          <w:rPr>
            <w:webHidden/>
          </w:rPr>
          <w:tab/>
        </w:r>
        <w:r w:rsidR="004B5E3A" w:rsidRPr="00D51A68">
          <w:rPr>
            <w:webHidden/>
          </w:rPr>
          <w:fldChar w:fldCharType="begin"/>
        </w:r>
        <w:r w:rsidR="004B5E3A" w:rsidRPr="00D51A68">
          <w:rPr>
            <w:webHidden/>
          </w:rPr>
          <w:instrText xml:space="preserve"> PAGEREF _Toc524096609 \h </w:instrText>
        </w:r>
        <w:r w:rsidR="004B5E3A" w:rsidRPr="00D51A68">
          <w:rPr>
            <w:webHidden/>
          </w:rPr>
        </w:r>
        <w:r w:rsidR="004B5E3A" w:rsidRPr="00D51A68">
          <w:rPr>
            <w:webHidden/>
          </w:rPr>
          <w:fldChar w:fldCharType="separate"/>
        </w:r>
        <w:r>
          <w:rPr>
            <w:webHidden/>
          </w:rPr>
          <w:t>141</w:t>
        </w:r>
        <w:r w:rsidR="004B5E3A" w:rsidRPr="00D51A68">
          <w:rPr>
            <w:webHidden/>
          </w:rPr>
          <w:fldChar w:fldCharType="end"/>
        </w:r>
      </w:hyperlink>
    </w:p>
    <w:p w:rsidR="004B5E3A" w:rsidRPr="00D51A68" w:rsidRDefault="00DB339B">
      <w:pPr>
        <w:pStyle w:val="TOC2"/>
        <w:rPr>
          <w:rFonts w:asciiTheme="minorHAnsi" w:eastAsiaTheme="minorEastAsia" w:hAnsiTheme="minorHAnsi" w:cstheme="minorBidi"/>
          <w:b w:val="0"/>
          <w:smallCaps w:val="0"/>
          <w:sz w:val="22"/>
          <w:lang w:eastAsia="en-GB" w:bidi="ar-SA"/>
        </w:rPr>
      </w:pPr>
      <w:hyperlink w:anchor="_Toc524096610" w:history="1">
        <w:r w:rsidR="004B5E3A" w:rsidRPr="00D51A68">
          <w:rPr>
            <w:rStyle w:val="Hyperlink"/>
            <w:rFonts w:ascii="Times New Roman" w:hAnsi="Times New Roman"/>
          </w:rPr>
          <w:t>3.8.1.</w:t>
        </w:r>
        <w:r w:rsidR="004B5E3A" w:rsidRPr="00D51A68">
          <w:rPr>
            <w:rFonts w:asciiTheme="minorHAnsi" w:eastAsiaTheme="minorEastAsia" w:hAnsiTheme="minorHAnsi" w:cstheme="minorBidi"/>
            <w:b w:val="0"/>
            <w:smallCaps w:val="0"/>
            <w:sz w:val="22"/>
            <w:lang w:eastAsia="en-GB" w:bidi="ar-SA"/>
          </w:rPr>
          <w:tab/>
        </w:r>
        <w:r w:rsidR="004B5E3A" w:rsidRPr="00D51A68">
          <w:rPr>
            <w:rStyle w:val="Hyperlink"/>
            <w:rFonts w:ascii="Times New Roman" w:hAnsi="Times New Roman"/>
          </w:rPr>
          <w:t>Osservazioni di carattere generale</w:t>
        </w:r>
        <w:r w:rsidR="004B5E3A" w:rsidRPr="00D51A68">
          <w:rPr>
            <w:webHidden/>
          </w:rPr>
          <w:tab/>
        </w:r>
        <w:r w:rsidR="004B5E3A" w:rsidRPr="00D51A68">
          <w:rPr>
            <w:webHidden/>
          </w:rPr>
          <w:fldChar w:fldCharType="begin"/>
        </w:r>
        <w:r w:rsidR="004B5E3A" w:rsidRPr="00D51A68">
          <w:rPr>
            <w:webHidden/>
          </w:rPr>
          <w:instrText xml:space="preserve"> PAGEREF _Toc524096610 \h </w:instrText>
        </w:r>
        <w:r w:rsidR="004B5E3A" w:rsidRPr="00D51A68">
          <w:rPr>
            <w:webHidden/>
          </w:rPr>
        </w:r>
        <w:r w:rsidR="004B5E3A" w:rsidRPr="00D51A68">
          <w:rPr>
            <w:webHidden/>
          </w:rPr>
          <w:fldChar w:fldCharType="separate"/>
        </w:r>
        <w:r>
          <w:rPr>
            <w:webHidden/>
          </w:rPr>
          <w:t>141</w:t>
        </w:r>
        <w:r w:rsidR="004B5E3A" w:rsidRPr="00D51A68">
          <w:rPr>
            <w:webHidden/>
          </w:rPr>
          <w:fldChar w:fldCharType="end"/>
        </w:r>
      </w:hyperlink>
    </w:p>
    <w:p w:rsidR="004B5E3A" w:rsidRPr="00D51A68" w:rsidRDefault="00DB339B">
      <w:pPr>
        <w:pStyle w:val="TOC2"/>
        <w:rPr>
          <w:rFonts w:asciiTheme="minorHAnsi" w:eastAsiaTheme="minorEastAsia" w:hAnsiTheme="minorHAnsi" w:cstheme="minorBidi"/>
          <w:b w:val="0"/>
          <w:smallCaps w:val="0"/>
          <w:sz w:val="22"/>
          <w:lang w:eastAsia="en-GB" w:bidi="ar-SA"/>
        </w:rPr>
      </w:pPr>
      <w:hyperlink w:anchor="_Toc524096611" w:history="1">
        <w:r w:rsidR="004B5E3A" w:rsidRPr="00D51A68">
          <w:rPr>
            <w:rStyle w:val="Hyperlink"/>
            <w:rFonts w:ascii="Times New Roman" w:hAnsi="Times New Roman"/>
          </w:rPr>
          <w:t>3.8.2.</w:t>
        </w:r>
        <w:r w:rsidR="004B5E3A" w:rsidRPr="00D51A68">
          <w:rPr>
            <w:rFonts w:asciiTheme="minorHAnsi" w:eastAsiaTheme="minorEastAsia" w:hAnsiTheme="minorHAnsi" w:cstheme="minorBidi"/>
            <w:b w:val="0"/>
            <w:smallCaps w:val="0"/>
            <w:sz w:val="22"/>
            <w:lang w:eastAsia="en-GB" w:bidi="ar-SA"/>
          </w:rPr>
          <w:tab/>
        </w:r>
        <w:r w:rsidR="004B5E3A" w:rsidRPr="00D51A68">
          <w:rPr>
            <w:rStyle w:val="Hyperlink"/>
            <w:rFonts w:ascii="Times New Roman" w:hAnsi="Times New Roman"/>
          </w:rPr>
          <w:t>Istruzioni relative a posizioni specifiche</w:t>
        </w:r>
        <w:r w:rsidR="004B5E3A" w:rsidRPr="00D51A68">
          <w:rPr>
            <w:webHidden/>
          </w:rPr>
          <w:tab/>
        </w:r>
        <w:r w:rsidR="004B5E3A" w:rsidRPr="00D51A68">
          <w:rPr>
            <w:webHidden/>
          </w:rPr>
          <w:fldChar w:fldCharType="begin"/>
        </w:r>
        <w:r w:rsidR="004B5E3A" w:rsidRPr="00D51A68">
          <w:rPr>
            <w:webHidden/>
          </w:rPr>
          <w:instrText xml:space="preserve"> PAGEREF _Toc524096611 \h </w:instrText>
        </w:r>
        <w:r w:rsidR="004B5E3A" w:rsidRPr="00D51A68">
          <w:rPr>
            <w:webHidden/>
          </w:rPr>
        </w:r>
        <w:r w:rsidR="004B5E3A" w:rsidRPr="00D51A68">
          <w:rPr>
            <w:webHidden/>
          </w:rPr>
          <w:fldChar w:fldCharType="separate"/>
        </w:r>
        <w:r>
          <w:rPr>
            <w:webHidden/>
          </w:rPr>
          <w:t>142</w:t>
        </w:r>
        <w:r w:rsidR="004B5E3A" w:rsidRPr="00D51A68">
          <w:rPr>
            <w:webHidden/>
          </w:rPr>
          <w:fldChar w:fldCharType="end"/>
        </w:r>
      </w:hyperlink>
    </w:p>
    <w:p w:rsidR="004B5E3A" w:rsidRPr="00D51A68" w:rsidRDefault="00DB339B">
      <w:pPr>
        <w:pStyle w:val="TOC2"/>
        <w:rPr>
          <w:rFonts w:asciiTheme="minorHAnsi" w:eastAsiaTheme="minorEastAsia" w:hAnsiTheme="minorHAnsi" w:cstheme="minorBidi"/>
          <w:b w:val="0"/>
          <w:smallCaps w:val="0"/>
          <w:sz w:val="22"/>
          <w:lang w:eastAsia="en-GB" w:bidi="ar-SA"/>
        </w:rPr>
      </w:pPr>
      <w:hyperlink w:anchor="_Toc524096612" w:history="1">
        <w:r w:rsidR="004B5E3A" w:rsidRPr="00D51A68">
          <w:rPr>
            <w:rStyle w:val="Hyperlink"/>
            <w:rFonts w:ascii="Times New Roman" w:hAnsi="Times New Roman"/>
          </w:rPr>
          <w:t>3.9.</w:t>
        </w:r>
        <w:r w:rsidR="004B5E3A" w:rsidRPr="00D51A68">
          <w:rPr>
            <w:rFonts w:asciiTheme="minorHAnsi" w:eastAsiaTheme="minorEastAsia" w:hAnsiTheme="minorHAnsi" w:cstheme="minorBidi"/>
            <w:b w:val="0"/>
            <w:smallCaps w:val="0"/>
            <w:sz w:val="22"/>
            <w:lang w:eastAsia="en-GB" w:bidi="ar-SA"/>
          </w:rPr>
          <w:tab/>
        </w:r>
        <w:r w:rsidR="004B5E3A" w:rsidRPr="00D51A68">
          <w:rPr>
            <w:rStyle w:val="Hyperlink"/>
            <w:rFonts w:ascii="Times New Roman" w:hAnsi="Times New Roman"/>
          </w:rPr>
          <w:t>C 14.00 — INFORMAZIONI DETTAGLIATE SULLE CARTOLARIZZAZIONI (SEC DETAILS)</w:t>
        </w:r>
        <w:r w:rsidR="004B5E3A" w:rsidRPr="00D51A68">
          <w:rPr>
            <w:webHidden/>
          </w:rPr>
          <w:tab/>
        </w:r>
        <w:r w:rsidR="004B5E3A" w:rsidRPr="00D51A68">
          <w:rPr>
            <w:webHidden/>
          </w:rPr>
          <w:fldChar w:fldCharType="begin"/>
        </w:r>
        <w:r w:rsidR="004B5E3A" w:rsidRPr="00D51A68">
          <w:rPr>
            <w:webHidden/>
          </w:rPr>
          <w:instrText xml:space="preserve"> PAGEREF _Toc524096612 \h </w:instrText>
        </w:r>
        <w:r w:rsidR="004B5E3A" w:rsidRPr="00D51A68">
          <w:rPr>
            <w:webHidden/>
          </w:rPr>
        </w:r>
        <w:r w:rsidR="004B5E3A" w:rsidRPr="00D51A68">
          <w:rPr>
            <w:webHidden/>
          </w:rPr>
          <w:fldChar w:fldCharType="separate"/>
        </w:r>
        <w:r>
          <w:rPr>
            <w:webHidden/>
          </w:rPr>
          <w:t>151</w:t>
        </w:r>
        <w:r w:rsidR="004B5E3A" w:rsidRPr="00D51A68">
          <w:rPr>
            <w:webHidden/>
          </w:rPr>
          <w:fldChar w:fldCharType="end"/>
        </w:r>
      </w:hyperlink>
    </w:p>
    <w:p w:rsidR="004B5E3A" w:rsidRPr="00D51A68" w:rsidRDefault="00DB339B">
      <w:pPr>
        <w:pStyle w:val="TOC2"/>
        <w:rPr>
          <w:rFonts w:asciiTheme="minorHAnsi" w:eastAsiaTheme="minorEastAsia" w:hAnsiTheme="minorHAnsi" w:cstheme="minorBidi"/>
          <w:b w:val="0"/>
          <w:smallCaps w:val="0"/>
          <w:sz w:val="22"/>
          <w:lang w:eastAsia="en-GB" w:bidi="ar-SA"/>
        </w:rPr>
      </w:pPr>
      <w:hyperlink w:anchor="_Toc524096613" w:history="1">
        <w:r w:rsidR="004B5E3A" w:rsidRPr="00D51A68">
          <w:rPr>
            <w:rStyle w:val="Hyperlink"/>
            <w:rFonts w:ascii="Times New Roman" w:hAnsi="Times New Roman"/>
          </w:rPr>
          <w:t>3.9.1.</w:t>
        </w:r>
        <w:r w:rsidR="004B5E3A" w:rsidRPr="00D51A68">
          <w:rPr>
            <w:rFonts w:asciiTheme="minorHAnsi" w:eastAsiaTheme="minorEastAsia" w:hAnsiTheme="minorHAnsi" w:cstheme="minorBidi"/>
            <w:b w:val="0"/>
            <w:smallCaps w:val="0"/>
            <w:sz w:val="22"/>
            <w:lang w:eastAsia="en-GB" w:bidi="ar-SA"/>
          </w:rPr>
          <w:tab/>
        </w:r>
        <w:r w:rsidR="004B5E3A" w:rsidRPr="00D51A68">
          <w:rPr>
            <w:rStyle w:val="Hyperlink"/>
            <w:rFonts w:ascii="Times New Roman" w:hAnsi="Times New Roman"/>
          </w:rPr>
          <w:t>Osservazioni di carattere generale</w:t>
        </w:r>
        <w:r w:rsidR="004B5E3A" w:rsidRPr="00D51A68">
          <w:rPr>
            <w:webHidden/>
          </w:rPr>
          <w:tab/>
        </w:r>
        <w:r w:rsidR="004B5E3A" w:rsidRPr="00D51A68">
          <w:rPr>
            <w:webHidden/>
          </w:rPr>
          <w:fldChar w:fldCharType="begin"/>
        </w:r>
        <w:r w:rsidR="004B5E3A" w:rsidRPr="00D51A68">
          <w:rPr>
            <w:webHidden/>
          </w:rPr>
          <w:instrText xml:space="preserve"> PAGEREF _Toc524096613 \h </w:instrText>
        </w:r>
        <w:r w:rsidR="004B5E3A" w:rsidRPr="00D51A68">
          <w:rPr>
            <w:webHidden/>
          </w:rPr>
        </w:r>
        <w:r w:rsidR="004B5E3A" w:rsidRPr="00D51A68">
          <w:rPr>
            <w:webHidden/>
          </w:rPr>
          <w:fldChar w:fldCharType="separate"/>
        </w:r>
        <w:r>
          <w:rPr>
            <w:webHidden/>
          </w:rPr>
          <w:t>151</w:t>
        </w:r>
        <w:r w:rsidR="004B5E3A" w:rsidRPr="00D51A68">
          <w:rPr>
            <w:webHidden/>
          </w:rPr>
          <w:fldChar w:fldCharType="end"/>
        </w:r>
      </w:hyperlink>
    </w:p>
    <w:p w:rsidR="004B5E3A" w:rsidRPr="00D51A68" w:rsidRDefault="00DB339B">
      <w:pPr>
        <w:pStyle w:val="TOC2"/>
        <w:rPr>
          <w:rFonts w:asciiTheme="minorHAnsi" w:eastAsiaTheme="minorEastAsia" w:hAnsiTheme="minorHAnsi" w:cstheme="minorBidi"/>
          <w:b w:val="0"/>
          <w:smallCaps w:val="0"/>
          <w:sz w:val="22"/>
          <w:lang w:eastAsia="en-GB" w:bidi="ar-SA"/>
        </w:rPr>
      </w:pPr>
      <w:hyperlink w:anchor="_Toc524096614" w:history="1">
        <w:r w:rsidR="004B5E3A" w:rsidRPr="00D51A68">
          <w:rPr>
            <w:rStyle w:val="Hyperlink"/>
            <w:rFonts w:ascii="Times New Roman" w:hAnsi="Times New Roman"/>
          </w:rPr>
          <w:t>3.9.2.</w:t>
        </w:r>
        <w:r w:rsidR="004B5E3A" w:rsidRPr="00D51A68">
          <w:rPr>
            <w:rFonts w:asciiTheme="minorHAnsi" w:eastAsiaTheme="minorEastAsia" w:hAnsiTheme="minorHAnsi" w:cstheme="minorBidi"/>
            <w:b w:val="0"/>
            <w:smallCaps w:val="0"/>
            <w:sz w:val="22"/>
            <w:lang w:eastAsia="en-GB" w:bidi="ar-SA"/>
          </w:rPr>
          <w:tab/>
        </w:r>
        <w:r w:rsidR="004B5E3A" w:rsidRPr="00D51A68">
          <w:rPr>
            <w:rStyle w:val="Hyperlink"/>
            <w:rFonts w:ascii="Times New Roman" w:hAnsi="Times New Roman"/>
          </w:rPr>
          <w:t>Istruzioni relative a posizioni specifiche</w:t>
        </w:r>
        <w:r w:rsidR="004B5E3A" w:rsidRPr="00D51A68">
          <w:rPr>
            <w:webHidden/>
          </w:rPr>
          <w:tab/>
        </w:r>
        <w:r w:rsidR="004B5E3A" w:rsidRPr="00D51A68">
          <w:rPr>
            <w:webHidden/>
          </w:rPr>
          <w:fldChar w:fldCharType="begin"/>
        </w:r>
        <w:r w:rsidR="004B5E3A" w:rsidRPr="00D51A68">
          <w:rPr>
            <w:webHidden/>
          </w:rPr>
          <w:instrText xml:space="preserve"> PAGEREF _Toc524096614 \h </w:instrText>
        </w:r>
        <w:r w:rsidR="004B5E3A" w:rsidRPr="00D51A68">
          <w:rPr>
            <w:webHidden/>
          </w:rPr>
        </w:r>
        <w:r w:rsidR="004B5E3A" w:rsidRPr="00D51A68">
          <w:rPr>
            <w:webHidden/>
          </w:rPr>
          <w:fldChar w:fldCharType="separate"/>
        </w:r>
        <w:r>
          <w:rPr>
            <w:webHidden/>
          </w:rPr>
          <w:t>152</w:t>
        </w:r>
        <w:r w:rsidR="004B5E3A" w:rsidRPr="00D51A68">
          <w:rPr>
            <w:webHidden/>
          </w:rPr>
          <w:fldChar w:fldCharType="end"/>
        </w:r>
      </w:hyperlink>
    </w:p>
    <w:p w:rsidR="004B5E3A" w:rsidRPr="00D51A68" w:rsidRDefault="00DB339B">
      <w:pPr>
        <w:pStyle w:val="TOC2"/>
        <w:rPr>
          <w:rFonts w:asciiTheme="minorHAnsi" w:eastAsiaTheme="minorEastAsia" w:hAnsiTheme="minorHAnsi" w:cstheme="minorBidi"/>
          <w:b w:val="0"/>
          <w:smallCaps w:val="0"/>
          <w:sz w:val="22"/>
          <w:lang w:eastAsia="en-GB" w:bidi="ar-SA"/>
        </w:rPr>
      </w:pPr>
      <w:hyperlink w:anchor="_Toc524096615" w:history="1">
        <w:r w:rsidR="004B5E3A" w:rsidRPr="00D51A68">
          <w:rPr>
            <w:rStyle w:val="Hyperlink"/>
            <w:rFonts w:ascii="Times New Roman" w:hAnsi="Times New Roman"/>
          </w:rPr>
          <w:t>4.</w:t>
        </w:r>
        <w:r w:rsidR="004B5E3A" w:rsidRPr="00D51A68">
          <w:rPr>
            <w:rFonts w:asciiTheme="minorHAnsi" w:eastAsiaTheme="minorEastAsia" w:hAnsiTheme="minorHAnsi" w:cstheme="minorBidi"/>
            <w:b w:val="0"/>
            <w:smallCaps w:val="0"/>
            <w:sz w:val="22"/>
            <w:lang w:eastAsia="en-GB" w:bidi="ar-SA"/>
          </w:rPr>
          <w:tab/>
        </w:r>
        <w:r w:rsidR="004B5E3A" w:rsidRPr="00D51A68">
          <w:rPr>
            <w:rStyle w:val="Hyperlink"/>
            <w:rFonts w:ascii="Times New Roman" w:hAnsi="Times New Roman"/>
          </w:rPr>
          <w:t>Modelli relativi al rischio operativo</w:t>
        </w:r>
        <w:r w:rsidR="004B5E3A" w:rsidRPr="00D51A68">
          <w:rPr>
            <w:webHidden/>
          </w:rPr>
          <w:tab/>
        </w:r>
        <w:r w:rsidR="004B5E3A" w:rsidRPr="00D51A68">
          <w:rPr>
            <w:webHidden/>
          </w:rPr>
          <w:fldChar w:fldCharType="begin"/>
        </w:r>
        <w:r w:rsidR="004B5E3A" w:rsidRPr="00D51A68">
          <w:rPr>
            <w:webHidden/>
          </w:rPr>
          <w:instrText xml:space="preserve"> PAGEREF _Toc524096615 \h </w:instrText>
        </w:r>
        <w:r w:rsidR="004B5E3A" w:rsidRPr="00D51A68">
          <w:rPr>
            <w:webHidden/>
          </w:rPr>
        </w:r>
        <w:r w:rsidR="004B5E3A" w:rsidRPr="00D51A68">
          <w:rPr>
            <w:webHidden/>
          </w:rPr>
          <w:fldChar w:fldCharType="separate"/>
        </w:r>
        <w:r>
          <w:rPr>
            <w:webHidden/>
          </w:rPr>
          <w:t>166</w:t>
        </w:r>
        <w:r w:rsidR="004B5E3A" w:rsidRPr="00D51A68">
          <w:rPr>
            <w:webHidden/>
          </w:rPr>
          <w:fldChar w:fldCharType="end"/>
        </w:r>
      </w:hyperlink>
    </w:p>
    <w:p w:rsidR="004B5E3A" w:rsidRPr="00D51A68" w:rsidRDefault="00DB339B">
      <w:pPr>
        <w:pStyle w:val="TOC2"/>
        <w:rPr>
          <w:rFonts w:asciiTheme="minorHAnsi" w:eastAsiaTheme="minorEastAsia" w:hAnsiTheme="minorHAnsi" w:cstheme="minorBidi"/>
          <w:b w:val="0"/>
          <w:smallCaps w:val="0"/>
          <w:sz w:val="22"/>
          <w:lang w:eastAsia="en-GB" w:bidi="ar-SA"/>
        </w:rPr>
      </w:pPr>
      <w:hyperlink w:anchor="_Toc524096616" w:history="1">
        <w:r w:rsidR="004B5E3A" w:rsidRPr="00D51A68">
          <w:rPr>
            <w:rStyle w:val="Hyperlink"/>
            <w:rFonts w:ascii="Times New Roman" w:hAnsi="Times New Roman"/>
          </w:rPr>
          <w:t>4.1</w:t>
        </w:r>
        <w:r w:rsidR="004B5E3A" w:rsidRPr="00D51A68">
          <w:rPr>
            <w:rFonts w:asciiTheme="minorHAnsi" w:eastAsiaTheme="minorEastAsia" w:hAnsiTheme="minorHAnsi" w:cstheme="minorBidi"/>
            <w:b w:val="0"/>
            <w:smallCaps w:val="0"/>
            <w:sz w:val="22"/>
            <w:lang w:eastAsia="en-GB" w:bidi="ar-SA"/>
          </w:rPr>
          <w:tab/>
        </w:r>
        <w:r w:rsidR="004B5E3A" w:rsidRPr="00D51A68">
          <w:rPr>
            <w:rStyle w:val="Hyperlink"/>
          </w:rPr>
          <w:t xml:space="preserve"> </w:t>
        </w:r>
        <w:r w:rsidR="004B5E3A" w:rsidRPr="00D51A68">
          <w:rPr>
            <w:rStyle w:val="Hyperlink"/>
            <w:rFonts w:ascii="Times New Roman" w:hAnsi="Times New Roman"/>
          </w:rPr>
          <w:t>C 16.00 — Rischio operativo (OPR)</w:t>
        </w:r>
        <w:r w:rsidR="004B5E3A" w:rsidRPr="00D51A68">
          <w:rPr>
            <w:webHidden/>
          </w:rPr>
          <w:tab/>
        </w:r>
        <w:r w:rsidR="004B5E3A" w:rsidRPr="00D51A68">
          <w:rPr>
            <w:webHidden/>
          </w:rPr>
          <w:fldChar w:fldCharType="begin"/>
        </w:r>
        <w:r w:rsidR="004B5E3A" w:rsidRPr="00D51A68">
          <w:rPr>
            <w:webHidden/>
          </w:rPr>
          <w:instrText xml:space="preserve"> PAGEREF _Toc524096616 \h </w:instrText>
        </w:r>
        <w:r w:rsidR="004B5E3A" w:rsidRPr="00D51A68">
          <w:rPr>
            <w:webHidden/>
          </w:rPr>
        </w:r>
        <w:r w:rsidR="004B5E3A" w:rsidRPr="00D51A68">
          <w:rPr>
            <w:webHidden/>
          </w:rPr>
          <w:fldChar w:fldCharType="separate"/>
        </w:r>
        <w:r>
          <w:rPr>
            <w:webHidden/>
          </w:rPr>
          <w:t>166</w:t>
        </w:r>
        <w:r w:rsidR="004B5E3A" w:rsidRPr="00D51A68">
          <w:rPr>
            <w:webHidden/>
          </w:rPr>
          <w:fldChar w:fldCharType="end"/>
        </w:r>
      </w:hyperlink>
    </w:p>
    <w:p w:rsidR="004B5E3A" w:rsidRPr="00D51A68" w:rsidRDefault="00DB339B">
      <w:pPr>
        <w:pStyle w:val="TOC2"/>
        <w:rPr>
          <w:rFonts w:asciiTheme="minorHAnsi" w:eastAsiaTheme="minorEastAsia" w:hAnsiTheme="minorHAnsi" w:cstheme="minorBidi"/>
          <w:b w:val="0"/>
          <w:smallCaps w:val="0"/>
          <w:sz w:val="22"/>
          <w:lang w:eastAsia="en-GB" w:bidi="ar-SA"/>
        </w:rPr>
      </w:pPr>
      <w:hyperlink w:anchor="_Toc524096617" w:history="1">
        <w:r w:rsidR="004B5E3A" w:rsidRPr="00D51A68">
          <w:rPr>
            <w:rStyle w:val="Hyperlink"/>
            <w:rFonts w:ascii="Times New Roman" w:hAnsi="Times New Roman"/>
          </w:rPr>
          <w:t>4.1.1</w:t>
        </w:r>
        <w:r w:rsidR="004B5E3A" w:rsidRPr="00D51A68">
          <w:rPr>
            <w:rFonts w:asciiTheme="minorHAnsi" w:eastAsiaTheme="minorEastAsia" w:hAnsiTheme="minorHAnsi" w:cstheme="minorBidi"/>
            <w:b w:val="0"/>
            <w:smallCaps w:val="0"/>
            <w:sz w:val="22"/>
            <w:lang w:eastAsia="en-GB" w:bidi="ar-SA"/>
          </w:rPr>
          <w:tab/>
        </w:r>
        <w:r w:rsidR="004B5E3A" w:rsidRPr="00D51A68">
          <w:rPr>
            <w:rStyle w:val="Hyperlink"/>
            <w:rFonts w:ascii="Times New Roman" w:hAnsi="Times New Roman"/>
          </w:rPr>
          <w:t>Osservazioni di carattere generale</w:t>
        </w:r>
        <w:r w:rsidR="004B5E3A" w:rsidRPr="00D51A68">
          <w:rPr>
            <w:webHidden/>
          </w:rPr>
          <w:tab/>
        </w:r>
        <w:r w:rsidR="004B5E3A" w:rsidRPr="00D51A68">
          <w:rPr>
            <w:webHidden/>
          </w:rPr>
          <w:fldChar w:fldCharType="begin"/>
        </w:r>
        <w:r w:rsidR="004B5E3A" w:rsidRPr="00D51A68">
          <w:rPr>
            <w:webHidden/>
          </w:rPr>
          <w:instrText xml:space="preserve"> PAGEREF _Toc524096617 \h </w:instrText>
        </w:r>
        <w:r w:rsidR="004B5E3A" w:rsidRPr="00D51A68">
          <w:rPr>
            <w:webHidden/>
          </w:rPr>
        </w:r>
        <w:r w:rsidR="004B5E3A" w:rsidRPr="00D51A68">
          <w:rPr>
            <w:webHidden/>
          </w:rPr>
          <w:fldChar w:fldCharType="separate"/>
        </w:r>
        <w:r>
          <w:rPr>
            <w:webHidden/>
          </w:rPr>
          <w:t>166</w:t>
        </w:r>
        <w:r w:rsidR="004B5E3A" w:rsidRPr="00D51A68">
          <w:rPr>
            <w:webHidden/>
          </w:rPr>
          <w:fldChar w:fldCharType="end"/>
        </w:r>
      </w:hyperlink>
    </w:p>
    <w:p w:rsidR="004B5E3A" w:rsidRPr="00D51A68" w:rsidRDefault="00DB339B">
      <w:pPr>
        <w:pStyle w:val="TOC2"/>
        <w:rPr>
          <w:rFonts w:asciiTheme="minorHAnsi" w:eastAsiaTheme="minorEastAsia" w:hAnsiTheme="minorHAnsi" w:cstheme="minorBidi"/>
          <w:b w:val="0"/>
          <w:smallCaps w:val="0"/>
          <w:sz w:val="22"/>
          <w:lang w:eastAsia="en-GB" w:bidi="ar-SA"/>
        </w:rPr>
      </w:pPr>
      <w:hyperlink w:anchor="_Toc524096618" w:history="1">
        <w:r w:rsidR="004B5E3A" w:rsidRPr="00D51A68">
          <w:rPr>
            <w:rStyle w:val="Hyperlink"/>
            <w:rFonts w:ascii="Times New Roman" w:hAnsi="Times New Roman"/>
          </w:rPr>
          <w:t>4.1.2.</w:t>
        </w:r>
        <w:r w:rsidR="004B5E3A" w:rsidRPr="00D51A68">
          <w:rPr>
            <w:rFonts w:asciiTheme="minorHAnsi" w:eastAsiaTheme="minorEastAsia" w:hAnsiTheme="minorHAnsi" w:cstheme="minorBidi"/>
            <w:b w:val="0"/>
            <w:smallCaps w:val="0"/>
            <w:sz w:val="22"/>
            <w:lang w:eastAsia="en-GB" w:bidi="ar-SA"/>
          </w:rPr>
          <w:tab/>
        </w:r>
        <w:r w:rsidR="004B5E3A" w:rsidRPr="00D51A68">
          <w:rPr>
            <w:rStyle w:val="Hyperlink"/>
            <w:rFonts w:ascii="Times New Roman" w:hAnsi="Times New Roman"/>
          </w:rPr>
          <w:t>Istruzioni relative a posizioni specifiche</w:t>
        </w:r>
        <w:r w:rsidR="004B5E3A" w:rsidRPr="00D51A68">
          <w:rPr>
            <w:webHidden/>
          </w:rPr>
          <w:tab/>
        </w:r>
        <w:r w:rsidR="004B5E3A" w:rsidRPr="00D51A68">
          <w:rPr>
            <w:webHidden/>
          </w:rPr>
          <w:fldChar w:fldCharType="begin"/>
        </w:r>
        <w:r w:rsidR="004B5E3A" w:rsidRPr="00D51A68">
          <w:rPr>
            <w:webHidden/>
          </w:rPr>
          <w:instrText xml:space="preserve"> PAGEREF _Toc524096618 \h </w:instrText>
        </w:r>
        <w:r w:rsidR="004B5E3A" w:rsidRPr="00D51A68">
          <w:rPr>
            <w:webHidden/>
          </w:rPr>
        </w:r>
        <w:r w:rsidR="004B5E3A" w:rsidRPr="00D51A68">
          <w:rPr>
            <w:webHidden/>
          </w:rPr>
          <w:fldChar w:fldCharType="separate"/>
        </w:r>
        <w:r>
          <w:rPr>
            <w:webHidden/>
          </w:rPr>
          <w:t>167</w:t>
        </w:r>
        <w:r w:rsidR="004B5E3A" w:rsidRPr="00D51A68">
          <w:rPr>
            <w:webHidden/>
          </w:rPr>
          <w:fldChar w:fldCharType="end"/>
        </w:r>
      </w:hyperlink>
    </w:p>
    <w:p w:rsidR="004B5E3A" w:rsidRPr="00D51A68" w:rsidRDefault="00DB339B">
      <w:pPr>
        <w:pStyle w:val="TOC2"/>
        <w:rPr>
          <w:rFonts w:asciiTheme="minorHAnsi" w:eastAsiaTheme="minorEastAsia" w:hAnsiTheme="minorHAnsi" w:cstheme="minorBidi"/>
          <w:b w:val="0"/>
          <w:smallCaps w:val="0"/>
          <w:sz w:val="22"/>
          <w:lang w:eastAsia="en-GB" w:bidi="ar-SA"/>
        </w:rPr>
      </w:pPr>
      <w:hyperlink w:anchor="_Toc524096619" w:history="1">
        <w:r w:rsidR="004B5E3A" w:rsidRPr="00D51A68">
          <w:rPr>
            <w:rStyle w:val="Hyperlink"/>
            <w:rFonts w:ascii="Times New Roman" w:hAnsi="Times New Roman"/>
          </w:rPr>
          <w:t>4.2.</w:t>
        </w:r>
        <w:r w:rsidR="004B5E3A" w:rsidRPr="00D51A68">
          <w:rPr>
            <w:rFonts w:asciiTheme="minorHAnsi" w:eastAsiaTheme="minorEastAsia" w:hAnsiTheme="minorHAnsi" w:cstheme="minorBidi"/>
            <w:b w:val="0"/>
            <w:smallCaps w:val="0"/>
            <w:sz w:val="22"/>
            <w:lang w:eastAsia="en-GB" w:bidi="ar-SA"/>
          </w:rPr>
          <w:tab/>
        </w:r>
        <w:r w:rsidR="004B5E3A" w:rsidRPr="00D51A68">
          <w:rPr>
            <w:rStyle w:val="Hyperlink"/>
            <w:rFonts w:ascii="Times New Roman" w:hAnsi="Times New Roman"/>
          </w:rPr>
          <w:t>Rischio operativo: informazioni dettagliate sulle perdite nel corso dell’ultimo anno (OPR DETAILS)</w:t>
        </w:r>
        <w:r w:rsidR="004B5E3A" w:rsidRPr="00D51A68">
          <w:rPr>
            <w:webHidden/>
          </w:rPr>
          <w:tab/>
        </w:r>
        <w:r w:rsidR="004B5E3A" w:rsidRPr="00D51A68">
          <w:rPr>
            <w:webHidden/>
          </w:rPr>
          <w:fldChar w:fldCharType="begin"/>
        </w:r>
        <w:r w:rsidR="004B5E3A" w:rsidRPr="00D51A68">
          <w:rPr>
            <w:webHidden/>
          </w:rPr>
          <w:instrText xml:space="preserve"> PAGEREF _Toc524096619 \h </w:instrText>
        </w:r>
        <w:r w:rsidR="004B5E3A" w:rsidRPr="00D51A68">
          <w:rPr>
            <w:webHidden/>
          </w:rPr>
        </w:r>
        <w:r w:rsidR="004B5E3A" w:rsidRPr="00D51A68">
          <w:rPr>
            <w:webHidden/>
          </w:rPr>
          <w:fldChar w:fldCharType="separate"/>
        </w:r>
        <w:r>
          <w:rPr>
            <w:webHidden/>
          </w:rPr>
          <w:t>170</w:t>
        </w:r>
        <w:r w:rsidR="004B5E3A" w:rsidRPr="00D51A68">
          <w:rPr>
            <w:webHidden/>
          </w:rPr>
          <w:fldChar w:fldCharType="end"/>
        </w:r>
      </w:hyperlink>
    </w:p>
    <w:p w:rsidR="004B5E3A" w:rsidRPr="00D51A68" w:rsidRDefault="00DB339B">
      <w:pPr>
        <w:pStyle w:val="TOC2"/>
        <w:rPr>
          <w:rFonts w:asciiTheme="minorHAnsi" w:eastAsiaTheme="minorEastAsia" w:hAnsiTheme="minorHAnsi" w:cstheme="minorBidi"/>
          <w:b w:val="0"/>
          <w:smallCaps w:val="0"/>
          <w:sz w:val="22"/>
          <w:lang w:eastAsia="en-GB" w:bidi="ar-SA"/>
        </w:rPr>
      </w:pPr>
      <w:hyperlink w:anchor="_Toc524096620" w:history="1">
        <w:r w:rsidR="004B5E3A" w:rsidRPr="00D51A68">
          <w:rPr>
            <w:rStyle w:val="Hyperlink"/>
            <w:rFonts w:ascii="Times New Roman" w:hAnsi="Times New Roman"/>
          </w:rPr>
          <w:t>4.2.1.</w:t>
        </w:r>
        <w:r w:rsidR="004B5E3A" w:rsidRPr="00D51A68">
          <w:rPr>
            <w:rFonts w:asciiTheme="minorHAnsi" w:eastAsiaTheme="minorEastAsia" w:hAnsiTheme="minorHAnsi" w:cstheme="minorBidi"/>
            <w:b w:val="0"/>
            <w:smallCaps w:val="0"/>
            <w:sz w:val="22"/>
            <w:lang w:eastAsia="en-GB" w:bidi="ar-SA"/>
          </w:rPr>
          <w:tab/>
        </w:r>
        <w:r w:rsidR="004B5E3A" w:rsidRPr="00D51A68">
          <w:rPr>
            <w:rStyle w:val="Hyperlink"/>
            <w:rFonts w:ascii="Times New Roman" w:hAnsi="Times New Roman"/>
          </w:rPr>
          <w:t>Osservazioni di carattere generale</w:t>
        </w:r>
        <w:r w:rsidR="004B5E3A" w:rsidRPr="00D51A68">
          <w:rPr>
            <w:webHidden/>
          </w:rPr>
          <w:tab/>
        </w:r>
        <w:r w:rsidR="004B5E3A" w:rsidRPr="00D51A68">
          <w:rPr>
            <w:webHidden/>
          </w:rPr>
          <w:fldChar w:fldCharType="begin"/>
        </w:r>
        <w:r w:rsidR="004B5E3A" w:rsidRPr="00D51A68">
          <w:rPr>
            <w:webHidden/>
          </w:rPr>
          <w:instrText xml:space="preserve"> PAGEREF _Toc524096620 \h </w:instrText>
        </w:r>
        <w:r w:rsidR="004B5E3A" w:rsidRPr="00D51A68">
          <w:rPr>
            <w:webHidden/>
          </w:rPr>
        </w:r>
        <w:r w:rsidR="004B5E3A" w:rsidRPr="00D51A68">
          <w:rPr>
            <w:webHidden/>
          </w:rPr>
          <w:fldChar w:fldCharType="separate"/>
        </w:r>
        <w:r>
          <w:rPr>
            <w:webHidden/>
          </w:rPr>
          <w:t>170</w:t>
        </w:r>
        <w:r w:rsidR="004B5E3A" w:rsidRPr="00D51A68">
          <w:rPr>
            <w:webHidden/>
          </w:rPr>
          <w:fldChar w:fldCharType="end"/>
        </w:r>
      </w:hyperlink>
    </w:p>
    <w:p w:rsidR="004B5E3A" w:rsidRPr="00D51A68" w:rsidRDefault="00DB339B">
      <w:pPr>
        <w:pStyle w:val="TOC2"/>
        <w:rPr>
          <w:rFonts w:asciiTheme="minorHAnsi" w:eastAsiaTheme="minorEastAsia" w:hAnsiTheme="minorHAnsi" w:cstheme="minorBidi"/>
          <w:b w:val="0"/>
          <w:smallCaps w:val="0"/>
          <w:sz w:val="22"/>
          <w:lang w:eastAsia="en-GB" w:bidi="ar-SA"/>
        </w:rPr>
      </w:pPr>
      <w:hyperlink w:anchor="_Toc524096621" w:history="1">
        <w:r w:rsidR="004B5E3A" w:rsidRPr="00D51A68">
          <w:rPr>
            <w:rStyle w:val="Hyperlink"/>
            <w:rFonts w:ascii="Times New Roman" w:hAnsi="Times New Roman"/>
          </w:rPr>
          <w:t>4.2.2.</w:t>
        </w:r>
        <w:r w:rsidR="004B5E3A" w:rsidRPr="00D51A68">
          <w:rPr>
            <w:rFonts w:asciiTheme="minorHAnsi" w:eastAsiaTheme="minorEastAsia" w:hAnsiTheme="minorHAnsi" w:cstheme="minorBidi"/>
            <w:b w:val="0"/>
            <w:smallCaps w:val="0"/>
            <w:sz w:val="22"/>
            <w:lang w:eastAsia="en-GB" w:bidi="ar-SA"/>
          </w:rPr>
          <w:tab/>
        </w:r>
        <w:r w:rsidR="004B5E3A" w:rsidRPr="00D51A68">
          <w:rPr>
            <w:rStyle w:val="Hyperlink"/>
            <w:rFonts w:ascii="Times New Roman" w:hAnsi="Times New Roman"/>
          </w:rPr>
          <w:t>C 17.01: Perdite e recuperi da rischio operativo per linea di business e tipologia di evento nell’ultimo anno (OPR DETAILS 1)</w:t>
        </w:r>
        <w:r w:rsidR="004B5E3A" w:rsidRPr="00D51A68">
          <w:rPr>
            <w:webHidden/>
          </w:rPr>
          <w:tab/>
        </w:r>
        <w:r w:rsidR="004B5E3A" w:rsidRPr="00D51A68">
          <w:rPr>
            <w:webHidden/>
          </w:rPr>
          <w:fldChar w:fldCharType="begin"/>
        </w:r>
        <w:r w:rsidR="004B5E3A" w:rsidRPr="00D51A68">
          <w:rPr>
            <w:webHidden/>
          </w:rPr>
          <w:instrText xml:space="preserve"> PAGEREF _Toc524096621 \h </w:instrText>
        </w:r>
        <w:r w:rsidR="004B5E3A" w:rsidRPr="00D51A68">
          <w:rPr>
            <w:webHidden/>
          </w:rPr>
        </w:r>
        <w:r w:rsidR="004B5E3A" w:rsidRPr="00D51A68">
          <w:rPr>
            <w:webHidden/>
          </w:rPr>
          <w:fldChar w:fldCharType="separate"/>
        </w:r>
        <w:r>
          <w:rPr>
            <w:webHidden/>
          </w:rPr>
          <w:t>171</w:t>
        </w:r>
        <w:r w:rsidR="004B5E3A" w:rsidRPr="00D51A68">
          <w:rPr>
            <w:webHidden/>
          </w:rPr>
          <w:fldChar w:fldCharType="end"/>
        </w:r>
      </w:hyperlink>
    </w:p>
    <w:p w:rsidR="004B5E3A" w:rsidRPr="00D51A68" w:rsidRDefault="00DB339B">
      <w:pPr>
        <w:pStyle w:val="TOC2"/>
        <w:rPr>
          <w:rFonts w:asciiTheme="minorHAnsi" w:eastAsiaTheme="minorEastAsia" w:hAnsiTheme="minorHAnsi" w:cstheme="minorBidi"/>
          <w:b w:val="0"/>
          <w:smallCaps w:val="0"/>
          <w:sz w:val="22"/>
          <w:lang w:eastAsia="en-GB" w:bidi="ar-SA"/>
        </w:rPr>
      </w:pPr>
      <w:hyperlink w:anchor="_Toc524096622" w:history="1">
        <w:r w:rsidR="004B5E3A" w:rsidRPr="00D51A68">
          <w:rPr>
            <w:rStyle w:val="Hyperlink"/>
            <w:rFonts w:ascii="Times New Roman" w:hAnsi="Times New Roman"/>
          </w:rPr>
          <w:t>4.2.2.1.</w:t>
        </w:r>
        <w:r w:rsidR="004B5E3A" w:rsidRPr="00D51A68">
          <w:rPr>
            <w:rFonts w:asciiTheme="minorHAnsi" w:eastAsiaTheme="minorEastAsia" w:hAnsiTheme="minorHAnsi" w:cstheme="minorBidi"/>
            <w:b w:val="0"/>
            <w:smallCaps w:val="0"/>
            <w:sz w:val="22"/>
            <w:lang w:eastAsia="en-GB" w:bidi="ar-SA"/>
          </w:rPr>
          <w:tab/>
        </w:r>
        <w:r w:rsidR="004B5E3A" w:rsidRPr="00D51A68">
          <w:rPr>
            <w:rStyle w:val="Hyperlink"/>
            <w:rFonts w:ascii="Times New Roman" w:hAnsi="Times New Roman"/>
          </w:rPr>
          <w:t>Osservazioni di carattere generale</w:t>
        </w:r>
        <w:r w:rsidR="004B5E3A" w:rsidRPr="00D51A68">
          <w:rPr>
            <w:webHidden/>
          </w:rPr>
          <w:tab/>
        </w:r>
        <w:r w:rsidR="004B5E3A" w:rsidRPr="00D51A68">
          <w:rPr>
            <w:webHidden/>
          </w:rPr>
          <w:fldChar w:fldCharType="begin"/>
        </w:r>
        <w:r w:rsidR="004B5E3A" w:rsidRPr="00D51A68">
          <w:rPr>
            <w:webHidden/>
          </w:rPr>
          <w:instrText xml:space="preserve"> PAGEREF _Toc524096622 \h </w:instrText>
        </w:r>
        <w:r w:rsidR="004B5E3A" w:rsidRPr="00D51A68">
          <w:rPr>
            <w:webHidden/>
          </w:rPr>
        </w:r>
        <w:r w:rsidR="004B5E3A" w:rsidRPr="00D51A68">
          <w:rPr>
            <w:webHidden/>
          </w:rPr>
          <w:fldChar w:fldCharType="separate"/>
        </w:r>
        <w:r>
          <w:rPr>
            <w:webHidden/>
          </w:rPr>
          <w:t>171</w:t>
        </w:r>
        <w:r w:rsidR="004B5E3A" w:rsidRPr="00D51A68">
          <w:rPr>
            <w:webHidden/>
          </w:rPr>
          <w:fldChar w:fldCharType="end"/>
        </w:r>
      </w:hyperlink>
    </w:p>
    <w:p w:rsidR="004B5E3A" w:rsidRPr="00D51A68" w:rsidRDefault="00DB339B">
      <w:pPr>
        <w:pStyle w:val="TOC2"/>
        <w:rPr>
          <w:rFonts w:asciiTheme="minorHAnsi" w:eastAsiaTheme="minorEastAsia" w:hAnsiTheme="minorHAnsi" w:cstheme="minorBidi"/>
          <w:b w:val="0"/>
          <w:smallCaps w:val="0"/>
          <w:sz w:val="22"/>
          <w:lang w:eastAsia="en-GB" w:bidi="ar-SA"/>
        </w:rPr>
      </w:pPr>
      <w:hyperlink w:anchor="_Toc524096623" w:history="1">
        <w:r w:rsidR="004B5E3A" w:rsidRPr="00D51A68">
          <w:rPr>
            <w:rStyle w:val="Hyperlink"/>
            <w:rFonts w:ascii="Times New Roman" w:hAnsi="Times New Roman"/>
          </w:rPr>
          <w:t>4.2.2.2.</w:t>
        </w:r>
        <w:r w:rsidR="004B5E3A" w:rsidRPr="00D51A68">
          <w:rPr>
            <w:rFonts w:asciiTheme="minorHAnsi" w:eastAsiaTheme="minorEastAsia" w:hAnsiTheme="minorHAnsi" w:cstheme="minorBidi"/>
            <w:b w:val="0"/>
            <w:smallCaps w:val="0"/>
            <w:sz w:val="22"/>
            <w:lang w:eastAsia="en-GB" w:bidi="ar-SA"/>
          </w:rPr>
          <w:tab/>
        </w:r>
        <w:r w:rsidR="004B5E3A" w:rsidRPr="00D51A68">
          <w:rPr>
            <w:rStyle w:val="Hyperlink"/>
            <w:rFonts w:ascii="Times New Roman" w:hAnsi="Times New Roman"/>
          </w:rPr>
          <w:t>Istruzioni relative a posizioni specifiche</w:t>
        </w:r>
        <w:r w:rsidR="004B5E3A" w:rsidRPr="00D51A68">
          <w:rPr>
            <w:webHidden/>
          </w:rPr>
          <w:tab/>
        </w:r>
        <w:r w:rsidR="004B5E3A" w:rsidRPr="00D51A68">
          <w:rPr>
            <w:webHidden/>
          </w:rPr>
          <w:fldChar w:fldCharType="begin"/>
        </w:r>
        <w:r w:rsidR="004B5E3A" w:rsidRPr="00D51A68">
          <w:rPr>
            <w:webHidden/>
          </w:rPr>
          <w:instrText xml:space="preserve"> PAGEREF _Toc524096623 \h </w:instrText>
        </w:r>
        <w:r w:rsidR="004B5E3A" w:rsidRPr="00D51A68">
          <w:rPr>
            <w:webHidden/>
          </w:rPr>
        </w:r>
        <w:r w:rsidR="004B5E3A" w:rsidRPr="00D51A68">
          <w:rPr>
            <w:webHidden/>
          </w:rPr>
          <w:fldChar w:fldCharType="separate"/>
        </w:r>
        <w:r>
          <w:rPr>
            <w:webHidden/>
          </w:rPr>
          <w:t>172</w:t>
        </w:r>
        <w:r w:rsidR="004B5E3A" w:rsidRPr="00D51A68">
          <w:rPr>
            <w:webHidden/>
          </w:rPr>
          <w:fldChar w:fldCharType="end"/>
        </w:r>
      </w:hyperlink>
    </w:p>
    <w:p w:rsidR="004B5E3A" w:rsidRPr="00D51A68" w:rsidRDefault="00DB339B">
      <w:pPr>
        <w:pStyle w:val="TOC2"/>
        <w:rPr>
          <w:rFonts w:asciiTheme="minorHAnsi" w:eastAsiaTheme="minorEastAsia" w:hAnsiTheme="minorHAnsi" w:cstheme="minorBidi"/>
          <w:b w:val="0"/>
          <w:smallCaps w:val="0"/>
          <w:sz w:val="22"/>
          <w:lang w:eastAsia="en-GB" w:bidi="ar-SA"/>
        </w:rPr>
      </w:pPr>
      <w:hyperlink w:anchor="_Toc524096624" w:history="1">
        <w:r w:rsidR="004B5E3A" w:rsidRPr="00D51A68">
          <w:rPr>
            <w:rStyle w:val="Hyperlink"/>
            <w:rFonts w:ascii="Times New Roman" w:hAnsi="Times New Roman"/>
          </w:rPr>
          <w:t>4.2.3.</w:t>
        </w:r>
        <w:r w:rsidR="004B5E3A" w:rsidRPr="00D51A68">
          <w:rPr>
            <w:rFonts w:asciiTheme="minorHAnsi" w:eastAsiaTheme="minorEastAsia" w:hAnsiTheme="minorHAnsi" w:cstheme="minorBidi"/>
            <w:b w:val="0"/>
            <w:smallCaps w:val="0"/>
            <w:sz w:val="22"/>
            <w:lang w:eastAsia="en-GB" w:bidi="ar-SA"/>
          </w:rPr>
          <w:tab/>
        </w:r>
        <w:r w:rsidR="004B5E3A" w:rsidRPr="00D51A68">
          <w:rPr>
            <w:rStyle w:val="Hyperlink"/>
            <w:rFonts w:ascii="Times New Roman" w:hAnsi="Times New Roman"/>
          </w:rPr>
          <w:t>C 17.02: Rischio operativo: informazioni dettagliate sui principali eventi di perdita nel corso dell’ultimo anno (OPR DETAILS 2)</w:t>
        </w:r>
        <w:r w:rsidR="004B5E3A" w:rsidRPr="00D51A68">
          <w:rPr>
            <w:webHidden/>
          </w:rPr>
          <w:tab/>
        </w:r>
        <w:r w:rsidR="004B5E3A" w:rsidRPr="00D51A68">
          <w:rPr>
            <w:webHidden/>
          </w:rPr>
          <w:fldChar w:fldCharType="begin"/>
        </w:r>
        <w:r w:rsidR="004B5E3A" w:rsidRPr="00D51A68">
          <w:rPr>
            <w:webHidden/>
          </w:rPr>
          <w:instrText xml:space="preserve"> PAGEREF _Toc524096624 \h </w:instrText>
        </w:r>
        <w:r w:rsidR="004B5E3A" w:rsidRPr="00D51A68">
          <w:rPr>
            <w:webHidden/>
          </w:rPr>
        </w:r>
        <w:r w:rsidR="004B5E3A" w:rsidRPr="00D51A68">
          <w:rPr>
            <w:webHidden/>
          </w:rPr>
          <w:fldChar w:fldCharType="separate"/>
        </w:r>
        <w:r>
          <w:rPr>
            <w:webHidden/>
          </w:rPr>
          <w:t>179</w:t>
        </w:r>
        <w:r w:rsidR="004B5E3A" w:rsidRPr="00D51A68">
          <w:rPr>
            <w:webHidden/>
          </w:rPr>
          <w:fldChar w:fldCharType="end"/>
        </w:r>
      </w:hyperlink>
    </w:p>
    <w:p w:rsidR="004B5E3A" w:rsidRPr="00D51A68" w:rsidRDefault="00DB339B">
      <w:pPr>
        <w:pStyle w:val="TOC2"/>
        <w:rPr>
          <w:rFonts w:asciiTheme="minorHAnsi" w:eastAsiaTheme="minorEastAsia" w:hAnsiTheme="minorHAnsi" w:cstheme="minorBidi"/>
          <w:b w:val="0"/>
          <w:smallCaps w:val="0"/>
          <w:sz w:val="22"/>
          <w:lang w:eastAsia="en-GB" w:bidi="ar-SA"/>
        </w:rPr>
      </w:pPr>
      <w:hyperlink w:anchor="_Toc524096625" w:history="1">
        <w:r w:rsidR="004B5E3A" w:rsidRPr="00D51A68">
          <w:rPr>
            <w:rStyle w:val="Hyperlink"/>
            <w:rFonts w:ascii="Times New Roman" w:hAnsi="Times New Roman"/>
          </w:rPr>
          <w:t>4.2.3.1.</w:t>
        </w:r>
        <w:r w:rsidR="004B5E3A" w:rsidRPr="00D51A68">
          <w:rPr>
            <w:rFonts w:asciiTheme="minorHAnsi" w:eastAsiaTheme="minorEastAsia" w:hAnsiTheme="minorHAnsi" w:cstheme="minorBidi"/>
            <w:b w:val="0"/>
            <w:smallCaps w:val="0"/>
            <w:sz w:val="22"/>
            <w:lang w:eastAsia="en-GB" w:bidi="ar-SA"/>
          </w:rPr>
          <w:tab/>
        </w:r>
        <w:r w:rsidR="004B5E3A" w:rsidRPr="00D51A68">
          <w:rPr>
            <w:rStyle w:val="Hyperlink"/>
            <w:rFonts w:ascii="Times New Roman" w:hAnsi="Times New Roman"/>
          </w:rPr>
          <w:t>Osservazioni di carattere generale</w:t>
        </w:r>
        <w:r w:rsidR="004B5E3A" w:rsidRPr="00D51A68">
          <w:rPr>
            <w:webHidden/>
          </w:rPr>
          <w:tab/>
        </w:r>
        <w:r w:rsidR="004B5E3A" w:rsidRPr="00D51A68">
          <w:rPr>
            <w:webHidden/>
          </w:rPr>
          <w:fldChar w:fldCharType="begin"/>
        </w:r>
        <w:r w:rsidR="004B5E3A" w:rsidRPr="00D51A68">
          <w:rPr>
            <w:webHidden/>
          </w:rPr>
          <w:instrText xml:space="preserve"> PAGEREF _Toc524096625 \h </w:instrText>
        </w:r>
        <w:r w:rsidR="004B5E3A" w:rsidRPr="00D51A68">
          <w:rPr>
            <w:webHidden/>
          </w:rPr>
        </w:r>
        <w:r w:rsidR="004B5E3A" w:rsidRPr="00D51A68">
          <w:rPr>
            <w:webHidden/>
          </w:rPr>
          <w:fldChar w:fldCharType="separate"/>
        </w:r>
        <w:r>
          <w:rPr>
            <w:webHidden/>
          </w:rPr>
          <w:t>179</w:t>
        </w:r>
        <w:r w:rsidR="004B5E3A" w:rsidRPr="00D51A68">
          <w:rPr>
            <w:webHidden/>
          </w:rPr>
          <w:fldChar w:fldCharType="end"/>
        </w:r>
      </w:hyperlink>
    </w:p>
    <w:p w:rsidR="004B5E3A" w:rsidRPr="00D51A68" w:rsidRDefault="00DB339B">
      <w:pPr>
        <w:pStyle w:val="TOC2"/>
        <w:rPr>
          <w:rFonts w:asciiTheme="minorHAnsi" w:eastAsiaTheme="minorEastAsia" w:hAnsiTheme="minorHAnsi" w:cstheme="minorBidi"/>
          <w:b w:val="0"/>
          <w:smallCaps w:val="0"/>
          <w:sz w:val="22"/>
          <w:lang w:eastAsia="en-GB" w:bidi="ar-SA"/>
        </w:rPr>
      </w:pPr>
      <w:hyperlink w:anchor="_Toc524096626" w:history="1">
        <w:r w:rsidR="004B5E3A" w:rsidRPr="00D51A68">
          <w:rPr>
            <w:rStyle w:val="Hyperlink"/>
            <w:rFonts w:ascii="Times New Roman" w:hAnsi="Times New Roman"/>
          </w:rPr>
          <w:t>4.2.3.2.</w:t>
        </w:r>
        <w:r w:rsidR="004B5E3A" w:rsidRPr="00D51A68">
          <w:rPr>
            <w:rFonts w:asciiTheme="minorHAnsi" w:eastAsiaTheme="minorEastAsia" w:hAnsiTheme="minorHAnsi" w:cstheme="minorBidi"/>
            <w:b w:val="0"/>
            <w:smallCaps w:val="0"/>
            <w:sz w:val="22"/>
            <w:lang w:eastAsia="en-GB" w:bidi="ar-SA"/>
          </w:rPr>
          <w:tab/>
        </w:r>
        <w:r w:rsidR="004B5E3A" w:rsidRPr="00D51A68">
          <w:rPr>
            <w:rStyle w:val="Hyperlink"/>
            <w:rFonts w:ascii="Times New Roman" w:hAnsi="Times New Roman"/>
          </w:rPr>
          <w:t>Istruzioni relative a posizioni specifiche</w:t>
        </w:r>
        <w:r w:rsidR="004B5E3A" w:rsidRPr="00D51A68">
          <w:rPr>
            <w:webHidden/>
          </w:rPr>
          <w:tab/>
        </w:r>
        <w:r w:rsidR="004B5E3A" w:rsidRPr="00D51A68">
          <w:rPr>
            <w:webHidden/>
          </w:rPr>
          <w:fldChar w:fldCharType="begin"/>
        </w:r>
        <w:r w:rsidR="004B5E3A" w:rsidRPr="00D51A68">
          <w:rPr>
            <w:webHidden/>
          </w:rPr>
          <w:instrText xml:space="preserve"> PAGEREF _Toc524096626 \h </w:instrText>
        </w:r>
        <w:r w:rsidR="004B5E3A" w:rsidRPr="00D51A68">
          <w:rPr>
            <w:webHidden/>
          </w:rPr>
        </w:r>
        <w:r w:rsidR="004B5E3A" w:rsidRPr="00D51A68">
          <w:rPr>
            <w:webHidden/>
          </w:rPr>
          <w:fldChar w:fldCharType="separate"/>
        </w:r>
        <w:r>
          <w:rPr>
            <w:webHidden/>
          </w:rPr>
          <w:t>180</w:t>
        </w:r>
        <w:r w:rsidR="004B5E3A" w:rsidRPr="00D51A68">
          <w:rPr>
            <w:webHidden/>
          </w:rPr>
          <w:fldChar w:fldCharType="end"/>
        </w:r>
      </w:hyperlink>
    </w:p>
    <w:p w:rsidR="004B5E3A" w:rsidRPr="00D51A68" w:rsidRDefault="00DB339B">
      <w:pPr>
        <w:pStyle w:val="TOC2"/>
        <w:rPr>
          <w:rFonts w:asciiTheme="minorHAnsi" w:eastAsiaTheme="minorEastAsia" w:hAnsiTheme="minorHAnsi" w:cstheme="minorBidi"/>
          <w:b w:val="0"/>
          <w:smallCaps w:val="0"/>
          <w:sz w:val="22"/>
          <w:lang w:eastAsia="en-GB" w:bidi="ar-SA"/>
        </w:rPr>
      </w:pPr>
      <w:hyperlink w:anchor="_Toc524096627" w:history="1">
        <w:r w:rsidR="004B5E3A" w:rsidRPr="00D51A68">
          <w:rPr>
            <w:rStyle w:val="Hyperlink"/>
            <w:rFonts w:ascii="Times New Roman" w:hAnsi="Times New Roman"/>
          </w:rPr>
          <w:t>5.</w:t>
        </w:r>
        <w:r w:rsidR="004B5E3A" w:rsidRPr="00D51A68">
          <w:rPr>
            <w:rFonts w:asciiTheme="minorHAnsi" w:eastAsiaTheme="minorEastAsia" w:hAnsiTheme="minorHAnsi" w:cstheme="minorBidi"/>
            <w:b w:val="0"/>
            <w:smallCaps w:val="0"/>
            <w:sz w:val="22"/>
            <w:lang w:eastAsia="en-GB" w:bidi="ar-SA"/>
          </w:rPr>
          <w:tab/>
        </w:r>
        <w:r w:rsidR="004B5E3A" w:rsidRPr="00D51A68">
          <w:rPr>
            <w:rStyle w:val="Hyperlink"/>
            <w:rFonts w:ascii="Times New Roman" w:hAnsi="Times New Roman"/>
          </w:rPr>
          <w:t>Modelli riguardanti il rischio di mercato</w:t>
        </w:r>
        <w:r w:rsidR="004B5E3A" w:rsidRPr="00D51A68">
          <w:rPr>
            <w:webHidden/>
          </w:rPr>
          <w:tab/>
        </w:r>
        <w:r w:rsidR="004B5E3A" w:rsidRPr="00D51A68">
          <w:rPr>
            <w:webHidden/>
          </w:rPr>
          <w:fldChar w:fldCharType="begin"/>
        </w:r>
        <w:r w:rsidR="004B5E3A" w:rsidRPr="00D51A68">
          <w:rPr>
            <w:webHidden/>
          </w:rPr>
          <w:instrText xml:space="preserve"> PAGEREF _Toc524096627 \h </w:instrText>
        </w:r>
        <w:r w:rsidR="004B5E3A" w:rsidRPr="00D51A68">
          <w:rPr>
            <w:webHidden/>
          </w:rPr>
        </w:r>
        <w:r w:rsidR="004B5E3A" w:rsidRPr="00D51A68">
          <w:rPr>
            <w:webHidden/>
          </w:rPr>
          <w:fldChar w:fldCharType="separate"/>
        </w:r>
        <w:r>
          <w:rPr>
            <w:webHidden/>
          </w:rPr>
          <w:t>182</w:t>
        </w:r>
        <w:r w:rsidR="004B5E3A" w:rsidRPr="00D51A68">
          <w:rPr>
            <w:webHidden/>
          </w:rPr>
          <w:fldChar w:fldCharType="end"/>
        </w:r>
      </w:hyperlink>
    </w:p>
    <w:p w:rsidR="004B5E3A" w:rsidRPr="00D51A68" w:rsidRDefault="00DB339B">
      <w:pPr>
        <w:pStyle w:val="TOC2"/>
        <w:rPr>
          <w:rFonts w:asciiTheme="minorHAnsi" w:eastAsiaTheme="minorEastAsia" w:hAnsiTheme="minorHAnsi" w:cstheme="minorBidi"/>
          <w:b w:val="0"/>
          <w:smallCaps w:val="0"/>
          <w:sz w:val="22"/>
          <w:lang w:eastAsia="en-GB" w:bidi="ar-SA"/>
        </w:rPr>
      </w:pPr>
      <w:hyperlink w:anchor="_Toc524096628" w:history="1">
        <w:r w:rsidR="004B5E3A" w:rsidRPr="00D51A68">
          <w:rPr>
            <w:rStyle w:val="Hyperlink"/>
            <w:rFonts w:ascii="Times New Roman" w:hAnsi="Times New Roman"/>
          </w:rPr>
          <w:t>5.1.</w:t>
        </w:r>
        <w:r w:rsidR="004B5E3A" w:rsidRPr="00D51A68">
          <w:rPr>
            <w:rFonts w:asciiTheme="minorHAnsi" w:eastAsiaTheme="minorEastAsia" w:hAnsiTheme="minorHAnsi" w:cstheme="minorBidi"/>
            <w:b w:val="0"/>
            <w:smallCaps w:val="0"/>
            <w:sz w:val="22"/>
            <w:lang w:eastAsia="en-GB" w:bidi="ar-SA"/>
          </w:rPr>
          <w:tab/>
        </w:r>
        <w:r w:rsidR="004B5E3A" w:rsidRPr="00D51A68">
          <w:rPr>
            <w:rStyle w:val="Hyperlink"/>
            <w:rFonts w:ascii="Times New Roman" w:hAnsi="Times New Roman"/>
          </w:rPr>
          <w:t>C 18.00 — Rischio di mercato: metodo standardizzato per i rischi di posizione su strumenti di debito negoziati (MKR SA TDI)</w:t>
        </w:r>
        <w:r w:rsidR="004B5E3A" w:rsidRPr="00D51A68">
          <w:rPr>
            <w:webHidden/>
          </w:rPr>
          <w:tab/>
        </w:r>
        <w:r w:rsidR="004B5E3A" w:rsidRPr="00D51A68">
          <w:rPr>
            <w:webHidden/>
          </w:rPr>
          <w:fldChar w:fldCharType="begin"/>
        </w:r>
        <w:r w:rsidR="004B5E3A" w:rsidRPr="00D51A68">
          <w:rPr>
            <w:webHidden/>
          </w:rPr>
          <w:instrText xml:space="preserve"> PAGEREF _Toc524096628 \h </w:instrText>
        </w:r>
        <w:r w:rsidR="004B5E3A" w:rsidRPr="00D51A68">
          <w:rPr>
            <w:webHidden/>
          </w:rPr>
        </w:r>
        <w:r w:rsidR="004B5E3A" w:rsidRPr="00D51A68">
          <w:rPr>
            <w:webHidden/>
          </w:rPr>
          <w:fldChar w:fldCharType="separate"/>
        </w:r>
        <w:r>
          <w:rPr>
            <w:webHidden/>
          </w:rPr>
          <w:t>182</w:t>
        </w:r>
        <w:r w:rsidR="004B5E3A" w:rsidRPr="00D51A68">
          <w:rPr>
            <w:webHidden/>
          </w:rPr>
          <w:fldChar w:fldCharType="end"/>
        </w:r>
      </w:hyperlink>
    </w:p>
    <w:p w:rsidR="004B5E3A" w:rsidRPr="00D51A68" w:rsidRDefault="00DB339B">
      <w:pPr>
        <w:pStyle w:val="TOC2"/>
        <w:rPr>
          <w:rFonts w:asciiTheme="minorHAnsi" w:eastAsiaTheme="minorEastAsia" w:hAnsiTheme="minorHAnsi" w:cstheme="minorBidi"/>
          <w:b w:val="0"/>
          <w:smallCaps w:val="0"/>
          <w:sz w:val="22"/>
          <w:lang w:eastAsia="en-GB" w:bidi="ar-SA"/>
        </w:rPr>
      </w:pPr>
      <w:hyperlink w:anchor="_Toc524096629" w:history="1">
        <w:r w:rsidR="004B5E3A" w:rsidRPr="00D51A68">
          <w:rPr>
            <w:rStyle w:val="Hyperlink"/>
            <w:rFonts w:ascii="Times New Roman" w:hAnsi="Times New Roman"/>
          </w:rPr>
          <w:t>5.1.1.</w:t>
        </w:r>
        <w:r w:rsidR="004B5E3A" w:rsidRPr="00D51A68">
          <w:rPr>
            <w:rFonts w:asciiTheme="minorHAnsi" w:eastAsiaTheme="minorEastAsia" w:hAnsiTheme="minorHAnsi" w:cstheme="minorBidi"/>
            <w:b w:val="0"/>
            <w:smallCaps w:val="0"/>
            <w:sz w:val="22"/>
            <w:lang w:eastAsia="en-GB" w:bidi="ar-SA"/>
          </w:rPr>
          <w:tab/>
        </w:r>
        <w:r w:rsidR="004B5E3A" w:rsidRPr="00D51A68">
          <w:rPr>
            <w:rStyle w:val="Hyperlink"/>
            <w:rFonts w:ascii="Times New Roman" w:hAnsi="Times New Roman"/>
          </w:rPr>
          <w:t>Osservazioni di carattere generale</w:t>
        </w:r>
        <w:r w:rsidR="004B5E3A" w:rsidRPr="00D51A68">
          <w:rPr>
            <w:webHidden/>
          </w:rPr>
          <w:tab/>
        </w:r>
        <w:r w:rsidR="004B5E3A" w:rsidRPr="00D51A68">
          <w:rPr>
            <w:webHidden/>
          </w:rPr>
          <w:fldChar w:fldCharType="begin"/>
        </w:r>
        <w:r w:rsidR="004B5E3A" w:rsidRPr="00D51A68">
          <w:rPr>
            <w:webHidden/>
          </w:rPr>
          <w:instrText xml:space="preserve"> PAGEREF _Toc524096629 \h </w:instrText>
        </w:r>
        <w:r w:rsidR="004B5E3A" w:rsidRPr="00D51A68">
          <w:rPr>
            <w:webHidden/>
          </w:rPr>
        </w:r>
        <w:r w:rsidR="004B5E3A" w:rsidRPr="00D51A68">
          <w:rPr>
            <w:webHidden/>
          </w:rPr>
          <w:fldChar w:fldCharType="separate"/>
        </w:r>
        <w:r>
          <w:rPr>
            <w:webHidden/>
          </w:rPr>
          <w:t>182</w:t>
        </w:r>
        <w:r w:rsidR="004B5E3A" w:rsidRPr="00D51A68">
          <w:rPr>
            <w:webHidden/>
          </w:rPr>
          <w:fldChar w:fldCharType="end"/>
        </w:r>
      </w:hyperlink>
    </w:p>
    <w:p w:rsidR="004B5E3A" w:rsidRPr="00D51A68" w:rsidRDefault="00DB339B">
      <w:pPr>
        <w:pStyle w:val="TOC2"/>
        <w:rPr>
          <w:rFonts w:asciiTheme="minorHAnsi" w:eastAsiaTheme="minorEastAsia" w:hAnsiTheme="minorHAnsi" w:cstheme="minorBidi"/>
          <w:b w:val="0"/>
          <w:smallCaps w:val="0"/>
          <w:sz w:val="22"/>
          <w:lang w:eastAsia="en-GB" w:bidi="ar-SA"/>
        </w:rPr>
      </w:pPr>
      <w:hyperlink w:anchor="_Toc524096630" w:history="1">
        <w:r w:rsidR="004B5E3A" w:rsidRPr="00D51A68">
          <w:rPr>
            <w:rStyle w:val="Hyperlink"/>
            <w:rFonts w:ascii="Times New Roman" w:hAnsi="Times New Roman"/>
          </w:rPr>
          <w:t>5.1.2.</w:t>
        </w:r>
        <w:r w:rsidR="004B5E3A" w:rsidRPr="00D51A68">
          <w:rPr>
            <w:rFonts w:asciiTheme="minorHAnsi" w:eastAsiaTheme="minorEastAsia" w:hAnsiTheme="minorHAnsi" w:cstheme="minorBidi"/>
            <w:b w:val="0"/>
            <w:smallCaps w:val="0"/>
            <w:sz w:val="22"/>
            <w:lang w:eastAsia="en-GB" w:bidi="ar-SA"/>
          </w:rPr>
          <w:tab/>
        </w:r>
        <w:r w:rsidR="004B5E3A" w:rsidRPr="00D51A68">
          <w:rPr>
            <w:rStyle w:val="Hyperlink"/>
            <w:rFonts w:ascii="Times New Roman" w:hAnsi="Times New Roman"/>
          </w:rPr>
          <w:t>Istruzioni relative a posizioni specifiche</w:t>
        </w:r>
        <w:r w:rsidR="004B5E3A" w:rsidRPr="00D51A68">
          <w:rPr>
            <w:webHidden/>
          </w:rPr>
          <w:tab/>
        </w:r>
        <w:r w:rsidR="004B5E3A" w:rsidRPr="00D51A68">
          <w:rPr>
            <w:webHidden/>
          </w:rPr>
          <w:fldChar w:fldCharType="begin"/>
        </w:r>
        <w:r w:rsidR="004B5E3A" w:rsidRPr="00D51A68">
          <w:rPr>
            <w:webHidden/>
          </w:rPr>
          <w:instrText xml:space="preserve"> PAGEREF _Toc524096630 \h </w:instrText>
        </w:r>
        <w:r w:rsidR="004B5E3A" w:rsidRPr="00D51A68">
          <w:rPr>
            <w:webHidden/>
          </w:rPr>
        </w:r>
        <w:r w:rsidR="004B5E3A" w:rsidRPr="00D51A68">
          <w:rPr>
            <w:webHidden/>
          </w:rPr>
          <w:fldChar w:fldCharType="separate"/>
        </w:r>
        <w:r>
          <w:rPr>
            <w:webHidden/>
          </w:rPr>
          <w:t>183</w:t>
        </w:r>
        <w:r w:rsidR="004B5E3A" w:rsidRPr="00D51A68">
          <w:rPr>
            <w:webHidden/>
          </w:rPr>
          <w:fldChar w:fldCharType="end"/>
        </w:r>
      </w:hyperlink>
    </w:p>
    <w:p w:rsidR="004B5E3A" w:rsidRPr="00D51A68" w:rsidRDefault="00DB339B">
      <w:pPr>
        <w:pStyle w:val="TOC2"/>
        <w:rPr>
          <w:rFonts w:asciiTheme="minorHAnsi" w:eastAsiaTheme="minorEastAsia" w:hAnsiTheme="minorHAnsi" w:cstheme="minorBidi"/>
          <w:b w:val="0"/>
          <w:smallCaps w:val="0"/>
          <w:sz w:val="22"/>
          <w:lang w:eastAsia="en-GB" w:bidi="ar-SA"/>
        </w:rPr>
      </w:pPr>
      <w:hyperlink w:anchor="_Toc524096631" w:history="1">
        <w:r w:rsidR="004B5E3A" w:rsidRPr="00D51A68">
          <w:rPr>
            <w:rStyle w:val="Hyperlink"/>
            <w:rFonts w:ascii="Times New Roman" w:hAnsi="Times New Roman"/>
          </w:rPr>
          <w:t>5.2.</w:t>
        </w:r>
        <w:r w:rsidR="004B5E3A" w:rsidRPr="00D51A68">
          <w:rPr>
            <w:rFonts w:asciiTheme="minorHAnsi" w:eastAsiaTheme="minorEastAsia" w:hAnsiTheme="minorHAnsi" w:cstheme="minorBidi"/>
            <w:b w:val="0"/>
            <w:smallCaps w:val="0"/>
            <w:sz w:val="22"/>
            <w:lang w:eastAsia="en-GB" w:bidi="ar-SA"/>
          </w:rPr>
          <w:tab/>
        </w:r>
        <w:r w:rsidR="004B5E3A" w:rsidRPr="00D51A68">
          <w:rPr>
            <w:rStyle w:val="Hyperlink"/>
            <w:rFonts w:ascii="Times New Roman" w:hAnsi="Times New Roman"/>
          </w:rPr>
          <w:t>C 19.00 — RISCHIO DI MERCATO: METODO STANDARDIZZATO PER IL RISCHIO SPECIFICO SU CARTOLARIZZAZIONI (MKR SA SEC)</w:t>
        </w:r>
        <w:r w:rsidR="004B5E3A" w:rsidRPr="00D51A68">
          <w:rPr>
            <w:webHidden/>
          </w:rPr>
          <w:tab/>
        </w:r>
        <w:r w:rsidR="004B5E3A" w:rsidRPr="00D51A68">
          <w:rPr>
            <w:webHidden/>
          </w:rPr>
          <w:fldChar w:fldCharType="begin"/>
        </w:r>
        <w:r w:rsidR="004B5E3A" w:rsidRPr="00D51A68">
          <w:rPr>
            <w:webHidden/>
          </w:rPr>
          <w:instrText xml:space="preserve"> PAGEREF _Toc524096631 \h </w:instrText>
        </w:r>
        <w:r w:rsidR="004B5E3A" w:rsidRPr="00D51A68">
          <w:rPr>
            <w:webHidden/>
          </w:rPr>
        </w:r>
        <w:r w:rsidR="004B5E3A" w:rsidRPr="00D51A68">
          <w:rPr>
            <w:webHidden/>
          </w:rPr>
          <w:fldChar w:fldCharType="separate"/>
        </w:r>
        <w:r>
          <w:rPr>
            <w:webHidden/>
          </w:rPr>
          <w:t>185</w:t>
        </w:r>
        <w:r w:rsidR="004B5E3A" w:rsidRPr="00D51A68">
          <w:rPr>
            <w:webHidden/>
          </w:rPr>
          <w:fldChar w:fldCharType="end"/>
        </w:r>
      </w:hyperlink>
    </w:p>
    <w:p w:rsidR="004B5E3A" w:rsidRPr="00D51A68" w:rsidRDefault="00DB339B">
      <w:pPr>
        <w:pStyle w:val="TOC2"/>
        <w:rPr>
          <w:rFonts w:asciiTheme="minorHAnsi" w:eastAsiaTheme="minorEastAsia" w:hAnsiTheme="minorHAnsi" w:cstheme="minorBidi"/>
          <w:b w:val="0"/>
          <w:smallCaps w:val="0"/>
          <w:sz w:val="22"/>
          <w:lang w:eastAsia="en-GB" w:bidi="ar-SA"/>
        </w:rPr>
      </w:pPr>
      <w:hyperlink w:anchor="_Toc524096632" w:history="1">
        <w:r w:rsidR="004B5E3A" w:rsidRPr="00D51A68">
          <w:rPr>
            <w:rStyle w:val="Hyperlink"/>
            <w:rFonts w:ascii="Times New Roman" w:hAnsi="Times New Roman"/>
          </w:rPr>
          <w:t>5.2.1.</w:t>
        </w:r>
        <w:r w:rsidR="004B5E3A" w:rsidRPr="00D51A68">
          <w:rPr>
            <w:rFonts w:asciiTheme="minorHAnsi" w:eastAsiaTheme="minorEastAsia" w:hAnsiTheme="minorHAnsi" w:cstheme="minorBidi"/>
            <w:b w:val="0"/>
            <w:smallCaps w:val="0"/>
            <w:sz w:val="22"/>
            <w:lang w:eastAsia="en-GB" w:bidi="ar-SA"/>
          </w:rPr>
          <w:tab/>
        </w:r>
        <w:r w:rsidR="004B5E3A" w:rsidRPr="00D51A68">
          <w:rPr>
            <w:rStyle w:val="Hyperlink"/>
            <w:rFonts w:ascii="Times New Roman" w:hAnsi="Times New Roman"/>
          </w:rPr>
          <w:t>Osservazioni di carattere generale</w:t>
        </w:r>
        <w:r w:rsidR="004B5E3A" w:rsidRPr="00D51A68">
          <w:rPr>
            <w:webHidden/>
          </w:rPr>
          <w:tab/>
        </w:r>
        <w:r w:rsidR="004B5E3A" w:rsidRPr="00D51A68">
          <w:rPr>
            <w:webHidden/>
          </w:rPr>
          <w:fldChar w:fldCharType="begin"/>
        </w:r>
        <w:r w:rsidR="004B5E3A" w:rsidRPr="00D51A68">
          <w:rPr>
            <w:webHidden/>
          </w:rPr>
          <w:instrText xml:space="preserve"> PAGEREF _Toc524096632 \h </w:instrText>
        </w:r>
        <w:r w:rsidR="004B5E3A" w:rsidRPr="00D51A68">
          <w:rPr>
            <w:webHidden/>
          </w:rPr>
        </w:r>
        <w:r w:rsidR="004B5E3A" w:rsidRPr="00D51A68">
          <w:rPr>
            <w:webHidden/>
          </w:rPr>
          <w:fldChar w:fldCharType="separate"/>
        </w:r>
        <w:r>
          <w:rPr>
            <w:webHidden/>
          </w:rPr>
          <w:t>185</w:t>
        </w:r>
        <w:r w:rsidR="004B5E3A" w:rsidRPr="00D51A68">
          <w:rPr>
            <w:webHidden/>
          </w:rPr>
          <w:fldChar w:fldCharType="end"/>
        </w:r>
      </w:hyperlink>
    </w:p>
    <w:p w:rsidR="004B5E3A" w:rsidRPr="00D51A68" w:rsidRDefault="00DB339B">
      <w:pPr>
        <w:pStyle w:val="TOC2"/>
        <w:rPr>
          <w:rFonts w:asciiTheme="minorHAnsi" w:eastAsiaTheme="minorEastAsia" w:hAnsiTheme="minorHAnsi" w:cstheme="minorBidi"/>
          <w:b w:val="0"/>
          <w:smallCaps w:val="0"/>
          <w:sz w:val="22"/>
          <w:lang w:eastAsia="en-GB" w:bidi="ar-SA"/>
        </w:rPr>
      </w:pPr>
      <w:hyperlink w:anchor="_Toc524096633" w:history="1">
        <w:r w:rsidR="004B5E3A" w:rsidRPr="00D51A68">
          <w:rPr>
            <w:rStyle w:val="Hyperlink"/>
            <w:rFonts w:ascii="Times New Roman" w:hAnsi="Times New Roman"/>
          </w:rPr>
          <w:t>5.2.2.</w:t>
        </w:r>
        <w:r w:rsidR="004B5E3A" w:rsidRPr="00D51A68">
          <w:rPr>
            <w:rFonts w:asciiTheme="minorHAnsi" w:eastAsiaTheme="minorEastAsia" w:hAnsiTheme="minorHAnsi" w:cstheme="minorBidi"/>
            <w:b w:val="0"/>
            <w:smallCaps w:val="0"/>
            <w:sz w:val="22"/>
            <w:lang w:eastAsia="en-GB" w:bidi="ar-SA"/>
          </w:rPr>
          <w:tab/>
        </w:r>
        <w:r w:rsidR="004B5E3A" w:rsidRPr="00D51A68">
          <w:rPr>
            <w:rStyle w:val="Hyperlink"/>
            <w:rFonts w:ascii="Times New Roman" w:hAnsi="Times New Roman"/>
          </w:rPr>
          <w:t>Istruzioni relative a posizioni specifiche</w:t>
        </w:r>
        <w:r w:rsidR="004B5E3A" w:rsidRPr="00D51A68">
          <w:rPr>
            <w:webHidden/>
          </w:rPr>
          <w:tab/>
        </w:r>
        <w:r w:rsidR="004B5E3A" w:rsidRPr="00D51A68">
          <w:rPr>
            <w:webHidden/>
          </w:rPr>
          <w:fldChar w:fldCharType="begin"/>
        </w:r>
        <w:r w:rsidR="004B5E3A" w:rsidRPr="00D51A68">
          <w:rPr>
            <w:webHidden/>
          </w:rPr>
          <w:instrText xml:space="preserve"> PAGEREF _Toc524096633 \h </w:instrText>
        </w:r>
        <w:r w:rsidR="004B5E3A" w:rsidRPr="00D51A68">
          <w:rPr>
            <w:webHidden/>
          </w:rPr>
        </w:r>
        <w:r w:rsidR="004B5E3A" w:rsidRPr="00D51A68">
          <w:rPr>
            <w:webHidden/>
          </w:rPr>
          <w:fldChar w:fldCharType="separate"/>
        </w:r>
        <w:r>
          <w:rPr>
            <w:webHidden/>
          </w:rPr>
          <w:t>186</w:t>
        </w:r>
        <w:r w:rsidR="004B5E3A" w:rsidRPr="00D51A68">
          <w:rPr>
            <w:webHidden/>
          </w:rPr>
          <w:fldChar w:fldCharType="end"/>
        </w:r>
      </w:hyperlink>
    </w:p>
    <w:p w:rsidR="004B5E3A" w:rsidRPr="00D51A68" w:rsidRDefault="00DB339B">
      <w:pPr>
        <w:pStyle w:val="TOC2"/>
        <w:rPr>
          <w:rFonts w:asciiTheme="minorHAnsi" w:eastAsiaTheme="minorEastAsia" w:hAnsiTheme="minorHAnsi" w:cstheme="minorBidi"/>
          <w:b w:val="0"/>
          <w:smallCaps w:val="0"/>
          <w:sz w:val="22"/>
          <w:lang w:eastAsia="en-GB" w:bidi="ar-SA"/>
        </w:rPr>
      </w:pPr>
      <w:hyperlink w:anchor="_Toc524096634" w:history="1">
        <w:r w:rsidR="004B5E3A" w:rsidRPr="00D51A68">
          <w:rPr>
            <w:rStyle w:val="Hyperlink"/>
            <w:rFonts w:ascii="Times New Roman" w:hAnsi="Times New Roman"/>
          </w:rPr>
          <w:t>5.3.</w:t>
        </w:r>
        <w:r w:rsidR="004B5E3A" w:rsidRPr="00D51A68">
          <w:rPr>
            <w:rFonts w:asciiTheme="minorHAnsi" w:eastAsiaTheme="minorEastAsia" w:hAnsiTheme="minorHAnsi" w:cstheme="minorBidi"/>
            <w:b w:val="0"/>
            <w:smallCaps w:val="0"/>
            <w:sz w:val="22"/>
            <w:lang w:eastAsia="en-GB" w:bidi="ar-SA"/>
          </w:rPr>
          <w:tab/>
        </w:r>
        <w:r w:rsidR="004B5E3A" w:rsidRPr="00D51A68">
          <w:rPr>
            <w:rStyle w:val="Hyperlink"/>
            <w:rFonts w:ascii="Times New Roman" w:hAnsi="Times New Roman"/>
          </w:rPr>
          <w:t xml:space="preserve">C 20.00 — RISCHIO DI MERCATO: METODO STANDARDIZZATO PER IL RISCHIO SPECIFICO SUL PORTAFOGLIO DI NEGOZIAZIONE DI CORRELAZIONE </w:t>
        </w:r>
        <w:r w:rsidR="00D51A68">
          <w:rPr>
            <w:rStyle w:val="Hyperlink"/>
            <w:rFonts w:ascii="Times New Roman" w:hAnsi="Times New Roman"/>
          </w:rPr>
          <w:br/>
        </w:r>
        <w:r w:rsidR="004B5E3A" w:rsidRPr="00D51A68">
          <w:rPr>
            <w:rStyle w:val="Hyperlink"/>
            <w:rFonts w:ascii="Times New Roman" w:hAnsi="Times New Roman"/>
          </w:rPr>
          <w:t>(MKR SA CTP)</w:t>
        </w:r>
        <w:r w:rsidR="004B5E3A" w:rsidRPr="00D51A68">
          <w:rPr>
            <w:webHidden/>
          </w:rPr>
          <w:tab/>
        </w:r>
        <w:r w:rsidR="004B5E3A" w:rsidRPr="00D51A68">
          <w:rPr>
            <w:webHidden/>
          </w:rPr>
          <w:fldChar w:fldCharType="begin"/>
        </w:r>
        <w:r w:rsidR="004B5E3A" w:rsidRPr="00D51A68">
          <w:rPr>
            <w:webHidden/>
          </w:rPr>
          <w:instrText xml:space="preserve"> PAGEREF _Toc524096634 \h </w:instrText>
        </w:r>
        <w:r w:rsidR="004B5E3A" w:rsidRPr="00D51A68">
          <w:rPr>
            <w:webHidden/>
          </w:rPr>
        </w:r>
        <w:r w:rsidR="004B5E3A" w:rsidRPr="00D51A68">
          <w:rPr>
            <w:webHidden/>
          </w:rPr>
          <w:fldChar w:fldCharType="separate"/>
        </w:r>
        <w:r>
          <w:rPr>
            <w:webHidden/>
          </w:rPr>
          <w:t>189</w:t>
        </w:r>
        <w:r w:rsidR="004B5E3A" w:rsidRPr="00D51A68">
          <w:rPr>
            <w:webHidden/>
          </w:rPr>
          <w:fldChar w:fldCharType="end"/>
        </w:r>
      </w:hyperlink>
    </w:p>
    <w:p w:rsidR="004B5E3A" w:rsidRPr="00D51A68" w:rsidRDefault="00DB339B">
      <w:pPr>
        <w:pStyle w:val="TOC2"/>
        <w:rPr>
          <w:rFonts w:asciiTheme="minorHAnsi" w:eastAsiaTheme="minorEastAsia" w:hAnsiTheme="minorHAnsi" w:cstheme="minorBidi"/>
          <w:b w:val="0"/>
          <w:smallCaps w:val="0"/>
          <w:sz w:val="22"/>
          <w:lang w:eastAsia="en-GB" w:bidi="ar-SA"/>
        </w:rPr>
      </w:pPr>
      <w:hyperlink w:anchor="_Toc524096635" w:history="1">
        <w:r w:rsidR="004B5E3A" w:rsidRPr="00D51A68">
          <w:rPr>
            <w:rStyle w:val="Hyperlink"/>
            <w:rFonts w:ascii="Times New Roman" w:hAnsi="Times New Roman"/>
          </w:rPr>
          <w:t>5.3.1.</w:t>
        </w:r>
        <w:r w:rsidR="004B5E3A" w:rsidRPr="00D51A68">
          <w:rPr>
            <w:rFonts w:asciiTheme="minorHAnsi" w:eastAsiaTheme="minorEastAsia" w:hAnsiTheme="minorHAnsi" w:cstheme="minorBidi"/>
            <w:b w:val="0"/>
            <w:smallCaps w:val="0"/>
            <w:sz w:val="22"/>
            <w:lang w:eastAsia="en-GB" w:bidi="ar-SA"/>
          </w:rPr>
          <w:tab/>
        </w:r>
        <w:r w:rsidR="004B5E3A" w:rsidRPr="00D51A68">
          <w:rPr>
            <w:rStyle w:val="Hyperlink"/>
            <w:rFonts w:ascii="Times New Roman" w:hAnsi="Times New Roman"/>
          </w:rPr>
          <w:t>Osservazioni di carattere generale</w:t>
        </w:r>
        <w:r w:rsidR="004B5E3A" w:rsidRPr="00D51A68">
          <w:rPr>
            <w:webHidden/>
          </w:rPr>
          <w:tab/>
        </w:r>
        <w:r w:rsidR="004B5E3A" w:rsidRPr="00D51A68">
          <w:rPr>
            <w:webHidden/>
          </w:rPr>
          <w:fldChar w:fldCharType="begin"/>
        </w:r>
        <w:r w:rsidR="004B5E3A" w:rsidRPr="00D51A68">
          <w:rPr>
            <w:webHidden/>
          </w:rPr>
          <w:instrText xml:space="preserve"> PAGEREF _Toc524096635 \h </w:instrText>
        </w:r>
        <w:r w:rsidR="004B5E3A" w:rsidRPr="00D51A68">
          <w:rPr>
            <w:webHidden/>
          </w:rPr>
        </w:r>
        <w:r w:rsidR="004B5E3A" w:rsidRPr="00D51A68">
          <w:rPr>
            <w:webHidden/>
          </w:rPr>
          <w:fldChar w:fldCharType="separate"/>
        </w:r>
        <w:r>
          <w:rPr>
            <w:webHidden/>
          </w:rPr>
          <w:t>189</w:t>
        </w:r>
        <w:r w:rsidR="004B5E3A" w:rsidRPr="00D51A68">
          <w:rPr>
            <w:webHidden/>
          </w:rPr>
          <w:fldChar w:fldCharType="end"/>
        </w:r>
      </w:hyperlink>
    </w:p>
    <w:p w:rsidR="004B5E3A" w:rsidRPr="00D51A68" w:rsidRDefault="00DB339B">
      <w:pPr>
        <w:pStyle w:val="TOC2"/>
        <w:rPr>
          <w:rFonts w:asciiTheme="minorHAnsi" w:eastAsiaTheme="minorEastAsia" w:hAnsiTheme="minorHAnsi" w:cstheme="minorBidi"/>
          <w:b w:val="0"/>
          <w:smallCaps w:val="0"/>
          <w:sz w:val="22"/>
          <w:lang w:eastAsia="en-GB" w:bidi="ar-SA"/>
        </w:rPr>
      </w:pPr>
      <w:hyperlink w:anchor="_Toc524096636" w:history="1">
        <w:r w:rsidR="004B5E3A" w:rsidRPr="00D51A68">
          <w:rPr>
            <w:rStyle w:val="Hyperlink"/>
            <w:rFonts w:ascii="Times New Roman" w:hAnsi="Times New Roman"/>
          </w:rPr>
          <w:t>5.3.2.</w:t>
        </w:r>
        <w:r w:rsidR="004B5E3A" w:rsidRPr="00D51A68">
          <w:rPr>
            <w:rFonts w:asciiTheme="minorHAnsi" w:eastAsiaTheme="minorEastAsia" w:hAnsiTheme="minorHAnsi" w:cstheme="minorBidi"/>
            <w:b w:val="0"/>
            <w:smallCaps w:val="0"/>
            <w:sz w:val="22"/>
            <w:lang w:eastAsia="en-GB" w:bidi="ar-SA"/>
          </w:rPr>
          <w:tab/>
        </w:r>
        <w:r w:rsidR="004B5E3A" w:rsidRPr="00D51A68">
          <w:rPr>
            <w:rStyle w:val="Hyperlink"/>
            <w:rFonts w:ascii="Times New Roman" w:hAnsi="Times New Roman"/>
          </w:rPr>
          <w:t>Istruzioni relative a posizioni specifiche</w:t>
        </w:r>
        <w:r w:rsidR="004B5E3A" w:rsidRPr="00D51A68">
          <w:rPr>
            <w:webHidden/>
          </w:rPr>
          <w:tab/>
        </w:r>
        <w:r w:rsidR="004B5E3A" w:rsidRPr="00D51A68">
          <w:rPr>
            <w:webHidden/>
          </w:rPr>
          <w:fldChar w:fldCharType="begin"/>
        </w:r>
        <w:r w:rsidR="004B5E3A" w:rsidRPr="00D51A68">
          <w:rPr>
            <w:webHidden/>
          </w:rPr>
          <w:instrText xml:space="preserve"> PAGEREF _Toc524096636 \h </w:instrText>
        </w:r>
        <w:r w:rsidR="004B5E3A" w:rsidRPr="00D51A68">
          <w:rPr>
            <w:webHidden/>
          </w:rPr>
        </w:r>
        <w:r w:rsidR="004B5E3A" w:rsidRPr="00D51A68">
          <w:rPr>
            <w:webHidden/>
          </w:rPr>
          <w:fldChar w:fldCharType="separate"/>
        </w:r>
        <w:r>
          <w:rPr>
            <w:webHidden/>
          </w:rPr>
          <w:t>189</w:t>
        </w:r>
        <w:r w:rsidR="004B5E3A" w:rsidRPr="00D51A68">
          <w:rPr>
            <w:webHidden/>
          </w:rPr>
          <w:fldChar w:fldCharType="end"/>
        </w:r>
      </w:hyperlink>
    </w:p>
    <w:p w:rsidR="004B5E3A" w:rsidRPr="00D51A68" w:rsidRDefault="00DB339B">
      <w:pPr>
        <w:pStyle w:val="TOC2"/>
        <w:rPr>
          <w:rFonts w:asciiTheme="minorHAnsi" w:eastAsiaTheme="minorEastAsia" w:hAnsiTheme="minorHAnsi" w:cstheme="minorBidi"/>
          <w:b w:val="0"/>
          <w:smallCaps w:val="0"/>
          <w:sz w:val="22"/>
          <w:lang w:eastAsia="en-GB" w:bidi="ar-SA"/>
        </w:rPr>
      </w:pPr>
      <w:hyperlink w:anchor="_Toc524096637" w:history="1">
        <w:r w:rsidR="004B5E3A" w:rsidRPr="00D51A68">
          <w:rPr>
            <w:rStyle w:val="Hyperlink"/>
            <w:rFonts w:ascii="Times New Roman" w:hAnsi="Times New Roman"/>
          </w:rPr>
          <w:t>5.4.</w:t>
        </w:r>
        <w:r w:rsidR="004B5E3A" w:rsidRPr="00D51A68">
          <w:rPr>
            <w:rFonts w:asciiTheme="minorHAnsi" w:eastAsiaTheme="minorEastAsia" w:hAnsiTheme="minorHAnsi" w:cstheme="minorBidi"/>
            <w:b w:val="0"/>
            <w:smallCaps w:val="0"/>
            <w:sz w:val="22"/>
            <w:lang w:eastAsia="en-GB" w:bidi="ar-SA"/>
          </w:rPr>
          <w:tab/>
        </w:r>
        <w:r w:rsidR="004B5E3A" w:rsidRPr="00D51A68">
          <w:rPr>
            <w:rStyle w:val="Hyperlink"/>
            <w:rFonts w:ascii="Times New Roman" w:hAnsi="Times New Roman"/>
          </w:rPr>
          <w:t>C 21.00 — Rischio di mercato: metodo standardizzato per il rischio di posizione su strumenti di capitale (MKR SA EQU)</w:t>
        </w:r>
        <w:r w:rsidR="004B5E3A" w:rsidRPr="00D51A68">
          <w:rPr>
            <w:webHidden/>
          </w:rPr>
          <w:tab/>
        </w:r>
        <w:r w:rsidR="004B5E3A" w:rsidRPr="00D51A68">
          <w:rPr>
            <w:webHidden/>
          </w:rPr>
          <w:fldChar w:fldCharType="begin"/>
        </w:r>
        <w:r w:rsidR="004B5E3A" w:rsidRPr="00D51A68">
          <w:rPr>
            <w:webHidden/>
          </w:rPr>
          <w:instrText xml:space="preserve"> PAGEREF _Toc524096637 \h </w:instrText>
        </w:r>
        <w:r w:rsidR="004B5E3A" w:rsidRPr="00D51A68">
          <w:rPr>
            <w:webHidden/>
          </w:rPr>
        </w:r>
        <w:r w:rsidR="004B5E3A" w:rsidRPr="00D51A68">
          <w:rPr>
            <w:webHidden/>
          </w:rPr>
          <w:fldChar w:fldCharType="separate"/>
        </w:r>
        <w:r>
          <w:rPr>
            <w:webHidden/>
          </w:rPr>
          <w:t>192</w:t>
        </w:r>
        <w:r w:rsidR="004B5E3A" w:rsidRPr="00D51A68">
          <w:rPr>
            <w:webHidden/>
          </w:rPr>
          <w:fldChar w:fldCharType="end"/>
        </w:r>
      </w:hyperlink>
    </w:p>
    <w:p w:rsidR="004B5E3A" w:rsidRPr="00D51A68" w:rsidRDefault="00DB339B">
      <w:pPr>
        <w:pStyle w:val="TOC2"/>
        <w:rPr>
          <w:rFonts w:asciiTheme="minorHAnsi" w:eastAsiaTheme="minorEastAsia" w:hAnsiTheme="minorHAnsi" w:cstheme="minorBidi"/>
          <w:b w:val="0"/>
          <w:smallCaps w:val="0"/>
          <w:sz w:val="22"/>
          <w:lang w:eastAsia="en-GB" w:bidi="ar-SA"/>
        </w:rPr>
      </w:pPr>
      <w:hyperlink w:anchor="_Toc524096638" w:history="1">
        <w:r w:rsidR="004B5E3A" w:rsidRPr="00D51A68">
          <w:rPr>
            <w:rStyle w:val="Hyperlink"/>
            <w:rFonts w:ascii="Times New Roman" w:hAnsi="Times New Roman"/>
          </w:rPr>
          <w:t>5.4.1.</w:t>
        </w:r>
        <w:r w:rsidR="004B5E3A" w:rsidRPr="00D51A68">
          <w:rPr>
            <w:rFonts w:asciiTheme="minorHAnsi" w:eastAsiaTheme="minorEastAsia" w:hAnsiTheme="minorHAnsi" w:cstheme="minorBidi"/>
            <w:b w:val="0"/>
            <w:smallCaps w:val="0"/>
            <w:sz w:val="22"/>
            <w:lang w:eastAsia="en-GB" w:bidi="ar-SA"/>
          </w:rPr>
          <w:tab/>
        </w:r>
        <w:r w:rsidR="004B5E3A" w:rsidRPr="00D51A68">
          <w:rPr>
            <w:rStyle w:val="Hyperlink"/>
            <w:rFonts w:ascii="Times New Roman" w:hAnsi="Times New Roman"/>
          </w:rPr>
          <w:t>Osservazioni di carattere generale</w:t>
        </w:r>
        <w:r w:rsidR="004B5E3A" w:rsidRPr="00D51A68">
          <w:rPr>
            <w:webHidden/>
          </w:rPr>
          <w:tab/>
        </w:r>
        <w:r w:rsidR="004B5E3A" w:rsidRPr="00D51A68">
          <w:rPr>
            <w:webHidden/>
          </w:rPr>
          <w:fldChar w:fldCharType="begin"/>
        </w:r>
        <w:r w:rsidR="004B5E3A" w:rsidRPr="00D51A68">
          <w:rPr>
            <w:webHidden/>
          </w:rPr>
          <w:instrText xml:space="preserve"> PAGEREF _Toc524096638 \h </w:instrText>
        </w:r>
        <w:r w:rsidR="004B5E3A" w:rsidRPr="00D51A68">
          <w:rPr>
            <w:webHidden/>
          </w:rPr>
        </w:r>
        <w:r w:rsidR="004B5E3A" w:rsidRPr="00D51A68">
          <w:rPr>
            <w:webHidden/>
          </w:rPr>
          <w:fldChar w:fldCharType="separate"/>
        </w:r>
        <w:r>
          <w:rPr>
            <w:webHidden/>
          </w:rPr>
          <w:t>192</w:t>
        </w:r>
        <w:r w:rsidR="004B5E3A" w:rsidRPr="00D51A68">
          <w:rPr>
            <w:webHidden/>
          </w:rPr>
          <w:fldChar w:fldCharType="end"/>
        </w:r>
      </w:hyperlink>
    </w:p>
    <w:p w:rsidR="004B5E3A" w:rsidRPr="00D51A68" w:rsidRDefault="00DB339B">
      <w:pPr>
        <w:pStyle w:val="TOC2"/>
        <w:rPr>
          <w:rFonts w:asciiTheme="minorHAnsi" w:eastAsiaTheme="minorEastAsia" w:hAnsiTheme="minorHAnsi" w:cstheme="minorBidi"/>
          <w:b w:val="0"/>
          <w:smallCaps w:val="0"/>
          <w:sz w:val="22"/>
          <w:lang w:eastAsia="en-GB" w:bidi="ar-SA"/>
        </w:rPr>
      </w:pPr>
      <w:hyperlink w:anchor="_Toc524096639" w:history="1">
        <w:r w:rsidR="004B5E3A" w:rsidRPr="00D51A68">
          <w:rPr>
            <w:rStyle w:val="Hyperlink"/>
            <w:rFonts w:ascii="Times New Roman" w:hAnsi="Times New Roman"/>
          </w:rPr>
          <w:t>5.4.2.</w:t>
        </w:r>
        <w:r w:rsidR="004B5E3A" w:rsidRPr="00D51A68">
          <w:rPr>
            <w:rFonts w:asciiTheme="minorHAnsi" w:eastAsiaTheme="minorEastAsia" w:hAnsiTheme="minorHAnsi" w:cstheme="minorBidi"/>
            <w:b w:val="0"/>
            <w:smallCaps w:val="0"/>
            <w:sz w:val="22"/>
            <w:lang w:eastAsia="en-GB" w:bidi="ar-SA"/>
          </w:rPr>
          <w:tab/>
        </w:r>
        <w:r w:rsidR="004B5E3A" w:rsidRPr="00D51A68">
          <w:rPr>
            <w:rStyle w:val="Hyperlink"/>
            <w:rFonts w:ascii="Times New Roman" w:hAnsi="Times New Roman"/>
          </w:rPr>
          <w:t>Istruzioni relative a posizioni specifiche</w:t>
        </w:r>
        <w:r w:rsidR="004B5E3A" w:rsidRPr="00D51A68">
          <w:rPr>
            <w:webHidden/>
          </w:rPr>
          <w:tab/>
        </w:r>
        <w:r w:rsidR="004B5E3A" w:rsidRPr="00D51A68">
          <w:rPr>
            <w:webHidden/>
          </w:rPr>
          <w:fldChar w:fldCharType="begin"/>
        </w:r>
        <w:r w:rsidR="004B5E3A" w:rsidRPr="00D51A68">
          <w:rPr>
            <w:webHidden/>
          </w:rPr>
          <w:instrText xml:space="preserve"> PAGEREF _Toc524096639 \h </w:instrText>
        </w:r>
        <w:r w:rsidR="004B5E3A" w:rsidRPr="00D51A68">
          <w:rPr>
            <w:webHidden/>
          </w:rPr>
        </w:r>
        <w:r w:rsidR="004B5E3A" w:rsidRPr="00D51A68">
          <w:rPr>
            <w:webHidden/>
          </w:rPr>
          <w:fldChar w:fldCharType="separate"/>
        </w:r>
        <w:r>
          <w:rPr>
            <w:webHidden/>
          </w:rPr>
          <w:t>193</w:t>
        </w:r>
        <w:r w:rsidR="004B5E3A" w:rsidRPr="00D51A68">
          <w:rPr>
            <w:webHidden/>
          </w:rPr>
          <w:fldChar w:fldCharType="end"/>
        </w:r>
      </w:hyperlink>
    </w:p>
    <w:p w:rsidR="004B5E3A" w:rsidRPr="00D51A68" w:rsidRDefault="00DB339B">
      <w:pPr>
        <w:pStyle w:val="TOC2"/>
        <w:rPr>
          <w:rFonts w:asciiTheme="minorHAnsi" w:eastAsiaTheme="minorEastAsia" w:hAnsiTheme="minorHAnsi" w:cstheme="minorBidi"/>
          <w:b w:val="0"/>
          <w:smallCaps w:val="0"/>
          <w:sz w:val="22"/>
          <w:lang w:eastAsia="en-GB" w:bidi="ar-SA"/>
        </w:rPr>
      </w:pPr>
      <w:hyperlink w:anchor="_Toc524096640" w:history="1">
        <w:r w:rsidR="004B5E3A" w:rsidRPr="00D51A68">
          <w:rPr>
            <w:rStyle w:val="Hyperlink"/>
            <w:rFonts w:ascii="Times New Roman" w:hAnsi="Times New Roman"/>
          </w:rPr>
          <w:t>5.5.</w:t>
        </w:r>
        <w:r w:rsidR="004B5E3A" w:rsidRPr="00D51A68">
          <w:rPr>
            <w:rFonts w:asciiTheme="minorHAnsi" w:eastAsiaTheme="minorEastAsia" w:hAnsiTheme="minorHAnsi" w:cstheme="minorBidi"/>
            <w:b w:val="0"/>
            <w:smallCaps w:val="0"/>
            <w:sz w:val="22"/>
            <w:lang w:eastAsia="en-GB" w:bidi="ar-SA"/>
          </w:rPr>
          <w:tab/>
        </w:r>
        <w:r w:rsidR="004B5E3A" w:rsidRPr="00D51A68">
          <w:rPr>
            <w:rStyle w:val="Hyperlink"/>
            <w:rFonts w:ascii="Times New Roman" w:hAnsi="Times New Roman"/>
          </w:rPr>
          <w:t xml:space="preserve">C 22.00 — Rischio di mercato: metodi standardizzati per il rischio di cambio </w:t>
        </w:r>
        <w:r w:rsidR="00D51A68">
          <w:rPr>
            <w:rStyle w:val="Hyperlink"/>
            <w:rFonts w:ascii="Times New Roman" w:hAnsi="Times New Roman"/>
          </w:rPr>
          <w:br/>
        </w:r>
        <w:r w:rsidR="004B5E3A" w:rsidRPr="00D51A68">
          <w:rPr>
            <w:rStyle w:val="Hyperlink"/>
            <w:rFonts w:ascii="Times New Roman" w:hAnsi="Times New Roman"/>
          </w:rPr>
          <w:t>(MKR SA FX)</w:t>
        </w:r>
        <w:r w:rsidR="004B5E3A" w:rsidRPr="00D51A68">
          <w:rPr>
            <w:webHidden/>
          </w:rPr>
          <w:tab/>
        </w:r>
        <w:r w:rsidR="004B5E3A" w:rsidRPr="00D51A68">
          <w:rPr>
            <w:webHidden/>
          </w:rPr>
          <w:fldChar w:fldCharType="begin"/>
        </w:r>
        <w:r w:rsidR="004B5E3A" w:rsidRPr="00D51A68">
          <w:rPr>
            <w:webHidden/>
          </w:rPr>
          <w:instrText xml:space="preserve"> PAGEREF _Toc524096640 \h </w:instrText>
        </w:r>
        <w:r w:rsidR="004B5E3A" w:rsidRPr="00D51A68">
          <w:rPr>
            <w:webHidden/>
          </w:rPr>
        </w:r>
        <w:r w:rsidR="004B5E3A" w:rsidRPr="00D51A68">
          <w:rPr>
            <w:webHidden/>
          </w:rPr>
          <w:fldChar w:fldCharType="separate"/>
        </w:r>
        <w:r>
          <w:rPr>
            <w:webHidden/>
          </w:rPr>
          <w:t>194</w:t>
        </w:r>
        <w:r w:rsidR="004B5E3A" w:rsidRPr="00D51A68">
          <w:rPr>
            <w:webHidden/>
          </w:rPr>
          <w:fldChar w:fldCharType="end"/>
        </w:r>
      </w:hyperlink>
    </w:p>
    <w:p w:rsidR="004B5E3A" w:rsidRPr="00D51A68" w:rsidRDefault="00DB339B">
      <w:pPr>
        <w:pStyle w:val="TOC2"/>
        <w:rPr>
          <w:rFonts w:asciiTheme="minorHAnsi" w:eastAsiaTheme="minorEastAsia" w:hAnsiTheme="minorHAnsi" w:cstheme="minorBidi"/>
          <w:b w:val="0"/>
          <w:smallCaps w:val="0"/>
          <w:sz w:val="22"/>
          <w:lang w:eastAsia="en-GB" w:bidi="ar-SA"/>
        </w:rPr>
      </w:pPr>
      <w:hyperlink w:anchor="_Toc524096641" w:history="1">
        <w:r w:rsidR="004B5E3A" w:rsidRPr="00D51A68">
          <w:rPr>
            <w:rStyle w:val="Hyperlink"/>
            <w:rFonts w:ascii="Times New Roman" w:hAnsi="Times New Roman"/>
          </w:rPr>
          <w:t>5.5.1.</w:t>
        </w:r>
        <w:r w:rsidR="004B5E3A" w:rsidRPr="00D51A68">
          <w:rPr>
            <w:rFonts w:asciiTheme="minorHAnsi" w:eastAsiaTheme="minorEastAsia" w:hAnsiTheme="minorHAnsi" w:cstheme="minorBidi"/>
            <w:b w:val="0"/>
            <w:smallCaps w:val="0"/>
            <w:sz w:val="22"/>
            <w:lang w:eastAsia="en-GB" w:bidi="ar-SA"/>
          </w:rPr>
          <w:tab/>
        </w:r>
        <w:r w:rsidR="004B5E3A" w:rsidRPr="00D51A68">
          <w:rPr>
            <w:rStyle w:val="Hyperlink"/>
            <w:rFonts w:ascii="Times New Roman" w:hAnsi="Times New Roman"/>
          </w:rPr>
          <w:t>Osservazioni di carattere generale</w:t>
        </w:r>
        <w:r w:rsidR="004B5E3A" w:rsidRPr="00D51A68">
          <w:rPr>
            <w:webHidden/>
          </w:rPr>
          <w:tab/>
        </w:r>
        <w:r w:rsidR="004B5E3A" w:rsidRPr="00D51A68">
          <w:rPr>
            <w:webHidden/>
          </w:rPr>
          <w:fldChar w:fldCharType="begin"/>
        </w:r>
        <w:r w:rsidR="004B5E3A" w:rsidRPr="00D51A68">
          <w:rPr>
            <w:webHidden/>
          </w:rPr>
          <w:instrText xml:space="preserve"> PAGEREF _Toc524096641 \h </w:instrText>
        </w:r>
        <w:r w:rsidR="004B5E3A" w:rsidRPr="00D51A68">
          <w:rPr>
            <w:webHidden/>
          </w:rPr>
        </w:r>
        <w:r w:rsidR="004B5E3A" w:rsidRPr="00D51A68">
          <w:rPr>
            <w:webHidden/>
          </w:rPr>
          <w:fldChar w:fldCharType="separate"/>
        </w:r>
        <w:r>
          <w:rPr>
            <w:webHidden/>
          </w:rPr>
          <w:t>194</w:t>
        </w:r>
        <w:r w:rsidR="004B5E3A" w:rsidRPr="00D51A68">
          <w:rPr>
            <w:webHidden/>
          </w:rPr>
          <w:fldChar w:fldCharType="end"/>
        </w:r>
      </w:hyperlink>
    </w:p>
    <w:p w:rsidR="004B5E3A" w:rsidRPr="00D51A68" w:rsidRDefault="00DB339B">
      <w:pPr>
        <w:pStyle w:val="TOC2"/>
        <w:rPr>
          <w:rFonts w:asciiTheme="minorHAnsi" w:eastAsiaTheme="minorEastAsia" w:hAnsiTheme="minorHAnsi" w:cstheme="minorBidi"/>
          <w:b w:val="0"/>
          <w:smallCaps w:val="0"/>
          <w:sz w:val="22"/>
          <w:lang w:eastAsia="en-GB" w:bidi="ar-SA"/>
        </w:rPr>
      </w:pPr>
      <w:hyperlink w:anchor="_Toc524096642" w:history="1">
        <w:r w:rsidR="004B5E3A" w:rsidRPr="00D51A68">
          <w:rPr>
            <w:rStyle w:val="Hyperlink"/>
            <w:rFonts w:ascii="Times New Roman" w:hAnsi="Times New Roman"/>
          </w:rPr>
          <w:t>5.5.2.</w:t>
        </w:r>
        <w:r w:rsidR="004B5E3A" w:rsidRPr="00D51A68">
          <w:rPr>
            <w:rFonts w:asciiTheme="minorHAnsi" w:eastAsiaTheme="minorEastAsia" w:hAnsiTheme="minorHAnsi" w:cstheme="minorBidi"/>
            <w:b w:val="0"/>
            <w:smallCaps w:val="0"/>
            <w:sz w:val="22"/>
            <w:lang w:eastAsia="en-GB" w:bidi="ar-SA"/>
          </w:rPr>
          <w:tab/>
        </w:r>
        <w:r w:rsidR="004B5E3A" w:rsidRPr="00D51A68">
          <w:rPr>
            <w:rStyle w:val="Hyperlink"/>
            <w:rFonts w:ascii="Times New Roman" w:hAnsi="Times New Roman"/>
          </w:rPr>
          <w:t>Istruzioni relative a posizioni specifiche</w:t>
        </w:r>
        <w:r w:rsidR="004B5E3A" w:rsidRPr="00D51A68">
          <w:rPr>
            <w:webHidden/>
          </w:rPr>
          <w:tab/>
        </w:r>
        <w:r w:rsidR="004B5E3A" w:rsidRPr="00D51A68">
          <w:rPr>
            <w:webHidden/>
          </w:rPr>
          <w:fldChar w:fldCharType="begin"/>
        </w:r>
        <w:r w:rsidR="004B5E3A" w:rsidRPr="00D51A68">
          <w:rPr>
            <w:webHidden/>
          </w:rPr>
          <w:instrText xml:space="preserve"> PAGEREF _Toc524096642 \h </w:instrText>
        </w:r>
        <w:r w:rsidR="004B5E3A" w:rsidRPr="00D51A68">
          <w:rPr>
            <w:webHidden/>
          </w:rPr>
        </w:r>
        <w:r w:rsidR="004B5E3A" w:rsidRPr="00D51A68">
          <w:rPr>
            <w:webHidden/>
          </w:rPr>
          <w:fldChar w:fldCharType="separate"/>
        </w:r>
        <w:r>
          <w:rPr>
            <w:webHidden/>
          </w:rPr>
          <w:t>195</w:t>
        </w:r>
        <w:r w:rsidR="004B5E3A" w:rsidRPr="00D51A68">
          <w:rPr>
            <w:webHidden/>
          </w:rPr>
          <w:fldChar w:fldCharType="end"/>
        </w:r>
      </w:hyperlink>
    </w:p>
    <w:p w:rsidR="004B5E3A" w:rsidRPr="00D51A68" w:rsidRDefault="00DB339B">
      <w:pPr>
        <w:pStyle w:val="TOC2"/>
        <w:rPr>
          <w:rFonts w:asciiTheme="minorHAnsi" w:eastAsiaTheme="minorEastAsia" w:hAnsiTheme="minorHAnsi" w:cstheme="minorBidi"/>
          <w:b w:val="0"/>
          <w:smallCaps w:val="0"/>
          <w:sz w:val="22"/>
          <w:lang w:eastAsia="en-GB" w:bidi="ar-SA"/>
        </w:rPr>
      </w:pPr>
      <w:hyperlink w:anchor="_Toc524096643" w:history="1">
        <w:r w:rsidR="004B5E3A" w:rsidRPr="00D51A68">
          <w:rPr>
            <w:rStyle w:val="Hyperlink"/>
            <w:rFonts w:ascii="Times New Roman" w:hAnsi="Times New Roman"/>
          </w:rPr>
          <w:t>5.6.</w:t>
        </w:r>
        <w:r w:rsidR="004B5E3A" w:rsidRPr="00D51A68">
          <w:rPr>
            <w:rFonts w:asciiTheme="minorHAnsi" w:eastAsiaTheme="minorEastAsia" w:hAnsiTheme="minorHAnsi" w:cstheme="minorBidi"/>
            <w:b w:val="0"/>
            <w:smallCaps w:val="0"/>
            <w:sz w:val="22"/>
            <w:lang w:eastAsia="en-GB" w:bidi="ar-SA"/>
          </w:rPr>
          <w:tab/>
        </w:r>
        <w:r w:rsidR="004B5E3A" w:rsidRPr="00D51A68">
          <w:rPr>
            <w:rStyle w:val="Hyperlink"/>
            <w:rFonts w:ascii="Times New Roman" w:hAnsi="Times New Roman"/>
          </w:rPr>
          <w:t>C 23.00 — Rischio di mercato: metodi standardizzati per le merci (MKR SA COM)</w:t>
        </w:r>
        <w:r w:rsidR="004B5E3A" w:rsidRPr="00D51A68">
          <w:rPr>
            <w:webHidden/>
          </w:rPr>
          <w:tab/>
        </w:r>
        <w:r w:rsidR="004B5E3A" w:rsidRPr="00D51A68">
          <w:rPr>
            <w:webHidden/>
          </w:rPr>
          <w:fldChar w:fldCharType="begin"/>
        </w:r>
        <w:r w:rsidR="004B5E3A" w:rsidRPr="00D51A68">
          <w:rPr>
            <w:webHidden/>
          </w:rPr>
          <w:instrText xml:space="preserve"> PAGEREF _Toc524096643 \h </w:instrText>
        </w:r>
        <w:r w:rsidR="004B5E3A" w:rsidRPr="00D51A68">
          <w:rPr>
            <w:webHidden/>
          </w:rPr>
        </w:r>
        <w:r w:rsidR="004B5E3A" w:rsidRPr="00D51A68">
          <w:rPr>
            <w:webHidden/>
          </w:rPr>
          <w:fldChar w:fldCharType="separate"/>
        </w:r>
        <w:r>
          <w:rPr>
            <w:webHidden/>
          </w:rPr>
          <w:t>198</w:t>
        </w:r>
        <w:r w:rsidR="004B5E3A" w:rsidRPr="00D51A68">
          <w:rPr>
            <w:webHidden/>
          </w:rPr>
          <w:fldChar w:fldCharType="end"/>
        </w:r>
      </w:hyperlink>
    </w:p>
    <w:p w:rsidR="004B5E3A" w:rsidRPr="00D51A68" w:rsidRDefault="00DB339B">
      <w:pPr>
        <w:pStyle w:val="TOC2"/>
        <w:rPr>
          <w:rFonts w:asciiTheme="minorHAnsi" w:eastAsiaTheme="minorEastAsia" w:hAnsiTheme="minorHAnsi" w:cstheme="minorBidi"/>
          <w:b w:val="0"/>
          <w:smallCaps w:val="0"/>
          <w:sz w:val="22"/>
          <w:lang w:eastAsia="en-GB" w:bidi="ar-SA"/>
        </w:rPr>
      </w:pPr>
      <w:hyperlink w:anchor="_Toc524096644" w:history="1">
        <w:r w:rsidR="004B5E3A" w:rsidRPr="00D51A68">
          <w:rPr>
            <w:rStyle w:val="Hyperlink"/>
            <w:rFonts w:ascii="Times New Roman" w:hAnsi="Times New Roman"/>
          </w:rPr>
          <w:t>5.6.1.</w:t>
        </w:r>
        <w:r w:rsidR="004B5E3A" w:rsidRPr="00D51A68">
          <w:rPr>
            <w:rFonts w:asciiTheme="minorHAnsi" w:eastAsiaTheme="minorEastAsia" w:hAnsiTheme="minorHAnsi" w:cstheme="minorBidi"/>
            <w:b w:val="0"/>
            <w:smallCaps w:val="0"/>
            <w:sz w:val="22"/>
            <w:lang w:eastAsia="en-GB" w:bidi="ar-SA"/>
          </w:rPr>
          <w:tab/>
        </w:r>
        <w:r w:rsidR="004B5E3A" w:rsidRPr="00D51A68">
          <w:rPr>
            <w:rStyle w:val="Hyperlink"/>
            <w:rFonts w:ascii="Times New Roman" w:hAnsi="Times New Roman"/>
          </w:rPr>
          <w:t>Osservazioni di carattere generale</w:t>
        </w:r>
        <w:r w:rsidR="004B5E3A" w:rsidRPr="00D51A68">
          <w:rPr>
            <w:webHidden/>
          </w:rPr>
          <w:tab/>
        </w:r>
        <w:r w:rsidR="004B5E3A" w:rsidRPr="00D51A68">
          <w:rPr>
            <w:webHidden/>
          </w:rPr>
          <w:fldChar w:fldCharType="begin"/>
        </w:r>
        <w:r w:rsidR="004B5E3A" w:rsidRPr="00D51A68">
          <w:rPr>
            <w:webHidden/>
          </w:rPr>
          <w:instrText xml:space="preserve"> PAGEREF _Toc524096644 \h </w:instrText>
        </w:r>
        <w:r w:rsidR="004B5E3A" w:rsidRPr="00D51A68">
          <w:rPr>
            <w:webHidden/>
          </w:rPr>
        </w:r>
        <w:r w:rsidR="004B5E3A" w:rsidRPr="00D51A68">
          <w:rPr>
            <w:webHidden/>
          </w:rPr>
          <w:fldChar w:fldCharType="separate"/>
        </w:r>
        <w:r>
          <w:rPr>
            <w:webHidden/>
          </w:rPr>
          <w:t>198</w:t>
        </w:r>
        <w:r w:rsidR="004B5E3A" w:rsidRPr="00D51A68">
          <w:rPr>
            <w:webHidden/>
          </w:rPr>
          <w:fldChar w:fldCharType="end"/>
        </w:r>
      </w:hyperlink>
    </w:p>
    <w:p w:rsidR="004B5E3A" w:rsidRPr="00D51A68" w:rsidRDefault="00DB339B">
      <w:pPr>
        <w:pStyle w:val="TOC2"/>
        <w:rPr>
          <w:rFonts w:asciiTheme="minorHAnsi" w:eastAsiaTheme="minorEastAsia" w:hAnsiTheme="minorHAnsi" w:cstheme="minorBidi"/>
          <w:b w:val="0"/>
          <w:smallCaps w:val="0"/>
          <w:sz w:val="22"/>
          <w:lang w:eastAsia="en-GB" w:bidi="ar-SA"/>
        </w:rPr>
      </w:pPr>
      <w:hyperlink w:anchor="_Toc524096645" w:history="1">
        <w:r w:rsidR="004B5E3A" w:rsidRPr="00D51A68">
          <w:rPr>
            <w:rStyle w:val="Hyperlink"/>
            <w:rFonts w:ascii="Times New Roman" w:hAnsi="Times New Roman"/>
          </w:rPr>
          <w:t>5.6.2.</w:t>
        </w:r>
        <w:r w:rsidR="004B5E3A" w:rsidRPr="00D51A68">
          <w:rPr>
            <w:rFonts w:asciiTheme="minorHAnsi" w:eastAsiaTheme="minorEastAsia" w:hAnsiTheme="minorHAnsi" w:cstheme="minorBidi"/>
            <w:b w:val="0"/>
            <w:smallCaps w:val="0"/>
            <w:sz w:val="22"/>
            <w:lang w:eastAsia="en-GB" w:bidi="ar-SA"/>
          </w:rPr>
          <w:tab/>
        </w:r>
        <w:r w:rsidR="004B5E3A" w:rsidRPr="00D51A68">
          <w:rPr>
            <w:rStyle w:val="Hyperlink"/>
            <w:rFonts w:ascii="Times New Roman" w:hAnsi="Times New Roman"/>
          </w:rPr>
          <w:t>Istruzioni relative a posizioni specifiche</w:t>
        </w:r>
        <w:r w:rsidR="004B5E3A" w:rsidRPr="00D51A68">
          <w:rPr>
            <w:webHidden/>
          </w:rPr>
          <w:tab/>
        </w:r>
        <w:r w:rsidR="004B5E3A" w:rsidRPr="00D51A68">
          <w:rPr>
            <w:webHidden/>
          </w:rPr>
          <w:fldChar w:fldCharType="begin"/>
        </w:r>
        <w:r w:rsidR="004B5E3A" w:rsidRPr="00D51A68">
          <w:rPr>
            <w:webHidden/>
          </w:rPr>
          <w:instrText xml:space="preserve"> PAGEREF _Toc524096645 \h </w:instrText>
        </w:r>
        <w:r w:rsidR="004B5E3A" w:rsidRPr="00D51A68">
          <w:rPr>
            <w:webHidden/>
          </w:rPr>
        </w:r>
        <w:r w:rsidR="004B5E3A" w:rsidRPr="00D51A68">
          <w:rPr>
            <w:webHidden/>
          </w:rPr>
          <w:fldChar w:fldCharType="separate"/>
        </w:r>
        <w:r>
          <w:rPr>
            <w:webHidden/>
          </w:rPr>
          <w:t>198</w:t>
        </w:r>
        <w:r w:rsidR="004B5E3A" w:rsidRPr="00D51A68">
          <w:rPr>
            <w:webHidden/>
          </w:rPr>
          <w:fldChar w:fldCharType="end"/>
        </w:r>
      </w:hyperlink>
    </w:p>
    <w:p w:rsidR="004B5E3A" w:rsidRPr="00D51A68" w:rsidRDefault="00DB339B">
      <w:pPr>
        <w:pStyle w:val="TOC2"/>
        <w:rPr>
          <w:rFonts w:asciiTheme="minorHAnsi" w:eastAsiaTheme="minorEastAsia" w:hAnsiTheme="minorHAnsi" w:cstheme="minorBidi"/>
          <w:b w:val="0"/>
          <w:smallCaps w:val="0"/>
          <w:sz w:val="22"/>
          <w:lang w:eastAsia="en-GB" w:bidi="ar-SA"/>
        </w:rPr>
      </w:pPr>
      <w:hyperlink w:anchor="_Toc524096646" w:history="1">
        <w:r w:rsidR="004B5E3A" w:rsidRPr="00D51A68">
          <w:rPr>
            <w:rStyle w:val="Hyperlink"/>
            <w:rFonts w:ascii="Times New Roman" w:hAnsi="Times New Roman"/>
          </w:rPr>
          <w:t>5.7.</w:t>
        </w:r>
        <w:r w:rsidR="004B5E3A" w:rsidRPr="00D51A68">
          <w:rPr>
            <w:rFonts w:asciiTheme="minorHAnsi" w:eastAsiaTheme="minorEastAsia" w:hAnsiTheme="minorHAnsi" w:cstheme="minorBidi"/>
            <w:b w:val="0"/>
            <w:smallCaps w:val="0"/>
            <w:sz w:val="22"/>
            <w:lang w:eastAsia="en-GB" w:bidi="ar-SA"/>
          </w:rPr>
          <w:tab/>
        </w:r>
        <w:r w:rsidR="004B5E3A" w:rsidRPr="00D51A68">
          <w:rPr>
            <w:rStyle w:val="Hyperlink"/>
            <w:rFonts w:ascii="Times New Roman" w:hAnsi="Times New Roman"/>
          </w:rPr>
          <w:t>C 24.00 — Modelli interni per il rischio di mercato (MKR IM)</w:t>
        </w:r>
        <w:r w:rsidR="004B5E3A" w:rsidRPr="00D51A68">
          <w:rPr>
            <w:webHidden/>
          </w:rPr>
          <w:tab/>
        </w:r>
        <w:r w:rsidR="004B5E3A" w:rsidRPr="00D51A68">
          <w:rPr>
            <w:webHidden/>
          </w:rPr>
          <w:fldChar w:fldCharType="begin"/>
        </w:r>
        <w:r w:rsidR="004B5E3A" w:rsidRPr="00D51A68">
          <w:rPr>
            <w:webHidden/>
          </w:rPr>
          <w:instrText xml:space="preserve"> PAGEREF _Toc524096646 \h </w:instrText>
        </w:r>
        <w:r w:rsidR="004B5E3A" w:rsidRPr="00D51A68">
          <w:rPr>
            <w:webHidden/>
          </w:rPr>
        </w:r>
        <w:r w:rsidR="004B5E3A" w:rsidRPr="00D51A68">
          <w:rPr>
            <w:webHidden/>
          </w:rPr>
          <w:fldChar w:fldCharType="separate"/>
        </w:r>
        <w:r>
          <w:rPr>
            <w:webHidden/>
          </w:rPr>
          <w:t>199</w:t>
        </w:r>
        <w:r w:rsidR="004B5E3A" w:rsidRPr="00D51A68">
          <w:rPr>
            <w:webHidden/>
          </w:rPr>
          <w:fldChar w:fldCharType="end"/>
        </w:r>
      </w:hyperlink>
    </w:p>
    <w:p w:rsidR="004B5E3A" w:rsidRPr="00D51A68" w:rsidRDefault="00DB339B">
      <w:pPr>
        <w:pStyle w:val="TOC2"/>
        <w:rPr>
          <w:rFonts w:asciiTheme="minorHAnsi" w:eastAsiaTheme="minorEastAsia" w:hAnsiTheme="minorHAnsi" w:cstheme="minorBidi"/>
          <w:b w:val="0"/>
          <w:smallCaps w:val="0"/>
          <w:sz w:val="22"/>
          <w:lang w:eastAsia="en-GB" w:bidi="ar-SA"/>
        </w:rPr>
      </w:pPr>
      <w:hyperlink w:anchor="_Toc524096647" w:history="1">
        <w:r w:rsidR="004B5E3A" w:rsidRPr="00D51A68">
          <w:rPr>
            <w:rStyle w:val="Hyperlink"/>
            <w:rFonts w:ascii="Times New Roman" w:hAnsi="Times New Roman"/>
          </w:rPr>
          <w:t>5.7.1.</w:t>
        </w:r>
        <w:r w:rsidR="004B5E3A" w:rsidRPr="00D51A68">
          <w:rPr>
            <w:rFonts w:asciiTheme="minorHAnsi" w:eastAsiaTheme="minorEastAsia" w:hAnsiTheme="minorHAnsi" w:cstheme="minorBidi"/>
            <w:b w:val="0"/>
            <w:smallCaps w:val="0"/>
            <w:sz w:val="22"/>
            <w:lang w:eastAsia="en-GB" w:bidi="ar-SA"/>
          </w:rPr>
          <w:tab/>
        </w:r>
        <w:r w:rsidR="004B5E3A" w:rsidRPr="00D51A68">
          <w:rPr>
            <w:rStyle w:val="Hyperlink"/>
            <w:rFonts w:ascii="Times New Roman" w:hAnsi="Times New Roman"/>
          </w:rPr>
          <w:t>Osservazioni di carattere generale</w:t>
        </w:r>
        <w:r w:rsidR="004B5E3A" w:rsidRPr="00D51A68">
          <w:rPr>
            <w:webHidden/>
          </w:rPr>
          <w:tab/>
        </w:r>
        <w:r w:rsidR="004B5E3A" w:rsidRPr="00D51A68">
          <w:rPr>
            <w:webHidden/>
          </w:rPr>
          <w:fldChar w:fldCharType="begin"/>
        </w:r>
        <w:r w:rsidR="004B5E3A" w:rsidRPr="00D51A68">
          <w:rPr>
            <w:webHidden/>
          </w:rPr>
          <w:instrText xml:space="preserve"> PAGEREF _Toc524096647 \h </w:instrText>
        </w:r>
        <w:r w:rsidR="004B5E3A" w:rsidRPr="00D51A68">
          <w:rPr>
            <w:webHidden/>
          </w:rPr>
        </w:r>
        <w:r w:rsidR="004B5E3A" w:rsidRPr="00D51A68">
          <w:rPr>
            <w:webHidden/>
          </w:rPr>
          <w:fldChar w:fldCharType="separate"/>
        </w:r>
        <w:r>
          <w:rPr>
            <w:webHidden/>
          </w:rPr>
          <w:t>199</w:t>
        </w:r>
        <w:r w:rsidR="004B5E3A" w:rsidRPr="00D51A68">
          <w:rPr>
            <w:webHidden/>
          </w:rPr>
          <w:fldChar w:fldCharType="end"/>
        </w:r>
      </w:hyperlink>
    </w:p>
    <w:p w:rsidR="004B5E3A" w:rsidRPr="00D51A68" w:rsidRDefault="00DB339B">
      <w:pPr>
        <w:pStyle w:val="TOC2"/>
        <w:rPr>
          <w:rFonts w:asciiTheme="minorHAnsi" w:eastAsiaTheme="minorEastAsia" w:hAnsiTheme="minorHAnsi" w:cstheme="minorBidi"/>
          <w:b w:val="0"/>
          <w:smallCaps w:val="0"/>
          <w:sz w:val="22"/>
          <w:lang w:eastAsia="en-GB" w:bidi="ar-SA"/>
        </w:rPr>
      </w:pPr>
      <w:hyperlink w:anchor="_Toc524096648" w:history="1">
        <w:r w:rsidR="004B5E3A" w:rsidRPr="00D51A68">
          <w:rPr>
            <w:rStyle w:val="Hyperlink"/>
            <w:rFonts w:ascii="Times New Roman" w:hAnsi="Times New Roman"/>
          </w:rPr>
          <w:t>5.7.2.</w:t>
        </w:r>
        <w:r w:rsidR="004B5E3A" w:rsidRPr="00D51A68">
          <w:rPr>
            <w:rFonts w:asciiTheme="minorHAnsi" w:eastAsiaTheme="minorEastAsia" w:hAnsiTheme="minorHAnsi" w:cstheme="minorBidi"/>
            <w:b w:val="0"/>
            <w:smallCaps w:val="0"/>
            <w:sz w:val="22"/>
            <w:lang w:eastAsia="en-GB" w:bidi="ar-SA"/>
          </w:rPr>
          <w:tab/>
        </w:r>
        <w:r w:rsidR="004B5E3A" w:rsidRPr="00D51A68">
          <w:rPr>
            <w:rStyle w:val="Hyperlink"/>
            <w:rFonts w:ascii="Times New Roman" w:hAnsi="Times New Roman"/>
          </w:rPr>
          <w:t>Istruzioni relative a posizioni specifiche</w:t>
        </w:r>
        <w:r w:rsidR="004B5E3A" w:rsidRPr="00D51A68">
          <w:rPr>
            <w:webHidden/>
          </w:rPr>
          <w:tab/>
        </w:r>
        <w:r w:rsidR="004B5E3A" w:rsidRPr="00D51A68">
          <w:rPr>
            <w:webHidden/>
          </w:rPr>
          <w:fldChar w:fldCharType="begin"/>
        </w:r>
        <w:r w:rsidR="004B5E3A" w:rsidRPr="00D51A68">
          <w:rPr>
            <w:webHidden/>
          </w:rPr>
          <w:instrText xml:space="preserve"> PAGEREF _Toc524096648 \h </w:instrText>
        </w:r>
        <w:r w:rsidR="004B5E3A" w:rsidRPr="00D51A68">
          <w:rPr>
            <w:webHidden/>
          </w:rPr>
        </w:r>
        <w:r w:rsidR="004B5E3A" w:rsidRPr="00D51A68">
          <w:rPr>
            <w:webHidden/>
          </w:rPr>
          <w:fldChar w:fldCharType="separate"/>
        </w:r>
        <w:r>
          <w:rPr>
            <w:webHidden/>
          </w:rPr>
          <w:t>199</w:t>
        </w:r>
        <w:r w:rsidR="004B5E3A" w:rsidRPr="00D51A68">
          <w:rPr>
            <w:webHidden/>
          </w:rPr>
          <w:fldChar w:fldCharType="end"/>
        </w:r>
      </w:hyperlink>
    </w:p>
    <w:p w:rsidR="004B5E3A" w:rsidRPr="00D51A68" w:rsidRDefault="00DB339B">
      <w:pPr>
        <w:pStyle w:val="TOC2"/>
        <w:rPr>
          <w:rFonts w:asciiTheme="minorHAnsi" w:eastAsiaTheme="minorEastAsia" w:hAnsiTheme="minorHAnsi" w:cstheme="minorBidi"/>
          <w:b w:val="0"/>
          <w:smallCaps w:val="0"/>
          <w:sz w:val="22"/>
          <w:lang w:eastAsia="en-GB" w:bidi="ar-SA"/>
        </w:rPr>
      </w:pPr>
      <w:hyperlink w:anchor="_Toc524096649" w:history="1">
        <w:r w:rsidR="004B5E3A" w:rsidRPr="00D51A68">
          <w:rPr>
            <w:rStyle w:val="Hyperlink"/>
            <w:rFonts w:ascii="Times New Roman" w:hAnsi="Times New Roman"/>
          </w:rPr>
          <w:t>5.8.</w:t>
        </w:r>
        <w:r w:rsidR="004B5E3A" w:rsidRPr="00D51A68">
          <w:rPr>
            <w:rFonts w:asciiTheme="minorHAnsi" w:eastAsiaTheme="minorEastAsia" w:hAnsiTheme="minorHAnsi" w:cstheme="minorBidi"/>
            <w:b w:val="0"/>
            <w:smallCaps w:val="0"/>
            <w:sz w:val="22"/>
            <w:lang w:eastAsia="en-GB" w:bidi="ar-SA"/>
          </w:rPr>
          <w:tab/>
        </w:r>
        <w:r w:rsidR="004B5E3A" w:rsidRPr="00D51A68">
          <w:rPr>
            <w:rStyle w:val="Hyperlink"/>
            <w:rFonts w:ascii="Times New Roman" w:hAnsi="Times New Roman"/>
          </w:rPr>
          <w:t>C 25.00 — RISCHIO DI AGGIUSTAMENTO DELLA VALUTAZIONE DEL CREDITO (CVA)</w:t>
        </w:r>
        <w:r w:rsidR="004B5E3A" w:rsidRPr="00D51A68">
          <w:rPr>
            <w:webHidden/>
          </w:rPr>
          <w:tab/>
        </w:r>
        <w:r w:rsidR="004B5E3A" w:rsidRPr="00D51A68">
          <w:rPr>
            <w:webHidden/>
          </w:rPr>
          <w:fldChar w:fldCharType="begin"/>
        </w:r>
        <w:r w:rsidR="004B5E3A" w:rsidRPr="00D51A68">
          <w:rPr>
            <w:webHidden/>
          </w:rPr>
          <w:instrText xml:space="preserve"> PAGEREF _Toc524096649 \h </w:instrText>
        </w:r>
        <w:r w:rsidR="004B5E3A" w:rsidRPr="00D51A68">
          <w:rPr>
            <w:webHidden/>
          </w:rPr>
        </w:r>
        <w:r w:rsidR="004B5E3A" w:rsidRPr="00D51A68">
          <w:rPr>
            <w:webHidden/>
          </w:rPr>
          <w:fldChar w:fldCharType="separate"/>
        </w:r>
        <w:r>
          <w:rPr>
            <w:webHidden/>
          </w:rPr>
          <w:t>203</w:t>
        </w:r>
        <w:r w:rsidR="004B5E3A" w:rsidRPr="00D51A68">
          <w:rPr>
            <w:webHidden/>
          </w:rPr>
          <w:fldChar w:fldCharType="end"/>
        </w:r>
      </w:hyperlink>
    </w:p>
    <w:p w:rsidR="004B5E3A" w:rsidRPr="00D51A68" w:rsidRDefault="00DB339B">
      <w:pPr>
        <w:pStyle w:val="TOC2"/>
        <w:rPr>
          <w:rFonts w:asciiTheme="minorHAnsi" w:eastAsiaTheme="minorEastAsia" w:hAnsiTheme="minorHAnsi" w:cstheme="minorBidi"/>
          <w:b w:val="0"/>
          <w:smallCaps w:val="0"/>
          <w:sz w:val="22"/>
          <w:lang w:eastAsia="en-GB" w:bidi="ar-SA"/>
        </w:rPr>
      </w:pPr>
      <w:hyperlink w:anchor="_Toc524096650" w:history="1">
        <w:r w:rsidR="004B5E3A" w:rsidRPr="00D51A68">
          <w:rPr>
            <w:rStyle w:val="Hyperlink"/>
            <w:rFonts w:ascii="Times New Roman" w:hAnsi="Times New Roman"/>
          </w:rPr>
          <w:t>5.8.1.</w:t>
        </w:r>
        <w:r w:rsidR="004B5E3A" w:rsidRPr="00D51A68">
          <w:rPr>
            <w:rFonts w:asciiTheme="minorHAnsi" w:eastAsiaTheme="minorEastAsia" w:hAnsiTheme="minorHAnsi" w:cstheme="minorBidi"/>
            <w:b w:val="0"/>
            <w:smallCaps w:val="0"/>
            <w:sz w:val="22"/>
            <w:lang w:eastAsia="en-GB" w:bidi="ar-SA"/>
          </w:rPr>
          <w:tab/>
        </w:r>
        <w:r w:rsidR="004B5E3A" w:rsidRPr="00D51A68">
          <w:rPr>
            <w:rStyle w:val="Hyperlink"/>
            <w:rFonts w:ascii="Times New Roman" w:hAnsi="Times New Roman"/>
          </w:rPr>
          <w:t>Istruzioni relative a posizioni specifiche</w:t>
        </w:r>
        <w:r w:rsidR="004B5E3A" w:rsidRPr="00D51A68">
          <w:rPr>
            <w:webHidden/>
          </w:rPr>
          <w:tab/>
        </w:r>
        <w:r w:rsidR="004B5E3A" w:rsidRPr="00D51A68">
          <w:rPr>
            <w:webHidden/>
          </w:rPr>
          <w:fldChar w:fldCharType="begin"/>
        </w:r>
        <w:r w:rsidR="004B5E3A" w:rsidRPr="00D51A68">
          <w:rPr>
            <w:webHidden/>
          </w:rPr>
          <w:instrText xml:space="preserve"> PAGEREF _Toc524096650 \h </w:instrText>
        </w:r>
        <w:r w:rsidR="004B5E3A" w:rsidRPr="00D51A68">
          <w:rPr>
            <w:webHidden/>
          </w:rPr>
        </w:r>
        <w:r w:rsidR="004B5E3A" w:rsidRPr="00D51A68">
          <w:rPr>
            <w:webHidden/>
          </w:rPr>
          <w:fldChar w:fldCharType="separate"/>
        </w:r>
        <w:r>
          <w:rPr>
            <w:webHidden/>
          </w:rPr>
          <w:t>203</w:t>
        </w:r>
        <w:r w:rsidR="004B5E3A" w:rsidRPr="00D51A68">
          <w:rPr>
            <w:webHidden/>
          </w:rPr>
          <w:fldChar w:fldCharType="end"/>
        </w:r>
      </w:hyperlink>
    </w:p>
    <w:p w:rsidR="004B5E3A" w:rsidRPr="00D51A68" w:rsidRDefault="00DB339B">
      <w:pPr>
        <w:pStyle w:val="TOC2"/>
        <w:rPr>
          <w:rFonts w:asciiTheme="minorHAnsi" w:eastAsiaTheme="minorEastAsia" w:hAnsiTheme="minorHAnsi" w:cstheme="minorBidi"/>
          <w:b w:val="0"/>
          <w:smallCaps w:val="0"/>
          <w:sz w:val="22"/>
          <w:lang w:eastAsia="en-GB" w:bidi="ar-SA"/>
        </w:rPr>
      </w:pPr>
      <w:hyperlink w:anchor="_Toc524096651" w:history="1">
        <w:r w:rsidR="004B5E3A" w:rsidRPr="00D51A68">
          <w:rPr>
            <w:rStyle w:val="Hyperlink"/>
            <w:rFonts w:ascii="Times New Roman" w:hAnsi="Times New Roman"/>
          </w:rPr>
          <w:t>6.</w:t>
        </w:r>
        <w:r w:rsidR="004B5E3A" w:rsidRPr="00D51A68">
          <w:rPr>
            <w:rFonts w:asciiTheme="minorHAnsi" w:eastAsiaTheme="minorEastAsia" w:hAnsiTheme="minorHAnsi" w:cstheme="minorBidi"/>
            <w:b w:val="0"/>
            <w:smallCaps w:val="0"/>
            <w:sz w:val="22"/>
            <w:lang w:eastAsia="en-GB" w:bidi="ar-SA"/>
          </w:rPr>
          <w:tab/>
        </w:r>
        <w:r w:rsidR="004B5E3A" w:rsidRPr="00D51A68">
          <w:rPr>
            <w:rStyle w:val="Hyperlink"/>
            <w:rFonts w:ascii="Times New Roman" w:hAnsi="Times New Roman"/>
          </w:rPr>
          <w:t>Valutazione prudente (PruVal)</w:t>
        </w:r>
        <w:r w:rsidR="004B5E3A" w:rsidRPr="00D51A68">
          <w:rPr>
            <w:webHidden/>
          </w:rPr>
          <w:tab/>
        </w:r>
        <w:r w:rsidR="004B5E3A" w:rsidRPr="00D51A68">
          <w:rPr>
            <w:webHidden/>
          </w:rPr>
          <w:fldChar w:fldCharType="begin"/>
        </w:r>
        <w:r w:rsidR="004B5E3A" w:rsidRPr="00D51A68">
          <w:rPr>
            <w:webHidden/>
          </w:rPr>
          <w:instrText xml:space="preserve"> PAGEREF _Toc524096651 \h </w:instrText>
        </w:r>
        <w:r w:rsidR="004B5E3A" w:rsidRPr="00D51A68">
          <w:rPr>
            <w:webHidden/>
          </w:rPr>
        </w:r>
        <w:r w:rsidR="004B5E3A" w:rsidRPr="00D51A68">
          <w:rPr>
            <w:webHidden/>
          </w:rPr>
          <w:fldChar w:fldCharType="separate"/>
        </w:r>
        <w:r>
          <w:rPr>
            <w:webHidden/>
          </w:rPr>
          <w:t>205</w:t>
        </w:r>
        <w:r w:rsidR="004B5E3A" w:rsidRPr="00D51A68">
          <w:rPr>
            <w:webHidden/>
          </w:rPr>
          <w:fldChar w:fldCharType="end"/>
        </w:r>
      </w:hyperlink>
    </w:p>
    <w:p w:rsidR="004B5E3A" w:rsidRPr="00D51A68" w:rsidRDefault="00DB339B">
      <w:pPr>
        <w:pStyle w:val="TOC2"/>
        <w:rPr>
          <w:rFonts w:asciiTheme="minorHAnsi" w:eastAsiaTheme="minorEastAsia" w:hAnsiTheme="minorHAnsi" w:cstheme="minorBidi"/>
          <w:b w:val="0"/>
          <w:smallCaps w:val="0"/>
          <w:sz w:val="22"/>
          <w:lang w:eastAsia="en-GB" w:bidi="ar-SA"/>
        </w:rPr>
      </w:pPr>
      <w:hyperlink w:anchor="_Toc524096652" w:history="1">
        <w:r w:rsidR="004B5E3A" w:rsidRPr="00D51A68">
          <w:rPr>
            <w:rStyle w:val="Hyperlink"/>
            <w:rFonts w:ascii="Times New Roman" w:hAnsi="Times New Roman"/>
          </w:rPr>
          <w:t>6.1.</w:t>
        </w:r>
        <w:r w:rsidR="004B5E3A" w:rsidRPr="00D51A68">
          <w:rPr>
            <w:rFonts w:asciiTheme="minorHAnsi" w:eastAsiaTheme="minorEastAsia" w:hAnsiTheme="minorHAnsi" w:cstheme="minorBidi"/>
            <w:b w:val="0"/>
            <w:smallCaps w:val="0"/>
            <w:sz w:val="22"/>
            <w:lang w:eastAsia="en-GB" w:bidi="ar-SA"/>
          </w:rPr>
          <w:tab/>
        </w:r>
        <w:r w:rsidR="004B5E3A" w:rsidRPr="00D51A68">
          <w:rPr>
            <w:rStyle w:val="Hyperlink"/>
            <w:rFonts w:ascii="Times New Roman" w:hAnsi="Times New Roman"/>
          </w:rPr>
          <w:t>C 32.01 - Valutazione prudente: attività e passività valutate al fair value (valore equo) (PruVal 1)</w:t>
        </w:r>
        <w:r w:rsidR="004B5E3A" w:rsidRPr="00D51A68">
          <w:rPr>
            <w:webHidden/>
          </w:rPr>
          <w:tab/>
        </w:r>
        <w:r w:rsidR="004B5E3A" w:rsidRPr="00D51A68">
          <w:rPr>
            <w:webHidden/>
          </w:rPr>
          <w:fldChar w:fldCharType="begin"/>
        </w:r>
        <w:r w:rsidR="004B5E3A" w:rsidRPr="00D51A68">
          <w:rPr>
            <w:webHidden/>
          </w:rPr>
          <w:instrText xml:space="preserve"> PAGEREF _Toc524096652 \h </w:instrText>
        </w:r>
        <w:r w:rsidR="004B5E3A" w:rsidRPr="00D51A68">
          <w:rPr>
            <w:webHidden/>
          </w:rPr>
        </w:r>
        <w:r w:rsidR="004B5E3A" w:rsidRPr="00D51A68">
          <w:rPr>
            <w:webHidden/>
          </w:rPr>
          <w:fldChar w:fldCharType="separate"/>
        </w:r>
        <w:r>
          <w:rPr>
            <w:webHidden/>
          </w:rPr>
          <w:t>205</w:t>
        </w:r>
        <w:r w:rsidR="004B5E3A" w:rsidRPr="00D51A68">
          <w:rPr>
            <w:webHidden/>
          </w:rPr>
          <w:fldChar w:fldCharType="end"/>
        </w:r>
      </w:hyperlink>
    </w:p>
    <w:p w:rsidR="004B5E3A" w:rsidRPr="00D51A68" w:rsidRDefault="00DB339B">
      <w:pPr>
        <w:pStyle w:val="TOC2"/>
        <w:rPr>
          <w:rFonts w:asciiTheme="minorHAnsi" w:eastAsiaTheme="minorEastAsia" w:hAnsiTheme="minorHAnsi" w:cstheme="minorBidi"/>
          <w:b w:val="0"/>
          <w:smallCaps w:val="0"/>
          <w:sz w:val="22"/>
          <w:lang w:eastAsia="en-GB" w:bidi="ar-SA"/>
        </w:rPr>
      </w:pPr>
      <w:hyperlink w:anchor="_Toc524096653" w:history="1">
        <w:r w:rsidR="004B5E3A" w:rsidRPr="00D51A68">
          <w:rPr>
            <w:rStyle w:val="Hyperlink"/>
            <w:rFonts w:ascii="Times New Roman" w:hAnsi="Times New Roman"/>
          </w:rPr>
          <w:t>6.1.1.</w:t>
        </w:r>
        <w:r w:rsidR="004B5E3A" w:rsidRPr="00D51A68">
          <w:rPr>
            <w:rFonts w:asciiTheme="minorHAnsi" w:eastAsiaTheme="minorEastAsia" w:hAnsiTheme="minorHAnsi" w:cstheme="minorBidi"/>
            <w:b w:val="0"/>
            <w:smallCaps w:val="0"/>
            <w:sz w:val="22"/>
            <w:lang w:eastAsia="en-GB" w:bidi="ar-SA"/>
          </w:rPr>
          <w:tab/>
        </w:r>
        <w:r w:rsidR="004B5E3A" w:rsidRPr="00D51A68">
          <w:rPr>
            <w:rStyle w:val="Hyperlink"/>
            <w:rFonts w:ascii="Times New Roman" w:hAnsi="Times New Roman"/>
          </w:rPr>
          <w:t>Osservazioni di carattere generale</w:t>
        </w:r>
        <w:r w:rsidR="004B5E3A" w:rsidRPr="00D51A68">
          <w:rPr>
            <w:webHidden/>
          </w:rPr>
          <w:tab/>
        </w:r>
        <w:r w:rsidR="004B5E3A" w:rsidRPr="00D51A68">
          <w:rPr>
            <w:webHidden/>
          </w:rPr>
          <w:fldChar w:fldCharType="begin"/>
        </w:r>
        <w:r w:rsidR="004B5E3A" w:rsidRPr="00D51A68">
          <w:rPr>
            <w:webHidden/>
          </w:rPr>
          <w:instrText xml:space="preserve"> PAGEREF _Toc524096653 \h </w:instrText>
        </w:r>
        <w:r w:rsidR="004B5E3A" w:rsidRPr="00D51A68">
          <w:rPr>
            <w:webHidden/>
          </w:rPr>
        </w:r>
        <w:r w:rsidR="004B5E3A" w:rsidRPr="00D51A68">
          <w:rPr>
            <w:webHidden/>
          </w:rPr>
          <w:fldChar w:fldCharType="separate"/>
        </w:r>
        <w:r>
          <w:rPr>
            <w:webHidden/>
          </w:rPr>
          <w:t>205</w:t>
        </w:r>
        <w:r w:rsidR="004B5E3A" w:rsidRPr="00D51A68">
          <w:rPr>
            <w:webHidden/>
          </w:rPr>
          <w:fldChar w:fldCharType="end"/>
        </w:r>
      </w:hyperlink>
    </w:p>
    <w:p w:rsidR="004B5E3A" w:rsidRPr="00D51A68" w:rsidRDefault="00DB339B">
      <w:pPr>
        <w:pStyle w:val="TOC2"/>
        <w:rPr>
          <w:rFonts w:asciiTheme="minorHAnsi" w:eastAsiaTheme="minorEastAsia" w:hAnsiTheme="minorHAnsi" w:cstheme="minorBidi"/>
          <w:b w:val="0"/>
          <w:smallCaps w:val="0"/>
          <w:sz w:val="22"/>
          <w:lang w:eastAsia="en-GB" w:bidi="ar-SA"/>
        </w:rPr>
      </w:pPr>
      <w:hyperlink w:anchor="_Toc524096654" w:history="1">
        <w:r w:rsidR="004B5E3A" w:rsidRPr="00D51A68">
          <w:rPr>
            <w:rStyle w:val="Hyperlink"/>
            <w:rFonts w:ascii="Times New Roman" w:hAnsi="Times New Roman"/>
          </w:rPr>
          <w:t>6.1.2.</w:t>
        </w:r>
        <w:r w:rsidR="004B5E3A" w:rsidRPr="00D51A68">
          <w:rPr>
            <w:rFonts w:asciiTheme="minorHAnsi" w:eastAsiaTheme="minorEastAsia" w:hAnsiTheme="minorHAnsi" w:cstheme="minorBidi"/>
            <w:b w:val="0"/>
            <w:smallCaps w:val="0"/>
            <w:sz w:val="22"/>
            <w:lang w:eastAsia="en-GB" w:bidi="ar-SA"/>
          </w:rPr>
          <w:tab/>
        </w:r>
        <w:r w:rsidR="004B5E3A" w:rsidRPr="00D51A68">
          <w:rPr>
            <w:rStyle w:val="Hyperlink"/>
            <w:rFonts w:ascii="Times New Roman" w:hAnsi="Times New Roman"/>
          </w:rPr>
          <w:t>Istruzioni relative a posizioni specifiche</w:t>
        </w:r>
        <w:r w:rsidR="004B5E3A" w:rsidRPr="00D51A68">
          <w:rPr>
            <w:webHidden/>
          </w:rPr>
          <w:tab/>
        </w:r>
        <w:r w:rsidR="004B5E3A" w:rsidRPr="00D51A68">
          <w:rPr>
            <w:webHidden/>
          </w:rPr>
          <w:fldChar w:fldCharType="begin"/>
        </w:r>
        <w:r w:rsidR="004B5E3A" w:rsidRPr="00D51A68">
          <w:rPr>
            <w:webHidden/>
          </w:rPr>
          <w:instrText xml:space="preserve"> PAGEREF _Toc524096654 \h </w:instrText>
        </w:r>
        <w:r w:rsidR="004B5E3A" w:rsidRPr="00D51A68">
          <w:rPr>
            <w:webHidden/>
          </w:rPr>
        </w:r>
        <w:r w:rsidR="004B5E3A" w:rsidRPr="00D51A68">
          <w:rPr>
            <w:webHidden/>
          </w:rPr>
          <w:fldChar w:fldCharType="separate"/>
        </w:r>
        <w:r>
          <w:rPr>
            <w:webHidden/>
          </w:rPr>
          <w:t>205</w:t>
        </w:r>
        <w:r w:rsidR="004B5E3A" w:rsidRPr="00D51A68">
          <w:rPr>
            <w:webHidden/>
          </w:rPr>
          <w:fldChar w:fldCharType="end"/>
        </w:r>
      </w:hyperlink>
    </w:p>
    <w:p w:rsidR="004B5E3A" w:rsidRPr="00D51A68" w:rsidRDefault="00DB339B">
      <w:pPr>
        <w:pStyle w:val="TOC2"/>
        <w:rPr>
          <w:rFonts w:asciiTheme="minorHAnsi" w:eastAsiaTheme="minorEastAsia" w:hAnsiTheme="minorHAnsi" w:cstheme="minorBidi"/>
          <w:b w:val="0"/>
          <w:smallCaps w:val="0"/>
          <w:sz w:val="22"/>
          <w:lang w:eastAsia="en-GB" w:bidi="ar-SA"/>
        </w:rPr>
      </w:pPr>
      <w:hyperlink w:anchor="_Toc524096655" w:history="1">
        <w:r w:rsidR="004B5E3A" w:rsidRPr="00D51A68">
          <w:rPr>
            <w:rStyle w:val="Hyperlink"/>
            <w:rFonts w:ascii="Times New Roman" w:hAnsi="Times New Roman"/>
          </w:rPr>
          <w:t>6.2.</w:t>
        </w:r>
        <w:r w:rsidR="004B5E3A" w:rsidRPr="00D51A68">
          <w:rPr>
            <w:rFonts w:asciiTheme="minorHAnsi" w:eastAsiaTheme="minorEastAsia" w:hAnsiTheme="minorHAnsi" w:cstheme="minorBidi"/>
            <w:b w:val="0"/>
            <w:smallCaps w:val="0"/>
            <w:sz w:val="22"/>
            <w:lang w:eastAsia="en-GB" w:bidi="ar-SA"/>
          </w:rPr>
          <w:tab/>
        </w:r>
        <w:r w:rsidR="004B5E3A" w:rsidRPr="00D51A68">
          <w:rPr>
            <w:rStyle w:val="Hyperlink"/>
            <w:rFonts w:ascii="Times New Roman" w:hAnsi="Times New Roman"/>
          </w:rPr>
          <w:t>C 32.02 - Valutazione prudente: Metodo di base (PruVal 2)</w:t>
        </w:r>
        <w:r w:rsidR="004B5E3A" w:rsidRPr="00D51A68">
          <w:rPr>
            <w:webHidden/>
          </w:rPr>
          <w:tab/>
        </w:r>
        <w:r w:rsidR="004B5E3A" w:rsidRPr="00D51A68">
          <w:rPr>
            <w:webHidden/>
          </w:rPr>
          <w:fldChar w:fldCharType="begin"/>
        </w:r>
        <w:r w:rsidR="004B5E3A" w:rsidRPr="00D51A68">
          <w:rPr>
            <w:webHidden/>
          </w:rPr>
          <w:instrText xml:space="preserve"> PAGEREF _Toc524096655 \h </w:instrText>
        </w:r>
        <w:r w:rsidR="004B5E3A" w:rsidRPr="00D51A68">
          <w:rPr>
            <w:webHidden/>
          </w:rPr>
        </w:r>
        <w:r w:rsidR="004B5E3A" w:rsidRPr="00D51A68">
          <w:rPr>
            <w:webHidden/>
          </w:rPr>
          <w:fldChar w:fldCharType="separate"/>
        </w:r>
        <w:r>
          <w:rPr>
            <w:webHidden/>
          </w:rPr>
          <w:t>211</w:t>
        </w:r>
        <w:r w:rsidR="004B5E3A" w:rsidRPr="00D51A68">
          <w:rPr>
            <w:webHidden/>
          </w:rPr>
          <w:fldChar w:fldCharType="end"/>
        </w:r>
      </w:hyperlink>
    </w:p>
    <w:p w:rsidR="004B5E3A" w:rsidRPr="00D51A68" w:rsidRDefault="00DB339B">
      <w:pPr>
        <w:pStyle w:val="TOC2"/>
        <w:rPr>
          <w:rFonts w:asciiTheme="minorHAnsi" w:eastAsiaTheme="minorEastAsia" w:hAnsiTheme="minorHAnsi" w:cstheme="minorBidi"/>
          <w:b w:val="0"/>
          <w:smallCaps w:val="0"/>
          <w:sz w:val="22"/>
          <w:lang w:eastAsia="en-GB" w:bidi="ar-SA"/>
        </w:rPr>
      </w:pPr>
      <w:hyperlink w:anchor="_Toc524096656" w:history="1">
        <w:r w:rsidR="004B5E3A" w:rsidRPr="00D51A68">
          <w:rPr>
            <w:rStyle w:val="Hyperlink"/>
            <w:rFonts w:ascii="Times New Roman" w:hAnsi="Times New Roman"/>
          </w:rPr>
          <w:t>6.2.1.</w:t>
        </w:r>
        <w:r w:rsidR="004B5E3A" w:rsidRPr="00D51A68">
          <w:rPr>
            <w:rFonts w:asciiTheme="minorHAnsi" w:eastAsiaTheme="minorEastAsia" w:hAnsiTheme="minorHAnsi" w:cstheme="minorBidi"/>
            <w:b w:val="0"/>
            <w:smallCaps w:val="0"/>
            <w:sz w:val="22"/>
            <w:lang w:eastAsia="en-GB" w:bidi="ar-SA"/>
          </w:rPr>
          <w:tab/>
        </w:r>
        <w:r w:rsidR="004B5E3A" w:rsidRPr="00D51A68">
          <w:rPr>
            <w:rStyle w:val="Hyperlink"/>
            <w:rFonts w:ascii="Times New Roman" w:hAnsi="Times New Roman"/>
          </w:rPr>
          <w:t>Osservazioni di carattere generale</w:t>
        </w:r>
        <w:r w:rsidR="004B5E3A" w:rsidRPr="00D51A68">
          <w:rPr>
            <w:webHidden/>
          </w:rPr>
          <w:tab/>
        </w:r>
        <w:r w:rsidR="004B5E3A" w:rsidRPr="00D51A68">
          <w:rPr>
            <w:webHidden/>
          </w:rPr>
          <w:fldChar w:fldCharType="begin"/>
        </w:r>
        <w:r w:rsidR="004B5E3A" w:rsidRPr="00D51A68">
          <w:rPr>
            <w:webHidden/>
          </w:rPr>
          <w:instrText xml:space="preserve"> PAGEREF _Toc524096656 \h </w:instrText>
        </w:r>
        <w:r w:rsidR="004B5E3A" w:rsidRPr="00D51A68">
          <w:rPr>
            <w:webHidden/>
          </w:rPr>
        </w:r>
        <w:r w:rsidR="004B5E3A" w:rsidRPr="00D51A68">
          <w:rPr>
            <w:webHidden/>
          </w:rPr>
          <w:fldChar w:fldCharType="separate"/>
        </w:r>
        <w:r>
          <w:rPr>
            <w:webHidden/>
          </w:rPr>
          <w:t>211</w:t>
        </w:r>
        <w:r w:rsidR="004B5E3A" w:rsidRPr="00D51A68">
          <w:rPr>
            <w:webHidden/>
          </w:rPr>
          <w:fldChar w:fldCharType="end"/>
        </w:r>
      </w:hyperlink>
    </w:p>
    <w:p w:rsidR="004B5E3A" w:rsidRPr="00D51A68" w:rsidRDefault="00DB339B">
      <w:pPr>
        <w:pStyle w:val="TOC2"/>
        <w:rPr>
          <w:rFonts w:asciiTheme="minorHAnsi" w:eastAsiaTheme="minorEastAsia" w:hAnsiTheme="minorHAnsi" w:cstheme="minorBidi"/>
          <w:b w:val="0"/>
          <w:smallCaps w:val="0"/>
          <w:sz w:val="22"/>
          <w:lang w:eastAsia="en-GB" w:bidi="ar-SA"/>
        </w:rPr>
      </w:pPr>
      <w:hyperlink w:anchor="_Toc524096657" w:history="1">
        <w:r w:rsidR="004B5E3A" w:rsidRPr="00D51A68">
          <w:rPr>
            <w:rStyle w:val="Hyperlink"/>
            <w:rFonts w:ascii="Times New Roman" w:hAnsi="Times New Roman"/>
          </w:rPr>
          <w:t>6.2.2.</w:t>
        </w:r>
        <w:r w:rsidR="004B5E3A" w:rsidRPr="00D51A68">
          <w:rPr>
            <w:rFonts w:asciiTheme="minorHAnsi" w:eastAsiaTheme="minorEastAsia" w:hAnsiTheme="minorHAnsi" w:cstheme="minorBidi"/>
            <w:b w:val="0"/>
            <w:smallCaps w:val="0"/>
            <w:sz w:val="22"/>
            <w:lang w:eastAsia="en-GB" w:bidi="ar-SA"/>
          </w:rPr>
          <w:tab/>
        </w:r>
        <w:r w:rsidR="004B5E3A" w:rsidRPr="00D51A68">
          <w:rPr>
            <w:rStyle w:val="Hyperlink"/>
            <w:rFonts w:ascii="Times New Roman" w:hAnsi="Times New Roman"/>
          </w:rPr>
          <w:t>Istruzioni relative a posizioni specifiche</w:t>
        </w:r>
        <w:r w:rsidR="004B5E3A" w:rsidRPr="00D51A68">
          <w:rPr>
            <w:webHidden/>
          </w:rPr>
          <w:tab/>
        </w:r>
        <w:r w:rsidR="004B5E3A" w:rsidRPr="00D51A68">
          <w:rPr>
            <w:webHidden/>
          </w:rPr>
          <w:fldChar w:fldCharType="begin"/>
        </w:r>
        <w:r w:rsidR="004B5E3A" w:rsidRPr="00D51A68">
          <w:rPr>
            <w:webHidden/>
          </w:rPr>
          <w:instrText xml:space="preserve"> PAGEREF _Toc524096657 \h </w:instrText>
        </w:r>
        <w:r w:rsidR="004B5E3A" w:rsidRPr="00D51A68">
          <w:rPr>
            <w:webHidden/>
          </w:rPr>
        </w:r>
        <w:r w:rsidR="004B5E3A" w:rsidRPr="00D51A68">
          <w:rPr>
            <w:webHidden/>
          </w:rPr>
          <w:fldChar w:fldCharType="separate"/>
        </w:r>
        <w:r>
          <w:rPr>
            <w:webHidden/>
          </w:rPr>
          <w:t>211</w:t>
        </w:r>
        <w:r w:rsidR="004B5E3A" w:rsidRPr="00D51A68">
          <w:rPr>
            <w:webHidden/>
          </w:rPr>
          <w:fldChar w:fldCharType="end"/>
        </w:r>
      </w:hyperlink>
    </w:p>
    <w:p w:rsidR="004B5E3A" w:rsidRPr="00D51A68" w:rsidRDefault="00DB339B">
      <w:pPr>
        <w:pStyle w:val="TOC2"/>
        <w:rPr>
          <w:rFonts w:asciiTheme="minorHAnsi" w:eastAsiaTheme="minorEastAsia" w:hAnsiTheme="minorHAnsi" w:cstheme="minorBidi"/>
          <w:b w:val="0"/>
          <w:smallCaps w:val="0"/>
          <w:sz w:val="22"/>
          <w:lang w:eastAsia="en-GB" w:bidi="ar-SA"/>
        </w:rPr>
      </w:pPr>
      <w:hyperlink w:anchor="_Toc524096658" w:history="1">
        <w:r w:rsidR="004B5E3A" w:rsidRPr="00D51A68">
          <w:rPr>
            <w:rStyle w:val="Hyperlink"/>
            <w:rFonts w:ascii="Times New Roman" w:hAnsi="Times New Roman"/>
          </w:rPr>
          <w:t>6.3.</w:t>
        </w:r>
        <w:r w:rsidR="004B5E3A" w:rsidRPr="00D51A68">
          <w:rPr>
            <w:rFonts w:asciiTheme="minorHAnsi" w:eastAsiaTheme="minorEastAsia" w:hAnsiTheme="minorHAnsi" w:cstheme="minorBidi"/>
            <w:b w:val="0"/>
            <w:smallCaps w:val="0"/>
            <w:sz w:val="22"/>
            <w:lang w:eastAsia="en-GB" w:bidi="ar-SA"/>
          </w:rPr>
          <w:tab/>
        </w:r>
        <w:r w:rsidR="004B5E3A" w:rsidRPr="00D51A68">
          <w:rPr>
            <w:rStyle w:val="Hyperlink"/>
            <w:rFonts w:ascii="Times New Roman" w:hAnsi="Times New Roman"/>
          </w:rPr>
          <w:t>C 32.03 - Valutazione prudente: AVA per i rischi del modello (PruVal 3)</w:t>
        </w:r>
        <w:r w:rsidR="004B5E3A" w:rsidRPr="00D51A68">
          <w:rPr>
            <w:webHidden/>
          </w:rPr>
          <w:tab/>
        </w:r>
        <w:r w:rsidR="004B5E3A" w:rsidRPr="00D51A68">
          <w:rPr>
            <w:webHidden/>
          </w:rPr>
          <w:fldChar w:fldCharType="begin"/>
        </w:r>
        <w:r w:rsidR="004B5E3A" w:rsidRPr="00D51A68">
          <w:rPr>
            <w:webHidden/>
          </w:rPr>
          <w:instrText xml:space="preserve"> PAGEREF _Toc524096658 \h </w:instrText>
        </w:r>
        <w:r w:rsidR="004B5E3A" w:rsidRPr="00D51A68">
          <w:rPr>
            <w:webHidden/>
          </w:rPr>
        </w:r>
        <w:r w:rsidR="004B5E3A" w:rsidRPr="00D51A68">
          <w:rPr>
            <w:webHidden/>
          </w:rPr>
          <w:fldChar w:fldCharType="separate"/>
        </w:r>
        <w:r>
          <w:rPr>
            <w:webHidden/>
          </w:rPr>
          <w:t>222</w:t>
        </w:r>
        <w:r w:rsidR="004B5E3A" w:rsidRPr="00D51A68">
          <w:rPr>
            <w:webHidden/>
          </w:rPr>
          <w:fldChar w:fldCharType="end"/>
        </w:r>
      </w:hyperlink>
    </w:p>
    <w:p w:rsidR="004B5E3A" w:rsidRPr="00D51A68" w:rsidRDefault="00DB339B">
      <w:pPr>
        <w:pStyle w:val="TOC2"/>
        <w:rPr>
          <w:rFonts w:asciiTheme="minorHAnsi" w:eastAsiaTheme="minorEastAsia" w:hAnsiTheme="minorHAnsi" w:cstheme="minorBidi"/>
          <w:b w:val="0"/>
          <w:smallCaps w:val="0"/>
          <w:sz w:val="22"/>
          <w:lang w:eastAsia="en-GB" w:bidi="ar-SA"/>
        </w:rPr>
      </w:pPr>
      <w:hyperlink w:anchor="_Toc524096659" w:history="1">
        <w:r w:rsidR="004B5E3A" w:rsidRPr="00D51A68">
          <w:rPr>
            <w:rStyle w:val="Hyperlink"/>
            <w:rFonts w:ascii="Times New Roman" w:hAnsi="Times New Roman"/>
          </w:rPr>
          <w:t>6.3.1.</w:t>
        </w:r>
        <w:r w:rsidR="004B5E3A" w:rsidRPr="00D51A68">
          <w:rPr>
            <w:rFonts w:asciiTheme="minorHAnsi" w:eastAsiaTheme="minorEastAsia" w:hAnsiTheme="minorHAnsi" w:cstheme="minorBidi"/>
            <w:b w:val="0"/>
            <w:smallCaps w:val="0"/>
            <w:sz w:val="22"/>
            <w:lang w:eastAsia="en-GB" w:bidi="ar-SA"/>
          </w:rPr>
          <w:tab/>
        </w:r>
        <w:r w:rsidR="004B5E3A" w:rsidRPr="00D51A68">
          <w:rPr>
            <w:rStyle w:val="Hyperlink"/>
            <w:rFonts w:ascii="Times New Roman" w:hAnsi="Times New Roman"/>
          </w:rPr>
          <w:t>Osservazioni di carattere generale</w:t>
        </w:r>
        <w:r w:rsidR="004B5E3A" w:rsidRPr="00D51A68">
          <w:rPr>
            <w:webHidden/>
          </w:rPr>
          <w:tab/>
        </w:r>
        <w:r w:rsidR="004B5E3A" w:rsidRPr="00D51A68">
          <w:rPr>
            <w:webHidden/>
          </w:rPr>
          <w:fldChar w:fldCharType="begin"/>
        </w:r>
        <w:r w:rsidR="004B5E3A" w:rsidRPr="00D51A68">
          <w:rPr>
            <w:webHidden/>
          </w:rPr>
          <w:instrText xml:space="preserve"> PAGEREF _Toc524096659 \h </w:instrText>
        </w:r>
        <w:r w:rsidR="004B5E3A" w:rsidRPr="00D51A68">
          <w:rPr>
            <w:webHidden/>
          </w:rPr>
        </w:r>
        <w:r w:rsidR="004B5E3A" w:rsidRPr="00D51A68">
          <w:rPr>
            <w:webHidden/>
          </w:rPr>
          <w:fldChar w:fldCharType="separate"/>
        </w:r>
        <w:r>
          <w:rPr>
            <w:webHidden/>
          </w:rPr>
          <w:t>222</w:t>
        </w:r>
        <w:r w:rsidR="004B5E3A" w:rsidRPr="00D51A68">
          <w:rPr>
            <w:webHidden/>
          </w:rPr>
          <w:fldChar w:fldCharType="end"/>
        </w:r>
      </w:hyperlink>
    </w:p>
    <w:p w:rsidR="004B5E3A" w:rsidRPr="00D51A68" w:rsidRDefault="00DB339B">
      <w:pPr>
        <w:pStyle w:val="TOC2"/>
        <w:rPr>
          <w:rFonts w:asciiTheme="minorHAnsi" w:eastAsiaTheme="minorEastAsia" w:hAnsiTheme="minorHAnsi" w:cstheme="minorBidi"/>
          <w:b w:val="0"/>
          <w:smallCaps w:val="0"/>
          <w:sz w:val="22"/>
          <w:lang w:eastAsia="en-GB" w:bidi="ar-SA"/>
        </w:rPr>
      </w:pPr>
      <w:hyperlink w:anchor="_Toc524096660" w:history="1">
        <w:r w:rsidR="004B5E3A" w:rsidRPr="00D51A68">
          <w:rPr>
            <w:rStyle w:val="Hyperlink"/>
            <w:rFonts w:ascii="Times New Roman" w:hAnsi="Times New Roman"/>
          </w:rPr>
          <w:t>6.3.2.</w:t>
        </w:r>
        <w:r w:rsidR="004B5E3A" w:rsidRPr="00D51A68">
          <w:rPr>
            <w:rFonts w:asciiTheme="minorHAnsi" w:eastAsiaTheme="minorEastAsia" w:hAnsiTheme="minorHAnsi" w:cstheme="minorBidi"/>
            <w:b w:val="0"/>
            <w:smallCaps w:val="0"/>
            <w:sz w:val="22"/>
            <w:lang w:eastAsia="en-GB" w:bidi="ar-SA"/>
          </w:rPr>
          <w:tab/>
        </w:r>
        <w:r w:rsidR="004B5E3A" w:rsidRPr="00D51A68">
          <w:rPr>
            <w:rStyle w:val="Hyperlink"/>
            <w:rFonts w:ascii="Times New Roman" w:hAnsi="Times New Roman"/>
          </w:rPr>
          <w:t>Istruzioni relative a posizioni specifiche</w:t>
        </w:r>
        <w:r w:rsidR="004B5E3A" w:rsidRPr="00D51A68">
          <w:rPr>
            <w:webHidden/>
          </w:rPr>
          <w:tab/>
        </w:r>
        <w:r w:rsidR="004B5E3A" w:rsidRPr="00D51A68">
          <w:rPr>
            <w:webHidden/>
          </w:rPr>
          <w:fldChar w:fldCharType="begin"/>
        </w:r>
        <w:r w:rsidR="004B5E3A" w:rsidRPr="00D51A68">
          <w:rPr>
            <w:webHidden/>
          </w:rPr>
          <w:instrText xml:space="preserve"> PAGEREF _Toc524096660 \h </w:instrText>
        </w:r>
        <w:r w:rsidR="004B5E3A" w:rsidRPr="00D51A68">
          <w:rPr>
            <w:webHidden/>
          </w:rPr>
        </w:r>
        <w:r w:rsidR="004B5E3A" w:rsidRPr="00D51A68">
          <w:rPr>
            <w:webHidden/>
          </w:rPr>
          <w:fldChar w:fldCharType="separate"/>
        </w:r>
        <w:r>
          <w:rPr>
            <w:webHidden/>
          </w:rPr>
          <w:t>222</w:t>
        </w:r>
        <w:r w:rsidR="004B5E3A" w:rsidRPr="00D51A68">
          <w:rPr>
            <w:webHidden/>
          </w:rPr>
          <w:fldChar w:fldCharType="end"/>
        </w:r>
      </w:hyperlink>
    </w:p>
    <w:p w:rsidR="004B5E3A" w:rsidRPr="00D51A68" w:rsidRDefault="00DB339B">
      <w:pPr>
        <w:pStyle w:val="TOC2"/>
        <w:rPr>
          <w:rFonts w:asciiTheme="minorHAnsi" w:eastAsiaTheme="minorEastAsia" w:hAnsiTheme="minorHAnsi" w:cstheme="minorBidi"/>
          <w:b w:val="0"/>
          <w:smallCaps w:val="0"/>
          <w:sz w:val="22"/>
          <w:lang w:eastAsia="en-GB" w:bidi="ar-SA"/>
        </w:rPr>
      </w:pPr>
      <w:hyperlink w:anchor="_Toc524096661" w:history="1">
        <w:r w:rsidR="004B5E3A" w:rsidRPr="00D51A68">
          <w:rPr>
            <w:rStyle w:val="Hyperlink"/>
            <w:rFonts w:ascii="Times New Roman" w:hAnsi="Times New Roman"/>
          </w:rPr>
          <w:t>6.4</w:t>
        </w:r>
        <w:r w:rsidR="004B5E3A" w:rsidRPr="00D51A68">
          <w:rPr>
            <w:rFonts w:asciiTheme="minorHAnsi" w:eastAsiaTheme="minorEastAsia" w:hAnsiTheme="minorHAnsi" w:cstheme="minorBidi"/>
            <w:b w:val="0"/>
            <w:smallCaps w:val="0"/>
            <w:sz w:val="22"/>
            <w:lang w:eastAsia="en-GB" w:bidi="ar-SA"/>
          </w:rPr>
          <w:tab/>
        </w:r>
        <w:r w:rsidR="004B5E3A" w:rsidRPr="00D51A68">
          <w:rPr>
            <w:rStyle w:val="Hyperlink"/>
            <w:rFonts w:ascii="Times New Roman" w:hAnsi="Times New Roman"/>
          </w:rPr>
          <w:t xml:space="preserve"> C 32.04 - Valutazione prudente: AVA per le posizioni concentrate (PruVal 4)</w:t>
        </w:r>
        <w:r w:rsidR="004B5E3A" w:rsidRPr="00D51A68">
          <w:rPr>
            <w:webHidden/>
          </w:rPr>
          <w:tab/>
        </w:r>
        <w:r w:rsidR="004B5E3A" w:rsidRPr="00D51A68">
          <w:rPr>
            <w:webHidden/>
          </w:rPr>
          <w:fldChar w:fldCharType="begin"/>
        </w:r>
        <w:r w:rsidR="004B5E3A" w:rsidRPr="00D51A68">
          <w:rPr>
            <w:webHidden/>
          </w:rPr>
          <w:instrText xml:space="preserve"> PAGEREF _Toc524096661 \h </w:instrText>
        </w:r>
        <w:r w:rsidR="004B5E3A" w:rsidRPr="00D51A68">
          <w:rPr>
            <w:webHidden/>
          </w:rPr>
        </w:r>
        <w:r w:rsidR="004B5E3A" w:rsidRPr="00D51A68">
          <w:rPr>
            <w:webHidden/>
          </w:rPr>
          <w:fldChar w:fldCharType="separate"/>
        </w:r>
        <w:r>
          <w:rPr>
            <w:webHidden/>
          </w:rPr>
          <w:t>225</w:t>
        </w:r>
        <w:r w:rsidR="004B5E3A" w:rsidRPr="00D51A68">
          <w:rPr>
            <w:webHidden/>
          </w:rPr>
          <w:fldChar w:fldCharType="end"/>
        </w:r>
      </w:hyperlink>
    </w:p>
    <w:p w:rsidR="004B5E3A" w:rsidRPr="00D51A68" w:rsidRDefault="00DB339B">
      <w:pPr>
        <w:pStyle w:val="TOC2"/>
        <w:rPr>
          <w:rFonts w:asciiTheme="minorHAnsi" w:eastAsiaTheme="minorEastAsia" w:hAnsiTheme="minorHAnsi" w:cstheme="minorBidi"/>
          <w:b w:val="0"/>
          <w:smallCaps w:val="0"/>
          <w:sz w:val="22"/>
          <w:lang w:eastAsia="en-GB" w:bidi="ar-SA"/>
        </w:rPr>
      </w:pPr>
      <w:hyperlink w:anchor="_Toc524096662" w:history="1">
        <w:r w:rsidR="004B5E3A" w:rsidRPr="00D51A68">
          <w:rPr>
            <w:rStyle w:val="Hyperlink"/>
            <w:rFonts w:ascii="Times New Roman" w:hAnsi="Times New Roman"/>
          </w:rPr>
          <w:t>6.4.1.</w:t>
        </w:r>
        <w:r w:rsidR="004B5E3A" w:rsidRPr="00D51A68">
          <w:rPr>
            <w:rFonts w:asciiTheme="minorHAnsi" w:eastAsiaTheme="minorEastAsia" w:hAnsiTheme="minorHAnsi" w:cstheme="minorBidi"/>
            <w:b w:val="0"/>
            <w:smallCaps w:val="0"/>
            <w:sz w:val="22"/>
            <w:lang w:eastAsia="en-GB" w:bidi="ar-SA"/>
          </w:rPr>
          <w:tab/>
        </w:r>
        <w:r w:rsidR="004B5E3A" w:rsidRPr="00D51A68">
          <w:rPr>
            <w:rStyle w:val="Hyperlink"/>
            <w:rFonts w:ascii="Times New Roman" w:hAnsi="Times New Roman"/>
          </w:rPr>
          <w:t>Osservazioni di carattere generale</w:t>
        </w:r>
        <w:r w:rsidR="004B5E3A" w:rsidRPr="00D51A68">
          <w:rPr>
            <w:webHidden/>
          </w:rPr>
          <w:tab/>
        </w:r>
        <w:r w:rsidR="004B5E3A" w:rsidRPr="00D51A68">
          <w:rPr>
            <w:webHidden/>
          </w:rPr>
          <w:fldChar w:fldCharType="begin"/>
        </w:r>
        <w:r w:rsidR="004B5E3A" w:rsidRPr="00D51A68">
          <w:rPr>
            <w:webHidden/>
          </w:rPr>
          <w:instrText xml:space="preserve"> PAGEREF _Toc524096662 \h </w:instrText>
        </w:r>
        <w:r w:rsidR="004B5E3A" w:rsidRPr="00D51A68">
          <w:rPr>
            <w:webHidden/>
          </w:rPr>
        </w:r>
        <w:r w:rsidR="004B5E3A" w:rsidRPr="00D51A68">
          <w:rPr>
            <w:webHidden/>
          </w:rPr>
          <w:fldChar w:fldCharType="separate"/>
        </w:r>
        <w:r>
          <w:rPr>
            <w:webHidden/>
          </w:rPr>
          <w:t>225</w:t>
        </w:r>
        <w:r w:rsidR="004B5E3A" w:rsidRPr="00D51A68">
          <w:rPr>
            <w:webHidden/>
          </w:rPr>
          <w:fldChar w:fldCharType="end"/>
        </w:r>
      </w:hyperlink>
    </w:p>
    <w:p w:rsidR="004B5E3A" w:rsidRPr="00D51A68" w:rsidRDefault="00DB339B">
      <w:pPr>
        <w:pStyle w:val="TOC2"/>
        <w:rPr>
          <w:rFonts w:asciiTheme="minorHAnsi" w:eastAsiaTheme="minorEastAsia" w:hAnsiTheme="minorHAnsi" w:cstheme="minorBidi"/>
          <w:b w:val="0"/>
          <w:smallCaps w:val="0"/>
          <w:sz w:val="22"/>
          <w:lang w:eastAsia="en-GB" w:bidi="ar-SA"/>
        </w:rPr>
      </w:pPr>
      <w:hyperlink w:anchor="_Toc524096663" w:history="1">
        <w:r w:rsidR="004B5E3A" w:rsidRPr="00D51A68">
          <w:rPr>
            <w:rStyle w:val="Hyperlink"/>
            <w:rFonts w:ascii="Times New Roman" w:hAnsi="Times New Roman"/>
          </w:rPr>
          <w:t>6.4.2.</w:t>
        </w:r>
        <w:r w:rsidR="004B5E3A" w:rsidRPr="00D51A68">
          <w:rPr>
            <w:rFonts w:asciiTheme="minorHAnsi" w:eastAsiaTheme="minorEastAsia" w:hAnsiTheme="minorHAnsi" w:cstheme="minorBidi"/>
            <w:b w:val="0"/>
            <w:smallCaps w:val="0"/>
            <w:sz w:val="22"/>
            <w:lang w:eastAsia="en-GB" w:bidi="ar-SA"/>
          </w:rPr>
          <w:tab/>
        </w:r>
        <w:r w:rsidR="004B5E3A" w:rsidRPr="00D51A68">
          <w:rPr>
            <w:rStyle w:val="Hyperlink"/>
            <w:rFonts w:ascii="Times New Roman" w:hAnsi="Times New Roman"/>
          </w:rPr>
          <w:t>Istruzioni relative a posizioni specifiche</w:t>
        </w:r>
        <w:r w:rsidR="004B5E3A" w:rsidRPr="00D51A68">
          <w:rPr>
            <w:webHidden/>
          </w:rPr>
          <w:tab/>
        </w:r>
        <w:r w:rsidR="004B5E3A" w:rsidRPr="00D51A68">
          <w:rPr>
            <w:webHidden/>
          </w:rPr>
          <w:fldChar w:fldCharType="begin"/>
        </w:r>
        <w:r w:rsidR="004B5E3A" w:rsidRPr="00D51A68">
          <w:rPr>
            <w:webHidden/>
          </w:rPr>
          <w:instrText xml:space="preserve"> PAGEREF _Toc524096663 \h </w:instrText>
        </w:r>
        <w:r w:rsidR="004B5E3A" w:rsidRPr="00D51A68">
          <w:rPr>
            <w:webHidden/>
          </w:rPr>
        </w:r>
        <w:r w:rsidR="004B5E3A" w:rsidRPr="00D51A68">
          <w:rPr>
            <w:webHidden/>
          </w:rPr>
          <w:fldChar w:fldCharType="separate"/>
        </w:r>
        <w:r>
          <w:rPr>
            <w:webHidden/>
          </w:rPr>
          <w:t>226</w:t>
        </w:r>
        <w:r w:rsidR="004B5E3A" w:rsidRPr="00D51A68">
          <w:rPr>
            <w:webHidden/>
          </w:rPr>
          <w:fldChar w:fldCharType="end"/>
        </w:r>
      </w:hyperlink>
    </w:p>
    <w:p w:rsidR="004B5E3A" w:rsidRPr="00D51A68" w:rsidRDefault="00DB339B">
      <w:pPr>
        <w:pStyle w:val="TOC2"/>
        <w:rPr>
          <w:rFonts w:asciiTheme="minorHAnsi" w:eastAsiaTheme="minorEastAsia" w:hAnsiTheme="minorHAnsi" w:cstheme="minorBidi"/>
          <w:b w:val="0"/>
          <w:smallCaps w:val="0"/>
          <w:sz w:val="22"/>
          <w:lang w:eastAsia="en-GB" w:bidi="ar-SA"/>
        </w:rPr>
      </w:pPr>
      <w:hyperlink w:anchor="_Toc524096664" w:history="1">
        <w:r w:rsidR="004B5E3A" w:rsidRPr="00D51A68">
          <w:rPr>
            <w:rStyle w:val="Hyperlink"/>
            <w:rFonts w:ascii="Times New Roman" w:hAnsi="Times New Roman"/>
          </w:rPr>
          <w:t>7.</w:t>
        </w:r>
        <w:r w:rsidR="004B5E3A" w:rsidRPr="00D51A68">
          <w:rPr>
            <w:rFonts w:asciiTheme="minorHAnsi" w:eastAsiaTheme="minorEastAsia" w:hAnsiTheme="minorHAnsi" w:cstheme="minorBidi"/>
            <w:b w:val="0"/>
            <w:smallCaps w:val="0"/>
            <w:sz w:val="22"/>
            <w:lang w:eastAsia="en-GB" w:bidi="ar-SA"/>
          </w:rPr>
          <w:tab/>
        </w:r>
        <w:r w:rsidR="004B5E3A" w:rsidRPr="00D51A68">
          <w:rPr>
            <w:rStyle w:val="Hyperlink"/>
            <w:rFonts w:ascii="Times New Roman" w:hAnsi="Times New Roman"/>
          </w:rPr>
          <w:t>C 33.00 — Esposizioni verso amministrazioni pubbliche (GOV)</w:t>
        </w:r>
        <w:r w:rsidR="004B5E3A" w:rsidRPr="00D51A68">
          <w:rPr>
            <w:webHidden/>
          </w:rPr>
          <w:tab/>
        </w:r>
        <w:r w:rsidR="004B5E3A" w:rsidRPr="00D51A68">
          <w:rPr>
            <w:webHidden/>
          </w:rPr>
          <w:fldChar w:fldCharType="begin"/>
        </w:r>
        <w:r w:rsidR="004B5E3A" w:rsidRPr="00D51A68">
          <w:rPr>
            <w:webHidden/>
          </w:rPr>
          <w:instrText xml:space="preserve"> PAGEREF _Toc524096664 \h </w:instrText>
        </w:r>
        <w:r w:rsidR="004B5E3A" w:rsidRPr="00D51A68">
          <w:rPr>
            <w:webHidden/>
          </w:rPr>
        </w:r>
        <w:r w:rsidR="004B5E3A" w:rsidRPr="00D51A68">
          <w:rPr>
            <w:webHidden/>
          </w:rPr>
          <w:fldChar w:fldCharType="separate"/>
        </w:r>
        <w:r>
          <w:rPr>
            <w:webHidden/>
          </w:rPr>
          <w:t>228</w:t>
        </w:r>
        <w:r w:rsidR="004B5E3A" w:rsidRPr="00D51A68">
          <w:rPr>
            <w:webHidden/>
          </w:rPr>
          <w:fldChar w:fldCharType="end"/>
        </w:r>
      </w:hyperlink>
    </w:p>
    <w:p w:rsidR="004B5E3A" w:rsidRPr="00D51A68" w:rsidRDefault="00DB339B">
      <w:pPr>
        <w:pStyle w:val="TOC2"/>
        <w:rPr>
          <w:rFonts w:asciiTheme="minorHAnsi" w:eastAsiaTheme="minorEastAsia" w:hAnsiTheme="minorHAnsi" w:cstheme="minorBidi"/>
          <w:b w:val="0"/>
          <w:smallCaps w:val="0"/>
          <w:sz w:val="22"/>
          <w:lang w:eastAsia="en-GB" w:bidi="ar-SA"/>
        </w:rPr>
      </w:pPr>
      <w:hyperlink w:anchor="_Toc524096665" w:history="1">
        <w:r w:rsidR="004B5E3A" w:rsidRPr="00D51A68">
          <w:rPr>
            <w:rStyle w:val="Hyperlink"/>
            <w:rFonts w:ascii="Times New Roman" w:hAnsi="Times New Roman"/>
          </w:rPr>
          <w:t>7.1.</w:t>
        </w:r>
        <w:r w:rsidR="004B5E3A" w:rsidRPr="00D51A68">
          <w:rPr>
            <w:rFonts w:asciiTheme="minorHAnsi" w:eastAsiaTheme="minorEastAsia" w:hAnsiTheme="minorHAnsi" w:cstheme="minorBidi"/>
            <w:b w:val="0"/>
            <w:smallCaps w:val="0"/>
            <w:sz w:val="22"/>
            <w:lang w:eastAsia="en-GB" w:bidi="ar-SA"/>
          </w:rPr>
          <w:tab/>
        </w:r>
        <w:r w:rsidR="004B5E3A" w:rsidRPr="00D51A68">
          <w:rPr>
            <w:rStyle w:val="Hyperlink"/>
            <w:rFonts w:ascii="Times New Roman" w:hAnsi="Times New Roman"/>
          </w:rPr>
          <w:t>Osservazioni di carattere generale</w:t>
        </w:r>
        <w:r w:rsidR="004B5E3A" w:rsidRPr="00D51A68">
          <w:rPr>
            <w:webHidden/>
          </w:rPr>
          <w:tab/>
        </w:r>
        <w:r w:rsidR="004B5E3A" w:rsidRPr="00D51A68">
          <w:rPr>
            <w:webHidden/>
          </w:rPr>
          <w:fldChar w:fldCharType="begin"/>
        </w:r>
        <w:r w:rsidR="004B5E3A" w:rsidRPr="00D51A68">
          <w:rPr>
            <w:webHidden/>
          </w:rPr>
          <w:instrText xml:space="preserve"> PAGEREF _Toc524096665 \h </w:instrText>
        </w:r>
        <w:r w:rsidR="004B5E3A" w:rsidRPr="00D51A68">
          <w:rPr>
            <w:webHidden/>
          </w:rPr>
        </w:r>
        <w:r w:rsidR="004B5E3A" w:rsidRPr="00D51A68">
          <w:rPr>
            <w:webHidden/>
          </w:rPr>
          <w:fldChar w:fldCharType="separate"/>
        </w:r>
        <w:r>
          <w:rPr>
            <w:webHidden/>
          </w:rPr>
          <w:t>228</w:t>
        </w:r>
        <w:r w:rsidR="004B5E3A" w:rsidRPr="00D51A68">
          <w:rPr>
            <w:webHidden/>
          </w:rPr>
          <w:fldChar w:fldCharType="end"/>
        </w:r>
      </w:hyperlink>
    </w:p>
    <w:p w:rsidR="004B5E3A" w:rsidRPr="00D51A68" w:rsidRDefault="00DB339B">
      <w:pPr>
        <w:pStyle w:val="TOC2"/>
        <w:rPr>
          <w:rFonts w:asciiTheme="minorHAnsi" w:eastAsiaTheme="minorEastAsia" w:hAnsiTheme="minorHAnsi" w:cstheme="minorBidi"/>
          <w:b w:val="0"/>
          <w:smallCaps w:val="0"/>
          <w:sz w:val="22"/>
          <w:lang w:eastAsia="en-GB" w:bidi="ar-SA"/>
        </w:rPr>
      </w:pPr>
      <w:hyperlink w:anchor="_Toc524096666" w:history="1">
        <w:r w:rsidR="004B5E3A" w:rsidRPr="00D51A68">
          <w:rPr>
            <w:rStyle w:val="Hyperlink"/>
            <w:rFonts w:ascii="Times New Roman" w:hAnsi="Times New Roman"/>
          </w:rPr>
          <w:t>7.2.</w:t>
        </w:r>
        <w:r w:rsidR="004B5E3A" w:rsidRPr="00D51A68">
          <w:rPr>
            <w:rFonts w:asciiTheme="minorHAnsi" w:eastAsiaTheme="minorEastAsia" w:hAnsiTheme="minorHAnsi" w:cstheme="minorBidi"/>
            <w:b w:val="0"/>
            <w:smallCaps w:val="0"/>
            <w:sz w:val="22"/>
            <w:lang w:eastAsia="en-GB" w:bidi="ar-SA"/>
          </w:rPr>
          <w:tab/>
        </w:r>
        <w:r w:rsidR="004B5E3A" w:rsidRPr="00D51A68">
          <w:rPr>
            <w:rStyle w:val="Hyperlink"/>
            <w:rFonts w:ascii="Times New Roman" w:hAnsi="Times New Roman"/>
          </w:rPr>
          <w:t>Ambito di applicazione del modello sulle esposizioni verso le “amministrazioni pubbliche”</w:t>
        </w:r>
        <w:r w:rsidR="004B5E3A" w:rsidRPr="00D51A68">
          <w:rPr>
            <w:webHidden/>
          </w:rPr>
          <w:tab/>
        </w:r>
        <w:r w:rsidR="004B5E3A" w:rsidRPr="00D51A68">
          <w:rPr>
            <w:webHidden/>
          </w:rPr>
          <w:fldChar w:fldCharType="begin"/>
        </w:r>
        <w:r w:rsidR="004B5E3A" w:rsidRPr="00D51A68">
          <w:rPr>
            <w:webHidden/>
          </w:rPr>
          <w:instrText xml:space="preserve"> PAGEREF _Toc524096666 \h </w:instrText>
        </w:r>
        <w:r w:rsidR="004B5E3A" w:rsidRPr="00D51A68">
          <w:rPr>
            <w:webHidden/>
          </w:rPr>
        </w:r>
        <w:r w:rsidR="004B5E3A" w:rsidRPr="00D51A68">
          <w:rPr>
            <w:webHidden/>
          </w:rPr>
          <w:fldChar w:fldCharType="separate"/>
        </w:r>
        <w:r>
          <w:rPr>
            <w:webHidden/>
          </w:rPr>
          <w:t>228</w:t>
        </w:r>
        <w:r w:rsidR="004B5E3A" w:rsidRPr="00D51A68">
          <w:rPr>
            <w:webHidden/>
          </w:rPr>
          <w:fldChar w:fldCharType="end"/>
        </w:r>
      </w:hyperlink>
    </w:p>
    <w:p w:rsidR="004B5E3A" w:rsidRPr="00D51A68" w:rsidRDefault="00DB339B">
      <w:pPr>
        <w:pStyle w:val="TOC2"/>
        <w:rPr>
          <w:rFonts w:asciiTheme="minorHAnsi" w:eastAsiaTheme="minorEastAsia" w:hAnsiTheme="minorHAnsi" w:cstheme="minorBidi"/>
          <w:b w:val="0"/>
          <w:smallCaps w:val="0"/>
          <w:sz w:val="22"/>
          <w:lang w:eastAsia="en-GB" w:bidi="ar-SA"/>
        </w:rPr>
      </w:pPr>
      <w:hyperlink w:anchor="_Toc524096667" w:history="1">
        <w:r w:rsidR="004B5E3A" w:rsidRPr="00D51A68">
          <w:rPr>
            <w:rStyle w:val="Hyperlink"/>
            <w:rFonts w:ascii="Times New Roman" w:hAnsi="Times New Roman"/>
          </w:rPr>
          <w:t>7.3.</w:t>
        </w:r>
        <w:r w:rsidR="004B5E3A" w:rsidRPr="00D51A68">
          <w:rPr>
            <w:rFonts w:asciiTheme="minorHAnsi" w:eastAsiaTheme="minorEastAsia" w:hAnsiTheme="minorHAnsi" w:cstheme="minorBidi"/>
            <w:b w:val="0"/>
            <w:smallCaps w:val="0"/>
            <w:sz w:val="22"/>
            <w:lang w:eastAsia="en-GB" w:bidi="ar-SA"/>
          </w:rPr>
          <w:tab/>
        </w:r>
        <w:r w:rsidR="004B5E3A" w:rsidRPr="00D51A68">
          <w:rPr>
            <w:rStyle w:val="Hyperlink"/>
            <w:rFonts w:ascii="Times New Roman" w:hAnsi="Times New Roman"/>
          </w:rPr>
          <w:t>Istruzioni relative a posizioni specifiche</w:t>
        </w:r>
        <w:r w:rsidR="004B5E3A" w:rsidRPr="00D51A68">
          <w:rPr>
            <w:webHidden/>
          </w:rPr>
          <w:tab/>
        </w:r>
        <w:r w:rsidR="004B5E3A" w:rsidRPr="00D51A68">
          <w:rPr>
            <w:webHidden/>
          </w:rPr>
          <w:fldChar w:fldCharType="begin"/>
        </w:r>
        <w:r w:rsidR="004B5E3A" w:rsidRPr="00D51A68">
          <w:rPr>
            <w:webHidden/>
          </w:rPr>
          <w:instrText xml:space="preserve"> PAGEREF _Toc524096667 \h </w:instrText>
        </w:r>
        <w:r w:rsidR="004B5E3A" w:rsidRPr="00D51A68">
          <w:rPr>
            <w:webHidden/>
          </w:rPr>
        </w:r>
        <w:r w:rsidR="004B5E3A" w:rsidRPr="00D51A68">
          <w:rPr>
            <w:webHidden/>
          </w:rPr>
          <w:fldChar w:fldCharType="separate"/>
        </w:r>
        <w:r>
          <w:rPr>
            <w:webHidden/>
          </w:rPr>
          <w:t>229</w:t>
        </w:r>
        <w:r w:rsidR="004B5E3A" w:rsidRPr="00D51A68">
          <w:rPr>
            <w:webHidden/>
          </w:rPr>
          <w:fldChar w:fldCharType="end"/>
        </w:r>
      </w:hyperlink>
    </w:p>
    <w:p w:rsidR="00FD130F" w:rsidRPr="00D51A68" w:rsidRDefault="00FC1A76">
      <w:pPr>
        <w:rPr>
          <w:rFonts w:asciiTheme="minorHAnsi" w:eastAsiaTheme="minorEastAsia" w:hAnsiTheme="minorHAnsi" w:cstheme="minorBidi"/>
          <w:sz w:val="22"/>
        </w:rPr>
        <w:sectPr w:rsidR="00FD130F" w:rsidRPr="00D51A68" w:rsidSect="004D4419">
          <w:footerReference w:type="default" r:id="rId9"/>
          <w:footerReference w:type="first" r:id="rId10"/>
          <w:endnotePr>
            <w:numFmt w:val="decimal"/>
          </w:endnotePr>
          <w:type w:val="continuous"/>
          <w:pgSz w:w="11906" w:h="16838"/>
          <w:pgMar w:top="1417" w:right="1417" w:bottom="1134" w:left="1417" w:header="708" w:footer="708" w:gutter="0"/>
          <w:cols w:space="708"/>
          <w:titlePg/>
          <w:docGrid w:linePitch="360"/>
        </w:sectPr>
      </w:pPr>
      <w:r w:rsidRPr="00D51A68">
        <w:rPr>
          <w:rFonts w:ascii="Times New Roman" w:hAnsi="Times New Roman"/>
          <w:sz w:val="24"/>
        </w:rPr>
        <w:fldChar w:fldCharType="end"/>
      </w:r>
    </w:p>
    <w:p w:rsidR="007B4FD3" w:rsidRPr="00D51A68" w:rsidRDefault="007B4FD3" w:rsidP="00EC5046">
      <w:pPr>
        <w:rPr>
          <w:rFonts w:ascii="Times New Roman" w:hAnsi="Times New Roman"/>
          <w:sz w:val="24"/>
        </w:rPr>
      </w:pPr>
    </w:p>
    <w:p w:rsidR="002648B0" w:rsidRPr="00D51A68" w:rsidRDefault="002648B0" w:rsidP="00D64B66">
      <w:pPr>
        <w:pStyle w:val="Heading2"/>
        <w:rPr>
          <w:rFonts w:ascii="Times New Roman" w:hAnsi="Times New Roman"/>
        </w:rPr>
      </w:pPr>
      <w:bookmarkStart w:id="3" w:name="_Toc264038394"/>
      <w:bookmarkStart w:id="4" w:name="_Toc360188317"/>
      <w:bookmarkStart w:id="5" w:name="_Toc516210599"/>
      <w:bookmarkStart w:id="6" w:name="_Toc473560865"/>
      <w:bookmarkStart w:id="7" w:name="_Toc524096544"/>
      <w:r w:rsidRPr="00D51A68">
        <w:rPr>
          <w:rFonts w:ascii="Times New Roman" w:hAnsi="Times New Roman"/>
        </w:rPr>
        <w:t>PARTE I:</w:t>
      </w:r>
      <w:bookmarkEnd w:id="3"/>
      <w:r w:rsidRPr="00D51A68">
        <w:rPr>
          <w:rFonts w:ascii="Times New Roman" w:hAnsi="Times New Roman"/>
        </w:rPr>
        <w:t xml:space="preserve"> ISTRUZIONI DI CARATTERE GENERALE</w:t>
      </w:r>
      <w:bookmarkEnd w:id="4"/>
      <w:bookmarkEnd w:id="5"/>
      <w:bookmarkEnd w:id="6"/>
      <w:bookmarkEnd w:id="7"/>
    </w:p>
    <w:p w:rsidR="002648B0" w:rsidRPr="00D51A68" w:rsidRDefault="00125707" w:rsidP="0023700C">
      <w:pPr>
        <w:pStyle w:val="Instructionsberschrift2"/>
        <w:numPr>
          <w:ilvl w:val="0"/>
          <w:numId w:val="0"/>
        </w:numPr>
        <w:ind w:left="357" w:hanging="357"/>
        <w:rPr>
          <w:rFonts w:ascii="Times New Roman" w:hAnsi="Times New Roman" w:cs="Times New Roman"/>
          <w:sz w:val="24"/>
          <w:u w:val="none"/>
        </w:rPr>
      </w:pPr>
      <w:bookmarkStart w:id="8" w:name="_Toc360188318"/>
      <w:bookmarkStart w:id="9" w:name="_Toc516210600"/>
      <w:bookmarkStart w:id="10" w:name="_Toc473560866"/>
      <w:bookmarkStart w:id="11" w:name="_Toc524096545"/>
      <w:r w:rsidRPr="00D51A68">
        <w:rPr>
          <w:rFonts w:ascii="Times New Roman" w:hAnsi="Times New Roman"/>
          <w:sz w:val="24"/>
          <w:u w:val="none"/>
        </w:rPr>
        <w:t>1.</w:t>
      </w:r>
      <w:r w:rsidR="00A0772B" w:rsidRPr="00D51A68">
        <w:rPr>
          <w:u w:val="none"/>
        </w:rPr>
        <w:tab/>
      </w:r>
      <w:r w:rsidRPr="00D51A68">
        <w:rPr>
          <w:rFonts w:ascii="Times New Roman" w:hAnsi="Times New Roman"/>
          <w:sz w:val="24"/>
          <w:u w:val="none"/>
        </w:rPr>
        <w:t>Struttura e convenzioni</w:t>
      </w:r>
      <w:bookmarkEnd w:id="8"/>
      <w:bookmarkEnd w:id="9"/>
      <w:bookmarkEnd w:id="10"/>
      <w:bookmarkEnd w:id="11"/>
    </w:p>
    <w:p w:rsidR="002648B0" w:rsidRPr="00D51A68" w:rsidRDefault="00125707" w:rsidP="00304CA5">
      <w:pPr>
        <w:pStyle w:val="Instructionsberschrift2"/>
        <w:numPr>
          <w:ilvl w:val="0"/>
          <w:numId w:val="0"/>
        </w:numPr>
        <w:ind w:left="357" w:hanging="357"/>
        <w:rPr>
          <w:rFonts w:ascii="Times New Roman" w:hAnsi="Times New Roman" w:cs="Times New Roman"/>
          <w:sz w:val="24"/>
          <w:u w:val="none"/>
        </w:rPr>
      </w:pPr>
      <w:bookmarkStart w:id="12" w:name="_Toc360188319"/>
      <w:bookmarkStart w:id="13" w:name="_Toc516210601"/>
      <w:bookmarkStart w:id="14" w:name="_Toc473560867"/>
      <w:bookmarkStart w:id="15" w:name="_Toc524096546"/>
      <w:bookmarkStart w:id="16" w:name="_Toc264038399"/>
      <w:bookmarkStart w:id="17" w:name="_Toc294018834"/>
      <w:r w:rsidRPr="00D51A68">
        <w:rPr>
          <w:rFonts w:ascii="Times New Roman" w:hAnsi="Times New Roman"/>
          <w:sz w:val="24"/>
          <w:u w:val="none"/>
        </w:rPr>
        <w:t>1.1.</w:t>
      </w:r>
      <w:r w:rsidR="00A0772B" w:rsidRPr="00D51A68">
        <w:rPr>
          <w:u w:val="none"/>
        </w:rPr>
        <w:tab/>
      </w:r>
      <w:r w:rsidRPr="00D51A68">
        <w:rPr>
          <w:rFonts w:ascii="Times New Roman" w:hAnsi="Times New Roman"/>
          <w:sz w:val="24"/>
          <w:u w:val="none"/>
        </w:rPr>
        <w:t>Struttura</w:t>
      </w:r>
      <w:bookmarkEnd w:id="12"/>
      <w:bookmarkEnd w:id="13"/>
      <w:bookmarkEnd w:id="14"/>
      <w:bookmarkEnd w:id="15"/>
    </w:p>
    <w:p w:rsidR="002648B0" w:rsidRPr="00D51A68" w:rsidRDefault="00125707" w:rsidP="00375F2C">
      <w:pPr>
        <w:pStyle w:val="InstructionsText2"/>
        <w:numPr>
          <w:ilvl w:val="0"/>
          <w:numId w:val="0"/>
        </w:numPr>
        <w:ind w:left="993"/>
      </w:pPr>
      <w:r w:rsidRPr="00D51A68">
        <w:t>1.</w:t>
      </w:r>
      <w:r w:rsidR="00A0772B" w:rsidRPr="00D51A68">
        <w:tab/>
      </w:r>
      <w:r w:rsidRPr="00D51A68">
        <w:t>Il quadro consta in tutto di cinque blocchi di modelli:</w:t>
      </w:r>
    </w:p>
    <w:p w:rsidR="002648B0" w:rsidRPr="00D51A68" w:rsidRDefault="00125707" w:rsidP="00375F2C">
      <w:pPr>
        <w:pStyle w:val="InstructionsText2"/>
        <w:numPr>
          <w:ilvl w:val="0"/>
          <w:numId w:val="0"/>
        </w:numPr>
        <w:ind w:left="993"/>
      </w:pPr>
      <w:r w:rsidRPr="00D51A68">
        <w:t>a)</w:t>
      </w:r>
      <w:r w:rsidR="00A0772B" w:rsidRPr="00D51A68">
        <w:tab/>
      </w:r>
      <w:r w:rsidRPr="00D51A68">
        <w:t>adeguatezza patrimoniale, descrizione del capitale regolamentare; importo complessivo dell</w:t>
      </w:r>
      <w:r w:rsidR="0009277C" w:rsidRPr="00D51A68">
        <w:t>’</w:t>
      </w:r>
      <w:r w:rsidRPr="00D51A68">
        <w:t>esposizione al rischio;</w:t>
      </w:r>
    </w:p>
    <w:p w:rsidR="00436204" w:rsidRPr="00D51A68" w:rsidRDefault="00125707" w:rsidP="00375F2C">
      <w:pPr>
        <w:pStyle w:val="InstructionsText2"/>
        <w:numPr>
          <w:ilvl w:val="0"/>
          <w:numId w:val="0"/>
        </w:numPr>
        <w:ind w:left="993"/>
      </w:pPr>
      <w:r w:rsidRPr="00D51A68">
        <w:t>b)</w:t>
      </w:r>
      <w:r w:rsidR="00A0772B" w:rsidRPr="00D51A68">
        <w:tab/>
      </w:r>
      <w:r w:rsidRPr="00D51A68">
        <w:t>solvibilità del gruppo, descrizione del rispetto dei requisiti di solvibilità da parte di tutti i singoli soggetti inclusi nel consolidamento dell</w:t>
      </w:r>
      <w:r w:rsidR="0009277C" w:rsidRPr="00D51A68">
        <w:t>’</w:t>
      </w:r>
      <w:r w:rsidRPr="00D51A68">
        <w:t>ente segnalante;</w:t>
      </w:r>
    </w:p>
    <w:p w:rsidR="002648B0" w:rsidRPr="00D51A68" w:rsidRDefault="00125707" w:rsidP="00375F2C">
      <w:pPr>
        <w:pStyle w:val="InstructionsText2"/>
        <w:numPr>
          <w:ilvl w:val="0"/>
          <w:numId w:val="0"/>
        </w:numPr>
        <w:ind w:left="993"/>
      </w:pPr>
      <w:r w:rsidRPr="00D51A68">
        <w:t>c)</w:t>
      </w:r>
      <w:r w:rsidR="00A0772B" w:rsidRPr="00D51A68">
        <w:tab/>
      </w:r>
      <w:r w:rsidRPr="00D51A68">
        <w:t>rischio di credito (compresi i rischi di controparte, diluizione e regolamento);</w:t>
      </w:r>
    </w:p>
    <w:p w:rsidR="002648B0" w:rsidRPr="00D51A68" w:rsidRDefault="00125707" w:rsidP="00375F2C">
      <w:pPr>
        <w:pStyle w:val="InstructionsText2"/>
        <w:numPr>
          <w:ilvl w:val="0"/>
          <w:numId w:val="0"/>
        </w:numPr>
        <w:ind w:left="993"/>
      </w:pPr>
      <w:r w:rsidRPr="00D51A68">
        <w:t>d)</w:t>
      </w:r>
      <w:r w:rsidR="00A0772B" w:rsidRPr="00D51A68">
        <w:tab/>
      </w:r>
      <w:r w:rsidRPr="00D51A68">
        <w:t>rischio di mercato (compresi il rischio di posizione nel portafoglio di negoziazione, il rischio di cambio, il rischio di posizione in merci e il rischio di aggiustamento della valutazione del credito (CVA));</w:t>
      </w:r>
    </w:p>
    <w:p w:rsidR="002648B0" w:rsidRPr="00D51A68" w:rsidRDefault="00125707" w:rsidP="00375F2C">
      <w:pPr>
        <w:pStyle w:val="InstructionsText2"/>
        <w:numPr>
          <w:ilvl w:val="0"/>
          <w:numId w:val="0"/>
        </w:numPr>
        <w:ind w:left="993"/>
      </w:pPr>
      <w:r w:rsidRPr="00D51A68">
        <w:t>e)</w:t>
      </w:r>
      <w:r w:rsidR="00A0772B" w:rsidRPr="00D51A68">
        <w:tab/>
      </w:r>
      <w:r w:rsidRPr="00D51A68">
        <w:t>rischio operativo.</w:t>
      </w:r>
    </w:p>
    <w:p w:rsidR="002648B0" w:rsidRPr="00D51A68" w:rsidRDefault="00125707" w:rsidP="00375F2C">
      <w:pPr>
        <w:pStyle w:val="InstructionsText2"/>
        <w:numPr>
          <w:ilvl w:val="0"/>
          <w:numId w:val="0"/>
        </w:numPr>
        <w:ind w:left="993"/>
      </w:pPr>
      <w:r w:rsidRPr="00D51A68">
        <w:t>2.</w:t>
      </w:r>
      <w:r w:rsidR="00A0772B" w:rsidRPr="00D51A68">
        <w:tab/>
      </w:r>
      <w:r w:rsidRPr="00D51A68">
        <w:t>Per ciascun modello sono indicati i riferimenti giuridici. La presente parte della norma tecnica di attuazione contiene ulteriori informazioni dettagliate sugli aspetti più generali della segnalazione di ciascun blocco di modelli, istruzioni relative a posizioni specifiche nonché norme di convalida.</w:t>
      </w:r>
    </w:p>
    <w:p w:rsidR="005643EA" w:rsidRPr="00D51A68" w:rsidRDefault="00125707" w:rsidP="00375F2C">
      <w:pPr>
        <w:pStyle w:val="InstructionsText2"/>
        <w:numPr>
          <w:ilvl w:val="0"/>
          <w:numId w:val="0"/>
        </w:numPr>
        <w:ind w:left="993"/>
      </w:pPr>
      <w:r w:rsidRPr="00D51A68">
        <w:t>3.</w:t>
      </w:r>
      <w:r w:rsidR="00A0772B" w:rsidRPr="00D51A68">
        <w:tab/>
      </w:r>
      <w:r w:rsidRPr="00D51A68">
        <w:t>L</w:t>
      </w:r>
      <w:r w:rsidR="0009277C" w:rsidRPr="00D51A68">
        <w:t>’</w:t>
      </w:r>
      <w:r w:rsidRPr="00D51A68">
        <w:t>ente segnala soltanto i modelli che sono rilevanti per il metodo utilizzato per il calcolo dei requisiti di fondi propri.</w:t>
      </w:r>
    </w:p>
    <w:p w:rsidR="002648B0" w:rsidRPr="00D51A68" w:rsidRDefault="00125707" w:rsidP="0023700C">
      <w:pPr>
        <w:pStyle w:val="Instructionsberschrift2"/>
        <w:numPr>
          <w:ilvl w:val="0"/>
          <w:numId w:val="0"/>
        </w:numPr>
        <w:ind w:left="357" w:hanging="357"/>
        <w:rPr>
          <w:rFonts w:ascii="Times New Roman" w:hAnsi="Times New Roman" w:cs="Times New Roman"/>
          <w:sz w:val="24"/>
          <w:u w:val="none"/>
        </w:rPr>
      </w:pPr>
      <w:bookmarkStart w:id="18" w:name="_Toc360188320"/>
      <w:bookmarkStart w:id="19" w:name="_Toc516210602"/>
      <w:bookmarkStart w:id="20" w:name="_Toc473560868"/>
      <w:bookmarkStart w:id="21" w:name="_Toc524096547"/>
      <w:r w:rsidRPr="00D51A68">
        <w:rPr>
          <w:rFonts w:ascii="Times New Roman" w:hAnsi="Times New Roman"/>
          <w:sz w:val="24"/>
          <w:u w:val="none"/>
        </w:rPr>
        <w:t>1.2.</w:t>
      </w:r>
      <w:r w:rsidR="00A0772B" w:rsidRPr="00D51A68">
        <w:rPr>
          <w:u w:val="none"/>
        </w:rPr>
        <w:tab/>
      </w:r>
      <w:r w:rsidRPr="00D51A68">
        <w:rPr>
          <w:rFonts w:ascii="Times New Roman" w:hAnsi="Times New Roman"/>
          <w:sz w:val="24"/>
          <w:u w:val="none"/>
        </w:rPr>
        <w:t>Convenzione di numerazione</w:t>
      </w:r>
      <w:bookmarkEnd w:id="18"/>
      <w:bookmarkEnd w:id="19"/>
      <w:bookmarkEnd w:id="20"/>
      <w:bookmarkEnd w:id="21"/>
    </w:p>
    <w:p w:rsidR="002648B0" w:rsidRPr="00D51A68" w:rsidRDefault="00125707" w:rsidP="00375F2C">
      <w:pPr>
        <w:pStyle w:val="InstructionsText2"/>
        <w:numPr>
          <w:ilvl w:val="0"/>
          <w:numId w:val="0"/>
        </w:numPr>
        <w:ind w:left="993"/>
      </w:pPr>
      <w:r w:rsidRPr="00D51A68">
        <w:t>4.</w:t>
      </w:r>
      <w:r w:rsidR="00A0772B" w:rsidRPr="00D51A68">
        <w:tab/>
      </w:r>
      <w:r w:rsidRPr="00D51A68">
        <w:t>Nel citare le colonne, le righe e le celle dei modelli, il documento si attiene alla convenzione di etichettatura di cui alla tabella seguente. Questi codici numerici sono ampiamente utilizzati nelle norme di validazione.</w:t>
      </w:r>
    </w:p>
    <w:p w:rsidR="005643EA" w:rsidRPr="00D51A68" w:rsidRDefault="00125707" w:rsidP="00375F2C">
      <w:pPr>
        <w:pStyle w:val="InstructionsText2"/>
        <w:numPr>
          <w:ilvl w:val="0"/>
          <w:numId w:val="0"/>
        </w:numPr>
        <w:ind w:left="993"/>
      </w:pPr>
      <w:r w:rsidRPr="00D51A68">
        <w:t>5.</w:t>
      </w:r>
      <w:r w:rsidR="00A0772B" w:rsidRPr="00D51A68">
        <w:tab/>
      </w:r>
      <w:r w:rsidRPr="00D51A68">
        <w:t>Nelle istruzioni si applica il seguente schema di annotazione generale: {modello;riga;colonna}.</w:t>
      </w:r>
    </w:p>
    <w:p w:rsidR="002648B0" w:rsidRPr="00D51A68" w:rsidRDefault="00125707" w:rsidP="00375F2C">
      <w:pPr>
        <w:pStyle w:val="InstructionsText2"/>
        <w:numPr>
          <w:ilvl w:val="0"/>
          <w:numId w:val="0"/>
        </w:numPr>
        <w:ind w:left="993"/>
      </w:pPr>
      <w:r w:rsidRPr="00D51A68">
        <w:t>6.</w:t>
      </w:r>
      <w:r w:rsidR="00A0772B" w:rsidRPr="00D51A68">
        <w:tab/>
      </w:r>
      <w:r w:rsidRPr="00D51A68">
        <w:t>In caso di validazioni all</w:t>
      </w:r>
      <w:r w:rsidR="0009277C" w:rsidRPr="00D51A68">
        <w:t>’</w:t>
      </w:r>
      <w:r w:rsidRPr="00D51A68">
        <w:t>interno di un modello in cui sono utilizzati soltanto punti di dati del modello stesso, le annotazioni non contengono l</w:t>
      </w:r>
      <w:r w:rsidR="0009277C" w:rsidRPr="00D51A68">
        <w:t>’</w:t>
      </w:r>
      <w:r w:rsidRPr="00D51A68">
        <w:t>indicazione del modello: {riga;colonna}.</w:t>
      </w:r>
    </w:p>
    <w:p w:rsidR="005643EA" w:rsidRPr="00D51A68" w:rsidRDefault="00125707" w:rsidP="00375F2C">
      <w:pPr>
        <w:pStyle w:val="InstructionsText2"/>
        <w:numPr>
          <w:ilvl w:val="0"/>
          <w:numId w:val="0"/>
        </w:numPr>
        <w:ind w:left="993"/>
      </w:pPr>
      <w:r w:rsidRPr="00D51A68">
        <w:t>7.</w:t>
      </w:r>
      <w:r w:rsidR="00A0772B" w:rsidRPr="00D51A68">
        <w:tab/>
      </w:r>
      <w:r w:rsidRPr="00D51A68">
        <w:t>Nei modelli con una sola colonna, sono indicate soltanto le righe. {modello;riga}.</w:t>
      </w:r>
    </w:p>
    <w:p w:rsidR="002648B0" w:rsidRPr="00D51A68" w:rsidRDefault="00125707" w:rsidP="00375F2C">
      <w:pPr>
        <w:pStyle w:val="InstructionsText2"/>
        <w:numPr>
          <w:ilvl w:val="0"/>
          <w:numId w:val="0"/>
        </w:numPr>
        <w:ind w:left="993"/>
      </w:pPr>
      <w:r w:rsidRPr="00D51A68">
        <w:t>8.</w:t>
      </w:r>
      <w:r w:rsidR="00A0772B" w:rsidRPr="00D51A68">
        <w:tab/>
      </w:r>
      <w:r w:rsidRPr="00D51A68">
        <w:t>Un asterisco segnala che la convalida è effettuata per le righe o le colonne specificate in precedenza.</w:t>
      </w:r>
    </w:p>
    <w:p w:rsidR="002648B0" w:rsidRPr="00D51A68" w:rsidRDefault="00125707" w:rsidP="0023700C">
      <w:pPr>
        <w:pStyle w:val="Instructionsberschrift2"/>
        <w:numPr>
          <w:ilvl w:val="0"/>
          <w:numId w:val="0"/>
        </w:numPr>
        <w:ind w:left="357" w:hanging="357"/>
        <w:rPr>
          <w:rFonts w:ascii="Times New Roman" w:hAnsi="Times New Roman" w:cs="Times New Roman"/>
          <w:sz w:val="24"/>
          <w:u w:val="none"/>
        </w:rPr>
      </w:pPr>
      <w:bookmarkStart w:id="22" w:name="_Toc360188321"/>
      <w:bookmarkStart w:id="23" w:name="_Toc516210603"/>
      <w:bookmarkStart w:id="24" w:name="_Toc473560869"/>
      <w:bookmarkStart w:id="25" w:name="_Toc524096548"/>
      <w:r w:rsidRPr="00D51A68">
        <w:rPr>
          <w:rFonts w:ascii="Times New Roman" w:hAnsi="Times New Roman"/>
          <w:sz w:val="24"/>
          <w:u w:val="none"/>
        </w:rPr>
        <w:lastRenderedPageBreak/>
        <w:t>1.3.</w:t>
      </w:r>
      <w:r w:rsidR="00A0772B" w:rsidRPr="00D51A68">
        <w:rPr>
          <w:u w:val="none"/>
        </w:rPr>
        <w:tab/>
      </w:r>
      <w:r w:rsidRPr="00D51A68">
        <w:rPr>
          <w:rFonts w:ascii="Times New Roman" w:hAnsi="Times New Roman"/>
          <w:sz w:val="24"/>
          <w:u w:val="none"/>
        </w:rPr>
        <w:t>Convenzione dei segni</w:t>
      </w:r>
      <w:bookmarkEnd w:id="16"/>
      <w:bookmarkEnd w:id="17"/>
      <w:bookmarkEnd w:id="22"/>
      <w:bookmarkEnd w:id="23"/>
      <w:bookmarkEnd w:id="24"/>
      <w:bookmarkEnd w:id="25"/>
    </w:p>
    <w:p w:rsidR="002648B0" w:rsidRPr="00D51A68" w:rsidRDefault="00125707" w:rsidP="00375F2C">
      <w:pPr>
        <w:pStyle w:val="InstructionsText2"/>
        <w:numPr>
          <w:ilvl w:val="0"/>
          <w:numId w:val="0"/>
        </w:numPr>
        <w:ind w:left="993"/>
      </w:pPr>
      <w:r w:rsidRPr="00D51A68">
        <w:t>9.</w:t>
      </w:r>
      <w:r w:rsidR="00A0772B" w:rsidRPr="00D51A68">
        <w:tab/>
      </w:r>
      <w:r w:rsidRPr="00D51A68">
        <w:t>Qualsiasi importo che aumenta i fondi propri o i requisiti patrimoniali è segnalato come cifra positiva. Per contro, qualsiasi importo che riduce i fondi propri totali o i requisiti patrimoniali è segnalato come cifra negativa. Se l</w:t>
      </w:r>
      <w:r w:rsidR="0009277C" w:rsidRPr="00D51A68">
        <w:t>’</w:t>
      </w:r>
      <w:r w:rsidRPr="00D51A68">
        <w:t>intestazione della voce è preceduta da un segno negativo (-), significa che per quella voce non è prevista la segnalazione di cifre positive.</w:t>
      </w:r>
    </w:p>
    <w:p w:rsidR="00304CA5" w:rsidRPr="00D51A68" w:rsidRDefault="00304CA5" w:rsidP="00304CA5">
      <w:pPr>
        <w:pStyle w:val="Instructionsberschrift2"/>
        <w:numPr>
          <w:ilvl w:val="0"/>
          <w:numId w:val="0"/>
        </w:numPr>
        <w:ind w:left="357" w:hanging="357"/>
        <w:rPr>
          <w:rFonts w:ascii="Times New Roman" w:hAnsi="Times New Roman" w:cs="Times New Roman"/>
          <w:sz w:val="24"/>
          <w:u w:val="none"/>
        </w:rPr>
      </w:pPr>
      <w:bookmarkStart w:id="26" w:name="_Toc516210604"/>
      <w:bookmarkStart w:id="27" w:name="_Toc524096549"/>
      <w:r w:rsidRPr="00D51A68">
        <w:rPr>
          <w:rFonts w:ascii="Times New Roman" w:hAnsi="Times New Roman"/>
          <w:sz w:val="24"/>
          <w:u w:val="none"/>
        </w:rPr>
        <w:t>1.4.</w:t>
      </w:r>
      <w:r w:rsidR="00A0772B" w:rsidRPr="00D51A68">
        <w:rPr>
          <w:u w:val="none"/>
        </w:rPr>
        <w:tab/>
      </w:r>
      <w:r w:rsidRPr="00D51A68">
        <w:rPr>
          <w:rFonts w:ascii="Times New Roman" w:hAnsi="Times New Roman"/>
          <w:sz w:val="24"/>
          <w:u w:val="none"/>
        </w:rPr>
        <w:t>Abbreviazioni</w:t>
      </w:r>
      <w:bookmarkEnd w:id="26"/>
      <w:bookmarkEnd w:id="27"/>
    </w:p>
    <w:p w:rsidR="00304CA5" w:rsidRPr="00D51A68" w:rsidRDefault="00304CA5" w:rsidP="00375F2C">
      <w:pPr>
        <w:pStyle w:val="InstructionsText2"/>
        <w:numPr>
          <w:ilvl w:val="0"/>
          <w:numId w:val="0"/>
        </w:numPr>
        <w:ind w:left="993"/>
      </w:pPr>
      <w:r w:rsidRPr="00D51A68">
        <w:t>9 bis. Ai fini del presente allegato, il regolamento (UE) n. 575/2013 è indicato con l</w:t>
      </w:r>
      <w:r w:rsidR="0009277C" w:rsidRPr="00D51A68">
        <w:t>’</w:t>
      </w:r>
      <w:r w:rsidRPr="00D51A68">
        <w:t xml:space="preserve">acronimo </w:t>
      </w:r>
      <w:r w:rsidR="0009277C" w:rsidRPr="00D51A68">
        <w:t>“</w:t>
      </w:r>
      <w:r w:rsidRPr="00D51A68">
        <w:t>CRR</w:t>
      </w:r>
      <w:r w:rsidR="0009277C" w:rsidRPr="00D51A68">
        <w:t>”</w:t>
      </w:r>
      <w:r w:rsidRPr="00D51A68">
        <w:t xml:space="preserve"> e la direttiva 2013/36/UE del Parlamento europeo e del Consiglio è indicata con l</w:t>
      </w:r>
      <w:r w:rsidR="0009277C" w:rsidRPr="00D51A68">
        <w:t>’</w:t>
      </w:r>
      <w:r w:rsidRPr="00D51A68">
        <w:t xml:space="preserve">acronimo </w:t>
      </w:r>
      <w:r w:rsidR="0009277C" w:rsidRPr="00D51A68">
        <w:t>“</w:t>
      </w:r>
      <w:r w:rsidRPr="00D51A68">
        <w:t>CRD</w:t>
      </w:r>
      <w:r w:rsidR="0009277C" w:rsidRPr="00D51A68">
        <w:t>”</w:t>
      </w:r>
      <w:r w:rsidRPr="00D51A68">
        <w:t>.</w:t>
      </w:r>
    </w:p>
    <w:p w:rsidR="00304CA5" w:rsidRPr="00D51A68" w:rsidRDefault="00304CA5" w:rsidP="00375F2C">
      <w:pPr>
        <w:pStyle w:val="InstructionsText2"/>
        <w:numPr>
          <w:ilvl w:val="0"/>
          <w:numId w:val="0"/>
        </w:numPr>
        <w:ind w:left="993"/>
      </w:pPr>
    </w:p>
    <w:p w:rsidR="002648B0" w:rsidRPr="00D51A68" w:rsidRDefault="002648B0" w:rsidP="00FC1A76">
      <w:pPr>
        <w:pStyle w:val="InstructionsText2"/>
        <w:sectPr w:rsidR="002648B0" w:rsidRPr="00D51A68" w:rsidSect="00A801A9">
          <w:endnotePr>
            <w:numFmt w:val="decimal"/>
          </w:endnotePr>
          <w:pgSz w:w="11906" w:h="16838"/>
          <w:pgMar w:top="1417" w:right="1417" w:bottom="1134" w:left="1417" w:header="708" w:footer="708" w:gutter="0"/>
          <w:cols w:space="708"/>
          <w:rtlGutter/>
          <w:docGrid w:linePitch="360"/>
        </w:sectPr>
      </w:pPr>
      <w:bookmarkStart w:id="28" w:name="_Toc264033192"/>
      <w:bookmarkEnd w:id="28"/>
    </w:p>
    <w:p w:rsidR="002648B0" w:rsidRPr="00D51A68" w:rsidRDefault="002648B0" w:rsidP="00005FFC">
      <w:pPr>
        <w:rPr>
          <w:rFonts w:ascii="Times New Roman" w:hAnsi="Times New Roman"/>
          <w:sz w:val="24"/>
        </w:rPr>
      </w:pPr>
    </w:p>
    <w:p w:rsidR="002648B0" w:rsidRPr="00D51A68" w:rsidRDefault="002648B0" w:rsidP="00D64B66">
      <w:pPr>
        <w:pStyle w:val="Heading2"/>
        <w:rPr>
          <w:rFonts w:ascii="Times New Roman" w:hAnsi="Times New Roman"/>
        </w:rPr>
      </w:pPr>
      <w:bookmarkStart w:id="29" w:name="_Toc360188322"/>
      <w:bookmarkStart w:id="30" w:name="_Toc516210605"/>
      <w:bookmarkStart w:id="31" w:name="_Toc473560870"/>
      <w:bookmarkStart w:id="32" w:name="_Toc524096550"/>
      <w:r w:rsidRPr="00D51A68">
        <w:rPr>
          <w:rFonts w:ascii="Times New Roman" w:hAnsi="Times New Roman"/>
        </w:rPr>
        <w:t>PARTE II: ISTRUZIONI RELATIVE AI MODELLI</w:t>
      </w:r>
      <w:bookmarkEnd w:id="29"/>
      <w:bookmarkEnd w:id="30"/>
      <w:bookmarkEnd w:id="31"/>
      <w:bookmarkEnd w:id="32"/>
    </w:p>
    <w:p w:rsidR="002648B0" w:rsidRPr="00D51A68" w:rsidRDefault="00125707" w:rsidP="0023700C">
      <w:pPr>
        <w:pStyle w:val="Instructionsberschrift2"/>
        <w:numPr>
          <w:ilvl w:val="0"/>
          <w:numId w:val="0"/>
        </w:numPr>
        <w:ind w:left="357" w:hanging="357"/>
        <w:rPr>
          <w:rFonts w:ascii="Times New Roman" w:hAnsi="Times New Roman" w:cs="Times New Roman"/>
          <w:sz w:val="24"/>
          <w:u w:val="none"/>
        </w:rPr>
      </w:pPr>
      <w:bookmarkStart w:id="33" w:name="_Toc360188323"/>
      <w:bookmarkStart w:id="34" w:name="_Toc516210606"/>
      <w:bookmarkStart w:id="35" w:name="_Toc473560871"/>
      <w:bookmarkStart w:id="36" w:name="_Toc524096551"/>
      <w:r w:rsidRPr="00D51A68">
        <w:rPr>
          <w:rFonts w:ascii="Times New Roman" w:hAnsi="Times New Roman"/>
          <w:sz w:val="24"/>
          <w:u w:val="none"/>
        </w:rPr>
        <w:t>1.</w:t>
      </w:r>
      <w:r w:rsidR="00A0772B" w:rsidRPr="00D51A68">
        <w:rPr>
          <w:u w:val="none"/>
        </w:rPr>
        <w:tab/>
      </w:r>
      <w:r w:rsidRPr="00D51A68">
        <w:rPr>
          <w:rFonts w:ascii="Times New Roman" w:hAnsi="Times New Roman"/>
          <w:sz w:val="24"/>
          <w:u w:val="none"/>
        </w:rPr>
        <w:t>Descrizione dell</w:t>
      </w:r>
      <w:r w:rsidR="0009277C" w:rsidRPr="00D51A68">
        <w:rPr>
          <w:rFonts w:ascii="Times New Roman" w:hAnsi="Times New Roman"/>
          <w:sz w:val="24"/>
          <w:u w:val="none"/>
        </w:rPr>
        <w:t>’</w:t>
      </w:r>
      <w:r w:rsidRPr="00D51A68">
        <w:rPr>
          <w:rFonts w:ascii="Times New Roman" w:hAnsi="Times New Roman"/>
          <w:sz w:val="24"/>
          <w:u w:val="none"/>
        </w:rPr>
        <w:t>adeguatezza patrimoniale</w:t>
      </w:r>
      <w:bookmarkEnd w:id="33"/>
      <w:r w:rsidRPr="00D51A68">
        <w:rPr>
          <w:rFonts w:ascii="Times New Roman" w:hAnsi="Times New Roman"/>
          <w:sz w:val="24"/>
          <w:u w:val="none"/>
        </w:rPr>
        <w:t xml:space="preserve"> (CA)</w:t>
      </w:r>
      <w:bookmarkEnd w:id="34"/>
      <w:bookmarkEnd w:id="35"/>
      <w:bookmarkEnd w:id="36"/>
    </w:p>
    <w:p w:rsidR="002648B0" w:rsidRPr="00D51A68" w:rsidRDefault="00125707" w:rsidP="0023700C">
      <w:pPr>
        <w:pStyle w:val="Instructionsberschrift2"/>
        <w:numPr>
          <w:ilvl w:val="0"/>
          <w:numId w:val="0"/>
        </w:numPr>
        <w:ind w:left="357" w:hanging="357"/>
        <w:rPr>
          <w:rFonts w:ascii="Times New Roman" w:hAnsi="Times New Roman" w:cs="Times New Roman"/>
          <w:sz w:val="24"/>
          <w:u w:val="none"/>
        </w:rPr>
      </w:pPr>
      <w:bookmarkStart w:id="37" w:name="_Toc308175819"/>
      <w:bookmarkStart w:id="38" w:name="_Toc360188324"/>
      <w:bookmarkStart w:id="39" w:name="_Toc516210607"/>
      <w:bookmarkStart w:id="40" w:name="_Toc473560872"/>
      <w:bookmarkStart w:id="41" w:name="_Toc524096552"/>
      <w:r w:rsidRPr="00D51A68">
        <w:rPr>
          <w:rFonts w:ascii="Times New Roman" w:hAnsi="Times New Roman"/>
          <w:sz w:val="24"/>
          <w:u w:val="none"/>
        </w:rPr>
        <w:t>1.1.</w:t>
      </w:r>
      <w:r w:rsidR="00A0772B" w:rsidRPr="00D51A68">
        <w:rPr>
          <w:u w:val="none"/>
        </w:rPr>
        <w:tab/>
      </w:r>
      <w:r w:rsidRPr="00D51A68">
        <w:rPr>
          <w:rFonts w:ascii="Times New Roman" w:hAnsi="Times New Roman"/>
          <w:sz w:val="24"/>
          <w:u w:val="none"/>
        </w:rPr>
        <w:t>Osservazioni di carattere generale</w:t>
      </w:r>
      <w:bookmarkEnd w:id="37"/>
      <w:bookmarkEnd w:id="38"/>
      <w:bookmarkEnd w:id="39"/>
      <w:bookmarkEnd w:id="40"/>
      <w:bookmarkEnd w:id="41"/>
    </w:p>
    <w:p w:rsidR="002648B0" w:rsidRPr="00D51A68" w:rsidRDefault="00125707" w:rsidP="00EC41AB">
      <w:pPr>
        <w:pStyle w:val="InstructionsText2"/>
        <w:numPr>
          <w:ilvl w:val="0"/>
          <w:numId w:val="0"/>
        </w:numPr>
        <w:ind w:left="993"/>
      </w:pPr>
      <w:r w:rsidRPr="00D51A68">
        <w:t>10.</w:t>
      </w:r>
      <w:r w:rsidR="00A0772B" w:rsidRPr="00D51A68">
        <w:tab/>
      </w:r>
      <w:r w:rsidRPr="00D51A68">
        <w:t xml:space="preserve">I modelli CA contengono informazioni sui numeratori del primo pilastro (fondi propri, classe 1, capitale primario di classe 1), sul denominatore (requisiti di fondi propri) e sulle disposizioni transitorie. I modelli CA sono cinque: </w:t>
      </w:r>
    </w:p>
    <w:p w:rsidR="005643EA" w:rsidRPr="00D51A68" w:rsidRDefault="00125707" w:rsidP="00EC41AB">
      <w:pPr>
        <w:pStyle w:val="InstructionsText2"/>
        <w:numPr>
          <w:ilvl w:val="0"/>
          <w:numId w:val="0"/>
        </w:numPr>
        <w:ind w:left="993"/>
      </w:pPr>
      <w:r w:rsidRPr="00D51A68">
        <w:t>a)</w:t>
      </w:r>
      <w:r w:rsidR="00A0772B" w:rsidRPr="00D51A68">
        <w:tab/>
      </w:r>
      <w:r w:rsidRPr="00D51A68">
        <w:t>il modello CA1 indica l</w:t>
      </w:r>
      <w:r w:rsidR="0009277C" w:rsidRPr="00D51A68">
        <w:t>’</w:t>
      </w:r>
      <w:r w:rsidRPr="00D51A68">
        <w:t>importo dei fondi propri dell</w:t>
      </w:r>
      <w:r w:rsidR="0009277C" w:rsidRPr="00D51A68">
        <w:t>’</w:t>
      </w:r>
      <w:r w:rsidRPr="00D51A68">
        <w:t>ente, ripartito nei singoli elementi che lo compongono. L</w:t>
      </w:r>
      <w:r w:rsidR="0009277C" w:rsidRPr="00D51A68">
        <w:t>’</w:t>
      </w:r>
      <w:r w:rsidRPr="00D51A68">
        <w:t>importo dei fondi propri così determinato comprende l</w:t>
      </w:r>
      <w:r w:rsidR="0009277C" w:rsidRPr="00D51A68">
        <w:t>’</w:t>
      </w:r>
      <w:r w:rsidRPr="00D51A68">
        <w:t>effetto aggregato delle disposizioni transitorie per tipo di capitale;</w:t>
      </w:r>
    </w:p>
    <w:p w:rsidR="005643EA" w:rsidRPr="00D51A68" w:rsidRDefault="00125707" w:rsidP="00EC41AB">
      <w:pPr>
        <w:pStyle w:val="InstructionsText2"/>
        <w:numPr>
          <w:ilvl w:val="0"/>
          <w:numId w:val="0"/>
        </w:numPr>
        <w:ind w:left="993"/>
      </w:pPr>
      <w:r w:rsidRPr="00D51A68">
        <w:t>b)</w:t>
      </w:r>
      <w:r w:rsidR="00A0772B" w:rsidRPr="00D51A68">
        <w:tab/>
      </w:r>
      <w:r w:rsidRPr="00D51A68">
        <w:t>il modello CA2 riassume gli importi complessivi delle esposizioni al rischio definiti nell</w:t>
      </w:r>
      <w:r w:rsidR="0009277C" w:rsidRPr="00D51A68">
        <w:t>’</w:t>
      </w:r>
      <w:r w:rsidRPr="00D51A68">
        <w:t>articolo 92, paragrafo 3, del CRR;</w:t>
      </w:r>
    </w:p>
    <w:p w:rsidR="005643EA" w:rsidRPr="00D51A68" w:rsidRDefault="00125707" w:rsidP="00EC41AB">
      <w:pPr>
        <w:pStyle w:val="InstructionsText2"/>
        <w:numPr>
          <w:ilvl w:val="0"/>
          <w:numId w:val="0"/>
        </w:numPr>
        <w:ind w:left="993"/>
      </w:pPr>
      <w:r w:rsidRPr="00D51A68">
        <w:t>c)</w:t>
      </w:r>
      <w:r w:rsidR="00A0772B" w:rsidRPr="00D51A68">
        <w:tab/>
      </w:r>
      <w:r w:rsidRPr="00D51A68">
        <w:t>il modello CA3 indica i coefficienti per i quali il CRR definisce un livello minimo, nonché altri dati correlati;</w:t>
      </w:r>
    </w:p>
    <w:p w:rsidR="005643EA" w:rsidRPr="00D51A68" w:rsidRDefault="00125707" w:rsidP="00EC41AB">
      <w:pPr>
        <w:pStyle w:val="InstructionsText2"/>
        <w:numPr>
          <w:ilvl w:val="0"/>
          <w:numId w:val="0"/>
        </w:numPr>
        <w:ind w:left="993"/>
      </w:pPr>
      <w:r w:rsidRPr="00D51A68">
        <w:t>d)</w:t>
      </w:r>
      <w:r w:rsidR="00A0772B" w:rsidRPr="00D51A68">
        <w:tab/>
      </w:r>
      <w:r w:rsidRPr="00D51A68">
        <w:t xml:space="preserve">il modello CA4 contiene le voci per memoria necessarie per determinare gli elementi di cui al modello CA1, nonché informazioni riguardanti le riserve di capitale conformemente alla CRD; </w:t>
      </w:r>
    </w:p>
    <w:p w:rsidR="005643EA" w:rsidRPr="00D51A68" w:rsidRDefault="00125707" w:rsidP="00EC41AB">
      <w:pPr>
        <w:pStyle w:val="InstructionsText2"/>
        <w:numPr>
          <w:ilvl w:val="0"/>
          <w:numId w:val="0"/>
        </w:numPr>
        <w:ind w:left="993"/>
      </w:pPr>
      <w:r w:rsidRPr="00D51A68">
        <w:t>e)</w:t>
      </w:r>
      <w:r w:rsidR="00A0772B" w:rsidRPr="00D51A68">
        <w:tab/>
      </w:r>
      <w:r w:rsidRPr="00D51A68">
        <w:t>il modello CA5 contiene i dati necessari per calcolare l</w:t>
      </w:r>
      <w:r w:rsidR="0009277C" w:rsidRPr="00D51A68">
        <w:t>’</w:t>
      </w:r>
      <w:r w:rsidRPr="00D51A68">
        <w:t>effetto delle disposizioni transitorie sui fondi propri. Questo modello sparirà allo scadere delle disposizioni transitorie.</w:t>
      </w:r>
    </w:p>
    <w:p w:rsidR="00783881" w:rsidRPr="00D51A68" w:rsidRDefault="00125707" w:rsidP="00EC41AB">
      <w:pPr>
        <w:pStyle w:val="InstructionsText2"/>
        <w:numPr>
          <w:ilvl w:val="0"/>
          <w:numId w:val="0"/>
        </w:numPr>
        <w:ind w:left="993"/>
      </w:pPr>
      <w:r w:rsidRPr="00D51A68">
        <w:t>11.</w:t>
      </w:r>
      <w:r w:rsidR="00A0772B" w:rsidRPr="00D51A68">
        <w:tab/>
      </w:r>
      <w:r w:rsidRPr="00D51A68">
        <w:t>I modelli valgono per tutti i soggetti segnalanti, indipendentemente dai principi contabili applicati, anche se taluni elementi al numeratore sono specifici per i soggetti che utilizzano norme di convalida del tipo usato negli IAS/IFRS. Di solito le informazioni indicate al denominatore sono correlate ai risultati finali segnalati nei corrispondenti modelli per il calcolo dell</w:t>
      </w:r>
      <w:r w:rsidR="0009277C" w:rsidRPr="00D51A68">
        <w:t>’</w:t>
      </w:r>
      <w:r w:rsidRPr="00D51A68">
        <w:t>importo complessivo dell</w:t>
      </w:r>
      <w:r w:rsidR="0009277C" w:rsidRPr="00D51A68">
        <w:t>’</w:t>
      </w:r>
      <w:r w:rsidRPr="00D51A68">
        <w:t>esposizione al rischio.</w:t>
      </w:r>
    </w:p>
    <w:p w:rsidR="005643EA" w:rsidRPr="00D51A68" w:rsidRDefault="00125707" w:rsidP="00EC41AB">
      <w:pPr>
        <w:pStyle w:val="InstructionsText2"/>
        <w:numPr>
          <w:ilvl w:val="0"/>
          <w:numId w:val="0"/>
        </w:numPr>
        <w:ind w:left="993"/>
      </w:pPr>
      <w:r w:rsidRPr="00D51A68">
        <w:t>12.</w:t>
      </w:r>
      <w:r w:rsidR="00A0772B" w:rsidRPr="00D51A68">
        <w:tab/>
      </w:r>
      <w:r w:rsidRPr="00D51A68">
        <w:t xml:space="preserve">I fondi propri totali sono formati da tipi di capitale differenti: il capitale di classe 1 (Tier 1, T1), che è la somma del capitale primario di classe 1 (Common Equity Tier 1, CET1) e del capitale aggiuntivo di classe 1 (Additional Tier 1, AT1), e il capitale di classe 2 (Tier 2, T2). </w:t>
      </w:r>
    </w:p>
    <w:p w:rsidR="00783881" w:rsidRPr="00D51A68" w:rsidRDefault="00125707" w:rsidP="00EC41AB">
      <w:pPr>
        <w:pStyle w:val="InstructionsText2"/>
        <w:numPr>
          <w:ilvl w:val="0"/>
          <w:numId w:val="0"/>
        </w:numPr>
        <w:ind w:left="993"/>
      </w:pPr>
      <w:r w:rsidRPr="00D51A68">
        <w:t>13.</w:t>
      </w:r>
      <w:r w:rsidR="00A0772B" w:rsidRPr="00D51A68">
        <w:tab/>
      </w:r>
      <w:r w:rsidRPr="00D51A68">
        <w:t>Le disposizioni transitorie sono trattate nei modelli CA come segue:</w:t>
      </w:r>
    </w:p>
    <w:p w:rsidR="00783881" w:rsidRPr="00D51A68" w:rsidRDefault="00125707" w:rsidP="00EC41AB">
      <w:pPr>
        <w:pStyle w:val="InstructionsText2"/>
        <w:numPr>
          <w:ilvl w:val="0"/>
          <w:numId w:val="0"/>
        </w:numPr>
        <w:ind w:left="993"/>
      </w:pPr>
      <w:r w:rsidRPr="00D51A68">
        <w:t>a)</w:t>
      </w:r>
      <w:r w:rsidR="00A0772B" w:rsidRPr="00D51A68">
        <w:tab/>
      </w:r>
      <w:r w:rsidRPr="00D51A68">
        <w:t>le voci del modello CA1 sono di solito al lordo degli aggiustamenti transitori. Ciò significa che gli importi indicati alle voci del modello CA1 sono calcolati sulla base delle disposizioni definitive (ossia come se non ci fossero disposizioni transitorie), ad eccezione delle voci che riassumono l</w:t>
      </w:r>
      <w:r w:rsidR="0009277C" w:rsidRPr="00D51A68">
        <w:t>’</w:t>
      </w:r>
      <w:r w:rsidRPr="00D51A68">
        <w:t>effetto delle disposizioni transitorie. Per ciascun tipo di capitale (capitale primario di classe 1, capitale aggiuntivo di classe 1 e capitale di classe 2) tre diverse voci comprendono tutti gli aggiustamenti dovuti alle disposizioni transitorie;</w:t>
      </w:r>
    </w:p>
    <w:p w:rsidR="00113EA5" w:rsidRPr="00D51A68" w:rsidRDefault="00125707" w:rsidP="00EC41AB">
      <w:pPr>
        <w:pStyle w:val="InstructionsText2"/>
        <w:numPr>
          <w:ilvl w:val="0"/>
          <w:numId w:val="0"/>
        </w:numPr>
        <w:ind w:left="993"/>
      </w:pPr>
      <w:r w:rsidRPr="00D51A68">
        <w:lastRenderedPageBreak/>
        <w:t>b)</w:t>
      </w:r>
      <w:r w:rsidR="00A0772B" w:rsidRPr="00D51A68">
        <w:tab/>
      </w:r>
      <w:r w:rsidRPr="00D51A68">
        <w:t>le disposizioni transitorie possono influire anche sulla carenza di capitale aggiuntivo di classe 1 e di capitale di classe 2 (ossia l</w:t>
      </w:r>
      <w:r w:rsidR="0009277C" w:rsidRPr="00D51A68">
        <w:t>’</w:t>
      </w:r>
      <w:r w:rsidRPr="00D51A68">
        <w:t>eccesso di deduzione dal capitale aggiuntivo di classe 1 o dal capitale di classe 2, disciplinata, rispettivamente, dall</w:t>
      </w:r>
      <w:r w:rsidR="0009277C" w:rsidRPr="00D51A68">
        <w:t>’</w:t>
      </w:r>
      <w:r w:rsidRPr="00D51A68">
        <w:t>articolo 36, paragrafo 1, lettera j), e dall</w:t>
      </w:r>
      <w:r w:rsidR="0009277C" w:rsidRPr="00D51A68">
        <w:t>’</w:t>
      </w:r>
      <w:r w:rsidRPr="00D51A68">
        <w:t>articolo 56, lettera e), del CRR); pertanto, le voci che riportano queste carenze possono riflettere indirettamente l</w:t>
      </w:r>
      <w:r w:rsidR="0009277C" w:rsidRPr="00D51A68">
        <w:t>’</w:t>
      </w:r>
      <w:r w:rsidRPr="00D51A68">
        <w:t>effetto delle disposizioni transitorie;</w:t>
      </w:r>
    </w:p>
    <w:p w:rsidR="005643EA" w:rsidRPr="00D51A68" w:rsidRDefault="00125707" w:rsidP="00EC41AB">
      <w:pPr>
        <w:pStyle w:val="InstructionsText2"/>
        <w:numPr>
          <w:ilvl w:val="0"/>
          <w:numId w:val="0"/>
        </w:numPr>
        <w:ind w:left="993"/>
      </w:pPr>
      <w:r w:rsidRPr="00D51A68">
        <w:t>c)</w:t>
      </w:r>
      <w:r w:rsidR="00A0772B" w:rsidRPr="00D51A68">
        <w:tab/>
      </w:r>
      <w:r w:rsidRPr="00D51A68">
        <w:t xml:space="preserve">il modello CA5 è utilizzato esclusivamente per segnalare le disposizioni transitorie. </w:t>
      </w:r>
    </w:p>
    <w:p w:rsidR="00783881" w:rsidRPr="00D51A68" w:rsidRDefault="00125707" w:rsidP="00EC41AB">
      <w:pPr>
        <w:pStyle w:val="InstructionsText2"/>
        <w:numPr>
          <w:ilvl w:val="0"/>
          <w:numId w:val="0"/>
        </w:numPr>
        <w:ind w:left="993"/>
      </w:pPr>
      <w:r w:rsidRPr="00D51A68">
        <w:t>14.</w:t>
      </w:r>
      <w:r w:rsidR="00A0772B" w:rsidRPr="00D51A68">
        <w:tab/>
      </w:r>
      <w:r w:rsidRPr="00D51A68">
        <w:t>I requisiti del secondo pilastro possono ricevere un trattamento diverso all</w:t>
      </w:r>
      <w:r w:rsidR="0009277C" w:rsidRPr="00D51A68">
        <w:t>’</w:t>
      </w:r>
      <w:r w:rsidRPr="00D51A68">
        <w:t>interno dell</w:t>
      </w:r>
      <w:r w:rsidR="0009277C" w:rsidRPr="00D51A68">
        <w:t>’</w:t>
      </w:r>
      <w:r w:rsidRPr="00D51A68">
        <w:t>Unione (l</w:t>
      </w:r>
      <w:r w:rsidR="0009277C" w:rsidRPr="00D51A68">
        <w:t>’</w:t>
      </w:r>
      <w:r w:rsidRPr="00D51A68">
        <w:t>articolo 104, paragrafo 2, della direttiva CRD deve essere recepito nella legislazione nazionale). La segnalazione della solvibilità conformemente al CRR comprende soltanto l</w:t>
      </w:r>
      <w:r w:rsidR="0009277C" w:rsidRPr="00D51A68">
        <w:t>’</w:t>
      </w:r>
      <w:r w:rsidRPr="00D51A68">
        <w:t>impatto dei requisiti del secondo pilastro sul coefficiente di solvibilità o sul coefficiente finale. Una segnalazione dettagliata dei requisiti del secondo pilastro non rientra nell</w:t>
      </w:r>
      <w:r w:rsidR="0009277C" w:rsidRPr="00D51A68">
        <w:t>’</w:t>
      </w:r>
      <w:r w:rsidRPr="00D51A68">
        <w:t>ambito dell</w:t>
      </w:r>
      <w:r w:rsidR="0009277C" w:rsidRPr="00D51A68">
        <w:t>’</w:t>
      </w:r>
      <w:r w:rsidRPr="00D51A68">
        <w:t xml:space="preserve">articolo 99 del CRR. </w:t>
      </w:r>
    </w:p>
    <w:p w:rsidR="005643EA" w:rsidRPr="00D51A68" w:rsidRDefault="00125707" w:rsidP="00EC41AB">
      <w:pPr>
        <w:pStyle w:val="InstructionsText2"/>
        <w:numPr>
          <w:ilvl w:val="0"/>
          <w:numId w:val="0"/>
        </w:numPr>
        <w:ind w:left="993"/>
      </w:pPr>
      <w:r w:rsidRPr="00D51A68">
        <w:t>a)</w:t>
      </w:r>
      <w:r w:rsidR="00A0772B" w:rsidRPr="00D51A68">
        <w:tab/>
      </w:r>
      <w:r w:rsidRPr="00D51A68">
        <w:t>I modelli CA1, CA2 e CA5 contengono solamente dati relativi ad elementi del primo pilastro.</w:t>
      </w:r>
    </w:p>
    <w:p w:rsidR="005643EA" w:rsidRPr="00D51A68" w:rsidRDefault="00125707" w:rsidP="00EC41AB">
      <w:pPr>
        <w:pStyle w:val="InstructionsText2"/>
        <w:numPr>
          <w:ilvl w:val="0"/>
          <w:numId w:val="0"/>
        </w:numPr>
        <w:ind w:left="993"/>
      </w:pPr>
      <w:r w:rsidRPr="00D51A68">
        <w:t>b)</w:t>
      </w:r>
      <w:r w:rsidR="00A0772B" w:rsidRPr="00D51A68">
        <w:tab/>
      </w:r>
      <w:r w:rsidRPr="00D51A68">
        <w:t>Il modello CA3 indica l</w:t>
      </w:r>
      <w:r w:rsidR="0009277C" w:rsidRPr="00D51A68">
        <w:t>’</w:t>
      </w:r>
      <w:r w:rsidRPr="00D51A68">
        <w:t>impatto dei requisiti aggiuntivi del secondo pilastro sul coefficiente di solvibilità su base aggregata. Un blocco del modello è dedicato all</w:t>
      </w:r>
      <w:r w:rsidR="0009277C" w:rsidRPr="00D51A68">
        <w:t>’</w:t>
      </w:r>
      <w:r w:rsidRPr="00D51A68">
        <w:t>impatto degli importi sui coefficienti, mentre l</w:t>
      </w:r>
      <w:r w:rsidR="0009277C" w:rsidRPr="00D51A68">
        <w:t>’</w:t>
      </w:r>
      <w:r w:rsidRPr="00D51A68">
        <w:t xml:space="preserve">altro blocco è dedicato al coefficiente in quanto tale. Nessuno dei due blocchi ha ulteriori collegamenti ai modelli CA1, CA2 o CA5. </w:t>
      </w:r>
    </w:p>
    <w:p w:rsidR="005643EA" w:rsidRPr="00D51A68" w:rsidRDefault="00125707" w:rsidP="00EC41AB">
      <w:pPr>
        <w:pStyle w:val="InstructionsText2"/>
        <w:numPr>
          <w:ilvl w:val="0"/>
          <w:numId w:val="0"/>
        </w:numPr>
        <w:ind w:left="993"/>
      </w:pPr>
      <w:r w:rsidRPr="00D51A68">
        <w:t>c)</w:t>
      </w:r>
      <w:r w:rsidR="00A0772B" w:rsidRPr="00D51A68">
        <w:tab/>
      </w:r>
      <w:r w:rsidRPr="00D51A68">
        <w:t>Il modello CA4 contiene una cella per i requisiti aggiuntivi di fondi propri connessi al secondo pilastro. La cella, che non è collegata tramite norme di convalida ai coefficienti di capitale del modello CA3, rispecchia l</w:t>
      </w:r>
      <w:r w:rsidR="0009277C" w:rsidRPr="00D51A68">
        <w:t>’</w:t>
      </w:r>
      <w:r w:rsidRPr="00D51A68">
        <w:t>articolo 104, paragrafo 2, della CRD, che cita esplicitamente i requisiti aggiuntivi di fondi propri come una possibilità per le decisioni nell</w:t>
      </w:r>
      <w:r w:rsidR="0009277C" w:rsidRPr="00D51A68">
        <w:t>’</w:t>
      </w:r>
      <w:r w:rsidRPr="00D51A68">
        <w:t>ambito del secondo pilastro.</w:t>
      </w:r>
    </w:p>
    <w:p w:rsidR="002648B0" w:rsidRPr="00D51A68" w:rsidRDefault="00125707" w:rsidP="0023700C">
      <w:pPr>
        <w:pStyle w:val="Instructionsberschrift2"/>
        <w:numPr>
          <w:ilvl w:val="0"/>
          <w:numId w:val="0"/>
        </w:numPr>
        <w:ind w:left="357" w:hanging="357"/>
        <w:rPr>
          <w:rFonts w:ascii="Times New Roman" w:hAnsi="Times New Roman" w:cs="Times New Roman"/>
          <w:sz w:val="24"/>
          <w:u w:val="none"/>
        </w:rPr>
      </w:pPr>
      <w:bookmarkStart w:id="42" w:name="_Toc516210608"/>
      <w:bookmarkStart w:id="43" w:name="_Toc473560873"/>
      <w:bookmarkStart w:id="44" w:name="_Toc524096553"/>
      <w:bookmarkStart w:id="45" w:name="_Toc308175820"/>
      <w:bookmarkStart w:id="46" w:name="_Toc360188325"/>
      <w:r w:rsidRPr="00D51A68">
        <w:rPr>
          <w:rFonts w:ascii="Times New Roman" w:hAnsi="Times New Roman"/>
          <w:sz w:val="24"/>
          <w:u w:val="none"/>
        </w:rPr>
        <w:t>1.2.</w:t>
      </w:r>
      <w:r w:rsidR="00A0772B" w:rsidRPr="00D51A68">
        <w:rPr>
          <w:u w:val="none"/>
        </w:rPr>
        <w:tab/>
      </w:r>
      <w:r w:rsidRPr="00D51A68">
        <w:rPr>
          <w:rFonts w:ascii="Times New Roman" w:hAnsi="Times New Roman"/>
          <w:sz w:val="24"/>
        </w:rPr>
        <w:t>C 01.00 — FONDI PROPRI (CA1)</w:t>
      </w:r>
      <w:bookmarkEnd w:id="42"/>
      <w:bookmarkEnd w:id="43"/>
      <w:bookmarkEnd w:id="44"/>
      <w:r w:rsidRPr="00D51A68">
        <w:rPr>
          <w:rFonts w:ascii="Times New Roman" w:hAnsi="Times New Roman"/>
          <w:sz w:val="24"/>
        </w:rPr>
        <w:t xml:space="preserve"> </w:t>
      </w:r>
      <w:bookmarkEnd w:id="45"/>
      <w:bookmarkEnd w:id="46"/>
    </w:p>
    <w:p w:rsidR="002648B0" w:rsidRPr="00D51A68" w:rsidRDefault="00125707" w:rsidP="0023700C">
      <w:pPr>
        <w:pStyle w:val="Instructionsberschrift2"/>
        <w:numPr>
          <w:ilvl w:val="0"/>
          <w:numId w:val="0"/>
        </w:numPr>
        <w:ind w:left="357" w:hanging="357"/>
        <w:rPr>
          <w:rFonts w:ascii="Times New Roman" w:hAnsi="Times New Roman" w:cs="Times New Roman"/>
          <w:sz w:val="24"/>
          <w:u w:val="none"/>
        </w:rPr>
      </w:pPr>
      <w:bookmarkStart w:id="47" w:name="_Toc308175821"/>
      <w:bookmarkStart w:id="48" w:name="_Toc310414968"/>
      <w:bookmarkStart w:id="49" w:name="_Toc360188326"/>
      <w:bookmarkStart w:id="50" w:name="_Toc516210609"/>
      <w:bookmarkStart w:id="51" w:name="_Toc473560874"/>
      <w:bookmarkStart w:id="52" w:name="_Toc524096554"/>
      <w:r w:rsidRPr="00D51A68">
        <w:rPr>
          <w:rFonts w:ascii="Times New Roman" w:hAnsi="Times New Roman"/>
          <w:sz w:val="24"/>
          <w:u w:val="none"/>
        </w:rPr>
        <w:t>1.2.1.</w:t>
      </w:r>
      <w:r w:rsidR="00A0772B" w:rsidRPr="00D51A68">
        <w:rPr>
          <w:u w:val="none"/>
        </w:rPr>
        <w:tab/>
      </w:r>
      <w:r w:rsidRPr="00D51A68">
        <w:rPr>
          <w:rFonts w:ascii="Times New Roman" w:hAnsi="Times New Roman"/>
          <w:sz w:val="24"/>
        </w:rPr>
        <w:t>Istruzioni relative a posizioni</w:t>
      </w:r>
      <w:r w:rsidR="0009277C" w:rsidRPr="00D51A68">
        <w:rPr>
          <w:rFonts w:ascii="Times New Roman" w:hAnsi="Times New Roman"/>
          <w:sz w:val="24"/>
        </w:rPr>
        <w:t xml:space="preserve"> </w:t>
      </w:r>
      <w:bookmarkEnd w:id="47"/>
      <w:bookmarkEnd w:id="48"/>
      <w:r w:rsidRPr="00D51A68">
        <w:rPr>
          <w:rFonts w:ascii="Times New Roman" w:hAnsi="Times New Roman"/>
          <w:sz w:val="24"/>
        </w:rPr>
        <w:t>specifiche</w:t>
      </w:r>
      <w:bookmarkEnd w:id="49"/>
      <w:bookmarkEnd w:id="50"/>
      <w:bookmarkEnd w:id="51"/>
      <w:bookmarkEnd w:id="52"/>
    </w:p>
    <w:p w:rsidR="002648B0" w:rsidRPr="00D51A68" w:rsidRDefault="002648B0" w:rsidP="00FC1A76">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D51A68" w:rsidTr="00672D2A">
        <w:tc>
          <w:tcPr>
            <w:tcW w:w="1129" w:type="dxa"/>
            <w:shd w:val="clear" w:color="auto" w:fill="D9D9D9"/>
          </w:tcPr>
          <w:p w:rsidR="005643EA" w:rsidRPr="00D51A68" w:rsidRDefault="002648B0" w:rsidP="00FC1A76">
            <w:pPr>
              <w:pStyle w:val="InstructionsText"/>
              <w:rPr>
                <w:rStyle w:val="InstructionsTabelleText"/>
                <w:rFonts w:ascii="Times New Roman" w:hAnsi="Times New Roman"/>
                <w:bCs/>
                <w:sz w:val="24"/>
              </w:rPr>
            </w:pPr>
            <w:r w:rsidRPr="00D51A68">
              <w:rPr>
                <w:rStyle w:val="InstructionsTabelleText"/>
                <w:rFonts w:ascii="Times New Roman" w:hAnsi="Times New Roman"/>
                <w:sz w:val="24"/>
              </w:rPr>
              <w:t>Riga</w:t>
            </w:r>
          </w:p>
        </w:tc>
        <w:tc>
          <w:tcPr>
            <w:tcW w:w="7620" w:type="dxa"/>
            <w:shd w:val="clear" w:color="auto" w:fill="D9D9D9"/>
          </w:tcPr>
          <w:p w:rsidR="005643EA" w:rsidRPr="00D51A68" w:rsidRDefault="002648B0" w:rsidP="00FC1A76">
            <w:pPr>
              <w:pStyle w:val="InstructionsText"/>
              <w:rPr>
                <w:rStyle w:val="InstructionsTabelleText"/>
                <w:rFonts w:ascii="Times New Roman" w:hAnsi="Times New Roman"/>
                <w:bCs/>
                <w:sz w:val="24"/>
              </w:rPr>
            </w:pPr>
            <w:r w:rsidRPr="00D51A68">
              <w:rPr>
                <w:rStyle w:val="InstructionsTabelleText"/>
                <w:rFonts w:ascii="Times New Roman" w:hAnsi="Times New Roman"/>
                <w:sz w:val="24"/>
              </w:rPr>
              <w:t>Riferimenti giuridici e istruzioni</w:t>
            </w:r>
          </w:p>
        </w:tc>
      </w:tr>
      <w:tr w:rsidR="002648B0" w:rsidRPr="00D51A68" w:rsidTr="00672D2A">
        <w:tc>
          <w:tcPr>
            <w:tcW w:w="1129" w:type="dxa"/>
          </w:tcPr>
          <w:p w:rsidR="002648B0" w:rsidRPr="00D51A68" w:rsidRDefault="002648B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010</w:t>
            </w:r>
          </w:p>
        </w:tc>
        <w:tc>
          <w:tcPr>
            <w:tcW w:w="7620" w:type="dxa"/>
          </w:tcPr>
          <w:p w:rsidR="00D7242F" w:rsidRPr="00D51A68" w:rsidRDefault="00C66473"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1.</w:t>
            </w:r>
            <w:r w:rsidR="00A0772B" w:rsidRPr="00D51A68">
              <w:rPr>
                <w:u w:val="single"/>
              </w:rPr>
              <w:tab/>
            </w:r>
            <w:r w:rsidRPr="00D51A68">
              <w:rPr>
                <w:rStyle w:val="InstructionsTabelleberschrift"/>
                <w:rFonts w:ascii="Times New Roman" w:hAnsi="Times New Roman"/>
                <w:sz w:val="24"/>
              </w:rPr>
              <w:t>Fondi propri</w:t>
            </w:r>
          </w:p>
          <w:p w:rsidR="005643EA" w:rsidRPr="00D51A68" w:rsidRDefault="002648B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Articolo 4, paragrafo 1, punto 118, e articolo 72 del CRR.</w:t>
            </w:r>
          </w:p>
          <w:p w:rsidR="005643EA" w:rsidRPr="00D51A68" w:rsidRDefault="002648B0" w:rsidP="00FC1A76">
            <w:pPr>
              <w:pStyle w:val="InstructionsText"/>
              <w:rPr>
                <w:rStyle w:val="InstructionsTabelleberschrift"/>
                <w:rFonts w:ascii="Times New Roman" w:hAnsi="Times New Roman"/>
                <w:sz w:val="24"/>
              </w:rPr>
            </w:pPr>
            <w:r w:rsidRPr="00D51A68">
              <w:rPr>
                <w:rStyle w:val="FormatvorlageInstructionsTabelleText"/>
                <w:rFonts w:ascii="Times New Roman" w:hAnsi="Times New Roman"/>
                <w:sz w:val="24"/>
              </w:rPr>
              <w:t>I fondi propri di un ente consistono nella somma del suo capitale di classe 1 e del capitale di classe 2.</w:t>
            </w:r>
          </w:p>
        </w:tc>
      </w:tr>
      <w:tr w:rsidR="00666996" w:rsidRPr="00D51A68" w:rsidTr="00672D2A">
        <w:tc>
          <w:tcPr>
            <w:tcW w:w="1129" w:type="dxa"/>
          </w:tcPr>
          <w:p w:rsidR="00666996" w:rsidRPr="00D51A68" w:rsidRDefault="00666996" w:rsidP="00FC1A76">
            <w:pPr>
              <w:pStyle w:val="InstructionsText"/>
              <w:keepNext/>
              <w:rPr>
                <w:rStyle w:val="FormatvorlageInstructionsTabelleText"/>
                <w:rFonts w:ascii="Times New Roman" w:hAnsi="Times New Roman"/>
                <w:sz w:val="24"/>
              </w:rPr>
            </w:pPr>
            <w:r w:rsidRPr="00D51A68">
              <w:rPr>
                <w:rStyle w:val="FormatvorlageInstructionsTabelleText"/>
                <w:rFonts w:ascii="Times New Roman" w:hAnsi="Times New Roman"/>
                <w:sz w:val="24"/>
              </w:rPr>
              <w:lastRenderedPageBreak/>
              <w:t>015</w:t>
            </w:r>
          </w:p>
        </w:tc>
        <w:tc>
          <w:tcPr>
            <w:tcW w:w="7620" w:type="dxa"/>
          </w:tcPr>
          <w:p w:rsidR="005643EA" w:rsidRPr="00D51A68" w:rsidRDefault="00666996" w:rsidP="00FC1A76">
            <w:pPr>
              <w:pStyle w:val="InstructionsText"/>
              <w:keepNext/>
              <w:rPr>
                <w:rStyle w:val="InstructionsTabelleberschrift"/>
                <w:rFonts w:ascii="Times New Roman" w:hAnsi="Times New Roman"/>
                <w:sz w:val="24"/>
              </w:rPr>
            </w:pPr>
            <w:r w:rsidRPr="00D51A68">
              <w:rPr>
                <w:rStyle w:val="InstructionsTabelleberschrift"/>
                <w:rFonts w:ascii="Times New Roman" w:hAnsi="Times New Roman"/>
                <w:sz w:val="24"/>
              </w:rPr>
              <w:t>1.1</w:t>
            </w:r>
            <w:r w:rsidR="00A0772B" w:rsidRPr="00D51A68">
              <w:rPr>
                <w:u w:val="single"/>
              </w:rPr>
              <w:tab/>
            </w:r>
            <w:r w:rsidRPr="00D51A68">
              <w:rPr>
                <w:rStyle w:val="InstructionsTabelleberschrift"/>
                <w:rFonts w:ascii="Times New Roman" w:hAnsi="Times New Roman"/>
                <w:sz w:val="24"/>
              </w:rPr>
              <w:t>Capitale di classe 1</w:t>
            </w:r>
          </w:p>
          <w:p w:rsidR="005643EA" w:rsidRPr="00D51A68" w:rsidRDefault="00666996" w:rsidP="00FC1A76">
            <w:pPr>
              <w:pStyle w:val="InstructionsText"/>
              <w:keepNext/>
              <w:rPr>
                <w:rStyle w:val="FormatvorlageInstructionsTabelleText"/>
                <w:rFonts w:ascii="Times New Roman" w:hAnsi="Times New Roman"/>
                <w:sz w:val="24"/>
              </w:rPr>
            </w:pPr>
            <w:r w:rsidRPr="00D51A68">
              <w:rPr>
                <w:rStyle w:val="FormatvorlageInstructionsTabelleText"/>
                <w:rFonts w:ascii="Times New Roman" w:hAnsi="Times New Roman"/>
                <w:sz w:val="24"/>
              </w:rPr>
              <w:t>Articolo 25 del CRR.</w:t>
            </w:r>
          </w:p>
          <w:p w:rsidR="005643EA" w:rsidRPr="00D51A68" w:rsidRDefault="00666996" w:rsidP="00FC1A76">
            <w:pPr>
              <w:pStyle w:val="InstructionsText"/>
              <w:keepNext/>
              <w:rPr>
                <w:rStyle w:val="InstructionsTabelleberschrift"/>
                <w:rFonts w:ascii="Times New Roman" w:hAnsi="Times New Roman"/>
                <w:sz w:val="24"/>
              </w:rPr>
            </w:pPr>
            <w:r w:rsidRPr="00D51A68">
              <w:rPr>
                <w:rStyle w:val="FormatvorlageInstructionsTabelleText"/>
                <w:rFonts w:ascii="Times New Roman" w:hAnsi="Times New Roman"/>
                <w:sz w:val="24"/>
              </w:rPr>
              <w:t xml:space="preserve">Il capitale di classe 1 è la somma del capitale primario di classe 1 e del capitale aggiuntivo di classe 1. </w:t>
            </w:r>
          </w:p>
        </w:tc>
      </w:tr>
      <w:tr w:rsidR="002648B0" w:rsidRPr="00D51A68" w:rsidTr="00672D2A">
        <w:tc>
          <w:tcPr>
            <w:tcW w:w="1129" w:type="dxa"/>
          </w:tcPr>
          <w:p w:rsidR="002648B0" w:rsidRPr="00D51A68" w:rsidRDefault="002648B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020</w:t>
            </w:r>
          </w:p>
        </w:tc>
        <w:tc>
          <w:tcPr>
            <w:tcW w:w="7620" w:type="dxa"/>
          </w:tcPr>
          <w:p w:rsidR="005643EA" w:rsidRPr="00D51A68" w:rsidRDefault="00666996"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1.1.1</w:t>
            </w:r>
            <w:r w:rsidR="00A0772B" w:rsidRPr="00D51A68">
              <w:rPr>
                <w:u w:val="single"/>
              </w:rPr>
              <w:tab/>
            </w:r>
            <w:r w:rsidRPr="00D51A68">
              <w:rPr>
                <w:rStyle w:val="InstructionsTabelleberschrift"/>
                <w:rFonts w:ascii="Times New Roman" w:hAnsi="Times New Roman"/>
                <w:sz w:val="24"/>
              </w:rPr>
              <w:t>Capitale primario di classe 1</w:t>
            </w:r>
          </w:p>
          <w:p w:rsidR="005643EA" w:rsidRPr="00D51A68" w:rsidRDefault="002648B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Articolo 50 del CRR.</w:t>
            </w:r>
          </w:p>
        </w:tc>
      </w:tr>
      <w:tr w:rsidR="002648B0" w:rsidRPr="00D51A68" w:rsidTr="00672D2A">
        <w:tc>
          <w:tcPr>
            <w:tcW w:w="1129" w:type="dxa"/>
          </w:tcPr>
          <w:p w:rsidR="002648B0" w:rsidRPr="00D51A68" w:rsidRDefault="002648B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030</w:t>
            </w:r>
          </w:p>
        </w:tc>
        <w:tc>
          <w:tcPr>
            <w:tcW w:w="7620" w:type="dxa"/>
          </w:tcPr>
          <w:p w:rsidR="005643EA" w:rsidRPr="00D51A68" w:rsidRDefault="000120EB"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1.1.1.1</w:t>
            </w:r>
            <w:r w:rsidR="00A0772B" w:rsidRPr="00D51A68">
              <w:rPr>
                <w:u w:val="single"/>
              </w:rPr>
              <w:tab/>
            </w:r>
            <w:r w:rsidRPr="00D51A68">
              <w:rPr>
                <w:rStyle w:val="InstructionsTabelleberschrift"/>
                <w:rFonts w:ascii="Times New Roman" w:hAnsi="Times New Roman"/>
                <w:sz w:val="24"/>
              </w:rPr>
              <w:t>Strumenti di capitale ammissibili come capitale primario di classe 1</w:t>
            </w:r>
          </w:p>
          <w:p w:rsidR="005643EA" w:rsidRPr="00D51A68" w:rsidRDefault="002648B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Articolo 26, paragrafo 1, lettere a) e b), articoli da 27 a 30, articolo 36, paragrafo 1, lettera f), e articolo 42 del CRR.</w:t>
            </w:r>
          </w:p>
        </w:tc>
      </w:tr>
      <w:tr w:rsidR="002648B0" w:rsidRPr="00D51A68" w:rsidTr="00672D2A">
        <w:tc>
          <w:tcPr>
            <w:tcW w:w="1129" w:type="dxa"/>
          </w:tcPr>
          <w:p w:rsidR="002648B0" w:rsidRPr="00D51A68" w:rsidRDefault="002648B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040</w:t>
            </w:r>
          </w:p>
        </w:tc>
        <w:tc>
          <w:tcPr>
            <w:tcW w:w="7620" w:type="dxa"/>
          </w:tcPr>
          <w:p w:rsidR="005643EA" w:rsidRPr="00D51A68" w:rsidRDefault="00666996"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1.1.1.1.1</w:t>
            </w:r>
            <w:r w:rsidR="00A0772B" w:rsidRPr="00D51A68">
              <w:rPr>
                <w:u w:val="single"/>
              </w:rPr>
              <w:tab/>
            </w:r>
            <w:r w:rsidRPr="00D51A68">
              <w:rPr>
                <w:rStyle w:val="InstructionsTabelleberschrift"/>
                <w:rFonts w:ascii="Times New Roman" w:hAnsi="Times New Roman"/>
                <w:sz w:val="24"/>
              </w:rPr>
              <w:t>Strumenti di capitale versati</w:t>
            </w:r>
          </w:p>
          <w:p w:rsidR="005643EA" w:rsidRPr="00D51A68" w:rsidRDefault="002648B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Articolo 26, paragrafo 1, lettera a), e articoli da 27 a 31 del CRR.</w:t>
            </w:r>
          </w:p>
          <w:p w:rsidR="00FE3BD8" w:rsidRPr="00D51A68" w:rsidRDefault="00543DBD"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Sono compresi gli strumenti di capitale delle società mutue e cooperative o di enti analoghi (articoli 27 e 29 del CRR).</w:t>
            </w:r>
          </w:p>
          <w:p w:rsidR="00FE3BD8" w:rsidRPr="00D51A68" w:rsidRDefault="002648B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Non è compreso il sovrapprezzo azioni relativo agli strumenti.</w:t>
            </w:r>
          </w:p>
          <w:p w:rsidR="005643EA" w:rsidRPr="00D51A68" w:rsidRDefault="00543DBD"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Gli strumenti di capitale sottoscritti dalle autorità pubbliche in situazioni di emergenza sono compresi se sono soddisfatte tutte le condizioni di cui all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articolo 31 del CRR.</w:t>
            </w:r>
          </w:p>
        </w:tc>
      </w:tr>
      <w:tr w:rsidR="00216D67" w:rsidRPr="00D51A68" w:rsidTr="00672D2A">
        <w:tc>
          <w:tcPr>
            <w:tcW w:w="1129" w:type="dxa"/>
          </w:tcPr>
          <w:p w:rsidR="00216D67" w:rsidRPr="00D51A68" w:rsidRDefault="00216D67"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045</w:t>
            </w:r>
          </w:p>
        </w:tc>
        <w:tc>
          <w:tcPr>
            <w:tcW w:w="7620" w:type="dxa"/>
          </w:tcPr>
          <w:p w:rsidR="00216D67" w:rsidRPr="00D51A68" w:rsidRDefault="00DD2C1E"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1.1.1.1.1*</w:t>
            </w:r>
            <w:r w:rsidR="00A0772B" w:rsidRPr="00D51A68">
              <w:rPr>
                <w:u w:val="single"/>
              </w:rPr>
              <w:tab/>
            </w:r>
            <w:r w:rsidRPr="00D51A68">
              <w:rPr>
                <w:rStyle w:val="InstructionsTabelleberschrift"/>
                <w:rFonts w:ascii="Times New Roman" w:hAnsi="Times New Roman"/>
                <w:sz w:val="24"/>
              </w:rPr>
              <w:t>di cui: strumenti di capitale sottoscritti dalle pubbliche autorità in situazioni di emergenza</w:t>
            </w:r>
          </w:p>
          <w:p w:rsidR="00216D67" w:rsidRPr="00D51A68" w:rsidRDefault="00216D67" w:rsidP="00FC1A76">
            <w:pPr>
              <w:pStyle w:val="InstructionsText"/>
              <w:rPr>
                <w:rStyle w:val="InstructionsTabelleberschrift"/>
                <w:rFonts w:ascii="Times New Roman" w:hAnsi="Times New Roman"/>
                <w:b w:val="0"/>
                <w:sz w:val="24"/>
                <w:u w:val="none"/>
              </w:rPr>
            </w:pPr>
            <w:r w:rsidRPr="00D51A68">
              <w:rPr>
                <w:rStyle w:val="InstructionsTabelleberschrift"/>
                <w:rFonts w:ascii="Times New Roman" w:hAnsi="Times New Roman"/>
                <w:b w:val="0"/>
                <w:sz w:val="24"/>
                <w:u w:val="none"/>
              </w:rPr>
              <w:t>Articolo 31 del CRR.</w:t>
            </w:r>
          </w:p>
          <w:p w:rsidR="00216D67" w:rsidRPr="00D51A68" w:rsidRDefault="00216D67"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b w:val="0"/>
                <w:sz w:val="24"/>
                <w:u w:val="none"/>
              </w:rPr>
              <w:t>Gli strumenti di capitale sottoscritti dalle pubbliche autorità in situazioni di emergenza sono compresi nel capitale primario di classe 1 se sono soddisfatte tutte le condizioni di cui all</w:t>
            </w:r>
            <w:r w:rsidR="0009277C" w:rsidRPr="00D51A68">
              <w:rPr>
                <w:rStyle w:val="InstructionsTabelleberschrift"/>
                <w:rFonts w:ascii="Times New Roman" w:hAnsi="Times New Roman"/>
                <w:b w:val="0"/>
                <w:sz w:val="24"/>
                <w:u w:val="none"/>
              </w:rPr>
              <w:t>’</w:t>
            </w:r>
            <w:r w:rsidRPr="00D51A68">
              <w:rPr>
                <w:rStyle w:val="InstructionsTabelleberschrift"/>
                <w:rFonts w:ascii="Times New Roman" w:hAnsi="Times New Roman"/>
                <w:b w:val="0"/>
                <w:sz w:val="24"/>
                <w:u w:val="none"/>
              </w:rPr>
              <w:t>articolo 31 del CRR.</w:t>
            </w:r>
          </w:p>
        </w:tc>
      </w:tr>
      <w:tr w:rsidR="002648B0" w:rsidRPr="00D51A68" w:rsidTr="00672D2A">
        <w:tc>
          <w:tcPr>
            <w:tcW w:w="1129" w:type="dxa"/>
          </w:tcPr>
          <w:p w:rsidR="002648B0" w:rsidRPr="00D51A68" w:rsidRDefault="002648B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050</w:t>
            </w:r>
          </w:p>
        </w:tc>
        <w:tc>
          <w:tcPr>
            <w:tcW w:w="7620" w:type="dxa"/>
          </w:tcPr>
          <w:p w:rsidR="005643EA" w:rsidRPr="00D51A68" w:rsidRDefault="00666996" w:rsidP="00FC1A76">
            <w:pPr>
              <w:pStyle w:val="InstructionsText"/>
              <w:rPr>
                <w:rStyle w:val="FormatvorlageInstructionsTabelleText"/>
                <w:rFonts w:ascii="Times New Roman" w:hAnsi="Times New Roman"/>
                <w:b/>
                <w:sz w:val="24"/>
                <w:u w:val="single"/>
              </w:rPr>
            </w:pPr>
            <w:r w:rsidRPr="00D51A68">
              <w:rPr>
                <w:rStyle w:val="InstructionsTabelleberschrift"/>
                <w:rFonts w:ascii="Times New Roman" w:hAnsi="Times New Roman"/>
                <w:sz w:val="24"/>
              </w:rPr>
              <w:t>1.1.1.1.2*</w:t>
            </w:r>
            <w:r w:rsidR="00A0772B" w:rsidRPr="00D51A68">
              <w:rPr>
                <w:u w:val="single"/>
              </w:rPr>
              <w:tab/>
            </w:r>
            <w:r w:rsidRPr="00D51A68">
              <w:rPr>
                <w:rStyle w:val="InstructionsTabelleberschrift"/>
                <w:rFonts w:ascii="Times New Roman" w:hAnsi="Times New Roman"/>
                <w:sz w:val="24"/>
              </w:rPr>
              <w:t>Voce per memoria: strumenti di capitale non ammissibili</w:t>
            </w:r>
          </w:p>
          <w:p w:rsidR="005643EA" w:rsidRPr="00D51A68" w:rsidRDefault="002648B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Articolo 28, paragrafo 1, lettere b), l) ed m), del CRR.</w:t>
            </w:r>
          </w:p>
          <w:p w:rsidR="005643EA" w:rsidRPr="00D51A68" w:rsidRDefault="002648B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Le condizioni previste dalle lettere citate valgono per situazioni di capitale differenti, che sono reversibili; ne consegue che 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importo qui indicato può diventare ammissibile in periodi successivi.</w:t>
            </w:r>
          </w:p>
          <w:p w:rsidR="005643EA" w:rsidRPr="00D51A68" w:rsidRDefault="002648B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importo da segnalare non comprende il sovrapprezzo azioni relativo agli strumenti.</w:t>
            </w:r>
          </w:p>
        </w:tc>
      </w:tr>
      <w:tr w:rsidR="002648B0" w:rsidRPr="00D51A68" w:rsidTr="00672D2A">
        <w:tc>
          <w:tcPr>
            <w:tcW w:w="1129" w:type="dxa"/>
          </w:tcPr>
          <w:p w:rsidR="002648B0" w:rsidRPr="00D51A68" w:rsidRDefault="002648B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060</w:t>
            </w:r>
          </w:p>
        </w:tc>
        <w:tc>
          <w:tcPr>
            <w:tcW w:w="7620" w:type="dxa"/>
          </w:tcPr>
          <w:p w:rsidR="005643EA" w:rsidRPr="00D51A68" w:rsidRDefault="00666996" w:rsidP="00FC1A76">
            <w:pPr>
              <w:pStyle w:val="InstructionsText"/>
              <w:rPr>
                <w:rStyle w:val="FormatvorlageInstructionsTabelleText"/>
                <w:rFonts w:ascii="Times New Roman" w:hAnsi="Times New Roman"/>
                <w:b/>
                <w:sz w:val="24"/>
                <w:u w:val="single"/>
              </w:rPr>
            </w:pPr>
            <w:r w:rsidRPr="00D51A68">
              <w:rPr>
                <w:rStyle w:val="InstructionsTabelleberschrift"/>
                <w:rFonts w:ascii="Times New Roman" w:hAnsi="Times New Roman"/>
                <w:sz w:val="24"/>
              </w:rPr>
              <w:t>1.1.1.1.3</w:t>
            </w:r>
            <w:r w:rsidR="00A0772B" w:rsidRPr="00D51A68">
              <w:rPr>
                <w:u w:val="single"/>
              </w:rPr>
              <w:tab/>
            </w:r>
            <w:r w:rsidRPr="00D51A68">
              <w:rPr>
                <w:rStyle w:val="InstructionsTabelleberschrift"/>
                <w:rFonts w:ascii="Times New Roman" w:hAnsi="Times New Roman"/>
                <w:sz w:val="24"/>
              </w:rPr>
              <w:t>Sovrapprezzo azioni</w:t>
            </w:r>
          </w:p>
          <w:p w:rsidR="005643EA" w:rsidRPr="00D51A68" w:rsidRDefault="002648B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Articolo 4, paragrafo 1, punto 124, e articolo 26, paragrafo 1, lettera b), del CRR.</w:t>
            </w:r>
          </w:p>
          <w:p w:rsidR="005643EA" w:rsidRPr="00D51A68" w:rsidRDefault="002648B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 xml:space="preserve">Il </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sovrapprezzo azioni</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 xml:space="preserve"> ha lo stesso significato di cui al principio contabile applicabile. </w:t>
            </w:r>
          </w:p>
          <w:p w:rsidR="005643EA" w:rsidRPr="00D51A68" w:rsidRDefault="002648B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 xml:space="preserve">importo da segnalare in questa voce è la parte relativa agli </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strumenti di capitale versati</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 xml:space="preserve">. </w:t>
            </w:r>
          </w:p>
        </w:tc>
      </w:tr>
      <w:tr w:rsidR="002648B0" w:rsidRPr="00D51A68" w:rsidTr="00672D2A">
        <w:tc>
          <w:tcPr>
            <w:tcW w:w="1129" w:type="dxa"/>
          </w:tcPr>
          <w:p w:rsidR="002648B0" w:rsidRPr="00D51A68" w:rsidRDefault="002648B0" w:rsidP="00FC1A76">
            <w:pPr>
              <w:pStyle w:val="InstructionsText"/>
              <w:keepNext/>
              <w:rPr>
                <w:rStyle w:val="FormatvorlageInstructionsTabelleText"/>
                <w:rFonts w:ascii="Times New Roman" w:hAnsi="Times New Roman"/>
                <w:sz w:val="24"/>
              </w:rPr>
            </w:pPr>
            <w:r w:rsidRPr="00D51A68">
              <w:rPr>
                <w:rStyle w:val="FormatvorlageInstructionsTabelleText"/>
                <w:rFonts w:ascii="Times New Roman" w:hAnsi="Times New Roman"/>
                <w:sz w:val="24"/>
              </w:rPr>
              <w:lastRenderedPageBreak/>
              <w:t>070</w:t>
            </w:r>
          </w:p>
        </w:tc>
        <w:tc>
          <w:tcPr>
            <w:tcW w:w="7620" w:type="dxa"/>
          </w:tcPr>
          <w:p w:rsidR="005643EA" w:rsidRPr="00D51A68" w:rsidRDefault="00666996" w:rsidP="00FC1A76">
            <w:pPr>
              <w:pStyle w:val="InstructionsText"/>
              <w:keepNext/>
              <w:rPr>
                <w:rStyle w:val="FormatvorlageInstructionsTabelleText"/>
                <w:rFonts w:ascii="Times New Roman" w:hAnsi="Times New Roman"/>
                <w:b/>
                <w:sz w:val="24"/>
                <w:u w:val="single"/>
              </w:rPr>
            </w:pPr>
            <w:r w:rsidRPr="00D51A68">
              <w:rPr>
                <w:rStyle w:val="InstructionsTabelleberschrift"/>
                <w:rFonts w:ascii="Times New Roman" w:hAnsi="Times New Roman"/>
                <w:sz w:val="24"/>
              </w:rPr>
              <w:t>1.1.1.1.4</w:t>
            </w:r>
            <w:r w:rsidR="00A0772B" w:rsidRPr="00D51A68">
              <w:rPr>
                <w:u w:val="single"/>
              </w:rPr>
              <w:tab/>
            </w:r>
            <w:r w:rsidRPr="00D51A68">
              <w:rPr>
                <w:rStyle w:val="InstructionsTabelleberschrift"/>
                <w:rFonts w:ascii="Times New Roman" w:hAnsi="Times New Roman"/>
                <w:sz w:val="24"/>
              </w:rPr>
              <w:t>(-) Strumenti propri di capitale primario di classe 1</w:t>
            </w:r>
          </w:p>
          <w:p w:rsidR="005643EA" w:rsidRPr="00D51A68" w:rsidRDefault="002648B0" w:rsidP="00FC1A76">
            <w:pPr>
              <w:pStyle w:val="InstructionsText"/>
              <w:keepNext/>
              <w:rPr>
                <w:rStyle w:val="FormatvorlageInstructionsTabelleText"/>
                <w:rFonts w:ascii="Times New Roman" w:hAnsi="Times New Roman"/>
                <w:sz w:val="24"/>
              </w:rPr>
            </w:pPr>
            <w:r w:rsidRPr="00D51A68">
              <w:rPr>
                <w:rStyle w:val="FormatvorlageInstructionsTabelleText"/>
                <w:rFonts w:ascii="Times New Roman" w:hAnsi="Times New Roman"/>
                <w:sz w:val="24"/>
              </w:rPr>
              <w:t>Articolo 36, paragrafo 1, lettera f), e articolo 42 del CRR.</w:t>
            </w:r>
          </w:p>
          <w:p w:rsidR="005643EA" w:rsidRPr="00D51A68" w:rsidRDefault="002648B0" w:rsidP="00FC1A76">
            <w:pPr>
              <w:pStyle w:val="InstructionsText"/>
              <w:keepNext/>
              <w:rPr>
                <w:rStyle w:val="FormatvorlageInstructionsTabelleText"/>
                <w:rFonts w:ascii="Times New Roman" w:hAnsi="Times New Roman"/>
                <w:sz w:val="24"/>
              </w:rPr>
            </w:pPr>
            <w:r w:rsidRPr="00D51A68">
              <w:rPr>
                <w:rStyle w:val="FormatvorlageInstructionsTabelleText"/>
                <w:rFonts w:ascii="Times New Roman" w:hAnsi="Times New Roman"/>
                <w:sz w:val="24"/>
              </w:rPr>
              <w:t>Strumenti propri di capitale primario di classe 1 detenuti dall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ente o gruppo segnalante alla data di riferimento. Soggetti alle eccezioni di cui all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artic</w:t>
            </w:r>
            <w:r w:rsidR="00FC1A76" w:rsidRPr="00D51A68">
              <w:rPr>
                <w:rStyle w:val="FormatvorlageInstructionsTabelleText"/>
                <w:rFonts w:ascii="Times New Roman" w:hAnsi="Times New Roman"/>
                <w:sz w:val="24"/>
              </w:rPr>
              <w:t>olo </w:t>
            </w:r>
            <w:r w:rsidRPr="00D51A68">
              <w:rPr>
                <w:rStyle w:val="FormatvorlageInstructionsTabelleText"/>
                <w:rFonts w:ascii="Times New Roman" w:hAnsi="Times New Roman"/>
                <w:sz w:val="24"/>
              </w:rPr>
              <w:t>42 del CRR.</w:t>
            </w:r>
          </w:p>
          <w:p w:rsidR="005643EA" w:rsidRPr="00D51A68" w:rsidRDefault="002648B0" w:rsidP="00FC1A76">
            <w:pPr>
              <w:pStyle w:val="InstructionsText"/>
              <w:keepNext/>
              <w:rPr>
                <w:rStyle w:val="FormatvorlageInstructionsTabelleText"/>
                <w:rFonts w:ascii="Times New Roman" w:hAnsi="Times New Roman"/>
                <w:sz w:val="24"/>
              </w:rPr>
            </w:pPr>
            <w:r w:rsidRPr="00D51A68">
              <w:rPr>
                <w:rStyle w:val="FormatvorlageInstructionsTabelleText"/>
                <w:rFonts w:ascii="Times New Roman" w:hAnsi="Times New Roman"/>
                <w:sz w:val="24"/>
              </w:rPr>
              <w:t xml:space="preserve">Le partecipazioni azionarie incluse come </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strumenti di capitale non ammissibili</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 xml:space="preserve"> non sono segnalate in questa riga.</w:t>
            </w:r>
          </w:p>
          <w:p w:rsidR="005643EA" w:rsidRPr="00D51A68" w:rsidRDefault="002648B0" w:rsidP="00FC1A76">
            <w:pPr>
              <w:pStyle w:val="InstructionsText"/>
              <w:keepNext/>
              <w:rPr>
                <w:rStyle w:val="FormatvorlageInstructionsTabelleText"/>
                <w:rFonts w:ascii="Times New Roman" w:hAnsi="Times New Roman"/>
                <w:sz w:val="24"/>
              </w:rPr>
            </w:pPr>
            <w:r w:rsidRPr="00D51A68">
              <w:rPr>
                <w:rStyle w:val="FormatvorlageInstructionsTabelleText"/>
                <w:rFonts w:ascii="Times New Roman" w:hAnsi="Times New Roman"/>
                <w:sz w:val="24"/>
              </w:rPr>
              <w:t>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importo da segnalare comprende il sovrapprezzo azioni relativo alle azioni proprie.</w:t>
            </w:r>
          </w:p>
          <w:p w:rsidR="005643EA" w:rsidRPr="00D51A68" w:rsidRDefault="002648B0" w:rsidP="00FC1A76">
            <w:pPr>
              <w:pStyle w:val="InstructionsText"/>
              <w:keepNext/>
              <w:rPr>
                <w:rStyle w:val="FormatvorlageInstructionsTabelleText"/>
                <w:rFonts w:ascii="Times New Roman" w:hAnsi="Times New Roman"/>
                <w:sz w:val="24"/>
              </w:rPr>
            </w:pPr>
            <w:r w:rsidRPr="00D51A68">
              <w:rPr>
                <w:rStyle w:val="FormatvorlageInstructionsTabelleText"/>
                <w:rFonts w:ascii="Times New Roman" w:hAnsi="Times New Roman"/>
                <w:sz w:val="24"/>
              </w:rPr>
              <w:t>Le voci da 1.1.1.1.4 a 1.1.1.1.4.3 non comprendono gli obblighi effettivi o potenziali di acquistare strumenti propri di capitale primario di classe 1. Gli obblighi effettivi o potenziali di acquistare strumenti propri di capitale primario di classe 1 sono segnalati separatamente nella voce 1.1.1.1.5.</w:t>
            </w:r>
          </w:p>
        </w:tc>
      </w:tr>
      <w:tr w:rsidR="002648B0" w:rsidRPr="00D51A68" w:rsidTr="00672D2A">
        <w:tc>
          <w:tcPr>
            <w:tcW w:w="1129" w:type="dxa"/>
          </w:tcPr>
          <w:p w:rsidR="002648B0" w:rsidRPr="00D51A68" w:rsidRDefault="002648B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080</w:t>
            </w:r>
          </w:p>
        </w:tc>
        <w:tc>
          <w:tcPr>
            <w:tcW w:w="7620" w:type="dxa"/>
          </w:tcPr>
          <w:p w:rsidR="005643EA" w:rsidRPr="00D51A68" w:rsidRDefault="00666996" w:rsidP="00FC1A76">
            <w:pPr>
              <w:pStyle w:val="InstructionsText"/>
              <w:rPr>
                <w:rStyle w:val="FormatvorlageInstructionsTabelleText"/>
                <w:rFonts w:ascii="Times New Roman" w:hAnsi="Times New Roman"/>
                <w:b/>
                <w:sz w:val="24"/>
                <w:u w:val="single"/>
              </w:rPr>
            </w:pPr>
            <w:r w:rsidRPr="00D51A68">
              <w:rPr>
                <w:rStyle w:val="InstructionsTabelleberschrift"/>
                <w:rFonts w:ascii="Times New Roman" w:hAnsi="Times New Roman"/>
                <w:sz w:val="24"/>
              </w:rPr>
              <w:t>1.1.1.1.4.1</w:t>
            </w:r>
            <w:r w:rsidR="00A0772B" w:rsidRPr="00D51A68">
              <w:rPr>
                <w:u w:val="single"/>
              </w:rPr>
              <w:tab/>
            </w:r>
            <w:r w:rsidRPr="00D51A68">
              <w:rPr>
                <w:rStyle w:val="InstructionsTabelleberschrift"/>
                <w:rFonts w:ascii="Times New Roman" w:hAnsi="Times New Roman"/>
                <w:sz w:val="24"/>
              </w:rPr>
              <w:t>(-) Strumenti di capitale primario di classe 1 detenuti direttamente</w:t>
            </w:r>
          </w:p>
          <w:p w:rsidR="005643EA" w:rsidRPr="00D51A68" w:rsidRDefault="002648B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Articolo 36, paragrafo 1, lettera f), e articolo 42 del CRR.</w:t>
            </w:r>
          </w:p>
          <w:p w:rsidR="005643EA" w:rsidRPr="00D51A68" w:rsidRDefault="002648B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 xml:space="preserve">Strumenti di capitale primario di classe 1 compresi nella voce 1.1.1.1 detenuti da enti del gruppo consolidato. </w:t>
            </w:r>
          </w:p>
          <w:p w:rsidR="005643EA" w:rsidRPr="00D51A68" w:rsidRDefault="002648B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importo da segnalare comprende le posizioni detenute all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interno del portafoglio di negoziazione calcolate sulla base delle posizioni nette lunghe, come previsto dall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articolo 42, lettera a), del CRR.</w:t>
            </w:r>
          </w:p>
        </w:tc>
      </w:tr>
      <w:tr w:rsidR="002648B0" w:rsidRPr="00D51A68" w:rsidTr="00672D2A">
        <w:tc>
          <w:tcPr>
            <w:tcW w:w="1129" w:type="dxa"/>
          </w:tcPr>
          <w:p w:rsidR="002648B0" w:rsidRPr="00D51A68" w:rsidRDefault="002648B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090</w:t>
            </w:r>
          </w:p>
        </w:tc>
        <w:tc>
          <w:tcPr>
            <w:tcW w:w="7620" w:type="dxa"/>
          </w:tcPr>
          <w:p w:rsidR="005643EA" w:rsidRPr="00D51A68" w:rsidRDefault="00666996" w:rsidP="00FC1A76">
            <w:pPr>
              <w:pStyle w:val="InstructionsText"/>
              <w:rPr>
                <w:rStyle w:val="FormatvorlageInstructionsTabelleText"/>
                <w:rFonts w:ascii="Times New Roman" w:hAnsi="Times New Roman"/>
                <w:b/>
                <w:sz w:val="24"/>
                <w:u w:val="single"/>
              </w:rPr>
            </w:pPr>
            <w:r w:rsidRPr="00D51A68">
              <w:rPr>
                <w:rStyle w:val="InstructionsTabelleberschrift"/>
                <w:rFonts w:ascii="Times New Roman" w:hAnsi="Times New Roman"/>
                <w:sz w:val="24"/>
              </w:rPr>
              <w:t>1.1.1.1.4.2</w:t>
            </w:r>
            <w:r w:rsidR="00A0772B" w:rsidRPr="00D51A68">
              <w:rPr>
                <w:u w:val="single"/>
              </w:rPr>
              <w:tab/>
            </w:r>
            <w:r w:rsidRPr="00D51A68">
              <w:rPr>
                <w:rStyle w:val="InstructionsTabelleberschrift"/>
                <w:rFonts w:ascii="Times New Roman" w:hAnsi="Times New Roman"/>
                <w:sz w:val="24"/>
              </w:rPr>
              <w:t>(-) Strumenti di capitale primario di classe 1 detenuti indirettamente</w:t>
            </w:r>
          </w:p>
          <w:p w:rsidR="005643EA" w:rsidRPr="00D51A68" w:rsidRDefault="00805255"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Articolo 4, paragrafo 1, punto 114, articolo 36, paragrafo 1, lettera f), e articolo 42 del CRR.</w:t>
            </w:r>
          </w:p>
        </w:tc>
      </w:tr>
      <w:tr w:rsidR="002648B0" w:rsidRPr="00D51A68" w:rsidTr="00672D2A">
        <w:tc>
          <w:tcPr>
            <w:tcW w:w="1129" w:type="dxa"/>
          </w:tcPr>
          <w:p w:rsidR="002648B0" w:rsidRPr="00D51A68" w:rsidRDefault="002648B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091</w:t>
            </w:r>
          </w:p>
          <w:p w:rsidR="005643EA" w:rsidRPr="00D51A68" w:rsidRDefault="005643EA" w:rsidP="00FC1A76">
            <w:pPr>
              <w:pStyle w:val="InstructionsText"/>
              <w:rPr>
                <w:rStyle w:val="FormatvorlageInstructionsTabelleText"/>
                <w:rFonts w:ascii="Times New Roman" w:hAnsi="Times New Roman"/>
                <w:sz w:val="24"/>
              </w:rPr>
            </w:pPr>
          </w:p>
        </w:tc>
        <w:tc>
          <w:tcPr>
            <w:tcW w:w="7620" w:type="dxa"/>
          </w:tcPr>
          <w:p w:rsidR="005643EA" w:rsidRPr="00D51A68" w:rsidRDefault="00666996" w:rsidP="00FC1A76">
            <w:pPr>
              <w:pStyle w:val="InstructionsText"/>
              <w:rPr>
                <w:rStyle w:val="FormatvorlageInstructionsTabelleText"/>
                <w:rFonts w:ascii="Times New Roman" w:hAnsi="Times New Roman"/>
                <w:b/>
                <w:sz w:val="24"/>
                <w:u w:val="single"/>
              </w:rPr>
            </w:pPr>
            <w:r w:rsidRPr="00D51A68">
              <w:rPr>
                <w:rStyle w:val="InstructionsTabelleberschrift"/>
                <w:rFonts w:ascii="Times New Roman" w:hAnsi="Times New Roman"/>
                <w:sz w:val="24"/>
              </w:rPr>
              <w:t>1.1.1.1.4.3</w:t>
            </w:r>
            <w:r w:rsidR="00A0772B" w:rsidRPr="00D51A68">
              <w:rPr>
                <w:u w:val="single"/>
              </w:rPr>
              <w:tab/>
            </w:r>
            <w:r w:rsidRPr="00D51A68">
              <w:rPr>
                <w:rStyle w:val="InstructionsTabelleberschrift"/>
                <w:rFonts w:ascii="Times New Roman" w:hAnsi="Times New Roman"/>
                <w:sz w:val="24"/>
              </w:rPr>
              <w:t>(-) Strumenti di capitale primario di classe 1 detenuti sinteticamente</w:t>
            </w:r>
          </w:p>
          <w:p w:rsidR="005643EA" w:rsidRPr="00D51A68" w:rsidRDefault="00805255" w:rsidP="00FC1A76">
            <w:pPr>
              <w:pStyle w:val="InstructionsText"/>
              <w:rPr>
                <w:rStyle w:val="InstructionsTabelleberschrift"/>
                <w:rFonts w:ascii="Times New Roman" w:hAnsi="Times New Roman"/>
                <w:b w:val="0"/>
                <w:sz w:val="24"/>
                <w:u w:val="none"/>
              </w:rPr>
            </w:pPr>
            <w:r w:rsidRPr="00D51A68">
              <w:rPr>
                <w:rStyle w:val="FormatvorlageInstructionsTabelleText"/>
                <w:rFonts w:ascii="Times New Roman" w:hAnsi="Times New Roman"/>
                <w:sz w:val="24"/>
              </w:rPr>
              <w:t>Articolo 4, paragrafo 1, punto 126, articolo 36, paragrafo 1, lettera f), e articolo 42 del CRR.</w:t>
            </w:r>
          </w:p>
        </w:tc>
      </w:tr>
      <w:tr w:rsidR="002648B0" w:rsidRPr="00D51A68" w:rsidTr="00672D2A">
        <w:tc>
          <w:tcPr>
            <w:tcW w:w="1129" w:type="dxa"/>
          </w:tcPr>
          <w:p w:rsidR="002648B0" w:rsidRPr="00D51A68" w:rsidRDefault="002648B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092</w:t>
            </w:r>
          </w:p>
        </w:tc>
        <w:tc>
          <w:tcPr>
            <w:tcW w:w="7620" w:type="dxa"/>
          </w:tcPr>
          <w:p w:rsidR="005643EA" w:rsidRPr="00D51A68" w:rsidRDefault="00666996"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1.1.1.1.5</w:t>
            </w:r>
            <w:r w:rsidR="00A0772B" w:rsidRPr="00D51A68">
              <w:rPr>
                <w:u w:val="single"/>
              </w:rPr>
              <w:tab/>
            </w:r>
            <w:r w:rsidRPr="00D51A68">
              <w:rPr>
                <w:rStyle w:val="InstructionsTabelleberschrift"/>
                <w:rFonts w:ascii="Times New Roman" w:hAnsi="Times New Roman"/>
                <w:sz w:val="24"/>
              </w:rPr>
              <w:t>(-) Obblighi effettivi o potenziali di acquistare strumenti propri di capitale primario di classe 1</w:t>
            </w:r>
          </w:p>
          <w:p w:rsidR="005643EA" w:rsidRPr="00D51A68" w:rsidRDefault="002648B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Articolo 36, paragrafo 1, lettera f), e articolo 42 del CRR.</w:t>
            </w:r>
          </w:p>
          <w:p w:rsidR="005643EA" w:rsidRPr="00D51A68" w:rsidRDefault="002648B0" w:rsidP="00FC1A76">
            <w:pPr>
              <w:pStyle w:val="InstructionsText"/>
              <w:rPr>
                <w:rStyle w:val="InstructionsTabelleberschrift"/>
                <w:rFonts w:ascii="Times New Roman" w:hAnsi="Times New Roman"/>
                <w:b w:val="0"/>
                <w:bCs w:val="0"/>
                <w:sz w:val="24"/>
                <w:u w:val="none"/>
              </w:rPr>
            </w:pPr>
            <w:r w:rsidRPr="00D51A68">
              <w:rPr>
                <w:rStyle w:val="InstructionsTabelleberschrift"/>
                <w:rFonts w:ascii="Times New Roman" w:hAnsi="Times New Roman"/>
                <w:b w:val="0"/>
                <w:sz w:val="24"/>
                <w:u w:val="none"/>
              </w:rPr>
              <w:t>Conformemente all</w:t>
            </w:r>
            <w:r w:rsidR="0009277C" w:rsidRPr="00D51A68">
              <w:rPr>
                <w:rStyle w:val="InstructionsTabelleberschrift"/>
                <w:rFonts w:ascii="Times New Roman" w:hAnsi="Times New Roman"/>
                <w:b w:val="0"/>
                <w:sz w:val="24"/>
                <w:u w:val="none"/>
              </w:rPr>
              <w:t>’</w:t>
            </w:r>
            <w:r w:rsidRPr="00D51A68">
              <w:rPr>
                <w:rStyle w:val="InstructionsTabelleberschrift"/>
                <w:rFonts w:ascii="Times New Roman" w:hAnsi="Times New Roman"/>
                <w:b w:val="0"/>
                <w:sz w:val="24"/>
                <w:u w:val="none"/>
              </w:rPr>
              <w:t>articolo 36, paragrafo 1, lettera f), del CRR</w:t>
            </w:r>
            <w:r w:rsidRPr="00D51A68">
              <w:t xml:space="preserve">, sono dedotti gli </w:t>
            </w:r>
            <w:r w:rsidR="0009277C" w:rsidRPr="00D51A68">
              <w:t>“</w:t>
            </w:r>
            <w:r w:rsidRPr="00D51A68">
              <w:t>strumenti propri del capitale primario di classe 1 che l</w:t>
            </w:r>
            <w:r w:rsidR="0009277C" w:rsidRPr="00D51A68">
              <w:t>’</w:t>
            </w:r>
            <w:r w:rsidRPr="00D51A68">
              <w:t>ente ha l</w:t>
            </w:r>
            <w:r w:rsidR="0009277C" w:rsidRPr="00D51A68">
              <w:t>’</w:t>
            </w:r>
            <w:r w:rsidRPr="00D51A68">
              <w:t>obbligo effettivo o potenziale di acquistare, in virtù di un obbligo contrattuale esistente</w:t>
            </w:r>
            <w:r w:rsidR="0009277C" w:rsidRPr="00D51A68">
              <w:t>”</w:t>
            </w:r>
            <w:r w:rsidRPr="00D51A68">
              <w:t>.</w:t>
            </w:r>
          </w:p>
        </w:tc>
      </w:tr>
      <w:tr w:rsidR="002648B0" w:rsidRPr="00D51A68" w:rsidTr="00672D2A">
        <w:tc>
          <w:tcPr>
            <w:tcW w:w="1129" w:type="dxa"/>
          </w:tcPr>
          <w:p w:rsidR="002648B0" w:rsidRPr="00D51A68" w:rsidRDefault="002648B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130</w:t>
            </w:r>
          </w:p>
        </w:tc>
        <w:tc>
          <w:tcPr>
            <w:tcW w:w="7620" w:type="dxa"/>
          </w:tcPr>
          <w:p w:rsidR="005643EA" w:rsidRPr="00D51A68" w:rsidRDefault="00666996" w:rsidP="00FC1A76">
            <w:pPr>
              <w:pStyle w:val="InstructionsText"/>
              <w:rPr>
                <w:rStyle w:val="FormatvorlageInstructionsTabelleText"/>
                <w:rFonts w:ascii="Times New Roman" w:hAnsi="Times New Roman"/>
                <w:b/>
                <w:sz w:val="24"/>
                <w:u w:val="single"/>
              </w:rPr>
            </w:pPr>
            <w:r w:rsidRPr="00D51A68">
              <w:rPr>
                <w:rStyle w:val="InstructionsTabelleberschrift"/>
                <w:rFonts w:ascii="Times New Roman" w:hAnsi="Times New Roman"/>
                <w:sz w:val="24"/>
              </w:rPr>
              <w:t>1.1.1.2</w:t>
            </w:r>
            <w:r w:rsidR="00A0772B" w:rsidRPr="00D51A68">
              <w:rPr>
                <w:u w:val="single"/>
              </w:rPr>
              <w:tab/>
            </w:r>
            <w:r w:rsidRPr="00D51A68">
              <w:rPr>
                <w:rStyle w:val="InstructionsTabelleberschrift"/>
                <w:rFonts w:ascii="Times New Roman" w:hAnsi="Times New Roman"/>
                <w:sz w:val="24"/>
              </w:rPr>
              <w:t>Utili non distribuiti</w:t>
            </w:r>
          </w:p>
          <w:p w:rsidR="005643EA" w:rsidRPr="00D51A68" w:rsidRDefault="002648B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Articolo 26, paragrafo 1, lettera c), e articolo 26, paragrafo 2, del CRR.</w:t>
            </w:r>
          </w:p>
          <w:p w:rsidR="005643EA" w:rsidRPr="00D51A68" w:rsidRDefault="002648B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Gli utili non distribuiti comprendono gli utili non distribuiti dell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anno precedente più gli utili di periodo o di fine esercizio ammissibili.</w:t>
            </w:r>
          </w:p>
        </w:tc>
      </w:tr>
      <w:tr w:rsidR="002648B0" w:rsidRPr="00D51A68" w:rsidTr="00672D2A">
        <w:tc>
          <w:tcPr>
            <w:tcW w:w="1129" w:type="dxa"/>
          </w:tcPr>
          <w:p w:rsidR="002648B0" w:rsidRPr="00D51A68" w:rsidRDefault="002648B0" w:rsidP="00065C25">
            <w:pPr>
              <w:pStyle w:val="InstructionsText"/>
              <w:keepNext/>
              <w:rPr>
                <w:rStyle w:val="FormatvorlageInstructionsTabelleText"/>
                <w:rFonts w:ascii="Times New Roman" w:hAnsi="Times New Roman"/>
                <w:sz w:val="24"/>
              </w:rPr>
            </w:pPr>
            <w:r w:rsidRPr="00D51A68">
              <w:rPr>
                <w:rStyle w:val="FormatvorlageInstructionsTabelleText"/>
                <w:rFonts w:ascii="Times New Roman" w:hAnsi="Times New Roman"/>
                <w:sz w:val="24"/>
              </w:rPr>
              <w:lastRenderedPageBreak/>
              <w:t>140</w:t>
            </w:r>
          </w:p>
        </w:tc>
        <w:tc>
          <w:tcPr>
            <w:tcW w:w="7620" w:type="dxa"/>
          </w:tcPr>
          <w:p w:rsidR="005643EA" w:rsidRPr="00D51A68" w:rsidRDefault="00666996" w:rsidP="00065C25">
            <w:pPr>
              <w:pStyle w:val="InstructionsText"/>
              <w:keepNext/>
              <w:rPr>
                <w:rStyle w:val="FormatvorlageInstructionsTabelleText"/>
                <w:rFonts w:ascii="Times New Roman" w:hAnsi="Times New Roman"/>
                <w:b/>
                <w:sz w:val="24"/>
                <w:u w:val="single"/>
              </w:rPr>
            </w:pPr>
            <w:r w:rsidRPr="00D51A68">
              <w:rPr>
                <w:rStyle w:val="InstructionsTabelleberschrift"/>
                <w:rFonts w:ascii="Times New Roman" w:hAnsi="Times New Roman"/>
                <w:sz w:val="24"/>
              </w:rPr>
              <w:t>1.1.1.2.1</w:t>
            </w:r>
            <w:r w:rsidR="00A0772B" w:rsidRPr="00D51A68">
              <w:rPr>
                <w:u w:val="single"/>
              </w:rPr>
              <w:tab/>
            </w:r>
            <w:r w:rsidRPr="00D51A68">
              <w:rPr>
                <w:rStyle w:val="InstructionsTabelleberschrift"/>
                <w:rFonts w:ascii="Times New Roman" w:hAnsi="Times New Roman"/>
                <w:sz w:val="24"/>
              </w:rPr>
              <w:t>Utili non distribuiti di anni precedenti</w:t>
            </w:r>
          </w:p>
          <w:p w:rsidR="005643EA" w:rsidRPr="00D51A68" w:rsidRDefault="002648B0" w:rsidP="00065C25">
            <w:pPr>
              <w:pStyle w:val="InstructionsText"/>
              <w:keepNext/>
              <w:rPr>
                <w:rStyle w:val="FormatvorlageInstructionsTabelleText"/>
                <w:rFonts w:ascii="Times New Roman" w:hAnsi="Times New Roman"/>
                <w:sz w:val="24"/>
              </w:rPr>
            </w:pPr>
            <w:r w:rsidRPr="00D51A68">
              <w:rPr>
                <w:rStyle w:val="FormatvorlageInstructionsTabelleText"/>
                <w:rFonts w:ascii="Times New Roman" w:hAnsi="Times New Roman"/>
                <w:sz w:val="24"/>
              </w:rPr>
              <w:t>Articolo 4, paragrafo 1, punto 123, e articolo 26, paragrafo 1, lettera c), del CRR.</w:t>
            </w:r>
          </w:p>
          <w:p w:rsidR="005643EA" w:rsidRPr="00D51A68" w:rsidRDefault="002648B0" w:rsidP="00065C25">
            <w:pPr>
              <w:pStyle w:val="InstructionsText"/>
              <w:keepNext/>
              <w:rPr>
                <w:rStyle w:val="FormatvorlageInstructionsTabelleText"/>
                <w:rFonts w:ascii="Times New Roman" w:hAnsi="Times New Roman"/>
                <w:sz w:val="24"/>
              </w:rPr>
            </w:pPr>
            <w:r w:rsidRPr="00D51A68">
              <w:rPr>
                <w:rStyle w:val="FormatvorlageInstructionsTabelleText"/>
                <w:rFonts w:ascii="Times New Roman" w:hAnsi="Times New Roman"/>
                <w:sz w:val="24"/>
              </w:rPr>
              <w:t>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 xml:space="preserve">articolo 4, paragrafo 1, punto 123, del CRR definisce gli utili non distribuiti come </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i profitti e le perdite portati a nuovo per destinazione del risultato finale di esercizio in virtù della disciplina contabile applicabile</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w:t>
            </w:r>
          </w:p>
        </w:tc>
      </w:tr>
      <w:tr w:rsidR="002648B0" w:rsidRPr="00D51A68" w:rsidTr="00672D2A">
        <w:tc>
          <w:tcPr>
            <w:tcW w:w="1129" w:type="dxa"/>
          </w:tcPr>
          <w:p w:rsidR="002648B0" w:rsidRPr="00D51A68" w:rsidRDefault="002648B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150</w:t>
            </w:r>
          </w:p>
        </w:tc>
        <w:tc>
          <w:tcPr>
            <w:tcW w:w="7620" w:type="dxa"/>
          </w:tcPr>
          <w:p w:rsidR="005643EA" w:rsidRPr="00D51A68" w:rsidRDefault="00666996" w:rsidP="00FC1A76">
            <w:pPr>
              <w:pStyle w:val="InstructionsText"/>
              <w:rPr>
                <w:rStyle w:val="FormatvorlageInstructionsTabelleText"/>
                <w:rFonts w:ascii="Times New Roman" w:hAnsi="Times New Roman"/>
                <w:b/>
                <w:sz w:val="24"/>
                <w:u w:val="single"/>
              </w:rPr>
            </w:pPr>
            <w:r w:rsidRPr="00D51A68">
              <w:rPr>
                <w:rStyle w:val="InstructionsTabelleberschrift"/>
                <w:rFonts w:ascii="Times New Roman" w:hAnsi="Times New Roman"/>
                <w:sz w:val="24"/>
              </w:rPr>
              <w:t>1.1.1.2.2</w:t>
            </w:r>
            <w:r w:rsidR="00A0772B" w:rsidRPr="00D51A68">
              <w:rPr>
                <w:u w:val="single"/>
              </w:rPr>
              <w:tab/>
            </w:r>
            <w:r w:rsidRPr="00D51A68">
              <w:rPr>
                <w:rStyle w:val="InstructionsTabelleberschrift"/>
                <w:rFonts w:ascii="Times New Roman" w:hAnsi="Times New Roman"/>
                <w:sz w:val="24"/>
              </w:rPr>
              <w:t>Utile o perdita ammissibile</w:t>
            </w:r>
          </w:p>
          <w:p w:rsidR="005643EA" w:rsidRPr="00D51A68" w:rsidRDefault="002648B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Articolo 4, paragrafo 1, punto 121, articolo 26, paragrafo 2, e articolo 36, paragrafo 1, lettera a), del CRR.</w:t>
            </w:r>
          </w:p>
          <w:p w:rsidR="005643EA" w:rsidRPr="00D51A68" w:rsidRDefault="002648B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articolo 26, paragrafo 2, del CRR autorizza 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inserimento degli utili di periodo o di fine esercizio a titolo di utile non distribuito, previo consenso dell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 xml:space="preserve">autorità competente e purché siano soddisfatte alcune condizioni. </w:t>
            </w:r>
          </w:p>
          <w:p w:rsidR="005643EA" w:rsidRPr="00D51A68" w:rsidRDefault="002648B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Le perdite sono invece dedotte dal capitale primario di classe 1 come previsto dall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articolo 36, paragrafo 1, lettera a), del CRR.</w:t>
            </w:r>
          </w:p>
        </w:tc>
      </w:tr>
      <w:tr w:rsidR="002648B0" w:rsidRPr="00D51A68" w:rsidTr="00672D2A">
        <w:tc>
          <w:tcPr>
            <w:tcW w:w="1129" w:type="dxa"/>
          </w:tcPr>
          <w:p w:rsidR="002648B0" w:rsidRPr="00D51A68" w:rsidRDefault="002648B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160</w:t>
            </w:r>
          </w:p>
        </w:tc>
        <w:tc>
          <w:tcPr>
            <w:tcW w:w="7620" w:type="dxa"/>
          </w:tcPr>
          <w:p w:rsidR="005643EA" w:rsidRPr="00D51A68" w:rsidRDefault="00666996" w:rsidP="00FC1A76">
            <w:pPr>
              <w:pStyle w:val="InstructionsText"/>
              <w:rPr>
                <w:rStyle w:val="FormatvorlageInstructionsTabelleText"/>
                <w:rFonts w:ascii="Times New Roman" w:hAnsi="Times New Roman"/>
                <w:b/>
                <w:sz w:val="24"/>
                <w:u w:val="single"/>
              </w:rPr>
            </w:pPr>
            <w:r w:rsidRPr="00D51A68">
              <w:rPr>
                <w:rStyle w:val="InstructionsTabelleberschrift"/>
                <w:rFonts w:ascii="Times New Roman" w:hAnsi="Times New Roman"/>
                <w:sz w:val="24"/>
              </w:rPr>
              <w:t>1.1.1.2.2.1</w:t>
            </w:r>
            <w:r w:rsidR="00A0772B" w:rsidRPr="00D51A68">
              <w:rPr>
                <w:u w:val="single"/>
              </w:rPr>
              <w:tab/>
            </w:r>
            <w:r w:rsidRPr="00D51A68">
              <w:rPr>
                <w:rStyle w:val="InstructionsTabelleberschrift"/>
                <w:rFonts w:ascii="Times New Roman" w:hAnsi="Times New Roman"/>
                <w:sz w:val="24"/>
              </w:rPr>
              <w:t>Utile o perdita attribuibile ai proprietari dell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impresa madre</w:t>
            </w:r>
          </w:p>
          <w:p w:rsidR="005643EA" w:rsidRPr="00D51A68" w:rsidRDefault="002648B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Articolo 26, paragrafo 2, e articolo 36, paragrafo 1, lettera a), del CRR.</w:t>
            </w:r>
          </w:p>
          <w:p w:rsidR="005643EA" w:rsidRPr="00D51A68" w:rsidRDefault="002648B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importo da segnalare è il profitto o la perdita rilevati nel conto economico.</w:t>
            </w:r>
          </w:p>
        </w:tc>
      </w:tr>
      <w:tr w:rsidR="002648B0" w:rsidRPr="00D51A68" w:rsidTr="00672D2A">
        <w:tc>
          <w:tcPr>
            <w:tcW w:w="1129" w:type="dxa"/>
          </w:tcPr>
          <w:p w:rsidR="002648B0" w:rsidRPr="00D51A68" w:rsidRDefault="002648B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170</w:t>
            </w:r>
          </w:p>
        </w:tc>
        <w:tc>
          <w:tcPr>
            <w:tcW w:w="7620" w:type="dxa"/>
          </w:tcPr>
          <w:p w:rsidR="005643EA" w:rsidRPr="00D51A68" w:rsidRDefault="00666996"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1.1.1.2.2.2</w:t>
            </w:r>
            <w:r w:rsidR="00A0772B" w:rsidRPr="00D51A68">
              <w:rPr>
                <w:u w:val="single"/>
              </w:rPr>
              <w:tab/>
            </w:r>
            <w:r w:rsidRPr="00D51A68">
              <w:rPr>
                <w:rStyle w:val="InstructionsTabelleberschrift"/>
                <w:rFonts w:ascii="Times New Roman" w:hAnsi="Times New Roman"/>
                <w:sz w:val="24"/>
              </w:rPr>
              <w:t>(-) Parte degli utili di periodo o di fine esercizio non ammissibile</w:t>
            </w:r>
          </w:p>
          <w:p w:rsidR="005643EA" w:rsidRPr="00D51A68" w:rsidRDefault="002648B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Articolo 26, paragrafo 2, del CRR.</w:t>
            </w:r>
          </w:p>
          <w:p w:rsidR="005643EA" w:rsidRPr="00D51A68" w:rsidRDefault="002648B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Questa riga non contiene alcun importo se nel periodo di riferimento 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ente ha registrato perdite, perché le perdite sono dedotte integralmente dal capitale primario di classe 1.</w:t>
            </w:r>
          </w:p>
          <w:p w:rsidR="005643EA" w:rsidRPr="00D51A68" w:rsidRDefault="002648B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Se 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ente ha registrato utili, si segnala la parte non ammissibile conformemente all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articolo 26, paragrafo 2, del CRR (ossia gli utili non verificati mediante revisione contabile e gli oneri e dividendi prevedibili).</w:t>
            </w:r>
          </w:p>
          <w:p w:rsidR="005643EA" w:rsidRPr="00D51A68" w:rsidRDefault="002648B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Va rilevato che, in caso di utili, deve essere dedotto quanto meno 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importo dei dividendi di periodo.</w:t>
            </w:r>
          </w:p>
        </w:tc>
      </w:tr>
      <w:tr w:rsidR="002648B0" w:rsidRPr="00D51A68" w:rsidTr="00672D2A">
        <w:tc>
          <w:tcPr>
            <w:tcW w:w="1129" w:type="dxa"/>
          </w:tcPr>
          <w:p w:rsidR="002648B0" w:rsidRPr="00D51A68" w:rsidRDefault="002648B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180</w:t>
            </w:r>
          </w:p>
        </w:tc>
        <w:tc>
          <w:tcPr>
            <w:tcW w:w="7620" w:type="dxa"/>
          </w:tcPr>
          <w:p w:rsidR="005643EA" w:rsidRPr="00D51A68" w:rsidRDefault="00666996" w:rsidP="00FC1A76">
            <w:pPr>
              <w:pStyle w:val="InstructionsText"/>
              <w:rPr>
                <w:rStyle w:val="FormatvorlageInstructionsTabelleText"/>
                <w:rFonts w:ascii="Times New Roman" w:hAnsi="Times New Roman"/>
                <w:b/>
                <w:sz w:val="24"/>
                <w:u w:val="single"/>
              </w:rPr>
            </w:pPr>
            <w:r w:rsidRPr="00D51A68">
              <w:rPr>
                <w:rStyle w:val="InstructionsTabelleberschrift"/>
                <w:rFonts w:ascii="Times New Roman" w:hAnsi="Times New Roman"/>
                <w:sz w:val="24"/>
              </w:rPr>
              <w:t>1.1.1.3</w:t>
            </w:r>
            <w:r w:rsidR="00A0772B" w:rsidRPr="00D51A68">
              <w:rPr>
                <w:u w:val="single"/>
              </w:rPr>
              <w:tab/>
            </w:r>
            <w:r w:rsidRPr="00D51A68">
              <w:rPr>
                <w:rStyle w:val="InstructionsTabelleberschrift"/>
                <w:rFonts w:ascii="Times New Roman" w:hAnsi="Times New Roman"/>
                <w:sz w:val="24"/>
              </w:rPr>
              <w:t>Altre componenti di conto economico complessivo accumulate</w:t>
            </w:r>
          </w:p>
          <w:p w:rsidR="005643EA" w:rsidRPr="00D51A68" w:rsidRDefault="002648B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Articolo 4, paragrafo 1, punto 100, e articolo 26, paragrafo 1, lettera d), del CRR.</w:t>
            </w:r>
          </w:p>
          <w:p w:rsidR="005643EA" w:rsidRPr="00D51A68" w:rsidRDefault="002648B0" w:rsidP="00065C25">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importo va segnalato al netto di qualsiasi onere fiscale prevedibile al momento del calcolo e prima dell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applicazione dei filtri prudenziali. 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importo da segnalare è determinato conformemente all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articolo</w:t>
            </w:r>
            <w:r w:rsidR="00065C25" w:rsidRPr="00D51A68">
              <w:rPr>
                <w:rStyle w:val="FormatvorlageInstructionsTabelleText"/>
                <w:rFonts w:ascii="Times New Roman" w:hAnsi="Times New Roman"/>
                <w:sz w:val="24"/>
              </w:rPr>
              <w:t> </w:t>
            </w:r>
            <w:r w:rsidRPr="00D51A68">
              <w:rPr>
                <w:rStyle w:val="FormatvorlageInstructionsTabelleText"/>
                <w:rFonts w:ascii="Times New Roman" w:hAnsi="Times New Roman"/>
                <w:sz w:val="24"/>
              </w:rPr>
              <w:t xml:space="preserve">13, paragrafo 4, del regolamento delegato (UE) n. 241/2014 della Commissione. </w:t>
            </w:r>
          </w:p>
        </w:tc>
      </w:tr>
      <w:tr w:rsidR="002648B0" w:rsidRPr="00D51A68" w:rsidTr="00672D2A">
        <w:tc>
          <w:tcPr>
            <w:tcW w:w="1129" w:type="dxa"/>
          </w:tcPr>
          <w:p w:rsidR="002648B0" w:rsidRPr="00D51A68" w:rsidRDefault="002648B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200</w:t>
            </w:r>
          </w:p>
        </w:tc>
        <w:tc>
          <w:tcPr>
            <w:tcW w:w="7620" w:type="dxa"/>
          </w:tcPr>
          <w:p w:rsidR="005643EA" w:rsidRPr="00D51A68" w:rsidRDefault="00666996" w:rsidP="00FC1A76">
            <w:pPr>
              <w:pStyle w:val="InstructionsText"/>
              <w:rPr>
                <w:rStyle w:val="FormatvorlageInstructionsTabelleText"/>
                <w:rFonts w:ascii="Times New Roman" w:hAnsi="Times New Roman"/>
                <w:b/>
                <w:sz w:val="24"/>
                <w:u w:val="single"/>
              </w:rPr>
            </w:pPr>
            <w:r w:rsidRPr="00D51A68">
              <w:rPr>
                <w:rStyle w:val="InstructionsTabelleberschrift"/>
                <w:rFonts w:ascii="Times New Roman" w:hAnsi="Times New Roman"/>
                <w:sz w:val="24"/>
              </w:rPr>
              <w:t>1.1.1.4</w:t>
            </w:r>
            <w:r w:rsidR="00A0772B" w:rsidRPr="00D51A68">
              <w:rPr>
                <w:u w:val="single"/>
              </w:rPr>
              <w:tab/>
            </w:r>
            <w:r w:rsidRPr="00D51A68">
              <w:rPr>
                <w:rStyle w:val="InstructionsTabelleberschrift"/>
                <w:rFonts w:ascii="Times New Roman" w:hAnsi="Times New Roman"/>
                <w:sz w:val="24"/>
              </w:rPr>
              <w:t>Altre riserve</w:t>
            </w:r>
          </w:p>
          <w:p w:rsidR="005643EA" w:rsidRPr="00D51A68" w:rsidRDefault="002648B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Articolo 4, paragrafo 1, punto 117, e articolo 26, paragrafo 1, lettera e), del CRR.</w:t>
            </w:r>
          </w:p>
          <w:p w:rsidR="005643EA" w:rsidRPr="00D51A68" w:rsidRDefault="002648B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 xml:space="preserve">Il CRR definisce le altre riserve come </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 xml:space="preserve">riserve ai sensi della disciplina contabile applicabile, che devono essere rese pubbliche in virtù del principio </w:t>
            </w:r>
            <w:r w:rsidRPr="00D51A68">
              <w:rPr>
                <w:rStyle w:val="FormatvorlageInstructionsTabelleText"/>
                <w:rFonts w:ascii="Times New Roman" w:hAnsi="Times New Roman"/>
                <w:sz w:val="24"/>
              </w:rPr>
              <w:lastRenderedPageBreak/>
              <w:t>contabile applicabile, esclusi gli importi già compresi nelle altre componenti di conto economico complessivo accumulate (accumulated other comprehensive income) o negli utili non distribuiti</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w:t>
            </w:r>
          </w:p>
          <w:p w:rsidR="005643EA" w:rsidRPr="00D51A68" w:rsidRDefault="002648B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importo va segnalato al netto di qualsiasi onere fiscale prevedibile al momento del calcolo.</w:t>
            </w:r>
          </w:p>
        </w:tc>
      </w:tr>
      <w:tr w:rsidR="002648B0" w:rsidRPr="00D51A68" w:rsidTr="00672D2A">
        <w:tc>
          <w:tcPr>
            <w:tcW w:w="1129" w:type="dxa"/>
          </w:tcPr>
          <w:p w:rsidR="002648B0" w:rsidRPr="00D51A68" w:rsidRDefault="002648B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lastRenderedPageBreak/>
              <w:t>210</w:t>
            </w:r>
          </w:p>
        </w:tc>
        <w:tc>
          <w:tcPr>
            <w:tcW w:w="7620" w:type="dxa"/>
          </w:tcPr>
          <w:p w:rsidR="005643EA" w:rsidRPr="00D51A68" w:rsidRDefault="00666996" w:rsidP="00FC1A76">
            <w:pPr>
              <w:pStyle w:val="InstructionsText"/>
              <w:rPr>
                <w:rStyle w:val="FormatvorlageInstructionsTabelleText"/>
                <w:rFonts w:ascii="Times New Roman" w:hAnsi="Times New Roman"/>
                <w:b/>
                <w:sz w:val="24"/>
                <w:u w:val="single"/>
              </w:rPr>
            </w:pPr>
            <w:r w:rsidRPr="00D51A68">
              <w:rPr>
                <w:rStyle w:val="InstructionsTabelleberschrift"/>
                <w:rFonts w:ascii="Times New Roman" w:hAnsi="Times New Roman"/>
                <w:sz w:val="24"/>
              </w:rPr>
              <w:t>1.1.1.5</w:t>
            </w:r>
            <w:r w:rsidR="00A0772B" w:rsidRPr="00D51A68">
              <w:rPr>
                <w:u w:val="single"/>
              </w:rPr>
              <w:tab/>
            </w:r>
            <w:r w:rsidRPr="00D51A68">
              <w:rPr>
                <w:rStyle w:val="InstructionsTabelleberschrift"/>
                <w:rFonts w:ascii="Times New Roman" w:hAnsi="Times New Roman"/>
                <w:sz w:val="24"/>
              </w:rPr>
              <w:t>Fondi per rischi bancari generali</w:t>
            </w:r>
          </w:p>
          <w:p w:rsidR="005643EA" w:rsidRPr="00D51A68" w:rsidRDefault="002648B0" w:rsidP="00065C25">
            <w:pPr>
              <w:pStyle w:val="InstructionsText"/>
              <w:spacing w:after="60"/>
              <w:rPr>
                <w:rStyle w:val="FormatvorlageInstructionsTabelleText"/>
                <w:rFonts w:ascii="Times New Roman" w:hAnsi="Times New Roman"/>
                <w:sz w:val="24"/>
              </w:rPr>
            </w:pPr>
            <w:r w:rsidRPr="00D51A68">
              <w:rPr>
                <w:rStyle w:val="FormatvorlageInstructionsTabelleText"/>
                <w:rFonts w:ascii="Times New Roman" w:hAnsi="Times New Roman"/>
                <w:sz w:val="24"/>
              </w:rPr>
              <w:t>Articolo 4, paragrafo 1, punto 112, e articolo 26, paragrafo 1, lettera f), del CRR.</w:t>
            </w:r>
          </w:p>
          <w:p w:rsidR="005643EA" w:rsidRPr="00D51A68" w:rsidRDefault="002648B0" w:rsidP="00065C25">
            <w:pPr>
              <w:pStyle w:val="InstructionsText"/>
              <w:spacing w:after="60"/>
              <w:rPr>
                <w:rStyle w:val="FormatvorlageInstructionsTabelleText"/>
                <w:rFonts w:ascii="Times New Roman" w:hAnsi="Times New Roman"/>
                <w:sz w:val="24"/>
              </w:rPr>
            </w:pPr>
            <w:r w:rsidRPr="00D51A68">
              <w:rPr>
                <w:rStyle w:val="FormatvorlageInstructionsTabelleText"/>
                <w:rFonts w:ascii="Times New Roman" w:hAnsi="Times New Roman"/>
                <w:sz w:val="24"/>
              </w:rPr>
              <w:t>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 xml:space="preserve">articolo 38 della direttiva 86/635/CEE definisce i fondi per rischi bancari generali come gli </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importi che 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ente creditizio decide di destinare alla copertura di tali rischi, quando ciò sia necessario in considerazione della prudenza imposta dai rischi particolari inerenti alle operazioni bancarie</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w:t>
            </w:r>
          </w:p>
          <w:p w:rsidR="005643EA" w:rsidRPr="00D51A68" w:rsidRDefault="002648B0" w:rsidP="00065C25">
            <w:pPr>
              <w:pStyle w:val="InstructionsText"/>
              <w:spacing w:after="60"/>
              <w:rPr>
                <w:rStyle w:val="FormatvorlageInstructionsTabelleText"/>
                <w:rFonts w:ascii="Times New Roman" w:hAnsi="Times New Roman"/>
                <w:sz w:val="24"/>
              </w:rPr>
            </w:pPr>
            <w:r w:rsidRPr="00D51A68">
              <w:rPr>
                <w:rStyle w:val="FormatvorlageInstructionsTabelleText"/>
                <w:rFonts w:ascii="Times New Roman" w:hAnsi="Times New Roman"/>
                <w:sz w:val="24"/>
              </w:rPr>
              <w:t>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importo va segnalato al netto di qualsiasi onere fiscale prevedibile al momento del calcolo.</w:t>
            </w:r>
          </w:p>
        </w:tc>
      </w:tr>
      <w:tr w:rsidR="002648B0" w:rsidRPr="00D51A68" w:rsidTr="00672D2A">
        <w:tc>
          <w:tcPr>
            <w:tcW w:w="1129" w:type="dxa"/>
          </w:tcPr>
          <w:p w:rsidR="002648B0" w:rsidRPr="00D51A68" w:rsidRDefault="002648B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220</w:t>
            </w:r>
          </w:p>
        </w:tc>
        <w:tc>
          <w:tcPr>
            <w:tcW w:w="7620" w:type="dxa"/>
          </w:tcPr>
          <w:p w:rsidR="005643EA" w:rsidRPr="00D51A68" w:rsidRDefault="00666996" w:rsidP="00FC1A76">
            <w:pPr>
              <w:pStyle w:val="InstructionsText"/>
              <w:rPr>
                <w:rStyle w:val="FormatvorlageInstructionsTabelleText"/>
                <w:rFonts w:ascii="Times New Roman" w:hAnsi="Times New Roman"/>
                <w:b/>
                <w:sz w:val="24"/>
                <w:u w:val="single"/>
              </w:rPr>
            </w:pPr>
            <w:r w:rsidRPr="00D51A68">
              <w:rPr>
                <w:rStyle w:val="InstructionsTabelleberschrift"/>
                <w:rFonts w:ascii="Times New Roman" w:hAnsi="Times New Roman"/>
                <w:sz w:val="24"/>
              </w:rPr>
              <w:t>1.1.1.6</w:t>
            </w:r>
            <w:r w:rsidR="00A0772B" w:rsidRPr="00D51A68">
              <w:rPr>
                <w:u w:val="single"/>
              </w:rPr>
              <w:tab/>
            </w:r>
            <w:r w:rsidRPr="00D51A68">
              <w:rPr>
                <w:rStyle w:val="InstructionsTabelleberschrift"/>
                <w:rFonts w:ascii="Times New Roman" w:hAnsi="Times New Roman"/>
                <w:sz w:val="24"/>
              </w:rPr>
              <w:t>Aggiustamenti transitori dovuti a strumenti di capitale primario di classe 1 soggetti alla clausola grandfathering</w:t>
            </w:r>
          </w:p>
          <w:p w:rsidR="005643EA" w:rsidRPr="00D51A68" w:rsidRDefault="002648B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Articolo 483, paragrafi da 1 a 3, e articoli da 484 a 487 del CRR.</w:t>
            </w:r>
          </w:p>
          <w:p w:rsidR="005643EA" w:rsidRPr="00D51A68" w:rsidRDefault="002648B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Importo degli strumenti di capitale assoggettati temporaneamente alla clausola grandfathering come capitale primario di classe 1. 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importo da segnalare si ricava direttamente dal modello CA5.</w:t>
            </w:r>
          </w:p>
        </w:tc>
      </w:tr>
      <w:tr w:rsidR="002648B0" w:rsidRPr="00D51A68" w:rsidTr="00672D2A">
        <w:tc>
          <w:tcPr>
            <w:tcW w:w="1129" w:type="dxa"/>
          </w:tcPr>
          <w:p w:rsidR="002648B0" w:rsidRPr="00D51A68" w:rsidRDefault="002648B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230</w:t>
            </w:r>
          </w:p>
        </w:tc>
        <w:tc>
          <w:tcPr>
            <w:tcW w:w="7620" w:type="dxa"/>
          </w:tcPr>
          <w:p w:rsidR="005643EA" w:rsidRPr="00D51A68" w:rsidRDefault="00666996" w:rsidP="00FC1A76">
            <w:pPr>
              <w:pStyle w:val="InstructionsText"/>
              <w:rPr>
                <w:rStyle w:val="FormatvorlageInstructionsTabelleText"/>
                <w:rFonts w:ascii="Times New Roman" w:hAnsi="Times New Roman"/>
                <w:b/>
                <w:sz w:val="24"/>
                <w:u w:val="single"/>
              </w:rPr>
            </w:pPr>
            <w:r w:rsidRPr="00D51A68">
              <w:rPr>
                <w:rStyle w:val="InstructionsTabelleberschrift"/>
                <w:rFonts w:ascii="Times New Roman" w:hAnsi="Times New Roman"/>
                <w:sz w:val="24"/>
              </w:rPr>
              <w:t>1.1.1.7</w:t>
            </w:r>
            <w:r w:rsidR="00A0772B" w:rsidRPr="00D51A68">
              <w:rPr>
                <w:u w:val="single"/>
              </w:rPr>
              <w:tab/>
            </w:r>
            <w:r w:rsidRPr="00D51A68">
              <w:rPr>
                <w:rStyle w:val="InstructionsTabelleberschrift"/>
                <w:rFonts w:ascii="Times New Roman" w:hAnsi="Times New Roman"/>
                <w:sz w:val="24"/>
              </w:rPr>
              <w:t xml:space="preserve">Interessi di minoranza riconosciuti </w:t>
            </w:r>
            <w:r w:rsidR="00065C25" w:rsidRPr="00D51A68">
              <w:rPr>
                <w:rStyle w:val="InstructionsTabelleberschrift"/>
                <w:rFonts w:ascii="Times New Roman" w:hAnsi="Times New Roman"/>
                <w:sz w:val="24"/>
              </w:rPr>
              <w:t>nel capitale primario di classe </w:t>
            </w:r>
            <w:r w:rsidRPr="00D51A68">
              <w:rPr>
                <w:rStyle w:val="InstructionsTabelleberschrift"/>
                <w:rFonts w:ascii="Times New Roman" w:hAnsi="Times New Roman"/>
                <w:sz w:val="24"/>
              </w:rPr>
              <w:t>1</w:t>
            </w:r>
          </w:p>
          <w:p w:rsidR="005643EA" w:rsidRPr="00D51A68" w:rsidRDefault="002648B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Articolo 4, paragrafo 1, punto 120, e articolo 84 del CRR.</w:t>
            </w:r>
          </w:p>
          <w:p w:rsidR="005643EA" w:rsidRPr="00D51A68" w:rsidRDefault="002648B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Somma di tutti gli importi degli interessi di minoranza delle filiazioni compresi nel capitale primario di classe 1 consolidato.</w:t>
            </w:r>
          </w:p>
        </w:tc>
      </w:tr>
      <w:tr w:rsidR="002648B0" w:rsidRPr="00D51A68" w:rsidTr="00672D2A">
        <w:tc>
          <w:tcPr>
            <w:tcW w:w="1129" w:type="dxa"/>
          </w:tcPr>
          <w:p w:rsidR="002648B0" w:rsidRPr="00D51A68" w:rsidRDefault="002648B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240</w:t>
            </w:r>
          </w:p>
        </w:tc>
        <w:tc>
          <w:tcPr>
            <w:tcW w:w="7620" w:type="dxa"/>
          </w:tcPr>
          <w:p w:rsidR="005643EA" w:rsidRPr="00D51A68" w:rsidRDefault="002648B0" w:rsidP="00FC1A76">
            <w:pPr>
              <w:pStyle w:val="InstructionsText"/>
              <w:rPr>
                <w:rStyle w:val="FormatvorlageInstructionsTabelleText"/>
                <w:rFonts w:ascii="Times New Roman" w:hAnsi="Times New Roman"/>
                <w:b/>
                <w:sz w:val="24"/>
                <w:u w:val="single"/>
              </w:rPr>
            </w:pPr>
            <w:r w:rsidRPr="00D51A68">
              <w:rPr>
                <w:rStyle w:val="InstructionsTabelleberschrift"/>
                <w:rFonts w:ascii="Times New Roman" w:hAnsi="Times New Roman"/>
                <w:sz w:val="24"/>
              </w:rPr>
              <w:t>1.1.1.8</w:t>
            </w:r>
            <w:r w:rsidR="00A0772B" w:rsidRPr="00D51A68">
              <w:rPr>
                <w:u w:val="single"/>
              </w:rPr>
              <w:tab/>
            </w:r>
            <w:r w:rsidRPr="00D51A68">
              <w:rPr>
                <w:rStyle w:val="InstructionsTabelleberschrift"/>
                <w:rFonts w:ascii="Times New Roman" w:hAnsi="Times New Roman"/>
                <w:sz w:val="24"/>
              </w:rPr>
              <w:t>Aggiustamenti transitori dovuti ad altri interessi di minoranza</w:t>
            </w:r>
          </w:p>
          <w:p w:rsidR="005643EA" w:rsidRPr="00D51A68" w:rsidRDefault="002648B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Articoli 479 e 480 del CRR.</w:t>
            </w:r>
          </w:p>
          <w:p w:rsidR="005643EA" w:rsidRPr="00D51A68" w:rsidRDefault="002648B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Aggiustamenti degli interessi di minoranza dovuti a disposizioni transitorie. Questa voce si ricava direttamente dal modello CA5.</w:t>
            </w:r>
          </w:p>
        </w:tc>
      </w:tr>
      <w:tr w:rsidR="002648B0" w:rsidRPr="00D51A68" w:rsidTr="00672D2A">
        <w:tc>
          <w:tcPr>
            <w:tcW w:w="1129" w:type="dxa"/>
          </w:tcPr>
          <w:p w:rsidR="002648B0" w:rsidRPr="00D51A68" w:rsidRDefault="002648B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250</w:t>
            </w:r>
          </w:p>
        </w:tc>
        <w:tc>
          <w:tcPr>
            <w:tcW w:w="7620" w:type="dxa"/>
          </w:tcPr>
          <w:p w:rsidR="005643EA" w:rsidRPr="00D51A68" w:rsidRDefault="002648B0" w:rsidP="00FC1A76">
            <w:pPr>
              <w:pStyle w:val="InstructionsText"/>
              <w:rPr>
                <w:rStyle w:val="FormatvorlageInstructionsTabelleText"/>
                <w:rFonts w:ascii="Times New Roman" w:hAnsi="Times New Roman"/>
                <w:b/>
                <w:sz w:val="24"/>
                <w:u w:val="single"/>
              </w:rPr>
            </w:pPr>
            <w:r w:rsidRPr="00D51A68">
              <w:rPr>
                <w:rStyle w:val="InstructionsTabelleberschrift"/>
                <w:rFonts w:ascii="Times New Roman" w:hAnsi="Times New Roman"/>
                <w:sz w:val="24"/>
              </w:rPr>
              <w:t>1.1.1.9</w:t>
            </w:r>
            <w:r w:rsidR="00A0772B" w:rsidRPr="00D51A68">
              <w:rPr>
                <w:u w:val="single"/>
              </w:rPr>
              <w:tab/>
            </w:r>
            <w:r w:rsidRPr="00D51A68">
              <w:rPr>
                <w:rStyle w:val="InstructionsTabelleberschrift"/>
                <w:rFonts w:ascii="Times New Roman" w:hAnsi="Times New Roman"/>
                <w:sz w:val="24"/>
              </w:rPr>
              <w:t>Aggiustamenti del capitale primario di classe 1 dovuti a filtri prudenziali</w:t>
            </w:r>
          </w:p>
          <w:p w:rsidR="005643EA" w:rsidRPr="00D51A68" w:rsidRDefault="002648B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 xml:space="preserve">Articoli da 32 a 35 del CRR. </w:t>
            </w:r>
          </w:p>
        </w:tc>
      </w:tr>
      <w:tr w:rsidR="002648B0" w:rsidRPr="00D51A68" w:rsidTr="00672D2A">
        <w:tc>
          <w:tcPr>
            <w:tcW w:w="1129" w:type="dxa"/>
          </w:tcPr>
          <w:p w:rsidR="002648B0" w:rsidRPr="00D51A68" w:rsidRDefault="002648B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260</w:t>
            </w:r>
          </w:p>
        </w:tc>
        <w:tc>
          <w:tcPr>
            <w:tcW w:w="7620" w:type="dxa"/>
          </w:tcPr>
          <w:p w:rsidR="005643EA" w:rsidRPr="00D51A68" w:rsidRDefault="002648B0" w:rsidP="00FC1A76">
            <w:pPr>
              <w:pStyle w:val="InstructionsText"/>
              <w:rPr>
                <w:rStyle w:val="FormatvorlageInstructionsTabelleText"/>
                <w:rFonts w:ascii="Times New Roman" w:hAnsi="Times New Roman"/>
                <w:b/>
                <w:sz w:val="24"/>
                <w:u w:val="single"/>
              </w:rPr>
            </w:pPr>
            <w:r w:rsidRPr="00D51A68">
              <w:rPr>
                <w:rStyle w:val="InstructionsTabelleberschrift"/>
                <w:rFonts w:ascii="Times New Roman" w:hAnsi="Times New Roman"/>
                <w:sz w:val="24"/>
              </w:rPr>
              <w:t>1.1.1.9.1</w:t>
            </w:r>
            <w:r w:rsidR="00A0772B" w:rsidRPr="00D51A68">
              <w:rPr>
                <w:rStyle w:val="InstructionsTabelleberschrift"/>
                <w:rFonts w:ascii="Times New Roman" w:hAnsi="Times New Roman"/>
                <w:sz w:val="24"/>
              </w:rPr>
              <w:tab/>
            </w:r>
            <w:r w:rsidRPr="00D51A68">
              <w:rPr>
                <w:rStyle w:val="InstructionsTabelleberschrift"/>
                <w:rFonts w:ascii="Times New Roman" w:hAnsi="Times New Roman"/>
                <w:sz w:val="24"/>
              </w:rPr>
              <w:t>(-) Aumenti del patrimonio netto risultanti da attività cartolarizzate</w:t>
            </w:r>
          </w:p>
          <w:p w:rsidR="005643EA" w:rsidRPr="00D51A68" w:rsidRDefault="002648B0" w:rsidP="00065C25">
            <w:pPr>
              <w:pStyle w:val="InstructionsText"/>
              <w:spacing w:after="60"/>
              <w:rPr>
                <w:rStyle w:val="FormatvorlageInstructionsTabelleText"/>
                <w:rFonts w:ascii="Times New Roman" w:hAnsi="Times New Roman"/>
                <w:sz w:val="24"/>
              </w:rPr>
            </w:pPr>
            <w:r w:rsidRPr="00D51A68">
              <w:rPr>
                <w:rStyle w:val="FormatvorlageInstructionsTabelleText"/>
                <w:rFonts w:ascii="Times New Roman" w:hAnsi="Times New Roman"/>
                <w:sz w:val="24"/>
              </w:rPr>
              <w:t>Articolo 32, paragrafo 1, del CRR.</w:t>
            </w:r>
          </w:p>
          <w:p w:rsidR="005643EA" w:rsidRPr="00D51A68" w:rsidRDefault="002648B0" w:rsidP="00065C25">
            <w:pPr>
              <w:pStyle w:val="InstructionsText"/>
              <w:spacing w:after="60"/>
              <w:rPr>
                <w:rStyle w:val="FormatvorlageInstructionsTabelleText"/>
                <w:rFonts w:ascii="Times New Roman" w:hAnsi="Times New Roman"/>
                <w:sz w:val="24"/>
              </w:rPr>
            </w:pPr>
            <w:r w:rsidRPr="00D51A68">
              <w:rPr>
                <w:rStyle w:val="FormatvorlageInstructionsTabelleText"/>
                <w:rFonts w:ascii="Times New Roman" w:hAnsi="Times New Roman"/>
                <w:sz w:val="24"/>
              </w:rPr>
              <w:t>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importo da segnalare è 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aumento del patrimonio netto dell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ente risultante da attività cartolarizzate, conformemente al principio contabile applicabile.</w:t>
            </w:r>
          </w:p>
          <w:p w:rsidR="005643EA" w:rsidRPr="00D51A68" w:rsidRDefault="002648B0" w:rsidP="00065C25">
            <w:pPr>
              <w:pStyle w:val="InstructionsText"/>
              <w:spacing w:after="60"/>
              <w:rPr>
                <w:rStyle w:val="FormatvorlageInstructionsTabelleText"/>
                <w:rFonts w:ascii="Times New Roman" w:hAnsi="Times New Roman"/>
                <w:sz w:val="24"/>
              </w:rPr>
            </w:pPr>
            <w:r w:rsidRPr="00D51A68">
              <w:rPr>
                <w:rStyle w:val="FormatvorlageInstructionsTabelleText"/>
                <w:rFonts w:ascii="Times New Roman" w:hAnsi="Times New Roman"/>
                <w:sz w:val="24"/>
              </w:rPr>
              <w:t>Questa voce comprende, ad esempio, il reddito futuro atteso che si traduce in una plusvalenza per 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ente oppure, nel caso dei cedenti, i profitti netti derivanti dalla capitalizzazione dei redditi futuri delle attività cartolarizzate che costituiscono il supporto di credito per le posizioni della cartolarizzazione.</w:t>
            </w:r>
          </w:p>
        </w:tc>
      </w:tr>
      <w:tr w:rsidR="002648B0" w:rsidRPr="00D51A68" w:rsidTr="00672D2A">
        <w:tc>
          <w:tcPr>
            <w:tcW w:w="1129" w:type="dxa"/>
          </w:tcPr>
          <w:p w:rsidR="002648B0" w:rsidRPr="00D51A68" w:rsidRDefault="002648B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lastRenderedPageBreak/>
              <w:t>270</w:t>
            </w:r>
          </w:p>
        </w:tc>
        <w:tc>
          <w:tcPr>
            <w:tcW w:w="7620" w:type="dxa"/>
          </w:tcPr>
          <w:p w:rsidR="005643EA" w:rsidRPr="00D51A68" w:rsidRDefault="002648B0"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1.1.1.9.2</w:t>
            </w:r>
            <w:r w:rsidR="00A0772B" w:rsidRPr="00D51A68">
              <w:rPr>
                <w:u w:val="single"/>
              </w:rPr>
              <w:tab/>
            </w:r>
            <w:r w:rsidRPr="00D51A68">
              <w:rPr>
                <w:rStyle w:val="InstructionsTabelleberschrift"/>
                <w:rFonts w:ascii="Times New Roman" w:hAnsi="Times New Roman"/>
                <w:sz w:val="24"/>
              </w:rPr>
              <w:t>Riserva di copertura dei flussi di cassa</w:t>
            </w:r>
          </w:p>
          <w:p w:rsidR="005643EA" w:rsidRPr="00D51A68" w:rsidRDefault="002648B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Articolo 33, paragrafo 1, lettera a), del CRR.</w:t>
            </w:r>
          </w:p>
          <w:p w:rsidR="005643EA" w:rsidRPr="00D51A68" w:rsidRDefault="002648B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importo da segnalare può essere positivo o negativo. È positivo se le coperture dei flussi di cassa si traducono in una perdita (cioè se riducono il capitale contabile) e viceversa. 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importo è pertanto di segno opposto a quello indicato nei documenti contabili.</w:t>
            </w:r>
          </w:p>
          <w:p w:rsidR="005643EA" w:rsidRPr="00D51A68" w:rsidRDefault="002648B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importo va segnalato al netto di qualsiasi onere fiscale prevedibile al momento del calcolo.</w:t>
            </w:r>
          </w:p>
        </w:tc>
      </w:tr>
      <w:tr w:rsidR="002648B0" w:rsidRPr="00D51A68" w:rsidTr="00672D2A">
        <w:tc>
          <w:tcPr>
            <w:tcW w:w="1129" w:type="dxa"/>
          </w:tcPr>
          <w:p w:rsidR="002648B0" w:rsidRPr="00D51A68" w:rsidRDefault="002648B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280</w:t>
            </w:r>
          </w:p>
        </w:tc>
        <w:tc>
          <w:tcPr>
            <w:tcW w:w="7620" w:type="dxa"/>
          </w:tcPr>
          <w:p w:rsidR="005643EA" w:rsidRPr="00D51A68" w:rsidRDefault="002648B0" w:rsidP="00FC1A76">
            <w:pPr>
              <w:pStyle w:val="InstructionsText"/>
              <w:rPr>
                <w:rStyle w:val="FormatvorlageInstructionsTabelleText"/>
                <w:rFonts w:ascii="Times New Roman" w:hAnsi="Times New Roman"/>
                <w:b/>
                <w:sz w:val="24"/>
                <w:u w:val="single"/>
              </w:rPr>
            </w:pPr>
            <w:r w:rsidRPr="00D51A68">
              <w:rPr>
                <w:rStyle w:val="InstructionsTabelleberschrift"/>
                <w:rFonts w:ascii="Times New Roman" w:hAnsi="Times New Roman"/>
                <w:sz w:val="24"/>
              </w:rPr>
              <w:t>1.1.1.9.3</w:t>
            </w:r>
            <w:r w:rsidR="00A0772B" w:rsidRPr="00D51A68">
              <w:rPr>
                <w:u w:val="single"/>
              </w:rPr>
              <w:tab/>
            </w:r>
            <w:r w:rsidRPr="00D51A68">
              <w:rPr>
                <w:rStyle w:val="InstructionsTabelleberschrift"/>
                <w:rFonts w:ascii="Times New Roman" w:hAnsi="Times New Roman"/>
                <w:sz w:val="24"/>
              </w:rPr>
              <w:t>Profitti e perdite cumulativi dovuti a variazioni del rischio di credito proprio sulle passività al valore equo</w:t>
            </w:r>
          </w:p>
          <w:p w:rsidR="005643EA" w:rsidRPr="00D51A68" w:rsidRDefault="002648B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Articolo 33, paragrafo 1, lettera b), del CRR.</w:t>
            </w:r>
          </w:p>
          <w:p w:rsidR="005643EA" w:rsidRPr="00D51A68" w:rsidRDefault="002648B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importo da segnalare può essere positivo o negativo. È positivo in caso di perdita dovuta a variazioni del rischio di credito proprio (cioè se la perdita riduce il capitale contabile) e viceversa. 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importo è pertanto di segno opposto a quello indicato nei documenti contabili.</w:t>
            </w:r>
          </w:p>
          <w:p w:rsidR="005643EA" w:rsidRPr="00D51A68" w:rsidRDefault="002648B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In questa voce non sono inseriti gli utili non verificati mediante revisione contabile.</w:t>
            </w:r>
          </w:p>
        </w:tc>
      </w:tr>
      <w:tr w:rsidR="00666996" w:rsidRPr="00D51A68" w:rsidTr="00672D2A">
        <w:tc>
          <w:tcPr>
            <w:tcW w:w="1129" w:type="dxa"/>
          </w:tcPr>
          <w:p w:rsidR="00666996" w:rsidRPr="00D51A68" w:rsidRDefault="00666996"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285</w:t>
            </w:r>
          </w:p>
        </w:tc>
        <w:tc>
          <w:tcPr>
            <w:tcW w:w="7620" w:type="dxa"/>
          </w:tcPr>
          <w:p w:rsidR="005643EA" w:rsidRPr="00D51A68" w:rsidRDefault="00855D5F" w:rsidP="00FC1A76">
            <w:pPr>
              <w:pStyle w:val="InstructionsText"/>
              <w:rPr>
                <w:rStyle w:val="FormatvorlageInstructionsTabelleText"/>
                <w:rFonts w:ascii="Times New Roman" w:hAnsi="Times New Roman"/>
                <w:b/>
                <w:sz w:val="24"/>
                <w:u w:val="single"/>
              </w:rPr>
            </w:pPr>
            <w:r w:rsidRPr="00D51A68">
              <w:rPr>
                <w:rStyle w:val="InstructionsTabelleberschrift"/>
                <w:rFonts w:ascii="Times New Roman" w:hAnsi="Times New Roman"/>
                <w:sz w:val="24"/>
              </w:rPr>
              <w:t>1.1.1.9.4</w:t>
            </w:r>
            <w:r w:rsidR="00A0772B" w:rsidRPr="00D51A68">
              <w:rPr>
                <w:u w:val="single"/>
              </w:rPr>
              <w:tab/>
            </w:r>
            <w:r w:rsidRPr="00D51A68">
              <w:rPr>
                <w:rStyle w:val="InstructionsTabelleberschrift"/>
                <w:rFonts w:ascii="Times New Roman" w:hAnsi="Times New Roman"/>
                <w:sz w:val="24"/>
              </w:rPr>
              <w:t>Profitti e perdite di valore equo derivanti dal rischio di credito proprio dell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ente correlato a derivati passivi</w:t>
            </w:r>
          </w:p>
          <w:p w:rsidR="005643EA" w:rsidRPr="00D51A68" w:rsidRDefault="00855D5F"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Articolo 33, paragrafo 1, lettera c), e articolo 33, paragrafo 2, del CRR.</w:t>
            </w:r>
          </w:p>
          <w:p w:rsidR="005643EA" w:rsidRPr="00D51A68" w:rsidRDefault="00666996"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importo da segnalare può essere positivo o negativo. È positivo in caso di perdita dovuta a variazioni del rischio di credito proprio e viceversa. 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importo è pertanto di segno opposto a quello indicato nei documenti contabili.</w:t>
            </w:r>
          </w:p>
          <w:p w:rsidR="005643EA" w:rsidRPr="00D51A68" w:rsidRDefault="00666996" w:rsidP="00FC1A76">
            <w:pPr>
              <w:pStyle w:val="InstructionsText"/>
              <w:rPr>
                <w:rStyle w:val="InstructionsTabelleberschrift"/>
                <w:rFonts w:ascii="Times New Roman" w:hAnsi="Times New Roman"/>
                <w:b w:val="0"/>
                <w:sz w:val="24"/>
                <w:u w:val="none"/>
              </w:rPr>
            </w:pPr>
            <w:r w:rsidRPr="00D51A68">
              <w:rPr>
                <w:rStyle w:val="FormatvorlageInstructionsTabelleText"/>
                <w:rFonts w:ascii="Times New Roman" w:hAnsi="Times New Roman"/>
                <w:sz w:val="24"/>
              </w:rPr>
              <w:t>In questa voce non sono inseriti gli utili non verificati mediante revisione contabile.</w:t>
            </w:r>
          </w:p>
        </w:tc>
      </w:tr>
      <w:tr w:rsidR="00666996" w:rsidRPr="00D51A68" w:rsidTr="00672D2A">
        <w:tc>
          <w:tcPr>
            <w:tcW w:w="1129" w:type="dxa"/>
          </w:tcPr>
          <w:p w:rsidR="00666996" w:rsidRPr="00D51A68" w:rsidRDefault="00666996"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290</w:t>
            </w:r>
          </w:p>
        </w:tc>
        <w:tc>
          <w:tcPr>
            <w:tcW w:w="7620" w:type="dxa"/>
          </w:tcPr>
          <w:p w:rsidR="005643EA" w:rsidRPr="00D51A68" w:rsidRDefault="00855D5F" w:rsidP="00FC1A76">
            <w:pPr>
              <w:pStyle w:val="InstructionsText"/>
              <w:rPr>
                <w:rStyle w:val="FormatvorlageInstructionsTabelleText"/>
                <w:rFonts w:ascii="Times New Roman" w:hAnsi="Times New Roman"/>
                <w:b/>
                <w:sz w:val="24"/>
                <w:u w:val="single"/>
              </w:rPr>
            </w:pPr>
            <w:r w:rsidRPr="00D51A68">
              <w:rPr>
                <w:rStyle w:val="InstructionsTabelleberschrift"/>
                <w:rFonts w:ascii="Times New Roman" w:hAnsi="Times New Roman"/>
                <w:sz w:val="24"/>
              </w:rPr>
              <w:t>1.1.1.9.5</w:t>
            </w:r>
            <w:r w:rsidR="00A0772B" w:rsidRPr="00D51A68">
              <w:rPr>
                <w:u w:val="single"/>
              </w:rPr>
              <w:tab/>
            </w:r>
            <w:r w:rsidRPr="00D51A68">
              <w:rPr>
                <w:rStyle w:val="InstructionsTabelleberschrift"/>
                <w:rFonts w:ascii="Times New Roman" w:hAnsi="Times New Roman"/>
                <w:sz w:val="24"/>
              </w:rPr>
              <w:t>(-) Rettifiche di valore dovute ai requisiti per la valutazione prudente</w:t>
            </w:r>
          </w:p>
          <w:p w:rsidR="005643EA" w:rsidRPr="00D51A68" w:rsidRDefault="00666996"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Articoli 34 e 105 del CRR.</w:t>
            </w:r>
          </w:p>
          <w:p w:rsidR="005643EA" w:rsidRPr="00D51A68" w:rsidRDefault="00666996"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Rettifiche del valore equo delle esposizioni interne o esterne al portafoglio di negoziazione, dovute all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applicazione di norme più rigorose per la valutazione prudente di cui all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articolo 105 del CRR.</w:t>
            </w:r>
          </w:p>
        </w:tc>
      </w:tr>
      <w:tr w:rsidR="00666996" w:rsidRPr="00D51A68" w:rsidTr="00672D2A">
        <w:tc>
          <w:tcPr>
            <w:tcW w:w="1129" w:type="dxa"/>
          </w:tcPr>
          <w:p w:rsidR="00666996" w:rsidRPr="00D51A68" w:rsidRDefault="00666996"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300</w:t>
            </w:r>
          </w:p>
        </w:tc>
        <w:tc>
          <w:tcPr>
            <w:tcW w:w="7620" w:type="dxa"/>
          </w:tcPr>
          <w:p w:rsidR="005643EA" w:rsidRPr="00D51A68" w:rsidRDefault="00855D5F" w:rsidP="00FC1A76">
            <w:pPr>
              <w:pStyle w:val="InstructionsText"/>
              <w:rPr>
                <w:rStyle w:val="FormatvorlageInstructionsTabelleText"/>
                <w:rFonts w:ascii="Times New Roman" w:hAnsi="Times New Roman"/>
                <w:b/>
                <w:sz w:val="24"/>
                <w:u w:val="single"/>
              </w:rPr>
            </w:pPr>
            <w:r w:rsidRPr="00D51A68">
              <w:rPr>
                <w:rStyle w:val="InstructionsTabelleberschrift"/>
                <w:rFonts w:ascii="Times New Roman" w:hAnsi="Times New Roman"/>
                <w:sz w:val="24"/>
              </w:rPr>
              <w:t>1.1.1.10</w:t>
            </w:r>
            <w:r w:rsidR="00A0772B" w:rsidRPr="00D51A68">
              <w:rPr>
                <w:u w:val="single"/>
              </w:rPr>
              <w:tab/>
            </w:r>
            <w:r w:rsidRPr="00D51A68">
              <w:rPr>
                <w:rStyle w:val="InstructionsTabelleberschrift"/>
                <w:rFonts w:ascii="Times New Roman" w:hAnsi="Times New Roman"/>
                <w:sz w:val="24"/>
              </w:rPr>
              <w:t>(-) Avviamento</w:t>
            </w:r>
          </w:p>
          <w:p w:rsidR="005643EA" w:rsidRPr="00D51A68" w:rsidRDefault="00666996"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Articolo 4, paragrafo 1, punto 113, articolo 36, paragrafo 1, lettera b), e articolo 37 del CRR.</w:t>
            </w:r>
          </w:p>
        </w:tc>
      </w:tr>
      <w:tr w:rsidR="00666996" w:rsidRPr="00D51A68" w:rsidTr="00672D2A">
        <w:tc>
          <w:tcPr>
            <w:tcW w:w="1129" w:type="dxa"/>
          </w:tcPr>
          <w:p w:rsidR="00666996" w:rsidRPr="00D51A68" w:rsidRDefault="00666996"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310</w:t>
            </w:r>
          </w:p>
        </w:tc>
        <w:tc>
          <w:tcPr>
            <w:tcW w:w="7620" w:type="dxa"/>
          </w:tcPr>
          <w:p w:rsidR="005643EA" w:rsidRPr="00D51A68" w:rsidRDefault="00855D5F" w:rsidP="00FC1A76">
            <w:pPr>
              <w:pStyle w:val="InstructionsText"/>
              <w:rPr>
                <w:rStyle w:val="FormatvorlageInstructionsTabelleText"/>
                <w:rFonts w:ascii="Times New Roman" w:hAnsi="Times New Roman"/>
                <w:b/>
                <w:sz w:val="24"/>
                <w:u w:val="single"/>
              </w:rPr>
            </w:pPr>
            <w:r w:rsidRPr="00D51A68">
              <w:rPr>
                <w:rStyle w:val="InstructionsTabelleberschrift"/>
                <w:rFonts w:ascii="Times New Roman" w:hAnsi="Times New Roman"/>
                <w:sz w:val="24"/>
              </w:rPr>
              <w:t>1.1.1.10.1</w:t>
            </w:r>
            <w:r w:rsidR="00A0772B" w:rsidRPr="00D51A68">
              <w:rPr>
                <w:u w:val="single"/>
              </w:rPr>
              <w:tab/>
            </w:r>
            <w:r w:rsidRPr="00D51A68">
              <w:rPr>
                <w:rStyle w:val="InstructionsTabelleberschrift"/>
                <w:rFonts w:ascii="Times New Roman" w:hAnsi="Times New Roman"/>
                <w:sz w:val="24"/>
              </w:rPr>
              <w:t>(-) Avviamento contabilizzato come attività immateriale</w:t>
            </w:r>
          </w:p>
          <w:p w:rsidR="005643EA" w:rsidRPr="00D51A68" w:rsidRDefault="00666996"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Articolo 4, paragrafo 1, punto 113, e articolo 36, paragrafo 1, lettera b), del CRR.</w:t>
            </w:r>
          </w:p>
          <w:p w:rsidR="005643EA" w:rsidRPr="00D51A68" w:rsidRDefault="0009277C"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w:t>
            </w:r>
            <w:r w:rsidR="00666996" w:rsidRPr="00D51A68">
              <w:rPr>
                <w:rStyle w:val="FormatvorlageInstructionsTabelleText"/>
                <w:rFonts w:ascii="Times New Roman" w:hAnsi="Times New Roman"/>
                <w:sz w:val="24"/>
              </w:rPr>
              <w:t>Avviamento</w:t>
            </w:r>
            <w:r w:rsidRPr="00D51A68">
              <w:rPr>
                <w:rStyle w:val="FormatvorlageInstructionsTabelleText"/>
                <w:rFonts w:ascii="Times New Roman" w:hAnsi="Times New Roman"/>
                <w:sz w:val="24"/>
              </w:rPr>
              <w:t>”</w:t>
            </w:r>
            <w:r w:rsidR="00666996" w:rsidRPr="00D51A68">
              <w:rPr>
                <w:rStyle w:val="FormatvorlageInstructionsTabelleText"/>
                <w:rFonts w:ascii="Times New Roman" w:hAnsi="Times New Roman"/>
                <w:sz w:val="24"/>
              </w:rPr>
              <w:t xml:space="preserve"> ha lo stesso significato di cui al principio contabile applicabile.</w:t>
            </w:r>
          </w:p>
          <w:p w:rsidR="005643EA" w:rsidRPr="00D51A68" w:rsidRDefault="00666996"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importo da segnalare in questa voce è quello rilevato in bilancio.</w:t>
            </w:r>
          </w:p>
        </w:tc>
      </w:tr>
      <w:tr w:rsidR="00666996" w:rsidRPr="00D51A68" w:rsidTr="00672D2A">
        <w:tc>
          <w:tcPr>
            <w:tcW w:w="1129" w:type="dxa"/>
          </w:tcPr>
          <w:p w:rsidR="00666996" w:rsidRPr="00D51A68" w:rsidRDefault="00666996"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lastRenderedPageBreak/>
              <w:t>320</w:t>
            </w:r>
          </w:p>
        </w:tc>
        <w:tc>
          <w:tcPr>
            <w:tcW w:w="7620" w:type="dxa"/>
          </w:tcPr>
          <w:p w:rsidR="005643EA" w:rsidRPr="00D51A68" w:rsidRDefault="00855D5F"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1.1.1.10.2</w:t>
            </w:r>
            <w:r w:rsidR="00A0772B" w:rsidRPr="00D51A68">
              <w:rPr>
                <w:u w:val="single"/>
              </w:rPr>
              <w:tab/>
            </w:r>
            <w:r w:rsidRPr="00D51A68">
              <w:rPr>
                <w:rStyle w:val="InstructionsTabelleberschrift"/>
                <w:rFonts w:ascii="Times New Roman" w:hAnsi="Times New Roman"/>
                <w:sz w:val="24"/>
              </w:rPr>
              <w:t>(-) Avviamento incluso nella valutazione degli investimenti significativi</w:t>
            </w:r>
          </w:p>
          <w:p w:rsidR="005643EA" w:rsidRPr="00D51A68" w:rsidRDefault="00666996"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Articolo 37, lettera b), e articolo 43 del CRR.</w:t>
            </w:r>
          </w:p>
        </w:tc>
      </w:tr>
      <w:tr w:rsidR="00666996" w:rsidRPr="00D51A68" w:rsidTr="00672D2A">
        <w:tc>
          <w:tcPr>
            <w:tcW w:w="1129" w:type="dxa"/>
          </w:tcPr>
          <w:p w:rsidR="00666996" w:rsidRPr="00D51A68" w:rsidRDefault="00666996"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330</w:t>
            </w:r>
          </w:p>
        </w:tc>
        <w:tc>
          <w:tcPr>
            <w:tcW w:w="7620" w:type="dxa"/>
          </w:tcPr>
          <w:p w:rsidR="005643EA" w:rsidRPr="00D51A68" w:rsidRDefault="00AD70F1" w:rsidP="00FC1A76">
            <w:pPr>
              <w:pStyle w:val="InstructionsText"/>
              <w:rPr>
                <w:rStyle w:val="FormatvorlageInstructionsTabelleText"/>
                <w:rFonts w:ascii="Times New Roman" w:hAnsi="Times New Roman"/>
                <w:b/>
                <w:sz w:val="24"/>
                <w:u w:val="single"/>
              </w:rPr>
            </w:pPr>
            <w:r w:rsidRPr="00D51A68">
              <w:rPr>
                <w:rStyle w:val="InstructionsTabelleberschrift"/>
                <w:rFonts w:ascii="Times New Roman" w:hAnsi="Times New Roman"/>
                <w:sz w:val="24"/>
              </w:rPr>
              <w:t>1.1.1.10.3</w:t>
            </w:r>
            <w:r w:rsidR="00A0772B" w:rsidRPr="00D51A68">
              <w:rPr>
                <w:u w:val="single"/>
              </w:rPr>
              <w:tab/>
            </w:r>
            <w:r w:rsidRPr="00D51A68">
              <w:rPr>
                <w:rStyle w:val="InstructionsTabelleberschrift"/>
                <w:rFonts w:ascii="Times New Roman" w:hAnsi="Times New Roman"/>
                <w:sz w:val="24"/>
              </w:rPr>
              <w:t>Passività fiscali differite associate all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avviamento</w:t>
            </w:r>
          </w:p>
          <w:p w:rsidR="005643EA" w:rsidRPr="00D51A68" w:rsidRDefault="00666996"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Articolo 37, lettera a), del CRR.</w:t>
            </w:r>
          </w:p>
          <w:p w:rsidR="005643EA" w:rsidRPr="00D51A68" w:rsidRDefault="00666996"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Importo delle passività fiscali differite che si estinguerebbero se 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avviamento fosse deteriorato o eliminato contabilmente in base al principio contabile applicabile.</w:t>
            </w:r>
          </w:p>
        </w:tc>
      </w:tr>
      <w:tr w:rsidR="00666996" w:rsidRPr="00D51A68" w:rsidTr="00672D2A">
        <w:tc>
          <w:tcPr>
            <w:tcW w:w="1129" w:type="dxa"/>
          </w:tcPr>
          <w:p w:rsidR="00666996" w:rsidRPr="00D51A68" w:rsidRDefault="00666996" w:rsidP="00FC1A76">
            <w:pPr>
              <w:pStyle w:val="InstructionsText"/>
              <w:rPr>
                <w:rStyle w:val="FormatvorlageInstructionsTabelleText"/>
                <w:rFonts w:ascii="Times New Roman" w:hAnsi="Times New Roman"/>
                <w:sz w:val="24"/>
                <w:highlight w:val="yellow"/>
              </w:rPr>
            </w:pPr>
            <w:r w:rsidRPr="00D51A68">
              <w:rPr>
                <w:rStyle w:val="FormatvorlageInstructionsTabelleText"/>
                <w:rFonts w:ascii="Times New Roman" w:hAnsi="Times New Roman"/>
                <w:sz w:val="24"/>
              </w:rPr>
              <w:t>340</w:t>
            </w:r>
          </w:p>
        </w:tc>
        <w:tc>
          <w:tcPr>
            <w:tcW w:w="7620" w:type="dxa"/>
          </w:tcPr>
          <w:p w:rsidR="005643EA" w:rsidRPr="00D51A68" w:rsidRDefault="00AD70F1" w:rsidP="00FC1A76">
            <w:pPr>
              <w:pStyle w:val="InstructionsText"/>
              <w:rPr>
                <w:rStyle w:val="FormatvorlageInstructionsTabelleText"/>
                <w:rFonts w:ascii="Times New Roman" w:hAnsi="Times New Roman"/>
                <w:b/>
                <w:sz w:val="24"/>
                <w:u w:val="single"/>
              </w:rPr>
            </w:pPr>
            <w:r w:rsidRPr="00D51A68">
              <w:rPr>
                <w:rStyle w:val="InstructionsTabelleberschrift"/>
                <w:rFonts w:ascii="Times New Roman" w:hAnsi="Times New Roman"/>
                <w:sz w:val="24"/>
              </w:rPr>
              <w:t>1.1.1.11</w:t>
            </w:r>
            <w:r w:rsidR="00A0772B" w:rsidRPr="00D51A68">
              <w:rPr>
                <w:rStyle w:val="InstructionsTabelleberschrift"/>
                <w:rFonts w:ascii="Times New Roman" w:hAnsi="Times New Roman"/>
                <w:sz w:val="24"/>
              </w:rPr>
              <w:tab/>
            </w:r>
            <w:r w:rsidRPr="00D51A68">
              <w:rPr>
                <w:rStyle w:val="InstructionsTabelleberschrift"/>
                <w:rFonts w:ascii="Times New Roman" w:hAnsi="Times New Roman"/>
                <w:sz w:val="24"/>
              </w:rPr>
              <w:t>(-) Altre attività immateriali</w:t>
            </w:r>
          </w:p>
          <w:p w:rsidR="009339C1" w:rsidRPr="00D51A68" w:rsidRDefault="00666996"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Articolo 4, paragrafo 1, punto 115, articolo 36, paragrafo 1, lettera b), e articolo 37, lettera a), del CRR.</w:t>
            </w:r>
          </w:p>
          <w:p w:rsidR="005643EA" w:rsidRPr="00D51A68" w:rsidRDefault="009339C1"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Costituiscono altre attività immateriali le attività immateriali conformemente al principio contabile applicabile, meno 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avviamento, sempre conformemente al principio contabile applicabile.</w:t>
            </w:r>
          </w:p>
        </w:tc>
      </w:tr>
      <w:tr w:rsidR="00666996" w:rsidRPr="00D51A68" w:rsidTr="00672D2A">
        <w:tc>
          <w:tcPr>
            <w:tcW w:w="1129" w:type="dxa"/>
          </w:tcPr>
          <w:p w:rsidR="00666996" w:rsidRPr="00D51A68" w:rsidRDefault="00666996"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350</w:t>
            </w:r>
          </w:p>
        </w:tc>
        <w:tc>
          <w:tcPr>
            <w:tcW w:w="7620" w:type="dxa"/>
          </w:tcPr>
          <w:p w:rsidR="005643EA" w:rsidRPr="00D51A68" w:rsidRDefault="00AD70F1" w:rsidP="00FC1A76">
            <w:pPr>
              <w:pStyle w:val="InstructionsText"/>
              <w:rPr>
                <w:rStyle w:val="FormatvorlageInstructionsTabelleText"/>
                <w:rFonts w:ascii="Times New Roman" w:hAnsi="Times New Roman"/>
                <w:b/>
                <w:sz w:val="24"/>
                <w:u w:val="single"/>
              </w:rPr>
            </w:pPr>
            <w:r w:rsidRPr="00D51A68">
              <w:rPr>
                <w:rStyle w:val="InstructionsTabelleberschrift"/>
                <w:rFonts w:ascii="Times New Roman" w:hAnsi="Times New Roman"/>
                <w:sz w:val="24"/>
              </w:rPr>
              <w:t>1.1.1.11.1</w:t>
            </w:r>
            <w:r w:rsidR="00A0772B" w:rsidRPr="00D51A68">
              <w:rPr>
                <w:u w:val="single"/>
              </w:rPr>
              <w:tab/>
            </w:r>
            <w:r w:rsidRPr="00D51A68">
              <w:rPr>
                <w:rStyle w:val="InstructionsTabelleberschrift"/>
                <w:rFonts w:ascii="Times New Roman" w:hAnsi="Times New Roman"/>
                <w:sz w:val="24"/>
              </w:rPr>
              <w:t>(-) Altre attività immateriali prima della deduzione delle passività fiscali differite</w:t>
            </w:r>
          </w:p>
          <w:p w:rsidR="005643EA" w:rsidRPr="00D51A68" w:rsidRDefault="00666996"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Articolo 4, paragrafo 1, punto 115, e articolo 36, paragrafo 1, lettera b), del CRR.</w:t>
            </w:r>
          </w:p>
          <w:p w:rsidR="005643EA" w:rsidRPr="00D51A68" w:rsidRDefault="00666996"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Costituiscono altre attività immateriali le attività immateriali conformemente al principio contabile applicabile, meno 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avviamento, sempre conformemente al principio contabile applicabile.</w:t>
            </w:r>
          </w:p>
          <w:p w:rsidR="005643EA" w:rsidRPr="00D51A68" w:rsidRDefault="00666996"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importo da segnalare in questa voce corrisponde all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importo rilevato in bilancio per le attività immateriali diverse dall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avviamento.</w:t>
            </w:r>
          </w:p>
        </w:tc>
      </w:tr>
      <w:tr w:rsidR="00666996" w:rsidRPr="00D51A68" w:rsidTr="00672D2A">
        <w:tc>
          <w:tcPr>
            <w:tcW w:w="1129" w:type="dxa"/>
          </w:tcPr>
          <w:p w:rsidR="00666996" w:rsidRPr="00D51A68" w:rsidRDefault="00666996"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360</w:t>
            </w:r>
          </w:p>
        </w:tc>
        <w:tc>
          <w:tcPr>
            <w:tcW w:w="7620" w:type="dxa"/>
          </w:tcPr>
          <w:p w:rsidR="005643EA" w:rsidRPr="00D51A68" w:rsidRDefault="00AD70F1"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1.1.1.11.2</w:t>
            </w:r>
            <w:r w:rsidR="00A0772B" w:rsidRPr="00D51A68">
              <w:rPr>
                <w:u w:val="single"/>
              </w:rPr>
              <w:tab/>
            </w:r>
            <w:r w:rsidRPr="00D51A68">
              <w:rPr>
                <w:rStyle w:val="InstructionsTabelleberschrift"/>
                <w:rFonts w:ascii="Times New Roman" w:hAnsi="Times New Roman"/>
                <w:sz w:val="24"/>
              </w:rPr>
              <w:t>Passività fiscali differite associate ad altre attività immateriali</w:t>
            </w:r>
          </w:p>
          <w:p w:rsidR="005643EA" w:rsidRPr="00D51A68" w:rsidRDefault="00666996"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Articolo 37, lettera a), del CRR.</w:t>
            </w:r>
          </w:p>
          <w:p w:rsidR="005643EA" w:rsidRPr="00D51A68" w:rsidRDefault="00666996"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Importo delle passività fiscali differite che si estinguerebbero se le attività immateriali diverse dall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avviamento fossero deteriorate o eliminate contabilmente ai sensi del principio contabile applicabile.</w:t>
            </w:r>
          </w:p>
        </w:tc>
      </w:tr>
      <w:tr w:rsidR="00666996" w:rsidRPr="00D51A68" w:rsidTr="00672D2A">
        <w:tc>
          <w:tcPr>
            <w:tcW w:w="1129" w:type="dxa"/>
          </w:tcPr>
          <w:p w:rsidR="00666996" w:rsidRPr="00D51A68" w:rsidRDefault="00666996"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370</w:t>
            </w:r>
          </w:p>
        </w:tc>
        <w:tc>
          <w:tcPr>
            <w:tcW w:w="7620" w:type="dxa"/>
          </w:tcPr>
          <w:p w:rsidR="005643EA" w:rsidRPr="00D51A68" w:rsidRDefault="00F9591C" w:rsidP="00FC1A76">
            <w:pPr>
              <w:pStyle w:val="InstructionsText"/>
              <w:rPr>
                <w:rStyle w:val="FormatvorlageInstructionsTabelleText"/>
                <w:rFonts w:ascii="Times New Roman" w:hAnsi="Times New Roman"/>
                <w:b/>
                <w:sz w:val="24"/>
                <w:u w:val="single"/>
              </w:rPr>
            </w:pPr>
            <w:r w:rsidRPr="00D51A68">
              <w:rPr>
                <w:rStyle w:val="InstructionsTabelleberschrift"/>
                <w:rFonts w:ascii="Times New Roman" w:hAnsi="Times New Roman"/>
                <w:sz w:val="24"/>
              </w:rPr>
              <w:t>1.1.1.12</w:t>
            </w:r>
            <w:r w:rsidR="00A0772B" w:rsidRPr="00D51A68">
              <w:rPr>
                <w:u w:val="single"/>
              </w:rPr>
              <w:tab/>
            </w:r>
            <w:r w:rsidRPr="00D51A68">
              <w:rPr>
                <w:rStyle w:val="InstructionsTabelleberschrift"/>
                <w:rFonts w:ascii="Times New Roman" w:hAnsi="Times New Roman"/>
                <w:sz w:val="24"/>
              </w:rPr>
              <w:t>(-) Attività fiscali differite che si basano sulla redditività futura e non derivano da differenze temporanee al netto delle associate passività fiscali</w:t>
            </w:r>
          </w:p>
          <w:p w:rsidR="005643EA" w:rsidRPr="00D51A68" w:rsidRDefault="00666996"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Articolo 36, paragrafo 1, lettera c), e articolo 38 del CRR.</w:t>
            </w:r>
          </w:p>
        </w:tc>
      </w:tr>
      <w:tr w:rsidR="00666996" w:rsidRPr="00D51A68" w:rsidTr="00672D2A">
        <w:tc>
          <w:tcPr>
            <w:tcW w:w="1129" w:type="dxa"/>
          </w:tcPr>
          <w:p w:rsidR="00666996" w:rsidRPr="00D51A68" w:rsidRDefault="00666996"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380</w:t>
            </w:r>
          </w:p>
        </w:tc>
        <w:tc>
          <w:tcPr>
            <w:tcW w:w="7620" w:type="dxa"/>
          </w:tcPr>
          <w:p w:rsidR="005643EA" w:rsidRPr="00D51A68" w:rsidRDefault="00F9591C" w:rsidP="00FC1A76">
            <w:pPr>
              <w:pStyle w:val="InstructionsText"/>
              <w:rPr>
                <w:rStyle w:val="FormatvorlageInstructionsTabelleText"/>
                <w:rFonts w:ascii="Times New Roman" w:hAnsi="Times New Roman"/>
                <w:b/>
                <w:sz w:val="24"/>
                <w:u w:val="single"/>
              </w:rPr>
            </w:pPr>
            <w:r w:rsidRPr="00D51A68">
              <w:rPr>
                <w:rStyle w:val="InstructionsTabelleberschrift"/>
                <w:rFonts w:ascii="Times New Roman" w:hAnsi="Times New Roman"/>
                <w:sz w:val="24"/>
              </w:rPr>
              <w:t>1.1.1.13</w:t>
            </w:r>
            <w:r w:rsidR="00A0772B" w:rsidRPr="00D51A68">
              <w:rPr>
                <w:u w:val="single"/>
              </w:rPr>
              <w:tab/>
            </w:r>
            <w:r w:rsidRPr="00D51A68">
              <w:rPr>
                <w:rStyle w:val="InstructionsTabelleberschrift"/>
                <w:rFonts w:ascii="Times New Roman" w:hAnsi="Times New Roman"/>
                <w:sz w:val="24"/>
              </w:rPr>
              <w:t>(-) Carenza di rettifiche di valore su crediti in base al metodo IRB rispetto alle perdite attese</w:t>
            </w:r>
          </w:p>
          <w:p w:rsidR="005643EA" w:rsidRPr="00D51A68" w:rsidRDefault="00666996"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Articolo 36, paragrafo 1, lettera d), e articoli 40, 158 e 159 del CRR.</w:t>
            </w:r>
          </w:p>
          <w:p w:rsidR="005643EA" w:rsidRPr="00D51A68" w:rsidRDefault="00666996"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 xml:space="preserve">importo da segnalare </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non è ridotto dall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aumento del livello delle attività fiscali differite che si basano sulla redditività futura né da altri effetti fiscali supplementari che potrebbero verificarsi se gli accantonamenti raggiungessero il livello delle perdite attese</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 xml:space="preserve"> (articolo 40 del CRR).</w:t>
            </w:r>
          </w:p>
        </w:tc>
      </w:tr>
      <w:tr w:rsidR="00666996" w:rsidRPr="00D51A68" w:rsidTr="00672D2A">
        <w:tc>
          <w:tcPr>
            <w:tcW w:w="1129" w:type="dxa"/>
          </w:tcPr>
          <w:p w:rsidR="00666996" w:rsidRPr="00D51A68" w:rsidRDefault="00666996" w:rsidP="00A53205">
            <w:pPr>
              <w:pStyle w:val="InstructionsText"/>
              <w:keepNext/>
              <w:rPr>
                <w:rStyle w:val="FormatvorlageInstructionsTabelleText"/>
                <w:rFonts w:ascii="Times New Roman" w:hAnsi="Times New Roman"/>
                <w:sz w:val="24"/>
              </w:rPr>
            </w:pPr>
            <w:r w:rsidRPr="00D51A68">
              <w:rPr>
                <w:rStyle w:val="FormatvorlageInstructionsTabelleText"/>
                <w:rFonts w:ascii="Times New Roman" w:hAnsi="Times New Roman"/>
                <w:sz w:val="24"/>
              </w:rPr>
              <w:lastRenderedPageBreak/>
              <w:t>390</w:t>
            </w:r>
          </w:p>
        </w:tc>
        <w:tc>
          <w:tcPr>
            <w:tcW w:w="7620" w:type="dxa"/>
          </w:tcPr>
          <w:p w:rsidR="005643EA" w:rsidRPr="00D51A68" w:rsidRDefault="00F9591C" w:rsidP="00A53205">
            <w:pPr>
              <w:pStyle w:val="InstructionsText"/>
              <w:keepNext/>
              <w:rPr>
                <w:rStyle w:val="FormatvorlageInstructionsTabelleText"/>
                <w:rFonts w:ascii="Times New Roman" w:hAnsi="Times New Roman"/>
                <w:b/>
                <w:sz w:val="24"/>
                <w:u w:val="single"/>
              </w:rPr>
            </w:pPr>
            <w:r w:rsidRPr="00D51A68">
              <w:rPr>
                <w:rStyle w:val="InstructionsTabelleberschrift"/>
                <w:rFonts w:ascii="Times New Roman" w:hAnsi="Times New Roman"/>
                <w:sz w:val="24"/>
              </w:rPr>
              <w:t>1.1.1.14</w:t>
            </w:r>
            <w:r w:rsidR="00A0772B" w:rsidRPr="00D51A68">
              <w:rPr>
                <w:u w:val="single"/>
              </w:rPr>
              <w:tab/>
            </w:r>
            <w:r w:rsidRPr="00D51A68">
              <w:rPr>
                <w:rStyle w:val="InstructionsTabelleberschrift"/>
                <w:rFonts w:ascii="Times New Roman" w:hAnsi="Times New Roman"/>
                <w:sz w:val="24"/>
              </w:rPr>
              <w:t>(-) Attività dei fondi pensione a prestazioni definite</w:t>
            </w:r>
          </w:p>
          <w:p w:rsidR="005643EA" w:rsidRPr="00D51A68" w:rsidRDefault="00666996" w:rsidP="00A53205">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Articolo 4, paragrafo 1, punto 109, articolo 36, paragrafo 1, lettera e), e articolo 41 del CRR.</w:t>
            </w:r>
          </w:p>
        </w:tc>
      </w:tr>
      <w:tr w:rsidR="00666996" w:rsidRPr="00D51A68" w:rsidTr="00672D2A">
        <w:tc>
          <w:tcPr>
            <w:tcW w:w="1129" w:type="dxa"/>
          </w:tcPr>
          <w:p w:rsidR="00666996" w:rsidRPr="00D51A68" w:rsidRDefault="00666996"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400</w:t>
            </w:r>
          </w:p>
        </w:tc>
        <w:tc>
          <w:tcPr>
            <w:tcW w:w="7620" w:type="dxa"/>
          </w:tcPr>
          <w:p w:rsidR="005643EA" w:rsidRPr="00D51A68" w:rsidRDefault="00F9591C" w:rsidP="00FC1A76">
            <w:pPr>
              <w:pStyle w:val="InstructionsText"/>
              <w:rPr>
                <w:rStyle w:val="FormatvorlageInstructionsTabelleText"/>
                <w:rFonts w:ascii="Times New Roman" w:hAnsi="Times New Roman"/>
                <w:b/>
                <w:sz w:val="24"/>
                <w:u w:val="single"/>
              </w:rPr>
            </w:pPr>
            <w:r w:rsidRPr="00D51A68">
              <w:rPr>
                <w:rStyle w:val="InstructionsTabelleberschrift"/>
                <w:rFonts w:ascii="Times New Roman" w:hAnsi="Times New Roman"/>
                <w:sz w:val="24"/>
              </w:rPr>
              <w:t>1.1.1.14.1</w:t>
            </w:r>
            <w:r w:rsidR="00A0772B" w:rsidRPr="00D51A68">
              <w:rPr>
                <w:u w:val="single"/>
              </w:rPr>
              <w:tab/>
            </w:r>
            <w:r w:rsidRPr="00D51A68">
              <w:rPr>
                <w:rStyle w:val="InstructionsTabelleberschrift"/>
                <w:rFonts w:ascii="Times New Roman" w:hAnsi="Times New Roman"/>
                <w:sz w:val="24"/>
              </w:rPr>
              <w:t xml:space="preserve">(-) Attività dei fondi pensione a prestazioni definite </w:t>
            </w:r>
          </w:p>
          <w:p w:rsidR="005643EA" w:rsidRPr="00D51A68" w:rsidRDefault="00666996"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Articolo 4, paragrafo 1, punto 109, e articolo 36, paragrafo 1, lettera e), del CRR.</w:t>
            </w:r>
          </w:p>
          <w:p w:rsidR="005643EA" w:rsidRPr="00D51A68" w:rsidRDefault="00666996"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 xml:space="preserve">Le attività dei fondi pensione a prestazioni definite sono definite come </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le attività di un fondo o un piano pensionistico, a seconda del caso, a prestazioni definite, calcolate dopo la sottrazione degli obblighi previsti dallo stesso fondo o piano</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w:t>
            </w:r>
          </w:p>
          <w:p w:rsidR="005643EA" w:rsidRPr="00D51A68" w:rsidRDefault="00666996"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importo da segnalare in questa voce corrisponde all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importo rilevato in bilancio (se indicato separatamente).</w:t>
            </w:r>
          </w:p>
        </w:tc>
      </w:tr>
      <w:tr w:rsidR="00666996" w:rsidRPr="00D51A68" w:rsidTr="00672D2A">
        <w:tc>
          <w:tcPr>
            <w:tcW w:w="1129" w:type="dxa"/>
          </w:tcPr>
          <w:p w:rsidR="00666996" w:rsidRPr="00D51A68" w:rsidRDefault="00666996"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410</w:t>
            </w:r>
          </w:p>
        </w:tc>
        <w:tc>
          <w:tcPr>
            <w:tcW w:w="7620" w:type="dxa"/>
          </w:tcPr>
          <w:p w:rsidR="005643EA" w:rsidRPr="00D51A68" w:rsidRDefault="00F9591C" w:rsidP="00FC1A76">
            <w:pPr>
              <w:pStyle w:val="InstructionsText"/>
              <w:rPr>
                <w:rStyle w:val="FormatvorlageInstructionsTabelleText"/>
                <w:rFonts w:ascii="Times New Roman" w:hAnsi="Times New Roman"/>
                <w:b/>
                <w:sz w:val="24"/>
                <w:u w:val="single"/>
              </w:rPr>
            </w:pPr>
            <w:r w:rsidRPr="00D51A68">
              <w:rPr>
                <w:rStyle w:val="InstructionsTabelleberschrift"/>
                <w:rFonts w:ascii="Times New Roman" w:hAnsi="Times New Roman"/>
                <w:sz w:val="24"/>
              </w:rPr>
              <w:t>1.1.1.14.2</w:t>
            </w:r>
            <w:r w:rsidR="00A0772B" w:rsidRPr="00D51A68">
              <w:rPr>
                <w:u w:val="single"/>
              </w:rPr>
              <w:tab/>
            </w:r>
            <w:r w:rsidRPr="00D51A68">
              <w:rPr>
                <w:rStyle w:val="InstructionsTabelleberschrift"/>
                <w:rFonts w:ascii="Times New Roman" w:hAnsi="Times New Roman"/>
                <w:sz w:val="24"/>
              </w:rPr>
              <w:t>Passività fiscali differite associate alle attività dei fondi pensione a prestazioni definite</w:t>
            </w:r>
          </w:p>
          <w:p w:rsidR="005643EA" w:rsidRPr="00D51A68" w:rsidRDefault="00666996"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Articolo 4, paragrafo 1, punti 108 e 109, e articolo 41, paragrafo 1, lettera a), del CRR.</w:t>
            </w:r>
          </w:p>
          <w:p w:rsidR="005643EA" w:rsidRPr="00D51A68" w:rsidRDefault="00666996"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Importo delle passività fiscali differite che si estinguerebbero se le attività dei fondi pensione a prestazioni definite fossero deteriorate o eliminate contabilmente ai sensi del principio contabile applicabile.</w:t>
            </w:r>
          </w:p>
        </w:tc>
      </w:tr>
      <w:tr w:rsidR="00666996" w:rsidRPr="00D51A68" w:rsidTr="00672D2A">
        <w:tc>
          <w:tcPr>
            <w:tcW w:w="1129" w:type="dxa"/>
          </w:tcPr>
          <w:p w:rsidR="00666996" w:rsidRPr="00D51A68" w:rsidRDefault="00666996"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420</w:t>
            </w:r>
          </w:p>
        </w:tc>
        <w:tc>
          <w:tcPr>
            <w:tcW w:w="7620" w:type="dxa"/>
          </w:tcPr>
          <w:p w:rsidR="005643EA" w:rsidRPr="00D51A68" w:rsidRDefault="00F9591C" w:rsidP="00FC1A76">
            <w:pPr>
              <w:pStyle w:val="InstructionsText"/>
              <w:rPr>
                <w:rStyle w:val="FormatvorlageInstructionsTabelleText"/>
                <w:rFonts w:ascii="Times New Roman" w:hAnsi="Times New Roman"/>
                <w:b/>
                <w:sz w:val="24"/>
                <w:u w:val="single"/>
              </w:rPr>
            </w:pPr>
            <w:r w:rsidRPr="00D51A68">
              <w:rPr>
                <w:rStyle w:val="InstructionsTabelleberschrift"/>
                <w:rFonts w:ascii="Times New Roman" w:hAnsi="Times New Roman"/>
                <w:sz w:val="24"/>
              </w:rPr>
              <w:t>1.1.1.14.3</w:t>
            </w:r>
            <w:r w:rsidR="00A0772B" w:rsidRPr="00D51A68">
              <w:rPr>
                <w:u w:val="single"/>
              </w:rPr>
              <w:tab/>
            </w:r>
            <w:r w:rsidRPr="00D51A68">
              <w:rPr>
                <w:rStyle w:val="InstructionsTabelleberschrift"/>
                <w:rFonts w:ascii="Times New Roman" w:hAnsi="Times New Roman"/>
                <w:sz w:val="24"/>
              </w:rPr>
              <w:t>Attività dei fondi pensione a prestazioni definite che 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ente può utilizzare senza restrizioni</w:t>
            </w:r>
          </w:p>
          <w:p w:rsidR="005643EA" w:rsidRPr="00D51A68" w:rsidRDefault="00666996"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Articolo 4, paragrafo 1, punto 109, e articolo 41, paragrafo 1, lettera b), del CRR.</w:t>
            </w:r>
          </w:p>
          <w:p w:rsidR="005643EA" w:rsidRPr="00D51A68" w:rsidRDefault="00666996"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Questa voce è compilata soltanto in presenza di un</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autorizzazione preventiva dell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autorità competente di ridurre 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importo delle attività dei fondi pensione a prestazioni definite da dedurre.</w:t>
            </w:r>
          </w:p>
          <w:p w:rsidR="005643EA" w:rsidRPr="00D51A68" w:rsidRDefault="00666996"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Le attività comprese in questa riga sono soggette a un fattore di ponderazione del rischio per i requisiti del rischio di credito.</w:t>
            </w:r>
          </w:p>
        </w:tc>
      </w:tr>
      <w:tr w:rsidR="00666996" w:rsidRPr="00D51A68" w:rsidTr="00672D2A">
        <w:tc>
          <w:tcPr>
            <w:tcW w:w="1129" w:type="dxa"/>
          </w:tcPr>
          <w:p w:rsidR="00666996" w:rsidRPr="00D51A68" w:rsidRDefault="00666996"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430</w:t>
            </w:r>
          </w:p>
        </w:tc>
        <w:tc>
          <w:tcPr>
            <w:tcW w:w="7620" w:type="dxa"/>
          </w:tcPr>
          <w:p w:rsidR="005643EA" w:rsidRPr="00D51A68" w:rsidRDefault="00F9591C" w:rsidP="00FC1A76">
            <w:pPr>
              <w:pStyle w:val="InstructionsText"/>
              <w:rPr>
                <w:rStyle w:val="FormatvorlageInstructionsTabelleText"/>
                <w:rFonts w:ascii="Times New Roman" w:hAnsi="Times New Roman"/>
                <w:b/>
                <w:sz w:val="24"/>
                <w:u w:val="single"/>
              </w:rPr>
            </w:pPr>
            <w:r w:rsidRPr="00D51A68">
              <w:rPr>
                <w:rStyle w:val="InstructionsTabelleberschrift"/>
                <w:rFonts w:ascii="Times New Roman" w:hAnsi="Times New Roman"/>
                <w:sz w:val="24"/>
              </w:rPr>
              <w:t>1.1.1.15</w:t>
            </w:r>
            <w:r w:rsidR="00A0772B" w:rsidRPr="00D51A68">
              <w:rPr>
                <w:u w:val="single"/>
              </w:rPr>
              <w:tab/>
            </w:r>
            <w:r w:rsidRPr="00D51A68">
              <w:rPr>
                <w:rStyle w:val="InstructionsTabelleberschrift"/>
                <w:rFonts w:ascii="Times New Roman" w:hAnsi="Times New Roman"/>
                <w:sz w:val="24"/>
              </w:rPr>
              <w:t>(-) Partecipazioni incrociate reciproche in capitale primario di classe 1</w:t>
            </w:r>
          </w:p>
          <w:p w:rsidR="005643EA" w:rsidRPr="00D51A68" w:rsidRDefault="00805255"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Articolo 4, paragrafo 1, punto 122, articolo 36, paragrafo 1, lettera g), e articolo 44 del CRR.</w:t>
            </w:r>
          </w:p>
          <w:p w:rsidR="007E39E6" w:rsidRPr="00D51A68" w:rsidRDefault="00666996"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Possesso di strumenti di capitale primario di classe 1 di soggetti del settore finanziario (così come definiti nell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articolo 4, paragrafo 1, punto 27, del CRR) laddove sussista una partecipazione incrociata reciproca che 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autorità competente ritiene sia stata concepita per aumentare artificialmente i fondi propri dell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ente.</w:t>
            </w:r>
          </w:p>
          <w:p w:rsidR="005643EA" w:rsidRPr="00D51A68" w:rsidRDefault="00666996"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importo da segnalare è calcolato sulla base delle posizioni lunghe lorde e comprende gli elementi assicurativi dei fondi propri di classe 1.</w:t>
            </w:r>
          </w:p>
        </w:tc>
      </w:tr>
      <w:tr w:rsidR="00666996" w:rsidRPr="00D51A68" w:rsidTr="00672D2A">
        <w:tc>
          <w:tcPr>
            <w:tcW w:w="1129" w:type="dxa"/>
          </w:tcPr>
          <w:p w:rsidR="00666996" w:rsidRPr="00D51A68" w:rsidRDefault="00666996"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440</w:t>
            </w:r>
          </w:p>
        </w:tc>
        <w:tc>
          <w:tcPr>
            <w:tcW w:w="7620" w:type="dxa"/>
          </w:tcPr>
          <w:p w:rsidR="005643EA" w:rsidRPr="00D51A68" w:rsidRDefault="006022CB" w:rsidP="00FC1A76">
            <w:pPr>
              <w:pStyle w:val="InstructionsText"/>
              <w:rPr>
                <w:rStyle w:val="FormatvorlageInstructionsTabelleText"/>
                <w:rFonts w:ascii="Times New Roman" w:hAnsi="Times New Roman"/>
                <w:b/>
                <w:sz w:val="24"/>
                <w:u w:val="single"/>
              </w:rPr>
            </w:pPr>
            <w:r w:rsidRPr="00D51A68">
              <w:rPr>
                <w:rStyle w:val="InstructionsTabelleberschrift"/>
                <w:rFonts w:ascii="Times New Roman" w:hAnsi="Times New Roman"/>
                <w:sz w:val="24"/>
              </w:rPr>
              <w:t>1.1.1.16</w:t>
            </w:r>
            <w:r w:rsidR="00A0772B" w:rsidRPr="00D51A68">
              <w:rPr>
                <w:u w:val="single"/>
              </w:rPr>
              <w:tab/>
            </w:r>
            <w:r w:rsidRPr="00D51A68">
              <w:rPr>
                <w:rStyle w:val="InstructionsTabelleberschrift"/>
                <w:rFonts w:ascii="Times New Roman" w:hAnsi="Times New Roman"/>
                <w:sz w:val="24"/>
              </w:rPr>
              <w:t xml:space="preserve">(-) Eccesso di deduzione da elementi del capitale aggiuntivo di classe 1 rispetto al capitale aggiuntivo di classe 1 </w:t>
            </w:r>
          </w:p>
          <w:p w:rsidR="005643EA" w:rsidRPr="00D51A68" w:rsidRDefault="00666996"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Articolo 36, paragrafo 1, lettera j), del CRR.</w:t>
            </w:r>
          </w:p>
          <w:p w:rsidR="005643EA" w:rsidRPr="00D51A68" w:rsidRDefault="00666996"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lastRenderedPageBreak/>
              <w:t>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 xml:space="preserve">importo da segnalare è ripreso direttamente dalla voce CA 1 </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Eccesso di deduzione da elementi del capitale aggiuntivo di classe 1 rispetto al capitale aggiuntivo di classe 1</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 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importo deve essere dedotto dal capitale primario di classe 1.</w:t>
            </w:r>
          </w:p>
        </w:tc>
      </w:tr>
      <w:tr w:rsidR="00666996" w:rsidRPr="00D51A68" w:rsidTr="00672D2A">
        <w:tc>
          <w:tcPr>
            <w:tcW w:w="1129" w:type="dxa"/>
          </w:tcPr>
          <w:p w:rsidR="00666996" w:rsidRPr="00D51A68" w:rsidRDefault="00BA1C6C"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lastRenderedPageBreak/>
              <w:t>450</w:t>
            </w:r>
          </w:p>
        </w:tc>
        <w:tc>
          <w:tcPr>
            <w:tcW w:w="7620" w:type="dxa"/>
          </w:tcPr>
          <w:p w:rsidR="005643EA" w:rsidRPr="00D51A68" w:rsidRDefault="006022CB" w:rsidP="00FC1A76">
            <w:pPr>
              <w:pStyle w:val="InstructionsText"/>
              <w:rPr>
                <w:rStyle w:val="FormatvorlageInstructionsTabelleText"/>
                <w:rFonts w:ascii="Times New Roman" w:hAnsi="Times New Roman"/>
                <w:b/>
                <w:sz w:val="24"/>
                <w:u w:val="single"/>
              </w:rPr>
            </w:pPr>
            <w:r w:rsidRPr="00D51A68">
              <w:rPr>
                <w:rStyle w:val="InstructionsTabelleberschrift"/>
                <w:rFonts w:ascii="Times New Roman" w:hAnsi="Times New Roman"/>
                <w:sz w:val="24"/>
              </w:rPr>
              <w:t>1.1.1.17</w:t>
            </w:r>
            <w:r w:rsidR="00A0772B" w:rsidRPr="00D51A68">
              <w:rPr>
                <w:u w:val="single"/>
              </w:rPr>
              <w:tab/>
            </w:r>
            <w:r w:rsidRPr="00D51A68">
              <w:rPr>
                <w:rStyle w:val="InstructionsTabelleberschrift"/>
                <w:rFonts w:ascii="Times New Roman" w:hAnsi="Times New Roman"/>
                <w:sz w:val="24"/>
              </w:rPr>
              <w:t>(-) Partecipazioni qualificate al di fuori del settore finanziario che possono essere soggette in alternativa a un fattore di ponderazione del rischio del 1 250%</w:t>
            </w:r>
          </w:p>
          <w:p w:rsidR="005643EA" w:rsidRPr="00D51A68" w:rsidRDefault="00666996"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Articolo 4, paragrafo 1, punto 36, articolo 36, paragrafo 1</w:t>
            </w:r>
            <w:r w:rsidR="00A53205" w:rsidRPr="00D51A68">
              <w:rPr>
                <w:rStyle w:val="FormatvorlageInstructionsTabelleText"/>
                <w:rFonts w:ascii="Times New Roman" w:hAnsi="Times New Roman"/>
                <w:sz w:val="24"/>
              </w:rPr>
              <w:t>, lettera k), punto </w:t>
            </w:r>
            <w:r w:rsidRPr="00D51A68">
              <w:rPr>
                <w:rStyle w:val="FormatvorlageInstructionsTabelleText"/>
                <w:rFonts w:ascii="Times New Roman" w:hAnsi="Times New Roman"/>
                <w:sz w:val="24"/>
              </w:rPr>
              <w:t>i), e articoli da 89 a 91 del CRR.</w:t>
            </w:r>
          </w:p>
          <w:p w:rsidR="005643EA" w:rsidRPr="00D51A68" w:rsidRDefault="00666996"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 xml:space="preserve">Le partecipazioni qualificate sono definite come il </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possesso diretto o indiretto di almeno il 10% del capitale o dei diritti di voto in un</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impresa, ovvero che consente 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esercizio di un</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influenza notevole sulla gestione di tale impresa</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w:t>
            </w:r>
          </w:p>
          <w:p w:rsidR="005643EA" w:rsidRPr="00D51A68" w:rsidRDefault="00666996"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In conformità dell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articolo 36, paragrafo 1, lettera k), punto i), del CRR, tali partecipazioni possono essere dedotte dal capitale primario di classe 1 (utilizzando questa voce) o, in alternativa, essere sottoposte a un fattore di ponderazione del rischio del 1 250%.</w:t>
            </w:r>
          </w:p>
        </w:tc>
      </w:tr>
      <w:tr w:rsidR="00666996" w:rsidRPr="00D51A68" w:rsidTr="00672D2A">
        <w:tc>
          <w:tcPr>
            <w:tcW w:w="1129" w:type="dxa"/>
          </w:tcPr>
          <w:p w:rsidR="00666996" w:rsidRPr="00D51A68" w:rsidRDefault="00BA1C6C"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460</w:t>
            </w:r>
          </w:p>
        </w:tc>
        <w:tc>
          <w:tcPr>
            <w:tcW w:w="7620" w:type="dxa"/>
          </w:tcPr>
          <w:p w:rsidR="005643EA" w:rsidRPr="00D51A68" w:rsidRDefault="006022CB" w:rsidP="00FC1A76">
            <w:pPr>
              <w:pStyle w:val="InstructionsText"/>
              <w:rPr>
                <w:rStyle w:val="FormatvorlageInstructionsTabelleText"/>
                <w:rFonts w:ascii="Times New Roman" w:hAnsi="Times New Roman"/>
                <w:b/>
                <w:sz w:val="24"/>
                <w:u w:val="single"/>
              </w:rPr>
            </w:pPr>
            <w:r w:rsidRPr="00D51A68">
              <w:rPr>
                <w:rStyle w:val="InstructionsTabelleberschrift"/>
                <w:rFonts w:ascii="Times New Roman" w:hAnsi="Times New Roman"/>
                <w:sz w:val="24"/>
              </w:rPr>
              <w:t>1.1.1.18</w:t>
            </w:r>
            <w:r w:rsidR="00A0772B" w:rsidRPr="00D51A68">
              <w:rPr>
                <w:u w:val="single"/>
              </w:rPr>
              <w:tab/>
            </w:r>
            <w:r w:rsidRPr="00D51A68">
              <w:rPr>
                <w:rStyle w:val="InstructionsTabelleberschrift"/>
                <w:rFonts w:ascii="Times New Roman" w:hAnsi="Times New Roman"/>
                <w:sz w:val="24"/>
              </w:rPr>
              <w:t xml:space="preserve">(-) Posizioni verso la cartolarizzazione che possono essere soggette in alternativa a un fattore </w:t>
            </w:r>
            <w:r w:rsidR="00A53205" w:rsidRPr="00D51A68">
              <w:rPr>
                <w:rStyle w:val="InstructionsTabelleberschrift"/>
                <w:rFonts w:ascii="Times New Roman" w:hAnsi="Times New Roman"/>
                <w:sz w:val="24"/>
              </w:rPr>
              <w:t>di ponderazione del rischio del </w:t>
            </w:r>
            <w:r w:rsidRPr="00D51A68">
              <w:rPr>
                <w:rStyle w:val="InstructionsTabelleberschrift"/>
                <w:rFonts w:ascii="Times New Roman" w:hAnsi="Times New Roman"/>
                <w:sz w:val="24"/>
              </w:rPr>
              <w:t>1 250%</w:t>
            </w:r>
          </w:p>
          <w:p w:rsidR="005643EA" w:rsidRPr="00D51A68" w:rsidRDefault="00666996"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 xml:space="preserve">Articolo 36, paragrafo 1, lettera k), punto ii), articolo 243, paragrafo 1, lettera b), articolo 244, paragrafo 1, lettera b), articolo 258 e articolo 266, paragrafo 3, del CRR nella versione applicabile il 31 dicembre 2018 o articolo 244, paragrafo 1, lettera b), articolo 245, paragrafo 1, lettera b), articolo 253, paragrafo 1, e articolo 268, paragrafo 4, del CRR, in funzione della loro applicabilità. </w:t>
            </w:r>
          </w:p>
          <w:p w:rsidR="005643EA" w:rsidRPr="00D51A68" w:rsidRDefault="00666996"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Le posizioni verso la cartolarizzazione che sono soggette a un fattore di ponderazione del rischio del 1 250% ma che, in alternativa, possono essere dedotte dal capitale primario di classe 1 (articolo 36, paragrafo 1, lettera k), punto ii), del CRR) sono segnalate in questa voce.</w:t>
            </w:r>
          </w:p>
        </w:tc>
      </w:tr>
      <w:tr w:rsidR="00666996" w:rsidRPr="00D51A68" w:rsidTr="00672D2A">
        <w:tc>
          <w:tcPr>
            <w:tcW w:w="1129" w:type="dxa"/>
          </w:tcPr>
          <w:p w:rsidR="00666996" w:rsidRPr="00D51A68" w:rsidRDefault="00666996"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470</w:t>
            </w:r>
          </w:p>
        </w:tc>
        <w:tc>
          <w:tcPr>
            <w:tcW w:w="7620" w:type="dxa"/>
          </w:tcPr>
          <w:p w:rsidR="005643EA" w:rsidRPr="00D51A68" w:rsidRDefault="006022CB" w:rsidP="00FC1A76">
            <w:pPr>
              <w:pStyle w:val="InstructionsText"/>
              <w:rPr>
                <w:rStyle w:val="FormatvorlageInstructionsTabelleText"/>
                <w:rFonts w:ascii="Times New Roman" w:hAnsi="Times New Roman"/>
                <w:b/>
                <w:sz w:val="24"/>
                <w:u w:val="single"/>
              </w:rPr>
            </w:pPr>
            <w:r w:rsidRPr="00D51A68">
              <w:rPr>
                <w:rStyle w:val="InstructionsTabelleberschrift"/>
                <w:rFonts w:ascii="Times New Roman" w:hAnsi="Times New Roman"/>
                <w:sz w:val="24"/>
              </w:rPr>
              <w:t>1.1.1.19</w:t>
            </w:r>
            <w:r w:rsidR="00A0772B" w:rsidRPr="00D51A68">
              <w:rPr>
                <w:u w:val="single"/>
              </w:rPr>
              <w:tab/>
            </w:r>
            <w:r w:rsidRPr="00D51A68">
              <w:rPr>
                <w:rStyle w:val="InstructionsTabelleberschrift"/>
                <w:rFonts w:ascii="Times New Roman" w:hAnsi="Times New Roman"/>
                <w:sz w:val="24"/>
              </w:rPr>
              <w:t>(-) Operazioni con regolamento non contestuale che possono essere soggette in alternativa a un fattore di ponderazione del rischio del 1 250%</w:t>
            </w:r>
          </w:p>
          <w:p w:rsidR="005643EA" w:rsidRPr="00D51A68" w:rsidRDefault="00666996"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Articolo 36, paragrafo 1, lettera k), punto iii), e articolo 379, paragrafo 3, del CRR.</w:t>
            </w:r>
          </w:p>
          <w:p w:rsidR="005643EA" w:rsidRPr="00D51A68" w:rsidRDefault="00666996"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Le operazioni con regolamento non contestuale sono soggette a un fattore di ponderazione del rischio del 1 250% cinque giorni dopo la seconda data prevista dal contratto per il pagamento o la consegna fino all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estinzione dell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operazione, conformemente ai requisiti dei fondi propri per il rischio di regolamento. In alternativa, queste operazioni possono essere dedotte dal capitale primario di classe 1 (articolo 36, paragrafo 1, lettera k), punto iii), del CRR). In quest</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ultimo caso sono segnalate in questa voce.</w:t>
            </w:r>
          </w:p>
        </w:tc>
      </w:tr>
      <w:tr w:rsidR="00666996" w:rsidRPr="00D51A68" w:rsidTr="00672D2A">
        <w:tc>
          <w:tcPr>
            <w:tcW w:w="1129" w:type="dxa"/>
          </w:tcPr>
          <w:p w:rsidR="00666996" w:rsidRPr="00D51A68" w:rsidRDefault="00666996"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471</w:t>
            </w:r>
          </w:p>
        </w:tc>
        <w:tc>
          <w:tcPr>
            <w:tcW w:w="7620" w:type="dxa"/>
          </w:tcPr>
          <w:p w:rsidR="005643EA" w:rsidRPr="00D51A68" w:rsidRDefault="006022CB" w:rsidP="00A53205">
            <w:pPr>
              <w:pStyle w:val="InstructionsText"/>
              <w:keepLines/>
              <w:rPr>
                <w:rStyle w:val="InstructionsTabelleberschrift"/>
                <w:rFonts w:ascii="Times New Roman" w:hAnsi="Times New Roman"/>
                <w:sz w:val="24"/>
              </w:rPr>
            </w:pPr>
            <w:r w:rsidRPr="00D51A68">
              <w:rPr>
                <w:rStyle w:val="InstructionsTabelleberschrift"/>
                <w:rFonts w:ascii="Times New Roman" w:hAnsi="Times New Roman"/>
                <w:sz w:val="24"/>
              </w:rPr>
              <w:t>1.1.1.20</w:t>
            </w:r>
            <w:r w:rsidR="00A0772B" w:rsidRPr="00D51A68">
              <w:rPr>
                <w:u w:val="single"/>
              </w:rPr>
              <w:tab/>
            </w:r>
            <w:r w:rsidRPr="00D51A68">
              <w:rPr>
                <w:rStyle w:val="InstructionsTabelleberschrift"/>
                <w:rFonts w:ascii="Times New Roman" w:hAnsi="Times New Roman"/>
                <w:sz w:val="24"/>
              </w:rPr>
              <w:t>(-) Posizioni in un paniere per le quali un ente non è in grado di stabilire la ponderazione del rischio nell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 xml:space="preserve">ambito del metodo IRB e che possono essere soggette in alternativa a una ponderazione del </w:t>
            </w:r>
            <w:r w:rsidRPr="00D51A68">
              <w:rPr>
                <w:rStyle w:val="InstructionsTabelleberschrift"/>
                <w:rFonts w:ascii="Times New Roman" w:hAnsi="Times New Roman"/>
                <w:sz w:val="24"/>
              </w:rPr>
              <w:lastRenderedPageBreak/>
              <w:t>rischio del 1 250%</w:t>
            </w:r>
          </w:p>
          <w:p w:rsidR="005643EA" w:rsidRPr="00D51A68" w:rsidRDefault="00666996" w:rsidP="00FC1A76">
            <w:pPr>
              <w:pStyle w:val="InstructionsText"/>
              <w:rPr>
                <w:rStyle w:val="InstructionsTabelleberschrift"/>
                <w:rFonts w:ascii="Times New Roman" w:hAnsi="Times New Roman"/>
                <w:b w:val="0"/>
                <w:sz w:val="24"/>
                <w:u w:val="none"/>
              </w:rPr>
            </w:pPr>
            <w:r w:rsidRPr="00D51A68">
              <w:rPr>
                <w:rStyle w:val="InstructionsTabelleberschrift"/>
                <w:rFonts w:ascii="Times New Roman" w:hAnsi="Times New Roman"/>
                <w:b w:val="0"/>
                <w:sz w:val="24"/>
                <w:u w:val="none"/>
              </w:rPr>
              <w:t>Articolo 36, paragrafo 1, lettera k), punto iv), e articolo 153, paragrafo 8, del CRR.</w:t>
            </w:r>
          </w:p>
          <w:p w:rsidR="005643EA" w:rsidRPr="00D51A68" w:rsidRDefault="00666996" w:rsidP="00FC1A76">
            <w:pPr>
              <w:pStyle w:val="InstructionsText"/>
              <w:rPr>
                <w:rStyle w:val="InstructionsTabelleberschrift"/>
                <w:rFonts w:ascii="Times New Roman" w:hAnsi="Times New Roman"/>
                <w:b w:val="0"/>
                <w:sz w:val="24"/>
                <w:u w:val="none"/>
              </w:rPr>
            </w:pPr>
            <w:r w:rsidRPr="00D51A68">
              <w:rPr>
                <w:rStyle w:val="FormatvorlageInstructionsTabelleText"/>
                <w:rFonts w:ascii="Times New Roman" w:hAnsi="Times New Roman"/>
                <w:sz w:val="24"/>
              </w:rPr>
              <w:t>In conformità dell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articolo 36, paragrafo 1, lettera k), punto iv), del CRR, queste posizioni possono essere dedotte dal capitale primario di classe 1 (utilizzando questa voce) o, in alternativa, essere sottoposte a un fattore di ponderazione del rischio del 1 250%.</w:t>
            </w:r>
          </w:p>
        </w:tc>
      </w:tr>
      <w:tr w:rsidR="00666996" w:rsidRPr="00D51A68" w:rsidTr="00672D2A">
        <w:tc>
          <w:tcPr>
            <w:tcW w:w="1129" w:type="dxa"/>
          </w:tcPr>
          <w:p w:rsidR="00666996" w:rsidRPr="00D51A68" w:rsidRDefault="00666996"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lastRenderedPageBreak/>
              <w:t>472</w:t>
            </w:r>
          </w:p>
        </w:tc>
        <w:tc>
          <w:tcPr>
            <w:tcW w:w="7620" w:type="dxa"/>
          </w:tcPr>
          <w:p w:rsidR="005643EA" w:rsidRPr="00D51A68" w:rsidRDefault="006022CB"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1.1.1.21</w:t>
            </w:r>
            <w:r w:rsidR="00A0772B" w:rsidRPr="00D51A68">
              <w:rPr>
                <w:u w:val="single"/>
              </w:rPr>
              <w:tab/>
            </w:r>
            <w:r w:rsidRPr="00D51A68">
              <w:rPr>
                <w:rStyle w:val="InstructionsTabelleberschrift"/>
                <w:rFonts w:ascii="Times New Roman" w:hAnsi="Times New Roman"/>
                <w:sz w:val="24"/>
              </w:rPr>
              <w:t>(-) Esposizioni in strumenti di capitale nel quadro del metodo dei modelli interni che possono essere soggette in alternativa a un fattore di ponderazione del rischio del 1 250%</w:t>
            </w:r>
          </w:p>
          <w:p w:rsidR="005643EA" w:rsidRPr="00D51A68" w:rsidRDefault="00666996" w:rsidP="00FC1A76">
            <w:pPr>
              <w:pStyle w:val="InstructionsText"/>
              <w:rPr>
                <w:rStyle w:val="InstructionsTabelleberschrift"/>
                <w:rFonts w:ascii="Times New Roman" w:hAnsi="Times New Roman"/>
                <w:b w:val="0"/>
                <w:sz w:val="24"/>
                <w:u w:val="none"/>
              </w:rPr>
            </w:pPr>
            <w:r w:rsidRPr="00D51A68">
              <w:rPr>
                <w:rStyle w:val="InstructionsTabelleberschrift"/>
                <w:rFonts w:ascii="Times New Roman" w:hAnsi="Times New Roman"/>
                <w:b w:val="0"/>
                <w:sz w:val="24"/>
                <w:u w:val="none"/>
              </w:rPr>
              <w:t>Articolo 36, paragrafo 1, lettera k), punto v), e articolo 155, paragrafo 4, del CRR.</w:t>
            </w:r>
          </w:p>
          <w:p w:rsidR="005643EA" w:rsidRPr="00D51A68" w:rsidRDefault="00666996" w:rsidP="00FC1A76">
            <w:pPr>
              <w:pStyle w:val="InstructionsText"/>
              <w:rPr>
                <w:rStyle w:val="InstructionsTabelleberschrift"/>
                <w:rFonts w:ascii="Times New Roman" w:hAnsi="Times New Roman"/>
                <w:b w:val="0"/>
                <w:sz w:val="24"/>
                <w:u w:val="none"/>
              </w:rPr>
            </w:pPr>
            <w:r w:rsidRPr="00D51A68">
              <w:rPr>
                <w:rStyle w:val="FormatvorlageInstructionsTabelleText"/>
                <w:rFonts w:ascii="Times New Roman" w:hAnsi="Times New Roman"/>
                <w:sz w:val="24"/>
              </w:rPr>
              <w:t>In conformità dell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articolo 36, paragrafo 1, lettera k), punto v), del CRR, queste esposizioni possono essere dedotte dal capitale primario di classe 1 (utilizzando questa voce) o, in alternativa, essere sottoposte a un fattore di ponderazione del rischio del 1 250%.</w:t>
            </w:r>
          </w:p>
        </w:tc>
      </w:tr>
      <w:tr w:rsidR="00666996" w:rsidRPr="00D51A68" w:rsidTr="00672D2A">
        <w:tc>
          <w:tcPr>
            <w:tcW w:w="1129" w:type="dxa"/>
          </w:tcPr>
          <w:p w:rsidR="00666996" w:rsidRPr="00D51A68" w:rsidRDefault="00666996"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480</w:t>
            </w:r>
          </w:p>
        </w:tc>
        <w:tc>
          <w:tcPr>
            <w:tcW w:w="7620" w:type="dxa"/>
          </w:tcPr>
          <w:p w:rsidR="005643EA" w:rsidRPr="00D51A68" w:rsidRDefault="006022CB" w:rsidP="00FC1A76">
            <w:pPr>
              <w:pStyle w:val="InstructionsText"/>
              <w:rPr>
                <w:rStyle w:val="FormatvorlageInstructionsTabelleText"/>
                <w:rFonts w:ascii="Times New Roman" w:hAnsi="Times New Roman"/>
                <w:b/>
                <w:sz w:val="24"/>
                <w:u w:val="single"/>
              </w:rPr>
            </w:pPr>
            <w:r w:rsidRPr="00D51A68">
              <w:rPr>
                <w:rStyle w:val="InstructionsTabelleberschrift"/>
                <w:rFonts w:ascii="Times New Roman" w:hAnsi="Times New Roman"/>
                <w:sz w:val="24"/>
              </w:rPr>
              <w:t>1.1.1.22</w:t>
            </w:r>
            <w:r w:rsidR="00A0772B" w:rsidRPr="00D51A68">
              <w:rPr>
                <w:u w:val="single"/>
              </w:rPr>
              <w:tab/>
            </w:r>
            <w:r w:rsidRPr="00D51A68">
              <w:rPr>
                <w:rStyle w:val="InstructionsTabelleberschrift"/>
                <w:rFonts w:ascii="Times New Roman" w:hAnsi="Times New Roman"/>
                <w:sz w:val="24"/>
              </w:rPr>
              <w:t>(-) Strumenti di capitale primario di classe 1 di soggetti del settore finanziario in cui 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ente non ha un investimento significativo</w:t>
            </w:r>
          </w:p>
          <w:p w:rsidR="005643EA" w:rsidRPr="00D51A68" w:rsidRDefault="00666996"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Articolo 4, paragrafo 1, punto 27, articolo 36, paragrafo 1, lettera h), articoli da 43 a 46, articolo 49, paragrafi 2 e 3, e articolo 79 del CRR.</w:t>
            </w:r>
          </w:p>
          <w:p w:rsidR="005643EA" w:rsidRPr="00D51A68" w:rsidRDefault="00666996"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Parte delle partecipazioni detenute dall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ente in strumenti di soggetti del settore finanziario (così come definiti nell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articolo 4, paragrafo 1, punto 27, del CRR) in cui 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ente non ha un investimento significativo che deve essere dedotta dal capitale primario di classe 1.</w:t>
            </w:r>
          </w:p>
          <w:p w:rsidR="005643EA" w:rsidRPr="00D51A68" w:rsidRDefault="00666996"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Cfr. le alternative alla deduzione in caso di applicazione del consolidamento (articolo 49, paragrafi 2 e 3).</w:t>
            </w:r>
          </w:p>
        </w:tc>
      </w:tr>
      <w:tr w:rsidR="00666996" w:rsidRPr="00D51A68" w:rsidTr="00672D2A">
        <w:tc>
          <w:tcPr>
            <w:tcW w:w="1129" w:type="dxa"/>
          </w:tcPr>
          <w:p w:rsidR="00666996" w:rsidRPr="00D51A68" w:rsidRDefault="00666996"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490</w:t>
            </w:r>
          </w:p>
        </w:tc>
        <w:tc>
          <w:tcPr>
            <w:tcW w:w="7620" w:type="dxa"/>
          </w:tcPr>
          <w:p w:rsidR="005643EA" w:rsidRPr="00D51A68" w:rsidRDefault="006022CB" w:rsidP="00FC1A76">
            <w:pPr>
              <w:pStyle w:val="InstructionsText"/>
              <w:rPr>
                <w:rStyle w:val="FormatvorlageInstructionsTabelleText"/>
                <w:rFonts w:ascii="Times New Roman" w:hAnsi="Times New Roman"/>
                <w:b/>
                <w:sz w:val="24"/>
                <w:u w:val="single"/>
              </w:rPr>
            </w:pPr>
            <w:r w:rsidRPr="00D51A68">
              <w:rPr>
                <w:rStyle w:val="InstructionsTabelleberschrift"/>
                <w:rFonts w:ascii="Times New Roman" w:hAnsi="Times New Roman"/>
                <w:sz w:val="24"/>
              </w:rPr>
              <w:t>1.1.1.23</w:t>
            </w:r>
            <w:r w:rsidR="00A0772B" w:rsidRPr="00D51A68">
              <w:rPr>
                <w:u w:val="single"/>
              </w:rPr>
              <w:tab/>
            </w:r>
            <w:r w:rsidRPr="00D51A68">
              <w:rPr>
                <w:rStyle w:val="InstructionsTabelleberschrift"/>
                <w:rFonts w:ascii="Times New Roman" w:hAnsi="Times New Roman"/>
                <w:sz w:val="24"/>
              </w:rPr>
              <w:t>(-) Attività fiscali differite deducibili che si basano sulla redditività futura e derivano da differenze temporanee</w:t>
            </w:r>
          </w:p>
          <w:p w:rsidR="005643EA" w:rsidRPr="00D51A68" w:rsidRDefault="00666996"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Articolo 36, paragrafo 1, lettera c), articolo 38 e articolo 48, paragrafo 1, lettera a), del CRR.</w:t>
            </w:r>
          </w:p>
          <w:p w:rsidR="005643EA" w:rsidRPr="00D51A68" w:rsidRDefault="00666996"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Parte delle attività fiscali differite che si basano sulla redditività futura e derivano da differenze temporanee (al netto della parte delle associate passività fiscali differite che sono assegnate alle attività fiscali differite derivanti da differenze temporanee, ai sensi dell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articolo 38, paragrafo 5, lettera b), del CRR) che deve essere dedotta applicando la soglia del 10</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 xml:space="preserve"> di cui all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articolo 48, paragrafo 1, lettera a), del CRR.</w:t>
            </w:r>
          </w:p>
        </w:tc>
      </w:tr>
      <w:tr w:rsidR="00666996" w:rsidRPr="00D51A68" w:rsidTr="00672D2A">
        <w:tc>
          <w:tcPr>
            <w:tcW w:w="1129" w:type="dxa"/>
          </w:tcPr>
          <w:p w:rsidR="00666996" w:rsidRPr="00D51A68" w:rsidRDefault="00666996"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500</w:t>
            </w:r>
          </w:p>
        </w:tc>
        <w:tc>
          <w:tcPr>
            <w:tcW w:w="7620" w:type="dxa"/>
          </w:tcPr>
          <w:p w:rsidR="005643EA" w:rsidRPr="00D51A68" w:rsidRDefault="006022CB" w:rsidP="00FC1A76">
            <w:pPr>
              <w:pStyle w:val="InstructionsText"/>
              <w:rPr>
                <w:rStyle w:val="FormatvorlageInstructionsTabelleText"/>
                <w:rFonts w:ascii="Times New Roman" w:hAnsi="Times New Roman"/>
                <w:b/>
                <w:sz w:val="24"/>
                <w:u w:val="single"/>
              </w:rPr>
            </w:pPr>
            <w:r w:rsidRPr="00D51A68">
              <w:rPr>
                <w:rStyle w:val="InstructionsTabelleberschrift"/>
                <w:rFonts w:ascii="Times New Roman" w:hAnsi="Times New Roman"/>
                <w:sz w:val="24"/>
              </w:rPr>
              <w:t>1.1.1.24</w:t>
            </w:r>
            <w:r w:rsidR="00A0772B" w:rsidRPr="00D51A68">
              <w:rPr>
                <w:u w:val="single"/>
              </w:rPr>
              <w:tab/>
            </w:r>
            <w:r w:rsidRPr="00D51A68">
              <w:rPr>
                <w:rStyle w:val="InstructionsTabelleberschrift"/>
                <w:rFonts w:ascii="Times New Roman" w:hAnsi="Times New Roman"/>
                <w:sz w:val="24"/>
              </w:rPr>
              <w:t>(-) Strumenti di capitale primario di classe 1 di soggetti del settore finanziario in cui 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ente ha un investimento significativo</w:t>
            </w:r>
          </w:p>
          <w:p w:rsidR="005643EA" w:rsidRPr="00D51A68" w:rsidRDefault="00666996"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Articolo 4, paragrafo 1, punto 27, articolo 36, paragrafo 1, lettera i), articoli 43, 45 e 47, articolo 48, paragrafo 1, lettera b), articolo 49, paragrafi 1, 2 e 3, e articolo 79 del CRR.</w:t>
            </w:r>
          </w:p>
          <w:p w:rsidR="005643EA" w:rsidRPr="00D51A68" w:rsidRDefault="00666996"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Parte delle partecipazioni detenute dall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 xml:space="preserve">ente in strumenti di capitale primario di classe 1 di soggetti del settore finanziario (così come definiti </w:t>
            </w:r>
            <w:r w:rsidRPr="00D51A68">
              <w:rPr>
                <w:rStyle w:val="FormatvorlageInstructionsTabelleText"/>
                <w:rFonts w:ascii="Times New Roman" w:hAnsi="Times New Roman"/>
                <w:sz w:val="24"/>
              </w:rPr>
              <w:lastRenderedPageBreak/>
              <w:t>nell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articolo</w:t>
            </w:r>
            <w:r w:rsidR="003E43C2" w:rsidRPr="00D51A68">
              <w:rPr>
                <w:rStyle w:val="FormatvorlageInstructionsTabelleText"/>
                <w:rFonts w:ascii="Times New Roman" w:hAnsi="Times New Roman"/>
                <w:sz w:val="24"/>
              </w:rPr>
              <w:t> </w:t>
            </w:r>
            <w:r w:rsidRPr="00D51A68">
              <w:rPr>
                <w:rStyle w:val="FormatvorlageInstructionsTabelleText"/>
                <w:rFonts w:ascii="Times New Roman" w:hAnsi="Times New Roman"/>
                <w:sz w:val="24"/>
              </w:rPr>
              <w:t>4, paragrafo 1, punto 27, del CRR) in cui 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ente ha un investimento significativo che deve essere d</w:t>
            </w:r>
            <w:r w:rsidR="003E43C2" w:rsidRPr="00D51A68">
              <w:rPr>
                <w:rStyle w:val="FormatvorlageInstructionsTabelleText"/>
                <w:rFonts w:ascii="Times New Roman" w:hAnsi="Times New Roman"/>
                <w:sz w:val="24"/>
              </w:rPr>
              <w:t>edotta applicando la soglia del </w:t>
            </w:r>
            <w:r w:rsidRPr="00D51A68">
              <w:rPr>
                <w:rStyle w:val="FormatvorlageInstructionsTabelleText"/>
                <w:rFonts w:ascii="Times New Roman" w:hAnsi="Times New Roman"/>
                <w:sz w:val="24"/>
              </w:rPr>
              <w:t>10% di cui all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articolo 48, paragrafo 1, lettera b), del CRR.</w:t>
            </w:r>
          </w:p>
          <w:p w:rsidR="005643EA" w:rsidRPr="00D51A68" w:rsidRDefault="00666996"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Cfr. le alternative alla deduzione in caso di applicazione del consolidamento (articolo 49, paragrafi 1, 2 e 3).</w:t>
            </w:r>
          </w:p>
        </w:tc>
      </w:tr>
      <w:tr w:rsidR="00666996" w:rsidRPr="00D51A68" w:rsidTr="00672D2A">
        <w:tc>
          <w:tcPr>
            <w:tcW w:w="1129" w:type="dxa"/>
          </w:tcPr>
          <w:p w:rsidR="00666996" w:rsidRPr="00D51A68" w:rsidRDefault="00666996"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lastRenderedPageBreak/>
              <w:t>510</w:t>
            </w:r>
          </w:p>
        </w:tc>
        <w:tc>
          <w:tcPr>
            <w:tcW w:w="7620" w:type="dxa"/>
          </w:tcPr>
          <w:p w:rsidR="005643EA" w:rsidRPr="00D51A68" w:rsidRDefault="006022CB" w:rsidP="00FC1A76">
            <w:pPr>
              <w:pStyle w:val="InstructionsText"/>
              <w:rPr>
                <w:rStyle w:val="FormatvorlageInstructionsTabelleText"/>
                <w:rFonts w:ascii="Times New Roman" w:hAnsi="Times New Roman"/>
                <w:b/>
                <w:sz w:val="24"/>
                <w:u w:val="single"/>
              </w:rPr>
            </w:pPr>
            <w:r w:rsidRPr="00D51A68">
              <w:rPr>
                <w:rStyle w:val="InstructionsTabelleberschrift"/>
                <w:rFonts w:ascii="Times New Roman" w:hAnsi="Times New Roman"/>
                <w:sz w:val="24"/>
              </w:rPr>
              <w:t>1.1.1.25</w:t>
            </w:r>
            <w:r w:rsidR="00A0772B" w:rsidRPr="00D51A68">
              <w:rPr>
                <w:u w:val="single"/>
              </w:rPr>
              <w:tab/>
            </w:r>
            <w:r w:rsidRPr="00D51A68">
              <w:rPr>
                <w:rStyle w:val="InstructionsTabelleberschrift"/>
                <w:rFonts w:ascii="Times New Roman" w:hAnsi="Times New Roman"/>
                <w:sz w:val="24"/>
              </w:rPr>
              <w:t>(-) Importo eccedente la soglia del 17,65%</w:t>
            </w:r>
          </w:p>
          <w:p w:rsidR="005643EA" w:rsidRPr="00D51A68" w:rsidRDefault="00666996"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Articolo 48, paragrafo 1, del CRR.</w:t>
            </w:r>
          </w:p>
          <w:p w:rsidR="005643EA" w:rsidRPr="00D51A68" w:rsidRDefault="00666996"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Parte delle attività fiscali differite che si basano sulla redditività futura e derivano da differenze temporanee, nonché partecipazioni dirette e indirette detenute dall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ente in strumenti di capitale primario di classe 1 di soggetti del settore finanziario (così come definiti nell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articolo 4, paragrafo 1, punto 27, del CRR) in cui 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ente ha un investimento significativo che devono essere dedotte applicando la soglia del 17,65</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 xml:space="preserve"> di cui all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articolo 48, paragrafo 1, del CRR.</w:t>
            </w:r>
          </w:p>
        </w:tc>
      </w:tr>
      <w:tr w:rsidR="00666996" w:rsidRPr="00D51A68" w:rsidTr="00672D2A">
        <w:tc>
          <w:tcPr>
            <w:tcW w:w="1129" w:type="dxa"/>
          </w:tcPr>
          <w:p w:rsidR="00666996" w:rsidRPr="00D51A68" w:rsidRDefault="00666996"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520</w:t>
            </w:r>
          </w:p>
        </w:tc>
        <w:tc>
          <w:tcPr>
            <w:tcW w:w="7620" w:type="dxa"/>
          </w:tcPr>
          <w:p w:rsidR="005643EA" w:rsidRPr="00D51A68" w:rsidRDefault="006022CB" w:rsidP="00FC1A76">
            <w:pPr>
              <w:pStyle w:val="InstructionsText"/>
              <w:rPr>
                <w:rStyle w:val="FormatvorlageInstructionsTabelleText"/>
                <w:rFonts w:ascii="Times New Roman" w:hAnsi="Times New Roman"/>
                <w:b/>
                <w:sz w:val="24"/>
                <w:u w:val="single"/>
              </w:rPr>
            </w:pPr>
            <w:r w:rsidRPr="00D51A68">
              <w:rPr>
                <w:rStyle w:val="InstructionsTabelleberschrift"/>
                <w:rFonts w:ascii="Times New Roman" w:hAnsi="Times New Roman"/>
                <w:sz w:val="24"/>
              </w:rPr>
              <w:t>1.1.1.26</w:t>
            </w:r>
            <w:r w:rsidR="00A0772B" w:rsidRPr="00D51A68">
              <w:rPr>
                <w:u w:val="single"/>
              </w:rPr>
              <w:tab/>
            </w:r>
            <w:r w:rsidRPr="00D51A68">
              <w:rPr>
                <w:rStyle w:val="InstructionsTabelleberschrift"/>
                <w:rFonts w:ascii="Times New Roman" w:hAnsi="Times New Roman"/>
                <w:sz w:val="24"/>
              </w:rPr>
              <w:t>Altri aggiustamenti transitori del capitale primario di classe 1</w:t>
            </w:r>
          </w:p>
          <w:p w:rsidR="005643EA" w:rsidRPr="00D51A68" w:rsidRDefault="00666996"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Articoli da 469 a 472 e articoli 478 e 481 del CRR.</w:t>
            </w:r>
          </w:p>
          <w:p w:rsidR="005643EA" w:rsidRPr="00D51A68" w:rsidRDefault="00666996"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Aggiustamenti delle deduzioni dovuti a disposizioni transitorie. 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importo da segnalare si ricava direttamente dal modello CA5.</w:t>
            </w:r>
          </w:p>
        </w:tc>
      </w:tr>
      <w:tr w:rsidR="00A232F8" w:rsidRPr="00D51A68" w:rsidTr="00672D2A">
        <w:tc>
          <w:tcPr>
            <w:tcW w:w="1129" w:type="dxa"/>
          </w:tcPr>
          <w:p w:rsidR="005643EA" w:rsidRPr="00D51A68" w:rsidRDefault="007E39E6"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524</w:t>
            </w:r>
          </w:p>
        </w:tc>
        <w:tc>
          <w:tcPr>
            <w:tcW w:w="7620" w:type="dxa"/>
          </w:tcPr>
          <w:p w:rsidR="005643EA" w:rsidRPr="00D51A68" w:rsidRDefault="006022CB"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1.1.1.27</w:t>
            </w:r>
            <w:r w:rsidR="00A0772B" w:rsidRPr="00D51A68">
              <w:rPr>
                <w:u w:val="single"/>
              </w:rPr>
              <w:tab/>
            </w:r>
            <w:r w:rsidRPr="00D51A68">
              <w:rPr>
                <w:rStyle w:val="InstructionsTabelleberschrift"/>
                <w:rFonts w:ascii="Times New Roman" w:hAnsi="Times New Roman"/>
                <w:sz w:val="24"/>
              </w:rPr>
              <w:t>(-) Altre deduzioni del capitale primario di classe 1 dovute all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articolo 3 del CRR</w:t>
            </w:r>
          </w:p>
          <w:p w:rsidR="005643EA" w:rsidRPr="00D51A68" w:rsidRDefault="00A232F8" w:rsidP="00FC1A76">
            <w:pPr>
              <w:pStyle w:val="InstructionsText"/>
              <w:rPr>
                <w:rStyle w:val="InstructionsTabelleberschrift"/>
                <w:rFonts w:ascii="Times New Roman" w:hAnsi="Times New Roman"/>
                <w:b w:val="0"/>
                <w:sz w:val="24"/>
                <w:u w:val="none"/>
              </w:rPr>
            </w:pPr>
            <w:r w:rsidRPr="00D51A68">
              <w:rPr>
                <w:rStyle w:val="InstructionsTabelleberschrift"/>
                <w:rFonts w:ascii="Times New Roman" w:hAnsi="Times New Roman"/>
                <w:b w:val="0"/>
                <w:sz w:val="24"/>
                <w:u w:val="none"/>
              </w:rPr>
              <w:t>Articolo 3 del CRR.</w:t>
            </w:r>
          </w:p>
        </w:tc>
      </w:tr>
      <w:tr w:rsidR="00666996" w:rsidRPr="00D51A68" w:rsidTr="00672D2A">
        <w:tc>
          <w:tcPr>
            <w:tcW w:w="1129" w:type="dxa"/>
          </w:tcPr>
          <w:p w:rsidR="005643EA" w:rsidRPr="00D51A68" w:rsidRDefault="00A232F8"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529</w:t>
            </w:r>
          </w:p>
        </w:tc>
        <w:tc>
          <w:tcPr>
            <w:tcW w:w="7620" w:type="dxa"/>
          </w:tcPr>
          <w:p w:rsidR="005643EA" w:rsidRPr="00D51A68" w:rsidRDefault="006022CB"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1.1.1.28</w:t>
            </w:r>
            <w:r w:rsidR="00A0772B" w:rsidRPr="00D51A68">
              <w:rPr>
                <w:u w:val="single"/>
              </w:rPr>
              <w:tab/>
            </w:r>
            <w:r w:rsidRPr="00D51A68">
              <w:rPr>
                <w:rStyle w:val="InstructionsTabelleberschrift"/>
                <w:rFonts w:ascii="Times New Roman" w:hAnsi="Times New Roman"/>
                <w:sz w:val="24"/>
              </w:rPr>
              <w:t>Elementi o deduzioni del capitale primario di classe 1 — altro</w:t>
            </w:r>
          </w:p>
          <w:p w:rsidR="005643EA" w:rsidRPr="00D51A68" w:rsidRDefault="00666996" w:rsidP="00FC1A76">
            <w:pPr>
              <w:pStyle w:val="InstructionsText"/>
              <w:rPr>
                <w:rStyle w:val="InstructionsTabelleberschrift"/>
                <w:rFonts w:ascii="Times New Roman" w:hAnsi="Times New Roman"/>
                <w:b w:val="0"/>
                <w:sz w:val="24"/>
                <w:u w:val="none"/>
              </w:rPr>
            </w:pPr>
            <w:r w:rsidRPr="00D51A68">
              <w:rPr>
                <w:rStyle w:val="InstructionsTabelleberschrift"/>
                <w:rFonts w:ascii="Times New Roman" w:hAnsi="Times New Roman"/>
                <w:b w:val="0"/>
                <w:sz w:val="24"/>
                <w:u w:val="none"/>
              </w:rPr>
              <w:t xml:space="preserve">Questa riga ha lo scopo di garantire flessibilità a esclusivi fini di segnalazione. È utilizzata soltanto nei rari casi in cui manchi una decisione finale sulla segnalazione di specifici elementi di capitale/deduzioni nel modello CA1 corrente. Pertanto è compilata solo qualora sia impossibile attribuire un elemento del capitale primario di classe 1 o una deduzione di un elemento del capitale primario di classe 1 a una delle righe da 020 a 524. </w:t>
            </w:r>
          </w:p>
          <w:p w:rsidR="005643EA" w:rsidRPr="00D51A68" w:rsidRDefault="00666996" w:rsidP="00FC1A76">
            <w:pPr>
              <w:pStyle w:val="InstructionsText"/>
              <w:rPr>
                <w:rStyle w:val="InstructionsTabelleberschrift"/>
                <w:rFonts w:ascii="Times New Roman" w:hAnsi="Times New Roman"/>
                <w:b w:val="0"/>
                <w:sz w:val="24"/>
                <w:u w:val="none"/>
              </w:rPr>
            </w:pPr>
            <w:r w:rsidRPr="00D51A68">
              <w:rPr>
                <w:rStyle w:val="InstructionsTabelleberschrift"/>
                <w:rFonts w:ascii="Times New Roman" w:hAnsi="Times New Roman"/>
                <w:b w:val="0"/>
                <w:sz w:val="24"/>
                <w:u w:val="none"/>
              </w:rPr>
              <w:t>Questa cella non è usata per assegnare elementi di capitale/deduzioni non soggetti al CRR nel calcolo dei coefficienti di solvibilità (ad esempio l</w:t>
            </w:r>
            <w:r w:rsidR="0009277C" w:rsidRPr="00D51A68">
              <w:rPr>
                <w:rStyle w:val="InstructionsTabelleberschrift"/>
                <w:rFonts w:ascii="Times New Roman" w:hAnsi="Times New Roman"/>
                <w:b w:val="0"/>
                <w:sz w:val="24"/>
                <w:u w:val="none"/>
              </w:rPr>
              <w:t>’</w:t>
            </w:r>
            <w:r w:rsidRPr="00D51A68">
              <w:rPr>
                <w:rStyle w:val="InstructionsTabelleberschrift"/>
                <w:rFonts w:ascii="Times New Roman" w:hAnsi="Times New Roman"/>
                <w:b w:val="0"/>
                <w:sz w:val="24"/>
                <w:u w:val="none"/>
              </w:rPr>
              <w:t>assegnazione di elementi del capitale/deduzioni nazionali che esulano dall</w:t>
            </w:r>
            <w:r w:rsidR="0009277C" w:rsidRPr="00D51A68">
              <w:rPr>
                <w:rStyle w:val="InstructionsTabelleberschrift"/>
                <w:rFonts w:ascii="Times New Roman" w:hAnsi="Times New Roman"/>
                <w:b w:val="0"/>
                <w:sz w:val="24"/>
                <w:u w:val="none"/>
              </w:rPr>
              <w:t>’</w:t>
            </w:r>
            <w:r w:rsidRPr="00D51A68">
              <w:rPr>
                <w:rStyle w:val="InstructionsTabelleberschrift"/>
                <w:rFonts w:ascii="Times New Roman" w:hAnsi="Times New Roman"/>
                <w:b w:val="0"/>
                <w:sz w:val="24"/>
                <w:u w:val="none"/>
              </w:rPr>
              <w:t>ambito di applicazione del CRR).</w:t>
            </w:r>
          </w:p>
        </w:tc>
      </w:tr>
      <w:tr w:rsidR="00666996" w:rsidRPr="00D51A68" w:rsidTr="00672D2A">
        <w:tc>
          <w:tcPr>
            <w:tcW w:w="1129" w:type="dxa"/>
          </w:tcPr>
          <w:p w:rsidR="00666996" w:rsidRPr="00D51A68" w:rsidRDefault="00666996"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530</w:t>
            </w:r>
          </w:p>
        </w:tc>
        <w:tc>
          <w:tcPr>
            <w:tcW w:w="7620" w:type="dxa"/>
          </w:tcPr>
          <w:p w:rsidR="005643EA" w:rsidRPr="00D51A68" w:rsidRDefault="006022CB" w:rsidP="00FC1A76">
            <w:pPr>
              <w:pStyle w:val="InstructionsText"/>
              <w:rPr>
                <w:rStyle w:val="FormatvorlageInstructionsTabelleText"/>
                <w:rFonts w:ascii="Times New Roman" w:hAnsi="Times New Roman"/>
                <w:b/>
                <w:sz w:val="24"/>
                <w:u w:val="single"/>
              </w:rPr>
            </w:pPr>
            <w:r w:rsidRPr="00D51A68">
              <w:rPr>
                <w:rStyle w:val="InstructionsTabelleberschrift"/>
                <w:rFonts w:ascii="Times New Roman" w:hAnsi="Times New Roman"/>
                <w:sz w:val="24"/>
              </w:rPr>
              <w:t>1.1.2</w:t>
            </w:r>
            <w:r w:rsidR="00A0772B" w:rsidRPr="00D51A68">
              <w:rPr>
                <w:u w:val="single"/>
              </w:rPr>
              <w:tab/>
            </w:r>
            <w:r w:rsidRPr="00D51A68">
              <w:rPr>
                <w:rStyle w:val="InstructionsTabelleberschrift"/>
                <w:rFonts w:ascii="Times New Roman" w:hAnsi="Times New Roman"/>
                <w:sz w:val="24"/>
              </w:rPr>
              <w:t>CAPITALE AGGIUNTIVO DI CLASSE 1</w:t>
            </w:r>
          </w:p>
          <w:p w:rsidR="005643EA" w:rsidRPr="00D51A68" w:rsidRDefault="00666996"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Articolo 61 del CRR.</w:t>
            </w:r>
          </w:p>
        </w:tc>
      </w:tr>
      <w:tr w:rsidR="00666996" w:rsidRPr="00D51A68" w:rsidTr="00672D2A">
        <w:tc>
          <w:tcPr>
            <w:tcW w:w="1129" w:type="dxa"/>
          </w:tcPr>
          <w:p w:rsidR="00666996" w:rsidRPr="00D51A68" w:rsidRDefault="00666996"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540</w:t>
            </w:r>
          </w:p>
        </w:tc>
        <w:tc>
          <w:tcPr>
            <w:tcW w:w="7620" w:type="dxa"/>
          </w:tcPr>
          <w:p w:rsidR="005643EA" w:rsidRPr="00D51A68" w:rsidRDefault="006022CB" w:rsidP="00FC1A76">
            <w:pPr>
              <w:pStyle w:val="InstructionsText"/>
              <w:rPr>
                <w:rStyle w:val="FormatvorlageInstructionsTabelleText"/>
                <w:rFonts w:ascii="Times New Roman" w:hAnsi="Times New Roman"/>
                <w:b/>
                <w:sz w:val="24"/>
                <w:u w:val="single"/>
              </w:rPr>
            </w:pPr>
            <w:r w:rsidRPr="00D51A68">
              <w:rPr>
                <w:rStyle w:val="InstructionsTabelleberschrift"/>
                <w:rFonts w:ascii="Times New Roman" w:hAnsi="Times New Roman"/>
                <w:sz w:val="24"/>
              </w:rPr>
              <w:t>1.1.2.1</w:t>
            </w:r>
            <w:r w:rsidR="00A0772B" w:rsidRPr="00D51A68">
              <w:rPr>
                <w:u w:val="single"/>
              </w:rPr>
              <w:tab/>
            </w:r>
            <w:r w:rsidRPr="00D51A68">
              <w:rPr>
                <w:rStyle w:val="InstructionsTabelleberschrift"/>
                <w:rFonts w:ascii="Times New Roman" w:hAnsi="Times New Roman"/>
                <w:sz w:val="24"/>
              </w:rPr>
              <w:t>Strumenti di capitale ammissibili come capitale aggiuntivo di classe 1</w:t>
            </w:r>
          </w:p>
          <w:p w:rsidR="005643EA" w:rsidRPr="00D51A68" w:rsidRDefault="00666996"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Articolo 51, lettera a), articoli da 52 a 54, articolo 56, lettera a), e articolo 57 del CRR.</w:t>
            </w:r>
          </w:p>
        </w:tc>
      </w:tr>
      <w:tr w:rsidR="00666996" w:rsidRPr="00D51A68" w:rsidTr="00672D2A">
        <w:tc>
          <w:tcPr>
            <w:tcW w:w="1129" w:type="dxa"/>
          </w:tcPr>
          <w:p w:rsidR="00666996" w:rsidRPr="00D51A68" w:rsidRDefault="00666996"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550</w:t>
            </w:r>
          </w:p>
        </w:tc>
        <w:tc>
          <w:tcPr>
            <w:tcW w:w="7620" w:type="dxa"/>
          </w:tcPr>
          <w:p w:rsidR="005643EA" w:rsidRPr="00D51A68" w:rsidRDefault="006022CB" w:rsidP="00FC1A76">
            <w:pPr>
              <w:pStyle w:val="InstructionsText"/>
              <w:rPr>
                <w:rStyle w:val="FormatvorlageInstructionsTabelleText"/>
                <w:rFonts w:ascii="Times New Roman" w:hAnsi="Times New Roman"/>
                <w:b/>
                <w:sz w:val="24"/>
                <w:u w:val="single"/>
              </w:rPr>
            </w:pPr>
            <w:r w:rsidRPr="00D51A68">
              <w:rPr>
                <w:rStyle w:val="InstructionsTabelleberschrift"/>
                <w:rFonts w:ascii="Times New Roman" w:hAnsi="Times New Roman"/>
                <w:sz w:val="24"/>
              </w:rPr>
              <w:t>1.1.2.1.1</w:t>
            </w:r>
            <w:r w:rsidR="00A0772B" w:rsidRPr="00D51A68">
              <w:rPr>
                <w:u w:val="single"/>
              </w:rPr>
              <w:tab/>
            </w:r>
            <w:r w:rsidRPr="00D51A68">
              <w:rPr>
                <w:rStyle w:val="InstructionsTabelleberschrift"/>
                <w:rFonts w:ascii="Times New Roman" w:hAnsi="Times New Roman"/>
                <w:sz w:val="24"/>
              </w:rPr>
              <w:t>Strumenti di capitale versati</w:t>
            </w:r>
          </w:p>
          <w:p w:rsidR="005643EA" w:rsidRPr="00D51A68" w:rsidRDefault="00666996"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Articolo 51, lettera a), e articoli da 52 a 54 del CRR.</w:t>
            </w:r>
          </w:p>
          <w:p w:rsidR="005643EA" w:rsidRPr="00D51A68" w:rsidRDefault="00666996"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lastRenderedPageBreak/>
              <w:t>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importo da segnalare non comprende il sovrapprezzo azioni relativo agli strumenti.</w:t>
            </w:r>
          </w:p>
        </w:tc>
      </w:tr>
      <w:tr w:rsidR="00666996" w:rsidRPr="00D51A68" w:rsidTr="00672D2A">
        <w:tc>
          <w:tcPr>
            <w:tcW w:w="1129" w:type="dxa"/>
          </w:tcPr>
          <w:p w:rsidR="00666996" w:rsidRPr="00D51A68" w:rsidRDefault="00666996"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lastRenderedPageBreak/>
              <w:t>560</w:t>
            </w:r>
          </w:p>
        </w:tc>
        <w:tc>
          <w:tcPr>
            <w:tcW w:w="7620" w:type="dxa"/>
          </w:tcPr>
          <w:p w:rsidR="005643EA" w:rsidRPr="00D51A68" w:rsidRDefault="006022CB" w:rsidP="00FC1A76">
            <w:pPr>
              <w:pStyle w:val="InstructionsText"/>
              <w:rPr>
                <w:rStyle w:val="FormatvorlageInstructionsTabelleText"/>
                <w:rFonts w:ascii="Times New Roman" w:hAnsi="Times New Roman"/>
                <w:b/>
                <w:sz w:val="24"/>
                <w:u w:val="single"/>
              </w:rPr>
            </w:pPr>
            <w:r w:rsidRPr="00D51A68">
              <w:rPr>
                <w:rStyle w:val="InstructionsTabelleberschrift"/>
                <w:rFonts w:ascii="Times New Roman" w:hAnsi="Times New Roman"/>
                <w:sz w:val="24"/>
              </w:rPr>
              <w:t>1.1.2.1.2 (*)</w:t>
            </w:r>
            <w:r w:rsidR="00A0772B" w:rsidRPr="00D51A68">
              <w:rPr>
                <w:u w:val="single"/>
              </w:rPr>
              <w:tab/>
            </w:r>
            <w:r w:rsidRPr="00D51A68">
              <w:rPr>
                <w:rStyle w:val="InstructionsTabelleberschrift"/>
                <w:rFonts w:ascii="Times New Roman" w:hAnsi="Times New Roman"/>
                <w:sz w:val="24"/>
              </w:rPr>
              <w:t>Voce per memoria: Strumenti di capitale non ammissibili</w:t>
            </w:r>
          </w:p>
          <w:p w:rsidR="005643EA" w:rsidRPr="00D51A68" w:rsidRDefault="00666996"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Articolo 52, paragrafo 1, lettere c), e) ed f), del CRR.</w:t>
            </w:r>
          </w:p>
          <w:p w:rsidR="005643EA" w:rsidRPr="00D51A68" w:rsidRDefault="00666996"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Le condizioni previste dalle lettere citate valgono per situazioni di capitale differenti, che sono reversibili; ne consegue che 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importo qui indicato può diventare ammissibile in periodi successivi.</w:t>
            </w:r>
          </w:p>
          <w:p w:rsidR="005643EA" w:rsidRPr="00D51A68" w:rsidRDefault="00666996"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importo da segnalare non comprende il sovrapprezzo azioni relativo agli strumenti.</w:t>
            </w:r>
          </w:p>
        </w:tc>
      </w:tr>
      <w:tr w:rsidR="00666996" w:rsidRPr="00D51A68" w:rsidTr="00672D2A">
        <w:tc>
          <w:tcPr>
            <w:tcW w:w="1129" w:type="dxa"/>
          </w:tcPr>
          <w:p w:rsidR="00666996" w:rsidRPr="00D51A68" w:rsidRDefault="00666996"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570</w:t>
            </w:r>
          </w:p>
        </w:tc>
        <w:tc>
          <w:tcPr>
            <w:tcW w:w="7620" w:type="dxa"/>
          </w:tcPr>
          <w:p w:rsidR="005643EA" w:rsidRPr="00D51A68" w:rsidRDefault="006022CB" w:rsidP="00FC1A76">
            <w:pPr>
              <w:pStyle w:val="InstructionsText"/>
              <w:rPr>
                <w:rStyle w:val="FormatvorlageInstructionsTabelleText"/>
                <w:rFonts w:ascii="Times New Roman" w:hAnsi="Times New Roman"/>
                <w:b/>
                <w:sz w:val="24"/>
                <w:u w:val="single"/>
              </w:rPr>
            </w:pPr>
            <w:r w:rsidRPr="00D51A68">
              <w:rPr>
                <w:rStyle w:val="InstructionsTabelleberschrift"/>
                <w:rFonts w:ascii="Times New Roman" w:hAnsi="Times New Roman"/>
                <w:sz w:val="24"/>
              </w:rPr>
              <w:t>1.1.2.1.3</w:t>
            </w:r>
            <w:r w:rsidR="00A0772B" w:rsidRPr="00D51A68">
              <w:rPr>
                <w:u w:val="single"/>
              </w:rPr>
              <w:tab/>
            </w:r>
            <w:r w:rsidRPr="00D51A68">
              <w:rPr>
                <w:rStyle w:val="InstructionsTabelleberschrift"/>
                <w:rFonts w:ascii="Times New Roman" w:hAnsi="Times New Roman"/>
                <w:sz w:val="24"/>
              </w:rPr>
              <w:t>Sovrapprezzo azioni</w:t>
            </w:r>
          </w:p>
          <w:p w:rsidR="005643EA" w:rsidRPr="00D51A68" w:rsidRDefault="00666996"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Articolo 51, lettera b), del CRR.</w:t>
            </w:r>
          </w:p>
          <w:p w:rsidR="005643EA" w:rsidRPr="00D51A68" w:rsidRDefault="00666996"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 xml:space="preserve">Il </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sovrapprezzo azioni</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 xml:space="preserve"> ha lo stesso significato di cui al principio contabile applicabile. </w:t>
            </w:r>
          </w:p>
          <w:p w:rsidR="005643EA" w:rsidRPr="00D51A68" w:rsidRDefault="00666996"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 xml:space="preserve">importo da segnalare in questa voce è la parte relativa agli </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strumenti di capitale versati</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w:t>
            </w:r>
          </w:p>
        </w:tc>
      </w:tr>
      <w:tr w:rsidR="00666996" w:rsidRPr="00D51A68" w:rsidTr="00672D2A">
        <w:tc>
          <w:tcPr>
            <w:tcW w:w="1129" w:type="dxa"/>
          </w:tcPr>
          <w:p w:rsidR="00666996" w:rsidRPr="00D51A68" w:rsidRDefault="00666996"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580</w:t>
            </w:r>
          </w:p>
        </w:tc>
        <w:tc>
          <w:tcPr>
            <w:tcW w:w="7620" w:type="dxa"/>
          </w:tcPr>
          <w:p w:rsidR="005643EA" w:rsidRPr="00D51A68" w:rsidRDefault="006022CB" w:rsidP="00FC1A76">
            <w:pPr>
              <w:pStyle w:val="InstructionsText"/>
              <w:rPr>
                <w:rStyle w:val="FormatvorlageInstructionsTabelleText"/>
                <w:rFonts w:ascii="Times New Roman" w:hAnsi="Times New Roman"/>
                <w:b/>
                <w:sz w:val="24"/>
                <w:u w:val="single"/>
              </w:rPr>
            </w:pPr>
            <w:r w:rsidRPr="00D51A68">
              <w:rPr>
                <w:rStyle w:val="InstructionsTabelleberschrift"/>
                <w:rFonts w:ascii="Times New Roman" w:hAnsi="Times New Roman"/>
                <w:sz w:val="24"/>
              </w:rPr>
              <w:t>1.1.2.1.4</w:t>
            </w:r>
            <w:r w:rsidR="00A0772B" w:rsidRPr="00D51A68">
              <w:rPr>
                <w:u w:val="single"/>
              </w:rPr>
              <w:tab/>
            </w:r>
            <w:r w:rsidRPr="00D51A68">
              <w:rPr>
                <w:rStyle w:val="InstructionsTabelleberschrift"/>
                <w:rFonts w:ascii="Times New Roman" w:hAnsi="Times New Roman"/>
                <w:sz w:val="24"/>
              </w:rPr>
              <w:t>(-) Strumenti propri di capitale aggiuntivo di classe 1</w:t>
            </w:r>
          </w:p>
          <w:p w:rsidR="005643EA" w:rsidRPr="00D51A68" w:rsidRDefault="00666996"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Articolo 52, paragrafo 1, lettera b), articolo 56, lettera a), e articolo 57 del CRR.</w:t>
            </w:r>
          </w:p>
          <w:p w:rsidR="005643EA" w:rsidRPr="00D51A68" w:rsidRDefault="00666996"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Strumenti propri di capitale aggiuntivo di classe 1 detenuti dall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ente o gruppo segnalante alla data di riferimento. Soggetti alle eccezioni di cui all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articolo 57 del CRR.</w:t>
            </w:r>
          </w:p>
          <w:p w:rsidR="005643EA" w:rsidRPr="00D51A68" w:rsidRDefault="00666996"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 xml:space="preserve">Le partecipazioni azionarie incluse come </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strumenti di capitale non ammissibili</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 xml:space="preserve"> non sono segnalate in questa riga.</w:t>
            </w:r>
          </w:p>
          <w:p w:rsidR="005643EA" w:rsidRPr="00D51A68" w:rsidRDefault="00666996"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importo da segnalare comprende il sovrapprezzo azioni relativo alle azioni proprie.</w:t>
            </w:r>
          </w:p>
          <w:p w:rsidR="005643EA" w:rsidRPr="00D51A68" w:rsidRDefault="00666996"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Le voci da 1.1.2.1.4 a 1.1.2.1.4.3 non comprendono gli obblighi effettivi o potenziali di acquistare gli strumenti propri di capitale primario di classe 1. Gli obblighi effettivi o potenziali di acquistare strumenti propri di capitale aggiuntivo di classe 1 sono segnalati separatamente nella voce 1.1.2.1.5.</w:t>
            </w:r>
          </w:p>
        </w:tc>
      </w:tr>
      <w:tr w:rsidR="00666996" w:rsidRPr="00D51A68" w:rsidTr="00672D2A">
        <w:tc>
          <w:tcPr>
            <w:tcW w:w="1129" w:type="dxa"/>
          </w:tcPr>
          <w:p w:rsidR="00666996" w:rsidRPr="00D51A68" w:rsidRDefault="00666996"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590</w:t>
            </w:r>
          </w:p>
        </w:tc>
        <w:tc>
          <w:tcPr>
            <w:tcW w:w="7620" w:type="dxa"/>
          </w:tcPr>
          <w:p w:rsidR="005643EA" w:rsidRPr="00D51A68" w:rsidRDefault="006022CB" w:rsidP="00FC1A76">
            <w:pPr>
              <w:pStyle w:val="InstructionsText"/>
              <w:rPr>
                <w:rStyle w:val="FormatvorlageInstructionsTabelleText"/>
                <w:rFonts w:ascii="Times New Roman" w:hAnsi="Times New Roman"/>
                <w:b/>
                <w:sz w:val="24"/>
                <w:u w:val="single"/>
              </w:rPr>
            </w:pPr>
            <w:r w:rsidRPr="00D51A68">
              <w:rPr>
                <w:rStyle w:val="InstructionsTabelleberschrift"/>
                <w:rFonts w:ascii="Times New Roman" w:hAnsi="Times New Roman"/>
                <w:sz w:val="24"/>
              </w:rPr>
              <w:t>1.1.2.1.4.1</w:t>
            </w:r>
            <w:r w:rsidR="00A0772B" w:rsidRPr="00D51A68">
              <w:rPr>
                <w:u w:val="single"/>
              </w:rPr>
              <w:tab/>
            </w:r>
            <w:r w:rsidRPr="00D51A68">
              <w:rPr>
                <w:rStyle w:val="InstructionsTabelleberschrift"/>
                <w:rFonts w:ascii="Times New Roman" w:hAnsi="Times New Roman"/>
                <w:sz w:val="24"/>
              </w:rPr>
              <w:t>(-) Strumenti di capitale aggiuntivo di classe 1 detenuti direttamente</w:t>
            </w:r>
          </w:p>
          <w:p w:rsidR="005643EA" w:rsidRPr="00D51A68" w:rsidRDefault="00666996"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Articolo 4, paragrafo 1, punto 114, articolo 52, paragrafo 1, lettera b), articolo 56, lettera a), e articolo 57 del CRR.</w:t>
            </w:r>
          </w:p>
          <w:p w:rsidR="005643EA" w:rsidRPr="00D51A68" w:rsidRDefault="00666996"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 xml:space="preserve">Strumenti di capitale aggiuntivo di classe 1 compresi nella voce 1.1.2.1.1 detenuti da enti del gruppo consolidato. </w:t>
            </w:r>
          </w:p>
        </w:tc>
      </w:tr>
      <w:tr w:rsidR="00666996" w:rsidRPr="00D51A68" w:rsidTr="00672D2A">
        <w:tc>
          <w:tcPr>
            <w:tcW w:w="1129" w:type="dxa"/>
          </w:tcPr>
          <w:p w:rsidR="00666996" w:rsidRPr="00D51A68" w:rsidRDefault="00666996"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620</w:t>
            </w:r>
          </w:p>
        </w:tc>
        <w:tc>
          <w:tcPr>
            <w:tcW w:w="7620" w:type="dxa"/>
          </w:tcPr>
          <w:p w:rsidR="005643EA" w:rsidRPr="00D51A68" w:rsidRDefault="006455B0" w:rsidP="00FC1A76">
            <w:pPr>
              <w:pStyle w:val="InstructionsText"/>
              <w:rPr>
                <w:rStyle w:val="FormatvorlageInstructionsTabelleText"/>
                <w:rFonts w:ascii="Times New Roman" w:hAnsi="Times New Roman"/>
                <w:b/>
                <w:sz w:val="24"/>
                <w:u w:val="single"/>
              </w:rPr>
            </w:pPr>
            <w:r w:rsidRPr="00D51A68">
              <w:rPr>
                <w:rStyle w:val="InstructionsTabelleberschrift"/>
                <w:rFonts w:ascii="Times New Roman" w:hAnsi="Times New Roman"/>
                <w:sz w:val="24"/>
              </w:rPr>
              <w:t>1.1.2.1.4.2</w:t>
            </w:r>
            <w:r w:rsidR="00A0772B" w:rsidRPr="00D51A68">
              <w:rPr>
                <w:u w:val="single"/>
              </w:rPr>
              <w:tab/>
            </w:r>
            <w:r w:rsidRPr="00D51A68">
              <w:rPr>
                <w:rStyle w:val="InstructionsTabelleberschrift"/>
                <w:rFonts w:ascii="Times New Roman" w:hAnsi="Times New Roman"/>
                <w:sz w:val="24"/>
              </w:rPr>
              <w:t>(-) Strumenti di capitale aggiuntivo di classe 1 detenuti indirettamente</w:t>
            </w:r>
          </w:p>
          <w:p w:rsidR="005643EA" w:rsidRPr="00D51A68" w:rsidRDefault="00666996"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Articolo 52, paragrafo 1, lettera b), punto ii), articolo 56</w:t>
            </w:r>
            <w:r w:rsidR="003E43C2" w:rsidRPr="00D51A68">
              <w:rPr>
                <w:rStyle w:val="FormatvorlageInstructionsTabelleText"/>
                <w:rFonts w:ascii="Times New Roman" w:hAnsi="Times New Roman"/>
                <w:sz w:val="24"/>
              </w:rPr>
              <w:t>, lettera a), e articolo </w:t>
            </w:r>
            <w:r w:rsidRPr="00D51A68">
              <w:rPr>
                <w:rStyle w:val="FormatvorlageInstructionsTabelleText"/>
                <w:rFonts w:ascii="Times New Roman" w:hAnsi="Times New Roman"/>
                <w:sz w:val="24"/>
              </w:rPr>
              <w:t>57 del CRR.</w:t>
            </w:r>
          </w:p>
        </w:tc>
      </w:tr>
      <w:tr w:rsidR="00666996" w:rsidRPr="00D51A68" w:rsidTr="00672D2A">
        <w:tc>
          <w:tcPr>
            <w:tcW w:w="1129" w:type="dxa"/>
          </w:tcPr>
          <w:p w:rsidR="00666996" w:rsidRPr="00D51A68" w:rsidRDefault="00666996" w:rsidP="003E43C2">
            <w:pPr>
              <w:pStyle w:val="InstructionsText"/>
              <w:keepNext/>
              <w:rPr>
                <w:rStyle w:val="FormatvorlageInstructionsTabelleText"/>
                <w:rFonts w:ascii="Times New Roman" w:hAnsi="Times New Roman"/>
                <w:sz w:val="24"/>
              </w:rPr>
            </w:pPr>
            <w:r w:rsidRPr="00D51A68">
              <w:rPr>
                <w:rStyle w:val="FormatvorlageInstructionsTabelleText"/>
                <w:rFonts w:ascii="Times New Roman" w:hAnsi="Times New Roman"/>
                <w:sz w:val="24"/>
              </w:rPr>
              <w:lastRenderedPageBreak/>
              <w:t>621</w:t>
            </w:r>
          </w:p>
        </w:tc>
        <w:tc>
          <w:tcPr>
            <w:tcW w:w="7620" w:type="dxa"/>
          </w:tcPr>
          <w:p w:rsidR="005643EA" w:rsidRPr="00D51A68" w:rsidRDefault="006455B0" w:rsidP="003E43C2">
            <w:pPr>
              <w:pStyle w:val="InstructionsText"/>
              <w:keepNext/>
            </w:pPr>
            <w:r w:rsidRPr="00D51A68">
              <w:rPr>
                <w:rStyle w:val="InstructionsTabelleberschrift"/>
                <w:rFonts w:ascii="Times New Roman" w:hAnsi="Times New Roman"/>
                <w:sz w:val="24"/>
              </w:rPr>
              <w:t>1.1.2.1.4.3</w:t>
            </w:r>
            <w:r w:rsidR="00A0772B" w:rsidRPr="00D51A68">
              <w:rPr>
                <w:u w:val="single"/>
              </w:rPr>
              <w:tab/>
            </w:r>
            <w:r w:rsidRPr="00D51A68">
              <w:rPr>
                <w:rStyle w:val="InstructionsTabelleberschrift"/>
                <w:rFonts w:ascii="Times New Roman" w:hAnsi="Times New Roman"/>
                <w:sz w:val="24"/>
              </w:rPr>
              <w:t>(-) Strumenti di capitale aggiuntivo di classe 1 detenuti sinteticamente</w:t>
            </w:r>
          </w:p>
          <w:p w:rsidR="005643EA" w:rsidRPr="00D51A68" w:rsidRDefault="00805255" w:rsidP="003E43C2">
            <w:pPr>
              <w:pStyle w:val="InstructionsText"/>
              <w:keepNext/>
              <w:rPr>
                <w:rStyle w:val="InstructionsTabelleberschrift"/>
                <w:rFonts w:ascii="Times New Roman" w:hAnsi="Times New Roman"/>
                <w:b w:val="0"/>
                <w:bCs w:val="0"/>
                <w:sz w:val="24"/>
                <w:u w:val="none"/>
              </w:rPr>
            </w:pPr>
            <w:r w:rsidRPr="00D51A68">
              <w:t>Articolo 4, paragrafo 1, punto 126, articolo 52, paragrafo 1, lettera b), articolo 56, lettera a), e articolo 57 del CRR</w:t>
            </w:r>
          </w:p>
        </w:tc>
      </w:tr>
      <w:tr w:rsidR="00666996" w:rsidRPr="00D51A68" w:rsidTr="00672D2A">
        <w:tc>
          <w:tcPr>
            <w:tcW w:w="1129" w:type="dxa"/>
          </w:tcPr>
          <w:p w:rsidR="005643EA" w:rsidRPr="00D51A68" w:rsidRDefault="007E39E6"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622</w:t>
            </w:r>
          </w:p>
        </w:tc>
        <w:tc>
          <w:tcPr>
            <w:tcW w:w="7620" w:type="dxa"/>
          </w:tcPr>
          <w:p w:rsidR="005643EA" w:rsidRPr="00D51A68" w:rsidRDefault="006455B0" w:rsidP="00FC1A76">
            <w:pPr>
              <w:pStyle w:val="InstructionsText"/>
              <w:rPr>
                <w:rStyle w:val="FormatvorlageInstructionsTabelleText"/>
                <w:rFonts w:ascii="Times New Roman" w:hAnsi="Times New Roman"/>
                <w:b/>
                <w:sz w:val="24"/>
                <w:u w:val="single"/>
              </w:rPr>
            </w:pPr>
            <w:r w:rsidRPr="00D51A68">
              <w:rPr>
                <w:rStyle w:val="InstructionsTabelleberschrift"/>
                <w:rFonts w:ascii="Times New Roman" w:hAnsi="Times New Roman"/>
                <w:sz w:val="24"/>
              </w:rPr>
              <w:t>1.1.2.1.5</w:t>
            </w:r>
            <w:r w:rsidR="00A0772B" w:rsidRPr="00D51A68">
              <w:rPr>
                <w:u w:val="single"/>
              </w:rPr>
              <w:tab/>
            </w:r>
            <w:r w:rsidRPr="00D51A68">
              <w:rPr>
                <w:rStyle w:val="InstructionsTabelleberschrift"/>
                <w:rFonts w:ascii="Times New Roman" w:hAnsi="Times New Roman"/>
                <w:sz w:val="24"/>
              </w:rPr>
              <w:t>(-) Obblighi effettivi o potenziali di acquistare strumenti propri di capitale aggiuntivo di classe 1</w:t>
            </w:r>
          </w:p>
          <w:p w:rsidR="005643EA" w:rsidRPr="00D51A68" w:rsidRDefault="00666996"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Articolo 56, lettera a), e articolo 57 del CRR.</w:t>
            </w:r>
          </w:p>
          <w:p w:rsidR="005643EA" w:rsidRPr="00D51A68" w:rsidRDefault="00666996"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b w:val="0"/>
                <w:sz w:val="24"/>
                <w:u w:val="none"/>
              </w:rPr>
              <w:t>Ai sensi dell</w:t>
            </w:r>
            <w:r w:rsidR="0009277C" w:rsidRPr="00D51A68">
              <w:rPr>
                <w:rStyle w:val="InstructionsTabelleberschrift"/>
                <w:rFonts w:ascii="Times New Roman" w:hAnsi="Times New Roman"/>
                <w:b w:val="0"/>
                <w:sz w:val="24"/>
                <w:u w:val="none"/>
              </w:rPr>
              <w:t>’</w:t>
            </w:r>
            <w:r w:rsidRPr="00D51A68">
              <w:rPr>
                <w:rStyle w:val="InstructionsTabelleberschrift"/>
                <w:rFonts w:ascii="Times New Roman" w:hAnsi="Times New Roman"/>
                <w:b w:val="0"/>
                <w:sz w:val="24"/>
                <w:u w:val="none"/>
              </w:rPr>
              <w:t>articolo 56, lettera a), del CRR</w:t>
            </w:r>
            <w:r w:rsidRPr="00D51A68">
              <w:t xml:space="preserve"> sono dedotti gli strumenti propri di capitale aggiuntivo di classe 1 </w:t>
            </w:r>
            <w:r w:rsidR="0009277C" w:rsidRPr="00D51A68">
              <w:t>“</w:t>
            </w:r>
            <w:r w:rsidRPr="00D51A68">
              <w:t>che un ente potrebbe essere obbligato ad acquistare in virtù di obblighi contrattuali esistenti</w:t>
            </w:r>
            <w:r w:rsidR="0009277C" w:rsidRPr="00D51A68">
              <w:t>”</w:t>
            </w:r>
            <w:r w:rsidRPr="00D51A68">
              <w:t>.</w:t>
            </w:r>
          </w:p>
        </w:tc>
      </w:tr>
      <w:tr w:rsidR="00666996" w:rsidRPr="00D51A68" w:rsidTr="00672D2A">
        <w:tc>
          <w:tcPr>
            <w:tcW w:w="1129" w:type="dxa"/>
          </w:tcPr>
          <w:p w:rsidR="00666996" w:rsidRPr="00D51A68" w:rsidRDefault="00666996"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660</w:t>
            </w:r>
          </w:p>
        </w:tc>
        <w:tc>
          <w:tcPr>
            <w:tcW w:w="7620" w:type="dxa"/>
          </w:tcPr>
          <w:p w:rsidR="005643EA" w:rsidRPr="00D51A68" w:rsidRDefault="006455B0" w:rsidP="00FC1A76">
            <w:pPr>
              <w:pStyle w:val="InstructionsText"/>
              <w:rPr>
                <w:rStyle w:val="FormatvorlageInstructionsTabelleText"/>
                <w:rFonts w:ascii="Times New Roman" w:hAnsi="Times New Roman"/>
                <w:b/>
                <w:sz w:val="24"/>
                <w:u w:val="single"/>
              </w:rPr>
            </w:pPr>
            <w:r w:rsidRPr="00D51A68">
              <w:rPr>
                <w:rStyle w:val="InstructionsTabelleberschrift"/>
                <w:rFonts w:ascii="Times New Roman" w:hAnsi="Times New Roman"/>
                <w:sz w:val="24"/>
              </w:rPr>
              <w:t>1.1.2.2</w:t>
            </w:r>
            <w:r w:rsidR="00A0772B" w:rsidRPr="00D51A68">
              <w:rPr>
                <w:u w:val="single"/>
              </w:rPr>
              <w:tab/>
            </w:r>
            <w:r w:rsidRPr="00D51A68">
              <w:rPr>
                <w:rStyle w:val="InstructionsTabelleberschrift"/>
                <w:rFonts w:ascii="Times New Roman" w:hAnsi="Times New Roman"/>
                <w:sz w:val="24"/>
              </w:rPr>
              <w:t>Aggiustamenti transitori dovuti a strumenti di capitale aggiuntivo di classe 1 soggetti alla clausola grandfathering</w:t>
            </w:r>
          </w:p>
          <w:p w:rsidR="005643EA" w:rsidRPr="00D51A68" w:rsidRDefault="00666996"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Articolo 483, paragrafi 4 e 5, articoli da 484 a 487 e articoli 489 e 491 del CRR.</w:t>
            </w:r>
          </w:p>
          <w:p w:rsidR="005643EA" w:rsidRPr="00D51A68" w:rsidRDefault="00666996"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Importo degli strumenti di capitale assoggettati temporaneamente alla clausola grandfathering come capitale aggiuntivo di classe 1. 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importo da segnalare si ricava direttamente dal modello CA5.</w:t>
            </w:r>
          </w:p>
        </w:tc>
      </w:tr>
      <w:tr w:rsidR="00666996" w:rsidRPr="00D51A68" w:rsidTr="00672D2A">
        <w:tc>
          <w:tcPr>
            <w:tcW w:w="1129" w:type="dxa"/>
          </w:tcPr>
          <w:p w:rsidR="00666996" w:rsidRPr="00D51A68" w:rsidRDefault="00666996"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670</w:t>
            </w:r>
          </w:p>
        </w:tc>
        <w:tc>
          <w:tcPr>
            <w:tcW w:w="7620" w:type="dxa"/>
          </w:tcPr>
          <w:p w:rsidR="005643EA" w:rsidRPr="00D51A68" w:rsidRDefault="006455B0" w:rsidP="00FC1A76">
            <w:pPr>
              <w:pStyle w:val="InstructionsText"/>
              <w:rPr>
                <w:rStyle w:val="FormatvorlageInstructionsTabelleText"/>
                <w:rFonts w:ascii="Times New Roman" w:hAnsi="Times New Roman"/>
                <w:b/>
                <w:sz w:val="24"/>
                <w:u w:val="single"/>
              </w:rPr>
            </w:pPr>
            <w:r w:rsidRPr="00D51A68">
              <w:rPr>
                <w:rStyle w:val="InstructionsTabelleberschrift"/>
                <w:rFonts w:ascii="Times New Roman" w:hAnsi="Times New Roman"/>
                <w:sz w:val="24"/>
              </w:rPr>
              <w:t>1.1.2.3</w:t>
            </w:r>
            <w:r w:rsidR="00A0772B" w:rsidRPr="00D51A68">
              <w:rPr>
                <w:u w:val="single"/>
              </w:rPr>
              <w:tab/>
            </w:r>
            <w:r w:rsidRPr="00D51A68">
              <w:rPr>
                <w:rStyle w:val="InstructionsTabelleberschrift"/>
                <w:rFonts w:ascii="Times New Roman" w:hAnsi="Times New Roman"/>
                <w:sz w:val="24"/>
              </w:rPr>
              <w:t>Strumenti emessi da filiazioni riconosciuti nel capitale aggiuntivo di classe 1</w:t>
            </w:r>
          </w:p>
          <w:p w:rsidR="005643EA" w:rsidRPr="00D51A68" w:rsidRDefault="00666996"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Articoli 83, 85 e 86 del CRR.</w:t>
            </w:r>
          </w:p>
          <w:p w:rsidR="00477CB6" w:rsidRPr="00D51A68" w:rsidRDefault="00666996"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Somma di tutti gli importi del capitale di classe 1 ammissibile delle filiazioni compreso nel capitale aggiuntivo di classe 1 consolidato.</w:t>
            </w:r>
          </w:p>
          <w:p w:rsidR="00106FC5" w:rsidRPr="00D51A68" w:rsidRDefault="00106FC5"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È compreso il capitale aggiuntivo di classe 1 ammissibile emesso da società veicolo (articolo 83 del CRR).</w:t>
            </w:r>
          </w:p>
        </w:tc>
      </w:tr>
      <w:tr w:rsidR="00666996" w:rsidRPr="00D51A68" w:rsidTr="00672D2A">
        <w:tc>
          <w:tcPr>
            <w:tcW w:w="1129" w:type="dxa"/>
          </w:tcPr>
          <w:p w:rsidR="00666996" w:rsidRPr="00D51A68" w:rsidRDefault="00666996"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680</w:t>
            </w:r>
          </w:p>
        </w:tc>
        <w:tc>
          <w:tcPr>
            <w:tcW w:w="7620" w:type="dxa"/>
          </w:tcPr>
          <w:p w:rsidR="005643EA" w:rsidRPr="00D51A68" w:rsidRDefault="006455B0" w:rsidP="00FC1A76">
            <w:pPr>
              <w:pStyle w:val="InstructionsText"/>
              <w:rPr>
                <w:rStyle w:val="FormatvorlageInstructionsTabelleText"/>
                <w:rFonts w:ascii="Times New Roman" w:hAnsi="Times New Roman"/>
                <w:b/>
                <w:sz w:val="24"/>
                <w:u w:val="single"/>
              </w:rPr>
            </w:pPr>
            <w:r w:rsidRPr="00D51A68">
              <w:rPr>
                <w:rStyle w:val="InstructionsTabelleberschrift"/>
                <w:rFonts w:ascii="Times New Roman" w:hAnsi="Times New Roman"/>
                <w:sz w:val="24"/>
              </w:rPr>
              <w:t>1.1.2.4</w:t>
            </w:r>
            <w:r w:rsidR="00A0772B" w:rsidRPr="00D51A68">
              <w:rPr>
                <w:u w:val="single"/>
              </w:rPr>
              <w:tab/>
            </w:r>
            <w:r w:rsidRPr="00D51A68">
              <w:rPr>
                <w:rStyle w:val="InstructionsTabelleberschrift"/>
                <w:rFonts w:ascii="Times New Roman" w:hAnsi="Times New Roman"/>
                <w:sz w:val="24"/>
              </w:rPr>
              <w:t>Aggiustamenti transitori dovuti al riconoscimento aggiuntivo di strumenti emessi da filiazioni nel capitale aggiuntivo di classe 1</w:t>
            </w:r>
          </w:p>
          <w:p w:rsidR="005643EA" w:rsidRPr="00D51A68" w:rsidRDefault="00666996"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Articolo 480 del CRR.</w:t>
            </w:r>
          </w:p>
          <w:p w:rsidR="005643EA" w:rsidRPr="00D51A68" w:rsidRDefault="00666996"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Aggiustamenti del capitale di classe 1 ammissibile compreso nel capitale aggiuntivo di classe 1 consolidato dovuti a disposizioni transitorie. Questa voce si ricava direttamente dal modello CA5.</w:t>
            </w:r>
          </w:p>
        </w:tc>
      </w:tr>
      <w:tr w:rsidR="00666996" w:rsidRPr="00D51A68" w:rsidTr="00672D2A">
        <w:tc>
          <w:tcPr>
            <w:tcW w:w="1129" w:type="dxa"/>
          </w:tcPr>
          <w:p w:rsidR="00666996" w:rsidRPr="00D51A68" w:rsidRDefault="00666996"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690</w:t>
            </w:r>
          </w:p>
        </w:tc>
        <w:tc>
          <w:tcPr>
            <w:tcW w:w="7620" w:type="dxa"/>
          </w:tcPr>
          <w:p w:rsidR="005643EA" w:rsidRPr="00D51A68" w:rsidRDefault="006455B0" w:rsidP="00FC1A76">
            <w:pPr>
              <w:pStyle w:val="InstructionsText"/>
              <w:rPr>
                <w:rStyle w:val="FormatvorlageInstructionsTabelleText"/>
                <w:rFonts w:ascii="Times New Roman" w:hAnsi="Times New Roman"/>
                <w:b/>
                <w:sz w:val="24"/>
                <w:u w:val="single"/>
              </w:rPr>
            </w:pPr>
            <w:r w:rsidRPr="00D51A68">
              <w:rPr>
                <w:rStyle w:val="InstructionsTabelleberschrift"/>
                <w:rFonts w:ascii="Times New Roman" w:hAnsi="Times New Roman"/>
                <w:sz w:val="24"/>
              </w:rPr>
              <w:t>1.1.2.5</w:t>
            </w:r>
            <w:r w:rsidR="00A0772B" w:rsidRPr="00D51A68">
              <w:rPr>
                <w:u w:val="single"/>
              </w:rPr>
              <w:tab/>
            </w:r>
            <w:r w:rsidRPr="00D51A68">
              <w:rPr>
                <w:rStyle w:val="InstructionsTabelleberschrift"/>
                <w:rFonts w:ascii="Times New Roman" w:hAnsi="Times New Roman"/>
                <w:sz w:val="24"/>
              </w:rPr>
              <w:t>(-) Partecipazioni incrociate reciproche in capitale aggiuntivo di classe 1</w:t>
            </w:r>
          </w:p>
          <w:p w:rsidR="005643EA" w:rsidRPr="00D51A68" w:rsidRDefault="00805255"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Articolo 4, paragrafo 1, punto 122, articolo 56, lettera b), e articolo 58 del CRR.</w:t>
            </w:r>
          </w:p>
          <w:p w:rsidR="005643EA" w:rsidRPr="00D51A68" w:rsidRDefault="00666996"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Possesso di strumenti di capitale aggiuntivo di classe 1 di soggetti del settore finanziario (così come definiti nell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articolo 4, paragrafo 1, punto 27, del CRR) laddove sussista una partecipazione incrociata reciproca che 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autorità competente ritiene sia stata concepita per aumentare artificialmente i fondi propri dell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ente.</w:t>
            </w:r>
          </w:p>
          <w:p w:rsidR="005643EA" w:rsidRPr="00D51A68" w:rsidRDefault="00666996"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importo da segnalare è calcolato sulla base delle posizioni lunghe lorde e comprende gli elementi assicurativi dei fondi propri aggiuntivi di classe 1.</w:t>
            </w:r>
          </w:p>
        </w:tc>
      </w:tr>
      <w:tr w:rsidR="00666996" w:rsidRPr="00D51A68" w:rsidTr="00672D2A">
        <w:tc>
          <w:tcPr>
            <w:tcW w:w="1129" w:type="dxa"/>
          </w:tcPr>
          <w:p w:rsidR="00666996" w:rsidRPr="00D51A68" w:rsidRDefault="00666996"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lastRenderedPageBreak/>
              <w:t>700</w:t>
            </w:r>
          </w:p>
        </w:tc>
        <w:tc>
          <w:tcPr>
            <w:tcW w:w="7620" w:type="dxa"/>
          </w:tcPr>
          <w:p w:rsidR="005643EA" w:rsidRPr="00D51A68" w:rsidRDefault="00A86EB4" w:rsidP="00FC1A76">
            <w:pPr>
              <w:pStyle w:val="InstructionsText"/>
              <w:rPr>
                <w:rStyle w:val="FormatvorlageInstructionsTabelleText"/>
                <w:rFonts w:ascii="Times New Roman" w:hAnsi="Times New Roman"/>
                <w:b/>
                <w:sz w:val="24"/>
                <w:u w:val="single"/>
              </w:rPr>
            </w:pPr>
            <w:r w:rsidRPr="00D51A68">
              <w:rPr>
                <w:rStyle w:val="InstructionsTabelleberschrift"/>
                <w:rFonts w:ascii="Times New Roman" w:hAnsi="Times New Roman"/>
                <w:sz w:val="24"/>
              </w:rPr>
              <w:t>1.1.2.6</w:t>
            </w:r>
            <w:r w:rsidR="00A0772B" w:rsidRPr="00D51A68">
              <w:rPr>
                <w:u w:val="single"/>
              </w:rPr>
              <w:tab/>
            </w:r>
            <w:r w:rsidRPr="00D51A68">
              <w:rPr>
                <w:rStyle w:val="InstructionsTabelleberschrift"/>
                <w:rFonts w:ascii="Times New Roman" w:hAnsi="Times New Roman"/>
                <w:sz w:val="24"/>
              </w:rPr>
              <w:t>(-) Strumenti di capitale aggiuntivo di classe 1 di soggetti del settore finanziario in cui 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ente non ha un investimento significativo</w:t>
            </w:r>
          </w:p>
          <w:p w:rsidR="005643EA" w:rsidRPr="00D51A68" w:rsidRDefault="00666996"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Articolo 4, paragrafo 1, punto 27, articolo 56, lettera c), e articoli 59, 60 e 79 del CRR.</w:t>
            </w:r>
          </w:p>
          <w:p w:rsidR="005643EA" w:rsidRPr="00D51A68" w:rsidRDefault="00666996"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Parte delle partecipazioni detenute dall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ente in strumenti di soggetti del settore finanziario (così come definiti nell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articolo 4, paragrafo 1, punto 27, del CRR) nei casi in cui 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ente non ha un investimento significativo che deve essere dedotta dal capitale aggiuntivo di classe 1.</w:t>
            </w:r>
          </w:p>
        </w:tc>
      </w:tr>
      <w:tr w:rsidR="00666996" w:rsidRPr="00D51A68" w:rsidTr="00672D2A">
        <w:tc>
          <w:tcPr>
            <w:tcW w:w="1129" w:type="dxa"/>
          </w:tcPr>
          <w:p w:rsidR="00666996" w:rsidRPr="00D51A68" w:rsidRDefault="00666996"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710</w:t>
            </w:r>
          </w:p>
        </w:tc>
        <w:tc>
          <w:tcPr>
            <w:tcW w:w="7620" w:type="dxa"/>
          </w:tcPr>
          <w:p w:rsidR="005643EA" w:rsidRPr="00D51A68" w:rsidRDefault="00A86EB4" w:rsidP="00FC1A76">
            <w:pPr>
              <w:pStyle w:val="InstructionsText"/>
              <w:rPr>
                <w:rStyle w:val="FormatvorlageInstructionsTabelleText"/>
                <w:rFonts w:ascii="Times New Roman" w:hAnsi="Times New Roman"/>
                <w:b/>
                <w:sz w:val="24"/>
                <w:u w:val="single"/>
              </w:rPr>
            </w:pPr>
            <w:r w:rsidRPr="00D51A68">
              <w:rPr>
                <w:rStyle w:val="InstructionsTabelleberschrift"/>
                <w:rFonts w:ascii="Times New Roman" w:hAnsi="Times New Roman"/>
                <w:sz w:val="24"/>
              </w:rPr>
              <w:t>1.1.2.7</w:t>
            </w:r>
            <w:r w:rsidR="00A0772B" w:rsidRPr="00D51A68">
              <w:rPr>
                <w:u w:val="single"/>
              </w:rPr>
              <w:tab/>
            </w:r>
            <w:r w:rsidRPr="00D51A68">
              <w:rPr>
                <w:rStyle w:val="InstructionsTabelleberschrift"/>
                <w:rFonts w:ascii="Times New Roman" w:hAnsi="Times New Roman"/>
                <w:sz w:val="24"/>
              </w:rPr>
              <w:t>(-) Strumenti di capitale aggiuntivo di classe 1 di soggetti del settore finanziario in cui 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ente ha un investimento significativo</w:t>
            </w:r>
          </w:p>
          <w:p w:rsidR="005643EA" w:rsidRPr="00D51A68" w:rsidRDefault="00666996"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Articolo 4, paragrafo 1, punto 27, articolo 56, lettera d), articoli 59 e 79 del CRR.</w:t>
            </w:r>
          </w:p>
          <w:p w:rsidR="005643EA" w:rsidRPr="00D51A68" w:rsidRDefault="009B511B"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Sono dedotte interamente le partecipazioni detenute dall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ente in strumenti di capitale aggiuntivo di classe 1 di soggetti del settore finanziario (così come definiti nell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articolo 4, paragrafo 1, punto 27, del CRR) in cui 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ente ha un investimento significativo.</w:t>
            </w:r>
          </w:p>
        </w:tc>
      </w:tr>
      <w:tr w:rsidR="00666996" w:rsidRPr="00D51A68" w:rsidTr="00672D2A">
        <w:tc>
          <w:tcPr>
            <w:tcW w:w="1129" w:type="dxa"/>
          </w:tcPr>
          <w:p w:rsidR="00666996" w:rsidRPr="00D51A68" w:rsidRDefault="00666996"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720</w:t>
            </w:r>
          </w:p>
        </w:tc>
        <w:tc>
          <w:tcPr>
            <w:tcW w:w="7620" w:type="dxa"/>
          </w:tcPr>
          <w:p w:rsidR="005643EA" w:rsidRPr="00D51A68" w:rsidRDefault="00A86EB4" w:rsidP="00FC1A76">
            <w:pPr>
              <w:pStyle w:val="InstructionsText"/>
              <w:rPr>
                <w:rStyle w:val="FormatvorlageInstructionsTabelleText"/>
                <w:rFonts w:ascii="Times New Roman" w:hAnsi="Times New Roman"/>
                <w:b/>
                <w:sz w:val="24"/>
                <w:u w:val="single"/>
              </w:rPr>
            </w:pPr>
            <w:r w:rsidRPr="00D51A68">
              <w:rPr>
                <w:rStyle w:val="InstructionsTabelleberschrift"/>
                <w:rFonts w:ascii="Times New Roman" w:hAnsi="Times New Roman"/>
                <w:sz w:val="24"/>
              </w:rPr>
              <w:t>1.1.2.8</w:t>
            </w:r>
            <w:r w:rsidR="00A0772B" w:rsidRPr="00D51A68">
              <w:rPr>
                <w:u w:val="single"/>
              </w:rPr>
              <w:tab/>
            </w:r>
            <w:r w:rsidRPr="00D51A68">
              <w:rPr>
                <w:rStyle w:val="InstructionsTabelleberschrift"/>
                <w:rFonts w:ascii="Times New Roman" w:hAnsi="Times New Roman"/>
                <w:sz w:val="24"/>
              </w:rPr>
              <w:t xml:space="preserve">(-) Eccesso di deduzione da elementi del capitale di classe 2 rispetto al capitale di classe 2 </w:t>
            </w:r>
          </w:p>
          <w:p w:rsidR="005643EA" w:rsidRPr="00D51A68" w:rsidRDefault="00666996"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Articolo 56, lettera e), del CRR.</w:t>
            </w:r>
          </w:p>
          <w:p w:rsidR="005643EA" w:rsidRPr="00D51A68" w:rsidRDefault="00A86EB4"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 xml:space="preserve">importo da segnalare è ripreso direttamente dalla voce del modello CA 1 </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Eccesso di deduzione da elementi del capitale di classe 2 rispetto al capitale di classe 2</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 xml:space="preserve"> (dedotta dal capitale aggiuntivo di classe 1).</w:t>
            </w:r>
          </w:p>
        </w:tc>
      </w:tr>
      <w:tr w:rsidR="00666996" w:rsidRPr="00D51A68" w:rsidTr="00672D2A">
        <w:tc>
          <w:tcPr>
            <w:tcW w:w="1129" w:type="dxa"/>
          </w:tcPr>
          <w:p w:rsidR="00666996" w:rsidRPr="00D51A68" w:rsidRDefault="00666996"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730</w:t>
            </w:r>
          </w:p>
        </w:tc>
        <w:tc>
          <w:tcPr>
            <w:tcW w:w="7620" w:type="dxa"/>
          </w:tcPr>
          <w:p w:rsidR="005643EA" w:rsidRPr="00D51A68" w:rsidRDefault="00A86EB4"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1.1.2.9</w:t>
            </w:r>
            <w:r w:rsidR="00A0772B" w:rsidRPr="00D51A68">
              <w:rPr>
                <w:u w:val="single"/>
              </w:rPr>
              <w:tab/>
            </w:r>
            <w:r w:rsidRPr="00D51A68">
              <w:rPr>
                <w:rStyle w:val="InstructionsTabelleberschrift"/>
                <w:rFonts w:ascii="Times New Roman" w:hAnsi="Times New Roman"/>
                <w:sz w:val="24"/>
              </w:rPr>
              <w:t>Altri aggiustamenti transitori del capitale aggiuntivo di classe 1</w:t>
            </w:r>
          </w:p>
          <w:p w:rsidR="005643EA" w:rsidRPr="00D51A68" w:rsidRDefault="00666996"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Articoli 474, 475, 478 e 481 del CRR.</w:t>
            </w:r>
          </w:p>
          <w:p w:rsidR="005643EA" w:rsidRPr="00D51A68" w:rsidRDefault="00666996"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Aggiustamenti dovuti a disposizioni transitorie. 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importo da segnalare si ricava direttamente dal modello CA5.</w:t>
            </w:r>
          </w:p>
        </w:tc>
      </w:tr>
      <w:tr w:rsidR="00666996" w:rsidRPr="00D51A68" w:rsidTr="00672D2A">
        <w:tc>
          <w:tcPr>
            <w:tcW w:w="1129" w:type="dxa"/>
          </w:tcPr>
          <w:p w:rsidR="00666996" w:rsidRPr="00D51A68" w:rsidRDefault="00666996"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740</w:t>
            </w:r>
          </w:p>
        </w:tc>
        <w:tc>
          <w:tcPr>
            <w:tcW w:w="7620" w:type="dxa"/>
          </w:tcPr>
          <w:p w:rsidR="005643EA" w:rsidRPr="00D51A68" w:rsidRDefault="00A86EB4" w:rsidP="00FC1A76">
            <w:pPr>
              <w:pStyle w:val="InstructionsText"/>
              <w:rPr>
                <w:rStyle w:val="FormatvorlageInstructionsTabelleText"/>
                <w:rFonts w:ascii="Times New Roman" w:hAnsi="Times New Roman"/>
                <w:b/>
                <w:sz w:val="24"/>
                <w:u w:val="single"/>
              </w:rPr>
            </w:pPr>
            <w:r w:rsidRPr="00D51A68">
              <w:rPr>
                <w:rStyle w:val="InstructionsTabelleberschrift"/>
                <w:rFonts w:ascii="Times New Roman" w:hAnsi="Times New Roman"/>
                <w:sz w:val="24"/>
              </w:rPr>
              <w:t>1.1.2.10</w:t>
            </w:r>
            <w:r w:rsidR="00A0772B" w:rsidRPr="00D51A68">
              <w:rPr>
                <w:u w:val="single"/>
              </w:rPr>
              <w:tab/>
            </w:r>
            <w:r w:rsidRPr="00D51A68">
              <w:rPr>
                <w:rStyle w:val="InstructionsTabelleberschrift"/>
                <w:rFonts w:ascii="Times New Roman" w:hAnsi="Times New Roman"/>
                <w:sz w:val="24"/>
              </w:rPr>
              <w:t>Eccesso di deduzione da elementi del capitale aggiuntivo di classe 1 rispetto al capitale aggiuntivo di classe 1 (dedotto dal capitale primario di classe 1)</w:t>
            </w:r>
          </w:p>
          <w:p w:rsidR="005643EA" w:rsidRPr="00D51A68" w:rsidRDefault="00666996"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Articolo 36, paragrafo 1, lettera j), del CRR.</w:t>
            </w:r>
          </w:p>
          <w:p w:rsidR="005643EA" w:rsidRPr="00D51A68" w:rsidRDefault="00666996"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Il capitale aggiuntivo di classe 1 non può essere negativo; è tuttavia possibile che le deduzioni siano superiori al capitale stesso, più il relativo sovrapprezzo azioni. In questi casi, il capitale aggiuntivo di classe 1 deve essere uguale a zero e la parte in eccesso delle deduzioni che gli competono va dedotta dal capitale primario di classe 1.</w:t>
            </w:r>
          </w:p>
          <w:p w:rsidR="005643EA" w:rsidRPr="00D51A68" w:rsidRDefault="00666996"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Grazie a questa voce, la somma delle righe da 1.1.2.1 a 1.1.2.12 non è mai inferiore a zero. Quindi, se questa voce registra un importo positivo, nella riga 1.1.1.16 figurerà un pari importo di segno negativo.</w:t>
            </w:r>
          </w:p>
        </w:tc>
      </w:tr>
      <w:tr w:rsidR="00A86EB4" w:rsidRPr="00D51A68" w:rsidTr="00672D2A">
        <w:tc>
          <w:tcPr>
            <w:tcW w:w="1129" w:type="dxa"/>
          </w:tcPr>
          <w:p w:rsidR="00A86EB4" w:rsidRPr="00D51A68" w:rsidRDefault="00A86EB4"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744</w:t>
            </w:r>
          </w:p>
          <w:p w:rsidR="005643EA" w:rsidRPr="00D51A68" w:rsidRDefault="005643EA" w:rsidP="00FC1A76">
            <w:pPr>
              <w:pStyle w:val="InstructionsText"/>
              <w:rPr>
                <w:rStyle w:val="FormatvorlageInstructionsTabelleText"/>
                <w:rFonts w:ascii="Times New Roman" w:hAnsi="Times New Roman"/>
                <w:sz w:val="24"/>
              </w:rPr>
            </w:pPr>
          </w:p>
        </w:tc>
        <w:tc>
          <w:tcPr>
            <w:tcW w:w="7620" w:type="dxa"/>
          </w:tcPr>
          <w:p w:rsidR="005643EA" w:rsidRPr="00D51A68" w:rsidRDefault="00A86EB4"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1.1.2.11</w:t>
            </w:r>
            <w:r w:rsidR="00A0772B" w:rsidRPr="00D51A68">
              <w:rPr>
                <w:u w:val="single"/>
              </w:rPr>
              <w:tab/>
            </w:r>
            <w:r w:rsidRPr="00D51A68">
              <w:rPr>
                <w:rStyle w:val="InstructionsTabelleberschrift"/>
                <w:rFonts w:ascii="Times New Roman" w:hAnsi="Times New Roman"/>
                <w:sz w:val="24"/>
              </w:rPr>
              <w:t>(-) Altre deduzioni del capitale aggiuntivo di classe 1 dovute all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articolo 3 del CRR</w:t>
            </w:r>
          </w:p>
          <w:p w:rsidR="005643EA" w:rsidRPr="00D51A68" w:rsidRDefault="00A86EB4" w:rsidP="00FC1A76">
            <w:pPr>
              <w:pStyle w:val="InstructionsText"/>
              <w:rPr>
                <w:rStyle w:val="InstructionsTabelleberschrift"/>
                <w:rFonts w:ascii="Times New Roman" w:hAnsi="Times New Roman"/>
                <w:b w:val="0"/>
                <w:sz w:val="24"/>
                <w:u w:val="none"/>
              </w:rPr>
            </w:pPr>
            <w:r w:rsidRPr="00D51A68">
              <w:rPr>
                <w:rStyle w:val="InstructionsTabelleberschrift"/>
                <w:rFonts w:ascii="Times New Roman" w:hAnsi="Times New Roman"/>
                <w:b w:val="0"/>
                <w:sz w:val="24"/>
                <w:u w:val="none"/>
              </w:rPr>
              <w:t>Articolo 3 del CRR.</w:t>
            </w:r>
            <w:r w:rsidR="003E43C2" w:rsidRPr="00D51A68">
              <w:rPr>
                <w:rStyle w:val="InstructionsTabelleberschrift"/>
                <w:rFonts w:ascii="Times New Roman" w:hAnsi="Times New Roman"/>
                <w:b w:val="0"/>
                <w:sz w:val="24"/>
                <w:u w:val="none"/>
              </w:rPr>
              <w:tab/>
            </w:r>
            <w:r w:rsidR="003E43C2" w:rsidRPr="00D51A68">
              <w:rPr>
                <w:rStyle w:val="InstructionsTabelleberschrift"/>
                <w:rFonts w:ascii="Times New Roman" w:hAnsi="Times New Roman"/>
                <w:b w:val="0"/>
                <w:sz w:val="24"/>
                <w:u w:val="none"/>
              </w:rPr>
              <w:br/>
            </w:r>
          </w:p>
        </w:tc>
      </w:tr>
      <w:tr w:rsidR="00A86EB4" w:rsidRPr="00D51A68" w:rsidTr="00672D2A">
        <w:tc>
          <w:tcPr>
            <w:tcW w:w="1129" w:type="dxa"/>
          </w:tcPr>
          <w:p w:rsidR="00A86EB4" w:rsidRPr="00D51A68" w:rsidRDefault="008F5BFE"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lastRenderedPageBreak/>
              <w:t>748</w:t>
            </w:r>
          </w:p>
        </w:tc>
        <w:tc>
          <w:tcPr>
            <w:tcW w:w="7620" w:type="dxa"/>
          </w:tcPr>
          <w:p w:rsidR="005643EA" w:rsidRPr="00D51A68" w:rsidRDefault="008F5BFE" w:rsidP="003E43C2">
            <w:pPr>
              <w:pStyle w:val="InstructionsText"/>
              <w:keepLines/>
              <w:rPr>
                <w:rStyle w:val="InstructionsTabelleberschrift"/>
                <w:rFonts w:ascii="Times New Roman" w:hAnsi="Times New Roman"/>
                <w:b w:val="0"/>
                <w:sz w:val="24"/>
                <w:u w:val="none"/>
              </w:rPr>
            </w:pPr>
            <w:r w:rsidRPr="00D51A68">
              <w:rPr>
                <w:rStyle w:val="InstructionsTabelleberschrift"/>
                <w:rFonts w:ascii="Times New Roman" w:hAnsi="Times New Roman"/>
                <w:sz w:val="24"/>
              </w:rPr>
              <w:t>1.1.2.12</w:t>
            </w:r>
            <w:r w:rsidR="00A0772B" w:rsidRPr="00D51A68">
              <w:rPr>
                <w:u w:val="single"/>
              </w:rPr>
              <w:tab/>
            </w:r>
            <w:r w:rsidRPr="00D51A68">
              <w:rPr>
                <w:rStyle w:val="InstructionsTabelleberschrift"/>
                <w:rFonts w:ascii="Times New Roman" w:hAnsi="Times New Roman"/>
                <w:sz w:val="24"/>
              </w:rPr>
              <w:t>Elementi o deduzioni del capitale aggiuntivo di classe 1 — altro</w:t>
            </w:r>
          </w:p>
          <w:p w:rsidR="005643EA" w:rsidRPr="00D51A68" w:rsidRDefault="00A86EB4" w:rsidP="00FC1A76">
            <w:pPr>
              <w:pStyle w:val="InstructionsText"/>
              <w:rPr>
                <w:rStyle w:val="InstructionsTabelleberschrift"/>
                <w:rFonts w:ascii="Times New Roman" w:hAnsi="Times New Roman"/>
                <w:b w:val="0"/>
                <w:sz w:val="24"/>
                <w:u w:val="none"/>
              </w:rPr>
            </w:pPr>
            <w:r w:rsidRPr="00D51A68">
              <w:rPr>
                <w:rStyle w:val="InstructionsTabelleberschrift"/>
                <w:rFonts w:ascii="Times New Roman" w:hAnsi="Times New Roman"/>
                <w:b w:val="0"/>
                <w:sz w:val="24"/>
                <w:u w:val="none"/>
              </w:rPr>
              <w:t xml:space="preserve">Questa riga ha lo scopo di garantire flessibilità a esclusivi fini di segnalazione. È utilizzata soltanto nei rari casi in cui manchi una decisione finale sulla segnalazione di specifici elementi di capitale/deduzioni nel modello CA1 corrente. Pertanto è compilata solo qualora sia impossibile attribuire un elemento del capitale aggiuntivo di classe 1 o una deduzione di un elemento aggiuntivo di classe 1 a una delle righe da 530 a 744. </w:t>
            </w:r>
          </w:p>
          <w:p w:rsidR="005643EA" w:rsidRPr="00D51A68" w:rsidRDefault="00A86EB4" w:rsidP="00FC1A76">
            <w:pPr>
              <w:pStyle w:val="InstructionsText"/>
              <w:rPr>
                <w:rStyle w:val="InstructionsTabelleberschrift"/>
                <w:rFonts w:ascii="Times New Roman" w:hAnsi="Times New Roman"/>
                <w:b w:val="0"/>
                <w:sz w:val="24"/>
                <w:u w:val="none"/>
              </w:rPr>
            </w:pPr>
            <w:r w:rsidRPr="00D51A68">
              <w:rPr>
                <w:rStyle w:val="InstructionsTabelleberschrift"/>
                <w:rFonts w:ascii="Times New Roman" w:hAnsi="Times New Roman"/>
                <w:b w:val="0"/>
                <w:sz w:val="24"/>
                <w:u w:val="none"/>
              </w:rPr>
              <w:t>Questa cella non è usata per assegnare elementi di capitale/deduzioni non soggetti al CRR nel calcolo dei coefficienti di solvibilità (ad esempio l</w:t>
            </w:r>
            <w:r w:rsidR="0009277C" w:rsidRPr="00D51A68">
              <w:rPr>
                <w:rStyle w:val="InstructionsTabelleberschrift"/>
                <w:rFonts w:ascii="Times New Roman" w:hAnsi="Times New Roman"/>
                <w:b w:val="0"/>
                <w:sz w:val="24"/>
                <w:u w:val="none"/>
              </w:rPr>
              <w:t>’</w:t>
            </w:r>
            <w:r w:rsidRPr="00D51A68">
              <w:rPr>
                <w:rStyle w:val="InstructionsTabelleberschrift"/>
                <w:rFonts w:ascii="Times New Roman" w:hAnsi="Times New Roman"/>
                <w:b w:val="0"/>
                <w:sz w:val="24"/>
                <w:u w:val="none"/>
              </w:rPr>
              <w:t>assegnazione di elementi del capitale/deduzioni nazionali che esulano dall</w:t>
            </w:r>
            <w:r w:rsidR="0009277C" w:rsidRPr="00D51A68">
              <w:rPr>
                <w:rStyle w:val="InstructionsTabelleberschrift"/>
                <w:rFonts w:ascii="Times New Roman" w:hAnsi="Times New Roman"/>
                <w:b w:val="0"/>
                <w:sz w:val="24"/>
                <w:u w:val="none"/>
              </w:rPr>
              <w:t>’</w:t>
            </w:r>
            <w:r w:rsidRPr="00D51A68">
              <w:rPr>
                <w:rStyle w:val="InstructionsTabelleberschrift"/>
                <w:rFonts w:ascii="Times New Roman" w:hAnsi="Times New Roman"/>
                <w:b w:val="0"/>
                <w:sz w:val="24"/>
                <w:u w:val="none"/>
              </w:rPr>
              <w:t>ambito di applicazione del CRR).</w:t>
            </w:r>
          </w:p>
        </w:tc>
      </w:tr>
      <w:tr w:rsidR="00A86EB4" w:rsidRPr="00D51A68" w:rsidTr="00672D2A">
        <w:tc>
          <w:tcPr>
            <w:tcW w:w="1129" w:type="dxa"/>
          </w:tcPr>
          <w:p w:rsidR="00A86EB4" w:rsidRPr="00D51A68" w:rsidRDefault="00A86EB4"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750</w:t>
            </w:r>
          </w:p>
        </w:tc>
        <w:tc>
          <w:tcPr>
            <w:tcW w:w="7620" w:type="dxa"/>
          </w:tcPr>
          <w:p w:rsidR="005643EA" w:rsidRPr="00D51A68" w:rsidRDefault="00A86EB4" w:rsidP="00FC1A76">
            <w:pPr>
              <w:pStyle w:val="InstructionsText"/>
              <w:rPr>
                <w:rStyle w:val="FormatvorlageInstructionsTabelleText"/>
                <w:rFonts w:ascii="Times New Roman" w:hAnsi="Times New Roman"/>
                <w:b/>
                <w:sz w:val="24"/>
                <w:u w:val="single"/>
              </w:rPr>
            </w:pPr>
            <w:r w:rsidRPr="00D51A68">
              <w:rPr>
                <w:rStyle w:val="InstructionsTabelleberschrift"/>
                <w:rFonts w:ascii="Times New Roman" w:hAnsi="Times New Roman"/>
                <w:sz w:val="24"/>
              </w:rPr>
              <w:t>1.2</w:t>
            </w:r>
            <w:r w:rsidR="00A0772B" w:rsidRPr="00D51A68">
              <w:rPr>
                <w:u w:val="single"/>
              </w:rPr>
              <w:tab/>
            </w:r>
            <w:r w:rsidRPr="00D51A68">
              <w:rPr>
                <w:rStyle w:val="InstructionsTabelleberschrift"/>
                <w:rFonts w:ascii="Times New Roman" w:hAnsi="Times New Roman"/>
                <w:sz w:val="24"/>
              </w:rPr>
              <w:t>CAPITALE DI CLASSE 2</w:t>
            </w:r>
          </w:p>
          <w:p w:rsidR="005643EA" w:rsidRPr="00D51A68" w:rsidRDefault="00A86EB4"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Articolo 71 del CRR.</w:t>
            </w:r>
          </w:p>
        </w:tc>
      </w:tr>
      <w:tr w:rsidR="00A86EB4" w:rsidRPr="00D51A68" w:rsidTr="00672D2A">
        <w:tc>
          <w:tcPr>
            <w:tcW w:w="1129" w:type="dxa"/>
          </w:tcPr>
          <w:p w:rsidR="00A86EB4" w:rsidRPr="00D51A68" w:rsidRDefault="00A86EB4"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760</w:t>
            </w:r>
          </w:p>
        </w:tc>
        <w:tc>
          <w:tcPr>
            <w:tcW w:w="7620" w:type="dxa"/>
          </w:tcPr>
          <w:p w:rsidR="005643EA" w:rsidRPr="00D51A68" w:rsidRDefault="00A86EB4" w:rsidP="00FC1A76">
            <w:pPr>
              <w:pStyle w:val="InstructionsText"/>
              <w:rPr>
                <w:rStyle w:val="FormatvorlageInstructionsTabelleText"/>
                <w:rFonts w:ascii="Times New Roman" w:hAnsi="Times New Roman"/>
                <w:b/>
                <w:sz w:val="24"/>
                <w:u w:val="single"/>
              </w:rPr>
            </w:pPr>
            <w:r w:rsidRPr="00D51A68">
              <w:rPr>
                <w:rStyle w:val="InstructionsTabelleberschrift"/>
                <w:rFonts w:ascii="Times New Roman" w:hAnsi="Times New Roman"/>
                <w:sz w:val="24"/>
              </w:rPr>
              <w:t>1.2.1</w:t>
            </w:r>
            <w:r w:rsidR="00A0772B" w:rsidRPr="00D51A68">
              <w:rPr>
                <w:u w:val="single"/>
              </w:rPr>
              <w:tab/>
            </w:r>
            <w:r w:rsidRPr="00D51A68">
              <w:rPr>
                <w:rStyle w:val="InstructionsTabelleberschrift"/>
                <w:rFonts w:ascii="Times New Roman" w:hAnsi="Times New Roman"/>
                <w:sz w:val="24"/>
              </w:rPr>
              <w:t>Strumenti di capitale e prestiti subordinati ammissibili come capitale di classe 2</w:t>
            </w:r>
          </w:p>
          <w:p w:rsidR="005643EA" w:rsidRPr="00D51A68" w:rsidRDefault="00A86EB4"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Articolo 62, lettera a), articoli da 63 a 65, articolo 66, lettera a), e articolo 67 del CRR.</w:t>
            </w:r>
          </w:p>
        </w:tc>
      </w:tr>
      <w:tr w:rsidR="00A86EB4" w:rsidRPr="00D51A68" w:rsidTr="00672D2A">
        <w:tc>
          <w:tcPr>
            <w:tcW w:w="1129" w:type="dxa"/>
          </w:tcPr>
          <w:p w:rsidR="00A86EB4" w:rsidRPr="00D51A68" w:rsidRDefault="00A86EB4"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770</w:t>
            </w:r>
          </w:p>
        </w:tc>
        <w:tc>
          <w:tcPr>
            <w:tcW w:w="7620" w:type="dxa"/>
          </w:tcPr>
          <w:p w:rsidR="005643EA" w:rsidRPr="00D51A68" w:rsidRDefault="00A86EB4" w:rsidP="00FC1A76">
            <w:pPr>
              <w:pStyle w:val="InstructionsText"/>
              <w:rPr>
                <w:rStyle w:val="FormatvorlageInstructionsTabelleText"/>
                <w:rFonts w:ascii="Times New Roman" w:hAnsi="Times New Roman"/>
                <w:b/>
                <w:sz w:val="24"/>
                <w:u w:val="single"/>
              </w:rPr>
            </w:pPr>
            <w:r w:rsidRPr="00D51A68">
              <w:rPr>
                <w:rStyle w:val="InstructionsTabelleberschrift"/>
                <w:rFonts w:ascii="Times New Roman" w:hAnsi="Times New Roman"/>
                <w:sz w:val="24"/>
              </w:rPr>
              <w:t>1.2.1.1</w:t>
            </w:r>
            <w:r w:rsidR="00A0772B" w:rsidRPr="00D51A68">
              <w:rPr>
                <w:u w:val="single"/>
              </w:rPr>
              <w:tab/>
            </w:r>
            <w:r w:rsidRPr="00D51A68">
              <w:rPr>
                <w:rStyle w:val="InstructionsTabelleberschrift"/>
                <w:rFonts w:ascii="Times New Roman" w:hAnsi="Times New Roman"/>
                <w:sz w:val="24"/>
              </w:rPr>
              <w:t>Strumenti di capitale e prestiti subordinati versati</w:t>
            </w:r>
          </w:p>
          <w:p w:rsidR="005643EA" w:rsidRPr="00D51A68" w:rsidRDefault="00A86EB4"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Articolo 62, lettera a), e articoli 63 e 65 del CRR.</w:t>
            </w:r>
          </w:p>
          <w:p w:rsidR="005643EA" w:rsidRPr="00D51A68" w:rsidRDefault="00A86EB4"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importo da segnalare non comprende il sovrapprezzo azioni relativo agli strumenti.</w:t>
            </w:r>
          </w:p>
        </w:tc>
      </w:tr>
      <w:tr w:rsidR="00A86EB4" w:rsidRPr="00D51A68" w:rsidTr="00672D2A">
        <w:tc>
          <w:tcPr>
            <w:tcW w:w="1129" w:type="dxa"/>
          </w:tcPr>
          <w:p w:rsidR="00A86EB4" w:rsidRPr="00D51A68" w:rsidRDefault="00A86EB4"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780</w:t>
            </w:r>
          </w:p>
        </w:tc>
        <w:tc>
          <w:tcPr>
            <w:tcW w:w="7620" w:type="dxa"/>
          </w:tcPr>
          <w:p w:rsidR="005643EA" w:rsidRPr="00D51A68" w:rsidRDefault="00A86EB4" w:rsidP="00FC1A76">
            <w:pPr>
              <w:pStyle w:val="InstructionsText"/>
              <w:rPr>
                <w:rStyle w:val="FormatvorlageInstructionsTabelleText"/>
                <w:rFonts w:ascii="Times New Roman" w:hAnsi="Times New Roman"/>
                <w:b/>
                <w:sz w:val="24"/>
                <w:u w:val="single"/>
              </w:rPr>
            </w:pPr>
            <w:r w:rsidRPr="00D51A68">
              <w:rPr>
                <w:rStyle w:val="InstructionsTabelleberschrift"/>
                <w:rFonts w:ascii="Times New Roman" w:hAnsi="Times New Roman"/>
                <w:sz w:val="24"/>
              </w:rPr>
              <w:t>1.2.1.2 (*)</w:t>
            </w:r>
            <w:r w:rsidR="00A0772B" w:rsidRPr="00D51A68">
              <w:rPr>
                <w:u w:val="single"/>
              </w:rPr>
              <w:tab/>
            </w:r>
            <w:r w:rsidRPr="00D51A68">
              <w:rPr>
                <w:rStyle w:val="InstructionsTabelleberschrift"/>
                <w:rFonts w:ascii="Times New Roman" w:hAnsi="Times New Roman"/>
                <w:sz w:val="24"/>
              </w:rPr>
              <w:t>Voce per memoria: Strumenti di capitale e prestiti subordinati non ammissibili</w:t>
            </w:r>
          </w:p>
          <w:p w:rsidR="005643EA" w:rsidRPr="00D51A68" w:rsidRDefault="00A86EB4"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Articolo 63, lettere c), e) e f), e articolo 64 del CRR.</w:t>
            </w:r>
          </w:p>
          <w:p w:rsidR="005643EA" w:rsidRPr="00D51A68" w:rsidRDefault="00A86EB4"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Le condizioni previste dalle lettere citate valgono per situazioni di capitale differenti, che sono reversibili; ne consegue che 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importo qui indicato può diventare ammissibile in periodi successivi.</w:t>
            </w:r>
          </w:p>
          <w:p w:rsidR="005643EA" w:rsidRPr="00D51A68" w:rsidRDefault="00A86EB4"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importo da segnalare non comprende il sovrapprezzo azioni relativo agli strumenti.</w:t>
            </w:r>
          </w:p>
        </w:tc>
      </w:tr>
      <w:tr w:rsidR="00A86EB4" w:rsidRPr="00D51A68" w:rsidTr="00672D2A">
        <w:tc>
          <w:tcPr>
            <w:tcW w:w="1129" w:type="dxa"/>
          </w:tcPr>
          <w:p w:rsidR="00A86EB4" w:rsidRPr="00D51A68" w:rsidRDefault="00A86EB4"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790</w:t>
            </w:r>
          </w:p>
        </w:tc>
        <w:tc>
          <w:tcPr>
            <w:tcW w:w="7620" w:type="dxa"/>
          </w:tcPr>
          <w:p w:rsidR="005643EA" w:rsidRPr="00D51A68" w:rsidRDefault="00A86EB4" w:rsidP="00FC1A76">
            <w:pPr>
              <w:pStyle w:val="InstructionsText"/>
              <w:rPr>
                <w:rStyle w:val="FormatvorlageInstructionsTabelleText"/>
                <w:rFonts w:ascii="Times New Roman" w:hAnsi="Times New Roman"/>
                <w:b/>
                <w:sz w:val="24"/>
                <w:u w:val="single"/>
              </w:rPr>
            </w:pPr>
            <w:r w:rsidRPr="00D51A68">
              <w:rPr>
                <w:rStyle w:val="InstructionsTabelleberschrift"/>
                <w:rFonts w:ascii="Times New Roman" w:hAnsi="Times New Roman"/>
                <w:sz w:val="24"/>
              </w:rPr>
              <w:t>1.2.1.3</w:t>
            </w:r>
            <w:r w:rsidR="00A0772B" w:rsidRPr="00D51A68">
              <w:rPr>
                <w:u w:val="single"/>
              </w:rPr>
              <w:tab/>
            </w:r>
            <w:r w:rsidRPr="00D51A68">
              <w:rPr>
                <w:rStyle w:val="InstructionsTabelleberschrift"/>
                <w:rFonts w:ascii="Times New Roman" w:hAnsi="Times New Roman"/>
                <w:sz w:val="24"/>
              </w:rPr>
              <w:t>Sovrapprezzo azioni</w:t>
            </w:r>
          </w:p>
          <w:p w:rsidR="005643EA" w:rsidRPr="00D51A68" w:rsidRDefault="00A86EB4"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Articolo 62, lettera b), e articolo 65 del CRR.</w:t>
            </w:r>
          </w:p>
          <w:p w:rsidR="005643EA" w:rsidRPr="00D51A68" w:rsidRDefault="00A86EB4"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 xml:space="preserve">Il </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sovrapprezzo azioni</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 xml:space="preserve"> ha lo stesso significato di cui al principio contabile applicabile. </w:t>
            </w:r>
          </w:p>
          <w:p w:rsidR="005643EA" w:rsidRPr="00D51A68" w:rsidRDefault="00A86EB4"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 xml:space="preserve">importo da segnalare in questa voce è la parte relativa agli </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strumenti di capitale versati</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w:t>
            </w:r>
          </w:p>
        </w:tc>
      </w:tr>
      <w:tr w:rsidR="00A86EB4" w:rsidRPr="00D51A68" w:rsidTr="00672D2A">
        <w:tc>
          <w:tcPr>
            <w:tcW w:w="1129" w:type="dxa"/>
          </w:tcPr>
          <w:p w:rsidR="00A86EB4" w:rsidRPr="00D51A68" w:rsidRDefault="00A86EB4"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800</w:t>
            </w:r>
          </w:p>
        </w:tc>
        <w:tc>
          <w:tcPr>
            <w:tcW w:w="7620" w:type="dxa"/>
          </w:tcPr>
          <w:p w:rsidR="005643EA" w:rsidRPr="00D51A68" w:rsidRDefault="00A86EB4" w:rsidP="00FC1A76">
            <w:pPr>
              <w:pStyle w:val="InstructionsText"/>
              <w:rPr>
                <w:rStyle w:val="FormatvorlageInstructionsTabelleText"/>
                <w:rFonts w:ascii="Times New Roman" w:hAnsi="Times New Roman"/>
                <w:b/>
                <w:sz w:val="24"/>
                <w:u w:val="single"/>
              </w:rPr>
            </w:pPr>
            <w:r w:rsidRPr="00D51A68">
              <w:rPr>
                <w:rStyle w:val="InstructionsTabelleberschrift"/>
                <w:rFonts w:ascii="Times New Roman" w:hAnsi="Times New Roman"/>
                <w:sz w:val="24"/>
              </w:rPr>
              <w:t>1.2.1.4</w:t>
            </w:r>
            <w:r w:rsidR="00A0772B" w:rsidRPr="00D51A68">
              <w:rPr>
                <w:u w:val="single"/>
              </w:rPr>
              <w:tab/>
            </w:r>
            <w:r w:rsidRPr="00D51A68">
              <w:rPr>
                <w:rStyle w:val="InstructionsTabelleberschrift"/>
                <w:rFonts w:ascii="Times New Roman" w:hAnsi="Times New Roman"/>
                <w:sz w:val="24"/>
              </w:rPr>
              <w:t>(-) Strumenti propri di capitale di classe 2</w:t>
            </w:r>
          </w:p>
          <w:p w:rsidR="005643EA" w:rsidRPr="00D51A68" w:rsidRDefault="00A86EB4"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Articolo 63, lettera b), punto i), articolo 66, lettera a), e articolo 67 del CRR.</w:t>
            </w:r>
          </w:p>
          <w:p w:rsidR="005643EA" w:rsidRPr="00D51A68" w:rsidRDefault="00A86EB4"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Strumenti propri di capitale di classe 2 detenuti dall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ente o gruppo segnalante alla data di riferimento. Soggetti alle eccezioni di cui all</w:t>
            </w:r>
            <w:r w:rsidR="0009277C" w:rsidRPr="00D51A68">
              <w:rPr>
                <w:rStyle w:val="FormatvorlageInstructionsTabelleText"/>
                <w:rFonts w:ascii="Times New Roman" w:hAnsi="Times New Roman"/>
                <w:sz w:val="24"/>
              </w:rPr>
              <w:t>’</w:t>
            </w:r>
            <w:r w:rsidR="00EA160D" w:rsidRPr="00D51A68">
              <w:rPr>
                <w:rStyle w:val="FormatvorlageInstructionsTabelleText"/>
                <w:rFonts w:ascii="Times New Roman" w:hAnsi="Times New Roman"/>
                <w:sz w:val="24"/>
              </w:rPr>
              <w:t>articolo </w:t>
            </w:r>
            <w:r w:rsidRPr="00D51A68">
              <w:rPr>
                <w:rStyle w:val="FormatvorlageInstructionsTabelleText"/>
                <w:rFonts w:ascii="Times New Roman" w:hAnsi="Times New Roman"/>
                <w:sz w:val="24"/>
              </w:rPr>
              <w:t>67 del CRR.</w:t>
            </w:r>
          </w:p>
          <w:p w:rsidR="005643EA" w:rsidRPr="00D51A68" w:rsidRDefault="00A86EB4"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lastRenderedPageBreak/>
              <w:t xml:space="preserve">Le partecipazioni azionarie incluse come </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strumenti di capitale non ammissibili</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 xml:space="preserve"> non sono segnalate in questa riga.</w:t>
            </w:r>
          </w:p>
          <w:p w:rsidR="005643EA" w:rsidRPr="00D51A68" w:rsidRDefault="00A86EB4"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importo da segnalare comprende il sovrapprezzo azioni relativo alle azioni proprie.</w:t>
            </w:r>
          </w:p>
          <w:p w:rsidR="005643EA" w:rsidRPr="00D51A68" w:rsidRDefault="00A86EB4"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Le voci da 1.2.1.4 a 1.2.1.4.3 non comprendono gli obblighi effettivi o potenziali di acquistare strumenti propri di classe 2. Gli obblighi effettivi o potenziali di acquistare strumenti propri di classe 2 sono segnalati separatamente nella voce 1.2.1.5.</w:t>
            </w:r>
          </w:p>
        </w:tc>
      </w:tr>
      <w:tr w:rsidR="00A86EB4" w:rsidRPr="00D51A68" w:rsidTr="00672D2A">
        <w:tc>
          <w:tcPr>
            <w:tcW w:w="1129" w:type="dxa"/>
          </w:tcPr>
          <w:p w:rsidR="00A86EB4" w:rsidRPr="00D51A68" w:rsidRDefault="00A86EB4"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lastRenderedPageBreak/>
              <w:t>810</w:t>
            </w:r>
          </w:p>
        </w:tc>
        <w:tc>
          <w:tcPr>
            <w:tcW w:w="7620" w:type="dxa"/>
          </w:tcPr>
          <w:p w:rsidR="005643EA" w:rsidRPr="00D51A68" w:rsidRDefault="00A86EB4" w:rsidP="00FC1A76">
            <w:pPr>
              <w:pStyle w:val="InstructionsText"/>
              <w:rPr>
                <w:rStyle w:val="FormatvorlageInstructionsTabelleText"/>
                <w:rFonts w:ascii="Times New Roman" w:hAnsi="Times New Roman"/>
                <w:b/>
                <w:sz w:val="24"/>
                <w:u w:val="single"/>
              </w:rPr>
            </w:pPr>
            <w:r w:rsidRPr="00D51A68">
              <w:rPr>
                <w:rStyle w:val="InstructionsTabelleberschrift"/>
                <w:rFonts w:ascii="Times New Roman" w:hAnsi="Times New Roman"/>
                <w:sz w:val="24"/>
              </w:rPr>
              <w:t>1.2.1.4.1</w:t>
            </w:r>
            <w:r w:rsidR="00A0772B" w:rsidRPr="00D51A68">
              <w:rPr>
                <w:u w:val="single"/>
              </w:rPr>
              <w:tab/>
            </w:r>
            <w:r w:rsidRPr="00D51A68">
              <w:rPr>
                <w:rStyle w:val="InstructionsTabelleberschrift"/>
                <w:rFonts w:ascii="Times New Roman" w:hAnsi="Times New Roman"/>
                <w:sz w:val="24"/>
              </w:rPr>
              <w:t>(-) Strumenti di capitale di classe 2 detenuti direttamente</w:t>
            </w:r>
          </w:p>
          <w:p w:rsidR="005643EA" w:rsidRPr="00D51A68" w:rsidRDefault="00A86EB4"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Articolo 63, lettera b), articolo 66, lettera a), e articolo 67 del CRR.</w:t>
            </w:r>
          </w:p>
          <w:p w:rsidR="005643EA" w:rsidRPr="00D51A68" w:rsidRDefault="00A86EB4"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 xml:space="preserve">Strumenti di capitale di classe 2 compresi nella riga 1.2.1.1 detenuti dagli enti del gruppo consolidato. </w:t>
            </w:r>
          </w:p>
        </w:tc>
      </w:tr>
      <w:tr w:rsidR="00A86EB4" w:rsidRPr="00D51A68" w:rsidTr="00672D2A">
        <w:tc>
          <w:tcPr>
            <w:tcW w:w="1129" w:type="dxa"/>
          </w:tcPr>
          <w:p w:rsidR="00A86EB4" w:rsidRPr="00D51A68" w:rsidRDefault="00A86EB4"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840</w:t>
            </w:r>
          </w:p>
        </w:tc>
        <w:tc>
          <w:tcPr>
            <w:tcW w:w="7620" w:type="dxa"/>
          </w:tcPr>
          <w:p w:rsidR="005643EA" w:rsidRPr="00D51A68" w:rsidRDefault="00A86EB4" w:rsidP="00FC1A76">
            <w:pPr>
              <w:pStyle w:val="InstructionsText"/>
              <w:rPr>
                <w:rStyle w:val="FormatvorlageInstructionsTabelleText"/>
                <w:rFonts w:ascii="Times New Roman" w:hAnsi="Times New Roman"/>
                <w:b/>
                <w:sz w:val="24"/>
                <w:u w:val="single"/>
              </w:rPr>
            </w:pPr>
            <w:r w:rsidRPr="00D51A68">
              <w:rPr>
                <w:rStyle w:val="InstructionsTabelleberschrift"/>
                <w:rFonts w:ascii="Times New Roman" w:hAnsi="Times New Roman"/>
                <w:sz w:val="24"/>
              </w:rPr>
              <w:t>1.2.1.4.2</w:t>
            </w:r>
            <w:r w:rsidR="00A0772B" w:rsidRPr="00D51A68">
              <w:rPr>
                <w:u w:val="single"/>
              </w:rPr>
              <w:tab/>
            </w:r>
            <w:r w:rsidRPr="00D51A68">
              <w:rPr>
                <w:rStyle w:val="InstructionsTabelleberschrift"/>
                <w:rFonts w:ascii="Times New Roman" w:hAnsi="Times New Roman"/>
                <w:sz w:val="24"/>
              </w:rPr>
              <w:t>(-) Strumenti di capitale di classe 2 detenuti indirettamente</w:t>
            </w:r>
          </w:p>
          <w:p w:rsidR="005643EA" w:rsidRPr="00D51A68" w:rsidRDefault="00A86EB4"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Articolo 4, paragrafo 1, punto 114, articolo 63, lettera b), articolo 66,</w:t>
            </w:r>
            <w:r w:rsidR="00EA160D" w:rsidRPr="00D51A68">
              <w:rPr>
                <w:rStyle w:val="FormatvorlageInstructionsTabelleText"/>
                <w:rFonts w:ascii="Times New Roman" w:hAnsi="Times New Roman"/>
                <w:sz w:val="24"/>
              </w:rPr>
              <w:t xml:space="preserve"> lettera </w:t>
            </w:r>
            <w:r w:rsidRPr="00D51A68">
              <w:rPr>
                <w:rStyle w:val="FormatvorlageInstructionsTabelleText"/>
                <w:rFonts w:ascii="Times New Roman" w:hAnsi="Times New Roman"/>
                <w:sz w:val="24"/>
              </w:rPr>
              <w:t>a), e articolo 67 del CRR.</w:t>
            </w:r>
          </w:p>
        </w:tc>
      </w:tr>
      <w:tr w:rsidR="00A86EB4" w:rsidRPr="00D51A68" w:rsidTr="00672D2A">
        <w:tc>
          <w:tcPr>
            <w:tcW w:w="1129" w:type="dxa"/>
          </w:tcPr>
          <w:p w:rsidR="00A86EB4" w:rsidRPr="00D51A68" w:rsidRDefault="00A86EB4"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841</w:t>
            </w:r>
          </w:p>
        </w:tc>
        <w:tc>
          <w:tcPr>
            <w:tcW w:w="7620" w:type="dxa"/>
          </w:tcPr>
          <w:p w:rsidR="005643EA" w:rsidRPr="00D51A68" w:rsidRDefault="00A86EB4" w:rsidP="00FC1A76">
            <w:pPr>
              <w:pStyle w:val="InstructionsText"/>
              <w:rPr>
                <w:rStyle w:val="FormatvorlageInstructionsTabelleText"/>
                <w:rFonts w:ascii="Times New Roman" w:hAnsi="Times New Roman"/>
                <w:b/>
                <w:sz w:val="24"/>
                <w:u w:val="single"/>
              </w:rPr>
            </w:pPr>
            <w:r w:rsidRPr="00D51A68">
              <w:rPr>
                <w:rStyle w:val="InstructionsTabelleberschrift"/>
                <w:rFonts w:ascii="Times New Roman" w:hAnsi="Times New Roman"/>
                <w:sz w:val="24"/>
              </w:rPr>
              <w:t>1.2.1.4.3</w:t>
            </w:r>
            <w:r w:rsidR="00A0772B" w:rsidRPr="00D51A68">
              <w:rPr>
                <w:u w:val="single"/>
              </w:rPr>
              <w:tab/>
            </w:r>
            <w:r w:rsidRPr="00D51A68">
              <w:rPr>
                <w:rStyle w:val="InstructionsTabelleberschrift"/>
                <w:rFonts w:ascii="Times New Roman" w:hAnsi="Times New Roman"/>
                <w:sz w:val="24"/>
              </w:rPr>
              <w:t>(-) Strumenti di capitale di classe 2 detenuti sinteticamente</w:t>
            </w:r>
          </w:p>
          <w:p w:rsidR="005643EA" w:rsidRPr="00D51A68" w:rsidRDefault="00805255" w:rsidP="00FC1A76">
            <w:pPr>
              <w:pStyle w:val="InstructionsText"/>
              <w:rPr>
                <w:rStyle w:val="InstructionsTabelleberschrift"/>
                <w:rFonts w:ascii="Times New Roman" w:hAnsi="Times New Roman"/>
                <w:b w:val="0"/>
                <w:sz w:val="24"/>
                <w:u w:val="none"/>
              </w:rPr>
            </w:pPr>
            <w:r w:rsidRPr="00D51A68">
              <w:rPr>
                <w:rStyle w:val="FormatvorlageInstructionsTabelleText"/>
                <w:rFonts w:ascii="Times New Roman" w:hAnsi="Times New Roman"/>
                <w:sz w:val="24"/>
              </w:rPr>
              <w:t>Articolo 4, paragrafo 1, punto 126, articolo 63, lettera b), articolo 66</w:t>
            </w:r>
            <w:r w:rsidR="00EA160D" w:rsidRPr="00D51A68">
              <w:rPr>
                <w:rStyle w:val="FormatvorlageInstructionsTabelleText"/>
                <w:rFonts w:ascii="Times New Roman" w:hAnsi="Times New Roman"/>
                <w:sz w:val="24"/>
              </w:rPr>
              <w:t>, lettera </w:t>
            </w:r>
            <w:r w:rsidRPr="00D51A68">
              <w:rPr>
                <w:rStyle w:val="FormatvorlageInstructionsTabelleText"/>
                <w:rFonts w:ascii="Times New Roman" w:hAnsi="Times New Roman"/>
                <w:sz w:val="24"/>
              </w:rPr>
              <w:t>a), e articolo 67 del CRR.</w:t>
            </w:r>
          </w:p>
        </w:tc>
      </w:tr>
      <w:tr w:rsidR="00A86EB4" w:rsidRPr="00D51A68" w:rsidTr="00672D2A">
        <w:tc>
          <w:tcPr>
            <w:tcW w:w="1129" w:type="dxa"/>
          </w:tcPr>
          <w:p w:rsidR="00A86EB4" w:rsidRPr="00D51A68" w:rsidRDefault="00A86EB4"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842</w:t>
            </w:r>
          </w:p>
          <w:p w:rsidR="005643EA" w:rsidRPr="00D51A68" w:rsidRDefault="005643EA" w:rsidP="00FC1A76">
            <w:pPr>
              <w:pStyle w:val="InstructionsText"/>
              <w:rPr>
                <w:rStyle w:val="FormatvorlageInstructionsTabelleText"/>
                <w:rFonts w:ascii="Times New Roman" w:hAnsi="Times New Roman"/>
                <w:sz w:val="24"/>
              </w:rPr>
            </w:pPr>
          </w:p>
        </w:tc>
        <w:tc>
          <w:tcPr>
            <w:tcW w:w="7620" w:type="dxa"/>
          </w:tcPr>
          <w:p w:rsidR="005643EA" w:rsidRPr="00D51A68" w:rsidRDefault="00A86EB4" w:rsidP="00FC1A76">
            <w:pPr>
              <w:pStyle w:val="InstructionsText"/>
              <w:rPr>
                <w:rStyle w:val="InstructionsTabelleberschrift"/>
                <w:rFonts w:ascii="Times New Roman" w:hAnsi="Times New Roman"/>
                <w:b w:val="0"/>
                <w:sz w:val="24"/>
              </w:rPr>
            </w:pPr>
            <w:r w:rsidRPr="00D51A68">
              <w:rPr>
                <w:rStyle w:val="InstructionsTabelleberschrift"/>
                <w:rFonts w:ascii="Times New Roman" w:hAnsi="Times New Roman"/>
                <w:sz w:val="24"/>
              </w:rPr>
              <w:t>1.2.1.5</w:t>
            </w:r>
            <w:r w:rsidR="00A0772B" w:rsidRPr="00D51A68">
              <w:rPr>
                <w:u w:val="single"/>
              </w:rPr>
              <w:tab/>
            </w:r>
            <w:r w:rsidRPr="00D51A68">
              <w:rPr>
                <w:rStyle w:val="InstructionsTabelleberschrift"/>
                <w:rFonts w:ascii="Times New Roman" w:hAnsi="Times New Roman"/>
                <w:sz w:val="24"/>
              </w:rPr>
              <w:t>(-) Obblighi esistenti o potenziali di acquistare strumenti propri di capitale di classe 2</w:t>
            </w:r>
          </w:p>
          <w:p w:rsidR="005643EA" w:rsidRPr="00D51A68" w:rsidRDefault="00A86EB4"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Articolo 66, lettera a), e articolo 67 del CRR.</w:t>
            </w:r>
          </w:p>
          <w:p w:rsidR="005643EA" w:rsidRPr="00D51A68" w:rsidRDefault="00A86EB4" w:rsidP="00FC1A76">
            <w:pPr>
              <w:pStyle w:val="InstructionsText"/>
              <w:rPr>
                <w:rStyle w:val="InstructionsTabelleberschrift"/>
                <w:rFonts w:ascii="Times New Roman" w:hAnsi="Times New Roman"/>
                <w:b w:val="0"/>
                <w:bCs w:val="0"/>
                <w:sz w:val="24"/>
                <w:u w:val="none"/>
              </w:rPr>
            </w:pPr>
            <w:r w:rsidRPr="00D51A68">
              <w:rPr>
                <w:rStyle w:val="InstructionsTabelleberschrift"/>
                <w:rFonts w:ascii="Times New Roman" w:hAnsi="Times New Roman"/>
                <w:b w:val="0"/>
                <w:sz w:val="24"/>
                <w:u w:val="none"/>
              </w:rPr>
              <w:t>Ai sensi dell</w:t>
            </w:r>
            <w:r w:rsidR="0009277C" w:rsidRPr="00D51A68">
              <w:rPr>
                <w:rStyle w:val="InstructionsTabelleberschrift"/>
                <w:rFonts w:ascii="Times New Roman" w:hAnsi="Times New Roman"/>
                <w:b w:val="0"/>
                <w:sz w:val="24"/>
                <w:u w:val="none"/>
              </w:rPr>
              <w:t>’</w:t>
            </w:r>
            <w:r w:rsidRPr="00D51A68">
              <w:rPr>
                <w:rStyle w:val="InstructionsTabelleberschrift"/>
                <w:rFonts w:ascii="Times New Roman" w:hAnsi="Times New Roman"/>
                <w:b w:val="0"/>
                <w:sz w:val="24"/>
                <w:u w:val="none"/>
              </w:rPr>
              <w:t>articolo 66, lettera a), del CRR</w:t>
            </w:r>
            <w:r w:rsidRPr="00D51A68">
              <w:t xml:space="preserve"> sono dedotti gli strumenti propri di capitale di classe 2 </w:t>
            </w:r>
            <w:r w:rsidR="0009277C" w:rsidRPr="00D51A68">
              <w:t>“</w:t>
            </w:r>
            <w:r w:rsidRPr="00D51A68">
              <w:t>che un ente potrebbe essere obbligato ad acquistare in virtù di obblighi contrattuali esistenti</w:t>
            </w:r>
            <w:r w:rsidR="0009277C" w:rsidRPr="00D51A68">
              <w:t>”</w:t>
            </w:r>
            <w:r w:rsidRPr="00D51A68">
              <w:t>.</w:t>
            </w:r>
          </w:p>
        </w:tc>
      </w:tr>
      <w:tr w:rsidR="00A86EB4" w:rsidRPr="00D51A68" w:rsidTr="00672D2A">
        <w:tc>
          <w:tcPr>
            <w:tcW w:w="1129" w:type="dxa"/>
          </w:tcPr>
          <w:p w:rsidR="00A86EB4" w:rsidRPr="00D51A68" w:rsidRDefault="00A86EB4"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880</w:t>
            </w:r>
          </w:p>
        </w:tc>
        <w:tc>
          <w:tcPr>
            <w:tcW w:w="7620" w:type="dxa"/>
          </w:tcPr>
          <w:p w:rsidR="005643EA" w:rsidRPr="00D51A68" w:rsidRDefault="00A86EB4" w:rsidP="00FC1A76">
            <w:pPr>
              <w:pStyle w:val="InstructionsText"/>
              <w:rPr>
                <w:rStyle w:val="FormatvorlageInstructionsTabelleText"/>
                <w:rFonts w:ascii="Times New Roman" w:hAnsi="Times New Roman"/>
                <w:b/>
                <w:sz w:val="24"/>
                <w:u w:val="single"/>
              </w:rPr>
            </w:pPr>
            <w:r w:rsidRPr="00D51A68">
              <w:rPr>
                <w:rStyle w:val="InstructionsTabelleberschrift"/>
                <w:rFonts w:ascii="Times New Roman" w:hAnsi="Times New Roman"/>
                <w:sz w:val="24"/>
              </w:rPr>
              <w:t>1.2.2</w:t>
            </w:r>
            <w:r w:rsidR="00A0772B" w:rsidRPr="00D51A68">
              <w:rPr>
                <w:u w:val="single"/>
              </w:rPr>
              <w:tab/>
            </w:r>
            <w:r w:rsidRPr="00D51A68">
              <w:rPr>
                <w:rStyle w:val="InstructionsTabelleberschrift"/>
                <w:rFonts w:ascii="Times New Roman" w:hAnsi="Times New Roman"/>
                <w:sz w:val="24"/>
              </w:rPr>
              <w:t>Aggiustamenti transitori dovuti a strumenti di capitale di classe 2 e prestiti subordinati soggetti alla clausola grandfathering</w:t>
            </w:r>
          </w:p>
          <w:p w:rsidR="005643EA" w:rsidRPr="00D51A68" w:rsidRDefault="00A86EB4"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Articolo 483, paragrafi 6 e 7, e articoli 484, 486, 488, 490 e 491 del CRR.</w:t>
            </w:r>
          </w:p>
          <w:p w:rsidR="005643EA" w:rsidRPr="00D51A68" w:rsidRDefault="00A86EB4"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Importo degli strumenti di capitale assoggettati temporaneamente alla clausola grandfathering come capitale di classe 2. 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importo da segnalare si ricava direttamente dal modello CA5.</w:t>
            </w:r>
          </w:p>
        </w:tc>
      </w:tr>
      <w:tr w:rsidR="00A86EB4" w:rsidRPr="00D51A68" w:rsidTr="00672D2A">
        <w:tc>
          <w:tcPr>
            <w:tcW w:w="1129" w:type="dxa"/>
          </w:tcPr>
          <w:p w:rsidR="00A86EB4" w:rsidRPr="00D51A68" w:rsidRDefault="00A86EB4"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890</w:t>
            </w:r>
          </w:p>
        </w:tc>
        <w:tc>
          <w:tcPr>
            <w:tcW w:w="7620" w:type="dxa"/>
          </w:tcPr>
          <w:p w:rsidR="005643EA" w:rsidRPr="00D51A68" w:rsidRDefault="00A86EB4" w:rsidP="00FC1A76">
            <w:pPr>
              <w:pStyle w:val="InstructionsText"/>
              <w:rPr>
                <w:rStyle w:val="FormatvorlageInstructionsTabelleText"/>
                <w:rFonts w:ascii="Times New Roman" w:hAnsi="Times New Roman"/>
                <w:b/>
                <w:sz w:val="24"/>
                <w:u w:val="single"/>
              </w:rPr>
            </w:pPr>
            <w:r w:rsidRPr="00D51A68">
              <w:rPr>
                <w:rStyle w:val="InstructionsTabelleberschrift"/>
                <w:rFonts w:ascii="Times New Roman" w:hAnsi="Times New Roman"/>
                <w:sz w:val="24"/>
              </w:rPr>
              <w:t>1.2.3</w:t>
            </w:r>
            <w:r w:rsidR="00A0772B" w:rsidRPr="00D51A68">
              <w:rPr>
                <w:u w:val="single"/>
              </w:rPr>
              <w:tab/>
            </w:r>
            <w:r w:rsidRPr="00D51A68">
              <w:rPr>
                <w:rStyle w:val="InstructionsTabelleberschrift"/>
                <w:rFonts w:ascii="Times New Roman" w:hAnsi="Times New Roman"/>
                <w:sz w:val="24"/>
              </w:rPr>
              <w:t>Strumenti emessi da filiazioni riconosciuti nel capitale di classe 2</w:t>
            </w:r>
          </w:p>
          <w:p w:rsidR="005643EA" w:rsidRPr="00D51A68" w:rsidRDefault="00A86EB4"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Articoli 83, 87 e 88 del CRR.</w:t>
            </w:r>
          </w:p>
          <w:p w:rsidR="00477CB6" w:rsidRPr="00D51A68" w:rsidRDefault="00A86EB4"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Somma di tutti gli importi dei fondi propri ammissibili delle filiazioni inclusi nel capitale di classe 2 consolidato.</w:t>
            </w:r>
          </w:p>
          <w:p w:rsidR="00543DBD" w:rsidRPr="00D51A68" w:rsidRDefault="00543DBD"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È incluso il capitale di classe 2 ammissibile emesso da società veicolo (articolo 83 del CRR).</w:t>
            </w:r>
          </w:p>
        </w:tc>
      </w:tr>
      <w:tr w:rsidR="00A86EB4" w:rsidRPr="00D51A68" w:rsidTr="00672D2A">
        <w:tc>
          <w:tcPr>
            <w:tcW w:w="1129" w:type="dxa"/>
          </w:tcPr>
          <w:p w:rsidR="00A86EB4" w:rsidRPr="00D51A68" w:rsidRDefault="00A86EB4"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900</w:t>
            </w:r>
          </w:p>
        </w:tc>
        <w:tc>
          <w:tcPr>
            <w:tcW w:w="7620" w:type="dxa"/>
          </w:tcPr>
          <w:p w:rsidR="005643EA" w:rsidRPr="00D51A68" w:rsidRDefault="00A86EB4" w:rsidP="00FC1A76">
            <w:pPr>
              <w:pStyle w:val="InstructionsText"/>
              <w:rPr>
                <w:rStyle w:val="FormatvorlageInstructionsTabelleText"/>
                <w:rFonts w:ascii="Times New Roman" w:hAnsi="Times New Roman"/>
                <w:b/>
                <w:sz w:val="24"/>
                <w:u w:val="single"/>
              </w:rPr>
            </w:pPr>
            <w:r w:rsidRPr="00D51A68">
              <w:rPr>
                <w:rStyle w:val="InstructionsTabelleberschrift"/>
                <w:rFonts w:ascii="Times New Roman" w:hAnsi="Times New Roman"/>
                <w:sz w:val="24"/>
              </w:rPr>
              <w:t>1.2.4</w:t>
            </w:r>
            <w:r w:rsidR="00A0772B" w:rsidRPr="00D51A68">
              <w:rPr>
                <w:u w:val="single"/>
              </w:rPr>
              <w:tab/>
            </w:r>
            <w:r w:rsidRPr="00D51A68">
              <w:rPr>
                <w:rStyle w:val="InstructionsTabelleberschrift"/>
                <w:rFonts w:ascii="Times New Roman" w:hAnsi="Times New Roman"/>
                <w:sz w:val="24"/>
              </w:rPr>
              <w:t>Aggiustamenti transitori dovuti al riconoscimento aggiuntivo di strumenti emessi da filiazioni nel capitale di classe 2</w:t>
            </w:r>
          </w:p>
          <w:p w:rsidR="005643EA" w:rsidRPr="00D51A68" w:rsidRDefault="00A86EB4"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Articolo 480 del CRR.</w:t>
            </w:r>
          </w:p>
          <w:p w:rsidR="005643EA" w:rsidRPr="00D51A68" w:rsidRDefault="00A86EB4"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lastRenderedPageBreak/>
              <w:t>Aggiustamenti dei fondi propri ammissibili inclusi nel capitale di classe 2 consolidato dovuti a disposizioni transitorie. Questa voce si ricava direttamente dal modello CA5.</w:t>
            </w:r>
          </w:p>
        </w:tc>
      </w:tr>
      <w:tr w:rsidR="00A86EB4" w:rsidRPr="00D51A68" w:rsidTr="00672D2A">
        <w:tc>
          <w:tcPr>
            <w:tcW w:w="1129" w:type="dxa"/>
          </w:tcPr>
          <w:p w:rsidR="00A86EB4" w:rsidRPr="00D51A68" w:rsidRDefault="00A86EB4"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lastRenderedPageBreak/>
              <w:t>910</w:t>
            </w:r>
          </w:p>
        </w:tc>
        <w:tc>
          <w:tcPr>
            <w:tcW w:w="7620" w:type="dxa"/>
          </w:tcPr>
          <w:p w:rsidR="005643EA" w:rsidRPr="00D51A68" w:rsidRDefault="00A86EB4" w:rsidP="00FC1A76">
            <w:pPr>
              <w:pStyle w:val="InstructionsText"/>
              <w:rPr>
                <w:rStyle w:val="FormatvorlageInstructionsTabelleText"/>
                <w:rFonts w:ascii="Times New Roman" w:hAnsi="Times New Roman"/>
                <w:b/>
                <w:sz w:val="24"/>
                <w:u w:val="single"/>
              </w:rPr>
            </w:pPr>
            <w:r w:rsidRPr="00D51A68">
              <w:rPr>
                <w:rStyle w:val="InstructionsTabelleberschrift"/>
                <w:rFonts w:ascii="Times New Roman" w:hAnsi="Times New Roman"/>
                <w:sz w:val="24"/>
              </w:rPr>
              <w:t>1.2.5</w:t>
            </w:r>
            <w:r w:rsidR="00A0772B" w:rsidRPr="00D51A68">
              <w:rPr>
                <w:u w:val="single"/>
              </w:rPr>
              <w:tab/>
            </w:r>
            <w:r w:rsidRPr="00D51A68">
              <w:rPr>
                <w:rStyle w:val="InstructionsTabelleberschrift"/>
                <w:rFonts w:ascii="Times New Roman" w:hAnsi="Times New Roman"/>
                <w:sz w:val="24"/>
              </w:rPr>
              <w:t>Eccesso di accantonamenti rispetto alle perdite attese ammissibili nell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ambito del metodo IRB</w:t>
            </w:r>
          </w:p>
          <w:p w:rsidR="005643EA" w:rsidRPr="00D51A68" w:rsidRDefault="00A86EB4"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Articolo 62, lettera d), del CRR.</w:t>
            </w:r>
          </w:p>
          <w:p w:rsidR="005643EA" w:rsidRPr="00D51A68" w:rsidRDefault="00A86EB4"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Per gli enti che calcolano gli importi delle esposizioni ponderati per il rischio secondo il metodo IRB, questa riga contiene gli importi positivi risultanti dal confronto tra gli accantonamenti e le perdite attese ammissibili come capitale di classe 2.</w:t>
            </w:r>
          </w:p>
        </w:tc>
      </w:tr>
      <w:tr w:rsidR="00A86EB4" w:rsidRPr="00D51A68" w:rsidTr="00672D2A">
        <w:tc>
          <w:tcPr>
            <w:tcW w:w="1129" w:type="dxa"/>
          </w:tcPr>
          <w:p w:rsidR="00A86EB4" w:rsidRPr="00D51A68" w:rsidRDefault="00A86EB4"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920</w:t>
            </w:r>
          </w:p>
        </w:tc>
        <w:tc>
          <w:tcPr>
            <w:tcW w:w="7620" w:type="dxa"/>
          </w:tcPr>
          <w:p w:rsidR="005643EA" w:rsidRPr="00D51A68" w:rsidRDefault="00A86EB4" w:rsidP="00FC1A76">
            <w:pPr>
              <w:pStyle w:val="InstructionsText"/>
              <w:rPr>
                <w:rStyle w:val="FormatvorlageInstructionsTabelleText"/>
                <w:rFonts w:ascii="Times New Roman" w:hAnsi="Times New Roman"/>
                <w:b/>
                <w:sz w:val="24"/>
                <w:u w:val="single"/>
              </w:rPr>
            </w:pPr>
            <w:r w:rsidRPr="00D51A68">
              <w:rPr>
                <w:rStyle w:val="InstructionsTabelleberschrift"/>
                <w:rFonts w:ascii="Times New Roman" w:hAnsi="Times New Roman"/>
                <w:sz w:val="24"/>
              </w:rPr>
              <w:t>1.2.6</w:t>
            </w:r>
            <w:r w:rsidR="00A0772B" w:rsidRPr="00D51A68">
              <w:rPr>
                <w:u w:val="single"/>
              </w:rPr>
              <w:tab/>
            </w:r>
            <w:r w:rsidRPr="00D51A68">
              <w:rPr>
                <w:rStyle w:val="InstructionsTabelleberschrift"/>
                <w:rFonts w:ascii="Times New Roman" w:hAnsi="Times New Roman"/>
                <w:sz w:val="24"/>
              </w:rPr>
              <w:t>Rettifiche di valore su crediti generiche in base al metodo standardizzato</w:t>
            </w:r>
          </w:p>
          <w:p w:rsidR="005643EA" w:rsidRPr="00D51A68" w:rsidRDefault="00A86EB4"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Articolo 62, lettera c), del CRR.</w:t>
            </w:r>
          </w:p>
          <w:p w:rsidR="005643EA" w:rsidRPr="00D51A68" w:rsidRDefault="00A86EB4"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Per gli enti che calcolano gli importi delle esposizioni ponderati per il rischio secondo il metodo standardizzato, questa voce contiene le rettifiche di valore su crediti generiche ammissibili come capitale di classe 2.</w:t>
            </w:r>
          </w:p>
        </w:tc>
      </w:tr>
      <w:tr w:rsidR="00A86EB4" w:rsidRPr="00D51A68" w:rsidTr="00672D2A">
        <w:tc>
          <w:tcPr>
            <w:tcW w:w="1129" w:type="dxa"/>
          </w:tcPr>
          <w:p w:rsidR="00A86EB4" w:rsidRPr="00D51A68" w:rsidRDefault="00A86EB4"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930</w:t>
            </w:r>
          </w:p>
        </w:tc>
        <w:tc>
          <w:tcPr>
            <w:tcW w:w="7620" w:type="dxa"/>
          </w:tcPr>
          <w:p w:rsidR="005643EA" w:rsidRPr="00D51A68" w:rsidRDefault="00A86EB4" w:rsidP="00FC1A76">
            <w:pPr>
              <w:pStyle w:val="InstructionsText"/>
              <w:rPr>
                <w:rStyle w:val="FormatvorlageInstructionsTabelleText"/>
                <w:rFonts w:ascii="Times New Roman" w:hAnsi="Times New Roman"/>
                <w:b/>
                <w:sz w:val="24"/>
                <w:u w:val="single"/>
              </w:rPr>
            </w:pPr>
            <w:r w:rsidRPr="00D51A68">
              <w:rPr>
                <w:rStyle w:val="InstructionsTabelleberschrift"/>
                <w:rFonts w:ascii="Times New Roman" w:hAnsi="Times New Roman"/>
                <w:sz w:val="24"/>
              </w:rPr>
              <w:t>1.2.7</w:t>
            </w:r>
            <w:r w:rsidR="00A0772B" w:rsidRPr="00D51A68">
              <w:rPr>
                <w:u w:val="single"/>
              </w:rPr>
              <w:tab/>
            </w:r>
            <w:r w:rsidRPr="00D51A68">
              <w:rPr>
                <w:rStyle w:val="InstructionsTabelleberschrift"/>
                <w:rFonts w:ascii="Times New Roman" w:hAnsi="Times New Roman"/>
                <w:sz w:val="24"/>
              </w:rPr>
              <w:t>(-) Partecipazioni incrociate reciproche in capitale di classe 2</w:t>
            </w:r>
          </w:p>
          <w:p w:rsidR="005643EA" w:rsidRPr="00D51A68" w:rsidRDefault="00805255"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Articolo 4, paragrafo 1, punto 122, articolo 66, lettera b), e articolo 68 del CRR.</w:t>
            </w:r>
          </w:p>
          <w:p w:rsidR="005643EA" w:rsidRPr="00D51A68" w:rsidRDefault="00A86EB4"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Possesso di strumenti del capitale di classe 2 di soggetti del settore finanziario (così come definiti nell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articolo 4, paragrafo 1, punto 27, del CRR) laddove sussista una partecipazione incrociata reciproca che 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autorità competente ritiene sia stata concepita per aumentare artificialmente i fondi propri dell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ente.</w:t>
            </w:r>
          </w:p>
          <w:p w:rsidR="005643EA" w:rsidRPr="00D51A68" w:rsidRDefault="00A86EB4"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importo da segnalare è calcolato sulla base delle posizioni lunghe lorde e comprende gli elementi assicurativi dei fondi propri di classe 2 e 3.</w:t>
            </w:r>
          </w:p>
        </w:tc>
      </w:tr>
      <w:tr w:rsidR="00A86EB4" w:rsidRPr="00D51A68" w:rsidTr="00672D2A">
        <w:tc>
          <w:tcPr>
            <w:tcW w:w="1129" w:type="dxa"/>
          </w:tcPr>
          <w:p w:rsidR="00A86EB4" w:rsidRPr="00D51A68" w:rsidRDefault="00A86EB4"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940</w:t>
            </w:r>
          </w:p>
        </w:tc>
        <w:tc>
          <w:tcPr>
            <w:tcW w:w="7620" w:type="dxa"/>
          </w:tcPr>
          <w:p w:rsidR="005643EA" w:rsidRPr="00D51A68" w:rsidRDefault="00A86EB4" w:rsidP="00FC1A76">
            <w:pPr>
              <w:pStyle w:val="InstructionsText"/>
              <w:rPr>
                <w:rStyle w:val="FormatvorlageInstructionsTabelleText"/>
                <w:rFonts w:ascii="Times New Roman" w:hAnsi="Times New Roman"/>
                <w:b/>
                <w:sz w:val="24"/>
                <w:u w:val="single"/>
              </w:rPr>
            </w:pPr>
            <w:r w:rsidRPr="00D51A68">
              <w:rPr>
                <w:rStyle w:val="InstructionsTabelleberschrift"/>
                <w:rFonts w:ascii="Times New Roman" w:hAnsi="Times New Roman"/>
                <w:sz w:val="24"/>
              </w:rPr>
              <w:t>1.2.8</w:t>
            </w:r>
            <w:r w:rsidR="00A0772B" w:rsidRPr="00D51A68">
              <w:rPr>
                <w:u w:val="single"/>
              </w:rPr>
              <w:tab/>
            </w:r>
            <w:r w:rsidRPr="00D51A68">
              <w:rPr>
                <w:rStyle w:val="InstructionsTabelleberschrift"/>
                <w:rFonts w:ascii="Times New Roman" w:hAnsi="Times New Roman"/>
                <w:sz w:val="24"/>
              </w:rPr>
              <w:t>(-) Strumenti di capitale di classe 2 di soggetti del settore finanziario in cui 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ente non ha un investimento significativo</w:t>
            </w:r>
          </w:p>
          <w:p w:rsidR="005643EA" w:rsidRPr="00D51A68" w:rsidRDefault="00A86EB4"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Articolo 4, paragrafo 1, punto 27, articolo 66, lettera c), articoli da 68 a 70 e articolo 79 del CRR.</w:t>
            </w:r>
          </w:p>
          <w:p w:rsidR="005643EA" w:rsidRPr="00D51A68" w:rsidRDefault="00A86EB4"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Parte delle partecipazioni detenute dall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ente in strumenti di soggetti del settore finanziario (così come definiti nell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articolo 4, paragrafo 1, punto 27, del CRR) in cui 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ente non ha un investimento significativo che deve essere dedotta dal capitale di classe 2.</w:t>
            </w:r>
          </w:p>
        </w:tc>
      </w:tr>
      <w:tr w:rsidR="00A86EB4" w:rsidRPr="00D51A68" w:rsidTr="00672D2A">
        <w:tc>
          <w:tcPr>
            <w:tcW w:w="1129" w:type="dxa"/>
          </w:tcPr>
          <w:p w:rsidR="00A86EB4" w:rsidRPr="00D51A68" w:rsidRDefault="00A86EB4"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950</w:t>
            </w:r>
          </w:p>
        </w:tc>
        <w:tc>
          <w:tcPr>
            <w:tcW w:w="7620" w:type="dxa"/>
          </w:tcPr>
          <w:p w:rsidR="005643EA" w:rsidRPr="00D51A68" w:rsidRDefault="00A86EB4" w:rsidP="00FC1A76">
            <w:pPr>
              <w:pStyle w:val="InstructionsText"/>
              <w:rPr>
                <w:rStyle w:val="FormatvorlageInstructionsTabelleText"/>
                <w:rFonts w:ascii="Times New Roman" w:hAnsi="Times New Roman"/>
                <w:b/>
                <w:sz w:val="24"/>
                <w:u w:val="single"/>
              </w:rPr>
            </w:pPr>
            <w:r w:rsidRPr="00D51A68">
              <w:rPr>
                <w:rStyle w:val="InstructionsTabelleberschrift"/>
                <w:rFonts w:ascii="Times New Roman" w:hAnsi="Times New Roman"/>
                <w:sz w:val="24"/>
              </w:rPr>
              <w:t>1.2.9</w:t>
            </w:r>
            <w:r w:rsidR="00A0772B" w:rsidRPr="00D51A68">
              <w:rPr>
                <w:u w:val="single"/>
              </w:rPr>
              <w:tab/>
            </w:r>
            <w:r w:rsidRPr="00D51A68">
              <w:rPr>
                <w:rStyle w:val="InstructionsTabelleberschrift"/>
                <w:rFonts w:ascii="Times New Roman" w:hAnsi="Times New Roman"/>
                <w:sz w:val="24"/>
              </w:rPr>
              <w:t>(-) Strumenti di capitale di classe 2 di soggetti del settore finanziario in cui 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ente ha un investimento significativo</w:t>
            </w:r>
          </w:p>
          <w:p w:rsidR="005643EA" w:rsidRPr="00D51A68" w:rsidRDefault="00A86EB4"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Articolo 4, paragrafo 1, punto 27, articolo 66, lettera d), e articoli 68, 69 e 79 del CRR.</w:t>
            </w:r>
          </w:p>
          <w:p w:rsidR="005643EA" w:rsidRPr="00D51A68" w:rsidRDefault="009B511B"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Sono dedotte integralmente le partecipazioni detenute dall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ente in strumenti del capitale di classe 2 di soggetti del settore finanziario (così come definiti nell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articolo 4, paragrafo 1, punto 27, del CRR) in cui 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ente ha un investimento significativo.</w:t>
            </w:r>
          </w:p>
        </w:tc>
      </w:tr>
      <w:tr w:rsidR="00A86EB4" w:rsidRPr="00D51A68" w:rsidTr="00672D2A">
        <w:tc>
          <w:tcPr>
            <w:tcW w:w="1129" w:type="dxa"/>
          </w:tcPr>
          <w:p w:rsidR="00A86EB4" w:rsidRPr="00D51A68" w:rsidRDefault="00A86EB4"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lastRenderedPageBreak/>
              <w:t>960</w:t>
            </w:r>
          </w:p>
        </w:tc>
        <w:tc>
          <w:tcPr>
            <w:tcW w:w="7620" w:type="dxa"/>
          </w:tcPr>
          <w:p w:rsidR="005643EA" w:rsidRPr="00D51A68" w:rsidRDefault="00A86EB4" w:rsidP="00FC1A76">
            <w:pPr>
              <w:pStyle w:val="InstructionsText"/>
              <w:rPr>
                <w:rStyle w:val="FormatvorlageInstructionsTabelleText"/>
                <w:rFonts w:ascii="Times New Roman" w:hAnsi="Times New Roman"/>
                <w:b/>
                <w:sz w:val="24"/>
                <w:u w:val="single"/>
              </w:rPr>
            </w:pPr>
            <w:r w:rsidRPr="00D51A68">
              <w:rPr>
                <w:rStyle w:val="InstructionsTabelleberschrift"/>
                <w:rFonts w:ascii="Times New Roman" w:hAnsi="Times New Roman"/>
                <w:sz w:val="24"/>
              </w:rPr>
              <w:t>1.2.10</w:t>
            </w:r>
            <w:r w:rsidR="00A0772B" w:rsidRPr="00D51A68">
              <w:rPr>
                <w:u w:val="single"/>
              </w:rPr>
              <w:tab/>
            </w:r>
            <w:r w:rsidRPr="00D51A68">
              <w:rPr>
                <w:rStyle w:val="InstructionsTabelleberschrift"/>
                <w:rFonts w:ascii="Times New Roman" w:hAnsi="Times New Roman"/>
                <w:sz w:val="24"/>
              </w:rPr>
              <w:t>Altri aggiustamenti transitori del capitale di classe 2</w:t>
            </w:r>
          </w:p>
          <w:p w:rsidR="005643EA" w:rsidRPr="00D51A68" w:rsidRDefault="00A86EB4"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Articoli da 476 a 478 e articolo 481 del CRR.</w:t>
            </w:r>
          </w:p>
          <w:p w:rsidR="005643EA" w:rsidRPr="00D51A68" w:rsidRDefault="00A86EB4"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Aggiustamenti dovuti a disposizioni transitorie. 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importo da segnalare si ricava direttamente dal modello CA5.</w:t>
            </w:r>
          </w:p>
        </w:tc>
      </w:tr>
      <w:tr w:rsidR="00A86EB4" w:rsidRPr="00D51A68" w:rsidTr="00672D2A">
        <w:tc>
          <w:tcPr>
            <w:tcW w:w="1129" w:type="dxa"/>
          </w:tcPr>
          <w:p w:rsidR="00A86EB4" w:rsidRPr="00D51A68" w:rsidRDefault="00A86EB4"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970</w:t>
            </w:r>
          </w:p>
        </w:tc>
        <w:tc>
          <w:tcPr>
            <w:tcW w:w="7620" w:type="dxa"/>
          </w:tcPr>
          <w:p w:rsidR="005643EA" w:rsidRPr="00D51A68" w:rsidRDefault="00A86EB4" w:rsidP="00FC1A76">
            <w:pPr>
              <w:pStyle w:val="InstructionsText"/>
              <w:rPr>
                <w:rStyle w:val="FormatvorlageInstructionsTabelleText"/>
                <w:rFonts w:ascii="Times New Roman" w:hAnsi="Times New Roman"/>
                <w:b/>
                <w:sz w:val="24"/>
                <w:u w:val="single"/>
              </w:rPr>
            </w:pPr>
            <w:r w:rsidRPr="00D51A68">
              <w:rPr>
                <w:rStyle w:val="InstructionsTabelleberschrift"/>
                <w:rFonts w:ascii="Times New Roman" w:hAnsi="Times New Roman"/>
                <w:sz w:val="24"/>
              </w:rPr>
              <w:t>1.2.11</w:t>
            </w:r>
            <w:r w:rsidR="00A0772B" w:rsidRPr="00D51A68">
              <w:rPr>
                <w:u w:val="single"/>
              </w:rPr>
              <w:tab/>
            </w:r>
            <w:r w:rsidRPr="00D51A68">
              <w:rPr>
                <w:rStyle w:val="InstructionsTabelleberschrift"/>
                <w:rFonts w:ascii="Times New Roman" w:hAnsi="Times New Roman"/>
                <w:sz w:val="24"/>
              </w:rPr>
              <w:t>Eccesso di deduzione da elementi del capitale di classe 2 rispetto al capitale di classe 2 (dedotto dal capitale aggiuntivo di classe 1)</w:t>
            </w:r>
          </w:p>
          <w:p w:rsidR="005643EA" w:rsidRPr="00D51A68" w:rsidRDefault="00A86EB4"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Articolo 56, lettera e), del CRR.</w:t>
            </w:r>
          </w:p>
          <w:p w:rsidR="005643EA" w:rsidRPr="00D51A68" w:rsidRDefault="00A86EB4"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Il capitale di classe 2 non può essere negativo; è tuttavia possibile che le deduzioni siano superiori al capitale stesso, più il relativo sovrapprezzo azioni. In questi casi, il capitale di classe 2 deve essere uguale a zero e la parte in eccesso delle deduzioni che gli competono va dedotta dal capitale aggiuntivo di classe 1.</w:t>
            </w:r>
          </w:p>
          <w:p w:rsidR="005643EA" w:rsidRPr="00D51A68" w:rsidRDefault="00A86EB4"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 xml:space="preserve">Grazie a questa voce, la somma delle righe da 1.2.1 a 1.2.13 non è mai inferiore a zero. Se questa voce registra </w:t>
            </w:r>
            <w:r w:rsidR="00EA160D" w:rsidRPr="00D51A68">
              <w:rPr>
                <w:rStyle w:val="FormatvorlageInstructionsTabelleText"/>
                <w:rFonts w:ascii="Times New Roman" w:hAnsi="Times New Roman"/>
                <w:sz w:val="24"/>
              </w:rPr>
              <w:t>un importo positivo, nella riga </w:t>
            </w:r>
            <w:r w:rsidRPr="00D51A68">
              <w:rPr>
                <w:rStyle w:val="FormatvorlageInstructionsTabelleText"/>
                <w:rFonts w:ascii="Times New Roman" w:hAnsi="Times New Roman"/>
                <w:sz w:val="24"/>
              </w:rPr>
              <w:t>1.1.2.8 figurerà un pari importo di segno negativo.</w:t>
            </w:r>
          </w:p>
        </w:tc>
      </w:tr>
      <w:tr w:rsidR="00BD687C" w:rsidRPr="00D51A68" w:rsidTr="00672D2A">
        <w:tc>
          <w:tcPr>
            <w:tcW w:w="1129" w:type="dxa"/>
          </w:tcPr>
          <w:p w:rsidR="00BD687C" w:rsidRPr="00D51A68" w:rsidDel="00BD687C" w:rsidRDefault="00BD687C"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974</w:t>
            </w:r>
          </w:p>
        </w:tc>
        <w:tc>
          <w:tcPr>
            <w:tcW w:w="7620" w:type="dxa"/>
          </w:tcPr>
          <w:p w:rsidR="005643EA" w:rsidRPr="00D51A68" w:rsidRDefault="00BD687C"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1.2.12</w:t>
            </w:r>
            <w:r w:rsidR="00A0772B" w:rsidRPr="00D51A68">
              <w:rPr>
                <w:u w:val="single"/>
              </w:rPr>
              <w:tab/>
            </w:r>
            <w:r w:rsidRPr="00D51A68">
              <w:rPr>
                <w:rStyle w:val="InstructionsTabelleberschrift"/>
                <w:rFonts w:ascii="Times New Roman" w:hAnsi="Times New Roman"/>
                <w:sz w:val="24"/>
              </w:rPr>
              <w:t>(-) Altre deduzioni del capitale di classe 2 dovute all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articolo 3 del CRR</w:t>
            </w:r>
          </w:p>
          <w:p w:rsidR="005643EA" w:rsidRPr="00D51A68" w:rsidRDefault="00BD687C" w:rsidP="00FC1A76">
            <w:pPr>
              <w:pStyle w:val="InstructionsText"/>
              <w:rPr>
                <w:rStyle w:val="InstructionsTabelleberschrift"/>
                <w:rFonts w:ascii="Times New Roman" w:hAnsi="Times New Roman"/>
                <w:b w:val="0"/>
                <w:sz w:val="24"/>
                <w:u w:val="none"/>
              </w:rPr>
            </w:pPr>
            <w:r w:rsidRPr="00D51A68">
              <w:rPr>
                <w:rStyle w:val="InstructionsTabelleberschrift"/>
                <w:rFonts w:ascii="Times New Roman" w:hAnsi="Times New Roman"/>
                <w:b w:val="0"/>
                <w:sz w:val="24"/>
                <w:u w:val="none"/>
              </w:rPr>
              <w:t>Articolo 3 del CRR.</w:t>
            </w:r>
          </w:p>
        </w:tc>
      </w:tr>
      <w:tr w:rsidR="00A86EB4" w:rsidRPr="00D51A68" w:rsidTr="00672D2A">
        <w:tc>
          <w:tcPr>
            <w:tcW w:w="1129" w:type="dxa"/>
          </w:tcPr>
          <w:p w:rsidR="00A86EB4" w:rsidRPr="00D51A68" w:rsidRDefault="00BD687C"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978</w:t>
            </w:r>
          </w:p>
        </w:tc>
        <w:tc>
          <w:tcPr>
            <w:tcW w:w="7620" w:type="dxa"/>
          </w:tcPr>
          <w:p w:rsidR="005643EA" w:rsidRPr="00D51A68" w:rsidRDefault="00A86EB4"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1.2.13</w:t>
            </w:r>
            <w:r w:rsidR="00A0772B" w:rsidRPr="00D51A68">
              <w:rPr>
                <w:u w:val="single"/>
              </w:rPr>
              <w:tab/>
            </w:r>
            <w:r w:rsidRPr="00D51A68">
              <w:rPr>
                <w:rStyle w:val="InstructionsTabelleberschrift"/>
                <w:rFonts w:ascii="Times New Roman" w:hAnsi="Times New Roman"/>
                <w:sz w:val="24"/>
              </w:rPr>
              <w:t xml:space="preserve">Elementi o deduzioni del capitale di classe 2 — altro </w:t>
            </w:r>
          </w:p>
          <w:p w:rsidR="005643EA" w:rsidRPr="00D51A68" w:rsidRDefault="00A86EB4" w:rsidP="00FC1A76">
            <w:pPr>
              <w:pStyle w:val="InstructionsText"/>
              <w:rPr>
                <w:rStyle w:val="InstructionsTabelleberschrift"/>
                <w:rFonts w:ascii="Times New Roman" w:hAnsi="Times New Roman"/>
                <w:b w:val="0"/>
                <w:sz w:val="24"/>
                <w:u w:val="none"/>
              </w:rPr>
            </w:pPr>
            <w:r w:rsidRPr="00D51A68">
              <w:rPr>
                <w:rStyle w:val="InstructionsTabelleberschrift"/>
                <w:rFonts w:ascii="Times New Roman" w:hAnsi="Times New Roman"/>
                <w:b w:val="0"/>
                <w:sz w:val="24"/>
                <w:u w:val="none"/>
              </w:rPr>
              <w:t xml:space="preserve">Questa riga ha lo scopo di garantire flessibilità a esclusivi fini di segnalazione. È utilizzata soltanto nei rari casi in cui manchi una decisione finale sulla segnalazione di specifici elementi di capitale/deduzioni nel modello CA1 corrente. Pertanto è compilata solo qualora sia impossibile attribuire un elemento del capitale di classe 2 o una deduzione di un elemento di classe 2 a una delle righe da 750 a 974. </w:t>
            </w:r>
          </w:p>
          <w:p w:rsidR="005643EA" w:rsidRPr="00D51A68" w:rsidRDefault="00A86EB4" w:rsidP="00FC1A76">
            <w:pPr>
              <w:pStyle w:val="InstructionsText"/>
              <w:rPr>
                <w:rStyle w:val="InstructionsTabelleberschrift"/>
                <w:rFonts w:ascii="Times New Roman" w:hAnsi="Times New Roman"/>
                <w:b w:val="0"/>
                <w:sz w:val="24"/>
                <w:u w:val="none"/>
              </w:rPr>
            </w:pPr>
            <w:r w:rsidRPr="00D51A68">
              <w:rPr>
                <w:rStyle w:val="InstructionsTabelleberschrift"/>
                <w:rFonts w:ascii="Times New Roman" w:hAnsi="Times New Roman"/>
                <w:b w:val="0"/>
                <w:sz w:val="24"/>
                <w:u w:val="none"/>
              </w:rPr>
              <w:t>Questa cella non è usata per assegnare elementi di capitale/deduzioni non soggetti al CRR nel calcolo dei coefficienti di solvibilità (ad esempio l</w:t>
            </w:r>
            <w:r w:rsidR="0009277C" w:rsidRPr="00D51A68">
              <w:rPr>
                <w:rStyle w:val="InstructionsTabelleberschrift"/>
                <w:rFonts w:ascii="Times New Roman" w:hAnsi="Times New Roman"/>
                <w:b w:val="0"/>
                <w:sz w:val="24"/>
                <w:u w:val="none"/>
              </w:rPr>
              <w:t>’</w:t>
            </w:r>
            <w:r w:rsidRPr="00D51A68">
              <w:rPr>
                <w:rStyle w:val="InstructionsTabelleberschrift"/>
                <w:rFonts w:ascii="Times New Roman" w:hAnsi="Times New Roman"/>
                <w:b w:val="0"/>
                <w:sz w:val="24"/>
                <w:u w:val="none"/>
              </w:rPr>
              <w:t>assegnazione di elementi del capitale/deduzioni nazionali che esulano dall</w:t>
            </w:r>
            <w:r w:rsidR="0009277C" w:rsidRPr="00D51A68">
              <w:rPr>
                <w:rStyle w:val="InstructionsTabelleberschrift"/>
                <w:rFonts w:ascii="Times New Roman" w:hAnsi="Times New Roman"/>
                <w:b w:val="0"/>
                <w:sz w:val="24"/>
                <w:u w:val="none"/>
              </w:rPr>
              <w:t>’</w:t>
            </w:r>
            <w:r w:rsidRPr="00D51A68">
              <w:rPr>
                <w:rStyle w:val="InstructionsTabelleberschrift"/>
                <w:rFonts w:ascii="Times New Roman" w:hAnsi="Times New Roman"/>
                <w:b w:val="0"/>
                <w:sz w:val="24"/>
                <w:u w:val="none"/>
              </w:rPr>
              <w:t>ambito di applicazione del CRR).</w:t>
            </w:r>
          </w:p>
        </w:tc>
      </w:tr>
    </w:tbl>
    <w:p w:rsidR="005643EA" w:rsidRPr="00D51A68" w:rsidRDefault="005643EA" w:rsidP="00FC1A76">
      <w:pPr>
        <w:pStyle w:val="InstructionsText"/>
      </w:pPr>
    </w:p>
    <w:p w:rsidR="002648B0" w:rsidRPr="00D51A68" w:rsidRDefault="00125707" w:rsidP="0023700C">
      <w:pPr>
        <w:pStyle w:val="Instructionsberschrift2"/>
        <w:numPr>
          <w:ilvl w:val="0"/>
          <w:numId w:val="0"/>
        </w:numPr>
        <w:ind w:left="357" w:hanging="357"/>
        <w:rPr>
          <w:rFonts w:ascii="Times New Roman" w:hAnsi="Times New Roman" w:cs="Times New Roman"/>
          <w:sz w:val="24"/>
        </w:rPr>
      </w:pPr>
      <w:bookmarkStart w:id="53" w:name="_Toc516210610"/>
      <w:bookmarkStart w:id="54" w:name="_Toc473560875"/>
      <w:bookmarkStart w:id="55" w:name="_Toc524096555"/>
      <w:bookmarkStart w:id="56" w:name="_Toc308175823"/>
      <w:bookmarkStart w:id="57" w:name="_Toc360188327"/>
      <w:r w:rsidRPr="00D51A68">
        <w:rPr>
          <w:rFonts w:ascii="Times New Roman" w:hAnsi="Times New Roman"/>
          <w:sz w:val="24"/>
          <w:u w:val="none"/>
        </w:rPr>
        <w:t>1.3.</w:t>
      </w:r>
      <w:r w:rsidR="00A0772B" w:rsidRPr="00D51A68">
        <w:rPr>
          <w:u w:val="none"/>
        </w:rPr>
        <w:tab/>
      </w:r>
      <w:r w:rsidRPr="00D51A68">
        <w:rPr>
          <w:rFonts w:ascii="Times New Roman" w:hAnsi="Times New Roman"/>
          <w:sz w:val="24"/>
        </w:rPr>
        <w:t>C 02.00 — REQUISITI DI FONDI PROPRI (CA2)</w:t>
      </w:r>
      <w:bookmarkEnd w:id="53"/>
      <w:bookmarkEnd w:id="54"/>
      <w:bookmarkEnd w:id="55"/>
      <w:r w:rsidRPr="00D51A68">
        <w:rPr>
          <w:rFonts w:ascii="Times New Roman" w:hAnsi="Times New Roman"/>
          <w:sz w:val="24"/>
        </w:rPr>
        <w:t xml:space="preserve"> </w:t>
      </w:r>
      <w:bookmarkEnd w:id="56"/>
      <w:bookmarkEnd w:id="57"/>
    </w:p>
    <w:p w:rsidR="002648B0" w:rsidRPr="00D51A68" w:rsidRDefault="00125707" w:rsidP="0023700C">
      <w:pPr>
        <w:pStyle w:val="Instructionsberschrift2"/>
        <w:numPr>
          <w:ilvl w:val="0"/>
          <w:numId w:val="0"/>
        </w:numPr>
        <w:ind w:left="357" w:hanging="357"/>
        <w:rPr>
          <w:rFonts w:ascii="Times New Roman" w:hAnsi="Times New Roman" w:cs="Times New Roman"/>
          <w:sz w:val="24"/>
        </w:rPr>
      </w:pPr>
      <w:bookmarkStart w:id="58" w:name="_Toc308175824"/>
      <w:bookmarkStart w:id="59" w:name="_Toc310414970"/>
      <w:bookmarkStart w:id="60" w:name="_Toc360188328"/>
      <w:bookmarkStart w:id="61" w:name="_Toc516210611"/>
      <w:bookmarkStart w:id="62" w:name="_Toc473560876"/>
      <w:bookmarkStart w:id="63" w:name="_Toc524096556"/>
      <w:r w:rsidRPr="00D51A68">
        <w:rPr>
          <w:rFonts w:ascii="Times New Roman" w:hAnsi="Times New Roman"/>
          <w:sz w:val="24"/>
          <w:u w:val="none"/>
        </w:rPr>
        <w:t>1.3.1.</w:t>
      </w:r>
      <w:r w:rsidR="00A0772B" w:rsidRPr="00D51A68">
        <w:rPr>
          <w:u w:val="none"/>
        </w:rPr>
        <w:tab/>
      </w:r>
      <w:r w:rsidRPr="00D51A68">
        <w:rPr>
          <w:rFonts w:ascii="Times New Roman" w:hAnsi="Times New Roman"/>
          <w:sz w:val="24"/>
        </w:rPr>
        <w:t>Istruzioni relative a posizioni</w:t>
      </w:r>
      <w:r w:rsidR="0009277C" w:rsidRPr="00D51A68">
        <w:rPr>
          <w:rFonts w:ascii="Times New Roman" w:hAnsi="Times New Roman"/>
          <w:sz w:val="24"/>
        </w:rPr>
        <w:t xml:space="preserve"> </w:t>
      </w:r>
      <w:bookmarkEnd w:id="58"/>
      <w:bookmarkEnd w:id="59"/>
      <w:r w:rsidRPr="00D51A68">
        <w:rPr>
          <w:rFonts w:ascii="Times New Roman" w:hAnsi="Times New Roman"/>
          <w:sz w:val="24"/>
        </w:rPr>
        <w:t>specifiche</w:t>
      </w:r>
      <w:bookmarkEnd w:id="60"/>
      <w:bookmarkEnd w:id="61"/>
      <w:bookmarkEnd w:id="62"/>
      <w:bookmarkEnd w:id="63"/>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2648B0" w:rsidRPr="00D51A68" w:rsidTr="00672D2A">
        <w:tc>
          <w:tcPr>
            <w:tcW w:w="1591" w:type="dxa"/>
            <w:shd w:val="clear" w:color="auto" w:fill="D9D9D9"/>
          </w:tcPr>
          <w:p w:rsidR="002648B0" w:rsidRPr="00D51A68" w:rsidRDefault="002648B0" w:rsidP="00FC1A76">
            <w:pPr>
              <w:pStyle w:val="InstructionsText"/>
            </w:pPr>
            <w:r w:rsidRPr="00D51A68">
              <w:t>Riga</w:t>
            </w:r>
          </w:p>
        </w:tc>
        <w:tc>
          <w:tcPr>
            <w:tcW w:w="7274" w:type="dxa"/>
            <w:shd w:val="clear" w:color="auto" w:fill="D9D9D9"/>
          </w:tcPr>
          <w:p w:rsidR="005643EA" w:rsidRPr="00D51A68" w:rsidRDefault="002648B0" w:rsidP="00FC1A76">
            <w:pPr>
              <w:pStyle w:val="InstructionsText"/>
            </w:pPr>
            <w:r w:rsidRPr="00D51A68">
              <w:t>Riferimenti giuridici e istruzioni</w:t>
            </w:r>
          </w:p>
        </w:tc>
      </w:tr>
      <w:tr w:rsidR="002648B0" w:rsidRPr="00D51A68" w:rsidTr="00672D2A">
        <w:tc>
          <w:tcPr>
            <w:tcW w:w="1591" w:type="dxa"/>
          </w:tcPr>
          <w:p w:rsidR="002648B0" w:rsidRPr="00D51A68" w:rsidRDefault="002648B0" w:rsidP="00FC1A76">
            <w:pPr>
              <w:pStyle w:val="InstructionsText"/>
            </w:pPr>
            <w:r w:rsidRPr="00D51A68">
              <w:t>010</w:t>
            </w:r>
          </w:p>
        </w:tc>
        <w:tc>
          <w:tcPr>
            <w:tcW w:w="7274" w:type="dxa"/>
          </w:tcPr>
          <w:p w:rsidR="005643EA" w:rsidRPr="00D51A68" w:rsidRDefault="00C66473" w:rsidP="00FC1A76">
            <w:pPr>
              <w:pStyle w:val="InstructionsText"/>
            </w:pPr>
            <w:r w:rsidRPr="00D51A68">
              <w:rPr>
                <w:rStyle w:val="InstructionsTabelleberschrift"/>
                <w:rFonts w:ascii="Times New Roman" w:hAnsi="Times New Roman"/>
                <w:sz w:val="24"/>
              </w:rPr>
              <w:t>1.</w:t>
            </w:r>
            <w:r w:rsidR="00A0772B" w:rsidRPr="00D51A68">
              <w:rPr>
                <w:u w:val="single"/>
              </w:rPr>
              <w:tab/>
            </w:r>
            <w:r w:rsidRPr="00D51A68">
              <w:rPr>
                <w:rStyle w:val="InstructionsTabelleberschrift"/>
                <w:rFonts w:ascii="Times New Roman" w:hAnsi="Times New Roman"/>
                <w:sz w:val="24"/>
              </w:rPr>
              <w:t>IMPORTO COMPLESSIVO DELL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ESPOSIZIONE AL RISCHIO</w:t>
            </w:r>
          </w:p>
          <w:p w:rsidR="002648B0" w:rsidRPr="00D51A68" w:rsidRDefault="002648B0" w:rsidP="00FC1A76">
            <w:pPr>
              <w:pStyle w:val="InstructionsText"/>
            </w:pPr>
            <w:r w:rsidRPr="00D51A68">
              <w:t>Articolo 92, paragrafo 3, e articoli 95, 96 e 98 del CRR.</w:t>
            </w:r>
          </w:p>
        </w:tc>
      </w:tr>
      <w:tr w:rsidR="002648B0" w:rsidRPr="00D51A68" w:rsidTr="00672D2A">
        <w:tc>
          <w:tcPr>
            <w:tcW w:w="1591" w:type="dxa"/>
          </w:tcPr>
          <w:p w:rsidR="002648B0" w:rsidRPr="00D51A68" w:rsidRDefault="002648B0" w:rsidP="00FC1A76">
            <w:pPr>
              <w:pStyle w:val="InstructionsText"/>
            </w:pPr>
            <w:r w:rsidRPr="00D51A68">
              <w:t>020</w:t>
            </w:r>
          </w:p>
        </w:tc>
        <w:tc>
          <w:tcPr>
            <w:tcW w:w="7274" w:type="dxa"/>
          </w:tcPr>
          <w:p w:rsidR="005643EA" w:rsidRPr="00D51A68" w:rsidRDefault="002648B0" w:rsidP="00FC1A76">
            <w:pPr>
              <w:pStyle w:val="InstructionsText"/>
            </w:pPr>
            <w:r w:rsidRPr="00D51A68">
              <w:rPr>
                <w:rStyle w:val="InstructionsTabelleberschrift"/>
                <w:rFonts w:ascii="Times New Roman" w:hAnsi="Times New Roman"/>
                <w:sz w:val="24"/>
              </w:rPr>
              <w:t>1*</w:t>
            </w:r>
            <w:r w:rsidR="00A0772B" w:rsidRPr="00D51A68">
              <w:rPr>
                <w:u w:val="single"/>
              </w:rPr>
              <w:tab/>
            </w:r>
            <w:r w:rsidRPr="00D51A68">
              <w:rPr>
                <w:rStyle w:val="InstructionsTabelleberschrift"/>
                <w:rFonts w:ascii="Times New Roman" w:hAnsi="Times New Roman"/>
                <w:sz w:val="24"/>
              </w:rPr>
              <w:t>di cui: imprese di investimento ai sensi dell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articolo 95, paragrafo 2, e dell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articolo 98 del CRR</w:t>
            </w:r>
          </w:p>
          <w:p w:rsidR="005643EA" w:rsidRPr="00D51A68" w:rsidRDefault="002648B0" w:rsidP="00FC1A76">
            <w:pPr>
              <w:pStyle w:val="InstructionsText"/>
            </w:pPr>
            <w:r w:rsidRPr="00D51A68">
              <w:t>Per le imprese di investimento di cui all</w:t>
            </w:r>
            <w:r w:rsidR="0009277C" w:rsidRPr="00D51A68">
              <w:t>’</w:t>
            </w:r>
            <w:r w:rsidRPr="00D51A68">
              <w:t xml:space="preserve">articolo 95, paragrafo </w:t>
            </w:r>
            <w:r w:rsidRPr="00D51A68">
              <w:rPr>
                <w:rStyle w:val="FormatvorlageInstructionsTabelleText"/>
                <w:rFonts w:ascii="Times New Roman" w:hAnsi="Times New Roman"/>
                <w:sz w:val="24"/>
              </w:rPr>
              <w:t>2</w:t>
            </w:r>
            <w:r w:rsidRPr="00D51A68">
              <w:t>, e all</w:t>
            </w:r>
            <w:r w:rsidR="0009277C" w:rsidRPr="00D51A68">
              <w:t>’</w:t>
            </w:r>
            <w:r w:rsidRPr="00D51A68">
              <w:t>articolo 98 del CRR.</w:t>
            </w:r>
          </w:p>
        </w:tc>
      </w:tr>
      <w:tr w:rsidR="002648B0" w:rsidRPr="00D51A68" w:rsidTr="00672D2A">
        <w:tc>
          <w:tcPr>
            <w:tcW w:w="1591" w:type="dxa"/>
          </w:tcPr>
          <w:p w:rsidR="002648B0" w:rsidRPr="00D51A68" w:rsidRDefault="002648B0" w:rsidP="00FC1A76">
            <w:pPr>
              <w:pStyle w:val="InstructionsText"/>
            </w:pPr>
            <w:r w:rsidRPr="00D51A68">
              <w:lastRenderedPageBreak/>
              <w:t>030</w:t>
            </w:r>
          </w:p>
        </w:tc>
        <w:tc>
          <w:tcPr>
            <w:tcW w:w="7274" w:type="dxa"/>
          </w:tcPr>
          <w:p w:rsidR="005643EA" w:rsidRPr="00D51A68" w:rsidRDefault="002648B0" w:rsidP="00FC1A76">
            <w:pPr>
              <w:pStyle w:val="InstructionsText"/>
            </w:pPr>
            <w:r w:rsidRPr="00D51A68">
              <w:rPr>
                <w:rStyle w:val="InstructionsTabelleberschrift"/>
                <w:rFonts w:ascii="Times New Roman" w:hAnsi="Times New Roman"/>
                <w:sz w:val="24"/>
              </w:rPr>
              <w:t>1**</w:t>
            </w:r>
            <w:r w:rsidR="00A0772B" w:rsidRPr="00D51A68">
              <w:rPr>
                <w:u w:val="single"/>
              </w:rPr>
              <w:tab/>
            </w:r>
            <w:r w:rsidRPr="00D51A68">
              <w:rPr>
                <w:rStyle w:val="InstructionsTabelleberschrift"/>
                <w:rFonts w:ascii="Times New Roman" w:hAnsi="Times New Roman"/>
                <w:sz w:val="24"/>
              </w:rPr>
              <w:t>di cui: imprese di investimento ai sensi dell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articolo 96, paragrafo 2, e dell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articolo 97 del CRR</w:t>
            </w:r>
          </w:p>
          <w:p w:rsidR="005643EA" w:rsidRPr="00D51A68" w:rsidRDefault="002648B0" w:rsidP="00FC1A76">
            <w:pPr>
              <w:pStyle w:val="InstructionsText"/>
            </w:pPr>
            <w:r w:rsidRPr="00D51A68">
              <w:t>Per le imprese di investimento di cui all</w:t>
            </w:r>
            <w:r w:rsidR="0009277C" w:rsidRPr="00D51A68">
              <w:t>’</w:t>
            </w:r>
            <w:r w:rsidRPr="00D51A68">
              <w:t xml:space="preserve">articolo 96, paragrafo </w:t>
            </w:r>
            <w:r w:rsidRPr="00D51A68">
              <w:rPr>
                <w:rStyle w:val="FormatvorlageInstructionsTabelleText"/>
                <w:rFonts w:ascii="Times New Roman" w:hAnsi="Times New Roman"/>
                <w:sz w:val="24"/>
              </w:rPr>
              <w:t>2</w:t>
            </w:r>
            <w:r w:rsidRPr="00D51A68">
              <w:t>, e all</w:t>
            </w:r>
            <w:r w:rsidR="0009277C" w:rsidRPr="00D51A68">
              <w:t>’</w:t>
            </w:r>
            <w:r w:rsidRPr="00D51A68">
              <w:t>articolo 97 del CRR.</w:t>
            </w:r>
          </w:p>
        </w:tc>
      </w:tr>
      <w:tr w:rsidR="002648B0" w:rsidRPr="00D51A68" w:rsidTr="00672D2A">
        <w:tc>
          <w:tcPr>
            <w:tcW w:w="1591" w:type="dxa"/>
          </w:tcPr>
          <w:p w:rsidR="002648B0" w:rsidRPr="00D51A68" w:rsidRDefault="002648B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040</w:t>
            </w:r>
          </w:p>
        </w:tc>
        <w:tc>
          <w:tcPr>
            <w:tcW w:w="7274" w:type="dxa"/>
          </w:tcPr>
          <w:p w:rsidR="005643EA" w:rsidRPr="00D51A68" w:rsidRDefault="002648B0" w:rsidP="00FC1A76">
            <w:pPr>
              <w:pStyle w:val="InstructionsText"/>
              <w:rPr>
                <w:rStyle w:val="FormatvorlageInstructionsTabelleText"/>
                <w:rFonts w:ascii="Times New Roman" w:hAnsi="Times New Roman"/>
                <w:b/>
                <w:sz w:val="24"/>
                <w:u w:val="single"/>
              </w:rPr>
            </w:pPr>
            <w:r w:rsidRPr="00D51A68">
              <w:rPr>
                <w:rStyle w:val="InstructionsTabelleberschrift"/>
                <w:rFonts w:ascii="Times New Roman" w:hAnsi="Times New Roman"/>
                <w:sz w:val="24"/>
              </w:rPr>
              <w:t>1.1</w:t>
            </w:r>
            <w:r w:rsidR="00A0772B" w:rsidRPr="00D51A68">
              <w:rPr>
                <w:u w:val="single"/>
              </w:rPr>
              <w:tab/>
            </w:r>
            <w:r w:rsidRPr="00D51A68">
              <w:rPr>
                <w:rStyle w:val="InstructionsTabelleberschrift"/>
                <w:rFonts w:ascii="Times New Roman" w:hAnsi="Times New Roman"/>
                <w:sz w:val="24"/>
              </w:rPr>
              <w:t>IMPORTI DELLE ESPOSIZIONI PONDERATI PER RISCHIO DI CREDITO, RISCHIO DI CONTROPARTE E RISCHIO DI DILUIZIONE E OPERAZIONI CON REGOLAMENTO NON CONTESTUALE</w:t>
            </w:r>
          </w:p>
          <w:p w:rsidR="005643EA" w:rsidRPr="00D51A68" w:rsidRDefault="002648B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Articolo 92, paragrafo 3, lettere a) ed f), del CRR.</w:t>
            </w:r>
          </w:p>
        </w:tc>
      </w:tr>
      <w:tr w:rsidR="002648B0" w:rsidRPr="00D51A68" w:rsidTr="00672D2A">
        <w:tc>
          <w:tcPr>
            <w:tcW w:w="1591" w:type="dxa"/>
          </w:tcPr>
          <w:p w:rsidR="002648B0" w:rsidRPr="00D51A68" w:rsidRDefault="002648B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050</w:t>
            </w:r>
          </w:p>
        </w:tc>
        <w:tc>
          <w:tcPr>
            <w:tcW w:w="7274" w:type="dxa"/>
          </w:tcPr>
          <w:p w:rsidR="005643EA" w:rsidRPr="00D51A68" w:rsidRDefault="002648B0"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1.1.1</w:t>
            </w:r>
            <w:r w:rsidR="00A0772B" w:rsidRPr="00D51A68">
              <w:rPr>
                <w:u w:val="single"/>
              </w:rPr>
              <w:tab/>
            </w:r>
            <w:r w:rsidRPr="00D51A68">
              <w:rPr>
                <w:rStyle w:val="InstructionsTabelleberschrift"/>
                <w:rFonts w:ascii="Times New Roman" w:hAnsi="Times New Roman"/>
                <w:sz w:val="24"/>
              </w:rPr>
              <w:t>Metodo standardizzato (SA)</w:t>
            </w:r>
          </w:p>
          <w:p w:rsidR="002648B0" w:rsidRPr="00D51A68" w:rsidRDefault="002648B0" w:rsidP="00FC1A76">
            <w:pPr>
              <w:pStyle w:val="InstructionsText"/>
              <w:rPr>
                <w:rStyle w:val="FormatvorlageInstructionsTabelleText"/>
                <w:rFonts w:ascii="Times New Roman" w:hAnsi="Times New Roman"/>
                <w:sz w:val="24"/>
              </w:rPr>
            </w:pPr>
            <w:r w:rsidRPr="00D51A68">
              <w:rPr>
                <w:rStyle w:val="InstructionsTabelleberschrift"/>
                <w:rFonts w:ascii="Times New Roman" w:hAnsi="Times New Roman"/>
                <w:b w:val="0"/>
                <w:sz w:val="24"/>
                <w:u w:val="none"/>
              </w:rPr>
              <w:t>Modelli CR SA e SEC SA a livello di esposizioni totali.</w:t>
            </w:r>
          </w:p>
        </w:tc>
      </w:tr>
      <w:tr w:rsidR="002648B0" w:rsidRPr="00D51A68" w:rsidTr="00672D2A">
        <w:tc>
          <w:tcPr>
            <w:tcW w:w="1591" w:type="dxa"/>
          </w:tcPr>
          <w:p w:rsidR="002648B0" w:rsidRPr="00D51A68" w:rsidRDefault="002648B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060</w:t>
            </w:r>
          </w:p>
        </w:tc>
        <w:tc>
          <w:tcPr>
            <w:tcW w:w="7274" w:type="dxa"/>
          </w:tcPr>
          <w:p w:rsidR="005643EA" w:rsidRPr="00D51A68" w:rsidRDefault="002648B0" w:rsidP="00FC1A76">
            <w:pPr>
              <w:pStyle w:val="InstructionsText"/>
              <w:rPr>
                <w:rStyle w:val="FormatvorlageInstructionsTabelleText"/>
                <w:rFonts w:ascii="Times New Roman" w:hAnsi="Times New Roman"/>
                <w:b/>
                <w:sz w:val="24"/>
                <w:u w:val="single"/>
              </w:rPr>
            </w:pPr>
            <w:r w:rsidRPr="00D51A68">
              <w:rPr>
                <w:rStyle w:val="InstructionsTabelleberschrift"/>
                <w:rFonts w:ascii="Times New Roman" w:hAnsi="Times New Roman"/>
                <w:sz w:val="24"/>
              </w:rPr>
              <w:t>1.1.1.1</w:t>
            </w:r>
            <w:r w:rsidR="00A0772B" w:rsidRPr="00D51A68">
              <w:rPr>
                <w:u w:val="single"/>
              </w:rPr>
              <w:tab/>
            </w:r>
            <w:r w:rsidRPr="00D51A68">
              <w:rPr>
                <w:rStyle w:val="InstructionsTabelleberschrift"/>
                <w:rFonts w:ascii="Times New Roman" w:hAnsi="Times New Roman"/>
                <w:sz w:val="24"/>
              </w:rPr>
              <w:t>Classi di esposizioni escluse le posizioni verso la cartolarizzazione in base al metodo standardizzato</w:t>
            </w:r>
          </w:p>
          <w:p w:rsidR="002648B0" w:rsidRPr="00D51A68" w:rsidRDefault="002648B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Modello CR SA a livello di esposizioni totali. Le classi di esposizioni in base al metodo standardizzato sono quelle</w:t>
            </w:r>
            <w:r w:rsidRPr="00D51A68">
              <w:t xml:space="preserve"> </w:t>
            </w:r>
            <w:r w:rsidRPr="00D51A68">
              <w:rPr>
                <w:rStyle w:val="InstructionsTabelleberschrift"/>
                <w:rFonts w:ascii="Times New Roman" w:hAnsi="Times New Roman"/>
                <w:b w:val="0"/>
                <w:sz w:val="24"/>
                <w:u w:val="none"/>
              </w:rPr>
              <w:t>citate</w:t>
            </w:r>
            <w:r w:rsidRPr="00D51A68">
              <w:rPr>
                <w:rStyle w:val="FormatvorlageInstructionsTabelleText"/>
                <w:rFonts w:ascii="Times New Roman" w:hAnsi="Times New Roman"/>
                <w:sz w:val="24"/>
              </w:rPr>
              <w:t xml:space="preserve"> nell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articolo 112 del CRR, escluse le posizioni verso la cartolarizzazione.</w:t>
            </w:r>
          </w:p>
        </w:tc>
      </w:tr>
      <w:tr w:rsidR="002648B0" w:rsidRPr="00D51A68" w:rsidTr="00672D2A">
        <w:tc>
          <w:tcPr>
            <w:tcW w:w="1591" w:type="dxa"/>
          </w:tcPr>
          <w:p w:rsidR="002648B0" w:rsidRPr="00D51A68" w:rsidRDefault="002648B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070</w:t>
            </w:r>
          </w:p>
        </w:tc>
        <w:tc>
          <w:tcPr>
            <w:tcW w:w="7274" w:type="dxa"/>
          </w:tcPr>
          <w:p w:rsidR="005643EA" w:rsidRPr="00D51A68" w:rsidRDefault="002648B0" w:rsidP="00FC1A76">
            <w:pPr>
              <w:pStyle w:val="InstructionsText"/>
              <w:rPr>
                <w:rStyle w:val="FormatvorlageInstructionsTabelleText"/>
                <w:rFonts w:ascii="Times New Roman" w:hAnsi="Times New Roman"/>
                <w:b/>
                <w:sz w:val="24"/>
                <w:u w:val="single"/>
              </w:rPr>
            </w:pPr>
            <w:r w:rsidRPr="00D51A68">
              <w:rPr>
                <w:rStyle w:val="InstructionsTabelleberschrift"/>
                <w:rFonts w:ascii="Times New Roman" w:hAnsi="Times New Roman"/>
                <w:sz w:val="24"/>
              </w:rPr>
              <w:t>1.1.1.1.01</w:t>
            </w:r>
            <w:r w:rsidR="00A0772B" w:rsidRPr="00D51A68">
              <w:rPr>
                <w:u w:val="single"/>
              </w:rPr>
              <w:tab/>
            </w:r>
            <w:r w:rsidRPr="00D51A68">
              <w:rPr>
                <w:rStyle w:val="InstructionsTabelleberschrift"/>
                <w:rFonts w:ascii="Times New Roman" w:hAnsi="Times New Roman"/>
                <w:sz w:val="24"/>
              </w:rPr>
              <w:t>Amministrazioni centrali o banche centrali</w:t>
            </w:r>
          </w:p>
          <w:p w:rsidR="00496C53" w:rsidRPr="00D51A68" w:rsidRDefault="00D212FE" w:rsidP="00FC1A76">
            <w:pPr>
              <w:pStyle w:val="InstructionsText"/>
              <w:rPr>
                <w:rStyle w:val="FormatvorlageInstructionsTabelleText"/>
                <w:rFonts w:ascii="Times New Roman" w:hAnsi="Times New Roman"/>
                <w:bCs w:val="0"/>
                <w:sz w:val="24"/>
              </w:rPr>
            </w:pPr>
            <w:r w:rsidRPr="00D51A68">
              <w:rPr>
                <w:rStyle w:val="FormatvorlageInstructionsTabelleText"/>
                <w:rFonts w:ascii="Times New Roman" w:hAnsi="Times New Roman"/>
                <w:sz w:val="24"/>
              </w:rPr>
              <w:t>Cfr. il modello CR SA.</w:t>
            </w:r>
          </w:p>
        </w:tc>
      </w:tr>
      <w:tr w:rsidR="002648B0" w:rsidRPr="00D51A68" w:rsidTr="00672D2A">
        <w:tc>
          <w:tcPr>
            <w:tcW w:w="1591" w:type="dxa"/>
          </w:tcPr>
          <w:p w:rsidR="00783881" w:rsidRPr="00D51A68" w:rsidRDefault="002648B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080</w:t>
            </w:r>
          </w:p>
        </w:tc>
        <w:tc>
          <w:tcPr>
            <w:tcW w:w="7274" w:type="dxa"/>
          </w:tcPr>
          <w:p w:rsidR="00783881" w:rsidRPr="00D51A68" w:rsidRDefault="002648B0" w:rsidP="00FC1A76">
            <w:pPr>
              <w:pStyle w:val="InstructionsText"/>
              <w:rPr>
                <w:rStyle w:val="FormatvorlageInstructionsTabelleText"/>
                <w:rFonts w:ascii="Times New Roman" w:hAnsi="Times New Roman"/>
                <w:b/>
                <w:sz w:val="24"/>
                <w:u w:val="single"/>
              </w:rPr>
            </w:pPr>
            <w:r w:rsidRPr="00D51A68">
              <w:rPr>
                <w:rStyle w:val="InstructionsTabelleberschrift"/>
                <w:rFonts w:ascii="Times New Roman" w:hAnsi="Times New Roman"/>
                <w:sz w:val="24"/>
              </w:rPr>
              <w:t>1.1.1.1.02</w:t>
            </w:r>
            <w:r w:rsidR="00A0772B" w:rsidRPr="00D51A68">
              <w:rPr>
                <w:u w:val="single"/>
              </w:rPr>
              <w:tab/>
            </w:r>
            <w:r w:rsidRPr="00D51A68">
              <w:rPr>
                <w:rStyle w:val="InstructionsTabelleberschrift"/>
                <w:rFonts w:ascii="Times New Roman" w:hAnsi="Times New Roman"/>
                <w:sz w:val="24"/>
              </w:rPr>
              <w:t>Amministrazioni regionali o autorità locali</w:t>
            </w:r>
          </w:p>
          <w:p w:rsidR="002648B0" w:rsidRPr="00D51A68" w:rsidRDefault="00D212FE"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Cfr. il modello CR SA.</w:t>
            </w:r>
          </w:p>
        </w:tc>
      </w:tr>
      <w:tr w:rsidR="002648B0" w:rsidRPr="00D51A68" w:rsidTr="00672D2A">
        <w:tc>
          <w:tcPr>
            <w:tcW w:w="1591" w:type="dxa"/>
          </w:tcPr>
          <w:p w:rsidR="00783881" w:rsidRPr="00D51A68" w:rsidRDefault="002648B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090</w:t>
            </w:r>
          </w:p>
        </w:tc>
        <w:tc>
          <w:tcPr>
            <w:tcW w:w="7274" w:type="dxa"/>
          </w:tcPr>
          <w:p w:rsidR="005643EA" w:rsidRPr="00D51A68" w:rsidRDefault="002648B0" w:rsidP="00FC1A76">
            <w:pPr>
              <w:pStyle w:val="InstructionsText"/>
              <w:rPr>
                <w:rStyle w:val="FormatvorlageInstructionsTabelleText"/>
                <w:rFonts w:ascii="Times New Roman" w:hAnsi="Times New Roman"/>
                <w:b/>
                <w:bCs w:val="0"/>
                <w:sz w:val="24"/>
                <w:u w:val="single"/>
              </w:rPr>
            </w:pPr>
            <w:r w:rsidRPr="00D51A68">
              <w:rPr>
                <w:rStyle w:val="InstructionsTabelleberschrift"/>
                <w:rFonts w:ascii="Times New Roman" w:hAnsi="Times New Roman"/>
                <w:sz w:val="24"/>
              </w:rPr>
              <w:t>1.1.1.1.03</w:t>
            </w:r>
            <w:r w:rsidR="00A0772B" w:rsidRPr="00D51A68">
              <w:rPr>
                <w:u w:val="single"/>
              </w:rPr>
              <w:tab/>
            </w:r>
            <w:r w:rsidRPr="00D51A68">
              <w:rPr>
                <w:rStyle w:val="InstructionsTabelleberschrift"/>
                <w:rFonts w:ascii="Times New Roman" w:hAnsi="Times New Roman"/>
                <w:sz w:val="24"/>
              </w:rPr>
              <w:t>Organismi del settore pubblico</w:t>
            </w:r>
          </w:p>
          <w:p w:rsidR="002648B0" w:rsidRPr="00D51A68" w:rsidRDefault="00D212FE"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Cfr. il modello CR SA.</w:t>
            </w:r>
          </w:p>
        </w:tc>
      </w:tr>
      <w:tr w:rsidR="002648B0" w:rsidRPr="00D51A68" w:rsidTr="00672D2A">
        <w:tc>
          <w:tcPr>
            <w:tcW w:w="1591" w:type="dxa"/>
          </w:tcPr>
          <w:p w:rsidR="00783881" w:rsidRPr="00D51A68" w:rsidRDefault="002648B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100</w:t>
            </w:r>
          </w:p>
        </w:tc>
        <w:tc>
          <w:tcPr>
            <w:tcW w:w="7274" w:type="dxa"/>
          </w:tcPr>
          <w:p w:rsidR="002648B0" w:rsidRPr="00D51A68" w:rsidRDefault="002648B0" w:rsidP="00FC1A76">
            <w:pPr>
              <w:pStyle w:val="InstructionsText"/>
              <w:rPr>
                <w:rStyle w:val="FormatvorlageInstructionsTabelleText"/>
                <w:rFonts w:ascii="Times New Roman" w:hAnsi="Times New Roman"/>
                <w:b/>
                <w:sz w:val="24"/>
                <w:u w:val="single"/>
              </w:rPr>
            </w:pPr>
            <w:r w:rsidRPr="00D51A68">
              <w:rPr>
                <w:rStyle w:val="InstructionsTabelleberschrift"/>
                <w:rFonts w:ascii="Times New Roman" w:hAnsi="Times New Roman"/>
                <w:sz w:val="24"/>
              </w:rPr>
              <w:t>1.1.1.1.04</w:t>
            </w:r>
            <w:r w:rsidR="00A0772B" w:rsidRPr="00D51A68">
              <w:rPr>
                <w:u w:val="single"/>
              </w:rPr>
              <w:tab/>
            </w:r>
            <w:r w:rsidRPr="00D51A68">
              <w:rPr>
                <w:rStyle w:val="InstructionsTabelleberschrift"/>
                <w:rFonts w:ascii="Times New Roman" w:hAnsi="Times New Roman"/>
                <w:sz w:val="24"/>
              </w:rPr>
              <w:t>Banche multilaterali di sviluppo</w:t>
            </w:r>
          </w:p>
          <w:p w:rsidR="002648B0" w:rsidRPr="00D51A68" w:rsidRDefault="00D212FE"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 xml:space="preserve">Cfr. il modello CR SA. </w:t>
            </w:r>
          </w:p>
        </w:tc>
      </w:tr>
      <w:tr w:rsidR="002648B0" w:rsidRPr="00D51A68" w:rsidTr="00672D2A">
        <w:tc>
          <w:tcPr>
            <w:tcW w:w="1591" w:type="dxa"/>
          </w:tcPr>
          <w:p w:rsidR="00783881" w:rsidRPr="00D51A68" w:rsidRDefault="002648B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110</w:t>
            </w:r>
          </w:p>
        </w:tc>
        <w:tc>
          <w:tcPr>
            <w:tcW w:w="7274" w:type="dxa"/>
          </w:tcPr>
          <w:p w:rsidR="005643EA" w:rsidRPr="00D51A68" w:rsidRDefault="002648B0" w:rsidP="00FC1A76">
            <w:pPr>
              <w:pStyle w:val="InstructionsText"/>
              <w:rPr>
                <w:rStyle w:val="FormatvorlageInstructionsTabelleText"/>
                <w:rFonts w:ascii="Times New Roman" w:hAnsi="Times New Roman"/>
                <w:b/>
                <w:sz w:val="24"/>
                <w:u w:val="single"/>
              </w:rPr>
            </w:pPr>
            <w:r w:rsidRPr="00D51A68">
              <w:rPr>
                <w:rStyle w:val="InstructionsTabelleberschrift"/>
                <w:rFonts w:ascii="Times New Roman" w:hAnsi="Times New Roman"/>
                <w:sz w:val="24"/>
              </w:rPr>
              <w:t>1.1.1.1.05</w:t>
            </w:r>
            <w:r w:rsidR="00A0772B" w:rsidRPr="00D51A68">
              <w:rPr>
                <w:u w:val="single"/>
              </w:rPr>
              <w:tab/>
            </w:r>
            <w:r w:rsidRPr="00D51A68">
              <w:rPr>
                <w:rStyle w:val="InstructionsTabelleberschrift"/>
                <w:rFonts w:ascii="Times New Roman" w:hAnsi="Times New Roman"/>
                <w:sz w:val="24"/>
              </w:rPr>
              <w:t>Organizzazioni internazionali</w:t>
            </w:r>
          </w:p>
          <w:p w:rsidR="002648B0" w:rsidRPr="00D51A68" w:rsidRDefault="00783881"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Cfr. il modello CR SA.</w:t>
            </w:r>
          </w:p>
        </w:tc>
      </w:tr>
      <w:tr w:rsidR="002648B0" w:rsidRPr="00D51A68" w:rsidTr="00672D2A">
        <w:tc>
          <w:tcPr>
            <w:tcW w:w="1591" w:type="dxa"/>
          </w:tcPr>
          <w:p w:rsidR="00783881" w:rsidRPr="00D51A68" w:rsidRDefault="002648B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120</w:t>
            </w:r>
          </w:p>
        </w:tc>
        <w:tc>
          <w:tcPr>
            <w:tcW w:w="7274" w:type="dxa"/>
          </w:tcPr>
          <w:p w:rsidR="005643EA" w:rsidRPr="00D51A68" w:rsidRDefault="00783881" w:rsidP="00FC1A76">
            <w:pPr>
              <w:pStyle w:val="InstructionsText"/>
              <w:rPr>
                <w:rStyle w:val="FormatvorlageInstructionsTabelleText"/>
                <w:rFonts w:ascii="Times New Roman" w:hAnsi="Times New Roman"/>
                <w:b/>
                <w:sz w:val="24"/>
                <w:u w:val="single"/>
              </w:rPr>
            </w:pPr>
            <w:r w:rsidRPr="00D51A68">
              <w:rPr>
                <w:rStyle w:val="InstructionsTabelleberschrift"/>
                <w:rFonts w:ascii="Times New Roman" w:hAnsi="Times New Roman"/>
                <w:sz w:val="24"/>
              </w:rPr>
              <w:t>1.1.1.1.06</w:t>
            </w:r>
            <w:r w:rsidR="00A0772B" w:rsidRPr="00D51A68">
              <w:rPr>
                <w:u w:val="single"/>
              </w:rPr>
              <w:tab/>
            </w:r>
            <w:r w:rsidRPr="00D51A68">
              <w:rPr>
                <w:rStyle w:val="InstructionsTabelleberschrift"/>
                <w:rFonts w:ascii="Times New Roman" w:hAnsi="Times New Roman"/>
                <w:sz w:val="24"/>
              </w:rPr>
              <w:t>Enti</w:t>
            </w:r>
          </w:p>
          <w:p w:rsidR="002648B0" w:rsidRPr="00D51A68" w:rsidRDefault="00783881"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Cfr. il modello CR SA.</w:t>
            </w:r>
          </w:p>
        </w:tc>
      </w:tr>
      <w:tr w:rsidR="002648B0" w:rsidRPr="00D51A68" w:rsidTr="00672D2A">
        <w:tc>
          <w:tcPr>
            <w:tcW w:w="1591" w:type="dxa"/>
          </w:tcPr>
          <w:p w:rsidR="00783881" w:rsidRPr="00D51A68" w:rsidRDefault="002648B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130</w:t>
            </w:r>
          </w:p>
        </w:tc>
        <w:tc>
          <w:tcPr>
            <w:tcW w:w="7274" w:type="dxa"/>
          </w:tcPr>
          <w:p w:rsidR="00783881" w:rsidRPr="00D51A68" w:rsidRDefault="002648B0" w:rsidP="00FC1A76">
            <w:pPr>
              <w:pStyle w:val="InstructionsText"/>
              <w:rPr>
                <w:rStyle w:val="FormatvorlageInstructionsTabelleText"/>
                <w:rFonts w:ascii="Times New Roman" w:hAnsi="Times New Roman"/>
                <w:b/>
                <w:sz w:val="24"/>
                <w:u w:val="single"/>
              </w:rPr>
            </w:pPr>
            <w:r w:rsidRPr="00D51A68">
              <w:rPr>
                <w:rStyle w:val="InstructionsTabelleberschrift"/>
                <w:rFonts w:ascii="Times New Roman" w:hAnsi="Times New Roman"/>
                <w:sz w:val="24"/>
              </w:rPr>
              <w:t>1.1.1.1.07</w:t>
            </w:r>
            <w:r w:rsidR="00A0772B" w:rsidRPr="00D51A68">
              <w:rPr>
                <w:u w:val="single"/>
              </w:rPr>
              <w:tab/>
            </w:r>
            <w:r w:rsidRPr="00D51A68">
              <w:rPr>
                <w:rStyle w:val="InstructionsTabelleberschrift"/>
                <w:rFonts w:ascii="Times New Roman" w:hAnsi="Times New Roman"/>
                <w:sz w:val="24"/>
              </w:rPr>
              <w:t>Imprese</w:t>
            </w:r>
          </w:p>
          <w:p w:rsidR="002648B0" w:rsidRPr="00D51A68" w:rsidRDefault="00D212FE"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Cfr. il modello CR SA.</w:t>
            </w:r>
          </w:p>
        </w:tc>
      </w:tr>
      <w:tr w:rsidR="002648B0" w:rsidRPr="00D51A68" w:rsidTr="00672D2A">
        <w:tc>
          <w:tcPr>
            <w:tcW w:w="1591" w:type="dxa"/>
          </w:tcPr>
          <w:p w:rsidR="00783881" w:rsidRPr="00D51A68" w:rsidRDefault="002648B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140</w:t>
            </w:r>
          </w:p>
        </w:tc>
        <w:tc>
          <w:tcPr>
            <w:tcW w:w="7274" w:type="dxa"/>
          </w:tcPr>
          <w:p w:rsidR="005643EA" w:rsidRPr="00D51A68" w:rsidRDefault="002648B0" w:rsidP="00FC1A76">
            <w:pPr>
              <w:pStyle w:val="InstructionsText"/>
              <w:rPr>
                <w:rStyle w:val="FormatvorlageInstructionsTabelleText"/>
                <w:rFonts w:ascii="Times New Roman" w:hAnsi="Times New Roman"/>
                <w:b/>
                <w:bCs w:val="0"/>
                <w:sz w:val="24"/>
                <w:u w:val="single"/>
              </w:rPr>
            </w:pPr>
            <w:r w:rsidRPr="00D51A68">
              <w:rPr>
                <w:rStyle w:val="InstructionsTabelleberschrift"/>
                <w:rFonts w:ascii="Times New Roman" w:hAnsi="Times New Roman"/>
                <w:sz w:val="24"/>
              </w:rPr>
              <w:t>1.1.1.1.08</w:t>
            </w:r>
            <w:r w:rsidR="00A0772B" w:rsidRPr="00D51A68">
              <w:rPr>
                <w:u w:val="single"/>
              </w:rPr>
              <w:tab/>
            </w:r>
            <w:r w:rsidRPr="00D51A68">
              <w:rPr>
                <w:rStyle w:val="InstructionsTabelleberschrift"/>
                <w:rFonts w:ascii="Times New Roman" w:hAnsi="Times New Roman"/>
                <w:sz w:val="24"/>
              </w:rPr>
              <w:t>Al dettaglio</w:t>
            </w:r>
          </w:p>
          <w:p w:rsidR="002648B0" w:rsidRPr="00D51A68" w:rsidRDefault="00D212FE"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Cfr. il modello CR SA.</w:t>
            </w:r>
          </w:p>
        </w:tc>
      </w:tr>
      <w:tr w:rsidR="002648B0" w:rsidRPr="00D51A68" w:rsidTr="00672D2A">
        <w:tc>
          <w:tcPr>
            <w:tcW w:w="1591" w:type="dxa"/>
          </w:tcPr>
          <w:p w:rsidR="002648B0" w:rsidRPr="00D51A68" w:rsidRDefault="002648B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150</w:t>
            </w:r>
          </w:p>
        </w:tc>
        <w:tc>
          <w:tcPr>
            <w:tcW w:w="7274" w:type="dxa"/>
          </w:tcPr>
          <w:p w:rsidR="005643EA" w:rsidRPr="00D51A68" w:rsidRDefault="002648B0" w:rsidP="00FC1A76">
            <w:pPr>
              <w:pStyle w:val="InstructionsText"/>
              <w:rPr>
                <w:rStyle w:val="InstructionsTabelleberschrift"/>
                <w:rFonts w:ascii="Times New Roman" w:hAnsi="Times New Roman"/>
                <w:bCs w:val="0"/>
                <w:sz w:val="24"/>
              </w:rPr>
            </w:pPr>
            <w:r w:rsidRPr="00D51A68">
              <w:rPr>
                <w:rStyle w:val="InstructionsTabelleberschrift"/>
                <w:rFonts w:ascii="Times New Roman" w:hAnsi="Times New Roman"/>
                <w:sz w:val="24"/>
              </w:rPr>
              <w:t>1.1.1.1.09</w:t>
            </w:r>
            <w:r w:rsidR="00A0772B" w:rsidRPr="00D51A68">
              <w:rPr>
                <w:u w:val="single"/>
              </w:rPr>
              <w:tab/>
            </w:r>
            <w:r w:rsidRPr="00D51A68">
              <w:rPr>
                <w:rStyle w:val="InstructionsTabelleberschrift"/>
                <w:rFonts w:ascii="Times New Roman" w:hAnsi="Times New Roman"/>
                <w:sz w:val="24"/>
              </w:rPr>
              <w:t>Garantite da ipoteche su beni immobili</w:t>
            </w:r>
          </w:p>
          <w:p w:rsidR="002648B0" w:rsidRPr="00D51A68" w:rsidRDefault="00D212FE"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Cfr. il modello CR SA.</w:t>
            </w:r>
          </w:p>
        </w:tc>
      </w:tr>
      <w:tr w:rsidR="002648B0" w:rsidRPr="00D51A68" w:rsidTr="00672D2A">
        <w:tc>
          <w:tcPr>
            <w:tcW w:w="1591" w:type="dxa"/>
          </w:tcPr>
          <w:p w:rsidR="002648B0" w:rsidRPr="00D51A68" w:rsidRDefault="002648B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160</w:t>
            </w:r>
          </w:p>
        </w:tc>
        <w:tc>
          <w:tcPr>
            <w:tcW w:w="7274" w:type="dxa"/>
          </w:tcPr>
          <w:p w:rsidR="005643EA" w:rsidRPr="00D51A68" w:rsidRDefault="002648B0" w:rsidP="00FC1A76">
            <w:pPr>
              <w:pStyle w:val="InstructionsText"/>
              <w:rPr>
                <w:rStyle w:val="InstructionsTabelleberschrift"/>
                <w:rFonts w:ascii="Times New Roman" w:hAnsi="Times New Roman"/>
                <w:bCs w:val="0"/>
                <w:sz w:val="24"/>
              </w:rPr>
            </w:pPr>
            <w:r w:rsidRPr="00D51A68">
              <w:rPr>
                <w:rStyle w:val="InstructionsTabelleberschrift"/>
                <w:rFonts w:ascii="Times New Roman" w:hAnsi="Times New Roman"/>
                <w:sz w:val="24"/>
              </w:rPr>
              <w:t>1.1.1.1.10</w:t>
            </w:r>
            <w:r w:rsidR="00A0772B" w:rsidRPr="00D51A68">
              <w:rPr>
                <w:u w:val="single"/>
              </w:rPr>
              <w:tab/>
            </w:r>
            <w:r w:rsidRPr="00D51A68">
              <w:rPr>
                <w:rStyle w:val="InstructionsTabelleberschrift"/>
                <w:rFonts w:ascii="Times New Roman" w:hAnsi="Times New Roman"/>
                <w:sz w:val="24"/>
              </w:rPr>
              <w:t>Esposizioni in stato di default</w:t>
            </w:r>
          </w:p>
          <w:p w:rsidR="002648B0" w:rsidRPr="00D51A68" w:rsidRDefault="00D212FE"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Cfr. il modello CR SA.</w:t>
            </w:r>
          </w:p>
        </w:tc>
      </w:tr>
      <w:tr w:rsidR="002648B0" w:rsidRPr="00D51A68" w:rsidTr="00D51A68">
        <w:trPr>
          <w:cantSplit/>
        </w:trPr>
        <w:tc>
          <w:tcPr>
            <w:tcW w:w="1591" w:type="dxa"/>
          </w:tcPr>
          <w:p w:rsidR="00783881" w:rsidRPr="00D51A68" w:rsidRDefault="002648B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lastRenderedPageBreak/>
              <w:t>170</w:t>
            </w:r>
          </w:p>
        </w:tc>
        <w:tc>
          <w:tcPr>
            <w:tcW w:w="7274" w:type="dxa"/>
          </w:tcPr>
          <w:p w:rsidR="00783881" w:rsidRPr="00D51A68" w:rsidRDefault="002648B0"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1.1.1.1.11</w:t>
            </w:r>
            <w:r w:rsidR="00A0772B" w:rsidRPr="00D51A68">
              <w:rPr>
                <w:u w:val="single"/>
              </w:rPr>
              <w:tab/>
            </w:r>
            <w:r w:rsidRPr="00D51A68">
              <w:rPr>
                <w:rStyle w:val="InstructionsTabelleberschrift"/>
                <w:rFonts w:ascii="Times New Roman" w:hAnsi="Times New Roman"/>
                <w:sz w:val="24"/>
              </w:rPr>
              <w:t>Posizioni associate a un rischio particolarmente elevato</w:t>
            </w:r>
          </w:p>
          <w:p w:rsidR="002648B0" w:rsidRPr="00D51A68" w:rsidRDefault="00D212FE"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Cfr. il modello CR SA.</w:t>
            </w:r>
          </w:p>
        </w:tc>
      </w:tr>
      <w:tr w:rsidR="002648B0" w:rsidRPr="00D51A68" w:rsidTr="00672D2A">
        <w:tc>
          <w:tcPr>
            <w:tcW w:w="1591" w:type="dxa"/>
          </w:tcPr>
          <w:p w:rsidR="00783881" w:rsidRPr="00D51A68" w:rsidRDefault="002648B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180</w:t>
            </w:r>
          </w:p>
        </w:tc>
        <w:tc>
          <w:tcPr>
            <w:tcW w:w="7274" w:type="dxa"/>
          </w:tcPr>
          <w:p w:rsidR="005643EA" w:rsidRPr="00D51A68" w:rsidRDefault="002648B0" w:rsidP="00FC1A76">
            <w:pPr>
              <w:pStyle w:val="InstructionsText"/>
              <w:rPr>
                <w:rStyle w:val="InstructionsTabelleberschrift"/>
                <w:rFonts w:ascii="Times New Roman" w:hAnsi="Times New Roman"/>
                <w:bCs w:val="0"/>
                <w:sz w:val="24"/>
              </w:rPr>
            </w:pPr>
            <w:r w:rsidRPr="00D51A68">
              <w:rPr>
                <w:rStyle w:val="InstructionsTabelleberschrift"/>
                <w:rFonts w:ascii="Times New Roman" w:hAnsi="Times New Roman"/>
                <w:sz w:val="24"/>
              </w:rPr>
              <w:t>1.1.1.1.12</w:t>
            </w:r>
            <w:r w:rsidR="00A0772B" w:rsidRPr="00D51A68">
              <w:rPr>
                <w:u w:val="single"/>
              </w:rPr>
              <w:tab/>
            </w:r>
            <w:r w:rsidRPr="00D51A68">
              <w:rPr>
                <w:rStyle w:val="InstructionsTabelleberschrift"/>
                <w:rFonts w:ascii="Times New Roman" w:hAnsi="Times New Roman"/>
                <w:sz w:val="24"/>
              </w:rPr>
              <w:t>Obbligazioni garantite</w:t>
            </w:r>
          </w:p>
          <w:p w:rsidR="002648B0" w:rsidRPr="00D51A68" w:rsidRDefault="00D212FE"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Cfr. il modello CR SA.</w:t>
            </w:r>
          </w:p>
        </w:tc>
      </w:tr>
      <w:tr w:rsidR="002648B0" w:rsidRPr="00D51A68" w:rsidTr="00672D2A">
        <w:tc>
          <w:tcPr>
            <w:tcW w:w="1591" w:type="dxa"/>
          </w:tcPr>
          <w:p w:rsidR="002648B0" w:rsidRPr="00D51A68" w:rsidRDefault="002648B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190</w:t>
            </w:r>
          </w:p>
        </w:tc>
        <w:tc>
          <w:tcPr>
            <w:tcW w:w="7274" w:type="dxa"/>
          </w:tcPr>
          <w:p w:rsidR="005643EA" w:rsidRPr="00D51A68" w:rsidRDefault="002648B0" w:rsidP="00FC1A76">
            <w:pPr>
              <w:pStyle w:val="InstructionsText"/>
              <w:rPr>
                <w:rStyle w:val="InstructionsTabelleberschrift"/>
                <w:rFonts w:ascii="Times New Roman" w:hAnsi="Times New Roman"/>
                <w:bCs w:val="0"/>
                <w:sz w:val="24"/>
              </w:rPr>
            </w:pPr>
            <w:r w:rsidRPr="00D51A68">
              <w:rPr>
                <w:rStyle w:val="InstructionsTabelleberschrift"/>
                <w:rFonts w:ascii="Times New Roman" w:hAnsi="Times New Roman"/>
                <w:sz w:val="24"/>
              </w:rPr>
              <w:t>1.1.1.1.13</w:t>
            </w:r>
            <w:r w:rsidR="00A0772B" w:rsidRPr="00D51A68">
              <w:rPr>
                <w:u w:val="single"/>
              </w:rPr>
              <w:tab/>
            </w:r>
            <w:r w:rsidRPr="00D51A68">
              <w:rPr>
                <w:rStyle w:val="InstructionsTabelleberschrift"/>
                <w:rFonts w:ascii="Times New Roman" w:hAnsi="Times New Roman"/>
                <w:sz w:val="24"/>
              </w:rPr>
              <w:t>Crediti verso enti e imprese con una valutazione del merito di credito a breve termine</w:t>
            </w:r>
          </w:p>
          <w:p w:rsidR="002648B0" w:rsidRPr="00D51A68" w:rsidRDefault="00D212FE"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Cfr. il modello CR SA.</w:t>
            </w:r>
          </w:p>
        </w:tc>
      </w:tr>
      <w:tr w:rsidR="002648B0" w:rsidRPr="00D51A68" w:rsidTr="00672D2A">
        <w:tc>
          <w:tcPr>
            <w:tcW w:w="1591" w:type="dxa"/>
          </w:tcPr>
          <w:p w:rsidR="002648B0" w:rsidRPr="00D51A68" w:rsidRDefault="002648B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200</w:t>
            </w:r>
          </w:p>
          <w:p w:rsidR="005643EA" w:rsidRPr="00D51A68" w:rsidRDefault="005643EA" w:rsidP="00FC1A76">
            <w:pPr>
              <w:pStyle w:val="InstructionsText"/>
              <w:rPr>
                <w:rStyle w:val="FormatvorlageInstructionsTabelleText"/>
                <w:rFonts w:ascii="Times New Roman" w:hAnsi="Times New Roman"/>
                <w:bCs w:val="0"/>
                <w:sz w:val="24"/>
              </w:rPr>
            </w:pPr>
          </w:p>
        </w:tc>
        <w:tc>
          <w:tcPr>
            <w:tcW w:w="7274" w:type="dxa"/>
          </w:tcPr>
          <w:p w:rsidR="005643EA" w:rsidRPr="00D51A68" w:rsidRDefault="002648B0" w:rsidP="00FC1A76">
            <w:pPr>
              <w:pStyle w:val="InstructionsText"/>
              <w:rPr>
                <w:rStyle w:val="FormatvorlageInstructionsTabelleText"/>
                <w:rFonts w:ascii="Times New Roman" w:hAnsi="Times New Roman"/>
                <w:bCs w:val="0"/>
                <w:sz w:val="24"/>
              </w:rPr>
            </w:pPr>
            <w:r w:rsidRPr="00D51A68">
              <w:rPr>
                <w:rStyle w:val="InstructionsTabelleberschrift"/>
                <w:rFonts w:ascii="Times New Roman" w:hAnsi="Times New Roman"/>
                <w:sz w:val="24"/>
              </w:rPr>
              <w:t>1.1.1.1.14</w:t>
            </w:r>
            <w:r w:rsidR="00A0772B" w:rsidRPr="00D51A68">
              <w:rPr>
                <w:u w:val="single"/>
              </w:rPr>
              <w:tab/>
            </w:r>
            <w:r w:rsidRPr="00D51A68">
              <w:rPr>
                <w:rStyle w:val="InstructionsTabelleberschrift"/>
                <w:rFonts w:ascii="Times New Roman" w:hAnsi="Times New Roman"/>
                <w:sz w:val="24"/>
              </w:rPr>
              <w:t>Organismi di investimento collettivo (OIC)</w:t>
            </w:r>
          </w:p>
          <w:p w:rsidR="002648B0" w:rsidRPr="00D51A68" w:rsidRDefault="00D212FE"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Cfr. il modello CR SA.</w:t>
            </w:r>
          </w:p>
        </w:tc>
      </w:tr>
      <w:tr w:rsidR="002648B0" w:rsidRPr="00D51A68" w:rsidTr="00672D2A">
        <w:tc>
          <w:tcPr>
            <w:tcW w:w="1591" w:type="dxa"/>
          </w:tcPr>
          <w:p w:rsidR="002648B0" w:rsidRPr="00D51A68" w:rsidRDefault="002648B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210</w:t>
            </w:r>
          </w:p>
        </w:tc>
        <w:tc>
          <w:tcPr>
            <w:tcW w:w="7274" w:type="dxa"/>
          </w:tcPr>
          <w:p w:rsidR="005643EA" w:rsidRPr="00D51A68" w:rsidRDefault="002648B0" w:rsidP="00FC1A76">
            <w:pPr>
              <w:pStyle w:val="InstructionsText"/>
              <w:rPr>
                <w:rStyle w:val="InstructionsTabelleberschrift"/>
                <w:rFonts w:ascii="Times New Roman" w:hAnsi="Times New Roman"/>
                <w:bCs w:val="0"/>
                <w:sz w:val="24"/>
              </w:rPr>
            </w:pPr>
            <w:r w:rsidRPr="00D51A68">
              <w:rPr>
                <w:rStyle w:val="InstructionsTabelleberschrift"/>
                <w:rFonts w:ascii="Times New Roman" w:hAnsi="Times New Roman"/>
                <w:sz w:val="24"/>
              </w:rPr>
              <w:t>1.1.1.1.15</w:t>
            </w:r>
            <w:r w:rsidR="00A0772B" w:rsidRPr="00D51A68">
              <w:rPr>
                <w:u w:val="single"/>
              </w:rPr>
              <w:tab/>
            </w:r>
            <w:r w:rsidRPr="00D51A68">
              <w:rPr>
                <w:rStyle w:val="InstructionsTabelleberschrift"/>
                <w:rFonts w:ascii="Times New Roman" w:hAnsi="Times New Roman"/>
                <w:sz w:val="24"/>
              </w:rPr>
              <w:t>Strumenti di capitale</w:t>
            </w:r>
          </w:p>
          <w:p w:rsidR="002648B0" w:rsidRPr="00D51A68" w:rsidRDefault="00D212FE" w:rsidP="007106FB">
            <w:pPr>
              <w:rPr>
                <w:rStyle w:val="FormatvorlageInstructionsTabelleText"/>
                <w:rFonts w:ascii="Times New Roman" w:hAnsi="Times New Roman"/>
                <w:sz w:val="24"/>
              </w:rPr>
            </w:pPr>
            <w:r w:rsidRPr="00D51A68">
              <w:rPr>
                <w:rStyle w:val="FormatvorlageInstructionsTabelleText"/>
                <w:rFonts w:ascii="Times New Roman" w:hAnsi="Times New Roman"/>
                <w:sz w:val="24"/>
              </w:rPr>
              <w:t>Cfr. il modello CR SA.</w:t>
            </w:r>
          </w:p>
        </w:tc>
      </w:tr>
      <w:tr w:rsidR="002648B0" w:rsidRPr="00D51A68" w:rsidTr="00672D2A">
        <w:tc>
          <w:tcPr>
            <w:tcW w:w="1591" w:type="dxa"/>
          </w:tcPr>
          <w:p w:rsidR="002648B0" w:rsidRPr="00D51A68" w:rsidRDefault="002648B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211</w:t>
            </w:r>
          </w:p>
        </w:tc>
        <w:tc>
          <w:tcPr>
            <w:tcW w:w="7274" w:type="dxa"/>
          </w:tcPr>
          <w:p w:rsidR="005643EA" w:rsidRPr="00D51A68" w:rsidRDefault="002648B0" w:rsidP="00FC1A76">
            <w:pPr>
              <w:pStyle w:val="InstructionsText"/>
              <w:rPr>
                <w:rStyle w:val="InstructionsTabelleberschrift"/>
                <w:rFonts w:ascii="Times New Roman" w:hAnsi="Times New Roman"/>
                <w:bCs w:val="0"/>
                <w:sz w:val="24"/>
              </w:rPr>
            </w:pPr>
            <w:r w:rsidRPr="00D51A68">
              <w:rPr>
                <w:rStyle w:val="InstructionsTabelleberschrift"/>
                <w:rFonts w:ascii="Times New Roman" w:hAnsi="Times New Roman"/>
                <w:sz w:val="24"/>
              </w:rPr>
              <w:t>1.1.1.1.16</w:t>
            </w:r>
            <w:r w:rsidR="00A0772B" w:rsidRPr="00D51A68">
              <w:rPr>
                <w:u w:val="single"/>
              </w:rPr>
              <w:tab/>
            </w:r>
            <w:r w:rsidRPr="00D51A68">
              <w:rPr>
                <w:rStyle w:val="InstructionsTabelleberschrift"/>
                <w:rFonts w:ascii="Times New Roman" w:hAnsi="Times New Roman"/>
                <w:sz w:val="24"/>
              </w:rPr>
              <w:t>Altre posizioni</w:t>
            </w:r>
          </w:p>
          <w:p w:rsidR="005643EA" w:rsidRPr="00D51A68" w:rsidRDefault="00D212FE" w:rsidP="00FC1A76">
            <w:pPr>
              <w:pStyle w:val="InstructionsText"/>
              <w:rPr>
                <w:rStyle w:val="InstructionsTabelleberschrift"/>
                <w:rFonts w:ascii="Times New Roman" w:hAnsi="Times New Roman"/>
                <w:bCs w:val="0"/>
                <w:sz w:val="24"/>
              </w:rPr>
            </w:pPr>
            <w:r w:rsidRPr="00D51A68">
              <w:rPr>
                <w:rStyle w:val="FormatvorlageInstructionsTabelleText"/>
                <w:rFonts w:ascii="Times New Roman" w:hAnsi="Times New Roman"/>
                <w:sz w:val="24"/>
              </w:rPr>
              <w:t>Cfr. il modello CR SA.</w:t>
            </w:r>
          </w:p>
        </w:tc>
      </w:tr>
      <w:tr w:rsidR="002648B0" w:rsidRPr="00D51A68" w:rsidTr="00672D2A">
        <w:tc>
          <w:tcPr>
            <w:tcW w:w="1591" w:type="dxa"/>
          </w:tcPr>
          <w:p w:rsidR="002648B0" w:rsidRPr="00D51A68" w:rsidRDefault="002648B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220</w:t>
            </w:r>
          </w:p>
        </w:tc>
        <w:tc>
          <w:tcPr>
            <w:tcW w:w="7274" w:type="dxa"/>
          </w:tcPr>
          <w:p w:rsidR="005643EA" w:rsidRPr="00D51A68" w:rsidRDefault="002648B0"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1.1.1.2</w:t>
            </w:r>
            <w:r w:rsidR="00A0772B" w:rsidRPr="00D51A68">
              <w:rPr>
                <w:u w:val="single"/>
              </w:rPr>
              <w:tab/>
            </w:r>
            <w:r w:rsidRPr="00D51A68">
              <w:rPr>
                <w:rStyle w:val="InstructionsTabelleberschrift"/>
                <w:rFonts w:ascii="Times New Roman" w:hAnsi="Times New Roman"/>
                <w:sz w:val="24"/>
              </w:rPr>
              <w:t xml:space="preserve">Posizioni verso la cartolarizzazione in base al metodo standardizzato </w:t>
            </w:r>
          </w:p>
          <w:p w:rsidR="002648B0" w:rsidRPr="00D51A68" w:rsidRDefault="002648B0" w:rsidP="007106FB">
            <w:pPr>
              <w:rPr>
                <w:rStyle w:val="FormatvorlageInstructionsTabelleText"/>
                <w:rFonts w:ascii="Times New Roman" w:hAnsi="Times New Roman"/>
                <w:sz w:val="24"/>
              </w:rPr>
            </w:pPr>
            <w:r w:rsidRPr="00D51A68">
              <w:rPr>
                <w:rStyle w:val="FormatvorlageInstructionsTabelleText"/>
                <w:rFonts w:ascii="Times New Roman" w:hAnsi="Times New Roman"/>
                <w:sz w:val="24"/>
              </w:rPr>
              <w:t>Modello CR SEC SA a livello di tipi di cartolarizzazione totale.</w:t>
            </w:r>
          </w:p>
        </w:tc>
      </w:tr>
      <w:tr w:rsidR="002648B0" w:rsidRPr="00D51A68" w:rsidTr="00672D2A">
        <w:tc>
          <w:tcPr>
            <w:tcW w:w="1591" w:type="dxa"/>
          </w:tcPr>
          <w:p w:rsidR="002648B0" w:rsidRPr="00D51A68" w:rsidRDefault="002648B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230</w:t>
            </w:r>
          </w:p>
        </w:tc>
        <w:tc>
          <w:tcPr>
            <w:tcW w:w="7274" w:type="dxa"/>
          </w:tcPr>
          <w:p w:rsidR="005643EA" w:rsidRPr="00D51A68" w:rsidRDefault="002648B0"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1.1.1.2.*</w:t>
            </w:r>
            <w:r w:rsidR="00A0772B" w:rsidRPr="00D51A68">
              <w:rPr>
                <w:u w:val="single"/>
              </w:rPr>
              <w:tab/>
            </w:r>
            <w:r w:rsidRPr="00D51A68">
              <w:rPr>
                <w:rStyle w:val="InstructionsTabelleberschrift"/>
                <w:rFonts w:ascii="Times New Roman" w:hAnsi="Times New Roman"/>
                <w:sz w:val="24"/>
              </w:rPr>
              <w:t xml:space="preserve">di cui: ricartolarizzazione </w:t>
            </w:r>
          </w:p>
          <w:p w:rsidR="002648B0" w:rsidRPr="00D51A68" w:rsidRDefault="002648B0" w:rsidP="007106FB">
            <w:pPr>
              <w:rPr>
                <w:rStyle w:val="FormatvorlageInstructionsTabelleText"/>
                <w:rFonts w:ascii="Times New Roman" w:hAnsi="Times New Roman"/>
                <w:sz w:val="24"/>
              </w:rPr>
            </w:pPr>
            <w:r w:rsidRPr="00D51A68">
              <w:rPr>
                <w:rStyle w:val="FormatvorlageInstructionsTabelleText"/>
                <w:rFonts w:ascii="Times New Roman" w:hAnsi="Times New Roman"/>
                <w:sz w:val="24"/>
              </w:rPr>
              <w:t>Modello CR SEC SA a livello di tipi di cartolarizzazione totale.</w:t>
            </w:r>
          </w:p>
        </w:tc>
      </w:tr>
      <w:tr w:rsidR="002648B0" w:rsidRPr="00D51A68" w:rsidTr="00672D2A">
        <w:tc>
          <w:tcPr>
            <w:tcW w:w="1591" w:type="dxa"/>
          </w:tcPr>
          <w:p w:rsidR="002648B0" w:rsidRPr="00D51A68" w:rsidRDefault="002648B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240</w:t>
            </w:r>
          </w:p>
        </w:tc>
        <w:tc>
          <w:tcPr>
            <w:tcW w:w="7274" w:type="dxa"/>
          </w:tcPr>
          <w:p w:rsidR="005643EA" w:rsidRPr="00D51A68" w:rsidRDefault="002648B0" w:rsidP="00FC1A76">
            <w:pPr>
              <w:pStyle w:val="InstructionsText"/>
              <w:rPr>
                <w:rStyle w:val="FormatvorlageInstructionsTabelleText"/>
                <w:rFonts w:ascii="Times New Roman" w:hAnsi="Times New Roman"/>
                <w:sz w:val="24"/>
              </w:rPr>
            </w:pPr>
            <w:r w:rsidRPr="00D51A68">
              <w:rPr>
                <w:rStyle w:val="InstructionsTabelleberschrift"/>
                <w:rFonts w:ascii="Times New Roman" w:hAnsi="Times New Roman"/>
                <w:sz w:val="24"/>
              </w:rPr>
              <w:t>1.1.2</w:t>
            </w:r>
            <w:r w:rsidR="00A0772B" w:rsidRPr="00D51A68">
              <w:rPr>
                <w:u w:val="single"/>
              </w:rPr>
              <w:tab/>
            </w:r>
            <w:r w:rsidRPr="00D51A68">
              <w:rPr>
                <w:rStyle w:val="InstructionsTabelleberschrift"/>
                <w:rFonts w:ascii="Times New Roman" w:hAnsi="Times New Roman"/>
                <w:sz w:val="24"/>
              </w:rPr>
              <w:t xml:space="preserve">Metodo basato sui rating interni (IRB) </w:t>
            </w:r>
          </w:p>
        </w:tc>
      </w:tr>
      <w:tr w:rsidR="002648B0" w:rsidRPr="00D51A68" w:rsidTr="00672D2A">
        <w:tc>
          <w:tcPr>
            <w:tcW w:w="1591" w:type="dxa"/>
          </w:tcPr>
          <w:p w:rsidR="002648B0" w:rsidRPr="00D51A68" w:rsidRDefault="002648B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250</w:t>
            </w:r>
          </w:p>
        </w:tc>
        <w:tc>
          <w:tcPr>
            <w:tcW w:w="7274" w:type="dxa"/>
          </w:tcPr>
          <w:p w:rsidR="005643EA" w:rsidRPr="00D51A68" w:rsidRDefault="002648B0"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1.1.2.1</w:t>
            </w:r>
            <w:r w:rsidR="00A0772B" w:rsidRPr="00D51A68">
              <w:rPr>
                <w:u w:val="single"/>
              </w:rPr>
              <w:tab/>
            </w:r>
            <w:r w:rsidRPr="00D51A68">
              <w:rPr>
                <w:rStyle w:val="InstructionsTabelleberschrift"/>
                <w:rFonts w:ascii="Times New Roman" w:hAnsi="Times New Roman"/>
                <w:sz w:val="24"/>
              </w:rPr>
              <w:t>Metodi IRB quando non si utilizzano stime interne della LGD né dei fattori di conversione</w:t>
            </w:r>
          </w:p>
          <w:p w:rsidR="002648B0" w:rsidRPr="00D51A68" w:rsidRDefault="002648B0" w:rsidP="007106FB">
            <w:pPr>
              <w:rPr>
                <w:rStyle w:val="FormatvorlageInstructionsTabelleText"/>
                <w:rFonts w:ascii="Times New Roman" w:hAnsi="Times New Roman"/>
                <w:sz w:val="24"/>
              </w:rPr>
            </w:pPr>
            <w:r w:rsidRPr="00D51A68">
              <w:rPr>
                <w:rStyle w:val="FormatvorlageInstructionsTabelleText"/>
                <w:rFonts w:ascii="Times New Roman" w:hAnsi="Times New Roman"/>
                <w:sz w:val="24"/>
              </w:rPr>
              <w:t>Modello CR IRB a livello di esposizioni totali (quando non si utilizzano stime interne della LGD né dei fattori di conversione del credito).</w:t>
            </w:r>
          </w:p>
        </w:tc>
      </w:tr>
      <w:tr w:rsidR="002648B0" w:rsidRPr="00D51A68" w:rsidTr="00672D2A">
        <w:tc>
          <w:tcPr>
            <w:tcW w:w="1591" w:type="dxa"/>
          </w:tcPr>
          <w:p w:rsidR="002648B0" w:rsidRPr="00D51A68" w:rsidRDefault="002648B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260</w:t>
            </w:r>
          </w:p>
        </w:tc>
        <w:tc>
          <w:tcPr>
            <w:tcW w:w="7274" w:type="dxa"/>
          </w:tcPr>
          <w:p w:rsidR="005643EA" w:rsidRPr="00D51A68" w:rsidRDefault="002648B0"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1.1.2.1.01</w:t>
            </w:r>
            <w:r w:rsidR="00A0772B" w:rsidRPr="00D51A68">
              <w:rPr>
                <w:u w:val="single"/>
              </w:rPr>
              <w:tab/>
            </w:r>
            <w:r w:rsidRPr="00D51A68">
              <w:rPr>
                <w:rStyle w:val="InstructionsTabelleberschrift"/>
                <w:rFonts w:ascii="Times New Roman" w:hAnsi="Times New Roman"/>
                <w:sz w:val="24"/>
              </w:rPr>
              <w:t>Amministrazioni centrali e banche centrali</w:t>
            </w:r>
          </w:p>
          <w:p w:rsidR="002648B0" w:rsidRPr="00D51A68" w:rsidRDefault="00D212FE" w:rsidP="007106FB">
            <w:pPr>
              <w:rPr>
                <w:rStyle w:val="FormatvorlageInstructionsTabelleText"/>
                <w:rFonts w:ascii="Times New Roman" w:hAnsi="Times New Roman"/>
                <w:sz w:val="24"/>
              </w:rPr>
            </w:pPr>
            <w:r w:rsidRPr="00D51A68">
              <w:rPr>
                <w:rStyle w:val="FormatvorlageInstructionsTabelleText"/>
                <w:rFonts w:ascii="Times New Roman" w:hAnsi="Times New Roman"/>
                <w:sz w:val="24"/>
              </w:rPr>
              <w:t>Cfr. il modello CR IRB.</w:t>
            </w:r>
          </w:p>
        </w:tc>
      </w:tr>
      <w:tr w:rsidR="002648B0" w:rsidRPr="00D51A68" w:rsidTr="00672D2A">
        <w:tc>
          <w:tcPr>
            <w:tcW w:w="1591" w:type="dxa"/>
          </w:tcPr>
          <w:p w:rsidR="002648B0" w:rsidRPr="00D51A68" w:rsidRDefault="002648B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270</w:t>
            </w:r>
          </w:p>
        </w:tc>
        <w:tc>
          <w:tcPr>
            <w:tcW w:w="7274" w:type="dxa"/>
          </w:tcPr>
          <w:p w:rsidR="005643EA" w:rsidRPr="00D51A68" w:rsidRDefault="002648B0" w:rsidP="00FC1A76">
            <w:pPr>
              <w:pStyle w:val="InstructionsText"/>
              <w:rPr>
                <w:rStyle w:val="InstructionsTabelleberschrift"/>
                <w:rFonts w:ascii="Times New Roman" w:hAnsi="Times New Roman"/>
                <w:bCs w:val="0"/>
                <w:sz w:val="24"/>
              </w:rPr>
            </w:pPr>
            <w:r w:rsidRPr="00D51A68">
              <w:rPr>
                <w:rStyle w:val="InstructionsTabelleberschrift"/>
                <w:rFonts w:ascii="Times New Roman" w:hAnsi="Times New Roman"/>
                <w:sz w:val="24"/>
              </w:rPr>
              <w:t>1.1.2.1.02</w:t>
            </w:r>
            <w:r w:rsidR="00A0772B" w:rsidRPr="00D51A68">
              <w:rPr>
                <w:u w:val="single"/>
              </w:rPr>
              <w:tab/>
            </w:r>
            <w:r w:rsidRPr="00D51A68">
              <w:rPr>
                <w:rStyle w:val="InstructionsTabelleberschrift"/>
                <w:rFonts w:ascii="Times New Roman" w:hAnsi="Times New Roman"/>
                <w:sz w:val="24"/>
              </w:rPr>
              <w:t>Enti</w:t>
            </w:r>
          </w:p>
          <w:p w:rsidR="002648B0" w:rsidRPr="00D51A68" w:rsidRDefault="00D212FE" w:rsidP="002F19BB">
            <w:pPr>
              <w:rPr>
                <w:rStyle w:val="FormatvorlageInstructionsTabelleText"/>
                <w:rFonts w:ascii="Times New Roman" w:hAnsi="Times New Roman"/>
                <w:sz w:val="24"/>
              </w:rPr>
            </w:pPr>
            <w:r w:rsidRPr="00D51A68">
              <w:rPr>
                <w:rStyle w:val="FormatvorlageInstructionsTabelleText"/>
                <w:rFonts w:ascii="Times New Roman" w:hAnsi="Times New Roman"/>
                <w:sz w:val="24"/>
              </w:rPr>
              <w:t>Cfr. il modello CR IRB.</w:t>
            </w:r>
          </w:p>
        </w:tc>
      </w:tr>
      <w:tr w:rsidR="002648B0" w:rsidRPr="00D51A68" w:rsidTr="00672D2A">
        <w:tc>
          <w:tcPr>
            <w:tcW w:w="1591" w:type="dxa"/>
          </w:tcPr>
          <w:p w:rsidR="002648B0" w:rsidRPr="00D51A68" w:rsidRDefault="002648B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280</w:t>
            </w:r>
          </w:p>
        </w:tc>
        <w:tc>
          <w:tcPr>
            <w:tcW w:w="7274" w:type="dxa"/>
          </w:tcPr>
          <w:p w:rsidR="005643EA" w:rsidRPr="00D51A68" w:rsidRDefault="002648B0" w:rsidP="00FC1A76">
            <w:pPr>
              <w:pStyle w:val="InstructionsText"/>
              <w:rPr>
                <w:rStyle w:val="InstructionsTabelleberschrift"/>
                <w:rFonts w:ascii="Times New Roman" w:hAnsi="Times New Roman"/>
                <w:bCs w:val="0"/>
                <w:sz w:val="24"/>
              </w:rPr>
            </w:pPr>
            <w:r w:rsidRPr="00D51A68">
              <w:rPr>
                <w:rStyle w:val="InstructionsTabelleberschrift"/>
                <w:rFonts w:ascii="Times New Roman" w:hAnsi="Times New Roman"/>
                <w:sz w:val="24"/>
              </w:rPr>
              <w:t>1.1.2.1.03</w:t>
            </w:r>
            <w:r w:rsidR="00A0772B" w:rsidRPr="00D51A68">
              <w:rPr>
                <w:u w:val="single"/>
              </w:rPr>
              <w:tab/>
            </w:r>
            <w:r w:rsidRPr="00D51A68">
              <w:rPr>
                <w:rStyle w:val="InstructionsTabelleberschrift"/>
                <w:rFonts w:ascii="Times New Roman" w:hAnsi="Times New Roman"/>
                <w:sz w:val="24"/>
              </w:rPr>
              <w:t>Imprese — PMI</w:t>
            </w:r>
          </w:p>
          <w:p w:rsidR="002648B0" w:rsidRPr="00D51A68" w:rsidRDefault="00D212FE" w:rsidP="007106FB">
            <w:pPr>
              <w:rPr>
                <w:rStyle w:val="FormatvorlageInstructionsTabelleText"/>
                <w:rFonts w:ascii="Times New Roman" w:hAnsi="Times New Roman"/>
                <w:sz w:val="24"/>
              </w:rPr>
            </w:pPr>
            <w:r w:rsidRPr="00D51A68">
              <w:rPr>
                <w:rStyle w:val="FormatvorlageInstructionsTabelleText"/>
                <w:rFonts w:ascii="Times New Roman" w:hAnsi="Times New Roman"/>
                <w:sz w:val="24"/>
              </w:rPr>
              <w:t>Cfr. il modello CR IRB.</w:t>
            </w:r>
          </w:p>
        </w:tc>
      </w:tr>
      <w:tr w:rsidR="002648B0" w:rsidRPr="00D51A68" w:rsidTr="00672D2A">
        <w:tc>
          <w:tcPr>
            <w:tcW w:w="1591" w:type="dxa"/>
          </w:tcPr>
          <w:p w:rsidR="002648B0" w:rsidRPr="00D51A68" w:rsidRDefault="002648B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290</w:t>
            </w:r>
          </w:p>
        </w:tc>
        <w:tc>
          <w:tcPr>
            <w:tcW w:w="7274" w:type="dxa"/>
          </w:tcPr>
          <w:p w:rsidR="005643EA" w:rsidRPr="00D51A68" w:rsidRDefault="002648B0" w:rsidP="00FC1A76">
            <w:pPr>
              <w:pStyle w:val="InstructionsText"/>
              <w:rPr>
                <w:rStyle w:val="InstructionsTabelleberschrift"/>
                <w:rFonts w:ascii="Times New Roman" w:hAnsi="Times New Roman"/>
                <w:bCs w:val="0"/>
                <w:sz w:val="24"/>
              </w:rPr>
            </w:pPr>
            <w:r w:rsidRPr="00D51A68">
              <w:rPr>
                <w:rStyle w:val="InstructionsTabelleberschrift"/>
                <w:rFonts w:ascii="Times New Roman" w:hAnsi="Times New Roman"/>
                <w:sz w:val="24"/>
              </w:rPr>
              <w:t>1.1.2.1.04</w:t>
            </w:r>
            <w:r w:rsidR="00A0772B" w:rsidRPr="00D51A68">
              <w:rPr>
                <w:u w:val="single"/>
              </w:rPr>
              <w:tab/>
            </w:r>
            <w:r w:rsidRPr="00D51A68">
              <w:rPr>
                <w:rStyle w:val="InstructionsTabelleberschrift"/>
                <w:rFonts w:ascii="Times New Roman" w:hAnsi="Times New Roman"/>
                <w:sz w:val="24"/>
              </w:rPr>
              <w:t>Imprese — Finanziamenti specializzati</w:t>
            </w:r>
          </w:p>
          <w:p w:rsidR="002648B0" w:rsidRPr="00D51A68" w:rsidRDefault="00D212FE" w:rsidP="007106FB">
            <w:pPr>
              <w:rPr>
                <w:rStyle w:val="FormatvorlageInstructionsTabelleText"/>
                <w:rFonts w:ascii="Times New Roman" w:hAnsi="Times New Roman"/>
                <w:sz w:val="24"/>
              </w:rPr>
            </w:pPr>
            <w:r w:rsidRPr="00D51A68">
              <w:rPr>
                <w:rStyle w:val="FormatvorlageInstructionsTabelleText"/>
                <w:rFonts w:ascii="Times New Roman" w:hAnsi="Times New Roman"/>
                <w:sz w:val="24"/>
              </w:rPr>
              <w:t xml:space="preserve">Cfr. il modello CR IRB. </w:t>
            </w:r>
          </w:p>
        </w:tc>
      </w:tr>
      <w:tr w:rsidR="002648B0" w:rsidRPr="00D51A68" w:rsidTr="00672D2A">
        <w:tc>
          <w:tcPr>
            <w:tcW w:w="1591" w:type="dxa"/>
          </w:tcPr>
          <w:p w:rsidR="002648B0" w:rsidRPr="00D51A68" w:rsidRDefault="002648B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300</w:t>
            </w:r>
          </w:p>
        </w:tc>
        <w:tc>
          <w:tcPr>
            <w:tcW w:w="7274" w:type="dxa"/>
          </w:tcPr>
          <w:p w:rsidR="005643EA" w:rsidRPr="00D51A68" w:rsidRDefault="002648B0" w:rsidP="00FC1A76">
            <w:pPr>
              <w:pStyle w:val="InstructionsText"/>
              <w:rPr>
                <w:rStyle w:val="InstructionsTabelleberschrift"/>
                <w:rFonts w:ascii="Times New Roman" w:hAnsi="Times New Roman"/>
                <w:bCs w:val="0"/>
                <w:sz w:val="24"/>
              </w:rPr>
            </w:pPr>
            <w:r w:rsidRPr="00D51A68">
              <w:rPr>
                <w:rStyle w:val="InstructionsTabelleberschrift"/>
                <w:rFonts w:ascii="Times New Roman" w:hAnsi="Times New Roman"/>
                <w:sz w:val="24"/>
              </w:rPr>
              <w:t>1.1.2.1.05</w:t>
            </w:r>
            <w:r w:rsidR="00A0772B" w:rsidRPr="00D51A68">
              <w:rPr>
                <w:u w:val="single"/>
              </w:rPr>
              <w:tab/>
            </w:r>
            <w:r w:rsidRPr="00D51A68">
              <w:rPr>
                <w:rStyle w:val="InstructionsTabelleberschrift"/>
                <w:rFonts w:ascii="Times New Roman" w:hAnsi="Times New Roman"/>
                <w:sz w:val="24"/>
              </w:rPr>
              <w:t>Imprese — Altro</w:t>
            </w:r>
          </w:p>
          <w:p w:rsidR="002648B0" w:rsidRPr="00D51A68" w:rsidRDefault="00D212FE" w:rsidP="007106FB">
            <w:pPr>
              <w:rPr>
                <w:rStyle w:val="FormatvorlageInstructionsTabelleText"/>
                <w:rFonts w:ascii="Times New Roman" w:hAnsi="Times New Roman"/>
                <w:sz w:val="24"/>
              </w:rPr>
            </w:pPr>
            <w:r w:rsidRPr="00D51A68">
              <w:rPr>
                <w:rStyle w:val="FormatvorlageInstructionsTabelleText"/>
                <w:rFonts w:ascii="Times New Roman" w:hAnsi="Times New Roman"/>
                <w:sz w:val="24"/>
              </w:rPr>
              <w:t>Cfr. il modello CR IRB.</w:t>
            </w:r>
          </w:p>
        </w:tc>
      </w:tr>
      <w:tr w:rsidR="002648B0" w:rsidRPr="00D51A68" w:rsidTr="00672D2A">
        <w:tc>
          <w:tcPr>
            <w:tcW w:w="1591" w:type="dxa"/>
          </w:tcPr>
          <w:p w:rsidR="002648B0" w:rsidRPr="00D51A68" w:rsidRDefault="002648B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310</w:t>
            </w:r>
          </w:p>
        </w:tc>
        <w:tc>
          <w:tcPr>
            <w:tcW w:w="7274" w:type="dxa"/>
          </w:tcPr>
          <w:p w:rsidR="005643EA" w:rsidRPr="00D51A68" w:rsidRDefault="002648B0" w:rsidP="00FC1A76">
            <w:pPr>
              <w:pStyle w:val="InstructionsText"/>
              <w:rPr>
                <w:rStyle w:val="InstructionsTabelleberschrift"/>
                <w:rFonts w:ascii="Times New Roman" w:hAnsi="Times New Roman"/>
                <w:bCs w:val="0"/>
                <w:sz w:val="24"/>
              </w:rPr>
            </w:pPr>
            <w:r w:rsidRPr="00D51A68">
              <w:rPr>
                <w:rStyle w:val="InstructionsTabelleberschrift"/>
                <w:rFonts w:ascii="Times New Roman" w:hAnsi="Times New Roman"/>
                <w:sz w:val="24"/>
              </w:rPr>
              <w:t>1.1.2.2</w:t>
            </w:r>
            <w:r w:rsidR="00A0772B" w:rsidRPr="00D51A68">
              <w:rPr>
                <w:u w:val="single"/>
              </w:rPr>
              <w:tab/>
            </w:r>
            <w:r w:rsidRPr="00D51A68">
              <w:rPr>
                <w:rStyle w:val="InstructionsTabelleberschrift"/>
                <w:rFonts w:ascii="Times New Roman" w:hAnsi="Times New Roman"/>
                <w:sz w:val="24"/>
              </w:rPr>
              <w:t>Metodi IRB quando si utilizzano stime interne della LGD e/o dei fattori di conversione</w:t>
            </w:r>
          </w:p>
          <w:p w:rsidR="002648B0" w:rsidRPr="00D51A68" w:rsidRDefault="002648B0" w:rsidP="007106FB">
            <w:pPr>
              <w:rPr>
                <w:rStyle w:val="FormatvorlageInstructionsTabelleText"/>
                <w:rFonts w:ascii="Times New Roman" w:hAnsi="Times New Roman"/>
                <w:sz w:val="24"/>
              </w:rPr>
            </w:pPr>
            <w:r w:rsidRPr="00D51A68">
              <w:rPr>
                <w:rStyle w:val="FormatvorlageInstructionsTabelleText"/>
                <w:rFonts w:ascii="Times New Roman" w:hAnsi="Times New Roman"/>
                <w:sz w:val="24"/>
              </w:rPr>
              <w:t xml:space="preserve">Modello CR IRB a livello di esposizioni totali (quando si utilizzano </w:t>
            </w:r>
            <w:r w:rsidRPr="00D51A68">
              <w:rPr>
                <w:rStyle w:val="FormatvorlageInstructionsTabelleText"/>
                <w:rFonts w:ascii="Times New Roman" w:hAnsi="Times New Roman"/>
                <w:sz w:val="24"/>
              </w:rPr>
              <w:lastRenderedPageBreak/>
              <w:t>stime interne della LGD e/o dei fattori di conversione del credito).</w:t>
            </w:r>
          </w:p>
        </w:tc>
      </w:tr>
      <w:tr w:rsidR="002648B0" w:rsidRPr="00D51A68" w:rsidTr="00672D2A">
        <w:tc>
          <w:tcPr>
            <w:tcW w:w="1591" w:type="dxa"/>
          </w:tcPr>
          <w:p w:rsidR="002648B0" w:rsidRPr="00D51A68" w:rsidRDefault="002648B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lastRenderedPageBreak/>
              <w:t>320</w:t>
            </w:r>
          </w:p>
        </w:tc>
        <w:tc>
          <w:tcPr>
            <w:tcW w:w="7274" w:type="dxa"/>
          </w:tcPr>
          <w:p w:rsidR="005643EA" w:rsidRPr="00D51A68" w:rsidRDefault="002648B0"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1.1.2.2.01</w:t>
            </w:r>
            <w:r w:rsidR="00A0772B" w:rsidRPr="00D51A68">
              <w:rPr>
                <w:u w:val="single"/>
              </w:rPr>
              <w:tab/>
            </w:r>
            <w:r w:rsidRPr="00D51A68">
              <w:rPr>
                <w:rStyle w:val="InstructionsTabelleberschrift"/>
                <w:rFonts w:ascii="Times New Roman" w:hAnsi="Times New Roman"/>
                <w:sz w:val="24"/>
              </w:rPr>
              <w:t>Amministrazioni centrali e banche centrali</w:t>
            </w:r>
          </w:p>
          <w:p w:rsidR="002648B0" w:rsidRPr="00D51A68" w:rsidRDefault="00D212FE" w:rsidP="007106FB">
            <w:pPr>
              <w:rPr>
                <w:rStyle w:val="FormatvorlageInstructionsTabelleText"/>
                <w:rFonts w:ascii="Times New Roman" w:hAnsi="Times New Roman"/>
                <w:sz w:val="24"/>
              </w:rPr>
            </w:pPr>
            <w:r w:rsidRPr="00D51A68">
              <w:rPr>
                <w:rStyle w:val="FormatvorlageInstructionsTabelleText"/>
                <w:rFonts w:ascii="Times New Roman" w:hAnsi="Times New Roman"/>
                <w:sz w:val="24"/>
              </w:rPr>
              <w:t>Cfr. il modello CR IRB.</w:t>
            </w:r>
          </w:p>
        </w:tc>
      </w:tr>
      <w:tr w:rsidR="002648B0" w:rsidRPr="00D51A68" w:rsidTr="00672D2A">
        <w:tc>
          <w:tcPr>
            <w:tcW w:w="1591" w:type="dxa"/>
          </w:tcPr>
          <w:p w:rsidR="002648B0" w:rsidRPr="00D51A68" w:rsidRDefault="002648B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330</w:t>
            </w:r>
          </w:p>
        </w:tc>
        <w:tc>
          <w:tcPr>
            <w:tcW w:w="7274" w:type="dxa"/>
          </w:tcPr>
          <w:p w:rsidR="005643EA" w:rsidRPr="00D51A68" w:rsidRDefault="002648B0" w:rsidP="00FC1A76">
            <w:pPr>
              <w:pStyle w:val="InstructionsText"/>
              <w:rPr>
                <w:rStyle w:val="InstructionsTabelleberschrift"/>
                <w:rFonts w:ascii="Times New Roman" w:hAnsi="Times New Roman"/>
                <w:bCs w:val="0"/>
                <w:sz w:val="24"/>
              </w:rPr>
            </w:pPr>
            <w:r w:rsidRPr="00D51A68">
              <w:rPr>
                <w:rStyle w:val="InstructionsTabelleberschrift"/>
                <w:rFonts w:ascii="Times New Roman" w:hAnsi="Times New Roman"/>
                <w:sz w:val="24"/>
              </w:rPr>
              <w:t>1.1.2.2.02</w:t>
            </w:r>
            <w:r w:rsidR="00A0772B" w:rsidRPr="00D51A68">
              <w:rPr>
                <w:u w:val="single"/>
              </w:rPr>
              <w:tab/>
            </w:r>
            <w:r w:rsidRPr="00D51A68">
              <w:rPr>
                <w:rStyle w:val="InstructionsTabelleberschrift"/>
                <w:rFonts w:ascii="Times New Roman" w:hAnsi="Times New Roman"/>
                <w:sz w:val="24"/>
              </w:rPr>
              <w:t>Enti</w:t>
            </w:r>
          </w:p>
          <w:p w:rsidR="002648B0" w:rsidRPr="00D51A68" w:rsidRDefault="00D212FE" w:rsidP="007106FB">
            <w:pPr>
              <w:rPr>
                <w:rStyle w:val="FormatvorlageInstructionsTabelleText"/>
                <w:rFonts w:ascii="Times New Roman" w:hAnsi="Times New Roman"/>
                <w:sz w:val="24"/>
              </w:rPr>
            </w:pPr>
            <w:r w:rsidRPr="00D51A68">
              <w:rPr>
                <w:rStyle w:val="FormatvorlageInstructionsTabelleText"/>
                <w:rFonts w:ascii="Times New Roman" w:hAnsi="Times New Roman"/>
                <w:sz w:val="24"/>
              </w:rPr>
              <w:t xml:space="preserve">Cfr. il modello CR IRB. </w:t>
            </w:r>
          </w:p>
        </w:tc>
      </w:tr>
      <w:tr w:rsidR="002648B0" w:rsidRPr="00D51A68" w:rsidTr="00672D2A">
        <w:tc>
          <w:tcPr>
            <w:tcW w:w="1591" w:type="dxa"/>
          </w:tcPr>
          <w:p w:rsidR="002648B0" w:rsidRPr="00D51A68" w:rsidRDefault="002648B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340</w:t>
            </w:r>
          </w:p>
        </w:tc>
        <w:tc>
          <w:tcPr>
            <w:tcW w:w="7274" w:type="dxa"/>
          </w:tcPr>
          <w:p w:rsidR="005643EA" w:rsidRPr="00D51A68" w:rsidRDefault="002648B0" w:rsidP="00FC1A76">
            <w:pPr>
              <w:pStyle w:val="InstructionsText"/>
              <w:rPr>
                <w:rStyle w:val="InstructionsTabelleberschrift"/>
                <w:rFonts w:ascii="Times New Roman" w:hAnsi="Times New Roman"/>
                <w:bCs w:val="0"/>
                <w:sz w:val="24"/>
              </w:rPr>
            </w:pPr>
            <w:r w:rsidRPr="00D51A68">
              <w:rPr>
                <w:rStyle w:val="InstructionsTabelleberschrift"/>
                <w:rFonts w:ascii="Times New Roman" w:hAnsi="Times New Roman"/>
                <w:sz w:val="24"/>
              </w:rPr>
              <w:t>1.1.2.2.03</w:t>
            </w:r>
            <w:r w:rsidR="00A0772B" w:rsidRPr="00D51A68">
              <w:rPr>
                <w:u w:val="single"/>
              </w:rPr>
              <w:tab/>
            </w:r>
            <w:r w:rsidRPr="00D51A68">
              <w:rPr>
                <w:rStyle w:val="InstructionsTabelleberschrift"/>
                <w:rFonts w:ascii="Times New Roman" w:hAnsi="Times New Roman"/>
                <w:sz w:val="24"/>
              </w:rPr>
              <w:t>Imprese — PMI</w:t>
            </w:r>
          </w:p>
          <w:p w:rsidR="002648B0" w:rsidRPr="00D51A68" w:rsidRDefault="00D212FE" w:rsidP="007106FB">
            <w:pPr>
              <w:rPr>
                <w:rStyle w:val="FormatvorlageInstructionsTabelleText"/>
                <w:rFonts w:ascii="Times New Roman" w:hAnsi="Times New Roman"/>
                <w:sz w:val="24"/>
              </w:rPr>
            </w:pPr>
            <w:r w:rsidRPr="00D51A68">
              <w:rPr>
                <w:rStyle w:val="FormatvorlageInstructionsTabelleText"/>
                <w:rFonts w:ascii="Times New Roman" w:hAnsi="Times New Roman"/>
                <w:sz w:val="24"/>
              </w:rPr>
              <w:t>Cfr. il modello CR IRB.</w:t>
            </w:r>
          </w:p>
        </w:tc>
      </w:tr>
      <w:tr w:rsidR="002648B0" w:rsidRPr="00D51A68" w:rsidTr="00672D2A">
        <w:tc>
          <w:tcPr>
            <w:tcW w:w="1591" w:type="dxa"/>
          </w:tcPr>
          <w:p w:rsidR="002648B0" w:rsidRPr="00D51A68" w:rsidRDefault="002648B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350</w:t>
            </w:r>
          </w:p>
        </w:tc>
        <w:tc>
          <w:tcPr>
            <w:tcW w:w="7274" w:type="dxa"/>
          </w:tcPr>
          <w:p w:rsidR="005643EA" w:rsidRPr="00D51A68" w:rsidRDefault="002648B0" w:rsidP="00FC1A76">
            <w:pPr>
              <w:pStyle w:val="InstructionsText"/>
              <w:rPr>
                <w:rStyle w:val="InstructionsTabelleberschrift"/>
                <w:rFonts w:ascii="Times New Roman" w:hAnsi="Times New Roman"/>
                <w:bCs w:val="0"/>
                <w:sz w:val="24"/>
              </w:rPr>
            </w:pPr>
            <w:r w:rsidRPr="00D51A68">
              <w:rPr>
                <w:rStyle w:val="InstructionsTabelleberschrift"/>
                <w:rFonts w:ascii="Times New Roman" w:hAnsi="Times New Roman"/>
                <w:sz w:val="24"/>
              </w:rPr>
              <w:t>1.1.2.2.04</w:t>
            </w:r>
            <w:r w:rsidR="00A0772B" w:rsidRPr="00D51A68">
              <w:rPr>
                <w:u w:val="single"/>
              </w:rPr>
              <w:tab/>
            </w:r>
            <w:r w:rsidRPr="00D51A68">
              <w:rPr>
                <w:rStyle w:val="InstructionsTabelleberschrift"/>
                <w:rFonts w:ascii="Times New Roman" w:hAnsi="Times New Roman"/>
                <w:sz w:val="24"/>
              </w:rPr>
              <w:t>Imprese — Finanziamenti specializzati</w:t>
            </w:r>
          </w:p>
          <w:p w:rsidR="002648B0" w:rsidRPr="00D51A68" w:rsidRDefault="00D212FE" w:rsidP="007106FB">
            <w:pPr>
              <w:rPr>
                <w:rStyle w:val="FormatvorlageInstructionsTabelleText"/>
                <w:rFonts w:ascii="Times New Roman" w:hAnsi="Times New Roman"/>
                <w:sz w:val="24"/>
              </w:rPr>
            </w:pPr>
            <w:r w:rsidRPr="00D51A68">
              <w:rPr>
                <w:rStyle w:val="FormatvorlageInstructionsTabelleText"/>
                <w:rFonts w:ascii="Times New Roman" w:hAnsi="Times New Roman"/>
                <w:sz w:val="24"/>
              </w:rPr>
              <w:t>Cfr. il modello CR IRB.</w:t>
            </w:r>
          </w:p>
        </w:tc>
      </w:tr>
      <w:tr w:rsidR="002648B0" w:rsidRPr="00D51A68" w:rsidTr="00672D2A">
        <w:tc>
          <w:tcPr>
            <w:tcW w:w="1591" w:type="dxa"/>
          </w:tcPr>
          <w:p w:rsidR="002648B0" w:rsidRPr="00D51A68" w:rsidRDefault="002648B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360</w:t>
            </w:r>
          </w:p>
        </w:tc>
        <w:tc>
          <w:tcPr>
            <w:tcW w:w="7274" w:type="dxa"/>
          </w:tcPr>
          <w:p w:rsidR="005643EA" w:rsidRPr="00D51A68" w:rsidRDefault="002648B0" w:rsidP="00FC1A76">
            <w:pPr>
              <w:pStyle w:val="InstructionsText"/>
              <w:rPr>
                <w:rStyle w:val="InstructionsTabelleberschrift"/>
                <w:rFonts w:ascii="Times New Roman" w:hAnsi="Times New Roman"/>
                <w:bCs w:val="0"/>
                <w:sz w:val="24"/>
              </w:rPr>
            </w:pPr>
            <w:r w:rsidRPr="00D51A68">
              <w:rPr>
                <w:rStyle w:val="InstructionsTabelleberschrift"/>
                <w:rFonts w:ascii="Times New Roman" w:hAnsi="Times New Roman"/>
                <w:sz w:val="24"/>
              </w:rPr>
              <w:t>1.1.2.2.05</w:t>
            </w:r>
            <w:r w:rsidR="00A0772B" w:rsidRPr="00D51A68">
              <w:rPr>
                <w:u w:val="single"/>
              </w:rPr>
              <w:tab/>
            </w:r>
            <w:r w:rsidRPr="00D51A68">
              <w:rPr>
                <w:rStyle w:val="InstructionsTabelleberschrift"/>
                <w:rFonts w:ascii="Times New Roman" w:hAnsi="Times New Roman"/>
                <w:sz w:val="24"/>
              </w:rPr>
              <w:t>Imprese — Altro</w:t>
            </w:r>
          </w:p>
          <w:p w:rsidR="002648B0" w:rsidRPr="00D51A68" w:rsidRDefault="00D212FE" w:rsidP="007106FB">
            <w:pPr>
              <w:rPr>
                <w:rStyle w:val="FormatvorlageInstructionsTabelleText"/>
                <w:rFonts w:ascii="Times New Roman" w:hAnsi="Times New Roman"/>
                <w:sz w:val="24"/>
              </w:rPr>
            </w:pPr>
            <w:r w:rsidRPr="00D51A68">
              <w:rPr>
                <w:rStyle w:val="FormatvorlageInstructionsTabelleText"/>
                <w:rFonts w:ascii="Times New Roman" w:hAnsi="Times New Roman"/>
                <w:sz w:val="24"/>
              </w:rPr>
              <w:t>Cfr. il modello CR IRB.</w:t>
            </w:r>
          </w:p>
        </w:tc>
      </w:tr>
      <w:tr w:rsidR="002648B0" w:rsidRPr="00D51A68" w:rsidTr="00672D2A">
        <w:tc>
          <w:tcPr>
            <w:tcW w:w="1591" w:type="dxa"/>
          </w:tcPr>
          <w:p w:rsidR="002648B0" w:rsidRPr="00D51A68" w:rsidRDefault="002648B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370</w:t>
            </w:r>
          </w:p>
        </w:tc>
        <w:tc>
          <w:tcPr>
            <w:tcW w:w="7274" w:type="dxa"/>
          </w:tcPr>
          <w:p w:rsidR="005643EA" w:rsidRPr="00D51A68" w:rsidRDefault="002648B0" w:rsidP="00FC1A76">
            <w:pPr>
              <w:pStyle w:val="InstructionsText"/>
              <w:rPr>
                <w:rStyle w:val="InstructionsTabelleberschrift"/>
                <w:rFonts w:ascii="Times New Roman" w:hAnsi="Times New Roman"/>
                <w:bCs w:val="0"/>
                <w:sz w:val="24"/>
              </w:rPr>
            </w:pPr>
            <w:r w:rsidRPr="00D51A68">
              <w:rPr>
                <w:rStyle w:val="InstructionsTabelleberschrift"/>
                <w:rFonts w:ascii="Times New Roman" w:hAnsi="Times New Roman"/>
                <w:sz w:val="24"/>
              </w:rPr>
              <w:t>1.1.2.2.06</w:t>
            </w:r>
            <w:r w:rsidR="00A0772B" w:rsidRPr="00D51A68">
              <w:rPr>
                <w:u w:val="single"/>
              </w:rPr>
              <w:tab/>
            </w:r>
            <w:r w:rsidRPr="00D51A68">
              <w:rPr>
                <w:rStyle w:val="InstructionsTabelleberschrift"/>
                <w:rFonts w:ascii="Times New Roman" w:hAnsi="Times New Roman"/>
                <w:sz w:val="24"/>
              </w:rPr>
              <w:t>Al dettaglio — PMI, garantite da beni immobili</w:t>
            </w:r>
          </w:p>
          <w:p w:rsidR="002648B0" w:rsidRPr="00D51A68" w:rsidRDefault="00D212FE" w:rsidP="007106FB">
            <w:pPr>
              <w:rPr>
                <w:rStyle w:val="FormatvorlageInstructionsTabelleText"/>
                <w:rFonts w:ascii="Times New Roman" w:hAnsi="Times New Roman"/>
                <w:sz w:val="24"/>
              </w:rPr>
            </w:pPr>
            <w:r w:rsidRPr="00D51A68">
              <w:rPr>
                <w:rStyle w:val="FormatvorlageInstructionsTabelleText"/>
                <w:rFonts w:ascii="Times New Roman" w:hAnsi="Times New Roman"/>
                <w:sz w:val="24"/>
              </w:rPr>
              <w:t>Cfr. il modello CR IRB.</w:t>
            </w:r>
          </w:p>
        </w:tc>
      </w:tr>
      <w:tr w:rsidR="002648B0" w:rsidRPr="00D51A68" w:rsidTr="00672D2A">
        <w:tc>
          <w:tcPr>
            <w:tcW w:w="1591" w:type="dxa"/>
          </w:tcPr>
          <w:p w:rsidR="002648B0" w:rsidRPr="00D51A68" w:rsidRDefault="002648B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380</w:t>
            </w:r>
          </w:p>
        </w:tc>
        <w:tc>
          <w:tcPr>
            <w:tcW w:w="7274" w:type="dxa"/>
          </w:tcPr>
          <w:p w:rsidR="005643EA" w:rsidRPr="00D51A68" w:rsidRDefault="002648B0" w:rsidP="00FC1A76">
            <w:pPr>
              <w:pStyle w:val="InstructionsText"/>
              <w:rPr>
                <w:rStyle w:val="InstructionsTabelleberschrift"/>
                <w:rFonts w:ascii="Times New Roman" w:hAnsi="Times New Roman"/>
                <w:bCs w:val="0"/>
                <w:sz w:val="24"/>
              </w:rPr>
            </w:pPr>
            <w:r w:rsidRPr="00D51A68">
              <w:rPr>
                <w:rStyle w:val="InstructionsTabelleberschrift"/>
                <w:rFonts w:ascii="Times New Roman" w:hAnsi="Times New Roman"/>
                <w:sz w:val="24"/>
              </w:rPr>
              <w:t>1.1.2.2.07</w:t>
            </w:r>
            <w:r w:rsidR="00A0772B" w:rsidRPr="00D51A68">
              <w:rPr>
                <w:u w:val="single"/>
              </w:rPr>
              <w:tab/>
            </w:r>
            <w:r w:rsidRPr="00D51A68">
              <w:rPr>
                <w:rStyle w:val="InstructionsTabelleberschrift"/>
                <w:rFonts w:ascii="Times New Roman" w:hAnsi="Times New Roman"/>
                <w:sz w:val="24"/>
              </w:rPr>
              <w:t>Al dettaglio — Non PMI, garantite da beni immobili</w:t>
            </w:r>
          </w:p>
          <w:p w:rsidR="002648B0" w:rsidRPr="00D51A68" w:rsidRDefault="00D212FE" w:rsidP="007106FB">
            <w:pPr>
              <w:rPr>
                <w:rStyle w:val="FormatvorlageInstructionsTabelleText"/>
                <w:rFonts w:ascii="Times New Roman" w:hAnsi="Times New Roman"/>
                <w:sz w:val="24"/>
              </w:rPr>
            </w:pPr>
            <w:r w:rsidRPr="00D51A68">
              <w:rPr>
                <w:rStyle w:val="FormatvorlageInstructionsTabelleText"/>
                <w:rFonts w:ascii="Times New Roman" w:hAnsi="Times New Roman"/>
                <w:sz w:val="24"/>
              </w:rPr>
              <w:t>Cfr. il modello CR IRB.</w:t>
            </w:r>
          </w:p>
        </w:tc>
      </w:tr>
      <w:tr w:rsidR="002648B0" w:rsidRPr="00D51A68" w:rsidTr="00672D2A">
        <w:tc>
          <w:tcPr>
            <w:tcW w:w="1591" w:type="dxa"/>
          </w:tcPr>
          <w:p w:rsidR="002648B0" w:rsidRPr="00D51A68" w:rsidRDefault="002648B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390</w:t>
            </w:r>
          </w:p>
        </w:tc>
        <w:tc>
          <w:tcPr>
            <w:tcW w:w="7274" w:type="dxa"/>
          </w:tcPr>
          <w:p w:rsidR="005643EA" w:rsidRPr="00D51A68" w:rsidRDefault="002648B0" w:rsidP="00FC1A76">
            <w:pPr>
              <w:pStyle w:val="InstructionsText"/>
              <w:rPr>
                <w:rStyle w:val="InstructionsTabelleberschrift"/>
                <w:rFonts w:ascii="Times New Roman" w:hAnsi="Times New Roman"/>
                <w:bCs w:val="0"/>
                <w:sz w:val="24"/>
              </w:rPr>
            </w:pPr>
            <w:r w:rsidRPr="00D51A68">
              <w:rPr>
                <w:rStyle w:val="InstructionsTabelleberschrift"/>
                <w:rFonts w:ascii="Times New Roman" w:hAnsi="Times New Roman"/>
                <w:sz w:val="24"/>
              </w:rPr>
              <w:t>1.1.2.2.08</w:t>
            </w:r>
            <w:r w:rsidR="00A0772B" w:rsidRPr="00D51A68">
              <w:rPr>
                <w:u w:val="single"/>
              </w:rPr>
              <w:tab/>
            </w:r>
            <w:r w:rsidRPr="00D51A68">
              <w:rPr>
                <w:rStyle w:val="InstructionsTabelleberschrift"/>
                <w:rFonts w:ascii="Times New Roman" w:hAnsi="Times New Roman"/>
                <w:sz w:val="24"/>
              </w:rPr>
              <w:t>Al dettaglio — Rotative qualificate</w:t>
            </w:r>
          </w:p>
          <w:p w:rsidR="002648B0" w:rsidRPr="00D51A68" w:rsidRDefault="00D212FE" w:rsidP="007106FB">
            <w:pPr>
              <w:rPr>
                <w:rStyle w:val="FormatvorlageInstructionsTabelleText"/>
                <w:rFonts w:ascii="Times New Roman" w:hAnsi="Times New Roman"/>
                <w:sz w:val="24"/>
              </w:rPr>
            </w:pPr>
            <w:r w:rsidRPr="00D51A68">
              <w:rPr>
                <w:rStyle w:val="FormatvorlageInstructionsTabelleText"/>
                <w:rFonts w:ascii="Times New Roman" w:hAnsi="Times New Roman"/>
                <w:sz w:val="24"/>
              </w:rPr>
              <w:t>Cfr. il modello CR IRB.</w:t>
            </w:r>
          </w:p>
        </w:tc>
      </w:tr>
      <w:tr w:rsidR="002648B0" w:rsidRPr="00D51A68" w:rsidTr="00672D2A">
        <w:tc>
          <w:tcPr>
            <w:tcW w:w="1591" w:type="dxa"/>
          </w:tcPr>
          <w:p w:rsidR="002648B0" w:rsidRPr="00D51A68" w:rsidRDefault="002648B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400</w:t>
            </w:r>
          </w:p>
        </w:tc>
        <w:tc>
          <w:tcPr>
            <w:tcW w:w="7274" w:type="dxa"/>
          </w:tcPr>
          <w:p w:rsidR="005643EA" w:rsidRPr="00D51A68" w:rsidRDefault="002648B0" w:rsidP="00FC1A76">
            <w:pPr>
              <w:pStyle w:val="InstructionsText"/>
              <w:rPr>
                <w:rStyle w:val="InstructionsTabelleberschrift"/>
                <w:rFonts w:ascii="Times New Roman" w:hAnsi="Times New Roman"/>
                <w:bCs w:val="0"/>
                <w:sz w:val="24"/>
              </w:rPr>
            </w:pPr>
            <w:r w:rsidRPr="00D51A68">
              <w:rPr>
                <w:rStyle w:val="InstructionsTabelleberschrift"/>
                <w:rFonts w:ascii="Times New Roman" w:hAnsi="Times New Roman"/>
                <w:sz w:val="24"/>
              </w:rPr>
              <w:t>1.1.2.2.09</w:t>
            </w:r>
            <w:r w:rsidR="00A0772B" w:rsidRPr="00D51A68">
              <w:rPr>
                <w:u w:val="single"/>
              </w:rPr>
              <w:tab/>
            </w:r>
            <w:r w:rsidRPr="00D51A68">
              <w:rPr>
                <w:rStyle w:val="InstructionsTabelleberschrift"/>
                <w:rFonts w:ascii="Times New Roman" w:hAnsi="Times New Roman"/>
                <w:sz w:val="24"/>
              </w:rPr>
              <w:t>Al dettaglio — altre PMI</w:t>
            </w:r>
          </w:p>
          <w:p w:rsidR="002648B0" w:rsidRPr="00D51A68" w:rsidRDefault="00D212FE" w:rsidP="007106FB">
            <w:pPr>
              <w:rPr>
                <w:rStyle w:val="FormatvorlageInstructionsTabelleText"/>
                <w:rFonts w:ascii="Times New Roman" w:hAnsi="Times New Roman"/>
                <w:sz w:val="24"/>
              </w:rPr>
            </w:pPr>
            <w:r w:rsidRPr="00D51A68">
              <w:rPr>
                <w:rStyle w:val="FormatvorlageInstructionsTabelleText"/>
                <w:rFonts w:ascii="Times New Roman" w:hAnsi="Times New Roman"/>
                <w:sz w:val="24"/>
              </w:rPr>
              <w:t>Cfr. il modello CR IRB.</w:t>
            </w:r>
          </w:p>
        </w:tc>
      </w:tr>
      <w:tr w:rsidR="002648B0" w:rsidRPr="00D51A68" w:rsidTr="00672D2A">
        <w:tc>
          <w:tcPr>
            <w:tcW w:w="1591" w:type="dxa"/>
          </w:tcPr>
          <w:p w:rsidR="002648B0" w:rsidRPr="00D51A68" w:rsidRDefault="002648B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410</w:t>
            </w:r>
          </w:p>
        </w:tc>
        <w:tc>
          <w:tcPr>
            <w:tcW w:w="7274" w:type="dxa"/>
          </w:tcPr>
          <w:p w:rsidR="005643EA" w:rsidRPr="00D51A68" w:rsidRDefault="002648B0" w:rsidP="00FC1A76">
            <w:pPr>
              <w:pStyle w:val="InstructionsText"/>
              <w:rPr>
                <w:rStyle w:val="InstructionsTabelleberschrift"/>
                <w:rFonts w:ascii="Times New Roman" w:hAnsi="Times New Roman"/>
                <w:bCs w:val="0"/>
                <w:sz w:val="24"/>
              </w:rPr>
            </w:pPr>
            <w:r w:rsidRPr="00D51A68">
              <w:rPr>
                <w:rStyle w:val="InstructionsTabelleberschrift"/>
                <w:rFonts w:ascii="Times New Roman" w:hAnsi="Times New Roman"/>
                <w:sz w:val="24"/>
              </w:rPr>
              <w:t>1.1.2.2.10</w:t>
            </w:r>
            <w:r w:rsidR="00A0772B" w:rsidRPr="00D51A68">
              <w:rPr>
                <w:u w:val="single"/>
              </w:rPr>
              <w:tab/>
            </w:r>
            <w:r w:rsidRPr="00D51A68">
              <w:rPr>
                <w:rStyle w:val="InstructionsTabelleberschrift"/>
                <w:rFonts w:ascii="Times New Roman" w:hAnsi="Times New Roman"/>
                <w:sz w:val="24"/>
              </w:rPr>
              <w:t>Al dettaglio — Altre non PMI</w:t>
            </w:r>
          </w:p>
          <w:p w:rsidR="002648B0" w:rsidRPr="00D51A68" w:rsidRDefault="00D212FE" w:rsidP="007106FB">
            <w:pPr>
              <w:rPr>
                <w:rStyle w:val="FormatvorlageInstructionsTabelleText"/>
                <w:rFonts w:ascii="Times New Roman" w:hAnsi="Times New Roman"/>
                <w:sz w:val="24"/>
              </w:rPr>
            </w:pPr>
            <w:r w:rsidRPr="00D51A68">
              <w:rPr>
                <w:rStyle w:val="FormatvorlageInstructionsTabelleText"/>
                <w:rFonts w:ascii="Times New Roman" w:hAnsi="Times New Roman"/>
                <w:sz w:val="24"/>
              </w:rPr>
              <w:t>Cfr. il modello CR IRB.</w:t>
            </w:r>
          </w:p>
        </w:tc>
      </w:tr>
      <w:tr w:rsidR="002648B0" w:rsidRPr="00D51A68" w:rsidTr="00672D2A">
        <w:tc>
          <w:tcPr>
            <w:tcW w:w="1591" w:type="dxa"/>
          </w:tcPr>
          <w:p w:rsidR="002648B0" w:rsidRPr="00D51A68" w:rsidRDefault="002648B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420</w:t>
            </w:r>
          </w:p>
        </w:tc>
        <w:tc>
          <w:tcPr>
            <w:tcW w:w="7274" w:type="dxa"/>
          </w:tcPr>
          <w:p w:rsidR="005643EA" w:rsidRPr="00D51A68" w:rsidRDefault="002648B0" w:rsidP="00FC1A76">
            <w:pPr>
              <w:pStyle w:val="InstructionsText"/>
              <w:rPr>
                <w:rStyle w:val="InstructionsTabelleberschrift"/>
                <w:rFonts w:ascii="Times New Roman" w:hAnsi="Times New Roman"/>
                <w:bCs w:val="0"/>
                <w:sz w:val="24"/>
              </w:rPr>
            </w:pPr>
            <w:r w:rsidRPr="00D51A68">
              <w:rPr>
                <w:rStyle w:val="InstructionsTabelleberschrift"/>
                <w:rFonts w:ascii="Times New Roman" w:hAnsi="Times New Roman"/>
                <w:sz w:val="24"/>
              </w:rPr>
              <w:t>1.1.2.3</w:t>
            </w:r>
            <w:r w:rsidR="00A0772B" w:rsidRPr="00D51A68">
              <w:rPr>
                <w:u w:val="single"/>
              </w:rPr>
              <w:tab/>
            </w:r>
            <w:r w:rsidRPr="00D51A68">
              <w:rPr>
                <w:rStyle w:val="InstructionsTabelleberschrift"/>
                <w:rFonts w:ascii="Times New Roman" w:hAnsi="Times New Roman"/>
                <w:sz w:val="24"/>
              </w:rPr>
              <w:t>Strumenti di capitale in base al metodo IRB</w:t>
            </w:r>
          </w:p>
          <w:p w:rsidR="002648B0" w:rsidRPr="00D51A68" w:rsidRDefault="00D212FE" w:rsidP="007106FB">
            <w:pPr>
              <w:rPr>
                <w:rStyle w:val="FormatvorlageInstructionsTabelleText"/>
                <w:rFonts w:ascii="Times New Roman" w:hAnsi="Times New Roman"/>
                <w:sz w:val="24"/>
              </w:rPr>
            </w:pPr>
            <w:r w:rsidRPr="00D51A68">
              <w:rPr>
                <w:rStyle w:val="FormatvorlageInstructionsTabelleText"/>
                <w:rFonts w:ascii="Times New Roman" w:hAnsi="Times New Roman"/>
                <w:sz w:val="24"/>
              </w:rPr>
              <w:t>Cfr. il modello CR EQU IRB.</w:t>
            </w:r>
          </w:p>
        </w:tc>
      </w:tr>
      <w:tr w:rsidR="002648B0" w:rsidRPr="00D51A68" w:rsidTr="00672D2A">
        <w:tc>
          <w:tcPr>
            <w:tcW w:w="1591" w:type="dxa"/>
          </w:tcPr>
          <w:p w:rsidR="002648B0" w:rsidRPr="00D51A68" w:rsidRDefault="002648B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430</w:t>
            </w:r>
          </w:p>
        </w:tc>
        <w:tc>
          <w:tcPr>
            <w:tcW w:w="7274" w:type="dxa"/>
          </w:tcPr>
          <w:p w:rsidR="005643EA" w:rsidRPr="00D51A68" w:rsidRDefault="002648B0" w:rsidP="00FC1A76">
            <w:pPr>
              <w:pStyle w:val="InstructionsText"/>
              <w:rPr>
                <w:rStyle w:val="InstructionsTabelleberschrift"/>
                <w:rFonts w:ascii="Times New Roman" w:hAnsi="Times New Roman"/>
                <w:bCs w:val="0"/>
                <w:sz w:val="24"/>
              </w:rPr>
            </w:pPr>
            <w:r w:rsidRPr="00D51A68">
              <w:rPr>
                <w:rStyle w:val="InstructionsTabelleberschrift"/>
                <w:rFonts w:ascii="Times New Roman" w:hAnsi="Times New Roman"/>
                <w:sz w:val="24"/>
              </w:rPr>
              <w:t>1.1.2.4</w:t>
            </w:r>
            <w:r w:rsidR="00A0772B" w:rsidRPr="00D51A68">
              <w:rPr>
                <w:u w:val="single"/>
              </w:rPr>
              <w:tab/>
            </w:r>
            <w:r w:rsidRPr="00D51A68">
              <w:rPr>
                <w:rStyle w:val="InstructionsTabelleberschrift"/>
                <w:rFonts w:ascii="Times New Roman" w:hAnsi="Times New Roman"/>
                <w:sz w:val="24"/>
              </w:rPr>
              <w:t>Posizioni verso la cartolarizzazione in base al metodo IRB</w:t>
            </w:r>
          </w:p>
          <w:p w:rsidR="002648B0" w:rsidRPr="00D51A68" w:rsidRDefault="002648B0" w:rsidP="007106FB">
            <w:pPr>
              <w:rPr>
                <w:rStyle w:val="FormatvorlageInstructionsTabelleText"/>
                <w:rFonts w:ascii="Times New Roman" w:hAnsi="Times New Roman"/>
                <w:sz w:val="24"/>
              </w:rPr>
            </w:pPr>
            <w:r w:rsidRPr="00D51A68">
              <w:rPr>
                <w:rStyle w:val="FormatvorlageInstructionsTabelleText"/>
                <w:rFonts w:ascii="Times New Roman" w:hAnsi="Times New Roman"/>
                <w:sz w:val="24"/>
              </w:rPr>
              <w:t>Modello CR SEC IRB a livello di tipi di cartolarizzazione totale.</w:t>
            </w:r>
          </w:p>
        </w:tc>
      </w:tr>
      <w:tr w:rsidR="002648B0" w:rsidRPr="00D51A68" w:rsidTr="00672D2A">
        <w:tc>
          <w:tcPr>
            <w:tcW w:w="1591" w:type="dxa"/>
          </w:tcPr>
          <w:p w:rsidR="002648B0" w:rsidRPr="00D51A68" w:rsidRDefault="002648B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440</w:t>
            </w:r>
          </w:p>
        </w:tc>
        <w:tc>
          <w:tcPr>
            <w:tcW w:w="7274" w:type="dxa"/>
          </w:tcPr>
          <w:p w:rsidR="005643EA" w:rsidRPr="00D51A68" w:rsidRDefault="002648B0" w:rsidP="00FC1A76">
            <w:pPr>
              <w:pStyle w:val="InstructionsText"/>
              <w:rPr>
                <w:rStyle w:val="InstructionsTabelleberschrift"/>
                <w:rFonts w:ascii="Times New Roman" w:hAnsi="Times New Roman"/>
                <w:bCs w:val="0"/>
                <w:sz w:val="24"/>
              </w:rPr>
            </w:pPr>
            <w:r w:rsidRPr="00D51A68">
              <w:rPr>
                <w:rStyle w:val="InstructionsTabelleberschrift"/>
                <w:rFonts w:ascii="Times New Roman" w:hAnsi="Times New Roman"/>
                <w:sz w:val="24"/>
              </w:rPr>
              <w:t>1.1.2.4*</w:t>
            </w:r>
            <w:r w:rsidR="00A0772B" w:rsidRPr="00D51A68">
              <w:rPr>
                <w:u w:val="single"/>
              </w:rPr>
              <w:tab/>
            </w:r>
            <w:r w:rsidRPr="00D51A68">
              <w:rPr>
                <w:rStyle w:val="InstructionsTabelleberschrift"/>
                <w:rFonts w:ascii="Times New Roman" w:hAnsi="Times New Roman"/>
                <w:sz w:val="24"/>
              </w:rPr>
              <w:t>di cui: ricartolarizzazione</w:t>
            </w:r>
          </w:p>
          <w:p w:rsidR="002648B0" w:rsidRPr="00D51A68" w:rsidRDefault="002648B0" w:rsidP="007106FB">
            <w:pPr>
              <w:rPr>
                <w:rStyle w:val="FormatvorlageInstructionsTabelleText"/>
                <w:rFonts w:ascii="Times New Roman" w:hAnsi="Times New Roman"/>
                <w:sz w:val="24"/>
              </w:rPr>
            </w:pPr>
            <w:r w:rsidRPr="00D51A68">
              <w:rPr>
                <w:rStyle w:val="FormatvorlageInstructionsTabelleText"/>
                <w:rFonts w:ascii="Times New Roman" w:hAnsi="Times New Roman"/>
                <w:sz w:val="24"/>
              </w:rPr>
              <w:t>Modello CR SEC IRB a livello di tipi di cartolarizzazione totale.</w:t>
            </w:r>
          </w:p>
        </w:tc>
      </w:tr>
      <w:tr w:rsidR="002648B0" w:rsidRPr="00D51A68" w:rsidTr="00672D2A">
        <w:tc>
          <w:tcPr>
            <w:tcW w:w="1591" w:type="dxa"/>
          </w:tcPr>
          <w:p w:rsidR="002648B0" w:rsidRPr="00D51A68" w:rsidRDefault="00CD7D5B"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450</w:t>
            </w:r>
          </w:p>
        </w:tc>
        <w:tc>
          <w:tcPr>
            <w:tcW w:w="7274" w:type="dxa"/>
          </w:tcPr>
          <w:p w:rsidR="005643EA" w:rsidRPr="00D51A68" w:rsidRDefault="002648B0" w:rsidP="00FC1A76">
            <w:pPr>
              <w:pStyle w:val="InstructionsText"/>
              <w:rPr>
                <w:rStyle w:val="InstructionsTabelleberschrift"/>
                <w:rFonts w:ascii="Times New Roman" w:hAnsi="Times New Roman"/>
                <w:bCs w:val="0"/>
                <w:sz w:val="24"/>
              </w:rPr>
            </w:pPr>
            <w:r w:rsidRPr="00D51A68">
              <w:rPr>
                <w:rStyle w:val="InstructionsTabelleberschrift"/>
                <w:rFonts w:ascii="Times New Roman" w:hAnsi="Times New Roman"/>
                <w:sz w:val="24"/>
              </w:rPr>
              <w:t>1.1.2.5</w:t>
            </w:r>
            <w:r w:rsidR="00A0772B" w:rsidRPr="00D51A68">
              <w:rPr>
                <w:u w:val="single"/>
              </w:rPr>
              <w:tab/>
            </w:r>
            <w:r w:rsidRPr="00D51A68">
              <w:rPr>
                <w:rStyle w:val="InstructionsTabelleberschrift"/>
                <w:rFonts w:ascii="Times New Roman" w:hAnsi="Times New Roman"/>
                <w:sz w:val="24"/>
              </w:rPr>
              <w:t>Altre attività diverse da crediti</w:t>
            </w:r>
          </w:p>
          <w:p w:rsidR="002648B0" w:rsidRPr="00D51A68" w:rsidRDefault="002648B0" w:rsidP="007106FB">
            <w:pPr>
              <w:rPr>
                <w:rStyle w:val="FormatvorlageInstructionsTabelleText"/>
                <w:rFonts w:ascii="Times New Roman" w:hAnsi="Times New Roman"/>
                <w:sz w:val="24"/>
              </w:rPr>
            </w:pPr>
            <w:r w:rsidRPr="00D51A68">
              <w:rPr>
                <w:rStyle w:val="FormatvorlageInstructionsTabelleText"/>
                <w:rFonts w:ascii="Times New Roman" w:hAnsi="Times New Roman"/>
                <w:sz w:val="24"/>
              </w:rPr>
              <w:t>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importo da segnalare è 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importo delle esposizioni ponderato per il rischio, calcolato conformemente all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 xml:space="preserve">articolo 156 del CRR. </w:t>
            </w:r>
          </w:p>
        </w:tc>
      </w:tr>
      <w:tr w:rsidR="002648B0" w:rsidRPr="00D51A68" w:rsidTr="00672D2A">
        <w:tc>
          <w:tcPr>
            <w:tcW w:w="1591" w:type="dxa"/>
          </w:tcPr>
          <w:p w:rsidR="002648B0" w:rsidRPr="00D51A68" w:rsidRDefault="00CD7D5B"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460</w:t>
            </w:r>
          </w:p>
        </w:tc>
        <w:tc>
          <w:tcPr>
            <w:tcW w:w="7274" w:type="dxa"/>
          </w:tcPr>
          <w:p w:rsidR="005643EA" w:rsidRPr="00D51A68" w:rsidRDefault="00783881"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1.1.3</w:t>
            </w:r>
            <w:r w:rsidR="00A0772B" w:rsidRPr="00D51A68">
              <w:rPr>
                <w:u w:val="single"/>
              </w:rPr>
              <w:tab/>
            </w:r>
            <w:r w:rsidRPr="00D51A68">
              <w:rPr>
                <w:rStyle w:val="InstructionsTabelleberschrift"/>
                <w:rFonts w:ascii="Times New Roman" w:hAnsi="Times New Roman"/>
                <w:sz w:val="24"/>
              </w:rPr>
              <w:t>Importo dell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esposizione al rischio per i contributi al fondo di garanzia di una CCP</w:t>
            </w:r>
          </w:p>
          <w:p w:rsidR="002648B0" w:rsidRPr="00D51A68" w:rsidRDefault="00CD7D5B" w:rsidP="007106FB">
            <w:pPr>
              <w:rPr>
                <w:rStyle w:val="FormatvorlageInstructionsTabelleText"/>
                <w:rFonts w:ascii="Times New Roman" w:hAnsi="Times New Roman"/>
                <w:sz w:val="24"/>
              </w:rPr>
            </w:pPr>
            <w:r w:rsidRPr="00D51A68">
              <w:rPr>
                <w:rStyle w:val="FormatvorlageInstructionsTabelleText"/>
                <w:rFonts w:ascii="Times New Roman" w:hAnsi="Times New Roman"/>
                <w:sz w:val="24"/>
              </w:rPr>
              <w:t>Articoli da 307 a 309 del CRR.</w:t>
            </w:r>
          </w:p>
        </w:tc>
      </w:tr>
      <w:tr w:rsidR="002648B0" w:rsidRPr="00D51A68" w:rsidTr="00672D2A">
        <w:tc>
          <w:tcPr>
            <w:tcW w:w="1591" w:type="dxa"/>
          </w:tcPr>
          <w:p w:rsidR="002648B0" w:rsidRPr="00D51A68" w:rsidRDefault="002648B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490</w:t>
            </w:r>
          </w:p>
        </w:tc>
        <w:tc>
          <w:tcPr>
            <w:tcW w:w="7274" w:type="dxa"/>
          </w:tcPr>
          <w:p w:rsidR="005643EA" w:rsidRPr="00D51A68" w:rsidRDefault="002648B0" w:rsidP="00FC1A76">
            <w:pPr>
              <w:pStyle w:val="InstructionsText"/>
              <w:rPr>
                <w:rStyle w:val="InstructionsTabelleberschrift"/>
                <w:rFonts w:ascii="Times New Roman" w:hAnsi="Times New Roman"/>
                <w:strike/>
                <w:sz w:val="24"/>
              </w:rPr>
            </w:pPr>
            <w:r w:rsidRPr="00D51A68">
              <w:rPr>
                <w:rStyle w:val="InstructionsTabelleberschrift"/>
                <w:rFonts w:ascii="Times New Roman" w:hAnsi="Times New Roman"/>
                <w:sz w:val="24"/>
              </w:rPr>
              <w:t>1.2</w:t>
            </w:r>
            <w:r w:rsidR="00A0772B" w:rsidRPr="00D51A68">
              <w:rPr>
                <w:u w:val="single"/>
              </w:rPr>
              <w:tab/>
            </w:r>
            <w:r w:rsidRPr="00D51A68">
              <w:rPr>
                <w:rStyle w:val="InstructionsTabelleberschrift"/>
                <w:rFonts w:ascii="Times New Roman" w:hAnsi="Times New Roman"/>
                <w:sz w:val="24"/>
              </w:rPr>
              <w:t>IMPORTO COMPLESSIVO DELL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ESPOSIZIONE AL RISCHIO DI REGOLAMENTO/CONSEGNA</w:t>
            </w:r>
          </w:p>
          <w:p w:rsidR="002648B0" w:rsidRPr="00D51A68" w:rsidRDefault="002648B0" w:rsidP="007106FB">
            <w:pPr>
              <w:rPr>
                <w:rStyle w:val="FormatvorlageInstructionsTabelleText"/>
                <w:rFonts w:ascii="Times New Roman" w:hAnsi="Times New Roman"/>
                <w:sz w:val="24"/>
              </w:rPr>
            </w:pPr>
            <w:r w:rsidRPr="00D51A68">
              <w:rPr>
                <w:rStyle w:val="FormatvorlageInstructionsTabelleText"/>
                <w:rFonts w:ascii="Times New Roman" w:hAnsi="Times New Roman"/>
                <w:sz w:val="24"/>
              </w:rPr>
              <w:t xml:space="preserve">Articolo 92, paragrafo 3, lettera c), punto ii), e articolo 92, paragrafo 4, </w:t>
            </w:r>
            <w:r w:rsidRPr="00D51A68">
              <w:rPr>
                <w:rStyle w:val="FormatvorlageInstructionsTabelleText"/>
                <w:rFonts w:ascii="Times New Roman" w:hAnsi="Times New Roman"/>
                <w:sz w:val="24"/>
              </w:rPr>
              <w:lastRenderedPageBreak/>
              <w:t>lettera b), del CRR.</w:t>
            </w:r>
          </w:p>
        </w:tc>
      </w:tr>
      <w:tr w:rsidR="002648B0" w:rsidRPr="00D51A68" w:rsidTr="00672D2A">
        <w:tc>
          <w:tcPr>
            <w:tcW w:w="1591" w:type="dxa"/>
          </w:tcPr>
          <w:p w:rsidR="002648B0" w:rsidRPr="00D51A68" w:rsidRDefault="002648B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lastRenderedPageBreak/>
              <w:t>500</w:t>
            </w:r>
          </w:p>
        </w:tc>
        <w:tc>
          <w:tcPr>
            <w:tcW w:w="7274" w:type="dxa"/>
          </w:tcPr>
          <w:p w:rsidR="005643EA" w:rsidRPr="00D51A68" w:rsidRDefault="002648B0" w:rsidP="00FC1A76">
            <w:pPr>
              <w:pStyle w:val="InstructionsText"/>
              <w:rPr>
                <w:rStyle w:val="InstructionsTabelleberschrift"/>
                <w:rFonts w:ascii="Times New Roman" w:hAnsi="Times New Roman"/>
                <w:bCs w:val="0"/>
                <w:sz w:val="24"/>
              </w:rPr>
            </w:pPr>
            <w:r w:rsidRPr="00D51A68">
              <w:rPr>
                <w:rStyle w:val="InstructionsTabelleberschrift"/>
                <w:rFonts w:ascii="Times New Roman" w:hAnsi="Times New Roman"/>
                <w:sz w:val="24"/>
              </w:rPr>
              <w:t>1.2.1</w:t>
            </w:r>
            <w:r w:rsidR="00A0772B" w:rsidRPr="00D51A68">
              <w:rPr>
                <w:u w:val="single"/>
              </w:rPr>
              <w:tab/>
            </w:r>
            <w:r w:rsidRPr="00D51A68">
              <w:rPr>
                <w:rStyle w:val="InstructionsTabelleberschrift"/>
                <w:rFonts w:ascii="Times New Roman" w:hAnsi="Times New Roman"/>
                <w:sz w:val="24"/>
              </w:rPr>
              <w:t>Rischio di regolamento/consegna esterno al portafoglio di negoziazione</w:t>
            </w:r>
          </w:p>
          <w:p w:rsidR="002648B0" w:rsidRPr="00D51A68" w:rsidRDefault="00D212FE" w:rsidP="007106FB">
            <w:pPr>
              <w:rPr>
                <w:rStyle w:val="FormatvorlageInstructionsTabelleText"/>
                <w:rFonts w:ascii="Times New Roman" w:hAnsi="Times New Roman"/>
                <w:sz w:val="24"/>
              </w:rPr>
            </w:pPr>
            <w:r w:rsidRPr="00D51A68">
              <w:rPr>
                <w:rStyle w:val="FormatvorlageInstructionsTabelleText"/>
                <w:rFonts w:ascii="Times New Roman" w:hAnsi="Times New Roman"/>
                <w:sz w:val="24"/>
              </w:rPr>
              <w:t>Cfr. il modello CR SETT.</w:t>
            </w:r>
          </w:p>
        </w:tc>
      </w:tr>
      <w:tr w:rsidR="002648B0" w:rsidRPr="00D51A68" w:rsidTr="00672D2A">
        <w:tc>
          <w:tcPr>
            <w:tcW w:w="1591" w:type="dxa"/>
          </w:tcPr>
          <w:p w:rsidR="002648B0" w:rsidRPr="00D51A68" w:rsidRDefault="002648B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510</w:t>
            </w:r>
          </w:p>
        </w:tc>
        <w:tc>
          <w:tcPr>
            <w:tcW w:w="7274" w:type="dxa"/>
          </w:tcPr>
          <w:p w:rsidR="005643EA" w:rsidRPr="00D51A68" w:rsidRDefault="002648B0" w:rsidP="00FC1A76">
            <w:pPr>
              <w:pStyle w:val="InstructionsText"/>
              <w:rPr>
                <w:rStyle w:val="InstructionsTabelleberschrift"/>
                <w:rFonts w:ascii="Times New Roman" w:hAnsi="Times New Roman"/>
                <w:bCs w:val="0"/>
                <w:sz w:val="24"/>
              </w:rPr>
            </w:pPr>
            <w:r w:rsidRPr="00D51A68">
              <w:rPr>
                <w:rStyle w:val="InstructionsTabelleberschrift"/>
                <w:rFonts w:ascii="Times New Roman" w:hAnsi="Times New Roman"/>
                <w:sz w:val="24"/>
              </w:rPr>
              <w:t>1.2.2</w:t>
            </w:r>
            <w:r w:rsidR="00A0772B" w:rsidRPr="00D51A68">
              <w:rPr>
                <w:u w:val="single"/>
              </w:rPr>
              <w:tab/>
            </w:r>
            <w:r w:rsidRPr="00D51A68">
              <w:rPr>
                <w:rStyle w:val="InstructionsTabelleberschrift"/>
                <w:rFonts w:ascii="Times New Roman" w:hAnsi="Times New Roman"/>
                <w:sz w:val="24"/>
              </w:rPr>
              <w:t>Rischio di regolamento/consegna interno al portafoglio di negoziazione</w:t>
            </w:r>
          </w:p>
          <w:p w:rsidR="002648B0" w:rsidRPr="00D51A68" w:rsidRDefault="00D212FE" w:rsidP="007106FB">
            <w:pPr>
              <w:rPr>
                <w:rStyle w:val="FormatvorlageInstructionsTabelleText"/>
                <w:rFonts w:ascii="Times New Roman" w:hAnsi="Times New Roman"/>
                <w:sz w:val="24"/>
              </w:rPr>
            </w:pPr>
            <w:r w:rsidRPr="00D51A68">
              <w:rPr>
                <w:rStyle w:val="FormatvorlageInstructionsTabelleText"/>
                <w:rFonts w:ascii="Times New Roman" w:hAnsi="Times New Roman"/>
                <w:sz w:val="24"/>
              </w:rPr>
              <w:t>Cfr. il modello CR SETT.</w:t>
            </w:r>
          </w:p>
        </w:tc>
      </w:tr>
      <w:tr w:rsidR="002648B0" w:rsidRPr="00D51A68" w:rsidTr="00672D2A">
        <w:tc>
          <w:tcPr>
            <w:tcW w:w="1591" w:type="dxa"/>
          </w:tcPr>
          <w:p w:rsidR="002648B0" w:rsidRPr="00D51A68" w:rsidRDefault="002648B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520</w:t>
            </w:r>
          </w:p>
        </w:tc>
        <w:tc>
          <w:tcPr>
            <w:tcW w:w="7274" w:type="dxa"/>
          </w:tcPr>
          <w:p w:rsidR="005643EA" w:rsidRPr="00D51A68" w:rsidRDefault="002648B0" w:rsidP="00FC1A76">
            <w:pPr>
              <w:pStyle w:val="InstructionsText"/>
              <w:rPr>
                <w:rStyle w:val="InstructionsTabelleberschrift"/>
                <w:rFonts w:ascii="Times New Roman" w:hAnsi="Times New Roman"/>
                <w:bCs w:val="0"/>
                <w:sz w:val="24"/>
              </w:rPr>
            </w:pPr>
            <w:r w:rsidRPr="00D51A68">
              <w:rPr>
                <w:rStyle w:val="InstructionsTabelleberschrift"/>
                <w:rFonts w:ascii="Times New Roman" w:hAnsi="Times New Roman"/>
                <w:sz w:val="24"/>
              </w:rPr>
              <w:t>1.3</w:t>
            </w:r>
            <w:r w:rsidR="00A0772B" w:rsidRPr="00D51A68">
              <w:rPr>
                <w:u w:val="single"/>
              </w:rPr>
              <w:tab/>
            </w:r>
            <w:r w:rsidRPr="00D51A68">
              <w:rPr>
                <w:rStyle w:val="InstructionsTabelleberschrift"/>
                <w:rFonts w:ascii="Times New Roman" w:hAnsi="Times New Roman"/>
                <w:sz w:val="24"/>
              </w:rPr>
              <w:t>IMPORTO COMPLESSIVO DELL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 xml:space="preserve">ESPOSIZIONE AI RISCHI DI POSIZIONE, DI CAMBIO E DI POSIZIONE IN MERCI </w:t>
            </w:r>
          </w:p>
          <w:p w:rsidR="005643EA" w:rsidRPr="00D51A68" w:rsidRDefault="002648B0" w:rsidP="00FC1A76">
            <w:pPr>
              <w:pStyle w:val="InstructionsText"/>
              <w:rPr>
                <w:rStyle w:val="FormatvorlageInstructionsTabelleText"/>
                <w:rFonts w:ascii="Times New Roman" w:hAnsi="Times New Roman"/>
                <w:bCs w:val="0"/>
                <w:sz w:val="24"/>
              </w:rPr>
            </w:pPr>
            <w:r w:rsidRPr="00D51A68">
              <w:rPr>
                <w:rStyle w:val="FormatvorlageInstructionsTabelleText"/>
                <w:rFonts w:ascii="Times New Roman" w:hAnsi="Times New Roman"/>
                <w:sz w:val="24"/>
              </w:rPr>
              <w:t>Articolo 92, paragrafo 3, lettera b), punto i), e lettera c), punti i) e iii), e articolo 92, paragrafo 4, lettera b), del CRR.</w:t>
            </w:r>
          </w:p>
        </w:tc>
      </w:tr>
      <w:tr w:rsidR="002648B0" w:rsidRPr="00D51A68" w:rsidTr="00672D2A">
        <w:tc>
          <w:tcPr>
            <w:tcW w:w="1591" w:type="dxa"/>
          </w:tcPr>
          <w:p w:rsidR="002648B0" w:rsidRPr="00D51A68" w:rsidRDefault="002648B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530</w:t>
            </w:r>
          </w:p>
        </w:tc>
        <w:tc>
          <w:tcPr>
            <w:tcW w:w="7274" w:type="dxa"/>
          </w:tcPr>
          <w:p w:rsidR="002648B0" w:rsidRPr="00D51A68" w:rsidRDefault="002648B0" w:rsidP="00FC1A76">
            <w:pPr>
              <w:pStyle w:val="InstructionsText"/>
              <w:rPr>
                <w:rStyle w:val="FormatvorlageInstructionsTabelleText"/>
                <w:rFonts w:ascii="Times New Roman" w:hAnsi="Times New Roman"/>
                <w:b/>
                <w:sz w:val="24"/>
                <w:u w:val="single"/>
              </w:rPr>
            </w:pPr>
            <w:r w:rsidRPr="00D51A68">
              <w:rPr>
                <w:rStyle w:val="InstructionsTabelleberschrift"/>
                <w:rFonts w:ascii="Times New Roman" w:hAnsi="Times New Roman"/>
                <w:sz w:val="24"/>
              </w:rPr>
              <w:t>1.3.1</w:t>
            </w:r>
            <w:r w:rsidR="00A0772B" w:rsidRPr="00D51A68">
              <w:rPr>
                <w:u w:val="single"/>
              </w:rPr>
              <w:tab/>
            </w:r>
            <w:r w:rsidRPr="00D51A68">
              <w:rPr>
                <w:rStyle w:val="InstructionsTabelleberschrift"/>
                <w:rFonts w:ascii="Times New Roman" w:hAnsi="Times New Roman"/>
                <w:sz w:val="24"/>
              </w:rPr>
              <w:t>Importo dell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esposizione ai rischi di posizione, di cambio e di posizione in merci in base a metodi standardizzati (SA)</w:t>
            </w:r>
          </w:p>
        </w:tc>
      </w:tr>
      <w:tr w:rsidR="002648B0" w:rsidRPr="00D51A68" w:rsidTr="00672D2A">
        <w:tc>
          <w:tcPr>
            <w:tcW w:w="1591" w:type="dxa"/>
          </w:tcPr>
          <w:p w:rsidR="002648B0" w:rsidRPr="00D51A68" w:rsidRDefault="002648B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540</w:t>
            </w:r>
          </w:p>
        </w:tc>
        <w:tc>
          <w:tcPr>
            <w:tcW w:w="7274" w:type="dxa"/>
          </w:tcPr>
          <w:p w:rsidR="005643EA" w:rsidRPr="00D51A68" w:rsidRDefault="002648B0" w:rsidP="00FC1A76">
            <w:pPr>
              <w:pStyle w:val="InstructionsText"/>
              <w:rPr>
                <w:rStyle w:val="InstructionsTabelleberschrift"/>
                <w:rFonts w:ascii="Times New Roman" w:hAnsi="Times New Roman"/>
                <w:bCs w:val="0"/>
                <w:sz w:val="24"/>
              </w:rPr>
            </w:pPr>
            <w:r w:rsidRPr="00D51A68">
              <w:rPr>
                <w:rStyle w:val="InstructionsTabelleberschrift"/>
                <w:rFonts w:ascii="Times New Roman" w:hAnsi="Times New Roman"/>
                <w:sz w:val="24"/>
              </w:rPr>
              <w:t>1.3.1.1</w:t>
            </w:r>
            <w:r w:rsidR="00A0772B" w:rsidRPr="00D51A68">
              <w:rPr>
                <w:u w:val="single"/>
              </w:rPr>
              <w:tab/>
            </w:r>
            <w:r w:rsidRPr="00D51A68">
              <w:rPr>
                <w:rStyle w:val="InstructionsTabelleberschrift"/>
                <w:rFonts w:ascii="Times New Roman" w:hAnsi="Times New Roman"/>
                <w:sz w:val="24"/>
              </w:rPr>
              <w:t>Strumenti di debito negoziati</w:t>
            </w:r>
          </w:p>
          <w:p w:rsidR="002648B0" w:rsidRPr="00D51A68" w:rsidRDefault="002648B0" w:rsidP="00FC1A76">
            <w:pPr>
              <w:pStyle w:val="InstructionsText"/>
              <w:rPr>
                <w:rStyle w:val="FormatvorlageInstructionsTabelleText"/>
                <w:rFonts w:ascii="Times New Roman" w:hAnsi="Times New Roman"/>
                <w:bCs w:val="0"/>
                <w:sz w:val="24"/>
              </w:rPr>
            </w:pPr>
            <w:r w:rsidRPr="00D51A68">
              <w:rPr>
                <w:rStyle w:val="InstructionsTabelleberschrift"/>
                <w:rFonts w:ascii="Times New Roman" w:hAnsi="Times New Roman"/>
                <w:b w:val="0"/>
                <w:sz w:val="24"/>
                <w:u w:val="none"/>
              </w:rPr>
              <w:t>Modello MKR SA TDI a livello di valute totali.</w:t>
            </w:r>
          </w:p>
        </w:tc>
      </w:tr>
      <w:tr w:rsidR="002648B0" w:rsidRPr="00D51A68" w:rsidTr="00672D2A">
        <w:tc>
          <w:tcPr>
            <w:tcW w:w="1591" w:type="dxa"/>
          </w:tcPr>
          <w:p w:rsidR="002648B0" w:rsidRPr="00D51A68" w:rsidRDefault="002648B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550</w:t>
            </w:r>
          </w:p>
        </w:tc>
        <w:tc>
          <w:tcPr>
            <w:tcW w:w="7274" w:type="dxa"/>
          </w:tcPr>
          <w:p w:rsidR="005643EA" w:rsidRPr="00D51A68" w:rsidRDefault="002648B0" w:rsidP="00FC1A76">
            <w:pPr>
              <w:pStyle w:val="InstructionsText"/>
              <w:rPr>
                <w:rStyle w:val="InstructionsTabelleberschrift"/>
                <w:rFonts w:ascii="Times New Roman" w:hAnsi="Times New Roman"/>
                <w:bCs w:val="0"/>
                <w:sz w:val="24"/>
              </w:rPr>
            </w:pPr>
            <w:r w:rsidRPr="00D51A68">
              <w:rPr>
                <w:rStyle w:val="InstructionsTabelleberschrift"/>
                <w:rFonts w:ascii="Times New Roman" w:hAnsi="Times New Roman"/>
                <w:sz w:val="24"/>
              </w:rPr>
              <w:t>1.3.1.2</w:t>
            </w:r>
            <w:r w:rsidR="00A0772B" w:rsidRPr="00D51A68">
              <w:rPr>
                <w:u w:val="single"/>
              </w:rPr>
              <w:tab/>
            </w:r>
            <w:r w:rsidRPr="00D51A68">
              <w:rPr>
                <w:rStyle w:val="InstructionsTabelleberschrift"/>
                <w:rFonts w:ascii="Times New Roman" w:hAnsi="Times New Roman"/>
                <w:sz w:val="24"/>
              </w:rPr>
              <w:t>Strumenti di capitale</w:t>
            </w:r>
          </w:p>
          <w:p w:rsidR="002648B0" w:rsidRPr="00D51A68" w:rsidRDefault="002648B0" w:rsidP="007106FB">
            <w:pPr>
              <w:rPr>
                <w:rStyle w:val="FormatvorlageInstructionsTabelleText"/>
                <w:rFonts w:ascii="Times New Roman" w:hAnsi="Times New Roman"/>
                <w:sz w:val="24"/>
              </w:rPr>
            </w:pPr>
            <w:r w:rsidRPr="00D51A68">
              <w:rPr>
                <w:rStyle w:val="FormatvorlageInstructionsTabelleText"/>
                <w:rFonts w:ascii="Times New Roman" w:hAnsi="Times New Roman"/>
                <w:sz w:val="24"/>
              </w:rPr>
              <w:t xml:space="preserve">Modello MKR SA EQU a livello di mercati nazionali totali. </w:t>
            </w:r>
          </w:p>
        </w:tc>
      </w:tr>
      <w:tr w:rsidR="00A76381" w:rsidRPr="00D51A68" w:rsidTr="00672D2A">
        <w:tc>
          <w:tcPr>
            <w:tcW w:w="1591" w:type="dxa"/>
          </w:tcPr>
          <w:p w:rsidR="00A76381" w:rsidRPr="00D51A68" w:rsidRDefault="00B97F1B"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555</w:t>
            </w:r>
          </w:p>
        </w:tc>
        <w:tc>
          <w:tcPr>
            <w:tcW w:w="7274" w:type="dxa"/>
          </w:tcPr>
          <w:p w:rsidR="00B97F1B" w:rsidRPr="00D51A68" w:rsidRDefault="00B97F1B"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1.3.1.3</w:t>
            </w:r>
            <w:r w:rsidR="00A0772B" w:rsidRPr="00D51A68">
              <w:rPr>
                <w:u w:val="single"/>
              </w:rPr>
              <w:tab/>
            </w:r>
            <w:r w:rsidRPr="00D51A68">
              <w:rPr>
                <w:rStyle w:val="InstructionsTabelleberschrift"/>
                <w:rFonts w:ascii="Times New Roman" w:hAnsi="Times New Roman"/>
                <w:sz w:val="24"/>
              </w:rPr>
              <w:t>Metodo particolare per il rischio di posizione in OIC</w:t>
            </w:r>
          </w:p>
          <w:p w:rsidR="00B97F1B" w:rsidRPr="00D51A68" w:rsidRDefault="00B97F1B" w:rsidP="007106FB">
            <w:pPr>
              <w:rPr>
                <w:rStyle w:val="FormatvorlageInstructionsTabelleText"/>
                <w:rFonts w:ascii="Times New Roman" w:hAnsi="Times New Roman"/>
                <w:sz w:val="24"/>
              </w:rPr>
            </w:pPr>
            <w:r w:rsidRPr="00D51A68">
              <w:rPr>
                <w:rStyle w:val="FormatvorlageInstructionsTabelleText"/>
                <w:rFonts w:ascii="Times New Roman" w:hAnsi="Times New Roman"/>
                <w:sz w:val="24"/>
              </w:rPr>
              <w:t>Articolo</w:t>
            </w:r>
            <w:r w:rsidR="0076470E" w:rsidRPr="00D51A68">
              <w:rPr>
                <w:rStyle w:val="FormatvorlageInstructionsTabelleText"/>
                <w:rFonts w:ascii="Times New Roman" w:hAnsi="Times New Roman"/>
                <w:sz w:val="24"/>
              </w:rPr>
              <w:t> </w:t>
            </w:r>
            <w:r w:rsidRPr="00D51A68">
              <w:rPr>
                <w:rStyle w:val="FormatvorlageInstructionsTabelleText"/>
                <w:rFonts w:ascii="Times New Roman" w:hAnsi="Times New Roman"/>
                <w:sz w:val="24"/>
              </w:rPr>
              <w:t>348, paragrafo 1, articolo 350, paragrafo 3</w:t>
            </w:r>
            <w:r w:rsidR="0076470E" w:rsidRPr="00D51A68">
              <w:rPr>
                <w:rStyle w:val="FormatvorlageInstructionsTabelleText"/>
                <w:rFonts w:ascii="Times New Roman" w:hAnsi="Times New Roman"/>
                <w:sz w:val="24"/>
              </w:rPr>
              <w:t>, lettera c), e articolo </w:t>
            </w:r>
            <w:r w:rsidRPr="00D51A68">
              <w:rPr>
                <w:rStyle w:val="FormatvorlageInstructionsTabelleText"/>
                <w:rFonts w:ascii="Times New Roman" w:hAnsi="Times New Roman"/>
                <w:sz w:val="24"/>
              </w:rPr>
              <w:t>364, paragrafo 2, lettera a), del CRR.</w:t>
            </w:r>
          </w:p>
          <w:p w:rsidR="00A76381" w:rsidRPr="00D51A68" w:rsidRDefault="00B97F1B" w:rsidP="007106FB">
            <w:pPr>
              <w:rPr>
                <w:rStyle w:val="FormatvorlageInstructionsTabelleText"/>
                <w:rFonts w:ascii="Times New Roman" w:hAnsi="Times New Roman"/>
                <w:sz w:val="24"/>
              </w:rPr>
            </w:pPr>
            <w:r w:rsidRPr="00D51A68">
              <w:rPr>
                <w:rStyle w:val="FormatvorlageInstructionsTabelleText"/>
                <w:rFonts w:ascii="Times New Roman" w:hAnsi="Times New Roman"/>
                <w:sz w:val="24"/>
              </w:rPr>
              <w:t>Importo complessivo dell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esposizione al rischio per posizioni in OIC se i requisiti patrimoniali sono calcolati conformemente all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articolo 348, paragrafo 1, del CRR o immediatamente o per effetto del massimale definito all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articolo 350, paragrafo 3, lettera c), del CRR. Il CRR non classifica queste posizioni esplicitamente né nel rischio di tasso di interesse né nel rischio di strumenti di capitale.</w:t>
            </w:r>
          </w:p>
          <w:p w:rsidR="00B97F1B" w:rsidRPr="00D51A68" w:rsidRDefault="00B97F1B" w:rsidP="007106FB">
            <w:pPr>
              <w:rPr>
                <w:rStyle w:val="FormatvorlageInstructionsTabelleText"/>
                <w:rFonts w:ascii="Times New Roman" w:hAnsi="Times New Roman"/>
                <w:sz w:val="24"/>
              </w:rPr>
            </w:pPr>
            <w:r w:rsidRPr="00D51A68">
              <w:rPr>
                <w:rStyle w:val="FormatvorlageInstructionsTabelleText"/>
                <w:rFonts w:ascii="Times New Roman" w:hAnsi="Times New Roman"/>
                <w:sz w:val="24"/>
              </w:rPr>
              <w:t>In caso di applicazione del metodo particolare previsto dall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articolo 348, paragrafo 1, prima frase, del CRR, 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importo da segnalare è il 32% della posizione netta dell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esposizione verso OI</w:t>
            </w:r>
            <w:r w:rsidR="0076470E" w:rsidRPr="00D51A68">
              <w:rPr>
                <w:rStyle w:val="FormatvorlageInstructionsTabelleText"/>
                <w:rFonts w:ascii="Times New Roman" w:hAnsi="Times New Roman"/>
                <w:sz w:val="24"/>
              </w:rPr>
              <w:t>C in questione moltiplicato per </w:t>
            </w:r>
            <w:r w:rsidRPr="00D51A68">
              <w:rPr>
                <w:rStyle w:val="FormatvorlageInstructionsTabelleText"/>
                <w:rFonts w:ascii="Times New Roman" w:hAnsi="Times New Roman"/>
                <w:sz w:val="24"/>
              </w:rPr>
              <w:t xml:space="preserve">12,5. </w:t>
            </w:r>
          </w:p>
          <w:p w:rsidR="00B97F1B" w:rsidRPr="00D51A68" w:rsidRDefault="00B97F1B" w:rsidP="007106FB">
            <w:pPr>
              <w:rPr>
                <w:rStyle w:val="InstructionsTabelleberschrift"/>
                <w:rFonts w:ascii="Times New Roman" w:hAnsi="Times New Roman"/>
                <w:sz w:val="24"/>
              </w:rPr>
            </w:pPr>
            <w:r w:rsidRPr="00D51A68">
              <w:rPr>
                <w:rStyle w:val="FormatvorlageInstructionsTabelleText"/>
                <w:rFonts w:ascii="Times New Roman" w:hAnsi="Times New Roman"/>
                <w:sz w:val="24"/>
              </w:rPr>
              <w:t>In caso di applicazione del metodo particolare di cui all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articolo 348, paragrafo 1, seconda frase, del CRR, 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importo da segnalare è il valore più basso tra il 32% della posizione netta della pertinente esposizione verso OIC e la differenza tra il 40% di questa posizione netta e i requisiti di fondi propri che derivano dal rischio di cambio associato a questa esposizione verso OIC, moltiplicato per 12,5.</w:t>
            </w:r>
          </w:p>
        </w:tc>
      </w:tr>
      <w:tr w:rsidR="00A76381" w:rsidRPr="00D51A68" w:rsidTr="00672D2A">
        <w:tc>
          <w:tcPr>
            <w:tcW w:w="1591" w:type="dxa"/>
          </w:tcPr>
          <w:p w:rsidR="00A76381" w:rsidRPr="00D51A68" w:rsidRDefault="00B97F1B"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556</w:t>
            </w:r>
          </w:p>
        </w:tc>
        <w:tc>
          <w:tcPr>
            <w:tcW w:w="7274" w:type="dxa"/>
          </w:tcPr>
          <w:p w:rsidR="00B97F1B" w:rsidRPr="00D51A68" w:rsidRDefault="00B97F1B"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1.3.1.3.*</w:t>
            </w:r>
            <w:r w:rsidR="00A0772B" w:rsidRPr="00D51A68">
              <w:rPr>
                <w:u w:val="single"/>
              </w:rPr>
              <w:tab/>
            </w:r>
            <w:r w:rsidRPr="00D51A68">
              <w:rPr>
                <w:rStyle w:val="InstructionsTabelleberschrift"/>
                <w:rFonts w:ascii="Times New Roman" w:hAnsi="Times New Roman"/>
                <w:sz w:val="24"/>
              </w:rPr>
              <w:t>Voce per memoria: OIC investiti esclusivamente in strumenti di debito negoziati</w:t>
            </w:r>
          </w:p>
          <w:p w:rsidR="00A76381" w:rsidRPr="00D51A68" w:rsidRDefault="00B97F1B" w:rsidP="007106FB">
            <w:pPr>
              <w:rPr>
                <w:rStyle w:val="InstructionsTabelleberschrift"/>
                <w:rFonts w:ascii="Times New Roman" w:hAnsi="Times New Roman"/>
                <w:sz w:val="24"/>
              </w:rPr>
            </w:pPr>
            <w:r w:rsidRPr="00D51A68">
              <w:rPr>
                <w:rStyle w:val="FormatvorlageInstructionsTabelleText"/>
                <w:rFonts w:ascii="Times New Roman" w:hAnsi="Times New Roman"/>
                <w:sz w:val="24"/>
              </w:rPr>
              <w:t>Importo complessivo dell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esposizione al rischio per posizioni in OIC se 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 xml:space="preserve">OIC è investito esclusivamente in strumenti soggetti al rischio di tasso </w:t>
            </w:r>
            <w:r w:rsidRPr="00D51A68">
              <w:rPr>
                <w:rStyle w:val="FormatvorlageInstructionsTabelleText"/>
                <w:rFonts w:ascii="Times New Roman" w:hAnsi="Times New Roman"/>
                <w:sz w:val="24"/>
              </w:rPr>
              <w:lastRenderedPageBreak/>
              <w:t>di interesse.</w:t>
            </w:r>
          </w:p>
        </w:tc>
      </w:tr>
      <w:tr w:rsidR="00A76381" w:rsidRPr="00D51A68" w:rsidTr="00672D2A">
        <w:tc>
          <w:tcPr>
            <w:tcW w:w="1591" w:type="dxa"/>
          </w:tcPr>
          <w:p w:rsidR="00A76381" w:rsidRPr="00D51A68" w:rsidRDefault="00B97F1B"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lastRenderedPageBreak/>
              <w:t>557</w:t>
            </w:r>
          </w:p>
        </w:tc>
        <w:tc>
          <w:tcPr>
            <w:tcW w:w="7274" w:type="dxa"/>
          </w:tcPr>
          <w:p w:rsidR="00B97F1B" w:rsidRPr="00D51A68" w:rsidRDefault="00B97F1B"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1.3.1.3.**</w:t>
            </w:r>
            <w:r w:rsidR="00A0772B" w:rsidRPr="00D51A68">
              <w:rPr>
                <w:u w:val="single"/>
              </w:rPr>
              <w:tab/>
            </w:r>
            <w:r w:rsidRPr="00D51A68">
              <w:rPr>
                <w:rStyle w:val="InstructionsTabelleberschrift"/>
                <w:rFonts w:ascii="Times New Roman" w:hAnsi="Times New Roman"/>
                <w:sz w:val="24"/>
              </w:rPr>
              <w:t>OIC investiti esclusivamente in strumenti di capitale o in strumenti misti</w:t>
            </w:r>
          </w:p>
          <w:p w:rsidR="00A76381" w:rsidRPr="00D51A68" w:rsidRDefault="00B97F1B" w:rsidP="007106FB">
            <w:pPr>
              <w:rPr>
                <w:rStyle w:val="InstructionsTabelleberschrift"/>
                <w:rFonts w:ascii="Times New Roman" w:hAnsi="Times New Roman"/>
                <w:sz w:val="24"/>
              </w:rPr>
            </w:pPr>
            <w:r w:rsidRPr="00D51A68">
              <w:rPr>
                <w:rStyle w:val="FormatvorlageInstructionsTabelleText"/>
                <w:rFonts w:ascii="Times New Roman" w:hAnsi="Times New Roman"/>
                <w:sz w:val="24"/>
              </w:rPr>
              <w:t>Importo complessivo dell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esposizione al rischio per le posizioni in OIC se 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OIC è investito esclusivamente in strumenti soggetti al rischio di strumenti di capitale o in strumenti misti o se le componenti dell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OIC non sono note.</w:t>
            </w:r>
          </w:p>
        </w:tc>
      </w:tr>
      <w:tr w:rsidR="002648B0" w:rsidRPr="00D51A68" w:rsidTr="00672D2A">
        <w:tc>
          <w:tcPr>
            <w:tcW w:w="1591" w:type="dxa"/>
          </w:tcPr>
          <w:p w:rsidR="002648B0" w:rsidRPr="00D51A68" w:rsidRDefault="00836845"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560</w:t>
            </w:r>
          </w:p>
        </w:tc>
        <w:tc>
          <w:tcPr>
            <w:tcW w:w="7274" w:type="dxa"/>
          </w:tcPr>
          <w:p w:rsidR="005643EA" w:rsidRPr="00D51A68" w:rsidRDefault="002648B0" w:rsidP="00FC1A76">
            <w:pPr>
              <w:pStyle w:val="InstructionsText"/>
              <w:rPr>
                <w:rStyle w:val="InstructionsTabelleberschrift"/>
                <w:rFonts w:ascii="Times New Roman" w:hAnsi="Times New Roman"/>
                <w:bCs w:val="0"/>
                <w:sz w:val="24"/>
              </w:rPr>
            </w:pPr>
            <w:r w:rsidRPr="00D51A68">
              <w:rPr>
                <w:rStyle w:val="InstructionsTabelleberschrift"/>
                <w:rFonts w:ascii="Times New Roman" w:hAnsi="Times New Roman"/>
                <w:sz w:val="24"/>
              </w:rPr>
              <w:t>1.3.1.4</w:t>
            </w:r>
            <w:r w:rsidR="00A0772B" w:rsidRPr="00D51A68">
              <w:rPr>
                <w:u w:val="single"/>
              </w:rPr>
              <w:tab/>
            </w:r>
            <w:r w:rsidRPr="00D51A68">
              <w:rPr>
                <w:rStyle w:val="InstructionsTabelleberschrift"/>
                <w:rFonts w:ascii="Times New Roman" w:hAnsi="Times New Roman"/>
                <w:sz w:val="24"/>
              </w:rPr>
              <w:t>Cambio</w:t>
            </w:r>
          </w:p>
          <w:p w:rsidR="002648B0" w:rsidRPr="00D51A68" w:rsidRDefault="00D212FE" w:rsidP="007106FB">
            <w:pPr>
              <w:rPr>
                <w:rStyle w:val="FormatvorlageInstructionsTabelleText"/>
                <w:rFonts w:ascii="Times New Roman" w:hAnsi="Times New Roman"/>
                <w:sz w:val="24"/>
              </w:rPr>
            </w:pPr>
            <w:r w:rsidRPr="00D51A68">
              <w:rPr>
                <w:rStyle w:val="FormatvorlageInstructionsTabelleText"/>
                <w:rFonts w:ascii="Times New Roman" w:hAnsi="Times New Roman"/>
                <w:sz w:val="24"/>
              </w:rPr>
              <w:t>Cfr. il modello MKR SA FX.</w:t>
            </w:r>
          </w:p>
        </w:tc>
      </w:tr>
      <w:tr w:rsidR="002648B0" w:rsidRPr="00D51A68" w:rsidTr="00672D2A">
        <w:tc>
          <w:tcPr>
            <w:tcW w:w="1591" w:type="dxa"/>
          </w:tcPr>
          <w:p w:rsidR="002648B0" w:rsidRPr="00D51A68" w:rsidRDefault="00836845"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570</w:t>
            </w:r>
          </w:p>
        </w:tc>
        <w:tc>
          <w:tcPr>
            <w:tcW w:w="7274" w:type="dxa"/>
          </w:tcPr>
          <w:p w:rsidR="005643EA" w:rsidRPr="00D51A68" w:rsidRDefault="002648B0" w:rsidP="00FC1A76">
            <w:pPr>
              <w:pStyle w:val="InstructionsText"/>
              <w:rPr>
                <w:rStyle w:val="InstructionsTabelleberschrift"/>
                <w:rFonts w:ascii="Times New Roman" w:hAnsi="Times New Roman"/>
                <w:bCs w:val="0"/>
                <w:sz w:val="24"/>
              </w:rPr>
            </w:pPr>
            <w:r w:rsidRPr="00D51A68">
              <w:rPr>
                <w:rStyle w:val="InstructionsTabelleberschrift"/>
                <w:rFonts w:ascii="Times New Roman" w:hAnsi="Times New Roman"/>
                <w:sz w:val="24"/>
              </w:rPr>
              <w:t>1.3.1.5</w:t>
            </w:r>
            <w:r w:rsidR="00A0772B" w:rsidRPr="00D51A68">
              <w:rPr>
                <w:u w:val="single"/>
              </w:rPr>
              <w:tab/>
            </w:r>
            <w:r w:rsidRPr="00D51A68">
              <w:rPr>
                <w:rStyle w:val="InstructionsTabelleberschrift"/>
                <w:rFonts w:ascii="Times New Roman" w:hAnsi="Times New Roman"/>
                <w:sz w:val="24"/>
              </w:rPr>
              <w:t>Merci</w:t>
            </w:r>
          </w:p>
          <w:p w:rsidR="002648B0" w:rsidRPr="00D51A68" w:rsidRDefault="00D212FE" w:rsidP="007106FB">
            <w:pPr>
              <w:rPr>
                <w:rStyle w:val="FormatvorlageInstructionsTabelleText"/>
                <w:rFonts w:ascii="Times New Roman" w:hAnsi="Times New Roman"/>
                <w:sz w:val="24"/>
              </w:rPr>
            </w:pPr>
            <w:r w:rsidRPr="00D51A68">
              <w:rPr>
                <w:rStyle w:val="FormatvorlageInstructionsTabelleText"/>
                <w:rFonts w:ascii="Times New Roman" w:hAnsi="Times New Roman"/>
                <w:sz w:val="24"/>
              </w:rPr>
              <w:t>Cfr. il modello MKR SA COM.</w:t>
            </w:r>
          </w:p>
        </w:tc>
      </w:tr>
      <w:tr w:rsidR="002648B0" w:rsidRPr="00D51A68" w:rsidTr="00672D2A">
        <w:tc>
          <w:tcPr>
            <w:tcW w:w="1591" w:type="dxa"/>
          </w:tcPr>
          <w:p w:rsidR="005643EA" w:rsidRPr="00D51A68" w:rsidRDefault="00836845" w:rsidP="00FC1A76">
            <w:pPr>
              <w:pStyle w:val="InstructionsText"/>
              <w:rPr>
                <w:rStyle w:val="FormatvorlageInstructionsTabelleText"/>
                <w:rFonts w:ascii="Times New Roman" w:hAnsi="Times New Roman"/>
                <w:bCs w:val="0"/>
                <w:sz w:val="24"/>
              </w:rPr>
            </w:pPr>
            <w:r w:rsidRPr="00D51A68">
              <w:rPr>
                <w:rStyle w:val="FormatvorlageInstructionsTabelleText"/>
                <w:rFonts w:ascii="Times New Roman" w:hAnsi="Times New Roman"/>
                <w:sz w:val="24"/>
              </w:rPr>
              <w:t>580</w:t>
            </w:r>
          </w:p>
        </w:tc>
        <w:tc>
          <w:tcPr>
            <w:tcW w:w="7274" w:type="dxa"/>
          </w:tcPr>
          <w:p w:rsidR="005643EA" w:rsidRPr="00D51A68" w:rsidRDefault="002648B0" w:rsidP="00FC1A76">
            <w:pPr>
              <w:pStyle w:val="InstructionsText"/>
              <w:rPr>
                <w:rStyle w:val="InstructionsTabelleberschrift"/>
                <w:rFonts w:ascii="Times New Roman" w:hAnsi="Times New Roman"/>
                <w:bCs w:val="0"/>
                <w:sz w:val="24"/>
              </w:rPr>
            </w:pPr>
            <w:r w:rsidRPr="00D51A68">
              <w:rPr>
                <w:rStyle w:val="InstructionsTabelleberschrift"/>
                <w:rFonts w:ascii="Times New Roman" w:hAnsi="Times New Roman"/>
                <w:sz w:val="24"/>
              </w:rPr>
              <w:t>1.3.2</w:t>
            </w:r>
            <w:r w:rsidR="00A0772B" w:rsidRPr="00D51A68">
              <w:rPr>
                <w:u w:val="single"/>
              </w:rPr>
              <w:tab/>
            </w:r>
            <w:r w:rsidRPr="00D51A68">
              <w:rPr>
                <w:rStyle w:val="InstructionsTabelleberschrift"/>
                <w:rFonts w:ascii="Times New Roman" w:hAnsi="Times New Roman"/>
                <w:sz w:val="24"/>
              </w:rPr>
              <w:t>Importo dell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esposizione ai rischi di posizione, di cambio e di posizione in merci in base a modelli interni (IM)</w:t>
            </w:r>
          </w:p>
          <w:p w:rsidR="002648B0" w:rsidRPr="00D51A68" w:rsidRDefault="00D212FE" w:rsidP="007106FB">
            <w:pPr>
              <w:rPr>
                <w:rStyle w:val="FormatvorlageInstructionsTabelleText"/>
                <w:rFonts w:ascii="Times New Roman" w:hAnsi="Times New Roman"/>
                <w:sz w:val="24"/>
              </w:rPr>
            </w:pPr>
            <w:r w:rsidRPr="00D51A68">
              <w:rPr>
                <w:rStyle w:val="FormatvorlageInstructionsTabelleText"/>
                <w:rFonts w:ascii="Times New Roman" w:hAnsi="Times New Roman"/>
                <w:sz w:val="24"/>
              </w:rPr>
              <w:t>Cfr. il modello MKR IM.</w:t>
            </w:r>
          </w:p>
        </w:tc>
      </w:tr>
      <w:tr w:rsidR="002648B0" w:rsidRPr="00D51A68" w:rsidTr="00672D2A">
        <w:tc>
          <w:tcPr>
            <w:tcW w:w="1591" w:type="dxa"/>
          </w:tcPr>
          <w:p w:rsidR="002648B0" w:rsidRPr="00D51A68" w:rsidRDefault="00836845"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590</w:t>
            </w:r>
          </w:p>
        </w:tc>
        <w:tc>
          <w:tcPr>
            <w:tcW w:w="7274" w:type="dxa"/>
          </w:tcPr>
          <w:p w:rsidR="005643EA" w:rsidRPr="00D51A68" w:rsidRDefault="002648B0" w:rsidP="00FC1A76">
            <w:pPr>
              <w:pStyle w:val="InstructionsText"/>
              <w:rPr>
                <w:rStyle w:val="InstructionsTabelleberschrift"/>
                <w:rFonts w:ascii="Times New Roman" w:hAnsi="Times New Roman"/>
                <w:bCs w:val="0"/>
                <w:sz w:val="24"/>
              </w:rPr>
            </w:pPr>
            <w:r w:rsidRPr="00D51A68">
              <w:rPr>
                <w:rStyle w:val="InstructionsTabelleberschrift"/>
                <w:rFonts w:ascii="Times New Roman" w:hAnsi="Times New Roman"/>
                <w:sz w:val="24"/>
              </w:rPr>
              <w:t>1.4</w:t>
            </w:r>
            <w:r w:rsidR="00A0772B" w:rsidRPr="00D51A68">
              <w:rPr>
                <w:u w:val="single"/>
              </w:rPr>
              <w:tab/>
            </w:r>
            <w:r w:rsidRPr="00D51A68">
              <w:rPr>
                <w:rStyle w:val="InstructionsTabelleberschrift"/>
                <w:rFonts w:ascii="Times New Roman" w:hAnsi="Times New Roman"/>
                <w:sz w:val="24"/>
              </w:rPr>
              <w:t>IMPORTO COMPLESSIVO DELL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ESPOSIZIONE AL RISCHIO OPERATIVO (OpR)</w:t>
            </w:r>
          </w:p>
          <w:p w:rsidR="005643EA" w:rsidRPr="00D51A68" w:rsidRDefault="002648B0" w:rsidP="00FC1A76">
            <w:pPr>
              <w:pStyle w:val="InstructionsText"/>
              <w:rPr>
                <w:rStyle w:val="FormatvorlageInstructionsTabelleText"/>
                <w:rFonts w:ascii="Times New Roman" w:hAnsi="Times New Roman"/>
                <w:bCs w:val="0"/>
                <w:sz w:val="24"/>
              </w:rPr>
            </w:pPr>
            <w:r w:rsidRPr="00D51A68">
              <w:rPr>
                <w:rStyle w:val="FormatvorlageInstructionsTabelleText"/>
                <w:rFonts w:ascii="Times New Roman" w:hAnsi="Times New Roman"/>
                <w:sz w:val="24"/>
              </w:rPr>
              <w:t>Articolo 92, paragrafo 3, lettera e), e articolo 92, paragrafo 4, lettera b), del CRR.</w:t>
            </w:r>
          </w:p>
          <w:p w:rsidR="002648B0" w:rsidRPr="00D51A68" w:rsidRDefault="002648B0" w:rsidP="007106FB">
            <w:pPr>
              <w:rPr>
                <w:rStyle w:val="FormatvorlageInstructionsTabelleText"/>
                <w:rFonts w:ascii="Times New Roman" w:hAnsi="Times New Roman"/>
                <w:sz w:val="24"/>
              </w:rPr>
            </w:pPr>
            <w:r w:rsidRPr="00D51A68">
              <w:rPr>
                <w:rStyle w:val="FormatvorlageInstructionsTabelleText"/>
                <w:rFonts w:ascii="Times New Roman" w:hAnsi="Times New Roman"/>
                <w:sz w:val="24"/>
              </w:rPr>
              <w:t>Per le imprese di investimento di cui all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articolo 95, paragrafo 2, all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articolo 96, paragrafo 2, e all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articolo 98 del CRR, questo elemento è pari a zero.</w:t>
            </w:r>
          </w:p>
        </w:tc>
      </w:tr>
      <w:tr w:rsidR="002648B0" w:rsidRPr="00D51A68" w:rsidTr="00672D2A">
        <w:tc>
          <w:tcPr>
            <w:tcW w:w="1591" w:type="dxa"/>
          </w:tcPr>
          <w:p w:rsidR="005643EA" w:rsidRPr="00D51A68" w:rsidRDefault="00836845" w:rsidP="00FC1A76">
            <w:pPr>
              <w:pStyle w:val="InstructionsText"/>
              <w:rPr>
                <w:rStyle w:val="FormatvorlageInstructionsTabelleText"/>
                <w:rFonts w:ascii="Times New Roman" w:hAnsi="Times New Roman"/>
                <w:bCs w:val="0"/>
                <w:sz w:val="24"/>
              </w:rPr>
            </w:pPr>
            <w:r w:rsidRPr="00D51A68">
              <w:rPr>
                <w:rStyle w:val="FormatvorlageInstructionsTabelleText"/>
                <w:rFonts w:ascii="Times New Roman" w:hAnsi="Times New Roman"/>
                <w:sz w:val="24"/>
              </w:rPr>
              <w:t>600</w:t>
            </w:r>
          </w:p>
        </w:tc>
        <w:tc>
          <w:tcPr>
            <w:tcW w:w="7274" w:type="dxa"/>
          </w:tcPr>
          <w:p w:rsidR="005643EA" w:rsidRPr="00D51A68" w:rsidRDefault="002648B0" w:rsidP="00FC1A76">
            <w:pPr>
              <w:pStyle w:val="InstructionsText"/>
              <w:rPr>
                <w:rStyle w:val="FormatvorlageInstructionsTabelleText"/>
                <w:rFonts w:ascii="Times New Roman" w:hAnsi="Times New Roman"/>
                <w:bCs w:val="0"/>
                <w:sz w:val="24"/>
              </w:rPr>
            </w:pPr>
            <w:r w:rsidRPr="00D51A68">
              <w:rPr>
                <w:rStyle w:val="InstructionsTabelleberschrift"/>
                <w:rFonts w:ascii="Times New Roman" w:hAnsi="Times New Roman"/>
                <w:sz w:val="24"/>
              </w:rPr>
              <w:t>1.4.1</w:t>
            </w:r>
            <w:r w:rsidR="00A0772B" w:rsidRPr="00D51A68">
              <w:rPr>
                <w:u w:val="single"/>
              </w:rPr>
              <w:tab/>
            </w:r>
            <w:r w:rsidRPr="00D51A68">
              <w:rPr>
                <w:rStyle w:val="InstructionsTabelleberschrift"/>
                <w:rFonts w:ascii="Times New Roman" w:hAnsi="Times New Roman"/>
                <w:sz w:val="24"/>
              </w:rPr>
              <w:t>Metodo base per il rischio operativo (BIA)</w:t>
            </w:r>
          </w:p>
          <w:p w:rsidR="002648B0" w:rsidRPr="00D51A68" w:rsidRDefault="00D212FE" w:rsidP="007106FB">
            <w:pPr>
              <w:rPr>
                <w:rStyle w:val="FormatvorlageInstructionsTabelleText"/>
                <w:rFonts w:ascii="Times New Roman" w:hAnsi="Times New Roman"/>
                <w:sz w:val="24"/>
              </w:rPr>
            </w:pPr>
            <w:r w:rsidRPr="00D51A68">
              <w:rPr>
                <w:rStyle w:val="FormatvorlageInstructionsTabelleText"/>
                <w:rFonts w:ascii="Times New Roman" w:hAnsi="Times New Roman"/>
                <w:sz w:val="24"/>
              </w:rPr>
              <w:t>Cfr. il modello OPR.</w:t>
            </w:r>
          </w:p>
        </w:tc>
      </w:tr>
      <w:tr w:rsidR="002648B0" w:rsidRPr="00D51A68" w:rsidTr="00672D2A">
        <w:tc>
          <w:tcPr>
            <w:tcW w:w="1591" w:type="dxa"/>
          </w:tcPr>
          <w:p w:rsidR="002648B0" w:rsidRPr="00D51A68" w:rsidRDefault="002648B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610</w:t>
            </w:r>
          </w:p>
        </w:tc>
        <w:tc>
          <w:tcPr>
            <w:tcW w:w="7274" w:type="dxa"/>
          </w:tcPr>
          <w:p w:rsidR="005643EA" w:rsidRPr="00D51A68" w:rsidRDefault="002648B0" w:rsidP="00FC1A76">
            <w:pPr>
              <w:pStyle w:val="InstructionsText"/>
              <w:rPr>
                <w:rStyle w:val="InstructionsTabelleberschrift"/>
                <w:rFonts w:ascii="Times New Roman" w:hAnsi="Times New Roman"/>
                <w:bCs w:val="0"/>
                <w:sz w:val="24"/>
              </w:rPr>
            </w:pPr>
            <w:r w:rsidRPr="00D51A68">
              <w:rPr>
                <w:rStyle w:val="InstructionsTabelleberschrift"/>
                <w:rFonts w:ascii="Times New Roman" w:hAnsi="Times New Roman"/>
                <w:sz w:val="24"/>
              </w:rPr>
              <w:t>1.4.2</w:t>
            </w:r>
            <w:r w:rsidR="00A0772B" w:rsidRPr="00D51A68">
              <w:rPr>
                <w:u w:val="single"/>
              </w:rPr>
              <w:tab/>
            </w:r>
            <w:r w:rsidRPr="00D51A68">
              <w:rPr>
                <w:rStyle w:val="InstructionsTabelleberschrift"/>
                <w:rFonts w:ascii="Times New Roman" w:hAnsi="Times New Roman"/>
                <w:sz w:val="24"/>
              </w:rPr>
              <w:t>Metodi standardizzati (TSA) / metodi standardizzati alternativi (ASA) per il rischio operativo</w:t>
            </w:r>
          </w:p>
          <w:p w:rsidR="002648B0" w:rsidRPr="00D51A68" w:rsidRDefault="00D212FE" w:rsidP="007106FB">
            <w:pPr>
              <w:rPr>
                <w:rStyle w:val="FormatvorlageInstructionsTabelleText"/>
                <w:rFonts w:ascii="Times New Roman" w:hAnsi="Times New Roman"/>
                <w:sz w:val="24"/>
              </w:rPr>
            </w:pPr>
            <w:r w:rsidRPr="00D51A68">
              <w:rPr>
                <w:rStyle w:val="FormatvorlageInstructionsTabelleText"/>
                <w:rFonts w:ascii="Times New Roman" w:hAnsi="Times New Roman"/>
                <w:sz w:val="24"/>
              </w:rPr>
              <w:t>Cfr. il modello OPR.</w:t>
            </w:r>
          </w:p>
        </w:tc>
      </w:tr>
      <w:tr w:rsidR="002648B0" w:rsidRPr="00D51A68" w:rsidTr="00672D2A">
        <w:tc>
          <w:tcPr>
            <w:tcW w:w="1591" w:type="dxa"/>
          </w:tcPr>
          <w:p w:rsidR="002648B0" w:rsidRPr="00D51A68" w:rsidRDefault="002648B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620</w:t>
            </w:r>
          </w:p>
        </w:tc>
        <w:tc>
          <w:tcPr>
            <w:tcW w:w="7274" w:type="dxa"/>
          </w:tcPr>
          <w:p w:rsidR="005643EA" w:rsidRPr="00D51A68" w:rsidRDefault="002648B0" w:rsidP="00FC1A76">
            <w:pPr>
              <w:pStyle w:val="InstructionsText"/>
              <w:rPr>
                <w:rStyle w:val="InstructionsTabelleberschrift"/>
                <w:rFonts w:ascii="Times New Roman" w:hAnsi="Times New Roman"/>
                <w:bCs w:val="0"/>
                <w:sz w:val="24"/>
              </w:rPr>
            </w:pPr>
            <w:r w:rsidRPr="00D51A68">
              <w:rPr>
                <w:rStyle w:val="InstructionsTabelleberschrift"/>
                <w:rFonts w:ascii="Times New Roman" w:hAnsi="Times New Roman"/>
                <w:sz w:val="24"/>
              </w:rPr>
              <w:t>1.4.3</w:t>
            </w:r>
            <w:r w:rsidR="00A0772B" w:rsidRPr="00D51A68">
              <w:rPr>
                <w:u w:val="single"/>
              </w:rPr>
              <w:tab/>
            </w:r>
            <w:r w:rsidRPr="00D51A68">
              <w:rPr>
                <w:rStyle w:val="InstructionsTabelleberschrift"/>
                <w:rFonts w:ascii="Times New Roman" w:hAnsi="Times New Roman"/>
                <w:sz w:val="24"/>
              </w:rPr>
              <w:t>Metodi avanzati di misurazione (AMA) per il rischio operativo</w:t>
            </w:r>
          </w:p>
          <w:p w:rsidR="002648B0" w:rsidRPr="00D51A68" w:rsidRDefault="00D212FE" w:rsidP="007106FB">
            <w:pPr>
              <w:rPr>
                <w:rStyle w:val="FormatvorlageInstructionsTabelleText"/>
                <w:rFonts w:ascii="Times New Roman" w:hAnsi="Times New Roman"/>
                <w:sz w:val="24"/>
              </w:rPr>
            </w:pPr>
            <w:r w:rsidRPr="00D51A68">
              <w:rPr>
                <w:rStyle w:val="FormatvorlageInstructionsTabelleText"/>
                <w:rFonts w:ascii="Times New Roman" w:hAnsi="Times New Roman"/>
                <w:sz w:val="24"/>
              </w:rPr>
              <w:t>Cfr. il modello OPR.</w:t>
            </w:r>
          </w:p>
        </w:tc>
      </w:tr>
      <w:tr w:rsidR="002648B0" w:rsidRPr="00D51A68" w:rsidTr="00672D2A">
        <w:tc>
          <w:tcPr>
            <w:tcW w:w="1591" w:type="dxa"/>
          </w:tcPr>
          <w:p w:rsidR="002648B0" w:rsidRPr="00D51A68" w:rsidRDefault="002648B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630</w:t>
            </w:r>
          </w:p>
        </w:tc>
        <w:tc>
          <w:tcPr>
            <w:tcW w:w="7274" w:type="dxa"/>
          </w:tcPr>
          <w:p w:rsidR="005643EA" w:rsidRPr="00D51A68" w:rsidRDefault="002648B0" w:rsidP="00FC1A76">
            <w:pPr>
              <w:pStyle w:val="InstructionsText"/>
              <w:rPr>
                <w:rStyle w:val="InstructionsTabelleberschrift"/>
                <w:rFonts w:ascii="Times New Roman" w:hAnsi="Times New Roman"/>
                <w:bCs w:val="0"/>
                <w:sz w:val="24"/>
              </w:rPr>
            </w:pPr>
            <w:r w:rsidRPr="00D51A68">
              <w:rPr>
                <w:rStyle w:val="InstructionsTabelleberschrift"/>
                <w:rFonts w:ascii="Times New Roman" w:hAnsi="Times New Roman"/>
                <w:sz w:val="24"/>
              </w:rPr>
              <w:t>1.5</w:t>
            </w:r>
            <w:r w:rsidR="00A0772B" w:rsidRPr="00D51A68">
              <w:rPr>
                <w:u w:val="single"/>
              </w:rPr>
              <w:tab/>
            </w:r>
            <w:r w:rsidRPr="00D51A68">
              <w:rPr>
                <w:rStyle w:val="InstructionsTabelleberschrift"/>
                <w:rFonts w:ascii="Times New Roman" w:hAnsi="Times New Roman"/>
                <w:sz w:val="24"/>
              </w:rPr>
              <w:t>IMPORTO AGGIUNTIVO DELL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ESPOSIZIONE AL RISCHIO DOVUTO ALLE SPESE FISSE GENERALI</w:t>
            </w:r>
          </w:p>
          <w:p w:rsidR="002648B0" w:rsidRPr="00D51A68" w:rsidRDefault="002648B0" w:rsidP="007106FB">
            <w:pPr>
              <w:rPr>
                <w:rStyle w:val="FormatvorlageInstructionsTabelleText"/>
                <w:rFonts w:ascii="Times New Roman" w:hAnsi="Times New Roman"/>
                <w:sz w:val="24"/>
              </w:rPr>
            </w:pPr>
            <w:r w:rsidRPr="00D51A68">
              <w:rPr>
                <w:rStyle w:val="FormatvorlageInstructionsTabelleText"/>
                <w:rFonts w:ascii="Times New Roman" w:hAnsi="Times New Roman"/>
                <w:sz w:val="24"/>
              </w:rPr>
              <w:t>Articolo</w:t>
            </w:r>
            <w:r w:rsidR="0076470E" w:rsidRPr="00D51A68">
              <w:rPr>
                <w:rStyle w:val="FormatvorlageInstructionsTabelleText"/>
                <w:rFonts w:ascii="Times New Roman" w:hAnsi="Times New Roman"/>
                <w:sz w:val="24"/>
              </w:rPr>
              <w:t> </w:t>
            </w:r>
            <w:r w:rsidRPr="00D51A68">
              <w:rPr>
                <w:rStyle w:val="FormatvorlageInstructionsTabelleText"/>
                <w:rFonts w:ascii="Times New Roman" w:hAnsi="Times New Roman"/>
                <w:sz w:val="24"/>
              </w:rPr>
              <w:t>95, paragrafo</w:t>
            </w:r>
            <w:r w:rsidR="0076470E" w:rsidRPr="00D51A68">
              <w:rPr>
                <w:rStyle w:val="FormatvorlageInstructionsTabelleText"/>
                <w:rFonts w:ascii="Times New Roman" w:hAnsi="Times New Roman"/>
                <w:sz w:val="24"/>
              </w:rPr>
              <w:t> </w:t>
            </w:r>
            <w:r w:rsidRPr="00D51A68">
              <w:rPr>
                <w:rStyle w:val="FormatvorlageInstructionsTabelleText"/>
                <w:rFonts w:ascii="Times New Roman" w:hAnsi="Times New Roman"/>
                <w:sz w:val="24"/>
              </w:rPr>
              <w:t>2, articolo</w:t>
            </w:r>
            <w:r w:rsidR="0076470E" w:rsidRPr="00D51A68">
              <w:rPr>
                <w:rStyle w:val="FormatvorlageInstructionsTabelleText"/>
                <w:rFonts w:ascii="Times New Roman" w:hAnsi="Times New Roman"/>
                <w:sz w:val="24"/>
              </w:rPr>
              <w:t> </w:t>
            </w:r>
            <w:r w:rsidRPr="00D51A68">
              <w:rPr>
                <w:rStyle w:val="FormatvorlageInstructionsTabelleText"/>
                <w:rFonts w:ascii="Times New Roman" w:hAnsi="Times New Roman"/>
                <w:sz w:val="24"/>
              </w:rPr>
              <w:t>96, paragrafo</w:t>
            </w:r>
            <w:r w:rsidR="0076470E" w:rsidRPr="00D51A68">
              <w:rPr>
                <w:rStyle w:val="FormatvorlageInstructionsTabelleText"/>
                <w:rFonts w:ascii="Times New Roman" w:hAnsi="Times New Roman"/>
                <w:sz w:val="24"/>
              </w:rPr>
              <w:t> </w:t>
            </w:r>
            <w:r w:rsidRPr="00D51A68">
              <w:rPr>
                <w:rStyle w:val="FormatvorlageInstructionsTabelleText"/>
                <w:rFonts w:ascii="Times New Roman" w:hAnsi="Times New Roman"/>
                <w:sz w:val="24"/>
              </w:rPr>
              <w:t>2, articolo</w:t>
            </w:r>
            <w:r w:rsidR="0076470E" w:rsidRPr="00D51A68">
              <w:rPr>
                <w:rStyle w:val="FormatvorlageInstructionsTabelleText"/>
                <w:rFonts w:ascii="Times New Roman" w:hAnsi="Times New Roman"/>
                <w:sz w:val="24"/>
              </w:rPr>
              <w:t> </w:t>
            </w:r>
            <w:r w:rsidRPr="00D51A68">
              <w:rPr>
                <w:rStyle w:val="FormatvorlageInstructionsTabelleText"/>
                <w:rFonts w:ascii="Times New Roman" w:hAnsi="Times New Roman"/>
                <w:sz w:val="24"/>
              </w:rPr>
              <w:t>97</w:t>
            </w:r>
            <w:r w:rsidR="0076470E" w:rsidRPr="00D51A68">
              <w:rPr>
                <w:rStyle w:val="FormatvorlageInstructionsTabelleText"/>
                <w:rFonts w:ascii="Times New Roman" w:hAnsi="Times New Roman"/>
                <w:sz w:val="24"/>
              </w:rPr>
              <w:t xml:space="preserve"> e articolo </w:t>
            </w:r>
            <w:r w:rsidRPr="00D51A68">
              <w:rPr>
                <w:rStyle w:val="FormatvorlageInstructionsTabelleText"/>
                <w:rFonts w:ascii="Times New Roman" w:hAnsi="Times New Roman"/>
                <w:sz w:val="24"/>
              </w:rPr>
              <w:t>98, paragrafo 1, lettera a), del CRR.</w:t>
            </w:r>
          </w:p>
          <w:p w:rsidR="002648B0" w:rsidRPr="00D51A68" w:rsidRDefault="002648B0" w:rsidP="007106FB">
            <w:pPr>
              <w:rPr>
                <w:rStyle w:val="FormatvorlageInstructionsTabelleText"/>
                <w:rFonts w:ascii="Times New Roman" w:hAnsi="Times New Roman"/>
                <w:sz w:val="24"/>
              </w:rPr>
            </w:pPr>
            <w:r w:rsidRPr="00D51A68">
              <w:rPr>
                <w:rStyle w:val="FormatvorlageInstructionsTabelleText"/>
                <w:rFonts w:ascii="Times New Roman" w:hAnsi="Times New Roman"/>
                <w:sz w:val="24"/>
              </w:rPr>
              <w:t>Solo per le imprese di investimento di cui all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articolo 95, paragrafo 2, all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articolo 96, paragrafo 2, e all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articolo 98 del CRR. Cfr. anche 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 xml:space="preserve">articolo 97 del CRR. </w:t>
            </w:r>
          </w:p>
          <w:p w:rsidR="002648B0" w:rsidRPr="00D51A68" w:rsidRDefault="002648B0" w:rsidP="007106FB">
            <w:pPr>
              <w:rPr>
                <w:rStyle w:val="FormatvorlageInstructionsTabelleText"/>
                <w:rFonts w:ascii="Times New Roman" w:hAnsi="Times New Roman"/>
                <w:sz w:val="24"/>
              </w:rPr>
            </w:pPr>
            <w:r w:rsidRPr="00D51A68">
              <w:rPr>
                <w:rStyle w:val="FormatvorlageInstructionsTabelleText"/>
                <w:rFonts w:ascii="Times New Roman" w:hAnsi="Times New Roman"/>
                <w:sz w:val="24"/>
              </w:rPr>
              <w:t>Le imprese di investimento di cui all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articolo 96 del CRR segnalano 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importo indicato nell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articolo 97 moltiplicato per 12,5.</w:t>
            </w:r>
          </w:p>
          <w:p w:rsidR="002648B0" w:rsidRPr="00D51A68" w:rsidRDefault="002648B0" w:rsidP="007106FB">
            <w:pPr>
              <w:rPr>
                <w:rStyle w:val="FormatvorlageInstructionsTabelleText"/>
                <w:rFonts w:ascii="Times New Roman" w:hAnsi="Times New Roman"/>
                <w:sz w:val="24"/>
              </w:rPr>
            </w:pPr>
            <w:r w:rsidRPr="00D51A68">
              <w:rPr>
                <w:rStyle w:val="FormatvorlageInstructionsTabelleText"/>
                <w:rFonts w:ascii="Times New Roman" w:hAnsi="Times New Roman"/>
                <w:sz w:val="24"/>
              </w:rPr>
              <w:t>Le imprese di investimento di cui all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articolo 95 del CRR segnalano:</w:t>
            </w:r>
          </w:p>
          <w:p w:rsidR="002648B0" w:rsidRPr="00D51A68" w:rsidRDefault="00125707" w:rsidP="00FC1A76">
            <w:pPr>
              <w:pStyle w:val="InstructionsText"/>
              <w:rPr>
                <w:rStyle w:val="FormatvorlageInstructionsTabelleText"/>
                <w:rFonts w:ascii="Times New Roman" w:hAnsi="Times New Roman"/>
                <w:sz w:val="24"/>
              </w:rPr>
            </w:pPr>
            <w:r w:rsidRPr="00D51A68">
              <w:rPr>
                <w:rStyle w:val="FormatvorlageInstructionsTabelleText"/>
                <w:rFonts w:ascii="Arial" w:hAnsi="Arial"/>
                <w:sz w:val="24"/>
              </w:rPr>
              <w:t>-</w:t>
            </w:r>
            <w:r w:rsidR="00A0772B" w:rsidRPr="00D51A68">
              <w:tab/>
            </w:r>
            <w:r w:rsidRPr="00D51A68">
              <w:rPr>
                <w:rStyle w:val="FormatvorlageInstructionsTabelleText"/>
                <w:rFonts w:ascii="Times New Roman" w:hAnsi="Times New Roman"/>
                <w:sz w:val="24"/>
              </w:rPr>
              <w:t>un</w:t>
            </w:r>
            <w:r w:rsidRPr="00D51A68">
              <w:t xml:space="preserve"> importo</w:t>
            </w:r>
            <w:r w:rsidRPr="00D51A68">
              <w:rPr>
                <w:rStyle w:val="FormatvorlageInstructionsTabelleText"/>
                <w:rFonts w:ascii="Times New Roman" w:hAnsi="Times New Roman"/>
                <w:sz w:val="24"/>
              </w:rPr>
              <w:t xml:space="preserve"> pari a zero, se 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importo indicato nell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 xml:space="preserve">articolo 95, </w:t>
            </w:r>
            <w:r w:rsidRPr="00D51A68">
              <w:rPr>
                <w:rStyle w:val="FormatvorlageInstructionsTabelleText"/>
                <w:rFonts w:ascii="Times New Roman" w:hAnsi="Times New Roman"/>
                <w:sz w:val="24"/>
              </w:rPr>
              <w:lastRenderedPageBreak/>
              <w:t>paragrafo 2, lettera a), del CRR è superiore all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importo indicato nell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articolo 95, paragrafo 2, lettera b), del CRR;</w:t>
            </w:r>
          </w:p>
          <w:p w:rsidR="002648B0" w:rsidRPr="00D51A68" w:rsidRDefault="00125707" w:rsidP="00FC1A76">
            <w:pPr>
              <w:pStyle w:val="InstructionsText"/>
              <w:rPr>
                <w:rStyle w:val="FormatvorlageInstructionsTabelleText"/>
                <w:rFonts w:ascii="Times New Roman" w:hAnsi="Times New Roman"/>
                <w:sz w:val="24"/>
              </w:rPr>
            </w:pPr>
            <w:r w:rsidRPr="00D51A68">
              <w:rPr>
                <w:rStyle w:val="FormatvorlageInstructionsTabelleText"/>
                <w:rFonts w:ascii="Arial" w:hAnsi="Arial"/>
                <w:sz w:val="24"/>
              </w:rPr>
              <w:t>-</w:t>
            </w:r>
            <w:r w:rsidR="00A0772B" w:rsidRPr="00D51A68">
              <w:tab/>
            </w:r>
            <w:r w:rsidRPr="00D51A68">
              <w:rPr>
                <w:rStyle w:val="FormatvorlageInstructionsTabelleText"/>
                <w:rFonts w:ascii="Times New Roman" w:hAnsi="Times New Roman"/>
                <w:sz w:val="24"/>
              </w:rPr>
              <w:t>il</w:t>
            </w:r>
            <w:r w:rsidRPr="00D51A68">
              <w:t xml:space="preserve"> risultato </w:t>
            </w:r>
            <w:r w:rsidRPr="00D51A68">
              <w:rPr>
                <w:rStyle w:val="FormatvorlageInstructionsTabelleText"/>
                <w:rFonts w:ascii="Times New Roman" w:hAnsi="Times New Roman"/>
                <w:sz w:val="24"/>
              </w:rPr>
              <w:t>della sottrazione dell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importo indicato nell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articolo 95, paragrafo 2, lettera a), del CRR dall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importo indicato nell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 xml:space="preserve">articolo 95, paragrafo 2, lettera b), del CRR, se il secondo è maggiore del primo. </w:t>
            </w:r>
          </w:p>
        </w:tc>
      </w:tr>
      <w:tr w:rsidR="002648B0" w:rsidRPr="00D51A68" w:rsidTr="00672D2A">
        <w:tc>
          <w:tcPr>
            <w:tcW w:w="1591" w:type="dxa"/>
          </w:tcPr>
          <w:p w:rsidR="002648B0" w:rsidRPr="00D51A68" w:rsidRDefault="002648B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lastRenderedPageBreak/>
              <w:t>640</w:t>
            </w:r>
          </w:p>
        </w:tc>
        <w:tc>
          <w:tcPr>
            <w:tcW w:w="7274" w:type="dxa"/>
          </w:tcPr>
          <w:p w:rsidR="005643EA" w:rsidRPr="00D51A68" w:rsidRDefault="002648B0" w:rsidP="00FC1A76">
            <w:pPr>
              <w:pStyle w:val="InstructionsText"/>
              <w:rPr>
                <w:rStyle w:val="InstructionsTabelleberschrift"/>
                <w:rFonts w:ascii="Times New Roman" w:hAnsi="Times New Roman"/>
                <w:bCs w:val="0"/>
                <w:sz w:val="24"/>
              </w:rPr>
            </w:pPr>
            <w:r w:rsidRPr="00D51A68">
              <w:rPr>
                <w:rStyle w:val="InstructionsTabelleberschrift"/>
                <w:rFonts w:ascii="Times New Roman" w:hAnsi="Times New Roman"/>
                <w:sz w:val="24"/>
              </w:rPr>
              <w:t>1.6</w:t>
            </w:r>
            <w:r w:rsidR="00A0772B" w:rsidRPr="00D51A68">
              <w:rPr>
                <w:u w:val="single"/>
              </w:rPr>
              <w:tab/>
            </w:r>
            <w:r w:rsidRPr="00D51A68">
              <w:rPr>
                <w:rStyle w:val="InstructionsTabelleberschrift"/>
                <w:rFonts w:ascii="Times New Roman" w:hAnsi="Times New Roman"/>
                <w:sz w:val="24"/>
              </w:rPr>
              <w:t>IMPORTO COMPLESSIVO DELL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ESPOSIZIONE AL RISCHIO DI AGGIUSTAMENTO DELLA VALUTAZIONE DEL CREDITO (CVA)</w:t>
            </w:r>
          </w:p>
          <w:p w:rsidR="005643EA" w:rsidRPr="00D51A68" w:rsidRDefault="002648B0" w:rsidP="00FC1A76">
            <w:pPr>
              <w:pStyle w:val="InstructionsText"/>
              <w:rPr>
                <w:rStyle w:val="FormatvorlageInstructionsTabelleText"/>
                <w:rFonts w:ascii="Times New Roman" w:hAnsi="Times New Roman"/>
                <w:bCs w:val="0"/>
                <w:sz w:val="24"/>
              </w:rPr>
            </w:pPr>
            <w:r w:rsidRPr="00D51A68">
              <w:rPr>
                <w:rStyle w:val="InstructionsTabelleberschrift"/>
                <w:rFonts w:ascii="Times New Roman" w:hAnsi="Times New Roman"/>
                <w:b w:val="0"/>
                <w:sz w:val="24"/>
                <w:u w:val="none"/>
              </w:rPr>
              <w:t>Articolo 92, paragrafo 3, lettera d), del CRR. Cfr. il modello CVA.</w:t>
            </w:r>
            <w:r w:rsidRPr="00D51A68">
              <w:rPr>
                <w:rStyle w:val="FormatvorlageInstructionsTabelleText"/>
                <w:rFonts w:ascii="Times New Roman" w:hAnsi="Times New Roman"/>
                <w:sz w:val="24"/>
              </w:rPr>
              <w:t xml:space="preserve"> </w:t>
            </w:r>
          </w:p>
        </w:tc>
      </w:tr>
      <w:tr w:rsidR="002648B0" w:rsidRPr="00D51A68" w:rsidTr="00672D2A">
        <w:tc>
          <w:tcPr>
            <w:tcW w:w="1591" w:type="dxa"/>
          </w:tcPr>
          <w:p w:rsidR="002648B0" w:rsidRPr="00D51A68" w:rsidRDefault="002648B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650</w:t>
            </w:r>
          </w:p>
        </w:tc>
        <w:tc>
          <w:tcPr>
            <w:tcW w:w="7274" w:type="dxa"/>
          </w:tcPr>
          <w:p w:rsidR="005643EA" w:rsidRPr="00D51A68" w:rsidRDefault="002648B0" w:rsidP="00FC1A76">
            <w:pPr>
              <w:pStyle w:val="InstructionsText"/>
              <w:rPr>
                <w:rStyle w:val="FormatvorlageInstructionsTabelleText"/>
                <w:rFonts w:ascii="Times New Roman" w:hAnsi="Times New Roman"/>
                <w:b/>
                <w:sz w:val="24"/>
                <w:u w:val="single"/>
              </w:rPr>
            </w:pPr>
            <w:r w:rsidRPr="00D51A68">
              <w:rPr>
                <w:rStyle w:val="InstructionsTabelleberschrift"/>
                <w:rFonts w:ascii="Times New Roman" w:hAnsi="Times New Roman"/>
                <w:sz w:val="24"/>
              </w:rPr>
              <w:t>1.6.1</w:t>
            </w:r>
            <w:r w:rsidR="00A0772B" w:rsidRPr="00D51A68">
              <w:rPr>
                <w:u w:val="single"/>
              </w:rPr>
              <w:tab/>
            </w:r>
            <w:r w:rsidRPr="00D51A68">
              <w:rPr>
                <w:rStyle w:val="InstructionsTabelleberschrift"/>
                <w:rFonts w:ascii="Times New Roman" w:hAnsi="Times New Roman"/>
                <w:sz w:val="24"/>
              </w:rPr>
              <w:t>Metodo avanzato</w:t>
            </w:r>
          </w:p>
          <w:p w:rsidR="002648B0" w:rsidRPr="00D51A68" w:rsidRDefault="002648B0" w:rsidP="007106FB">
            <w:pPr>
              <w:rPr>
                <w:rStyle w:val="FormatvorlageInstructionsTabelleText"/>
                <w:rFonts w:ascii="Times New Roman" w:hAnsi="Times New Roman"/>
                <w:sz w:val="24"/>
              </w:rPr>
            </w:pPr>
            <w:r w:rsidRPr="00D51A68">
              <w:rPr>
                <w:rStyle w:val="FormatvorlageInstructionsTabelleText"/>
                <w:rFonts w:ascii="Times New Roman" w:hAnsi="Times New Roman"/>
                <w:sz w:val="24"/>
              </w:rPr>
              <w:t>Requisiti di fondi propri per il rischio di aggiustamento della valutazione del credito (CVA) conformemente all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articolo 383 del CRR. Cfr. il modello CVA.</w:t>
            </w:r>
          </w:p>
        </w:tc>
      </w:tr>
      <w:tr w:rsidR="002648B0" w:rsidRPr="00D51A68" w:rsidTr="00672D2A">
        <w:tc>
          <w:tcPr>
            <w:tcW w:w="1591" w:type="dxa"/>
          </w:tcPr>
          <w:p w:rsidR="002648B0" w:rsidRPr="00D51A68" w:rsidRDefault="002648B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660</w:t>
            </w:r>
          </w:p>
        </w:tc>
        <w:tc>
          <w:tcPr>
            <w:tcW w:w="7274" w:type="dxa"/>
          </w:tcPr>
          <w:p w:rsidR="005643EA" w:rsidRPr="00D51A68" w:rsidRDefault="002648B0" w:rsidP="00FC1A76">
            <w:pPr>
              <w:pStyle w:val="InstructionsText"/>
              <w:rPr>
                <w:rStyle w:val="FormatvorlageInstructionsTabelleText"/>
                <w:rFonts w:ascii="Times New Roman" w:hAnsi="Times New Roman"/>
                <w:b/>
                <w:sz w:val="24"/>
                <w:u w:val="single"/>
              </w:rPr>
            </w:pPr>
            <w:r w:rsidRPr="00D51A68">
              <w:rPr>
                <w:rStyle w:val="InstructionsTabelleberschrift"/>
                <w:rFonts w:ascii="Times New Roman" w:hAnsi="Times New Roman"/>
                <w:sz w:val="24"/>
              </w:rPr>
              <w:t>1.6.2</w:t>
            </w:r>
            <w:r w:rsidR="00A0772B" w:rsidRPr="00D51A68">
              <w:rPr>
                <w:u w:val="single"/>
              </w:rPr>
              <w:tab/>
            </w:r>
            <w:r w:rsidRPr="00D51A68">
              <w:rPr>
                <w:rStyle w:val="InstructionsTabelleberschrift"/>
                <w:rFonts w:ascii="Times New Roman" w:hAnsi="Times New Roman"/>
                <w:sz w:val="24"/>
              </w:rPr>
              <w:t>Metodo standardizzato</w:t>
            </w:r>
          </w:p>
          <w:p w:rsidR="002648B0" w:rsidRPr="00D51A68" w:rsidRDefault="002648B0" w:rsidP="007106FB">
            <w:pPr>
              <w:rPr>
                <w:rStyle w:val="FormatvorlageInstructionsTabelleText"/>
                <w:rFonts w:ascii="Times New Roman" w:hAnsi="Times New Roman"/>
                <w:sz w:val="24"/>
              </w:rPr>
            </w:pPr>
            <w:r w:rsidRPr="00D51A68">
              <w:rPr>
                <w:rStyle w:val="FormatvorlageInstructionsTabelleText"/>
                <w:rFonts w:ascii="Times New Roman" w:hAnsi="Times New Roman"/>
                <w:sz w:val="24"/>
              </w:rPr>
              <w:t>Requisiti di fondi propri per il rischio di aggiustamento della valutazione del credito (CVA) conformemente all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articolo 384 del CRR. Cfr. il modello CVA.</w:t>
            </w:r>
          </w:p>
        </w:tc>
      </w:tr>
      <w:tr w:rsidR="00836845" w:rsidRPr="00D51A68" w:rsidTr="00672D2A">
        <w:tc>
          <w:tcPr>
            <w:tcW w:w="1591" w:type="dxa"/>
          </w:tcPr>
          <w:p w:rsidR="00836845" w:rsidRPr="00D51A68" w:rsidRDefault="00D33AA1"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670</w:t>
            </w:r>
          </w:p>
        </w:tc>
        <w:tc>
          <w:tcPr>
            <w:tcW w:w="7274" w:type="dxa"/>
          </w:tcPr>
          <w:p w:rsidR="005643EA" w:rsidRPr="00D51A68" w:rsidRDefault="00D33AA1" w:rsidP="00FC1A76">
            <w:pPr>
              <w:pStyle w:val="InstructionsText"/>
              <w:rPr>
                <w:rStyle w:val="InstructionsTabelleberschrift"/>
                <w:rFonts w:ascii="Times New Roman" w:hAnsi="Times New Roman"/>
                <w:bCs w:val="0"/>
                <w:sz w:val="24"/>
              </w:rPr>
            </w:pPr>
            <w:r w:rsidRPr="00D51A68">
              <w:rPr>
                <w:rStyle w:val="InstructionsTabelleberschrift"/>
                <w:rFonts w:ascii="Times New Roman" w:hAnsi="Times New Roman"/>
                <w:sz w:val="24"/>
              </w:rPr>
              <w:t>1.6.3.</w:t>
            </w:r>
            <w:r w:rsidR="00A0772B" w:rsidRPr="00D51A68">
              <w:rPr>
                <w:u w:val="single"/>
              </w:rPr>
              <w:tab/>
            </w:r>
            <w:r w:rsidRPr="00D51A68">
              <w:rPr>
                <w:rStyle w:val="InstructionsTabelleberschrift"/>
                <w:rFonts w:ascii="Times New Roman" w:hAnsi="Times New Roman"/>
                <w:sz w:val="24"/>
              </w:rPr>
              <w:t>In base al metodo dell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esposizione originaria (OEM)</w:t>
            </w:r>
          </w:p>
          <w:p w:rsidR="00783881" w:rsidRPr="00D51A68" w:rsidRDefault="00D33AA1" w:rsidP="00FC1A76">
            <w:pPr>
              <w:pStyle w:val="InstructionsText"/>
              <w:rPr>
                <w:rStyle w:val="InstructionsTabelleberschrift"/>
                <w:rFonts w:ascii="Times New Roman" w:hAnsi="Times New Roman"/>
                <w:b w:val="0"/>
                <w:bCs w:val="0"/>
                <w:sz w:val="24"/>
                <w:u w:val="none"/>
              </w:rPr>
            </w:pPr>
            <w:r w:rsidRPr="00D51A68">
              <w:rPr>
                <w:rStyle w:val="FormatvorlageInstructionsTabelleText"/>
                <w:rFonts w:ascii="Times New Roman" w:hAnsi="Times New Roman"/>
                <w:sz w:val="24"/>
              </w:rPr>
              <w:t>Requisiti di fondi propri per il rischio di aggiustamento della valutazione del credito (CVA) conformemente all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articolo 385 del CRR. Cfr. il modello CVA.</w:t>
            </w:r>
          </w:p>
        </w:tc>
      </w:tr>
      <w:tr w:rsidR="002648B0" w:rsidRPr="00D51A68" w:rsidTr="00672D2A">
        <w:tc>
          <w:tcPr>
            <w:tcW w:w="1591" w:type="dxa"/>
          </w:tcPr>
          <w:p w:rsidR="00783881" w:rsidRPr="00D51A68" w:rsidRDefault="00D33AA1" w:rsidP="00FC1A76">
            <w:pPr>
              <w:pStyle w:val="InstructionsText"/>
              <w:rPr>
                <w:rStyle w:val="FormatvorlageInstructionsTabelleText"/>
                <w:rFonts w:ascii="Times New Roman" w:hAnsi="Times New Roman"/>
                <w:bCs w:val="0"/>
                <w:sz w:val="24"/>
              </w:rPr>
            </w:pPr>
            <w:r w:rsidRPr="00D51A68">
              <w:rPr>
                <w:rStyle w:val="FormatvorlageInstructionsTabelleText"/>
                <w:rFonts w:ascii="Times New Roman" w:hAnsi="Times New Roman"/>
                <w:sz w:val="24"/>
              </w:rPr>
              <w:t>680</w:t>
            </w:r>
          </w:p>
        </w:tc>
        <w:tc>
          <w:tcPr>
            <w:tcW w:w="7274" w:type="dxa"/>
          </w:tcPr>
          <w:p w:rsidR="00783881" w:rsidRPr="00D51A68" w:rsidRDefault="002648B0" w:rsidP="00FC1A76">
            <w:pPr>
              <w:pStyle w:val="InstructionsText"/>
              <w:rPr>
                <w:rStyle w:val="FormatvorlageInstructionsTabelleText"/>
                <w:rFonts w:ascii="Times New Roman" w:hAnsi="Times New Roman"/>
                <w:b/>
                <w:bCs w:val="0"/>
                <w:sz w:val="24"/>
                <w:u w:val="single"/>
              </w:rPr>
            </w:pPr>
            <w:r w:rsidRPr="00D51A68">
              <w:rPr>
                <w:rStyle w:val="InstructionsTabelleberschrift"/>
                <w:rFonts w:ascii="Times New Roman" w:hAnsi="Times New Roman"/>
                <w:sz w:val="24"/>
              </w:rPr>
              <w:t>1.7</w:t>
            </w:r>
            <w:r w:rsidR="00A0772B" w:rsidRPr="00D51A68">
              <w:rPr>
                <w:u w:val="single"/>
              </w:rPr>
              <w:tab/>
            </w:r>
            <w:r w:rsidRPr="00D51A68">
              <w:rPr>
                <w:rStyle w:val="InstructionsTabelleberschrift"/>
                <w:rFonts w:ascii="Times New Roman" w:hAnsi="Times New Roman"/>
                <w:sz w:val="24"/>
              </w:rPr>
              <w:t>IMPORTO COMPLESSIVO DELL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ESPOSIZIONE AL RISCHIO RELATIVO ALLE GRANDI ESPOSIZIONI INTERNE AL PORTAFOGLIO DI NEGOZIAZIONE</w:t>
            </w:r>
          </w:p>
          <w:p w:rsidR="00783881" w:rsidRPr="00D51A68" w:rsidRDefault="002648B0" w:rsidP="00FC1A76">
            <w:pPr>
              <w:pStyle w:val="InstructionsText"/>
              <w:rPr>
                <w:rStyle w:val="FormatvorlageInstructionsTabelleText"/>
                <w:rFonts w:ascii="Times New Roman" w:hAnsi="Times New Roman"/>
                <w:bCs w:val="0"/>
                <w:sz w:val="24"/>
              </w:rPr>
            </w:pPr>
            <w:r w:rsidRPr="00D51A68">
              <w:rPr>
                <w:rStyle w:val="FormatvorlageInstructionsTabelleText"/>
                <w:rFonts w:ascii="Times New Roman" w:hAnsi="Times New Roman"/>
                <w:sz w:val="24"/>
              </w:rPr>
              <w:t>Articolo 92, paragrafo 3, lettera b), punto ii), e articoli da 395 a 401 del CRR.</w:t>
            </w:r>
          </w:p>
        </w:tc>
      </w:tr>
      <w:tr w:rsidR="002648B0" w:rsidRPr="00D51A68" w:rsidTr="00672D2A">
        <w:tc>
          <w:tcPr>
            <w:tcW w:w="1591" w:type="dxa"/>
          </w:tcPr>
          <w:p w:rsidR="002648B0" w:rsidRPr="00D51A68" w:rsidRDefault="00D33AA1"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690</w:t>
            </w:r>
          </w:p>
        </w:tc>
        <w:tc>
          <w:tcPr>
            <w:tcW w:w="7274" w:type="dxa"/>
          </w:tcPr>
          <w:p w:rsidR="005643EA" w:rsidRPr="00D51A68" w:rsidRDefault="002648B0"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1.8</w:t>
            </w:r>
            <w:r w:rsidR="00A0772B" w:rsidRPr="00D51A68">
              <w:rPr>
                <w:u w:val="single"/>
              </w:rPr>
              <w:tab/>
            </w:r>
            <w:r w:rsidRPr="00D51A68">
              <w:rPr>
                <w:rStyle w:val="InstructionsTabelleberschrift"/>
                <w:rFonts w:ascii="Times New Roman" w:hAnsi="Times New Roman"/>
                <w:sz w:val="24"/>
              </w:rPr>
              <w:t>ALTRI IMPORTI DELL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ESPOSIZIONE AL RISCHIO</w:t>
            </w:r>
          </w:p>
          <w:p w:rsidR="00783881" w:rsidRPr="00D51A68" w:rsidRDefault="002648B0" w:rsidP="00FC1A76">
            <w:pPr>
              <w:pStyle w:val="InstructionsText"/>
              <w:rPr>
                <w:rStyle w:val="InstructionsTabelleberschrift"/>
                <w:rFonts w:ascii="Times New Roman" w:hAnsi="Times New Roman"/>
                <w:b w:val="0"/>
                <w:bCs w:val="0"/>
                <w:sz w:val="24"/>
                <w:u w:val="none"/>
              </w:rPr>
            </w:pPr>
            <w:r w:rsidRPr="00D51A68">
              <w:rPr>
                <w:rStyle w:val="InstructionsTabelleberschrift"/>
                <w:rFonts w:ascii="Times New Roman" w:hAnsi="Times New Roman"/>
                <w:b w:val="0"/>
                <w:sz w:val="24"/>
                <w:u w:val="none"/>
              </w:rPr>
              <w:t xml:space="preserve">Articoli 3, 458 e 459 del CRR e importi delle esposizioni a rischi che non possono essere inseriti in una delle righe da 1.1 a 1.7. </w:t>
            </w:r>
          </w:p>
          <w:p w:rsidR="00783881" w:rsidRPr="00D51A68" w:rsidRDefault="002648B0" w:rsidP="00FC1A76">
            <w:pPr>
              <w:pStyle w:val="InstructionsText"/>
              <w:rPr>
                <w:rStyle w:val="InstructionsTabelleberschrift"/>
                <w:rFonts w:ascii="Times New Roman" w:hAnsi="Times New Roman"/>
                <w:b w:val="0"/>
                <w:bCs w:val="0"/>
                <w:sz w:val="24"/>
                <w:u w:val="none"/>
              </w:rPr>
            </w:pPr>
            <w:r w:rsidRPr="00D51A68">
              <w:rPr>
                <w:rStyle w:val="InstructionsTabelleberschrift"/>
                <w:rFonts w:ascii="Times New Roman" w:hAnsi="Times New Roman"/>
                <w:b w:val="0"/>
                <w:sz w:val="24"/>
                <w:u w:val="none"/>
              </w:rPr>
              <w:t>Gli enti segnalano gli importi necessari per ottemperare a quanto segue:</w:t>
            </w:r>
          </w:p>
          <w:p w:rsidR="00783881" w:rsidRPr="00D51A68" w:rsidRDefault="002648B0" w:rsidP="00FC1A76">
            <w:pPr>
              <w:pStyle w:val="InstructionsText"/>
              <w:rPr>
                <w:rStyle w:val="InstructionsTabelleberschrift"/>
                <w:rFonts w:ascii="Times New Roman" w:hAnsi="Times New Roman"/>
                <w:b w:val="0"/>
                <w:bCs w:val="0"/>
                <w:sz w:val="24"/>
                <w:u w:val="none"/>
              </w:rPr>
            </w:pPr>
            <w:r w:rsidRPr="00D51A68">
              <w:rPr>
                <w:rStyle w:val="InstructionsTabelleberschrift"/>
                <w:rFonts w:ascii="Times New Roman" w:hAnsi="Times New Roman"/>
                <w:b w:val="0"/>
                <w:sz w:val="24"/>
                <w:u w:val="none"/>
              </w:rPr>
              <w:t xml:space="preserve">i requisiti prudenziali più rigorosi imposti dalla Commissione conformemente agli articoli 458 e 459 del CRR; </w:t>
            </w:r>
          </w:p>
          <w:p w:rsidR="00783881" w:rsidRPr="00D51A68" w:rsidRDefault="00DA4727" w:rsidP="00FC1A76">
            <w:pPr>
              <w:pStyle w:val="InstructionsText"/>
              <w:rPr>
                <w:rStyle w:val="InstructionsTabelleberschrift"/>
                <w:rFonts w:ascii="Times New Roman" w:hAnsi="Times New Roman"/>
                <w:b w:val="0"/>
                <w:bCs w:val="0"/>
                <w:sz w:val="24"/>
                <w:u w:val="none"/>
              </w:rPr>
            </w:pPr>
            <w:r w:rsidRPr="00D51A68">
              <w:rPr>
                <w:rStyle w:val="InstructionsTabelleberschrift"/>
                <w:rFonts w:ascii="Times New Roman" w:hAnsi="Times New Roman"/>
                <w:b w:val="0"/>
                <w:sz w:val="24"/>
                <w:u w:val="none"/>
              </w:rPr>
              <w:t>gli importi aggiuntivi delle esposizioni al rischio dovuti all</w:t>
            </w:r>
            <w:r w:rsidR="0009277C" w:rsidRPr="00D51A68">
              <w:rPr>
                <w:rStyle w:val="InstructionsTabelleberschrift"/>
                <w:rFonts w:ascii="Times New Roman" w:hAnsi="Times New Roman"/>
                <w:b w:val="0"/>
                <w:sz w:val="24"/>
                <w:u w:val="none"/>
              </w:rPr>
              <w:t>’</w:t>
            </w:r>
            <w:r w:rsidRPr="00D51A68">
              <w:rPr>
                <w:rStyle w:val="InstructionsTabelleberschrift"/>
                <w:rFonts w:ascii="Times New Roman" w:hAnsi="Times New Roman"/>
                <w:b w:val="0"/>
                <w:sz w:val="24"/>
                <w:u w:val="none"/>
              </w:rPr>
              <w:t>articolo 3 del CRR.</w:t>
            </w:r>
          </w:p>
          <w:p w:rsidR="005643EA" w:rsidRPr="00D51A68" w:rsidRDefault="00DA4727" w:rsidP="00FC1A76">
            <w:pPr>
              <w:pStyle w:val="InstructionsText"/>
              <w:rPr>
                <w:rStyle w:val="InstructionsTabelleberschrift"/>
                <w:rFonts w:ascii="Times New Roman" w:hAnsi="Times New Roman"/>
                <w:bCs w:val="0"/>
                <w:sz w:val="24"/>
                <w:u w:val="none"/>
              </w:rPr>
            </w:pPr>
            <w:r w:rsidRPr="00D51A68">
              <w:rPr>
                <w:rStyle w:val="InstructionsTabelleberschrift"/>
                <w:rFonts w:ascii="Times New Roman" w:hAnsi="Times New Roman"/>
                <w:b w:val="0"/>
                <w:sz w:val="24"/>
                <w:u w:val="none"/>
              </w:rPr>
              <w:t xml:space="preserve">Questa voce non ha collegamento a un modello di dettagli. </w:t>
            </w:r>
          </w:p>
        </w:tc>
      </w:tr>
      <w:tr w:rsidR="002648B0" w:rsidRPr="00D51A68" w:rsidTr="00672D2A">
        <w:tc>
          <w:tcPr>
            <w:tcW w:w="1591" w:type="dxa"/>
          </w:tcPr>
          <w:p w:rsidR="002648B0" w:rsidRPr="00D51A68" w:rsidRDefault="002648B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710</w:t>
            </w:r>
          </w:p>
        </w:tc>
        <w:tc>
          <w:tcPr>
            <w:tcW w:w="7274" w:type="dxa"/>
          </w:tcPr>
          <w:p w:rsidR="005643EA" w:rsidRPr="00D51A68" w:rsidRDefault="002648B0"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1.8.2</w:t>
            </w:r>
            <w:r w:rsidR="00A0772B" w:rsidRPr="00D51A68">
              <w:rPr>
                <w:u w:val="single"/>
              </w:rPr>
              <w:tab/>
            </w:r>
            <w:r w:rsidRPr="00D51A68">
              <w:rPr>
                <w:rStyle w:val="InstructionsTabelleberschrift"/>
                <w:rFonts w:ascii="Times New Roman" w:hAnsi="Times New Roman"/>
                <w:sz w:val="24"/>
              </w:rPr>
              <w:t>di cui: requisiti prudenziali aggiuntivi più rigorosi basati sull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articolo 458</w:t>
            </w:r>
          </w:p>
          <w:p w:rsidR="005643EA" w:rsidRPr="00D51A68" w:rsidRDefault="002648B0" w:rsidP="00FC1A76">
            <w:pPr>
              <w:pStyle w:val="InstructionsText"/>
              <w:rPr>
                <w:rStyle w:val="InstructionsTabelleberschrift"/>
                <w:rFonts w:ascii="Times New Roman" w:hAnsi="Times New Roman"/>
                <w:b w:val="0"/>
                <w:sz w:val="24"/>
                <w:u w:val="none"/>
              </w:rPr>
            </w:pPr>
            <w:r w:rsidRPr="00D51A68">
              <w:rPr>
                <w:rStyle w:val="FormatvorlageInstructionsTabelleText"/>
                <w:rFonts w:ascii="Times New Roman" w:hAnsi="Times New Roman"/>
                <w:sz w:val="24"/>
              </w:rPr>
              <w:t>Articolo 458 del CRR.</w:t>
            </w:r>
          </w:p>
        </w:tc>
      </w:tr>
      <w:tr w:rsidR="002648B0" w:rsidRPr="00D51A68" w:rsidTr="00672D2A">
        <w:tc>
          <w:tcPr>
            <w:tcW w:w="1591" w:type="dxa"/>
          </w:tcPr>
          <w:p w:rsidR="002648B0" w:rsidRPr="00D51A68" w:rsidRDefault="002648B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720</w:t>
            </w:r>
          </w:p>
        </w:tc>
        <w:tc>
          <w:tcPr>
            <w:tcW w:w="7274" w:type="dxa"/>
          </w:tcPr>
          <w:p w:rsidR="005643EA" w:rsidRPr="00D51A68" w:rsidRDefault="002648B0" w:rsidP="00FC1A76">
            <w:pPr>
              <w:pStyle w:val="InstructionsText"/>
            </w:pPr>
            <w:r w:rsidRPr="00D51A68">
              <w:rPr>
                <w:rStyle w:val="InstructionsTabelleberschrift"/>
                <w:rFonts w:ascii="Times New Roman" w:hAnsi="Times New Roman"/>
                <w:sz w:val="24"/>
              </w:rPr>
              <w:t>1.8.2*</w:t>
            </w:r>
            <w:r w:rsidR="00A0772B" w:rsidRPr="00D51A68">
              <w:rPr>
                <w:u w:val="single"/>
              </w:rPr>
              <w:tab/>
            </w:r>
            <w:r w:rsidRPr="00D51A68">
              <w:rPr>
                <w:rStyle w:val="InstructionsTabelleberschrift"/>
                <w:rFonts w:ascii="Times New Roman" w:hAnsi="Times New Roman"/>
                <w:sz w:val="24"/>
              </w:rPr>
              <w:t>di cui: requisiti per le grandi esposizioni</w:t>
            </w:r>
          </w:p>
          <w:p w:rsidR="005643EA" w:rsidRPr="00D51A68" w:rsidRDefault="002648B0" w:rsidP="00FC1A76">
            <w:pPr>
              <w:pStyle w:val="InstructionsText"/>
              <w:rPr>
                <w:rStyle w:val="InstructionsTabelleberschrift"/>
                <w:rFonts w:ascii="Times New Roman" w:hAnsi="Times New Roman"/>
                <w:sz w:val="24"/>
              </w:rPr>
            </w:pPr>
            <w:r w:rsidRPr="00D51A68">
              <w:t>Articolo 458 del CRR.</w:t>
            </w:r>
          </w:p>
        </w:tc>
      </w:tr>
      <w:tr w:rsidR="002648B0" w:rsidRPr="00D51A68" w:rsidTr="00672D2A">
        <w:tc>
          <w:tcPr>
            <w:tcW w:w="1591" w:type="dxa"/>
          </w:tcPr>
          <w:p w:rsidR="005643EA" w:rsidRPr="00D51A68" w:rsidRDefault="002648B0" w:rsidP="0076470E">
            <w:pPr>
              <w:pStyle w:val="InstructionsText"/>
              <w:keepNext/>
              <w:rPr>
                <w:rStyle w:val="FormatvorlageInstructionsTabelleText"/>
                <w:rFonts w:ascii="Times New Roman" w:hAnsi="Times New Roman"/>
                <w:sz w:val="24"/>
              </w:rPr>
            </w:pPr>
            <w:r w:rsidRPr="00D51A68">
              <w:rPr>
                <w:rStyle w:val="FormatvorlageInstructionsTabelleText"/>
                <w:rFonts w:ascii="Times New Roman" w:hAnsi="Times New Roman"/>
                <w:sz w:val="24"/>
              </w:rPr>
              <w:lastRenderedPageBreak/>
              <w:t>730</w:t>
            </w:r>
          </w:p>
        </w:tc>
        <w:tc>
          <w:tcPr>
            <w:tcW w:w="7274" w:type="dxa"/>
          </w:tcPr>
          <w:p w:rsidR="005643EA" w:rsidRPr="00D51A68" w:rsidRDefault="002648B0" w:rsidP="0076470E">
            <w:pPr>
              <w:pStyle w:val="InstructionsText"/>
              <w:keepNext/>
            </w:pPr>
            <w:r w:rsidRPr="00D51A68">
              <w:rPr>
                <w:rStyle w:val="InstructionsTabelleberschrift"/>
                <w:rFonts w:ascii="Times New Roman" w:hAnsi="Times New Roman"/>
                <w:sz w:val="24"/>
              </w:rPr>
              <w:t>1.8.2**</w:t>
            </w:r>
            <w:r w:rsidR="00A0772B" w:rsidRPr="00D51A68">
              <w:rPr>
                <w:u w:val="single"/>
              </w:rPr>
              <w:tab/>
            </w:r>
            <w:r w:rsidRPr="00D51A68">
              <w:rPr>
                <w:rStyle w:val="InstructionsTabelleberschrift"/>
                <w:rFonts w:ascii="Times New Roman" w:hAnsi="Times New Roman"/>
                <w:sz w:val="24"/>
              </w:rPr>
              <w:t>di cui: dovuti a variazioni delle ponderazioni del rischio per far fronte alle bolle speculative nel settore degli immobili residenziali e non residenziali</w:t>
            </w:r>
          </w:p>
          <w:p w:rsidR="005643EA" w:rsidRPr="00D51A68" w:rsidRDefault="002648B0" w:rsidP="0076470E">
            <w:pPr>
              <w:pStyle w:val="InstructionsText"/>
              <w:keepNext/>
              <w:rPr>
                <w:rStyle w:val="InstructionsTabelleberschrift"/>
                <w:rFonts w:ascii="Times New Roman" w:hAnsi="Times New Roman"/>
                <w:sz w:val="24"/>
              </w:rPr>
            </w:pPr>
            <w:r w:rsidRPr="00D51A68">
              <w:t>Articolo 458 del CRR.</w:t>
            </w:r>
          </w:p>
        </w:tc>
      </w:tr>
      <w:tr w:rsidR="002648B0" w:rsidRPr="00D51A68" w:rsidTr="00672D2A">
        <w:tc>
          <w:tcPr>
            <w:tcW w:w="1591" w:type="dxa"/>
          </w:tcPr>
          <w:p w:rsidR="005643EA" w:rsidRPr="00D51A68" w:rsidRDefault="002648B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740</w:t>
            </w:r>
          </w:p>
        </w:tc>
        <w:tc>
          <w:tcPr>
            <w:tcW w:w="7274" w:type="dxa"/>
          </w:tcPr>
          <w:p w:rsidR="005643EA" w:rsidRPr="00D51A68" w:rsidRDefault="002648B0" w:rsidP="00FC1A76">
            <w:pPr>
              <w:pStyle w:val="InstructionsText"/>
            </w:pPr>
            <w:r w:rsidRPr="00D51A68">
              <w:rPr>
                <w:rStyle w:val="InstructionsTabelleberschrift"/>
                <w:rFonts w:ascii="Times New Roman" w:hAnsi="Times New Roman"/>
                <w:sz w:val="24"/>
              </w:rPr>
              <w:t>1.8.2***</w:t>
            </w:r>
            <w:r w:rsidR="00A0772B" w:rsidRPr="00D51A68">
              <w:rPr>
                <w:u w:val="single"/>
              </w:rPr>
              <w:tab/>
            </w:r>
            <w:r w:rsidRPr="00D51A68">
              <w:rPr>
                <w:rStyle w:val="InstructionsTabelleberschrift"/>
                <w:rFonts w:ascii="Times New Roman" w:hAnsi="Times New Roman"/>
                <w:sz w:val="24"/>
              </w:rPr>
              <w:t>di cui: dovuti a esposizioni all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interno del settore finanziario</w:t>
            </w:r>
          </w:p>
          <w:p w:rsidR="005643EA" w:rsidRPr="00D51A68" w:rsidRDefault="002648B0" w:rsidP="00FC1A76">
            <w:pPr>
              <w:pStyle w:val="InstructionsText"/>
              <w:rPr>
                <w:rStyle w:val="InstructionsTabelleberschrift"/>
                <w:rFonts w:ascii="Times New Roman" w:hAnsi="Times New Roman"/>
                <w:sz w:val="24"/>
              </w:rPr>
            </w:pPr>
            <w:r w:rsidRPr="00D51A68">
              <w:t>Articolo 458 del CRR.</w:t>
            </w:r>
          </w:p>
        </w:tc>
      </w:tr>
      <w:tr w:rsidR="002648B0" w:rsidRPr="00D51A68" w:rsidTr="00672D2A">
        <w:tc>
          <w:tcPr>
            <w:tcW w:w="1591" w:type="dxa"/>
          </w:tcPr>
          <w:p w:rsidR="002648B0" w:rsidRPr="00D51A68" w:rsidRDefault="002648B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750</w:t>
            </w:r>
          </w:p>
        </w:tc>
        <w:tc>
          <w:tcPr>
            <w:tcW w:w="7274" w:type="dxa"/>
          </w:tcPr>
          <w:p w:rsidR="005643EA" w:rsidRPr="00D51A68" w:rsidRDefault="002648B0"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1.8.3</w:t>
            </w:r>
            <w:r w:rsidR="00A0772B" w:rsidRPr="00D51A68">
              <w:rPr>
                <w:u w:val="single"/>
              </w:rPr>
              <w:tab/>
            </w:r>
            <w:r w:rsidRPr="00D51A68">
              <w:rPr>
                <w:rStyle w:val="InstructionsTabelleberschrift"/>
                <w:rFonts w:ascii="Times New Roman" w:hAnsi="Times New Roman"/>
                <w:sz w:val="24"/>
              </w:rPr>
              <w:t>di cui: requisiti prudenziali aggiuntivi più rigorosi basati sull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articolo 459</w:t>
            </w:r>
          </w:p>
          <w:p w:rsidR="005643EA" w:rsidRPr="00D51A68" w:rsidRDefault="002648B0" w:rsidP="00FC1A76">
            <w:pPr>
              <w:pStyle w:val="InstructionsText"/>
              <w:rPr>
                <w:rStyle w:val="InstructionsTabelleberschrift"/>
                <w:rFonts w:ascii="Times New Roman" w:hAnsi="Times New Roman"/>
                <w:sz w:val="24"/>
              </w:rPr>
            </w:pPr>
            <w:r w:rsidRPr="00D51A68">
              <w:rPr>
                <w:rStyle w:val="FormatvorlageInstructionsTabelleText"/>
                <w:rFonts w:ascii="Times New Roman" w:hAnsi="Times New Roman"/>
                <w:sz w:val="24"/>
              </w:rPr>
              <w:t>Articolo 459 del CRR.</w:t>
            </w:r>
          </w:p>
        </w:tc>
      </w:tr>
      <w:tr w:rsidR="00523DD6" w:rsidRPr="00D51A68" w:rsidTr="00672D2A">
        <w:tc>
          <w:tcPr>
            <w:tcW w:w="1591" w:type="dxa"/>
            <w:shd w:val="clear" w:color="auto" w:fill="auto"/>
          </w:tcPr>
          <w:p w:rsidR="00523DD6" w:rsidRPr="00D51A68" w:rsidRDefault="00523DD6"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760</w:t>
            </w:r>
          </w:p>
        </w:tc>
        <w:tc>
          <w:tcPr>
            <w:tcW w:w="7274" w:type="dxa"/>
          </w:tcPr>
          <w:p w:rsidR="005643EA" w:rsidRPr="00D51A68" w:rsidRDefault="00523DD6"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1.8.4</w:t>
            </w:r>
            <w:r w:rsidR="00A0772B" w:rsidRPr="00D51A68">
              <w:rPr>
                <w:u w:val="single"/>
              </w:rPr>
              <w:tab/>
            </w:r>
            <w:r w:rsidRPr="00D51A68">
              <w:rPr>
                <w:rStyle w:val="InstructionsTabelleberschrift"/>
                <w:rFonts w:ascii="Times New Roman" w:hAnsi="Times New Roman"/>
                <w:sz w:val="24"/>
              </w:rPr>
              <w:t>di cui: importo aggiuntivo dell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esposizione al rischio dovuto all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articolo 3 del CRR</w:t>
            </w:r>
          </w:p>
          <w:p w:rsidR="005643EA" w:rsidRPr="00D51A68" w:rsidRDefault="00523DD6"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Articolo 3 del CRR.</w:t>
            </w:r>
          </w:p>
          <w:p w:rsidR="005643EA" w:rsidRPr="00D51A68" w:rsidRDefault="00523DD6" w:rsidP="00FC1A76">
            <w:pPr>
              <w:pStyle w:val="InstructionsText"/>
              <w:rPr>
                <w:rStyle w:val="InstructionsTabelleberschrift"/>
                <w:rFonts w:ascii="Times New Roman" w:hAnsi="Times New Roman"/>
                <w:b w:val="0"/>
                <w:sz w:val="24"/>
                <w:u w:val="none"/>
              </w:rPr>
            </w:pPr>
            <w:r w:rsidRPr="00D51A68">
              <w:rPr>
                <w:rStyle w:val="InstructionsTabelleberschrift"/>
                <w:rFonts w:ascii="Times New Roman" w:hAnsi="Times New Roman"/>
                <w:b w:val="0"/>
                <w:sz w:val="24"/>
                <w:u w:val="none"/>
              </w:rPr>
              <w:t>Va segnalato l</w:t>
            </w:r>
            <w:r w:rsidR="0009277C" w:rsidRPr="00D51A68">
              <w:rPr>
                <w:rStyle w:val="InstructionsTabelleberschrift"/>
                <w:rFonts w:ascii="Times New Roman" w:hAnsi="Times New Roman"/>
                <w:b w:val="0"/>
                <w:sz w:val="24"/>
                <w:u w:val="none"/>
              </w:rPr>
              <w:t>’</w:t>
            </w:r>
            <w:r w:rsidRPr="00D51A68">
              <w:rPr>
                <w:rStyle w:val="InstructionsTabelleberschrift"/>
                <w:rFonts w:ascii="Times New Roman" w:hAnsi="Times New Roman"/>
                <w:b w:val="0"/>
                <w:sz w:val="24"/>
                <w:u w:val="none"/>
              </w:rPr>
              <w:t>importo aggiuntivo dell</w:t>
            </w:r>
            <w:r w:rsidR="0009277C" w:rsidRPr="00D51A68">
              <w:rPr>
                <w:rStyle w:val="InstructionsTabelleberschrift"/>
                <w:rFonts w:ascii="Times New Roman" w:hAnsi="Times New Roman"/>
                <w:b w:val="0"/>
                <w:sz w:val="24"/>
                <w:u w:val="none"/>
              </w:rPr>
              <w:t>’</w:t>
            </w:r>
            <w:r w:rsidRPr="00D51A68">
              <w:rPr>
                <w:rStyle w:val="InstructionsTabelleberschrift"/>
                <w:rFonts w:ascii="Times New Roman" w:hAnsi="Times New Roman"/>
                <w:b w:val="0"/>
                <w:sz w:val="24"/>
                <w:u w:val="none"/>
              </w:rPr>
              <w:t>esposizione al rischio. L</w:t>
            </w:r>
            <w:r w:rsidR="0009277C" w:rsidRPr="00D51A68">
              <w:rPr>
                <w:rStyle w:val="InstructionsTabelleberschrift"/>
                <w:rFonts w:ascii="Times New Roman" w:hAnsi="Times New Roman"/>
                <w:b w:val="0"/>
                <w:sz w:val="24"/>
                <w:u w:val="none"/>
              </w:rPr>
              <w:t>’</w:t>
            </w:r>
            <w:r w:rsidRPr="00D51A68">
              <w:rPr>
                <w:rStyle w:val="InstructionsTabelleberschrift"/>
                <w:rFonts w:ascii="Times New Roman" w:hAnsi="Times New Roman"/>
                <w:b w:val="0"/>
                <w:sz w:val="24"/>
                <w:u w:val="none"/>
              </w:rPr>
              <w:t>importo comprende soltanto gli importi aggiuntivi (se, ad esempio, un</w:t>
            </w:r>
            <w:r w:rsidR="0009277C" w:rsidRPr="00D51A68">
              <w:rPr>
                <w:rStyle w:val="InstructionsTabelleberschrift"/>
                <w:rFonts w:ascii="Times New Roman" w:hAnsi="Times New Roman"/>
                <w:b w:val="0"/>
                <w:sz w:val="24"/>
                <w:u w:val="none"/>
              </w:rPr>
              <w:t>’</w:t>
            </w:r>
            <w:r w:rsidRPr="00D51A68">
              <w:rPr>
                <w:rStyle w:val="InstructionsTabelleberschrift"/>
                <w:rFonts w:ascii="Times New Roman" w:hAnsi="Times New Roman"/>
                <w:b w:val="0"/>
                <w:sz w:val="24"/>
                <w:u w:val="none"/>
              </w:rPr>
              <w:t>esposizione pari a 100 ha un fattore di ponderazione del rischio del 20</w:t>
            </w:r>
            <w:r w:rsidR="0009277C" w:rsidRPr="00D51A68">
              <w:rPr>
                <w:rStyle w:val="InstructionsTabelleberschrift"/>
                <w:rFonts w:ascii="Times New Roman" w:hAnsi="Times New Roman"/>
                <w:b w:val="0"/>
                <w:sz w:val="24"/>
                <w:u w:val="none"/>
              </w:rPr>
              <w:t>%</w:t>
            </w:r>
            <w:r w:rsidRPr="00D51A68">
              <w:rPr>
                <w:rStyle w:val="InstructionsTabelleberschrift"/>
                <w:rFonts w:ascii="Times New Roman" w:hAnsi="Times New Roman"/>
                <w:b w:val="0"/>
                <w:sz w:val="24"/>
                <w:u w:val="none"/>
              </w:rPr>
              <w:t xml:space="preserve"> e l</w:t>
            </w:r>
            <w:r w:rsidR="0009277C" w:rsidRPr="00D51A68">
              <w:rPr>
                <w:rStyle w:val="InstructionsTabelleberschrift"/>
                <w:rFonts w:ascii="Times New Roman" w:hAnsi="Times New Roman"/>
                <w:b w:val="0"/>
                <w:sz w:val="24"/>
                <w:u w:val="none"/>
              </w:rPr>
              <w:t>’</w:t>
            </w:r>
            <w:r w:rsidRPr="00D51A68">
              <w:rPr>
                <w:rStyle w:val="InstructionsTabelleberschrift"/>
                <w:rFonts w:ascii="Times New Roman" w:hAnsi="Times New Roman"/>
                <w:b w:val="0"/>
                <w:sz w:val="24"/>
                <w:u w:val="none"/>
              </w:rPr>
              <w:t>ente applica un fattore di ponderazione del rischio del 50</w:t>
            </w:r>
            <w:r w:rsidR="0009277C" w:rsidRPr="00D51A68">
              <w:rPr>
                <w:rStyle w:val="InstructionsTabelleberschrift"/>
                <w:rFonts w:ascii="Times New Roman" w:hAnsi="Times New Roman"/>
                <w:b w:val="0"/>
                <w:sz w:val="24"/>
                <w:u w:val="none"/>
              </w:rPr>
              <w:t>%</w:t>
            </w:r>
            <w:r w:rsidRPr="00D51A68">
              <w:rPr>
                <w:rStyle w:val="InstructionsTabelleberschrift"/>
                <w:rFonts w:ascii="Times New Roman" w:hAnsi="Times New Roman"/>
                <w:b w:val="0"/>
                <w:sz w:val="24"/>
                <w:u w:val="none"/>
              </w:rPr>
              <w:t xml:space="preserve"> conformemente all</w:t>
            </w:r>
            <w:r w:rsidR="0009277C" w:rsidRPr="00D51A68">
              <w:rPr>
                <w:rStyle w:val="InstructionsTabelleberschrift"/>
                <w:rFonts w:ascii="Times New Roman" w:hAnsi="Times New Roman"/>
                <w:b w:val="0"/>
                <w:sz w:val="24"/>
                <w:u w:val="none"/>
              </w:rPr>
              <w:t>’</w:t>
            </w:r>
            <w:r w:rsidRPr="00D51A68">
              <w:rPr>
                <w:rStyle w:val="InstructionsTabelleberschrift"/>
                <w:rFonts w:ascii="Times New Roman" w:hAnsi="Times New Roman"/>
                <w:b w:val="0"/>
                <w:sz w:val="24"/>
                <w:u w:val="none"/>
              </w:rPr>
              <w:t>articolo 3 del CRR, l</w:t>
            </w:r>
            <w:r w:rsidR="0009277C" w:rsidRPr="00D51A68">
              <w:rPr>
                <w:rStyle w:val="InstructionsTabelleberschrift"/>
                <w:rFonts w:ascii="Times New Roman" w:hAnsi="Times New Roman"/>
                <w:b w:val="0"/>
                <w:sz w:val="24"/>
                <w:u w:val="none"/>
              </w:rPr>
              <w:t>’</w:t>
            </w:r>
            <w:r w:rsidRPr="00D51A68">
              <w:rPr>
                <w:rStyle w:val="InstructionsTabelleberschrift"/>
                <w:rFonts w:ascii="Times New Roman" w:hAnsi="Times New Roman"/>
                <w:b w:val="0"/>
                <w:sz w:val="24"/>
                <w:u w:val="none"/>
              </w:rPr>
              <w:t xml:space="preserve">importo da segnalare è 30). </w:t>
            </w:r>
          </w:p>
        </w:tc>
      </w:tr>
      <w:tr w:rsidR="00FE6995" w:rsidRPr="00D51A68"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70"/>
        </w:trPr>
        <w:tc>
          <w:tcPr>
            <w:tcW w:w="1591" w:type="dxa"/>
            <w:tcBorders>
              <w:top w:val="single" w:sz="4" w:space="0" w:color="auto"/>
              <w:left w:val="single" w:sz="8" w:space="0" w:color="auto"/>
              <w:bottom w:val="single" w:sz="4" w:space="0" w:color="auto"/>
              <w:right w:val="single" w:sz="4" w:space="0" w:color="auto"/>
            </w:tcBorders>
            <w:shd w:val="clear" w:color="auto" w:fill="auto"/>
            <w:vAlign w:val="center"/>
          </w:tcPr>
          <w:p w:rsidR="00FE6995" w:rsidRPr="00D51A68" w:rsidRDefault="00FE6995" w:rsidP="00FC1A76">
            <w:pPr>
              <w:pStyle w:val="InstructionsText"/>
              <w:rPr>
                <w:rStyle w:val="FormatvorlageInstructionsTabelleText"/>
                <w:rFonts w:ascii="Times New Roman" w:hAnsi="Times New Roman"/>
                <w:bCs w:val="0"/>
                <w:sz w:val="24"/>
              </w:rPr>
            </w:pPr>
            <w:bookmarkStart w:id="64" w:name="_Toc473560877"/>
            <w:bookmarkStart w:id="65" w:name="_Toc308175826"/>
            <w:bookmarkStart w:id="66" w:name="_Toc360188329"/>
            <w:r w:rsidRPr="00D51A68">
              <w:rPr>
                <w:rStyle w:val="FormatvorlageInstructionsTabelleText"/>
                <w:rFonts w:ascii="Times New Roman" w:hAnsi="Times New Roman"/>
                <w:sz w:val="24"/>
              </w:rPr>
              <w:t>770 – 900</w:t>
            </w:r>
          </w:p>
        </w:tc>
        <w:tc>
          <w:tcPr>
            <w:tcW w:w="7274" w:type="dxa"/>
            <w:tcBorders>
              <w:top w:val="single" w:sz="4" w:space="0" w:color="auto"/>
              <w:left w:val="nil"/>
              <w:bottom w:val="single" w:sz="4" w:space="0" w:color="auto"/>
              <w:right w:val="single" w:sz="4" w:space="0" w:color="auto"/>
            </w:tcBorders>
            <w:shd w:val="clear" w:color="auto" w:fill="auto"/>
            <w:vAlign w:val="center"/>
          </w:tcPr>
          <w:p w:rsidR="00FE6995" w:rsidRPr="00D51A68" w:rsidRDefault="00394410" w:rsidP="00FC1A76">
            <w:pPr>
              <w:pStyle w:val="InstructionsText"/>
              <w:rPr>
                <w:rStyle w:val="InstructionsTabelleberschrift"/>
                <w:rFonts w:ascii="Times New Roman" w:hAnsi="Times New Roman"/>
                <w:bCs w:val="0"/>
                <w:sz w:val="24"/>
              </w:rPr>
            </w:pPr>
            <w:r w:rsidRPr="00D51A68">
              <w:rPr>
                <w:rStyle w:val="InstructionsTabelleberschrift"/>
                <w:rFonts w:ascii="Times New Roman" w:hAnsi="Times New Roman"/>
                <w:sz w:val="24"/>
              </w:rPr>
              <w:t>1.8.5 di cui: importi delle esposizioni ponderati per il rischio di credito: posizioni verso la cartolarizzazione (quadro rivisto in materia di cartolarizzazione)</w:t>
            </w:r>
          </w:p>
          <w:p w:rsidR="00FE6995" w:rsidRPr="00D51A68" w:rsidRDefault="00FE6995" w:rsidP="00FC1A76">
            <w:pPr>
              <w:pStyle w:val="InstructionsText"/>
              <w:rPr>
                <w:rStyle w:val="InstructionsTabelleberschrift"/>
                <w:rFonts w:ascii="Times New Roman" w:hAnsi="Times New Roman"/>
                <w:b w:val="0"/>
                <w:sz w:val="24"/>
                <w:u w:val="none"/>
              </w:rPr>
            </w:pPr>
            <w:r w:rsidRPr="00D51A68">
              <w:t>Gli enti compilano le righe 770-900 nelle date di riferimento per le segnalazioni successive al 1° gennaio 2019.</w:t>
            </w:r>
          </w:p>
          <w:p w:rsidR="00FE6995" w:rsidRPr="00D51A68" w:rsidRDefault="00FE6995" w:rsidP="00FC1A76">
            <w:pPr>
              <w:pStyle w:val="InstructionsText"/>
            </w:pPr>
            <w:r w:rsidRPr="00D51A68">
              <w:t>Le righe 770 – 900 riportano gli importi ponderati per il rischio di credito delle esposizioni riguardanti le posizioni verso la cartolarizzazione il cui importo ponderato per il rischio è calcolato conformemente alle disposizioni del CRR.</w:t>
            </w:r>
          </w:p>
          <w:p w:rsidR="00FE6995" w:rsidRPr="00D51A68" w:rsidRDefault="00FE6995" w:rsidP="00FC1A76">
            <w:pPr>
              <w:pStyle w:val="InstructionsText"/>
              <w:rPr>
                <w:rStyle w:val="InstructionsTabelleberschrift"/>
                <w:rFonts w:ascii="Times New Roman" w:hAnsi="Times New Roman"/>
                <w:sz w:val="24"/>
              </w:rPr>
            </w:pPr>
            <w:r w:rsidRPr="00D51A68">
              <w:t>Gli importi segnalati corrispondono all</w:t>
            </w:r>
            <w:r w:rsidR="0009277C" w:rsidRPr="00D51A68">
              <w:t>’</w:t>
            </w:r>
            <w:r w:rsidRPr="00D51A68">
              <w:t>importo complessivo dell</w:t>
            </w:r>
            <w:r w:rsidR="0009277C" w:rsidRPr="00D51A68">
              <w:t>’</w:t>
            </w:r>
            <w:r w:rsidRPr="00D51A68">
              <w:t>esposizione ponderato per il rischio calcolato ai sensi della parte tre, titolo II, capo 5, del CRR, tenuto conto della ponderazione del rischio totale prevista all</w:t>
            </w:r>
            <w:r w:rsidR="0009277C" w:rsidRPr="00D51A68">
              <w:t>’</w:t>
            </w:r>
            <w:r w:rsidRPr="00D51A68">
              <w:t>articolo 247, paragrafo 6, del CRR e dei massimali di cui alla parte tre, titolo II, capo 5, sezione 3, sottosezione 4, del CRR.</w:t>
            </w:r>
          </w:p>
        </w:tc>
      </w:tr>
      <w:tr w:rsidR="009B591B" w:rsidRPr="00D51A68" w:rsidTr="00BA7F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70"/>
        </w:trPr>
        <w:tc>
          <w:tcPr>
            <w:tcW w:w="1591" w:type="dxa"/>
            <w:tcBorders>
              <w:top w:val="single" w:sz="4" w:space="0" w:color="auto"/>
              <w:left w:val="single" w:sz="8" w:space="0" w:color="auto"/>
              <w:bottom w:val="single" w:sz="4" w:space="0" w:color="auto"/>
              <w:right w:val="single" w:sz="4" w:space="0" w:color="auto"/>
            </w:tcBorders>
            <w:shd w:val="clear" w:color="auto" w:fill="auto"/>
            <w:vAlign w:val="center"/>
          </w:tcPr>
          <w:p w:rsidR="009B591B" w:rsidRPr="00D51A68" w:rsidRDefault="009B591B" w:rsidP="00FC1A76">
            <w:pPr>
              <w:pStyle w:val="InstructionsText"/>
              <w:rPr>
                <w:rStyle w:val="FormatvorlageInstructionsTabelleText"/>
                <w:rFonts w:ascii="Times New Roman" w:hAnsi="Times New Roman"/>
                <w:bCs w:val="0"/>
                <w:sz w:val="24"/>
              </w:rPr>
            </w:pPr>
            <w:r w:rsidRPr="00D51A68">
              <w:rPr>
                <w:rStyle w:val="FormatvorlageInstructionsTabelleText"/>
                <w:rFonts w:ascii="Times New Roman" w:hAnsi="Times New Roman"/>
                <w:sz w:val="24"/>
              </w:rPr>
              <w:t>770</w:t>
            </w:r>
          </w:p>
        </w:tc>
        <w:tc>
          <w:tcPr>
            <w:tcW w:w="7274" w:type="dxa"/>
            <w:tcBorders>
              <w:top w:val="single" w:sz="4" w:space="0" w:color="auto"/>
              <w:left w:val="nil"/>
              <w:bottom w:val="single" w:sz="4" w:space="0" w:color="auto"/>
              <w:right w:val="single" w:sz="4" w:space="0" w:color="auto"/>
            </w:tcBorders>
            <w:shd w:val="clear" w:color="auto" w:fill="auto"/>
            <w:vAlign w:val="center"/>
          </w:tcPr>
          <w:p w:rsidR="009B591B" w:rsidRPr="00D51A68" w:rsidRDefault="009B591B" w:rsidP="00FC1A76">
            <w:pPr>
              <w:pStyle w:val="InstructionsText"/>
              <w:rPr>
                <w:rStyle w:val="InstructionsTabelleberschrift"/>
                <w:rFonts w:ascii="Times New Roman" w:hAnsi="Times New Roman"/>
                <w:bCs w:val="0"/>
                <w:sz w:val="24"/>
              </w:rPr>
            </w:pPr>
            <w:r w:rsidRPr="00D51A68">
              <w:rPr>
                <w:rStyle w:val="InstructionsTabelleberschrift"/>
                <w:rFonts w:ascii="Times New Roman" w:hAnsi="Times New Roman"/>
                <w:sz w:val="24"/>
              </w:rPr>
              <w:t>1.8.5</w:t>
            </w:r>
            <w:r w:rsidR="00A0772B" w:rsidRPr="00D51A68">
              <w:rPr>
                <w:u w:val="single"/>
              </w:rPr>
              <w:tab/>
            </w:r>
            <w:r w:rsidRPr="00D51A68">
              <w:rPr>
                <w:rStyle w:val="InstructionsTabelleberschrift"/>
                <w:rFonts w:ascii="Times New Roman" w:hAnsi="Times New Roman"/>
                <w:sz w:val="24"/>
              </w:rPr>
              <w:t>di cui: importi delle esposizioni ponderati per il rischio di credito: posizioni verso la cartolarizzazione (quadro rivisto in materia di cartolarizzazione)</w:t>
            </w:r>
          </w:p>
          <w:p w:rsidR="009B591B" w:rsidRPr="00D51A68" w:rsidRDefault="009B591B" w:rsidP="00FC1A76">
            <w:pPr>
              <w:pStyle w:val="InstructionsText"/>
              <w:rPr>
                <w:rStyle w:val="InstructionsTabelleberschrift"/>
                <w:rFonts w:ascii="Times New Roman" w:hAnsi="Times New Roman"/>
                <w:bCs w:val="0"/>
                <w:sz w:val="24"/>
              </w:rPr>
            </w:pPr>
            <w:r w:rsidRPr="00D51A68">
              <w:t xml:space="preserve">Articolo 92, paragrafo 3, lettera a), e parte tre, titolo II, capo 5, del CRR. </w:t>
            </w:r>
          </w:p>
        </w:tc>
      </w:tr>
      <w:tr w:rsidR="00241190" w:rsidRPr="00D51A68" w:rsidTr="00BA7F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single" w:sz="4" w:space="0" w:color="auto"/>
              <w:left w:val="single" w:sz="4" w:space="0" w:color="auto"/>
              <w:bottom w:val="single" w:sz="6" w:space="0" w:color="auto"/>
              <w:right w:val="single" w:sz="6" w:space="0" w:color="auto"/>
            </w:tcBorders>
            <w:shd w:val="clear" w:color="auto" w:fill="auto"/>
            <w:vAlign w:val="center"/>
            <w:hideMark/>
          </w:tcPr>
          <w:p w:rsidR="00241190" w:rsidRPr="00D51A68" w:rsidRDefault="0024119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780</w:t>
            </w:r>
          </w:p>
        </w:tc>
        <w:tc>
          <w:tcPr>
            <w:tcW w:w="7274" w:type="dxa"/>
            <w:tcBorders>
              <w:top w:val="single" w:sz="4" w:space="0" w:color="auto"/>
              <w:left w:val="single" w:sz="6" w:space="0" w:color="auto"/>
              <w:bottom w:val="single" w:sz="6" w:space="0" w:color="auto"/>
              <w:right w:val="single" w:sz="4" w:space="0" w:color="auto"/>
            </w:tcBorders>
            <w:shd w:val="clear" w:color="auto" w:fill="auto"/>
            <w:vAlign w:val="center"/>
            <w:hideMark/>
          </w:tcPr>
          <w:p w:rsidR="00241190" w:rsidRPr="00D51A68" w:rsidRDefault="00241190" w:rsidP="00FC1A76">
            <w:pPr>
              <w:pStyle w:val="InstructionsText"/>
              <w:rPr>
                <w:rStyle w:val="InstructionsTabelleberschrift"/>
                <w:rFonts w:ascii="Times New Roman" w:hAnsi="Times New Roman"/>
                <w:bCs w:val="0"/>
                <w:sz w:val="24"/>
              </w:rPr>
            </w:pPr>
            <w:r w:rsidRPr="00D51A68">
              <w:rPr>
                <w:rStyle w:val="InstructionsTabelleberschrift"/>
                <w:rFonts w:ascii="Times New Roman" w:hAnsi="Times New Roman"/>
                <w:sz w:val="24"/>
              </w:rPr>
              <w:t>1.8.5.1</w:t>
            </w:r>
            <w:r w:rsidR="00A0772B" w:rsidRPr="00D51A68">
              <w:rPr>
                <w:u w:val="single"/>
              </w:rPr>
              <w:tab/>
            </w:r>
            <w:r w:rsidRPr="00D51A68">
              <w:rPr>
                <w:rStyle w:val="InstructionsTabelleberschrift"/>
                <w:rFonts w:ascii="Times New Roman" w:hAnsi="Times New Roman"/>
                <w:sz w:val="24"/>
              </w:rPr>
              <w:t xml:space="preserve"> Metodo basato sui rating interni (SEC-IRBA)</w:t>
            </w:r>
          </w:p>
          <w:p w:rsidR="00BD661B" w:rsidRPr="00D51A68" w:rsidRDefault="00BD661B" w:rsidP="00FC1A76">
            <w:pPr>
              <w:pStyle w:val="InstructionsText"/>
              <w:rPr>
                <w:rStyle w:val="InstructionsTabelleberschrift"/>
                <w:rFonts w:ascii="Times New Roman" w:hAnsi="Times New Roman"/>
                <w:b w:val="0"/>
                <w:bCs w:val="0"/>
                <w:sz w:val="24"/>
                <w:u w:val="none"/>
              </w:rPr>
            </w:pPr>
            <w:r w:rsidRPr="00D51A68">
              <w:t>Articolo 254, paragrafo 1, lettera a), e articoli 259 e 260 del CRR.</w:t>
            </w:r>
          </w:p>
        </w:tc>
      </w:tr>
      <w:tr w:rsidR="00241190" w:rsidRPr="00D51A68" w:rsidTr="00BA7F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single" w:sz="6" w:space="0" w:color="auto"/>
              <w:left w:val="single" w:sz="4" w:space="0" w:color="auto"/>
              <w:bottom w:val="single" w:sz="4" w:space="0" w:color="auto"/>
              <w:right w:val="single" w:sz="6" w:space="0" w:color="auto"/>
            </w:tcBorders>
            <w:shd w:val="clear" w:color="auto" w:fill="auto"/>
            <w:vAlign w:val="center"/>
            <w:hideMark/>
          </w:tcPr>
          <w:p w:rsidR="00241190" w:rsidRPr="00D51A68" w:rsidRDefault="0024119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790</w:t>
            </w:r>
          </w:p>
        </w:tc>
        <w:tc>
          <w:tcPr>
            <w:tcW w:w="7274" w:type="dxa"/>
            <w:tcBorders>
              <w:top w:val="single" w:sz="6" w:space="0" w:color="auto"/>
              <w:left w:val="single" w:sz="6" w:space="0" w:color="auto"/>
              <w:bottom w:val="single" w:sz="4" w:space="0" w:color="auto"/>
              <w:right w:val="single" w:sz="4" w:space="0" w:color="auto"/>
            </w:tcBorders>
            <w:shd w:val="clear" w:color="auto" w:fill="auto"/>
            <w:vAlign w:val="center"/>
            <w:hideMark/>
          </w:tcPr>
          <w:p w:rsidR="00241190" w:rsidRPr="00D51A68" w:rsidRDefault="00241190" w:rsidP="00FC1A76">
            <w:pPr>
              <w:pStyle w:val="InstructionsText"/>
              <w:rPr>
                <w:rStyle w:val="InstructionsTabelleberschrift"/>
                <w:rFonts w:ascii="Times New Roman" w:hAnsi="Times New Roman"/>
                <w:bCs w:val="0"/>
                <w:sz w:val="24"/>
              </w:rPr>
            </w:pPr>
            <w:r w:rsidRPr="00D51A68">
              <w:rPr>
                <w:rStyle w:val="InstructionsTabelleberschrift"/>
                <w:rFonts w:ascii="Times New Roman" w:hAnsi="Times New Roman"/>
                <w:sz w:val="24"/>
              </w:rPr>
              <w:t>1.8.5.1.1</w:t>
            </w:r>
            <w:r w:rsidR="00A0772B" w:rsidRPr="00D51A68">
              <w:rPr>
                <w:u w:val="single"/>
              </w:rPr>
              <w:tab/>
            </w:r>
            <w:r w:rsidRPr="00D51A68">
              <w:rPr>
                <w:rStyle w:val="InstructionsTabelleberschrift"/>
                <w:rFonts w:ascii="Times New Roman" w:hAnsi="Times New Roman"/>
                <w:sz w:val="24"/>
              </w:rPr>
              <w:t>Cartolarizzazioni non ammissibili al trattamento differenziato ai fini patrimoniali</w:t>
            </w:r>
          </w:p>
          <w:p w:rsidR="003D7822" w:rsidRPr="00D51A68" w:rsidRDefault="00924FE7" w:rsidP="00FC1A76">
            <w:pPr>
              <w:pStyle w:val="InstructionsText"/>
              <w:rPr>
                <w:rStyle w:val="InstructionsTabelleberschrift"/>
                <w:rFonts w:ascii="Times New Roman" w:hAnsi="Times New Roman"/>
                <w:b w:val="0"/>
                <w:sz w:val="24"/>
              </w:rPr>
            </w:pPr>
            <w:r w:rsidRPr="00D51A68">
              <w:t>Articolo 254, paragrafo 1, lettera a), e articolo 259 del CRR.</w:t>
            </w:r>
          </w:p>
        </w:tc>
      </w:tr>
      <w:tr w:rsidR="00241190" w:rsidRPr="00D51A68" w:rsidTr="00BA7F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1190" w:rsidRPr="00D51A68" w:rsidRDefault="00241190"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lastRenderedPageBreak/>
              <w:t>800</w:t>
            </w:r>
          </w:p>
        </w:tc>
        <w:tc>
          <w:tcPr>
            <w:tcW w:w="7274" w:type="dxa"/>
            <w:tcBorders>
              <w:top w:val="single" w:sz="4" w:space="0" w:color="auto"/>
              <w:left w:val="nil"/>
              <w:bottom w:val="single" w:sz="4" w:space="0" w:color="auto"/>
              <w:right w:val="single" w:sz="4" w:space="0" w:color="auto"/>
            </w:tcBorders>
            <w:shd w:val="clear" w:color="auto" w:fill="auto"/>
            <w:vAlign w:val="center"/>
            <w:hideMark/>
          </w:tcPr>
          <w:p w:rsidR="00241190" w:rsidRPr="00D51A68" w:rsidRDefault="00241190" w:rsidP="00FC1A76">
            <w:pPr>
              <w:pStyle w:val="InstructionsText"/>
              <w:rPr>
                <w:rStyle w:val="InstructionsTabelleberschrift"/>
                <w:rFonts w:ascii="Times New Roman" w:hAnsi="Times New Roman"/>
                <w:bCs w:val="0"/>
                <w:sz w:val="24"/>
              </w:rPr>
            </w:pPr>
            <w:r w:rsidRPr="00D51A68">
              <w:rPr>
                <w:rStyle w:val="InstructionsTabelleberschrift"/>
                <w:rFonts w:ascii="Times New Roman" w:hAnsi="Times New Roman"/>
                <w:sz w:val="24"/>
              </w:rPr>
              <w:t>1.8.5.1.2</w:t>
            </w:r>
            <w:r w:rsidR="00A0772B" w:rsidRPr="00D51A68">
              <w:rPr>
                <w:u w:val="single"/>
              </w:rPr>
              <w:tab/>
            </w:r>
            <w:r w:rsidRPr="00D51A68">
              <w:rPr>
                <w:rStyle w:val="InstructionsTabelleberschrift"/>
                <w:rFonts w:ascii="Times New Roman" w:hAnsi="Times New Roman"/>
                <w:sz w:val="24"/>
              </w:rPr>
              <w:t>Cartolarizzazioni STS ammissibili al trattamento differenziato ai fini patrimoniali</w:t>
            </w:r>
          </w:p>
          <w:p w:rsidR="00924FE7" w:rsidRPr="00D51A68" w:rsidRDefault="00602FA5" w:rsidP="00FC1A76">
            <w:pPr>
              <w:pStyle w:val="InstructionsText"/>
            </w:pPr>
            <w:r w:rsidRPr="00D51A68">
              <w:t>Articolo 254, paragrafo 1, lettera a), e articoli 259 e 260 del CRR.</w:t>
            </w:r>
          </w:p>
          <w:p w:rsidR="008B1A0F" w:rsidRPr="00D51A68" w:rsidRDefault="00366794" w:rsidP="00FC1A76">
            <w:pPr>
              <w:pStyle w:val="InstructionsText"/>
              <w:rPr>
                <w:rStyle w:val="InstructionsTabelleberschrift"/>
                <w:rFonts w:ascii="Times New Roman" w:hAnsi="Times New Roman"/>
                <w:sz w:val="24"/>
              </w:rPr>
            </w:pPr>
            <w:r w:rsidRPr="00D51A68">
              <w:t>Sia le cartolarizzazioni STS ammissibili al trattamento differenziato ai fini patrimoniali a norma dell</w:t>
            </w:r>
            <w:r w:rsidR="0009277C" w:rsidRPr="00D51A68">
              <w:t>’</w:t>
            </w:r>
            <w:r w:rsidRPr="00D51A68">
              <w:t>articolo 243 del CRR che le posizioni senior verso le cartolarizzazioni delle PMI ammissibili al trattamento differenziato ai fini patrimoniali a norma dell</w:t>
            </w:r>
            <w:r w:rsidR="0009277C" w:rsidRPr="00D51A68">
              <w:t>’</w:t>
            </w:r>
            <w:r w:rsidRPr="00D51A68">
              <w:t>articolo 270 del CRR sono segnalate in questa riga.</w:t>
            </w:r>
          </w:p>
        </w:tc>
      </w:tr>
      <w:tr w:rsidR="00BD661B" w:rsidRPr="00D51A68"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BD661B" w:rsidRPr="00D51A68" w:rsidRDefault="00BD661B"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810</w:t>
            </w:r>
          </w:p>
        </w:tc>
        <w:tc>
          <w:tcPr>
            <w:tcW w:w="7274" w:type="dxa"/>
            <w:tcBorders>
              <w:top w:val="nil"/>
              <w:left w:val="nil"/>
              <w:bottom w:val="single" w:sz="4" w:space="0" w:color="auto"/>
              <w:right w:val="single" w:sz="4" w:space="0" w:color="auto"/>
            </w:tcBorders>
            <w:shd w:val="clear" w:color="auto" w:fill="auto"/>
            <w:vAlign w:val="center"/>
          </w:tcPr>
          <w:p w:rsidR="00BD661B" w:rsidRPr="00D51A68" w:rsidRDefault="00BD661B" w:rsidP="00FC1A76">
            <w:pPr>
              <w:pStyle w:val="InstructionsText"/>
              <w:rPr>
                <w:rStyle w:val="InstructionsTabelleberschrift"/>
                <w:rFonts w:ascii="Times New Roman" w:hAnsi="Times New Roman"/>
                <w:bCs w:val="0"/>
                <w:sz w:val="24"/>
              </w:rPr>
            </w:pPr>
            <w:r w:rsidRPr="00D51A68">
              <w:rPr>
                <w:rStyle w:val="InstructionsTabelleberschrift"/>
                <w:rFonts w:ascii="Times New Roman" w:hAnsi="Times New Roman"/>
                <w:sz w:val="24"/>
              </w:rPr>
              <w:t>1.8.5.2 Metodo standardizzato (SEC-SA)</w:t>
            </w:r>
          </w:p>
          <w:p w:rsidR="002625C0" w:rsidRPr="00D51A68" w:rsidRDefault="002625C0" w:rsidP="00FC1A76">
            <w:pPr>
              <w:pStyle w:val="InstructionsText"/>
              <w:rPr>
                <w:rStyle w:val="InstructionsTabelleberschrift"/>
                <w:rFonts w:ascii="Times New Roman" w:hAnsi="Times New Roman"/>
                <w:sz w:val="24"/>
              </w:rPr>
            </w:pPr>
            <w:r w:rsidRPr="00D51A68">
              <w:t>Articolo 254, paragrafo 1, lettera b), e paragrafo 6, e articoli 261, 262 e 269 del CRR.</w:t>
            </w:r>
          </w:p>
        </w:tc>
      </w:tr>
      <w:tr w:rsidR="00BD661B" w:rsidRPr="00D51A68"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BD661B" w:rsidRPr="00D51A68" w:rsidRDefault="00BD661B"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820</w:t>
            </w:r>
          </w:p>
        </w:tc>
        <w:tc>
          <w:tcPr>
            <w:tcW w:w="7274" w:type="dxa"/>
            <w:tcBorders>
              <w:top w:val="nil"/>
              <w:left w:val="nil"/>
              <w:bottom w:val="single" w:sz="4" w:space="0" w:color="auto"/>
              <w:right w:val="single" w:sz="4" w:space="0" w:color="auto"/>
            </w:tcBorders>
            <w:shd w:val="clear" w:color="auto" w:fill="auto"/>
            <w:vAlign w:val="center"/>
          </w:tcPr>
          <w:p w:rsidR="00BD661B" w:rsidRPr="00D51A68" w:rsidRDefault="00BD661B" w:rsidP="00FC1A76">
            <w:pPr>
              <w:pStyle w:val="InstructionsText"/>
              <w:rPr>
                <w:rStyle w:val="InstructionsTabelleberschrift"/>
                <w:rFonts w:ascii="Times New Roman" w:hAnsi="Times New Roman"/>
                <w:bCs w:val="0"/>
                <w:sz w:val="24"/>
              </w:rPr>
            </w:pPr>
            <w:r w:rsidRPr="00D51A68">
              <w:rPr>
                <w:rStyle w:val="InstructionsTabelleberschrift"/>
                <w:rFonts w:ascii="Times New Roman" w:hAnsi="Times New Roman"/>
                <w:sz w:val="24"/>
              </w:rPr>
              <w:t>1.8.5.2.1</w:t>
            </w:r>
            <w:r w:rsidR="00A0772B" w:rsidRPr="00D51A68">
              <w:rPr>
                <w:u w:val="single"/>
              </w:rPr>
              <w:tab/>
            </w:r>
            <w:r w:rsidRPr="00D51A68">
              <w:rPr>
                <w:rStyle w:val="InstructionsTabelleberschrift"/>
                <w:rFonts w:ascii="Times New Roman" w:hAnsi="Times New Roman"/>
                <w:sz w:val="24"/>
              </w:rPr>
              <w:t>Cartolarizzazioni non ammissibili al trattamento differenziato ai fini patrimoniali</w:t>
            </w:r>
          </w:p>
          <w:p w:rsidR="004E6D5F" w:rsidRPr="00D51A68" w:rsidRDefault="004E6D5F" w:rsidP="00FC1A76">
            <w:pPr>
              <w:pStyle w:val="InstructionsText"/>
              <w:rPr>
                <w:rStyle w:val="InstructionsTabelleberschrift"/>
                <w:rFonts w:ascii="Times New Roman" w:hAnsi="Times New Roman"/>
                <w:sz w:val="24"/>
              </w:rPr>
            </w:pPr>
            <w:r w:rsidRPr="00D51A68">
              <w:t>Articolo 254, paragrafo 1, lettera b), e paragrafo 6, e articoli 261 e 269 del CRR.</w:t>
            </w:r>
          </w:p>
        </w:tc>
      </w:tr>
      <w:tr w:rsidR="00BD661B" w:rsidRPr="00D51A68"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BD661B" w:rsidRPr="00D51A68" w:rsidRDefault="00BD661B"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830</w:t>
            </w:r>
          </w:p>
        </w:tc>
        <w:tc>
          <w:tcPr>
            <w:tcW w:w="7274" w:type="dxa"/>
            <w:tcBorders>
              <w:top w:val="nil"/>
              <w:left w:val="nil"/>
              <w:bottom w:val="single" w:sz="4" w:space="0" w:color="auto"/>
              <w:right w:val="single" w:sz="4" w:space="0" w:color="auto"/>
            </w:tcBorders>
            <w:shd w:val="clear" w:color="auto" w:fill="auto"/>
            <w:vAlign w:val="center"/>
          </w:tcPr>
          <w:p w:rsidR="00BD661B" w:rsidRPr="00D51A68" w:rsidRDefault="00BD661B" w:rsidP="00FC1A76">
            <w:pPr>
              <w:pStyle w:val="InstructionsText"/>
              <w:rPr>
                <w:rStyle w:val="InstructionsTabelleberschrift"/>
                <w:rFonts w:ascii="Times New Roman" w:hAnsi="Times New Roman"/>
                <w:bCs w:val="0"/>
                <w:sz w:val="24"/>
              </w:rPr>
            </w:pPr>
            <w:r w:rsidRPr="00D51A68">
              <w:rPr>
                <w:rStyle w:val="InstructionsTabelleberschrift"/>
                <w:rFonts w:ascii="Times New Roman" w:hAnsi="Times New Roman"/>
                <w:sz w:val="24"/>
              </w:rPr>
              <w:t>1.8.5.2.2</w:t>
            </w:r>
            <w:r w:rsidR="00A0772B" w:rsidRPr="00D51A68">
              <w:rPr>
                <w:u w:val="single"/>
              </w:rPr>
              <w:tab/>
            </w:r>
            <w:r w:rsidRPr="00D51A68">
              <w:rPr>
                <w:rStyle w:val="InstructionsTabelleberschrift"/>
                <w:rFonts w:ascii="Times New Roman" w:hAnsi="Times New Roman"/>
                <w:sz w:val="24"/>
              </w:rPr>
              <w:t>Cartolarizzazioni STS ammissibili al trattamento differenziato ai fini patrimoniali</w:t>
            </w:r>
          </w:p>
          <w:p w:rsidR="004E6D5F" w:rsidRPr="00D51A68" w:rsidRDefault="004E6D5F" w:rsidP="00FC1A76">
            <w:pPr>
              <w:pStyle w:val="InstructionsText"/>
            </w:pPr>
            <w:r w:rsidRPr="00D51A68">
              <w:t>Articolo 254, paragrafo 1, lettera b), e articoli 261 e 262 del CRR.</w:t>
            </w:r>
          </w:p>
          <w:p w:rsidR="008B1A0F" w:rsidRPr="00D51A68" w:rsidRDefault="00366794" w:rsidP="00FC1A76">
            <w:pPr>
              <w:pStyle w:val="InstructionsText"/>
              <w:rPr>
                <w:rStyle w:val="InstructionsTabelleberschrift"/>
                <w:rFonts w:ascii="Times New Roman" w:hAnsi="Times New Roman"/>
                <w:sz w:val="24"/>
              </w:rPr>
            </w:pPr>
            <w:r w:rsidRPr="00D51A68">
              <w:t>Sia le cartolarizzazioni STS ammissibili al trattamento differenziato ai fini patrimoniali a norma dell</w:t>
            </w:r>
            <w:r w:rsidR="0009277C" w:rsidRPr="00D51A68">
              <w:t>’</w:t>
            </w:r>
            <w:r w:rsidRPr="00D51A68">
              <w:t>articolo 243 del CRR che le posizioni senior verso le cartolarizzazioni delle PMI ammissibili al trattamento differenziato ai fini patrimoniali a norma dell</w:t>
            </w:r>
            <w:r w:rsidR="0009277C" w:rsidRPr="00D51A68">
              <w:t>’</w:t>
            </w:r>
            <w:r w:rsidRPr="00D51A68">
              <w:t>articolo 270 del CRR sono segnalate in questa riga.</w:t>
            </w:r>
          </w:p>
        </w:tc>
      </w:tr>
      <w:tr w:rsidR="009B591B" w:rsidRPr="00D51A68"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D51A68" w:rsidRDefault="009B591B"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840</w:t>
            </w:r>
          </w:p>
        </w:tc>
        <w:tc>
          <w:tcPr>
            <w:tcW w:w="7274" w:type="dxa"/>
            <w:tcBorders>
              <w:top w:val="nil"/>
              <w:left w:val="nil"/>
              <w:bottom w:val="single" w:sz="4" w:space="0" w:color="auto"/>
              <w:right w:val="single" w:sz="4" w:space="0" w:color="auto"/>
            </w:tcBorders>
            <w:shd w:val="clear" w:color="auto" w:fill="auto"/>
            <w:vAlign w:val="center"/>
          </w:tcPr>
          <w:p w:rsidR="009B591B" w:rsidRPr="00D51A68" w:rsidRDefault="009B591B" w:rsidP="00FC1A76">
            <w:pPr>
              <w:pStyle w:val="InstructionsText"/>
              <w:rPr>
                <w:rStyle w:val="InstructionsTabelleberschrift"/>
                <w:rFonts w:ascii="Times New Roman" w:hAnsi="Times New Roman"/>
                <w:bCs w:val="0"/>
                <w:sz w:val="24"/>
              </w:rPr>
            </w:pPr>
            <w:r w:rsidRPr="00D51A68">
              <w:rPr>
                <w:rStyle w:val="InstructionsTabelleberschrift"/>
                <w:rFonts w:ascii="Times New Roman" w:hAnsi="Times New Roman"/>
                <w:sz w:val="24"/>
              </w:rPr>
              <w:t>1.8.5.3</w:t>
            </w:r>
            <w:r w:rsidR="00A0772B" w:rsidRPr="00D51A68">
              <w:rPr>
                <w:u w:val="single"/>
              </w:rPr>
              <w:tab/>
            </w:r>
            <w:r w:rsidRPr="00D51A68">
              <w:rPr>
                <w:rStyle w:val="InstructionsTabelleberschrift"/>
                <w:rFonts w:ascii="Times New Roman" w:hAnsi="Times New Roman"/>
                <w:sz w:val="24"/>
              </w:rPr>
              <w:t xml:space="preserve"> Metodo basato sui rating esterni (SEC-ERBA)</w:t>
            </w:r>
          </w:p>
          <w:p w:rsidR="009B591B" w:rsidRPr="00D51A68" w:rsidRDefault="009B591B" w:rsidP="00FC1A76">
            <w:pPr>
              <w:pStyle w:val="InstructionsText"/>
              <w:rPr>
                <w:rStyle w:val="InstructionsTabelleberschrift"/>
                <w:rFonts w:ascii="Times New Roman" w:hAnsi="Times New Roman"/>
                <w:sz w:val="24"/>
              </w:rPr>
            </w:pPr>
            <w:r w:rsidRPr="00D51A68">
              <w:t>Articolo 254, paragrafo 1, lettera c), e paragrafi 2, 3 e 4, e articoli 263 e 264 del CRR.</w:t>
            </w:r>
          </w:p>
        </w:tc>
      </w:tr>
      <w:tr w:rsidR="009B591B" w:rsidRPr="00D51A68"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D51A68" w:rsidRDefault="009B591B"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850</w:t>
            </w:r>
          </w:p>
        </w:tc>
        <w:tc>
          <w:tcPr>
            <w:tcW w:w="7274" w:type="dxa"/>
            <w:tcBorders>
              <w:top w:val="nil"/>
              <w:left w:val="nil"/>
              <w:bottom w:val="single" w:sz="4" w:space="0" w:color="auto"/>
              <w:right w:val="single" w:sz="4" w:space="0" w:color="auto"/>
            </w:tcBorders>
            <w:shd w:val="clear" w:color="auto" w:fill="auto"/>
            <w:vAlign w:val="center"/>
          </w:tcPr>
          <w:p w:rsidR="009B591B" w:rsidRPr="00D51A68" w:rsidRDefault="009B591B" w:rsidP="00FC1A76">
            <w:pPr>
              <w:pStyle w:val="InstructionsText"/>
              <w:rPr>
                <w:rStyle w:val="InstructionsTabelleberschrift"/>
                <w:rFonts w:ascii="Times New Roman" w:hAnsi="Times New Roman"/>
                <w:bCs w:val="0"/>
                <w:sz w:val="24"/>
              </w:rPr>
            </w:pPr>
            <w:r w:rsidRPr="00D51A68">
              <w:rPr>
                <w:rStyle w:val="InstructionsTabelleberschrift"/>
                <w:rFonts w:ascii="Times New Roman" w:hAnsi="Times New Roman"/>
                <w:sz w:val="24"/>
              </w:rPr>
              <w:t>1.8.5.3.1</w:t>
            </w:r>
            <w:r w:rsidR="00A0772B" w:rsidRPr="00D51A68">
              <w:rPr>
                <w:u w:val="single"/>
              </w:rPr>
              <w:tab/>
            </w:r>
            <w:r w:rsidRPr="00D51A68">
              <w:rPr>
                <w:rStyle w:val="InstructionsTabelleberschrift"/>
                <w:rFonts w:ascii="Times New Roman" w:hAnsi="Times New Roman"/>
                <w:sz w:val="24"/>
              </w:rPr>
              <w:t>Cartolarizzazioni non ammissibili al trattamento differenziato ai fini patrimoniali</w:t>
            </w:r>
          </w:p>
          <w:p w:rsidR="009B591B" w:rsidRPr="00D51A68" w:rsidRDefault="009B591B" w:rsidP="00FC1A76">
            <w:pPr>
              <w:pStyle w:val="InstructionsText"/>
              <w:rPr>
                <w:rStyle w:val="InstructionsTabelleberschrift"/>
                <w:rFonts w:ascii="Times New Roman" w:hAnsi="Times New Roman"/>
                <w:sz w:val="24"/>
              </w:rPr>
            </w:pPr>
            <w:r w:rsidRPr="00D51A68">
              <w:t>Articolo 254, paragrafo 1, lettera c), e paragrafi 2, 3 e 4, e articolo 263 del CRR.</w:t>
            </w:r>
          </w:p>
        </w:tc>
      </w:tr>
      <w:tr w:rsidR="009B591B" w:rsidRPr="00D51A68"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D51A68" w:rsidRDefault="009B591B"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860</w:t>
            </w:r>
          </w:p>
        </w:tc>
        <w:tc>
          <w:tcPr>
            <w:tcW w:w="7274" w:type="dxa"/>
            <w:tcBorders>
              <w:top w:val="nil"/>
              <w:left w:val="nil"/>
              <w:bottom w:val="single" w:sz="4" w:space="0" w:color="auto"/>
              <w:right w:val="single" w:sz="4" w:space="0" w:color="auto"/>
            </w:tcBorders>
            <w:shd w:val="clear" w:color="auto" w:fill="auto"/>
            <w:vAlign w:val="center"/>
          </w:tcPr>
          <w:p w:rsidR="009B591B" w:rsidRPr="00D51A68" w:rsidRDefault="009B591B" w:rsidP="00FC1A76">
            <w:pPr>
              <w:pStyle w:val="InstructionsText"/>
              <w:rPr>
                <w:rStyle w:val="InstructionsTabelleberschrift"/>
                <w:rFonts w:ascii="Times New Roman" w:hAnsi="Times New Roman"/>
                <w:bCs w:val="0"/>
                <w:sz w:val="24"/>
              </w:rPr>
            </w:pPr>
            <w:r w:rsidRPr="00D51A68">
              <w:rPr>
                <w:rStyle w:val="InstructionsTabelleberschrift"/>
                <w:rFonts w:ascii="Times New Roman" w:hAnsi="Times New Roman"/>
                <w:sz w:val="24"/>
              </w:rPr>
              <w:t>1.8.5.3.2</w:t>
            </w:r>
            <w:r w:rsidR="00A0772B" w:rsidRPr="00D51A68">
              <w:rPr>
                <w:u w:val="single"/>
              </w:rPr>
              <w:tab/>
            </w:r>
            <w:r w:rsidRPr="00D51A68">
              <w:rPr>
                <w:rStyle w:val="InstructionsTabelleberschrift"/>
                <w:rFonts w:ascii="Times New Roman" w:hAnsi="Times New Roman"/>
                <w:sz w:val="24"/>
              </w:rPr>
              <w:t>Cartolarizzazioni STS ammissibili al trattamento differenziato ai fini patrimoniali</w:t>
            </w:r>
          </w:p>
          <w:p w:rsidR="009B591B" w:rsidRPr="00D51A68" w:rsidRDefault="009B591B" w:rsidP="00FC1A76">
            <w:pPr>
              <w:pStyle w:val="InstructionsText"/>
            </w:pPr>
            <w:r w:rsidRPr="00D51A68">
              <w:t>Articolo 254, paragrafo 1, lettera c), e paragrafi 2, 3 e 4, e articoli 263 e 264 del CRR.</w:t>
            </w:r>
          </w:p>
          <w:p w:rsidR="009B591B" w:rsidRPr="00D51A68" w:rsidRDefault="009B591B" w:rsidP="00FC1A76">
            <w:pPr>
              <w:pStyle w:val="InstructionsText"/>
              <w:rPr>
                <w:rStyle w:val="InstructionsTabelleberschrift"/>
                <w:rFonts w:ascii="Times New Roman" w:hAnsi="Times New Roman"/>
                <w:sz w:val="24"/>
              </w:rPr>
            </w:pPr>
            <w:r w:rsidRPr="00D51A68">
              <w:t>Sia le cartolarizzazioni STS ammissibili al trattamento differenziato ai fini patrimoniali a norma dell</w:t>
            </w:r>
            <w:r w:rsidR="0009277C" w:rsidRPr="00D51A68">
              <w:t>’</w:t>
            </w:r>
            <w:r w:rsidRPr="00D51A68">
              <w:t>articolo 243 del CRR che le posizioni senior verso le cartolarizzazioni delle PMI ammissibili al trattamento differenziato ai fini patrimoniali a norma dell</w:t>
            </w:r>
            <w:r w:rsidR="0009277C" w:rsidRPr="00D51A68">
              <w:t>’</w:t>
            </w:r>
            <w:r w:rsidRPr="00D51A68">
              <w:t>articolo 270 del CRR sono segnalate in questa riga.</w:t>
            </w:r>
          </w:p>
        </w:tc>
      </w:tr>
      <w:tr w:rsidR="009B591B" w:rsidRPr="00D51A68" w:rsidTr="00E74B77">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D51A68" w:rsidRDefault="009B591B"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870</w:t>
            </w:r>
          </w:p>
        </w:tc>
        <w:tc>
          <w:tcPr>
            <w:tcW w:w="7274" w:type="dxa"/>
            <w:tcBorders>
              <w:top w:val="nil"/>
              <w:left w:val="nil"/>
              <w:bottom w:val="single" w:sz="4" w:space="0" w:color="auto"/>
              <w:right w:val="single" w:sz="4" w:space="0" w:color="auto"/>
            </w:tcBorders>
            <w:shd w:val="clear" w:color="auto" w:fill="auto"/>
            <w:vAlign w:val="center"/>
          </w:tcPr>
          <w:p w:rsidR="009B591B" w:rsidRPr="00D51A68" w:rsidRDefault="009B591B" w:rsidP="00FC1A76">
            <w:pPr>
              <w:pStyle w:val="InstructionsText"/>
              <w:rPr>
                <w:rStyle w:val="InstructionsTabelleberschrift"/>
                <w:rFonts w:ascii="Times New Roman" w:hAnsi="Times New Roman"/>
                <w:bCs w:val="0"/>
                <w:sz w:val="24"/>
              </w:rPr>
            </w:pPr>
            <w:r w:rsidRPr="00D51A68">
              <w:rPr>
                <w:rStyle w:val="InstructionsTabelleberschrift"/>
                <w:rFonts w:ascii="Times New Roman" w:hAnsi="Times New Roman"/>
                <w:sz w:val="24"/>
              </w:rPr>
              <w:t>1.8.5.4</w:t>
            </w:r>
            <w:r w:rsidR="00A0772B" w:rsidRPr="00D51A68">
              <w:rPr>
                <w:u w:val="single"/>
              </w:rPr>
              <w:tab/>
            </w:r>
            <w:r w:rsidRPr="00D51A68">
              <w:rPr>
                <w:rStyle w:val="InstructionsTabelleberschrift"/>
                <w:rFonts w:ascii="Times New Roman" w:hAnsi="Times New Roman"/>
                <w:sz w:val="24"/>
              </w:rPr>
              <w:t xml:space="preserve"> Metodo della valutazione interna (IAA)</w:t>
            </w:r>
          </w:p>
          <w:p w:rsidR="009B591B" w:rsidRPr="00D51A68" w:rsidRDefault="009B591B" w:rsidP="00FC1A76">
            <w:pPr>
              <w:pStyle w:val="InstructionsText"/>
              <w:rPr>
                <w:rStyle w:val="InstructionsTabelleberschrift"/>
                <w:rFonts w:ascii="Times New Roman" w:hAnsi="Times New Roman"/>
                <w:sz w:val="24"/>
              </w:rPr>
            </w:pPr>
            <w:r w:rsidRPr="00D51A68">
              <w:t>Articolo 254, paragrafo 5, e articoli 265 e 266 del CRR.</w:t>
            </w:r>
          </w:p>
        </w:tc>
      </w:tr>
      <w:tr w:rsidR="009B591B" w:rsidRPr="00D51A68" w:rsidTr="00E74B77">
        <w:trPr>
          <w:trHeight w:val="300"/>
        </w:trPr>
        <w:tc>
          <w:tcPr>
            <w:tcW w:w="1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591B" w:rsidRPr="00D51A68" w:rsidRDefault="009B591B"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lastRenderedPageBreak/>
              <w:t>880</w:t>
            </w:r>
          </w:p>
        </w:tc>
        <w:tc>
          <w:tcPr>
            <w:tcW w:w="7274" w:type="dxa"/>
            <w:tcBorders>
              <w:top w:val="single" w:sz="4" w:space="0" w:color="auto"/>
              <w:left w:val="nil"/>
              <w:bottom w:val="single" w:sz="4" w:space="0" w:color="auto"/>
              <w:right w:val="single" w:sz="4" w:space="0" w:color="auto"/>
            </w:tcBorders>
            <w:shd w:val="clear" w:color="auto" w:fill="auto"/>
            <w:vAlign w:val="center"/>
          </w:tcPr>
          <w:p w:rsidR="009B591B" w:rsidRPr="00D51A68" w:rsidRDefault="009B591B" w:rsidP="00FC1A76">
            <w:pPr>
              <w:pStyle w:val="InstructionsText"/>
              <w:rPr>
                <w:rStyle w:val="InstructionsTabelleberschrift"/>
                <w:rFonts w:ascii="Times New Roman" w:hAnsi="Times New Roman"/>
                <w:bCs w:val="0"/>
                <w:sz w:val="24"/>
              </w:rPr>
            </w:pPr>
            <w:r w:rsidRPr="00D51A68">
              <w:rPr>
                <w:rStyle w:val="InstructionsTabelleberschrift"/>
                <w:rFonts w:ascii="Times New Roman" w:hAnsi="Times New Roman"/>
                <w:sz w:val="24"/>
              </w:rPr>
              <w:t>1.8.5.4.1</w:t>
            </w:r>
            <w:r w:rsidR="00A0772B" w:rsidRPr="00D51A68">
              <w:rPr>
                <w:u w:val="single"/>
              </w:rPr>
              <w:tab/>
            </w:r>
            <w:r w:rsidRPr="00D51A68">
              <w:rPr>
                <w:rStyle w:val="InstructionsTabelleberschrift"/>
                <w:rFonts w:ascii="Times New Roman" w:hAnsi="Times New Roman"/>
                <w:sz w:val="24"/>
              </w:rPr>
              <w:t>Cartolarizzazioni non ammissibili al trattamento differenziato ai fini patrimoniali</w:t>
            </w:r>
          </w:p>
          <w:p w:rsidR="009B591B" w:rsidRPr="00D51A68" w:rsidRDefault="009B591B" w:rsidP="00FC1A76">
            <w:pPr>
              <w:pStyle w:val="InstructionsText"/>
              <w:rPr>
                <w:rStyle w:val="InstructionsTabelleberschrift"/>
                <w:rFonts w:ascii="Times New Roman" w:hAnsi="Times New Roman"/>
                <w:b w:val="0"/>
                <w:sz w:val="24"/>
                <w:u w:val="none"/>
              </w:rPr>
            </w:pPr>
            <w:r w:rsidRPr="00D51A68">
              <w:t>Articolo 254, paragrafo 5, e articoli 265 e 266 del CRR.</w:t>
            </w:r>
          </w:p>
        </w:tc>
      </w:tr>
      <w:tr w:rsidR="009B591B" w:rsidRPr="00D51A68"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D51A68" w:rsidRDefault="009B591B"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890</w:t>
            </w:r>
          </w:p>
        </w:tc>
        <w:tc>
          <w:tcPr>
            <w:tcW w:w="7274" w:type="dxa"/>
            <w:tcBorders>
              <w:top w:val="nil"/>
              <w:left w:val="nil"/>
              <w:bottom w:val="single" w:sz="4" w:space="0" w:color="auto"/>
              <w:right w:val="single" w:sz="4" w:space="0" w:color="auto"/>
            </w:tcBorders>
            <w:shd w:val="clear" w:color="auto" w:fill="auto"/>
            <w:vAlign w:val="center"/>
          </w:tcPr>
          <w:p w:rsidR="009B591B" w:rsidRPr="00D51A68" w:rsidRDefault="009B591B" w:rsidP="00FC1A76">
            <w:pPr>
              <w:pStyle w:val="InstructionsText"/>
              <w:rPr>
                <w:rStyle w:val="InstructionsTabelleberschrift"/>
                <w:rFonts w:ascii="Times New Roman" w:hAnsi="Times New Roman"/>
                <w:bCs w:val="0"/>
                <w:sz w:val="24"/>
              </w:rPr>
            </w:pPr>
            <w:r w:rsidRPr="00D51A68">
              <w:rPr>
                <w:rStyle w:val="InstructionsTabelleberschrift"/>
                <w:rFonts w:ascii="Times New Roman" w:hAnsi="Times New Roman"/>
                <w:sz w:val="24"/>
              </w:rPr>
              <w:t>1.8.5.4.2</w:t>
            </w:r>
            <w:r w:rsidR="00A0772B" w:rsidRPr="00D51A68">
              <w:rPr>
                <w:u w:val="single"/>
              </w:rPr>
              <w:tab/>
            </w:r>
            <w:r w:rsidRPr="00D51A68">
              <w:rPr>
                <w:rStyle w:val="InstructionsTabelleberschrift"/>
                <w:rFonts w:ascii="Times New Roman" w:hAnsi="Times New Roman"/>
                <w:sz w:val="24"/>
              </w:rPr>
              <w:t>Cartolarizzazioni STS ammissibili al trattamento differenziato ai fini patrimoniali</w:t>
            </w:r>
          </w:p>
          <w:p w:rsidR="009B591B" w:rsidRPr="00D51A68" w:rsidRDefault="009B591B" w:rsidP="00FC1A76">
            <w:pPr>
              <w:pStyle w:val="InstructionsText"/>
            </w:pPr>
            <w:r w:rsidRPr="00D51A68">
              <w:t>Articolo 254, paragrafo 5, e articoli 265 e 266 del CRR.</w:t>
            </w:r>
          </w:p>
          <w:p w:rsidR="009B591B" w:rsidRPr="00D51A68" w:rsidRDefault="009B591B" w:rsidP="00FC1A76">
            <w:pPr>
              <w:pStyle w:val="InstructionsText"/>
              <w:rPr>
                <w:rStyle w:val="InstructionsTabelleberschrift"/>
                <w:rFonts w:ascii="Times New Roman" w:hAnsi="Times New Roman"/>
                <w:sz w:val="24"/>
              </w:rPr>
            </w:pPr>
            <w:r w:rsidRPr="00D51A68">
              <w:t>Sia le cartolarizzazioni STS ammissibili al trattamento differenziato ai fini patrimoniali a norma dell</w:t>
            </w:r>
            <w:r w:rsidR="0009277C" w:rsidRPr="00D51A68">
              <w:t>’</w:t>
            </w:r>
            <w:r w:rsidRPr="00D51A68">
              <w:t>articolo 243 del CRR che le posizioni senior verso le cartolarizzazioni delle PMI ammissibili al trattamento differenziato ai fini patrimoniali a norma dell</w:t>
            </w:r>
            <w:r w:rsidR="0009277C" w:rsidRPr="00D51A68">
              <w:t>’</w:t>
            </w:r>
            <w:r w:rsidRPr="00D51A68">
              <w:t>articolo 270 del CRR sono segnalate in questa riga.</w:t>
            </w:r>
          </w:p>
        </w:tc>
      </w:tr>
      <w:tr w:rsidR="009B591B" w:rsidRPr="00D51A68"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D51A68" w:rsidRDefault="009B591B"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900</w:t>
            </w:r>
          </w:p>
        </w:tc>
        <w:tc>
          <w:tcPr>
            <w:tcW w:w="7274" w:type="dxa"/>
            <w:tcBorders>
              <w:top w:val="nil"/>
              <w:left w:val="nil"/>
              <w:bottom w:val="single" w:sz="4" w:space="0" w:color="auto"/>
              <w:right w:val="single" w:sz="4" w:space="0" w:color="auto"/>
            </w:tcBorders>
            <w:shd w:val="clear" w:color="auto" w:fill="auto"/>
            <w:vAlign w:val="center"/>
            <w:hideMark/>
          </w:tcPr>
          <w:p w:rsidR="009B591B" w:rsidRPr="00D51A68" w:rsidRDefault="009B591B" w:rsidP="00FC1A76">
            <w:pPr>
              <w:pStyle w:val="InstructionsText"/>
              <w:rPr>
                <w:rStyle w:val="InstructionsTabelleberschrift"/>
                <w:rFonts w:ascii="Times New Roman" w:hAnsi="Times New Roman"/>
                <w:bCs w:val="0"/>
                <w:sz w:val="24"/>
              </w:rPr>
            </w:pPr>
            <w:r w:rsidRPr="00D51A68">
              <w:rPr>
                <w:rStyle w:val="InstructionsTabelleberschrift"/>
                <w:rFonts w:ascii="Times New Roman" w:hAnsi="Times New Roman"/>
                <w:sz w:val="24"/>
              </w:rPr>
              <w:t>1.8.5.5</w:t>
            </w:r>
            <w:r w:rsidR="00A0772B" w:rsidRPr="00D51A68">
              <w:rPr>
                <w:u w:val="single"/>
              </w:rPr>
              <w:tab/>
            </w:r>
            <w:r w:rsidRPr="00D51A68">
              <w:rPr>
                <w:rStyle w:val="InstructionsTabelleberschrift"/>
                <w:rFonts w:ascii="Times New Roman" w:hAnsi="Times New Roman"/>
                <w:sz w:val="24"/>
              </w:rPr>
              <w:t xml:space="preserve"> Altro (RW = 1 250%)</w:t>
            </w:r>
          </w:p>
          <w:p w:rsidR="009B591B" w:rsidRPr="00D51A68" w:rsidRDefault="009B591B" w:rsidP="00FC1A76">
            <w:pPr>
              <w:pStyle w:val="InstructionsText"/>
              <w:rPr>
                <w:rStyle w:val="InstructionsTabelleberschrift"/>
                <w:rFonts w:ascii="Times New Roman" w:hAnsi="Times New Roman"/>
                <w:sz w:val="24"/>
              </w:rPr>
            </w:pPr>
            <w:r w:rsidRPr="00D51A68">
              <w:t>Articolo 254, paragrafo 7, del CRR</w:t>
            </w:r>
          </w:p>
        </w:tc>
      </w:tr>
      <w:tr w:rsidR="00BB3CBE" w:rsidRPr="00D51A68"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tcPr>
          <w:p w:rsidR="00BB3CBE" w:rsidRPr="00D51A68" w:rsidRDefault="00BB3CBE" w:rsidP="00FC1A76">
            <w:pPr>
              <w:pStyle w:val="InstructionsText"/>
              <w:rPr>
                <w:rStyle w:val="FormatvorlageInstructionsTabelleText"/>
                <w:rFonts w:ascii="Times New Roman" w:hAnsi="Times New Roman"/>
                <w:bCs w:val="0"/>
                <w:sz w:val="24"/>
              </w:rPr>
            </w:pPr>
            <w:r w:rsidRPr="00D51A68">
              <w:rPr>
                <w:rStyle w:val="FormatvorlageInstructionsTabelleText"/>
                <w:rFonts w:ascii="Times New Roman" w:hAnsi="Times New Roman"/>
                <w:sz w:val="24"/>
              </w:rPr>
              <w:t>910 – 1040</w:t>
            </w:r>
          </w:p>
        </w:tc>
        <w:tc>
          <w:tcPr>
            <w:tcW w:w="7274" w:type="dxa"/>
            <w:tcBorders>
              <w:top w:val="nil"/>
              <w:left w:val="nil"/>
              <w:bottom w:val="single" w:sz="4" w:space="0" w:color="auto"/>
              <w:right w:val="single" w:sz="4" w:space="0" w:color="auto"/>
            </w:tcBorders>
            <w:shd w:val="clear" w:color="auto" w:fill="auto"/>
            <w:vAlign w:val="center"/>
          </w:tcPr>
          <w:p w:rsidR="00153BEC" w:rsidRPr="00D51A68" w:rsidRDefault="00394410" w:rsidP="00FC1A76">
            <w:pPr>
              <w:pStyle w:val="InstructionsText"/>
              <w:rPr>
                <w:rStyle w:val="InstructionsTabelleberschrift"/>
                <w:rFonts w:ascii="Times New Roman" w:hAnsi="Times New Roman"/>
                <w:bCs w:val="0"/>
                <w:sz w:val="24"/>
              </w:rPr>
            </w:pPr>
            <w:r w:rsidRPr="00D51A68">
              <w:rPr>
                <w:rStyle w:val="InstructionsTabelleberschrift"/>
                <w:rFonts w:ascii="Times New Roman" w:hAnsi="Times New Roman"/>
                <w:sz w:val="24"/>
              </w:rPr>
              <w:t>1.8.6 di cui: importo complessivo dell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esposizione al rischio di posizione: strumenti di debito negoziati - rischio specifico degli strumenti inerenti a cartolarizzazione (quadro rivisto in materia di cartolarizzazione)</w:t>
            </w:r>
          </w:p>
          <w:p w:rsidR="002A6913" w:rsidRPr="00D51A68" w:rsidRDefault="002A6913" w:rsidP="00FC1A76">
            <w:pPr>
              <w:pStyle w:val="InstructionsText"/>
              <w:rPr>
                <w:bCs/>
              </w:rPr>
            </w:pPr>
            <w:r w:rsidRPr="00D51A68">
              <w:t>Gli enti compilano le righe 910-1040 nelle date di riferimento per le segnalazioni successive al 1° gennaio 2019.</w:t>
            </w:r>
          </w:p>
          <w:p w:rsidR="004E2BE7" w:rsidRPr="00D51A68" w:rsidRDefault="004E2BE7" w:rsidP="00FC1A76">
            <w:pPr>
              <w:pStyle w:val="InstructionsText"/>
            </w:pPr>
            <w:r w:rsidRPr="00D51A68">
              <w:t>Le righe 910 – 1040 includono gli importi ponderati per il rischio delle esposizioni riguardanti le posizioni verso la cartolarizzazione del portafoglio di negoziazione i cui importi totali delle esposizioni al rischio sono calcolati conformemente alle disposizioni del CRR. Tuttavia le posizioni verso la cartolarizzazione soggette a requisiti di fondi propri per il portafoglio di negoziazione di correlazione conformemente all</w:t>
            </w:r>
            <w:r w:rsidR="0009277C" w:rsidRPr="00D51A68">
              <w:t>’</w:t>
            </w:r>
            <w:r w:rsidRPr="00D51A68">
              <w:t>articolo 338 del CRR modificato non sono segnalate in queste righe bensì nel modello MKR SA CTP.</w:t>
            </w:r>
          </w:p>
          <w:p w:rsidR="004E2BE7" w:rsidRPr="00D51A68" w:rsidRDefault="004E2BE7" w:rsidP="00FC1A76">
            <w:pPr>
              <w:pStyle w:val="InstructionsText"/>
            </w:pPr>
            <w:r w:rsidRPr="00D51A68">
              <w:t>Gli importi segnalati corrispondono all</w:t>
            </w:r>
            <w:r w:rsidR="0009277C" w:rsidRPr="00D51A68">
              <w:t>’</w:t>
            </w:r>
            <w:r w:rsidRPr="00D51A68">
              <w:t>importo complessivo dell</w:t>
            </w:r>
            <w:r w:rsidR="0009277C" w:rsidRPr="00D51A68">
              <w:t>’</w:t>
            </w:r>
            <w:r w:rsidRPr="00D51A68">
              <w:t>esposizione al rischio, pari al risultato della moltiplicazione per 12,5 dei requisiti di fondi propri calcolati conformemente all</w:t>
            </w:r>
            <w:r w:rsidR="0009277C" w:rsidRPr="00D51A68">
              <w:t>’</w:t>
            </w:r>
            <w:r w:rsidRPr="00D51A68">
              <w:t>articolo 337 del CRR. L</w:t>
            </w:r>
            <w:r w:rsidR="0009277C" w:rsidRPr="00D51A68">
              <w:t>’</w:t>
            </w:r>
            <w:r w:rsidRPr="00D51A68">
              <w:t>importo segnalato tiene conto del fattore di ponderazione del rischio complessivo applicabile a norma dell</w:t>
            </w:r>
            <w:r w:rsidR="0009277C" w:rsidRPr="00D51A68">
              <w:t>’</w:t>
            </w:r>
            <w:r w:rsidRPr="00D51A68">
              <w:t>articolo 337, paragrafo 3, del CRR e del massimale dei requisito di fondi propri per una posizione netta di cui all</w:t>
            </w:r>
            <w:r w:rsidR="0009277C" w:rsidRPr="00D51A68">
              <w:t>’</w:t>
            </w:r>
            <w:r w:rsidRPr="00D51A68">
              <w:t>articolo 335 del CRR.</w:t>
            </w:r>
          </w:p>
          <w:p w:rsidR="007A1E2E" w:rsidRPr="00D51A68" w:rsidRDefault="007A1E2E" w:rsidP="00FC1A76">
            <w:pPr>
              <w:pStyle w:val="InstructionsText"/>
              <w:rPr>
                <w:rStyle w:val="InstructionsTabelleberschrift"/>
                <w:rFonts w:ascii="Times New Roman" w:hAnsi="Times New Roman"/>
                <w:bCs w:val="0"/>
                <w:sz w:val="24"/>
              </w:rPr>
            </w:pPr>
            <w:r w:rsidRPr="00D51A68">
              <w:t>In linea con la determinazione dei fattori di ponderazione del rischio a norma dell</w:t>
            </w:r>
            <w:r w:rsidR="0009277C" w:rsidRPr="00D51A68">
              <w:t>’</w:t>
            </w:r>
            <w:r w:rsidRPr="00D51A68">
              <w:t>articolo 337 del CRR, il metodo da applicare per il calcolo dei requisiti di fondi propri per gli strumenti rappresentanti posizioni verso la cartolarizzazione all</w:t>
            </w:r>
            <w:r w:rsidR="0009277C" w:rsidRPr="00D51A68">
              <w:t>’</w:t>
            </w:r>
            <w:r w:rsidRPr="00D51A68">
              <w:t>interno del portafoglio di negoziazione è il metodo che l</w:t>
            </w:r>
            <w:r w:rsidR="0009277C" w:rsidRPr="00D51A68">
              <w:t>’</w:t>
            </w:r>
            <w:r w:rsidRPr="00D51A68">
              <w:t>ente applicherebbe alla posizione all</w:t>
            </w:r>
            <w:r w:rsidR="0009277C" w:rsidRPr="00D51A68">
              <w:t>’</w:t>
            </w:r>
            <w:r w:rsidRPr="00D51A68">
              <w:t>esterno del suo portafoglio di negoziazione.</w:t>
            </w:r>
          </w:p>
        </w:tc>
      </w:tr>
      <w:tr w:rsidR="009B591B" w:rsidRPr="00D51A68"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D51A68" w:rsidRDefault="009B591B"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910</w:t>
            </w:r>
          </w:p>
        </w:tc>
        <w:tc>
          <w:tcPr>
            <w:tcW w:w="7274" w:type="dxa"/>
            <w:tcBorders>
              <w:top w:val="nil"/>
              <w:left w:val="nil"/>
              <w:bottom w:val="single" w:sz="4" w:space="0" w:color="auto"/>
              <w:right w:val="single" w:sz="4" w:space="0" w:color="auto"/>
            </w:tcBorders>
            <w:shd w:val="clear" w:color="auto" w:fill="auto"/>
            <w:vAlign w:val="center"/>
            <w:hideMark/>
          </w:tcPr>
          <w:p w:rsidR="009B591B" w:rsidRPr="00D51A68" w:rsidRDefault="009B591B" w:rsidP="00FC1A76">
            <w:pPr>
              <w:pStyle w:val="InstructionsText"/>
              <w:rPr>
                <w:rStyle w:val="InstructionsTabelleberschrift"/>
                <w:rFonts w:ascii="Times New Roman" w:hAnsi="Times New Roman"/>
                <w:bCs w:val="0"/>
                <w:sz w:val="24"/>
              </w:rPr>
            </w:pPr>
            <w:r w:rsidRPr="00D51A68">
              <w:rPr>
                <w:rStyle w:val="InstructionsTabelleberschrift"/>
                <w:rFonts w:ascii="Times New Roman" w:hAnsi="Times New Roman"/>
                <w:sz w:val="24"/>
              </w:rPr>
              <w:t>1.8.6</w:t>
            </w:r>
            <w:r w:rsidR="00A0772B" w:rsidRPr="00D51A68">
              <w:rPr>
                <w:u w:val="single"/>
              </w:rPr>
              <w:tab/>
            </w:r>
            <w:r w:rsidRPr="00D51A68">
              <w:rPr>
                <w:rStyle w:val="InstructionsTabelleberschrift"/>
                <w:rFonts w:ascii="Times New Roman" w:hAnsi="Times New Roman"/>
                <w:sz w:val="24"/>
              </w:rPr>
              <w:t>di cui: importo complessivo dell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esposizione al rischio di posizione: strumenti di debito negoziati - rischio specifico degli strumenti inerenti a cartolarizzazione (quadro rivisto in materia di cartolarizzazione)</w:t>
            </w:r>
          </w:p>
          <w:p w:rsidR="00BB3CBE" w:rsidRPr="00D51A68" w:rsidRDefault="00BB3CBE" w:rsidP="00FC1A76">
            <w:pPr>
              <w:pStyle w:val="InstructionsText"/>
              <w:rPr>
                <w:rStyle w:val="InstructionsTabelleberschrift"/>
                <w:rFonts w:ascii="Times New Roman" w:hAnsi="Times New Roman"/>
                <w:sz w:val="24"/>
              </w:rPr>
            </w:pPr>
            <w:r w:rsidRPr="00D51A68">
              <w:lastRenderedPageBreak/>
              <w:t>Articolo 92, paragrafo 3, lettera b), punto i), e paragrafo 4, e articoli 335 e 337 del CRR.</w:t>
            </w:r>
          </w:p>
        </w:tc>
      </w:tr>
      <w:tr w:rsidR="009B591B" w:rsidRPr="00D51A68"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7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D51A68" w:rsidRDefault="009B591B"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lastRenderedPageBreak/>
              <w:t>920</w:t>
            </w:r>
          </w:p>
        </w:tc>
        <w:tc>
          <w:tcPr>
            <w:tcW w:w="7274" w:type="dxa"/>
            <w:tcBorders>
              <w:top w:val="nil"/>
              <w:left w:val="nil"/>
              <w:bottom w:val="single" w:sz="4" w:space="0" w:color="auto"/>
              <w:right w:val="single" w:sz="4" w:space="0" w:color="auto"/>
            </w:tcBorders>
            <w:shd w:val="clear" w:color="auto" w:fill="auto"/>
            <w:vAlign w:val="center"/>
            <w:hideMark/>
          </w:tcPr>
          <w:p w:rsidR="009B591B" w:rsidRPr="00D51A68" w:rsidRDefault="009B591B" w:rsidP="00FC1A76">
            <w:pPr>
              <w:pStyle w:val="InstructionsText"/>
              <w:rPr>
                <w:rStyle w:val="InstructionsTabelleberschrift"/>
                <w:rFonts w:ascii="Times New Roman" w:hAnsi="Times New Roman"/>
                <w:bCs w:val="0"/>
                <w:sz w:val="24"/>
              </w:rPr>
            </w:pPr>
            <w:r w:rsidRPr="00D51A68">
              <w:rPr>
                <w:rStyle w:val="InstructionsTabelleberschrift"/>
                <w:rFonts w:ascii="Times New Roman" w:hAnsi="Times New Roman"/>
                <w:sz w:val="24"/>
              </w:rPr>
              <w:t>1.8.6.1</w:t>
            </w:r>
            <w:r w:rsidR="00A0772B" w:rsidRPr="00D51A68">
              <w:rPr>
                <w:u w:val="single"/>
              </w:rPr>
              <w:tab/>
            </w:r>
            <w:r w:rsidRPr="00D51A68">
              <w:rPr>
                <w:rStyle w:val="InstructionsTabelleberschrift"/>
                <w:rFonts w:ascii="Times New Roman" w:hAnsi="Times New Roman"/>
                <w:sz w:val="24"/>
              </w:rPr>
              <w:t xml:space="preserve"> Metodo basato sui rating interni (SEC-IRBA)</w:t>
            </w:r>
          </w:p>
          <w:p w:rsidR="007A1E2E" w:rsidRPr="00D51A68" w:rsidRDefault="007A1E2E" w:rsidP="00FC1A76">
            <w:pPr>
              <w:pStyle w:val="InstructionsText"/>
              <w:rPr>
                <w:rStyle w:val="InstructionsTabelleberschrift"/>
                <w:rFonts w:ascii="Times New Roman" w:hAnsi="Times New Roman"/>
                <w:sz w:val="24"/>
              </w:rPr>
            </w:pPr>
            <w:r w:rsidRPr="00D51A68">
              <w:t>Articolo 254, paragrafo 1, lettera a), e articoli 259, 260 e 337 del CRR.</w:t>
            </w:r>
          </w:p>
        </w:tc>
      </w:tr>
      <w:tr w:rsidR="009B591B" w:rsidRPr="00D51A68"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D51A68" w:rsidRDefault="009B591B"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930</w:t>
            </w:r>
          </w:p>
        </w:tc>
        <w:tc>
          <w:tcPr>
            <w:tcW w:w="7274" w:type="dxa"/>
            <w:tcBorders>
              <w:top w:val="nil"/>
              <w:left w:val="nil"/>
              <w:bottom w:val="single" w:sz="4" w:space="0" w:color="auto"/>
              <w:right w:val="single" w:sz="4" w:space="0" w:color="auto"/>
            </w:tcBorders>
            <w:shd w:val="clear" w:color="auto" w:fill="auto"/>
            <w:vAlign w:val="center"/>
            <w:hideMark/>
          </w:tcPr>
          <w:p w:rsidR="009B591B" w:rsidRPr="00D51A68" w:rsidRDefault="009B591B" w:rsidP="00FC1A76">
            <w:pPr>
              <w:pStyle w:val="InstructionsText"/>
              <w:rPr>
                <w:rStyle w:val="InstructionsTabelleberschrift"/>
                <w:rFonts w:ascii="Times New Roman" w:hAnsi="Times New Roman"/>
                <w:bCs w:val="0"/>
                <w:sz w:val="24"/>
              </w:rPr>
            </w:pPr>
            <w:r w:rsidRPr="00D51A68">
              <w:rPr>
                <w:rStyle w:val="InstructionsTabelleberschrift"/>
                <w:rFonts w:ascii="Times New Roman" w:hAnsi="Times New Roman"/>
                <w:sz w:val="24"/>
              </w:rPr>
              <w:t>1.8.6.1.1</w:t>
            </w:r>
            <w:r w:rsidR="00A0772B" w:rsidRPr="00D51A68">
              <w:rPr>
                <w:u w:val="single"/>
              </w:rPr>
              <w:tab/>
            </w:r>
            <w:r w:rsidRPr="00D51A68">
              <w:rPr>
                <w:rStyle w:val="InstructionsTabelleberschrift"/>
                <w:rFonts w:ascii="Times New Roman" w:hAnsi="Times New Roman"/>
                <w:sz w:val="24"/>
              </w:rPr>
              <w:t>Cartolarizzazioni non ammissibili al trattamento differenziato ai fini patrimoniali</w:t>
            </w:r>
          </w:p>
          <w:p w:rsidR="007A1E2E" w:rsidRPr="00D51A68" w:rsidRDefault="007A1E2E" w:rsidP="00FC1A76">
            <w:pPr>
              <w:pStyle w:val="InstructionsText"/>
              <w:rPr>
                <w:rStyle w:val="InstructionsTabelleberschrift"/>
                <w:rFonts w:ascii="Times New Roman" w:hAnsi="Times New Roman"/>
                <w:sz w:val="24"/>
              </w:rPr>
            </w:pPr>
            <w:r w:rsidRPr="00D51A68">
              <w:t>Articolo 254, paragrafo 1, lettera a), e articoli 259 e 337 del CRR.</w:t>
            </w:r>
          </w:p>
        </w:tc>
      </w:tr>
      <w:tr w:rsidR="009B591B" w:rsidRPr="00D51A68"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D51A68" w:rsidRDefault="009B591B"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940</w:t>
            </w:r>
          </w:p>
        </w:tc>
        <w:tc>
          <w:tcPr>
            <w:tcW w:w="7274" w:type="dxa"/>
            <w:tcBorders>
              <w:top w:val="nil"/>
              <w:left w:val="nil"/>
              <w:bottom w:val="single" w:sz="4" w:space="0" w:color="auto"/>
              <w:right w:val="single" w:sz="4" w:space="0" w:color="auto"/>
            </w:tcBorders>
            <w:shd w:val="clear" w:color="auto" w:fill="auto"/>
            <w:vAlign w:val="center"/>
            <w:hideMark/>
          </w:tcPr>
          <w:p w:rsidR="009B591B" w:rsidRPr="00D51A68" w:rsidRDefault="009B591B" w:rsidP="00FC1A76">
            <w:pPr>
              <w:pStyle w:val="InstructionsText"/>
              <w:rPr>
                <w:rStyle w:val="InstructionsTabelleberschrift"/>
                <w:rFonts w:ascii="Times New Roman" w:hAnsi="Times New Roman"/>
                <w:bCs w:val="0"/>
                <w:sz w:val="24"/>
              </w:rPr>
            </w:pPr>
            <w:r w:rsidRPr="00D51A68">
              <w:rPr>
                <w:rStyle w:val="InstructionsTabelleberschrift"/>
                <w:rFonts w:ascii="Times New Roman" w:hAnsi="Times New Roman"/>
                <w:sz w:val="24"/>
              </w:rPr>
              <w:t>1.8.6.1.2</w:t>
            </w:r>
            <w:r w:rsidR="00A0772B" w:rsidRPr="00D51A68">
              <w:rPr>
                <w:u w:val="single"/>
              </w:rPr>
              <w:tab/>
            </w:r>
            <w:r w:rsidRPr="00D51A68">
              <w:rPr>
                <w:rStyle w:val="InstructionsTabelleberschrift"/>
                <w:rFonts w:ascii="Times New Roman" w:hAnsi="Times New Roman"/>
                <w:sz w:val="24"/>
              </w:rPr>
              <w:t>Cartolarizzazioni STS ammissibili al trattamento differenziato ai fini patrimoniali</w:t>
            </w:r>
          </w:p>
          <w:p w:rsidR="007A1E2E" w:rsidRPr="00D51A68" w:rsidRDefault="007A1E2E" w:rsidP="00FC1A76">
            <w:pPr>
              <w:pStyle w:val="InstructionsText"/>
            </w:pPr>
            <w:r w:rsidRPr="00D51A68">
              <w:t>Articolo 254, paragrafo 1, lettera a), e articoli 259, 260 e 337 del CRR.</w:t>
            </w:r>
          </w:p>
          <w:p w:rsidR="007A1E2E" w:rsidRPr="00D51A68" w:rsidRDefault="007A1E2E" w:rsidP="00FC1A76">
            <w:pPr>
              <w:pStyle w:val="InstructionsText"/>
              <w:rPr>
                <w:rStyle w:val="InstructionsTabelleberschrift"/>
                <w:rFonts w:ascii="Times New Roman" w:hAnsi="Times New Roman"/>
                <w:sz w:val="24"/>
              </w:rPr>
            </w:pPr>
            <w:r w:rsidRPr="00D51A68">
              <w:t>Sia le cartolarizzazioni STS ammissibili al trattamento differenziato ai fini patrimoniali a norma dell</w:t>
            </w:r>
            <w:r w:rsidR="0009277C" w:rsidRPr="00D51A68">
              <w:t>’</w:t>
            </w:r>
            <w:r w:rsidRPr="00D51A68">
              <w:t>articolo 243 del CRR che le posizioni senior verso le cartolarizzazioni delle PMI ammissibili al trattamento differenziato ai fini patrimoniali a norma dell</w:t>
            </w:r>
            <w:r w:rsidR="0009277C" w:rsidRPr="00D51A68">
              <w:t>’</w:t>
            </w:r>
            <w:r w:rsidRPr="00D51A68">
              <w:t>articolo 270 del CRR sono segnalate in questa riga.</w:t>
            </w:r>
          </w:p>
        </w:tc>
      </w:tr>
      <w:tr w:rsidR="009B591B" w:rsidRPr="00D51A68"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D51A68" w:rsidRDefault="009B591B"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950</w:t>
            </w:r>
          </w:p>
        </w:tc>
        <w:tc>
          <w:tcPr>
            <w:tcW w:w="7274" w:type="dxa"/>
            <w:tcBorders>
              <w:top w:val="nil"/>
              <w:left w:val="nil"/>
              <w:bottom w:val="single" w:sz="4" w:space="0" w:color="auto"/>
              <w:right w:val="single" w:sz="4" w:space="0" w:color="auto"/>
            </w:tcBorders>
            <w:shd w:val="clear" w:color="auto" w:fill="auto"/>
            <w:vAlign w:val="center"/>
          </w:tcPr>
          <w:p w:rsidR="009B591B" w:rsidRPr="00D51A68" w:rsidRDefault="009B591B" w:rsidP="00FC1A76">
            <w:pPr>
              <w:pStyle w:val="InstructionsText"/>
              <w:rPr>
                <w:rStyle w:val="InstructionsTabelleberschrift"/>
                <w:rFonts w:ascii="Times New Roman" w:hAnsi="Times New Roman"/>
                <w:bCs w:val="0"/>
                <w:sz w:val="24"/>
              </w:rPr>
            </w:pPr>
            <w:r w:rsidRPr="00D51A68">
              <w:rPr>
                <w:rStyle w:val="InstructionsTabelleberschrift"/>
                <w:rFonts w:ascii="Times New Roman" w:hAnsi="Times New Roman"/>
                <w:sz w:val="24"/>
              </w:rPr>
              <w:t>1.8.6.2</w:t>
            </w:r>
            <w:r w:rsidR="00A0772B" w:rsidRPr="00D51A68">
              <w:rPr>
                <w:u w:val="single"/>
              </w:rPr>
              <w:tab/>
            </w:r>
            <w:r w:rsidRPr="00D51A68">
              <w:rPr>
                <w:rStyle w:val="InstructionsTabelleberschrift"/>
                <w:rFonts w:ascii="Times New Roman" w:hAnsi="Times New Roman"/>
                <w:sz w:val="24"/>
              </w:rPr>
              <w:t>Metodo standardizzato (SEC-SA)</w:t>
            </w:r>
          </w:p>
          <w:p w:rsidR="007A1E2E" w:rsidRPr="00D51A68" w:rsidRDefault="007A1E2E" w:rsidP="00FC1A76">
            <w:pPr>
              <w:pStyle w:val="InstructionsText"/>
              <w:rPr>
                <w:rStyle w:val="InstructionsTabelleberschrift"/>
                <w:rFonts w:ascii="Times New Roman" w:hAnsi="Times New Roman"/>
                <w:sz w:val="24"/>
              </w:rPr>
            </w:pPr>
            <w:r w:rsidRPr="00D51A68">
              <w:t>Articolo 254, paragrafo 1, lettera b), e paragrafo 6, e articoli 261, 262, 269 e 337 del CRR.</w:t>
            </w:r>
          </w:p>
        </w:tc>
      </w:tr>
      <w:tr w:rsidR="009B591B" w:rsidRPr="00D51A68"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D51A68" w:rsidRDefault="009B591B"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960</w:t>
            </w:r>
          </w:p>
        </w:tc>
        <w:tc>
          <w:tcPr>
            <w:tcW w:w="7274" w:type="dxa"/>
            <w:tcBorders>
              <w:top w:val="nil"/>
              <w:left w:val="nil"/>
              <w:bottom w:val="single" w:sz="4" w:space="0" w:color="auto"/>
              <w:right w:val="single" w:sz="4" w:space="0" w:color="auto"/>
            </w:tcBorders>
            <w:shd w:val="clear" w:color="auto" w:fill="auto"/>
            <w:vAlign w:val="center"/>
          </w:tcPr>
          <w:p w:rsidR="009B591B" w:rsidRPr="00D51A68" w:rsidRDefault="009B591B" w:rsidP="00FC1A76">
            <w:pPr>
              <w:pStyle w:val="InstructionsText"/>
              <w:rPr>
                <w:rStyle w:val="InstructionsTabelleberschrift"/>
                <w:rFonts w:ascii="Times New Roman" w:hAnsi="Times New Roman"/>
                <w:bCs w:val="0"/>
                <w:sz w:val="24"/>
              </w:rPr>
            </w:pPr>
            <w:r w:rsidRPr="00D51A68">
              <w:rPr>
                <w:rStyle w:val="InstructionsTabelleberschrift"/>
                <w:rFonts w:ascii="Times New Roman" w:hAnsi="Times New Roman"/>
                <w:sz w:val="24"/>
              </w:rPr>
              <w:t>1.8.6.2.1</w:t>
            </w:r>
            <w:r w:rsidR="00A0772B" w:rsidRPr="00D51A68">
              <w:rPr>
                <w:u w:val="single"/>
              </w:rPr>
              <w:tab/>
            </w:r>
            <w:r w:rsidRPr="00D51A68">
              <w:rPr>
                <w:rStyle w:val="InstructionsTabelleberschrift"/>
                <w:rFonts w:ascii="Times New Roman" w:hAnsi="Times New Roman"/>
                <w:sz w:val="24"/>
              </w:rPr>
              <w:t>Cartolarizzazioni non ammissibili al trattamento differenziato ai fini patrimoniali</w:t>
            </w:r>
          </w:p>
          <w:p w:rsidR="007A1E2E" w:rsidRPr="00D51A68" w:rsidRDefault="007A1E2E" w:rsidP="00FC1A76">
            <w:pPr>
              <w:pStyle w:val="InstructionsText"/>
              <w:rPr>
                <w:rStyle w:val="InstructionsTabelleberschrift"/>
                <w:rFonts w:ascii="Times New Roman" w:hAnsi="Times New Roman"/>
                <w:sz w:val="24"/>
              </w:rPr>
            </w:pPr>
            <w:r w:rsidRPr="00D51A68">
              <w:t>Articolo 254, paragrafo 1, lettera b), e paragrafo 6, e articoli 261, 269 e 337 del CRR.</w:t>
            </w:r>
          </w:p>
        </w:tc>
      </w:tr>
      <w:tr w:rsidR="009B591B" w:rsidRPr="00D51A68"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D51A68" w:rsidRDefault="009B591B"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970</w:t>
            </w:r>
          </w:p>
        </w:tc>
        <w:tc>
          <w:tcPr>
            <w:tcW w:w="7274" w:type="dxa"/>
            <w:tcBorders>
              <w:top w:val="nil"/>
              <w:left w:val="nil"/>
              <w:bottom w:val="single" w:sz="4" w:space="0" w:color="auto"/>
              <w:right w:val="single" w:sz="4" w:space="0" w:color="auto"/>
            </w:tcBorders>
            <w:shd w:val="clear" w:color="auto" w:fill="auto"/>
            <w:vAlign w:val="center"/>
          </w:tcPr>
          <w:p w:rsidR="009B591B" w:rsidRPr="00D51A68" w:rsidRDefault="009B591B" w:rsidP="00FC1A76">
            <w:pPr>
              <w:pStyle w:val="InstructionsText"/>
              <w:rPr>
                <w:rStyle w:val="InstructionsTabelleberschrift"/>
                <w:rFonts w:ascii="Times New Roman" w:hAnsi="Times New Roman"/>
                <w:bCs w:val="0"/>
                <w:sz w:val="24"/>
              </w:rPr>
            </w:pPr>
            <w:r w:rsidRPr="00D51A68">
              <w:rPr>
                <w:rStyle w:val="InstructionsTabelleberschrift"/>
                <w:rFonts w:ascii="Times New Roman" w:hAnsi="Times New Roman"/>
                <w:sz w:val="24"/>
              </w:rPr>
              <w:t>1.8.6.2.2</w:t>
            </w:r>
            <w:r w:rsidR="00A0772B" w:rsidRPr="00D51A68">
              <w:rPr>
                <w:u w:val="single"/>
              </w:rPr>
              <w:tab/>
            </w:r>
            <w:r w:rsidRPr="00D51A68">
              <w:rPr>
                <w:rStyle w:val="InstructionsTabelleberschrift"/>
                <w:rFonts w:ascii="Times New Roman" w:hAnsi="Times New Roman"/>
                <w:sz w:val="24"/>
              </w:rPr>
              <w:t>Cartolarizzazioni STS ammissibili al trattamento differenziato ai fini patrimoniali</w:t>
            </w:r>
          </w:p>
          <w:p w:rsidR="007A1E2E" w:rsidRPr="00D51A68" w:rsidRDefault="007A1E2E" w:rsidP="00FC1A76">
            <w:pPr>
              <w:pStyle w:val="InstructionsText"/>
            </w:pPr>
            <w:r w:rsidRPr="00D51A68">
              <w:t>Articolo 254, paragrafo 1, lettera b), e articoli 261, 262 e 337 del CRR.</w:t>
            </w:r>
          </w:p>
          <w:p w:rsidR="007A1E2E" w:rsidRPr="00D51A68" w:rsidRDefault="007A1E2E" w:rsidP="00FC1A76">
            <w:pPr>
              <w:pStyle w:val="InstructionsText"/>
              <w:rPr>
                <w:rStyle w:val="InstructionsTabelleberschrift"/>
                <w:rFonts w:ascii="Times New Roman" w:hAnsi="Times New Roman"/>
                <w:sz w:val="24"/>
              </w:rPr>
            </w:pPr>
            <w:r w:rsidRPr="00D51A68">
              <w:t>Sia le cartolarizzazioni STS ammissibili al trattamento differenziato ai fini patrimoniali a norma dell</w:t>
            </w:r>
            <w:r w:rsidR="0009277C" w:rsidRPr="00D51A68">
              <w:t>’</w:t>
            </w:r>
            <w:r w:rsidRPr="00D51A68">
              <w:t>articolo 243 del CRR che le posizioni senior verso le cartolarizzazioni delle PMI ammissibili al trattamento differenziato ai fini patrimoniali a norma dell</w:t>
            </w:r>
            <w:r w:rsidR="0009277C" w:rsidRPr="00D51A68">
              <w:t>’</w:t>
            </w:r>
            <w:r w:rsidRPr="00D51A68">
              <w:t>articolo 270 del CRR sono segnalate in questa riga.</w:t>
            </w:r>
          </w:p>
        </w:tc>
      </w:tr>
      <w:tr w:rsidR="009B591B" w:rsidRPr="00D51A68"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D51A68" w:rsidRDefault="009B591B"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980</w:t>
            </w:r>
          </w:p>
        </w:tc>
        <w:tc>
          <w:tcPr>
            <w:tcW w:w="7274" w:type="dxa"/>
            <w:tcBorders>
              <w:top w:val="nil"/>
              <w:left w:val="nil"/>
              <w:bottom w:val="single" w:sz="4" w:space="0" w:color="auto"/>
              <w:right w:val="single" w:sz="4" w:space="0" w:color="auto"/>
            </w:tcBorders>
            <w:shd w:val="clear" w:color="auto" w:fill="auto"/>
            <w:vAlign w:val="center"/>
          </w:tcPr>
          <w:p w:rsidR="009B591B" w:rsidRPr="00D51A68" w:rsidRDefault="009B591B" w:rsidP="00FC1A76">
            <w:pPr>
              <w:pStyle w:val="InstructionsText"/>
              <w:rPr>
                <w:rStyle w:val="InstructionsTabelleberschrift"/>
                <w:rFonts w:ascii="Times New Roman" w:hAnsi="Times New Roman"/>
                <w:bCs w:val="0"/>
                <w:sz w:val="24"/>
              </w:rPr>
            </w:pPr>
            <w:r w:rsidRPr="00D51A68">
              <w:rPr>
                <w:rStyle w:val="InstructionsTabelleberschrift"/>
                <w:rFonts w:ascii="Times New Roman" w:hAnsi="Times New Roman"/>
                <w:sz w:val="24"/>
              </w:rPr>
              <w:t>1.8.6.3</w:t>
            </w:r>
            <w:r w:rsidR="00A0772B" w:rsidRPr="00D51A68">
              <w:rPr>
                <w:u w:val="single"/>
              </w:rPr>
              <w:tab/>
            </w:r>
            <w:r w:rsidRPr="00D51A68">
              <w:rPr>
                <w:rStyle w:val="InstructionsTabelleberschrift"/>
                <w:rFonts w:ascii="Times New Roman" w:hAnsi="Times New Roman"/>
                <w:sz w:val="24"/>
              </w:rPr>
              <w:t xml:space="preserve"> Metodo basato sui rating esterni (SEC-ERBA)</w:t>
            </w:r>
          </w:p>
          <w:p w:rsidR="007A1E2E" w:rsidRPr="00D51A68" w:rsidRDefault="007A1E2E" w:rsidP="00FC1A76">
            <w:pPr>
              <w:pStyle w:val="InstructionsText"/>
              <w:rPr>
                <w:rStyle w:val="InstructionsTabelleberschrift"/>
                <w:rFonts w:ascii="Times New Roman" w:hAnsi="Times New Roman"/>
                <w:sz w:val="24"/>
              </w:rPr>
            </w:pPr>
            <w:r w:rsidRPr="00D51A68">
              <w:t>Articolo 254, paragrafo 1, lettera c), e paragrafi 2, 3 e 4, e articoli 263, 264 e 337 del CRR.</w:t>
            </w:r>
          </w:p>
        </w:tc>
      </w:tr>
      <w:tr w:rsidR="009B591B" w:rsidRPr="00D51A68"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D51A68" w:rsidRDefault="009B591B"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990</w:t>
            </w:r>
          </w:p>
        </w:tc>
        <w:tc>
          <w:tcPr>
            <w:tcW w:w="7274" w:type="dxa"/>
            <w:tcBorders>
              <w:top w:val="nil"/>
              <w:left w:val="nil"/>
              <w:bottom w:val="single" w:sz="4" w:space="0" w:color="auto"/>
              <w:right w:val="single" w:sz="4" w:space="0" w:color="auto"/>
            </w:tcBorders>
            <w:shd w:val="clear" w:color="auto" w:fill="auto"/>
            <w:vAlign w:val="center"/>
          </w:tcPr>
          <w:p w:rsidR="009B591B" w:rsidRPr="00D51A68" w:rsidRDefault="009B591B" w:rsidP="00FC1A76">
            <w:pPr>
              <w:pStyle w:val="InstructionsText"/>
              <w:rPr>
                <w:rStyle w:val="InstructionsTabelleberschrift"/>
                <w:rFonts w:ascii="Times New Roman" w:hAnsi="Times New Roman"/>
                <w:bCs w:val="0"/>
                <w:sz w:val="24"/>
              </w:rPr>
            </w:pPr>
            <w:r w:rsidRPr="00D51A68">
              <w:rPr>
                <w:rStyle w:val="InstructionsTabelleberschrift"/>
                <w:rFonts w:ascii="Times New Roman" w:hAnsi="Times New Roman"/>
                <w:sz w:val="24"/>
              </w:rPr>
              <w:t>1.8.6.3.1</w:t>
            </w:r>
            <w:r w:rsidR="00A0772B" w:rsidRPr="00D51A68">
              <w:rPr>
                <w:u w:val="single"/>
              </w:rPr>
              <w:tab/>
            </w:r>
            <w:r w:rsidRPr="00D51A68">
              <w:rPr>
                <w:rStyle w:val="InstructionsTabelleberschrift"/>
                <w:rFonts w:ascii="Times New Roman" w:hAnsi="Times New Roman"/>
                <w:sz w:val="24"/>
              </w:rPr>
              <w:t>Cartolarizzazioni non ammissibili al trattamento differenziato ai fini patrimoniali</w:t>
            </w:r>
          </w:p>
          <w:p w:rsidR="007A1E2E" w:rsidRPr="00D51A68" w:rsidRDefault="007A1E2E" w:rsidP="00FC1A76">
            <w:pPr>
              <w:pStyle w:val="InstructionsText"/>
              <w:rPr>
                <w:rStyle w:val="InstructionsTabelleberschrift"/>
                <w:rFonts w:ascii="Times New Roman" w:hAnsi="Times New Roman"/>
                <w:sz w:val="24"/>
              </w:rPr>
            </w:pPr>
            <w:r w:rsidRPr="00D51A68">
              <w:t>Articolo 254, paragrafo 1, lettera c), e paragrafi 2, 3 e 4, e articoli 263 e 337 del CRR.</w:t>
            </w:r>
          </w:p>
        </w:tc>
      </w:tr>
      <w:tr w:rsidR="009B591B" w:rsidRPr="00D51A68"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D51A68" w:rsidRDefault="009B591B"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1000</w:t>
            </w:r>
          </w:p>
        </w:tc>
        <w:tc>
          <w:tcPr>
            <w:tcW w:w="7274" w:type="dxa"/>
            <w:tcBorders>
              <w:top w:val="nil"/>
              <w:left w:val="nil"/>
              <w:bottom w:val="single" w:sz="4" w:space="0" w:color="auto"/>
              <w:right w:val="single" w:sz="4" w:space="0" w:color="auto"/>
            </w:tcBorders>
            <w:shd w:val="clear" w:color="auto" w:fill="auto"/>
            <w:vAlign w:val="center"/>
          </w:tcPr>
          <w:p w:rsidR="009B591B" w:rsidRPr="00D51A68" w:rsidRDefault="009B591B" w:rsidP="00FC1A76">
            <w:pPr>
              <w:pStyle w:val="InstructionsText"/>
              <w:rPr>
                <w:rStyle w:val="InstructionsTabelleberschrift"/>
                <w:rFonts w:ascii="Times New Roman" w:hAnsi="Times New Roman"/>
                <w:bCs w:val="0"/>
                <w:sz w:val="24"/>
              </w:rPr>
            </w:pPr>
            <w:r w:rsidRPr="00D51A68">
              <w:rPr>
                <w:rStyle w:val="InstructionsTabelleberschrift"/>
                <w:rFonts w:ascii="Times New Roman" w:hAnsi="Times New Roman"/>
                <w:sz w:val="24"/>
              </w:rPr>
              <w:t>1.8.6.3.2</w:t>
            </w:r>
            <w:r w:rsidR="00A0772B" w:rsidRPr="00D51A68">
              <w:rPr>
                <w:u w:val="single"/>
              </w:rPr>
              <w:tab/>
            </w:r>
            <w:r w:rsidRPr="00D51A68">
              <w:rPr>
                <w:rStyle w:val="InstructionsTabelleberschrift"/>
                <w:rFonts w:ascii="Times New Roman" w:hAnsi="Times New Roman"/>
                <w:sz w:val="24"/>
              </w:rPr>
              <w:t>Cartolarizzazioni STS ammissibili al trattamento differenziato ai fini patrimoniali</w:t>
            </w:r>
          </w:p>
          <w:p w:rsidR="007A1E2E" w:rsidRPr="00D51A68" w:rsidRDefault="007A1E2E" w:rsidP="00FC1A76">
            <w:pPr>
              <w:pStyle w:val="InstructionsText"/>
            </w:pPr>
            <w:r w:rsidRPr="00D51A68">
              <w:t>Articolo 254, paragrafo 1, lettera c), e paragrafi 2, 3 e 4, e articoli 263, 264 e 337 del CRR.</w:t>
            </w:r>
          </w:p>
          <w:p w:rsidR="007A1E2E" w:rsidRPr="00D51A68" w:rsidRDefault="007A1E2E" w:rsidP="00FC1A76">
            <w:pPr>
              <w:pStyle w:val="InstructionsText"/>
              <w:rPr>
                <w:rStyle w:val="InstructionsTabelleberschrift"/>
                <w:rFonts w:ascii="Times New Roman" w:hAnsi="Times New Roman"/>
                <w:sz w:val="24"/>
              </w:rPr>
            </w:pPr>
            <w:r w:rsidRPr="00D51A68">
              <w:lastRenderedPageBreak/>
              <w:t>Sia le cartolarizzazioni STS ammissibili al trattamento differenziato ai fini patrimoniali a norma dell</w:t>
            </w:r>
            <w:r w:rsidR="0009277C" w:rsidRPr="00D51A68">
              <w:t>’</w:t>
            </w:r>
            <w:r w:rsidRPr="00D51A68">
              <w:t>articolo 243 del CRR che le posizioni senior verso le cartolarizzazioni delle PMI ammissibili al trattamento differenziato ai fini patrimoniali a norma dell</w:t>
            </w:r>
            <w:r w:rsidR="0009277C" w:rsidRPr="00D51A68">
              <w:t>’</w:t>
            </w:r>
            <w:r w:rsidRPr="00D51A68">
              <w:t>articolo 270 del CRR sono segnalate in questa riga.</w:t>
            </w:r>
          </w:p>
        </w:tc>
      </w:tr>
      <w:tr w:rsidR="009B591B" w:rsidRPr="00D51A68"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D51A68" w:rsidRDefault="009B591B"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lastRenderedPageBreak/>
              <w:t>1010</w:t>
            </w:r>
          </w:p>
        </w:tc>
        <w:tc>
          <w:tcPr>
            <w:tcW w:w="7274" w:type="dxa"/>
            <w:tcBorders>
              <w:top w:val="nil"/>
              <w:left w:val="nil"/>
              <w:bottom w:val="single" w:sz="4" w:space="0" w:color="auto"/>
              <w:right w:val="single" w:sz="4" w:space="0" w:color="auto"/>
            </w:tcBorders>
            <w:shd w:val="clear" w:color="auto" w:fill="auto"/>
            <w:vAlign w:val="center"/>
          </w:tcPr>
          <w:p w:rsidR="009B591B" w:rsidRPr="00D51A68" w:rsidRDefault="009B591B" w:rsidP="00FC1A76">
            <w:pPr>
              <w:pStyle w:val="InstructionsText"/>
              <w:rPr>
                <w:rStyle w:val="InstructionsTabelleberschrift"/>
                <w:rFonts w:ascii="Times New Roman" w:hAnsi="Times New Roman"/>
                <w:bCs w:val="0"/>
                <w:sz w:val="24"/>
              </w:rPr>
            </w:pPr>
            <w:r w:rsidRPr="00D51A68">
              <w:rPr>
                <w:rStyle w:val="InstructionsTabelleberschrift"/>
                <w:rFonts w:ascii="Times New Roman" w:hAnsi="Times New Roman"/>
                <w:sz w:val="24"/>
              </w:rPr>
              <w:t>1.8.6.4</w:t>
            </w:r>
            <w:r w:rsidR="00A0772B" w:rsidRPr="00D51A68">
              <w:rPr>
                <w:u w:val="single"/>
              </w:rPr>
              <w:tab/>
            </w:r>
            <w:r w:rsidRPr="00D51A68">
              <w:rPr>
                <w:rStyle w:val="InstructionsTabelleberschrift"/>
                <w:rFonts w:ascii="Times New Roman" w:hAnsi="Times New Roman"/>
                <w:sz w:val="24"/>
              </w:rPr>
              <w:t>Metodo della valutazione interna (IAA)</w:t>
            </w:r>
          </w:p>
          <w:p w:rsidR="007A1E2E" w:rsidRPr="00D51A68" w:rsidRDefault="007A1E2E" w:rsidP="00FC1A76">
            <w:pPr>
              <w:pStyle w:val="InstructionsText"/>
              <w:rPr>
                <w:rStyle w:val="InstructionsTabelleberschrift"/>
                <w:rFonts w:ascii="Times New Roman" w:hAnsi="Times New Roman"/>
                <w:sz w:val="24"/>
              </w:rPr>
            </w:pPr>
            <w:r w:rsidRPr="00D51A68">
              <w:t>Articolo 254, paragrafo 5, e articoli 265, 266 e 337 del CRR.</w:t>
            </w:r>
          </w:p>
        </w:tc>
      </w:tr>
      <w:tr w:rsidR="009B591B" w:rsidRPr="00D51A68"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D51A68" w:rsidRDefault="009B591B"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1020</w:t>
            </w:r>
          </w:p>
        </w:tc>
        <w:tc>
          <w:tcPr>
            <w:tcW w:w="7274" w:type="dxa"/>
            <w:tcBorders>
              <w:top w:val="nil"/>
              <w:left w:val="nil"/>
              <w:bottom w:val="single" w:sz="4" w:space="0" w:color="auto"/>
              <w:right w:val="single" w:sz="4" w:space="0" w:color="auto"/>
            </w:tcBorders>
            <w:shd w:val="clear" w:color="auto" w:fill="auto"/>
            <w:vAlign w:val="center"/>
          </w:tcPr>
          <w:p w:rsidR="009B591B" w:rsidRPr="00D51A68" w:rsidRDefault="009B591B" w:rsidP="00FC1A76">
            <w:pPr>
              <w:pStyle w:val="InstructionsText"/>
              <w:rPr>
                <w:rStyle w:val="InstructionsTabelleberschrift"/>
                <w:rFonts w:ascii="Times New Roman" w:hAnsi="Times New Roman"/>
                <w:bCs w:val="0"/>
                <w:sz w:val="24"/>
              </w:rPr>
            </w:pPr>
            <w:r w:rsidRPr="00D51A68">
              <w:rPr>
                <w:rStyle w:val="InstructionsTabelleberschrift"/>
                <w:rFonts w:ascii="Times New Roman" w:hAnsi="Times New Roman"/>
                <w:sz w:val="24"/>
              </w:rPr>
              <w:t>1.8.6.4.1</w:t>
            </w:r>
            <w:r w:rsidR="00A0772B" w:rsidRPr="00D51A68">
              <w:rPr>
                <w:u w:val="single"/>
              </w:rPr>
              <w:tab/>
            </w:r>
            <w:r w:rsidRPr="00D51A68">
              <w:rPr>
                <w:rStyle w:val="InstructionsTabelleberschrift"/>
                <w:rFonts w:ascii="Times New Roman" w:hAnsi="Times New Roman"/>
                <w:sz w:val="24"/>
              </w:rPr>
              <w:t>Cartolarizzazioni non ammissibili al trattamento differenziato ai fini patrimoniali</w:t>
            </w:r>
          </w:p>
          <w:p w:rsidR="007A1E2E" w:rsidRPr="00D51A68" w:rsidRDefault="007A1E2E" w:rsidP="00FC1A76">
            <w:pPr>
              <w:pStyle w:val="InstructionsText"/>
              <w:rPr>
                <w:rStyle w:val="InstructionsTabelleberschrift"/>
                <w:rFonts w:ascii="Times New Roman" w:hAnsi="Times New Roman"/>
                <w:sz w:val="24"/>
              </w:rPr>
            </w:pPr>
            <w:r w:rsidRPr="00D51A68">
              <w:t>Articolo 254, paragrafo 5, e articoli 265, 266 e 337 del CRR.</w:t>
            </w:r>
          </w:p>
        </w:tc>
      </w:tr>
      <w:tr w:rsidR="009B591B" w:rsidRPr="00D51A68"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D51A68" w:rsidRDefault="009B591B"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1030</w:t>
            </w:r>
          </w:p>
        </w:tc>
        <w:tc>
          <w:tcPr>
            <w:tcW w:w="7274" w:type="dxa"/>
            <w:tcBorders>
              <w:top w:val="nil"/>
              <w:left w:val="nil"/>
              <w:bottom w:val="single" w:sz="4" w:space="0" w:color="auto"/>
              <w:right w:val="single" w:sz="4" w:space="0" w:color="auto"/>
            </w:tcBorders>
            <w:shd w:val="clear" w:color="auto" w:fill="auto"/>
            <w:vAlign w:val="center"/>
          </w:tcPr>
          <w:p w:rsidR="009B591B" w:rsidRPr="00D51A68" w:rsidRDefault="009B591B" w:rsidP="00FC1A76">
            <w:pPr>
              <w:pStyle w:val="InstructionsText"/>
              <w:rPr>
                <w:rStyle w:val="InstructionsTabelleberschrift"/>
                <w:rFonts w:ascii="Times New Roman" w:hAnsi="Times New Roman"/>
                <w:bCs w:val="0"/>
                <w:sz w:val="24"/>
              </w:rPr>
            </w:pPr>
            <w:r w:rsidRPr="00D51A68">
              <w:rPr>
                <w:rStyle w:val="InstructionsTabelleberschrift"/>
                <w:rFonts w:ascii="Times New Roman" w:hAnsi="Times New Roman"/>
                <w:sz w:val="24"/>
              </w:rPr>
              <w:t>1.8.6.4.2</w:t>
            </w:r>
            <w:r w:rsidR="00A0772B" w:rsidRPr="00D51A68">
              <w:rPr>
                <w:u w:val="single"/>
              </w:rPr>
              <w:tab/>
            </w:r>
            <w:r w:rsidRPr="00D51A68">
              <w:rPr>
                <w:rStyle w:val="InstructionsTabelleberschrift"/>
                <w:rFonts w:ascii="Times New Roman" w:hAnsi="Times New Roman"/>
                <w:sz w:val="24"/>
              </w:rPr>
              <w:t>Cartolarizzazioni STS ammissibili al trattamento differenziato ai fini patrimoniali</w:t>
            </w:r>
          </w:p>
          <w:p w:rsidR="007A1E2E" w:rsidRPr="00D51A68" w:rsidRDefault="007A1E2E" w:rsidP="00FC1A76">
            <w:pPr>
              <w:pStyle w:val="InstructionsText"/>
            </w:pPr>
            <w:r w:rsidRPr="00D51A68">
              <w:t>Articolo 254, paragrafo 5, e articoli 265, 266 e 337 del CRR.</w:t>
            </w:r>
          </w:p>
          <w:p w:rsidR="007A1E2E" w:rsidRPr="00D51A68" w:rsidRDefault="007A1E2E" w:rsidP="00FC1A76">
            <w:pPr>
              <w:pStyle w:val="InstructionsText"/>
              <w:rPr>
                <w:rStyle w:val="InstructionsTabelleberschrift"/>
                <w:rFonts w:ascii="Times New Roman" w:hAnsi="Times New Roman"/>
                <w:sz w:val="24"/>
              </w:rPr>
            </w:pPr>
            <w:r w:rsidRPr="00D51A68">
              <w:t>Sia le cartolarizzazioni STS ammissibili al trattamento differenziato ai fini patrimoniali a norma dell</w:t>
            </w:r>
            <w:r w:rsidR="0009277C" w:rsidRPr="00D51A68">
              <w:t>’</w:t>
            </w:r>
            <w:r w:rsidRPr="00D51A68">
              <w:t>articolo 243 del CRR che le posizioni senior verso le cartolarizzazioni delle PMI ammissibili al trattamento differenziato ai fini patrimoniali a norma dell</w:t>
            </w:r>
            <w:r w:rsidR="0009277C" w:rsidRPr="00D51A68">
              <w:t>’</w:t>
            </w:r>
            <w:r w:rsidRPr="00D51A68">
              <w:t>articolo 270 del CRR sono segnalate in questa riga.</w:t>
            </w:r>
          </w:p>
        </w:tc>
      </w:tr>
      <w:tr w:rsidR="009B591B" w:rsidRPr="00D51A68"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9B591B" w:rsidRPr="00D51A68" w:rsidRDefault="009B591B" w:rsidP="00FC1A76">
            <w:pPr>
              <w:pStyle w:val="InstructionsText"/>
              <w:rPr>
                <w:rStyle w:val="FormatvorlageInstructionsTabelleText"/>
                <w:rFonts w:ascii="Times New Roman" w:hAnsi="Times New Roman"/>
                <w:sz w:val="24"/>
              </w:rPr>
            </w:pPr>
            <w:r w:rsidRPr="00D51A68">
              <w:rPr>
                <w:rStyle w:val="FormatvorlageInstructionsTabelleText"/>
                <w:rFonts w:ascii="Times New Roman" w:hAnsi="Times New Roman"/>
                <w:sz w:val="24"/>
              </w:rPr>
              <w:t>1040</w:t>
            </w:r>
          </w:p>
        </w:tc>
        <w:tc>
          <w:tcPr>
            <w:tcW w:w="7274" w:type="dxa"/>
            <w:tcBorders>
              <w:top w:val="single" w:sz="4" w:space="0" w:color="auto"/>
              <w:left w:val="nil"/>
              <w:bottom w:val="single" w:sz="4" w:space="0" w:color="auto"/>
              <w:right w:val="single" w:sz="4" w:space="0" w:color="auto"/>
            </w:tcBorders>
            <w:shd w:val="clear" w:color="auto" w:fill="auto"/>
            <w:vAlign w:val="center"/>
            <w:hideMark/>
          </w:tcPr>
          <w:p w:rsidR="009B591B" w:rsidRPr="00D51A68" w:rsidRDefault="009B591B" w:rsidP="00FC1A76">
            <w:pPr>
              <w:pStyle w:val="InstructionsText"/>
              <w:rPr>
                <w:rStyle w:val="InstructionsTabelleberschrift"/>
                <w:rFonts w:ascii="Times New Roman" w:hAnsi="Times New Roman"/>
                <w:bCs w:val="0"/>
                <w:sz w:val="24"/>
              </w:rPr>
            </w:pPr>
            <w:r w:rsidRPr="00D51A68">
              <w:rPr>
                <w:rStyle w:val="InstructionsTabelleberschrift"/>
                <w:rFonts w:ascii="Times New Roman" w:hAnsi="Times New Roman"/>
                <w:sz w:val="24"/>
              </w:rPr>
              <w:t>1.8.6.5</w:t>
            </w:r>
            <w:r w:rsidR="00A0772B" w:rsidRPr="00D51A68">
              <w:rPr>
                <w:u w:val="single"/>
              </w:rPr>
              <w:tab/>
            </w:r>
            <w:r w:rsidRPr="00D51A68">
              <w:rPr>
                <w:rStyle w:val="InstructionsTabelleberschrift"/>
                <w:rFonts w:ascii="Times New Roman" w:hAnsi="Times New Roman"/>
                <w:sz w:val="24"/>
              </w:rPr>
              <w:t xml:space="preserve"> Altro (RW = 1 250%)</w:t>
            </w:r>
          </w:p>
          <w:p w:rsidR="007A1E2E" w:rsidRPr="00D51A68" w:rsidRDefault="007A1E2E" w:rsidP="00FC1A76">
            <w:pPr>
              <w:pStyle w:val="InstructionsText"/>
              <w:rPr>
                <w:rStyle w:val="InstructionsTabelleberschrift"/>
                <w:rFonts w:ascii="Times New Roman" w:hAnsi="Times New Roman"/>
                <w:sz w:val="24"/>
              </w:rPr>
            </w:pPr>
            <w:r w:rsidRPr="00D51A68">
              <w:t>Articolo 254, paragrafo 7, e articolo 337</w:t>
            </w:r>
            <w:r w:rsidR="0009277C" w:rsidRPr="00D51A68">
              <w:t xml:space="preserve"> </w:t>
            </w:r>
            <w:r w:rsidRPr="00D51A68">
              <w:t>del CRR</w:t>
            </w:r>
          </w:p>
        </w:tc>
      </w:tr>
    </w:tbl>
    <w:p w:rsidR="002648B0" w:rsidRPr="00D51A68" w:rsidRDefault="00936DD1" w:rsidP="0023700C">
      <w:pPr>
        <w:pStyle w:val="Instructionsberschrift2"/>
        <w:numPr>
          <w:ilvl w:val="0"/>
          <w:numId w:val="0"/>
        </w:numPr>
        <w:ind w:left="357" w:hanging="357"/>
        <w:rPr>
          <w:rFonts w:ascii="Times New Roman" w:hAnsi="Times New Roman" w:cs="Times New Roman"/>
          <w:sz w:val="24"/>
          <w:u w:val="none"/>
        </w:rPr>
      </w:pPr>
      <w:bookmarkStart w:id="67" w:name="_Toc516210612"/>
      <w:bookmarkStart w:id="68" w:name="_Toc524096557"/>
      <w:r w:rsidRPr="00D51A68">
        <w:rPr>
          <w:rFonts w:ascii="Times New Roman" w:hAnsi="Times New Roman"/>
          <w:sz w:val="24"/>
          <w:u w:val="none"/>
        </w:rPr>
        <w:t>1.4</w:t>
      </w:r>
      <w:r w:rsidR="00A0772B" w:rsidRPr="00D51A68">
        <w:rPr>
          <w:u w:val="none"/>
        </w:rPr>
        <w:tab/>
      </w:r>
      <w:r w:rsidRPr="00D51A68">
        <w:rPr>
          <w:rFonts w:ascii="Times New Roman" w:hAnsi="Times New Roman"/>
          <w:sz w:val="24"/>
          <w:u w:val="none"/>
        </w:rPr>
        <w:t>C 03.00 — COEFFICIENTI DI CAPITALE E LIVELLI DI CAPITALE (CA3)</w:t>
      </w:r>
      <w:bookmarkEnd w:id="64"/>
      <w:bookmarkEnd w:id="67"/>
      <w:bookmarkEnd w:id="68"/>
      <w:r w:rsidRPr="00D51A68">
        <w:rPr>
          <w:rFonts w:ascii="Times New Roman" w:hAnsi="Times New Roman"/>
          <w:sz w:val="24"/>
          <w:u w:val="none"/>
        </w:rPr>
        <w:t xml:space="preserve"> </w:t>
      </w:r>
      <w:bookmarkEnd w:id="65"/>
      <w:bookmarkEnd w:id="66"/>
    </w:p>
    <w:p w:rsidR="002648B0" w:rsidRPr="00D51A68" w:rsidRDefault="00125707" w:rsidP="0023700C">
      <w:pPr>
        <w:pStyle w:val="Instructionsberschrift2"/>
        <w:numPr>
          <w:ilvl w:val="0"/>
          <w:numId w:val="0"/>
        </w:numPr>
        <w:ind w:left="357" w:hanging="357"/>
        <w:rPr>
          <w:rFonts w:ascii="Times New Roman" w:hAnsi="Times New Roman" w:cs="Times New Roman"/>
          <w:sz w:val="24"/>
        </w:rPr>
      </w:pPr>
      <w:bookmarkStart w:id="69" w:name="_Toc308175827"/>
      <w:bookmarkStart w:id="70" w:name="_Toc310414972"/>
      <w:bookmarkStart w:id="71" w:name="_Toc360188330"/>
      <w:bookmarkStart w:id="72" w:name="_Toc516210613"/>
      <w:bookmarkStart w:id="73" w:name="_Toc473560878"/>
      <w:bookmarkStart w:id="74" w:name="_Toc524096558"/>
      <w:r w:rsidRPr="00D51A68">
        <w:rPr>
          <w:rFonts w:ascii="Times New Roman" w:hAnsi="Times New Roman"/>
          <w:sz w:val="24"/>
          <w:u w:val="none"/>
        </w:rPr>
        <w:t>1.4.1.</w:t>
      </w:r>
      <w:r w:rsidR="00A0772B" w:rsidRPr="00D51A68">
        <w:rPr>
          <w:u w:val="none"/>
        </w:rPr>
        <w:tab/>
      </w:r>
      <w:r w:rsidRPr="00D51A68">
        <w:rPr>
          <w:rFonts w:ascii="Times New Roman" w:hAnsi="Times New Roman"/>
          <w:sz w:val="24"/>
        </w:rPr>
        <w:t>Istruzioni relative a posizioni</w:t>
      </w:r>
      <w:r w:rsidR="0009277C" w:rsidRPr="00D51A68">
        <w:rPr>
          <w:rFonts w:ascii="Times New Roman" w:hAnsi="Times New Roman"/>
          <w:sz w:val="24"/>
        </w:rPr>
        <w:t xml:space="preserve"> </w:t>
      </w:r>
      <w:bookmarkEnd w:id="69"/>
      <w:bookmarkEnd w:id="70"/>
      <w:r w:rsidRPr="00D51A68">
        <w:rPr>
          <w:rFonts w:ascii="Times New Roman" w:hAnsi="Times New Roman"/>
          <w:sz w:val="24"/>
        </w:rPr>
        <w:t>specifiche</w:t>
      </w:r>
      <w:bookmarkEnd w:id="71"/>
      <w:bookmarkEnd w:id="72"/>
      <w:bookmarkEnd w:id="73"/>
      <w:bookmarkEnd w:id="74"/>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8080"/>
      </w:tblGrid>
      <w:tr w:rsidR="002648B0" w:rsidRPr="00D51A68" w:rsidTr="00672D2A">
        <w:tc>
          <w:tcPr>
            <w:tcW w:w="8783" w:type="dxa"/>
            <w:gridSpan w:val="2"/>
            <w:shd w:val="clear" w:color="auto" w:fill="D9D9D9"/>
          </w:tcPr>
          <w:p w:rsidR="005643EA" w:rsidRPr="00D51A68" w:rsidRDefault="002648B0" w:rsidP="00FC1A76">
            <w:pPr>
              <w:pStyle w:val="InstructionsText"/>
            </w:pPr>
            <w:r w:rsidRPr="00D51A68">
              <w:t>Righe</w:t>
            </w:r>
          </w:p>
        </w:tc>
      </w:tr>
      <w:tr w:rsidR="002648B0" w:rsidRPr="00D51A68" w:rsidTr="00672D2A">
        <w:tc>
          <w:tcPr>
            <w:tcW w:w="703" w:type="dxa"/>
          </w:tcPr>
          <w:p w:rsidR="002648B0" w:rsidRPr="00D51A68" w:rsidRDefault="002648B0" w:rsidP="00FC1A76">
            <w:pPr>
              <w:pStyle w:val="InstructionsText"/>
            </w:pPr>
            <w:r w:rsidRPr="00D51A68">
              <w:t>010</w:t>
            </w:r>
          </w:p>
        </w:tc>
        <w:tc>
          <w:tcPr>
            <w:tcW w:w="8080" w:type="dxa"/>
          </w:tcPr>
          <w:p w:rsidR="005643EA" w:rsidRPr="00D51A68" w:rsidRDefault="002648B0" w:rsidP="00FC1A76">
            <w:pPr>
              <w:pStyle w:val="InstructionsText"/>
            </w:pPr>
            <w:r w:rsidRPr="00D51A68">
              <w:rPr>
                <w:rStyle w:val="InstructionsTabelleberschrift"/>
                <w:rFonts w:ascii="Times New Roman" w:hAnsi="Times New Roman"/>
                <w:sz w:val="24"/>
              </w:rPr>
              <w:t>1</w:t>
            </w:r>
            <w:r w:rsidR="00A0772B" w:rsidRPr="00D51A68">
              <w:rPr>
                <w:u w:val="single"/>
              </w:rPr>
              <w:tab/>
            </w:r>
            <w:r w:rsidRPr="00D51A68">
              <w:rPr>
                <w:rStyle w:val="InstructionsTabelleberschrift"/>
                <w:rFonts w:ascii="Times New Roman" w:hAnsi="Times New Roman"/>
                <w:sz w:val="24"/>
              </w:rPr>
              <w:t>Coefficiente di capitale primario di classe 1</w:t>
            </w:r>
          </w:p>
          <w:p w:rsidR="005643EA" w:rsidRPr="00D51A68" w:rsidRDefault="002648B0" w:rsidP="00FC1A76">
            <w:pPr>
              <w:pStyle w:val="InstructionsText"/>
            </w:pPr>
            <w:r w:rsidRPr="00D51A68">
              <w:t>Articolo 92, paragrafo 2, lettera a), del CRR.</w:t>
            </w:r>
          </w:p>
          <w:p w:rsidR="005643EA" w:rsidRPr="00D51A68" w:rsidRDefault="002648B0" w:rsidP="00FC1A76">
            <w:pPr>
              <w:pStyle w:val="InstructionsText"/>
            </w:pPr>
            <w:r w:rsidRPr="00D51A68">
              <w:t>Il coefficiente di capitale primario di classe 1 è il capitale primario di classe 1 dell</w:t>
            </w:r>
            <w:r w:rsidR="0009277C" w:rsidRPr="00D51A68">
              <w:t>’</w:t>
            </w:r>
            <w:r w:rsidRPr="00D51A68">
              <w:t>ente espresso in percentuale dell</w:t>
            </w:r>
            <w:r w:rsidR="0009277C" w:rsidRPr="00D51A68">
              <w:t>’</w:t>
            </w:r>
            <w:r w:rsidRPr="00D51A68">
              <w:t>importo complessivo dell</w:t>
            </w:r>
            <w:r w:rsidR="0009277C" w:rsidRPr="00D51A68">
              <w:t>’</w:t>
            </w:r>
            <w:r w:rsidRPr="00D51A68">
              <w:t>esposizione al rischio.</w:t>
            </w:r>
          </w:p>
        </w:tc>
      </w:tr>
      <w:tr w:rsidR="002648B0" w:rsidRPr="00D51A68" w:rsidTr="00672D2A">
        <w:tc>
          <w:tcPr>
            <w:tcW w:w="703" w:type="dxa"/>
          </w:tcPr>
          <w:p w:rsidR="002648B0" w:rsidRPr="00D51A68" w:rsidRDefault="002648B0" w:rsidP="00FC1A76">
            <w:pPr>
              <w:pStyle w:val="InstructionsText"/>
            </w:pPr>
            <w:r w:rsidRPr="00D51A68">
              <w:t>020</w:t>
            </w:r>
          </w:p>
        </w:tc>
        <w:tc>
          <w:tcPr>
            <w:tcW w:w="8080" w:type="dxa"/>
          </w:tcPr>
          <w:p w:rsidR="005643EA" w:rsidRPr="00D51A68" w:rsidRDefault="002648B0"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2</w:t>
            </w:r>
            <w:r w:rsidR="00A0772B" w:rsidRPr="00D51A68">
              <w:rPr>
                <w:u w:val="single"/>
              </w:rPr>
              <w:tab/>
            </w:r>
            <w:r w:rsidRPr="00D51A68">
              <w:rPr>
                <w:rStyle w:val="InstructionsTabelleberschrift"/>
                <w:rFonts w:ascii="Times New Roman" w:hAnsi="Times New Roman"/>
                <w:sz w:val="24"/>
              </w:rPr>
              <w:t>Eccedenza(+)/Carenza(-) di capitale primario di classe 1</w:t>
            </w:r>
          </w:p>
          <w:p w:rsidR="005643EA" w:rsidRPr="00D51A68" w:rsidRDefault="002648B0" w:rsidP="00FC1A76">
            <w:pPr>
              <w:pStyle w:val="InstructionsText"/>
            </w:pPr>
            <w:r w:rsidRPr="00D51A68">
              <w:t>Questa voce indica, in cifre assolute, l</w:t>
            </w:r>
            <w:r w:rsidR="0009277C" w:rsidRPr="00D51A68">
              <w:t>’</w:t>
            </w:r>
            <w:r w:rsidRPr="00D51A68">
              <w:t>importo dell</w:t>
            </w:r>
            <w:r w:rsidR="0009277C" w:rsidRPr="00D51A68">
              <w:t>’</w:t>
            </w:r>
            <w:r w:rsidRPr="00D51A68">
              <w:t>eccedenza o della carenza di capitale primario di classe 1 rispetto al requisito di cui all</w:t>
            </w:r>
            <w:r w:rsidR="0009277C" w:rsidRPr="00D51A68">
              <w:t>’</w:t>
            </w:r>
            <w:r w:rsidRPr="00D51A68">
              <w:t>articolo 92</w:t>
            </w:r>
            <w:r w:rsidR="001266DE" w:rsidRPr="00D51A68">
              <w:t>, paragrafo </w:t>
            </w:r>
            <w:r w:rsidRPr="00D51A68">
              <w:t>1, lettera a), del CRR (4,5</w:t>
            </w:r>
            <w:r w:rsidR="0009277C" w:rsidRPr="00D51A68">
              <w:t>%</w:t>
            </w:r>
            <w:r w:rsidRPr="00D51A68">
              <w:t>), cioè senza tener conto delle riserve di capitale e delle disposizioni transitorie in materia di coefficienti.</w:t>
            </w:r>
          </w:p>
        </w:tc>
      </w:tr>
      <w:tr w:rsidR="002648B0" w:rsidRPr="00D51A68" w:rsidTr="00672D2A">
        <w:tc>
          <w:tcPr>
            <w:tcW w:w="703" w:type="dxa"/>
          </w:tcPr>
          <w:p w:rsidR="002648B0" w:rsidRPr="00D51A68" w:rsidRDefault="002648B0" w:rsidP="00FC1A76">
            <w:pPr>
              <w:pStyle w:val="InstructionsText"/>
            </w:pPr>
            <w:r w:rsidRPr="00D51A68">
              <w:t>030</w:t>
            </w:r>
          </w:p>
        </w:tc>
        <w:tc>
          <w:tcPr>
            <w:tcW w:w="8080" w:type="dxa"/>
          </w:tcPr>
          <w:p w:rsidR="005643EA" w:rsidRPr="00D51A68" w:rsidRDefault="002648B0" w:rsidP="00FC1A76">
            <w:pPr>
              <w:pStyle w:val="InstructionsText"/>
            </w:pPr>
            <w:r w:rsidRPr="00D51A68">
              <w:rPr>
                <w:rStyle w:val="InstructionsTabelleberschrift"/>
                <w:rFonts w:ascii="Times New Roman" w:hAnsi="Times New Roman"/>
                <w:sz w:val="24"/>
              </w:rPr>
              <w:t>3</w:t>
            </w:r>
            <w:r w:rsidR="00A0772B" w:rsidRPr="00D51A68">
              <w:rPr>
                <w:u w:val="single"/>
              </w:rPr>
              <w:tab/>
            </w:r>
            <w:r w:rsidRPr="00D51A68">
              <w:rPr>
                <w:rStyle w:val="InstructionsTabelleberschrift"/>
                <w:rFonts w:ascii="Times New Roman" w:hAnsi="Times New Roman"/>
                <w:sz w:val="24"/>
              </w:rPr>
              <w:t>Coefficiente di capitale di classe 1</w:t>
            </w:r>
          </w:p>
          <w:p w:rsidR="005643EA" w:rsidRPr="00D51A68" w:rsidRDefault="002648B0" w:rsidP="00FC1A76">
            <w:pPr>
              <w:pStyle w:val="InstructionsText"/>
            </w:pPr>
            <w:r w:rsidRPr="00D51A68">
              <w:t>Articolo 92, paragrafo 2, lettera b), del CRR.</w:t>
            </w:r>
          </w:p>
          <w:p w:rsidR="005643EA" w:rsidRPr="00D51A68" w:rsidRDefault="002648B0" w:rsidP="00FC1A76">
            <w:pPr>
              <w:pStyle w:val="InstructionsText"/>
            </w:pPr>
            <w:r w:rsidRPr="00D51A68">
              <w:t>Il coefficiente di capitale di classe 1 è il capitale di classe 1 dell</w:t>
            </w:r>
            <w:r w:rsidR="0009277C" w:rsidRPr="00D51A68">
              <w:t>’</w:t>
            </w:r>
            <w:r w:rsidRPr="00D51A68">
              <w:t>ente espresso in percentuale dell</w:t>
            </w:r>
            <w:r w:rsidR="0009277C" w:rsidRPr="00D51A68">
              <w:t>’</w:t>
            </w:r>
            <w:r w:rsidRPr="00D51A68">
              <w:t>importo complessivo dell</w:t>
            </w:r>
            <w:r w:rsidR="0009277C" w:rsidRPr="00D51A68">
              <w:t>’</w:t>
            </w:r>
            <w:r w:rsidRPr="00D51A68">
              <w:t>esposizione al rischio.</w:t>
            </w:r>
          </w:p>
        </w:tc>
      </w:tr>
      <w:tr w:rsidR="002648B0" w:rsidRPr="00D51A68" w:rsidTr="00672D2A">
        <w:tc>
          <w:tcPr>
            <w:tcW w:w="703" w:type="dxa"/>
          </w:tcPr>
          <w:p w:rsidR="002648B0" w:rsidRPr="00D51A68" w:rsidRDefault="002648B0" w:rsidP="001266DE">
            <w:pPr>
              <w:pStyle w:val="InstructionsText"/>
              <w:keepNext/>
            </w:pPr>
            <w:r w:rsidRPr="00D51A68">
              <w:lastRenderedPageBreak/>
              <w:t>040</w:t>
            </w:r>
          </w:p>
        </w:tc>
        <w:tc>
          <w:tcPr>
            <w:tcW w:w="8080" w:type="dxa"/>
          </w:tcPr>
          <w:p w:rsidR="005643EA" w:rsidRPr="00D51A68" w:rsidRDefault="002648B0" w:rsidP="001266DE">
            <w:pPr>
              <w:pStyle w:val="InstructionsText"/>
              <w:keepNext/>
            </w:pPr>
            <w:r w:rsidRPr="00D51A68">
              <w:rPr>
                <w:rStyle w:val="InstructionsTabelleberschrift"/>
                <w:rFonts w:ascii="Times New Roman" w:hAnsi="Times New Roman"/>
                <w:sz w:val="24"/>
              </w:rPr>
              <w:t>4</w:t>
            </w:r>
            <w:r w:rsidR="00A0772B" w:rsidRPr="00D51A68">
              <w:rPr>
                <w:u w:val="single"/>
              </w:rPr>
              <w:tab/>
            </w:r>
            <w:r w:rsidRPr="00D51A68">
              <w:rPr>
                <w:rStyle w:val="InstructionsTabelleberschrift"/>
                <w:rFonts w:ascii="Times New Roman" w:hAnsi="Times New Roman"/>
                <w:sz w:val="24"/>
              </w:rPr>
              <w:t>Eccedenza(+)/Carenza(-) di capitale di classe 1</w:t>
            </w:r>
          </w:p>
          <w:p w:rsidR="005643EA" w:rsidRPr="00D51A68" w:rsidRDefault="002648B0" w:rsidP="001266DE">
            <w:pPr>
              <w:pStyle w:val="InstructionsText"/>
              <w:keepNext/>
            </w:pPr>
            <w:r w:rsidRPr="00D51A68">
              <w:t>Questa voce indica, in cifre assolute, l</w:t>
            </w:r>
            <w:r w:rsidR="0009277C" w:rsidRPr="00D51A68">
              <w:t>’</w:t>
            </w:r>
            <w:r w:rsidRPr="00D51A68">
              <w:t>importo dell</w:t>
            </w:r>
            <w:r w:rsidR="0009277C" w:rsidRPr="00D51A68">
              <w:t>’</w:t>
            </w:r>
            <w:r w:rsidRPr="00D51A68">
              <w:t>eccedenza o della carenza di capitale di classe 1 rispetto al requisito di cui all</w:t>
            </w:r>
            <w:r w:rsidR="0009277C" w:rsidRPr="00D51A68">
              <w:t>’</w:t>
            </w:r>
            <w:r w:rsidRPr="00D51A68">
              <w:t>articolo 92, paragrafo 1</w:t>
            </w:r>
            <w:r w:rsidR="001266DE" w:rsidRPr="00D51A68">
              <w:t>, lettera </w:t>
            </w:r>
            <w:r w:rsidRPr="00D51A68">
              <w:t>b), del CRR (6</w:t>
            </w:r>
            <w:r w:rsidR="0009277C" w:rsidRPr="00D51A68">
              <w:t>%</w:t>
            </w:r>
            <w:r w:rsidRPr="00D51A68">
              <w:t>), cioè senza tener conto delle riserve di capitale e delle disposizioni transitorie in materia di coefficienti.</w:t>
            </w:r>
          </w:p>
        </w:tc>
      </w:tr>
      <w:tr w:rsidR="002648B0" w:rsidRPr="00D51A68" w:rsidTr="00672D2A">
        <w:tc>
          <w:tcPr>
            <w:tcW w:w="703" w:type="dxa"/>
          </w:tcPr>
          <w:p w:rsidR="002648B0" w:rsidRPr="00D51A68" w:rsidRDefault="002648B0" w:rsidP="00FC1A76">
            <w:pPr>
              <w:pStyle w:val="InstructionsText"/>
            </w:pPr>
            <w:r w:rsidRPr="00D51A68">
              <w:t>050</w:t>
            </w:r>
          </w:p>
        </w:tc>
        <w:tc>
          <w:tcPr>
            <w:tcW w:w="8080" w:type="dxa"/>
          </w:tcPr>
          <w:p w:rsidR="005643EA" w:rsidRPr="00D51A68" w:rsidRDefault="002648B0" w:rsidP="00FC1A76">
            <w:pPr>
              <w:pStyle w:val="InstructionsText"/>
            </w:pPr>
            <w:r w:rsidRPr="00D51A68">
              <w:rPr>
                <w:rStyle w:val="InstructionsTabelleberschrift"/>
                <w:rFonts w:ascii="Times New Roman" w:hAnsi="Times New Roman"/>
                <w:sz w:val="24"/>
              </w:rPr>
              <w:t>5</w:t>
            </w:r>
            <w:r w:rsidR="00A0772B" w:rsidRPr="00D51A68">
              <w:rPr>
                <w:u w:val="single"/>
              </w:rPr>
              <w:tab/>
            </w:r>
            <w:r w:rsidRPr="00D51A68">
              <w:rPr>
                <w:rStyle w:val="InstructionsTabelleberschrift"/>
                <w:rFonts w:ascii="Times New Roman" w:hAnsi="Times New Roman"/>
                <w:sz w:val="24"/>
              </w:rPr>
              <w:t>Coefficiente di capitale totale</w:t>
            </w:r>
          </w:p>
          <w:p w:rsidR="005643EA" w:rsidRPr="00D51A68" w:rsidRDefault="002648B0" w:rsidP="00FC1A76">
            <w:pPr>
              <w:pStyle w:val="InstructionsText"/>
            </w:pPr>
            <w:r w:rsidRPr="00D51A68">
              <w:t>Articolo 92, paragrafo 2, lettera c), del CRR.</w:t>
            </w:r>
          </w:p>
          <w:p w:rsidR="005643EA" w:rsidRPr="00D51A68" w:rsidRDefault="002648B0" w:rsidP="00FC1A76">
            <w:pPr>
              <w:pStyle w:val="InstructionsText"/>
            </w:pPr>
            <w:r w:rsidRPr="00D51A68">
              <w:t>Il coefficiente di capitale totale sono i fondi propri dell</w:t>
            </w:r>
            <w:r w:rsidR="0009277C" w:rsidRPr="00D51A68">
              <w:t>’</w:t>
            </w:r>
            <w:r w:rsidRPr="00D51A68">
              <w:t>ente espressi in percentuale dell</w:t>
            </w:r>
            <w:r w:rsidR="0009277C" w:rsidRPr="00D51A68">
              <w:t>’</w:t>
            </w:r>
            <w:r w:rsidRPr="00D51A68">
              <w:t>importo complessivo dell</w:t>
            </w:r>
            <w:r w:rsidR="0009277C" w:rsidRPr="00D51A68">
              <w:t>’</w:t>
            </w:r>
            <w:r w:rsidRPr="00D51A68">
              <w:t>esposizione al rischio.</w:t>
            </w:r>
          </w:p>
        </w:tc>
      </w:tr>
      <w:tr w:rsidR="002648B0" w:rsidRPr="00D51A68" w:rsidTr="00672D2A">
        <w:tc>
          <w:tcPr>
            <w:tcW w:w="703" w:type="dxa"/>
          </w:tcPr>
          <w:p w:rsidR="002648B0" w:rsidRPr="00D51A68" w:rsidRDefault="002648B0" w:rsidP="00FC1A76">
            <w:pPr>
              <w:pStyle w:val="InstructionsText"/>
            </w:pPr>
            <w:r w:rsidRPr="00D51A68">
              <w:t>060</w:t>
            </w:r>
          </w:p>
        </w:tc>
        <w:tc>
          <w:tcPr>
            <w:tcW w:w="8080" w:type="dxa"/>
          </w:tcPr>
          <w:p w:rsidR="005643EA" w:rsidRPr="00D51A68" w:rsidRDefault="002648B0" w:rsidP="00FC1A76">
            <w:pPr>
              <w:pStyle w:val="InstructionsText"/>
            </w:pPr>
            <w:r w:rsidRPr="00D51A68">
              <w:rPr>
                <w:rStyle w:val="InstructionsTabelleberschrift"/>
                <w:rFonts w:ascii="Times New Roman" w:hAnsi="Times New Roman"/>
                <w:sz w:val="24"/>
              </w:rPr>
              <w:t>6</w:t>
            </w:r>
            <w:r w:rsidR="00A0772B" w:rsidRPr="00D51A68">
              <w:rPr>
                <w:u w:val="single"/>
              </w:rPr>
              <w:tab/>
            </w:r>
            <w:r w:rsidRPr="00D51A68">
              <w:rPr>
                <w:rStyle w:val="InstructionsTabelleberschrift"/>
                <w:rFonts w:ascii="Times New Roman" w:hAnsi="Times New Roman"/>
                <w:sz w:val="24"/>
              </w:rPr>
              <w:t>Eccedenza(+)/Carenza(-) di capitale totale</w:t>
            </w:r>
          </w:p>
          <w:p w:rsidR="005643EA" w:rsidRPr="00D51A68" w:rsidRDefault="002648B0" w:rsidP="00FC1A76">
            <w:pPr>
              <w:pStyle w:val="InstructionsText"/>
            </w:pPr>
            <w:r w:rsidRPr="00D51A68">
              <w:t>Questa voce indica, in cifre assolute, l</w:t>
            </w:r>
            <w:r w:rsidR="0009277C" w:rsidRPr="00D51A68">
              <w:t>’</w:t>
            </w:r>
            <w:r w:rsidRPr="00D51A68">
              <w:t>importo dell</w:t>
            </w:r>
            <w:r w:rsidR="0009277C" w:rsidRPr="00D51A68">
              <w:t>’</w:t>
            </w:r>
            <w:r w:rsidRPr="00D51A68">
              <w:t>eccedenza o della carenza di fondi propri rispetto al requisito di cui all</w:t>
            </w:r>
            <w:r w:rsidR="0009277C" w:rsidRPr="00D51A68">
              <w:t>’</w:t>
            </w:r>
            <w:r w:rsidRPr="00D51A68">
              <w:t>articolo 92, paragrafo 1, lettera c), del CRR (8</w:t>
            </w:r>
            <w:r w:rsidR="0009277C" w:rsidRPr="00D51A68">
              <w:t>%</w:t>
            </w:r>
            <w:r w:rsidRPr="00D51A68">
              <w:t>), cioè senza tener conto delle riserve di capitale e delle disposizioni transitorie in materia di coefficienti.</w:t>
            </w:r>
          </w:p>
        </w:tc>
      </w:tr>
      <w:tr w:rsidR="009C083D" w:rsidRPr="00D51A68" w:rsidTr="00672D2A">
        <w:tc>
          <w:tcPr>
            <w:tcW w:w="703" w:type="dxa"/>
          </w:tcPr>
          <w:p w:rsidR="009C083D" w:rsidRPr="00D51A68" w:rsidRDefault="009C083D" w:rsidP="00FC1A76">
            <w:pPr>
              <w:pStyle w:val="InstructionsText"/>
            </w:pPr>
            <w:r w:rsidRPr="00D51A68">
              <w:t>130</w:t>
            </w:r>
          </w:p>
          <w:p w:rsidR="009C083D" w:rsidRPr="00D51A68" w:rsidRDefault="009C083D" w:rsidP="00FC1A76">
            <w:pPr>
              <w:pStyle w:val="InstructionsText"/>
            </w:pPr>
          </w:p>
        </w:tc>
        <w:tc>
          <w:tcPr>
            <w:tcW w:w="8080" w:type="dxa"/>
          </w:tcPr>
          <w:p w:rsidR="009C083D" w:rsidRPr="00D51A68" w:rsidRDefault="009C083D" w:rsidP="00FC1A76">
            <w:pPr>
              <w:pStyle w:val="InstructionsText"/>
              <w:rPr>
                <w:rStyle w:val="InstructionsTabelleberschrift"/>
                <w:rFonts w:ascii="Times New Roman" w:hAnsi="Times New Roman"/>
                <w:bCs w:val="0"/>
                <w:sz w:val="24"/>
              </w:rPr>
            </w:pPr>
            <w:r w:rsidRPr="00D51A68">
              <w:rPr>
                <w:rStyle w:val="InstructionsTabelleberschrift"/>
                <w:rFonts w:ascii="Times New Roman" w:hAnsi="Times New Roman"/>
                <w:sz w:val="24"/>
              </w:rPr>
              <w:t>13</w:t>
            </w:r>
            <w:r w:rsidR="00A0772B" w:rsidRPr="00D51A68">
              <w:rPr>
                <w:u w:val="single"/>
              </w:rPr>
              <w:tab/>
            </w:r>
            <w:r w:rsidRPr="00D51A68">
              <w:rPr>
                <w:rStyle w:val="InstructionsTabelleberschrift"/>
                <w:rFonts w:ascii="Times New Roman" w:hAnsi="Times New Roman"/>
                <w:sz w:val="24"/>
              </w:rPr>
              <w:t>Coefficiente del requisito patrimoniale SREP totale (TSCR)</w:t>
            </w:r>
          </w:p>
          <w:p w:rsidR="009C083D" w:rsidRPr="00D51A68" w:rsidRDefault="009C083D" w:rsidP="00FC1A76">
            <w:pPr>
              <w:pStyle w:val="InstructionsText"/>
            </w:pPr>
            <w:r w:rsidRPr="00D51A68">
              <w:t>La somma di i) e ii) come segue:</w:t>
            </w:r>
          </w:p>
          <w:p w:rsidR="009C083D" w:rsidRPr="00D51A68" w:rsidRDefault="009C083D" w:rsidP="00FC1A76">
            <w:pPr>
              <w:pStyle w:val="InstructionsText"/>
              <w:numPr>
                <w:ilvl w:val="0"/>
                <w:numId w:val="20"/>
              </w:numPr>
            </w:pPr>
            <w:r w:rsidRPr="00D51A68">
              <w:t>il coefficiente di capitale totale (8%) di cui all</w:t>
            </w:r>
            <w:r w:rsidR="0009277C" w:rsidRPr="00D51A68">
              <w:t>’</w:t>
            </w:r>
            <w:r w:rsidRPr="00D51A68">
              <w:t xml:space="preserve">articolo 92, paragrafo 1, lettera c), del CRR; </w:t>
            </w:r>
          </w:p>
          <w:p w:rsidR="009C083D" w:rsidRPr="00D51A68" w:rsidRDefault="009C083D" w:rsidP="00FC1A76">
            <w:pPr>
              <w:pStyle w:val="InstructionsText"/>
              <w:numPr>
                <w:ilvl w:val="0"/>
                <w:numId w:val="20"/>
              </w:numPr>
            </w:pPr>
            <w:r w:rsidRPr="00D51A68">
              <w:t>il coefficiente di requisiti aggiuntivi di fondi propri (requisiti del secondo pilastro – P2R) determinato conformemente ai criteri specificati negli orientamenti dell</w:t>
            </w:r>
            <w:r w:rsidR="0009277C" w:rsidRPr="00D51A68">
              <w:t>’</w:t>
            </w:r>
            <w:r w:rsidRPr="00D51A68">
              <w:t xml:space="preserve">ABE sulle procedure e sulle metodologie comuni per il processo di revisione e valutazione prudenziale e le prove di stress a fini di vigilanza </w:t>
            </w:r>
            <w:r w:rsidRPr="00D51A68">
              <w:rPr>
                <w:i/>
              </w:rPr>
              <w:t>(EBA Guidelines on common procedures and methodologies for the supervisory review and evaluation process and supervisory stress testing (EBA SREP GL))</w:t>
            </w:r>
            <w:r w:rsidRPr="00D51A68">
              <w:t>.</w:t>
            </w:r>
          </w:p>
          <w:p w:rsidR="009C083D" w:rsidRPr="00D51A68" w:rsidRDefault="009C083D" w:rsidP="00FC1A76">
            <w:pPr>
              <w:pStyle w:val="InstructionsText"/>
            </w:pPr>
            <w:r w:rsidRPr="00D51A68">
              <w:t>Questa voce riflette il coefficiente del requisito patrimoniale SREP totale (TSCR) comunicato all</w:t>
            </w:r>
            <w:r w:rsidR="0009277C" w:rsidRPr="00D51A68">
              <w:t>’</w:t>
            </w:r>
            <w:r w:rsidRPr="00D51A68">
              <w:t>ente dall</w:t>
            </w:r>
            <w:r w:rsidR="0009277C" w:rsidRPr="00D51A68">
              <w:t>’</w:t>
            </w:r>
            <w:r w:rsidRPr="00D51A68">
              <w:t>autorità competente. Il TSCR è definito nella sezione 1.2 degli orientamenti EBA SREP GL.</w:t>
            </w:r>
          </w:p>
          <w:p w:rsidR="00C9673B" w:rsidRPr="00D51A68" w:rsidRDefault="00236E33" w:rsidP="00FC1A76">
            <w:pPr>
              <w:pStyle w:val="InstructionsText"/>
              <w:rPr>
                <w:rStyle w:val="InstructionsTabelleberschrift"/>
                <w:rFonts w:ascii="Times New Roman" w:hAnsi="Times New Roman"/>
                <w:b w:val="0"/>
                <w:bCs w:val="0"/>
                <w:sz w:val="24"/>
                <w:u w:val="none"/>
              </w:rPr>
            </w:pPr>
            <w:r w:rsidRPr="00D51A68">
              <w:t>Se l</w:t>
            </w:r>
            <w:r w:rsidR="0009277C" w:rsidRPr="00D51A68">
              <w:t>’</w:t>
            </w:r>
            <w:r w:rsidRPr="00D51A68">
              <w:t xml:space="preserve">autorità competente non ha comunicato requisiti aggiuntivi di fondi propri, occorre segnalare solo il punto i). </w:t>
            </w:r>
          </w:p>
        </w:tc>
      </w:tr>
      <w:tr w:rsidR="009C083D" w:rsidRPr="00D51A68" w:rsidTr="00672D2A">
        <w:tc>
          <w:tcPr>
            <w:tcW w:w="703" w:type="dxa"/>
          </w:tcPr>
          <w:p w:rsidR="009C083D" w:rsidRPr="00D51A68" w:rsidRDefault="009C083D" w:rsidP="00FC1A76">
            <w:pPr>
              <w:pStyle w:val="InstructionsText"/>
            </w:pPr>
            <w:r w:rsidRPr="00D51A68">
              <w:t>140</w:t>
            </w:r>
          </w:p>
          <w:p w:rsidR="009C083D" w:rsidRPr="00D51A68" w:rsidRDefault="009C083D" w:rsidP="00FC1A76">
            <w:pPr>
              <w:pStyle w:val="InstructionsText"/>
            </w:pPr>
          </w:p>
        </w:tc>
        <w:tc>
          <w:tcPr>
            <w:tcW w:w="8080" w:type="dxa"/>
          </w:tcPr>
          <w:p w:rsidR="009C083D" w:rsidRPr="00D51A68" w:rsidRDefault="009C083D"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13*</w:t>
            </w:r>
            <w:r w:rsidR="00A0772B" w:rsidRPr="00D51A68">
              <w:rPr>
                <w:u w:val="single"/>
              </w:rPr>
              <w:tab/>
            </w:r>
            <w:r w:rsidRPr="00D51A68">
              <w:rPr>
                <w:rStyle w:val="InstructionsTabelleberschrift"/>
                <w:rFonts w:ascii="Times New Roman" w:hAnsi="Times New Roman"/>
                <w:sz w:val="24"/>
              </w:rPr>
              <w:t xml:space="preserve">TSCR: costituito da capitale CET1 </w:t>
            </w:r>
          </w:p>
          <w:p w:rsidR="009C083D" w:rsidRPr="00D51A68" w:rsidRDefault="009C083D" w:rsidP="00FC1A76">
            <w:pPr>
              <w:pStyle w:val="InstructionsText"/>
            </w:pPr>
            <w:r w:rsidRPr="00D51A68">
              <w:t>La somma di i) e ii) come segue:</w:t>
            </w:r>
          </w:p>
          <w:p w:rsidR="009C083D" w:rsidRPr="00D51A68" w:rsidRDefault="009C083D" w:rsidP="00FC1A76">
            <w:pPr>
              <w:pStyle w:val="InstructionsText"/>
              <w:numPr>
                <w:ilvl w:val="0"/>
                <w:numId w:val="21"/>
              </w:numPr>
            </w:pPr>
            <w:r w:rsidRPr="00D51A68">
              <w:t>il coefficiente di capitale CET1 (4,5</w:t>
            </w:r>
            <w:r w:rsidR="0009277C" w:rsidRPr="00D51A68">
              <w:t>%</w:t>
            </w:r>
            <w:r w:rsidRPr="00D51A68">
              <w:t>) di cui all</w:t>
            </w:r>
            <w:r w:rsidR="0009277C" w:rsidRPr="00D51A68">
              <w:t>’</w:t>
            </w:r>
            <w:r w:rsidRPr="00D51A68">
              <w:t>articolo 92, paragrafo 1, lettera a), del CRR;</w:t>
            </w:r>
          </w:p>
          <w:p w:rsidR="0002157C" w:rsidRPr="00D51A68" w:rsidRDefault="009C083D" w:rsidP="00FC1A76">
            <w:pPr>
              <w:pStyle w:val="InstructionsText"/>
              <w:numPr>
                <w:ilvl w:val="0"/>
                <w:numId w:val="21"/>
              </w:numPr>
              <w:rPr>
                <w:b/>
                <w:bCs/>
                <w:u w:val="single"/>
              </w:rPr>
            </w:pPr>
            <w:r w:rsidRPr="00D51A68">
              <w:t>la parte del coefficiente P2R di cui al punto (ii) della riga 130 che l</w:t>
            </w:r>
            <w:r w:rsidR="0009277C" w:rsidRPr="00D51A68">
              <w:t>’</w:t>
            </w:r>
            <w:r w:rsidRPr="00D51A68">
              <w:t>autorità competente impone di detenere in forma di capitale CET1.</w:t>
            </w:r>
          </w:p>
          <w:p w:rsidR="009C083D" w:rsidRPr="00D51A68" w:rsidRDefault="005B54BB" w:rsidP="00FC1A76">
            <w:pPr>
              <w:pStyle w:val="InstructionsText"/>
              <w:rPr>
                <w:rStyle w:val="InstructionsTabelleberschrift"/>
                <w:rFonts w:ascii="Times New Roman" w:hAnsi="Times New Roman"/>
                <w:sz w:val="24"/>
              </w:rPr>
            </w:pPr>
            <w:r w:rsidRPr="00D51A68">
              <w:t>Se l</w:t>
            </w:r>
            <w:r w:rsidR="0009277C" w:rsidRPr="00D51A68">
              <w:t>’</w:t>
            </w:r>
            <w:r w:rsidRPr="00D51A68">
              <w:t>autorità competente non ha comunicato requisiti aggiuntivi di fondi propri da detenere in forma di capitale CET1, occorre segnalare solo il punto i).</w:t>
            </w:r>
            <w:r w:rsidRPr="00D51A68">
              <w:rPr>
                <w:rStyle w:val="InstructionsTabelleberschrift"/>
                <w:rFonts w:ascii="Times New Roman" w:hAnsi="Times New Roman"/>
                <w:b w:val="0"/>
                <w:sz w:val="24"/>
              </w:rPr>
              <w:t xml:space="preserve"> </w:t>
            </w:r>
          </w:p>
        </w:tc>
      </w:tr>
      <w:tr w:rsidR="009C083D" w:rsidRPr="00D51A68" w:rsidTr="00672D2A">
        <w:tc>
          <w:tcPr>
            <w:tcW w:w="703" w:type="dxa"/>
          </w:tcPr>
          <w:p w:rsidR="009C083D" w:rsidRPr="00D51A68" w:rsidRDefault="009C083D" w:rsidP="00FC1A76">
            <w:pPr>
              <w:pStyle w:val="InstructionsText"/>
            </w:pPr>
            <w:r w:rsidRPr="00D51A68">
              <w:t>150</w:t>
            </w:r>
          </w:p>
          <w:p w:rsidR="009C083D" w:rsidRPr="00D51A68" w:rsidRDefault="009C083D" w:rsidP="00FC1A76">
            <w:pPr>
              <w:pStyle w:val="InstructionsText"/>
            </w:pPr>
          </w:p>
        </w:tc>
        <w:tc>
          <w:tcPr>
            <w:tcW w:w="8080" w:type="dxa"/>
          </w:tcPr>
          <w:p w:rsidR="009C083D" w:rsidRPr="00D51A68" w:rsidRDefault="009C083D"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13**</w:t>
            </w:r>
            <w:r w:rsidR="00A0772B" w:rsidRPr="00D51A68">
              <w:rPr>
                <w:u w:val="single"/>
              </w:rPr>
              <w:tab/>
            </w:r>
            <w:r w:rsidRPr="00D51A68">
              <w:rPr>
                <w:rStyle w:val="InstructionsTabelleberschrift"/>
                <w:rFonts w:ascii="Times New Roman" w:hAnsi="Times New Roman"/>
                <w:sz w:val="24"/>
              </w:rPr>
              <w:t>TSCR: costituito da capitale di classe 1</w:t>
            </w:r>
          </w:p>
          <w:p w:rsidR="009C083D" w:rsidRPr="00D51A68" w:rsidRDefault="009C083D" w:rsidP="00FC1A76">
            <w:pPr>
              <w:pStyle w:val="InstructionsText"/>
            </w:pPr>
            <w:r w:rsidRPr="00D51A68">
              <w:t>La somma di i) e ii) come segue:</w:t>
            </w:r>
          </w:p>
          <w:p w:rsidR="009C083D" w:rsidRPr="00D51A68" w:rsidRDefault="009C083D" w:rsidP="00FC1A76">
            <w:pPr>
              <w:pStyle w:val="InstructionsText"/>
              <w:numPr>
                <w:ilvl w:val="0"/>
                <w:numId w:val="22"/>
              </w:numPr>
            </w:pPr>
            <w:r w:rsidRPr="00D51A68">
              <w:t>il coefficiente di capitale di classe 1 (6</w:t>
            </w:r>
            <w:r w:rsidR="0009277C" w:rsidRPr="00D51A68">
              <w:t>%</w:t>
            </w:r>
            <w:r w:rsidRPr="00D51A68">
              <w:t>) di cui all</w:t>
            </w:r>
            <w:r w:rsidR="0009277C" w:rsidRPr="00D51A68">
              <w:t>’</w:t>
            </w:r>
            <w:r w:rsidRPr="00D51A68">
              <w:t xml:space="preserve">articolo 92, </w:t>
            </w:r>
            <w:r w:rsidRPr="00D51A68">
              <w:lastRenderedPageBreak/>
              <w:t>paragrafo</w:t>
            </w:r>
            <w:r w:rsidR="001266DE" w:rsidRPr="00D51A68">
              <w:t> </w:t>
            </w:r>
            <w:r w:rsidRPr="00D51A68">
              <w:t>1, lettera b), del CRR;</w:t>
            </w:r>
          </w:p>
          <w:p w:rsidR="009C083D" w:rsidRPr="00D51A68" w:rsidRDefault="009C083D" w:rsidP="00FC1A76">
            <w:pPr>
              <w:pStyle w:val="InstructionsText"/>
              <w:numPr>
                <w:ilvl w:val="0"/>
                <w:numId w:val="22"/>
              </w:numPr>
              <w:rPr>
                <w:bCs/>
                <w:u w:val="single"/>
              </w:rPr>
            </w:pPr>
            <w:r w:rsidRPr="00D51A68">
              <w:t>la parte del coefficiente P2R di cui al punto (ii) della riga 130 che l</w:t>
            </w:r>
            <w:r w:rsidR="0009277C" w:rsidRPr="00D51A68">
              <w:t>’</w:t>
            </w:r>
            <w:r w:rsidRPr="00D51A68">
              <w:t>autorità competente impone di detenere in forma di capitale di classe 1.</w:t>
            </w:r>
          </w:p>
          <w:p w:rsidR="00DA6CB8" w:rsidRPr="00D51A68" w:rsidRDefault="005B54BB" w:rsidP="00FC1A76">
            <w:pPr>
              <w:pStyle w:val="InstructionsText"/>
              <w:rPr>
                <w:rStyle w:val="InstructionsTabelleberschrift"/>
                <w:rFonts w:ascii="Times New Roman" w:hAnsi="Times New Roman"/>
                <w:b w:val="0"/>
                <w:sz w:val="24"/>
              </w:rPr>
            </w:pPr>
            <w:r w:rsidRPr="00D51A68">
              <w:t>Se l</w:t>
            </w:r>
            <w:r w:rsidR="0009277C" w:rsidRPr="00D51A68">
              <w:t>’</w:t>
            </w:r>
            <w:r w:rsidRPr="00D51A68">
              <w:t>autorità competente non ha comunicato requisiti aggiuntivi di fondi propri da detenere in forma di capitale di classe 1, occorre segnalare solo il punto i).</w:t>
            </w:r>
          </w:p>
        </w:tc>
      </w:tr>
      <w:tr w:rsidR="009C083D" w:rsidRPr="00D51A68" w:rsidTr="00672D2A">
        <w:tc>
          <w:tcPr>
            <w:tcW w:w="703" w:type="dxa"/>
          </w:tcPr>
          <w:p w:rsidR="009C083D" w:rsidRPr="00D51A68" w:rsidRDefault="009C083D" w:rsidP="00FC1A76">
            <w:pPr>
              <w:pStyle w:val="InstructionsText"/>
            </w:pPr>
            <w:r w:rsidRPr="00D51A68">
              <w:lastRenderedPageBreak/>
              <w:t>160</w:t>
            </w:r>
          </w:p>
        </w:tc>
        <w:tc>
          <w:tcPr>
            <w:tcW w:w="8080" w:type="dxa"/>
          </w:tcPr>
          <w:p w:rsidR="009C083D" w:rsidRPr="00D51A68" w:rsidRDefault="009C083D"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14</w:t>
            </w:r>
            <w:r w:rsidR="00A0772B" w:rsidRPr="00D51A68">
              <w:rPr>
                <w:u w:val="single"/>
              </w:rPr>
              <w:tab/>
            </w:r>
            <w:r w:rsidRPr="00D51A68">
              <w:rPr>
                <w:rStyle w:val="InstructionsTabelleberschrift"/>
                <w:rFonts w:ascii="Times New Roman" w:hAnsi="Times New Roman"/>
                <w:sz w:val="24"/>
              </w:rPr>
              <w:t>Coefficiente del requisito patrimoniale complessivo (OCR)</w:t>
            </w:r>
          </w:p>
          <w:p w:rsidR="009C083D" w:rsidRPr="00D51A68" w:rsidRDefault="009C083D" w:rsidP="00FC1A76">
            <w:pPr>
              <w:pStyle w:val="InstructionsText"/>
            </w:pPr>
            <w:r w:rsidRPr="00D51A68">
              <w:t>La somma di i) e ii) come segue:</w:t>
            </w:r>
          </w:p>
          <w:p w:rsidR="009C083D" w:rsidRPr="00D51A68" w:rsidRDefault="009C083D" w:rsidP="00FC1A76">
            <w:pPr>
              <w:pStyle w:val="InstructionsText"/>
              <w:numPr>
                <w:ilvl w:val="0"/>
                <w:numId w:val="23"/>
              </w:numPr>
            </w:pPr>
            <w:r w:rsidRPr="00D51A68">
              <w:t>il coefficiente TSCR di cui alla riga 130;</w:t>
            </w:r>
          </w:p>
          <w:p w:rsidR="009C083D" w:rsidRPr="00D51A68" w:rsidRDefault="009C083D" w:rsidP="00FC1A76">
            <w:pPr>
              <w:pStyle w:val="InstructionsText"/>
              <w:numPr>
                <w:ilvl w:val="0"/>
                <w:numId w:val="23"/>
              </w:numPr>
            </w:pPr>
            <w:r w:rsidRPr="00D51A68">
              <w:t>in funzione della sua applicabilità legale, il requisito combinato di riserva di capitale di cui all</w:t>
            </w:r>
            <w:r w:rsidR="0009277C" w:rsidRPr="00D51A68">
              <w:t>’</w:t>
            </w:r>
            <w:r w:rsidRPr="00D51A68">
              <w:t xml:space="preserve">articolo 128, punto 6, della CRD. </w:t>
            </w:r>
          </w:p>
          <w:p w:rsidR="005B54BB" w:rsidRPr="00D51A68" w:rsidRDefault="009C083D" w:rsidP="00FC1A76">
            <w:pPr>
              <w:pStyle w:val="InstructionsText"/>
            </w:pPr>
            <w:r w:rsidRPr="00D51A68">
              <w:t>Questa voce riflette il coefficiente del requisito patrimoniale complessivo (OCR) ai sensi della sezione 1.2 degli orientamenti EBA SREP GL.</w:t>
            </w:r>
          </w:p>
          <w:p w:rsidR="00645573" w:rsidRPr="00D51A68" w:rsidRDefault="007260DA" w:rsidP="00FC1A76">
            <w:pPr>
              <w:pStyle w:val="InstructionsText"/>
              <w:rPr>
                <w:rStyle w:val="InstructionsTabelleberschrift"/>
                <w:rFonts w:ascii="Times New Roman" w:hAnsi="Times New Roman"/>
                <w:sz w:val="24"/>
              </w:rPr>
            </w:pPr>
            <w:r w:rsidRPr="00D51A68">
              <w:t>Se non si applica alcun requisito di riserva di capitale, occorre segnalare solo il punto i).</w:t>
            </w:r>
          </w:p>
        </w:tc>
      </w:tr>
      <w:tr w:rsidR="009C083D" w:rsidRPr="00D51A68" w:rsidTr="00672D2A">
        <w:tc>
          <w:tcPr>
            <w:tcW w:w="703" w:type="dxa"/>
          </w:tcPr>
          <w:p w:rsidR="009C083D" w:rsidRPr="00D51A68" w:rsidRDefault="009C083D" w:rsidP="00FC1A76">
            <w:pPr>
              <w:pStyle w:val="InstructionsText"/>
            </w:pPr>
            <w:r w:rsidRPr="00D51A68">
              <w:t>170</w:t>
            </w:r>
          </w:p>
        </w:tc>
        <w:tc>
          <w:tcPr>
            <w:tcW w:w="8080" w:type="dxa"/>
          </w:tcPr>
          <w:p w:rsidR="009C083D" w:rsidRPr="00D51A68" w:rsidRDefault="009C083D"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14*</w:t>
            </w:r>
            <w:r w:rsidR="00A0772B" w:rsidRPr="00D51A68">
              <w:rPr>
                <w:u w:val="single"/>
              </w:rPr>
              <w:tab/>
            </w:r>
            <w:r w:rsidRPr="00D51A68">
              <w:rPr>
                <w:rStyle w:val="InstructionsTabelleberschrift"/>
                <w:rFonts w:ascii="Times New Roman" w:hAnsi="Times New Roman"/>
                <w:sz w:val="24"/>
              </w:rPr>
              <w:t xml:space="preserve">OCR: costituito da capitale CET1 </w:t>
            </w:r>
          </w:p>
          <w:p w:rsidR="009C083D" w:rsidRPr="00D51A68" w:rsidRDefault="009C083D" w:rsidP="00FC1A76">
            <w:pPr>
              <w:pStyle w:val="InstructionsText"/>
            </w:pPr>
            <w:r w:rsidRPr="00D51A68">
              <w:t>La somma di i) e ii) come segue:</w:t>
            </w:r>
          </w:p>
          <w:p w:rsidR="009C083D" w:rsidRPr="00D51A68" w:rsidRDefault="009C083D" w:rsidP="00FC1A76">
            <w:pPr>
              <w:pStyle w:val="InstructionsText"/>
              <w:numPr>
                <w:ilvl w:val="0"/>
                <w:numId w:val="24"/>
              </w:numPr>
            </w:pPr>
            <w:r w:rsidRPr="00D51A68">
              <w:t>il coefficiente TSCR costituito da capitale CET1 di cui alla riga 140;</w:t>
            </w:r>
          </w:p>
          <w:p w:rsidR="009C083D" w:rsidRPr="00D51A68" w:rsidRDefault="009C083D" w:rsidP="00FC1A76">
            <w:pPr>
              <w:pStyle w:val="InstructionsText"/>
              <w:numPr>
                <w:ilvl w:val="0"/>
                <w:numId w:val="24"/>
              </w:numPr>
              <w:rPr>
                <w:bCs/>
                <w:u w:val="single"/>
              </w:rPr>
            </w:pPr>
            <w:r w:rsidRPr="00D51A68">
              <w:t>in funzione della sua applicabilità legale, il requisito combinato di riserva di capitale di cui all</w:t>
            </w:r>
            <w:r w:rsidR="0009277C" w:rsidRPr="00D51A68">
              <w:t>’</w:t>
            </w:r>
            <w:r w:rsidRPr="00D51A68">
              <w:t>articolo 128, punto 6, della CRD.</w:t>
            </w:r>
          </w:p>
          <w:p w:rsidR="00BA325A" w:rsidRPr="00D51A68" w:rsidRDefault="00087E1A" w:rsidP="00FC1A76">
            <w:pPr>
              <w:pStyle w:val="InstructionsText"/>
              <w:rPr>
                <w:rStyle w:val="InstructionsTabelleberschrift"/>
                <w:rFonts w:ascii="Times New Roman" w:hAnsi="Times New Roman"/>
                <w:b w:val="0"/>
                <w:sz w:val="24"/>
              </w:rPr>
            </w:pPr>
            <w:r w:rsidRPr="00D51A68">
              <w:t>Se non si applica alcun requisito di riserva di capitale, occorre segnalare solo il punto i).</w:t>
            </w:r>
          </w:p>
        </w:tc>
      </w:tr>
      <w:tr w:rsidR="009C083D" w:rsidRPr="00D51A68" w:rsidTr="00672D2A">
        <w:tc>
          <w:tcPr>
            <w:tcW w:w="703" w:type="dxa"/>
          </w:tcPr>
          <w:p w:rsidR="009C083D" w:rsidRPr="00D51A68" w:rsidRDefault="009C083D" w:rsidP="00FC1A76">
            <w:pPr>
              <w:pStyle w:val="InstructionsText"/>
            </w:pPr>
            <w:r w:rsidRPr="00D51A68">
              <w:t>180</w:t>
            </w:r>
          </w:p>
        </w:tc>
        <w:tc>
          <w:tcPr>
            <w:tcW w:w="8080" w:type="dxa"/>
          </w:tcPr>
          <w:p w:rsidR="009C083D" w:rsidRPr="00D51A68" w:rsidRDefault="009C083D"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14**</w:t>
            </w:r>
            <w:r w:rsidR="00A0772B" w:rsidRPr="00D51A68">
              <w:rPr>
                <w:u w:val="single"/>
              </w:rPr>
              <w:tab/>
            </w:r>
            <w:r w:rsidRPr="00D51A68">
              <w:rPr>
                <w:rStyle w:val="InstructionsTabelleberschrift"/>
                <w:rFonts w:ascii="Times New Roman" w:hAnsi="Times New Roman"/>
                <w:sz w:val="24"/>
              </w:rPr>
              <w:t>OCR: costituito da capitale di classe 1</w:t>
            </w:r>
          </w:p>
          <w:p w:rsidR="009C083D" w:rsidRPr="00D51A68" w:rsidRDefault="009C083D" w:rsidP="00FC1A76">
            <w:pPr>
              <w:pStyle w:val="InstructionsText"/>
            </w:pPr>
            <w:r w:rsidRPr="00D51A68">
              <w:t>La somma di i) e ii) come segue:</w:t>
            </w:r>
          </w:p>
          <w:p w:rsidR="009C083D" w:rsidRPr="00D51A68" w:rsidRDefault="009C083D" w:rsidP="00FC1A76">
            <w:pPr>
              <w:pStyle w:val="InstructionsText"/>
              <w:numPr>
                <w:ilvl w:val="0"/>
                <w:numId w:val="25"/>
              </w:numPr>
            </w:pPr>
            <w:r w:rsidRPr="00D51A68">
              <w:t>il coefficiente TSCR costituito da capitale di classe 1 di cui alla riga 150;</w:t>
            </w:r>
          </w:p>
          <w:p w:rsidR="009C083D" w:rsidRPr="00D51A68" w:rsidRDefault="009C083D" w:rsidP="00FC1A76">
            <w:pPr>
              <w:pStyle w:val="InstructionsText"/>
              <w:numPr>
                <w:ilvl w:val="0"/>
                <w:numId w:val="25"/>
              </w:numPr>
              <w:rPr>
                <w:bCs/>
                <w:u w:val="single"/>
              </w:rPr>
            </w:pPr>
            <w:r w:rsidRPr="00D51A68">
              <w:t>in funzione della sua applicabilità legale, il requisito combinato di riserva di capitale di cui all</w:t>
            </w:r>
            <w:r w:rsidR="0009277C" w:rsidRPr="00D51A68">
              <w:t>’</w:t>
            </w:r>
            <w:r w:rsidRPr="00D51A68">
              <w:t>articolo 128, punto 6, della CRD.</w:t>
            </w:r>
          </w:p>
          <w:p w:rsidR="00BA325A" w:rsidRPr="00D51A68" w:rsidRDefault="00087E1A" w:rsidP="00FC1A76">
            <w:pPr>
              <w:pStyle w:val="InstructionsText"/>
              <w:rPr>
                <w:rStyle w:val="InstructionsTabelleberschrift"/>
                <w:rFonts w:ascii="Times New Roman" w:hAnsi="Times New Roman"/>
                <w:b w:val="0"/>
                <w:sz w:val="24"/>
              </w:rPr>
            </w:pPr>
            <w:r w:rsidRPr="00D51A68">
              <w:t>Se non si applica alcun requisito di riserva di capitale, occorre segnalare solo il punto i).</w:t>
            </w:r>
          </w:p>
        </w:tc>
      </w:tr>
      <w:tr w:rsidR="009C083D" w:rsidRPr="00D51A68" w:rsidTr="00672D2A">
        <w:tc>
          <w:tcPr>
            <w:tcW w:w="703" w:type="dxa"/>
          </w:tcPr>
          <w:p w:rsidR="009C083D" w:rsidRPr="00D51A68" w:rsidRDefault="009C083D" w:rsidP="00FC1A76">
            <w:pPr>
              <w:pStyle w:val="InstructionsText"/>
            </w:pPr>
            <w:r w:rsidRPr="00D51A68">
              <w:t>190</w:t>
            </w:r>
          </w:p>
        </w:tc>
        <w:tc>
          <w:tcPr>
            <w:tcW w:w="8080" w:type="dxa"/>
          </w:tcPr>
          <w:p w:rsidR="009C083D" w:rsidRPr="00D51A68" w:rsidRDefault="009C083D"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15</w:t>
            </w:r>
            <w:r w:rsidR="00A0772B" w:rsidRPr="00D51A68">
              <w:rPr>
                <w:u w:val="single"/>
              </w:rPr>
              <w:tab/>
            </w:r>
            <w:r w:rsidRPr="00D51A68">
              <w:rPr>
                <w:rStyle w:val="InstructionsTabelleberschrift"/>
                <w:rFonts w:ascii="Times New Roman" w:hAnsi="Times New Roman"/>
                <w:sz w:val="24"/>
              </w:rPr>
              <w:t>Coefficiente del requisito patrimoniale complessivo (OCR) e livello degli orientamenti nell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ambito del secondo pilastro (Pillar 2 Guidance o P2G)</w:t>
            </w:r>
          </w:p>
          <w:p w:rsidR="009C083D" w:rsidRPr="00D51A68" w:rsidRDefault="009C083D" w:rsidP="00FC1A76">
            <w:pPr>
              <w:pStyle w:val="InstructionsText"/>
            </w:pPr>
            <w:r w:rsidRPr="00D51A68">
              <w:t>La somma di i) e ii) come segue:</w:t>
            </w:r>
          </w:p>
          <w:p w:rsidR="009C083D" w:rsidRPr="00D51A68" w:rsidRDefault="009C083D" w:rsidP="00FC1A76">
            <w:pPr>
              <w:pStyle w:val="InstructionsText"/>
              <w:numPr>
                <w:ilvl w:val="0"/>
                <w:numId w:val="26"/>
              </w:numPr>
            </w:pPr>
            <w:r w:rsidRPr="00D51A68">
              <w:t>il coefficiente OCR di cui alla riga 160;</w:t>
            </w:r>
          </w:p>
          <w:p w:rsidR="009C083D" w:rsidRPr="00D51A68" w:rsidRDefault="009C083D" w:rsidP="00FC1A76">
            <w:pPr>
              <w:pStyle w:val="InstructionsText"/>
              <w:numPr>
                <w:ilvl w:val="0"/>
                <w:numId w:val="26"/>
              </w:numPr>
              <w:rPr>
                <w:bCs/>
                <w:u w:val="single"/>
              </w:rPr>
            </w:pPr>
            <w:r w:rsidRPr="00D51A68">
              <w:t>ove applicabile, il livello degli orientamenti P2G ai sensi degli EBA SREP GL. Il P2G è incluso solo se comunicato all</w:t>
            </w:r>
            <w:r w:rsidR="0009277C" w:rsidRPr="00D51A68">
              <w:t>’</w:t>
            </w:r>
            <w:r w:rsidRPr="00D51A68">
              <w:t>ente dall</w:t>
            </w:r>
            <w:r w:rsidR="0009277C" w:rsidRPr="00D51A68">
              <w:t>’</w:t>
            </w:r>
            <w:r w:rsidRPr="00D51A68">
              <w:t>autorità competente.</w:t>
            </w:r>
          </w:p>
          <w:p w:rsidR="0047693D" w:rsidRPr="00D51A68" w:rsidRDefault="005B54BB" w:rsidP="00FC1A76">
            <w:pPr>
              <w:pStyle w:val="InstructionsText"/>
              <w:rPr>
                <w:rStyle w:val="InstructionsTabelleberschrift"/>
                <w:rFonts w:ascii="Times New Roman" w:hAnsi="Times New Roman"/>
                <w:b w:val="0"/>
                <w:sz w:val="24"/>
              </w:rPr>
            </w:pPr>
            <w:r w:rsidRPr="00D51A68">
              <w:t>Se l</w:t>
            </w:r>
            <w:r w:rsidR="0009277C" w:rsidRPr="00D51A68">
              <w:t>’</w:t>
            </w:r>
            <w:r w:rsidRPr="00D51A68">
              <w:t>autorità competente non ha comunicato il P2G, occorre segnal</w:t>
            </w:r>
            <w:r w:rsidR="00B76702" w:rsidRPr="00D51A68">
              <w:t>are solo il punto </w:t>
            </w:r>
            <w:r w:rsidRPr="00D51A68">
              <w:t>i).</w:t>
            </w:r>
            <w:r w:rsidR="0009277C" w:rsidRPr="00D51A68">
              <w:t xml:space="preserve"> </w:t>
            </w:r>
            <w:r w:rsidR="00B76702" w:rsidRPr="00D51A68">
              <w:tab/>
            </w:r>
            <w:r w:rsidR="00B76702" w:rsidRPr="00D51A68">
              <w:br/>
            </w:r>
          </w:p>
        </w:tc>
      </w:tr>
      <w:tr w:rsidR="009C083D" w:rsidRPr="00D51A68" w:rsidTr="00672D2A">
        <w:tc>
          <w:tcPr>
            <w:tcW w:w="703" w:type="dxa"/>
          </w:tcPr>
          <w:p w:rsidR="009C083D" w:rsidRPr="00D51A68" w:rsidRDefault="009C083D" w:rsidP="00FC1A76">
            <w:pPr>
              <w:pStyle w:val="InstructionsText"/>
            </w:pPr>
            <w:r w:rsidRPr="00D51A68">
              <w:lastRenderedPageBreak/>
              <w:t>200</w:t>
            </w:r>
          </w:p>
        </w:tc>
        <w:tc>
          <w:tcPr>
            <w:tcW w:w="8080" w:type="dxa"/>
          </w:tcPr>
          <w:p w:rsidR="009C083D" w:rsidRPr="00D51A68" w:rsidRDefault="009C083D" w:rsidP="006D168F">
            <w:pPr>
              <w:pStyle w:val="InstructionsText"/>
              <w:keepNext/>
              <w:rPr>
                <w:rStyle w:val="InstructionsTabelleberschrift"/>
                <w:rFonts w:ascii="Times New Roman" w:hAnsi="Times New Roman"/>
                <w:sz w:val="24"/>
              </w:rPr>
            </w:pPr>
            <w:r w:rsidRPr="00D51A68">
              <w:rPr>
                <w:rStyle w:val="InstructionsTabelleberschrift"/>
                <w:rFonts w:ascii="Times New Roman" w:hAnsi="Times New Roman"/>
                <w:sz w:val="24"/>
              </w:rPr>
              <w:t>15*</w:t>
            </w:r>
            <w:r w:rsidR="00A0772B" w:rsidRPr="00D51A68">
              <w:rPr>
                <w:u w:val="single"/>
              </w:rPr>
              <w:tab/>
            </w:r>
            <w:r w:rsidRPr="00D51A68">
              <w:rPr>
                <w:rStyle w:val="InstructionsTabelleberschrift"/>
                <w:rFonts w:ascii="Times New Roman" w:hAnsi="Times New Roman"/>
                <w:sz w:val="24"/>
              </w:rPr>
              <w:t xml:space="preserve">OCR e P2G: costituito da capitale CET1 </w:t>
            </w:r>
          </w:p>
          <w:p w:rsidR="009C083D" w:rsidRPr="00D51A68" w:rsidRDefault="009C083D" w:rsidP="00FC1A76">
            <w:pPr>
              <w:pStyle w:val="InstructionsText"/>
            </w:pPr>
            <w:r w:rsidRPr="00D51A68">
              <w:t>La somma di i) e ii) come segue:</w:t>
            </w:r>
          </w:p>
          <w:p w:rsidR="009C083D" w:rsidRPr="00D51A68" w:rsidRDefault="009C083D" w:rsidP="00FC1A76">
            <w:pPr>
              <w:pStyle w:val="InstructionsText"/>
              <w:numPr>
                <w:ilvl w:val="0"/>
                <w:numId w:val="27"/>
              </w:numPr>
            </w:pPr>
            <w:r w:rsidRPr="00D51A68">
              <w:t>il coefficiente OCR costituito da capitale CET1 di cui alla riga 170;</w:t>
            </w:r>
          </w:p>
          <w:p w:rsidR="009C083D" w:rsidRPr="00D51A68" w:rsidRDefault="009C083D" w:rsidP="00FC1A76">
            <w:pPr>
              <w:pStyle w:val="InstructionsText"/>
              <w:numPr>
                <w:ilvl w:val="0"/>
                <w:numId w:val="27"/>
              </w:numPr>
              <w:rPr>
                <w:bCs/>
                <w:u w:val="single"/>
              </w:rPr>
            </w:pPr>
            <w:r w:rsidRPr="00D51A68">
              <w:t>ove applicabile, la parte del P2G di cui al punto (ii) della riga 190 che l</w:t>
            </w:r>
            <w:r w:rsidR="0009277C" w:rsidRPr="00D51A68">
              <w:t>’</w:t>
            </w:r>
            <w:r w:rsidRPr="00D51A68">
              <w:t>autorità competente impone di detenere in forma di capitale CET1. Il P2G è incluso solo se comunicato all</w:t>
            </w:r>
            <w:r w:rsidR="0009277C" w:rsidRPr="00D51A68">
              <w:t>’</w:t>
            </w:r>
            <w:r w:rsidRPr="00D51A68">
              <w:t>ente dall</w:t>
            </w:r>
            <w:r w:rsidR="0009277C" w:rsidRPr="00D51A68">
              <w:t>’</w:t>
            </w:r>
            <w:r w:rsidRPr="00D51A68">
              <w:t>autorità competente.</w:t>
            </w:r>
          </w:p>
          <w:p w:rsidR="0047693D" w:rsidRPr="00D51A68" w:rsidRDefault="005B54BB" w:rsidP="00FC1A76">
            <w:pPr>
              <w:pStyle w:val="InstructionsText"/>
              <w:rPr>
                <w:rStyle w:val="InstructionsTabelleberschrift"/>
                <w:rFonts w:ascii="Times New Roman" w:hAnsi="Times New Roman"/>
                <w:b w:val="0"/>
                <w:sz w:val="24"/>
              </w:rPr>
            </w:pPr>
            <w:r w:rsidRPr="00D51A68">
              <w:t>Se l</w:t>
            </w:r>
            <w:r w:rsidR="0009277C" w:rsidRPr="00D51A68">
              <w:t>’</w:t>
            </w:r>
            <w:r w:rsidRPr="00D51A68">
              <w:t>autorità competente non ha comunicato il P2G, occorre segnalare solo il punto i).</w:t>
            </w:r>
          </w:p>
        </w:tc>
      </w:tr>
      <w:tr w:rsidR="009C083D" w:rsidRPr="00D51A68" w:rsidTr="00672D2A">
        <w:tc>
          <w:tcPr>
            <w:tcW w:w="703" w:type="dxa"/>
          </w:tcPr>
          <w:p w:rsidR="009C083D" w:rsidRPr="00D51A68" w:rsidRDefault="009C083D" w:rsidP="00FC1A76">
            <w:pPr>
              <w:pStyle w:val="InstructionsText"/>
            </w:pPr>
            <w:r w:rsidRPr="00D51A68">
              <w:t>210</w:t>
            </w:r>
          </w:p>
        </w:tc>
        <w:tc>
          <w:tcPr>
            <w:tcW w:w="8080" w:type="dxa"/>
          </w:tcPr>
          <w:p w:rsidR="009C083D" w:rsidRPr="00D51A68" w:rsidRDefault="009C083D"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15**</w:t>
            </w:r>
            <w:r w:rsidR="00A0772B" w:rsidRPr="00D51A68">
              <w:rPr>
                <w:u w:val="single"/>
              </w:rPr>
              <w:tab/>
            </w:r>
            <w:r w:rsidRPr="00D51A68">
              <w:rPr>
                <w:rStyle w:val="InstructionsTabelleberschrift"/>
                <w:rFonts w:ascii="Times New Roman" w:hAnsi="Times New Roman"/>
                <w:sz w:val="24"/>
              </w:rPr>
              <w:t xml:space="preserve">OCR e P2G: costituito da capitale di classe 1 </w:t>
            </w:r>
          </w:p>
          <w:p w:rsidR="009C083D" w:rsidRPr="00D51A68" w:rsidRDefault="009C083D" w:rsidP="00FC1A76">
            <w:pPr>
              <w:pStyle w:val="InstructionsText"/>
            </w:pPr>
            <w:r w:rsidRPr="00D51A68">
              <w:t>La somma di i) e ii) come segue:</w:t>
            </w:r>
          </w:p>
          <w:p w:rsidR="009C083D" w:rsidRPr="00D51A68" w:rsidRDefault="009C083D" w:rsidP="00FC1A76">
            <w:pPr>
              <w:pStyle w:val="InstructionsText"/>
              <w:numPr>
                <w:ilvl w:val="0"/>
                <w:numId w:val="28"/>
              </w:numPr>
            </w:pPr>
            <w:r w:rsidRPr="00D51A68">
              <w:t>il coefficiente OCR costituito da capitale di classe 1 di cui alla riga 180;</w:t>
            </w:r>
          </w:p>
          <w:p w:rsidR="009C083D" w:rsidRPr="00D51A68" w:rsidRDefault="009C083D" w:rsidP="00FC1A76">
            <w:pPr>
              <w:pStyle w:val="InstructionsText"/>
              <w:numPr>
                <w:ilvl w:val="0"/>
                <w:numId w:val="28"/>
              </w:numPr>
            </w:pPr>
            <w:r w:rsidRPr="00D51A68">
              <w:t>ove applicabile, la parte del P2G di cui al punto (ii) della riga 190 che l</w:t>
            </w:r>
            <w:r w:rsidR="0009277C" w:rsidRPr="00D51A68">
              <w:t>’</w:t>
            </w:r>
            <w:r w:rsidRPr="00D51A68">
              <w:t>autorità competente impone di detenere in forma di capitale di classe 1. Il P2G è incluso solo se comunicato all</w:t>
            </w:r>
            <w:r w:rsidR="0009277C" w:rsidRPr="00D51A68">
              <w:t>’</w:t>
            </w:r>
            <w:r w:rsidRPr="00D51A68">
              <w:t>ente dall</w:t>
            </w:r>
            <w:r w:rsidR="0009277C" w:rsidRPr="00D51A68">
              <w:t>’</w:t>
            </w:r>
            <w:r w:rsidRPr="00D51A68">
              <w:t>autorità competente.</w:t>
            </w:r>
          </w:p>
          <w:p w:rsidR="0047693D" w:rsidRPr="00D51A68" w:rsidRDefault="005B54BB" w:rsidP="00FC1A76">
            <w:pPr>
              <w:pStyle w:val="InstructionsText"/>
              <w:rPr>
                <w:rStyle w:val="InstructionsTabelleberschrift"/>
                <w:rFonts w:ascii="Times New Roman" w:hAnsi="Times New Roman"/>
                <w:b w:val="0"/>
                <w:bCs w:val="0"/>
                <w:sz w:val="24"/>
                <w:u w:val="none"/>
              </w:rPr>
            </w:pPr>
            <w:r w:rsidRPr="00D51A68">
              <w:t>Se l</w:t>
            </w:r>
            <w:r w:rsidR="0009277C" w:rsidRPr="00D51A68">
              <w:t>’</w:t>
            </w:r>
            <w:r w:rsidRPr="00D51A68">
              <w:t>autorità competente non ha comunicato il P2G, occorre segnalare solo il punto i).</w:t>
            </w:r>
            <w:r w:rsidRPr="00D51A68">
              <w:rPr>
                <w:rStyle w:val="InstructionsTabelleberschrift"/>
                <w:rFonts w:ascii="Times New Roman" w:hAnsi="Times New Roman"/>
                <w:b w:val="0"/>
                <w:sz w:val="24"/>
              </w:rPr>
              <w:t xml:space="preserve"> </w:t>
            </w:r>
          </w:p>
        </w:tc>
      </w:tr>
    </w:tbl>
    <w:p w:rsidR="005643EA" w:rsidRPr="00D51A68" w:rsidRDefault="005643EA" w:rsidP="00FC1A76">
      <w:pPr>
        <w:pStyle w:val="InstructionsText"/>
      </w:pPr>
    </w:p>
    <w:p w:rsidR="00B76702" w:rsidRPr="00D51A68" w:rsidRDefault="00B76702" w:rsidP="00FC1A76">
      <w:pPr>
        <w:pStyle w:val="InstructionsText"/>
      </w:pPr>
    </w:p>
    <w:p w:rsidR="002648B0" w:rsidRPr="00D51A68" w:rsidRDefault="00125707" w:rsidP="0023700C">
      <w:pPr>
        <w:pStyle w:val="Instructionsberschrift2"/>
        <w:numPr>
          <w:ilvl w:val="0"/>
          <w:numId w:val="0"/>
        </w:numPr>
        <w:ind w:left="357" w:hanging="357"/>
        <w:rPr>
          <w:rFonts w:ascii="Times New Roman" w:hAnsi="Times New Roman" w:cs="Times New Roman"/>
          <w:sz w:val="24"/>
        </w:rPr>
      </w:pPr>
      <w:bookmarkStart w:id="75" w:name="_Toc516210614"/>
      <w:bookmarkStart w:id="76" w:name="_Toc473560879"/>
      <w:bookmarkStart w:id="77" w:name="_Toc524096559"/>
      <w:bookmarkStart w:id="78" w:name="_Toc308175830"/>
      <w:bookmarkStart w:id="79" w:name="_Toc360188331"/>
      <w:r w:rsidRPr="00D51A68">
        <w:rPr>
          <w:rFonts w:ascii="Times New Roman" w:hAnsi="Times New Roman"/>
          <w:sz w:val="24"/>
          <w:u w:val="none"/>
        </w:rPr>
        <w:t>1.5.</w:t>
      </w:r>
      <w:r w:rsidR="00A0772B" w:rsidRPr="00D51A68">
        <w:rPr>
          <w:u w:val="none"/>
        </w:rPr>
        <w:tab/>
      </w:r>
      <w:r w:rsidRPr="00D51A68">
        <w:rPr>
          <w:rFonts w:ascii="Times New Roman" w:hAnsi="Times New Roman"/>
          <w:sz w:val="24"/>
        </w:rPr>
        <w:t>C 04.00 — VOCI PER MEMORIA (CA4)</w:t>
      </w:r>
      <w:bookmarkEnd w:id="75"/>
      <w:bookmarkEnd w:id="76"/>
      <w:bookmarkEnd w:id="77"/>
      <w:r w:rsidRPr="00D51A68">
        <w:rPr>
          <w:rFonts w:ascii="Times New Roman" w:hAnsi="Times New Roman"/>
          <w:sz w:val="24"/>
        </w:rPr>
        <w:t xml:space="preserve"> </w:t>
      </w:r>
      <w:bookmarkEnd w:id="78"/>
      <w:bookmarkEnd w:id="79"/>
    </w:p>
    <w:p w:rsidR="002648B0" w:rsidRPr="00D51A68" w:rsidRDefault="00125707" w:rsidP="0023700C">
      <w:pPr>
        <w:pStyle w:val="Instructionsberschrift2"/>
        <w:numPr>
          <w:ilvl w:val="0"/>
          <w:numId w:val="0"/>
        </w:numPr>
        <w:ind w:left="357" w:hanging="357"/>
        <w:rPr>
          <w:rFonts w:ascii="Times New Roman" w:hAnsi="Times New Roman" w:cs="Times New Roman"/>
          <w:sz w:val="24"/>
        </w:rPr>
      </w:pPr>
      <w:bookmarkStart w:id="80" w:name="_Toc308175831"/>
      <w:bookmarkStart w:id="81" w:name="_Toc310414974"/>
      <w:bookmarkStart w:id="82" w:name="_Toc360188332"/>
      <w:bookmarkStart w:id="83" w:name="_Toc516210615"/>
      <w:bookmarkStart w:id="84" w:name="_Toc473560880"/>
      <w:bookmarkStart w:id="85" w:name="_Toc524096560"/>
      <w:r w:rsidRPr="00D51A68">
        <w:rPr>
          <w:rFonts w:ascii="Times New Roman" w:hAnsi="Times New Roman"/>
          <w:sz w:val="24"/>
          <w:u w:val="none"/>
        </w:rPr>
        <w:t>1.5.1.</w:t>
      </w:r>
      <w:r w:rsidR="00A0772B" w:rsidRPr="00D51A68">
        <w:rPr>
          <w:u w:val="none"/>
        </w:rPr>
        <w:tab/>
      </w:r>
      <w:r w:rsidRPr="00D51A68">
        <w:rPr>
          <w:rFonts w:ascii="Times New Roman" w:hAnsi="Times New Roman"/>
          <w:sz w:val="24"/>
        </w:rPr>
        <w:t>Istruzioni relative a posizioni</w:t>
      </w:r>
      <w:r w:rsidR="0009277C" w:rsidRPr="00D51A68">
        <w:rPr>
          <w:rFonts w:ascii="Times New Roman" w:hAnsi="Times New Roman"/>
          <w:sz w:val="24"/>
        </w:rPr>
        <w:t xml:space="preserve"> </w:t>
      </w:r>
      <w:bookmarkEnd w:id="80"/>
      <w:bookmarkEnd w:id="81"/>
      <w:r w:rsidRPr="00D51A68">
        <w:rPr>
          <w:rFonts w:ascii="Times New Roman" w:hAnsi="Times New Roman"/>
          <w:sz w:val="24"/>
        </w:rPr>
        <w:t>specifiche</w:t>
      </w:r>
      <w:bookmarkEnd w:id="82"/>
      <w:bookmarkEnd w:id="83"/>
      <w:bookmarkEnd w:id="84"/>
      <w:bookmarkEnd w:id="85"/>
    </w:p>
    <w:p w:rsidR="002648B0" w:rsidRPr="00D51A68" w:rsidRDefault="002648B0" w:rsidP="00FC1A76">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6"/>
        <w:gridCol w:w="7243"/>
      </w:tblGrid>
      <w:tr w:rsidR="002648B0" w:rsidRPr="00D51A68" w:rsidTr="00672D2A">
        <w:tc>
          <w:tcPr>
            <w:tcW w:w="8749" w:type="dxa"/>
            <w:gridSpan w:val="2"/>
            <w:shd w:val="clear" w:color="auto" w:fill="D9D9D9"/>
          </w:tcPr>
          <w:p w:rsidR="005643EA" w:rsidRPr="00D51A68" w:rsidRDefault="002648B0" w:rsidP="00FC1A76">
            <w:pPr>
              <w:pStyle w:val="InstructionsText"/>
            </w:pPr>
            <w:r w:rsidRPr="00D51A68">
              <w:t>Righe</w:t>
            </w:r>
          </w:p>
        </w:tc>
      </w:tr>
      <w:tr w:rsidR="002648B0" w:rsidRPr="00D51A68" w:rsidTr="00672D2A">
        <w:tc>
          <w:tcPr>
            <w:tcW w:w="1506" w:type="dxa"/>
          </w:tcPr>
          <w:p w:rsidR="002648B0" w:rsidRPr="00D51A68" w:rsidRDefault="002648B0" w:rsidP="00FC1A76">
            <w:pPr>
              <w:pStyle w:val="InstructionsText"/>
            </w:pPr>
            <w:r w:rsidRPr="00D51A68">
              <w:t>010</w:t>
            </w:r>
          </w:p>
        </w:tc>
        <w:tc>
          <w:tcPr>
            <w:tcW w:w="7243" w:type="dxa"/>
          </w:tcPr>
          <w:p w:rsidR="005643EA" w:rsidRPr="00D51A68" w:rsidRDefault="00C66473" w:rsidP="00FC1A76">
            <w:pPr>
              <w:pStyle w:val="InstructionsText"/>
            </w:pPr>
            <w:r w:rsidRPr="00D51A68">
              <w:rPr>
                <w:rStyle w:val="InstructionsTabelleberschrift"/>
                <w:rFonts w:ascii="Times New Roman" w:hAnsi="Times New Roman"/>
                <w:sz w:val="24"/>
              </w:rPr>
              <w:t>1.</w:t>
            </w:r>
            <w:r w:rsidR="00A0772B" w:rsidRPr="00D51A68">
              <w:rPr>
                <w:u w:val="single"/>
              </w:rPr>
              <w:tab/>
            </w:r>
            <w:r w:rsidRPr="00D51A68">
              <w:rPr>
                <w:rStyle w:val="InstructionsTabelleberschrift"/>
                <w:rFonts w:ascii="Times New Roman" w:hAnsi="Times New Roman"/>
                <w:sz w:val="24"/>
              </w:rPr>
              <w:t>Totale delle attività fiscali differite</w:t>
            </w:r>
          </w:p>
          <w:p w:rsidR="005643EA" w:rsidRPr="00D51A68" w:rsidRDefault="002648B0" w:rsidP="00FC1A76">
            <w:pPr>
              <w:pStyle w:val="InstructionsText"/>
            </w:pPr>
            <w:r w:rsidRPr="00D51A68">
              <w:t>L</w:t>
            </w:r>
            <w:r w:rsidR="0009277C" w:rsidRPr="00D51A68">
              <w:t>’</w:t>
            </w:r>
            <w:r w:rsidRPr="00D51A68">
              <w:t>importo segnalato in questa voce è uguale all</w:t>
            </w:r>
            <w:r w:rsidR="0009277C" w:rsidRPr="00D51A68">
              <w:t>’</w:t>
            </w:r>
            <w:r w:rsidRPr="00D51A68">
              <w:t>importo rilevato nell</w:t>
            </w:r>
            <w:r w:rsidR="0009277C" w:rsidRPr="00D51A68">
              <w:t>’</w:t>
            </w:r>
            <w:r w:rsidRPr="00D51A68">
              <w:t>ultimo bilancio contabile verificato/sottoposto a revisione.</w:t>
            </w:r>
          </w:p>
        </w:tc>
      </w:tr>
      <w:tr w:rsidR="002648B0" w:rsidRPr="00D51A68" w:rsidTr="00672D2A">
        <w:tc>
          <w:tcPr>
            <w:tcW w:w="1506" w:type="dxa"/>
          </w:tcPr>
          <w:p w:rsidR="002648B0" w:rsidRPr="00D51A68" w:rsidRDefault="002648B0" w:rsidP="00FC1A76">
            <w:pPr>
              <w:pStyle w:val="InstructionsText"/>
            </w:pPr>
            <w:r w:rsidRPr="00D51A68">
              <w:t>020</w:t>
            </w:r>
          </w:p>
        </w:tc>
        <w:tc>
          <w:tcPr>
            <w:tcW w:w="7243" w:type="dxa"/>
          </w:tcPr>
          <w:p w:rsidR="005643EA" w:rsidRPr="00D51A68" w:rsidRDefault="002648B0" w:rsidP="00FC1A76">
            <w:pPr>
              <w:pStyle w:val="InstructionsText"/>
            </w:pPr>
            <w:r w:rsidRPr="00D51A68">
              <w:rPr>
                <w:rStyle w:val="InstructionsTabelleberschrift"/>
                <w:rFonts w:ascii="Times New Roman" w:hAnsi="Times New Roman"/>
                <w:sz w:val="24"/>
              </w:rPr>
              <w:t>1.1</w:t>
            </w:r>
            <w:r w:rsidR="00A0772B" w:rsidRPr="00D51A68">
              <w:rPr>
                <w:u w:val="single"/>
              </w:rPr>
              <w:tab/>
            </w:r>
            <w:r w:rsidRPr="00D51A68">
              <w:rPr>
                <w:rStyle w:val="InstructionsTabelleberschrift"/>
                <w:rFonts w:ascii="Times New Roman" w:hAnsi="Times New Roman"/>
                <w:sz w:val="24"/>
              </w:rPr>
              <w:t>Attività fiscali differite che non si basano sulla redditività futura</w:t>
            </w:r>
          </w:p>
          <w:p w:rsidR="005643EA" w:rsidRPr="00D51A68" w:rsidRDefault="002648B0" w:rsidP="00FC1A76">
            <w:pPr>
              <w:pStyle w:val="InstructionsText"/>
            </w:pPr>
            <w:r w:rsidRPr="00D51A68">
              <w:t>Articolo 39, paragrafo 2, del CRR</w:t>
            </w:r>
          </w:p>
          <w:p w:rsidR="005643EA" w:rsidRPr="00D51A68" w:rsidRDefault="002648B0" w:rsidP="00FC1A76">
            <w:pPr>
              <w:pStyle w:val="InstructionsText"/>
            </w:pPr>
            <w:r w:rsidRPr="00D51A68">
              <w:t>Attività fiscali differite che non si basano sulla redditività futura e sono pertanto soggette all</w:t>
            </w:r>
            <w:r w:rsidR="0009277C" w:rsidRPr="00D51A68">
              <w:t>’</w:t>
            </w:r>
            <w:r w:rsidRPr="00D51A68">
              <w:t>applicazione di un fattore di ponderazione del rischio.</w:t>
            </w:r>
          </w:p>
        </w:tc>
      </w:tr>
      <w:tr w:rsidR="002648B0" w:rsidRPr="00D51A68" w:rsidTr="00672D2A">
        <w:tc>
          <w:tcPr>
            <w:tcW w:w="1506" w:type="dxa"/>
          </w:tcPr>
          <w:p w:rsidR="002648B0" w:rsidRPr="00D51A68" w:rsidRDefault="002648B0" w:rsidP="00FC1A76">
            <w:pPr>
              <w:pStyle w:val="InstructionsText"/>
            </w:pPr>
            <w:r w:rsidRPr="00D51A68">
              <w:t>030</w:t>
            </w:r>
          </w:p>
        </w:tc>
        <w:tc>
          <w:tcPr>
            <w:tcW w:w="7243" w:type="dxa"/>
          </w:tcPr>
          <w:p w:rsidR="005643EA" w:rsidRPr="00D51A68" w:rsidRDefault="002648B0" w:rsidP="00FC1A76">
            <w:pPr>
              <w:pStyle w:val="InstructionsText"/>
            </w:pPr>
            <w:r w:rsidRPr="00D51A68">
              <w:rPr>
                <w:rStyle w:val="InstructionsTabelleberschrift"/>
                <w:rFonts w:ascii="Times New Roman" w:hAnsi="Times New Roman"/>
                <w:sz w:val="24"/>
              </w:rPr>
              <w:t>1.2</w:t>
            </w:r>
            <w:r w:rsidR="00A0772B" w:rsidRPr="00D51A68">
              <w:rPr>
                <w:u w:val="single"/>
              </w:rPr>
              <w:tab/>
            </w:r>
            <w:r w:rsidRPr="00D51A68">
              <w:rPr>
                <w:rStyle w:val="InstructionsTabelleberschrift"/>
                <w:rFonts w:ascii="Times New Roman" w:hAnsi="Times New Roman"/>
                <w:sz w:val="24"/>
              </w:rPr>
              <w:t>Attività fiscali differite che si basano sulla redditività futura e non derivano da differenze temporanee</w:t>
            </w:r>
          </w:p>
          <w:p w:rsidR="005643EA" w:rsidRPr="00D51A68" w:rsidRDefault="002648B0" w:rsidP="00FC1A76">
            <w:pPr>
              <w:pStyle w:val="InstructionsText"/>
            </w:pPr>
            <w:r w:rsidRPr="00D51A68">
              <w:t>Articolo 36, paragrafo 1, lettera c), e articolo 38 del CRR.</w:t>
            </w:r>
          </w:p>
          <w:p w:rsidR="005643EA" w:rsidRPr="00D51A68" w:rsidRDefault="002648B0" w:rsidP="00FC1A76">
            <w:pPr>
              <w:pStyle w:val="InstructionsText"/>
            </w:pPr>
            <w:r w:rsidRPr="00D51A68">
              <w:t>Attività fiscali differite che si basano sulla redditività futura ma non derivano da differenze temporanee e quindi non sono soggette a soglie (cioè sono dedotte integralmente dal capitale primario di classe 1).</w:t>
            </w:r>
            <w:r w:rsidR="00B76702" w:rsidRPr="00D51A68">
              <w:br/>
            </w:r>
          </w:p>
        </w:tc>
      </w:tr>
      <w:tr w:rsidR="002648B0" w:rsidRPr="00D51A68" w:rsidTr="00672D2A">
        <w:tc>
          <w:tcPr>
            <w:tcW w:w="1506" w:type="dxa"/>
          </w:tcPr>
          <w:p w:rsidR="002648B0" w:rsidRPr="00D51A68" w:rsidRDefault="002648B0" w:rsidP="00B76702">
            <w:pPr>
              <w:pStyle w:val="InstructionsText"/>
              <w:keepLines/>
            </w:pPr>
            <w:r w:rsidRPr="00D51A68">
              <w:lastRenderedPageBreak/>
              <w:t>040</w:t>
            </w:r>
          </w:p>
        </w:tc>
        <w:tc>
          <w:tcPr>
            <w:tcW w:w="7243" w:type="dxa"/>
          </w:tcPr>
          <w:p w:rsidR="005643EA" w:rsidRPr="00D51A68" w:rsidRDefault="002648B0" w:rsidP="00B76702">
            <w:pPr>
              <w:pStyle w:val="InstructionsText"/>
              <w:keepNext/>
              <w:keepLines/>
            </w:pPr>
            <w:r w:rsidRPr="00D51A68">
              <w:rPr>
                <w:rStyle w:val="InstructionsTabelleberschrift"/>
                <w:rFonts w:ascii="Times New Roman" w:hAnsi="Times New Roman"/>
                <w:sz w:val="24"/>
              </w:rPr>
              <w:t>1.3</w:t>
            </w:r>
            <w:r w:rsidR="00A0772B" w:rsidRPr="00D51A68">
              <w:rPr>
                <w:u w:val="single"/>
              </w:rPr>
              <w:tab/>
            </w:r>
            <w:r w:rsidRPr="00D51A68">
              <w:rPr>
                <w:rStyle w:val="InstructionsTabelleberschrift"/>
                <w:rFonts w:ascii="Times New Roman" w:hAnsi="Times New Roman"/>
                <w:sz w:val="24"/>
              </w:rPr>
              <w:t>Attività fiscali differite che si basano sulla redditività futura e derivano da differenze temporanee</w:t>
            </w:r>
          </w:p>
          <w:p w:rsidR="005643EA" w:rsidRPr="00D51A68" w:rsidRDefault="002648B0" w:rsidP="00B76702">
            <w:pPr>
              <w:pStyle w:val="InstructionsText"/>
              <w:keepLines/>
            </w:pPr>
            <w:r w:rsidRPr="00D51A68">
              <w:t>Articolo 36, paragrafo 1, lettera c), articolo 38 e articolo 48, paragrafo 1, lettera a), del CRR.</w:t>
            </w:r>
          </w:p>
          <w:p w:rsidR="005643EA" w:rsidRPr="00D51A68" w:rsidRDefault="002648B0" w:rsidP="00B76702">
            <w:pPr>
              <w:pStyle w:val="InstructionsText"/>
              <w:keepLines/>
            </w:pPr>
            <w:r w:rsidRPr="00D51A68">
              <w:t>Attività fiscali differite che si basano sulla redditività futura e derivano da differenze temporanee. Pertanto alla loro deduzione dal capitale primario di classe 1 si applicano le soglie del 10</w:t>
            </w:r>
            <w:r w:rsidR="0009277C" w:rsidRPr="00D51A68">
              <w:t>%</w:t>
            </w:r>
            <w:r w:rsidRPr="00D51A68">
              <w:t xml:space="preserve"> e del 17,65</w:t>
            </w:r>
            <w:r w:rsidR="0009277C" w:rsidRPr="00D51A68">
              <w:t>%</w:t>
            </w:r>
            <w:r w:rsidRPr="00D51A68">
              <w:t xml:space="preserve"> di cui all</w:t>
            </w:r>
            <w:r w:rsidR="0009277C" w:rsidRPr="00D51A68">
              <w:t>’</w:t>
            </w:r>
            <w:r w:rsidRPr="00D51A68">
              <w:t>articolo 48 del CRR.</w:t>
            </w:r>
          </w:p>
        </w:tc>
      </w:tr>
      <w:tr w:rsidR="002648B0" w:rsidRPr="00D51A68" w:rsidTr="00672D2A">
        <w:tc>
          <w:tcPr>
            <w:tcW w:w="1506" w:type="dxa"/>
          </w:tcPr>
          <w:p w:rsidR="002648B0" w:rsidRPr="00D51A68" w:rsidRDefault="002648B0" w:rsidP="00FC1A76">
            <w:pPr>
              <w:pStyle w:val="InstructionsText"/>
            </w:pPr>
            <w:r w:rsidRPr="00D51A68">
              <w:t>050</w:t>
            </w:r>
          </w:p>
        </w:tc>
        <w:tc>
          <w:tcPr>
            <w:tcW w:w="7243" w:type="dxa"/>
          </w:tcPr>
          <w:p w:rsidR="005643EA" w:rsidRPr="00D51A68" w:rsidRDefault="002648B0" w:rsidP="00FC1A76">
            <w:pPr>
              <w:pStyle w:val="InstructionsText"/>
            </w:pPr>
            <w:r w:rsidRPr="00D51A68">
              <w:rPr>
                <w:rStyle w:val="InstructionsTabelleberschrift"/>
                <w:rFonts w:ascii="Times New Roman" w:hAnsi="Times New Roman"/>
                <w:sz w:val="24"/>
              </w:rPr>
              <w:t>2. Totale delle passività fiscali differite</w:t>
            </w:r>
          </w:p>
          <w:p w:rsidR="005643EA" w:rsidRPr="00D51A68" w:rsidRDefault="002648B0" w:rsidP="00FC1A76">
            <w:pPr>
              <w:pStyle w:val="InstructionsText"/>
            </w:pPr>
            <w:r w:rsidRPr="00D51A68">
              <w:t>L</w:t>
            </w:r>
            <w:r w:rsidR="0009277C" w:rsidRPr="00D51A68">
              <w:t>’</w:t>
            </w:r>
            <w:r w:rsidRPr="00D51A68">
              <w:t>importo segnalato in questa voce è uguale all</w:t>
            </w:r>
            <w:r w:rsidR="0009277C" w:rsidRPr="00D51A68">
              <w:t>’</w:t>
            </w:r>
            <w:r w:rsidRPr="00D51A68">
              <w:t>importo rilevato nell</w:t>
            </w:r>
            <w:r w:rsidR="0009277C" w:rsidRPr="00D51A68">
              <w:t>’</w:t>
            </w:r>
            <w:r w:rsidRPr="00D51A68">
              <w:t>ultimo bilancio contabile verificato/sottoposto a revisione.</w:t>
            </w:r>
          </w:p>
        </w:tc>
      </w:tr>
      <w:tr w:rsidR="002648B0" w:rsidRPr="00D51A68" w:rsidTr="00672D2A">
        <w:tc>
          <w:tcPr>
            <w:tcW w:w="1506" w:type="dxa"/>
          </w:tcPr>
          <w:p w:rsidR="002648B0" w:rsidRPr="00D51A68" w:rsidRDefault="002648B0" w:rsidP="00FC1A76">
            <w:pPr>
              <w:pStyle w:val="InstructionsText"/>
            </w:pPr>
            <w:r w:rsidRPr="00D51A68">
              <w:t>060</w:t>
            </w:r>
          </w:p>
        </w:tc>
        <w:tc>
          <w:tcPr>
            <w:tcW w:w="7243" w:type="dxa"/>
          </w:tcPr>
          <w:p w:rsidR="005643EA" w:rsidRPr="00D51A68" w:rsidRDefault="002648B0" w:rsidP="00FC1A76">
            <w:pPr>
              <w:pStyle w:val="InstructionsText"/>
            </w:pPr>
            <w:r w:rsidRPr="00D51A68">
              <w:rPr>
                <w:rStyle w:val="InstructionsTabelleberschrift"/>
                <w:rFonts w:ascii="Times New Roman" w:hAnsi="Times New Roman"/>
                <w:sz w:val="24"/>
              </w:rPr>
              <w:t>2.1</w:t>
            </w:r>
            <w:r w:rsidR="00A0772B" w:rsidRPr="00D51A68">
              <w:rPr>
                <w:u w:val="single"/>
              </w:rPr>
              <w:tab/>
            </w:r>
            <w:r w:rsidRPr="00D51A68">
              <w:rPr>
                <w:rStyle w:val="InstructionsTabelleberschrift"/>
                <w:rFonts w:ascii="Times New Roman" w:hAnsi="Times New Roman"/>
                <w:sz w:val="24"/>
              </w:rPr>
              <w:t>Passività fiscali differite non deducibili dalle attività fiscali differite che si basano sulla redditività futura</w:t>
            </w:r>
          </w:p>
          <w:p w:rsidR="005643EA" w:rsidRPr="00D51A68" w:rsidRDefault="002648B0" w:rsidP="00FC1A76">
            <w:pPr>
              <w:pStyle w:val="InstructionsText"/>
            </w:pPr>
            <w:r w:rsidRPr="00D51A68">
              <w:t>Articolo 38, paragrafi 3 e 4, del CRR.</w:t>
            </w:r>
          </w:p>
          <w:p w:rsidR="005643EA" w:rsidRPr="00D51A68" w:rsidRDefault="002648B0" w:rsidP="00FC1A76">
            <w:pPr>
              <w:pStyle w:val="InstructionsText"/>
            </w:pPr>
            <w:r w:rsidRPr="00D51A68">
              <w:t>Passività fiscali differite che non soddisfano le condizioni di cui all</w:t>
            </w:r>
            <w:r w:rsidR="0009277C" w:rsidRPr="00D51A68">
              <w:t>’</w:t>
            </w:r>
            <w:r w:rsidRPr="00D51A68">
              <w:t>articolo 38, paragrafi 3 e 4, del CRR. Questa voce comprende pertanto le passività fiscali differite che riducono l</w:t>
            </w:r>
            <w:r w:rsidR="0009277C" w:rsidRPr="00D51A68">
              <w:t>’</w:t>
            </w:r>
            <w:r w:rsidRPr="00D51A68">
              <w:t>importo dell</w:t>
            </w:r>
            <w:r w:rsidR="0009277C" w:rsidRPr="00D51A68">
              <w:t>’</w:t>
            </w:r>
            <w:r w:rsidRPr="00D51A68">
              <w:t>avviamento, altre attività immateriali o attività dei fondi pensione a prestazioni definite da dedurre che sono segnalate, rispettivamente, nelle righe 1.1.1.10.3, 1.1.1.11.2 e 1.1.1.14.2 del modello CA1.</w:t>
            </w:r>
          </w:p>
        </w:tc>
      </w:tr>
      <w:tr w:rsidR="002648B0" w:rsidRPr="00D51A68" w:rsidTr="00672D2A">
        <w:tc>
          <w:tcPr>
            <w:tcW w:w="1506" w:type="dxa"/>
          </w:tcPr>
          <w:p w:rsidR="002648B0" w:rsidRPr="00D51A68" w:rsidRDefault="002648B0" w:rsidP="00FC1A76">
            <w:pPr>
              <w:pStyle w:val="InstructionsText"/>
            </w:pPr>
            <w:r w:rsidRPr="00D51A68">
              <w:t>070</w:t>
            </w:r>
          </w:p>
        </w:tc>
        <w:tc>
          <w:tcPr>
            <w:tcW w:w="7243" w:type="dxa"/>
          </w:tcPr>
          <w:p w:rsidR="005643EA" w:rsidRPr="00D51A68" w:rsidRDefault="002648B0" w:rsidP="00FC1A76">
            <w:pPr>
              <w:pStyle w:val="InstructionsText"/>
            </w:pPr>
            <w:r w:rsidRPr="00D51A68">
              <w:rPr>
                <w:rStyle w:val="InstructionsTabelleberschrift"/>
                <w:rFonts w:ascii="Times New Roman" w:hAnsi="Times New Roman"/>
                <w:sz w:val="24"/>
              </w:rPr>
              <w:t>2.2</w:t>
            </w:r>
            <w:r w:rsidR="00A0772B" w:rsidRPr="00D51A68">
              <w:rPr>
                <w:u w:val="single"/>
              </w:rPr>
              <w:tab/>
            </w:r>
            <w:r w:rsidRPr="00D51A68">
              <w:rPr>
                <w:rStyle w:val="InstructionsTabelleberschrift"/>
                <w:rFonts w:ascii="Times New Roman" w:hAnsi="Times New Roman"/>
                <w:sz w:val="24"/>
              </w:rPr>
              <w:t>Passività fiscali differite deducibili dalle attività fiscali differite che si basano sulla redditività futura</w:t>
            </w:r>
          </w:p>
          <w:p w:rsidR="005643EA" w:rsidRPr="00D51A68" w:rsidRDefault="002648B0" w:rsidP="00FC1A76">
            <w:pPr>
              <w:pStyle w:val="InstructionsText"/>
            </w:pPr>
            <w:r w:rsidRPr="00D51A68">
              <w:t>Articolo 38 del CRR.</w:t>
            </w:r>
          </w:p>
        </w:tc>
      </w:tr>
      <w:tr w:rsidR="002648B0" w:rsidRPr="00D51A68" w:rsidTr="00672D2A">
        <w:tc>
          <w:tcPr>
            <w:tcW w:w="1506" w:type="dxa"/>
          </w:tcPr>
          <w:p w:rsidR="002648B0" w:rsidRPr="00D51A68" w:rsidRDefault="002648B0" w:rsidP="00FC1A76">
            <w:pPr>
              <w:pStyle w:val="InstructionsText"/>
            </w:pPr>
            <w:r w:rsidRPr="00D51A68">
              <w:t>080</w:t>
            </w:r>
          </w:p>
        </w:tc>
        <w:tc>
          <w:tcPr>
            <w:tcW w:w="7243" w:type="dxa"/>
          </w:tcPr>
          <w:p w:rsidR="005643EA" w:rsidRPr="00D51A68" w:rsidRDefault="002648B0" w:rsidP="00FC1A76">
            <w:pPr>
              <w:pStyle w:val="InstructionsText"/>
            </w:pPr>
            <w:r w:rsidRPr="00D51A68">
              <w:rPr>
                <w:rStyle w:val="InstructionsTabelleberschrift"/>
                <w:rFonts w:ascii="Times New Roman" w:hAnsi="Times New Roman"/>
                <w:sz w:val="24"/>
              </w:rPr>
              <w:t>2.2.1</w:t>
            </w:r>
            <w:r w:rsidR="00A0772B" w:rsidRPr="00D51A68">
              <w:rPr>
                <w:u w:val="single"/>
              </w:rPr>
              <w:tab/>
            </w:r>
            <w:r w:rsidRPr="00D51A68">
              <w:rPr>
                <w:rStyle w:val="InstructionsTabelleberschrift"/>
                <w:rFonts w:ascii="Times New Roman" w:hAnsi="Times New Roman"/>
                <w:sz w:val="24"/>
              </w:rPr>
              <w:t>Passività fiscali differite deducibili associate ad attività fiscali differite che si basano sulla redditività futura e non derivano da differenze temporanee</w:t>
            </w:r>
          </w:p>
          <w:p w:rsidR="005643EA" w:rsidRPr="00D51A68" w:rsidRDefault="002648B0" w:rsidP="00FC1A76">
            <w:pPr>
              <w:pStyle w:val="InstructionsText"/>
            </w:pPr>
            <w:r w:rsidRPr="00D51A68">
              <w:t>Articolo 38, paragrafi 3, 4 e 5, del CRR.</w:t>
            </w:r>
          </w:p>
          <w:p w:rsidR="005643EA" w:rsidRPr="00D51A68" w:rsidRDefault="002648B0" w:rsidP="00FC1A76">
            <w:pPr>
              <w:pStyle w:val="InstructionsText"/>
            </w:pPr>
            <w:r w:rsidRPr="00D51A68">
              <w:t>Passività fiscali differite che possono ridurre l</w:t>
            </w:r>
            <w:r w:rsidR="0009277C" w:rsidRPr="00D51A68">
              <w:t>’</w:t>
            </w:r>
            <w:r w:rsidRPr="00D51A68">
              <w:t>importo delle attività fiscali differite che si basano sulla redditività futura conformemente all</w:t>
            </w:r>
            <w:r w:rsidR="0009277C" w:rsidRPr="00D51A68">
              <w:t>’</w:t>
            </w:r>
            <w:r w:rsidRPr="00D51A68">
              <w:t>articolo 38, paragrafi 3 e 4, del CRR, e non sono assegnate ad attività fiscali differite che si basano sulla redditività futura e derivano da differenze temporanee, ai sensi dell</w:t>
            </w:r>
            <w:r w:rsidR="0009277C" w:rsidRPr="00D51A68">
              <w:t>’</w:t>
            </w:r>
            <w:r w:rsidRPr="00D51A68">
              <w:t>articolo 38, paragrafo 5, del CRR.</w:t>
            </w:r>
          </w:p>
        </w:tc>
      </w:tr>
      <w:tr w:rsidR="002648B0" w:rsidRPr="00D51A68" w:rsidTr="00672D2A">
        <w:tc>
          <w:tcPr>
            <w:tcW w:w="1506" w:type="dxa"/>
          </w:tcPr>
          <w:p w:rsidR="002648B0" w:rsidRPr="00D51A68" w:rsidRDefault="002648B0" w:rsidP="00FC1A76">
            <w:pPr>
              <w:pStyle w:val="InstructionsText"/>
            </w:pPr>
            <w:r w:rsidRPr="00D51A68">
              <w:t>090</w:t>
            </w:r>
          </w:p>
        </w:tc>
        <w:tc>
          <w:tcPr>
            <w:tcW w:w="7243" w:type="dxa"/>
          </w:tcPr>
          <w:p w:rsidR="005643EA" w:rsidRPr="00D51A68" w:rsidRDefault="002648B0" w:rsidP="00FC1A76">
            <w:pPr>
              <w:pStyle w:val="InstructionsText"/>
            </w:pPr>
            <w:r w:rsidRPr="00D51A68">
              <w:rPr>
                <w:rStyle w:val="InstructionsTabelleberschrift"/>
                <w:rFonts w:ascii="Times New Roman" w:hAnsi="Times New Roman"/>
                <w:sz w:val="24"/>
              </w:rPr>
              <w:t>2.2.2</w:t>
            </w:r>
            <w:r w:rsidR="00A0772B" w:rsidRPr="00D51A68">
              <w:rPr>
                <w:u w:val="single"/>
              </w:rPr>
              <w:tab/>
            </w:r>
            <w:r w:rsidRPr="00D51A68">
              <w:rPr>
                <w:rStyle w:val="InstructionsTabelleberschrift"/>
                <w:rFonts w:ascii="Times New Roman" w:hAnsi="Times New Roman"/>
                <w:sz w:val="24"/>
              </w:rPr>
              <w:t>Passività fiscali differite deducibili associate ad attività fiscali differite che si basano sulla redditività futura e derivano da differenze temporanee</w:t>
            </w:r>
          </w:p>
          <w:p w:rsidR="005643EA" w:rsidRPr="00D51A68" w:rsidRDefault="002648B0" w:rsidP="00FC1A76">
            <w:pPr>
              <w:pStyle w:val="InstructionsText"/>
            </w:pPr>
            <w:r w:rsidRPr="00D51A68">
              <w:t>Articolo 38, paragrafi 3, 4 e 5, del CRR.</w:t>
            </w:r>
          </w:p>
          <w:p w:rsidR="005643EA" w:rsidRPr="00D51A68" w:rsidRDefault="002648B0" w:rsidP="00FC1A76">
            <w:pPr>
              <w:pStyle w:val="InstructionsText"/>
            </w:pPr>
            <w:r w:rsidRPr="00D51A68">
              <w:t>Passività fiscali differite che possono ridurre l</w:t>
            </w:r>
            <w:r w:rsidR="0009277C" w:rsidRPr="00D51A68">
              <w:t>’</w:t>
            </w:r>
            <w:r w:rsidRPr="00D51A68">
              <w:t>importo delle attività fiscali differite che si basano sulla redditività futura, ai sensi dell</w:t>
            </w:r>
            <w:r w:rsidR="0009277C" w:rsidRPr="00D51A68">
              <w:t>’</w:t>
            </w:r>
            <w:r w:rsidR="00912441" w:rsidRPr="00D51A68">
              <w:t>articolo </w:t>
            </w:r>
            <w:r w:rsidRPr="00D51A68">
              <w:t>38, paragrafi 3 e 4, del CRR, e sono assegnate ad attività fiscali differite che si basano sulla redditività futura e derivano da differenze temporanee, ai sensi dell</w:t>
            </w:r>
            <w:r w:rsidR="0009277C" w:rsidRPr="00D51A68">
              <w:t>’</w:t>
            </w:r>
            <w:r w:rsidRPr="00D51A68">
              <w:t>articolo 38, paragrafo 5, del CRR.</w:t>
            </w:r>
            <w:r w:rsidR="00912441" w:rsidRPr="00D51A68">
              <w:br/>
            </w:r>
          </w:p>
        </w:tc>
      </w:tr>
      <w:tr w:rsidR="00550113" w:rsidRPr="00D51A68" w:rsidTr="00672D2A">
        <w:tc>
          <w:tcPr>
            <w:tcW w:w="1506" w:type="dxa"/>
          </w:tcPr>
          <w:p w:rsidR="00550113" w:rsidRPr="00D51A68" w:rsidRDefault="00550113" w:rsidP="00FC1A76">
            <w:pPr>
              <w:pStyle w:val="InstructionsText"/>
            </w:pPr>
            <w:r w:rsidRPr="00D51A68">
              <w:lastRenderedPageBreak/>
              <w:t>093</w:t>
            </w:r>
          </w:p>
        </w:tc>
        <w:tc>
          <w:tcPr>
            <w:tcW w:w="7243" w:type="dxa"/>
          </w:tcPr>
          <w:p w:rsidR="00550113" w:rsidRPr="00D51A68" w:rsidRDefault="00550113" w:rsidP="00FC1A76">
            <w:pPr>
              <w:pStyle w:val="InstructionsText"/>
            </w:pPr>
            <w:r w:rsidRPr="00D51A68">
              <w:rPr>
                <w:rStyle w:val="InstructionsTabelleberschrift"/>
                <w:rFonts w:ascii="Times New Roman" w:hAnsi="Times New Roman"/>
                <w:sz w:val="24"/>
              </w:rPr>
              <w:t>2A</w:t>
            </w:r>
            <w:r w:rsidR="00A0772B" w:rsidRPr="00D51A68">
              <w:rPr>
                <w:u w:val="single"/>
              </w:rPr>
              <w:tab/>
            </w:r>
            <w:r w:rsidRPr="00D51A68">
              <w:rPr>
                <w:rStyle w:val="InstructionsTabelleberschrift"/>
                <w:rFonts w:ascii="Times New Roman" w:hAnsi="Times New Roman"/>
                <w:sz w:val="24"/>
              </w:rPr>
              <w:t>Pagamenti in eccesso di imposte e riporti di perdite fiscali</w:t>
            </w:r>
          </w:p>
          <w:p w:rsidR="00550113" w:rsidRPr="00D51A68" w:rsidRDefault="00201704" w:rsidP="00FC1A76">
            <w:pPr>
              <w:pStyle w:val="InstructionsText"/>
            </w:pPr>
            <w:r w:rsidRPr="00D51A68">
              <w:t>Articolo 39, paragrafo 1, del CRR.</w:t>
            </w:r>
          </w:p>
          <w:p w:rsidR="00550113" w:rsidRPr="00D51A68" w:rsidRDefault="00550113" w:rsidP="00FC1A76">
            <w:pPr>
              <w:pStyle w:val="InstructionsText"/>
              <w:rPr>
                <w:rStyle w:val="InstructionsTabelleberschrift"/>
                <w:rFonts w:ascii="Times New Roman" w:hAnsi="Times New Roman"/>
                <w:b w:val="0"/>
                <w:bCs w:val="0"/>
                <w:sz w:val="24"/>
                <w:u w:val="none"/>
              </w:rPr>
            </w:pPr>
            <w:r w:rsidRPr="00D51A68">
              <w:t>L</w:t>
            </w:r>
            <w:r w:rsidR="0009277C" w:rsidRPr="00D51A68">
              <w:t>’</w:t>
            </w:r>
            <w:r w:rsidRPr="00D51A68">
              <w:t>importo dei pagamenti in eccesso di imposte e dei riporti di perdite fiscali che non è dedotto dai fondi propri conformemente all</w:t>
            </w:r>
            <w:r w:rsidR="0009277C" w:rsidRPr="00D51A68">
              <w:t>’</w:t>
            </w:r>
            <w:r w:rsidRPr="00D51A68">
              <w:t>articolo 39, paragrafo 1, del CRR; l</w:t>
            </w:r>
            <w:r w:rsidR="0009277C" w:rsidRPr="00D51A68">
              <w:t>’</w:t>
            </w:r>
            <w:r w:rsidRPr="00D51A68">
              <w:t>importo indicato è quello precedente all</w:t>
            </w:r>
            <w:r w:rsidR="0009277C" w:rsidRPr="00D51A68">
              <w:t>’</w:t>
            </w:r>
            <w:r w:rsidRPr="00D51A68">
              <w:t>applicazione dei fattori di ponderazione del rischio.</w:t>
            </w:r>
          </w:p>
        </w:tc>
      </w:tr>
      <w:tr w:rsidR="00DF65DF" w:rsidRPr="00D51A68" w:rsidTr="00672D2A">
        <w:tc>
          <w:tcPr>
            <w:tcW w:w="1506" w:type="dxa"/>
          </w:tcPr>
          <w:p w:rsidR="00DF65DF" w:rsidRPr="00D51A68" w:rsidRDefault="00DF65DF" w:rsidP="00FC1A76">
            <w:pPr>
              <w:pStyle w:val="InstructionsText"/>
            </w:pPr>
            <w:r w:rsidRPr="00D51A68">
              <w:t>096</w:t>
            </w:r>
          </w:p>
        </w:tc>
        <w:tc>
          <w:tcPr>
            <w:tcW w:w="7243" w:type="dxa"/>
          </w:tcPr>
          <w:p w:rsidR="00DF65DF" w:rsidRPr="00D51A68" w:rsidRDefault="00550113" w:rsidP="00FC1A76">
            <w:pPr>
              <w:pStyle w:val="InstructionsText"/>
            </w:pPr>
            <w:r w:rsidRPr="00D51A68">
              <w:rPr>
                <w:rStyle w:val="InstructionsTabelleberschrift"/>
                <w:rFonts w:ascii="Times New Roman" w:hAnsi="Times New Roman"/>
                <w:sz w:val="24"/>
              </w:rPr>
              <w:t>2B</w:t>
            </w:r>
            <w:r w:rsidR="00A0772B" w:rsidRPr="00D51A68">
              <w:rPr>
                <w:u w:val="single"/>
              </w:rPr>
              <w:tab/>
            </w:r>
            <w:r w:rsidRPr="00D51A68">
              <w:rPr>
                <w:rStyle w:val="InstructionsTabelleberschrift"/>
                <w:rFonts w:ascii="Times New Roman" w:hAnsi="Times New Roman"/>
                <w:sz w:val="24"/>
              </w:rPr>
              <w:t>Attività fiscali differite soggette a un fattore di ponderazione del rischio del 250%</w:t>
            </w:r>
          </w:p>
          <w:p w:rsidR="00DF65DF" w:rsidRPr="00D51A68" w:rsidRDefault="00201704" w:rsidP="00FC1A76">
            <w:pPr>
              <w:pStyle w:val="InstructionsText"/>
            </w:pPr>
            <w:r w:rsidRPr="00D51A68">
              <w:t>Articolo 48, paragrafo 4, del CRR.</w:t>
            </w:r>
          </w:p>
          <w:p w:rsidR="00DF65DF" w:rsidRPr="00D51A68" w:rsidRDefault="00DF65DF" w:rsidP="00FC1A76">
            <w:pPr>
              <w:pStyle w:val="InstructionsText"/>
              <w:rPr>
                <w:rStyle w:val="InstructionsTabelleberschrift"/>
                <w:rFonts w:ascii="Times New Roman" w:hAnsi="Times New Roman"/>
                <w:b w:val="0"/>
                <w:bCs w:val="0"/>
                <w:sz w:val="24"/>
                <w:u w:val="none"/>
              </w:rPr>
            </w:pPr>
            <w:r w:rsidRPr="00D51A68">
              <w:t>L</w:t>
            </w:r>
            <w:r w:rsidR="0009277C" w:rsidRPr="00D51A68">
              <w:t>’</w:t>
            </w:r>
            <w:r w:rsidRPr="00D51A68">
              <w:t>importo delle attività fiscali differite che dipendono dalla redditività futura e derivano da differenze temporanee che non sono dedotte conformemente all</w:t>
            </w:r>
            <w:r w:rsidR="0009277C" w:rsidRPr="00D51A68">
              <w:t>’</w:t>
            </w:r>
            <w:r w:rsidRPr="00D51A68">
              <w:t>articolo 48, paragrafo 1, del CRR, ma sono soggette a un fattore di ponderazione del rischio del 250</w:t>
            </w:r>
            <w:r w:rsidR="0009277C" w:rsidRPr="00D51A68">
              <w:t>%</w:t>
            </w:r>
            <w:r w:rsidRPr="00D51A68">
              <w:t xml:space="preserve"> conformemente all</w:t>
            </w:r>
            <w:r w:rsidR="0009277C" w:rsidRPr="00D51A68">
              <w:t>’</w:t>
            </w:r>
            <w:r w:rsidRPr="00D51A68">
              <w:t>articolo 48, paragrafo 4, del CRR, tenendo conto dell</w:t>
            </w:r>
            <w:r w:rsidR="0009277C" w:rsidRPr="00D51A68">
              <w:t>’</w:t>
            </w:r>
            <w:r w:rsidRPr="00D51A68">
              <w:t>effetto dell</w:t>
            </w:r>
            <w:r w:rsidR="0009277C" w:rsidRPr="00D51A68">
              <w:t>’</w:t>
            </w:r>
            <w:r w:rsidRPr="00D51A68">
              <w:t>articolo 470 del CRR. L</w:t>
            </w:r>
            <w:r w:rsidR="0009277C" w:rsidRPr="00D51A68">
              <w:t>’</w:t>
            </w:r>
            <w:r w:rsidRPr="00D51A68">
              <w:t>importo indicato è quello delle attività fiscali differite precedente all</w:t>
            </w:r>
            <w:r w:rsidR="0009277C" w:rsidRPr="00D51A68">
              <w:t>’</w:t>
            </w:r>
            <w:r w:rsidRPr="00D51A68">
              <w:t>applicazione del fattore di ponderazione del rischio.</w:t>
            </w:r>
          </w:p>
        </w:tc>
      </w:tr>
      <w:tr w:rsidR="00DF65DF" w:rsidRPr="00D51A68" w:rsidTr="00672D2A">
        <w:tc>
          <w:tcPr>
            <w:tcW w:w="1506" w:type="dxa"/>
          </w:tcPr>
          <w:p w:rsidR="00DF65DF" w:rsidRPr="00D51A68" w:rsidRDefault="00DF65DF" w:rsidP="00FC1A76">
            <w:pPr>
              <w:pStyle w:val="InstructionsText"/>
            </w:pPr>
            <w:r w:rsidRPr="00D51A68">
              <w:t>097</w:t>
            </w:r>
          </w:p>
        </w:tc>
        <w:tc>
          <w:tcPr>
            <w:tcW w:w="7243" w:type="dxa"/>
          </w:tcPr>
          <w:p w:rsidR="00DF65DF" w:rsidRPr="00D51A68" w:rsidRDefault="00550113" w:rsidP="00FC1A76">
            <w:pPr>
              <w:pStyle w:val="InstructionsText"/>
            </w:pPr>
            <w:r w:rsidRPr="00D51A68">
              <w:rPr>
                <w:rStyle w:val="InstructionsTabelleberschrift"/>
                <w:rFonts w:ascii="Times New Roman" w:hAnsi="Times New Roman"/>
                <w:sz w:val="24"/>
              </w:rPr>
              <w:t>2C</w:t>
            </w:r>
            <w:r w:rsidR="00A0772B" w:rsidRPr="00D51A68">
              <w:rPr>
                <w:u w:val="single"/>
              </w:rPr>
              <w:tab/>
            </w:r>
            <w:r w:rsidRPr="00D51A68">
              <w:rPr>
                <w:rStyle w:val="InstructionsTabelleberschrift"/>
                <w:rFonts w:ascii="Times New Roman" w:hAnsi="Times New Roman"/>
                <w:sz w:val="24"/>
              </w:rPr>
              <w:t>Attività fiscali differite soggette a un fattore di ponderazione del rischio dello 0</w:t>
            </w:r>
            <w:r w:rsidR="0009277C" w:rsidRPr="00D51A68">
              <w:rPr>
                <w:rStyle w:val="InstructionsTabelleberschrift"/>
                <w:rFonts w:ascii="Times New Roman" w:hAnsi="Times New Roman"/>
                <w:sz w:val="24"/>
              </w:rPr>
              <w:t>%</w:t>
            </w:r>
          </w:p>
          <w:p w:rsidR="00DF65DF" w:rsidRPr="00D51A68" w:rsidRDefault="00DF65DF" w:rsidP="00FC1A76">
            <w:pPr>
              <w:pStyle w:val="InstructionsText"/>
            </w:pPr>
            <w:r w:rsidRPr="00D51A68">
              <w:t>Articolo 469, paragrafo 1, lettera d), articolo</w:t>
            </w:r>
            <w:r w:rsidR="00912441" w:rsidRPr="00D51A68">
              <w:t> </w:t>
            </w:r>
            <w:r w:rsidRPr="00D51A68">
              <w:t>470, articolo</w:t>
            </w:r>
            <w:r w:rsidR="00912441" w:rsidRPr="00D51A68">
              <w:t> </w:t>
            </w:r>
            <w:r w:rsidRPr="00D51A68">
              <w:t>472</w:t>
            </w:r>
            <w:r w:rsidR="00912441" w:rsidRPr="00D51A68">
              <w:t>, paragrafo </w:t>
            </w:r>
            <w:r w:rsidRPr="00D51A68">
              <w:t>5, e articolo 478 del CRR.</w:t>
            </w:r>
          </w:p>
          <w:p w:rsidR="00DF65DF" w:rsidRPr="00D51A68" w:rsidRDefault="00DF65DF" w:rsidP="00FC1A76">
            <w:pPr>
              <w:pStyle w:val="InstructionsText"/>
              <w:rPr>
                <w:rStyle w:val="InstructionsTabelleberschrift"/>
                <w:rFonts w:ascii="Times New Roman" w:hAnsi="Times New Roman"/>
                <w:b w:val="0"/>
                <w:bCs w:val="0"/>
                <w:sz w:val="24"/>
                <w:u w:val="none"/>
              </w:rPr>
            </w:pPr>
            <w:r w:rsidRPr="00D51A68">
              <w:t>L</w:t>
            </w:r>
            <w:r w:rsidR="0009277C" w:rsidRPr="00D51A68">
              <w:t>’</w:t>
            </w:r>
            <w:r w:rsidRPr="00D51A68">
              <w:t>importo delle attività fiscali differite che dipendono dalla redditività futura e derivano da differenze temporanee che non sono dedotte conformemente all</w:t>
            </w:r>
            <w:r w:rsidR="0009277C" w:rsidRPr="00D51A68">
              <w:t>’</w:t>
            </w:r>
            <w:r w:rsidRPr="00D51A68">
              <w:t>articolo 469, paragrafo 1, lettera d), e all</w:t>
            </w:r>
            <w:r w:rsidR="0009277C" w:rsidRPr="00D51A68">
              <w:t>’</w:t>
            </w:r>
            <w:r w:rsidRPr="00D51A68">
              <w:t>articolo 470 del CRR, ma sono soggette a un fattore di ponderazione del rischio dello 0% conformemente all</w:t>
            </w:r>
            <w:r w:rsidR="0009277C" w:rsidRPr="00D51A68">
              <w:t>’</w:t>
            </w:r>
            <w:r w:rsidRPr="00D51A68">
              <w:t>articolo 472, paragrafo 5, del CRR. L</w:t>
            </w:r>
            <w:r w:rsidR="0009277C" w:rsidRPr="00D51A68">
              <w:t>’</w:t>
            </w:r>
            <w:r w:rsidRPr="00D51A68">
              <w:t>importo indicato è quello delle attività fiscali differite precedente all</w:t>
            </w:r>
            <w:r w:rsidR="0009277C" w:rsidRPr="00D51A68">
              <w:t>’</w:t>
            </w:r>
            <w:r w:rsidRPr="00D51A68">
              <w:t>applicazione del fattore di ponderazione del rischio.</w:t>
            </w:r>
          </w:p>
        </w:tc>
      </w:tr>
      <w:tr w:rsidR="002648B0" w:rsidRPr="00D51A68" w:rsidTr="00672D2A">
        <w:tc>
          <w:tcPr>
            <w:tcW w:w="1506" w:type="dxa"/>
          </w:tcPr>
          <w:p w:rsidR="002648B0" w:rsidRPr="00D51A68" w:rsidRDefault="002648B0" w:rsidP="00FC1A76">
            <w:pPr>
              <w:pStyle w:val="InstructionsText"/>
            </w:pPr>
            <w:r w:rsidRPr="00D51A68">
              <w:t>100</w:t>
            </w:r>
          </w:p>
        </w:tc>
        <w:tc>
          <w:tcPr>
            <w:tcW w:w="7243" w:type="dxa"/>
          </w:tcPr>
          <w:p w:rsidR="005643EA" w:rsidRPr="00D51A68" w:rsidRDefault="00C66473"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3.</w:t>
            </w:r>
            <w:r w:rsidR="00A0772B" w:rsidRPr="00D51A68">
              <w:rPr>
                <w:u w:val="single"/>
              </w:rPr>
              <w:tab/>
            </w:r>
            <w:r w:rsidRPr="00D51A68">
              <w:rPr>
                <w:rStyle w:val="InstructionsTabelleberschrift"/>
                <w:rFonts w:ascii="Times New Roman" w:hAnsi="Times New Roman"/>
                <w:sz w:val="24"/>
              </w:rPr>
              <w:t xml:space="preserve">Eccesso (+) o carenza (-) di rettifiche di valore su crediti, rettifiche di valore </w:t>
            </w:r>
            <w:r w:rsidR="00645BB0" w:rsidRPr="00D51A68">
              <w:rPr>
                <w:rStyle w:val="InstructionsTabelleberschrift"/>
                <w:rFonts w:ascii="Times New Roman" w:hAnsi="Times New Roman"/>
                <w:sz w:val="24"/>
              </w:rPr>
              <w:t>supple</w:t>
            </w:r>
            <w:r w:rsidRPr="00D51A68">
              <w:rPr>
                <w:rStyle w:val="InstructionsTabelleberschrift"/>
                <w:rFonts w:ascii="Times New Roman" w:hAnsi="Times New Roman"/>
                <w:sz w:val="24"/>
              </w:rPr>
              <w:t>mentari e altre riduzioni dei fondi propri rispetto alle perdite attese per le esposizioni non in stato di default in base al metodo IRB</w:t>
            </w:r>
          </w:p>
          <w:p w:rsidR="005643EA" w:rsidRPr="00D51A68" w:rsidRDefault="002648B0" w:rsidP="00FC1A76">
            <w:pPr>
              <w:pStyle w:val="InstructionsText"/>
            </w:pPr>
            <w:r w:rsidRPr="00D51A68">
              <w:t>Articolo 36, paragrafo 1, lettera d), articolo 62, lettera d), e articoli 158 e 159 del CRR.</w:t>
            </w:r>
          </w:p>
          <w:p w:rsidR="005643EA" w:rsidRPr="00D51A68" w:rsidRDefault="002648B0" w:rsidP="00FC1A76">
            <w:pPr>
              <w:pStyle w:val="InstructionsText"/>
            </w:pPr>
            <w:r w:rsidRPr="00D51A68">
              <w:t>Questa riga è compilata soltanto dagli enti che applicano il metodo IRB.</w:t>
            </w:r>
          </w:p>
        </w:tc>
      </w:tr>
      <w:tr w:rsidR="002648B0" w:rsidRPr="00D51A68" w:rsidTr="00672D2A">
        <w:tc>
          <w:tcPr>
            <w:tcW w:w="1506" w:type="dxa"/>
          </w:tcPr>
          <w:p w:rsidR="002648B0" w:rsidRPr="00D51A68" w:rsidRDefault="002648B0" w:rsidP="00FC1A76">
            <w:pPr>
              <w:pStyle w:val="InstructionsText"/>
            </w:pPr>
            <w:r w:rsidRPr="00D51A68">
              <w:t>110</w:t>
            </w:r>
          </w:p>
        </w:tc>
        <w:tc>
          <w:tcPr>
            <w:tcW w:w="7243" w:type="dxa"/>
          </w:tcPr>
          <w:p w:rsidR="005643EA" w:rsidRPr="00D51A68" w:rsidRDefault="002648B0" w:rsidP="00FC1A76">
            <w:pPr>
              <w:pStyle w:val="InstructionsText"/>
            </w:pPr>
            <w:r w:rsidRPr="00D51A68">
              <w:rPr>
                <w:rStyle w:val="InstructionsTabelleberschrift"/>
                <w:rFonts w:ascii="Times New Roman" w:hAnsi="Times New Roman"/>
                <w:sz w:val="24"/>
              </w:rPr>
              <w:t>3.1</w:t>
            </w:r>
            <w:r w:rsidR="00A0772B" w:rsidRPr="00D51A68">
              <w:rPr>
                <w:u w:val="single"/>
              </w:rPr>
              <w:tab/>
            </w:r>
            <w:r w:rsidRPr="00D51A68">
              <w:rPr>
                <w:rStyle w:val="InstructionsTabelleberschrift"/>
                <w:rFonts w:ascii="Times New Roman" w:hAnsi="Times New Roman"/>
                <w:sz w:val="24"/>
              </w:rPr>
              <w:t>Totale delle rettifiche di valore su crediti, rettifiche di valore supplementari e altre riduzioni dei fondi propri ammissibili all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inclusione nel calcolo dell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importo delle perdite attese</w:t>
            </w:r>
          </w:p>
          <w:p w:rsidR="005643EA" w:rsidRPr="00D51A68" w:rsidRDefault="002648B0" w:rsidP="00FC1A76">
            <w:pPr>
              <w:pStyle w:val="InstructionsText"/>
            </w:pPr>
            <w:r w:rsidRPr="00D51A68">
              <w:t>Articolo 159 del CRR.</w:t>
            </w:r>
          </w:p>
          <w:p w:rsidR="005643EA" w:rsidRPr="00D51A68" w:rsidRDefault="002648B0" w:rsidP="00FC1A76">
            <w:pPr>
              <w:pStyle w:val="InstructionsText"/>
            </w:pPr>
            <w:r w:rsidRPr="00D51A68">
              <w:t>Questa riga è compilata soltanto dagli enti che applicano il metodo IRB.</w:t>
            </w:r>
          </w:p>
        </w:tc>
      </w:tr>
      <w:tr w:rsidR="002648B0" w:rsidRPr="00D51A68" w:rsidTr="00672D2A">
        <w:tc>
          <w:tcPr>
            <w:tcW w:w="1506" w:type="dxa"/>
          </w:tcPr>
          <w:p w:rsidR="002648B0" w:rsidRPr="00D51A68" w:rsidRDefault="002648B0" w:rsidP="00FC1A76">
            <w:pPr>
              <w:pStyle w:val="InstructionsText"/>
            </w:pPr>
            <w:r w:rsidRPr="00D51A68">
              <w:t>120</w:t>
            </w:r>
          </w:p>
        </w:tc>
        <w:tc>
          <w:tcPr>
            <w:tcW w:w="7243" w:type="dxa"/>
          </w:tcPr>
          <w:p w:rsidR="005643EA" w:rsidRPr="00D51A68" w:rsidRDefault="002648B0" w:rsidP="00FC1A76">
            <w:pPr>
              <w:pStyle w:val="InstructionsText"/>
            </w:pPr>
            <w:r w:rsidRPr="00D51A68">
              <w:rPr>
                <w:rStyle w:val="InstructionsTabelleberschrift"/>
                <w:rFonts w:ascii="Times New Roman" w:hAnsi="Times New Roman"/>
                <w:sz w:val="24"/>
              </w:rPr>
              <w:t>3.1.1</w:t>
            </w:r>
            <w:r w:rsidR="00A0772B" w:rsidRPr="00D51A68">
              <w:rPr>
                <w:u w:val="single"/>
              </w:rPr>
              <w:tab/>
            </w:r>
            <w:r w:rsidRPr="00D51A68">
              <w:rPr>
                <w:rStyle w:val="InstructionsTabelleberschrift"/>
                <w:rFonts w:ascii="Times New Roman" w:hAnsi="Times New Roman"/>
                <w:sz w:val="24"/>
              </w:rPr>
              <w:t>Rettifiche di valore su crediti generiche</w:t>
            </w:r>
          </w:p>
          <w:p w:rsidR="005643EA" w:rsidRPr="00D51A68" w:rsidRDefault="002648B0" w:rsidP="00FC1A76">
            <w:pPr>
              <w:pStyle w:val="InstructionsText"/>
            </w:pPr>
            <w:r w:rsidRPr="00D51A68">
              <w:t>Articolo 159 del CRR.</w:t>
            </w:r>
          </w:p>
          <w:p w:rsidR="005643EA" w:rsidRPr="00D51A68" w:rsidRDefault="002648B0" w:rsidP="00FC1A76">
            <w:pPr>
              <w:pStyle w:val="InstructionsText"/>
            </w:pPr>
            <w:r w:rsidRPr="00D51A68">
              <w:lastRenderedPageBreak/>
              <w:t>Questa riga è compilata soltanto dagli enti che applicano il metodo IRB.</w:t>
            </w:r>
          </w:p>
        </w:tc>
      </w:tr>
      <w:tr w:rsidR="002648B0" w:rsidRPr="00D51A68" w:rsidTr="00672D2A">
        <w:tc>
          <w:tcPr>
            <w:tcW w:w="1506" w:type="dxa"/>
          </w:tcPr>
          <w:p w:rsidR="002648B0" w:rsidRPr="00D51A68" w:rsidRDefault="002648B0" w:rsidP="00FC1A76">
            <w:pPr>
              <w:pStyle w:val="InstructionsText"/>
            </w:pPr>
            <w:r w:rsidRPr="00D51A68">
              <w:lastRenderedPageBreak/>
              <w:t>130</w:t>
            </w:r>
          </w:p>
        </w:tc>
        <w:tc>
          <w:tcPr>
            <w:tcW w:w="7243" w:type="dxa"/>
          </w:tcPr>
          <w:p w:rsidR="005643EA" w:rsidRPr="00D51A68" w:rsidRDefault="002648B0" w:rsidP="00FC1A76">
            <w:pPr>
              <w:pStyle w:val="InstructionsText"/>
            </w:pPr>
            <w:r w:rsidRPr="00D51A68">
              <w:rPr>
                <w:rStyle w:val="InstructionsTabelleberschrift"/>
                <w:rFonts w:ascii="Times New Roman" w:hAnsi="Times New Roman"/>
                <w:sz w:val="24"/>
              </w:rPr>
              <w:t>3.1.2</w:t>
            </w:r>
            <w:r w:rsidR="00A0772B" w:rsidRPr="00D51A68">
              <w:rPr>
                <w:u w:val="single"/>
              </w:rPr>
              <w:tab/>
            </w:r>
            <w:r w:rsidRPr="00D51A68">
              <w:rPr>
                <w:rStyle w:val="InstructionsTabelleberschrift"/>
                <w:rFonts w:ascii="Times New Roman" w:hAnsi="Times New Roman"/>
                <w:sz w:val="24"/>
              </w:rPr>
              <w:t>Rettifiche di valore su crediti specifiche</w:t>
            </w:r>
          </w:p>
          <w:p w:rsidR="005643EA" w:rsidRPr="00D51A68" w:rsidRDefault="002648B0" w:rsidP="00FC1A76">
            <w:pPr>
              <w:pStyle w:val="InstructionsText"/>
            </w:pPr>
            <w:r w:rsidRPr="00D51A68">
              <w:t>Articolo 159 del CRR.</w:t>
            </w:r>
          </w:p>
          <w:p w:rsidR="005643EA" w:rsidRPr="00D51A68" w:rsidRDefault="002648B0" w:rsidP="00FC1A76">
            <w:pPr>
              <w:pStyle w:val="InstructionsText"/>
            </w:pPr>
            <w:r w:rsidRPr="00D51A68">
              <w:t>Questa riga è compilata soltanto dagli enti che applicano il metodo IRB.</w:t>
            </w:r>
          </w:p>
        </w:tc>
      </w:tr>
      <w:tr w:rsidR="002648B0" w:rsidRPr="00D51A68" w:rsidTr="00672D2A">
        <w:tc>
          <w:tcPr>
            <w:tcW w:w="1506" w:type="dxa"/>
          </w:tcPr>
          <w:p w:rsidR="002648B0" w:rsidRPr="00D51A68" w:rsidRDefault="002648B0" w:rsidP="00FC1A76">
            <w:pPr>
              <w:pStyle w:val="InstructionsText"/>
            </w:pPr>
            <w:r w:rsidRPr="00D51A68">
              <w:t>131</w:t>
            </w:r>
          </w:p>
          <w:p w:rsidR="005643EA" w:rsidRPr="00D51A68" w:rsidRDefault="005643EA" w:rsidP="00FC1A76">
            <w:pPr>
              <w:pStyle w:val="InstructionsText"/>
            </w:pPr>
          </w:p>
        </w:tc>
        <w:tc>
          <w:tcPr>
            <w:tcW w:w="7243" w:type="dxa"/>
          </w:tcPr>
          <w:p w:rsidR="005643EA" w:rsidRPr="00D51A68" w:rsidRDefault="002648B0"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3.1.3</w:t>
            </w:r>
            <w:r w:rsidR="00A0772B" w:rsidRPr="00D51A68">
              <w:rPr>
                <w:u w:val="single"/>
              </w:rPr>
              <w:tab/>
            </w:r>
            <w:r w:rsidRPr="00D51A68">
              <w:rPr>
                <w:rStyle w:val="InstructionsTabelleberschrift"/>
                <w:rFonts w:ascii="Times New Roman" w:hAnsi="Times New Roman"/>
                <w:sz w:val="24"/>
              </w:rPr>
              <w:t>Rettifiche di valore supplementari e altre riduzioni dei fondi propri</w:t>
            </w:r>
          </w:p>
          <w:p w:rsidR="005643EA" w:rsidRPr="00D51A68" w:rsidRDefault="002648B0" w:rsidP="00FC1A76">
            <w:pPr>
              <w:pStyle w:val="InstructionsText"/>
              <w:rPr>
                <w:rStyle w:val="InstructionsTabelleberschrift"/>
                <w:rFonts w:ascii="Times New Roman" w:hAnsi="Times New Roman"/>
                <w:b w:val="0"/>
                <w:sz w:val="24"/>
                <w:u w:val="none"/>
              </w:rPr>
            </w:pPr>
            <w:r w:rsidRPr="00D51A68">
              <w:rPr>
                <w:rStyle w:val="InstructionsTabelleberschrift"/>
                <w:rFonts w:ascii="Times New Roman" w:hAnsi="Times New Roman"/>
                <w:b w:val="0"/>
                <w:sz w:val="24"/>
                <w:u w:val="none"/>
              </w:rPr>
              <w:t>Articoli 34, 110 e 159 del CRR.</w:t>
            </w:r>
          </w:p>
          <w:p w:rsidR="005643EA" w:rsidRPr="00D51A68" w:rsidRDefault="002648B0" w:rsidP="00FC1A76">
            <w:pPr>
              <w:pStyle w:val="InstructionsText"/>
              <w:rPr>
                <w:rStyle w:val="InstructionsTabelleberschrift"/>
                <w:rFonts w:ascii="Times New Roman" w:hAnsi="Times New Roman"/>
                <w:b w:val="0"/>
                <w:bCs w:val="0"/>
                <w:sz w:val="24"/>
                <w:u w:val="none"/>
              </w:rPr>
            </w:pPr>
            <w:r w:rsidRPr="00D51A68">
              <w:t>Questa riga è compilata soltanto dagli enti che applicano il metodo IRB.</w:t>
            </w:r>
          </w:p>
        </w:tc>
      </w:tr>
      <w:tr w:rsidR="002648B0" w:rsidRPr="00D51A68" w:rsidTr="00672D2A">
        <w:tc>
          <w:tcPr>
            <w:tcW w:w="1506" w:type="dxa"/>
          </w:tcPr>
          <w:p w:rsidR="002648B0" w:rsidRPr="00D51A68" w:rsidRDefault="002648B0" w:rsidP="00FC1A76">
            <w:pPr>
              <w:pStyle w:val="InstructionsText"/>
            </w:pPr>
            <w:r w:rsidRPr="00D51A68">
              <w:t>140</w:t>
            </w:r>
          </w:p>
        </w:tc>
        <w:tc>
          <w:tcPr>
            <w:tcW w:w="7243" w:type="dxa"/>
          </w:tcPr>
          <w:p w:rsidR="005643EA" w:rsidRPr="00D51A68" w:rsidRDefault="002648B0" w:rsidP="00FC1A76">
            <w:pPr>
              <w:pStyle w:val="InstructionsText"/>
            </w:pPr>
            <w:r w:rsidRPr="00D51A68">
              <w:rPr>
                <w:rStyle w:val="InstructionsTabelleberschrift"/>
                <w:rFonts w:ascii="Times New Roman" w:hAnsi="Times New Roman"/>
                <w:sz w:val="24"/>
              </w:rPr>
              <w:t>3.2</w:t>
            </w:r>
            <w:r w:rsidR="00A0772B" w:rsidRPr="00D51A68">
              <w:rPr>
                <w:u w:val="single"/>
              </w:rPr>
              <w:tab/>
            </w:r>
            <w:r w:rsidRPr="00D51A68">
              <w:rPr>
                <w:rStyle w:val="InstructionsTabelleberschrift"/>
                <w:rFonts w:ascii="Times New Roman" w:hAnsi="Times New Roman"/>
                <w:sz w:val="24"/>
              </w:rPr>
              <w:t xml:space="preserve">Perdite attese totali ammissibili </w:t>
            </w:r>
          </w:p>
          <w:p w:rsidR="005643EA" w:rsidRPr="00D51A68" w:rsidRDefault="002648B0" w:rsidP="00FC1A76">
            <w:pPr>
              <w:pStyle w:val="InstructionsText"/>
            </w:pPr>
            <w:r w:rsidRPr="00D51A68">
              <w:t>Articolo 158, paragrafi 5, 6 e 10, e articolo 159 del CRR.</w:t>
            </w:r>
          </w:p>
          <w:p w:rsidR="005643EA" w:rsidRPr="00D51A68" w:rsidRDefault="00F11185" w:rsidP="00FC1A76">
            <w:pPr>
              <w:pStyle w:val="InstructionsText"/>
            </w:pPr>
            <w:r w:rsidRPr="00D51A68">
              <w:t>Questa riga è compilata soltanto dagli enti che applicano il metodo IRB. Sono segnalate solo le perdite attese relative alle esposizioni non in stato di default.</w:t>
            </w:r>
          </w:p>
        </w:tc>
      </w:tr>
      <w:tr w:rsidR="00F11185" w:rsidRPr="00D51A68" w:rsidTr="00672D2A">
        <w:tc>
          <w:tcPr>
            <w:tcW w:w="1506" w:type="dxa"/>
          </w:tcPr>
          <w:p w:rsidR="00F11185" w:rsidRPr="00D51A68" w:rsidRDefault="00F11185" w:rsidP="00FC1A76">
            <w:pPr>
              <w:pStyle w:val="InstructionsText"/>
            </w:pPr>
            <w:r w:rsidRPr="00D51A68">
              <w:t>145</w:t>
            </w:r>
          </w:p>
          <w:p w:rsidR="005643EA" w:rsidRPr="00D51A68" w:rsidRDefault="005643EA" w:rsidP="00FC1A76">
            <w:pPr>
              <w:pStyle w:val="InstructionsText"/>
            </w:pPr>
          </w:p>
        </w:tc>
        <w:tc>
          <w:tcPr>
            <w:tcW w:w="7243" w:type="dxa"/>
          </w:tcPr>
          <w:p w:rsidR="005643EA" w:rsidRPr="00D51A68" w:rsidRDefault="00630711"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4. Eccesso (+) o carenza (-) di rettifiche di valore su crediti specifiche rispetto alle perdite attese per le esposizioni in stato di default in base al metodo IRB</w:t>
            </w:r>
          </w:p>
          <w:p w:rsidR="005643EA" w:rsidRPr="00D51A68" w:rsidRDefault="00630711" w:rsidP="00FC1A76">
            <w:pPr>
              <w:pStyle w:val="InstructionsText"/>
            </w:pPr>
            <w:r w:rsidRPr="00D51A68">
              <w:t>Articolo 36, paragrafo 1, lettera d), articolo 62, lettera d), e articoli 158 e 159 del CRR.</w:t>
            </w:r>
          </w:p>
          <w:p w:rsidR="005643EA" w:rsidRPr="00D51A68" w:rsidRDefault="00630711" w:rsidP="00FC1A76">
            <w:pPr>
              <w:pStyle w:val="InstructionsText"/>
              <w:rPr>
                <w:rStyle w:val="InstructionsTabelleberschrift"/>
                <w:rFonts w:ascii="Times New Roman" w:hAnsi="Times New Roman"/>
                <w:b w:val="0"/>
                <w:bCs w:val="0"/>
                <w:sz w:val="24"/>
                <w:u w:val="none"/>
              </w:rPr>
            </w:pPr>
            <w:r w:rsidRPr="00D51A68">
              <w:t>Questa riga è compilata soltanto dagli enti che applicano il metodo IRB.</w:t>
            </w:r>
          </w:p>
        </w:tc>
      </w:tr>
      <w:tr w:rsidR="00F11185" w:rsidRPr="00D51A68" w:rsidTr="00672D2A">
        <w:tc>
          <w:tcPr>
            <w:tcW w:w="1506" w:type="dxa"/>
          </w:tcPr>
          <w:p w:rsidR="00F11185" w:rsidRPr="00D51A68" w:rsidRDefault="00F11185" w:rsidP="00FC1A76">
            <w:pPr>
              <w:pStyle w:val="InstructionsText"/>
            </w:pPr>
            <w:r w:rsidRPr="00D51A68">
              <w:t>150</w:t>
            </w:r>
          </w:p>
          <w:p w:rsidR="005643EA" w:rsidRPr="00D51A68" w:rsidRDefault="005643EA" w:rsidP="00FC1A76">
            <w:pPr>
              <w:pStyle w:val="InstructionsText"/>
            </w:pPr>
          </w:p>
        </w:tc>
        <w:tc>
          <w:tcPr>
            <w:tcW w:w="7243" w:type="dxa"/>
          </w:tcPr>
          <w:p w:rsidR="005643EA" w:rsidRPr="00D51A68" w:rsidRDefault="00630711"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4.1</w:t>
            </w:r>
            <w:r w:rsidR="00A0772B" w:rsidRPr="00D51A68">
              <w:rPr>
                <w:u w:val="single"/>
              </w:rPr>
              <w:tab/>
            </w:r>
            <w:r w:rsidRPr="00D51A68">
              <w:rPr>
                <w:rStyle w:val="InstructionsTabelleberschrift"/>
                <w:rFonts w:ascii="Times New Roman" w:hAnsi="Times New Roman"/>
                <w:sz w:val="24"/>
              </w:rPr>
              <w:t>Rettifiche di valore su crediti specifiche e posizioni trattate in maniera analoga</w:t>
            </w:r>
          </w:p>
          <w:p w:rsidR="005643EA" w:rsidRPr="00D51A68" w:rsidRDefault="00630711" w:rsidP="00FC1A76">
            <w:pPr>
              <w:pStyle w:val="InstructionsText"/>
            </w:pPr>
            <w:r w:rsidRPr="00D51A68">
              <w:t>Articolo 159 del CRR.</w:t>
            </w:r>
          </w:p>
          <w:p w:rsidR="005643EA" w:rsidRPr="00D51A68" w:rsidRDefault="00630711" w:rsidP="00FC1A76">
            <w:pPr>
              <w:pStyle w:val="InstructionsText"/>
              <w:rPr>
                <w:rStyle w:val="InstructionsTabelleberschrift"/>
                <w:rFonts w:ascii="Times New Roman" w:hAnsi="Times New Roman"/>
                <w:b w:val="0"/>
                <w:bCs w:val="0"/>
                <w:sz w:val="24"/>
                <w:u w:val="none"/>
              </w:rPr>
            </w:pPr>
            <w:r w:rsidRPr="00D51A68">
              <w:t>Questa riga è compilata soltanto dagli enti che applicano il metodo IRB.</w:t>
            </w:r>
          </w:p>
        </w:tc>
      </w:tr>
      <w:tr w:rsidR="00F11185" w:rsidRPr="00D51A68" w:rsidTr="00672D2A">
        <w:tc>
          <w:tcPr>
            <w:tcW w:w="1506" w:type="dxa"/>
          </w:tcPr>
          <w:p w:rsidR="00F11185" w:rsidRPr="00D51A68" w:rsidRDefault="00F11185" w:rsidP="00FC1A76">
            <w:pPr>
              <w:pStyle w:val="InstructionsText"/>
            </w:pPr>
            <w:r w:rsidRPr="00D51A68">
              <w:t>155</w:t>
            </w:r>
          </w:p>
          <w:p w:rsidR="005643EA" w:rsidRPr="00D51A68" w:rsidRDefault="005643EA" w:rsidP="00FC1A76">
            <w:pPr>
              <w:pStyle w:val="InstructionsText"/>
            </w:pPr>
          </w:p>
        </w:tc>
        <w:tc>
          <w:tcPr>
            <w:tcW w:w="7243" w:type="dxa"/>
          </w:tcPr>
          <w:p w:rsidR="005643EA" w:rsidRPr="00D51A68" w:rsidRDefault="00630711"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4.2</w:t>
            </w:r>
            <w:r w:rsidR="00A0772B" w:rsidRPr="00D51A68">
              <w:rPr>
                <w:u w:val="single"/>
              </w:rPr>
              <w:tab/>
            </w:r>
            <w:r w:rsidRPr="00D51A68">
              <w:rPr>
                <w:rStyle w:val="InstructionsTabelleberschrift"/>
                <w:rFonts w:ascii="Times New Roman" w:hAnsi="Times New Roman"/>
                <w:sz w:val="24"/>
              </w:rPr>
              <w:t>Perdite attese totali ammissibili</w:t>
            </w:r>
          </w:p>
          <w:p w:rsidR="005643EA" w:rsidRPr="00D51A68" w:rsidRDefault="00630711" w:rsidP="00FC1A76">
            <w:pPr>
              <w:pStyle w:val="InstructionsText"/>
              <w:rPr>
                <w:rStyle w:val="InstructionsTabelleberschrift"/>
                <w:rFonts w:ascii="Times New Roman" w:hAnsi="Times New Roman"/>
                <w:sz w:val="24"/>
              </w:rPr>
            </w:pPr>
            <w:r w:rsidRPr="00D51A68">
              <w:t>Articolo 158, paragrafi 5, 6 e 10, e articolo 159 del CRR.</w:t>
            </w:r>
          </w:p>
          <w:p w:rsidR="005643EA" w:rsidRPr="00D51A68" w:rsidRDefault="00F11185" w:rsidP="00FC1A76">
            <w:pPr>
              <w:pStyle w:val="InstructionsText"/>
              <w:rPr>
                <w:rStyle w:val="InstructionsTabelleberschrift"/>
                <w:rFonts w:ascii="Times New Roman" w:hAnsi="Times New Roman"/>
                <w:b w:val="0"/>
                <w:bCs w:val="0"/>
                <w:sz w:val="24"/>
                <w:u w:val="none"/>
              </w:rPr>
            </w:pPr>
            <w:r w:rsidRPr="00D51A68">
              <w:t>Questa riga è compilata soltanto dagli enti che applicano il metodo IRB. Sono segnalate soltanto le perdite attese relative alle esposizioni in stato di default.</w:t>
            </w:r>
          </w:p>
        </w:tc>
      </w:tr>
      <w:tr w:rsidR="002648B0" w:rsidRPr="00D51A68" w:rsidTr="00672D2A">
        <w:tc>
          <w:tcPr>
            <w:tcW w:w="1506" w:type="dxa"/>
          </w:tcPr>
          <w:p w:rsidR="002648B0" w:rsidRPr="00D51A68" w:rsidRDefault="002648B0" w:rsidP="00FC1A76">
            <w:pPr>
              <w:pStyle w:val="InstructionsText"/>
            </w:pPr>
            <w:r w:rsidRPr="00D51A68">
              <w:t>160</w:t>
            </w:r>
          </w:p>
        </w:tc>
        <w:tc>
          <w:tcPr>
            <w:tcW w:w="7243" w:type="dxa"/>
          </w:tcPr>
          <w:p w:rsidR="005643EA" w:rsidRPr="00D51A68" w:rsidRDefault="002648B0" w:rsidP="00FC1A76">
            <w:pPr>
              <w:pStyle w:val="InstructionsText"/>
            </w:pPr>
            <w:r w:rsidRPr="00D51A68">
              <w:rPr>
                <w:rStyle w:val="InstructionsTabelleberschrift"/>
                <w:rFonts w:ascii="Times New Roman" w:hAnsi="Times New Roman"/>
                <w:sz w:val="24"/>
              </w:rPr>
              <w:t>5</w:t>
            </w:r>
            <w:r w:rsidR="00A0772B" w:rsidRPr="00D51A68">
              <w:rPr>
                <w:u w:val="single"/>
              </w:rPr>
              <w:tab/>
            </w:r>
            <w:r w:rsidRPr="00D51A68">
              <w:rPr>
                <w:rStyle w:val="InstructionsTabelleberschrift"/>
                <w:rFonts w:ascii="Times New Roman" w:hAnsi="Times New Roman"/>
                <w:sz w:val="24"/>
              </w:rPr>
              <w:t>Importi delle esposizioni ponderati per il rischio per calcolare il massimale dell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eccesso di accantonamento ammissibile come capitale di classe 2</w:t>
            </w:r>
          </w:p>
          <w:p w:rsidR="005643EA" w:rsidRPr="00D51A68" w:rsidRDefault="002648B0" w:rsidP="00FC1A76">
            <w:pPr>
              <w:pStyle w:val="InstructionsText"/>
            </w:pPr>
            <w:r w:rsidRPr="00D51A68">
              <w:t>Articolo 62, lettera d), del CRR.</w:t>
            </w:r>
          </w:p>
          <w:p w:rsidR="005643EA" w:rsidRPr="00D51A68" w:rsidRDefault="002648B0" w:rsidP="00FC1A76">
            <w:pPr>
              <w:pStyle w:val="InstructionsText"/>
            </w:pPr>
            <w:r w:rsidRPr="00D51A68">
              <w:t>Per gli enti che applicano un metodo IRB, conformemente all</w:t>
            </w:r>
            <w:r w:rsidR="0009277C" w:rsidRPr="00D51A68">
              <w:t>’</w:t>
            </w:r>
            <w:r w:rsidRPr="00D51A68">
              <w:t>articolo 62, lettera d), del CRR, l</w:t>
            </w:r>
            <w:r w:rsidR="0009277C" w:rsidRPr="00D51A68">
              <w:t>’</w:t>
            </w:r>
            <w:r w:rsidRPr="00D51A68">
              <w:t>importo dell</w:t>
            </w:r>
            <w:r w:rsidR="0009277C" w:rsidRPr="00D51A68">
              <w:t>’</w:t>
            </w:r>
            <w:r w:rsidRPr="00D51A68">
              <w:t>eccesso di accantonamento (rispetto alle perdite attese) che può essere incluso nel capitale di classe 2 può ammontare al massimo allo 0,6</w:t>
            </w:r>
            <w:r w:rsidR="0009277C" w:rsidRPr="00D51A68">
              <w:t>%</w:t>
            </w:r>
            <w:r w:rsidRPr="00D51A68">
              <w:t xml:space="preserve"> degli importi delle esposizioni ponderati per il rischio calcolati secondo il metodo IRB.</w:t>
            </w:r>
          </w:p>
          <w:p w:rsidR="005643EA" w:rsidRPr="00D51A68" w:rsidRDefault="002648B0" w:rsidP="00FC1A76">
            <w:pPr>
              <w:pStyle w:val="InstructionsText"/>
            </w:pPr>
            <w:r w:rsidRPr="00D51A68">
              <w:t>L</w:t>
            </w:r>
            <w:r w:rsidR="0009277C" w:rsidRPr="00D51A68">
              <w:t>’</w:t>
            </w:r>
            <w:r w:rsidRPr="00D51A68">
              <w:t>importo da segnalare in questa riga sono gli importi delle esposizioni ponderati per il rischio (cioè non moltiplicati per 0,6</w:t>
            </w:r>
            <w:r w:rsidR="0009277C" w:rsidRPr="00D51A68">
              <w:t>%</w:t>
            </w:r>
            <w:r w:rsidRPr="00D51A68">
              <w:t>) che costituiscono la base per il calcolo del massimale.</w:t>
            </w:r>
          </w:p>
        </w:tc>
      </w:tr>
      <w:tr w:rsidR="002648B0" w:rsidRPr="00D51A68" w:rsidTr="00672D2A">
        <w:tc>
          <w:tcPr>
            <w:tcW w:w="1506" w:type="dxa"/>
          </w:tcPr>
          <w:p w:rsidR="002648B0" w:rsidRPr="00D51A68" w:rsidRDefault="002648B0" w:rsidP="00FC1A76">
            <w:pPr>
              <w:pStyle w:val="InstructionsText"/>
            </w:pPr>
            <w:r w:rsidRPr="00D51A68">
              <w:lastRenderedPageBreak/>
              <w:t>170</w:t>
            </w:r>
          </w:p>
        </w:tc>
        <w:tc>
          <w:tcPr>
            <w:tcW w:w="7243" w:type="dxa"/>
          </w:tcPr>
          <w:p w:rsidR="005643EA" w:rsidRPr="00D51A68" w:rsidRDefault="002648B0" w:rsidP="00FC1A76">
            <w:pPr>
              <w:pStyle w:val="InstructionsText"/>
            </w:pPr>
            <w:r w:rsidRPr="00D51A68">
              <w:rPr>
                <w:rStyle w:val="InstructionsTabelleberschrift"/>
                <w:rFonts w:ascii="Times New Roman" w:hAnsi="Times New Roman"/>
                <w:sz w:val="24"/>
              </w:rPr>
              <w:t>6</w:t>
            </w:r>
            <w:r w:rsidR="00A0772B" w:rsidRPr="00D51A68">
              <w:rPr>
                <w:u w:val="single"/>
              </w:rPr>
              <w:tab/>
            </w:r>
            <w:r w:rsidRPr="00D51A68">
              <w:rPr>
                <w:rStyle w:val="InstructionsTabelleberschrift"/>
                <w:rFonts w:ascii="Times New Roman" w:hAnsi="Times New Roman"/>
                <w:sz w:val="24"/>
              </w:rPr>
              <w:t>Accantonamenti lordi totali ammissibili all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inclusione nel capitale di classe 2</w:t>
            </w:r>
          </w:p>
          <w:p w:rsidR="005643EA" w:rsidRPr="00D51A68" w:rsidRDefault="002648B0" w:rsidP="00FC1A76">
            <w:pPr>
              <w:pStyle w:val="InstructionsText"/>
            </w:pPr>
            <w:r w:rsidRPr="00D51A68">
              <w:t>Articolo 62, lettera c), del CRR.</w:t>
            </w:r>
          </w:p>
          <w:p w:rsidR="005643EA" w:rsidRPr="00D51A68" w:rsidRDefault="002648B0" w:rsidP="00FC1A76">
            <w:pPr>
              <w:pStyle w:val="InstructionsText"/>
            </w:pPr>
            <w:r w:rsidRPr="00D51A68">
              <w:t>Questa riga comprende le rettifiche di valore su crediti generiche che possono essere incluse nel capitale di classe 2, prima dell</w:t>
            </w:r>
            <w:r w:rsidR="0009277C" w:rsidRPr="00D51A68">
              <w:t>’</w:t>
            </w:r>
            <w:r w:rsidRPr="00D51A68">
              <w:t>applicazione del massimale.</w:t>
            </w:r>
          </w:p>
          <w:p w:rsidR="005643EA" w:rsidRPr="00D51A68" w:rsidRDefault="002648B0" w:rsidP="00FC1A76">
            <w:pPr>
              <w:pStyle w:val="InstructionsText"/>
            </w:pPr>
            <w:r w:rsidRPr="00D51A68">
              <w:t>L</w:t>
            </w:r>
            <w:r w:rsidR="0009277C" w:rsidRPr="00D51A68">
              <w:t>’</w:t>
            </w:r>
            <w:r w:rsidRPr="00D51A68">
              <w:t>importo da segnalare è al lordo degli effetti fiscali.</w:t>
            </w:r>
          </w:p>
        </w:tc>
      </w:tr>
      <w:tr w:rsidR="002648B0" w:rsidRPr="00D51A68" w:rsidTr="00672D2A">
        <w:tc>
          <w:tcPr>
            <w:tcW w:w="1506" w:type="dxa"/>
          </w:tcPr>
          <w:p w:rsidR="002648B0" w:rsidRPr="00D51A68" w:rsidRDefault="002648B0" w:rsidP="00FC1A76">
            <w:pPr>
              <w:pStyle w:val="InstructionsText"/>
            </w:pPr>
            <w:r w:rsidRPr="00D51A68">
              <w:t>180</w:t>
            </w:r>
          </w:p>
        </w:tc>
        <w:tc>
          <w:tcPr>
            <w:tcW w:w="7243" w:type="dxa"/>
          </w:tcPr>
          <w:p w:rsidR="005643EA" w:rsidRPr="00D51A68" w:rsidRDefault="002648B0" w:rsidP="00FC1A76">
            <w:pPr>
              <w:pStyle w:val="InstructionsText"/>
            </w:pPr>
            <w:r w:rsidRPr="00D51A68">
              <w:rPr>
                <w:rStyle w:val="InstructionsTabelleberschrift"/>
                <w:rFonts w:ascii="Times New Roman" w:hAnsi="Times New Roman"/>
                <w:sz w:val="24"/>
              </w:rPr>
              <w:t>7</w:t>
            </w:r>
            <w:r w:rsidR="00A0772B" w:rsidRPr="00D51A68">
              <w:rPr>
                <w:u w:val="single"/>
              </w:rPr>
              <w:tab/>
            </w:r>
            <w:r w:rsidRPr="00D51A68">
              <w:rPr>
                <w:rStyle w:val="InstructionsTabelleberschrift"/>
                <w:rFonts w:ascii="Times New Roman" w:hAnsi="Times New Roman"/>
                <w:sz w:val="24"/>
              </w:rPr>
              <w:t>Importi delle esposizioni ponderati per il rischio per calcolare il massimale dell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accantonamento ammissibile come capitale di classe 2</w:t>
            </w:r>
          </w:p>
          <w:p w:rsidR="005643EA" w:rsidRPr="00D51A68" w:rsidRDefault="002648B0" w:rsidP="00FC1A76">
            <w:pPr>
              <w:pStyle w:val="InstructionsText"/>
            </w:pPr>
            <w:r w:rsidRPr="00D51A68">
              <w:t>Articolo 62, lettera c), del CRR.</w:t>
            </w:r>
          </w:p>
          <w:p w:rsidR="005643EA" w:rsidRPr="00D51A68" w:rsidRDefault="002648B0" w:rsidP="00FC1A76">
            <w:pPr>
              <w:pStyle w:val="InstructionsText"/>
            </w:pPr>
            <w:r w:rsidRPr="00D51A68">
              <w:t>Conformemente all</w:t>
            </w:r>
            <w:r w:rsidR="0009277C" w:rsidRPr="00D51A68">
              <w:t>’</w:t>
            </w:r>
            <w:r w:rsidRPr="00D51A68">
              <w:t>articolo 62, lettera c), del CRR, le rettifiche di valore su crediti che possono essere incluse nel capitale di classe 2 possono ammontare al massimo all</w:t>
            </w:r>
            <w:r w:rsidR="0009277C" w:rsidRPr="00D51A68">
              <w:t>’</w:t>
            </w:r>
            <w:r w:rsidRPr="00D51A68">
              <w:t>1,25</w:t>
            </w:r>
            <w:r w:rsidR="0009277C" w:rsidRPr="00D51A68">
              <w:t>%</w:t>
            </w:r>
            <w:r w:rsidRPr="00D51A68">
              <w:t xml:space="preserve"> degli importi delle esposizioni ponderati per il rischio.</w:t>
            </w:r>
          </w:p>
          <w:p w:rsidR="005643EA" w:rsidRPr="00D51A68" w:rsidRDefault="002648B0" w:rsidP="00FC1A76">
            <w:pPr>
              <w:pStyle w:val="InstructionsText"/>
            </w:pPr>
            <w:r w:rsidRPr="00D51A68">
              <w:t>L</w:t>
            </w:r>
            <w:r w:rsidR="0009277C" w:rsidRPr="00D51A68">
              <w:t>’</w:t>
            </w:r>
            <w:r w:rsidRPr="00D51A68">
              <w:t>importo da segnalare in questa riga sono gli importi delle esposizioni ponderati per il rischio (cioè non moltiplicati per 1,25</w:t>
            </w:r>
            <w:r w:rsidR="0009277C" w:rsidRPr="00D51A68">
              <w:t>%</w:t>
            </w:r>
            <w:r w:rsidRPr="00D51A68">
              <w:t>) che costituiscono la base per il calcolo del massimale.</w:t>
            </w:r>
          </w:p>
        </w:tc>
      </w:tr>
      <w:tr w:rsidR="002648B0" w:rsidRPr="00D51A68" w:rsidTr="00672D2A">
        <w:tc>
          <w:tcPr>
            <w:tcW w:w="1506" w:type="dxa"/>
          </w:tcPr>
          <w:p w:rsidR="002648B0" w:rsidRPr="00D51A68" w:rsidRDefault="002648B0" w:rsidP="00FC1A76">
            <w:pPr>
              <w:pStyle w:val="InstructionsText"/>
            </w:pPr>
            <w:r w:rsidRPr="00D51A68">
              <w:t>190</w:t>
            </w:r>
          </w:p>
        </w:tc>
        <w:tc>
          <w:tcPr>
            <w:tcW w:w="7243" w:type="dxa"/>
          </w:tcPr>
          <w:p w:rsidR="005643EA" w:rsidRPr="00D51A68" w:rsidRDefault="002648B0" w:rsidP="00FC1A76">
            <w:pPr>
              <w:pStyle w:val="InstructionsText"/>
            </w:pPr>
            <w:r w:rsidRPr="00D51A68">
              <w:rPr>
                <w:rStyle w:val="InstructionsTabelleberschrift"/>
                <w:rFonts w:ascii="Times New Roman" w:hAnsi="Times New Roman"/>
                <w:sz w:val="24"/>
              </w:rPr>
              <w:t>8</w:t>
            </w:r>
            <w:r w:rsidR="00A0772B" w:rsidRPr="00D51A68">
              <w:rPr>
                <w:u w:val="single"/>
              </w:rPr>
              <w:tab/>
            </w:r>
            <w:r w:rsidRPr="00D51A68">
              <w:rPr>
                <w:rStyle w:val="InstructionsTabelleberschrift"/>
                <w:rFonts w:ascii="Times New Roman" w:hAnsi="Times New Roman"/>
                <w:sz w:val="24"/>
              </w:rPr>
              <w:t>Soglia non deducibile delle partecipazioni in soggetti del settore finanziario in cui 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ente non ha un investimento significativo</w:t>
            </w:r>
          </w:p>
          <w:p w:rsidR="005643EA" w:rsidRPr="00D51A68" w:rsidRDefault="002648B0" w:rsidP="00FC1A76">
            <w:pPr>
              <w:pStyle w:val="InstructionsText"/>
            </w:pPr>
            <w:r w:rsidRPr="00D51A68">
              <w:t>Articolo 46, paragrafo 1, lettera a), del CRR.</w:t>
            </w:r>
          </w:p>
          <w:p w:rsidR="005643EA" w:rsidRPr="00D51A68" w:rsidRDefault="002648B0" w:rsidP="00FC1A76">
            <w:pPr>
              <w:pStyle w:val="InstructionsText"/>
            </w:pPr>
            <w:r w:rsidRPr="00D51A68">
              <w:t>Questa riga indica la soglia massima delle partecipazioni non deducibili in soggetti del settore finanziario in cui l</w:t>
            </w:r>
            <w:r w:rsidR="0009277C" w:rsidRPr="00D51A68">
              <w:t>’</w:t>
            </w:r>
            <w:r w:rsidRPr="00D51A68">
              <w:t>ente non ha un investimento significativo. L</w:t>
            </w:r>
            <w:r w:rsidR="0009277C" w:rsidRPr="00D51A68">
              <w:t>’</w:t>
            </w:r>
            <w:r w:rsidRPr="00D51A68">
              <w:t>importo risulta dalla somma degli elementi che costituiscono la base della soglia e dalla moltiplicazione del totale così ottenuto per il 10%.</w:t>
            </w:r>
          </w:p>
        </w:tc>
      </w:tr>
      <w:tr w:rsidR="002648B0" w:rsidRPr="00D51A68" w:rsidTr="00672D2A">
        <w:tc>
          <w:tcPr>
            <w:tcW w:w="1506" w:type="dxa"/>
          </w:tcPr>
          <w:p w:rsidR="002648B0" w:rsidRPr="00D51A68" w:rsidRDefault="002648B0" w:rsidP="00FC1A76">
            <w:pPr>
              <w:pStyle w:val="InstructionsText"/>
            </w:pPr>
            <w:r w:rsidRPr="00D51A68">
              <w:t>200</w:t>
            </w:r>
          </w:p>
        </w:tc>
        <w:tc>
          <w:tcPr>
            <w:tcW w:w="7243" w:type="dxa"/>
          </w:tcPr>
          <w:p w:rsidR="005643EA" w:rsidRPr="00D51A68" w:rsidRDefault="002648B0" w:rsidP="00FC1A76">
            <w:pPr>
              <w:pStyle w:val="InstructionsText"/>
            </w:pPr>
            <w:r w:rsidRPr="00D51A68">
              <w:rPr>
                <w:rStyle w:val="InstructionsTabelleberschrift"/>
                <w:rFonts w:ascii="Times New Roman" w:hAnsi="Times New Roman"/>
                <w:sz w:val="24"/>
              </w:rPr>
              <w:t>9</w:t>
            </w:r>
            <w:r w:rsidR="00A0772B" w:rsidRPr="00D51A68">
              <w:rPr>
                <w:u w:val="single"/>
              </w:rPr>
              <w:tab/>
            </w:r>
            <w:r w:rsidRPr="00D51A68">
              <w:rPr>
                <w:rStyle w:val="InstructionsTabelleberschrift"/>
                <w:rFonts w:ascii="Times New Roman" w:hAnsi="Times New Roman"/>
                <w:sz w:val="24"/>
              </w:rPr>
              <w:t>Soglia del 10</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 xml:space="preserve"> di capitale primario di classe 1 </w:t>
            </w:r>
          </w:p>
          <w:p w:rsidR="005643EA" w:rsidRPr="00D51A68" w:rsidRDefault="002648B0" w:rsidP="00FC1A76">
            <w:pPr>
              <w:pStyle w:val="InstructionsText"/>
            </w:pPr>
            <w:r w:rsidRPr="00D51A68">
              <w:t>Articolo 48, paragrafo 1, lettere a) e b), del CRR.</w:t>
            </w:r>
          </w:p>
          <w:p w:rsidR="005643EA" w:rsidRPr="00D51A68" w:rsidRDefault="002648B0" w:rsidP="00FC1A76">
            <w:pPr>
              <w:pStyle w:val="InstructionsText"/>
            </w:pPr>
            <w:r w:rsidRPr="00D51A68">
              <w:t>Questa riga indica la soglia del 10</w:t>
            </w:r>
            <w:r w:rsidR="0009277C" w:rsidRPr="00D51A68">
              <w:t>%</w:t>
            </w:r>
            <w:r w:rsidRPr="00D51A68">
              <w:t xml:space="preserve"> delle partecipazioni in soggetti del settore finanziario in cui l</w:t>
            </w:r>
            <w:r w:rsidR="0009277C" w:rsidRPr="00D51A68">
              <w:t>’</w:t>
            </w:r>
            <w:r w:rsidRPr="00D51A68">
              <w:t>ente ha un investimento significativo e delle attività fiscali differite che dipendono dalla redditività futura e derivano da differenze temporanee.</w:t>
            </w:r>
          </w:p>
          <w:p w:rsidR="005643EA" w:rsidRPr="00D51A68" w:rsidRDefault="003C7853" w:rsidP="00FC1A76">
            <w:pPr>
              <w:pStyle w:val="InstructionsText"/>
            </w:pPr>
            <w:r w:rsidRPr="00D51A68">
              <w:t>L</w:t>
            </w:r>
            <w:r w:rsidR="0009277C" w:rsidRPr="00D51A68">
              <w:t>’</w:t>
            </w:r>
            <w:r w:rsidRPr="00D51A68">
              <w:t>importo risulta dalla somma degli elementi che costituiscono la base della soglia e dalla moltiplicazione del totale così ottenuto per il 10</w:t>
            </w:r>
            <w:r w:rsidR="0009277C" w:rsidRPr="00D51A68">
              <w:t>%</w:t>
            </w:r>
            <w:r w:rsidRPr="00D51A68">
              <w:t>.</w:t>
            </w:r>
          </w:p>
        </w:tc>
      </w:tr>
      <w:tr w:rsidR="002648B0" w:rsidRPr="00D51A68" w:rsidTr="00672D2A">
        <w:tc>
          <w:tcPr>
            <w:tcW w:w="1506" w:type="dxa"/>
          </w:tcPr>
          <w:p w:rsidR="002648B0" w:rsidRPr="00D51A68" w:rsidRDefault="002648B0" w:rsidP="00FC1A76">
            <w:pPr>
              <w:pStyle w:val="InstructionsText"/>
            </w:pPr>
            <w:r w:rsidRPr="00D51A68">
              <w:t>210</w:t>
            </w:r>
          </w:p>
        </w:tc>
        <w:tc>
          <w:tcPr>
            <w:tcW w:w="7243" w:type="dxa"/>
          </w:tcPr>
          <w:p w:rsidR="005643EA" w:rsidRPr="00D51A68" w:rsidRDefault="002648B0" w:rsidP="00FC1A76">
            <w:pPr>
              <w:pStyle w:val="InstructionsText"/>
            </w:pPr>
            <w:r w:rsidRPr="00D51A68">
              <w:rPr>
                <w:rStyle w:val="InstructionsTabelleberschrift"/>
                <w:rFonts w:ascii="Times New Roman" w:hAnsi="Times New Roman"/>
                <w:sz w:val="24"/>
              </w:rPr>
              <w:t>10</w:t>
            </w:r>
            <w:r w:rsidR="00A0772B" w:rsidRPr="00D51A68">
              <w:rPr>
                <w:u w:val="single"/>
              </w:rPr>
              <w:tab/>
            </w:r>
            <w:r w:rsidRPr="00D51A68">
              <w:rPr>
                <w:rStyle w:val="InstructionsTabelleberschrift"/>
                <w:rFonts w:ascii="Times New Roman" w:hAnsi="Times New Roman"/>
                <w:sz w:val="24"/>
              </w:rPr>
              <w:t>Soglia del 17,65</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 xml:space="preserve"> di capitale primario di classe 1 </w:t>
            </w:r>
          </w:p>
          <w:p w:rsidR="005643EA" w:rsidRPr="00D51A68" w:rsidRDefault="002648B0" w:rsidP="00FC1A76">
            <w:pPr>
              <w:pStyle w:val="InstructionsText"/>
            </w:pPr>
            <w:r w:rsidRPr="00D51A68">
              <w:t>Articolo 48, paragrafo 1, del CRR.</w:t>
            </w:r>
          </w:p>
          <w:p w:rsidR="005643EA" w:rsidRPr="00D51A68" w:rsidRDefault="002648B0" w:rsidP="00FC1A76">
            <w:pPr>
              <w:pStyle w:val="InstructionsText"/>
            </w:pPr>
            <w:r w:rsidRPr="00D51A68">
              <w:t>Questa riga indica la soglia del 17,65</w:t>
            </w:r>
            <w:r w:rsidR="0009277C" w:rsidRPr="00D51A68">
              <w:t>%</w:t>
            </w:r>
            <w:r w:rsidRPr="00D51A68">
              <w:t xml:space="preserve"> delle partecipazioni in soggetti del settore finanziario in cui l</w:t>
            </w:r>
            <w:r w:rsidR="0009277C" w:rsidRPr="00D51A68">
              <w:t>’</w:t>
            </w:r>
            <w:r w:rsidRPr="00D51A68">
              <w:t>ente ha un investimento significativo e delle attività fiscali differite che dipendono dalla redditività futura e derivano da differenze temporanee, da applicare dopo la soglia del 10</w:t>
            </w:r>
            <w:r w:rsidR="0009277C" w:rsidRPr="00D51A68">
              <w:t>%</w:t>
            </w:r>
            <w:r w:rsidRPr="00D51A68">
              <w:t>.</w:t>
            </w:r>
          </w:p>
          <w:p w:rsidR="005643EA" w:rsidRPr="00D51A68" w:rsidRDefault="002648B0" w:rsidP="00FC1A76">
            <w:pPr>
              <w:pStyle w:val="InstructionsText"/>
            </w:pPr>
            <w:r w:rsidRPr="00D51A68">
              <w:t>La soglia è calcolata in modo tale che l</w:t>
            </w:r>
            <w:r w:rsidR="0009277C" w:rsidRPr="00D51A68">
              <w:t>’</w:t>
            </w:r>
            <w:r w:rsidRPr="00D51A68">
              <w:t>importo rilevato dei due elementi non ecceda il 15</w:t>
            </w:r>
            <w:r w:rsidR="0009277C" w:rsidRPr="00D51A68">
              <w:t>%</w:t>
            </w:r>
            <w:r w:rsidRPr="00D51A68">
              <w:t xml:space="preserve"> del capitale primario di classe 1, calcolato dopo tutte </w:t>
            </w:r>
            <w:r w:rsidRPr="00D51A68">
              <w:lastRenderedPageBreak/>
              <w:t>le deduzioni e al netto di qualsiasi aggiustamento dovuto a disposizioni transitorie.</w:t>
            </w:r>
          </w:p>
        </w:tc>
      </w:tr>
      <w:tr w:rsidR="00216D67" w:rsidRPr="00D51A68" w:rsidTr="00672D2A">
        <w:tc>
          <w:tcPr>
            <w:tcW w:w="1506" w:type="dxa"/>
          </w:tcPr>
          <w:p w:rsidR="00216D67" w:rsidRPr="00D51A68" w:rsidRDefault="00216D67" w:rsidP="00FC1A76">
            <w:pPr>
              <w:pStyle w:val="InstructionsText"/>
            </w:pPr>
            <w:r w:rsidRPr="00D51A68">
              <w:lastRenderedPageBreak/>
              <w:t>225</w:t>
            </w:r>
          </w:p>
        </w:tc>
        <w:tc>
          <w:tcPr>
            <w:tcW w:w="7243" w:type="dxa"/>
          </w:tcPr>
          <w:p w:rsidR="00216D67" w:rsidRPr="00D51A68" w:rsidRDefault="00216D67"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11.1</w:t>
            </w:r>
            <w:r w:rsidR="00A0772B" w:rsidRPr="00D51A68">
              <w:rPr>
                <w:u w:val="single"/>
              </w:rPr>
              <w:tab/>
            </w:r>
            <w:r w:rsidRPr="00D51A68">
              <w:rPr>
                <w:rStyle w:val="InstructionsTabelleberschrift"/>
                <w:rFonts w:ascii="Times New Roman" w:hAnsi="Times New Roman"/>
                <w:sz w:val="24"/>
              </w:rPr>
              <w:t>Capitale ammissibile ai fini delle partecipazioni qualificate esterne al settore finanziario</w:t>
            </w:r>
          </w:p>
          <w:p w:rsidR="00216D67" w:rsidRPr="00D51A68" w:rsidRDefault="00216D67"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b w:val="0"/>
                <w:sz w:val="24"/>
                <w:u w:val="none"/>
              </w:rPr>
              <w:t>Articolo 4, paragrafo 1, punto 71, lettera a).</w:t>
            </w:r>
          </w:p>
        </w:tc>
      </w:tr>
      <w:tr w:rsidR="00216D67" w:rsidRPr="00D51A68" w:rsidTr="00672D2A">
        <w:tc>
          <w:tcPr>
            <w:tcW w:w="1506" w:type="dxa"/>
          </w:tcPr>
          <w:p w:rsidR="00216D67" w:rsidRPr="00D51A68" w:rsidRDefault="00216D67" w:rsidP="00FC1A76">
            <w:pPr>
              <w:pStyle w:val="InstructionsText"/>
            </w:pPr>
            <w:r w:rsidRPr="00D51A68">
              <w:t>226</w:t>
            </w:r>
          </w:p>
        </w:tc>
        <w:tc>
          <w:tcPr>
            <w:tcW w:w="7243" w:type="dxa"/>
          </w:tcPr>
          <w:p w:rsidR="00216D67" w:rsidRPr="00D51A68" w:rsidRDefault="00216D67"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11.2</w:t>
            </w:r>
            <w:r w:rsidR="00A0772B" w:rsidRPr="00D51A68">
              <w:rPr>
                <w:u w:val="single"/>
              </w:rPr>
              <w:tab/>
            </w:r>
            <w:r w:rsidRPr="00D51A68">
              <w:rPr>
                <w:rStyle w:val="InstructionsTabelleberschrift"/>
                <w:rFonts w:ascii="Times New Roman" w:hAnsi="Times New Roman"/>
                <w:sz w:val="24"/>
              </w:rPr>
              <w:t>Capitale ammissibile ai fini delle grandi esposizioni</w:t>
            </w:r>
          </w:p>
          <w:p w:rsidR="00216D67" w:rsidRPr="00D51A68" w:rsidRDefault="00216D67" w:rsidP="00FC1A76">
            <w:pPr>
              <w:pStyle w:val="InstructionsText"/>
              <w:rPr>
                <w:rStyle w:val="InstructionsTabelleberschrift"/>
                <w:rFonts w:ascii="Times New Roman" w:hAnsi="Times New Roman"/>
                <w:b w:val="0"/>
                <w:bCs w:val="0"/>
                <w:sz w:val="24"/>
                <w:u w:val="none"/>
              </w:rPr>
            </w:pPr>
            <w:r w:rsidRPr="00D51A68">
              <w:t>Articolo 4, paragrafo 1, punto 71, lettera b).</w:t>
            </w:r>
          </w:p>
        </w:tc>
      </w:tr>
      <w:tr w:rsidR="002648B0" w:rsidRPr="00D51A68" w:rsidTr="00672D2A">
        <w:tc>
          <w:tcPr>
            <w:tcW w:w="1506" w:type="dxa"/>
          </w:tcPr>
          <w:p w:rsidR="002648B0" w:rsidRPr="00D51A68" w:rsidRDefault="002648B0" w:rsidP="00FC1A76">
            <w:pPr>
              <w:pStyle w:val="InstructionsText"/>
            </w:pPr>
            <w:r w:rsidRPr="00D51A68">
              <w:t>230</w:t>
            </w:r>
          </w:p>
        </w:tc>
        <w:tc>
          <w:tcPr>
            <w:tcW w:w="7243" w:type="dxa"/>
          </w:tcPr>
          <w:p w:rsidR="005643EA" w:rsidRPr="00D51A68" w:rsidRDefault="002648B0" w:rsidP="00FC1A76">
            <w:pPr>
              <w:pStyle w:val="InstructionsText"/>
            </w:pPr>
            <w:r w:rsidRPr="00D51A68">
              <w:rPr>
                <w:rStyle w:val="InstructionsTabelleberschrift"/>
                <w:rFonts w:ascii="Times New Roman" w:hAnsi="Times New Roman"/>
                <w:sz w:val="24"/>
              </w:rPr>
              <w:t>12</w:t>
            </w:r>
            <w:r w:rsidR="00A0772B" w:rsidRPr="00D51A68">
              <w:rPr>
                <w:u w:val="single"/>
              </w:rPr>
              <w:tab/>
            </w:r>
            <w:r w:rsidRPr="00D51A68">
              <w:rPr>
                <w:rStyle w:val="InstructionsTabelleberschrift"/>
                <w:rFonts w:ascii="Times New Roman" w:hAnsi="Times New Roman"/>
                <w:sz w:val="24"/>
              </w:rPr>
              <w:t>Detenzioni di capitale primario di classe 1 di soggetti del settore finanziario in cui 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ente non ha un investimento significativo, al netto delle posizioni corte</w:t>
            </w:r>
          </w:p>
          <w:p w:rsidR="005643EA" w:rsidRPr="00D51A68" w:rsidRDefault="002648B0" w:rsidP="00FC1A76">
            <w:pPr>
              <w:pStyle w:val="InstructionsText"/>
            </w:pPr>
            <w:r w:rsidRPr="00D51A68">
              <w:t>Articoli da 44 a 46 e articolo 49 del CRR.</w:t>
            </w:r>
          </w:p>
        </w:tc>
      </w:tr>
      <w:tr w:rsidR="002648B0" w:rsidRPr="00D51A68" w:rsidTr="00672D2A">
        <w:tc>
          <w:tcPr>
            <w:tcW w:w="1506" w:type="dxa"/>
          </w:tcPr>
          <w:p w:rsidR="002648B0" w:rsidRPr="00D51A68" w:rsidRDefault="002648B0" w:rsidP="00FC1A76">
            <w:pPr>
              <w:pStyle w:val="InstructionsText"/>
            </w:pPr>
            <w:r w:rsidRPr="00D51A68">
              <w:t>240</w:t>
            </w:r>
          </w:p>
        </w:tc>
        <w:tc>
          <w:tcPr>
            <w:tcW w:w="7243" w:type="dxa"/>
          </w:tcPr>
          <w:p w:rsidR="005643EA" w:rsidRPr="00D51A68" w:rsidRDefault="002648B0" w:rsidP="00FC1A76">
            <w:pPr>
              <w:pStyle w:val="InstructionsText"/>
            </w:pPr>
            <w:r w:rsidRPr="00D51A68">
              <w:rPr>
                <w:rStyle w:val="InstructionsTabelleberschrift"/>
                <w:rFonts w:ascii="Times New Roman" w:hAnsi="Times New Roman"/>
                <w:sz w:val="24"/>
              </w:rPr>
              <w:t>12.1</w:t>
            </w:r>
            <w:r w:rsidR="00A0772B" w:rsidRPr="00D51A68">
              <w:rPr>
                <w:u w:val="single"/>
              </w:rPr>
              <w:tab/>
            </w:r>
            <w:r w:rsidRPr="00D51A68">
              <w:rPr>
                <w:rStyle w:val="InstructionsTabelleberschrift"/>
                <w:rFonts w:ascii="Times New Roman" w:hAnsi="Times New Roman"/>
                <w:sz w:val="24"/>
              </w:rPr>
              <w:t>Detenzioni dirette di capitale primario di classe 1 di soggetti del settore finanziario in cui 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ente non ha un investimento significativo</w:t>
            </w:r>
          </w:p>
          <w:p w:rsidR="005643EA" w:rsidRPr="00D51A68" w:rsidRDefault="002648B0" w:rsidP="00FC1A76">
            <w:pPr>
              <w:pStyle w:val="InstructionsText"/>
            </w:pPr>
            <w:r w:rsidRPr="00D51A68">
              <w:t>Articoli 44, 45, 46 e 49 del CRR.</w:t>
            </w:r>
          </w:p>
        </w:tc>
      </w:tr>
      <w:tr w:rsidR="002648B0" w:rsidRPr="00D51A68" w:rsidTr="00672D2A">
        <w:tc>
          <w:tcPr>
            <w:tcW w:w="1506" w:type="dxa"/>
          </w:tcPr>
          <w:p w:rsidR="002648B0" w:rsidRPr="00D51A68" w:rsidRDefault="002648B0" w:rsidP="00FC1A76">
            <w:pPr>
              <w:pStyle w:val="InstructionsText"/>
            </w:pPr>
            <w:r w:rsidRPr="00D51A68">
              <w:t>250</w:t>
            </w:r>
          </w:p>
        </w:tc>
        <w:tc>
          <w:tcPr>
            <w:tcW w:w="7243" w:type="dxa"/>
          </w:tcPr>
          <w:p w:rsidR="005643EA" w:rsidRPr="00D51A68" w:rsidRDefault="002648B0" w:rsidP="00FC1A76">
            <w:pPr>
              <w:pStyle w:val="InstructionsText"/>
            </w:pPr>
            <w:r w:rsidRPr="00D51A68">
              <w:rPr>
                <w:rStyle w:val="InstructionsTabelleberschrift"/>
                <w:rFonts w:ascii="Times New Roman" w:hAnsi="Times New Roman"/>
                <w:sz w:val="24"/>
              </w:rPr>
              <w:t>12.1.1</w:t>
            </w:r>
            <w:r w:rsidR="00A0772B" w:rsidRPr="00D51A68">
              <w:rPr>
                <w:u w:val="single"/>
              </w:rPr>
              <w:tab/>
            </w:r>
            <w:r w:rsidRPr="00D51A68">
              <w:rPr>
                <w:rStyle w:val="InstructionsTabelleberschrift"/>
                <w:rFonts w:ascii="Times New Roman" w:hAnsi="Times New Roman"/>
                <w:sz w:val="24"/>
              </w:rPr>
              <w:t>Detenzioni dirette lorde di capitale primario di classe 1 di soggetti del settore finanziario in cui 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ente non ha un investimento significativo</w:t>
            </w:r>
          </w:p>
          <w:p w:rsidR="005643EA" w:rsidRPr="00D51A68" w:rsidRDefault="002648B0" w:rsidP="00FC1A76">
            <w:pPr>
              <w:pStyle w:val="InstructionsText"/>
            </w:pPr>
            <w:r w:rsidRPr="00D51A68">
              <w:t>Articoli 44, 46 e 49 del CRR.</w:t>
            </w:r>
          </w:p>
          <w:p w:rsidR="005643EA" w:rsidRPr="00D51A68" w:rsidRDefault="002648B0" w:rsidP="00FC1A76">
            <w:pPr>
              <w:pStyle w:val="InstructionsText"/>
            </w:pPr>
            <w:r w:rsidRPr="00D51A68">
              <w:t>Partecipazioni dirette nel capitale primario di classe 1 di soggetti del settore finanziario in cui l</w:t>
            </w:r>
            <w:r w:rsidR="0009277C" w:rsidRPr="00D51A68">
              <w:t>’</w:t>
            </w:r>
            <w:r w:rsidRPr="00D51A68">
              <w:t>ente non ha un investimento significativo, esclusi:</w:t>
            </w:r>
          </w:p>
          <w:p w:rsidR="005643EA" w:rsidRPr="00D51A68" w:rsidRDefault="002648B0" w:rsidP="00FC1A76">
            <w:pPr>
              <w:pStyle w:val="InstructionsText"/>
            </w:pPr>
            <w:r w:rsidRPr="00D51A68">
              <w:t>a)</w:t>
            </w:r>
            <w:r w:rsidR="00A0772B" w:rsidRPr="00D51A68">
              <w:tab/>
            </w:r>
            <w:r w:rsidRPr="00D51A68">
              <w:t xml:space="preserve">le posizioni in impegni irrevocabili di acquisto detenute per cinque giorni lavorativi o meno; </w:t>
            </w:r>
          </w:p>
          <w:p w:rsidR="005643EA" w:rsidRPr="00D51A68" w:rsidRDefault="002648B0" w:rsidP="00FC1A76">
            <w:pPr>
              <w:pStyle w:val="InstructionsText"/>
            </w:pPr>
            <w:r w:rsidRPr="00D51A68">
              <w:t>b)</w:t>
            </w:r>
            <w:r w:rsidR="00A0772B" w:rsidRPr="00D51A68">
              <w:tab/>
            </w:r>
            <w:r w:rsidRPr="00D51A68">
              <w:t>gli importi relativi agli investimenti ai quali si applica qualsiasi alternativa di cui all</w:t>
            </w:r>
            <w:r w:rsidR="0009277C" w:rsidRPr="00D51A68">
              <w:t>’</w:t>
            </w:r>
            <w:r w:rsidRPr="00D51A68">
              <w:t xml:space="preserve">articolo 49; e </w:t>
            </w:r>
          </w:p>
          <w:p w:rsidR="005643EA" w:rsidRPr="00D51A68" w:rsidRDefault="002648B0" w:rsidP="00FC1A76">
            <w:pPr>
              <w:pStyle w:val="InstructionsText"/>
            </w:pPr>
            <w:r w:rsidRPr="00D51A68">
              <w:t>c)</w:t>
            </w:r>
            <w:r w:rsidR="00A0772B" w:rsidRPr="00D51A68">
              <w:tab/>
            </w:r>
            <w:r w:rsidRPr="00D51A68">
              <w:t>le partecipazioni trattate come partecipazioni incrociate reciproche conformemente all</w:t>
            </w:r>
            <w:r w:rsidR="0009277C" w:rsidRPr="00D51A68">
              <w:t>’</w:t>
            </w:r>
            <w:r w:rsidRPr="00D51A68">
              <w:t>articolo 36, paragrafo 1, lettera g), del CRR.</w:t>
            </w:r>
          </w:p>
        </w:tc>
      </w:tr>
      <w:tr w:rsidR="002648B0" w:rsidRPr="00D51A68" w:rsidTr="00672D2A">
        <w:tc>
          <w:tcPr>
            <w:tcW w:w="1506" w:type="dxa"/>
          </w:tcPr>
          <w:p w:rsidR="002648B0" w:rsidRPr="00D51A68" w:rsidRDefault="002648B0" w:rsidP="00FC1A76">
            <w:pPr>
              <w:pStyle w:val="InstructionsText"/>
            </w:pPr>
            <w:r w:rsidRPr="00D51A68">
              <w:t>260</w:t>
            </w:r>
          </w:p>
        </w:tc>
        <w:tc>
          <w:tcPr>
            <w:tcW w:w="7243" w:type="dxa"/>
          </w:tcPr>
          <w:p w:rsidR="005643EA" w:rsidRPr="00D51A68" w:rsidRDefault="002648B0" w:rsidP="00FC1A76">
            <w:pPr>
              <w:pStyle w:val="InstructionsText"/>
            </w:pPr>
            <w:r w:rsidRPr="00D51A68">
              <w:rPr>
                <w:rStyle w:val="InstructionsTabelleberschrift"/>
                <w:rFonts w:ascii="Times New Roman" w:hAnsi="Times New Roman"/>
                <w:sz w:val="24"/>
              </w:rPr>
              <w:t>12.1.2</w:t>
            </w:r>
            <w:r w:rsidR="00A0772B" w:rsidRPr="00D51A68">
              <w:rPr>
                <w:u w:val="single"/>
              </w:rPr>
              <w:tab/>
            </w:r>
            <w:r w:rsidRPr="00D51A68">
              <w:rPr>
                <w:rStyle w:val="InstructionsTabelleberschrift"/>
                <w:rFonts w:ascii="Times New Roman" w:hAnsi="Times New Roman"/>
                <w:sz w:val="24"/>
              </w:rPr>
              <w:t>(-) Posizioni corte di segno opposto autorizzate in relazione alle detenzioni dirette lorde di cui sopra</w:t>
            </w:r>
          </w:p>
          <w:p w:rsidR="005643EA" w:rsidRPr="00D51A68" w:rsidRDefault="002648B0" w:rsidP="00FC1A76">
            <w:pPr>
              <w:pStyle w:val="InstructionsText"/>
            </w:pPr>
            <w:r w:rsidRPr="00D51A68">
              <w:t>Articolo 45 del CRR.</w:t>
            </w:r>
          </w:p>
          <w:p w:rsidR="005643EA" w:rsidRPr="00D51A68" w:rsidRDefault="002648B0" w:rsidP="00FC1A76">
            <w:pPr>
              <w:pStyle w:val="InstructionsText"/>
            </w:pPr>
            <w:r w:rsidRPr="00D51A68">
              <w:t>L</w:t>
            </w:r>
            <w:r w:rsidR="0009277C" w:rsidRPr="00D51A68">
              <w:t>’</w:t>
            </w:r>
            <w:r w:rsidRPr="00D51A68">
              <w:t>articolo 45 del CRR permette di compensare le posizioni corte nella stessa esposizione sottostante a condizione che la scadenza della posizione corta corrisponda a quella della posizione lunga o abbia una durata residua di almeno un anno.</w:t>
            </w:r>
          </w:p>
        </w:tc>
      </w:tr>
      <w:tr w:rsidR="002648B0" w:rsidRPr="00D51A68" w:rsidTr="00672D2A">
        <w:tc>
          <w:tcPr>
            <w:tcW w:w="1506" w:type="dxa"/>
          </w:tcPr>
          <w:p w:rsidR="002648B0" w:rsidRPr="00D51A68" w:rsidRDefault="002648B0" w:rsidP="00FC1A76">
            <w:pPr>
              <w:pStyle w:val="InstructionsText"/>
            </w:pPr>
            <w:r w:rsidRPr="00D51A68">
              <w:t>270</w:t>
            </w:r>
          </w:p>
        </w:tc>
        <w:tc>
          <w:tcPr>
            <w:tcW w:w="7243" w:type="dxa"/>
          </w:tcPr>
          <w:p w:rsidR="005643EA" w:rsidRPr="00D51A68" w:rsidRDefault="002648B0" w:rsidP="00FC1A76">
            <w:pPr>
              <w:pStyle w:val="InstructionsText"/>
            </w:pPr>
            <w:r w:rsidRPr="00D51A68">
              <w:rPr>
                <w:rStyle w:val="InstructionsTabelleberschrift"/>
                <w:rFonts w:ascii="Times New Roman" w:hAnsi="Times New Roman"/>
                <w:sz w:val="24"/>
              </w:rPr>
              <w:t>12.2</w:t>
            </w:r>
            <w:r w:rsidR="00A0772B" w:rsidRPr="00D51A68">
              <w:rPr>
                <w:u w:val="single"/>
              </w:rPr>
              <w:tab/>
            </w:r>
            <w:r w:rsidRPr="00D51A68">
              <w:rPr>
                <w:rStyle w:val="InstructionsTabelleberschrift"/>
                <w:rFonts w:ascii="Times New Roman" w:hAnsi="Times New Roman"/>
                <w:sz w:val="24"/>
              </w:rPr>
              <w:t>Detenzioni indirette di capitale primario di classe 1 di soggetti del settore finanziario in cui 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ente non ha un investimento significativo</w:t>
            </w:r>
          </w:p>
          <w:p w:rsidR="005643EA" w:rsidRPr="00D51A68" w:rsidRDefault="002648B0" w:rsidP="00FC1A76">
            <w:pPr>
              <w:pStyle w:val="InstructionsText"/>
            </w:pPr>
            <w:r w:rsidRPr="00D51A68">
              <w:t>Articolo 4, paragrafo 1, punto 114, e articoli 44 e 45 del CRR.</w:t>
            </w:r>
            <w:r w:rsidR="00FF177E" w:rsidRPr="00D51A68">
              <w:tab/>
            </w:r>
            <w:r w:rsidR="00FF177E" w:rsidRPr="00D51A68">
              <w:br/>
            </w:r>
          </w:p>
        </w:tc>
      </w:tr>
      <w:tr w:rsidR="002648B0" w:rsidRPr="00D51A68" w:rsidTr="00672D2A">
        <w:tc>
          <w:tcPr>
            <w:tcW w:w="1506" w:type="dxa"/>
          </w:tcPr>
          <w:p w:rsidR="002648B0" w:rsidRPr="00D51A68" w:rsidRDefault="002648B0" w:rsidP="00FC1A76">
            <w:pPr>
              <w:pStyle w:val="InstructionsText"/>
            </w:pPr>
            <w:r w:rsidRPr="00D51A68">
              <w:lastRenderedPageBreak/>
              <w:t>280</w:t>
            </w:r>
          </w:p>
        </w:tc>
        <w:tc>
          <w:tcPr>
            <w:tcW w:w="7243" w:type="dxa"/>
          </w:tcPr>
          <w:p w:rsidR="005643EA" w:rsidRPr="00D51A68" w:rsidRDefault="002648B0" w:rsidP="00FC1A76">
            <w:pPr>
              <w:pStyle w:val="InstructionsText"/>
            </w:pPr>
            <w:r w:rsidRPr="00D51A68">
              <w:rPr>
                <w:rStyle w:val="InstructionsTabelleberschrift"/>
                <w:rFonts w:ascii="Times New Roman" w:hAnsi="Times New Roman"/>
                <w:sz w:val="24"/>
              </w:rPr>
              <w:t>12.2.1</w:t>
            </w:r>
            <w:r w:rsidR="00A0772B" w:rsidRPr="00D51A68">
              <w:rPr>
                <w:u w:val="single"/>
              </w:rPr>
              <w:tab/>
            </w:r>
            <w:r w:rsidRPr="00D51A68">
              <w:rPr>
                <w:rStyle w:val="InstructionsTabelleberschrift"/>
                <w:rFonts w:ascii="Times New Roman" w:hAnsi="Times New Roman"/>
                <w:sz w:val="24"/>
              </w:rPr>
              <w:t>Detenzioni indirette lorde di capitale primario di classe 1 di soggetti del settore finanziario in cui 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ente non ha un investimento significativo</w:t>
            </w:r>
          </w:p>
          <w:p w:rsidR="005643EA" w:rsidRPr="00D51A68" w:rsidRDefault="002648B0" w:rsidP="00FC1A76">
            <w:pPr>
              <w:pStyle w:val="InstructionsText"/>
            </w:pPr>
            <w:r w:rsidRPr="00D51A68">
              <w:t>Articolo 4, paragrafo 1, punto 114, e articoli 44 e 45 del CRR.</w:t>
            </w:r>
          </w:p>
          <w:p w:rsidR="005643EA" w:rsidRPr="00D51A68" w:rsidRDefault="002648B0" w:rsidP="00FC1A76">
            <w:pPr>
              <w:pStyle w:val="InstructionsText"/>
            </w:pPr>
            <w:r w:rsidRPr="00D51A68">
              <w:t>L</w:t>
            </w:r>
            <w:r w:rsidR="0009277C" w:rsidRPr="00D51A68">
              <w:t>’</w:t>
            </w:r>
            <w:r w:rsidRPr="00D51A68">
              <w:t>importo da segnalare sono le partecipazioni indirette interne al portafoglio di negoziazione e relative agli strumenti di capitale di soggetti del settore finanziario sotto forma di detenzioni di titoli su indici. L</w:t>
            </w:r>
            <w:r w:rsidR="0009277C" w:rsidRPr="00D51A68">
              <w:t>’</w:t>
            </w:r>
            <w:r w:rsidRPr="00D51A68">
              <w:t>importo si ottiene calcolando l</w:t>
            </w:r>
            <w:r w:rsidR="0009277C" w:rsidRPr="00D51A68">
              <w:t>’</w:t>
            </w:r>
            <w:r w:rsidRPr="00D51A68">
              <w:t>esposizione sottostante verso gli strumenti di capitale dei soggetti del settore finanziario compresi negli indici.</w:t>
            </w:r>
          </w:p>
          <w:p w:rsidR="005643EA" w:rsidRPr="00D51A68" w:rsidRDefault="002648B0" w:rsidP="00FC1A76">
            <w:pPr>
              <w:pStyle w:val="InstructionsText"/>
            </w:pPr>
            <w:r w:rsidRPr="00D51A68">
              <w:t>Non sono incluse in questa riga le partecipazioni trattate come partecipazioni incrociate reciproche conformemente all</w:t>
            </w:r>
            <w:r w:rsidR="0009277C" w:rsidRPr="00D51A68">
              <w:t>’</w:t>
            </w:r>
            <w:r w:rsidRPr="00D51A68">
              <w:t>articolo 36, paragrafo 1, lettera g), del CRR.</w:t>
            </w:r>
          </w:p>
        </w:tc>
      </w:tr>
      <w:tr w:rsidR="002648B0" w:rsidRPr="00D51A68" w:rsidTr="00672D2A">
        <w:trPr>
          <w:trHeight w:val="850"/>
        </w:trPr>
        <w:tc>
          <w:tcPr>
            <w:tcW w:w="1506" w:type="dxa"/>
          </w:tcPr>
          <w:p w:rsidR="002648B0" w:rsidRPr="00D51A68" w:rsidRDefault="002648B0" w:rsidP="00FC1A76">
            <w:pPr>
              <w:pStyle w:val="InstructionsText"/>
            </w:pPr>
            <w:r w:rsidRPr="00D51A68">
              <w:t>290</w:t>
            </w:r>
          </w:p>
        </w:tc>
        <w:tc>
          <w:tcPr>
            <w:tcW w:w="7243" w:type="dxa"/>
          </w:tcPr>
          <w:p w:rsidR="005643EA" w:rsidRPr="00D51A68" w:rsidRDefault="002648B0" w:rsidP="00FC1A76">
            <w:pPr>
              <w:pStyle w:val="InstructionsText"/>
            </w:pPr>
            <w:r w:rsidRPr="00D51A68">
              <w:rPr>
                <w:rStyle w:val="InstructionsTabelleberschrift"/>
                <w:rFonts w:ascii="Times New Roman" w:hAnsi="Times New Roman"/>
                <w:sz w:val="24"/>
              </w:rPr>
              <w:t>12.2.2</w:t>
            </w:r>
            <w:r w:rsidR="00A0772B" w:rsidRPr="00D51A68">
              <w:rPr>
                <w:u w:val="single"/>
              </w:rPr>
              <w:tab/>
            </w:r>
            <w:r w:rsidRPr="00D51A68">
              <w:rPr>
                <w:rStyle w:val="InstructionsTabelleberschrift"/>
                <w:rFonts w:ascii="Times New Roman" w:hAnsi="Times New Roman"/>
                <w:sz w:val="24"/>
              </w:rPr>
              <w:t>(-) Posizioni corte di segno opposto autorizzate in relazione alle detenzioni indirette lorde di cui sopra</w:t>
            </w:r>
          </w:p>
          <w:p w:rsidR="005643EA" w:rsidRPr="00D51A68" w:rsidRDefault="002648B0" w:rsidP="00FC1A76">
            <w:pPr>
              <w:pStyle w:val="InstructionsText"/>
            </w:pPr>
            <w:r w:rsidRPr="00D51A68">
              <w:t>Articolo 4, paragrafo 1, punto 114, e articolo 45 del CRR.</w:t>
            </w:r>
          </w:p>
          <w:p w:rsidR="005643EA" w:rsidRPr="00D51A68" w:rsidRDefault="002648B0" w:rsidP="00FC1A76">
            <w:pPr>
              <w:pStyle w:val="InstructionsText"/>
            </w:pPr>
            <w:r w:rsidRPr="00D51A68">
              <w:t>L</w:t>
            </w:r>
            <w:r w:rsidR="0009277C" w:rsidRPr="00D51A68">
              <w:t>’</w:t>
            </w:r>
            <w:r w:rsidRPr="00D51A68">
              <w:t>articolo 45, lettera a), del CRR permette di compensare le posizioni corte nella stessa esposizione sottostante a condizione che la scadenza della posizione corta corrisponda a quella della posizione lunga o abbia una durata residua di almeno un anno.</w:t>
            </w:r>
          </w:p>
        </w:tc>
      </w:tr>
      <w:tr w:rsidR="002648B0" w:rsidRPr="00D51A68" w:rsidTr="00672D2A">
        <w:tc>
          <w:tcPr>
            <w:tcW w:w="1506" w:type="dxa"/>
          </w:tcPr>
          <w:p w:rsidR="002648B0" w:rsidRPr="00D51A68" w:rsidRDefault="002648B0" w:rsidP="00FC1A76">
            <w:pPr>
              <w:pStyle w:val="InstructionsText"/>
            </w:pPr>
            <w:r w:rsidRPr="00D51A68">
              <w:t>291</w:t>
            </w:r>
          </w:p>
        </w:tc>
        <w:tc>
          <w:tcPr>
            <w:tcW w:w="7243" w:type="dxa"/>
            <w:vAlign w:val="center"/>
          </w:tcPr>
          <w:p w:rsidR="005643EA" w:rsidRPr="00D51A68" w:rsidRDefault="002648B0" w:rsidP="00FC1A76">
            <w:pPr>
              <w:pStyle w:val="InstructionsText"/>
              <w:rPr>
                <w:rStyle w:val="InstructionsTabelleberschrift"/>
                <w:rFonts w:ascii="Times New Roman" w:hAnsi="Times New Roman"/>
                <w:b w:val="0"/>
                <w:sz w:val="24"/>
                <w:u w:val="none"/>
              </w:rPr>
            </w:pPr>
            <w:r w:rsidRPr="00D51A68">
              <w:rPr>
                <w:rStyle w:val="InstructionsTabelleberschrift"/>
                <w:rFonts w:ascii="Times New Roman" w:hAnsi="Times New Roman"/>
                <w:sz w:val="24"/>
              </w:rPr>
              <w:t>12.3.1</w:t>
            </w:r>
            <w:r w:rsidR="00A0772B" w:rsidRPr="00D51A68">
              <w:rPr>
                <w:u w:val="single"/>
              </w:rPr>
              <w:tab/>
            </w:r>
            <w:r w:rsidRPr="00D51A68">
              <w:rPr>
                <w:rStyle w:val="InstructionsTabelleberschrift"/>
                <w:rFonts w:ascii="Times New Roman" w:hAnsi="Times New Roman"/>
                <w:sz w:val="24"/>
              </w:rPr>
              <w:t>Detenzioni sintetiche di capitale primario di classe 1 di soggetti del settore finanziario in cui 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ente non ha un investimento significativo</w:t>
            </w:r>
          </w:p>
          <w:p w:rsidR="005643EA" w:rsidRPr="00D51A68" w:rsidRDefault="002648B0" w:rsidP="00FC1A76">
            <w:pPr>
              <w:pStyle w:val="InstructionsText"/>
              <w:rPr>
                <w:rStyle w:val="InstructionsTabelleberschrift"/>
                <w:rFonts w:ascii="Times New Roman" w:hAnsi="Times New Roman"/>
                <w:b w:val="0"/>
                <w:sz w:val="24"/>
                <w:u w:val="none"/>
              </w:rPr>
            </w:pPr>
            <w:r w:rsidRPr="00D51A68">
              <w:rPr>
                <w:rStyle w:val="InstructionsTabelleberschrift"/>
                <w:rFonts w:ascii="Times New Roman" w:hAnsi="Times New Roman"/>
                <w:b w:val="0"/>
                <w:sz w:val="24"/>
                <w:u w:val="none"/>
              </w:rPr>
              <w:t>Articolo 4, paragrafo 1, punto 126, e articoli 44 e 45 del CRR.</w:t>
            </w:r>
          </w:p>
        </w:tc>
      </w:tr>
      <w:tr w:rsidR="002648B0" w:rsidRPr="00D51A68" w:rsidTr="00672D2A">
        <w:tc>
          <w:tcPr>
            <w:tcW w:w="1506" w:type="dxa"/>
          </w:tcPr>
          <w:p w:rsidR="005643EA" w:rsidRPr="00D51A68" w:rsidRDefault="002648B0" w:rsidP="00FC1A76">
            <w:pPr>
              <w:pStyle w:val="InstructionsText"/>
            </w:pPr>
            <w:r w:rsidRPr="00D51A68">
              <w:t>292</w:t>
            </w:r>
          </w:p>
        </w:tc>
        <w:tc>
          <w:tcPr>
            <w:tcW w:w="7243" w:type="dxa"/>
            <w:vAlign w:val="center"/>
          </w:tcPr>
          <w:p w:rsidR="005643EA" w:rsidRPr="00D51A68" w:rsidRDefault="002648B0" w:rsidP="00FC1A76">
            <w:pPr>
              <w:pStyle w:val="InstructionsText"/>
              <w:rPr>
                <w:rStyle w:val="InstructionsTabelleberschrift"/>
                <w:rFonts w:ascii="Times New Roman" w:hAnsi="Times New Roman"/>
                <w:b w:val="0"/>
                <w:sz w:val="24"/>
                <w:u w:val="none"/>
              </w:rPr>
            </w:pPr>
            <w:r w:rsidRPr="00D51A68">
              <w:rPr>
                <w:rStyle w:val="InstructionsTabelleberschrift"/>
                <w:rFonts w:ascii="Times New Roman" w:hAnsi="Times New Roman"/>
                <w:sz w:val="24"/>
              </w:rPr>
              <w:t>12.3.2</w:t>
            </w:r>
            <w:r w:rsidR="00A0772B" w:rsidRPr="00D51A68">
              <w:rPr>
                <w:u w:val="single"/>
              </w:rPr>
              <w:tab/>
            </w:r>
            <w:r w:rsidRPr="00D51A68">
              <w:rPr>
                <w:rStyle w:val="InstructionsTabelleberschrift"/>
                <w:rFonts w:ascii="Times New Roman" w:hAnsi="Times New Roman"/>
                <w:sz w:val="24"/>
              </w:rPr>
              <w:t>Detenzioni sintetiche lorde di capitale primario di classe 1 di soggetti del settore finanziario in cui 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ente non ha un investimento significativo</w:t>
            </w:r>
          </w:p>
          <w:p w:rsidR="005643EA" w:rsidRPr="00D51A68" w:rsidRDefault="00805255" w:rsidP="00FC1A76">
            <w:pPr>
              <w:pStyle w:val="InstructionsText"/>
              <w:rPr>
                <w:rStyle w:val="InstructionsTabelleberschrift"/>
                <w:rFonts w:ascii="Times New Roman" w:hAnsi="Times New Roman"/>
                <w:b w:val="0"/>
                <w:sz w:val="24"/>
                <w:u w:val="none"/>
              </w:rPr>
            </w:pPr>
            <w:r w:rsidRPr="00D51A68">
              <w:rPr>
                <w:rStyle w:val="InstructionsTabelleberschrift"/>
                <w:rFonts w:ascii="Times New Roman" w:hAnsi="Times New Roman"/>
                <w:b w:val="0"/>
                <w:sz w:val="24"/>
                <w:u w:val="none"/>
              </w:rPr>
              <w:t>Articolo 4, paragrafo 1, punto 126, e articoli 44 e 45 del CRR.</w:t>
            </w:r>
          </w:p>
        </w:tc>
      </w:tr>
      <w:tr w:rsidR="002648B0" w:rsidRPr="00D51A68" w:rsidTr="00672D2A">
        <w:tc>
          <w:tcPr>
            <w:tcW w:w="1506" w:type="dxa"/>
          </w:tcPr>
          <w:p w:rsidR="005643EA" w:rsidRPr="00D51A68" w:rsidRDefault="002648B0" w:rsidP="00FC1A76">
            <w:pPr>
              <w:pStyle w:val="InstructionsText"/>
            </w:pPr>
            <w:r w:rsidRPr="00D51A68">
              <w:t>293</w:t>
            </w:r>
          </w:p>
        </w:tc>
        <w:tc>
          <w:tcPr>
            <w:tcW w:w="7243" w:type="dxa"/>
            <w:vAlign w:val="center"/>
          </w:tcPr>
          <w:p w:rsidR="005643EA" w:rsidRPr="00D51A68" w:rsidRDefault="002648B0"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12.3.3</w:t>
            </w:r>
            <w:r w:rsidR="00A0772B" w:rsidRPr="00D51A68">
              <w:rPr>
                <w:u w:val="single"/>
              </w:rPr>
              <w:tab/>
            </w:r>
            <w:r w:rsidRPr="00D51A68">
              <w:rPr>
                <w:rStyle w:val="InstructionsTabelleberschrift"/>
                <w:rFonts w:ascii="Times New Roman" w:hAnsi="Times New Roman"/>
                <w:sz w:val="24"/>
              </w:rPr>
              <w:t>(-) Posizioni corte di segno opposto autorizzate in relazione alle detenzioni sintetiche lorde di cui sopra</w:t>
            </w:r>
          </w:p>
          <w:p w:rsidR="005643EA" w:rsidRPr="00D51A68" w:rsidRDefault="00805255" w:rsidP="00FC1A76">
            <w:pPr>
              <w:pStyle w:val="InstructionsText"/>
              <w:rPr>
                <w:rStyle w:val="InstructionsTabelleberschrift"/>
                <w:rFonts w:ascii="Times New Roman" w:hAnsi="Times New Roman"/>
                <w:b w:val="0"/>
                <w:sz w:val="24"/>
                <w:u w:val="none"/>
              </w:rPr>
            </w:pPr>
            <w:r w:rsidRPr="00D51A68">
              <w:rPr>
                <w:rStyle w:val="InstructionsTabelleberschrift"/>
                <w:rFonts w:ascii="Times New Roman" w:hAnsi="Times New Roman"/>
                <w:b w:val="0"/>
                <w:sz w:val="24"/>
                <w:u w:val="none"/>
              </w:rPr>
              <w:t>Articolo 4, paragrafo 1, punto 126, e articolo 45 del CRR.</w:t>
            </w:r>
          </w:p>
        </w:tc>
      </w:tr>
      <w:tr w:rsidR="002648B0" w:rsidRPr="00D51A68" w:rsidTr="00672D2A">
        <w:tc>
          <w:tcPr>
            <w:tcW w:w="1506" w:type="dxa"/>
          </w:tcPr>
          <w:p w:rsidR="002648B0" w:rsidRPr="00D51A68" w:rsidRDefault="002648B0" w:rsidP="00FC1A76">
            <w:pPr>
              <w:pStyle w:val="InstructionsText"/>
            </w:pPr>
            <w:r w:rsidRPr="00D51A68">
              <w:t>300</w:t>
            </w:r>
          </w:p>
        </w:tc>
        <w:tc>
          <w:tcPr>
            <w:tcW w:w="7243" w:type="dxa"/>
          </w:tcPr>
          <w:p w:rsidR="005643EA" w:rsidRPr="00D51A68" w:rsidRDefault="002648B0"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13</w:t>
            </w:r>
            <w:r w:rsidR="00A0772B" w:rsidRPr="00D51A68">
              <w:rPr>
                <w:u w:val="single"/>
              </w:rPr>
              <w:tab/>
            </w:r>
            <w:r w:rsidRPr="00D51A68">
              <w:rPr>
                <w:rStyle w:val="InstructionsTabelleberschrift"/>
                <w:rFonts w:ascii="Times New Roman" w:hAnsi="Times New Roman"/>
                <w:sz w:val="24"/>
              </w:rPr>
              <w:t>Detenzioni di capitale aggiuntivo di classe 1 di soggetti del settore finanziario in cui 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ente non ha un investimento significativo, al netto delle posizioni corte</w:t>
            </w:r>
          </w:p>
          <w:p w:rsidR="005643EA" w:rsidRPr="00D51A68" w:rsidRDefault="002648B0" w:rsidP="00FC1A76">
            <w:pPr>
              <w:pStyle w:val="InstructionsText"/>
            </w:pPr>
            <w:r w:rsidRPr="00D51A68">
              <w:t>Articoli da 58 a 60 del CRR.</w:t>
            </w:r>
          </w:p>
        </w:tc>
      </w:tr>
      <w:tr w:rsidR="002648B0" w:rsidRPr="00D51A68" w:rsidTr="00672D2A">
        <w:tc>
          <w:tcPr>
            <w:tcW w:w="1506" w:type="dxa"/>
          </w:tcPr>
          <w:p w:rsidR="002648B0" w:rsidRPr="00D51A68" w:rsidRDefault="002648B0" w:rsidP="00FC1A76">
            <w:pPr>
              <w:pStyle w:val="InstructionsText"/>
            </w:pPr>
            <w:r w:rsidRPr="00D51A68">
              <w:t>310</w:t>
            </w:r>
          </w:p>
        </w:tc>
        <w:tc>
          <w:tcPr>
            <w:tcW w:w="7243" w:type="dxa"/>
          </w:tcPr>
          <w:p w:rsidR="005643EA" w:rsidRPr="00D51A68" w:rsidRDefault="002648B0" w:rsidP="00FC1A76">
            <w:pPr>
              <w:pStyle w:val="InstructionsText"/>
            </w:pPr>
            <w:r w:rsidRPr="00D51A68">
              <w:rPr>
                <w:rStyle w:val="InstructionsTabelleberschrift"/>
                <w:rFonts w:ascii="Times New Roman" w:hAnsi="Times New Roman"/>
                <w:sz w:val="24"/>
              </w:rPr>
              <w:t>13.1</w:t>
            </w:r>
            <w:r w:rsidR="00A0772B" w:rsidRPr="00D51A68">
              <w:rPr>
                <w:u w:val="single"/>
              </w:rPr>
              <w:tab/>
            </w:r>
            <w:r w:rsidRPr="00D51A68">
              <w:rPr>
                <w:rStyle w:val="InstructionsTabelleberschrift"/>
                <w:rFonts w:ascii="Times New Roman" w:hAnsi="Times New Roman"/>
                <w:sz w:val="24"/>
              </w:rPr>
              <w:t>Detenzioni dirette di capitale aggiuntivo di classe 1 di soggetti del settore finanziario in cui 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ente non ha un investimento significativo</w:t>
            </w:r>
          </w:p>
          <w:p w:rsidR="005643EA" w:rsidRPr="00D51A68" w:rsidRDefault="002648B0" w:rsidP="00FC1A76">
            <w:pPr>
              <w:pStyle w:val="InstructionsText"/>
            </w:pPr>
            <w:r w:rsidRPr="00D51A68">
              <w:t>Articoli 58 e 59 e articolo 60, paragrafo 2, del CRR.</w:t>
            </w:r>
          </w:p>
        </w:tc>
      </w:tr>
      <w:tr w:rsidR="002648B0" w:rsidRPr="00D51A68" w:rsidTr="00672D2A">
        <w:tc>
          <w:tcPr>
            <w:tcW w:w="1506" w:type="dxa"/>
          </w:tcPr>
          <w:p w:rsidR="002648B0" w:rsidRPr="00D51A68" w:rsidRDefault="002648B0" w:rsidP="00FC1A76">
            <w:pPr>
              <w:pStyle w:val="InstructionsText"/>
            </w:pPr>
            <w:r w:rsidRPr="00D51A68">
              <w:t>320</w:t>
            </w:r>
          </w:p>
        </w:tc>
        <w:tc>
          <w:tcPr>
            <w:tcW w:w="7243" w:type="dxa"/>
          </w:tcPr>
          <w:p w:rsidR="005643EA" w:rsidRPr="00D51A68" w:rsidRDefault="002648B0" w:rsidP="00FC1A76">
            <w:pPr>
              <w:pStyle w:val="InstructionsText"/>
            </w:pPr>
            <w:r w:rsidRPr="00D51A68">
              <w:rPr>
                <w:rStyle w:val="InstructionsTabelleberschrift"/>
                <w:rFonts w:ascii="Times New Roman" w:hAnsi="Times New Roman"/>
                <w:sz w:val="24"/>
              </w:rPr>
              <w:t>13.1.1</w:t>
            </w:r>
            <w:r w:rsidR="00A0772B" w:rsidRPr="00D51A68">
              <w:rPr>
                <w:u w:val="single"/>
              </w:rPr>
              <w:tab/>
            </w:r>
            <w:r w:rsidRPr="00D51A68">
              <w:rPr>
                <w:rStyle w:val="InstructionsTabelleberschrift"/>
                <w:rFonts w:ascii="Times New Roman" w:hAnsi="Times New Roman"/>
                <w:sz w:val="24"/>
              </w:rPr>
              <w:t>Detenzioni dirette lorde di capitale aggiuntivo di classe 1 di soggetti del settore finanziario in cui 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ente non ha un investimento significativo</w:t>
            </w:r>
          </w:p>
          <w:p w:rsidR="005643EA" w:rsidRPr="00D51A68" w:rsidRDefault="002648B0" w:rsidP="00FC1A76">
            <w:pPr>
              <w:pStyle w:val="InstructionsText"/>
            </w:pPr>
            <w:r w:rsidRPr="00D51A68">
              <w:lastRenderedPageBreak/>
              <w:t>Articolo 58 e articolo 60, paragrafo 2, del CRR.</w:t>
            </w:r>
          </w:p>
          <w:p w:rsidR="005643EA" w:rsidRPr="00D51A68" w:rsidRDefault="002648B0" w:rsidP="00FC1A76">
            <w:pPr>
              <w:pStyle w:val="InstructionsText"/>
            </w:pPr>
            <w:r w:rsidRPr="00D51A68">
              <w:t>Partecipazioni dirette nel capitale aggiuntivo di classe 1 di soggetti del settore finanziario in cui l</w:t>
            </w:r>
            <w:r w:rsidR="0009277C" w:rsidRPr="00D51A68">
              <w:t>’</w:t>
            </w:r>
            <w:r w:rsidRPr="00D51A68">
              <w:t>ente non ha un investimento significativo, escluse:</w:t>
            </w:r>
          </w:p>
          <w:p w:rsidR="005643EA" w:rsidRPr="00D51A68" w:rsidRDefault="002648B0" w:rsidP="00FC1A76">
            <w:pPr>
              <w:pStyle w:val="InstructionsText"/>
            </w:pPr>
            <w:r w:rsidRPr="00D51A68">
              <w:t>a)</w:t>
            </w:r>
            <w:r w:rsidR="00A0772B" w:rsidRPr="00D51A68">
              <w:tab/>
            </w:r>
            <w:r w:rsidRPr="00D51A68">
              <w:t xml:space="preserve">le posizioni in impegni irrevocabili di acquisto detenute per cinque giorni lavorativi o meno; e </w:t>
            </w:r>
          </w:p>
          <w:p w:rsidR="005643EA" w:rsidRPr="00D51A68" w:rsidRDefault="002648B0" w:rsidP="00FC1A76">
            <w:pPr>
              <w:pStyle w:val="InstructionsText"/>
            </w:pPr>
            <w:r w:rsidRPr="00D51A68">
              <w:t>b)</w:t>
            </w:r>
            <w:r w:rsidR="00A0772B" w:rsidRPr="00D51A68">
              <w:tab/>
            </w:r>
            <w:r w:rsidRPr="00D51A68">
              <w:t>le partecipazioni trattate come partecipazioni incrociate reciproche conformemente all</w:t>
            </w:r>
            <w:r w:rsidR="0009277C" w:rsidRPr="00D51A68">
              <w:t>’</w:t>
            </w:r>
            <w:r w:rsidRPr="00D51A68">
              <w:t>articolo 56, lettera b), del CRR.</w:t>
            </w:r>
          </w:p>
        </w:tc>
      </w:tr>
      <w:tr w:rsidR="002648B0" w:rsidRPr="00D51A68" w:rsidTr="00672D2A">
        <w:tc>
          <w:tcPr>
            <w:tcW w:w="1506" w:type="dxa"/>
          </w:tcPr>
          <w:p w:rsidR="002648B0" w:rsidRPr="00D51A68" w:rsidRDefault="002648B0" w:rsidP="00FC1A76">
            <w:pPr>
              <w:pStyle w:val="InstructionsText"/>
            </w:pPr>
            <w:r w:rsidRPr="00D51A68">
              <w:lastRenderedPageBreak/>
              <w:t>330</w:t>
            </w:r>
          </w:p>
        </w:tc>
        <w:tc>
          <w:tcPr>
            <w:tcW w:w="7243" w:type="dxa"/>
          </w:tcPr>
          <w:p w:rsidR="005643EA" w:rsidRPr="00D51A68" w:rsidRDefault="002648B0" w:rsidP="00FC1A76">
            <w:pPr>
              <w:pStyle w:val="InstructionsText"/>
            </w:pPr>
            <w:r w:rsidRPr="00D51A68">
              <w:rPr>
                <w:rStyle w:val="InstructionsTabelleberschrift"/>
                <w:rFonts w:ascii="Times New Roman" w:hAnsi="Times New Roman"/>
                <w:sz w:val="24"/>
              </w:rPr>
              <w:t>13.1.2</w:t>
            </w:r>
            <w:r w:rsidR="00A0772B" w:rsidRPr="00D51A68">
              <w:rPr>
                <w:u w:val="single"/>
              </w:rPr>
              <w:tab/>
            </w:r>
            <w:r w:rsidRPr="00D51A68">
              <w:rPr>
                <w:rStyle w:val="InstructionsTabelleberschrift"/>
                <w:rFonts w:ascii="Times New Roman" w:hAnsi="Times New Roman"/>
                <w:sz w:val="24"/>
              </w:rPr>
              <w:t>(-) Posizioni corte di segno opposto autorizzate in relazione alle detenzioni dirette lorde di cui sopra</w:t>
            </w:r>
          </w:p>
          <w:p w:rsidR="005643EA" w:rsidRPr="00D51A68" w:rsidRDefault="002648B0" w:rsidP="00FC1A76">
            <w:pPr>
              <w:pStyle w:val="InstructionsText"/>
            </w:pPr>
            <w:r w:rsidRPr="00D51A68">
              <w:t>Articolo 59 del CRR.</w:t>
            </w:r>
          </w:p>
          <w:p w:rsidR="005643EA" w:rsidRPr="00D51A68" w:rsidRDefault="002648B0" w:rsidP="00FC1A76">
            <w:pPr>
              <w:pStyle w:val="InstructionsText"/>
            </w:pPr>
            <w:r w:rsidRPr="00D51A68">
              <w:t>L</w:t>
            </w:r>
            <w:r w:rsidR="0009277C" w:rsidRPr="00D51A68">
              <w:t>’</w:t>
            </w:r>
            <w:r w:rsidRPr="00D51A68">
              <w:t>articolo 59, lettera a), del CRR permette di compensare le posizioni corte nella stessa esposizione sottostante a condizione che la scadenza della posizione corta corrisponda a quella della posizione lunga o abbia una durata residua di almeno un anno.</w:t>
            </w:r>
          </w:p>
        </w:tc>
      </w:tr>
      <w:tr w:rsidR="002648B0" w:rsidRPr="00D51A68" w:rsidTr="00672D2A">
        <w:tc>
          <w:tcPr>
            <w:tcW w:w="1506" w:type="dxa"/>
          </w:tcPr>
          <w:p w:rsidR="002648B0" w:rsidRPr="00D51A68" w:rsidRDefault="002648B0" w:rsidP="00FC1A76">
            <w:pPr>
              <w:pStyle w:val="InstructionsText"/>
            </w:pPr>
            <w:r w:rsidRPr="00D51A68">
              <w:t>340</w:t>
            </w:r>
          </w:p>
        </w:tc>
        <w:tc>
          <w:tcPr>
            <w:tcW w:w="7243" w:type="dxa"/>
          </w:tcPr>
          <w:p w:rsidR="005643EA" w:rsidRPr="00D51A68" w:rsidRDefault="002648B0" w:rsidP="00FC1A76">
            <w:pPr>
              <w:pStyle w:val="InstructionsText"/>
            </w:pPr>
            <w:r w:rsidRPr="00D51A68">
              <w:rPr>
                <w:rStyle w:val="InstructionsTabelleberschrift"/>
                <w:rFonts w:ascii="Times New Roman" w:hAnsi="Times New Roman"/>
                <w:sz w:val="24"/>
              </w:rPr>
              <w:t>13.2</w:t>
            </w:r>
            <w:r w:rsidR="00A0772B" w:rsidRPr="00D51A68">
              <w:rPr>
                <w:u w:val="single"/>
              </w:rPr>
              <w:tab/>
            </w:r>
            <w:r w:rsidRPr="00D51A68">
              <w:rPr>
                <w:rStyle w:val="InstructionsTabelleberschrift"/>
                <w:rFonts w:ascii="Times New Roman" w:hAnsi="Times New Roman"/>
                <w:sz w:val="24"/>
              </w:rPr>
              <w:t>Detenzioni indirette di capitale aggiuntivo di classe 1 di soggetti del settore finanziario in cui 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ente non ha un investimento significativo</w:t>
            </w:r>
          </w:p>
          <w:p w:rsidR="005643EA" w:rsidRPr="00D51A68" w:rsidRDefault="002648B0" w:rsidP="00FC1A76">
            <w:pPr>
              <w:pStyle w:val="InstructionsText"/>
            </w:pPr>
            <w:r w:rsidRPr="00D51A68">
              <w:t>Articolo 4, paragrafo 1, punto 114, e articoli 58 e 59 del CRR.</w:t>
            </w:r>
          </w:p>
        </w:tc>
      </w:tr>
      <w:tr w:rsidR="002648B0" w:rsidRPr="00D51A68" w:rsidTr="00672D2A">
        <w:tc>
          <w:tcPr>
            <w:tcW w:w="1506" w:type="dxa"/>
          </w:tcPr>
          <w:p w:rsidR="002648B0" w:rsidRPr="00D51A68" w:rsidRDefault="002648B0" w:rsidP="00FC1A76">
            <w:pPr>
              <w:pStyle w:val="InstructionsText"/>
            </w:pPr>
            <w:r w:rsidRPr="00D51A68">
              <w:t>350</w:t>
            </w:r>
          </w:p>
        </w:tc>
        <w:tc>
          <w:tcPr>
            <w:tcW w:w="7243" w:type="dxa"/>
          </w:tcPr>
          <w:p w:rsidR="005643EA" w:rsidRPr="00D51A68" w:rsidRDefault="002648B0" w:rsidP="00FC1A76">
            <w:pPr>
              <w:pStyle w:val="InstructionsText"/>
            </w:pPr>
            <w:r w:rsidRPr="00D51A68">
              <w:rPr>
                <w:rStyle w:val="InstructionsTabelleberschrift"/>
                <w:rFonts w:ascii="Times New Roman" w:hAnsi="Times New Roman"/>
                <w:sz w:val="24"/>
              </w:rPr>
              <w:t>13.2.1</w:t>
            </w:r>
            <w:r w:rsidR="00A0772B" w:rsidRPr="00D51A68">
              <w:rPr>
                <w:u w:val="single"/>
              </w:rPr>
              <w:tab/>
            </w:r>
            <w:r w:rsidRPr="00D51A68">
              <w:rPr>
                <w:rStyle w:val="InstructionsTabelleberschrift"/>
                <w:rFonts w:ascii="Times New Roman" w:hAnsi="Times New Roman"/>
                <w:sz w:val="24"/>
              </w:rPr>
              <w:t>Detenzioni indirette lorde di capitale aggiuntivo di classe 1 di soggetti del settore finanziario in cui 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ente non ha un investimento significativo</w:t>
            </w:r>
          </w:p>
          <w:p w:rsidR="005643EA" w:rsidRPr="00D51A68" w:rsidRDefault="002648B0" w:rsidP="00FC1A76">
            <w:pPr>
              <w:pStyle w:val="InstructionsText"/>
            </w:pPr>
            <w:r w:rsidRPr="00D51A68">
              <w:t>Articolo 4, paragrafo 1, punto 114, e articoli 58 e 59 del CRR.</w:t>
            </w:r>
          </w:p>
          <w:p w:rsidR="005643EA" w:rsidRPr="00D51A68" w:rsidRDefault="002648B0" w:rsidP="00FC1A76">
            <w:pPr>
              <w:pStyle w:val="InstructionsText"/>
            </w:pPr>
            <w:r w:rsidRPr="00D51A68">
              <w:t>L</w:t>
            </w:r>
            <w:r w:rsidR="0009277C" w:rsidRPr="00D51A68">
              <w:t>’</w:t>
            </w:r>
            <w:r w:rsidRPr="00D51A68">
              <w:t>importo da segnalare sono le partecipazioni indirette interne al portafoglio di negoziazione e relative agli strumenti di capitale di soggetti del settore finanziario sotto forma di detenzioni di titoli su indici. L</w:t>
            </w:r>
            <w:r w:rsidR="0009277C" w:rsidRPr="00D51A68">
              <w:t>’</w:t>
            </w:r>
            <w:r w:rsidRPr="00D51A68">
              <w:t>importo si ottiene calcolando l</w:t>
            </w:r>
            <w:r w:rsidR="0009277C" w:rsidRPr="00D51A68">
              <w:t>’</w:t>
            </w:r>
            <w:r w:rsidRPr="00D51A68">
              <w:t>esposizione sottostante verso gli strumenti di capitale dei soggetti del settore finanziario compresi negli indici.</w:t>
            </w:r>
          </w:p>
          <w:p w:rsidR="005643EA" w:rsidRPr="00D51A68" w:rsidRDefault="002648B0" w:rsidP="00FC1A76">
            <w:pPr>
              <w:pStyle w:val="InstructionsText"/>
            </w:pPr>
            <w:r w:rsidRPr="00D51A68">
              <w:t>Non sono incluse in questa riga le partecipazioni trattate come partecipazioni incrociate reciproche conformemente all</w:t>
            </w:r>
            <w:r w:rsidR="0009277C" w:rsidRPr="00D51A68">
              <w:t>’</w:t>
            </w:r>
            <w:r w:rsidRPr="00D51A68">
              <w:t>articolo 56, lettera b), del CRR.</w:t>
            </w:r>
          </w:p>
        </w:tc>
      </w:tr>
      <w:tr w:rsidR="002648B0" w:rsidRPr="00D51A68" w:rsidTr="00672D2A">
        <w:tc>
          <w:tcPr>
            <w:tcW w:w="1506" w:type="dxa"/>
          </w:tcPr>
          <w:p w:rsidR="002648B0" w:rsidRPr="00D51A68" w:rsidRDefault="002648B0" w:rsidP="00FC1A76">
            <w:pPr>
              <w:pStyle w:val="InstructionsText"/>
            </w:pPr>
            <w:r w:rsidRPr="00D51A68">
              <w:t>360</w:t>
            </w:r>
          </w:p>
        </w:tc>
        <w:tc>
          <w:tcPr>
            <w:tcW w:w="7243" w:type="dxa"/>
          </w:tcPr>
          <w:p w:rsidR="005643EA" w:rsidRPr="00D51A68" w:rsidRDefault="002648B0" w:rsidP="00FC1A76">
            <w:pPr>
              <w:pStyle w:val="InstructionsText"/>
            </w:pPr>
            <w:r w:rsidRPr="00D51A68">
              <w:rPr>
                <w:rStyle w:val="InstructionsTabelleberschrift"/>
                <w:rFonts w:ascii="Times New Roman" w:hAnsi="Times New Roman"/>
                <w:sz w:val="24"/>
              </w:rPr>
              <w:t>13.2.2</w:t>
            </w:r>
            <w:r w:rsidR="00A0772B" w:rsidRPr="00D51A68">
              <w:rPr>
                <w:u w:val="single"/>
              </w:rPr>
              <w:tab/>
            </w:r>
            <w:r w:rsidRPr="00D51A68">
              <w:rPr>
                <w:rStyle w:val="InstructionsTabelleberschrift"/>
                <w:rFonts w:ascii="Times New Roman" w:hAnsi="Times New Roman"/>
                <w:sz w:val="24"/>
              </w:rPr>
              <w:t>(-) Posizioni corte di segno opposto autorizzate in relazione alle detenzioni indirette lorde di cui sopra</w:t>
            </w:r>
          </w:p>
          <w:p w:rsidR="005643EA" w:rsidRPr="00D51A68" w:rsidRDefault="002648B0" w:rsidP="00FC1A76">
            <w:pPr>
              <w:pStyle w:val="InstructionsText"/>
            </w:pPr>
            <w:r w:rsidRPr="00D51A68">
              <w:t>Articolo 4, paragrafo 1, punto 114, e articolo 59 del CRR.</w:t>
            </w:r>
          </w:p>
          <w:p w:rsidR="005643EA" w:rsidRPr="00D51A68" w:rsidRDefault="002648B0" w:rsidP="00FC1A76">
            <w:pPr>
              <w:pStyle w:val="InstructionsText"/>
            </w:pPr>
            <w:r w:rsidRPr="00D51A68">
              <w:t>L</w:t>
            </w:r>
            <w:r w:rsidR="0009277C" w:rsidRPr="00D51A68">
              <w:t>’</w:t>
            </w:r>
            <w:r w:rsidRPr="00D51A68">
              <w:t>articolo 59, lettera a), del CRR permette di compensare le posizioni corte nella stessa esposizione sottostante a condizione che la scadenza della posizione corta corrisponda a quella della posizione lunga o abbia una durata residua di almeno un anno.</w:t>
            </w:r>
          </w:p>
        </w:tc>
      </w:tr>
      <w:tr w:rsidR="002648B0" w:rsidRPr="00D51A68" w:rsidTr="00672D2A">
        <w:tc>
          <w:tcPr>
            <w:tcW w:w="1506" w:type="dxa"/>
          </w:tcPr>
          <w:p w:rsidR="002648B0" w:rsidRPr="00D51A68" w:rsidRDefault="002648B0" w:rsidP="00680E39">
            <w:pPr>
              <w:pStyle w:val="InstructionsText"/>
              <w:keepNext/>
              <w:keepLines/>
            </w:pPr>
            <w:r w:rsidRPr="00D51A68">
              <w:lastRenderedPageBreak/>
              <w:t>361</w:t>
            </w:r>
          </w:p>
        </w:tc>
        <w:tc>
          <w:tcPr>
            <w:tcW w:w="7243" w:type="dxa"/>
            <w:vAlign w:val="center"/>
          </w:tcPr>
          <w:p w:rsidR="005643EA" w:rsidRPr="00D51A68" w:rsidRDefault="002648B0" w:rsidP="00680E39">
            <w:pPr>
              <w:pStyle w:val="InstructionsText"/>
              <w:keepNext/>
              <w:keepLines/>
            </w:pPr>
            <w:r w:rsidRPr="00D51A68">
              <w:rPr>
                <w:rStyle w:val="InstructionsTabelleberschrift"/>
                <w:rFonts w:ascii="Times New Roman" w:hAnsi="Times New Roman"/>
                <w:sz w:val="24"/>
              </w:rPr>
              <w:t>13.3</w:t>
            </w:r>
            <w:r w:rsidR="00A0772B" w:rsidRPr="00D51A68">
              <w:rPr>
                <w:u w:val="single"/>
              </w:rPr>
              <w:tab/>
            </w:r>
            <w:r w:rsidRPr="00D51A68">
              <w:rPr>
                <w:rStyle w:val="InstructionsTabelleberschrift"/>
                <w:rFonts w:ascii="Times New Roman" w:hAnsi="Times New Roman"/>
                <w:sz w:val="24"/>
              </w:rPr>
              <w:t>Detenzioni sintetiche di capitale aggiuntivo di classe 1 di soggetti del settore finanziario in cui 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ente non ha un investimento significativo</w:t>
            </w:r>
          </w:p>
          <w:p w:rsidR="005643EA" w:rsidRPr="00D51A68" w:rsidRDefault="002648B0" w:rsidP="00680E39">
            <w:pPr>
              <w:pStyle w:val="InstructionsText"/>
              <w:keepNext/>
              <w:keepLines/>
              <w:rPr>
                <w:rStyle w:val="InstructionsTabelleberschrift"/>
                <w:rFonts w:ascii="Times New Roman" w:hAnsi="Times New Roman"/>
                <w:b w:val="0"/>
                <w:bCs w:val="0"/>
                <w:sz w:val="24"/>
                <w:u w:val="none"/>
              </w:rPr>
            </w:pPr>
            <w:r w:rsidRPr="00D51A68">
              <w:t>Articolo 4, paragrafo 1, punto 126, e articoli 58 e 59 del CRR.</w:t>
            </w:r>
          </w:p>
        </w:tc>
      </w:tr>
      <w:tr w:rsidR="002648B0" w:rsidRPr="00D51A68" w:rsidTr="00672D2A">
        <w:tc>
          <w:tcPr>
            <w:tcW w:w="1506" w:type="dxa"/>
          </w:tcPr>
          <w:p w:rsidR="002648B0" w:rsidRPr="00D51A68" w:rsidRDefault="002648B0" w:rsidP="00FC1A76">
            <w:pPr>
              <w:pStyle w:val="InstructionsText"/>
            </w:pPr>
            <w:r w:rsidRPr="00D51A68">
              <w:t>362</w:t>
            </w:r>
          </w:p>
        </w:tc>
        <w:tc>
          <w:tcPr>
            <w:tcW w:w="7243" w:type="dxa"/>
            <w:vAlign w:val="center"/>
          </w:tcPr>
          <w:p w:rsidR="005643EA" w:rsidRPr="00D51A68" w:rsidRDefault="002648B0" w:rsidP="00FC1A76">
            <w:pPr>
              <w:pStyle w:val="InstructionsText"/>
            </w:pPr>
            <w:r w:rsidRPr="00D51A68">
              <w:rPr>
                <w:rStyle w:val="InstructionsTabelleberschrift"/>
                <w:rFonts w:ascii="Times New Roman" w:hAnsi="Times New Roman"/>
                <w:sz w:val="24"/>
              </w:rPr>
              <w:t>13.3.1</w:t>
            </w:r>
            <w:r w:rsidR="00A0772B" w:rsidRPr="00D51A68">
              <w:rPr>
                <w:u w:val="single"/>
              </w:rPr>
              <w:tab/>
            </w:r>
            <w:r w:rsidRPr="00D51A68">
              <w:rPr>
                <w:rStyle w:val="InstructionsTabelleberschrift"/>
                <w:rFonts w:ascii="Times New Roman" w:hAnsi="Times New Roman"/>
                <w:sz w:val="24"/>
              </w:rPr>
              <w:t>Detenzioni sintetiche lorde di capitale aggiuntivo di classe 1 di soggetti del settore finanziario in cui 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ente non ha un investimento significativo</w:t>
            </w:r>
          </w:p>
          <w:p w:rsidR="005643EA" w:rsidRPr="00D51A68" w:rsidRDefault="002648B0" w:rsidP="00FC1A76">
            <w:pPr>
              <w:pStyle w:val="InstructionsText"/>
              <w:rPr>
                <w:rStyle w:val="InstructionsTabelleberschrift"/>
                <w:rFonts w:ascii="Times New Roman" w:hAnsi="Times New Roman"/>
                <w:b w:val="0"/>
                <w:bCs w:val="0"/>
                <w:sz w:val="24"/>
                <w:u w:val="none"/>
              </w:rPr>
            </w:pPr>
            <w:r w:rsidRPr="00D51A68">
              <w:t>Articolo 4, paragrafo 1, punto 126, e articoli 58 e 59 del CRR.</w:t>
            </w:r>
          </w:p>
        </w:tc>
      </w:tr>
      <w:tr w:rsidR="002648B0" w:rsidRPr="00D51A68" w:rsidTr="00672D2A">
        <w:tc>
          <w:tcPr>
            <w:tcW w:w="1506" w:type="dxa"/>
          </w:tcPr>
          <w:p w:rsidR="002648B0" w:rsidRPr="00D51A68" w:rsidRDefault="002648B0" w:rsidP="00FC1A76">
            <w:pPr>
              <w:pStyle w:val="InstructionsText"/>
            </w:pPr>
            <w:r w:rsidRPr="00D51A68">
              <w:t>363</w:t>
            </w:r>
          </w:p>
        </w:tc>
        <w:tc>
          <w:tcPr>
            <w:tcW w:w="7243" w:type="dxa"/>
            <w:vAlign w:val="center"/>
          </w:tcPr>
          <w:p w:rsidR="005643EA" w:rsidRPr="00D51A68" w:rsidRDefault="002648B0" w:rsidP="00FC1A76">
            <w:pPr>
              <w:pStyle w:val="InstructionsText"/>
            </w:pPr>
            <w:r w:rsidRPr="00D51A68">
              <w:rPr>
                <w:rStyle w:val="InstructionsTabelleberschrift"/>
                <w:rFonts w:ascii="Times New Roman" w:hAnsi="Times New Roman"/>
                <w:sz w:val="24"/>
              </w:rPr>
              <w:t>13.3.2</w:t>
            </w:r>
            <w:r w:rsidR="00A0772B" w:rsidRPr="00D51A68">
              <w:rPr>
                <w:u w:val="single"/>
              </w:rPr>
              <w:tab/>
            </w:r>
            <w:r w:rsidRPr="00D51A68">
              <w:rPr>
                <w:rStyle w:val="InstructionsTabelleberschrift"/>
                <w:rFonts w:ascii="Times New Roman" w:hAnsi="Times New Roman"/>
                <w:sz w:val="24"/>
              </w:rPr>
              <w:t>(-) Posizioni corte di segno opposto autorizzate in relazione alle detenzioni sintetiche lorde di cui sopra</w:t>
            </w:r>
          </w:p>
          <w:p w:rsidR="005643EA" w:rsidRPr="00D51A68" w:rsidRDefault="002648B0" w:rsidP="00FC1A76">
            <w:pPr>
              <w:pStyle w:val="InstructionsText"/>
              <w:rPr>
                <w:rStyle w:val="InstructionsTabelleberschrift"/>
                <w:rFonts w:ascii="Times New Roman" w:hAnsi="Times New Roman"/>
                <w:b w:val="0"/>
                <w:bCs w:val="0"/>
                <w:sz w:val="24"/>
                <w:u w:val="none"/>
              </w:rPr>
            </w:pPr>
            <w:r w:rsidRPr="00D51A68">
              <w:t>Articolo 4, paragrafo 1, punto 126, e articolo 59 del CRR.</w:t>
            </w:r>
          </w:p>
        </w:tc>
      </w:tr>
      <w:tr w:rsidR="002648B0" w:rsidRPr="00D51A68" w:rsidTr="00672D2A">
        <w:tc>
          <w:tcPr>
            <w:tcW w:w="1506" w:type="dxa"/>
          </w:tcPr>
          <w:p w:rsidR="002648B0" w:rsidRPr="00D51A68" w:rsidRDefault="002648B0" w:rsidP="00FC1A76">
            <w:pPr>
              <w:pStyle w:val="InstructionsText"/>
            </w:pPr>
            <w:r w:rsidRPr="00D51A68">
              <w:t>370</w:t>
            </w:r>
          </w:p>
        </w:tc>
        <w:tc>
          <w:tcPr>
            <w:tcW w:w="7243" w:type="dxa"/>
          </w:tcPr>
          <w:p w:rsidR="005643EA" w:rsidRPr="00D51A68" w:rsidRDefault="00C66473" w:rsidP="00FC1A76">
            <w:pPr>
              <w:pStyle w:val="InstructionsText"/>
            </w:pPr>
            <w:r w:rsidRPr="00D51A68">
              <w:rPr>
                <w:rStyle w:val="InstructionsTabelleberschrift"/>
                <w:rFonts w:ascii="Times New Roman" w:hAnsi="Times New Roman"/>
                <w:sz w:val="24"/>
              </w:rPr>
              <w:t>14.</w:t>
            </w:r>
            <w:r w:rsidR="00A0772B" w:rsidRPr="00D51A68">
              <w:rPr>
                <w:u w:val="single"/>
              </w:rPr>
              <w:tab/>
            </w:r>
            <w:r w:rsidRPr="00D51A68">
              <w:rPr>
                <w:rStyle w:val="InstructionsTabelleberschrift"/>
                <w:rFonts w:ascii="Times New Roman" w:hAnsi="Times New Roman"/>
                <w:sz w:val="24"/>
              </w:rPr>
              <w:t>Detenzioni di capitale di classe 2 di soggetti del settore finanziario in cui 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ente non ha un investimento significativo, al netto delle posizioni corte</w:t>
            </w:r>
          </w:p>
          <w:p w:rsidR="005643EA" w:rsidRPr="00D51A68" w:rsidRDefault="002648B0" w:rsidP="00FC1A76">
            <w:pPr>
              <w:pStyle w:val="InstructionsText"/>
            </w:pPr>
            <w:r w:rsidRPr="00D51A68">
              <w:t>Articoli da 68 a 70 del CRR.</w:t>
            </w:r>
          </w:p>
        </w:tc>
      </w:tr>
      <w:tr w:rsidR="002648B0" w:rsidRPr="00D51A68" w:rsidTr="00672D2A">
        <w:tc>
          <w:tcPr>
            <w:tcW w:w="1506" w:type="dxa"/>
          </w:tcPr>
          <w:p w:rsidR="002648B0" w:rsidRPr="00D51A68" w:rsidRDefault="002648B0" w:rsidP="00FC1A76">
            <w:pPr>
              <w:pStyle w:val="InstructionsText"/>
            </w:pPr>
            <w:r w:rsidRPr="00D51A68">
              <w:t>380</w:t>
            </w:r>
          </w:p>
        </w:tc>
        <w:tc>
          <w:tcPr>
            <w:tcW w:w="7243" w:type="dxa"/>
          </w:tcPr>
          <w:p w:rsidR="005643EA" w:rsidRPr="00D51A68" w:rsidRDefault="002648B0" w:rsidP="00FC1A76">
            <w:pPr>
              <w:pStyle w:val="InstructionsText"/>
            </w:pPr>
            <w:r w:rsidRPr="00D51A68">
              <w:rPr>
                <w:rStyle w:val="InstructionsTabelleberschrift"/>
                <w:rFonts w:ascii="Times New Roman" w:hAnsi="Times New Roman"/>
                <w:sz w:val="24"/>
              </w:rPr>
              <w:t>14.1</w:t>
            </w:r>
            <w:r w:rsidR="00A0772B" w:rsidRPr="00D51A68">
              <w:rPr>
                <w:u w:val="single"/>
              </w:rPr>
              <w:tab/>
            </w:r>
            <w:r w:rsidRPr="00D51A68">
              <w:rPr>
                <w:rStyle w:val="InstructionsTabelleberschrift"/>
                <w:rFonts w:ascii="Times New Roman" w:hAnsi="Times New Roman"/>
                <w:sz w:val="24"/>
              </w:rPr>
              <w:t>Detenzioni dirette di capitale di classe 2 di soggetti del settore finanziario in cui 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ente non ha un investimento significativo</w:t>
            </w:r>
          </w:p>
          <w:p w:rsidR="005643EA" w:rsidRPr="00D51A68" w:rsidRDefault="002648B0" w:rsidP="00FC1A76">
            <w:pPr>
              <w:pStyle w:val="InstructionsText"/>
            </w:pPr>
            <w:r w:rsidRPr="00D51A68">
              <w:t>Articoli 68 e 69 e articolo 70, paragrafo 2, del CRR.</w:t>
            </w:r>
          </w:p>
        </w:tc>
      </w:tr>
      <w:tr w:rsidR="002648B0" w:rsidRPr="00D51A68" w:rsidTr="00672D2A">
        <w:tc>
          <w:tcPr>
            <w:tcW w:w="1506" w:type="dxa"/>
          </w:tcPr>
          <w:p w:rsidR="002648B0" w:rsidRPr="00D51A68" w:rsidRDefault="002648B0" w:rsidP="00FC1A76">
            <w:pPr>
              <w:pStyle w:val="InstructionsText"/>
            </w:pPr>
            <w:r w:rsidRPr="00D51A68">
              <w:t>390</w:t>
            </w:r>
          </w:p>
        </w:tc>
        <w:tc>
          <w:tcPr>
            <w:tcW w:w="7243" w:type="dxa"/>
          </w:tcPr>
          <w:p w:rsidR="005643EA" w:rsidRPr="00D51A68" w:rsidRDefault="002648B0" w:rsidP="00FC1A76">
            <w:pPr>
              <w:pStyle w:val="InstructionsText"/>
            </w:pPr>
            <w:r w:rsidRPr="00D51A68">
              <w:rPr>
                <w:rStyle w:val="InstructionsTabelleberschrift"/>
                <w:rFonts w:ascii="Times New Roman" w:hAnsi="Times New Roman"/>
                <w:sz w:val="24"/>
              </w:rPr>
              <w:t>14.1.1</w:t>
            </w:r>
            <w:r w:rsidR="00A0772B" w:rsidRPr="00D51A68">
              <w:rPr>
                <w:u w:val="single"/>
              </w:rPr>
              <w:tab/>
            </w:r>
            <w:r w:rsidRPr="00D51A68">
              <w:rPr>
                <w:rStyle w:val="InstructionsTabelleberschrift"/>
                <w:rFonts w:ascii="Times New Roman" w:hAnsi="Times New Roman"/>
                <w:sz w:val="24"/>
              </w:rPr>
              <w:t>Detenzioni dirette lorde di capitale di classe 2 di soggetti del settore finanziario in cui 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ente non ha un investimento significativo</w:t>
            </w:r>
          </w:p>
          <w:p w:rsidR="005643EA" w:rsidRPr="00D51A68" w:rsidRDefault="002648B0" w:rsidP="00FC1A76">
            <w:pPr>
              <w:pStyle w:val="InstructionsText"/>
            </w:pPr>
            <w:r w:rsidRPr="00D51A68">
              <w:t>Articolo 68 e articolo 70, paragrafo 2, del CRR.</w:t>
            </w:r>
          </w:p>
          <w:p w:rsidR="005643EA" w:rsidRPr="00D51A68" w:rsidRDefault="002648B0" w:rsidP="00FC1A76">
            <w:pPr>
              <w:pStyle w:val="InstructionsText"/>
            </w:pPr>
            <w:r w:rsidRPr="00D51A68">
              <w:t>Partecipazioni dirette nel capitale di classe 2 di soggetti del settore finanziario in cui l</w:t>
            </w:r>
            <w:r w:rsidR="0009277C" w:rsidRPr="00D51A68">
              <w:t>’</w:t>
            </w:r>
            <w:r w:rsidRPr="00D51A68">
              <w:t>ente non ha un investimento significativo, escluse:</w:t>
            </w:r>
          </w:p>
          <w:p w:rsidR="005643EA" w:rsidRPr="00D51A68" w:rsidRDefault="002648B0" w:rsidP="00FC1A76">
            <w:pPr>
              <w:pStyle w:val="InstructionsText"/>
            </w:pPr>
            <w:r w:rsidRPr="00D51A68">
              <w:t>a)</w:t>
            </w:r>
            <w:r w:rsidR="00A0772B" w:rsidRPr="00D51A68">
              <w:tab/>
            </w:r>
            <w:r w:rsidRPr="00D51A68">
              <w:t xml:space="preserve">le posizioni in impegni irrevocabili di acquisto detenute per cinque giorni lavorativi o meno; e </w:t>
            </w:r>
          </w:p>
          <w:p w:rsidR="005643EA" w:rsidRPr="00D51A68" w:rsidRDefault="002648B0" w:rsidP="00FC1A76">
            <w:pPr>
              <w:pStyle w:val="InstructionsText"/>
            </w:pPr>
            <w:r w:rsidRPr="00D51A68">
              <w:t>b)</w:t>
            </w:r>
            <w:r w:rsidR="00A0772B" w:rsidRPr="00D51A68">
              <w:tab/>
            </w:r>
            <w:r w:rsidRPr="00D51A68">
              <w:t>le partecipazioni trattate come partecipazioni incrociate reciproche conformemente all</w:t>
            </w:r>
            <w:r w:rsidR="0009277C" w:rsidRPr="00D51A68">
              <w:t>’</w:t>
            </w:r>
            <w:r w:rsidRPr="00D51A68">
              <w:t>articolo 66, lettera b), del CRR.</w:t>
            </w:r>
          </w:p>
        </w:tc>
      </w:tr>
      <w:tr w:rsidR="002648B0" w:rsidRPr="00D51A68" w:rsidTr="00672D2A">
        <w:tc>
          <w:tcPr>
            <w:tcW w:w="1506" w:type="dxa"/>
          </w:tcPr>
          <w:p w:rsidR="002648B0" w:rsidRPr="00D51A68" w:rsidRDefault="002648B0" w:rsidP="00FC1A76">
            <w:pPr>
              <w:pStyle w:val="InstructionsText"/>
            </w:pPr>
            <w:r w:rsidRPr="00D51A68">
              <w:t>400</w:t>
            </w:r>
          </w:p>
        </w:tc>
        <w:tc>
          <w:tcPr>
            <w:tcW w:w="7243" w:type="dxa"/>
          </w:tcPr>
          <w:p w:rsidR="005643EA" w:rsidRPr="00D51A68" w:rsidRDefault="002648B0" w:rsidP="00FC1A76">
            <w:pPr>
              <w:pStyle w:val="InstructionsText"/>
            </w:pPr>
            <w:r w:rsidRPr="00D51A68">
              <w:rPr>
                <w:rStyle w:val="InstructionsTabelleberschrift"/>
                <w:rFonts w:ascii="Times New Roman" w:hAnsi="Times New Roman"/>
                <w:sz w:val="24"/>
              </w:rPr>
              <w:t>14.1.2</w:t>
            </w:r>
            <w:r w:rsidR="00A0772B" w:rsidRPr="00D51A68">
              <w:rPr>
                <w:u w:val="single"/>
              </w:rPr>
              <w:tab/>
            </w:r>
            <w:r w:rsidRPr="00D51A68">
              <w:rPr>
                <w:rStyle w:val="InstructionsTabelleberschrift"/>
                <w:rFonts w:ascii="Times New Roman" w:hAnsi="Times New Roman"/>
                <w:sz w:val="24"/>
              </w:rPr>
              <w:t>(-) Posizioni corte di segno opposto autorizzate in relazione alle detenzioni dirette lorde di cui sopra</w:t>
            </w:r>
          </w:p>
          <w:p w:rsidR="005643EA" w:rsidRPr="00D51A68" w:rsidRDefault="002648B0" w:rsidP="00FC1A76">
            <w:pPr>
              <w:pStyle w:val="InstructionsText"/>
            </w:pPr>
            <w:r w:rsidRPr="00D51A68">
              <w:t>Articolo 69 del CRR.</w:t>
            </w:r>
          </w:p>
          <w:p w:rsidR="005643EA" w:rsidRPr="00D51A68" w:rsidRDefault="002648B0" w:rsidP="00FC1A76">
            <w:pPr>
              <w:pStyle w:val="InstructionsText"/>
            </w:pPr>
            <w:r w:rsidRPr="00D51A68">
              <w:t>L</w:t>
            </w:r>
            <w:r w:rsidR="0009277C" w:rsidRPr="00D51A68">
              <w:t>’</w:t>
            </w:r>
            <w:r w:rsidRPr="00D51A68">
              <w:t>articolo 69, lettera a), del CRR permette di compensare le posizioni corte nella stessa esposizione sottostante a condizione che la scadenza della posizione corta corrisponda a quella della posizione lunga o abbia una durata residua di almeno un anno.</w:t>
            </w:r>
          </w:p>
        </w:tc>
      </w:tr>
      <w:tr w:rsidR="002648B0" w:rsidRPr="00D51A68" w:rsidTr="00672D2A">
        <w:tc>
          <w:tcPr>
            <w:tcW w:w="1506" w:type="dxa"/>
          </w:tcPr>
          <w:p w:rsidR="002648B0" w:rsidRPr="00D51A68" w:rsidRDefault="002648B0" w:rsidP="00FC1A76">
            <w:pPr>
              <w:pStyle w:val="InstructionsText"/>
            </w:pPr>
            <w:r w:rsidRPr="00D51A68">
              <w:t>410</w:t>
            </w:r>
          </w:p>
        </w:tc>
        <w:tc>
          <w:tcPr>
            <w:tcW w:w="7243" w:type="dxa"/>
          </w:tcPr>
          <w:p w:rsidR="005643EA" w:rsidRPr="00D51A68" w:rsidRDefault="002648B0" w:rsidP="00FC1A76">
            <w:pPr>
              <w:pStyle w:val="InstructionsText"/>
            </w:pPr>
            <w:r w:rsidRPr="00D51A68">
              <w:rPr>
                <w:rStyle w:val="InstructionsTabelleberschrift"/>
                <w:rFonts w:ascii="Times New Roman" w:hAnsi="Times New Roman"/>
                <w:sz w:val="24"/>
              </w:rPr>
              <w:t>14.2</w:t>
            </w:r>
            <w:r w:rsidR="00A0772B" w:rsidRPr="00D51A68">
              <w:rPr>
                <w:u w:val="single"/>
              </w:rPr>
              <w:tab/>
            </w:r>
            <w:r w:rsidRPr="00D51A68">
              <w:rPr>
                <w:rStyle w:val="InstructionsTabelleberschrift"/>
                <w:rFonts w:ascii="Times New Roman" w:hAnsi="Times New Roman"/>
                <w:sz w:val="24"/>
              </w:rPr>
              <w:t>Detenzioni indirette di capitale di classe 2 di soggetti del settore finanziario in cui 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ente non ha un investimento significativo</w:t>
            </w:r>
          </w:p>
          <w:p w:rsidR="005643EA" w:rsidRPr="00D51A68" w:rsidRDefault="002648B0" w:rsidP="00FC1A76">
            <w:pPr>
              <w:pStyle w:val="InstructionsText"/>
            </w:pPr>
            <w:r w:rsidRPr="00D51A68">
              <w:t>Articolo 4, paragrafo 1, punto 114, e articoli 68 e 69 del CRR.</w:t>
            </w:r>
          </w:p>
        </w:tc>
      </w:tr>
      <w:tr w:rsidR="002648B0" w:rsidRPr="00D51A68" w:rsidTr="00672D2A">
        <w:tc>
          <w:tcPr>
            <w:tcW w:w="1506" w:type="dxa"/>
          </w:tcPr>
          <w:p w:rsidR="002648B0" w:rsidRPr="00D51A68" w:rsidRDefault="002648B0" w:rsidP="00FC1A76">
            <w:pPr>
              <w:pStyle w:val="InstructionsText"/>
            </w:pPr>
            <w:r w:rsidRPr="00D51A68">
              <w:t>420</w:t>
            </w:r>
          </w:p>
        </w:tc>
        <w:tc>
          <w:tcPr>
            <w:tcW w:w="7243" w:type="dxa"/>
          </w:tcPr>
          <w:p w:rsidR="005643EA" w:rsidRPr="00D51A68" w:rsidRDefault="002648B0" w:rsidP="00FC1A76">
            <w:pPr>
              <w:pStyle w:val="InstructionsText"/>
            </w:pPr>
            <w:r w:rsidRPr="00D51A68">
              <w:rPr>
                <w:rStyle w:val="InstructionsTabelleberschrift"/>
                <w:rFonts w:ascii="Times New Roman" w:hAnsi="Times New Roman"/>
                <w:sz w:val="24"/>
              </w:rPr>
              <w:t>14.2.1</w:t>
            </w:r>
            <w:r w:rsidR="00A0772B" w:rsidRPr="00D51A68">
              <w:rPr>
                <w:u w:val="single"/>
              </w:rPr>
              <w:tab/>
            </w:r>
            <w:r w:rsidRPr="00D51A68">
              <w:rPr>
                <w:rStyle w:val="InstructionsTabelleberschrift"/>
                <w:rFonts w:ascii="Times New Roman" w:hAnsi="Times New Roman"/>
                <w:sz w:val="24"/>
              </w:rPr>
              <w:t>Detenzioni indirette lorde di capitale di classe 2 di soggetti del settore finanziario in cui 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ente non ha un investimento significativo</w:t>
            </w:r>
          </w:p>
          <w:p w:rsidR="005643EA" w:rsidRPr="00D51A68" w:rsidRDefault="002648B0" w:rsidP="00FC1A76">
            <w:pPr>
              <w:pStyle w:val="InstructionsText"/>
            </w:pPr>
            <w:r w:rsidRPr="00D51A68">
              <w:t>Articolo 4, paragrafo 1, punto 114, e articoli 68 e 69 del CRR.</w:t>
            </w:r>
          </w:p>
          <w:p w:rsidR="005643EA" w:rsidRPr="00D51A68" w:rsidRDefault="002648B0" w:rsidP="00FC1A76">
            <w:pPr>
              <w:pStyle w:val="InstructionsText"/>
            </w:pPr>
            <w:r w:rsidRPr="00D51A68">
              <w:lastRenderedPageBreak/>
              <w:t>L</w:t>
            </w:r>
            <w:r w:rsidR="0009277C" w:rsidRPr="00D51A68">
              <w:t>’</w:t>
            </w:r>
            <w:r w:rsidRPr="00D51A68">
              <w:t>importo da segnalare sono le partecipazioni indirette interne al portafoglio di negoziazione e relative agli strumenti di capitale di soggetti del settore finanziario sotto forma di detenzioni di titoli su indici. L</w:t>
            </w:r>
            <w:r w:rsidR="0009277C" w:rsidRPr="00D51A68">
              <w:t>’</w:t>
            </w:r>
            <w:r w:rsidRPr="00D51A68">
              <w:t>importo si ottiene calcolando l</w:t>
            </w:r>
            <w:r w:rsidR="0009277C" w:rsidRPr="00D51A68">
              <w:t>’</w:t>
            </w:r>
            <w:r w:rsidRPr="00D51A68">
              <w:t>esposizione sottostante verso gli strumenti di capitale dei soggetti del settore finanziario compresi negli indici.</w:t>
            </w:r>
          </w:p>
          <w:p w:rsidR="005643EA" w:rsidRPr="00D51A68" w:rsidRDefault="002648B0" w:rsidP="00FC1A76">
            <w:pPr>
              <w:pStyle w:val="InstructionsText"/>
            </w:pPr>
            <w:r w:rsidRPr="00D51A68">
              <w:t>Non sono incluse in questa riga le partecipazioni trattate come partecipazioni incrociate reciproche conformemente all</w:t>
            </w:r>
            <w:r w:rsidR="0009277C" w:rsidRPr="00D51A68">
              <w:t>’</w:t>
            </w:r>
            <w:r w:rsidRPr="00D51A68">
              <w:t>articolo 66, lettera b), del CRR.</w:t>
            </w:r>
          </w:p>
        </w:tc>
      </w:tr>
      <w:tr w:rsidR="002648B0" w:rsidRPr="00D51A68" w:rsidTr="00672D2A">
        <w:tc>
          <w:tcPr>
            <w:tcW w:w="1506" w:type="dxa"/>
          </w:tcPr>
          <w:p w:rsidR="002648B0" w:rsidRPr="00D51A68" w:rsidRDefault="002648B0" w:rsidP="00FC1A76">
            <w:pPr>
              <w:pStyle w:val="InstructionsText"/>
            </w:pPr>
            <w:r w:rsidRPr="00D51A68">
              <w:lastRenderedPageBreak/>
              <w:t>430</w:t>
            </w:r>
          </w:p>
        </w:tc>
        <w:tc>
          <w:tcPr>
            <w:tcW w:w="7243" w:type="dxa"/>
          </w:tcPr>
          <w:p w:rsidR="005643EA" w:rsidRPr="00D51A68" w:rsidRDefault="002648B0" w:rsidP="00FC1A76">
            <w:pPr>
              <w:pStyle w:val="InstructionsText"/>
            </w:pPr>
            <w:r w:rsidRPr="00D51A68">
              <w:rPr>
                <w:rStyle w:val="InstructionsTabelleberschrift"/>
                <w:rFonts w:ascii="Times New Roman" w:hAnsi="Times New Roman"/>
                <w:sz w:val="24"/>
              </w:rPr>
              <w:t>14.2.2</w:t>
            </w:r>
            <w:r w:rsidR="00A0772B" w:rsidRPr="00D51A68">
              <w:rPr>
                <w:u w:val="single"/>
              </w:rPr>
              <w:tab/>
            </w:r>
            <w:r w:rsidRPr="00D51A68">
              <w:rPr>
                <w:rStyle w:val="InstructionsTabelleberschrift"/>
                <w:rFonts w:ascii="Times New Roman" w:hAnsi="Times New Roman"/>
                <w:sz w:val="24"/>
              </w:rPr>
              <w:t>(-) Posizioni corte di segno opposto autorizzate in relazione alle detenzioni indirette lorde di cui sopra</w:t>
            </w:r>
          </w:p>
          <w:p w:rsidR="005643EA" w:rsidRPr="00D51A68" w:rsidRDefault="002648B0" w:rsidP="00FC1A76">
            <w:pPr>
              <w:pStyle w:val="InstructionsText"/>
            </w:pPr>
            <w:r w:rsidRPr="00D51A68">
              <w:t>Articolo 4, paragrafo 1, punto 114, e articolo 69 del CRR.</w:t>
            </w:r>
          </w:p>
          <w:p w:rsidR="005643EA" w:rsidRPr="00D51A68" w:rsidRDefault="002648B0" w:rsidP="00FC1A76">
            <w:pPr>
              <w:pStyle w:val="InstructionsText"/>
            </w:pPr>
            <w:r w:rsidRPr="00D51A68">
              <w:t>L</w:t>
            </w:r>
            <w:r w:rsidR="0009277C" w:rsidRPr="00D51A68">
              <w:t>’</w:t>
            </w:r>
            <w:r w:rsidRPr="00D51A68">
              <w:t>articolo 69, lettera a), del CRR permette di compensare le posizioni corte nella stessa esposizione sottostante a condizione che la scadenza della posizione corta corrisponda a quella della posizione lunga o abbia una durata residua di almeno un anno.</w:t>
            </w:r>
          </w:p>
        </w:tc>
      </w:tr>
      <w:tr w:rsidR="00DE5A31" w:rsidRPr="00D51A68" w:rsidTr="00672D2A">
        <w:tc>
          <w:tcPr>
            <w:tcW w:w="1506" w:type="dxa"/>
          </w:tcPr>
          <w:p w:rsidR="00DE5A31" w:rsidRPr="00D51A68" w:rsidRDefault="00DE5A31" w:rsidP="00FC1A76">
            <w:pPr>
              <w:pStyle w:val="InstructionsText"/>
            </w:pPr>
            <w:r w:rsidRPr="00D51A68">
              <w:t>431</w:t>
            </w:r>
          </w:p>
        </w:tc>
        <w:tc>
          <w:tcPr>
            <w:tcW w:w="7243" w:type="dxa"/>
          </w:tcPr>
          <w:p w:rsidR="005643EA" w:rsidRPr="00D51A68" w:rsidRDefault="00DE5A31" w:rsidP="00FC1A76">
            <w:pPr>
              <w:pStyle w:val="InstructionsText"/>
            </w:pPr>
            <w:r w:rsidRPr="00D51A68">
              <w:rPr>
                <w:rStyle w:val="InstructionsTabelleberschrift"/>
                <w:rFonts w:ascii="Times New Roman" w:hAnsi="Times New Roman"/>
                <w:sz w:val="24"/>
              </w:rPr>
              <w:t>14.3</w:t>
            </w:r>
            <w:r w:rsidR="00A0772B" w:rsidRPr="00D51A68">
              <w:rPr>
                <w:u w:val="single"/>
              </w:rPr>
              <w:tab/>
            </w:r>
            <w:r w:rsidRPr="00D51A68">
              <w:rPr>
                <w:rStyle w:val="InstructionsTabelleberschrift"/>
                <w:rFonts w:ascii="Times New Roman" w:hAnsi="Times New Roman"/>
                <w:sz w:val="24"/>
              </w:rPr>
              <w:t>Detenzioni sintetiche di capitale di classe 2 di soggetti del settore finanziario in cui 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ente non ha un investimento significativo</w:t>
            </w:r>
          </w:p>
          <w:p w:rsidR="005643EA" w:rsidRPr="00D51A68" w:rsidRDefault="00805255" w:rsidP="00FC1A76">
            <w:pPr>
              <w:pStyle w:val="InstructionsText"/>
              <w:rPr>
                <w:rStyle w:val="InstructionsTabelleberschrift"/>
                <w:rFonts w:ascii="Times New Roman" w:hAnsi="Times New Roman"/>
                <w:sz w:val="24"/>
              </w:rPr>
            </w:pPr>
            <w:r w:rsidRPr="00D51A68">
              <w:t>Articolo 4, paragrafo 1, punto 126, e articoli 68 e 69 del CRR.</w:t>
            </w:r>
          </w:p>
        </w:tc>
      </w:tr>
      <w:tr w:rsidR="00DE5A31" w:rsidRPr="00D51A68" w:rsidTr="00672D2A">
        <w:tc>
          <w:tcPr>
            <w:tcW w:w="1506" w:type="dxa"/>
          </w:tcPr>
          <w:p w:rsidR="00DE5A31" w:rsidRPr="00D51A68" w:rsidRDefault="00DE5A31" w:rsidP="00FC1A76">
            <w:pPr>
              <w:pStyle w:val="InstructionsText"/>
            </w:pPr>
            <w:r w:rsidRPr="00D51A68">
              <w:t>432</w:t>
            </w:r>
          </w:p>
        </w:tc>
        <w:tc>
          <w:tcPr>
            <w:tcW w:w="7243" w:type="dxa"/>
          </w:tcPr>
          <w:p w:rsidR="005643EA" w:rsidRPr="00D51A68" w:rsidRDefault="00DE5A31" w:rsidP="00FC1A76">
            <w:pPr>
              <w:pStyle w:val="InstructionsText"/>
            </w:pPr>
            <w:r w:rsidRPr="00D51A68">
              <w:rPr>
                <w:rStyle w:val="InstructionsTabelleberschrift"/>
                <w:rFonts w:ascii="Times New Roman" w:hAnsi="Times New Roman"/>
                <w:sz w:val="24"/>
              </w:rPr>
              <w:t>14.3.1</w:t>
            </w:r>
            <w:r w:rsidR="00A0772B" w:rsidRPr="00D51A68">
              <w:rPr>
                <w:u w:val="single"/>
              </w:rPr>
              <w:tab/>
            </w:r>
            <w:r w:rsidRPr="00D51A68">
              <w:rPr>
                <w:rStyle w:val="InstructionsTabelleberschrift"/>
                <w:rFonts w:ascii="Times New Roman" w:hAnsi="Times New Roman"/>
                <w:sz w:val="24"/>
              </w:rPr>
              <w:t>Detenzioni sintetiche lorde di capitale di classe 2 di soggetti del settore finanziario in cui 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ente non ha un investimento significativo</w:t>
            </w:r>
          </w:p>
          <w:p w:rsidR="005643EA" w:rsidRPr="00D51A68" w:rsidRDefault="00805255" w:rsidP="00FC1A76">
            <w:pPr>
              <w:pStyle w:val="InstructionsText"/>
              <w:rPr>
                <w:rStyle w:val="InstructionsTabelleberschrift"/>
                <w:rFonts w:ascii="Times New Roman" w:hAnsi="Times New Roman"/>
                <w:b w:val="0"/>
                <w:bCs w:val="0"/>
                <w:sz w:val="24"/>
                <w:u w:val="none"/>
              </w:rPr>
            </w:pPr>
            <w:r w:rsidRPr="00D51A68">
              <w:t>Articolo 4, paragrafo 1, punto 126, e articoli 68 e 69 del CRR.</w:t>
            </w:r>
          </w:p>
        </w:tc>
      </w:tr>
      <w:tr w:rsidR="00DE5A31" w:rsidRPr="00D51A68" w:rsidTr="00672D2A">
        <w:tc>
          <w:tcPr>
            <w:tcW w:w="1506" w:type="dxa"/>
          </w:tcPr>
          <w:p w:rsidR="00DE5A31" w:rsidRPr="00D51A68" w:rsidRDefault="00DE5A31" w:rsidP="00FC1A76">
            <w:pPr>
              <w:pStyle w:val="InstructionsText"/>
            </w:pPr>
            <w:r w:rsidRPr="00D51A68">
              <w:t>433</w:t>
            </w:r>
          </w:p>
        </w:tc>
        <w:tc>
          <w:tcPr>
            <w:tcW w:w="7243" w:type="dxa"/>
          </w:tcPr>
          <w:p w:rsidR="005643EA" w:rsidRPr="00D51A68" w:rsidRDefault="00DE5A31" w:rsidP="00FC1A76">
            <w:pPr>
              <w:pStyle w:val="InstructionsText"/>
            </w:pPr>
            <w:r w:rsidRPr="00D51A68">
              <w:rPr>
                <w:rStyle w:val="InstructionsTabelleberschrift"/>
                <w:rFonts w:ascii="Times New Roman" w:hAnsi="Times New Roman"/>
                <w:sz w:val="24"/>
              </w:rPr>
              <w:t>14.3.2</w:t>
            </w:r>
            <w:r w:rsidR="00A0772B" w:rsidRPr="00D51A68">
              <w:rPr>
                <w:u w:val="single"/>
              </w:rPr>
              <w:tab/>
            </w:r>
            <w:r w:rsidRPr="00D51A68">
              <w:rPr>
                <w:rStyle w:val="InstructionsTabelleberschrift"/>
                <w:rFonts w:ascii="Times New Roman" w:hAnsi="Times New Roman"/>
                <w:sz w:val="24"/>
              </w:rPr>
              <w:t>(-) Posizioni corte di segno opposto autorizzate in relazione alle detenzioni sintetiche lorde di cui sopra</w:t>
            </w:r>
          </w:p>
          <w:p w:rsidR="005643EA" w:rsidRPr="00D51A68" w:rsidRDefault="00805255" w:rsidP="00FC1A76">
            <w:pPr>
              <w:pStyle w:val="InstructionsText"/>
              <w:rPr>
                <w:rStyle w:val="InstructionsTabelleberschrift"/>
                <w:rFonts w:ascii="Times New Roman" w:hAnsi="Times New Roman"/>
                <w:b w:val="0"/>
                <w:bCs w:val="0"/>
                <w:sz w:val="24"/>
                <w:u w:val="none"/>
              </w:rPr>
            </w:pPr>
            <w:r w:rsidRPr="00D51A68">
              <w:t>Articolo 4, paragrafo 1, punto 126, e articolo 69 del CRR.</w:t>
            </w:r>
          </w:p>
        </w:tc>
      </w:tr>
      <w:tr w:rsidR="002648B0" w:rsidRPr="00D51A68" w:rsidTr="00672D2A">
        <w:tc>
          <w:tcPr>
            <w:tcW w:w="1506" w:type="dxa"/>
          </w:tcPr>
          <w:p w:rsidR="002648B0" w:rsidRPr="00D51A68" w:rsidRDefault="002648B0" w:rsidP="00FC1A76">
            <w:pPr>
              <w:pStyle w:val="InstructionsText"/>
            </w:pPr>
            <w:r w:rsidRPr="00D51A68">
              <w:t>440</w:t>
            </w:r>
          </w:p>
        </w:tc>
        <w:tc>
          <w:tcPr>
            <w:tcW w:w="7243" w:type="dxa"/>
          </w:tcPr>
          <w:p w:rsidR="005643EA" w:rsidRPr="00D51A68" w:rsidRDefault="002648B0" w:rsidP="00FC1A76">
            <w:pPr>
              <w:pStyle w:val="InstructionsText"/>
            </w:pPr>
            <w:r w:rsidRPr="00D51A68">
              <w:rPr>
                <w:rStyle w:val="InstructionsTabelleberschrift"/>
                <w:rFonts w:ascii="Times New Roman" w:hAnsi="Times New Roman"/>
                <w:sz w:val="24"/>
              </w:rPr>
              <w:t>15</w:t>
            </w:r>
            <w:r w:rsidR="00A0772B" w:rsidRPr="00D51A68">
              <w:rPr>
                <w:u w:val="single"/>
              </w:rPr>
              <w:tab/>
            </w:r>
            <w:r w:rsidRPr="00D51A68">
              <w:rPr>
                <w:rStyle w:val="InstructionsTabelleberschrift"/>
                <w:rFonts w:ascii="Times New Roman" w:hAnsi="Times New Roman"/>
                <w:sz w:val="24"/>
              </w:rPr>
              <w:t>Detenzioni di capitale primario di classe 1 di soggetti del settore finanziario in cui 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ente ha un investimento significativo, al netto delle posizioni corte</w:t>
            </w:r>
          </w:p>
          <w:p w:rsidR="005643EA" w:rsidRPr="00D51A68" w:rsidRDefault="002648B0" w:rsidP="00FC1A76">
            <w:pPr>
              <w:pStyle w:val="InstructionsText"/>
            </w:pPr>
            <w:r w:rsidRPr="00D51A68">
              <w:t>Articoli 44, 45, 47 e 49 del CRR.</w:t>
            </w:r>
          </w:p>
        </w:tc>
      </w:tr>
      <w:tr w:rsidR="002648B0" w:rsidRPr="00D51A68" w:rsidTr="00672D2A">
        <w:tc>
          <w:tcPr>
            <w:tcW w:w="1506" w:type="dxa"/>
          </w:tcPr>
          <w:p w:rsidR="002648B0" w:rsidRPr="00D51A68" w:rsidRDefault="008F54B0" w:rsidP="00FC1A76">
            <w:pPr>
              <w:pStyle w:val="InstructionsText"/>
            </w:pPr>
            <w:r w:rsidRPr="00D51A68">
              <w:t>450</w:t>
            </w:r>
          </w:p>
        </w:tc>
        <w:tc>
          <w:tcPr>
            <w:tcW w:w="7243" w:type="dxa"/>
          </w:tcPr>
          <w:p w:rsidR="005643EA" w:rsidRPr="00D51A68" w:rsidRDefault="002648B0" w:rsidP="00FC1A76">
            <w:pPr>
              <w:pStyle w:val="InstructionsText"/>
            </w:pPr>
            <w:r w:rsidRPr="00D51A68">
              <w:rPr>
                <w:rStyle w:val="InstructionsTabelleberschrift"/>
                <w:rFonts w:ascii="Times New Roman" w:hAnsi="Times New Roman"/>
                <w:sz w:val="24"/>
              </w:rPr>
              <w:t>15.1</w:t>
            </w:r>
            <w:r w:rsidR="00A0772B" w:rsidRPr="00D51A68">
              <w:rPr>
                <w:u w:val="single"/>
              </w:rPr>
              <w:tab/>
            </w:r>
            <w:r w:rsidRPr="00D51A68">
              <w:rPr>
                <w:rStyle w:val="InstructionsTabelleberschrift"/>
                <w:rFonts w:ascii="Times New Roman" w:hAnsi="Times New Roman"/>
                <w:sz w:val="24"/>
              </w:rPr>
              <w:t>Detenzioni dirette di capitale primario di classe 1 di soggetti del settore finanziario in cui 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ente ha un investimento significativo</w:t>
            </w:r>
          </w:p>
          <w:p w:rsidR="005643EA" w:rsidRPr="00D51A68" w:rsidRDefault="002648B0" w:rsidP="00FC1A76">
            <w:pPr>
              <w:pStyle w:val="InstructionsText"/>
            </w:pPr>
            <w:r w:rsidRPr="00D51A68">
              <w:t>Articoli 44, 45, 47 e 49 del CRR.</w:t>
            </w:r>
          </w:p>
        </w:tc>
      </w:tr>
      <w:tr w:rsidR="002648B0" w:rsidRPr="00D51A68" w:rsidTr="00672D2A">
        <w:tc>
          <w:tcPr>
            <w:tcW w:w="1506" w:type="dxa"/>
          </w:tcPr>
          <w:p w:rsidR="002648B0" w:rsidRPr="00D51A68" w:rsidRDefault="008F54B0" w:rsidP="00FC1A76">
            <w:pPr>
              <w:pStyle w:val="InstructionsText"/>
            </w:pPr>
            <w:r w:rsidRPr="00D51A68">
              <w:t>460</w:t>
            </w:r>
          </w:p>
        </w:tc>
        <w:tc>
          <w:tcPr>
            <w:tcW w:w="7243" w:type="dxa"/>
          </w:tcPr>
          <w:p w:rsidR="005643EA" w:rsidRPr="00D51A68" w:rsidRDefault="002648B0" w:rsidP="00FC1A76">
            <w:pPr>
              <w:pStyle w:val="InstructionsText"/>
            </w:pPr>
            <w:r w:rsidRPr="00D51A68">
              <w:rPr>
                <w:rStyle w:val="InstructionsTabelleberschrift"/>
                <w:rFonts w:ascii="Times New Roman" w:hAnsi="Times New Roman"/>
                <w:sz w:val="24"/>
              </w:rPr>
              <w:t>15.1.1</w:t>
            </w:r>
            <w:r w:rsidR="00A0772B" w:rsidRPr="00D51A68">
              <w:rPr>
                <w:u w:val="single"/>
              </w:rPr>
              <w:tab/>
            </w:r>
            <w:r w:rsidRPr="00D51A68">
              <w:rPr>
                <w:rStyle w:val="InstructionsTabelleberschrift"/>
                <w:rFonts w:ascii="Times New Roman" w:hAnsi="Times New Roman"/>
                <w:sz w:val="24"/>
              </w:rPr>
              <w:t>Detenzioni dirette lorde di capitale primario di classe 1 di soggetti del settore finanziario in cui 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ente ha un investimento significativo</w:t>
            </w:r>
          </w:p>
          <w:p w:rsidR="005643EA" w:rsidRPr="00D51A68" w:rsidRDefault="002648B0" w:rsidP="00FC1A76">
            <w:pPr>
              <w:pStyle w:val="InstructionsText"/>
            </w:pPr>
            <w:r w:rsidRPr="00D51A68">
              <w:t>Articoli 44, 45, 47 e 49 del CRR.</w:t>
            </w:r>
          </w:p>
          <w:p w:rsidR="005643EA" w:rsidRPr="00D51A68" w:rsidRDefault="002648B0" w:rsidP="00FC1A76">
            <w:pPr>
              <w:pStyle w:val="InstructionsText"/>
            </w:pPr>
            <w:r w:rsidRPr="00D51A68">
              <w:t>Partecipazioni dirette nel capitale primario di classe 1 di soggetti del settore finanziario in cui l</w:t>
            </w:r>
            <w:r w:rsidR="0009277C" w:rsidRPr="00D51A68">
              <w:t>’</w:t>
            </w:r>
            <w:r w:rsidRPr="00D51A68">
              <w:t>ente ha un investimento significativo, esclusi:</w:t>
            </w:r>
          </w:p>
          <w:p w:rsidR="005643EA" w:rsidRPr="00D51A68" w:rsidRDefault="002648B0" w:rsidP="00FC1A76">
            <w:pPr>
              <w:pStyle w:val="InstructionsText"/>
            </w:pPr>
            <w:r w:rsidRPr="00D51A68">
              <w:t>a)</w:t>
            </w:r>
            <w:r w:rsidR="00A0772B" w:rsidRPr="00D51A68">
              <w:tab/>
            </w:r>
            <w:r w:rsidRPr="00D51A68">
              <w:t xml:space="preserve">le posizioni in impegni irrevocabili di acquisto detenute per cinque giorni lavorativi o meno; </w:t>
            </w:r>
          </w:p>
          <w:p w:rsidR="005643EA" w:rsidRPr="00D51A68" w:rsidRDefault="002648B0" w:rsidP="00FC1A76">
            <w:pPr>
              <w:pStyle w:val="InstructionsText"/>
            </w:pPr>
            <w:r w:rsidRPr="00D51A68">
              <w:t>b)</w:t>
            </w:r>
            <w:r w:rsidR="00A0772B" w:rsidRPr="00D51A68">
              <w:tab/>
            </w:r>
            <w:r w:rsidRPr="00D51A68">
              <w:t xml:space="preserve">gli importi relativi agli investimenti ai quali si applica qualsiasi </w:t>
            </w:r>
            <w:r w:rsidRPr="00D51A68">
              <w:lastRenderedPageBreak/>
              <w:t>alternativa di cui all</w:t>
            </w:r>
            <w:r w:rsidR="0009277C" w:rsidRPr="00D51A68">
              <w:t>’</w:t>
            </w:r>
            <w:r w:rsidRPr="00D51A68">
              <w:t xml:space="preserve">articolo 49; e </w:t>
            </w:r>
          </w:p>
          <w:p w:rsidR="005643EA" w:rsidRPr="00D51A68" w:rsidRDefault="002648B0" w:rsidP="00FC1A76">
            <w:pPr>
              <w:pStyle w:val="InstructionsText"/>
            </w:pPr>
            <w:r w:rsidRPr="00D51A68">
              <w:t>c)</w:t>
            </w:r>
            <w:r w:rsidR="00A0772B" w:rsidRPr="00D51A68">
              <w:tab/>
            </w:r>
            <w:r w:rsidRPr="00D51A68">
              <w:t>le partecipazioni trattate come partecipazioni incrociate reciproche conformemente all</w:t>
            </w:r>
            <w:r w:rsidR="0009277C" w:rsidRPr="00D51A68">
              <w:t>’</w:t>
            </w:r>
            <w:r w:rsidRPr="00D51A68">
              <w:t>articolo 36, paragrafo 1, lettera g), del CRR.</w:t>
            </w:r>
          </w:p>
        </w:tc>
      </w:tr>
      <w:tr w:rsidR="002648B0" w:rsidRPr="00D51A68" w:rsidTr="00672D2A">
        <w:tc>
          <w:tcPr>
            <w:tcW w:w="1506" w:type="dxa"/>
          </w:tcPr>
          <w:p w:rsidR="002648B0" w:rsidRPr="00D51A68" w:rsidRDefault="002648B0" w:rsidP="00FC1A76">
            <w:pPr>
              <w:pStyle w:val="InstructionsText"/>
            </w:pPr>
            <w:r w:rsidRPr="00D51A68">
              <w:lastRenderedPageBreak/>
              <w:t>470</w:t>
            </w:r>
          </w:p>
        </w:tc>
        <w:tc>
          <w:tcPr>
            <w:tcW w:w="7243" w:type="dxa"/>
          </w:tcPr>
          <w:p w:rsidR="005643EA" w:rsidRPr="00D51A68" w:rsidRDefault="002648B0" w:rsidP="00FC1A76">
            <w:pPr>
              <w:pStyle w:val="InstructionsText"/>
            </w:pPr>
            <w:r w:rsidRPr="00D51A68">
              <w:rPr>
                <w:rStyle w:val="InstructionsTabelleberschrift"/>
                <w:rFonts w:ascii="Times New Roman" w:hAnsi="Times New Roman"/>
                <w:sz w:val="24"/>
              </w:rPr>
              <w:t>15.1.2</w:t>
            </w:r>
            <w:r w:rsidR="00A0772B" w:rsidRPr="00D51A68">
              <w:rPr>
                <w:u w:val="single"/>
              </w:rPr>
              <w:tab/>
            </w:r>
            <w:r w:rsidRPr="00D51A68">
              <w:rPr>
                <w:rStyle w:val="InstructionsTabelleberschrift"/>
                <w:rFonts w:ascii="Times New Roman" w:hAnsi="Times New Roman"/>
                <w:sz w:val="24"/>
              </w:rPr>
              <w:t>(-) Posizioni corte di segno opposto autorizzate in relazione alle detenzioni dirette lorde di cui sopra</w:t>
            </w:r>
          </w:p>
          <w:p w:rsidR="005643EA" w:rsidRPr="00D51A68" w:rsidRDefault="002648B0" w:rsidP="00FC1A76">
            <w:pPr>
              <w:pStyle w:val="InstructionsText"/>
            </w:pPr>
            <w:r w:rsidRPr="00D51A68">
              <w:t>Articolo 45 del CRR.</w:t>
            </w:r>
          </w:p>
          <w:p w:rsidR="005643EA" w:rsidRPr="00D51A68" w:rsidRDefault="002648B0" w:rsidP="00FC1A76">
            <w:pPr>
              <w:pStyle w:val="InstructionsText"/>
            </w:pPr>
            <w:r w:rsidRPr="00D51A68">
              <w:t>L</w:t>
            </w:r>
            <w:r w:rsidR="0009277C" w:rsidRPr="00D51A68">
              <w:t>’</w:t>
            </w:r>
            <w:r w:rsidRPr="00D51A68">
              <w:t>articolo 45, lettera a), del CRR permette di compensare le posizioni corte nella stessa esposizione sottostante a condizione che la scadenza della posizione corta corrisponda a quella della posizione lunga o abbia una durata residua di almeno un anno.</w:t>
            </w:r>
          </w:p>
        </w:tc>
      </w:tr>
      <w:tr w:rsidR="002648B0" w:rsidRPr="00D51A68" w:rsidTr="00672D2A">
        <w:tc>
          <w:tcPr>
            <w:tcW w:w="1506" w:type="dxa"/>
          </w:tcPr>
          <w:p w:rsidR="002648B0" w:rsidRPr="00D51A68" w:rsidRDefault="002648B0" w:rsidP="00FC1A76">
            <w:pPr>
              <w:pStyle w:val="InstructionsText"/>
            </w:pPr>
            <w:r w:rsidRPr="00D51A68">
              <w:t>480</w:t>
            </w:r>
          </w:p>
        </w:tc>
        <w:tc>
          <w:tcPr>
            <w:tcW w:w="7243" w:type="dxa"/>
          </w:tcPr>
          <w:p w:rsidR="005643EA" w:rsidRPr="00D51A68" w:rsidRDefault="002648B0" w:rsidP="00FC1A76">
            <w:pPr>
              <w:pStyle w:val="InstructionsText"/>
            </w:pPr>
            <w:r w:rsidRPr="00D51A68">
              <w:rPr>
                <w:rStyle w:val="InstructionsTabelleberschrift"/>
                <w:rFonts w:ascii="Times New Roman" w:hAnsi="Times New Roman"/>
                <w:sz w:val="24"/>
              </w:rPr>
              <w:t>15.2</w:t>
            </w:r>
            <w:r w:rsidR="00A0772B" w:rsidRPr="00D51A68">
              <w:rPr>
                <w:u w:val="single"/>
              </w:rPr>
              <w:tab/>
            </w:r>
            <w:r w:rsidRPr="00D51A68">
              <w:rPr>
                <w:rStyle w:val="InstructionsTabelleberschrift"/>
                <w:rFonts w:ascii="Times New Roman" w:hAnsi="Times New Roman"/>
                <w:sz w:val="24"/>
              </w:rPr>
              <w:t>Detenzioni indirette di capitale primario di classe 1 di soggetti del settore finanziario in cui 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ente ha un investimento significativo</w:t>
            </w:r>
          </w:p>
          <w:p w:rsidR="005643EA" w:rsidRPr="00D51A68" w:rsidRDefault="002648B0" w:rsidP="00FC1A76">
            <w:pPr>
              <w:pStyle w:val="InstructionsText"/>
            </w:pPr>
            <w:r w:rsidRPr="00D51A68">
              <w:t>Articolo 4, paragrafo 1, punto 114, e articoli 44 e 45 del CRR.</w:t>
            </w:r>
          </w:p>
        </w:tc>
      </w:tr>
      <w:tr w:rsidR="002648B0" w:rsidRPr="00D51A68" w:rsidTr="00672D2A">
        <w:tc>
          <w:tcPr>
            <w:tcW w:w="1506" w:type="dxa"/>
          </w:tcPr>
          <w:p w:rsidR="002648B0" w:rsidRPr="00D51A68" w:rsidRDefault="002648B0" w:rsidP="00FC1A76">
            <w:pPr>
              <w:pStyle w:val="InstructionsText"/>
            </w:pPr>
            <w:r w:rsidRPr="00D51A68">
              <w:t>490</w:t>
            </w:r>
          </w:p>
        </w:tc>
        <w:tc>
          <w:tcPr>
            <w:tcW w:w="7243" w:type="dxa"/>
          </w:tcPr>
          <w:p w:rsidR="005643EA" w:rsidRPr="00D51A68" w:rsidRDefault="002648B0" w:rsidP="00FC1A76">
            <w:pPr>
              <w:pStyle w:val="InstructionsText"/>
            </w:pPr>
            <w:r w:rsidRPr="00D51A68">
              <w:rPr>
                <w:rStyle w:val="InstructionsTabelleberschrift"/>
                <w:rFonts w:ascii="Times New Roman" w:hAnsi="Times New Roman"/>
                <w:sz w:val="24"/>
              </w:rPr>
              <w:t>15.2.1</w:t>
            </w:r>
            <w:r w:rsidR="00A0772B" w:rsidRPr="00D51A68">
              <w:rPr>
                <w:u w:val="single"/>
              </w:rPr>
              <w:tab/>
            </w:r>
            <w:r w:rsidRPr="00D51A68">
              <w:rPr>
                <w:rStyle w:val="InstructionsTabelleberschrift"/>
                <w:rFonts w:ascii="Times New Roman" w:hAnsi="Times New Roman"/>
                <w:sz w:val="24"/>
              </w:rPr>
              <w:t>Detenzioni indirette lorde di capitale primario di classe 1 di soggetti del settore finanziario in cui 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ente ha un investimento significativo</w:t>
            </w:r>
          </w:p>
          <w:p w:rsidR="005643EA" w:rsidRPr="00D51A68" w:rsidRDefault="002648B0" w:rsidP="00FC1A76">
            <w:pPr>
              <w:pStyle w:val="InstructionsText"/>
            </w:pPr>
            <w:r w:rsidRPr="00D51A68">
              <w:t>Articolo 4, paragrafo 1, punto 114, e articoli 44 e 45 del CRR.</w:t>
            </w:r>
          </w:p>
          <w:p w:rsidR="005643EA" w:rsidRPr="00D51A68" w:rsidRDefault="002648B0" w:rsidP="00FC1A76">
            <w:pPr>
              <w:pStyle w:val="InstructionsText"/>
            </w:pPr>
            <w:r w:rsidRPr="00D51A68">
              <w:t>L</w:t>
            </w:r>
            <w:r w:rsidR="0009277C" w:rsidRPr="00D51A68">
              <w:t>’</w:t>
            </w:r>
            <w:r w:rsidRPr="00D51A68">
              <w:t>importo da segnalare sono le partecipazioni indirette interne al portafoglio di negoziazione e relative agli strumenti di capitale di soggetti del settore finanziario sotto forma di detenzioni di titoli su indici. L</w:t>
            </w:r>
            <w:r w:rsidR="0009277C" w:rsidRPr="00D51A68">
              <w:t>’</w:t>
            </w:r>
            <w:r w:rsidRPr="00D51A68">
              <w:t>importo si ottiene calcolando l</w:t>
            </w:r>
            <w:r w:rsidR="0009277C" w:rsidRPr="00D51A68">
              <w:t>’</w:t>
            </w:r>
            <w:r w:rsidRPr="00D51A68">
              <w:t>esposizione sottostante verso gli strumenti di capitale dei soggetti del settore finanziario compresi negli indici.</w:t>
            </w:r>
          </w:p>
          <w:p w:rsidR="005643EA" w:rsidRPr="00D51A68" w:rsidRDefault="002648B0" w:rsidP="00FC1A76">
            <w:pPr>
              <w:pStyle w:val="InstructionsText"/>
            </w:pPr>
            <w:r w:rsidRPr="00D51A68">
              <w:t>Non sono incluse in questa riga le partecipazioni trattate come partecipazioni incrociate reciproche conformemente all</w:t>
            </w:r>
            <w:r w:rsidR="0009277C" w:rsidRPr="00D51A68">
              <w:t>’</w:t>
            </w:r>
            <w:r w:rsidRPr="00D51A68">
              <w:t>articolo 36, paragrafo 1, lettera g), del CRR.</w:t>
            </w:r>
          </w:p>
        </w:tc>
      </w:tr>
      <w:tr w:rsidR="002648B0" w:rsidRPr="00D51A68" w:rsidTr="00672D2A">
        <w:tc>
          <w:tcPr>
            <w:tcW w:w="1506" w:type="dxa"/>
          </w:tcPr>
          <w:p w:rsidR="002648B0" w:rsidRPr="00D51A68" w:rsidRDefault="002648B0" w:rsidP="00FC1A76">
            <w:pPr>
              <w:pStyle w:val="InstructionsText"/>
            </w:pPr>
            <w:r w:rsidRPr="00D51A68">
              <w:t>500</w:t>
            </w:r>
          </w:p>
        </w:tc>
        <w:tc>
          <w:tcPr>
            <w:tcW w:w="7243" w:type="dxa"/>
          </w:tcPr>
          <w:p w:rsidR="005643EA" w:rsidRPr="00D51A68" w:rsidRDefault="002648B0" w:rsidP="00FC1A76">
            <w:pPr>
              <w:pStyle w:val="InstructionsText"/>
            </w:pPr>
            <w:r w:rsidRPr="00D51A68">
              <w:rPr>
                <w:rStyle w:val="InstructionsTabelleberschrift"/>
                <w:rFonts w:ascii="Times New Roman" w:hAnsi="Times New Roman"/>
                <w:sz w:val="24"/>
              </w:rPr>
              <w:t>15.2.2</w:t>
            </w:r>
            <w:r w:rsidR="00A0772B" w:rsidRPr="00D51A68">
              <w:rPr>
                <w:u w:val="single"/>
              </w:rPr>
              <w:tab/>
            </w:r>
            <w:r w:rsidRPr="00D51A68">
              <w:rPr>
                <w:rStyle w:val="InstructionsTabelleberschrift"/>
                <w:rFonts w:ascii="Times New Roman" w:hAnsi="Times New Roman"/>
                <w:sz w:val="24"/>
              </w:rPr>
              <w:t>(-) Posizioni corte di segno opposto autorizzate in relazione alle detenzioni indirette lorde di cui sopra</w:t>
            </w:r>
          </w:p>
          <w:p w:rsidR="005643EA" w:rsidRPr="00D51A68" w:rsidRDefault="002648B0" w:rsidP="00FC1A76">
            <w:pPr>
              <w:pStyle w:val="InstructionsText"/>
            </w:pPr>
            <w:r w:rsidRPr="00D51A68">
              <w:t>Articolo 4, paragrafo 1, punto 114, e articolo 45 del CRR.</w:t>
            </w:r>
          </w:p>
          <w:p w:rsidR="005643EA" w:rsidRPr="00D51A68" w:rsidRDefault="002648B0" w:rsidP="00FC1A76">
            <w:pPr>
              <w:pStyle w:val="InstructionsText"/>
            </w:pPr>
            <w:r w:rsidRPr="00D51A68">
              <w:t>L</w:t>
            </w:r>
            <w:r w:rsidR="0009277C" w:rsidRPr="00D51A68">
              <w:t>’</w:t>
            </w:r>
            <w:r w:rsidRPr="00D51A68">
              <w:t>articolo 45, lettera a), del CRR permette di compensare le posizioni corte nella stessa esposizione sottostante a condizione che la scadenza della posizione corta corrisponda a quella della posizione lunga o abbia una durata residua di almeno un anno.</w:t>
            </w:r>
          </w:p>
        </w:tc>
      </w:tr>
      <w:tr w:rsidR="00DE5A31" w:rsidRPr="00D51A68" w:rsidTr="00672D2A">
        <w:tc>
          <w:tcPr>
            <w:tcW w:w="1506" w:type="dxa"/>
          </w:tcPr>
          <w:p w:rsidR="00DE5A31" w:rsidRPr="00D51A68" w:rsidRDefault="00DE5A31" w:rsidP="00FC1A76">
            <w:pPr>
              <w:pStyle w:val="InstructionsText"/>
            </w:pPr>
            <w:r w:rsidRPr="00D51A68">
              <w:t>501</w:t>
            </w:r>
          </w:p>
        </w:tc>
        <w:tc>
          <w:tcPr>
            <w:tcW w:w="7243" w:type="dxa"/>
          </w:tcPr>
          <w:p w:rsidR="005643EA" w:rsidRPr="00D51A68" w:rsidRDefault="00DE5A31" w:rsidP="00FC1A76">
            <w:pPr>
              <w:pStyle w:val="InstructionsText"/>
            </w:pPr>
            <w:r w:rsidRPr="00D51A68">
              <w:rPr>
                <w:rStyle w:val="InstructionsTabelleberschrift"/>
                <w:rFonts w:ascii="Times New Roman" w:hAnsi="Times New Roman"/>
                <w:sz w:val="24"/>
              </w:rPr>
              <w:t>15.3</w:t>
            </w:r>
            <w:r w:rsidR="00A0772B" w:rsidRPr="00D51A68">
              <w:rPr>
                <w:u w:val="single"/>
              </w:rPr>
              <w:tab/>
            </w:r>
            <w:r w:rsidRPr="00D51A68">
              <w:rPr>
                <w:rStyle w:val="InstructionsTabelleberschrift"/>
                <w:rFonts w:ascii="Times New Roman" w:hAnsi="Times New Roman"/>
                <w:sz w:val="24"/>
              </w:rPr>
              <w:t>Detenzioni sintetiche di capitale primario di classe 1 di soggetti del settore finanziario in cui 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ente ha un investimento significativo</w:t>
            </w:r>
          </w:p>
          <w:p w:rsidR="005643EA" w:rsidRPr="00D51A68" w:rsidRDefault="00805255" w:rsidP="00FC1A76">
            <w:pPr>
              <w:pStyle w:val="InstructionsText"/>
            </w:pPr>
            <w:r w:rsidRPr="00D51A68">
              <w:t>Articolo 4, paragrafo 1, punto 126, e articoli 44 e 45 del CRR.</w:t>
            </w:r>
          </w:p>
        </w:tc>
      </w:tr>
      <w:tr w:rsidR="00DE5A31" w:rsidRPr="00D51A68" w:rsidTr="00672D2A">
        <w:tc>
          <w:tcPr>
            <w:tcW w:w="1506" w:type="dxa"/>
          </w:tcPr>
          <w:p w:rsidR="00DE5A31" w:rsidRPr="00D51A68" w:rsidRDefault="00DE5A31" w:rsidP="00FC1A76">
            <w:pPr>
              <w:pStyle w:val="InstructionsText"/>
            </w:pPr>
            <w:r w:rsidRPr="00D51A68">
              <w:t>502</w:t>
            </w:r>
          </w:p>
        </w:tc>
        <w:tc>
          <w:tcPr>
            <w:tcW w:w="7243" w:type="dxa"/>
          </w:tcPr>
          <w:p w:rsidR="005643EA" w:rsidRPr="00D51A68" w:rsidRDefault="00DE5A31" w:rsidP="00FC1A76">
            <w:pPr>
              <w:pStyle w:val="InstructionsText"/>
            </w:pPr>
            <w:r w:rsidRPr="00D51A68">
              <w:rPr>
                <w:rStyle w:val="InstructionsTabelleberschrift"/>
                <w:rFonts w:ascii="Times New Roman" w:hAnsi="Times New Roman"/>
                <w:sz w:val="24"/>
              </w:rPr>
              <w:t>15.3.1</w:t>
            </w:r>
            <w:r w:rsidR="00A0772B" w:rsidRPr="00D51A68">
              <w:rPr>
                <w:u w:val="single"/>
              </w:rPr>
              <w:tab/>
            </w:r>
            <w:r w:rsidRPr="00D51A68">
              <w:rPr>
                <w:rStyle w:val="InstructionsTabelleberschrift"/>
                <w:rFonts w:ascii="Times New Roman" w:hAnsi="Times New Roman"/>
                <w:sz w:val="24"/>
              </w:rPr>
              <w:t>Detenzioni sintetiche lorde di capitale primario di classe 1 di soggetti del settore finanziario in cui 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ente ha un investimento significativo</w:t>
            </w:r>
          </w:p>
          <w:p w:rsidR="005643EA" w:rsidRPr="00D51A68" w:rsidRDefault="00805255" w:rsidP="00FC1A76">
            <w:pPr>
              <w:pStyle w:val="InstructionsText"/>
            </w:pPr>
            <w:r w:rsidRPr="00D51A68">
              <w:lastRenderedPageBreak/>
              <w:t>Articolo 4, paragrafo 1, punto 126, e articoli 44 e 45 del CRR.</w:t>
            </w:r>
          </w:p>
        </w:tc>
      </w:tr>
      <w:tr w:rsidR="00DE5A31" w:rsidRPr="00D51A68" w:rsidTr="00672D2A">
        <w:tc>
          <w:tcPr>
            <w:tcW w:w="1506" w:type="dxa"/>
          </w:tcPr>
          <w:p w:rsidR="00DE5A31" w:rsidRPr="00D51A68" w:rsidRDefault="00E81DB9" w:rsidP="00FC1A76">
            <w:pPr>
              <w:pStyle w:val="InstructionsText"/>
            </w:pPr>
            <w:r w:rsidRPr="00D51A68">
              <w:lastRenderedPageBreak/>
              <w:t>503</w:t>
            </w:r>
          </w:p>
        </w:tc>
        <w:tc>
          <w:tcPr>
            <w:tcW w:w="7243" w:type="dxa"/>
          </w:tcPr>
          <w:p w:rsidR="005643EA" w:rsidRPr="00D51A68" w:rsidRDefault="00E81DB9" w:rsidP="00FC1A76">
            <w:pPr>
              <w:pStyle w:val="InstructionsText"/>
            </w:pPr>
            <w:r w:rsidRPr="00D51A68">
              <w:rPr>
                <w:rStyle w:val="InstructionsTabelleberschrift"/>
                <w:rFonts w:ascii="Times New Roman" w:hAnsi="Times New Roman"/>
                <w:sz w:val="24"/>
              </w:rPr>
              <w:t>15.3.2</w:t>
            </w:r>
            <w:r w:rsidR="00A0772B" w:rsidRPr="00D51A68">
              <w:rPr>
                <w:u w:val="single"/>
              </w:rPr>
              <w:tab/>
            </w:r>
            <w:r w:rsidRPr="00D51A68">
              <w:rPr>
                <w:rStyle w:val="InstructionsTabelleberschrift"/>
                <w:rFonts w:ascii="Times New Roman" w:hAnsi="Times New Roman"/>
                <w:sz w:val="24"/>
              </w:rPr>
              <w:t>(-) Posizioni corte di segno opposto autorizzate in relazione alle detenzioni sintetiche lorde di cui sopra</w:t>
            </w:r>
          </w:p>
          <w:p w:rsidR="005643EA" w:rsidRPr="00D51A68" w:rsidRDefault="00805255" w:rsidP="00FC1A76">
            <w:pPr>
              <w:pStyle w:val="InstructionsText"/>
            </w:pPr>
            <w:r w:rsidRPr="00D51A68">
              <w:t>Articolo 4, paragrafo 1, punto 126, e articolo 45 del CRR.</w:t>
            </w:r>
          </w:p>
        </w:tc>
      </w:tr>
      <w:tr w:rsidR="002648B0" w:rsidRPr="00D51A68" w:rsidTr="00672D2A">
        <w:tc>
          <w:tcPr>
            <w:tcW w:w="1506" w:type="dxa"/>
          </w:tcPr>
          <w:p w:rsidR="002648B0" w:rsidRPr="00D51A68" w:rsidRDefault="002648B0" w:rsidP="00FC1A76">
            <w:pPr>
              <w:pStyle w:val="InstructionsText"/>
            </w:pPr>
            <w:r w:rsidRPr="00D51A68">
              <w:t>510</w:t>
            </w:r>
          </w:p>
        </w:tc>
        <w:tc>
          <w:tcPr>
            <w:tcW w:w="7243" w:type="dxa"/>
          </w:tcPr>
          <w:p w:rsidR="005643EA" w:rsidRPr="00D51A68" w:rsidRDefault="002648B0" w:rsidP="00FC1A76">
            <w:pPr>
              <w:pStyle w:val="InstructionsText"/>
            </w:pPr>
            <w:r w:rsidRPr="00D51A68">
              <w:rPr>
                <w:rStyle w:val="InstructionsTabelleberschrift"/>
                <w:rFonts w:ascii="Times New Roman" w:hAnsi="Times New Roman"/>
                <w:sz w:val="24"/>
              </w:rPr>
              <w:t>16. Detenzioni di capitale aggiuntivo di classe 1 di soggetti del settore finanziario in cui 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ente ha un investimento significativo, al netto delle posizioni corte</w:t>
            </w:r>
          </w:p>
          <w:p w:rsidR="005643EA" w:rsidRPr="00D51A68" w:rsidRDefault="002648B0" w:rsidP="00FC1A76">
            <w:pPr>
              <w:pStyle w:val="InstructionsText"/>
            </w:pPr>
            <w:r w:rsidRPr="00D51A68">
              <w:t>Articoli 58 e 59 del CRR.</w:t>
            </w:r>
          </w:p>
        </w:tc>
      </w:tr>
      <w:tr w:rsidR="002648B0" w:rsidRPr="00D51A68" w:rsidTr="00672D2A">
        <w:tc>
          <w:tcPr>
            <w:tcW w:w="1506" w:type="dxa"/>
          </w:tcPr>
          <w:p w:rsidR="002648B0" w:rsidRPr="00D51A68" w:rsidRDefault="002648B0" w:rsidP="00FC1A76">
            <w:pPr>
              <w:pStyle w:val="InstructionsText"/>
            </w:pPr>
            <w:r w:rsidRPr="00D51A68">
              <w:t>520</w:t>
            </w:r>
          </w:p>
        </w:tc>
        <w:tc>
          <w:tcPr>
            <w:tcW w:w="7243" w:type="dxa"/>
          </w:tcPr>
          <w:p w:rsidR="005643EA" w:rsidRPr="00D51A68" w:rsidRDefault="002648B0" w:rsidP="00FC1A76">
            <w:pPr>
              <w:pStyle w:val="InstructionsText"/>
            </w:pPr>
            <w:r w:rsidRPr="00D51A68">
              <w:rPr>
                <w:rStyle w:val="InstructionsTabelleberschrift"/>
                <w:rFonts w:ascii="Times New Roman" w:hAnsi="Times New Roman"/>
                <w:sz w:val="24"/>
              </w:rPr>
              <w:t>16.1</w:t>
            </w:r>
            <w:r w:rsidR="00A0772B" w:rsidRPr="00D51A68">
              <w:rPr>
                <w:u w:val="single"/>
              </w:rPr>
              <w:tab/>
            </w:r>
            <w:r w:rsidRPr="00D51A68">
              <w:rPr>
                <w:rStyle w:val="InstructionsTabelleberschrift"/>
                <w:rFonts w:ascii="Times New Roman" w:hAnsi="Times New Roman"/>
                <w:sz w:val="24"/>
              </w:rPr>
              <w:t>Detenzioni dirette di capitale aggiuntivo di classe 1 di soggetti del settore finanziario in cui 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ente ha un investimento significativo</w:t>
            </w:r>
          </w:p>
          <w:p w:rsidR="005643EA" w:rsidRPr="00D51A68" w:rsidRDefault="002648B0" w:rsidP="00FC1A76">
            <w:pPr>
              <w:pStyle w:val="InstructionsText"/>
            </w:pPr>
            <w:r w:rsidRPr="00D51A68">
              <w:t>Articoli 58 e 59 del CRR.</w:t>
            </w:r>
          </w:p>
        </w:tc>
      </w:tr>
      <w:tr w:rsidR="002648B0" w:rsidRPr="00D51A68" w:rsidTr="00672D2A">
        <w:tc>
          <w:tcPr>
            <w:tcW w:w="1506" w:type="dxa"/>
          </w:tcPr>
          <w:p w:rsidR="002648B0" w:rsidRPr="00D51A68" w:rsidRDefault="002648B0" w:rsidP="00FC1A76">
            <w:pPr>
              <w:pStyle w:val="InstructionsText"/>
            </w:pPr>
            <w:r w:rsidRPr="00D51A68">
              <w:t>530</w:t>
            </w:r>
          </w:p>
        </w:tc>
        <w:tc>
          <w:tcPr>
            <w:tcW w:w="7243" w:type="dxa"/>
          </w:tcPr>
          <w:p w:rsidR="005643EA" w:rsidRPr="00D51A68" w:rsidRDefault="002648B0" w:rsidP="00FC1A76">
            <w:pPr>
              <w:pStyle w:val="InstructionsText"/>
            </w:pPr>
            <w:r w:rsidRPr="00D51A68">
              <w:rPr>
                <w:rStyle w:val="InstructionsTabelleberschrift"/>
                <w:rFonts w:ascii="Times New Roman" w:hAnsi="Times New Roman"/>
                <w:sz w:val="24"/>
              </w:rPr>
              <w:t>16.1.1</w:t>
            </w:r>
            <w:r w:rsidR="00A0772B" w:rsidRPr="00D51A68">
              <w:rPr>
                <w:u w:val="single"/>
              </w:rPr>
              <w:tab/>
            </w:r>
            <w:r w:rsidRPr="00D51A68">
              <w:rPr>
                <w:rStyle w:val="InstructionsTabelleberschrift"/>
                <w:rFonts w:ascii="Times New Roman" w:hAnsi="Times New Roman"/>
                <w:sz w:val="24"/>
              </w:rPr>
              <w:t>Detenzioni dirette lorde di capitale aggiuntivo di classe 1 di soggetti del settore finanziario in cui 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ente ha un investimento significativo</w:t>
            </w:r>
          </w:p>
          <w:p w:rsidR="005643EA" w:rsidRPr="00D51A68" w:rsidRDefault="002648B0" w:rsidP="00FC1A76">
            <w:pPr>
              <w:pStyle w:val="InstructionsText"/>
            </w:pPr>
            <w:r w:rsidRPr="00D51A68">
              <w:t>Articolo 58 del CRR.</w:t>
            </w:r>
          </w:p>
          <w:p w:rsidR="005643EA" w:rsidRPr="00D51A68" w:rsidRDefault="002648B0" w:rsidP="00FC1A76">
            <w:pPr>
              <w:pStyle w:val="InstructionsText"/>
            </w:pPr>
            <w:r w:rsidRPr="00D51A68">
              <w:t>Partecipazioni dirette nel capitale aggiuntivo di classe 1 di soggetti del settore finanziario in cui l</w:t>
            </w:r>
            <w:r w:rsidR="0009277C" w:rsidRPr="00D51A68">
              <w:t>’</w:t>
            </w:r>
            <w:r w:rsidRPr="00D51A68">
              <w:t>ente ha un investimento significativo, escluse:</w:t>
            </w:r>
          </w:p>
          <w:p w:rsidR="005643EA" w:rsidRPr="00D51A68" w:rsidRDefault="002648B0" w:rsidP="00FC1A76">
            <w:pPr>
              <w:pStyle w:val="InstructionsText"/>
            </w:pPr>
            <w:r w:rsidRPr="00D51A68">
              <w:t>a)</w:t>
            </w:r>
            <w:r w:rsidR="00A0772B" w:rsidRPr="00D51A68">
              <w:tab/>
            </w:r>
            <w:r w:rsidRPr="00D51A68">
              <w:t>le posizioni in impegni irrevocabili di acquisto detenute per cinque giorni lavorativi o meno conformemente all</w:t>
            </w:r>
            <w:r w:rsidR="0009277C" w:rsidRPr="00D51A68">
              <w:t>’</w:t>
            </w:r>
            <w:r w:rsidRPr="00D51A68">
              <w:t>articolo 56</w:t>
            </w:r>
            <w:r w:rsidR="00680E39" w:rsidRPr="00D51A68">
              <w:t>, lettera </w:t>
            </w:r>
            <w:r w:rsidRPr="00D51A68">
              <w:t xml:space="preserve">d), e </w:t>
            </w:r>
          </w:p>
          <w:p w:rsidR="005643EA" w:rsidRPr="00D51A68" w:rsidRDefault="002648B0" w:rsidP="00FC1A76">
            <w:pPr>
              <w:pStyle w:val="InstructionsText"/>
            </w:pPr>
            <w:r w:rsidRPr="00D51A68">
              <w:t>b)</w:t>
            </w:r>
            <w:r w:rsidR="00A0772B" w:rsidRPr="00D51A68">
              <w:tab/>
            </w:r>
            <w:r w:rsidRPr="00D51A68">
              <w:t>le partecipazioni trattate come partecipazioni incrociate reciproche conformemente all</w:t>
            </w:r>
            <w:r w:rsidR="0009277C" w:rsidRPr="00D51A68">
              <w:t>’</w:t>
            </w:r>
            <w:r w:rsidRPr="00D51A68">
              <w:t>articolo 56, lettera b), del CRR.</w:t>
            </w:r>
          </w:p>
        </w:tc>
      </w:tr>
      <w:tr w:rsidR="002648B0" w:rsidRPr="00D51A68" w:rsidTr="00672D2A">
        <w:tc>
          <w:tcPr>
            <w:tcW w:w="1506" w:type="dxa"/>
          </w:tcPr>
          <w:p w:rsidR="002648B0" w:rsidRPr="00D51A68" w:rsidRDefault="002648B0" w:rsidP="00FC1A76">
            <w:pPr>
              <w:pStyle w:val="InstructionsText"/>
            </w:pPr>
            <w:r w:rsidRPr="00D51A68">
              <w:t>540</w:t>
            </w:r>
          </w:p>
        </w:tc>
        <w:tc>
          <w:tcPr>
            <w:tcW w:w="7243" w:type="dxa"/>
          </w:tcPr>
          <w:p w:rsidR="005643EA" w:rsidRPr="00D51A68" w:rsidRDefault="002648B0" w:rsidP="00FC1A76">
            <w:pPr>
              <w:pStyle w:val="InstructionsText"/>
            </w:pPr>
            <w:r w:rsidRPr="00D51A68">
              <w:rPr>
                <w:rStyle w:val="InstructionsTabelleberschrift"/>
                <w:rFonts w:ascii="Times New Roman" w:hAnsi="Times New Roman"/>
                <w:sz w:val="24"/>
              </w:rPr>
              <w:t>16.1.2</w:t>
            </w:r>
            <w:r w:rsidR="00A0772B" w:rsidRPr="00D51A68">
              <w:rPr>
                <w:u w:val="single"/>
              </w:rPr>
              <w:tab/>
            </w:r>
            <w:r w:rsidRPr="00D51A68">
              <w:rPr>
                <w:rStyle w:val="InstructionsTabelleberschrift"/>
                <w:rFonts w:ascii="Times New Roman" w:hAnsi="Times New Roman"/>
                <w:sz w:val="24"/>
              </w:rPr>
              <w:t>(-) Posizioni corte di segno opposto autorizzate in relazione alle detenzioni dirette lorde di cui sopra</w:t>
            </w:r>
          </w:p>
          <w:p w:rsidR="005643EA" w:rsidRPr="00D51A68" w:rsidRDefault="002648B0" w:rsidP="00FC1A76">
            <w:pPr>
              <w:pStyle w:val="InstructionsText"/>
            </w:pPr>
            <w:r w:rsidRPr="00D51A68">
              <w:t>Articolo 59 del CRR.</w:t>
            </w:r>
          </w:p>
          <w:p w:rsidR="005643EA" w:rsidRPr="00D51A68" w:rsidRDefault="002648B0" w:rsidP="00FC1A76">
            <w:pPr>
              <w:pStyle w:val="InstructionsText"/>
            </w:pPr>
            <w:r w:rsidRPr="00D51A68">
              <w:t>L</w:t>
            </w:r>
            <w:r w:rsidR="0009277C" w:rsidRPr="00D51A68">
              <w:t>’</w:t>
            </w:r>
            <w:r w:rsidRPr="00D51A68">
              <w:t>articolo 59, lettera a), del CRR permette di compensare le posizioni corte nella stessa esposizione sottostante a condizione che la scadenza della posizione corta corrisponda a quella della posizione lunga o abbia una durata residua di almeno un anno.</w:t>
            </w:r>
          </w:p>
        </w:tc>
      </w:tr>
      <w:tr w:rsidR="002648B0" w:rsidRPr="00D51A68" w:rsidTr="00672D2A">
        <w:tc>
          <w:tcPr>
            <w:tcW w:w="1506" w:type="dxa"/>
          </w:tcPr>
          <w:p w:rsidR="002648B0" w:rsidRPr="00D51A68" w:rsidRDefault="002648B0" w:rsidP="00FC1A76">
            <w:pPr>
              <w:pStyle w:val="InstructionsText"/>
            </w:pPr>
            <w:r w:rsidRPr="00D51A68">
              <w:t>550</w:t>
            </w:r>
          </w:p>
        </w:tc>
        <w:tc>
          <w:tcPr>
            <w:tcW w:w="7243" w:type="dxa"/>
          </w:tcPr>
          <w:p w:rsidR="005643EA" w:rsidRPr="00D51A68" w:rsidRDefault="002648B0" w:rsidP="00FC1A76">
            <w:pPr>
              <w:pStyle w:val="InstructionsText"/>
            </w:pPr>
            <w:r w:rsidRPr="00D51A68">
              <w:rPr>
                <w:rStyle w:val="InstructionsTabelleberschrift"/>
                <w:rFonts w:ascii="Times New Roman" w:hAnsi="Times New Roman"/>
                <w:sz w:val="24"/>
              </w:rPr>
              <w:t>16.2</w:t>
            </w:r>
            <w:r w:rsidR="00A0772B" w:rsidRPr="00D51A68">
              <w:rPr>
                <w:u w:val="single"/>
              </w:rPr>
              <w:tab/>
            </w:r>
            <w:r w:rsidRPr="00D51A68">
              <w:rPr>
                <w:rStyle w:val="InstructionsTabelleberschrift"/>
                <w:rFonts w:ascii="Times New Roman" w:hAnsi="Times New Roman"/>
                <w:sz w:val="24"/>
              </w:rPr>
              <w:t>Detenzioni indirette di capitale aggiuntivo di classe 1 di soggetti del settore finanziario in cui 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ente ha un investimento significativo</w:t>
            </w:r>
          </w:p>
          <w:p w:rsidR="005643EA" w:rsidRPr="00D51A68" w:rsidRDefault="002648B0" w:rsidP="00FC1A76">
            <w:pPr>
              <w:pStyle w:val="InstructionsText"/>
            </w:pPr>
            <w:r w:rsidRPr="00D51A68">
              <w:t>Articolo 4, paragrafo 1, punto 114, e articoli 58 e 59 del CRR.</w:t>
            </w:r>
          </w:p>
        </w:tc>
      </w:tr>
      <w:tr w:rsidR="002648B0" w:rsidRPr="00D51A68" w:rsidTr="00672D2A">
        <w:tc>
          <w:tcPr>
            <w:tcW w:w="1506" w:type="dxa"/>
          </w:tcPr>
          <w:p w:rsidR="002648B0" w:rsidRPr="00D51A68" w:rsidRDefault="002648B0" w:rsidP="00FC1A76">
            <w:pPr>
              <w:pStyle w:val="InstructionsText"/>
            </w:pPr>
            <w:r w:rsidRPr="00D51A68">
              <w:t>560</w:t>
            </w:r>
          </w:p>
        </w:tc>
        <w:tc>
          <w:tcPr>
            <w:tcW w:w="7243" w:type="dxa"/>
          </w:tcPr>
          <w:p w:rsidR="005643EA" w:rsidRPr="00D51A68" w:rsidRDefault="002648B0" w:rsidP="00FC1A76">
            <w:pPr>
              <w:pStyle w:val="InstructionsText"/>
            </w:pPr>
            <w:r w:rsidRPr="00D51A68">
              <w:rPr>
                <w:rStyle w:val="InstructionsTabelleberschrift"/>
                <w:rFonts w:ascii="Times New Roman" w:hAnsi="Times New Roman"/>
                <w:sz w:val="24"/>
              </w:rPr>
              <w:t>16.2.1</w:t>
            </w:r>
            <w:r w:rsidR="00A0772B" w:rsidRPr="00D51A68">
              <w:rPr>
                <w:u w:val="single"/>
              </w:rPr>
              <w:tab/>
            </w:r>
            <w:r w:rsidRPr="00D51A68">
              <w:rPr>
                <w:rStyle w:val="InstructionsTabelleberschrift"/>
                <w:rFonts w:ascii="Times New Roman" w:hAnsi="Times New Roman"/>
                <w:sz w:val="24"/>
              </w:rPr>
              <w:t>Detenzioni indirette lorde di capitale aggiuntivo di classe 1 di soggetti del settore finanziario in cui 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ente ha un investimento significativo</w:t>
            </w:r>
          </w:p>
          <w:p w:rsidR="005643EA" w:rsidRPr="00D51A68" w:rsidRDefault="002648B0" w:rsidP="00FC1A76">
            <w:pPr>
              <w:pStyle w:val="InstructionsText"/>
            </w:pPr>
            <w:r w:rsidRPr="00D51A68">
              <w:t>Articolo 4, paragrafo 1, punto 114, e articoli 58 e 59 del CRR.</w:t>
            </w:r>
          </w:p>
          <w:p w:rsidR="005643EA" w:rsidRPr="00D51A68" w:rsidRDefault="002648B0" w:rsidP="00FC1A76">
            <w:pPr>
              <w:pStyle w:val="InstructionsText"/>
            </w:pPr>
            <w:r w:rsidRPr="00D51A68">
              <w:t>L</w:t>
            </w:r>
            <w:r w:rsidR="0009277C" w:rsidRPr="00D51A68">
              <w:t>’</w:t>
            </w:r>
            <w:r w:rsidRPr="00D51A68">
              <w:t>importo da segnalare sono le partecipazioni indirette interne al portafoglio di negoziazione e relative agli strumenti di capitale di soggetti del settore finanziario sotto forma di detenzioni di titoli su indici. L</w:t>
            </w:r>
            <w:r w:rsidR="0009277C" w:rsidRPr="00D51A68">
              <w:t>’</w:t>
            </w:r>
            <w:r w:rsidRPr="00D51A68">
              <w:t>importo si ottiene calcolando l</w:t>
            </w:r>
            <w:r w:rsidR="0009277C" w:rsidRPr="00D51A68">
              <w:t>’</w:t>
            </w:r>
            <w:r w:rsidRPr="00D51A68">
              <w:t xml:space="preserve">esposizione sottostante verso gli strumenti di capitale dei soggetti del settore finanziario compresi negli </w:t>
            </w:r>
            <w:r w:rsidRPr="00D51A68">
              <w:lastRenderedPageBreak/>
              <w:t>indici.</w:t>
            </w:r>
          </w:p>
          <w:p w:rsidR="005643EA" w:rsidRPr="00D51A68" w:rsidRDefault="002648B0" w:rsidP="00FC1A76">
            <w:pPr>
              <w:pStyle w:val="InstructionsText"/>
            </w:pPr>
            <w:r w:rsidRPr="00D51A68">
              <w:t>Non sono incluse in questa riga le partecipazioni trattate come partecipazioni incrociate reciproche conformemente all</w:t>
            </w:r>
            <w:r w:rsidR="0009277C" w:rsidRPr="00D51A68">
              <w:t>’</w:t>
            </w:r>
            <w:r w:rsidRPr="00D51A68">
              <w:t>articolo 56, lettera b), del CRR.</w:t>
            </w:r>
          </w:p>
        </w:tc>
      </w:tr>
      <w:tr w:rsidR="002648B0" w:rsidRPr="00D51A68" w:rsidTr="00672D2A">
        <w:tc>
          <w:tcPr>
            <w:tcW w:w="1506" w:type="dxa"/>
          </w:tcPr>
          <w:p w:rsidR="002648B0" w:rsidRPr="00D51A68" w:rsidRDefault="002648B0" w:rsidP="00FC1A76">
            <w:pPr>
              <w:pStyle w:val="InstructionsText"/>
            </w:pPr>
            <w:r w:rsidRPr="00D51A68">
              <w:lastRenderedPageBreak/>
              <w:t>570</w:t>
            </w:r>
          </w:p>
        </w:tc>
        <w:tc>
          <w:tcPr>
            <w:tcW w:w="7243" w:type="dxa"/>
          </w:tcPr>
          <w:p w:rsidR="005643EA" w:rsidRPr="00D51A68" w:rsidRDefault="002648B0" w:rsidP="00FC1A76">
            <w:pPr>
              <w:pStyle w:val="InstructionsText"/>
            </w:pPr>
            <w:r w:rsidRPr="00D51A68">
              <w:rPr>
                <w:rStyle w:val="InstructionsTabelleberschrift"/>
                <w:rFonts w:ascii="Times New Roman" w:hAnsi="Times New Roman"/>
                <w:sz w:val="24"/>
              </w:rPr>
              <w:t>16.2.2</w:t>
            </w:r>
            <w:r w:rsidR="00A0772B" w:rsidRPr="00D51A68">
              <w:rPr>
                <w:u w:val="single"/>
              </w:rPr>
              <w:tab/>
            </w:r>
            <w:r w:rsidRPr="00D51A68">
              <w:rPr>
                <w:rStyle w:val="InstructionsTabelleberschrift"/>
                <w:rFonts w:ascii="Times New Roman" w:hAnsi="Times New Roman"/>
                <w:sz w:val="24"/>
              </w:rPr>
              <w:t>(-) Posizioni corte di segno opposto autorizzate in relazione alle detenzioni indirette lorde di cui sopra</w:t>
            </w:r>
          </w:p>
          <w:p w:rsidR="005643EA" w:rsidRPr="00D51A68" w:rsidRDefault="002648B0" w:rsidP="00FC1A76">
            <w:pPr>
              <w:pStyle w:val="InstructionsText"/>
            </w:pPr>
            <w:r w:rsidRPr="00D51A68">
              <w:t>Articolo 4, paragrafo 1, punto 114, e articolo 59 del CRR.</w:t>
            </w:r>
          </w:p>
          <w:p w:rsidR="005643EA" w:rsidRPr="00D51A68" w:rsidRDefault="002648B0" w:rsidP="00FC1A76">
            <w:pPr>
              <w:pStyle w:val="InstructionsText"/>
            </w:pPr>
            <w:r w:rsidRPr="00D51A68">
              <w:t>L</w:t>
            </w:r>
            <w:r w:rsidR="0009277C" w:rsidRPr="00D51A68">
              <w:t>’</w:t>
            </w:r>
            <w:r w:rsidRPr="00D51A68">
              <w:t>articolo 59, lettera a), del CRR permette di compensare le posizioni corte nella stessa esposizione sottostante a condizione che la scadenza della posizione corta corrisponda a quella della posizione lunga o abbia una durata residua di almeno un anno.</w:t>
            </w:r>
          </w:p>
        </w:tc>
      </w:tr>
      <w:tr w:rsidR="00E81DB9" w:rsidRPr="00D51A68" w:rsidTr="00672D2A">
        <w:tc>
          <w:tcPr>
            <w:tcW w:w="1506" w:type="dxa"/>
          </w:tcPr>
          <w:p w:rsidR="00E81DB9" w:rsidRPr="00D51A68" w:rsidRDefault="00E81DB9" w:rsidP="00FC1A76">
            <w:pPr>
              <w:pStyle w:val="InstructionsText"/>
            </w:pPr>
            <w:r w:rsidRPr="00D51A68">
              <w:t>571</w:t>
            </w:r>
          </w:p>
        </w:tc>
        <w:tc>
          <w:tcPr>
            <w:tcW w:w="7243" w:type="dxa"/>
          </w:tcPr>
          <w:p w:rsidR="005643EA" w:rsidRPr="00D51A68" w:rsidRDefault="00E81DB9" w:rsidP="00FC1A76">
            <w:pPr>
              <w:pStyle w:val="InstructionsText"/>
            </w:pPr>
            <w:r w:rsidRPr="00D51A68">
              <w:rPr>
                <w:rStyle w:val="InstructionsTabelleberschrift"/>
                <w:rFonts w:ascii="Times New Roman" w:hAnsi="Times New Roman"/>
                <w:sz w:val="24"/>
              </w:rPr>
              <w:t>16.3</w:t>
            </w:r>
            <w:r w:rsidR="00A0772B" w:rsidRPr="00D51A68">
              <w:rPr>
                <w:u w:val="single"/>
              </w:rPr>
              <w:tab/>
            </w:r>
            <w:r w:rsidRPr="00D51A68">
              <w:rPr>
                <w:rStyle w:val="InstructionsTabelleberschrift"/>
                <w:rFonts w:ascii="Times New Roman" w:hAnsi="Times New Roman"/>
                <w:sz w:val="24"/>
              </w:rPr>
              <w:t>Detenzioni sintetiche di capitale aggiuntivo di classe 1 di soggetti del settore finanziario in cui 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ente ha un investimento significativo</w:t>
            </w:r>
          </w:p>
          <w:p w:rsidR="005643EA" w:rsidRPr="00D51A68" w:rsidRDefault="00E81DB9" w:rsidP="00FC1A76">
            <w:pPr>
              <w:pStyle w:val="InstructionsText"/>
              <w:rPr>
                <w:rStyle w:val="InstructionsTabelleberschrift"/>
                <w:rFonts w:ascii="Times New Roman" w:hAnsi="Times New Roman"/>
                <w:b w:val="0"/>
                <w:bCs w:val="0"/>
                <w:sz w:val="24"/>
                <w:u w:val="none"/>
              </w:rPr>
            </w:pPr>
            <w:r w:rsidRPr="00D51A68">
              <w:t>Articolo 4, paragrafo 1, punto 126, e articoli 58 e 59 del CRR.</w:t>
            </w:r>
          </w:p>
        </w:tc>
      </w:tr>
      <w:tr w:rsidR="00E81DB9" w:rsidRPr="00D51A68" w:rsidTr="00672D2A">
        <w:tc>
          <w:tcPr>
            <w:tcW w:w="1506" w:type="dxa"/>
          </w:tcPr>
          <w:p w:rsidR="00E81DB9" w:rsidRPr="00D51A68" w:rsidRDefault="00E81DB9" w:rsidP="00FC1A76">
            <w:pPr>
              <w:pStyle w:val="InstructionsText"/>
            </w:pPr>
            <w:r w:rsidRPr="00D51A68">
              <w:t>572</w:t>
            </w:r>
          </w:p>
        </w:tc>
        <w:tc>
          <w:tcPr>
            <w:tcW w:w="7243" w:type="dxa"/>
          </w:tcPr>
          <w:p w:rsidR="005643EA" w:rsidRPr="00D51A68" w:rsidRDefault="00E81DB9" w:rsidP="00FC1A76">
            <w:pPr>
              <w:pStyle w:val="InstructionsText"/>
            </w:pPr>
            <w:r w:rsidRPr="00D51A68">
              <w:rPr>
                <w:rStyle w:val="InstructionsTabelleberschrift"/>
                <w:rFonts w:ascii="Times New Roman" w:hAnsi="Times New Roman"/>
                <w:sz w:val="24"/>
              </w:rPr>
              <w:t>16.3.1</w:t>
            </w:r>
            <w:r w:rsidR="00A0772B" w:rsidRPr="00D51A68">
              <w:rPr>
                <w:u w:val="single"/>
              </w:rPr>
              <w:tab/>
            </w:r>
            <w:r w:rsidRPr="00D51A68">
              <w:rPr>
                <w:rStyle w:val="InstructionsTabelleberschrift"/>
                <w:rFonts w:ascii="Times New Roman" w:hAnsi="Times New Roman"/>
                <w:sz w:val="24"/>
              </w:rPr>
              <w:t>Detenzioni sintetiche lorde di capitale aggiuntivo di classe 1 di soggetti del settore finanziario in cui 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ente ha un investimento significativo</w:t>
            </w:r>
          </w:p>
          <w:p w:rsidR="005643EA" w:rsidRPr="00D51A68" w:rsidRDefault="00E81DB9" w:rsidP="00FC1A76">
            <w:pPr>
              <w:pStyle w:val="InstructionsText"/>
              <w:rPr>
                <w:rStyle w:val="InstructionsTabelleberschrift"/>
                <w:rFonts w:ascii="Times New Roman" w:hAnsi="Times New Roman"/>
                <w:b w:val="0"/>
                <w:bCs w:val="0"/>
                <w:sz w:val="24"/>
                <w:u w:val="none"/>
              </w:rPr>
            </w:pPr>
            <w:r w:rsidRPr="00D51A68">
              <w:t>Articolo 4, paragrafo 1, punto 126, e articoli 58 e 59 del CRR.</w:t>
            </w:r>
          </w:p>
        </w:tc>
      </w:tr>
      <w:tr w:rsidR="00E81DB9" w:rsidRPr="00D51A68" w:rsidTr="00672D2A">
        <w:tc>
          <w:tcPr>
            <w:tcW w:w="1506" w:type="dxa"/>
          </w:tcPr>
          <w:p w:rsidR="00E81DB9" w:rsidRPr="00D51A68" w:rsidRDefault="00E81DB9" w:rsidP="00FC1A76">
            <w:pPr>
              <w:pStyle w:val="InstructionsText"/>
            </w:pPr>
            <w:r w:rsidRPr="00D51A68">
              <w:t>573</w:t>
            </w:r>
          </w:p>
        </w:tc>
        <w:tc>
          <w:tcPr>
            <w:tcW w:w="7243" w:type="dxa"/>
          </w:tcPr>
          <w:p w:rsidR="005643EA" w:rsidRPr="00D51A68" w:rsidRDefault="00E81DB9" w:rsidP="00FC1A76">
            <w:pPr>
              <w:pStyle w:val="InstructionsText"/>
            </w:pPr>
            <w:r w:rsidRPr="00D51A68">
              <w:rPr>
                <w:rStyle w:val="InstructionsTabelleberschrift"/>
                <w:rFonts w:ascii="Times New Roman" w:hAnsi="Times New Roman"/>
                <w:sz w:val="24"/>
              </w:rPr>
              <w:t>16.3.2</w:t>
            </w:r>
            <w:r w:rsidR="00A0772B" w:rsidRPr="00D51A68">
              <w:rPr>
                <w:u w:val="single"/>
              </w:rPr>
              <w:tab/>
            </w:r>
            <w:r w:rsidRPr="00D51A68">
              <w:rPr>
                <w:rStyle w:val="InstructionsTabelleberschrift"/>
                <w:rFonts w:ascii="Times New Roman" w:hAnsi="Times New Roman"/>
                <w:sz w:val="24"/>
              </w:rPr>
              <w:t>(-) Posizioni corte di segno opposto autorizzate in relazione alle detenzioni sintetiche lorde di cui sopra</w:t>
            </w:r>
          </w:p>
          <w:p w:rsidR="005643EA" w:rsidRPr="00D51A68" w:rsidRDefault="00E81DB9" w:rsidP="00FC1A76">
            <w:pPr>
              <w:pStyle w:val="InstructionsText"/>
              <w:rPr>
                <w:rStyle w:val="InstructionsTabelleberschrift"/>
                <w:rFonts w:ascii="Times New Roman" w:hAnsi="Times New Roman"/>
                <w:b w:val="0"/>
                <w:bCs w:val="0"/>
                <w:sz w:val="24"/>
                <w:u w:val="none"/>
              </w:rPr>
            </w:pPr>
            <w:r w:rsidRPr="00D51A68">
              <w:t>Articolo 4, paragrafo 1, punto 126, e articolo 59 del CRR.</w:t>
            </w:r>
          </w:p>
        </w:tc>
      </w:tr>
      <w:tr w:rsidR="002648B0" w:rsidRPr="00D51A68" w:rsidTr="00672D2A">
        <w:tc>
          <w:tcPr>
            <w:tcW w:w="1506" w:type="dxa"/>
          </w:tcPr>
          <w:p w:rsidR="002648B0" w:rsidRPr="00D51A68" w:rsidRDefault="002648B0" w:rsidP="00FC1A76">
            <w:pPr>
              <w:pStyle w:val="InstructionsText"/>
            </w:pPr>
            <w:r w:rsidRPr="00D51A68">
              <w:t>580</w:t>
            </w:r>
          </w:p>
        </w:tc>
        <w:tc>
          <w:tcPr>
            <w:tcW w:w="7243" w:type="dxa"/>
          </w:tcPr>
          <w:p w:rsidR="005643EA" w:rsidRPr="00D51A68" w:rsidRDefault="002648B0" w:rsidP="00FC1A76">
            <w:pPr>
              <w:pStyle w:val="InstructionsText"/>
            </w:pPr>
            <w:r w:rsidRPr="00D51A68">
              <w:rPr>
                <w:rStyle w:val="InstructionsTabelleberschrift"/>
                <w:rFonts w:ascii="Times New Roman" w:hAnsi="Times New Roman"/>
                <w:sz w:val="24"/>
              </w:rPr>
              <w:t>17. Detenzioni di capitale di classe 2 di soggetti del settore finanziario in cui 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ente ha un investimento significativo, al netto delle posizioni corte</w:t>
            </w:r>
          </w:p>
          <w:p w:rsidR="005643EA" w:rsidRPr="00D51A68" w:rsidRDefault="002648B0" w:rsidP="00FC1A76">
            <w:pPr>
              <w:pStyle w:val="InstructionsText"/>
            </w:pPr>
            <w:r w:rsidRPr="00D51A68">
              <w:t>Articoli 68 e 69 del CRR.</w:t>
            </w:r>
          </w:p>
        </w:tc>
      </w:tr>
      <w:tr w:rsidR="002648B0" w:rsidRPr="00D51A68" w:rsidTr="00672D2A">
        <w:tc>
          <w:tcPr>
            <w:tcW w:w="1506" w:type="dxa"/>
          </w:tcPr>
          <w:p w:rsidR="002648B0" w:rsidRPr="00D51A68" w:rsidRDefault="002648B0" w:rsidP="00FC1A76">
            <w:pPr>
              <w:pStyle w:val="InstructionsText"/>
            </w:pPr>
            <w:r w:rsidRPr="00D51A68">
              <w:t>590</w:t>
            </w:r>
          </w:p>
        </w:tc>
        <w:tc>
          <w:tcPr>
            <w:tcW w:w="7243" w:type="dxa"/>
          </w:tcPr>
          <w:p w:rsidR="005643EA" w:rsidRPr="00D51A68" w:rsidRDefault="002648B0" w:rsidP="00FC1A76">
            <w:pPr>
              <w:pStyle w:val="InstructionsText"/>
            </w:pPr>
            <w:r w:rsidRPr="00D51A68">
              <w:rPr>
                <w:rStyle w:val="InstructionsTabelleberschrift"/>
                <w:rFonts w:ascii="Times New Roman" w:hAnsi="Times New Roman"/>
                <w:sz w:val="24"/>
              </w:rPr>
              <w:t>17.1</w:t>
            </w:r>
            <w:r w:rsidR="00A0772B" w:rsidRPr="00D51A68">
              <w:rPr>
                <w:u w:val="single"/>
              </w:rPr>
              <w:tab/>
            </w:r>
            <w:r w:rsidRPr="00D51A68">
              <w:rPr>
                <w:rStyle w:val="InstructionsTabelleberschrift"/>
                <w:rFonts w:ascii="Times New Roman" w:hAnsi="Times New Roman"/>
                <w:sz w:val="24"/>
              </w:rPr>
              <w:t>Detenzioni dirette di capitale di classe 2 di soggetti del settore finanziario in cui 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ente ha un investimento significativo</w:t>
            </w:r>
          </w:p>
          <w:p w:rsidR="005643EA" w:rsidRPr="00D51A68" w:rsidRDefault="002648B0" w:rsidP="00FC1A76">
            <w:pPr>
              <w:pStyle w:val="InstructionsText"/>
            </w:pPr>
            <w:r w:rsidRPr="00D51A68">
              <w:t>Articoli 68 e 69 del CRR.</w:t>
            </w:r>
          </w:p>
        </w:tc>
      </w:tr>
      <w:tr w:rsidR="002648B0" w:rsidRPr="00D51A68" w:rsidTr="00672D2A">
        <w:tc>
          <w:tcPr>
            <w:tcW w:w="1506" w:type="dxa"/>
          </w:tcPr>
          <w:p w:rsidR="002648B0" w:rsidRPr="00D51A68" w:rsidRDefault="002648B0" w:rsidP="00FC1A76">
            <w:pPr>
              <w:pStyle w:val="InstructionsText"/>
            </w:pPr>
            <w:r w:rsidRPr="00D51A68">
              <w:t>600</w:t>
            </w:r>
          </w:p>
        </w:tc>
        <w:tc>
          <w:tcPr>
            <w:tcW w:w="7243" w:type="dxa"/>
          </w:tcPr>
          <w:p w:rsidR="005643EA" w:rsidRPr="00D51A68" w:rsidRDefault="002648B0" w:rsidP="00FC1A76">
            <w:pPr>
              <w:pStyle w:val="InstructionsText"/>
            </w:pPr>
            <w:r w:rsidRPr="00D51A68">
              <w:rPr>
                <w:rStyle w:val="InstructionsTabelleberschrift"/>
                <w:rFonts w:ascii="Times New Roman" w:hAnsi="Times New Roman"/>
                <w:sz w:val="24"/>
              </w:rPr>
              <w:t>17.1.1</w:t>
            </w:r>
            <w:r w:rsidR="00A0772B" w:rsidRPr="00D51A68">
              <w:rPr>
                <w:u w:val="single"/>
              </w:rPr>
              <w:tab/>
            </w:r>
            <w:r w:rsidRPr="00D51A68">
              <w:rPr>
                <w:rStyle w:val="InstructionsTabelleberschrift"/>
                <w:rFonts w:ascii="Times New Roman" w:hAnsi="Times New Roman"/>
                <w:sz w:val="24"/>
              </w:rPr>
              <w:t>Detenzioni dirette lorde di capitale di classe 2 di soggetti del settore finanziario in cui 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ente ha un investimento significativo</w:t>
            </w:r>
          </w:p>
          <w:p w:rsidR="005643EA" w:rsidRPr="00D51A68" w:rsidRDefault="002648B0" w:rsidP="00FC1A76">
            <w:pPr>
              <w:pStyle w:val="InstructionsText"/>
            </w:pPr>
            <w:r w:rsidRPr="00D51A68">
              <w:t>Articolo 68 del CRR.</w:t>
            </w:r>
          </w:p>
          <w:p w:rsidR="005643EA" w:rsidRPr="00D51A68" w:rsidRDefault="002648B0" w:rsidP="00FC1A76">
            <w:pPr>
              <w:pStyle w:val="InstructionsText"/>
            </w:pPr>
            <w:r w:rsidRPr="00D51A68">
              <w:t>Partecipazioni dirette nel capitale di classe 2 di soggetti del settore finanziario in cui l</w:t>
            </w:r>
            <w:r w:rsidR="0009277C" w:rsidRPr="00D51A68">
              <w:t>’</w:t>
            </w:r>
            <w:r w:rsidRPr="00D51A68">
              <w:t>ente ha un investimento significativo, escluse:</w:t>
            </w:r>
          </w:p>
          <w:p w:rsidR="005643EA" w:rsidRPr="00D51A68" w:rsidRDefault="002648B0" w:rsidP="00FC1A76">
            <w:pPr>
              <w:pStyle w:val="InstructionsText"/>
            </w:pPr>
            <w:r w:rsidRPr="00D51A68">
              <w:t>a)</w:t>
            </w:r>
            <w:r w:rsidR="00A0772B" w:rsidRPr="00D51A68">
              <w:tab/>
            </w:r>
            <w:r w:rsidRPr="00D51A68">
              <w:t>le posizioni in impegni irrevocabili di acquisto detenute per cinque giorni lavorativi o meno conformemente all</w:t>
            </w:r>
            <w:r w:rsidR="0009277C" w:rsidRPr="00D51A68">
              <w:t>’</w:t>
            </w:r>
            <w:r w:rsidRPr="00D51A68">
              <w:t>articolo 66</w:t>
            </w:r>
            <w:r w:rsidR="00680E39" w:rsidRPr="00D51A68">
              <w:t>, lettera </w:t>
            </w:r>
            <w:r w:rsidRPr="00D51A68">
              <w:t xml:space="preserve">d), e </w:t>
            </w:r>
          </w:p>
          <w:p w:rsidR="005643EA" w:rsidRPr="00D51A68" w:rsidRDefault="002648B0" w:rsidP="00FC1A76">
            <w:pPr>
              <w:pStyle w:val="InstructionsText"/>
            </w:pPr>
            <w:r w:rsidRPr="00D51A68">
              <w:t>b)</w:t>
            </w:r>
            <w:r w:rsidR="00A0772B" w:rsidRPr="00D51A68">
              <w:tab/>
            </w:r>
            <w:r w:rsidRPr="00D51A68">
              <w:t>le partecipazioni trattate come partecipazioni incrociate reciproche conformemente all</w:t>
            </w:r>
            <w:r w:rsidR="0009277C" w:rsidRPr="00D51A68">
              <w:t>’</w:t>
            </w:r>
            <w:r w:rsidRPr="00D51A68">
              <w:t>articolo 66, lettera b), del CRR.</w:t>
            </w:r>
          </w:p>
        </w:tc>
      </w:tr>
      <w:tr w:rsidR="002648B0" w:rsidRPr="00D51A68" w:rsidTr="00672D2A">
        <w:tc>
          <w:tcPr>
            <w:tcW w:w="1506" w:type="dxa"/>
          </w:tcPr>
          <w:p w:rsidR="002648B0" w:rsidRPr="00D51A68" w:rsidRDefault="002648B0" w:rsidP="00FC1A76">
            <w:pPr>
              <w:pStyle w:val="InstructionsText"/>
            </w:pPr>
            <w:r w:rsidRPr="00D51A68">
              <w:t>610</w:t>
            </w:r>
          </w:p>
        </w:tc>
        <w:tc>
          <w:tcPr>
            <w:tcW w:w="7243" w:type="dxa"/>
          </w:tcPr>
          <w:p w:rsidR="005643EA" w:rsidRPr="00D51A68" w:rsidRDefault="002648B0" w:rsidP="00FC1A76">
            <w:pPr>
              <w:pStyle w:val="InstructionsText"/>
            </w:pPr>
            <w:r w:rsidRPr="00D51A68">
              <w:rPr>
                <w:rStyle w:val="InstructionsTabelleberschrift"/>
                <w:rFonts w:ascii="Times New Roman" w:hAnsi="Times New Roman"/>
                <w:sz w:val="24"/>
              </w:rPr>
              <w:t>17.1.2</w:t>
            </w:r>
            <w:r w:rsidR="00A0772B" w:rsidRPr="00D51A68">
              <w:rPr>
                <w:u w:val="single"/>
              </w:rPr>
              <w:tab/>
            </w:r>
            <w:r w:rsidRPr="00D51A68">
              <w:rPr>
                <w:rStyle w:val="InstructionsTabelleberschrift"/>
                <w:rFonts w:ascii="Times New Roman" w:hAnsi="Times New Roman"/>
                <w:sz w:val="24"/>
              </w:rPr>
              <w:t>(-) Posizioni corte di segno opposto autorizzate in relazione alle detenzioni dirette lorde di cui sopra</w:t>
            </w:r>
          </w:p>
          <w:p w:rsidR="005643EA" w:rsidRPr="00D51A68" w:rsidRDefault="002648B0" w:rsidP="00FC1A76">
            <w:pPr>
              <w:pStyle w:val="InstructionsText"/>
            </w:pPr>
            <w:r w:rsidRPr="00D51A68">
              <w:lastRenderedPageBreak/>
              <w:t>Articolo 69 del CRR.</w:t>
            </w:r>
          </w:p>
          <w:p w:rsidR="005643EA" w:rsidRPr="00D51A68" w:rsidRDefault="002648B0" w:rsidP="00FC1A76">
            <w:pPr>
              <w:pStyle w:val="InstructionsText"/>
            </w:pPr>
            <w:r w:rsidRPr="00D51A68">
              <w:t>L</w:t>
            </w:r>
            <w:r w:rsidR="0009277C" w:rsidRPr="00D51A68">
              <w:t>’</w:t>
            </w:r>
            <w:r w:rsidRPr="00D51A68">
              <w:t>articolo 69, lettera a), del CRR permette di compensare le posizioni corte nella stessa esposizione sottostante a condizione che la scadenza della posizione corta corrisponda a quella della posizione lunga o abbia una durata residua di almeno un anno.</w:t>
            </w:r>
          </w:p>
        </w:tc>
      </w:tr>
      <w:tr w:rsidR="002648B0" w:rsidRPr="00D51A68" w:rsidTr="00672D2A">
        <w:tc>
          <w:tcPr>
            <w:tcW w:w="1506" w:type="dxa"/>
          </w:tcPr>
          <w:p w:rsidR="002648B0" w:rsidRPr="00D51A68" w:rsidRDefault="002648B0" w:rsidP="00FC1A76">
            <w:pPr>
              <w:pStyle w:val="InstructionsText"/>
            </w:pPr>
            <w:r w:rsidRPr="00D51A68">
              <w:lastRenderedPageBreak/>
              <w:t>620</w:t>
            </w:r>
          </w:p>
        </w:tc>
        <w:tc>
          <w:tcPr>
            <w:tcW w:w="7243" w:type="dxa"/>
          </w:tcPr>
          <w:p w:rsidR="005643EA" w:rsidRPr="00D51A68" w:rsidRDefault="002648B0" w:rsidP="00FC1A76">
            <w:pPr>
              <w:pStyle w:val="InstructionsText"/>
            </w:pPr>
            <w:r w:rsidRPr="00D51A68">
              <w:rPr>
                <w:rStyle w:val="InstructionsTabelleberschrift"/>
                <w:rFonts w:ascii="Times New Roman" w:hAnsi="Times New Roman"/>
                <w:sz w:val="24"/>
              </w:rPr>
              <w:t>17.2</w:t>
            </w:r>
            <w:r w:rsidR="00A0772B" w:rsidRPr="00D51A68">
              <w:rPr>
                <w:u w:val="single"/>
              </w:rPr>
              <w:tab/>
            </w:r>
            <w:r w:rsidRPr="00D51A68">
              <w:rPr>
                <w:rStyle w:val="InstructionsTabelleberschrift"/>
                <w:rFonts w:ascii="Times New Roman" w:hAnsi="Times New Roman"/>
                <w:sz w:val="24"/>
              </w:rPr>
              <w:t>Detenzioni indirette di capitale di classe 2 di soggetti del settore finanziario in cui 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ente ha un investimento significativo</w:t>
            </w:r>
          </w:p>
          <w:p w:rsidR="005643EA" w:rsidRPr="00D51A68" w:rsidRDefault="002648B0" w:rsidP="00FC1A76">
            <w:pPr>
              <w:pStyle w:val="InstructionsText"/>
            </w:pPr>
            <w:r w:rsidRPr="00D51A68">
              <w:t>Articolo 4, paragrafo 1, punto 114, e articoli 68 e 69 del CRR.</w:t>
            </w:r>
          </w:p>
        </w:tc>
      </w:tr>
      <w:tr w:rsidR="002648B0" w:rsidRPr="00D51A68" w:rsidTr="00672D2A">
        <w:tc>
          <w:tcPr>
            <w:tcW w:w="1506" w:type="dxa"/>
          </w:tcPr>
          <w:p w:rsidR="002648B0" w:rsidRPr="00D51A68" w:rsidRDefault="002648B0" w:rsidP="00FC1A76">
            <w:pPr>
              <w:pStyle w:val="InstructionsText"/>
            </w:pPr>
            <w:r w:rsidRPr="00D51A68">
              <w:t>630</w:t>
            </w:r>
          </w:p>
        </w:tc>
        <w:tc>
          <w:tcPr>
            <w:tcW w:w="7243" w:type="dxa"/>
          </w:tcPr>
          <w:p w:rsidR="005643EA" w:rsidRPr="00D51A68" w:rsidRDefault="002648B0" w:rsidP="00FC1A76">
            <w:pPr>
              <w:pStyle w:val="InstructionsText"/>
            </w:pPr>
            <w:r w:rsidRPr="00D51A68">
              <w:rPr>
                <w:rStyle w:val="InstructionsTabelleberschrift"/>
                <w:rFonts w:ascii="Times New Roman" w:hAnsi="Times New Roman"/>
                <w:sz w:val="24"/>
              </w:rPr>
              <w:t>17.2.1</w:t>
            </w:r>
            <w:r w:rsidR="00A0772B" w:rsidRPr="00D51A68">
              <w:rPr>
                <w:u w:val="single"/>
              </w:rPr>
              <w:tab/>
            </w:r>
            <w:r w:rsidRPr="00D51A68">
              <w:rPr>
                <w:rStyle w:val="InstructionsTabelleberschrift"/>
                <w:rFonts w:ascii="Times New Roman" w:hAnsi="Times New Roman"/>
                <w:sz w:val="24"/>
              </w:rPr>
              <w:t>Detenzioni indirette lorde di capitale di classe 2 di soggetti del settore finanziario in cui 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ente ha un investimento significativo</w:t>
            </w:r>
          </w:p>
          <w:p w:rsidR="005643EA" w:rsidRPr="00D51A68" w:rsidRDefault="002648B0" w:rsidP="00FC1A76">
            <w:pPr>
              <w:pStyle w:val="InstructionsText"/>
            </w:pPr>
            <w:r w:rsidRPr="00D51A68">
              <w:t>Articolo 4, paragrafo 1, punto 114, e articoli 68 e 69 del CRR.</w:t>
            </w:r>
          </w:p>
          <w:p w:rsidR="005643EA" w:rsidRPr="00D51A68" w:rsidRDefault="002648B0" w:rsidP="00FC1A76">
            <w:pPr>
              <w:pStyle w:val="InstructionsText"/>
            </w:pPr>
            <w:r w:rsidRPr="00D51A68">
              <w:t>L</w:t>
            </w:r>
            <w:r w:rsidR="0009277C" w:rsidRPr="00D51A68">
              <w:t>’</w:t>
            </w:r>
            <w:r w:rsidRPr="00D51A68">
              <w:t>importo da segnalare sono le partecipazioni indirette interne al portafoglio di negoziazione e relative agli strumenti di capitale di soggetti del settore finanziario sotto forma di detenzioni di titoli su indici. L</w:t>
            </w:r>
            <w:r w:rsidR="0009277C" w:rsidRPr="00D51A68">
              <w:t>’</w:t>
            </w:r>
            <w:r w:rsidRPr="00D51A68">
              <w:t>importo si ottiene calcolando l</w:t>
            </w:r>
            <w:r w:rsidR="0009277C" w:rsidRPr="00D51A68">
              <w:t>’</w:t>
            </w:r>
            <w:r w:rsidRPr="00D51A68">
              <w:t>esposizione sottostante verso gli strumenti di capitale dei soggetti del settore finanziario compresi negli indici.</w:t>
            </w:r>
          </w:p>
          <w:p w:rsidR="005643EA" w:rsidRPr="00D51A68" w:rsidRDefault="002648B0" w:rsidP="00FC1A76">
            <w:pPr>
              <w:pStyle w:val="InstructionsText"/>
            </w:pPr>
            <w:r w:rsidRPr="00D51A68">
              <w:t>Non sono incluse in questa riga le partecipazioni trattate come partecipazioni incrociate reciproche conformemente all</w:t>
            </w:r>
            <w:r w:rsidR="0009277C" w:rsidRPr="00D51A68">
              <w:t>’</w:t>
            </w:r>
            <w:r w:rsidRPr="00D51A68">
              <w:t>articolo 66, lettera b), del CRR.</w:t>
            </w:r>
          </w:p>
        </w:tc>
      </w:tr>
      <w:tr w:rsidR="002648B0" w:rsidRPr="00D51A68" w:rsidTr="00672D2A">
        <w:tc>
          <w:tcPr>
            <w:tcW w:w="1506" w:type="dxa"/>
          </w:tcPr>
          <w:p w:rsidR="002648B0" w:rsidRPr="00D51A68" w:rsidRDefault="002648B0" w:rsidP="00FC1A76">
            <w:pPr>
              <w:pStyle w:val="InstructionsText"/>
            </w:pPr>
            <w:r w:rsidRPr="00D51A68">
              <w:t>640</w:t>
            </w:r>
          </w:p>
        </w:tc>
        <w:tc>
          <w:tcPr>
            <w:tcW w:w="7243" w:type="dxa"/>
          </w:tcPr>
          <w:p w:rsidR="005643EA" w:rsidRPr="00D51A68" w:rsidRDefault="002648B0" w:rsidP="00FC1A76">
            <w:pPr>
              <w:pStyle w:val="InstructionsText"/>
            </w:pPr>
            <w:r w:rsidRPr="00D51A68">
              <w:rPr>
                <w:rStyle w:val="InstructionsTabelleberschrift"/>
                <w:rFonts w:ascii="Times New Roman" w:hAnsi="Times New Roman"/>
                <w:sz w:val="24"/>
              </w:rPr>
              <w:t>17.2.2</w:t>
            </w:r>
            <w:r w:rsidR="00A0772B" w:rsidRPr="00D51A68">
              <w:rPr>
                <w:u w:val="single"/>
              </w:rPr>
              <w:tab/>
            </w:r>
            <w:r w:rsidRPr="00D51A68">
              <w:rPr>
                <w:rStyle w:val="InstructionsTabelleberschrift"/>
                <w:rFonts w:ascii="Times New Roman" w:hAnsi="Times New Roman"/>
                <w:sz w:val="24"/>
              </w:rPr>
              <w:t>(-) Posizioni corte di segno opposto autorizzate in relazione alle detenzioni indirette lorde di cui sopra</w:t>
            </w:r>
          </w:p>
          <w:p w:rsidR="005643EA" w:rsidRPr="00D51A68" w:rsidRDefault="002648B0" w:rsidP="00FC1A76">
            <w:pPr>
              <w:pStyle w:val="InstructionsText"/>
            </w:pPr>
            <w:r w:rsidRPr="00D51A68">
              <w:t>Articolo 4, paragrafo 1, punto 114, e articolo 69 del CRR.</w:t>
            </w:r>
          </w:p>
          <w:p w:rsidR="005643EA" w:rsidRPr="00D51A68" w:rsidRDefault="002648B0" w:rsidP="00FC1A76">
            <w:pPr>
              <w:pStyle w:val="InstructionsText"/>
            </w:pPr>
            <w:r w:rsidRPr="00D51A68">
              <w:t>L</w:t>
            </w:r>
            <w:r w:rsidR="0009277C" w:rsidRPr="00D51A68">
              <w:t>’</w:t>
            </w:r>
            <w:r w:rsidRPr="00D51A68">
              <w:t>articolo 69, lettera a), del CRR permette di compensare le posizioni corte nella stessa esposizione sottostante a condizione che la scadenza della posizione corta corrisponda a quella della posizione lunga o abbia una durata residua di almeno un anno.</w:t>
            </w:r>
          </w:p>
        </w:tc>
      </w:tr>
      <w:tr w:rsidR="002648B0" w:rsidRPr="00D51A68" w:rsidTr="00672D2A">
        <w:tc>
          <w:tcPr>
            <w:tcW w:w="1506" w:type="dxa"/>
          </w:tcPr>
          <w:p w:rsidR="002648B0" w:rsidRPr="00D51A68" w:rsidRDefault="002648B0" w:rsidP="00FC1A76">
            <w:pPr>
              <w:pStyle w:val="InstructionsText"/>
            </w:pPr>
            <w:r w:rsidRPr="00D51A68">
              <w:t>641</w:t>
            </w:r>
          </w:p>
        </w:tc>
        <w:tc>
          <w:tcPr>
            <w:tcW w:w="7243" w:type="dxa"/>
            <w:vAlign w:val="center"/>
          </w:tcPr>
          <w:p w:rsidR="005643EA" w:rsidRPr="00D51A68" w:rsidRDefault="002648B0" w:rsidP="00FC1A76">
            <w:pPr>
              <w:pStyle w:val="InstructionsText"/>
            </w:pPr>
            <w:r w:rsidRPr="00D51A68">
              <w:rPr>
                <w:rStyle w:val="InstructionsTabelleberschrift"/>
                <w:rFonts w:ascii="Times New Roman" w:hAnsi="Times New Roman"/>
                <w:sz w:val="24"/>
              </w:rPr>
              <w:t>17.3</w:t>
            </w:r>
            <w:r w:rsidR="00A0772B" w:rsidRPr="00D51A68">
              <w:rPr>
                <w:u w:val="single"/>
              </w:rPr>
              <w:tab/>
            </w:r>
            <w:r w:rsidRPr="00D51A68">
              <w:rPr>
                <w:rStyle w:val="InstructionsTabelleberschrift"/>
                <w:rFonts w:ascii="Times New Roman" w:hAnsi="Times New Roman"/>
                <w:sz w:val="24"/>
              </w:rPr>
              <w:t>Detenzioni sintetiche di capitale di classe 2 di soggetti del settore finanziario in cui 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ente ha un investimento significativo</w:t>
            </w:r>
          </w:p>
          <w:p w:rsidR="005643EA" w:rsidRPr="00D51A68" w:rsidRDefault="00805255" w:rsidP="00FC1A76">
            <w:pPr>
              <w:pStyle w:val="InstructionsText"/>
              <w:rPr>
                <w:rStyle w:val="InstructionsTabelleberschrift"/>
                <w:rFonts w:ascii="Times New Roman" w:hAnsi="Times New Roman"/>
                <w:b w:val="0"/>
                <w:bCs w:val="0"/>
                <w:sz w:val="24"/>
                <w:u w:val="none"/>
              </w:rPr>
            </w:pPr>
            <w:r w:rsidRPr="00D51A68">
              <w:t>Articolo 4, paragrafo 1, punto 126, e articoli 68 e 69 del CRR.</w:t>
            </w:r>
          </w:p>
        </w:tc>
      </w:tr>
      <w:tr w:rsidR="002648B0" w:rsidRPr="00D51A68" w:rsidTr="00672D2A">
        <w:tc>
          <w:tcPr>
            <w:tcW w:w="1506" w:type="dxa"/>
          </w:tcPr>
          <w:p w:rsidR="002648B0" w:rsidRPr="00D51A68" w:rsidRDefault="002648B0" w:rsidP="00FC1A76">
            <w:pPr>
              <w:pStyle w:val="InstructionsText"/>
            </w:pPr>
            <w:r w:rsidRPr="00D51A68">
              <w:t>642</w:t>
            </w:r>
          </w:p>
        </w:tc>
        <w:tc>
          <w:tcPr>
            <w:tcW w:w="7243" w:type="dxa"/>
            <w:vAlign w:val="center"/>
          </w:tcPr>
          <w:p w:rsidR="005643EA" w:rsidRPr="00D51A68" w:rsidRDefault="002648B0" w:rsidP="00FC1A76">
            <w:pPr>
              <w:pStyle w:val="InstructionsText"/>
            </w:pPr>
            <w:r w:rsidRPr="00D51A68">
              <w:rPr>
                <w:rStyle w:val="InstructionsTabelleberschrift"/>
                <w:rFonts w:ascii="Times New Roman" w:hAnsi="Times New Roman"/>
                <w:sz w:val="24"/>
              </w:rPr>
              <w:t>17.3.1</w:t>
            </w:r>
            <w:r w:rsidR="00A0772B" w:rsidRPr="00D51A68">
              <w:rPr>
                <w:u w:val="single"/>
              </w:rPr>
              <w:tab/>
            </w:r>
            <w:r w:rsidRPr="00D51A68">
              <w:rPr>
                <w:rStyle w:val="InstructionsTabelleberschrift"/>
                <w:rFonts w:ascii="Times New Roman" w:hAnsi="Times New Roman"/>
                <w:sz w:val="24"/>
              </w:rPr>
              <w:t>Detenzioni sintetiche lorde di capitale di classe 2 di soggetti del settore finanziario in cui 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ente ha un investimento significativo</w:t>
            </w:r>
          </w:p>
          <w:p w:rsidR="005643EA" w:rsidRPr="00D51A68" w:rsidRDefault="00805255" w:rsidP="00FC1A76">
            <w:pPr>
              <w:pStyle w:val="InstructionsText"/>
              <w:rPr>
                <w:rStyle w:val="InstructionsTabelleberschrift"/>
                <w:rFonts w:ascii="Times New Roman" w:hAnsi="Times New Roman"/>
                <w:b w:val="0"/>
                <w:bCs w:val="0"/>
                <w:sz w:val="24"/>
                <w:u w:val="none"/>
              </w:rPr>
            </w:pPr>
            <w:r w:rsidRPr="00D51A68">
              <w:t>Articolo 4, paragrafo 1, punto 126, e articoli 68 e 69 del CRR.</w:t>
            </w:r>
          </w:p>
        </w:tc>
      </w:tr>
      <w:tr w:rsidR="002648B0" w:rsidRPr="00D51A68" w:rsidTr="00672D2A">
        <w:tc>
          <w:tcPr>
            <w:tcW w:w="1506" w:type="dxa"/>
          </w:tcPr>
          <w:p w:rsidR="002648B0" w:rsidRPr="00D51A68" w:rsidRDefault="002648B0" w:rsidP="00FC1A76">
            <w:pPr>
              <w:pStyle w:val="InstructionsText"/>
            </w:pPr>
            <w:r w:rsidRPr="00D51A68">
              <w:t>643</w:t>
            </w:r>
          </w:p>
        </w:tc>
        <w:tc>
          <w:tcPr>
            <w:tcW w:w="7243" w:type="dxa"/>
            <w:vAlign w:val="center"/>
          </w:tcPr>
          <w:p w:rsidR="005643EA" w:rsidRPr="00D51A68" w:rsidRDefault="002648B0" w:rsidP="00FC1A76">
            <w:pPr>
              <w:pStyle w:val="InstructionsText"/>
            </w:pPr>
            <w:r w:rsidRPr="00D51A68">
              <w:rPr>
                <w:rStyle w:val="InstructionsTabelleberschrift"/>
                <w:rFonts w:ascii="Times New Roman" w:hAnsi="Times New Roman"/>
                <w:sz w:val="24"/>
              </w:rPr>
              <w:t>17.3.2</w:t>
            </w:r>
            <w:r w:rsidR="00A0772B" w:rsidRPr="00D51A68">
              <w:rPr>
                <w:u w:val="single"/>
              </w:rPr>
              <w:tab/>
            </w:r>
            <w:r w:rsidRPr="00D51A68">
              <w:rPr>
                <w:rStyle w:val="InstructionsTabelleberschrift"/>
                <w:rFonts w:ascii="Times New Roman" w:hAnsi="Times New Roman"/>
                <w:sz w:val="24"/>
              </w:rPr>
              <w:t>(-) Posizioni corte di segno opposto autorizzate in relazione alle detenzioni sintetiche lorde di cui sopra</w:t>
            </w:r>
          </w:p>
          <w:p w:rsidR="005643EA" w:rsidRPr="00D51A68" w:rsidRDefault="00805255" w:rsidP="00FC1A76">
            <w:pPr>
              <w:pStyle w:val="InstructionsText"/>
              <w:rPr>
                <w:rStyle w:val="InstructionsTabelleberschrift"/>
                <w:rFonts w:ascii="Times New Roman" w:hAnsi="Times New Roman"/>
                <w:b w:val="0"/>
                <w:bCs w:val="0"/>
                <w:sz w:val="24"/>
                <w:u w:val="none"/>
              </w:rPr>
            </w:pPr>
            <w:r w:rsidRPr="00D51A68">
              <w:t>Articolo 4, paragrafo 1, punto 126, e articolo 69 del CRR.</w:t>
            </w:r>
          </w:p>
        </w:tc>
      </w:tr>
      <w:tr w:rsidR="002648B0" w:rsidRPr="00D51A68" w:rsidTr="00672D2A">
        <w:tc>
          <w:tcPr>
            <w:tcW w:w="1506" w:type="dxa"/>
          </w:tcPr>
          <w:p w:rsidR="002648B0" w:rsidRPr="00D51A68" w:rsidRDefault="002648B0" w:rsidP="00FC1A76">
            <w:pPr>
              <w:pStyle w:val="InstructionsText"/>
            </w:pPr>
            <w:r w:rsidRPr="00D51A68">
              <w:t>650</w:t>
            </w:r>
          </w:p>
        </w:tc>
        <w:tc>
          <w:tcPr>
            <w:tcW w:w="7243" w:type="dxa"/>
          </w:tcPr>
          <w:p w:rsidR="005643EA" w:rsidRPr="00D51A68" w:rsidRDefault="002648B0" w:rsidP="00FC1A76">
            <w:pPr>
              <w:pStyle w:val="InstructionsText"/>
            </w:pPr>
            <w:r w:rsidRPr="00D51A68">
              <w:rPr>
                <w:rStyle w:val="InstructionsTabelleberschrift"/>
                <w:rFonts w:ascii="Times New Roman" w:hAnsi="Times New Roman"/>
                <w:sz w:val="24"/>
              </w:rPr>
              <w:t>18. Esposizioni ponderate per il rischio di capitale primario di classe 1 detenuto in soggetti del settore finanziario non dedotte dal capitale primario di classe 1 dell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ente</w:t>
            </w:r>
          </w:p>
          <w:p w:rsidR="005643EA" w:rsidRPr="00D51A68" w:rsidRDefault="002648B0" w:rsidP="00FC1A76">
            <w:pPr>
              <w:pStyle w:val="InstructionsText"/>
            </w:pPr>
            <w:r w:rsidRPr="00D51A68">
              <w:t>Articolo 46, paragrafo 4, articolo 48, paragrafo 4, e articolo 49, paragrafo 4, del CRR.</w:t>
            </w:r>
          </w:p>
        </w:tc>
      </w:tr>
      <w:tr w:rsidR="002648B0" w:rsidRPr="00D51A68" w:rsidTr="00672D2A">
        <w:tc>
          <w:tcPr>
            <w:tcW w:w="1506" w:type="dxa"/>
          </w:tcPr>
          <w:p w:rsidR="002648B0" w:rsidRPr="00D51A68" w:rsidRDefault="002648B0" w:rsidP="00FC1A76">
            <w:pPr>
              <w:pStyle w:val="InstructionsText"/>
            </w:pPr>
            <w:r w:rsidRPr="00D51A68">
              <w:lastRenderedPageBreak/>
              <w:t>660</w:t>
            </w:r>
          </w:p>
        </w:tc>
        <w:tc>
          <w:tcPr>
            <w:tcW w:w="7243" w:type="dxa"/>
          </w:tcPr>
          <w:p w:rsidR="005643EA" w:rsidRPr="00D51A68" w:rsidRDefault="002648B0" w:rsidP="00FC1A76">
            <w:pPr>
              <w:pStyle w:val="InstructionsText"/>
            </w:pPr>
            <w:r w:rsidRPr="00D51A68">
              <w:rPr>
                <w:rStyle w:val="InstructionsTabelleberschrift"/>
                <w:rFonts w:ascii="Times New Roman" w:hAnsi="Times New Roman"/>
                <w:sz w:val="24"/>
              </w:rPr>
              <w:t>19. Esposizioni ponderate per il rischio di capitale aggiuntivo di classe 1 detenuto in soggetti del settore finanziario non dedotte dal capitale aggiuntivo di classe 1 dell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ente</w:t>
            </w:r>
          </w:p>
          <w:p w:rsidR="005643EA" w:rsidRPr="00D51A68" w:rsidRDefault="002648B0" w:rsidP="00FC1A76">
            <w:pPr>
              <w:pStyle w:val="InstructionsText"/>
            </w:pPr>
            <w:r w:rsidRPr="00D51A68">
              <w:t>Articolo 60, paragrafo 4, del CRR.</w:t>
            </w:r>
          </w:p>
        </w:tc>
      </w:tr>
      <w:tr w:rsidR="002648B0" w:rsidRPr="00D51A68" w:rsidTr="00672D2A">
        <w:tc>
          <w:tcPr>
            <w:tcW w:w="1506" w:type="dxa"/>
          </w:tcPr>
          <w:p w:rsidR="002648B0" w:rsidRPr="00D51A68" w:rsidRDefault="002648B0" w:rsidP="00FC1A76">
            <w:pPr>
              <w:pStyle w:val="InstructionsText"/>
            </w:pPr>
            <w:r w:rsidRPr="00D51A68">
              <w:t>670</w:t>
            </w:r>
          </w:p>
        </w:tc>
        <w:tc>
          <w:tcPr>
            <w:tcW w:w="7243" w:type="dxa"/>
          </w:tcPr>
          <w:p w:rsidR="005643EA" w:rsidRPr="00D51A68" w:rsidRDefault="002648B0" w:rsidP="00FC1A76">
            <w:pPr>
              <w:pStyle w:val="InstructionsText"/>
            </w:pPr>
            <w:r w:rsidRPr="00D51A68">
              <w:rPr>
                <w:rStyle w:val="InstructionsTabelleberschrift"/>
                <w:rFonts w:ascii="Times New Roman" w:hAnsi="Times New Roman"/>
                <w:sz w:val="24"/>
              </w:rPr>
              <w:t>20. Esposizioni ponderate per il rischio di capitale di classe 2 detenuto in soggetti del settore finanziario non dedotte dal capitale di classe 2 dell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ente</w:t>
            </w:r>
          </w:p>
          <w:p w:rsidR="005643EA" w:rsidRPr="00D51A68" w:rsidRDefault="002648B0" w:rsidP="00FC1A76">
            <w:pPr>
              <w:pStyle w:val="InstructionsText"/>
            </w:pPr>
            <w:r w:rsidRPr="00D51A68">
              <w:t>Articolo 70, paragrafo 4, del CRR.</w:t>
            </w:r>
          </w:p>
        </w:tc>
      </w:tr>
      <w:tr w:rsidR="002648B0" w:rsidRPr="00D51A68" w:rsidTr="00672D2A">
        <w:tc>
          <w:tcPr>
            <w:tcW w:w="1506" w:type="dxa"/>
          </w:tcPr>
          <w:p w:rsidR="002648B0" w:rsidRPr="00D51A68" w:rsidRDefault="002648B0" w:rsidP="00FC1A76">
            <w:pPr>
              <w:pStyle w:val="InstructionsText"/>
            </w:pPr>
            <w:r w:rsidRPr="00D51A68">
              <w:t>680</w:t>
            </w:r>
          </w:p>
        </w:tc>
        <w:tc>
          <w:tcPr>
            <w:tcW w:w="7243" w:type="dxa"/>
          </w:tcPr>
          <w:p w:rsidR="005643EA" w:rsidRPr="00D51A68" w:rsidRDefault="002648B0" w:rsidP="00FC1A76">
            <w:pPr>
              <w:pStyle w:val="InstructionsText"/>
            </w:pPr>
            <w:r w:rsidRPr="00D51A68">
              <w:rPr>
                <w:rStyle w:val="InstructionsTabelleberschrift"/>
                <w:rFonts w:ascii="Times New Roman" w:hAnsi="Times New Roman"/>
                <w:sz w:val="24"/>
              </w:rPr>
              <w:t>21</w:t>
            </w:r>
            <w:r w:rsidR="00A0772B" w:rsidRPr="00D51A68">
              <w:rPr>
                <w:u w:val="single"/>
              </w:rPr>
              <w:tab/>
            </w:r>
            <w:r w:rsidRPr="00D51A68">
              <w:rPr>
                <w:rStyle w:val="InstructionsTabelleberschrift"/>
                <w:rFonts w:ascii="Times New Roman" w:hAnsi="Times New Roman"/>
                <w:sz w:val="24"/>
              </w:rPr>
              <w:t>Detenzioni di strumenti di capitale primario di classe 1 di soggetti del settore finanziario in cui 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ente non ha un investimento significativo cui è applicata una deroga temporanea</w:t>
            </w:r>
          </w:p>
          <w:p w:rsidR="005643EA" w:rsidRPr="00D51A68" w:rsidRDefault="002648B0" w:rsidP="00FC1A76">
            <w:pPr>
              <w:pStyle w:val="InstructionsText"/>
            </w:pPr>
            <w:r w:rsidRPr="00D51A68">
              <w:t>Articolo 79 del CRR.</w:t>
            </w:r>
          </w:p>
          <w:p w:rsidR="005643EA" w:rsidRPr="00D51A68" w:rsidRDefault="002648B0" w:rsidP="00FC1A76">
            <w:pPr>
              <w:pStyle w:val="InstructionsText"/>
            </w:pPr>
            <w:r w:rsidRPr="00D51A68">
              <w:t>L</w:t>
            </w:r>
            <w:r w:rsidR="0009277C" w:rsidRPr="00D51A68">
              <w:t>’</w:t>
            </w:r>
            <w:r w:rsidRPr="00D51A68">
              <w:t>autorità competente può derogare su base temporanea alle disposizioni relative alle deduzioni dal capitale primario di classe 1 dovute a partecipazioni in strumenti di uno specifico soggetto del settore finanziario qualora ritenga che dette partecipazioni sussistano ai fini di un</w:t>
            </w:r>
            <w:r w:rsidR="0009277C" w:rsidRPr="00D51A68">
              <w:t>’</w:t>
            </w:r>
            <w:r w:rsidRPr="00D51A68">
              <w:t>operazione di assistenza finanziaria destinata alla riorganizzazione e al salvataggio del soggetto.</w:t>
            </w:r>
          </w:p>
          <w:p w:rsidR="005643EA" w:rsidRPr="00D51A68" w:rsidRDefault="002648B0" w:rsidP="00FC1A76">
            <w:pPr>
              <w:pStyle w:val="InstructionsText"/>
            </w:pPr>
            <w:r w:rsidRPr="00D51A68">
              <w:t>Si rileva che questi strumenti devono es</w:t>
            </w:r>
            <w:r w:rsidR="00680E39" w:rsidRPr="00D51A68">
              <w:t>sere segnalati anche nella voce </w:t>
            </w:r>
            <w:r w:rsidRPr="00D51A68">
              <w:t>12.1.</w:t>
            </w:r>
          </w:p>
        </w:tc>
      </w:tr>
      <w:tr w:rsidR="002648B0" w:rsidRPr="00D51A68" w:rsidTr="00672D2A">
        <w:tc>
          <w:tcPr>
            <w:tcW w:w="1506" w:type="dxa"/>
          </w:tcPr>
          <w:p w:rsidR="002648B0" w:rsidRPr="00D51A68" w:rsidRDefault="002648B0" w:rsidP="00FC1A76">
            <w:pPr>
              <w:pStyle w:val="InstructionsText"/>
            </w:pPr>
            <w:r w:rsidRPr="00D51A68">
              <w:t>690</w:t>
            </w:r>
          </w:p>
        </w:tc>
        <w:tc>
          <w:tcPr>
            <w:tcW w:w="7243" w:type="dxa"/>
          </w:tcPr>
          <w:p w:rsidR="005643EA" w:rsidRPr="00D51A68" w:rsidRDefault="002648B0" w:rsidP="00FC1A76">
            <w:pPr>
              <w:pStyle w:val="InstructionsText"/>
            </w:pPr>
            <w:r w:rsidRPr="00D51A68">
              <w:rPr>
                <w:rStyle w:val="InstructionsTabelleberschrift"/>
                <w:rFonts w:ascii="Times New Roman" w:hAnsi="Times New Roman"/>
                <w:sz w:val="24"/>
              </w:rPr>
              <w:t>22</w:t>
            </w:r>
            <w:r w:rsidR="00A0772B" w:rsidRPr="00D51A68">
              <w:rPr>
                <w:u w:val="single"/>
              </w:rPr>
              <w:tab/>
            </w:r>
            <w:r w:rsidRPr="00D51A68">
              <w:rPr>
                <w:rStyle w:val="InstructionsTabelleberschrift"/>
                <w:rFonts w:ascii="Times New Roman" w:hAnsi="Times New Roman"/>
                <w:sz w:val="24"/>
              </w:rPr>
              <w:t>Detenzioni di strumenti di capitale primario di classe 1 di soggetti del settore finanziario in cui 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ente ha un investimento significativo cui è applicata una deroga temporanea</w:t>
            </w:r>
          </w:p>
          <w:p w:rsidR="005643EA" w:rsidRPr="00D51A68" w:rsidRDefault="002648B0" w:rsidP="00FC1A76">
            <w:pPr>
              <w:pStyle w:val="InstructionsText"/>
            </w:pPr>
            <w:r w:rsidRPr="00D51A68">
              <w:t>Articolo 79 del CRR.</w:t>
            </w:r>
          </w:p>
          <w:p w:rsidR="005643EA" w:rsidRPr="00D51A68" w:rsidRDefault="002648B0" w:rsidP="00FC1A76">
            <w:pPr>
              <w:pStyle w:val="InstructionsText"/>
            </w:pPr>
            <w:r w:rsidRPr="00D51A68">
              <w:t>L</w:t>
            </w:r>
            <w:r w:rsidR="0009277C" w:rsidRPr="00D51A68">
              <w:t>’</w:t>
            </w:r>
            <w:r w:rsidRPr="00D51A68">
              <w:t>autorità competente può derogare su base temporanea alle disposizioni relative alle deduzioni dal capitale primario di classe 1 dovute a partecipazioni in strumenti di uno specifico soggetto del settore finanziario qualora ritenga che dette partecipazioni sussistano ai fini di un</w:t>
            </w:r>
            <w:r w:rsidR="0009277C" w:rsidRPr="00D51A68">
              <w:t>’</w:t>
            </w:r>
            <w:r w:rsidRPr="00D51A68">
              <w:t>operazione di assistenza finanziaria destinata alla riorganizzazione e al salvataggio del soggetto.</w:t>
            </w:r>
          </w:p>
          <w:p w:rsidR="005643EA" w:rsidRPr="00D51A68" w:rsidRDefault="002648B0" w:rsidP="00FC1A76">
            <w:pPr>
              <w:pStyle w:val="InstructionsText"/>
            </w:pPr>
            <w:r w:rsidRPr="00D51A68">
              <w:t>Si rileva che questi strumenti devono es</w:t>
            </w:r>
            <w:r w:rsidR="00680E39" w:rsidRPr="00D51A68">
              <w:t>sere segnalati anche nella voce </w:t>
            </w:r>
            <w:r w:rsidRPr="00D51A68">
              <w:t>15.1.</w:t>
            </w:r>
          </w:p>
        </w:tc>
      </w:tr>
      <w:tr w:rsidR="002648B0" w:rsidRPr="00D51A68" w:rsidTr="00672D2A">
        <w:tc>
          <w:tcPr>
            <w:tcW w:w="1506" w:type="dxa"/>
          </w:tcPr>
          <w:p w:rsidR="002648B0" w:rsidRPr="00D51A68" w:rsidRDefault="002648B0" w:rsidP="00FC1A76">
            <w:pPr>
              <w:pStyle w:val="InstructionsText"/>
            </w:pPr>
            <w:r w:rsidRPr="00D51A68">
              <w:t>700</w:t>
            </w:r>
          </w:p>
        </w:tc>
        <w:tc>
          <w:tcPr>
            <w:tcW w:w="7243" w:type="dxa"/>
          </w:tcPr>
          <w:p w:rsidR="005643EA" w:rsidRPr="00D51A68" w:rsidRDefault="002648B0" w:rsidP="00680E39">
            <w:pPr>
              <w:pStyle w:val="InstructionsText"/>
              <w:spacing w:after="60"/>
            </w:pPr>
            <w:r w:rsidRPr="00D51A68">
              <w:rPr>
                <w:rStyle w:val="InstructionsTabelleberschrift"/>
                <w:rFonts w:ascii="Times New Roman" w:hAnsi="Times New Roman"/>
                <w:sz w:val="24"/>
              </w:rPr>
              <w:t>23</w:t>
            </w:r>
            <w:r w:rsidR="00A0772B" w:rsidRPr="00D51A68">
              <w:rPr>
                <w:u w:val="single"/>
              </w:rPr>
              <w:tab/>
            </w:r>
            <w:r w:rsidRPr="00D51A68">
              <w:rPr>
                <w:rStyle w:val="InstructionsTabelleberschrift"/>
                <w:rFonts w:ascii="Times New Roman" w:hAnsi="Times New Roman"/>
                <w:sz w:val="24"/>
              </w:rPr>
              <w:t>Detenzioni di strumenti di capitale aggiuntivo di classe 1 di soggetti del settore finanziario in cui 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ente non ha un investimento significativo cui è applicata una deroga temporanea</w:t>
            </w:r>
          </w:p>
          <w:p w:rsidR="005643EA" w:rsidRPr="00D51A68" w:rsidRDefault="002648B0" w:rsidP="00680E39">
            <w:pPr>
              <w:pStyle w:val="InstructionsText"/>
              <w:spacing w:after="60"/>
            </w:pPr>
            <w:r w:rsidRPr="00D51A68">
              <w:t>Articolo 79 del CRR.</w:t>
            </w:r>
          </w:p>
          <w:p w:rsidR="005643EA" w:rsidRPr="00D51A68" w:rsidRDefault="002648B0" w:rsidP="00680E39">
            <w:pPr>
              <w:pStyle w:val="InstructionsText"/>
              <w:spacing w:after="60"/>
            </w:pPr>
            <w:r w:rsidRPr="00D51A68">
              <w:t>L</w:t>
            </w:r>
            <w:r w:rsidR="0009277C" w:rsidRPr="00D51A68">
              <w:t>’</w:t>
            </w:r>
            <w:r w:rsidRPr="00D51A68">
              <w:t>autorità competente può derogare su base temporanea alle disposizioni relative alle deduzioni dal capitale aggiuntivo di classe 1 dovute a partecipazioni in strumenti di uno specifico soggetto del settore finanziario qualora ritenga che dette partecipazioni sussistano ai fini di un</w:t>
            </w:r>
            <w:r w:rsidR="0009277C" w:rsidRPr="00D51A68">
              <w:t>’</w:t>
            </w:r>
            <w:r w:rsidRPr="00D51A68">
              <w:t>operazione di assistenza finanziaria destinata alla riorganizzazione e al salvataggio del soggetto.</w:t>
            </w:r>
          </w:p>
          <w:p w:rsidR="005643EA" w:rsidRPr="00D51A68" w:rsidRDefault="002648B0" w:rsidP="00680E39">
            <w:pPr>
              <w:pStyle w:val="InstructionsText"/>
              <w:spacing w:after="60"/>
            </w:pPr>
            <w:r w:rsidRPr="00D51A68">
              <w:t>Si rileva che questi strumenti devono es</w:t>
            </w:r>
            <w:r w:rsidR="00680E39" w:rsidRPr="00D51A68">
              <w:t>sere segnalati anche nella voce </w:t>
            </w:r>
            <w:r w:rsidRPr="00D51A68">
              <w:t>13.1.</w:t>
            </w:r>
          </w:p>
        </w:tc>
      </w:tr>
      <w:tr w:rsidR="002648B0" w:rsidRPr="00D51A68" w:rsidTr="00672D2A">
        <w:tc>
          <w:tcPr>
            <w:tcW w:w="1506" w:type="dxa"/>
          </w:tcPr>
          <w:p w:rsidR="002648B0" w:rsidRPr="00D51A68" w:rsidRDefault="002648B0" w:rsidP="00FC1A76">
            <w:pPr>
              <w:pStyle w:val="InstructionsText"/>
            </w:pPr>
            <w:r w:rsidRPr="00D51A68">
              <w:lastRenderedPageBreak/>
              <w:t>710</w:t>
            </w:r>
          </w:p>
        </w:tc>
        <w:tc>
          <w:tcPr>
            <w:tcW w:w="7243" w:type="dxa"/>
          </w:tcPr>
          <w:p w:rsidR="005643EA" w:rsidRPr="00D51A68" w:rsidRDefault="002648B0" w:rsidP="00FC1A76">
            <w:pPr>
              <w:pStyle w:val="InstructionsText"/>
            </w:pPr>
            <w:r w:rsidRPr="00D51A68">
              <w:rPr>
                <w:rStyle w:val="InstructionsTabelleberschrift"/>
                <w:rFonts w:ascii="Times New Roman" w:hAnsi="Times New Roman"/>
                <w:sz w:val="24"/>
              </w:rPr>
              <w:t>24</w:t>
            </w:r>
            <w:r w:rsidR="00A0772B" w:rsidRPr="00D51A68">
              <w:rPr>
                <w:u w:val="single"/>
              </w:rPr>
              <w:tab/>
            </w:r>
            <w:r w:rsidRPr="00D51A68">
              <w:rPr>
                <w:rStyle w:val="InstructionsTabelleberschrift"/>
                <w:rFonts w:ascii="Times New Roman" w:hAnsi="Times New Roman"/>
                <w:sz w:val="24"/>
              </w:rPr>
              <w:t>Detenzioni di strumenti di capitale aggiuntivo di classe 1 di soggetti del settore finanziario in cui 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ente ha un investimento significativo cui è applicata una deroga temporanea</w:t>
            </w:r>
          </w:p>
          <w:p w:rsidR="005643EA" w:rsidRPr="00D51A68" w:rsidRDefault="002648B0" w:rsidP="00FC1A76">
            <w:pPr>
              <w:pStyle w:val="InstructionsText"/>
            </w:pPr>
            <w:r w:rsidRPr="00D51A68">
              <w:t>Articolo 79 del CRR.</w:t>
            </w:r>
          </w:p>
          <w:p w:rsidR="005643EA" w:rsidRPr="00D51A68" w:rsidRDefault="002648B0" w:rsidP="00FC1A76">
            <w:pPr>
              <w:pStyle w:val="InstructionsText"/>
            </w:pPr>
            <w:r w:rsidRPr="00D51A68">
              <w:t>L</w:t>
            </w:r>
            <w:r w:rsidR="0009277C" w:rsidRPr="00D51A68">
              <w:t>’</w:t>
            </w:r>
            <w:r w:rsidRPr="00D51A68">
              <w:t>autorità competente può derogare su base temporanea alle disposizioni relative alle deduzioni dal capitale aggiuntivo di classe 1 dovute a partecipazioni in strumenti di uno specifico soggetto del settore finanziario qualora ritenga che dette partecipazioni sussistano ai fini di un</w:t>
            </w:r>
            <w:r w:rsidR="0009277C" w:rsidRPr="00D51A68">
              <w:t>’</w:t>
            </w:r>
            <w:r w:rsidRPr="00D51A68">
              <w:t>operazione di assistenza finanziaria destinata alla riorganizzazione e al salvataggio del soggetto.</w:t>
            </w:r>
          </w:p>
          <w:p w:rsidR="005643EA" w:rsidRPr="00D51A68" w:rsidRDefault="002648B0" w:rsidP="00FC1A76">
            <w:pPr>
              <w:pStyle w:val="InstructionsText"/>
            </w:pPr>
            <w:r w:rsidRPr="00D51A68">
              <w:t>Si rileva che questi strumenti devono es</w:t>
            </w:r>
            <w:r w:rsidR="00680E39" w:rsidRPr="00D51A68">
              <w:t>sere segnalati anche nella voce </w:t>
            </w:r>
            <w:r w:rsidRPr="00D51A68">
              <w:t>16.1.</w:t>
            </w:r>
          </w:p>
        </w:tc>
      </w:tr>
      <w:tr w:rsidR="002648B0" w:rsidRPr="00D51A68" w:rsidTr="00672D2A">
        <w:tc>
          <w:tcPr>
            <w:tcW w:w="1506" w:type="dxa"/>
          </w:tcPr>
          <w:p w:rsidR="002648B0" w:rsidRPr="00D51A68" w:rsidRDefault="002648B0" w:rsidP="00FC1A76">
            <w:pPr>
              <w:pStyle w:val="InstructionsText"/>
            </w:pPr>
            <w:r w:rsidRPr="00D51A68">
              <w:t>720</w:t>
            </w:r>
          </w:p>
        </w:tc>
        <w:tc>
          <w:tcPr>
            <w:tcW w:w="7243" w:type="dxa"/>
          </w:tcPr>
          <w:p w:rsidR="005643EA" w:rsidRPr="00D51A68" w:rsidRDefault="002648B0" w:rsidP="00FC1A76">
            <w:pPr>
              <w:pStyle w:val="InstructionsText"/>
            </w:pPr>
            <w:r w:rsidRPr="00D51A68">
              <w:rPr>
                <w:rStyle w:val="InstructionsTabelleberschrift"/>
                <w:rFonts w:ascii="Times New Roman" w:hAnsi="Times New Roman"/>
                <w:sz w:val="24"/>
              </w:rPr>
              <w:t>25</w:t>
            </w:r>
            <w:r w:rsidR="00A0772B" w:rsidRPr="00D51A68">
              <w:rPr>
                <w:u w:val="single"/>
              </w:rPr>
              <w:tab/>
            </w:r>
            <w:r w:rsidRPr="00D51A68">
              <w:rPr>
                <w:rStyle w:val="InstructionsTabelleberschrift"/>
                <w:rFonts w:ascii="Times New Roman" w:hAnsi="Times New Roman"/>
                <w:sz w:val="24"/>
              </w:rPr>
              <w:t>Detenzioni di strumenti di capitale di classe 2 di soggetti del settore finanziario in cui 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ente non ha un investimento significativo cui è applicata una deroga temporanea</w:t>
            </w:r>
          </w:p>
          <w:p w:rsidR="005643EA" w:rsidRPr="00D51A68" w:rsidRDefault="002648B0" w:rsidP="00FC1A76">
            <w:pPr>
              <w:pStyle w:val="InstructionsText"/>
            </w:pPr>
            <w:r w:rsidRPr="00D51A68">
              <w:t>Articolo 79 del CRR.</w:t>
            </w:r>
          </w:p>
          <w:p w:rsidR="005643EA" w:rsidRPr="00D51A68" w:rsidRDefault="002648B0" w:rsidP="00FC1A76">
            <w:pPr>
              <w:pStyle w:val="InstructionsText"/>
            </w:pPr>
            <w:r w:rsidRPr="00D51A68">
              <w:t>L</w:t>
            </w:r>
            <w:r w:rsidR="0009277C" w:rsidRPr="00D51A68">
              <w:t>’</w:t>
            </w:r>
            <w:r w:rsidRPr="00D51A68">
              <w:t>autorità competente può derogare su base temporanea alle disposizioni relative alle deduzioni dal capitale di classe 2 dovute a partecipazioni in strumenti di uno specifico soggetto del settore finanziario qualora ritenga che dette partecipazioni sussistano ai fini di un</w:t>
            </w:r>
            <w:r w:rsidR="0009277C" w:rsidRPr="00D51A68">
              <w:t>’</w:t>
            </w:r>
            <w:r w:rsidRPr="00D51A68">
              <w:t>operazione di assistenza finanziaria destinata alla riorganizzazione e al salvataggio del soggetto.</w:t>
            </w:r>
          </w:p>
          <w:p w:rsidR="005643EA" w:rsidRPr="00D51A68" w:rsidRDefault="002648B0" w:rsidP="00FC1A76">
            <w:pPr>
              <w:pStyle w:val="InstructionsText"/>
            </w:pPr>
            <w:r w:rsidRPr="00D51A68">
              <w:t>Si rileva che questi strumenti devono essere segnalati anch</w:t>
            </w:r>
            <w:r w:rsidR="00680E39" w:rsidRPr="00D51A68">
              <w:t>e nella voce </w:t>
            </w:r>
            <w:r w:rsidRPr="00D51A68">
              <w:t>14.1.</w:t>
            </w:r>
          </w:p>
        </w:tc>
      </w:tr>
      <w:tr w:rsidR="002648B0" w:rsidRPr="00D51A68" w:rsidTr="00672D2A">
        <w:tc>
          <w:tcPr>
            <w:tcW w:w="1506" w:type="dxa"/>
          </w:tcPr>
          <w:p w:rsidR="002648B0" w:rsidRPr="00D51A68" w:rsidRDefault="002648B0" w:rsidP="00FC1A76">
            <w:pPr>
              <w:pStyle w:val="InstructionsText"/>
            </w:pPr>
            <w:r w:rsidRPr="00D51A68">
              <w:t>730</w:t>
            </w:r>
          </w:p>
        </w:tc>
        <w:tc>
          <w:tcPr>
            <w:tcW w:w="7243" w:type="dxa"/>
          </w:tcPr>
          <w:p w:rsidR="005643EA" w:rsidRPr="00D51A68" w:rsidRDefault="002648B0" w:rsidP="00FC1A76">
            <w:pPr>
              <w:pStyle w:val="InstructionsText"/>
            </w:pPr>
            <w:r w:rsidRPr="00D51A68">
              <w:rPr>
                <w:rStyle w:val="InstructionsTabelleberschrift"/>
                <w:rFonts w:ascii="Times New Roman" w:hAnsi="Times New Roman"/>
                <w:sz w:val="24"/>
              </w:rPr>
              <w:t>26</w:t>
            </w:r>
            <w:r w:rsidR="00A0772B" w:rsidRPr="00D51A68">
              <w:rPr>
                <w:u w:val="single"/>
              </w:rPr>
              <w:tab/>
            </w:r>
            <w:r w:rsidRPr="00D51A68">
              <w:rPr>
                <w:rStyle w:val="InstructionsTabelleberschrift"/>
                <w:rFonts w:ascii="Times New Roman" w:hAnsi="Times New Roman"/>
                <w:sz w:val="24"/>
              </w:rPr>
              <w:t>Detenzioni di strumenti di capitale di classe 2 di soggetti del settore finanziario in cui 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ente ha un investimento significativo cui è applicata una deroga temporanea</w:t>
            </w:r>
          </w:p>
          <w:p w:rsidR="005643EA" w:rsidRPr="00D51A68" w:rsidRDefault="002648B0" w:rsidP="00FC1A76">
            <w:pPr>
              <w:pStyle w:val="InstructionsText"/>
            </w:pPr>
            <w:r w:rsidRPr="00D51A68">
              <w:t>Articolo 79 del CRR.</w:t>
            </w:r>
          </w:p>
          <w:p w:rsidR="005643EA" w:rsidRPr="00D51A68" w:rsidRDefault="002648B0" w:rsidP="00FC1A76">
            <w:pPr>
              <w:pStyle w:val="InstructionsText"/>
            </w:pPr>
            <w:r w:rsidRPr="00D51A68">
              <w:t>L</w:t>
            </w:r>
            <w:r w:rsidR="0009277C" w:rsidRPr="00D51A68">
              <w:t>’</w:t>
            </w:r>
            <w:r w:rsidRPr="00D51A68">
              <w:t>autorità competente può derogare su base temporanea alle disposizioni relative alle deduzioni dal capitale di classe 2 dovute a partecipazioni in strumenti di uno specifico soggetto del settore finanziario qualora ritenga che dette partecipazioni sussistano ai fini di un</w:t>
            </w:r>
            <w:r w:rsidR="0009277C" w:rsidRPr="00D51A68">
              <w:t>’</w:t>
            </w:r>
            <w:r w:rsidRPr="00D51A68">
              <w:t>operazione di assistenza finanziaria destinata alla riorganizzazione e al salvataggio del soggetto.</w:t>
            </w:r>
          </w:p>
          <w:p w:rsidR="005643EA" w:rsidRPr="00D51A68" w:rsidRDefault="002648B0" w:rsidP="00FC1A76">
            <w:pPr>
              <w:pStyle w:val="InstructionsText"/>
            </w:pPr>
            <w:r w:rsidRPr="00D51A68">
              <w:t>Si rileva che questi strumenti devono es</w:t>
            </w:r>
            <w:r w:rsidR="00680E39" w:rsidRPr="00D51A68">
              <w:t>sere segnalati anche nella voce </w:t>
            </w:r>
            <w:r w:rsidRPr="00D51A68">
              <w:t>17.1.</w:t>
            </w:r>
          </w:p>
        </w:tc>
      </w:tr>
      <w:tr w:rsidR="002648B0" w:rsidRPr="00D51A68"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2648B0" w:rsidRPr="00D51A68" w:rsidRDefault="002648B0" w:rsidP="00FC1A76">
            <w:pPr>
              <w:pStyle w:val="InstructionsText"/>
            </w:pPr>
            <w:r w:rsidRPr="00D51A68">
              <w:t>740</w:t>
            </w:r>
          </w:p>
        </w:tc>
        <w:tc>
          <w:tcPr>
            <w:tcW w:w="7243" w:type="dxa"/>
            <w:tcBorders>
              <w:top w:val="single" w:sz="4" w:space="0" w:color="auto"/>
              <w:left w:val="single" w:sz="4" w:space="0" w:color="auto"/>
              <w:bottom w:val="single" w:sz="4" w:space="0" w:color="auto"/>
              <w:right w:val="single" w:sz="4" w:space="0" w:color="auto"/>
            </w:tcBorders>
          </w:tcPr>
          <w:p w:rsidR="005643EA" w:rsidRPr="00D51A68" w:rsidRDefault="002648B0" w:rsidP="00FC1A76">
            <w:pPr>
              <w:pStyle w:val="InstructionsText"/>
            </w:pPr>
            <w:r w:rsidRPr="00D51A68">
              <w:rPr>
                <w:rStyle w:val="InstructionsTabelleberschrift"/>
                <w:rFonts w:ascii="Times New Roman" w:hAnsi="Times New Roman"/>
                <w:sz w:val="24"/>
              </w:rPr>
              <w:t>27</w:t>
            </w:r>
            <w:r w:rsidR="00A0772B" w:rsidRPr="00D51A68">
              <w:rPr>
                <w:u w:val="single"/>
              </w:rPr>
              <w:tab/>
            </w:r>
            <w:r w:rsidRPr="00D51A68">
              <w:rPr>
                <w:rStyle w:val="InstructionsTabelleberschrift"/>
                <w:rFonts w:ascii="Times New Roman" w:hAnsi="Times New Roman"/>
                <w:sz w:val="24"/>
              </w:rPr>
              <w:t>Requisito combinato di riserva di capitale</w:t>
            </w:r>
          </w:p>
          <w:p w:rsidR="005643EA" w:rsidRPr="00D51A68" w:rsidRDefault="002648B0" w:rsidP="00FC1A76">
            <w:pPr>
              <w:pStyle w:val="InstructionsText"/>
            </w:pPr>
            <w:r w:rsidRPr="00D51A68">
              <w:t>Articolo 128, primo comma, punto 6, della CRD.</w:t>
            </w:r>
          </w:p>
        </w:tc>
      </w:tr>
      <w:tr w:rsidR="002648B0" w:rsidRPr="00D51A68"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2648B0" w:rsidRPr="00D51A68" w:rsidRDefault="00AC0F2C" w:rsidP="00FC1A76">
            <w:pPr>
              <w:pStyle w:val="InstructionsText"/>
            </w:pPr>
            <w:r w:rsidRPr="00D51A68">
              <w:t>750</w:t>
            </w:r>
          </w:p>
        </w:tc>
        <w:tc>
          <w:tcPr>
            <w:tcW w:w="7243" w:type="dxa"/>
            <w:tcBorders>
              <w:top w:val="single" w:sz="4" w:space="0" w:color="auto"/>
              <w:left w:val="single" w:sz="4" w:space="0" w:color="auto"/>
              <w:bottom w:val="single" w:sz="4" w:space="0" w:color="auto"/>
              <w:right w:val="single" w:sz="4" w:space="0" w:color="auto"/>
            </w:tcBorders>
          </w:tcPr>
          <w:p w:rsidR="005643EA" w:rsidRPr="00D51A68" w:rsidRDefault="00454139" w:rsidP="00FC1A76">
            <w:pPr>
              <w:pStyle w:val="InstructionsText"/>
            </w:pPr>
            <w:r w:rsidRPr="00D51A68">
              <w:rPr>
                <w:rStyle w:val="InstructionsTabelleberschrift"/>
                <w:rFonts w:ascii="Times New Roman" w:hAnsi="Times New Roman"/>
                <w:sz w:val="24"/>
              </w:rPr>
              <w:t>Riserva di conservazione del capitale</w:t>
            </w:r>
          </w:p>
          <w:p w:rsidR="005643EA" w:rsidRPr="00D51A68" w:rsidRDefault="002648B0" w:rsidP="00FC1A76">
            <w:pPr>
              <w:pStyle w:val="InstructionsText"/>
            </w:pPr>
            <w:r w:rsidRPr="00D51A68">
              <w:t xml:space="preserve">Articolo 128, primo comma, punto 1, e articolo 129 della CRD. </w:t>
            </w:r>
          </w:p>
          <w:p w:rsidR="005643EA" w:rsidRPr="00D51A68" w:rsidRDefault="002648B0" w:rsidP="00FC1A76">
            <w:pPr>
              <w:pStyle w:val="InstructionsText"/>
            </w:pPr>
            <w:r w:rsidRPr="00D51A68">
              <w:t>Conformemente all</w:t>
            </w:r>
            <w:r w:rsidR="0009277C" w:rsidRPr="00D51A68">
              <w:t>’</w:t>
            </w:r>
            <w:r w:rsidRPr="00D51A68">
              <w:t xml:space="preserve">articolo 129, paragrafo 1, la riserva di conservazione del capitale è un importo aggiuntivo del capitale primario di classe 1. Dato che il coefficiente della riserva di conservazione del capitale </w:t>
            </w:r>
            <w:r w:rsidRPr="00D51A68">
              <w:lastRenderedPageBreak/>
              <w:t>del</w:t>
            </w:r>
            <w:r w:rsidR="00680E39" w:rsidRPr="00D51A68">
              <w:t> </w:t>
            </w:r>
            <w:r w:rsidRPr="00D51A68">
              <w:t>2,5</w:t>
            </w:r>
            <w:r w:rsidR="0009277C" w:rsidRPr="00D51A68">
              <w:t>%</w:t>
            </w:r>
            <w:r w:rsidRPr="00D51A68">
              <w:t xml:space="preserve"> è fisso, in questa cella è segnalato un importo.</w:t>
            </w:r>
          </w:p>
        </w:tc>
      </w:tr>
      <w:tr w:rsidR="002648B0" w:rsidRPr="00D51A68"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2648B0" w:rsidRPr="00D51A68" w:rsidRDefault="002648B0" w:rsidP="00FC1A76">
            <w:pPr>
              <w:pStyle w:val="InstructionsText"/>
            </w:pPr>
            <w:r w:rsidRPr="00D51A68">
              <w:lastRenderedPageBreak/>
              <w:t>760</w:t>
            </w:r>
          </w:p>
        </w:tc>
        <w:tc>
          <w:tcPr>
            <w:tcW w:w="7243" w:type="dxa"/>
            <w:tcBorders>
              <w:top w:val="single" w:sz="4" w:space="0" w:color="auto"/>
              <w:left w:val="single" w:sz="4" w:space="0" w:color="auto"/>
              <w:bottom w:val="single" w:sz="4" w:space="0" w:color="auto"/>
              <w:right w:val="single" w:sz="4" w:space="0" w:color="auto"/>
            </w:tcBorders>
          </w:tcPr>
          <w:p w:rsidR="005643EA" w:rsidRPr="00D51A68" w:rsidRDefault="002648B0" w:rsidP="00FC1A76">
            <w:pPr>
              <w:pStyle w:val="InstructionsText"/>
            </w:pPr>
            <w:r w:rsidRPr="00D51A68">
              <w:rPr>
                <w:rStyle w:val="InstructionsTabelleberschrift"/>
                <w:rFonts w:ascii="Times New Roman" w:hAnsi="Times New Roman"/>
                <w:sz w:val="24"/>
              </w:rPr>
              <w:t xml:space="preserve">Riserva di conservazione dovuta al rischio macroprudenziale o sistemico individuato a livello di uno Stato membro </w:t>
            </w:r>
          </w:p>
          <w:p w:rsidR="005643EA" w:rsidRPr="00D51A68" w:rsidRDefault="002648B0" w:rsidP="00FC1A76">
            <w:pPr>
              <w:pStyle w:val="InstructionsText"/>
            </w:pPr>
            <w:r w:rsidRPr="00D51A68">
              <w:t>Articolo 458, paragrafo 2, lettera d), punto iv), del CRR.</w:t>
            </w:r>
          </w:p>
          <w:p w:rsidR="00DF65DF" w:rsidRPr="00D51A68" w:rsidRDefault="002648B0" w:rsidP="00FC1A76">
            <w:pPr>
              <w:pStyle w:val="InstructionsText"/>
            </w:pPr>
            <w:r w:rsidRPr="00D51A68">
              <w:t>In questa cella è segnalato l</w:t>
            </w:r>
            <w:r w:rsidR="0009277C" w:rsidRPr="00D51A68">
              <w:t>’</w:t>
            </w:r>
            <w:r w:rsidRPr="00D51A68">
              <w:t>importo della riserva di conservazione dovuta al rischio macroprudenziale o sistemico individuato a livello di uno Stato membro che può essere richiesta conformemente all</w:t>
            </w:r>
            <w:r w:rsidR="0009277C" w:rsidRPr="00D51A68">
              <w:t>’</w:t>
            </w:r>
            <w:r w:rsidR="00680E39" w:rsidRPr="00D51A68">
              <w:t>articolo </w:t>
            </w:r>
            <w:r w:rsidRPr="00D51A68">
              <w:t>458 del CRR in aggiunta alla riserva di conservazione del capitale.</w:t>
            </w:r>
          </w:p>
          <w:p w:rsidR="005643EA" w:rsidRPr="00D51A68" w:rsidRDefault="00DF65DF" w:rsidP="00FC1A76">
            <w:pPr>
              <w:pStyle w:val="InstructionsText"/>
            </w:pPr>
            <w:r w:rsidRPr="00D51A68">
              <w:t>L</w:t>
            </w:r>
            <w:r w:rsidR="0009277C" w:rsidRPr="00D51A68">
              <w:t>’</w:t>
            </w:r>
            <w:r w:rsidRPr="00D51A68">
              <w:t>importo indicato rappresenta l</w:t>
            </w:r>
            <w:r w:rsidR="0009277C" w:rsidRPr="00D51A68">
              <w:t>’</w:t>
            </w:r>
            <w:r w:rsidRPr="00D51A68">
              <w:t>importo dei fondi propri necessari per soddisfare i rispettivi requisiti di riserva di capitale alla data di riferimento per le segnalazioni.</w:t>
            </w:r>
          </w:p>
        </w:tc>
      </w:tr>
      <w:tr w:rsidR="002648B0" w:rsidRPr="00D51A68"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2648B0" w:rsidRPr="00D51A68" w:rsidRDefault="002648B0" w:rsidP="00FC1A76">
            <w:pPr>
              <w:pStyle w:val="InstructionsText"/>
            </w:pPr>
            <w:r w:rsidRPr="00D51A68">
              <w:t>770</w:t>
            </w:r>
          </w:p>
        </w:tc>
        <w:tc>
          <w:tcPr>
            <w:tcW w:w="7243" w:type="dxa"/>
            <w:tcBorders>
              <w:top w:val="single" w:sz="4" w:space="0" w:color="auto"/>
              <w:left w:val="single" w:sz="4" w:space="0" w:color="auto"/>
              <w:bottom w:val="single" w:sz="4" w:space="0" w:color="auto"/>
              <w:right w:val="single" w:sz="4" w:space="0" w:color="auto"/>
            </w:tcBorders>
          </w:tcPr>
          <w:p w:rsidR="005643EA" w:rsidRPr="00D51A68" w:rsidRDefault="0010177C" w:rsidP="00FC1A76">
            <w:pPr>
              <w:pStyle w:val="InstructionsText"/>
            </w:pPr>
            <w:r w:rsidRPr="00D51A68">
              <w:rPr>
                <w:rStyle w:val="InstructionsTabelleberschrift"/>
                <w:rFonts w:ascii="Times New Roman" w:hAnsi="Times New Roman"/>
                <w:sz w:val="24"/>
              </w:rPr>
              <w:t>Riserva di capitale anticiclica specifica dell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 xml:space="preserve">ente </w:t>
            </w:r>
          </w:p>
          <w:p w:rsidR="00DF65DF" w:rsidRPr="00D51A68" w:rsidRDefault="002648B0" w:rsidP="00FC1A76">
            <w:pPr>
              <w:pStyle w:val="InstructionsText"/>
            </w:pPr>
            <w:r w:rsidRPr="00D51A68">
              <w:t xml:space="preserve">Articolo 128, primo comma, punto 2, articolo 130 e articoli da 135 a 140 della CRD. </w:t>
            </w:r>
          </w:p>
          <w:p w:rsidR="005643EA" w:rsidRPr="00D51A68" w:rsidRDefault="00DF65DF" w:rsidP="00FC1A76">
            <w:pPr>
              <w:pStyle w:val="InstructionsText"/>
            </w:pPr>
            <w:r w:rsidRPr="00D51A68">
              <w:t>L</w:t>
            </w:r>
            <w:r w:rsidR="0009277C" w:rsidRPr="00D51A68">
              <w:t>’</w:t>
            </w:r>
            <w:r w:rsidRPr="00D51A68">
              <w:t>importo indicato rappresenta l</w:t>
            </w:r>
            <w:r w:rsidR="0009277C" w:rsidRPr="00D51A68">
              <w:t>’</w:t>
            </w:r>
            <w:r w:rsidRPr="00D51A68">
              <w:t>importo dei fondi propri necessari per soddisfare i rispettivi requisiti di riserva di capitale alla data di riferimento per le segnalazioni.</w:t>
            </w:r>
          </w:p>
        </w:tc>
      </w:tr>
      <w:tr w:rsidR="002648B0" w:rsidRPr="00D51A68"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2648B0" w:rsidRPr="00D51A68" w:rsidRDefault="002648B0" w:rsidP="00FC1A76">
            <w:pPr>
              <w:pStyle w:val="InstructionsText"/>
            </w:pPr>
            <w:r w:rsidRPr="00D51A68">
              <w:t>780</w:t>
            </w:r>
          </w:p>
        </w:tc>
        <w:tc>
          <w:tcPr>
            <w:tcW w:w="7243" w:type="dxa"/>
            <w:tcBorders>
              <w:top w:val="single" w:sz="4" w:space="0" w:color="auto"/>
              <w:left w:val="single" w:sz="4" w:space="0" w:color="auto"/>
              <w:bottom w:val="single" w:sz="4" w:space="0" w:color="auto"/>
              <w:right w:val="single" w:sz="4" w:space="0" w:color="auto"/>
            </w:tcBorders>
          </w:tcPr>
          <w:p w:rsidR="005643EA" w:rsidRPr="00D51A68" w:rsidRDefault="002648B0" w:rsidP="00FC1A76">
            <w:pPr>
              <w:pStyle w:val="InstructionsText"/>
            </w:pPr>
            <w:r w:rsidRPr="00D51A68">
              <w:rPr>
                <w:rStyle w:val="InstructionsTabelleberschrift"/>
                <w:rFonts w:ascii="Times New Roman" w:hAnsi="Times New Roman"/>
                <w:sz w:val="24"/>
              </w:rPr>
              <w:t xml:space="preserve">Riserva di capitale a fronte del rischio sistemico </w:t>
            </w:r>
          </w:p>
          <w:p w:rsidR="00DF65DF" w:rsidRPr="00D51A68" w:rsidRDefault="002648B0" w:rsidP="00FC1A76">
            <w:pPr>
              <w:pStyle w:val="InstructionsText"/>
            </w:pPr>
            <w:r w:rsidRPr="00D51A68">
              <w:t xml:space="preserve">Articolo 128, primo comma, punto 5, e articoli 133 e 134 della CRD. </w:t>
            </w:r>
          </w:p>
          <w:p w:rsidR="005643EA" w:rsidRPr="00D51A68" w:rsidRDefault="00DF65DF" w:rsidP="00FC1A76">
            <w:pPr>
              <w:pStyle w:val="InstructionsText"/>
            </w:pPr>
            <w:r w:rsidRPr="00D51A68">
              <w:t>L</w:t>
            </w:r>
            <w:r w:rsidR="0009277C" w:rsidRPr="00D51A68">
              <w:t>’</w:t>
            </w:r>
            <w:r w:rsidRPr="00D51A68">
              <w:t>importo indicato rappresenta l</w:t>
            </w:r>
            <w:r w:rsidR="0009277C" w:rsidRPr="00D51A68">
              <w:t>’</w:t>
            </w:r>
            <w:r w:rsidRPr="00D51A68">
              <w:t>importo dei fondi propri necessari per soddisfare i rispettivi requisiti di riserva di capitale alla data di riferimento per le segnalazioni.</w:t>
            </w:r>
          </w:p>
        </w:tc>
      </w:tr>
      <w:tr w:rsidR="00AC0F2C" w:rsidRPr="00D51A68"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AC0F2C" w:rsidRPr="00D51A68" w:rsidRDefault="00497D60" w:rsidP="00FC1A76">
            <w:pPr>
              <w:pStyle w:val="InstructionsText"/>
            </w:pPr>
            <w:r w:rsidRPr="00D51A68">
              <w:t>800</w:t>
            </w:r>
          </w:p>
        </w:tc>
        <w:tc>
          <w:tcPr>
            <w:tcW w:w="7243" w:type="dxa"/>
            <w:tcBorders>
              <w:top w:val="single" w:sz="4" w:space="0" w:color="auto"/>
              <w:left w:val="single" w:sz="4" w:space="0" w:color="auto"/>
              <w:bottom w:val="single" w:sz="4" w:space="0" w:color="auto"/>
              <w:right w:val="single" w:sz="4" w:space="0" w:color="auto"/>
            </w:tcBorders>
          </w:tcPr>
          <w:p w:rsidR="005643EA" w:rsidRPr="00D51A68" w:rsidRDefault="0010177C"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Riserva degli enti a rilevanza sistemica a livello globale</w:t>
            </w:r>
          </w:p>
          <w:p w:rsidR="00DF65DF" w:rsidRPr="00D51A68" w:rsidRDefault="00AC0F2C" w:rsidP="00FC1A76">
            <w:pPr>
              <w:pStyle w:val="InstructionsText"/>
              <w:rPr>
                <w:rStyle w:val="InstructionsTabelleberschrift"/>
                <w:rFonts w:ascii="Times New Roman" w:hAnsi="Times New Roman"/>
                <w:b w:val="0"/>
                <w:sz w:val="24"/>
                <w:u w:val="none"/>
              </w:rPr>
            </w:pPr>
            <w:r w:rsidRPr="00D51A68">
              <w:rPr>
                <w:rStyle w:val="InstructionsTabelleberschrift"/>
                <w:rFonts w:ascii="Times New Roman" w:hAnsi="Times New Roman"/>
                <w:b w:val="0"/>
                <w:sz w:val="24"/>
                <w:u w:val="none"/>
              </w:rPr>
              <w:t>Articolo 128, primo comma, punto 3, e articolo 131 della CRD.</w:t>
            </w:r>
          </w:p>
          <w:p w:rsidR="005643EA" w:rsidRPr="00D51A68" w:rsidRDefault="00DF65DF" w:rsidP="00FC1A76">
            <w:pPr>
              <w:pStyle w:val="InstructionsText"/>
              <w:rPr>
                <w:rStyle w:val="InstructionsTabelleberschrift"/>
                <w:rFonts w:ascii="Times New Roman" w:hAnsi="Times New Roman"/>
                <w:b w:val="0"/>
                <w:bCs w:val="0"/>
                <w:sz w:val="24"/>
                <w:u w:val="none"/>
              </w:rPr>
            </w:pPr>
            <w:r w:rsidRPr="00D51A68">
              <w:t>L</w:t>
            </w:r>
            <w:r w:rsidR="0009277C" w:rsidRPr="00D51A68">
              <w:t>’</w:t>
            </w:r>
            <w:r w:rsidRPr="00D51A68">
              <w:t>importo indicato rappresenta l</w:t>
            </w:r>
            <w:r w:rsidR="0009277C" w:rsidRPr="00D51A68">
              <w:t>’</w:t>
            </w:r>
            <w:r w:rsidRPr="00D51A68">
              <w:t>importo dei fondi propri necessari per soddisfare i rispettivi requisiti di riserva di capitale alla data di riferimento per le segnalazioni.</w:t>
            </w:r>
          </w:p>
        </w:tc>
      </w:tr>
      <w:tr w:rsidR="00AC0F2C" w:rsidRPr="00D51A68"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AC0F2C" w:rsidRPr="00D51A68" w:rsidRDefault="00497D60" w:rsidP="00FC1A76">
            <w:pPr>
              <w:pStyle w:val="InstructionsText"/>
            </w:pPr>
            <w:r w:rsidRPr="00D51A68">
              <w:t>810</w:t>
            </w:r>
          </w:p>
        </w:tc>
        <w:tc>
          <w:tcPr>
            <w:tcW w:w="7243" w:type="dxa"/>
            <w:tcBorders>
              <w:top w:val="single" w:sz="4" w:space="0" w:color="auto"/>
              <w:left w:val="single" w:sz="4" w:space="0" w:color="auto"/>
              <w:bottom w:val="single" w:sz="4" w:space="0" w:color="auto"/>
              <w:right w:val="single" w:sz="4" w:space="0" w:color="auto"/>
            </w:tcBorders>
          </w:tcPr>
          <w:p w:rsidR="005643EA" w:rsidRPr="00D51A68" w:rsidRDefault="0010177C"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 xml:space="preserve">Riserva di altri enti a rilevanza sistemica </w:t>
            </w:r>
          </w:p>
          <w:p w:rsidR="00DF65DF" w:rsidRPr="00D51A68" w:rsidRDefault="00AC0F2C" w:rsidP="00FC1A76">
            <w:pPr>
              <w:pStyle w:val="InstructionsText"/>
              <w:rPr>
                <w:rStyle w:val="InstructionsTabelleberschrift"/>
                <w:rFonts w:ascii="Times New Roman" w:hAnsi="Times New Roman"/>
                <w:b w:val="0"/>
                <w:sz w:val="24"/>
                <w:u w:val="none"/>
              </w:rPr>
            </w:pPr>
            <w:r w:rsidRPr="00D51A68">
              <w:rPr>
                <w:rStyle w:val="InstructionsTabelleberschrift"/>
                <w:rFonts w:ascii="Times New Roman" w:hAnsi="Times New Roman"/>
                <w:b w:val="0"/>
                <w:sz w:val="24"/>
                <w:u w:val="none"/>
              </w:rPr>
              <w:t>Articolo 128, primo comma, punto 4, e articolo 131 della CRD.</w:t>
            </w:r>
          </w:p>
          <w:p w:rsidR="005643EA" w:rsidRPr="00D51A68" w:rsidRDefault="00DF65DF" w:rsidP="00FC1A76">
            <w:pPr>
              <w:pStyle w:val="InstructionsText"/>
              <w:rPr>
                <w:rStyle w:val="InstructionsTabelleberschrift"/>
                <w:rFonts w:ascii="Times New Roman" w:hAnsi="Times New Roman"/>
                <w:b w:val="0"/>
                <w:bCs w:val="0"/>
                <w:sz w:val="24"/>
                <w:u w:val="none"/>
              </w:rPr>
            </w:pPr>
            <w:r w:rsidRPr="00D51A68">
              <w:t>L</w:t>
            </w:r>
            <w:r w:rsidR="0009277C" w:rsidRPr="00D51A68">
              <w:t>’</w:t>
            </w:r>
            <w:r w:rsidRPr="00D51A68">
              <w:t>importo indicato rappresenta l</w:t>
            </w:r>
            <w:r w:rsidR="0009277C" w:rsidRPr="00D51A68">
              <w:t>’</w:t>
            </w:r>
            <w:r w:rsidRPr="00D51A68">
              <w:t>importo dei fondi propri necessari per soddisfare i rispettivi requisiti di riserva di capitale alla data di riferimento per le segnalazioni.</w:t>
            </w:r>
          </w:p>
        </w:tc>
      </w:tr>
      <w:tr w:rsidR="00E81DB9" w:rsidRPr="00D51A68"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E81DB9" w:rsidRPr="00D51A68" w:rsidRDefault="00497D60" w:rsidP="00FC1A76">
            <w:pPr>
              <w:pStyle w:val="InstructionsText"/>
            </w:pPr>
            <w:r w:rsidRPr="00D51A68">
              <w:t>820</w:t>
            </w:r>
          </w:p>
          <w:p w:rsidR="00E81DB9" w:rsidRPr="00D51A68" w:rsidRDefault="00E81DB9" w:rsidP="00FC1A76">
            <w:pPr>
              <w:pStyle w:val="InstructionsText"/>
            </w:pPr>
          </w:p>
        </w:tc>
        <w:tc>
          <w:tcPr>
            <w:tcW w:w="7243" w:type="dxa"/>
            <w:tcBorders>
              <w:top w:val="single" w:sz="4" w:space="0" w:color="auto"/>
              <w:left w:val="single" w:sz="4" w:space="0" w:color="auto"/>
              <w:bottom w:val="single" w:sz="4" w:space="0" w:color="auto"/>
              <w:right w:val="single" w:sz="4" w:space="0" w:color="auto"/>
            </w:tcBorders>
          </w:tcPr>
          <w:p w:rsidR="005643EA" w:rsidRPr="00D51A68" w:rsidRDefault="00E81DB9"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28</w:t>
            </w:r>
            <w:r w:rsidR="00A0772B" w:rsidRPr="00D51A68">
              <w:rPr>
                <w:u w:val="single"/>
              </w:rPr>
              <w:tab/>
            </w:r>
            <w:r w:rsidRPr="00D51A68">
              <w:rPr>
                <w:rStyle w:val="InstructionsTabelleberschrift"/>
                <w:rFonts w:ascii="Times New Roman" w:hAnsi="Times New Roman"/>
                <w:sz w:val="24"/>
              </w:rPr>
              <w:t>Requisiti di fondi propri relativi agli aggiustamenti del secondo pilastro</w:t>
            </w:r>
          </w:p>
          <w:p w:rsidR="005643EA" w:rsidRPr="00D51A68" w:rsidRDefault="00190FA3" w:rsidP="00FC1A76">
            <w:pPr>
              <w:pStyle w:val="InstructionsText"/>
              <w:rPr>
                <w:rStyle w:val="InstructionsTabelleberschrift"/>
                <w:rFonts w:ascii="Times New Roman" w:hAnsi="Times New Roman"/>
                <w:b w:val="0"/>
                <w:sz w:val="24"/>
                <w:u w:val="none"/>
              </w:rPr>
            </w:pPr>
            <w:r w:rsidRPr="00D51A68">
              <w:rPr>
                <w:rStyle w:val="InstructionsTabelleberschrift"/>
                <w:rFonts w:ascii="Times New Roman" w:hAnsi="Times New Roman"/>
                <w:b w:val="0"/>
                <w:sz w:val="24"/>
                <w:u w:val="none"/>
              </w:rPr>
              <w:t xml:space="preserve">Articolo 104, paragrafo 2, della CRD. </w:t>
            </w:r>
          </w:p>
          <w:p w:rsidR="005643EA" w:rsidRPr="00D51A68" w:rsidRDefault="00190FA3" w:rsidP="00FC1A76">
            <w:pPr>
              <w:pStyle w:val="InstructionsText"/>
              <w:rPr>
                <w:rStyle w:val="InstructionsTabelleberschrift"/>
                <w:rFonts w:ascii="Times New Roman" w:hAnsi="Times New Roman"/>
                <w:b w:val="0"/>
                <w:sz w:val="24"/>
                <w:u w:val="none"/>
              </w:rPr>
            </w:pPr>
            <w:r w:rsidRPr="00D51A68">
              <w:rPr>
                <w:rStyle w:val="InstructionsTabelleberschrift"/>
                <w:rFonts w:ascii="Times New Roman" w:hAnsi="Times New Roman"/>
                <w:b w:val="0"/>
                <w:sz w:val="24"/>
                <w:u w:val="none"/>
              </w:rPr>
              <w:t>Se l</w:t>
            </w:r>
            <w:r w:rsidR="0009277C" w:rsidRPr="00D51A68">
              <w:rPr>
                <w:rStyle w:val="InstructionsTabelleberschrift"/>
                <w:rFonts w:ascii="Times New Roman" w:hAnsi="Times New Roman"/>
                <w:b w:val="0"/>
                <w:sz w:val="24"/>
                <w:u w:val="none"/>
              </w:rPr>
              <w:t>’</w:t>
            </w:r>
            <w:r w:rsidRPr="00D51A68">
              <w:rPr>
                <w:rStyle w:val="InstructionsTabelleberschrift"/>
                <w:rFonts w:ascii="Times New Roman" w:hAnsi="Times New Roman"/>
                <w:b w:val="0"/>
                <w:sz w:val="24"/>
                <w:u w:val="none"/>
              </w:rPr>
              <w:t>autorità competente stabilisce che l</w:t>
            </w:r>
            <w:r w:rsidR="0009277C" w:rsidRPr="00D51A68">
              <w:rPr>
                <w:rStyle w:val="InstructionsTabelleberschrift"/>
                <w:rFonts w:ascii="Times New Roman" w:hAnsi="Times New Roman"/>
                <w:b w:val="0"/>
                <w:sz w:val="24"/>
                <w:u w:val="none"/>
              </w:rPr>
              <w:t>’</w:t>
            </w:r>
            <w:r w:rsidRPr="00D51A68">
              <w:rPr>
                <w:rStyle w:val="InstructionsTabelleberschrift"/>
                <w:rFonts w:ascii="Times New Roman" w:hAnsi="Times New Roman"/>
                <w:b w:val="0"/>
                <w:sz w:val="24"/>
                <w:u w:val="none"/>
              </w:rPr>
              <w:t xml:space="preserve">ente deve calcolare requisiti aggiuntivi di fondi propri per motivi connessi al secondo pilastro, tali requisiti aggiuntivi di fondi propri sono segnalati in questa cella. </w:t>
            </w:r>
          </w:p>
        </w:tc>
      </w:tr>
      <w:tr w:rsidR="00E81DB9" w:rsidRPr="00D51A68"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E81DB9" w:rsidRPr="00D51A68" w:rsidRDefault="00497D60" w:rsidP="00680E39">
            <w:pPr>
              <w:pStyle w:val="InstructionsText"/>
              <w:keepNext/>
            </w:pPr>
            <w:r w:rsidRPr="00D51A68">
              <w:lastRenderedPageBreak/>
              <w:t>830</w:t>
            </w:r>
          </w:p>
        </w:tc>
        <w:tc>
          <w:tcPr>
            <w:tcW w:w="7243" w:type="dxa"/>
            <w:tcBorders>
              <w:top w:val="single" w:sz="4" w:space="0" w:color="auto"/>
              <w:left w:val="single" w:sz="4" w:space="0" w:color="auto"/>
              <w:bottom w:val="single" w:sz="4" w:space="0" w:color="auto"/>
              <w:right w:val="single" w:sz="4" w:space="0" w:color="auto"/>
            </w:tcBorders>
          </w:tcPr>
          <w:p w:rsidR="005643EA" w:rsidRPr="00D51A68" w:rsidRDefault="00F22648" w:rsidP="00680E39">
            <w:pPr>
              <w:pStyle w:val="InstructionsText"/>
              <w:keepNext/>
              <w:rPr>
                <w:rStyle w:val="InstructionsTabelleberschrift"/>
                <w:rFonts w:ascii="Times New Roman" w:hAnsi="Times New Roman"/>
                <w:sz w:val="24"/>
              </w:rPr>
            </w:pPr>
            <w:r w:rsidRPr="00D51A68">
              <w:rPr>
                <w:rStyle w:val="InstructionsTabelleberschrift"/>
                <w:rFonts w:ascii="Times New Roman" w:hAnsi="Times New Roman"/>
                <w:sz w:val="24"/>
              </w:rPr>
              <w:t>29</w:t>
            </w:r>
            <w:r w:rsidR="00A0772B" w:rsidRPr="00D51A68">
              <w:rPr>
                <w:u w:val="single"/>
              </w:rPr>
              <w:tab/>
            </w:r>
            <w:r w:rsidRPr="00D51A68">
              <w:rPr>
                <w:rStyle w:val="InstructionsTabelleberschrift"/>
                <w:rFonts w:ascii="Times New Roman" w:hAnsi="Times New Roman"/>
                <w:sz w:val="24"/>
              </w:rPr>
              <w:t>Capitale iniziale</w:t>
            </w:r>
          </w:p>
          <w:p w:rsidR="005643EA" w:rsidRPr="00D51A68" w:rsidRDefault="00E0639C" w:rsidP="00680E39">
            <w:pPr>
              <w:pStyle w:val="InstructionsText"/>
              <w:keepNext/>
              <w:rPr>
                <w:rStyle w:val="InstructionsTabelleberschrift"/>
                <w:rFonts w:ascii="Times New Roman" w:hAnsi="Times New Roman"/>
                <w:b w:val="0"/>
                <w:sz w:val="24"/>
                <w:u w:val="none"/>
              </w:rPr>
            </w:pPr>
            <w:r w:rsidRPr="00D51A68">
              <w:rPr>
                <w:rStyle w:val="InstructionsTabelleberschrift"/>
                <w:rFonts w:ascii="Times New Roman" w:hAnsi="Times New Roman"/>
                <w:b w:val="0"/>
                <w:sz w:val="24"/>
                <w:u w:val="none"/>
              </w:rPr>
              <w:t>Articolo 12 e articoli da 28 a 31 della CRD e articolo 93 del CRR.</w:t>
            </w:r>
          </w:p>
        </w:tc>
      </w:tr>
      <w:tr w:rsidR="00E81DB9" w:rsidRPr="00D51A68"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E81DB9" w:rsidRPr="00D51A68" w:rsidRDefault="00497D60" w:rsidP="00FC1A76">
            <w:pPr>
              <w:pStyle w:val="InstructionsText"/>
            </w:pPr>
            <w:r w:rsidRPr="00D51A68">
              <w:t>840</w:t>
            </w:r>
          </w:p>
        </w:tc>
        <w:tc>
          <w:tcPr>
            <w:tcW w:w="7243" w:type="dxa"/>
            <w:tcBorders>
              <w:top w:val="single" w:sz="4" w:space="0" w:color="auto"/>
              <w:left w:val="single" w:sz="4" w:space="0" w:color="auto"/>
              <w:bottom w:val="single" w:sz="4" w:space="0" w:color="auto"/>
              <w:right w:val="single" w:sz="4" w:space="0" w:color="auto"/>
            </w:tcBorders>
          </w:tcPr>
          <w:p w:rsidR="005643EA" w:rsidRPr="00D51A68" w:rsidRDefault="00F22648"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30</w:t>
            </w:r>
            <w:r w:rsidR="00A0772B" w:rsidRPr="00D51A68">
              <w:rPr>
                <w:u w:val="single"/>
              </w:rPr>
              <w:tab/>
            </w:r>
            <w:r w:rsidRPr="00D51A68">
              <w:rPr>
                <w:rStyle w:val="InstructionsTabelleberschrift"/>
                <w:rFonts w:ascii="Times New Roman" w:hAnsi="Times New Roman"/>
                <w:sz w:val="24"/>
              </w:rPr>
              <w:t>Fondi propri basati sulle spese fisse generali</w:t>
            </w:r>
          </w:p>
          <w:p w:rsidR="005643EA" w:rsidRPr="00D51A68" w:rsidRDefault="00E0639C" w:rsidP="00FC1A76">
            <w:pPr>
              <w:pStyle w:val="InstructionsText"/>
              <w:rPr>
                <w:rStyle w:val="InstructionsTabelleberschrift"/>
                <w:rFonts w:ascii="Times New Roman" w:hAnsi="Times New Roman"/>
                <w:b w:val="0"/>
                <w:sz w:val="24"/>
                <w:u w:val="none"/>
              </w:rPr>
            </w:pPr>
            <w:r w:rsidRPr="00D51A68">
              <w:rPr>
                <w:rStyle w:val="InstructionsTabelleberschrift"/>
                <w:rFonts w:ascii="Times New Roman" w:hAnsi="Times New Roman"/>
                <w:b w:val="0"/>
                <w:sz w:val="24"/>
                <w:u w:val="none"/>
              </w:rPr>
              <w:t>Articolo 96, paragrafo 2, lettera b), articolo 97 e articolo 98, paragrafo 1, lettera a), del CRR.</w:t>
            </w:r>
          </w:p>
        </w:tc>
      </w:tr>
      <w:tr w:rsidR="00A774C1" w:rsidRPr="00D51A68"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A774C1" w:rsidRPr="00D51A68" w:rsidRDefault="00497D60" w:rsidP="00FC1A76">
            <w:pPr>
              <w:pStyle w:val="InstructionsText"/>
            </w:pPr>
            <w:r w:rsidRPr="00D51A68">
              <w:t>850</w:t>
            </w:r>
          </w:p>
        </w:tc>
        <w:tc>
          <w:tcPr>
            <w:tcW w:w="7243" w:type="dxa"/>
            <w:tcBorders>
              <w:top w:val="single" w:sz="4" w:space="0" w:color="auto"/>
              <w:left w:val="single" w:sz="4" w:space="0" w:color="auto"/>
              <w:bottom w:val="single" w:sz="4" w:space="0" w:color="auto"/>
              <w:right w:val="single" w:sz="4" w:space="0" w:color="auto"/>
            </w:tcBorders>
          </w:tcPr>
          <w:p w:rsidR="00A774C1" w:rsidRPr="00D51A68" w:rsidRDefault="00F22648"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31</w:t>
            </w:r>
            <w:r w:rsidR="00A0772B" w:rsidRPr="00D51A68">
              <w:rPr>
                <w:u w:val="single"/>
              </w:rPr>
              <w:tab/>
            </w:r>
            <w:r w:rsidRPr="00D51A68">
              <w:rPr>
                <w:rStyle w:val="InstructionsTabelleberschrift"/>
                <w:rFonts w:ascii="Times New Roman" w:hAnsi="Times New Roman"/>
                <w:sz w:val="24"/>
              </w:rPr>
              <w:t>Esposizioni originarie non nazionali</w:t>
            </w:r>
          </w:p>
          <w:p w:rsidR="00DD5F87" w:rsidRPr="00D51A68" w:rsidRDefault="00A774C1" w:rsidP="00FC1A76">
            <w:pPr>
              <w:pStyle w:val="InstructionsText"/>
              <w:rPr>
                <w:rStyle w:val="InstructionsTabelleberschrift"/>
                <w:rFonts w:ascii="Times New Roman" w:hAnsi="Times New Roman"/>
                <w:b w:val="0"/>
                <w:sz w:val="24"/>
                <w:u w:val="none"/>
              </w:rPr>
            </w:pPr>
            <w:r w:rsidRPr="00D51A68">
              <w:rPr>
                <w:rStyle w:val="InstructionsTabelleberschrift"/>
                <w:rFonts w:ascii="Times New Roman" w:hAnsi="Times New Roman"/>
                <w:b w:val="0"/>
                <w:sz w:val="24"/>
                <w:u w:val="none"/>
              </w:rPr>
              <w:t>Informazioni necessarie per il calcolo della soglia di segnalazione del modello CR GB ai sensi dell</w:t>
            </w:r>
            <w:r w:rsidR="0009277C" w:rsidRPr="00D51A68">
              <w:rPr>
                <w:rStyle w:val="InstructionsTabelleberschrift"/>
                <w:rFonts w:ascii="Times New Roman" w:hAnsi="Times New Roman"/>
                <w:b w:val="0"/>
                <w:sz w:val="24"/>
                <w:u w:val="none"/>
              </w:rPr>
              <w:t>’</w:t>
            </w:r>
            <w:r w:rsidRPr="00D51A68">
              <w:rPr>
                <w:rStyle w:val="InstructionsTabelleberschrift"/>
                <w:rFonts w:ascii="Times New Roman" w:hAnsi="Times New Roman"/>
                <w:b w:val="0"/>
                <w:sz w:val="24"/>
                <w:u w:val="none"/>
              </w:rPr>
              <w:t>articolo 5, lettera a), punto 4), del presente regolamento. La soglia è calcolata sulla base dell</w:t>
            </w:r>
            <w:r w:rsidR="0009277C" w:rsidRPr="00D51A68">
              <w:rPr>
                <w:rStyle w:val="InstructionsTabelleberschrift"/>
                <w:rFonts w:ascii="Times New Roman" w:hAnsi="Times New Roman"/>
                <w:b w:val="0"/>
                <w:sz w:val="24"/>
                <w:u w:val="none"/>
              </w:rPr>
              <w:t>’</w:t>
            </w:r>
            <w:r w:rsidRPr="00D51A68">
              <w:rPr>
                <w:rStyle w:val="InstructionsTabelleberschrift"/>
                <w:rFonts w:ascii="Times New Roman" w:hAnsi="Times New Roman"/>
                <w:b w:val="0"/>
                <w:sz w:val="24"/>
                <w:u w:val="none"/>
              </w:rPr>
              <w:t>esposizione originaria prima dell</w:t>
            </w:r>
            <w:r w:rsidR="0009277C" w:rsidRPr="00D51A68">
              <w:rPr>
                <w:rStyle w:val="InstructionsTabelleberschrift"/>
                <w:rFonts w:ascii="Times New Roman" w:hAnsi="Times New Roman"/>
                <w:b w:val="0"/>
                <w:sz w:val="24"/>
                <w:u w:val="none"/>
              </w:rPr>
              <w:t>’</w:t>
            </w:r>
            <w:r w:rsidRPr="00D51A68">
              <w:rPr>
                <w:rStyle w:val="InstructionsTabelleberschrift"/>
                <w:rFonts w:ascii="Times New Roman" w:hAnsi="Times New Roman"/>
                <w:b w:val="0"/>
                <w:sz w:val="24"/>
                <w:u w:val="none"/>
              </w:rPr>
              <w:t xml:space="preserve">applicazione del fattore di conversione. </w:t>
            </w:r>
          </w:p>
          <w:p w:rsidR="00A774C1" w:rsidRPr="00D51A68" w:rsidRDefault="00FA3865"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b w:val="0"/>
                <w:sz w:val="24"/>
                <w:u w:val="none"/>
              </w:rPr>
              <w:t>Le esposizioni sono considerate di livello nazionale quando sono verso controparti situate nello Stato membro in cui è situato l</w:t>
            </w:r>
            <w:r w:rsidR="0009277C" w:rsidRPr="00D51A68">
              <w:rPr>
                <w:rStyle w:val="InstructionsTabelleberschrift"/>
                <w:rFonts w:ascii="Times New Roman" w:hAnsi="Times New Roman"/>
                <w:b w:val="0"/>
                <w:sz w:val="24"/>
                <w:u w:val="none"/>
              </w:rPr>
              <w:t>’</w:t>
            </w:r>
            <w:r w:rsidRPr="00D51A68">
              <w:rPr>
                <w:rStyle w:val="InstructionsTabelleberschrift"/>
                <w:rFonts w:ascii="Times New Roman" w:hAnsi="Times New Roman"/>
                <w:b w:val="0"/>
                <w:sz w:val="24"/>
                <w:u w:val="none"/>
              </w:rPr>
              <w:t>ente.</w:t>
            </w:r>
          </w:p>
        </w:tc>
      </w:tr>
      <w:tr w:rsidR="00A774C1" w:rsidRPr="00D51A68"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A774C1" w:rsidRPr="00D51A68" w:rsidRDefault="00A774C1" w:rsidP="00FC1A76">
            <w:pPr>
              <w:pStyle w:val="InstructionsText"/>
            </w:pPr>
            <w:r w:rsidRPr="00D51A68">
              <w:t>860</w:t>
            </w:r>
          </w:p>
        </w:tc>
        <w:tc>
          <w:tcPr>
            <w:tcW w:w="7243" w:type="dxa"/>
            <w:tcBorders>
              <w:top w:val="single" w:sz="4" w:space="0" w:color="auto"/>
              <w:left w:val="single" w:sz="4" w:space="0" w:color="auto"/>
              <w:bottom w:val="single" w:sz="4" w:space="0" w:color="auto"/>
              <w:right w:val="single" w:sz="4" w:space="0" w:color="auto"/>
            </w:tcBorders>
          </w:tcPr>
          <w:p w:rsidR="00A774C1" w:rsidRPr="00D51A68" w:rsidRDefault="00F22648"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32</w:t>
            </w:r>
            <w:r w:rsidR="00A0772B" w:rsidRPr="00D51A68">
              <w:rPr>
                <w:u w:val="single"/>
              </w:rPr>
              <w:tab/>
            </w:r>
            <w:r w:rsidRPr="00D51A68">
              <w:rPr>
                <w:rStyle w:val="InstructionsTabelleberschrift"/>
                <w:rFonts w:ascii="Times New Roman" w:hAnsi="Times New Roman"/>
                <w:sz w:val="24"/>
              </w:rPr>
              <w:t>Esposizioni originarie totali</w:t>
            </w:r>
          </w:p>
          <w:p w:rsidR="00DD5F87" w:rsidRPr="00D51A68" w:rsidRDefault="00FA3865" w:rsidP="00FC1A76">
            <w:pPr>
              <w:pStyle w:val="InstructionsText"/>
              <w:rPr>
                <w:rStyle w:val="InstructionsTabelleberschrift"/>
                <w:rFonts w:ascii="Times New Roman" w:hAnsi="Times New Roman"/>
                <w:b w:val="0"/>
                <w:sz w:val="24"/>
                <w:u w:val="none"/>
              </w:rPr>
            </w:pPr>
            <w:r w:rsidRPr="00D51A68">
              <w:rPr>
                <w:rStyle w:val="InstructionsTabelleberschrift"/>
                <w:rFonts w:ascii="Times New Roman" w:hAnsi="Times New Roman"/>
                <w:b w:val="0"/>
                <w:sz w:val="24"/>
                <w:u w:val="none"/>
              </w:rPr>
              <w:t>Informazioni necessarie per il calcolo della soglia di segnalazione del modello CR GB ai sensi dell</w:t>
            </w:r>
            <w:r w:rsidR="0009277C" w:rsidRPr="00D51A68">
              <w:rPr>
                <w:rStyle w:val="InstructionsTabelleberschrift"/>
                <w:rFonts w:ascii="Times New Roman" w:hAnsi="Times New Roman"/>
                <w:b w:val="0"/>
                <w:sz w:val="24"/>
                <w:u w:val="none"/>
              </w:rPr>
              <w:t>’</w:t>
            </w:r>
            <w:r w:rsidRPr="00D51A68">
              <w:rPr>
                <w:rStyle w:val="InstructionsTabelleberschrift"/>
                <w:rFonts w:ascii="Times New Roman" w:hAnsi="Times New Roman"/>
                <w:b w:val="0"/>
                <w:sz w:val="24"/>
                <w:u w:val="none"/>
              </w:rPr>
              <w:t>articolo 5, lettera a), punto 4), del presente regolamento. La soglia è calcolata sulla base dell</w:t>
            </w:r>
            <w:r w:rsidR="0009277C" w:rsidRPr="00D51A68">
              <w:rPr>
                <w:rStyle w:val="InstructionsTabelleberschrift"/>
                <w:rFonts w:ascii="Times New Roman" w:hAnsi="Times New Roman"/>
                <w:b w:val="0"/>
                <w:sz w:val="24"/>
                <w:u w:val="none"/>
              </w:rPr>
              <w:t>’</w:t>
            </w:r>
            <w:r w:rsidRPr="00D51A68">
              <w:rPr>
                <w:rStyle w:val="InstructionsTabelleberschrift"/>
                <w:rFonts w:ascii="Times New Roman" w:hAnsi="Times New Roman"/>
                <w:b w:val="0"/>
                <w:sz w:val="24"/>
                <w:u w:val="none"/>
              </w:rPr>
              <w:t>esposizione originaria prima dell</w:t>
            </w:r>
            <w:r w:rsidR="0009277C" w:rsidRPr="00D51A68">
              <w:rPr>
                <w:rStyle w:val="InstructionsTabelleberschrift"/>
                <w:rFonts w:ascii="Times New Roman" w:hAnsi="Times New Roman"/>
                <w:b w:val="0"/>
                <w:sz w:val="24"/>
                <w:u w:val="none"/>
              </w:rPr>
              <w:t>’</w:t>
            </w:r>
            <w:r w:rsidRPr="00D51A68">
              <w:rPr>
                <w:rStyle w:val="InstructionsTabelleberschrift"/>
                <w:rFonts w:ascii="Times New Roman" w:hAnsi="Times New Roman"/>
                <w:b w:val="0"/>
                <w:sz w:val="24"/>
                <w:u w:val="none"/>
              </w:rPr>
              <w:t>applicazione del fattore di conversione.</w:t>
            </w:r>
          </w:p>
          <w:p w:rsidR="00A774C1" w:rsidRPr="00D51A68" w:rsidRDefault="00FA3865"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b w:val="0"/>
                <w:sz w:val="24"/>
                <w:u w:val="none"/>
              </w:rPr>
              <w:t>Le esposizioni sono considerate di livello nazionale quando sono verso controparti situate nello Stato membro in cui è situato l</w:t>
            </w:r>
            <w:r w:rsidR="0009277C" w:rsidRPr="00D51A68">
              <w:rPr>
                <w:rStyle w:val="InstructionsTabelleberschrift"/>
                <w:rFonts w:ascii="Times New Roman" w:hAnsi="Times New Roman"/>
                <w:b w:val="0"/>
                <w:sz w:val="24"/>
                <w:u w:val="none"/>
              </w:rPr>
              <w:t>’</w:t>
            </w:r>
            <w:r w:rsidRPr="00D51A68">
              <w:rPr>
                <w:rStyle w:val="InstructionsTabelleberschrift"/>
                <w:rFonts w:ascii="Times New Roman" w:hAnsi="Times New Roman"/>
                <w:b w:val="0"/>
                <w:sz w:val="24"/>
                <w:u w:val="none"/>
              </w:rPr>
              <w:t>ente.</w:t>
            </w:r>
          </w:p>
        </w:tc>
      </w:tr>
      <w:tr w:rsidR="00700DFD" w:rsidRPr="00D51A68"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700DFD" w:rsidRPr="00D51A68" w:rsidRDefault="007E16E5" w:rsidP="00FC1A76">
            <w:pPr>
              <w:pStyle w:val="InstructionsText"/>
            </w:pPr>
            <w:r w:rsidRPr="00D51A68">
              <w:t>870</w:t>
            </w:r>
          </w:p>
        </w:tc>
        <w:tc>
          <w:tcPr>
            <w:tcW w:w="7243" w:type="dxa"/>
            <w:tcBorders>
              <w:top w:val="single" w:sz="4" w:space="0" w:color="auto"/>
              <w:left w:val="single" w:sz="4" w:space="0" w:color="auto"/>
              <w:bottom w:val="single" w:sz="4" w:space="0" w:color="auto"/>
              <w:right w:val="single" w:sz="4" w:space="0" w:color="auto"/>
            </w:tcBorders>
          </w:tcPr>
          <w:p w:rsidR="007E16E5" w:rsidRPr="00D51A68" w:rsidRDefault="00201704"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Aggiustamenti dei fondi propri totali</w:t>
            </w:r>
          </w:p>
          <w:p w:rsidR="00700DFD" w:rsidRPr="00D51A68" w:rsidRDefault="00700DFD" w:rsidP="00FC1A76">
            <w:pPr>
              <w:pStyle w:val="InstructionsText"/>
              <w:rPr>
                <w:rStyle w:val="InstructionsTabelleberschrift"/>
                <w:rFonts w:ascii="Times New Roman" w:hAnsi="Times New Roman"/>
                <w:b w:val="0"/>
                <w:sz w:val="24"/>
                <w:u w:val="none"/>
              </w:rPr>
            </w:pPr>
            <w:r w:rsidRPr="00D51A68">
              <w:rPr>
                <w:rStyle w:val="InstructionsTabelleberschrift"/>
                <w:rFonts w:ascii="Times New Roman" w:hAnsi="Times New Roman"/>
                <w:b w:val="0"/>
                <w:sz w:val="24"/>
                <w:u w:val="none"/>
              </w:rPr>
              <w:t>Articolo 500, paragrafo 4, del CRR</w:t>
            </w:r>
          </w:p>
          <w:p w:rsidR="00643362" w:rsidRPr="00D51A68" w:rsidRDefault="00DE48EF" w:rsidP="00FC1A76">
            <w:pPr>
              <w:pStyle w:val="InstructionsText"/>
              <w:rPr>
                <w:rStyle w:val="InstructionsTabelleberschrift"/>
                <w:rFonts w:ascii="Times New Roman" w:hAnsi="Times New Roman"/>
                <w:b w:val="0"/>
                <w:sz w:val="24"/>
                <w:u w:val="none"/>
              </w:rPr>
            </w:pPr>
            <w:r w:rsidRPr="00D51A68">
              <w:rPr>
                <w:rStyle w:val="InstructionsTabelleberschrift"/>
                <w:rFonts w:ascii="Times New Roman" w:hAnsi="Times New Roman"/>
                <w:b w:val="0"/>
                <w:sz w:val="24"/>
                <w:u w:val="none"/>
              </w:rPr>
              <w:t>Segnalare in questa posizione la differenza tra l</w:t>
            </w:r>
            <w:r w:rsidR="0009277C" w:rsidRPr="00D51A68">
              <w:rPr>
                <w:rStyle w:val="InstructionsTabelleberschrift"/>
                <w:rFonts w:ascii="Times New Roman" w:hAnsi="Times New Roman"/>
                <w:b w:val="0"/>
                <w:sz w:val="24"/>
                <w:u w:val="none"/>
              </w:rPr>
              <w:t>’</w:t>
            </w:r>
            <w:r w:rsidRPr="00D51A68">
              <w:rPr>
                <w:rStyle w:val="InstructionsTabelleberschrift"/>
                <w:rFonts w:ascii="Times New Roman" w:hAnsi="Times New Roman"/>
                <w:b w:val="0"/>
                <w:sz w:val="24"/>
                <w:u w:val="none"/>
              </w:rPr>
              <w:t xml:space="preserve">importo segnalato nella posizione 880 e i fondi propri totali ai sensi del CRR. </w:t>
            </w:r>
          </w:p>
          <w:p w:rsidR="00DE48EF" w:rsidRPr="00D51A68" w:rsidRDefault="003A1469" w:rsidP="00FC1A76">
            <w:pPr>
              <w:pStyle w:val="InstructionsText"/>
              <w:rPr>
                <w:rStyle w:val="InstructionsTabelleberschrift"/>
                <w:rFonts w:ascii="Times New Roman" w:hAnsi="Times New Roman"/>
                <w:b w:val="0"/>
                <w:sz w:val="24"/>
                <w:u w:val="none"/>
              </w:rPr>
            </w:pPr>
            <w:r w:rsidRPr="00D51A68">
              <w:rPr>
                <w:rStyle w:val="InstructionsTabelleberschrift"/>
                <w:rFonts w:ascii="Times New Roman" w:hAnsi="Times New Roman"/>
                <w:b w:val="0"/>
                <w:sz w:val="24"/>
                <w:u w:val="none"/>
              </w:rPr>
              <w:t>Se viene applicata l</w:t>
            </w:r>
            <w:r w:rsidR="0009277C" w:rsidRPr="00D51A68">
              <w:rPr>
                <w:rStyle w:val="InstructionsTabelleberschrift"/>
                <w:rFonts w:ascii="Times New Roman" w:hAnsi="Times New Roman"/>
                <w:b w:val="0"/>
                <w:sz w:val="24"/>
                <w:u w:val="none"/>
              </w:rPr>
              <w:t>’</w:t>
            </w:r>
            <w:r w:rsidRPr="00D51A68">
              <w:rPr>
                <w:rStyle w:val="InstructionsTabelleberschrift"/>
                <w:rFonts w:ascii="Times New Roman" w:hAnsi="Times New Roman"/>
                <w:b w:val="0"/>
                <w:sz w:val="24"/>
                <w:u w:val="none"/>
              </w:rPr>
              <w:t>alternativa del metodo standardizzato (articolo 500, paragrafo 2, del CRR), lasciare vuota questa riga.</w:t>
            </w:r>
          </w:p>
        </w:tc>
      </w:tr>
      <w:tr w:rsidR="000A4B61" w:rsidRPr="00D51A68"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0A4B61" w:rsidRPr="00D51A68" w:rsidRDefault="007E16E5" w:rsidP="00FC1A76">
            <w:pPr>
              <w:pStyle w:val="InstructionsText"/>
            </w:pPr>
            <w:r w:rsidRPr="00D51A68">
              <w:t>880</w:t>
            </w:r>
          </w:p>
        </w:tc>
        <w:tc>
          <w:tcPr>
            <w:tcW w:w="7243" w:type="dxa"/>
            <w:tcBorders>
              <w:top w:val="single" w:sz="4" w:space="0" w:color="auto"/>
              <w:left w:val="single" w:sz="4" w:space="0" w:color="auto"/>
              <w:bottom w:val="single" w:sz="4" w:space="0" w:color="auto"/>
              <w:right w:val="single" w:sz="4" w:space="0" w:color="auto"/>
            </w:tcBorders>
          </w:tcPr>
          <w:p w:rsidR="007E16E5" w:rsidRPr="00D51A68" w:rsidRDefault="007E16E5"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Fondi propri corretti integralmente per il requisito minimo di Basilea I</w:t>
            </w:r>
          </w:p>
          <w:p w:rsidR="000A4B61" w:rsidRPr="00D51A68" w:rsidRDefault="007E16E5" w:rsidP="00FC1A76">
            <w:pPr>
              <w:pStyle w:val="InstructionsText"/>
              <w:rPr>
                <w:rStyle w:val="InstructionsTabelleberschrift"/>
                <w:rFonts w:ascii="Times New Roman" w:hAnsi="Times New Roman"/>
                <w:b w:val="0"/>
                <w:sz w:val="24"/>
                <w:u w:val="none"/>
              </w:rPr>
            </w:pPr>
            <w:r w:rsidRPr="00D51A68">
              <w:rPr>
                <w:rStyle w:val="InstructionsTabelleberschrift"/>
                <w:rFonts w:ascii="Times New Roman" w:hAnsi="Times New Roman"/>
                <w:b w:val="0"/>
                <w:sz w:val="24"/>
                <w:u w:val="none"/>
              </w:rPr>
              <w:t>Articolo 500, paragrafo 4, del CRR</w:t>
            </w:r>
          </w:p>
          <w:p w:rsidR="002540B2" w:rsidRPr="00D51A68" w:rsidRDefault="002540B2" w:rsidP="00FC1A76">
            <w:pPr>
              <w:pStyle w:val="InstructionsText"/>
              <w:rPr>
                <w:rStyle w:val="InstructionsTabelleberschrift"/>
                <w:rFonts w:ascii="Times New Roman" w:hAnsi="Times New Roman"/>
                <w:b w:val="0"/>
                <w:sz w:val="24"/>
                <w:u w:val="none"/>
              </w:rPr>
            </w:pPr>
            <w:r w:rsidRPr="00D51A68">
              <w:rPr>
                <w:rStyle w:val="InstructionsTabelleberschrift"/>
                <w:rFonts w:ascii="Times New Roman" w:hAnsi="Times New Roman"/>
                <w:b w:val="0"/>
                <w:sz w:val="24"/>
                <w:u w:val="none"/>
              </w:rPr>
              <w:t>Segnalare in questa posizione i fondi propri totali ai sensi del CRR corretti conformemente all</w:t>
            </w:r>
            <w:r w:rsidR="0009277C" w:rsidRPr="00D51A68">
              <w:rPr>
                <w:rStyle w:val="InstructionsTabelleberschrift"/>
                <w:rFonts w:ascii="Times New Roman" w:hAnsi="Times New Roman"/>
                <w:b w:val="0"/>
                <w:sz w:val="24"/>
                <w:u w:val="none"/>
              </w:rPr>
              <w:t>’</w:t>
            </w:r>
            <w:r w:rsidRPr="00D51A68">
              <w:rPr>
                <w:rStyle w:val="InstructionsTabelleberschrift"/>
                <w:rFonts w:ascii="Times New Roman" w:hAnsi="Times New Roman"/>
                <w:b w:val="0"/>
                <w:sz w:val="24"/>
                <w:u w:val="none"/>
              </w:rPr>
              <w:t xml:space="preserve">articolo 500, paragrafo 4, del CRR (ossia corretti integralmente in modo da riflettere le differenze esistenti tra il calcolo dei fondi propri conformemente a quanto disposto dalla direttiva 93/6/CEE e dalla direttiva 2000/12/CE, prima del 1° gennaio 2007, e il calcolo dei fondi propri conformemente al CRR, differenze derivanti dal trattamento distinto, ai sensi della parte tre, titolo II, capo 3 del CRR, delle perdite attese e delle perdite inattese). </w:t>
            </w:r>
          </w:p>
          <w:p w:rsidR="00DE48EF" w:rsidRPr="00D51A68" w:rsidRDefault="003A1469" w:rsidP="00FC1A76">
            <w:pPr>
              <w:pStyle w:val="InstructionsText"/>
              <w:rPr>
                <w:rStyle w:val="InstructionsTabelleberschrift"/>
                <w:rFonts w:ascii="Times New Roman" w:hAnsi="Times New Roman"/>
                <w:b w:val="0"/>
                <w:sz w:val="24"/>
                <w:u w:val="none"/>
              </w:rPr>
            </w:pPr>
            <w:r w:rsidRPr="00D51A68">
              <w:rPr>
                <w:rStyle w:val="InstructionsTabelleberschrift"/>
                <w:rFonts w:ascii="Times New Roman" w:hAnsi="Times New Roman"/>
                <w:b w:val="0"/>
                <w:sz w:val="24"/>
                <w:u w:val="none"/>
              </w:rPr>
              <w:t>Se viene applicata l</w:t>
            </w:r>
            <w:r w:rsidR="0009277C" w:rsidRPr="00D51A68">
              <w:rPr>
                <w:rStyle w:val="InstructionsTabelleberschrift"/>
                <w:rFonts w:ascii="Times New Roman" w:hAnsi="Times New Roman"/>
                <w:b w:val="0"/>
                <w:sz w:val="24"/>
                <w:u w:val="none"/>
              </w:rPr>
              <w:t>’</w:t>
            </w:r>
            <w:r w:rsidRPr="00D51A68">
              <w:rPr>
                <w:rStyle w:val="InstructionsTabelleberschrift"/>
                <w:rFonts w:ascii="Times New Roman" w:hAnsi="Times New Roman"/>
                <w:b w:val="0"/>
                <w:sz w:val="24"/>
                <w:u w:val="none"/>
              </w:rPr>
              <w:t>alternativa del metodo standardizzato (articolo 500, paragrafo 2, del CRR), lasciare vuota questa riga.</w:t>
            </w:r>
          </w:p>
        </w:tc>
      </w:tr>
      <w:tr w:rsidR="000A4B61" w:rsidRPr="00D51A68"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0A4B61" w:rsidRPr="00D51A68" w:rsidRDefault="007E16E5" w:rsidP="00FC1A76">
            <w:pPr>
              <w:pStyle w:val="InstructionsText"/>
            </w:pPr>
            <w:r w:rsidRPr="00D51A68">
              <w:t>890</w:t>
            </w:r>
          </w:p>
        </w:tc>
        <w:tc>
          <w:tcPr>
            <w:tcW w:w="7243" w:type="dxa"/>
            <w:tcBorders>
              <w:top w:val="single" w:sz="4" w:space="0" w:color="auto"/>
              <w:left w:val="single" w:sz="4" w:space="0" w:color="auto"/>
              <w:bottom w:val="single" w:sz="4" w:space="0" w:color="auto"/>
              <w:right w:val="single" w:sz="4" w:space="0" w:color="auto"/>
            </w:tcBorders>
          </w:tcPr>
          <w:p w:rsidR="007E16E5" w:rsidRPr="00D51A68" w:rsidRDefault="007E16E5"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Requisiti di fondi propri per il requisito minimo di Basilea I</w:t>
            </w:r>
          </w:p>
          <w:p w:rsidR="000A4B61" w:rsidRPr="00D51A68" w:rsidRDefault="007E16E5" w:rsidP="00FC1A76">
            <w:pPr>
              <w:pStyle w:val="InstructionsText"/>
              <w:rPr>
                <w:rStyle w:val="InstructionsTabelleberschrift"/>
                <w:rFonts w:ascii="Times New Roman" w:hAnsi="Times New Roman"/>
                <w:b w:val="0"/>
                <w:sz w:val="24"/>
                <w:u w:val="none"/>
              </w:rPr>
            </w:pPr>
            <w:r w:rsidRPr="00D51A68">
              <w:rPr>
                <w:rStyle w:val="InstructionsTabelleberschrift"/>
                <w:rFonts w:ascii="Times New Roman" w:hAnsi="Times New Roman"/>
                <w:b w:val="0"/>
                <w:sz w:val="24"/>
                <w:u w:val="none"/>
              </w:rPr>
              <w:t xml:space="preserve">Articolo 500, paragrafo 1, lettera b), del CRR </w:t>
            </w:r>
          </w:p>
          <w:p w:rsidR="00DE48EF" w:rsidRPr="00D51A68" w:rsidRDefault="002540B2" w:rsidP="00122D1D">
            <w:pPr>
              <w:pStyle w:val="InstructionsText"/>
              <w:rPr>
                <w:rStyle w:val="InstructionsTabelleberschrift"/>
                <w:rFonts w:ascii="Times New Roman" w:hAnsi="Times New Roman"/>
                <w:sz w:val="24"/>
              </w:rPr>
            </w:pPr>
            <w:r w:rsidRPr="00D51A68">
              <w:rPr>
                <w:rStyle w:val="InstructionsTabelleberschrift"/>
                <w:rFonts w:ascii="Times New Roman" w:hAnsi="Times New Roman"/>
                <w:b w:val="0"/>
                <w:sz w:val="24"/>
                <w:u w:val="none"/>
              </w:rPr>
              <w:t>Segnalare in questa posizione l</w:t>
            </w:r>
            <w:r w:rsidR="0009277C" w:rsidRPr="00D51A68">
              <w:rPr>
                <w:rStyle w:val="InstructionsTabelleberschrift"/>
                <w:rFonts w:ascii="Times New Roman" w:hAnsi="Times New Roman"/>
                <w:b w:val="0"/>
                <w:sz w:val="24"/>
                <w:u w:val="none"/>
              </w:rPr>
              <w:t>’</w:t>
            </w:r>
            <w:r w:rsidRPr="00D51A68">
              <w:rPr>
                <w:rStyle w:val="InstructionsTabelleberschrift"/>
                <w:rFonts w:ascii="Times New Roman" w:hAnsi="Times New Roman"/>
                <w:b w:val="0"/>
                <w:sz w:val="24"/>
                <w:u w:val="none"/>
              </w:rPr>
              <w:t xml:space="preserve">importo dei fondi propri che devono </w:t>
            </w:r>
            <w:r w:rsidRPr="00D51A68">
              <w:rPr>
                <w:rStyle w:val="InstructionsTabelleberschrift"/>
                <w:rFonts w:ascii="Times New Roman" w:hAnsi="Times New Roman"/>
                <w:b w:val="0"/>
                <w:sz w:val="24"/>
                <w:u w:val="none"/>
              </w:rPr>
              <w:lastRenderedPageBreak/>
              <w:t>essere detenuti ai sensi dell</w:t>
            </w:r>
            <w:r w:rsidR="0009277C" w:rsidRPr="00D51A68">
              <w:rPr>
                <w:rStyle w:val="InstructionsTabelleberschrift"/>
                <w:rFonts w:ascii="Times New Roman" w:hAnsi="Times New Roman"/>
                <w:b w:val="0"/>
                <w:sz w:val="24"/>
                <w:u w:val="none"/>
              </w:rPr>
              <w:t>’</w:t>
            </w:r>
            <w:r w:rsidRPr="00D51A68">
              <w:rPr>
                <w:rStyle w:val="InstructionsTabelleberschrift"/>
                <w:rFonts w:ascii="Times New Roman" w:hAnsi="Times New Roman"/>
                <w:b w:val="0"/>
                <w:sz w:val="24"/>
                <w:u w:val="none"/>
              </w:rPr>
              <w:t>articolo 500, paragrafo 1, lettera b), del CRR (ossia l</w:t>
            </w:r>
            <w:r w:rsidR="0009277C" w:rsidRPr="00D51A68">
              <w:rPr>
                <w:rStyle w:val="InstructionsTabelleberschrift"/>
                <w:rFonts w:ascii="Times New Roman" w:hAnsi="Times New Roman"/>
                <w:b w:val="0"/>
                <w:sz w:val="24"/>
                <w:u w:val="none"/>
              </w:rPr>
              <w:t>’</w:t>
            </w:r>
            <w:r w:rsidRPr="00D51A68">
              <w:rPr>
                <w:rStyle w:val="InstructionsTabelleberschrift"/>
                <w:rFonts w:ascii="Times New Roman" w:hAnsi="Times New Roman"/>
                <w:b w:val="0"/>
                <w:sz w:val="24"/>
                <w:u w:val="none"/>
              </w:rPr>
              <w:t>80% dell</w:t>
            </w:r>
            <w:r w:rsidR="0009277C" w:rsidRPr="00D51A68">
              <w:rPr>
                <w:rStyle w:val="InstructionsTabelleberschrift"/>
                <w:rFonts w:ascii="Times New Roman" w:hAnsi="Times New Roman"/>
                <w:b w:val="0"/>
                <w:sz w:val="24"/>
                <w:u w:val="none"/>
              </w:rPr>
              <w:t>’</w:t>
            </w:r>
            <w:r w:rsidRPr="00D51A68">
              <w:rPr>
                <w:rStyle w:val="InstructionsTabelleberschrift"/>
                <w:rFonts w:ascii="Times New Roman" w:hAnsi="Times New Roman"/>
                <w:b w:val="0"/>
                <w:sz w:val="24"/>
                <w:u w:val="none"/>
              </w:rPr>
              <w:t>importo totale minimo dei fondi propri che l</w:t>
            </w:r>
            <w:r w:rsidR="0009277C" w:rsidRPr="00D51A68">
              <w:rPr>
                <w:rStyle w:val="InstructionsTabelleberschrift"/>
                <w:rFonts w:ascii="Times New Roman" w:hAnsi="Times New Roman"/>
                <w:b w:val="0"/>
                <w:sz w:val="24"/>
                <w:u w:val="none"/>
              </w:rPr>
              <w:t>’</w:t>
            </w:r>
            <w:r w:rsidRPr="00D51A68">
              <w:rPr>
                <w:rStyle w:val="InstructionsTabelleberschrift"/>
                <w:rFonts w:ascii="Times New Roman" w:hAnsi="Times New Roman"/>
                <w:b w:val="0"/>
                <w:sz w:val="24"/>
                <w:u w:val="none"/>
              </w:rPr>
              <w:t>ente dovrebbe detenere ai sensi dell</w:t>
            </w:r>
            <w:r w:rsidR="0009277C" w:rsidRPr="00D51A68">
              <w:rPr>
                <w:rStyle w:val="InstructionsTabelleberschrift"/>
                <w:rFonts w:ascii="Times New Roman" w:hAnsi="Times New Roman"/>
                <w:b w:val="0"/>
                <w:sz w:val="24"/>
                <w:u w:val="none"/>
              </w:rPr>
              <w:t>’</w:t>
            </w:r>
            <w:r w:rsidRPr="00D51A68">
              <w:rPr>
                <w:rStyle w:val="InstructionsTabelleberschrift"/>
                <w:rFonts w:ascii="Times New Roman" w:hAnsi="Times New Roman"/>
                <w:b w:val="0"/>
                <w:sz w:val="24"/>
                <w:u w:val="none"/>
              </w:rPr>
              <w:t>articolo 4 della direttiva 93/6/CEE, conformemente a quanto disposto da tale direttiva e dalla direttiva 2000/12/CE del Parlamento europeo e del Consiglio, del 20 marzo 2000, relativa all</w:t>
            </w:r>
            <w:r w:rsidR="0009277C" w:rsidRPr="00D51A68">
              <w:rPr>
                <w:rStyle w:val="InstructionsTabelleberschrift"/>
                <w:rFonts w:ascii="Times New Roman" w:hAnsi="Times New Roman"/>
                <w:b w:val="0"/>
                <w:sz w:val="24"/>
                <w:u w:val="none"/>
              </w:rPr>
              <w:t>’</w:t>
            </w:r>
            <w:r w:rsidRPr="00D51A68">
              <w:rPr>
                <w:rStyle w:val="InstructionsTabelleberschrift"/>
                <w:rFonts w:ascii="Times New Roman" w:hAnsi="Times New Roman"/>
                <w:b w:val="0"/>
                <w:sz w:val="24"/>
                <w:u w:val="none"/>
              </w:rPr>
              <w:t>accesso all</w:t>
            </w:r>
            <w:r w:rsidR="0009277C" w:rsidRPr="00D51A68">
              <w:rPr>
                <w:rStyle w:val="InstructionsTabelleberschrift"/>
                <w:rFonts w:ascii="Times New Roman" w:hAnsi="Times New Roman"/>
                <w:b w:val="0"/>
                <w:sz w:val="24"/>
                <w:u w:val="none"/>
              </w:rPr>
              <w:t>’</w:t>
            </w:r>
            <w:r w:rsidRPr="00D51A68">
              <w:rPr>
                <w:rStyle w:val="InstructionsTabelleberschrift"/>
                <w:rFonts w:ascii="Times New Roman" w:hAnsi="Times New Roman"/>
                <w:b w:val="0"/>
                <w:sz w:val="24"/>
                <w:u w:val="none"/>
              </w:rPr>
              <w:t xml:space="preserve">attività degli enti creditizi ed al suo esercizio, prima </w:t>
            </w:r>
            <w:r w:rsidR="00122D1D" w:rsidRPr="00D51A68">
              <w:rPr>
                <w:rStyle w:val="InstructionsTabelleberschrift"/>
                <w:rFonts w:ascii="Times New Roman" w:hAnsi="Times New Roman"/>
                <w:b w:val="0"/>
                <w:sz w:val="24"/>
                <w:u w:val="none"/>
              </w:rPr>
              <w:t>di</w:t>
            </w:r>
            <w:r w:rsidRPr="00D51A68">
              <w:rPr>
                <w:rStyle w:val="InstructionsTabelleberschrift"/>
                <w:rFonts w:ascii="Times New Roman" w:hAnsi="Times New Roman"/>
                <w:b w:val="0"/>
                <w:sz w:val="24"/>
                <w:u w:val="none"/>
              </w:rPr>
              <w:t xml:space="preserve"> gennaio 2007).</w:t>
            </w:r>
          </w:p>
        </w:tc>
      </w:tr>
      <w:tr w:rsidR="000A4B61" w:rsidRPr="00D51A68"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0A4B61" w:rsidRPr="00D51A68" w:rsidRDefault="007E16E5" w:rsidP="00FC1A76">
            <w:pPr>
              <w:pStyle w:val="InstructionsText"/>
            </w:pPr>
            <w:r w:rsidRPr="00D51A68">
              <w:lastRenderedPageBreak/>
              <w:t>900</w:t>
            </w:r>
          </w:p>
        </w:tc>
        <w:tc>
          <w:tcPr>
            <w:tcW w:w="7243" w:type="dxa"/>
            <w:tcBorders>
              <w:top w:val="single" w:sz="4" w:space="0" w:color="auto"/>
              <w:left w:val="single" w:sz="4" w:space="0" w:color="auto"/>
              <w:bottom w:val="single" w:sz="4" w:space="0" w:color="auto"/>
              <w:right w:val="single" w:sz="4" w:space="0" w:color="auto"/>
            </w:tcBorders>
          </w:tcPr>
          <w:p w:rsidR="007E16E5" w:rsidRPr="00D51A68" w:rsidRDefault="007E16E5"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Requisiti di fondi propri per il requisito minimo di Basilea I — Alternativa del metodo standardizzato</w:t>
            </w:r>
          </w:p>
          <w:p w:rsidR="000A4B61" w:rsidRPr="00D51A68" w:rsidRDefault="007E16E5" w:rsidP="00FC1A76">
            <w:pPr>
              <w:pStyle w:val="InstructionsText"/>
              <w:rPr>
                <w:rStyle w:val="InstructionsTabelleberschrift"/>
                <w:rFonts w:ascii="Times New Roman" w:hAnsi="Times New Roman"/>
                <w:b w:val="0"/>
                <w:sz w:val="24"/>
                <w:u w:val="none"/>
              </w:rPr>
            </w:pPr>
            <w:r w:rsidRPr="00D51A68">
              <w:rPr>
                <w:rStyle w:val="InstructionsTabelleberschrift"/>
                <w:rFonts w:ascii="Times New Roman" w:hAnsi="Times New Roman"/>
                <w:b w:val="0"/>
                <w:sz w:val="24"/>
                <w:u w:val="none"/>
              </w:rPr>
              <w:t xml:space="preserve">Articolo 500, paragrafi 2 e 3, del CRR </w:t>
            </w:r>
          </w:p>
          <w:p w:rsidR="00DE48EF" w:rsidRPr="00D51A68" w:rsidRDefault="00DE48EF" w:rsidP="00AC4C0D">
            <w:pPr>
              <w:pStyle w:val="InstructionsText"/>
              <w:rPr>
                <w:rStyle w:val="InstructionsTabelleberschrift"/>
                <w:rFonts w:ascii="Times New Roman" w:hAnsi="Times New Roman"/>
                <w:b w:val="0"/>
                <w:sz w:val="24"/>
                <w:u w:val="none"/>
              </w:rPr>
            </w:pPr>
            <w:r w:rsidRPr="00D51A68">
              <w:rPr>
                <w:rStyle w:val="InstructionsTabelleberschrift"/>
                <w:rFonts w:ascii="Times New Roman" w:hAnsi="Times New Roman"/>
                <w:b w:val="0"/>
                <w:sz w:val="24"/>
                <w:u w:val="none"/>
              </w:rPr>
              <w:t>Segnalare in questa posizione l</w:t>
            </w:r>
            <w:r w:rsidR="0009277C" w:rsidRPr="00D51A68">
              <w:rPr>
                <w:rStyle w:val="InstructionsTabelleberschrift"/>
                <w:rFonts w:ascii="Times New Roman" w:hAnsi="Times New Roman"/>
                <w:b w:val="0"/>
                <w:sz w:val="24"/>
                <w:u w:val="none"/>
              </w:rPr>
              <w:t>’</w:t>
            </w:r>
            <w:r w:rsidRPr="00D51A68">
              <w:rPr>
                <w:rStyle w:val="InstructionsTabelleberschrift"/>
                <w:rFonts w:ascii="Times New Roman" w:hAnsi="Times New Roman"/>
                <w:b w:val="0"/>
                <w:sz w:val="24"/>
                <w:u w:val="none"/>
              </w:rPr>
              <w:t>importo dei fondi propri che devono essere detenuti ai sensi dell</w:t>
            </w:r>
            <w:r w:rsidR="0009277C" w:rsidRPr="00D51A68">
              <w:rPr>
                <w:rStyle w:val="InstructionsTabelleberschrift"/>
                <w:rFonts w:ascii="Times New Roman" w:hAnsi="Times New Roman"/>
                <w:b w:val="0"/>
                <w:sz w:val="24"/>
                <w:u w:val="none"/>
              </w:rPr>
              <w:t>’</w:t>
            </w:r>
            <w:r w:rsidRPr="00D51A68">
              <w:rPr>
                <w:rStyle w:val="InstructionsTabelleberschrift"/>
                <w:rFonts w:ascii="Times New Roman" w:hAnsi="Times New Roman"/>
                <w:b w:val="0"/>
                <w:sz w:val="24"/>
                <w:u w:val="none"/>
              </w:rPr>
              <w:t>articolo 500, paragrafo 2, del CRR (ossia l</w:t>
            </w:r>
            <w:r w:rsidR="0009277C" w:rsidRPr="00D51A68">
              <w:rPr>
                <w:rStyle w:val="InstructionsTabelleberschrift"/>
                <w:rFonts w:ascii="Times New Roman" w:hAnsi="Times New Roman"/>
                <w:b w:val="0"/>
                <w:sz w:val="24"/>
                <w:u w:val="none"/>
              </w:rPr>
              <w:t>’</w:t>
            </w:r>
            <w:r w:rsidRPr="00D51A68">
              <w:rPr>
                <w:rStyle w:val="InstructionsTabelleberschrift"/>
                <w:rFonts w:ascii="Times New Roman" w:hAnsi="Times New Roman"/>
                <w:b w:val="0"/>
                <w:sz w:val="24"/>
                <w:u w:val="none"/>
              </w:rPr>
              <w:t>80% dei fondi propri che l</w:t>
            </w:r>
            <w:r w:rsidR="0009277C" w:rsidRPr="00D51A68">
              <w:rPr>
                <w:rStyle w:val="InstructionsTabelleberschrift"/>
                <w:rFonts w:ascii="Times New Roman" w:hAnsi="Times New Roman"/>
                <w:b w:val="0"/>
                <w:sz w:val="24"/>
                <w:u w:val="none"/>
              </w:rPr>
              <w:t>’</w:t>
            </w:r>
            <w:r w:rsidRPr="00D51A68">
              <w:rPr>
                <w:rStyle w:val="InstructionsTabelleberschrift"/>
                <w:rFonts w:ascii="Times New Roman" w:hAnsi="Times New Roman"/>
                <w:b w:val="0"/>
                <w:sz w:val="24"/>
                <w:u w:val="none"/>
              </w:rPr>
              <w:t>ente dovrebbe detenere ai sensi dell</w:t>
            </w:r>
            <w:r w:rsidR="0009277C" w:rsidRPr="00D51A68">
              <w:rPr>
                <w:rStyle w:val="InstructionsTabelleberschrift"/>
                <w:rFonts w:ascii="Times New Roman" w:hAnsi="Times New Roman"/>
                <w:b w:val="0"/>
                <w:sz w:val="24"/>
                <w:u w:val="none"/>
              </w:rPr>
              <w:t>’</w:t>
            </w:r>
            <w:r w:rsidR="00AC4C0D" w:rsidRPr="00D51A68">
              <w:rPr>
                <w:rStyle w:val="InstructionsTabelleberschrift"/>
                <w:rFonts w:ascii="Times New Roman" w:hAnsi="Times New Roman"/>
                <w:b w:val="0"/>
                <w:sz w:val="24"/>
                <w:u w:val="none"/>
              </w:rPr>
              <w:t>articolo </w:t>
            </w:r>
            <w:r w:rsidRPr="00D51A68">
              <w:rPr>
                <w:rStyle w:val="InstructionsTabelleberschrift"/>
                <w:rFonts w:ascii="Times New Roman" w:hAnsi="Times New Roman"/>
                <w:b w:val="0"/>
                <w:sz w:val="24"/>
                <w:u w:val="none"/>
              </w:rPr>
              <w:t>92, calcolando gli importi delle esposizioni ponderati per il rischio conformemente alla parte tre, titolo II, capo 2, e alla parte tre, titolo</w:t>
            </w:r>
            <w:r w:rsidR="00AC4C0D" w:rsidRPr="00D51A68">
              <w:rPr>
                <w:rStyle w:val="InstructionsTabelleberschrift"/>
                <w:rFonts w:ascii="Times New Roman" w:hAnsi="Times New Roman"/>
                <w:b w:val="0"/>
                <w:sz w:val="24"/>
                <w:u w:val="none"/>
              </w:rPr>
              <w:t> </w:t>
            </w:r>
            <w:r w:rsidRPr="00D51A68">
              <w:rPr>
                <w:rStyle w:val="InstructionsTabelleberschrift"/>
                <w:rFonts w:ascii="Times New Roman" w:hAnsi="Times New Roman"/>
                <w:b w:val="0"/>
                <w:sz w:val="24"/>
                <w:u w:val="none"/>
              </w:rPr>
              <w:t>III, capo 2 o 3, del CRR, a seconda dei casi, anziché conformemente alla parte tre, titolo II, capo 3 o alla parte tre, titolo III, capo 4, del CRR a seconda dei casi).</w:t>
            </w:r>
          </w:p>
        </w:tc>
      </w:tr>
      <w:tr w:rsidR="00A840D5" w:rsidRPr="00D51A68"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A840D5" w:rsidRPr="00D51A68" w:rsidRDefault="00A840D5" w:rsidP="00FC1A76">
            <w:pPr>
              <w:pStyle w:val="InstructionsText"/>
            </w:pPr>
            <w:r w:rsidRPr="00D51A68">
              <w:t>910</w:t>
            </w:r>
          </w:p>
        </w:tc>
        <w:tc>
          <w:tcPr>
            <w:tcW w:w="7243" w:type="dxa"/>
            <w:tcBorders>
              <w:top w:val="single" w:sz="4" w:space="0" w:color="auto"/>
              <w:left w:val="single" w:sz="4" w:space="0" w:color="auto"/>
              <w:bottom w:val="single" w:sz="4" w:space="0" w:color="auto"/>
              <w:right w:val="single" w:sz="4" w:space="0" w:color="auto"/>
            </w:tcBorders>
          </w:tcPr>
          <w:p w:rsidR="002540B2" w:rsidRPr="00D51A68" w:rsidRDefault="002540B2"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Deficit di fondi propri totali per quanto riguarda i requisiti di fondi propri per il requisito minimo di Basilea I o 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alternativa del metodo standardizzato</w:t>
            </w:r>
          </w:p>
          <w:p w:rsidR="00DE48EF" w:rsidRPr="00D51A68" w:rsidRDefault="003A1469" w:rsidP="00FC1A76">
            <w:pPr>
              <w:pStyle w:val="InstructionsText"/>
              <w:rPr>
                <w:rStyle w:val="InstructionsTabelleberschrift"/>
                <w:rFonts w:ascii="Times New Roman" w:hAnsi="Times New Roman"/>
                <w:b w:val="0"/>
                <w:sz w:val="24"/>
                <w:u w:val="none"/>
              </w:rPr>
            </w:pPr>
            <w:r w:rsidRPr="00D51A68">
              <w:rPr>
                <w:rStyle w:val="InstructionsTabelleberschrift"/>
                <w:rFonts w:ascii="Times New Roman" w:hAnsi="Times New Roman"/>
                <w:b w:val="0"/>
                <w:sz w:val="24"/>
                <w:u w:val="none"/>
              </w:rPr>
              <w:t xml:space="preserve">Articolo 500, paragrafo 1, lettera b), e articolo 500, paragrafo 2, del CRR. </w:t>
            </w:r>
          </w:p>
          <w:p w:rsidR="00DE48EF" w:rsidRPr="00D51A68" w:rsidRDefault="00DE48EF" w:rsidP="00FC1A76">
            <w:pPr>
              <w:pStyle w:val="InstructionsText"/>
              <w:rPr>
                <w:rStyle w:val="InstructionsTabelleberschrift"/>
                <w:rFonts w:ascii="Times New Roman" w:hAnsi="Times New Roman"/>
                <w:b w:val="0"/>
                <w:sz w:val="24"/>
                <w:u w:val="none"/>
              </w:rPr>
            </w:pPr>
            <w:r w:rsidRPr="00D51A68">
              <w:rPr>
                <w:rStyle w:val="InstructionsTabelleberschrift"/>
                <w:rFonts w:ascii="Times New Roman" w:hAnsi="Times New Roman"/>
                <w:b w:val="0"/>
                <w:sz w:val="24"/>
                <w:u w:val="none"/>
              </w:rPr>
              <w:t>In questa riga indicare:</w:t>
            </w:r>
          </w:p>
          <w:p w:rsidR="00DE48EF" w:rsidRPr="00D51A68" w:rsidRDefault="00DE48EF" w:rsidP="00FC1A76">
            <w:pPr>
              <w:pStyle w:val="InstructionsText"/>
              <w:rPr>
                <w:rStyle w:val="InstructionsTabelleberschrift"/>
                <w:rFonts w:ascii="Times New Roman" w:hAnsi="Times New Roman"/>
                <w:b w:val="0"/>
                <w:sz w:val="24"/>
                <w:u w:val="none"/>
              </w:rPr>
            </w:pPr>
            <w:r w:rsidRPr="00D51A68">
              <w:rPr>
                <w:rStyle w:val="InstructionsTabelleberschrift"/>
                <w:rFonts w:ascii="Times New Roman" w:hAnsi="Times New Roman"/>
                <w:b w:val="0"/>
                <w:sz w:val="24"/>
                <w:u w:val="none"/>
              </w:rPr>
              <w:t>-</w:t>
            </w:r>
            <w:r w:rsidR="00A0772B" w:rsidRPr="00D51A68">
              <w:tab/>
            </w:r>
            <w:r w:rsidRPr="00D51A68">
              <w:rPr>
                <w:rStyle w:val="InstructionsTabelleberschrift"/>
                <w:rFonts w:ascii="Times New Roman" w:hAnsi="Times New Roman"/>
                <w:b w:val="0"/>
                <w:sz w:val="24"/>
                <w:u w:val="none"/>
              </w:rPr>
              <w:t>se viene applicato l</w:t>
            </w:r>
            <w:r w:rsidR="0009277C" w:rsidRPr="00D51A68">
              <w:rPr>
                <w:rStyle w:val="InstructionsTabelleberschrift"/>
                <w:rFonts w:ascii="Times New Roman" w:hAnsi="Times New Roman"/>
                <w:b w:val="0"/>
                <w:sz w:val="24"/>
                <w:u w:val="none"/>
              </w:rPr>
              <w:t>’</w:t>
            </w:r>
            <w:r w:rsidRPr="00D51A68">
              <w:rPr>
                <w:rStyle w:val="InstructionsTabelleberschrift"/>
                <w:rFonts w:ascii="Times New Roman" w:hAnsi="Times New Roman"/>
                <w:b w:val="0"/>
                <w:sz w:val="24"/>
                <w:u w:val="none"/>
              </w:rPr>
              <w:t xml:space="preserve">articolo 500, paragrafo 1, lettera b), del CRR e la riga 880 &lt; riga 890: la differenza tra la riga 890 e la riga 880; </w:t>
            </w:r>
          </w:p>
          <w:p w:rsidR="00DE48EF" w:rsidRPr="00D51A68" w:rsidRDefault="00DE48EF" w:rsidP="00FC1A76">
            <w:pPr>
              <w:pStyle w:val="InstructionsText"/>
              <w:rPr>
                <w:rStyle w:val="InstructionsTabelleberschrift"/>
                <w:rFonts w:ascii="Times New Roman" w:hAnsi="Times New Roman"/>
                <w:b w:val="0"/>
                <w:sz w:val="24"/>
                <w:u w:val="none"/>
              </w:rPr>
            </w:pPr>
            <w:r w:rsidRPr="00D51A68">
              <w:rPr>
                <w:rStyle w:val="InstructionsTabelleberschrift"/>
                <w:rFonts w:ascii="Times New Roman" w:hAnsi="Times New Roman"/>
                <w:b w:val="0"/>
                <w:sz w:val="24"/>
                <w:u w:val="none"/>
              </w:rPr>
              <w:t>-</w:t>
            </w:r>
            <w:r w:rsidR="00A0772B" w:rsidRPr="00D51A68">
              <w:tab/>
            </w:r>
            <w:r w:rsidRPr="00D51A68">
              <w:rPr>
                <w:rStyle w:val="InstructionsTabelleberschrift"/>
                <w:rFonts w:ascii="Times New Roman" w:hAnsi="Times New Roman"/>
                <w:b w:val="0"/>
                <w:sz w:val="24"/>
                <w:u w:val="none"/>
              </w:rPr>
              <w:t>o se viene applicato l</w:t>
            </w:r>
            <w:r w:rsidR="0009277C" w:rsidRPr="00D51A68">
              <w:rPr>
                <w:rStyle w:val="InstructionsTabelleberschrift"/>
                <w:rFonts w:ascii="Times New Roman" w:hAnsi="Times New Roman"/>
                <w:b w:val="0"/>
                <w:sz w:val="24"/>
                <w:u w:val="none"/>
              </w:rPr>
              <w:t>’</w:t>
            </w:r>
            <w:r w:rsidRPr="00D51A68">
              <w:rPr>
                <w:rStyle w:val="InstructionsTabelleberschrift"/>
                <w:rFonts w:ascii="Times New Roman" w:hAnsi="Times New Roman"/>
                <w:b w:val="0"/>
                <w:sz w:val="24"/>
                <w:u w:val="none"/>
              </w:rPr>
              <w:t>articolo 500, paragrafo 2</w:t>
            </w:r>
            <w:r w:rsidR="00AC4C0D" w:rsidRPr="00D51A68">
              <w:rPr>
                <w:rStyle w:val="InstructionsTabelleberschrift"/>
                <w:rFonts w:ascii="Times New Roman" w:hAnsi="Times New Roman"/>
                <w:b w:val="0"/>
                <w:sz w:val="24"/>
                <w:u w:val="none"/>
              </w:rPr>
              <w:t>, del CRR e la riga </w:t>
            </w:r>
            <w:r w:rsidRPr="00D51A68">
              <w:rPr>
                <w:rStyle w:val="InstructionsTabelleberschrift"/>
                <w:rFonts w:ascii="Times New Roman" w:hAnsi="Times New Roman"/>
                <w:b w:val="0"/>
                <w:sz w:val="24"/>
                <w:u w:val="none"/>
              </w:rPr>
              <w:t>010 di C 01.00 &lt; riga 900 del C 04.00: la differenza tra la riga 900</w:t>
            </w:r>
            <w:r w:rsidR="00AC4C0D" w:rsidRPr="00D51A68">
              <w:rPr>
                <w:rStyle w:val="InstructionsTabelleberschrift"/>
                <w:rFonts w:ascii="Times New Roman" w:hAnsi="Times New Roman"/>
                <w:b w:val="0"/>
                <w:sz w:val="24"/>
                <w:u w:val="none"/>
              </w:rPr>
              <w:t xml:space="preserve"> di C </w:t>
            </w:r>
            <w:r w:rsidRPr="00D51A68">
              <w:rPr>
                <w:rStyle w:val="InstructionsTabelleberschrift"/>
                <w:rFonts w:ascii="Times New Roman" w:hAnsi="Times New Roman"/>
                <w:b w:val="0"/>
                <w:sz w:val="24"/>
                <w:u w:val="none"/>
              </w:rPr>
              <w:t>04.00 e la riga 010 di C 01.00.</w:t>
            </w:r>
          </w:p>
        </w:tc>
      </w:tr>
    </w:tbl>
    <w:p w:rsidR="002648B0" w:rsidRPr="00D51A68" w:rsidRDefault="002648B0" w:rsidP="00FC1A76">
      <w:pPr>
        <w:pStyle w:val="InstructionsText"/>
      </w:pPr>
    </w:p>
    <w:p w:rsidR="002648B0" w:rsidRPr="00D51A68" w:rsidRDefault="00936DD1" w:rsidP="0023700C">
      <w:pPr>
        <w:pStyle w:val="Instructionsberschrift2"/>
        <w:numPr>
          <w:ilvl w:val="0"/>
          <w:numId w:val="0"/>
        </w:numPr>
        <w:ind w:left="357" w:hanging="357"/>
        <w:rPr>
          <w:rFonts w:ascii="Times New Roman" w:hAnsi="Times New Roman" w:cs="Times New Roman"/>
          <w:sz w:val="24"/>
        </w:rPr>
      </w:pPr>
      <w:bookmarkStart w:id="86" w:name="_Toc360188333"/>
      <w:bookmarkStart w:id="87" w:name="_Toc516210616"/>
      <w:bookmarkStart w:id="88" w:name="_Toc473560881"/>
      <w:bookmarkStart w:id="89" w:name="_Toc524096561"/>
      <w:bookmarkStart w:id="90" w:name="_Toc308175834"/>
      <w:r w:rsidRPr="00D51A68">
        <w:rPr>
          <w:rFonts w:ascii="Times New Roman" w:hAnsi="Times New Roman"/>
          <w:sz w:val="24"/>
          <w:u w:val="none"/>
        </w:rPr>
        <w:t>1.6</w:t>
      </w:r>
      <w:r w:rsidR="00A0772B" w:rsidRPr="00D51A68">
        <w:rPr>
          <w:u w:val="none"/>
        </w:rPr>
        <w:tab/>
      </w:r>
      <w:r w:rsidRPr="00D51A68">
        <w:rPr>
          <w:rFonts w:ascii="Times New Roman" w:hAnsi="Times New Roman"/>
          <w:sz w:val="24"/>
        </w:rPr>
        <w:t>DISPOSIZIONI TRANSITORIE e STRUMENTI SOGGETTI ALLA CLAUSOLA GRANDFATHERING: STRUMENTI CHE NON COSTITUISCONO AIUTI DI STATO (CA 5)</w:t>
      </w:r>
      <w:bookmarkEnd w:id="86"/>
      <w:bookmarkEnd w:id="87"/>
      <w:bookmarkEnd w:id="88"/>
      <w:bookmarkEnd w:id="89"/>
    </w:p>
    <w:p w:rsidR="002648B0" w:rsidRPr="00D51A68" w:rsidRDefault="00936DD1" w:rsidP="0023700C">
      <w:pPr>
        <w:pStyle w:val="Instructionsberschrift2"/>
        <w:numPr>
          <w:ilvl w:val="0"/>
          <w:numId w:val="0"/>
        </w:numPr>
        <w:ind w:left="357" w:hanging="357"/>
        <w:rPr>
          <w:rFonts w:ascii="Times New Roman" w:hAnsi="Times New Roman" w:cs="Times New Roman"/>
          <w:sz w:val="24"/>
          <w:u w:val="none"/>
        </w:rPr>
      </w:pPr>
      <w:bookmarkStart w:id="91" w:name="_Toc308175835"/>
      <w:bookmarkStart w:id="92" w:name="_Toc360188334"/>
      <w:bookmarkStart w:id="93" w:name="_Toc516210617"/>
      <w:bookmarkStart w:id="94" w:name="_Toc473560882"/>
      <w:bookmarkStart w:id="95" w:name="_Toc524096562"/>
      <w:bookmarkEnd w:id="90"/>
      <w:r w:rsidRPr="00D51A68">
        <w:rPr>
          <w:rFonts w:ascii="Times New Roman" w:hAnsi="Times New Roman"/>
          <w:sz w:val="24"/>
          <w:u w:val="none"/>
        </w:rPr>
        <w:t>1.6.1</w:t>
      </w:r>
      <w:r w:rsidR="00A0772B" w:rsidRPr="00D51A68">
        <w:rPr>
          <w:u w:val="none"/>
        </w:rPr>
        <w:tab/>
      </w:r>
      <w:r w:rsidRPr="00D51A68">
        <w:rPr>
          <w:rFonts w:ascii="Times New Roman" w:hAnsi="Times New Roman"/>
          <w:sz w:val="24"/>
        </w:rPr>
        <w:t>Osservazioni di carattere generale</w:t>
      </w:r>
      <w:bookmarkEnd w:id="91"/>
      <w:bookmarkEnd w:id="92"/>
      <w:bookmarkEnd w:id="93"/>
      <w:bookmarkEnd w:id="94"/>
      <w:bookmarkEnd w:id="95"/>
    </w:p>
    <w:p w:rsidR="00783881" w:rsidRPr="00D51A68" w:rsidRDefault="00B43C2A" w:rsidP="00AC4C0D">
      <w:pPr>
        <w:pStyle w:val="InstructionsText2"/>
        <w:numPr>
          <w:ilvl w:val="0"/>
          <w:numId w:val="0"/>
        </w:numPr>
        <w:ind w:left="993"/>
      </w:pPr>
      <w:r w:rsidRPr="00D51A68">
        <w:t>15.</w:t>
      </w:r>
      <w:r w:rsidR="00A0772B" w:rsidRPr="00D51A68">
        <w:tab/>
      </w:r>
      <w:r w:rsidRPr="00D51A68">
        <w:t xml:space="preserve">Il modello CA5 riassume il calcolo degli elementi dei fondi propri e delle deduzioni oggetto delle disposizioni transitorie di cui agli articoli da 465 a 491 del CRR. </w:t>
      </w:r>
    </w:p>
    <w:p w:rsidR="00496C53" w:rsidRPr="00D51A68" w:rsidRDefault="00125707" w:rsidP="00AC4C0D">
      <w:pPr>
        <w:pStyle w:val="InstructionsText2"/>
        <w:numPr>
          <w:ilvl w:val="0"/>
          <w:numId w:val="0"/>
        </w:numPr>
        <w:ind w:left="993"/>
      </w:pPr>
      <w:r w:rsidRPr="00D51A68">
        <w:t>16.</w:t>
      </w:r>
      <w:r w:rsidR="00A0772B" w:rsidRPr="00D51A68">
        <w:tab/>
      </w:r>
      <w:r w:rsidRPr="00D51A68">
        <w:t>Il modello CA5 è strutturato come segue:</w:t>
      </w:r>
    </w:p>
    <w:p w:rsidR="002648B0" w:rsidRPr="00D51A68" w:rsidRDefault="00125707" w:rsidP="00AC4C0D">
      <w:pPr>
        <w:pStyle w:val="InstructionsText2"/>
        <w:numPr>
          <w:ilvl w:val="0"/>
          <w:numId w:val="0"/>
        </w:numPr>
        <w:ind w:left="993"/>
      </w:pPr>
      <w:r w:rsidRPr="00D51A68">
        <w:t>a)</w:t>
      </w:r>
      <w:r w:rsidR="00A0772B" w:rsidRPr="00D51A68">
        <w:tab/>
      </w:r>
      <w:r w:rsidRPr="00D51A68">
        <w:t xml:space="preserve">il </w:t>
      </w:r>
      <w:r w:rsidRPr="00D51A68">
        <w:rPr>
          <w:u w:val="single"/>
        </w:rPr>
        <w:t>modello 5.1</w:t>
      </w:r>
      <w:r w:rsidRPr="00D51A68">
        <w:t xml:space="preserve"> riassume gli aggiustamenti totali da apportare alle diverse componenti dei fondi propri (segnalate nel modello CA1 conformemente alle disposizioni definitive) per effetto dell</w:t>
      </w:r>
      <w:r w:rsidR="0009277C" w:rsidRPr="00D51A68">
        <w:t>’</w:t>
      </w:r>
      <w:r w:rsidRPr="00D51A68">
        <w:t xml:space="preserve">applicazione delle disposizioni transitorie. Gli elementi di questa tabella sono presentati come </w:t>
      </w:r>
      <w:r w:rsidR="0009277C" w:rsidRPr="00D51A68">
        <w:t>“</w:t>
      </w:r>
      <w:r w:rsidRPr="00D51A68">
        <w:t>aggiustamenti</w:t>
      </w:r>
      <w:r w:rsidR="0009277C" w:rsidRPr="00D51A68">
        <w:t>”</w:t>
      </w:r>
      <w:r w:rsidRPr="00D51A68">
        <w:t xml:space="preserve"> delle diverse </w:t>
      </w:r>
      <w:r w:rsidRPr="00D51A68">
        <w:lastRenderedPageBreak/>
        <w:t>componenti di capitale segnalate nel modello CA1, per tener conto degli effetti delle disposizioni transitorie sulle componenti dei fondi propri;</w:t>
      </w:r>
    </w:p>
    <w:p w:rsidR="002648B0" w:rsidRPr="00D51A68" w:rsidRDefault="00125707" w:rsidP="00AC4C0D">
      <w:pPr>
        <w:pStyle w:val="InstructionsText2"/>
        <w:numPr>
          <w:ilvl w:val="0"/>
          <w:numId w:val="0"/>
        </w:numPr>
        <w:ind w:left="993"/>
      </w:pPr>
      <w:r w:rsidRPr="00D51A68">
        <w:t>b)</w:t>
      </w:r>
      <w:r w:rsidR="00A0772B" w:rsidRPr="00D51A68">
        <w:tab/>
      </w:r>
      <w:r w:rsidRPr="00D51A68">
        <w:t xml:space="preserve">il </w:t>
      </w:r>
      <w:r w:rsidRPr="00D51A68">
        <w:rPr>
          <w:u w:val="single"/>
        </w:rPr>
        <w:t>modello 5.2</w:t>
      </w:r>
      <w:r w:rsidRPr="00D51A68">
        <w:t xml:space="preserve"> contiene ulteriori informazioni dettagliate sul calcolo degli strumenti soggetti alla clausola grandfathering che non costituiscono aiuti di Stato. </w:t>
      </w:r>
    </w:p>
    <w:p w:rsidR="005643EA" w:rsidRPr="00D51A68" w:rsidRDefault="00125707" w:rsidP="00AC4C0D">
      <w:pPr>
        <w:pStyle w:val="InstructionsText2"/>
        <w:numPr>
          <w:ilvl w:val="0"/>
          <w:numId w:val="0"/>
        </w:numPr>
        <w:ind w:left="993"/>
      </w:pPr>
      <w:bookmarkStart w:id="96" w:name="_Toc307386943"/>
      <w:r w:rsidRPr="00D51A68">
        <w:t>17.</w:t>
      </w:r>
      <w:r w:rsidR="00A0772B" w:rsidRPr="00D51A68">
        <w:tab/>
      </w:r>
      <w:r w:rsidRPr="00D51A68">
        <w:t>L</w:t>
      </w:r>
      <w:r w:rsidR="0009277C" w:rsidRPr="00D51A68">
        <w:t>’</w:t>
      </w:r>
      <w:r w:rsidRPr="00D51A68">
        <w:t>ente segnala nelle prime quattro colonne gli aggiustamenti del capitale primario di classe 1, del capitale aggiuntivo di classe 1 e del capitale di classe 2, nonché l</w:t>
      </w:r>
      <w:r w:rsidR="0009277C" w:rsidRPr="00D51A68">
        <w:t>’</w:t>
      </w:r>
      <w:r w:rsidRPr="00D51A68">
        <w:t>importo da trattare come attività ponderate per il rischio. L</w:t>
      </w:r>
      <w:r w:rsidR="0009277C" w:rsidRPr="00D51A68">
        <w:t>’</w:t>
      </w:r>
      <w:r w:rsidRPr="00D51A68">
        <w:t>ente deve segnalare altresì nella colonna 050 la percentuale applicabile e nella colonna 060 l</w:t>
      </w:r>
      <w:r w:rsidR="0009277C" w:rsidRPr="00D51A68">
        <w:t>’</w:t>
      </w:r>
      <w:r w:rsidRPr="00D51A68">
        <w:t>importo ammissibile senza l</w:t>
      </w:r>
      <w:r w:rsidR="0009277C" w:rsidRPr="00D51A68">
        <w:t>’</w:t>
      </w:r>
      <w:r w:rsidRPr="00D51A68">
        <w:t>applicazione delle disposizioni transitorie.</w:t>
      </w:r>
    </w:p>
    <w:p w:rsidR="005643EA" w:rsidRPr="00D51A68" w:rsidRDefault="00125707" w:rsidP="00AC4C0D">
      <w:pPr>
        <w:pStyle w:val="InstructionsText2"/>
        <w:numPr>
          <w:ilvl w:val="0"/>
          <w:numId w:val="0"/>
        </w:numPr>
        <w:ind w:left="993"/>
      </w:pPr>
      <w:r w:rsidRPr="00D51A68">
        <w:t>18.</w:t>
      </w:r>
      <w:r w:rsidR="00A0772B" w:rsidRPr="00D51A68">
        <w:tab/>
      </w:r>
      <w:r w:rsidRPr="00D51A68">
        <w:t>Gli enti compilano il modello CA5 soltanto per il periodo di vigenza delle disposizioni transitorie conformemente alla parte dieci del CRR.</w:t>
      </w:r>
    </w:p>
    <w:p w:rsidR="005643EA" w:rsidRPr="00D51A68" w:rsidRDefault="00125707" w:rsidP="00AC4C0D">
      <w:pPr>
        <w:pStyle w:val="InstructionsText2"/>
        <w:numPr>
          <w:ilvl w:val="0"/>
          <w:numId w:val="0"/>
        </w:numPr>
        <w:ind w:left="993"/>
      </w:pPr>
      <w:r w:rsidRPr="00D51A68">
        <w:t>19.</w:t>
      </w:r>
      <w:r w:rsidR="00A0772B" w:rsidRPr="00D51A68">
        <w:tab/>
      </w:r>
      <w:r w:rsidRPr="00D51A68">
        <w:t>Alcune delle disposizioni transitorie prevedono una deduzione dal capitale di classe 1. In tali casi, qualora l</w:t>
      </w:r>
      <w:r w:rsidR="0009277C" w:rsidRPr="00D51A68">
        <w:t>’</w:t>
      </w:r>
      <w:r w:rsidRPr="00D51A68">
        <w:t>importo residuo di una deduzione o delle deduzioni si applichi al capitale di classe 1 e il capitale aggiuntivo di classe 1 sia insufficiente per compensare detto importo, l</w:t>
      </w:r>
      <w:r w:rsidR="0009277C" w:rsidRPr="00D51A68">
        <w:t>’</w:t>
      </w:r>
      <w:r w:rsidRPr="00D51A68">
        <w:t>importo eccedente è dedotto dal capitale primario di classe 1.</w:t>
      </w:r>
    </w:p>
    <w:p w:rsidR="002648B0" w:rsidRPr="00D51A68" w:rsidRDefault="00125707" w:rsidP="0023700C">
      <w:pPr>
        <w:pStyle w:val="Instructionsberschrift2"/>
        <w:numPr>
          <w:ilvl w:val="0"/>
          <w:numId w:val="0"/>
        </w:numPr>
        <w:ind w:left="357" w:hanging="357"/>
        <w:rPr>
          <w:rFonts w:ascii="Times New Roman" w:hAnsi="Times New Roman" w:cs="Times New Roman"/>
          <w:sz w:val="24"/>
        </w:rPr>
      </w:pPr>
      <w:bookmarkStart w:id="97" w:name="_Toc516210618"/>
      <w:bookmarkStart w:id="98" w:name="_Toc473560883"/>
      <w:bookmarkStart w:id="99" w:name="_Toc524096563"/>
      <w:bookmarkStart w:id="100" w:name="_Toc360188335"/>
      <w:bookmarkStart w:id="101" w:name="_Toc308175836"/>
      <w:bookmarkEnd w:id="96"/>
      <w:r w:rsidRPr="00D51A68">
        <w:rPr>
          <w:rFonts w:ascii="Times New Roman" w:hAnsi="Times New Roman"/>
          <w:sz w:val="24"/>
          <w:u w:val="none"/>
        </w:rPr>
        <w:t>1.6.2.</w:t>
      </w:r>
      <w:r w:rsidR="00A0772B" w:rsidRPr="00D51A68">
        <w:rPr>
          <w:u w:val="none"/>
        </w:rPr>
        <w:tab/>
      </w:r>
      <w:r w:rsidRPr="00D51A68">
        <w:rPr>
          <w:rFonts w:ascii="Times New Roman" w:hAnsi="Times New Roman"/>
          <w:sz w:val="24"/>
        </w:rPr>
        <w:t>C 05.01 — DISPOSIZIONI TRANSITORIE (CA5.1)</w:t>
      </w:r>
      <w:bookmarkEnd w:id="97"/>
      <w:bookmarkEnd w:id="98"/>
      <w:bookmarkEnd w:id="99"/>
      <w:r w:rsidRPr="00D51A68">
        <w:rPr>
          <w:rFonts w:ascii="Times New Roman" w:hAnsi="Times New Roman"/>
          <w:sz w:val="24"/>
        </w:rPr>
        <w:t xml:space="preserve"> </w:t>
      </w:r>
      <w:bookmarkEnd w:id="100"/>
      <w:bookmarkEnd w:id="101"/>
    </w:p>
    <w:p w:rsidR="002648B0" w:rsidRPr="00D51A68" w:rsidRDefault="00125707" w:rsidP="00AC4C0D">
      <w:pPr>
        <w:pStyle w:val="InstructionsText2"/>
        <w:numPr>
          <w:ilvl w:val="0"/>
          <w:numId w:val="0"/>
        </w:numPr>
        <w:ind w:left="993"/>
      </w:pPr>
      <w:r w:rsidRPr="00D51A68">
        <w:t>20.</w:t>
      </w:r>
      <w:r w:rsidR="00A0772B" w:rsidRPr="00D51A68">
        <w:tab/>
      </w:r>
      <w:r w:rsidRPr="00D51A68">
        <w:t>Gli enti segnalano nella tabella 5.1 le disposizioni transitorie che si applicano alle componenti dei fondi propri conformemente agli articoli da 465 a 491 del CRR e le confrontano con l</w:t>
      </w:r>
      <w:r w:rsidR="0009277C" w:rsidRPr="00D51A68">
        <w:t>’</w:t>
      </w:r>
      <w:r w:rsidRPr="00D51A68">
        <w:t xml:space="preserve">applicazione delle disposizioni definitive di cui alla parte due, titolo II, del CRR. </w:t>
      </w:r>
    </w:p>
    <w:p w:rsidR="00783881" w:rsidRPr="00D51A68" w:rsidRDefault="00125707" w:rsidP="00AC4C0D">
      <w:pPr>
        <w:pStyle w:val="InstructionsText2"/>
        <w:numPr>
          <w:ilvl w:val="0"/>
          <w:numId w:val="0"/>
        </w:numPr>
        <w:ind w:left="993"/>
      </w:pPr>
      <w:r w:rsidRPr="00D51A68">
        <w:t>21.</w:t>
      </w:r>
      <w:r w:rsidR="00A0772B" w:rsidRPr="00D51A68">
        <w:tab/>
      </w:r>
      <w:r w:rsidRPr="00D51A68">
        <w:t>Gli enti segnalano nelle righe da 020 a 060 informazioni relative alle disposizioni transitorie riguardanti gli strumenti soggetti alla clausola grandfathering. Le cifre da segnalare nella riga 060, colonne da 010 a 030, del modello CA 5.1 si possono ricavare dalle rispettive sezioni del modello CA 5.2.</w:t>
      </w:r>
    </w:p>
    <w:p w:rsidR="00496C53" w:rsidRPr="00D51A68" w:rsidRDefault="00125707" w:rsidP="00AC4C0D">
      <w:pPr>
        <w:pStyle w:val="InstructionsText2"/>
        <w:numPr>
          <w:ilvl w:val="0"/>
          <w:numId w:val="0"/>
        </w:numPr>
        <w:ind w:left="993"/>
      </w:pPr>
      <w:r w:rsidRPr="00D51A68">
        <w:t>22.</w:t>
      </w:r>
      <w:r w:rsidR="00A0772B" w:rsidRPr="00D51A68">
        <w:tab/>
      </w:r>
      <w:r w:rsidRPr="00D51A68">
        <w:t>Gli enti segnalano nelle righe da 070 a 092 informazioni relative alle disposizioni transitorie riguardanti gli interessi di minoranza e gli strumenti del capitale aggiuntivo di classe 1 e del capitale di classe 2 emessi dalle filiazioni (conformemente agli articoli 479 e 480 del CRR).</w:t>
      </w:r>
    </w:p>
    <w:p w:rsidR="00783881" w:rsidRPr="00D51A68" w:rsidRDefault="00125707" w:rsidP="00AC4C0D">
      <w:pPr>
        <w:pStyle w:val="InstructionsText2"/>
        <w:numPr>
          <w:ilvl w:val="0"/>
          <w:numId w:val="0"/>
        </w:numPr>
        <w:ind w:left="993"/>
      </w:pPr>
      <w:r w:rsidRPr="00D51A68">
        <w:t>23.</w:t>
      </w:r>
      <w:r w:rsidR="00A0772B" w:rsidRPr="00D51A68">
        <w:tab/>
      </w:r>
      <w:r w:rsidRPr="00D51A68">
        <w:t>Dalla riga 100 in avanti gli enti segnalano informazioni relative alle disposizioni transitorie riguardanti i profitti e le perdite non realizzati, le deduzioni e i filtri e deduzioni aggiuntivi.</w:t>
      </w:r>
    </w:p>
    <w:p w:rsidR="005643EA" w:rsidRPr="00D51A68" w:rsidRDefault="00125707" w:rsidP="00AC4C0D">
      <w:pPr>
        <w:pStyle w:val="InstructionsText2"/>
        <w:numPr>
          <w:ilvl w:val="0"/>
          <w:numId w:val="0"/>
        </w:numPr>
        <w:ind w:left="993"/>
      </w:pPr>
      <w:r w:rsidRPr="00D51A68">
        <w:t>24.</w:t>
      </w:r>
      <w:r w:rsidR="00A0772B" w:rsidRPr="00D51A68">
        <w:tab/>
      </w:r>
      <w:r w:rsidRPr="00D51A68">
        <w:t>Vi possono essere casi in cui le deduzioni transitorie dal capitale primario di classe 1, dal capitale aggiuntivo di classe 1 o dal capitale di classe 2 superano il capitale primario di classe 1, il capitale aggiuntivo di classe 1</w:t>
      </w:r>
      <w:r w:rsidR="00AC4C0D" w:rsidRPr="00D51A68">
        <w:t xml:space="preserve"> o il capitale di classe </w:t>
      </w:r>
      <w:r w:rsidRPr="00D51A68">
        <w:t xml:space="preserve">2 di un ente. Tali situazioni, purché siano la conseguenza di disposizioni transitorie, vanno segnalate nel modello CA1 compilando le celle corrispondenti. Pertanto, gli aggiustamenti segnalati nelle colonne del modello CA5 non comprendono gli effetti di ricaduta nei casi in cui il capitale disponibile sia insufficiente. </w:t>
      </w:r>
    </w:p>
    <w:p w:rsidR="002648B0" w:rsidRPr="00D51A68" w:rsidRDefault="00125707" w:rsidP="0023700C">
      <w:pPr>
        <w:pStyle w:val="Instructionsberschrift2"/>
        <w:numPr>
          <w:ilvl w:val="0"/>
          <w:numId w:val="0"/>
        </w:numPr>
        <w:ind w:left="357" w:hanging="357"/>
        <w:rPr>
          <w:rFonts w:ascii="Times New Roman" w:hAnsi="Times New Roman" w:cs="Times New Roman"/>
          <w:sz w:val="24"/>
        </w:rPr>
      </w:pPr>
      <w:bookmarkStart w:id="102" w:name="_Toc360188336"/>
      <w:bookmarkStart w:id="103" w:name="_Toc516210619"/>
      <w:bookmarkStart w:id="104" w:name="_Toc473560884"/>
      <w:bookmarkStart w:id="105" w:name="_Toc524096564"/>
      <w:r w:rsidRPr="00D51A68">
        <w:rPr>
          <w:rFonts w:ascii="Times New Roman" w:hAnsi="Times New Roman"/>
          <w:sz w:val="24"/>
          <w:u w:val="none"/>
        </w:rPr>
        <w:lastRenderedPageBreak/>
        <w:t>1.6.2.1.</w:t>
      </w:r>
      <w:r w:rsidR="00A0772B" w:rsidRPr="00D51A68">
        <w:rPr>
          <w:u w:val="none"/>
        </w:rPr>
        <w:tab/>
      </w:r>
      <w:r w:rsidRPr="00D51A68">
        <w:rPr>
          <w:rFonts w:ascii="Times New Roman" w:hAnsi="Times New Roman"/>
          <w:sz w:val="24"/>
        </w:rPr>
        <w:t>Istruzioni relative a posizioni specifiche</w:t>
      </w:r>
      <w:bookmarkEnd w:id="102"/>
      <w:bookmarkEnd w:id="103"/>
      <w:bookmarkEnd w:id="104"/>
      <w:bookmarkEnd w:id="105"/>
    </w:p>
    <w:p w:rsidR="002648B0" w:rsidRPr="00D51A68" w:rsidRDefault="002648B0" w:rsidP="009F1084">
      <w:pPr>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4"/>
        <w:gridCol w:w="7478"/>
      </w:tblGrid>
      <w:tr w:rsidR="002648B0" w:rsidRPr="00D51A68" w:rsidTr="00672D2A">
        <w:tc>
          <w:tcPr>
            <w:tcW w:w="8372" w:type="dxa"/>
            <w:gridSpan w:val="2"/>
            <w:shd w:val="clear" w:color="auto" w:fill="D9D9D9"/>
          </w:tcPr>
          <w:p w:rsidR="00783881" w:rsidRPr="00D51A68" w:rsidRDefault="002648B0" w:rsidP="00FC1A76">
            <w:pPr>
              <w:pStyle w:val="InstructionsText"/>
            </w:pPr>
            <w:r w:rsidRPr="00D51A68">
              <w:t>Colonne</w:t>
            </w:r>
          </w:p>
        </w:tc>
      </w:tr>
      <w:tr w:rsidR="002648B0" w:rsidRPr="00D51A68" w:rsidTr="00672D2A">
        <w:tc>
          <w:tcPr>
            <w:tcW w:w="894" w:type="dxa"/>
          </w:tcPr>
          <w:p w:rsidR="002648B0" w:rsidRPr="00D51A68" w:rsidRDefault="002648B0"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010</w:t>
            </w:r>
          </w:p>
        </w:tc>
        <w:tc>
          <w:tcPr>
            <w:tcW w:w="7478" w:type="dxa"/>
          </w:tcPr>
          <w:p w:rsidR="005643EA" w:rsidRPr="00D51A68" w:rsidRDefault="002648B0"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Aggiustamenti del capitale primario di classe 1</w:t>
            </w:r>
          </w:p>
        </w:tc>
      </w:tr>
      <w:tr w:rsidR="002648B0" w:rsidRPr="00D51A68" w:rsidTr="00672D2A">
        <w:tc>
          <w:tcPr>
            <w:tcW w:w="894" w:type="dxa"/>
          </w:tcPr>
          <w:p w:rsidR="002648B0" w:rsidRPr="00D51A68" w:rsidRDefault="002648B0"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020</w:t>
            </w:r>
          </w:p>
        </w:tc>
        <w:tc>
          <w:tcPr>
            <w:tcW w:w="7478" w:type="dxa"/>
          </w:tcPr>
          <w:p w:rsidR="005643EA" w:rsidRPr="00D51A68" w:rsidRDefault="002648B0"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Aggiustamenti del capitale aggiuntivo di classe 1</w:t>
            </w:r>
          </w:p>
        </w:tc>
      </w:tr>
      <w:tr w:rsidR="002648B0" w:rsidRPr="00D51A68" w:rsidTr="00672D2A">
        <w:tc>
          <w:tcPr>
            <w:tcW w:w="894" w:type="dxa"/>
          </w:tcPr>
          <w:p w:rsidR="002648B0" w:rsidRPr="00D51A68" w:rsidRDefault="002648B0"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030</w:t>
            </w:r>
          </w:p>
        </w:tc>
        <w:tc>
          <w:tcPr>
            <w:tcW w:w="7478" w:type="dxa"/>
          </w:tcPr>
          <w:p w:rsidR="005643EA" w:rsidRPr="00D51A68" w:rsidRDefault="002648B0"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Aggiustamenti del capitale di classe 2</w:t>
            </w:r>
          </w:p>
        </w:tc>
      </w:tr>
      <w:tr w:rsidR="002648B0" w:rsidRPr="00D51A68" w:rsidTr="00672D2A">
        <w:tc>
          <w:tcPr>
            <w:tcW w:w="894" w:type="dxa"/>
          </w:tcPr>
          <w:p w:rsidR="002648B0" w:rsidRPr="00D51A68" w:rsidRDefault="002648B0"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040</w:t>
            </w:r>
          </w:p>
        </w:tc>
        <w:tc>
          <w:tcPr>
            <w:tcW w:w="7478" w:type="dxa"/>
          </w:tcPr>
          <w:p w:rsidR="005643EA" w:rsidRPr="00D51A68" w:rsidRDefault="002648B0"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Aggiustamenti inclusi nelle attività ponderate per il rischio</w:t>
            </w:r>
          </w:p>
          <w:p w:rsidR="005643EA" w:rsidRPr="00D51A68" w:rsidRDefault="002648B0"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La colonna 040 indica gli importi pertinenti che adeguano 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importo complessivo dell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esposizione al rischio di cui all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articolo 92, paragrafo 3, del CRR per effetto di disposizioni transitorie. Gli importi indicati tengono conto dell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applicazione delle disposizioni della parte tre, titolo II, capo 2</w:t>
            </w:r>
            <w:r w:rsidR="00FE3E1C" w:rsidRPr="00D51A68">
              <w:rPr>
                <w:rStyle w:val="InstructionsTabelleText"/>
                <w:rFonts w:ascii="Times New Roman" w:hAnsi="Times New Roman"/>
                <w:sz w:val="24"/>
              </w:rPr>
              <w:t xml:space="preserve"> o </w:t>
            </w:r>
            <w:r w:rsidRPr="00D51A68">
              <w:rPr>
                <w:rStyle w:val="InstructionsTabelleText"/>
                <w:rFonts w:ascii="Times New Roman" w:hAnsi="Times New Roman"/>
                <w:sz w:val="24"/>
              </w:rPr>
              <w:t>3, o della parte tre, titolo IV, conformemente all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articolo 92, paragrafo 4, del CRR. Ciò significa che gli importi transitori soggetti alle disposizioni della parte tre, titolo II, capo 2 o 3, sono indicati come importi delle esposizioni ponderati per il rischio, mentre gli importi transitori soggetti alla parte tre, titolo IV, rappresentano i requisiti di fondi propri moltiplicati per 12,5.</w:t>
            </w:r>
          </w:p>
          <w:p w:rsidR="005643EA" w:rsidRPr="00D51A68" w:rsidRDefault="00B4177D" w:rsidP="00FC1A76">
            <w:pPr>
              <w:pStyle w:val="InstructionsText"/>
              <w:rPr>
                <w:rStyle w:val="InstructionsTabelleberschrift"/>
                <w:rFonts w:ascii="Times New Roman" w:hAnsi="Times New Roman"/>
                <w:b w:val="0"/>
                <w:bCs w:val="0"/>
                <w:sz w:val="24"/>
                <w:u w:val="none"/>
              </w:rPr>
            </w:pPr>
            <w:r w:rsidRPr="00D51A68">
              <w:rPr>
                <w:rStyle w:val="InstructionsTabelleText"/>
                <w:rFonts w:ascii="Times New Roman" w:hAnsi="Times New Roman"/>
                <w:sz w:val="24"/>
              </w:rPr>
              <w:t>Mentre le colonne da 010 a 030 hanno un collegamento diretto con il modello CA1, gli aggiustamenti dell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importo complessivo dell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esposizione al rischio non hanno un collegamento diretto con i pertinenti modelli per il rischio di credito. Eventuali aggiustamenti dell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importo complessivo dell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 xml:space="preserve">esposizione al rischio derivanti dalle disposizioni transitorie sono segnalati direttamente nei modelli CR SA, CR IRB, CR EQU IRB, MKR SA TDI, MKR SA EQU o MKR IM. I relativi effetti sono segnalati inoltre nella colonna 040 del modello CA5.1. Pertanto, questi importi costituiscono soltanto voci per memoria. </w:t>
            </w:r>
          </w:p>
        </w:tc>
      </w:tr>
      <w:tr w:rsidR="002648B0" w:rsidRPr="00D51A68" w:rsidTr="00672D2A">
        <w:tc>
          <w:tcPr>
            <w:tcW w:w="894" w:type="dxa"/>
          </w:tcPr>
          <w:p w:rsidR="002648B0" w:rsidRPr="00D51A68" w:rsidRDefault="002648B0"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050</w:t>
            </w:r>
          </w:p>
        </w:tc>
        <w:tc>
          <w:tcPr>
            <w:tcW w:w="7478" w:type="dxa"/>
          </w:tcPr>
          <w:p w:rsidR="005643EA" w:rsidRPr="00D51A68" w:rsidRDefault="002648B0"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Percentuale applicabile</w:t>
            </w:r>
          </w:p>
        </w:tc>
      </w:tr>
      <w:tr w:rsidR="002648B0" w:rsidRPr="00D51A68" w:rsidTr="00672D2A">
        <w:tc>
          <w:tcPr>
            <w:tcW w:w="894" w:type="dxa"/>
          </w:tcPr>
          <w:p w:rsidR="002648B0" w:rsidRPr="00D51A68" w:rsidRDefault="002648B0"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060</w:t>
            </w:r>
          </w:p>
        </w:tc>
        <w:tc>
          <w:tcPr>
            <w:tcW w:w="7478" w:type="dxa"/>
          </w:tcPr>
          <w:p w:rsidR="005643EA" w:rsidRPr="00D51A68" w:rsidRDefault="002648B0"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Importo ammissibile senza disposizioni transitorie</w:t>
            </w:r>
          </w:p>
          <w:p w:rsidR="005643EA" w:rsidRPr="00D51A68" w:rsidRDefault="002648B0"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La colonna 060 indica 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importo di ciascuno strumento prima dell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applicazione delle disposizioni transitorie, ossia 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importo di base pertinente per il calcolo degli aggiustamenti.</w:t>
            </w:r>
          </w:p>
        </w:tc>
      </w:tr>
    </w:tbl>
    <w:p w:rsidR="002648B0" w:rsidRPr="00D51A68" w:rsidRDefault="002648B0" w:rsidP="009F1084">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2"/>
        <w:gridCol w:w="7478"/>
      </w:tblGrid>
      <w:tr w:rsidR="002648B0" w:rsidRPr="00D51A68" w:rsidTr="00672D2A">
        <w:tc>
          <w:tcPr>
            <w:tcW w:w="8490" w:type="dxa"/>
            <w:gridSpan w:val="2"/>
            <w:shd w:val="clear" w:color="auto" w:fill="D9D9D9"/>
          </w:tcPr>
          <w:p w:rsidR="002648B0" w:rsidRPr="00D51A68" w:rsidRDefault="002648B0" w:rsidP="00FC1A76">
            <w:pPr>
              <w:pStyle w:val="InstructionsText"/>
            </w:pPr>
            <w:r w:rsidRPr="00D51A68">
              <w:t>Righe</w:t>
            </w:r>
          </w:p>
        </w:tc>
      </w:tr>
      <w:tr w:rsidR="002648B0" w:rsidRPr="00D51A68" w:rsidTr="00672D2A">
        <w:tc>
          <w:tcPr>
            <w:tcW w:w="1012" w:type="dxa"/>
          </w:tcPr>
          <w:p w:rsidR="002648B0" w:rsidRPr="00D51A68" w:rsidRDefault="002648B0"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010</w:t>
            </w:r>
          </w:p>
        </w:tc>
        <w:tc>
          <w:tcPr>
            <w:tcW w:w="7478" w:type="dxa"/>
          </w:tcPr>
          <w:p w:rsidR="005643EA" w:rsidRPr="00D51A68" w:rsidRDefault="00C66473" w:rsidP="00FC1A76">
            <w:pPr>
              <w:pStyle w:val="InstructionsText"/>
              <w:rPr>
                <w:rStyle w:val="FormatvorlageInstructionsTabelleText"/>
                <w:rFonts w:ascii="Times New Roman" w:hAnsi="Times New Roman"/>
                <w:b/>
                <w:sz w:val="24"/>
                <w:u w:val="single"/>
              </w:rPr>
            </w:pPr>
            <w:r w:rsidRPr="00D51A68">
              <w:rPr>
                <w:rStyle w:val="InstructionsTabelleberschrift"/>
                <w:rFonts w:ascii="Times New Roman" w:hAnsi="Times New Roman"/>
                <w:sz w:val="24"/>
              </w:rPr>
              <w:t>1.</w:t>
            </w:r>
            <w:r w:rsidR="00A0772B" w:rsidRPr="00D51A68">
              <w:rPr>
                <w:u w:val="single"/>
              </w:rPr>
              <w:tab/>
            </w:r>
            <w:r w:rsidRPr="00D51A68">
              <w:rPr>
                <w:rStyle w:val="InstructionsTabelleberschrift"/>
                <w:rFonts w:ascii="Times New Roman" w:hAnsi="Times New Roman"/>
                <w:sz w:val="24"/>
              </w:rPr>
              <w:t>Aggiustamenti totali</w:t>
            </w:r>
          </w:p>
          <w:p w:rsidR="002648B0" w:rsidRPr="00D51A68" w:rsidRDefault="002648B0" w:rsidP="007106FB">
            <w:pPr>
              <w:spacing w:before="0"/>
              <w:rPr>
                <w:rStyle w:val="FormatvorlageInstructionsTabelleText"/>
                <w:rFonts w:ascii="Times New Roman" w:hAnsi="Times New Roman"/>
                <w:bCs w:val="0"/>
                <w:sz w:val="24"/>
              </w:rPr>
            </w:pPr>
            <w:r w:rsidRPr="00D51A68">
              <w:rPr>
                <w:rStyle w:val="InstructionsTabelleText"/>
                <w:rFonts w:ascii="Times New Roman" w:hAnsi="Times New Roman"/>
                <w:sz w:val="24"/>
              </w:rPr>
              <w:t>In questa riga è indicato 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effetto complessivo degli aggiustamenti transitori sui diversi tipi di capitale, più gli importi ponderati per il rischio che ne derivano.</w:t>
            </w:r>
          </w:p>
        </w:tc>
      </w:tr>
      <w:tr w:rsidR="002648B0" w:rsidRPr="00D51A68" w:rsidTr="00672D2A">
        <w:tc>
          <w:tcPr>
            <w:tcW w:w="1012" w:type="dxa"/>
          </w:tcPr>
          <w:p w:rsidR="002648B0" w:rsidRPr="00D51A68" w:rsidRDefault="002648B0"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 xml:space="preserve">020 </w:t>
            </w:r>
          </w:p>
        </w:tc>
        <w:tc>
          <w:tcPr>
            <w:tcW w:w="7478" w:type="dxa"/>
          </w:tcPr>
          <w:p w:rsidR="005643EA" w:rsidRPr="00D51A68" w:rsidRDefault="002648B0" w:rsidP="00FC1A76">
            <w:pPr>
              <w:pStyle w:val="InstructionsText"/>
              <w:rPr>
                <w:rStyle w:val="InstructionsTabelleText"/>
                <w:rFonts w:ascii="Times New Roman" w:hAnsi="Times New Roman"/>
                <w:b/>
                <w:bCs/>
                <w:sz w:val="24"/>
                <w:u w:val="single"/>
              </w:rPr>
            </w:pPr>
            <w:r w:rsidRPr="00D51A68">
              <w:rPr>
                <w:rStyle w:val="InstructionsTabelleberschrift"/>
                <w:rFonts w:ascii="Times New Roman" w:hAnsi="Times New Roman"/>
                <w:sz w:val="24"/>
              </w:rPr>
              <w:t>1.1</w:t>
            </w:r>
            <w:r w:rsidR="00A0772B" w:rsidRPr="00D51A68">
              <w:rPr>
                <w:u w:val="single"/>
              </w:rPr>
              <w:tab/>
            </w:r>
            <w:r w:rsidRPr="00D51A68">
              <w:rPr>
                <w:rStyle w:val="InstructionsTabelleberschrift"/>
                <w:rFonts w:ascii="Times New Roman" w:hAnsi="Times New Roman"/>
                <w:sz w:val="24"/>
              </w:rPr>
              <w:t>Strumenti soggetti alla clausola grandfathering</w:t>
            </w:r>
          </w:p>
          <w:p w:rsidR="002648B0" w:rsidRPr="00D51A68" w:rsidRDefault="002648B0" w:rsidP="007106FB">
            <w:pPr>
              <w:spacing w:before="0"/>
              <w:rPr>
                <w:rStyle w:val="InstructionsTabelleText"/>
                <w:rFonts w:ascii="Times New Roman" w:hAnsi="Times New Roman"/>
                <w:sz w:val="24"/>
              </w:rPr>
            </w:pPr>
            <w:r w:rsidRPr="00D51A68">
              <w:rPr>
                <w:rStyle w:val="InstructionsTabelleText"/>
                <w:rFonts w:ascii="Times New Roman" w:hAnsi="Times New Roman"/>
                <w:sz w:val="24"/>
              </w:rPr>
              <w:t>Articoli da 483 a 491 del CRR.</w:t>
            </w:r>
          </w:p>
          <w:p w:rsidR="002648B0" w:rsidRPr="00D51A68" w:rsidRDefault="002648B0" w:rsidP="007106FB">
            <w:pPr>
              <w:spacing w:before="0"/>
              <w:rPr>
                <w:rStyle w:val="FormatvorlageInstructionsTabelleText"/>
                <w:rFonts w:ascii="Times New Roman" w:hAnsi="Times New Roman"/>
                <w:sz w:val="24"/>
              </w:rPr>
            </w:pPr>
            <w:r w:rsidRPr="00D51A68">
              <w:rPr>
                <w:rStyle w:val="InstructionsTabelleText"/>
                <w:rFonts w:ascii="Times New Roman" w:hAnsi="Times New Roman"/>
                <w:sz w:val="24"/>
              </w:rPr>
              <w:t>In questa riga è indicato 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effetto complessivo degli strumenti assoggettati temporaneamente alla clausola grandfathering sui diversi tipi di capitale.</w:t>
            </w:r>
          </w:p>
        </w:tc>
      </w:tr>
      <w:tr w:rsidR="002648B0" w:rsidRPr="00D51A68" w:rsidTr="00672D2A">
        <w:tc>
          <w:tcPr>
            <w:tcW w:w="1012" w:type="dxa"/>
          </w:tcPr>
          <w:p w:rsidR="002648B0" w:rsidRPr="00D51A68" w:rsidRDefault="002648B0"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lastRenderedPageBreak/>
              <w:t>030</w:t>
            </w:r>
          </w:p>
        </w:tc>
        <w:tc>
          <w:tcPr>
            <w:tcW w:w="7478" w:type="dxa"/>
          </w:tcPr>
          <w:p w:rsidR="002648B0" w:rsidRPr="00D51A68" w:rsidRDefault="002648B0" w:rsidP="00FC1A76">
            <w:pPr>
              <w:pStyle w:val="InstructionsText"/>
              <w:rPr>
                <w:rStyle w:val="InstructionsTabelleText"/>
                <w:rFonts w:ascii="Times New Roman" w:hAnsi="Times New Roman"/>
                <w:b/>
                <w:sz w:val="24"/>
                <w:u w:val="single"/>
              </w:rPr>
            </w:pPr>
            <w:r w:rsidRPr="00D51A68">
              <w:rPr>
                <w:rStyle w:val="InstructionsTabelleberschrift"/>
                <w:rFonts w:ascii="Times New Roman" w:hAnsi="Times New Roman"/>
                <w:sz w:val="24"/>
              </w:rPr>
              <w:t>1.1.1</w:t>
            </w:r>
            <w:r w:rsidR="00A0772B" w:rsidRPr="00D51A68">
              <w:rPr>
                <w:u w:val="single"/>
              </w:rPr>
              <w:tab/>
            </w:r>
            <w:r w:rsidRPr="00D51A68">
              <w:rPr>
                <w:rStyle w:val="InstructionsTabelleberschrift"/>
                <w:rFonts w:ascii="Times New Roman" w:hAnsi="Times New Roman"/>
                <w:sz w:val="24"/>
              </w:rPr>
              <w:t>Strumenti soggetti alla clausola grandfathering: strumenti che costituiscono aiuti di Stato</w:t>
            </w:r>
          </w:p>
          <w:p w:rsidR="002648B0" w:rsidRPr="00D51A68" w:rsidRDefault="002648B0" w:rsidP="007106FB">
            <w:pPr>
              <w:spacing w:before="0"/>
              <w:rPr>
                <w:rStyle w:val="InstructionsTabelleberschrift"/>
                <w:rFonts w:ascii="Times New Roman" w:hAnsi="Times New Roman"/>
                <w:sz w:val="24"/>
              </w:rPr>
            </w:pPr>
            <w:r w:rsidRPr="00D51A68">
              <w:rPr>
                <w:rStyle w:val="InstructionsTabelleText"/>
                <w:rFonts w:ascii="Times New Roman" w:hAnsi="Times New Roman"/>
                <w:sz w:val="24"/>
              </w:rPr>
              <w:t>Articolo 483 del CRR.</w:t>
            </w:r>
          </w:p>
        </w:tc>
      </w:tr>
      <w:tr w:rsidR="002648B0" w:rsidRPr="00D51A68" w:rsidTr="00672D2A">
        <w:tc>
          <w:tcPr>
            <w:tcW w:w="1012" w:type="dxa"/>
          </w:tcPr>
          <w:p w:rsidR="002648B0" w:rsidRPr="00D51A68" w:rsidRDefault="002648B0"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040</w:t>
            </w:r>
          </w:p>
        </w:tc>
        <w:tc>
          <w:tcPr>
            <w:tcW w:w="7478" w:type="dxa"/>
          </w:tcPr>
          <w:p w:rsidR="005643EA" w:rsidRPr="00D51A68" w:rsidRDefault="002648B0" w:rsidP="00FC1A76">
            <w:pPr>
              <w:pStyle w:val="InstructionsText"/>
              <w:rPr>
                <w:rStyle w:val="InstructionsTabelleText"/>
                <w:rFonts w:ascii="Times New Roman" w:hAnsi="Times New Roman"/>
                <w:b/>
                <w:sz w:val="24"/>
                <w:u w:val="single"/>
              </w:rPr>
            </w:pPr>
            <w:r w:rsidRPr="00D51A68">
              <w:rPr>
                <w:rStyle w:val="InstructionsTabelleberschrift"/>
                <w:rFonts w:ascii="Times New Roman" w:hAnsi="Times New Roman"/>
                <w:sz w:val="24"/>
              </w:rPr>
              <w:t>1.1.1.1</w:t>
            </w:r>
            <w:r w:rsidR="00A0772B" w:rsidRPr="00D51A68">
              <w:rPr>
                <w:u w:val="single"/>
              </w:rPr>
              <w:tab/>
            </w:r>
            <w:r w:rsidRPr="00D51A68">
              <w:rPr>
                <w:rStyle w:val="InstructionsTabelleberschrift"/>
                <w:rFonts w:ascii="Times New Roman" w:hAnsi="Times New Roman"/>
                <w:sz w:val="24"/>
              </w:rPr>
              <w:t>Strumenti ammissibili come fondi propri ai sensi della direttiva 2006/48/CE</w:t>
            </w:r>
          </w:p>
          <w:p w:rsidR="005643EA" w:rsidRPr="00D51A68" w:rsidRDefault="002648B0" w:rsidP="00FC1A76">
            <w:pPr>
              <w:pStyle w:val="InstructionsText"/>
              <w:rPr>
                <w:bCs/>
              </w:rPr>
            </w:pPr>
            <w:r w:rsidRPr="00D51A68">
              <w:rPr>
                <w:rStyle w:val="InstructionsTabelleText"/>
                <w:rFonts w:ascii="Times New Roman" w:hAnsi="Times New Roman"/>
                <w:sz w:val="24"/>
              </w:rPr>
              <w:t>Articolo 483, paragrafi 1, 2, 4 e 6, del CRR.</w:t>
            </w:r>
          </w:p>
        </w:tc>
      </w:tr>
      <w:tr w:rsidR="002648B0" w:rsidRPr="00D51A68" w:rsidTr="00672D2A">
        <w:tc>
          <w:tcPr>
            <w:tcW w:w="1012" w:type="dxa"/>
          </w:tcPr>
          <w:p w:rsidR="002648B0" w:rsidRPr="00D51A68" w:rsidRDefault="002648B0"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050</w:t>
            </w:r>
          </w:p>
        </w:tc>
        <w:tc>
          <w:tcPr>
            <w:tcW w:w="7478" w:type="dxa"/>
          </w:tcPr>
          <w:p w:rsidR="002648B0" w:rsidRPr="00D51A68" w:rsidRDefault="002648B0" w:rsidP="00FC1A76">
            <w:pPr>
              <w:pStyle w:val="InstructionsText"/>
              <w:rPr>
                <w:rStyle w:val="InstructionsTabelleText"/>
                <w:rFonts w:ascii="Times New Roman" w:hAnsi="Times New Roman"/>
                <w:b/>
                <w:bCs/>
                <w:sz w:val="24"/>
                <w:u w:val="single"/>
              </w:rPr>
            </w:pPr>
            <w:r w:rsidRPr="00D51A68">
              <w:rPr>
                <w:rStyle w:val="InstructionsTabelleberschrift"/>
                <w:rFonts w:ascii="Times New Roman" w:hAnsi="Times New Roman"/>
                <w:sz w:val="24"/>
              </w:rPr>
              <w:t>1.1.1.2</w:t>
            </w:r>
            <w:r w:rsidR="00A0772B" w:rsidRPr="00D51A68">
              <w:rPr>
                <w:u w:val="single"/>
              </w:rPr>
              <w:tab/>
            </w:r>
            <w:r w:rsidRPr="00D51A68">
              <w:rPr>
                <w:rStyle w:val="InstructionsTabelleberschrift"/>
                <w:rFonts w:ascii="Times New Roman" w:hAnsi="Times New Roman"/>
                <w:sz w:val="24"/>
              </w:rPr>
              <w:t>Strumenti emessi da enti con sede in uno Stato membro soggetto a un programma di aggiustamento economico</w:t>
            </w:r>
          </w:p>
          <w:p w:rsidR="002648B0" w:rsidRPr="00D51A68" w:rsidRDefault="002648B0" w:rsidP="007106FB">
            <w:pPr>
              <w:spacing w:before="0"/>
              <w:rPr>
                <w:rFonts w:ascii="Times New Roman" w:hAnsi="Times New Roman"/>
                <w:b/>
                <w:bCs/>
                <w:sz w:val="24"/>
              </w:rPr>
            </w:pPr>
            <w:r w:rsidRPr="00D51A68">
              <w:rPr>
                <w:rStyle w:val="InstructionsTabelleText"/>
                <w:rFonts w:ascii="Times New Roman" w:hAnsi="Times New Roman"/>
                <w:sz w:val="24"/>
              </w:rPr>
              <w:t>Articolo 483, paragrafi 1, 3, 5, 7 e 8, del CRR.</w:t>
            </w:r>
          </w:p>
        </w:tc>
      </w:tr>
      <w:tr w:rsidR="002648B0" w:rsidRPr="00D51A68" w:rsidTr="00672D2A">
        <w:tc>
          <w:tcPr>
            <w:tcW w:w="1012" w:type="dxa"/>
          </w:tcPr>
          <w:p w:rsidR="002648B0" w:rsidRPr="00D51A68" w:rsidRDefault="002648B0"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060</w:t>
            </w:r>
          </w:p>
        </w:tc>
        <w:tc>
          <w:tcPr>
            <w:tcW w:w="7478" w:type="dxa"/>
          </w:tcPr>
          <w:p w:rsidR="002648B0" w:rsidRPr="00D51A68" w:rsidRDefault="002648B0" w:rsidP="007106FB">
            <w:pPr>
              <w:spacing w:before="0"/>
              <w:rPr>
                <w:rStyle w:val="InstructionsTabelleText"/>
                <w:rFonts w:ascii="Times New Roman" w:hAnsi="Times New Roman"/>
                <w:b/>
                <w:bCs/>
                <w:sz w:val="24"/>
                <w:u w:val="single"/>
              </w:rPr>
            </w:pPr>
            <w:r w:rsidRPr="00D51A68">
              <w:rPr>
                <w:rStyle w:val="InstructionsTabelleberschrift"/>
                <w:rFonts w:ascii="Times New Roman" w:hAnsi="Times New Roman"/>
                <w:sz w:val="24"/>
              </w:rPr>
              <w:t>1.1.2</w:t>
            </w:r>
            <w:r w:rsidR="00A0772B" w:rsidRPr="00D51A68">
              <w:rPr>
                <w:u w:val="single"/>
              </w:rPr>
              <w:tab/>
            </w:r>
            <w:r w:rsidRPr="00D51A68">
              <w:rPr>
                <w:rStyle w:val="InstructionsTabelleberschrift"/>
                <w:rFonts w:ascii="Times New Roman" w:hAnsi="Times New Roman"/>
                <w:sz w:val="24"/>
              </w:rPr>
              <w:t>Strumenti che non costituiscono aiuti di Stato</w:t>
            </w:r>
          </w:p>
          <w:p w:rsidR="002648B0" w:rsidRPr="00D51A68" w:rsidRDefault="002648B0" w:rsidP="007106FB">
            <w:pPr>
              <w:spacing w:before="0"/>
              <w:rPr>
                <w:rFonts w:ascii="Times New Roman" w:hAnsi="Times New Roman"/>
                <w:b/>
                <w:bCs/>
                <w:sz w:val="24"/>
              </w:rPr>
            </w:pPr>
            <w:r w:rsidRPr="00D51A68">
              <w:rPr>
                <w:rStyle w:val="InstructionsTabelleText"/>
                <w:rFonts w:ascii="Times New Roman" w:hAnsi="Times New Roman"/>
                <w:sz w:val="24"/>
              </w:rPr>
              <w:t>Gli importi da segnalare si ricavano dalla colonna 060 della tabella CA 5.2.</w:t>
            </w:r>
          </w:p>
        </w:tc>
      </w:tr>
      <w:tr w:rsidR="002648B0" w:rsidRPr="00D51A68" w:rsidTr="00672D2A">
        <w:tc>
          <w:tcPr>
            <w:tcW w:w="1012" w:type="dxa"/>
          </w:tcPr>
          <w:p w:rsidR="002648B0" w:rsidRPr="00D51A68" w:rsidRDefault="002648B0"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070</w:t>
            </w:r>
          </w:p>
        </w:tc>
        <w:tc>
          <w:tcPr>
            <w:tcW w:w="7478" w:type="dxa"/>
          </w:tcPr>
          <w:p w:rsidR="005643EA" w:rsidRPr="00D51A68" w:rsidRDefault="002648B0" w:rsidP="00FC1A76">
            <w:pPr>
              <w:pStyle w:val="InstructionsText"/>
              <w:rPr>
                <w:rStyle w:val="InstructionsTabelleText"/>
                <w:rFonts w:ascii="Times New Roman" w:hAnsi="Times New Roman"/>
                <w:b/>
                <w:sz w:val="24"/>
                <w:u w:val="single"/>
              </w:rPr>
            </w:pPr>
            <w:r w:rsidRPr="00D51A68">
              <w:rPr>
                <w:rStyle w:val="InstructionsTabelleberschrift"/>
                <w:rFonts w:ascii="Times New Roman" w:hAnsi="Times New Roman"/>
                <w:sz w:val="24"/>
              </w:rPr>
              <w:t>1.2</w:t>
            </w:r>
            <w:r w:rsidR="00A0772B" w:rsidRPr="00D51A68">
              <w:rPr>
                <w:u w:val="single"/>
              </w:rPr>
              <w:tab/>
            </w:r>
            <w:r w:rsidRPr="00D51A68">
              <w:rPr>
                <w:rStyle w:val="InstructionsTabelleberschrift"/>
                <w:rFonts w:ascii="Times New Roman" w:hAnsi="Times New Roman"/>
                <w:sz w:val="24"/>
              </w:rPr>
              <w:t>Interessi di minoranza ed equivalenti</w:t>
            </w:r>
          </w:p>
          <w:p w:rsidR="002648B0" w:rsidRPr="00D51A68" w:rsidRDefault="002648B0" w:rsidP="007106FB">
            <w:pPr>
              <w:spacing w:before="0"/>
              <w:rPr>
                <w:rStyle w:val="InstructionsTabelleText"/>
                <w:rFonts w:ascii="Times New Roman" w:hAnsi="Times New Roman"/>
                <w:sz w:val="24"/>
              </w:rPr>
            </w:pPr>
            <w:r w:rsidRPr="00D51A68">
              <w:rPr>
                <w:rStyle w:val="InstructionsTabelleText"/>
                <w:rFonts w:ascii="Times New Roman" w:hAnsi="Times New Roman"/>
                <w:sz w:val="24"/>
              </w:rPr>
              <w:t>Articoli 479 e 480 del CRR.</w:t>
            </w:r>
          </w:p>
          <w:p w:rsidR="002648B0" w:rsidRPr="00D51A68" w:rsidRDefault="00FC1030" w:rsidP="007106FB">
            <w:pPr>
              <w:spacing w:before="0"/>
              <w:rPr>
                <w:rStyle w:val="InstructionsTabelleText"/>
                <w:rFonts w:ascii="Times New Roman" w:hAnsi="Times New Roman"/>
                <w:sz w:val="24"/>
              </w:rPr>
            </w:pPr>
            <w:r w:rsidRPr="00D51A68">
              <w:rPr>
                <w:rStyle w:val="InstructionsTabelleText"/>
                <w:rFonts w:ascii="Times New Roman" w:hAnsi="Times New Roman"/>
                <w:sz w:val="24"/>
              </w:rPr>
              <w:t>Questa riga indica gli effetti delle disposizioni transitorie su: interessi di minoranza ammissibili come capitale primario di classe 1; strumenti ammessi di classe 1 ammissibili come capitale aggiuntivo di classe 1 consolidato; fondi propri ammessi ammissibili come capitale di classe 2 consolidato.</w:t>
            </w:r>
          </w:p>
        </w:tc>
      </w:tr>
      <w:tr w:rsidR="002648B0" w:rsidRPr="00D51A68" w:rsidTr="00672D2A">
        <w:tc>
          <w:tcPr>
            <w:tcW w:w="1012" w:type="dxa"/>
          </w:tcPr>
          <w:p w:rsidR="002648B0" w:rsidRPr="00D51A68" w:rsidRDefault="002648B0"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080</w:t>
            </w:r>
          </w:p>
        </w:tc>
        <w:tc>
          <w:tcPr>
            <w:tcW w:w="7478" w:type="dxa"/>
          </w:tcPr>
          <w:p w:rsidR="005643EA" w:rsidRPr="00D51A68" w:rsidRDefault="002648B0" w:rsidP="00FC1A76">
            <w:pPr>
              <w:pStyle w:val="InstructionsText"/>
              <w:rPr>
                <w:rStyle w:val="InstructionsTabelleberschrift"/>
                <w:rFonts w:ascii="Times New Roman" w:hAnsi="Times New Roman"/>
                <w:bCs w:val="0"/>
                <w:sz w:val="24"/>
              </w:rPr>
            </w:pPr>
            <w:r w:rsidRPr="00D51A68">
              <w:rPr>
                <w:rStyle w:val="InstructionsTabelleberschrift"/>
                <w:rFonts w:ascii="Times New Roman" w:hAnsi="Times New Roman"/>
                <w:sz w:val="24"/>
              </w:rPr>
              <w:t>1.2.1</w:t>
            </w:r>
            <w:r w:rsidR="00A0772B" w:rsidRPr="00D51A68">
              <w:rPr>
                <w:u w:val="single"/>
              </w:rPr>
              <w:tab/>
            </w:r>
            <w:r w:rsidRPr="00D51A68">
              <w:rPr>
                <w:rStyle w:val="InstructionsTabelleberschrift"/>
                <w:rFonts w:ascii="Times New Roman" w:hAnsi="Times New Roman"/>
                <w:sz w:val="24"/>
              </w:rPr>
              <w:t>Strumenti ed elementi di capitale non ammessi come interessi di minoranza</w:t>
            </w:r>
          </w:p>
          <w:p w:rsidR="005643EA" w:rsidRPr="00D51A68" w:rsidRDefault="002648B0" w:rsidP="00FC1A76">
            <w:pPr>
              <w:pStyle w:val="InstructionsText"/>
              <w:rPr>
                <w:rStyle w:val="InstructionsTabelleText"/>
                <w:rFonts w:ascii="Times New Roman" w:hAnsi="Times New Roman"/>
                <w:bCs/>
                <w:sz w:val="24"/>
              </w:rPr>
            </w:pPr>
            <w:r w:rsidRPr="00D51A68">
              <w:rPr>
                <w:rStyle w:val="InstructionsTabelleText"/>
                <w:rFonts w:ascii="Times New Roman" w:hAnsi="Times New Roman"/>
                <w:sz w:val="24"/>
              </w:rPr>
              <w:t>Articolo 479 del CRR.</w:t>
            </w:r>
          </w:p>
          <w:p w:rsidR="005643EA" w:rsidRPr="00D51A68" w:rsidRDefault="002648B0" w:rsidP="00FC1A76">
            <w:pPr>
              <w:pStyle w:val="InstructionsText"/>
              <w:rPr>
                <w:rStyle w:val="InstructionsTabelleText"/>
                <w:rFonts w:ascii="Times New Roman" w:hAnsi="Times New Roman"/>
                <w:bCs/>
                <w:sz w:val="24"/>
              </w:rPr>
            </w:pPr>
            <w:r w:rsidRPr="00D51A68">
              <w:rPr>
                <w:rStyle w:val="InstructionsTabelleText"/>
                <w:rFonts w:ascii="Times New Roman" w:hAnsi="Times New Roman"/>
                <w:sz w:val="24"/>
              </w:rPr>
              <w:t>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importo da segnalare nella colonna 060 di questa riga è 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 xml:space="preserve">importo ammesso come riserve consolidate conformemente alla normativa precedente. </w:t>
            </w:r>
          </w:p>
        </w:tc>
      </w:tr>
      <w:tr w:rsidR="002648B0" w:rsidRPr="00D51A68" w:rsidTr="00672D2A">
        <w:tc>
          <w:tcPr>
            <w:tcW w:w="1012" w:type="dxa"/>
          </w:tcPr>
          <w:p w:rsidR="002648B0" w:rsidRPr="00D51A68" w:rsidRDefault="002648B0"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090</w:t>
            </w:r>
          </w:p>
        </w:tc>
        <w:tc>
          <w:tcPr>
            <w:tcW w:w="7478" w:type="dxa"/>
          </w:tcPr>
          <w:p w:rsidR="005643EA" w:rsidRPr="00D51A68" w:rsidRDefault="002648B0" w:rsidP="00FC1A76">
            <w:pPr>
              <w:pStyle w:val="InstructionsText"/>
              <w:rPr>
                <w:rStyle w:val="InstructionsTabelleText"/>
                <w:rFonts w:ascii="Times New Roman" w:hAnsi="Times New Roman"/>
                <w:b/>
                <w:bCs/>
                <w:sz w:val="24"/>
                <w:u w:val="single"/>
              </w:rPr>
            </w:pPr>
            <w:r w:rsidRPr="00D51A68">
              <w:rPr>
                <w:rStyle w:val="InstructionsTabelleberschrift"/>
                <w:rFonts w:ascii="Times New Roman" w:hAnsi="Times New Roman"/>
                <w:sz w:val="24"/>
              </w:rPr>
              <w:t>1.2.2</w:t>
            </w:r>
            <w:r w:rsidR="00A0772B" w:rsidRPr="00D51A68">
              <w:rPr>
                <w:u w:val="single"/>
              </w:rPr>
              <w:tab/>
            </w:r>
            <w:r w:rsidRPr="00D51A68">
              <w:rPr>
                <w:rStyle w:val="InstructionsTabelleberschrift"/>
                <w:rFonts w:ascii="Times New Roman" w:hAnsi="Times New Roman"/>
                <w:sz w:val="24"/>
              </w:rPr>
              <w:t>Riconoscimento transitorio degli interessi di minoranza nei fondi propri consolidati</w:t>
            </w:r>
          </w:p>
          <w:p w:rsidR="005643EA" w:rsidRPr="00D51A68" w:rsidRDefault="002648B0"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Articoli 84 e 480 del CRR.</w:t>
            </w:r>
          </w:p>
          <w:p w:rsidR="005643EA" w:rsidRPr="00D51A68" w:rsidRDefault="002648B0" w:rsidP="00FC1A76">
            <w:pPr>
              <w:pStyle w:val="InstructionsText"/>
              <w:rPr>
                <w:rStyle w:val="InstructionsTabelleberschrift"/>
                <w:rFonts w:ascii="Times New Roman" w:hAnsi="Times New Roman"/>
                <w:b w:val="0"/>
                <w:bCs w:val="0"/>
                <w:sz w:val="24"/>
                <w:u w:val="none"/>
              </w:rPr>
            </w:pPr>
            <w:r w:rsidRPr="00D51A68">
              <w:rPr>
                <w:rStyle w:val="InstructionsTabelleText"/>
                <w:rFonts w:ascii="Times New Roman" w:hAnsi="Times New Roman"/>
                <w:sz w:val="24"/>
              </w:rPr>
              <w:t>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importo da segnalare nella colonna 060 di questa riga è 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importo ammissibile senza disposizioni transitorie.</w:t>
            </w:r>
          </w:p>
        </w:tc>
      </w:tr>
      <w:tr w:rsidR="002648B0" w:rsidRPr="00D51A68" w:rsidTr="00672D2A">
        <w:tc>
          <w:tcPr>
            <w:tcW w:w="1012" w:type="dxa"/>
          </w:tcPr>
          <w:p w:rsidR="002648B0" w:rsidRPr="00D51A68" w:rsidRDefault="002648B0"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091</w:t>
            </w:r>
          </w:p>
        </w:tc>
        <w:tc>
          <w:tcPr>
            <w:tcW w:w="7478" w:type="dxa"/>
          </w:tcPr>
          <w:p w:rsidR="005643EA" w:rsidRPr="00D51A68" w:rsidRDefault="002648B0"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1.2.3</w:t>
            </w:r>
            <w:r w:rsidR="00A0772B" w:rsidRPr="00D51A68">
              <w:rPr>
                <w:u w:val="single"/>
              </w:rPr>
              <w:tab/>
            </w:r>
            <w:r w:rsidRPr="00D51A68">
              <w:rPr>
                <w:rStyle w:val="InstructionsTabelleberschrift"/>
                <w:rFonts w:ascii="Times New Roman" w:hAnsi="Times New Roman"/>
                <w:sz w:val="24"/>
              </w:rPr>
              <w:t>Riconoscimento transitorio del capitale aggiuntivo di classe 1 ammissibile nei fondi propri consolidati</w:t>
            </w:r>
          </w:p>
          <w:p w:rsidR="005643EA" w:rsidRPr="00D51A68" w:rsidRDefault="002648B0"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Articoli 85 e 480 del CRR.</w:t>
            </w:r>
          </w:p>
          <w:p w:rsidR="005643EA" w:rsidRPr="00D51A68" w:rsidRDefault="002648B0"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importo da segnalare nella colonna 060 di questa riga è 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importo ammissibile senza disposizioni transitorie.</w:t>
            </w:r>
          </w:p>
        </w:tc>
      </w:tr>
      <w:tr w:rsidR="002648B0" w:rsidRPr="00D51A68" w:rsidTr="00672D2A">
        <w:tc>
          <w:tcPr>
            <w:tcW w:w="1012" w:type="dxa"/>
          </w:tcPr>
          <w:p w:rsidR="002648B0" w:rsidRPr="00D51A68" w:rsidRDefault="002648B0"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092</w:t>
            </w:r>
          </w:p>
        </w:tc>
        <w:tc>
          <w:tcPr>
            <w:tcW w:w="7478" w:type="dxa"/>
          </w:tcPr>
          <w:p w:rsidR="005643EA" w:rsidRPr="00D51A68" w:rsidRDefault="002648B0"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1.2.4</w:t>
            </w:r>
            <w:r w:rsidR="00A0772B" w:rsidRPr="00D51A68">
              <w:rPr>
                <w:u w:val="single"/>
              </w:rPr>
              <w:tab/>
            </w:r>
            <w:r w:rsidRPr="00D51A68">
              <w:rPr>
                <w:rStyle w:val="InstructionsTabelleberschrift"/>
                <w:rFonts w:ascii="Times New Roman" w:hAnsi="Times New Roman"/>
                <w:sz w:val="24"/>
              </w:rPr>
              <w:t>Riconoscimento transitorio del capitale di classe 2 ammissibile nei fondi propri consolidati</w:t>
            </w:r>
          </w:p>
          <w:p w:rsidR="005643EA" w:rsidRPr="00D51A68" w:rsidRDefault="002648B0"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Articoli 87 e 480 del CRR.</w:t>
            </w:r>
          </w:p>
          <w:p w:rsidR="005643EA" w:rsidRPr="00D51A68" w:rsidRDefault="002648B0"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importo da segnalare nella colonna 060 di questa riga è 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importo ammissibile senza disposizioni transitorie.</w:t>
            </w:r>
          </w:p>
        </w:tc>
      </w:tr>
      <w:tr w:rsidR="002648B0" w:rsidRPr="00D51A68" w:rsidTr="00672D2A">
        <w:tc>
          <w:tcPr>
            <w:tcW w:w="1012" w:type="dxa"/>
          </w:tcPr>
          <w:p w:rsidR="002648B0" w:rsidRPr="00D51A68" w:rsidRDefault="002648B0"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lastRenderedPageBreak/>
              <w:t>100</w:t>
            </w:r>
          </w:p>
        </w:tc>
        <w:tc>
          <w:tcPr>
            <w:tcW w:w="7478" w:type="dxa"/>
          </w:tcPr>
          <w:p w:rsidR="002648B0" w:rsidRPr="00D51A68" w:rsidRDefault="002648B0" w:rsidP="00FC1A76">
            <w:pPr>
              <w:pStyle w:val="InstructionsText"/>
              <w:rPr>
                <w:rStyle w:val="InstructionsTabelleText"/>
                <w:rFonts w:ascii="Times New Roman" w:hAnsi="Times New Roman"/>
                <w:b/>
                <w:bCs/>
                <w:sz w:val="24"/>
                <w:u w:val="single"/>
              </w:rPr>
            </w:pPr>
            <w:r w:rsidRPr="00D51A68">
              <w:rPr>
                <w:rStyle w:val="InstructionsTabelleberschrift"/>
                <w:rFonts w:ascii="Times New Roman" w:hAnsi="Times New Roman"/>
                <w:sz w:val="24"/>
              </w:rPr>
              <w:t>1.3</w:t>
            </w:r>
            <w:r w:rsidR="00A0772B" w:rsidRPr="00D51A68">
              <w:rPr>
                <w:u w:val="single"/>
              </w:rPr>
              <w:tab/>
            </w:r>
            <w:r w:rsidRPr="00D51A68">
              <w:rPr>
                <w:rStyle w:val="InstructionsTabelleberschrift"/>
                <w:rFonts w:ascii="Times New Roman" w:hAnsi="Times New Roman"/>
                <w:sz w:val="24"/>
              </w:rPr>
              <w:t>Altri aggiustamenti transitori</w:t>
            </w:r>
          </w:p>
          <w:p w:rsidR="002648B0" w:rsidRPr="00D51A68" w:rsidRDefault="002648B0" w:rsidP="007106FB">
            <w:pPr>
              <w:spacing w:before="0"/>
              <w:rPr>
                <w:rStyle w:val="InstructionsTabelleText"/>
                <w:rFonts w:ascii="Times New Roman" w:hAnsi="Times New Roman"/>
                <w:sz w:val="24"/>
              </w:rPr>
            </w:pPr>
            <w:r w:rsidRPr="00D51A68">
              <w:rPr>
                <w:rStyle w:val="InstructionsTabelleText"/>
                <w:rFonts w:ascii="Times New Roman" w:hAnsi="Times New Roman"/>
                <w:sz w:val="24"/>
              </w:rPr>
              <w:t>Articoli da 467 a 478 e articolo 481 del CRR.</w:t>
            </w:r>
          </w:p>
          <w:p w:rsidR="002648B0" w:rsidRPr="00D51A68" w:rsidRDefault="002648B0" w:rsidP="007106FB">
            <w:pPr>
              <w:spacing w:before="0"/>
              <w:rPr>
                <w:rStyle w:val="InstructionsTabelleText"/>
                <w:rFonts w:ascii="Times New Roman" w:hAnsi="Times New Roman"/>
                <w:sz w:val="24"/>
              </w:rPr>
            </w:pPr>
            <w:r w:rsidRPr="00D51A68">
              <w:rPr>
                <w:rStyle w:val="InstructionsTabelleText"/>
                <w:rFonts w:ascii="Times New Roman" w:hAnsi="Times New Roman"/>
                <w:sz w:val="24"/>
              </w:rPr>
              <w:t>Questa riga indica 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effetto complessivo degli aggiustamenti transitori su deduzioni dai diversi tipi di capitale, profitti e perdite non realizzati, filtri e deduzioni aggiuntivi, più gli importi ponderati per il rischio che ne derivano.</w:t>
            </w:r>
          </w:p>
        </w:tc>
      </w:tr>
      <w:tr w:rsidR="002648B0" w:rsidRPr="00D51A68" w:rsidTr="00672D2A">
        <w:tc>
          <w:tcPr>
            <w:tcW w:w="1012" w:type="dxa"/>
          </w:tcPr>
          <w:p w:rsidR="002648B0" w:rsidRPr="00D51A68" w:rsidRDefault="002648B0"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110</w:t>
            </w:r>
          </w:p>
        </w:tc>
        <w:tc>
          <w:tcPr>
            <w:tcW w:w="7478" w:type="dxa"/>
          </w:tcPr>
          <w:p w:rsidR="005643EA" w:rsidRPr="00D51A68" w:rsidRDefault="002648B0" w:rsidP="00FC1A76">
            <w:pPr>
              <w:pStyle w:val="InstructionsText"/>
              <w:rPr>
                <w:rStyle w:val="InstructionsTabelleText"/>
                <w:rFonts w:ascii="Times New Roman" w:hAnsi="Times New Roman"/>
                <w:b/>
                <w:sz w:val="24"/>
                <w:u w:val="single"/>
              </w:rPr>
            </w:pPr>
            <w:r w:rsidRPr="00D51A68">
              <w:rPr>
                <w:rStyle w:val="InstructionsTabelleberschrift"/>
                <w:rFonts w:ascii="Times New Roman" w:hAnsi="Times New Roman"/>
                <w:sz w:val="24"/>
              </w:rPr>
              <w:t>1.3.1</w:t>
            </w:r>
            <w:r w:rsidR="00A0772B" w:rsidRPr="00D51A68">
              <w:rPr>
                <w:u w:val="single"/>
              </w:rPr>
              <w:tab/>
            </w:r>
            <w:r w:rsidRPr="00D51A68">
              <w:rPr>
                <w:rStyle w:val="InstructionsTabelleberschrift"/>
                <w:rFonts w:ascii="Times New Roman" w:hAnsi="Times New Roman"/>
                <w:sz w:val="24"/>
              </w:rPr>
              <w:t>Profitti e perdite non realizzati</w:t>
            </w:r>
          </w:p>
          <w:p w:rsidR="002648B0" w:rsidRPr="00D51A68" w:rsidRDefault="002648B0" w:rsidP="007106FB">
            <w:pPr>
              <w:spacing w:before="0"/>
              <w:rPr>
                <w:rStyle w:val="InstructionsTabelleText"/>
                <w:rFonts w:ascii="Times New Roman" w:hAnsi="Times New Roman"/>
                <w:sz w:val="24"/>
              </w:rPr>
            </w:pPr>
            <w:r w:rsidRPr="00D51A68">
              <w:rPr>
                <w:rStyle w:val="InstructionsTabelleText"/>
                <w:rFonts w:ascii="Times New Roman" w:hAnsi="Times New Roman"/>
                <w:sz w:val="24"/>
              </w:rPr>
              <w:t>Articoli 467 e 468 del CRR.</w:t>
            </w:r>
          </w:p>
          <w:p w:rsidR="002648B0" w:rsidRPr="00D51A68" w:rsidRDefault="002648B0" w:rsidP="007106FB">
            <w:pPr>
              <w:spacing w:before="0"/>
              <w:rPr>
                <w:rStyle w:val="InstructionsTabelleText"/>
                <w:rFonts w:ascii="Times New Roman" w:hAnsi="Times New Roman"/>
                <w:sz w:val="24"/>
              </w:rPr>
            </w:pPr>
            <w:r w:rsidRPr="00D51A68">
              <w:rPr>
                <w:rStyle w:val="InstructionsTabelleText"/>
                <w:rFonts w:ascii="Times New Roman" w:hAnsi="Times New Roman"/>
                <w:sz w:val="24"/>
              </w:rPr>
              <w:t>Questa riga indica 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effetto complessivo delle disposizioni transitorie sui profitti e perdite non realizzati misurati al valore equo.</w:t>
            </w:r>
          </w:p>
        </w:tc>
      </w:tr>
      <w:tr w:rsidR="002648B0" w:rsidRPr="00D51A68" w:rsidTr="00672D2A">
        <w:tc>
          <w:tcPr>
            <w:tcW w:w="1012" w:type="dxa"/>
          </w:tcPr>
          <w:p w:rsidR="002648B0" w:rsidRPr="00D51A68" w:rsidRDefault="002648B0"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120</w:t>
            </w:r>
          </w:p>
        </w:tc>
        <w:tc>
          <w:tcPr>
            <w:tcW w:w="7478" w:type="dxa"/>
          </w:tcPr>
          <w:p w:rsidR="005643EA" w:rsidRPr="00D51A68" w:rsidRDefault="002648B0"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1.3.1.1</w:t>
            </w:r>
            <w:r w:rsidR="00A0772B" w:rsidRPr="00D51A68">
              <w:rPr>
                <w:u w:val="single"/>
              </w:rPr>
              <w:tab/>
            </w:r>
            <w:r w:rsidRPr="00D51A68">
              <w:rPr>
                <w:rStyle w:val="InstructionsTabelleberschrift"/>
                <w:rFonts w:ascii="Times New Roman" w:hAnsi="Times New Roman"/>
                <w:sz w:val="24"/>
              </w:rPr>
              <w:t>Profitti non realizzati</w:t>
            </w:r>
          </w:p>
          <w:p w:rsidR="005643EA" w:rsidRPr="00D51A68" w:rsidRDefault="002648B0"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Articolo 468, paragrafo 1, del CRR.</w:t>
            </w:r>
          </w:p>
        </w:tc>
      </w:tr>
      <w:tr w:rsidR="002648B0" w:rsidRPr="00D51A68" w:rsidTr="00672D2A">
        <w:tc>
          <w:tcPr>
            <w:tcW w:w="1012" w:type="dxa"/>
          </w:tcPr>
          <w:p w:rsidR="002648B0" w:rsidRPr="00D51A68" w:rsidRDefault="002648B0"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130</w:t>
            </w:r>
          </w:p>
        </w:tc>
        <w:tc>
          <w:tcPr>
            <w:tcW w:w="7478" w:type="dxa"/>
          </w:tcPr>
          <w:p w:rsidR="005643EA" w:rsidRPr="00D51A68" w:rsidRDefault="002648B0"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1.3.1.2</w:t>
            </w:r>
            <w:r w:rsidR="00A0772B" w:rsidRPr="00D51A68">
              <w:rPr>
                <w:u w:val="single"/>
              </w:rPr>
              <w:tab/>
            </w:r>
            <w:r w:rsidRPr="00D51A68">
              <w:rPr>
                <w:rStyle w:val="InstructionsTabelleberschrift"/>
                <w:rFonts w:ascii="Times New Roman" w:hAnsi="Times New Roman"/>
                <w:sz w:val="24"/>
              </w:rPr>
              <w:t>Perdite non realizzate</w:t>
            </w:r>
          </w:p>
          <w:p w:rsidR="005643EA" w:rsidRPr="00D51A68" w:rsidRDefault="002648B0"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Articolo 467, paragrafo 1, del CRR.</w:t>
            </w:r>
          </w:p>
        </w:tc>
      </w:tr>
      <w:tr w:rsidR="00E06628" w:rsidRPr="00D51A68" w:rsidTr="00672D2A">
        <w:tc>
          <w:tcPr>
            <w:tcW w:w="1012" w:type="dxa"/>
          </w:tcPr>
          <w:p w:rsidR="00E06628" w:rsidRPr="00D51A68" w:rsidRDefault="00E06628"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133</w:t>
            </w:r>
          </w:p>
        </w:tc>
        <w:tc>
          <w:tcPr>
            <w:tcW w:w="7478" w:type="dxa"/>
          </w:tcPr>
          <w:p w:rsidR="005643EA" w:rsidRPr="00D51A68" w:rsidRDefault="00E06628"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1.3.1.3</w:t>
            </w:r>
            <w:r w:rsidR="00A0772B" w:rsidRPr="00D51A68">
              <w:rPr>
                <w:u w:val="single"/>
              </w:rPr>
              <w:tab/>
            </w:r>
            <w:r w:rsidRPr="00D51A68">
              <w:rPr>
                <w:rStyle w:val="InstructionsTabelleberschrift"/>
                <w:rFonts w:ascii="Times New Roman" w:hAnsi="Times New Roman"/>
                <w:sz w:val="24"/>
              </w:rPr>
              <w:t xml:space="preserve">Profitti non realizzati relativi a esposizioni verso le amministrazioni centrali classificate nella categoria </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Attività finanziarie disponibili per la vendita</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 xml:space="preserve"> dello IAS 39 approvato dall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UE</w:t>
            </w:r>
          </w:p>
          <w:p w:rsidR="005643EA" w:rsidRPr="00D51A68" w:rsidRDefault="00E06628" w:rsidP="00FC1A76">
            <w:pPr>
              <w:pStyle w:val="InstructionsText"/>
              <w:rPr>
                <w:rStyle w:val="InstructionsTabelleberschrift"/>
                <w:rFonts w:ascii="Times New Roman" w:hAnsi="Times New Roman"/>
                <w:b w:val="0"/>
                <w:sz w:val="24"/>
                <w:u w:val="none"/>
              </w:rPr>
            </w:pPr>
            <w:r w:rsidRPr="00D51A68">
              <w:rPr>
                <w:rStyle w:val="InstructionsTabelleberschrift"/>
                <w:rFonts w:ascii="Times New Roman" w:hAnsi="Times New Roman"/>
                <w:b w:val="0"/>
                <w:sz w:val="24"/>
                <w:u w:val="none"/>
              </w:rPr>
              <w:t>Articolo 468 del CRR.</w:t>
            </w:r>
          </w:p>
        </w:tc>
      </w:tr>
      <w:tr w:rsidR="00E06628" w:rsidRPr="00D51A68" w:rsidTr="00672D2A">
        <w:tc>
          <w:tcPr>
            <w:tcW w:w="1012" w:type="dxa"/>
          </w:tcPr>
          <w:p w:rsidR="00E06628" w:rsidRPr="00D51A68" w:rsidRDefault="00E06628"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136</w:t>
            </w:r>
          </w:p>
        </w:tc>
        <w:tc>
          <w:tcPr>
            <w:tcW w:w="7478" w:type="dxa"/>
          </w:tcPr>
          <w:p w:rsidR="005643EA" w:rsidRPr="00D51A68" w:rsidRDefault="00E06628"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1.3.1.4</w:t>
            </w:r>
            <w:r w:rsidR="00A0772B" w:rsidRPr="00D51A68">
              <w:rPr>
                <w:u w:val="single"/>
              </w:rPr>
              <w:tab/>
            </w:r>
            <w:r w:rsidRPr="00D51A68">
              <w:rPr>
                <w:rStyle w:val="InstructionsTabelleberschrift"/>
                <w:rFonts w:ascii="Times New Roman" w:hAnsi="Times New Roman"/>
                <w:sz w:val="24"/>
              </w:rPr>
              <w:t xml:space="preserve">Perdite non realizzate relative a esposizioni verso le amministrazioni centrali classificate nella categoria </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Attività finanziarie disponibili per la vendita</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 xml:space="preserve"> dello IAS 39 approvato dall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UE</w:t>
            </w:r>
          </w:p>
          <w:p w:rsidR="00E06628" w:rsidRPr="00D51A68" w:rsidRDefault="00E06628" w:rsidP="00FC1A76">
            <w:pPr>
              <w:pStyle w:val="InstructionsText"/>
              <w:rPr>
                <w:rStyle w:val="InstructionsTabelleberschrift"/>
                <w:rFonts w:ascii="Times New Roman" w:hAnsi="Times New Roman"/>
                <w:b w:val="0"/>
                <w:sz w:val="24"/>
                <w:u w:val="none"/>
              </w:rPr>
            </w:pPr>
            <w:r w:rsidRPr="00D51A68">
              <w:rPr>
                <w:rStyle w:val="InstructionsTabelleberschrift"/>
                <w:rFonts w:ascii="Times New Roman" w:hAnsi="Times New Roman"/>
                <w:b w:val="0"/>
                <w:sz w:val="24"/>
                <w:u w:val="none"/>
              </w:rPr>
              <w:t>Articolo 467 del CRR.</w:t>
            </w:r>
          </w:p>
        </w:tc>
      </w:tr>
      <w:tr w:rsidR="00E06628" w:rsidRPr="00D51A68" w:rsidTr="00672D2A">
        <w:tc>
          <w:tcPr>
            <w:tcW w:w="1012" w:type="dxa"/>
          </w:tcPr>
          <w:p w:rsidR="00E06628" w:rsidRPr="00D51A68" w:rsidRDefault="00E06628"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138</w:t>
            </w:r>
          </w:p>
        </w:tc>
        <w:tc>
          <w:tcPr>
            <w:tcW w:w="7478" w:type="dxa"/>
          </w:tcPr>
          <w:p w:rsidR="005643EA" w:rsidRPr="00D51A68" w:rsidRDefault="00E06628"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1.3.1.5</w:t>
            </w:r>
            <w:r w:rsidR="00A0772B" w:rsidRPr="00D51A68">
              <w:rPr>
                <w:u w:val="single"/>
              </w:rPr>
              <w:tab/>
            </w:r>
            <w:r w:rsidRPr="00D51A68">
              <w:rPr>
                <w:rStyle w:val="InstructionsTabelleberschrift"/>
                <w:rFonts w:ascii="Times New Roman" w:hAnsi="Times New Roman"/>
                <w:sz w:val="24"/>
              </w:rPr>
              <w:t>Profitti e perdite di valore equo derivanti dal rischio di credito proprio dell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ente correlato a derivati passivi</w:t>
            </w:r>
          </w:p>
          <w:p w:rsidR="005643EA" w:rsidRPr="00D51A68" w:rsidRDefault="00E06628" w:rsidP="00FC1A76">
            <w:pPr>
              <w:pStyle w:val="InstructionsText"/>
              <w:rPr>
                <w:rStyle w:val="InstructionsTabelleberschrift"/>
                <w:rFonts w:ascii="Times New Roman" w:hAnsi="Times New Roman"/>
                <w:b w:val="0"/>
                <w:sz w:val="24"/>
                <w:u w:val="none"/>
              </w:rPr>
            </w:pPr>
            <w:r w:rsidRPr="00D51A68">
              <w:rPr>
                <w:rStyle w:val="InstructionsTabelleberschrift"/>
                <w:rFonts w:ascii="Times New Roman" w:hAnsi="Times New Roman"/>
                <w:b w:val="0"/>
                <w:sz w:val="24"/>
                <w:u w:val="none"/>
              </w:rPr>
              <w:t>Articolo 468 del CRR.</w:t>
            </w:r>
          </w:p>
        </w:tc>
      </w:tr>
      <w:tr w:rsidR="002648B0" w:rsidRPr="00D51A68" w:rsidTr="00672D2A">
        <w:tc>
          <w:tcPr>
            <w:tcW w:w="1012" w:type="dxa"/>
          </w:tcPr>
          <w:p w:rsidR="002648B0" w:rsidRPr="00D51A68" w:rsidRDefault="002648B0"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140</w:t>
            </w:r>
          </w:p>
        </w:tc>
        <w:tc>
          <w:tcPr>
            <w:tcW w:w="7478" w:type="dxa"/>
          </w:tcPr>
          <w:p w:rsidR="005643EA" w:rsidRPr="00D51A68" w:rsidRDefault="002648B0" w:rsidP="00FC1A76">
            <w:pPr>
              <w:pStyle w:val="InstructionsText"/>
              <w:rPr>
                <w:rStyle w:val="InstructionsTabelleText"/>
                <w:rFonts w:ascii="Times New Roman" w:hAnsi="Times New Roman"/>
                <w:b/>
                <w:bCs/>
                <w:sz w:val="24"/>
                <w:u w:val="single"/>
              </w:rPr>
            </w:pPr>
            <w:r w:rsidRPr="00D51A68">
              <w:rPr>
                <w:rStyle w:val="InstructionsTabelleberschrift"/>
                <w:rFonts w:ascii="Times New Roman" w:hAnsi="Times New Roman"/>
                <w:sz w:val="24"/>
              </w:rPr>
              <w:t>1.3.2</w:t>
            </w:r>
            <w:r w:rsidR="00A0772B" w:rsidRPr="00D51A68">
              <w:rPr>
                <w:u w:val="single"/>
              </w:rPr>
              <w:tab/>
            </w:r>
            <w:r w:rsidRPr="00D51A68">
              <w:rPr>
                <w:rStyle w:val="InstructionsTabelleberschrift"/>
                <w:rFonts w:ascii="Times New Roman" w:hAnsi="Times New Roman"/>
                <w:sz w:val="24"/>
              </w:rPr>
              <w:t>Deduzioni</w:t>
            </w:r>
          </w:p>
          <w:p w:rsidR="002648B0" w:rsidRPr="00D51A68" w:rsidRDefault="002648B0" w:rsidP="007106FB">
            <w:pPr>
              <w:spacing w:before="0"/>
              <w:rPr>
                <w:rStyle w:val="InstructionsTabelleText"/>
                <w:rFonts w:ascii="Times New Roman" w:hAnsi="Times New Roman"/>
                <w:sz w:val="24"/>
              </w:rPr>
            </w:pPr>
            <w:r w:rsidRPr="00D51A68">
              <w:rPr>
                <w:rStyle w:val="InstructionsTabelleText"/>
                <w:rFonts w:ascii="Times New Roman" w:hAnsi="Times New Roman"/>
                <w:sz w:val="24"/>
              </w:rPr>
              <w:t>Articolo 36, paragrafo 1, e articoli da 469 a 478 del CRR.</w:t>
            </w:r>
          </w:p>
          <w:p w:rsidR="002648B0" w:rsidRPr="00D51A68" w:rsidRDefault="002648B0" w:rsidP="007106FB">
            <w:pPr>
              <w:spacing w:before="0"/>
              <w:rPr>
                <w:rStyle w:val="InstructionsTabelleText"/>
                <w:rFonts w:ascii="Times New Roman" w:hAnsi="Times New Roman"/>
                <w:sz w:val="24"/>
              </w:rPr>
            </w:pPr>
            <w:r w:rsidRPr="00D51A68">
              <w:rPr>
                <w:rStyle w:val="InstructionsTabelleText"/>
                <w:rFonts w:ascii="Times New Roman" w:hAnsi="Times New Roman"/>
                <w:sz w:val="24"/>
              </w:rPr>
              <w:t>Questa riga indica 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effetto complessivo delle disposizioni transitorie sulle deduzioni.</w:t>
            </w:r>
          </w:p>
        </w:tc>
      </w:tr>
      <w:tr w:rsidR="002648B0" w:rsidRPr="00D51A68" w:rsidTr="00672D2A">
        <w:tc>
          <w:tcPr>
            <w:tcW w:w="1012" w:type="dxa"/>
          </w:tcPr>
          <w:p w:rsidR="002648B0" w:rsidRPr="00D51A68" w:rsidDel="00E41E4F" w:rsidRDefault="002648B0"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150</w:t>
            </w:r>
          </w:p>
        </w:tc>
        <w:tc>
          <w:tcPr>
            <w:tcW w:w="7478" w:type="dxa"/>
          </w:tcPr>
          <w:p w:rsidR="005643EA" w:rsidRPr="00D51A68" w:rsidRDefault="002648B0" w:rsidP="00FC1A76">
            <w:pPr>
              <w:pStyle w:val="InstructionsText"/>
              <w:rPr>
                <w:rStyle w:val="InstructionsTabelleText"/>
                <w:rFonts w:ascii="Times New Roman" w:hAnsi="Times New Roman"/>
                <w:b/>
                <w:sz w:val="24"/>
                <w:u w:val="single"/>
              </w:rPr>
            </w:pPr>
            <w:r w:rsidRPr="00D51A68">
              <w:rPr>
                <w:rStyle w:val="InstructionsTabelleberschrift"/>
                <w:rFonts w:ascii="Times New Roman" w:hAnsi="Times New Roman"/>
                <w:sz w:val="24"/>
              </w:rPr>
              <w:t>1.3.2.1.</w:t>
            </w:r>
            <w:r w:rsidR="00A0772B" w:rsidRPr="00D51A68">
              <w:rPr>
                <w:u w:val="single"/>
              </w:rPr>
              <w:tab/>
            </w:r>
            <w:r w:rsidRPr="00D51A68">
              <w:rPr>
                <w:rStyle w:val="InstructionsTabelleberschrift"/>
                <w:rFonts w:ascii="Times New Roman" w:hAnsi="Times New Roman"/>
                <w:sz w:val="24"/>
              </w:rPr>
              <w:t>Perdite relative all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esercizio in corso</w:t>
            </w:r>
          </w:p>
          <w:p w:rsidR="005643EA" w:rsidRPr="00D51A68" w:rsidRDefault="002648B0" w:rsidP="00FC1A76">
            <w:pPr>
              <w:pStyle w:val="InstructionsText"/>
              <w:rPr>
                <w:rStyle w:val="InstructionsTabelleText"/>
                <w:rFonts w:ascii="Times New Roman" w:hAnsi="Times New Roman"/>
                <w:bCs/>
                <w:sz w:val="24"/>
              </w:rPr>
            </w:pPr>
            <w:r w:rsidRPr="00D51A68">
              <w:rPr>
                <w:rStyle w:val="InstructionsTabelleText"/>
                <w:rFonts w:ascii="Times New Roman" w:hAnsi="Times New Roman"/>
                <w:sz w:val="24"/>
              </w:rPr>
              <w:t>Articolo 36, paragrafo 1, lettera a), articolo 469, paragrafo 1, articolo 472, paragrafo 3, e articolo 478 del CRR.</w:t>
            </w:r>
          </w:p>
          <w:p w:rsidR="005643EA" w:rsidRPr="00D51A68" w:rsidRDefault="002648B0" w:rsidP="00FC1A76">
            <w:pPr>
              <w:pStyle w:val="InstructionsText"/>
              <w:rPr>
                <w:rStyle w:val="InstructionsTabelleText"/>
                <w:rFonts w:ascii="Times New Roman" w:hAnsi="Times New Roman"/>
                <w:bCs/>
                <w:sz w:val="24"/>
              </w:rPr>
            </w:pPr>
            <w:r w:rsidRPr="00D51A68">
              <w:rPr>
                <w:rStyle w:val="InstructionsTabelleText"/>
                <w:rFonts w:ascii="Times New Roman" w:hAnsi="Times New Roman"/>
                <w:sz w:val="24"/>
              </w:rPr>
              <w:t>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importo da segnalare nella colonna 060 di questa riga è la deduzione originaria conformemente all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articolo 36, paragrafo 1, lettera a), del CRR.</w:t>
            </w:r>
          </w:p>
          <w:p w:rsidR="005643EA" w:rsidRPr="00D51A68" w:rsidRDefault="002648B0" w:rsidP="00FC1A76">
            <w:pPr>
              <w:pStyle w:val="InstructionsText"/>
              <w:rPr>
                <w:rStyle w:val="InstructionsTabelleText"/>
                <w:rFonts w:ascii="Times New Roman" w:hAnsi="Times New Roman"/>
                <w:bCs/>
                <w:sz w:val="24"/>
              </w:rPr>
            </w:pPr>
            <w:r w:rsidRPr="00D51A68">
              <w:rPr>
                <w:rStyle w:val="InstructionsTabelleText"/>
                <w:rFonts w:ascii="Times New Roman" w:hAnsi="Times New Roman"/>
                <w:sz w:val="24"/>
              </w:rPr>
              <w:t>Se alle imprese è stato chiesto soltanto di dedurre le perdite significative:</w:t>
            </w:r>
          </w:p>
          <w:p w:rsidR="005643EA" w:rsidRPr="00D51A68" w:rsidRDefault="002648B0" w:rsidP="00FC1A76">
            <w:pPr>
              <w:pStyle w:val="InstructionsText"/>
              <w:rPr>
                <w:rStyle w:val="InstructionsTabelleText"/>
                <w:rFonts w:ascii="Times New Roman" w:hAnsi="Times New Roman"/>
                <w:bCs/>
                <w:sz w:val="24"/>
              </w:rPr>
            </w:pPr>
            <w:r w:rsidRPr="00D51A68">
              <w:rPr>
                <w:rStyle w:val="InstructionsTabelleText"/>
                <w:rFonts w:ascii="Times New Roman" w:hAnsi="Times New Roman"/>
                <w:sz w:val="24"/>
              </w:rPr>
              <w:t xml:space="preserve">• qualora la perdita netta provvisoria complessiva sia </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significativa</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 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intero importo residuo è dedotto dal capitale di classe 1;</w:t>
            </w:r>
          </w:p>
          <w:p w:rsidR="005643EA" w:rsidRPr="00D51A68" w:rsidRDefault="002648B0" w:rsidP="00FC1A76">
            <w:pPr>
              <w:pStyle w:val="InstructionsText"/>
              <w:rPr>
                <w:rStyle w:val="InstructionsTabelleText"/>
                <w:rFonts w:ascii="Times New Roman" w:hAnsi="Times New Roman"/>
                <w:bCs/>
                <w:sz w:val="24"/>
              </w:rPr>
            </w:pPr>
            <w:r w:rsidRPr="00D51A68">
              <w:rPr>
                <w:rStyle w:val="InstructionsTabelleText"/>
                <w:rFonts w:ascii="Times New Roman" w:hAnsi="Times New Roman"/>
                <w:sz w:val="24"/>
              </w:rPr>
              <w:t xml:space="preserve">• qualora, invece, la perdita netta provvisoria complessiva non sia </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significativa</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 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importo residuo non è dedotto.</w:t>
            </w:r>
          </w:p>
        </w:tc>
      </w:tr>
      <w:tr w:rsidR="002648B0" w:rsidRPr="00D51A68" w:rsidTr="00672D2A">
        <w:tc>
          <w:tcPr>
            <w:tcW w:w="1012" w:type="dxa"/>
          </w:tcPr>
          <w:p w:rsidR="002648B0" w:rsidRPr="00D51A68" w:rsidDel="00E41E4F" w:rsidRDefault="002648B0"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lastRenderedPageBreak/>
              <w:t>160</w:t>
            </w:r>
          </w:p>
        </w:tc>
        <w:tc>
          <w:tcPr>
            <w:tcW w:w="7478" w:type="dxa"/>
          </w:tcPr>
          <w:p w:rsidR="005643EA" w:rsidRPr="00D51A68" w:rsidRDefault="002648B0"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1.3.2.2.</w:t>
            </w:r>
            <w:r w:rsidR="00A0772B" w:rsidRPr="00D51A68">
              <w:rPr>
                <w:u w:val="single"/>
              </w:rPr>
              <w:tab/>
            </w:r>
            <w:r w:rsidRPr="00D51A68">
              <w:rPr>
                <w:rStyle w:val="InstructionsTabelleberschrift"/>
                <w:rFonts w:ascii="Times New Roman" w:hAnsi="Times New Roman"/>
                <w:sz w:val="24"/>
              </w:rPr>
              <w:t>Attività immateriali</w:t>
            </w:r>
          </w:p>
          <w:p w:rsidR="005643EA" w:rsidRPr="00D51A68" w:rsidRDefault="002648B0"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Articolo 36, paragrafo 1, lettera b), articolo 469, paragrafo 1, articolo 472, paragrafo 4, e articolo 478 del CRR.</w:t>
            </w:r>
          </w:p>
          <w:p w:rsidR="005643EA" w:rsidRPr="00D51A68" w:rsidRDefault="002648B0"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Per stabilire 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importo delle attività immateriali da dedurre 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ente tiene conto delle disposizioni dell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articolo 37 del CRR.</w:t>
            </w:r>
          </w:p>
          <w:p w:rsidR="005643EA" w:rsidRPr="00D51A68" w:rsidRDefault="002648B0"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importo da segnalare nella colonna 060 di questa riga è la deduzione originaria conformemente all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articolo 36, paragrafo 1, lettera b), del CRR.</w:t>
            </w:r>
          </w:p>
        </w:tc>
      </w:tr>
      <w:tr w:rsidR="002648B0" w:rsidRPr="00D51A68" w:rsidTr="00672D2A">
        <w:tc>
          <w:tcPr>
            <w:tcW w:w="1012" w:type="dxa"/>
          </w:tcPr>
          <w:p w:rsidR="002648B0" w:rsidRPr="00D51A68" w:rsidRDefault="002648B0"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170</w:t>
            </w:r>
          </w:p>
          <w:p w:rsidR="005643EA" w:rsidRPr="00D51A68" w:rsidRDefault="005643EA" w:rsidP="00FC1A76">
            <w:pPr>
              <w:pStyle w:val="InstructionsText"/>
              <w:rPr>
                <w:rStyle w:val="InstructionsTabelleText"/>
                <w:rFonts w:ascii="Times New Roman" w:hAnsi="Times New Roman"/>
                <w:sz w:val="24"/>
              </w:rPr>
            </w:pPr>
          </w:p>
        </w:tc>
        <w:tc>
          <w:tcPr>
            <w:tcW w:w="7478" w:type="dxa"/>
          </w:tcPr>
          <w:p w:rsidR="005643EA" w:rsidRPr="00D51A68" w:rsidRDefault="002648B0"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1.3.2.3.</w:t>
            </w:r>
            <w:r w:rsidR="00A0772B" w:rsidRPr="00D51A68">
              <w:rPr>
                <w:u w:val="single"/>
              </w:rPr>
              <w:tab/>
            </w:r>
            <w:r w:rsidRPr="00D51A68">
              <w:rPr>
                <w:rStyle w:val="InstructionsTabelleberschrift"/>
                <w:rFonts w:ascii="Times New Roman" w:hAnsi="Times New Roman"/>
                <w:sz w:val="24"/>
              </w:rPr>
              <w:t>Attività fiscali differite che si basano sulla redditività futura e non derivano da differenze temporanee</w:t>
            </w:r>
          </w:p>
          <w:p w:rsidR="005643EA" w:rsidRPr="00D51A68" w:rsidRDefault="002648B0"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Articolo 36, paragrafo 1, lettera c), articolo 469, paragrafo 1, articolo 472, paragrafo 5, e articolo 478 del CRR.</w:t>
            </w:r>
          </w:p>
          <w:p w:rsidR="005643EA" w:rsidRPr="00D51A68" w:rsidRDefault="002648B0"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Per stabilire 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importo delle succitate attività fiscali differite da dedurre 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ente tiene conto delle disposizioni dell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articolo 38 del CRR relative alla riduzione di tali attività per effetto delle passività fiscali differite.</w:t>
            </w:r>
          </w:p>
          <w:p w:rsidR="005643EA" w:rsidRPr="00D51A68" w:rsidRDefault="002648B0"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importo da segnalare nella colonna 060 di questa riga è 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importo complessivo di cui all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articolo 469, paragrafo 1, del CRR.</w:t>
            </w:r>
          </w:p>
        </w:tc>
      </w:tr>
      <w:tr w:rsidR="002648B0" w:rsidRPr="00D51A68" w:rsidTr="00672D2A">
        <w:tc>
          <w:tcPr>
            <w:tcW w:w="1012" w:type="dxa"/>
          </w:tcPr>
          <w:p w:rsidR="002648B0" w:rsidRPr="00D51A68" w:rsidRDefault="002648B0"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180</w:t>
            </w:r>
          </w:p>
          <w:p w:rsidR="005643EA" w:rsidRPr="00D51A68" w:rsidRDefault="005643EA" w:rsidP="00FC1A76">
            <w:pPr>
              <w:pStyle w:val="InstructionsText"/>
              <w:rPr>
                <w:rStyle w:val="InstructionsTabelleText"/>
                <w:rFonts w:ascii="Times New Roman" w:hAnsi="Times New Roman"/>
                <w:sz w:val="24"/>
              </w:rPr>
            </w:pPr>
          </w:p>
        </w:tc>
        <w:tc>
          <w:tcPr>
            <w:tcW w:w="7478" w:type="dxa"/>
          </w:tcPr>
          <w:p w:rsidR="005643EA" w:rsidRPr="00D51A68" w:rsidRDefault="002648B0"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1.3.2.4.</w:t>
            </w:r>
            <w:r w:rsidR="00A0772B" w:rsidRPr="00D51A68">
              <w:rPr>
                <w:u w:val="single"/>
              </w:rPr>
              <w:tab/>
            </w:r>
            <w:r w:rsidRPr="00D51A68">
              <w:rPr>
                <w:rStyle w:val="InstructionsTabelleberschrift"/>
                <w:rFonts w:ascii="Times New Roman" w:hAnsi="Times New Roman"/>
                <w:sz w:val="24"/>
              </w:rPr>
              <w:t>Carenza di accantonamenti rispetto alle perdite attese in base al metodo IRB</w:t>
            </w:r>
          </w:p>
          <w:p w:rsidR="005643EA" w:rsidRPr="00D51A68" w:rsidRDefault="002648B0"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Articolo 36, paragrafo 1, lettera d), articolo 469, paragrafo 1, articolo 472, paragrafo 6, e articolo 478 del CRR.</w:t>
            </w:r>
          </w:p>
          <w:p w:rsidR="005643EA" w:rsidRPr="00D51A68" w:rsidRDefault="002648B0"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Per stabilire della carenza di accantonamenti rispetto alle perdite attese in base al metodo IRB da dedurre, 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ente tiene conto delle disposizioni dell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articolo 40 del CRR.</w:t>
            </w:r>
          </w:p>
          <w:p w:rsidR="005643EA" w:rsidRPr="00D51A68" w:rsidRDefault="002648B0"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importo da segnalare nella colonna 060 di questa riga è la deduzione originaria conformemente all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articolo 36, paragrafo 1, lettera d), del CRR.</w:t>
            </w:r>
          </w:p>
        </w:tc>
      </w:tr>
      <w:tr w:rsidR="002648B0" w:rsidRPr="00D51A68" w:rsidTr="00672D2A">
        <w:tc>
          <w:tcPr>
            <w:tcW w:w="1012" w:type="dxa"/>
          </w:tcPr>
          <w:p w:rsidR="002648B0" w:rsidRPr="00D51A68" w:rsidDel="00E41E4F" w:rsidRDefault="002648B0"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190</w:t>
            </w:r>
          </w:p>
        </w:tc>
        <w:tc>
          <w:tcPr>
            <w:tcW w:w="7478" w:type="dxa"/>
          </w:tcPr>
          <w:p w:rsidR="005643EA" w:rsidRPr="00D51A68" w:rsidRDefault="002648B0"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1.3.2.5.</w:t>
            </w:r>
            <w:r w:rsidR="00A0772B" w:rsidRPr="00D51A68">
              <w:rPr>
                <w:u w:val="single"/>
              </w:rPr>
              <w:tab/>
            </w:r>
            <w:r w:rsidRPr="00D51A68">
              <w:rPr>
                <w:rStyle w:val="InstructionsTabelleberschrift"/>
                <w:rFonts w:ascii="Times New Roman" w:hAnsi="Times New Roman"/>
                <w:sz w:val="24"/>
              </w:rPr>
              <w:t>Attività dei fondi pensione a prestazioni definite</w:t>
            </w:r>
          </w:p>
          <w:p w:rsidR="005643EA" w:rsidRPr="00D51A68" w:rsidRDefault="002648B0"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Articolo 33, paragrafo 1, lettera e), articolo 469, paragrafo 1, articolo 472, paragrafo 7, e articoli 473 e 478 del CRR.</w:t>
            </w:r>
          </w:p>
          <w:p w:rsidR="005643EA" w:rsidRPr="00D51A68" w:rsidRDefault="002648B0"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Per stabilire 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importo delle attività dei succitati fondi pensione a prestazioni definite da dedurre 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ente tiene conto delle disposizioni dell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articolo 41 del CRR.</w:t>
            </w:r>
          </w:p>
          <w:p w:rsidR="005643EA" w:rsidRPr="00D51A68" w:rsidRDefault="002648B0"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importo da segnalare nella colonna 060 di questa riga è la deduzione originaria conformemente all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articolo 36, paragrafo 1, lettera e), del CRR.</w:t>
            </w:r>
          </w:p>
        </w:tc>
      </w:tr>
      <w:tr w:rsidR="00B11D0D" w:rsidRPr="00D51A68" w:rsidTr="00672D2A">
        <w:tc>
          <w:tcPr>
            <w:tcW w:w="1012" w:type="dxa"/>
          </w:tcPr>
          <w:p w:rsidR="00B11D0D" w:rsidRPr="00D51A68" w:rsidRDefault="00B11D0D"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194</w:t>
            </w:r>
          </w:p>
        </w:tc>
        <w:tc>
          <w:tcPr>
            <w:tcW w:w="7478" w:type="dxa"/>
          </w:tcPr>
          <w:p w:rsidR="00B11D0D" w:rsidRPr="00D51A68" w:rsidRDefault="00B11D0D"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1.3.2.5.*</w:t>
            </w:r>
            <w:r w:rsidR="00A0772B" w:rsidRPr="00D51A68">
              <w:rPr>
                <w:u w:val="single"/>
              </w:rPr>
              <w:tab/>
            </w:r>
            <w:r w:rsidRPr="00D51A68">
              <w:rPr>
                <w:rStyle w:val="InstructionsTabelleberschrift"/>
                <w:rFonts w:ascii="Times New Roman" w:hAnsi="Times New Roman"/>
                <w:sz w:val="24"/>
              </w:rPr>
              <w:t>di cui: introduzione di modifiche allo IAS 19 — elemento positivo</w:t>
            </w:r>
          </w:p>
          <w:p w:rsidR="00B11D0D" w:rsidRPr="00D51A68" w:rsidRDefault="00201704" w:rsidP="00FC1A76">
            <w:pPr>
              <w:pStyle w:val="InstructionsText"/>
              <w:rPr>
                <w:rStyle w:val="InstructionsTabelleberschrift"/>
                <w:rFonts w:ascii="Times New Roman" w:hAnsi="Times New Roman"/>
                <w:b w:val="0"/>
                <w:bCs w:val="0"/>
                <w:sz w:val="24"/>
                <w:u w:val="none"/>
              </w:rPr>
            </w:pPr>
            <w:r w:rsidRPr="00D51A68">
              <w:rPr>
                <w:rStyle w:val="InstructionsTabelleText"/>
                <w:rFonts w:ascii="Times New Roman" w:hAnsi="Times New Roman"/>
                <w:sz w:val="24"/>
              </w:rPr>
              <w:t>Articolo 473 del CRR.</w:t>
            </w:r>
          </w:p>
        </w:tc>
      </w:tr>
      <w:tr w:rsidR="00A60195" w:rsidRPr="00D51A68" w:rsidTr="00672D2A">
        <w:tc>
          <w:tcPr>
            <w:tcW w:w="1012" w:type="dxa"/>
          </w:tcPr>
          <w:p w:rsidR="00A60195" w:rsidRPr="00D51A68" w:rsidRDefault="00A60195"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198</w:t>
            </w:r>
          </w:p>
        </w:tc>
        <w:tc>
          <w:tcPr>
            <w:tcW w:w="7478" w:type="dxa"/>
          </w:tcPr>
          <w:p w:rsidR="00A60195" w:rsidRPr="00D51A68" w:rsidRDefault="00A60195"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1.3.2.5.**</w:t>
            </w:r>
            <w:r w:rsidR="00A0772B" w:rsidRPr="00D51A68">
              <w:rPr>
                <w:u w:val="single"/>
              </w:rPr>
              <w:tab/>
            </w:r>
            <w:r w:rsidRPr="00D51A68">
              <w:rPr>
                <w:rStyle w:val="InstructionsTabelleberschrift"/>
                <w:rFonts w:ascii="Times New Roman" w:hAnsi="Times New Roman"/>
                <w:sz w:val="24"/>
              </w:rPr>
              <w:t>di cui: introduzione di modifiche allo IAS 19 — elemento negativo</w:t>
            </w:r>
          </w:p>
          <w:p w:rsidR="00A60195" w:rsidRPr="00D51A68" w:rsidRDefault="00201704" w:rsidP="00FC1A76">
            <w:pPr>
              <w:pStyle w:val="InstructionsText"/>
              <w:rPr>
                <w:rStyle w:val="InstructionsTabelleberschrift"/>
                <w:rFonts w:ascii="Times New Roman" w:hAnsi="Times New Roman"/>
                <w:b w:val="0"/>
                <w:bCs w:val="0"/>
                <w:sz w:val="24"/>
                <w:u w:val="none"/>
              </w:rPr>
            </w:pPr>
            <w:r w:rsidRPr="00D51A68">
              <w:rPr>
                <w:rStyle w:val="InstructionsTabelleText"/>
                <w:rFonts w:ascii="Times New Roman" w:hAnsi="Times New Roman"/>
                <w:sz w:val="24"/>
              </w:rPr>
              <w:t>Articolo 473 del CRR.</w:t>
            </w:r>
          </w:p>
        </w:tc>
      </w:tr>
      <w:tr w:rsidR="00A60195" w:rsidRPr="00D51A68" w:rsidTr="00672D2A">
        <w:tc>
          <w:tcPr>
            <w:tcW w:w="1012" w:type="dxa"/>
          </w:tcPr>
          <w:p w:rsidR="00A60195" w:rsidRPr="00D51A68" w:rsidDel="00E41E4F" w:rsidRDefault="00A60195"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200</w:t>
            </w:r>
          </w:p>
        </w:tc>
        <w:tc>
          <w:tcPr>
            <w:tcW w:w="7478" w:type="dxa"/>
          </w:tcPr>
          <w:p w:rsidR="00A60195" w:rsidRPr="00D51A68" w:rsidRDefault="00A60195"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1.3.2.6.</w:t>
            </w:r>
            <w:r w:rsidR="00A0772B" w:rsidRPr="00D51A68">
              <w:rPr>
                <w:u w:val="single"/>
              </w:rPr>
              <w:tab/>
            </w:r>
            <w:r w:rsidRPr="00D51A68">
              <w:rPr>
                <w:rStyle w:val="InstructionsTabelleberschrift"/>
                <w:rFonts w:ascii="Times New Roman" w:hAnsi="Times New Roman"/>
                <w:sz w:val="24"/>
              </w:rPr>
              <w:t>Strumenti propri</w:t>
            </w:r>
          </w:p>
          <w:p w:rsidR="00A60195" w:rsidRPr="00D51A68" w:rsidRDefault="00A60195"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 xml:space="preserve">Articolo 36, paragrafo 1, lettera f), articolo 469, paragrafo 1, articolo 472, </w:t>
            </w:r>
            <w:r w:rsidRPr="00D51A68">
              <w:rPr>
                <w:rStyle w:val="InstructionsTabelleText"/>
                <w:rFonts w:ascii="Times New Roman" w:hAnsi="Times New Roman"/>
                <w:sz w:val="24"/>
              </w:rPr>
              <w:lastRenderedPageBreak/>
              <w:t>paragrafo 8, e articolo 478 del CRR.</w:t>
            </w:r>
          </w:p>
          <w:p w:rsidR="00A60195" w:rsidRPr="00D51A68" w:rsidRDefault="00A60195"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importo da segnalare nella colonna 060 di questa riga è la deduzione originaria conformemente all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articolo 36, paragrafo 1, lettera f), del CRR.</w:t>
            </w:r>
          </w:p>
        </w:tc>
      </w:tr>
      <w:tr w:rsidR="00A60195" w:rsidRPr="00D51A68" w:rsidTr="00672D2A">
        <w:tc>
          <w:tcPr>
            <w:tcW w:w="1012" w:type="dxa"/>
          </w:tcPr>
          <w:p w:rsidR="00A60195" w:rsidRPr="00D51A68" w:rsidRDefault="00A60195"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lastRenderedPageBreak/>
              <w:t>210</w:t>
            </w:r>
          </w:p>
          <w:p w:rsidR="00A60195" w:rsidRPr="00D51A68" w:rsidRDefault="00A60195" w:rsidP="00FC1A76">
            <w:pPr>
              <w:pStyle w:val="InstructionsText"/>
              <w:rPr>
                <w:rStyle w:val="InstructionsTabelleText"/>
                <w:rFonts w:ascii="Times New Roman" w:hAnsi="Times New Roman"/>
                <w:sz w:val="24"/>
              </w:rPr>
            </w:pPr>
          </w:p>
        </w:tc>
        <w:tc>
          <w:tcPr>
            <w:tcW w:w="7478" w:type="dxa"/>
          </w:tcPr>
          <w:p w:rsidR="00A60195" w:rsidRPr="00D51A68" w:rsidRDefault="00201704"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1.3.2.6.1</w:t>
            </w:r>
            <w:r w:rsidR="00A0772B" w:rsidRPr="00D51A68">
              <w:rPr>
                <w:u w:val="single"/>
              </w:rPr>
              <w:tab/>
            </w:r>
            <w:r w:rsidRPr="00D51A68">
              <w:rPr>
                <w:rStyle w:val="InstructionsTabelleberschrift"/>
                <w:rFonts w:ascii="Times New Roman" w:hAnsi="Times New Roman"/>
                <w:sz w:val="24"/>
              </w:rPr>
              <w:t>Strumenti propri di capitale primario di classe 1</w:t>
            </w:r>
          </w:p>
          <w:p w:rsidR="00A60195" w:rsidRPr="00D51A68" w:rsidRDefault="00A60195"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Articolo 36, paragrafo 1, lettera f), articolo 469, paragrafo 1, articolo 472, paragrafo 8, e articolo 478 del CRR.</w:t>
            </w:r>
          </w:p>
          <w:p w:rsidR="00A60195" w:rsidRPr="00D51A68" w:rsidRDefault="00A60195"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Per stabilire 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importo dei succitati strumenti propri di capitale primario di classe 1 da dedurre 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ente tiene conto delle disposizioni dell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articolo 42 del CRR.</w:t>
            </w:r>
          </w:p>
          <w:p w:rsidR="00A60195" w:rsidRPr="00D51A68" w:rsidRDefault="00A60195"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Poiché il trattamento dell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importo residuo</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 xml:space="preserve"> varia a seconda della natura dello strumento, 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 xml:space="preserve">ente ripartisce le partecipazioni in strumenti propri di capitale primario distinguendo tra strumenti </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detenuti direttamente</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 xml:space="preserve"> e </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detenuti indirettamente</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w:t>
            </w:r>
          </w:p>
          <w:p w:rsidR="00A60195" w:rsidRPr="00D51A68" w:rsidRDefault="00A60195"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importo da segnalare nella colonna 060 di questa riga è la deduzione originaria conformemente all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articolo 36, paragrafo 1, lettera f), del CRR.</w:t>
            </w:r>
          </w:p>
        </w:tc>
      </w:tr>
      <w:tr w:rsidR="00A60195" w:rsidRPr="00D51A68" w:rsidTr="00672D2A">
        <w:tc>
          <w:tcPr>
            <w:tcW w:w="1012" w:type="dxa"/>
          </w:tcPr>
          <w:p w:rsidR="00A60195" w:rsidRPr="00D51A68" w:rsidDel="00E41E4F" w:rsidRDefault="00A60195"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211</w:t>
            </w:r>
          </w:p>
        </w:tc>
        <w:tc>
          <w:tcPr>
            <w:tcW w:w="7478" w:type="dxa"/>
          </w:tcPr>
          <w:p w:rsidR="00213E0E" w:rsidRPr="00D51A68" w:rsidRDefault="008A1A1E" w:rsidP="00FC1A76">
            <w:pPr>
              <w:pStyle w:val="InstructionsText"/>
              <w:rPr>
                <w:rStyle w:val="InstructionsTabelleText"/>
                <w:rFonts w:ascii="Times New Roman" w:hAnsi="Times New Roman"/>
                <w:b/>
                <w:bCs/>
                <w:sz w:val="24"/>
                <w:u w:val="single"/>
              </w:rPr>
            </w:pPr>
            <w:r w:rsidRPr="00D51A68">
              <w:rPr>
                <w:rStyle w:val="InstructionsTabelleberschrift"/>
                <w:rFonts w:ascii="Times New Roman" w:hAnsi="Times New Roman"/>
                <w:sz w:val="24"/>
              </w:rPr>
              <w:t>1.3.2.6.1**</w:t>
            </w:r>
            <w:r w:rsidR="00A0772B" w:rsidRPr="00D51A68">
              <w:rPr>
                <w:u w:val="single"/>
              </w:rPr>
              <w:tab/>
            </w:r>
            <w:r w:rsidRPr="00D51A68">
              <w:rPr>
                <w:rStyle w:val="InstructionsTabelleberschrift"/>
                <w:rFonts w:ascii="Times New Roman" w:hAnsi="Times New Roman"/>
                <w:sz w:val="24"/>
              </w:rPr>
              <w:t>di cui: strumenti detenuti direttamente</w:t>
            </w:r>
          </w:p>
          <w:p w:rsidR="00213E0E" w:rsidRPr="00D51A68" w:rsidRDefault="00213E0E"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Articolo 469, paragrafo 1, lettera b), e articolo 472, paragrafo 8, lettera a), del CRR.</w:t>
            </w:r>
          </w:p>
          <w:p w:rsidR="00A60195" w:rsidRPr="00D51A68" w:rsidRDefault="00A60195"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importo da segnalare nella colonna 060 di questa riga è 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importo complessivo delle partecipazioni dirette, compresi gli strumenti che 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ente potrebbe essere obbligato ad acquistare in virtù di un</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 xml:space="preserve">obbligazione contrattuale esistente o potenziale. </w:t>
            </w:r>
          </w:p>
        </w:tc>
      </w:tr>
      <w:tr w:rsidR="00A60195" w:rsidRPr="00D51A68" w:rsidTr="00672D2A">
        <w:tc>
          <w:tcPr>
            <w:tcW w:w="1012" w:type="dxa"/>
          </w:tcPr>
          <w:p w:rsidR="00A60195" w:rsidRPr="00D51A68" w:rsidDel="00E41E4F" w:rsidRDefault="00A60195"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212</w:t>
            </w:r>
          </w:p>
        </w:tc>
        <w:tc>
          <w:tcPr>
            <w:tcW w:w="7478" w:type="dxa"/>
          </w:tcPr>
          <w:p w:rsidR="00A60195" w:rsidRPr="00D51A68" w:rsidRDefault="008A1A1E"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1.3.2.6.1*</w:t>
            </w:r>
            <w:r w:rsidR="00A0772B" w:rsidRPr="00D51A68">
              <w:rPr>
                <w:u w:val="single"/>
              </w:rPr>
              <w:tab/>
            </w:r>
            <w:r w:rsidRPr="00D51A68">
              <w:rPr>
                <w:rStyle w:val="InstructionsTabelleberschrift"/>
                <w:rFonts w:ascii="Times New Roman" w:hAnsi="Times New Roman"/>
                <w:sz w:val="24"/>
              </w:rPr>
              <w:t>di cui: strumenti detenuti indirettamente</w:t>
            </w:r>
          </w:p>
          <w:p w:rsidR="00213E0E" w:rsidRPr="00D51A68" w:rsidRDefault="00213E0E"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Articolo 469, paragrafo 1, lettera b), e articolo 472, paragrafo 8, lettera b), del CRR.</w:t>
            </w:r>
          </w:p>
          <w:p w:rsidR="00A60195" w:rsidRPr="00D51A68" w:rsidRDefault="00A60195" w:rsidP="00FC1A76">
            <w:pPr>
              <w:pStyle w:val="InstructionsText"/>
              <w:rPr>
                <w:rStyle w:val="InstructionsTabelleberschrift"/>
                <w:rFonts w:ascii="Times New Roman" w:hAnsi="Times New Roman"/>
                <w:b w:val="0"/>
                <w:bCs w:val="0"/>
                <w:sz w:val="24"/>
                <w:u w:val="none"/>
              </w:rPr>
            </w:pPr>
            <w:r w:rsidRPr="00D51A68">
              <w:rPr>
                <w:rStyle w:val="InstructionsTabelleText"/>
                <w:rFonts w:ascii="Times New Roman" w:hAnsi="Times New Roman"/>
                <w:sz w:val="24"/>
              </w:rPr>
              <w:t>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importo da segnalare nella colonna 060 di questa riga è 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importo complessivo delle partecipazioni indirette, compresi gli strumenti che 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ente potrebbe essere obbligato ad acquistare in virtù di un</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obbligazione contrattuale esistente o potenziale.</w:t>
            </w:r>
          </w:p>
        </w:tc>
      </w:tr>
      <w:tr w:rsidR="00A60195" w:rsidRPr="00D51A68" w:rsidTr="00672D2A">
        <w:tc>
          <w:tcPr>
            <w:tcW w:w="1012" w:type="dxa"/>
          </w:tcPr>
          <w:p w:rsidR="00A60195" w:rsidRPr="00D51A68" w:rsidDel="00E41E4F" w:rsidRDefault="00A60195"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220</w:t>
            </w:r>
          </w:p>
        </w:tc>
        <w:tc>
          <w:tcPr>
            <w:tcW w:w="7478" w:type="dxa"/>
          </w:tcPr>
          <w:p w:rsidR="00A60195" w:rsidRPr="00D51A68" w:rsidRDefault="00201704"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1.3.2.6.2</w:t>
            </w:r>
            <w:r w:rsidR="00A0772B" w:rsidRPr="00D51A68">
              <w:rPr>
                <w:u w:val="single"/>
              </w:rPr>
              <w:tab/>
            </w:r>
            <w:r w:rsidRPr="00D51A68">
              <w:rPr>
                <w:rStyle w:val="InstructionsTabelleberschrift"/>
                <w:rFonts w:ascii="Times New Roman" w:hAnsi="Times New Roman"/>
                <w:sz w:val="24"/>
              </w:rPr>
              <w:t>Strumenti propri di capitale aggiuntivo di classe 1</w:t>
            </w:r>
          </w:p>
          <w:p w:rsidR="00A60195" w:rsidRPr="00D51A68" w:rsidRDefault="00A60195"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Articolo 56, lettera a), articolo 474, articolo 475, paragrafo 2</w:t>
            </w:r>
            <w:r w:rsidR="00FE3E1C" w:rsidRPr="00D51A68">
              <w:rPr>
                <w:rStyle w:val="InstructionsTabelleText"/>
                <w:rFonts w:ascii="Times New Roman" w:hAnsi="Times New Roman"/>
                <w:sz w:val="24"/>
              </w:rPr>
              <w:t>, e articolo </w:t>
            </w:r>
            <w:r w:rsidRPr="00D51A68">
              <w:rPr>
                <w:rStyle w:val="InstructionsTabelleText"/>
                <w:rFonts w:ascii="Times New Roman" w:hAnsi="Times New Roman"/>
                <w:sz w:val="24"/>
              </w:rPr>
              <w:t>478 del CRR.</w:t>
            </w:r>
          </w:p>
          <w:p w:rsidR="00A60195" w:rsidRPr="00D51A68" w:rsidRDefault="00A60195"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Per stabilire 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importo delle succitate partecipazioni da dedurre 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ente tiene conto delle disposizioni dell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articolo 57 del CRR.</w:t>
            </w:r>
          </w:p>
          <w:p w:rsidR="00A60195" w:rsidRPr="00D51A68" w:rsidRDefault="00A60195"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Poiché il trattamento dell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importo residuo</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 xml:space="preserve"> varia a seconda della natura dello strumento (articolo 475, paragrafo 2, del CRR), 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 xml:space="preserve">ente ripartisce le succitate partecipazioni distinguendo tra strumenti propri di capitale aggiuntivo di classe 1 </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detenuti direttamente</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 xml:space="preserve"> e </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detenuti indirettamente</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w:t>
            </w:r>
          </w:p>
          <w:p w:rsidR="00A60195" w:rsidRPr="00D51A68" w:rsidRDefault="00A60195"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importo da segnalare nella colonna 060 di questa riga è la deduzione originaria conformemente all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articolo 56, lettera a), del CRR.</w:t>
            </w:r>
          </w:p>
        </w:tc>
      </w:tr>
      <w:tr w:rsidR="00A60195" w:rsidRPr="00D51A68" w:rsidTr="00672D2A">
        <w:tc>
          <w:tcPr>
            <w:tcW w:w="1012" w:type="dxa"/>
          </w:tcPr>
          <w:p w:rsidR="00A60195" w:rsidRPr="00D51A68" w:rsidDel="00E41E4F" w:rsidRDefault="00A60195"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221</w:t>
            </w:r>
          </w:p>
        </w:tc>
        <w:tc>
          <w:tcPr>
            <w:tcW w:w="7478" w:type="dxa"/>
          </w:tcPr>
          <w:p w:rsidR="00A60195" w:rsidRPr="00D51A68" w:rsidRDefault="008A1A1E"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1.3.2.6.2**</w:t>
            </w:r>
            <w:r w:rsidR="00A0772B" w:rsidRPr="00D51A68">
              <w:rPr>
                <w:u w:val="single"/>
              </w:rPr>
              <w:tab/>
            </w:r>
            <w:r w:rsidRPr="00D51A68">
              <w:rPr>
                <w:rStyle w:val="InstructionsTabelleberschrift"/>
                <w:rFonts w:ascii="Times New Roman" w:hAnsi="Times New Roman"/>
                <w:sz w:val="24"/>
              </w:rPr>
              <w:t>di cui: strumenti detenuti direttamente</w:t>
            </w:r>
          </w:p>
          <w:p w:rsidR="00A60195" w:rsidRPr="00D51A68" w:rsidRDefault="00A60195" w:rsidP="00FC1A76">
            <w:pPr>
              <w:pStyle w:val="InstructionsText"/>
              <w:rPr>
                <w:rStyle w:val="InstructionsTabelleberschrift"/>
                <w:rFonts w:ascii="Times New Roman" w:hAnsi="Times New Roman"/>
                <w:b w:val="0"/>
                <w:bCs w:val="0"/>
                <w:sz w:val="24"/>
                <w:u w:val="none"/>
              </w:rPr>
            </w:pPr>
            <w:r w:rsidRPr="00D51A68">
              <w:rPr>
                <w:rStyle w:val="InstructionsTabelleText"/>
                <w:rFonts w:ascii="Times New Roman" w:hAnsi="Times New Roman"/>
                <w:sz w:val="24"/>
              </w:rPr>
              <w:t>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importo da segnalare nella colonna 060 di questa riga è 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 xml:space="preserve">importo </w:t>
            </w:r>
            <w:r w:rsidRPr="00D51A68">
              <w:rPr>
                <w:rStyle w:val="InstructionsTabelleText"/>
                <w:rFonts w:ascii="Times New Roman" w:hAnsi="Times New Roman"/>
                <w:sz w:val="24"/>
              </w:rPr>
              <w:lastRenderedPageBreak/>
              <w:t>complessivo delle partecipazioni dirette, compresi gli strumenti che 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ente potrebbe essere obbligato ad acquistare in virtù di un</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obbligazione contrattuale esistente o potenziale, conformemente all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articolo 474</w:t>
            </w:r>
            <w:r w:rsidR="00FE3E1C" w:rsidRPr="00D51A68">
              <w:rPr>
                <w:rStyle w:val="InstructionsTabelleText"/>
                <w:rFonts w:ascii="Times New Roman" w:hAnsi="Times New Roman"/>
                <w:sz w:val="24"/>
              </w:rPr>
              <w:t>, lettera </w:t>
            </w:r>
            <w:r w:rsidRPr="00D51A68">
              <w:rPr>
                <w:rStyle w:val="InstructionsTabelleText"/>
                <w:rFonts w:ascii="Times New Roman" w:hAnsi="Times New Roman"/>
                <w:sz w:val="24"/>
              </w:rPr>
              <w:t>b), e all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articolo 475, paragrafo 2, lettera a), del CRR.</w:t>
            </w:r>
          </w:p>
        </w:tc>
      </w:tr>
      <w:tr w:rsidR="00A60195" w:rsidRPr="00D51A68" w:rsidTr="00672D2A">
        <w:tc>
          <w:tcPr>
            <w:tcW w:w="1012" w:type="dxa"/>
          </w:tcPr>
          <w:p w:rsidR="00A60195" w:rsidRPr="00D51A68" w:rsidDel="00E41E4F" w:rsidRDefault="00A60195"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lastRenderedPageBreak/>
              <w:t>222</w:t>
            </w:r>
          </w:p>
        </w:tc>
        <w:tc>
          <w:tcPr>
            <w:tcW w:w="7478" w:type="dxa"/>
          </w:tcPr>
          <w:p w:rsidR="00A60195" w:rsidRPr="00D51A68" w:rsidRDefault="008A1A1E"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1.3.2.6.2*</w:t>
            </w:r>
            <w:r w:rsidR="00A0772B" w:rsidRPr="00D51A68">
              <w:rPr>
                <w:u w:val="single"/>
              </w:rPr>
              <w:tab/>
            </w:r>
            <w:r w:rsidRPr="00D51A68">
              <w:rPr>
                <w:rStyle w:val="InstructionsTabelleberschrift"/>
                <w:rFonts w:ascii="Times New Roman" w:hAnsi="Times New Roman"/>
                <w:sz w:val="24"/>
              </w:rPr>
              <w:t>di cui: strumenti detenuti indirettamente</w:t>
            </w:r>
          </w:p>
          <w:p w:rsidR="00A60195" w:rsidRPr="00D51A68" w:rsidRDefault="00A60195" w:rsidP="00FC1A76">
            <w:pPr>
              <w:pStyle w:val="InstructionsText"/>
              <w:rPr>
                <w:rStyle w:val="InstructionsTabelleberschrift"/>
                <w:rFonts w:ascii="Times New Roman" w:hAnsi="Times New Roman"/>
                <w:b w:val="0"/>
                <w:bCs w:val="0"/>
                <w:sz w:val="24"/>
                <w:u w:val="none"/>
              </w:rPr>
            </w:pPr>
            <w:r w:rsidRPr="00D51A68">
              <w:rPr>
                <w:rStyle w:val="InstructionsTabelleText"/>
                <w:rFonts w:ascii="Times New Roman" w:hAnsi="Times New Roman"/>
                <w:sz w:val="24"/>
              </w:rPr>
              <w:t>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importo da segnalare nella colonna 060 di questa riga è 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importo complessivo delle partecipazioni indirette, compresi gli strumenti che 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ente potrebbe essere obbligato ad acquistare in virtù di un</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obbligazione contrattuale esistente o potenziale, conformemente all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articolo 474</w:t>
            </w:r>
            <w:r w:rsidR="00FE3E1C" w:rsidRPr="00D51A68">
              <w:rPr>
                <w:rStyle w:val="InstructionsTabelleText"/>
                <w:rFonts w:ascii="Times New Roman" w:hAnsi="Times New Roman"/>
                <w:sz w:val="24"/>
              </w:rPr>
              <w:t>, lettera </w:t>
            </w:r>
            <w:r w:rsidRPr="00D51A68">
              <w:rPr>
                <w:rStyle w:val="InstructionsTabelleText"/>
                <w:rFonts w:ascii="Times New Roman" w:hAnsi="Times New Roman"/>
                <w:sz w:val="24"/>
              </w:rPr>
              <w:t>b), e all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articolo 475, paragrafo 2, lettera b), del CRR.</w:t>
            </w:r>
          </w:p>
        </w:tc>
      </w:tr>
      <w:tr w:rsidR="00A60195" w:rsidRPr="00D51A68" w:rsidTr="00672D2A">
        <w:tc>
          <w:tcPr>
            <w:tcW w:w="1012" w:type="dxa"/>
          </w:tcPr>
          <w:p w:rsidR="00A60195" w:rsidRPr="00D51A68" w:rsidDel="00E41E4F" w:rsidRDefault="00A60195"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230</w:t>
            </w:r>
          </w:p>
        </w:tc>
        <w:tc>
          <w:tcPr>
            <w:tcW w:w="7478" w:type="dxa"/>
          </w:tcPr>
          <w:p w:rsidR="00A60195" w:rsidRPr="00D51A68" w:rsidRDefault="00201704"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1.3.2.6.3</w:t>
            </w:r>
            <w:r w:rsidR="00A0772B" w:rsidRPr="00D51A68">
              <w:rPr>
                <w:u w:val="single"/>
              </w:rPr>
              <w:tab/>
            </w:r>
            <w:r w:rsidRPr="00D51A68">
              <w:rPr>
                <w:rStyle w:val="InstructionsTabelleberschrift"/>
                <w:rFonts w:ascii="Times New Roman" w:hAnsi="Times New Roman"/>
                <w:sz w:val="24"/>
              </w:rPr>
              <w:t>Strumenti propri di capitale di classe 2</w:t>
            </w:r>
          </w:p>
          <w:p w:rsidR="00A60195" w:rsidRPr="00D51A68" w:rsidRDefault="00A60195"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Articolo 66, lettera a), articolo 476, articolo 477, paragrafo 2</w:t>
            </w:r>
            <w:r w:rsidR="00FE3E1C" w:rsidRPr="00D51A68">
              <w:rPr>
                <w:rStyle w:val="InstructionsTabelleText"/>
                <w:rFonts w:ascii="Times New Roman" w:hAnsi="Times New Roman"/>
                <w:sz w:val="24"/>
              </w:rPr>
              <w:t>, e articolo </w:t>
            </w:r>
            <w:r w:rsidRPr="00D51A68">
              <w:rPr>
                <w:rStyle w:val="InstructionsTabelleText"/>
                <w:rFonts w:ascii="Times New Roman" w:hAnsi="Times New Roman"/>
                <w:sz w:val="24"/>
              </w:rPr>
              <w:t>478 del CRR.</w:t>
            </w:r>
          </w:p>
          <w:p w:rsidR="00A60195" w:rsidRPr="00D51A68" w:rsidRDefault="00A60195"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Per stabilire 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importo delle partecipazioni da dedurre 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ente tiene conto delle disposizioni dell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articolo 67 del CRR.</w:t>
            </w:r>
          </w:p>
          <w:p w:rsidR="00A60195" w:rsidRPr="00D51A68" w:rsidRDefault="00A60195"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Poiché il trattamento dell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importo residuo</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 xml:space="preserve"> varia a seconda della natura dello strumento (articolo 477, paragrafo 2, del CRR), 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 xml:space="preserve">ente ripartisce le succitate partecipazioni distinguendo tra strumenti propri di capitale aggiuntivo di classe 2 </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detenuti direttamente</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 xml:space="preserve"> e </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detenuti indirettamente</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w:t>
            </w:r>
          </w:p>
          <w:p w:rsidR="00A60195" w:rsidRPr="00D51A68" w:rsidRDefault="00A60195"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importo da segnalare nella colonna 060 di questa riga è la deduzione originaria conformemente all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articolo 66, lettera a), del CRR.</w:t>
            </w:r>
          </w:p>
        </w:tc>
      </w:tr>
      <w:tr w:rsidR="00A60195" w:rsidRPr="00D51A68" w:rsidTr="00672D2A">
        <w:tc>
          <w:tcPr>
            <w:tcW w:w="1012" w:type="dxa"/>
          </w:tcPr>
          <w:p w:rsidR="00A60195" w:rsidRPr="00D51A68" w:rsidDel="00E41E4F" w:rsidRDefault="00A60195"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231</w:t>
            </w:r>
          </w:p>
        </w:tc>
        <w:tc>
          <w:tcPr>
            <w:tcW w:w="7478" w:type="dxa"/>
          </w:tcPr>
          <w:p w:rsidR="00A60195" w:rsidRPr="00D51A68" w:rsidRDefault="00201704"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di cui: strumenti detenuti direttamente</w:t>
            </w:r>
          </w:p>
          <w:p w:rsidR="00A60195" w:rsidRPr="00D51A68" w:rsidRDefault="00A60195" w:rsidP="00FE3E1C">
            <w:pPr>
              <w:pStyle w:val="InstructionsText"/>
              <w:rPr>
                <w:rStyle w:val="InstructionsTabelleberschrift"/>
                <w:rFonts w:ascii="Times New Roman" w:hAnsi="Times New Roman"/>
                <w:sz w:val="24"/>
              </w:rPr>
            </w:pPr>
            <w:r w:rsidRPr="00D51A68">
              <w:rPr>
                <w:rStyle w:val="InstructionsTabelleText"/>
                <w:rFonts w:ascii="Times New Roman" w:hAnsi="Times New Roman"/>
                <w:sz w:val="24"/>
              </w:rPr>
              <w:t>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importo da segnalare nella colonna 060 di questa riga è 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importo complessivo delle partecipazioni dirette, compresi gli strumenti che 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ente potrebbe essere obbligato ad acquistare in virtù di un</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obbligazione contrattuale esistente o potenziale, conformemente all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articolo</w:t>
            </w:r>
            <w:r w:rsidR="00FE3E1C" w:rsidRPr="00D51A68">
              <w:rPr>
                <w:rStyle w:val="InstructionsTabelleText"/>
                <w:rFonts w:ascii="Times New Roman" w:hAnsi="Times New Roman"/>
                <w:sz w:val="24"/>
              </w:rPr>
              <w:t> </w:t>
            </w:r>
            <w:r w:rsidRPr="00D51A68">
              <w:rPr>
                <w:rStyle w:val="InstructionsTabelleText"/>
                <w:rFonts w:ascii="Times New Roman" w:hAnsi="Times New Roman"/>
                <w:sz w:val="24"/>
              </w:rPr>
              <w:t>476</w:t>
            </w:r>
            <w:r w:rsidR="00FE3E1C" w:rsidRPr="00D51A68">
              <w:rPr>
                <w:rStyle w:val="InstructionsTabelleText"/>
                <w:rFonts w:ascii="Times New Roman" w:hAnsi="Times New Roman"/>
                <w:sz w:val="24"/>
              </w:rPr>
              <w:t>, lettera </w:t>
            </w:r>
            <w:r w:rsidRPr="00D51A68">
              <w:rPr>
                <w:rStyle w:val="InstructionsTabelleText"/>
                <w:rFonts w:ascii="Times New Roman" w:hAnsi="Times New Roman"/>
                <w:sz w:val="24"/>
              </w:rPr>
              <w:t>b), e all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articolo 477, paragrafo 2, lettera a), del CRR.</w:t>
            </w:r>
          </w:p>
        </w:tc>
      </w:tr>
      <w:tr w:rsidR="00A60195" w:rsidRPr="00D51A68" w:rsidTr="00672D2A">
        <w:tc>
          <w:tcPr>
            <w:tcW w:w="1012" w:type="dxa"/>
          </w:tcPr>
          <w:p w:rsidR="00A60195" w:rsidRPr="00D51A68" w:rsidRDefault="00A60195"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232</w:t>
            </w:r>
          </w:p>
          <w:p w:rsidR="00A60195" w:rsidRPr="00D51A68" w:rsidRDefault="00A60195" w:rsidP="00FC1A76">
            <w:pPr>
              <w:pStyle w:val="InstructionsText"/>
              <w:rPr>
                <w:rStyle w:val="InstructionsTabelleText"/>
                <w:rFonts w:ascii="Times New Roman" w:hAnsi="Times New Roman"/>
                <w:sz w:val="24"/>
              </w:rPr>
            </w:pPr>
          </w:p>
        </w:tc>
        <w:tc>
          <w:tcPr>
            <w:tcW w:w="7478" w:type="dxa"/>
          </w:tcPr>
          <w:p w:rsidR="00A60195" w:rsidRPr="00D51A68" w:rsidRDefault="00201704"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di cui: strumenti detenuti indirettamente</w:t>
            </w:r>
          </w:p>
          <w:p w:rsidR="00A60195" w:rsidRPr="00D51A68" w:rsidRDefault="00A60195" w:rsidP="00FE3E1C">
            <w:pPr>
              <w:pStyle w:val="InstructionsText"/>
              <w:rPr>
                <w:rStyle w:val="InstructionsTabelleberschrift"/>
                <w:rFonts w:ascii="Times New Roman" w:hAnsi="Times New Roman"/>
                <w:b w:val="0"/>
                <w:bCs w:val="0"/>
                <w:sz w:val="24"/>
                <w:u w:val="none"/>
              </w:rPr>
            </w:pPr>
            <w:r w:rsidRPr="00D51A68">
              <w:rPr>
                <w:rStyle w:val="InstructionsTabelleText"/>
                <w:rFonts w:ascii="Times New Roman" w:hAnsi="Times New Roman"/>
                <w:sz w:val="24"/>
              </w:rPr>
              <w:t>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importo da segnalare nella colonna 060 di questa riga è 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importo complessivo delle partecipazioni indirette, compresi gli strumenti che 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ente potrebbe essere obbligato ad acquistare in virtù di un</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obbligazione contrattuale esistente o potenziale, conformemente all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articolo</w:t>
            </w:r>
            <w:r w:rsidR="00FE3E1C" w:rsidRPr="00D51A68">
              <w:rPr>
                <w:rStyle w:val="InstructionsTabelleText"/>
                <w:rFonts w:ascii="Times New Roman" w:hAnsi="Times New Roman"/>
                <w:sz w:val="24"/>
              </w:rPr>
              <w:t> </w:t>
            </w:r>
            <w:r w:rsidRPr="00D51A68">
              <w:rPr>
                <w:rStyle w:val="InstructionsTabelleText"/>
                <w:rFonts w:ascii="Times New Roman" w:hAnsi="Times New Roman"/>
                <w:sz w:val="24"/>
              </w:rPr>
              <w:t>476</w:t>
            </w:r>
            <w:r w:rsidR="00FE3E1C" w:rsidRPr="00D51A68">
              <w:rPr>
                <w:rStyle w:val="InstructionsTabelleText"/>
                <w:rFonts w:ascii="Times New Roman" w:hAnsi="Times New Roman"/>
                <w:sz w:val="24"/>
              </w:rPr>
              <w:t>, lettera </w:t>
            </w:r>
            <w:r w:rsidRPr="00D51A68">
              <w:rPr>
                <w:rStyle w:val="InstructionsTabelleText"/>
                <w:rFonts w:ascii="Times New Roman" w:hAnsi="Times New Roman"/>
                <w:sz w:val="24"/>
              </w:rPr>
              <w:t>b), e all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articolo 477, paragrafo 2, lettera b), del CRR.</w:t>
            </w:r>
          </w:p>
        </w:tc>
      </w:tr>
      <w:tr w:rsidR="00A60195" w:rsidRPr="00D51A68" w:rsidTr="00672D2A">
        <w:tc>
          <w:tcPr>
            <w:tcW w:w="1012" w:type="dxa"/>
          </w:tcPr>
          <w:p w:rsidR="00A60195" w:rsidRPr="00D51A68" w:rsidDel="00E41E4F" w:rsidRDefault="00A60195"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240</w:t>
            </w:r>
          </w:p>
        </w:tc>
        <w:tc>
          <w:tcPr>
            <w:tcW w:w="7478" w:type="dxa"/>
          </w:tcPr>
          <w:p w:rsidR="00A60195" w:rsidRPr="00D51A68" w:rsidRDefault="00A60195"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1.3.2.7.</w:t>
            </w:r>
            <w:r w:rsidR="00A0772B" w:rsidRPr="00D51A68">
              <w:rPr>
                <w:u w:val="single"/>
              </w:rPr>
              <w:tab/>
            </w:r>
            <w:r w:rsidRPr="00D51A68">
              <w:rPr>
                <w:rStyle w:val="InstructionsTabelleberschrift"/>
                <w:rFonts w:ascii="Times New Roman" w:hAnsi="Times New Roman"/>
                <w:sz w:val="24"/>
              </w:rPr>
              <w:t>Partecipazioni incrociate reciproche</w:t>
            </w:r>
          </w:p>
          <w:p w:rsidR="00A60195" w:rsidRPr="00D51A68" w:rsidRDefault="00A60195" w:rsidP="007106FB">
            <w:pPr>
              <w:spacing w:before="0"/>
              <w:rPr>
                <w:rStyle w:val="InstructionsTabelleberschrift"/>
                <w:rFonts w:ascii="Times New Roman" w:hAnsi="Times New Roman"/>
                <w:b w:val="0"/>
                <w:bCs w:val="0"/>
                <w:sz w:val="24"/>
                <w:u w:val="none"/>
              </w:rPr>
            </w:pPr>
            <w:r w:rsidRPr="00D51A68">
              <w:rPr>
                <w:rStyle w:val="InstructionsTabelleText"/>
                <w:rFonts w:ascii="Times New Roman" w:hAnsi="Times New Roman"/>
                <w:sz w:val="24"/>
              </w:rPr>
              <w:t>Poiché il trattamento dell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importo residuo</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 xml:space="preserve"> varia a seconda del fatto che la partecipazione nel capitale primario di classe 1, nel capitale aggiuntivo di classe 1 o nel capitale di classe 2 del soggetto del settore finanziario debba o non debba essere considerata significativa (articolo 472, paragrafo 9, articolo 475, paragrafo 3, e articolo 477, paragrafo 3, del CRR), 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ente ripartisce le partecipazioni incrociate reciproche distinguendo tra investimenti significativi e investimenti non significativi.</w:t>
            </w:r>
          </w:p>
        </w:tc>
      </w:tr>
      <w:tr w:rsidR="00A60195" w:rsidRPr="00D51A68" w:rsidTr="00672D2A">
        <w:tc>
          <w:tcPr>
            <w:tcW w:w="1012" w:type="dxa"/>
          </w:tcPr>
          <w:p w:rsidR="00A60195" w:rsidRPr="00D51A68" w:rsidDel="00E41E4F" w:rsidRDefault="00A60195"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250</w:t>
            </w:r>
          </w:p>
        </w:tc>
        <w:tc>
          <w:tcPr>
            <w:tcW w:w="7478" w:type="dxa"/>
          </w:tcPr>
          <w:p w:rsidR="00A60195" w:rsidRPr="00D51A68" w:rsidRDefault="00A60195" w:rsidP="00FC1A76">
            <w:pPr>
              <w:pStyle w:val="InstructionsText"/>
              <w:rPr>
                <w:rStyle w:val="InstructionsTabelleText"/>
                <w:rFonts w:ascii="Times New Roman" w:hAnsi="Times New Roman"/>
                <w:b/>
                <w:bCs/>
                <w:sz w:val="24"/>
                <w:u w:val="single"/>
              </w:rPr>
            </w:pPr>
            <w:r w:rsidRPr="00D51A68">
              <w:rPr>
                <w:rStyle w:val="InstructionsTabelleberschrift"/>
                <w:rFonts w:ascii="Times New Roman" w:hAnsi="Times New Roman"/>
                <w:sz w:val="24"/>
              </w:rPr>
              <w:t>1.3.2.7.1</w:t>
            </w:r>
            <w:r w:rsidR="00A0772B" w:rsidRPr="00D51A68">
              <w:rPr>
                <w:u w:val="single"/>
              </w:rPr>
              <w:tab/>
            </w:r>
            <w:r w:rsidRPr="00D51A68">
              <w:rPr>
                <w:rStyle w:val="InstructionsTabelleberschrift"/>
                <w:rFonts w:ascii="Times New Roman" w:hAnsi="Times New Roman"/>
                <w:sz w:val="24"/>
              </w:rPr>
              <w:t>Partecipazioni incrociate reciproche nel capitale primario di classe 1</w:t>
            </w:r>
          </w:p>
          <w:p w:rsidR="00A60195" w:rsidRPr="00D51A68" w:rsidRDefault="00A60195"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lastRenderedPageBreak/>
              <w:t>Articolo 36, paragrafo 1, lettera g), articolo 469, paragrafo 1, articolo 472, paragrafo 9, e articolo 478 del CRR.</w:t>
            </w:r>
          </w:p>
          <w:p w:rsidR="00A60195" w:rsidRPr="00D51A68" w:rsidRDefault="00A60195" w:rsidP="00FC1A76">
            <w:pPr>
              <w:pStyle w:val="InstructionsText"/>
              <w:rPr>
                <w:rStyle w:val="InstructionsTabelleberschrift"/>
                <w:rFonts w:ascii="Times New Roman" w:hAnsi="Times New Roman"/>
                <w:b w:val="0"/>
                <w:bCs w:val="0"/>
                <w:sz w:val="24"/>
                <w:u w:val="none"/>
              </w:rPr>
            </w:pPr>
            <w:r w:rsidRPr="00D51A68">
              <w:rPr>
                <w:rStyle w:val="InstructionsTabelleText"/>
                <w:rFonts w:ascii="Times New Roman" w:hAnsi="Times New Roman"/>
                <w:sz w:val="24"/>
              </w:rPr>
              <w:t>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importo da segnalare nella colonna 060 di questa riga è la deduzione originaria conformemente all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articolo 36, paragrafo 1, lettera g), del CRR.</w:t>
            </w:r>
          </w:p>
        </w:tc>
      </w:tr>
      <w:tr w:rsidR="00A60195" w:rsidRPr="00D51A68" w:rsidTr="00672D2A">
        <w:tc>
          <w:tcPr>
            <w:tcW w:w="1012" w:type="dxa"/>
          </w:tcPr>
          <w:p w:rsidR="00A60195" w:rsidRPr="00D51A68" w:rsidDel="00E41E4F" w:rsidRDefault="00A60195"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lastRenderedPageBreak/>
              <w:t>260</w:t>
            </w:r>
          </w:p>
        </w:tc>
        <w:tc>
          <w:tcPr>
            <w:tcW w:w="7478" w:type="dxa"/>
          </w:tcPr>
          <w:p w:rsidR="00A60195" w:rsidRPr="00D51A68" w:rsidRDefault="00A60195"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1.3.2.7.1.1</w:t>
            </w:r>
            <w:r w:rsidR="00A0772B" w:rsidRPr="00D51A68">
              <w:rPr>
                <w:u w:val="single"/>
              </w:rPr>
              <w:tab/>
            </w:r>
            <w:r w:rsidRPr="00D51A68">
              <w:rPr>
                <w:rStyle w:val="InstructionsTabelleberschrift"/>
                <w:rFonts w:ascii="Times New Roman" w:hAnsi="Times New Roman"/>
                <w:sz w:val="24"/>
              </w:rPr>
              <w:t>Partecipazioni incrociate reciproche nel capitale primario di classe 1 di soggetti del settore finanziario in cui 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ente non ha un investimento significativo</w:t>
            </w:r>
          </w:p>
          <w:p w:rsidR="00A60195" w:rsidRPr="00D51A68" w:rsidRDefault="00A60195"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Articolo 36, paragrafo 1, lettera g), articolo 469, paragrafo 1, articolo 472, paragrafo 9, lettera a), e articolo 478 del CRR.</w:t>
            </w:r>
          </w:p>
          <w:p w:rsidR="00A60195" w:rsidRPr="00D51A68" w:rsidRDefault="00A60195"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importo da segnalare nella colonna 060 di questa riga è 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importo residuo conformemente all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articolo 469, paragrafo 1, lettera b), del CRR.</w:t>
            </w:r>
          </w:p>
        </w:tc>
      </w:tr>
      <w:tr w:rsidR="00A60195" w:rsidRPr="00D51A68" w:rsidTr="00672D2A">
        <w:tc>
          <w:tcPr>
            <w:tcW w:w="1012" w:type="dxa"/>
          </w:tcPr>
          <w:p w:rsidR="00A60195" w:rsidRPr="00D51A68" w:rsidDel="00E41E4F" w:rsidRDefault="00A60195"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270</w:t>
            </w:r>
          </w:p>
        </w:tc>
        <w:tc>
          <w:tcPr>
            <w:tcW w:w="7478" w:type="dxa"/>
          </w:tcPr>
          <w:p w:rsidR="00A60195" w:rsidRPr="00D51A68" w:rsidRDefault="00A60195"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1.3.2.7.1.2</w:t>
            </w:r>
            <w:r w:rsidR="00A0772B" w:rsidRPr="00D51A68">
              <w:rPr>
                <w:u w:val="single"/>
              </w:rPr>
              <w:tab/>
            </w:r>
            <w:r w:rsidRPr="00D51A68">
              <w:rPr>
                <w:rStyle w:val="InstructionsTabelleberschrift"/>
                <w:rFonts w:ascii="Times New Roman" w:hAnsi="Times New Roman"/>
                <w:sz w:val="24"/>
              </w:rPr>
              <w:t>Partecipazioni incrociate reciproche nel capitale primario di classe 1 di soggetti del settore finanziario in cui 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ente ha un investimento significativo</w:t>
            </w:r>
          </w:p>
          <w:p w:rsidR="00A60195" w:rsidRPr="00D51A68" w:rsidRDefault="00A60195"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Articolo 36, paragrafo 1, lettera g), articolo 469, paragrafo 1, articolo 472, paragrafo 9, lettera b), e articolo 478 del CRR.</w:t>
            </w:r>
          </w:p>
          <w:p w:rsidR="00A60195" w:rsidRPr="00D51A68" w:rsidRDefault="00A60195"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importo da segnalare nella colonna 060 di questa riga è 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importo residuo conformemente all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articolo 469, paragrafo 1, lettera b), del CRR.</w:t>
            </w:r>
          </w:p>
        </w:tc>
      </w:tr>
      <w:tr w:rsidR="00A60195" w:rsidRPr="00D51A68" w:rsidTr="00672D2A">
        <w:tc>
          <w:tcPr>
            <w:tcW w:w="1012" w:type="dxa"/>
          </w:tcPr>
          <w:p w:rsidR="00A60195" w:rsidRPr="00D51A68" w:rsidDel="00E41E4F" w:rsidRDefault="00A60195"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280</w:t>
            </w:r>
          </w:p>
        </w:tc>
        <w:tc>
          <w:tcPr>
            <w:tcW w:w="7478" w:type="dxa"/>
          </w:tcPr>
          <w:p w:rsidR="00A60195" w:rsidRPr="00D51A68" w:rsidRDefault="00A60195" w:rsidP="00FC1A76">
            <w:pPr>
              <w:pStyle w:val="InstructionsText"/>
              <w:rPr>
                <w:rStyle w:val="InstructionsTabelleText"/>
                <w:rFonts w:ascii="Times New Roman" w:hAnsi="Times New Roman"/>
                <w:b/>
                <w:bCs/>
                <w:sz w:val="24"/>
                <w:u w:val="single"/>
              </w:rPr>
            </w:pPr>
            <w:r w:rsidRPr="00D51A68">
              <w:rPr>
                <w:rStyle w:val="InstructionsTabelleberschrift"/>
                <w:rFonts w:ascii="Times New Roman" w:hAnsi="Times New Roman"/>
                <w:sz w:val="24"/>
              </w:rPr>
              <w:t>1.3.2.7.2</w:t>
            </w:r>
            <w:r w:rsidR="00A0772B" w:rsidRPr="00D51A68">
              <w:rPr>
                <w:u w:val="single"/>
              </w:rPr>
              <w:tab/>
            </w:r>
            <w:r w:rsidRPr="00D51A68">
              <w:rPr>
                <w:rStyle w:val="InstructionsTabelleberschrift"/>
                <w:rFonts w:ascii="Times New Roman" w:hAnsi="Times New Roman"/>
                <w:sz w:val="24"/>
              </w:rPr>
              <w:t>Partecipazioni incrociate reciproche nel capitale aggiuntivo di classe 1</w:t>
            </w:r>
          </w:p>
          <w:p w:rsidR="00A60195" w:rsidRPr="00D51A68" w:rsidRDefault="00A60195"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Articolo</w:t>
            </w:r>
            <w:r w:rsidR="00FE3E1C" w:rsidRPr="00D51A68">
              <w:rPr>
                <w:rStyle w:val="InstructionsTabelleText"/>
                <w:rFonts w:ascii="Times New Roman" w:hAnsi="Times New Roman"/>
                <w:sz w:val="24"/>
              </w:rPr>
              <w:t> </w:t>
            </w:r>
            <w:r w:rsidRPr="00D51A68">
              <w:rPr>
                <w:rStyle w:val="InstructionsTabelleText"/>
                <w:rFonts w:ascii="Times New Roman" w:hAnsi="Times New Roman"/>
                <w:sz w:val="24"/>
              </w:rPr>
              <w:t>56, lettera b), articolo</w:t>
            </w:r>
            <w:r w:rsidR="00FE3E1C" w:rsidRPr="00D51A68">
              <w:rPr>
                <w:rStyle w:val="InstructionsTabelleText"/>
                <w:rFonts w:ascii="Times New Roman" w:hAnsi="Times New Roman"/>
                <w:sz w:val="24"/>
              </w:rPr>
              <w:t> </w:t>
            </w:r>
            <w:r w:rsidRPr="00D51A68">
              <w:rPr>
                <w:rStyle w:val="InstructionsTabelleText"/>
                <w:rFonts w:ascii="Times New Roman" w:hAnsi="Times New Roman"/>
                <w:sz w:val="24"/>
              </w:rPr>
              <w:t>474, articolo</w:t>
            </w:r>
            <w:r w:rsidR="00FE3E1C" w:rsidRPr="00D51A68">
              <w:rPr>
                <w:rStyle w:val="InstructionsTabelleText"/>
                <w:rFonts w:ascii="Times New Roman" w:hAnsi="Times New Roman"/>
                <w:sz w:val="24"/>
              </w:rPr>
              <w:t> </w:t>
            </w:r>
            <w:r w:rsidRPr="00D51A68">
              <w:rPr>
                <w:rStyle w:val="InstructionsTabelleText"/>
                <w:rFonts w:ascii="Times New Roman" w:hAnsi="Times New Roman"/>
                <w:sz w:val="24"/>
              </w:rPr>
              <w:t>475, paragrafo</w:t>
            </w:r>
            <w:r w:rsidR="00FE3E1C" w:rsidRPr="00D51A68">
              <w:rPr>
                <w:rStyle w:val="InstructionsTabelleText"/>
                <w:rFonts w:ascii="Times New Roman" w:hAnsi="Times New Roman"/>
                <w:sz w:val="24"/>
              </w:rPr>
              <w:t> </w:t>
            </w:r>
            <w:r w:rsidRPr="00D51A68">
              <w:rPr>
                <w:rStyle w:val="InstructionsTabelleText"/>
                <w:rFonts w:ascii="Times New Roman" w:hAnsi="Times New Roman"/>
                <w:sz w:val="24"/>
              </w:rPr>
              <w:t>3</w:t>
            </w:r>
            <w:r w:rsidR="00FE3E1C" w:rsidRPr="00D51A68">
              <w:rPr>
                <w:rStyle w:val="InstructionsTabelleText"/>
                <w:rFonts w:ascii="Times New Roman" w:hAnsi="Times New Roman"/>
                <w:sz w:val="24"/>
              </w:rPr>
              <w:t>, e articolo </w:t>
            </w:r>
            <w:r w:rsidRPr="00D51A68">
              <w:rPr>
                <w:rStyle w:val="InstructionsTabelleText"/>
                <w:rFonts w:ascii="Times New Roman" w:hAnsi="Times New Roman"/>
                <w:sz w:val="24"/>
              </w:rPr>
              <w:t>478 del CRR.</w:t>
            </w:r>
          </w:p>
          <w:p w:rsidR="00A60195" w:rsidRPr="00D51A68" w:rsidRDefault="00A60195"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importo da segnalare nella colonna 060 di questa riga è la deduzione originaria conformemente all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articolo 56, lettera b), del CRR.</w:t>
            </w:r>
          </w:p>
        </w:tc>
      </w:tr>
      <w:tr w:rsidR="00A60195" w:rsidRPr="00D51A68" w:rsidTr="00672D2A">
        <w:tc>
          <w:tcPr>
            <w:tcW w:w="1012" w:type="dxa"/>
          </w:tcPr>
          <w:p w:rsidR="00A60195" w:rsidRPr="00D51A68" w:rsidDel="00E41E4F" w:rsidRDefault="00A60195"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290</w:t>
            </w:r>
          </w:p>
        </w:tc>
        <w:tc>
          <w:tcPr>
            <w:tcW w:w="7478" w:type="dxa"/>
          </w:tcPr>
          <w:p w:rsidR="00A60195" w:rsidRPr="00D51A68" w:rsidRDefault="00A60195"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1.3.2.7.2.1</w:t>
            </w:r>
            <w:r w:rsidR="00A0772B" w:rsidRPr="00D51A68">
              <w:rPr>
                <w:u w:val="single"/>
              </w:rPr>
              <w:tab/>
            </w:r>
            <w:r w:rsidRPr="00D51A68">
              <w:rPr>
                <w:rStyle w:val="InstructionsTabelleberschrift"/>
                <w:rFonts w:ascii="Times New Roman" w:hAnsi="Times New Roman"/>
                <w:sz w:val="24"/>
              </w:rPr>
              <w:t>Partecipazioni incrociate reciproche nel capitale aggiuntivo di classe 1 di soggetti del settore finanziario in cui 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ente non ha un investimento significativo</w:t>
            </w:r>
          </w:p>
          <w:p w:rsidR="00A60195" w:rsidRPr="00D51A68" w:rsidRDefault="00A60195"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Articolo 56, lettera b), articolo 474, articolo 475, paragrafo 3, lettera a), e articolo 478 del CRR.</w:t>
            </w:r>
          </w:p>
          <w:p w:rsidR="00A60195" w:rsidRPr="00D51A68" w:rsidRDefault="00A60195"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importo da segnalare nella colonna 060 di questa riga è 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importo residuo conformemente all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articolo 475, paragrafo 3, del CRR.</w:t>
            </w:r>
          </w:p>
        </w:tc>
      </w:tr>
      <w:tr w:rsidR="00A60195" w:rsidRPr="00D51A68" w:rsidTr="00672D2A">
        <w:tc>
          <w:tcPr>
            <w:tcW w:w="1012" w:type="dxa"/>
          </w:tcPr>
          <w:p w:rsidR="00A60195" w:rsidRPr="00D51A68" w:rsidDel="00E41E4F" w:rsidRDefault="00A60195"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300</w:t>
            </w:r>
          </w:p>
        </w:tc>
        <w:tc>
          <w:tcPr>
            <w:tcW w:w="7478" w:type="dxa"/>
          </w:tcPr>
          <w:p w:rsidR="00A60195" w:rsidRPr="00D51A68" w:rsidRDefault="00A60195"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1.3.2.7.2.2</w:t>
            </w:r>
            <w:r w:rsidR="00A0772B" w:rsidRPr="00D51A68">
              <w:rPr>
                <w:u w:val="single"/>
              </w:rPr>
              <w:tab/>
            </w:r>
            <w:r w:rsidRPr="00D51A68">
              <w:rPr>
                <w:rStyle w:val="InstructionsTabelleberschrift"/>
                <w:rFonts w:ascii="Times New Roman" w:hAnsi="Times New Roman"/>
                <w:sz w:val="24"/>
              </w:rPr>
              <w:t>Partecipazioni incrociate reciproche nel capitale aggiuntivo di classe 1 di soggetti del settore finanziario in cui 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ente ha un investimento significativo</w:t>
            </w:r>
          </w:p>
          <w:p w:rsidR="00A60195" w:rsidRPr="00D51A68" w:rsidRDefault="00A60195"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Articolo 56, lettera b), articolo 474, articolo 475, paragrafo 3, lettera b), e articolo 478 del CRR.</w:t>
            </w:r>
          </w:p>
          <w:p w:rsidR="00A60195" w:rsidRPr="00D51A68" w:rsidRDefault="00A60195"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importo da segnalare nella colonna 060 di questa riga è 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importo residuo conformemente all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articolo 475, paragrafo 3, del CRR.</w:t>
            </w:r>
          </w:p>
        </w:tc>
      </w:tr>
      <w:tr w:rsidR="00A60195" w:rsidRPr="00D51A68" w:rsidTr="00672D2A">
        <w:tc>
          <w:tcPr>
            <w:tcW w:w="1012" w:type="dxa"/>
          </w:tcPr>
          <w:p w:rsidR="00A60195" w:rsidRPr="00D51A68" w:rsidDel="00E41E4F" w:rsidRDefault="00A60195"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310</w:t>
            </w:r>
          </w:p>
        </w:tc>
        <w:tc>
          <w:tcPr>
            <w:tcW w:w="7478" w:type="dxa"/>
          </w:tcPr>
          <w:p w:rsidR="00A60195" w:rsidRPr="00D51A68" w:rsidRDefault="00A60195"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1.3.2.7.3</w:t>
            </w:r>
            <w:r w:rsidR="00A0772B" w:rsidRPr="00D51A68">
              <w:rPr>
                <w:u w:val="single"/>
              </w:rPr>
              <w:tab/>
            </w:r>
            <w:r w:rsidRPr="00D51A68">
              <w:rPr>
                <w:rStyle w:val="InstructionsTabelleberschrift"/>
                <w:rFonts w:ascii="Times New Roman" w:hAnsi="Times New Roman"/>
                <w:sz w:val="24"/>
              </w:rPr>
              <w:t>Partecipazioni incrociate re</w:t>
            </w:r>
            <w:r w:rsidR="00FE3E1C" w:rsidRPr="00D51A68">
              <w:rPr>
                <w:rStyle w:val="InstructionsTabelleberschrift"/>
                <w:rFonts w:ascii="Times New Roman" w:hAnsi="Times New Roman"/>
                <w:sz w:val="24"/>
              </w:rPr>
              <w:t>ciproche nel capitale di classe </w:t>
            </w:r>
            <w:r w:rsidRPr="00D51A68">
              <w:rPr>
                <w:rStyle w:val="InstructionsTabelleberschrift"/>
                <w:rFonts w:ascii="Times New Roman" w:hAnsi="Times New Roman"/>
                <w:sz w:val="24"/>
              </w:rPr>
              <w:t>2</w:t>
            </w:r>
          </w:p>
          <w:p w:rsidR="00A60195" w:rsidRPr="00D51A68" w:rsidRDefault="00A60195"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Articolo 66, lettera b), articolo 476, articolo 477, paragrafo 3</w:t>
            </w:r>
            <w:r w:rsidR="00FE3E1C" w:rsidRPr="00D51A68">
              <w:rPr>
                <w:rStyle w:val="InstructionsTabelleText"/>
                <w:rFonts w:ascii="Times New Roman" w:hAnsi="Times New Roman"/>
                <w:sz w:val="24"/>
              </w:rPr>
              <w:t>, e articolo </w:t>
            </w:r>
            <w:r w:rsidRPr="00D51A68">
              <w:rPr>
                <w:rStyle w:val="InstructionsTabelleText"/>
                <w:rFonts w:ascii="Times New Roman" w:hAnsi="Times New Roman"/>
                <w:sz w:val="24"/>
              </w:rPr>
              <w:t>478 del CRR.</w:t>
            </w:r>
          </w:p>
          <w:p w:rsidR="00A60195" w:rsidRPr="00D51A68" w:rsidRDefault="00A60195"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lastRenderedPageBreak/>
              <w:t>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importo da segnalare nella colonna 060 di questa riga è la deduzione originaria conformemente all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articolo 66, lettera b), del CRR.</w:t>
            </w:r>
          </w:p>
        </w:tc>
      </w:tr>
      <w:tr w:rsidR="00A60195" w:rsidRPr="00D51A68" w:rsidTr="00672D2A">
        <w:tc>
          <w:tcPr>
            <w:tcW w:w="1012" w:type="dxa"/>
          </w:tcPr>
          <w:p w:rsidR="00A60195" w:rsidRPr="00D51A68" w:rsidDel="00E41E4F" w:rsidRDefault="00A60195"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lastRenderedPageBreak/>
              <w:t>320</w:t>
            </w:r>
          </w:p>
        </w:tc>
        <w:tc>
          <w:tcPr>
            <w:tcW w:w="7478" w:type="dxa"/>
          </w:tcPr>
          <w:p w:rsidR="00A60195" w:rsidRPr="00D51A68" w:rsidRDefault="00A60195" w:rsidP="00FC1A76">
            <w:pPr>
              <w:pStyle w:val="InstructionsText"/>
              <w:rPr>
                <w:rStyle w:val="InstructionsTabelleText"/>
                <w:rFonts w:ascii="Times New Roman" w:hAnsi="Times New Roman"/>
                <w:b/>
                <w:bCs/>
                <w:sz w:val="24"/>
                <w:u w:val="single"/>
              </w:rPr>
            </w:pPr>
            <w:r w:rsidRPr="00D51A68">
              <w:rPr>
                <w:rStyle w:val="InstructionsTabelleberschrift"/>
                <w:rFonts w:ascii="Times New Roman" w:hAnsi="Times New Roman"/>
                <w:sz w:val="24"/>
              </w:rPr>
              <w:t>1.3.2.7.3.1</w:t>
            </w:r>
            <w:r w:rsidR="00A0772B" w:rsidRPr="00D51A68">
              <w:rPr>
                <w:u w:val="single"/>
              </w:rPr>
              <w:tab/>
            </w:r>
            <w:r w:rsidRPr="00D51A68">
              <w:rPr>
                <w:rStyle w:val="InstructionsTabelleberschrift"/>
                <w:rFonts w:ascii="Times New Roman" w:hAnsi="Times New Roman"/>
                <w:sz w:val="24"/>
              </w:rPr>
              <w:t>Partecipazioni incrociate re</w:t>
            </w:r>
            <w:r w:rsidR="00FE3E1C" w:rsidRPr="00D51A68">
              <w:rPr>
                <w:rStyle w:val="InstructionsTabelleberschrift"/>
                <w:rFonts w:ascii="Times New Roman" w:hAnsi="Times New Roman"/>
                <w:sz w:val="24"/>
              </w:rPr>
              <w:t>ciproche nel capitale di classe </w:t>
            </w:r>
            <w:r w:rsidRPr="00D51A68">
              <w:rPr>
                <w:rStyle w:val="InstructionsTabelleberschrift"/>
                <w:rFonts w:ascii="Times New Roman" w:hAnsi="Times New Roman"/>
                <w:sz w:val="24"/>
              </w:rPr>
              <w:t>2 di soggetti del settore finanziario in cui 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ente non ha un investimento significativo</w:t>
            </w:r>
          </w:p>
          <w:p w:rsidR="00A60195" w:rsidRPr="00D51A68" w:rsidRDefault="00A60195"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Articolo 66, lettera b), articolo 476, articolo 477, paragrafo 3, lettera a), e articolo 478 del CRR.</w:t>
            </w:r>
          </w:p>
          <w:p w:rsidR="00A60195" w:rsidRPr="00D51A68" w:rsidRDefault="00A60195"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importo da segnalare nella colonna 060 di questa riga è 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importo residuo conformemente all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articolo 477, paragrafo 3, del CRR.</w:t>
            </w:r>
          </w:p>
        </w:tc>
      </w:tr>
      <w:tr w:rsidR="00A60195" w:rsidRPr="00D51A68" w:rsidTr="00672D2A">
        <w:tc>
          <w:tcPr>
            <w:tcW w:w="1012" w:type="dxa"/>
          </w:tcPr>
          <w:p w:rsidR="00A60195" w:rsidRPr="00D51A68" w:rsidDel="00E41E4F" w:rsidRDefault="00A60195"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330</w:t>
            </w:r>
          </w:p>
        </w:tc>
        <w:tc>
          <w:tcPr>
            <w:tcW w:w="7478" w:type="dxa"/>
          </w:tcPr>
          <w:p w:rsidR="00A60195" w:rsidRPr="00D51A68" w:rsidRDefault="00A60195"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1.3.2.7.3.2</w:t>
            </w:r>
            <w:r w:rsidR="00A0772B" w:rsidRPr="00D51A68">
              <w:rPr>
                <w:u w:val="single"/>
              </w:rPr>
              <w:tab/>
            </w:r>
            <w:r w:rsidRPr="00D51A68">
              <w:rPr>
                <w:rStyle w:val="InstructionsTabelleberschrift"/>
                <w:rFonts w:ascii="Times New Roman" w:hAnsi="Times New Roman"/>
                <w:sz w:val="24"/>
              </w:rPr>
              <w:t>Partecipazioni incrociate re</w:t>
            </w:r>
            <w:r w:rsidR="00FE3E1C" w:rsidRPr="00D51A68">
              <w:rPr>
                <w:rStyle w:val="InstructionsTabelleberschrift"/>
                <w:rFonts w:ascii="Times New Roman" w:hAnsi="Times New Roman"/>
                <w:sz w:val="24"/>
              </w:rPr>
              <w:t>ciproche nel capitale di classe </w:t>
            </w:r>
            <w:r w:rsidRPr="00D51A68">
              <w:rPr>
                <w:rStyle w:val="InstructionsTabelleberschrift"/>
                <w:rFonts w:ascii="Times New Roman" w:hAnsi="Times New Roman"/>
                <w:sz w:val="24"/>
              </w:rPr>
              <w:t>2 di soggetti del settore finanziario in cui 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ente ha un investimento significativo</w:t>
            </w:r>
          </w:p>
          <w:p w:rsidR="00A60195" w:rsidRPr="00D51A68" w:rsidRDefault="00A60195"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Articolo 66, lettera b), articolo 476, articolo 477, paragrafo 3, lettera b), e articolo 478 del CRR.</w:t>
            </w:r>
          </w:p>
          <w:p w:rsidR="00A60195" w:rsidRPr="00D51A68" w:rsidRDefault="00A60195"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importo da segnalare nella colonna 060 di questa riga è 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importo residuo conformemente all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articolo 477, paragrafo 3, del CRR.</w:t>
            </w:r>
          </w:p>
        </w:tc>
      </w:tr>
      <w:tr w:rsidR="00A60195" w:rsidRPr="00D51A68" w:rsidTr="00672D2A">
        <w:tc>
          <w:tcPr>
            <w:tcW w:w="1012" w:type="dxa"/>
          </w:tcPr>
          <w:p w:rsidR="00A60195" w:rsidRPr="00D51A68" w:rsidDel="00E41E4F" w:rsidRDefault="00A60195"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340</w:t>
            </w:r>
          </w:p>
        </w:tc>
        <w:tc>
          <w:tcPr>
            <w:tcW w:w="7478" w:type="dxa"/>
          </w:tcPr>
          <w:p w:rsidR="00A60195" w:rsidRPr="00D51A68" w:rsidRDefault="00A60195" w:rsidP="00FC1A76">
            <w:pPr>
              <w:pStyle w:val="InstructionsText"/>
              <w:rPr>
                <w:rStyle w:val="InstructionsTabelleText"/>
                <w:rFonts w:ascii="Times New Roman" w:hAnsi="Times New Roman"/>
                <w:b/>
                <w:bCs/>
                <w:sz w:val="24"/>
                <w:u w:val="single"/>
              </w:rPr>
            </w:pPr>
            <w:r w:rsidRPr="00D51A68">
              <w:rPr>
                <w:rStyle w:val="InstructionsTabelleberschrift"/>
                <w:rFonts w:ascii="Times New Roman" w:hAnsi="Times New Roman"/>
                <w:sz w:val="24"/>
              </w:rPr>
              <w:t>1.3.2.8.</w:t>
            </w:r>
            <w:r w:rsidR="00A0772B" w:rsidRPr="00D51A68">
              <w:rPr>
                <w:u w:val="single"/>
              </w:rPr>
              <w:tab/>
            </w:r>
            <w:r w:rsidRPr="00D51A68">
              <w:rPr>
                <w:rStyle w:val="InstructionsTabelleberschrift"/>
                <w:rFonts w:ascii="Times New Roman" w:hAnsi="Times New Roman"/>
                <w:sz w:val="24"/>
              </w:rPr>
              <w:t>Strumenti di fondi propri di soggetti del settore finanziario in cui 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ente non ha un investimento significativo</w:t>
            </w:r>
          </w:p>
        </w:tc>
      </w:tr>
      <w:tr w:rsidR="00A60195" w:rsidRPr="00D51A68" w:rsidTr="00672D2A">
        <w:tc>
          <w:tcPr>
            <w:tcW w:w="1012" w:type="dxa"/>
          </w:tcPr>
          <w:p w:rsidR="00A60195" w:rsidRPr="00D51A68" w:rsidDel="00E41E4F" w:rsidRDefault="00A60195"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350</w:t>
            </w:r>
          </w:p>
        </w:tc>
        <w:tc>
          <w:tcPr>
            <w:tcW w:w="7478" w:type="dxa"/>
          </w:tcPr>
          <w:p w:rsidR="00A60195" w:rsidRPr="00D51A68" w:rsidRDefault="00A60195"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1.3.2.8.1</w:t>
            </w:r>
            <w:r w:rsidR="00A0772B" w:rsidRPr="00D51A68">
              <w:rPr>
                <w:u w:val="single"/>
              </w:rPr>
              <w:tab/>
            </w:r>
            <w:r w:rsidRPr="00D51A68">
              <w:rPr>
                <w:rStyle w:val="InstructionsTabelleberschrift"/>
                <w:rFonts w:ascii="Times New Roman" w:hAnsi="Times New Roman"/>
                <w:sz w:val="24"/>
              </w:rPr>
              <w:t>Strumenti di capitale primario di classe 1 di soggetti del settore finanziario in cui 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ente non ha un investimento significativo</w:t>
            </w:r>
          </w:p>
          <w:p w:rsidR="00A60195" w:rsidRPr="00D51A68" w:rsidRDefault="00A60195"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Articolo 36, paragrafo 1, lettera h), articolo 469, paragrafo 1, articolo 472, paragrafo 10, e articolo 478 del CRR.</w:t>
            </w:r>
          </w:p>
          <w:p w:rsidR="00A60195" w:rsidRPr="00D51A68" w:rsidRDefault="00A60195"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importo da segnalare nella colonna 060 di questa riga è la deduzione originaria conformemente all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articolo 36, paragrafo 1, lettera h), del CRR.</w:t>
            </w:r>
          </w:p>
        </w:tc>
      </w:tr>
      <w:tr w:rsidR="00A60195" w:rsidRPr="00D51A68" w:rsidTr="00672D2A">
        <w:tc>
          <w:tcPr>
            <w:tcW w:w="1012" w:type="dxa"/>
          </w:tcPr>
          <w:p w:rsidR="00A60195" w:rsidRPr="00D51A68" w:rsidDel="00E41E4F" w:rsidRDefault="00A60195"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360</w:t>
            </w:r>
          </w:p>
        </w:tc>
        <w:tc>
          <w:tcPr>
            <w:tcW w:w="7478" w:type="dxa"/>
          </w:tcPr>
          <w:p w:rsidR="00A60195" w:rsidRPr="00D51A68" w:rsidRDefault="00A60195"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1.3.2.8.2</w:t>
            </w:r>
            <w:r w:rsidR="00A0772B" w:rsidRPr="00D51A68">
              <w:rPr>
                <w:u w:val="single"/>
              </w:rPr>
              <w:tab/>
            </w:r>
            <w:r w:rsidRPr="00D51A68">
              <w:rPr>
                <w:rStyle w:val="InstructionsTabelleberschrift"/>
                <w:rFonts w:ascii="Times New Roman" w:hAnsi="Times New Roman"/>
                <w:sz w:val="24"/>
              </w:rPr>
              <w:t>Strumenti di capitale aggiuntivo di classe 1 di soggetti del settore finanziario in cui 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ente non ha un investimento significativo</w:t>
            </w:r>
          </w:p>
          <w:p w:rsidR="00A60195" w:rsidRPr="00D51A68" w:rsidRDefault="00A60195"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Articolo 56, lettera c), articolo 474, articolo 475, paragrafo 4</w:t>
            </w:r>
            <w:r w:rsidR="00FE3E1C" w:rsidRPr="00D51A68">
              <w:rPr>
                <w:rStyle w:val="InstructionsTabelleText"/>
                <w:rFonts w:ascii="Times New Roman" w:hAnsi="Times New Roman"/>
                <w:sz w:val="24"/>
              </w:rPr>
              <w:t>, e articolo </w:t>
            </w:r>
            <w:r w:rsidRPr="00D51A68">
              <w:rPr>
                <w:rStyle w:val="InstructionsTabelleText"/>
                <w:rFonts w:ascii="Times New Roman" w:hAnsi="Times New Roman"/>
                <w:sz w:val="24"/>
              </w:rPr>
              <w:t>478 del CRR.</w:t>
            </w:r>
          </w:p>
          <w:p w:rsidR="00A60195" w:rsidRPr="00D51A68" w:rsidRDefault="00A60195"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importo da segnalare nella colonna 060 di questa riga è la deduzione originaria conformemente all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articolo 56, lettera c), del CRR.</w:t>
            </w:r>
          </w:p>
        </w:tc>
      </w:tr>
      <w:tr w:rsidR="00A60195" w:rsidRPr="00D51A68" w:rsidTr="00672D2A">
        <w:tc>
          <w:tcPr>
            <w:tcW w:w="1012" w:type="dxa"/>
          </w:tcPr>
          <w:p w:rsidR="00A60195" w:rsidRPr="00D51A68" w:rsidDel="00E41E4F" w:rsidRDefault="00A60195"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370</w:t>
            </w:r>
          </w:p>
        </w:tc>
        <w:tc>
          <w:tcPr>
            <w:tcW w:w="7478" w:type="dxa"/>
          </w:tcPr>
          <w:p w:rsidR="00A60195" w:rsidRPr="00D51A68" w:rsidRDefault="00A60195"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1.3.2.8.3</w:t>
            </w:r>
            <w:r w:rsidR="00A0772B" w:rsidRPr="00D51A68">
              <w:rPr>
                <w:u w:val="single"/>
              </w:rPr>
              <w:tab/>
            </w:r>
            <w:r w:rsidRPr="00D51A68">
              <w:rPr>
                <w:rStyle w:val="InstructionsTabelleberschrift"/>
                <w:rFonts w:ascii="Times New Roman" w:hAnsi="Times New Roman"/>
                <w:sz w:val="24"/>
              </w:rPr>
              <w:t>Strumenti di capitale di classe 2 di soggetti del settore finanziario in cui 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ente non ha un investimento significativo</w:t>
            </w:r>
          </w:p>
          <w:p w:rsidR="00A60195" w:rsidRPr="00D51A68" w:rsidRDefault="00A60195"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Articolo 66, lettera c), articolo 476, articolo 477, paragrafo 4</w:t>
            </w:r>
            <w:r w:rsidR="00FE3E1C" w:rsidRPr="00D51A68">
              <w:rPr>
                <w:rStyle w:val="InstructionsTabelleText"/>
                <w:rFonts w:ascii="Times New Roman" w:hAnsi="Times New Roman"/>
                <w:sz w:val="24"/>
              </w:rPr>
              <w:t>, e articolo </w:t>
            </w:r>
            <w:r w:rsidRPr="00D51A68">
              <w:rPr>
                <w:rStyle w:val="InstructionsTabelleText"/>
                <w:rFonts w:ascii="Times New Roman" w:hAnsi="Times New Roman"/>
                <w:sz w:val="24"/>
              </w:rPr>
              <w:t>478 del CRR.</w:t>
            </w:r>
          </w:p>
          <w:p w:rsidR="00A60195" w:rsidRPr="00D51A68" w:rsidRDefault="00A60195"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importo da segnalare nella colonna 060 di questa riga è la deduzione originaria conformemente all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articolo 66, lettera c), del CRR.</w:t>
            </w:r>
          </w:p>
        </w:tc>
      </w:tr>
      <w:tr w:rsidR="00A60195" w:rsidRPr="00D51A68" w:rsidTr="00672D2A">
        <w:tc>
          <w:tcPr>
            <w:tcW w:w="1012" w:type="dxa"/>
          </w:tcPr>
          <w:p w:rsidR="00A60195" w:rsidRPr="00D51A68" w:rsidDel="00E41E4F" w:rsidRDefault="00A60195"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380</w:t>
            </w:r>
          </w:p>
        </w:tc>
        <w:tc>
          <w:tcPr>
            <w:tcW w:w="7478" w:type="dxa"/>
          </w:tcPr>
          <w:p w:rsidR="00A60195" w:rsidRPr="00D51A68" w:rsidRDefault="00A60195" w:rsidP="00FC1A76">
            <w:pPr>
              <w:pStyle w:val="InstructionsText"/>
              <w:rPr>
                <w:rStyle w:val="InstructionsTabelleText"/>
                <w:rFonts w:ascii="Times New Roman" w:hAnsi="Times New Roman"/>
                <w:b/>
                <w:bCs/>
                <w:sz w:val="24"/>
                <w:u w:val="single"/>
              </w:rPr>
            </w:pPr>
            <w:r w:rsidRPr="00D51A68">
              <w:rPr>
                <w:rStyle w:val="InstructionsTabelleberschrift"/>
                <w:rFonts w:ascii="Times New Roman" w:hAnsi="Times New Roman"/>
                <w:sz w:val="24"/>
              </w:rPr>
              <w:t>1.3.2.9</w:t>
            </w:r>
            <w:r w:rsidR="00A0772B" w:rsidRPr="00D51A68">
              <w:rPr>
                <w:u w:val="single"/>
              </w:rPr>
              <w:tab/>
            </w:r>
            <w:r w:rsidRPr="00D51A68">
              <w:rPr>
                <w:rStyle w:val="InstructionsTabelleberschrift"/>
                <w:rFonts w:ascii="Times New Roman" w:hAnsi="Times New Roman"/>
                <w:sz w:val="24"/>
              </w:rPr>
              <w:t>Attività fiscali differite che dipendono dalla redditività futura e derivano da differenze temporanee e strumenti di capitale primario di classe 1 di soggetti del settore finanziario in cui 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ente ha un investimento significativo</w:t>
            </w:r>
          </w:p>
          <w:p w:rsidR="00A60195" w:rsidRPr="00D51A68" w:rsidRDefault="000F1CEA"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Articolo 470, paragrafi 2 e 3, del CRR.</w:t>
            </w:r>
          </w:p>
          <w:p w:rsidR="00A60195" w:rsidRPr="00D51A68" w:rsidRDefault="00A60195"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importo da segnalare nella colonna 060 di questa riga è 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 xml:space="preserve">importo di cui </w:t>
            </w:r>
            <w:r w:rsidRPr="00D51A68">
              <w:rPr>
                <w:rStyle w:val="InstructionsTabelleText"/>
                <w:rFonts w:ascii="Times New Roman" w:hAnsi="Times New Roman"/>
                <w:sz w:val="24"/>
              </w:rPr>
              <w:lastRenderedPageBreak/>
              <w:t>all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articolo 470, paragrafo 1, del CRR.</w:t>
            </w:r>
          </w:p>
        </w:tc>
      </w:tr>
      <w:tr w:rsidR="004A705D" w:rsidRPr="00D51A68" w:rsidTr="00672D2A">
        <w:tc>
          <w:tcPr>
            <w:tcW w:w="1012" w:type="dxa"/>
          </w:tcPr>
          <w:p w:rsidR="004A705D" w:rsidRPr="00D51A68" w:rsidRDefault="004A705D"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lastRenderedPageBreak/>
              <w:t>385</w:t>
            </w:r>
          </w:p>
        </w:tc>
        <w:tc>
          <w:tcPr>
            <w:tcW w:w="7478" w:type="dxa"/>
          </w:tcPr>
          <w:p w:rsidR="004A705D" w:rsidRPr="00D51A68" w:rsidRDefault="004A705D" w:rsidP="00FC1A76">
            <w:pPr>
              <w:pStyle w:val="InstructionsText"/>
              <w:rPr>
                <w:rStyle w:val="InstructionsTabelleText"/>
                <w:rFonts w:ascii="Times New Roman" w:hAnsi="Times New Roman"/>
                <w:b/>
                <w:bCs/>
                <w:sz w:val="24"/>
                <w:u w:val="single"/>
              </w:rPr>
            </w:pPr>
            <w:r w:rsidRPr="00D51A68">
              <w:rPr>
                <w:rStyle w:val="InstructionsTabelleberschrift"/>
                <w:rFonts w:ascii="Times New Roman" w:hAnsi="Times New Roman"/>
                <w:sz w:val="24"/>
              </w:rPr>
              <w:t>Attività fiscali differite che dipendono dalla redditività futura e derivano da differenze temporanee</w:t>
            </w:r>
          </w:p>
          <w:p w:rsidR="004A705D" w:rsidRPr="00D51A68" w:rsidRDefault="004A705D" w:rsidP="00FC1A76">
            <w:pPr>
              <w:pStyle w:val="InstructionsText"/>
              <w:rPr>
                <w:rStyle w:val="InstructionsTabelleText"/>
                <w:rFonts w:ascii="Times New Roman" w:hAnsi="Times New Roman"/>
                <w:bCs/>
                <w:sz w:val="24"/>
              </w:rPr>
            </w:pPr>
            <w:r w:rsidRPr="00D51A68">
              <w:rPr>
                <w:rStyle w:val="InstructionsTabelleText"/>
                <w:rFonts w:ascii="Times New Roman" w:hAnsi="Times New Roman"/>
                <w:sz w:val="24"/>
              </w:rPr>
              <w:t>Articolo 469, paragrafo 1, lettera c), articolo 478 e articolo 472, paragrafo 5, del CRR</w:t>
            </w:r>
          </w:p>
          <w:p w:rsidR="004A705D" w:rsidRPr="00D51A68" w:rsidRDefault="004A705D" w:rsidP="00FC1A76">
            <w:pPr>
              <w:pStyle w:val="InstructionsText"/>
              <w:rPr>
                <w:rStyle w:val="InstructionsTabelleberschrift"/>
                <w:rFonts w:ascii="Times New Roman" w:hAnsi="Times New Roman"/>
                <w:b w:val="0"/>
                <w:sz w:val="24"/>
                <w:u w:val="none"/>
              </w:rPr>
            </w:pPr>
            <w:r w:rsidRPr="00D51A68">
              <w:rPr>
                <w:rStyle w:val="InstructionsTabelleText"/>
                <w:rFonts w:ascii="Times New Roman" w:hAnsi="Times New Roman"/>
                <w:sz w:val="24"/>
              </w:rPr>
              <w:t>Parte delle attività fiscali differite che si basano sulla redditività futura e derivano da differenze temporanee che supera la soglia del 10% di cui all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articolo 470, paragrafo 2, lettera a), del CRR.</w:t>
            </w:r>
          </w:p>
        </w:tc>
      </w:tr>
      <w:tr w:rsidR="00A60195" w:rsidRPr="00D51A68" w:rsidTr="00672D2A">
        <w:trPr>
          <w:trHeight w:val="60"/>
        </w:trPr>
        <w:tc>
          <w:tcPr>
            <w:tcW w:w="1012" w:type="dxa"/>
          </w:tcPr>
          <w:p w:rsidR="00A60195" w:rsidRPr="00D51A68" w:rsidDel="00E41E4F" w:rsidRDefault="00A60195"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390</w:t>
            </w:r>
          </w:p>
        </w:tc>
        <w:tc>
          <w:tcPr>
            <w:tcW w:w="7478" w:type="dxa"/>
          </w:tcPr>
          <w:p w:rsidR="00A60195" w:rsidRPr="00D51A68" w:rsidRDefault="00A60195"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1.3.2.10</w:t>
            </w:r>
            <w:r w:rsidR="00A0772B" w:rsidRPr="00D51A68">
              <w:rPr>
                <w:u w:val="single"/>
              </w:rPr>
              <w:tab/>
            </w:r>
            <w:r w:rsidRPr="00D51A68">
              <w:rPr>
                <w:rStyle w:val="InstructionsTabelleberschrift"/>
                <w:rFonts w:ascii="Times New Roman" w:hAnsi="Times New Roman"/>
                <w:sz w:val="24"/>
              </w:rPr>
              <w:t>Strumenti di fondi propri di soggetti del settore finanziario in cui 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ente ha un investimento significativo</w:t>
            </w:r>
          </w:p>
        </w:tc>
      </w:tr>
      <w:tr w:rsidR="00A60195" w:rsidRPr="00D51A68" w:rsidTr="00672D2A">
        <w:tc>
          <w:tcPr>
            <w:tcW w:w="1012" w:type="dxa"/>
          </w:tcPr>
          <w:p w:rsidR="00A60195" w:rsidRPr="00D51A68" w:rsidDel="00E41E4F" w:rsidRDefault="00A60195"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400</w:t>
            </w:r>
          </w:p>
        </w:tc>
        <w:tc>
          <w:tcPr>
            <w:tcW w:w="7478" w:type="dxa"/>
          </w:tcPr>
          <w:p w:rsidR="00A60195" w:rsidRPr="00D51A68" w:rsidRDefault="00A60195"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1.3.2.10.1</w:t>
            </w:r>
            <w:r w:rsidR="00A0772B" w:rsidRPr="00D51A68">
              <w:rPr>
                <w:u w:val="single"/>
              </w:rPr>
              <w:tab/>
            </w:r>
            <w:r w:rsidRPr="00D51A68">
              <w:rPr>
                <w:rStyle w:val="InstructionsTabelleberschrift"/>
                <w:rFonts w:ascii="Times New Roman" w:hAnsi="Times New Roman"/>
                <w:sz w:val="24"/>
              </w:rPr>
              <w:t>Strumenti di capitale primario di classe 1 di soggetti del settore finanziario in cui 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ente ha un investimento significativo</w:t>
            </w:r>
          </w:p>
          <w:p w:rsidR="00A60195" w:rsidRPr="00D51A68" w:rsidRDefault="00A60195"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Articolo 36, paragrafo 1, lettera i), articolo 469, paragrafo 1, articolo 472, paragrafo 11, e articolo 478 del CRR.</w:t>
            </w:r>
          </w:p>
          <w:p w:rsidR="00A60195" w:rsidRPr="00D51A68" w:rsidRDefault="00A60195"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importo da segnalare nella colonna 060 di questa riga è la deduzione originaria conformemente all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articolo 36, paragrafo 1, lettera i), del CRR.</w:t>
            </w:r>
          </w:p>
        </w:tc>
      </w:tr>
      <w:tr w:rsidR="00A60195" w:rsidRPr="00D51A68" w:rsidTr="00672D2A">
        <w:tc>
          <w:tcPr>
            <w:tcW w:w="1012" w:type="dxa"/>
          </w:tcPr>
          <w:p w:rsidR="00A60195" w:rsidRPr="00D51A68" w:rsidDel="00E41E4F" w:rsidRDefault="00A60195"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410</w:t>
            </w:r>
          </w:p>
        </w:tc>
        <w:tc>
          <w:tcPr>
            <w:tcW w:w="7478" w:type="dxa"/>
          </w:tcPr>
          <w:p w:rsidR="00A60195" w:rsidRPr="00D51A68" w:rsidRDefault="00A60195"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1.3.2.10.2</w:t>
            </w:r>
            <w:r w:rsidR="00A0772B" w:rsidRPr="00D51A68">
              <w:rPr>
                <w:u w:val="single"/>
              </w:rPr>
              <w:tab/>
            </w:r>
            <w:r w:rsidRPr="00D51A68">
              <w:rPr>
                <w:rStyle w:val="InstructionsTabelleberschrift"/>
                <w:rFonts w:ascii="Times New Roman" w:hAnsi="Times New Roman"/>
                <w:sz w:val="24"/>
              </w:rPr>
              <w:t>Strumenti di capitale aggiuntivo di classe 1 di soggetti del settore finanziario in cui 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ente ha un investimento significativo</w:t>
            </w:r>
          </w:p>
          <w:p w:rsidR="00A60195" w:rsidRPr="00D51A68" w:rsidRDefault="00A60195"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Articolo 56, lettera d), articolo 474, articolo 475, paragrafo 4</w:t>
            </w:r>
            <w:r w:rsidR="00FE3E1C" w:rsidRPr="00D51A68">
              <w:rPr>
                <w:rStyle w:val="InstructionsTabelleText"/>
                <w:rFonts w:ascii="Times New Roman" w:hAnsi="Times New Roman"/>
                <w:sz w:val="24"/>
              </w:rPr>
              <w:t>, e articolo </w:t>
            </w:r>
            <w:r w:rsidRPr="00D51A68">
              <w:rPr>
                <w:rStyle w:val="InstructionsTabelleText"/>
                <w:rFonts w:ascii="Times New Roman" w:hAnsi="Times New Roman"/>
                <w:sz w:val="24"/>
              </w:rPr>
              <w:t>478 del CRR.</w:t>
            </w:r>
          </w:p>
          <w:p w:rsidR="00A60195" w:rsidRPr="00D51A68" w:rsidRDefault="00A60195"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importo da segnalare nella colonna 060 di questa riga è la deduzione originaria conformemente all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articolo 56, lettera d), del CRR.</w:t>
            </w:r>
          </w:p>
        </w:tc>
      </w:tr>
      <w:tr w:rsidR="00A60195" w:rsidRPr="00D51A68" w:rsidTr="00672D2A">
        <w:tc>
          <w:tcPr>
            <w:tcW w:w="1012" w:type="dxa"/>
          </w:tcPr>
          <w:p w:rsidR="00A60195" w:rsidRPr="00D51A68" w:rsidDel="00E41E4F" w:rsidRDefault="00A60195"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420</w:t>
            </w:r>
          </w:p>
        </w:tc>
        <w:tc>
          <w:tcPr>
            <w:tcW w:w="7478" w:type="dxa"/>
          </w:tcPr>
          <w:p w:rsidR="00A60195" w:rsidRPr="00D51A68" w:rsidRDefault="00A60195"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1.3.2.10.2</w:t>
            </w:r>
            <w:r w:rsidR="00A0772B" w:rsidRPr="00D51A68">
              <w:rPr>
                <w:u w:val="single"/>
              </w:rPr>
              <w:tab/>
            </w:r>
            <w:r w:rsidRPr="00D51A68">
              <w:rPr>
                <w:rStyle w:val="InstructionsTabelleberschrift"/>
                <w:rFonts w:ascii="Times New Roman" w:hAnsi="Times New Roman"/>
                <w:sz w:val="24"/>
              </w:rPr>
              <w:t>Strumenti di capitale di classe 2 di soggetti del settore finanziario in cui 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ente ha un investimento significativo</w:t>
            </w:r>
          </w:p>
          <w:p w:rsidR="00A60195" w:rsidRPr="00D51A68" w:rsidRDefault="00A60195"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Articolo 66, lettera d), articolo 476, articolo 477, paragrafo 4</w:t>
            </w:r>
            <w:r w:rsidR="00FE3E1C" w:rsidRPr="00D51A68">
              <w:rPr>
                <w:rStyle w:val="InstructionsTabelleText"/>
                <w:rFonts w:ascii="Times New Roman" w:hAnsi="Times New Roman"/>
                <w:sz w:val="24"/>
              </w:rPr>
              <w:t>, e articolo </w:t>
            </w:r>
            <w:r w:rsidRPr="00D51A68">
              <w:rPr>
                <w:rStyle w:val="InstructionsTabelleText"/>
                <w:rFonts w:ascii="Times New Roman" w:hAnsi="Times New Roman"/>
                <w:sz w:val="24"/>
              </w:rPr>
              <w:t>478 del CRR.</w:t>
            </w:r>
          </w:p>
          <w:p w:rsidR="00A60195" w:rsidRPr="00D51A68" w:rsidRDefault="00A60195"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importo da segnalare nella colonna 060 di questa riga è la deduzione originaria conformemente all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articolo 66, lettera d), del CRR.</w:t>
            </w:r>
          </w:p>
        </w:tc>
      </w:tr>
      <w:tr w:rsidR="00A60195" w:rsidRPr="00D51A68" w:rsidTr="00672D2A">
        <w:tc>
          <w:tcPr>
            <w:tcW w:w="1012" w:type="dxa"/>
          </w:tcPr>
          <w:p w:rsidR="00A60195" w:rsidRPr="00D51A68" w:rsidRDefault="00A60195"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425</w:t>
            </w:r>
          </w:p>
        </w:tc>
        <w:tc>
          <w:tcPr>
            <w:tcW w:w="7478" w:type="dxa"/>
          </w:tcPr>
          <w:p w:rsidR="00A60195" w:rsidRPr="00D51A68" w:rsidRDefault="00A60195"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1.3.2.11</w:t>
            </w:r>
            <w:r w:rsidR="00A0772B" w:rsidRPr="00D51A68">
              <w:rPr>
                <w:u w:val="single"/>
              </w:rPr>
              <w:tab/>
            </w:r>
            <w:r w:rsidRPr="00D51A68">
              <w:rPr>
                <w:rStyle w:val="InstructionsTabelleberschrift"/>
                <w:rFonts w:ascii="Times New Roman" w:hAnsi="Times New Roman"/>
                <w:sz w:val="24"/>
              </w:rPr>
              <w:t xml:space="preserve">Esenzione dalla deduzione di partecipazioni nelle imprese di assicurazione dagli elementi </w:t>
            </w:r>
            <w:r w:rsidR="00FE3E1C" w:rsidRPr="00D51A68">
              <w:rPr>
                <w:rStyle w:val="InstructionsTabelleberschrift"/>
                <w:rFonts w:ascii="Times New Roman" w:hAnsi="Times New Roman"/>
                <w:sz w:val="24"/>
              </w:rPr>
              <w:t>del capitale primario di classe </w:t>
            </w:r>
            <w:r w:rsidRPr="00D51A68">
              <w:rPr>
                <w:rStyle w:val="InstructionsTabelleberschrift"/>
                <w:rFonts w:ascii="Times New Roman" w:hAnsi="Times New Roman"/>
                <w:sz w:val="24"/>
              </w:rPr>
              <w:t>1</w:t>
            </w:r>
          </w:p>
          <w:p w:rsidR="00A60195" w:rsidRPr="00D51A68" w:rsidRDefault="000F1CEA" w:rsidP="00FC1A76">
            <w:pPr>
              <w:pStyle w:val="InstructionsText"/>
              <w:rPr>
                <w:rStyle w:val="InstructionsTabelleberschrift"/>
                <w:rFonts w:ascii="Times New Roman" w:hAnsi="Times New Roman"/>
                <w:b w:val="0"/>
                <w:sz w:val="24"/>
                <w:u w:val="none"/>
              </w:rPr>
            </w:pPr>
            <w:r w:rsidRPr="00D51A68">
              <w:rPr>
                <w:rStyle w:val="InstructionsTabelleberschrift"/>
                <w:rFonts w:ascii="Times New Roman" w:hAnsi="Times New Roman"/>
                <w:b w:val="0"/>
                <w:sz w:val="24"/>
                <w:u w:val="none"/>
              </w:rPr>
              <w:t>Articolo 471 del CRR.</w:t>
            </w:r>
          </w:p>
        </w:tc>
      </w:tr>
      <w:tr w:rsidR="00A60195" w:rsidRPr="00D51A68" w:rsidTr="00672D2A">
        <w:tc>
          <w:tcPr>
            <w:tcW w:w="1012" w:type="dxa"/>
          </w:tcPr>
          <w:p w:rsidR="00A60195" w:rsidRPr="00D51A68" w:rsidRDefault="00A60195"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430</w:t>
            </w:r>
          </w:p>
          <w:p w:rsidR="00A60195" w:rsidRPr="00D51A68" w:rsidRDefault="00A60195" w:rsidP="00FC1A76">
            <w:pPr>
              <w:pStyle w:val="InstructionsText"/>
              <w:rPr>
                <w:rStyle w:val="InstructionsTabelleText"/>
                <w:rFonts w:ascii="Times New Roman" w:hAnsi="Times New Roman"/>
                <w:sz w:val="24"/>
              </w:rPr>
            </w:pPr>
          </w:p>
        </w:tc>
        <w:tc>
          <w:tcPr>
            <w:tcW w:w="7478" w:type="dxa"/>
          </w:tcPr>
          <w:p w:rsidR="00A60195" w:rsidRPr="00D51A68" w:rsidRDefault="00A60195" w:rsidP="00FC1A76">
            <w:pPr>
              <w:pStyle w:val="InstructionsText"/>
              <w:rPr>
                <w:rStyle w:val="InstructionsTabelleText"/>
                <w:rFonts w:ascii="Times New Roman" w:hAnsi="Times New Roman"/>
                <w:b/>
                <w:bCs/>
                <w:sz w:val="24"/>
                <w:u w:val="single"/>
              </w:rPr>
            </w:pPr>
            <w:r w:rsidRPr="00D51A68">
              <w:rPr>
                <w:rStyle w:val="InstructionsTabelleberschrift"/>
                <w:rFonts w:ascii="Times New Roman" w:hAnsi="Times New Roman"/>
                <w:sz w:val="24"/>
              </w:rPr>
              <w:t>1.3.3</w:t>
            </w:r>
            <w:r w:rsidR="00A0772B" w:rsidRPr="00D51A68">
              <w:rPr>
                <w:u w:val="single"/>
              </w:rPr>
              <w:tab/>
            </w:r>
            <w:r w:rsidRPr="00D51A68">
              <w:rPr>
                <w:rStyle w:val="InstructionsTabelleberschrift"/>
                <w:rFonts w:ascii="Times New Roman" w:hAnsi="Times New Roman"/>
                <w:sz w:val="24"/>
              </w:rPr>
              <w:t>Filtri e deduzioni aggiuntivi</w:t>
            </w:r>
          </w:p>
          <w:p w:rsidR="00A60195" w:rsidRPr="00D51A68" w:rsidRDefault="00A60195" w:rsidP="007106FB">
            <w:pPr>
              <w:spacing w:before="0"/>
              <w:rPr>
                <w:rStyle w:val="InstructionsTabelleText"/>
                <w:rFonts w:ascii="Times New Roman" w:hAnsi="Times New Roman"/>
                <w:sz w:val="24"/>
              </w:rPr>
            </w:pPr>
            <w:r w:rsidRPr="00D51A68">
              <w:rPr>
                <w:rStyle w:val="InstructionsTabelleText"/>
                <w:rFonts w:ascii="Times New Roman" w:hAnsi="Times New Roman"/>
                <w:sz w:val="24"/>
              </w:rPr>
              <w:t>Articolo 481 del CRR.</w:t>
            </w:r>
          </w:p>
          <w:p w:rsidR="00A60195" w:rsidRPr="00D51A68" w:rsidRDefault="00A60195"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Questa riga riporta 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effetto complessivo delle disposizioni transitorie sui filtri e deduzioni aggiuntivi.</w:t>
            </w:r>
          </w:p>
          <w:p w:rsidR="00783881" w:rsidRPr="00D51A68" w:rsidRDefault="00A60195"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Conformemente all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articolo 481 del CRR, gli enti segnalano n</w:t>
            </w:r>
            <w:r w:rsidR="00FE3E1C" w:rsidRPr="00D51A68">
              <w:rPr>
                <w:rStyle w:val="InstructionsTabelleText"/>
                <w:rFonts w:ascii="Times New Roman" w:hAnsi="Times New Roman"/>
                <w:sz w:val="24"/>
              </w:rPr>
              <w:t>ella voce </w:t>
            </w:r>
            <w:r w:rsidRPr="00D51A68">
              <w:rPr>
                <w:rStyle w:val="InstructionsTabelleText"/>
                <w:rFonts w:ascii="Times New Roman" w:hAnsi="Times New Roman"/>
                <w:sz w:val="24"/>
              </w:rPr>
              <w:t xml:space="preserve">1.3.3 informazioni relative ai filtri e deduzioni prescritti dalle disposizioni nazionali di recepimento degli articoli 57 e 66 della direttiva 2006/48/CE e degli articoli 13 e 16 della direttiva 2006/49/CE e che non sono richiesti ai sensi della parte due. </w:t>
            </w:r>
          </w:p>
        </w:tc>
      </w:tr>
      <w:tr w:rsidR="008B695F" w:rsidRPr="00D51A68" w:rsidTr="00672D2A">
        <w:tc>
          <w:tcPr>
            <w:tcW w:w="1012" w:type="dxa"/>
          </w:tcPr>
          <w:p w:rsidR="008B695F" w:rsidRPr="00D51A68" w:rsidRDefault="008B695F"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lastRenderedPageBreak/>
              <w:t>440</w:t>
            </w:r>
          </w:p>
        </w:tc>
        <w:tc>
          <w:tcPr>
            <w:tcW w:w="7478" w:type="dxa"/>
          </w:tcPr>
          <w:p w:rsidR="008B695F" w:rsidRPr="00D51A68" w:rsidRDefault="008B695F"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1.3.4</w:t>
            </w:r>
            <w:r w:rsidR="00A0772B" w:rsidRPr="00D51A68">
              <w:rPr>
                <w:u w:val="single"/>
              </w:rPr>
              <w:tab/>
            </w:r>
            <w:r w:rsidRPr="00D51A68">
              <w:rPr>
                <w:rStyle w:val="InstructionsTabelleberschrift"/>
                <w:rFonts w:ascii="Times New Roman" w:hAnsi="Times New Roman"/>
                <w:sz w:val="24"/>
              </w:rPr>
              <w:t>Aggiustamenti dovuti a disposizioni transitorie dell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IFRS 9</w:t>
            </w:r>
          </w:p>
          <w:p w:rsidR="008B695F" w:rsidRPr="00D51A68" w:rsidRDefault="009247A0" w:rsidP="00FC1A76">
            <w:pPr>
              <w:pStyle w:val="InstructionsText"/>
              <w:rPr>
                <w:rStyle w:val="InstructionsTabelleberschrift"/>
                <w:rFonts w:ascii="Times New Roman" w:hAnsi="Times New Roman"/>
                <w:b w:val="0"/>
                <w:sz w:val="24"/>
                <w:u w:val="none"/>
              </w:rPr>
            </w:pPr>
            <w:r w:rsidRPr="00D51A68">
              <w:rPr>
                <w:rStyle w:val="InstructionsTabelleberschrift"/>
                <w:rFonts w:ascii="Times New Roman" w:hAnsi="Times New Roman"/>
                <w:b w:val="0"/>
                <w:sz w:val="24"/>
                <w:u w:val="none"/>
              </w:rPr>
              <w:t>Gli enti segnalano le informazioni inerenti alle disposizioni transitorie dell</w:t>
            </w:r>
            <w:r w:rsidR="0009277C" w:rsidRPr="00D51A68">
              <w:rPr>
                <w:rStyle w:val="InstructionsTabelleberschrift"/>
                <w:rFonts w:ascii="Times New Roman" w:hAnsi="Times New Roman"/>
                <w:b w:val="0"/>
                <w:sz w:val="24"/>
                <w:u w:val="none"/>
              </w:rPr>
              <w:t>’</w:t>
            </w:r>
            <w:r w:rsidRPr="00D51A68">
              <w:rPr>
                <w:rStyle w:val="InstructionsTabelleberschrift"/>
                <w:rFonts w:ascii="Times New Roman" w:hAnsi="Times New Roman"/>
                <w:b w:val="0"/>
                <w:sz w:val="24"/>
                <w:u w:val="none"/>
              </w:rPr>
              <w:t>IFRS 9 conformemente alle disposizioni di legge applicabili.</w:t>
            </w:r>
          </w:p>
        </w:tc>
      </w:tr>
    </w:tbl>
    <w:p w:rsidR="002648B0" w:rsidRPr="00D51A68" w:rsidRDefault="002648B0" w:rsidP="00D946DB">
      <w:pPr>
        <w:spacing w:after="0"/>
        <w:rPr>
          <w:rFonts w:ascii="Times New Roman" w:hAnsi="Times New Roman"/>
          <w:sz w:val="24"/>
        </w:rPr>
      </w:pPr>
    </w:p>
    <w:p w:rsidR="002648B0" w:rsidRPr="00D51A68" w:rsidRDefault="00125707" w:rsidP="0023700C">
      <w:pPr>
        <w:pStyle w:val="Instructionsberschrift2"/>
        <w:numPr>
          <w:ilvl w:val="0"/>
          <w:numId w:val="0"/>
        </w:numPr>
        <w:ind w:left="357" w:hanging="357"/>
        <w:rPr>
          <w:rFonts w:ascii="Times New Roman" w:hAnsi="Times New Roman" w:cs="Times New Roman"/>
          <w:sz w:val="24"/>
        </w:rPr>
      </w:pPr>
      <w:bookmarkStart w:id="106" w:name="_Toc361666252"/>
      <w:bookmarkStart w:id="107" w:name="_Toc308175839"/>
      <w:bookmarkStart w:id="108" w:name="_Toc516210620"/>
      <w:bookmarkStart w:id="109" w:name="_Toc473560885"/>
      <w:bookmarkStart w:id="110" w:name="_Toc524096565"/>
      <w:bookmarkStart w:id="111" w:name="_Toc360188337"/>
      <w:bookmarkEnd w:id="106"/>
      <w:r w:rsidRPr="00D51A68">
        <w:rPr>
          <w:rFonts w:ascii="Times New Roman" w:hAnsi="Times New Roman"/>
          <w:sz w:val="24"/>
          <w:u w:val="none"/>
        </w:rPr>
        <w:t>1.6.3.</w:t>
      </w:r>
      <w:r w:rsidR="00A0772B" w:rsidRPr="00D51A68">
        <w:rPr>
          <w:u w:val="none"/>
        </w:rPr>
        <w:tab/>
      </w:r>
      <w:r w:rsidRPr="00D51A68">
        <w:rPr>
          <w:rFonts w:ascii="Times New Roman" w:hAnsi="Times New Roman"/>
          <w:sz w:val="24"/>
        </w:rPr>
        <w:t>C 05.02 — STRUMENTI SOGGETTI ALLA CLAUSOLA GRANDFATHERING: STRUMENTI CHE NON COSTITUISCONO AIUTI DI STATO (CA5.2)</w:t>
      </w:r>
      <w:bookmarkEnd w:id="107"/>
      <w:bookmarkEnd w:id="108"/>
      <w:bookmarkEnd w:id="109"/>
      <w:bookmarkEnd w:id="110"/>
      <w:r w:rsidRPr="00D51A68">
        <w:rPr>
          <w:rFonts w:ascii="Times New Roman" w:hAnsi="Times New Roman"/>
          <w:sz w:val="24"/>
        </w:rPr>
        <w:t xml:space="preserve"> </w:t>
      </w:r>
      <w:bookmarkEnd w:id="111"/>
    </w:p>
    <w:p w:rsidR="00783881" w:rsidRPr="00D51A68" w:rsidRDefault="00125707" w:rsidP="00FE3E1C">
      <w:pPr>
        <w:pStyle w:val="InstructionsText2"/>
        <w:numPr>
          <w:ilvl w:val="0"/>
          <w:numId w:val="0"/>
        </w:numPr>
        <w:ind w:left="993"/>
      </w:pPr>
      <w:r w:rsidRPr="00D51A68">
        <w:t>25.</w:t>
      </w:r>
      <w:r w:rsidR="00A0772B" w:rsidRPr="00D51A68">
        <w:tab/>
      </w:r>
      <w:r w:rsidRPr="00D51A68">
        <w:t>Gli enti segnalano informazioni inerenti alle disposizioni transitorie relative agli strumenti soggetti alla clausola grandfathering che non costituiscono aiuti di Stato (articoli da 484 a 491 del CRR).</w:t>
      </w:r>
    </w:p>
    <w:p w:rsidR="002648B0" w:rsidRPr="00D51A68" w:rsidRDefault="00125707" w:rsidP="0023700C">
      <w:pPr>
        <w:pStyle w:val="Instructionsberschrift2"/>
        <w:numPr>
          <w:ilvl w:val="0"/>
          <w:numId w:val="0"/>
        </w:numPr>
        <w:ind w:left="357" w:hanging="357"/>
        <w:rPr>
          <w:rFonts w:ascii="Times New Roman" w:hAnsi="Times New Roman" w:cs="Times New Roman"/>
          <w:sz w:val="24"/>
        </w:rPr>
      </w:pPr>
      <w:bookmarkStart w:id="112" w:name="_Toc360188338"/>
      <w:bookmarkStart w:id="113" w:name="_Toc516210621"/>
      <w:bookmarkStart w:id="114" w:name="_Toc473560886"/>
      <w:bookmarkStart w:id="115" w:name="_Toc524096566"/>
      <w:r w:rsidRPr="00D51A68">
        <w:rPr>
          <w:rFonts w:ascii="Times New Roman" w:hAnsi="Times New Roman"/>
          <w:sz w:val="24"/>
          <w:u w:val="none"/>
        </w:rPr>
        <w:t>1.6.3.1.</w:t>
      </w:r>
      <w:r w:rsidR="00A0772B" w:rsidRPr="00D51A68">
        <w:rPr>
          <w:u w:val="none"/>
        </w:rPr>
        <w:tab/>
      </w:r>
      <w:r w:rsidRPr="00D51A68">
        <w:rPr>
          <w:rFonts w:ascii="Times New Roman" w:hAnsi="Times New Roman"/>
          <w:sz w:val="24"/>
        </w:rPr>
        <w:t>Istruzioni relative a posizioni specifiche</w:t>
      </w:r>
      <w:bookmarkEnd w:id="112"/>
      <w:bookmarkEnd w:id="113"/>
      <w:bookmarkEnd w:id="114"/>
      <w:bookmarkEnd w:id="115"/>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D51A68" w:rsidTr="00672D2A">
        <w:tc>
          <w:tcPr>
            <w:tcW w:w="8181" w:type="dxa"/>
            <w:gridSpan w:val="2"/>
            <w:shd w:val="clear" w:color="auto" w:fill="D9D9D9"/>
          </w:tcPr>
          <w:p w:rsidR="005643EA" w:rsidRPr="00D51A68" w:rsidRDefault="002648B0"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Colonne</w:t>
            </w:r>
          </w:p>
        </w:tc>
      </w:tr>
      <w:tr w:rsidR="002648B0" w:rsidRPr="00D51A68" w:rsidTr="00672D2A">
        <w:tc>
          <w:tcPr>
            <w:tcW w:w="703" w:type="dxa"/>
          </w:tcPr>
          <w:p w:rsidR="002648B0" w:rsidRPr="00D51A68" w:rsidRDefault="002648B0"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010</w:t>
            </w:r>
          </w:p>
        </w:tc>
        <w:tc>
          <w:tcPr>
            <w:tcW w:w="7478" w:type="dxa"/>
          </w:tcPr>
          <w:p w:rsidR="002648B0" w:rsidRPr="00D51A68" w:rsidRDefault="002648B0" w:rsidP="007106FB">
            <w:pPr>
              <w:rPr>
                <w:rStyle w:val="InstructionsTabelleberschrift"/>
                <w:rFonts w:ascii="Times New Roman" w:hAnsi="Times New Roman"/>
                <w:sz w:val="24"/>
              </w:rPr>
            </w:pPr>
            <w:r w:rsidRPr="00D51A68">
              <w:rPr>
                <w:rStyle w:val="InstructionsTabelleberschrift"/>
                <w:rFonts w:ascii="Times New Roman" w:hAnsi="Times New Roman"/>
                <w:sz w:val="24"/>
              </w:rPr>
              <w:t>Importo degli strumenti + relativo sovrapprezzo azioni</w:t>
            </w:r>
          </w:p>
          <w:p w:rsidR="002648B0" w:rsidRPr="00D51A68" w:rsidRDefault="002648B0" w:rsidP="007106FB">
            <w:pPr>
              <w:rPr>
                <w:rStyle w:val="InstructionsTabelleText"/>
                <w:rFonts w:ascii="Times New Roman" w:hAnsi="Times New Roman"/>
                <w:sz w:val="24"/>
              </w:rPr>
            </w:pPr>
            <w:r w:rsidRPr="00D51A68">
              <w:rPr>
                <w:rStyle w:val="InstructionsTabelleText"/>
                <w:rFonts w:ascii="Times New Roman" w:hAnsi="Times New Roman"/>
                <w:sz w:val="24"/>
              </w:rPr>
              <w:t>Articolo 484, paragrafi da 3 a 5, del CRR.</w:t>
            </w:r>
          </w:p>
          <w:p w:rsidR="002648B0" w:rsidRPr="00D51A68" w:rsidRDefault="002648B0" w:rsidP="007106FB">
            <w:pPr>
              <w:rPr>
                <w:rStyle w:val="InstructionsTabelleText"/>
                <w:rFonts w:ascii="Times New Roman" w:hAnsi="Times New Roman"/>
                <w:sz w:val="24"/>
              </w:rPr>
            </w:pPr>
            <w:r w:rsidRPr="00D51A68">
              <w:rPr>
                <w:rStyle w:val="InstructionsTabelleText"/>
                <w:rFonts w:ascii="Times New Roman" w:hAnsi="Times New Roman"/>
                <w:sz w:val="24"/>
              </w:rPr>
              <w:t>Strumenti ammissibili per ciascuna riga, compresi i relativi sovrapprezzi azioni.</w:t>
            </w:r>
          </w:p>
        </w:tc>
      </w:tr>
      <w:tr w:rsidR="002648B0" w:rsidRPr="00D51A68" w:rsidTr="00672D2A">
        <w:tc>
          <w:tcPr>
            <w:tcW w:w="703" w:type="dxa"/>
          </w:tcPr>
          <w:p w:rsidR="002648B0" w:rsidRPr="00D51A68" w:rsidRDefault="002648B0"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020</w:t>
            </w:r>
          </w:p>
        </w:tc>
        <w:tc>
          <w:tcPr>
            <w:tcW w:w="7478" w:type="dxa"/>
          </w:tcPr>
          <w:p w:rsidR="002648B0" w:rsidRPr="00D51A68" w:rsidRDefault="002648B0" w:rsidP="007106FB">
            <w:pPr>
              <w:rPr>
                <w:rStyle w:val="InstructionsTabelleberschrift"/>
                <w:rFonts w:ascii="Times New Roman" w:hAnsi="Times New Roman"/>
                <w:sz w:val="24"/>
              </w:rPr>
            </w:pPr>
            <w:r w:rsidRPr="00D51A68">
              <w:rPr>
                <w:rStyle w:val="InstructionsTabelleberschrift"/>
                <w:rFonts w:ascii="Times New Roman" w:hAnsi="Times New Roman"/>
                <w:sz w:val="24"/>
              </w:rPr>
              <w:t>Base per il calcolo del limite</w:t>
            </w:r>
          </w:p>
          <w:p w:rsidR="002648B0" w:rsidRPr="00D51A68" w:rsidRDefault="002648B0" w:rsidP="007106FB">
            <w:pPr>
              <w:rPr>
                <w:rStyle w:val="InstructionsTabelleText"/>
                <w:rFonts w:ascii="Times New Roman" w:hAnsi="Times New Roman"/>
                <w:sz w:val="24"/>
              </w:rPr>
            </w:pPr>
            <w:r w:rsidRPr="00D51A68">
              <w:rPr>
                <w:rStyle w:val="InstructionsTabelleText"/>
                <w:rFonts w:ascii="Times New Roman" w:hAnsi="Times New Roman"/>
                <w:sz w:val="24"/>
              </w:rPr>
              <w:t>Articolo 486, paragrafi da 2 a 4, del CRR.</w:t>
            </w:r>
          </w:p>
        </w:tc>
      </w:tr>
      <w:tr w:rsidR="002648B0" w:rsidRPr="00D51A68" w:rsidTr="00672D2A">
        <w:tc>
          <w:tcPr>
            <w:tcW w:w="703" w:type="dxa"/>
          </w:tcPr>
          <w:p w:rsidR="002648B0" w:rsidRPr="00D51A68" w:rsidRDefault="002648B0"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030</w:t>
            </w:r>
          </w:p>
        </w:tc>
        <w:tc>
          <w:tcPr>
            <w:tcW w:w="7478" w:type="dxa"/>
          </w:tcPr>
          <w:p w:rsidR="002648B0" w:rsidRPr="00D51A68" w:rsidRDefault="002648B0" w:rsidP="007106FB">
            <w:pPr>
              <w:rPr>
                <w:rStyle w:val="InstructionsTabelleberschrift"/>
                <w:rFonts w:ascii="Times New Roman" w:hAnsi="Times New Roman"/>
                <w:sz w:val="24"/>
              </w:rPr>
            </w:pPr>
            <w:r w:rsidRPr="00D51A68">
              <w:rPr>
                <w:rStyle w:val="InstructionsTabelleberschrift"/>
                <w:rFonts w:ascii="Times New Roman" w:hAnsi="Times New Roman"/>
                <w:sz w:val="24"/>
              </w:rPr>
              <w:t>Percentuale applicabile</w:t>
            </w:r>
          </w:p>
          <w:p w:rsidR="002648B0" w:rsidRPr="00D51A68" w:rsidRDefault="002648B0" w:rsidP="007106FB">
            <w:pPr>
              <w:rPr>
                <w:rStyle w:val="InstructionsTabelleText"/>
                <w:rFonts w:ascii="Times New Roman" w:hAnsi="Times New Roman"/>
                <w:sz w:val="24"/>
              </w:rPr>
            </w:pPr>
            <w:r w:rsidRPr="00D51A68">
              <w:rPr>
                <w:rStyle w:val="InstructionsTabelleText"/>
                <w:rFonts w:ascii="Times New Roman" w:hAnsi="Times New Roman"/>
                <w:sz w:val="24"/>
              </w:rPr>
              <w:t>Articolo 486, paragrafo 5, del CRR</w:t>
            </w:r>
          </w:p>
        </w:tc>
      </w:tr>
      <w:tr w:rsidR="002648B0" w:rsidRPr="00D51A68" w:rsidTr="00672D2A">
        <w:tc>
          <w:tcPr>
            <w:tcW w:w="703" w:type="dxa"/>
          </w:tcPr>
          <w:p w:rsidR="002648B0" w:rsidRPr="00D51A68" w:rsidRDefault="002648B0"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040</w:t>
            </w:r>
          </w:p>
        </w:tc>
        <w:tc>
          <w:tcPr>
            <w:tcW w:w="7478" w:type="dxa"/>
          </w:tcPr>
          <w:p w:rsidR="002648B0" w:rsidRPr="00D51A68" w:rsidRDefault="002648B0" w:rsidP="007106FB">
            <w:pPr>
              <w:rPr>
                <w:rStyle w:val="InstructionsTabelleberschrift"/>
                <w:rFonts w:ascii="Times New Roman" w:hAnsi="Times New Roman"/>
                <w:sz w:val="24"/>
              </w:rPr>
            </w:pPr>
            <w:r w:rsidRPr="00D51A68">
              <w:rPr>
                <w:rStyle w:val="InstructionsTabelleberschrift"/>
                <w:rFonts w:ascii="Times New Roman" w:hAnsi="Times New Roman"/>
                <w:sz w:val="24"/>
              </w:rPr>
              <w:t>Limite</w:t>
            </w:r>
          </w:p>
          <w:p w:rsidR="002648B0" w:rsidRPr="00D51A68" w:rsidRDefault="002648B0" w:rsidP="007106FB">
            <w:pPr>
              <w:rPr>
                <w:rStyle w:val="InstructionsTabelleText"/>
                <w:rFonts w:ascii="Times New Roman" w:hAnsi="Times New Roman"/>
                <w:sz w:val="24"/>
              </w:rPr>
            </w:pPr>
            <w:r w:rsidRPr="00D51A68">
              <w:rPr>
                <w:rStyle w:val="InstructionsTabelleText"/>
                <w:rFonts w:ascii="Times New Roman" w:hAnsi="Times New Roman"/>
                <w:sz w:val="24"/>
              </w:rPr>
              <w:t>Articolo 486, paragrafi da 2 a 5, del CRR.</w:t>
            </w:r>
          </w:p>
        </w:tc>
      </w:tr>
      <w:tr w:rsidR="002648B0" w:rsidRPr="00D51A68" w:rsidTr="00672D2A">
        <w:tc>
          <w:tcPr>
            <w:tcW w:w="703" w:type="dxa"/>
          </w:tcPr>
          <w:p w:rsidR="002648B0" w:rsidRPr="00D51A68" w:rsidRDefault="002648B0"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050</w:t>
            </w:r>
          </w:p>
        </w:tc>
        <w:tc>
          <w:tcPr>
            <w:tcW w:w="7478" w:type="dxa"/>
          </w:tcPr>
          <w:p w:rsidR="002648B0" w:rsidRPr="00D51A68" w:rsidRDefault="002648B0" w:rsidP="007106FB">
            <w:pPr>
              <w:rPr>
                <w:rStyle w:val="InstructionsTabelleberschrift"/>
                <w:rFonts w:ascii="Times New Roman" w:hAnsi="Times New Roman"/>
                <w:sz w:val="24"/>
              </w:rPr>
            </w:pPr>
            <w:r w:rsidRPr="00D51A68">
              <w:rPr>
                <w:rStyle w:val="InstructionsTabelleberschrift"/>
                <w:rFonts w:ascii="Times New Roman" w:hAnsi="Times New Roman"/>
                <w:sz w:val="24"/>
              </w:rPr>
              <w:t>(-) Importo eccedente i limiti della clausola grandfathering</w:t>
            </w:r>
          </w:p>
          <w:p w:rsidR="002648B0" w:rsidRPr="00D51A68" w:rsidRDefault="002648B0" w:rsidP="007106FB">
            <w:pPr>
              <w:rPr>
                <w:rStyle w:val="InstructionsTabelleText"/>
                <w:rFonts w:ascii="Times New Roman" w:hAnsi="Times New Roman"/>
                <w:sz w:val="24"/>
              </w:rPr>
            </w:pPr>
            <w:r w:rsidRPr="00D51A68">
              <w:rPr>
                <w:rStyle w:val="InstructionsTabelleText"/>
                <w:rFonts w:ascii="Times New Roman" w:hAnsi="Times New Roman"/>
                <w:sz w:val="24"/>
              </w:rPr>
              <w:t>Articolo 486, paragrafi da 2 a 5, del CRR.</w:t>
            </w:r>
          </w:p>
        </w:tc>
      </w:tr>
      <w:tr w:rsidR="002648B0" w:rsidRPr="00D51A68" w:rsidTr="00672D2A">
        <w:tc>
          <w:tcPr>
            <w:tcW w:w="703" w:type="dxa"/>
          </w:tcPr>
          <w:p w:rsidR="002648B0" w:rsidRPr="00D51A68" w:rsidRDefault="002648B0"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060</w:t>
            </w:r>
          </w:p>
        </w:tc>
        <w:tc>
          <w:tcPr>
            <w:tcW w:w="7478" w:type="dxa"/>
          </w:tcPr>
          <w:p w:rsidR="002648B0" w:rsidRPr="00D51A68" w:rsidRDefault="002648B0" w:rsidP="007106FB">
            <w:pPr>
              <w:rPr>
                <w:rStyle w:val="InstructionsTabelleberschrift"/>
                <w:rFonts w:ascii="Times New Roman" w:hAnsi="Times New Roman"/>
                <w:sz w:val="24"/>
              </w:rPr>
            </w:pPr>
            <w:r w:rsidRPr="00D51A68">
              <w:rPr>
                <w:rStyle w:val="InstructionsTabelleberschrift"/>
                <w:rFonts w:ascii="Times New Roman" w:hAnsi="Times New Roman"/>
                <w:sz w:val="24"/>
              </w:rPr>
              <w:t>Importo totale soggetto alla clausola grandfathering</w:t>
            </w:r>
          </w:p>
          <w:p w:rsidR="002648B0" w:rsidRPr="00D51A68" w:rsidRDefault="002648B0" w:rsidP="007106FB">
            <w:pPr>
              <w:rPr>
                <w:rStyle w:val="InstructionsTabelleText"/>
                <w:rFonts w:ascii="Times New Roman" w:hAnsi="Times New Roman"/>
                <w:sz w:val="24"/>
              </w:rPr>
            </w:pPr>
            <w:r w:rsidRPr="00D51A68">
              <w:rPr>
                <w:rStyle w:val="InstructionsTabelleText"/>
                <w:rFonts w:ascii="Times New Roman" w:hAnsi="Times New Roman"/>
                <w:sz w:val="24"/>
              </w:rPr>
              <w:t>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importo da segnalare è uguale agli importi segnalati nelle rispettive colonne della riga 060 del modello CA 5.1.</w:t>
            </w:r>
          </w:p>
        </w:tc>
      </w:tr>
    </w:tbl>
    <w:p w:rsidR="002648B0" w:rsidRPr="00D51A68" w:rsidRDefault="002648B0" w:rsidP="00FC1A76">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D51A68" w:rsidTr="00672D2A">
        <w:tc>
          <w:tcPr>
            <w:tcW w:w="8181" w:type="dxa"/>
            <w:gridSpan w:val="2"/>
            <w:shd w:val="clear" w:color="auto" w:fill="D9D9D9"/>
          </w:tcPr>
          <w:p w:rsidR="005643EA" w:rsidRPr="00D51A68" w:rsidRDefault="002648B0" w:rsidP="00FC1A76">
            <w:pPr>
              <w:pStyle w:val="InstructionsText"/>
            </w:pPr>
            <w:r w:rsidRPr="00D51A68">
              <w:t>Righe</w:t>
            </w:r>
          </w:p>
        </w:tc>
      </w:tr>
      <w:tr w:rsidR="002648B0" w:rsidRPr="00D51A68" w:rsidTr="00672D2A">
        <w:tc>
          <w:tcPr>
            <w:tcW w:w="703" w:type="dxa"/>
          </w:tcPr>
          <w:p w:rsidR="002648B0" w:rsidRPr="00D51A68" w:rsidRDefault="002648B0"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010</w:t>
            </w:r>
          </w:p>
        </w:tc>
        <w:tc>
          <w:tcPr>
            <w:tcW w:w="7478" w:type="dxa"/>
          </w:tcPr>
          <w:p w:rsidR="005643EA" w:rsidRPr="00D51A68" w:rsidRDefault="00C66473"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1.</w:t>
            </w:r>
            <w:r w:rsidR="00A0772B" w:rsidRPr="00D51A68">
              <w:rPr>
                <w:u w:val="single"/>
              </w:rPr>
              <w:tab/>
            </w:r>
            <w:r w:rsidRPr="00D51A68">
              <w:rPr>
                <w:rStyle w:val="InstructionsTabelleberschrift"/>
                <w:rFonts w:ascii="Times New Roman" w:hAnsi="Times New Roman"/>
                <w:sz w:val="24"/>
              </w:rPr>
              <w:t>Strumenti ammissibili ai sensi dell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articolo 57, lettera a), della direttiva 2006/48/CE</w:t>
            </w:r>
          </w:p>
          <w:p w:rsidR="002648B0" w:rsidRPr="00D51A68" w:rsidRDefault="002648B0" w:rsidP="007106FB">
            <w:pPr>
              <w:rPr>
                <w:rStyle w:val="InstructionsTabelleText"/>
                <w:rFonts w:ascii="Times New Roman" w:hAnsi="Times New Roman"/>
                <w:sz w:val="24"/>
              </w:rPr>
            </w:pPr>
            <w:r w:rsidRPr="00D51A68">
              <w:rPr>
                <w:rStyle w:val="InstructionsTabelleText"/>
                <w:rFonts w:ascii="Times New Roman" w:hAnsi="Times New Roman"/>
                <w:sz w:val="24"/>
              </w:rPr>
              <w:t>Articolo 484, paragrafo 3, del CRR.</w:t>
            </w:r>
          </w:p>
          <w:p w:rsidR="002648B0" w:rsidRPr="00D51A68" w:rsidRDefault="002648B0" w:rsidP="007106FB">
            <w:pPr>
              <w:rPr>
                <w:rStyle w:val="InstructionsTabelleText"/>
                <w:rFonts w:ascii="Times New Roman" w:hAnsi="Times New Roman"/>
                <w:sz w:val="24"/>
              </w:rPr>
            </w:pPr>
            <w:r w:rsidRPr="00D51A68">
              <w:rPr>
                <w:rStyle w:val="InstructionsTabelleText"/>
                <w:rFonts w:ascii="Times New Roman" w:hAnsi="Times New Roman"/>
                <w:sz w:val="24"/>
              </w:rPr>
              <w:t>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importo da segnalare comprende le relative riserve sovrapprezzo azioni.</w:t>
            </w:r>
          </w:p>
        </w:tc>
      </w:tr>
      <w:tr w:rsidR="002648B0" w:rsidRPr="00D51A68" w:rsidTr="00672D2A">
        <w:tc>
          <w:tcPr>
            <w:tcW w:w="703" w:type="dxa"/>
          </w:tcPr>
          <w:p w:rsidR="002648B0" w:rsidRPr="00D51A68" w:rsidRDefault="002648B0" w:rsidP="00FE3E1C">
            <w:pPr>
              <w:pStyle w:val="InstructionsText"/>
              <w:keepNext/>
              <w:rPr>
                <w:rStyle w:val="InstructionsTabelleText"/>
                <w:rFonts w:ascii="Times New Roman" w:hAnsi="Times New Roman"/>
                <w:sz w:val="24"/>
              </w:rPr>
            </w:pPr>
            <w:r w:rsidRPr="00D51A68">
              <w:rPr>
                <w:rStyle w:val="InstructionsTabelleText"/>
                <w:rFonts w:ascii="Times New Roman" w:hAnsi="Times New Roman"/>
                <w:sz w:val="24"/>
              </w:rPr>
              <w:lastRenderedPageBreak/>
              <w:t>020</w:t>
            </w:r>
          </w:p>
        </w:tc>
        <w:tc>
          <w:tcPr>
            <w:tcW w:w="7478" w:type="dxa"/>
          </w:tcPr>
          <w:p w:rsidR="005643EA" w:rsidRPr="00D51A68" w:rsidRDefault="00C66473" w:rsidP="00FE3E1C">
            <w:pPr>
              <w:pStyle w:val="InstructionsText"/>
              <w:keepNext/>
              <w:rPr>
                <w:rStyle w:val="InstructionsTabelleText"/>
                <w:rFonts w:ascii="Times New Roman" w:hAnsi="Times New Roman"/>
                <w:b/>
                <w:sz w:val="24"/>
                <w:u w:val="single"/>
              </w:rPr>
            </w:pPr>
            <w:r w:rsidRPr="00D51A68">
              <w:rPr>
                <w:rStyle w:val="InstructionsTabelleberschrift"/>
                <w:rFonts w:ascii="Times New Roman" w:hAnsi="Times New Roman"/>
                <w:sz w:val="24"/>
              </w:rPr>
              <w:t>2.</w:t>
            </w:r>
            <w:r w:rsidR="00A0772B" w:rsidRPr="00D51A68">
              <w:rPr>
                <w:u w:val="single"/>
              </w:rPr>
              <w:tab/>
            </w:r>
            <w:r w:rsidRPr="00D51A68">
              <w:rPr>
                <w:rStyle w:val="InstructionsTabelleberschrift"/>
                <w:rFonts w:ascii="Times New Roman" w:hAnsi="Times New Roman"/>
                <w:sz w:val="24"/>
              </w:rPr>
              <w:t>Strumenti ammissibili ai sensi dell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articolo 57, lettera c bis), e dell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articolo 154, paragrafi 8 e 9, della direttiva 2006/48/CE, fatto salvo il limite di cui all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articolo 489</w:t>
            </w:r>
          </w:p>
          <w:p w:rsidR="002648B0" w:rsidRPr="00D51A68" w:rsidRDefault="002648B0" w:rsidP="00FE3E1C">
            <w:pPr>
              <w:keepNext/>
              <w:rPr>
                <w:rStyle w:val="InstructionsTabelleText"/>
                <w:rFonts w:ascii="Times New Roman" w:hAnsi="Times New Roman"/>
                <w:sz w:val="24"/>
              </w:rPr>
            </w:pPr>
            <w:r w:rsidRPr="00D51A68">
              <w:rPr>
                <w:rStyle w:val="InstructionsTabelleText"/>
                <w:rFonts w:ascii="Times New Roman" w:hAnsi="Times New Roman"/>
                <w:sz w:val="24"/>
              </w:rPr>
              <w:t>Articolo 484, paragrafo 4, del CRR.</w:t>
            </w:r>
          </w:p>
        </w:tc>
      </w:tr>
      <w:tr w:rsidR="002648B0" w:rsidRPr="00D51A68" w:rsidTr="00672D2A">
        <w:tc>
          <w:tcPr>
            <w:tcW w:w="703" w:type="dxa"/>
          </w:tcPr>
          <w:p w:rsidR="002648B0" w:rsidRPr="00D51A68" w:rsidRDefault="002648B0"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030</w:t>
            </w:r>
          </w:p>
        </w:tc>
        <w:tc>
          <w:tcPr>
            <w:tcW w:w="7478" w:type="dxa"/>
          </w:tcPr>
          <w:p w:rsidR="00496C53" w:rsidRPr="00D51A68" w:rsidRDefault="002648B0" w:rsidP="00FC1A76">
            <w:pPr>
              <w:pStyle w:val="InstructionsText"/>
              <w:rPr>
                <w:rStyle w:val="InstructionsTabelleText"/>
                <w:rFonts w:ascii="Times New Roman" w:hAnsi="Times New Roman"/>
                <w:b/>
                <w:sz w:val="24"/>
                <w:u w:val="single"/>
              </w:rPr>
            </w:pPr>
            <w:r w:rsidRPr="00D51A68">
              <w:rPr>
                <w:rStyle w:val="InstructionsTabelleberschrift"/>
                <w:rFonts w:ascii="Times New Roman" w:hAnsi="Times New Roman"/>
                <w:sz w:val="24"/>
              </w:rPr>
              <w:t>2.1</w:t>
            </w:r>
            <w:r w:rsidR="00A0772B" w:rsidRPr="00D51A68">
              <w:rPr>
                <w:u w:val="single"/>
              </w:rPr>
              <w:tab/>
            </w:r>
            <w:r w:rsidRPr="00D51A68">
              <w:rPr>
                <w:rStyle w:val="InstructionsTabelleberschrift"/>
                <w:rFonts w:ascii="Times New Roman" w:hAnsi="Times New Roman"/>
                <w:sz w:val="24"/>
              </w:rPr>
              <w:t>Strumenti totali senza opzione call o incentivo al rimborso</w:t>
            </w:r>
          </w:p>
          <w:p w:rsidR="002648B0" w:rsidRPr="00D51A68" w:rsidRDefault="002648B0" w:rsidP="00FC1A76">
            <w:pPr>
              <w:pStyle w:val="InstructionsText"/>
              <w:rPr>
                <w:rStyle w:val="InstructionsTabelleText"/>
                <w:rFonts w:ascii="Times New Roman" w:hAnsi="Times New Roman"/>
                <w:bCs/>
                <w:sz w:val="24"/>
              </w:rPr>
            </w:pPr>
            <w:r w:rsidRPr="00D51A68">
              <w:rPr>
                <w:rStyle w:val="InstructionsTabelleText"/>
                <w:rFonts w:ascii="Times New Roman" w:hAnsi="Times New Roman"/>
                <w:sz w:val="24"/>
              </w:rPr>
              <w:t>Articolo 484, paragrafo 1, punto 4, e articolo 489 del CRR.</w:t>
            </w:r>
          </w:p>
          <w:p w:rsidR="002648B0" w:rsidRPr="00D51A68" w:rsidRDefault="002648B0" w:rsidP="007106FB">
            <w:pPr>
              <w:rPr>
                <w:rStyle w:val="InstructionsTabelleText"/>
                <w:rFonts w:ascii="Times New Roman" w:hAnsi="Times New Roman"/>
                <w:sz w:val="24"/>
              </w:rPr>
            </w:pPr>
            <w:r w:rsidRPr="00D51A68">
              <w:rPr>
                <w:rStyle w:val="InstructionsTabelleText"/>
                <w:rFonts w:ascii="Times New Roman" w:hAnsi="Times New Roman"/>
                <w:sz w:val="24"/>
              </w:rPr>
              <w:t>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importo da segnalare comprende le relative riserve sovrapprezzo azioni.</w:t>
            </w:r>
          </w:p>
        </w:tc>
      </w:tr>
      <w:tr w:rsidR="002648B0" w:rsidRPr="00D51A68" w:rsidTr="00672D2A">
        <w:tc>
          <w:tcPr>
            <w:tcW w:w="703" w:type="dxa"/>
          </w:tcPr>
          <w:p w:rsidR="002648B0" w:rsidRPr="00D51A68" w:rsidRDefault="002648B0"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040</w:t>
            </w:r>
          </w:p>
        </w:tc>
        <w:tc>
          <w:tcPr>
            <w:tcW w:w="7478" w:type="dxa"/>
          </w:tcPr>
          <w:p w:rsidR="005643EA" w:rsidRPr="00D51A68" w:rsidRDefault="002648B0" w:rsidP="00FC1A76">
            <w:pPr>
              <w:pStyle w:val="InstructionsText"/>
              <w:rPr>
                <w:rStyle w:val="InstructionsTabelleText"/>
                <w:rFonts w:ascii="Times New Roman" w:hAnsi="Times New Roman"/>
                <w:b/>
                <w:sz w:val="24"/>
                <w:u w:val="single"/>
              </w:rPr>
            </w:pPr>
            <w:r w:rsidRPr="00D51A68">
              <w:rPr>
                <w:rStyle w:val="InstructionsTabelleberschrift"/>
                <w:rFonts w:ascii="Times New Roman" w:hAnsi="Times New Roman"/>
                <w:sz w:val="24"/>
              </w:rPr>
              <w:t>2.2</w:t>
            </w:r>
            <w:r w:rsidR="00A0772B" w:rsidRPr="00D51A68">
              <w:rPr>
                <w:u w:val="single"/>
              </w:rPr>
              <w:tab/>
            </w:r>
            <w:r w:rsidRPr="00D51A68">
              <w:rPr>
                <w:rStyle w:val="InstructionsTabelleberschrift"/>
                <w:rFonts w:ascii="Times New Roman" w:hAnsi="Times New Roman"/>
                <w:sz w:val="24"/>
              </w:rPr>
              <w:t>Strumenti con opzione call e incentivo al rimborso soggetti alla clausola grandfathering</w:t>
            </w:r>
          </w:p>
          <w:p w:rsidR="005643EA" w:rsidRPr="00D51A68" w:rsidRDefault="002648B0" w:rsidP="00FC1A76">
            <w:pPr>
              <w:pStyle w:val="InstructionsText"/>
              <w:rPr>
                <w:rStyle w:val="InstructionsTabelleText"/>
                <w:rFonts w:ascii="Times New Roman" w:hAnsi="Times New Roman"/>
                <w:bCs/>
                <w:sz w:val="24"/>
              </w:rPr>
            </w:pPr>
            <w:r w:rsidRPr="00D51A68">
              <w:rPr>
                <w:rStyle w:val="InstructionsTabelleText"/>
                <w:rFonts w:ascii="Times New Roman" w:hAnsi="Times New Roman"/>
                <w:sz w:val="24"/>
              </w:rPr>
              <w:t>Articolo 489 del CRR.</w:t>
            </w:r>
          </w:p>
        </w:tc>
      </w:tr>
      <w:tr w:rsidR="002648B0" w:rsidRPr="00D51A68" w:rsidTr="00672D2A">
        <w:tc>
          <w:tcPr>
            <w:tcW w:w="703" w:type="dxa"/>
          </w:tcPr>
          <w:p w:rsidR="002648B0" w:rsidRPr="00D51A68" w:rsidRDefault="002648B0"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050</w:t>
            </w:r>
          </w:p>
        </w:tc>
        <w:tc>
          <w:tcPr>
            <w:tcW w:w="7478" w:type="dxa"/>
          </w:tcPr>
          <w:p w:rsidR="005643EA" w:rsidRPr="00D51A68" w:rsidRDefault="002648B0" w:rsidP="00FC1A76">
            <w:pPr>
              <w:pStyle w:val="InstructionsText"/>
              <w:rPr>
                <w:rStyle w:val="InstructionsTabelleText"/>
                <w:rFonts w:ascii="Times New Roman" w:hAnsi="Times New Roman"/>
                <w:b/>
                <w:bCs/>
                <w:sz w:val="24"/>
                <w:u w:val="single"/>
              </w:rPr>
            </w:pPr>
            <w:r w:rsidRPr="00D51A68">
              <w:rPr>
                <w:rStyle w:val="InstructionsTabelleberschrift"/>
                <w:rFonts w:ascii="Times New Roman" w:hAnsi="Times New Roman"/>
                <w:sz w:val="24"/>
              </w:rPr>
              <w:t>2.2.1</w:t>
            </w:r>
            <w:r w:rsidR="00A0772B" w:rsidRPr="00D51A68">
              <w:rPr>
                <w:u w:val="single"/>
              </w:rPr>
              <w:tab/>
            </w:r>
            <w:r w:rsidRPr="00D51A68">
              <w:rPr>
                <w:rStyle w:val="InstructionsTabelleberschrift"/>
                <w:rFonts w:ascii="Times New Roman" w:hAnsi="Times New Roman"/>
                <w:sz w:val="24"/>
              </w:rPr>
              <w:t>Strumenti con opzione call esercitabile dopo la data di riferimento per le segnalazioni che soddisfano le condizioni di cui all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articolo 52 del CRR dopo la data di scadenza effettiva</w:t>
            </w:r>
          </w:p>
          <w:p w:rsidR="005643EA" w:rsidRPr="00D51A68" w:rsidRDefault="002648B0"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Articolo 489, paragrafo 3, e articolo 491, lettera a), del CRR.</w:t>
            </w:r>
          </w:p>
          <w:p w:rsidR="002648B0" w:rsidRPr="00D51A68" w:rsidRDefault="002648B0" w:rsidP="007106FB">
            <w:pPr>
              <w:rPr>
                <w:rStyle w:val="InstructionsTabelleText"/>
                <w:rFonts w:ascii="Times New Roman" w:hAnsi="Times New Roman"/>
                <w:sz w:val="24"/>
              </w:rPr>
            </w:pPr>
            <w:r w:rsidRPr="00D51A68">
              <w:rPr>
                <w:rStyle w:val="InstructionsTabelleText"/>
                <w:rFonts w:ascii="Times New Roman" w:hAnsi="Times New Roman"/>
                <w:sz w:val="24"/>
              </w:rPr>
              <w:t>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importo da segnalare comprende le relative riserve sovrapprezzo azioni.</w:t>
            </w:r>
          </w:p>
        </w:tc>
      </w:tr>
      <w:tr w:rsidR="002648B0" w:rsidRPr="00D51A68" w:rsidTr="00672D2A">
        <w:tc>
          <w:tcPr>
            <w:tcW w:w="703" w:type="dxa"/>
          </w:tcPr>
          <w:p w:rsidR="002648B0" w:rsidRPr="00D51A68" w:rsidRDefault="002648B0"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060</w:t>
            </w:r>
          </w:p>
        </w:tc>
        <w:tc>
          <w:tcPr>
            <w:tcW w:w="7478" w:type="dxa"/>
          </w:tcPr>
          <w:p w:rsidR="005643EA" w:rsidRPr="00D51A68" w:rsidRDefault="002648B0" w:rsidP="00FC1A76">
            <w:pPr>
              <w:pStyle w:val="InstructionsText"/>
              <w:rPr>
                <w:rStyle w:val="InstructionsTabelleText"/>
                <w:rFonts w:ascii="Times New Roman" w:hAnsi="Times New Roman"/>
                <w:b/>
                <w:sz w:val="24"/>
                <w:u w:val="single"/>
              </w:rPr>
            </w:pPr>
            <w:r w:rsidRPr="00D51A68">
              <w:rPr>
                <w:rStyle w:val="InstructionsTabelleberschrift"/>
                <w:rFonts w:ascii="Times New Roman" w:hAnsi="Times New Roman"/>
                <w:sz w:val="24"/>
              </w:rPr>
              <w:t>2.2.2</w:t>
            </w:r>
            <w:r w:rsidR="00A0772B" w:rsidRPr="00D51A68">
              <w:rPr>
                <w:u w:val="single"/>
              </w:rPr>
              <w:tab/>
            </w:r>
            <w:r w:rsidRPr="00D51A68">
              <w:rPr>
                <w:rStyle w:val="InstructionsTabelleberschrift"/>
                <w:rFonts w:ascii="Times New Roman" w:hAnsi="Times New Roman"/>
                <w:sz w:val="24"/>
              </w:rPr>
              <w:t>Strumenti con opzione call esercitabile dopo la data di riferimento per le segnalazioni che non soddisfano le condizioni di cui all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articolo 52 del CRR dopo la data di scadenza effettiva</w:t>
            </w:r>
          </w:p>
          <w:p w:rsidR="005643EA" w:rsidRPr="00D51A68" w:rsidRDefault="002648B0" w:rsidP="00FC1A76">
            <w:pPr>
              <w:pStyle w:val="InstructionsText"/>
              <w:rPr>
                <w:rStyle w:val="InstructionsTabelleText"/>
                <w:rFonts w:ascii="Times New Roman" w:hAnsi="Times New Roman"/>
                <w:bCs/>
                <w:sz w:val="24"/>
              </w:rPr>
            </w:pPr>
            <w:r w:rsidRPr="00D51A68">
              <w:rPr>
                <w:rStyle w:val="InstructionsTabelleText"/>
                <w:rFonts w:ascii="Times New Roman" w:hAnsi="Times New Roman"/>
                <w:sz w:val="24"/>
              </w:rPr>
              <w:t>Articolo 489, paragrafo 5, e articolo 491, lettera a), del CRR.</w:t>
            </w:r>
          </w:p>
          <w:p w:rsidR="002648B0" w:rsidRPr="00D51A68" w:rsidRDefault="002648B0" w:rsidP="007106FB">
            <w:pPr>
              <w:rPr>
                <w:rStyle w:val="InstructionsTabelleText"/>
                <w:rFonts w:ascii="Times New Roman" w:hAnsi="Times New Roman"/>
                <w:sz w:val="24"/>
              </w:rPr>
            </w:pPr>
            <w:r w:rsidRPr="00D51A68">
              <w:rPr>
                <w:rStyle w:val="InstructionsTabelleText"/>
                <w:rFonts w:ascii="Times New Roman" w:hAnsi="Times New Roman"/>
                <w:sz w:val="24"/>
              </w:rPr>
              <w:t>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importo da segnalare comprende le relative riserve sovrapprezzo azioni.</w:t>
            </w:r>
          </w:p>
        </w:tc>
      </w:tr>
      <w:tr w:rsidR="002648B0" w:rsidRPr="00D51A68" w:rsidTr="00672D2A">
        <w:tc>
          <w:tcPr>
            <w:tcW w:w="703" w:type="dxa"/>
          </w:tcPr>
          <w:p w:rsidR="002648B0" w:rsidRPr="00D51A68" w:rsidRDefault="002648B0"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070</w:t>
            </w:r>
          </w:p>
        </w:tc>
        <w:tc>
          <w:tcPr>
            <w:tcW w:w="7478" w:type="dxa"/>
          </w:tcPr>
          <w:p w:rsidR="005643EA" w:rsidRPr="00D51A68" w:rsidRDefault="002648B0" w:rsidP="00FC1A76">
            <w:pPr>
              <w:pStyle w:val="InstructionsText"/>
              <w:rPr>
                <w:rStyle w:val="InstructionsTabelleText"/>
                <w:rFonts w:ascii="Times New Roman" w:hAnsi="Times New Roman"/>
                <w:b/>
                <w:sz w:val="24"/>
                <w:u w:val="single"/>
              </w:rPr>
            </w:pPr>
            <w:r w:rsidRPr="00D51A68">
              <w:rPr>
                <w:rStyle w:val="InstructionsTabelleberschrift"/>
                <w:rFonts w:ascii="Times New Roman" w:hAnsi="Times New Roman"/>
                <w:sz w:val="24"/>
              </w:rPr>
              <w:t>2.2.3</w:t>
            </w:r>
            <w:r w:rsidR="00A0772B" w:rsidRPr="00D51A68">
              <w:rPr>
                <w:u w:val="single"/>
              </w:rPr>
              <w:tab/>
            </w:r>
            <w:r w:rsidRPr="00D51A68">
              <w:rPr>
                <w:rStyle w:val="InstructionsTabelleberschrift"/>
                <w:rFonts w:ascii="Times New Roman" w:hAnsi="Times New Roman"/>
                <w:sz w:val="24"/>
              </w:rPr>
              <w:t>Strumenti con opzione call esercitabile prima del o il 20 luglio 2011 che non soddisfano le condizioni di cui all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articolo 52 del CRR dopo la data di scadenza effettiva</w:t>
            </w:r>
          </w:p>
          <w:p w:rsidR="005643EA" w:rsidRPr="00D51A68" w:rsidRDefault="002648B0" w:rsidP="00FC1A76">
            <w:pPr>
              <w:pStyle w:val="InstructionsText"/>
              <w:rPr>
                <w:rStyle w:val="InstructionsTabelleText"/>
                <w:rFonts w:ascii="Times New Roman" w:hAnsi="Times New Roman"/>
                <w:bCs/>
                <w:sz w:val="24"/>
              </w:rPr>
            </w:pPr>
            <w:r w:rsidRPr="00D51A68">
              <w:rPr>
                <w:rStyle w:val="InstructionsTabelleText"/>
                <w:rFonts w:ascii="Times New Roman" w:hAnsi="Times New Roman"/>
                <w:sz w:val="24"/>
              </w:rPr>
              <w:t>Articolo 489, paragrafo 6, e articolo 491, lettera c), del CRR.</w:t>
            </w:r>
          </w:p>
          <w:p w:rsidR="002648B0" w:rsidRPr="00D51A68" w:rsidRDefault="002648B0"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importo da segnalare comprende le relative riserve sovrapprezzo azioni.</w:t>
            </w:r>
          </w:p>
        </w:tc>
      </w:tr>
      <w:tr w:rsidR="002648B0" w:rsidRPr="00D51A68" w:rsidTr="00672D2A">
        <w:tc>
          <w:tcPr>
            <w:tcW w:w="703" w:type="dxa"/>
          </w:tcPr>
          <w:p w:rsidR="002648B0" w:rsidRPr="00D51A68" w:rsidRDefault="002648B0"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080</w:t>
            </w:r>
          </w:p>
        </w:tc>
        <w:tc>
          <w:tcPr>
            <w:tcW w:w="7478" w:type="dxa"/>
          </w:tcPr>
          <w:p w:rsidR="005643EA" w:rsidRPr="00D51A68" w:rsidRDefault="002648B0" w:rsidP="00FC1A76">
            <w:pPr>
              <w:pStyle w:val="InstructionsText"/>
              <w:rPr>
                <w:rStyle w:val="InstructionsTabelleText"/>
                <w:rFonts w:ascii="Times New Roman" w:hAnsi="Times New Roman"/>
                <w:b/>
                <w:bCs/>
                <w:sz w:val="24"/>
                <w:u w:val="single"/>
              </w:rPr>
            </w:pPr>
            <w:r w:rsidRPr="00D51A68">
              <w:rPr>
                <w:rStyle w:val="InstructionsTabelleberschrift"/>
                <w:rFonts w:ascii="Times New Roman" w:hAnsi="Times New Roman"/>
                <w:sz w:val="24"/>
              </w:rPr>
              <w:t>2.3</w:t>
            </w:r>
            <w:r w:rsidR="00A0772B" w:rsidRPr="00D51A68">
              <w:rPr>
                <w:u w:val="single"/>
              </w:rPr>
              <w:tab/>
            </w:r>
            <w:r w:rsidRPr="00D51A68">
              <w:rPr>
                <w:rStyle w:val="InstructionsTabelleberschrift"/>
                <w:rFonts w:ascii="Times New Roman" w:hAnsi="Times New Roman"/>
                <w:sz w:val="24"/>
              </w:rPr>
              <w:t>Superamento del limite degli strumenti di capitale primario di classe 1 soggetti alla clausola grandfathering</w:t>
            </w:r>
          </w:p>
          <w:p w:rsidR="002648B0" w:rsidRPr="00D51A68" w:rsidRDefault="002648B0"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Articolo 487, paragrafo 1, del CRR.</w:t>
            </w:r>
          </w:p>
          <w:p w:rsidR="002648B0" w:rsidRPr="00D51A68" w:rsidRDefault="002648B0"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importo eccedente il limite degli strumenti</w:t>
            </w:r>
            <w:r w:rsidR="00CD5A1E" w:rsidRPr="00D51A68">
              <w:rPr>
                <w:rStyle w:val="InstructionsTabelleText"/>
                <w:rFonts w:ascii="Times New Roman" w:hAnsi="Times New Roman"/>
                <w:sz w:val="24"/>
              </w:rPr>
              <w:t xml:space="preserve"> di capitale primario di classe </w:t>
            </w:r>
            <w:r w:rsidRPr="00D51A68">
              <w:rPr>
                <w:rStyle w:val="InstructionsTabelleText"/>
                <w:rFonts w:ascii="Times New Roman" w:hAnsi="Times New Roman"/>
                <w:sz w:val="24"/>
              </w:rPr>
              <w:t>1 soggetti alla clausola grandfathering può essere trattato alla stregua degli strumenti assoggettabili alla clausola grandfathering come strumenti di capitale aggiuntivo di classe 1.</w:t>
            </w:r>
          </w:p>
        </w:tc>
      </w:tr>
      <w:tr w:rsidR="002648B0" w:rsidRPr="00D51A68" w:rsidTr="00672D2A">
        <w:tc>
          <w:tcPr>
            <w:tcW w:w="703" w:type="dxa"/>
          </w:tcPr>
          <w:p w:rsidR="002648B0" w:rsidRPr="00D51A68" w:rsidRDefault="002648B0"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090</w:t>
            </w:r>
          </w:p>
        </w:tc>
        <w:tc>
          <w:tcPr>
            <w:tcW w:w="7478" w:type="dxa"/>
          </w:tcPr>
          <w:p w:rsidR="005643EA" w:rsidRPr="00D51A68" w:rsidRDefault="00C66473" w:rsidP="00FC1A76">
            <w:pPr>
              <w:pStyle w:val="InstructionsText"/>
              <w:rPr>
                <w:rStyle w:val="InstructionsTabelleText"/>
                <w:rFonts w:ascii="Times New Roman" w:hAnsi="Times New Roman"/>
                <w:b/>
                <w:sz w:val="24"/>
                <w:u w:val="single"/>
              </w:rPr>
            </w:pPr>
            <w:r w:rsidRPr="00D51A68">
              <w:rPr>
                <w:rStyle w:val="InstructionsTabelleberschrift"/>
                <w:rFonts w:ascii="Times New Roman" w:hAnsi="Times New Roman"/>
                <w:sz w:val="24"/>
              </w:rPr>
              <w:t>3.</w:t>
            </w:r>
            <w:r w:rsidR="00A0772B" w:rsidRPr="00D51A68">
              <w:rPr>
                <w:u w:val="single"/>
              </w:rPr>
              <w:tab/>
            </w:r>
            <w:r w:rsidRPr="00D51A68">
              <w:rPr>
                <w:rStyle w:val="InstructionsTabelleberschrift"/>
                <w:rFonts w:ascii="Times New Roman" w:hAnsi="Times New Roman"/>
                <w:sz w:val="24"/>
              </w:rPr>
              <w:t>Elementi ammissibili ai sensi dell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articolo 57, lettere e), f), g) o h), della direttiva 2006/48/CE, fatto salvo il limite di cui all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articolo 490</w:t>
            </w:r>
          </w:p>
          <w:p w:rsidR="005643EA" w:rsidRPr="00D51A68" w:rsidRDefault="002648B0" w:rsidP="00FC1A76">
            <w:pPr>
              <w:pStyle w:val="InstructionsText"/>
              <w:rPr>
                <w:rStyle w:val="InstructionsTabelleText"/>
                <w:rFonts w:ascii="Times New Roman" w:hAnsi="Times New Roman"/>
                <w:bCs/>
                <w:sz w:val="24"/>
              </w:rPr>
            </w:pPr>
            <w:r w:rsidRPr="00D51A68">
              <w:rPr>
                <w:rStyle w:val="InstructionsTabelleText"/>
                <w:rFonts w:ascii="Times New Roman" w:hAnsi="Times New Roman"/>
                <w:sz w:val="24"/>
              </w:rPr>
              <w:t>Articolo 484, paragrafo 5, del CRR.</w:t>
            </w:r>
          </w:p>
        </w:tc>
      </w:tr>
      <w:tr w:rsidR="002648B0" w:rsidRPr="00D51A68" w:rsidTr="00672D2A">
        <w:tc>
          <w:tcPr>
            <w:tcW w:w="703" w:type="dxa"/>
          </w:tcPr>
          <w:p w:rsidR="002648B0" w:rsidRPr="00D51A68" w:rsidRDefault="002648B0"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100</w:t>
            </w:r>
          </w:p>
        </w:tc>
        <w:tc>
          <w:tcPr>
            <w:tcW w:w="7478" w:type="dxa"/>
          </w:tcPr>
          <w:p w:rsidR="005643EA" w:rsidRPr="00D51A68" w:rsidRDefault="002648B0" w:rsidP="00FC1A76">
            <w:pPr>
              <w:pStyle w:val="InstructionsText"/>
              <w:rPr>
                <w:rStyle w:val="InstructionsTabelleText"/>
                <w:rFonts w:ascii="Times New Roman" w:hAnsi="Times New Roman"/>
                <w:b/>
                <w:bCs/>
                <w:sz w:val="24"/>
                <w:u w:val="single"/>
              </w:rPr>
            </w:pPr>
            <w:r w:rsidRPr="00D51A68">
              <w:rPr>
                <w:rStyle w:val="InstructionsTabelleberschrift"/>
                <w:rFonts w:ascii="Times New Roman" w:hAnsi="Times New Roman"/>
                <w:sz w:val="24"/>
              </w:rPr>
              <w:t>3.1</w:t>
            </w:r>
            <w:r w:rsidR="00A0772B" w:rsidRPr="00D51A68">
              <w:rPr>
                <w:u w:val="single"/>
              </w:rPr>
              <w:tab/>
            </w:r>
            <w:r w:rsidRPr="00D51A68">
              <w:rPr>
                <w:rStyle w:val="InstructionsTabelleberschrift"/>
                <w:rFonts w:ascii="Times New Roman" w:hAnsi="Times New Roman"/>
                <w:sz w:val="24"/>
              </w:rPr>
              <w:t>Elementi totali senza incentivo al rimborso</w:t>
            </w:r>
          </w:p>
          <w:p w:rsidR="005643EA" w:rsidRPr="00D51A68" w:rsidRDefault="002648B0"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Articolo 490 del CRR.</w:t>
            </w:r>
          </w:p>
        </w:tc>
      </w:tr>
      <w:tr w:rsidR="002648B0" w:rsidRPr="00D51A68" w:rsidTr="00672D2A">
        <w:tc>
          <w:tcPr>
            <w:tcW w:w="703" w:type="dxa"/>
          </w:tcPr>
          <w:p w:rsidR="002648B0" w:rsidRPr="00D51A68" w:rsidRDefault="002648B0" w:rsidP="00CD5A1E">
            <w:pPr>
              <w:pStyle w:val="InstructionsText"/>
              <w:keepNext/>
              <w:rPr>
                <w:rStyle w:val="InstructionsTabelleText"/>
                <w:rFonts w:ascii="Times New Roman" w:hAnsi="Times New Roman"/>
                <w:sz w:val="24"/>
              </w:rPr>
            </w:pPr>
            <w:r w:rsidRPr="00D51A68">
              <w:rPr>
                <w:rStyle w:val="InstructionsTabelleText"/>
                <w:rFonts w:ascii="Times New Roman" w:hAnsi="Times New Roman"/>
                <w:sz w:val="24"/>
              </w:rPr>
              <w:lastRenderedPageBreak/>
              <w:t>110</w:t>
            </w:r>
          </w:p>
        </w:tc>
        <w:tc>
          <w:tcPr>
            <w:tcW w:w="7478" w:type="dxa"/>
          </w:tcPr>
          <w:p w:rsidR="005643EA" w:rsidRPr="00D51A68" w:rsidRDefault="002648B0" w:rsidP="00CD5A1E">
            <w:pPr>
              <w:pStyle w:val="InstructionsText"/>
              <w:keepNext/>
              <w:rPr>
                <w:rStyle w:val="InstructionsTabelleText"/>
                <w:rFonts w:ascii="Times New Roman" w:hAnsi="Times New Roman"/>
                <w:b/>
                <w:bCs/>
                <w:sz w:val="24"/>
                <w:u w:val="single"/>
              </w:rPr>
            </w:pPr>
            <w:r w:rsidRPr="00D51A68">
              <w:rPr>
                <w:rStyle w:val="InstructionsTabelleberschrift"/>
                <w:rFonts w:ascii="Times New Roman" w:hAnsi="Times New Roman"/>
                <w:sz w:val="24"/>
              </w:rPr>
              <w:t>3.2</w:t>
            </w:r>
            <w:r w:rsidR="00A0772B" w:rsidRPr="00D51A68">
              <w:rPr>
                <w:u w:val="single"/>
              </w:rPr>
              <w:tab/>
            </w:r>
            <w:r w:rsidRPr="00D51A68">
              <w:rPr>
                <w:rStyle w:val="InstructionsTabelleberschrift"/>
                <w:rFonts w:ascii="Times New Roman" w:hAnsi="Times New Roman"/>
                <w:sz w:val="24"/>
              </w:rPr>
              <w:t>Elementi con incentivo al rimborso soggetti alla clausola grandfathering</w:t>
            </w:r>
          </w:p>
          <w:p w:rsidR="005643EA" w:rsidRPr="00D51A68" w:rsidRDefault="002648B0" w:rsidP="00CD5A1E">
            <w:pPr>
              <w:pStyle w:val="InstructionsText"/>
              <w:keepNext/>
              <w:rPr>
                <w:rStyle w:val="InstructionsTabelleText"/>
                <w:rFonts w:ascii="Times New Roman" w:hAnsi="Times New Roman"/>
                <w:sz w:val="24"/>
              </w:rPr>
            </w:pPr>
            <w:r w:rsidRPr="00D51A68">
              <w:rPr>
                <w:rStyle w:val="InstructionsTabelleText"/>
                <w:rFonts w:ascii="Times New Roman" w:hAnsi="Times New Roman"/>
                <w:sz w:val="24"/>
              </w:rPr>
              <w:t>Articolo 490 del CRR.</w:t>
            </w:r>
          </w:p>
        </w:tc>
      </w:tr>
      <w:tr w:rsidR="002648B0" w:rsidRPr="00D51A68" w:rsidTr="00672D2A">
        <w:tc>
          <w:tcPr>
            <w:tcW w:w="703" w:type="dxa"/>
          </w:tcPr>
          <w:p w:rsidR="002648B0" w:rsidRPr="00D51A68" w:rsidRDefault="002648B0"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120</w:t>
            </w:r>
          </w:p>
        </w:tc>
        <w:tc>
          <w:tcPr>
            <w:tcW w:w="7478" w:type="dxa"/>
          </w:tcPr>
          <w:p w:rsidR="005643EA" w:rsidRPr="00D51A68" w:rsidRDefault="002648B0" w:rsidP="00FC1A76">
            <w:pPr>
              <w:pStyle w:val="InstructionsText"/>
              <w:rPr>
                <w:rStyle w:val="InstructionsTabelleText"/>
                <w:rFonts w:ascii="Times New Roman" w:hAnsi="Times New Roman"/>
                <w:b/>
                <w:bCs/>
                <w:sz w:val="24"/>
                <w:u w:val="single"/>
              </w:rPr>
            </w:pPr>
            <w:r w:rsidRPr="00D51A68">
              <w:rPr>
                <w:rStyle w:val="InstructionsTabelleberschrift"/>
                <w:rFonts w:ascii="Times New Roman" w:hAnsi="Times New Roman"/>
                <w:sz w:val="24"/>
              </w:rPr>
              <w:t>3.2.1</w:t>
            </w:r>
            <w:r w:rsidR="00A0772B" w:rsidRPr="00D51A68">
              <w:rPr>
                <w:u w:val="single"/>
              </w:rPr>
              <w:tab/>
            </w:r>
            <w:r w:rsidRPr="00D51A68">
              <w:rPr>
                <w:rStyle w:val="InstructionsTabelleberschrift"/>
                <w:rFonts w:ascii="Times New Roman" w:hAnsi="Times New Roman"/>
                <w:sz w:val="24"/>
              </w:rPr>
              <w:t>Elementi con opzione call esercitabile dopo la data di riferimento per le segnalazioni che soddisfano le condizioni di cui all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articolo 63 del CRR dopo la data di scadenza effettiva</w:t>
            </w:r>
          </w:p>
          <w:p w:rsidR="002648B0" w:rsidRPr="00D51A68" w:rsidRDefault="002648B0" w:rsidP="007106FB">
            <w:pPr>
              <w:rPr>
                <w:rStyle w:val="InstructionsTabelleText"/>
                <w:rFonts w:ascii="Times New Roman" w:hAnsi="Times New Roman"/>
                <w:sz w:val="24"/>
              </w:rPr>
            </w:pPr>
            <w:r w:rsidRPr="00D51A68">
              <w:rPr>
                <w:rStyle w:val="InstructionsTabelleText"/>
                <w:rFonts w:ascii="Times New Roman" w:hAnsi="Times New Roman"/>
                <w:sz w:val="24"/>
              </w:rPr>
              <w:t>Articolo 490, paragrafo 3, e articolo 491, lettera a), del CRR.</w:t>
            </w:r>
          </w:p>
          <w:p w:rsidR="002648B0" w:rsidRPr="00D51A68" w:rsidRDefault="002648B0" w:rsidP="007106FB">
            <w:pPr>
              <w:rPr>
                <w:rStyle w:val="InstructionsTabelleText"/>
                <w:rFonts w:ascii="Times New Roman" w:hAnsi="Times New Roman"/>
                <w:sz w:val="24"/>
              </w:rPr>
            </w:pPr>
            <w:r w:rsidRPr="00D51A68">
              <w:rPr>
                <w:rStyle w:val="InstructionsTabelleText"/>
                <w:rFonts w:ascii="Times New Roman" w:hAnsi="Times New Roman"/>
                <w:sz w:val="24"/>
              </w:rPr>
              <w:t>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importo da segnalare comprende le relative riserve sovrapprezzo azioni.</w:t>
            </w:r>
          </w:p>
        </w:tc>
      </w:tr>
      <w:tr w:rsidR="002648B0" w:rsidRPr="00D51A68" w:rsidTr="00672D2A">
        <w:tc>
          <w:tcPr>
            <w:tcW w:w="703" w:type="dxa"/>
          </w:tcPr>
          <w:p w:rsidR="002648B0" w:rsidRPr="00D51A68" w:rsidRDefault="002648B0"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130</w:t>
            </w:r>
          </w:p>
        </w:tc>
        <w:tc>
          <w:tcPr>
            <w:tcW w:w="7478" w:type="dxa"/>
          </w:tcPr>
          <w:p w:rsidR="005643EA" w:rsidRPr="00D51A68" w:rsidRDefault="002648B0" w:rsidP="00FC1A76">
            <w:pPr>
              <w:pStyle w:val="InstructionsText"/>
              <w:rPr>
                <w:rStyle w:val="InstructionsTabelleText"/>
                <w:rFonts w:ascii="Times New Roman" w:hAnsi="Times New Roman"/>
                <w:b/>
                <w:sz w:val="24"/>
                <w:u w:val="single"/>
              </w:rPr>
            </w:pPr>
            <w:r w:rsidRPr="00D51A68">
              <w:rPr>
                <w:rStyle w:val="InstructionsTabelleberschrift"/>
                <w:rFonts w:ascii="Times New Roman" w:hAnsi="Times New Roman"/>
                <w:sz w:val="24"/>
              </w:rPr>
              <w:t>3.2.2</w:t>
            </w:r>
            <w:r w:rsidR="00A0772B" w:rsidRPr="00D51A68">
              <w:rPr>
                <w:u w:val="single"/>
              </w:rPr>
              <w:tab/>
            </w:r>
            <w:r w:rsidRPr="00D51A68">
              <w:rPr>
                <w:rStyle w:val="InstructionsTabelleberschrift"/>
                <w:rFonts w:ascii="Times New Roman" w:hAnsi="Times New Roman"/>
                <w:sz w:val="24"/>
              </w:rPr>
              <w:t>Elementi con opzione call esercitabile dopo la data di riferimento per le segnalazioni che non soddisfano le condizioni di cui all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articolo 63 del CRR dopo la data di scadenza effettiva</w:t>
            </w:r>
          </w:p>
          <w:p w:rsidR="002648B0" w:rsidRPr="00D51A68" w:rsidRDefault="002648B0" w:rsidP="007106FB">
            <w:pPr>
              <w:rPr>
                <w:rStyle w:val="InstructionsTabelleText"/>
                <w:rFonts w:ascii="Times New Roman" w:hAnsi="Times New Roman"/>
                <w:sz w:val="24"/>
              </w:rPr>
            </w:pPr>
            <w:r w:rsidRPr="00D51A68">
              <w:rPr>
                <w:rStyle w:val="InstructionsTabelleText"/>
                <w:rFonts w:ascii="Times New Roman" w:hAnsi="Times New Roman"/>
                <w:sz w:val="24"/>
              </w:rPr>
              <w:t>Articolo 490, paragrafo 5, e articolo 491, lettera a), del CRR.</w:t>
            </w:r>
          </w:p>
          <w:p w:rsidR="002648B0" w:rsidRPr="00D51A68" w:rsidRDefault="007C3B71" w:rsidP="007106FB">
            <w:pPr>
              <w:rPr>
                <w:rStyle w:val="InstructionsTabelleText"/>
                <w:rFonts w:ascii="Times New Roman" w:hAnsi="Times New Roman"/>
                <w:sz w:val="24"/>
              </w:rPr>
            </w:pPr>
            <w:r w:rsidRPr="00D51A68">
              <w:rPr>
                <w:rStyle w:val="InstructionsTabelleText"/>
                <w:rFonts w:ascii="Times New Roman" w:hAnsi="Times New Roman"/>
                <w:sz w:val="24"/>
              </w:rPr>
              <w:t>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importo da segnalare comprende le relative riserve sovrapprezzo azioni.</w:t>
            </w:r>
          </w:p>
        </w:tc>
      </w:tr>
      <w:tr w:rsidR="002648B0" w:rsidRPr="00D51A68" w:rsidTr="00672D2A">
        <w:tc>
          <w:tcPr>
            <w:tcW w:w="703" w:type="dxa"/>
          </w:tcPr>
          <w:p w:rsidR="002648B0" w:rsidRPr="00D51A68" w:rsidRDefault="002648B0"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140</w:t>
            </w:r>
          </w:p>
        </w:tc>
        <w:tc>
          <w:tcPr>
            <w:tcW w:w="7478" w:type="dxa"/>
          </w:tcPr>
          <w:p w:rsidR="00496C53" w:rsidRPr="00D51A68" w:rsidRDefault="002648B0" w:rsidP="00FC1A76">
            <w:pPr>
              <w:pStyle w:val="InstructionsText"/>
              <w:rPr>
                <w:rStyle w:val="InstructionsTabelleberschrift"/>
                <w:rFonts w:ascii="Times New Roman" w:hAnsi="Times New Roman"/>
                <w:bCs w:val="0"/>
                <w:sz w:val="24"/>
              </w:rPr>
            </w:pPr>
            <w:r w:rsidRPr="00D51A68">
              <w:rPr>
                <w:rStyle w:val="InstructionsTabelleberschrift"/>
                <w:rFonts w:ascii="Times New Roman" w:hAnsi="Times New Roman"/>
                <w:sz w:val="24"/>
              </w:rPr>
              <w:t>3.2.3</w:t>
            </w:r>
            <w:r w:rsidR="00A0772B" w:rsidRPr="00D51A68">
              <w:rPr>
                <w:u w:val="single"/>
              </w:rPr>
              <w:tab/>
            </w:r>
            <w:r w:rsidRPr="00D51A68">
              <w:rPr>
                <w:rStyle w:val="InstructionsTabelleberschrift"/>
                <w:rFonts w:ascii="Times New Roman" w:hAnsi="Times New Roman"/>
                <w:sz w:val="24"/>
              </w:rPr>
              <w:t>Elementi con opzione call esercitabile prima del o il 20 luglio 2011 e che non soddisfano le condizioni di cui all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articolo 63 del CRR dopo la data di scadenza effettiva</w:t>
            </w:r>
          </w:p>
          <w:p w:rsidR="002648B0" w:rsidRPr="00D51A68" w:rsidRDefault="002648B0" w:rsidP="007106FB">
            <w:pPr>
              <w:rPr>
                <w:rStyle w:val="InstructionsTabelleText"/>
                <w:rFonts w:ascii="Times New Roman" w:hAnsi="Times New Roman"/>
                <w:sz w:val="24"/>
              </w:rPr>
            </w:pPr>
            <w:r w:rsidRPr="00D51A68">
              <w:rPr>
                <w:rStyle w:val="InstructionsTabelleText"/>
                <w:rFonts w:ascii="Times New Roman" w:hAnsi="Times New Roman"/>
                <w:sz w:val="24"/>
              </w:rPr>
              <w:t xml:space="preserve">Articolo 490, paragrafo 6, e articolo 491, lettera c), del CRR. </w:t>
            </w:r>
          </w:p>
          <w:p w:rsidR="002648B0" w:rsidRPr="00D51A68" w:rsidRDefault="002648B0"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importo da segnalare comprende le relative riserve sovrapprezzo azioni.</w:t>
            </w:r>
          </w:p>
        </w:tc>
      </w:tr>
      <w:tr w:rsidR="002648B0" w:rsidRPr="00D51A68" w:rsidTr="00672D2A">
        <w:tc>
          <w:tcPr>
            <w:tcW w:w="703" w:type="dxa"/>
          </w:tcPr>
          <w:p w:rsidR="002648B0" w:rsidRPr="00D51A68" w:rsidRDefault="002648B0" w:rsidP="00FC1A76">
            <w:pPr>
              <w:pStyle w:val="InstructionsText"/>
              <w:rPr>
                <w:rStyle w:val="InstructionsTabelleText"/>
                <w:rFonts w:ascii="Times New Roman" w:hAnsi="Times New Roman"/>
                <w:sz w:val="24"/>
              </w:rPr>
            </w:pPr>
            <w:r w:rsidRPr="00D51A68">
              <w:rPr>
                <w:rStyle w:val="InstructionsTabelleText"/>
                <w:rFonts w:ascii="Times New Roman" w:hAnsi="Times New Roman"/>
                <w:sz w:val="24"/>
              </w:rPr>
              <w:t>150</w:t>
            </w:r>
          </w:p>
        </w:tc>
        <w:tc>
          <w:tcPr>
            <w:tcW w:w="7478" w:type="dxa"/>
          </w:tcPr>
          <w:p w:rsidR="005643EA" w:rsidRPr="00D51A68" w:rsidRDefault="002648B0"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3.3</w:t>
            </w:r>
            <w:r w:rsidR="00A0772B" w:rsidRPr="00D51A68">
              <w:rPr>
                <w:u w:val="single"/>
              </w:rPr>
              <w:tab/>
            </w:r>
            <w:r w:rsidRPr="00D51A68">
              <w:rPr>
                <w:rStyle w:val="InstructionsTabelleberschrift"/>
                <w:rFonts w:ascii="Times New Roman" w:hAnsi="Times New Roman"/>
                <w:sz w:val="24"/>
              </w:rPr>
              <w:t>Superamento del limite degli strumenti di capitale aggiuntivo di classe 1 soggetti alla clausola grandfathering</w:t>
            </w:r>
          </w:p>
          <w:p w:rsidR="002648B0" w:rsidRPr="00D51A68" w:rsidRDefault="002648B0" w:rsidP="007106FB">
            <w:pPr>
              <w:rPr>
                <w:rStyle w:val="InstructionsTabelleText"/>
                <w:rFonts w:ascii="Times New Roman" w:hAnsi="Times New Roman"/>
                <w:sz w:val="24"/>
              </w:rPr>
            </w:pPr>
            <w:r w:rsidRPr="00D51A68">
              <w:rPr>
                <w:rStyle w:val="InstructionsTabelleText"/>
                <w:rFonts w:ascii="Times New Roman" w:hAnsi="Times New Roman"/>
                <w:sz w:val="24"/>
              </w:rPr>
              <w:t xml:space="preserve">Articolo 487, paragrafo 2, del CRR. </w:t>
            </w:r>
          </w:p>
          <w:p w:rsidR="002648B0" w:rsidRPr="00D51A68" w:rsidRDefault="002648B0" w:rsidP="007106FB">
            <w:pPr>
              <w:rPr>
                <w:rStyle w:val="InstructionsTabelleText"/>
                <w:rFonts w:ascii="Times New Roman" w:hAnsi="Times New Roman"/>
                <w:sz w:val="24"/>
              </w:rPr>
            </w:pPr>
            <w:r w:rsidRPr="00D51A68">
              <w:rPr>
                <w:rStyle w:val="InstructionsTabelleText"/>
                <w:rFonts w:ascii="Times New Roman" w:hAnsi="Times New Roman"/>
                <w:sz w:val="24"/>
              </w:rPr>
              <w:t>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importo eccedente il limite degli strumenti di capitale aggiuntivo di classe 1 soggetti alla clausola grandfathering può essere trattato alla stregua degli strumenti assoggettabili alla clausola grandfathering come strumenti di classe 2.</w:t>
            </w:r>
          </w:p>
        </w:tc>
      </w:tr>
    </w:tbl>
    <w:p w:rsidR="00464F34" w:rsidRPr="00D51A68" w:rsidRDefault="00464F34">
      <w:pPr>
        <w:spacing w:before="0" w:after="0"/>
        <w:jc w:val="left"/>
        <w:rPr>
          <w:rFonts w:ascii="Times New Roman" w:hAnsi="Times New Roman"/>
          <w:sz w:val="24"/>
          <w:u w:val="single"/>
        </w:rPr>
      </w:pPr>
      <w:bookmarkStart w:id="116" w:name="_Toc239157372"/>
      <w:bookmarkStart w:id="117" w:name="_Toc295829844"/>
      <w:bookmarkStart w:id="118" w:name="_Toc330394185"/>
      <w:bookmarkEnd w:id="0"/>
      <w:bookmarkEnd w:id="1"/>
    </w:p>
    <w:p w:rsidR="00464F34" w:rsidRPr="00D51A68" w:rsidRDefault="00125707" w:rsidP="0023700C">
      <w:pPr>
        <w:pStyle w:val="Instructionsberschrift2"/>
        <w:numPr>
          <w:ilvl w:val="0"/>
          <w:numId w:val="0"/>
        </w:numPr>
        <w:ind w:left="357" w:hanging="357"/>
        <w:rPr>
          <w:rFonts w:ascii="Times New Roman" w:hAnsi="Times New Roman" w:cs="Times New Roman"/>
          <w:sz w:val="24"/>
        </w:rPr>
      </w:pPr>
      <w:bookmarkStart w:id="119" w:name="_Toc360188339"/>
      <w:bookmarkStart w:id="120" w:name="_Toc516210622"/>
      <w:bookmarkStart w:id="121" w:name="_Toc473560887"/>
      <w:bookmarkStart w:id="122" w:name="_Toc524096567"/>
      <w:bookmarkEnd w:id="116"/>
      <w:bookmarkEnd w:id="117"/>
      <w:bookmarkEnd w:id="118"/>
      <w:r w:rsidRPr="00D51A68">
        <w:rPr>
          <w:rFonts w:ascii="Times New Roman" w:hAnsi="Times New Roman"/>
          <w:sz w:val="24"/>
          <w:u w:val="none"/>
        </w:rPr>
        <w:t>2.</w:t>
      </w:r>
      <w:r w:rsidR="00A0772B" w:rsidRPr="00D51A68">
        <w:rPr>
          <w:u w:val="none"/>
        </w:rPr>
        <w:tab/>
      </w:r>
      <w:r w:rsidRPr="00D51A68">
        <w:rPr>
          <w:rFonts w:ascii="Times New Roman" w:hAnsi="Times New Roman"/>
          <w:sz w:val="24"/>
        </w:rPr>
        <w:t>SOLVIBILITÀ DEL GRUPPO: INFORMAZIONI SULLE FILIAZIONI (GS</w:t>
      </w:r>
      <w:bookmarkEnd w:id="119"/>
      <w:r w:rsidRPr="00D51A68">
        <w:rPr>
          <w:rFonts w:ascii="Times New Roman" w:hAnsi="Times New Roman"/>
          <w:sz w:val="24"/>
        </w:rPr>
        <w:t>)</w:t>
      </w:r>
      <w:bookmarkEnd w:id="120"/>
      <w:bookmarkEnd w:id="121"/>
      <w:bookmarkEnd w:id="122"/>
    </w:p>
    <w:p w:rsidR="00464F34" w:rsidRPr="00D51A68" w:rsidRDefault="00125707" w:rsidP="0023700C">
      <w:pPr>
        <w:pStyle w:val="Instructionsberschrift2"/>
        <w:numPr>
          <w:ilvl w:val="0"/>
          <w:numId w:val="0"/>
        </w:numPr>
        <w:ind w:left="357" w:hanging="357"/>
        <w:rPr>
          <w:rFonts w:ascii="Times New Roman" w:hAnsi="Times New Roman" w:cs="Times New Roman"/>
          <w:sz w:val="24"/>
        </w:rPr>
      </w:pPr>
      <w:bookmarkStart w:id="123" w:name="_Toc264038416"/>
      <w:bookmarkStart w:id="124" w:name="_Toc295829845"/>
      <w:bookmarkStart w:id="125" w:name="_Toc310415011"/>
      <w:bookmarkStart w:id="126" w:name="_Toc330394186"/>
      <w:bookmarkStart w:id="127" w:name="_Toc360188340"/>
      <w:bookmarkStart w:id="128" w:name="_Toc516210623"/>
      <w:bookmarkStart w:id="129" w:name="_Toc473560888"/>
      <w:bookmarkStart w:id="130" w:name="_Toc524096568"/>
      <w:r w:rsidRPr="00D51A68">
        <w:rPr>
          <w:rFonts w:ascii="Times New Roman" w:hAnsi="Times New Roman"/>
          <w:sz w:val="24"/>
          <w:u w:val="none"/>
        </w:rPr>
        <w:t>2.1.</w:t>
      </w:r>
      <w:r w:rsidR="00A0772B" w:rsidRPr="00D51A68">
        <w:rPr>
          <w:u w:val="none"/>
        </w:rPr>
        <w:tab/>
      </w:r>
      <w:r w:rsidRPr="00D51A68">
        <w:rPr>
          <w:rFonts w:ascii="Times New Roman" w:hAnsi="Times New Roman"/>
          <w:sz w:val="24"/>
        </w:rPr>
        <w:t>Osservazioni di carattere generale</w:t>
      </w:r>
      <w:bookmarkEnd w:id="123"/>
      <w:bookmarkEnd w:id="124"/>
      <w:bookmarkEnd w:id="125"/>
      <w:bookmarkEnd w:id="126"/>
      <w:bookmarkEnd w:id="127"/>
      <w:bookmarkEnd w:id="128"/>
      <w:bookmarkEnd w:id="129"/>
      <w:bookmarkEnd w:id="130"/>
    </w:p>
    <w:p w:rsidR="00464F34" w:rsidRPr="00D51A68" w:rsidRDefault="00125707" w:rsidP="00CD5A1E">
      <w:pPr>
        <w:pStyle w:val="InstructionsText2"/>
        <w:numPr>
          <w:ilvl w:val="0"/>
          <w:numId w:val="0"/>
        </w:numPr>
        <w:ind w:left="993"/>
      </w:pPr>
      <w:r w:rsidRPr="00D51A68">
        <w:t>26.</w:t>
      </w:r>
      <w:r w:rsidR="00A0772B" w:rsidRPr="00D51A68">
        <w:tab/>
      </w:r>
      <w:r w:rsidRPr="00D51A68">
        <w:t>I modelli C 06.01 e C 06.02 sono compilati se i requisiti di fondi propri sono calcolati su base consolidata. Il presente modello consta di quattro parti e raccoglie informazioni diverse su tutti i singoli soggetti (compreso l</w:t>
      </w:r>
      <w:r w:rsidR="0009277C" w:rsidRPr="00D51A68">
        <w:t>’</w:t>
      </w:r>
      <w:r w:rsidRPr="00D51A68">
        <w:t>ente segnalante) inclusi nel consolidamento:</w:t>
      </w:r>
    </w:p>
    <w:p w:rsidR="00C93697" w:rsidRPr="00D51A68" w:rsidRDefault="00125707" w:rsidP="00CD5A1E">
      <w:pPr>
        <w:pStyle w:val="InstructionsText2"/>
        <w:numPr>
          <w:ilvl w:val="0"/>
          <w:numId w:val="0"/>
        </w:numPr>
        <w:ind w:left="993"/>
      </w:pPr>
      <w:r w:rsidRPr="00D51A68">
        <w:t>a)</w:t>
      </w:r>
      <w:r w:rsidR="00A0772B" w:rsidRPr="00D51A68">
        <w:tab/>
      </w:r>
      <w:r w:rsidRPr="00D51A68">
        <w:t>soggetti inclusi nel consolidamento;</w:t>
      </w:r>
    </w:p>
    <w:p w:rsidR="00C93697" w:rsidRPr="00D51A68" w:rsidRDefault="00125707" w:rsidP="00CD5A1E">
      <w:pPr>
        <w:pStyle w:val="InstructionsText2"/>
        <w:numPr>
          <w:ilvl w:val="0"/>
          <w:numId w:val="0"/>
        </w:numPr>
        <w:ind w:left="993"/>
      </w:pPr>
      <w:r w:rsidRPr="00D51A68">
        <w:t>b)</w:t>
      </w:r>
      <w:r w:rsidR="00A0772B" w:rsidRPr="00D51A68">
        <w:tab/>
      </w:r>
      <w:r w:rsidRPr="00D51A68">
        <w:t>informazioni dettagliate sulla solvibilità del gruppo;</w:t>
      </w:r>
    </w:p>
    <w:p w:rsidR="00C93697" w:rsidRPr="00D51A68" w:rsidRDefault="00125707" w:rsidP="00CD5A1E">
      <w:pPr>
        <w:pStyle w:val="InstructionsText2"/>
        <w:numPr>
          <w:ilvl w:val="0"/>
          <w:numId w:val="0"/>
        </w:numPr>
        <w:ind w:left="993"/>
      </w:pPr>
      <w:r w:rsidRPr="00D51A68">
        <w:t>c)</w:t>
      </w:r>
      <w:r w:rsidR="00A0772B" w:rsidRPr="00D51A68">
        <w:tab/>
      </w:r>
      <w:r w:rsidRPr="00D51A68">
        <w:t>informazioni sul contributo dei singoli soggetti alla solvibilità del gruppo;</w:t>
      </w:r>
    </w:p>
    <w:p w:rsidR="00C93697" w:rsidRPr="00D51A68" w:rsidRDefault="00125707" w:rsidP="00CD5A1E">
      <w:pPr>
        <w:pStyle w:val="InstructionsText2"/>
        <w:numPr>
          <w:ilvl w:val="0"/>
          <w:numId w:val="0"/>
        </w:numPr>
        <w:ind w:left="993"/>
      </w:pPr>
      <w:r w:rsidRPr="00D51A68">
        <w:t>d)</w:t>
      </w:r>
      <w:r w:rsidR="00A0772B" w:rsidRPr="00D51A68">
        <w:tab/>
      </w:r>
      <w:r w:rsidRPr="00D51A68">
        <w:t>informazioni sulle riserve di capitale.</w:t>
      </w:r>
    </w:p>
    <w:p w:rsidR="00464F34" w:rsidRPr="00D51A68" w:rsidRDefault="00125707" w:rsidP="00CD5A1E">
      <w:pPr>
        <w:pStyle w:val="InstructionsText2"/>
        <w:numPr>
          <w:ilvl w:val="0"/>
          <w:numId w:val="0"/>
        </w:numPr>
        <w:ind w:left="993"/>
        <w:rPr>
          <w:rStyle w:val="InstructionsTabelleText"/>
          <w:rFonts w:ascii="Times New Roman" w:hAnsi="Times New Roman"/>
          <w:sz w:val="24"/>
        </w:rPr>
      </w:pPr>
      <w:r w:rsidRPr="00D51A68">
        <w:rPr>
          <w:rStyle w:val="InstructionsTabelleText"/>
          <w:rFonts w:ascii="Times New Roman" w:hAnsi="Times New Roman"/>
          <w:sz w:val="24"/>
        </w:rPr>
        <w:lastRenderedPageBreak/>
        <w:t>27.</w:t>
      </w:r>
      <w:r w:rsidR="00A0772B" w:rsidRPr="00D51A68">
        <w:tab/>
      </w:r>
      <w:r w:rsidRPr="00D51A68">
        <w:t xml:space="preserve">Gli enti </w:t>
      </w:r>
      <w:r w:rsidRPr="00D51A68">
        <w:rPr>
          <w:rStyle w:val="InstructionsTabelleText"/>
          <w:rFonts w:ascii="Times New Roman" w:hAnsi="Times New Roman"/>
          <w:sz w:val="24"/>
        </w:rPr>
        <w:t>che beneficiano della deroga di cui all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articolo 7 del CRR compilano soltanto le colonne</w:t>
      </w:r>
      <w:r w:rsidRPr="00D51A68">
        <w:t xml:space="preserve"> da 010 </w:t>
      </w:r>
      <w:r w:rsidRPr="00D51A68">
        <w:rPr>
          <w:rStyle w:val="InstructionsTabelleText"/>
          <w:rFonts w:ascii="Times New Roman" w:hAnsi="Times New Roman"/>
          <w:sz w:val="24"/>
        </w:rPr>
        <w:t>a 060 e da 250 a 400.</w:t>
      </w:r>
    </w:p>
    <w:p w:rsidR="004C0508" w:rsidRPr="00D51A68" w:rsidRDefault="00125707" w:rsidP="00CD5A1E">
      <w:pPr>
        <w:pStyle w:val="InstructionsText2"/>
        <w:numPr>
          <w:ilvl w:val="0"/>
          <w:numId w:val="0"/>
        </w:numPr>
        <w:ind w:left="993"/>
      </w:pPr>
      <w:r w:rsidRPr="00D51A68">
        <w:t>28.</w:t>
      </w:r>
      <w:r w:rsidR="00A0772B" w:rsidRPr="00D51A68">
        <w:tab/>
      </w:r>
      <w:r w:rsidRPr="00D51A68">
        <w:t>I dati indicati tengono conto di tutte le disposizioni transitorie del CRR applicabili alla relativa data di riferimento per le segnalazioni.</w:t>
      </w:r>
    </w:p>
    <w:p w:rsidR="00C93697" w:rsidRPr="00D51A68" w:rsidRDefault="00125707" w:rsidP="0023700C">
      <w:pPr>
        <w:pStyle w:val="Instructionsberschrift2"/>
        <w:numPr>
          <w:ilvl w:val="0"/>
          <w:numId w:val="0"/>
        </w:numPr>
        <w:ind w:left="357" w:hanging="357"/>
        <w:rPr>
          <w:rFonts w:ascii="Times New Roman" w:hAnsi="Times New Roman" w:cs="Times New Roman"/>
          <w:sz w:val="24"/>
        </w:rPr>
      </w:pPr>
      <w:bookmarkStart w:id="131" w:name="_Toc360188341"/>
      <w:bookmarkStart w:id="132" w:name="_Toc516210624"/>
      <w:bookmarkStart w:id="133" w:name="_Toc473560889"/>
      <w:bookmarkStart w:id="134" w:name="_Toc524096569"/>
      <w:r w:rsidRPr="00D51A68">
        <w:rPr>
          <w:rFonts w:ascii="Times New Roman" w:hAnsi="Times New Roman"/>
          <w:sz w:val="24"/>
          <w:u w:val="none"/>
        </w:rPr>
        <w:t>2.2.</w:t>
      </w:r>
      <w:r w:rsidR="00A0772B" w:rsidRPr="00D51A68">
        <w:rPr>
          <w:u w:val="none"/>
        </w:rPr>
        <w:tab/>
      </w:r>
      <w:r w:rsidRPr="00D51A68">
        <w:rPr>
          <w:rFonts w:ascii="Times New Roman" w:hAnsi="Times New Roman"/>
          <w:sz w:val="24"/>
        </w:rPr>
        <w:t>Informazioni dettagliate sulla solvibilità del gruppo</w:t>
      </w:r>
      <w:bookmarkEnd w:id="131"/>
      <w:bookmarkEnd w:id="132"/>
      <w:bookmarkEnd w:id="133"/>
      <w:bookmarkEnd w:id="134"/>
    </w:p>
    <w:p w:rsidR="00464F34" w:rsidRPr="00D51A68" w:rsidRDefault="00125707" w:rsidP="00CD5A1E">
      <w:pPr>
        <w:pStyle w:val="InstructionsText2"/>
        <w:numPr>
          <w:ilvl w:val="0"/>
          <w:numId w:val="0"/>
        </w:numPr>
        <w:ind w:left="993"/>
      </w:pPr>
      <w:r w:rsidRPr="00D51A68">
        <w:t>29.</w:t>
      </w:r>
      <w:r w:rsidR="00A0772B" w:rsidRPr="00D51A68">
        <w:tab/>
      </w:r>
      <w:r w:rsidRPr="00D51A68">
        <w:t>La seconda parte di questo modello (informazioni dettagliate sulla solvibilità del gruppo) raccoglie, nelle colonne da 070 a 210, informazioni sugli enti creditizi e sugli altri enti finanziari regolamentati che sono effettivamente soggetti a particolari requisiti di solvibilità su base individuale. Per ciascuno dei soggetti inclusi nell</w:t>
      </w:r>
      <w:r w:rsidR="0009277C" w:rsidRPr="00D51A68">
        <w:t>’</w:t>
      </w:r>
      <w:r w:rsidRPr="00D51A68">
        <w:t xml:space="preserve">ambito di segnalazione il modello indica i requisiti di fondi propri per ciascuna categoria di rischio e i fondi propri a fini di solvibilità. </w:t>
      </w:r>
    </w:p>
    <w:p w:rsidR="00464F34" w:rsidRPr="00D51A68" w:rsidRDefault="00125707" w:rsidP="00CD5A1E">
      <w:pPr>
        <w:pStyle w:val="InstructionsText2"/>
        <w:numPr>
          <w:ilvl w:val="0"/>
          <w:numId w:val="0"/>
        </w:numPr>
        <w:ind w:left="993"/>
      </w:pPr>
      <w:r w:rsidRPr="00D51A68">
        <w:t>30.</w:t>
      </w:r>
      <w:r w:rsidR="00A0772B" w:rsidRPr="00D51A68">
        <w:tab/>
      </w:r>
      <w:r w:rsidRPr="00D51A68">
        <w:t>In caso di consolidamento proporzionale delle partecipazioni, le cifre relative ai requisiti di fondi propri e ai fondi propri riflettono i rispettivi importi proporzionali.</w:t>
      </w:r>
    </w:p>
    <w:p w:rsidR="00C93697" w:rsidRPr="00D51A68" w:rsidRDefault="00125707" w:rsidP="0023700C">
      <w:pPr>
        <w:pStyle w:val="Instructionsberschrift2"/>
        <w:numPr>
          <w:ilvl w:val="0"/>
          <w:numId w:val="0"/>
        </w:numPr>
        <w:ind w:left="357" w:hanging="357"/>
        <w:rPr>
          <w:rFonts w:ascii="Times New Roman" w:hAnsi="Times New Roman" w:cs="Times New Roman"/>
          <w:sz w:val="24"/>
        </w:rPr>
      </w:pPr>
      <w:bookmarkStart w:id="135" w:name="_Toc360188342"/>
      <w:bookmarkStart w:id="136" w:name="_Toc516210625"/>
      <w:bookmarkStart w:id="137" w:name="_Toc473560890"/>
      <w:bookmarkStart w:id="138" w:name="_Toc524096570"/>
      <w:r w:rsidRPr="00D51A68">
        <w:rPr>
          <w:rFonts w:ascii="Times New Roman" w:hAnsi="Times New Roman"/>
          <w:sz w:val="24"/>
          <w:u w:val="none"/>
        </w:rPr>
        <w:t>2.3.</w:t>
      </w:r>
      <w:r w:rsidR="00A0772B" w:rsidRPr="00D51A68">
        <w:rPr>
          <w:u w:val="none"/>
        </w:rPr>
        <w:tab/>
      </w:r>
      <w:r w:rsidRPr="00D51A68">
        <w:rPr>
          <w:rFonts w:ascii="Times New Roman" w:hAnsi="Times New Roman"/>
          <w:sz w:val="24"/>
        </w:rPr>
        <w:t>Informazioni sul contributo dei singoli soggetti alla solvibilità del gruppo</w:t>
      </w:r>
      <w:bookmarkEnd w:id="135"/>
      <w:bookmarkEnd w:id="136"/>
      <w:bookmarkEnd w:id="137"/>
      <w:bookmarkEnd w:id="138"/>
    </w:p>
    <w:p w:rsidR="00464F34" w:rsidRPr="00D51A68" w:rsidRDefault="00125707" w:rsidP="00CD5A1E">
      <w:pPr>
        <w:pStyle w:val="InstructionsText2"/>
        <w:numPr>
          <w:ilvl w:val="0"/>
          <w:numId w:val="0"/>
        </w:numPr>
        <w:ind w:left="993"/>
      </w:pPr>
      <w:r w:rsidRPr="00D51A68">
        <w:t>31.</w:t>
      </w:r>
      <w:r w:rsidR="00A0772B" w:rsidRPr="00D51A68">
        <w:tab/>
      </w:r>
      <w:r w:rsidRPr="00D51A68">
        <w:t xml:space="preserve">La terza parte di questo modello (informazioni sul contributo di tutti i soggetti inclusi nel consolidamento del CRR alla solvibilità del gruppo, inclusi i soggetti cui non si applicano particolari requisiti di solvibilità su base individuale) ha lo scopo di individuare, nelle colonne da 250 a 400, i soggetti del gruppo che generano i rischi e raccolgono fondi propri sul mercato, sulla scorta di dati che sono prontamente disponibili o possono essere facilmente ritrattati senza dover rideterminare il coefficiente di capitale su base individuale o subconsolidata. A livello di singolo soggetto, i dati relativi sia al rischio che ai fondi propri costituiscono contributi ai dati del gruppo, non elementi di un coefficiente di solvibilità su base individuale. Per tale motivo questi dati non devono essere confrontati tra loro. </w:t>
      </w:r>
    </w:p>
    <w:p w:rsidR="00464F34" w:rsidRPr="00D51A68" w:rsidRDefault="00125707" w:rsidP="00CD5A1E">
      <w:pPr>
        <w:pStyle w:val="InstructionsText2"/>
        <w:numPr>
          <w:ilvl w:val="0"/>
          <w:numId w:val="0"/>
        </w:numPr>
        <w:ind w:left="993"/>
      </w:pPr>
      <w:r w:rsidRPr="00D51A68">
        <w:t>32.</w:t>
      </w:r>
      <w:r w:rsidR="00A0772B" w:rsidRPr="00D51A68">
        <w:tab/>
      </w:r>
      <w:r w:rsidRPr="00D51A68">
        <w:t>La terza parte comprende anche gli importi degli interessi di minoranza, così come del capitale aggiuntivo di classe 1 ammissibile e del capitale di classe 2 ammissibile inclusi nei fondi propri consolidati.</w:t>
      </w:r>
    </w:p>
    <w:p w:rsidR="00464F34" w:rsidRPr="00D51A68" w:rsidRDefault="00125707" w:rsidP="00CD5A1E">
      <w:pPr>
        <w:pStyle w:val="InstructionsText2"/>
        <w:numPr>
          <w:ilvl w:val="0"/>
          <w:numId w:val="0"/>
        </w:numPr>
        <w:ind w:left="993"/>
      </w:pPr>
      <w:r w:rsidRPr="00D51A68">
        <w:t>33.</w:t>
      </w:r>
      <w:r w:rsidR="00A0772B" w:rsidRPr="00D51A68">
        <w:tab/>
      </w:r>
      <w:r w:rsidRPr="00D51A68">
        <w:t xml:space="preserve">Poiché la terza parte del modello si riferisce a </w:t>
      </w:r>
      <w:r w:rsidR="0009277C" w:rsidRPr="00D51A68">
        <w:t>“</w:t>
      </w:r>
      <w:r w:rsidRPr="00D51A68">
        <w:t>contributi</w:t>
      </w:r>
      <w:r w:rsidR="0009277C" w:rsidRPr="00D51A68">
        <w:t>”</w:t>
      </w:r>
      <w:r w:rsidRPr="00D51A68">
        <w:t>, gli importi da segnalarvi sono diversi, ove del caso, dagli importi indicati nelle colonne che si riferiscono alle informazioni dettagliate sulla solvibilità del gruppo.</w:t>
      </w:r>
    </w:p>
    <w:p w:rsidR="00464F34" w:rsidRPr="00D51A68" w:rsidRDefault="00125707" w:rsidP="00CD5A1E">
      <w:pPr>
        <w:pStyle w:val="InstructionsText2"/>
        <w:numPr>
          <w:ilvl w:val="0"/>
          <w:numId w:val="0"/>
        </w:numPr>
        <w:ind w:left="993"/>
      </w:pPr>
      <w:r w:rsidRPr="00D51A68">
        <w:t>34.</w:t>
      </w:r>
      <w:r w:rsidR="00A0772B" w:rsidRPr="00D51A68">
        <w:tab/>
      </w:r>
      <w:r w:rsidRPr="00D51A68">
        <w:t>Lo scopo è di annullare le esposizioni incrociate all</w:t>
      </w:r>
      <w:r w:rsidR="0009277C" w:rsidRPr="00D51A68">
        <w:t>’</w:t>
      </w:r>
      <w:r w:rsidRPr="00D51A68">
        <w:t>interno di un medesimo gruppo secondo un principio omogeneo in termini sia di rischi che di fondi propri, per coprire gli importi segnalati nel modello CA consolidato del gruppo aggiungendo gli importi segnalati per ciascun soggetto nel modello della solvibilità del gruppo. Se la soglia dell</w:t>
      </w:r>
      <w:r w:rsidR="0009277C" w:rsidRPr="00D51A68">
        <w:t>’</w:t>
      </w:r>
      <w:r w:rsidRPr="00D51A68">
        <w:t>1</w:t>
      </w:r>
      <w:r w:rsidR="0009277C" w:rsidRPr="00D51A68">
        <w:t>%</w:t>
      </w:r>
      <w:r w:rsidRPr="00D51A68">
        <w:t xml:space="preserve"> non è superata, non è possibile un collegamento diretto al modello CA.</w:t>
      </w:r>
    </w:p>
    <w:p w:rsidR="00464F34" w:rsidRPr="00D51A68" w:rsidRDefault="00125707" w:rsidP="00CD5A1E">
      <w:pPr>
        <w:pStyle w:val="InstructionsText2"/>
        <w:numPr>
          <w:ilvl w:val="0"/>
          <w:numId w:val="0"/>
        </w:numPr>
        <w:ind w:left="993"/>
      </w:pPr>
      <w:r w:rsidRPr="00D51A68">
        <w:t>35.</w:t>
      </w:r>
      <w:r w:rsidR="00A0772B" w:rsidRPr="00D51A68">
        <w:tab/>
      </w:r>
      <w:r w:rsidRPr="00D51A68">
        <w:t>Gli enti stabiliscono il metodo di ripartizione tra i singoli soggetti più idoneo a tener conto dei possibili effetti di diversificazione per il rischio di mercato e il rischio operativo.</w:t>
      </w:r>
    </w:p>
    <w:p w:rsidR="00464F34" w:rsidRPr="00D51A68" w:rsidRDefault="00125707" w:rsidP="00CD5A1E">
      <w:pPr>
        <w:pStyle w:val="InstructionsText2"/>
        <w:numPr>
          <w:ilvl w:val="0"/>
          <w:numId w:val="0"/>
        </w:numPr>
        <w:ind w:left="993"/>
      </w:pPr>
      <w:r w:rsidRPr="00D51A68">
        <w:lastRenderedPageBreak/>
        <w:t>36.</w:t>
      </w:r>
      <w:r w:rsidR="00A0772B" w:rsidRPr="00D51A68">
        <w:tab/>
      </w:r>
      <w:r w:rsidRPr="00D51A68">
        <w:t>È possibile che un gruppo consolidato faccia parte di un altro gruppo consolidato. Ciò significa che i soggetti di un sottogruppo sono segnalati uno per uno nel GS dell</w:t>
      </w:r>
      <w:r w:rsidR="0009277C" w:rsidRPr="00D51A68">
        <w:t>’</w:t>
      </w:r>
      <w:r w:rsidRPr="00D51A68">
        <w:t xml:space="preserve">intero gruppo anche se il sottogruppo è a sua volta soggetto a obblighi di segnalazione. Se il sottogruppo è soggetto a obblighi di segnalazione, compila altresì il modello GS per ciascun soggetto sebbene tali informazioni dettagliate siano inserite nel modello GS relativo al gruppo consolidato di rango superiore. </w:t>
      </w:r>
    </w:p>
    <w:p w:rsidR="00464F34" w:rsidRPr="00D51A68" w:rsidRDefault="00125707" w:rsidP="00CD5A1E">
      <w:pPr>
        <w:pStyle w:val="InstructionsText2"/>
        <w:numPr>
          <w:ilvl w:val="0"/>
          <w:numId w:val="0"/>
        </w:numPr>
        <w:ind w:left="993"/>
      </w:pPr>
      <w:r w:rsidRPr="00D51A68">
        <w:t>37.</w:t>
      </w:r>
      <w:r w:rsidR="00A0772B" w:rsidRPr="00D51A68">
        <w:tab/>
      </w:r>
      <w:r w:rsidRPr="00D51A68">
        <w:t>L</w:t>
      </w:r>
      <w:r w:rsidR="0009277C" w:rsidRPr="00D51A68">
        <w:t>’</w:t>
      </w:r>
      <w:r w:rsidRPr="00D51A68">
        <w:t>ente segnala i dati relativi al contributo di un soggetto quando il contributo di tale soggetto all</w:t>
      </w:r>
      <w:r w:rsidR="0009277C" w:rsidRPr="00D51A68">
        <w:t>’</w:t>
      </w:r>
      <w:r w:rsidRPr="00D51A68">
        <w:t>importo complessivo dell</w:t>
      </w:r>
      <w:r w:rsidR="0009277C" w:rsidRPr="00D51A68">
        <w:t>’</w:t>
      </w:r>
      <w:r w:rsidRPr="00D51A68">
        <w:t>esposizione al rischio è superiore all</w:t>
      </w:r>
      <w:r w:rsidR="0009277C" w:rsidRPr="00D51A68">
        <w:t>’</w:t>
      </w:r>
      <w:r w:rsidRPr="00D51A68">
        <w:t>1</w:t>
      </w:r>
      <w:r w:rsidR="0009277C" w:rsidRPr="00D51A68">
        <w:t>%</w:t>
      </w:r>
      <w:r w:rsidRPr="00D51A68">
        <w:t xml:space="preserve"> dell</w:t>
      </w:r>
      <w:r w:rsidR="0009277C" w:rsidRPr="00D51A68">
        <w:t>’</w:t>
      </w:r>
      <w:r w:rsidRPr="00D51A68">
        <w:t>importo complessivo dell</w:t>
      </w:r>
      <w:r w:rsidR="0009277C" w:rsidRPr="00D51A68">
        <w:t>’</w:t>
      </w:r>
      <w:r w:rsidRPr="00D51A68">
        <w:t>esposizione al rischio del gruppo, o quando il contributo al totale dei fondi propri è superiore all</w:t>
      </w:r>
      <w:r w:rsidR="0009277C" w:rsidRPr="00D51A68">
        <w:t>’</w:t>
      </w:r>
      <w:r w:rsidRPr="00D51A68">
        <w:t>1</w:t>
      </w:r>
      <w:r w:rsidR="0009277C" w:rsidRPr="00D51A68">
        <w:t>%</w:t>
      </w:r>
      <w:r w:rsidRPr="00D51A68">
        <w:t xml:space="preserve"> del totale dei fondi propri del gruppo. Questa soglia non vale per le filiazioni o i sottogruppi che apportano al gruppo fondi propri (sotto forma di interessi di minoranza oppure di strumenti aggiuntivi di classe 1 ammissibili o di strumenti di classe 2 ammissibili inclusi nei fondi propri).</w:t>
      </w:r>
    </w:p>
    <w:p w:rsidR="00464F34" w:rsidRPr="00D51A68" w:rsidRDefault="00125707" w:rsidP="0023700C">
      <w:pPr>
        <w:pStyle w:val="Instructionsberschrift2"/>
        <w:numPr>
          <w:ilvl w:val="0"/>
          <w:numId w:val="0"/>
        </w:numPr>
        <w:ind w:left="357" w:hanging="357"/>
        <w:rPr>
          <w:rFonts w:ascii="Times New Roman" w:hAnsi="Times New Roman" w:cs="Times New Roman"/>
          <w:sz w:val="24"/>
        </w:rPr>
      </w:pPr>
      <w:bookmarkStart w:id="139" w:name="_Toc516210626"/>
      <w:bookmarkStart w:id="140" w:name="_Toc473560891"/>
      <w:bookmarkStart w:id="141" w:name="_Toc524096571"/>
      <w:r w:rsidRPr="00D51A68">
        <w:rPr>
          <w:rFonts w:ascii="Times New Roman" w:hAnsi="Times New Roman"/>
          <w:sz w:val="24"/>
          <w:u w:val="none"/>
        </w:rPr>
        <w:t>2.4.</w:t>
      </w:r>
      <w:r w:rsidR="00A0772B" w:rsidRPr="00D51A68">
        <w:rPr>
          <w:u w:val="none"/>
        </w:rPr>
        <w:tab/>
      </w:r>
      <w:r w:rsidRPr="00D51A68">
        <w:rPr>
          <w:rFonts w:ascii="Times New Roman" w:hAnsi="Times New Roman"/>
          <w:sz w:val="24"/>
        </w:rPr>
        <w:t>C 06.01 — SOLVIBILITÀ DEL GRUPPO: INFORMAZIONI SULLE FILIAZIONI — Totale (GS Total)</w:t>
      </w:r>
      <w:bookmarkEnd w:id="139"/>
      <w:bookmarkEnd w:id="140"/>
      <w:bookmarkEnd w:id="14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D51A68" w:rsidTr="00672D2A">
        <w:tc>
          <w:tcPr>
            <w:tcW w:w="1188" w:type="dxa"/>
            <w:shd w:val="clear" w:color="auto" w:fill="CCCCCC"/>
          </w:tcPr>
          <w:p w:rsidR="00D85AC7" w:rsidRPr="00D51A68" w:rsidRDefault="00D85AC7" w:rsidP="00FF36A5">
            <w:pPr>
              <w:rPr>
                <w:rStyle w:val="InstructionsTabelleText"/>
                <w:rFonts w:ascii="Times New Roman" w:hAnsi="Times New Roman"/>
                <w:sz w:val="24"/>
              </w:rPr>
            </w:pPr>
            <w:r w:rsidRPr="00D51A68">
              <w:rPr>
                <w:rStyle w:val="InstructionsTabelleText"/>
                <w:rFonts w:ascii="Times New Roman" w:hAnsi="Times New Roman"/>
                <w:sz w:val="24"/>
              </w:rPr>
              <w:t>Colonne</w:t>
            </w:r>
          </w:p>
        </w:tc>
        <w:tc>
          <w:tcPr>
            <w:tcW w:w="8640" w:type="dxa"/>
            <w:shd w:val="clear" w:color="auto" w:fill="CCCCCC"/>
          </w:tcPr>
          <w:p w:rsidR="00D85AC7" w:rsidRPr="00D51A68" w:rsidRDefault="00D85AC7" w:rsidP="00FF36A5">
            <w:pPr>
              <w:rPr>
                <w:rStyle w:val="InstructionsTabelleText"/>
                <w:rFonts w:ascii="Times New Roman" w:hAnsi="Times New Roman"/>
                <w:sz w:val="24"/>
              </w:rPr>
            </w:pPr>
            <w:r w:rsidRPr="00D51A68">
              <w:rPr>
                <w:rStyle w:val="InstructionsTabelleText"/>
                <w:rFonts w:ascii="Times New Roman" w:hAnsi="Times New Roman"/>
                <w:sz w:val="24"/>
              </w:rPr>
              <w:t>Istruzioni</w:t>
            </w:r>
          </w:p>
        </w:tc>
      </w:tr>
      <w:tr w:rsidR="00D85AC7" w:rsidRPr="00D51A68" w:rsidTr="00672D2A">
        <w:tc>
          <w:tcPr>
            <w:tcW w:w="1188" w:type="dxa"/>
          </w:tcPr>
          <w:p w:rsidR="00D85AC7" w:rsidRPr="00D51A68" w:rsidRDefault="00D85AC7" w:rsidP="00F535E7">
            <w:pPr>
              <w:rPr>
                <w:rStyle w:val="InstructionsTabelleText"/>
                <w:rFonts w:ascii="Times New Roman" w:hAnsi="Times New Roman"/>
                <w:sz w:val="24"/>
              </w:rPr>
            </w:pPr>
            <w:r w:rsidRPr="00D51A68">
              <w:rPr>
                <w:rStyle w:val="InstructionsTabelleText"/>
                <w:rFonts w:ascii="Times New Roman" w:hAnsi="Times New Roman"/>
                <w:sz w:val="24"/>
              </w:rPr>
              <w:t>250-400</w:t>
            </w:r>
          </w:p>
        </w:tc>
        <w:tc>
          <w:tcPr>
            <w:tcW w:w="8640" w:type="dxa"/>
          </w:tcPr>
          <w:p w:rsidR="00D85AC7" w:rsidRPr="00D51A68" w:rsidRDefault="00D85AC7" w:rsidP="00FF36A5">
            <w:pPr>
              <w:rPr>
                <w:rStyle w:val="InstructionsTabelleberschrift"/>
                <w:rFonts w:ascii="Times New Roman" w:hAnsi="Times New Roman"/>
                <w:sz w:val="24"/>
              </w:rPr>
            </w:pPr>
            <w:r w:rsidRPr="00D51A68">
              <w:rPr>
                <w:rStyle w:val="InstructionsTabelleberschrift"/>
                <w:rFonts w:ascii="Times New Roman" w:hAnsi="Times New Roman"/>
                <w:sz w:val="24"/>
              </w:rPr>
              <w:t>SOGGETTI INCLUSI NEL CONSOLIDAMENTO</w:t>
            </w:r>
          </w:p>
          <w:p w:rsidR="00D85AC7" w:rsidRPr="00D51A68" w:rsidRDefault="00D85AC7" w:rsidP="00FF36A5">
            <w:pPr>
              <w:rPr>
                <w:rStyle w:val="InstructionsTabelleberschrift"/>
                <w:rFonts w:ascii="Times New Roman" w:hAnsi="Times New Roman"/>
                <w:b w:val="0"/>
                <w:bCs w:val="0"/>
                <w:sz w:val="24"/>
              </w:rPr>
            </w:pPr>
            <w:r w:rsidRPr="00D51A68">
              <w:rPr>
                <w:rStyle w:val="InstructionsTabelleText"/>
                <w:rFonts w:ascii="Times New Roman" w:hAnsi="Times New Roman"/>
                <w:sz w:val="24"/>
              </w:rPr>
              <w:t>Cfr. le istruzioni per C 06.02</w:t>
            </w:r>
          </w:p>
        </w:tc>
      </w:tr>
      <w:tr w:rsidR="00D85AC7" w:rsidRPr="00D51A68" w:rsidTr="00672D2A">
        <w:tc>
          <w:tcPr>
            <w:tcW w:w="1188" w:type="dxa"/>
            <w:tcBorders>
              <w:top w:val="single" w:sz="4" w:space="0" w:color="auto"/>
              <w:left w:val="single" w:sz="4" w:space="0" w:color="auto"/>
              <w:bottom w:val="single" w:sz="4" w:space="0" w:color="auto"/>
              <w:right w:val="single" w:sz="4" w:space="0" w:color="auto"/>
            </w:tcBorders>
          </w:tcPr>
          <w:p w:rsidR="00D85AC7" w:rsidRPr="00D51A68" w:rsidRDefault="00D85AC7" w:rsidP="00FF36A5">
            <w:pPr>
              <w:rPr>
                <w:rStyle w:val="InstructionsTabelleText"/>
                <w:rFonts w:ascii="Times New Roman" w:hAnsi="Times New Roman"/>
                <w:sz w:val="24"/>
              </w:rPr>
            </w:pPr>
            <w:r w:rsidRPr="00D51A68">
              <w:rPr>
                <w:rStyle w:val="InstructionsTabelleText"/>
                <w:rFonts w:ascii="Times New Roman" w:hAnsi="Times New Roman"/>
                <w:sz w:val="24"/>
              </w:rPr>
              <w:t>410-480</w:t>
            </w:r>
          </w:p>
        </w:tc>
        <w:tc>
          <w:tcPr>
            <w:tcW w:w="8640" w:type="dxa"/>
            <w:tcBorders>
              <w:top w:val="single" w:sz="4" w:space="0" w:color="auto"/>
              <w:left w:val="single" w:sz="4" w:space="0" w:color="auto"/>
              <w:bottom w:val="single" w:sz="4" w:space="0" w:color="auto"/>
              <w:right w:val="single" w:sz="4" w:space="0" w:color="auto"/>
            </w:tcBorders>
          </w:tcPr>
          <w:p w:rsidR="00D85AC7" w:rsidRPr="00D51A68" w:rsidRDefault="00D85AC7" w:rsidP="00FF36A5">
            <w:pPr>
              <w:rPr>
                <w:rStyle w:val="InstructionsTabelleberschrift"/>
                <w:rFonts w:ascii="Times New Roman" w:hAnsi="Times New Roman"/>
                <w:sz w:val="24"/>
              </w:rPr>
            </w:pPr>
            <w:r w:rsidRPr="00D51A68">
              <w:rPr>
                <w:rStyle w:val="InstructionsTabelleberschrift"/>
                <w:rFonts w:ascii="Times New Roman" w:hAnsi="Times New Roman"/>
                <w:sz w:val="24"/>
              </w:rPr>
              <w:t>RISERVE DI CAPITALE</w:t>
            </w:r>
          </w:p>
          <w:p w:rsidR="00D85AC7" w:rsidRPr="00D51A68" w:rsidRDefault="00D85AC7" w:rsidP="00FF36A5">
            <w:pPr>
              <w:rPr>
                <w:rStyle w:val="InstructionsTabelleberschrift"/>
                <w:rFonts w:ascii="Times New Roman" w:hAnsi="Times New Roman"/>
                <w:sz w:val="24"/>
              </w:rPr>
            </w:pPr>
            <w:r w:rsidRPr="00D51A68">
              <w:rPr>
                <w:rStyle w:val="InstructionsTabelleText"/>
                <w:rFonts w:ascii="Times New Roman" w:hAnsi="Times New Roman"/>
                <w:sz w:val="24"/>
              </w:rPr>
              <w:t>Cfr. le istruzioni per C 06.02</w:t>
            </w:r>
          </w:p>
        </w:tc>
      </w:tr>
    </w:tbl>
    <w:p w:rsidR="00D85AC7" w:rsidRPr="00D51A68" w:rsidRDefault="00D85AC7" w:rsidP="00FC1A76">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D51A68" w:rsidTr="00672D2A">
        <w:tc>
          <w:tcPr>
            <w:tcW w:w="1188" w:type="dxa"/>
            <w:shd w:val="clear" w:color="auto" w:fill="CCCCCC"/>
          </w:tcPr>
          <w:p w:rsidR="00D85AC7" w:rsidRPr="00D51A68" w:rsidRDefault="00D85AC7" w:rsidP="00FF36A5">
            <w:pPr>
              <w:rPr>
                <w:rStyle w:val="InstructionsTabelleText"/>
                <w:rFonts w:ascii="Times New Roman" w:hAnsi="Times New Roman"/>
                <w:sz w:val="24"/>
              </w:rPr>
            </w:pPr>
            <w:r w:rsidRPr="00D51A68">
              <w:rPr>
                <w:rStyle w:val="InstructionsTabelleText"/>
                <w:rFonts w:ascii="Times New Roman" w:hAnsi="Times New Roman"/>
                <w:sz w:val="24"/>
              </w:rPr>
              <w:t>Righe</w:t>
            </w:r>
          </w:p>
        </w:tc>
        <w:tc>
          <w:tcPr>
            <w:tcW w:w="8640" w:type="dxa"/>
            <w:shd w:val="clear" w:color="auto" w:fill="CCCCCC"/>
          </w:tcPr>
          <w:p w:rsidR="00D85AC7" w:rsidRPr="00D51A68" w:rsidRDefault="00D85AC7" w:rsidP="00FF36A5">
            <w:pPr>
              <w:rPr>
                <w:rStyle w:val="InstructionsTabelleText"/>
                <w:rFonts w:ascii="Times New Roman" w:hAnsi="Times New Roman"/>
                <w:sz w:val="24"/>
              </w:rPr>
            </w:pPr>
            <w:r w:rsidRPr="00D51A68">
              <w:rPr>
                <w:rStyle w:val="InstructionsTabelleText"/>
                <w:rFonts w:ascii="Times New Roman" w:hAnsi="Times New Roman"/>
                <w:sz w:val="24"/>
              </w:rPr>
              <w:t>Istruzioni</w:t>
            </w:r>
          </w:p>
        </w:tc>
      </w:tr>
      <w:tr w:rsidR="00D85AC7" w:rsidRPr="00D51A68" w:rsidTr="00672D2A">
        <w:tc>
          <w:tcPr>
            <w:tcW w:w="1188" w:type="dxa"/>
          </w:tcPr>
          <w:p w:rsidR="00D85AC7" w:rsidRPr="00D51A68" w:rsidRDefault="00D85AC7" w:rsidP="00FF36A5">
            <w:pPr>
              <w:rPr>
                <w:rStyle w:val="InstructionsTabelleText"/>
                <w:rFonts w:ascii="Times New Roman" w:hAnsi="Times New Roman"/>
                <w:sz w:val="24"/>
              </w:rPr>
            </w:pPr>
            <w:r w:rsidRPr="00D51A68">
              <w:rPr>
                <w:rStyle w:val="InstructionsTabelleText"/>
                <w:rFonts w:ascii="Times New Roman" w:hAnsi="Times New Roman"/>
                <w:sz w:val="24"/>
              </w:rPr>
              <w:t>010</w:t>
            </w:r>
          </w:p>
        </w:tc>
        <w:tc>
          <w:tcPr>
            <w:tcW w:w="8640" w:type="dxa"/>
          </w:tcPr>
          <w:p w:rsidR="00D85AC7" w:rsidRPr="00D51A68" w:rsidRDefault="00D85AC7" w:rsidP="00FF36A5">
            <w:pPr>
              <w:rPr>
                <w:rStyle w:val="InstructionsTabelleberschrift"/>
                <w:rFonts w:ascii="Times New Roman" w:hAnsi="Times New Roman"/>
                <w:sz w:val="24"/>
              </w:rPr>
            </w:pPr>
            <w:r w:rsidRPr="00D51A68">
              <w:rPr>
                <w:rStyle w:val="InstructionsTabelleberschrift"/>
                <w:rFonts w:ascii="Times New Roman" w:hAnsi="Times New Roman"/>
                <w:sz w:val="24"/>
              </w:rPr>
              <w:t>TOTALE</w:t>
            </w:r>
          </w:p>
          <w:p w:rsidR="00D85AC7" w:rsidRPr="00D51A68" w:rsidRDefault="00D85AC7" w:rsidP="00D85AC7">
            <w:pPr>
              <w:rPr>
                <w:rStyle w:val="InstructionsTabelleberschrift"/>
                <w:rFonts w:ascii="Times New Roman" w:hAnsi="Times New Roman"/>
                <w:b w:val="0"/>
                <w:bCs w:val="0"/>
                <w:sz w:val="24"/>
              </w:rPr>
            </w:pPr>
            <w:r w:rsidRPr="00D51A68">
              <w:rPr>
                <w:rStyle w:val="InstructionsTabelleText"/>
                <w:rFonts w:ascii="Times New Roman" w:hAnsi="Times New Roman"/>
                <w:sz w:val="24"/>
              </w:rPr>
              <w:t>Il Totale rappresenta la somma dei valori segnalati in tutte le righe del modello C 06.02.</w:t>
            </w:r>
          </w:p>
        </w:tc>
      </w:tr>
    </w:tbl>
    <w:p w:rsidR="00D85AC7" w:rsidRPr="00D51A68" w:rsidRDefault="00D85AC7" w:rsidP="00FC1A76">
      <w:pPr>
        <w:pStyle w:val="InstructionsText"/>
      </w:pPr>
    </w:p>
    <w:p w:rsidR="00D85AC7" w:rsidRPr="00D51A68" w:rsidRDefault="00125707" w:rsidP="0023700C">
      <w:pPr>
        <w:pStyle w:val="Instructionsberschrift2"/>
        <w:numPr>
          <w:ilvl w:val="0"/>
          <w:numId w:val="0"/>
        </w:numPr>
        <w:ind w:left="357" w:hanging="357"/>
        <w:rPr>
          <w:rFonts w:ascii="Times New Roman" w:hAnsi="Times New Roman" w:cs="Times New Roman"/>
          <w:sz w:val="24"/>
        </w:rPr>
      </w:pPr>
      <w:bookmarkStart w:id="142" w:name="_Toc516210627"/>
      <w:bookmarkStart w:id="143" w:name="_Toc473560892"/>
      <w:bookmarkStart w:id="144" w:name="_Toc524096572"/>
      <w:r w:rsidRPr="00D51A68">
        <w:rPr>
          <w:rFonts w:ascii="Times New Roman" w:hAnsi="Times New Roman"/>
          <w:sz w:val="24"/>
          <w:u w:val="none"/>
        </w:rPr>
        <w:t>2.5.</w:t>
      </w:r>
      <w:r w:rsidR="00A0772B" w:rsidRPr="00D51A68">
        <w:rPr>
          <w:u w:val="none"/>
        </w:rPr>
        <w:tab/>
      </w:r>
      <w:r w:rsidRPr="00D51A68">
        <w:rPr>
          <w:rFonts w:ascii="Times New Roman" w:hAnsi="Times New Roman"/>
          <w:sz w:val="24"/>
        </w:rPr>
        <w:t>C 06.02 — SOLVIBILITÀ DEL GRUPPO: INFORMAZIONI SULLE FILIAZIONI (GS)</w:t>
      </w:r>
      <w:bookmarkEnd w:id="142"/>
      <w:bookmarkEnd w:id="143"/>
      <w:bookmarkEnd w:id="14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D51A68" w:rsidTr="00672D2A">
        <w:tc>
          <w:tcPr>
            <w:tcW w:w="1188" w:type="dxa"/>
            <w:shd w:val="clear" w:color="auto" w:fill="CCCCCC"/>
          </w:tcPr>
          <w:p w:rsidR="00464F34" w:rsidRPr="00D51A68" w:rsidRDefault="00464F34" w:rsidP="00464F34">
            <w:pPr>
              <w:rPr>
                <w:rStyle w:val="InstructionsTabelleText"/>
                <w:rFonts w:ascii="Times New Roman" w:hAnsi="Times New Roman"/>
                <w:sz w:val="24"/>
              </w:rPr>
            </w:pPr>
            <w:r w:rsidRPr="00D51A68">
              <w:rPr>
                <w:rStyle w:val="InstructionsTabelleText"/>
                <w:rFonts w:ascii="Times New Roman" w:hAnsi="Times New Roman"/>
                <w:sz w:val="24"/>
              </w:rPr>
              <w:t>Colonne</w:t>
            </w:r>
          </w:p>
        </w:tc>
        <w:tc>
          <w:tcPr>
            <w:tcW w:w="8640" w:type="dxa"/>
            <w:shd w:val="clear" w:color="auto" w:fill="CCCCCC"/>
          </w:tcPr>
          <w:p w:rsidR="00464F34" w:rsidRPr="00D51A68" w:rsidRDefault="00464F34" w:rsidP="00464F34">
            <w:pPr>
              <w:rPr>
                <w:rStyle w:val="InstructionsTabelleText"/>
                <w:rFonts w:ascii="Times New Roman" w:hAnsi="Times New Roman"/>
                <w:sz w:val="24"/>
              </w:rPr>
            </w:pPr>
            <w:r w:rsidRPr="00D51A68">
              <w:rPr>
                <w:rStyle w:val="InstructionsTabelleText"/>
                <w:rFonts w:ascii="Times New Roman" w:hAnsi="Times New Roman"/>
                <w:sz w:val="24"/>
              </w:rPr>
              <w:t>Istruzioni</w:t>
            </w:r>
          </w:p>
        </w:tc>
      </w:tr>
      <w:tr w:rsidR="00464F34" w:rsidRPr="00D51A68" w:rsidTr="00672D2A">
        <w:tc>
          <w:tcPr>
            <w:tcW w:w="1188" w:type="dxa"/>
          </w:tcPr>
          <w:p w:rsidR="00464F34" w:rsidRPr="00D51A68" w:rsidRDefault="00464F34" w:rsidP="00464F34">
            <w:pPr>
              <w:rPr>
                <w:rStyle w:val="InstructionsTabelleText"/>
                <w:rFonts w:ascii="Times New Roman" w:hAnsi="Times New Roman"/>
                <w:sz w:val="24"/>
              </w:rPr>
            </w:pPr>
            <w:r w:rsidRPr="00D51A68">
              <w:rPr>
                <w:rStyle w:val="InstructionsTabelleText"/>
                <w:rFonts w:ascii="Times New Roman" w:hAnsi="Times New Roman"/>
                <w:sz w:val="24"/>
              </w:rPr>
              <w:t>010-060</w:t>
            </w:r>
          </w:p>
        </w:tc>
        <w:tc>
          <w:tcPr>
            <w:tcW w:w="8640" w:type="dxa"/>
          </w:tcPr>
          <w:p w:rsidR="00464F34" w:rsidRPr="00D51A68" w:rsidRDefault="00464F34" w:rsidP="00464F34">
            <w:pPr>
              <w:rPr>
                <w:rStyle w:val="InstructionsTabelleberschrift"/>
                <w:rFonts w:ascii="Times New Roman" w:hAnsi="Times New Roman"/>
                <w:sz w:val="24"/>
              </w:rPr>
            </w:pPr>
            <w:r w:rsidRPr="00D51A68">
              <w:rPr>
                <w:rStyle w:val="InstructionsTabelleberschrift"/>
                <w:rFonts w:ascii="Times New Roman" w:hAnsi="Times New Roman"/>
                <w:sz w:val="24"/>
              </w:rPr>
              <w:t>SOGGETTI INCLUSI NEL CONSOLIDAMENTO</w:t>
            </w:r>
          </w:p>
          <w:p w:rsidR="00464F34" w:rsidRPr="00D51A68" w:rsidRDefault="00464F34" w:rsidP="003C1BB1">
            <w:pPr>
              <w:rPr>
                <w:rStyle w:val="InstructionsTabelleberschrift"/>
                <w:rFonts w:ascii="Times New Roman" w:hAnsi="Times New Roman"/>
                <w:b w:val="0"/>
                <w:bCs w:val="0"/>
                <w:sz w:val="24"/>
              </w:rPr>
            </w:pPr>
            <w:r w:rsidRPr="00D51A68">
              <w:rPr>
                <w:rStyle w:val="InstructionsTabelleText"/>
                <w:rFonts w:ascii="Times New Roman" w:hAnsi="Times New Roman"/>
                <w:sz w:val="24"/>
              </w:rPr>
              <w:t>Questo modello serve a raccogliere informazioni distinte per singolo soggetto riguardanti tutti i soggetti inclusi nel consolidamento ai sensi della</w:t>
            </w:r>
            <w:r w:rsidRPr="00D51A68">
              <w:t xml:space="preserve"> </w:t>
            </w:r>
            <w:r w:rsidRPr="00D51A68">
              <w:rPr>
                <w:rFonts w:ascii="Times New Roman" w:hAnsi="Times New Roman"/>
                <w:sz w:val="24"/>
              </w:rPr>
              <w:t xml:space="preserve">parte uno, titolo II, capo 2, </w:t>
            </w:r>
            <w:r w:rsidRPr="00D51A68">
              <w:rPr>
                <w:rStyle w:val="InstructionsTabelleText"/>
                <w:rFonts w:ascii="Times New Roman" w:hAnsi="Times New Roman"/>
                <w:sz w:val="24"/>
              </w:rPr>
              <w:t xml:space="preserve">del CRR. </w:t>
            </w:r>
          </w:p>
        </w:tc>
      </w:tr>
      <w:tr w:rsidR="00464F34" w:rsidRPr="00D51A68" w:rsidTr="00672D2A">
        <w:tc>
          <w:tcPr>
            <w:tcW w:w="1188" w:type="dxa"/>
          </w:tcPr>
          <w:p w:rsidR="00464F34" w:rsidRPr="00D51A68" w:rsidRDefault="00464F34" w:rsidP="00CD5A1E">
            <w:pPr>
              <w:keepNext/>
              <w:rPr>
                <w:rStyle w:val="InstructionsTabelleText"/>
                <w:rFonts w:ascii="Times New Roman" w:hAnsi="Times New Roman"/>
                <w:sz w:val="24"/>
              </w:rPr>
            </w:pPr>
            <w:r w:rsidRPr="00D51A68">
              <w:rPr>
                <w:rStyle w:val="InstructionsTabelleText"/>
                <w:rFonts w:ascii="Times New Roman" w:hAnsi="Times New Roman"/>
                <w:sz w:val="24"/>
              </w:rPr>
              <w:lastRenderedPageBreak/>
              <w:t>010</w:t>
            </w:r>
          </w:p>
        </w:tc>
        <w:tc>
          <w:tcPr>
            <w:tcW w:w="8640" w:type="dxa"/>
          </w:tcPr>
          <w:p w:rsidR="00464F34" w:rsidRPr="00D51A68" w:rsidRDefault="00464F34" w:rsidP="00CD5A1E">
            <w:pPr>
              <w:keepNext/>
              <w:rPr>
                <w:rStyle w:val="InstructionsTabelleberschrift"/>
                <w:rFonts w:ascii="Times New Roman" w:hAnsi="Times New Roman"/>
                <w:sz w:val="24"/>
              </w:rPr>
            </w:pPr>
            <w:r w:rsidRPr="00D51A68">
              <w:rPr>
                <w:rStyle w:val="InstructionsTabelleberschrift"/>
                <w:rFonts w:ascii="Times New Roman" w:hAnsi="Times New Roman"/>
                <w:sz w:val="24"/>
              </w:rPr>
              <w:t>NOME</w:t>
            </w:r>
          </w:p>
          <w:p w:rsidR="00464F34" w:rsidRPr="00D51A68" w:rsidRDefault="00464F34" w:rsidP="00CD5A1E">
            <w:pPr>
              <w:keepNext/>
              <w:rPr>
                <w:rStyle w:val="InstructionsTabelleText"/>
                <w:rFonts w:ascii="Times New Roman" w:hAnsi="Times New Roman"/>
                <w:sz w:val="24"/>
              </w:rPr>
            </w:pPr>
            <w:r w:rsidRPr="00D51A68">
              <w:rPr>
                <w:rStyle w:val="InstructionsTabelleText"/>
                <w:rFonts w:ascii="Times New Roman" w:hAnsi="Times New Roman"/>
                <w:sz w:val="24"/>
              </w:rPr>
              <w:t>Nome del soggetto incluso nel consolidamento.</w:t>
            </w:r>
          </w:p>
        </w:tc>
      </w:tr>
      <w:tr w:rsidR="00464F34" w:rsidRPr="00D51A68" w:rsidTr="00672D2A">
        <w:tc>
          <w:tcPr>
            <w:tcW w:w="1188" w:type="dxa"/>
          </w:tcPr>
          <w:p w:rsidR="00464F34" w:rsidRPr="00D51A68" w:rsidRDefault="00464F34" w:rsidP="00464F34">
            <w:pPr>
              <w:rPr>
                <w:rStyle w:val="InstructionsTabelleText"/>
                <w:rFonts w:ascii="Times New Roman" w:hAnsi="Times New Roman"/>
                <w:sz w:val="24"/>
              </w:rPr>
            </w:pPr>
            <w:r w:rsidRPr="00D51A68">
              <w:rPr>
                <w:rStyle w:val="InstructionsTabelleText"/>
                <w:rFonts w:ascii="Times New Roman" w:hAnsi="Times New Roman"/>
                <w:sz w:val="24"/>
              </w:rPr>
              <w:t>020</w:t>
            </w:r>
          </w:p>
        </w:tc>
        <w:tc>
          <w:tcPr>
            <w:tcW w:w="8640" w:type="dxa"/>
          </w:tcPr>
          <w:p w:rsidR="00464F34" w:rsidRPr="00D51A68" w:rsidRDefault="00464F34" w:rsidP="00464F34">
            <w:pPr>
              <w:rPr>
                <w:rStyle w:val="InstructionsTabelleberschrift"/>
                <w:rFonts w:ascii="Times New Roman" w:hAnsi="Times New Roman"/>
                <w:sz w:val="24"/>
              </w:rPr>
            </w:pPr>
            <w:r w:rsidRPr="00D51A68">
              <w:rPr>
                <w:rStyle w:val="InstructionsTabelleberschrift"/>
                <w:rFonts w:ascii="Times New Roman" w:hAnsi="Times New Roman"/>
                <w:sz w:val="24"/>
              </w:rPr>
              <w:t>CODICE</w:t>
            </w:r>
          </w:p>
          <w:p w:rsidR="009A47E2" w:rsidRPr="00D51A68" w:rsidRDefault="009A47E2" w:rsidP="00464F34">
            <w:pPr>
              <w:rPr>
                <w:rStyle w:val="InstructionsTabelleText"/>
                <w:rFonts w:ascii="Times New Roman" w:hAnsi="Times New Roman"/>
                <w:sz w:val="24"/>
              </w:rPr>
            </w:pPr>
            <w:r w:rsidRPr="00D51A68">
              <w:rPr>
                <w:rStyle w:val="InstructionsTabelleText"/>
                <w:rFonts w:ascii="Times New Roman" w:hAnsi="Times New Roman"/>
                <w:sz w:val="24"/>
              </w:rPr>
              <w:t>Questo codice è un identificatore di riga ed è unico per ciascuna riga della tabella.</w:t>
            </w:r>
          </w:p>
          <w:p w:rsidR="002E136A" w:rsidRPr="00D51A68" w:rsidRDefault="00464F34" w:rsidP="00464F34">
            <w:pPr>
              <w:rPr>
                <w:rStyle w:val="InstructionsTabelleText"/>
                <w:rFonts w:ascii="Times New Roman" w:hAnsi="Times New Roman"/>
                <w:sz w:val="24"/>
              </w:rPr>
            </w:pPr>
            <w:r w:rsidRPr="00D51A68">
              <w:rPr>
                <w:rStyle w:val="InstructionsTabelleText"/>
                <w:rFonts w:ascii="Times New Roman" w:hAnsi="Times New Roman"/>
                <w:sz w:val="24"/>
              </w:rPr>
              <w:t>Codice assegnato al soggetto incluso nel consolidamento.</w:t>
            </w:r>
          </w:p>
          <w:p w:rsidR="00464F34" w:rsidRPr="00D51A68" w:rsidRDefault="00464F34" w:rsidP="00FC1A76">
            <w:pPr>
              <w:pStyle w:val="InstructionsText"/>
              <w:rPr>
                <w:rStyle w:val="InstructionsTabelleText"/>
                <w:rFonts w:ascii="Times New Roman" w:hAnsi="Times New Roman"/>
                <w:sz w:val="24"/>
              </w:rPr>
            </w:pPr>
            <w:r w:rsidRPr="00D51A68">
              <w:rPr>
                <w:rStyle w:val="FormatvorlageInstructionsTabelleText"/>
                <w:rFonts w:ascii="Times New Roman" w:hAnsi="Times New Roman"/>
                <w:sz w:val="24"/>
              </w:rPr>
              <w:t xml:space="preserve">La composizione effettiva del codice dipende dal sistema di segnalazione nazionale. </w:t>
            </w:r>
          </w:p>
        </w:tc>
      </w:tr>
      <w:tr w:rsidR="00464F34" w:rsidRPr="00D51A68" w:rsidTr="00672D2A">
        <w:tc>
          <w:tcPr>
            <w:tcW w:w="1188" w:type="dxa"/>
          </w:tcPr>
          <w:p w:rsidR="00464F34" w:rsidRPr="00D51A68" w:rsidRDefault="00464F34" w:rsidP="00464F34">
            <w:pPr>
              <w:rPr>
                <w:rStyle w:val="InstructionsTabelleText"/>
                <w:rFonts w:ascii="Times New Roman" w:hAnsi="Times New Roman"/>
                <w:sz w:val="24"/>
              </w:rPr>
            </w:pPr>
            <w:r w:rsidRPr="00D51A68">
              <w:rPr>
                <w:rStyle w:val="InstructionsTabelleText"/>
                <w:rFonts w:ascii="Times New Roman" w:hAnsi="Times New Roman"/>
                <w:sz w:val="24"/>
              </w:rPr>
              <w:t>025</w:t>
            </w:r>
          </w:p>
        </w:tc>
        <w:tc>
          <w:tcPr>
            <w:tcW w:w="8640" w:type="dxa"/>
          </w:tcPr>
          <w:p w:rsidR="00464F34" w:rsidRPr="00D51A68" w:rsidRDefault="00464F34" w:rsidP="00464F34">
            <w:pPr>
              <w:rPr>
                <w:rStyle w:val="InstructionsTabelleberschrift"/>
                <w:rFonts w:ascii="Times New Roman" w:hAnsi="Times New Roman"/>
                <w:sz w:val="24"/>
              </w:rPr>
            </w:pPr>
            <w:r w:rsidRPr="00D51A68">
              <w:rPr>
                <w:rStyle w:val="InstructionsTabelleberschrift"/>
                <w:rFonts w:ascii="Times New Roman" w:hAnsi="Times New Roman"/>
                <w:sz w:val="24"/>
              </w:rPr>
              <w:t>CODICE LEI</w:t>
            </w:r>
          </w:p>
          <w:p w:rsidR="00C504D3" w:rsidRPr="00D51A68" w:rsidRDefault="00C504D3" w:rsidP="00C504D3">
            <w:pPr>
              <w:rPr>
                <w:rStyle w:val="InstructionsTabelleText"/>
                <w:rFonts w:ascii="Times New Roman" w:hAnsi="Times New Roman"/>
                <w:sz w:val="24"/>
              </w:rPr>
            </w:pPr>
            <w:r w:rsidRPr="00D51A68">
              <w:rPr>
                <w:rStyle w:val="InstructionsTabelleText"/>
                <w:rFonts w:ascii="Times New Roman" w:hAnsi="Times New Roman"/>
                <w:sz w:val="24"/>
              </w:rPr>
              <w:t>Il codice LEI è il codice di identificazione del soggetto giuridico ed è un codice di riferimento proposto dal Comitato per la stabilità finanziaria (FSB) e approvato dal G20 inteso a garantire 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identificazione unica e mondiale delle parti di operazioni finanziarie.</w:t>
            </w:r>
          </w:p>
          <w:p w:rsidR="00A10C90" w:rsidRPr="00D51A68" w:rsidRDefault="00C504D3" w:rsidP="009A47E2">
            <w:pPr>
              <w:rPr>
                <w:rStyle w:val="InstructionsTabelleText"/>
                <w:rFonts w:ascii="Times New Roman" w:hAnsi="Times New Roman"/>
                <w:sz w:val="24"/>
              </w:rPr>
            </w:pPr>
            <w:r w:rsidRPr="00D51A68">
              <w:rPr>
                <w:rStyle w:val="InstructionsTabelleText"/>
                <w:rFonts w:ascii="Times New Roman" w:hAnsi="Times New Roman"/>
                <w:sz w:val="24"/>
              </w:rPr>
              <w:t>In attesa che il sistema LEI mondiale diventi pienamente operativo, codici pre-LEI sono assegnati alle controparti da un</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unità operativa locale che è stata approvata dal Regulatory Oversight Committee (ROC, informazioni dettagliate sono disponibili nel seguente sito: www.leiroc.org).</w:t>
            </w:r>
          </w:p>
          <w:p w:rsidR="00464F34" w:rsidRPr="00D51A68" w:rsidRDefault="009A47E2" w:rsidP="00DD2C1E">
            <w:pPr>
              <w:rPr>
                <w:rStyle w:val="InstructionsTabelleberschrift"/>
                <w:rFonts w:ascii="Times New Roman" w:hAnsi="Times New Roman"/>
                <w:sz w:val="24"/>
              </w:rPr>
            </w:pPr>
            <w:r w:rsidRPr="00D51A68">
              <w:rPr>
                <w:rStyle w:val="InstructionsTabelleText"/>
                <w:rFonts w:ascii="Times New Roman" w:hAnsi="Times New Roman"/>
                <w:sz w:val="24"/>
              </w:rPr>
              <w:t xml:space="preserve">Qualora per una data controparte esista un codice di identificazione LEI, esso è utilizzato per identificarla. </w:t>
            </w:r>
          </w:p>
        </w:tc>
      </w:tr>
      <w:tr w:rsidR="00464F34" w:rsidRPr="00D51A68" w:rsidTr="00672D2A">
        <w:tc>
          <w:tcPr>
            <w:tcW w:w="1188" w:type="dxa"/>
          </w:tcPr>
          <w:p w:rsidR="00464F34" w:rsidRPr="00D51A68" w:rsidRDefault="00464F34" w:rsidP="00464F34">
            <w:pPr>
              <w:rPr>
                <w:rStyle w:val="InstructionsTabelleText"/>
                <w:rFonts w:ascii="Times New Roman" w:hAnsi="Times New Roman"/>
                <w:sz w:val="24"/>
              </w:rPr>
            </w:pPr>
            <w:r w:rsidRPr="00D51A68">
              <w:rPr>
                <w:rStyle w:val="InstructionsTabelleText"/>
                <w:rFonts w:ascii="Times New Roman" w:hAnsi="Times New Roman"/>
                <w:sz w:val="24"/>
              </w:rPr>
              <w:t>030</w:t>
            </w:r>
          </w:p>
        </w:tc>
        <w:tc>
          <w:tcPr>
            <w:tcW w:w="8640" w:type="dxa"/>
          </w:tcPr>
          <w:p w:rsidR="00464F34" w:rsidRPr="00D51A68" w:rsidRDefault="00464F34" w:rsidP="00464F34">
            <w:pPr>
              <w:rPr>
                <w:rStyle w:val="InstructionsTabelleberschrift"/>
                <w:rFonts w:ascii="Times New Roman" w:hAnsi="Times New Roman"/>
                <w:sz w:val="24"/>
              </w:rPr>
            </w:pPr>
            <w:r w:rsidRPr="00D51A68">
              <w:rPr>
                <w:rStyle w:val="InstructionsTabelleberschrift"/>
                <w:rFonts w:ascii="Times New Roman" w:hAnsi="Times New Roman"/>
                <w:sz w:val="24"/>
              </w:rPr>
              <w:t>ENTE O EQUIVALENTE (SÌ/NO)</w:t>
            </w:r>
          </w:p>
          <w:p w:rsidR="00464F34" w:rsidRPr="00D51A68" w:rsidRDefault="00464F34" w:rsidP="00464F34">
            <w:pPr>
              <w:rPr>
                <w:rStyle w:val="InstructionsTabelleText"/>
                <w:rFonts w:ascii="Times New Roman" w:hAnsi="Times New Roman"/>
                <w:sz w:val="24"/>
              </w:rPr>
            </w:pPr>
            <w:r w:rsidRPr="00D51A68">
              <w:rPr>
                <w:rStyle w:val="InstructionsTabelleText"/>
                <w:rFonts w:ascii="Times New Roman" w:hAnsi="Times New Roman"/>
                <w:sz w:val="24"/>
              </w:rPr>
              <w:t xml:space="preserve">È indicato </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SÌ</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 xml:space="preserve"> quando al soggetto in questione si applicano requisiti di fondi propri conformemente al CRR e alla CRD o a disposizioni quanto meno equivalenti alle norme di Basilea.</w:t>
            </w:r>
          </w:p>
          <w:p w:rsidR="00464F34" w:rsidRPr="00D51A68" w:rsidRDefault="00464F34" w:rsidP="00464F34">
            <w:pPr>
              <w:rPr>
                <w:rStyle w:val="InstructionsTabelleText"/>
                <w:rFonts w:ascii="Times New Roman" w:hAnsi="Times New Roman"/>
                <w:sz w:val="24"/>
              </w:rPr>
            </w:pPr>
            <w:r w:rsidRPr="00D51A68">
              <w:rPr>
                <w:rStyle w:val="InstructionsTabelleText"/>
                <w:rFonts w:ascii="Times New Roman" w:hAnsi="Times New Roman"/>
                <w:sz w:val="24"/>
              </w:rPr>
              <w:t xml:space="preserve">Negli altri casi si indica </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NO</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w:t>
            </w:r>
          </w:p>
          <w:p w:rsidR="00464F34" w:rsidRPr="00D51A68" w:rsidRDefault="00464F34" w:rsidP="00464F34">
            <w:pPr>
              <w:rPr>
                <w:rStyle w:val="InstructionsTabelleText"/>
                <w:rFonts w:ascii="Times New Roman" w:hAnsi="Times New Roman"/>
                <w:sz w:val="24"/>
              </w:rPr>
            </w:pPr>
          </w:p>
          <w:p w:rsidR="00464F34" w:rsidRPr="00D51A68" w:rsidRDefault="00125707" w:rsidP="0023700C">
            <w:pPr>
              <w:ind w:left="372" w:hanging="360"/>
              <w:contextualSpacing/>
              <w:rPr>
                <w:rStyle w:val="InstructionsTabelleText"/>
                <w:rFonts w:ascii="Times New Roman" w:hAnsi="Times New Roman"/>
                <w:sz w:val="24"/>
              </w:rPr>
            </w:pPr>
            <w:r w:rsidRPr="00D51A68">
              <w:rPr>
                <w:rStyle w:val="InstructionsTabelleText"/>
                <w:rFonts w:ascii="Wingdings" w:hAnsi="Wingdings"/>
                <w:sz w:val="24"/>
              </w:rPr>
              <w:t></w:t>
            </w:r>
            <w:r w:rsidR="00A0772B" w:rsidRPr="00D51A68">
              <w:rPr>
                <w:u w:val="single"/>
              </w:rPr>
              <w:tab/>
            </w:r>
            <w:r w:rsidRPr="00D51A68">
              <w:rPr>
                <w:rStyle w:val="InstructionsTabelleText"/>
                <w:rFonts w:ascii="Times New Roman" w:hAnsi="Times New Roman"/>
                <w:sz w:val="24"/>
              </w:rPr>
              <w:t>Interessi di minoranza:</w:t>
            </w:r>
          </w:p>
          <w:p w:rsidR="00464F34" w:rsidRPr="00D51A68" w:rsidRDefault="00417984" w:rsidP="00464F34">
            <w:pPr>
              <w:rPr>
                <w:rStyle w:val="InstructionsTabelleText"/>
                <w:rFonts w:ascii="Times New Roman" w:hAnsi="Times New Roman"/>
                <w:sz w:val="24"/>
              </w:rPr>
            </w:pPr>
            <w:r w:rsidRPr="00D51A68">
              <w:rPr>
                <w:rFonts w:ascii="Times New Roman" w:hAnsi="Times New Roman"/>
                <w:sz w:val="24"/>
              </w:rPr>
              <w:t>articolo 81, paragrafo 1, lettera a), punto ii), e articolo 82, paragrafo 1, lettera a), punto ii), del CRR.</w:t>
            </w:r>
          </w:p>
          <w:p w:rsidR="00464F34" w:rsidRPr="00D51A68" w:rsidRDefault="00464F34" w:rsidP="00464F34">
            <w:pPr>
              <w:rPr>
                <w:rStyle w:val="InstructionsTabelleText"/>
                <w:rFonts w:ascii="Times New Roman" w:hAnsi="Times New Roman"/>
                <w:sz w:val="24"/>
              </w:rPr>
            </w:pPr>
            <w:r w:rsidRPr="00D51A68">
              <w:rPr>
                <w:rFonts w:ascii="Times New Roman" w:hAnsi="Times New Roman"/>
                <w:sz w:val="24"/>
              </w:rPr>
              <w:t>Ai fini degli interessi di minoranza e degli strumenti di capitale aggiuntivo di classe 1 e di capitale di classe 2 emessi dalle filiazioni, le filiazioni i cui strumenti possono essere ammissibili sono enti o imprese soggetti ai requisiti del CRR in virtù della legislazione nazionale applicabile.</w:t>
            </w:r>
          </w:p>
        </w:tc>
      </w:tr>
      <w:tr w:rsidR="00B47F0C" w:rsidRPr="00D51A68" w:rsidTr="00672D2A">
        <w:tc>
          <w:tcPr>
            <w:tcW w:w="1188" w:type="dxa"/>
          </w:tcPr>
          <w:p w:rsidR="00B47F0C" w:rsidRPr="00D51A68" w:rsidRDefault="00B47F0C" w:rsidP="00464F34">
            <w:pPr>
              <w:rPr>
                <w:rStyle w:val="InstructionsTabelleText"/>
                <w:rFonts w:ascii="Times New Roman" w:hAnsi="Times New Roman"/>
                <w:sz w:val="24"/>
              </w:rPr>
            </w:pPr>
            <w:r w:rsidRPr="00D51A68">
              <w:rPr>
                <w:rStyle w:val="InstructionsTabelleText"/>
                <w:rFonts w:ascii="Times New Roman" w:hAnsi="Times New Roman"/>
                <w:sz w:val="24"/>
              </w:rPr>
              <w:t>035</w:t>
            </w:r>
          </w:p>
        </w:tc>
        <w:tc>
          <w:tcPr>
            <w:tcW w:w="8640" w:type="dxa"/>
          </w:tcPr>
          <w:p w:rsidR="00B47F0C" w:rsidRPr="00D51A68" w:rsidRDefault="00B47F0C" w:rsidP="00464F34">
            <w:pPr>
              <w:rPr>
                <w:rStyle w:val="InstructionsTabelleberschrift"/>
                <w:rFonts w:ascii="Times New Roman" w:hAnsi="Times New Roman"/>
                <w:sz w:val="24"/>
              </w:rPr>
            </w:pPr>
            <w:r w:rsidRPr="00D51A68">
              <w:rPr>
                <w:rStyle w:val="InstructionsTabelleberschrift"/>
                <w:rFonts w:ascii="Times New Roman" w:hAnsi="Times New Roman"/>
                <w:sz w:val="24"/>
              </w:rPr>
              <w:t>TIPO DI SOGGETTO</w:t>
            </w:r>
          </w:p>
          <w:p w:rsidR="0071377A" w:rsidRPr="00D51A68" w:rsidRDefault="0071377A" w:rsidP="00B47F0C">
            <w:pPr>
              <w:rPr>
                <w:rStyle w:val="InstructionsTabelleText"/>
                <w:rFonts w:ascii="Times New Roman" w:hAnsi="Times New Roman"/>
                <w:bCs/>
                <w:sz w:val="24"/>
              </w:rPr>
            </w:pPr>
            <w:r w:rsidRPr="00D51A68">
              <w:rPr>
                <w:rStyle w:val="InstructionsTabelleText"/>
                <w:rFonts w:ascii="Times New Roman" w:hAnsi="Times New Roman"/>
                <w:sz w:val="24"/>
              </w:rPr>
              <w:t>Per la segnalazione del tipo di soggetto sono utilizzate le seguenti categorie:</w:t>
            </w:r>
          </w:p>
          <w:p w:rsidR="0071377A" w:rsidRPr="00D51A68" w:rsidRDefault="0071377A" w:rsidP="009B355E">
            <w:pPr>
              <w:tabs>
                <w:tab w:val="left" w:pos="372"/>
              </w:tabs>
              <w:rPr>
                <w:rStyle w:val="InstructionsTabelleText"/>
                <w:rFonts w:ascii="Times New Roman" w:hAnsi="Times New Roman"/>
                <w:sz w:val="24"/>
              </w:rPr>
            </w:pPr>
            <w:r w:rsidRPr="00D51A68">
              <w:rPr>
                <w:rStyle w:val="InstructionsTabelleText"/>
                <w:rFonts w:ascii="Times New Roman" w:hAnsi="Times New Roman"/>
                <w:sz w:val="24"/>
              </w:rPr>
              <w:t>a)</w:t>
            </w:r>
            <w:r w:rsidR="00A0772B" w:rsidRPr="00D51A68">
              <w:tab/>
            </w:r>
            <w:r w:rsidRPr="00D51A68">
              <w:rPr>
                <w:rStyle w:val="InstructionsTabelleText"/>
                <w:rFonts w:ascii="Times New Roman" w:hAnsi="Times New Roman"/>
                <w:sz w:val="24"/>
              </w:rPr>
              <w:t>ente creditizio</w:t>
            </w:r>
          </w:p>
          <w:p w:rsidR="0071377A" w:rsidRPr="00D51A68" w:rsidRDefault="00A0772B" w:rsidP="009B355E">
            <w:pPr>
              <w:tabs>
                <w:tab w:val="left" w:pos="372"/>
              </w:tabs>
              <w:rPr>
                <w:rStyle w:val="InstructionsTabelleText"/>
                <w:rFonts w:ascii="Times New Roman" w:hAnsi="Times New Roman"/>
                <w:sz w:val="24"/>
              </w:rPr>
            </w:pPr>
            <w:r w:rsidRPr="00D51A68">
              <w:tab/>
            </w:r>
            <w:r w:rsidR="0071377A" w:rsidRPr="00D51A68">
              <w:rPr>
                <w:rStyle w:val="InstructionsTabelleText"/>
                <w:rFonts w:ascii="Times New Roman" w:hAnsi="Times New Roman"/>
                <w:sz w:val="24"/>
              </w:rPr>
              <w:t>articolo 4, paragrafo 1, punto 1, del CRR;</w:t>
            </w:r>
          </w:p>
          <w:p w:rsidR="0071377A" w:rsidRPr="00D51A68" w:rsidRDefault="0071377A" w:rsidP="009B355E">
            <w:pPr>
              <w:tabs>
                <w:tab w:val="left" w:pos="372"/>
              </w:tabs>
              <w:rPr>
                <w:rStyle w:val="InstructionsTabelleText"/>
                <w:rFonts w:ascii="Times New Roman" w:hAnsi="Times New Roman"/>
                <w:bCs/>
                <w:sz w:val="24"/>
              </w:rPr>
            </w:pPr>
            <w:r w:rsidRPr="00D51A68">
              <w:rPr>
                <w:rStyle w:val="InstructionsTabelleText"/>
                <w:rFonts w:ascii="Times New Roman" w:hAnsi="Times New Roman"/>
                <w:sz w:val="24"/>
              </w:rPr>
              <w:t>b)</w:t>
            </w:r>
            <w:r w:rsidR="00A0772B" w:rsidRPr="00D51A68">
              <w:tab/>
            </w:r>
            <w:r w:rsidRPr="00D51A68">
              <w:rPr>
                <w:rStyle w:val="InstructionsTabelleText"/>
                <w:rFonts w:ascii="Times New Roman" w:hAnsi="Times New Roman"/>
                <w:sz w:val="24"/>
              </w:rPr>
              <w:t>impresa di investimento</w:t>
            </w:r>
          </w:p>
          <w:p w:rsidR="0071377A" w:rsidRPr="00D51A68" w:rsidRDefault="00A0772B" w:rsidP="009B355E">
            <w:pPr>
              <w:tabs>
                <w:tab w:val="left" w:pos="372"/>
              </w:tabs>
              <w:rPr>
                <w:rStyle w:val="InstructionsTabelleText"/>
                <w:rFonts w:ascii="Times New Roman" w:hAnsi="Times New Roman"/>
                <w:bCs/>
                <w:sz w:val="24"/>
              </w:rPr>
            </w:pPr>
            <w:r w:rsidRPr="00D51A68">
              <w:tab/>
            </w:r>
            <w:r w:rsidR="0071377A" w:rsidRPr="00D51A68">
              <w:rPr>
                <w:rStyle w:val="InstructionsTabelleText"/>
                <w:rFonts w:ascii="Times New Roman" w:hAnsi="Times New Roman"/>
                <w:sz w:val="24"/>
              </w:rPr>
              <w:t>articolo 4, paragrafo 1, punto 2, del CRR;</w:t>
            </w:r>
          </w:p>
          <w:p w:rsidR="0071377A" w:rsidRPr="00D51A68" w:rsidRDefault="0071377A" w:rsidP="009B355E">
            <w:pPr>
              <w:tabs>
                <w:tab w:val="left" w:pos="372"/>
              </w:tabs>
              <w:rPr>
                <w:rStyle w:val="InstructionsTabelleText"/>
                <w:rFonts w:ascii="Times New Roman" w:hAnsi="Times New Roman"/>
                <w:bCs/>
                <w:sz w:val="24"/>
              </w:rPr>
            </w:pPr>
            <w:r w:rsidRPr="00D51A68">
              <w:rPr>
                <w:rStyle w:val="InstructionsTabelleText"/>
                <w:rFonts w:ascii="Times New Roman" w:hAnsi="Times New Roman"/>
                <w:sz w:val="24"/>
              </w:rPr>
              <w:t>c)</w:t>
            </w:r>
            <w:r w:rsidR="00A0772B" w:rsidRPr="00D51A68">
              <w:tab/>
            </w:r>
            <w:r w:rsidRPr="00D51A68">
              <w:rPr>
                <w:rStyle w:val="InstructionsTabelleText"/>
                <w:rFonts w:ascii="Times New Roman" w:hAnsi="Times New Roman"/>
                <w:sz w:val="24"/>
              </w:rPr>
              <w:t>ente finanziario (altro)</w:t>
            </w:r>
          </w:p>
          <w:p w:rsidR="00965D27" w:rsidRPr="00D51A68" w:rsidRDefault="00A0772B" w:rsidP="009B355E">
            <w:pPr>
              <w:tabs>
                <w:tab w:val="left" w:pos="372"/>
              </w:tabs>
              <w:rPr>
                <w:rStyle w:val="InstructionsTabelleText"/>
                <w:rFonts w:ascii="Times New Roman" w:hAnsi="Times New Roman"/>
                <w:bCs/>
                <w:sz w:val="24"/>
              </w:rPr>
            </w:pPr>
            <w:r w:rsidRPr="00D51A68">
              <w:lastRenderedPageBreak/>
              <w:tab/>
            </w:r>
            <w:r w:rsidR="0071377A" w:rsidRPr="00D51A68">
              <w:rPr>
                <w:rStyle w:val="InstructionsTabelleText"/>
                <w:rFonts w:ascii="Times New Roman" w:hAnsi="Times New Roman"/>
                <w:sz w:val="24"/>
              </w:rPr>
              <w:t>articolo 4, paragrafo 1, punti 20, 21 e 26 del CRR</w:t>
            </w:r>
          </w:p>
          <w:p w:rsidR="0071377A" w:rsidRPr="00D51A68" w:rsidRDefault="00A0772B" w:rsidP="00965D27">
            <w:pPr>
              <w:tabs>
                <w:tab w:val="left" w:pos="372"/>
              </w:tabs>
              <w:ind w:left="399" w:hanging="399"/>
              <w:rPr>
                <w:rStyle w:val="InstructionsTabelleText"/>
                <w:rFonts w:ascii="Times New Roman" w:hAnsi="Times New Roman"/>
                <w:bCs/>
                <w:sz w:val="24"/>
              </w:rPr>
            </w:pPr>
            <w:r w:rsidRPr="00D51A68">
              <w:tab/>
            </w:r>
            <w:r w:rsidR="00965D27" w:rsidRPr="00D51A68">
              <w:rPr>
                <w:rStyle w:val="InstructionsTabelleText"/>
                <w:rFonts w:ascii="Times New Roman" w:hAnsi="Times New Roman"/>
                <w:sz w:val="24"/>
              </w:rPr>
              <w:t>gli enti finanziari ai sensi dell</w:t>
            </w:r>
            <w:r w:rsidR="0009277C" w:rsidRPr="00D51A68">
              <w:rPr>
                <w:rStyle w:val="InstructionsTabelleText"/>
                <w:rFonts w:ascii="Times New Roman" w:hAnsi="Times New Roman"/>
                <w:sz w:val="24"/>
              </w:rPr>
              <w:t>’</w:t>
            </w:r>
            <w:r w:rsidR="00965D27" w:rsidRPr="00D51A68">
              <w:rPr>
                <w:rStyle w:val="InstructionsTabelleText"/>
                <w:rFonts w:ascii="Times New Roman" w:hAnsi="Times New Roman"/>
                <w:sz w:val="24"/>
              </w:rPr>
              <w:t>articolo 4, paragrafo 1, punto 26, del CRR che non sono inclusi in una delle categorie d), f) o g);</w:t>
            </w:r>
          </w:p>
          <w:p w:rsidR="0071377A" w:rsidRPr="00D51A68" w:rsidRDefault="0071377A" w:rsidP="009B355E">
            <w:pPr>
              <w:tabs>
                <w:tab w:val="left" w:pos="372"/>
              </w:tabs>
              <w:rPr>
                <w:rStyle w:val="InstructionsTabelleText"/>
                <w:rFonts w:ascii="Times New Roman" w:hAnsi="Times New Roman"/>
                <w:bCs/>
                <w:sz w:val="24"/>
              </w:rPr>
            </w:pPr>
            <w:r w:rsidRPr="00D51A68">
              <w:rPr>
                <w:rStyle w:val="InstructionsTabelleText"/>
                <w:rFonts w:ascii="Times New Roman" w:hAnsi="Times New Roman"/>
                <w:sz w:val="24"/>
              </w:rPr>
              <w:t>d)</w:t>
            </w:r>
            <w:r w:rsidR="00A0772B" w:rsidRPr="00D51A68">
              <w:tab/>
            </w:r>
            <w:r w:rsidRPr="00D51A68">
              <w:rPr>
                <w:rStyle w:val="InstructionsTabelleText"/>
                <w:rFonts w:ascii="Times New Roman" w:hAnsi="Times New Roman"/>
                <w:sz w:val="24"/>
              </w:rPr>
              <w:t>società di partecipazione finanziaria (mista)</w:t>
            </w:r>
          </w:p>
          <w:p w:rsidR="0071377A" w:rsidRPr="00D51A68" w:rsidRDefault="00A0772B" w:rsidP="009B355E">
            <w:pPr>
              <w:tabs>
                <w:tab w:val="left" w:pos="372"/>
              </w:tabs>
              <w:rPr>
                <w:rStyle w:val="InstructionsTabelleText"/>
                <w:rFonts w:ascii="Times New Roman" w:hAnsi="Times New Roman"/>
                <w:bCs/>
                <w:sz w:val="24"/>
              </w:rPr>
            </w:pPr>
            <w:r w:rsidRPr="00D51A68">
              <w:tab/>
            </w:r>
            <w:r w:rsidR="0071377A" w:rsidRPr="00D51A68">
              <w:rPr>
                <w:rStyle w:val="InstructionsTabelleText"/>
                <w:rFonts w:ascii="Times New Roman" w:hAnsi="Times New Roman"/>
                <w:sz w:val="24"/>
              </w:rPr>
              <w:t>articolo 4, paragrafo 1, punti 20 e 21, del CRR;</w:t>
            </w:r>
          </w:p>
          <w:p w:rsidR="0071377A" w:rsidRPr="00D51A68" w:rsidRDefault="0071377A" w:rsidP="009B355E">
            <w:pPr>
              <w:tabs>
                <w:tab w:val="left" w:pos="372"/>
              </w:tabs>
              <w:rPr>
                <w:rStyle w:val="InstructionsTabelleText"/>
                <w:rFonts w:ascii="Times New Roman" w:hAnsi="Times New Roman"/>
                <w:bCs/>
                <w:sz w:val="24"/>
              </w:rPr>
            </w:pPr>
            <w:r w:rsidRPr="00D51A68">
              <w:rPr>
                <w:rStyle w:val="InstructionsTabelleText"/>
                <w:rFonts w:ascii="Times New Roman" w:hAnsi="Times New Roman"/>
                <w:sz w:val="24"/>
              </w:rPr>
              <w:t>e)</w:t>
            </w:r>
            <w:r w:rsidR="00A0772B" w:rsidRPr="00D51A68">
              <w:tab/>
            </w:r>
            <w:r w:rsidRPr="00D51A68">
              <w:rPr>
                <w:rStyle w:val="InstructionsTabelleText"/>
                <w:rFonts w:ascii="Times New Roman" w:hAnsi="Times New Roman"/>
                <w:sz w:val="24"/>
              </w:rPr>
              <w:t>impresa strumentale</w:t>
            </w:r>
          </w:p>
          <w:p w:rsidR="0071377A" w:rsidRPr="00D51A68" w:rsidRDefault="00A0772B" w:rsidP="009B355E">
            <w:pPr>
              <w:tabs>
                <w:tab w:val="left" w:pos="372"/>
              </w:tabs>
              <w:rPr>
                <w:rStyle w:val="InstructionsTabelleText"/>
                <w:rFonts w:ascii="Times New Roman" w:hAnsi="Times New Roman"/>
                <w:bCs/>
                <w:sz w:val="24"/>
              </w:rPr>
            </w:pPr>
            <w:r w:rsidRPr="00D51A68">
              <w:tab/>
            </w:r>
            <w:r w:rsidR="0071377A" w:rsidRPr="00D51A68">
              <w:rPr>
                <w:rStyle w:val="InstructionsTabelleText"/>
                <w:rFonts w:ascii="Times New Roman" w:hAnsi="Times New Roman"/>
                <w:sz w:val="24"/>
              </w:rPr>
              <w:t>articolo 4, paragrafo 1, punto 18, del CRR;</w:t>
            </w:r>
          </w:p>
          <w:p w:rsidR="0071377A" w:rsidRPr="00D51A68" w:rsidRDefault="0071377A" w:rsidP="009B355E">
            <w:pPr>
              <w:tabs>
                <w:tab w:val="left" w:pos="372"/>
              </w:tabs>
              <w:rPr>
                <w:rStyle w:val="InstructionsTabelleText"/>
                <w:rFonts w:ascii="Times New Roman" w:hAnsi="Times New Roman"/>
                <w:bCs/>
                <w:sz w:val="24"/>
              </w:rPr>
            </w:pPr>
            <w:r w:rsidRPr="00D51A68">
              <w:rPr>
                <w:rStyle w:val="InstructionsTabelleText"/>
                <w:rFonts w:ascii="Times New Roman" w:hAnsi="Times New Roman"/>
                <w:sz w:val="24"/>
              </w:rPr>
              <w:t>f)</w:t>
            </w:r>
            <w:r w:rsidR="00A0772B" w:rsidRPr="00D51A68">
              <w:tab/>
            </w:r>
            <w:r w:rsidRPr="00D51A68">
              <w:rPr>
                <w:rStyle w:val="InstructionsTabelleText"/>
                <w:rFonts w:ascii="Times New Roman" w:hAnsi="Times New Roman"/>
                <w:sz w:val="24"/>
              </w:rPr>
              <w:t>società veicolo per la cartolarizzazione (SSPE)</w:t>
            </w:r>
          </w:p>
          <w:p w:rsidR="0071377A" w:rsidRPr="00D51A68" w:rsidRDefault="00A0772B" w:rsidP="009B355E">
            <w:pPr>
              <w:tabs>
                <w:tab w:val="left" w:pos="372"/>
              </w:tabs>
              <w:rPr>
                <w:rStyle w:val="InstructionsTabelleText"/>
                <w:rFonts w:ascii="Times New Roman" w:hAnsi="Times New Roman"/>
                <w:bCs/>
                <w:sz w:val="24"/>
              </w:rPr>
            </w:pPr>
            <w:r w:rsidRPr="00D51A68">
              <w:tab/>
            </w:r>
            <w:r w:rsidR="0071377A" w:rsidRPr="00D51A68">
              <w:rPr>
                <w:rStyle w:val="InstructionsTabelleText"/>
                <w:rFonts w:ascii="Times New Roman" w:hAnsi="Times New Roman"/>
                <w:sz w:val="24"/>
              </w:rPr>
              <w:t>articolo 4, paragrafo 1, punto 66, del CRR;</w:t>
            </w:r>
          </w:p>
          <w:p w:rsidR="0071377A" w:rsidRPr="00D51A68" w:rsidRDefault="0071377A" w:rsidP="009B355E">
            <w:pPr>
              <w:tabs>
                <w:tab w:val="left" w:pos="372"/>
              </w:tabs>
              <w:rPr>
                <w:rStyle w:val="InstructionsTabelleText"/>
                <w:rFonts w:ascii="Times New Roman" w:hAnsi="Times New Roman"/>
                <w:bCs/>
                <w:sz w:val="24"/>
              </w:rPr>
            </w:pPr>
            <w:r w:rsidRPr="00D51A68">
              <w:rPr>
                <w:rStyle w:val="InstructionsTabelleText"/>
                <w:rFonts w:ascii="Times New Roman" w:hAnsi="Times New Roman"/>
                <w:sz w:val="24"/>
              </w:rPr>
              <w:t>g)</w:t>
            </w:r>
            <w:r w:rsidR="00A0772B" w:rsidRPr="00D51A68">
              <w:tab/>
            </w:r>
            <w:r w:rsidRPr="00D51A68">
              <w:rPr>
                <w:rStyle w:val="InstructionsTabelleText"/>
                <w:rFonts w:ascii="Times New Roman" w:hAnsi="Times New Roman"/>
                <w:sz w:val="24"/>
              </w:rPr>
              <w:t xml:space="preserve">società cessionaria per la garanzia di obbligazioni bancarie (società di covered </w:t>
            </w:r>
            <w:r w:rsidR="0007398D" w:rsidRPr="00D51A68">
              <w:rPr>
                <w:rStyle w:val="InstructionsTabelleText"/>
                <w:rFonts w:ascii="Times New Roman" w:hAnsi="Times New Roman"/>
                <w:sz w:val="24"/>
              </w:rPr>
              <w:tab/>
            </w:r>
            <w:r w:rsidRPr="00D51A68">
              <w:rPr>
                <w:rStyle w:val="InstructionsTabelleText"/>
                <w:rFonts w:ascii="Times New Roman" w:hAnsi="Times New Roman"/>
                <w:sz w:val="24"/>
              </w:rPr>
              <w:t>bond)</w:t>
            </w:r>
          </w:p>
          <w:p w:rsidR="009B526D" w:rsidRPr="00D51A68" w:rsidRDefault="009B526D" w:rsidP="009B355E">
            <w:pPr>
              <w:tabs>
                <w:tab w:val="left" w:pos="372"/>
              </w:tabs>
              <w:ind w:left="372"/>
              <w:rPr>
                <w:rStyle w:val="InstructionsTabelleText"/>
                <w:rFonts w:ascii="Times New Roman" w:hAnsi="Times New Roman"/>
                <w:bCs/>
                <w:sz w:val="24"/>
              </w:rPr>
            </w:pPr>
            <w:r w:rsidRPr="00D51A68">
              <w:rPr>
                <w:rStyle w:val="InstructionsTabelleText"/>
                <w:rFonts w:ascii="Times New Roman" w:hAnsi="Times New Roman"/>
                <w:sz w:val="24"/>
              </w:rPr>
              <w:t>soggetto costituito per 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emissione di obbligazioni garantite o la detenzione della garanzia di tali obbligazioni, se non incluso nelle categorie a), b) o da d) a f) di cui sopra;</w:t>
            </w:r>
          </w:p>
          <w:p w:rsidR="0089010B" w:rsidRPr="00D51A68" w:rsidRDefault="0089010B" w:rsidP="009B355E">
            <w:pPr>
              <w:tabs>
                <w:tab w:val="left" w:pos="372"/>
              </w:tabs>
              <w:rPr>
                <w:rStyle w:val="InstructionsTabelleText"/>
                <w:rFonts w:ascii="Times New Roman" w:hAnsi="Times New Roman"/>
                <w:sz w:val="24"/>
              </w:rPr>
            </w:pPr>
            <w:r w:rsidRPr="00D51A68">
              <w:rPr>
                <w:rStyle w:val="InstructionsTabelleText"/>
                <w:rFonts w:ascii="Times New Roman" w:hAnsi="Times New Roman"/>
                <w:sz w:val="24"/>
              </w:rPr>
              <w:t>h)</w:t>
            </w:r>
            <w:r w:rsidR="00A0772B" w:rsidRPr="00D51A68">
              <w:tab/>
            </w:r>
            <w:r w:rsidRPr="00D51A68">
              <w:rPr>
                <w:rStyle w:val="InstructionsTabelleText"/>
                <w:rFonts w:ascii="Times New Roman" w:hAnsi="Times New Roman"/>
                <w:sz w:val="24"/>
              </w:rPr>
              <w:t>altro tipo di soggetto</w:t>
            </w:r>
          </w:p>
          <w:p w:rsidR="00DA0DB4" w:rsidRPr="00D51A68" w:rsidRDefault="00AE7CD3" w:rsidP="00AE7CD3">
            <w:pPr>
              <w:tabs>
                <w:tab w:val="left" w:pos="372"/>
              </w:tabs>
              <w:ind w:left="372"/>
              <w:rPr>
                <w:rStyle w:val="InstructionsTabelleberschrift"/>
                <w:rFonts w:ascii="Times New Roman" w:hAnsi="Times New Roman"/>
                <w:b w:val="0"/>
                <w:sz w:val="24"/>
                <w:u w:val="none"/>
              </w:rPr>
            </w:pPr>
            <w:r w:rsidRPr="00D51A68">
              <w:rPr>
                <w:rStyle w:val="InstructionsTabelleberschrift"/>
                <w:rFonts w:ascii="Times New Roman" w:hAnsi="Times New Roman"/>
                <w:b w:val="0"/>
                <w:sz w:val="24"/>
                <w:u w:val="none"/>
              </w:rPr>
              <w:t>soggetto diverso da quelli di cui alle lettere da a) a g).</w:t>
            </w:r>
          </w:p>
          <w:p w:rsidR="00965D27" w:rsidRPr="00D51A68" w:rsidRDefault="00965D27" w:rsidP="00255BA9">
            <w:pPr>
              <w:tabs>
                <w:tab w:val="left" w:pos="372"/>
              </w:tabs>
              <w:rPr>
                <w:rStyle w:val="InstructionsTabelleberschrift"/>
                <w:rFonts w:ascii="Times New Roman" w:hAnsi="Times New Roman"/>
                <w:b w:val="0"/>
                <w:sz w:val="24"/>
                <w:u w:val="none"/>
              </w:rPr>
            </w:pPr>
            <w:r w:rsidRPr="00D51A68">
              <w:rPr>
                <w:rStyle w:val="InstructionsTabelleberschrift"/>
                <w:rFonts w:ascii="Times New Roman" w:hAnsi="Times New Roman"/>
                <w:b w:val="0"/>
                <w:sz w:val="24"/>
                <w:u w:val="none"/>
              </w:rPr>
              <w:t>Se un soggetto non è sottoposto al CRR e alla CRD ma a disposizioni almeno equivalenti alle disposizioni di Basilea, la categoria pertinente è determinata con la massima diligenza possibile.</w:t>
            </w:r>
          </w:p>
        </w:tc>
      </w:tr>
      <w:tr w:rsidR="00464F34" w:rsidRPr="00D51A68" w:rsidTr="00672D2A">
        <w:tc>
          <w:tcPr>
            <w:tcW w:w="1188" w:type="dxa"/>
          </w:tcPr>
          <w:p w:rsidR="00464F34" w:rsidRPr="00D51A68" w:rsidRDefault="00464F34" w:rsidP="00464F34">
            <w:pPr>
              <w:rPr>
                <w:rStyle w:val="InstructionsTabelleText"/>
                <w:rFonts w:ascii="Times New Roman" w:hAnsi="Times New Roman"/>
                <w:sz w:val="24"/>
              </w:rPr>
            </w:pPr>
            <w:r w:rsidRPr="00D51A68">
              <w:rPr>
                <w:rStyle w:val="InstructionsTabelleText"/>
                <w:rFonts w:ascii="Times New Roman" w:hAnsi="Times New Roman"/>
                <w:sz w:val="24"/>
              </w:rPr>
              <w:lastRenderedPageBreak/>
              <w:t>040</w:t>
            </w:r>
          </w:p>
        </w:tc>
        <w:tc>
          <w:tcPr>
            <w:tcW w:w="8640" w:type="dxa"/>
          </w:tcPr>
          <w:p w:rsidR="00464F34" w:rsidRPr="00D51A68" w:rsidRDefault="00464F34" w:rsidP="00464F34">
            <w:pPr>
              <w:rPr>
                <w:rFonts w:ascii="Times New Roman" w:hAnsi="Times New Roman"/>
                <w:b/>
                <w:sz w:val="24"/>
                <w:u w:val="single"/>
              </w:rPr>
            </w:pPr>
            <w:r w:rsidRPr="00D51A68">
              <w:rPr>
                <w:rFonts w:ascii="Times New Roman" w:hAnsi="Times New Roman"/>
                <w:b/>
                <w:sz w:val="24"/>
                <w:u w:val="single"/>
              </w:rPr>
              <w:t xml:space="preserve">AMBITO DEI DATI: </w:t>
            </w:r>
            <w:r w:rsidRPr="00D51A68">
              <w:rPr>
                <w:rFonts w:ascii="Times New Roman" w:hAnsi="Times New Roman"/>
                <w:b/>
                <w:caps/>
                <w:sz w:val="24"/>
                <w:u w:val="single"/>
              </w:rPr>
              <w:t>integralmente consolidato su base individuale (SF), O parzialmente consolidato su base individuale (SP)</w:t>
            </w:r>
          </w:p>
          <w:p w:rsidR="00464F34" w:rsidRPr="00D51A68" w:rsidRDefault="00464F34" w:rsidP="009E5DCC">
            <w:pPr>
              <w:rPr>
                <w:rStyle w:val="Heading1Char"/>
                <w:rFonts w:ascii="Times New Roman" w:hAnsi="Times New Roman"/>
                <w:sz w:val="24"/>
                <w:szCs w:val="24"/>
              </w:rPr>
            </w:pPr>
            <w:r w:rsidRPr="00D51A68">
              <w:t xml:space="preserve">Inserire </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SF</w:t>
            </w:r>
            <w:r w:rsidR="0009277C" w:rsidRPr="00D51A68">
              <w:rPr>
                <w:rStyle w:val="InstructionsTabelleText"/>
                <w:rFonts w:ascii="Times New Roman" w:hAnsi="Times New Roman"/>
                <w:sz w:val="24"/>
              </w:rPr>
              <w:t>”</w:t>
            </w:r>
            <w:r w:rsidRPr="00D51A68">
              <w:t xml:space="preserve"> </w:t>
            </w:r>
            <w:r w:rsidRPr="00D51A68">
              <w:rPr>
                <w:rFonts w:ascii="Times New Roman" w:hAnsi="Times New Roman"/>
                <w:sz w:val="24"/>
              </w:rPr>
              <w:t>per le singole filiazioni consolidate integralmente.</w:t>
            </w:r>
            <w:r w:rsidRPr="00D51A68">
              <w:rPr>
                <w:rStyle w:val="Heading1Char"/>
                <w:rFonts w:ascii="Times New Roman" w:hAnsi="Times New Roman"/>
                <w:sz w:val="24"/>
              </w:rPr>
              <w:t xml:space="preserve"> </w:t>
            </w:r>
          </w:p>
          <w:p w:rsidR="00464F34" w:rsidRPr="00D51A68" w:rsidRDefault="009E5DCC" w:rsidP="00941843">
            <w:pPr>
              <w:rPr>
                <w:rStyle w:val="InstructionsTabelleText"/>
                <w:rFonts w:ascii="Times New Roman" w:hAnsi="Times New Roman"/>
                <w:smallCaps/>
                <w:sz w:val="24"/>
              </w:rPr>
            </w:pPr>
            <w:r w:rsidRPr="00D51A68">
              <w:t xml:space="preserve">Inserire </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SP</w:t>
            </w:r>
            <w:r w:rsidR="0009277C" w:rsidRPr="00D51A68">
              <w:rPr>
                <w:rStyle w:val="InstructionsTabelleText"/>
                <w:rFonts w:ascii="Times New Roman" w:hAnsi="Times New Roman"/>
                <w:sz w:val="24"/>
              </w:rPr>
              <w:t>”</w:t>
            </w:r>
            <w:r w:rsidRPr="00D51A68">
              <w:rPr>
                <w:rFonts w:ascii="Times New Roman" w:hAnsi="Times New Roman"/>
                <w:sz w:val="24"/>
              </w:rPr>
              <w:t xml:space="preserve"> per le singole filiazioni consolidate parzialmente.</w:t>
            </w:r>
            <w:r w:rsidRPr="00D51A68">
              <w:rPr>
                <w:rStyle w:val="InstructionsTabelleText"/>
                <w:rFonts w:ascii="Times New Roman" w:hAnsi="Times New Roman"/>
                <w:i/>
                <w:sz w:val="24"/>
              </w:rPr>
              <w:t xml:space="preserve"> </w:t>
            </w:r>
          </w:p>
        </w:tc>
      </w:tr>
      <w:tr w:rsidR="00464F34" w:rsidRPr="00D51A68" w:rsidTr="00672D2A">
        <w:tc>
          <w:tcPr>
            <w:tcW w:w="1188" w:type="dxa"/>
          </w:tcPr>
          <w:p w:rsidR="00464F34" w:rsidRPr="00D51A68" w:rsidRDefault="00464F34" w:rsidP="00464F34">
            <w:pPr>
              <w:rPr>
                <w:rStyle w:val="InstructionsTabelleText"/>
                <w:rFonts w:ascii="Times New Roman" w:hAnsi="Times New Roman"/>
                <w:sz w:val="24"/>
              </w:rPr>
            </w:pPr>
            <w:r w:rsidRPr="00D51A68">
              <w:rPr>
                <w:rStyle w:val="InstructionsTabelleText"/>
                <w:rFonts w:ascii="Times New Roman" w:hAnsi="Times New Roman"/>
                <w:sz w:val="24"/>
              </w:rPr>
              <w:t>050</w:t>
            </w:r>
          </w:p>
        </w:tc>
        <w:tc>
          <w:tcPr>
            <w:tcW w:w="8640" w:type="dxa"/>
          </w:tcPr>
          <w:p w:rsidR="00464F34" w:rsidRPr="00D51A68" w:rsidRDefault="00464F34" w:rsidP="00464F34">
            <w:pPr>
              <w:rPr>
                <w:rFonts w:ascii="Times New Roman" w:hAnsi="Times New Roman"/>
                <w:b/>
                <w:sz w:val="24"/>
                <w:u w:val="single"/>
              </w:rPr>
            </w:pPr>
            <w:r w:rsidRPr="00D51A68">
              <w:rPr>
                <w:rFonts w:ascii="Times New Roman" w:hAnsi="Times New Roman"/>
                <w:b/>
                <w:sz w:val="24"/>
                <w:u w:val="single"/>
              </w:rPr>
              <w:t xml:space="preserve">CODICE DEL PAESE </w:t>
            </w:r>
          </w:p>
          <w:p w:rsidR="00464F34" w:rsidRPr="00D51A68" w:rsidRDefault="00464F34" w:rsidP="00464F34">
            <w:pPr>
              <w:rPr>
                <w:rStyle w:val="InstructionsTabelleText"/>
                <w:rFonts w:ascii="Times New Roman" w:hAnsi="Times New Roman"/>
                <w:sz w:val="24"/>
              </w:rPr>
            </w:pPr>
            <w:r w:rsidRPr="00D51A68">
              <w:rPr>
                <w:rStyle w:val="InstructionsTabelleText"/>
                <w:rFonts w:ascii="Times New Roman" w:hAnsi="Times New Roman"/>
                <w:sz w:val="24"/>
              </w:rPr>
              <w:t xml:space="preserve">Gli enti segnalano il codice a due lettere che identifica il paese conformemente alla norma ISO 3166-2. </w:t>
            </w:r>
          </w:p>
        </w:tc>
      </w:tr>
      <w:tr w:rsidR="00464F34" w:rsidRPr="00D51A68" w:rsidTr="00672D2A">
        <w:tc>
          <w:tcPr>
            <w:tcW w:w="1188" w:type="dxa"/>
          </w:tcPr>
          <w:p w:rsidR="00464F34" w:rsidRPr="00D51A68" w:rsidRDefault="00464F34" w:rsidP="00464F34">
            <w:pPr>
              <w:rPr>
                <w:rStyle w:val="InstructionsTabelleText"/>
                <w:rFonts w:ascii="Times New Roman" w:hAnsi="Times New Roman"/>
                <w:sz w:val="24"/>
              </w:rPr>
            </w:pPr>
            <w:r w:rsidRPr="00D51A68">
              <w:rPr>
                <w:rStyle w:val="InstructionsTabelleText"/>
                <w:rFonts w:ascii="Times New Roman" w:hAnsi="Times New Roman"/>
                <w:sz w:val="24"/>
              </w:rPr>
              <w:t>060</w:t>
            </w:r>
          </w:p>
        </w:tc>
        <w:tc>
          <w:tcPr>
            <w:tcW w:w="8640" w:type="dxa"/>
          </w:tcPr>
          <w:p w:rsidR="00464F34" w:rsidRPr="00D51A68" w:rsidRDefault="00464F34" w:rsidP="00464F34">
            <w:pPr>
              <w:rPr>
                <w:rStyle w:val="InstructionsTabelleberschrift"/>
                <w:rFonts w:ascii="Times New Roman" w:hAnsi="Times New Roman"/>
                <w:sz w:val="24"/>
              </w:rPr>
            </w:pPr>
            <w:r w:rsidRPr="00D51A68">
              <w:rPr>
                <w:rStyle w:val="InstructionsTabelleberschrift"/>
                <w:rFonts w:ascii="Times New Roman" w:hAnsi="Times New Roman"/>
                <w:sz w:val="24"/>
              </w:rPr>
              <w:t>QUOTA DI PARTECIPAZIONE (%)</w:t>
            </w:r>
          </w:p>
          <w:p w:rsidR="00464F34" w:rsidRPr="00D51A68" w:rsidRDefault="00464F34" w:rsidP="00417984">
            <w:pPr>
              <w:rPr>
                <w:rStyle w:val="InstructionsTabelleText"/>
                <w:rFonts w:ascii="Times New Roman" w:hAnsi="Times New Roman"/>
                <w:sz w:val="24"/>
              </w:rPr>
            </w:pPr>
            <w:r w:rsidRPr="00D51A68">
              <w:rPr>
                <w:rStyle w:val="InstructionsTabelleText"/>
                <w:rFonts w:ascii="Times New Roman" w:hAnsi="Times New Roman"/>
                <w:sz w:val="24"/>
              </w:rPr>
              <w:t>Questa percentuale è riferita alla quota effettiva di capitale detenuta dall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impresa madre nelle filiazioni. In caso di pieno consolidamento di una filiazione diretta, la quota effettiva è ad esempio del 70%. Conformemente all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articolo 4, paragrafo 1, punto 16, del CRR, la quota di partecipazione in una filiazione di una filiazione da segnalare è il risultato della moltiplicazione delle quote delle filiazioni in questione.</w:t>
            </w:r>
          </w:p>
        </w:tc>
      </w:tr>
      <w:tr w:rsidR="00464F34" w:rsidRPr="00D51A68" w:rsidTr="00672D2A">
        <w:tc>
          <w:tcPr>
            <w:tcW w:w="1188" w:type="dxa"/>
          </w:tcPr>
          <w:p w:rsidR="00464F34" w:rsidRPr="00D51A68" w:rsidRDefault="00464F34" w:rsidP="00464F34">
            <w:pPr>
              <w:rPr>
                <w:rStyle w:val="InstructionsTabelleText"/>
                <w:rFonts w:ascii="Times New Roman" w:hAnsi="Times New Roman"/>
                <w:sz w:val="24"/>
              </w:rPr>
            </w:pPr>
            <w:r w:rsidRPr="00D51A68">
              <w:rPr>
                <w:rStyle w:val="InstructionsTabelleText"/>
                <w:rFonts w:ascii="Times New Roman" w:hAnsi="Times New Roman"/>
                <w:sz w:val="24"/>
              </w:rPr>
              <w:t>070-240</w:t>
            </w:r>
          </w:p>
        </w:tc>
        <w:tc>
          <w:tcPr>
            <w:tcW w:w="8640" w:type="dxa"/>
          </w:tcPr>
          <w:p w:rsidR="00464F34" w:rsidRPr="00D51A68" w:rsidRDefault="00464F34" w:rsidP="00464F34">
            <w:pPr>
              <w:rPr>
                <w:rStyle w:val="InstructionsTabelleberschrift"/>
                <w:rFonts w:ascii="Times New Roman" w:hAnsi="Times New Roman"/>
                <w:sz w:val="24"/>
              </w:rPr>
            </w:pPr>
            <w:r w:rsidRPr="00D51A68">
              <w:rPr>
                <w:rStyle w:val="InstructionsTabelleberschrift"/>
                <w:rFonts w:ascii="Times New Roman" w:hAnsi="Times New Roman"/>
                <w:sz w:val="24"/>
              </w:rPr>
              <w:t>INFORMAZIONI SUI SOGGETTI CUI SI APPLICANO I REQUISITI DI FONDI PROPRI</w:t>
            </w:r>
          </w:p>
          <w:p w:rsidR="00464F34" w:rsidRPr="00D51A68" w:rsidRDefault="00464F34" w:rsidP="00464F34">
            <w:pPr>
              <w:rPr>
                <w:rStyle w:val="InstructionsTabelleText"/>
                <w:rFonts w:ascii="Times New Roman" w:hAnsi="Times New Roman"/>
                <w:sz w:val="24"/>
              </w:rPr>
            </w:pPr>
            <w:r w:rsidRPr="00D51A68">
              <w:rPr>
                <w:rStyle w:val="InstructionsTabelleText"/>
                <w:rFonts w:ascii="Times New Roman" w:hAnsi="Times New Roman"/>
                <w:sz w:val="24"/>
              </w:rPr>
              <w:t>La sezione relativa alle informazioni dettagliate (colonne da 070 a 240) contiene informazioni riguardanti unicamente i soggetti e i sottogruppi che, essendo inclusi nel consolidamento (</w:t>
            </w:r>
            <w:r w:rsidRPr="00D51A68">
              <w:rPr>
                <w:rFonts w:ascii="Times New Roman" w:hAnsi="Times New Roman"/>
                <w:sz w:val="24"/>
              </w:rPr>
              <w:t>parte uno, titolo II, capo 2, del CRR</w:t>
            </w:r>
            <w:r w:rsidRPr="00D51A68">
              <w:rPr>
                <w:rStyle w:val="InstructionsTabelleText"/>
                <w:rFonts w:ascii="Times New Roman" w:hAnsi="Times New Roman"/>
                <w:sz w:val="24"/>
              </w:rPr>
              <w:t xml:space="preserve">), sono effettivamente soggetti a requisiti di solvibilità ai sensi del CRR o di disposizioni almeno equivalenti alle norme </w:t>
            </w:r>
            <w:r w:rsidRPr="00D51A68">
              <w:rPr>
                <w:rStyle w:val="InstructionsTabelleText"/>
                <w:rFonts w:ascii="Times New Roman" w:hAnsi="Times New Roman"/>
                <w:sz w:val="24"/>
              </w:rPr>
              <w:lastRenderedPageBreak/>
              <w:t xml:space="preserve">di Basilea (cioè quelli per cui è indicato </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sì</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 xml:space="preserve"> nella colonna 030). </w:t>
            </w:r>
          </w:p>
          <w:p w:rsidR="00464F34" w:rsidRPr="00D51A68" w:rsidRDefault="00464F34" w:rsidP="00464F34">
            <w:pPr>
              <w:rPr>
                <w:rFonts w:ascii="Times New Roman" w:hAnsi="Times New Roman"/>
                <w:sz w:val="24"/>
              </w:rPr>
            </w:pPr>
            <w:r w:rsidRPr="00D51A68">
              <w:rPr>
                <w:rFonts w:ascii="Times New Roman" w:hAnsi="Times New Roman"/>
                <w:sz w:val="24"/>
              </w:rPr>
              <w:t xml:space="preserve">Sono segnalate informazioni riguardanti tutti i singoli enti di un gruppo consolidato ai quali si applicano requisiti di fondi propri, indipendentemente dal luogo in cui sono situati. </w:t>
            </w:r>
          </w:p>
          <w:p w:rsidR="00464F34" w:rsidRPr="00D51A68" w:rsidRDefault="00464F34" w:rsidP="00464F34">
            <w:pPr>
              <w:rPr>
                <w:rFonts w:ascii="Times New Roman" w:hAnsi="Times New Roman"/>
                <w:sz w:val="24"/>
              </w:rPr>
            </w:pPr>
            <w:r w:rsidRPr="00D51A68">
              <w:rPr>
                <w:rFonts w:ascii="Times New Roman" w:hAnsi="Times New Roman"/>
                <w:sz w:val="24"/>
              </w:rPr>
              <w:t>Le informazioni riportate in questa parte sono conformi alle norme locali sulla solvibilità del luogo in cui l</w:t>
            </w:r>
            <w:r w:rsidR="0009277C" w:rsidRPr="00D51A68">
              <w:rPr>
                <w:rFonts w:ascii="Times New Roman" w:hAnsi="Times New Roman"/>
                <w:sz w:val="24"/>
              </w:rPr>
              <w:t>’</w:t>
            </w:r>
            <w:r w:rsidRPr="00D51A68">
              <w:rPr>
                <w:rFonts w:ascii="Times New Roman" w:hAnsi="Times New Roman"/>
                <w:sz w:val="24"/>
              </w:rPr>
              <w:t>ente opera (per questo modello, quindi, non è necessario effettuare un doppio calcolo su base individuale conformemente alle regole dell</w:t>
            </w:r>
            <w:r w:rsidR="0009277C" w:rsidRPr="00D51A68">
              <w:rPr>
                <w:rFonts w:ascii="Times New Roman" w:hAnsi="Times New Roman"/>
                <w:sz w:val="24"/>
              </w:rPr>
              <w:t>’</w:t>
            </w:r>
            <w:r w:rsidRPr="00D51A68">
              <w:rPr>
                <w:rFonts w:ascii="Times New Roman" w:hAnsi="Times New Roman"/>
                <w:sz w:val="24"/>
              </w:rPr>
              <w:t>ente impresa madre). Nei casi in cui le norme locali sulla solvibilità siano diverse dal CRR e non esista una ripartizione analoga, le informazioni sono integrate qualora siano disponibili dati nella rispettiva granularità. Questa parte del modello è pertanto strutturata come modello fattuale che riassume i calcoli eseguiti dai singoli enti di un gruppo, tenuto conto del fatto che alcuni di tali enti possono essere soggetti a norme di solvibilità diverse.</w:t>
            </w:r>
          </w:p>
          <w:p w:rsidR="00464F34" w:rsidRPr="00D51A68" w:rsidRDefault="00464F34" w:rsidP="00464F34">
            <w:pPr>
              <w:rPr>
                <w:rStyle w:val="InstructionsTabelleText"/>
                <w:rFonts w:ascii="Times New Roman" w:hAnsi="Times New Roman"/>
                <w:b/>
                <w:sz w:val="24"/>
                <w:u w:val="single"/>
              </w:rPr>
            </w:pPr>
            <w:r w:rsidRPr="00D51A68">
              <w:rPr>
                <w:rStyle w:val="InstructionsTabelleText"/>
                <w:rFonts w:ascii="Times New Roman" w:hAnsi="Times New Roman"/>
                <w:b/>
                <w:sz w:val="24"/>
                <w:u w:val="single"/>
              </w:rPr>
              <w:t>Segnalazione delle spese fisse generali delle imprese di investimento</w:t>
            </w:r>
          </w:p>
          <w:p w:rsidR="00464F34" w:rsidRPr="00D51A68" w:rsidRDefault="00464F34" w:rsidP="00464F34">
            <w:pPr>
              <w:autoSpaceDE w:val="0"/>
              <w:autoSpaceDN w:val="0"/>
              <w:adjustRightInd w:val="0"/>
              <w:spacing w:after="0"/>
              <w:rPr>
                <w:rStyle w:val="InstructionsTabelleText"/>
                <w:rFonts w:ascii="Times New Roman" w:hAnsi="Times New Roman"/>
                <w:sz w:val="24"/>
              </w:rPr>
            </w:pPr>
            <w:r w:rsidRPr="00D51A68">
              <w:rPr>
                <w:rStyle w:val="InstructionsTabelleText"/>
                <w:rFonts w:ascii="Times New Roman" w:hAnsi="Times New Roman"/>
                <w:sz w:val="24"/>
              </w:rPr>
              <w:t>Nel calcolo del coefficiente di capitale ai sensi degli articoli 95, 96, 97 e 98 del CRR le imprese di investimento includono i requisiti di fondi propri relativi alle spese fisse generali.</w:t>
            </w:r>
          </w:p>
          <w:p w:rsidR="00464F34" w:rsidRPr="00D51A68" w:rsidRDefault="00464F34" w:rsidP="00941843">
            <w:pPr>
              <w:autoSpaceDE w:val="0"/>
              <w:autoSpaceDN w:val="0"/>
              <w:adjustRightInd w:val="0"/>
              <w:spacing w:after="0"/>
              <w:rPr>
                <w:rStyle w:val="InstructionsTabelleText"/>
                <w:rFonts w:ascii="Times New Roman" w:hAnsi="Times New Roman"/>
                <w:sz w:val="24"/>
              </w:rPr>
            </w:pPr>
            <w:r w:rsidRPr="00D51A68">
              <w:rPr>
                <w:rStyle w:val="InstructionsTabelleText"/>
                <w:rFonts w:ascii="Times New Roman" w:hAnsi="Times New Roman"/>
                <w:sz w:val="24"/>
              </w:rPr>
              <w:t>La parte dell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importo complessivo dell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 xml:space="preserve">esposizione al rischio relativa alle spese fisse generali è segnalata nella colonna 100 della parte 2 di questo modello. </w:t>
            </w:r>
          </w:p>
        </w:tc>
      </w:tr>
      <w:tr w:rsidR="00464F34" w:rsidRPr="00D51A68" w:rsidTr="00672D2A">
        <w:tc>
          <w:tcPr>
            <w:tcW w:w="1188" w:type="dxa"/>
          </w:tcPr>
          <w:p w:rsidR="00464F34" w:rsidRPr="00D51A68" w:rsidRDefault="00464F34" w:rsidP="00464F34">
            <w:pPr>
              <w:rPr>
                <w:rStyle w:val="InstructionsTabelleText"/>
                <w:rFonts w:ascii="Times New Roman" w:hAnsi="Times New Roman"/>
                <w:sz w:val="24"/>
              </w:rPr>
            </w:pPr>
            <w:r w:rsidRPr="00D51A68">
              <w:rPr>
                <w:rStyle w:val="InstructionsTabelleText"/>
                <w:rFonts w:ascii="Times New Roman" w:hAnsi="Times New Roman"/>
                <w:sz w:val="24"/>
              </w:rPr>
              <w:lastRenderedPageBreak/>
              <w:t>070</w:t>
            </w:r>
          </w:p>
        </w:tc>
        <w:tc>
          <w:tcPr>
            <w:tcW w:w="8640" w:type="dxa"/>
          </w:tcPr>
          <w:p w:rsidR="00464F34" w:rsidRPr="00D51A68" w:rsidRDefault="00464F34" w:rsidP="00464F34">
            <w:pPr>
              <w:rPr>
                <w:rStyle w:val="InstructionsTabelleberschrift"/>
                <w:rFonts w:ascii="Times New Roman" w:hAnsi="Times New Roman"/>
                <w:sz w:val="24"/>
              </w:rPr>
            </w:pPr>
            <w:r w:rsidRPr="00D51A68">
              <w:rPr>
                <w:rStyle w:val="InstructionsTabelleberschrift"/>
                <w:rFonts w:ascii="Times New Roman" w:hAnsi="Times New Roman"/>
                <w:sz w:val="24"/>
              </w:rPr>
              <w:t>IMPORTO COMPLESSIVO DELL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 xml:space="preserve">ESPOSIZIONE AL RISCHIO </w:t>
            </w:r>
          </w:p>
          <w:p w:rsidR="00464F34" w:rsidRPr="00D51A68" w:rsidRDefault="00464F34" w:rsidP="00464F34">
            <w:pPr>
              <w:rPr>
                <w:rStyle w:val="InstructionsTabelleberschrift"/>
                <w:rFonts w:ascii="Times New Roman" w:hAnsi="Times New Roman"/>
                <w:sz w:val="24"/>
              </w:rPr>
            </w:pPr>
            <w:r w:rsidRPr="00D51A68">
              <w:rPr>
                <w:rStyle w:val="InstructionsTabelleText"/>
                <w:rFonts w:ascii="Times New Roman" w:hAnsi="Times New Roman"/>
                <w:sz w:val="24"/>
              </w:rPr>
              <w:t>È segnalata la somma delle colonne da 080 a 110.</w:t>
            </w:r>
          </w:p>
        </w:tc>
      </w:tr>
      <w:tr w:rsidR="00464F34" w:rsidRPr="00D51A68" w:rsidTr="00672D2A">
        <w:tc>
          <w:tcPr>
            <w:tcW w:w="1188" w:type="dxa"/>
          </w:tcPr>
          <w:p w:rsidR="00464F34" w:rsidRPr="00D51A68" w:rsidRDefault="00464F34" w:rsidP="00464F34">
            <w:pPr>
              <w:rPr>
                <w:rStyle w:val="InstructionsTabelleText"/>
                <w:rFonts w:ascii="Times New Roman" w:hAnsi="Times New Roman"/>
                <w:sz w:val="24"/>
              </w:rPr>
            </w:pPr>
            <w:r w:rsidRPr="00D51A68">
              <w:rPr>
                <w:rStyle w:val="InstructionsTabelleText"/>
                <w:rFonts w:ascii="Times New Roman" w:hAnsi="Times New Roman"/>
                <w:sz w:val="24"/>
              </w:rPr>
              <w:t>080</w:t>
            </w:r>
          </w:p>
        </w:tc>
        <w:tc>
          <w:tcPr>
            <w:tcW w:w="8640" w:type="dxa"/>
          </w:tcPr>
          <w:p w:rsidR="00464F34" w:rsidRPr="00D51A68" w:rsidRDefault="00464F34" w:rsidP="00464F34">
            <w:pPr>
              <w:rPr>
                <w:rStyle w:val="InstructionsTabelleberschrift"/>
                <w:rFonts w:ascii="Times New Roman" w:hAnsi="Times New Roman"/>
                <w:sz w:val="24"/>
              </w:rPr>
            </w:pPr>
            <w:r w:rsidRPr="00D51A68">
              <w:rPr>
                <w:rStyle w:val="InstructionsTabelleberschrift"/>
                <w:rFonts w:ascii="Times New Roman" w:hAnsi="Times New Roman"/>
                <w:sz w:val="24"/>
              </w:rPr>
              <w:t>RISCHIO DI CREDITO; RISCHIO DI CONTROPARTE; RISCHIO DI DILUIZIONE, OPERAZIONI CON REGOLAMENTO NON CONTESTUALE E RISCHIO DI REGOLAMENTO/CONSEGNA</w:t>
            </w:r>
          </w:p>
          <w:p w:rsidR="00464F34" w:rsidRPr="00D51A68" w:rsidRDefault="00464F34" w:rsidP="00E871FE">
            <w:pPr>
              <w:rPr>
                <w:rStyle w:val="InstructionsTabelleText"/>
                <w:rFonts w:ascii="Times New Roman" w:hAnsi="Times New Roman"/>
                <w:sz w:val="24"/>
              </w:rPr>
            </w:pPr>
            <w:r w:rsidRPr="00D51A68">
              <w:rPr>
                <w:rStyle w:val="InstructionsTabelleText"/>
                <w:rFonts w:ascii="Times New Roman" w:hAnsi="Times New Roman"/>
                <w:sz w:val="24"/>
              </w:rPr>
              <w:t>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 xml:space="preserve">importo da segnalare in questa colonna è la somma degli importi delle esposizioni ponderati per il rischio, uguali o equivalenti a quelli da indicare nella riga 040 </w:t>
            </w:r>
            <w:r w:rsidR="0009277C" w:rsidRPr="00D51A68">
              <w:rPr>
                <w:rStyle w:val="InstructionsTabelleText"/>
                <w:rFonts w:ascii="Times New Roman" w:hAnsi="Times New Roman"/>
                <w:sz w:val="24"/>
              </w:rPr>
              <w:t>“</w:t>
            </w:r>
            <w:r w:rsidRPr="00D51A68">
              <w:rPr>
                <w:rStyle w:val="InstructionsTabelleberschrift"/>
                <w:rFonts w:ascii="Times New Roman" w:hAnsi="Times New Roman"/>
                <w:b w:val="0"/>
                <w:sz w:val="24"/>
                <w:u w:val="none"/>
              </w:rPr>
              <w:t>IMPORTI DELLE ESPOSIZIONI PONDERATI PER RISCHIO</w:t>
            </w:r>
            <w:r w:rsidRPr="00D51A68">
              <w:t xml:space="preserve"> </w:t>
            </w:r>
            <w:r w:rsidRPr="00D51A68">
              <w:rPr>
                <w:rStyle w:val="InstructionsTabelleText"/>
                <w:rFonts w:ascii="Times New Roman" w:hAnsi="Times New Roman"/>
                <w:sz w:val="24"/>
              </w:rPr>
              <w:t>DI CREDITO, RISCHIO DI CONTROPARTE E RISCHIO DI DILUIZIONE E OPERAZIONI CON REGOLAMENTO NON CONTESTUALE</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 xml:space="preserve">, e degli importi dei requisiti di fondi propri uguali o equivalenti a quelli da indicare nella riga 490 </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IMPORTO COMPLESSIVO DELL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ESPOSIZIONE AL RISCHIO DI REGOLAMENTO/CONSEGNA</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 xml:space="preserve"> del modello CA2.</w:t>
            </w:r>
          </w:p>
        </w:tc>
      </w:tr>
      <w:tr w:rsidR="00464F34" w:rsidRPr="00D51A68" w:rsidTr="00672D2A">
        <w:tc>
          <w:tcPr>
            <w:tcW w:w="1188" w:type="dxa"/>
          </w:tcPr>
          <w:p w:rsidR="00464F34" w:rsidRPr="00D51A68" w:rsidRDefault="00464F34" w:rsidP="00464F34">
            <w:pPr>
              <w:rPr>
                <w:rStyle w:val="InstructionsTabelleText"/>
                <w:rFonts w:ascii="Times New Roman" w:hAnsi="Times New Roman"/>
                <w:sz w:val="24"/>
              </w:rPr>
            </w:pPr>
            <w:r w:rsidRPr="00D51A68">
              <w:rPr>
                <w:rStyle w:val="InstructionsTabelleText"/>
                <w:rFonts w:ascii="Times New Roman" w:hAnsi="Times New Roman"/>
                <w:sz w:val="24"/>
              </w:rPr>
              <w:t>090</w:t>
            </w:r>
          </w:p>
        </w:tc>
        <w:tc>
          <w:tcPr>
            <w:tcW w:w="8640" w:type="dxa"/>
          </w:tcPr>
          <w:p w:rsidR="00464F34" w:rsidRPr="00D51A68" w:rsidRDefault="00464F34" w:rsidP="00464F34">
            <w:pPr>
              <w:rPr>
                <w:rStyle w:val="InstructionsTabelleberschrift"/>
                <w:rFonts w:ascii="Times New Roman" w:hAnsi="Times New Roman"/>
                <w:sz w:val="24"/>
              </w:rPr>
            </w:pPr>
            <w:r w:rsidRPr="00D51A68">
              <w:rPr>
                <w:rStyle w:val="InstructionsTabelleberschrift"/>
                <w:rFonts w:ascii="Times New Roman" w:hAnsi="Times New Roman"/>
                <w:sz w:val="24"/>
              </w:rPr>
              <w:t>RISCHI DI POSIZIONE, DI CAMBIO E DI POSIZIONE IN MERCI</w:t>
            </w:r>
          </w:p>
          <w:p w:rsidR="00464F34" w:rsidRPr="00D51A68" w:rsidRDefault="00464F34" w:rsidP="00464F34">
            <w:pPr>
              <w:rPr>
                <w:rStyle w:val="InstructionsTabelleText"/>
                <w:rFonts w:ascii="Times New Roman" w:hAnsi="Times New Roman"/>
                <w:sz w:val="24"/>
              </w:rPr>
            </w:pPr>
            <w:r w:rsidRPr="00D51A68">
              <w:rPr>
                <w:rStyle w:val="InstructionsTabelleText"/>
                <w:rFonts w:ascii="Times New Roman" w:hAnsi="Times New Roman"/>
                <w:sz w:val="24"/>
              </w:rPr>
              <w:t>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importo da segnalare in questa colonna è 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 xml:space="preserve">importo dei requisiti di fondi propri uguali o equivalenti a quelli da indicare nella riga 520 </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IMPORTO COMPLESSIVO DELL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ESPOSIZIONE AI RISCHI DI POSIZIONE, DI CAMBIO E DI POSIZIONE IN MERCI</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 xml:space="preserve"> del modello CA2.</w:t>
            </w:r>
          </w:p>
        </w:tc>
      </w:tr>
      <w:tr w:rsidR="00464F34" w:rsidRPr="00D51A68" w:rsidTr="00672D2A">
        <w:tc>
          <w:tcPr>
            <w:tcW w:w="1188" w:type="dxa"/>
          </w:tcPr>
          <w:p w:rsidR="00464F34" w:rsidRPr="00D51A68" w:rsidRDefault="00464F34" w:rsidP="00464F34">
            <w:pPr>
              <w:rPr>
                <w:rStyle w:val="InstructionsTabelleText"/>
                <w:rFonts w:ascii="Times New Roman" w:hAnsi="Times New Roman"/>
                <w:sz w:val="24"/>
              </w:rPr>
            </w:pPr>
            <w:r w:rsidRPr="00D51A68">
              <w:rPr>
                <w:rStyle w:val="InstructionsTabelleText"/>
                <w:rFonts w:ascii="Times New Roman" w:hAnsi="Times New Roman"/>
                <w:sz w:val="24"/>
              </w:rPr>
              <w:t>100</w:t>
            </w:r>
          </w:p>
        </w:tc>
        <w:tc>
          <w:tcPr>
            <w:tcW w:w="8640" w:type="dxa"/>
          </w:tcPr>
          <w:p w:rsidR="00464F34" w:rsidRPr="00D51A68" w:rsidRDefault="00464F34" w:rsidP="00464F34">
            <w:pPr>
              <w:rPr>
                <w:rStyle w:val="InstructionsTabelleberschrift"/>
                <w:rFonts w:ascii="Times New Roman" w:hAnsi="Times New Roman"/>
                <w:sz w:val="24"/>
              </w:rPr>
            </w:pPr>
            <w:r w:rsidRPr="00D51A68">
              <w:rPr>
                <w:rStyle w:val="InstructionsTabelleberschrift"/>
                <w:rFonts w:ascii="Times New Roman" w:hAnsi="Times New Roman"/>
                <w:sz w:val="24"/>
              </w:rPr>
              <w:t>RISCHIO OPERATIVO</w:t>
            </w:r>
          </w:p>
          <w:p w:rsidR="00464F34" w:rsidRPr="00D51A68" w:rsidRDefault="00464F34" w:rsidP="00464F34">
            <w:pPr>
              <w:rPr>
                <w:rStyle w:val="InstructionsTabelleText"/>
                <w:rFonts w:ascii="Times New Roman" w:hAnsi="Times New Roman"/>
                <w:sz w:val="24"/>
              </w:rPr>
            </w:pPr>
            <w:r w:rsidRPr="00D51A68">
              <w:rPr>
                <w:rStyle w:val="InstructionsTabelleText"/>
                <w:rFonts w:ascii="Times New Roman" w:hAnsi="Times New Roman"/>
                <w:sz w:val="24"/>
              </w:rPr>
              <w:t>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importo da segnalare in questa colonna è 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importo dell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 xml:space="preserve">esposizione al rischio uguale o equivalente a quello da indicare nella riga 590 </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IMPORTO COMPLESSIVO DELL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ESPOSIZIONE AL RISCHIO OPERATIVO (OpR)</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 xml:space="preserve"> del modello CA2.</w:t>
            </w:r>
          </w:p>
          <w:p w:rsidR="00464F34" w:rsidRPr="00D51A68" w:rsidRDefault="00464F34" w:rsidP="00464F34">
            <w:pPr>
              <w:rPr>
                <w:rStyle w:val="InstructionsTabelleText"/>
                <w:rFonts w:ascii="Times New Roman" w:hAnsi="Times New Roman"/>
                <w:sz w:val="24"/>
              </w:rPr>
            </w:pPr>
            <w:r w:rsidRPr="00D51A68">
              <w:rPr>
                <w:rStyle w:val="InstructionsTabelleText"/>
                <w:rFonts w:ascii="Times New Roman" w:hAnsi="Times New Roman"/>
                <w:sz w:val="24"/>
              </w:rPr>
              <w:t xml:space="preserve">Le spese fisse generali sono incluse in questa colonna, compresa la riga 630 </w:t>
            </w:r>
            <w:r w:rsidR="0009277C" w:rsidRPr="00D51A68">
              <w:rPr>
                <w:rStyle w:val="InstructionsTabelleText"/>
                <w:rFonts w:ascii="Times New Roman" w:hAnsi="Times New Roman"/>
                <w:sz w:val="24"/>
              </w:rPr>
              <w:lastRenderedPageBreak/>
              <w:t>“</w:t>
            </w:r>
            <w:r w:rsidRPr="00D51A68">
              <w:rPr>
                <w:rStyle w:val="InstructionsTabelleText"/>
                <w:rFonts w:ascii="Times New Roman" w:hAnsi="Times New Roman"/>
                <w:sz w:val="24"/>
              </w:rPr>
              <w:t>IMPORTO AGGIUNTIVO DELL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ESPOSIZIONE AL RISCHIO DOVUTO ALLE SPESE FISSE GENERALI</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 xml:space="preserve"> del modello CA2.</w:t>
            </w:r>
          </w:p>
        </w:tc>
      </w:tr>
      <w:tr w:rsidR="00464F34" w:rsidRPr="00D51A68" w:rsidTr="00672D2A">
        <w:tc>
          <w:tcPr>
            <w:tcW w:w="1188" w:type="dxa"/>
          </w:tcPr>
          <w:p w:rsidR="00464F34" w:rsidRPr="00D51A68" w:rsidRDefault="00464F34" w:rsidP="00464F34">
            <w:pPr>
              <w:rPr>
                <w:rStyle w:val="InstructionsTabelleText"/>
                <w:rFonts w:ascii="Times New Roman" w:hAnsi="Times New Roman"/>
                <w:sz w:val="24"/>
              </w:rPr>
            </w:pPr>
            <w:r w:rsidRPr="00D51A68">
              <w:rPr>
                <w:rStyle w:val="InstructionsTabelleText"/>
                <w:rFonts w:ascii="Times New Roman" w:hAnsi="Times New Roman"/>
                <w:sz w:val="24"/>
              </w:rPr>
              <w:lastRenderedPageBreak/>
              <w:t>110</w:t>
            </w:r>
          </w:p>
        </w:tc>
        <w:tc>
          <w:tcPr>
            <w:tcW w:w="8640" w:type="dxa"/>
          </w:tcPr>
          <w:p w:rsidR="00464F34" w:rsidRPr="00D51A68" w:rsidRDefault="00464F34" w:rsidP="00464F34">
            <w:pPr>
              <w:rPr>
                <w:rStyle w:val="InstructionsTabelleberschrift"/>
                <w:rFonts w:ascii="Times New Roman" w:hAnsi="Times New Roman"/>
                <w:sz w:val="24"/>
              </w:rPr>
            </w:pPr>
            <w:r w:rsidRPr="00D51A68">
              <w:rPr>
                <w:rStyle w:val="InstructionsTabelleberschrift"/>
                <w:rFonts w:ascii="Times New Roman" w:hAnsi="Times New Roman"/>
                <w:sz w:val="24"/>
              </w:rPr>
              <w:t>ALTRI IMPORTI DELL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ESPOSIZIONE AL RISCHIO</w:t>
            </w:r>
          </w:p>
          <w:p w:rsidR="00464F34" w:rsidRPr="00D51A68" w:rsidRDefault="00464F34" w:rsidP="00464F34">
            <w:pPr>
              <w:rPr>
                <w:rStyle w:val="InstructionsTabelleText"/>
                <w:rFonts w:ascii="Times New Roman" w:hAnsi="Times New Roman"/>
                <w:sz w:val="24"/>
              </w:rPr>
            </w:pPr>
            <w:r w:rsidRPr="00D51A68">
              <w:rPr>
                <w:rStyle w:val="InstructionsTabelleText"/>
                <w:rFonts w:ascii="Times New Roman" w:hAnsi="Times New Roman"/>
                <w:sz w:val="24"/>
              </w:rPr>
              <w:t>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 xml:space="preserve">importo da segnalare in questa colonna sono gli importi delle esposizioni ai rischi non elencati specificamente nelle voci precedenti. È la </w:t>
            </w:r>
            <w:r w:rsidR="00401C06" w:rsidRPr="00D51A68">
              <w:rPr>
                <w:rStyle w:val="InstructionsTabelleText"/>
                <w:rFonts w:ascii="Times New Roman" w:hAnsi="Times New Roman"/>
                <w:sz w:val="24"/>
              </w:rPr>
              <w:t>somma degli importi delle righe </w:t>
            </w:r>
            <w:r w:rsidRPr="00D51A68">
              <w:rPr>
                <w:rStyle w:val="InstructionsTabelleText"/>
                <w:rFonts w:ascii="Times New Roman" w:hAnsi="Times New Roman"/>
                <w:sz w:val="24"/>
              </w:rPr>
              <w:t>640, 680 e 690 del modello CA2.</w:t>
            </w:r>
          </w:p>
        </w:tc>
      </w:tr>
      <w:tr w:rsidR="00464F34" w:rsidRPr="00D51A68" w:rsidTr="00672D2A">
        <w:tc>
          <w:tcPr>
            <w:tcW w:w="1188" w:type="dxa"/>
          </w:tcPr>
          <w:p w:rsidR="00464F34" w:rsidRPr="00D51A68" w:rsidRDefault="00464F34" w:rsidP="00464F34">
            <w:pPr>
              <w:rPr>
                <w:rStyle w:val="InstructionsTabelleText"/>
                <w:rFonts w:ascii="Times New Roman" w:hAnsi="Times New Roman"/>
                <w:sz w:val="24"/>
              </w:rPr>
            </w:pPr>
            <w:r w:rsidRPr="00D51A68">
              <w:rPr>
                <w:rStyle w:val="InstructionsTabelleText"/>
                <w:rFonts w:ascii="Times New Roman" w:hAnsi="Times New Roman"/>
                <w:sz w:val="24"/>
              </w:rPr>
              <w:t>120-240</w:t>
            </w:r>
          </w:p>
        </w:tc>
        <w:tc>
          <w:tcPr>
            <w:tcW w:w="8640" w:type="dxa"/>
          </w:tcPr>
          <w:p w:rsidR="00464F34" w:rsidRPr="00D51A68" w:rsidRDefault="00464F34" w:rsidP="00464F34">
            <w:pPr>
              <w:rPr>
                <w:rStyle w:val="InstructionsTabelleberschrift"/>
                <w:rFonts w:ascii="Times New Roman" w:hAnsi="Times New Roman"/>
                <w:sz w:val="24"/>
              </w:rPr>
            </w:pPr>
            <w:r w:rsidRPr="00D51A68">
              <w:rPr>
                <w:rStyle w:val="InstructionsTabelleberschrift"/>
                <w:rFonts w:ascii="Times New Roman" w:hAnsi="Times New Roman"/>
                <w:sz w:val="24"/>
              </w:rPr>
              <w:t>INFORMAZIONI DETTAGLIATE SUI FONDI PROPRI RILEVANTI AI FINI DELLA SOLVIBILITÀ DEL GRUPPO</w:t>
            </w:r>
          </w:p>
          <w:p w:rsidR="00464F34" w:rsidRPr="00D51A68" w:rsidRDefault="00464F34" w:rsidP="00464F34">
            <w:pPr>
              <w:rPr>
                <w:rStyle w:val="InstructionsTabelleText"/>
                <w:rFonts w:ascii="Times New Roman" w:hAnsi="Times New Roman"/>
                <w:sz w:val="24"/>
              </w:rPr>
            </w:pPr>
            <w:r w:rsidRPr="00D51A68">
              <w:rPr>
                <w:rStyle w:val="InstructionsTabelleText"/>
                <w:rFonts w:ascii="Times New Roman" w:hAnsi="Times New Roman"/>
                <w:sz w:val="24"/>
              </w:rPr>
              <w:t>Le informazioni segnalate nelle colonne che seguono sono conformi alle norme locali di solvibilità del luogo in cui opera il soggetto o il sottogruppo.</w:t>
            </w:r>
          </w:p>
        </w:tc>
      </w:tr>
      <w:tr w:rsidR="00464F34" w:rsidRPr="00D51A68" w:rsidTr="00672D2A">
        <w:tc>
          <w:tcPr>
            <w:tcW w:w="1188" w:type="dxa"/>
          </w:tcPr>
          <w:p w:rsidR="00464F34" w:rsidRPr="00D51A68" w:rsidRDefault="00464F34" w:rsidP="00464F34">
            <w:pPr>
              <w:rPr>
                <w:rStyle w:val="InstructionsTabelleText"/>
                <w:rFonts w:ascii="Times New Roman" w:hAnsi="Times New Roman"/>
                <w:sz w:val="24"/>
              </w:rPr>
            </w:pPr>
            <w:r w:rsidRPr="00D51A68">
              <w:rPr>
                <w:rStyle w:val="InstructionsTabelleText"/>
                <w:rFonts w:ascii="Times New Roman" w:hAnsi="Times New Roman"/>
                <w:sz w:val="24"/>
              </w:rPr>
              <w:t>120</w:t>
            </w:r>
          </w:p>
        </w:tc>
        <w:tc>
          <w:tcPr>
            <w:tcW w:w="8640" w:type="dxa"/>
          </w:tcPr>
          <w:p w:rsidR="00464F34" w:rsidRPr="00D51A68" w:rsidRDefault="00464F34" w:rsidP="00464F34">
            <w:pPr>
              <w:rPr>
                <w:rStyle w:val="InstructionsTabelleberschrift"/>
                <w:rFonts w:ascii="Times New Roman" w:hAnsi="Times New Roman"/>
                <w:sz w:val="24"/>
              </w:rPr>
            </w:pPr>
            <w:r w:rsidRPr="00D51A68">
              <w:rPr>
                <w:rStyle w:val="InstructionsTabelleberschrift"/>
                <w:rFonts w:ascii="Times New Roman" w:hAnsi="Times New Roman"/>
                <w:sz w:val="24"/>
              </w:rPr>
              <w:t>FONDI PROPRI</w:t>
            </w:r>
          </w:p>
          <w:p w:rsidR="00464F34" w:rsidRPr="00D51A68" w:rsidRDefault="00464F34" w:rsidP="00464F34">
            <w:pPr>
              <w:rPr>
                <w:rStyle w:val="InstructionsTabelleberschrift"/>
                <w:rFonts w:ascii="Times New Roman" w:hAnsi="Times New Roman"/>
                <w:sz w:val="24"/>
              </w:rPr>
            </w:pPr>
            <w:r w:rsidRPr="00D51A68">
              <w:rPr>
                <w:rStyle w:val="InstructionsTabelleText"/>
                <w:rFonts w:ascii="Times New Roman" w:hAnsi="Times New Roman"/>
                <w:sz w:val="24"/>
              </w:rPr>
              <w:t>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importo da segnalare in questa colonna è 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 xml:space="preserve">importo dei fondi propri uguali o equivalenti a quelli da segnalare nella riga 010 </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FONDI PROPRI</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 xml:space="preserve"> del modello CA1.</w:t>
            </w:r>
          </w:p>
        </w:tc>
      </w:tr>
      <w:tr w:rsidR="00464F34" w:rsidRPr="00D51A68" w:rsidTr="00672D2A">
        <w:tc>
          <w:tcPr>
            <w:tcW w:w="1188" w:type="dxa"/>
          </w:tcPr>
          <w:p w:rsidR="00464F34" w:rsidRPr="00D51A68" w:rsidRDefault="00464F34" w:rsidP="00464F34">
            <w:pPr>
              <w:rPr>
                <w:rStyle w:val="InstructionsTabelleText"/>
                <w:rFonts w:ascii="Times New Roman" w:hAnsi="Times New Roman"/>
                <w:sz w:val="24"/>
              </w:rPr>
            </w:pPr>
            <w:r w:rsidRPr="00D51A68">
              <w:rPr>
                <w:rStyle w:val="InstructionsTabelleText"/>
                <w:rFonts w:ascii="Times New Roman" w:hAnsi="Times New Roman"/>
                <w:sz w:val="24"/>
              </w:rPr>
              <w:t>130</w:t>
            </w:r>
          </w:p>
        </w:tc>
        <w:tc>
          <w:tcPr>
            <w:tcW w:w="8640" w:type="dxa"/>
          </w:tcPr>
          <w:p w:rsidR="00464F34" w:rsidRPr="00D51A68" w:rsidRDefault="00464F34" w:rsidP="00464F34">
            <w:pPr>
              <w:rPr>
                <w:rStyle w:val="InstructionsTabelleberschrift"/>
                <w:rFonts w:ascii="Times New Roman" w:hAnsi="Times New Roman"/>
                <w:sz w:val="24"/>
              </w:rPr>
            </w:pPr>
            <w:r w:rsidRPr="00D51A68">
              <w:rPr>
                <w:rStyle w:val="InstructionsTabelleberschrift"/>
                <w:rFonts w:ascii="Times New Roman" w:hAnsi="Times New Roman"/>
                <w:sz w:val="24"/>
              </w:rPr>
              <w:t xml:space="preserve">DI CUI: FONDI PROPRI AMMISSIBILI </w:t>
            </w:r>
          </w:p>
          <w:p w:rsidR="00464F34" w:rsidRPr="00D51A68" w:rsidRDefault="00464F34" w:rsidP="00464F34">
            <w:pPr>
              <w:rPr>
                <w:rStyle w:val="InstructionsTabelleText"/>
                <w:rFonts w:ascii="Times New Roman" w:hAnsi="Times New Roman"/>
                <w:sz w:val="24"/>
              </w:rPr>
            </w:pPr>
            <w:r w:rsidRPr="00D51A68">
              <w:rPr>
                <w:rStyle w:val="InstructionsTabelleText"/>
                <w:rFonts w:ascii="Times New Roman" w:hAnsi="Times New Roman"/>
                <w:sz w:val="24"/>
              </w:rPr>
              <w:t xml:space="preserve">Articolo 82 del CRR. </w:t>
            </w:r>
          </w:p>
          <w:p w:rsidR="00464F34" w:rsidRPr="00D51A68" w:rsidRDefault="00464F34" w:rsidP="00464F34">
            <w:pPr>
              <w:rPr>
                <w:rStyle w:val="InstructionsTabelleText"/>
                <w:rFonts w:ascii="Times New Roman" w:hAnsi="Times New Roman"/>
                <w:sz w:val="24"/>
              </w:rPr>
            </w:pPr>
            <w:r w:rsidRPr="00D51A68">
              <w:rPr>
                <w:rStyle w:val="InstructionsTabelleText"/>
                <w:rFonts w:ascii="Times New Roman" w:hAnsi="Times New Roman"/>
                <w:sz w:val="24"/>
              </w:rPr>
              <w:t xml:space="preserve">Questa colonna è compilata soltanto per le filiazioni segnalate su base individuale e integralmente consolidate che sono enti. </w:t>
            </w:r>
          </w:p>
          <w:p w:rsidR="00464F34" w:rsidRPr="00D51A68" w:rsidRDefault="00464F34" w:rsidP="00464F34">
            <w:pPr>
              <w:rPr>
                <w:rStyle w:val="InstructionsTabelleText"/>
                <w:rFonts w:ascii="Times New Roman" w:hAnsi="Times New Roman"/>
                <w:sz w:val="24"/>
              </w:rPr>
            </w:pPr>
            <w:r w:rsidRPr="00D51A68">
              <w:rPr>
                <w:rStyle w:val="InstructionsTabelleText"/>
                <w:rFonts w:ascii="Times New Roman" w:hAnsi="Times New Roman"/>
                <w:sz w:val="24"/>
              </w:rPr>
              <w:t>Nel caso di dette filiazioni sono partecipazioni qualificate gli strumenti (più i relativi utili non distribuiti, le riserve sovrapprezzo azioni e altre riserve) posseduti da persone diverse dalle imprese incluse nel consolidamento ai sensi del CRR.</w:t>
            </w:r>
          </w:p>
          <w:p w:rsidR="00464F34" w:rsidRPr="00D51A68" w:rsidRDefault="00464F34" w:rsidP="00464F34">
            <w:pPr>
              <w:rPr>
                <w:rStyle w:val="InstructionsTabelleberschrift"/>
                <w:rFonts w:ascii="Times New Roman" w:hAnsi="Times New Roman"/>
                <w:sz w:val="24"/>
              </w:rPr>
            </w:pPr>
            <w:r w:rsidRPr="00D51A68">
              <w:rPr>
                <w:rStyle w:val="InstructionsTabelleText"/>
                <w:rFonts w:ascii="Times New Roman" w:hAnsi="Times New Roman"/>
                <w:sz w:val="24"/>
              </w:rPr>
              <w:t>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importo da segnalare comprende gli effetti di qualsiasi disposizione transitoria ed è 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importo ammissibile alla data di riferimento per le segnalazioni.</w:t>
            </w:r>
          </w:p>
        </w:tc>
      </w:tr>
      <w:tr w:rsidR="00464F34" w:rsidRPr="00D51A68" w:rsidTr="00672D2A">
        <w:tc>
          <w:tcPr>
            <w:tcW w:w="1188" w:type="dxa"/>
          </w:tcPr>
          <w:p w:rsidR="00464F34" w:rsidRPr="00D51A68" w:rsidRDefault="00464F34" w:rsidP="00464F34">
            <w:pPr>
              <w:rPr>
                <w:rStyle w:val="InstructionsTabelleText"/>
                <w:rFonts w:ascii="Times New Roman" w:hAnsi="Times New Roman"/>
                <w:sz w:val="24"/>
              </w:rPr>
            </w:pPr>
            <w:r w:rsidRPr="00D51A68">
              <w:rPr>
                <w:rStyle w:val="InstructionsTabelleText"/>
                <w:rFonts w:ascii="Times New Roman" w:hAnsi="Times New Roman"/>
                <w:sz w:val="24"/>
              </w:rPr>
              <w:t>140</w:t>
            </w:r>
          </w:p>
        </w:tc>
        <w:tc>
          <w:tcPr>
            <w:tcW w:w="8640" w:type="dxa"/>
          </w:tcPr>
          <w:p w:rsidR="00464F34" w:rsidRPr="00D51A68" w:rsidRDefault="000044B7" w:rsidP="00464F34">
            <w:pPr>
              <w:rPr>
                <w:rStyle w:val="InstructionsTabelleberschrift"/>
                <w:rFonts w:ascii="Times New Roman" w:hAnsi="Times New Roman"/>
                <w:b w:val="0"/>
                <w:sz w:val="24"/>
              </w:rPr>
            </w:pPr>
            <w:r w:rsidRPr="00D51A68">
              <w:rPr>
                <w:rStyle w:val="InstructionsTabelleberschrift"/>
                <w:rFonts w:ascii="Times New Roman" w:hAnsi="Times New Roman"/>
                <w:sz w:val="24"/>
              </w:rPr>
              <w:t>RELATIVI STRUMENTI DI FONDI PROPRI, RELATIVI UTILI NON DISTRIBUITI, RISERVE SOVRAPPREZZO AZIONI E ALTRE RISERVE</w:t>
            </w:r>
          </w:p>
          <w:p w:rsidR="00464F34" w:rsidRPr="00D51A68" w:rsidRDefault="00464F34" w:rsidP="00464F34">
            <w:pPr>
              <w:rPr>
                <w:rStyle w:val="InstructionsTabelleberschrift"/>
                <w:rFonts w:ascii="Times New Roman" w:hAnsi="Times New Roman"/>
                <w:b w:val="0"/>
                <w:sz w:val="24"/>
                <w:u w:val="none"/>
              </w:rPr>
            </w:pPr>
            <w:r w:rsidRPr="00D51A68">
              <w:rPr>
                <w:rStyle w:val="InstructionsTabelleberschrift"/>
                <w:rFonts w:ascii="Times New Roman" w:hAnsi="Times New Roman"/>
                <w:b w:val="0"/>
                <w:sz w:val="24"/>
                <w:u w:val="none"/>
              </w:rPr>
              <w:t>Articolo 87, paragrafo 1, lettera b), del CRR.</w:t>
            </w:r>
          </w:p>
        </w:tc>
      </w:tr>
      <w:tr w:rsidR="00464F34" w:rsidRPr="00D51A68" w:rsidTr="00672D2A">
        <w:tc>
          <w:tcPr>
            <w:tcW w:w="1188" w:type="dxa"/>
          </w:tcPr>
          <w:p w:rsidR="00464F34" w:rsidRPr="00D51A68" w:rsidRDefault="00464F34" w:rsidP="00464F34">
            <w:pPr>
              <w:rPr>
                <w:rStyle w:val="InstructionsTabelleText"/>
                <w:rFonts w:ascii="Times New Roman" w:hAnsi="Times New Roman"/>
                <w:sz w:val="24"/>
              </w:rPr>
            </w:pPr>
            <w:r w:rsidRPr="00D51A68">
              <w:rPr>
                <w:rStyle w:val="InstructionsTabelleText"/>
                <w:rFonts w:ascii="Times New Roman" w:hAnsi="Times New Roman"/>
                <w:sz w:val="24"/>
              </w:rPr>
              <w:t>150</w:t>
            </w:r>
          </w:p>
        </w:tc>
        <w:tc>
          <w:tcPr>
            <w:tcW w:w="8640" w:type="dxa"/>
          </w:tcPr>
          <w:p w:rsidR="00464F34" w:rsidRPr="00D51A68" w:rsidRDefault="00464F34" w:rsidP="00464F34">
            <w:pPr>
              <w:rPr>
                <w:rStyle w:val="InstructionsTabelleberschrift"/>
                <w:rFonts w:ascii="Times New Roman" w:hAnsi="Times New Roman"/>
                <w:sz w:val="24"/>
              </w:rPr>
            </w:pPr>
            <w:r w:rsidRPr="00D51A68">
              <w:rPr>
                <w:rStyle w:val="InstructionsTabelleberschrift"/>
                <w:rFonts w:ascii="Times New Roman" w:hAnsi="Times New Roman"/>
                <w:sz w:val="24"/>
              </w:rPr>
              <w:t>CAPITALE DI CLASSE 1 TOTALE</w:t>
            </w:r>
          </w:p>
          <w:p w:rsidR="00464F34" w:rsidRPr="00D51A68" w:rsidRDefault="00464F34" w:rsidP="00464F34">
            <w:pPr>
              <w:rPr>
                <w:rStyle w:val="InstructionsTabelleberschrift"/>
                <w:rFonts w:ascii="Times New Roman" w:hAnsi="Times New Roman"/>
                <w:sz w:val="24"/>
              </w:rPr>
            </w:pPr>
            <w:r w:rsidRPr="00D51A68">
              <w:rPr>
                <w:rStyle w:val="InstructionsTabelleText"/>
                <w:rFonts w:ascii="Times New Roman" w:hAnsi="Times New Roman"/>
                <w:sz w:val="24"/>
              </w:rPr>
              <w:t>Articolo 25 del CRR.</w:t>
            </w:r>
          </w:p>
        </w:tc>
      </w:tr>
      <w:tr w:rsidR="00464F34" w:rsidRPr="00D51A68" w:rsidTr="00672D2A">
        <w:tc>
          <w:tcPr>
            <w:tcW w:w="1188" w:type="dxa"/>
          </w:tcPr>
          <w:p w:rsidR="00464F34" w:rsidRPr="00D51A68" w:rsidRDefault="00464F34" w:rsidP="00464F34">
            <w:pPr>
              <w:rPr>
                <w:rStyle w:val="InstructionsTabelleText"/>
                <w:rFonts w:ascii="Times New Roman" w:hAnsi="Times New Roman"/>
                <w:sz w:val="24"/>
              </w:rPr>
            </w:pPr>
            <w:r w:rsidRPr="00D51A68">
              <w:rPr>
                <w:rStyle w:val="InstructionsTabelleText"/>
                <w:rFonts w:ascii="Times New Roman" w:hAnsi="Times New Roman"/>
                <w:sz w:val="24"/>
              </w:rPr>
              <w:t>160</w:t>
            </w:r>
          </w:p>
        </w:tc>
        <w:tc>
          <w:tcPr>
            <w:tcW w:w="8640" w:type="dxa"/>
          </w:tcPr>
          <w:p w:rsidR="00464F34" w:rsidRPr="00D51A68" w:rsidRDefault="00464F34" w:rsidP="00464F34">
            <w:pPr>
              <w:rPr>
                <w:rStyle w:val="InstructionsTabelleberschrift"/>
                <w:rFonts w:ascii="Times New Roman" w:hAnsi="Times New Roman"/>
                <w:sz w:val="24"/>
              </w:rPr>
            </w:pPr>
            <w:r w:rsidRPr="00D51A68">
              <w:rPr>
                <w:rStyle w:val="InstructionsTabelleberschrift"/>
                <w:rFonts w:ascii="Times New Roman" w:hAnsi="Times New Roman"/>
                <w:sz w:val="24"/>
              </w:rPr>
              <w:t>DI CUI: CAPITALE DI CLASSE 1 AMMISSIBILE</w:t>
            </w:r>
          </w:p>
          <w:p w:rsidR="00464F34" w:rsidRPr="00D51A68" w:rsidRDefault="00464F34" w:rsidP="00464F34">
            <w:pPr>
              <w:rPr>
                <w:rStyle w:val="InstructionsTabelleText"/>
                <w:rFonts w:ascii="Times New Roman" w:hAnsi="Times New Roman"/>
                <w:sz w:val="24"/>
              </w:rPr>
            </w:pPr>
            <w:r w:rsidRPr="00D51A68">
              <w:rPr>
                <w:rStyle w:val="InstructionsTabelleText"/>
                <w:rFonts w:ascii="Times New Roman" w:hAnsi="Times New Roman"/>
                <w:sz w:val="24"/>
              </w:rPr>
              <w:t>Articolo 82 del CRR.</w:t>
            </w:r>
          </w:p>
          <w:p w:rsidR="00464F34" w:rsidRPr="00D51A68" w:rsidRDefault="00464F34" w:rsidP="00464F34">
            <w:pPr>
              <w:rPr>
                <w:rStyle w:val="InstructionsTabelleText"/>
                <w:rFonts w:ascii="Times New Roman" w:hAnsi="Times New Roman"/>
                <w:sz w:val="24"/>
              </w:rPr>
            </w:pPr>
            <w:r w:rsidRPr="00D51A68">
              <w:rPr>
                <w:rStyle w:val="InstructionsTabelleText"/>
                <w:rFonts w:ascii="Times New Roman" w:hAnsi="Times New Roman"/>
                <w:sz w:val="24"/>
              </w:rPr>
              <w:t>Questa colonna è compilata soltanto per le filiazioni segnalate su base individuale e integralmente consolidate che sono enti.</w:t>
            </w:r>
          </w:p>
          <w:p w:rsidR="00464F34" w:rsidRPr="00D51A68" w:rsidRDefault="00464F34" w:rsidP="00464F34">
            <w:pPr>
              <w:rPr>
                <w:rStyle w:val="InstructionsTabelleText"/>
                <w:rFonts w:ascii="Times New Roman" w:hAnsi="Times New Roman"/>
                <w:sz w:val="24"/>
              </w:rPr>
            </w:pPr>
            <w:r w:rsidRPr="00D51A68">
              <w:rPr>
                <w:rStyle w:val="InstructionsTabelleText"/>
                <w:rFonts w:ascii="Times New Roman" w:hAnsi="Times New Roman"/>
                <w:sz w:val="24"/>
              </w:rPr>
              <w:t>Nel caso di dette filiazioni sono partecipazioni qualificate gli strumenti (più i relativi utili non distribuiti e le riserve sovrapprezzo azioni) posseduti da persone diverse dalle imprese incluse nel consolidamento ai sensi del CRR.</w:t>
            </w:r>
          </w:p>
          <w:p w:rsidR="00464F34" w:rsidRPr="00D51A68" w:rsidRDefault="00464F34" w:rsidP="003C1BB1">
            <w:pPr>
              <w:rPr>
                <w:rStyle w:val="InstructionsTabelleberschrift"/>
                <w:rFonts w:ascii="Times New Roman" w:hAnsi="Times New Roman"/>
                <w:sz w:val="24"/>
              </w:rPr>
            </w:pPr>
            <w:r w:rsidRPr="00D51A68">
              <w:rPr>
                <w:rStyle w:val="InstructionsTabelleText"/>
                <w:rFonts w:ascii="Times New Roman" w:hAnsi="Times New Roman"/>
                <w:sz w:val="24"/>
              </w:rPr>
              <w:t>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importo da segnalare comprende gli effetti di qualsiasi disposizione transitoria ed è 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importo ammissibile alla data di riferimento per le segnalazioni.</w:t>
            </w:r>
          </w:p>
        </w:tc>
      </w:tr>
      <w:tr w:rsidR="00464F34" w:rsidRPr="00D51A68" w:rsidTr="00401C06">
        <w:trPr>
          <w:cantSplit/>
        </w:trPr>
        <w:tc>
          <w:tcPr>
            <w:tcW w:w="1188" w:type="dxa"/>
          </w:tcPr>
          <w:p w:rsidR="00464F34" w:rsidRPr="00D51A68" w:rsidRDefault="00464F34" w:rsidP="00464F34">
            <w:pPr>
              <w:rPr>
                <w:rStyle w:val="InstructionsTabelleText"/>
                <w:rFonts w:ascii="Times New Roman" w:hAnsi="Times New Roman"/>
                <w:sz w:val="24"/>
              </w:rPr>
            </w:pPr>
            <w:r w:rsidRPr="00D51A68">
              <w:rPr>
                <w:rStyle w:val="InstructionsTabelleText"/>
                <w:rFonts w:ascii="Times New Roman" w:hAnsi="Times New Roman"/>
                <w:sz w:val="24"/>
              </w:rPr>
              <w:lastRenderedPageBreak/>
              <w:t>170</w:t>
            </w:r>
          </w:p>
        </w:tc>
        <w:tc>
          <w:tcPr>
            <w:tcW w:w="8640" w:type="dxa"/>
          </w:tcPr>
          <w:p w:rsidR="00144F03" w:rsidRPr="00D51A68" w:rsidRDefault="000044B7" w:rsidP="00144F03">
            <w:pPr>
              <w:rPr>
                <w:rStyle w:val="InstructionsTabelleberschrift"/>
                <w:rFonts w:ascii="Times New Roman" w:hAnsi="Times New Roman"/>
                <w:b w:val="0"/>
                <w:sz w:val="24"/>
              </w:rPr>
            </w:pPr>
            <w:r w:rsidRPr="00D51A68">
              <w:rPr>
                <w:rStyle w:val="InstructionsTabelleberschrift"/>
                <w:rFonts w:ascii="Times New Roman" w:hAnsi="Times New Roman"/>
                <w:sz w:val="24"/>
              </w:rPr>
              <w:t>RELATIVI STRUMENTI DI CAPITALE DI CLASSE 1, RELATIVI UTILI NON DISTRIBUITI E RISERVE SOVRAPPREZZO AZIONI</w:t>
            </w:r>
          </w:p>
          <w:p w:rsidR="00464F34" w:rsidRPr="00D51A68" w:rsidRDefault="00144F03" w:rsidP="003C1BB1">
            <w:pPr>
              <w:rPr>
                <w:rStyle w:val="InstructionsTabelleberschrift"/>
                <w:rFonts w:ascii="Times New Roman" w:hAnsi="Times New Roman"/>
                <w:sz w:val="24"/>
              </w:rPr>
            </w:pPr>
            <w:r w:rsidRPr="00D51A68">
              <w:rPr>
                <w:rStyle w:val="InstructionsTabelleberschrift"/>
                <w:rFonts w:ascii="Times New Roman" w:hAnsi="Times New Roman"/>
                <w:b w:val="0"/>
                <w:sz w:val="24"/>
                <w:u w:val="none"/>
              </w:rPr>
              <w:t>Articolo 85, paragrafo 1, lettera b), del CRR.</w:t>
            </w:r>
          </w:p>
        </w:tc>
      </w:tr>
      <w:tr w:rsidR="00464F34" w:rsidRPr="00D51A68" w:rsidTr="00672D2A">
        <w:tc>
          <w:tcPr>
            <w:tcW w:w="1188" w:type="dxa"/>
          </w:tcPr>
          <w:p w:rsidR="00464F34" w:rsidRPr="00D51A68" w:rsidRDefault="00464F34" w:rsidP="00464F34">
            <w:pPr>
              <w:rPr>
                <w:rStyle w:val="InstructionsTabelleText"/>
                <w:rFonts w:ascii="Times New Roman" w:hAnsi="Times New Roman"/>
                <w:sz w:val="24"/>
              </w:rPr>
            </w:pPr>
            <w:r w:rsidRPr="00D51A68">
              <w:rPr>
                <w:rStyle w:val="InstructionsTabelleText"/>
                <w:rFonts w:ascii="Times New Roman" w:hAnsi="Times New Roman"/>
                <w:sz w:val="24"/>
              </w:rPr>
              <w:t>180</w:t>
            </w:r>
          </w:p>
        </w:tc>
        <w:tc>
          <w:tcPr>
            <w:tcW w:w="8640" w:type="dxa"/>
          </w:tcPr>
          <w:p w:rsidR="00464F34" w:rsidRPr="00D51A68" w:rsidRDefault="00464F34" w:rsidP="00464F34">
            <w:pPr>
              <w:rPr>
                <w:rStyle w:val="InstructionsTabelleberschrift"/>
                <w:rFonts w:ascii="Times New Roman" w:hAnsi="Times New Roman"/>
                <w:sz w:val="24"/>
              </w:rPr>
            </w:pPr>
            <w:r w:rsidRPr="00D51A68">
              <w:rPr>
                <w:rStyle w:val="InstructionsTabelleberschrift"/>
                <w:rFonts w:ascii="Times New Roman" w:hAnsi="Times New Roman"/>
                <w:sz w:val="24"/>
              </w:rPr>
              <w:t>CAPITALE PRIMARIO DI CLASSE 1</w:t>
            </w:r>
          </w:p>
          <w:p w:rsidR="00464F34" w:rsidRPr="00D51A68" w:rsidRDefault="00464F34" w:rsidP="003C1BB1">
            <w:pPr>
              <w:rPr>
                <w:rStyle w:val="InstructionsTabelleberschrift"/>
                <w:rFonts w:ascii="Times New Roman" w:hAnsi="Times New Roman"/>
                <w:sz w:val="24"/>
              </w:rPr>
            </w:pPr>
            <w:r w:rsidRPr="00D51A68">
              <w:rPr>
                <w:rStyle w:val="InstructionsTabelleText"/>
                <w:rFonts w:ascii="Times New Roman" w:hAnsi="Times New Roman"/>
                <w:sz w:val="24"/>
              </w:rPr>
              <w:t>Articolo 50 del CRR.</w:t>
            </w:r>
          </w:p>
        </w:tc>
      </w:tr>
      <w:tr w:rsidR="00464F34" w:rsidRPr="00D51A68" w:rsidTr="00672D2A">
        <w:tc>
          <w:tcPr>
            <w:tcW w:w="1188" w:type="dxa"/>
          </w:tcPr>
          <w:p w:rsidR="00464F34" w:rsidRPr="00D51A68" w:rsidRDefault="00464F34" w:rsidP="00464F34">
            <w:pPr>
              <w:rPr>
                <w:rStyle w:val="InstructionsTabelleText"/>
                <w:rFonts w:ascii="Times New Roman" w:hAnsi="Times New Roman"/>
                <w:sz w:val="24"/>
              </w:rPr>
            </w:pPr>
            <w:r w:rsidRPr="00D51A68">
              <w:rPr>
                <w:rStyle w:val="InstructionsTabelleText"/>
                <w:rFonts w:ascii="Times New Roman" w:hAnsi="Times New Roman"/>
                <w:sz w:val="24"/>
              </w:rPr>
              <w:t>190</w:t>
            </w:r>
          </w:p>
        </w:tc>
        <w:tc>
          <w:tcPr>
            <w:tcW w:w="8640" w:type="dxa"/>
          </w:tcPr>
          <w:p w:rsidR="00464F34" w:rsidRPr="00D51A68" w:rsidRDefault="00464F34" w:rsidP="00464F34">
            <w:pPr>
              <w:rPr>
                <w:rStyle w:val="InstructionsTabelleberschrift"/>
                <w:rFonts w:ascii="Times New Roman" w:hAnsi="Times New Roman"/>
                <w:sz w:val="24"/>
              </w:rPr>
            </w:pPr>
            <w:r w:rsidRPr="00D51A68">
              <w:rPr>
                <w:rStyle w:val="InstructionsTabelleberschrift"/>
                <w:rFonts w:ascii="Times New Roman" w:hAnsi="Times New Roman"/>
                <w:sz w:val="24"/>
              </w:rPr>
              <w:t>DI CUI: INTERESSI DI MINORANZA</w:t>
            </w:r>
          </w:p>
          <w:p w:rsidR="00464F34" w:rsidRPr="00D51A68" w:rsidRDefault="00464F34" w:rsidP="00464F34">
            <w:pPr>
              <w:rPr>
                <w:rStyle w:val="InstructionsTabelleText"/>
                <w:rFonts w:ascii="Times New Roman" w:hAnsi="Times New Roman"/>
                <w:sz w:val="24"/>
              </w:rPr>
            </w:pPr>
            <w:r w:rsidRPr="00D51A68">
              <w:rPr>
                <w:rStyle w:val="InstructionsTabelleText"/>
                <w:rFonts w:ascii="Times New Roman" w:hAnsi="Times New Roman"/>
                <w:sz w:val="24"/>
              </w:rPr>
              <w:t>Articolo 81 del CRR.</w:t>
            </w:r>
          </w:p>
          <w:p w:rsidR="00464F34" w:rsidRPr="00D51A68" w:rsidRDefault="00464F34" w:rsidP="00464F34">
            <w:pPr>
              <w:rPr>
                <w:rStyle w:val="InstructionsTabelleText"/>
                <w:rFonts w:ascii="Times New Roman" w:hAnsi="Times New Roman"/>
                <w:sz w:val="24"/>
              </w:rPr>
            </w:pPr>
            <w:r w:rsidRPr="00D51A68">
              <w:rPr>
                <w:rStyle w:val="InstructionsTabelleText"/>
                <w:rFonts w:ascii="Times New Roman" w:hAnsi="Times New Roman"/>
                <w:sz w:val="24"/>
              </w:rPr>
              <w:t>Questa colonna è compilata soltanto per le filiazioni integralmente consolidate che sono enti, escluse le filiazioni di cui all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articolo 84, paragrafo 3, del CRR. Ai sensi dell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articolo 84, paragrafo 2, ciascuna filiazione è considerata su base subconsolidata ai fini di tutti i calcoli previsti dall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articolo 84 del CRR, ove pertinente; diversamente, è considerata su base individuale.</w:t>
            </w:r>
          </w:p>
          <w:p w:rsidR="00464F34" w:rsidRPr="00D51A68" w:rsidRDefault="00464F34" w:rsidP="00464F34">
            <w:pPr>
              <w:rPr>
                <w:rStyle w:val="InstructionsTabelleText"/>
                <w:rFonts w:ascii="Times New Roman" w:hAnsi="Times New Roman"/>
                <w:sz w:val="24"/>
              </w:rPr>
            </w:pPr>
            <w:r w:rsidRPr="00D51A68">
              <w:rPr>
                <w:rStyle w:val="InstructionsTabelleText"/>
                <w:rFonts w:ascii="Times New Roman" w:hAnsi="Times New Roman"/>
                <w:sz w:val="24"/>
              </w:rPr>
              <w:t>Ai fini del CRR e del presente modello, nel caso di dette filiazioni sono interessi di minoranza gli strumenti di capitale primario di classe 1 (più i relativi utili non distribuiti e le riserve sovrapprezzo azioni) posseduti da persone diverse dalle imprese incluse nel consolidamento ai sensi del CRR.</w:t>
            </w:r>
          </w:p>
          <w:p w:rsidR="00464F34" w:rsidRPr="00D51A68" w:rsidRDefault="00464F34" w:rsidP="00464F34">
            <w:pPr>
              <w:rPr>
                <w:rStyle w:val="InstructionsTabelleberschrift"/>
                <w:rFonts w:ascii="Times New Roman" w:hAnsi="Times New Roman"/>
                <w:sz w:val="24"/>
              </w:rPr>
            </w:pPr>
            <w:r w:rsidRPr="00D51A68">
              <w:rPr>
                <w:rStyle w:val="InstructionsTabelleText"/>
                <w:rFonts w:ascii="Times New Roman" w:hAnsi="Times New Roman"/>
                <w:sz w:val="24"/>
              </w:rPr>
              <w:t>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importo da segnalare comprende gli effetti di qualsiasi disposizione transitoria ed è 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importo ammissibile alla data di riferimento per le segnalazioni.</w:t>
            </w:r>
          </w:p>
        </w:tc>
      </w:tr>
      <w:tr w:rsidR="00464F34" w:rsidRPr="00D51A68" w:rsidTr="00672D2A">
        <w:tc>
          <w:tcPr>
            <w:tcW w:w="1188" w:type="dxa"/>
          </w:tcPr>
          <w:p w:rsidR="00464F34" w:rsidRPr="00D51A68" w:rsidRDefault="00464F34" w:rsidP="00464F34">
            <w:pPr>
              <w:rPr>
                <w:rStyle w:val="InstructionsTabelleText"/>
                <w:rFonts w:ascii="Times New Roman" w:hAnsi="Times New Roman"/>
                <w:sz w:val="24"/>
              </w:rPr>
            </w:pPr>
            <w:r w:rsidRPr="00D51A68">
              <w:rPr>
                <w:rStyle w:val="InstructionsTabelleText"/>
                <w:rFonts w:ascii="Times New Roman" w:hAnsi="Times New Roman"/>
                <w:sz w:val="24"/>
              </w:rPr>
              <w:t>200</w:t>
            </w:r>
          </w:p>
        </w:tc>
        <w:tc>
          <w:tcPr>
            <w:tcW w:w="8640" w:type="dxa"/>
          </w:tcPr>
          <w:p w:rsidR="00144F03" w:rsidRPr="00D51A68" w:rsidRDefault="000044B7" w:rsidP="00144F03">
            <w:pPr>
              <w:rPr>
                <w:rStyle w:val="InstructionsTabelleberschrift"/>
                <w:rFonts w:ascii="Times New Roman" w:hAnsi="Times New Roman"/>
                <w:b w:val="0"/>
                <w:sz w:val="24"/>
              </w:rPr>
            </w:pPr>
            <w:r w:rsidRPr="00D51A68">
              <w:rPr>
                <w:rStyle w:val="InstructionsTabelleberschrift"/>
                <w:rFonts w:ascii="Times New Roman" w:hAnsi="Times New Roman"/>
                <w:sz w:val="24"/>
              </w:rPr>
              <w:t>RELATIVI STRUMENTI DI FONDI PROPRI, RELATIVI UTILI NON DISTRIBUITI, RISERVE SOVRAPPREZZO AZIONI E ALTRE RISERVE</w:t>
            </w:r>
          </w:p>
          <w:p w:rsidR="00464F34" w:rsidRPr="00D51A68" w:rsidRDefault="00144F03" w:rsidP="000044B7">
            <w:pPr>
              <w:rPr>
                <w:rStyle w:val="InstructionsTabelleberschrift"/>
                <w:rFonts w:ascii="Times New Roman" w:hAnsi="Times New Roman"/>
                <w:b w:val="0"/>
                <w:sz w:val="24"/>
                <w:u w:val="none"/>
              </w:rPr>
            </w:pPr>
            <w:r w:rsidRPr="00D51A68">
              <w:rPr>
                <w:rStyle w:val="InstructionsTabelleberschrift"/>
                <w:rFonts w:ascii="Times New Roman" w:hAnsi="Times New Roman"/>
                <w:b w:val="0"/>
                <w:sz w:val="24"/>
                <w:u w:val="none"/>
              </w:rPr>
              <w:t>Articolo 84, paragrafo 1, lettera b), del CRR.</w:t>
            </w:r>
          </w:p>
        </w:tc>
      </w:tr>
      <w:tr w:rsidR="00464F34" w:rsidRPr="00D51A68" w:rsidTr="00672D2A">
        <w:tc>
          <w:tcPr>
            <w:tcW w:w="1188" w:type="dxa"/>
          </w:tcPr>
          <w:p w:rsidR="00464F34" w:rsidRPr="00D51A68" w:rsidRDefault="00464F34" w:rsidP="00464F34">
            <w:pPr>
              <w:rPr>
                <w:rStyle w:val="InstructionsTabelleText"/>
                <w:rFonts w:ascii="Times New Roman" w:hAnsi="Times New Roman"/>
                <w:sz w:val="24"/>
              </w:rPr>
            </w:pPr>
            <w:r w:rsidRPr="00D51A68">
              <w:rPr>
                <w:rStyle w:val="InstructionsTabelleText"/>
                <w:rFonts w:ascii="Times New Roman" w:hAnsi="Times New Roman"/>
                <w:sz w:val="24"/>
              </w:rPr>
              <w:t>210</w:t>
            </w:r>
          </w:p>
        </w:tc>
        <w:tc>
          <w:tcPr>
            <w:tcW w:w="8640" w:type="dxa"/>
          </w:tcPr>
          <w:p w:rsidR="00464F34" w:rsidRPr="00D51A68" w:rsidRDefault="00464F34" w:rsidP="00464F34">
            <w:pPr>
              <w:rPr>
                <w:rStyle w:val="InstructionsTabelleberschrift"/>
                <w:rFonts w:ascii="Times New Roman" w:hAnsi="Times New Roman"/>
                <w:sz w:val="24"/>
              </w:rPr>
            </w:pPr>
            <w:r w:rsidRPr="00D51A68">
              <w:rPr>
                <w:rStyle w:val="InstructionsTabelleberschrift"/>
                <w:rFonts w:ascii="Times New Roman" w:hAnsi="Times New Roman"/>
                <w:sz w:val="24"/>
              </w:rPr>
              <w:t>CAPITALE AGGIUNTIVO DI CLASSE 1</w:t>
            </w:r>
          </w:p>
          <w:p w:rsidR="00464F34" w:rsidRPr="00D51A68" w:rsidRDefault="00464F34" w:rsidP="00464F34">
            <w:pPr>
              <w:rPr>
                <w:rStyle w:val="InstructionsTabelleberschrift"/>
                <w:rFonts w:ascii="Times New Roman" w:hAnsi="Times New Roman"/>
                <w:sz w:val="24"/>
              </w:rPr>
            </w:pPr>
            <w:r w:rsidRPr="00D51A68">
              <w:rPr>
                <w:rStyle w:val="InstructionsTabelleText"/>
                <w:rFonts w:ascii="Times New Roman" w:hAnsi="Times New Roman"/>
                <w:sz w:val="24"/>
              </w:rPr>
              <w:t>Articolo 61 del CRR.</w:t>
            </w:r>
          </w:p>
        </w:tc>
      </w:tr>
      <w:tr w:rsidR="00464F34" w:rsidRPr="00D51A68" w:rsidTr="00672D2A">
        <w:tc>
          <w:tcPr>
            <w:tcW w:w="1188" w:type="dxa"/>
          </w:tcPr>
          <w:p w:rsidR="00464F34" w:rsidRPr="00D51A68" w:rsidRDefault="00464F34" w:rsidP="00464F34">
            <w:pPr>
              <w:rPr>
                <w:rStyle w:val="InstructionsTabelleText"/>
                <w:rFonts w:ascii="Times New Roman" w:hAnsi="Times New Roman"/>
                <w:sz w:val="24"/>
              </w:rPr>
            </w:pPr>
            <w:r w:rsidRPr="00D51A68">
              <w:rPr>
                <w:rStyle w:val="InstructionsTabelleText"/>
                <w:rFonts w:ascii="Times New Roman" w:hAnsi="Times New Roman"/>
                <w:sz w:val="24"/>
              </w:rPr>
              <w:t>220</w:t>
            </w:r>
          </w:p>
        </w:tc>
        <w:tc>
          <w:tcPr>
            <w:tcW w:w="8640" w:type="dxa"/>
          </w:tcPr>
          <w:p w:rsidR="00464F34" w:rsidRPr="00D51A68" w:rsidRDefault="00464F34" w:rsidP="00464F34">
            <w:pPr>
              <w:rPr>
                <w:rStyle w:val="InstructionsTabelleberschrift"/>
                <w:rFonts w:ascii="Times New Roman" w:hAnsi="Times New Roman"/>
                <w:sz w:val="24"/>
              </w:rPr>
            </w:pPr>
            <w:r w:rsidRPr="00D51A68">
              <w:rPr>
                <w:rStyle w:val="InstructionsTabelleberschrift"/>
                <w:rFonts w:ascii="Times New Roman" w:hAnsi="Times New Roman"/>
                <w:sz w:val="24"/>
              </w:rPr>
              <w:t>DI CUI: CAPITALE AGGIUNTIVO DI CLASSE 1 AMMISSIBILE</w:t>
            </w:r>
          </w:p>
          <w:p w:rsidR="00464F34" w:rsidRPr="00D51A68" w:rsidRDefault="00464F34" w:rsidP="00464F34">
            <w:pPr>
              <w:rPr>
                <w:rStyle w:val="InstructionsTabelleText"/>
                <w:rFonts w:ascii="Times New Roman" w:hAnsi="Times New Roman"/>
                <w:sz w:val="24"/>
              </w:rPr>
            </w:pPr>
            <w:r w:rsidRPr="00D51A68">
              <w:rPr>
                <w:rStyle w:val="InstructionsTabelleText"/>
                <w:rFonts w:ascii="Times New Roman" w:hAnsi="Times New Roman"/>
                <w:sz w:val="24"/>
              </w:rPr>
              <w:t>Articoli 82 e 83 del CRR.</w:t>
            </w:r>
          </w:p>
          <w:p w:rsidR="00464F34" w:rsidRPr="00D51A68" w:rsidRDefault="00464F34" w:rsidP="00464F34">
            <w:pPr>
              <w:rPr>
                <w:rStyle w:val="InstructionsTabelleText"/>
                <w:rFonts w:ascii="Times New Roman" w:hAnsi="Times New Roman"/>
                <w:sz w:val="24"/>
              </w:rPr>
            </w:pPr>
            <w:r w:rsidRPr="00D51A68">
              <w:rPr>
                <w:rStyle w:val="InstructionsTabelleText"/>
                <w:rFonts w:ascii="Times New Roman" w:hAnsi="Times New Roman"/>
                <w:sz w:val="24"/>
              </w:rPr>
              <w:t>Questa colonna è compilata soltanto per le filiazioni segnalate su base individuale e integralmente consolidate che sono enti, escluse le filiazioni di cui all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articolo 85, paragrafo 2, del CRR. Ai sensi dell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articolo 85, paragrafo 2, ciascuna filiazione è considerata su base subconsolidata ai fini di tutti i calcoli previsti dall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articolo 85 del CRR, ove pertinente; diversamente, è considerata su base individuale.</w:t>
            </w:r>
          </w:p>
          <w:p w:rsidR="00464F34" w:rsidRPr="00D51A68" w:rsidRDefault="00464F34" w:rsidP="00464F34">
            <w:pPr>
              <w:rPr>
                <w:rStyle w:val="InstructionsTabelleText"/>
                <w:rFonts w:ascii="Times New Roman" w:hAnsi="Times New Roman"/>
                <w:sz w:val="24"/>
              </w:rPr>
            </w:pPr>
            <w:r w:rsidRPr="00D51A68">
              <w:rPr>
                <w:rStyle w:val="InstructionsTabelleText"/>
                <w:rFonts w:ascii="Times New Roman" w:hAnsi="Times New Roman"/>
                <w:sz w:val="24"/>
              </w:rPr>
              <w:t>Ai fini del CRR e del presente modello, nel caso di dette filiazioni sono interessi di minoranza gli strumenti di capitale aggiuntivo di classe 1 (più i relativi utili non distribuiti e le riserve sovrapprezzo azioni) posseduti da persone diverse dalle imprese incluse nel consolidamento ai sensi del CRR.</w:t>
            </w:r>
          </w:p>
          <w:p w:rsidR="00464F34" w:rsidRPr="00D51A68" w:rsidRDefault="00464F34" w:rsidP="00464F34">
            <w:pPr>
              <w:rPr>
                <w:rStyle w:val="InstructionsTabelleberschrift"/>
                <w:rFonts w:ascii="Times New Roman" w:hAnsi="Times New Roman"/>
                <w:sz w:val="24"/>
              </w:rPr>
            </w:pPr>
            <w:r w:rsidRPr="00D51A68">
              <w:rPr>
                <w:rStyle w:val="InstructionsTabelleText"/>
                <w:rFonts w:ascii="Times New Roman" w:hAnsi="Times New Roman"/>
                <w:sz w:val="24"/>
              </w:rPr>
              <w:t>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importo da segnalare comprende gli effetti di qualsiasi disposizione transitoria ed è 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importo ammissibile alla data di riferimento per le segnalazioni.</w:t>
            </w:r>
          </w:p>
        </w:tc>
      </w:tr>
      <w:tr w:rsidR="00464F34" w:rsidRPr="00D51A68" w:rsidTr="00672D2A">
        <w:tc>
          <w:tcPr>
            <w:tcW w:w="1188" w:type="dxa"/>
          </w:tcPr>
          <w:p w:rsidR="00464F34" w:rsidRPr="00D51A68" w:rsidRDefault="00464F34" w:rsidP="00464F34">
            <w:pPr>
              <w:rPr>
                <w:rStyle w:val="InstructionsTabelleText"/>
                <w:rFonts w:ascii="Times New Roman" w:hAnsi="Times New Roman"/>
                <w:sz w:val="24"/>
              </w:rPr>
            </w:pPr>
            <w:r w:rsidRPr="00D51A68">
              <w:rPr>
                <w:rStyle w:val="InstructionsTabelleText"/>
                <w:rFonts w:ascii="Times New Roman" w:hAnsi="Times New Roman"/>
                <w:sz w:val="24"/>
              </w:rPr>
              <w:t>230</w:t>
            </w:r>
          </w:p>
        </w:tc>
        <w:tc>
          <w:tcPr>
            <w:tcW w:w="8640" w:type="dxa"/>
          </w:tcPr>
          <w:p w:rsidR="00464F34" w:rsidRPr="00D51A68" w:rsidRDefault="00464F34" w:rsidP="00464F34">
            <w:pPr>
              <w:rPr>
                <w:rStyle w:val="InstructionsTabelleberschrift"/>
                <w:rFonts w:ascii="Times New Roman" w:hAnsi="Times New Roman"/>
                <w:sz w:val="24"/>
              </w:rPr>
            </w:pPr>
            <w:r w:rsidRPr="00D51A68">
              <w:rPr>
                <w:rStyle w:val="InstructionsTabelleberschrift"/>
                <w:rFonts w:ascii="Times New Roman" w:hAnsi="Times New Roman"/>
                <w:sz w:val="24"/>
              </w:rPr>
              <w:t>CAPITALE DI CLASSE 2</w:t>
            </w:r>
          </w:p>
          <w:p w:rsidR="00464F34" w:rsidRPr="00D51A68" w:rsidRDefault="00464F34" w:rsidP="00464F34">
            <w:pPr>
              <w:rPr>
                <w:rStyle w:val="InstructionsTabelleberschrift"/>
                <w:rFonts w:ascii="Times New Roman" w:hAnsi="Times New Roman"/>
                <w:sz w:val="24"/>
              </w:rPr>
            </w:pPr>
            <w:r w:rsidRPr="00D51A68">
              <w:rPr>
                <w:rStyle w:val="InstructionsTabelleText"/>
                <w:rFonts w:ascii="Times New Roman" w:hAnsi="Times New Roman"/>
                <w:sz w:val="24"/>
              </w:rPr>
              <w:t>Articolo 71 del CRR.</w:t>
            </w:r>
          </w:p>
        </w:tc>
      </w:tr>
      <w:tr w:rsidR="00464F34" w:rsidRPr="00D51A68" w:rsidTr="00672D2A">
        <w:tc>
          <w:tcPr>
            <w:tcW w:w="1188" w:type="dxa"/>
          </w:tcPr>
          <w:p w:rsidR="00464F34" w:rsidRPr="00D51A68" w:rsidRDefault="00464F34" w:rsidP="00464F34">
            <w:pPr>
              <w:rPr>
                <w:rStyle w:val="InstructionsTabelleText"/>
                <w:rFonts w:ascii="Times New Roman" w:hAnsi="Times New Roman"/>
                <w:sz w:val="24"/>
              </w:rPr>
            </w:pPr>
            <w:r w:rsidRPr="00D51A68">
              <w:rPr>
                <w:rStyle w:val="InstructionsTabelleText"/>
                <w:rFonts w:ascii="Times New Roman" w:hAnsi="Times New Roman"/>
                <w:sz w:val="24"/>
              </w:rPr>
              <w:lastRenderedPageBreak/>
              <w:t>240</w:t>
            </w:r>
          </w:p>
        </w:tc>
        <w:tc>
          <w:tcPr>
            <w:tcW w:w="8640" w:type="dxa"/>
          </w:tcPr>
          <w:p w:rsidR="00464F34" w:rsidRPr="00D51A68" w:rsidRDefault="00464F34" w:rsidP="00464F34">
            <w:pPr>
              <w:rPr>
                <w:rStyle w:val="InstructionsTabelleberschrift"/>
                <w:rFonts w:ascii="Times New Roman" w:hAnsi="Times New Roman"/>
                <w:sz w:val="24"/>
              </w:rPr>
            </w:pPr>
            <w:r w:rsidRPr="00D51A68">
              <w:rPr>
                <w:rStyle w:val="InstructionsTabelleberschrift"/>
                <w:rFonts w:ascii="Times New Roman" w:hAnsi="Times New Roman"/>
                <w:sz w:val="24"/>
              </w:rPr>
              <w:t>DI CUI: CAPITALE DI CLASSE 2 AMMISSIBILE</w:t>
            </w:r>
          </w:p>
          <w:p w:rsidR="00464F34" w:rsidRPr="00D51A68" w:rsidRDefault="00464F34" w:rsidP="00464F34">
            <w:pPr>
              <w:rPr>
                <w:rStyle w:val="InstructionsTabelleText"/>
                <w:rFonts w:ascii="Times New Roman" w:hAnsi="Times New Roman"/>
                <w:sz w:val="24"/>
              </w:rPr>
            </w:pPr>
            <w:r w:rsidRPr="00D51A68">
              <w:rPr>
                <w:rStyle w:val="InstructionsTabelleText"/>
                <w:rFonts w:ascii="Times New Roman" w:hAnsi="Times New Roman"/>
                <w:sz w:val="24"/>
              </w:rPr>
              <w:t>Articoli 82 e 83 del CRR.</w:t>
            </w:r>
          </w:p>
          <w:p w:rsidR="00464F34" w:rsidRPr="00D51A68" w:rsidRDefault="00464F34" w:rsidP="00464F34">
            <w:pPr>
              <w:rPr>
                <w:rStyle w:val="InstructionsTabelleText"/>
                <w:rFonts w:ascii="Times New Roman" w:hAnsi="Times New Roman"/>
                <w:sz w:val="24"/>
              </w:rPr>
            </w:pPr>
            <w:r w:rsidRPr="00D51A68">
              <w:rPr>
                <w:rStyle w:val="InstructionsTabelleText"/>
                <w:rFonts w:ascii="Times New Roman" w:hAnsi="Times New Roman"/>
                <w:sz w:val="24"/>
              </w:rPr>
              <w:t>Questa colonna è compilata soltanto per le filiazioni segnalate su base individuale e integralmente consolidate che sono enti, escluse le filiazioni di cui all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articolo 87, paragrafo 2, del CRR. Ai sensi dell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articolo 87, paragrafo 2, ciascuna filiazione è considerata su base subconsolidata ai fini di tutti i calcoli previsti dall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 xml:space="preserve">articolo 87 del CRR, ove pertinente; diversamente, è considerata su base individuale. </w:t>
            </w:r>
          </w:p>
          <w:p w:rsidR="00464F34" w:rsidRPr="00D51A68" w:rsidRDefault="00464F34" w:rsidP="00464F34">
            <w:pPr>
              <w:rPr>
                <w:rStyle w:val="InstructionsTabelleText"/>
                <w:rFonts w:ascii="Times New Roman" w:hAnsi="Times New Roman"/>
                <w:sz w:val="24"/>
              </w:rPr>
            </w:pPr>
            <w:r w:rsidRPr="00D51A68">
              <w:rPr>
                <w:rStyle w:val="InstructionsTabelleText"/>
                <w:rFonts w:ascii="Times New Roman" w:hAnsi="Times New Roman"/>
                <w:sz w:val="24"/>
              </w:rPr>
              <w:t>Ai fini del CRR e del presente modello, nel caso di dette filiazioni sono interessi di minoranza gli strumenti di capitale di classe 2 (più i relativi utili non distribuiti e le riserve sovrapprezzo azioni) posseduti da persone diverse dalle imprese incluse nel consolidamento ai sensi del CRR.</w:t>
            </w:r>
          </w:p>
          <w:p w:rsidR="00464F34" w:rsidRPr="00D51A68" w:rsidRDefault="00464F34" w:rsidP="00464F34">
            <w:pPr>
              <w:rPr>
                <w:rStyle w:val="InstructionsTabelleText"/>
                <w:rFonts w:ascii="Times New Roman" w:hAnsi="Times New Roman"/>
                <w:sz w:val="24"/>
              </w:rPr>
            </w:pPr>
            <w:r w:rsidRPr="00D51A68">
              <w:rPr>
                <w:rStyle w:val="InstructionsTabelleText"/>
                <w:rFonts w:ascii="Times New Roman" w:hAnsi="Times New Roman"/>
                <w:sz w:val="24"/>
              </w:rPr>
              <w:t>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importo da segnalare comprende gli effetti di qualsiasi disposizione transitoria, cioè deve essere 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importo ammissibile alla data di riferimento per le segnalazioni.</w:t>
            </w:r>
          </w:p>
        </w:tc>
      </w:tr>
      <w:tr w:rsidR="00464F34" w:rsidRPr="00D51A68" w:rsidTr="00672D2A">
        <w:tc>
          <w:tcPr>
            <w:tcW w:w="1188" w:type="dxa"/>
          </w:tcPr>
          <w:p w:rsidR="00464F34" w:rsidRPr="00D51A68" w:rsidRDefault="00464F34" w:rsidP="00464F34">
            <w:pPr>
              <w:rPr>
                <w:rStyle w:val="InstructionsTabelleText"/>
                <w:rFonts w:ascii="Times New Roman" w:hAnsi="Times New Roman"/>
                <w:sz w:val="24"/>
              </w:rPr>
            </w:pPr>
            <w:r w:rsidRPr="00D51A68">
              <w:rPr>
                <w:rStyle w:val="InstructionsTabelleText"/>
                <w:rFonts w:ascii="Times New Roman" w:hAnsi="Times New Roman"/>
                <w:sz w:val="24"/>
              </w:rPr>
              <w:t>250-400</w:t>
            </w:r>
          </w:p>
        </w:tc>
        <w:tc>
          <w:tcPr>
            <w:tcW w:w="8640" w:type="dxa"/>
          </w:tcPr>
          <w:p w:rsidR="00464F34" w:rsidRPr="00D51A68" w:rsidRDefault="00464F34" w:rsidP="00464F34">
            <w:pPr>
              <w:rPr>
                <w:rStyle w:val="InstructionsTabelleberschrift"/>
                <w:rFonts w:ascii="Times New Roman" w:hAnsi="Times New Roman"/>
                <w:sz w:val="24"/>
              </w:rPr>
            </w:pPr>
            <w:r w:rsidRPr="00D51A68">
              <w:rPr>
                <w:rStyle w:val="InstructionsTabelleberschrift"/>
                <w:rFonts w:ascii="Times New Roman" w:hAnsi="Times New Roman"/>
                <w:sz w:val="24"/>
              </w:rPr>
              <w:t>INFORMAZIONI SUL CONTRIBUTO DEI SOGGETTI ALLA SOLVIBILITÀ DEL GRUPPO</w:t>
            </w:r>
          </w:p>
        </w:tc>
      </w:tr>
      <w:tr w:rsidR="00464F34" w:rsidRPr="00D51A68" w:rsidTr="00672D2A">
        <w:tc>
          <w:tcPr>
            <w:tcW w:w="1188" w:type="dxa"/>
          </w:tcPr>
          <w:p w:rsidR="00464F34" w:rsidRPr="00D51A68" w:rsidRDefault="00464F34" w:rsidP="00464F34">
            <w:pPr>
              <w:rPr>
                <w:rStyle w:val="InstructionsTabelleText"/>
                <w:rFonts w:ascii="Times New Roman" w:hAnsi="Times New Roman"/>
                <w:sz w:val="24"/>
              </w:rPr>
            </w:pPr>
            <w:r w:rsidRPr="00D51A68">
              <w:rPr>
                <w:rStyle w:val="InstructionsTabelleText"/>
                <w:rFonts w:ascii="Times New Roman" w:hAnsi="Times New Roman"/>
                <w:sz w:val="24"/>
              </w:rPr>
              <w:t>250-290</w:t>
            </w:r>
          </w:p>
        </w:tc>
        <w:tc>
          <w:tcPr>
            <w:tcW w:w="8640" w:type="dxa"/>
          </w:tcPr>
          <w:p w:rsidR="00464F34" w:rsidRPr="00D51A68" w:rsidRDefault="00464F34" w:rsidP="00464F34">
            <w:pPr>
              <w:rPr>
                <w:rStyle w:val="InstructionsTabelleberschrift"/>
                <w:rFonts w:ascii="Times New Roman" w:hAnsi="Times New Roman"/>
                <w:sz w:val="24"/>
              </w:rPr>
            </w:pPr>
            <w:r w:rsidRPr="00D51A68">
              <w:rPr>
                <w:rStyle w:val="InstructionsTabelleberschrift"/>
                <w:rFonts w:ascii="Times New Roman" w:hAnsi="Times New Roman"/>
                <w:sz w:val="24"/>
              </w:rPr>
              <w:t>CONTRIBUTO AI RISCHI</w:t>
            </w:r>
          </w:p>
          <w:p w:rsidR="00464F34" w:rsidRPr="00D51A68" w:rsidRDefault="00464F34" w:rsidP="00464F34">
            <w:pPr>
              <w:rPr>
                <w:rStyle w:val="InstructionsTabelleberschrift"/>
                <w:rFonts w:ascii="Times New Roman" w:hAnsi="Times New Roman"/>
                <w:sz w:val="24"/>
              </w:rPr>
            </w:pPr>
            <w:r w:rsidRPr="00D51A68">
              <w:rPr>
                <w:rFonts w:ascii="Times New Roman" w:hAnsi="Times New Roman"/>
                <w:sz w:val="24"/>
              </w:rPr>
              <w:t>Le informazioni segnalate nelle colonne che seguono sono conformi alle norme di solvibilità applicabili all</w:t>
            </w:r>
            <w:r w:rsidR="0009277C" w:rsidRPr="00D51A68">
              <w:rPr>
                <w:rFonts w:ascii="Times New Roman" w:hAnsi="Times New Roman"/>
                <w:sz w:val="24"/>
              </w:rPr>
              <w:t>’</w:t>
            </w:r>
            <w:r w:rsidRPr="00D51A68">
              <w:rPr>
                <w:rFonts w:ascii="Times New Roman" w:hAnsi="Times New Roman"/>
                <w:sz w:val="24"/>
              </w:rPr>
              <w:t>ente segnalante.</w:t>
            </w:r>
          </w:p>
        </w:tc>
      </w:tr>
      <w:tr w:rsidR="00464F34" w:rsidRPr="00D51A68" w:rsidTr="00672D2A">
        <w:tc>
          <w:tcPr>
            <w:tcW w:w="1188" w:type="dxa"/>
          </w:tcPr>
          <w:p w:rsidR="00464F34" w:rsidRPr="00D51A68" w:rsidRDefault="00464F34" w:rsidP="00464F34">
            <w:pPr>
              <w:rPr>
                <w:rStyle w:val="InstructionsTabelleText"/>
                <w:rFonts w:ascii="Times New Roman" w:hAnsi="Times New Roman"/>
                <w:sz w:val="24"/>
              </w:rPr>
            </w:pPr>
            <w:r w:rsidRPr="00D51A68">
              <w:rPr>
                <w:rStyle w:val="InstructionsTabelleText"/>
                <w:rFonts w:ascii="Times New Roman" w:hAnsi="Times New Roman"/>
                <w:sz w:val="24"/>
              </w:rPr>
              <w:t>250</w:t>
            </w:r>
          </w:p>
        </w:tc>
        <w:tc>
          <w:tcPr>
            <w:tcW w:w="8640" w:type="dxa"/>
          </w:tcPr>
          <w:p w:rsidR="00464F34" w:rsidRPr="00D51A68" w:rsidRDefault="00464F34" w:rsidP="00464F34">
            <w:pPr>
              <w:rPr>
                <w:rStyle w:val="InstructionsTabelleberschrift"/>
                <w:rFonts w:ascii="Times New Roman" w:hAnsi="Times New Roman"/>
                <w:sz w:val="24"/>
              </w:rPr>
            </w:pPr>
            <w:r w:rsidRPr="00D51A68">
              <w:rPr>
                <w:rStyle w:val="InstructionsTabelleberschrift"/>
                <w:rFonts w:ascii="Times New Roman" w:hAnsi="Times New Roman"/>
                <w:sz w:val="24"/>
              </w:rPr>
              <w:t>IMPORTO COMPLESSIVO DELL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ESPOSIZIONE AL RISCHIO</w:t>
            </w:r>
          </w:p>
          <w:p w:rsidR="00464F34" w:rsidRPr="00D51A68" w:rsidRDefault="00464F34" w:rsidP="00464F34">
            <w:pPr>
              <w:rPr>
                <w:rStyle w:val="InstructionsTabelleberschrift"/>
                <w:rFonts w:ascii="Times New Roman" w:hAnsi="Times New Roman"/>
                <w:sz w:val="24"/>
              </w:rPr>
            </w:pPr>
            <w:r w:rsidRPr="00D51A68">
              <w:rPr>
                <w:rStyle w:val="InstructionsTabelleText"/>
                <w:rFonts w:ascii="Times New Roman" w:hAnsi="Times New Roman"/>
                <w:sz w:val="24"/>
              </w:rPr>
              <w:t>È segnalata la somma delle colonne da 260 a 290.</w:t>
            </w:r>
          </w:p>
        </w:tc>
      </w:tr>
      <w:tr w:rsidR="00464F34" w:rsidRPr="00D51A68" w:rsidTr="00672D2A">
        <w:tc>
          <w:tcPr>
            <w:tcW w:w="1188" w:type="dxa"/>
          </w:tcPr>
          <w:p w:rsidR="00464F34" w:rsidRPr="00D51A68" w:rsidRDefault="00464F34" w:rsidP="00464F34">
            <w:pPr>
              <w:rPr>
                <w:rStyle w:val="InstructionsTabelleText"/>
                <w:rFonts w:ascii="Times New Roman" w:hAnsi="Times New Roman"/>
                <w:sz w:val="24"/>
              </w:rPr>
            </w:pPr>
            <w:r w:rsidRPr="00D51A68">
              <w:rPr>
                <w:rStyle w:val="InstructionsTabelleText"/>
                <w:rFonts w:ascii="Times New Roman" w:hAnsi="Times New Roman"/>
                <w:sz w:val="24"/>
              </w:rPr>
              <w:t>260</w:t>
            </w:r>
          </w:p>
        </w:tc>
        <w:tc>
          <w:tcPr>
            <w:tcW w:w="8640" w:type="dxa"/>
          </w:tcPr>
          <w:p w:rsidR="00464F34" w:rsidRPr="00D51A68" w:rsidRDefault="00464F34" w:rsidP="00464F34">
            <w:pPr>
              <w:rPr>
                <w:rStyle w:val="InstructionsTabelleberschrift"/>
                <w:rFonts w:ascii="Times New Roman" w:hAnsi="Times New Roman"/>
                <w:sz w:val="24"/>
              </w:rPr>
            </w:pPr>
            <w:r w:rsidRPr="00D51A68">
              <w:rPr>
                <w:rStyle w:val="InstructionsTabelleberschrift"/>
                <w:rFonts w:ascii="Times New Roman" w:hAnsi="Times New Roman"/>
                <w:sz w:val="24"/>
              </w:rPr>
              <w:t>RISCHIO DI CREDITO; RISCHIO DI CONTROPARTE; RISCHIO DI DILUIZIONE, OPERAZIONI CON REGOLAMENTO NON CONTESTUALE E RISCHIO DI REGOLAMENTO/CONSEGNA</w:t>
            </w:r>
          </w:p>
          <w:p w:rsidR="00464F34" w:rsidRPr="00D51A68" w:rsidRDefault="00464F34" w:rsidP="00464F34">
            <w:pPr>
              <w:rPr>
                <w:rStyle w:val="InstructionsTabelleText"/>
                <w:rFonts w:ascii="Times New Roman" w:hAnsi="Times New Roman"/>
                <w:sz w:val="24"/>
              </w:rPr>
            </w:pPr>
            <w:r w:rsidRPr="00D51A68">
              <w:rPr>
                <w:rStyle w:val="InstructionsTabelleText"/>
                <w:rFonts w:ascii="Times New Roman" w:hAnsi="Times New Roman"/>
                <w:sz w:val="24"/>
              </w:rPr>
              <w:t>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importo da segnalare sono gli importi delle esposizioni ponderati per il rischio di credito e i requisiti di fondi propri del rischio di regolamento/consegna ai sensi del CRR, escluso qualsiasi importo correlato a operazioni con altri soggetti incluso nel calcolo del coefficiente di solvibilità consolidato a livello di gruppo.</w:t>
            </w:r>
          </w:p>
        </w:tc>
      </w:tr>
      <w:tr w:rsidR="00464F34" w:rsidRPr="00D51A68" w:rsidTr="00672D2A">
        <w:tc>
          <w:tcPr>
            <w:tcW w:w="1188" w:type="dxa"/>
          </w:tcPr>
          <w:p w:rsidR="00464F34" w:rsidRPr="00D51A68" w:rsidRDefault="00464F34" w:rsidP="00464F34">
            <w:pPr>
              <w:rPr>
                <w:rStyle w:val="InstructionsTabelleText"/>
                <w:rFonts w:ascii="Times New Roman" w:hAnsi="Times New Roman"/>
                <w:sz w:val="24"/>
              </w:rPr>
            </w:pPr>
            <w:r w:rsidRPr="00D51A68">
              <w:rPr>
                <w:rStyle w:val="InstructionsTabelleText"/>
                <w:rFonts w:ascii="Times New Roman" w:hAnsi="Times New Roman"/>
                <w:sz w:val="24"/>
              </w:rPr>
              <w:t>270</w:t>
            </w:r>
          </w:p>
        </w:tc>
        <w:tc>
          <w:tcPr>
            <w:tcW w:w="8640" w:type="dxa"/>
          </w:tcPr>
          <w:p w:rsidR="00464F34" w:rsidRPr="00D51A68" w:rsidRDefault="00464F34" w:rsidP="00464F34">
            <w:pPr>
              <w:rPr>
                <w:rStyle w:val="InstructionsTabelleberschrift"/>
                <w:rFonts w:ascii="Times New Roman" w:hAnsi="Times New Roman"/>
                <w:sz w:val="24"/>
              </w:rPr>
            </w:pPr>
            <w:r w:rsidRPr="00D51A68">
              <w:rPr>
                <w:rStyle w:val="InstructionsTabelleberschrift"/>
                <w:rFonts w:ascii="Times New Roman" w:hAnsi="Times New Roman"/>
                <w:sz w:val="24"/>
              </w:rPr>
              <w:t>RISCHI DI POSIZIONE, DI CAMBIO E DI POSIZIONE IN MERCI</w:t>
            </w:r>
          </w:p>
          <w:p w:rsidR="00464F34" w:rsidRPr="00D51A68" w:rsidRDefault="00464F34" w:rsidP="00464F34">
            <w:pPr>
              <w:pStyle w:val="Texte2"/>
              <w:ind w:left="0"/>
              <w:rPr>
                <w:rStyle w:val="InstructionsTabelleText"/>
                <w:rFonts w:ascii="Times New Roman" w:hAnsi="Times New Roman"/>
                <w:sz w:val="24"/>
                <w:szCs w:val="24"/>
              </w:rPr>
            </w:pPr>
            <w:r w:rsidRPr="00D51A68">
              <w:rPr>
                <w:rStyle w:val="InstructionsTabelleText"/>
                <w:rFonts w:ascii="Times New Roman" w:hAnsi="Times New Roman"/>
                <w:sz w:val="24"/>
              </w:rPr>
              <w:t>Gli importi delle esposizioni al rischio per i rischi di mercato devono essere calcolati a livello di ciascun soggetto conformemente al CRR. I soggetti segnalano il contributo agli importi complessivi di esposizione al rischio per i rischi di posizione, di cambio e di posizione in merci del gruppo. La somma degli importi qui segnalata corrisponde all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 xml:space="preserve">importo della riga 520 </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IMPORTO COMPLESSIVO DELL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ESPOSIZIONE AL RISCHIO PER I RISCHI DI POSIZIONE, DI CAMBIO E DI POSIZIONE IN MERCI</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 xml:space="preserve"> della segnalazione consolidata.</w:t>
            </w:r>
          </w:p>
        </w:tc>
      </w:tr>
      <w:tr w:rsidR="00464F34" w:rsidRPr="00D51A68" w:rsidTr="00672D2A">
        <w:tc>
          <w:tcPr>
            <w:tcW w:w="1188" w:type="dxa"/>
          </w:tcPr>
          <w:p w:rsidR="00464F34" w:rsidRPr="00D51A68" w:rsidRDefault="00464F34" w:rsidP="00464F34">
            <w:pPr>
              <w:rPr>
                <w:rStyle w:val="InstructionsTabelleText"/>
                <w:rFonts w:ascii="Times New Roman" w:hAnsi="Times New Roman"/>
                <w:sz w:val="24"/>
              </w:rPr>
            </w:pPr>
            <w:r w:rsidRPr="00D51A68">
              <w:rPr>
                <w:rStyle w:val="InstructionsTabelleText"/>
                <w:rFonts w:ascii="Times New Roman" w:hAnsi="Times New Roman"/>
                <w:sz w:val="24"/>
              </w:rPr>
              <w:t>280</w:t>
            </w:r>
          </w:p>
        </w:tc>
        <w:tc>
          <w:tcPr>
            <w:tcW w:w="8640" w:type="dxa"/>
          </w:tcPr>
          <w:p w:rsidR="00464F34" w:rsidRPr="00D51A68" w:rsidRDefault="00464F34" w:rsidP="00464F34">
            <w:pPr>
              <w:rPr>
                <w:rStyle w:val="InstructionsTabelleberschrift"/>
                <w:rFonts w:ascii="Times New Roman" w:hAnsi="Times New Roman"/>
                <w:sz w:val="24"/>
              </w:rPr>
            </w:pPr>
            <w:r w:rsidRPr="00D51A68">
              <w:rPr>
                <w:rStyle w:val="InstructionsTabelleberschrift"/>
                <w:rFonts w:ascii="Times New Roman" w:hAnsi="Times New Roman"/>
                <w:sz w:val="24"/>
              </w:rPr>
              <w:t>RISCHIO OPERATIVO</w:t>
            </w:r>
          </w:p>
          <w:p w:rsidR="00464F34" w:rsidRPr="00D51A68" w:rsidRDefault="00464F34" w:rsidP="00464F34">
            <w:pPr>
              <w:rPr>
                <w:rStyle w:val="InstructionsTabelleText"/>
                <w:rFonts w:ascii="Times New Roman" w:hAnsi="Times New Roman"/>
                <w:sz w:val="24"/>
              </w:rPr>
            </w:pPr>
            <w:r w:rsidRPr="00D51A68">
              <w:rPr>
                <w:rStyle w:val="InstructionsTabelleText"/>
                <w:rFonts w:ascii="Times New Roman" w:hAnsi="Times New Roman"/>
                <w:sz w:val="24"/>
              </w:rPr>
              <w:t>Nel caso dei metodi avanzati di misurazione, gli importi delle esposizioni al rischio segnalati per il rischio operativo sono comprensivi dell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effetto della diversificazione.</w:t>
            </w:r>
          </w:p>
          <w:p w:rsidR="00464F34" w:rsidRPr="00D51A68" w:rsidRDefault="00464F34" w:rsidP="00464F34">
            <w:pPr>
              <w:rPr>
                <w:rStyle w:val="InstructionsTabelleText"/>
                <w:rFonts w:ascii="Times New Roman" w:hAnsi="Times New Roman"/>
                <w:sz w:val="24"/>
              </w:rPr>
            </w:pPr>
            <w:r w:rsidRPr="00D51A68">
              <w:rPr>
                <w:rFonts w:ascii="Times New Roman" w:hAnsi="Times New Roman"/>
                <w:caps/>
                <w:sz w:val="24"/>
              </w:rPr>
              <w:t>Q</w:t>
            </w:r>
            <w:r w:rsidRPr="00D51A68">
              <w:rPr>
                <w:rFonts w:ascii="Times New Roman" w:hAnsi="Times New Roman"/>
                <w:sz w:val="24"/>
              </w:rPr>
              <w:t>uesta colonna comprende le spese fisse generali.</w:t>
            </w:r>
          </w:p>
        </w:tc>
      </w:tr>
      <w:tr w:rsidR="00464F34" w:rsidRPr="00D51A68" w:rsidTr="00672D2A">
        <w:tc>
          <w:tcPr>
            <w:tcW w:w="1188" w:type="dxa"/>
          </w:tcPr>
          <w:p w:rsidR="00464F34" w:rsidRPr="00D51A68" w:rsidRDefault="00464F34" w:rsidP="00464F34">
            <w:pPr>
              <w:rPr>
                <w:rStyle w:val="InstructionsTabelleText"/>
                <w:rFonts w:ascii="Times New Roman" w:hAnsi="Times New Roman"/>
                <w:sz w:val="24"/>
              </w:rPr>
            </w:pPr>
            <w:r w:rsidRPr="00D51A68">
              <w:rPr>
                <w:rStyle w:val="InstructionsTabelleText"/>
                <w:rFonts w:ascii="Times New Roman" w:hAnsi="Times New Roman"/>
                <w:sz w:val="24"/>
              </w:rPr>
              <w:lastRenderedPageBreak/>
              <w:t>290</w:t>
            </w:r>
          </w:p>
        </w:tc>
        <w:tc>
          <w:tcPr>
            <w:tcW w:w="8640" w:type="dxa"/>
          </w:tcPr>
          <w:p w:rsidR="00464F34" w:rsidRPr="00D51A68" w:rsidRDefault="00464F34" w:rsidP="00464F34">
            <w:pPr>
              <w:rPr>
                <w:rStyle w:val="InstructionsTabelleberschrift"/>
                <w:rFonts w:ascii="Times New Roman" w:hAnsi="Times New Roman"/>
                <w:sz w:val="24"/>
              </w:rPr>
            </w:pPr>
            <w:r w:rsidRPr="00D51A68">
              <w:rPr>
                <w:rStyle w:val="InstructionsTabelleberschrift"/>
                <w:rFonts w:ascii="Times New Roman" w:hAnsi="Times New Roman"/>
                <w:sz w:val="24"/>
              </w:rPr>
              <w:t>ALTRI IMPORTI DELL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ESPOSIZIONE AL RISCHIO</w:t>
            </w:r>
          </w:p>
          <w:p w:rsidR="00464F34" w:rsidRPr="00D51A68" w:rsidRDefault="00464F34" w:rsidP="00464F34">
            <w:pPr>
              <w:rPr>
                <w:rStyle w:val="InstructionsTabelleberschrift"/>
                <w:rFonts w:ascii="Times New Roman" w:hAnsi="Times New Roman"/>
                <w:sz w:val="24"/>
              </w:rPr>
            </w:pPr>
            <w:r w:rsidRPr="00D51A68">
              <w:rPr>
                <w:rStyle w:val="InstructionsTabelleText"/>
                <w:rFonts w:ascii="Times New Roman" w:hAnsi="Times New Roman"/>
                <w:sz w:val="24"/>
              </w:rPr>
              <w:t>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importo da segnalare in questa colonna sono gli importi delle esposizioni ai rischi non elencati specificamente nelle voci precedenti.</w:t>
            </w:r>
          </w:p>
        </w:tc>
      </w:tr>
      <w:tr w:rsidR="00464F34" w:rsidRPr="00D51A68" w:rsidTr="00672D2A">
        <w:tc>
          <w:tcPr>
            <w:tcW w:w="1188" w:type="dxa"/>
          </w:tcPr>
          <w:p w:rsidR="00464F34" w:rsidRPr="00D51A68" w:rsidRDefault="00464F34" w:rsidP="00464F34">
            <w:pPr>
              <w:rPr>
                <w:rStyle w:val="InstructionsTabelleText"/>
                <w:rFonts w:ascii="Times New Roman" w:hAnsi="Times New Roman"/>
                <w:sz w:val="24"/>
              </w:rPr>
            </w:pPr>
            <w:r w:rsidRPr="00D51A68">
              <w:rPr>
                <w:rStyle w:val="InstructionsTabelleText"/>
                <w:rFonts w:ascii="Times New Roman" w:hAnsi="Times New Roman"/>
                <w:sz w:val="24"/>
              </w:rPr>
              <w:t>300-400</w:t>
            </w:r>
          </w:p>
        </w:tc>
        <w:tc>
          <w:tcPr>
            <w:tcW w:w="8640" w:type="dxa"/>
          </w:tcPr>
          <w:p w:rsidR="00464F34" w:rsidRPr="00D51A68" w:rsidRDefault="00464F34" w:rsidP="00464F34">
            <w:pPr>
              <w:rPr>
                <w:rStyle w:val="InstructionsTabelleberschrift"/>
                <w:rFonts w:ascii="Times New Roman" w:hAnsi="Times New Roman"/>
                <w:sz w:val="24"/>
              </w:rPr>
            </w:pPr>
            <w:r w:rsidRPr="00D51A68">
              <w:rPr>
                <w:rStyle w:val="InstructionsTabelleberschrift"/>
                <w:rFonts w:ascii="Times New Roman" w:hAnsi="Times New Roman"/>
                <w:sz w:val="24"/>
              </w:rPr>
              <w:t>CONTRIBUTO AI FONDI PROPRI</w:t>
            </w:r>
          </w:p>
          <w:p w:rsidR="00464F34" w:rsidRPr="00D51A68" w:rsidRDefault="00464F34" w:rsidP="00464F34">
            <w:pPr>
              <w:pStyle w:val="Texte2"/>
              <w:ind w:left="0"/>
              <w:rPr>
                <w:rStyle w:val="InstructionsTabelleText"/>
                <w:rFonts w:ascii="Times New Roman" w:hAnsi="Times New Roman"/>
                <w:sz w:val="24"/>
                <w:szCs w:val="24"/>
              </w:rPr>
            </w:pPr>
            <w:r w:rsidRPr="00D51A68">
              <w:rPr>
                <w:rStyle w:val="InstructionsTabelleText"/>
                <w:rFonts w:ascii="Times New Roman" w:hAnsi="Times New Roman"/>
                <w:sz w:val="24"/>
              </w:rPr>
              <w:t xml:space="preserve">Questa parte del modello non mira a imporre agli enti di eseguire un calcolo completo del coefficiente di capitale totale a livello di ciascun soggetto. </w:t>
            </w:r>
          </w:p>
          <w:p w:rsidR="00144F03" w:rsidRPr="00D51A68" w:rsidRDefault="00144F03" w:rsidP="00144F03">
            <w:pPr>
              <w:pStyle w:val="Texte2"/>
              <w:ind w:left="0"/>
              <w:rPr>
                <w:rStyle w:val="InstructionsTabelleText"/>
                <w:rFonts w:ascii="Times New Roman" w:hAnsi="Times New Roman"/>
                <w:sz w:val="24"/>
                <w:szCs w:val="24"/>
              </w:rPr>
            </w:pPr>
            <w:r w:rsidRPr="00D51A68">
              <w:rPr>
                <w:rFonts w:ascii="Times New Roman" w:hAnsi="Times New Roman"/>
                <w:sz w:val="24"/>
              </w:rPr>
              <w:t>Le colonne da 300 a 350 sono compilate in riferimento ai soggetti consolidati che contribuiscono ai fondi propri mediante interessi di minoranza, capitale di classe 1 ammissibile e/o fondi propri ammissibili. Tenuto conto della soglia di cui all</w:t>
            </w:r>
            <w:r w:rsidR="0009277C" w:rsidRPr="00D51A68">
              <w:rPr>
                <w:rFonts w:ascii="Times New Roman" w:hAnsi="Times New Roman"/>
                <w:sz w:val="24"/>
              </w:rPr>
              <w:t>’</w:t>
            </w:r>
            <w:r w:rsidRPr="00D51A68">
              <w:rPr>
                <w:rFonts w:ascii="Times New Roman" w:hAnsi="Times New Roman"/>
                <w:sz w:val="24"/>
              </w:rPr>
              <w:t>ultimo paragrafo del precedente capo 2.3, parte II, le colonne da 360 a 400 sono compilate per tutti i soggetti consolidati che contribuiscono ai fondi propri consolidati.</w:t>
            </w:r>
          </w:p>
          <w:p w:rsidR="00464F34" w:rsidRPr="00D51A68" w:rsidRDefault="00464F34" w:rsidP="00464F34">
            <w:pPr>
              <w:pStyle w:val="Texte2"/>
              <w:ind w:left="0"/>
              <w:rPr>
                <w:rStyle w:val="InstructionsTabelleText"/>
                <w:rFonts w:ascii="Times New Roman" w:hAnsi="Times New Roman"/>
                <w:sz w:val="24"/>
                <w:szCs w:val="24"/>
              </w:rPr>
            </w:pPr>
            <w:r w:rsidRPr="00D51A68">
              <w:rPr>
                <w:rStyle w:val="InstructionsTabelleText"/>
                <w:rFonts w:ascii="Times New Roman" w:hAnsi="Times New Roman"/>
                <w:sz w:val="24"/>
              </w:rPr>
              <w:t xml:space="preserve">In questa colonna non sono inclusi i fondi propri apportati a un soggetto dagli altri soggetti compresi nello stesso ambito del soggetto segnalante; è segnalato soltanto il contributo netto ai fondi propri del gruppo, ossia principalmente i fondi propri raccolti presso terzi e le riserve accumulate. </w:t>
            </w:r>
          </w:p>
          <w:p w:rsidR="00464F34" w:rsidRPr="00D51A68" w:rsidRDefault="00464F34" w:rsidP="003C1BB1">
            <w:pPr>
              <w:pStyle w:val="Texte2"/>
              <w:spacing w:after="120"/>
              <w:ind w:left="0"/>
              <w:rPr>
                <w:rStyle w:val="InstructionsTabelleberschrift"/>
                <w:rFonts w:ascii="Times New Roman" w:hAnsi="Times New Roman"/>
                <w:b w:val="0"/>
                <w:bCs w:val="0"/>
                <w:sz w:val="24"/>
                <w:szCs w:val="24"/>
              </w:rPr>
            </w:pPr>
            <w:r w:rsidRPr="00D51A68">
              <w:rPr>
                <w:rStyle w:val="InstructionsTabelleText"/>
                <w:rFonts w:ascii="Times New Roman" w:hAnsi="Times New Roman"/>
                <w:sz w:val="24"/>
              </w:rPr>
              <w:t>Le informazioni segnalate nelle colonne che seguono sono conformi alle norme di solvibilità applicabili all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ente segnalante.</w:t>
            </w:r>
          </w:p>
        </w:tc>
      </w:tr>
      <w:tr w:rsidR="00464F34" w:rsidRPr="00D51A68" w:rsidTr="00672D2A">
        <w:tc>
          <w:tcPr>
            <w:tcW w:w="1188" w:type="dxa"/>
          </w:tcPr>
          <w:p w:rsidR="00464F34" w:rsidRPr="00D51A68" w:rsidRDefault="00464F34" w:rsidP="00464F34">
            <w:pPr>
              <w:rPr>
                <w:rStyle w:val="InstructionsTabelleText"/>
                <w:rFonts w:ascii="Times New Roman" w:hAnsi="Times New Roman"/>
                <w:sz w:val="24"/>
              </w:rPr>
            </w:pPr>
            <w:r w:rsidRPr="00D51A68">
              <w:rPr>
                <w:rStyle w:val="InstructionsTabelleText"/>
                <w:rFonts w:ascii="Times New Roman" w:hAnsi="Times New Roman"/>
                <w:sz w:val="24"/>
              </w:rPr>
              <w:t>300-350</w:t>
            </w:r>
          </w:p>
        </w:tc>
        <w:tc>
          <w:tcPr>
            <w:tcW w:w="8640" w:type="dxa"/>
          </w:tcPr>
          <w:p w:rsidR="00464F34" w:rsidRPr="00D51A68" w:rsidRDefault="00464F34" w:rsidP="00464F34">
            <w:pPr>
              <w:rPr>
                <w:rStyle w:val="InstructionsTabelleberschrift"/>
                <w:rFonts w:ascii="Times New Roman" w:hAnsi="Times New Roman"/>
                <w:sz w:val="24"/>
              </w:rPr>
            </w:pPr>
            <w:r w:rsidRPr="00D51A68">
              <w:rPr>
                <w:rStyle w:val="InstructionsTabelleberschrift"/>
                <w:rFonts w:ascii="Times New Roman" w:hAnsi="Times New Roman"/>
                <w:sz w:val="24"/>
              </w:rPr>
              <w:t>FONDI PROPRI AMMISSIBILI INCLUSI NEI FONDI PROPRI CONSOLIDATI</w:t>
            </w:r>
          </w:p>
          <w:p w:rsidR="00464F34" w:rsidRPr="00D51A68" w:rsidRDefault="00464F34" w:rsidP="00464F34">
            <w:pPr>
              <w:rPr>
                <w:rStyle w:val="InstructionsTabelleberschrift"/>
                <w:rFonts w:ascii="Times New Roman" w:hAnsi="Times New Roman"/>
                <w:sz w:val="24"/>
              </w:rPr>
            </w:pPr>
            <w:r w:rsidRPr="00D51A68">
              <w:rPr>
                <w:rStyle w:val="InstructionsTabelleText"/>
                <w:rFonts w:ascii="Times New Roman" w:hAnsi="Times New Roman"/>
                <w:sz w:val="24"/>
              </w:rPr>
              <w:t>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 xml:space="preserve">importo da segnalare come </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FONDI PROPRI AMMISSIBILI INCLUSI NEI FONDI PROPRI CONSOLIDATI</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 xml:space="preserve"> è 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importo ricavato dalla parte due, titolo II, del CRR, esclusi i fondi apportati da altri soggetti del gruppo.</w:t>
            </w:r>
          </w:p>
        </w:tc>
      </w:tr>
      <w:tr w:rsidR="00464F34" w:rsidRPr="00D51A68" w:rsidTr="00672D2A">
        <w:tc>
          <w:tcPr>
            <w:tcW w:w="1188" w:type="dxa"/>
          </w:tcPr>
          <w:p w:rsidR="00464F34" w:rsidRPr="00D51A68" w:rsidRDefault="00464F34" w:rsidP="00464F34">
            <w:pPr>
              <w:rPr>
                <w:rStyle w:val="InstructionsTabelleText"/>
                <w:rFonts w:ascii="Times New Roman" w:hAnsi="Times New Roman"/>
                <w:sz w:val="24"/>
              </w:rPr>
            </w:pPr>
            <w:r w:rsidRPr="00D51A68">
              <w:rPr>
                <w:rFonts w:ascii="Times New Roman" w:hAnsi="Times New Roman"/>
                <w:sz w:val="24"/>
              </w:rPr>
              <w:t>300</w:t>
            </w:r>
          </w:p>
        </w:tc>
        <w:tc>
          <w:tcPr>
            <w:tcW w:w="8640" w:type="dxa"/>
          </w:tcPr>
          <w:p w:rsidR="00464F34" w:rsidRPr="00D51A68" w:rsidRDefault="00464F34" w:rsidP="00464F34">
            <w:pPr>
              <w:rPr>
                <w:rStyle w:val="InstructionsTabelleberschrift"/>
                <w:rFonts w:ascii="Times New Roman" w:hAnsi="Times New Roman"/>
                <w:sz w:val="24"/>
              </w:rPr>
            </w:pPr>
            <w:r w:rsidRPr="00D51A68">
              <w:rPr>
                <w:rStyle w:val="InstructionsTabelleberschrift"/>
                <w:rFonts w:ascii="Times New Roman" w:hAnsi="Times New Roman"/>
                <w:sz w:val="24"/>
              </w:rPr>
              <w:t>FONDI PROPRI AMMISSIBILI INCLUSI NEI FONDI PROPRI CONSOLIDATI</w:t>
            </w:r>
          </w:p>
          <w:p w:rsidR="00464F34" w:rsidRPr="00D51A68" w:rsidRDefault="00464F34" w:rsidP="00464F34">
            <w:pPr>
              <w:rPr>
                <w:rStyle w:val="InstructionsTabelleText"/>
                <w:rFonts w:ascii="Times New Roman" w:hAnsi="Times New Roman"/>
                <w:sz w:val="24"/>
              </w:rPr>
            </w:pPr>
            <w:r w:rsidRPr="00D51A68">
              <w:rPr>
                <w:rStyle w:val="InstructionsTabelleText"/>
                <w:rFonts w:ascii="Times New Roman" w:hAnsi="Times New Roman"/>
                <w:sz w:val="24"/>
              </w:rPr>
              <w:t>Articolo 87 del CRR.</w:t>
            </w:r>
          </w:p>
        </w:tc>
      </w:tr>
      <w:tr w:rsidR="00464F34" w:rsidRPr="00D51A68" w:rsidTr="00672D2A">
        <w:tc>
          <w:tcPr>
            <w:tcW w:w="1188" w:type="dxa"/>
          </w:tcPr>
          <w:p w:rsidR="00464F34" w:rsidRPr="00D51A68" w:rsidRDefault="00464F34" w:rsidP="00464F34">
            <w:pPr>
              <w:rPr>
                <w:rStyle w:val="InstructionsTabelleText"/>
                <w:rFonts w:ascii="Times New Roman" w:hAnsi="Times New Roman"/>
                <w:sz w:val="24"/>
              </w:rPr>
            </w:pPr>
            <w:r w:rsidRPr="00D51A68">
              <w:rPr>
                <w:rFonts w:ascii="Times New Roman" w:hAnsi="Times New Roman"/>
                <w:sz w:val="24"/>
              </w:rPr>
              <w:t>310</w:t>
            </w:r>
          </w:p>
        </w:tc>
        <w:tc>
          <w:tcPr>
            <w:tcW w:w="8640" w:type="dxa"/>
          </w:tcPr>
          <w:p w:rsidR="00464F34" w:rsidRPr="00D51A68" w:rsidRDefault="00464F34" w:rsidP="00464F34">
            <w:pPr>
              <w:rPr>
                <w:rStyle w:val="InstructionsTabelleberschrift"/>
                <w:rFonts w:ascii="Times New Roman" w:hAnsi="Times New Roman"/>
                <w:sz w:val="24"/>
              </w:rPr>
            </w:pPr>
            <w:r w:rsidRPr="00D51A68">
              <w:rPr>
                <w:rStyle w:val="InstructionsTabelleberschrift"/>
                <w:rFonts w:ascii="Times New Roman" w:hAnsi="Times New Roman"/>
                <w:sz w:val="24"/>
              </w:rPr>
              <w:t>STRUMENTI DI CLASSE 1 AMMISSIBILI INCLUSI NEL CAPITALE DI CLASSE 1 CONSOLIDATO</w:t>
            </w:r>
          </w:p>
          <w:p w:rsidR="00464F34" w:rsidRPr="00D51A68" w:rsidRDefault="00464F34" w:rsidP="00871877">
            <w:pPr>
              <w:rPr>
                <w:rStyle w:val="InstructionsTabelleText"/>
                <w:rFonts w:ascii="Times New Roman" w:hAnsi="Times New Roman"/>
                <w:sz w:val="24"/>
              </w:rPr>
            </w:pPr>
            <w:r w:rsidRPr="00D51A68">
              <w:rPr>
                <w:rStyle w:val="InstructionsTabelleText"/>
                <w:rFonts w:ascii="Times New Roman" w:hAnsi="Times New Roman"/>
                <w:sz w:val="24"/>
              </w:rPr>
              <w:t>Articolo 85 del CRR.</w:t>
            </w:r>
          </w:p>
        </w:tc>
      </w:tr>
      <w:tr w:rsidR="00464F34" w:rsidRPr="00D51A68" w:rsidTr="00672D2A">
        <w:tc>
          <w:tcPr>
            <w:tcW w:w="1188" w:type="dxa"/>
          </w:tcPr>
          <w:p w:rsidR="00464F34" w:rsidRPr="00D51A68" w:rsidRDefault="00464F34" w:rsidP="00464F34">
            <w:pPr>
              <w:rPr>
                <w:rStyle w:val="InstructionsTabelleText"/>
                <w:rFonts w:ascii="Times New Roman" w:hAnsi="Times New Roman"/>
                <w:sz w:val="24"/>
              </w:rPr>
            </w:pPr>
            <w:r w:rsidRPr="00D51A68">
              <w:rPr>
                <w:rFonts w:ascii="Times New Roman" w:hAnsi="Times New Roman"/>
                <w:sz w:val="24"/>
              </w:rPr>
              <w:t>320</w:t>
            </w:r>
          </w:p>
        </w:tc>
        <w:tc>
          <w:tcPr>
            <w:tcW w:w="8640" w:type="dxa"/>
          </w:tcPr>
          <w:p w:rsidR="00464F34" w:rsidRPr="00D51A68" w:rsidRDefault="00464F34" w:rsidP="00464F34">
            <w:pPr>
              <w:rPr>
                <w:rStyle w:val="InstructionsTabelleText"/>
                <w:rFonts w:ascii="Times New Roman" w:hAnsi="Times New Roman"/>
                <w:sz w:val="24"/>
              </w:rPr>
            </w:pPr>
            <w:r w:rsidRPr="00D51A68">
              <w:rPr>
                <w:rStyle w:val="InstructionsTabelleberschrift"/>
                <w:rFonts w:ascii="Times New Roman" w:hAnsi="Times New Roman"/>
                <w:sz w:val="24"/>
              </w:rPr>
              <w:t>INTERESSI DI MINORANZA INCLUSI NEL CAPITALE PRIMARIO DI CLASSE 1 CONSOLIDATO</w:t>
            </w:r>
          </w:p>
          <w:p w:rsidR="00464F34" w:rsidRPr="00D51A68" w:rsidRDefault="00464F34" w:rsidP="00464F34">
            <w:pPr>
              <w:rPr>
                <w:rStyle w:val="InstructionsTabelleText"/>
                <w:rFonts w:ascii="Times New Roman" w:hAnsi="Times New Roman"/>
                <w:sz w:val="24"/>
              </w:rPr>
            </w:pPr>
            <w:r w:rsidRPr="00D51A68">
              <w:rPr>
                <w:rStyle w:val="InstructionsTabelleText"/>
                <w:rFonts w:ascii="Times New Roman" w:hAnsi="Times New Roman"/>
                <w:sz w:val="24"/>
              </w:rPr>
              <w:t>Articolo 84 del CRR.</w:t>
            </w:r>
          </w:p>
          <w:p w:rsidR="00464F34" w:rsidRPr="00D51A68" w:rsidRDefault="00464F34" w:rsidP="00255BA9">
            <w:pPr>
              <w:rPr>
                <w:rStyle w:val="InstructionsTabelleText"/>
                <w:rFonts w:ascii="Times New Roman" w:hAnsi="Times New Roman"/>
                <w:sz w:val="24"/>
              </w:rPr>
            </w:pPr>
            <w:r w:rsidRPr="00D51A68">
              <w:rPr>
                <w:rStyle w:val="InstructionsTabelleText"/>
                <w:rFonts w:ascii="Times New Roman" w:hAnsi="Times New Roman"/>
                <w:sz w:val="24"/>
              </w:rPr>
              <w:t>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importo da segnalare è 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 xml:space="preserve">importo degli interessi di minoranza della filiazione incluso nel capitale primario di classe 1 consolidato conformemente al CRR. </w:t>
            </w:r>
          </w:p>
        </w:tc>
      </w:tr>
      <w:tr w:rsidR="00464F34" w:rsidRPr="00D51A68" w:rsidTr="00672D2A">
        <w:tc>
          <w:tcPr>
            <w:tcW w:w="1188" w:type="dxa"/>
          </w:tcPr>
          <w:p w:rsidR="00464F34" w:rsidRPr="00D51A68" w:rsidRDefault="00464F34" w:rsidP="00464F34">
            <w:pPr>
              <w:rPr>
                <w:rStyle w:val="InstructionsTabelleText"/>
                <w:rFonts w:ascii="Times New Roman" w:hAnsi="Times New Roman"/>
                <w:sz w:val="24"/>
              </w:rPr>
            </w:pPr>
            <w:r w:rsidRPr="00D51A68">
              <w:rPr>
                <w:rFonts w:ascii="Times New Roman" w:hAnsi="Times New Roman"/>
                <w:sz w:val="24"/>
              </w:rPr>
              <w:t>330</w:t>
            </w:r>
          </w:p>
        </w:tc>
        <w:tc>
          <w:tcPr>
            <w:tcW w:w="8640" w:type="dxa"/>
          </w:tcPr>
          <w:p w:rsidR="00464F34" w:rsidRPr="00D51A68" w:rsidRDefault="00464F34" w:rsidP="00464F34">
            <w:pPr>
              <w:rPr>
                <w:rStyle w:val="InstructionsTabelleText"/>
                <w:rFonts w:ascii="Times New Roman" w:hAnsi="Times New Roman"/>
                <w:sz w:val="24"/>
              </w:rPr>
            </w:pPr>
            <w:r w:rsidRPr="00D51A68">
              <w:rPr>
                <w:rStyle w:val="InstructionsTabelleberschrift"/>
                <w:rFonts w:ascii="Times New Roman" w:hAnsi="Times New Roman"/>
                <w:sz w:val="24"/>
              </w:rPr>
              <w:t>STRUMENTI DI CLASSE 1 AMMISSIBILI INCLUSI NEL CAPITALE AGGIUNTIVO DI CLASSE 1 CONSOLIDATO</w:t>
            </w:r>
          </w:p>
          <w:p w:rsidR="00464F34" w:rsidRPr="00D51A68" w:rsidRDefault="00464F34" w:rsidP="00464F34">
            <w:pPr>
              <w:rPr>
                <w:rStyle w:val="InstructionsTabelleText"/>
                <w:rFonts w:ascii="Times New Roman" w:hAnsi="Times New Roman"/>
                <w:sz w:val="24"/>
              </w:rPr>
            </w:pPr>
            <w:r w:rsidRPr="00D51A68">
              <w:rPr>
                <w:rStyle w:val="InstructionsTabelleText"/>
                <w:rFonts w:ascii="Times New Roman" w:hAnsi="Times New Roman"/>
                <w:sz w:val="24"/>
              </w:rPr>
              <w:t>Articolo 86 del CRR.</w:t>
            </w:r>
          </w:p>
          <w:p w:rsidR="00464F34" w:rsidRPr="00D51A68" w:rsidRDefault="00464F34" w:rsidP="00255BA9">
            <w:pPr>
              <w:rPr>
                <w:rStyle w:val="InstructionsTabelleText"/>
                <w:rFonts w:ascii="Times New Roman" w:hAnsi="Times New Roman"/>
                <w:sz w:val="24"/>
              </w:rPr>
            </w:pPr>
            <w:r w:rsidRPr="00D51A68">
              <w:rPr>
                <w:rStyle w:val="InstructionsTabelleText"/>
                <w:rFonts w:ascii="Times New Roman" w:hAnsi="Times New Roman"/>
                <w:sz w:val="24"/>
              </w:rPr>
              <w:t>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importo da segnalare è 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 xml:space="preserve">importo del capitale di classe 1 ammissibile della filiazione incluso nel capitale aggiuntivo di classe 1 consolidato conformemente al CRR. </w:t>
            </w:r>
          </w:p>
        </w:tc>
      </w:tr>
      <w:tr w:rsidR="00464F34" w:rsidRPr="00D51A68" w:rsidTr="00672D2A">
        <w:tc>
          <w:tcPr>
            <w:tcW w:w="1188" w:type="dxa"/>
          </w:tcPr>
          <w:p w:rsidR="00464F34" w:rsidRPr="00D51A68" w:rsidRDefault="00464F34" w:rsidP="00464F34">
            <w:pPr>
              <w:rPr>
                <w:rStyle w:val="InstructionsTabelleText"/>
                <w:rFonts w:ascii="Times New Roman" w:hAnsi="Times New Roman"/>
                <w:sz w:val="24"/>
              </w:rPr>
            </w:pPr>
            <w:r w:rsidRPr="00D51A68">
              <w:rPr>
                <w:rFonts w:ascii="Times New Roman" w:hAnsi="Times New Roman"/>
                <w:sz w:val="24"/>
              </w:rPr>
              <w:lastRenderedPageBreak/>
              <w:t>340</w:t>
            </w:r>
          </w:p>
        </w:tc>
        <w:tc>
          <w:tcPr>
            <w:tcW w:w="8640" w:type="dxa"/>
          </w:tcPr>
          <w:p w:rsidR="00464F34" w:rsidRPr="00D51A68" w:rsidRDefault="00464F34" w:rsidP="00464F34">
            <w:pPr>
              <w:rPr>
                <w:rStyle w:val="InstructionsTabelleberschrift"/>
                <w:rFonts w:ascii="Times New Roman" w:hAnsi="Times New Roman"/>
                <w:sz w:val="24"/>
              </w:rPr>
            </w:pPr>
            <w:r w:rsidRPr="00D51A68">
              <w:rPr>
                <w:rStyle w:val="InstructionsTabelleberschrift"/>
                <w:rFonts w:ascii="Times New Roman" w:hAnsi="Times New Roman"/>
                <w:sz w:val="24"/>
              </w:rPr>
              <w:t>STRUMENTI DI FONDI PROPRI AMMISSIBILI INCLUSI NEL CAPITALE DI CLASSE 2 CONSOLIDATO</w:t>
            </w:r>
          </w:p>
          <w:p w:rsidR="00464F34" w:rsidRPr="00D51A68" w:rsidRDefault="00464F34" w:rsidP="00464F34">
            <w:pPr>
              <w:rPr>
                <w:rStyle w:val="InstructionsTabelleText"/>
                <w:rFonts w:ascii="Times New Roman" w:hAnsi="Times New Roman"/>
                <w:sz w:val="24"/>
              </w:rPr>
            </w:pPr>
            <w:r w:rsidRPr="00D51A68">
              <w:rPr>
                <w:rStyle w:val="InstructionsTabelleText"/>
                <w:rFonts w:ascii="Times New Roman" w:hAnsi="Times New Roman"/>
                <w:sz w:val="24"/>
              </w:rPr>
              <w:t>Articolo 88 del CRR.</w:t>
            </w:r>
          </w:p>
          <w:p w:rsidR="00464F34" w:rsidRPr="00D51A68" w:rsidRDefault="00464F34" w:rsidP="00255BA9">
            <w:pPr>
              <w:rPr>
                <w:rStyle w:val="InstructionsTabelleText"/>
                <w:rFonts w:ascii="Times New Roman" w:hAnsi="Times New Roman"/>
                <w:sz w:val="24"/>
              </w:rPr>
            </w:pPr>
            <w:r w:rsidRPr="00D51A68">
              <w:rPr>
                <w:rStyle w:val="InstructionsTabelleText"/>
                <w:rFonts w:ascii="Times New Roman" w:hAnsi="Times New Roman"/>
                <w:sz w:val="24"/>
              </w:rPr>
              <w:t>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importo da segnalare è 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 xml:space="preserve">importo dei fondi propri ammissibili della filiazione incluso nel capitale di classe 2 consolidato conformemente al CRR. </w:t>
            </w:r>
          </w:p>
        </w:tc>
      </w:tr>
      <w:tr w:rsidR="00464F34" w:rsidRPr="00D51A68" w:rsidTr="00672D2A">
        <w:tc>
          <w:tcPr>
            <w:tcW w:w="1188" w:type="dxa"/>
          </w:tcPr>
          <w:p w:rsidR="00464F34" w:rsidRPr="00D51A68" w:rsidRDefault="00464F34" w:rsidP="00464F34">
            <w:pPr>
              <w:rPr>
                <w:rFonts w:ascii="Times New Roman" w:hAnsi="Times New Roman"/>
                <w:sz w:val="24"/>
              </w:rPr>
            </w:pPr>
            <w:r w:rsidRPr="00D51A68">
              <w:rPr>
                <w:rFonts w:ascii="Times New Roman" w:hAnsi="Times New Roman"/>
                <w:sz w:val="24"/>
              </w:rPr>
              <w:t>350</w:t>
            </w:r>
          </w:p>
        </w:tc>
        <w:tc>
          <w:tcPr>
            <w:tcW w:w="8640" w:type="dxa"/>
          </w:tcPr>
          <w:p w:rsidR="00464F34" w:rsidRPr="00D51A68" w:rsidRDefault="00464F34" w:rsidP="00464F34">
            <w:pPr>
              <w:rPr>
                <w:rStyle w:val="InstructionsTabelleberschrift"/>
                <w:rFonts w:ascii="Times New Roman" w:hAnsi="Times New Roman"/>
                <w:b w:val="0"/>
                <w:sz w:val="24"/>
              </w:rPr>
            </w:pPr>
            <w:r w:rsidRPr="00D51A68">
              <w:rPr>
                <w:rStyle w:val="InstructionsTabelleberschrift"/>
                <w:rFonts w:ascii="Times New Roman" w:hAnsi="Times New Roman"/>
                <w:sz w:val="24"/>
              </w:rPr>
              <w:t>VOCE PER MEMORIA: AVVIAMENTO (-)/(+) AVVIAMENTO NEGATIVO</w:t>
            </w:r>
          </w:p>
        </w:tc>
      </w:tr>
      <w:tr w:rsidR="00464F34" w:rsidRPr="00D51A68" w:rsidTr="00672D2A">
        <w:tc>
          <w:tcPr>
            <w:tcW w:w="1188" w:type="dxa"/>
          </w:tcPr>
          <w:p w:rsidR="00464F34" w:rsidRPr="00D51A68" w:rsidRDefault="00464F34" w:rsidP="00464F34">
            <w:pPr>
              <w:rPr>
                <w:rFonts w:ascii="Times New Roman" w:hAnsi="Times New Roman"/>
                <w:sz w:val="24"/>
              </w:rPr>
            </w:pPr>
            <w:r w:rsidRPr="00D51A68">
              <w:rPr>
                <w:rFonts w:ascii="Times New Roman" w:hAnsi="Times New Roman"/>
                <w:sz w:val="24"/>
              </w:rPr>
              <w:t>360-400</w:t>
            </w:r>
          </w:p>
        </w:tc>
        <w:tc>
          <w:tcPr>
            <w:tcW w:w="8640" w:type="dxa"/>
          </w:tcPr>
          <w:p w:rsidR="00464F34" w:rsidRPr="00D51A68" w:rsidRDefault="00464F34" w:rsidP="00464F34">
            <w:pPr>
              <w:rPr>
                <w:rStyle w:val="InstructionsTabelleberschrift"/>
                <w:rFonts w:ascii="Times New Roman" w:hAnsi="Times New Roman"/>
                <w:sz w:val="24"/>
              </w:rPr>
            </w:pPr>
            <w:r w:rsidRPr="00D51A68">
              <w:rPr>
                <w:rStyle w:val="InstructionsTabelleberschrift"/>
                <w:rFonts w:ascii="Times New Roman" w:hAnsi="Times New Roman"/>
                <w:sz w:val="24"/>
              </w:rPr>
              <w:t>FONDI PROPRI CONSOLIDATI</w:t>
            </w:r>
          </w:p>
          <w:p w:rsidR="00144F03" w:rsidRPr="00D51A68" w:rsidRDefault="00144F03" w:rsidP="00464F34">
            <w:pPr>
              <w:rPr>
                <w:rStyle w:val="InstructionsTabelleText"/>
                <w:rFonts w:ascii="Times New Roman" w:hAnsi="Times New Roman"/>
                <w:sz w:val="24"/>
              </w:rPr>
            </w:pPr>
            <w:r w:rsidRPr="00D51A68">
              <w:rPr>
                <w:rStyle w:val="InstructionsTabelleText"/>
                <w:rFonts w:ascii="Times New Roman" w:hAnsi="Times New Roman"/>
                <w:sz w:val="24"/>
              </w:rPr>
              <w:t>Articolo 18 del CRR.</w:t>
            </w:r>
          </w:p>
          <w:p w:rsidR="00464F34" w:rsidRPr="00D51A68" w:rsidRDefault="00464F34" w:rsidP="00464F34">
            <w:pPr>
              <w:rPr>
                <w:rStyle w:val="InstructionsTabelleText"/>
                <w:rFonts w:ascii="Times New Roman" w:hAnsi="Times New Roman"/>
                <w:sz w:val="24"/>
              </w:rPr>
            </w:pPr>
            <w:r w:rsidRPr="00D51A68">
              <w:rPr>
                <w:rStyle w:val="InstructionsTabelleText"/>
                <w:rFonts w:ascii="Times New Roman" w:hAnsi="Times New Roman"/>
                <w:sz w:val="24"/>
              </w:rPr>
              <w:t>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 xml:space="preserve">importo da segnalare come </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FONDI PROPRI CONSOLIDATI</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 xml:space="preserve"> è 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importo ricavato dal bilancio, esclusi i fondi apportati da altri soggetti del gruppo.</w:t>
            </w:r>
          </w:p>
        </w:tc>
      </w:tr>
      <w:tr w:rsidR="00464F34" w:rsidRPr="00D51A68" w:rsidTr="00672D2A">
        <w:tc>
          <w:tcPr>
            <w:tcW w:w="1188" w:type="dxa"/>
          </w:tcPr>
          <w:p w:rsidR="00464F34" w:rsidRPr="00D51A68" w:rsidRDefault="00464F34" w:rsidP="00464F34">
            <w:pPr>
              <w:rPr>
                <w:rFonts w:ascii="Times New Roman" w:hAnsi="Times New Roman"/>
                <w:sz w:val="24"/>
              </w:rPr>
            </w:pPr>
            <w:r w:rsidRPr="00D51A68">
              <w:rPr>
                <w:rFonts w:ascii="Times New Roman" w:hAnsi="Times New Roman"/>
                <w:sz w:val="24"/>
              </w:rPr>
              <w:t>360</w:t>
            </w:r>
          </w:p>
        </w:tc>
        <w:tc>
          <w:tcPr>
            <w:tcW w:w="8640" w:type="dxa"/>
          </w:tcPr>
          <w:p w:rsidR="00464F34" w:rsidRPr="00D51A68" w:rsidRDefault="00464F34" w:rsidP="00464F34">
            <w:pPr>
              <w:rPr>
                <w:rStyle w:val="InstructionsTabelleberschrift"/>
                <w:rFonts w:ascii="Times New Roman" w:hAnsi="Times New Roman"/>
                <w:sz w:val="24"/>
              </w:rPr>
            </w:pPr>
            <w:r w:rsidRPr="00D51A68">
              <w:rPr>
                <w:rStyle w:val="InstructionsTabelleberschrift"/>
                <w:rFonts w:ascii="Times New Roman" w:hAnsi="Times New Roman"/>
                <w:sz w:val="24"/>
              </w:rPr>
              <w:t>FONDI PROPRI CONSOLIDATI</w:t>
            </w:r>
          </w:p>
        </w:tc>
      </w:tr>
      <w:tr w:rsidR="00464F34" w:rsidRPr="00D51A68" w:rsidTr="00672D2A">
        <w:tc>
          <w:tcPr>
            <w:tcW w:w="1188" w:type="dxa"/>
          </w:tcPr>
          <w:p w:rsidR="00464F34" w:rsidRPr="00D51A68" w:rsidRDefault="00464F34" w:rsidP="00464F34">
            <w:pPr>
              <w:rPr>
                <w:rFonts w:ascii="Times New Roman" w:hAnsi="Times New Roman"/>
                <w:sz w:val="24"/>
              </w:rPr>
            </w:pPr>
            <w:r w:rsidRPr="00D51A68">
              <w:rPr>
                <w:rFonts w:ascii="Times New Roman" w:hAnsi="Times New Roman"/>
                <w:sz w:val="24"/>
              </w:rPr>
              <w:t>370</w:t>
            </w:r>
          </w:p>
        </w:tc>
        <w:tc>
          <w:tcPr>
            <w:tcW w:w="8640" w:type="dxa"/>
          </w:tcPr>
          <w:p w:rsidR="00464F34" w:rsidRPr="00D51A68" w:rsidRDefault="00464F34" w:rsidP="00464F34">
            <w:pPr>
              <w:rPr>
                <w:rStyle w:val="InstructionsTabelleberschrift"/>
                <w:rFonts w:ascii="Times New Roman" w:hAnsi="Times New Roman"/>
                <w:sz w:val="24"/>
              </w:rPr>
            </w:pPr>
            <w:r w:rsidRPr="00D51A68">
              <w:rPr>
                <w:rStyle w:val="InstructionsTabelleberschrift"/>
                <w:rFonts w:ascii="Times New Roman" w:hAnsi="Times New Roman"/>
                <w:sz w:val="24"/>
              </w:rPr>
              <w:t>DI CUI: CAPITALE PRIMARIO DI CLASSE 1</w:t>
            </w:r>
          </w:p>
        </w:tc>
      </w:tr>
      <w:tr w:rsidR="00464F34" w:rsidRPr="00D51A68" w:rsidTr="00672D2A">
        <w:tc>
          <w:tcPr>
            <w:tcW w:w="1188" w:type="dxa"/>
          </w:tcPr>
          <w:p w:rsidR="00464F34" w:rsidRPr="00D51A68" w:rsidDel="0081176B" w:rsidRDefault="00464F34" w:rsidP="00464F34">
            <w:pPr>
              <w:rPr>
                <w:rFonts w:ascii="Times New Roman" w:hAnsi="Times New Roman"/>
                <w:sz w:val="24"/>
              </w:rPr>
            </w:pPr>
            <w:r w:rsidRPr="00D51A68">
              <w:rPr>
                <w:rFonts w:ascii="Times New Roman" w:hAnsi="Times New Roman"/>
                <w:sz w:val="24"/>
              </w:rPr>
              <w:t>380</w:t>
            </w:r>
          </w:p>
        </w:tc>
        <w:tc>
          <w:tcPr>
            <w:tcW w:w="8640" w:type="dxa"/>
          </w:tcPr>
          <w:p w:rsidR="00464F34" w:rsidRPr="00D51A68" w:rsidDel="0081176B" w:rsidRDefault="00464F34" w:rsidP="00464F34">
            <w:pPr>
              <w:rPr>
                <w:rStyle w:val="InstructionsTabelleberschrift"/>
                <w:rFonts w:ascii="Times New Roman" w:hAnsi="Times New Roman"/>
                <w:sz w:val="24"/>
              </w:rPr>
            </w:pPr>
            <w:r w:rsidRPr="00D51A68">
              <w:rPr>
                <w:rStyle w:val="InstructionsTabelleberschrift"/>
                <w:rFonts w:ascii="Times New Roman" w:hAnsi="Times New Roman"/>
                <w:sz w:val="24"/>
              </w:rPr>
              <w:t>DI CUI: CAPITALE AGGIUNTIVO DI CLASSE 1</w:t>
            </w:r>
          </w:p>
        </w:tc>
      </w:tr>
      <w:tr w:rsidR="00464F34" w:rsidRPr="00D51A68" w:rsidTr="00672D2A">
        <w:tc>
          <w:tcPr>
            <w:tcW w:w="1188" w:type="dxa"/>
          </w:tcPr>
          <w:p w:rsidR="00464F34" w:rsidRPr="00D51A68" w:rsidRDefault="00464F34" w:rsidP="00464F34">
            <w:pPr>
              <w:rPr>
                <w:rFonts w:ascii="Times New Roman" w:hAnsi="Times New Roman"/>
                <w:sz w:val="24"/>
              </w:rPr>
            </w:pPr>
            <w:r w:rsidRPr="00D51A68">
              <w:rPr>
                <w:rFonts w:ascii="Times New Roman" w:hAnsi="Times New Roman"/>
                <w:sz w:val="24"/>
              </w:rPr>
              <w:t>390</w:t>
            </w:r>
          </w:p>
        </w:tc>
        <w:tc>
          <w:tcPr>
            <w:tcW w:w="8640" w:type="dxa"/>
          </w:tcPr>
          <w:p w:rsidR="00464F34" w:rsidRPr="00D51A68" w:rsidRDefault="00464F34" w:rsidP="00464F34">
            <w:pPr>
              <w:rPr>
                <w:rStyle w:val="InstructionsTabelleText"/>
                <w:rFonts w:ascii="Times New Roman" w:hAnsi="Times New Roman"/>
                <w:sz w:val="24"/>
              </w:rPr>
            </w:pPr>
            <w:r w:rsidRPr="00D51A68">
              <w:rPr>
                <w:rStyle w:val="InstructionsTabelleberschrift"/>
                <w:rFonts w:ascii="Times New Roman" w:hAnsi="Times New Roman"/>
                <w:sz w:val="24"/>
              </w:rPr>
              <w:t>DI CUI: CONTRIBUTI AL RISULTATO CONSOLIDATO</w:t>
            </w:r>
          </w:p>
          <w:p w:rsidR="00464F34" w:rsidRPr="00D51A68" w:rsidRDefault="00464F34" w:rsidP="00464F34">
            <w:pPr>
              <w:rPr>
                <w:rStyle w:val="InstructionsTabelleberschrift"/>
                <w:rFonts w:ascii="Times New Roman" w:hAnsi="Times New Roman"/>
                <w:sz w:val="24"/>
              </w:rPr>
            </w:pPr>
            <w:r w:rsidRPr="00D51A68">
              <w:rPr>
                <w:rStyle w:val="InstructionsTabelleText"/>
                <w:rFonts w:ascii="Times New Roman" w:hAnsi="Times New Roman"/>
                <w:sz w:val="24"/>
              </w:rPr>
              <w:t>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importo da segnalare è il contributo di ciascun soggetto al risultato consolidato — profitto o perdita (-) — che comprende i risultati attribuibili agli interessi di minoranza.</w:t>
            </w:r>
          </w:p>
        </w:tc>
      </w:tr>
      <w:tr w:rsidR="00464F34" w:rsidRPr="00D51A68" w:rsidTr="00672D2A">
        <w:tc>
          <w:tcPr>
            <w:tcW w:w="1188" w:type="dxa"/>
          </w:tcPr>
          <w:p w:rsidR="00464F34" w:rsidRPr="00D51A68" w:rsidRDefault="00464F34" w:rsidP="00464F34">
            <w:pPr>
              <w:rPr>
                <w:rFonts w:ascii="Times New Roman" w:hAnsi="Times New Roman"/>
                <w:sz w:val="24"/>
              </w:rPr>
            </w:pPr>
            <w:r w:rsidRPr="00D51A68">
              <w:rPr>
                <w:rFonts w:ascii="Times New Roman" w:hAnsi="Times New Roman"/>
                <w:sz w:val="24"/>
              </w:rPr>
              <w:t>400</w:t>
            </w:r>
          </w:p>
        </w:tc>
        <w:tc>
          <w:tcPr>
            <w:tcW w:w="8640" w:type="dxa"/>
          </w:tcPr>
          <w:p w:rsidR="00464F34" w:rsidRPr="00D51A68" w:rsidRDefault="00464F34" w:rsidP="00464F34">
            <w:pPr>
              <w:rPr>
                <w:rStyle w:val="InstructionsTabelleberschrift"/>
                <w:rFonts w:ascii="Times New Roman" w:hAnsi="Times New Roman"/>
                <w:sz w:val="24"/>
              </w:rPr>
            </w:pPr>
            <w:r w:rsidRPr="00D51A68">
              <w:rPr>
                <w:rStyle w:val="InstructionsTabelleberschrift"/>
                <w:rFonts w:ascii="Times New Roman" w:hAnsi="Times New Roman"/>
                <w:sz w:val="24"/>
              </w:rPr>
              <w:t>DI CUI: (-) AVVIAMENTO/(+) AVVIAMENTO NEGATIVO</w:t>
            </w:r>
          </w:p>
          <w:p w:rsidR="00464F34" w:rsidRPr="00D51A68" w:rsidRDefault="00464F34" w:rsidP="00464F34">
            <w:pPr>
              <w:rPr>
                <w:rStyle w:val="InstructionsTabelleberschrift"/>
                <w:rFonts w:ascii="Times New Roman" w:hAnsi="Times New Roman"/>
                <w:sz w:val="24"/>
              </w:rPr>
            </w:pPr>
            <w:r w:rsidRPr="00D51A68">
              <w:rPr>
                <w:rStyle w:val="InstructionsTabelleText"/>
                <w:rFonts w:ascii="Times New Roman" w:hAnsi="Times New Roman"/>
                <w:sz w:val="24"/>
              </w:rPr>
              <w:t>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importo da segnalare in questa riga è 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avviamento o 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avviamento negativo del soggetto segnalante rispetto alla filiazione.</w:t>
            </w:r>
          </w:p>
        </w:tc>
      </w:tr>
      <w:tr w:rsidR="00464F34" w:rsidRPr="00D51A68" w:rsidTr="00672D2A">
        <w:tc>
          <w:tcPr>
            <w:tcW w:w="1188" w:type="dxa"/>
          </w:tcPr>
          <w:p w:rsidR="00464F34" w:rsidRPr="00D51A68" w:rsidRDefault="00464F34" w:rsidP="00464F34">
            <w:pPr>
              <w:rPr>
                <w:rStyle w:val="InstructionsTabelleText"/>
                <w:rFonts w:ascii="Times New Roman" w:hAnsi="Times New Roman"/>
                <w:sz w:val="24"/>
              </w:rPr>
            </w:pPr>
            <w:r w:rsidRPr="00D51A68">
              <w:rPr>
                <w:rStyle w:val="InstructionsTabelleText"/>
                <w:rFonts w:ascii="Times New Roman" w:hAnsi="Times New Roman"/>
                <w:sz w:val="24"/>
              </w:rPr>
              <w:t>410-480</w:t>
            </w:r>
          </w:p>
        </w:tc>
        <w:tc>
          <w:tcPr>
            <w:tcW w:w="8640" w:type="dxa"/>
          </w:tcPr>
          <w:p w:rsidR="00464F34" w:rsidRPr="00D51A68" w:rsidRDefault="00464F34" w:rsidP="00464F34">
            <w:pPr>
              <w:rPr>
                <w:rStyle w:val="InstructionsTabelleberschrift"/>
                <w:rFonts w:ascii="Times New Roman" w:hAnsi="Times New Roman"/>
                <w:sz w:val="24"/>
              </w:rPr>
            </w:pPr>
            <w:r w:rsidRPr="00D51A68">
              <w:rPr>
                <w:rStyle w:val="InstructionsTabelleberschrift"/>
                <w:rFonts w:ascii="Times New Roman" w:hAnsi="Times New Roman"/>
                <w:sz w:val="24"/>
              </w:rPr>
              <w:t>RISERVE DI CAPITALE</w:t>
            </w:r>
          </w:p>
          <w:p w:rsidR="00464F34" w:rsidRPr="00D51A68" w:rsidRDefault="00464F34" w:rsidP="00096566">
            <w:pPr>
              <w:rPr>
                <w:rStyle w:val="InstructionsTabelleberschrift"/>
                <w:rFonts w:ascii="Times New Roman" w:hAnsi="Times New Roman"/>
                <w:b w:val="0"/>
                <w:sz w:val="24"/>
                <w:u w:val="none"/>
              </w:rPr>
            </w:pPr>
            <w:r w:rsidRPr="00D51A68">
              <w:rPr>
                <w:rStyle w:val="InstructionsTabelleberschrift"/>
                <w:rFonts w:ascii="Times New Roman" w:hAnsi="Times New Roman"/>
                <w:b w:val="0"/>
                <w:sz w:val="24"/>
                <w:u w:val="none"/>
              </w:rPr>
              <w:t>La struttura della segnalazione delle riserve di capitale nel modello GS ricalca la struttura generale del modello CA4 e utilizza i medesimi concetti di segnalazione. Per indicare le riserve di capitale nel modello GS, gli importi pertinenti sono segnalati conformemente alle disposizioni applicabili per determinare il requisito di riserva di capitale per la situazione consolidata di un gruppo. Pertanto, gli importi segnalati di riserve di capitale rappresentano i contributi di ciascun soggetto alle riserve di capitale del gruppo. Gli importi segnalati sono basati sulle disposizioni nazionali di recepimento della CRD e sul CRR, comprese le disposizioni transitorie ivi previste.</w:t>
            </w:r>
          </w:p>
        </w:tc>
      </w:tr>
      <w:tr w:rsidR="00464F34" w:rsidRPr="00D51A68" w:rsidTr="00672D2A">
        <w:tc>
          <w:tcPr>
            <w:tcW w:w="1188" w:type="dxa"/>
          </w:tcPr>
          <w:p w:rsidR="00464F34" w:rsidRPr="00D51A68" w:rsidRDefault="00464F34" w:rsidP="00464F34">
            <w:pPr>
              <w:rPr>
                <w:rStyle w:val="InstructionsTabelleText"/>
                <w:rFonts w:ascii="Times New Roman" w:hAnsi="Times New Roman"/>
                <w:sz w:val="24"/>
              </w:rPr>
            </w:pPr>
            <w:r w:rsidRPr="00D51A68">
              <w:rPr>
                <w:rStyle w:val="InstructionsTabelleText"/>
                <w:rFonts w:ascii="Times New Roman" w:hAnsi="Times New Roman"/>
                <w:sz w:val="24"/>
              </w:rPr>
              <w:t>410</w:t>
            </w:r>
          </w:p>
        </w:tc>
        <w:tc>
          <w:tcPr>
            <w:tcW w:w="8640" w:type="dxa"/>
          </w:tcPr>
          <w:p w:rsidR="00464F34" w:rsidRPr="00D51A68" w:rsidRDefault="00464F34" w:rsidP="00464F34">
            <w:pPr>
              <w:rPr>
                <w:rStyle w:val="InstructionsTabelleberschrift"/>
                <w:rFonts w:ascii="Times New Roman" w:hAnsi="Times New Roman"/>
                <w:sz w:val="24"/>
              </w:rPr>
            </w:pPr>
            <w:r w:rsidRPr="00D51A68">
              <w:rPr>
                <w:rStyle w:val="InstructionsTabelleberschrift"/>
                <w:rFonts w:ascii="Times New Roman" w:hAnsi="Times New Roman"/>
                <w:sz w:val="24"/>
              </w:rPr>
              <w:t>REQUISITO COMBINATO DI RISERVA DI CAPITALE</w:t>
            </w:r>
          </w:p>
          <w:p w:rsidR="00464F34" w:rsidRPr="00D51A68" w:rsidRDefault="00464F34" w:rsidP="00941843">
            <w:pPr>
              <w:tabs>
                <w:tab w:val="left" w:pos="3510"/>
              </w:tabs>
              <w:rPr>
                <w:rStyle w:val="InstructionsTabelleberschrift"/>
                <w:rFonts w:ascii="Times New Roman" w:hAnsi="Times New Roman"/>
                <w:sz w:val="24"/>
              </w:rPr>
            </w:pPr>
            <w:r w:rsidRPr="00D51A68">
              <w:rPr>
                <w:rStyle w:val="InstructionsTabelleText"/>
                <w:rFonts w:ascii="Times New Roman" w:hAnsi="Times New Roman"/>
                <w:sz w:val="24"/>
              </w:rPr>
              <w:t>Articolo 128, primo comma, punto 6, della CRD.</w:t>
            </w:r>
          </w:p>
        </w:tc>
      </w:tr>
      <w:tr w:rsidR="00464F34" w:rsidRPr="00D51A68" w:rsidTr="00672D2A">
        <w:tc>
          <w:tcPr>
            <w:tcW w:w="1188" w:type="dxa"/>
          </w:tcPr>
          <w:p w:rsidR="00464F34" w:rsidRPr="00D51A68" w:rsidRDefault="00464F34" w:rsidP="00464F34">
            <w:pPr>
              <w:rPr>
                <w:rStyle w:val="InstructionsTabelleText"/>
                <w:rFonts w:ascii="Times New Roman" w:hAnsi="Times New Roman"/>
                <w:sz w:val="24"/>
              </w:rPr>
            </w:pPr>
            <w:r w:rsidRPr="00D51A68">
              <w:rPr>
                <w:rStyle w:val="InstructionsTabelleText"/>
                <w:rFonts w:ascii="Times New Roman" w:hAnsi="Times New Roman"/>
                <w:sz w:val="24"/>
              </w:rPr>
              <w:t>420</w:t>
            </w:r>
          </w:p>
        </w:tc>
        <w:tc>
          <w:tcPr>
            <w:tcW w:w="8640" w:type="dxa"/>
          </w:tcPr>
          <w:p w:rsidR="00464F34" w:rsidRPr="00D51A68" w:rsidRDefault="00464F34" w:rsidP="00464F34">
            <w:pPr>
              <w:rPr>
                <w:rStyle w:val="InstructionsTabelleberschrift"/>
                <w:rFonts w:ascii="Times New Roman" w:hAnsi="Times New Roman"/>
                <w:sz w:val="24"/>
              </w:rPr>
            </w:pPr>
            <w:r w:rsidRPr="00D51A68">
              <w:rPr>
                <w:rStyle w:val="InstructionsTabelleberschrift"/>
                <w:rFonts w:ascii="Times New Roman" w:hAnsi="Times New Roman"/>
                <w:sz w:val="24"/>
              </w:rPr>
              <w:t>RISERVA DI CONSERVAZIONE DEL CAPITALE</w:t>
            </w:r>
          </w:p>
          <w:p w:rsidR="00464F34" w:rsidRPr="00D51A68" w:rsidRDefault="00464F34" w:rsidP="00464F34">
            <w:pPr>
              <w:rPr>
                <w:rStyle w:val="InstructionsTabelleText"/>
                <w:rFonts w:ascii="Times New Roman" w:hAnsi="Times New Roman"/>
                <w:sz w:val="24"/>
              </w:rPr>
            </w:pPr>
            <w:r w:rsidRPr="00D51A68">
              <w:rPr>
                <w:rStyle w:val="InstructionsTabelleText"/>
                <w:rFonts w:ascii="Times New Roman" w:hAnsi="Times New Roman"/>
                <w:sz w:val="24"/>
              </w:rPr>
              <w:t>Articolo 128, primo comma, punto 1, e articolo 129 della CRD.</w:t>
            </w:r>
          </w:p>
          <w:p w:rsidR="00464F34" w:rsidRPr="00D51A68" w:rsidRDefault="00464F34" w:rsidP="00FC1A76">
            <w:pPr>
              <w:pStyle w:val="InstructionsText"/>
              <w:rPr>
                <w:rStyle w:val="InstructionsTabelleText"/>
                <w:rFonts w:ascii="Times New Roman" w:hAnsi="Times New Roman"/>
                <w:sz w:val="24"/>
              </w:rPr>
            </w:pPr>
            <w:r w:rsidRPr="00D51A68">
              <w:t>Conformemente all</w:t>
            </w:r>
            <w:r w:rsidR="0009277C" w:rsidRPr="00D51A68">
              <w:t>’</w:t>
            </w:r>
            <w:r w:rsidRPr="00D51A68">
              <w:t>articolo 129, paragrafo 1, la riserva di conservazione del capitale è un importo aggiuntivo del capitale primario di classe 1. Dato che il coefficiente della riserva di conservazione del capitale del 2,5</w:t>
            </w:r>
            <w:r w:rsidR="0009277C" w:rsidRPr="00D51A68">
              <w:t>%</w:t>
            </w:r>
            <w:r w:rsidRPr="00D51A68">
              <w:t xml:space="preserve"> è fisso, in questa cella è segnalato un importo.</w:t>
            </w:r>
          </w:p>
        </w:tc>
      </w:tr>
      <w:tr w:rsidR="00464F34" w:rsidRPr="00D51A68" w:rsidTr="00672D2A">
        <w:tc>
          <w:tcPr>
            <w:tcW w:w="1188" w:type="dxa"/>
          </w:tcPr>
          <w:p w:rsidR="00464F34" w:rsidRPr="00D51A68" w:rsidRDefault="00464F34" w:rsidP="00464F34">
            <w:pPr>
              <w:rPr>
                <w:rStyle w:val="InstructionsTabelleText"/>
                <w:rFonts w:ascii="Times New Roman" w:hAnsi="Times New Roman"/>
                <w:sz w:val="24"/>
              </w:rPr>
            </w:pPr>
            <w:r w:rsidRPr="00D51A68">
              <w:rPr>
                <w:rStyle w:val="InstructionsTabelleText"/>
                <w:rFonts w:ascii="Times New Roman" w:hAnsi="Times New Roman"/>
                <w:sz w:val="24"/>
              </w:rPr>
              <w:lastRenderedPageBreak/>
              <w:t>430</w:t>
            </w:r>
          </w:p>
        </w:tc>
        <w:tc>
          <w:tcPr>
            <w:tcW w:w="8640" w:type="dxa"/>
          </w:tcPr>
          <w:p w:rsidR="00464F34" w:rsidRPr="00D51A68" w:rsidRDefault="00464F34" w:rsidP="00464F34">
            <w:pPr>
              <w:rPr>
                <w:rStyle w:val="InstructionsTabelleberschrift"/>
                <w:rFonts w:ascii="Times New Roman" w:hAnsi="Times New Roman"/>
                <w:sz w:val="24"/>
              </w:rPr>
            </w:pPr>
            <w:r w:rsidRPr="00D51A68">
              <w:rPr>
                <w:rStyle w:val="InstructionsTabelleberschrift"/>
                <w:rFonts w:ascii="Times New Roman" w:hAnsi="Times New Roman"/>
                <w:sz w:val="24"/>
              </w:rPr>
              <w:t>RISERVA DI CAPITALE ANTICICLICA SPECIFICA DELL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ENTE</w:t>
            </w:r>
          </w:p>
          <w:p w:rsidR="00464F34" w:rsidRPr="00D51A68" w:rsidRDefault="00464F34" w:rsidP="00464F34">
            <w:pPr>
              <w:rPr>
                <w:rStyle w:val="InstructionsTabelleText"/>
                <w:rFonts w:ascii="Times New Roman" w:hAnsi="Times New Roman"/>
                <w:sz w:val="24"/>
              </w:rPr>
            </w:pPr>
            <w:r w:rsidRPr="00D51A68">
              <w:rPr>
                <w:rStyle w:val="InstructionsTabelleText"/>
                <w:rFonts w:ascii="Times New Roman" w:hAnsi="Times New Roman"/>
                <w:sz w:val="24"/>
              </w:rPr>
              <w:t>Articolo 128, primo comma, punto 2, articolo 130 e articoli da 135 a 140 della CRD.</w:t>
            </w:r>
          </w:p>
          <w:p w:rsidR="00464F34" w:rsidRPr="00D51A68" w:rsidRDefault="00464F34" w:rsidP="00FC1A76">
            <w:pPr>
              <w:pStyle w:val="InstructionsText"/>
              <w:rPr>
                <w:rStyle w:val="InstructionsTabelleText"/>
                <w:rFonts w:ascii="Times New Roman" w:hAnsi="Times New Roman"/>
                <w:sz w:val="24"/>
              </w:rPr>
            </w:pPr>
            <w:r w:rsidRPr="00D51A68">
              <w:t>In questa cella è segnalato l</w:t>
            </w:r>
            <w:r w:rsidR="0009277C" w:rsidRPr="00D51A68">
              <w:t>’</w:t>
            </w:r>
            <w:r w:rsidRPr="00D51A68">
              <w:t>importo effettivo della riserva anticiclica.</w:t>
            </w:r>
          </w:p>
        </w:tc>
      </w:tr>
      <w:tr w:rsidR="00464F34" w:rsidRPr="00D51A68" w:rsidTr="00672D2A">
        <w:tc>
          <w:tcPr>
            <w:tcW w:w="1188" w:type="dxa"/>
          </w:tcPr>
          <w:p w:rsidR="00464F34" w:rsidRPr="00D51A68" w:rsidDel="00D70027" w:rsidRDefault="00464F34" w:rsidP="00464F34">
            <w:pPr>
              <w:rPr>
                <w:rStyle w:val="InstructionsTabelleText"/>
                <w:rFonts w:ascii="Times New Roman" w:hAnsi="Times New Roman"/>
                <w:sz w:val="24"/>
              </w:rPr>
            </w:pPr>
            <w:r w:rsidRPr="00D51A68">
              <w:rPr>
                <w:rStyle w:val="InstructionsTabelleText"/>
                <w:rFonts w:ascii="Times New Roman" w:hAnsi="Times New Roman"/>
                <w:sz w:val="24"/>
              </w:rPr>
              <w:t>440</w:t>
            </w:r>
          </w:p>
        </w:tc>
        <w:tc>
          <w:tcPr>
            <w:tcW w:w="8640" w:type="dxa"/>
          </w:tcPr>
          <w:p w:rsidR="00464F34" w:rsidRPr="00D51A68" w:rsidRDefault="00464F34" w:rsidP="00464F34">
            <w:pPr>
              <w:rPr>
                <w:rStyle w:val="InstructionsTabelleberschrift"/>
                <w:rFonts w:ascii="Times New Roman" w:hAnsi="Times New Roman"/>
                <w:sz w:val="24"/>
              </w:rPr>
            </w:pPr>
            <w:r w:rsidRPr="00D51A68">
              <w:rPr>
                <w:rStyle w:val="InstructionsTabelleberschrift"/>
                <w:rFonts w:ascii="Times New Roman" w:hAnsi="Times New Roman"/>
                <w:sz w:val="24"/>
              </w:rPr>
              <w:t>RISERVA DI CONSERVAZIONE DOVUTA AL RISCHIO MACROPRUDENZIALE O SISTEMICO INDIVIDUATO A LIVELLO DI UNO STATO MEMBRO</w:t>
            </w:r>
          </w:p>
          <w:p w:rsidR="00464F34" w:rsidRPr="00D51A68" w:rsidRDefault="00464F34" w:rsidP="00464F34">
            <w:pPr>
              <w:rPr>
                <w:rStyle w:val="InstructionsTabelleberschrift"/>
                <w:rFonts w:ascii="Times New Roman" w:hAnsi="Times New Roman"/>
                <w:b w:val="0"/>
                <w:sz w:val="24"/>
                <w:u w:val="none"/>
              </w:rPr>
            </w:pPr>
            <w:r w:rsidRPr="00D51A68">
              <w:rPr>
                <w:rStyle w:val="InstructionsTabelleberschrift"/>
                <w:rFonts w:ascii="Times New Roman" w:hAnsi="Times New Roman"/>
                <w:b w:val="0"/>
                <w:sz w:val="24"/>
                <w:u w:val="none"/>
              </w:rPr>
              <w:t>Articolo 458, paragrafo 2, lettera d), punto iv), del CRR.</w:t>
            </w:r>
          </w:p>
          <w:p w:rsidR="00464F34" w:rsidRPr="00D51A68" w:rsidRDefault="00464F34" w:rsidP="00FC1A76">
            <w:pPr>
              <w:pStyle w:val="InstructionsText"/>
              <w:rPr>
                <w:rStyle w:val="InstructionsTabelleberschrift"/>
                <w:rFonts w:ascii="Times New Roman" w:hAnsi="Times New Roman"/>
                <w:sz w:val="24"/>
              </w:rPr>
            </w:pPr>
            <w:r w:rsidRPr="00D51A68">
              <w:t>In questa cella è segnalato l</w:t>
            </w:r>
            <w:r w:rsidR="0009277C" w:rsidRPr="00D51A68">
              <w:t>’</w:t>
            </w:r>
            <w:r w:rsidRPr="00D51A68">
              <w:t>importo della riserva di conservazione dovuta al rischio macroprudenziale o sistemico individuato a livello di uno Stato membro che può essere richiesta conformemente all</w:t>
            </w:r>
            <w:r w:rsidR="0009277C" w:rsidRPr="00D51A68">
              <w:t>’</w:t>
            </w:r>
            <w:r w:rsidRPr="00D51A68">
              <w:t>articolo 458 del CRR, in aggiunta alla riserva di conservazione del capitale.</w:t>
            </w:r>
          </w:p>
        </w:tc>
      </w:tr>
      <w:tr w:rsidR="00464F34" w:rsidRPr="00D51A68" w:rsidTr="00672D2A">
        <w:tc>
          <w:tcPr>
            <w:tcW w:w="1188" w:type="dxa"/>
          </w:tcPr>
          <w:p w:rsidR="00464F34" w:rsidRPr="00D51A68" w:rsidRDefault="00464F34" w:rsidP="00464F34">
            <w:pPr>
              <w:rPr>
                <w:rStyle w:val="InstructionsTabelleText"/>
                <w:rFonts w:ascii="Times New Roman" w:hAnsi="Times New Roman"/>
                <w:sz w:val="24"/>
              </w:rPr>
            </w:pPr>
            <w:r w:rsidRPr="00D51A68">
              <w:rPr>
                <w:rStyle w:val="InstructionsTabelleText"/>
                <w:rFonts w:ascii="Times New Roman" w:hAnsi="Times New Roman"/>
                <w:sz w:val="24"/>
              </w:rPr>
              <w:t>450</w:t>
            </w:r>
          </w:p>
        </w:tc>
        <w:tc>
          <w:tcPr>
            <w:tcW w:w="8640" w:type="dxa"/>
          </w:tcPr>
          <w:p w:rsidR="00464F34" w:rsidRPr="00D51A68" w:rsidRDefault="00464F34" w:rsidP="00464F34">
            <w:pPr>
              <w:rPr>
                <w:rStyle w:val="InstructionsTabelleberschrift"/>
                <w:rFonts w:ascii="Times New Roman" w:hAnsi="Times New Roman"/>
                <w:sz w:val="24"/>
              </w:rPr>
            </w:pPr>
            <w:r w:rsidRPr="00D51A68">
              <w:rPr>
                <w:rStyle w:val="InstructionsTabelleberschrift"/>
                <w:rFonts w:ascii="Times New Roman" w:hAnsi="Times New Roman"/>
                <w:sz w:val="24"/>
              </w:rPr>
              <w:t>RISERVA DI CAPITALE A FRONTE DEL RISCHIO SISTEMICO</w:t>
            </w:r>
          </w:p>
          <w:p w:rsidR="00464F34" w:rsidRPr="00D51A68" w:rsidRDefault="00464F34" w:rsidP="00FC1A76">
            <w:pPr>
              <w:pStyle w:val="InstructionsText"/>
            </w:pPr>
            <w:r w:rsidRPr="00D51A68">
              <w:t xml:space="preserve">Articolo 128, primo comma, punto 5, e articoli 133 e 134 della CRD. </w:t>
            </w:r>
          </w:p>
          <w:p w:rsidR="00464F34" w:rsidRPr="00D51A68" w:rsidRDefault="00464F34" w:rsidP="00464F34">
            <w:pPr>
              <w:rPr>
                <w:rStyle w:val="InstructionsTabelleberschrift"/>
                <w:rFonts w:ascii="Times New Roman" w:hAnsi="Times New Roman"/>
                <w:sz w:val="24"/>
              </w:rPr>
            </w:pPr>
            <w:r w:rsidRPr="00D51A68">
              <w:rPr>
                <w:rFonts w:ascii="Times New Roman" w:hAnsi="Times New Roman"/>
                <w:sz w:val="24"/>
              </w:rPr>
              <w:t>In questa cella è segnalato l</w:t>
            </w:r>
            <w:r w:rsidR="0009277C" w:rsidRPr="00D51A68">
              <w:rPr>
                <w:rFonts w:ascii="Times New Roman" w:hAnsi="Times New Roman"/>
                <w:sz w:val="24"/>
              </w:rPr>
              <w:t>’</w:t>
            </w:r>
            <w:r w:rsidRPr="00D51A68">
              <w:rPr>
                <w:rFonts w:ascii="Times New Roman" w:hAnsi="Times New Roman"/>
                <w:sz w:val="24"/>
              </w:rPr>
              <w:t>importo della riserva di capitale a fronte del rischio sistemico.</w:t>
            </w:r>
          </w:p>
        </w:tc>
      </w:tr>
      <w:tr w:rsidR="00464F34" w:rsidRPr="00D51A68" w:rsidTr="00672D2A">
        <w:tc>
          <w:tcPr>
            <w:tcW w:w="1188" w:type="dxa"/>
          </w:tcPr>
          <w:p w:rsidR="00464F34" w:rsidRPr="00D51A68" w:rsidRDefault="00464F34" w:rsidP="00464F34">
            <w:pPr>
              <w:rPr>
                <w:rStyle w:val="InstructionsTabelleText"/>
                <w:rFonts w:ascii="Times New Roman" w:hAnsi="Times New Roman"/>
                <w:sz w:val="24"/>
              </w:rPr>
            </w:pPr>
            <w:r w:rsidRPr="00D51A68">
              <w:rPr>
                <w:rStyle w:val="InstructionsTabelleText"/>
                <w:rFonts w:ascii="Times New Roman" w:hAnsi="Times New Roman"/>
                <w:sz w:val="24"/>
              </w:rPr>
              <w:t>470</w:t>
            </w:r>
          </w:p>
        </w:tc>
        <w:tc>
          <w:tcPr>
            <w:tcW w:w="8640" w:type="dxa"/>
          </w:tcPr>
          <w:p w:rsidR="00464F34" w:rsidRPr="00D51A68" w:rsidRDefault="00464F34" w:rsidP="00464F34">
            <w:pPr>
              <w:tabs>
                <w:tab w:val="left" w:pos="6660"/>
              </w:tabs>
              <w:rPr>
                <w:rStyle w:val="InstructionsTabelleberschrift"/>
                <w:rFonts w:ascii="Times New Roman" w:hAnsi="Times New Roman"/>
                <w:sz w:val="24"/>
              </w:rPr>
            </w:pPr>
            <w:r w:rsidRPr="00D51A68">
              <w:rPr>
                <w:rStyle w:val="InstructionsTabelleberschrift"/>
                <w:rFonts w:ascii="Times New Roman" w:hAnsi="Times New Roman"/>
                <w:sz w:val="24"/>
              </w:rPr>
              <w:t>RISERVA DEGLI ENTI A RILEVANZA SISTEMICA A LIVELLO GLOBALE</w:t>
            </w:r>
            <w:r w:rsidR="00A0772B" w:rsidRPr="00D51A68">
              <w:rPr>
                <w:u w:val="single"/>
              </w:rPr>
              <w:tab/>
            </w:r>
          </w:p>
          <w:p w:rsidR="00464F34" w:rsidRPr="00D51A68" w:rsidRDefault="00464F34" w:rsidP="00FC1A76">
            <w:pPr>
              <w:pStyle w:val="InstructionsText"/>
              <w:rPr>
                <w:rStyle w:val="InstructionsTabelleberschrift"/>
                <w:rFonts w:ascii="Times New Roman" w:hAnsi="Times New Roman"/>
                <w:b w:val="0"/>
                <w:sz w:val="24"/>
                <w:u w:val="none"/>
              </w:rPr>
            </w:pPr>
            <w:r w:rsidRPr="00D51A68">
              <w:rPr>
                <w:rStyle w:val="InstructionsTabelleberschrift"/>
                <w:rFonts w:ascii="Times New Roman" w:hAnsi="Times New Roman"/>
                <w:b w:val="0"/>
                <w:sz w:val="24"/>
                <w:u w:val="none"/>
              </w:rPr>
              <w:t>Articolo 128, primo comma, punto 3, e articolo 131 della CRD.</w:t>
            </w:r>
          </w:p>
          <w:p w:rsidR="00483FC9" w:rsidRPr="00D51A68" w:rsidRDefault="00464F34" w:rsidP="00FC1A76">
            <w:pPr>
              <w:pStyle w:val="InstructionsText"/>
              <w:rPr>
                <w:rStyle w:val="InstructionsTabelleberschrift"/>
                <w:rFonts w:ascii="Times New Roman" w:hAnsi="Times New Roman"/>
                <w:sz w:val="24"/>
              </w:rPr>
            </w:pPr>
            <w:r w:rsidRPr="00D51A68">
              <w:t>In questa cella è segnalato l</w:t>
            </w:r>
            <w:r w:rsidR="0009277C" w:rsidRPr="00D51A68">
              <w:t>’</w:t>
            </w:r>
            <w:r w:rsidRPr="00D51A68">
              <w:t>importo della riserva degli enti a rilevanza sistemica a livello globale.</w:t>
            </w:r>
          </w:p>
        </w:tc>
      </w:tr>
      <w:tr w:rsidR="00464F34" w:rsidRPr="00D51A68" w:rsidTr="00672D2A">
        <w:tc>
          <w:tcPr>
            <w:tcW w:w="1188" w:type="dxa"/>
          </w:tcPr>
          <w:p w:rsidR="00464F34" w:rsidRPr="00D51A68" w:rsidRDefault="00464F34" w:rsidP="00464F34">
            <w:pPr>
              <w:rPr>
                <w:rStyle w:val="InstructionsTabelleText"/>
                <w:rFonts w:ascii="Times New Roman" w:hAnsi="Times New Roman"/>
                <w:sz w:val="24"/>
              </w:rPr>
            </w:pPr>
            <w:r w:rsidRPr="00D51A68">
              <w:rPr>
                <w:rStyle w:val="InstructionsTabelleText"/>
                <w:rFonts w:ascii="Times New Roman" w:hAnsi="Times New Roman"/>
                <w:sz w:val="24"/>
              </w:rPr>
              <w:t>480</w:t>
            </w:r>
          </w:p>
        </w:tc>
        <w:tc>
          <w:tcPr>
            <w:tcW w:w="8640" w:type="dxa"/>
          </w:tcPr>
          <w:p w:rsidR="00464F34" w:rsidRPr="00D51A68" w:rsidRDefault="00464F34" w:rsidP="00464F34">
            <w:pPr>
              <w:tabs>
                <w:tab w:val="left" w:pos="6315"/>
              </w:tabs>
              <w:rPr>
                <w:rStyle w:val="InstructionsTabelleberschrift"/>
                <w:rFonts w:ascii="Times New Roman" w:hAnsi="Times New Roman"/>
                <w:sz w:val="24"/>
              </w:rPr>
            </w:pPr>
            <w:r w:rsidRPr="00D51A68">
              <w:rPr>
                <w:rStyle w:val="InstructionsTabelleberschrift"/>
                <w:rFonts w:ascii="Times New Roman" w:hAnsi="Times New Roman"/>
                <w:sz w:val="24"/>
              </w:rPr>
              <w:t>RISERVA DI ALTRI ENTI A RILEVANZA SISTEMICA</w:t>
            </w:r>
            <w:r w:rsidR="00A0772B" w:rsidRPr="00D51A68">
              <w:rPr>
                <w:u w:val="single"/>
              </w:rPr>
              <w:tab/>
            </w:r>
          </w:p>
          <w:p w:rsidR="00464F34" w:rsidRPr="00D51A68" w:rsidRDefault="00464F34" w:rsidP="00FC1A76">
            <w:pPr>
              <w:pStyle w:val="InstructionsText"/>
            </w:pPr>
            <w:r w:rsidRPr="00D51A68">
              <w:t>Articolo 128, primo comma, punto 4, e articolo 131 della CRD.</w:t>
            </w:r>
          </w:p>
          <w:p w:rsidR="00464F34" w:rsidRPr="00D51A68" w:rsidRDefault="00464F34" w:rsidP="00FC1A76">
            <w:pPr>
              <w:pStyle w:val="InstructionsText"/>
              <w:rPr>
                <w:rStyle w:val="InstructionsTabelleberschrift"/>
                <w:rFonts w:ascii="Times New Roman" w:hAnsi="Times New Roman"/>
                <w:sz w:val="24"/>
              </w:rPr>
            </w:pPr>
            <w:r w:rsidRPr="00D51A68">
              <w:t>In questa cella è segnalato l</w:t>
            </w:r>
            <w:r w:rsidR="0009277C" w:rsidRPr="00D51A68">
              <w:t>’</w:t>
            </w:r>
            <w:r w:rsidRPr="00D51A68">
              <w:t>importo della riserva di altri enti a rilevanza sistemica.</w:t>
            </w:r>
          </w:p>
        </w:tc>
      </w:tr>
    </w:tbl>
    <w:p w:rsidR="00FC1030" w:rsidRPr="00D51A68" w:rsidRDefault="00FC1030" w:rsidP="00FC1A76">
      <w:pPr>
        <w:pStyle w:val="InstructionsText"/>
      </w:pPr>
    </w:p>
    <w:p w:rsidR="00464F34" w:rsidRPr="00D51A68" w:rsidRDefault="00B43C2A" w:rsidP="0023700C">
      <w:pPr>
        <w:pStyle w:val="Instructionsberschrift2"/>
        <w:numPr>
          <w:ilvl w:val="0"/>
          <w:numId w:val="0"/>
        </w:numPr>
        <w:ind w:left="357" w:hanging="357"/>
        <w:rPr>
          <w:rFonts w:ascii="Times New Roman" w:hAnsi="Times New Roman" w:cs="Times New Roman"/>
          <w:sz w:val="24"/>
        </w:rPr>
      </w:pPr>
      <w:bookmarkStart w:id="145" w:name="_Toc310415013"/>
      <w:bookmarkStart w:id="146" w:name="_Toc360188344"/>
      <w:bookmarkStart w:id="147" w:name="_Toc516210628"/>
      <w:bookmarkStart w:id="148" w:name="_Toc473560893"/>
      <w:bookmarkStart w:id="149" w:name="_Toc524096573"/>
      <w:r w:rsidRPr="00D51A68">
        <w:rPr>
          <w:rFonts w:ascii="Times New Roman" w:hAnsi="Times New Roman"/>
          <w:sz w:val="24"/>
          <w:u w:val="none"/>
        </w:rPr>
        <w:t>3.</w:t>
      </w:r>
      <w:r w:rsidR="00A0772B" w:rsidRPr="00D51A68">
        <w:rPr>
          <w:u w:val="none"/>
        </w:rPr>
        <w:tab/>
      </w:r>
      <w:r w:rsidRPr="00D51A68">
        <w:rPr>
          <w:rFonts w:ascii="Times New Roman" w:hAnsi="Times New Roman"/>
          <w:sz w:val="24"/>
        </w:rPr>
        <w:t>Modelli del rischio di credito</w:t>
      </w:r>
      <w:bookmarkEnd w:id="145"/>
      <w:bookmarkEnd w:id="146"/>
      <w:bookmarkEnd w:id="147"/>
      <w:bookmarkEnd w:id="148"/>
      <w:bookmarkEnd w:id="149"/>
    </w:p>
    <w:p w:rsidR="00464F34" w:rsidRPr="00D51A68" w:rsidRDefault="00125707" w:rsidP="0023700C">
      <w:pPr>
        <w:pStyle w:val="Instructionsberschrift2"/>
        <w:numPr>
          <w:ilvl w:val="0"/>
          <w:numId w:val="0"/>
        </w:numPr>
        <w:ind w:left="357" w:hanging="357"/>
        <w:rPr>
          <w:rFonts w:ascii="Times New Roman" w:hAnsi="Times New Roman" w:cs="Times New Roman"/>
          <w:sz w:val="24"/>
        </w:rPr>
      </w:pPr>
      <w:bookmarkStart w:id="150" w:name="_Toc360188345"/>
      <w:bookmarkStart w:id="151" w:name="_Toc516210629"/>
      <w:bookmarkStart w:id="152" w:name="_Toc473560894"/>
      <w:bookmarkStart w:id="153" w:name="_Toc524096574"/>
      <w:bookmarkStart w:id="154" w:name="_Toc262568022"/>
      <w:bookmarkStart w:id="155" w:name="_Toc295829848"/>
      <w:bookmarkStart w:id="156" w:name="_Toc310415014"/>
      <w:r w:rsidRPr="00D51A68">
        <w:rPr>
          <w:rFonts w:ascii="Times New Roman" w:hAnsi="Times New Roman"/>
          <w:sz w:val="24"/>
          <w:u w:val="none"/>
        </w:rPr>
        <w:t>3.1.</w:t>
      </w:r>
      <w:r w:rsidR="00A0772B" w:rsidRPr="00D51A68">
        <w:rPr>
          <w:u w:val="none"/>
        </w:rPr>
        <w:tab/>
      </w:r>
      <w:r w:rsidRPr="00D51A68">
        <w:rPr>
          <w:rFonts w:ascii="Times New Roman" w:hAnsi="Times New Roman"/>
          <w:sz w:val="24"/>
        </w:rPr>
        <w:t>Osservazioni di carattere generale</w:t>
      </w:r>
      <w:bookmarkEnd w:id="150"/>
      <w:bookmarkEnd w:id="151"/>
      <w:bookmarkEnd w:id="152"/>
      <w:bookmarkEnd w:id="153"/>
      <w:r w:rsidRPr="00D51A68">
        <w:rPr>
          <w:rFonts w:ascii="Times New Roman" w:hAnsi="Times New Roman"/>
          <w:sz w:val="24"/>
        </w:rPr>
        <w:t xml:space="preserve"> </w:t>
      </w:r>
      <w:bookmarkEnd w:id="154"/>
      <w:bookmarkEnd w:id="155"/>
      <w:bookmarkEnd w:id="156"/>
    </w:p>
    <w:p w:rsidR="00464F34" w:rsidRPr="00D51A68" w:rsidRDefault="00125707" w:rsidP="00401C06">
      <w:pPr>
        <w:pStyle w:val="InstructionsText2"/>
        <w:numPr>
          <w:ilvl w:val="0"/>
          <w:numId w:val="0"/>
        </w:numPr>
        <w:ind w:left="993"/>
      </w:pPr>
      <w:r w:rsidRPr="00D51A68">
        <w:t>38.</w:t>
      </w:r>
      <w:r w:rsidR="00A0772B" w:rsidRPr="00D51A68">
        <w:tab/>
      </w:r>
      <w:r w:rsidRPr="00D51A68">
        <w:t>Per quanto riguarda il rischio di credito sono previsti gruppi di modelli differenziati per il metodo standardizzato e per il metodo basato sui rating interni (IRB). Si devono inoltre utilizzare modelli distinti in base alla ripartizione geografica delle posizioni soggette al rischio di credito in caso di superamento della soglia applicabile ai sensi dell</w:t>
      </w:r>
      <w:r w:rsidR="0009277C" w:rsidRPr="00D51A68">
        <w:t>’</w:t>
      </w:r>
      <w:r w:rsidRPr="00D51A68">
        <w:t xml:space="preserve">articolo 5, lettera a), punto 4. </w:t>
      </w:r>
    </w:p>
    <w:p w:rsidR="00464F34" w:rsidRPr="00D51A68" w:rsidRDefault="00125707" w:rsidP="0023700C">
      <w:pPr>
        <w:pStyle w:val="Instructionsberschrift2"/>
        <w:numPr>
          <w:ilvl w:val="0"/>
          <w:numId w:val="0"/>
        </w:numPr>
        <w:ind w:left="357" w:hanging="357"/>
        <w:rPr>
          <w:rFonts w:ascii="Times New Roman" w:hAnsi="Times New Roman" w:cs="Times New Roman"/>
          <w:sz w:val="24"/>
        </w:rPr>
      </w:pPr>
      <w:bookmarkStart w:id="157" w:name="_Toc262568023"/>
      <w:bookmarkStart w:id="158" w:name="_Toc295829849"/>
      <w:bookmarkStart w:id="159" w:name="_Toc310415015"/>
      <w:bookmarkStart w:id="160" w:name="_Toc360188346"/>
      <w:bookmarkStart w:id="161" w:name="_Toc516210630"/>
      <w:bookmarkStart w:id="162" w:name="_Toc473560895"/>
      <w:bookmarkStart w:id="163" w:name="_Toc524096575"/>
      <w:r w:rsidRPr="00D51A68">
        <w:rPr>
          <w:rFonts w:ascii="Times New Roman" w:hAnsi="Times New Roman"/>
          <w:sz w:val="24"/>
          <w:u w:val="none"/>
        </w:rPr>
        <w:t>3.1.1.</w:t>
      </w:r>
      <w:r w:rsidR="00A0772B" w:rsidRPr="00D51A68">
        <w:rPr>
          <w:u w:val="none"/>
        </w:rPr>
        <w:tab/>
      </w:r>
      <w:r w:rsidRPr="00D51A68">
        <w:rPr>
          <w:rFonts w:ascii="Times New Roman" w:hAnsi="Times New Roman"/>
          <w:sz w:val="24"/>
        </w:rPr>
        <w:t>Segnalazione delle tecniche di attenuazione del rischio di credito con effetto di sostituzione</w:t>
      </w:r>
      <w:bookmarkEnd w:id="157"/>
      <w:bookmarkEnd w:id="158"/>
      <w:bookmarkEnd w:id="159"/>
      <w:bookmarkEnd w:id="160"/>
      <w:bookmarkEnd w:id="161"/>
      <w:bookmarkEnd w:id="162"/>
      <w:bookmarkEnd w:id="163"/>
    </w:p>
    <w:p w:rsidR="00464F34" w:rsidRPr="00D51A68" w:rsidRDefault="00125707" w:rsidP="00401C06">
      <w:pPr>
        <w:pStyle w:val="InstructionsText2"/>
        <w:numPr>
          <w:ilvl w:val="0"/>
          <w:numId w:val="0"/>
        </w:numPr>
        <w:ind w:left="993"/>
      </w:pPr>
      <w:r w:rsidRPr="00D51A68">
        <w:t>39.</w:t>
      </w:r>
      <w:r w:rsidR="00A0772B" w:rsidRPr="00D51A68">
        <w:tab/>
      </w:r>
      <w:r w:rsidRPr="00D51A68">
        <w:t>L</w:t>
      </w:r>
      <w:r w:rsidR="0009277C" w:rsidRPr="00D51A68">
        <w:t>’</w:t>
      </w:r>
      <w:r w:rsidRPr="00D51A68">
        <w:t>articolo 235 del CRR descrive la procedura per calcolare l</w:t>
      </w:r>
      <w:r w:rsidR="0009277C" w:rsidRPr="00D51A68">
        <w:t>’</w:t>
      </w:r>
      <w:r w:rsidRPr="00D51A68">
        <w:t>esposizione pienamente garantita da una protezione di tipo personale.</w:t>
      </w:r>
    </w:p>
    <w:p w:rsidR="00464F34" w:rsidRPr="00D51A68" w:rsidRDefault="00125707" w:rsidP="00401C06">
      <w:pPr>
        <w:pStyle w:val="InstructionsText2"/>
        <w:numPr>
          <w:ilvl w:val="0"/>
          <w:numId w:val="0"/>
        </w:numPr>
        <w:ind w:left="993"/>
      </w:pPr>
      <w:r w:rsidRPr="00D51A68">
        <w:lastRenderedPageBreak/>
        <w:t>40.</w:t>
      </w:r>
      <w:r w:rsidR="00A0772B" w:rsidRPr="00D51A68">
        <w:tab/>
      </w:r>
      <w:r w:rsidRPr="00D51A68">
        <w:t>L</w:t>
      </w:r>
      <w:r w:rsidR="0009277C" w:rsidRPr="00D51A68">
        <w:t>’</w:t>
      </w:r>
      <w:r w:rsidRPr="00D51A68">
        <w:t>articolo 236 del CRR descrive la procedura per calcolare l</w:t>
      </w:r>
      <w:r w:rsidR="0009277C" w:rsidRPr="00D51A68">
        <w:t>’</w:t>
      </w:r>
      <w:r w:rsidRPr="00D51A68">
        <w:t>esposizione pienamente garantita da una protezione di tipo personale in caso di protezione completa/protezione parziale — stesso rango (seniority).</w:t>
      </w:r>
    </w:p>
    <w:p w:rsidR="00464F34" w:rsidRPr="00D51A68" w:rsidRDefault="00125707" w:rsidP="00401C06">
      <w:pPr>
        <w:pStyle w:val="InstructionsText2"/>
        <w:numPr>
          <w:ilvl w:val="0"/>
          <w:numId w:val="0"/>
        </w:numPr>
        <w:ind w:left="993"/>
      </w:pPr>
      <w:r w:rsidRPr="00D51A68">
        <w:t>41.</w:t>
      </w:r>
      <w:r w:rsidR="00A0772B" w:rsidRPr="00D51A68">
        <w:tab/>
      </w:r>
      <w:r w:rsidRPr="00D51A68">
        <w:t>Gli articoli 196, 197 e 200 del CRR disciplinano la protezione del credito di tipo reale.</w:t>
      </w:r>
    </w:p>
    <w:p w:rsidR="00464F34" w:rsidRPr="00D51A68" w:rsidRDefault="00125707" w:rsidP="00401C06">
      <w:pPr>
        <w:pStyle w:val="InstructionsText2"/>
        <w:numPr>
          <w:ilvl w:val="0"/>
          <w:numId w:val="0"/>
        </w:numPr>
        <w:ind w:left="993"/>
      </w:pPr>
      <w:r w:rsidRPr="00D51A68">
        <w:t>42.</w:t>
      </w:r>
      <w:r w:rsidR="00A0772B" w:rsidRPr="00D51A68">
        <w:tab/>
      </w:r>
      <w:r w:rsidRPr="00D51A68">
        <w:t>Le esposizioni verso debitori (controparti dirette) e verso fornitori di protezioni assegnati alla stessa classe di esposizioni sono segnalate sia come flusso che come deflusso relativamente alla stessa classe di esposizioni.</w:t>
      </w:r>
    </w:p>
    <w:p w:rsidR="00464F34" w:rsidRPr="00D51A68" w:rsidRDefault="00125707" w:rsidP="00401C06">
      <w:pPr>
        <w:pStyle w:val="InstructionsText2"/>
        <w:numPr>
          <w:ilvl w:val="0"/>
          <w:numId w:val="0"/>
        </w:numPr>
        <w:ind w:left="993"/>
      </w:pPr>
      <w:r w:rsidRPr="00D51A68">
        <w:t>43.</w:t>
      </w:r>
      <w:r w:rsidR="00A0772B" w:rsidRPr="00D51A68">
        <w:tab/>
      </w:r>
      <w:r w:rsidRPr="00D51A68">
        <w:t>Il tipo di esposizione non cambia per effetto della protezione del credito di tipo personale.</w:t>
      </w:r>
    </w:p>
    <w:p w:rsidR="00464F34" w:rsidRPr="00D51A68" w:rsidRDefault="00125707" w:rsidP="00401C06">
      <w:pPr>
        <w:pStyle w:val="InstructionsText2"/>
        <w:numPr>
          <w:ilvl w:val="0"/>
          <w:numId w:val="0"/>
        </w:numPr>
        <w:ind w:left="993"/>
      </w:pPr>
      <w:r w:rsidRPr="00D51A68">
        <w:t>44.</w:t>
      </w:r>
      <w:r w:rsidR="00A0772B" w:rsidRPr="00D51A68">
        <w:tab/>
      </w:r>
      <w:r w:rsidRPr="00D51A68">
        <w:t>Se un</w:t>
      </w:r>
      <w:r w:rsidR="0009277C" w:rsidRPr="00D51A68">
        <w:t>’</w:t>
      </w:r>
      <w:r w:rsidRPr="00D51A68">
        <w:t>esposizione è garantita da una protezione del credito di tipo personale, la parte garantita è assegnata, ad esempio, come deflusso nella classe di esposizioni del debitore e come afflusso nella classe di esposizioni del fornitore della protezione. Tuttavia, il tipo di esposizione non cambia al variare della classe di esposizioni.</w:t>
      </w:r>
    </w:p>
    <w:p w:rsidR="00464F34" w:rsidRPr="00D51A68" w:rsidRDefault="00125707" w:rsidP="00401C06">
      <w:pPr>
        <w:pStyle w:val="InstructionsText2"/>
        <w:numPr>
          <w:ilvl w:val="0"/>
          <w:numId w:val="0"/>
        </w:numPr>
        <w:ind w:left="993"/>
      </w:pPr>
      <w:r w:rsidRPr="00D51A68">
        <w:t>45.</w:t>
      </w:r>
      <w:r w:rsidR="00A0772B" w:rsidRPr="00D51A68">
        <w:tab/>
      </w:r>
      <w:r w:rsidRPr="00D51A68">
        <w:t>L</w:t>
      </w:r>
      <w:r w:rsidR="0009277C" w:rsidRPr="00D51A68">
        <w:t>’</w:t>
      </w:r>
      <w:r w:rsidRPr="00D51A68">
        <w:t>effetto di sostituzione nel quadro di segnalazione COREP tiene conto del trattamento della ponderazione del rischio effettivamente applicabile alla parte garantita dell</w:t>
      </w:r>
      <w:r w:rsidR="0009277C" w:rsidRPr="00D51A68">
        <w:t>’</w:t>
      </w:r>
      <w:r w:rsidRPr="00D51A68">
        <w:t>esposizione. Pertanto, la parte garantita dell</w:t>
      </w:r>
      <w:r w:rsidR="0009277C" w:rsidRPr="00D51A68">
        <w:t>’</w:t>
      </w:r>
      <w:r w:rsidRPr="00D51A68">
        <w:t xml:space="preserve">esposizione è ponderata per il rischio secondo il metodo standardizzato ed è segnalata nel modello CR SA. </w:t>
      </w:r>
    </w:p>
    <w:p w:rsidR="00464F34" w:rsidRPr="00D51A68" w:rsidRDefault="00125707" w:rsidP="0023700C">
      <w:pPr>
        <w:pStyle w:val="Instructionsberschrift2"/>
        <w:numPr>
          <w:ilvl w:val="0"/>
          <w:numId w:val="0"/>
        </w:numPr>
        <w:ind w:left="357" w:hanging="357"/>
        <w:rPr>
          <w:rFonts w:ascii="Times New Roman" w:hAnsi="Times New Roman" w:cs="Times New Roman"/>
          <w:sz w:val="24"/>
        </w:rPr>
      </w:pPr>
      <w:bookmarkStart w:id="164" w:name="_Toc262568024"/>
      <w:bookmarkStart w:id="165" w:name="_Toc295829850"/>
      <w:bookmarkStart w:id="166" w:name="_Toc310415016"/>
      <w:bookmarkStart w:id="167" w:name="_Toc360188347"/>
      <w:bookmarkStart w:id="168" w:name="_Toc516210631"/>
      <w:bookmarkStart w:id="169" w:name="_Toc473560896"/>
      <w:bookmarkStart w:id="170" w:name="_Toc524096576"/>
      <w:r w:rsidRPr="00D51A68">
        <w:rPr>
          <w:rFonts w:ascii="Times New Roman" w:hAnsi="Times New Roman"/>
          <w:sz w:val="24"/>
          <w:u w:val="none"/>
        </w:rPr>
        <w:t>3.1.2.</w:t>
      </w:r>
      <w:r w:rsidR="00A0772B" w:rsidRPr="00D51A68">
        <w:rPr>
          <w:u w:val="none"/>
        </w:rPr>
        <w:tab/>
      </w:r>
      <w:r w:rsidRPr="00D51A68">
        <w:rPr>
          <w:rFonts w:ascii="Times New Roman" w:hAnsi="Times New Roman"/>
          <w:sz w:val="24"/>
        </w:rPr>
        <w:t>Segnalazione del rischio di controparte</w:t>
      </w:r>
      <w:bookmarkEnd w:id="164"/>
      <w:bookmarkEnd w:id="165"/>
      <w:bookmarkEnd w:id="166"/>
      <w:bookmarkEnd w:id="167"/>
      <w:bookmarkEnd w:id="168"/>
      <w:bookmarkEnd w:id="169"/>
      <w:bookmarkEnd w:id="170"/>
    </w:p>
    <w:p w:rsidR="00464F34" w:rsidRPr="00D51A68" w:rsidRDefault="00125707" w:rsidP="00401C06">
      <w:pPr>
        <w:pStyle w:val="InstructionsText2"/>
        <w:numPr>
          <w:ilvl w:val="0"/>
          <w:numId w:val="0"/>
        </w:numPr>
        <w:ind w:left="993"/>
      </w:pPr>
      <w:r w:rsidRPr="00D51A68">
        <w:t>46.</w:t>
      </w:r>
      <w:r w:rsidR="00A0772B" w:rsidRPr="00D51A68">
        <w:tab/>
      </w:r>
      <w:r w:rsidRPr="00D51A68">
        <w:t xml:space="preserve">Le esposizioni che derivano dalle posizioni su rischio di controparte sono segnalate nei modelli CR SA o CR IRB, indipendentemente dal fatto che siano elementi del portafoglio bancario o del portafoglio di negoziazione. </w:t>
      </w:r>
    </w:p>
    <w:p w:rsidR="00464F34" w:rsidRPr="00D51A68" w:rsidRDefault="00125707" w:rsidP="0023700C">
      <w:pPr>
        <w:pStyle w:val="Instructionsberschrift2"/>
        <w:numPr>
          <w:ilvl w:val="0"/>
          <w:numId w:val="0"/>
        </w:numPr>
        <w:ind w:left="357" w:hanging="357"/>
        <w:rPr>
          <w:rFonts w:ascii="Times New Roman" w:hAnsi="Times New Roman" w:cs="Times New Roman"/>
          <w:sz w:val="24"/>
        </w:rPr>
      </w:pPr>
      <w:bookmarkStart w:id="171" w:name="_Toc292456202"/>
      <w:bookmarkStart w:id="172" w:name="_Toc295829851"/>
      <w:bookmarkStart w:id="173" w:name="_Toc310415017"/>
      <w:bookmarkStart w:id="174" w:name="_Toc360188348"/>
      <w:bookmarkStart w:id="175" w:name="_Toc516210632"/>
      <w:bookmarkStart w:id="176" w:name="_Toc473560897"/>
      <w:bookmarkStart w:id="177" w:name="_Toc524096577"/>
      <w:r w:rsidRPr="00D51A68">
        <w:rPr>
          <w:rFonts w:ascii="Times New Roman" w:hAnsi="Times New Roman"/>
          <w:sz w:val="24"/>
          <w:u w:val="none"/>
        </w:rPr>
        <w:t>3.2.</w:t>
      </w:r>
      <w:r w:rsidR="00A0772B" w:rsidRPr="00D51A68">
        <w:rPr>
          <w:u w:val="none"/>
        </w:rPr>
        <w:tab/>
      </w:r>
      <w:r w:rsidRPr="00D51A68">
        <w:rPr>
          <w:rFonts w:ascii="Times New Roman" w:hAnsi="Times New Roman"/>
          <w:sz w:val="24"/>
        </w:rPr>
        <w:t xml:space="preserve">C 07.00 — Rischio di credito e rischio di controparte e operazioni con regolamento non contestuale: metodo standardizzato applicato ai requisiti patrimoniali </w:t>
      </w:r>
      <w:bookmarkEnd w:id="171"/>
      <w:bookmarkEnd w:id="172"/>
      <w:bookmarkEnd w:id="173"/>
      <w:bookmarkEnd w:id="174"/>
      <w:r w:rsidRPr="00D51A68">
        <w:rPr>
          <w:rFonts w:ascii="Times New Roman" w:hAnsi="Times New Roman"/>
          <w:sz w:val="24"/>
        </w:rPr>
        <w:t>(CR SA)</w:t>
      </w:r>
      <w:bookmarkEnd w:id="175"/>
      <w:bookmarkEnd w:id="176"/>
      <w:bookmarkEnd w:id="177"/>
    </w:p>
    <w:p w:rsidR="00464F34" w:rsidRPr="00D51A68" w:rsidRDefault="00125707" w:rsidP="0023700C">
      <w:pPr>
        <w:pStyle w:val="Instructionsberschrift2"/>
        <w:numPr>
          <w:ilvl w:val="0"/>
          <w:numId w:val="0"/>
        </w:numPr>
        <w:ind w:left="357" w:hanging="357"/>
        <w:rPr>
          <w:rFonts w:ascii="Times New Roman" w:hAnsi="Times New Roman" w:cs="Times New Roman"/>
          <w:sz w:val="24"/>
        </w:rPr>
      </w:pPr>
      <w:bookmarkStart w:id="178" w:name="_Toc262568026"/>
      <w:bookmarkStart w:id="179" w:name="_Toc264038424"/>
      <w:bookmarkStart w:id="180" w:name="_Toc292456203"/>
      <w:bookmarkStart w:id="181" w:name="_Toc295829852"/>
      <w:bookmarkStart w:id="182" w:name="_Toc310415018"/>
      <w:bookmarkStart w:id="183" w:name="_Toc360188349"/>
      <w:bookmarkStart w:id="184" w:name="_Toc516210633"/>
      <w:bookmarkStart w:id="185" w:name="_Toc473560898"/>
      <w:bookmarkStart w:id="186" w:name="_Toc524096578"/>
      <w:r w:rsidRPr="00D51A68">
        <w:rPr>
          <w:rFonts w:ascii="Times New Roman" w:hAnsi="Times New Roman"/>
          <w:sz w:val="24"/>
          <w:u w:val="none"/>
        </w:rPr>
        <w:t>3.2.1.</w:t>
      </w:r>
      <w:r w:rsidR="00A0772B" w:rsidRPr="00D51A68">
        <w:rPr>
          <w:u w:val="none"/>
        </w:rPr>
        <w:tab/>
      </w:r>
      <w:r w:rsidRPr="00D51A68">
        <w:rPr>
          <w:rFonts w:ascii="Times New Roman" w:hAnsi="Times New Roman"/>
          <w:sz w:val="24"/>
        </w:rPr>
        <w:t>Osservazioni di carattere generale</w:t>
      </w:r>
      <w:bookmarkEnd w:id="178"/>
      <w:bookmarkEnd w:id="179"/>
      <w:bookmarkEnd w:id="180"/>
      <w:bookmarkEnd w:id="181"/>
      <w:bookmarkEnd w:id="182"/>
      <w:bookmarkEnd w:id="183"/>
      <w:bookmarkEnd w:id="184"/>
      <w:bookmarkEnd w:id="185"/>
      <w:bookmarkEnd w:id="186"/>
    </w:p>
    <w:p w:rsidR="00464F34" w:rsidRPr="00D51A68" w:rsidRDefault="00125707" w:rsidP="00401C06">
      <w:pPr>
        <w:pStyle w:val="InstructionsText2"/>
        <w:numPr>
          <w:ilvl w:val="0"/>
          <w:numId w:val="0"/>
        </w:numPr>
        <w:ind w:left="993"/>
      </w:pPr>
      <w:r w:rsidRPr="00D51A68">
        <w:t>47.</w:t>
      </w:r>
      <w:r w:rsidR="00A0772B" w:rsidRPr="00D51A68">
        <w:tab/>
      </w:r>
      <w:r w:rsidRPr="00D51A68">
        <w:t>I modelli CR SA contengono le informazioni necessarie per calcolare i requisiti di fondi propri relativi al rischio di credito secondo il metodo standardizzato. In particolare, forniscono informazioni dettagliate:</w:t>
      </w:r>
    </w:p>
    <w:p w:rsidR="00464F34" w:rsidRPr="00D51A68" w:rsidRDefault="00125707" w:rsidP="00401C06">
      <w:pPr>
        <w:pStyle w:val="InstructionsText2"/>
        <w:numPr>
          <w:ilvl w:val="0"/>
          <w:numId w:val="0"/>
        </w:numPr>
        <w:ind w:left="993"/>
      </w:pPr>
      <w:r w:rsidRPr="00D51A68">
        <w:t>a)</w:t>
      </w:r>
      <w:r w:rsidR="00A0772B" w:rsidRPr="00D51A68">
        <w:tab/>
      </w:r>
      <w:r w:rsidRPr="00D51A68">
        <w:t>sulla distribuzione dei valori dell</w:t>
      </w:r>
      <w:r w:rsidR="0009277C" w:rsidRPr="00D51A68">
        <w:t>’</w:t>
      </w:r>
      <w:r w:rsidRPr="00D51A68">
        <w:t>esposizione in base ai differenti tipi di esposizioni, ai fattori di ponderazione del rischio e alle classi di esposizioni;</w:t>
      </w:r>
    </w:p>
    <w:p w:rsidR="00464F34" w:rsidRPr="00D51A68" w:rsidRDefault="00125707" w:rsidP="00401C06">
      <w:pPr>
        <w:pStyle w:val="InstructionsText2"/>
        <w:numPr>
          <w:ilvl w:val="0"/>
          <w:numId w:val="0"/>
        </w:numPr>
        <w:ind w:left="993"/>
      </w:pPr>
      <w:r w:rsidRPr="00D51A68">
        <w:t>b)</w:t>
      </w:r>
      <w:r w:rsidR="00A0772B" w:rsidRPr="00D51A68">
        <w:tab/>
      </w:r>
      <w:r w:rsidRPr="00D51A68">
        <w:t>sull</w:t>
      </w:r>
      <w:r w:rsidR="0009277C" w:rsidRPr="00D51A68">
        <w:t>’</w:t>
      </w:r>
      <w:r w:rsidRPr="00D51A68">
        <w:t xml:space="preserve">importo e il tipo di tecniche di attenuazione del rischio utilizzate per ridurre i rischi. </w:t>
      </w:r>
    </w:p>
    <w:p w:rsidR="00464F34" w:rsidRPr="00D51A68" w:rsidRDefault="00125707" w:rsidP="0023700C">
      <w:pPr>
        <w:pStyle w:val="Instructionsberschrift2"/>
        <w:numPr>
          <w:ilvl w:val="0"/>
          <w:numId w:val="0"/>
        </w:numPr>
        <w:ind w:left="357" w:hanging="357"/>
        <w:rPr>
          <w:rFonts w:ascii="Times New Roman" w:hAnsi="Times New Roman" w:cs="Times New Roman"/>
          <w:sz w:val="24"/>
        </w:rPr>
      </w:pPr>
      <w:bookmarkStart w:id="187" w:name="_Toc262568027"/>
      <w:bookmarkStart w:id="188" w:name="_Toc264038425"/>
      <w:bookmarkStart w:id="189" w:name="_Toc292456204"/>
      <w:bookmarkStart w:id="190" w:name="_Toc295829853"/>
      <w:bookmarkStart w:id="191" w:name="_Toc310415019"/>
      <w:bookmarkStart w:id="192" w:name="_Toc360188350"/>
      <w:bookmarkStart w:id="193" w:name="_Toc516210634"/>
      <w:bookmarkStart w:id="194" w:name="_Toc473560899"/>
      <w:bookmarkStart w:id="195" w:name="_Toc524096579"/>
      <w:r w:rsidRPr="00D51A68">
        <w:rPr>
          <w:rFonts w:ascii="Times New Roman" w:hAnsi="Times New Roman"/>
          <w:sz w:val="24"/>
          <w:u w:val="none"/>
        </w:rPr>
        <w:t>3.2.2.</w:t>
      </w:r>
      <w:r w:rsidR="00A0772B" w:rsidRPr="00D51A68">
        <w:rPr>
          <w:u w:val="none"/>
        </w:rPr>
        <w:tab/>
      </w:r>
      <w:r w:rsidRPr="00D51A68">
        <w:rPr>
          <w:rFonts w:ascii="Times New Roman" w:hAnsi="Times New Roman"/>
          <w:sz w:val="24"/>
        </w:rPr>
        <w:t>Ambito di applicazione del modello CR SA</w:t>
      </w:r>
      <w:bookmarkEnd w:id="187"/>
      <w:bookmarkEnd w:id="188"/>
      <w:bookmarkEnd w:id="189"/>
      <w:bookmarkEnd w:id="190"/>
      <w:bookmarkEnd w:id="191"/>
      <w:bookmarkEnd w:id="192"/>
      <w:bookmarkEnd w:id="193"/>
      <w:bookmarkEnd w:id="194"/>
      <w:bookmarkEnd w:id="195"/>
    </w:p>
    <w:p w:rsidR="00464F34" w:rsidRPr="00D51A68" w:rsidRDefault="00125707" w:rsidP="00401C06">
      <w:pPr>
        <w:pStyle w:val="InstructionsText2"/>
        <w:numPr>
          <w:ilvl w:val="0"/>
          <w:numId w:val="0"/>
        </w:numPr>
        <w:ind w:left="993"/>
      </w:pPr>
      <w:r w:rsidRPr="00D51A68">
        <w:t>48.</w:t>
      </w:r>
      <w:r w:rsidR="00A0772B" w:rsidRPr="00D51A68">
        <w:tab/>
      </w:r>
      <w:r w:rsidRPr="00D51A68">
        <w:t>Ai sensi dell</w:t>
      </w:r>
      <w:r w:rsidR="0009277C" w:rsidRPr="00D51A68">
        <w:t>’</w:t>
      </w:r>
      <w:r w:rsidRPr="00D51A68">
        <w:t>articolo 112 del CRR, per calcolare i requisiti di fondi propri ciascuna esposizione in base al metodo standardizzato è assegnata a una delle sedici classi di esposizioni secondo il metodo standardizzato.</w:t>
      </w:r>
    </w:p>
    <w:p w:rsidR="00464F34" w:rsidRPr="00D51A68" w:rsidRDefault="00125707" w:rsidP="00401C06">
      <w:pPr>
        <w:pStyle w:val="InstructionsText2"/>
        <w:numPr>
          <w:ilvl w:val="0"/>
          <w:numId w:val="0"/>
        </w:numPr>
        <w:ind w:left="993"/>
      </w:pPr>
      <w:r w:rsidRPr="00D51A68">
        <w:lastRenderedPageBreak/>
        <w:t>49.</w:t>
      </w:r>
      <w:r w:rsidR="00A0772B" w:rsidRPr="00D51A68">
        <w:tab/>
      </w:r>
      <w:r w:rsidRPr="00D51A68">
        <w:t xml:space="preserve">Le informazioni contenute nel modello CR SA sono richieste sia per le classi di esposizioni complessive sia singolarmente per ciascuna delle classi di esposizioni come definite ai fini del metodo standardizzato. Gli importi complessivi e le informazioni di ciascuna classe di esposizioni sono segnalati in una dimensione separata. </w:t>
      </w:r>
    </w:p>
    <w:p w:rsidR="00464F34" w:rsidRPr="00D51A68" w:rsidRDefault="00125707" w:rsidP="00401C06">
      <w:pPr>
        <w:pStyle w:val="InstructionsText2"/>
        <w:numPr>
          <w:ilvl w:val="0"/>
          <w:numId w:val="0"/>
        </w:numPr>
        <w:ind w:left="993"/>
      </w:pPr>
      <w:r w:rsidRPr="00D51A68">
        <w:t>50.</w:t>
      </w:r>
      <w:r w:rsidR="00A0772B" w:rsidRPr="00D51A68">
        <w:tab/>
      </w:r>
      <w:r w:rsidRPr="00D51A68">
        <w:t>Non rientrano, tuttavia, nell</w:t>
      </w:r>
      <w:r w:rsidR="0009277C" w:rsidRPr="00D51A68">
        <w:t>’</w:t>
      </w:r>
      <w:r w:rsidRPr="00D51A68">
        <w:t>ambito di applicazione del modello CR SA i seguenti elementi:</w:t>
      </w:r>
    </w:p>
    <w:p w:rsidR="00464F34" w:rsidRPr="00D51A68" w:rsidRDefault="00125707" w:rsidP="00401C06">
      <w:pPr>
        <w:pStyle w:val="InstructionsText2"/>
        <w:numPr>
          <w:ilvl w:val="0"/>
          <w:numId w:val="0"/>
        </w:numPr>
        <w:ind w:left="993"/>
      </w:pPr>
      <w:r w:rsidRPr="00D51A68">
        <w:t>a)</w:t>
      </w:r>
      <w:r w:rsidR="00A0772B" w:rsidRPr="00D51A68">
        <w:tab/>
      </w:r>
      <w:r w:rsidRPr="00D51A68">
        <w:t xml:space="preserve">le esposizioni assegnate alla classe di esposizioni </w:t>
      </w:r>
      <w:r w:rsidR="0009277C" w:rsidRPr="00D51A68">
        <w:t>“</w:t>
      </w:r>
      <w:r w:rsidRPr="00D51A68">
        <w:t>elementi che rappresentano posizioni verso la cartolarizzazione</w:t>
      </w:r>
      <w:r w:rsidR="0009277C" w:rsidRPr="00D51A68">
        <w:t>”</w:t>
      </w:r>
      <w:r w:rsidRPr="00D51A68">
        <w:t xml:space="preserve"> ai sensi dell</w:t>
      </w:r>
      <w:r w:rsidR="0009277C" w:rsidRPr="00D51A68">
        <w:t>’</w:t>
      </w:r>
      <w:r w:rsidRPr="00D51A68">
        <w:t>articolo 112, lettera m), del CRR, che sono segnalate nei modelli CR SEC;</w:t>
      </w:r>
    </w:p>
    <w:p w:rsidR="00464F34" w:rsidRPr="00D51A68" w:rsidRDefault="00125707" w:rsidP="00401C06">
      <w:pPr>
        <w:pStyle w:val="InstructionsText2"/>
        <w:numPr>
          <w:ilvl w:val="0"/>
          <w:numId w:val="0"/>
        </w:numPr>
        <w:ind w:left="993"/>
      </w:pPr>
      <w:r w:rsidRPr="00D51A68">
        <w:t>b)</w:t>
      </w:r>
      <w:r w:rsidR="00A0772B" w:rsidRPr="00D51A68">
        <w:tab/>
      </w:r>
      <w:r w:rsidRPr="00D51A68">
        <w:t>le esposizioni dedotte dai fondi propri.</w:t>
      </w:r>
    </w:p>
    <w:p w:rsidR="00464F34" w:rsidRPr="00D51A68" w:rsidRDefault="00125707" w:rsidP="00401C06">
      <w:pPr>
        <w:pStyle w:val="InstructionsText2"/>
        <w:numPr>
          <w:ilvl w:val="0"/>
          <w:numId w:val="0"/>
        </w:numPr>
        <w:ind w:left="993"/>
      </w:pPr>
      <w:r w:rsidRPr="00D51A68">
        <w:t>51.</w:t>
      </w:r>
      <w:r w:rsidR="00A0772B" w:rsidRPr="00D51A68">
        <w:tab/>
      </w:r>
      <w:r w:rsidRPr="00D51A68">
        <w:t>L</w:t>
      </w:r>
      <w:r w:rsidR="0009277C" w:rsidRPr="00D51A68">
        <w:t>’</w:t>
      </w:r>
      <w:r w:rsidRPr="00D51A68">
        <w:t>ambito di applicazione del modello CR SA comprende i seguenti requisiti di fondi propri:</w:t>
      </w:r>
    </w:p>
    <w:p w:rsidR="00464F34" w:rsidRPr="00D51A68" w:rsidRDefault="00125707" w:rsidP="00401C06">
      <w:pPr>
        <w:pStyle w:val="InstructionsText2"/>
        <w:numPr>
          <w:ilvl w:val="0"/>
          <w:numId w:val="0"/>
        </w:numPr>
        <w:ind w:left="993"/>
      </w:pPr>
      <w:r w:rsidRPr="00D51A68">
        <w:t>a)</w:t>
      </w:r>
      <w:r w:rsidR="00A0772B" w:rsidRPr="00D51A68">
        <w:tab/>
      </w:r>
      <w:r w:rsidRPr="00D51A68">
        <w:t>il rischio di credito, conformemente alla parte tre, titolo II, capo 2 (Metodo standardizzato), del CRR, nel portafoglio bancario; è incluso, tra l</w:t>
      </w:r>
      <w:r w:rsidR="0009277C" w:rsidRPr="00D51A68">
        <w:t>’</w:t>
      </w:r>
      <w:r w:rsidRPr="00D51A68">
        <w:t>altro, il rischio di controparte, conformemente alla parte tre, titolo II, capo 6 (Rischio di controparte), del CRR, nel portafoglio bancario;</w:t>
      </w:r>
    </w:p>
    <w:p w:rsidR="00464F34" w:rsidRPr="00D51A68" w:rsidRDefault="00125707" w:rsidP="00401C06">
      <w:pPr>
        <w:pStyle w:val="InstructionsText2"/>
        <w:numPr>
          <w:ilvl w:val="0"/>
          <w:numId w:val="0"/>
        </w:numPr>
        <w:ind w:left="993"/>
      </w:pPr>
      <w:r w:rsidRPr="00D51A68">
        <w:t>b)</w:t>
      </w:r>
      <w:r w:rsidR="00A0772B" w:rsidRPr="00D51A68">
        <w:tab/>
      </w:r>
      <w:r w:rsidRPr="00D51A68">
        <w:t>il rischio di controparte, conformemente alla parte tre, titolo II, capo 6 (Rischio di controparte), del CRR, nel portafoglio di negoziazione;</w:t>
      </w:r>
    </w:p>
    <w:p w:rsidR="00464F34" w:rsidRPr="00D51A68" w:rsidRDefault="00125707" w:rsidP="00401C06">
      <w:pPr>
        <w:pStyle w:val="InstructionsText2"/>
        <w:numPr>
          <w:ilvl w:val="0"/>
          <w:numId w:val="0"/>
        </w:numPr>
        <w:ind w:left="993"/>
      </w:pPr>
      <w:r w:rsidRPr="00D51A68">
        <w:t>c)</w:t>
      </w:r>
      <w:r w:rsidR="00A0772B" w:rsidRPr="00D51A68">
        <w:tab/>
      </w:r>
      <w:r w:rsidRPr="00D51A68">
        <w:t>il rischio di regolamento correlato alle operazioni con regolamento non contestuale, conformemente all</w:t>
      </w:r>
      <w:r w:rsidR="0009277C" w:rsidRPr="00D51A68">
        <w:t>’</w:t>
      </w:r>
      <w:r w:rsidRPr="00D51A68">
        <w:t>articolo 379 del CRR, per tutte le attività aziendali.</w:t>
      </w:r>
    </w:p>
    <w:p w:rsidR="00464F34" w:rsidRPr="00D51A68" w:rsidRDefault="00125707" w:rsidP="00401C06">
      <w:pPr>
        <w:pStyle w:val="InstructionsText2"/>
        <w:numPr>
          <w:ilvl w:val="0"/>
          <w:numId w:val="0"/>
        </w:numPr>
        <w:ind w:left="993"/>
      </w:pPr>
      <w:r w:rsidRPr="00D51A68">
        <w:t>52.</w:t>
      </w:r>
      <w:r w:rsidR="00A0772B" w:rsidRPr="00D51A68">
        <w:tab/>
      </w:r>
      <w:r w:rsidRPr="00D51A68">
        <w:t>Il modello vale per tutte le esposizioni per le quali i requisiti di fondi propri sono calcolati conformemente alla parte tre, titolo II, capo 2, del CRR in combinato disposto con la parte tre, titolo II, capi 4 e 6, del CRR. Anche gli enti che applicano l</w:t>
      </w:r>
      <w:r w:rsidR="0009277C" w:rsidRPr="00D51A68">
        <w:t>’</w:t>
      </w:r>
      <w:r w:rsidRPr="00D51A68">
        <w:t>articolo 94, paragrafo 1, del CRR devono segnalare in questo modello le proprie posizioni assegnate al portafoglio di negoziazione se calcolano i relativi requisiti di fondi propri conformemente alla parte tre, titolo II, capo 2, del CRR (parte tre, titolo II, capi 2 e 6, e titolo V del CRR). Il modello fornisce, quindi, non solo informazioni dettagliate sul tipo di esposizione (ad esempio elementi in/fuori bilancio), ma anche informazioni sull</w:t>
      </w:r>
      <w:r w:rsidR="0009277C" w:rsidRPr="00D51A68">
        <w:t>’</w:t>
      </w:r>
      <w:r w:rsidRPr="00D51A68">
        <w:t>assegnazione dei fattori di ponderazione del rischio nell</w:t>
      </w:r>
      <w:r w:rsidR="0009277C" w:rsidRPr="00D51A68">
        <w:t>’</w:t>
      </w:r>
      <w:r w:rsidRPr="00D51A68">
        <w:t>ambito della rispettiva classe di esposizioni.</w:t>
      </w:r>
    </w:p>
    <w:p w:rsidR="00464F34" w:rsidRPr="00D51A68" w:rsidRDefault="00125707" w:rsidP="00401C06">
      <w:pPr>
        <w:pStyle w:val="InstructionsText2"/>
        <w:numPr>
          <w:ilvl w:val="0"/>
          <w:numId w:val="0"/>
        </w:numPr>
        <w:ind w:left="993"/>
      </w:pPr>
      <w:bookmarkStart w:id="196" w:name="_Toc264033212"/>
      <w:bookmarkStart w:id="197" w:name="_Toc294166813"/>
      <w:bookmarkStart w:id="198" w:name="_Toc294256386"/>
      <w:bookmarkStart w:id="199" w:name="_Toc294256487"/>
      <w:bookmarkStart w:id="200" w:name="_Toc294267371"/>
      <w:bookmarkStart w:id="201" w:name="_Toc294267476"/>
      <w:bookmarkStart w:id="202" w:name="_Toc294267607"/>
      <w:bookmarkStart w:id="203" w:name="_Toc294267709"/>
      <w:bookmarkStart w:id="204" w:name="_Toc294274817"/>
      <w:bookmarkStart w:id="205" w:name="_Toc294280261"/>
      <w:bookmarkStart w:id="206" w:name="_Toc294281586"/>
      <w:bookmarkStart w:id="207" w:name="_Toc294281806"/>
      <w:bookmarkStart w:id="208" w:name="_Toc294282020"/>
      <w:bookmarkStart w:id="209" w:name="_Toc294282223"/>
      <w:bookmarkStart w:id="210" w:name="_Toc294714158"/>
      <w:bookmarkStart w:id="211" w:name="_Toc295314184"/>
      <w:bookmarkStart w:id="212" w:name="_Toc295829573"/>
      <w:bookmarkStart w:id="213" w:name="_Toc295829856"/>
      <w:bookmarkStart w:id="214" w:name="_Toc301772744"/>
      <w:bookmarkStart w:id="215" w:name="_Toc301772822"/>
      <w:bookmarkStart w:id="216" w:name="_Toc302657761"/>
      <w:bookmarkStart w:id="217" w:name="_Toc302657880"/>
      <w:bookmarkStart w:id="218" w:name="_Toc307582992"/>
      <w:bookmarkStart w:id="219" w:name="_Toc307583014"/>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r w:rsidRPr="00D51A68">
        <w:t>53.</w:t>
      </w:r>
      <w:r w:rsidR="00A0772B" w:rsidRPr="00D51A68">
        <w:tab/>
      </w:r>
      <w:r w:rsidRPr="00D51A68">
        <w:t xml:space="preserve">Il modello CR SA contiene altresì voci per memoria, nelle righe da 290 a 320, per raccogliere ulteriori informazioni relativamente alle esposizioni garantite da ipoteche su beni immobili e alle esposizioni in stato di default. </w:t>
      </w:r>
    </w:p>
    <w:p w:rsidR="00464F34" w:rsidRPr="00D51A68" w:rsidRDefault="00125707" w:rsidP="00401C06">
      <w:pPr>
        <w:pStyle w:val="InstructionsText2"/>
        <w:numPr>
          <w:ilvl w:val="0"/>
          <w:numId w:val="0"/>
        </w:numPr>
        <w:ind w:left="993"/>
      </w:pPr>
      <w:r w:rsidRPr="00D51A68">
        <w:t>54.</w:t>
      </w:r>
      <w:r w:rsidR="00A0772B" w:rsidRPr="00D51A68">
        <w:tab/>
      </w:r>
      <w:r w:rsidRPr="00D51A68">
        <w:t xml:space="preserve">Queste voci per memoria sono compilate solamente per le seguenti classi di esposizioni: </w:t>
      </w:r>
    </w:p>
    <w:p w:rsidR="00464F34" w:rsidRPr="00D51A68" w:rsidRDefault="00125707" w:rsidP="00401C06">
      <w:pPr>
        <w:pStyle w:val="InstructionsText2"/>
        <w:numPr>
          <w:ilvl w:val="0"/>
          <w:numId w:val="0"/>
        </w:numPr>
        <w:ind w:left="993"/>
      </w:pPr>
      <w:r w:rsidRPr="00D51A68">
        <w:t>a)</w:t>
      </w:r>
      <w:r w:rsidR="00A0772B" w:rsidRPr="00D51A68">
        <w:tab/>
      </w:r>
      <w:r w:rsidRPr="00D51A68">
        <w:t>verso amministrazioni centrali o banche centrali (articolo 112, lettera a), del CRR);</w:t>
      </w:r>
    </w:p>
    <w:p w:rsidR="00464F34" w:rsidRPr="00D51A68" w:rsidRDefault="00125707" w:rsidP="00401C06">
      <w:pPr>
        <w:pStyle w:val="InstructionsText2"/>
        <w:numPr>
          <w:ilvl w:val="0"/>
          <w:numId w:val="0"/>
        </w:numPr>
        <w:ind w:left="993"/>
      </w:pPr>
      <w:r w:rsidRPr="00D51A68">
        <w:t>b)</w:t>
      </w:r>
      <w:r w:rsidR="00A0772B" w:rsidRPr="00D51A68">
        <w:tab/>
      </w:r>
      <w:r w:rsidRPr="00D51A68">
        <w:t>verso amministrazioni regionali o autorità locali (articolo 112, lettera b), del CRR);</w:t>
      </w:r>
    </w:p>
    <w:p w:rsidR="00464F34" w:rsidRPr="00D51A68" w:rsidRDefault="00125707" w:rsidP="00401C06">
      <w:pPr>
        <w:pStyle w:val="InstructionsText2"/>
        <w:numPr>
          <w:ilvl w:val="0"/>
          <w:numId w:val="0"/>
        </w:numPr>
        <w:ind w:left="993"/>
      </w:pPr>
      <w:r w:rsidRPr="00D51A68">
        <w:lastRenderedPageBreak/>
        <w:t>c)</w:t>
      </w:r>
      <w:r w:rsidR="00A0772B" w:rsidRPr="00D51A68">
        <w:tab/>
      </w:r>
      <w:r w:rsidRPr="00D51A68">
        <w:t>verso organismi del settore pubblico (articolo 112, lettera c), del CRR);</w:t>
      </w:r>
    </w:p>
    <w:p w:rsidR="00464F34" w:rsidRPr="00D51A68" w:rsidRDefault="00125707" w:rsidP="00401C06">
      <w:pPr>
        <w:pStyle w:val="InstructionsText2"/>
        <w:numPr>
          <w:ilvl w:val="0"/>
          <w:numId w:val="0"/>
        </w:numPr>
        <w:ind w:left="993"/>
      </w:pPr>
      <w:r w:rsidRPr="00D51A68">
        <w:t>d)</w:t>
      </w:r>
      <w:r w:rsidR="00A0772B" w:rsidRPr="00D51A68">
        <w:tab/>
      </w:r>
      <w:r w:rsidRPr="00D51A68">
        <w:t>verso enti (articolo 112, lettera f), del CRR);</w:t>
      </w:r>
    </w:p>
    <w:p w:rsidR="00464F34" w:rsidRPr="00D51A68" w:rsidRDefault="00125707" w:rsidP="00401C06">
      <w:pPr>
        <w:pStyle w:val="InstructionsText2"/>
        <w:numPr>
          <w:ilvl w:val="0"/>
          <w:numId w:val="0"/>
        </w:numPr>
        <w:ind w:left="993"/>
      </w:pPr>
      <w:r w:rsidRPr="00D51A68">
        <w:t>e)</w:t>
      </w:r>
      <w:r w:rsidR="00A0772B" w:rsidRPr="00D51A68">
        <w:tab/>
      </w:r>
      <w:r w:rsidRPr="00D51A68">
        <w:t>verso imprese (articolo 112, lettera g), del CRR);</w:t>
      </w:r>
    </w:p>
    <w:p w:rsidR="00464F34" w:rsidRPr="00D51A68" w:rsidRDefault="00125707" w:rsidP="00401C06">
      <w:pPr>
        <w:pStyle w:val="InstructionsText2"/>
        <w:numPr>
          <w:ilvl w:val="0"/>
          <w:numId w:val="0"/>
        </w:numPr>
        <w:ind w:left="993"/>
      </w:pPr>
      <w:r w:rsidRPr="00D51A68">
        <w:t>f)</w:t>
      </w:r>
      <w:r w:rsidR="00A0772B" w:rsidRPr="00D51A68">
        <w:tab/>
      </w:r>
      <w:r w:rsidRPr="00D51A68">
        <w:t>al dettaglio (articolo 112, lettera h), del CRR).</w:t>
      </w:r>
    </w:p>
    <w:p w:rsidR="00464F34" w:rsidRPr="00D51A68" w:rsidRDefault="00125707" w:rsidP="00401C06">
      <w:pPr>
        <w:pStyle w:val="InstructionsText2"/>
        <w:numPr>
          <w:ilvl w:val="0"/>
          <w:numId w:val="0"/>
        </w:numPr>
        <w:ind w:left="993"/>
      </w:pPr>
      <w:r w:rsidRPr="00D51A68">
        <w:t>55.</w:t>
      </w:r>
      <w:r w:rsidR="00A0772B" w:rsidRPr="00D51A68">
        <w:tab/>
      </w:r>
      <w:r w:rsidRPr="00D51A68">
        <w:t>La segnalazione delle voci per memoria non ha effetti sul calcolo degli importi delle esposizioni ponderati per il rischio delle classi di esposizioni di cui all</w:t>
      </w:r>
      <w:r w:rsidR="0009277C" w:rsidRPr="00D51A68">
        <w:t>’</w:t>
      </w:r>
      <w:r w:rsidR="00401C06" w:rsidRPr="00D51A68">
        <w:t>articolo </w:t>
      </w:r>
      <w:r w:rsidRPr="00D51A68">
        <w:t>112, lettere da a) a c) e da f) ad h), del CRR, né delle classi di esposizioni di cui all</w:t>
      </w:r>
      <w:r w:rsidR="0009277C" w:rsidRPr="00D51A68">
        <w:t>’</w:t>
      </w:r>
      <w:r w:rsidRPr="00D51A68">
        <w:t>articolo 112, lettere i) e j), d</w:t>
      </w:r>
      <w:r w:rsidR="00401C06" w:rsidRPr="00D51A68">
        <w:t>el CRR segnalate nel modello CR </w:t>
      </w:r>
      <w:r w:rsidRPr="00D51A68">
        <w:t xml:space="preserve">SA. </w:t>
      </w:r>
    </w:p>
    <w:p w:rsidR="00464F34" w:rsidRPr="00D51A68" w:rsidRDefault="00125707" w:rsidP="00401C06">
      <w:pPr>
        <w:pStyle w:val="InstructionsText2"/>
        <w:numPr>
          <w:ilvl w:val="0"/>
          <w:numId w:val="0"/>
        </w:numPr>
        <w:ind w:left="993"/>
      </w:pPr>
      <w:r w:rsidRPr="00D51A68">
        <w:t>56.</w:t>
      </w:r>
      <w:r w:rsidR="00A0772B" w:rsidRPr="00D51A68">
        <w:tab/>
      </w:r>
      <w:r w:rsidRPr="00D51A68">
        <w:t xml:space="preserve">Le righe per memoria forniscono ulteriori informazioni sulla struttura del debitore delle classi di esposizioni </w:t>
      </w:r>
      <w:r w:rsidR="0009277C" w:rsidRPr="00D51A68">
        <w:t>“</w:t>
      </w:r>
      <w:r w:rsidRPr="00D51A68">
        <w:t>in stato di default</w:t>
      </w:r>
      <w:r w:rsidR="0009277C" w:rsidRPr="00D51A68">
        <w:t>”</w:t>
      </w:r>
      <w:r w:rsidRPr="00D51A68">
        <w:t xml:space="preserve"> o </w:t>
      </w:r>
      <w:r w:rsidR="0009277C" w:rsidRPr="00D51A68">
        <w:t>“</w:t>
      </w:r>
      <w:r w:rsidRPr="00D51A68">
        <w:t>garantite da beni immobili</w:t>
      </w:r>
      <w:r w:rsidR="0009277C" w:rsidRPr="00D51A68">
        <w:t>”</w:t>
      </w:r>
      <w:r w:rsidRPr="00D51A68">
        <w:t xml:space="preserve">. Le esposizioni sono segnalate in queste righe laddove i debitori sarebbero altrimenti stati segnalati nelle classi di esposizioni verso </w:t>
      </w:r>
      <w:r w:rsidR="0009277C" w:rsidRPr="00D51A68">
        <w:t>“</w:t>
      </w:r>
      <w:r w:rsidRPr="00D51A68">
        <w:t>amministrazioni centrali o banche centrali</w:t>
      </w:r>
      <w:r w:rsidR="0009277C" w:rsidRPr="00D51A68">
        <w:t>”</w:t>
      </w:r>
      <w:r w:rsidRPr="00D51A68">
        <w:t xml:space="preserve">, </w:t>
      </w:r>
      <w:r w:rsidR="0009277C" w:rsidRPr="00D51A68">
        <w:t>“</w:t>
      </w:r>
      <w:r w:rsidRPr="00D51A68">
        <w:t>amministrazioni regionali o autorità locali</w:t>
      </w:r>
      <w:r w:rsidR="0009277C" w:rsidRPr="00D51A68">
        <w:t>”</w:t>
      </w:r>
      <w:r w:rsidRPr="00D51A68">
        <w:t xml:space="preserve">, </w:t>
      </w:r>
      <w:r w:rsidR="0009277C" w:rsidRPr="00D51A68">
        <w:t>“</w:t>
      </w:r>
      <w:r w:rsidRPr="00D51A68">
        <w:t>organismi del settore pubblico</w:t>
      </w:r>
      <w:r w:rsidR="0009277C" w:rsidRPr="00D51A68">
        <w:t>”</w:t>
      </w:r>
      <w:r w:rsidRPr="00D51A68">
        <w:t xml:space="preserve">, </w:t>
      </w:r>
      <w:r w:rsidR="0009277C" w:rsidRPr="00D51A68">
        <w:t>“</w:t>
      </w:r>
      <w:r w:rsidRPr="00D51A68">
        <w:t>enti</w:t>
      </w:r>
      <w:r w:rsidR="0009277C" w:rsidRPr="00D51A68">
        <w:t>”</w:t>
      </w:r>
      <w:r w:rsidRPr="00D51A68">
        <w:t xml:space="preserve">, </w:t>
      </w:r>
      <w:r w:rsidR="0009277C" w:rsidRPr="00D51A68">
        <w:t>“</w:t>
      </w:r>
      <w:r w:rsidRPr="00D51A68">
        <w:t>imprese</w:t>
      </w:r>
      <w:r w:rsidR="0009277C" w:rsidRPr="00D51A68">
        <w:t>”</w:t>
      </w:r>
      <w:r w:rsidRPr="00D51A68">
        <w:t xml:space="preserve"> e </w:t>
      </w:r>
      <w:r w:rsidR="0009277C" w:rsidRPr="00D51A68">
        <w:t>“</w:t>
      </w:r>
      <w:r w:rsidRPr="00D51A68">
        <w:t>al dettaglio</w:t>
      </w:r>
      <w:r w:rsidR="0009277C" w:rsidRPr="00D51A68">
        <w:t>”</w:t>
      </w:r>
      <w:r w:rsidRPr="00D51A68">
        <w:t xml:space="preserve"> del modello CR SA, se tali esposizioni non fossero state assegnate alle classi di esposizioni </w:t>
      </w:r>
      <w:r w:rsidR="0009277C" w:rsidRPr="00D51A68">
        <w:t>“</w:t>
      </w:r>
      <w:r w:rsidRPr="00D51A68">
        <w:t>in stato di default</w:t>
      </w:r>
      <w:r w:rsidR="0009277C" w:rsidRPr="00D51A68">
        <w:t>”</w:t>
      </w:r>
      <w:r w:rsidRPr="00D51A68">
        <w:t xml:space="preserve"> o </w:t>
      </w:r>
      <w:r w:rsidR="0009277C" w:rsidRPr="00D51A68">
        <w:t>“</w:t>
      </w:r>
      <w:r w:rsidRPr="00D51A68">
        <w:t>garantite da beni immobili</w:t>
      </w:r>
      <w:r w:rsidR="0009277C" w:rsidRPr="00D51A68">
        <w:t>”</w:t>
      </w:r>
      <w:r w:rsidRPr="00D51A68">
        <w:t xml:space="preserve">. Tuttavia, i dati segnalati sono gli stessi utilizzati per calcolare gli importi delle esposizioni ponderati per il rischio nelle classi di esposizioni </w:t>
      </w:r>
      <w:r w:rsidR="0009277C" w:rsidRPr="00D51A68">
        <w:t>“</w:t>
      </w:r>
      <w:r w:rsidRPr="00D51A68">
        <w:t>in stato di default</w:t>
      </w:r>
      <w:r w:rsidR="0009277C" w:rsidRPr="00D51A68">
        <w:t>”</w:t>
      </w:r>
      <w:r w:rsidRPr="00D51A68">
        <w:t xml:space="preserve"> o </w:t>
      </w:r>
      <w:r w:rsidR="0009277C" w:rsidRPr="00D51A68">
        <w:t>“</w:t>
      </w:r>
      <w:r w:rsidRPr="00D51A68">
        <w:t>garantite da beni immobili</w:t>
      </w:r>
      <w:r w:rsidR="0009277C" w:rsidRPr="00D51A68">
        <w:t>”</w:t>
      </w:r>
      <w:r w:rsidRPr="00D51A68">
        <w:t>.</w:t>
      </w:r>
    </w:p>
    <w:p w:rsidR="00464F34" w:rsidRPr="00D51A68" w:rsidRDefault="00125707" w:rsidP="00401C06">
      <w:pPr>
        <w:pStyle w:val="InstructionsText2"/>
        <w:numPr>
          <w:ilvl w:val="0"/>
          <w:numId w:val="0"/>
        </w:numPr>
        <w:ind w:left="993"/>
      </w:pPr>
      <w:r w:rsidRPr="00D51A68">
        <w:t>57.</w:t>
      </w:r>
      <w:r w:rsidR="00A0772B" w:rsidRPr="00D51A68">
        <w:tab/>
      </w:r>
      <w:r w:rsidRPr="00D51A68">
        <w:t>Ad esempio, nel caso di un</w:t>
      </w:r>
      <w:r w:rsidR="0009277C" w:rsidRPr="00D51A68">
        <w:t>’</w:t>
      </w:r>
      <w:r w:rsidRPr="00D51A68">
        <w:t>esposizione con importi delle esposizioni al rischio calcolati conformemente all</w:t>
      </w:r>
      <w:r w:rsidR="0009277C" w:rsidRPr="00D51A68">
        <w:t>’</w:t>
      </w:r>
      <w:r w:rsidRPr="00D51A68">
        <w:t>articolo 127 del CRR e re</w:t>
      </w:r>
      <w:r w:rsidR="00401C06" w:rsidRPr="00D51A68">
        <w:t>ttifiche di valore inferiori al </w:t>
      </w:r>
      <w:r w:rsidRPr="00D51A68">
        <w:t>20</w:t>
      </w:r>
      <w:r w:rsidR="0009277C" w:rsidRPr="00D51A68">
        <w:t>%</w:t>
      </w:r>
      <w:r w:rsidRPr="00D51A68">
        <w:t xml:space="preserve">, queste informazioni sono segnalate come totale alla riga 320 del modello CR SA e nella classe di esposizioni </w:t>
      </w:r>
      <w:r w:rsidR="0009277C" w:rsidRPr="00D51A68">
        <w:t>“</w:t>
      </w:r>
      <w:r w:rsidRPr="00D51A68">
        <w:t>in stato di default</w:t>
      </w:r>
      <w:r w:rsidR="0009277C" w:rsidRPr="00D51A68">
        <w:t>”</w:t>
      </w:r>
      <w:r w:rsidRPr="00D51A68">
        <w:t xml:space="preserve">. Se la stessa esposizione, prima dello stato di default, era verso un ente, tale informazione è riportata anche nella riga 320 della classe di esposizioni </w:t>
      </w:r>
      <w:r w:rsidR="0009277C" w:rsidRPr="00D51A68">
        <w:t>“</w:t>
      </w:r>
      <w:r w:rsidRPr="00D51A68">
        <w:t>enti</w:t>
      </w:r>
      <w:r w:rsidR="0009277C" w:rsidRPr="00D51A68">
        <w:t>”</w:t>
      </w:r>
      <w:r w:rsidRPr="00D51A68">
        <w:t>.</w:t>
      </w:r>
    </w:p>
    <w:p w:rsidR="00464F34" w:rsidRPr="00D51A68" w:rsidRDefault="00125707" w:rsidP="0023700C">
      <w:pPr>
        <w:pStyle w:val="Instructionsberschrift2"/>
        <w:numPr>
          <w:ilvl w:val="0"/>
          <w:numId w:val="0"/>
        </w:numPr>
        <w:ind w:left="357" w:hanging="357"/>
        <w:rPr>
          <w:rFonts w:ascii="Times New Roman" w:hAnsi="Times New Roman" w:cs="Times New Roman"/>
          <w:sz w:val="24"/>
        </w:rPr>
      </w:pPr>
      <w:bookmarkStart w:id="220" w:name="_Toc262568030"/>
      <w:bookmarkStart w:id="221" w:name="_Toc264038428"/>
      <w:bookmarkStart w:id="222" w:name="_Toc292456207"/>
      <w:bookmarkStart w:id="223" w:name="_Toc295829858"/>
      <w:bookmarkStart w:id="224" w:name="_Toc516210635"/>
      <w:bookmarkStart w:id="225" w:name="_Toc524096580"/>
      <w:r w:rsidRPr="00D51A68">
        <w:rPr>
          <w:rFonts w:ascii="Times New Roman" w:hAnsi="Times New Roman"/>
          <w:sz w:val="24"/>
          <w:u w:val="none"/>
        </w:rPr>
        <w:t>3.2.3.</w:t>
      </w:r>
      <w:r w:rsidR="00A0772B" w:rsidRPr="00D51A68">
        <w:rPr>
          <w:u w:val="none"/>
        </w:rPr>
        <w:tab/>
      </w:r>
      <w:bookmarkStart w:id="226" w:name="_Toc310415022"/>
      <w:bookmarkStart w:id="227" w:name="_Toc360188351"/>
      <w:bookmarkStart w:id="228" w:name="_Toc473560900"/>
      <w:r w:rsidRPr="00D51A68">
        <w:rPr>
          <w:rFonts w:ascii="Times New Roman" w:hAnsi="Times New Roman"/>
          <w:sz w:val="24"/>
        </w:rPr>
        <w:t>Assegnazione di esposizioni alle classi di esposizioni secondo il metodo standardizzato</w:t>
      </w:r>
      <w:bookmarkEnd w:id="220"/>
      <w:bookmarkEnd w:id="221"/>
      <w:bookmarkEnd w:id="222"/>
      <w:bookmarkEnd w:id="223"/>
      <w:bookmarkEnd w:id="224"/>
      <w:bookmarkEnd w:id="226"/>
      <w:bookmarkEnd w:id="227"/>
      <w:bookmarkEnd w:id="228"/>
      <w:bookmarkEnd w:id="225"/>
    </w:p>
    <w:p w:rsidR="00464F34" w:rsidRPr="00D51A68" w:rsidRDefault="00125707" w:rsidP="00401C06">
      <w:pPr>
        <w:pStyle w:val="InstructionsText2"/>
        <w:numPr>
          <w:ilvl w:val="0"/>
          <w:numId w:val="0"/>
        </w:numPr>
        <w:ind w:left="993"/>
      </w:pPr>
      <w:r w:rsidRPr="00D51A68">
        <w:t>58.</w:t>
      </w:r>
      <w:r w:rsidR="00A0772B" w:rsidRPr="00D51A68">
        <w:tab/>
      </w:r>
      <w:r w:rsidRPr="00D51A68">
        <w:t>Per garantire un</w:t>
      </w:r>
      <w:r w:rsidR="0009277C" w:rsidRPr="00D51A68">
        <w:t>’</w:t>
      </w:r>
      <w:r w:rsidRPr="00D51A68">
        <w:t>assegnazione uniforme delle esposizioni alle differenti classi di esposizioni stabilite dall</w:t>
      </w:r>
      <w:r w:rsidR="0009277C" w:rsidRPr="00D51A68">
        <w:t>’</w:t>
      </w:r>
      <w:r w:rsidRPr="00D51A68">
        <w:t xml:space="preserve">articolo 112 del CRR, si applica il metodo sequenziale illustrato di seguito: </w:t>
      </w:r>
    </w:p>
    <w:p w:rsidR="00464F34" w:rsidRPr="00D51A68" w:rsidRDefault="00125707" w:rsidP="00401C06">
      <w:pPr>
        <w:pStyle w:val="InstructionsText2"/>
        <w:numPr>
          <w:ilvl w:val="0"/>
          <w:numId w:val="0"/>
        </w:numPr>
        <w:ind w:left="993"/>
      </w:pPr>
      <w:r w:rsidRPr="00D51A68">
        <w:t>a)</w:t>
      </w:r>
      <w:r w:rsidR="00A0772B" w:rsidRPr="00D51A68">
        <w:tab/>
      </w:r>
      <w:r w:rsidRPr="00D51A68">
        <w:t>in una prima fase l</w:t>
      </w:r>
      <w:r w:rsidR="0009277C" w:rsidRPr="00D51A68">
        <w:t>’</w:t>
      </w:r>
      <w:r w:rsidRPr="00D51A68">
        <w:t>esposizione originaria prima dell</w:t>
      </w:r>
      <w:r w:rsidR="0009277C" w:rsidRPr="00D51A68">
        <w:t>’</w:t>
      </w:r>
      <w:r w:rsidRPr="00D51A68">
        <w:t>applicazione dei fattori di conversione è classificata nella classe di esposizioni corrispondente (originaria) citata nell</w:t>
      </w:r>
      <w:r w:rsidR="0009277C" w:rsidRPr="00D51A68">
        <w:t>’</w:t>
      </w:r>
      <w:r w:rsidRPr="00D51A68">
        <w:t>articolo 112 del CRR, fatto salvo il trattamento specifico (ponderazione del rischio) che ciascuna esposizione specifica riceve nella classe di esposizioni alla quale è stata assegnata;</w:t>
      </w:r>
    </w:p>
    <w:p w:rsidR="00464F34" w:rsidRPr="00D51A68" w:rsidRDefault="00125707" w:rsidP="00401C06">
      <w:pPr>
        <w:pStyle w:val="InstructionsText2"/>
        <w:numPr>
          <w:ilvl w:val="0"/>
          <w:numId w:val="0"/>
        </w:numPr>
        <w:ind w:left="993"/>
      </w:pPr>
      <w:r w:rsidRPr="00D51A68">
        <w:t>b)</w:t>
      </w:r>
      <w:r w:rsidR="00A0772B" w:rsidRPr="00D51A68">
        <w:tab/>
      </w:r>
      <w:r w:rsidRPr="00D51A68">
        <w:t>in una seconda fase le esposizioni possono essere riassegnate ad altre classi di esposizioni a seguito dell</w:t>
      </w:r>
      <w:r w:rsidR="0009277C" w:rsidRPr="00D51A68">
        <w:t>’</w:t>
      </w:r>
      <w:r w:rsidRPr="00D51A68">
        <w:t>applicazione di tecniche di attenuazione del rischio di credito (credit risk mitigation, CRM), con effetti di sostituzione sull</w:t>
      </w:r>
      <w:r w:rsidR="0009277C" w:rsidRPr="00D51A68">
        <w:t>’</w:t>
      </w:r>
      <w:r w:rsidRPr="00D51A68">
        <w:t>esposizione (ad esempio garanzie, derivati su crediti, metodo semplificato per il trattamento delle garanzie reali finanziarie) mediante afflussi e deflussi.</w:t>
      </w:r>
    </w:p>
    <w:p w:rsidR="00464F34" w:rsidRPr="00D51A68" w:rsidRDefault="00125707" w:rsidP="00401C06">
      <w:pPr>
        <w:pStyle w:val="InstructionsText2"/>
        <w:numPr>
          <w:ilvl w:val="0"/>
          <w:numId w:val="0"/>
        </w:numPr>
        <w:ind w:left="993"/>
      </w:pPr>
      <w:r w:rsidRPr="00D51A68">
        <w:lastRenderedPageBreak/>
        <w:t>59.</w:t>
      </w:r>
      <w:r w:rsidR="00A0772B" w:rsidRPr="00D51A68">
        <w:tab/>
      </w:r>
      <w:r w:rsidRPr="00D51A68">
        <w:t>Alla classificazione dell</w:t>
      </w:r>
      <w:r w:rsidR="0009277C" w:rsidRPr="00D51A68">
        <w:t>’</w:t>
      </w:r>
      <w:r w:rsidRPr="00D51A68">
        <w:t>esposizione originaria prima dell</w:t>
      </w:r>
      <w:r w:rsidR="0009277C" w:rsidRPr="00D51A68">
        <w:t>’</w:t>
      </w:r>
      <w:r w:rsidRPr="00D51A68">
        <w:t>applicazione dei fattori di conversione nelle differenti classi di esposizioni (prima fase) si applicano i criteri indicati di seguito, fatta salva la successiva riassegnazione dovuta all</w:t>
      </w:r>
      <w:r w:rsidR="0009277C" w:rsidRPr="00D51A68">
        <w:t>’</w:t>
      </w:r>
      <w:r w:rsidRPr="00D51A68">
        <w:t>applicazione di tecniche di attenuazione del rischio di credito con effetti di sostituzione sull</w:t>
      </w:r>
      <w:r w:rsidR="0009277C" w:rsidRPr="00D51A68">
        <w:t>’</w:t>
      </w:r>
      <w:r w:rsidRPr="00D51A68">
        <w:t>esposizione o fatto salvo il trattamento (ponderazione del rischio) che ciascuna esposizione riceve nella classe di esposizioni alla quale è stata assegnata.</w:t>
      </w:r>
    </w:p>
    <w:p w:rsidR="00464F34" w:rsidRPr="00D51A68" w:rsidRDefault="00125707" w:rsidP="00401C06">
      <w:pPr>
        <w:pStyle w:val="InstructionsText2"/>
        <w:numPr>
          <w:ilvl w:val="0"/>
          <w:numId w:val="0"/>
        </w:numPr>
        <w:ind w:left="993"/>
      </w:pPr>
      <w:r w:rsidRPr="00D51A68">
        <w:t>60.</w:t>
      </w:r>
      <w:r w:rsidR="00A0772B" w:rsidRPr="00D51A68">
        <w:tab/>
      </w:r>
      <w:r w:rsidRPr="00D51A68">
        <w:t>Ai fini della classificazione dell</w:t>
      </w:r>
      <w:r w:rsidR="0009277C" w:rsidRPr="00D51A68">
        <w:t>’</w:t>
      </w:r>
      <w:r w:rsidRPr="00D51A68">
        <w:t>esposizione originaria prima dell</w:t>
      </w:r>
      <w:r w:rsidR="0009277C" w:rsidRPr="00D51A68">
        <w:t>’</w:t>
      </w:r>
      <w:r w:rsidRPr="00D51A68">
        <w:t>applicazione del fattore di conversione nella prima fase non si tiene conto delle tecniche di attenuazione del rischio di credito associate all</w:t>
      </w:r>
      <w:r w:rsidR="0009277C" w:rsidRPr="00D51A68">
        <w:t>’</w:t>
      </w:r>
      <w:r w:rsidRPr="00D51A68">
        <w:t>esposizione (si rileva che tali tecniche sono prese in considerazione esplicitamente nella seconda fase), a meno che un effetto di protezione non costituisca un elemento intrinseco della definizione di una classe di esposizioni, come nel caso della classe di cui all</w:t>
      </w:r>
      <w:r w:rsidR="0009277C" w:rsidRPr="00D51A68">
        <w:t>’</w:t>
      </w:r>
      <w:r w:rsidRPr="00D51A68">
        <w:t>articolo 112, lettera i), del CRR (esposizioni garantite da ipoteche su beni immobili).</w:t>
      </w:r>
    </w:p>
    <w:p w:rsidR="00464F34" w:rsidRPr="00D51A68" w:rsidRDefault="00125707" w:rsidP="00401C06">
      <w:pPr>
        <w:pStyle w:val="InstructionsText2"/>
        <w:numPr>
          <w:ilvl w:val="0"/>
          <w:numId w:val="0"/>
        </w:numPr>
        <w:ind w:left="993"/>
      </w:pPr>
      <w:r w:rsidRPr="00D51A68">
        <w:t>61.</w:t>
      </w:r>
      <w:r w:rsidR="00A0772B" w:rsidRPr="00D51A68">
        <w:tab/>
      </w:r>
      <w:r w:rsidRPr="00D51A68">
        <w:t>L</w:t>
      </w:r>
      <w:r w:rsidR="0009277C" w:rsidRPr="00D51A68">
        <w:t>’</w:t>
      </w:r>
      <w:r w:rsidRPr="00D51A68">
        <w:t>articolo 112 del CRR non stabilisce criteri per la separazione delle classi di esposizioni, con la possibile conseguenza che, in assenza di indicazioni sulla priorità dei criteri di valutazione da applicare ai fini della classificazione, un</w:t>
      </w:r>
      <w:r w:rsidR="0009277C" w:rsidRPr="00D51A68">
        <w:t>’</w:t>
      </w:r>
      <w:r w:rsidRPr="00D51A68">
        <w:t>esposizione può potenzialmente essere classificata in classi di esposizioni diverse. Il caso più evidente si pone tra le esposizioni verso enti e imprese con una valutazione del merito di credito a breve termine (articolo 112, lettera n), del CRR) e le esposizioni verso enti (articolo 112, lettera f), del CRR)/esposizioni verso imprese (articolo 112, lettera g), del CRR). Al riguardo è chiaro che il CRR fornisce un</w:t>
      </w:r>
      <w:r w:rsidR="0009277C" w:rsidRPr="00D51A68">
        <w:t>’</w:t>
      </w:r>
      <w:r w:rsidRPr="00D51A68">
        <w:t>implicita indicazione delle priorità, poiché si valuterà dapprima se una data esposizione può essere assegnata alle esposizioni a breve termine verso enti e imprese, e soltanto dopo si effettuerà la stessa valutazione per le esposizioni verso enti e per le esposizioni verso imprese. È ovvio che, altrimenti, nessuna esposizione potrà mai essere assegnata alla classe di esposizioni citata nell</w:t>
      </w:r>
      <w:r w:rsidR="0009277C" w:rsidRPr="00D51A68">
        <w:t>’</w:t>
      </w:r>
      <w:r w:rsidRPr="00D51A68">
        <w:t>articolo 112, lettera n), del CRR. Questo esempio è solo uno dei casi più evidenti che si possono verificare, non l</w:t>
      </w:r>
      <w:r w:rsidR="0009277C" w:rsidRPr="00D51A68">
        <w:t>’</w:t>
      </w:r>
      <w:r w:rsidRPr="00D51A68">
        <w:t>unico. È opportuno rilevare che per stabilire le classi di esposizioni secondo il metodo standardizzato si applicano criteri diversi (categorizzazione degli enti, condizioni dell</w:t>
      </w:r>
      <w:r w:rsidR="0009277C" w:rsidRPr="00D51A68">
        <w:t>’</w:t>
      </w:r>
      <w:r w:rsidRPr="00D51A68">
        <w:t>esposizione, status di scaduto, eccetera), e questo è il motivo fondamentale per non separare i raggruppamenti.</w:t>
      </w:r>
    </w:p>
    <w:p w:rsidR="00464F34" w:rsidRPr="00D51A68" w:rsidRDefault="00125707" w:rsidP="00401C06">
      <w:pPr>
        <w:pStyle w:val="InstructionsText2"/>
        <w:numPr>
          <w:ilvl w:val="0"/>
          <w:numId w:val="0"/>
        </w:numPr>
        <w:ind w:left="993"/>
      </w:pPr>
      <w:r w:rsidRPr="00D51A68">
        <w:t>62.</w:t>
      </w:r>
      <w:r w:rsidR="00A0772B" w:rsidRPr="00D51A68">
        <w:tab/>
      </w:r>
      <w:r w:rsidRPr="00D51A68">
        <w:t>Per garantire l</w:t>
      </w:r>
      <w:r w:rsidR="0009277C" w:rsidRPr="00D51A68">
        <w:t>’</w:t>
      </w:r>
      <w:r w:rsidRPr="00D51A68">
        <w:t>omogeneità e la comparabilità delle segnalazioni è necessario specificare la priorità dei criteri di valutazione per l</w:t>
      </w:r>
      <w:r w:rsidR="0009277C" w:rsidRPr="00D51A68">
        <w:t>’</w:t>
      </w:r>
      <w:r w:rsidRPr="00D51A68">
        <w:t>assegnazione alle singole classi di esposizioni dell</w:t>
      </w:r>
      <w:r w:rsidR="0009277C" w:rsidRPr="00D51A68">
        <w:t>’</w:t>
      </w:r>
      <w:r w:rsidRPr="00D51A68">
        <w:t>esposizione originaria prima dell</w:t>
      </w:r>
      <w:r w:rsidR="0009277C" w:rsidRPr="00D51A68">
        <w:t>’</w:t>
      </w:r>
      <w:r w:rsidRPr="00D51A68">
        <w:t>applicazione del fattore di conversione, fatto salvo il trattamento specifico (ponderazione del rischio) che ogni singola esposizione riceve nell</w:t>
      </w:r>
      <w:r w:rsidR="0009277C" w:rsidRPr="00D51A68">
        <w:t>’</w:t>
      </w:r>
      <w:r w:rsidRPr="00D51A68">
        <w:t>ambito della classe alla quale è stata assegnata. I criteri di attribuzione di priorità presentati infra sotto forma di albero decisionale si basano sulla valutazione delle condizioni previste esplicitamente dal CRR per assegnare un</w:t>
      </w:r>
      <w:r w:rsidR="0009277C" w:rsidRPr="00D51A68">
        <w:t>’</w:t>
      </w:r>
      <w:r w:rsidRPr="00D51A68">
        <w:t>esposizione a una determinata classe e, laddove tali condizioni siano soddisfatte, su qualsiasi decisione dell</w:t>
      </w:r>
      <w:r w:rsidR="0009277C" w:rsidRPr="00D51A68">
        <w:t>’</w:t>
      </w:r>
      <w:r w:rsidRPr="00D51A68">
        <w:t>ente segnalante o dell</w:t>
      </w:r>
      <w:r w:rsidR="0009277C" w:rsidRPr="00D51A68">
        <w:t>’</w:t>
      </w:r>
      <w:r w:rsidRPr="00D51A68">
        <w:t>autorità di vigilanza in merito all</w:t>
      </w:r>
      <w:r w:rsidR="0009277C" w:rsidRPr="00D51A68">
        <w:t>’</w:t>
      </w:r>
      <w:r w:rsidRPr="00D51A68">
        <w:t>applicabilità di determinate classi di esposizioni. In tal modo il risultato del processo di assegnazione delle esposizioni a fini di segnalazione sarebbe conforme alle disposizioni del CRR. Ciò non impedisce agli enti di avvalersi di altre procedure di assegnazione, interne, che possono essere anch</w:t>
      </w:r>
      <w:r w:rsidR="0009277C" w:rsidRPr="00D51A68">
        <w:t>’</w:t>
      </w:r>
      <w:r w:rsidRPr="00D51A68">
        <w:t>esse conformi a tutte le pertinenti disposizioni del CRR e alle relative interpretazioni emesse in sedi competenti.</w:t>
      </w:r>
    </w:p>
    <w:p w:rsidR="00464F34" w:rsidRPr="00D51A68" w:rsidRDefault="00125707" w:rsidP="00401C06">
      <w:pPr>
        <w:pStyle w:val="InstructionsText2"/>
        <w:numPr>
          <w:ilvl w:val="0"/>
          <w:numId w:val="0"/>
        </w:numPr>
        <w:ind w:left="993"/>
      </w:pPr>
      <w:r w:rsidRPr="00D51A68">
        <w:lastRenderedPageBreak/>
        <w:t>63.</w:t>
      </w:r>
      <w:r w:rsidR="00A0772B" w:rsidRPr="00D51A68">
        <w:tab/>
      </w:r>
      <w:r w:rsidRPr="00D51A68">
        <w:t>Nella classifica di valutazione dell</w:t>
      </w:r>
      <w:r w:rsidR="0009277C" w:rsidRPr="00D51A68">
        <w:t>’</w:t>
      </w:r>
      <w:r w:rsidRPr="00D51A68">
        <w:t>albero decisionale è attribuita priorità a una classe di esposizioni rispetto alle altre (cioè si valuta dapprima se un</w:t>
      </w:r>
      <w:r w:rsidR="0009277C" w:rsidRPr="00D51A68">
        <w:t>’</w:t>
      </w:r>
      <w:r w:rsidRPr="00D51A68">
        <w:t>esposizione può essere assegnata alla classe individuata, fatto salvo il risultato della valutazione) qualora sussista la possibilità che, altrimenti, alla classe in questione non sia assegnata alcuna esposizione. Ciò si verificherebbe se, in assenza di criteri di attribuzione di priorità, una classe di esposizioni diventasse un sottoinsieme di altre classi. Pertanto, i criteri raffigurati graficamente nel seguente albero decisionale dovrebbero operare secondo un processo sequenziale.</w:t>
      </w:r>
    </w:p>
    <w:p w:rsidR="00464F34" w:rsidRPr="00D51A68" w:rsidRDefault="00125707" w:rsidP="00401C06">
      <w:pPr>
        <w:pStyle w:val="InstructionsText2"/>
        <w:numPr>
          <w:ilvl w:val="0"/>
          <w:numId w:val="0"/>
        </w:numPr>
        <w:ind w:left="993"/>
      </w:pPr>
      <w:r w:rsidRPr="00D51A68">
        <w:t>64.</w:t>
      </w:r>
      <w:r w:rsidR="00A0772B" w:rsidRPr="00D51A68">
        <w:tab/>
      </w:r>
      <w:r w:rsidRPr="00D51A68">
        <w:t>In considerazione di quanto precede, la classifica di valutazione dell</w:t>
      </w:r>
      <w:r w:rsidR="0009277C" w:rsidRPr="00D51A68">
        <w:t>’</w:t>
      </w:r>
      <w:r w:rsidRPr="00D51A68">
        <w:t>albero decisionale riportato in appresso è la seguente:</w:t>
      </w:r>
    </w:p>
    <w:p w:rsidR="00464F34" w:rsidRPr="00D51A68" w:rsidRDefault="00464F34" w:rsidP="00FC1A76">
      <w:pPr>
        <w:pStyle w:val="InstructionsText"/>
      </w:pPr>
      <w:r w:rsidRPr="00D51A68">
        <w:t>1. posizioni verso la cartolarizzazione;</w:t>
      </w:r>
    </w:p>
    <w:p w:rsidR="00464F34" w:rsidRPr="00D51A68" w:rsidRDefault="00464F34" w:rsidP="00FC1A76">
      <w:pPr>
        <w:pStyle w:val="InstructionsText"/>
      </w:pPr>
      <w:r w:rsidRPr="00D51A68">
        <w:t>2. posizioni associate a un rischio particolarmente elevato;</w:t>
      </w:r>
    </w:p>
    <w:p w:rsidR="00464F34" w:rsidRPr="00D51A68" w:rsidRDefault="00464F34" w:rsidP="00FC1A76">
      <w:pPr>
        <w:pStyle w:val="InstructionsText"/>
      </w:pPr>
      <w:r w:rsidRPr="00D51A68">
        <w:t>3. Esposizioni in strumenti di capitale</w:t>
      </w:r>
    </w:p>
    <w:p w:rsidR="00464F34" w:rsidRPr="00D51A68" w:rsidRDefault="00464F34" w:rsidP="00FC1A76">
      <w:pPr>
        <w:pStyle w:val="InstructionsText"/>
      </w:pPr>
      <w:r w:rsidRPr="00D51A68">
        <w:t>4. esposizioni in stato di default;</w:t>
      </w:r>
    </w:p>
    <w:p w:rsidR="00464F34" w:rsidRPr="00D51A68" w:rsidRDefault="00464F34" w:rsidP="00FC1A76">
      <w:pPr>
        <w:pStyle w:val="InstructionsText"/>
      </w:pPr>
      <w:r w:rsidRPr="00D51A68">
        <w:t>5. esposizioni sotto forma di quote o di azioni in organismi di investimento collettivo (OIV)/esposizioni sotto forma di obbligazioni garantite (classi di esposizioni separate);</w:t>
      </w:r>
    </w:p>
    <w:p w:rsidR="00464F34" w:rsidRPr="00D51A68" w:rsidRDefault="00464F34" w:rsidP="00FC1A76">
      <w:pPr>
        <w:pStyle w:val="InstructionsText"/>
      </w:pPr>
      <w:r w:rsidRPr="00D51A68">
        <w:t>6. esposizioni garantite da ipoteche su beni immobili;</w:t>
      </w:r>
    </w:p>
    <w:p w:rsidR="00464F34" w:rsidRPr="00D51A68" w:rsidRDefault="00464F34" w:rsidP="00FC1A76">
      <w:pPr>
        <w:pStyle w:val="InstructionsText"/>
      </w:pPr>
      <w:r w:rsidRPr="00D51A68">
        <w:t>7. altre posizioni;</w:t>
      </w:r>
    </w:p>
    <w:p w:rsidR="00464F34" w:rsidRPr="00D51A68" w:rsidRDefault="00464F34" w:rsidP="00FC1A76">
      <w:pPr>
        <w:pStyle w:val="InstructionsText"/>
      </w:pPr>
      <w:r w:rsidRPr="00D51A68">
        <w:t>8. esposizioni verso enti e imprese con valutazione del merito di credito a breve termine;</w:t>
      </w:r>
    </w:p>
    <w:p w:rsidR="00464F34" w:rsidRPr="00D51A68" w:rsidRDefault="00464F34" w:rsidP="00FC1A76">
      <w:pPr>
        <w:pStyle w:val="InstructionsText"/>
      </w:pPr>
      <w:r w:rsidRPr="00D51A68">
        <w:t>9. tutte le altre classi di esposizioni (classi di esposizioni disgiunte) che comprendono: le esposizioni verso amministrazioni centrali o banche centrali; le esposizioni verso amministrazioni regionali o autorità locali; le esposizioni verso organismi del settore pubblico; le esposizioni verso banche multilaterali di sviluppo; le esposizioni verso organizzazioni internazionali; le esposizioni verso enti; le esposizioni verso imprese e le esposizioni al dettaglio.</w:t>
      </w:r>
    </w:p>
    <w:p w:rsidR="00464F34" w:rsidRPr="00D51A68" w:rsidRDefault="00125707" w:rsidP="00543CF6">
      <w:pPr>
        <w:pStyle w:val="InstructionsText2"/>
        <w:numPr>
          <w:ilvl w:val="0"/>
          <w:numId w:val="0"/>
        </w:numPr>
        <w:ind w:left="993"/>
      </w:pPr>
      <w:r w:rsidRPr="00D51A68">
        <w:t>65.</w:t>
      </w:r>
      <w:r w:rsidR="00A0772B" w:rsidRPr="00D51A68">
        <w:tab/>
      </w:r>
      <w:r w:rsidRPr="00D51A68">
        <w:t>Nelle esposizioni sotto forma di quote o di azioni in organismi di investimento collettivo e in caso di ricorso al metodo del look-through (articolo 132</w:t>
      </w:r>
      <w:r w:rsidR="00543CF6" w:rsidRPr="00D51A68">
        <w:t>, paragrafi da </w:t>
      </w:r>
      <w:r w:rsidRPr="00D51A68">
        <w:t>3 a 5, del CRR) si prendono in considerazione le singole esposizioni sottostanti, classificandole nella corrispondente riga della ponderazione del rischio in base al trattamento loro riservato, ma tutte queste singole esposizioni sono classificate nella classe delle esposizioni sotto forma di quote o di azioni in organismi di investimento collettivo.</w:t>
      </w:r>
    </w:p>
    <w:p w:rsidR="00464F34" w:rsidRPr="00D51A68" w:rsidRDefault="00125707" w:rsidP="00543CF6">
      <w:pPr>
        <w:pStyle w:val="InstructionsText2"/>
        <w:numPr>
          <w:ilvl w:val="0"/>
          <w:numId w:val="0"/>
        </w:numPr>
        <w:ind w:left="993"/>
      </w:pPr>
      <w:r w:rsidRPr="00D51A68">
        <w:t>66.</w:t>
      </w:r>
      <w:r w:rsidR="00A0772B" w:rsidRPr="00D51A68">
        <w:tab/>
      </w:r>
      <w:r w:rsidRPr="00D51A68">
        <w:t xml:space="preserve">Nel caso dei derivati su crediti di tipo </w:t>
      </w:r>
      <w:r w:rsidR="0009277C" w:rsidRPr="00D51A68">
        <w:t>“</w:t>
      </w:r>
      <w:r w:rsidRPr="00D51A68">
        <w:t>nth-to-default</w:t>
      </w:r>
      <w:r w:rsidR="0009277C" w:rsidRPr="00D51A68">
        <w:t>”</w:t>
      </w:r>
      <w:r w:rsidRPr="00D51A68">
        <w:t xml:space="preserve"> di cui all</w:t>
      </w:r>
      <w:r w:rsidR="0009277C" w:rsidRPr="00D51A68">
        <w:t>’</w:t>
      </w:r>
      <w:r w:rsidRPr="00D51A68">
        <w:t xml:space="preserve">articolo 134, paragrafo 6, del CRR, se provvisti di rating tali strumenti sono classificati direttamente come posizioni verso la cartolarizzazione; se, invece, sono privi di rating, sono inclusi nella classe di esposizioni </w:t>
      </w:r>
      <w:r w:rsidR="0009277C" w:rsidRPr="00D51A68">
        <w:t>“</w:t>
      </w:r>
      <w:r w:rsidRPr="00D51A68">
        <w:t>altre posizioni</w:t>
      </w:r>
      <w:r w:rsidR="0009277C" w:rsidRPr="00D51A68">
        <w:t>”</w:t>
      </w:r>
      <w:r w:rsidRPr="00D51A68">
        <w:t>. In quest</w:t>
      </w:r>
      <w:r w:rsidR="0009277C" w:rsidRPr="00D51A68">
        <w:t>’</w:t>
      </w:r>
      <w:r w:rsidRPr="00D51A68">
        <w:t>ultimo caso l</w:t>
      </w:r>
      <w:r w:rsidR="0009277C" w:rsidRPr="00D51A68">
        <w:t>’</w:t>
      </w:r>
      <w:r w:rsidRPr="00D51A68">
        <w:t>importo nominale del contratto è segnalato come esposizione originaria prima dell</w:t>
      </w:r>
      <w:r w:rsidR="0009277C" w:rsidRPr="00D51A68">
        <w:t>’</w:t>
      </w:r>
      <w:r w:rsidRPr="00D51A68">
        <w:t xml:space="preserve">applicazione dei fattori di conversione nella riga degli </w:t>
      </w:r>
      <w:r w:rsidR="0009277C" w:rsidRPr="00D51A68">
        <w:t>“</w:t>
      </w:r>
      <w:r w:rsidRPr="00D51A68">
        <w:t>altri fattori di ponderazione del rischio</w:t>
      </w:r>
      <w:r w:rsidR="0009277C" w:rsidRPr="00D51A68">
        <w:t>”</w:t>
      </w:r>
      <w:r w:rsidRPr="00D51A68">
        <w:t xml:space="preserve"> (il fattore di ponderazione del rischio applicato è quello specificato nella somma riportata ai sensi dell</w:t>
      </w:r>
      <w:r w:rsidR="0009277C" w:rsidRPr="00D51A68">
        <w:t>’</w:t>
      </w:r>
      <w:r w:rsidRPr="00D51A68">
        <w:t xml:space="preserve">articolo 134, paragrafo 6, del CRR). </w:t>
      </w:r>
    </w:p>
    <w:p w:rsidR="00464F34" w:rsidRPr="00D51A68" w:rsidRDefault="00125707" w:rsidP="00543CF6">
      <w:pPr>
        <w:pStyle w:val="InstructionsText2"/>
        <w:numPr>
          <w:ilvl w:val="0"/>
          <w:numId w:val="0"/>
        </w:numPr>
        <w:ind w:left="993"/>
      </w:pPr>
      <w:r w:rsidRPr="00D51A68">
        <w:t>67.</w:t>
      </w:r>
      <w:r w:rsidR="00A0772B" w:rsidRPr="00D51A68">
        <w:tab/>
      </w:r>
      <w:r w:rsidRPr="00D51A68">
        <w:t>In una seconda fase, le esposizioni sono riassegnate alla classe di esposizioni del fornitore della protezione a seguito dell</w:t>
      </w:r>
      <w:r w:rsidR="0009277C" w:rsidRPr="00D51A68">
        <w:t>’</w:t>
      </w:r>
      <w:r w:rsidRPr="00D51A68">
        <w:t>applicazione di tecniche di attenuazione del rischio di credito con effetti di sostituzione.</w:t>
      </w:r>
    </w:p>
    <w:p w:rsidR="00464F34" w:rsidRPr="00D51A68" w:rsidRDefault="00464F34" w:rsidP="00FC1A76">
      <w:pPr>
        <w:pStyle w:val="InstructionsText"/>
      </w:pPr>
      <w:r w:rsidRPr="00D51A68">
        <w:br w:type="page"/>
      </w:r>
      <w:r w:rsidRPr="00D51A68">
        <w:lastRenderedPageBreak/>
        <w:t>ALBERO DECISIONALE PER L</w:t>
      </w:r>
      <w:r w:rsidR="0009277C" w:rsidRPr="00D51A68">
        <w:t>’</w:t>
      </w:r>
      <w:r w:rsidRPr="00D51A68">
        <w:t>ASSEGNAZIONE DELL</w:t>
      </w:r>
      <w:r w:rsidR="0009277C" w:rsidRPr="00D51A68">
        <w:t>’</w:t>
      </w:r>
      <w:r w:rsidRPr="00D51A68">
        <w:t>ESPOSIZIONE ORIGINARIA PRIMA DELL</w:t>
      </w:r>
      <w:r w:rsidR="0009277C" w:rsidRPr="00D51A68">
        <w:t>’</w:t>
      </w:r>
      <w:r w:rsidRPr="00D51A68">
        <w:t xml:space="preserve">APPLICAZIONE DEI FATTORI DI CONVERSIONE ALLE CLASSI DI ESPOSIZIONI SECONDO IL METODO STANDARDIZZATO CONFORMEMENTE AL CRR </w:t>
      </w:r>
    </w:p>
    <w:p w:rsidR="00464F34" w:rsidRPr="00D51A68" w:rsidRDefault="00464F34" w:rsidP="00FC1A76">
      <w:pPr>
        <w:pStyle w:val="InstructionsText"/>
      </w:pPr>
    </w:p>
    <w:tbl>
      <w:tblPr>
        <w:tblW w:w="9397" w:type="dxa"/>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3"/>
        <w:gridCol w:w="1417"/>
        <w:gridCol w:w="4077"/>
      </w:tblGrid>
      <w:tr w:rsidR="003A1B96" w:rsidRPr="00D51A68" w:rsidTr="00543CF6">
        <w:tc>
          <w:tcPr>
            <w:tcW w:w="3903" w:type="dxa"/>
            <w:shd w:val="clear" w:color="auto" w:fill="auto"/>
          </w:tcPr>
          <w:p w:rsidR="003A1B96" w:rsidRPr="00D51A68" w:rsidRDefault="003A1B96" w:rsidP="00334093">
            <w:pPr>
              <w:spacing w:before="0" w:after="0"/>
              <w:jc w:val="left"/>
              <w:rPr>
                <w:sz w:val="24"/>
              </w:rPr>
            </w:pPr>
            <w:r w:rsidRPr="00D51A68">
              <w:rPr>
                <w:rFonts w:ascii="Times New Roman" w:hAnsi="Times New Roman"/>
                <w:sz w:val="24"/>
              </w:rPr>
              <w:t>Esposizione originaria prima dell</w:t>
            </w:r>
            <w:r w:rsidR="0009277C" w:rsidRPr="00D51A68">
              <w:rPr>
                <w:rFonts w:ascii="Times New Roman" w:hAnsi="Times New Roman"/>
                <w:sz w:val="24"/>
              </w:rPr>
              <w:t>’</w:t>
            </w:r>
            <w:r w:rsidRPr="00D51A68">
              <w:rPr>
                <w:rFonts w:ascii="Times New Roman" w:hAnsi="Times New Roman"/>
                <w:sz w:val="24"/>
              </w:rPr>
              <w:t>applicazione dei fattori di conversione</w:t>
            </w:r>
          </w:p>
        </w:tc>
        <w:tc>
          <w:tcPr>
            <w:tcW w:w="1417" w:type="dxa"/>
            <w:shd w:val="clear" w:color="auto" w:fill="auto"/>
          </w:tcPr>
          <w:p w:rsidR="003A1B96" w:rsidRPr="00D51A68" w:rsidRDefault="003A1B96" w:rsidP="00FC1A76">
            <w:pPr>
              <w:pStyle w:val="InstructionsText"/>
            </w:pPr>
          </w:p>
        </w:tc>
        <w:tc>
          <w:tcPr>
            <w:tcW w:w="4077" w:type="dxa"/>
            <w:shd w:val="clear" w:color="auto" w:fill="auto"/>
          </w:tcPr>
          <w:p w:rsidR="003A1B96" w:rsidRPr="00D51A68" w:rsidRDefault="003A1B96" w:rsidP="00FC1A76">
            <w:pPr>
              <w:pStyle w:val="InstructionsText"/>
            </w:pPr>
          </w:p>
        </w:tc>
      </w:tr>
      <w:tr w:rsidR="00581FA5" w:rsidRPr="00D51A68" w:rsidTr="00543CF6">
        <w:tc>
          <w:tcPr>
            <w:tcW w:w="3903" w:type="dxa"/>
            <w:shd w:val="clear" w:color="auto" w:fill="auto"/>
          </w:tcPr>
          <w:p w:rsidR="00581FA5" w:rsidRPr="00D51A68" w:rsidRDefault="00581FA5" w:rsidP="00FC1A76">
            <w:pPr>
              <w:pStyle w:val="InstructionsText"/>
            </w:pPr>
            <w:r w:rsidRPr="00D51A68">
              <w:t>Può essere assegnata alla classe di esp. di cui all</w:t>
            </w:r>
            <w:r w:rsidR="0009277C" w:rsidRPr="00D51A68">
              <w:t>’</w:t>
            </w:r>
            <w:r w:rsidRPr="00D51A68">
              <w:t>articolo 112, lettera m)?</w:t>
            </w:r>
          </w:p>
        </w:tc>
        <w:tc>
          <w:tcPr>
            <w:tcW w:w="1417" w:type="dxa"/>
            <w:shd w:val="clear" w:color="auto" w:fill="auto"/>
          </w:tcPr>
          <w:p w:rsidR="00BD52C3" w:rsidRPr="00D51A68" w:rsidRDefault="00BD52C3" w:rsidP="00FC1A76">
            <w:pPr>
              <w:pStyle w:val="InstructionsText"/>
            </w:pPr>
            <w:r w:rsidRPr="00D51A68">
              <w:t xml:space="preserve">SÌ </w:t>
            </w:r>
            <w:r w:rsidRPr="00D51A68">
              <w:rPr>
                <w:lang w:eastAsia="en-GB" w:bidi="ar-SA"/>
              </w:rPr>
              <w:drawing>
                <wp:inline distT="0" distB="0" distL="0" distR="0" wp14:anchorId="01B0F691" wp14:editId="7CEFC375">
                  <wp:extent cx="371475" cy="276225"/>
                  <wp:effectExtent l="0" t="0" r="9525" b="9525"/>
                  <wp:docPr id="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D51A68" w:rsidRDefault="00581FA5" w:rsidP="00FC1A76">
            <w:pPr>
              <w:pStyle w:val="InstructionsText"/>
            </w:pPr>
          </w:p>
        </w:tc>
        <w:tc>
          <w:tcPr>
            <w:tcW w:w="4077" w:type="dxa"/>
            <w:shd w:val="clear" w:color="auto" w:fill="auto"/>
          </w:tcPr>
          <w:p w:rsidR="00581FA5" w:rsidRPr="00D51A68" w:rsidRDefault="00581FA5" w:rsidP="00FC1A76">
            <w:pPr>
              <w:pStyle w:val="InstructionsText"/>
            </w:pPr>
            <w:r w:rsidRPr="00D51A68">
              <w:t>Posizioni verso la cartolarizzazione</w:t>
            </w:r>
          </w:p>
        </w:tc>
      </w:tr>
      <w:tr w:rsidR="005B3B7C" w:rsidRPr="00D51A68" w:rsidTr="00543CF6">
        <w:tc>
          <w:tcPr>
            <w:tcW w:w="3903" w:type="dxa"/>
            <w:shd w:val="clear" w:color="auto" w:fill="auto"/>
          </w:tcPr>
          <w:p w:rsidR="00581FA5" w:rsidRPr="00D51A68" w:rsidRDefault="00581FA5" w:rsidP="00FC1A76">
            <w:pPr>
              <w:pStyle w:val="InstructionsText"/>
            </w:pPr>
            <w:r w:rsidRPr="00D51A68">
              <w:t xml:space="preserve">NO </w:t>
            </w:r>
            <w:r w:rsidRPr="00D51A68">
              <w:rPr>
                <w:lang w:eastAsia="en-GB" w:bidi="ar-SA"/>
              </w:rPr>
              <w:drawing>
                <wp:inline distT="0" distB="0" distL="0" distR="0" wp14:anchorId="152A54D9" wp14:editId="1405BE1C">
                  <wp:extent cx="819150" cy="352425"/>
                  <wp:effectExtent l="0" t="0" r="0" b="9525"/>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B3B7C" w:rsidRPr="00D51A68" w:rsidRDefault="005B3B7C" w:rsidP="00FC1A76">
            <w:pPr>
              <w:pStyle w:val="InstructionsText"/>
            </w:pPr>
          </w:p>
        </w:tc>
        <w:tc>
          <w:tcPr>
            <w:tcW w:w="1417" w:type="dxa"/>
            <w:shd w:val="clear" w:color="auto" w:fill="auto"/>
          </w:tcPr>
          <w:p w:rsidR="005B3B7C" w:rsidRPr="00D51A68" w:rsidRDefault="005B3B7C" w:rsidP="00FC1A76">
            <w:pPr>
              <w:pStyle w:val="InstructionsText"/>
            </w:pPr>
          </w:p>
        </w:tc>
        <w:tc>
          <w:tcPr>
            <w:tcW w:w="4077" w:type="dxa"/>
            <w:shd w:val="clear" w:color="auto" w:fill="auto"/>
          </w:tcPr>
          <w:p w:rsidR="005B3B7C" w:rsidRPr="00D51A68" w:rsidRDefault="005B3B7C" w:rsidP="00FC1A76">
            <w:pPr>
              <w:pStyle w:val="InstructionsText"/>
            </w:pPr>
          </w:p>
        </w:tc>
      </w:tr>
      <w:tr w:rsidR="003A1B96" w:rsidRPr="00D51A68" w:rsidTr="00543CF6">
        <w:tc>
          <w:tcPr>
            <w:tcW w:w="3903" w:type="dxa"/>
            <w:shd w:val="clear" w:color="auto" w:fill="auto"/>
          </w:tcPr>
          <w:p w:rsidR="003A1B96" w:rsidRPr="00D51A68" w:rsidRDefault="003A1B96" w:rsidP="00FC1A76">
            <w:pPr>
              <w:pStyle w:val="InstructionsText"/>
            </w:pPr>
            <w:r w:rsidRPr="00D51A68">
              <w:t>Può essere assegnata alla classe di esp. di cui all</w:t>
            </w:r>
            <w:r w:rsidR="0009277C" w:rsidRPr="00D51A68">
              <w:t>’</w:t>
            </w:r>
            <w:r w:rsidRPr="00D51A68">
              <w:t>articolo 112, lettera k)?</w:t>
            </w:r>
          </w:p>
        </w:tc>
        <w:tc>
          <w:tcPr>
            <w:tcW w:w="1417" w:type="dxa"/>
            <w:shd w:val="clear" w:color="auto" w:fill="auto"/>
          </w:tcPr>
          <w:p w:rsidR="00AC3054" w:rsidRPr="00D51A68" w:rsidRDefault="00974E3F" w:rsidP="00FC1A76">
            <w:pPr>
              <w:pStyle w:val="InstructionsText"/>
            </w:pPr>
            <w:r w:rsidRPr="00D51A68">
              <w:t xml:space="preserve">SÌ </w:t>
            </w:r>
            <w:r w:rsidRPr="00D51A68">
              <w:rPr>
                <w:lang w:eastAsia="en-GB" w:bidi="ar-SA"/>
              </w:rPr>
              <w:drawing>
                <wp:inline distT="0" distB="0" distL="0" distR="0" wp14:anchorId="3B5AF145" wp14:editId="2AE6A747">
                  <wp:extent cx="371475" cy="276225"/>
                  <wp:effectExtent l="0" t="0" r="9525" b="9525"/>
                  <wp:docPr id="3"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BD52C3" w:rsidRPr="00D51A68" w:rsidRDefault="00BD52C3" w:rsidP="00FC1A76">
            <w:pPr>
              <w:pStyle w:val="InstructionsText"/>
            </w:pPr>
          </w:p>
          <w:p w:rsidR="003A1B96" w:rsidRPr="00D51A68" w:rsidRDefault="003A1B96" w:rsidP="00FC1A76">
            <w:pPr>
              <w:pStyle w:val="InstructionsText"/>
            </w:pPr>
          </w:p>
        </w:tc>
        <w:tc>
          <w:tcPr>
            <w:tcW w:w="4077" w:type="dxa"/>
            <w:shd w:val="clear" w:color="auto" w:fill="auto"/>
          </w:tcPr>
          <w:p w:rsidR="003A1B96" w:rsidRPr="00D51A68" w:rsidRDefault="003A1B96" w:rsidP="00FC1A76">
            <w:pPr>
              <w:pStyle w:val="InstructionsText"/>
            </w:pPr>
            <w:r w:rsidRPr="00D51A68">
              <w:t>Posizioni associate a un rischio particolarmente elevato (cfr. anche articolo 128)</w:t>
            </w:r>
          </w:p>
        </w:tc>
      </w:tr>
      <w:tr w:rsidR="003A1B96" w:rsidRPr="00D51A68" w:rsidTr="00543CF6">
        <w:tc>
          <w:tcPr>
            <w:tcW w:w="3903" w:type="dxa"/>
            <w:shd w:val="clear" w:color="auto" w:fill="auto"/>
          </w:tcPr>
          <w:p w:rsidR="007241D3" w:rsidRPr="00D51A68" w:rsidRDefault="007241D3" w:rsidP="00FC1A76">
            <w:pPr>
              <w:pStyle w:val="InstructionsText"/>
            </w:pPr>
            <w:r w:rsidRPr="00D51A68">
              <w:t xml:space="preserve">NO </w:t>
            </w:r>
            <w:r w:rsidRPr="00D51A68">
              <w:rPr>
                <w:lang w:eastAsia="en-GB" w:bidi="ar-SA"/>
              </w:rPr>
              <w:drawing>
                <wp:inline distT="0" distB="0" distL="0" distR="0" wp14:anchorId="6DAC2602" wp14:editId="003B050E">
                  <wp:extent cx="819150" cy="352425"/>
                  <wp:effectExtent l="0" t="0" r="0" b="9525"/>
                  <wp:docPr id="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3A1B96" w:rsidRPr="00D51A68" w:rsidRDefault="003A1B96" w:rsidP="00FC1A76">
            <w:pPr>
              <w:pStyle w:val="InstructionsText"/>
            </w:pPr>
          </w:p>
        </w:tc>
        <w:tc>
          <w:tcPr>
            <w:tcW w:w="1417" w:type="dxa"/>
            <w:shd w:val="clear" w:color="auto" w:fill="auto"/>
          </w:tcPr>
          <w:p w:rsidR="003A1B96" w:rsidRPr="00D51A68" w:rsidRDefault="003A1B96" w:rsidP="00FC1A76">
            <w:pPr>
              <w:pStyle w:val="InstructionsText"/>
            </w:pPr>
          </w:p>
        </w:tc>
        <w:tc>
          <w:tcPr>
            <w:tcW w:w="4077" w:type="dxa"/>
            <w:shd w:val="clear" w:color="auto" w:fill="auto"/>
          </w:tcPr>
          <w:p w:rsidR="003A1B96" w:rsidRPr="00D51A68" w:rsidRDefault="003A1B96" w:rsidP="00FC1A76">
            <w:pPr>
              <w:pStyle w:val="InstructionsText"/>
            </w:pPr>
          </w:p>
        </w:tc>
      </w:tr>
      <w:tr w:rsidR="003A1B96" w:rsidRPr="00D51A68" w:rsidTr="00543CF6">
        <w:tc>
          <w:tcPr>
            <w:tcW w:w="3903" w:type="dxa"/>
            <w:shd w:val="clear" w:color="auto" w:fill="auto"/>
          </w:tcPr>
          <w:p w:rsidR="003A1B96" w:rsidRPr="00D51A68" w:rsidRDefault="003A1B96" w:rsidP="00FC1A76">
            <w:pPr>
              <w:pStyle w:val="InstructionsText"/>
            </w:pPr>
            <w:r w:rsidRPr="00D51A68">
              <w:t>Può essere assegnata alla classe di esp. di cui all</w:t>
            </w:r>
            <w:r w:rsidR="0009277C" w:rsidRPr="00D51A68">
              <w:t>’</w:t>
            </w:r>
            <w:r w:rsidRPr="00D51A68">
              <w:t>articolo 112, lettera p)?</w:t>
            </w:r>
          </w:p>
        </w:tc>
        <w:tc>
          <w:tcPr>
            <w:tcW w:w="1417" w:type="dxa"/>
            <w:shd w:val="clear" w:color="auto" w:fill="auto"/>
          </w:tcPr>
          <w:p w:rsidR="00BD52C3" w:rsidRPr="00D51A68" w:rsidRDefault="00BD52C3" w:rsidP="00FC1A76">
            <w:pPr>
              <w:pStyle w:val="InstructionsText"/>
            </w:pPr>
            <w:r w:rsidRPr="00D51A68">
              <w:t xml:space="preserve">SÌ </w:t>
            </w:r>
            <w:r w:rsidRPr="00D51A68">
              <w:rPr>
                <w:lang w:eastAsia="en-GB" w:bidi="ar-SA"/>
              </w:rPr>
              <w:drawing>
                <wp:inline distT="0" distB="0" distL="0" distR="0" wp14:anchorId="733D93F8" wp14:editId="1C627F8B">
                  <wp:extent cx="371475" cy="276225"/>
                  <wp:effectExtent l="0" t="0" r="9525" b="9525"/>
                  <wp:docPr id="5"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3A1B96" w:rsidRPr="00D51A68" w:rsidRDefault="003A1B96" w:rsidP="00FC1A76">
            <w:pPr>
              <w:pStyle w:val="InstructionsText"/>
            </w:pPr>
          </w:p>
        </w:tc>
        <w:tc>
          <w:tcPr>
            <w:tcW w:w="4077" w:type="dxa"/>
            <w:shd w:val="clear" w:color="auto" w:fill="auto"/>
          </w:tcPr>
          <w:p w:rsidR="003A1B96" w:rsidRPr="00D51A68" w:rsidRDefault="003A1B96" w:rsidP="00FC1A76">
            <w:pPr>
              <w:pStyle w:val="InstructionsText"/>
            </w:pPr>
            <w:r w:rsidRPr="00D51A68">
              <w:t>Esposizioni</w:t>
            </w:r>
            <w:r w:rsidR="00543CF6" w:rsidRPr="00D51A68">
              <w:t xml:space="preserve"> in strumenti di capitale (cfr. </w:t>
            </w:r>
            <w:r w:rsidRPr="00D51A68">
              <w:t>anche articolo 133)</w:t>
            </w:r>
          </w:p>
        </w:tc>
      </w:tr>
      <w:tr w:rsidR="003A1B96" w:rsidRPr="00D51A68" w:rsidTr="00543CF6">
        <w:tc>
          <w:tcPr>
            <w:tcW w:w="3903" w:type="dxa"/>
            <w:shd w:val="clear" w:color="auto" w:fill="auto"/>
          </w:tcPr>
          <w:p w:rsidR="007241D3" w:rsidRPr="00D51A68" w:rsidRDefault="007241D3" w:rsidP="00FC1A76">
            <w:pPr>
              <w:pStyle w:val="InstructionsText"/>
            </w:pPr>
            <w:r w:rsidRPr="00D51A68">
              <w:t xml:space="preserve">NO </w:t>
            </w:r>
            <w:r w:rsidRPr="00D51A68">
              <w:rPr>
                <w:lang w:eastAsia="en-GB" w:bidi="ar-SA"/>
              </w:rPr>
              <w:drawing>
                <wp:inline distT="0" distB="0" distL="0" distR="0" wp14:anchorId="09C3AF52" wp14:editId="33299CA1">
                  <wp:extent cx="819150" cy="352425"/>
                  <wp:effectExtent l="0" t="0" r="0" b="9525"/>
                  <wp:docPr id="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3A1B96" w:rsidRPr="00D51A68" w:rsidRDefault="003A1B96" w:rsidP="00FC1A76">
            <w:pPr>
              <w:pStyle w:val="InstructionsText"/>
            </w:pPr>
          </w:p>
        </w:tc>
        <w:tc>
          <w:tcPr>
            <w:tcW w:w="1417" w:type="dxa"/>
            <w:shd w:val="clear" w:color="auto" w:fill="auto"/>
          </w:tcPr>
          <w:p w:rsidR="003A1B96" w:rsidRPr="00D51A68" w:rsidRDefault="003A1B96" w:rsidP="00FC1A76">
            <w:pPr>
              <w:pStyle w:val="InstructionsText"/>
            </w:pPr>
          </w:p>
        </w:tc>
        <w:tc>
          <w:tcPr>
            <w:tcW w:w="4077" w:type="dxa"/>
            <w:shd w:val="clear" w:color="auto" w:fill="auto"/>
          </w:tcPr>
          <w:p w:rsidR="003A1B96" w:rsidRPr="00D51A68" w:rsidRDefault="003A1B96" w:rsidP="00FC1A76">
            <w:pPr>
              <w:pStyle w:val="InstructionsText"/>
            </w:pPr>
          </w:p>
        </w:tc>
      </w:tr>
      <w:tr w:rsidR="00581FA5" w:rsidRPr="00D51A68" w:rsidTr="00543CF6">
        <w:tc>
          <w:tcPr>
            <w:tcW w:w="3903" w:type="dxa"/>
            <w:shd w:val="clear" w:color="auto" w:fill="auto"/>
          </w:tcPr>
          <w:p w:rsidR="00581FA5" w:rsidRPr="00D51A68" w:rsidRDefault="00581FA5" w:rsidP="00FC1A76">
            <w:pPr>
              <w:pStyle w:val="InstructionsText"/>
            </w:pPr>
            <w:r w:rsidRPr="00D51A68">
              <w:t>Può essere assegnata alla classe di esp. di cui all</w:t>
            </w:r>
            <w:r w:rsidR="0009277C" w:rsidRPr="00D51A68">
              <w:t>’</w:t>
            </w:r>
            <w:r w:rsidRPr="00D51A68">
              <w:t>articolo 112, lettera j)?</w:t>
            </w:r>
          </w:p>
        </w:tc>
        <w:tc>
          <w:tcPr>
            <w:tcW w:w="1417" w:type="dxa"/>
            <w:shd w:val="clear" w:color="auto" w:fill="auto"/>
          </w:tcPr>
          <w:p w:rsidR="00BD52C3" w:rsidRPr="00D51A68" w:rsidRDefault="00BD52C3" w:rsidP="00FC1A76">
            <w:pPr>
              <w:pStyle w:val="InstructionsText"/>
            </w:pPr>
            <w:r w:rsidRPr="00D51A68">
              <w:t xml:space="preserve">SÌ </w:t>
            </w:r>
            <w:r w:rsidRPr="00D51A68">
              <w:rPr>
                <w:lang w:eastAsia="en-GB" w:bidi="ar-SA"/>
              </w:rPr>
              <w:drawing>
                <wp:inline distT="0" distB="0" distL="0" distR="0" wp14:anchorId="5E6A9D09" wp14:editId="3B174639">
                  <wp:extent cx="371475" cy="276225"/>
                  <wp:effectExtent l="0" t="0" r="9525" b="9525"/>
                  <wp:docPr id="7"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D51A68" w:rsidRDefault="00581FA5" w:rsidP="00FC1A76">
            <w:pPr>
              <w:pStyle w:val="InstructionsText"/>
            </w:pPr>
          </w:p>
        </w:tc>
        <w:tc>
          <w:tcPr>
            <w:tcW w:w="4077" w:type="dxa"/>
            <w:shd w:val="clear" w:color="auto" w:fill="auto"/>
          </w:tcPr>
          <w:p w:rsidR="00581FA5" w:rsidRPr="00D51A68" w:rsidRDefault="00581FA5" w:rsidP="00FC1A76">
            <w:pPr>
              <w:pStyle w:val="InstructionsText"/>
            </w:pPr>
            <w:r w:rsidRPr="00D51A68">
              <w:t>Esposizioni in stato di default</w:t>
            </w:r>
          </w:p>
        </w:tc>
      </w:tr>
      <w:tr w:rsidR="00581FA5" w:rsidRPr="00D51A68" w:rsidTr="00543CF6">
        <w:tc>
          <w:tcPr>
            <w:tcW w:w="3903" w:type="dxa"/>
            <w:shd w:val="clear" w:color="auto" w:fill="auto"/>
          </w:tcPr>
          <w:p w:rsidR="007241D3" w:rsidRPr="00D51A68" w:rsidRDefault="007241D3" w:rsidP="00FC1A76">
            <w:pPr>
              <w:pStyle w:val="InstructionsText"/>
            </w:pPr>
            <w:r w:rsidRPr="00D51A68">
              <w:t xml:space="preserve">NO </w:t>
            </w:r>
            <w:r w:rsidRPr="00D51A68">
              <w:rPr>
                <w:lang w:eastAsia="en-GB" w:bidi="ar-SA"/>
              </w:rPr>
              <w:drawing>
                <wp:inline distT="0" distB="0" distL="0" distR="0" wp14:anchorId="06EDDE63" wp14:editId="6E794218">
                  <wp:extent cx="819150" cy="352425"/>
                  <wp:effectExtent l="0" t="0" r="0" b="9525"/>
                  <wp:docPr id="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D51A68" w:rsidRDefault="00581FA5" w:rsidP="00FC1A76">
            <w:pPr>
              <w:pStyle w:val="InstructionsText"/>
            </w:pPr>
          </w:p>
        </w:tc>
        <w:tc>
          <w:tcPr>
            <w:tcW w:w="1417" w:type="dxa"/>
            <w:shd w:val="clear" w:color="auto" w:fill="auto"/>
          </w:tcPr>
          <w:p w:rsidR="00581FA5" w:rsidRPr="00D51A68" w:rsidRDefault="00581FA5" w:rsidP="00FC1A76">
            <w:pPr>
              <w:pStyle w:val="InstructionsText"/>
            </w:pPr>
          </w:p>
        </w:tc>
        <w:tc>
          <w:tcPr>
            <w:tcW w:w="4077" w:type="dxa"/>
            <w:shd w:val="clear" w:color="auto" w:fill="auto"/>
          </w:tcPr>
          <w:p w:rsidR="00581FA5" w:rsidRPr="00D51A68" w:rsidRDefault="00581FA5" w:rsidP="00FC1A76">
            <w:pPr>
              <w:pStyle w:val="InstructionsText"/>
            </w:pPr>
          </w:p>
        </w:tc>
      </w:tr>
      <w:tr w:rsidR="00581FA5" w:rsidRPr="00D51A68" w:rsidTr="00543CF6">
        <w:tc>
          <w:tcPr>
            <w:tcW w:w="3903" w:type="dxa"/>
            <w:shd w:val="clear" w:color="auto" w:fill="auto"/>
          </w:tcPr>
          <w:p w:rsidR="00581FA5" w:rsidRPr="00D51A68" w:rsidRDefault="00581FA5" w:rsidP="00FC1A76">
            <w:pPr>
              <w:pStyle w:val="InstructionsText"/>
            </w:pPr>
            <w:r w:rsidRPr="00D51A68">
              <w:t>Può essere assegnata alle classi di esp. di cui all</w:t>
            </w:r>
            <w:r w:rsidR="0009277C" w:rsidRPr="00D51A68">
              <w:t>’</w:t>
            </w:r>
            <w:r w:rsidRPr="00D51A68">
              <w:t>articolo 112, lettere l) e o)?</w:t>
            </w:r>
          </w:p>
        </w:tc>
        <w:tc>
          <w:tcPr>
            <w:tcW w:w="1417" w:type="dxa"/>
            <w:shd w:val="clear" w:color="auto" w:fill="auto"/>
          </w:tcPr>
          <w:p w:rsidR="00BD52C3" w:rsidRPr="00D51A68" w:rsidRDefault="00BD52C3" w:rsidP="00FC1A76">
            <w:pPr>
              <w:pStyle w:val="InstructionsText"/>
            </w:pPr>
            <w:r w:rsidRPr="00D51A68">
              <w:t xml:space="preserve">SÌ </w:t>
            </w:r>
            <w:r w:rsidRPr="00D51A68">
              <w:rPr>
                <w:lang w:eastAsia="en-GB" w:bidi="ar-SA"/>
              </w:rPr>
              <w:drawing>
                <wp:inline distT="0" distB="0" distL="0" distR="0" wp14:anchorId="3CE99385" wp14:editId="67CD3872">
                  <wp:extent cx="371475" cy="276225"/>
                  <wp:effectExtent l="0" t="0" r="9525" b="9525"/>
                  <wp:docPr id="9"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D51A68" w:rsidRDefault="00581FA5" w:rsidP="00FC1A76">
            <w:pPr>
              <w:pStyle w:val="InstructionsText"/>
            </w:pPr>
          </w:p>
        </w:tc>
        <w:tc>
          <w:tcPr>
            <w:tcW w:w="4077" w:type="dxa"/>
            <w:shd w:val="clear" w:color="auto" w:fill="auto"/>
          </w:tcPr>
          <w:p w:rsidR="00581FA5" w:rsidRPr="00D51A68" w:rsidRDefault="00581FA5" w:rsidP="00FC1A76">
            <w:pPr>
              <w:pStyle w:val="InstructionsText"/>
            </w:pPr>
            <w:r w:rsidRPr="00D51A68">
              <w:t>Esposizioni sotto forma di quote o di azioni in organismi di investimento collettivo (OIC)</w:t>
            </w:r>
          </w:p>
          <w:p w:rsidR="00581FA5" w:rsidRPr="00D51A68" w:rsidRDefault="00581FA5" w:rsidP="00FC1A76">
            <w:pPr>
              <w:pStyle w:val="InstructionsText"/>
            </w:pPr>
            <w:r w:rsidRPr="00D51A68">
              <w:t>Esposizioni sotto forma di obbligazioni garantite (cfr. anche articolo 129)</w:t>
            </w:r>
          </w:p>
          <w:p w:rsidR="00581FA5" w:rsidRPr="00D51A68" w:rsidRDefault="00581FA5" w:rsidP="00FC1A76">
            <w:pPr>
              <w:pStyle w:val="InstructionsText"/>
            </w:pPr>
            <w:r w:rsidRPr="00D51A68">
              <w:t xml:space="preserve">Queste due classi di esposizioni sono separate tra loro (cfr. osservazioni sul </w:t>
            </w:r>
            <w:r w:rsidRPr="00D51A68">
              <w:lastRenderedPageBreak/>
              <w:t>metodo look-through nella risposta precedente); pertanto l</w:t>
            </w:r>
            <w:r w:rsidR="0009277C" w:rsidRPr="00D51A68">
              <w:t>’</w:t>
            </w:r>
            <w:r w:rsidRPr="00D51A68">
              <w:t>assegnazione a una di esse è lineare:</w:t>
            </w:r>
          </w:p>
        </w:tc>
      </w:tr>
      <w:tr w:rsidR="00581FA5" w:rsidRPr="00D51A68" w:rsidTr="00543CF6">
        <w:tc>
          <w:tcPr>
            <w:tcW w:w="3903" w:type="dxa"/>
            <w:shd w:val="clear" w:color="auto" w:fill="auto"/>
          </w:tcPr>
          <w:p w:rsidR="007241D3" w:rsidRPr="00D51A68" w:rsidRDefault="007241D3" w:rsidP="00FC1A76">
            <w:pPr>
              <w:pStyle w:val="InstructionsText"/>
            </w:pPr>
            <w:r w:rsidRPr="00D51A68">
              <w:lastRenderedPageBreak/>
              <w:t xml:space="preserve">NO </w:t>
            </w:r>
            <w:r w:rsidRPr="00D51A68">
              <w:rPr>
                <w:lang w:eastAsia="en-GB" w:bidi="ar-SA"/>
              </w:rPr>
              <w:drawing>
                <wp:inline distT="0" distB="0" distL="0" distR="0" wp14:anchorId="46FB532B" wp14:editId="32B265B9">
                  <wp:extent cx="819150" cy="352425"/>
                  <wp:effectExtent l="0" t="0" r="0" b="9525"/>
                  <wp:docPr id="1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D51A68" w:rsidRDefault="00581FA5" w:rsidP="00FC1A76">
            <w:pPr>
              <w:pStyle w:val="InstructionsText"/>
            </w:pPr>
          </w:p>
        </w:tc>
        <w:tc>
          <w:tcPr>
            <w:tcW w:w="1417" w:type="dxa"/>
            <w:shd w:val="clear" w:color="auto" w:fill="auto"/>
          </w:tcPr>
          <w:p w:rsidR="00581FA5" w:rsidRPr="00D51A68" w:rsidRDefault="00581FA5" w:rsidP="00FC1A76">
            <w:pPr>
              <w:pStyle w:val="InstructionsText"/>
            </w:pPr>
          </w:p>
        </w:tc>
        <w:tc>
          <w:tcPr>
            <w:tcW w:w="4077" w:type="dxa"/>
            <w:shd w:val="clear" w:color="auto" w:fill="auto"/>
          </w:tcPr>
          <w:p w:rsidR="00581FA5" w:rsidRPr="00D51A68" w:rsidRDefault="00581FA5" w:rsidP="00FC1A76">
            <w:pPr>
              <w:pStyle w:val="InstructionsText"/>
            </w:pPr>
          </w:p>
        </w:tc>
      </w:tr>
      <w:tr w:rsidR="00581FA5" w:rsidRPr="00D51A68" w:rsidTr="00543CF6">
        <w:tc>
          <w:tcPr>
            <w:tcW w:w="3903" w:type="dxa"/>
            <w:shd w:val="clear" w:color="auto" w:fill="auto"/>
          </w:tcPr>
          <w:p w:rsidR="00581FA5" w:rsidRPr="00D51A68" w:rsidRDefault="00581FA5" w:rsidP="00FC1A76">
            <w:pPr>
              <w:pStyle w:val="InstructionsText"/>
            </w:pPr>
            <w:r w:rsidRPr="00D51A68">
              <w:t>Può essere assegnata alla classe di esp. di cui all</w:t>
            </w:r>
            <w:r w:rsidR="0009277C" w:rsidRPr="00D51A68">
              <w:t>’</w:t>
            </w:r>
            <w:r w:rsidRPr="00D51A68">
              <w:t>articolo 112, lettera i)?</w:t>
            </w:r>
          </w:p>
        </w:tc>
        <w:tc>
          <w:tcPr>
            <w:tcW w:w="1417" w:type="dxa"/>
            <w:shd w:val="clear" w:color="auto" w:fill="auto"/>
          </w:tcPr>
          <w:p w:rsidR="00BD52C3" w:rsidRPr="00D51A68" w:rsidRDefault="00BD52C3" w:rsidP="00FC1A76">
            <w:pPr>
              <w:pStyle w:val="InstructionsText"/>
            </w:pPr>
            <w:r w:rsidRPr="00D51A68">
              <w:t xml:space="preserve">SÌ </w:t>
            </w:r>
            <w:r w:rsidRPr="00D51A68">
              <w:rPr>
                <w:lang w:eastAsia="en-GB" w:bidi="ar-SA"/>
              </w:rPr>
              <w:drawing>
                <wp:inline distT="0" distB="0" distL="0" distR="0" wp14:anchorId="00F54087" wp14:editId="5BB9381C">
                  <wp:extent cx="371475" cy="276225"/>
                  <wp:effectExtent l="0" t="0" r="9525" b="9525"/>
                  <wp:docPr id="11"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D51A68" w:rsidRDefault="00581FA5" w:rsidP="00FC1A76">
            <w:pPr>
              <w:pStyle w:val="InstructionsText"/>
            </w:pPr>
          </w:p>
        </w:tc>
        <w:tc>
          <w:tcPr>
            <w:tcW w:w="4077" w:type="dxa"/>
            <w:shd w:val="clear" w:color="auto" w:fill="auto"/>
          </w:tcPr>
          <w:p w:rsidR="00581FA5" w:rsidRPr="00D51A68" w:rsidRDefault="00581FA5" w:rsidP="00FC1A76">
            <w:pPr>
              <w:pStyle w:val="InstructionsText"/>
            </w:pPr>
            <w:r w:rsidRPr="00D51A68">
              <w:t>Esposizioni garantite da ipoteche su beni immobili (cfr. anche articolo 124)</w:t>
            </w:r>
          </w:p>
        </w:tc>
      </w:tr>
      <w:tr w:rsidR="00581FA5" w:rsidRPr="00D51A68" w:rsidTr="00543CF6">
        <w:tc>
          <w:tcPr>
            <w:tcW w:w="3903" w:type="dxa"/>
            <w:shd w:val="clear" w:color="auto" w:fill="auto"/>
          </w:tcPr>
          <w:p w:rsidR="007241D3" w:rsidRPr="00D51A68" w:rsidRDefault="007241D3" w:rsidP="00FC1A76">
            <w:pPr>
              <w:pStyle w:val="InstructionsText"/>
            </w:pPr>
            <w:r w:rsidRPr="00D51A68">
              <w:t xml:space="preserve">NO </w:t>
            </w:r>
            <w:r w:rsidRPr="00D51A68">
              <w:rPr>
                <w:lang w:eastAsia="en-GB" w:bidi="ar-SA"/>
              </w:rPr>
              <w:drawing>
                <wp:inline distT="0" distB="0" distL="0" distR="0" wp14:anchorId="6BAA656F" wp14:editId="030241C6">
                  <wp:extent cx="819150" cy="352425"/>
                  <wp:effectExtent l="0" t="0" r="0" b="9525"/>
                  <wp:docPr id="1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D51A68" w:rsidRDefault="00581FA5" w:rsidP="00FC1A76">
            <w:pPr>
              <w:pStyle w:val="InstructionsText"/>
            </w:pPr>
          </w:p>
        </w:tc>
        <w:tc>
          <w:tcPr>
            <w:tcW w:w="1417" w:type="dxa"/>
            <w:shd w:val="clear" w:color="auto" w:fill="auto"/>
          </w:tcPr>
          <w:p w:rsidR="00581FA5" w:rsidRPr="00D51A68" w:rsidRDefault="00581FA5" w:rsidP="00FC1A76">
            <w:pPr>
              <w:pStyle w:val="InstructionsText"/>
            </w:pPr>
          </w:p>
        </w:tc>
        <w:tc>
          <w:tcPr>
            <w:tcW w:w="4077" w:type="dxa"/>
            <w:shd w:val="clear" w:color="auto" w:fill="auto"/>
          </w:tcPr>
          <w:p w:rsidR="00581FA5" w:rsidRPr="00D51A68" w:rsidRDefault="00581FA5" w:rsidP="00FC1A76">
            <w:pPr>
              <w:pStyle w:val="InstructionsText"/>
            </w:pPr>
          </w:p>
        </w:tc>
      </w:tr>
      <w:tr w:rsidR="00581FA5" w:rsidRPr="00D51A68" w:rsidTr="00543CF6">
        <w:tc>
          <w:tcPr>
            <w:tcW w:w="3903" w:type="dxa"/>
            <w:shd w:val="clear" w:color="auto" w:fill="auto"/>
          </w:tcPr>
          <w:p w:rsidR="00581FA5" w:rsidRPr="00D51A68" w:rsidRDefault="00581FA5" w:rsidP="00FC1A76">
            <w:pPr>
              <w:pStyle w:val="InstructionsText"/>
            </w:pPr>
            <w:r w:rsidRPr="00D51A68">
              <w:t>Può essere assegnata alla classe di esp. di cui all</w:t>
            </w:r>
            <w:r w:rsidR="0009277C" w:rsidRPr="00D51A68">
              <w:t>’</w:t>
            </w:r>
            <w:r w:rsidRPr="00D51A68">
              <w:t>articolo 112, lettera q)?</w:t>
            </w:r>
          </w:p>
        </w:tc>
        <w:tc>
          <w:tcPr>
            <w:tcW w:w="1417" w:type="dxa"/>
            <w:shd w:val="clear" w:color="auto" w:fill="auto"/>
          </w:tcPr>
          <w:p w:rsidR="00BD52C3" w:rsidRPr="00D51A68" w:rsidRDefault="00BD52C3" w:rsidP="00FC1A76">
            <w:pPr>
              <w:pStyle w:val="InstructionsText"/>
            </w:pPr>
            <w:r w:rsidRPr="00D51A68">
              <w:t xml:space="preserve">SÌ </w:t>
            </w:r>
            <w:r w:rsidRPr="00D51A68">
              <w:rPr>
                <w:lang w:eastAsia="en-GB" w:bidi="ar-SA"/>
              </w:rPr>
              <w:drawing>
                <wp:inline distT="0" distB="0" distL="0" distR="0" wp14:anchorId="08A1F25E" wp14:editId="47DBC4C9">
                  <wp:extent cx="371475" cy="276225"/>
                  <wp:effectExtent l="0" t="0" r="9525" b="9525"/>
                  <wp:docPr id="13"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D51A68" w:rsidRDefault="00581FA5" w:rsidP="00FC1A76">
            <w:pPr>
              <w:pStyle w:val="InstructionsText"/>
            </w:pPr>
          </w:p>
        </w:tc>
        <w:tc>
          <w:tcPr>
            <w:tcW w:w="4077" w:type="dxa"/>
            <w:shd w:val="clear" w:color="auto" w:fill="auto"/>
          </w:tcPr>
          <w:p w:rsidR="00581FA5" w:rsidRPr="00D51A68" w:rsidRDefault="00581FA5" w:rsidP="00FC1A76">
            <w:pPr>
              <w:pStyle w:val="InstructionsText"/>
            </w:pPr>
            <w:r w:rsidRPr="00D51A68">
              <w:t>Altre posizioni</w:t>
            </w:r>
          </w:p>
        </w:tc>
      </w:tr>
      <w:tr w:rsidR="00581FA5" w:rsidRPr="00D51A68" w:rsidTr="00543CF6">
        <w:tc>
          <w:tcPr>
            <w:tcW w:w="3903" w:type="dxa"/>
            <w:shd w:val="clear" w:color="auto" w:fill="auto"/>
          </w:tcPr>
          <w:p w:rsidR="007241D3" w:rsidRPr="00D51A68" w:rsidRDefault="007241D3" w:rsidP="00FC1A76">
            <w:pPr>
              <w:pStyle w:val="InstructionsText"/>
            </w:pPr>
            <w:r w:rsidRPr="00D51A68">
              <w:t xml:space="preserve">NO </w:t>
            </w:r>
            <w:r w:rsidRPr="00D51A68">
              <w:rPr>
                <w:lang w:eastAsia="en-GB" w:bidi="ar-SA"/>
              </w:rPr>
              <w:drawing>
                <wp:inline distT="0" distB="0" distL="0" distR="0" wp14:anchorId="55192C2D" wp14:editId="41C08ABF">
                  <wp:extent cx="819150" cy="352425"/>
                  <wp:effectExtent l="0" t="0" r="0" b="9525"/>
                  <wp:docPr id="1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D51A68" w:rsidRDefault="00581FA5" w:rsidP="00FC1A76">
            <w:pPr>
              <w:pStyle w:val="InstructionsText"/>
            </w:pPr>
          </w:p>
        </w:tc>
        <w:tc>
          <w:tcPr>
            <w:tcW w:w="1417" w:type="dxa"/>
            <w:shd w:val="clear" w:color="auto" w:fill="auto"/>
          </w:tcPr>
          <w:p w:rsidR="00581FA5" w:rsidRPr="00D51A68" w:rsidRDefault="00581FA5" w:rsidP="00FC1A76">
            <w:pPr>
              <w:pStyle w:val="InstructionsText"/>
            </w:pPr>
          </w:p>
        </w:tc>
        <w:tc>
          <w:tcPr>
            <w:tcW w:w="4077" w:type="dxa"/>
            <w:shd w:val="clear" w:color="auto" w:fill="auto"/>
          </w:tcPr>
          <w:p w:rsidR="00581FA5" w:rsidRPr="00D51A68" w:rsidRDefault="00581FA5" w:rsidP="00FC1A76">
            <w:pPr>
              <w:pStyle w:val="InstructionsText"/>
            </w:pPr>
          </w:p>
        </w:tc>
      </w:tr>
      <w:tr w:rsidR="00581FA5" w:rsidRPr="00D51A68" w:rsidTr="00543CF6">
        <w:tc>
          <w:tcPr>
            <w:tcW w:w="3903" w:type="dxa"/>
            <w:shd w:val="clear" w:color="auto" w:fill="auto"/>
          </w:tcPr>
          <w:p w:rsidR="00581FA5" w:rsidRPr="00D51A68" w:rsidRDefault="00581FA5" w:rsidP="00FC1A76">
            <w:pPr>
              <w:pStyle w:val="InstructionsText"/>
            </w:pPr>
            <w:r w:rsidRPr="00D51A68">
              <w:t>Può essere assegnata alla classe di esp. di cui all</w:t>
            </w:r>
            <w:r w:rsidR="0009277C" w:rsidRPr="00D51A68">
              <w:t>’</w:t>
            </w:r>
            <w:r w:rsidRPr="00D51A68">
              <w:t>articolo 112, lettera n)?</w:t>
            </w:r>
          </w:p>
        </w:tc>
        <w:tc>
          <w:tcPr>
            <w:tcW w:w="1417" w:type="dxa"/>
            <w:shd w:val="clear" w:color="auto" w:fill="auto"/>
          </w:tcPr>
          <w:p w:rsidR="0063493E" w:rsidRPr="00D51A68" w:rsidRDefault="0063493E" w:rsidP="00FC1A76">
            <w:pPr>
              <w:pStyle w:val="InstructionsText"/>
            </w:pPr>
            <w:r w:rsidRPr="00D51A68">
              <w:t xml:space="preserve">SÌ </w:t>
            </w:r>
            <w:r w:rsidRPr="00D51A68">
              <w:rPr>
                <w:lang w:eastAsia="en-GB" w:bidi="ar-SA"/>
              </w:rPr>
              <w:drawing>
                <wp:inline distT="0" distB="0" distL="0" distR="0" wp14:anchorId="12979768" wp14:editId="5C983856">
                  <wp:extent cx="371475" cy="276225"/>
                  <wp:effectExtent l="0" t="0" r="9525" b="9525"/>
                  <wp:docPr id="15"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D51A68" w:rsidRDefault="00581FA5" w:rsidP="00FC1A76">
            <w:pPr>
              <w:pStyle w:val="InstructionsText"/>
            </w:pPr>
          </w:p>
        </w:tc>
        <w:tc>
          <w:tcPr>
            <w:tcW w:w="4077" w:type="dxa"/>
            <w:shd w:val="clear" w:color="auto" w:fill="auto"/>
          </w:tcPr>
          <w:p w:rsidR="00581FA5" w:rsidRPr="00D51A68" w:rsidRDefault="00581FA5" w:rsidP="00FC1A76">
            <w:pPr>
              <w:pStyle w:val="InstructionsText"/>
            </w:pPr>
            <w:r w:rsidRPr="00D51A68">
              <w:t>Esposizioni verso enti e imprese con valutazione del merito di credito a breve termine</w:t>
            </w:r>
          </w:p>
        </w:tc>
      </w:tr>
      <w:tr w:rsidR="00581FA5" w:rsidRPr="00D51A68" w:rsidTr="00543CF6">
        <w:tc>
          <w:tcPr>
            <w:tcW w:w="3903" w:type="dxa"/>
            <w:shd w:val="clear" w:color="auto" w:fill="auto"/>
          </w:tcPr>
          <w:p w:rsidR="007241D3" w:rsidRPr="00D51A68" w:rsidRDefault="007241D3" w:rsidP="00FC1A76">
            <w:pPr>
              <w:pStyle w:val="InstructionsText"/>
            </w:pPr>
            <w:r w:rsidRPr="00D51A68">
              <w:t xml:space="preserve">NO </w:t>
            </w:r>
            <w:r w:rsidRPr="00D51A68">
              <w:rPr>
                <w:lang w:eastAsia="en-GB" w:bidi="ar-SA"/>
              </w:rPr>
              <w:drawing>
                <wp:inline distT="0" distB="0" distL="0" distR="0" wp14:anchorId="56B626FD" wp14:editId="25029965">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D51A68" w:rsidRDefault="00581FA5" w:rsidP="00FC1A76">
            <w:pPr>
              <w:pStyle w:val="InstructionsText"/>
            </w:pPr>
          </w:p>
        </w:tc>
        <w:tc>
          <w:tcPr>
            <w:tcW w:w="1417" w:type="dxa"/>
            <w:shd w:val="clear" w:color="auto" w:fill="auto"/>
          </w:tcPr>
          <w:p w:rsidR="00581FA5" w:rsidRPr="00D51A68" w:rsidRDefault="00581FA5" w:rsidP="00FC1A76">
            <w:pPr>
              <w:pStyle w:val="InstructionsText"/>
            </w:pPr>
          </w:p>
        </w:tc>
        <w:tc>
          <w:tcPr>
            <w:tcW w:w="4077" w:type="dxa"/>
            <w:shd w:val="clear" w:color="auto" w:fill="auto"/>
          </w:tcPr>
          <w:p w:rsidR="00581FA5" w:rsidRPr="00D51A68" w:rsidRDefault="00581FA5" w:rsidP="00FC1A76">
            <w:pPr>
              <w:pStyle w:val="InstructionsText"/>
            </w:pPr>
          </w:p>
        </w:tc>
      </w:tr>
      <w:tr w:rsidR="00581FA5" w:rsidRPr="00D51A68" w:rsidTr="00543CF6">
        <w:tc>
          <w:tcPr>
            <w:tcW w:w="9397" w:type="dxa"/>
            <w:gridSpan w:val="3"/>
            <w:shd w:val="clear" w:color="auto" w:fill="auto"/>
          </w:tcPr>
          <w:p w:rsidR="00581FA5" w:rsidRPr="00D51A68" w:rsidRDefault="00581FA5" w:rsidP="00FC1A76">
            <w:pPr>
              <w:pStyle w:val="InstructionsText"/>
            </w:pPr>
            <w:r w:rsidRPr="00D51A68">
              <w:t>Le seguenti classi di esposizioni sono separate tra loro; pertanto l</w:t>
            </w:r>
            <w:r w:rsidR="0009277C" w:rsidRPr="00D51A68">
              <w:t>’</w:t>
            </w:r>
            <w:r w:rsidRPr="00D51A68">
              <w:t>assegnazione a una di esse è lineare:</w:t>
            </w:r>
          </w:p>
          <w:p w:rsidR="00581FA5" w:rsidRPr="00D51A68" w:rsidRDefault="00581FA5" w:rsidP="00FC1A76">
            <w:pPr>
              <w:pStyle w:val="InstructionsText"/>
            </w:pPr>
            <w:r w:rsidRPr="00D51A68">
              <w:t>esposizioni verso amministrazioni centrali o banche centrali</w:t>
            </w:r>
          </w:p>
          <w:p w:rsidR="00581FA5" w:rsidRPr="00D51A68" w:rsidRDefault="00581FA5" w:rsidP="00FC1A76">
            <w:pPr>
              <w:pStyle w:val="InstructionsText"/>
            </w:pPr>
            <w:r w:rsidRPr="00D51A68">
              <w:t>esposizioni verso amministrazioni regionali o autorità locali</w:t>
            </w:r>
          </w:p>
          <w:p w:rsidR="00581FA5" w:rsidRPr="00D51A68" w:rsidRDefault="00581FA5" w:rsidP="00FC1A76">
            <w:pPr>
              <w:pStyle w:val="InstructionsText"/>
            </w:pPr>
            <w:r w:rsidRPr="00D51A68">
              <w:t>esposizioni verso organismi del settore pubblico</w:t>
            </w:r>
          </w:p>
          <w:p w:rsidR="00581FA5" w:rsidRPr="00D51A68" w:rsidRDefault="00581FA5" w:rsidP="00FC1A76">
            <w:pPr>
              <w:pStyle w:val="InstructionsText"/>
            </w:pPr>
            <w:r w:rsidRPr="00D51A68">
              <w:t>esposizioni verso banche multilaterali di sviluppo</w:t>
            </w:r>
          </w:p>
          <w:p w:rsidR="00581FA5" w:rsidRPr="00D51A68" w:rsidRDefault="00581FA5" w:rsidP="00FC1A76">
            <w:pPr>
              <w:pStyle w:val="InstructionsText"/>
            </w:pPr>
            <w:r w:rsidRPr="00D51A68">
              <w:t>esposizioni verso organizzazioni internazionali</w:t>
            </w:r>
          </w:p>
          <w:p w:rsidR="00581FA5" w:rsidRPr="00D51A68" w:rsidRDefault="00581FA5" w:rsidP="00FC1A76">
            <w:pPr>
              <w:pStyle w:val="InstructionsText"/>
            </w:pPr>
            <w:r w:rsidRPr="00D51A68">
              <w:t>esposizioni verso enti</w:t>
            </w:r>
          </w:p>
          <w:p w:rsidR="00581FA5" w:rsidRPr="00D51A68" w:rsidRDefault="00581FA5" w:rsidP="00FC1A76">
            <w:pPr>
              <w:pStyle w:val="InstructionsText"/>
            </w:pPr>
            <w:r w:rsidRPr="00D51A68">
              <w:t>esposizioni verso imprese</w:t>
            </w:r>
          </w:p>
          <w:p w:rsidR="00581FA5" w:rsidRPr="00D51A68" w:rsidRDefault="00581FA5" w:rsidP="00FC1A76">
            <w:pPr>
              <w:pStyle w:val="InstructionsText"/>
            </w:pPr>
            <w:r w:rsidRPr="00D51A68">
              <w:t>esposizioni al dettaglio</w:t>
            </w:r>
          </w:p>
        </w:tc>
      </w:tr>
    </w:tbl>
    <w:p w:rsidR="00464F34" w:rsidRPr="00D51A68" w:rsidRDefault="00464F34" w:rsidP="00FC1A76">
      <w:pPr>
        <w:pStyle w:val="InstructionsText"/>
      </w:pPr>
    </w:p>
    <w:p w:rsidR="00464F34" w:rsidRPr="00D51A68" w:rsidRDefault="00464F34" w:rsidP="00FC1A76">
      <w:pPr>
        <w:pStyle w:val="InstructionsText"/>
      </w:pPr>
    </w:p>
    <w:p w:rsidR="0073242B" w:rsidRPr="00D51A68" w:rsidRDefault="0073242B">
      <w:pPr>
        <w:spacing w:before="0" w:after="0"/>
        <w:jc w:val="left"/>
        <w:rPr>
          <w:rFonts w:ascii="Times New Roman" w:hAnsi="Times New Roman"/>
          <w:bCs/>
          <w:sz w:val="24"/>
        </w:rPr>
      </w:pPr>
      <w:r w:rsidRPr="00D51A68">
        <w:br w:type="page"/>
      </w:r>
    </w:p>
    <w:p w:rsidR="00464F34" w:rsidRPr="00D51A68" w:rsidRDefault="00464F34" w:rsidP="00FC1A76">
      <w:pPr>
        <w:pStyle w:val="InstructionsText"/>
      </w:pPr>
    </w:p>
    <w:p w:rsidR="00464F34" w:rsidRPr="00D51A68" w:rsidRDefault="00125707" w:rsidP="0023700C">
      <w:pPr>
        <w:pStyle w:val="Instructionsberschrift2"/>
        <w:numPr>
          <w:ilvl w:val="0"/>
          <w:numId w:val="0"/>
        </w:numPr>
        <w:ind w:left="357" w:hanging="357"/>
        <w:rPr>
          <w:rFonts w:ascii="Times New Roman" w:hAnsi="Times New Roman" w:cs="Times New Roman"/>
          <w:sz w:val="24"/>
        </w:rPr>
      </w:pPr>
      <w:bookmarkStart w:id="229" w:name="_Toc262568031"/>
      <w:bookmarkStart w:id="230" w:name="_Toc264038429"/>
      <w:bookmarkStart w:id="231" w:name="_Toc292456208"/>
      <w:bookmarkStart w:id="232" w:name="_Toc295829859"/>
      <w:bookmarkStart w:id="233" w:name="_Toc310415023"/>
      <w:bookmarkStart w:id="234" w:name="_Toc360188352"/>
      <w:bookmarkStart w:id="235" w:name="_Toc516210636"/>
      <w:bookmarkStart w:id="236" w:name="_Toc473560901"/>
      <w:bookmarkStart w:id="237" w:name="_Toc524096581"/>
      <w:r w:rsidRPr="00D51A68">
        <w:rPr>
          <w:rFonts w:ascii="Times New Roman" w:hAnsi="Times New Roman"/>
          <w:sz w:val="24"/>
          <w:u w:val="none"/>
        </w:rPr>
        <w:t>3.2.4.</w:t>
      </w:r>
      <w:r w:rsidR="00A0772B" w:rsidRPr="00D51A68">
        <w:rPr>
          <w:u w:val="none"/>
        </w:rPr>
        <w:tab/>
      </w:r>
      <w:r w:rsidRPr="00D51A68">
        <w:rPr>
          <w:rFonts w:ascii="Times New Roman" w:hAnsi="Times New Roman"/>
          <w:sz w:val="24"/>
        </w:rPr>
        <w:t>Chiarimenti dell</w:t>
      </w:r>
      <w:r w:rsidR="0009277C" w:rsidRPr="00D51A68">
        <w:rPr>
          <w:rFonts w:ascii="Times New Roman" w:hAnsi="Times New Roman"/>
          <w:sz w:val="24"/>
        </w:rPr>
        <w:t>’</w:t>
      </w:r>
      <w:r w:rsidRPr="00D51A68">
        <w:rPr>
          <w:rFonts w:ascii="Times New Roman" w:hAnsi="Times New Roman"/>
          <w:sz w:val="24"/>
        </w:rPr>
        <w:t>ambito di applicazione di alcune classi di esposizioni specifiche citate nell</w:t>
      </w:r>
      <w:r w:rsidR="0009277C" w:rsidRPr="00D51A68">
        <w:rPr>
          <w:rFonts w:ascii="Times New Roman" w:hAnsi="Times New Roman"/>
          <w:sz w:val="24"/>
        </w:rPr>
        <w:t>’</w:t>
      </w:r>
      <w:r w:rsidRPr="00D51A68">
        <w:rPr>
          <w:rFonts w:ascii="Times New Roman" w:hAnsi="Times New Roman"/>
          <w:sz w:val="24"/>
        </w:rPr>
        <w:t>articolo 112 del CRR</w:t>
      </w:r>
      <w:bookmarkEnd w:id="229"/>
      <w:bookmarkEnd w:id="230"/>
      <w:bookmarkEnd w:id="231"/>
      <w:bookmarkEnd w:id="232"/>
      <w:bookmarkEnd w:id="233"/>
      <w:bookmarkEnd w:id="234"/>
      <w:bookmarkEnd w:id="235"/>
      <w:bookmarkEnd w:id="236"/>
      <w:bookmarkEnd w:id="237"/>
    </w:p>
    <w:p w:rsidR="00464F34" w:rsidRPr="00D51A68" w:rsidRDefault="00125707" w:rsidP="0023700C">
      <w:pPr>
        <w:pStyle w:val="Instructionsberschrift2"/>
        <w:numPr>
          <w:ilvl w:val="0"/>
          <w:numId w:val="0"/>
        </w:numPr>
        <w:ind w:left="357" w:hanging="357"/>
        <w:rPr>
          <w:rFonts w:ascii="Times New Roman" w:hAnsi="Times New Roman" w:cs="Times New Roman"/>
          <w:sz w:val="24"/>
          <w:u w:val="none"/>
        </w:rPr>
      </w:pPr>
      <w:bookmarkStart w:id="238" w:name="_Toc360188353"/>
      <w:bookmarkStart w:id="239" w:name="_Toc516210637"/>
      <w:bookmarkStart w:id="240" w:name="_Toc473560902"/>
      <w:bookmarkStart w:id="241" w:name="_Toc524096582"/>
      <w:r w:rsidRPr="00D51A68">
        <w:rPr>
          <w:rFonts w:ascii="Times New Roman" w:hAnsi="Times New Roman"/>
          <w:sz w:val="24"/>
          <w:u w:val="none"/>
        </w:rPr>
        <w:t>3.2.4.1.</w:t>
      </w:r>
      <w:r w:rsidR="00A0772B" w:rsidRPr="00D51A68">
        <w:rPr>
          <w:u w:val="none"/>
        </w:rPr>
        <w:tab/>
      </w:r>
      <w:r w:rsidRPr="00D51A68">
        <w:rPr>
          <w:rFonts w:ascii="Times New Roman" w:hAnsi="Times New Roman"/>
          <w:sz w:val="24"/>
        </w:rPr>
        <w:t xml:space="preserve">Classe di esposizioni </w:t>
      </w:r>
      <w:r w:rsidR="0009277C" w:rsidRPr="00D51A68">
        <w:rPr>
          <w:rFonts w:ascii="Times New Roman" w:hAnsi="Times New Roman"/>
          <w:sz w:val="24"/>
        </w:rPr>
        <w:t>“</w:t>
      </w:r>
      <w:r w:rsidRPr="00D51A68">
        <w:rPr>
          <w:rFonts w:ascii="Times New Roman" w:hAnsi="Times New Roman"/>
          <w:sz w:val="24"/>
        </w:rPr>
        <w:t>Enti</w:t>
      </w:r>
      <w:r w:rsidR="0009277C" w:rsidRPr="00D51A68">
        <w:rPr>
          <w:rFonts w:ascii="Times New Roman" w:hAnsi="Times New Roman"/>
          <w:sz w:val="24"/>
        </w:rPr>
        <w:t>”</w:t>
      </w:r>
      <w:bookmarkEnd w:id="238"/>
      <w:bookmarkEnd w:id="239"/>
      <w:bookmarkEnd w:id="240"/>
      <w:bookmarkEnd w:id="241"/>
    </w:p>
    <w:p w:rsidR="00464F34" w:rsidRPr="00D51A68" w:rsidRDefault="00125707" w:rsidP="00543CF6">
      <w:pPr>
        <w:pStyle w:val="InstructionsText2"/>
        <w:numPr>
          <w:ilvl w:val="0"/>
          <w:numId w:val="0"/>
        </w:numPr>
        <w:ind w:left="993"/>
      </w:pPr>
      <w:r w:rsidRPr="00D51A68">
        <w:t>68.</w:t>
      </w:r>
      <w:r w:rsidR="00A0772B" w:rsidRPr="00D51A68">
        <w:tab/>
      </w:r>
      <w:r w:rsidRPr="00D51A68">
        <w:t>Le esposizioni infragruppo ai sensi dell</w:t>
      </w:r>
      <w:r w:rsidR="0009277C" w:rsidRPr="00D51A68">
        <w:t>’</w:t>
      </w:r>
      <w:r w:rsidRPr="00D51A68">
        <w:t>articolo 113, paragrafi 6 e 7, del CRR sono segnalate con le modalità indicate di seguito.</w:t>
      </w:r>
    </w:p>
    <w:p w:rsidR="00464F34" w:rsidRPr="00D51A68" w:rsidRDefault="00125707" w:rsidP="00543CF6">
      <w:pPr>
        <w:pStyle w:val="InstructionsText2"/>
        <w:numPr>
          <w:ilvl w:val="0"/>
          <w:numId w:val="0"/>
        </w:numPr>
        <w:ind w:left="993"/>
      </w:pPr>
      <w:r w:rsidRPr="00D51A68">
        <w:t>69.</w:t>
      </w:r>
      <w:r w:rsidR="00A0772B" w:rsidRPr="00D51A68">
        <w:tab/>
      </w:r>
      <w:r w:rsidRPr="00D51A68">
        <w:t>Le esposizioni che soddisfano i requisiti dell</w:t>
      </w:r>
      <w:r w:rsidR="0009277C" w:rsidRPr="00D51A68">
        <w:t>’</w:t>
      </w:r>
      <w:r w:rsidRPr="00D51A68">
        <w:t>articolo 113, paragrafo 7, del CRR sono segnalate nella rispettiva classe di esposizioni nella quale sarebbero segnalate se non fossero esposizioni infragruppo.</w:t>
      </w:r>
    </w:p>
    <w:p w:rsidR="00464F34" w:rsidRPr="00D51A68" w:rsidRDefault="00125707" w:rsidP="00543CF6">
      <w:pPr>
        <w:pStyle w:val="InstructionsText2"/>
        <w:numPr>
          <w:ilvl w:val="0"/>
          <w:numId w:val="0"/>
        </w:numPr>
        <w:ind w:left="993"/>
      </w:pPr>
      <w:r w:rsidRPr="00D51A68">
        <w:t>70.</w:t>
      </w:r>
      <w:r w:rsidR="00A0772B" w:rsidRPr="00D51A68">
        <w:tab/>
      </w:r>
      <w:r w:rsidRPr="00D51A68">
        <w:t>Ai sensi dell</w:t>
      </w:r>
      <w:r w:rsidR="0009277C" w:rsidRPr="00D51A68">
        <w:t>’</w:t>
      </w:r>
      <w:r w:rsidRPr="00D51A68">
        <w:t xml:space="preserve">articolo 113, paragrafi 6 e 7, del CRR </w:t>
      </w:r>
      <w:r w:rsidR="0009277C" w:rsidRPr="00D51A68">
        <w:t>“</w:t>
      </w:r>
      <w:r w:rsidRPr="00D51A68">
        <w:t>un ente può, subordinatamente alla preventiva approvazione delle autorità competenti, decidere di non applicare i requisiti di cui al paragrafo 1 del presente articolo alle esposizioni dell</w:t>
      </w:r>
      <w:r w:rsidR="0009277C" w:rsidRPr="00D51A68">
        <w:t>’</w:t>
      </w:r>
      <w:r w:rsidRPr="00D51A68">
        <w:t>ente verso una controparte che sia sua impresa madre, sua filiazione o filiazione della sua impresa madre, o un</w:t>
      </w:r>
      <w:r w:rsidR="0009277C" w:rsidRPr="00D51A68">
        <w:t>’</w:t>
      </w:r>
      <w:r w:rsidRPr="00D51A68">
        <w:t>impresa legata da una relazione ai sensi dell</w:t>
      </w:r>
      <w:r w:rsidR="0009277C" w:rsidRPr="00D51A68">
        <w:t>’</w:t>
      </w:r>
      <w:r w:rsidRPr="00D51A68">
        <w:t>articolo 12, paragrafo 1, della direttiva 83/349/CEE</w:t>
      </w:r>
      <w:r w:rsidR="0009277C" w:rsidRPr="00D51A68">
        <w:t>”</w:t>
      </w:r>
      <w:r w:rsidRPr="00D51A68">
        <w:t>.</w:t>
      </w:r>
      <w:r w:rsidR="0009277C" w:rsidRPr="00D51A68">
        <w:t xml:space="preserve"> </w:t>
      </w:r>
      <w:r w:rsidRPr="00D51A68">
        <w:t>Ciò significa che le controparti infragruppo non sono necessariamente enti, bensì anche imprese assegnate ad altre classi di esposizioni, ad esempio imprese strumentali o imprese di cui all</w:t>
      </w:r>
      <w:r w:rsidR="0009277C" w:rsidRPr="00D51A68">
        <w:t>’</w:t>
      </w:r>
      <w:r w:rsidRPr="00D51A68">
        <w:t>articolo 12, paragrafo 1, della direttiva 83/349/CEE. Pertanto le esposizioni infragruppo sono segnalate nella classe di esposizioni corrispondente.</w:t>
      </w:r>
    </w:p>
    <w:p w:rsidR="00464F34" w:rsidRPr="00D51A68" w:rsidRDefault="00125707" w:rsidP="0023700C">
      <w:pPr>
        <w:pStyle w:val="Instructionsberschrift2"/>
        <w:numPr>
          <w:ilvl w:val="0"/>
          <w:numId w:val="0"/>
        </w:numPr>
        <w:ind w:left="357" w:hanging="357"/>
        <w:rPr>
          <w:rFonts w:ascii="Times New Roman" w:hAnsi="Times New Roman" w:cs="Times New Roman"/>
          <w:sz w:val="24"/>
        </w:rPr>
      </w:pPr>
      <w:bookmarkStart w:id="242" w:name="_Toc360188354"/>
      <w:bookmarkStart w:id="243" w:name="_Toc516210638"/>
      <w:bookmarkStart w:id="244" w:name="_Toc473560903"/>
      <w:bookmarkStart w:id="245" w:name="_Toc524096583"/>
      <w:r w:rsidRPr="00D51A68">
        <w:rPr>
          <w:rFonts w:ascii="Times New Roman" w:hAnsi="Times New Roman"/>
          <w:sz w:val="24"/>
          <w:u w:val="none"/>
        </w:rPr>
        <w:t>3.2.4.2.</w:t>
      </w:r>
      <w:r w:rsidR="00A0772B" w:rsidRPr="00D51A68">
        <w:rPr>
          <w:u w:val="none"/>
        </w:rPr>
        <w:tab/>
      </w:r>
      <w:r w:rsidRPr="00D51A68">
        <w:rPr>
          <w:rFonts w:ascii="Times New Roman" w:hAnsi="Times New Roman"/>
          <w:sz w:val="24"/>
        </w:rPr>
        <w:t xml:space="preserve">Classe di esposizioni </w:t>
      </w:r>
      <w:r w:rsidR="0009277C" w:rsidRPr="00D51A68">
        <w:rPr>
          <w:rFonts w:ascii="Times New Roman" w:hAnsi="Times New Roman"/>
          <w:sz w:val="24"/>
        </w:rPr>
        <w:t>“</w:t>
      </w:r>
      <w:r w:rsidRPr="00D51A68">
        <w:rPr>
          <w:rFonts w:ascii="Times New Roman" w:hAnsi="Times New Roman"/>
          <w:sz w:val="24"/>
        </w:rPr>
        <w:t>Obbligazioni garantite</w:t>
      </w:r>
      <w:r w:rsidR="0009277C" w:rsidRPr="00D51A68">
        <w:rPr>
          <w:rFonts w:ascii="Times New Roman" w:hAnsi="Times New Roman"/>
          <w:sz w:val="24"/>
        </w:rPr>
        <w:t>”</w:t>
      </w:r>
      <w:bookmarkEnd w:id="242"/>
      <w:bookmarkEnd w:id="243"/>
      <w:bookmarkEnd w:id="244"/>
      <w:bookmarkEnd w:id="245"/>
    </w:p>
    <w:p w:rsidR="00464F34" w:rsidRPr="00D51A68" w:rsidRDefault="00125707" w:rsidP="0068462E">
      <w:pPr>
        <w:pStyle w:val="InstructionsText2"/>
        <w:numPr>
          <w:ilvl w:val="0"/>
          <w:numId w:val="0"/>
        </w:numPr>
        <w:ind w:left="993"/>
      </w:pPr>
      <w:r w:rsidRPr="00D51A68">
        <w:t>71.</w:t>
      </w:r>
      <w:r w:rsidR="00A0772B" w:rsidRPr="00D51A68">
        <w:tab/>
      </w:r>
      <w:r w:rsidRPr="00D51A68">
        <w:t xml:space="preserve">Le esposizioni secondo il metodo standardizzato sono assegnate alla classe di esposizioni </w:t>
      </w:r>
      <w:r w:rsidR="0009277C" w:rsidRPr="00D51A68">
        <w:t>“</w:t>
      </w:r>
      <w:r w:rsidRPr="00D51A68">
        <w:t>obbligazioni garantite</w:t>
      </w:r>
      <w:r w:rsidR="0009277C" w:rsidRPr="00D51A68">
        <w:t>”</w:t>
      </w:r>
      <w:r w:rsidRPr="00D51A68">
        <w:t xml:space="preserve"> con le modalità indicate di seguito.</w:t>
      </w:r>
    </w:p>
    <w:p w:rsidR="00464F34" w:rsidRPr="00D51A68" w:rsidRDefault="00125707" w:rsidP="0068462E">
      <w:pPr>
        <w:pStyle w:val="InstructionsText2"/>
        <w:numPr>
          <w:ilvl w:val="0"/>
          <w:numId w:val="0"/>
        </w:numPr>
        <w:ind w:left="993"/>
      </w:pPr>
      <w:r w:rsidRPr="00D51A68">
        <w:t>72.</w:t>
      </w:r>
      <w:r w:rsidR="00A0772B" w:rsidRPr="00D51A68">
        <w:tab/>
      </w:r>
      <w:r w:rsidRPr="00D51A68">
        <w:t>Le obbligazioni definite nell</w:t>
      </w:r>
      <w:r w:rsidR="0009277C" w:rsidRPr="00D51A68">
        <w:t>’</w:t>
      </w:r>
      <w:r w:rsidRPr="00D51A68">
        <w:t>articolo 52, paragrafo 4, della direttiva 2009/65/CE devono soddisfare i requisiti di cui all</w:t>
      </w:r>
      <w:r w:rsidR="0009277C" w:rsidRPr="00D51A68">
        <w:t>’</w:t>
      </w:r>
      <w:r w:rsidRPr="00D51A68">
        <w:t xml:space="preserve">articolo 129, paragrafi 1 e 2, del CRR per poter essere classificate nella classe di esposizioni </w:t>
      </w:r>
      <w:r w:rsidR="0009277C" w:rsidRPr="00D51A68">
        <w:t>“</w:t>
      </w:r>
      <w:r w:rsidRPr="00D51A68">
        <w:t>obbligazioni garantite</w:t>
      </w:r>
      <w:r w:rsidR="0009277C" w:rsidRPr="00D51A68">
        <w:t>”</w:t>
      </w:r>
      <w:r w:rsidRPr="00D51A68">
        <w:t>. L</w:t>
      </w:r>
      <w:r w:rsidR="0009277C" w:rsidRPr="00D51A68">
        <w:t>’</w:t>
      </w:r>
      <w:r w:rsidRPr="00D51A68">
        <w:t>adempimento di detti requisiti deve essere verificato in ciascun caso. Tuttavia, anche le obbligazioni di cui all</w:t>
      </w:r>
      <w:r w:rsidR="0009277C" w:rsidRPr="00D51A68">
        <w:t>’</w:t>
      </w:r>
      <w:r w:rsidRPr="00D51A68">
        <w:t>articolo 52, paragrafo 4</w:t>
      </w:r>
      <w:r w:rsidR="0068462E" w:rsidRPr="00D51A68">
        <w:t>, della direttiva </w:t>
      </w:r>
      <w:r w:rsidRPr="00D51A68">
        <w:t xml:space="preserve">2009/65/CE emesse prima del 31 dicembre 2007 sono assegnate alla classe di esposizioni </w:t>
      </w:r>
      <w:r w:rsidR="0009277C" w:rsidRPr="00D51A68">
        <w:t>“</w:t>
      </w:r>
      <w:r w:rsidRPr="00D51A68">
        <w:t>obbligazioni garantite</w:t>
      </w:r>
      <w:r w:rsidR="0009277C" w:rsidRPr="00D51A68">
        <w:t>”</w:t>
      </w:r>
      <w:r w:rsidRPr="00D51A68">
        <w:t xml:space="preserve"> in virtù dell</w:t>
      </w:r>
      <w:r w:rsidR="0009277C" w:rsidRPr="00D51A68">
        <w:t>’</w:t>
      </w:r>
      <w:r w:rsidRPr="00D51A68">
        <w:t>articolo 129, paragrafo 6</w:t>
      </w:r>
      <w:r w:rsidR="0068462E" w:rsidRPr="00D51A68">
        <w:t>, del </w:t>
      </w:r>
      <w:r w:rsidRPr="00D51A68">
        <w:t>CRR.</w:t>
      </w:r>
    </w:p>
    <w:p w:rsidR="00464F34" w:rsidRPr="00D51A68" w:rsidRDefault="00125707" w:rsidP="0023700C">
      <w:pPr>
        <w:pStyle w:val="Instructionsberschrift2"/>
        <w:numPr>
          <w:ilvl w:val="0"/>
          <w:numId w:val="0"/>
        </w:numPr>
        <w:ind w:left="357" w:hanging="357"/>
        <w:rPr>
          <w:rFonts w:ascii="Times New Roman" w:hAnsi="Times New Roman" w:cs="Times New Roman"/>
          <w:sz w:val="24"/>
        </w:rPr>
      </w:pPr>
      <w:bookmarkStart w:id="246" w:name="_Toc360188355"/>
      <w:bookmarkStart w:id="247" w:name="_Toc516210639"/>
      <w:bookmarkStart w:id="248" w:name="_Toc473560904"/>
      <w:bookmarkStart w:id="249" w:name="_Toc524096584"/>
      <w:r w:rsidRPr="00D51A68">
        <w:rPr>
          <w:rFonts w:ascii="Times New Roman" w:hAnsi="Times New Roman"/>
          <w:sz w:val="24"/>
          <w:u w:val="none"/>
        </w:rPr>
        <w:t>3.2.4.3.</w:t>
      </w:r>
      <w:r w:rsidR="00A0772B" w:rsidRPr="00D51A68">
        <w:rPr>
          <w:u w:val="none"/>
        </w:rPr>
        <w:tab/>
      </w:r>
      <w:r w:rsidRPr="00D51A68">
        <w:rPr>
          <w:rFonts w:ascii="Times New Roman" w:hAnsi="Times New Roman"/>
          <w:sz w:val="24"/>
        </w:rPr>
        <w:t xml:space="preserve">Classe di esposizioni </w:t>
      </w:r>
      <w:r w:rsidR="0009277C" w:rsidRPr="00D51A68">
        <w:rPr>
          <w:rFonts w:ascii="Times New Roman" w:hAnsi="Times New Roman"/>
          <w:sz w:val="24"/>
        </w:rPr>
        <w:t>“</w:t>
      </w:r>
      <w:r w:rsidRPr="00D51A68">
        <w:rPr>
          <w:rFonts w:ascii="Times New Roman" w:hAnsi="Times New Roman"/>
          <w:sz w:val="24"/>
        </w:rPr>
        <w:t>Organismi di investimento collettivo</w:t>
      </w:r>
      <w:r w:rsidR="0009277C" w:rsidRPr="00D51A68">
        <w:rPr>
          <w:rFonts w:ascii="Times New Roman" w:hAnsi="Times New Roman"/>
          <w:sz w:val="24"/>
        </w:rPr>
        <w:t>”</w:t>
      </w:r>
      <w:bookmarkEnd w:id="246"/>
      <w:bookmarkEnd w:id="247"/>
      <w:bookmarkEnd w:id="248"/>
      <w:bookmarkEnd w:id="249"/>
    </w:p>
    <w:p w:rsidR="00464F34" w:rsidRPr="00D51A68" w:rsidRDefault="00125707" w:rsidP="0068462E">
      <w:pPr>
        <w:pStyle w:val="InstructionsText2"/>
        <w:numPr>
          <w:ilvl w:val="0"/>
          <w:numId w:val="0"/>
        </w:numPr>
        <w:ind w:left="993"/>
      </w:pPr>
      <w:r w:rsidRPr="00D51A68">
        <w:t>73.</w:t>
      </w:r>
      <w:r w:rsidR="00A0772B" w:rsidRPr="00D51A68">
        <w:tab/>
      </w:r>
      <w:r w:rsidRPr="00D51A68">
        <w:t>Laddove ci si avvalga della possibilità prevista dall</w:t>
      </w:r>
      <w:r w:rsidR="0009277C" w:rsidRPr="00D51A68">
        <w:t>’</w:t>
      </w:r>
      <w:r w:rsidRPr="00D51A68">
        <w:t>articolo 132, paragrafo 5, del CRR, le esposizioni sotto forma di quote o di azioni in OIC sono segnalate come elementi in bilancio ai sensi dell</w:t>
      </w:r>
      <w:r w:rsidR="0009277C" w:rsidRPr="00D51A68">
        <w:t>’</w:t>
      </w:r>
      <w:r w:rsidRPr="00D51A68">
        <w:t xml:space="preserve">articolo 111, paragrafo 1, frase 1, del CRR. </w:t>
      </w:r>
    </w:p>
    <w:p w:rsidR="0068462E" w:rsidRPr="00D51A68" w:rsidRDefault="0068462E">
      <w:pPr>
        <w:spacing w:before="0" w:after="0"/>
        <w:jc w:val="left"/>
        <w:rPr>
          <w:rFonts w:ascii="Times New Roman" w:hAnsi="Times New Roman"/>
          <w:sz w:val="24"/>
        </w:rPr>
      </w:pPr>
      <w:r w:rsidRPr="00D51A68">
        <w:br w:type="page"/>
      </w:r>
    </w:p>
    <w:p w:rsidR="00464F34" w:rsidRPr="00D51A68" w:rsidRDefault="00125707" w:rsidP="0023700C">
      <w:pPr>
        <w:pStyle w:val="Instructionsberschrift2"/>
        <w:numPr>
          <w:ilvl w:val="0"/>
          <w:numId w:val="0"/>
        </w:numPr>
        <w:ind w:left="357" w:hanging="357"/>
        <w:rPr>
          <w:rFonts w:ascii="Times New Roman" w:hAnsi="Times New Roman" w:cs="Times New Roman"/>
          <w:sz w:val="24"/>
        </w:rPr>
      </w:pPr>
      <w:bookmarkStart w:id="250" w:name="_Toc262568032"/>
      <w:bookmarkStart w:id="251" w:name="_Toc264038430"/>
      <w:bookmarkStart w:id="252" w:name="_Toc292456209"/>
      <w:bookmarkStart w:id="253" w:name="_Toc295829860"/>
      <w:bookmarkStart w:id="254" w:name="_Toc310415024"/>
      <w:bookmarkStart w:id="255" w:name="_Toc360188356"/>
      <w:bookmarkStart w:id="256" w:name="_Toc516210640"/>
      <w:bookmarkStart w:id="257" w:name="_Toc473560905"/>
      <w:bookmarkStart w:id="258" w:name="_Toc524096585"/>
      <w:r w:rsidRPr="00D51A68">
        <w:rPr>
          <w:rFonts w:ascii="Times New Roman" w:hAnsi="Times New Roman"/>
          <w:sz w:val="24"/>
          <w:u w:val="none"/>
        </w:rPr>
        <w:lastRenderedPageBreak/>
        <w:t>3.2.5.</w:t>
      </w:r>
      <w:r w:rsidR="00A0772B" w:rsidRPr="00D51A68">
        <w:rPr>
          <w:u w:val="none"/>
        </w:rPr>
        <w:tab/>
      </w:r>
      <w:r w:rsidRPr="00D51A68">
        <w:rPr>
          <w:rFonts w:ascii="Times New Roman" w:hAnsi="Times New Roman"/>
          <w:sz w:val="24"/>
        </w:rPr>
        <w:t>Istruzioni relative a posizioni specifiche</w:t>
      </w:r>
      <w:bookmarkEnd w:id="250"/>
      <w:bookmarkEnd w:id="251"/>
      <w:bookmarkEnd w:id="252"/>
      <w:bookmarkEnd w:id="253"/>
      <w:bookmarkEnd w:id="254"/>
      <w:bookmarkEnd w:id="255"/>
      <w:bookmarkEnd w:id="256"/>
      <w:bookmarkEnd w:id="257"/>
      <w:bookmarkEnd w:id="258"/>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D51A68" w:rsidTr="00672D2A">
        <w:trPr>
          <w:trHeight w:val="581"/>
        </w:trPr>
        <w:tc>
          <w:tcPr>
            <w:tcW w:w="9828" w:type="dxa"/>
            <w:gridSpan w:val="2"/>
            <w:shd w:val="clear" w:color="auto" w:fill="CCCCCC"/>
          </w:tcPr>
          <w:p w:rsidR="00464F34" w:rsidRPr="00D51A68" w:rsidRDefault="00464F34" w:rsidP="00FC1A76">
            <w:pPr>
              <w:pStyle w:val="InstructionsText"/>
            </w:pPr>
            <w:r w:rsidRPr="00D51A68">
              <w:t>Colonne</w:t>
            </w:r>
          </w:p>
        </w:tc>
      </w:tr>
      <w:tr w:rsidR="00464F34" w:rsidRPr="00D51A68" w:rsidTr="00672D2A">
        <w:tc>
          <w:tcPr>
            <w:tcW w:w="1188" w:type="dxa"/>
          </w:tcPr>
          <w:p w:rsidR="00464F34" w:rsidRPr="00D51A68" w:rsidRDefault="00464F34" w:rsidP="00FC1A76">
            <w:pPr>
              <w:pStyle w:val="InstructionsText"/>
            </w:pPr>
            <w:r w:rsidRPr="00D51A68">
              <w:t>010</w:t>
            </w:r>
          </w:p>
        </w:tc>
        <w:tc>
          <w:tcPr>
            <w:tcW w:w="8640" w:type="dxa"/>
          </w:tcPr>
          <w:p w:rsidR="00464F34" w:rsidRPr="00D51A68" w:rsidRDefault="00464F34"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ESPOSIZIONE ORIGINARIA PRIMA DELL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APPLICAZIONE DEI FATTORI DI CONVERSIONE</w:t>
            </w:r>
          </w:p>
          <w:p w:rsidR="00464F34" w:rsidRPr="00D51A68" w:rsidRDefault="00464F34" w:rsidP="00FC1A76">
            <w:pPr>
              <w:pStyle w:val="InstructionsText"/>
            </w:pPr>
            <w:r w:rsidRPr="00D51A68">
              <w:t>Valore dell</w:t>
            </w:r>
            <w:r w:rsidR="0009277C" w:rsidRPr="00D51A68">
              <w:t>’</w:t>
            </w:r>
            <w:r w:rsidRPr="00D51A68">
              <w:t>esposizione conformemente all</w:t>
            </w:r>
            <w:r w:rsidR="0009277C" w:rsidRPr="00D51A68">
              <w:t>’</w:t>
            </w:r>
            <w:r w:rsidRPr="00D51A68">
              <w:t>articolo 111 del CRR senza tener conto delle rettifiche di valore e degli accantonamenti, dei fattori di conversione e dell</w:t>
            </w:r>
            <w:r w:rsidR="0009277C" w:rsidRPr="00D51A68">
              <w:t>’</w:t>
            </w:r>
            <w:r w:rsidRPr="00D51A68">
              <w:t>effetto delle tecniche di attenuazione del rischio di credito; valgono le seguenti precisazioni derivanti dall</w:t>
            </w:r>
            <w:r w:rsidR="0009277C" w:rsidRPr="00D51A68">
              <w:t>’</w:t>
            </w:r>
            <w:r w:rsidRPr="00D51A68">
              <w:t>articolo 111, paragrafo 2, del CRR.</w:t>
            </w:r>
          </w:p>
          <w:p w:rsidR="00464F34" w:rsidRPr="00D51A68" w:rsidRDefault="00464F34" w:rsidP="00FC1A76">
            <w:pPr>
              <w:pStyle w:val="InstructionsText"/>
            </w:pPr>
            <w:r w:rsidRPr="00D51A68">
              <w:t xml:space="preserve">Per gli strumenti derivati, le operazioni di vendita con patto di riacquisto, le operazioni di concessione o assunzione di titoli o di merci in prestito, le operazioni con regolamento a lungo termine e i finanziamenti con margini </w:t>
            </w:r>
            <w:r w:rsidR="0068462E" w:rsidRPr="00D51A68">
              <w:t>soggetti alla parte tre, titolo </w:t>
            </w:r>
            <w:r w:rsidRPr="00D51A68">
              <w:t>II, capo 6, del CRR o all</w:t>
            </w:r>
            <w:r w:rsidR="0009277C" w:rsidRPr="00D51A68">
              <w:t>’</w:t>
            </w:r>
            <w:r w:rsidRPr="00D51A68">
              <w:t>articolo 92, paragrafo 3, lettera f), del CRR, l</w:t>
            </w:r>
            <w:r w:rsidR="0009277C" w:rsidRPr="00D51A68">
              <w:t>’</w:t>
            </w:r>
            <w:r w:rsidRPr="00D51A68">
              <w:t>esposizione originaria corrisponde al valore dell</w:t>
            </w:r>
            <w:r w:rsidR="0009277C" w:rsidRPr="00D51A68">
              <w:t>’</w:t>
            </w:r>
            <w:r w:rsidRPr="00D51A68">
              <w:t>esposizione per il rischio di controparte calcolato secondo i metodi previsti dalla parte tre, titolo II, capo 6, del CRR.</w:t>
            </w:r>
          </w:p>
          <w:p w:rsidR="00464F34" w:rsidRPr="00D51A68" w:rsidRDefault="00464F34" w:rsidP="00FC1A76">
            <w:pPr>
              <w:pStyle w:val="InstructionsText"/>
            </w:pPr>
            <w:r w:rsidRPr="00D51A68">
              <w:t>Ai valori dell</w:t>
            </w:r>
            <w:r w:rsidR="0009277C" w:rsidRPr="00D51A68">
              <w:t>’</w:t>
            </w:r>
            <w:r w:rsidRPr="00D51A68">
              <w:t>esposizione per i contratti di leasing si applica l</w:t>
            </w:r>
            <w:r w:rsidR="0009277C" w:rsidRPr="00D51A68">
              <w:t>’</w:t>
            </w:r>
            <w:r w:rsidRPr="00D51A68">
              <w:t>articolo 134</w:t>
            </w:r>
            <w:r w:rsidR="0068462E" w:rsidRPr="00D51A68">
              <w:t>, paragrafo </w:t>
            </w:r>
            <w:r w:rsidRPr="00D51A68">
              <w:t xml:space="preserve">7, del CRR. </w:t>
            </w:r>
          </w:p>
          <w:p w:rsidR="00464F34" w:rsidRPr="00D51A68" w:rsidRDefault="00464F34" w:rsidP="00FC1A76">
            <w:pPr>
              <w:pStyle w:val="InstructionsText"/>
            </w:pPr>
            <w:r w:rsidRPr="00D51A68">
              <w:t>In caso di compensazione in bilancio di cui all</w:t>
            </w:r>
            <w:r w:rsidR="0009277C" w:rsidRPr="00D51A68">
              <w:t>’</w:t>
            </w:r>
            <w:r w:rsidRPr="00D51A68">
              <w:t>articolo 219 del CRR, i valori dell</w:t>
            </w:r>
            <w:r w:rsidR="0009277C" w:rsidRPr="00D51A68">
              <w:t>’</w:t>
            </w:r>
            <w:r w:rsidRPr="00D51A68">
              <w:t>esposizione sono segnalati conformemente alle garanzie in contante ricevute.</w:t>
            </w:r>
          </w:p>
          <w:p w:rsidR="00464F34" w:rsidRPr="00D51A68" w:rsidRDefault="00464F34" w:rsidP="00FC1A76">
            <w:pPr>
              <w:pStyle w:val="InstructionsText"/>
            </w:pPr>
            <w:r w:rsidRPr="00D51A68">
              <w:t xml:space="preserve">In caso di accordi quadro di compensazione riguardanti operazioni di vendita con patto di riacquisto e/o operazioni di concessione o assunzione di titoli o di merci in prestito e/o altre operazioni correlate ai mercati finanziari soggette </w:t>
            </w:r>
            <w:r w:rsidR="0068462E" w:rsidRPr="00D51A68">
              <w:t>alla parte tre, titolo II, capo </w:t>
            </w:r>
            <w:r w:rsidRPr="00D51A68">
              <w:t>6, del CRR, l</w:t>
            </w:r>
            <w:r w:rsidR="0009277C" w:rsidRPr="00D51A68">
              <w:t>’</w:t>
            </w:r>
            <w:r w:rsidRPr="00D51A68">
              <w:t>effetto della protezione del credito di tipo reale sotto forma di accordi quadro di compensazione ai sensi dell</w:t>
            </w:r>
            <w:r w:rsidR="0009277C" w:rsidRPr="00D51A68">
              <w:t>’</w:t>
            </w:r>
            <w:r w:rsidRPr="00D51A68">
              <w:t>articolo 220, paragrafo 4, del CRR è indicato nella colonna 010. Pertanto, in caso di accordi quadro di compensazione riguardanti operazioni di vendita con patto di riacquisto cui si applicano le disposizioni della parte tre, titolo II, capo 6, del CRR, il valore di E* calcolato conformemente agli articoli 220 e 221 del CRR è segnalato nella colonna 010 del modello CR SA.</w:t>
            </w:r>
          </w:p>
        </w:tc>
      </w:tr>
      <w:tr w:rsidR="00464F34" w:rsidRPr="00D51A68" w:rsidTr="00672D2A">
        <w:tc>
          <w:tcPr>
            <w:tcW w:w="1188" w:type="dxa"/>
          </w:tcPr>
          <w:p w:rsidR="00464F34" w:rsidRPr="00D51A68" w:rsidRDefault="00464F34" w:rsidP="00FC1A76">
            <w:pPr>
              <w:pStyle w:val="InstructionsText"/>
            </w:pPr>
            <w:r w:rsidRPr="00D51A68">
              <w:t>030</w:t>
            </w:r>
          </w:p>
        </w:tc>
        <w:tc>
          <w:tcPr>
            <w:tcW w:w="8640" w:type="dxa"/>
          </w:tcPr>
          <w:p w:rsidR="00464F34" w:rsidRPr="00D51A68" w:rsidRDefault="00464F34"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 Rettifiche di valore e accantonamenti associati all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esposizione originaria</w:t>
            </w:r>
          </w:p>
          <w:p w:rsidR="00464F34" w:rsidRPr="00D51A68" w:rsidRDefault="00464F34"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Articoli 24 e 111 del CRR.</w:t>
            </w:r>
          </w:p>
          <w:p w:rsidR="00464F34" w:rsidRPr="00D51A68" w:rsidRDefault="00464F34" w:rsidP="00FC1A76">
            <w:pPr>
              <w:pStyle w:val="InstructionsText"/>
            </w:pPr>
            <w:r w:rsidRPr="00D51A68">
              <w:t>Rettifiche di valore e accantonamenti per perdite su crediti conformemente alla disciplina contabile alla quale è soggetto l</w:t>
            </w:r>
            <w:r w:rsidR="0009277C" w:rsidRPr="00D51A68">
              <w:t>’</w:t>
            </w:r>
            <w:r w:rsidRPr="00D51A68">
              <w:t xml:space="preserve">ente segnalante. </w:t>
            </w:r>
          </w:p>
        </w:tc>
      </w:tr>
      <w:tr w:rsidR="00464F34" w:rsidRPr="00D51A68" w:rsidTr="00672D2A">
        <w:tc>
          <w:tcPr>
            <w:tcW w:w="1188" w:type="dxa"/>
          </w:tcPr>
          <w:p w:rsidR="00464F34" w:rsidRPr="00D51A68" w:rsidRDefault="00464F34" w:rsidP="00FC1A76">
            <w:pPr>
              <w:pStyle w:val="InstructionsText"/>
            </w:pPr>
            <w:r w:rsidRPr="00D51A68">
              <w:t>040</w:t>
            </w:r>
          </w:p>
        </w:tc>
        <w:tc>
          <w:tcPr>
            <w:tcW w:w="8640" w:type="dxa"/>
          </w:tcPr>
          <w:p w:rsidR="00464F34" w:rsidRPr="00D51A68" w:rsidRDefault="00464F34" w:rsidP="00FC1A76">
            <w:pPr>
              <w:pStyle w:val="InstructionsText"/>
            </w:pPr>
            <w:r w:rsidRPr="00D51A68">
              <w:rPr>
                <w:rStyle w:val="InstructionsTabelleberschrift"/>
                <w:rFonts w:ascii="Times New Roman" w:hAnsi="Times New Roman"/>
                <w:sz w:val="24"/>
              </w:rPr>
              <w:t>Esposizione al netto delle rettifiche di valore e degli accantonamenti</w:t>
            </w:r>
          </w:p>
          <w:p w:rsidR="00464F34" w:rsidRPr="00D51A68" w:rsidRDefault="00464F34" w:rsidP="00FC1A76">
            <w:pPr>
              <w:pStyle w:val="InstructionsText"/>
            </w:pPr>
            <w:r w:rsidRPr="00D51A68">
              <w:t>Somma delle colonne 010 e 030.</w:t>
            </w:r>
          </w:p>
        </w:tc>
      </w:tr>
      <w:tr w:rsidR="00464F34" w:rsidRPr="00D51A68" w:rsidTr="00672D2A">
        <w:tc>
          <w:tcPr>
            <w:tcW w:w="1188" w:type="dxa"/>
          </w:tcPr>
          <w:p w:rsidR="00464F34" w:rsidRPr="00D51A68" w:rsidRDefault="00464F34" w:rsidP="00FC1A76">
            <w:pPr>
              <w:pStyle w:val="InstructionsText"/>
            </w:pPr>
            <w:r w:rsidRPr="00D51A68">
              <w:t>050 - 100</w:t>
            </w:r>
          </w:p>
        </w:tc>
        <w:tc>
          <w:tcPr>
            <w:tcW w:w="8640" w:type="dxa"/>
          </w:tcPr>
          <w:p w:rsidR="00464F34" w:rsidRPr="00D51A68" w:rsidRDefault="00464F34"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TECNICHE DI ATTENUAZIONE DEL RISCHIO DI CREDITO (CRM) CON EFFETTI DI SOSTITUZIONE SULL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ESPOSIZIONE</w:t>
            </w:r>
          </w:p>
          <w:p w:rsidR="00464F34" w:rsidRPr="00D51A68" w:rsidRDefault="00464F34" w:rsidP="00FC1A76">
            <w:pPr>
              <w:pStyle w:val="InstructionsText"/>
            </w:pPr>
            <w:r w:rsidRPr="00D51A68">
              <w:t>Tecniche di attenuazione del rischio di credito così come definite nell</w:t>
            </w:r>
            <w:r w:rsidR="0009277C" w:rsidRPr="00D51A68">
              <w:t>’</w:t>
            </w:r>
            <w:r w:rsidRPr="00D51A68">
              <w:t>articolo 4, paragrafo 1, punto 57, del CRR che riducono il rischio di credito di un</w:t>
            </w:r>
            <w:r w:rsidR="0009277C" w:rsidRPr="00D51A68">
              <w:t>’</w:t>
            </w:r>
            <w:r w:rsidRPr="00D51A68">
              <w:t xml:space="preserve">esposizione o di esposizioni mediante la sostituzione delle esposizioni definita infra alla voce </w:t>
            </w:r>
            <w:r w:rsidR="0009277C" w:rsidRPr="00D51A68">
              <w:t>“</w:t>
            </w:r>
            <w:r w:rsidRPr="00D51A68">
              <w:t>Sostituzione dell</w:t>
            </w:r>
            <w:r w:rsidR="0009277C" w:rsidRPr="00D51A68">
              <w:t>’</w:t>
            </w:r>
            <w:r w:rsidRPr="00D51A68">
              <w:t>esposizione dovuta all</w:t>
            </w:r>
            <w:r w:rsidR="0009277C" w:rsidRPr="00D51A68">
              <w:t>’</w:t>
            </w:r>
            <w:r w:rsidRPr="00D51A68">
              <w:t>attenuazione del rischio di credito</w:t>
            </w:r>
            <w:r w:rsidR="0009277C" w:rsidRPr="00D51A68">
              <w:t>”</w:t>
            </w:r>
            <w:r w:rsidRPr="00D51A68">
              <w:t>.</w:t>
            </w:r>
          </w:p>
          <w:p w:rsidR="00464F34" w:rsidRPr="00D51A68" w:rsidRDefault="00464F34" w:rsidP="00FC1A76">
            <w:pPr>
              <w:pStyle w:val="InstructionsText"/>
            </w:pPr>
            <w:r w:rsidRPr="00D51A68">
              <w:t>Se una garanzia reale influisce sul valore dell</w:t>
            </w:r>
            <w:r w:rsidR="0009277C" w:rsidRPr="00D51A68">
              <w:t>’</w:t>
            </w:r>
            <w:r w:rsidRPr="00D51A68">
              <w:t xml:space="preserve">esposizione (ad esempio se è utilizzata per le tecniche di attenuazione del rischio di credito con effetti di sostituzione </w:t>
            </w:r>
            <w:r w:rsidRPr="00D51A68">
              <w:lastRenderedPageBreak/>
              <w:t>sull</w:t>
            </w:r>
            <w:r w:rsidR="0009277C" w:rsidRPr="00D51A68">
              <w:t>’</w:t>
            </w:r>
            <w:r w:rsidRPr="00D51A68">
              <w:t>esposizione), il suo importo è limitato al valore dell</w:t>
            </w:r>
            <w:r w:rsidR="0009277C" w:rsidRPr="00D51A68">
              <w:t>’</w:t>
            </w:r>
            <w:r w:rsidRPr="00D51A68">
              <w:t>esposizione.</w:t>
            </w:r>
          </w:p>
          <w:p w:rsidR="00464F34" w:rsidRPr="00D51A68" w:rsidRDefault="00464F34" w:rsidP="00FC1A76">
            <w:pPr>
              <w:pStyle w:val="InstructionsText"/>
            </w:pPr>
            <w:r w:rsidRPr="00D51A68">
              <w:t>Gli elementi da segnalare in questa riga sono:</w:t>
            </w:r>
          </w:p>
          <w:p w:rsidR="00464F34" w:rsidRPr="00D51A68" w:rsidRDefault="00125707" w:rsidP="00FC1A76">
            <w:pPr>
              <w:pStyle w:val="InstructionsText"/>
            </w:pPr>
            <w:r w:rsidRPr="00D51A68">
              <w:rPr>
                <w:rFonts w:ascii="Arial" w:hAnsi="Arial"/>
              </w:rPr>
              <w:t>-</w:t>
            </w:r>
            <w:r w:rsidR="00A0772B" w:rsidRPr="00D51A68">
              <w:tab/>
            </w:r>
            <w:r w:rsidRPr="00D51A68">
              <w:t>le garanzie reali, incorporate conformemente al metodo semplificato per il trattamento delle garanzie reali finanziarie;</w:t>
            </w:r>
          </w:p>
          <w:p w:rsidR="00464F34" w:rsidRPr="00D51A68" w:rsidRDefault="00125707" w:rsidP="00FC1A76">
            <w:pPr>
              <w:pStyle w:val="InstructionsText"/>
            </w:pPr>
            <w:r w:rsidRPr="00D51A68">
              <w:rPr>
                <w:rFonts w:ascii="Arial" w:hAnsi="Arial"/>
              </w:rPr>
              <w:t>-</w:t>
            </w:r>
            <w:r w:rsidR="00A0772B" w:rsidRPr="00D51A68">
              <w:tab/>
            </w:r>
            <w:r w:rsidRPr="00D51A68">
              <w:t>la protezione del credito ammissibile di tipo personale.</w:t>
            </w:r>
          </w:p>
          <w:p w:rsidR="00464F34" w:rsidRPr="00D51A68" w:rsidRDefault="00464F34" w:rsidP="00FC1A76">
            <w:pPr>
              <w:pStyle w:val="InstructionsText"/>
            </w:pPr>
            <w:r w:rsidRPr="00D51A68">
              <w:t xml:space="preserve">Cfr. anche le istruzioni relative al punto 4.1.1. </w:t>
            </w:r>
          </w:p>
        </w:tc>
      </w:tr>
      <w:tr w:rsidR="00464F34" w:rsidRPr="00D51A68" w:rsidTr="00672D2A">
        <w:tc>
          <w:tcPr>
            <w:tcW w:w="1188" w:type="dxa"/>
          </w:tcPr>
          <w:p w:rsidR="00464F34" w:rsidRPr="00D51A68" w:rsidRDefault="00464F34" w:rsidP="00FC1A76">
            <w:pPr>
              <w:pStyle w:val="InstructionsText"/>
            </w:pPr>
            <w:r w:rsidRPr="00D51A68">
              <w:lastRenderedPageBreak/>
              <w:t>050 - 060</w:t>
            </w:r>
          </w:p>
        </w:tc>
        <w:tc>
          <w:tcPr>
            <w:tcW w:w="8640" w:type="dxa"/>
          </w:tcPr>
          <w:p w:rsidR="00464F34" w:rsidRPr="00D51A68" w:rsidRDefault="00464F34"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Protezione del credito di tipo personale: valori corretti (GA)</w:t>
            </w:r>
          </w:p>
          <w:p w:rsidR="00464F34" w:rsidRPr="00D51A68" w:rsidRDefault="00464F34" w:rsidP="00FC1A76">
            <w:pPr>
              <w:pStyle w:val="InstructionsText"/>
            </w:pPr>
            <w:r w:rsidRPr="00D51A68">
              <w:t>Articolo 235 del CRR.</w:t>
            </w:r>
          </w:p>
          <w:p w:rsidR="00464F34" w:rsidRPr="00D51A68" w:rsidRDefault="00464F34" w:rsidP="00FC1A76">
            <w:pPr>
              <w:pStyle w:val="InstructionsText"/>
            </w:pPr>
            <w:r w:rsidRPr="00D51A68">
              <w:t>L</w:t>
            </w:r>
            <w:r w:rsidR="0009277C" w:rsidRPr="00D51A68">
              <w:t>’</w:t>
            </w:r>
            <w:r w:rsidRPr="00D51A68">
              <w:t>articolo 239, paragrafo 3, del CRR definisce la rettifica di valore GA di una protezione del credito di tipo personale.</w:t>
            </w:r>
          </w:p>
        </w:tc>
      </w:tr>
      <w:tr w:rsidR="00464F34" w:rsidRPr="00D51A68" w:rsidTr="00672D2A">
        <w:tc>
          <w:tcPr>
            <w:tcW w:w="1188" w:type="dxa"/>
          </w:tcPr>
          <w:p w:rsidR="00464F34" w:rsidRPr="00D51A68" w:rsidRDefault="00464F34" w:rsidP="00FC1A76">
            <w:pPr>
              <w:pStyle w:val="InstructionsText"/>
            </w:pPr>
            <w:r w:rsidRPr="00D51A68">
              <w:t>050</w:t>
            </w:r>
          </w:p>
        </w:tc>
        <w:tc>
          <w:tcPr>
            <w:tcW w:w="8640" w:type="dxa"/>
          </w:tcPr>
          <w:p w:rsidR="00464F34" w:rsidRPr="00D51A68" w:rsidRDefault="00464F34"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Garanzie</w:t>
            </w:r>
          </w:p>
          <w:p w:rsidR="00464F34" w:rsidRPr="00D51A68" w:rsidRDefault="00464F34" w:rsidP="00FC1A76">
            <w:pPr>
              <w:pStyle w:val="InstructionsText"/>
            </w:pPr>
            <w:r w:rsidRPr="00D51A68">
              <w:t>Articolo 203 del CRR.</w:t>
            </w:r>
          </w:p>
          <w:p w:rsidR="00464F34" w:rsidRPr="00D51A68" w:rsidRDefault="00464F34" w:rsidP="00FC1A76">
            <w:pPr>
              <w:pStyle w:val="InstructionsText"/>
              <w:rPr>
                <w:b/>
                <w:u w:val="single"/>
              </w:rPr>
            </w:pPr>
            <w:r w:rsidRPr="00D51A68">
              <w:t>Protezione del credito di tipo personale così come definita nell</w:t>
            </w:r>
            <w:r w:rsidR="0009277C" w:rsidRPr="00D51A68">
              <w:t>’</w:t>
            </w:r>
            <w:r w:rsidRPr="00D51A68">
              <w:t>articolo 4, paragrafo 1, punto 59, del CRR, diversa dai derivati su crediti.</w:t>
            </w:r>
          </w:p>
        </w:tc>
      </w:tr>
      <w:tr w:rsidR="00464F34" w:rsidRPr="00D51A68" w:rsidTr="00672D2A">
        <w:tc>
          <w:tcPr>
            <w:tcW w:w="1188" w:type="dxa"/>
          </w:tcPr>
          <w:p w:rsidR="00464F34" w:rsidRPr="00D51A68" w:rsidRDefault="00464F34" w:rsidP="00FC1A76">
            <w:pPr>
              <w:pStyle w:val="InstructionsText"/>
            </w:pPr>
            <w:r w:rsidRPr="00D51A68">
              <w:t>060</w:t>
            </w:r>
          </w:p>
        </w:tc>
        <w:tc>
          <w:tcPr>
            <w:tcW w:w="8640" w:type="dxa"/>
          </w:tcPr>
          <w:p w:rsidR="00464F34" w:rsidRPr="00D51A68" w:rsidRDefault="00464F34"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Derivati su crediti</w:t>
            </w:r>
          </w:p>
          <w:p w:rsidR="00464F34" w:rsidRPr="00D51A68" w:rsidRDefault="00464F34" w:rsidP="00FC1A76">
            <w:pPr>
              <w:pStyle w:val="InstructionsText"/>
              <w:rPr>
                <w:b/>
                <w:u w:val="single"/>
              </w:rPr>
            </w:pPr>
            <w:r w:rsidRPr="00D51A68">
              <w:t>Articolo 204 del CRR.</w:t>
            </w:r>
          </w:p>
        </w:tc>
      </w:tr>
      <w:tr w:rsidR="00464F34" w:rsidRPr="00D51A68" w:rsidTr="00672D2A">
        <w:tc>
          <w:tcPr>
            <w:tcW w:w="1188" w:type="dxa"/>
          </w:tcPr>
          <w:p w:rsidR="00464F34" w:rsidRPr="00D51A68" w:rsidRDefault="00464F34" w:rsidP="00FC1A76">
            <w:pPr>
              <w:pStyle w:val="InstructionsText"/>
            </w:pPr>
            <w:r w:rsidRPr="00D51A68">
              <w:t>070 – 080</w:t>
            </w:r>
          </w:p>
          <w:p w:rsidR="00464F34" w:rsidRPr="00D51A68" w:rsidRDefault="00464F34" w:rsidP="00FC1A76">
            <w:pPr>
              <w:pStyle w:val="InstructionsText"/>
            </w:pPr>
          </w:p>
        </w:tc>
        <w:tc>
          <w:tcPr>
            <w:tcW w:w="8640" w:type="dxa"/>
          </w:tcPr>
          <w:p w:rsidR="00464F34" w:rsidRPr="00D51A68" w:rsidRDefault="00464F34"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Protezione del credito di tipo reale</w:t>
            </w:r>
          </w:p>
          <w:p w:rsidR="00464F34" w:rsidRPr="00D51A68" w:rsidRDefault="009C44E7" w:rsidP="00FC1A76">
            <w:pPr>
              <w:pStyle w:val="InstructionsText"/>
            </w:pPr>
            <w:r w:rsidRPr="00D51A68">
              <w:t>Queste colonne riguardano la protezione del credito di tipo reale di cui all</w:t>
            </w:r>
            <w:r w:rsidR="0009277C" w:rsidRPr="00D51A68">
              <w:t>’</w:t>
            </w:r>
            <w:r w:rsidRPr="00D51A68">
              <w:t>articolo 4, paragrafo 1, punto 58, del CRR e agli articoli 196, 197 e 200 del CRR. Gli importi non comprendono gli accordi quadro di compensazione (già compresi nell</w:t>
            </w:r>
            <w:r w:rsidR="0009277C" w:rsidRPr="00D51A68">
              <w:t>’</w:t>
            </w:r>
            <w:r w:rsidRPr="00D51A68">
              <w:t>esposizione originaria prima dell</w:t>
            </w:r>
            <w:r w:rsidR="0009277C" w:rsidRPr="00D51A68">
              <w:t>’</w:t>
            </w:r>
            <w:r w:rsidRPr="00D51A68">
              <w:t xml:space="preserve">applicazione dei fattori di conversione). </w:t>
            </w:r>
          </w:p>
          <w:p w:rsidR="00464F34" w:rsidRPr="00D51A68" w:rsidRDefault="00464F34" w:rsidP="00FC1A76">
            <w:pPr>
              <w:pStyle w:val="InstructionsText"/>
            </w:pPr>
            <w:r w:rsidRPr="00D51A68">
              <w:t>Le credit linked note e le posizioni di compensazione in bilancio risultanti da accordi di compensazione in bilancio ammissibili ai sensi degli articoli 218 e 219 del CRR sono trattate come garanzie in contante.</w:t>
            </w:r>
          </w:p>
        </w:tc>
      </w:tr>
      <w:tr w:rsidR="00464F34" w:rsidRPr="00D51A68" w:rsidTr="00672D2A">
        <w:tc>
          <w:tcPr>
            <w:tcW w:w="1188" w:type="dxa"/>
          </w:tcPr>
          <w:p w:rsidR="00464F34" w:rsidRPr="00D51A68" w:rsidRDefault="00464F34" w:rsidP="00FC1A76">
            <w:pPr>
              <w:pStyle w:val="InstructionsText"/>
            </w:pPr>
            <w:r w:rsidRPr="00D51A68">
              <w:t>070</w:t>
            </w:r>
          </w:p>
        </w:tc>
        <w:tc>
          <w:tcPr>
            <w:tcW w:w="8640" w:type="dxa"/>
          </w:tcPr>
          <w:p w:rsidR="00464F34" w:rsidRPr="00D51A68" w:rsidRDefault="00464F34" w:rsidP="00FC1A76">
            <w:pPr>
              <w:pStyle w:val="InstructionsText"/>
            </w:pPr>
            <w:r w:rsidRPr="00D51A68">
              <w:rPr>
                <w:rStyle w:val="InstructionsTabelleberschrift"/>
                <w:rFonts w:ascii="Times New Roman" w:hAnsi="Times New Roman"/>
                <w:sz w:val="24"/>
              </w:rPr>
              <w:t>Garanzia reale finanziaria: metodo semplificato</w:t>
            </w:r>
          </w:p>
          <w:p w:rsidR="00464F34" w:rsidRPr="00D51A68" w:rsidRDefault="00464F34" w:rsidP="00FC1A76">
            <w:pPr>
              <w:pStyle w:val="InstructionsText"/>
            </w:pPr>
            <w:r w:rsidRPr="00D51A68">
              <w:t>Articolo 222, paragrafi da 1 a 2, del CRR.</w:t>
            </w:r>
          </w:p>
        </w:tc>
      </w:tr>
      <w:tr w:rsidR="00464F34" w:rsidRPr="00D51A68" w:rsidTr="00672D2A">
        <w:tc>
          <w:tcPr>
            <w:tcW w:w="1188" w:type="dxa"/>
          </w:tcPr>
          <w:p w:rsidR="00464F34" w:rsidRPr="00D51A68" w:rsidRDefault="00464F34" w:rsidP="00FC1A76">
            <w:pPr>
              <w:pStyle w:val="InstructionsText"/>
            </w:pPr>
            <w:r w:rsidRPr="00D51A68">
              <w:t>080</w:t>
            </w:r>
          </w:p>
        </w:tc>
        <w:tc>
          <w:tcPr>
            <w:tcW w:w="8640" w:type="dxa"/>
          </w:tcPr>
          <w:p w:rsidR="00464F34" w:rsidRPr="00D51A68" w:rsidRDefault="00464F34"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Altra protezione del credito di tipo reale</w:t>
            </w:r>
          </w:p>
          <w:p w:rsidR="00464F34" w:rsidRPr="00D51A68" w:rsidRDefault="00464F34" w:rsidP="00FC1A76">
            <w:pPr>
              <w:pStyle w:val="InstructionsText"/>
            </w:pPr>
            <w:r w:rsidRPr="00D51A68">
              <w:t>Articolo 232 del CRR.</w:t>
            </w:r>
          </w:p>
        </w:tc>
      </w:tr>
      <w:tr w:rsidR="00464F34" w:rsidRPr="00D51A68" w:rsidTr="00672D2A">
        <w:tc>
          <w:tcPr>
            <w:tcW w:w="1188" w:type="dxa"/>
          </w:tcPr>
          <w:p w:rsidR="00464F34" w:rsidRPr="00D51A68" w:rsidRDefault="00464F34" w:rsidP="00FC1A76">
            <w:pPr>
              <w:pStyle w:val="InstructionsText"/>
            </w:pPr>
            <w:r w:rsidRPr="00D51A68">
              <w:t>090 - 100</w:t>
            </w:r>
          </w:p>
        </w:tc>
        <w:tc>
          <w:tcPr>
            <w:tcW w:w="8640" w:type="dxa"/>
          </w:tcPr>
          <w:p w:rsidR="00464F34" w:rsidRPr="00D51A68" w:rsidRDefault="00464F34"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SOSTITUZIONE DELL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ESPOSIZIONE DOVUTA ALL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ATTENUAZIONE DEL RISCHIO DI CREDITO</w:t>
            </w:r>
          </w:p>
          <w:p w:rsidR="00464F34" w:rsidRPr="00D51A68" w:rsidRDefault="00464F34" w:rsidP="00FC1A76">
            <w:pPr>
              <w:pStyle w:val="InstructionsText"/>
            </w:pPr>
            <w:r w:rsidRPr="00D51A68">
              <w:t>Articolo 222, paragrafo 3, articolo 235, paragrafi 1 e 2, e articolo 236 del CRR.</w:t>
            </w:r>
          </w:p>
          <w:p w:rsidR="00464F34" w:rsidRPr="00D51A68" w:rsidRDefault="00464F34" w:rsidP="00FC1A76">
            <w:pPr>
              <w:pStyle w:val="InstructionsText"/>
            </w:pPr>
            <w:r w:rsidRPr="00D51A68">
              <w:t>I deflussi corrispondono alla parte garantita dell</w:t>
            </w:r>
            <w:r w:rsidR="0009277C" w:rsidRPr="00D51A68">
              <w:t>’</w:t>
            </w:r>
            <w:r w:rsidRPr="00D51A68">
              <w:t>esposizione originaria prima dell</w:t>
            </w:r>
            <w:r w:rsidR="0009277C" w:rsidRPr="00D51A68">
              <w:t>’</w:t>
            </w:r>
            <w:r w:rsidRPr="00D51A68">
              <w:t>applicazione dei fattori di conversione che è dedotta dalla classe di esposizioni del debitore e successivamente assegnata alla classe di esposizioni del fornitore della protezione. Questo importo è considerato un afflusso nella classe di esposizioni del fornitore della protezione.</w:t>
            </w:r>
          </w:p>
          <w:p w:rsidR="00464F34" w:rsidRPr="00D51A68" w:rsidRDefault="00464F34" w:rsidP="00FC1A76">
            <w:pPr>
              <w:pStyle w:val="InstructionsText"/>
              <w:rPr>
                <w:b/>
              </w:rPr>
            </w:pPr>
            <w:r w:rsidRPr="00D51A68">
              <w:t>Sono segnalati qui anche gli afflussi e i deflussi all</w:t>
            </w:r>
            <w:r w:rsidR="0009277C" w:rsidRPr="00D51A68">
              <w:t>’</w:t>
            </w:r>
            <w:r w:rsidRPr="00D51A68">
              <w:t>interno delle stesse classi di esposizioni.</w:t>
            </w:r>
          </w:p>
          <w:p w:rsidR="00464F34" w:rsidRPr="00D51A68" w:rsidRDefault="00464F34" w:rsidP="00FC1A76">
            <w:pPr>
              <w:pStyle w:val="InstructionsText"/>
            </w:pPr>
            <w:r w:rsidRPr="00D51A68">
              <w:t xml:space="preserve">Si tiene conto delle esposizioni derivanti da eventuali afflussi e deflussi da e verso altri </w:t>
            </w:r>
            <w:r w:rsidRPr="00D51A68">
              <w:lastRenderedPageBreak/>
              <w:t>modelli.</w:t>
            </w:r>
          </w:p>
        </w:tc>
      </w:tr>
      <w:tr w:rsidR="00464F34" w:rsidRPr="00D51A68" w:rsidTr="00672D2A">
        <w:tc>
          <w:tcPr>
            <w:tcW w:w="1188" w:type="dxa"/>
          </w:tcPr>
          <w:p w:rsidR="00464F34" w:rsidRPr="00D51A68" w:rsidRDefault="00464F34" w:rsidP="00FC1A76">
            <w:pPr>
              <w:pStyle w:val="InstructionsText"/>
            </w:pPr>
            <w:r w:rsidRPr="00D51A68">
              <w:lastRenderedPageBreak/>
              <w:t>110</w:t>
            </w:r>
          </w:p>
        </w:tc>
        <w:tc>
          <w:tcPr>
            <w:tcW w:w="8640" w:type="dxa"/>
          </w:tcPr>
          <w:p w:rsidR="00464F34" w:rsidRPr="00D51A68" w:rsidRDefault="00464F34"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ESPOSIZIONE NETTA DOPO GLI EFFETTI DI SOSTITUZIONE DELL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ATTENUAZIONE DEL RISCHIO DI CREDITO PRIMA DELL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APPLICAZIONE DEI FATTORI DI CONVERSIONE</w:t>
            </w:r>
          </w:p>
          <w:p w:rsidR="00464F34" w:rsidRPr="00D51A68" w:rsidRDefault="00464F34" w:rsidP="00FC1A76">
            <w:pPr>
              <w:pStyle w:val="InstructionsText"/>
            </w:pPr>
            <w:r w:rsidRPr="00D51A68">
              <w:t>Importo dell</w:t>
            </w:r>
            <w:r w:rsidR="0009277C" w:rsidRPr="00D51A68">
              <w:t>’</w:t>
            </w:r>
            <w:r w:rsidRPr="00D51A68">
              <w:t>esposizione al netto delle rettifiche di valore, tenuto conto dei deflussi e degli afflussi dovuti alle TECNICHE DI ATTENUAZIONE DEL RISCHIO DI CREDITO (CRM) CON EFFETTI DI SOSTITUZIONE SULL</w:t>
            </w:r>
            <w:r w:rsidR="0009277C" w:rsidRPr="00D51A68">
              <w:t>’</w:t>
            </w:r>
            <w:r w:rsidRPr="00D51A68">
              <w:t>ESPOSIZIONE.</w:t>
            </w:r>
          </w:p>
        </w:tc>
      </w:tr>
      <w:tr w:rsidR="00464F34" w:rsidRPr="00D51A68" w:rsidTr="00672D2A">
        <w:tc>
          <w:tcPr>
            <w:tcW w:w="1188" w:type="dxa"/>
          </w:tcPr>
          <w:p w:rsidR="00464F34" w:rsidRPr="00D51A68" w:rsidRDefault="00464F34" w:rsidP="00FC1A76">
            <w:pPr>
              <w:pStyle w:val="InstructionsText"/>
            </w:pPr>
            <w:r w:rsidRPr="00D51A68">
              <w:t>120-140</w:t>
            </w:r>
          </w:p>
        </w:tc>
        <w:tc>
          <w:tcPr>
            <w:tcW w:w="8640" w:type="dxa"/>
          </w:tcPr>
          <w:p w:rsidR="00464F34" w:rsidRPr="00D51A68" w:rsidRDefault="00464F34" w:rsidP="00FC1A76">
            <w:pPr>
              <w:pStyle w:val="InstructionsText"/>
            </w:pPr>
            <w:r w:rsidRPr="00D51A68">
              <w:rPr>
                <w:rStyle w:val="InstructionsTabelleberschrift"/>
                <w:rFonts w:ascii="Times New Roman" w:hAnsi="Times New Roman"/>
                <w:sz w:val="24"/>
              </w:rPr>
              <w:t>TECNICHE DI ATTENUAZIONE DEL RISCHIO DI CREDITO CHE INFLUISCONO SULL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IMPORTO DELL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ESPOSIZIONE: PROTEZIONE DEL CREDITO DI TIPO REALE, METODO INTEGRALE PER IL TRATTAMENTO DELLE GARANZIE REALI FINANZIARIE</w:t>
            </w:r>
          </w:p>
          <w:p w:rsidR="00464F34" w:rsidRPr="00D51A68" w:rsidRDefault="00464F34" w:rsidP="00FC1A76">
            <w:pPr>
              <w:pStyle w:val="InstructionsText"/>
            </w:pPr>
            <w:r w:rsidRPr="00D51A68">
              <w:t>Articoli 223, 224, 225, 226, 227 e 228 del CRR. Comprende anche le credit linked note (articolo 218 del CRR).</w:t>
            </w:r>
          </w:p>
          <w:p w:rsidR="00464F34" w:rsidRPr="00D51A68" w:rsidRDefault="00464F34" w:rsidP="00FC1A76">
            <w:pPr>
              <w:pStyle w:val="InstructionsText"/>
            </w:pPr>
            <w:r w:rsidRPr="00D51A68">
              <w:t>Le credit linked note e le posizioni di compensazione in bilancio risultanti da accordi di compensazione in bilancio ammissibili ai sensi degli articoli 218 e 219 del CRR sono trattate come garanzie in contante.</w:t>
            </w:r>
          </w:p>
          <w:p w:rsidR="00464F34" w:rsidRPr="00D51A68" w:rsidRDefault="00464F34" w:rsidP="00FC1A76">
            <w:pPr>
              <w:pStyle w:val="InstructionsText"/>
            </w:pPr>
            <w:r w:rsidRPr="00D51A68">
              <w:t>L</w:t>
            </w:r>
            <w:r w:rsidR="0009277C" w:rsidRPr="00D51A68">
              <w:t>’</w:t>
            </w:r>
            <w:r w:rsidRPr="00D51A68">
              <w:t>effetto della costituzione di garanzia del metodo integrale per il trattamento delle garanzie reali finanziarie applicato a un</w:t>
            </w:r>
            <w:r w:rsidR="0009277C" w:rsidRPr="00D51A68">
              <w:t>’</w:t>
            </w:r>
            <w:r w:rsidRPr="00D51A68">
              <w:t xml:space="preserve">esposizione garantita da una garanzia reale finanziaria ammissibile è calcolato conformemente agli articoli 223, 224, 225, 226, 227 e 228 del CRR. </w:t>
            </w:r>
          </w:p>
        </w:tc>
      </w:tr>
      <w:tr w:rsidR="00464F34" w:rsidRPr="00D51A68" w:rsidTr="00672D2A">
        <w:tc>
          <w:tcPr>
            <w:tcW w:w="1188" w:type="dxa"/>
          </w:tcPr>
          <w:p w:rsidR="00464F34" w:rsidRPr="00D51A68" w:rsidRDefault="00464F34" w:rsidP="00FC1A76">
            <w:pPr>
              <w:pStyle w:val="InstructionsText"/>
            </w:pPr>
            <w:r w:rsidRPr="00D51A68">
              <w:t>120</w:t>
            </w:r>
          </w:p>
        </w:tc>
        <w:tc>
          <w:tcPr>
            <w:tcW w:w="8640" w:type="dxa"/>
          </w:tcPr>
          <w:p w:rsidR="00464F34" w:rsidRPr="00D51A68" w:rsidRDefault="00464F34"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Rettifica dell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esposizione per volatilità</w:t>
            </w:r>
          </w:p>
          <w:p w:rsidR="00464F34" w:rsidRPr="00D51A68" w:rsidRDefault="00464F34" w:rsidP="00FC1A76">
            <w:pPr>
              <w:pStyle w:val="InstructionsText"/>
            </w:pPr>
            <w:r w:rsidRPr="00D51A68">
              <w:t xml:space="preserve">Articolo 223, paragrafi 2 e 3, del CRR. </w:t>
            </w:r>
          </w:p>
          <w:p w:rsidR="00464F34" w:rsidRPr="00D51A68" w:rsidRDefault="00464F34" w:rsidP="00FC1A76">
            <w:pPr>
              <w:pStyle w:val="InstructionsText"/>
            </w:pPr>
            <w:r w:rsidRPr="00D51A68">
              <w:t>L</w:t>
            </w:r>
            <w:r w:rsidR="0009277C" w:rsidRPr="00D51A68">
              <w:t>’</w:t>
            </w:r>
            <w:r w:rsidRPr="00D51A68">
              <w:t>importo da segnalare è dato dall</w:t>
            </w:r>
            <w:r w:rsidR="0009277C" w:rsidRPr="00D51A68">
              <w:t>’</w:t>
            </w:r>
            <w:r w:rsidRPr="00D51A68">
              <w:t>impatto della rettifica per volatilità del valore dell</w:t>
            </w:r>
            <w:r w:rsidR="0009277C" w:rsidRPr="00D51A68">
              <w:t>’</w:t>
            </w:r>
            <w:r w:rsidRPr="00D51A68">
              <w:t>esposizione (Eva-E) = E*He.</w:t>
            </w:r>
          </w:p>
        </w:tc>
      </w:tr>
      <w:tr w:rsidR="00464F34" w:rsidRPr="00D51A68" w:rsidTr="00672D2A">
        <w:tc>
          <w:tcPr>
            <w:tcW w:w="1188" w:type="dxa"/>
          </w:tcPr>
          <w:p w:rsidR="00464F34" w:rsidRPr="00D51A68" w:rsidRDefault="00464F34" w:rsidP="00FC1A76">
            <w:pPr>
              <w:pStyle w:val="InstructionsText"/>
            </w:pPr>
            <w:r w:rsidRPr="00D51A68">
              <w:t>130</w:t>
            </w:r>
          </w:p>
        </w:tc>
        <w:tc>
          <w:tcPr>
            <w:tcW w:w="8640" w:type="dxa"/>
          </w:tcPr>
          <w:p w:rsidR="00464F34" w:rsidRPr="00D51A68" w:rsidRDefault="00464F34"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 Garanzia reale finanziaria: valore corretto (Cvam)</w:t>
            </w:r>
          </w:p>
          <w:p w:rsidR="00464F34" w:rsidRPr="00D51A68" w:rsidRDefault="00464F34" w:rsidP="00FC1A76">
            <w:pPr>
              <w:pStyle w:val="InstructionsText"/>
            </w:pPr>
            <w:r w:rsidRPr="00D51A68">
              <w:t>Articolo 239, paragrafo 2, del CRR.</w:t>
            </w:r>
          </w:p>
          <w:p w:rsidR="00464F34" w:rsidRPr="00D51A68" w:rsidRDefault="00464F34" w:rsidP="00FC1A76">
            <w:pPr>
              <w:pStyle w:val="InstructionsText"/>
            </w:pPr>
            <w:r w:rsidRPr="00D51A68">
              <w:t>Nel caso delle operazioni interne al portafoglio di negoziazione, sono comprese le garanzie reali finanziarie e le merci ammissibili come esposizioni nel portafoglio di negoziazione conformemente all</w:t>
            </w:r>
            <w:r w:rsidR="0009277C" w:rsidRPr="00D51A68">
              <w:t>’</w:t>
            </w:r>
            <w:r w:rsidRPr="00D51A68">
              <w:t xml:space="preserve">articolo 299, paragrafo 2, lettere da c) a f), del CRR. </w:t>
            </w:r>
          </w:p>
          <w:p w:rsidR="00464F34" w:rsidRPr="00D51A68" w:rsidRDefault="00464F34" w:rsidP="00FC1A76">
            <w:pPr>
              <w:pStyle w:val="InstructionsText"/>
            </w:pPr>
            <w:r w:rsidRPr="00D51A68">
              <w:t>L</w:t>
            </w:r>
            <w:r w:rsidR="0009277C" w:rsidRPr="00D51A68">
              <w:t>’</w:t>
            </w:r>
            <w:r w:rsidRPr="00D51A68">
              <w:t>importo da segnalare corrisponde a: Cvam = C*(1-Hc-Hfx)*(t-t*)/(T-t*). Per la definizione di C, Hc, Hfx, t, T e t* si rimanda alla parte tre, titolo II, capo 4, sezioni 4</w:t>
            </w:r>
            <w:r w:rsidR="0068462E" w:rsidRPr="00D51A68">
              <w:t xml:space="preserve"> e </w:t>
            </w:r>
            <w:r w:rsidRPr="00D51A68">
              <w:t>5, del CRR.</w:t>
            </w:r>
          </w:p>
        </w:tc>
      </w:tr>
      <w:tr w:rsidR="00464F34" w:rsidRPr="00D51A68" w:rsidTr="00672D2A">
        <w:tc>
          <w:tcPr>
            <w:tcW w:w="1188" w:type="dxa"/>
          </w:tcPr>
          <w:p w:rsidR="00464F34" w:rsidRPr="00D51A68" w:rsidRDefault="00464F34" w:rsidP="00FC1A76">
            <w:pPr>
              <w:pStyle w:val="InstructionsText"/>
            </w:pPr>
            <w:r w:rsidRPr="00D51A68">
              <w:t>140</w:t>
            </w:r>
          </w:p>
        </w:tc>
        <w:tc>
          <w:tcPr>
            <w:tcW w:w="8640" w:type="dxa"/>
          </w:tcPr>
          <w:p w:rsidR="00464F34" w:rsidRPr="00D51A68" w:rsidRDefault="008932B5"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 di cui: rettifiche per volatilità e in funzione della durata</w:t>
            </w:r>
          </w:p>
          <w:p w:rsidR="00464F34" w:rsidRPr="00D51A68" w:rsidRDefault="00464F34" w:rsidP="00FC1A76">
            <w:pPr>
              <w:pStyle w:val="InstructionsText"/>
            </w:pPr>
            <w:r w:rsidRPr="00D51A68">
              <w:t xml:space="preserve">Articolo 223, paragrafo 1, del CRR e articolo 239, paragrafo 2, del CRR. </w:t>
            </w:r>
          </w:p>
          <w:p w:rsidR="00464F34" w:rsidRPr="00D51A68" w:rsidRDefault="00464F34" w:rsidP="00FC1A76">
            <w:pPr>
              <w:pStyle w:val="InstructionsText"/>
            </w:pPr>
            <w:r w:rsidRPr="00D51A68">
              <w:t>L</w:t>
            </w:r>
            <w:r w:rsidR="0009277C" w:rsidRPr="00D51A68">
              <w:t>’</w:t>
            </w:r>
            <w:r w:rsidRPr="00D51A68">
              <w:t>importo da segnalare è l</w:t>
            </w:r>
            <w:r w:rsidR="0009277C" w:rsidRPr="00D51A68">
              <w:t>’</w:t>
            </w:r>
            <w:r w:rsidRPr="00D51A68">
              <w:t>impatto combinato delle rettifiche per volatilità e in funzione della durata (Cvam-C) = C*[(1-Hc-Hfx)*(t-t*)/(T-t*)-1], dove l</w:t>
            </w:r>
            <w:r w:rsidR="0009277C" w:rsidRPr="00D51A68">
              <w:t>’</w:t>
            </w:r>
            <w:r w:rsidRPr="00D51A68">
              <w:t>impatto delle rettifiche per volatilità è (Cva-C) = C*[(1-Hc-Hfx)-1] e l</w:t>
            </w:r>
            <w:r w:rsidR="0009277C" w:rsidRPr="00D51A68">
              <w:t>’</w:t>
            </w:r>
            <w:r w:rsidRPr="00D51A68">
              <w:t>impatto delle rettifiche in funzione della durata è (Cvam-Cva) = C*(1-Hc-Hfx)*[(t-t*)/(T-t*)-1].</w:t>
            </w:r>
          </w:p>
        </w:tc>
      </w:tr>
      <w:tr w:rsidR="00464F34" w:rsidRPr="00D51A68" w:rsidTr="00672D2A">
        <w:tc>
          <w:tcPr>
            <w:tcW w:w="1188" w:type="dxa"/>
          </w:tcPr>
          <w:p w:rsidR="00464F34" w:rsidRPr="00D51A68" w:rsidRDefault="00464F34" w:rsidP="00FC1A76">
            <w:pPr>
              <w:pStyle w:val="InstructionsText"/>
            </w:pPr>
            <w:r w:rsidRPr="00D51A68">
              <w:t>150</w:t>
            </w:r>
          </w:p>
        </w:tc>
        <w:tc>
          <w:tcPr>
            <w:tcW w:w="8640" w:type="dxa"/>
          </w:tcPr>
          <w:p w:rsidR="00464F34" w:rsidRPr="00D51A68" w:rsidRDefault="00464F34" w:rsidP="00FC1A76">
            <w:pPr>
              <w:pStyle w:val="InstructionsText"/>
            </w:pPr>
            <w:r w:rsidRPr="00D51A68">
              <w:rPr>
                <w:rStyle w:val="InstructionsTabelleberschrift"/>
                <w:rFonts w:ascii="Times New Roman" w:hAnsi="Times New Roman"/>
                <w:sz w:val="24"/>
              </w:rPr>
              <w:t>Valore dell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esposizione corretto integralmente (E*)</w:t>
            </w:r>
          </w:p>
          <w:p w:rsidR="00464F34" w:rsidRPr="00D51A68" w:rsidRDefault="00464F34" w:rsidP="00FC1A76">
            <w:pPr>
              <w:pStyle w:val="InstructionsText"/>
              <w:rPr>
                <w:b/>
                <w:u w:val="single"/>
              </w:rPr>
            </w:pPr>
            <w:r w:rsidRPr="00D51A68">
              <w:t>Articolo 220, paragrafo 4, articolo 223, paragrafi da 2 a 5, e articolo 228, paragrafo 1, del CRR.</w:t>
            </w:r>
          </w:p>
        </w:tc>
      </w:tr>
      <w:tr w:rsidR="00464F34" w:rsidRPr="00D51A68" w:rsidTr="00672D2A">
        <w:tc>
          <w:tcPr>
            <w:tcW w:w="1188" w:type="dxa"/>
          </w:tcPr>
          <w:p w:rsidR="00464F34" w:rsidRPr="00D51A68" w:rsidRDefault="00464F34" w:rsidP="00FC1A76">
            <w:pPr>
              <w:pStyle w:val="InstructionsText"/>
            </w:pPr>
            <w:r w:rsidRPr="00D51A68">
              <w:lastRenderedPageBreak/>
              <w:t>160 - 190</w:t>
            </w:r>
          </w:p>
        </w:tc>
        <w:tc>
          <w:tcPr>
            <w:tcW w:w="8640" w:type="dxa"/>
          </w:tcPr>
          <w:p w:rsidR="00464F34" w:rsidRPr="00D51A68" w:rsidRDefault="00464F34"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Ripartizione per fattori di conversione del valore dell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esposizione corretta integralmente degli elementi fuori bilancio</w:t>
            </w:r>
          </w:p>
          <w:p w:rsidR="00464F34" w:rsidRPr="00D51A68" w:rsidRDefault="00464F34" w:rsidP="00FC1A76">
            <w:pPr>
              <w:pStyle w:val="InstructionsText"/>
            </w:pPr>
            <w:r w:rsidRPr="00D51A68">
              <w:t>Articolo 111, paragrafo 1, e articolo 4, paragrafo 1, punto 56, del CRR. Cfr. anche articolo 222, paragrafo 3, e articolo 228, paragrafo 1, del CRR.</w:t>
            </w:r>
          </w:p>
          <w:p w:rsidR="000A4C10" w:rsidRPr="00D51A68" w:rsidRDefault="000A4C10" w:rsidP="00FC1A76">
            <w:pPr>
              <w:pStyle w:val="InstructionsText"/>
              <w:rPr>
                <w:b/>
                <w:u w:val="single"/>
              </w:rPr>
            </w:pPr>
            <w:r w:rsidRPr="00D51A68">
              <w:t>Indicare i valori dell</w:t>
            </w:r>
            <w:r w:rsidR="0009277C" w:rsidRPr="00D51A68">
              <w:t>’</w:t>
            </w:r>
            <w:r w:rsidRPr="00D51A68">
              <w:t>esposizione corretta integralmente prima dell</w:t>
            </w:r>
            <w:r w:rsidR="0009277C" w:rsidRPr="00D51A68">
              <w:t>’</w:t>
            </w:r>
            <w:r w:rsidRPr="00D51A68">
              <w:t>applicazione del fattore di conversione.</w:t>
            </w:r>
          </w:p>
        </w:tc>
      </w:tr>
      <w:tr w:rsidR="00464F34" w:rsidRPr="00D51A68" w:rsidTr="00672D2A">
        <w:tc>
          <w:tcPr>
            <w:tcW w:w="1188" w:type="dxa"/>
          </w:tcPr>
          <w:p w:rsidR="00464F34" w:rsidRPr="00D51A68" w:rsidRDefault="00464F34" w:rsidP="00FC1A76">
            <w:pPr>
              <w:pStyle w:val="InstructionsText"/>
            </w:pPr>
            <w:r w:rsidRPr="00D51A68">
              <w:t>200</w:t>
            </w:r>
          </w:p>
        </w:tc>
        <w:tc>
          <w:tcPr>
            <w:tcW w:w="8640" w:type="dxa"/>
          </w:tcPr>
          <w:p w:rsidR="00464F34" w:rsidRPr="00D51A68" w:rsidRDefault="00464F34" w:rsidP="00FC1A76">
            <w:pPr>
              <w:pStyle w:val="InstructionsText"/>
            </w:pPr>
            <w:r w:rsidRPr="00D51A68">
              <w:rPr>
                <w:rStyle w:val="InstructionsTabelleberschrift"/>
                <w:rFonts w:ascii="Times New Roman" w:hAnsi="Times New Roman"/>
                <w:sz w:val="24"/>
              </w:rPr>
              <w:t>Valore dell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esposizione</w:t>
            </w:r>
          </w:p>
          <w:p w:rsidR="00464F34" w:rsidRPr="00D51A68" w:rsidRDefault="00531FC9" w:rsidP="00FC1A76">
            <w:pPr>
              <w:pStyle w:val="InstructionsText"/>
            </w:pPr>
            <w:r w:rsidRPr="00D51A68">
              <w:t>Articolo 111 e parte tre, titolo II, capo 4, sezione 4 del CRR.</w:t>
            </w:r>
          </w:p>
          <w:p w:rsidR="00464F34" w:rsidRPr="00D51A68" w:rsidRDefault="00464F34" w:rsidP="00FC1A76">
            <w:pPr>
              <w:pStyle w:val="InstructionsText"/>
            </w:pPr>
            <w:r w:rsidRPr="00D51A68">
              <w:t>Valore dell</w:t>
            </w:r>
            <w:r w:rsidR="0009277C" w:rsidRPr="00D51A68">
              <w:t>’</w:t>
            </w:r>
            <w:r w:rsidRPr="00D51A68">
              <w:t>esposizione, tenuto conto delle rettifiche di valore, di tutte le attenuazioni del rischio di credito e dei fattori di conversione del credito, da attribuire ai fattori di ponderazione del rischio ai sensi dell</w:t>
            </w:r>
            <w:r w:rsidR="0009277C" w:rsidRPr="00D51A68">
              <w:t>’</w:t>
            </w:r>
            <w:r w:rsidRPr="00D51A68">
              <w:t>articolo 113 e della parte tre, titolo II, capo 2, sezione 2, del CRR.</w:t>
            </w:r>
          </w:p>
        </w:tc>
      </w:tr>
      <w:tr w:rsidR="00464F34" w:rsidRPr="00D51A68" w:rsidTr="00672D2A">
        <w:tc>
          <w:tcPr>
            <w:tcW w:w="1188" w:type="dxa"/>
          </w:tcPr>
          <w:p w:rsidR="00464F34" w:rsidRPr="00D51A68" w:rsidRDefault="00464F34" w:rsidP="00FC1A76">
            <w:pPr>
              <w:pStyle w:val="InstructionsText"/>
            </w:pPr>
            <w:r w:rsidRPr="00D51A68">
              <w:t>210</w:t>
            </w:r>
          </w:p>
        </w:tc>
        <w:tc>
          <w:tcPr>
            <w:tcW w:w="8640" w:type="dxa"/>
          </w:tcPr>
          <w:p w:rsidR="00464F34" w:rsidRPr="00D51A68" w:rsidRDefault="00464F34"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di cui: derivante dal rischio di controparte</w:t>
            </w:r>
          </w:p>
          <w:p w:rsidR="00464F34" w:rsidRPr="00D51A68" w:rsidRDefault="00464F34" w:rsidP="00FC1A76">
            <w:pPr>
              <w:pStyle w:val="InstructionsText"/>
              <w:rPr>
                <w:b/>
                <w:u w:val="single"/>
              </w:rPr>
            </w:pPr>
            <w:r w:rsidRPr="00D51A68">
              <w:t>Per gli strumenti derivati, le operazioni di vendita con patto di riacquisto, le operazioni di concessione o assunzione di titoli o merci in prestito, le operazioni con regolamento a lungo termine e i finanziamenti con margini soggetti alla parte tre, titolo II, capo 6, del CRR, valore dell</w:t>
            </w:r>
            <w:r w:rsidR="0009277C" w:rsidRPr="00D51A68">
              <w:t>’</w:t>
            </w:r>
            <w:r w:rsidRPr="00D51A68">
              <w:t>esposizione per il rischio di controparte calcolato secondo i metodi previsti dalla parte tre, titolo II, capo 6, sezioni 2, 3, 4 e 5, del CRR.</w:t>
            </w:r>
          </w:p>
        </w:tc>
      </w:tr>
      <w:tr w:rsidR="00464F34" w:rsidRPr="00D51A68" w:rsidTr="00672D2A">
        <w:tc>
          <w:tcPr>
            <w:tcW w:w="1188" w:type="dxa"/>
          </w:tcPr>
          <w:p w:rsidR="00464F34" w:rsidRPr="00D51A68" w:rsidRDefault="00464F34" w:rsidP="00FC1A76">
            <w:pPr>
              <w:pStyle w:val="InstructionsText"/>
            </w:pPr>
            <w:r w:rsidRPr="00D51A68">
              <w:t>215</w:t>
            </w:r>
          </w:p>
        </w:tc>
        <w:tc>
          <w:tcPr>
            <w:tcW w:w="8640" w:type="dxa"/>
          </w:tcPr>
          <w:p w:rsidR="00464F34" w:rsidRPr="00D51A68" w:rsidRDefault="00464F34"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Importo dell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esposizione ponderato per il rischio prima dell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applicazione del fattore di sostegno alle PMI</w:t>
            </w:r>
          </w:p>
          <w:p w:rsidR="00464F34" w:rsidRPr="00D51A68" w:rsidRDefault="00464F34" w:rsidP="00FC1A76">
            <w:pPr>
              <w:pStyle w:val="InstructionsText"/>
              <w:rPr>
                <w:b/>
                <w:u w:val="single"/>
              </w:rPr>
            </w:pPr>
            <w:r w:rsidRPr="00D51A68">
              <w:t>Articolo 113, paragrafi da 1 a 5, del CRR senza tener conto del fattore di sostegno alle PMI ai sensi dell</w:t>
            </w:r>
            <w:r w:rsidR="0009277C" w:rsidRPr="00D51A68">
              <w:t>’</w:t>
            </w:r>
            <w:r w:rsidRPr="00D51A68">
              <w:t>articolo 501 del CRR.</w:t>
            </w:r>
          </w:p>
        </w:tc>
      </w:tr>
      <w:tr w:rsidR="00464F34" w:rsidRPr="00D51A68" w:rsidTr="00672D2A">
        <w:tc>
          <w:tcPr>
            <w:tcW w:w="1188" w:type="dxa"/>
          </w:tcPr>
          <w:p w:rsidR="00464F34" w:rsidRPr="00D51A68" w:rsidRDefault="00464F34" w:rsidP="00FC1A76">
            <w:pPr>
              <w:pStyle w:val="InstructionsText"/>
            </w:pPr>
            <w:r w:rsidRPr="00D51A68">
              <w:t>220</w:t>
            </w:r>
          </w:p>
        </w:tc>
        <w:tc>
          <w:tcPr>
            <w:tcW w:w="8640" w:type="dxa"/>
          </w:tcPr>
          <w:p w:rsidR="00464F34" w:rsidRPr="00D51A68" w:rsidRDefault="00464F34"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Importo dell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esposizione ponderato per il rischio dopo 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applicazione del fattore di sostegno alle PMI</w:t>
            </w:r>
          </w:p>
          <w:p w:rsidR="00464F34" w:rsidRPr="00D51A68" w:rsidRDefault="00464F34" w:rsidP="00FC1A76">
            <w:pPr>
              <w:pStyle w:val="InstructionsText"/>
              <w:rPr>
                <w:b/>
                <w:u w:val="single"/>
              </w:rPr>
            </w:pPr>
            <w:r w:rsidRPr="00D51A68">
              <w:t>Articolo 113, paragrafi da 1 a 5, del CRR tenuto conto del fattore di sostegno alle PMI ai sensi dell</w:t>
            </w:r>
            <w:r w:rsidR="0009277C" w:rsidRPr="00D51A68">
              <w:t>’</w:t>
            </w:r>
            <w:r w:rsidRPr="00D51A68">
              <w:t>articolo 500 del CRR.</w:t>
            </w:r>
          </w:p>
        </w:tc>
      </w:tr>
      <w:tr w:rsidR="00464F34" w:rsidRPr="00D51A68" w:rsidTr="00672D2A">
        <w:tc>
          <w:tcPr>
            <w:tcW w:w="1188" w:type="dxa"/>
            <w:shd w:val="clear" w:color="auto" w:fill="auto"/>
          </w:tcPr>
          <w:p w:rsidR="00464F34" w:rsidRPr="00D51A68" w:rsidRDefault="00464F34" w:rsidP="00FC1A76">
            <w:pPr>
              <w:pStyle w:val="InstructionsText"/>
            </w:pPr>
            <w:r w:rsidRPr="00D51A68">
              <w:t>230</w:t>
            </w:r>
          </w:p>
        </w:tc>
        <w:tc>
          <w:tcPr>
            <w:tcW w:w="8640" w:type="dxa"/>
            <w:shd w:val="clear" w:color="auto" w:fill="auto"/>
          </w:tcPr>
          <w:p w:rsidR="00464F34" w:rsidRPr="00D51A68" w:rsidRDefault="00464F34"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di cui: con una valutazione del merito di credito effettuata da un</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ECAI prescelta</w:t>
            </w:r>
          </w:p>
          <w:p w:rsidR="003812AC" w:rsidRPr="00D51A68" w:rsidRDefault="003812AC" w:rsidP="00FC1A76">
            <w:pPr>
              <w:pStyle w:val="InstructionsText"/>
            </w:pPr>
            <w:r w:rsidRPr="00D51A68">
              <w:t>Articolo 112, lettere da a) a d), f), g), l), n), o) e q), del CRR.</w:t>
            </w:r>
          </w:p>
        </w:tc>
      </w:tr>
      <w:tr w:rsidR="00464F34" w:rsidRPr="00D51A68" w:rsidTr="00672D2A">
        <w:tc>
          <w:tcPr>
            <w:tcW w:w="1188" w:type="dxa"/>
            <w:shd w:val="clear" w:color="auto" w:fill="auto"/>
          </w:tcPr>
          <w:p w:rsidR="00464F34" w:rsidRPr="00D51A68" w:rsidRDefault="00464F34" w:rsidP="00FC1A76">
            <w:pPr>
              <w:pStyle w:val="InstructionsText"/>
            </w:pPr>
            <w:r w:rsidRPr="00D51A68">
              <w:t>240</w:t>
            </w:r>
          </w:p>
        </w:tc>
        <w:tc>
          <w:tcPr>
            <w:tcW w:w="8640" w:type="dxa"/>
            <w:shd w:val="clear" w:color="auto" w:fill="auto"/>
          </w:tcPr>
          <w:p w:rsidR="00464F34" w:rsidRPr="00D51A68" w:rsidRDefault="00464F34"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di cui: con una valutazione del merito di credito derivata dall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amministrazione centrale</w:t>
            </w:r>
          </w:p>
          <w:p w:rsidR="003812AC" w:rsidRPr="00D51A68" w:rsidRDefault="003812AC" w:rsidP="00FC1A76">
            <w:pPr>
              <w:pStyle w:val="InstructionsText"/>
            </w:pPr>
            <w:r w:rsidRPr="00D51A68">
              <w:t>Articolo 112, lettere da b) a d), f), g), l), e o), del CRR.</w:t>
            </w:r>
          </w:p>
        </w:tc>
      </w:tr>
    </w:tbl>
    <w:p w:rsidR="00464F34" w:rsidRPr="00D51A68" w:rsidRDefault="00464F34" w:rsidP="00FC1A76">
      <w:pPr>
        <w:pStyle w:val="InstructionsTex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464F34" w:rsidRPr="00D51A68" w:rsidTr="00672D2A">
        <w:tc>
          <w:tcPr>
            <w:tcW w:w="1188" w:type="dxa"/>
            <w:shd w:val="clear" w:color="auto" w:fill="CCCCCC"/>
          </w:tcPr>
          <w:p w:rsidR="00464F34" w:rsidRPr="00D51A68" w:rsidRDefault="007106FB" w:rsidP="00FC1A76">
            <w:pPr>
              <w:pStyle w:val="InstructionsText"/>
            </w:pPr>
            <w:r w:rsidRPr="00D51A68">
              <w:t>Righe</w:t>
            </w:r>
          </w:p>
        </w:tc>
        <w:tc>
          <w:tcPr>
            <w:tcW w:w="8701" w:type="dxa"/>
            <w:shd w:val="clear" w:color="auto" w:fill="CCCCCC"/>
          </w:tcPr>
          <w:p w:rsidR="00464F34" w:rsidRPr="00D51A68" w:rsidRDefault="00464F34" w:rsidP="00FC1A76">
            <w:pPr>
              <w:pStyle w:val="InstructionsText"/>
            </w:pPr>
            <w:r w:rsidRPr="00D51A68">
              <w:t>Istruzioni</w:t>
            </w:r>
          </w:p>
        </w:tc>
      </w:tr>
      <w:tr w:rsidR="00464F34" w:rsidRPr="00D51A68" w:rsidTr="00672D2A">
        <w:tc>
          <w:tcPr>
            <w:tcW w:w="1188" w:type="dxa"/>
          </w:tcPr>
          <w:p w:rsidR="00464F34" w:rsidRPr="00D51A68" w:rsidRDefault="00464F34" w:rsidP="00FC1A76">
            <w:pPr>
              <w:pStyle w:val="InstructionsText"/>
            </w:pPr>
            <w:r w:rsidRPr="00D51A68">
              <w:t>010</w:t>
            </w:r>
          </w:p>
        </w:tc>
        <w:tc>
          <w:tcPr>
            <w:tcW w:w="8701" w:type="dxa"/>
          </w:tcPr>
          <w:p w:rsidR="00464F34" w:rsidRPr="00D51A68" w:rsidRDefault="00464F34" w:rsidP="00FC1A76">
            <w:pPr>
              <w:pStyle w:val="InstructionsText"/>
            </w:pPr>
            <w:r w:rsidRPr="00D51A68">
              <w:rPr>
                <w:rStyle w:val="InstructionsTabelleberschrift"/>
                <w:rFonts w:ascii="Times New Roman" w:hAnsi="Times New Roman"/>
                <w:sz w:val="24"/>
              </w:rPr>
              <w:t>Esposizioni totali</w:t>
            </w:r>
          </w:p>
        </w:tc>
      </w:tr>
      <w:tr w:rsidR="00610B56" w:rsidRPr="00D51A68" w:rsidTr="00672D2A">
        <w:tc>
          <w:tcPr>
            <w:tcW w:w="1188" w:type="dxa"/>
          </w:tcPr>
          <w:p w:rsidR="00610B56" w:rsidRPr="00D51A68" w:rsidRDefault="00610B56" w:rsidP="00FC1A76">
            <w:pPr>
              <w:pStyle w:val="InstructionsText"/>
            </w:pPr>
            <w:r w:rsidRPr="00D51A68">
              <w:t>015</w:t>
            </w:r>
          </w:p>
        </w:tc>
        <w:tc>
          <w:tcPr>
            <w:tcW w:w="8701" w:type="dxa"/>
          </w:tcPr>
          <w:p w:rsidR="00610B56" w:rsidRPr="00D51A68" w:rsidRDefault="00610B56"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di cui: esposizioni in stato di default</w:t>
            </w:r>
          </w:p>
          <w:p w:rsidR="00610B56" w:rsidRPr="00D51A68" w:rsidRDefault="00610B56" w:rsidP="00FC1A76">
            <w:pPr>
              <w:pStyle w:val="InstructionsText"/>
            </w:pPr>
            <w:r w:rsidRPr="00D51A68">
              <w:t>Articolo 127 del CRR.</w:t>
            </w:r>
          </w:p>
          <w:p w:rsidR="00610B56" w:rsidRPr="00D51A68" w:rsidRDefault="00610B56" w:rsidP="00FC1A76">
            <w:pPr>
              <w:pStyle w:val="InstructionsText"/>
            </w:pPr>
            <w:r w:rsidRPr="00D51A68">
              <w:t xml:space="preserve">Completare questa riga solo per le classi di esposizioni </w:t>
            </w:r>
            <w:r w:rsidR="0009277C" w:rsidRPr="00D51A68">
              <w:t>“</w:t>
            </w:r>
            <w:r w:rsidRPr="00D51A68">
              <w:t>Posizioni associate a un rischio particolarmente elevato</w:t>
            </w:r>
            <w:r w:rsidR="0009277C" w:rsidRPr="00D51A68">
              <w:t>”</w:t>
            </w:r>
            <w:r w:rsidRPr="00D51A68">
              <w:t xml:space="preserve"> ed </w:t>
            </w:r>
            <w:r w:rsidR="0009277C" w:rsidRPr="00D51A68">
              <w:t>“</w:t>
            </w:r>
            <w:r w:rsidRPr="00D51A68">
              <w:t>Esposizioni in strumenti di capitale</w:t>
            </w:r>
            <w:r w:rsidR="0009277C" w:rsidRPr="00D51A68">
              <w:t>”</w:t>
            </w:r>
            <w:r w:rsidRPr="00D51A68">
              <w:t>.</w:t>
            </w:r>
          </w:p>
          <w:p w:rsidR="00761891" w:rsidRPr="00D51A68" w:rsidRDefault="00761891" w:rsidP="00FC1A76">
            <w:pPr>
              <w:pStyle w:val="InstructionsText"/>
            </w:pPr>
            <w:r w:rsidRPr="00D51A68">
              <w:t>Se figura nell</w:t>
            </w:r>
            <w:r w:rsidR="0009277C" w:rsidRPr="00D51A68">
              <w:t>’</w:t>
            </w:r>
            <w:r w:rsidRPr="00D51A68">
              <w:t>elenco di cui all</w:t>
            </w:r>
            <w:r w:rsidR="0009277C" w:rsidRPr="00D51A68">
              <w:t>’</w:t>
            </w:r>
            <w:r w:rsidRPr="00D51A68">
              <w:t>articolo 128, paragrafo 2, del CRR o se soddisfa i criteri di cui all</w:t>
            </w:r>
            <w:r w:rsidR="0009277C" w:rsidRPr="00D51A68">
              <w:t>’</w:t>
            </w:r>
            <w:r w:rsidRPr="00D51A68">
              <w:t>articolo 128, paragrafo 3, o all</w:t>
            </w:r>
            <w:r w:rsidR="0009277C" w:rsidRPr="00D51A68">
              <w:t>’</w:t>
            </w:r>
            <w:r w:rsidRPr="00D51A68">
              <w:t>articolo 133 del CRR, l</w:t>
            </w:r>
            <w:r w:rsidR="0009277C" w:rsidRPr="00D51A68">
              <w:t>’</w:t>
            </w:r>
            <w:r w:rsidRPr="00D51A68">
              <w:t xml:space="preserve">esposizione è </w:t>
            </w:r>
            <w:r w:rsidRPr="00D51A68">
              <w:lastRenderedPageBreak/>
              <w:t xml:space="preserve">classificata nella classe di esposizioni </w:t>
            </w:r>
            <w:r w:rsidR="0009277C" w:rsidRPr="00D51A68">
              <w:t>“</w:t>
            </w:r>
            <w:r w:rsidRPr="00D51A68">
              <w:t>Posizioni associate a un rischio particolarmente elevato</w:t>
            </w:r>
            <w:r w:rsidR="0009277C" w:rsidRPr="00D51A68">
              <w:t>”</w:t>
            </w:r>
            <w:r w:rsidRPr="00D51A68">
              <w:t xml:space="preserve"> o </w:t>
            </w:r>
            <w:r w:rsidR="0009277C" w:rsidRPr="00D51A68">
              <w:t>“</w:t>
            </w:r>
            <w:r w:rsidRPr="00D51A68">
              <w:t>Esposizioni in strumenti di capitale</w:t>
            </w:r>
            <w:r w:rsidR="0009277C" w:rsidRPr="00D51A68">
              <w:t>”</w:t>
            </w:r>
            <w:r w:rsidRPr="00D51A68">
              <w:t>. Di conseguenza, non vi sono altre classificazioni, anche se si tratta di esposizione in stato di default ai sensi dell</w:t>
            </w:r>
            <w:r w:rsidR="0009277C" w:rsidRPr="00D51A68">
              <w:t>’</w:t>
            </w:r>
            <w:r w:rsidR="007F4272" w:rsidRPr="00D51A68">
              <w:t>articolo </w:t>
            </w:r>
            <w:r w:rsidRPr="00D51A68">
              <w:t>127 del CRR.</w:t>
            </w:r>
          </w:p>
        </w:tc>
      </w:tr>
      <w:tr w:rsidR="00464F34" w:rsidRPr="00D51A68" w:rsidTr="00672D2A">
        <w:tc>
          <w:tcPr>
            <w:tcW w:w="1188" w:type="dxa"/>
            <w:shd w:val="clear" w:color="auto" w:fill="auto"/>
          </w:tcPr>
          <w:p w:rsidR="00464F34" w:rsidRPr="00D51A68" w:rsidRDefault="00462BAB" w:rsidP="00FC1A76">
            <w:pPr>
              <w:pStyle w:val="InstructionsText"/>
            </w:pPr>
            <w:r w:rsidRPr="00D51A68">
              <w:lastRenderedPageBreak/>
              <w:t>020</w:t>
            </w:r>
          </w:p>
        </w:tc>
        <w:tc>
          <w:tcPr>
            <w:tcW w:w="8701" w:type="dxa"/>
            <w:shd w:val="clear" w:color="auto" w:fill="auto"/>
          </w:tcPr>
          <w:p w:rsidR="00464F34" w:rsidRPr="00D51A68" w:rsidRDefault="00464F34"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di cui: PMI</w:t>
            </w:r>
          </w:p>
          <w:p w:rsidR="00464F34" w:rsidRPr="00D51A68" w:rsidRDefault="00464F34" w:rsidP="00FC1A76">
            <w:pPr>
              <w:pStyle w:val="InstructionsText"/>
            </w:pPr>
            <w:r w:rsidRPr="00D51A68">
              <w:t xml:space="preserve">In questa riga sono segnalate tutte le esposizioni verso PMI. </w:t>
            </w:r>
          </w:p>
        </w:tc>
      </w:tr>
      <w:tr w:rsidR="00464F34" w:rsidRPr="00D51A68" w:rsidTr="00672D2A">
        <w:tc>
          <w:tcPr>
            <w:tcW w:w="1188" w:type="dxa"/>
            <w:shd w:val="clear" w:color="auto" w:fill="auto"/>
          </w:tcPr>
          <w:p w:rsidR="00464F34" w:rsidRPr="00D51A68" w:rsidRDefault="00462BAB" w:rsidP="00FC1A76">
            <w:pPr>
              <w:pStyle w:val="InstructionsText"/>
            </w:pPr>
            <w:r w:rsidRPr="00D51A68">
              <w:t>030</w:t>
            </w:r>
          </w:p>
        </w:tc>
        <w:tc>
          <w:tcPr>
            <w:tcW w:w="8701" w:type="dxa"/>
            <w:shd w:val="clear" w:color="auto" w:fill="auto"/>
          </w:tcPr>
          <w:p w:rsidR="00464F34" w:rsidRPr="00D51A68" w:rsidRDefault="00464F34"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di cui: esposizioni soggette al fattore di sostegno alle PMI</w:t>
            </w:r>
          </w:p>
          <w:p w:rsidR="00464F34" w:rsidRPr="00D51A68" w:rsidRDefault="00464F34" w:rsidP="00FC1A76">
            <w:pPr>
              <w:pStyle w:val="InstructionsText"/>
            </w:pPr>
            <w:r w:rsidRPr="00D51A68">
              <w:t>In questa riga sono segnalate soltanto le esposizioni che soddisfano i requisiti dell</w:t>
            </w:r>
            <w:r w:rsidR="0009277C" w:rsidRPr="00D51A68">
              <w:t>’</w:t>
            </w:r>
            <w:r w:rsidRPr="00D51A68">
              <w:t xml:space="preserve">articolo 501 del CRR. </w:t>
            </w:r>
          </w:p>
        </w:tc>
      </w:tr>
      <w:tr w:rsidR="00464F34" w:rsidRPr="00D51A68" w:rsidTr="00672D2A">
        <w:tc>
          <w:tcPr>
            <w:tcW w:w="1188" w:type="dxa"/>
            <w:shd w:val="clear" w:color="auto" w:fill="auto"/>
          </w:tcPr>
          <w:p w:rsidR="00464F34" w:rsidRPr="00D51A68" w:rsidRDefault="00462BAB" w:rsidP="00FC1A76">
            <w:pPr>
              <w:pStyle w:val="InstructionsText"/>
            </w:pPr>
            <w:r w:rsidRPr="00D51A68">
              <w:t>040</w:t>
            </w:r>
          </w:p>
        </w:tc>
        <w:tc>
          <w:tcPr>
            <w:tcW w:w="8701" w:type="dxa"/>
            <w:shd w:val="clear" w:color="auto" w:fill="auto"/>
          </w:tcPr>
          <w:p w:rsidR="00464F34" w:rsidRPr="00D51A68" w:rsidRDefault="00464F34"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di cui: garantite da ipoteche su beni immobili - immobili residenziali</w:t>
            </w:r>
          </w:p>
          <w:p w:rsidR="00464F34" w:rsidRPr="00D51A68" w:rsidRDefault="00464F34" w:rsidP="00FC1A76">
            <w:pPr>
              <w:pStyle w:val="InstructionsText"/>
            </w:pPr>
            <w:r w:rsidRPr="00D51A68">
              <w:t>Articolo 125 del CRR.</w:t>
            </w:r>
          </w:p>
          <w:p w:rsidR="00464F34" w:rsidRPr="00D51A68" w:rsidRDefault="00464F34" w:rsidP="00FC1A76">
            <w:pPr>
              <w:pStyle w:val="InstructionsText"/>
              <w:rPr>
                <w:b/>
                <w:u w:val="single"/>
              </w:rPr>
            </w:pPr>
            <w:r w:rsidRPr="00D51A68">
              <w:t xml:space="preserve">Segnalate soltanto nella classe di esposizioni </w:t>
            </w:r>
            <w:r w:rsidR="0009277C" w:rsidRPr="00D51A68">
              <w:t>“</w:t>
            </w:r>
            <w:r w:rsidRPr="00D51A68">
              <w:t>garantite da ipoteche su beni immobili</w:t>
            </w:r>
            <w:r w:rsidR="0009277C" w:rsidRPr="00D51A68">
              <w:t>”</w:t>
            </w:r>
            <w:r w:rsidRPr="00D51A68">
              <w:t>.</w:t>
            </w:r>
          </w:p>
        </w:tc>
      </w:tr>
      <w:tr w:rsidR="00464F34" w:rsidRPr="00D51A68" w:rsidTr="00672D2A">
        <w:tc>
          <w:tcPr>
            <w:tcW w:w="1188" w:type="dxa"/>
            <w:shd w:val="clear" w:color="auto" w:fill="auto"/>
          </w:tcPr>
          <w:p w:rsidR="00464F34" w:rsidRPr="00D51A68" w:rsidRDefault="00462BAB" w:rsidP="00FC1A76">
            <w:pPr>
              <w:pStyle w:val="InstructionsText"/>
            </w:pPr>
            <w:r w:rsidRPr="00D51A68">
              <w:t>050</w:t>
            </w:r>
          </w:p>
        </w:tc>
        <w:tc>
          <w:tcPr>
            <w:tcW w:w="8701" w:type="dxa"/>
            <w:shd w:val="clear" w:color="auto" w:fill="auto"/>
          </w:tcPr>
          <w:p w:rsidR="00464F34" w:rsidRPr="00D51A68" w:rsidRDefault="00464F34"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di cui: esposizioni nell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ambito dell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utilizzo parziale permanente del metodo standardizzato</w:t>
            </w:r>
          </w:p>
          <w:p w:rsidR="00464F34" w:rsidRPr="00D51A68" w:rsidRDefault="00464F34" w:rsidP="00FC1A76">
            <w:pPr>
              <w:pStyle w:val="InstructionsText"/>
            </w:pPr>
            <w:r w:rsidRPr="00D51A68">
              <w:t>Esposizioni trattate conformemente all</w:t>
            </w:r>
            <w:r w:rsidR="0009277C" w:rsidRPr="00D51A68">
              <w:t>’</w:t>
            </w:r>
            <w:r w:rsidRPr="00D51A68">
              <w:t>articolo 150, paragrafo 1, del CRR.</w:t>
            </w:r>
          </w:p>
        </w:tc>
      </w:tr>
      <w:tr w:rsidR="00464F34" w:rsidRPr="00D51A68" w:rsidTr="00672D2A">
        <w:tc>
          <w:tcPr>
            <w:tcW w:w="1188" w:type="dxa"/>
            <w:shd w:val="clear" w:color="auto" w:fill="auto"/>
          </w:tcPr>
          <w:p w:rsidR="00464F34" w:rsidRPr="00D51A68" w:rsidRDefault="00462BAB" w:rsidP="00FC1A76">
            <w:pPr>
              <w:pStyle w:val="InstructionsText"/>
            </w:pPr>
            <w:r w:rsidRPr="00D51A68">
              <w:t>060</w:t>
            </w:r>
          </w:p>
        </w:tc>
        <w:tc>
          <w:tcPr>
            <w:tcW w:w="8701" w:type="dxa"/>
            <w:shd w:val="clear" w:color="auto" w:fill="auto"/>
          </w:tcPr>
          <w:p w:rsidR="00464F34" w:rsidRPr="00D51A68" w:rsidRDefault="00464F34"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di cui: esposizioni in base al metodo standardizzato con autorizzazione preventiva delle autorità di vigilanza ad applicare il metodo IRB in maniera sequenziale</w:t>
            </w:r>
          </w:p>
          <w:p w:rsidR="00464F34" w:rsidRPr="00D51A68" w:rsidRDefault="00464F34" w:rsidP="00FC1A76">
            <w:pPr>
              <w:pStyle w:val="InstructionsText"/>
            </w:pPr>
            <w:r w:rsidRPr="00D51A68">
              <w:t>Esposizioni trattate conformemente all</w:t>
            </w:r>
            <w:r w:rsidR="0009277C" w:rsidRPr="00D51A68">
              <w:t>’</w:t>
            </w:r>
            <w:r w:rsidRPr="00D51A68">
              <w:t>articolo 148, paragrafo 1, del CRR.</w:t>
            </w:r>
          </w:p>
        </w:tc>
      </w:tr>
      <w:tr w:rsidR="00464F34" w:rsidRPr="00D51A68" w:rsidTr="00672D2A">
        <w:tc>
          <w:tcPr>
            <w:tcW w:w="1188" w:type="dxa"/>
          </w:tcPr>
          <w:p w:rsidR="00464F34" w:rsidRPr="00D51A68" w:rsidRDefault="00462BAB" w:rsidP="00FC1A76">
            <w:pPr>
              <w:pStyle w:val="InstructionsText"/>
            </w:pPr>
            <w:r w:rsidRPr="00D51A68">
              <w:t>070-130</w:t>
            </w:r>
          </w:p>
        </w:tc>
        <w:tc>
          <w:tcPr>
            <w:tcW w:w="8701" w:type="dxa"/>
          </w:tcPr>
          <w:p w:rsidR="00464F34" w:rsidRPr="00D51A68" w:rsidRDefault="00464F34"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RIPARTIZIONE DELLE ESPOSIZIONI TOTALI PER TIPO DI ESPOSIZIONE</w:t>
            </w:r>
          </w:p>
          <w:p w:rsidR="00464F34" w:rsidRPr="00D51A68" w:rsidRDefault="00464F34" w:rsidP="00FC1A76">
            <w:pPr>
              <w:pStyle w:val="InstructionsText"/>
            </w:pPr>
            <w:r w:rsidRPr="00D51A68">
              <w:t xml:space="preserve">Le posizioni del </w:t>
            </w:r>
            <w:r w:rsidR="0009277C" w:rsidRPr="00D51A68">
              <w:t>“</w:t>
            </w:r>
            <w:r w:rsidRPr="00D51A68">
              <w:t>portafoglio bancario</w:t>
            </w:r>
            <w:r w:rsidR="0009277C" w:rsidRPr="00D51A68">
              <w:t>”</w:t>
            </w:r>
            <w:r w:rsidRPr="00D51A68">
              <w:t xml:space="preserve"> dell</w:t>
            </w:r>
            <w:r w:rsidR="0009277C" w:rsidRPr="00D51A68">
              <w:t>’</w:t>
            </w:r>
            <w:r w:rsidRPr="00D51A68">
              <w:t xml:space="preserve">ente segnalante sono ripartite sulla base dei criteri indicati sotto, distinguendo tra: esposizioni in bilancio soggette al rischio di credito, esposizioni fuori bilancio soggette al rischio di credito ed esposizioni soggette al rischio di controparte. </w:t>
            </w:r>
          </w:p>
          <w:p w:rsidR="00464F34" w:rsidRPr="00D51A68" w:rsidRDefault="00464F34" w:rsidP="00FC1A76">
            <w:pPr>
              <w:pStyle w:val="InstructionsText"/>
            </w:pPr>
            <w:r w:rsidRPr="00D51A68">
              <w:t>Le posizioni dell</w:t>
            </w:r>
            <w:r w:rsidR="0009277C" w:rsidRPr="00D51A68">
              <w:t>’</w:t>
            </w:r>
            <w:r w:rsidRPr="00D51A68">
              <w:t xml:space="preserve">ente segnalante relative al rischio di controparte interne al </w:t>
            </w:r>
            <w:r w:rsidR="0009277C" w:rsidRPr="00D51A68">
              <w:t>“</w:t>
            </w:r>
            <w:r w:rsidRPr="00D51A68">
              <w:t>portafoglio di negoziazione</w:t>
            </w:r>
            <w:r w:rsidR="0009277C" w:rsidRPr="00D51A68">
              <w:t>”</w:t>
            </w:r>
            <w:r w:rsidRPr="00D51A68">
              <w:t>, di cui all</w:t>
            </w:r>
            <w:r w:rsidR="0009277C" w:rsidRPr="00D51A68">
              <w:t>’</w:t>
            </w:r>
            <w:r w:rsidRPr="00D51A68">
              <w:t>articolo 92, paragrafo 3, lettera f), e all</w:t>
            </w:r>
            <w:r w:rsidR="0009277C" w:rsidRPr="00D51A68">
              <w:t>’</w:t>
            </w:r>
            <w:r w:rsidRPr="00D51A68">
              <w:t>articolo 299, paragrafo 2, del CRR, sono assegnate alle esposizioni soggette al rischio di controparte. Anche gli enti che applicano l</w:t>
            </w:r>
            <w:r w:rsidR="0009277C" w:rsidRPr="00D51A68">
              <w:t>’</w:t>
            </w:r>
            <w:r w:rsidRPr="00D51A68">
              <w:t xml:space="preserve">articolo 94, paragrafo 1, del CRR ripartiscono le posizioni interne al </w:t>
            </w:r>
            <w:r w:rsidR="0009277C" w:rsidRPr="00D51A68">
              <w:t>“</w:t>
            </w:r>
            <w:r w:rsidRPr="00D51A68">
              <w:t>portafoglio di negoziazione</w:t>
            </w:r>
            <w:r w:rsidR="0009277C" w:rsidRPr="00D51A68">
              <w:t>”</w:t>
            </w:r>
            <w:r w:rsidRPr="00D51A68">
              <w:t xml:space="preserve"> sulla base dei criteri indicati sotto, distinguendo tra esposizioni in bilancio soggette al rischio di credito, esposizioni fuori bilancio soggette al rischio di credito ed esposizioni soggette al rischio di controparte.</w:t>
            </w:r>
          </w:p>
        </w:tc>
      </w:tr>
      <w:tr w:rsidR="00464F34" w:rsidRPr="00D51A68" w:rsidTr="00672D2A">
        <w:tc>
          <w:tcPr>
            <w:tcW w:w="1188" w:type="dxa"/>
          </w:tcPr>
          <w:p w:rsidR="00464F34" w:rsidRPr="00D51A68" w:rsidRDefault="00462BAB" w:rsidP="00FC1A76">
            <w:pPr>
              <w:pStyle w:val="InstructionsText"/>
            </w:pPr>
            <w:r w:rsidRPr="00D51A68">
              <w:t>070</w:t>
            </w:r>
          </w:p>
        </w:tc>
        <w:tc>
          <w:tcPr>
            <w:tcW w:w="8701" w:type="dxa"/>
          </w:tcPr>
          <w:p w:rsidR="00464F34" w:rsidRPr="00D51A68" w:rsidRDefault="00464F34"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 xml:space="preserve">Esposizioni in bilancio soggette al rischio di credito </w:t>
            </w:r>
          </w:p>
          <w:p w:rsidR="00464F34" w:rsidRPr="00D51A68" w:rsidRDefault="00464F34" w:rsidP="00FC1A76">
            <w:pPr>
              <w:pStyle w:val="InstructionsText"/>
            </w:pPr>
            <w:r w:rsidRPr="00D51A68">
              <w:t>Attività di cui all</w:t>
            </w:r>
            <w:r w:rsidR="0009277C" w:rsidRPr="00D51A68">
              <w:t>’</w:t>
            </w:r>
            <w:r w:rsidRPr="00D51A68">
              <w:t>articolo 24 del CRR non comprese in altra categoria.</w:t>
            </w:r>
          </w:p>
          <w:p w:rsidR="00464F34" w:rsidRPr="00D51A68" w:rsidRDefault="00464F34" w:rsidP="00FC1A76">
            <w:pPr>
              <w:pStyle w:val="InstructionsText"/>
            </w:pPr>
            <w:r w:rsidRPr="00D51A68">
              <w:t>Le esposizioni che costituiscono elementi in bilancio e sono comprese come operazioni di finanziamento tramite titoli o come derivati e operazioni con regolamento a lungo termine, o che derivano da accordi di compensazione contrattuale tra prodotti differenti sono segnalate nelle righe 090, 110 e 130 e pertanto non sono incluse in questa riga.</w:t>
            </w:r>
          </w:p>
          <w:p w:rsidR="00464F34" w:rsidRPr="00D51A68" w:rsidRDefault="00464F34" w:rsidP="00FC1A76">
            <w:pPr>
              <w:pStyle w:val="InstructionsText"/>
            </w:pPr>
            <w:r w:rsidRPr="00D51A68">
              <w:t>Le operazioni con regolamento non contestuale ai sensi dell</w:t>
            </w:r>
            <w:r w:rsidR="0009277C" w:rsidRPr="00D51A68">
              <w:t>’</w:t>
            </w:r>
            <w:r w:rsidRPr="00D51A68">
              <w:t>articolo 379, paragrafo 1, del CRR (se non dedotte) non costituiscono elementi in bilancio, ma sono comunque segnalate in questa riga.</w:t>
            </w:r>
          </w:p>
          <w:p w:rsidR="00464F34" w:rsidRPr="00D51A68" w:rsidRDefault="00464F34" w:rsidP="00FC1A76">
            <w:pPr>
              <w:pStyle w:val="InstructionsText"/>
              <w:rPr>
                <w:b/>
                <w:u w:val="single"/>
              </w:rPr>
            </w:pPr>
            <w:r w:rsidRPr="00D51A68">
              <w:t>Le esposizioni derivanti da attività costituite in garanzia presso una CCP conformemente all</w:t>
            </w:r>
            <w:r w:rsidR="0009277C" w:rsidRPr="00D51A68">
              <w:t>’</w:t>
            </w:r>
            <w:r w:rsidRPr="00D51A68">
              <w:t>articolo 4, paragrafo 1, punto 90, del CRR e le esposizioni relative al fondo di garanzia conformemente all</w:t>
            </w:r>
            <w:r w:rsidR="0009277C" w:rsidRPr="00D51A68">
              <w:t>’</w:t>
            </w:r>
            <w:r w:rsidRPr="00D51A68">
              <w:t xml:space="preserve">articolo 4, paragrafo 1, punto 89, del CRR sono </w:t>
            </w:r>
            <w:r w:rsidRPr="00D51A68">
              <w:lastRenderedPageBreak/>
              <w:t xml:space="preserve">incluse in questa riga se non sono segnalate nella riga 030. </w:t>
            </w:r>
          </w:p>
        </w:tc>
      </w:tr>
      <w:tr w:rsidR="00464F34" w:rsidRPr="00D51A68" w:rsidTr="00672D2A">
        <w:tc>
          <w:tcPr>
            <w:tcW w:w="1188" w:type="dxa"/>
          </w:tcPr>
          <w:p w:rsidR="00464F34" w:rsidRPr="00D51A68" w:rsidRDefault="00462BAB" w:rsidP="00FC1A76">
            <w:pPr>
              <w:pStyle w:val="InstructionsText"/>
            </w:pPr>
            <w:r w:rsidRPr="00D51A68">
              <w:lastRenderedPageBreak/>
              <w:t>080</w:t>
            </w:r>
          </w:p>
        </w:tc>
        <w:tc>
          <w:tcPr>
            <w:tcW w:w="8701" w:type="dxa"/>
          </w:tcPr>
          <w:p w:rsidR="00464F34" w:rsidRPr="00D51A68" w:rsidRDefault="00464F34"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Esposizioni fuori bilancio soggette al rischio di credito</w:t>
            </w:r>
          </w:p>
          <w:p w:rsidR="00464F34" w:rsidRPr="00D51A68" w:rsidRDefault="00464F34" w:rsidP="00FC1A76">
            <w:pPr>
              <w:pStyle w:val="InstructionsText"/>
            </w:pPr>
            <w:r w:rsidRPr="00D51A68">
              <w:t>Le posizioni fuori bilancio comprendono gli elementi elencati nell</w:t>
            </w:r>
            <w:r w:rsidR="0009277C" w:rsidRPr="00D51A68">
              <w:t>’</w:t>
            </w:r>
            <w:r w:rsidRPr="00D51A68">
              <w:t>allegato I del CRR.</w:t>
            </w:r>
          </w:p>
          <w:p w:rsidR="00464F34" w:rsidRPr="00D51A68" w:rsidRDefault="00464F34" w:rsidP="00FC1A76">
            <w:pPr>
              <w:pStyle w:val="InstructionsText"/>
            </w:pPr>
            <w:r w:rsidRPr="00D51A68">
              <w:t>Le esposizioni che costituiscono elementi fuori bilancio e sono comprese come operazioni di finanziamento tramite titoli o come derivati e operazioni con regolamento a lungo termine o che derivano da accordi di compensazione contrattuale tra prodotti differenti sono segnalate nelle righe 040 e 060; pertanto non sono incluse in questa riga.</w:t>
            </w:r>
          </w:p>
          <w:p w:rsidR="00464F34" w:rsidRPr="00D51A68" w:rsidRDefault="00464F34" w:rsidP="00FC1A76">
            <w:pPr>
              <w:pStyle w:val="InstructionsText"/>
              <w:rPr>
                <w:b/>
                <w:u w:val="single"/>
              </w:rPr>
            </w:pPr>
            <w:r w:rsidRPr="00D51A68">
              <w:t>Le esposizioni derivanti da costituite in garanzia presso una CCP conformemente all</w:t>
            </w:r>
            <w:r w:rsidR="0009277C" w:rsidRPr="00D51A68">
              <w:t>’</w:t>
            </w:r>
            <w:r w:rsidRPr="00D51A68">
              <w:t>articolo 4, paragrafo 1, punto 90, del CRR e le esposizioni relative al fondo di garanzia conformemente all</w:t>
            </w:r>
            <w:r w:rsidR="0009277C" w:rsidRPr="00D51A68">
              <w:t>’</w:t>
            </w:r>
            <w:r w:rsidRPr="00D51A68">
              <w:t>articolo 4, paragrafo 1, punto 89, del CRR sono incluse in questa riga se sono considerate elementi fuori bilancio.</w:t>
            </w:r>
          </w:p>
        </w:tc>
      </w:tr>
      <w:tr w:rsidR="003C3168" w:rsidRPr="00D51A68" w:rsidTr="00672D2A">
        <w:tc>
          <w:tcPr>
            <w:tcW w:w="1188" w:type="dxa"/>
            <w:tcBorders>
              <w:top w:val="single" w:sz="4" w:space="0" w:color="auto"/>
              <w:left w:val="single" w:sz="4" w:space="0" w:color="auto"/>
              <w:bottom w:val="single" w:sz="4" w:space="0" w:color="auto"/>
              <w:right w:val="single" w:sz="4" w:space="0" w:color="auto"/>
            </w:tcBorders>
          </w:tcPr>
          <w:p w:rsidR="003C3168" w:rsidRPr="00D51A68" w:rsidRDefault="003C3168" w:rsidP="00FC1A76">
            <w:pPr>
              <w:pStyle w:val="InstructionsText"/>
            </w:pPr>
            <w:r w:rsidRPr="00D51A68">
              <w:t>090-130</w:t>
            </w:r>
          </w:p>
        </w:tc>
        <w:tc>
          <w:tcPr>
            <w:tcW w:w="8701" w:type="dxa"/>
            <w:tcBorders>
              <w:top w:val="single" w:sz="4" w:space="0" w:color="auto"/>
              <w:left w:val="single" w:sz="4" w:space="0" w:color="auto"/>
              <w:bottom w:val="single" w:sz="4" w:space="0" w:color="auto"/>
              <w:right w:val="single" w:sz="4" w:space="0" w:color="auto"/>
            </w:tcBorders>
          </w:tcPr>
          <w:p w:rsidR="003C3168" w:rsidRPr="00D51A68" w:rsidRDefault="003C3168" w:rsidP="00FC1A76">
            <w:pPr>
              <w:pStyle w:val="InstructionsText"/>
            </w:pPr>
            <w:r w:rsidRPr="00D51A68">
              <w:rPr>
                <w:rStyle w:val="InstructionsTabelleberschrift"/>
                <w:rFonts w:ascii="Times New Roman" w:hAnsi="Times New Roman"/>
                <w:sz w:val="24"/>
              </w:rPr>
              <w:t>Esposizioni/Operazioni soggette al rischio di controparte</w:t>
            </w:r>
          </w:p>
        </w:tc>
      </w:tr>
      <w:tr w:rsidR="00464F34" w:rsidRPr="00D51A68" w:rsidTr="00672D2A">
        <w:tc>
          <w:tcPr>
            <w:tcW w:w="1188" w:type="dxa"/>
          </w:tcPr>
          <w:p w:rsidR="00464F34" w:rsidRPr="00D51A68" w:rsidRDefault="00462BAB" w:rsidP="00FC1A76">
            <w:pPr>
              <w:pStyle w:val="InstructionsText"/>
            </w:pPr>
            <w:r w:rsidRPr="00D51A68">
              <w:t>090</w:t>
            </w:r>
          </w:p>
        </w:tc>
        <w:tc>
          <w:tcPr>
            <w:tcW w:w="8701" w:type="dxa"/>
          </w:tcPr>
          <w:p w:rsidR="00464F34" w:rsidRPr="00D51A68" w:rsidRDefault="00464F34" w:rsidP="00FC1A76">
            <w:pPr>
              <w:pStyle w:val="InstructionsText"/>
            </w:pPr>
            <w:r w:rsidRPr="00D51A68">
              <w:rPr>
                <w:rStyle w:val="InstructionsTabelleberschrift"/>
                <w:rFonts w:ascii="Times New Roman" w:hAnsi="Times New Roman"/>
                <w:sz w:val="24"/>
              </w:rPr>
              <w:t xml:space="preserve">Operazioni di finanziamento tramite titoli </w:t>
            </w:r>
          </w:p>
          <w:p w:rsidR="00464F34" w:rsidRPr="00D51A68" w:rsidRDefault="00464F34" w:rsidP="007F4272">
            <w:pPr>
              <w:pStyle w:val="InstructionsText"/>
            </w:pPr>
            <w:r w:rsidRPr="00D51A68">
              <w:t xml:space="preserve">Le operazioni di finanziamento tramite titoli (SFT), così come definite nel paragrafo 17 del documento del Comitato di Basilea </w:t>
            </w:r>
            <w:r w:rsidR="0009277C" w:rsidRPr="00D51A68">
              <w:t>“</w:t>
            </w:r>
            <w:r w:rsidRPr="00D51A68">
              <w:t>The Application of Basel II to Trading Activities and the Treatment of Double Default Effects</w:t>
            </w:r>
            <w:r w:rsidR="0009277C" w:rsidRPr="00D51A68">
              <w:t>”</w:t>
            </w:r>
            <w:r w:rsidRPr="00D51A68">
              <w:t xml:space="preserve"> (Applicazione di Basilea II alle operazioni di negoziazione e trattamento degli effetti del </w:t>
            </w:r>
            <w:r w:rsidR="0009277C" w:rsidRPr="00D51A68">
              <w:t>“</w:t>
            </w:r>
            <w:r w:rsidRPr="00D51A68">
              <w:t>double default</w:t>
            </w:r>
            <w:r w:rsidR="0009277C" w:rsidRPr="00D51A68">
              <w:t>”</w:t>
            </w:r>
            <w:r w:rsidRPr="00D51A68">
              <w:t>), comprendono: i) i contratti di vendita con patto di riacquisto e i contratti di vendita con patto di riacquisto passivo definiti nell</w:t>
            </w:r>
            <w:r w:rsidR="0009277C" w:rsidRPr="00D51A68">
              <w:t>’</w:t>
            </w:r>
            <w:r w:rsidRPr="00D51A68">
              <w:t>articolo 4, paragrafo 1, punto 82, del CRR, nonché le operazioni di concessione e assunzione in prestito di titoli o di merci; ii)</w:t>
            </w:r>
            <w:r w:rsidR="007F4272" w:rsidRPr="00D51A68">
              <w:t> </w:t>
            </w:r>
            <w:r w:rsidRPr="00D51A68">
              <w:t>i</w:t>
            </w:r>
            <w:r w:rsidR="007F4272" w:rsidRPr="00D51A68">
              <w:t> </w:t>
            </w:r>
            <w:r w:rsidRPr="00D51A68">
              <w:t>finanziamenti con margini definiti nell</w:t>
            </w:r>
            <w:r w:rsidR="0009277C" w:rsidRPr="00D51A68">
              <w:t>’</w:t>
            </w:r>
            <w:r w:rsidRPr="00D51A68">
              <w:t>articolo 272, punto 3, del CRR.</w:t>
            </w:r>
          </w:p>
        </w:tc>
      </w:tr>
      <w:tr w:rsidR="00464F34" w:rsidRPr="00D51A68" w:rsidTr="00672D2A">
        <w:tc>
          <w:tcPr>
            <w:tcW w:w="1188" w:type="dxa"/>
          </w:tcPr>
          <w:p w:rsidR="00464F34" w:rsidRPr="00D51A68" w:rsidRDefault="00462BAB" w:rsidP="00FC1A76">
            <w:pPr>
              <w:pStyle w:val="InstructionsText"/>
            </w:pPr>
            <w:r w:rsidRPr="00D51A68">
              <w:t>100</w:t>
            </w:r>
          </w:p>
        </w:tc>
        <w:tc>
          <w:tcPr>
            <w:tcW w:w="8701" w:type="dxa"/>
          </w:tcPr>
          <w:p w:rsidR="00464F34" w:rsidRPr="00D51A68" w:rsidRDefault="00464F34"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di cui: compensati a livello centrale tramite una QCCP</w:t>
            </w:r>
          </w:p>
          <w:p w:rsidR="00464F34" w:rsidRPr="00D51A68" w:rsidRDefault="00464F34" w:rsidP="00FC1A76">
            <w:pPr>
              <w:pStyle w:val="InstructionsText"/>
            </w:pPr>
            <w:r w:rsidRPr="00D51A68">
              <w:t>Articolo 306 del CRR per le CCP qualificate ai sensi dell</w:t>
            </w:r>
            <w:r w:rsidR="0009277C" w:rsidRPr="00D51A68">
              <w:t>’</w:t>
            </w:r>
            <w:r w:rsidRPr="00D51A68">
              <w:t>articolo 4, paragrafo 1</w:t>
            </w:r>
            <w:r w:rsidR="007F4272" w:rsidRPr="00D51A68">
              <w:t>, punto </w:t>
            </w:r>
            <w:r w:rsidRPr="00D51A68">
              <w:t>88, in combinato disposto con l</w:t>
            </w:r>
            <w:r w:rsidR="0009277C" w:rsidRPr="00D51A68">
              <w:t>’</w:t>
            </w:r>
            <w:r w:rsidRPr="00D51A68">
              <w:t>articolo 301, paragrafo 2, del CRR.</w:t>
            </w:r>
          </w:p>
          <w:p w:rsidR="00464F34" w:rsidRPr="00D51A68" w:rsidRDefault="00D02E89" w:rsidP="00FC1A76">
            <w:pPr>
              <w:pStyle w:val="InstructionsText"/>
            </w:pPr>
            <w:r w:rsidRPr="00D51A68">
              <w:t>Esposizioni da negoziazione verso una CCP conformemente all</w:t>
            </w:r>
            <w:r w:rsidR="0009277C" w:rsidRPr="00D51A68">
              <w:t>’</w:t>
            </w:r>
            <w:r w:rsidRPr="00D51A68">
              <w:t>articolo 4, paragrafo 1, punto 91, del CRR.</w:t>
            </w:r>
          </w:p>
        </w:tc>
      </w:tr>
      <w:tr w:rsidR="00464F34" w:rsidRPr="00D51A68" w:rsidTr="00672D2A">
        <w:tc>
          <w:tcPr>
            <w:tcW w:w="1188" w:type="dxa"/>
          </w:tcPr>
          <w:p w:rsidR="00464F34" w:rsidRPr="00D51A68" w:rsidRDefault="00462BAB" w:rsidP="00FC1A76">
            <w:pPr>
              <w:pStyle w:val="InstructionsText"/>
            </w:pPr>
            <w:r w:rsidRPr="00D51A68">
              <w:t>110</w:t>
            </w:r>
          </w:p>
        </w:tc>
        <w:tc>
          <w:tcPr>
            <w:tcW w:w="8701" w:type="dxa"/>
          </w:tcPr>
          <w:p w:rsidR="00464F34" w:rsidRPr="00D51A68" w:rsidRDefault="00464F34"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 xml:space="preserve">Derivati e operazioni con regolamento a lungo termine </w:t>
            </w:r>
          </w:p>
          <w:p w:rsidR="00464F34" w:rsidRPr="00D51A68" w:rsidRDefault="00464F34" w:rsidP="00FC1A76">
            <w:pPr>
              <w:pStyle w:val="InstructionsText"/>
            </w:pPr>
            <w:r w:rsidRPr="00D51A68">
              <w:t>I derivati comprendono i contratti elencati nell</w:t>
            </w:r>
            <w:r w:rsidR="0009277C" w:rsidRPr="00D51A68">
              <w:t>’</w:t>
            </w:r>
            <w:r w:rsidRPr="00D51A68">
              <w:t>allegato II del CRR.</w:t>
            </w:r>
          </w:p>
          <w:p w:rsidR="00464F34" w:rsidRPr="00D51A68" w:rsidRDefault="00464F34" w:rsidP="00FC1A76">
            <w:pPr>
              <w:pStyle w:val="InstructionsText"/>
            </w:pPr>
            <w:r w:rsidRPr="00D51A68">
              <w:t>Operazioni con regolamento a lungo termine definite nell</w:t>
            </w:r>
            <w:r w:rsidR="0009277C" w:rsidRPr="00D51A68">
              <w:t>’</w:t>
            </w:r>
            <w:r w:rsidRPr="00D51A68">
              <w:t>articolo 272, punto 2, del CRR.</w:t>
            </w:r>
          </w:p>
          <w:p w:rsidR="00464F34" w:rsidRPr="00D51A68" w:rsidRDefault="00464F34" w:rsidP="00FC1A76">
            <w:pPr>
              <w:pStyle w:val="InstructionsText"/>
            </w:pPr>
            <w:r w:rsidRPr="00D51A68">
              <w:t>I derivati e le operazioni con regolamento a lungo termine che sono compresi in una compensazione tra prodotti differenti sono segnalati nella riga 130; pertanto non sono inclusi in questa riga.</w:t>
            </w:r>
          </w:p>
        </w:tc>
      </w:tr>
      <w:tr w:rsidR="00464F34" w:rsidRPr="00D51A68" w:rsidTr="00672D2A">
        <w:tc>
          <w:tcPr>
            <w:tcW w:w="1188" w:type="dxa"/>
          </w:tcPr>
          <w:p w:rsidR="00464F34" w:rsidRPr="00D51A68" w:rsidRDefault="00462BAB" w:rsidP="00FC1A76">
            <w:pPr>
              <w:pStyle w:val="InstructionsText"/>
            </w:pPr>
            <w:r w:rsidRPr="00D51A68">
              <w:t>120</w:t>
            </w:r>
          </w:p>
        </w:tc>
        <w:tc>
          <w:tcPr>
            <w:tcW w:w="8701" w:type="dxa"/>
          </w:tcPr>
          <w:p w:rsidR="00464F34" w:rsidRPr="00D51A68" w:rsidRDefault="00464F34" w:rsidP="00FC1A76">
            <w:pPr>
              <w:pStyle w:val="InstructionsText"/>
            </w:pPr>
            <w:r w:rsidRPr="00D51A68">
              <w:rPr>
                <w:rStyle w:val="InstructionsTabelleberschrift"/>
                <w:rFonts w:ascii="Times New Roman" w:hAnsi="Times New Roman"/>
                <w:sz w:val="24"/>
              </w:rPr>
              <w:t>di cui: compensati a livello centrale tramite una QCCP</w:t>
            </w:r>
          </w:p>
          <w:p w:rsidR="00464F34" w:rsidRPr="00D51A68" w:rsidRDefault="00464F34" w:rsidP="00FC1A76">
            <w:pPr>
              <w:pStyle w:val="InstructionsText"/>
            </w:pPr>
            <w:r w:rsidRPr="00D51A68">
              <w:t>Articolo 306 del CRR per le CCP qualificate ai sensi dell</w:t>
            </w:r>
            <w:r w:rsidR="0009277C" w:rsidRPr="00D51A68">
              <w:t>’</w:t>
            </w:r>
            <w:r w:rsidRPr="00D51A68">
              <w:t>articolo 4, paragrafo 1</w:t>
            </w:r>
            <w:r w:rsidR="00D31BA6" w:rsidRPr="00D51A68">
              <w:t>, punto </w:t>
            </w:r>
            <w:r w:rsidRPr="00D51A68">
              <w:t>88, in combinato disposto con l</w:t>
            </w:r>
            <w:r w:rsidR="0009277C" w:rsidRPr="00D51A68">
              <w:t>’</w:t>
            </w:r>
            <w:r w:rsidRPr="00D51A68">
              <w:t>articolo 301, paragrafo 2, del CRR.</w:t>
            </w:r>
          </w:p>
          <w:p w:rsidR="00464F34" w:rsidRPr="00D51A68" w:rsidRDefault="00770830" w:rsidP="00FC1A76">
            <w:pPr>
              <w:pStyle w:val="InstructionsText"/>
              <w:rPr>
                <w:b/>
                <w:u w:val="single"/>
              </w:rPr>
            </w:pPr>
            <w:r w:rsidRPr="00D51A68">
              <w:t>Esposizioni da negoziazione verso una CCP conformemente all</w:t>
            </w:r>
            <w:r w:rsidR="0009277C" w:rsidRPr="00D51A68">
              <w:t>’</w:t>
            </w:r>
            <w:r w:rsidRPr="00D51A68">
              <w:t>articolo 4, paragrafo 1, punto 91, del CRR.</w:t>
            </w:r>
          </w:p>
        </w:tc>
      </w:tr>
      <w:tr w:rsidR="00464F34" w:rsidRPr="00D51A68" w:rsidTr="00672D2A">
        <w:tc>
          <w:tcPr>
            <w:tcW w:w="1188" w:type="dxa"/>
          </w:tcPr>
          <w:p w:rsidR="00464F34" w:rsidRPr="00D51A68" w:rsidRDefault="00462BAB" w:rsidP="00FC1A76">
            <w:pPr>
              <w:pStyle w:val="InstructionsText"/>
            </w:pPr>
            <w:r w:rsidRPr="00D51A68">
              <w:t>130</w:t>
            </w:r>
          </w:p>
        </w:tc>
        <w:tc>
          <w:tcPr>
            <w:tcW w:w="8701" w:type="dxa"/>
          </w:tcPr>
          <w:p w:rsidR="00464F34" w:rsidRPr="00D51A68" w:rsidRDefault="00464F34"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Da compensazione contrattuale tra prodotti differenti</w:t>
            </w:r>
          </w:p>
          <w:p w:rsidR="00464F34" w:rsidRPr="00D51A68" w:rsidRDefault="00464F34" w:rsidP="00FC1A76">
            <w:pPr>
              <w:pStyle w:val="InstructionsText"/>
            </w:pPr>
            <w:r w:rsidRPr="00D51A68">
              <w:t>In questa riga sono segnalate le esposizioni che, in virtù di una compensazione contrattuale tra prodotti differenti (definita nell</w:t>
            </w:r>
            <w:r w:rsidR="0009277C" w:rsidRPr="00D51A68">
              <w:t>’</w:t>
            </w:r>
            <w:r w:rsidRPr="00D51A68">
              <w:t xml:space="preserve">articolo 272, punto 11, del CRR), non possono essere classificate né come derivati e operazioni con regolamento a lungo </w:t>
            </w:r>
            <w:r w:rsidRPr="00D51A68">
              <w:lastRenderedPageBreak/>
              <w:t>termine né come operazioni di finanziamento tramite titoli.</w:t>
            </w:r>
          </w:p>
        </w:tc>
      </w:tr>
      <w:tr w:rsidR="00464F34" w:rsidRPr="00D51A68" w:rsidTr="00672D2A">
        <w:tc>
          <w:tcPr>
            <w:tcW w:w="1188" w:type="dxa"/>
          </w:tcPr>
          <w:p w:rsidR="00464F34" w:rsidRPr="00D51A68" w:rsidRDefault="00462BAB" w:rsidP="00FC1A76">
            <w:pPr>
              <w:pStyle w:val="InstructionsText"/>
            </w:pPr>
            <w:r w:rsidRPr="00D51A68">
              <w:lastRenderedPageBreak/>
              <w:t>140-280</w:t>
            </w:r>
          </w:p>
        </w:tc>
        <w:tc>
          <w:tcPr>
            <w:tcW w:w="8701" w:type="dxa"/>
          </w:tcPr>
          <w:p w:rsidR="00464F34" w:rsidRPr="00D51A68" w:rsidRDefault="00464F34"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RIPARTIZIONE DELLE ESPOSIZIONI PER FATTORE DI PONDERAZIONE DEL RISCHIO</w:t>
            </w:r>
          </w:p>
          <w:p w:rsidR="00464F34" w:rsidRPr="00D51A68" w:rsidRDefault="00464F34" w:rsidP="00FC1A76">
            <w:pPr>
              <w:pStyle w:val="InstructionsText"/>
            </w:pPr>
          </w:p>
        </w:tc>
      </w:tr>
      <w:tr w:rsidR="00464F34" w:rsidRPr="00D51A68" w:rsidTr="00672D2A">
        <w:tc>
          <w:tcPr>
            <w:tcW w:w="1188" w:type="dxa"/>
            <w:shd w:val="clear" w:color="auto" w:fill="auto"/>
          </w:tcPr>
          <w:p w:rsidR="00464F34" w:rsidRPr="00D51A68" w:rsidRDefault="00462BAB" w:rsidP="00FC1A76">
            <w:pPr>
              <w:pStyle w:val="InstructionsText"/>
            </w:pPr>
            <w:r w:rsidRPr="00D51A68">
              <w:t>140</w:t>
            </w:r>
          </w:p>
        </w:tc>
        <w:tc>
          <w:tcPr>
            <w:tcW w:w="8701" w:type="dxa"/>
            <w:shd w:val="clear" w:color="auto" w:fill="auto"/>
          </w:tcPr>
          <w:p w:rsidR="00464F34" w:rsidRPr="00D51A68" w:rsidRDefault="00464F34"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0</w:t>
            </w:r>
            <w:r w:rsidR="0009277C" w:rsidRPr="00D51A68">
              <w:rPr>
                <w:rStyle w:val="InstructionsTabelleberschrift"/>
                <w:rFonts w:ascii="Times New Roman" w:hAnsi="Times New Roman"/>
                <w:sz w:val="24"/>
              </w:rPr>
              <w:t>%</w:t>
            </w:r>
          </w:p>
          <w:p w:rsidR="00464F34" w:rsidRPr="00D51A68" w:rsidRDefault="00464F34" w:rsidP="00FC1A76">
            <w:pPr>
              <w:pStyle w:val="InstructionsText"/>
            </w:pPr>
          </w:p>
        </w:tc>
      </w:tr>
      <w:tr w:rsidR="00464F34" w:rsidRPr="00D51A68" w:rsidTr="00672D2A">
        <w:tc>
          <w:tcPr>
            <w:tcW w:w="1188" w:type="dxa"/>
            <w:shd w:val="clear" w:color="auto" w:fill="auto"/>
          </w:tcPr>
          <w:p w:rsidR="00464F34" w:rsidRPr="00D51A68" w:rsidRDefault="00462BAB" w:rsidP="00FC1A76">
            <w:pPr>
              <w:pStyle w:val="InstructionsText"/>
            </w:pPr>
            <w:r w:rsidRPr="00D51A68">
              <w:t>150</w:t>
            </w:r>
          </w:p>
        </w:tc>
        <w:tc>
          <w:tcPr>
            <w:tcW w:w="8701" w:type="dxa"/>
            <w:shd w:val="clear" w:color="auto" w:fill="auto"/>
          </w:tcPr>
          <w:p w:rsidR="00464F34" w:rsidRPr="00D51A68" w:rsidRDefault="00464F34"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2</w:t>
            </w:r>
            <w:r w:rsidR="0009277C" w:rsidRPr="00D51A68">
              <w:rPr>
                <w:rStyle w:val="InstructionsTabelleberschrift"/>
                <w:rFonts w:ascii="Times New Roman" w:hAnsi="Times New Roman"/>
                <w:sz w:val="24"/>
              </w:rPr>
              <w:t>%</w:t>
            </w:r>
          </w:p>
          <w:p w:rsidR="00464F34" w:rsidRPr="00D51A68" w:rsidRDefault="00464F34" w:rsidP="00FC1A76">
            <w:pPr>
              <w:pStyle w:val="InstructionsText"/>
              <w:rPr>
                <w:b/>
              </w:rPr>
            </w:pPr>
            <w:r w:rsidRPr="00D51A68">
              <w:t>Articolo 306, paragrafo 1, del CRR</w:t>
            </w:r>
          </w:p>
        </w:tc>
      </w:tr>
      <w:tr w:rsidR="00462BAB" w:rsidRPr="00D51A68" w:rsidTr="00672D2A">
        <w:tc>
          <w:tcPr>
            <w:tcW w:w="1188" w:type="dxa"/>
            <w:shd w:val="clear" w:color="auto" w:fill="auto"/>
          </w:tcPr>
          <w:p w:rsidR="00462BAB" w:rsidRPr="00D51A68" w:rsidRDefault="00462BAB" w:rsidP="00FC1A76">
            <w:pPr>
              <w:pStyle w:val="InstructionsText"/>
            </w:pPr>
            <w:r w:rsidRPr="00D51A68">
              <w:t>160</w:t>
            </w:r>
          </w:p>
        </w:tc>
        <w:tc>
          <w:tcPr>
            <w:tcW w:w="8701" w:type="dxa"/>
            <w:shd w:val="clear" w:color="auto" w:fill="auto"/>
          </w:tcPr>
          <w:p w:rsidR="00462BAB" w:rsidRPr="00D51A68" w:rsidRDefault="00462BAB"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4</w:t>
            </w:r>
            <w:r w:rsidR="0009277C" w:rsidRPr="00D51A68">
              <w:rPr>
                <w:rStyle w:val="InstructionsTabelleberschrift"/>
                <w:rFonts w:ascii="Times New Roman" w:hAnsi="Times New Roman"/>
                <w:sz w:val="24"/>
              </w:rPr>
              <w:t>%</w:t>
            </w:r>
          </w:p>
          <w:p w:rsidR="00462BAB" w:rsidRPr="00D51A68" w:rsidRDefault="00462BAB" w:rsidP="00FC1A76">
            <w:pPr>
              <w:pStyle w:val="InstructionsText"/>
              <w:rPr>
                <w:b/>
                <w:u w:val="single"/>
              </w:rPr>
            </w:pPr>
            <w:r w:rsidRPr="00D51A68">
              <w:t>Articolo 305, paragrafo 3, del CRR</w:t>
            </w:r>
          </w:p>
        </w:tc>
      </w:tr>
      <w:tr w:rsidR="00462BAB" w:rsidRPr="00D51A68" w:rsidTr="00672D2A">
        <w:tc>
          <w:tcPr>
            <w:tcW w:w="1188" w:type="dxa"/>
            <w:shd w:val="clear" w:color="auto" w:fill="auto"/>
          </w:tcPr>
          <w:p w:rsidR="00462BAB" w:rsidRPr="00D51A68" w:rsidRDefault="00462BAB" w:rsidP="00FC1A76">
            <w:pPr>
              <w:pStyle w:val="InstructionsText"/>
            </w:pPr>
            <w:r w:rsidRPr="00D51A68">
              <w:t>170</w:t>
            </w:r>
          </w:p>
        </w:tc>
        <w:tc>
          <w:tcPr>
            <w:tcW w:w="8701" w:type="dxa"/>
            <w:shd w:val="clear" w:color="auto" w:fill="auto"/>
          </w:tcPr>
          <w:p w:rsidR="00462BAB" w:rsidRPr="00D51A68" w:rsidRDefault="00462BAB"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10</w:t>
            </w:r>
            <w:r w:rsidR="0009277C" w:rsidRPr="00D51A68">
              <w:rPr>
                <w:rStyle w:val="InstructionsTabelleberschrift"/>
                <w:rFonts w:ascii="Times New Roman" w:hAnsi="Times New Roman"/>
                <w:sz w:val="24"/>
              </w:rPr>
              <w:t>%</w:t>
            </w:r>
          </w:p>
          <w:p w:rsidR="00462BAB" w:rsidRPr="00D51A68" w:rsidRDefault="00462BAB" w:rsidP="00FC1A76">
            <w:pPr>
              <w:pStyle w:val="InstructionsText"/>
            </w:pPr>
          </w:p>
        </w:tc>
      </w:tr>
      <w:tr w:rsidR="00462BAB" w:rsidRPr="00D51A68" w:rsidTr="00672D2A">
        <w:tc>
          <w:tcPr>
            <w:tcW w:w="1188" w:type="dxa"/>
            <w:shd w:val="clear" w:color="auto" w:fill="auto"/>
          </w:tcPr>
          <w:p w:rsidR="00462BAB" w:rsidRPr="00D51A68" w:rsidRDefault="00462BAB" w:rsidP="00FC1A76">
            <w:pPr>
              <w:pStyle w:val="InstructionsText"/>
            </w:pPr>
            <w:r w:rsidRPr="00D51A68">
              <w:t>180</w:t>
            </w:r>
          </w:p>
        </w:tc>
        <w:tc>
          <w:tcPr>
            <w:tcW w:w="8701" w:type="dxa"/>
            <w:shd w:val="clear" w:color="auto" w:fill="auto"/>
          </w:tcPr>
          <w:p w:rsidR="00462BAB" w:rsidRPr="00D51A68" w:rsidRDefault="00462BAB"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20</w:t>
            </w:r>
            <w:r w:rsidR="0009277C" w:rsidRPr="00D51A68">
              <w:rPr>
                <w:rStyle w:val="InstructionsTabelleberschrift"/>
                <w:rFonts w:ascii="Times New Roman" w:hAnsi="Times New Roman"/>
                <w:sz w:val="24"/>
              </w:rPr>
              <w:t>%</w:t>
            </w:r>
          </w:p>
          <w:p w:rsidR="00462BAB" w:rsidRPr="00D51A68" w:rsidRDefault="00462BAB" w:rsidP="00FC1A76">
            <w:pPr>
              <w:pStyle w:val="InstructionsText"/>
            </w:pPr>
          </w:p>
        </w:tc>
      </w:tr>
      <w:tr w:rsidR="00462BAB" w:rsidRPr="00D51A68" w:rsidTr="00672D2A">
        <w:tc>
          <w:tcPr>
            <w:tcW w:w="1188" w:type="dxa"/>
            <w:shd w:val="clear" w:color="auto" w:fill="auto"/>
          </w:tcPr>
          <w:p w:rsidR="00462BAB" w:rsidRPr="00D51A68" w:rsidRDefault="00462BAB" w:rsidP="00FC1A76">
            <w:pPr>
              <w:pStyle w:val="InstructionsText"/>
            </w:pPr>
            <w:r w:rsidRPr="00D51A68">
              <w:t>190</w:t>
            </w:r>
          </w:p>
        </w:tc>
        <w:tc>
          <w:tcPr>
            <w:tcW w:w="8701" w:type="dxa"/>
            <w:shd w:val="clear" w:color="auto" w:fill="auto"/>
          </w:tcPr>
          <w:p w:rsidR="00462BAB" w:rsidRPr="00D51A68" w:rsidRDefault="00462BAB"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35</w:t>
            </w:r>
            <w:r w:rsidR="0009277C" w:rsidRPr="00D51A68">
              <w:rPr>
                <w:rStyle w:val="InstructionsTabelleberschrift"/>
                <w:rFonts w:ascii="Times New Roman" w:hAnsi="Times New Roman"/>
                <w:sz w:val="24"/>
              </w:rPr>
              <w:t>%</w:t>
            </w:r>
          </w:p>
          <w:p w:rsidR="00462BAB" w:rsidRPr="00D51A68" w:rsidRDefault="00462BAB" w:rsidP="00FC1A76">
            <w:pPr>
              <w:pStyle w:val="InstructionsText"/>
            </w:pPr>
          </w:p>
        </w:tc>
      </w:tr>
      <w:tr w:rsidR="00462BAB" w:rsidRPr="00D51A68" w:rsidTr="00672D2A">
        <w:tc>
          <w:tcPr>
            <w:tcW w:w="1188" w:type="dxa"/>
            <w:shd w:val="clear" w:color="auto" w:fill="auto"/>
          </w:tcPr>
          <w:p w:rsidR="00462BAB" w:rsidRPr="00D51A68" w:rsidRDefault="00462BAB" w:rsidP="00FC1A76">
            <w:pPr>
              <w:pStyle w:val="InstructionsText"/>
            </w:pPr>
            <w:r w:rsidRPr="00D51A68">
              <w:t>200</w:t>
            </w:r>
          </w:p>
        </w:tc>
        <w:tc>
          <w:tcPr>
            <w:tcW w:w="8701" w:type="dxa"/>
            <w:shd w:val="clear" w:color="auto" w:fill="auto"/>
          </w:tcPr>
          <w:p w:rsidR="00462BAB" w:rsidRPr="00D51A68" w:rsidRDefault="00462BAB"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50</w:t>
            </w:r>
            <w:r w:rsidR="0009277C" w:rsidRPr="00D51A68">
              <w:rPr>
                <w:rStyle w:val="InstructionsTabelleberschrift"/>
                <w:rFonts w:ascii="Times New Roman" w:hAnsi="Times New Roman"/>
                <w:sz w:val="24"/>
              </w:rPr>
              <w:t>%</w:t>
            </w:r>
          </w:p>
          <w:p w:rsidR="00462BAB" w:rsidRPr="00D51A68" w:rsidRDefault="00462BAB" w:rsidP="00FC1A76">
            <w:pPr>
              <w:pStyle w:val="InstructionsText"/>
            </w:pPr>
          </w:p>
        </w:tc>
      </w:tr>
      <w:tr w:rsidR="00462BAB" w:rsidRPr="00D51A68" w:rsidTr="00672D2A">
        <w:tc>
          <w:tcPr>
            <w:tcW w:w="1188" w:type="dxa"/>
            <w:shd w:val="clear" w:color="auto" w:fill="auto"/>
          </w:tcPr>
          <w:p w:rsidR="00462BAB" w:rsidRPr="00D51A68" w:rsidRDefault="00462BAB" w:rsidP="00FC1A76">
            <w:pPr>
              <w:pStyle w:val="InstructionsText"/>
            </w:pPr>
            <w:r w:rsidRPr="00D51A68">
              <w:t>210</w:t>
            </w:r>
          </w:p>
        </w:tc>
        <w:tc>
          <w:tcPr>
            <w:tcW w:w="8701" w:type="dxa"/>
            <w:shd w:val="clear" w:color="auto" w:fill="auto"/>
          </w:tcPr>
          <w:p w:rsidR="00462BAB" w:rsidRPr="00D51A68" w:rsidRDefault="00462BAB"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70%</w:t>
            </w:r>
          </w:p>
          <w:p w:rsidR="00462BAB" w:rsidRPr="00D51A68" w:rsidRDefault="00462BAB" w:rsidP="00FC1A76">
            <w:pPr>
              <w:pStyle w:val="InstructionsText"/>
            </w:pPr>
            <w:r w:rsidRPr="00D51A68">
              <w:t>Articolo 232, paragrafo 3, lettera c), del CRR</w:t>
            </w:r>
          </w:p>
        </w:tc>
      </w:tr>
      <w:tr w:rsidR="00462BAB" w:rsidRPr="00D51A68" w:rsidTr="00672D2A">
        <w:tc>
          <w:tcPr>
            <w:tcW w:w="1188" w:type="dxa"/>
            <w:shd w:val="clear" w:color="auto" w:fill="auto"/>
          </w:tcPr>
          <w:p w:rsidR="00462BAB" w:rsidRPr="00D51A68" w:rsidRDefault="00462BAB" w:rsidP="00FC1A76">
            <w:pPr>
              <w:pStyle w:val="InstructionsText"/>
            </w:pPr>
            <w:r w:rsidRPr="00D51A68">
              <w:t>220</w:t>
            </w:r>
          </w:p>
        </w:tc>
        <w:tc>
          <w:tcPr>
            <w:tcW w:w="8701" w:type="dxa"/>
            <w:shd w:val="clear" w:color="auto" w:fill="auto"/>
          </w:tcPr>
          <w:p w:rsidR="00462BAB" w:rsidRPr="00D51A68" w:rsidRDefault="00462BAB"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75</w:t>
            </w:r>
            <w:r w:rsidR="0009277C" w:rsidRPr="00D51A68">
              <w:rPr>
                <w:rStyle w:val="InstructionsTabelleberschrift"/>
                <w:rFonts w:ascii="Times New Roman" w:hAnsi="Times New Roman"/>
                <w:sz w:val="24"/>
              </w:rPr>
              <w:t>%</w:t>
            </w:r>
          </w:p>
          <w:p w:rsidR="00462BAB" w:rsidRPr="00D51A68" w:rsidRDefault="00462BAB" w:rsidP="00FC1A76">
            <w:pPr>
              <w:pStyle w:val="InstructionsText"/>
            </w:pPr>
          </w:p>
        </w:tc>
      </w:tr>
      <w:tr w:rsidR="00462BAB" w:rsidRPr="00D51A68" w:rsidTr="00672D2A">
        <w:tc>
          <w:tcPr>
            <w:tcW w:w="1188" w:type="dxa"/>
            <w:shd w:val="clear" w:color="auto" w:fill="auto"/>
          </w:tcPr>
          <w:p w:rsidR="00462BAB" w:rsidRPr="00D51A68" w:rsidRDefault="00462BAB" w:rsidP="00FC1A76">
            <w:pPr>
              <w:pStyle w:val="InstructionsText"/>
            </w:pPr>
            <w:r w:rsidRPr="00D51A68">
              <w:t>230</w:t>
            </w:r>
          </w:p>
        </w:tc>
        <w:tc>
          <w:tcPr>
            <w:tcW w:w="8701" w:type="dxa"/>
            <w:shd w:val="clear" w:color="auto" w:fill="auto"/>
          </w:tcPr>
          <w:p w:rsidR="00462BAB" w:rsidRPr="00D51A68" w:rsidRDefault="00462BAB"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100</w:t>
            </w:r>
            <w:r w:rsidR="0009277C" w:rsidRPr="00D51A68">
              <w:rPr>
                <w:rStyle w:val="InstructionsTabelleberschrift"/>
                <w:rFonts w:ascii="Times New Roman" w:hAnsi="Times New Roman"/>
                <w:sz w:val="24"/>
              </w:rPr>
              <w:t>%</w:t>
            </w:r>
          </w:p>
          <w:p w:rsidR="00462BAB" w:rsidRPr="00D51A68" w:rsidRDefault="00462BAB" w:rsidP="00FC1A76">
            <w:pPr>
              <w:pStyle w:val="InstructionsText"/>
            </w:pPr>
          </w:p>
        </w:tc>
      </w:tr>
      <w:tr w:rsidR="00462BAB" w:rsidRPr="00D51A68" w:rsidTr="00672D2A">
        <w:tc>
          <w:tcPr>
            <w:tcW w:w="1188" w:type="dxa"/>
            <w:shd w:val="clear" w:color="auto" w:fill="auto"/>
          </w:tcPr>
          <w:p w:rsidR="00462BAB" w:rsidRPr="00D51A68" w:rsidRDefault="00462BAB" w:rsidP="00FC1A76">
            <w:pPr>
              <w:pStyle w:val="InstructionsText"/>
            </w:pPr>
            <w:r w:rsidRPr="00D51A68">
              <w:t>240</w:t>
            </w:r>
          </w:p>
        </w:tc>
        <w:tc>
          <w:tcPr>
            <w:tcW w:w="8701" w:type="dxa"/>
            <w:shd w:val="clear" w:color="auto" w:fill="auto"/>
          </w:tcPr>
          <w:p w:rsidR="00462BAB" w:rsidRPr="00D51A68" w:rsidRDefault="00462BAB"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150</w:t>
            </w:r>
            <w:r w:rsidR="0009277C" w:rsidRPr="00D51A68">
              <w:rPr>
                <w:rStyle w:val="InstructionsTabelleberschrift"/>
                <w:rFonts w:ascii="Times New Roman" w:hAnsi="Times New Roman"/>
                <w:sz w:val="24"/>
              </w:rPr>
              <w:t>%</w:t>
            </w:r>
          </w:p>
          <w:p w:rsidR="00462BAB" w:rsidRPr="00D51A68" w:rsidRDefault="00462BAB" w:rsidP="00FC1A76">
            <w:pPr>
              <w:pStyle w:val="InstructionsText"/>
            </w:pPr>
          </w:p>
        </w:tc>
      </w:tr>
      <w:tr w:rsidR="00462BAB" w:rsidRPr="00D51A68" w:rsidTr="00672D2A">
        <w:tc>
          <w:tcPr>
            <w:tcW w:w="1188" w:type="dxa"/>
            <w:shd w:val="clear" w:color="auto" w:fill="auto"/>
          </w:tcPr>
          <w:p w:rsidR="00462BAB" w:rsidRPr="00D51A68" w:rsidRDefault="00462BAB" w:rsidP="00FC1A76">
            <w:pPr>
              <w:pStyle w:val="InstructionsText"/>
            </w:pPr>
            <w:r w:rsidRPr="00D51A68">
              <w:t>250</w:t>
            </w:r>
          </w:p>
        </w:tc>
        <w:tc>
          <w:tcPr>
            <w:tcW w:w="8701" w:type="dxa"/>
            <w:shd w:val="clear" w:color="auto" w:fill="auto"/>
          </w:tcPr>
          <w:p w:rsidR="00462BAB" w:rsidRPr="00D51A68" w:rsidRDefault="00462BAB"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250</w:t>
            </w:r>
            <w:r w:rsidR="0009277C" w:rsidRPr="00D51A68">
              <w:rPr>
                <w:rStyle w:val="InstructionsTabelleberschrift"/>
                <w:rFonts w:ascii="Times New Roman" w:hAnsi="Times New Roman"/>
                <w:sz w:val="24"/>
              </w:rPr>
              <w:t>%</w:t>
            </w:r>
          </w:p>
          <w:p w:rsidR="00462BAB" w:rsidRPr="00D51A68" w:rsidRDefault="00462BAB" w:rsidP="00FC1A76">
            <w:pPr>
              <w:pStyle w:val="InstructionsText"/>
            </w:pPr>
            <w:r w:rsidRPr="00D51A68">
              <w:t>Articolo 133, paragrafo 2, e articolo 48, paragrafo 4, del CRR</w:t>
            </w:r>
          </w:p>
        </w:tc>
      </w:tr>
      <w:tr w:rsidR="00462BAB" w:rsidRPr="00D51A68" w:rsidTr="00672D2A">
        <w:tc>
          <w:tcPr>
            <w:tcW w:w="1188" w:type="dxa"/>
            <w:shd w:val="clear" w:color="auto" w:fill="auto"/>
          </w:tcPr>
          <w:p w:rsidR="00462BAB" w:rsidRPr="00D51A68" w:rsidRDefault="00462BAB" w:rsidP="00FC1A76">
            <w:pPr>
              <w:pStyle w:val="InstructionsText"/>
            </w:pPr>
            <w:r w:rsidRPr="00D51A68">
              <w:t>260</w:t>
            </w:r>
          </w:p>
        </w:tc>
        <w:tc>
          <w:tcPr>
            <w:tcW w:w="8701" w:type="dxa"/>
            <w:shd w:val="clear" w:color="auto" w:fill="auto"/>
          </w:tcPr>
          <w:p w:rsidR="00462BAB" w:rsidRPr="00D51A68" w:rsidRDefault="00462BAB"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370</w:t>
            </w:r>
            <w:r w:rsidR="0009277C" w:rsidRPr="00D51A68">
              <w:rPr>
                <w:rStyle w:val="InstructionsTabelleberschrift"/>
                <w:rFonts w:ascii="Times New Roman" w:hAnsi="Times New Roman"/>
                <w:sz w:val="24"/>
              </w:rPr>
              <w:t>%</w:t>
            </w:r>
          </w:p>
          <w:p w:rsidR="00462BAB" w:rsidRPr="00D51A68" w:rsidRDefault="00462BAB" w:rsidP="00FC1A76">
            <w:pPr>
              <w:pStyle w:val="InstructionsText"/>
              <w:rPr>
                <w:b/>
                <w:u w:val="single"/>
              </w:rPr>
            </w:pPr>
            <w:r w:rsidRPr="00D51A68">
              <w:t>Articolo 471 del CRR</w:t>
            </w:r>
          </w:p>
        </w:tc>
      </w:tr>
      <w:tr w:rsidR="00462BAB" w:rsidRPr="00D51A68" w:rsidTr="00672D2A">
        <w:tc>
          <w:tcPr>
            <w:tcW w:w="1188" w:type="dxa"/>
            <w:shd w:val="clear" w:color="auto" w:fill="auto"/>
          </w:tcPr>
          <w:p w:rsidR="00462BAB" w:rsidRPr="00D51A68" w:rsidRDefault="00462BAB" w:rsidP="00FC1A76">
            <w:pPr>
              <w:pStyle w:val="InstructionsText"/>
            </w:pPr>
            <w:r w:rsidRPr="00D51A68">
              <w:t>270</w:t>
            </w:r>
          </w:p>
        </w:tc>
        <w:tc>
          <w:tcPr>
            <w:tcW w:w="8701" w:type="dxa"/>
            <w:shd w:val="clear" w:color="auto" w:fill="auto"/>
          </w:tcPr>
          <w:p w:rsidR="00462BAB" w:rsidRPr="00D51A68" w:rsidRDefault="00462BAB"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1</w:t>
            </w:r>
            <w:r w:rsidR="00FC1A76" w:rsidRPr="00D51A68">
              <w:rPr>
                <w:rStyle w:val="InstructionsTabelleberschrift"/>
                <w:rFonts w:ascii="Times New Roman" w:hAnsi="Times New Roman"/>
                <w:sz w:val="24"/>
              </w:rPr>
              <w:t> </w:t>
            </w:r>
            <w:r w:rsidRPr="00D51A68">
              <w:rPr>
                <w:rStyle w:val="InstructionsTabelleberschrift"/>
                <w:rFonts w:ascii="Times New Roman" w:hAnsi="Times New Roman"/>
                <w:sz w:val="24"/>
              </w:rPr>
              <w:t>250</w:t>
            </w:r>
            <w:r w:rsidR="0009277C" w:rsidRPr="00D51A68">
              <w:rPr>
                <w:rStyle w:val="InstructionsTabelleberschrift"/>
                <w:rFonts w:ascii="Times New Roman" w:hAnsi="Times New Roman"/>
                <w:sz w:val="24"/>
              </w:rPr>
              <w:t>%</w:t>
            </w:r>
          </w:p>
          <w:p w:rsidR="00462BAB" w:rsidRPr="00D51A68" w:rsidRDefault="00462BAB" w:rsidP="00FC1A76">
            <w:pPr>
              <w:pStyle w:val="InstructionsText"/>
              <w:rPr>
                <w:b/>
                <w:u w:val="single"/>
              </w:rPr>
            </w:pPr>
            <w:r w:rsidRPr="00D51A68">
              <w:t>Articolo 133, paragrafo 2, e articolo 379</w:t>
            </w:r>
            <w:r w:rsidR="0009277C" w:rsidRPr="00D51A68">
              <w:t xml:space="preserve"> </w:t>
            </w:r>
            <w:r w:rsidRPr="00D51A68">
              <w:t>del CRR</w:t>
            </w:r>
          </w:p>
        </w:tc>
      </w:tr>
      <w:tr w:rsidR="00462BAB" w:rsidRPr="00D51A68" w:rsidTr="00672D2A">
        <w:tc>
          <w:tcPr>
            <w:tcW w:w="1188" w:type="dxa"/>
            <w:shd w:val="clear" w:color="auto" w:fill="auto"/>
          </w:tcPr>
          <w:p w:rsidR="00462BAB" w:rsidRPr="00D51A68" w:rsidRDefault="00462BAB" w:rsidP="00FC1A76">
            <w:pPr>
              <w:pStyle w:val="InstructionsText"/>
            </w:pPr>
            <w:r w:rsidRPr="00D51A68">
              <w:t>280</w:t>
            </w:r>
          </w:p>
        </w:tc>
        <w:tc>
          <w:tcPr>
            <w:tcW w:w="8701" w:type="dxa"/>
            <w:shd w:val="clear" w:color="auto" w:fill="auto"/>
          </w:tcPr>
          <w:p w:rsidR="00462BAB" w:rsidRPr="00D51A68" w:rsidRDefault="00462BAB"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Altri fattori di ponderazione del rischio</w:t>
            </w:r>
          </w:p>
          <w:p w:rsidR="00462BAB" w:rsidRPr="00D51A68" w:rsidRDefault="00462BAB" w:rsidP="00FC1A76">
            <w:pPr>
              <w:pStyle w:val="InstructionsText"/>
            </w:pPr>
            <w:r w:rsidRPr="00D51A68">
              <w:t xml:space="preserve">Questa riga non è disponibile per le classi di esposizioni </w:t>
            </w:r>
            <w:r w:rsidR="0009277C" w:rsidRPr="00D51A68">
              <w:t>“</w:t>
            </w:r>
            <w:r w:rsidRPr="00D51A68">
              <w:t>amministrazioni centrali</w:t>
            </w:r>
            <w:r w:rsidR="0009277C" w:rsidRPr="00D51A68">
              <w:t>”</w:t>
            </w:r>
            <w:r w:rsidRPr="00D51A68">
              <w:t xml:space="preserve">, </w:t>
            </w:r>
            <w:r w:rsidR="0009277C" w:rsidRPr="00D51A68">
              <w:t>“</w:t>
            </w:r>
            <w:r w:rsidRPr="00D51A68">
              <w:t>imprese</w:t>
            </w:r>
            <w:r w:rsidR="0009277C" w:rsidRPr="00D51A68">
              <w:t>”</w:t>
            </w:r>
            <w:r w:rsidRPr="00D51A68">
              <w:t xml:space="preserve">, </w:t>
            </w:r>
            <w:r w:rsidR="0009277C" w:rsidRPr="00D51A68">
              <w:t>“</w:t>
            </w:r>
            <w:r w:rsidRPr="00D51A68">
              <w:t>enti</w:t>
            </w:r>
            <w:r w:rsidR="0009277C" w:rsidRPr="00D51A68">
              <w:t>”</w:t>
            </w:r>
            <w:r w:rsidRPr="00D51A68">
              <w:t xml:space="preserve"> e </w:t>
            </w:r>
            <w:r w:rsidR="0009277C" w:rsidRPr="00D51A68">
              <w:t>“</w:t>
            </w:r>
            <w:r w:rsidRPr="00D51A68">
              <w:t>al dettaglio</w:t>
            </w:r>
            <w:r w:rsidR="0009277C" w:rsidRPr="00D51A68">
              <w:t>”</w:t>
            </w:r>
            <w:r w:rsidRPr="00D51A68">
              <w:t>.</w:t>
            </w:r>
          </w:p>
          <w:p w:rsidR="00462BAB" w:rsidRPr="00D51A68" w:rsidRDefault="00462BAB" w:rsidP="00FC1A76">
            <w:pPr>
              <w:pStyle w:val="InstructionsText"/>
            </w:pPr>
          </w:p>
          <w:p w:rsidR="00462BAB" w:rsidRPr="00D51A68" w:rsidRDefault="00462BAB" w:rsidP="00FC1A76">
            <w:pPr>
              <w:pStyle w:val="InstructionsText"/>
            </w:pPr>
            <w:r w:rsidRPr="00D51A68">
              <w:t>Per segnalare le esposizioni non soggette ai fattori di ponderazione del rischio elencati nel modello.</w:t>
            </w:r>
          </w:p>
          <w:p w:rsidR="00462BAB" w:rsidRPr="00D51A68" w:rsidRDefault="00462BAB" w:rsidP="00FC1A76">
            <w:pPr>
              <w:pStyle w:val="InstructionsText"/>
            </w:pPr>
            <w:r w:rsidRPr="00D51A68">
              <w:t xml:space="preserve">Articolo 113, paragrafi da 1 a 5, del CRR. </w:t>
            </w:r>
          </w:p>
          <w:p w:rsidR="00462BAB" w:rsidRPr="00D51A68" w:rsidRDefault="00462BAB" w:rsidP="00FC1A76">
            <w:pPr>
              <w:pStyle w:val="InstructionsText"/>
            </w:pPr>
          </w:p>
          <w:p w:rsidR="00462BAB" w:rsidRPr="00D51A68" w:rsidRDefault="00462BAB" w:rsidP="00FC1A76">
            <w:pPr>
              <w:pStyle w:val="InstructionsText"/>
            </w:pPr>
            <w:r w:rsidRPr="00D51A68">
              <w:t>I derivati su crediti nth-to-default privi di rating nell</w:t>
            </w:r>
            <w:r w:rsidR="0009277C" w:rsidRPr="00D51A68">
              <w:t>’</w:t>
            </w:r>
            <w:r w:rsidRPr="00D51A68">
              <w:t xml:space="preserve">ambito del metodo standardizzato (articolo 134, paragrafo 6, del CRR) sono segnalati in questa riga nella classe di esposizioni </w:t>
            </w:r>
            <w:r w:rsidR="0009277C" w:rsidRPr="00D51A68">
              <w:t>“</w:t>
            </w:r>
            <w:r w:rsidRPr="00D51A68">
              <w:t>altre posizioni</w:t>
            </w:r>
            <w:r w:rsidR="0009277C" w:rsidRPr="00D51A68">
              <w:t>”</w:t>
            </w:r>
            <w:r w:rsidRPr="00D51A68">
              <w:t>.</w:t>
            </w:r>
          </w:p>
          <w:p w:rsidR="00462BAB" w:rsidRPr="00D51A68" w:rsidRDefault="00462BAB" w:rsidP="00FC1A76">
            <w:pPr>
              <w:pStyle w:val="InstructionsText"/>
            </w:pPr>
            <w:r w:rsidRPr="00D51A68">
              <w:t>Cfr. anche l</w:t>
            </w:r>
            <w:r w:rsidR="0009277C" w:rsidRPr="00D51A68">
              <w:t>’</w:t>
            </w:r>
            <w:r w:rsidRPr="00D51A68">
              <w:t>articolo 124, paragrafo 2, e l</w:t>
            </w:r>
            <w:r w:rsidR="0009277C" w:rsidRPr="00D51A68">
              <w:t>’</w:t>
            </w:r>
            <w:r w:rsidRPr="00D51A68">
              <w:t xml:space="preserve">articolo 152, paragrafo 2, lettera b), del CRR. </w:t>
            </w:r>
          </w:p>
        </w:tc>
      </w:tr>
      <w:tr w:rsidR="00462BAB" w:rsidRPr="00D51A68" w:rsidTr="00672D2A">
        <w:tc>
          <w:tcPr>
            <w:tcW w:w="1188" w:type="dxa"/>
            <w:shd w:val="clear" w:color="auto" w:fill="auto"/>
          </w:tcPr>
          <w:p w:rsidR="00462BAB" w:rsidRPr="00D51A68" w:rsidRDefault="00462BAB" w:rsidP="00FC1A76">
            <w:pPr>
              <w:pStyle w:val="InstructionsText"/>
            </w:pPr>
            <w:r w:rsidRPr="00D51A68">
              <w:lastRenderedPageBreak/>
              <w:t>290-320</w:t>
            </w:r>
          </w:p>
        </w:tc>
        <w:tc>
          <w:tcPr>
            <w:tcW w:w="8701" w:type="dxa"/>
            <w:shd w:val="clear" w:color="auto" w:fill="auto"/>
          </w:tcPr>
          <w:p w:rsidR="00462BAB" w:rsidRPr="00D51A68" w:rsidRDefault="00462BAB"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Voci per memoria</w:t>
            </w:r>
          </w:p>
          <w:p w:rsidR="00462BAB" w:rsidRPr="00D51A68" w:rsidRDefault="00462BAB" w:rsidP="00FC1A76">
            <w:pPr>
              <w:pStyle w:val="InstructionsText"/>
              <w:rPr>
                <w:b/>
                <w:u w:val="single"/>
              </w:rPr>
            </w:pPr>
            <w:r w:rsidRPr="00D51A68">
              <w:t>Cfr. anche la spiegazione delle finalità delle voci per memoria nella sezione generale del modello CR SA.</w:t>
            </w:r>
          </w:p>
        </w:tc>
      </w:tr>
      <w:tr w:rsidR="00462BAB" w:rsidRPr="00D51A68" w:rsidTr="00672D2A">
        <w:tc>
          <w:tcPr>
            <w:tcW w:w="1188" w:type="dxa"/>
            <w:shd w:val="clear" w:color="auto" w:fill="auto"/>
          </w:tcPr>
          <w:p w:rsidR="00462BAB" w:rsidRPr="00D51A68" w:rsidRDefault="00462BAB" w:rsidP="00FC1A76">
            <w:pPr>
              <w:pStyle w:val="InstructionsText"/>
            </w:pPr>
            <w:r w:rsidRPr="00D51A68">
              <w:t>290</w:t>
            </w:r>
          </w:p>
          <w:p w:rsidR="00462BAB" w:rsidRPr="00D51A68" w:rsidRDefault="00462BAB" w:rsidP="00FC1A76">
            <w:pPr>
              <w:pStyle w:val="InstructionsText"/>
            </w:pPr>
          </w:p>
        </w:tc>
        <w:tc>
          <w:tcPr>
            <w:tcW w:w="8701" w:type="dxa"/>
            <w:shd w:val="clear" w:color="auto" w:fill="auto"/>
          </w:tcPr>
          <w:p w:rsidR="00462BAB" w:rsidRPr="00D51A68" w:rsidRDefault="00462BAB"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Esposizioni garantite da ipoteche su beni immobili non residenziali</w:t>
            </w:r>
          </w:p>
          <w:p w:rsidR="00462BAB" w:rsidRPr="00D51A68" w:rsidRDefault="00462BAB" w:rsidP="00FC1A76">
            <w:pPr>
              <w:pStyle w:val="InstructionsText"/>
            </w:pPr>
            <w:r w:rsidRPr="00D51A68">
              <w:t>Articolo 112, lettera i), del CRR.</w:t>
            </w:r>
          </w:p>
          <w:p w:rsidR="00462BAB" w:rsidRPr="00D51A68" w:rsidRDefault="00462BAB" w:rsidP="00FC1A76">
            <w:pPr>
              <w:pStyle w:val="InstructionsText"/>
            </w:pPr>
            <w:r w:rsidRPr="00D51A68">
              <w:t>Questa è soltanto una voce per memoria. Indipendentemente dal calcolo degli importi delle esposizioni al rischio delle esposizioni garantite da beni immobili non residenziali conformemente agli articoli 124 e 126 del CRR, le esposizioni sono ripartite e segnalate in questa riga in base ai criteri che determinano se sono garantite da beni immobili non residenziali oppure no.</w:t>
            </w:r>
          </w:p>
        </w:tc>
      </w:tr>
      <w:tr w:rsidR="00462BAB" w:rsidRPr="00D51A68" w:rsidTr="00672D2A">
        <w:tc>
          <w:tcPr>
            <w:tcW w:w="1188" w:type="dxa"/>
            <w:shd w:val="clear" w:color="auto" w:fill="auto"/>
          </w:tcPr>
          <w:p w:rsidR="00462BAB" w:rsidRPr="00D51A68" w:rsidRDefault="00462BAB" w:rsidP="00FC1A76">
            <w:pPr>
              <w:pStyle w:val="InstructionsText"/>
            </w:pPr>
            <w:r w:rsidRPr="00D51A68">
              <w:t>300</w:t>
            </w:r>
          </w:p>
        </w:tc>
        <w:tc>
          <w:tcPr>
            <w:tcW w:w="8701" w:type="dxa"/>
            <w:shd w:val="clear" w:color="auto" w:fill="auto"/>
          </w:tcPr>
          <w:p w:rsidR="00462BAB" w:rsidRPr="00D51A68" w:rsidRDefault="00462BAB"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 xml:space="preserve">Esposizioni in stato di default soggette a un fattore </w:t>
            </w:r>
            <w:r w:rsidR="00D31BA6" w:rsidRPr="00D51A68">
              <w:rPr>
                <w:rStyle w:val="InstructionsTabelleberschrift"/>
                <w:rFonts w:ascii="Times New Roman" w:hAnsi="Times New Roman"/>
                <w:sz w:val="24"/>
              </w:rPr>
              <w:t>di ponderazione del rischio del </w:t>
            </w:r>
            <w:r w:rsidRPr="00D51A68">
              <w:rPr>
                <w:rStyle w:val="InstructionsTabelleberschrift"/>
                <w:rFonts w:ascii="Times New Roman" w:hAnsi="Times New Roman"/>
                <w:sz w:val="24"/>
              </w:rPr>
              <w:t>100</w:t>
            </w:r>
            <w:r w:rsidR="0009277C" w:rsidRPr="00D51A68">
              <w:rPr>
                <w:rStyle w:val="InstructionsTabelleberschrift"/>
                <w:rFonts w:ascii="Times New Roman" w:hAnsi="Times New Roman"/>
                <w:sz w:val="24"/>
              </w:rPr>
              <w:t>%</w:t>
            </w:r>
          </w:p>
          <w:p w:rsidR="00462BAB" w:rsidRPr="00D51A68" w:rsidRDefault="00462BAB" w:rsidP="00FC1A76">
            <w:pPr>
              <w:pStyle w:val="InstructionsText"/>
            </w:pPr>
            <w:r w:rsidRPr="00D51A68">
              <w:t>Articolo 112, lettera j), del CRR.</w:t>
            </w:r>
          </w:p>
          <w:p w:rsidR="00462BAB" w:rsidRPr="00D51A68" w:rsidRDefault="00462BAB" w:rsidP="00FC1A76">
            <w:pPr>
              <w:pStyle w:val="InstructionsText"/>
            </w:pPr>
            <w:r w:rsidRPr="00D51A68">
              <w:t xml:space="preserve">Esposizioni comprese nella classe di esposizioni </w:t>
            </w:r>
            <w:r w:rsidR="0009277C" w:rsidRPr="00D51A68">
              <w:t>“</w:t>
            </w:r>
            <w:r w:rsidRPr="00D51A68">
              <w:t>esposizioni in stato di default</w:t>
            </w:r>
            <w:r w:rsidR="0009277C" w:rsidRPr="00D51A68">
              <w:t>”</w:t>
            </w:r>
            <w:r w:rsidRPr="00D51A68">
              <w:t xml:space="preserve"> che sarebbero incluse in questa classe se non fossero in stato di default.</w:t>
            </w:r>
          </w:p>
        </w:tc>
      </w:tr>
      <w:tr w:rsidR="00462BAB" w:rsidRPr="00D51A68" w:rsidTr="00672D2A">
        <w:tc>
          <w:tcPr>
            <w:tcW w:w="1188" w:type="dxa"/>
            <w:shd w:val="clear" w:color="auto" w:fill="auto"/>
          </w:tcPr>
          <w:p w:rsidR="00462BAB" w:rsidRPr="00D51A68" w:rsidRDefault="00462BAB" w:rsidP="00FC1A76">
            <w:pPr>
              <w:pStyle w:val="InstructionsText"/>
            </w:pPr>
            <w:r w:rsidRPr="00D51A68">
              <w:t>310</w:t>
            </w:r>
          </w:p>
        </w:tc>
        <w:tc>
          <w:tcPr>
            <w:tcW w:w="8701" w:type="dxa"/>
            <w:shd w:val="clear" w:color="auto" w:fill="auto"/>
          </w:tcPr>
          <w:p w:rsidR="00462BAB" w:rsidRPr="00D51A68" w:rsidRDefault="00462BAB"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 xml:space="preserve">Esposizioni garantite da ipoteche su beni immobili residenziali </w:t>
            </w:r>
          </w:p>
          <w:p w:rsidR="00462BAB" w:rsidRPr="00D51A68" w:rsidRDefault="00462BAB" w:rsidP="00FC1A76">
            <w:pPr>
              <w:pStyle w:val="InstructionsText"/>
            </w:pPr>
            <w:r w:rsidRPr="00D51A68">
              <w:t>Articolo 112, lettera i), del CRR.</w:t>
            </w:r>
          </w:p>
          <w:p w:rsidR="00462BAB" w:rsidRPr="00D51A68" w:rsidRDefault="00462BAB" w:rsidP="00FC1A76">
            <w:pPr>
              <w:pStyle w:val="InstructionsText"/>
              <w:rPr>
                <w:b/>
                <w:u w:val="single"/>
              </w:rPr>
            </w:pPr>
            <w:r w:rsidRPr="00D51A68">
              <w:t>Questa è soltanto una voce per memoria. Indipendentemente dal calcolo degli importi delle esposizioni al rischio delle esposizioni garantite da ipoteche su beni immobili residenziali conformemente agli articoli 124 e 125 del CRR, le esposizioni sono ripartite e segnalate in questa riga in base ai criteri che determinano se sono garantite da beni immobili residenziali oppure no.</w:t>
            </w:r>
          </w:p>
        </w:tc>
      </w:tr>
      <w:tr w:rsidR="00462BAB" w:rsidRPr="00D51A68" w:rsidTr="00672D2A">
        <w:tc>
          <w:tcPr>
            <w:tcW w:w="1188" w:type="dxa"/>
            <w:shd w:val="clear" w:color="auto" w:fill="auto"/>
          </w:tcPr>
          <w:p w:rsidR="00462BAB" w:rsidRPr="00D51A68" w:rsidRDefault="00462BAB" w:rsidP="00FC1A76">
            <w:pPr>
              <w:pStyle w:val="InstructionsText"/>
            </w:pPr>
            <w:r w:rsidRPr="00D51A68">
              <w:t>320</w:t>
            </w:r>
          </w:p>
        </w:tc>
        <w:tc>
          <w:tcPr>
            <w:tcW w:w="8701" w:type="dxa"/>
            <w:shd w:val="clear" w:color="auto" w:fill="auto"/>
          </w:tcPr>
          <w:p w:rsidR="00462BAB" w:rsidRPr="00D51A68" w:rsidRDefault="00462BAB" w:rsidP="00FC1A76">
            <w:pPr>
              <w:pStyle w:val="InstructionsText"/>
              <w:rPr>
                <w:rStyle w:val="InstructionsTabelleberschrift"/>
                <w:rFonts w:ascii="Times New Roman" w:hAnsi="Times New Roman"/>
                <w:sz w:val="24"/>
              </w:rPr>
            </w:pPr>
            <w:r w:rsidRPr="00D51A68">
              <w:rPr>
                <w:rStyle w:val="InstructionsTabelleberschrift"/>
                <w:rFonts w:ascii="Times New Roman" w:hAnsi="Times New Roman"/>
                <w:sz w:val="24"/>
              </w:rPr>
              <w:t xml:space="preserve">Esposizioni in stato di default soggette a un fattore </w:t>
            </w:r>
            <w:r w:rsidR="00D31BA6" w:rsidRPr="00D51A68">
              <w:rPr>
                <w:rStyle w:val="InstructionsTabelleberschrift"/>
                <w:rFonts w:ascii="Times New Roman" w:hAnsi="Times New Roman"/>
                <w:sz w:val="24"/>
              </w:rPr>
              <w:t>di ponderazione del rischio del </w:t>
            </w:r>
            <w:r w:rsidRPr="00D51A68">
              <w:rPr>
                <w:rStyle w:val="InstructionsTabelleberschrift"/>
                <w:rFonts w:ascii="Times New Roman" w:hAnsi="Times New Roman"/>
                <w:sz w:val="24"/>
              </w:rPr>
              <w:t>150</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 xml:space="preserve"> </w:t>
            </w:r>
          </w:p>
          <w:p w:rsidR="00462BAB" w:rsidRPr="00D51A68" w:rsidRDefault="00462BAB" w:rsidP="00FC1A76">
            <w:pPr>
              <w:pStyle w:val="InstructionsText"/>
            </w:pPr>
            <w:r w:rsidRPr="00D51A68">
              <w:t>Articolo 112, lettera j), del CRR.</w:t>
            </w:r>
          </w:p>
          <w:p w:rsidR="00462BAB" w:rsidRPr="00D51A68" w:rsidRDefault="00462BAB" w:rsidP="00FC1A76">
            <w:pPr>
              <w:pStyle w:val="InstructionsText"/>
            </w:pPr>
            <w:r w:rsidRPr="00D51A68">
              <w:t xml:space="preserve">Esposizioni comprese nella classe di esposizioni </w:t>
            </w:r>
            <w:r w:rsidR="0009277C" w:rsidRPr="00D51A68">
              <w:t>“</w:t>
            </w:r>
            <w:r w:rsidRPr="00D51A68">
              <w:t>esposizioni in stato di default</w:t>
            </w:r>
            <w:r w:rsidR="0009277C" w:rsidRPr="00D51A68">
              <w:t>”</w:t>
            </w:r>
            <w:r w:rsidRPr="00D51A68">
              <w:t xml:space="preserve"> che sarebbero incluse in questa classe se non fossero in stato di default.</w:t>
            </w:r>
          </w:p>
        </w:tc>
      </w:tr>
    </w:tbl>
    <w:p w:rsidR="001C7AB7" w:rsidRPr="00D51A68" w:rsidRDefault="001C7AB7">
      <w:pPr>
        <w:spacing w:before="0" w:after="0"/>
        <w:jc w:val="left"/>
        <w:rPr>
          <w:rFonts w:ascii="Times New Roman" w:hAnsi="Times New Roman"/>
          <w:bCs/>
          <w:sz w:val="24"/>
        </w:rPr>
      </w:pPr>
    </w:p>
    <w:p w:rsidR="001C7AB7" w:rsidRPr="00D51A68" w:rsidRDefault="00125707" w:rsidP="0023700C">
      <w:pPr>
        <w:pStyle w:val="Instructionsberschrift2"/>
        <w:numPr>
          <w:ilvl w:val="0"/>
          <w:numId w:val="0"/>
        </w:numPr>
        <w:ind w:left="357" w:hanging="357"/>
        <w:rPr>
          <w:rFonts w:ascii="Times New Roman" w:hAnsi="Times New Roman" w:cs="Times New Roman"/>
          <w:sz w:val="24"/>
        </w:rPr>
      </w:pPr>
      <w:bookmarkStart w:id="259" w:name="_Toc360188357"/>
      <w:bookmarkStart w:id="260" w:name="_Toc516210641"/>
      <w:bookmarkStart w:id="261" w:name="_Toc473560906"/>
      <w:bookmarkStart w:id="262" w:name="_Toc524096586"/>
      <w:r w:rsidRPr="00D51A68">
        <w:rPr>
          <w:rFonts w:ascii="Times New Roman" w:hAnsi="Times New Roman"/>
          <w:sz w:val="24"/>
          <w:u w:val="none"/>
        </w:rPr>
        <w:lastRenderedPageBreak/>
        <w:t>3.3.</w:t>
      </w:r>
      <w:r w:rsidR="00A0772B" w:rsidRPr="00D51A68">
        <w:rPr>
          <w:u w:val="none"/>
        </w:rPr>
        <w:tab/>
      </w:r>
      <w:r w:rsidRPr="00D51A68">
        <w:rPr>
          <w:rFonts w:ascii="Times New Roman" w:hAnsi="Times New Roman"/>
          <w:sz w:val="24"/>
        </w:rPr>
        <w:t>Rischio di credito e rischio di controparte e operazioni con regolamento non contestuale: metodo IRB applicato ai requisiti patrimoniali</w:t>
      </w:r>
      <w:bookmarkEnd w:id="259"/>
      <w:r w:rsidRPr="00D51A68">
        <w:rPr>
          <w:rFonts w:ascii="Times New Roman" w:hAnsi="Times New Roman"/>
          <w:sz w:val="24"/>
        </w:rPr>
        <w:t xml:space="preserve"> (CR IRB)</w:t>
      </w:r>
      <w:bookmarkEnd w:id="260"/>
      <w:bookmarkEnd w:id="261"/>
      <w:bookmarkEnd w:id="262"/>
    </w:p>
    <w:p w:rsidR="001C7AB7" w:rsidRPr="00D51A68" w:rsidRDefault="00125707" w:rsidP="0023700C">
      <w:pPr>
        <w:pStyle w:val="Instructionsberschrift2"/>
        <w:numPr>
          <w:ilvl w:val="0"/>
          <w:numId w:val="0"/>
        </w:numPr>
        <w:ind w:left="357" w:hanging="357"/>
        <w:rPr>
          <w:rFonts w:ascii="Times New Roman" w:hAnsi="Times New Roman" w:cs="Times New Roman"/>
          <w:sz w:val="24"/>
        </w:rPr>
      </w:pPr>
      <w:bookmarkStart w:id="263" w:name="_Toc360188358"/>
      <w:bookmarkStart w:id="264" w:name="_Toc516210642"/>
      <w:bookmarkStart w:id="265" w:name="_Toc473560907"/>
      <w:bookmarkStart w:id="266" w:name="_Toc524096587"/>
      <w:r w:rsidRPr="00D51A68">
        <w:rPr>
          <w:rFonts w:ascii="Times New Roman" w:hAnsi="Times New Roman"/>
          <w:sz w:val="24"/>
          <w:u w:val="none"/>
        </w:rPr>
        <w:t>3.3.1.</w:t>
      </w:r>
      <w:r w:rsidR="00A0772B" w:rsidRPr="00D51A68">
        <w:rPr>
          <w:u w:val="none"/>
        </w:rPr>
        <w:tab/>
      </w:r>
      <w:r w:rsidRPr="00D51A68">
        <w:rPr>
          <w:rFonts w:ascii="Times New Roman" w:hAnsi="Times New Roman"/>
          <w:sz w:val="24"/>
        </w:rPr>
        <w:t>Ambito di applicazione del modello CR IRB</w:t>
      </w:r>
      <w:bookmarkEnd w:id="263"/>
      <w:bookmarkEnd w:id="264"/>
      <w:bookmarkEnd w:id="265"/>
      <w:bookmarkEnd w:id="266"/>
    </w:p>
    <w:p w:rsidR="001C7AB7" w:rsidRPr="00D51A68" w:rsidRDefault="00125707" w:rsidP="00B106C6">
      <w:pPr>
        <w:pStyle w:val="InstructionsText2"/>
        <w:numPr>
          <w:ilvl w:val="0"/>
          <w:numId w:val="0"/>
        </w:numPr>
        <w:ind w:left="993"/>
      </w:pPr>
      <w:r w:rsidRPr="00D51A68">
        <w:t>74.</w:t>
      </w:r>
      <w:r w:rsidR="00A0772B" w:rsidRPr="00D51A68">
        <w:tab/>
      </w:r>
      <w:r w:rsidRPr="00D51A68">
        <w:t>L</w:t>
      </w:r>
      <w:r w:rsidR="0009277C" w:rsidRPr="00D51A68">
        <w:t>’</w:t>
      </w:r>
      <w:r w:rsidRPr="00D51A68">
        <w:t>ambito di applicazione del modello CR IRB comprende i requisiti di fondi propri per:</w:t>
      </w:r>
    </w:p>
    <w:p w:rsidR="001C7AB7" w:rsidRPr="00D51A68" w:rsidRDefault="00125707" w:rsidP="00B106C6">
      <w:pPr>
        <w:pStyle w:val="InstructionsText2"/>
        <w:numPr>
          <w:ilvl w:val="0"/>
          <w:numId w:val="0"/>
        </w:numPr>
        <w:ind w:left="993"/>
      </w:pPr>
      <w:r w:rsidRPr="00D51A68">
        <w:t>i.</w:t>
      </w:r>
      <w:r w:rsidR="00A0772B" w:rsidRPr="00D51A68">
        <w:tab/>
      </w:r>
      <w:r w:rsidRPr="00D51A68">
        <w:t>il rischio di credito interno al portafoglio bancario, tra cui:</w:t>
      </w:r>
    </w:p>
    <w:p w:rsidR="001C7AB7" w:rsidRPr="00D51A68" w:rsidRDefault="00B106C6" w:rsidP="0023700C">
      <w:pPr>
        <w:tabs>
          <w:tab w:val="left" w:pos="2370"/>
        </w:tabs>
        <w:autoSpaceDE w:val="0"/>
        <w:autoSpaceDN w:val="0"/>
        <w:adjustRightInd w:val="0"/>
        <w:spacing w:before="0" w:after="240"/>
        <w:ind w:left="2370" w:hanging="360"/>
        <w:jc w:val="left"/>
        <w:rPr>
          <w:rFonts w:ascii="Wingdings" w:hAnsi="Wingdings"/>
          <w:sz w:val="24"/>
        </w:rPr>
      </w:pPr>
      <w:r w:rsidRPr="00D51A68">
        <w:rPr>
          <w:rFonts w:ascii="Wingdings" w:hAnsi="Wingdings"/>
          <w:sz w:val="24"/>
          <w:lang w:eastAsia="de-DE"/>
        </w:rPr>
        <w:t></w:t>
      </w:r>
      <w:r w:rsidRPr="00D51A68">
        <w:rPr>
          <w:rFonts w:ascii="Wingdings" w:hAnsi="Wingdings"/>
          <w:sz w:val="24"/>
          <w:lang w:eastAsia="de-DE"/>
        </w:rPr>
        <w:tab/>
      </w:r>
      <w:r w:rsidR="00125707" w:rsidRPr="00D51A68">
        <w:rPr>
          <w:rFonts w:ascii="Times New Roman" w:hAnsi="Times New Roman"/>
          <w:sz w:val="24"/>
        </w:rPr>
        <w:t>il rischio di controparte interno al portafoglio bancario;</w:t>
      </w:r>
    </w:p>
    <w:p w:rsidR="001C7AB7" w:rsidRPr="00D51A68" w:rsidRDefault="00B106C6" w:rsidP="0023700C">
      <w:pPr>
        <w:tabs>
          <w:tab w:val="left" w:pos="2370"/>
        </w:tabs>
        <w:autoSpaceDE w:val="0"/>
        <w:autoSpaceDN w:val="0"/>
        <w:adjustRightInd w:val="0"/>
        <w:spacing w:before="0" w:after="240"/>
        <w:ind w:left="2370" w:hanging="360"/>
        <w:jc w:val="left"/>
        <w:rPr>
          <w:rFonts w:ascii="Wingdings" w:hAnsi="Wingdings"/>
          <w:sz w:val="24"/>
        </w:rPr>
      </w:pPr>
      <w:r w:rsidRPr="00D51A68">
        <w:rPr>
          <w:rFonts w:ascii="Wingdings" w:hAnsi="Wingdings"/>
          <w:sz w:val="24"/>
          <w:lang w:eastAsia="de-DE"/>
        </w:rPr>
        <w:t></w:t>
      </w:r>
      <w:r w:rsidRPr="00D51A68">
        <w:rPr>
          <w:rFonts w:ascii="Wingdings" w:hAnsi="Wingdings"/>
          <w:sz w:val="24"/>
          <w:lang w:eastAsia="de-DE"/>
        </w:rPr>
        <w:tab/>
      </w:r>
      <w:r w:rsidR="00125707" w:rsidRPr="00D51A68">
        <w:rPr>
          <w:rFonts w:ascii="Times New Roman" w:hAnsi="Times New Roman"/>
          <w:sz w:val="24"/>
        </w:rPr>
        <w:t>il rischio di diluizione per crediti commerciali acquistati;</w:t>
      </w:r>
    </w:p>
    <w:p w:rsidR="001C7AB7" w:rsidRPr="00D51A68" w:rsidRDefault="00125707" w:rsidP="00B106C6">
      <w:pPr>
        <w:pStyle w:val="InstructionsText2"/>
        <w:numPr>
          <w:ilvl w:val="0"/>
          <w:numId w:val="0"/>
        </w:numPr>
        <w:ind w:left="993"/>
      </w:pPr>
      <w:r w:rsidRPr="00D51A68">
        <w:t>ii.</w:t>
      </w:r>
      <w:r w:rsidR="00A0772B" w:rsidRPr="00D51A68">
        <w:tab/>
      </w:r>
      <w:r w:rsidRPr="00D51A68">
        <w:t>il rischio di controparte interno al portafoglio di negoziazione;</w:t>
      </w:r>
    </w:p>
    <w:p w:rsidR="001C7AB7" w:rsidRPr="00D51A68" w:rsidRDefault="00125707" w:rsidP="00B106C6">
      <w:pPr>
        <w:pStyle w:val="InstructionsText2"/>
        <w:numPr>
          <w:ilvl w:val="0"/>
          <w:numId w:val="0"/>
        </w:numPr>
        <w:ind w:left="993"/>
      </w:pPr>
      <w:r w:rsidRPr="00D51A68">
        <w:t>iii.</w:t>
      </w:r>
      <w:r w:rsidR="00A0772B" w:rsidRPr="00D51A68">
        <w:tab/>
      </w:r>
      <w:r w:rsidRPr="00D51A68">
        <w:t>le operazioni con regolamento non contestuale derivanti da tutte le attività aziendali.</w:t>
      </w:r>
    </w:p>
    <w:p w:rsidR="001C7AB7" w:rsidRPr="00D51A68" w:rsidRDefault="00125707" w:rsidP="00B106C6">
      <w:pPr>
        <w:pStyle w:val="InstructionsText2"/>
        <w:numPr>
          <w:ilvl w:val="0"/>
          <w:numId w:val="0"/>
        </w:numPr>
        <w:ind w:left="993"/>
      </w:pPr>
      <w:r w:rsidRPr="00D51A68">
        <w:t>75.</w:t>
      </w:r>
      <w:r w:rsidR="00A0772B" w:rsidRPr="00D51A68">
        <w:tab/>
      </w:r>
      <w:r w:rsidRPr="00D51A68">
        <w:t>L</w:t>
      </w:r>
      <w:r w:rsidR="0009277C" w:rsidRPr="00D51A68">
        <w:t>’</w:t>
      </w:r>
      <w:r w:rsidRPr="00D51A68">
        <w:t xml:space="preserve">ambito di applicazione del modello comprende le esposizioni i cui importi ponderati per il rischio sono calcolati ai sensi della parte tre, titolo II, capo 3, articoli da 151 a 157 del CRR (metodo IRB). </w:t>
      </w:r>
    </w:p>
    <w:p w:rsidR="001C7AB7" w:rsidRPr="00D51A68" w:rsidRDefault="00125707" w:rsidP="00B106C6">
      <w:pPr>
        <w:pStyle w:val="InstructionsText2"/>
        <w:numPr>
          <w:ilvl w:val="0"/>
          <w:numId w:val="0"/>
        </w:numPr>
        <w:ind w:left="993"/>
      </w:pPr>
      <w:r w:rsidRPr="00D51A68">
        <w:t>76.</w:t>
      </w:r>
      <w:r w:rsidR="00A0772B" w:rsidRPr="00D51A68">
        <w:tab/>
      </w:r>
      <w:r w:rsidRPr="00D51A68">
        <w:t xml:space="preserve">Il modello CR IRB non comprende i seguenti dati: </w:t>
      </w:r>
    </w:p>
    <w:p w:rsidR="001C7AB7" w:rsidRPr="00D51A68" w:rsidRDefault="00125707" w:rsidP="00B106C6">
      <w:pPr>
        <w:pStyle w:val="InstructionsText2"/>
        <w:numPr>
          <w:ilvl w:val="0"/>
          <w:numId w:val="0"/>
        </w:numPr>
        <w:ind w:left="993"/>
      </w:pPr>
      <w:r w:rsidRPr="00D51A68">
        <w:t>i.</w:t>
      </w:r>
      <w:r w:rsidR="00A0772B" w:rsidRPr="00D51A68">
        <w:tab/>
      </w:r>
      <w:r w:rsidRPr="00D51A68">
        <w:t xml:space="preserve">le esposizioni in strumenti di capitale, che sono segnalate nel modello CR EQU IRB; </w:t>
      </w:r>
    </w:p>
    <w:p w:rsidR="001C7AB7" w:rsidRPr="00D51A68" w:rsidRDefault="00125707" w:rsidP="00B106C6">
      <w:pPr>
        <w:pStyle w:val="InstructionsText2"/>
        <w:numPr>
          <w:ilvl w:val="0"/>
          <w:numId w:val="0"/>
        </w:numPr>
        <w:ind w:left="993"/>
      </w:pPr>
      <w:r w:rsidRPr="00D51A68">
        <w:t>ii.</w:t>
      </w:r>
      <w:r w:rsidR="00A0772B" w:rsidRPr="00D51A68">
        <w:tab/>
      </w:r>
      <w:r w:rsidRPr="00D51A68">
        <w:t>le posizioni verso la cartolarizzazione, che sono segnalate nei modelli CR SEC SA, CR SEC IRB e/o CR SEC Details;</w:t>
      </w:r>
    </w:p>
    <w:p w:rsidR="001C7AB7" w:rsidRPr="00D51A68" w:rsidRDefault="00125707" w:rsidP="00B106C6">
      <w:pPr>
        <w:pStyle w:val="InstructionsText2"/>
        <w:numPr>
          <w:ilvl w:val="0"/>
          <w:numId w:val="0"/>
        </w:numPr>
        <w:ind w:left="993"/>
      </w:pPr>
      <w:r w:rsidRPr="00D51A68">
        <w:t>iii.</w:t>
      </w:r>
      <w:r w:rsidR="00A0772B" w:rsidRPr="00D51A68">
        <w:tab/>
      </w:r>
      <w:r w:rsidRPr="00D51A68">
        <w:t xml:space="preserve"> le </w:t>
      </w:r>
      <w:r w:rsidR="0009277C" w:rsidRPr="00D51A68">
        <w:t>“</w:t>
      </w:r>
      <w:r w:rsidRPr="00D51A68">
        <w:t>altre attività diverse dai crediti</w:t>
      </w:r>
      <w:r w:rsidR="0009277C" w:rsidRPr="00D51A68">
        <w:t>”</w:t>
      </w:r>
      <w:r w:rsidRPr="00D51A68">
        <w:t xml:space="preserve"> di cui all</w:t>
      </w:r>
      <w:r w:rsidR="0009277C" w:rsidRPr="00D51A68">
        <w:t>’</w:t>
      </w:r>
      <w:r w:rsidRPr="00D51A68">
        <w:t>articolo 147, paragrafo 2</w:t>
      </w:r>
      <w:r w:rsidR="00B106C6" w:rsidRPr="00D51A68">
        <w:t>, lettera </w:t>
      </w:r>
      <w:r w:rsidRPr="00D51A68">
        <w:t>g), del CRR. Per questa classe di esposizioni il fattore di ponderazione del rischio deve essere sempre del 100</w:t>
      </w:r>
      <w:r w:rsidR="0009277C" w:rsidRPr="00D51A68">
        <w:t>%</w:t>
      </w:r>
      <w:r w:rsidRPr="00D51A68">
        <w:t xml:space="preserve">, esclusi gli elementi </w:t>
      </w:r>
      <w:r w:rsidR="0009277C" w:rsidRPr="00D51A68">
        <w:t>“</w:t>
      </w:r>
      <w:r w:rsidRPr="00D51A68">
        <w:t>cassa e valori assimilati</w:t>
      </w:r>
      <w:r w:rsidR="0009277C" w:rsidRPr="00D51A68">
        <w:t>”</w:t>
      </w:r>
      <w:r w:rsidRPr="00D51A68">
        <w:t xml:space="preserve"> e le esposizioni che costituiscono valori residuali di beni dati in locazione, conformemente all</w:t>
      </w:r>
      <w:r w:rsidR="0009277C" w:rsidRPr="00D51A68">
        <w:t>’</w:t>
      </w:r>
      <w:r w:rsidRPr="00D51A68">
        <w:t>articolo 156 del CRR. Gli importi delle esposizioni ponderati per il rischio di questa classe di esposizioni sono seg</w:t>
      </w:r>
      <w:r w:rsidR="00B106C6" w:rsidRPr="00D51A68">
        <w:t>nalati direttamente nel modello </w:t>
      </w:r>
      <w:r w:rsidRPr="00D51A68">
        <w:t>CA;</w:t>
      </w:r>
    </w:p>
    <w:p w:rsidR="001C7AB7" w:rsidRPr="00D51A68" w:rsidRDefault="00125707" w:rsidP="00B106C6">
      <w:pPr>
        <w:pStyle w:val="InstructionsText2"/>
        <w:numPr>
          <w:ilvl w:val="0"/>
          <w:numId w:val="0"/>
        </w:numPr>
        <w:ind w:left="993"/>
      </w:pPr>
      <w:r w:rsidRPr="00D51A68">
        <w:t>iv.</w:t>
      </w:r>
      <w:r w:rsidR="00A0772B" w:rsidRPr="00D51A68">
        <w:tab/>
      </w:r>
      <w:r w:rsidRPr="00D51A68">
        <w:t>il rischio di aggiustamento della valutazione del credito (CVA), che è segnalato nel modello CVA Rischio.</w:t>
      </w:r>
    </w:p>
    <w:p w:rsidR="001C7AB7" w:rsidRPr="00D51A68" w:rsidRDefault="001C7AB7" w:rsidP="001C7AB7">
      <w:pPr>
        <w:autoSpaceDE w:val="0"/>
        <w:autoSpaceDN w:val="0"/>
        <w:adjustRightInd w:val="0"/>
        <w:spacing w:before="0" w:after="240"/>
        <w:ind w:left="1440"/>
        <w:jc w:val="left"/>
        <w:rPr>
          <w:rFonts w:ascii="Times New Roman" w:hAnsi="Times New Roman"/>
          <w:sz w:val="24"/>
        </w:rPr>
      </w:pPr>
      <w:r w:rsidRPr="00D51A68">
        <w:rPr>
          <w:rFonts w:ascii="Times New Roman" w:hAnsi="Times New Roman"/>
          <w:sz w:val="24"/>
        </w:rPr>
        <w:t xml:space="preserve">Per il modello CR IRB non è richiesta la ripartizione geografica per paese di residenza della controparte delle esposizioni secondo il metodo IRB, che è segnalata nel modello CR GB. </w:t>
      </w:r>
    </w:p>
    <w:p w:rsidR="001C7AB7" w:rsidRPr="00D51A68" w:rsidRDefault="00125707" w:rsidP="00B106C6">
      <w:pPr>
        <w:pStyle w:val="InstructionsText2"/>
        <w:numPr>
          <w:ilvl w:val="0"/>
          <w:numId w:val="0"/>
        </w:numPr>
        <w:ind w:left="993"/>
      </w:pPr>
      <w:r w:rsidRPr="00D51A68">
        <w:t>77.</w:t>
      </w:r>
      <w:r w:rsidR="00A0772B" w:rsidRPr="00D51A68">
        <w:tab/>
      </w:r>
      <w:r w:rsidRPr="00D51A68">
        <w:t>Per precisare se l</w:t>
      </w:r>
      <w:r w:rsidR="0009277C" w:rsidRPr="00D51A68">
        <w:t>’</w:t>
      </w:r>
      <w:r w:rsidRPr="00D51A68">
        <w:t>ente utilizza stime interne della LGD e/o dei fattori di conversione del credito, sono fornite le seguenti informazioni per ciascuna classe di esposizioni segnalata:</w:t>
      </w:r>
    </w:p>
    <w:p w:rsidR="001C7AB7" w:rsidRPr="00D51A68" w:rsidRDefault="0009277C" w:rsidP="001C7AB7">
      <w:pPr>
        <w:autoSpaceDE w:val="0"/>
        <w:autoSpaceDN w:val="0"/>
        <w:adjustRightInd w:val="0"/>
        <w:spacing w:before="0" w:after="240"/>
        <w:ind w:left="709"/>
        <w:jc w:val="left"/>
        <w:rPr>
          <w:rFonts w:ascii="Times New Roman" w:hAnsi="Times New Roman"/>
          <w:sz w:val="24"/>
        </w:rPr>
      </w:pPr>
      <w:r w:rsidRPr="00D51A68">
        <w:rPr>
          <w:rFonts w:ascii="Times New Roman" w:hAnsi="Times New Roman"/>
          <w:sz w:val="24"/>
        </w:rPr>
        <w:t>“</w:t>
      </w:r>
      <w:r w:rsidR="001C7AB7" w:rsidRPr="00D51A68">
        <w:rPr>
          <w:rFonts w:ascii="Times New Roman" w:hAnsi="Times New Roman"/>
          <w:sz w:val="24"/>
        </w:rPr>
        <w:t>NO</w:t>
      </w:r>
      <w:r w:rsidRPr="00D51A68">
        <w:rPr>
          <w:rFonts w:ascii="Times New Roman" w:hAnsi="Times New Roman"/>
          <w:sz w:val="24"/>
        </w:rPr>
        <w:t>”</w:t>
      </w:r>
      <w:r w:rsidR="001C7AB7" w:rsidRPr="00D51A68">
        <w:rPr>
          <w:rFonts w:ascii="Times New Roman" w:hAnsi="Times New Roman"/>
          <w:sz w:val="24"/>
        </w:rPr>
        <w:t xml:space="preserve"> = se si utilizzano le stime della LGD e dei fattori di conversione del credito compiute dall</w:t>
      </w:r>
      <w:r w:rsidRPr="00D51A68">
        <w:rPr>
          <w:rFonts w:ascii="Times New Roman" w:hAnsi="Times New Roman"/>
          <w:sz w:val="24"/>
        </w:rPr>
        <w:t>’</w:t>
      </w:r>
      <w:r w:rsidR="001C7AB7" w:rsidRPr="00D51A68">
        <w:rPr>
          <w:rFonts w:ascii="Times New Roman" w:hAnsi="Times New Roman"/>
          <w:sz w:val="24"/>
        </w:rPr>
        <w:t>organismo di vigilanza (IRB di base — F-IRB);</w:t>
      </w:r>
    </w:p>
    <w:p w:rsidR="001C7AB7" w:rsidRPr="00D51A68" w:rsidRDefault="0009277C" w:rsidP="001C7AB7">
      <w:pPr>
        <w:autoSpaceDE w:val="0"/>
        <w:autoSpaceDN w:val="0"/>
        <w:adjustRightInd w:val="0"/>
        <w:spacing w:before="0" w:after="240"/>
        <w:ind w:left="709"/>
        <w:jc w:val="left"/>
        <w:rPr>
          <w:rFonts w:ascii="Times New Roman" w:hAnsi="Times New Roman"/>
          <w:sz w:val="24"/>
        </w:rPr>
      </w:pPr>
      <w:r w:rsidRPr="00D51A68">
        <w:rPr>
          <w:rFonts w:ascii="Times New Roman" w:hAnsi="Times New Roman"/>
          <w:sz w:val="24"/>
        </w:rPr>
        <w:lastRenderedPageBreak/>
        <w:t>“</w:t>
      </w:r>
      <w:r w:rsidR="001C7AB7" w:rsidRPr="00D51A68">
        <w:rPr>
          <w:rFonts w:ascii="Times New Roman" w:hAnsi="Times New Roman"/>
          <w:sz w:val="24"/>
        </w:rPr>
        <w:t>SÌ</w:t>
      </w:r>
      <w:r w:rsidRPr="00D51A68">
        <w:rPr>
          <w:rFonts w:ascii="Times New Roman" w:hAnsi="Times New Roman"/>
          <w:sz w:val="24"/>
        </w:rPr>
        <w:t>”</w:t>
      </w:r>
      <w:r w:rsidR="001C7AB7" w:rsidRPr="00D51A68">
        <w:rPr>
          <w:rFonts w:ascii="Times New Roman" w:hAnsi="Times New Roman"/>
          <w:sz w:val="24"/>
        </w:rPr>
        <w:t xml:space="preserve"> = se si utilizzano le stime interne della LGD e dei fattori di conversione del credito (IRB avanzato — A-IRB). </w:t>
      </w:r>
    </w:p>
    <w:p w:rsidR="001C7AB7" w:rsidRPr="00D51A68" w:rsidRDefault="001C7AB7" w:rsidP="001C7AB7">
      <w:pPr>
        <w:autoSpaceDE w:val="0"/>
        <w:autoSpaceDN w:val="0"/>
        <w:adjustRightInd w:val="0"/>
        <w:spacing w:before="0" w:after="240"/>
        <w:ind w:left="709"/>
        <w:jc w:val="left"/>
        <w:rPr>
          <w:rFonts w:ascii="Times New Roman" w:hAnsi="Times New Roman"/>
          <w:sz w:val="24"/>
        </w:rPr>
      </w:pPr>
      <w:r w:rsidRPr="00D51A68">
        <w:rPr>
          <w:rFonts w:ascii="Times New Roman" w:hAnsi="Times New Roman"/>
          <w:sz w:val="24"/>
        </w:rPr>
        <w:t xml:space="preserve">In ogni caso, per la segnalazione dei portafogli al dettaglio deve essere indicato </w:t>
      </w:r>
      <w:r w:rsidR="0009277C" w:rsidRPr="00D51A68">
        <w:rPr>
          <w:rFonts w:ascii="Times New Roman" w:hAnsi="Times New Roman"/>
          <w:sz w:val="24"/>
        </w:rPr>
        <w:t>“</w:t>
      </w:r>
      <w:r w:rsidRPr="00D51A68">
        <w:rPr>
          <w:rFonts w:ascii="Times New Roman" w:hAnsi="Times New Roman"/>
          <w:sz w:val="24"/>
        </w:rPr>
        <w:t>SÌ</w:t>
      </w:r>
      <w:r w:rsidR="0009277C" w:rsidRPr="00D51A68">
        <w:rPr>
          <w:rFonts w:ascii="Times New Roman" w:hAnsi="Times New Roman"/>
          <w:sz w:val="24"/>
        </w:rPr>
        <w:t>”</w:t>
      </w:r>
      <w:r w:rsidRPr="00D51A68">
        <w:rPr>
          <w:rFonts w:ascii="Times New Roman" w:hAnsi="Times New Roman"/>
          <w:sz w:val="24"/>
        </w:rPr>
        <w:t>.</w:t>
      </w:r>
    </w:p>
    <w:p w:rsidR="001C7AB7" w:rsidRPr="00D51A68" w:rsidRDefault="001C7AB7" w:rsidP="001C7AB7">
      <w:pPr>
        <w:autoSpaceDE w:val="0"/>
        <w:autoSpaceDN w:val="0"/>
        <w:adjustRightInd w:val="0"/>
        <w:spacing w:before="0" w:after="240"/>
        <w:ind w:left="709"/>
        <w:jc w:val="left"/>
        <w:rPr>
          <w:rFonts w:ascii="Times New Roman" w:hAnsi="Times New Roman"/>
          <w:sz w:val="24"/>
        </w:rPr>
      </w:pPr>
      <w:r w:rsidRPr="00D51A68">
        <w:rPr>
          <w:rFonts w:ascii="Times New Roman" w:hAnsi="Times New Roman"/>
          <w:sz w:val="24"/>
        </w:rPr>
        <w:t>L</w:t>
      </w:r>
      <w:r w:rsidR="0009277C" w:rsidRPr="00D51A68">
        <w:rPr>
          <w:rFonts w:ascii="Times New Roman" w:hAnsi="Times New Roman"/>
          <w:sz w:val="24"/>
        </w:rPr>
        <w:t>’</w:t>
      </w:r>
      <w:r w:rsidRPr="00D51A68">
        <w:rPr>
          <w:rFonts w:ascii="Times New Roman" w:hAnsi="Times New Roman"/>
          <w:sz w:val="24"/>
        </w:rPr>
        <w:t xml:space="preserve">ente che utilizza stime interne della LGD per calcolare </w:t>
      </w:r>
      <w:r w:rsidRPr="00D51A68">
        <w:rPr>
          <w:rStyle w:val="InstructionsTabelleText"/>
          <w:rFonts w:ascii="Times New Roman" w:hAnsi="Times New Roman"/>
          <w:sz w:val="24"/>
        </w:rPr>
        <w:t>gli importi delle esposizioni ponderati per il rischio</w:t>
      </w:r>
      <w:r w:rsidRPr="00D51A68">
        <w:rPr>
          <w:rFonts w:ascii="Times New Roman" w:hAnsi="Times New Roman"/>
          <w:sz w:val="24"/>
        </w:rPr>
        <w:t xml:space="preserve"> di una parte delle proprie esposizioni secondo il metodo IRB, e utilizza la LGD determinata dall</w:t>
      </w:r>
      <w:r w:rsidR="0009277C" w:rsidRPr="00D51A68">
        <w:rPr>
          <w:rFonts w:ascii="Times New Roman" w:hAnsi="Times New Roman"/>
          <w:sz w:val="24"/>
        </w:rPr>
        <w:t>’</w:t>
      </w:r>
      <w:r w:rsidRPr="00D51A68">
        <w:rPr>
          <w:rFonts w:ascii="Times New Roman" w:hAnsi="Times New Roman"/>
          <w:sz w:val="24"/>
        </w:rPr>
        <w:t xml:space="preserve">autorità di vigilanza per calcolare </w:t>
      </w:r>
      <w:r w:rsidRPr="00D51A68">
        <w:rPr>
          <w:rStyle w:val="InstructionsTabelleText"/>
          <w:rFonts w:ascii="Times New Roman" w:hAnsi="Times New Roman"/>
          <w:sz w:val="24"/>
        </w:rPr>
        <w:t>gli importi delle esposizioni ponderati per il rischio</w:t>
      </w:r>
      <w:r w:rsidRPr="00D51A68">
        <w:rPr>
          <w:rFonts w:ascii="Times New Roman" w:hAnsi="Times New Roman"/>
          <w:sz w:val="24"/>
        </w:rPr>
        <w:t xml:space="preserve"> dell</w:t>
      </w:r>
      <w:r w:rsidR="0009277C" w:rsidRPr="00D51A68">
        <w:rPr>
          <w:rFonts w:ascii="Times New Roman" w:hAnsi="Times New Roman"/>
          <w:sz w:val="24"/>
        </w:rPr>
        <w:t>’</w:t>
      </w:r>
      <w:r w:rsidRPr="00D51A68">
        <w:rPr>
          <w:rFonts w:ascii="Times New Roman" w:hAnsi="Times New Roman"/>
          <w:sz w:val="24"/>
        </w:rPr>
        <w:t>altra parte delle proprie esposizioni secondo il metodo IRB, deve segnalare un CR IRB Total per le posizioni F-IRB e un CR IRB Total per le posizioni A-IRB.</w:t>
      </w:r>
    </w:p>
    <w:p w:rsidR="001C7AB7" w:rsidRPr="00D51A68" w:rsidRDefault="00125707" w:rsidP="0023700C">
      <w:pPr>
        <w:pStyle w:val="Instructionsberschrift2"/>
        <w:numPr>
          <w:ilvl w:val="0"/>
          <w:numId w:val="0"/>
        </w:numPr>
        <w:ind w:left="357" w:hanging="357"/>
        <w:rPr>
          <w:rFonts w:ascii="Times New Roman" w:hAnsi="Times New Roman" w:cs="Times New Roman"/>
          <w:sz w:val="24"/>
        </w:rPr>
      </w:pPr>
      <w:bookmarkStart w:id="267" w:name="_Toc262568037"/>
      <w:bookmarkStart w:id="268" w:name="_Toc264038435"/>
      <w:bookmarkStart w:id="269" w:name="_Toc295829865"/>
      <w:bookmarkStart w:id="270" w:name="_Toc308155142"/>
      <w:bookmarkStart w:id="271" w:name="_Toc310415028"/>
      <w:bookmarkStart w:id="272" w:name="_Toc360188359"/>
      <w:bookmarkStart w:id="273" w:name="_Toc516210643"/>
      <w:bookmarkStart w:id="274" w:name="_Toc473560908"/>
      <w:bookmarkStart w:id="275" w:name="_Toc524096588"/>
      <w:r w:rsidRPr="00D51A68">
        <w:rPr>
          <w:rFonts w:ascii="Times New Roman" w:hAnsi="Times New Roman"/>
          <w:sz w:val="24"/>
          <w:u w:val="none"/>
        </w:rPr>
        <w:t>3.3.2.</w:t>
      </w:r>
      <w:r w:rsidR="00A0772B" w:rsidRPr="00D51A68">
        <w:rPr>
          <w:u w:val="none"/>
        </w:rPr>
        <w:tab/>
      </w:r>
      <w:r w:rsidRPr="00D51A68">
        <w:rPr>
          <w:rFonts w:ascii="Times New Roman" w:hAnsi="Times New Roman"/>
          <w:sz w:val="24"/>
        </w:rPr>
        <w:t>Ripartizione del modello CR IRB</w:t>
      </w:r>
      <w:bookmarkEnd w:id="267"/>
      <w:bookmarkEnd w:id="268"/>
      <w:bookmarkEnd w:id="269"/>
      <w:bookmarkEnd w:id="270"/>
      <w:bookmarkEnd w:id="271"/>
      <w:bookmarkEnd w:id="272"/>
      <w:bookmarkEnd w:id="273"/>
      <w:bookmarkEnd w:id="274"/>
      <w:bookmarkEnd w:id="275"/>
    </w:p>
    <w:p w:rsidR="001C7AB7" w:rsidRPr="00D51A68" w:rsidRDefault="00125707" w:rsidP="00B106C6">
      <w:pPr>
        <w:pStyle w:val="InstructionsText2"/>
        <w:numPr>
          <w:ilvl w:val="0"/>
          <w:numId w:val="0"/>
        </w:numPr>
        <w:ind w:left="993"/>
      </w:pPr>
      <w:r w:rsidRPr="00D51A68">
        <w:t>78.</w:t>
      </w:r>
      <w:r w:rsidR="00A0772B" w:rsidRPr="00D51A68">
        <w:tab/>
      </w:r>
      <w:r w:rsidRPr="00D51A68">
        <w:t>Il modello CR IRB consta di due modelli: il modello CR IRB 1, che offre un quadro generale delle esposizioni secondo il metodo IRB e dei differenti metodi di calcolo degli importi complessivi dell</w:t>
      </w:r>
      <w:r w:rsidR="0009277C" w:rsidRPr="00D51A68">
        <w:t>’</w:t>
      </w:r>
      <w:r w:rsidRPr="00D51A68">
        <w:t>esposizione al rischio, nonché la ripartizione dell</w:t>
      </w:r>
      <w:r w:rsidR="0009277C" w:rsidRPr="00D51A68">
        <w:t>’</w:t>
      </w:r>
      <w:r w:rsidRPr="00D51A68">
        <w:t>esposizione totale in base al tipo di esposizione, e il modello CR IRB 2, che espone la ripartizione dell</w:t>
      </w:r>
      <w:r w:rsidR="0009277C" w:rsidRPr="00D51A68">
        <w:t>’</w:t>
      </w:r>
      <w:r w:rsidRPr="00D51A68">
        <w:t>esposizione complessiva assegnata alle classi o ai pool di debitori. I modelli CR IRB 1 e CR IRB 2 sono trasmessi separatamente per le seguenti classi e sottoclassi di esposizioni:</w:t>
      </w:r>
    </w:p>
    <w:p w:rsidR="001C7AB7" w:rsidRPr="00D51A68" w:rsidRDefault="001C7AB7" w:rsidP="001C7AB7">
      <w:pPr>
        <w:autoSpaceDE w:val="0"/>
        <w:autoSpaceDN w:val="0"/>
        <w:adjustRightInd w:val="0"/>
        <w:spacing w:before="0" w:after="0"/>
        <w:ind w:left="1428" w:hanging="720"/>
        <w:jc w:val="left"/>
        <w:rPr>
          <w:rFonts w:ascii="Times New Roman" w:hAnsi="Times New Roman"/>
          <w:sz w:val="24"/>
        </w:rPr>
      </w:pPr>
      <w:r w:rsidRPr="00D51A68">
        <w:rPr>
          <w:rFonts w:ascii="Times New Roman" w:hAnsi="Times New Roman"/>
          <w:sz w:val="24"/>
        </w:rPr>
        <w:t>1)</w:t>
      </w:r>
      <w:r w:rsidR="00A0772B" w:rsidRPr="00D51A68">
        <w:tab/>
      </w:r>
      <w:r w:rsidRPr="00D51A68">
        <w:rPr>
          <w:rFonts w:ascii="Times New Roman" w:hAnsi="Times New Roman"/>
          <w:sz w:val="24"/>
        </w:rPr>
        <w:t>Totale</w:t>
      </w:r>
    </w:p>
    <w:p w:rsidR="001C7AB7" w:rsidRPr="00D51A68" w:rsidRDefault="00A0772B" w:rsidP="001C7AB7">
      <w:pPr>
        <w:autoSpaceDE w:val="0"/>
        <w:autoSpaceDN w:val="0"/>
        <w:adjustRightInd w:val="0"/>
        <w:spacing w:before="0" w:after="0"/>
        <w:ind w:left="1428" w:hanging="720"/>
        <w:jc w:val="left"/>
        <w:rPr>
          <w:rFonts w:ascii="Times New Roman" w:hAnsi="Times New Roman"/>
          <w:sz w:val="24"/>
        </w:rPr>
      </w:pPr>
      <w:r w:rsidRPr="00D51A68">
        <w:tab/>
      </w:r>
      <w:r w:rsidR="001C7AB7" w:rsidRPr="00D51A68">
        <w:rPr>
          <w:rFonts w:ascii="Times New Roman" w:hAnsi="Times New Roman"/>
          <w:sz w:val="24"/>
        </w:rPr>
        <w:t xml:space="preserve">(Il modello </w:t>
      </w:r>
      <w:r w:rsidR="0009277C" w:rsidRPr="00D51A68">
        <w:rPr>
          <w:rFonts w:ascii="Times New Roman" w:hAnsi="Times New Roman"/>
          <w:sz w:val="24"/>
        </w:rPr>
        <w:t>“</w:t>
      </w:r>
      <w:r w:rsidR="001C7AB7" w:rsidRPr="00D51A68">
        <w:rPr>
          <w:rFonts w:ascii="Times New Roman" w:hAnsi="Times New Roman"/>
          <w:sz w:val="24"/>
        </w:rPr>
        <w:t>Total</w:t>
      </w:r>
      <w:r w:rsidR="0009277C" w:rsidRPr="00D51A68">
        <w:rPr>
          <w:rFonts w:ascii="Times New Roman" w:hAnsi="Times New Roman"/>
          <w:sz w:val="24"/>
        </w:rPr>
        <w:t>”</w:t>
      </w:r>
      <w:r w:rsidR="001C7AB7" w:rsidRPr="00D51A68">
        <w:rPr>
          <w:rFonts w:ascii="Times New Roman" w:hAnsi="Times New Roman"/>
          <w:sz w:val="24"/>
        </w:rPr>
        <w:t xml:space="preserve"> deve essere segnalato per l</w:t>
      </w:r>
      <w:r w:rsidR="0009277C" w:rsidRPr="00D51A68">
        <w:rPr>
          <w:rFonts w:ascii="Times New Roman" w:hAnsi="Times New Roman"/>
          <w:sz w:val="24"/>
        </w:rPr>
        <w:t>’</w:t>
      </w:r>
      <w:r w:rsidR="001C7AB7" w:rsidRPr="00D51A68">
        <w:rPr>
          <w:rFonts w:ascii="Times New Roman" w:hAnsi="Times New Roman"/>
          <w:sz w:val="24"/>
        </w:rPr>
        <w:t>IRB di base e separatamente per il metodo IRB avanzato)</w:t>
      </w:r>
    </w:p>
    <w:p w:rsidR="001C7AB7" w:rsidRPr="00D51A68" w:rsidRDefault="001C7AB7" w:rsidP="001C7AB7">
      <w:pPr>
        <w:autoSpaceDE w:val="0"/>
        <w:autoSpaceDN w:val="0"/>
        <w:adjustRightInd w:val="0"/>
        <w:spacing w:before="0" w:after="0"/>
        <w:ind w:left="1428" w:hanging="720"/>
        <w:jc w:val="left"/>
        <w:rPr>
          <w:rFonts w:ascii="Times New Roman" w:hAnsi="Times New Roman"/>
          <w:sz w:val="24"/>
        </w:rPr>
      </w:pPr>
      <w:r w:rsidRPr="00D51A68">
        <w:rPr>
          <w:rFonts w:ascii="Times New Roman" w:hAnsi="Times New Roman"/>
          <w:sz w:val="24"/>
        </w:rPr>
        <w:t>2)</w:t>
      </w:r>
      <w:r w:rsidR="00A0772B" w:rsidRPr="00D51A68">
        <w:tab/>
      </w:r>
      <w:r w:rsidRPr="00D51A68">
        <w:rPr>
          <w:rFonts w:ascii="Times New Roman" w:hAnsi="Times New Roman"/>
          <w:sz w:val="24"/>
        </w:rPr>
        <w:t xml:space="preserve">Banche centrali e amministrazioni centrali </w:t>
      </w:r>
    </w:p>
    <w:p w:rsidR="001C7AB7" w:rsidRPr="00D51A68" w:rsidRDefault="001C7AB7" w:rsidP="001C7AB7">
      <w:pPr>
        <w:autoSpaceDE w:val="0"/>
        <w:autoSpaceDN w:val="0"/>
        <w:adjustRightInd w:val="0"/>
        <w:spacing w:before="0" w:after="0"/>
        <w:ind w:left="1428"/>
        <w:jc w:val="left"/>
        <w:rPr>
          <w:rFonts w:ascii="Times New Roman" w:hAnsi="Times New Roman"/>
          <w:sz w:val="24"/>
        </w:rPr>
      </w:pPr>
      <w:r w:rsidRPr="00D51A68">
        <w:rPr>
          <w:rFonts w:ascii="Times New Roman" w:hAnsi="Times New Roman"/>
          <w:sz w:val="24"/>
        </w:rPr>
        <w:t>(articolo 147, paragrafo 2, lettera a), del CRR)</w:t>
      </w:r>
    </w:p>
    <w:p w:rsidR="001C7AB7" w:rsidRPr="00D51A68" w:rsidRDefault="001C7AB7" w:rsidP="001C7AB7">
      <w:pPr>
        <w:autoSpaceDE w:val="0"/>
        <w:autoSpaceDN w:val="0"/>
        <w:adjustRightInd w:val="0"/>
        <w:spacing w:before="0" w:after="0"/>
        <w:ind w:left="708"/>
        <w:rPr>
          <w:rFonts w:ascii="Times New Roman" w:hAnsi="Times New Roman"/>
          <w:sz w:val="24"/>
        </w:rPr>
      </w:pPr>
      <w:r w:rsidRPr="00D51A68">
        <w:rPr>
          <w:rFonts w:ascii="Times New Roman" w:hAnsi="Times New Roman"/>
          <w:sz w:val="24"/>
        </w:rPr>
        <w:t>3)</w:t>
      </w:r>
      <w:r w:rsidR="00A0772B" w:rsidRPr="00D51A68">
        <w:tab/>
      </w:r>
      <w:r w:rsidRPr="00D51A68">
        <w:rPr>
          <w:rFonts w:ascii="Times New Roman" w:hAnsi="Times New Roman"/>
          <w:sz w:val="24"/>
        </w:rPr>
        <w:t>Enti</w:t>
      </w:r>
    </w:p>
    <w:p w:rsidR="001C7AB7" w:rsidRPr="00D51A68" w:rsidRDefault="001C7AB7" w:rsidP="001C7AB7">
      <w:pPr>
        <w:autoSpaceDE w:val="0"/>
        <w:autoSpaceDN w:val="0"/>
        <w:adjustRightInd w:val="0"/>
        <w:spacing w:before="0" w:after="0"/>
        <w:ind w:left="708" w:firstLine="720"/>
        <w:rPr>
          <w:rFonts w:ascii="Times New Roman" w:hAnsi="Times New Roman"/>
          <w:sz w:val="24"/>
        </w:rPr>
      </w:pPr>
      <w:r w:rsidRPr="00D51A68">
        <w:rPr>
          <w:rFonts w:ascii="Times New Roman" w:hAnsi="Times New Roman"/>
          <w:sz w:val="24"/>
        </w:rPr>
        <w:t>(articolo 147, paragrafo 2, lettera b), del CRR)</w:t>
      </w:r>
    </w:p>
    <w:p w:rsidR="001C7AB7" w:rsidRPr="00D51A68" w:rsidRDefault="001C7AB7" w:rsidP="001C7AB7">
      <w:pPr>
        <w:autoSpaceDE w:val="0"/>
        <w:autoSpaceDN w:val="0"/>
        <w:adjustRightInd w:val="0"/>
        <w:spacing w:before="0" w:after="0"/>
        <w:ind w:left="1428" w:hanging="720"/>
        <w:jc w:val="left"/>
        <w:rPr>
          <w:rFonts w:ascii="Times New Roman" w:hAnsi="Times New Roman"/>
          <w:sz w:val="24"/>
        </w:rPr>
      </w:pPr>
      <w:r w:rsidRPr="00D51A68">
        <w:rPr>
          <w:rFonts w:ascii="Times New Roman" w:hAnsi="Times New Roman"/>
          <w:sz w:val="24"/>
        </w:rPr>
        <w:t>4.1)</w:t>
      </w:r>
      <w:r w:rsidR="00A0772B" w:rsidRPr="00D51A68">
        <w:tab/>
      </w:r>
      <w:r w:rsidRPr="00D51A68">
        <w:rPr>
          <w:rFonts w:ascii="Times New Roman" w:hAnsi="Times New Roman"/>
          <w:sz w:val="24"/>
        </w:rPr>
        <w:t>Imprese — PMI</w:t>
      </w:r>
    </w:p>
    <w:p w:rsidR="001C7AB7" w:rsidRPr="00D51A68" w:rsidRDefault="001C7AB7" w:rsidP="001C7AB7">
      <w:pPr>
        <w:autoSpaceDE w:val="0"/>
        <w:autoSpaceDN w:val="0"/>
        <w:adjustRightInd w:val="0"/>
        <w:spacing w:before="0" w:after="0"/>
        <w:ind w:left="1428"/>
        <w:jc w:val="left"/>
        <w:rPr>
          <w:rFonts w:ascii="Times New Roman" w:hAnsi="Times New Roman"/>
          <w:sz w:val="24"/>
        </w:rPr>
      </w:pPr>
      <w:r w:rsidRPr="00D51A68">
        <w:rPr>
          <w:rFonts w:ascii="Times New Roman" w:hAnsi="Times New Roman"/>
          <w:sz w:val="24"/>
        </w:rPr>
        <w:t xml:space="preserve">(Articolo 147, paragrafo 2, lettera c), del CRR) </w:t>
      </w:r>
    </w:p>
    <w:p w:rsidR="001C7AB7" w:rsidRPr="00D51A68" w:rsidRDefault="001C7AB7" w:rsidP="001C7AB7">
      <w:pPr>
        <w:autoSpaceDE w:val="0"/>
        <w:autoSpaceDN w:val="0"/>
        <w:adjustRightInd w:val="0"/>
        <w:spacing w:before="0" w:after="0"/>
        <w:ind w:left="708"/>
        <w:jc w:val="left"/>
        <w:rPr>
          <w:rFonts w:ascii="Times New Roman" w:hAnsi="Times New Roman"/>
          <w:sz w:val="24"/>
        </w:rPr>
      </w:pPr>
      <w:r w:rsidRPr="00D51A68">
        <w:rPr>
          <w:rFonts w:ascii="Times New Roman" w:hAnsi="Times New Roman"/>
          <w:sz w:val="24"/>
        </w:rPr>
        <w:t>4.2)</w:t>
      </w:r>
      <w:r w:rsidR="00A0772B" w:rsidRPr="00D51A68">
        <w:tab/>
      </w:r>
      <w:r w:rsidRPr="00D51A68">
        <w:rPr>
          <w:rFonts w:ascii="Times New Roman" w:hAnsi="Times New Roman"/>
          <w:sz w:val="24"/>
        </w:rPr>
        <w:t>Imprese — Finanziamenti specializzati</w:t>
      </w:r>
    </w:p>
    <w:p w:rsidR="001C7AB7" w:rsidRPr="00D51A68" w:rsidRDefault="001C7AB7" w:rsidP="001C7AB7">
      <w:pPr>
        <w:autoSpaceDE w:val="0"/>
        <w:autoSpaceDN w:val="0"/>
        <w:adjustRightInd w:val="0"/>
        <w:spacing w:before="0" w:after="0"/>
        <w:ind w:left="1428"/>
        <w:jc w:val="left"/>
        <w:rPr>
          <w:rFonts w:ascii="Times New Roman" w:hAnsi="Times New Roman"/>
          <w:sz w:val="24"/>
        </w:rPr>
      </w:pPr>
      <w:r w:rsidRPr="00D51A68">
        <w:rPr>
          <w:rFonts w:ascii="Times New Roman" w:hAnsi="Times New Roman"/>
          <w:sz w:val="24"/>
        </w:rPr>
        <w:t>(articolo 147, paragrafo 8, del CRR)</w:t>
      </w:r>
    </w:p>
    <w:p w:rsidR="001C7AB7" w:rsidRPr="00D51A68" w:rsidRDefault="001C7AB7" w:rsidP="001C7AB7">
      <w:pPr>
        <w:autoSpaceDE w:val="0"/>
        <w:autoSpaceDN w:val="0"/>
        <w:adjustRightInd w:val="0"/>
        <w:spacing w:before="0" w:after="0"/>
        <w:ind w:left="708"/>
        <w:jc w:val="left"/>
        <w:rPr>
          <w:rFonts w:ascii="Times New Roman" w:hAnsi="Times New Roman"/>
          <w:sz w:val="24"/>
        </w:rPr>
      </w:pPr>
      <w:r w:rsidRPr="00D51A68">
        <w:rPr>
          <w:rFonts w:ascii="Times New Roman" w:hAnsi="Times New Roman"/>
          <w:sz w:val="24"/>
        </w:rPr>
        <w:t>4.3)</w:t>
      </w:r>
      <w:r w:rsidR="00A0772B" w:rsidRPr="00D51A68">
        <w:tab/>
      </w:r>
      <w:r w:rsidRPr="00D51A68">
        <w:rPr>
          <w:rFonts w:ascii="Times New Roman" w:hAnsi="Times New Roman"/>
          <w:sz w:val="24"/>
        </w:rPr>
        <w:t xml:space="preserve">Imprese — Altre </w:t>
      </w:r>
    </w:p>
    <w:p w:rsidR="001C7AB7" w:rsidRPr="00D51A68" w:rsidRDefault="001C7AB7" w:rsidP="001C7AB7">
      <w:pPr>
        <w:autoSpaceDE w:val="0"/>
        <w:autoSpaceDN w:val="0"/>
        <w:adjustRightInd w:val="0"/>
        <w:spacing w:before="0" w:after="0"/>
        <w:ind w:left="1428"/>
        <w:jc w:val="left"/>
        <w:rPr>
          <w:rFonts w:ascii="Times New Roman" w:hAnsi="Times New Roman"/>
          <w:sz w:val="24"/>
        </w:rPr>
      </w:pPr>
      <w:r w:rsidRPr="00D51A68">
        <w:rPr>
          <w:rFonts w:ascii="Times New Roman" w:hAnsi="Times New Roman"/>
          <w:sz w:val="24"/>
        </w:rPr>
        <w:t>(tutte le imprese di cui all</w:t>
      </w:r>
      <w:r w:rsidR="0009277C" w:rsidRPr="00D51A68">
        <w:rPr>
          <w:rFonts w:ascii="Times New Roman" w:hAnsi="Times New Roman"/>
          <w:sz w:val="24"/>
        </w:rPr>
        <w:t>’</w:t>
      </w:r>
      <w:r w:rsidRPr="00D51A68">
        <w:rPr>
          <w:rFonts w:ascii="Times New Roman" w:hAnsi="Times New Roman"/>
          <w:sz w:val="24"/>
        </w:rPr>
        <w:t>articolo 147, paragrafo 2, lettera c), non segnalate nelle voci 4.1 e 4.2)</w:t>
      </w:r>
    </w:p>
    <w:p w:rsidR="001C7AB7" w:rsidRPr="00D51A68" w:rsidRDefault="001C7AB7" w:rsidP="001C7AB7">
      <w:pPr>
        <w:autoSpaceDE w:val="0"/>
        <w:autoSpaceDN w:val="0"/>
        <w:adjustRightInd w:val="0"/>
        <w:spacing w:before="0" w:after="0"/>
        <w:ind w:left="708"/>
        <w:jc w:val="left"/>
        <w:rPr>
          <w:rFonts w:ascii="Times New Roman" w:hAnsi="Times New Roman"/>
          <w:sz w:val="24"/>
        </w:rPr>
      </w:pPr>
      <w:r w:rsidRPr="00D51A68">
        <w:rPr>
          <w:rFonts w:ascii="Times New Roman" w:hAnsi="Times New Roman"/>
          <w:sz w:val="24"/>
        </w:rPr>
        <w:t>5.1)</w:t>
      </w:r>
      <w:r w:rsidR="00A0772B" w:rsidRPr="00D51A68">
        <w:tab/>
      </w:r>
      <w:r w:rsidRPr="00D51A68">
        <w:rPr>
          <w:rFonts w:ascii="Times New Roman" w:hAnsi="Times New Roman"/>
          <w:sz w:val="24"/>
        </w:rPr>
        <w:t>Al dettaglio — garantite da beni immobili, PMI</w:t>
      </w:r>
    </w:p>
    <w:p w:rsidR="001C7AB7" w:rsidRPr="00D51A68" w:rsidRDefault="001C7AB7" w:rsidP="001C7AB7">
      <w:pPr>
        <w:autoSpaceDE w:val="0"/>
        <w:autoSpaceDN w:val="0"/>
        <w:adjustRightInd w:val="0"/>
        <w:spacing w:before="0" w:after="0"/>
        <w:ind w:left="1428"/>
        <w:jc w:val="left"/>
        <w:rPr>
          <w:rFonts w:ascii="Times New Roman" w:hAnsi="Times New Roman"/>
          <w:sz w:val="24"/>
        </w:rPr>
      </w:pPr>
      <w:r w:rsidRPr="00D51A68">
        <w:rPr>
          <w:rFonts w:ascii="Times New Roman" w:hAnsi="Times New Roman"/>
          <w:sz w:val="24"/>
        </w:rPr>
        <w:t>(le esposizioni di cui all</w:t>
      </w:r>
      <w:r w:rsidR="0009277C" w:rsidRPr="00D51A68">
        <w:rPr>
          <w:rFonts w:ascii="Times New Roman" w:hAnsi="Times New Roman"/>
          <w:sz w:val="24"/>
        </w:rPr>
        <w:t>’</w:t>
      </w:r>
      <w:r w:rsidRPr="00D51A68">
        <w:rPr>
          <w:rFonts w:ascii="Times New Roman" w:hAnsi="Times New Roman"/>
          <w:sz w:val="24"/>
        </w:rPr>
        <w:t>articolo 147, paragrafo 2, lettera d), in combinato disposto con l</w:t>
      </w:r>
      <w:r w:rsidR="0009277C" w:rsidRPr="00D51A68">
        <w:rPr>
          <w:rFonts w:ascii="Times New Roman" w:hAnsi="Times New Roman"/>
          <w:sz w:val="24"/>
        </w:rPr>
        <w:t>’</w:t>
      </w:r>
      <w:r w:rsidRPr="00D51A68">
        <w:rPr>
          <w:rFonts w:ascii="Times New Roman" w:hAnsi="Times New Roman"/>
          <w:sz w:val="24"/>
        </w:rPr>
        <w:t>articolo 154, paragrafo 3, del CRR che sono garantite da beni immobili)</w:t>
      </w:r>
    </w:p>
    <w:p w:rsidR="001C7AB7" w:rsidRPr="00D51A68" w:rsidRDefault="001C7AB7" w:rsidP="001C7AB7">
      <w:pPr>
        <w:autoSpaceDE w:val="0"/>
        <w:autoSpaceDN w:val="0"/>
        <w:adjustRightInd w:val="0"/>
        <w:spacing w:before="0" w:after="0"/>
        <w:ind w:left="708"/>
        <w:jc w:val="left"/>
        <w:rPr>
          <w:rFonts w:ascii="Times New Roman" w:hAnsi="Times New Roman"/>
          <w:sz w:val="24"/>
        </w:rPr>
      </w:pPr>
      <w:r w:rsidRPr="00D51A68">
        <w:rPr>
          <w:rFonts w:ascii="Times New Roman" w:hAnsi="Times New Roman"/>
          <w:sz w:val="24"/>
        </w:rPr>
        <w:t>5.2)</w:t>
      </w:r>
      <w:r w:rsidR="00A0772B" w:rsidRPr="00D51A68">
        <w:tab/>
      </w:r>
      <w:r w:rsidRPr="00D51A68">
        <w:rPr>
          <w:rFonts w:ascii="Times New Roman" w:hAnsi="Times New Roman"/>
          <w:sz w:val="24"/>
        </w:rPr>
        <w:t>Al dettaglio — garantite da beni immobili, non PMI</w:t>
      </w:r>
    </w:p>
    <w:p w:rsidR="001C7AB7" w:rsidRPr="00D51A68" w:rsidRDefault="001C7AB7" w:rsidP="001C7AB7">
      <w:pPr>
        <w:autoSpaceDE w:val="0"/>
        <w:autoSpaceDN w:val="0"/>
        <w:adjustRightInd w:val="0"/>
        <w:spacing w:before="0" w:after="0"/>
        <w:ind w:left="1428"/>
        <w:jc w:val="left"/>
        <w:rPr>
          <w:rFonts w:ascii="Times New Roman" w:hAnsi="Times New Roman"/>
          <w:sz w:val="24"/>
        </w:rPr>
      </w:pPr>
      <w:r w:rsidRPr="00D51A68">
        <w:rPr>
          <w:rFonts w:ascii="Times New Roman" w:hAnsi="Times New Roman"/>
          <w:sz w:val="24"/>
        </w:rPr>
        <w:t>(le esposizioni di cui all</w:t>
      </w:r>
      <w:r w:rsidR="0009277C" w:rsidRPr="00D51A68">
        <w:rPr>
          <w:rFonts w:ascii="Times New Roman" w:hAnsi="Times New Roman"/>
          <w:sz w:val="24"/>
        </w:rPr>
        <w:t>’</w:t>
      </w:r>
      <w:r w:rsidRPr="00D51A68">
        <w:rPr>
          <w:rFonts w:ascii="Times New Roman" w:hAnsi="Times New Roman"/>
          <w:sz w:val="24"/>
        </w:rPr>
        <w:t>articolo 147, paragrafo 2, lettera d), del CRR che sono garantite da beni immobili e non sono segnalate nella voce 5.1)</w:t>
      </w:r>
    </w:p>
    <w:p w:rsidR="001C7AB7" w:rsidRPr="00D51A68" w:rsidRDefault="001C7AB7" w:rsidP="001C7AB7">
      <w:pPr>
        <w:autoSpaceDE w:val="0"/>
        <w:autoSpaceDN w:val="0"/>
        <w:adjustRightInd w:val="0"/>
        <w:spacing w:before="0" w:after="0"/>
        <w:ind w:left="708"/>
        <w:jc w:val="left"/>
        <w:rPr>
          <w:rFonts w:ascii="Times New Roman" w:hAnsi="Times New Roman"/>
          <w:sz w:val="24"/>
        </w:rPr>
      </w:pPr>
      <w:r w:rsidRPr="00D51A68">
        <w:rPr>
          <w:rFonts w:ascii="Times New Roman" w:hAnsi="Times New Roman"/>
          <w:sz w:val="24"/>
        </w:rPr>
        <w:t>5.3)</w:t>
      </w:r>
      <w:r w:rsidR="00A0772B" w:rsidRPr="00D51A68">
        <w:tab/>
      </w:r>
      <w:r w:rsidRPr="00D51A68">
        <w:rPr>
          <w:rFonts w:ascii="Times New Roman" w:hAnsi="Times New Roman"/>
          <w:sz w:val="24"/>
        </w:rPr>
        <w:t>Al dettaglio — Rotative qualificate</w:t>
      </w:r>
    </w:p>
    <w:p w:rsidR="001C7AB7" w:rsidRPr="00D51A68" w:rsidRDefault="001C7AB7" w:rsidP="001C7AB7">
      <w:pPr>
        <w:autoSpaceDE w:val="0"/>
        <w:autoSpaceDN w:val="0"/>
        <w:adjustRightInd w:val="0"/>
        <w:spacing w:before="0" w:after="0"/>
        <w:ind w:left="1428"/>
        <w:jc w:val="left"/>
        <w:rPr>
          <w:rFonts w:ascii="Times New Roman" w:hAnsi="Times New Roman"/>
          <w:sz w:val="24"/>
        </w:rPr>
      </w:pPr>
      <w:r w:rsidRPr="00D51A68">
        <w:rPr>
          <w:rFonts w:ascii="Times New Roman" w:hAnsi="Times New Roman"/>
          <w:sz w:val="24"/>
        </w:rPr>
        <w:t>(articolo 147, paragrafo 2, lettera d), in combinato disposto con l</w:t>
      </w:r>
      <w:r w:rsidR="0009277C" w:rsidRPr="00D51A68">
        <w:rPr>
          <w:rFonts w:ascii="Times New Roman" w:hAnsi="Times New Roman"/>
          <w:sz w:val="24"/>
        </w:rPr>
        <w:t>’</w:t>
      </w:r>
      <w:r w:rsidRPr="00D51A68">
        <w:rPr>
          <w:rFonts w:ascii="Times New Roman" w:hAnsi="Times New Roman"/>
          <w:sz w:val="24"/>
        </w:rPr>
        <w:t xml:space="preserve">articolo 154, paragrafo 4, del CRR) </w:t>
      </w:r>
    </w:p>
    <w:p w:rsidR="001C7AB7" w:rsidRPr="00D51A68" w:rsidRDefault="001C7AB7" w:rsidP="001C7AB7">
      <w:pPr>
        <w:autoSpaceDE w:val="0"/>
        <w:autoSpaceDN w:val="0"/>
        <w:adjustRightInd w:val="0"/>
        <w:spacing w:before="0" w:after="0"/>
        <w:ind w:left="708"/>
        <w:jc w:val="left"/>
        <w:rPr>
          <w:rFonts w:ascii="Times New Roman" w:hAnsi="Times New Roman"/>
          <w:sz w:val="24"/>
        </w:rPr>
      </w:pPr>
      <w:r w:rsidRPr="00D51A68">
        <w:rPr>
          <w:rFonts w:ascii="Times New Roman" w:hAnsi="Times New Roman"/>
          <w:sz w:val="24"/>
        </w:rPr>
        <w:t>5.4)</w:t>
      </w:r>
      <w:r w:rsidR="00A0772B" w:rsidRPr="00D51A68">
        <w:tab/>
      </w:r>
      <w:r w:rsidRPr="00D51A68">
        <w:rPr>
          <w:rFonts w:ascii="Times New Roman" w:hAnsi="Times New Roman"/>
          <w:sz w:val="24"/>
        </w:rPr>
        <w:t>Al dettaglio — altre PMI</w:t>
      </w:r>
    </w:p>
    <w:p w:rsidR="001C7AB7" w:rsidRPr="00D51A68" w:rsidRDefault="001C7AB7" w:rsidP="001C7AB7">
      <w:pPr>
        <w:autoSpaceDE w:val="0"/>
        <w:autoSpaceDN w:val="0"/>
        <w:adjustRightInd w:val="0"/>
        <w:spacing w:before="0" w:after="0"/>
        <w:ind w:left="1428"/>
        <w:jc w:val="left"/>
        <w:rPr>
          <w:rFonts w:ascii="Times New Roman" w:hAnsi="Times New Roman"/>
          <w:sz w:val="24"/>
        </w:rPr>
      </w:pPr>
      <w:r w:rsidRPr="00D51A68">
        <w:rPr>
          <w:rFonts w:ascii="Times New Roman" w:hAnsi="Times New Roman"/>
          <w:sz w:val="24"/>
        </w:rPr>
        <w:t>(articolo 147, paragrafo 2, lettera d), non segnalate nelle voci 5.1 e 5.3)</w:t>
      </w:r>
    </w:p>
    <w:p w:rsidR="001C7AB7" w:rsidRPr="00D51A68" w:rsidRDefault="00125707" w:rsidP="0023700C">
      <w:pPr>
        <w:pStyle w:val="ListParagraph1"/>
        <w:autoSpaceDE w:val="0"/>
        <w:autoSpaceDN w:val="0"/>
        <w:adjustRightInd w:val="0"/>
        <w:spacing w:before="0" w:after="0"/>
        <w:ind w:left="1428" w:hanging="720"/>
        <w:jc w:val="left"/>
        <w:rPr>
          <w:rFonts w:ascii="Times New Roman" w:hAnsi="Times New Roman"/>
          <w:sz w:val="24"/>
        </w:rPr>
      </w:pPr>
      <w:r w:rsidRPr="00D51A68">
        <w:rPr>
          <w:rFonts w:ascii="Times New Roman" w:hAnsi="Times New Roman"/>
          <w:sz w:val="24"/>
        </w:rPr>
        <w:t>5.5)</w:t>
      </w:r>
      <w:r w:rsidR="00A0772B" w:rsidRPr="00D51A68">
        <w:tab/>
      </w:r>
      <w:r w:rsidRPr="00D51A68">
        <w:rPr>
          <w:rFonts w:ascii="Times New Roman" w:hAnsi="Times New Roman"/>
          <w:sz w:val="24"/>
        </w:rPr>
        <w:t>Al dettaglio — altre non PMI</w:t>
      </w:r>
    </w:p>
    <w:p w:rsidR="001C7AB7" w:rsidRPr="00D51A68" w:rsidRDefault="001C7AB7" w:rsidP="001C7AB7">
      <w:pPr>
        <w:autoSpaceDE w:val="0"/>
        <w:autoSpaceDN w:val="0"/>
        <w:adjustRightInd w:val="0"/>
        <w:spacing w:before="0" w:after="0"/>
        <w:ind w:left="1428"/>
        <w:jc w:val="left"/>
        <w:rPr>
          <w:rFonts w:ascii="Times New Roman" w:hAnsi="Times New Roman"/>
          <w:sz w:val="24"/>
        </w:rPr>
      </w:pPr>
      <w:r w:rsidRPr="00D51A68">
        <w:rPr>
          <w:rFonts w:ascii="Times New Roman" w:hAnsi="Times New Roman"/>
          <w:sz w:val="24"/>
        </w:rPr>
        <w:t>(articolo 147, paragrafo 2, lettera d), del CRR non segnalate nelle voci 5.2</w:t>
      </w:r>
      <w:r w:rsidR="00B106C6" w:rsidRPr="00D51A68">
        <w:rPr>
          <w:rFonts w:ascii="Times New Roman" w:hAnsi="Times New Roman"/>
          <w:sz w:val="24"/>
        </w:rPr>
        <w:t xml:space="preserve"> e </w:t>
      </w:r>
      <w:r w:rsidRPr="00D51A68">
        <w:rPr>
          <w:rFonts w:ascii="Times New Roman" w:hAnsi="Times New Roman"/>
          <w:sz w:val="24"/>
        </w:rPr>
        <w:t>5.3).</w:t>
      </w:r>
    </w:p>
    <w:p w:rsidR="001C7AB7" w:rsidRPr="00D51A68" w:rsidRDefault="001C7AB7" w:rsidP="001C7AB7">
      <w:pPr>
        <w:autoSpaceDE w:val="0"/>
        <w:autoSpaceDN w:val="0"/>
        <w:adjustRightInd w:val="0"/>
        <w:spacing w:before="0" w:after="240"/>
        <w:jc w:val="left"/>
        <w:rPr>
          <w:rFonts w:ascii="Times New Roman" w:hAnsi="Times New Roman"/>
          <w:sz w:val="24"/>
        </w:rPr>
      </w:pPr>
    </w:p>
    <w:p w:rsidR="00206687" w:rsidRPr="00D51A68" w:rsidRDefault="00125707" w:rsidP="0023700C">
      <w:pPr>
        <w:pStyle w:val="Instructionsberschrift2"/>
        <w:numPr>
          <w:ilvl w:val="0"/>
          <w:numId w:val="0"/>
        </w:numPr>
        <w:ind w:left="357" w:hanging="357"/>
        <w:rPr>
          <w:rFonts w:ascii="Times New Roman" w:hAnsi="Times New Roman" w:cs="Times New Roman"/>
          <w:sz w:val="24"/>
        </w:rPr>
      </w:pPr>
      <w:bookmarkStart w:id="276" w:name="_Toc516210644"/>
      <w:bookmarkStart w:id="277" w:name="_Toc473560909"/>
      <w:bookmarkStart w:id="278" w:name="_Toc524096589"/>
      <w:bookmarkStart w:id="279" w:name="_Toc239157380"/>
      <w:bookmarkStart w:id="280" w:name="_Toc262568038"/>
      <w:bookmarkStart w:id="281" w:name="_Toc264038436"/>
      <w:bookmarkStart w:id="282" w:name="_Toc295829866"/>
      <w:bookmarkStart w:id="283" w:name="_Toc308155143"/>
      <w:bookmarkStart w:id="284" w:name="_Toc310415030"/>
      <w:bookmarkStart w:id="285" w:name="_Toc360188360"/>
      <w:r w:rsidRPr="00D51A68">
        <w:rPr>
          <w:rFonts w:ascii="Times New Roman" w:hAnsi="Times New Roman"/>
          <w:sz w:val="24"/>
          <w:u w:val="none"/>
        </w:rPr>
        <w:t>3.3.3.</w:t>
      </w:r>
      <w:r w:rsidR="00A0772B" w:rsidRPr="00D51A68">
        <w:rPr>
          <w:u w:val="none"/>
        </w:rPr>
        <w:tab/>
      </w:r>
      <w:r w:rsidRPr="00D51A68">
        <w:rPr>
          <w:rFonts w:ascii="Times New Roman" w:hAnsi="Times New Roman"/>
          <w:sz w:val="24"/>
        </w:rPr>
        <w:t>C 08.01 — Rischio di credito e rischio di controparte e operazioni con regolamento non contestuale: metodo IRB applicato ai requisiti patrimoniali (CR IRB 1)</w:t>
      </w:r>
      <w:bookmarkEnd w:id="276"/>
      <w:bookmarkEnd w:id="277"/>
      <w:bookmarkEnd w:id="278"/>
    </w:p>
    <w:p w:rsidR="001C7AB7" w:rsidRPr="00D51A68" w:rsidRDefault="00125707" w:rsidP="0023700C">
      <w:pPr>
        <w:pStyle w:val="Instructionsberschrift2"/>
        <w:numPr>
          <w:ilvl w:val="0"/>
          <w:numId w:val="0"/>
        </w:numPr>
        <w:ind w:left="709" w:hanging="720"/>
        <w:rPr>
          <w:rFonts w:ascii="Times New Roman" w:hAnsi="Times New Roman" w:cs="Times New Roman"/>
          <w:sz w:val="24"/>
        </w:rPr>
      </w:pPr>
      <w:bookmarkStart w:id="286" w:name="_Toc516210645"/>
      <w:bookmarkStart w:id="287" w:name="_Toc473560910"/>
      <w:bookmarkStart w:id="288" w:name="_Toc524096590"/>
      <w:r w:rsidRPr="00D51A68">
        <w:rPr>
          <w:rFonts w:ascii="Times New Roman" w:hAnsi="Times New Roman"/>
          <w:sz w:val="24"/>
          <w:u w:val="none"/>
        </w:rPr>
        <w:t>3.3.3.1</w:t>
      </w:r>
      <w:r w:rsidR="00A0772B" w:rsidRPr="00D51A68">
        <w:rPr>
          <w:u w:val="none"/>
        </w:rPr>
        <w:tab/>
      </w:r>
      <w:r w:rsidRPr="00D51A68">
        <w:rPr>
          <w:rFonts w:ascii="Times New Roman" w:hAnsi="Times New Roman"/>
          <w:sz w:val="24"/>
        </w:rPr>
        <w:t>Istruzioni relative a posizioni specifiche</w:t>
      </w:r>
      <w:bookmarkEnd w:id="279"/>
      <w:bookmarkEnd w:id="280"/>
      <w:bookmarkEnd w:id="281"/>
      <w:bookmarkEnd w:id="282"/>
      <w:bookmarkEnd w:id="283"/>
      <w:bookmarkEnd w:id="284"/>
      <w:bookmarkEnd w:id="285"/>
      <w:bookmarkEnd w:id="286"/>
      <w:bookmarkEnd w:id="287"/>
      <w:bookmarkEnd w:id="288"/>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1C7AB7" w:rsidRPr="00D51A68" w:rsidTr="00672D2A">
        <w:tc>
          <w:tcPr>
            <w:tcW w:w="1188" w:type="dxa"/>
            <w:shd w:val="clear" w:color="auto" w:fill="CCCCCC"/>
          </w:tcPr>
          <w:p w:rsidR="001C7AB7" w:rsidRPr="00D51A68" w:rsidRDefault="001C7AB7" w:rsidP="001C7AB7">
            <w:pPr>
              <w:rPr>
                <w:rFonts w:ascii="Times New Roman" w:hAnsi="Times New Roman"/>
                <w:sz w:val="24"/>
              </w:rPr>
            </w:pPr>
            <w:r w:rsidRPr="00D51A68">
              <w:rPr>
                <w:rFonts w:ascii="Times New Roman" w:hAnsi="Times New Roman"/>
                <w:sz w:val="24"/>
              </w:rPr>
              <w:t>Colonne</w:t>
            </w:r>
          </w:p>
        </w:tc>
        <w:tc>
          <w:tcPr>
            <w:tcW w:w="8843" w:type="dxa"/>
            <w:shd w:val="clear" w:color="auto" w:fill="CCCCCC"/>
          </w:tcPr>
          <w:p w:rsidR="001C7AB7" w:rsidRPr="00D51A68" w:rsidRDefault="001C7AB7" w:rsidP="001C7AB7">
            <w:pPr>
              <w:rPr>
                <w:rFonts w:ascii="Times New Roman" w:hAnsi="Times New Roman"/>
                <w:sz w:val="24"/>
              </w:rPr>
            </w:pPr>
            <w:r w:rsidRPr="00D51A68">
              <w:rPr>
                <w:rFonts w:ascii="Times New Roman" w:hAnsi="Times New Roman"/>
                <w:sz w:val="24"/>
              </w:rPr>
              <w:t>Istruzioni</w:t>
            </w:r>
          </w:p>
        </w:tc>
      </w:tr>
      <w:tr w:rsidR="001C7AB7" w:rsidRPr="00D51A68" w:rsidTr="00672D2A">
        <w:tc>
          <w:tcPr>
            <w:tcW w:w="1188" w:type="dxa"/>
          </w:tcPr>
          <w:p w:rsidR="001C7AB7" w:rsidRPr="00D51A68" w:rsidRDefault="001C7AB7" w:rsidP="001C7AB7">
            <w:pPr>
              <w:rPr>
                <w:rFonts w:ascii="Times New Roman" w:hAnsi="Times New Roman"/>
                <w:sz w:val="24"/>
              </w:rPr>
            </w:pPr>
            <w:r w:rsidRPr="00D51A68">
              <w:rPr>
                <w:rFonts w:ascii="Times New Roman" w:hAnsi="Times New Roman"/>
                <w:sz w:val="24"/>
              </w:rPr>
              <w:t>010</w:t>
            </w:r>
          </w:p>
        </w:tc>
        <w:tc>
          <w:tcPr>
            <w:tcW w:w="8843" w:type="dxa"/>
          </w:tcPr>
          <w:p w:rsidR="001C7AB7" w:rsidRPr="00D51A68" w:rsidRDefault="001C7AB7" w:rsidP="001C7AB7">
            <w:pPr>
              <w:rPr>
                <w:rStyle w:val="InstructionsTabelleberschrift"/>
                <w:rFonts w:ascii="Times New Roman" w:hAnsi="Times New Roman"/>
                <w:sz w:val="24"/>
              </w:rPr>
            </w:pPr>
            <w:r w:rsidRPr="00D51A68">
              <w:rPr>
                <w:rStyle w:val="InstructionsTabelleberschrift"/>
                <w:rFonts w:ascii="Times New Roman" w:hAnsi="Times New Roman"/>
                <w:sz w:val="24"/>
              </w:rPr>
              <w:t>SISTEMA DI RATING INTERNO/PROBABILITÀ DI DEFAULT ASSEGNATA ALLA CLASSE O AL POOL DI DEBITORI (%)</w:t>
            </w:r>
          </w:p>
          <w:p w:rsidR="001C7AB7" w:rsidRPr="00D51A68" w:rsidRDefault="001C7AB7" w:rsidP="001C7AB7">
            <w:pPr>
              <w:rPr>
                <w:rFonts w:ascii="Times New Roman" w:hAnsi="Times New Roman"/>
                <w:sz w:val="24"/>
              </w:rPr>
            </w:pPr>
            <w:r w:rsidRPr="00D51A68">
              <w:rPr>
                <w:rStyle w:val="InstructionsTabelleText"/>
                <w:rFonts w:ascii="Times New Roman" w:hAnsi="Times New Roman"/>
                <w:sz w:val="24"/>
              </w:rPr>
              <w:t>La probabilità di default (PD) assegnata alla classe o al pool di debitori da segnalare si basa sulle disposizioni di cui all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articolo 180 del CRR. Per ogni singola classe o pool di debitori è indicata la PD attribuitale. Per gli importi relativi a un</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aggregazione di classi o pool di debitori (ad esempio le esposizioni totali), si riporta la media ponderata per 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esposizione delle PD attribuite alle classi o ai pool di debitori compresi nell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aggregazione considerata. Il valore dell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esposizione (colonna 110) è utilizzato per il calcolo della media ponderata per 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esposizione della PD</w:t>
            </w:r>
            <w:r w:rsidRPr="00D51A68">
              <w:rPr>
                <w:rFonts w:ascii="Times New Roman" w:hAnsi="Times New Roman"/>
                <w:sz w:val="24"/>
              </w:rPr>
              <w:t>.</w:t>
            </w:r>
          </w:p>
          <w:p w:rsidR="001C7AB7" w:rsidRPr="00D51A68" w:rsidRDefault="001C7AB7" w:rsidP="001C7AB7">
            <w:pPr>
              <w:rPr>
                <w:rStyle w:val="InstructionsTabelleText"/>
                <w:rFonts w:ascii="Times New Roman" w:hAnsi="Times New Roman"/>
                <w:sz w:val="24"/>
              </w:rPr>
            </w:pPr>
            <w:r w:rsidRPr="00D51A68">
              <w:rPr>
                <w:rStyle w:val="InstructionsTabelleText"/>
                <w:rFonts w:ascii="Times New Roman" w:hAnsi="Times New Roman"/>
                <w:sz w:val="24"/>
              </w:rPr>
              <w:t>Per ogni singola classe o pool di debitori è segnalata la PD attribuitale. Tutti i parametri di rischio segnalati sono ricavati dai parametri di rischio utilizzati nel sistema di rating interno approvato dall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autorità competente.</w:t>
            </w:r>
          </w:p>
          <w:p w:rsidR="001C7AB7" w:rsidRPr="00D51A68" w:rsidRDefault="001C7AB7" w:rsidP="001C7AB7">
            <w:pPr>
              <w:rPr>
                <w:rStyle w:val="InstructionsTabelleText"/>
                <w:rFonts w:ascii="Times New Roman" w:hAnsi="Times New Roman"/>
                <w:sz w:val="24"/>
              </w:rPr>
            </w:pPr>
            <w:r w:rsidRPr="00D51A68">
              <w:rPr>
                <w:rStyle w:val="InstructionsTabelleText"/>
                <w:rFonts w:ascii="Times New Roman" w:hAnsi="Times New Roman"/>
                <w:sz w:val="24"/>
              </w:rPr>
              <w:t>Non è richiesto né auspicabile disporre di una scala tipo di vigilanza. Se 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 xml:space="preserve">ente segnalante applica un sistema di rating unico o è in grado di effettuare le segnalazioni in conformità di una scala tipo interna, si utilizza tale scala. </w:t>
            </w:r>
          </w:p>
          <w:p w:rsidR="001C7AB7" w:rsidRPr="00D51A68" w:rsidRDefault="001C7AB7" w:rsidP="001C7AB7">
            <w:pPr>
              <w:rPr>
                <w:rStyle w:val="InstructionsTabelleText"/>
                <w:rFonts w:ascii="Times New Roman" w:hAnsi="Times New Roman"/>
                <w:sz w:val="24"/>
              </w:rPr>
            </w:pPr>
            <w:r w:rsidRPr="00D51A68">
              <w:rPr>
                <w:rStyle w:val="InstructionsTabelleText"/>
                <w:rFonts w:ascii="Times New Roman" w:hAnsi="Times New Roman"/>
                <w:sz w:val="24"/>
              </w:rPr>
              <w:t>Negli altri casi, i differenti sistemi di rating sono unificati e classificati secondo i seguenti criteri: le classi di debitori dei differenti sistemi di rating sono accorpate e ordinate a partire dalla classe con la PD più bassa alla classe con la PD più alta. Se utilizza molte classi o molti pool, 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ente può concordare con le autorità competenti di ridurre il numero delle classi o dei pool da segnalare.</w:t>
            </w:r>
          </w:p>
          <w:p w:rsidR="001C7AB7" w:rsidRPr="00D51A68" w:rsidRDefault="001C7AB7" w:rsidP="001C7AB7">
            <w:pPr>
              <w:rPr>
                <w:rStyle w:val="InstructionsTabelleText"/>
                <w:rFonts w:ascii="Times New Roman" w:hAnsi="Times New Roman"/>
                <w:sz w:val="24"/>
              </w:rPr>
            </w:pPr>
            <w:r w:rsidRPr="00D51A68">
              <w:rPr>
                <w:rStyle w:val="InstructionsTabelleText"/>
                <w:rFonts w:ascii="Times New Roman" w:hAnsi="Times New Roman"/>
                <w:sz w:val="24"/>
              </w:rPr>
              <w:t>Gli enti contattano preventivamente la rispettiva autorità competente se vogliono segnalare un numero di classi diverso da quello utilizzato al proprio interno.</w:t>
            </w:r>
          </w:p>
          <w:p w:rsidR="001C7AB7" w:rsidRPr="00D51A68" w:rsidRDefault="001C7AB7" w:rsidP="001C7AB7">
            <w:pPr>
              <w:rPr>
                <w:rStyle w:val="InstructionsTabelleText"/>
                <w:rFonts w:ascii="Times New Roman" w:hAnsi="Times New Roman"/>
                <w:sz w:val="24"/>
              </w:rPr>
            </w:pPr>
            <w:r w:rsidRPr="00D51A68">
              <w:rPr>
                <w:rStyle w:val="InstructionsTabelleText"/>
                <w:rFonts w:ascii="Times New Roman" w:hAnsi="Times New Roman"/>
                <w:sz w:val="24"/>
              </w:rPr>
              <w:t>Per la ponderazione della PD media si utilizza il valore dell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esposizione indicato nella colonna 110. Ai fini del calcolo della PD media ponderata per 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 xml:space="preserve">esposizione (ad esempio per le </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esposizioni totali</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 si deve tener conto di tutte le esposizioni, comprese quelle in stato di default. Le esposizioni in stato di default sono quelle attribuite alla o alle ultime classi di rating con una PD pari al 100%.</w:t>
            </w:r>
          </w:p>
          <w:p w:rsidR="001C7AB7" w:rsidRPr="00D51A68" w:rsidRDefault="001C7AB7" w:rsidP="001C7AB7">
            <w:pPr>
              <w:rPr>
                <w:rFonts w:ascii="Times New Roman" w:hAnsi="Times New Roman"/>
                <w:sz w:val="24"/>
              </w:rPr>
            </w:pPr>
          </w:p>
        </w:tc>
      </w:tr>
      <w:tr w:rsidR="001C7AB7" w:rsidRPr="00D51A68" w:rsidTr="00672D2A">
        <w:tc>
          <w:tcPr>
            <w:tcW w:w="1188" w:type="dxa"/>
          </w:tcPr>
          <w:p w:rsidR="001C7AB7" w:rsidRPr="00D51A68" w:rsidRDefault="001C7AB7" w:rsidP="001C7AB7">
            <w:pPr>
              <w:rPr>
                <w:rFonts w:ascii="Times New Roman" w:hAnsi="Times New Roman"/>
                <w:sz w:val="24"/>
              </w:rPr>
            </w:pPr>
            <w:r w:rsidRPr="00D51A68">
              <w:rPr>
                <w:rFonts w:ascii="Times New Roman" w:hAnsi="Times New Roman"/>
                <w:sz w:val="24"/>
              </w:rPr>
              <w:t>020</w:t>
            </w:r>
          </w:p>
        </w:tc>
        <w:tc>
          <w:tcPr>
            <w:tcW w:w="8843" w:type="dxa"/>
          </w:tcPr>
          <w:p w:rsidR="001C7AB7" w:rsidRPr="00D51A68" w:rsidRDefault="001C7AB7" w:rsidP="001C7AB7">
            <w:pPr>
              <w:rPr>
                <w:rFonts w:ascii="Times New Roman" w:hAnsi="Times New Roman"/>
                <w:b/>
                <w:sz w:val="24"/>
                <w:u w:val="single"/>
              </w:rPr>
            </w:pPr>
            <w:r w:rsidRPr="00D51A68">
              <w:rPr>
                <w:rFonts w:ascii="Times New Roman" w:hAnsi="Times New Roman"/>
                <w:b/>
                <w:sz w:val="24"/>
                <w:u w:val="single"/>
              </w:rPr>
              <w:t>ESPOSIZIONE ORIGINARIA PRIMA DELL</w:t>
            </w:r>
            <w:r w:rsidR="0009277C" w:rsidRPr="00D51A68">
              <w:rPr>
                <w:rFonts w:ascii="Times New Roman" w:hAnsi="Times New Roman"/>
                <w:b/>
                <w:sz w:val="24"/>
                <w:u w:val="single"/>
              </w:rPr>
              <w:t>’</w:t>
            </w:r>
            <w:r w:rsidRPr="00D51A68">
              <w:rPr>
                <w:rFonts w:ascii="Times New Roman" w:hAnsi="Times New Roman"/>
                <w:b/>
                <w:sz w:val="24"/>
                <w:u w:val="single"/>
              </w:rPr>
              <w:t>APPLICAZIONE DEI FATTORI DI CONVERSIONE</w:t>
            </w:r>
          </w:p>
          <w:p w:rsidR="001C7AB7" w:rsidRPr="00D51A68" w:rsidRDefault="001C7AB7" w:rsidP="001C7AB7">
            <w:pPr>
              <w:rPr>
                <w:rFonts w:ascii="Times New Roman" w:hAnsi="Times New Roman"/>
                <w:sz w:val="24"/>
              </w:rPr>
            </w:pPr>
            <w:r w:rsidRPr="00D51A68">
              <w:rPr>
                <w:rFonts w:ascii="Times New Roman" w:hAnsi="Times New Roman"/>
                <w:sz w:val="24"/>
              </w:rPr>
              <w:t>L</w:t>
            </w:r>
            <w:r w:rsidR="0009277C" w:rsidRPr="00D51A68">
              <w:rPr>
                <w:rFonts w:ascii="Times New Roman" w:hAnsi="Times New Roman"/>
                <w:sz w:val="24"/>
              </w:rPr>
              <w:t>’</w:t>
            </w:r>
            <w:r w:rsidRPr="00D51A68">
              <w:rPr>
                <w:rFonts w:ascii="Times New Roman" w:hAnsi="Times New Roman"/>
                <w:sz w:val="24"/>
              </w:rPr>
              <w:t>ente segnala il valore dell</w:t>
            </w:r>
            <w:r w:rsidR="0009277C" w:rsidRPr="00D51A68">
              <w:rPr>
                <w:rFonts w:ascii="Times New Roman" w:hAnsi="Times New Roman"/>
                <w:sz w:val="24"/>
              </w:rPr>
              <w:t>’</w:t>
            </w:r>
            <w:r w:rsidRPr="00D51A68">
              <w:rPr>
                <w:rFonts w:ascii="Times New Roman" w:hAnsi="Times New Roman"/>
                <w:sz w:val="24"/>
              </w:rPr>
              <w:t xml:space="preserve">esposizione prima di tener conto di qualsiasi rettifica di valore, di accantonamenti, di effetti dovuti a tecniche di attenuazione del rischio di credito o dei fattori di conversione del credito. </w:t>
            </w:r>
          </w:p>
          <w:p w:rsidR="001C7AB7" w:rsidRPr="00D51A68" w:rsidRDefault="001C7AB7" w:rsidP="001C7AB7">
            <w:pPr>
              <w:rPr>
                <w:rFonts w:ascii="Times New Roman" w:hAnsi="Times New Roman"/>
                <w:sz w:val="24"/>
              </w:rPr>
            </w:pPr>
            <w:r w:rsidRPr="00D51A68">
              <w:rPr>
                <w:rFonts w:ascii="Times New Roman" w:hAnsi="Times New Roman"/>
                <w:sz w:val="24"/>
              </w:rPr>
              <w:t>Il valore dell</w:t>
            </w:r>
            <w:r w:rsidR="0009277C" w:rsidRPr="00D51A68">
              <w:rPr>
                <w:rFonts w:ascii="Times New Roman" w:hAnsi="Times New Roman"/>
                <w:sz w:val="24"/>
              </w:rPr>
              <w:t>’</w:t>
            </w:r>
            <w:r w:rsidRPr="00D51A68">
              <w:rPr>
                <w:rFonts w:ascii="Times New Roman" w:hAnsi="Times New Roman"/>
                <w:sz w:val="24"/>
              </w:rPr>
              <w:t>esposizione originaria è indicato conformemente all</w:t>
            </w:r>
            <w:r w:rsidR="0009277C" w:rsidRPr="00D51A68">
              <w:rPr>
                <w:rFonts w:ascii="Times New Roman" w:hAnsi="Times New Roman"/>
                <w:sz w:val="24"/>
              </w:rPr>
              <w:t>’</w:t>
            </w:r>
            <w:r w:rsidRPr="00D51A68">
              <w:rPr>
                <w:rFonts w:ascii="Times New Roman" w:hAnsi="Times New Roman"/>
                <w:sz w:val="24"/>
              </w:rPr>
              <w:t>articolo 24 del CRR e all</w:t>
            </w:r>
            <w:r w:rsidR="0009277C" w:rsidRPr="00D51A68">
              <w:rPr>
                <w:rFonts w:ascii="Times New Roman" w:hAnsi="Times New Roman"/>
                <w:sz w:val="24"/>
              </w:rPr>
              <w:t>’</w:t>
            </w:r>
            <w:r w:rsidRPr="00D51A68">
              <w:rPr>
                <w:rFonts w:ascii="Times New Roman" w:hAnsi="Times New Roman"/>
                <w:sz w:val="24"/>
              </w:rPr>
              <w:t>articolo 166, paragrafi 1 e 2 e da 4 a 7, del CRR.</w:t>
            </w:r>
          </w:p>
          <w:p w:rsidR="001C7AB7" w:rsidRPr="00D51A68" w:rsidRDefault="001C7AB7" w:rsidP="001C7AB7">
            <w:pPr>
              <w:rPr>
                <w:rFonts w:ascii="Times New Roman" w:hAnsi="Times New Roman"/>
                <w:sz w:val="24"/>
              </w:rPr>
            </w:pPr>
            <w:r w:rsidRPr="00D51A68">
              <w:rPr>
                <w:rFonts w:ascii="Times New Roman" w:hAnsi="Times New Roman"/>
                <w:sz w:val="24"/>
              </w:rPr>
              <w:t>L</w:t>
            </w:r>
            <w:r w:rsidR="0009277C" w:rsidRPr="00D51A68">
              <w:rPr>
                <w:rFonts w:ascii="Times New Roman" w:hAnsi="Times New Roman"/>
                <w:sz w:val="24"/>
              </w:rPr>
              <w:t>’</w:t>
            </w:r>
            <w:r w:rsidRPr="00D51A68">
              <w:rPr>
                <w:rFonts w:ascii="Times New Roman" w:hAnsi="Times New Roman"/>
                <w:sz w:val="24"/>
              </w:rPr>
              <w:t>effetto derivante dall</w:t>
            </w:r>
            <w:r w:rsidR="0009277C" w:rsidRPr="00D51A68">
              <w:rPr>
                <w:rFonts w:ascii="Times New Roman" w:hAnsi="Times New Roman"/>
                <w:sz w:val="24"/>
              </w:rPr>
              <w:t>’</w:t>
            </w:r>
            <w:r w:rsidRPr="00D51A68">
              <w:rPr>
                <w:rFonts w:ascii="Times New Roman" w:hAnsi="Times New Roman"/>
                <w:sz w:val="24"/>
              </w:rPr>
              <w:t xml:space="preserve">articolo 166, paragrafo 3, del CRR (effetto della compensazione </w:t>
            </w:r>
            <w:r w:rsidRPr="00D51A68">
              <w:rPr>
                <w:rFonts w:ascii="Times New Roman" w:hAnsi="Times New Roman"/>
                <w:sz w:val="24"/>
              </w:rPr>
              <w:lastRenderedPageBreak/>
              <w:t>in bilancio dei crediti e dei depositi) è segnalato separatamente come protezione del credito di tipo reale e pertanto non riduce l</w:t>
            </w:r>
            <w:r w:rsidR="0009277C" w:rsidRPr="00D51A68">
              <w:rPr>
                <w:rFonts w:ascii="Times New Roman" w:hAnsi="Times New Roman"/>
                <w:sz w:val="24"/>
              </w:rPr>
              <w:t>’</w:t>
            </w:r>
            <w:r w:rsidRPr="00D51A68">
              <w:rPr>
                <w:rFonts w:ascii="Times New Roman" w:hAnsi="Times New Roman"/>
                <w:sz w:val="24"/>
              </w:rPr>
              <w:t xml:space="preserve">esposizione originaria. </w:t>
            </w:r>
          </w:p>
          <w:p w:rsidR="001C7AB7" w:rsidRPr="00D51A68" w:rsidRDefault="001C7AB7" w:rsidP="001C7AB7">
            <w:pPr>
              <w:rPr>
                <w:rFonts w:ascii="Times New Roman" w:hAnsi="Times New Roman"/>
                <w:sz w:val="24"/>
              </w:rPr>
            </w:pPr>
          </w:p>
        </w:tc>
      </w:tr>
      <w:tr w:rsidR="001C7AB7" w:rsidRPr="00D51A68" w:rsidTr="00672D2A">
        <w:tc>
          <w:tcPr>
            <w:tcW w:w="1188" w:type="dxa"/>
          </w:tcPr>
          <w:p w:rsidR="001C7AB7" w:rsidRPr="00D51A68" w:rsidRDefault="001C7AB7" w:rsidP="001C7AB7">
            <w:pPr>
              <w:rPr>
                <w:rFonts w:ascii="Times New Roman" w:hAnsi="Times New Roman"/>
                <w:sz w:val="24"/>
              </w:rPr>
            </w:pPr>
            <w:r w:rsidRPr="00D51A68">
              <w:rPr>
                <w:rFonts w:ascii="Times New Roman" w:hAnsi="Times New Roman"/>
                <w:sz w:val="24"/>
              </w:rPr>
              <w:lastRenderedPageBreak/>
              <w:t>030</w:t>
            </w:r>
          </w:p>
        </w:tc>
        <w:tc>
          <w:tcPr>
            <w:tcW w:w="8843" w:type="dxa"/>
          </w:tcPr>
          <w:p w:rsidR="001C7AB7" w:rsidRPr="00D51A68" w:rsidRDefault="001C7AB7" w:rsidP="001C7AB7">
            <w:pPr>
              <w:rPr>
                <w:rFonts w:ascii="Times New Roman" w:hAnsi="Times New Roman"/>
                <w:b/>
                <w:sz w:val="24"/>
                <w:u w:val="single"/>
              </w:rPr>
            </w:pPr>
            <w:r w:rsidRPr="00D51A68">
              <w:rPr>
                <w:rFonts w:ascii="Times New Roman" w:hAnsi="Times New Roman"/>
                <w:b/>
                <w:sz w:val="24"/>
                <w:u w:val="single"/>
              </w:rPr>
              <w:t>DI CUI: SOGGETTI DI GRANDI DIMENSIONI DEL SETTORE FINANZIARIO E SOGGETTI FINANZIARI NON REGOLAMENTATI</w:t>
            </w:r>
          </w:p>
          <w:p w:rsidR="001C7AB7" w:rsidRPr="00D51A68" w:rsidRDefault="001C7AB7" w:rsidP="001C7AB7">
            <w:pPr>
              <w:rPr>
                <w:rFonts w:ascii="Times New Roman" w:hAnsi="Times New Roman"/>
                <w:b/>
                <w:sz w:val="24"/>
                <w:u w:val="single"/>
              </w:rPr>
            </w:pPr>
            <w:r w:rsidRPr="00D51A68">
              <w:rPr>
                <w:rFonts w:ascii="Times New Roman" w:hAnsi="Times New Roman"/>
                <w:sz w:val="24"/>
              </w:rPr>
              <w:t>Ripartizione dell</w:t>
            </w:r>
            <w:r w:rsidR="0009277C" w:rsidRPr="00D51A68">
              <w:rPr>
                <w:rFonts w:ascii="Times New Roman" w:hAnsi="Times New Roman"/>
                <w:sz w:val="24"/>
              </w:rPr>
              <w:t>’</w:t>
            </w:r>
            <w:r w:rsidRPr="00D51A68">
              <w:rPr>
                <w:rFonts w:ascii="Times New Roman" w:hAnsi="Times New Roman"/>
                <w:sz w:val="24"/>
              </w:rPr>
              <w:t>esposizione originaria prima dell</w:t>
            </w:r>
            <w:r w:rsidR="0009277C" w:rsidRPr="00D51A68">
              <w:rPr>
                <w:rFonts w:ascii="Times New Roman" w:hAnsi="Times New Roman"/>
                <w:sz w:val="24"/>
              </w:rPr>
              <w:t>’</w:t>
            </w:r>
            <w:r w:rsidRPr="00D51A68">
              <w:rPr>
                <w:rFonts w:ascii="Times New Roman" w:hAnsi="Times New Roman"/>
                <w:sz w:val="24"/>
              </w:rPr>
              <w:t>applicazione del fattore di conversione per tutte le esposizioni definite a norma dell</w:t>
            </w:r>
            <w:r w:rsidR="0009277C" w:rsidRPr="00D51A68">
              <w:rPr>
                <w:rFonts w:ascii="Times New Roman" w:hAnsi="Times New Roman"/>
                <w:sz w:val="24"/>
              </w:rPr>
              <w:t>’</w:t>
            </w:r>
            <w:r w:rsidRPr="00D51A68">
              <w:rPr>
                <w:rFonts w:ascii="Times New Roman" w:hAnsi="Times New Roman"/>
                <w:sz w:val="24"/>
              </w:rPr>
              <w:t>articolo 142, paragrafi 4 e 5, del CRR soggette al fattore di correlazione più elevato di cui all</w:t>
            </w:r>
            <w:r w:rsidR="0009277C" w:rsidRPr="00D51A68">
              <w:rPr>
                <w:rFonts w:ascii="Times New Roman" w:hAnsi="Times New Roman"/>
                <w:sz w:val="24"/>
              </w:rPr>
              <w:t>’</w:t>
            </w:r>
            <w:r w:rsidRPr="00D51A68">
              <w:rPr>
                <w:rFonts w:ascii="Times New Roman" w:hAnsi="Times New Roman"/>
                <w:sz w:val="24"/>
              </w:rPr>
              <w:t>articolo 153, paragrafo 2, del CRR.</w:t>
            </w:r>
          </w:p>
        </w:tc>
      </w:tr>
      <w:tr w:rsidR="001C7AB7" w:rsidRPr="00D51A68" w:rsidTr="00672D2A">
        <w:tc>
          <w:tcPr>
            <w:tcW w:w="1188" w:type="dxa"/>
          </w:tcPr>
          <w:p w:rsidR="001C7AB7" w:rsidRPr="00D51A68" w:rsidRDefault="001C7AB7" w:rsidP="004F2B30">
            <w:pPr>
              <w:rPr>
                <w:rFonts w:ascii="Times New Roman" w:hAnsi="Times New Roman"/>
                <w:sz w:val="24"/>
              </w:rPr>
            </w:pPr>
            <w:r w:rsidRPr="00D51A68">
              <w:rPr>
                <w:rFonts w:ascii="Times New Roman" w:hAnsi="Times New Roman"/>
                <w:sz w:val="24"/>
              </w:rPr>
              <w:t>040-080</w:t>
            </w:r>
          </w:p>
        </w:tc>
        <w:tc>
          <w:tcPr>
            <w:tcW w:w="8843" w:type="dxa"/>
          </w:tcPr>
          <w:p w:rsidR="001C7AB7" w:rsidRPr="00D51A68" w:rsidRDefault="001C7AB7" w:rsidP="001C7AB7">
            <w:pPr>
              <w:rPr>
                <w:rFonts w:ascii="Times New Roman" w:hAnsi="Times New Roman"/>
                <w:b/>
                <w:sz w:val="24"/>
                <w:u w:val="single"/>
              </w:rPr>
            </w:pPr>
            <w:r w:rsidRPr="00D51A68">
              <w:rPr>
                <w:rFonts w:ascii="Times New Roman" w:hAnsi="Times New Roman"/>
                <w:b/>
                <w:sz w:val="24"/>
                <w:u w:val="single"/>
              </w:rPr>
              <w:t>TECNICHE DI ATTENUAZIONE DEL RISCHIO DI CREDITO (CRM) CON EFFETTI DI SOSTITUZIONE SULL</w:t>
            </w:r>
            <w:r w:rsidR="0009277C" w:rsidRPr="00D51A68">
              <w:rPr>
                <w:rFonts w:ascii="Times New Roman" w:hAnsi="Times New Roman"/>
                <w:b/>
                <w:sz w:val="24"/>
                <w:u w:val="single"/>
              </w:rPr>
              <w:t>’</w:t>
            </w:r>
            <w:r w:rsidRPr="00D51A68">
              <w:rPr>
                <w:rFonts w:ascii="Times New Roman" w:hAnsi="Times New Roman"/>
                <w:b/>
                <w:sz w:val="24"/>
                <w:u w:val="single"/>
              </w:rPr>
              <w:t>ESPOSIZIONE</w:t>
            </w:r>
          </w:p>
          <w:p w:rsidR="001C7AB7" w:rsidRPr="00D51A68" w:rsidRDefault="001C7AB7" w:rsidP="001C7AB7">
            <w:pPr>
              <w:rPr>
                <w:rFonts w:ascii="Times New Roman" w:hAnsi="Times New Roman"/>
                <w:sz w:val="24"/>
              </w:rPr>
            </w:pPr>
            <w:r w:rsidRPr="00D51A68">
              <w:rPr>
                <w:rFonts w:ascii="Times New Roman" w:hAnsi="Times New Roman"/>
                <w:sz w:val="24"/>
              </w:rPr>
              <w:t>Tecniche di attenuazione del rischio di credito così come definite nell</w:t>
            </w:r>
            <w:r w:rsidR="0009277C" w:rsidRPr="00D51A68">
              <w:rPr>
                <w:rFonts w:ascii="Times New Roman" w:hAnsi="Times New Roman"/>
                <w:sz w:val="24"/>
              </w:rPr>
              <w:t>’</w:t>
            </w:r>
            <w:r w:rsidRPr="00D51A68">
              <w:rPr>
                <w:rFonts w:ascii="Times New Roman" w:hAnsi="Times New Roman"/>
                <w:sz w:val="24"/>
              </w:rPr>
              <w:t>articolo 4, paragrafo 1, punto 57, del CRR che riducono il rischio di credito di un</w:t>
            </w:r>
            <w:r w:rsidR="0009277C" w:rsidRPr="00D51A68">
              <w:rPr>
                <w:rFonts w:ascii="Times New Roman" w:hAnsi="Times New Roman"/>
                <w:sz w:val="24"/>
              </w:rPr>
              <w:t>’</w:t>
            </w:r>
            <w:r w:rsidRPr="00D51A68">
              <w:rPr>
                <w:rFonts w:ascii="Times New Roman" w:hAnsi="Times New Roman"/>
                <w:sz w:val="24"/>
              </w:rPr>
              <w:t xml:space="preserve">esposizione o di esposizioni mediante la sostituzione delle esposizioni definita infra alla voce </w:t>
            </w:r>
            <w:r w:rsidR="0009277C" w:rsidRPr="00D51A68">
              <w:rPr>
                <w:rFonts w:ascii="Times New Roman" w:hAnsi="Times New Roman"/>
                <w:sz w:val="24"/>
              </w:rPr>
              <w:t>“</w:t>
            </w:r>
            <w:r w:rsidRPr="00D51A68">
              <w:rPr>
                <w:rFonts w:ascii="Times New Roman" w:hAnsi="Times New Roman"/>
                <w:sz w:val="24"/>
              </w:rPr>
              <w:t>SOSTITUZIONE DELL</w:t>
            </w:r>
            <w:r w:rsidR="0009277C" w:rsidRPr="00D51A68">
              <w:rPr>
                <w:rFonts w:ascii="Times New Roman" w:hAnsi="Times New Roman"/>
                <w:sz w:val="24"/>
              </w:rPr>
              <w:t>’</w:t>
            </w:r>
            <w:r w:rsidRPr="00D51A68">
              <w:rPr>
                <w:rFonts w:ascii="Times New Roman" w:hAnsi="Times New Roman"/>
                <w:sz w:val="24"/>
              </w:rPr>
              <w:t>ESPOSIZIONE DOVUTA ALL</w:t>
            </w:r>
            <w:r w:rsidR="0009277C" w:rsidRPr="00D51A68">
              <w:rPr>
                <w:rFonts w:ascii="Times New Roman" w:hAnsi="Times New Roman"/>
                <w:sz w:val="24"/>
              </w:rPr>
              <w:t>’</w:t>
            </w:r>
            <w:r w:rsidRPr="00D51A68">
              <w:rPr>
                <w:rFonts w:ascii="Times New Roman" w:hAnsi="Times New Roman"/>
                <w:sz w:val="24"/>
              </w:rPr>
              <w:t>ATTENUAZIONE DEL RISCHIO DI CREDITO</w:t>
            </w:r>
            <w:r w:rsidR="0009277C" w:rsidRPr="00D51A68">
              <w:rPr>
                <w:rFonts w:ascii="Times New Roman" w:hAnsi="Times New Roman"/>
                <w:sz w:val="24"/>
              </w:rPr>
              <w:t>”</w:t>
            </w:r>
            <w:r w:rsidRPr="00D51A68">
              <w:rPr>
                <w:rFonts w:ascii="Times New Roman" w:hAnsi="Times New Roman"/>
                <w:sz w:val="24"/>
              </w:rPr>
              <w:t>.</w:t>
            </w:r>
          </w:p>
          <w:p w:rsidR="001C7AB7" w:rsidRPr="00D51A68" w:rsidRDefault="001C7AB7" w:rsidP="001C7AB7">
            <w:pPr>
              <w:autoSpaceDE w:val="0"/>
              <w:autoSpaceDN w:val="0"/>
              <w:adjustRightInd w:val="0"/>
              <w:spacing w:before="0" w:after="0"/>
              <w:jc w:val="left"/>
              <w:rPr>
                <w:rFonts w:ascii="Times New Roman" w:hAnsi="Times New Roman"/>
                <w:sz w:val="24"/>
              </w:rPr>
            </w:pPr>
          </w:p>
        </w:tc>
      </w:tr>
      <w:tr w:rsidR="001C7AB7" w:rsidRPr="00D51A68" w:rsidTr="00672D2A">
        <w:tc>
          <w:tcPr>
            <w:tcW w:w="1188" w:type="dxa"/>
          </w:tcPr>
          <w:p w:rsidR="001C7AB7" w:rsidRPr="00D51A68" w:rsidRDefault="001C7AB7" w:rsidP="004F2B30">
            <w:pPr>
              <w:rPr>
                <w:rFonts w:ascii="Times New Roman" w:hAnsi="Times New Roman"/>
                <w:sz w:val="24"/>
              </w:rPr>
            </w:pPr>
            <w:r w:rsidRPr="00D51A68">
              <w:rPr>
                <w:rFonts w:ascii="Times New Roman" w:hAnsi="Times New Roman"/>
                <w:sz w:val="24"/>
              </w:rPr>
              <w:t>040-050</w:t>
            </w:r>
          </w:p>
        </w:tc>
        <w:tc>
          <w:tcPr>
            <w:tcW w:w="8843" w:type="dxa"/>
          </w:tcPr>
          <w:p w:rsidR="001C7AB7" w:rsidRPr="00D51A68" w:rsidRDefault="001C7AB7" w:rsidP="001C7AB7">
            <w:pPr>
              <w:rPr>
                <w:rFonts w:ascii="Times New Roman" w:hAnsi="Times New Roman"/>
                <w:b/>
                <w:sz w:val="24"/>
                <w:u w:val="single"/>
              </w:rPr>
            </w:pPr>
            <w:r w:rsidRPr="00D51A68">
              <w:rPr>
                <w:rFonts w:ascii="Times New Roman" w:hAnsi="Times New Roman"/>
                <w:b/>
                <w:sz w:val="24"/>
                <w:u w:val="single"/>
              </w:rPr>
              <w:t>PROTEZIONE DEL CREDITO DI TIPO PERSONALE</w:t>
            </w:r>
          </w:p>
          <w:p w:rsidR="001C7AB7" w:rsidRPr="00D51A68" w:rsidRDefault="001C7AB7" w:rsidP="001C7AB7">
            <w:pPr>
              <w:rPr>
                <w:rStyle w:val="InstructionsTabelleText"/>
                <w:rFonts w:ascii="Times New Roman" w:hAnsi="Times New Roman"/>
                <w:sz w:val="24"/>
              </w:rPr>
            </w:pPr>
            <w:r w:rsidRPr="00D51A68">
              <w:rPr>
                <w:rStyle w:val="InstructionsTabelleText"/>
                <w:rFonts w:ascii="Times New Roman" w:hAnsi="Times New Roman"/>
                <w:sz w:val="24"/>
              </w:rPr>
              <w:t>Protezione del credito di tipo personale: i valori ottenuti applicando la definizione di cui all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articolo 4, paragrafo 1, punto 59, del CRR.</w:t>
            </w:r>
          </w:p>
          <w:p w:rsidR="001C7AB7" w:rsidRPr="00D51A68" w:rsidRDefault="001C7AB7" w:rsidP="001C7AB7">
            <w:pPr>
              <w:rPr>
                <w:rFonts w:ascii="Times New Roman" w:hAnsi="Times New Roman"/>
                <w:sz w:val="24"/>
              </w:rPr>
            </w:pPr>
            <w:r w:rsidRPr="00D51A68">
              <w:rPr>
                <w:rFonts w:ascii="Times New Roman" w:hAnsi="Times New Roman"/>
                <w:sz w:val="24"/>
              </w:rPr>
              <w:t>Se una garanzia reale ha effetti sull</w:t>
            </w:r>
            <w:r w:rsidR="0009277C" w:rsidRPr="00D51A68">
              <w:rPr>
                <w:rFonts w:ascii="Times New Roman" w:hAnsi="Times New Roman"/>
                <w:sz w:val="24"/>
              </w:rPr>
              <w:t>’</w:t>
            </w:r>
            <w:r w:rsidRPr="00D51A68">
              <w:rPr>
                <w:rFonts w:ascii="Times New Roman" w:hAnsi="Times New Roman"/>
                <w:sz w:val="24"/>
              </w:rPr>
              <w:t>esposizione (ad esempio se è usata come tecnica di attenuazione del rischio di credito con effetti di sostituzione sull</w:t>
            </w:r>
            <w:r w:rsidR="0009277C" w:rsidRPr="00D51A68">
              <w:rPr>
                <w:rFonts w:ascii="Times New Roman" w:hAnsi="Times New Roman"/>
                <w:sz w:val="24"/>
              </w:rPr>
              <w:t>’</w:t>
            </w:r>
            <w:r w:rsidRPr="00D51A68">
              <w:rPr>
                <w:rFonts w:ascii="Times New Roman" w:hAnsi="Times New Roman"/>
                <w:sz w:val="24"/>
              </w:rPr>
              <w:t>esposizione), il suo importo è limitato al valore dell</w:t>
            </w:r>
            <w:r w:rsidR="0009277C" w:rsidRPr="00D51A68">
              <w:rPr>
                <w:rFonts w:ascii="Times New Roman" w:hAnsi="Times New Roman"/>
                <w:sz w:val="24"/>
              </w:rPr>
              <w:t>’</w:t>
            </w:r>
            <w:r w:rsidRPr="00D51A68">
              <w:rPr>
                <w:rFonts w:ascii="Times New Roman" w:hAnsi="Times New Roman"/>
                <w:sz w:val="24"/>
              </w:rPr>
              <w:t>esposizione.</w:t>
            </w:r>
          </w:p>
        </w:tc>
      </w:tr>
      <w:tr w:rsidR="001C7AB7" w:rsidRPr="00D51A68" w:rsidTr="00672D2A">
        <w:tc>
          <w:tcPr>
            <w:tcW w:w="1188" w:type="dxa"/>
          </w:tcPr>
          <w:p w:rsidR="001C7AB7" w:rsidRPr="00D51A68" w:rsidRDefault="001C7AB7" w:rsidP="001C7AB7">
            <w:pPr>
              <w:rPr>
                <w:rFonts w:ascii="Times New Roman" w:hAnsi="Times New Roman"/>
                <w:sz w:val="24"/>
              </w:rPr>
            </w:pPr>
            <w:r w:rsidRPr="00D51A68">
              <w:rPr>
                <w:rFonts w:ascii="Times New Roman" w:hAnsi="Times New Roman"/>
                <w:sz w:val="24"/>
              </w:rPr>
              <w:t>040</w:t>
            </w:r>
          </w:p>
        </w:tc>
        <w:tc>
          <w:tcPr>
            <w:tcW w:w="8843" w:type="dxa"/>
          </w:tcPr>
          <w:p w:rsidR="001C7AB7" w:rsidRPr="00D51A68" w:rsidRDefault="001C7AB7" w:rsidP="001C7AB7">
            <w:pPr>
              <w:jc w:val="left"/>
              <w:rPr>
                <w:rStyle w:val="InstructionsTabelleberschrift"/>
                <w:rFonts w:ascii="Times New Roman" w:hAnsi="Times New Roman"/>
                <w:sz w:val="24"/>
              </w:rPr>
            </w:pPr>
            <w:r w:rsidRPr="00D51A68">
              <w:rPr>
                <w:rStyle w:val="InstructionsTabelleberschrift"/>
                <w:rFonts w:ascii="Times New Roman" w:hAnsi="Times New Roman"/>
                <w:sz w:val="24"/>
              </w:rPr>
              <w:t>GARANZIE:</w:t>
            </w:r>
          </w:p>
          <w:p w:rsidR="001C7AB7" w:rsidRPr="00D51A68" w:rsidRDefault="001C7AB7" w:rsidP="001C7AB7">
            <w:pPr>
              <w:jc w:val="left"/>
              <w:rPr>
                <w:rFonts w:ascii="Times New Roman" w:hAnsi="Times New Roman"/>
                <w:sz w:val="24"/>
              </w:rPr>
            </w:pPr>
            <w:r w:rsidRPr="00D51A68">
              <w:rPr>
                <w:rFonts w:ascii="Times New Roman" w:hAnsi="Times New Roman"/>
                <w:sz w:val="24"/>
              </w:rPr>
              <w:t>Se non sono utilizzate stime interne della LGD, è indicato il valore corretto (GA) così come definito nell</w:t>
            </w:r>
            <w:r w:rsidR="0009277C" w:rsidRPr="00D51A68">
              <w:rPr>
                <w:rFonts w:ascii="Times New Roman" w:hAnsi="Times New Roman"/>
                <w:sz w:val="24"/>
              </w:rPr>
              <w:t>’</w:t>
            </w:r>
            <w:r w:rsidRPr="00D51A68">
              <w:rPr>
                <w:rFonts w:ascii="Times New Roman" w:hAnsi="Times New Roman"/>
                <w:sz w:val="24"/>
              </w:rPr>
              <w:t>articolo 236 del CRR.</w:t>
            </w:r>
          </w:p>
          <w:p w:rsidR="001C7AB7" w:rsidRPr="00D51A68" w:rsidRDefault="001C7AB7" w:rsidP="001C7AB7">
            <w:pPr>
              <w:jc w:val="left"/>
              <w:rPr>
                <w:rFonts w:ascii="Times New Roman" w:hAnsi="Times New Roman"/>
                <w:sz w:val="24"/>
              </w:rPr>
            </w:pPr>
            <w:r w:rsidRPr="00D51A68">
              <w:rPr>
                <w:rFonts w:ascii="Times New Roman" w:hAnsi="Times New Roman"/>
                <w:sz w:val="24"/>
              </w:rPr>
              <w:t xml:space="preserve">Se sono utilizzate stime interne della LGD (articolo 183 del CRR, tranne paragrafo 3), è indicato il valore pertinente utilizzato nel modello interno. </w:t>
            </w:r>
          </w:p>
          <w:p w:rsidR="001C7AB7" w:rsidRPr="00D51A68" w:rsidRDefault="001C7AB7" w:rsidP="001C7AB7">
            <w:pPr>
              <w:jc w:val="left"/>
              <w:rPr>
                <w:rFonts w:ascii="Times New Roman" w:hAnsi="Times New Roman"/>
                <w:sz w:val="24"/>
              </w:rPr>
            </w:pPr>
            <w:r w:rsidRPr="00D51A68">
              <w:rPr>
                <w:rFonts w:ascii="Times New Roman" w:hAnsi="Times New Roman"/>
                <w:sz w:val="24"/>
              </w:rPr>
              <w:t>Le garanzie sono segnalate nella colonna 040 se non è effettuata una rettifica nella LGD. Se è effettuata una rettifica nella LGD, l</w:t>
            </w:r>
            <w:r w:rsidR="0009277C" w:rsidRPr="00D51A68">
              <w:rPr>
                <w:rFonts w:ascii="Times New Roman" w:hAnsi="Times New Roman"/>
                <w:sz w:val="24"/>
              </w:rPr>
              <w:t>’</w:t>
            </w:r>
            <w:r w:rsidRPr="00D51A68">
              <w:rPr>
                <w:rFonts w:ascii="Times New Roman" w:hAnsi="Times New Roman"/>
                <w:sz w:val="24"/>
              </w:rPr>
              <w:t>importo delle gar</w:t>
            </w:r>
            <w:r w:rsidR="0073183F" w:rsidRPr="00D51A68">
              <w:rPr>
                <w:rFonts w:ascii="Times New Roman" w:hAnsi="Times New Roman"/>
                <w:sz w:val="24"/>
              </w:rPr>
              <w:t>anzie è segnalato nella colonna </w:t>
            </w:r>
            <w:r w:rsidRPr="00D51A68">
              <w:rPr>
                <w:rFonts w:ascii="Times New Roman" w:hAnsi="Times New Roman"/>
                <w:sz w:val="24"/>
              </w:rPr>
              <w:t>150.</w:t>
            </w:r>
          </w:p>
          <w:p w:rsidR="001C7AB7" w:rsidRPr="00D51A68" w:rsidRDefault="00785F3E" w:rsidP="0073183F">
            <w:pPr>
              <w:jc w:val="left"/>
              <w:rPr>
                <w:rFonts w:ascii="Times New Roman" w:hAnsi="Times New Roman"/>
                <w:sz w:val="24"/>
              </w:rPr>
            </w:pPr>
            <w:r w:rsidRPr="00D51A68">
              <w:rPr>
                <w:rFonts w:ascii="Times New Roman" w:hAnsi="Times New Roman"/>
                <w:sz w:val="24"/>
              </w:rPr>
              <w:t xml:space="preserve">Per le esposizioni soggette al trattamento del </w:t>
            </w:r>
            <w:r w:rsidR="0009277C" w:rsidRPr="00D51A68">
              <w:rPr>
                <w:rFonts w:ascii="Times New Roman" w:hAnsi="Times New Roman"/>
                <w:sz w:val="24"/>
              </w:rPr>
              <w:t>“</w:t>
            </w:r>
            <w:r w:rsidRPr="00D51A68">
              <w:rPr>
                <w:rFonts w:ascii="Times New Roman" w:hAnsi="Times New Roman"/>
                <w:sz w:val="24"/>
              </w:rPr>
              <w:t>double default</w:t>
            </w:r>
            <w:r w:rsidR="0009277C" w:rsidRPr="00D51A68">
              <w:rPr>
                <w:rFonts w:ascii="Times New Roman" w:hAnsi="Times New Roman"/>
                <w:sz w:val="24"/>
              </w:rPr>
              <w:t>”</w:t>
            </w:r>
            <w:r w:rsidRPr="00D51A68">
              <w:rPr>
                <w:rFonts w:ascii="Times New Roman" w:hAnsi="Times New Roman"/>
                <w:sz w:val="24"/>
              </w:rPr>
              <w:t>, il valore della protezione del credito di tipo personale è segnalato nella colonna 220.</w:t>
            </w:r>
          </w:p>
        </w:tc>
      </w:tr>
      <w:tr w:rsidR="001C7AB7" w:rsidRPr="00D51A68" w:rsidTr="00672D2A">
        <w:tc>
          <w:tcPr>
            <w:tcW w:w="1188" w:type="dxa"/>
          </w:tcPr>
          <w:p w:rsidR="001C7AB7" w:rsidRPr="00D51A68" w:rsidRDefault="001C7AB7" w:rsidP="001C7AB7">
            <w:pPr>
              <w:rPr>
                <w:rFonts w:ascii="Times New Roman" w:hAnsi="Times New Roman"/>
                <w:sz w:val="24"/>
              </w:rPr>
            </w:pPr>
            <w:r w:rsidRPr="00D51A68">
              <w:rPr>
                <w:rFonts w:ascii="Times New Roman" w:hAnsi="Times New Roman"/>
                <w:sz w:val="24"/>
              </w:rPr>
              <w:t>050</w:t>
            </w:r>
          </w:p>
        </w:tc>
        <w:tc>
          <w:tcPr>
            <w:tcW w:w="8843" w:type="dxa"/>
          </w:tcPr>
          <w:p w:rsidR="001C7AB7" w:rsidRPr="00D51A68" w:rsidRDefault="001C7AB7" w:rsidP="001C7AB7">
            <w:pPr>
              <w:rPr>
                <w:rFonts w:ascii="Times New Roman" w:hAnsi="Times New Roman"/>
                <w:b/>
                <w:sz w:val="24"/>
                <w:u w:val="single"/>
              </w:rPr>
            </w:pPr>
            <w:r w:rsidRPr="00D51A68">
              <w:rPr>
                <w:rFonts w:ascii="Times New Roman" w:hAnsi="Times New Roman"/>
                <w:b/>
                <w:sz w:val="24"/>
                <w:u w:val="single"/>
              </w:rPr>
              <w:t>DERIVATI SU CREDITI</w:t>
            </w:r>
          </w:p>
          <w:p w:rsidR="001C7AB7" w:rsidRPr="00D51A68" w:rsidRDefault="001C7AB7" w:rsidP="001C7AB7">
            <w:pPr>
              <w:rPr>
                <w:rFonts w:ascii="Times New Roman" w:hAnsi="Times New Roman"/>
                <w:sz w:val="24"/>
              </w:rPr>
            </w:pPr>
            <w:r w:rsidRPr="00D51A68">
              <w:rPr>
                <w:rFonts w:ascii="Times New Roman" w:hAnsi="Times New Roman"/>
                <w:sz w:val="24"/>
              </w:rPr>
              <w:t>Se non sono utilizzate stime interne della LGD, è indicato il valore corretto (GA) così come definito nell</w:t>
            </w:r>
            <w:r w:rsidR="0009277C" w:rsidRPr="00D51A68">
              <w:rPr>
                <w:rFonts w:ascii="Times New Roman" w:hAnsi="Times New Roman"/>
                <w:sz w:val="24"/>
              </w:rPr>
              <w:t>’</w:t>
            </w:r>
            <w:r w:rsidRPr="00D51A68">
              <w:rPr>
                <w:rFonts w:ascii="Times New Roman" w:hAnsi="Times New Roman"/>
                <w:sz w:val="24"/>
              </w:rPr>
              <w:t>articolo 216 del CRR.</w:t>
            </w:r>
          </w:p>
          <w:p w:rsidR="00785F3E" w:rsidRPr="00D51A68" w:rsidRDefault="00785F3E" w:rsidP="001C7AB7">
            <w:pPr>
              <w:rPr>
                <w:rFonts w:ascii="Times New Roman" w:hAnsi="Times New Roman"/>
                <w:sz w:val="24"/>
              </w:rPr>
            </w:pPr>
            <w:r w:rsidRPr="00D51A68">
              <w:rPr>
                <w:rFonts w:ascii="Times New Roman" w:hAnsi="Times New Roman"/>
                <w:sz w:val="24"/>
              </w:rPr>
              <w:t>Se sono utilizzate stime interne della LGD (articolo 183 del CRR), è indicato il valore pertinente utilizzato nella modellizzazione interna.</w:t>
            </w:r>
          </w:p>
          <w:p w:rsidR="001C7AB7" w:rsidRPr="00D51A68" w:rsidRDefault="001C7AB7" w:rsidP="001C7AB7">
            <w:pPr>
              <w:rPr>
                <w:rFonts w:ascii="Times New Roman" w:hAnsi="Times New Roman"/>
                <w:sz w:val="24"/>
              </w:rPr>
            </w:pPr>
            <w:r w:rsidRPr="00D51A68">
              <w:rPr>
                <w:rFonts w:ascii="Times New Roman" w:hAnsi="Times New Roman"/>
                <w:sz w:val="24"/>
              </w:rPr>
              <w:t>Se è effettuata una rettifica nella LGD, l</w:t>
            </w:r>
            <w:r w:rsidR="0009277C" w:rsidRPr="00D51A68">
              <w:rPr>
                <w:rFonts w:ascii="Times New Roman" w:hAnsi="Times New Roman"/>
                <w:sz w:val="24"/>
              </w:rPr>
              <w:t>’</w:t>
            </w:r>
            <w:r w:rsidRPr="00D51A68">
              <w:rPr>
                <w:rFonts w:ascii="Times New Roman" w:hAnsi="Times New Roman"/>
                <w:sz w:val="24"/>
              </w:rPr>
              <w:t>importo dei derivati su crediti è segnalato nella colonna 160.</w:t>
            </w:r>
          </w:p>
          <w:p w:rsidR="001C7AB7" w:rsidRPr="00D51A68" w:rsidRDefault="001C7AB7" w:rsidP="00785F3E">
            <w:pPr>
              <w:jc w:val="left"/>
              <w:rPr>
                <w:rFonts w:ascii="Times New Roman" w:hAnsi="Times New Roman"/>
                <w:sz w:val="24"/>
              </w:rPr>
            </w:pPr>
            <w:r w:rsidRPr="00D51A68">
              <w:rPr>
                <w:rFonts w:ascii="Times New Roman" w:hAnsi="Times New Roman"/>
                <w:sz w:val="24"/>
              </w:rPr>
              <w:lastRenderedPageBreak/>
              <w:t xml:space="preserve">Per le esposizioni soggette al trattamento del </w:t>
            </w:r>
            <w:r w:rsidR="0009277C" w:rsidRPr="00D51A68">
              <w:rPr>
                <w:rFonts w:ascii="Times New Roman" w:hAnsi="Times New Roman"/>
                <w:sz w:val="24"/>
              </w:rPr>
              <w:t>“</w:t>
            </w:r>
            <w:r w:rsidRPr="00D51A68">
              <w:rPr>
                <w:rFonts w:ascii="Times New Roman" w:hAnsi="Times New Roman"/>
                <w:sz w:val="24"/>
              </w:rPr>
              <w:t>double default</w:t>
            </w:r>
            <w:r w:rsidR="0009277C" w:rsidRPr="00D51A68">
              <w:rPr>
                <w:rFonts w:ascii="Times New Roman" w:hAnsi="Times New Roman"/>
                <w:sz w:val="24"/>
              </w:rPr>
              <w:t>”</w:t>
            </w:r>
            <w:r w:rsidRPr="00D51A68">
              <w:rPr>
                <w:rFonts w:ascii="Times New Roman" w:hAnsi="Times New Roman"/>
                <w:sz w:val="24"/>
              </w:rPr>
              <w:t>, il valore della protezione del credito di tipo personale è segnalato nella colonna 220.</w:t>
            </w:r>
          </w:p>
        </w:tc>
      </w:tr>
      <w:tr w:rsidR="001C7AB7" w:rsidRPr="00D51A68" w:rsidTr="00672D2A">
        <w:tc>
          <w:tcPr>
            <w:tcW w:w="1188" w:type="dxa"/>
          </w:tcPr>
          <w:p w:rsidR="001C7AB7" w:rsidRPr="00D51A68" w:rsidRDefault="001C7AB7" w:rsidP="001C7AB7">
            <w:pPr>
              <w:rPr>
                <w:rFonts w:ascii="Times New Roman" w:hAnsi="Times New Roman"/>
                <w:sz w:val="24"/>
              </w:rPr>
            </w:pPr>
            <w:r w:rsidRPr="00D51A68">
              <w:rPr>
                <w:rFonts w:ascii="Times New Roman" w:hAnsi="Times New Roman"/>
                <w:sz w:val="24"/>
              </w:rPr>
              <w:lastRenderedPageBreak/>
              <w:t>060</w:t>
            </w:r>
          </w:p>
        </w:tc>
        <w:tc>
          <w:tcPr>
            <w:tcW w:w="8843" w:type="dxa"/>
          </w:tcPr>
          <w:p w:rsidR="001C7AB7" w:rsidRPr="00D51A68" w:rsidRDefault="001C7AB7" w:rsidP="001C7AB7">
            <w:pPr>
              <w:rPr>
                <w:rFonts w:ascii="Times New Roman" w:hAnsi="Times New Roman"/>
                <w:b/>
                <w:sz w:val="24"/>
                <w:u w:val="single"/>
              </w:rPr>
            </w:pPr>
            <w:r w:rsidRPr="00D51A68">
              <w:rPr>
                <w:rFonts w:ascii="Times New Roman" w:hAnsi="Times New Roman"/>
                <w:b/>
                <w:sz w:val="24"/>
                <w:u w:val="single"/>
              </w:rPr>
              <w:t>ALTRA PROTEZIONE DEL CREDITO DI TIPO REALE</w:t>
            </w:r>
          </w:p>
          <w:p w:rsidR="00785F3E" w:rsidRPr="00D51A68" w:rsidRDefault="00785F3E" w:rsidP="001C7AB7">
            <w:pPr>
              <w:rPr>
                <w:rStyle w:val="InstructionsTabelleText"/>
                <w:rFonts w:ascii="Times New Roman" w:hAnsi="Times New Roman"/>
                <w:sz w:val="24"/>
              </w:rPr>
            </w:pPr>
            <w:r w:rsidRPr="00D51A68">
              <w:rPr>
                <w:rStyle w:val="InstructionsTabelleText"/>
                <w:rFonts w:ascii="Times New Roman" w:hAnsi="Times New Roman"/>
                <w:sz w:val="24"/>
              </w:rPr>
              <w:t>Se una garanzia reale ha effetti sull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esposizione (ad esempio se è usata come tecnica di attenuazione del rischio di credito con effetti di sostituzione dell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esposizione), il suo importo è limitato al valore dell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esposizione.</w:t>
            </w:r>
          </w:p>
          <w:p w:rsidR="001C7AB7" w:rsidRPr="00D51A68" w:rsidRDefault="001C7AB7" w:rsidP="001C7AB7">
            <w:pPr>
              <w:rPr>
                <w:rStyle w:val="InstructionsTabelleText"/>
                <w:rFonts w:ascii="Times New Roman" w:hAnsi="Times New Roman"/>
                <w:sz w:val="24"/>
              </w:rPr>
            </w:pPr>
            <w:r w:rsidRPr="00D51A68">
              <w:rPr>
                <w:rStyle w:val="InstructionsTabelleText"/>
                <w:rFonts w:ascii="Times New Roman" w:hAnsi="Times New Roman"/>
                <w:sz w:val="24"/>
              </w:rPr>
              <w:t>Se non sono utilizzate stime interne della LGD, si applica 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articolo 232 del CRR.</w:t>
            </w:r>
          </w:p>
          <w:p w:rsidR="001C7AB7" w:rsidRPr="00D51A68" w:rsidRDefault="001C7AB7" w:rsidP="001C7AB7">
            <w:pPr>
              <w:rPr>
                <w:rStyle w:val="InstructionsTabelleText"/>
                <w:rFonts w:ascii="Times New Roman" w:hAnsi="Times New Roman"/>
                <w:sz w:val="24"/>
              </w:rPr>
            </w:pPr>
            <w:r w:rsidRPr="00D51A68">
              <w:rPr>
                <w:rStyle w:val="InstructionsTabelleText"/>
                <w:rFonts w:ascii="Times New Roman" w:hAnsi="Times New Roman"/>
                <w:sz w:val="24"/>
              </w:rPr>
              <w:t>Se sono utilizzate stime interne della LGD, sono indicate le attenuazioni del rischio di credito che soddisfano i criteri di cui all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articolo 212 del CRR. È indicato il valore pertinente utilizzato nella modellizzazione interna dell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ente.</w:t>
            </w:r>
          </w:p>
          <w:p w:rsidR="001C7AB7" w:rsidRPr="00D51A68" w:rsidRDefault="001C7AB7" w:rsidP="001C7AB7">
            <w:pPr>
              <w:rPr>
                <w:rFonts w:ascii="Times New Roman" w:hAnsi="Times New Roman"/>
                <w:sz w:val="24"/>
              </w:rPr>
            </w:pPr>
            <w:r w:rsidRPr="00D51A68">
              <w:rPr>
                <w:rStyle w:val="InstructionsTabelleText"/>
                <w:rFonts w:ascii="Times New Roman" w:hAnsi="Times New Roman"/>
                <w:sz w:val="24"/>
              </w:rPr>
              <w:t>Da segnalare nella colonna 060 se non è effettuata una rettifica nella LGD. Se è effettuata una rettifica nella LGD, 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importo è indicato nella colonna 170.</w:t>
            </w:r>
          </w:p>
        </w:tc>
      </w:tr>
      <w:tr w:rsidR="001C7AB7" w:rsidRPr="00D51A68" w:rsidTr="00672D2A">
        <w:tc>
          <w:tcPr>
            <w:tcW w:w="1188" w:type="dxa"/>
          </w:tcPr>
          <w:p w:rsidR="001C7AB7" w:rsidRPr="00D51A68" w:rsidRDefault="001C7AB7" w:rsidP="001C7AB7">
            <w:pPr>
              <w:rPr>
                <w:rFonts w:ascii="Times New Roman" w:hAnsi="Times New Roman"/>
                <w:sz w:val="24"/>
              </w:rPr>
            </w:pPr>
            <w:r w:rsidRPr="00D51A68">
              <w:rPr>
                <w:rFonts w:ascii="Times New Roman" w:hAnsi="Times New Roman"/>
                <w:sz w:val="24"/>
              </w:rPr>
              <w:t>070-080</w:t>
            </w:r>
          </w:p>
        </w:tc>
        <w:tc>
          <w:tcPr>
            <w:tcW w:w="8843" w:type="dxa"/>
          </w:tcPr>
          <w:p w:rsidR="001C7AB7" w:rsidRPr="00D51A68" w:rsidRDefault="001C7AB7" w:rsidP="001C7AB7">
            <w:pPr>
              <w:rPr>
                <w:rFonts w:ascii="Times New Roman" w:hAnsi="Times New Roman"/>
                <w:b/>
                <w:sz w:val="24"/>
                <w:u w:val="single"/>
              </w:rPr>
            </w:pPr>
            <w:r w:rsidRPr="00D51A68">
              <w:rPr>
                <w:rFonts w:ascii="Times New Roman" w:hAnsi="Times New Roman"/>
                <w:b/>
                <w:sz w:val="24"/>
                <w:u w:val="single"/>
              </w:rPr>
              <w:t>SOSTITUZIONE DELL</w:t>
            </w:r>
            <w:r w:rsidR="0009277C" w:rsidRPr="00D51A68">
              <w:rPr>
                <w:rFonts w:ascii="Times New Roman" w:hAnsi="Times New Roman"/>
                <w:b/>
                <w:sz w:val="24"/>
                <w:u w:val="single"/>
              </w:rPr>
              <w:t>’</w:t>
            </w:r>
            <w:r w:rsidRPr="00D51A68">
              <w:rPr>
                <w:rFonts w:ascii="Times New Roman" w:hAnsi="Times New Roman"/>
                <w:b/>
                <w:sz w:val="24"/>
                <w:u w:val="single"/>
              </w:rPr>
              <w:t>ESPOSIZIONE DOVUTA ALL</w:t>
            </w:r>
            <w:r w:rsidR="0009277C" w:rsidRPr="00D51A68">
              <w:rPr>
                <w:rFonts w:ascii="Times New Roman" w:hAnsi="Times New Roman"/>
                <w:b/>
                <w:sz w:val="24"/>
                <w:u w:val="single"/>
              </w:rPr>
              <w:t>’</w:t>
            </w:r>
            <w:r w:rsidRPr="00D51A68">
              <w:rPr>
                <w:rFonts w:ascii="Times New Roman" w:hAnsi="Times New Roman"/>
                <w:b/>
                <w:sz w:val="24"/>
                <w:u w:val="single"/>
              </w:rPr>
              <w:t>ATTENUAZIONE DEL RISCHIO DI CREDITO</w:t>
            </w:r>
          </w:p>
          <w:p w:rsidR="001C7AB7" w:rsidRPr="00D51A68" w:rsidRDefault="001C7AB7" w:rsidP="001C7AB7">
            <w:pPr>
              <w:rPr>
                <w:rFonts w:ascii="Times New Roman" w:hAnsi="Times New Roman"/>
                <w:sz w:val="24"/>
              </w:rPr>
            </w:pPr>
            <w:r w:rsidRPr="00D51A68">
              <w:rPr>
                <w:rFonts w:ascii="Times New Roman" w:hAnsi="Times New Roman"/>
                <w:sz w:val="24"/>
              </w:rPr>
              <w:t>I deflussi corrispondono alla parte garantita dell</w:t>
            </w:r>
            <w:r w:rsidR="0009277C" w:rsidRPr="00D51A68">
              <w:rPr>
                <w:rFonts w:ascii="Times New Roman" w:hAnsi="Times New Roman"/>
                <w:sz w:val="24"/>
              </w:rPr>
              <w:t>’</w:t>
            </w:r>
            <w:r w:rsidRPr="00D51A68">
              <w:rPr>
                <w:rFonts w:ascii="Times New Roman" w:hAnsi="Times New Roman"/>
                <w:sz w:val="24"/>
              </w:rPr>
              <w:t>esposizione originaria prima dell</w:t>
            </w:r>
            <w:r w:rsidR="0009277C" w:rsidRPr="00D51A68">
              <w:rPr>
                <w:rFonts w:ascii="Times New Roman" w:hAnsi="Times New Roman"/>
                <w:sz w:val="24"/>
              </w:rPr>
              <w:t>’</w:t>
            </w:r>
            <w:r w:rsidRPr="00D51A68">
              <w:rPr>
                <w:rFonts w:ascii="Times New Roman" w:hAnsi="Times New Roman"/>
                <w:sz w:val="24"/>
              </w:rPr>
              <w:t>applicazione dei fattori di conversione che è dedotta dalla classe di esposizioni del debitore e, ove rilevante, dalla classe o dal pool di debitori e successivamente assegnata alla classe di esposizioni del fornitore della protezione e, ove rilevante, alla classe o al pool di debitori. Questo importo è considerato un afflusso nella classe di esposizioni del fornitore della protezione e, ove rilevante, nelle classi o nei pool di debitori.</w:t>
            </w:r>
          </w:p>
          <w:p w:rsidR="001C7AB7" w:rsidRPr="00D51A68" w:rsidRDefault="001C7AB7" w:rsidP="001C7AB7">
            <w:pPr>
              <w:rPr>
                <w:rFonts w:ascii="Times New Roman" w:hAnsi="Times New Roman"/>
                <w:b/>
                <w:sz w:val="24"/>
              </w:rPr>
            </w:pPr>
            <w:r w:rsidRPr="00D51A68">
              <w:rPr>
                <w:rFonts w:ascii="Times New Roman" w:hAnsi="Times New Roman"/>
                <w:sz w:val="24"/>
              </w:rPr>
              <w:t>Si considerano anche gli afflussi e i deflussi all</w:t>
            </w:r>
            <w:r w:rsidR="0009277C" w:rsidRPr="00D51A68">
              <w:rPr>
                <w:rFonts w:ascii="Times New Roman" w:hAnsi="Times New Roman"/>
                <w:sz w:val="24"/>
              </w:rPr>
              <w:t>’</w:t>
            </w:r>
            <w:r w:rsidRPr="00D51A68">
              <w:rPr>
                <w:rFonts w:ascii="Times New Roman" w:hAnsi="Times New Roman"/>
                <w:sz w:val="24"/>
              </w:rPr>
              <w:t>interno delle medesime classi di esposizioni e, ove rilevante, delle medesime classi o pool di debitori.</w:t>
            </w:r>
          </w:p>
          <w:p w:rsidR="001C7AB7" w:rsidRPr="00D51A68" w:rsidRDefault="001C7AB7" w:rsidP="001C7AB7">
            <w:pPr>
              <w:rPr>
                <w:rFonts w:ascii="Times New Roman" w:hAnsi="Times New Roman"/>
                <w:sz w:val="24"/>
              </w:rPr>
            </w:pPr>
            <w:r w:rsidRPr="00D51A68">
              <w:rPr>
                <w:rFonts w:ascii="Times New Roman" w:hAnsi="Times New Roman"/>
                <w:sz w:val="24"/>
              </w:rPr>
              <w:t>Si tiene conto delle esposizioni derivanti da eventuali afflussi e deflussi da e verso altri modelli.</w:t>
            </w:r>
          </w:p>
        </w:tc>
      </w:tr>
      <w:tr w:rsidR="001C7AB7" w:rsidRPr="00D51A68" w:rsidTr="00672D2A">
        <w:tc>
          <w:tcPr>
            <w:tcW w:w="1188" w:type="dxa"/>
          </w:tcPr>
          <w:p w:rsidR="001C7AB7" w:rsidRPr="00D51A68" w:rsidRDefault="001C7AB7" w:rsidP="001C7AB7">
            <w:pPr>
              <w:rPr>
                <w:rFonts w:ascii="Times New Roman" w:hAnsi="Times New Roman"/>
                <w:sz w:val="24"/>
              </w:rPr>
            </w:pPr>
            <w:r w:rsidRPr="00D51A68">
              <w:rPr>
                <w:rFonts w:ascii="Times New Roman" w:hAnsi="Times New Roman"/>
                <w:sz w:val="24"/>
              </w:rPr>
              <w:t>090</w:t>
            </w:r>
          </w:p>
        </w:tc>
        <w:tc>
          <w:tcPr>
            <w:tcW w:w="8843" w:type="dxa"/>
          </w:tcPr>
          <w:p w:rsidR="001C7AB7" w:rsidRPr="00D51A68" w:rsidRDefault="001C7AB7" w:rsidP="001C7AB7">
            <w:pPr>
              <w:rPr>
                <w:rFonts w:ascii="Times New Roman" w:hAnsi="Times New Roman"/>
                <w:b/>
                <w:sz w:val="24"/>
                <w:u w:val="single"/>
              </w:rPr>
            </w:pPr>
            <w:r w:rsidRPr="00D51A68">
              <w:rPr>
                <w:rFonts w:ascii="Times New Roman" w:hAnsi="Times New Roman"/>
                <w:b/>
                <w:sz w:val="24"/>
                <w:u w:val="single"/>
              </w:rPr>
              <w:t>ESPOSIZIONE DOPO GLI EFFETTI DI SOSTITUZIONE DELL</w:t>
            </w:r>
            <w:r w:rsidR="0009277C" w:rsidRPr="00D51A68">
              <w:rPr>
                <w:rFonts w:ascii="Times New Roman" w:hAnsi="Times New Roman"/>
                <w:b/>
                <w:sz w:val="24"/>
                <w:u w:val="single"/>
              </w:rPr>
              <w:t>’</w:t>
            </w:r>
            <w:r w:rsidRPr="00D51A68">
              <w:rPr>
                <w:rFonts w:ascii="Times New Roman" w:hAnsi="Times New Roman"/>
                <w:b/>
                <w:sz w:val="24"/>
                <w:u w:val="single"/>
              </w:rPr>
              <w:t>ATTENUAZIONE DEL RISCHIO DI CREDITO PRIMA DELL</w:t>
            </w:r>
            <w:r w:rsidR="0009277C" w:rsidRPr="00D51A68">
              <w:rPr>
                <w:rFonts w:ascii="Times New Roman" w:hAnsi="Times New Roman"/>
                <w:b/>
                <w:sz w:val="24"/>
                <w:u w:val="single"/>
              </w:rPr>
              <w:t>’</w:t>
            </w:r>
            <w:r w:rsidRPr="00D51A68">
              <w:rPr>
                <w:rFonts w:ascii="Times New Roman" w:hAnsi="Times New Roman"/>
                <w:b/>
                <w:sz w:val="24"/>
                <w:u w:val="single"/>
              </w:rPr>
              <w:t>APPLICAZIONE DEI FATTORI DI CONVERSIONE</w:t>
            </w:r>
          </w:p>
          <w:p w:rsidR="001C7AB7" w:rsidRPr="00D51A68" w:rsidRDefault="001C7AB7" w:rsidP="001C7AB7">
            <w:pPr>
              <w:rPr>
                <w:rFonts w:ascii="Times New Roman" w:hAnsi="Times New Roman"/>
                <w:sz w:val="24"/>
              </w:rPr>
            </w:pPr>
            <w:r w:rsidRPr="00D51A68">
              <w:rPr>
                <w:rFonts w:ascii="Times New Roman" w:hAnsi="Times New Roman"/>
                <w:sz w:val="24"/>
              </w:rPr>
              <w:t>Esposizioni assegnate alla classe o al pool di debitori corrispondente e alla corrispondente classe di esposizioni dopo aver tenuto conto degli afflussi e dei deflussi dovuti a tecniche di attenuazione del rischio di credito con effetti di sostituzione sull</w:t>
            </w:r>
            <w:r w:rsidR="0009277C" w:rsidRPr="00D51A68">
              <w:rPr>
                <w:rFonts w:ascii="Times New Roman" w:hAnsi="Times New Roman"/>
                <w:sz w:val="24"/>
              </w:rPr>
              <w:t>’</w:t>
            </w:r>
            <w:r w:rsidRPr="00D51A68">
              <w:rPr>
                <w:rFonts w:ascii="Times New Roman" w:hAnsi="Times New Roman"/>
                <w:sz w:val="24"/>
              </w:rPr>
              <w:t>esposizione.</w:t>
            </w:r>
          </w:p>
        </w:tc>
      </w:tr>
      <w:tr w:rsidR="001C7AB7" w:rsidRPr="00D51A68" w:rsidTr="00672D2A">
        <w:tc>
          <w:tcPr>
            <w:tcW w:w="1188" w:type="dxa"/>
          </w:tcPr>
          <w:p w:rsidR="001C7AB7" w:rsidRPr="00D51A68" w:rsidRDefault="001C7AB7" w:rsidP="001C7AB7">
            <w:pPr>
              <w:rPr>
                <w:rFonts w:ascii="Times New Roman" w:hAnsi="Times New Roman"/>
                <w:sz w:val="24"/>
              </w:rPr>
            </w:pPr>
            <w:r w:rsidRPr="00D51A68">
              <w:rPr>
                <w:rFonts w:ascii="Times New Roman" w:hAnsi="Times New Roman"/>
                <w:sz w:val="24"/>
              </w:rPr>
              <w:t>100, 120</w:t>
            </w:r>
          </w:p>
        </w:tc>
        <w:tc>
          <w:tcPr>
            <w:tcW w:w="8843" w:type="dxa"/>
          </w:tcPr>
          <w:p w:rsidR="001C7AB7" w:rsidRPr="00D51A68" w:rsidRDefault="001C7AB7" w:rsidP="001C7AB7">
            <w:pPr>
              <w:rPr>
                <w:rStyle w:val="InstructionsTabelleberschrift"/>
                <w:rFonts w:ascii="Times New Roman" w:hAnsi="Times New Roman"/>
                <w:sz w:val="24"/>
              </w:rPr>
            </w:pPr>
            <w:r w:rsidRPr="00D51A68">
              <w:rPr>
                <w:rStyle w:val="InstructionsTabelleberschrift"/>
                <w:rFonts w:ascii="Times New Roman" w:hAnsi="Times New Roman"/>
                <w:sz w:val="24"/>
              </w:rPr>
              <w:t xml:space="preserve">di cui: elementi fuori bilancio </w:t>
            </w:r>
          </w:p>
          <w:p w:rsidR="001C7AB7" w:rsidRPr="00D51A68" w:rsidRDefault="001C7AB7" w:rsidP="001C7AB7">
            <w:pPr>
              <w:rPr>
                <w:rFonts w:ascii="Times New Roman" w:hAnsi="Times New Roman"/>
                <w:sz w:val="24"/>
              </w:rPr>
            </w:pPr>
            <w:r w:rsidRPr="00D51A68">
              <w:rPr>
                <w:rFonts w:ascii="Times New Roman" w:hAnsi="Times New Roman"/>
                <w:sz w:val="24"/>
              </w:rPr>
              <w:t>Cfr. le istruzioni relative al modello CR-SA.</w:t>
            </w:r>
          </w:p>
        </w:tc>
      </w:tr>
      <w:tr w:rsidR="001C7AB7" w:rsidRPr="00D51A68" w:rsidTr="00672D2A">
        <w:tc>
          <w:tcPr>
            <w:tcW w:w="1188" w:type="dxa"/>
          </w:tcPr>
          <w:p w:rsidR="001C7AB7" w:rsidRPr="00D51A68" w:rsidRDefault="001C7AB7" w:rsidP="001C7AB7">
            <w:pPr>
              <w:rPr>
                <w:rFonts w:ascii="Times New Roman" w:hAnsi="Times New Roman"/>
                <w:sz w:val="24"/>
              </w:rPr>
            </w:pPr>
            <w:r w:rsidRPr="00D51A68">
              <w:rPr>
                <w:rFonts w:ascii="Times New Roman" w:hAnsi="Times New Roman"/>
                <w:sz w:val="24"/>
              </w:rPr>
              <w:t>110</w:t>
            </w:r>
          </w:p>
        </w:tc>
        <w:tc>
          <w:tcPr>
            <w:tcW w:w="8843" w:type="dxa"/>
          </w:tcPr>
          <w:p w:rsidR="001C7AB7" w:rsidRPr="00D51A68" w:rsidRDefault="001C7AB7" w:rsidP="001C7AB7">
            <w:pPr>
              <w:rPr>
                <w:rFonts w:ascii="Times New Roman" w:hAnsi="Times New Roman"/>
                <w:b/>
                <w:sz w:val="24"/>
                <w:u w:val="single"/>
              </w:rPr>
            </w:pPr>
            <w:r w:rsidRPr="00D51A68">
              <w:rPr>
                <w:rFonts w:ascii="Times New Roman" w:hAnsi="Times New Roman"/>
                <w:b/>
                <w:sz w:val="24"/>
                <w:u w:val="single"/>
              </w:rPr>
              <w:t>VALORE DELL</w:t>
            </w:r>
            <w:r w:rsidR="0009277C" w:rsidRPr="00D51A68">
              <w:rPr>
                <w:rFonts w:ascii="Times New Roman" w:hAnsi="Times New Roman"/>
                <w:b/>
                <w:sz w:val="24"/>
                <w:u w:val="single"/>
              </w:rPr>
              <w:t>’</w:t>
            </w:r>
            <w:r w:rsidRPr="00D51A68">
              <w:rPr>
                <w:rFonts w:ascii="Times New Roman" w:hAnsi="Times New Roman"/>
                <w:b/>
                <w:sz w:val="24"/>
                <w:u w:val="single"/>
              </w:rPr>
              <w:t>ESPOSIZIONE</w:t>
            </w:r>
          </w:p>
          <w:p w:rsidR="001C7AB7" w:rsidRPr="00D51A68" w:rsidRDefault="001C7AB7" w:rsidP="001C7AB7">
            <w:pPr>
              <w:rPr>
                <w:rFonts w:ascii="Times New Roman" w:hAnsi="Times New Roman"/>
                <w:sz w:val="24"/>
              </w:rPr>
            </w:pPr>
            <w:r w:rsidRPr="00D51A68">
              <w:rPr>
                <w:rFonts w:ascii="Times New Roman" w:hAnsi="Times New Roman"/>
                <w:sz w:val="24"/>
              </w:rPr>
              <w:t>È segnalato il valore di cui all</w:t>
            </w:r>
            <w:r w:rsidR="0009277C" w:rsidRPr="00D51A68">
              <w:rPr>
                <w:rFonts w:ascii="Times New Roman" w:hAnsi="Times New Roman"/>
                <w:sz w:val="24"/>
              </w:rPr>
              <w:t>’</w:t>
            </w:r>
            <w:r w:rsidRPr="00D51A68">
              <w:rPr>
                <w:rFonts w:ascii="Times New Roman" w:hAnsi="Times New Roman"/>
                <w:sz w:val="24"/>
              </w:rPr>
              <w:t>articolo 166 del CRR e all</w:t>
            </w:r>
            <w:r w:rsidR="0009277C" w:rsidRPr="00D51A68">
              <w:rPr>
                <w:rFonts w:ascii="Times New Roman" w:hAnsi="Times New Roman"/>
                <w:sz w:val="24"/>
              </w:rPr>
              <w:t>’</w:t>
            </w:r>
            <w:r w:rsidRPr="00D51A68">
              <w:rPr>
                <w:rFonts w:ascii="Times New Roman" w:hAnsi="Times New Roman"/>
                <w:sz w:val="24"/>
              </w:rPr>
              <w:t>articolo 230, paragrafo 1, seconda frase, del CRR.</w:t>
            </w:r>
          </w:p>
          <w:p w:rsidR="001C7AB7" w:rsidRPr="00D51A68" w:rsidRDefault="001C7AB7" w:rsidP="001C7AB7">
            <w:pPr>
              <w:rPr>
                <w:rFonts w:ascii="Times New Roman" w:hAnsi="Times New Roman"/>
                <w:sz w:val="24"/>
              </w:rPr>
            </w:pPr>
            <w:r w:rsidRPr="00D51A68">
              <w:rPr>
                <w:rFonts w:ascii="Times New Roman" w:hAnsi="Times New Roman"/>
                <w:sz w:val="24"/>
              </w:rPr>
              <w:t>Agli strumenti definiti nell</w:t>
            </w:r>
            <w:r w:rsidR="0009277C" w:rsidRPr="00D51A68">
              <w:rPr>
                <w:rFonts w:ascii="Times New Roman" w:hAnsi="Times New Roman"/>
                <w:sz w:val="24"/>
              </w:rPr>
              <w:t>’</w:t>
            </w:r>
            <w:r w:rsidRPr="00D51A68">
              <w:rPr>
                <w:rFonts w:ascii="Times New Roman" w:hAnsi="Times New Roman"/>
                <w:sz w:val="24"/>
              </w:rPr>
              <w:t>allegato I si applicano i fattori di conversione del credito (articolo 166, paragrafi da 8 a 10, del CRR), a prescindere dal metodo scelto dall</w:t>
            </w:r>
            <w:r w:rsidR="0009277C" w:rsidRPr="00D51A68">
              <w:rPr>
                <w:rFonts w:ascii="Times New Roman" w:hAnsi="Times New Roman"/>
                <w:sz w:val="24"/>
              </w:rPr>
              <w:t>’</w:t>
            </w:r>
            <w:r w:rsidRPr="00D51A68">
              <w:rPr>
                <w:rFonts w:ascii="Times New Roman" w:hAnsi="Times New Roman"/>
                <w:sz w:val="24"/>
              </w:rPr>
              <w:t xml:space="preserve">ente. </w:t>
            </w:r>
          </w:p>
          <w:p w:rsidR="001C7AB7" w:rsidRPr="00D51A68" w:rsidRDefault="001C7AB7" w:rsidP="001C7AB7">
            <w:pPr>
              <w:rPr>
                <w:rFonts w:ascii="Times New Roman" w:hAnsi="Times New Roman"/>
                <w:sz w:val="24"/>
              </w:rPr>
            </w:pPr>
            <w:r w:rsidRPr="00D51A68">
              <w:rPr>
                <w:rStyle w:val="InstructionsTabelleText"/>
                <w:rFonts w:ascii="Times New Roman" w:hAnsi="Times New Roman"/>
                <w:sz w:val="24"/>
              </w:rPr>
              <w:t xml:space="preserve">Per le righe 040-060, ossia le operazioni di finanziamento tramite titoli, i derivati e le operazioni con regolamento a lungo termine e le esposizioni derivanti da compensazione </w:t>
            </w:r>
            <w:r w:rsidRPr="00D51A68">
              <w:rPr>
                <w:rStyle w:val="InstructionsTabelleText"/>
                <w:rFonts w:ascii="Times New Roman" w:hAnsi="Times New Roman"/>
                <w:sz w:val="24"/>
              </w:rPr>
              <w:lastRenderedPageBreak/>
              <w:t>contrattuale tra prodotti differenti soggette alla parte tre, titolo II, capo 6, del CRR, il valore dell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 xml:space="preserve">esposizione è pari al valore del rischio di controparte calcolato secondo i metodi previsti dalla parte tre, titolo II, capo 6, sezioni 3, 4, 5, 6 e 7, del CRR. Tali valori sono segnalati in questa colonna, non nella colonna 130 </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di cui: derivante dal rischio di controparte</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w:t>
            </w:r>
          </w:p>
        </w:tc>
      </w:tr>
      <w:tr w:rsidR="001C7AB7" w:rsidRPr="00D51A68" w:rsidTr="00672D2A">
        <w:tc>
          <w:tcPr>
            <w:tcW w:w="1188" w:type="dxa"/>
          </w:tcPr>
          <w:p w:rsidR="001C7AB7" w:rsidRPr="00D51A68" w:rsidRDefault="001C7AB7" w:rsidP="001C7AB7">
            <w:pPr>
              <w:rPr>
                <w:rFonts w:ascii="Times New Roman" w:hAnsi="Times New Roman"/>
                <w:sz w:val="24"/>
              </w:rPr>
            </w:pPr>
            <w:r w:rsidRPr="00D51A68">
              <w:rPr>
                <w:rFonts w:ascii="Times New Roman" w:hAnsi="Times New Roman"/>
                <w:sz w:val="24"/>
              </w:rPr>
              <w:lastRenderedPageBreak/>
              <w:t>130</w:t>
            </w:r>
          </w:p>
        </w:tc>
        <w:tc>
          <w:tcPr>
            <w:tcW w:w="8843" w:type="dxa"/>
          </w:tcPr>
          <w:p w:rsidR="001C7AB7" w:rsidRPr="00D51A68" w:rsidRDefault="001C7AB7" w:rsidP="001C7AB7">
            <w:pPr>
              <w:rPr>
                <w:rStyle w:val="InstructionsTabelleberschrift"/>
                <w:rFonts w:ascii="Times New Roman" w:hAnsi="Times New Roman"/>
                <w:sz w:val="24"/>
              </w:rPr>
            </w:pPr>
            <w:r w:rsidRPr="00D51A68">
              <w:rPr>
                <w:rStyle w:val="InstructionsTabelleberschrift"/>
                <w:rFonts w:ascii="Times New Roman" w:hAnsi="Times New Roman"/>
                <w:sz w:val="24"/>
              </w:rPr>
              <w:t xml:space="preserve">di cui: derivante dal rischio di controparte </w:t>
            </w:r>
          </w:p>
          <w:p w:rsidR="001C7AB7" w:rsidRPr="00D51A68" w:rsidRDefault="001C7AB7" w:rsidP="00FD6CCB">
            <w:pPr>
              <w:rPr>
                <w:rFonts w:ascii="Times New Roman" w:hAnsi="Times New Roman"/>
                <w:sz w:val="24"/>
              </w:rPr>
            </w:pPr>
            <w:r w:rsidRPr="00D51A68">
              <w:rPr>
                <w:rFonts w:ascii="Times New Roman" w:hAnsi="Times New Roman"/>
                <w:sz w:val="24"/>
              </w:rPr>
              <w:t>Cfr. le istruzioni relative al modello CR SA.</w:t>
            </w:r>
            <w:r w:rsidRPr="00D51A68">
              <w:rPr>
                <w:rStyle w:val="InstructionsTabelleText"/>
                <w:rFonts w:ascii="Times New Roman" w:hAnsi="Times New Roman"/>
                <w:sz w:val="24"/>
              </w:rPr>
              <w:t xml:space="preserve"> </w:t>
            </w:r>
          </w:p>
        </w:tc>
      </w:tr>
      <w:tr w:rsidR="001C7AB7" w:rsidRPr="00D51A68" w:rsidTr="00672D2A">
        <w:tc>
          <w:tcPr>
            <w:tcW w:w="1188" w:type="dxa"/>
          </w:tcPr>
          <w:p w:rsidR="001C7AB7" w:rsidRPr="00D51A68" w:rsidRDefault="001C7AB7" w:rsidP="001C7AB7">
            <w:pPr>
              <w:rPr>
                <w:rFonts w:ascii="Times New Roman" w:hAnsi="Times New Roman"/>
                <w:sz w:val="24"/>
              </w:rPr>
            </w:pPr>
            <w:r w:rsidRPr="00D51A68">
              <w:rPr>
                <w:rFonts w:ascii="Times New Roman" w:hAnsi="Times New Roman"/>
                <w:sz w:val="24"/>
              </w:rPr>
              <w:t>140</w:t>
            </w:r>
          </w:p>
        </w:tc>
        <w:tc>
          <w:tcPr>
            <w:tcW w:w="8843" w:type="dxa"/>
          </w:tcPr>
          <w:p w:rsidR="001C7AB7" w:rsidRPr="00D51A68" w:rsidRDefault="001C7AB7" w:rsidP="001C7AB7">
            <w:pPr>
              <w:rPr>
                <w:rFonts w:ascii="Times New Roman" w:hAnsi="Times New Roman"/>
                <w:b/>
                <w:sz w:val="24"/>
                <w:u w:val="single"/>
              </w:rPr>
            </w:pPr>
            <w:r w:rsidRPr="00D51A68">
              <w:rPr>
                <w:rFonts w:ascii="Times New Roman" w:hAnsi="Times New Roman"/>
                <w:b/>
                <w:sz w:val="24"/>
                <w:u w:val="single"/>
              </w:rPr>
              <w:t>DI CUI: SOGGETTI DI GRANDI DIMENSIONI DEL SETTORE FINANZIARIO E SOGGETTI FINANZIARI NON REGOLAMENTATI</w:t>
            </w:r>
          </w:p>
          <w:p w:rsidR="001C7AB7" w:rsidRPr="00D51A68" w:rsidRDefault="001C7AB7" w:rsidP="001C7AB7">
            <w:pPr>
              <w:rPr>
                <w:rFonts w:ascii="Times New Roman" w:hAnsi="Times New Roman"/>
                <w:b/>
                <w:sz w:val="24"/>
                <w:u w:val="single"/>
              </w:rPr>
            </w:pPr>
            <w:r w:rsidRPr="00D51A68">
              <w:rPr>
                <w:rFonts w:ascii="Times New Roman" w:hAnsi="Times New Roman"/>
                <w:sz w:val="24"/>
              </w:rPr>
              <w:t>Ripartizione del valore dell</w:t>
            </w:r>
            <w:r w:rsidR="0009277C" w:rsidRPr="00D51A68">
              <w:rPr>
                <w:rFonts w:ascii="Times New Roman" w:hAnsi="Times New Roman"/>
                <w:sz w:val="24"/>
              </w:rPr>
              <w:t>’</w:t>
            </w:r>
            <w:r w:rsidRPr="00D51A68">
              <w:rPr>
                <w:rFonts w:ascii="Times New Roman" w:hAnsi="Times New Roman"/>
                <w:sz w:val="24"/>
              </w:rPr>
              <w:t>esposizione per tutte le esposizioni definite a norma dell</w:t>
            </w:r>
            <w:r w:rsidR="0009277C" w:rsidRPr="00D51A68">
              <w:rPr>
                <w:rFonts w:ascii="Times New Roman" w:hAnsi="Times New Roman"/>
                <w:sz w:val="24"/>
              </w:rPr>
              <w:t>’</w:t>
            </w:r>
            <w:r w:rsidRPr="00D51A68">
              <w:rPr>
                <w:rFonts w:ascii="Times New Roman" w:hAnsi="Times New Roman"/>
                <w:sz w:val="24"/>
              </w:rPr>
              <w:t>articolo 142, paragrafi 4 e 5, del CRR soggette al fattore di correlazione più elevato di cui all</w:t>
            </w:r>
            <w:r w:rsidR="0009277C" w:rsidRPr="00D51A68">
              <w:rPr>
                <w:rFonts w:ascii="Times New Roman" w:hAnsi="Times New Roman"/>
                <w:sz w:val="24"/>
              </w:rPr>
              <w:t>’</w:t>
            </w:r>
            <w:r w:rsidRPr="00D51A68">
              <w:rPr>
                <w:rFonts w:ascii="Times New Roman" w:hAnsi="Times New Roman"/>
                <w:sz w:val="24"/>
              </w:rPr>
              <w:t>articolo 153, paragrafo 2, del CRR.</w:t>
            </w:r>
          </w:p>
        </w:tc>
      </w:tr>
      <w:tr w:rsidR="001C7AB7" w:rsidRPr="00D51A68" w:rsidTr="00672D2A">
        <w:trPr>
          <w:trHeight w:val="2109"/>
        </w:trPr>
        <w:tc>
          <w:tcPr>
            <w:tcW w:w="1188" w:type="dxa"/>
          </w:tcPr>
          <w:p w:rsidR="001C7AB7" w:rsidRPr="00D51A68" w:rsidDel="001D4BE0" w:rsidRDefault="001C7AB7" w:rsidP="001C7AB7">
            <w:pPr>
              <w:rPr>
                <w:rFonts w:ascii="Times New Roman" w:hAnsi="Times New Roman"/>
                <w:sz w:val="24"/>
              </w:rPr>
            </w:pPr>
            <w:r w:rsidRPr="00D51A68">
              <w:rPr>
                <w:rFonts w:ascii="Times New Roman" w:hAnsi="Times New Roman"/>
                <w:sz w:val="24"/>
              </w:rPr>
              <w:t>150-210</w:t>
            </w:r>
          </w:p>
        </w:tc>
        <w:tc>
          <w:tcPr>
            <w:tcW w:w="8843" w:type="dxa"/>
          </w:tcPr>
          <w:p w:rsidR="001C7AB7" w:rsidRPr="00D51A68" w:rsidRDefault="001C7AB7" w:rsidP="001C7AB7">
            <w:pPr>
              <w:rPr>
                <w:rFonts w:ascii="Times New Roman" w:hAnsi="Times New Roman"/>
                <w:b/>
                <w:sz w:val="24"/>
                <w:u w:val="single"/>
              </w:rPr>
            </w:pPr>
            <w:r w:rsidRPr="00D51A68">
              <w:rPr>
                <w:rFonts w:ascii="Times New Roman" w:hAnsi="Times New Roman"/>
                <w:b/>
                <w:sz w:val="24"/>
                <w:u w:val="single"/>
              </w:rPr>
              <w:t xml:space="preserve">TECNICHE DI ATTENUAZIONE DEL RISCHIO DI CREDITO PRESE IN CONSIDERAZIONE NELLE STIME DELLA LGD ESCLUSO IL TRATTAMENTO DEL </w:t>
            </w:r>
            <w:r w:rsidR="0009277C" w:rsidRPr="00D51A68">
              <w:rPr>
                <w:rFonts w:ascii="Times New Roman" w:hAnsi="Times New Roman"/>
                <w:b/>
                <w:sz w:val="24"/>
                <w:u w:val="single"/>
              </w:rPr>
              <w:t>“</w:t>
            </w:r>
            <w:r w:rsidRPr="00D51A68">
              <w:rPr>
                <w:rFonts w:ascii="Times New Roman" w:hAnsi="Times New Roman"/>
                <w:b/>
                <w:sz w:val="24"/>
                <w:u w:val="single"/>
              </w:rPr>
              <w:t>DOUBLE DEFAULT</w:t>
            </w:r>
            <w:r w:rsidR="0009277C" w:rsidRPr="00D51A68">
              <w:rPr>
                <w:rFonts w:ascii="Times New Roman" w:hAnsi="Times New Roman"/>
                <w:b/>
                <w:sz w:val="24"/>
                <w:u w:val="single"/>
              </w:rPr>
              <w:t>”</w:t>
            </w:r>
          </w:p>
          <w:p w:rsidR="001C7AB7" w:rsidRPr="00D51A68" w:rsidRDefault="001C7AB7" w:rsidP="001C7AB7">
            <w:pPr>
              <w:rPr>
                <w:rFonts w:ascii="Times New Roman" w:hAnsi="Times New Roman"/>
                <w:sz w:val="24"/>
              </w:rPr>
            </w:pPr>
            <w:r w:rsidRPr="00D51A68">
              <w:rPr>
                <w:rFonts w:ascii="Times New Roman" w:hAnsi="Times New Roman"/>
                <w:sz w:val="24"/>
              </w:rPr>
              <w:t>Non sono comprese in queste colonne le tecniche di attenuazione del rischio di credito che hanno un impatto sulle LGD in conseguenza dell</w:t>
            </w:r>
            <w:r w:rsidR="0009277C" w:rsidRPr="00D51A68">
              <w:rPr>
                <w:rFonts w:ascii="Times New Roman" w:hAnsi="Times New Roman"/>
                <w:sz w:val="24"/>
              </w:rPr>
              <w:t>’</w:t>
            </w:r>
            <w:r w:rsidRPr="00D51A68">
              <w:rPr>
                <w:rFonts w:ascii="Times New Roman" w:hAnsi="Times New Roman"/>
                <w:sz w:val="24"/>
              </w:rPr>
              <w:t xml:space="preserve">applicazione del loro effetto di sostituzione. </w:t>
            </w:r>
          </w:p>
          <w:p w:rsidR="001C7AB7" w:rsidRPr="00D51A68" w:rsidRDefault="00C61FF5" w:rsidP="001C7AB7">
            <w:pPr>
              <w:rPr>
                <w:rFonts w:ascii="Times New Roman" w:hAnsi="Times New Roman"/>
                <w:sz w:val="24"/>
              </w:rPr>
            </w:pPr>
            <w:r w:rsidRPr="00D51A68">
              <w:rPr>
                <w:rFonts w:ascii="Times New Roman" w:hAnsi="Times New Roman"/>
                <w:sz w:val="24"/>
              </w:rPr>
              <w:t>Se non sono utilizzate stime interne della LGD, si applicano l</w:t>
            </w:r>
            <w:r w:rsidR="0009277C" w:rsidRPr="00D51A68">
              <w:rPr>
                <w:rFonts w:ascii="Times New Roman" w:hAnsi="Times New Roman"/>
                <w:sz w:val="24"/>
              </w:rPr>
              <w:t>’</w:t>
            </w:r>
            <w:r w:rsidRPr="00D51A68">
              <w:rPr>
                <w:rFonts w:ascii="Times New Roman" w:hAnsi="Times New Roman"/>
                <w:sz w:val="24"/>
              </w:rPr>
              <w:t>articolo 228, paragrafo 2, l</w:t>
            </w:r>
            <w:r w:rsidR="0009277C" w:rsidRPr="00D51A68">
              <w:rPr>
                <w:rFonts w:ascii="Times New Roman" w:hAnsi="Times New Roman"/>
                <w:sz w:val="24"/>
              </w:rPr>
              <w:t>’</w:t>
            </w:r>
            <w:r w:rsidRPr="00D51A68">
              <w:rPr>
                <w:rFonts w:ascii="Times New Roman" w:hAnsi="Times New Roman"/>
                <w:sz w:val="24"/>
              </w:rPr>
              <w:t>articolo 230, paragrafi 1 e 2, e l</w:t>
            </w:r>
            <w:r w:rsidR="0009277C" w:rsidRPr="00D51A68">
              <w:rPr>
                <w:rFonts w:ascii="Times New Roman" w:hAnsi="Times New Roman"/>
                <w:sz w:val="24"/>
              </w:rPr>
              <w:t>’</w:t>
            </w:r>
            <w:r w:rsidRPr="00D51A68">
              <w:rPr>
                <w:rFonts w:ascii="Times New Roman" w:hAnsi="Times New Roman"/>
                <w:sz w:val="24"/>
              </w:rPr>
              <w:t>articolo 231 del CRR.</w:t>
            </w:r>
          </w:p>
          <w:p w:rsidR="001C7AB7" w:rsidRPr="00D51A68" w:rsidRDefault="00C61FF5" w:rsidP="001C7AB7">
            <w:pPr>
              <w:rPr>
                <w:rFonts w:ascii="Times New Roman" w:hAnsi="Times New Roman"/>
                <w:sz w:val="24"/>
              </w:rPr>
            </w:pPr>
            <w:r w:rsidRPr="00D51A68">
              <w:rPr>
                <w:rFonts w:ascii="Times New Roman" w:hAnsi="Times New Roman"/>
                <w:sz w:val="24"/>
              </w:rPr>
              <w:t xml:space="preserve">Se sono utilizzate stime interne della LGD: </w:t>
            </w:r>
          </w:p>
          <w:p w:rsidR="001C7AB7" w:rsidRPr="00D51A68" w:rsidRDefault="001C7AB7" w:rsidP="001C7AB7">
            <w:pPr>
              <w:rPr>
                <w:rFonts w:ascii="Times New Roman" w:hAnsi="Times New Roman"/>
                <w:sz w:val="24"/>
              </w:rPr>
            </w:pPr>
            <w:r w:rsidRPr="00D51A68">
              <w:rPr>
                <w:rFonts w:ascii="Times New Roman" w:hAnsi="Times New Roman"/>
                <w:sz w:val="24"/>
              </w:rPr>
              <w:t>- nel caso di protezione del credito di tipo personale, per le esposizioni verso amministrazioni centrali e banche centrali, enti e imprese si applica l</w:t>
            </w:r>
            <w:r w:rsidR="0009277C" w:rsidRPr="00D51A68">
              <w:rPr>
                <w:rFonts w:ascii="Times New Roman" w:hAnsi="Times New Roman"/>
                <w:sz w:val="24"/>
              </w:rPr>
              <w:t>’</w:t>
            </w:r>
            <w:r w:rsidRPr="00D51A68">
              <w:rPr>
                <w:rFonts w:ascii="Times New Roman" w:hAnsi="Times New Roman"/>
                <w:sz w:val="24"/>
              </w:rPr>
              <w:t>articolo 161, paragrafo 3, del CRR; nel caso di esposizioni al dettaglio si applica l</w:t>
            </w:r>
            <w:r w:rsidR="0009277C" w:rsidRPr="00D51A68">
              <w:rPr>
                <w:rFonts w:ascii="Times New Roman" w:hAnsi="Times New Roman"/>
                <w:sz w:val="24"/>
              </w:rPr>
              <w:t>’</w:t>
            </w:r>
            <w:r w:rsidRPr="00D51A68">
              <w:rPr>
                <w:rFonts w:ascii="Times New Roman" w:hAnsi="Times New Roman"/>
                <w:sz w:val="24"/>
              </w:rPr>
              <w:t xml:space="preserve">articolo 164, paragrafo 2, del CRR; </w:t>
            </w:r>
          </w:p>
          <w:p w:rsidR="001C7AB7" w:rsidRPr="00D51A68" w:rsidRDefault="001C7AB7" w:rsidP="00255BA9">
            <w:pPr>
              <w:rPr>
                <w:rFonts w:ascii="Times New Roman" w:hAnsi="Times New Roman"/>
                <w:b/>
                <w:sz w:val="24"/>
                <w:u w:val="single"/>
              </w:rPr>
            </w:pPr>
            <w:r w:rsidRPr="00D51A68">
              <w:rPr>
                <w:rFonts w:ascii="Times New Roman" w:hAnsi="Times New Roman"/>
                <w:sz w:val="24"/>
              </w:rPr>
              <w:t>- nel caso di garanzie di protezione del credito di tipo reale prese in considerazione nelle stime della LGD si applica l</w:t>
            </w:r>
            <w:r w:rsidR="0009277C" w:rsidRPr="00D51A68">
              <w:rPr>
                <w:rFonts w:ascii="Times New Roman" w:hAnsi="Times New Roman"/>
                <w:sz w:val="24"/>
              </w:rPr>
              <w:t>’</w:t>
            </w:r>
            <w:r w:rsidRPr="00D51A68">
              <w:rPr>
                <w:rFonts w:ascii="Times New Roman" w:hAnsi="Times New Roman"/>
                <w:sz w:val="24"/>
              </w:rPr>
              <w:t>articolo 181, paragrafo 1, lettere e) e f), del CRR.</w:t>
            </w:r>
          </w:p>
        </w:tc>
      </w:tr>
      <w:tr w:rsidR="001C7AB7" w:rsidRPr="00D51A68" w:rsidTr="00672D2A">
        <w:trPr>
          <w:trHeight w:val="957"/>
        </w:trPr>
        <w:tc>
          <w:tcPr>
            <w:tcW w:w="1188" w:type="dxa"/>
          </w:tcPr>
          <w:p w:rsidR="001C7AB7" w:rsidRPr="00D51A68" w:rsidRDefault="001C7AB7" w:rsidP="001C7AB7">
            <w:pPr>
              <w:rPr>
                <w:rFonts w:ascii="Times New Roman" w:hAnsi="Times New Roman"/>
                <w:sz w:val="24"/>
              </w:rPr>
            </w:pPr>
            <w:r w:rsidRPr="00D51A68">
              <w:rPr>
                <w:rFonts w:ascii="Times New Roman" w:hAnsi="Times New Roman"/>
                <w:sz w:val="24"/>
              </w:rPr>
              <w:t>150</w:t>
            </w:r>
          </w:p>
        </w:tc>
        <w:tc>
          <w:tcPr>
            <w:tcW w:w="8843" w:type="dxa"/>
          </w:tcPr>
          <w:p w:rsidR="001C7AB7" w:rsidRPr="00D51A68" w:rsidRDefault="001C7AB7" w:rsidP="001C7AB7">
            <w:pPr>
              <w:rPr>
                <w:rFonts w:ascii="Times New Roman" w:hAnsi="Times New Roman"/>
                <w:b/>
                <w:sz w:val="24"/>
                <w:u w:val="single"/>
              </w:rPr>
            </w:pPr>
            <w:r w:rsidRPr="00D51A68">
              <w:rPr>
                <w:rFonts w:ascii="Times New Roman" w:hAnsi="Times New Roman"/>
                <w:b/>
                <w:sz w:val="24"/>
                <w:u w:val="single"/>
              </w:rPr>
              <w:t xml:space="preserve">GARANZIE </w:t>
            </w:r>
          </w:p>
          <w:p w:rsidR="001C7AB7" w:rsidRPr="00D51A68" w:rsidRDefault="001C7AB7" w:rsidP="001C7AB7">
            <w:pPr>
              <w:jc w:val="left"/>
              <w:rPr>
                <w:rFonts w:ascii="Times New Roman" w:hAnsi="Times New Roman"/>
                <w:b/>
                <w:sz w:val="24"/>
                <w:u w:val="single"/>
              </w:rPr>
            </w:pPr>
            <w:r w:rsidRPr="00D51A68">
              <w:rPr>
                <w:rFonts w:ascii="Times New Roman" w:hAnsi="Times New Roman"/>
                <w:sz w:val="24"/>
              </w:rPr>
              <w:t>Cfr. le istruzioni relative alla colonna 040.</w:t>
            </w:r>
          </w:p>
        </w:tc>
      </w:tr>
      <w:tr w:rsidR="001C7AB7" w:rsidRPr="00D51A68" w:rsidTr="00672D2A">
        <w:tc>
          <w:tcPr>
            <w:tcW w:w="1188" w:type="dxa"/>
          </w:tcPr>
          <w:p w:rsidR="001C7AB7" w:rsidRPr="00D51A68" w:rsidRDefault="001C7AB7" w:rsidP="001C7AB7">
            <w:pPr>
              <w:rPr>
                <w:rFonts w:ascii="Times New Roman" w:hAnsi="Times New Roman"/>
                <w:sz w:val="24"/>
              </w:rPr>
            </w:pPr>
            <w:r w:rsidRPr="00D51A68">
              <w:rPr>
                <w:rFonts w:ascii="Times New Roman" w:hAnsi="Times New Roman"/>
                <w:sz w:val="24"/>
              </w:rPr>
              <w:t>160</w:t>
            </w:r>
          </w:p>
        </w:tc>
        <w:tc>
          <w:tcPr>
            <w:tcW w:w="8843" w:type="dxa"/>
          </w:tcPr>
          <w:p w:rsidR="001C7AB7" w:rsidRPr="00D51A68" w:rsidRDefault="001C7AB7" w:rsidP="001C7AB7">
            <w:pPr>
              <w:rPr>
                <w:rFonts w:ascii="Times New Roman" w:hAnsi="Times New Roman"/>
                <w:b/>
                <w:sz w:val="24"/>
                <w:u w:val="single"/>
              </w:rPr>
            </w:pPr>
            <w:r w:rsidRPr="00D51A68">
              <w:rPr>
                <w:rFonts w:ascii="Times New Roman" w:hAnsi="Times New Roman"/>
                <w:b/>
                <w:sz w:val="24"/>
                <w:u w:val="single"/>
              </w:rPr>
              <w:t xml:space="preserve">DERIVATI SU CREDITI </w:t>
            </w:r>
          </w:p>
          <w:p w:rsidR="001C7AB7" w:rsidRPr="00D51A68" w:rsidRDefault="001C7AB7" w:rsidP="001C7AB7">
            <w:pPr>
              <w:rPr>
                <w:rFonts w:ascii="Times New Roman" w:hAnsi="Times New Roman"/>
                <w:sz w:val="24"/>
              </w:rPr>
            </w:pPr>
            <w:r w:rsidRPr="00D51A68">
              <w:rPr>
                <w:rFonts w:ascii="Times New Roman" w:hAnsi="Times New Roman"/>
                <w:sz w:val="24"/>
              </w:rPr>
              <w:t>Cfr. le istruzioni relative alla colonna 050.</w:t>
            </w:r>
          </w:p>
        </w:tc>
      </w:tr>
      <w:tr w:rsidR="001C7AB7" w:rsidRPr="00D51A68" w:rsidTr="00672D2A">
        <w:tc>
          <w:tcPr>
            <w:tcW w:w="1188" w:type="dxa"/>
          </w:tcPr>
          <w:p w:rsidR="001C7AB7" w:rsidRPr="00D51A68" w:rsidRDefault="001C7AB7" w:rsidP="001C7AB7">
            <w:pPr>
              <w:rPr>
                <w:rFonts w:ascii="Times New Roman" w:hAnsi="Times New Roman"/>
                <w:sz w:val="24"/>
              </w:rPr>
            </w:pPr>
            <w:r w:rsidRPr="00D51A68">
              <w:rPr>
                <w:rFonts w:ascii="Times New Roman" w:hAnsi="Times New Roman"/>
                <w:sz w:val="24"/>
              </w:rPr>
              <w:t>170</w:t>
            </w:r>
          </w:p>
        </w:tc>
        <w:tc>
          <w:tcPr>
            <w:tcW w:w="8843" w:type="dxa"/>
          </w:tcPr>
          <w:p w:rsidR="001C7AB7" w:rsidRPr="00D51A68" w:rsidRDefault="001C7AB7" w:rsidP="001C7AB7">
            <w:pPr>
              <w:rPr>
                <w:rFonts w:ascii="Times New Roman" w:hAnsi="Times New Roman"/>
                <w:b/>
                <w:sz w:val="24"/>
                <w:u w:val="single"/>
              </w:rPr>
            </w:pPr>
            <w:r w:rsidRPr="00D51A68">
              <w:rPr>
                <w:rFonts w:ascii="Times New Roman" w:hAnsi="Times New Roman"/>
                <w:b/>
                <w:sz w:val="24"/>
                <w:u w:val="single"/>
              </w:rPr>
              <w:t xml:space="preserve">UTILIZZO DI STIME INTERNE DELLA LGD: ALTRA PROTEZIONE DEL CREDITO DI TIPO REALE </w:t>
            </w:r>
          </w:p>
          <w:p w:rsidR="001C7AB7" w:rsidRPr="00D51A68" w:rsidRDefault="001C7AB7" w:rsidP="001C7AB7">
            <w:pPr>
              <w:rPr>
                <w:rStyle w:val="InstructionsTabelleText"/>
                <w:rFonts w:ascii="Times New Roman" w:hAnsi="Times New Roman"/>
                <w:sz w:val="24"/>
              </w:rPr>
            </w:pPr>
            <w:r w:rsidRPr="00D51A68">
              <w:rPr>
                <w:rStyle w:val="InstructionsTabelleText"/>
                <w:rFonts w:ascii="Times New Roman" w:hAnsi="Times New Roman"/>
                <w:sz w:val="24"/>
              </w:rPr>
              <w:t>Valore pertinente utilizzato nella modellizzazione interna dell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ente.</w:t>
            </w:r>
          </w:p>
          <w:p w:rsidR="001C7AB7" w:rsidRPr="00D51A68" w:rsidRDefault="001C7AB7" w:rsidP="00255BA9">
            <w:pPr>
              <w:rPr>
                <w:rFonts w:ascii="Times New Roman" w:hAnsi="Times New Roman"/>
                <w:sz w:val="24"/>
              </w:rPr>
            </w:pPr>
            <w:r w:rsidRPr="00D51A68">
              <w:rPr>
                <w:rFonts w:ascii="Times New Roman" w:hAnsi="Times New Roman"/>
                <w:sz w:val="24"/>
              </w:rPr>
              <w:t>Fattori di attenuazione del rischio di credito conformi ai criteri di cui all</w:t>
            </w:r>
            <w:r w:rsidR="0009277C" w:rsidRPr="00D51A68">
              <w:rPr>
                <w:rFonts w:ascii="Times New Roman" w:hAnsi="Times New Roman"/>
                <w:sz w:val="24"/>
              </w:rPr>
              <w:t>’</w:t>
            </w:r>
            <w:r w:rsidRPr="00D51A68">
              <w:rPr>
                <w:rFonts w:ascii="Times New Roman" w:hAnsi="Times New Roman"/>
                <w:sz w:val="24"/>
              </w:rPr>
              <w:t xml:space="preserve">articolo 212 del CRR. </w:t>
            </w:r>
          </w:p>
        </w:tc>
      </w:tr>
      <w:tr w:rsidR="001C7AB7" w:rsidRPr="00D51A68" w:rsidTr="00672D2A">
        <w:tc>
          <w:tcPr>
            <w:tcW w:w="1188" w:type="dxa"/>
          </w:tcPr>
          <w:p w:rsidR="001C7AB7" w:rsidRPr="00D51A68" w:rsidRDefault="001C7AB7" w:rsidP="001C7AB7">
            <w:pPr>
              <w:rPr>
                <w:rFonts w:ascii="Times New Roman" w:hAnsi="Times New Roman"/>
                <w:sz w:val="24"/>
              </w:rPr>
            </w:pPr>
            <w:r w:rsidRPr="00D51A68">
              <w:rPr>
                <w:rFonts w:ascii="Times New Roman" w:hAnsi="Times New Roman"/>
                <w:sz w:val="24"/>
              </w:rPr>
              <w:t>180</w:t>
            </w:r>
          </w:p>
        </w:tc>
        <w:tc>
          <w:tcPr>
            <w:tcW w:w="8843" w:type="dxa"/>
          </w:tcPr>
          <w:p w:rsidR="001C7AB7" w:rsidRPr="00D51A68" w:rsidRDefault="001C7AB7" w:rsidP="001C7AB7">
            <w:pPr>
              <w:rPr>
                <w:rFonts w:ascii="Times New Roman" w:hAnsi="Times New Roman"/>
                <w:b/>
                <w:sz w:val="24"/>
                <w:u w:val="single"/>
              </w:rPr>
            </w:pPr>
            <w:r w:rsidRPr="00D51A68">
              <w:rPr>
                <w:rFonts w:ascii="Times New Roman" w:hAnsi="Times New Roman"/>
                <w:b/>
                <w:sz w:val="24"/>
                <w:u w:val="single"/>
              </w:rPr>
              <w:t>GARANZIE REALI FINANZIARIE AMMISSIBILI</w:t>
            </w:r>
          </w:p>
          <w:p w:rsidR="001C7AB7" w:rsidRPr="00D51A68" w:rsidRDefault="001C7AB7" w:rsidP="001C7AB7">
            <w:pPr>
              <w:rPr>
                <w:rFonts w:ascii="Times New Roman" w:hAnsi="Times New Roman"/>
                <w:sz w:val="24"/>
              </w:rPr>
            </w:pPr>
            <w:r w:rsidRPr="00D51A68">
              <w:rPr>
                <w:rFonts w:ascii="Times New Roman" w:hAnsi="Times New Roman"/>
                <w:sz w:val="24"/>
              </w:rPr>
              <w:t xml:space="preserve">Nel caso di operazioni nel portafoglio di negoziazione, sono compresi gli strumenti </w:t>
            </w:r>
            <w:r w:rsidRPr="00D51A68">
              <w:rPr>
                <w:rFonts w:ascii="Times New Roman" w:hAnsi="Times New Roman"/>
                <w:sz w:val="24"/>
              </w:rPr>
              <w:lastRenderedPageBreak/>
              <w:t>finanziari e le merci che possono essere inclusi nelle esposizioni inserite nel portafoglio di negoziazione ai sensi dell</w:t>
            </w:r>
            <w:r w:rsidR="0009277C" w:rsidRPr="00D51A68">
              <w:rPr>
                <w:rFonts w:ascii="Times New Roman" w:hAnsi="Times New Roman"/>
                <w:sz w:val="24"/>
              </w:rPr>
              <w:t>’</w:t>
            </w:r>
            <w:r w:rsidRPr="00D51A68">
              <w:rPr>
                <w:rFonts w:ascii="Times New Roman" w:hAnsi="Times New Roman"/>
                <w:sz w:val="24"/>
              </w:rPr>
              <w:t>articolo 299, paragrafo 2, lettere da c) a f), del CRR. Le credit linked note e la compensazione in bilancio di cui alla parte tre, titolo II, capo 4, sezione 4, del CRR sono trattate come garanzie in contante.</w:t>
            </w:r>
          </w:p>
          <w:p w:rsidR="001C7AB7" w:rsidRPr="00D51A68" w:rsidRDefault="001C7AB7" w:rsidP="001C7AB7">
            <w:pPr>
              <w:rPr>
                <w:rFonts w:ascii="Times New Roman" w:hAnsi="Times New Roman"/>
                <w:sz w:val="24"/>
              </w:rPr>
            </w:pPr>
            <w:r w:rsidRPr="00D51A68">
              <w:rPr>
                <w:rFonts w:ascii="Times New Roman" w:hAnsi="Times New Roman"/>
                <w:sz w:val="24"/>
              </w:rPr>
              <w:t>Se non sono utilizzate stime interne della LGD, sono segnalati i valori di cui all</w:t>
            </w:r>
            <w:r w:rsidR="0009277C" w:rsidRPr="00D51A68">
              <w:rPr>
                <w:rFonts w:ascii="Times New Roman" w:hAnsi="Times New Roman"/>
                <w:sz w:val="24"/>
              </w:rPr>
              <w:t>’</w:t>
            </w:r>
            <w:r w:rsidR="0073183F" w:rsidRPr="00D51A68">
              <w:rPr>
                <w:rFonts w:ascii="Times New Roman" w:hAnsi="Times New Roman"/>
                <w:sz w:val="24"/>
              </w:rPr>
              <w:t>articolo </w:t>
            </w:r>
            <w:r w:rsidRPr="00D51A68">
              <w:rPr>
                <w:rFonts w:ascii="Times New Roman" w:hAnsi="Times New Roman"/>
                <w:sz w:val="24"/>
              </w:rPr>
              <w:t>193, paragrafi da 1 a 4, e all</w:t>
            </w:r>
            <w:r w:rsidR="0009277C" w:rsidRPr="00D51A68">
              <w:rPr>
                <w:rFonts w:ascii="Times New Roman" w:hAnsi="Times New Roman"/>
                <w:sz w:val="24"/>
              </w:rPr>
              <w:t>’</w:t>
            </w:r>
            <w:r w:rsidRPr="00D51A68">
              <w:rPr>
                <w:rFonts w:ascii="Times New Roman" w:hAnsi="Times New Roman"/>
                <w:sz w:val="24"/>
              </w:rPr>
              <w:t>articolo 194, paragrafo 1, del CRR. È segnalato il valore corretto (Cvam) indicato nell</w:t>
            </w:r>
            <w:r w:rsidR="0009277C" w:rsidRPr="00D51A68">
              <w:rPr>
                <w:rFonts w:ascii="Times New Roman" w:hAnsi="Times New Roman"/>
                <w:sz w:val="24"/>
              </w:rPr>
              <w:t>’</w:t>
            </w:r>
            <w:r w:rsidRPr="00D51A68">
              <w:rPr>
                <w:rFonts w:ascii="Times New Roman" w:hAnsi="Times New Roman"/>
                <w:sz w:val="24"/>
              </w:rPr>
              <w:t>articolo 223, paragrafo 2, del CRR.</w:t>
            </w:r>
          </w:p>
          <w:p w:rsidR="001C7AB7" w:rsidRPr="00D51A68" w:rsidRDefault="001C7AB7" w:rsidP="00902EFC">
            <w:pPr>
              <w:rPr>
                <w:rFonts w:ascii="Times New Roman" w:hAnsi="Times New Roman"/>
                <w:b/>
                <w:sz w:val="24"/>
                <w:u w:val="single"/>
              </w:rPr>
            </w:pPr>
            <w:r w:rsidRPr="00D51A68">
              <w:rPr>
                <w:rFonts w:ascii="Times New Roman" w:hAnsi="Times New Roman"/>
                <w:sz w:val="24"/>
              </w:rPr>
              <w:t>Se sono utilizzate stime interne della LGD, si segnalano le garanzie reali finanziarie prese in considerazione nelle stime della LGD conformemente all</w:t>
            </w:r>
            <w:r w:rsidR="0009277C" w:rsidRPr="00D51A68">
              <w:rPr>
                <w:rFonts w:ascii="Times New Roman" w:hAnsi="Times New Roman"/>
                <w:sz w:val="24"/>
              </w:rPr>
              <w:t>’</w:t>
            </w:r>
            <w:r w:rsidRPr="00D51A68">
              <w:rPr>
                <w:rFonts w:ascii="Times New Roman" w:hAnsi="Times New Roman"/>
                <w:sz w:val="24"/>
              </w:rPr>
              <w:t>articolo 181, paragrafo 1, lettere e) ed f), del CRR. L</w:t>
            </w:r>
            <w:r w:rsidR="0009277C" w:rsidRPr="00D51A68">
              <w:rPr>
                <w:rFonts w:ascii="Times New Roman" w:hAnsi="Times New Roman"/>
                <w:sz w:val="24"/>
              </w:rPr>
              <w:t>’</w:t>
            </w:r>
            <w:r w:rsidRPr="00D51A68">
              <w:rPr>
                <w:rFonts w:ascii="Times New Roman" w:hAnsi="Times New Roman"/>
                <w:sz w:val="24"/>
              </w:rPr>
              <w:t>importo da segnalare è la stima del valore di mercato della garanzia.</w:t>
            </w:r>
          </w:p>
        </w:tc>
      </w:tr>
      <w:tr w:rsidR="001C7AB7" w:rsidRPr="00D51A68" w:rsidTr="00672D2A">
        <w:tc>
          <w:tcPr>
            <w:tcW w:w="1188" w:type="dxa"/>
          </w:tcPr>
          <w:p w:rsidR="001C7AB7" w:rsidRPr="00D51A68" w:rsidDel="001D4BE0" w:rsidRDefault="001C7AB7" w:rsidP="001C7AB7">
            <w:pPr>
              <w:rPr>
                <w:rFonts w:ascii="Times New Roman" w:hAnsi="Times New Roman"/>
                <w:sz w:val="24"/>
              </w:rPr>
            </w:pPr>
            <w:r w:rsidRPr="00D51A68">
              <w:rPr>
                <w:rFonts w:ascii="Times New Roman" w:hAnsi="Times New Roman"/>
                <w:sz w:val="24"/>
              </w:rPr>
              <w:lastRenderedPageBreak/>
              <w:t>190-210</w:t>
            </w:r>
          </w:p>
        </w:tc>
        <w:tc>
          <w:tcPr>
            <w:tcW w:w="8843" w:type="dxa"/>
          </w:tcPr>
          <w:p w:rsidR="001C7AB7" w:rsidRPr="00D51A68" w:rsidRDefault="001C7AB7" w:rsidP="001C7AB7">
            <w:pPr>
              <w:rPr>
                <w:rFonts w:ascii="Times New Roman" w:hAnsi="Times New Roman"/>
                <w:b/>
                <w:sz w:val="24"/>
                <w:u w:val="single"/>
              </w:rPr>
            </w:pPr>
            <w:r w:rsidRPr="00D51A68">
              <w:rPr>
                <w:rFonts w:ascii="Times New Roman" w:hAnsi="Times New Roman"/>
                <w:b/>
                <w:sz w:val="24"/>
                <w:u w:val="single"/>
              </w:rPr>
              <w:t>ALTRE GARANZIE REALI AMMISSIBILI</w:t>
            </w:r>
          </w:p>
          <w:p w:rsidR="001C7AB7" w:rsidRPr="00D51A68" w:rsidRDefault="00C61FF5" w:rsidP="001C7AB7">
            <w:pPr>
              <w:rPr>
                <w:rFonts w:ascii="Times New Roman" w:hAnsi="Times New Roman"/>
                <w:sz w:val="24"/>
              </w:rPr>
            </w:pPr>
            <w:r w:rsidRPr="00D51A68">
              <w:rPr>
                <w:rFonts w:ascii="Times New Roman" w:hAnsi="Times New Roman"/>
                <w:sz w:val="24"/>
              </w:rPr>
              <w:t>Se non sono utilizzate stime interne della LGD, si applicano l</w:t>
            </w:r>
            <w:r w:rsidR="0009277C" w:rsidRPr="00D51A68">
              <w:rPr>
                <w:rFonts w:ascii="Times New Roman" w:hAnsi="Times New Roman"/>
                <w:sz w:val="24"/>
              </w:rPr>
              <w:t>’</w:t>
            </w:r>
            <w:r w:rsidRPr="00D51A68">
              <w:rPr>
                <w:rFonts w:ascii="Times New Roman" w:hAnsi="Times New Roman"/>
                <w:sz w:val="24"/>
              </w:rPr>
              <w:t>articolo 199, paragrafi da 1 a 8, e l</w:t>
            </w:r>
            <w:r w:rsidR="0009277C" w:rsidRPr="00D51A68">
              <w:rPr>
                <w:rFonts w:ascii="Times New Roman" w:hAnsi="Times New Roman"/>
                <w:sz w:val="24"/>
              </w:rPr>
              <w:t>’</w:t>
            </w:r>
            <w:r w:rsidRPr="00D51A68">
              <w:rPr>
                <w:rFonts w:ascii="Times New Roman" w:hAnsi="Times New Roman"/>
                <w:sz w:val="24"/>
              </w:rPr>
              <w:t>articolo 229 del CRR.</w:t>
            </w:r>
          </w:p>
          <w:p w:rsidR="001C7AB7" w:rsidRPr="00D51A68" w:rsidRDefault="00C61FF5" w:rsidP="00C61FF5">
            <w:pPr>
              <w:rPr>
                <w:rFonts w:ascii="Times New Roman" w:hAnsi="Times New Roman"/>
                <w:b/>
                <w:sz w:val="24"/>
                <w:u w:val="single"/>
              </w:rPr>
            </w:pPr>
            <w:r w:rsidRPr="00D51A68">
              <w:rPr>
                <w:rFonts w:ascii="Times New Roman" w:hAnsi="Times New Roman"/>
                <w:sz w:val="24"/>
              </w:rPr>
              <w:t>Se sono utilizzate stime interne della LGD, si segnalano le altre garanzie reali prese in considerazione nelle stime della LGD conformemente all</w:t>
            </w:r>
            <w:r w:rsidR="0009277C" w:rsidRPr="00D51A68">
              <w:rPr>
                <w:rFonts w:ascii="Times New Roman" w:hAnsi="Times New Roman"/>
                <w:sz w:val="24"/>
              </w:rPr>
              <w:t>’</w:t>
            </w:r>
            <w:r w:rsidRPr="00D51A68">
              <w:rPr>
                <w:rFonts w:ascii="Times New Roman" w:hAnsi="Times New Roman"/>
                <w:sz w:val="24"/>
              </w:rPr>
              <w:t>articolo 181, paragrafo 1, lettere e) e f), del CRR.</w:t>
            </w:r>
          </w:p>
        </w:tc>
      </w:tr>
      <w:tr w:rsidR="001C7AB7" w:rsidRPr="00D51A68" w:rsidTr="00672D2A">
        <w:tc>
          <w:tcPr>
            <w:tcW w:w="1188" w:type="dxa"/>
          </w:tcPr>
          <w:p w:rsidR="001C7AB7" w:rsidRPr="00D51A68" w:rsidRDefault="001C7AB7" w:rsidP="00C61FF5">
            <w:pPr>
              <w:spacing w:line="240" w:lineRule="exact"/>
              <w:rPr>
                <w:rFonts w:ascii="Times New Roman" w:hAnsi="Times New Roman"/>
                <w:sz w:val="24"/>
              </w:rPr>
            </w:pPr>
            <w:r w:rsidRPr="00D51A68">
              <w:rPr>
                <w:rFonts w:ascii="Times New Roman" w:hAnsi="Times New Roman"/>
                <w:sz w:val="24"/>
              </w:rPr>
              <w:t>190</w:t>
            </w:r>
          </w:p>
        </w:tc>
        <w:tc>
          <w:tcPr>
            <w:tcW w:w="8843" w:type="dxa"/>
          </w:tcPr>
          <w:p w:rsidR="001C7AB7" w:rsidRPr="00D51A68" w:rsidRDefault="001C7AB7" w:rsidP="00C61FF5">
            <w:pPr>
              <w:spacing w:line="240" w:lineRule="exact"/>
              <w:rPr>
                <w:rFonts w:ascii="Times New Roman" w:hAnsi="Times New Roman"/>
                <w:sz w:val="24"/>
              </w:rPr>
            </w:pPr>
            <w:r w:rsidRPr="00D51A68">
              <w:rPr>
                <w:rFonts w:ascii="Times New Roman" w:hAnsi="Times New Roman"/>
                <w:b/>
                <w:sz w:val="24"/>
                <w:u w:val="single"/>
              </w:rPr>
              <w:t>IMMOBILI</w:t>
            </w:r>
          </w:p>
          <w:p w:rsidR="001C7AB7" w:rsidRPr="00D51A68" w:rsidRDefault="00C61FF5" w:rsidP="00C61FF5">
            <w:pPr>
              <w:spacing w:line="240" w:lineRule="exact"/>
              <w:rPr>
                <w:rFonts w:ascii="Times New Roman" w:hAnsi="Times New Roman"/>
                <w:sz w:val="24"/>
              </w:rPr>
            </w:pPr>
            <w:r w:rsidRPr="00D51A68">
              <w:rPr>
                <w:rFonts w:ascii="Times New Roman" w:hAnsi="Times New Roman"/>
                <w:sz w:val="24"/>
              </w:rPr>
              <w:t>Se non sono utilizzate stime interne della LGD, si segnalano i valori di cui all</w:t>
            </w:r>
            <w:r w:rsidR="0009277C" w:rsidRPr="00D51A68">
              <w:rPr>
                <w:rFonts w:ascii="Times New Roman" w:hAnsi="Times New Roman"/>
                <w:sz w:val="24"/>
              </w:rPr>
              <w:t>’</w:t>
            </w:r>
            <w:r w:rsidR="0073183F" w:rsidRPr="00D51A68">
              <w:rPr>
                <w:rFonts w:ascii="Times New Roman" w:hAnsi="Times New Roman"/>
                <w:sz w:val="24"/>
              </w:rPr>
              <w:t>articolo </w:t>
            </w:r>
            <w:r w:rsidRPr="00D51A68">
              <w:rPr>
                <w:rFonts w:ascii="Times New Roman" w:hAnsi="Times New Roman"/>
                <w:sz w:val="24"/>
              </w:rPr>
              <w:t>199, paragrafi da 2 a 4, del CRR. Sono compresi gli immobili dati in leasing (cfr. articolo 199, paragrafo 7, del CRR). Cfr. anche l</w:t>
            </w:r>
            <w:r w:rsidR="0009277C" w:rsidRPr="00D51A68">
              <w:rPr>
                <w:rFonts w:ascii="Times New Roman" w:hAnsi="Times New Roman"/>
                <w:sz w:val="24"/>
              </w:rPr>
              <w:t>’</w:t>
            </w:r>
            <w:r w:rsidRPr="00D51A68">
              <w:rPr>
                <w:rFonts w:ascii="Times New Roman" w:hAnsi="Times New Roman"/>
                <w:sz w:val="24"/>
              </w:rPr>
              <w:t>articolo 229 del CRR.</w:t>
            </w:r>
          </w:p>
          <w:p w:rsidR="001C7AB7" w:rsidRPr="00D51A68" w:rsidRDefault="001C7AB7" w:rsidP="00C61FF5">
            <w:pPr>
              <w:spacing w:line="240" w:lineRule="exact"/>
              <w:rPr>
                <w:rFonts w:ascii="Times New Roman" w:hAnsi="Times New Roman"/>
                <w:sz w:val="24"/>
              </w:rPr>
            </w:pPr>
            <w:r w:rsidRPr="00D51A68">
              <w:rPr>
                <w:rFonts w:ascii="Times New Roman" w:hAnsi="Times New Roman"/>
                <w:sz w:val="24"/>
              </w:rPr>
              <w:t>Se sono utilizzate stime interne della LGD, l</w:t>
            </w:r>
            <w:r w:rsidR="0009277C" w:rsidRPr="00D51A68">
              <w:rPr>
                <w:rFonts w:ascii="Times New Roman" w:hAnsi="Times New Roman"/>
                <w:sz w:val="24"/>
              </w:rPr>
              <w:t>’</w:t>
            </w:r>
            <w:r w:rsidRPr="00D51A68">
              <w:rPr>
                <w:rFonts w:ascii="Times New Roman" w:hAnsi="Times New Roman"/>
                <w:sz w:val="24"/>
              </w:rPr>
              <w:t>importo da segnalare è la stima del valore di mercato.</w:t>
            </w:r>
          </w:p>
        </w:tc>
      </w:tr>
      <w:tr w:rsidR="001C7AB7" w:rsidRPr="00D51A68" w:rsidTr="00672D2A">
        <w:tc>
          <w:tcPr>
            <w:tcW w:w="1188" w:type="dxa"/>
          </w:tcPr>
          <w:p w:rsidR="001C7AB7" w:rsidRPr="00D51A68" w:rsidRDefault="001C7AB7" w:rsidP="001C7AB7">
            <w:pPr>
              <w:rPr>
                <w:rFonts w:ascii="Times New Roman" w:hAnsi="Times New Roman"/>
                <w:sz w:val="24"/>
              </w:rPr>
            </w:pPr>
            <w:r w:rsidRPr="00D51A68">
              <w:rPr>
                <w:rFonts w:ascii="Times New Roman" w:hAnsi="Times New Roman"/>
                <w:sz w:val="24"/>
              </w:rPr>
              <w:t>200</w:t>
            </w:r>
          </w:p>
        </w:tc>
        <w:tc>
          <w:tcPr>
            <w:tcW w:w="8843" w:type="dxa"/>
          </w:tcPr>
          <w:p w:rsidR="001C7AB7" w:rsidRPr="00D51A68" w:rsidRDefault="001C7AB7" w:rsidP="001C7AB7">
            <w:pPr>
              <w:rPr>
                <w:rFonts w:ascii="Times New Roman" w:hAnsi="Times New Roman"/>
                <w:b/>
                <w:sz w:val="24"/>
                <w:u w:val="single"/>
              </w:rPr>
            </w:pPr>
            <w:r w:rsidRPr="00D51A68">
              <w:rPr>
                <w:rFonts w:ascii="Times New Roman" w:hAnsi="Times New Roman"/>
                <w:b/>
                <w:sz w:val="24"/>
                <w:u w:val="single"/>
              </w:rPr>
              <w:t>ALTRE GARANZIE REALI MATERIALI</w:t>
            </w:r>
          </w:p>
          <w:p w:rsidR="001C7AB7" w:rsidRPr="00D51A68" w:rsidRDefault="00C61FF5" w:rsidP="001C7AB7">
            <w:pPr>
              <w:rPr>
                <w:rFonts w:ascii="Times New Roman" w:hAnsi="Times New Roman"/>
                <w:sz w:val="24"/>
              </w:rPr>
            </w:pPr>
            <w:r w:rsidRPr="00D51A68">
              <w:rPr>
                <w:rFonts w:ascii="Times New Roman" w:hAnsi="Times New Roman"/>
                <w:sz w:val="24"/>
              </w:rPr>
              <w:t>Se non sono utilizzate stime interne della LGD, si segnalano i valori di cui all</w:t>
            </w:r>
            <w:r w:rsidR="0009277C" w:rsidRPr="00D51A68">
              <w:rPr>
                <w:rFonts w:ascii="Times New Roman" w:hAnsi="Times New Roman"/>
                <w:sz w:val="24"/>
              </w:rPr>
              <w:t>’</w:t>
            </w:r>
            <w:r w:rsidR="0073183F" w:rsidRPr="00D51A68">
              <w:rPr>
                <w:rFonts w:ascii="Times New Roman" w:hAnsi="Times New Roman"/>
                <w:sz w:val="24"/>
              </w:rPr>
              <w:t>articolo </w:t>
            </w:r>
            <w:r w:rsidRPr="00D51A68">
              <w:rPr>
                <w:rFonts w:ascii="Times New Roman" w:hAnsi="Times New Roman"/>
                <w:sz w:val="24"/>
              </w:rPr>
              <w:t>199, paragrafi 6 e 8, del CRR. Sono compresi anche i beni dati in leasing diversi dagli immobili (cfr. articolo 199, paragrafo 7, del CRR). Cfr. anche l</w:t>
            </w:r>
            <w:r w:rsidR="0009277C" w:rsidRPr="00D51A68">
              <w:rPr>
                <w:rFonts w:ascii="Times New Roman" w:hAnsi="Times New Roman"/>
                <w:sz w:val="24"/>
              </w:rPr>
              <w:t>’</w:t>
            </w:r>
            <w:r w:rsidRPr="00D51A68">
              <w:rPr>
                <w:rFonts w:ascii="Times New Roman" w:hAnsi="Times New Roman"/>
                <w:sz w:val="24"/>
              </w:rPr>
              <w:t xml:space="preserve">articolo 229, paragrafo 3, del CRR. </w:t>
            </w:r>
          </w:p>
          <w:p w:rsidR="001C7AB7" w:rsidRPr="00D51A68" w:rsidRDefault="00C61FF5" w:rsidP="00C61FF5">
            <w:pPr>
              <w:rPr>
                <w:rFonts w:ascii="Times New Roman" w:hAnsi="Times New Roman"/>
                <w:b/>
                <w:sz w:val="24"/>
                <w:u w:val="single"/>
              </w:rPr>
            </w:pPr>
            <w:r w:rsidRPr="00D51A68">
              <w:rPr>
                <w:rFonts w:ascii="Times New Roman" w:hAnsi="Times New Roman"/>
                <w:sz w:val="24"/>
              </w:rPr>
              <w:t>Se sono utilizzate stime interne della LGD, l</w:t>
            </w:r>
            <w:r w:rsidR="0009277C" w:rsidRPr="00D51A68">
              <w:rPr>
                <w:rFonts w:ascii="Times New Roman" w:hAnsi="Times New Roman"/>
                <w:sz w:val="24"/>
              </w:rPr>
              <w:t>’</w:t>
            </w:r>
            <w:r w:rsidRPr="00D51A68">
              <w:rPr>
                <w:rFonts w:ascii="Times New Roman" w:hAnsi="Times New Roman"/>
                <w:sz w:val="24"/>
              </w:rPr>
              <w:t>importo da segnalare è la stima del valore di mercato della garanzia.</w:t>
            </w:r>
          </w:p>
        </w:tc>
      </w:tr>
      <w:tr w:rsidR="001C7AB7" w:rsidRPr="00D51A68" w:rsidTr="00672D2A">
        <w:tc>
          <w:tcPr>
            <w:tcW w:w="1188" w:type="dxa"/>
          </w:tcPr>
          <w:p w:rsidR="001C7AB7" w:rsidRPr="00D51A68" w:rsidRDefault="001C7AB7" w:rsidP="001C7AB7">
            <w:pPr>
              <w:rPr>
                <w:rFonts w:ascii="Times New Roman" w:hAnsi="Times New Roman"/>
                <w:sz w:val="24"/>
              </w:rPr>
            </w:pPr>
            <w:r w:rsidRPr="00D51A68">
              <w:rPr>
                <w:rFonts w:ascii="Times New Roman" w:hAnsi="Times New Roman"/>
                <w:sz w:val="24"/>
              </w:rPr>
              <w:t>210</w:t>
            </w:r>
          </w:p>
        </w:tc>
        <w:tc>
          <w:tcPr>
            <w:tcW w:w="8843" w:type="dxa"/>
          </w:tcPr>
          <w:p w:rsidR="001C7AB7" w:rsidRPr="00D51A68" w:rsidRDefault="001C7AB7" w:rsidP="001C7AB7">
            <w:pPr>
              <w:rPr>
                <w:rFonts w:ascii="Times New Roman" w:hAnsi="Times New Roman"/>
                <w:b/>
                <w:sz w:val="24"/>
                <w:u w:val="single"/>
              </w:rPr>
            </w:pPr>
            <w:r w:rsidRPr="00D51A68">
              <w:rPr>
                <w:rFonts w:ascii="Times New Roman" w:hAnsi="Times New Roman"/>
                <w:b/>
                <w:sz w:val="24"/>
                <w:u w:val="single"/>
              </w:rPr>
              <w:t>CREDITI COMMERCIALI</w:t>
            </w:r>
          </w:p>
          <w:p w:rsidR="001C7AB7" w:rsidRPr="00D51A68" w:rsidRDefault="001C7AB7" w:rsidP="001C7AB7">
            <w:pPr>
              <w:rPr>
                <w:rFonts w:ascii="Times New Roman" w:hAnsi="Times New Roman"/>
                <w:sz w:val="24"/>
              </w:rPr>
            </w:pPr>
            <w:r w:rsidRPr="00D51A68">
              <w:rPr>
                <w:rFonts w:ascii="Times New Roman" w:hAnsi="Times New Roman"/>
                <w:sz w:val="24"/>
              </w:rPr>
              <w:t>Se non sono utilizzate stime interne della LGD, si segnalano i valori di cui all</w:t>
            </w:r>
            <w:r w:rsidR="0009277C" w:rsidRPr="00D51A68">
              <w:rPr>
                <w:rFonts w:ascii="Times New Roman" w:hAnsi="Times New Roman"/>
                <w:sz w:val="24"/>
              </w:rPr>
              <w:t>’</w:t>
            </w:r>
            <w:r w:rsidR="0073183F" w:rsidRPr="00D51A68">
              <w:rPr>
                <w:rFonts w:ascii="Times New Roman" w:hAnsi="Times New Roman"/>
                <w:sz w:val="24"/>
              </w:rPr>
              <w:t>articolo </w:t>
            </w:r>
            <w:r w:rsidRPr="00D51A68">
              <w:rPr>
                <w:rFonts w:ascii="Times New Roman" w:hAnsi="Times New Roman"/>
                <w:sz w:val="24"/>
              </w:rPr>
              <w:t>199, paragrafo 5, e all</w:t>
            </w:r>
            <w:r w:rsidR="0009277C" w:rsidRPr="00D51A68">
              <w:rPr>
                <w:rFonts w:ascii="Times New Roman" w:hAnsi="Times New Roman"/>
                <w:sz w:val="24"/>
              </w:rPr>
              <w:t>’</w:t>
            </w:r>
            <w:r w:rsidRPr="00D51A68">
              <w:rPr>
                <w:rFonts w:ascii="Times New Roman" w:hAnsi="Times New Roman"/>
                <w:sz w:val="24"/>
              </w:rPr>
              <w:t>articolo 229, paragrafo 2, del CRR.</w:t>
            </w:r>
          </w:p>
          <w:p w:rsidR="001C7AB7" w:rsidRPr="00D51A68" w:rsidRDefault="001C7AB7" w:rsidP="001C7AB7">
            <w:pPr>
              <w:rPr>
                <w:rFonts w:ascii="Times New Roman" w:hAnsi="Times New Roman"/>
                <w:b/>
                <w:sz w:val="24"/>
                <w:u w:val="single"/>
              </w:rPr>
            </w:pPr>
            <w:r w:rsidRPr="00D51A68">
              <w:rPr>
                <w:rFonts w:ascii="Times New Roman" w:hAnsi="Times New Roman"/>
                <w:sz w:val="24"/>
              </w:rPr>
              <w:t>Se sono utilizzate stime interne della LGD, l</w:t>
            </w:r>
            <w:r w:rsidR="0009277C" w:rsidRPr="00D51A68">
              <w:rPr>
                <w:rFonts w:ascii="Times New Roman" w:hAnsi="Times New Roman"/>
                <w:sz w:val="24"/>
              </w:rPr>
              <w:t>’</w:t>
            </w:r>
            <w:r w:rsidRPr="00D51A68">
              <w:rPr>
                <w:rFonts w:ascii="Times New Roman" w:hAnsi="Times New Roman"/>
                <w:sz w:val="24"/>
              </w:rPr>
              <w:t>importo da segnalare è la stima del valore di mercato della garanzia.</w:t>
            </w:r>
          </w:p>
        </w:tc>
      </w:tr>
      <w:tr w:rsidR="001C7AB7" w:rsidRPr="00D51A68" w:rsidTr="00672D2A">
        <w:tc>
          <w:tcPr>
            <w:tcW w:w="1188" w:type="dxa"/>
          </w:tcPr>
          <w:p w:rsidR="001C7AB7" w:rsidRPr="00D51A68" w:rsidRDefault="001C7AB7" w:rsidP="001C7AB7">
            <w:pPr>
              <w:rPr>
                <w:rFonts w:ascii="Times New Roman" w:hAnsi="Times New Roman"/>
                <w:sz w:val="24"/>
              </w:rPr>
            </w:pPr>
            <w:r w:rsidRPr="00D51A68">
              <w:rPr>
                <w:rFonts w:ascii="Times New Roman" w:hAnsi="Times New Roman"/>
                <w:sz w:val="24"/>
              </w:rPr>
              <w:t>220</w:t>
            </w:r>
          </w:p>
        </w:tc>
        <w:tc>
          <w:tcPr>
            <w:tcW w:w="8843" w:type="dxa"/>
          </w:tcPr>
          <w:p w:rsidR="001C7AB7" w:rsidRPr="00D51A68" w:rsidRDefault="001C7AB7" w:rsidP="001C7AB7">
            <w:pPr>
              <w:rPr>
                <w:rFonts w:ascii="Times New Roman" w:hAnsi="Times New Roman"/>
                <w:b/>
                <w:sz w:val="24"/>
                <w:u w:val="single"/>
              </w:rPr>
            </w:pPr>
            <w:r w:rsidRPr="00D51A68">
              <w:rPr>
                <w:rFonts w:ascii="Times New Roman" w:hAnsi="Times New Roman"/>
                <w:b/>
                <w:sz w:val="24"/>
                <w:u w:val="single"/>
              </w:rPr>
              <w:t xml:space="preserve">SOGGETTE AL TRATTAMENTO DEL </w:t>
            </w:r>
            <w:r w:rsidR="0009277C" w:rsidRPr="00D51A68">
              <w:rPr>
                <w:rFonts w:ascii="Times New Roman" w:hAnsi="Times New Roman"/>
                <w:b/>
                <w:sz w:val="24"/>
                <w:u w:val="single"/>
              </w:rPr>
              <w:t>“</w:t>
            </w:r>
            <w:r w:rsidRPr="00D51A68">
              <w:rPr>
                <w:rFonts w:ascii="Times New Roman" w:hAnsi="Times New Roman"/>
                <w:b/>
                <w:sz w:val="24"/>
                <w:u w:val="single"/>
              </w:rPr>
              <w:t>DOUBLE DEFAULT</w:t>
            </w:r>
            <w:r w:rsidR="0009277C" w:rsidRPr="00D51A68">
              <w:rPr>
                <w:rFonts w:ascii="Times New Roman" w:hAnsi="Times New Roman"/>
                <w:b/>
                <w:sz w:val="24"/>
                <w:u w:val="single"/>
              </w:rPr>
              <w:t>”</w:t>
            </w:r>
            <w:r w:rsidRPr="00D51A68">
              <w:rPr>
                <w:rFonts w:ascii="Times New Roman" w:hAnsi="Times New Roman"/>
                <w:b/>
                <w:sz w:val="24"/>
                <w:u w:val="single"/>
              </w:rPr>
              <w:t>: PROTEZIONE DEL CREDITO DI TIPO PERSONALE</w:t>
            </w:r>
          </w:p>
          <w:p w:rsidR="001C7AB7" w:rsidRPr="00D51A68" w:rsidRDefault="001C7AB7" w:rsidP="00902EFC">
            <w:pPr>
              <w:rPr>
                <w:rFonts w:ascii="Times New Roman" w:hAnsi="Times New Roman"/>
                <w:b/>
                <w:sz w:val="24"/>
                <w:u w:val="single"/>
              </w:rPr>
            </w:pPr>
            <w:r w:rsidRPr="00D51A68">
              <w:rPr>
                <w:rFonts w:ascii="Times New Roman" w:hAnsi="Times New Roman"/>
                <w:sz w:val="24"/>
              </w:rPr>
              <w:t xml:space="preserve">Garanzie e derivati su crediti a copertura di esposizioni soggette al trattamento del </w:t>
            </w:r>
            <w:r w:rsidR="0009277C" w:rsidRPr="00D51A68">
              <w:rPr>
                <w:rFonts w:ascii="Times New Roman" w:hAnsi="Times New Roman"/>
                <w:sz w:val="24"/>
              </w:rPr>
              <w:t>“</w:t>
            </w:r>
            <w:r w:rsidRPr="00D51A68">
              <w:rPr>
                <w:rFonts w:ascii="Times New Roman" w:hAnsi="Times New Roman"/>
                <w:sz w:val="24"/>
              </w:rPr>
              <w:t>double default</w:t>
            </w:r>
            <w:r w:rsidR="0009277C" w:rsidRPr="00D51A68">
              <w:rPr>
                <w:rFonts w:ascii="Times New Roman" w:hAnsi="Times New Roman"/>
                <w:sz w:val="24"/>
              </w:rPr>
              <w:t>”</w:t>
            </w:r>
            <w:r w:rsidRPr="00D51A68">
              <w:rPr>
                <w:rFonts w:ascii="Times New Roman" w:hAnsi="Times New Roman"/>
                <w:sz w:val="24"/>
              </w:rPr>
              <w:t xml:space="preserve"> ai sensi dell</w:t>
            </w:r>
            <w:r w:rsidR="0009277C" w:rsidRPr="00D51A68">
              <w:rPr>
                <w:rFonts w:ascii="Times New Roman" w:hAnsi="Times New Roman"/>
                <w:sz w:val="24"/>
              </w:rPr>
              <w:t>’</w:t>
            </w:r>
            <w:r w:rsidRPr="00D51A68">
              <w:rPr>
                <w:rFonts w:ascii="Times New Roman" w:hAnsi="Times New Roman"/>
                <w:sz w:val="24"/>
              </w:rPr>
              <w:t>articolo 202 e dell</w:t>
            </w:r>
            <w:r w:rsidR="0009277C" w:rsidRPr="00D51A68">
              <w:rPr>
                <w:rFonts w:ascii="Times New Roman" w:hAnsi="Times New Roman"/>
                <w:sz w:val="24"/>
              </w:rPr>
              <w:t>’</w:t>
            </w:r>
            <w:r w:rsidRPr="00D51A68">
              <w:rPr>
                <w:rFonts w:ascii="Times New Roman" w:hAnsi="Times New Roman"/>
                <w:sz w:val="24"/>
              </w:rPr>
              <w:t xml:space="preserve">articolo 217, paragrafo 1, del CRR. Cfr. anche le colonne 040 </w:t>
            </w:r>
            <w:r w:rsidR="0009277C" w:rsidRPr="00D51A68">
              <w:rPr>
                <w:rFonts w:ascii="Times New Roman" w:hAnsi="Times New Roman"/>
                <w:sz w:val="24"/>
              </w:rPr>
              <w:t>“</w:t>
            </w:r>
            <w:r w:rsidRPr="00D51A68">
              <w:rPr>
                <w:rFonts w:ascii="Times New Roman" w:hAnsi="Times New Roman"/>
                <w:sz w:val="24"/>
              </w:rPr>
              <w:t>garanzie</w:t>
            </w:r>
            <w:r w:rsidR="0009277C" w:rsidRPr="00D51A68">
              <w:rPr>
                <w:rFonts w:ascii="Times New Roman" w:hAnsi="Times New Roman"/>
                <w:sz w:val="24"/>
              </w:rPr>
              <w:t>”</w:t>
            </w:r>
            <w:r w:rsidRPr="00D51A68">
              <w:rPr>
                <w:rFonts w:ascii="Times New Roman" w:hAnsi="Times New Roman"/>
                <w:sz w:val="24"/>
              </w:rPr>
              <w:t xml:space="preserve"> e 050 </w:t>
            </w:r>
            <w:r w:rsidR="0009277C" w:rsidRPr="00D51A68">
              <w:rPr>
                <w:rFonts w:ascii="Times New Roman" w:hAnsi="Times New Roman"/>
                <w:sz w:val="24"/>
              </w:rPr>
              <w:t>“</w:t>
            </w:r>
            <w:r w:rsidRPr="00D51A68">
              <w:rPr>
                <w:rFonts w:ascii="Times New Roman" w:hAnsi="Times New Roman"/>
                <w:sz w:val="24"/>
              </w:rPr>
              <w:t>derivati su crediti</w:t>
            </w:r>
            <w:r w:rsidR="0009277C" w:rsidRPr="00D51A68">
              <w:rPr>
                <w:rFonts w:ascii="Times New Roman" w:hAnsi="Times New Roman"/>
                <w:sz w:val="24"/>
              </w:rPr>
              <w:t>”</w:t>
            </w:r>
            <w:r w:rsidRPr="00D51A68">
              <w:rPr>
                <w:rFonts w:ascii="Times New Roman" w:hAnsi="Times New Roman"/>
                <w:sz w:val="24"/>
              </w:rPr>
              <w:t xml:space="preserve">. </w:t>
            </w:r>
          </w:p>
        </w:tc>
      </w:tr>
      <w:tr w:rsidR="001C7AB7" w:rsidRPr="00D51A68" w:rsidTr="00672D2A">
        <w:tc>
          <w:tcPr>
            <w:tcW w:w="1188" w:type="dxa"/>
          </w:tcPr>
          <w:p w:rsidR="001C7AB7" w:rsidRPr="00D51A68" w:rsidRDefault="001C7AB7" w:rsidP="001C7AB7">
            <w:pPr>
              <w:rPr>
                <w:rFonts w:ascii="Times New Roman" w:hAnsi="Times New Roman"/>
                <w:sz w:val="24"/>
              </w:rPr>
            </w:pPr>
            <w:r w:rsidRPr="00D51A68">
              <w:rPr>
                <w:rFonts w:ascii="Times New Roman" w:hAnsi="Times New Roman"/>
                <w:sz w:val="24"/>
              </w:rPr>
              <w:lastRenderedPageBreak/>
              <w:t>230</w:t>
            </w:r>
          </w:p>
        </w:tc>
        <w:tc>
          <w:tcPr>
            <w:tcW w:w="8843" w:type="dxa"/>
          </w:tcPr>
          <w:p w:rsidR="001C7AB7" w:rsidRPr="00D51A68" w:rsidRDefault="001C7AB7" w:rsidP="001C7AB7">
            <w:pPr>
              <w:rPr>
                <w:rFonts w:ascii="Times New Roman" w:hAnsi="Times New Roman"/>
                <w:b/>
                <w:sz w:val="24"/>
                <w:u w:val="single"/>
              </w:rPr>
            </w:pPr>
            <w:r w:rsidRPr="00D51A68">
              <w:rPr>
                <w:rFonts w:ascii="Times New Roman" w:hAnsi="Times New Roman"/>
                <w:b/>
                <w:sz w:val="24"/>
                <w:u w:val="single"/>
              </w:rPr>
              <w:t>LGD MEDIA PONDERATA PER L</w:t>
            </w:r>
            <w:r w:rsidR="0009277C" w:rsidRPr="00D51A68">
              <w:rPr>
                <w:rFonts w:ascii="Times New Roman" w:hAnsi="Times New Roman"/>
                <w:b/>
                <w:sz w:val="24"/>
                <w:u w:val="single"/>
              </w:rPr>
              <w:t>’</w:t>
            </w:r>
            <w:r w:rsidRPr="00D51A68">
              <w:rPr>
                <w:rFonts w:ascii="Times New Roman" w:hAnsi="Times New Roman"/>
                <w:b/>
                <w:sz w:val="24"/>
                <w:u w:val="single"/>
              </w:rPr>
              <w:t>ESPOSIZIONE (%)</w:t>
            </w:r>
          </w:p>
          <w:p w:rsidR="001C7AB7" w:rsidRPr="00D51A68" w:rsidRDefault="001C7AB7" w:rsidP="001C7AB7">
            <w:pPr>
              <w:rPr>
                <w:rFonts w:ascii="Times New Roman" w:hAnsi="Times New Roman"/>
                <w:sz w:val="24"/>
              </w:rPr>
            </w:pPr>
            <w:r w:rsidRPr="00D51A68">
              <w:rPr>
                <w:rFonts w:ascii="Times New Roman" w:hAnsi="Times New Roman"/>
                <w:sz w:val="24"/>
              </w:rPr>
              <w:t xml:space="preserve">Sono presi in considerazione tutti gli impatti delle tecniche di attenuazione del rischio di credito sui valori della LGD specificati nella parte tre, titolo II, capi 3 e 4, del CRR. In caso di esposizioni soggette al trattamento del </w:t>
            </w:r>
            <w:r w:rsidR="0009277C" w:rsidRPr="00D51A68">
              <w:rPr>
                <w:rFonts w:ascii="Times New Roman" w:hAnsi="Times New Roman"/>
                <w:sz w:val="24"/>
              </w:rPr>
              <w:t>“</w:t>
            </w:r>
            <w:r w:rsidRPr="00D51A68">
              <w:rPr>
                <w:rFonts w:ascii="Times New Roman" w:hAnsi="Times New Roman"/>
                <w:sz w:val="24"/>
              </w:rPr>
              <w:t>double default</w:t>
            </w:r>
            <w:r w:rsidR="0009277C" w:rsidRPr="00D51A68">
              <w:rPr>
                <w:rFonts w:ascii="Times New Roman" w:hAnsi="Times New Roman"/>
                <w:sz w:val="24"/>
              </w:rPr>
              <w:t>”</w:t>
            </w:r>
            <w:r w:rsidRPr="00D51A68">
              <w:rPr>
                <w:rFonts w:ascii="Times New Roman" w:hAnsi="Times New Roman"/>
                <w:sz w:val="24"/>
              </w:rPr>
              <w:t>, la LGD da segnalare è quella selezionata ai sensi dell</w:t>
            </w:r>
            <w:r w:rsidR="0009277C" w:rsidRPr="00D51A68">
              <w:rPr>
                <w:rFonts w:ascii="Times New Roman" w:hAnsi="Times New Roman"/>
                <w:sz w:val="24"/>
              </w:rPr>
              <w:t>’</w:t>
            </w:r>
            <w:r w:rsidRPr="00D51A68">
              <w:rPr>
                <w:rFonts w:ascii="Times New Roman" w:hAnsi="Times New Roman"/>
                <w:sz w:val="24"/>
              </w:rPr>
              <w:t>articolo 161, paragrafo 4, del CRR.</w:t>
            </w:r>
          </w:p>
          <w:p w:rsidR="001C7AB7" w:rsidRPr="00D51A68" w:rsidRDefault="001C7AB7" w:rsidP="001C7AB7">
            <w:pPr>
              <w:rPr>
                <w:rFonts w:ascii="Times New Roman" w:hAnsi="Times New Roman"/>
                <w:sz w:val="24"/>
              </w:rPr>
            </w:pPr>
            <w:r w:rsidRPr="00D51A68">
              <w:rPr>
                <w:rFonts w:ascii="Times New Roman" w:hAnsi="Times New Roman"/>
                <w:sz w:val="24"/>
              </w:rPr>
              <w:t>Per le esposizioni in stato di default si tiene conto delle disposizioni dell</w:t>
            </w:r>
            <w:r w:rsidR="0009277C" w:rsidRPr="00D51A68">
              <w:rPr>
                <w:rFonts w:ascii="Times New Roman" w:hAnsi="Times New Roman"/>
                <w:sz w:val="24"/>
              </w:rPr>
              <w:t>’</w:t>
            </w:r>
            <w:r w:rsidRPr="00D51A68">
              <w:rPr>
                <w:rFonts w:ascii="Times New Roman" w:hAnsi="Times New Roman"/>
                <w:sz w:val="24"/>
              </w:rPr>
              <w:t>articolo 181, paragrafo 1, lettera h), del CRR.</w:t>
            </w:r>
          </w:p>
          <w:p w:rsidR="001C7AB7" w:rsidRPr="00D51A68" w:rsidRDefault="001C7AB7" w:rsidP="001C7AB7">
            <w:pPr>
              <w:rPr>
                <w:rFonts w:ascii="Times New Roman" w:hAnsi="Times New Roman"/>
                <w:sz w:val="24"/>
              </w:rPr>
            </w:pPr>
            <w:r w:rsidRPr="00D51A68">
              <w:rPr>
                <w:rFonts w:ascii="Times New Roman" w:hAnsi="Times New Roman"/>
                <w:sz w:val="24"/>
              </w:rPr>
              <w:t>Per calcolare le medie ponderate per l</w:t>
            </w:r>
            <w:r w:rsidR="0009277C" w:rsidRPr="00D51A68">
              <w:rPr>
                <w:rFonts w:ascii="Times New Roman" w:hAnsi="Times New Roman"/>
                <w:sz w:val="24"/>
              </w:rPr>
              <w:t>’</w:t>
            </w:r>
            <w:r w:rsidRPr="00D51A68">
              <w:rPr>
                <w:rFonts w:ascii="Times New Roman" w:hAnsi="Times New Roman"/>
                <w:sz w:val="24"/>
              </w:rPr>
              <w:t>esposizione è utilizzata la definizione del valore dell</w:t>
            </w:r>
            <w:r w:rsidR="0009277C" w:rsidRPr="00D51A68">
              <w:rPr>
                <w:rFonts w:ascii="Times New Roman" w:hAnsi="Times New Roman"/>
                <w:sz w:val="24"/>
              </w:rPr>
              <w:t>’</w:t>
            </w:r>
            <w:r w:rsidRPr="00D51A68">
              <w:rPr>
                <w:rFonts w:ascii="Times New Roman" w:hAnsi="Times New Roman"/>
                <w:sz w:val="24"/>
              </w:rPr>
              <w:t>esposizione riportata nella colonna 110.</w:t>
            </w:r>
          </w:p>
          <w:p w:rsidR="001C7AB7" w:rsidRPr="00D51A68" w:rsidRDefault="001C7AB7" w:rsidP="001C7AB7">
            <w:pPr>
              <w:rPr>
                <w:rFonts w:ascii="Times New Roman" w:hAnsi="Times New Roman"/>
                <w:sz w:val="24"/>
              </w:rPr>
            </w:pPr>
            <w:r w:rsidRPr="00D51A68">
              <w:rPr>
                <w:rFonts w:ascii="Times New Roman" w:hAnsi="Times New Roman"/>
                <w:sz w:val="24"/>
              </w:rPr>
              <w:t>Sono presi in considerazione tutti gli effetti (pertanto la soglia minima applicabile alle ipoteche è inclusa nella segnalazione).</w:t>
            </w:r>
          </w:p>
          <w:p w:rsidR="001C7AB7" w:rsidRPr="00D51A68" w:rsidRDefault="001C7AB7" w:rsidP="001C7AB7">
            <w:pPr>
              <w:rPr>
                <w:rFonts w:ascii="Times New Roman" w:hAnsi="Times New Roman"/>
                <w:sz w:val="24"/>
              </w:rPr>
            </w:pPr>
            <w:r w:rsidRPr="00D51A68">
              <w:rPr>
                <w:rFonts w:ascii="Times New Roman" w:hAnsi="Times New Roman"/>
                <w:sz w:val="24"/>
              </w:rPr>
              <w:t>Per gli enti che applicano il metodo IRB ma non utilizzano stime interne della LGD, gli effetti di attenuazione del rischio delle garanzie reali finanziarie sono considerati in E*, il valore corretto integralmente dell</w:t>
            </w:r>
            <w:r w:rsidR="0009277C" w:rsidRPr="00D51A68">
              <w:rPr>
                <w:rFonts w:ascii="Times New Roman" w:hAnsi="Times New Roman"/>
                <w:sz w:val="24"/>
              </w:rPr>
              <w:t>’</w:t>
            </w:r>
            <w:r w:rsidRPr="00D51A68">
              <w:rPr>
                <w:rFonts w:ascii="Times New Roman" w:hAnsi="Times New Roman"/>
                <w:sz w:val="24"/>
              </w:rPr>
              <w:t>esposizione, e poi ripresi nella LGD* ai sensi dell</w:t>
            </w:r>
            <w:r w:rsidR="0009277C" w:rsidRPr="00D51A68">
              <w:rPr>
                <w:rFonts w:ascii="Times New Roman" w:hAnsi="Times New Roman"/>
                <w:sz w:val="24"/>
              </w:rPr>
              <w:t>’</w:t>
            </w:r>
            <w:r w:rsidRPr="00D51A68">
              <w:rPr>
                <w:rFonts w:ascii="Times New Roman" w:hAnsi="Times New Roman"/>
                <w:sz w:val="24"/>
              </w:rPr>
              <w:t>articolo 228, paragrafo 2, del CRR.</w:t>
            </w:r>
          </w:p>
          <w:p w:rsidR="001C7AB7" w:rsidRPr="00D51A68" w:rsidRDefault="001C7AB7" w:rsidP="001C7AB7">
            <w:pPr>
              <w:rPr>
                <w:rFonts w:ascii="Times New Roman" w:hAnsi="Times New Roman"/>
                <w:sz w:val="24"/>
              </w:rPr>
            </w:pPr>
            <w:r w:rsidRPr="00D51A68">
              <w:rPr>
                <w:rFonts w:ascii="Times New Roman" w:hAnsi="Times New Roman"/>
                <w:sz w:val="24"/>
              </w:rPr>
              <w:t>La LGD media ponderata per l</w:t>
            </w:r>
            <w:r w:rsidR="0009277C" w:rsidRPr="00D51A68">
              <w:rPr>
                <w:rFonts w:ascii="Times New Roman" w:hAnsi="Times New Roman"/>
                <w:sz w:val="24"/>
              </w:rPr>
              <w:t>’</w:t>
            </w:r>
            <w:r w:rsidRPr="00D51A68">
              <w:rPr>
                <w:rFonts w:ascii="Times New Roman" w:hAnsi="Times New Roman"/>
                <w:sz w:val="24"/>
              </w:rPr>
              <w:t xml:space="preserve">esposizione associata a ciascuna PD della </w:t>
            </w:r>
            <w:r w:rsidR="0009277C" w:rsidRPr="00D51A68">
              <w:rPr>
                <w:rFonts w:ascii="Times New Roman" w:hAnsi="Times New Roman"/>
                <w:sz w:val="24"/>
              </w:rPr>
              <w:t>“</w:t>
            </w:r>
            <w:r w:rsidRPr="00D51A68">
              <w:rPr>
                <w:rFonts w:ascii="Times New Roman" w:hAnsi="Times New Roman"/>
                <w:sz w:val="24"/>
              </w:rPr>
              <w:t>classe o pool di debitori</w:t>
            </w:r>
            <w:r w:rsidR="0009277C" w:rsidRPr="00D51A68">
              <w:rPr>
                <w:rFonts w:ascii="Times New Roman" w:hAnsi="Times New Roman"/>
                <w:sz w:val="24"/>
              </w:rPr>
              <w:t>”</w:t>
            </w:r>
            <w:r w:rsidRPr="00D51A68">
              <w:rPr>
                <w:rFonts w:ascii="Times New Roman" w:hAnsi="Times New Roman"/>
                <w:sz w:val="24"/>
              </w:rPr>
              <w:t xml:space="preserve"> deriva dalla media delle LGD prudenziali assegnate alle esposizioni relative alla PD della classe/pool in questione, ponderate per il rispettivo valore dell</w:t>
            </w:r>
            <w:r w:rsidR="0009277C" w:rsidRPr="00D51A68">
              <w:rPr>
                <w:rFonts w:ascii="Times New Roman" w:hAnsi="Times New Roman"/>
                <w:sz w:val="24"/>
              </w:rPr>
              <w:t>’</w:t>
            </w:r>
            <w:r w:rsidRPr="00D51A68">
              <w:rPr>
                <w:rFonts w:ascii="Times New Roman" w:hAnsi="Times New Roman"/>
                <w:sz w:val="24"/>
              </w:rPr>
              <w:t>esposizione di cui alla colonna 110.</w:t>
            </w:r>
          </w:p>
          <w:p w:rsidR="001C7AB7" w:rsidRPr="00D51A68" w:rsidRDefault="001C7AB7" w:rsidP="001C7AB7">
            <w:pPr>
              <w:rPr>
                <w:rFonts w:ascii="Times New Roman" w:hAnsi="Times New Roman"/>
                <w:sz w:val="24"/>
              </w:rPr>
            </w:pPr>
            <w:r w:rsidRPr="00D51A68">
              <w:rPr>
                <w:rFonts w:ascii="Times New Roman" w:hAnsi="Times New Roman"/>
                <w:sz w:val="24"/>
              </w:rPr>
              <w:t>Se sono utilizzate stime interne della LGD, si tiene conto dell</w:t>
            </w:r>
            <w:r w:rsidR="0009277C" w:rsidRPr="00D51A68">
              <w:rPr>
                <w:rFonts w:ascii="Times New Roman" w:hAnsi="Times New Roman"/>
                <w:sz w:val="24"/>
              </w:rPr>
              <w:t>’</w:t>
            </w:r>
            <w:r w:rsidRPr="00D51A68">
              <w:rPr>
                <w:rFonts w:ascii="Times New Roman" w:hAnsi="Times New Roman"/>
                <w:sz w:val="24"/>
              </w:rPr>
              <w:t>articolo</w:t>
            </w:r>
            <w:r w:rsidR="0073183F" w:rsidRPr="00D51A68">
              <w:rPr>
                <w:rFonts w:ascii="Times New Roman" w:hAnsi="Times New Roman"/>
                <w:sz w:val="24"/>
              </w:rPr>
              <w:t> </w:t>
            </w:r>
            <w:r w:rsidRPr="00D51A68">
              <w:rPr>
                <w:rFonts w:ascii="Times New Roman" w:hAnsi="Times New Roman"/>
                <w:sz w:val="24"/>
              </w:rPr>
              <w:t>175 e dell</w:t>
            </w:r>
            <w:r w:rsidR="0009277C" w:rsidRPr="00D51A68">
              <w:rPr>
                <w:rFonts w:ascii="Times New Roman" w:hAnsi="Times New Roman"/>
                <w:sz w:val="24"/>
              </w:rPr>
              <w:t>’</w:t>
            </w:r>
            <w:r w:rsidR="0073183F" w:rsidRPr="00D51A68">
              <w:rPr>
                <w:rFonts w:ascii="Times New Roman" w:hAnsi="Times New Roman"/>
                <w:sz w:val="24"/>
              </w:rPr>
              <w:t>articolo </w:t>
            </w:r>
            <w:r w:rsidRPr="00D51A68">
              <w:rPr>
                <w:rFonts w:ascii="Times New Roman" w:hAnsi="Times New Roman"/>
                <w:sz w:val="24"/>
              </w:rPr>
              <w:t>181, paragrafi 1 e 2, del CRR.</w:t>
            </w:r>
          </w:p>
          <w:p w:rsidR="001C7AB7" w:rsidRPr="00D51A68" w:rsidRDefault="001C7AB7" w:rsidP="001C7AB7">
            <w:pPr>
              <w:rPr>
                <w:rFonts w:ascii="Times New Roman" w:hAnsi="Times New Roman"/>
                <w:sz w:val="24"/>
              </w:rPr>
            </w:pPr>
            <w:r w:rsidRPr="00D51A68">
              <w:rPr>
                <w:rFonts w:ascii="Times New Roman" w:hAnsi="Times New Roman"/>
                <w:sz w:val="24"/>
              </w:rPr>
              <w:t xml:space="preserve">In caso di esposizioni soggette al trattamento del </w:t>
            </w:r>
            <w:r w:rsidR="0009277C" w:rsidRPr="00D51A68">
              <w:rPr>
                <w:rFonts w:ascii="Times New Roman" w:hAnsi="Times New Roman"/>
                <w:sz w:val="24"/>
              </w:rPr>
              <w:t>“</w:t>
            </w:r>
            <w:r w:rsidRPr="00D51A68">
              <w:rPr>
                <w:rFonts w:ascii="Times New Roman" w:hAnsi="Times New Roman"/>
                <w:sz w:val="24"/>
              </w:rPr>
              <w:t>double default</w:t>
            </w:r>
            <w:r w:rsidR="0009277C" w:rsidRPr="00D51A68">
              <w:rPr>
                <w:rFonts w:ascii="Times New Roman" w:hAnsi="Times New Roman"/>
                <w:sz w:val="24"/>
              </w:rPr>
              <w:t>”</w:t>
            </w:r>
            <w:r w:rsidRPr="00D51A68">
              <w:rPr>
                <w:rFonts w:ascii="Times New Roman" w:hAnsi="Times New Roman"/>
                <w:sz w:val="24"/>
              </w:rPr>
              <w:t>, la LGD da segnalare è quella selezionata ai sensi dell</w:t>
            </w:r>
            <w:r w:rsidR="0009277C" w:rsidRPr="00D51A68">
              <w:rPr>
                <w:rFonts w:ascii="Times New Roman" w:hAnsi="Times New Roman"/>
                <w:sz w:val="24"/>
              </w:rPr>
              <w:t>’</w:t>
            </w:r>
            <w:r w:rsidRPr="00D51A68">
              <w:rPr>
                <w:rFonts w:ascii="Times New Roman" w:hAnsi="Times New Roman"/>
                <w:sz w:val="24"/>
              </w:rPr>
              <w:t>articolo 161, paragrafo 4, del CRR.</w:t>
            </w:r>
          </w:p>
          <w:p w:rsidR="001C7AB7" w:rsidRPr="00D51A68" w:rsidRDefault="001C7AB7" w:rsidP="001C7AB7">
            <w:pPr>
              <w:rPr>
                <w:rFonts w:ascii="Times New Roman" w:hAnsi="Times New Roman"/>
                <w:sz w:val="24"/>
              </w:rPr>
            </w:pPr>
            <w:r w:rsidRPr="00D51A68">
              <w:rPr>
                <w:rFonts w:ascii="Times New Roman" w:hAnsi="Times New Roman"/>
                <w:sz w:val="24"/>
              </w:rPr>
              <w:t>Il calcolo della LGD media ponderata per l</w:t>
            </w:r>
            <w:r w:rsidR="0009277C" w:rsidRPr="00D51A68">
              <w:rPr>
                <w:rFonts w:ascii="Times New Roman" w:hAnsi="Times New Roman"/>
                <w:sz w:val="24"/>
              </w:rPr>
              <w:t>’</w:t>
            </w:r>
            <w:r w:rsidRPr="00D51A68">
              <w:rPr>
                <w:rFonts w:ascii="Times New Roman" w:hAnsi="Times New Roman"/>
                <w:sz w:val="24"/>
              </w:rPr>
              <w:t>esposizione deriva dai parametri di rischio effettivamente utilizzati nel sistema di rating interno approvato dalla rispettiva autorità competente.</w:t>
            </w:r>
          </w:p>
          <w:p w:rsidR="001C7AB7" w:rsidRPr="00D51A68" w:rsidRDefault="00224FE5" w:rsidP="001C7AB7">
            <w:pPr>
              <w:rPr>
                <w:rFonts w:ascii="Times New Roman" w:hAnsi="Times New Roman"/>
                <w:sz w:val="24"/>
              </w:rPr>
            </w:pPr>
            <w:r w:rsidRPr="00D51A68">
              <w:rPr>
                <w:rFonts w:ascii="Times New Roman" w:hAnsi="Times New Roman"/>
                <w:sz w:val="24"/>
              </w:rPr>
              <w:t>Non sono segnalati dati sulle esposizioni da finanziamenti specializzati di cui all</w:t>
            </w:r>
            <w:r w:rsidR="0009277C" w:rsidRPr="00D51A68">
              <w:rPr>
                <w:rFonts w:ascii="Times New Roman" w:hAnsi="Times New Roman"/>
                <w:sz w:val="24"/>
              </w:rPr>
              <w:t>’</w:t>
            </w:r>
            <w:r w:rsidR="0073183F" w:rsidRPr="00D51A68">
              <w:rPr>
                <w:rFonts w:ascii="Times New Roman" w:hAnsi="Times New Roman"/>
                <w:sz w:val="24"/>
              </w:rPr>
              <w:t>articolo </w:t>
            </w:r>
            <w:r w:rsidRPr="00D51A68">
              <w:rPr>
                <w:rFonts w:ascii="Times New Roman" w:hAnsi="Times New Roman"/>
                <w:sz w:val="24"/>
              </w:rPr>
              <w:t>153, paragrafo 5.</w:t>
            </w:r>
          </w:p>
          <w:p w:rsidR="001C7AB7" w:rsidRPr="00D51A68" w:rsidRDefault="001C7AB7" w:rsidP="001C7AB7">
            <w:pPr>
              <w:rPr>
                <w:rFonts w:ascii="Times New Roman" w:hAnsi="Times New Roman"/>
                <w:sz w:val="24"/>
              </w:rPr>
            </w:pPr>
            <w:r w:rsidRPr="00D51A68">
              <w:rPr>
                <w:rFonts w:ascii="Times New Roman" w:hAnsi="Times New Roman"/>
                <w:sz w:val="24"/>
              </w:rPr>
              <w:t>L</w:t>
            </w:r>
            <w:r w:rsidR="0009277C" w:rsidRPr="00D51A68">
              <w:rPr>
                <w:rFonts w:ascii="Times New Roman" w:hAnsi="Times New Roman"/>
                <w:sz w:val="24"/>
              </w:rPr>
              <w:t>’</w:t>
            </w:r>
            <w:r w:rsidRPr="00D51A68">
              <w:rPr>
                <w:rFonts w:ascii="Times New Roman" w:hAnsi="Times New Roman"/>
                <w:sz w:val="24"/>
              </w:rPr>
              <w:t xml:space="preserve">esposizione e la rispettiva LGD dei soggetti regolamentati di grandi dimensioni del settore finanziario e dei soggetti finanziari non regolamentati non sono incluse nel calcolo della colonna 230, bensì soltanto nel calcolo della colonna 240. </w:t>
            </w:r>
          </w:p>
        </w:tc>
      </w:tr>
      <w:tr w:rsidR="001C7AB7" w:rsidRPr="00D51A68" w:rsidTr="00672D2A">
        <w:tc>
          <w:tcPr>
            <w:tcW w:w="1188" w:type="dxa"/>
          </w:tcPr>
          <w:p w:rsidR="001C7AB7" w:rsidRPr="00D51A68" w:rsidRDefault="001C7AB7" w:rsidP="001C7AB7">
            <w:pPr>
              <w:rPr>
                <w:rFonts w:ascii="Times New Roman" w:hAnsi="Times New Roman"/>
                <w:sz w:val="24"/>
              </w:rPr>
            </w:pPr>
            <w:r w:rsidRPr="00D51A68">
              <w:rPr>
                <w:rFonts w:ascii="Times New Roman" w:hAnsi="Times New Roman"/>
                <w:sz w:val="24"/>
              </w:rPr>
              <w:t>240</w:t>
            </w:r>
          </w:p>
        </w:tc>
        <w:tc>
          <w:tcPr>
            <w:tcW w:w="8843" w:type="dxa"/>
          </w:tcPr>
          <w:p w:rsidR="001C7AB7" w:rsidRPr="00D51A68" w:rsidRDefault="001C7AB7" w:rsidP="001C7AB7">
            <w:pPr>
              <w:rPr>
                <w:rFonts w:ascii="Times New Roman" w:hAnsi="Times New Roman"/>
                <w:b/>
                <w:sz w:val="24"/>
                <w:u w:val="single"/>
              </w:rPr>
            </w:pPr>
            <w:r w:rsidRPr="00D51A68">
              <w:rPr>
                <w:rFonts w:ascii="Times New Roman" w:hAnsi="Times New Roman"/>
                <w:b/>
                <w:sz w:val="24"/>
                <w:u w:val="single"/>
              </w:rPr>
              <w:t>LGD MEDIA PONDERATA PER L</w:t>
            </w:r>
            <w:r w:rsidR="0009277C" w:rsidRPr="00D51A68">
              <w:rPr>
                <w:rFonts w:ascii="Times New Roman" w:hAnsi="Times New Roman"/>
                <w:b/>
                <w:sz w:val="24"/>
                <w:u w:val="single"/>
              </w:rPr>
              <w:t>’</w:t>
            </w:r>
            <w:r w:rsidRPr="00D51A68">
              <w:rPr>
                <w:rFonts w:ascii="Times New Roman" w:hAnsi="Times New Roman"/>
                <w:b/>
                <w:sz w:val="24"/>
                <w:u w:val="single"/>
              </w:rPr>
              <w:t>ESPOSIZIONE (%) DI SOGGETTI DI GRANDI DIMENSIONI DEL SETTORE FINANZIARIO E SOGGETTI FINANZIARI NON REGOLAMENTATI</w:t>
            </w:r>
          </w:p>
          <w:p w:rsidR="001C7AB7" w:rsidRPr="00D51A68" w:rsidRDefault="001C7AB7" w:rsidP="001C7AB7">
            <w:pPr>
              <w:rPr>
                <w:rFonts w:ascii="Times New Roman" w:hAnsi="Times New Roman"/>
                <w:sz w:val="24"/>
              </w:rPr>
            </w:pPr>
            <w:r w:rsidRPr="00D51A68">
              <w:rPr>
                <w:rFonts w:ascii="Times New Roman" w:hAnsi="Times New Roman"/>
                <w:sz w:val="24"/>
              </w:rPr>
              <w:t>LGD media ponderata per l</w:t>
            </w:r>
            <w:r w:rsidR="0009277C" w:rsidRPr="00D51A68">
              <w:rPr>
                <w:rFonts w:ascii="Times New Roman" w:hAnsi="Times New Roman"/>
                <w:sz w:val="24"/>
              </w:rPr>
              <w:t>’</w:t>
            </w:r>
            <w:r w:rsidRPr="00D51A68">
              <w:rPr>
                <w:rFonts w:ascii="Times New Roman" w:hAnsi="Times New Roman"/>
                <w:sz w:val="24"/>
              </w:rPr>
              <w:t>esposizione (%) per tutte le esposizioni definite a norma dell</w:t>
            </w:r>
            <w:r w:rsidR="0009277C" w:rsidRPr="00D51A68">
              <w:rPr>
                <w:rFonts w:ascii="Times New Roman" w:hAnsi="Times New Roman"/>
                <w:sz w:val="24"/>
              </w:rPr>
              <w:t>’</w:t>
            </w:r>
            <w:r w:rsidRPr="00D51A68">
              <w:rPr>
                <w:rFonts w:ascii="Times New Roman" w:hAnsi="Times New Roman"/>
                <w:sz w:val="24"/>
              </w:rPr>
              <w:t>articolo 142, paragrafi 4 e 5, del CRR soggette al fattore di correlazione più elevato di cui all</w:t>
            </w:r>
            <w:r w:rsidR="0009277C" w:rsidRPr="00D51A68">
              <w:rPr>
                <w:rFonts w:ascii="Times New Roman" w:hAnsi="Times New Roman"/>
                <w:sz w:val="24"/>
              </w:rPr>
              <w:t>’</w:t>
            </w:r>
            <w:r w:rsidRPr="00D51A68">
              <w:rPr>
                <w:rFonts w:ascii="Times New Roman" w:hAnsi="Times New Roman"/>
                <w:sz w:val="24"/>
              </w:rPr>
              <w:t>articolo 153, paragrafo 2, del CRR.</w:t>
            </w:r>
          </w:p>
        </w:tc>
      </w:tr>
      <w:tr w:rsidR="001C7AB7" w:rsidRPr="00D51A68" w:rsidTr="00672D2A">
        <w:tc>
          <w:tcPr>
            <w:tcW w:w="1188" w:type="dxa"/>
          </w:tcPr>
          <w:p w:rsidR="001C7AB7" w:rsidRPr="00D51A68" w:rsidRDefault="001C7AB7" w:rsidP="001C7AB7">
            <w:pPr>
              <w:rPr>
                <w:rFonts w:ascii="Times New Roman" w:hAnsi="Times New Roman"/>
                <w:sz w:val="24"/>
              </w:rPr>
            </w:pPr>
            <w:r w:rsidRPr="00D51A68">
              <w:rPr>
                <w:rFonts w:ascii="Times New Roman" w:hAnsi="Times New Roman"/>
                <w:sz w:val="24"/>
              </w:rPr>
              <w:t>250</w:t>
            </w:r>
          </w:p>
        </w:tc>
        <w:tc>
          <w:tcPr>
            <w:tcW w:w="8843" w:type="dxa"/>
          </w:tcPr>
          <w:p w:rsidR="001C7AB7" w:rsidRPr="00D51A68" w:rsidRDefault="001C7AB7" w:rsidP="001C7AB7">
            <w:pPr>
              <w:rPr>
                <w:rFonts w:ascii="Times New Roman" w:hAnsi="Times New Roman"/>
                <w:b/>
                <w:sz w:val="24"/>
                <w:u w:val="single"/>
              </w:rPr>
            </w:pPr>
            <w:r w:rsidRPr="00D51A68">
              <w:rPr>
                <w:rFonts w:ascii="Times New Roman" w:hAnsi="Times New Roman"/>
                <w:b/>
                <w:sz w:val="24"/>
                <w:u w:val="single"/>
              </w:rPr>
              <w:t>VALORE DELLA DURATA MEDIA PONDERATA PER L</w:t>
            </w:r>
            <w:r w:rsidR="0009277C" w:rsidRPr="00D51A68">
              <w:rPr>
                <w:rFonts w:ascii="Times New Roman" w:hAnsi="Times New Roman"/>
                <w:b/>
                <w:sz w:val="24"/>
                <w:u w:val="single"/>
              </w:rPr>
              <w:t>’</w:t>
            </w:r>
            <w:r w:rsidRPr="00D51A68">
              <w:rPr>
                <w:rFonts w:ascii="Times New Roman" w:hAnsi="Times New Roman"/>
                <w:b/>
                <w:sz w:val="24"/>
                <w:u w:val="single"/>
              </w:rPr>
              <w:t>ESPOSIZIONE (GIORNI)</w:t>
            </w:r>
          </w:p>
          <w:p w:rsidR="001C7AB7" w:rsidRPr="00D51A68" w:rsidRDefault="001C7AB7" w:rsidP="001C7AB7">
            <w:pPr>
              <w:rPr>
                <w:rFonts w:ascii="Times New Roman" w:hAnsi="Times New Roman"/>
                <w:sz w:val="24"/>
              </w:rPr>
            </w:pPr>
            <w:r w:rsidRPr="00D51A68">
              <w:rPr>
                <w:rFonts w:ascii="Times New Roman" w:hAnsi="Times New Roman"/>
                <w:sz w:val="24"/>
              </w:rPr>
              <w:t>Valore segnalato conformemente all</w:t>
            </w:r>
            <w:r w:rsidR="0009277C" w:rsidRPr="00D51A68">
              <w:rPr>
                <w:rFonts w:ascii="Times New Roman" w:hAnsi="Times New Roman"/>
                <w:sz w:val="24"/>
              </w:rPr>
              <w:t>’</w:t>
            </w:r>
            <w:r w:rsidRPr="00D51A68">
              <w:rPr>
                <w:rFonts w:ascii="Times New Roman" w:hAnsi="Times New Roman"/>
                <w:sz w:val="24"/>
              </w:rPr>
              <w:t>articolo 162 del CRR. Per il calcolo delle medie ponderate per l</w:t>
            </w:r>
            <w:r w:rsidR="0009277C" w:rsidRPr="00D51A68">
              <w:rPr>
                <w:rFonts w:ascii="Times New Roman" w:hAnsi="Times New Roman"/>
                <w:sz w:val="24"/>
              </w:rPr>
              <w:t>’</w:t>
            </w:r>
            <w:r w:rsidRPr="00D51A68">
              <w:rPr>
                <w:rFonts w:ascii="Times New Roman" w:hAnsi="Times New Roman"/>
                <w:sz w:val="24"/>
              </w:rPr>
              <w:t>esposizione è utilizzato il valore dell</w:t>
            </w:r>
            <w:r w:rsidR="0009277C" w:rsidRPr="00D51A68">
              <w:rPr>
                <w:rFonts w:ascii="Times New Roman" w:hAnsi="Times New Roman"/>
                <w:sz w:val="24"/>
              </w:rPr>
              <w:t>’</w:t>
            </w:r>
            <w:r w:rsidRPr="00D51A68">
              <w:rPr>
                <w:rFonts w:ascii="Times New Roman" w:hAnsi="Times New Roman"/>
                <w:sz w:val="24"/>
              </w:rPr>
              <w:t>esposizione (colonna 110). La durata media è espressa in giorni.</w:t>
            </w:r>
          </w:p>
          <w:p w:rsidR="001C7AB7" w:rsidRPr="00D51A68" w:rsidRDefault="001C7AB7" w:rsidP="00FD6CCB">
            <w:pPr>
              <w:rPr>
                <w:rFonts w:ascii="Times New Roman" w:hAnsi="Times New Roman"/>
                <w:sz w:val="24"/>
              </w:rPr>
            </w:pPr>
            <w:r w:rsidRPr="00D51A68">
              <w:rPr>
                <w:rFonts w:ascii="Times New Roman" w:hAnsi="Times New Roman"/>
                <w:sz w:val="24"/>
              </w:rPr>
              <w:lastRenderedPageBreak/>
              <w:t xml:space="preserve">Questi dati non sono segnalati per i valori delle esposizioni la cui durata non è un elemento compreso nel calcolo degli </w:t>
            </w:r>
            <w:r w:rsidRPr="00D51A68">
              <w:rPr>
                <w:rStyle w:val="InstructionsTabelleText"/>
                <w:rFonts w:ascii="Times New Roman" w:hAnsi="Times New Roman"/>
                <w:sz w:val="24"/>
              </w:rPr>
              <w:t>importi delle esposizioni ponderati per il rischio</w:t>
            </w:r>
            <w:r w:rsidRPr="00D51A68">
              <w:rPr>
                <w:rFonts w:ascii="Times New Roman" w:hAnsi="Times New Roman"/>
                <w:sz w:val="24"/>
              </w:rPr>
              <w:t xml:space="preserve">. Ne consegue che questa colonna non è compilata in riferimento alla classe di esposizioni </w:t>
            </w:r>
            <w:r w:rsidR="0009277C" w:rsidRPr="00D51A68">
              <w:rPr>
                <w:rFonts w:ascii="Times New Roman" w:hAnsi="Times New Roman"/>
                <w:sz w:val="24"/>
              </w:rPr>
              <w:t>“</w:t>
            </w:r>
            <w:r w:rsidRPr="00D51A68">
              <w:rPr>
                <w:rFonts w:ascii="Times New Roman" w:hAnsi="Times New Roman"/>
                <w:sz w:val="24"/>
              </w:rPr>
              <w:t>al dettaglio</w:t>
            </w:r>
            <w:r w:rsidR="0009277C" w:rsidRPr="00D51A68">
              <w:rPr>
                <w:rFonts w:ascii="Times New Roman" w:hAnsi="Times New Roman"/>
                <w:sz w:val="24"/>
              </w:rPr>
              <w:t>”</w:t>
            </w:r>
            <w:r w:rsidRPr="00D51A68">
              <w:rPr>
                <w:rFonts w:ascii="Times New Roman" w:hAnsi="Times New Roman"/>
                <w:sz w:val="24"/>
              </w:rPr>
              <w:t>.</w:t>
            </w:r>
          </w:p>
        </w:tc>
      </w:tr>
      <w:tr w:rsidR="001C7AB7" w:rsidRPr="00D51A68" w:rsidTr="00672D2A">
        <w:tc>
          <w:tcPr>
            <w:tcW w:w="1188" w:type="dxa"/>
          </w:tcPr>
          <w:p w:rsidR="001C7AB7" w:rsidRPr="00D51A68" w:rsidRDefault="001C7AB7" w:rsidP="001C7AB7">
            <w:pPr>
              <w:rPr>
                <w:rFonts w:ascii="Times New Roman" w:hAnsi="Times New Roman"/>
                <w:sz w:val="24"/>
              </w:rPr>
            </w:pPr>
            <w:r w:rsidRPr="00D51A68">
              <w:rPr>
                <w:rFonts w:ascii="Times New Roman" w:hAnsi="Times New Roman"/>
                <w:sz w:val="24"/>
              </w:rPr>
              <w:lastRenderedPageBreak/>
              <w:t>255</w:t>
            </w:r>
          </w:p>
        </w:tc>
        <w:tc>
          <w:tcPr>
            <w:tcW w:w="8843" w:type="dxa"/>
          </w:tcPr>
          <w:p w:rsidR="001C7AB7" w:rsidRPr="00D51A68" w:rsidRDefault="001C7AB7" w:rsidP="001C7AB7">
            <w:pPr>
              <w:rPr>
                <w:rFonts w:ascii="Times New Roman" w:hAnsi="Times New Roman"/>
                <w:b/>
                <w:sz w:val="24"/>
                <w:u w:val="single"/>
              </w:rPr>
            </w:pPr>
            <w:r w:rsidRPr="00D51A68">
              <w:rPr>
                <w:rFonts w:ascii="Times New Roman" w:hAnsi="Times New Roman"/>
                <w:b/>
                <w:sz w:val="24"/>
                <w:u w:val="single"/>
              </w:rPr>
              <w:t>IMPORTO DELL</w:t>
            </w:r>
            <w:r w:rsidR="0009277C" w:rsidRPr="00D51A68">
              <w:rPr>
                <w:rFonts w:ascii="Times New Roman" w:hAnsi="Times New Roman"/>
                <w:b/>
                <w:sz w:val="24"/>
                <w:u w:val="single"/>
              </w:rPr>
              <w:t>’</w:t>
            </w:r>
            <w:r w:rsidRPr="00D51A68">
              <w:rPr>
                <w:rFonts w:ascii="Times New Roman" w:hAnsi="Times New Roman"/>
                <w:b/>
                <w:sz w:val="24"/>
                <w:u w:val="single"/>
              </w:rPr>
              <w:t>ESPOSIZIONE PONDERATO PER IL RISCHIO PRIMA DELL</w:t>
            </w:r>
            <w:r w:rsidR="0009277C" w:rsidRPr="00D51A68">
              <w:rPr>
                <w:rFonts w:ascii="Times New Roman" w:hAnsi="Times New Roman"/>
                <w:b/>
                <w:sz w:val="24"/>
                <w:u w:val="single"/>
              </w:rPr>
              <w:t>’</w:t>
            </w:r>
            <w:r w:rsidRPr="00D51A68">
              <w:rPr>
                <w:rFonts w:ascii="Times New Roman" w:hAnsi="Times New Roman"/>
                <w:b/>
                <w:sz w:val="24"/>
                <w:u w:val="single"/>
              </w:rPr>
              <w:t>APPLICAZIONE DEL FATTORE DI SOSTEGNO ALLE PMI</w:t>
            </w:r>
          </w:p>
          <w:p w:rsidR="001C7AB7" w:rsidRPr="00D51A68" w:rsidRDefault="001C7AB7" w:rsidP="001C7AB7">
            <w:pPr>
              <w:rPr>
                <w:rFonts w:ascii="Times New Roman" w:hAnsi="Times New Roman"/>
                <w:sz w:val="24"/>
              </w:rPr>
            </w:pPr>
            <w:r w:rsidRPr="00D51A68">
              <w:rPr>
                <w:rFonts w:ascii="Times New Roman" w:hAnsi="Times New Roman"/>
                <w:sz w:val="24"/>
              </w:rPr>
              <w:t xml:space="preserve">Per le esposizioni verso amministrazioni centrali e banche centrali, imprese ed enti, cfr. articolo 153, paragrafi 1 e 3, del CRR. Per le esposizioni al dettaglio, cfr. articolo 154, paragrafo 1, del CRR. </w:t>
            </w:r>
          </w:p>
          <w:p w:rsidR="001C7AB7" w:rsidRPr="00D51A68" w:rsidRDefault="001C7AB7" w:rsidP="00FD6CCB">
            <w:pPr>
              <w:rPr>
                <w:rFonts w:ascii="Times New Roman" w:hAnsi="Times New Roman"/>
                <w:b/>
                <w:sz w:val="24"/>
                <w:u w:val="single"/>
              </w:rPr>
            </w:pPr>
            <w:r w:rsidRPr="00D51A68">
              <w:rPr>
                <w:rFonts w:ascii="Times New Roman" w:hAnsi="Times New Roman"/>
                <w:sz w:val="24"/>
              </w:rPr>
              <w:t>Non si tiene conto del fattore di sostegno alle PMI di cui all</w:t>
            </w:r>
            <w:r w:rsidR="0009277C" w:rsidRPr="00D51A68">
              <w:rPr>
                <w:rFonts w:ascii="Times New Roman" w:hAnsi="Times New Roman"/>
                <w:sz w:val="24"/>
              </w:rPr>
              <w:t>’</w:t>
            </w:r>
            <w:r w:rsidRPr="00D51A68">
              <w:rPr>
                <w:rFonts w:ascii="Times New Roman" w:hAnsi="Times New Roman"/>
                <w:sz w:val="24"/>
              </w:rPr>
              <w:t>articolo 501 del CRR.</w:t>
            </w:r>
          </w:p>
        </w:tc>
      </w:tr>
      <w:tr w:rsidR="001C7AB7" w:rsidRPr="00D51A68" w:rsidTr="00672D2A">
        <w:tc>
          <w:tcPr>
            <w:tcW w:w="1188" w:type="dxa"/>
            <w:shd w:val="clear" w:color="auto" w:fill="auto"/>
          </w:tcPr>
          <w:p w:rsidR="001C7AB7" w:rsidRPr="00D51A68" w:rsidRDefault="001C7AB7" w:rsidP="001C7AB7">
            <w:pPr>
              <w:rPr>
                <w:rFonts w:ascii="Times New Roman" w:hAnsi="Times New Roman"/>
                <w:sz w:val="24"/>
              </w:rPr>
            </w:pPr>
            <w:r w:rsidRPr="00D51A68">
              <w:rPr>
                <w:rFonts w:ascii="Times New Roman" w:hAnsi="Times New Roman"/>
                <w:sz w:val="24"/>
              </w:rPr>
              <w:t>260</w:t>
            </w:r>
          </w:p>
        </w:tc>
        <w:tc>
          <w:tcPr>
            <w:tcW w:w="8843" w:type="dxa"/>
            <w:shd w:val="clear" w:color="auto" w:fill="auto"/>
          </w:tcPr>
          <w:p w:rsidR="001C7AB7" w:rsidRPr="00D51A68" w:rsidRDefault="001C7AB7" w:rsidP="001C7AB7">
            <w:pPr>
              <w:rPr>
                <w:rFonts w:ascii="Times New Roman" w:hAnsi="Times New Roman"/>
                <w:b/>
                <w:sz w:val="24"/>
                <w:u w:val="single"/>
              </w:rPr>
            </w:pPr>
            <w:r w:rsidRPr="00D51A68">
              <w:rPr>
                <w:rFonts w:ascii="Times New Roman" w:hAnsi="Times New Roman"/>
                <w:b/>
                <w:sz w:val="24"/>
                <w:u w:val="single"/>
              </w:rPr>
              <w:t>IMPORTO DELL</w:t>
            </w:r>
            <w:r w:rsidR="0009277C" w:rsidRPr="00D51A68">
              <w:rPr>
                <w:rFonts w:ascii="Times New Roman" w:hAnsi="Times New Roman"/>
                <w:b/>
                <w:sz w:val="24"/>
                <w:u w:val="single"/>
              </w:rPr>
              <w:t>’</w:t>
            </w:r>
            <w:r w:rsidRPr="00D51A68">
              <w:rPr>
                <w:rFonts w:ascii="Times New Roman" w:hAnsi="Times New Roman"/>
                <w:b/>
                <w:sz w:val="24"/>
                <w:u w:val="single"/>
              </w:rPr>
              <w:t>ESPOSIZIONE PONDERATO PER IL RISCHIO DOPO L</w:t>
            </w:r>
            <w:r w:rsidR="0009277C" w:rsidRPr="00D51A68">
              <w:rPr>
                <w:rFonts w:ascii="Times New Roman" w:hAnsi="Times New Roman"/>
                <w:b/>
                <w:sz w:val="24"/>
                <w:u w:val="single"/>
              </w:rPr>
              <w:t>’</w:t>
            </w:r>
            <w:r w:rsidRPr="00D51A68">
              <w:rPr>
                <w:rFonts w:ascii="Times New Roman" w:hAnsi="Times New Roman"/>
                <w:b/>
                <w:sz w:val="24"/>
                <w:u w:val="single"/>
              </w:rPr>
              <w:t>APPLICAZIONE DEL FATTORE DI SOSTEGNO ALLE PMI</w:t>
            </w:r>
          </w:p>
          <w:p w:rsidR="001C7AB7" w:rsidRPr="00D51A68" w:rsidRDefault="001C7AB7" w:rsidP="001C7AB7">
            <w:pPr>
              <w:rPr>
                <w:rFonts w:ascii="Times New Roman" w:hAnsi="Times New Roman"/>
                <w:sz w:val="24"/>
              </w:rPr>
            </w:pPr>
            <w:r w:rsidRPr="00D51A68">
              <w:rPr>
                <w:rFonts w:ascii="Times New Roman" w:hAnsi="Times New Roman"/>
                <w:sz w:val="24"/>
              </w:rPr>
              <w:t>Per le esposizioni verso amministrazioni centrali e banche centrali, imprese ed enti, cfr. articolo 153, paragrafi 1 e 3, del CRR. Per le esposizioni al dettaglio, cfr. articolo 154, paragrafo 1, del CRR.</w:t>
            </w:r>
          </w:p>
          <w:p w:rsidR="001C7AB7" w:rsidRPr="00D51A68" w:rsidRDefault="001C7AB7" w:rsidP="00FD6CCB">
            <w:pPr>
              <w:rPr>
                <w:rFonts w:ascii="Times New Roman" w:hAnsi="Times New Roman"/>
                <w:b/>
                <w:sz w:val="24"/>
                <w:u w:val="single"/>
              </w:rPr>
            </w:pPr>
            <w:r w:rsidRPr="00D51A68">
              <w:rPr>
                <w:rFonts w:ascii="Times New Roman" w:hAnsi="Times New Roman"/>
                <w:sz w:val="24"/>
              </w:rPr>
              <w:t>Si tiene conto del fattore di sostegno alle PMI di cui all</w:t>
            </w:r>
            <w:r w:rsidR="0009277C" w:rsidRPr="00D51A68">
              <w:rPr>
                <w:rFonts w:ascii="Times New Roman" w:hAnsi="Times New Roman"/>
                <w:sz w:val="24"/>
              </w:rPr>
              <w:t>’</w:t>
            </w:r>
            <w:r w:rsidRPr="00D51A68">
              <w:rPr>
                <w:rFonts w:ascii="Times New Roman" w:hAnsi="Times New Roman"/>
                <w:sz w:val="24"/>
              </w:rPr>
              <w:t>articolo 501 del CRR.</w:t>
            </w:r>
          </w:p>
        </w:tc>
      </w:tr>
      <w:tr w:rsidR="001C7AB7" w:rsidRPr="00D51A68" w:rsidTr="00672D2A">
        <w:tc>
          <w:tcPr>
            <w:tcW w:w="1188" w:type="dxa"/>
            <w:shd w:val="clear" w:color="auto" w:fill="auto"/>
          </w:tcPr>
          <w:p w:rsidR="001C7AB7" w:rsidRPr="00D51A68" w:rsidRDefault="001C7AB7" w:rsidP="001C7AB7">
            <w:pPr>
              <w:rPr>
                <w:rFonts w:ascii="Times New Roman" w:hAnsi="Times New Roman"/>
                <w:sz w:val="24"/>
              </w:rPr>
            </w:pPr>
            <w:r w:rsidRPr="00D51A68">
              <w:rPr>
                <w:rFonts w:ascii="Times New Roman" w:hAnsi="Times New Roman"/>
                <w:sz w:val="24"/>
              </w:rPr>
              <w:t>270</w:t>
            </w:r>
          </w:p>
        </w:tc>
        <w:tc>
          <w:tcPr>
            <w:tcW w:w="8843" w:type="dxa"/>
            <w:shd w:val="clear" w:color="auto" w:fill="auto"/>
          </w:tcPr>
          <w:p w:rsidR="001C7AB7" w:rsidRPr="00D51A68" w:rsidRDefault="001C7AB7" w:rsidP="001C7AB7">
            <w:pPr>
              <w:rPr>
                <w:rFonts w:ascii="Times New Roman" w:hAnsi="Times New Roman"/>
                <w:b/>
                <w:sz w:val="24"/>
                <w:u w:val="single"/>
              </w:rPr>
            </w:pPr>
            <w:r w:rsidRPr="00D51A68">
              <w:rPr>
                <w:rFonts w:ascii="Times New Roman" w:hAnsi="Times New Roman"/>
                <w:b/>
                <w:sz w:val="24"/>
                <w:u w:val="single"/>
              </w:rPr>
              <w:t>DI CUI: SOGGETTI DI GRANDI DIMENSIONI DEL SETTORE FINANZIARIO E SOGGETTI FINANZIARI NON REGOLAMENTATI</w:t>
            </w:r>
          </w:p>
          <w:p w:rsidR="001C7AB7" w:rsidRPr="00D51A68" w:rsidDel="005A2363" w:rsidRDefault="001C7AB7" w:rsidP="00FD6CCB">
            <w:pPr>
              <w:rPr>
                <w:rFonts w:ascii="Times New Roman" w:hAnsi="Times New Roman"/>
                <w:sz w:val="24"/>
              </w:rPr>
            </w:pPr>
            <w:r w:rsidRPr="00D51A68">
              <w:rPr>
                <w:rFonts w:ascii="Times New Roman" w:hAnsi="Times New Roman"/>
                <w:sz w:val="24"/>
              </w:rPr>
              <w:t>Ripartizione dell</w:t>
            </w:r>
            <w:r w:rsidR="0009277C" w:rsidRPr="00D51A68">
              <w:rPr>
                <w:rFonts w:ascii="Times New Roman" w:hAnsi="Times New Roman"/>
                <w:sz w:val="24"/>
              </w:rPr>
              <w:t>’</w:t>
            </w:r>
            <w:r w:rsidRPr="00D51A68">
              <w:rPr>
                <w:rFonts w:ascii="Times New Roman" w:hAnsi="Times New Roman"/>
                <w:sz w:val="24"/>
              </w:rPr>
              <w:t>importo dell</w:t>
            </w:r>
            <w:r w:rsidR="0009277C" w:rsidRPr="00D51A68">
              <w:rPr>
                <w:rFonts w:ascii="Times New Roman" w:hAnsi="Times New Roman"/>
                <w:sz w:val="24"/>
              </w:rPr>
              <w:t>’</w:t>
            </w:r>
            <w:r w:rsidRPr="00D51A68">
              <w:rPr>
                <w:rFonts w:ascii="Times New Roman" w:hAnsi="Times New Roman"/>
                <w:sz w:val="24"/>
              </w:rPr>
              <w:t>esposizione ponderato per il rischio dopo l</w:t>
            </w:r>
            <w:r w:rsidR="0009277C" w:rsidRPr="00D51A68">
              <w:rPr>
                <w:rFonts w:ascii="Times New Roman" w:hAnsi="Times New Roman"/>
                <w:sz w:val="24"/>
              </w:rPr>
              <w:t>’</w:t>
            </w:r>
            <w:r w:rsidRPr="00D51A68">
              <w:rPr>
                <w:rFonts w:ascii="Times New Roman" w:hAnsi="Times New Roman"/>
                <w:sz w:val="24"/>
              </w:rPr>
              <w:t>applicazione del fattore di sostegno alle PMI per tutte le esposizioni definite a norma dell</w:t>
            </w:r>
            <w:r w:rsidR="0009277C" w:rsidRPr="00D51A68">
              <w:rPr>
                <w:rFonts w:ascii="Times New Roman" w:hAnsi="Times New Roman"/>
                <w:sz w:val="24"/>
              </w:rPr>
              <w:t>’</w:t>
            </w:r>
            <w:r w:rsidRPr="00D51A68">
              <w:rPr>
                <w:rFonts w:ascii="Times New Roman" w:hAnsi="Times New Roman"/>
                <w:sz w:val="24"/>
              </w:rPr>
              <w:t>articolo 142, paragrafi 4 e 5, del CRR soggette al fattore di correlazione più elevato di cui all</w:t>
            </w:r>
            <w:r w:rsidR="0009277C" w:rsidRPr="00D51A68">
              <w:rPr>
                <w:rFonts w:ascii="Times New Roman" w:hAnsi="Times New Roman"/>
                <w:sz w:val="24"/>
              </w:rPr>
              <w:t>’</w:t>
            </w:r>
            <w:r w:rsidRPr="00D51A68">
              <w:rPr>
                <w:rFonts w:ascii="Times New Roman" w:hAnsi="Times New Roman"/>
                <w:sz w:val="24"/>
              </w:rPr>
              <w:t>articolo 153, paragrafo 2, del CRR.</w:t>
            </w:r>
          </w:p>
        </w:tc>
      </w:tr>
      <w:tr w:rsidR="001C7AB7" w:rsidRPr="00D51A68" w:rsidTr="00672D2A">
        <w:tc>
          <w:tcPr>
            <w:tcW w:w="1188" w:type="dxa"/>
          </w:tcPr>
          <w:p w:rsidR="001C7AB7" w:rsidRPr="00D51A68" w:rsidRDefault="001C7AB7" w:rsidP="001C7AB7">
            <w:pPr>
              <w:rPr>
                <w:rFonts w:ascii="Times New Roman" w:hAnsi="Times New Roman"/>
                <w:sz w:val="24"/>
              </w:rPr>
            </w:pPr>
            <w:r w:rsidRPr="00D51A68">
              <w:rPr>
                <w:rFonts w:ascii="Times New Roman" w:hAnsi="Times New Roman"/>
                <w:sz w:val="24"/>
              </w:rPr>
              <w:t>280</w:t>
            </w:r>
          </w:p>
        </w:tc>
        <w:tc>
          <w:tcPr>
            <w:tcW w:w="8843" w:type="dxa"/>
          </w:tcPr>
          <w:p w:rsidR="001C7AB7" w:rsidRPr="00D51A68" w:rsidRDefault="001C7AB7" w:rsidP="001C7AB7">
            <w:pPr>
              <w:rPr>
                <w:rFonts w:ascii="Times New Roman" w:hAnsi="Times New Roman"/>
                <w:b/>
                <w:sz w:val="24"/>
                <w:u w:val="single"/>
              </w:rPr>
            </w:pPr>
            <w:r w:rsidRPr="00D51A68">
              <w:rPr>
                <w:rFonts w:ascii="Times New Roman" w:hAnsi="Times New Roman"/>
                <w:b/>
                <w:sz w:val="24"/>
                <w:u w:val="single"/>
              </w:rPr>
              <w:t>IMPORTO DELLE PERDITE ATTESE</w:t>
            </w:r>
          </w:p>
          <w:p w:rsidR="001C7AB7" w:rsidRPr="00D51A68" w:rsidRDefault="001C7AB7" w:rsidP="00FD6CCB">
            <w:pPr>
              <w:jc w:val="left"/>
              <w:rPr>
                <w:rFonts w:ascii="Times New Roman" w:hAnsi="Times New Roman"/>
                <w:sz w:val="24"/>
              </w:rPr>
            </w:pPr>
            <w:r w:rsidRPr="00D51A68">
              <w:rPr>
                <w:rFonts w:ascii="Times New Roman" w:hAnsi="Times New Roman"/>
                <w:sz w:val="24"/>
              </w:rPr>
              <w:t xml:space="preserve">Per la definizione di </w:t>
            </w:r>
            <w:r w:rsidR="0009277C" w:rsidRPr="00D51A68">
              <w:rPr>
                <w:rFonts w:ascii="Times New Roman" w:hAnsi="Times New Roman"/>
                <w:sz w:val="24"/>
              </w:rPr>
              <w:t>“</w:t>
            </w:r>
            <w:r w:rsidRPr="00D51A68">
              <w:rPr>
                <w:rFonts w:ascii="Times New Roman" w:hAnsi="Times New Roman"/>
                <w:sz w:val="24"/>
              </w:rPr>
              <w:t>perdita attesa</w:t>
            </w:r>
            <w:r w:rsidR="0009277C" w:rsidRPr="00D51A68">
              <w:rPr>
                <w:rFonts w:ascii="Times New Roman" w:hAnsi="Times New Roman"/>
                <w:sz w:val="24"/>
              </w:rPr>
              <w:t>”</w:t>
            </w:r>
            <w:r w:rsidRPr="00D51A68">
              <w:rPr>
                <w:rFonts w:ascii="Times New Roman" w:hAnsi="Times New Roman"/>
                <w:sz w:val="24"/>
              </w:rPr>
              <w:t>, cfr. l</w:t>
            </w:r>
            <w:r w:rsidR="0009277C" w:rsidRPr="00D51A68">
              <w:rPr>
                <w:rFonts w:ascii="Times New Roman" w:hAnsi="Times New Roman"/>
                <w:sz w:val="24"/>
              </w:rPr>
              <w:t>’</w:t>
            </w:r>
            <w:r w:rsidRPr="00D51A68">
              <w:rPr>
                <w:rFonts w:ascii="Times New Roman" w:hAnsi="Times New Roman"/>
                <w:sz w:val="24"/>
              </w:rPr>
              <w:t>articolo 5, paragrafo 3, del CRR; per il calcolo, cfr. l</w:t>
            </w:r>
            <w:r w:rsidR="0009277C" w:rsidRPr="00D51A68">
              <w:rPr>
                <w:rFonts w:ascii="Times New Roman" w:hAnsi="Times New Roman"/>
                <w:sz w:val="24"/>
              </w:rPr>
              <w:t>’</w:t>
            </w:r>
            <w:r w:rsidRPr="00D51A68">
              <w:rPr>
                <w:rFonts w:ascii="Times New Roman" w:hAnsi="Times New Roman"/>
                <w:sz w:val="24"/>
              </w:rPr>
              <w:t>articolo 158 del CRR. L</w:t>
            </w:r>
            <w:r w:rsidR="0009277C" w:rsidRPr="00D51A68">
              <w:rPr>
                <w:rFonts w:ascii="Times New Roman" w:hAnsi="Times New Roman"/>
                <w:sz w:val="24"/>
              </w:rPr>
              <w:t>’</w:t>
            </w:r>
            <w:r w:rsidRPr="00D51A68">
              <w:rPr>
                <w:rFonts w:ascii="Times New Roman" w:hAnsi="Times New Roman"/>
                <w:sz w:val="24"/>
              </w:rPr>
              <w:t>importo della perdita attesa da segnalare si basa sui parametri di rischio effettivamente utilizzati nel sistema di rating interno approvato dalla rispettiva autorità competente.</w:t>
            </w:r>
          </w:p>
        </w:tc>
      </w:tr>
      <w:tr w:rsidR="001C7AB7" w:rsidRPr="00D51A68" w:rsidTr="00672D2A">
        <w:tc>
          <w:tcPr>
            <w:tcW w:w="1188" w:type="dxa"/>
          </w:tcPr>
          <w:p w:rsidR="001C7AB7" w:rsidRPr="00D51A68" w:rsidRDefault="001C7AB7" w:rsidP="001C7AB7">
            <w:pPr>
              <w:rPr>
                <w:rFonts w:ascii="Times New Roman" w:hAnsi="Times New Roman"/>
                <w:sz w:val="24"/>
              </w:rPr>
            </w:pPr>
            <w:r w:rsidRPr="00D51A68">
              <w:rPr>
                <w:rFonts w:ascii="Times New Roman" w:hAnsi="Times New Roman"/>
                <w:sz w:val="24"/>
              </w:rPr>
              <w:t>290</w:t>
            </w:r>
          </w:p>
        </w:tc>
        <w:tc>
          <w:tcPr>
            <w:tcW w:w="8843" w:type="dxa"/>
          </w:tcPr>
          <w:p w:rsidR="001C7AB7" w:rsidRPr="00D51A68" w:rsidRDefault="001C7AB7" w:rsidP="001C7AB7">
            <w:pPr>
              <w:rPr>
                <w:rFonts w:ascii="Times New Roman" w:hAnsi="Times New Roman"/>
                <w:b/>
                <w:sz w:val="24"/>
                <w:u w:val="single"/>
              </w:rPr>
            </w:pPr>
            <w:r w:rsidRPr="00D51A68">
              <w:rPr>
                <w:rFonts w:ascii="Times New Roman" w:hAnsi="Times New Roman"/>
                <w:b/>
                <w:sz w:val="24"/>
                <w:u w:val="single"/>
              </w:rPr>
              <w:t>(-) RETTIFICHE DI VALORE E ACCANTONAMENTI</w:t>
            </w:r>
          </w:p>
          <w:p w:rsidR="001C7AB7" w:rsidRPr="00D51A68" w:rsidRDefault="001C7AB7" w:rsidP="00FD6CCB">
            <w:pPr>
              <w:rPr>
                <w:rFonts w:ascii="Times New Roman" w:hAnsi="Times New Roman"/>
                <w:sz w:val="24"/>
              </w:rPr>
            </w:pPr>
            <w:r w:rsidRPr="00D51A68">
              <w:rPr>
                <w:rFonts w:ascii="Times New Roman" w:hAnsi="Times New Roman"/>
                <w:sz w:val="24"/>
              </w:rPr>
              <w:t>In questa riga sono segnalati le rettifiche di valore e gli accantonamenti specifici e generici di cui all</w:t>
            </w:r>
            <w:r w:rsidR="0009277C" w:rsidRPr="00D51A68">
              <w:rPr>
                <w:rFonts w:ascii="Times New Roman" w:hAnsi="Times New Roman"/>
                <w:sz w:val="24"/>
              </w:rPr>
              <w:t>’</w:t>
            </w:r>
            <w:r w:rsidRPr="00D51A68">
              <w:rPr>
                <w:rFonts w:ascii="Times New Roman" w:hAnsi="Times New Roman"/>
                <w:sz w:val="24"/>
              </w:rPr>
              <w:t>articolo 159 del CRR. Gli accantonamenti generici</w:t>
            </w:r>
            <w:r w:rsidRPr="00D51A68">
              <w:rPr>
                <w:rFonts w:ascii="Times New Roman" w:hAnsi="Times New Roman"/>
                <w:b/>
                <w:i/>
                <w:sz w:val="24"/>
              </w:rPr>
              <w:t xml:space="preserve"> </w:t>
            </w:r>
            <w:r w:rsidRPr="00D51A68">
              <w:rPr>
                <w:rFonts w:ascii="Times New Roman" w:hAnsi="Times New Roman"/>
                <w:sz w:val="24"/>
              </w:rPr>
              <w:t>sono segnalati assegnando un importo pro rata in funzione delle perdite attese delle diverse classi di debitori.</w:t>
            </w:r>
          </w:p>
        </w:tc>
      </w:tr>
      <w:tr w:rsidR="001C7AB7" w:rsidRPr="00D51A68" w:rsidTr="00672D2A">
        <w:tc>
          <w:tcPr>
            <w:tcW w:w="1188" w:type="dxa"/>
          </w:tcPr>
          <w:p w:rsidR="001C7AB7" w:rsidRPr="00D51A68" w:rsidRDefault="001C7AB7" w:rsidP="001C7AB7">
            <w:pPr>
              <w:ind w:right="-288"/>
              <w:rPr>
                <w:rFonts w:ascii="Times New Roman" w:hAnsi="Times New Roman"/>
                <w:sz w:val="24"/>
              </w:rPr>
            </w:pPr>
            <w:r w:rsidRPr="00D51A68">
              <w:rPr>
                <w:rFonts w:ascii="Times New Roman" w:hAnsi="Times New Roman"/>
                <w:sz w:val="24"/>
              </w:rPr>
              <w:t>300</w:t>
            </w:r>
          </w:p>
        </w:tc>
        <w:tc>
          <w:tcPr>
            <w:tcW w:w="8843" w:type="dxa"/>
          </w:tcPr>
          <w:p w:rsidR="001C7AB7" w:rsidRPr="00D51A68" w:rsidRDefault="001C7AB7" w:rsidP="001C7AB7">
            <w:pPr>
              <w:ind w:right="-288"/>
              <w:rPr>
                <w:rFonts w:ascii="Times New Roman" w:hAnsi="Times New Roman"/>
                <w:b/>
                <w:sz w:val="24"/>
                <w:u w:val="single"/>
              </w:rPr>
            </w:pPr>
            <w:r w:rsidRPr="00D51A68">
              <w:rPr>
                <w:rFonts w:ascii="Times New Roman" w:hAnsi="Times New Roman"/>
                <w:b/>
                <w:sz w:val="24"/>
                <w:u w:val="single"/>
              </w:rPr>
              <w:t>NUMERO DI DEBITORI</w:t>
            </w:r>
          </w:p>
          <w:p w:rsidR="001C7AB7" w:rsidRPr="00D51A68" w:rsidRDefault="001C7AB7" w:rsidP="001C7AB7">
            <w:pPr>
              <w:rPr>
                <w:rFonts w:ascii="Times New Roman" w:hAnsi="Times New Roman"/>
                <w:sz w:val="24"/>
              </w:rPr>
            </w:pPr>
            <w:r w:rsidRPr="00D51A68">
              <w:rPr>
                <w:rFonts w:ascii="Times New Roman" w:hAnsi="Times New Roman"/>
                <w:sz w:val="24"/>
              </w:rPr>
              <w:t>Articolo 172, paragrafi 1 e 2, del CRR.</w:t>
            </w:r>
          </w:p>
          <w:p w:rsidR="001C7AB7" w:rsidRPr="00D51A68" w:rsidRDefault="001C7AB7" w:rsidP="001C7AB7">
            <w:pPr>
              <w:rPr>
                <w:rFonts w:ascii="Times New Roman" w:hAnsi="Times New Roman"/>
                <w:sz w:val="24"/>
              </w:rPr>
            </w:pPr>
            <w:r w:rsidRPr="00D51A68">
              <w:rPr>
                <w:rFonts w:ascii="Times New Roman" w:hAnsi="Times New Roman"/>
                <w:sz w:val="24"/>
              </w:rPr>
              <w:t xml:space="preserve">Per tutte le classi di esposizioni, fatta eccezione per la classe di esposizioni </w:t>
            </w:r>
            <w:r w:rsidR="0009277C" w:rsidRPr="00D51A68">
              <w:rPr>
                <w:rFonts w:ascii="Times New Roman" w:hAnsi="Times New Roman"/>
                <w:sz w:val="24"/>
              </w:rPr>
              <w:t>“</w:t>
            </w:r>
            <w:r w:rsidRPr="00D51A68">
              <w:rPr>
                <w:rFonts w:ascii="Times New Roman" w:hAnsi="Times New Roman"/>
                <w:sz w:val="24"/>
              </w:rPr>
              <w:t>al dettaglio</w:t>
            </w:r>
            <w:r w:rsidR="0009277C" w:rsidRPr="00D51A68">
              <w:rPr>
                <w:rFonts w:ascii="Times New Roman" w:hAnsi="Times New Roman"/>
                <w:sz w:val="24"/>
              </w:rPr>
              <w:t>”</w:t>
            </w:r>
            <w:r w:rsidRPr="00D51A68">
              <w:rPr>
                <w:rFonts w:ascii="Times New Roman" w:hAnsi="Times New Roman"/>
                <w:sz w:val="24"/>
              </w:rPr>
              <w:t xml:space="preserve"> e per i casi di cui all</w:t>
            </w:r>
            <w:r w:rsidR="0009277C" w:rsidRPr="00D51A68">
              <w:rPr>
                <w:rFonts w:ascii="Times New Roman" w:hAnsi="Times New Roman"/>
                <w:sz w:val="24"/>
              </w:rPr>
              <w:t>’</w:t>
            </w:r>
            <w:r w:rsidRPr="00D51A68">
              <w:rPr>
                <w:rFonts w:ascii="Times New Roman" w:hAnsi="Times New Roman"/>
                <w:sz w:val="24"/>
              </w:rPr>
              <w:t>articolo 172, paragrafo 1, lettera e), seconda frase, del CRR, l</w:t>
            </w:r>
            <w:r w:rsidR="0009277C" w:rsidRPr="00D51A68">
              <w:rPr>
                <w:rFonts w:ascii="Times New Roman" w:hAnsi="Times New Roman"/>
                <w:sz w:val="24"/>
              </w:rPr>
              <w:t>’</w:t>
            </w:r>
            <w:r w:rsidRPr="00D51A68">
              <w:rPr>
                <w:rFonts w:ascii="Times New Roman" w:hAnsi="Times New Roman"/>
                <w:sz w:val="24"/>
              </w:rPr>
              <w:t xml:space="preserve">ente segnala il numero dei soggetti giuridici/debitori valutati separatamente, a prescindere dal numero dei diversi prestiti o esposizioni concessi. </w:t>
            </w:r>
          </w:p>
          <w:p w:rsidR="001C7AB7" w:rsidRPr="00D51A68" w:rsidRDefault="001C7AB7" w:rsidP="001C7AB7">
            <w:pPr>
              <w:rPr>
                <w:rFonts w:ascii="Times New Roman" w:hAnsi="Times New Roman"/>
                <w:sz w:val="24"/>
              </w:rPr>
            </w:pPr>
            <w:r w:rsidRPr="00D51A68">
              <w:rPr>
                <w:rFonts w:ascii="Times New Roman" w:hAnsi="Times New Roman"/>
                <w:sz w:val="24"/>
              </w:rPr>
              <w:t>Nell</w:t>
            </w:r>
            <w:r w:rsidR="0009277C" w:rsidRPr="00D51A68">
              <w:rPr>
                <w:rFonts w:ascii="Times New Roman" w:hAnsi="Times New Roman"/>
                <w:sz w:val="24"/>
              </w:rPr>
              <w:t>’</w:t>
            </w:r>
            <w:r w:rsidRPr="00D51A68">
              <w:rPr>
                <w:rFonts w:ascii="Times New Roman" w:hAnsi="Times New Roman"/>
                <w:sz w:val="24"/>
              </w:rPr>
              <w:t xml:space="preserve">ambito della classe di esposizioni </w:t>
            </w:r>
            <w:r w:rsidR="0009277C" w:rsidRPr="00D51A68">
              <w:rPr>
                <w:rFonts w:ascii="Times New Roman" w:hAnsi="Times New Roman"/>
                <w:sz w:val="24"/>
              </w:rPr>
              <w:t>“</w:t>
            </w:r>
            <w:r w:rsidRPr="00D51A68">
              <w:rPr>
                <w:rFonts w:ascii="Times New Roman" w:hAnsi="Times New Roman"/>
                <w:sz w:val="24"/>
              </w:rPr>
              <w:t>al dettaglio</w:t>
            </w:r>
            <w:r w:rsidR="0009277C" w:rsidRPr="00D51A68">
              <w:rPr>
                <w:rFonts w:ascii="Times New Roman" w:hAnsi="Times New Roman"/>
                <w:sz w:val="24"/>
              </w:rPr>
              <w:t>”</w:t>
            </w:r>
            <w:r w:rsidRPr="00D51A68">
              <w:rPr>
                <w:rFonts w:ascii="Times New Roman" w:hAnsi="Times New Roman"/>
                <w:sz w:val="24"/>
              </w:rPr>
              <w:t xml:space="preserve"> o se le varie esposizioni verso lo stesso debitore sono assegnate a diverse classi di debitori conformemente </w:t>
            </w:r>
            <w:r w:rsidRPr="00D51A68">
              <w:rPr>
                <w:rFonts w:ascii="Times New Roman" w:hAnsi="Times New Roman"/>
                <w:sz w:val="24"/>
              </w:rPr>
              <w:lastRenderedPageBreak/>
              <w:t>all</w:t>
            </w:r>
            <w:r w:rsidR="0009277C" w:rsidRPr="00D51A68">
              <w:rPr>
                <w:rFonts w:ascii="Times New Roman" w:hAnsi="Times New Roman"/>
                <w:sz w:val="24"/>
              </w:rPr>
              <w:t>’</w:t>
            </w:r>
            <w:r w:rsidRPr="00D51A68">
              <w:rPr>
                <w:rFonts w:ascii="Times New Roman" w:hAnsi="Times New Roman"/>
                <w:sz w:val="24"/>
              </w:rPr>
              <w:t>articolo</w:t>
            </w:r>
            <w:r w:rsidR="0073183F" w:rsidRPr="00D51A68">
              <w:rPr>
                <w:rFonts w:ascii="Times New Roman" w:hAnsi="Times New Roman"/>
                <w:sz w:val="24"/>
              </w:rPr>
              <w:t> </w:t>
            </w:r>
            <w:r w:rsidRPr="00D51A68">
              <w:rPr>
                <w:rFonts w:ascii="Times New Roman" w:hAnsi="Times New Roman"/>
                <w:sz w:val="24"/>
              </w:rPr>
              <w:t>172, paragrafo 1, lettera e), seconda frase, del CRR in altre classi di esposizioni, l</w:t>
            </w:r>
            <w:r w:rsidR="0009277C" w:rsidRPr="00D51A68">
              <w:rPr>
                <w:rFonts w:ascii="Times New Roman" w:hAnsi="Times New Roman"/>
                <w:sz w:val="24"/>
              </w:rPr>
              <w:t>’</w:t>
            </w:r>
            <w:r w:rsidRPr="00D51A68">
              <w:rPr>
                <w:rFonts w:ascii="Times New Roman" w:hAnsi="Times New Roman"/>
                <w:sz w:val="24"/>
              </w:rPr>
              <w:t>ente segnala il numero delle esposizioni assegnate separatamente a una determinata classe o pool di rating. Ove trovi applicazione l</w:t>
            </w:r>
            <w:r w:rsidR="0009277C" w:rsidRPr="00D51A68">
              <w:rPr>
                <w:rFonts w:ascii="Times New Roman" w:hAnsi="Times New Roman"/>
                <w:sz w:val="24"/>
              </w:rPr>
              <w:t>’</w:t>
            </w:r>
            <w:r w:rsidRPr="00D51A68">
              <w:rPr>
                <w:rFonts w:ascii="Times New Roman" w:hAnsi="Times New Roman"/>
                <w:sz w:val="24"/>
              </w:rPr>
              <w:t xml:space="preserve">articolo 172, paragrafo 2, del CRR, un debitore può essere assegnato a più di una classe. </w:t>
            </w:r>
          </w:p>
          <w:p w:rsidR="001C7AB7" w:rsidRPr="00D51A68" w:rsidRDefault="001C7AB7" w:rsidP="00241845">
            <w:pPr>
              <w:rPr>
                <w:rFonts w:ascii="Times New Roman" w:hAnsi="Times New Roman"/>
                <w:sz w:val="24"/>
              </w:rPr>
            </w:pPr>
            <w:r w:rsidRPr="00D51A68">
              <w:rPr>
                <w:rStyle w:val="InstructionsTabelleText"/>
                <w:rFonts w:ascii="Times New Roman" w:hAnsi="Times New Roman"/>
                <w:sz w:val="24"/>
              </w:rPr>
              <w:t>Poiché riguarda un elemento della struttura dei sistemi di rating, questa colonna fa riferimento alle esposizioni originarie prima dell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applicazione del fattore di conversione attribuito a ciascuna classe o pool di debitori, senza considerare 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effetto delle tecniche di attenuazione del rischio di credito (in particolare degli effetti di riassegnazione).</w:t>
            </w:r>
          </w:p>
        </w:tc>
      </w:tr>
    </w:tbl>
    <w:p w:rsidR="001C7AB7" w:rsidRPr="00D51A68" w:rsidRDefault="001C7AB7" w:rsidP="001C7AB7">
      <w:pPr>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1C7AB7" w:rsidRPr="00D51A68" w:rsidTr="00672D2A">
        <w:tc>
          <w:tcPr>
            <w:tcW w:w="1242" w:type="dxa"/>
            <w:shd w:val="clear" w:color="auto" w:fill="CCCCCC"/>
          </w:tcPr>
          <w:p w:rsidR="001C7AB7" w:rsidRPr="00D51A68" w:rsidRDefault="001C7AB7" w:rsidP="001C7AB7">
            <w:pPr>
              <w:rPr>
                <w:rFonts w:ascii="Times New Roman" w:hAnsi="Times New Roman"/>
                <w:sz w:val="24"/>
              </w:rPr>
            </w:pPr>
            <w:r w:rsidRPr="00D51A68">
              <w:rPr>
                <w:rFonts w:ascii="Times New Roman" w:hAnsi="Times New Roman"/>
                <w:sz w:val="24"/>
              </w:rPr>
              <w:t>Righe</w:t>
            </w:r>
          </w:p>
        </w:tc>
        <w:tc>
          <w:tcPr>
            <w:tcW w:w="8789" w:type="dxa"/>
            <w:shd w:val="clear" w:color="auto" w:fill="CCCCCC"/>
          </w:tcPr>
          <w:p w:rsidR="001C7AB7" w:rsidRPr="00D51A68" w:rsidRDefault="001C7AB7" w:rsidP="001C7AB7">
            <w:pPr>
              <w:ind w:left="72"/>
              <w:rPr>
                <w:rFonts w:ascii="Times New Roman" w:hAnsi="Times New Roman"/>
                <w:sz w:val="24"/>
              </w:rPr>
            </w:pPr>
            <w:r w:rsidRPr="00D51A68">
              <w:rPr>
                <w:rFonts w:ascii="Times New Roman" w:hAnsi="Times New Roman"/>
                <w:sz w:val="24"/>
              </w:rPr>
              <w:t>Istruzioni</w:t>
            </w:r>
          </w:p>
        </w:tc>
      </w:tr>
      <w:tr w:rsidR="001C7AB7" w:rsidRPr="00D51A68" w:rsidTr="00672D2A">
        <w:tc>
          <w:tcPr>
            <w:tcW w:w="1242" w:type="dxa"/>
          </w:tcPr>
          <w:p w:rsidR="001C7AB7" w:rsidRPr="00D51A68" w:rsidRDefault="001C7AB7" w:rsidP="001C7AB7">
            <w:pPr>
              <w:rPr>
                <w:rFonts w:ascii="Times New Roman" w:hAnsi="Times New Roman"/>
                <w:sz w:val="24"/>
              </w:rPr>
            </w:pPr>
            <w:r w:rsidRPr="00D51A68">
              <w:rPr>
                <w:rFonts w:ascii="Times New Roman" w:hAnsi="Times New Roman"/>
                <w:sz w:val="24"/>
              </w:rPr>
              <w:t>010</w:t>
            </w:r>
          </w:p>
        </w:tc>
        <w:tc>
          <w:tcPr>
            <w:tcW w:w="8789" w:type="dxa"/>
          </w:tcPr>
          <w:p w:rsidR="001C7AB7" w:rsidRPr="00D51A68" w:rsidRDefault="001C7AB7" w:rsidP="00FD6CCB">
            <w:pPr>
              <w:rPr>
                <w:rFonts w:ascii="Times New Roman" w:hAnsi="Times New Roman"/>
                <w:sz w:val="24"/>
              </w:rPr>
            </w:pPr>
            <w:r w:rsidRPr="00D51A68">
              <w:rPr>
                <w:rFonts w:ascii="Times New Roman" w:hAnsi="Times New Roman"/>
                <w:b/>
                <w:sz w:val="24"/>
                <w:u w:val="single"/>
              </w:rPr>
              <w:t>ESPOSIZIONI TOTALI</w:t>
            </w:r>
          </w:p>
        </w:tc>
      </w:tr>
      <w:tr w:rsidR="00785F3E" w:rsidRPr="00D51A68" w:rsidTr="00672D2A">
        <w:tc>
          <w:tcPr>
            <w:tcW w:w="1242" w:type="dxa"/>
          </w:tcPr>
          <w:p w:rsidR="00785F3E" w:rsidRPr="00D51A68" w:rsidRDefault="003C3168" w:rsidP="001C7AB7">
            <w:pPr>
              <w:rPr>
                <w:rFonts w:ascii="Times New Roman" w:hAnsi="Times New Roman"/>
                <w:sz w:val="24"/>
              </w:rPr>
            </w:pPr>
            <w:r w:rsidRPr="00D51A68">
              <w:rPr>
                <w:rFonts w:ascii="Times New Roman" w:hAnsi="Times New Roman"/>
                <w:sz w:val="24"/>
              </w:rPr>
              <w:t>015</w:t>
            </w:r>
          </w:p>
        </w:tc>
        <w:tc>
          <w:tcPr>
            <w:tcW w:w="8789" w:type="dxa"/>
          </w:tcPr>
          <w:p w:rsidR="00785F3E" w:rsidRPr="00D51A68" w:rsidRDefault="00785F3E" w:rsidP="00785F3E">
            <w:pPr>
              <w:rPr>
                <w:rFonts w:ascii="Times New Roman" w:hAnsi="Times New Roman"/>
                <w:b/>
                <w:sz w:val="24"/>
                <w:u w:val="single"/>
              </w:rPr>
            </w:pPr>
            <w:r w:rsidRPr="00D51A68">
              <w:rPr>
                <w:rFonts w:ascii="Times New Roman" w:hAnsi="Times New Roman"/>
                <w:b/>
                <w:sz w:val="24"/>
                <w:u w:val="single"/>
              </w:rPr>
              <w:t>di cui: esposizioni soggette al fattore di sostegno alle PMI</w:t>
            </w:r>
          </w:p>
          <w:p w:rsidR="00785F3E" w:rsidRPr="00D51A68" w:rsidRDefault="00785F3E" w:rsidP="00785F3E">
            <w:pPr>
              <w:rPr>
                <w:rFonts w:ascii="Times New Roman" w:hAnsi="Times New Roman"/>
                <w:sz w:val="24"/>
              </w:rPr>
            </w:pPr>
            <w:r w:rsidRPr="00D51A68">
              <w:rPr>
                <w:rFonts w:ascii="Times New Roman" w:hAnsi="Times New Roman"/>
                <w:sz w:val="24"/>
              </w:rPr>
              <w:t>In questa riga sono segnalate soltanto le esposizioni che soddisfano i requisiti dell</w:t>
            </w:r>
            <w:r w:rsidR="0009277C" w:rsidRPr="00D51A68">
              <w:rPr>
                <w:rFonts w:ascii="Times New Roman" w:hAnsi="Times New Roman"/>
                <w:sz w:val="24"/>
              </w:rPr>
              <w:t>’</w:t>
            </w:r>
            <w:r w:rsidRPr="00D51A68">
              <w:rPr>
                <w:rFonts w:ascii="Times New Roman" w:hAnsi="Times New Roman"/>
                <w:sz w:val="24"/>
              </w:rPr>
              <w:t>articolo 501 del CRR.</w:t>
            </w:r>
          </w:p>
        </w:tc>
      </w:tr>
      <w:tr w:rsidR="001C7AB7" w:rsidRPr="00D51A68" w:rsidTr="00672D2A">
        <w:tc>
          <w:tcPr>
            <w:tcW w:w="1242" w:type="dxa"/>
          </w:tcPr>
          <w:p w:rsidR="001C7AB7" w:rsidRPr="00D51A68" w:rsidRDefault="001C7AB7" w:rsidP="001C7AB7">
            <w:pPr>
              <w:rPr>
                <w:rFonts w:ascii="Times New Roman" w:hAnsi="Times New Roman"/>
                <w:sz w:val="24"/>
              </w:rPr>
            </w:pPr>
            <w:r w:rsidRPr="00D51A68">
              <w:rPr>
                <w:rFonts w:ascii="Times New Roman" w:hAnsi="Times New Roman"/>
                <w:sz w:val="24"/>
              </w:rPr>
              <w:t>020-060</w:t>
            </w:r>
          </w:p>
        </w:tc>
        <w:tc>
          <w:tcPr>
            <w:tcW w:w="8789" w:type="dxa"/>
          </w:tcPr>
          <w:p w:rsidR="001C7AB7" w:rsidRPr="00D51A68" w:rsidRDefault="001C7AB7" w:rsidP="001C7AB7">
            <w:pPr>
              <w:rPr>
                <w:rFonts w:ascii="Times New Roman" w:hAnsi="Times New Roman"/>
                <w:sz w:val="24"/>
              </w:rPr>
            </w:pPr>
            <w:r w:rsidRPr="00D51A68">
              <w:rPr>
                <w:rFonts w:ascii="Times New Roman" w:hAnsi="Times New Roman"/>
                <w:sz w:val="24"/>
              </w:rPr>
              <w:t>RIPARTIZIONE DELLE ESPOSIZIONI TOTALI PER TIPO DI ESPOSIZIONE</w:t>
            </w:r>
          </w:p>
        </w:tc>
      </w:tr>
      <w:tr w:rsidR="001C7AB7" w:rsidRPr="00D51A68" w:rsidTr="00672D2A">
        <w:tc>
          <w:tcPr>
            <w:tcW w:w="1242" w:type="dxa"/>
          </w:tcPr>
          <w:p w:rsidR="001C7AB7" w:rsidRPr="00D51A68" w:rsidRDefault="001C7AB7" w:rsidP="001C7AB7">
            <w:pPr>
              <w:rPr>
                <w:rFonts w:ascii="Times New Roman" w:hAnsi="Times New Roman"/>
                <w:sz w:val="24"/>
              </w:rPr>
            </w:pPr>
            <w:r w:rsidRPr="00D51A68">
              <w:rPr>
                <w:rFonts w:ascii="Times New Roman" w:hAnsi="Times New Roman"/>
                <w:sz w:val="24"/>
              </w:rPr>
              <w:t>020</w:t>
            </w:r>
          </w:p>
        </w:tc>
        <w:tc>
          <w:tcPr>
            <w:tcW w:w="8789" w:type="dxa"/>
          </w:tcPr>
          <w:p w:rsidR="001C7AB7" w:rsidRPr="00D51A68" w:rsidRDefault="001C7AB7" w:rsidP="001C7AB7">
            <w:pPr>
              <w:rPr>
                <w:rFonts w:ascii="Times New Roman" w:hAnsi="Times New Roman"/>
                <w:b/>
                <w:sz w:val="24"/>
                <w:u w:val="single"/>
              </w:rPr>
            </w:pPr>
            <w:r w:rsidRPr="00D51A68">
              <w:rPr>
                <w:rFonts w:ascii="Times New Roman" w:hAnsi="Times New Roman"/>
                <w:b/>
                <w:sz w:val="24"/>
                <w:u w:val="single"/>
              </w:rPr>
              <w:t xml:space="preserve">Elementi in bilancio soggetti al rischio di credito </w:t>
            </w:r>
          </w:p>
          <w:p w:rsidR="001C7AB7" w:rsidRPr="00D51A68" w:rsidRDefault="001C7AB7" w:rsidP="00FC20DD">
            <w:pPr>
              <w:rPr>
                <w:rStyle w:val="InstructionsTabelleText"/>
                <w:rFonts w:ascii="Times New Roman" w:hAnsi="Times New Roman"/>
                <w:sz w:val="24"/>
              </w:rPr>
            </w:pPr>
            <w:r w:rsidRPr="00D51A68">
              <w:rPr>
                <w:rStyle w:val="InstructionsTabelleText"/>
                <w:rFonts w:ascii="Times New Roman" w:hAnsi="Times New Roman"/>
                <w:sz w:val="24"/>
              </w:rPr>
              <w:t>Attività di cui all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articolo 24 del CRR non comprese in altra categoria.</w:t>
            </w:r>
          </w:p>
          <w:p w:rsidR="001C7AB7" w:rsidRPr="00D51A68" w:rsidRDefault="001C7AB7" w:rsidP="00FC20DD">
            <w:pPr>
              <w:rPr>
                <w:rStyle w:val="InstructionsTabelleText"/>
                <w:rFonts w:ascii="Times New Roman" w:hAnsi="Times New Roman"/>
                <w:sz w:val="24"/>
              </w:rPr>
            </w:pPr>
            <w:r w:rsidRPr="00D51A68">
              <w:rPr>
                <w:rStyle w:val="InstructionsTabelleText"/>
                <w:rFonts w:ascii="Times New Roman" w:hAnsi="Times New Roman"/>
                <w:sz w:val="24"/>
              </w:rPr>
              <w:t>Le esposizioni che costituiscono elementi in bilancio e sono comprese come operazioni di finanziamento tramite titoli o come derivati e operazioni con regolamento a lungo termine, o che derivano da accordi di compensazione contrattuale tra prodotti differenti sono segnalate nelle righe 040-060; pertanto non sono incluse in questa riga.</w:t>
            </w:r>
          </w:p>
          <w:p w:rsidR="001C7AB7" w:rsidRPr="00D51A68" w:rsidRDefault="001C7AB7" w:rsidP="00FC20DD">
            <w:pPr>
              <w:rPr>
                <w:rStyle w:val="InstructionsTabelleText"/>
                <w:rFonts w:ascii="Times New Roman" w:hAnsi="Times New Roman"/>
                <w:sz w:val="24"/>
              </w:rPr>
            </w:pPr>
            <w:r w:rsidRPr="00D51A68">
              <w:rPr>
                <w:rStyle w:val="InstructionsTabelleText"/>
                <w:rFonts w:ascii="Times New Roman" w:hAnsi="Times New Roman"/>
                <w:sz w:val="24"/>
              </w:rPr>
              <w:t>Le operazioni con regolamento non contestuale ai sensi dell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articolo 379, paragrafo 1, del CRR (se non dedotte) non costituiscono elementi in bilancio, ma sono comunque segnalate in questa riga.</w:t>
            </w:r>
          </w:p>
          <w:p w:rsidR="001C7AB7" w:rsidRPr="00D51A68" w:rsidRDefault="001C7AB7" w:rsidP="001C7AB7">
            <w:pPr>
              <w:rPr>
                <w:rFonts w:ascii="Times New Roman" w:hAnsi="Times New Roman"/>
                <w:sz w:val="24"/>
              </w:rPr>
            </w:pPr>
            <w:r w:rsidRPr="00D51A68">
              <w:rPr>
                <w:rStyle w:val="InstructionsTabelleText"/>
                <w:rFonts w:ascii="Times New Roman" w:hAnsi="Times New Roman"/>
                <w:sz w:val="24"/>
              </w:rPr>
              <w:t>Le esposizioni derivanti da attività costituite in garanzia presso una CCP conformemente all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articolo 4, paragrafo 1, punto 91, del CRR e le esposizioni relative al fondo di garanzia conformemente all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 xml:space="preserve">articolo 4, paragrafo 1, punto 89, del CRR sono incluse in questa riga se non sono segnalate nella riga 030. </w:t>
            </w:r>
          </w:p>
        </w:tc>
      </w:tr>
      <w:tr w:rsidR="001C7AB7" w:rsidRPr="00D51A68" w:rsidTr="00672D2A">
        <w:tc>
          <w:tcPr>
            <w:tcW w:w="1242" w:type="dxa"/>
          </w:tcPr>
          <w:p w:rsidR="001C7AB7" w:rsidRPr="00D51A68" w:rsidRDefault="001C7AB7" w:rsidP="001C7AB7">
            <w:pPr>
              <w:rPr>
                <w:rFonts w:ascii="Times New Roman" w:hAnsi="Times New Roman"/>
                <w:sz w:val="24"/>
              </w:rPr>
            </w:pPr>
            <w:r w:rsidRPr="00D51A68">
              <w:rPr>
                <w:rFonts w:ascii="Times New Roman" w:hAnsi="Times New Roman"/>
                <w:sz w:val="24"/>
              </w:rPr>
              <w:t>030</w:t>
            </w:r>
          </w:p>
        </w:tc>
        <w:tc>
          <w:tcPr>
            <w:tcW w:w="8789" w:type="dxa"/>
          </w:tcPr>
          <w:p w:rsidR="001C7AB7" w:rsidRPr="00D51A68" w:rsidRDefault="001C7AB7" w:rsidP="001C7AB7">
            <w:pPr>
              <w:rPr>
                <w:rFonts w:ascii="Times New Roman" w:hAnsi="Times New Roman"/>
                <w:b/>
                <w:sz w:val="24"/>
                <w:u w:val="single"/>
              </w:rPr>
            </w:pPr>
            <w:r w:rsidRPr="00D51A68">
              <w:rPr>
                <w:rFonts w:ascii="Times New Roman" w:hAnsi="Times New Roman"/>
                <w:b/>
                <w:sz w:val="24"/>
                <w:u w:val="single"/>
              </w:rPr>
              <w:t>Elementi fuori bilancio soggetti al rischio di credito</w:t>
            </w:r>
          </w:p>
          <w:p w:rsidR="001C7AB7" w:rsidRPr="00D51A68" w:rsidRDefault="001C7AB7" w:rsidP="001C7AB7">
            <w:pPr>
              <w:rPr>
                <w:rStyle w:val="InstructionsTabelleText"/>
                <w:rFonts w:ascii="Times New Roman" w:hAnsi="Times New Roman"/>
                <w:sz w:val="24"/>
              </w:rPr>
            </w:pPr>
            <w:r w:rsidRPr="00D51A68">
              <w:rPr>
                <w:rStyle w:val="InstructionsTabelleText"/>
                <w:rFonts w:ascii="Times New Roman" w:hAnsi="Times New Roman"/>
                <w:sz w:val="24"/>
              </w:rPr>
              <w:t>Le posizioni fuori bilancio comprendono gli elementi elencati nell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allegato I del CRR.</w:t>
            </w:r>
          </w:p>
          <w:p w:rsidR="001C7AB7" w:rsidRPr="00D51A68" w:rsidRDefault="001C7AB7" w:rsidP="001C7AB7">
            <w:pPr>
              <w:rPr>
                <w:rStyle w:val="InstructionsTabelleText"/>
                <w:rFonts w:ascii="Times New Roman" w:hAnsi="Times New Roman"/>
                <w:sz w:val="24"/>
              </w:rPr>
            </w:pPr>
            <w:r w:rsidRPr="00D51A68">
              <w:rPr>
                <w:rStyle w:val="InstructionsTabelleText"/>
                <w:rFonts w:ascii="Times New Roman" w:hAnsi="Times New Roman"/>
                <w:sz w:val="24"/>
              </w:rPr>
              <w:t>Le esposizioni che costituiscono elementi fuori bilancio e sono comprese come operazioni di finanziamento tramite titoli o come derivati e operazioni con regolamento a lungo termine, o che derivano da accordi di compensazione contrattuale tra prodotti differenti sono segnalate nelle righe 040-060; pertanto non sono incluse in questa riga.</w:t>
            </w:r>
          </w:p>
          <w:p w:rsidR="001C7AB7" w:rsidRPr="00D51A68" w:rsidRDefault="001C7AB7" w:rsidP="001C7AB7">
            <w:pPr>
              <w:rPr>
                <w:rFonts w:ascii="Times New Roman" w:hAnsi="Times New Roman"/>
                <w:sz w:val="24"/>
              </w:rPr>
            </w:pPr>
            <w:r w:rsidRPr="00D51A68">
              <w:rPr>
                <w:rStyle w:val="InstructionsTabelleText"/>
                <w:rFonts w:ascii="Times New Roman" w:hAnsi="Times New Roman"/>
                <w:sz w:val="24"/>
              </w:rPr>
              <w:t>Le esposizioni derivanti da costituite in garanzia presso una CCP conformemente all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articolo 4, paragrafo 1, punto 91, del CRR e le esposizioni relative al fondo di garanzia conformemente all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 xml:space="preserve">articolo 4, paragrafo 1, punto 89, del CRR sono incluse in questa riga se sono considerate elementi fuori bilancio. </w:t>
            </w:r>
          </w:p>
        </w:tc>
      </w:tr>
      <w:tr w:rsidR="001C7AB7" w:rsidRPr="00D51A68" w:rsidTr="00672D2A">
        <w:tc>
          <w:tcPr>
            <w:tcW w:w="1242" w:type="dxa"/>
          </w:tcPr>
          <w:p w:rsidR="001C7AB7" w:rsidRPr="00D51A68" w:rsidRDefault="001C7AB7" w:rsidP="001C7AB7">
            <w:pPr>
              <w:rPr>
                <w:rFonts w:ascii="Times New Roman" w:hAnsi="Times New Roman"/>
                <w:sz w:val="24"/>
              </w:rPr>
            </w:pPr>
            <w:r w:rsidRPr="00D51A68">
              <w:rPr>
                <w:rStyle w:val="InstructionsTabelleText"/>
                <w:rFonts w:ascii="Times New Roman" w:hAnsi="Times New Roman"/>
                <w:sz w:val="24"/>
              </w:rPr>
              <w:lastRenderedPageBreak/>
              <w:t>040-060</w:t>
            </w:r>
          </w:p>
        </w:tc>
        <w:tc>
          <w:tcPr>
            <w:tcW w:w="8789" w:type="dxa"/>
          </w:tcPr>
          <w:p w:rsidR="001C7AB7" w:rsidRPr="00D51A68" w:rsidRDefault="001C7AB7" w:rsidP="001C7AB7">
            <w:pPr>
              <w:rPr>
                <w:rFonts w:ascii="Times New Roman" w:hAnsi="Times New Roman"/>
                <w:b/>
                <w:sz w:val="24"/>
                <w:u w:val="single"/>
              </w:rPr>
            </w:pPr>
            <w:r w:rsidRPr="00D51A68">
              <w:rPr>
                <w:rStyle w:val="InstructionsTabelleberschrift"/>
                <w:rFonts w:ascii="Times New Roman" w:hAnsi="Times New Roman"/>
                <w:sz w:val="24"/>
              </w:rPr>
              <w:t>Esposizioni/Operazioni soggette al rischio di controparte</w:t>
            </w:r>
          </w:p>
        </w:tc>
      </w:tr>
      <w:tr w:rsidR="001C7AB7" w:rsidRPr="00D51A68" w:rsidTr="00672D2A">
        <w:tc>
          <w:tcPr>
            <w:tcW w:w="1242" w:type="dxa"/>
          </w:tcPr>
          <w:p w:rsidR="001C7AB7" w:rsidRPr="00D51A68" w:rsidRDefault="001C7AB7" w:rsidP="001C7AB7">
            <w:pPr>
              <w:rPr>
                <w:rFonts w:ascii="Times New Roman" w:hAnsi="Times New Roman"/>
                <w:sz w:val="24"/>
              </w:rPr>
            </w:pPr>
            <w:r w:rsidRPr="00D51A68">
              <w:rPr>
                <w:rFonts w:ascii="Times New Roman" w:hAnsi="Times New Roman"/>
                <w:sz w:val="24"/>
              </w:rPr>
              <w:t>040</w:t>
            </w:r>
          </w:p>
        </w:tc>
        <w:tc>
          <w:tcPr>
            <w:tcW w:w="8789" w:type="dxa"/>
          </w:tcPr>
          <w:p w:rsidR="001C7AB7" w:rsidRPr="00D51A68" w:rsidRDefault="001C7AB7" w:rsidP="001C7AB7">
            <w:pPr>
              <w:ind w:left="72"/>
              <w:rPr>
                <w:rStyle w:val="InstructionsTabelleberschrift"/>
                <w:rFonts w:ascii="Times New Roman" w:hAnsi="Times New Roman"/>
                <w:sz w:val="24"/>
              </w:rPr>
            </w:pPr>
            <w:r w:rsidRPr="00D51A68">
              <w:rPr>
                <w:rStyle w:val="InstructionsTabelleberschrift"/>
                <w:rFonts w:ascii="Times New Roman" w:hAnsi="Times New Roman"/>
                <w:sz w:val="24"/>
              </w:rPr>
              <w:t xml:space="preserve">Operazioni di finanziamento tramite titoli </w:t>
            </w:r>
          </w:p>
          <w:p w:rsidR="001C7AB7" w:rsidRPr="00D51A68" w:rsidRDefault="001C7AB7" w:rsidP="001C7AB7">
            <w:pPr>
              <w:ind w:left="72"/>
              <w:rPr>
                <w:rStyle w:val="InstructionsTabelleText"/>
                <w:rFonts w:ascii="Times New Roman" w:hAnsi="Times New Roman"/>
                <w:sz w:val="24"/>
              </w:rPr>
            </w:pPr>
            <w:r w:rsidRPr="00D51A68">
              <w:rPr>
                <w:rStyle w:val="InstructionsTabelleText"/>
                <w:rFonts w:ascii="Times New Roman" w:hAnsi="Times New Roman"/>
                <w:sz w:val="24"/>
              </w:rPr>
              <w:t xml:space="preserve">Le operazioni di finanziamento tramite titoli (SFT), così come definite nel paragrafo 17 del documento del Comitato di Basilea </w:t>
            </w:r>
            <w:r w:rsidR="0009277C" w:rsidRPr="00D51A68">
              <w:rPr>
                <w:rStyle w:val="InstructionsTabelleText"/>
                <w:rFonts w:ascii="Times New Roman" w:hAnsi="Times New Roman"/>
                <w:sz w:val="24"/>
              </w:rPr>
              <w:t>“</w:t>
            </w:r>
            <w:r w:rsidRPr="00D51A68">
              <w:rPr>
                <w:rStyle w:val="InstructionsTabelleText"/>
                <w:rFonts w:ascii="Times New Roman" w:hAnsi="Times New Roman"/>
                <w:i/>
                <w:sz w:val="24"/>
              </w:rPr>
              <w:t>The Application of Basel II to Trading Activities and the Treatment of Double Default Effects</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 xml:space="preserve"> (Applicazione di Basilea II alle operazioni di negoziazione e trattamento degli effetti del </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double default</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 comprendono: i) i contratti di vendita con patto di riacquisto e i contratti di vendita con patto di riacquisto passivo definiti nell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articolo 4, paragrafo 1, punto 82, del CRR, nonché le operazioni di concessione e assunzione in prestito di titoli o di merci e ii)</w:t>
            </w:r>
            <w:r w:rsidR="0073183F" w:rsidRPr="00D51A68">
              <w:rPr>
                <w:rStyle w:val="InstructionsTabelleText"/>
                <w:rFonts w:ascii="Times New Roman" w:hAnsi="Times New Roman"/>
                <w:sz w:val="24"/>
              </w:rPr>
              <w:t> </w:t>
            </w:r>
            <w:r w:rsidRPr="00D51A68">
              <w:rPr>
                <w:rStyle w:val="InstructionsTabelleText"/>
                <w:rFonts w:ascii="Times New Roman" w:hAnsi="Times New Roman"/>
                <w:sz w:val="24"/>
              </w:rPr>
              <w:t>i</w:t>
            </w:r>
            <w:r w:rsidR="0073183F" w:rsidRPr="00D51A68">
              <w:rPr>
                <w:rStyle w:val="InstructionsTabelleText"/>
                <w:rFonts w:ascii="Times New Roman" w:hAnsi="Times New Roman"/>
                <w:sz w:val="24"/>
              </w:rPr>
              <w:t> </w:t>
            </w:r>
            <w:r w:rsidRPr="00D51A68">
              <w:rPr>
                <w:rStyle w:val="InstructionsTabelleText"/>
                <w:rFonts w:ascii="Times New Roman" w:hAnsi="Times New Roman"/>
                <w:sz w:val="24"/>
              </w:rPr>
              <w:t>finanziamenti con margini definiti nell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articolo 272, punto 3, del CRR.</w:t>
            </w:r>
          </w:p>
          <w:p w:rsidR="001C7AB7" w:rsidRPr="00D51A68" w:rsidRDefault="001C7AB7" w:rsidP="00FD6CCB">
            <w:pPr>
              <w:rPr>
                <w:rFonts w:ascii="Times New Roman" w:hAnsi="Times New Roman"/>
                <w:sz w:val="24"/>
              </w:rPr>
            </w:pPr>
            <w:r w:rsidRPr="00D51A68">
              <w:rPr>
                <w:rStyle w:val="InstructionsTabelleText"/>
                <w:rFonts w:ascii="Times New Roman" w:hAnsi="Times New Roman"/>
                <w:sz w:val="24"/>
              </w:rPr>
              <w:t>Le operazioni di finanziamento tramite titoli comprese in una compensazione tra prodotti differenti sono segnalate nella riga 060 e pertanto non figurano in questa riga.</w:t>
            </w:r>
          </w:p>
        </w:tc>
      </w:tr>
      <w:tr w:rsidR="001C7AB7" w:rsidRPr="00D51A68" w:rsidTr="00672D2A">
        <w:tc>
          <w:tcPr>
            <w:tcW w:w="1242" w:type="dxa"/>
          </w:tcPr>
          <w:p w:rsidR="001C7AB7" w:rsidRPr="00D51A68" w:rsidRDefault="001C7AB7" w:rsidP="001C7AB7">
            <w:pPr>
              <w:rPr>
                <w:rFonts w:ascii="Times New Roman" w:hAnsi="Times New Roman"/>
                <w:sz w:val="24"/>
              </w:rPr>
            </w:pPr>
            <w:r w:rsidRPr="00D51A68">
              <w:rPr>
                <w:rFonts w:ascii="Times New Roman" w:hAnsi="Times New Roman"/>
                <w:sz w:val="24"/>
              </w:rPr>
              <w:t>050</w:t>
            </w:r>
          </w:p>
        </w:tc>
        <w:tc>
          <w:tcPr>
            <w:tcW w:w="8789" w:type="dxa"/>
          </w:tcPr>
          <w:p w:rsidR="001C7AB7" w:rsidRPr="00D51A68" w:rsidRDefault="001C7AB7" w:rsidP="001C7AB7">
            <w:pPr>
              <w:rPr>
                <w:rFonts w:ascii="Times New Roman" w:hAnsi="Times New Roman"/>
                <w:b/>
                <w:sz w:val="24"/>
                <w:u w:val="single"/>
              </w:rPr>
            </w:pPr>
            <w:r w:rsidRPr="00D51A68">
              <w:rPr>
                <w:rFonts w:ascii="Times New Roman" w:hAnsi="Times New Roman"/>
                <w:b/>
                <w:sz w:val="24"/>
                <w:u w:val="single"/>
              </w:rPr>
              <w:t>Derivati</w:t>
            </w:r>
            <w:r w:rsidRPr="00D51A68">
              <w:rPr>
                <w:rStyle w:val="InstructionsTabelleberschrift"/>
                <w:rFonts w:ascii="Times New Roman" w:hAnsi="Times New Roman"/>
                <w:sz w:val="24"/>
              </w:rPr>
              <w:t xml:space="preserve"> e operazioni con regolamento a lungo termine</w:t>
            </w:r>
          </w:p>
          <w:p w:rsidR="001C7AB7" w:rsidRPr="00D51A68" w:rsidRDefault="001C7AB7" w:rsidP="00FD6CCB">
            <w:pPr>
              <w:ind w:left="72"/>
              <w:rPr>
                <w:rFonts w:ascii="Times New Roman" w:hAnsi="Times New Roman"/>
                <w:sz w:val="24"/>
              </w:rPr>
            </w:pPr>
            <w:r w:rsidRPr="00D51A68">
              <w:rPr>
                <w:rStyle w:val="InstructionsTabelleText"/>
                <w:rFonts w:ascii="Times New Roman" w:hAnsi="Times New Roman"/>
                <w:sz w:val="24"/>
              </w:rPr>
              <w:t>I derivati comprendono i contratti elencati nell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allegato II del CRR. I derivati e le operazioni con regolamento a lungo termine compresi in una compensazione tra prodotti differenti sono segnalati nella riga 060; pertanto non sono inclusi in questa riga.</w:t>
            </w:r>
          </w:p>
        </w:tc>
      </w:tr>
      <w:tr w:rsidR="001C7AB7" w:rsidRPr="00D51A68" w:rsidTr="00672D2A">
        <w:tc>
          <w:tcPr>
            <w:tcW w:w="1242" w:type="dxa"/>
          </w:tcPr>
          <w:p w:rsidR="001C7AB7" w:rsidRPr="00D51A68" w:rsidRDefault="001C7AB7" w:rsidP="001C7AB7">
            <w:pPr>
              <w:rPr>
                <w:rFonts w:ascii="Times New Roman" w:hAnsi="Times New Roman"/>
                <w:sz w:val="24"/>
              </w:rPr>
            </w:pPr>
            <w:r w:rsidRPr="00D51A68">
              <w:rPr>
                <w:rFonts w:ascii="Times New Roman" w:hAnsi="Times New Roman"/>
                <w:sz w:val="24"/>
              </w:rPr>
              <w:t>060</w:t>
            </w:r>
          </w:p>
        </w:tc>
        <w:tc>
          <w:tcPr>
            <w:tcW w:w="8789" w:type="dxa"/>
          </w:tcPr>
          <w:p w:rsidR="001C7AB7" w:rsidRPr="00D51A68" w:rsidRDefault="001C7AB7" w:rsidP="001C7AB7">
            <w:pPr>
              <w:rPr>
                <w:rFonts w:ascii="Times New Roman" w:hAnsi="Times New Roman"/>
                <w:b/>
                <w:sz w:val="24"/>
                <w:u w:val="single"/>
              </w:rPr>
            </w:pPr>
            <w:r w:rsidRPr="00D51A68">
              <w:rPr>
                <w:rFonts w:ascii="Times New Roman" w:hAnsi="Times New Roman"/>
                <w:b/>
                <w:sz w:val="24"/>
                <w:u w:val="single"/>
              </w:rPr>
              <w:t>Da compensazione contrattuale tra prodotti differenti</w:t>
            </w:r>
          </w:p>
          <w:p w:rsidR="001C7AB7" w:rsidRPr="00D51A68" w:rsidRDefault="00FD6CCB" w:rsidP="001C7AB7">
            <w:pPr>
              <w:rPr>
                <w:rFonts w:ascii="Times New Roman" w:hAnsi="Times New Roman"/>
                <w:sz w:val="24"/>
              </w:rPr>
            </w:pPr>
            <w:r w:rsidRPr="00D51A68">
              <w:rPr>
                <w:rFonts w:ascii="Times New Roman" w:hAnsi="Times New Roman"/>
                <w:sz w:val="24"/>
              </w:rPr>
              <w:t>Cfr. le istruzioni relative al modello CR SA.</w:t>
            </w:r>
          </w:p>
        </w:tc>
      </w:tr>
      <w:tr w:rsidR="001C7AB7" w:rsidRPr="00D51A68" w:rsidTr="00672D2A">
        <w:tc>
          <w:tcPr>
            <w:tcW w:w="1242" w:type="dxa"/>
          </w:tcPr>
          <w:p w:rsidR="001C7AB7" w:rsidRPr="00D51A68" w:rsidRDefault="001C7AB7" w:rsidP="001C7AB7">
            <w:pPr>
              <w:rPr>
                <w:rFonts w:ascii="Times New Roman" w:hAnsi="Times New Roman"/>
                <w:sz w:val="24"/>
              </w:rPr>
            </w:pPr>
            <w:r w:rsidRPr="00D51A68">
              <w:rPr>
                <w:rFonts w:ascii="Times New Roman" w:hAnsi="Times New Roman"/>
                <w:sz w:val="24"/>
              </w:rPr>
              <w:t>070</w:t>
            </w:r>
          </w:p>
        </w:tc>
        <w:tc>
          <w:tcPr>
            <w:tcW w:w="8789" w:type="dxa"/>
          </w:tcPr>
          <w:p w:rsidR="001C7AB7" w:rsidRPr="00D51A68" w:rsidRDefault="001C7AB7" w:rsidP="001C7AB7">
            <w:pPr>
              <w:rPr>
                <w:rFonts w:ascii="Times New Roman" w:hAnsi="Times New Roman"/>
                <w:b/>
                <w:sz w:val="24"/>
                <w:u w:val="single"/>
              </w:rPr>
            </w:pPr>
            <w:r w:rsidRPr="00D51A68">
              <w:rPr>
                <w:rFonts w:ascii="Times New Roman" w:hAnsi="Times New Roman"/>
                <w:b/>
                <w:sz w:val="24"/>
                <w:u w:val="single"/>
              </w:rPr>
              <w:t>ESPOSIZIONI ASSEGNATE ALLA CLASSE O AL POOL DI DEBITORI: TOTALE</w:t>
            </w:r>
          </w:p>
          <w:p w:rsidR="001C7AB7" w:rsidRPr="00D51A68" w:rsidRDefault="001C7AB7" w:rsidP="001C7AB7">
            <w:pPr>
              <w:rPr>
                <w:rFonts w:ascii="Times New Roman" w:hAnsi="Times New Roman"/>
                <w:sz w:val="24"/>
              </w:rPr>
            </w:pPr>
            <w:r w:rsidRPr="00D51A68">
              <w:rPr>
                <w:rFonts w:ascii="Times New Roman" w:hAnsi="Times New Roman"/>
                <w:sz w:val="24"/>
              </w:rPr>
              <w:t>Per le esposizioni verso imprese, enti e amministrazioni centrali e banche centrali, cfr. l</w:t>
            </w:r>
            <w:r w:rsidR="0009277C" w:rsidRPr="00D51A68">
              <w:rPr>
                <w:rFonts w:ascii="Times New Roman" w:hAnsi="Times New Roman"/>
                <w:sz w:val="24"/>
              </w:rPr>
              <w:t>’</w:t>
            </w:r>
            <w:r w:rsidRPr="00D51A68">
              <w:rPr>
                <w:rFonts w:ascii="Times New Roman" w:hAnsi="Times New Roman"/>
                <w:sz w:val="24"/>
              </w:rPr>
              <w:t>articolo 142, paragrafo 1, punto 6, e l</w:t>
            </w:r>
            <w:r w:rsidR="0009277C" w:rsidRPr="00D51A68">
              <w:rPr>
                <w:rFonts w:ascii="Times New Roman" w:hAnsi="Times New Roman"/>
                <w:sz w:val="24"/>
              </w:rPr>
              <w:t>’</w:t>
            </w:r>
            <w:r w:rsidRPr="00D51A68">
              <w:rPr>
                <w:rFonts w:ascii="Times New Roman" w:hAnsi="Times New Roman"/>
                <w:sz w:val="24"/>
              </w:rPr>
              <w:t xml:space="preserve">articolo 170, paragrafo 1, lettera c), del CRR. </w:t>
            </w:r>
          </w:p>
          <w:p w:rsidR="001C7AB7" w:rsidRPr="00D51A68" w:rsidRDefault="001C7AB7" w:rsidP="001C7AB7">
            <w:pPr>
              <w:rPr>
                <w:rFonts w:ascii="Times New Roman" w:hAnsi="Times New Roman"/>
                <w:sz w:val="24"/>
              </w:rPr>
            </w:pPr>
            <w:r w:rsidRPr="00D51A68">
              <w:rPr>
                <w:rFonts w:ascii="Times New Roman" w:hAnsi="Times New Roman"/>
                <w:sz w:val="24"/>
              </w:rPr>
              <w:t>Per le esposizioni al dettaglio, cfr. l</w:t>
            </w:r>
            <w:r w:rsidR="0009277C" w:rsidRPr="00D51A68">
              <w:rPr>
                <w:rFonts w:ascii="Times New Roman" w:hAnsi="Times New Roman"/>
                <w:sz w:val="24"/>
              </w:rPr>
              <w:t>’</w:t>
            </w:r>
            <w:r w:rsidRPr="00D51A68">
              <w:rPr>
                <w:rFonts w:ascii="Times New Roman" w:hAnsi="Times New Roman"/>
                <w:sz w:val="24"/>
              </w:rPr>
              <w:t>articolo 170, paragrafo 3, lettera b), del CRR. Per le esposizioni derivanti da crediti commerciali acquistati cfr. l</w:t>
            </w:r>
            <w:r w:rsidR="0009277C" w:rsidRPr="00D51A68">
              <w:rPr>
                <w:rFonts w:ascii="Times New Roman" w:hAnsi="Times New Roman"/>
                <w:sz w:val="24"/>
              </w:rPr>
              <w:t>’</w:t>
            </w:r>
            <w:r w:rsidRPr="00D51A68">
              <w:rPr>
                <w:rFonts w:ascii="Times New Roman" w:hAnsi="Times New Roman"/>
                <w:sz w:val="24"/>
              </w:rPr>
              <w:t xml:space="preserve">articolo 166, paragrafo 6, del CRR. </w:t>
            </w:r>
          </w:p>
          <w:p w:rsidR="001C7AB7" w:rsidRPr="00D51A68" w:rsidRDefault="001C7AB7" w:rsidP="001C7AB7">
            <w:pPr>
              <w:rPr>
                <w:rFonts w:ascii="Times New Roman" w:hAnsi="Times New Roman"/>
                <w:sz w:val="24"/>
              </w:rPr>
            </w:pPr>
            <w:r w:rsidRPr="00D51A68">
              <w:rPr>
                <w:rFonts w:ascii="Times New Roman" w:hAnsi="Times New Roman"/>
                <w:sz w:val="24"/>
              </w:rPr>
              <w:t>Le esposizioni derivanti da rischi di diluizione di crediti commerciali acquistati non sono segnalate in base alle classi o ai pool di debitori e sono ricomprese nella riga 180.</w:t>
            </w:r>
          </w:p>
          <w:p w:rsidR="001C7AB7" w:rsidRPr="00D51A68" w:rsidRDefault="001C7AB7" w:rsidP="001C7AB7">
            <w:pPr>
              <w:rPr>
                <w:rFonts w:ascii="Times New Roman" w:hAnsi="Times New Roman"/>
                <w:sz w:val="24"/>
              </w:rPr>
            </w:pPr>
            <w:r w:rsidRPr="00D51A68">
              <w:rPr>
                <w:rFonts w:ascii="Times New Roman" w:hAnsi="Times New Roman"/>
                <w:sz w:val="24"/>
              </w:rPr>
              <w:t>Se utilizza molte classi o molti pool, l</w:t>
            </w:r>
            <w:r w:rsidR="0009277C" w:rsidRPr="00D51A68">
              <w:rPr>
                <w:rFonts w:ascii="Times New Roman" w:hAnsi="Times New Roman"/>
                <w:sz w:val="24"/>
              </w:rPr>
              <w:t>’</w:t>
            </w:r>
            <w:r w:rsidRPr="00D51A68">
              <w:rPr>
                <w:rFonts w:ascii="Times New Roman" w:hAnsi="Times New Roman"/>
                <w:sz w:val="24"/>
              </w:rPr>
              <w:t xml:space="preserve">ente può concordare con le autorità competenti di ridurre il numero delle classi o dei pool da segnalare. </w:t>
            </w:r>
          </w:p>
          <w:p w:rsidR="001C7AB7" w:rsidRPr="00D51A68" w:rsidRDefault="00C93697" w:rsidP="00FD6CCB">
            <w:pPr>
              <w:rPr>
                <w:rFonts w:ascii="Times New Roman" w:hAnsi="Times New Roman"/>
                <w:sz w:val="24"/>
              </w:rPr>
            </w:pPr>
            <w:r w:rsidRPr="00D51A68">
              <w:rPr>
                <w:rFonts w:ascii="Times New Roman" w:hAnsi="Times New Roman"/>
                <w:sz w:val="24"/>
              </w:rPr>
              <w:t xml:space="preserve">Non è utilizzata una scala tipo; gli enti stabiliscono autonomamente la scala da utilizzare. </w:t>
            </w:r>
          </w:p>
        </w:tc>
      </w:tr>
      <w:tr w:rsidR="001C7AB7" w:rsidRPr="00D51A68" w:rsidTr="00672D2A">
        <w:tc>
          <w:tcPr>
            <w:tcW w:w="1242" w:type="dxa"/>
          </w:tcPr>
          <w:p w:rsidR="001C7AB7" w:rsidRPr="00D51A68" w:rsidRDefault="001C7AB7" w:rsidP="001C7AB7">
            <w:pPr>
              <w:rPr>
                <w:rFonts w:ascii="Times New Roman" w:hAnsi="Times New Roman"/>
                <w:sz w:val="24"/>
              </w:rPr>
            </w:pPr>
            <w:r w:rsidRPr="00D51A68">
              <w:rPr>
                <w:rFonts w:ascii="Times New Roman" w:hAnsi="Times New Roman"/>
                <w:sz w:val="24"/>
              </w:rPr>
              <w:t>080</w:t>
            </w:r>
          </w:p>
        </w:tc>
        <w:tc>
          <w:tcPr>
            <w:tcW w:w="8789" w:type="dxa"/>
          </w:tcPr>
          <w:p w:rsidR="001C7AB7" w:rsidRPr="00D51A68" w:rsidRDefault="001C7AB7" w:rsidP="001C7AB7">
            <w:pPr>
              <w:rPr>
                <w:rFonts w:ascii="Times New Roman" w:hAnsi="Times New Roman"/>
                <w:sz w:val="24"/>
              </w:rPr>
            </w:pPr>
            <w:r w:rsidRPr="00D51A68">
              <w:rPr>
                <w:rFonts w:ascii="Times New Roman" w:hAnsi="Times New Roman"/>
                <w:b/>
                <w:sz w:val="24"/>
                <w:u w:val="single"/>
              </w:rPr>
              <w:t>CRITERI DI ASSEGNAZIONE DEI FINANZIAMENTI SPECIALIZZATI: TOTALE</w:t>
            </w:r>
          </w:p>
          <w:p w:rsidR="001C7AB7" w:rsidRPr="00D51A68" w:rsidRDefault="001C7AB7" w:rsidP="00FD6CCB">
            <w:pPr>
              <w:rPr>
                <w:rFonts w:ascii="Times New Roman" w:hAnsi="Times New Roman"/>
                <w:sz w:val="24"/>
              </w:rPr>
            </w:pPr>
            <w:r w:rsidRPr="00D51A68">
              <w:rPr>
                <w:rFonts w:ascii="Times New Roman" w:hAnsi="Times New Roman"/>
                <w:sz w:val="24"/>
              </w:rPr>
              <w:t xml:space="preserve">Articolo 153, paragrafo 5, del CRR. Vale solo per le classi di esposizioni verso imprese, enti e amministrazioni centrali e banche centrali. </w:t>
            </w:r>
          </w:p>
        </w:tc>
      </w:tr>
      <w:tr w:rsidR="001C7AB7" w:rsidRPr="00D51A68" w:rsidTr="00672D2A">
        <w:tc>
          <w:tcPr>
            <w:tcW w:w="1242" w:type="dxa"/>
          </w:tcPr>
          <w:p w:rsidR="001C7AB7" w:rsidRPr="00D51A68" w:rsidRDefault="001C7AB7" w:rsidP="004F2B30">
            <w:pPr>
              <w:rPr>
                <w:rFonts w:ascii="Times New Roman" w:hAnsi="Times New Roman"/>
                <w:sz w:val="24"/>
              </w:rPr>
            </w:pPr>
            <w:r w:rsidRPr="00D51A68">
              <w:rPr>
                <w:rFonts w:ascii="Times New Roman" w:hAnsi="Times New Roman"/>
                <w:sz w:val="24"/>
              </w:rPr>
              <w:t>090-150</w:t>
            </w:r>
          </w:p>
        </w:tc>
        <w:tc>
          <w:tcPr>
            <w:tcW w:w="8789" w:type="dxa"/>
          </w:tcPr>
          <w:p w:rsidR="001C7AB7" w:rsidRPr="00D51A68" w:rsidRDefault="001C7AB7" w:rsidP="001C7AB7">
            <w:pPr>
              <w:rPr>
                <w:rStyle w:val="InstructionsTabelleberschrift"/>
                <w:rFonts w:ascii="Times New Roman" w:hAnsi="Times New Roman"/>
                <w:sz w:val="24"/>
              </w:rPr>
            </w:pPr>
            <w:r w:rsidRPr="00D51A68">
              <w:rPr>
                <w:rStyle w:val="InstructionsTabelleberschrift"/>
                <w:rFonts w:ascii="Times New Roman" w:hAnsi="Times New Roman"/>
                <w:sz w:val="24"/>
              </w:rPr>
              <w:t>RIPARTIZIONE DELLE ESPOSIZIONI TOTALI PER FATTORE DI PONDERAZIONE DEL RISCHIO NELL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AMBITO DEI CRITERI DI ASSEGNAZIONE DEI FINANZIAMENTI SPECIALIZZATI</w:t>
            </w:r>
          </w:p>
        </w:tc>
      </w:tr>
      <w:tr w:rsidR="001C7AB7" w:rsidRPr="00D51A68" w:rsidTr="0073183F">
        <w:trPr>
          <w:cantSplit/>
        </w:trPr>
        <w:tc>
          <w:tcPr>
            <w:tcW w:w="1242" w:type="dxa"/>
          </w:tcPr>
          <w:p w:rsidR="001C7AB7" w:rsidRPr="00D51A68" w:rsidRDefault="001C7AB7" w:rsidP="001C7AB7">
            <w:pPr>
              <w:rPr>
                <w:rFonts w:ascii="Times New Roman" w:hAnsi="Times New Roman"/>
                <w:sz w:val="24"/>
              </w:rPr>
            </w:pPr>
            <w:r w:rsidRPr="00D51A68">
              <w:rPr>
                <w:rFonts w:ascii="Times New Roman" w:hAnsi="Times New Roman"/>
                <w:sz w:val="24"/>
              </w:rPr>
              <w:lastRenderedPageBreak/>
              <w:t>120</w:t>
            </w:r>
          </w:p>
        </w:tc>
        <w:tc>
          <w:tcPr>
            <w:tcW w:w="8789" w:type="dxa"/>
          </w:tcPr>
          <w:p w:rsidR="001C7AB7" w:rsidRPr="00D51A68" w:rsidRDefault="001C7AB7" w:rsidP="001C7AB7">
            <w:pPr>
              <w:rPr>
                <w:rStyle w:val="InstructionsTabelleberschrift"/>
                <w:rFonts w:ascii="Times New Roman" w:hAnsi="Times New Roman"/>
                <w:sz w:val="24"/>
              </w:rPr>
            </w:pPr>
            <w:r w:rsidRPr="00D51A68">
              <w:rPr>
                <w:rStyle w:val="InstructionsTabelleberschrift"/>
                <w:rFonts w:ascii="Times New Roman" w:hAnsi="Times New Roman"/>
                <w:sz w:val="24"/>
              </w:rPr>
              <w:t xml:space="preserve">di cui: nella categoria 1 </w:t>
            </w:r>
          </w:p>
          <w:p w:rsidR="001C7AB7" w:rsidRPr="00D51A68" w:rsidRDefault="001C7AB7" w:rsidP="001C7AB7">
            <w:pPr>
              <w:rPr>
                <w:rFonts w:ascii="Times New Roman" w:hAnsi="Times New Roman"/>
                <w:sz w:val="24"/>
              </w:rPr>
            </w:pPr>
            <w:r w:rsidRPr="00D51A68">
              <w:rPr>
                <w:rFonts w:ascii="Times New Roman" w:hAnsi="Times New Roman"/>
                <w:sz w:val="24"/>
              </w:rPr>
              <w:t>Articolo 153, paragrafo 5, tabella 1, del CRR.</w:t>
            </w:r>
          </w:p>
        </w:tc>
      </w:tr>
      <w:tr w:rsidR="001C7AB7" w:rsidRPr="00D51A68" w:rsidTr="00672D2A">
        <w:tc>
          <w:tcPr>
            <w:tcW w:w="1242" w:type="dxa"/>
          </w:tcPr>
          <w:p w:rsidR="001C7AB7" w:rsidRPr="00D51A68" w:rsidRDefault="001C7AB7" w:rsidP="001C7AB7">
            <w:pPr>
              <w:rPr>
                <w:rFonts w:ascii="Times New Roman" w:hAnsi="Times New Roman"/>
                <w:sz w:val="24"/>
              </w:rPr>
            </w:pPr>
            <w:r w:rsidRPr="00D51A68">
              <w:rPr>
                <w:rFonts w:ascii="Times New Roman" w:hAnsi="Times New Roman"/>
                <w:sz w:val="24"/>
              </w:rPr>
              <w:t>160</w:t>
            </w:r>
          </w:p>
        </w:tc>
        <w:tc>
          <w:tcPr>
            <w:tcW w:w="8789" w:type="dxa"/>
          </w:tcPr>
          <w:p w:rsidR="001C7AB7" w:rsidRPr="00D51A68" w:rsidRDefault="001C7AB7" w:rsidP="001C7AB7">
            <w:pPr>
              <w:rPr>
                <w:rStyle w:val="InstructionsTabelleberschrift"/>
                <w:rFonts w:ascii="Times New Roman" w:hAnsi="Times New Roman"/>
                <w:sz w:val="24"/>
              </w:rPr>
            </w:pPr>
            <w:r w:rsidRPr="00D51A68">
              <w:rPr>
                <w:rStyle w:val="InstructionsTabelleberschrift"/>
                <w:rFonts w:ascii="Times New Roman" w:hAnsi="Times New Roman"/>
                <w:sz w:val="24"/>
              </w:rPr>
              <w:t>TRATTAMENTO ALTERNATIVO: GARANTITE DA BENI IMMOBILI</w:t>
            </w:r>
          </w:p>
          <w:p w:rsidR="001C7AB7" w:rsidRPr="00D51A68" w:rsidRDefault="001C7AB7" w:rsidP="001C7AB7">
            <w:pPr>
              <w:rPr>
                <w:rFonts w:ascii="Times New Roman" w:hAnsi="Times New Roman"/>
                <w:sz w:val="24"/>
              </w:rPr>
            </w:pPr>
            <w:r w:rsidRPr="00D51A68">
              <w:rPr>
                <w:rFonts w:ascii="Times New Roman" w:hAnsi="Times New Roman"/>
                <w:sz w:val="24"/>
              </w:rPr>
              <w:t>Articolo 193, paragrafi 1 e 2, articolo 194, paragrafi da 1 a 7, e articolo 230, paragrafo 3, del CRR.</w:t>
            </w:r>
          </w:p>
        </w:tc>
      </w:tr>
      <w:tr w:rsidR="001C7AB7" w:rsidRPr="00D51A68" w:rsidTr="00672D2A">
        <w:tc>
          <w:tcPr>
            <w:tcW w:w="1242" w:type="dxa"/>
          </w:tcPr>
          <w:p w:rsidR="001C7AB7" w:rsidRPr="00D51A68" w:rsidRDefault="001C7AB7" w:rsidP="001C7AB7">
            <w:pPr>
              <w:rPr>
                <w:rFonts w:ascii="Times New Roman" w:hAnsi="Times New Roman"/>
                <w:sz w:val="24"/>
              </w:rPr>
            </w:pPr>
            <w:r w:rsidRPr="00D51A68">
              <w:rPr>
                <w:rFonts w:ascii="Times New Roman" w:hAnsi="Times New Roman"/>
                <w:sz w:val="24"/>
              </w:rPr>
              <w:t>170</w:t>
            </w:r>
          </w:p>
        </w:tc>
        <w:tc>
          <w:tcPr>
            <w:tcW w:w="8789" w:type="dxa"/>
          </w:tcPr>
          <w:p w:rsidR="001C7AB7" w:rsidRPr="00D51A68" w:rsidRDefault="001C7AB7" w:rsidP="001C7AB7">
            <w:pPr>
              <w:rPr>
                <w:rStyle w:val="InstructionsTabelleberschrift"/>
                <w:rFonts w:ascii="Times New Roman" w:hAnsi="Times New Roman"/>
                <w:sz w:val="24"/>
              </w:rPr>
            </w:pPr>
            <w:r w:rsidRPr="00D51A68">
              <w:rPr>
                <w:rStyle w:val="InstructionsTabelleberschrift"/>
                <w:rFonts w:ascii="Times New Roman" w:hAnsi="Times New Roman"/>
                <w:sz w:val="24"/>
              </w:rPr>
              <w:t>ESPOSIZIONI DERIVANTI DA OPERAZIONI CON REGOLAMENTO NON CONTESTUALE CHE APPLICANO FATTORI DI PONDERAZIONE DEL RISCHIO NELL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AMBITO DE</w:t>
            </w:r>
            <w:r w:rsidR="0073183F" w:rsidRPr="00D51A68">
              <w:rPr>
                <w:rStyle w:val="InstructionsTabelleberschrift"/>
                <w:rFonts w:ascii="Times New Roman" w:hAnsi="Times New Roman"/>
                <w:sz w:val="24"/>
              </w:rPr>
              <w:t>L TRATTAMENTO ALTERNATIVO O DEL </w:t>
            </w:r>
            <w:r w:rsidRPr="00D51A68">
              <w:rPr>
                <w:rStyle w:val="InstructionsTabelleberschrift"/>
                <w:rFonts w:ascii="Times New Roman" w:hAnsi="Times New Roman"/>
                <w:sz w:val="24"/>
              </w:rPr>
              <w:t>100</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 xml:space="preserve"> E ALTRE ESPOSIZIONI SOGGETTE A FATTORI DI PONDERAZIONE DEL RISCHIO</w:t>
            </w:r>
          </w:p>
          <w:p w:rsidR="001C7AB7" w:rsidRPr="00D51A68" w:rsidRDefault="001C7AB7" w:rsidP="00417984">
            <w:pPr>
              <w:rPr>
                <w:rFonts w:ascii="Times New Roman" w:hAnsi="Times New Roman"/>
                <w:sz w:val="24"/>
              </w:rPr>
            </w:pPr>
            <w:r w:rsidRPr="00D51A68">
              <w:rPr>
                <w:rFonts w:ascii="Times New Roman" w:hAnsi="Times New Roman"/>
                <w:sz w:val="24"/>
              </w:rPr>
              <w:t>Esposizioni derivanti da operazioni con regolamento non contestuale per le quali si utilizza il trattamento alternativo di cui all</w:t>
            </w:r>
            <w:r w:rsidR="0009277C" w:rsidRPr="00D51A68">
              <w:rPr>
                <w:rFonts w:ascii="Times New Roman" w:hAnsi="Times New Roman"/>
                <w:sz w:val="24"/>
              </w:rPr>
              <w:t>’</w:t>
            </w:r>
            <w:r w:rsidRPr="00D51A68">
              <w:rPr>
                <w:rFonts w:ascii="Times New Roman" w:hAnsi="Times New Roman"/>
                <w:sz w:val="24"/>
              </w:rPr>
              <w:t>articolo 379, paragrafo 2, primo comma, ultima frase, del CRR o alle quali si applica una ponderazione del rischio pari al 100% conformemente all</w:t>
            </w:r>
            <w:r w:rsidR="0009277C" w:rsidRPr="00D51A68">
              <w:rPr>
                <w:rFonts w:ascii="Times New Roman" w:hAnsi="Times New Roman"/>
                <w:sz w:val="24"/>
              </w:rPr>
              <w:t>’</w:t>
            </w:r>
            <w:r w:rsidRPr="00D51A68">
              <w:rPr>
                <w:rFonts w:ascii="Times New Roman" w:hAnsi="Times New Roman"/>
                <w:sz w:val="24"/>
              </w:rPr>
              <w:t>articolo 379, paragrafo 2, ultimo comma, del CRR. In questa riga sono segnalati i derivati su crediti nth-to-default privi di rating ai sensi dell</w:t>
            </w:r>
            <w:r w:rsidR="0009277C" w:rsidRPr="00D51A68">
              <w:rPr>
                <w:rFonts w:ascii="Times New Roman" w:hAnsi="Times New Roman"/>
                <w:sz w:val="24"/>
              </w:rPr>
              <w:t>’</w:t>
            </w:r>
            <w:r w:rsidRPr="00D51A68">
              <w:rPr>
                <w:rFonts w:ascii="Times New Roman" w:hAnsi="Times New Roman"/>
                <w:sz w:val="24"/>
              </w:rPr>
              <w:t>articolo 153, paragrafo 8, del CRR e qualsiasi altra esposizione soggetta a ponderazione del rischio non compresa in altra riga.</w:t>
            </w:r>
          </w:p>
        </w:tc>
      </w:tr>
      <w:tr w:rsidR="001C7AB7" w:rsidRPr="00D51A68" w:rsidTr="00672D2A">
        <w:tc>
          <w:tcPr>
            <w:tcW w:w="1242" w:type="dxa"/>
          </w:tcPr>
          <w:p w:rsidR="001C7AB7" w:rsidRPr="00D51A68" w:rsidRDefault="001C7AB7" w:rsidP="001C7AB7">
            <w:pPr>
              <w:rPr>
                <w:rFonts w:ascii="Times New Roman" w:hAnsi="Times New Roman"/>
                <w:sz w:val="24"/>
              </w:rPr>
            </w:pPr>
            <w:r w:rsidRPr="00D51A68">
              <w:rPr>
                <w:rFonts w:ascii="Times New Roman" w:hAnsi="Times New Roman"/>
                <w:sz w:val="24"/>
              </w:rPr>
              <w:t>180</w:t>
            </w:r>
          </w:p>
        </w:tc>
        <w:tc>
          <w:tcPr>
            <w:tcW w:w="8789" w:type="dxa"/>
          </w:tcPr>
          <w:p w:rsidR="001C7AB7" w:rsidRPr="00D51A68" w:rsidRDefault="001C7AB7" w:rsidP="001C7AB7">
            <w:pPr>
              <w:rPr>
                <w:rStyle w:val="InstructionsTabelleberschrift"/>
                <w:rFonts w:ascii="Times New Roman" w:hAnsi="Times New Roman"/>
                <w:sz w:val="24"/>
              </w:rPr>
            </w:pPr>
            <w:r w:rsidRPr="00D51A68">
              <w:rPr>
                <w:rStyle w:val="InstructionsTabelleberschrift"/>
                <w:rFonts w:ascii="Times New Roman" w:hAnsi="Times New Roman"/>
                <w:sz w:val="24"/>
              </w:rPr>
              <w:t>RISCHIO DI DILUIZIONE: CREDITI COMMERCIALI ACQUISTATI TOTALI</w:t>
            </w:r>
          </w:p>
          <w:p w:rsidR="001C7AB7" w:rsidRPr="00D51A68" w:rsidRDefault="001C7AB7" w:rsidP="001C7AB7">
            <w:pPr>
              <w:rPr>
                <w:rFonts w:ascii="Times New Roman" w:hAnsi="Times New Roman"/>
                <w:sz w:val="24"/>
              </w:rPr>
            </w:pPr>
            <w:r w:rsidRPr="00D51A68">
              <w:rPr>
                <w:rFonts w:ascii="Times New Roman" w:hAnsi="Times New Roman"/>
                <w:sz w:val="24"/>
              </w:rPr>
              <w:t>Cfr. l</w:t>
            </w:r>
            <w:r w:rsidR="0009277C" w:rsidRPr="00D51A68">
              <w:rPr>
                <w:rFonts w:ascii="Times New Roman" w:hAnsi="Times New Roman"/>
                <w:sz w:val="24"/>
              </w:rPr>
              <w:t>’</w:t>
            </w:r>
            <w:r w:rsidRPr="00D51A68">
              <w:rPr>
                <w:rFonts w:ascii="Times New Roman" w:hAnsi="Times New Roman"/>
                <w:sz w:val="24"/>
              </w:rPr>
              <w:t>articolo 4, paragrafo 1, punto 53, del CRR per la definizione del rischio di diluizione. Per il calcolo della ponderazione del rischio relativamente al rischio di diluizione, cfr. l</w:t>
            </w:r>
            <w:r w:rsidR="0009277C" w:rsidRPr="00D51A68">
              <w:rPr>
                <w:rFonts w:ascii="Times New Roman" w:hAnsi="Times New Roman"/>
                <w:sz w:val="24"/>
              </w:rPr>
              <w:t>’</w:t>
            </w:r>
            <w:r w:rsidRPr="00D51A68">
              <w:rPr>
                <w:rFonts w:ascii="Times New Roman" w:hAnsi="Times New Roman"/>
                <w:sz w:val="24"/>
              </w:rPr>
              <w:t>articolo 157, paragrafo 1, del CRR.</w:t>
            </w:r>
          </w:p>
          <w:p w:rsidR="001C7AB7" w:rsidRPr="00D51A68" w:rsidRDefault="001C7AB7" w:rsidP="00FD6CCB">
            <w:pPr>
              <w:rPr>
                <w:rFonts w:ascii="Times New Roman" w:hAnsi="Times New Roman"/>
                <w:sz w:val="24"/>
              </w:rPr>
            </w:pPr>
            <w:r w:rsidRPr="00D51A68">
              <w:rPr>
                <w:rFonts w:ascii="Times New Roman" w:hAnsi="Times New Roman"/>
                <w:sz w:val="24"/>
              </w:rPr>
              <w:t>Ai sensi dell</w:t>
            </w:r>
            <w:r w:rsidR="0009277C" w:rsidRPr="00D51A68">
              <w:rPr>
                <w:rFonts w:ascii="Times New Roman" w:hAnsi="Times New Roman"/>
                <w:sz w:val="24"/>
              </w:rPr>
              <w:t>’</w:t>
            </w:r>
            <w:r w:rsidRPr="00D51A68">
              <w:rPr>
                <w:rFonts w:ascii="Times New Roman" w:hAnsi="Times New Roman"/>
                <w:sz w:val="24"/>
              </w:rPr>
              <w:t>articolo 166, paragrafo 6, del CRR il valore dell</w:t>
            </w:r>
            <w:r w:rsidR="0009277C" w:rsidRPr="00D51A68">
              <w:rPr>
                <w:rFonts w:ascii="Times New Roman" w:hAnsi="Times New Roman"/>
                <w:sz w:val="24"/>
              </w:rPr>
              <w:t>’</w:t>
            </w:r>
            <w:r w:rsidRPr="00D51A68">
              <w:rPr>
                <w:rFonts w:ascii="Times New Roman" w:hAnsi="Times New Roman"/>
                <w:sz w:val="24"/>
              </w:rPr>
              <w:t>esposizione dei crediti commerciali acquistati è l</w:t>
            </w:r>
            <w:r w:rsidR="0009277C" w:rsidRPr="00D51A68">
              <w:rPr>
                <w:rFonts w:ascii="Times New Roman" w:hAnsi="Times New Roman"/>
                <w:sz w:val="24"/>
              </w:rPr>
              <w:t>’</w:t>
            </w:r>
            <w:r w:rsidRPr="00D51A68">
              <w:rPr>
                <w:rFonts w:ascii="Times New Roman" w:hAnsi="Times New Roman"/>
                <w:sz w:val="24"/>
              </w:rPr>
              <w:t xml:space="preserve">importo in essere meno gli </w:t>
            </w:r>
            <w:r w:rsidRPr="00D51A68">
              <w:rPr>
                <w:rStyle w:val="InstructionsTabelleText"/>
                <w:rFonts w:ascii="Times New Roman" w:hAnsi="Times New Roman"/>
                <w:sz w:val="24"/>
              </w:rPr>
              <w:t>importi delle esposizioni ponderati per il rischio</w:t>
            </w:r>
            <w:r w:rsidRPr="00D51A68">
              <w:rPr>
                <w:rFonts w:ascii="Times New Roman" w:hAnsi="Times New Roman"/>
                <w:sz w:val="24"/>
              </w:rPr>
              <w:t xml:space="preserve"> relativamente al rischio di diluizione prima dell</w:t>
            </w:r>
            <w:r w:rsidR="0009277C" w:rsidRPr="00D51A68">
              <w:rPr>
                <w:rFonts w:ascii="Times New Roman" w:hAnsi="Times New Roman"/>
                <w:sz w:val="24"/>
              </w:rPr>
              <w:t>’</w:t>
            </w:r>
            <w:r w:rsidRPr="00D51A68">
              <w:rPr>
                <w:rFonts w:ascii="Times New Roman" w:hAnsi="Times New Roman"/>
                <w:sz w:val="24"/>
              </w:rPr>
              <w:t>attenuazione del rischio di credito.</w:t>
            </w:r>
          </w:p>
        </w:tc>
      </w:tr>
    </w:tbl>
    <w:p w:rsidR="004357B9" w:rsidRPr="00D51A68" w:rsidRDefault="004357B9" w:rsidP="004357B9">
      <w:pPr>
        <w:autoSpaceDE w:val="0"/>
        <w:autoSpaceDN w:val="0"/>
        <w:adjustRightInd w:val="0"/>
        <w:spacing w:before="0" w:after="0"/>
        <w:ind w:left="284"/>
        <w:jc w:val="left"/>
        <w:rPr>
          <w:rFonts w:ascii="Times New Roman" w:hAnsi="Times New Roman"/>
          <w:sz w:val="24"/>
        </w:rPr>
      </w:pPr>
      <w:bookmarkStart w:id="289" w:name="_Toc120327823"/>
      <w:bookmarkStart w:id="290" w:name="_Toc120072325"/>
      <w:bookmarkStart w:id="291" w:name="_Toc294280272"/>
      <w:bookmarkStart w:id="292" w:name="_Toc294281597"/>
      <w:bookmarkStart w:id="293" w:name="_Toc294281817"/>
      <w:bookmarkStart w:id="294" w:name="_Toc294282031"/>
      <w:bookmarkStart w:id="295" w:name="_Toc294282234"/>
      <w:bookmarkStart w:id="296" w:name="_Toc294714169"/>
      <w:bookmarkStart w:id="297" w:name="_Toc295314195"/>
      <w:bookmarkStart w:id="298" w:name="_Toc295829584"/>
      <w:bookmarkStart w:id="299" w:name="_Toc295829867"/>
      <w:bookmarkStart w:id="300" w:name="_Toc301772755"/>
      <w:bookmarkStart w:id="301" w:name="_Toc301772833"/>
      <w:bookmarkStart w:id="302" w:name="_Toc302657772"/>
      <w:bookmarkStart w:id="303" w:name="_Toc302657891"/>
      <w:bookmarkStart w:id="304" w:name="_Toc294280294"/>
      <w:bookmarkStart w:id="305" w:name="_Toc294281619"/>
      <w:bookmarkStart w:id="306" w:name="_Toc294281839"/>
      <w:bookmarkStart w:id="307" w:name="_Toc294282053"/>
      <w:bookmarkStart w:id="308" w:name="_Toc294282256"/>
      <w:bookmarkStart w:id="309" w:name="_Toc294714191"/>
      <w:bookmarkStart w:id="310" w:name="_Toc295314217"/>
      <w:bookmarkStart w:id="311" w:name="_Toc295829606"/>
      <w:bookmarkStart w:id="312" w:name="_Toc295829889"/>
      <w:bookmarkStart w:id="313" w:name="_Toc301772777"/>
      <w:bookmarkStart w:id="314" w:name="_Toc301772855"/>
      <w:bookmarkStart w:id="315" w:name="_Toc302657794"/>
      <w:bookmarkStart w:id="316" w:name="_Toc302657913"/>
      <w:bookmarkStart w:id="317" w:name="_Toc294280312"/>
      <w:bookmarkStart w:id="318" w:name="_Toc294281637"/>
      <w:bookmarkStart w:id="319" w:name="_Toc294281857"/>
      <w:bookmarkStart w:id="320" w:name="_Toc294282071"/>
      <w:bookmarkStart w:id="321" w:name="_Toc294282274"/>
      <w:bookmarkStart w:id="322" w:name="_Toc294714209"/>
      <w:bookmarkStart w:id="323" w:name="_Toc295314235"/>
      <w:bookmarkStart w:id="324" w:name="_Toc295829624"/>
      <w:bookmarkStart w:id="325" w:name="_Toc295829907"/>
      <w:bookmarkStart w:id="326" w:name="_Toc301772795"/>
      <w:bookmarkStart w:id="327" w:name="_Toc301772873"/>
      <w:bookmarkStart w:id="328" w:name="_Toc302657812"/>
      <w:bookmarkStart w:id="329" w:name="_Toc302657931"/>
      <w:bookmarkStart w:id="330" w:name="_Toc294280316"/>
      <w:bookmarkStart w:id="331" w:name="_Toc294281641"/>
      <w:bookmarkStart w:id="332" w:name="_Toc294281861"/>
      <w:bookmarkStart w:id="333" w:name="_Toc294282075"/>
      <w:bookmarkStart w:id="334" w:name="_Toc294282278"/>
      <w:bookmarkStart w:id="335" w:name="_Toc294714213"/>
      <w:bookmarkStart w:id="336" w:name="_Toc295314239"/>
      <w:bookmarkStart w:id="337" w:name="_Toc295829628"/>
      <w:bookmarkStart w:id="338" w:name="_Toc295829911"/>
      <w:bookmarkStart w:id="339" w:name="_Toc301772799"/>
      <w:bookmarkStart w:id="340" w:name="_Toc301772877"/>
      <w:bookmarkStart w:id="341" w:name="_Toc302657816"/>
      <w:bookmarkStart w:id="342" w:name="_Toc302657935"/>
      <w:bookmarkStart w:id="343" w:name="_Toc294280319"/>
      <w:bookmarkStart w:id="344" w:name="_Toc294281644"/>
      <w:bookmarkStart w:id="345" w:name="_Toc294281864"/>
      <w:bookmarkStart w:id="346" w:name="_Toc294282078"/>
      <w:bookmarkStart w:id="347" w:name="_Toc294282281"/>
      <w:bookmarkStart w:id="348" w:name="_Toc294714216"/>
      <w:bookmarkStart w:id="349" w:name="_Toc295314242"/>
      <w:bookmarkStart w:id="350" w:name="_Toc295829631"/>
      <w:bookmarkStart w:id="351" w:name="_Toc295829914"/>
      <w:bookmarkStart w:id="352" w:name="_Toc301772802"/>
      <w:bookmarkStart w:id="353" w:name="_Toc301772880"/>
      <w:bookmarkStart w:id="354" w:name="_Toc302657819"/>
      <w:bookmarkStart w:id="355" w:name="_Toc302657938"/>
      <w:bookmarkStart w:id="356" w:name="_Toc294280322"/>
      <w:bookmarkStart w:id="357" w:name="_Toc294281647"/>
      <w:bookmarkStart w:id="358" w:name="_Toc294281867"/>
      <w:bookmarkStart w:id="359" w:name="_Toc294282081"/>
      <w:bookmarkStart w:id="360" w:name="_Toc294282284"/>
      <w:bookmarkStart w:id="361" w:name="_Toc294714219"/>
      <w:bookmarkStart w:id="362" w:name="_Toc295314245"/>
      <w:bookmarkStart w:id="363" w:name="_Toc295829634"/>
      <w:bookmarkStart w:id="364" w:name="_Toc295829917"/>
      <w:bookmarkStart w:id="365" w:name="_Toc301772805"/>
      <w:bookmarkStart w:id="366" w:name="_Toc301772883"/>
      <w:bookmarkStart w:id="367" w:name="_Toc302657822"/>
      <w:bookmarkStart w:id="368" w:name="_Toc302657941"/>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p>
    <w:p w:rsidR="001C7AB7" w:rsidRPr="00D51A68" w:rsidRDefault="00125707" w:rsidP="0023700C">
      <w:pPr>
        <w:pStyle w:val="Instructionsberschrift2"/>
        <w:numPr>
          <w:ilvl w:val="0"/>
          <w:numId w:val="0"/>
        </w:numPr>
        <w:ind w:left="357" w:hanging="357"/>
        <w:rPr>
          <w:rFonts w:ascii="Times New Roman" w:hAnsi="Times New Roman" w:cs="Times New Roman"/>
          <w:sz w:val="24"/>
        </w:rPr>
      </w:pPr>
      <w:bookmarkStart w:id="369" w:name="_Toc516210646"/>
      <w:bookmarkStart w:id="370" w:name="_Toc473560911"/>
      <w:bookmarkStart w:id="371" w:name="_Toc524096591"/>
      <w:r w:rsidRPr="00D51A68">
        <w:rPr>
          <w:rFonts w:ascii="Times New Roman" w:hAnsi="Times New Roman"/>
          <w:sz w:val="24"/>
          <w:u w:val="none"/>
        </w:rPr>
        <w:t>3.3.4.</w:t>
      </w:r>
      <w:r w:rsidR="00A0772B" w:rsidRPr="00D51A68">
        <w:rPr>
          <w:u w:val="none"/>
        </w:rPr>
        <w:tab/>
      </w:r>
      <w:r w:rsidRPr="00D51A68">
        <w:rPr>
          <w:rFonts w:ascii="Times New Roman" w:hAnsi="Times New Roman"/>
          <w:sz w:val="24"/>
        </w:rPr>
        <w:t>C 08.02 — Rischio di credito e rischio di controparte e operazioni con regolamento non contestuale: metodo IRB applicato ai requisiti patrimoniali — ripartizione per classe o pool di debitori (modello CR IRB 2)</w:t>
      </w:r>
      <w:bookmarkEnd w:id="369"/>
      <w:bookmarkEnd w:id="370"/>
      <w:bookmarkEnd w:id="37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D51A68" w:rsidTr="00672D2A">
        <w:tc>
          <w:tcPr>
            <w:tcW w:w="2024" w:type="dxa"/>
            <w:shd w:val="clear" w:color="auto" w:fill="BFBFBF"/>
          </w:tcPr>
          <w:p w:rsidR="001C7AB7" w:rsidRPr="00D51A68" w:rsidRDefault="001C7AB7" w:rsidP="001C7AB7">
            <w:pPr>
              <w:rPr>
                <w:rFonts w:ascii="Times New Roman" w:hAnsi="Times New Roman"/>
                <w:sz w:val="24"/>
              </w:rPr>
            </w:pPr>
            <w:r w:rsidRPr="00D51A68">
              <w:rPr>
                <w:rFonts w:ascii="Times New Roman" w:hAnsi="Times New Roman"/>
                <w:sz w:val="24"/>
              </w:rPr>
              <w:t>Colonna</w:t>
            </w:r>
          </w:p>
        </w:tc>
        <w:tc>
          <w:tcPr>
            <w:tcW w:w="7804" w:type="dxa"/>
            <w:shd w:val="clear" w:color="auto" w:fill="BFBFBF"/>
          </w:tcPr>
          <w:p w:rsidR="001C7AB7" w:rsidRPr="00D51A68" w:rsidRDefault="001C7AB7" w:rsidP="001C7AB7">
            <w:pPr>
              <w:rPr>
                <w:rFonts w:ascii="Times New Roman" w:hAnsi="Times New Roman"/>
                <w:sz w:val="24"/>
              </w:rPr>
            </w:pPr>
            <w:r w:rsidRPr="00D51A68">
              <w:rPr>
                <w:rFonts w:ascii="Times New Roman" w:hAnsi="Times New Roman"/>
                <w:sz w:val="24"/>
              </w:rPr>
              <w:t>Istruzioni</w:t>
            </w:r>
          </w:p>
        </w:tc>
      </w:tr>
      <w:tr w:rsidR="00E97CD2" w:rsidRPr="00D51A68" w:rsidTr="00672D2A">
        <w:tc>
          <w:tcPr>
            <w:tcW w:w="2024" w:type="dxa"/>
          </w:tcPr>
          <w:p w:rsidR="00E97CD2" w:rsidRPr="00D51A68" w:rsidRDefault="00E97CD2" w:rsidP="001C7AB7">
            <w:pPr>
              <w:rPr>
                <w:rFonts w:ascii="Times New Roman" w:hAnsi="Times New Roman"/>
                <w:sz w:val="24"/>
              </w:rPr>
            </w:pPr>
            <w:r w:rsidRPr="00D51A68">
              <w:rPr>
                <w:rFonts w:ascii="Times New Roman" w:hAnsi="Times New Roman"/>
                <w:sz w:val="24"/>
              </w:rPr>
              <w:t>005</w:t>
            </w:r>
          </w:p>
        </w:tc>
        <w:tc>
          <w:tcPr>
            <w:tcW w:w="7804" w:type="dxa"/>
          </w:tcPr>
          <w:p w:rsidR="00E97CD2" w:rsidRPr="00D51A68" w:rsidRDefault="00E97CD2" w:rsidP="001C7AB7">
            <w:pPr>
              <w:rPr>
                <w:rFonts w:ascii="Times New Roman" w:hAnsi="Times New Roman"/>
                <w:b/>
                <w:sz w:val="24"/>
                <w:u w:val="single"/>
              </w:rPr>
            </w:pPr>
            <w:r w:rsidRPr="00D51A68">
              <w:rPr>
                <w:rFonts w:ascii="Times New Roman" w:hAnsi="Times New Roman"/>
                <w:b/>
                <w:sz w:val="24"/>
                <w:u w:val="single"/>
              </w:rPr>
              <w:t>Classe di debitori (identificatore di riga)</w:t>
            </w:r>
          </w:p>
          <w:p w:rsidR="00E97CD2" w:rsidRPr="00D51A68" w:rsidRDefault="00E97CD2" w:rsidP="003F05A0">
            <w:pPr>
              <w:rPr>
                <w:rFonts w:ascii="Times New Roman" w:hAnsi="Times New Roman"/>
                <w:sz w:val="24"/>
              </w:rPr>
            </w:pPr>
            <w:r w:rsidRPr="00D51A68">
              <w:rPr>
                <w:rFonts w:ascii="Times New Roman" w:hAnsi="Times New Roman"/>
                <w:sz w:val="24"/>
              </w:rPr>
              <w:t>Si tratta di un identificatore di riga ed è unico per ciascuna riga su un dato foglio della tabella. Segue l</w:t>
            </w:r>
            <w:r w:rsidR="0009277C" w:rsidRPr="00D51A68">
              <w:rPr>
                <w:rFonts w:ascii="Times New Roman" w:hAnsi="Times New Roman"/>
                <w:sz w:val="24"/>
              </w:rPr>
              <w:t>’</w:t>
            </w:r>
            <w:r w:rsidRPr="00D51A68">
              <w:rPr>
                <w:rFonts w:ascii="Times New Roman" w:hAnsi="Times New Roman"/>
                <w:sz w:val="24"/>
              </w:rPr>
              <w:t>ordine numerico 1, 2, 3 ecc.</w:t>
            </w:r>
          </w:p>
        </w:tc>
      </w:tr>
      <w:tr w:rsidR="001C7AB7" w:rsidRPr="00D51A68" w:rsidTr="00672D2A">
        <w:tc>
          <w:tcPr>
            <w:tcW w:w="2024" w:type="dxa"/>
          </w:tcPr>
          <w:p w:rsidR="001C7AB7" w:rsidRPr="00D51A68" w:rsidRDefault="001C7AB7" w:rsidP="001C7AB7">
            <w:pPr>
              <w:rPr>
                <w:rFonts w:ascii="Times New Roman" w:hAnsi="Times New Roman"/>
                <w:sz w:val="24"/>
              </w:rPr>
            </w:pPr>
            <w:r w:rsidRPr="00D51A68">
              <w:rPr>
                <w:rFonts w:ascii="Times New Roman" w:hAnsi="Times New Roman"/>
                <w:sz w:val="24"/>
              </w:rPr>
              <w:t>010-300</w:t>
            </w:r>
          </w:p>
        </w:tc>
        <w:tc>
          <w:tcPr>
            <w:tcW w:w="7804" w:type="dxa"/>
          </w:tcPr>
          <w:p w:rsidR="001C7AB7" w:rsidRPr="00D51A68" w:rsidRDefault="001C7AB7" w:rsidP="001C7AB7">
            <w:pPr>
              <w:rPr>
                <w:rFonts w:ascii="Times New Roman" w:hAnsi="Times New Roman"/>
                <w:sz w:val="24"/>
              </w:rPr>
            </w:pPr>
            <w:r w:rsidRPr="00D51A68">
              <w:rPr>
                <w:rFonts w:ascii="Times New Roman" w:hAnsi="Times New Roman"/>
                <w:sz w:val="24"/>
              </w:rPr>
              <w:t>Per ciascuna di queste colonne valgono le istruzioni delle colonne numerate in modo corrispondente della tabella CR IRB 1.</w:t>
            </w:r>
          </w:p>
        </w:tc>
      </w:tr>
    </w:tbl>
    <w:p w:rsidR="001C7AB7" w:rsidRPr="00D51A68" w:rsidRDefault="001C7AB7" w:rsidP="001C7AB7">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D51A68" w:rsidTr="00672D2A">
        <w:tc>
          <w:tcPr>
            <w:tcW w:w="2024" w:type="dxa"/>
            <w:shd w:val="pct25" w:color="auto" w:fill="auto"/>
          </w:tcPr>
          <w:p w:rsidR="001C7AB7" w:rsidRPr="00D51A68" w:rsidRDefault="001C7AB7" w:rsidP="0073183F">
            <w:pPr>
              <w:keepNext/>
              <w:rPr>
                <w:rFonts w:ascii="Times New Roman" w:hAnsi="Times New Roman"/>
                <w:sz w:val="24"/>
              </w:rPr>
            </w:pPr>
            <w:r w:rsidRPr="00D51A68">
              <w:rPr>
                <w:rFonts w:ascii="Times New Roman" w:hAnsi="Times New Roman"/>
                <w:sz w:val="24"/>
              </w:rPr>
              <w:lastRenderedPageBreak/>
              <w:t>Riga</w:t>
            </w:r>
          </w:p>
        </w:tc>
        <w:tc>
          <w:tcPr>
            <w:tcW w:w="7804" w:type="dxa"/>
            <w:shd w:val="pct25" w:color="auto" w:fill="auto"/>
          </w:tcPr>
          <w:p w:rsidR="001C7AB7" w:rsidRPr="00D51A68" w:rsidRDefault="001C7AB7" w:rsidP="0073183F">
            <w:pPr>
              <w:keepNext/>
              <w:rPr>
                <w:rFonts w:ascii="Times New Roman" w:hAnsi="Times New Roman"/>
                <w:sz w:val="24"/>
              </w:rPr>
            </w:pPr>
            <w:r w:rsidRPr="00D51A68">
              <w:rPr>
                <w:rFonts w:ascii="Times New Roman" w:hAnsi="Times New Roman"/>
                <w:sz w:val="24"/>
              </w:rPr>
              <w:t>Istruzioni</w:t>
            </w:r>
          </w:p>
        </w:tc>
      </w:tr>
      <w:tr w:rsidR="001C7AB7" w:rsidRPr="00D51A68" w:rsidTr="00672D2A">
        <w:tc>
          <w:tcPr>
            <w:tcW w:w="2024" w:type="dxa"/>
          </w:tcPr>
          <w:p w:rsidR="001C7AB7" w:rsidRPr="00D51A68" w:rsidRDefault="001C7AB7" w:rsidP="001C7AB7">
            <w:pPr>
              <w:rPr>
                <w:rFonts w:ascii="Times New Roman" w:hAnsi="Times New Roman"/>
                <w:sz w:val="24"/>
              </w:rPr>
            </w:pPr>
            <w:r w:rsidRPr="00D51A68">
              <w:rPr>
                <w:rFonts w:ascii="Times New Roman" w:hAnsi="Times New Roman"/>
                <w:sz w:val="24"/>
              </w:rPr>
              <w:t>010-001 — 010-NNN</w:t>
            </w:r>
          </w:p>
        </w:tc>
        <w:tc>
          <w:tcPr>
            <w:tcW w:w="7804" w:type="dxa"/>
          </w:tcPr>
          <w:p w:rsidR="001C7AB7" w:rsidRPr="00D51A68" w:rsidRDefault="001C7AB7" w:rsidP="001C7AB7">
            <w:pPr>
              <w:rPr>
                <w:rFonts w:ascii="Times New Roman" w:hAnsi="Times New Roman"/>
                <w:sz w:val="24"/>
              </w:rPr>
            </w:pPr>
            <w:r w:rsidRPr="00D51A68">
              <w:rPr>
                <w:rFonts w:ascii="Times New Roman" w:hAnsi="Times New Roman"/>
                <w:sz w:val="24"/>
              </w:rPr>
              <w:t>Gli importi segnalati in queste righe sono inseriti in ordine crescente in base alla PD assegnata alla classe o al pool di debitori. La PD dei debitori in stato di default è pari al 100</w:t>
            </w:r>
            <w:r w:rsidR="0009277C" w:rsidRPr="00D51A68">
              <w:rPr>
                <w:rFonts w:ascii="Times New Roman" w:hAnsi="Times New Roman"/>
                <w:sz w:val="24"/>
              </w:rPr>
              <w:t>%</w:t>
            </w:r>
            <w:r w:rsidRPr="00D51A68">
              <w:rPr>
                <w:rFonts w:ascii="Times New Roman" w:hAnsi="Times New Roman"/>
                <w:sz w:val="24"/>
              </w:rPr>
              <w:t>. Le esposizioni soggette al trattamento alternativo per le garanzie reali immobiliari (applicabile soltanto se non si utilizzano stime interne della LGD) non sono assegnate in base alla PD del debitore e non sono segnalate in questo modello.</w:t>
            </w:r>
          </w:p>
        </w:tc>
      </w:tr>
    </w:tbl>
    <w:p w:rsidR="004357B9" w:rsidRPr="00D51A68" w:rsidRDefault="004357B9" w:rsidP="00FC1A76">
      <w:pPr>
        <w:pStyle w:val="InstructionsText"/>
      </w:pPr>
    </w:p>
    <w:p w:rsidR="004357B9" w:rsidRPr="00D51A68" w:rsidRDefault="00125707" w:rsidP="0023700C">
      <w:pPr>
        <w:pStyle w:val="Instructionsberschrift2"/>
        <w:numPr>
          <w:ilvl w:val="0"/>
          <w:numId w:val="0"/>
        </w:numPr>
        <w:ind w:left="357" w:hanging="357"/>
        <w:rPr>
          <w:rFonts w:ascii="Times New Roman" w:hAnsi="Times New Roman" w:cs="Times New Roman"/>
          <w:sz w:val="24"/>
        </w:rPr>
      </w:pPr>
      <w:bookmarkStart w:id="372" w:name="_Toc360188361"/>
      <w:bookmarkStart w:id="373" w:name="_Toc516210647"/>
      <w:bookmarkStart w:id="374" w:name="_Toc473560912"/>
      <w:bookmarkStart w:id="375" w:name="_Toc524096592"/>
      <w:r w:rsidRPr="00D51A68">
        <w:rPr>
          <w:rFonts w:ascii="Times New Roman" w:hAnsi="Times New Roman"/>
          <w:sz w:val="24"/>
          <w:u w:val="none"/>
        </w:rPr>
        <w:t>3.4.</w:t>
      </w:r>
      <w:r w:rsidR="00A0772B" w:rsidRPr="00D51A68">
        <w:rPr>
          <w:u w:val="none"/>
        </w:rPr>
        <w:tab/>
      </w:r>
      <w:r w:rsidRPr="00D51A68">
        <w:rPr>
          <w:rFonts w:ascii="Times New Roman" w:hAnsi="Times New Roman"/>
          <w:sz w:val="24"/>
        </w:rPr>
        <w:t>Rischio di credito e rischio di controparte e operazioni con regolamento non contestuale: informazioni ripartite geograficamente</w:t>
      </w:r>
      <w:bookmarkEnd w:id="372"/>
      <w:bookmarkEnd w:id="373"/>
      <w:bookmarkEnd w:id="374"/>
      <w:bookmarkEnd w:id="375"/>
    </w:p>
    <w:p w:rsidR="004357B9" w:rsidRPr="00D51A68" w:rsidRDefault="00125707" w:rsidP="0073183F">
      <w:pPr>
        <w:pStyle w:val="InstructionsText2"/>
        <w:numPr>
          <w:ilvl w:val="0"/>
          <w:numId w:val="0"/>
        </w:numPr>
        <w:ind w:left="993"/>
      </w:pPr>
      <w:r w:rsidRPr="00D51A68">
        <w:t>79.</w:t>
      </w:r>
      <w:r w:rsidR="00A0772B" w:rsidRPr="00D51A68">
        <w:tab/>
      </w:r>
      <w:r w:rsidRPr="00D51A68">
        <w:t>Tutti gli enti presentano informazioni aggregate a livello totale. In aggiunta, gli enti che soddisfano il requisito della soglia stabilita nell</w:t>
      </w:r>
      <w:r w:rsidR="0009277C" w:rsidRPr="00D51A68">
        <w:t>’</w:t>
      </w:r>
      <w:r w:rsidRPr="00D51A68">
        <w:t>articolo 5</w:t>
      </w:r>
      <w:r w:rsidR="0073183F" w:rsidRPr="00D51A68">
        <w:t>, lettera a), punto </w:t>
      </w:r>
      <w:r w:rsidRPr="00D51A68">
        <w:t>4), del presente regolamento forniscono informazioni disaggregate per paese riguardanti il paese nazionale e qualsiasi altro paese non nazionale. La soglia si applica unicamente alla tabella 1 e alla tabella 2. Le esposizioni verso organizzazioni sopranazionali sono assegnate all</w:t>
      </w:r>
      <w:r w:rsidR="0009277C" w:rsidRPr="00D51A68">
        <w:t>’</w:t>
      </w:r>
      <w:r w:rsidRPr="00D51A68">
        <w:t xml:space="preserve">area geografica </w:t>
      </w:r>
      <w:r w:rsidR="0009277C" w:rsidRPr="00D51A68">
        <w:t>“</w:t>
      </w:r>
      <w:r w:rsidRPr="00D51A68">
        <w:t>Altri paesi</w:t>
      </w:r>
      <w:r w:rsidR="0009277C" w:rsidRPr="00D51A68">
        <w:t>”</w:t>
      </w:r>
      <w:r w:rsidRPr="00D51A68">
        <w:t>.</w:t>
      </w:r>
    </w:p>
    <w:p w:rsidR="004357B9" w:rsidRPr="00D51A68" w:rsidRDefault="00125707" w:rsidP="0073183F">
      <w:pPr>
        <w:pStyle w:val="InstructionsText2"/>
        <w:numPr>
          <w:ilvl w:val="0"/>
          <w:numId w:val="0"/>
        </w:numPr>
        <w:ind w:left="993"/>
      </w:pPr>
      <w:r w:rsidRPr="00D51A68">
        <w:t>80.</w:t>
      </w:r>
      <w:r w:rsidR="00A0772B" w:rsidRPr="00D51A68">
        <w:tab/>
      </w:r>
      <w:r w:rsidRPr="00D51A68">
        <w:t xml:space="preserve">Il termine </w:t>
      </w:r>
      <w:r w:rsidR="0009277C" w:rsidRPr="00D51A68">
        <w:t>“</w:t>
      </w:r>
      <w:r w:rsidRPr="00D51A68">
        <w:t>residenza del debitore</w:t>
      </w:r>
      <w:r w:rsidR="0009277C" w:rsidRPr="00D51A68">
        <w:t>”</w:t>
      </w:r>
      <w:r w:rsidRPr="00D51A68">
        <w:t xml:space="preserve"> si riferisce al paese in cui il debitore ha sede. Questo concetto può essere applicato su base </w:t>
      </w:r>
      <w:r w:rsidR="0009277C" w:rsidRPr="00D51A68">
        <w:t>“</w:t>
      </w:r>
      <w:r w:rsidRPr="00D51A68">
        <w:t>debitore diretto</w:t>
      </w:r>
      <w:r w:rsidR="0009277C" w:rsidRPr="00D51A68">
        <w:t>”</w:t>
      </w:r>
      <w:r w:rsidRPr="00D51A68">
        <w:t xml:space="preserve"> e su base </w:t>
      </w:r>
      <w:r w:rsidR="0009277C" w:rsidRPr="00D51A68">
        <w:t>“</w:t>
      </w:r>
      <w:r w:rsidRPr="00D51A68">
        <w:t>rischio finale</w:t>
      </w:r>
      <w:r w:rsidR="0009277C" w:rsidRPr="00D51A68">
        <w:t>”</w:t>
      </w:r>
      <w:r w:rsidRPr="00D51A68">
        <w:t>; pertanto, le tecniche di attenuazione del rischio di credito con effetti di sostituzione possono modificare l</w:t>
      </w:r>
      <w:r w:rsidR="0009277C" w:rsidRPr="00D51A68">
        <w:t>’</w:t>
      </w:r>
      <w:r w:rsidRPr="00D51A68">
        <w:t>attribuzione di un</w:t>
      </w:r>
      <w:r w:rsidR="0009277C" w:rsidRPr="00D51A68">
        <w:t>’</w:t>
      </w:r>
      <w:r w:rsidRPr="00D51A68">
        <w:t>esposizione a un paese. Le esposizioni verso organizzazioni sopranazionali non sono assegnate al paese di residenza dell</w:t>
      </w:r>
      <w:r w:rsidR="0009277C" w:rsidRPr="00D51A68">
        <w:t>’</w:t>
      </w:r>
      <w:r w:rsidRPr="00D51A68">
        <w:t>organizzazione bensì all</w:t>
      </w:r>
      <w:r w:rsidR="0009277C" w:rsidRPr="00D51A68">
        <w:t>’</w:t>
      </w:r>
      <w:r w:rsidRPr="00D51A68">
        <w:t xml:space="preserve">area geografica </w:t>
      </w:r>
      <w:r w:rsidR="0009277C" w:rsidRPr="00D51A68">
        <w:t>“</w:t>
      </w:r>
      <w:r w:rsidRPr="00D51A68">
        <w:t>Altri paesi</w:t>
      </w:r>
      <w:r w:rsidR="0009277C" w:rsidRPr="00D51A68">
        <w:t>”</w:t>
      </w:r>
      <w:r w:rsidRPr="00D51A68">
        <w:t>, indipendentemente dalla classe di esposizione cui è assegnata l</w:t>
      </w:r>
      <w:r w:rsidR="0009277C" w:rsidRPr="00D51A68">
        <w:t>’</w:t>
      </w:r>
      <w:r w:rsidRPr="00D51A68">
        <w:t>esposizione verso organizzazioni sopranazionali.</w:t>
      </w:r>
    </w:p>
    <w:p w:rsidR="0096378F" w:rsidRPr="00D51A68" w:rsidRDefault="00125707" w:rsidP="0073183F">
      <w:pPr>
        <w:pStyle w:val="InstructionsText2"/>
        <w:numPr>
          <w:ilvl w:val="0"/>
          <w:numId w:val="0"/>
        </w:numPr>
        <w:ind w:left="993"/>
      </w:pPr>
      <w:r w:rsidRPr="00D51A68">
        <w:t>81.</w:t>
      </w:r>
      <w:r w:rsidR="00A0772B" w:rsidRPr="00D51A68">
        <w:tab/>
      </w:r>
      <w:r w:rsidRPr="00D51A68">
        <w:t>I dati riguardanti l</w:t>
      </w:r>
      <w:r w:rsidR="0009277C" w:rsidRPr="00D51A68">
        <w:rPr>
          <w:rStyle w:val="InstructionsTabelleText"/>
          <w:rFonts w:ascii="Times New Roman" w:hAnsi="Times New Roman"/>
          <w:sz w:val="24"/>
        </w:rPr>
        <w:t>’“</w:t>
      </w:r>
      <w:r w:rsidRPr="00D51A68">
        <w:t>esposizione originaria prima dell</w:t>
      </w:r>
      <w:r w:rsidR="0009277C" w:rsidRPr="00D51A68">
        <w:t>’</w:t>
      </w:r>
      <w:r w:rsidRPr="00D51A68">
        <w:t>applicazione dei fattori di conversione</w:t>
      </w:r>
      <w:r w:rsidR="0009277C" w:rsidRPr="00D51A68">
        <w:t>”</w:t>
      </w:r>
      <w:r w:rsidRPr="00D51A68">
        <w:t xml:space="preserve"> sono indicati in riferimento al paese di residenza del debitore diretto. I dati riguardanti il </w:t>
      </w:r>
      <w:r w:rsidR="0009277C" w:rsidRPr="00D51A68">
        <w:t>“</w:t>
      </w:r>
      <w:r w:rsidRPr="00D51A68">
        <w:t>valore dell</w:t>
      </w:r>
      <w:r w:rsidR="0009277C" w:rsidRPr="00D51A68">
        <w:t>’</w:t>
      </w:r>
      <w:r w:rsidRPr="00D51A68">
        <w:t>esposizione</w:t>
      </w:r>
      <w:r w:rsidR="0009277C" w:rsidRPr="00D51A68">
        <w:t>”</w:t>
      </w:r>
      <w:r w:rsidRPr="00D51A68">
        <w:t xml:space="preserve"> e l</w:t>
      </w:r>
      <w:r w:rsidR="0009277C" w:rsidRPr="00D51A68">
        <w:rPr>
          <w:rStyle w:val="InstructionsTabelleText"/>
          <w:rFonts w:ascii="Times New Roman" w:hAnsi="Times New Roman"/>
          <w:sz w:val="24"/>
        </w:rPr>
        <w:t>’“</w:t>
      </w:r>
      <w:r w:rsidRPr="00D51A68">
        <w:t>importo delle esposizioni ponderato per il rischio</w:t>
      </w:r>
      <w:r w:rsidR="0009277C" w:rsidRPr="00D51A68">
        <w:t>”</w:t>
      </w:r>
      <w:r w:rsidRPr="00D51A68">
        <w:t xml:space="preserve"> sono indicati sulla base del paese di residenza del debitore finale.</w:t>
      </w:r>
    </w:p>
    <w:p w:rsidR="004357B9" w:rsidRPr="00D51A68" w:rsidRDefault="00125707" w:rsidP="0023700C">
      <w:pPr>
        <w:pStyle w:val="Instructionsberschrift2"/>
        <w:numPr>
          <w:ilvl w:val="0"/>
          <w:numId w:val="0"/>
        </w:numPr>
        <w:ind w:left="357" w:hanging="357"/>
        <w:rPr>
          <w:rFonts w:ascii="Times New Roman" w:hAnsi="Times New Roman" w:cs="Times New Roman"/>
          <w:sz w:val="24"/>
        </w:rPr>
      </w:pPr>
      <w:bookmarkStart w:id="376" w:name="_Toc360188362"/>
      <w:bookmarkStart w:id="377" w:name="_Toc516210648"/>
      <w:bookmarkStart w:id="378" w:name="_Toc473560913"/>
      <w:bookmarkStart w:id="379" w:name="_Toc524096593"/>
      <w:r w:rsidRPr="00D51A68">
        <w:rPr>
          <w:rFonts w:ascii="Times New Roman" w:hAnsi="Times New Roman"/>
          <w:sz w:val="24"/>
          <w:u w:val="none"/>
        </w:rPr>
        <w:t>3.4.1.</w:t>
      </w:r>
      <w:r w:rsidR="00A0772B" w:rsidRPr="00D51A68">
        <w:rPr>
          <w:u w:val="none"/>
        </w:rPr>
        <w:tab/>
      </w:r>
      <w:r w:rsidRPr="00D51A68">
        <w:rPr>
          <w:rFonts w:ascii="Times New Roman" w:hAnsi="Times New Roman"/>
          <w:sz w:val="24"/>
        </w:rPr>
        <w:t>C 09.01 — Ripartizione geografica delle esposizioni per residenza del debitore: esposizioni in base al metodo standardizzato (CR GB 1)</w:t>
      </w:r>
      <w:bookmarkEnd w:id="376"/>
      <w:bookmarkEnd w:id="377"/>
      <w:bookmarkEnd w:id="378"/>
      <w:bookmarkEnd w:id="379"/>
    </w:p>
    <w:p w:rsidR="004357B9" w:rsidRPr="00D51A68" w:rsidRDefault="00125707" w:rsidP="0023700C">
      <w:pPr>
        <w:pStyle w:val="Instructionsberschrift2"/>
        <w:numPr>
          <w:ilvl w:val="0"/>
          <w:numId w:val="0"/>
        </w:numPr>
        <w:ind w:left="357" w:hanging="357"/>
        <w:rPr>
          <w:rFonts w:ascii="Times New Roman" w:hAnsi="Times New Roman" w:cs="Times New Roman"/>
          <w:sz w:val="24"/>
        </w:rPr>
      </w:pPr>
      <w:bookmarkStart w:id="380" w:name="_Toc360188363"/>
      <w:bookmarkStart w:id="381" w:name="_Toc516210649"/>
      <w:bookmarkStart w:id="382" w:name="_Toc473560914"/>
      <w:bookmarkStart w:id="383" w:name="_Toc524096594"/>
      <w:r w:rsidRPr="00D51A68">
        <w:rPr>
          <w:rFonts w:ascii="Times New Roman" w:hAnsi="Times New Roman"/>
          <w:sz w:val="24"/>
          <w:u w:val="none"/>
        </w:rPr>
        <w:t>3.4.1.1.</w:t>
      </w:r>
      <w:r w:rsidR="00A0772B" w:rsidRPr="00D51A68">
        <w:rPr>
          <w:u w:val="none"/>
        </w:rPr>
        <w:tab/>
      </w:r>
      <w:r w:rsidRPr="00D51A68">
        <w:rPr>
          <w:rFonts w:ascii="Times New Roman" w:hAnsi="Times New Roman"/>
          <w:sz w:val="24"/>
        </w:rPr>
        <w:t>Istruzioni relative a posizioni specifiche</w:t>
      </w:r>
      <w:bookmarkEnd w:id="380"/>
      <w:bookmarkEnd w:id="381"/>
      <w:bookmarkEnd w:id="382"/>
      <w:bookmarkEnd w:id="383"/>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357B9" w:rsidRPr="00D51A68" w:rsidTr="00672D2A">
        <w:trPr>
          <w:trHeight w:val="581"/>
        </w:trPr>
        <w:tc>
          <w:tcPr>
            <w:tcW w:w="9828" w:type="dxa"/>
            <w:gridSpan w:val="2"/>
            <w:shd w:val="clear" w:color="auto" w:fill="CCCCCC"/>
          </w:tcPr>
          <w:p w:rsidR="004357B9" w:rsidRPr="00D51A68" w:rsidRDefault="004357B9" w:rsidP="004357B9">
            <w:pPr>
              <w:spacing w:after="0"/>
              <w:rPr>
                <w:rStyle w:val="InstructionsTabelleText"/>
                <w:rFonts w:ascii="Times New Roman" w:hAnsi="Times New Roman"/>
                <w:b/>
                <w:sz w:val="24"/>
              </w:rPr>
            </w:pPr>
            <w:r w:rsidRPr="00D51A68">
              <w:rPr>
                <w:rStyle w:val="InstructionsTabelleText"/>
                <w:rFonts w:ascii="Times New Roman" w:hAnsi="Times New Roman"/>
                <w:b/>
                <w:sz w:val="24"/>
              </w:rPr>
              <w:t>Colonne</w:t>
            </w:r>
          </w:p>
        </w:tc>
      </w:tr>
      <w:tr w:rsidR="004357B9" w:rsidRPr="00D51A68" w:rsidTr="00672D2A">
        <w:tc>
          <w:tcPr>
            <w:tcW w:w="1188" w:type="dxa"/>
          </w:tcPr>
          <w:p w:rsidR="004357B9" w:rsidRPr="00D51A68" w:rsidRDefault="004357B9" w:rsidP="004357B9">
            <w:pPr>
              <w:rPr>
                <w:rStyle w:val="InstructionsTabelleText"/>
                <w:rFonts w:ascii="Times New Roman" w:hAnsi="Times New Roman"/>
                <w:sz w:val="24"/>
              </w:rPr>
            </w:pPr>
            <w:r w:rsidRPr="00D51A68">
              <w:rPr>
                <w:rStyle w:val="InstructionsTabelleText"/>
                <w:rFonts w:ascii="Times New Roman" w:hAnsi="Times New Roman"/>
                <w:sz w:val="24"/>
              </w:rPr>
              <w:t>010</w:t>
            </w:r>
          </w:p>
        </w:tc>
        <w:tc>
          <w:tcPr>
            <w:tcW w:w="8640" w:type="dxa"/>
          </w:tcPr>
          <w:p w:rsidR="004357B9" w:rsidRPr="00D51A68" w:rsidRDefault="004357B9" w:rsidP="004357B9">
            <w:pPr>
              <w:rPr>
                <w:rFonts w:ascii="Times New Roman" w:hAnsi="Times New Roman"/>
                <w:b/>
                <w:sz w:val="24"/>
                <w:u w:val="single"/>
              </w:rPr>
            </w:pPr>
            <w:r w:rsidRPr="00D51A68">
              <w:rPr>
                <w:rFonts w:ascii="Times New Roman" w:hAnsi="Times New Roman"/>
                <w:b/>
                <w:sz w:val="24"/>
                <w:u w:val="single"/>
              </w:rPr>
              <w:t>ESPOSIZIONE ORIGINARIA PRIMA DELL</w:t>
            </w:r>
            <w:r w:rsidR="0009277C" w:rsidRPr="00D51A68">
              <w:rPr>
                <w:rFonts w:ascii="Times New Roman" w:hAnsi="Times New Roman"/>
                <w:b/>
                <w:sz w:val="24"/>
                <w:u w:val="single"/>
              </w:rPr>
              <w:t>’</w:t>
            </w:r>
            <w:r w:rsidRPr="00D51A68">
              <w:rPr>
                <w:rFonts w:ascii="Times New Roman" w:hAnsi="Times New Roman"/>
                <w:b/>
                <w:sz w:val="24"/>
                <w:u w:val="single"/>
              </w:rPr>
              <w:t>APPLICAZIONE DEI FATTORI DI CONVERSIONE</w:t>
            </w:r>
          </w:p>
          <w:p w:rsidR="004357B9" w:rsidRPr="00D51A68" w:rsidRDefault="004357B9" w:rsidP="004357B9">
            <w:pPr>
              <w:rPr>
                <w:rFonts w:ascii="Times New Roman" w:hAnsi="Times New Roman"/>
                <w:sz w:val="24"/>
              </w:rPr>
            </w:pPr>
            <w:r w:rsidRPr="00D51A68">
              <w:rPr>
                <w:rFonts w:ascii="Times New Roman" w:hAnsi="Times New Roman"/>
                <w:sz w:val="24"/>
              </w:rPr>
              <w:t>Stessa definizione di cui alla colonna 010 del modello CR SA.</w:t>
            </w:r>
          </w:p>
        </w:tc>
      </w:tr>
      <w:tr w:rsidR="004357B9" w:rsidRPr="00D51A68" w:rsidTr="00672D2A">
        <w:tc>
          <w:tcPr>
            <w:tcW w:w="1188" w:type="dxa"/>
          </w:tcPr>
          <w:p w:rsidR="004357B9" w:rsidRPr="00D51A68" w:rsidRDefault="004357B9" w:rsidP="004357B9">
            <w:pPr>
              <w:rPr>
                <w:rFonts w:ascii="Times New Roman" w:hAnsi="Times New Roman"/>
                <w:sz w:val="24"/>
              </w:rPr>
            </w:pPr>
            <w:r w:rsidRPr="00D51A68">
              <w:rPr>
                <w:rFonts w:ascii="Times New Roman" w:hAnsi="Times New Roman"/>
                <w:sz w:val="24"/>
              </w:rPr>
              <w:t>020</w:t>
            </w:r>
          </w:p>
        </w:tc>
        <w:tc>
          <w:tcPr>
            <w:tcW w:w="8640" w:type="dxa"/>
          </w:tcPr>
          <w:p w:rsidR="004357B9" w:rsidRPr="00D51A68" w:rsidRDefault="00771E97" w:rsidP="004357B9">
            <w:pPr>
              <w:rPr>
                <w:rFonts w:ascii="Times New Roman" w:hAnsi="Times New Roman"/>
                <w:b/>
                <w:sz w:val="24"/>
                <w:u w:val="single"/>
              </w:rPr>
            </w:pPr>
            <w:r w:rsidRPr="00D51A68">
              <w:rPr>
                <w:rFonts w:ascii="Times New Roman" w:hAnsi="Times New Roman"/>
                <w:b/>
                <w:sz w:val="24"/>
                <w:u w:val="single"/>
              </w:rPr>
              <w:t>Esposizioni in stato di default</w:t>
            </w:r>
          </w:p>
          <w:p w:rsidR="004357B9" w:rsidRPr="00D51A68" w:rsidRDefault="004357B9" w:rsidP="004357B9">
            <w:pPr>
              <w:rPr>
                <w:rStyle w:val="InstructionsTabelleText"/>
                <w:rFonts w:ascii="Times New Roman" w:hAnsi="Times New Roman"/>
                <w:sz w:val="24"/>
              </w:rPr>
            </w:pPr>
            <w:r w:rsidRPr="00D51A68">
              <w:rPr>
                <w:rStyle w:val="InstructionsTabelleText"/>
                <w:rFonts w:ascii="Times New Roman" w:hAnsi="Times New Roman"/>
                <w:sz w:val="24"/>
              </w:rPr>
              <w:t>Esposizione originaria prima dell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 xml:space="preserve">applicazione dei fattori di conversione per le esposizioni classificate come </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esposizioni in stato di default</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 xml:space="preserve"> e per le esposizioni in </w:t>
            </w:r>
            <w:r w:rsidRPr="00D51A68">
              <w:rPr>
                <w:rStyle w:val="InstructionsTabelleText"/>
                <w:rFonts w:ascii="Times New Roman" w:hAnsi="Times New Roman"/>
                <w:sz w:val="24"/>
              </w:rPr>
              <w:lastRenderedPageBreak/>
              <w:t xml:space="preserve">stato di default classificate nella classe di esposizioni </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esposizioni associate a un rischio particolarmente elevato</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 xml:space="preserve"> o </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esposizioni in strumenti di capitale</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w:t>
            </w:r>
          </w:p>
          <w:p w:rsidR="004357B9" w:rsidRPr="00D51A68" w:rsidRDefault="004357B9" w:rsidP="004357B9">
            <w:pPr>
              <w:rPr>
                <w:rStyle w:val="InstructionsTabelleText"/>
                <w:rFonts w:ascii="Times New Roman" w:hAnsi="Times New Roman"/>
                <w:sz w:val="24"/>
              </w:rPr>
            </w:pPr>
            <w:r w:rsidRPr="00D51A68">
              <w:rPr>
                <w:rStyle w:val="InstructionsTabelleText"/>
                <w:rFonts w:ascii="Times New Roman" w:hAnsi="Times New Roman"/>
                <w:sz w:val="24"/>
              </w:rPr>
              <w:t xml:space="preserve">Questa </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voce per memoria</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 xml:space="preserve"> fornisce informazioni aggiuntive sulla struttura del debitore delle esposizioni in stato di default. Le esposizioni classificate come </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esposizioni in stato di default</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 xml:space="preserve"> conformemente all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 xml:space="preserve">articolo 112, lettera j), del CRR sono segnalate in corrispondenza della voce in cui sarebbero stati inseriti i debitori se tali esposizioni non fossero state assegnate alle classi di esposizioni </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esposizioni in stato di default</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 xml:space="preserve">. </w:t>
            </w:r>
          </w:p>
          <w:p w:rsidR="004357B9" w:rsidRPr="00D51A68" w:rsidRDefault="004357B9" w:rsidP="004357B9">
            <w:pPr>
              <w:rPr>
                <w:rFonts w:ascii="Times New Roman" w:hAnsi="Times New Roman"/>
                <w:sz w:val="24"/>
              </w:rPr>
            </w:pPr>
            <w:r w:rsidRPr="00D51A68">
              <w:rPr>
                <w:rStyle w:val="InstructionsTabelleText"/>
                <w:rFonts w:ascii="Times New Roman" w:hAnsi="Times New Roman"/>
                <w:sz w:val="24"/>
              </w:rPr>
              <w:t xml:space="preserve">Queste informazioni sono una </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voce per memoria</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 xml:space="preserve"> e pertanto non hanno effetti sul calcolo degli importi delle esposizioni ponderati per il rischio delle classi di esposizioni </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esposizioni in stato di default</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 xml:space="preserve">, </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esposizioni associate a un rischio particolarmente elevato</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 xml:space="preserve"> o </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esposizioni in strumenti di capitale</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 xml:space="preserve"> di cui rispettivamente all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articolo 112, lettera j), k) e p), del CRR.</w:t>
            </w:r>
          </w:p>
        </w:tc>
      </w:tr>
      <w:tr w:rsidR="004357B9" w:rsidRPr="00D51A68" w:rsidTr="00672D2A">
        <w:tc>
          <w:tcPr>
            <w:tcW w:w="1188" w:type="dxa"/>
          </w:tcPr>
          <w:p w:rsidR="004357B9" w:rsidRPr="00D51A68" w:rsidRDefault="004357B9" w:rsidP="004357B9">
            <w:pPr>
              <w:rPr>
                <w:rFonts w:ascii="Times New Roman" w:hAnsi="Times New Roman"/>
                <w:sz w:val="24"/>
              </w:rPr>
            </w:pPr>
            <w:r w:rsidRPr="00D51A68">
              <w:rPr>
                <w:rFonts w:ascii="Times New Roman" w:hAnsi="Times New Roman"/>
                <w:sz w:val="24"/>
              </w:rPr>
              <w:lastRenderedPageBreak/>
              <w:t>040</w:t>
            </w:r>
          </w:p>
        </w:tc>
        <w:tc>
          <w:tcPr>
            <w:tcW w:w="8640" w:type="dxa"/>
          </w:tcPr>
          <w:p w:rsidR="004357B9" w:rsidRPr="00D51A68" w:rsidRDefault="004357B9" w:rsidP="004357B9">
            <w:pPr>
              <w:rPr>
                <w:rFonts w:ascii="Times New Roman" w:hAnsi="Times New Roman"/>
                <w:b/>
                <w:sz w:val="24"/>
                <w:u w:val="single"/>
              </w:rPr>
            </w:pPr>
            <w:r w:rsidRPr="00D51A68">
              <w:rPr>
                <w:rFonts w:ascii="Times New Roman" w:hAnsi="Times New Roman"/>
                <w:b/>
                <w:sz w:val="24"/>
                <w:u w:val="single"/>
              </w:rPr>
              <w:t>Nuovi default osservati per il periodo</w:t>
            </w:r>
          </w:p>
          <w:p w:rsidR="004357B9" w:rsidRPr="00D51A68" w:rsidRDefault="00DF70AE" w:rsidP="00DF70AE">
            <w:pPr>
              <w:rPr>
                <w:rFonts w:ascii="Times New Roman" w:hAnsi="Times New Roman"/>
                <w:b/>
                <w:sz w:val="24"/>
                <w:u w:val="single"/>
              </w:rPr>
            </w:pPr>
            <w:r w:rsidRPr="00D51A68">
              <w:rPr>
                <w:rStyle w:val="InstructionsTabelleText"/>
                <w:rFonts w:ascii="Times New Roman" w:hAnsi="Times New Roman"/>
                <w:sz w:val="24"/>
              </w:rPr>
              <w:t>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 xml:space="preserve">importo delle esposizioni originarie trasferite nella classe </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esposizioni in stato di default</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 xml:space="preserve"> nel corso del trimestre successivo all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ultima data di riferimento per le segnalazioni è segnalato nella classe di esposizioni alla quale il debitore apparteneva originariamente.</w:t>
            </w:r>
          </w:p>
        </w:tc>
      </w:tr>
      <w:tr w:rsidR="004357B9" w:rsidRPr="00D51A68" w:rsidTr="00672D2A">
        <w:tc>
          <w:tcPr>
            <w:tcW w:w="1188" w:type="dxa"/>
          </w:tcPr>
          <w:p w:rsidR="004357B9" w:rsidRPr="00D51A68" w:rsidRDefault="004357B9" w:rsidP="004357B9">
            <w:pPr>
              <w:rPr>
                <w:rFonts w:ascii="Times New Roman" w:hAnsi="Times New Roman"/>
                <w:sz w:val="24"/>
              </w:rPr>
            </w:pPr>
            <w:r w:rsidRPr="00D51A68">
              <w:rPr>
                <w:rFonts w:ascii="Times New Roman" w:hAnsi="Times New Roman"/>
                <w:sz w:val="24"/>
              </w:rPr>
              <w:t>050</w:t>
            </w:r>
          </w:p>
        </w:tc>
        <w:tc>
          <w:tcPr>
            <w:tcW w:w="8640" w:type="dxa"/>
          </w:tcPr>
          <w:p w:rsidR="004357B9" w:rsidRPr="00D51A68" w:rsidRDefault="004357B9" w:rsidP="004357B9">
            <w:pPr>
              <w:rPr>
                <w:rFonts w:ascii="Times New Roman" w:hAnsi="Times New Roman"/>
                <w:b/>
                <w:sz w:val="24"/>
                <w:u w:val="single"/>
              </w:rPr>
            </w:pPr>
            <w:r w:rsidRPr="00D51A68">
              <w:rPr>
                <w:rFonts w:ascii="Times New Roman" w:hAnsi="Times New Roman"/>
                <w:b/>
                <w:sz w:val="24"/>
                <w:u w:val="single"/>
              </w:rPr>
              <w:t>Rettifiche di valore su crediti generiche</w:t>
            </w:r>
          </w:p>
          <w:p w:rsidR="004357B9" w:rsidRPr="00D51A68" w:rsidRDefault="004357B9" w:rsidP="004357B9">
            <w:pPr>
              <w:rPr>
                <w:rFonts w:ascii="Times New Roman" w:hAnsi="Times New Roman"/>
                <w:sz w:val="24"/>
              </w:rPr>
            </w:pPr>
            <w:r w:rsidRPr="00D51A68">
              <w:rPr>
                <w:rFonts w:ascii="Times New Roman" w:hAnsi="Times New Roman"/>
                <w:sz w:val="24"/>
              </w:rPr>
              <w:t>Rettifiche di valore su crediti conformemente all</w:t>
            </w:r>
            <w:r w:rsidR="0009277C" w:rsidRPr="00D51A68">
              <w:rPr>
                <w:rFonts w:ascii="Times New Roman" w:hAnsi="Times New Roman"/>
                <w:sz w:val="24"/>
              </w:rPr>
              <w:t>’</w:t>
            </w:r>
            <w:r w:rsidRPr="00D51A68">
              <w:rPr>
                <w:rFonts w:ascii="Times New Roman" w:hAnsi="Times New Roman"/>
                <w:sz w:val="24"/>
              </w:rPr>
              <w:t xml:space="preserve">articolo 110 del CRR. </w:t>
            </w:r>
          </w:p>
          <w:p w:rsidR="00D95045" w:rsidRPr="00D51A68" w:rsidRDefault="00D95045" w:rsidP="00D95045">
            <w:pPr>
              <w:rPr>
                <w:rFonts w:ascii="Times New Roman" w:hAnsi="Times New Roman"/>
                <w:sz w:val="24"/>
              </w:rPr>
            </w:pPr>
            <w:r w:rsidRPr="00D51A68">
              <w:rPr>
                <w:rFonts w:ascii="Times New Roman" w:hAnsi="Times New Roman"/>
                <w:sz w:val="24"/>
              </w:rPr>
              <w:t>Questa voce comprende le rettifiche di valore su crediti generiche che possono essere incluse nel capitale di classe 2, prima dell</w:t>
            </w:r>
            <w:r w:rsidR="0009277C" w:rsidRPr="00D51A68">
              <w:rPr>
                <w:rFonts w:ascii="Times New Roman" w:hAnsi="Times New Roman"/>
                <w:sz w:val="24"/>
              </w:rPr>
              <w:t>’</w:t>
            </w:r>
            <w:r w:rsidRPr="00D51A68">
              <w:rPr>
                <w:rFonts w:ascii="Times New Roman" w:hAnsi="Times New Roman"/>
                <w:sz w:val="24"/>
              </w:rPr>
              <w:t>applicazione del massimale di cui all</w:t>
            </w:r>
            <w:r w:rsidR="0009277C" w:rsidRPr="00D51A68">
              <w:rPr>
                <w:rFonts w:ascii="Times New Roman" w:hAnsi="Times New Roman"/>
                <w:sz w:val="24"/>
              </w:rPr>
              <w:t>’</w:t>
            </w:r>
            <w:r w:rsidRPr="00D51A68">
              <w:rPr>
                <w:rFonts w:ascii="Times New Roman" w:hAnsi="Times New Roman"/>
                <w:sz w:val="24"/>
              </w:rPr>
              <w:t>articolo 62, lettera c), del CRR.</w:t>
            </w:r>
          </w:p>
          <w:p w:rsidR="00D95045" w:rsidRPr="00D51A68" w:rsidRDefault="00D95045" w:rsidP="00D95045">
            <w:pPr>
              <w:rPr>
                <w:rFonts w:ascii="Times New Roman" w:hAnsi="Times New Roman"/>
                <w:b/>
                <w:sz w:val="24"/>
                <w:u w:val="single"/>
              </w:rPr>
            </w:pPr>
            <w:r w:rsidRPr="00D51A68">
              <w:rPr>
                <w:rFonts w:ascii="Times New Roman" w:hAnsi="Times New Roman"/>
                <w:sz w:val="24"/>
              </w:rPr>
              <w:t>L</w:t>
            </w:r>
            <w:r w:rsidR="0009277C" w:rsidRPr="00D51A68">
              <w:rPr>
                <w:rFonts w:ascii="Times New Roman" w:hAnsi="Times New Roman"/>
                <w:sz w:val="24"/>
              </w:rPr>
              <w:t>’</w:t>
            </w:r>
            <w:r w:rsidRPr="00D51A68">
              <w:rPr>
                <w:rFonts w:ascii="Times New Roman" w:hAnsi="Times New Roman"/>
                <w:sz w:val="24"/>
              </w:rPr>
              <w:t>importo da segnalare è al lordo degli effetti fiscali.</w:t>
            </w:r>
          </w:p>
        </w:tc>
      </w:tr>
      <w:tr w:rsidR="004357B9" w:rsidRPr="00D51A68" w:rsidTr="00672D2A">
        <w:tc>
          <w:tcPr>
            <w:tcW w:w="1188" w:type="dxa"/>
          </w:tcPr>
          <w:p w:rsidR="004357B9" w:rsidRPr="00D51A68" w:rsidRDefault="004357B9" w:rsidP="004357B9">
            <w:pPr>
              <w:rPr>
                <w:rFonts w:ascii="Times New Roman" w:hAnsi="Times New Roman"/>
                <w:sz w:val="24"/>
              </w:rPr>
            </w:pPr>
            <w:r w:rsidRPr="00D51A68">
              <w:rPr>
                <w:rFonts w:ascii="Times New Roman" w:hAnsi="Times New Roman"/>
                <w:sz w:val="24"/>
              </w:rPr>
              <w:t>055</w:t>
            </w:r>
          </w:p>
        </w:tc>
        <w:tc>
          <w:tcPr>
            <w:tcW w:w="8640" w:type="dxa"/>
          </w:tcPr>
          <w:p w:rsidR="004357B9" w:rsidRPr="00D51A68" w:rsidRDefault="004357B9" w:rsidP="004357B9">
            <w:pPr>
              <w:rPr>
                <w:rFonts w:ascii="Times New Roman" w:hAnsi="Times New Roman"/>
                <w:b/>
                <w:sz w:val="24"/>
                <w:u w:val="single"/>
              </w:rPr>
            </w:pPr>
            <w:r w:rsidRPr="00D51A68">
              <w:rPr>
                <w:rFonts w:ascii="Times New Roman" w:hAnsi="Times New Roman"/>
                <w:b/>
                <w:sz w:val="24"/>
                <w:u w:val="single"/>
              </w:rPr>
              <w:t>Rettifiche di valore su crediti specifiche</w:t>
            </w:r>
          </w:p>
          <w:p w:rsidR="004357B9" w:rsidRPr="00D51A68" w:rsidRDefault="004357B9" w:rsidP="004357B9">
            <w:pPr>
              <w:rPr>
                <w:rFonts w:ascii="Times New Roman" w:hAnsi="Times New Roman"/>
                <w:b/>
                <w:sz w:val="24"/>
                <w:u w:val="single"/>
              </w:rPr>
            </w:pPr>
            <w:r w:rsidRPr="00D51A68">
              <w:rPr>
                <w:rFonts w:ascii="Times New Roman" w:hAnsi="Times New Roman"/>
                <w:sz w:val="24"/>
              </w:rPr>
              <w:t>Rettifiche di valore su crediti conformemente all</w:t>
            </w:r>
            <w:r w:rsidR="0009277C" w:rsidRPr="00D51A68">
              <w:rPr>
                <w:rFonts w:ascii="Times New Roman" w:hAnsi="Times New Roman"/>
                <w:sz w:val="24"/>
              </w:rPr>
              <w:t>’</w:t>
            </w:r>
            <w:r w:rsidRPr="00D51A68">
              <w:rPr>
                <w:rFonts w:ascii="Times New Roman" w:hAnsi="Times New Roman"/>
                <w:sz w:val="24"/>
              </w:rPr>
              <w:t>articolo 110 del CRR.</w:t>
            </w:r>
          </w:p>
        </w:tc>
      </w:tr>
      <w:tr w:rsidR="004357B9" w:rsidRPr="00D51A68" w:rsidTr="00672D2A">
        <w:tc>
          <w:tcPr>
            <w:tcW w:w="1188" w:type="dxa"/>
          </w:tcPr>
          <w:p w:rsidR="004357B9" w:rsidRPr="00D51A68" w:rsidRDefault="004357B9" w:rsidP="004357B9">
            <w:pPr>
              <w:rPr>
                <w:rFonts w:ascii="Times New Roman" w:hAnsi="Times New Roman"/>
                <w:sz w:val="24"/>
              </w:rPr>
            </w:pPr>
            <w:r w:rsidRPr="00D51A68">
              <w:rPr>
                <w:rFonts w:ascii="Times New Roman" w:hAnsi="Times New Roman"/>
                <w:sz w:val="24"/>
              </w:rPr>
              <w:t>060</w:t>
            </w:r>
          </w:p>
        </w:tc>
        <w:tc>
          <w:tcPr>
            <w:tcW w:w="8640" w:type="dxa"/>
          </w:tcPr>
          <w:p w:rsidR="004357B9" w:rsidRPr="00D51A68" w:rsidRDefault="004357B9" w:rsidP="004357B9">
            <w:pPr>
              <w:rPr>
                <w:rFonts w:ascii="Times New Roman" w:hAnsi="Times New Roman"/>
                <w:b/>
                <w:sz w:val="24"/>
                <w:u w:val="single"/>
              </w:rPr>
            </w:pPr>
            <w:r w:rsidRPr="00D51A68">
              <w:rPr>
                <w:rFonts w:ascii="Times New Roman" w:hAnsi="Times New Roman"/>
                <w:b/>
                <w:sz w:val="24"/>
                <w:u w:val="single"/>
              </w:rPr>
              <w:t>Cancellazioni</w:t>
            </w:r>
          </w:p>
          <w:p w:rsidR="004357B9" w:rsidRPr="00D51A68" w:rsidRDefault="004357B9" w:rsidP="004357B9">
            <w:pPr>
              <w:rPr>
                <w:rFonts w:ascii="Times New Roman" w:hAnsi="Times New Roman"/>
                <w:b/>
                <w:sz w:val="24"/>
                <w:u w:val="single"/>
              </w:rPr>
            </w:pPr>
            <w:r w:rsidRPr="00D51A68">
              <w:rPr>
                <w:rStyle w:val="InstructionsTabelleText"/>
                <w:rFonts w:ascii="Times New Roman" w:hAnsi="Times New Roman"/>
                <w:sz w:val="24"/>
              </w:rPr>
              <w:t>Le cancellazioni comprendono sia le riduzioni del valore riportato delle attività finanziarie deteriorate rilevate direttamente nel conto economico [IFRS 7.B5.(d).(i)] sia le riduzioni degli importi degli accantonamenti a fronte delle attività finanziarie deteriorate [IFRS 7.B5.(d).(ii)].</w:t>
            </w:r>
          </w:p>
        </w:tc>
      </w:tr>
      <w:tr w:rsidR="004357B9" w:rsidRPr="00D51A68" w:rsidTr="00672D2A">
        <w:tc>
          <w:tcPr>
            <w:tcW w:w="1188" w:type="dxa"/>
          </w:tcPr>
          <w:p w:rsidR="004357B9" w:rsidRPr="00D51A68" w:rsidRDefault="004357B9" w:rsidP="004357B9">
            <w:pPr>
              <w:rPr>
                <w:rFonts w:ascii="Times New Roman" w:hAnsi="Times New Roman"/>
                <w:sz w:val="24"/>
              </w:rPr>
            </w:pPr>
            <w:r w:rsidRPr="00D51A68">
              <w:rPr>
                <w:rFonts w:ascii="Times New Roman" w:hAnsi="Times New Roman"/>
                <w:sz w:val="24"/>
              </w:rPr>
              <w:t>070</w:t>
            </w:r>
          </w:p>
        </w:tc>
        <w:tc>
          <w:tcPr>
            <w:tcW w:w="8640" w:type="dxa"/>
          </w:tcPr>
          <w:p w:rsidR="004357B9" w:rsidRPr="00D51A68" w:rsidRDefault="004357B9" w:rsidP="004357B9">
            <w:pPr>
              <w:rPr>
                <w:rFonts w:ascii="Times New Roman" w:hAnsi="Times New Roman"/>
                <w:b/>
                <w:sz w:val="24"/>
                <w:u w:val="single"/>
              </w:rPr>
            </w:pPr>
            <w:r w:rsidRPr="00D51A68">
              <w:rPr>
                <w:rFonts w:ascii="Times New Roman" w:hAnsi="Times New Roman"/>
                <w:b/>
                <w:sz w:val="24"/>
                <w:u w:val="single"/>
              </w:rPr>
              <w:t>Rettifiche di valore su crediti/cancellazioni per nuovi default osservati</w:t>
            </w:r>
          </w:p>
          <w:p w:rsidR="004357B9" w:rsidRPr="00D51A68" w:rsidRDefault="004357B9" w:rsidP="004357B9">
            <w:pPr>
              <w:rPr>
                <w:rFonts w:ascii="Times New Roman" w:hAnsi="Times New Roman"/>
                <w:b/>
                <w:sz w:val="24"/>
                <w:u w:val="single"/>
              </w:rPr>
            </w:pPr>
            <w:r w:rsidRPr="00D51A68">
              <w:rPr>
                <w:rStyle w:val="InstructionsTabelleText"/>
                <w:rFonts w:ascii="Times New Roman" w:hAnsi="Times New Roman"/>
                <w:sz w:val="24"/>
              </w:rPr>
              <w:t xml:space="preserve">Somma delle rettifiche di valore su crediti e delle cancellazioni relativamente alle esposizioni classificate come </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esposizioni in stato di default</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 xml:space="preserve"> nel trimestre successivo all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ultima segnalazione di dati.</w:t>
            </w:r>
          </w:p>
        </w:tc>
      </w:tr>
      <w:tr w:rsidR="004357B9" w:rsidRPr="00D51A68" w:rsidTr="00672D2A">
        <w:tc>
          <w:tcPr>
            <w:tcW w:w="1188" w:type="dxa"/>
          </w:tcPr>
          <w:p w:rsidR="004357B9" w:rsidRPr="00D51A68" w:rsidRDefault="004357B9" w:rsidP="004357B9">
            <w:pPr>
              <w:rPr>
                <w:rFonts w:ascii="Times New Roman" w:hAnsi="Times New Roman"/>
                <w:sz w:val="24"/>
              </w:rPr>
            </w:pPr>
            <w:r w:rsidRPr="00D51A68">
              <w:rPr>
                <w:rFonts w:ascii="Times New Roman" w:hAnsi="Times New Roman"/>
                <w:sz w:val="24"/>
              </w:rPr>
              <w:t>075</w:t>
            </w:r>
          </w:p>
        </w:tc>
        <w:tc>
          <w:tcPr>
            <w:tcW w:w="8640" w:type="dxa"/>
          </w:tcPr>
          <w:p w:rsidR="004357B9" w:rsidRPr="00D51A68" w:rsidRDefault="004357B9" w:rsidP="004357B9">
            <w:pPr>
              <w:rPr>
                <w:rFonts w:ascii="Times New Roman" w:hAnsi="Times New Roman"/>
                <w:b/>
                <w:sz w:val="24"/>
                <w:u w:val="single"/>
              </w:rPr>
            </w:pPr>
            <w:r w:rsidRPr="00D51A68">
              <w:rPr>
                <w:rFonts w:ascii="Times New Roman" w:hAnsi="Times New Roman"/>
                <w:b/>
                <w:sz w:val="24"/>
                <w:u w:val="single"/>
              </w:rPr>
              <w:t>Valore dell</w:t>
            </w:r>
            <w:r w:rsidR="0009277C" w:rsidRPr="00D51A68">
              <w:rPr>
                <w:rFonts w:ascii="Times New Roman" w:hAnsi="Times New Roman"/>
                <w:b/>
                <w:sz w:val="24"/>
                <w:u w:val="single"/>
              </w:rPr>
              <w:t>’</w:t>
            </w:r>
            <w:r w:rsidRPr="00D51A68">
              <w:rPr>
                <w:rFonts w:ascii="Times New Roman" w:hAnsi="Times New Roman"/>
                <w:b/>
                <w:sz w:val="24"/>
                <w:u w:val="single"/>
              </w:rPr>
              <w:t>esposizione</w:t>
            </w:r>
          </w:p>
          <w:p w:rsidR="004357B9" w:rsidRPr="00D51A68" w:rsidRDefault="004357B9" w:rsidP="004357B9">
            <w:pPr>
              <w:rPr>
                <w:rFonts w:ascii="Times New Roman" w:hAnsi="Times New Roman"/>
                <w:b/>
                <w:sz w:val="24"/>
                <w:u w:val="single"/>
              </w:rPr>
            </w:pPr>
            <w:r w:rsidRPr="00D51A68">
              <w:rPr>
                <w:rStyle w:val="InstructionsTabelleText"/>
                <w:rFonts w:ascii="Times New Roman" w:hAnsi="Times New Roman"/>
                <w:sz w:val="24"/>
              </w:rPr>
              <w:t>Stessa definizione di cui alla colonna 200 del modello CR SA.</w:t>
            </w:r>
          </w:p>
        </w:tc>
      </w:tr>
      <w:tr w:rsidR="004357B9" w:rsidRPr="00D51A68" w:rsidTr="0073183F">
        <w:trPr>
          <w:cantSplit/>
        </w:trPr>
        <w:tc>
          <w:tcPr>
            <w:tcW w:w="1188" w:type="dxa"/>
          </w:tcPr>
          <w:p w:rsidR="004357B9" w:rsidRPr="00D51A68" w:rsidRDefault="004357B9" w:rsidP="004357B9">
            <w:pPr>
              <w:rPr>
                <w:rFonts w:ascii="Times New Roman" w:hAnsi="Times New Roman"/>
                <w:sz w:val="24"/>
              </w:rPr>
            </w:pPr>
            <w:r w:rsidRPr="00D51A68">
              <w:rPr>
                <w:rFonts w:ascii="Times New Roman" w:hAnsi="Times New Roman"/>
                <w:sz w:val="24"/>
              </w:rPr>
              <w:lastRenderedPageBreak/>
              <w:t>080</w:t>
            </w:r>
          </w:p>
        </w:tc>
        <w:tc>
          <w:tcPr>
            <w:tcW w:w="8640" w:type="dxa"/>
          </w:tcPr>
          <w:p w:rsidR="004357B9" w:rsidRPr="00D51A68" w:rsidRDefault="004357B9" w:rsidP="004357B9">
            <w:pPr>
              <w:rPr>
                <w:rFonts w:ascii="Times New Roman" w:hAnsi="Times New Roman"/>
                <w:b/>
                <w:sz w:val="24"/>
                <w:u w:val="single"/>
              </w:rPr>
            </w:pPr>
            <w:r w:rsidRPr="00D51A68">
              <w:rPr>
                <w:rFonts w:ascii="Times New Roman" w:hAnsi="Times New Roman"/>
                <w:b/>
                <w:sz w:val="24"/>
                <w:u w:val="single"/>
              </w:rPr>
              <w:t>IMPORTO DELL</w:t>
            </w:r>
            <w:r w:rsidR="0009277C" w:rsidRPr="00D51A68">
              <w:rPr>
                <w:rFonts w:ascii="Times New Roman" w:hAnsi="Times New Roman"/>
                <w:b/>
                <w:sz w:val="24"/>
                <w:u w:val="single"/>
              </w:rPr>
              <w:t>’</w:t>
            </w:r>
            <w:r w:rsidRPr="00D51A68">
              <w:rPr>
                <w:rFonts w:ascii="Times New Roman" w:hAnsi="Times New Roman"/>
                <w:b/>
                <w:sz w:val="24"/>
                <w:u w:val="single"/>
              </w:rPr>
              <w:t>ESPOSIZIONE PONDERATO PER IL RISCHIO PRIMA DELL</w:t>
            </w:r>
            <w:r w:rsidR="0009277C" w:rsidRPr="00D51A68">
              <w:rPr>
                <w:rFonts w:ascii="Times New Roman" w:hAnsi="Times New Roman"/>
                <w:b/>
                <w:sz w:val="24"/>
                <w:u w:val="single"/>
              </w:rPr>
              <w:t>’</w:t>
            </w:r>
            <w:r w:rsidRPr="00D51A68">
              <w:rPr>
                <w:rFonts w:ascii="Times New Roman" w:hAnsi="Times New Roman"/>
                <w:b/>
                <w:sz w:val="24"/>
                <w:u w:val="single"/>
              </w:rPr>
              <w:t>APPLICAZIONE DEL FATTORE DI SOSTEGNO ALLE PMI</w:t>
            </w:r>
          </w:p>
          <w:p w:rsidR="004357B9" w:rsidRPr="00D51A68" w:rsidRDefault="004357B9" w:rsidP="004357B9">
            <w:pPr>
              <w:rPr>
                <w:rFonts w:ascii="Times New Roman" w:hAnsi="Times New Roman"/>
                <w:b/>
                <w:sz w:val="24"/>
                <w:u w:val="single"/>
              </w:rPr>
            </w:pPr>
            <w:r w:rsidRPr="00D51A68">
              <w:rPr>
                <w:rFonts w:ascii="Times New Roman" w:hAnsi="Times New Roman"/>
                <w:sz w:val="24"/>
              </w:rPr>
              <w:t>Stessa definizione di cui alla colonna 215 del modello CR SA.</w:t>
            </w:r>
          </w:p>
        </w:tc>
      </w:tr>
      <w:tr w:rsidR="004357B9" w:rsidRPr="00D51A68" w:rsidTr="00672D2A">
        <w:tc>
          <w:tcPr>
            <w:tcW w:w="1188" w:type="dxa"/>
          </w:tcPr>
          <w:p w:rsidR="004357B9" w:rsidRPr="00D51A68" w:rsidRDefault="004357B9" w:rsidP="004357B9">
            <w:pPr>
              <w:rPr>
                <w:rFonts w:ascii="Times New Roman" w:hAnsi="Times New Roman"/>
                <w:sz w:val="24"/>
              </w:rPr>
            </w:pPr>
            <w:r w:rsidRPr="00D51A68">
              <w:rPr>
                <w:rFonts w:ascii="Times New Roman" w:hAnsi="Times New Roman"/>
                <w:sz w:val="24"/>
              </w:rPr>
              <w:t>090</w:t>
            </w:r>
          </w:p>
        </w:tc>
        <w:tc>
          <w:tcPr>
            <w:tcW w:w="8640" w:type="dxa"/>
          </w:tcPr>
          <w:p w:rsidR="004357B9" w:rsidRPr="00D51A68" w:rsidRDefault="004357B9" w:rsidP="004357B9">
            <w:pPr>
              <w:rPr>
                <w:rFonts w:ascii="Times New Roman" w:hAnsi="Times New Roman"/>
                <w:b/>
                <w:sz w:val="24"/>
                <w:u w:val="single"/>
              </w:rPr>
            </w:pPr>
            <w:r w:rsidRPr="00D51A68">
              <w:rPr>
                <w:rFonts w:ascii="Times New Roman" w:hAnsi="Times New Roman"/>
                <w:b/>
                <w:sz w:val="24"/>
                <w:u w:val="single"/>
              </w:rPr>
              <w:t>IMPORTO DELL</w:t>
            </w:r>
            <w:r w:rsidR="0009277C" w:rsidRPr="00D51A68">
              <w:rPr>
                <w:rFonts w:ascii="Times New Roman" w:hAnsi="Times New Roman"/>
                <w:b/>
                <w:sz w:val="24"/>
                <w:u w:val="single"/>
              </w:rPr>
              <w:t>’</w:t>
            </w:r>
            <w:r w:rsidRPr="00D51A68">
              <w:rPr>
                <w:rFonts w:ascii="Times New Roman" w:hAnsi="Times New Roman"/>
                <w:b/>
                <w:sz w:val="24"/>
                <w:u w:val="single"/>
              </w:rPr>
              <w:t>ESPOSIZIONE PONDERATO PER IL RISCHIO DOPO L</w:t>
            </w:r>
            <w:r w:rsidR="0009277C" w:rsidRPr="00D51A68">
              <w:rPr>
                <w:rFonts w:ascii="Times New Roman" w:hAnsi="Times New Roman"/>
                <w:b/>
                <w:sz w:val="24"/>
                <w:u w:val="single"/>
              </w:rPr>
              <w:t>’</w:t>
            </w:r>
            <w:r w:rsidRPr="00D51A68">
              <w:rPr>
                <w:rFonts w:ascii="Times New Roman" w:hAnsi="Times New Roman"/>
                <w:b/>
                <w:sz w:val="24"/>
                <w:u w:val="single"/>
              </w:rPr>
              <w:t>APPLICAZIONE DEL FATTORE DI SOSTEGNO ALLE PMI</w:t>
            </w:r>
          </w:p>
          <w:p w:rsidR="004357B9" w:rsidRPr="00D51A68" w:rsidRDefault="004357B9" w:rsidP="004357B9">
            <w:pPr>
              <w:rPr>
                <w:rFonts w:ascii="Times New Roman" w:hAnsi="Times New Roman"/>
                <w:b/>
                <w:sz w:val="24"/>
                <w:u w:val="single"/>
              </w:rPr>
            </w:pPr>
            <w:r w:rsidRPr="00D51A68">
              <w:rPr>
                <w:rFonts w:ascii="Times New Roman" w:hAnsi="Times New Roman"/>
                <w:sz w:val="24"/>
              </w:rPr>
              <w:t>Stessa definizione di cui alla colonna 220 del modello CR SA.</w:t>
            </w:r>
          </w:p>
        </w:tc>
      </w:tr>
    </w:tbl>
    <w:p w:rsidR="004357B9" w:rsidRPr="00D51A68" w:rsidRDefault="004357B9" w:rsidP="004357B9">
      <w:pPr>
        <w:rPr>
          <w:rFonts w:ascii="Times New Roman" w:hAnsi="Times New Roman"/>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gridCol w:w="61"/>
      </w:tblGrid>
      <w:tr w:rsidR="004357B9" w:rsidRPr="00D51A68" w:rsidTr="00672D2A">
        <w:trPr>
          <w:gridAfter w:val="1"/>
          <w:wAfter w:w="61" w:type="dxa"/>
          <w:trHeight w:val="581"/>
        </w:trPr>
        <w:tc>
          <w:tcPr>
            <w:tcW w:w="9828" w:type="dxa"/>
            <w:gridSpan w:val="2"/>
            <w:shd w:val="clear" w:color="auto" w:fill="CCCCCC"/>
          </w:tcPr>
          <w:p w:rsidR="004357B9" w:rsidRPr="00D51A68" w:rsidRDefault="004357B9" w:rsidP="004357B9">
            <w:pPr>
              <w:spacing w:after="0"/>
              <w:rPr>
                <w:rStyle w:val="InstructionsTabelleText"/>
                <w:rFonts w:ascii="Times New Roman" w:hAnsi="Times New Roman"/>
                <w:b/>
                <w:sz w:val="24"/>
              </w:rPr>
            </w:pPr>
            <w:r w:rsidRPr="00D51A68">
              <w:rPr>
                <w:rStyle w:val="InstructionsTabelleText"/>
                <w:rFonts w:ascii="Times New Roman" w:hAnsi="Times New Roman"/>
                <w:b/>
                <w:sz w:val="24"/>
              </w:rPr>
              <w:t>Righe</w:t>
            </w:r>
          </w:p>
        </w:tc>
      </w:tr>
      <w:tr w:rsidR="004357B9" w:rsidRPr="00D51A68" w:rsidTr="00672D2A">
        <w:tc>
          <w:tcPr>
            <w:tcW w:w="1188" w:type="dxa"/>
            <w:shd w:val="clear" w:color="auto" w:fill="FFFFFF"/>
          </w:tcPr>
          <w:p w:rsidR="004357B9" w:rsidRPr="00D51A68" w:rsidRDefault="004357B9" w:rsidP="004357B9">
            <w:pPr>
              <w:rPr>
                <w:rFonts w:ascii="Times New Roman" w:hAnsi="Times New Roman"/>
                <w:sz w:val="24"/>
              </w:rPr>
            </w:pPr>
            <w:r w:rsidRPr="00D51A68">
              <w:rPr>
                <w:rFonts w:ascii="Times New Roman" w:hAnsi="Times New Roman"/>
                <w:sz w:val="24"/>
              </w:rPr>
              <w:t>010</w:t>
            </w:r>
          </w:p>
        </w:tc>
        <w:tc>
          <w:tcPr>
            <w:tcW w:w="8701" w:type="dxa"/>
            <w:gridSpan w:val="2"/>
            <w:shd w:val="clear" w:color="auto" w:fill="FFFFFF"/>
          </w:tcPr>
          <w:p w:rsidR="004357B9" w:rsidRPr="00D51A68" w:rsidRDefault="004357B9" w:rsidP="004357B9">
            <w:pPr>
              <w:ind w:left="72"/>
              <w:rPr>
                <w:rStyle w:val="InstructionsTabelleberschrift"/>
                <w:rFonts w:ascii="Times New Roman" w:hAnsi="Times New Roman"/>
                <w:sz w:val="24"/>
              </w:rPr>
            </w:pPr>
            <w:r w:rsidRPr="00D51A68">
              <w:rPr>
                <w:rStyle w:val="InstructionsTabelleberschrift"/>
                <w:rFonts w:ascii="Times New Roman" w:hAnsi="Times New Roman"/>
                <w:sz w:val="24"/>
              </w:rPr>
              <w:t>Amministrazioni centrali o banche centrali</w:t>
            </w:r>
          </w:p>
          <w:p w:rsidR="004357B9" w:rsidRPr="00D51A68" w:rsidRDefault="004357B9" w:rsidP="004357B9">
            <w:pPr>
              <w:ind w:left="72"/>
              <w:rPr>
                <w:rStyle w:val="InstructionsTabelleText"/>
                <w:rFonts w:ascii="Times New Roman" w:hAnsi="Times New Roman"/>
                <w:sz w:val="24"/>
              </w:rPr>
            </w:pPr>
            <w:r w:rsidRPr="00D51A68">
              <w:rPr>
                <w:rFonts w:ascii="Times New Roman" w:hAnsi="Times New Roman"/>
                <w:sz w:val="24"/>
              </w:rPr>
              <w:t>Articolo 112, lettera a), del CRR.</w:t>
            </w:r>
          </w:p>
        </w:tc>
      </w:tr>
      <w:tr w:rsidR="004357B9" w:rsidRPr="00D51A68" w:rsidTr="00672D2A">
        <w:tc>
          <w:tcPr>
            <w:tcW w:w="1188" w:type="dxa"/>
            <w:shd w:val="clear" w:color="auto" w:fill="FFFFFF"/>
          </w:tcPr>
          <w:p w:rsidR="004357B9" w:rsidRPr="00D51A68" w:rsidRDefault="004357B9" w:rsidP="004357B9">
            <w:pPr>
              <w:rPr>
                <w:rFonts w:ascii="Times New Roman" w:hAnsi="Times New Roman"/>
                <w:sz w:val="24"/>
              </w:rPr>
            </w:pPr>
            <w:r w:rsidRPr="00D51A68">
              <w:rPr>
                <w:rFonts w:ascii="Times New Roman" w:hAnsi="Times New Roman"/>
                <w:sz w:val="24"/>
              </w:rPr>
              <w:t>020</w:t>
            </w:r>
          </w:p>
        </w:tc>
        <w:tc>
          <w:tcPr>
            <w:tcW w:w="8701" w:type="dxa"/>
            <w:gridSpan w:val="2"/>
            <w:shd w:val="clear" w:color="auto" w:fill="FFFFFF"/>
          </w:tcPr>
          <w:p w:rsidR="004357B9" w:rsidRPr="00D51A68" w:rsidRDefault="004357B9" w:rsidP="004357B9">
            <w:pPr>
              <w:ind w:left="72"/>
              <w:rPr>
                <w:rStyle w:val="InstructionsTabelleberschrift"/>
                <w:rFonts w:ascii="Times New Roman" w:hAnsi="Times New Roman"/>
                <w:sz w:val="24"/>
              </w:rPr>
            </w:pPr>
            <w:r w:rsidRPr="00D51A68">
              <w:rPr>
                <w:rStyle w:val="InstructionsTabelleberschrift"/>
                <w:rFonts w:ascii="Times New Roman" w:hAnsi="Times New Roman"/>
                <w:sz w:val="24"/>
              </w:rPr>
              <w:t>Amministrazioni regionali o autorità locali</w:t>
            </w:r>
          </w:p>
          <w:p w:rsidR="004357B9" w:rsidRPr="00D51A68" w:rsidRDefault="004357B9" w:rsidP="004357B9">
            <w:pPr>
              <w:ind w:left="72"/>
              <w:rPr>
                <w:rStyle w:val="InstructionsTabelleberschrift"/>
                <w:rFonts w:ascii="Times New Roman" w:hAnsi="Times New Roman"/>
                <w:sz w:val="24"/>
              </w:rPr>
            </w:pPr>
            <w:r w:rsidRPr="00D51A68">
              <w:rPr>
                <w:rFonts w:ascii="Times New Roman" w:hAnsi="Times New Roman"/>
                <w:sz w:val="24"/>
              </w:rPr>
              <w:t>Articolo 112, lettera b), del CRR.</w:t>
            </w:r>
          </w:p>
        </w:tc>
      </w:tr>
      <w:tr w:rsidR="004357B9" w:rsidRPr="00D51A68" w:rsidTr="00672D2A">
        <w:tc>
          <w:tcPr>
            <w:tcW w:w="1188" w:type="dxa"/>
            <w:shd w:val="clear" w:color="auto" w:fill="FFFFFF"/>
          </w:tcPr>
          <w:p w:rsidR="004357B9" w:rsidRPr="00D51A68" w:rsidRDefault="004357B9" w:rsidP="004357B9">
            <w:pPr>
              <w:rPr>
                <w:rFonts w:ascii="Times New Roman" w:hAnsi="Times New Roman"/>
                <w:sz w:val="24"/>
              </w:rPr>
            </w:pPr>
            <w:r w:rsidRPr="00D51A68">
              <w:rPr>
                <w:rFonts w:ascii="Times New Roman" w:hAnsi="Times New Roman"/>
                <w:sz w:val="24"/>
              </w:rPr>
              <w:t>030</w:t>
            </w:r>
          </w:p>
        </w:tc>
        <w:tc>
          <w:tcPr>
            <w:tcW w:w="8701" w:type="dxa"/>
            <w:gridSpan w:val="2"/>
            <w:shd w:val="clear" w:color="auto" w:fill="FFFFFF"/>
          </w:tcPr>
          <w:p w:rsidR="004357B9" w:rsidRPr="00D51A68" w:rsidRDefault="004357B9" w:rsidP="004357B9">
            <w:pPr>
              <w:ind w:left="72"/>
              <w:rPr>
                <w:rStyle w:val="InstructionsTabelleberschrift"/>
                <w:rFonts w:ascii="Times New Roman" w:hAnsi="Times New Roman"/>
                <w:sz w:val="24"/>
              </w:rPr>
            </w:pPr>
            <w:r w:rsidRPr="00D51A68">
              <w:rPr>
                <w:rStyle w:val="InstructionsTabelleberschrift"/>
                <w:rFonts w:ascii="Times New Roman" w:hAnsi="Times New Roman"/>
                <w:sz w:val="24"/>
              </w:rPr>
              <w:t>Organismi del settore pubblico</w:t>
            </w:r>
          </w:p>
          <w:p w:rsidR="004357B9" w:rsidRPr="00D51A68" w:rsidRDefault="004357B9" w:rsidP="004357B9">
            <w:pPr>
              <w:ind w:left="72"/>
              <w:rPr>
                <w:rStyle w:val="InstructionsTabelleberschrift"/>
                <w:rFonts w:ascii="Times New Roman" w:hAnsi="Times New Roman"/>
                <w:sz w:val="24"/>
              </w:rPr>
            </w:pPr>
            <w:r w:rsidRPr="00D51A68">
              <w:rPr>
                <w:rFonts w:ascii="Times New Roman" w:hAnsi="Times New Roman"/>
                <w:sz w:val="24"/>
              </w:rPr>
              <w:t>Articolo 112, lettera c), del CRR.</w:t>
            </w:r>
          </w:p>
        </w:tc>
      </w:tr>
      <w:tr w:rsidR="004357B9" w:rsidRPr="00D51A68" w:rsidTr="00672D2A">
        <w:tc>
          <w:tcPr>
            <w:tcW w:w="1188" w:type="dxa"/>
            <w:shd w:val="clear" w:color="auto" w:fill="FFFFFF"/>
          </w:tcPr>
          <w:p w:rsidR="004357B9" w:rsidRPr="00D51A68" w:rsidRDefault="004357B9" w:rsidP="004357B9">
            <w:pPr>
              <w:rPr>
                <w:rFonts w:ascii="Times New Roman" w:hAnsi="Times New Roman"/>
                <w:sz w:val="24"/>
              </w:rPr>
            </w:pPr>
            <w:r w:rsidRPr="00D51A68">
              <w:rPr>
                <w:rFonts w:ascii="Times New Roman" w:hAnsi="Times New Roman"/>
                <w:sz w:val="24"/>
              </w:rPr>
              <w:t>040</w:t>
            </w:r>
          </w:p>
        </w:tc>
        <w:tc>
          <w:tcPr>
            <w:tcW w:w="8701" w:type="dxa"/>
            <w:gridSpan w:val="2"/>
            <w:shd w:val="clear" w:color="auto" w:fill="FFFFFF"/>
          </w:tcPr>
          <w:p w:rsidR="004357B9" w:rsidRPr="00D51A68" w:rsidRDefault="004357B9" w:rsidP="004357B9">
            <w:pPr>
              <w:ind w:left="72"/>
              <w:rPr>
                <w:rStyle w:val="InstructionsTabelleberschrift"/>
                <w:rFonts w:ascii="Times New Roman" w:hAnsi="Times New Roman"/>
                <w:sz w:val="24"/>
              </w:rPr>
            </w:pPr>
            <w:r w:rsidRPr="00D51A68">
              <w:rPr>
                <w:rStyle w:val="InstructionsTabelleberschrift"/>
                <w:rFonts w:ascii="Times New Roman" w:hAnsi="Times New Roman"/>
                <w:sz w:val="24"/>
              </w:rPr>
              <w:t>Banche multilaterali di sviluppo</w:t>
            </w:r>
          </w:p>
          <w:p w:rsidR="004357B9" w:rsidRPr="00D51A68" w:rsidRDefault="004357B9" w:rsidP="004357B9">
            <w:pPr>
              <w:ind w:left="72"/>
              <w:rPr>
                <w:rStyle w:val="InstructionsTabelleberschrift"/>
                <w:rFonts w:ascii="Times New Roman" w:hAnsi="Times New Roman"/>
                <w:sz w:val="24"/>
              </w:rPr>
            </w:pPr>
            <w:r w:rsidRPr="00D51A68">
              <w:rPr>
                <w:rStyle w:val="InstructionsTabelleText"/>
                <w:rFonts w:ascii="Times New Roman" w:hAnsi="Times New Roman"/>
                <w:sz w:val="24"/>
              </w:rPr>
              <w:t>Articolo 112, lettera d),</w:t>
            </w:r>
            <w:r w:rsidRPr="00D51A68">
              <w:rPr>
                <w:rFonts w:ascii="Times New Roman" w:hAnsi="Times New Roman"/>
                <w:sz w:val="24"/>
              </w:rPr>
              <w:t xml:space="preserve"> del CRR.</w:t>
            </w:r>
          </w:p>
        </w:tc>
      </w:tr>
      <w:tr w:rsidR="004357B9" w:rsidRPr="00D51A68" w:rsidTr="00672D2A">
        <w:tc>
          <w:tcPr>
            <w:tcW w:w="1188" w:type="dxa"/>
            <w:shd w:val="clear" w:color="auto" w:fill="FFFFFF"/>
          </w:tcPr>
          <w:p w:rsidR="004357B9" w:rsidRPr="00D51A68" w:rsidRDefault="004357B9" w:rsidP="004357B9">
            <w:pPr>
              <w:rPr>
                <w:rFonts w:ascii="Times New Roman" w:hAnsi="Times New Roman"/>
                <w:sz w:val="24"/>
              </w:rPr>
            </w:pPr>
            <w:r w:rsidRPr="00D51A68">
              <w:rPr>
                <w:rFonts w:ascii="Times New Roman" w:hAnsi="Times New Roman"/>
                <w:sz w:val="24"/>
              </w:rPr>
              <w:t>050</w:t>
            </w:r>
          </w:p>
        </w:tc>
        <w:tc>
          <w:tcPr>
            <w:tcW w:w="8701" w:type="dxa"/>
            <w:gridSpan w:val="2"/>
            <w:shd w:val="clear" w:color="auto" w:fill="FFFFFF"/>
          </w:tcPr>
          <w:p w:rsidR="004357B9" w:rsidRPr="00D51A68" w:rsidRDefault="004357B9" w:rsidP="004357B9">
            <w:pPr>
              <w:ind w:left="72"/>
              <w:rPr>
                <w:rStyle w:val="InstructionsTabelleberschrift"/>
                <w:rFonts w:ascii="Times New Roman" w:hAnsi="Times New Roman"/>
                <w:sz w:val="24"/>
              </w:rPr>
            </w:pPr>
            <w:r w:rsidRPr="00D51A68">
              <w:rPr>
                <w:rStyle w:val="InstructionsTabelleberschrift"/>
                <w:rFonts w:ascii="Times New Roman" w:hAnsi="Times New Roman"/>
                <w:sz w:val="24"/>
              </w:rPr>
              <w:t>Organizzazioni internazionali</w:t>
            </w:r>
          </w:p>
          <w:p w:rsidR="004357B9" w:rsidRPr="00D51A68" w:rsidRDefault="004357B9" w:rsidP="004357B9">
            <w:pPr>
              <w:ind w:left="72"/>
              <w:rPr>
                <w:rStyle w:val="InstructionsTabelleberschrift"/>
                <w:rFonts w:ascii="Times New Roman" w:hAnsi="Times New Roman"/>
                <w:sz w:val="24"/>
              </w:rPr>
            </w:pPr>
            <w:r w:rsidRPr="00D51A68">
              <w:rPr>
                <w:rFonts w:ascii="Times New Roman" w:hAnsi="Times New Roman"/>
                <w:sz w:val="24"/>
              </w:rPr>
              <w:t>Articolo 112, lettera e), del CRR.</w:t>
            </w:r>
          </w:p>
        </w:tc>
      </w:tr>
      <w:tr w:rsidR="004357B9" w:rsidRPr="00D51A68" w:rsidTr="00672D2A">
        <w:tc>
          <w:tcPr>
            <w:tcW w:w="1188" w:type="dxa"/>
            <w:shd w:val="clear" w:color="auto" w:fill="FFFFFF"/>
          </w:tcPr>
          <w:p w:rsidR="004357B9" w:rsidRPr="00D51A68" w:rsidRDefault="004357B9" w:rsidP="004357B9">
            <w:pPr>
              <w:rPr>
                <w:rFonts w:ascii="Times New Roman" w:hAnsi="Times New Roman"/>
                <w:sz w:val="24"/>
              </w:rPr>
            </w:pPr>
            <w:r w:rsidRPr="00D51A68">
              <w:rPr>
                <w:rFonts w:ascii="Times New Roman" w:hAnsi="Times New Roman"/>
                <w:sz w:val="24"/>
              </w:rPr>
              <w:t>060</w:t>
            </w:r>
          </w:p>
        </w:tc>
        <w:tc>
          <w:tcPr>
            <w:tcW w:w="8701" w:type="dxa"/>
            <w:gridSpan w:val="2"/>
            <w:shd w:val="clear" w:color="auto" w:fill="FFFFFF"/>
          </w:tcPr>
          <w:p w:rsidR="004357B9" w:rsidRPr="00D51A68" w:rsidRDefault="004357B9" w:rsidP="004357B9">
            <w:pPr>
              <w:ind w:left="72"/>
              <w:rPr>
                <w:rStyle w:val="InstructionsTabelleberschrift"/>
                <w:rFonts w:ascii="Times New Roman" w:hAnsi="Times New Roman"/>
                <w:sz w:val="24"/>
              </w:rPr>
            </w:pPr>
            <w:r w:rsidRPr="00D51A68">
              <w:rPr>
                <w:rStyle w:val="InstructionsTabelleberschrift"/>
                <w:rFonts w:ascii="Times New Roman" w:hAnsi="Times New Roman"/>
                <w:sz w:val="24"/>
              </w:rPr>
              <w:t>Enti</w:t>
            </w:r>
          </w:p>
          <w:p w:rsidR="004357B9" w:rsidRPr="00D51A68" w:rsidRDefault="004357B9" w:rsidP="004357B9">
            <w:pPr>
              <w:ind w:left="72"/>
              <w:rPr>
                <w:rStyle w:val="InstructionsTabelleberschrift"/>
                <w:rFonts w:ascii="Times New Roman" w:hAnsi="Times New Roman"/>
                <w:sz w:val="24"/>
              </w:rPr>
            </w:pPr>
            <w:r w:rsidRPr="00D51A68">
              <w:rPr>
                <w:rFonts w:ascii="Times New Roman" w:hAnsi="Times New Roman"/>
                <w:sz w:val="24"/>
              </w:rPr>
              <w:t>Articolo 112, lettera f), del CRR.</w:t>
            </w:r>
          </w:p>
        </w:tc>
      </w:tr>
      <w:tr w:rsidR="004357B9" w:rsidRPr="00D51A68" w:rsidTr="00672D2A">
        <w:tc>
          <w:tcPr>
            <w:tcW w:w="1188" w:type="dxa"/>
            <w:shd w:val="clear" w:color="auto" w:fill="FFFFFF"/>
          </w:tcPr>
          <w:p w:rsidR="004357B9" w:rsidRPr="00D51A68" w:rsidRDefault="004357B9" w:rsidP="004357B9">
            <w:pPr>
              <w:rPr>
                <w:rFonts w:ascii="Times New Roman" w:hAnsi="Times New Roman"/>
                <w:sz w:val="24"/>
              </w:rPr>
            </w:pPr>
            <w:r w:rsidRPr="00D51A68">
              <w:rPr>
                <w:rFonts w:ascii="Times New Roman" w:hAnsi="Times New Roman"/>
                <w:sz w:val="24"/>
              </w:rPr>
              <w:t>070</w:t>
            </w:r>
          </w:p>
        </w:tc>
        <w:tc>
          <w:tcPr>
            <w:tcW w:w="8701" w:type="dxa"/>
            <w:gridSpan w:val="2"/>
            <w:shd w:val="clear" w:color="auto" w:fill="FFFFFF"/>
          </w:tcPr>
          <w:p w:rsidR="004357B9" w:rsidRPr="00D51A68" w:rsidRDefault="004357B9" w:rsidP="004357B9">
            <w:pPr>
              <w:ind w:left="72"/>
              <w:rPr>
                <w:rStyle w:val="InstructionsTabelleberschrift"/>
                <w:rFonts w:ascii="Times New Roman" w:hAnsi="Times New Roman"/>
                <w:sz w:val="24"/>
              </w:rPr>
            </w:pPr>
            <w:r w:rsidRPr="00D51A68">
              <w:rPr>
                <w:rStyle w:val="InstructionsTabelleberschrift"/>
                <w:rFonts w:ascii="Times New Roman" w:hAnsi="Times New Roman"/>
                <w:sz w:val="24"/>
              </w:rPr>
              <w:t>Imprese</w:t>
            </w:r>
          </w:p>
          <w:p w:rsidR="004357B9" w:rsidRPr="00D51A68" w:rsidRDefault="004357B9" w:rsidP="004357B9">
            <w:pPr>
              <w:ind w:left="72"/>
              <w:rPr>
                <w:rStyle w:val="InstructionsTabelleberschrift"/>
                <w:rFonts w:ascii="Times New Roman" w:hAnsi="Times New Roman"/>
                <w:sz w:val="24"/>
              </w:rPr>
            </w:pPr>
            <w:r w:rsidRPr="00D51A68">
              <w:rPr>
                <w:rFonts w:ascii="Times New Roman" w:hAnsi="Times New Roman"/>
                <w:sz w:val="24"/>
              </w:rPr>
              <w:t>Articolo 112, lettera g), del CRR.</w:t>
            </w:r>
          </w:p>
        </w:tc>
      </w:tr>
      <w:tr w:rsidR="004357B9" w:rsidRPr="00D51A68" w:rsidTr="00672D2A">
        <w:tc>
          <w:tcPr>
            <w:tcW w:w="1188" w:type="dxa"/>
            <w:shd w:val="clear" w:color="auto" w:fill="FFFFFF"/>
          </w:tcPr>
          <w:p w:rsidR="004357B9" w:rsidRPr="00D51A68" w:rsidRDefault="004357B9" w:rsidP="004357B9">
            <w:pPr>
              <w:rPr>
                <w:rFonts w:ascii="Times New Roman" w:hAnsi="Times New Roman"/>
                <w:sz w:val="24"/>
              </w:rPr>
            </w:pPr>
            <w:r w:rsidRPr="00D51A68">
              <w:rPr>
                <w:rFonts w:ascii="Times New Roman" w:hAnsi="Times New Roman"/>
                <w:sz w:val="24"/>
              </w:rPr>
              <w:t>075</w:t>
            </w:r>
          </w:p>
        </w:tc>
        <w:tc>
          <w:tcPr>
            <w:tcW w:w="8701" w:type="dxa"/>
            <w:gridSpan w:val="2"/>
            <w:shd w:val="clear" w:color="auto" w:fill="FFFFFF"/>
          </w:tcPr>
          <w:p w:rsidR="004357B9" w:rsidRPr="00D51A68" w:rsidRDefault="004357B9" w:rsidP="004357B9">
            <w:pPr>
              <w:ind w:left="72"/>
              <w:rPr>
                <w:rStyle w:val="InstructionsTabelleberschrift"/>
                <w:rFonts w:ascii="Times New Roman" w:hAnsi="Times New Roman"/>
                <w:sz w:val="24"/>
              </w:rPr>
            </w:pPr>
            <w:r w:rsidRPr="00D51A68">
              <w:rPr>
                <w:rStyle w:val="InstructionsTabelleberschrift"/>
                <w:rFonts w:ascii="Times New Roman" w:hAnsi="Times New Roman"/>
                <w:sz w:val="24"/>
              </w:rPr>
              <w:t>di cui: PMI</w:t>
            </w:r>
          </w:p>
          <w:p w:rsidR="004357B9" w:rsidRPr="00D51A68" w:rsidRDefault="004357B9" w:rsidP="007121C9">
            <w:pPr>
              <w:ind w:left="72"/>
              <w:rPr>
                <w:rStyle w:val="InstructionsTabelleberschrift"/>
                <w:rFonts w:ascii="Times New Roman" w:hAnsi="Times New Roman"/>
                <w:b w:val="0"/>
                <w:sz w:val="24"/>
                <w:u w:val="none"/>
              </w:rPr>
            </w:pPr>
            <w:r w:rsidRPr="00D51A68">
              <w:rPr>
                <w:rStyle w:val="InstructionsTabelleberschrift"/>
                <w:rFonts w:ascii="Times New Roman" w:hAnsi="Times New Roman"/>
                <w:b w:val="0"/>
                <w:sz w:val="24"/>
                <w:u w:val="none"/>
              </w:rPr>
              <w:t>Stessa definizione di cui alla riga 020 del modello CR SA.</w:t>
            </w:r>
          </w:p>
        </w:tc>
      </w:tr>
      <w:tr w:rsidR="004357B9" w:rsidRPr="00D51A68" w:rsidTr="00672D2A">
        <w:tc>
          <w:tcPr>
            <w:tcW w:w="1188" w:type="dxa"/>
            <w:shd w:val="clear" w:color="auto" w:fill="FFFFFF"/>
          </w:tcPr>
          <w:p w:rsidR="004357B9" w:rsidRPr="00D51A68" w:rsidRDefault="004357B9" w:rsidP="004357B9">
            <w:pPr>
              <w:rPr>
                <w:rFonts w:ascii="Times New Roman" w:hAnsi="Times New Roman"/>
                <w:sz w:val="24"/>
              </w:rPr>
            </w:pPr>
            <w:r w:rsidRPr="00D51A68">
              <w:rPr>
                <w:rFonts w:ascii="Times New Roman" w:hAnsi="Times New Roman"/>
                <w:sz w:val="24"/>
              </w:rPr>
              <w:t>080</w:t>
            </w:r>
          </w:p>
        </w:tc>
        <w:tc>
          <w:tcPr>
            <w:tcW w:w="8701" w:type="dxa"/>
            <w:gridSpan w:val="2"/>
            <w:shd w:val="clear" w:color="auto" w:fill="FFFFFF"/>
          </w:tcPr>
          <w:p w:rsidR="004357B9" w:rsidRPr="00D51A68" w:rsidRDefault="004357B9" w:rsidP="004357B9">
            <w:pPr>
              <w:ind w:left="72"/>
              <w:rPr>
                <w:rStyle w:val="InstructionsTabelleberschrift"/>
                <w:rFonts w:ascii="Times New Roman" w:hAnsi="Times New Roman"/>
                <w:sz w:val="24"/>
              </w:rPr>
            </w:pPr>
            <w:r w:rsidRPr="00D51A68">
              <w:rPr>
                <w:rStyle w:val="InstructionsTabelleberschrift"/>
                <w:rFonts w:ascii="Times New Roman" w:hAnsi="Times New Roman"/>
                <w:sz w:val="24"/>
              </w:rPr>
              <w:t>Al dettaglio</w:t>
            </w:r>
          </w:p>
          <w:p w:rsidR="004357B9" w:rsidRPr="00D51A68" w:rsidRDefault="004357B9" w:rsidP="004357B9">
            <w:pPr>
              <w:ind w:left="72"/>
              <w:rPr>
                <w:rStyle w:val="InstructionsTabelleberschrift"/>
                <w:rFonts w:ascii="Times New Roman" w:hAnsi="Times New Roman"/>
                <w:sz w:val="24"/>
              </w:rPr>
            </w:pPr>
            <w:r w:rsidRPr="00D51A68">
              <w:rPr>
                <w:rFonts w:ascii="Times New Roman" w:hAnsi="Times New Roman"/>
                <w:sz w:val="24"/>
              </w:rPr>
              <w:t>Articolo 112, lettera h), del CRR.</w:t>
            </w:r>
          </w:p>
        </w:tc>
      </w:tr>
      <w:tr w:rsidR="004357B9" w:rsidRPr="00D51A68" w:rsidTr="00672D2A">
        <w:tc>
          <w:tcPr>
            <w:tcW w:w="1188" w:type="dxa"/>
            <w:shd w:val="clear" w:color="auto" w:fill="FFFFFF"/>
          </w:tcPr>
          <w:p w:rsidR="004357B9" w:rsidRPr="00D51A68" w:rsidRDefault="004357B9" w:rsidP="004357B9">
            <w:pPr>
              <w:rPr>
                <w:rFonts w:ascii="Times New Roman" w:hAnsi="Times New Roman"/>
                <w:sz w:val="24"/>
              </w:rPr>
            </w:pPr>
            <w:r w:rsidRPr="00D51A68">
              <w:rPr>
                <w:rFonts w:ascii="Times New Roman" w:hAnsi="Times New Roman"/>
                <w:sz w:val="24"/>
              </w:rPr>
              <w:t>085</w:t>
            </w:r>
          </w:p>
        </w:tc>
        <w:tc>
          <w:tcPr>
            <w:tcW w:w="8701" w:type="dxa"/>
            <w:gridSpan w:val="2"/>
            <w:shd w:val="clear" w:color="auto" w:fill="FFFFFF"/>
          </w:tcPr>
          <w:p w:rsidR="004357B9" w:rsidRPr="00D51A68" w:rsidRDefault="004357B9" w:rsidP="004357B9">
            <w:pPr>
              <w:ind w:left="72"/>
              <w:rPr>
                <w:rStyle w:val="InstructionsTabelleberschrift"/>
                <w:rFonts w:ascii="Times New Roman" w:hAnsi="Times New Roman"/>
                <w:sz w:val="24"/>
              </w:rPr>
            </w:pPr>
            <w:r w:rsidRPr="00D51A68">
              <w:rPr>
                <w:rStyle w:val="InstructionsTabelleberschrift"/>
                <w:rFonts w:ascii="Times New Roman" w:hAnsi="Times New Roman"/>
                <w:sz w:val="24"/>
              </w:rPr>
              <w:t>di cui: PMI</w:t>
            </w:r>
          </w:p>
          <w:p w:rsidR="004357B9" w:rsidRPr="00D51A68" w:rsidRDefault="004357B9" w:rsidP="00DE26F2">
            <w:pPr>
              <w:ind w:left="72"/>
              <w:rPr>
                <w:rStyle w:val="InstructionsTabelleberschrift"/>
                <w:rFonts w:ascii="Times New Roman" w:hAnsi="Times New Roman"/>
                <w:b w:val="0"/>
                <w:sz w:val="24"/>
                <w:u w:val="none"/>
              </w:rPr>
            </w:pPr>
            <w:r w:rsidRPr="00D51A68">
              <w:rPr>
                <w:rStyle w:val="InstructionsTabelleberschrift"/>
                <w:rFonts w:ascii="Times New Roman" w:hAnsi="Times New Roman"/>
                <w:b w:val="0"/>
                <w:sz w:val="24"/>
                <w:u w:val="none"/>
              </w:rPr>
              <w:t>Stessa definizione di cui alla riga 020 del modello CR SA.</w:t>
            </w:r>
          </w:p>
        </w:tc>
      </w:tr>
      <w:tr w:rsidR="004357B9" w:rsidRPr="00D51A68" w:rsidTr="00672D2A">
        <w:tc>
          <w:tcPr>
            <w:tcW w:w="1188" w:type="dxa"/>
            <w:shd w:val="clear" w:color="auto" w:fill="FFFFFF"/>
          </w:tcPr>
          <w:p w:rsidR="004357B9" w:rsidRPr="00D51A68" w:rsidRDefault="004357B9" w:rsidP="004357B9">
            <w:pPr>
              <w:rPr>
                <w:rFonts w:ascii="Times New Roman" w:hAnsi="Times New Roman"/>
                <w:sz w:val="24"/>
              </w:rPr>
            </w:pPr>
            <w:r w:rsidRPr="00D51A68">
              <w:rPr>
                <w:rFonts w:ascii="Times New Roman" w:hAnsi="Times New Roman"/>
                <w:sz w:val="24"/>
              </w:rPr>
              <w:t>090</w:t>
            </w:r>
          </w:p>
        </w:tc>
        <w:tc>
          <w:tcPr>
            <w:tcW w:w="8701" w:type="dxa"/>
            <w:gridSpan w:val="2"/>
            <w:shd w:val="clear" w:color="auto" w:fill="FFFFFF"/>
          </w:tcPr>
          <w:p w:rsidR="004357B9" w:rsidRPr="00D51A68" w:rsidRDefault="004357B9" w:rsidP="004357B9">
            <w:pPr>
              <w:ind w:left="72"/>
              <w:rPr>
                <w:rStyle w:val="InstructionsTabelleberschrift"/>
                <w:rFonts w:ascii="Times New Roman" w:hAnsi="Times New Roman"/>
                <w:sz w:val="24"/>
              </w:rPr>
            </w:pPr>
            <w:r w:rsidRPr="00D51A68">
              <w:rPr>
                <w:rStyle w:val="InstructionsTabelleberschrift"/>
                <w:rFonts w:ascii="Times New Roman" w:hAnsi="Times New Roman"/>
                <w:sz w:val="24"/>
              </w:rPr>
              <w:t>Garantite da ipoteche su beni immobili</w:t>
            </w:r>
          </w:p>
          <w:p w:rsidR="004357B9" w:rsidRPr="00D51A68" w:rsidRDefault="004357B9" w:rsidP="004357B9">
            <w:pPr>
              <w:ind w:left="72"/>
              <w:rPr>
                <w:rStyle w:val="InstructionsTabelleText"/>
                <w:rFonts w:ascii="Times New Roman" w:hAnsi="Times New Roman"/>
                <w:sz w:val="24"/>
              </w:rPr>
            </w:pPr>
            <w:r w:rsidRPr="00D51A68">
              <w:rPr>
                <w:rFonts w:ascii="Times New Roman" w:hAnsi="Times New Roman"/>
                <w:sz w:val="24"/>
              </w:rPr>
              <w:t>Articolo 112, lettera i), del CRR.</w:t>
            </w:r>
          </w:p>
        </w:tc>
      </w:tr>
      <w:tr w:rsidR="004357B9" w:rsidRPr="00D51A68" w:rsidTr="00672D2A">
        <w:tc>
          <w:tcPr>
            <w:tcW w:w="1188" w:type="dxa"/>
            <w:shd w:val="clear" w:color="auto" w:fill="FFFFFF"/>
          </w:tcPr>
          <w:p w:rsidR="004357B9" w:rsidRPr="00D51A68" w:rsidRDefault="004357B9" w:rsidP="004357B9">
            <w:pPr>
              <w:rPr>
                <w:rFonts w:ascii="Times New Roman" w:hAnsi="Times New Roman"/>
                <w:sz w:val="24"/>
              </w:rPr>
            </w:pPr>
            <w:r w:rsidRPr="00D51A68">
              <w:rPr>
                <w:rFonts w:ascii="Times New Roman" w:hAnsi="Times New Roman"/>
                <w:sz w:val="24"/>
              </w:rPr>
              <w:lastRenderedPageBreak/>
              <w:t>095</w:t>
            </w:r>
          </w:p>
        </w:tc>
        <w:tc>
          <w:tcPr>
            <w:tcW w:w="8701" w:type="dxa"/>
            <w:gridSpan w:val="2"/>
            <w:shd w:val="clear" w:color="auto" w:fill="FFFFFF"/>
          </w:tcPr>
          <w:p w:rsidR="004357B9" w:rsidRPr="00D51A68" w:rsidRDefault="004357B9" w:rsidP="004357B9">
            <w:pPr>
              <w:ind w:left="72"/>
              <w:rPr>
                <w:rStyle w:val="InstructionsTabelleberschrift"/>
                <w:rFonts w:ascii="Times New Roman" w:hAnsi="Times New Roman"/>
                <w:sz w:val="24"/>
              </w:rPr>
            </w:pPr>
            <w:r w:rsidRPr="00D51A68">
              <w:rPr>
                <w:rStyle w:val="InstructionsTabelleberschrift"/>
                <w:rFonts w:ascii="Times New Roman" w:hAnsi="Times New Roman"/>
                <w:sz w:val="24"/>
              </w:rPr>
              <w:t>di cui: PMI</w:t>
            </w:r>
          </w:p>
          <w:p w:rsidR="004357B9" w:rsidRPr="00D51A68" w:rsidRDefault="004357B9" w:rsidP="00DE26F2">
            <w:pPr>
              <w:ind w:left="72"/>
              <w:rPr>
                <w:rStyle w:val="InstructionsTabelleberschrift"/>
                <w:rFonts w:ascii="Times New Roman" w:hAnsi="Times New Roman"/>
                <w:b w:val="0"/>
                <w:sz w:val="24"/>
                <w:u w:val="none"/>
              </w:rPr>
            </w:pPr>
            <w:r w:rsidRPr="00D51A68">
              <w:rPr>
                <w:rStyle w:val="InstructionsTabelleberschrift"/>
                <w:rFonts w:ascii="Times New Roman" w:hAnsi="Times New Roman"/>
                <w:b w:val="0"/>
                <w:sz w:val="24"/>
                <w:u w:val="none"/>
              </w:rPr>
              <w:t>Stessa definizione di cui alla riga 020 del modello CR SA.</w:t>
            </w:r>
          </w:p>
        </w:tc>
      </w:tr>
      <w:tr w:rsidR="004357B9" w:rsidRPr="00D51A68" w:rsidTr="00672D2A">
        <w:tc>
          <w:tcPr>
            <w:tcW w:w="1188" w:type="dxa"/>
            <w:shd w:val="clear" w:color="auto" w:fill="FFFFFF"/>
          </w:tcPr>
          <w:p w:rsidR="004357B9" w:rsidRPr="00D51A68" w:rsidRDefault="004357B9" w:rsidP="004357B9">
            <w:pPr>
              <w:rPr>
                <w:rFonts w:ascii="Times New Roman" w:hAnsi="Times New Roman"/>
                <w:sz w:val="24"/>
              </w:rPr>
            </w:pPr>
            <w:r w:rsidRPr="00D51A68">
              <w:rPr>
                <w:rFonts w:ascii="Times New Roman" w:hAnsi="Times New Roman"/>
                <w:sz w:val="24"/>
              </w:rPr>
              <w:t>100</w:t>
            </w:r>
          </w:p>
        </w:tc>
        <w:tc>
          <w:tcPr>
            <w:tcW w:w="8701" w:type="dxa"/>
            <w:gridSpan w:val="2"/>
            <w:shd w:val="clear" w:color="auto" w:fill="FFFFFF"/>
          </w:tcPr>
          <w:p w:rsidR="004357B9" w:rsidRPr="00D51A68" w:rsidRDefault="004357B9" w:rsidP="004357B9">
            <w:pPr>
              <w:ind w:left="72"/>
              <w:rPr>
                <w:rStyle w:val="InstructionsTabelleberschrift"/>
                <w:rFonts w:ascii="Times New Roman" w:hAnsi="Times New Roman"/>
                <w:sz w:val="24"/>
              </w:rPr>
            </w:pPr>
            <w:r w:rsidRPr="00D51A68">
              <w:rPr>
                <w:rStyle w:val="InstructionsTabelleberschrift"/>
                <w:rFonts w:ascii="Times New Roman" w:hAnsi="Times New Roman"/>
                <w:sz w:val="24"/>
              </w:rPr>
              <w:t>Esposizioni in stato di default</w:t>
            </w:r>
          </w:p>
          <w:p w:rsidR="004357B9" w:rsidRPr="00D51A68" w:rsidRDefault="004357B9" w:rsidP="004357B9">
            <w:pPr>
              <w:ind w:left="72"/>
              <w:rPr>
                <w:rStyle w:val="InstructionsTabelleberschrift"/>
                <w:rFonts w:ascii="Times New Roman" w:hAnsi="Times New Roman"/>
                <w:sz w:val="24"/>
              </w:rPr>
            </w:pPr>
            <w:r w:rsidRPr="00D51A68">
              <w:rPr>
                <w:rFonts w:ascii="Times New Roman" w:hAnsi="Times New Roman"/>
                <w:sz w:val="24"/>
              </w:rPr>
              <w:t>Articolo 112, lettera j), del CRR.</w:t>
            </w:r>
          </w:p>
        </w:tc>
      </w:tr>
      <w:tr w:rsidR="004357B9" w:rsidRPr="00D51A68" w:rsidTr="00672D2A">
        <w:tc>
          <w:tcPr>
            <w:tcW w:w="1188" w:type="dxa"/>
            <w:shd w:val="clear" w:color="auto" w:fill="FFFFFF"/>
          </w:tcPr>
          <w:p w:rsidR="004357B9" w:rsidRPr="00D51A68" w:rsidRDefault="004357B9" w:rsidP="004357B9">
            <w:pPr>
              <w:rPr>
                <w:rFonts w:ascii="Times New Roman" w:hAnsi="Times New Roman"/>
                <w:sz w:val="24"/>
              </w:rPr>
            </w:pPr>
            <w:r w:rsidRPr="00D51A68">
              <w:rPr>
                <w:rFonts w:ascii="Times New Roman" w:hAnsi="Times New Roman"/>
                <w:sz w:val="24"/>
              </w:rPr>
              <w:t>110</w:t>
            </w:r>
          </w:p>
        </w:tc>
        <w:tc>
          <w:tcPr>
            <w:tcW w:w="8701" w:type="dxa"/>
            <w:gridSpan w:val="2"/>
            <w:shd w:val="clear" w:color="auto" w:fill="FFFFFF"/>
          </w:tcPr>
          <w:p w:rsidR="004357B9" w:rsidRPr="00D51A68" w:rsidRDefault="000565B6" w:rsidP="004357B9">
            <w:pPr>
              <w:autoSpaceDE w:val="0"/>
              <w:autoSpaceDN w:val="0"/>
              <w:adjustRightInd w:val="0"/>
              <w:spacing w:before="0"/>
              <w:ind w:left="72"/>
              <w:jc w:val="left"/>
              <w:rPr>
                <w:rFonts w:ascii="Times New Roman" w:hAnsi="Times New Roman"/>
                <w:b/>
                <w:bCs/>
                <w:sz w:val="24"/>
                <w:u w:val="single"/>
              </w:rPr>
            </w:pPr>
            <w:r w:rsidRPr="00D51A68">
              <w:rPr>
                <w:rFonts w:ascii="Times New Roman" w:hAnsi="Times New Roman"/>
                <w:b/>
                <w:sz w:val="24"/>
                <w:u w:val="single"/>
              </w:rPr>
              <w:t>Posizioni associate a un rischio particolarmente elevato</w:t>
            </w:r>
          </w:p>
          <w:p w:rsidR="004357B9" w:rsidRPr="00D51A68" w:rsidRDefault="004357B9" w:rsidP="004357B9">
            <w:pPr>
              <w:autoSpaceDE w:val="0"/>
              <w:autoSpaceDN w:val="0"/>
              <w:adjustRightInd w:val="0"/>
              <w:spacing w:before="0"/>
              <w:ind w:left="72"/>
              <w:jc w:val="left"/>
              <w:rPr>
                <w:rStyle w:val="InstructionsTabelleberschrift"/>
                <w:rFonts w:ascii="Times New Roman" w:hAnsi="Times New Roman"/>
                <w:sz w:val="24"/>
              </w:rPr>
            </w:pPr>
            <w:r w:rsidRPr="00D51A68">
              <w:rPr>
                <w:rFonts w:ascii="Times New Roman" w:hAnsi="Times New Roman"/>
                <w:sz w:val="24"/>
              </w:rPr>
              <w:t>Articolo 112, lettera k), del CRR.</w:t>
            </w:r>
          </w:p>
        </w:tc>
      </w:tr>
      <w:tr w:rsidR="004357B9" w:rsidRPr="00D51A68" w:rsidTr="00672D2A">
        <w:tc>
          <w:tcPr>
            <w:tcW w:w="1188" w:type="dxa"/>
            <w:shd w:val="clear" w:color="auto" w:fill="FFFFFF"/>
          </w:tcPr>
          <w:p w:rsidR="004357B9" w:rsidRPr="00D51A68" w:rsidRDefault="004357B9" w:rsidP="004357B9">
            <w:pPr>
              <w:rPr>
                <w:rFonts w:ascii="Times New Roman" w:hAnsi="Times New Roman"/>
                <w:sz w:val="24"/>
              </w:rPr>
            </w:pPr>
            <w:r w:rsidRPr="00D51A68">
              <w:rPr>
                <w:rFonts w:ascii="Times New Roman" w:hAnsi="Times New Roman"/>
                <w:sz w:val="24"/>
              </w:rPr>
              <w:t>120</w:t>
            </w:r>
          </w:p>
        </w:tc>
        <w:tc>
          <w:tcPr>
            <w:tcW w:w="8701" w:type="dxa"/>
            <w:gridSpan w:val="2"/>
            <w:shd w:val="clear" w:color="auto" w:fill="FFFFFF"/>
          </w:tcPr>
          <w:p w:rsidR="004357B9" w:rsidRPr="00D51A68" w:rsidRDefault="004357B9" w:rsidP="004357B9">
            <w:pPr>
              <w:autoSpaceDE w:val="0"/>
              <w:autoSpaceDN w:val="0"/>
              <w:adjustRightInd w:val="0"/>
              <w:spacing w:before="0"/>
              <w:ind w:left="72"/>
              <w:jc w:val="left"/>
              <w:rPr>
                <w:rStyle w:val="InstructionsTabelleberschrift"/>
                <w:rFonts w:ascii="Times New Roman" w:hAnsi="Times New Roman"/>
                <w:sz w:val="24"/>
              </w:rPr>
            </w:pPr>
            <w:r w:rsidRPr="00D51A68">
              <w:rPr>
                <w:rStyle w:val="InstructionsTabelleberschrift"/>
                <w:rFonts w:ascii="Times New Roman" w:hAnsi="Times New Roman"/>
                <w:sz w:val="24"/>
              </w:rPr>
              <w:t>Obbligazioni garantite</w:t>
            </w:r>
          </w:p>
          <w:p w:rsidR="004357B9" w:rsidRPr="00D51A68" w:rsidRDefault="004357B9" w:rsidP="004357B9">
            <w:pPr>
              <w:autoSpaceDE w:val="0"/>
              <w:autoSpaceDN w:val="0"/>
              <w:adjustRightInd w:val="0"/>
              <w:spacing w:before="0"/>
              <w:ind w:left="72"/>
              <w:jc w:val="left"/>
              <w:rPr>
                <w:rStyle w:val="InstructionsTabelleText"/>
                <w:rFonts w:ascii="Times New Roman" w:hAnsi="Times New Roman"/>
                <w:bCs/>
                <w:sz w:val="24"/>
                <w:u w:val="single"/>
              </w:rPr>
            </w:pPr>
            <w:r w:rsidRPr="00D51A68">
              <w:rPr>
                <w:rFonts w:ascii="Times New Roman" w:hAnsi="Times New Roman"/>
                <w:sz w:val="24"/>
                <w:u w:val="single"/>
              </w:rPr>
              <w:t>Articolo 112, lettera l), del CRR.</w:t>
            </w:r>
          </w:p>
        </w:tc>
      </w:tr>
      <w:tr w:rsidR="004357B9" w:rsidRPr="00D51A68" w:rsidTr="00672D2A">
        <w:tc>
          <w:tcPr>
            <w:tcW w:w="1188" w:type="dxa"/>
            <w:shd w:val="clear" w:color="auto" w:fill="FFFFFF"/>
          </w:tcPr>
          <w:p w:rsidR="004357B9" w:rsidRPr="00D51A68" w:rsidRDefault="004357B9" w:rsidP="004357B9">
            <w:pPr>
              <w:rPr>
                <w:rFonts w:ascii="Times New Roman" w:hAnsi="Times New Roman"/>
                <w:sz w:val="24"/>
              </w:rPr>
            </w:pPr>
            <w:r w:rsidRPr="00D51A68">
              <w:rPr>
                <w:rFonts w:ascii="Times New Roman" w:hAnsi="Times New Roman"/>
                <w:sz w:val="24"/>
              </w:rPr>
              <w:t>130</w:t>
            </w:r>
          </w:p>
          <w:p w:rsidR="004357B9" w:rsidRPr="00D51A68" w:rsidRDefault="004357B9" w:rsidP="004357B9">
            <w:pPr>
              <w:rPr>
                <w:rFonts w:ascii="Times New Roman" w:hAnsi="Times New Roman"/>
                <w:sz w:val="24"/>
              </w:rPr>
            </w:pPr>
          </w:p>
        </w:tc>
        <w:tc>
          <w:tcPr>
            <w:tcW w:w="8701" w:type="dxa"/>
            <w:gridSpan w:val="2"/>
            <w:shd w:val="clear" w:color="auto" w:fill="FFFFFF"/>
          </w:tcPr>
          <w:p w:rsidR="004357B9" w:rsidRPr="00D51A68" w:rsidRDefault="004357B9" w:rsidP="004357B9">
            <w:pPr>
              <w:ind w:left="72"/>
              <w:rPr>
                <w:rStyle w:val="InstructionsTabelleberschrift"/>
                <w:rFonts w:ascii="Times New Roman" w:hAnsi="Times New Roman"/>
                <w:bCs w:val="0"/>
                <w:sz w:val="24"/>
              </w:rPr>
            </w:pPr>
            <w:r w:rsidRPr="00D51A68">
              <w:rPr>
                <w:rStyle w:val="InstructionsTabelleberschrift"/>
                <w:rFonts w:ascii="Times New Roman" w:hAnsi="Times New Roman"/>
                <w:sz w:val="24"/>
              </w:rPr>
              <w:t>Crediti verso enti e imprese con una valutazione del merito di credito a breve termine</w:t>
            </w:r>
          </w:p>
          <w:p w:rsidR="004357B9" w:rsidRPr="00D51A68" w:rsidRDefault="004357B9" w:rsidP="004357B9">
            <w:pPr>
              <w:ind w:left="72"/>
              <w:rPr>
                <w:rFonts w:ascii="Times New Roman" w:hAnsi="Times New Roman"/>
                <w:sz w:val="24"/>
              </w:rPr>
            </w:pPr>
            <w:r w:rsidRPr="00D51A68">
              <w:rPr>
                <w:rFonts w:ascii="Times New Roman" w:hAnsi="Times New Roman"/>
                <w:sz w:val="24"/>
              </w:rPr>
              <w:t>Articolo 112, lettera n), del CRR.</w:t>
            </w:r>
          </w:p>
        </w:tc>
      </w:tr>
      <w:tr w:rsidR="004357B9" w:rsidRPr="00D51A68" w:rsidTr="00672D2A">
        <w:tc>
          <w:tcPr>
            <w:tcW w:w="1188" w:type="dxa"/>
            <w:shd w:val="clear" w:color="auto" w:fill="FFFFFF"/>
          </w:tcPr>
          <w:p w:rsidR="004357B9" w:rsidRPr="00D51A68" w:rsidRDefault="004357B9" w:rsidP="004357B9">
            <w:pPr>
              <w:rPr>
                <w:rFonts w:ascii="Times New Roman" w:hAnsi="Times New Roman"/>
                <w:sz w:val="24"/>
              </w:rPr>
            </w:pPr>
            <w:r w:rsidRPr="00D51A68">
              <w:rPr>
                <w:rFonts w:ascii="Times New Roman" w:hAnsi="Times New Roman"/>
                <w:sz w:val="24"/>
              </w:rPr>
              <w:t>140</w:t>
            </w:r>
          </w:p>
        </w:tc>
        <w:tc>
          <w:tcPr>
            <w:tcW w:w="8701" w:type="dxa"/>
            <w:gridSpan w:val="2"/>
            <w:shd w:val="clear" w:color="auto" w:fill="FFFFFF"/>
          </w:tcPr>
          <w:p w:rsidR="00D82B60" w:rsidRPr="00D51A68" w:rsidRDefault="00A402A8" w:rsidP="004357B9">
            <w:pPr>
              <w:ind w:left="72"/>
              <w:rPr>
                <w:rStyle w:val="InstructionsTabelleberschrift"/>
                <w:rFonts w:ascii="Times New Roman" w:hAnsi="Times New Roman"/>
                <w:sz w:val="24"/>
              </w:rPr>
            </w:pPr>
            <w:r w:rsidRPr="00D51A68">
              <w:rPr>
                <w:rStyle w:val="InstructionsTabelleberschrift"/>
                <w:rFonts w:ascii="Times New Roman" w:hAnsi="Times New Roman"/>
                <w:sz w:val="24"/>
              </w:rPr>
              <w:t>Organismi di investimento collettivo (OIC)</w:t>
            </w:r>
          </w:p>
          <w:p w:rsidR="004357B9" w:rsidRPr="00D51A68" w:rsidRDefault="004357B9" w:rsidP="004357B9">
            <w:pPr>
              <w:ind w:left="72"/>
              <w:rPr>
                <w:rStyle w:val="InstructionsTabelleberschrift"/>
                <w:rFonts w:ascii="Times New Roman" w:hAnsi="Times New Roman"/>
                <w:b w:val="0"/>
                <w:bCs w:val="0"/>
                <w:sz w:val="24"/>
                <w:u w:val="none"/>
              </w:rPr>
            </w:pPr>
            <w:r w:rsidRPr="00D51A68">
              <w:rPr>
                <w:rFonts w:ascii="Times New Roman" w:hAnsi="Times New Roman"/>
                <w:sz w:val="24"/>
              </w:rPr>
              <w:t>Articolo 112, lettera o), del CRR.</w:t>
            </w:r>
          </w:p>
        </w:tc>
      </w:tr>
      <w:tr w:rsidR="004357B9" w:rsidRPr="00D51A68" w:rsidTr="00672D2A">
        <w:tc>
          <w:tcPr>
            <w:tcW w:w="1188" w:type="dxa"/>
            <w:shd w:val="clear" w:color="auto" w:fill="FFFFFF"/>
          </w:tcPr>
          <w:p w:rsidR="004357B9" w:rsidRPr="00D51A68" w:rsidRDefault="004357B9" w:rsidP="004357B9">
            <w:pPr>
              <w:rPr>
                <w:rFonts w:ascii="Times New Roman" w:hAnsi="Times New Roman"/>
                <w:sz w:val="24"/>
              </w:rPr>
            </w:pPr>
            <w:r w:rsidRPr="00D51A68">
              <w:rPr>
                <w:rFonts w:ascii="Times New Roman" w:hAnsi="Times New Roman"/>
                <w:sz w:val="24"/>
              </w:rPr>
              <w:t>150</w:t>
            </w:r>
          </w:p>
        </w:tc>
        <w:tc>
          <w:tcPr>
            <w:tcW w:w="8701" w:type="dxa"/>
            <w:gridSpan w:val="2"/>
            <w:shd w:val="clear" w:color="auto" w:fill="FFFFFF"/>
          </w:tcPr>
          <w:p w:rsidR="004357B9" w:rsidRPr="00D51A68" w:rsidRDefault="004357B9" w:rsidP="004357B9">
            <w:pPr>
              <w:ind w:left="72"/>
              <w:rPr>
                <w:rStyle w:val="InstructionsTabelleberschrift"/>
                <w:rFonts w:ascii="Times New Roman" w:hAnsi="Times New Roman"/>
                <w:sz w:val="24"/>
              </w:rPr>
            </w:pPr>
            <w:r w:rsidRPr="00D51A68">
              <w:rPr>
                <w:rStyle w:val="InstructionsTabelleberschrift"/>
                <w:rFonts w:ascii="Times New Roman" w:hAnsi="Times New Roman"/>
                <w:sz w:val="24"/>
              </w:rPr>
              <w:t>Esposizioni in strumenti di capitale</w:t>
            </w:r>
          </w:p>
          <w:p w:rsidR="004357B9" w:rsidRPr="00D51A68" w:rsidRDefault="004357B9" w:rsidP="004357B9">
            <w:pPr>
              <w:ind w:left="72"/>
              <w:rPr>
                <w:rStyle w:val="InstructionsTabelleberschrift"/>
                <w:rFonts w:ascii="Times New Roman" w:hAnsi="Times New Roman"/>
                <w:sz w:val="24"/>
              </w:rPr>
            </w:pPr>
            <w:r w:rsidRPr="00D51A68">
              <w:rPr>
                <w:rFonts w:ascii="Times New Roman" w:hAnsi="Times New Roman"/>
                <w:sz w:val="24"/>
              </w:rPr>
              <w:t>Articolo 112, lettera p), del CRR.</w:t>
            </w:r>
          </w:p>
        </w:tc>
      </w:tr>
      <w:tr w:rsidR="004357B9" w:rsidRPr="00D51A68" w:rsidTr="00672D2A">
        <w:tc>
          <w:tcPr>
            <w:tcW w:w="1188" w:type="dxa"/>
            <w:shd w:val="clear" w:color="auto" w:fill="FFFFFF"/>
          </w:tcPr>
          <w:p w:rsidR="004357B9" w:rsidRPr="00D51A68" w:rsidRDefault="004357B9" w:rsidP="004357B9">
            <w:pPr>
              <w:rPr>
                <w:rFonts w:ascii="Times New Roman" w:hAnsi="Times New Roman"/>
                <w:sz w:val="24"/>
              </w:rPr>
            </w:pPr>
            <w:r w:rsidRPr="00D51A68">
              <w:rPr>
                <w:rFonts w:ascii="Times New Roman" w:hAnsi="Times New Roman"/>
                <w:sz w:val="24"/>
              </w:rPr>
              <w:t>160</w:t>
            </w:r>
          </w:p>
        </w:tc>
        <w:tc>
          <w:tcPr>
            <w:tcW w:w="8701" w:type="dxa"/>
            <w:gridSpan w:val="2"/>
            <w:shd w:val="clear" w:color="auto" w:fill="FFFFFF"/>
          </w:tcPr>
          <w:p w:rsidR="004357B9" w:rsidRPr="00D51A68" w:rsidRDefault="004357B9" w:rsidP="004357B9">
            <w:pPr>
              <w:ind w:left="72"/>
              <w:rPr>
                <w:rStyle w:val="InstructionsTabelleberschrift"/>
                <w:rFonts w:ascii="Times New Roman" w:hAnsi="Times New Roman"/>
                <w:sz w:val="24"/>
              </w:rPr>
            </w:pPr>
            <w:r w:rsidRPr="00D51A68">
              <w:rPr>
                <w:rStyle w:val="InstructionsTabelleberschrift"/>
                <w:rFonts w:ascii="Times New Roman" w:hAnsi="Times New Roman"/>
                <w:sz w:val="24"/>
              </w:rPr>
              <w:t>Altre esposizioni</w:t>
            </w:r>
          </w:p>
          <w:p w:rsidR="004357B9" w:rsidRPr="00D51A68" w:rsidRDefault="004357B9" w:rsidP="004357B9">
            <w:pPr>
              <w:ind w:left="72"/>
              <w:rPr>
                <w:rStyle w:val="InstructionsTabelleberschrift"/>
                <w:rFonts w:ascii="Times New Roman" w:hAnsi="Times New Roman"/>
                <w:sz w:val="24"/>
              </w:rPr>
            </w:pPr>
            <w:r w:rsidRPr="00D51A68">
              <w:rPr>
                <w:rFonts w:ascii="Times New Roman" w:hAnsi="Times New Roman"/>
                <w:sz w:val="24"/>
              </w:rPr>
              <w:t>Articolo 112, lettera q), del CRR.</w:t>
            </w:r>
          </w:p>
        </w:tc>
      </w:tr>
      <w:tr w:rsidR="007A49AC" w:rsidRPr="00D51A68" w:rsidTr="00672D2A">
        <w:tc>
          <w:tcPr>
            <w:tcW w:w="1188" w:type="dxa"/>
            <w:shd w:val="clear" w:color="auto" w:fill="FFFFFF"/>
          </w:tcPr>
          <w:p w:rsidR="007A49AC" w:rsidRPr="00D51A68" w:rsidRDefault="007A49AC" w:rsidP="004357B9">
            <w:pPr>
              <w:rPr>
                <w:rFonts w:ascii="Times New Roman" w:hAnsi="Times New Roman"/>
                <w:sz w:val="24"/>
              </w:rPr>
            </w:pPr>
            <w:r w:rsidRPr="00D51A68">
              <w:rPr>
                <w:rFonts w:ascii="Times New Roman" w:hAnsi="Times New Roman"/>
                <w:sz w:val="24"/>
              </w:rPr>
              <w:t>170</w:t>
            </w:r>
          </w:p>
        </w:tc>
        <w:tc>
          <w:tcPr>
            <w:tcW w:w="8701" w:type="dxa"/>
            <w:gridSpan w:val="2"/>
            <w:shd w:val="clear" w:color="auto" w:fill="FFFFFF"/>
          </w:tcPr>
          <w:p w:rsidR="007A49AC" w:rsidRPr="00D51A68" w:rsidRDefault="007A49AC" w:rsidP="004357B9">
            <w:pPr>
              <w:ind w:left="72"/>
              <w:rPr>
                <w:rStyle w:val="InstructionsTabelleberschrift"/>
                <w:rFonts w:ascii="Times New Roman" w:hAnsi="Times New Roman"/>
                <w:sz w:val="24"/>
              </w:rPr>
            </w:pPr>
            <w:r w:rsidRPr="00D51A68">
              <w:rPr>
                <w:rStyle w:val="InstructionsTabelleberschrift"/>
                <w:rFonts w:ascii="Times New Roman" w:hAnsi="Times New Roman"/>
                <w:sz w:val="24"/>
              </w:rPr>
              <w:t>Esposizioni totali</w:t>
            </w:r>
          </w:p>
        </w:tc>
      </w:tr>
    </w:tbl>
    <w:p w:rsidR="004357B9" w:rsidRPr="00D51A68" w:rsidRDefault="004357B9" w:rsidP="004357B9">
      <w:pPr>
        <w:spacing w:before="0" w:after="200" w:line="312" w:lineRule="auto"/>
        <w:jc w:val="left"/>
        <w:rPr>
          <w:rFonts w:ascii="Times New Roman" w:hAnsi="Times New Roman"/>
          <w:sz w:val="24"/>
        </w:rPr>
      </w:pPr>
      <w:bookmarkStart w:id="384" w:name="_Toc292456210"/>
    </w:p>
    <w:p w:rsidR="004357B9" w:rsidRPr="00D51A68" w:rsidRDefault="00125707" w:rsidP="0023700C">
      <w:pPr>
        <w:pStyle w:val="Instructionsberschrift2"/>
        <w:numPr>
          <w:ilvl w:val="0"/>
          <w:numId w:val="0"/>
        </w:numPr>
        <w:ind w:left="357" w:hanging="357"/>
        <w:rPr>
          <w:rFonts w:ascii="Times New Roman" w:hAnsi="Times New Roman" w:cs="Times New Roman"/>
          <w:sz w:val="24"/>
        </w:rPr>
      </w:pPr>
      <w:bookmarkStart w:id="385" w:name="_Toc360188364"/>
      <w:bookmarkStart w:id="386" w:name="_Toc516210650"/>
      <w:bookmarkStart w:id="387" w:name="_Toc473560915"/>
      <w:bookmarkStart w:id="388" w:name="_Toc524096595"/>
      <w:r w:rsidRPr="00D51A68">
        <w:rPr>
          <w:rFonts w:ascii="Times New Roman" w:hAnsi="Times New Roman"/>
          <w:sz w:val="24"/>
          <w:u w:val="none"/>
        </w:rPr>
        <w:t>3.4.2.</w:t>
      </w:r>
      <w:r w:rsidR="00A0772B" w:rsidRPr="00D51A68">
        <w:rPr>
          <w:u w:val="none"/>
        </w:rPr>
        <w:tab/>
      </w:r>
      <w:r w:rsidRPr="00D51A68">
        <w:rPr>
          <w:rFonts w:ascii="Times New Roman" w:hAnsi="Times New Roman"/>
          <w:sz w:val="24"/>
        </w:rPr>
        <w:t>C 09.02 — Ripartizione geografica delle esposizioni per residenza del debitore: esposizioni in base al metodo IRB</w:t>
      </w:r>
      <w:bookmarkEnd w:id="385"/>
      <w:r w:rsidRPr="00D51A68">
        <w:rPr>
          <w:rFonts w:ascii="Times New Roman" w:hAnsi="Times New Roman"/>
          <w:sz w:val="24"/>
        </w:rPr>
        <w:t xml:space="preserve"> (CR GB 2)</w:t>
      </w:r>
      <w:bookmarkEnd w:id="386"/>
      <w:bookmarkEnd w:id="387"/>
      <w:bookmarkEnd w:id="388"/>
    </w:p>
    <w:p w:rsidR="004357B9" w:rsidRPr="00D51A68" w:rsidRDefault="00125707" w:rsidP="0023700C">
      <w:pPr>
        <w:pStyle w:val="Instructionsberschrift2"/>
        <w:numPr>
          <w:ilvl w:val="0"/>
          <w:numId w:val="0"/>
        </w:numPr>
        <w:ind w:left="357" w:hanging="357"/>
        <w:rPr>
          <w:rFonts w:ascii="Times New Roman" w:hAnsi="Times New Roman" w:cs="Times New Roman"/>
          <w:sz w:val="24"/>
        </w:rPr>
      </w:pPr>
      <w:bookmarkStart w:id="389" w:name="_Toc360188365"/>
      <w:bookmarkStart w:id="390" w:name="_Toc516210651"/>
      <w:bookmarkStart w:id="391" w:name="_Toc473560916"/>
      <w:bookmarkStart w:id="392" w:name="_Toc524096596"/>
      <w:r w:rsidRPr="00D51A68">
        <w:rPr>
          <w:rFonts w:ascii="Times New Roman" w:hAnsi="Times New Roman"/>
          <w:sz w:val="24"/>
          <w:u w:val="none"/>
        </w:rPr>
        <w:t>3.4.2.1.</w:t>
      </w:r>
      <w:r w:rsidR="00A0772B" w:rsidRPr="00D51A68">
        <w:rPr>
          <w:u w:val="none"/>
        </w:rPr>
        <w:tab/>
      </w:r>
      <w:r w:rsidRPr="00D51A68">
        <w:rPr>
          <w:rFonts w:ascii="Times New Roman" w:hAnsi="Times New Roman"/>
          <w:sz w:val="24"/>
        </w:rPr>
        <w:t>Istruzioni relative a posizioni specifiche</w:t>
      </w:r>
      <w:bookmarkEnd w:id="389"/>
      <w:bookmarkEnd w:id="390"/>
      <w:bookmarkEnd w:id="391"/>
      <w:bookmarkEnd w:id="39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D51A68" w:rsidTr="00672D2A">
        <w:tc>
          <w:tcPr>
            <w:tcW w:w="1188" w:type="dxa"/>
            <w:shd w:val="clear" w:color="auto" w:fill="CCCCCC"/>
          </w:tcPr>
          <w:p w:rsidR="004357B9" w:rsidRPr="00D51A68" w:rsidRDefault="004357B9" w:rsidP="004357B9">
            <w:pPr>
              <w:rPr>
                <w:rFonts w:ascii="Times New Roman" w:hAnsi="Times New Roman"/>
                <w:b/>
                <w:sz w:val="24"/>
              </w:rPr>
            </w:pPr>
            <w:r w:rsidRPr="00D51A68">
              <w:rPr>
                <w:rFonts w:ascii="Times New Roman" w:hAnsi="Times New Roman"/>
                <w:b/>
                <w:sz w:val="24"/>
              </w:rPr>
              <w:t>Colonne</w:t>
            </w:r>
          </w:p>
        </w:tc>
        <w:tc>
          <w:tcPr>
            <w:tcW w:w="8640" w:type="dxa"/>
            <w:shd w:val="clear" w:color="auto" w:fill="CCCCCC"/>
          </w:tcPr>
          <w:p w:rsidR="004357B9" w:rsidRPr="00D51A68" w:rsidRDefault="004357B9" w:rsidP="004357B9">
            <w:pPr>
              <w:ind w:left="72"/>
              <w:rPr>
                <w:rFonts w:ascii="Times New Roman" w:hAnsi="Times New Roman"/>
                <w:sz w:val="24"/>
              </w:rPr>
            </w:pPr>
          </w:p>
        </w:tc>
      </w:tr>
      <w:tr w:rsidR="004357B9" w:rsidRPr="00D51A68" w:rsidTr="00672D2A">
        <w:tc>
          <w:tcPr>
            <w:tcW w:w="1188" w:type="dxa"/>
          </w:tcPr>
          <w:p w:rsidR="004357B9" w:rsidRPr="00D51A68" w:rsidRDefault="004357B9" w:rsidP="004357B9">
            <w:pPr>
              <w:rPr>
                <w:rStyle w:val="InstructionsTabelleText"/>
                <w:rFonts w:ascii="Times New Roman" w:hAnsi="Times New Roman"/>
                <w:sz w:val="24"/>
              </w:rPr>
            </w:pPr>
            <w:r w:rsidRPr="00D51A68">
              <w:rPr>
                <w:rStyle w:val="InstructionsTabelleText"/>
                <w:rFonts w:ascii="Times New Roman" w:hAnsi="Times New Roman"/>
                <w:sz w:val="24"/>
              </w:rPr>
              <w:t>010</w:t>
            </w:r>
          </w:p>
        </w:tc>
        <w:tc>
          <w:tcPr>
            <w:tcW w:w="8640" w:type="dxa"/>
          </w:tcPr>
          <w:p w:rsidR="004357B9" w:rsidRPr="00D51A68" w:rsidRDefault="004357B9" w:rsidP="004357B9">
            <w:pPr>
              <w:rPr>
                <w:rStyle w:val="InstructionsTabelleberschrift"/>
                <w:rFonts w:ascii="Times New Roman" w:hAnsi="Times New Roman"/>
                <w:sz w:val="24"/>
              </w:rPr>
            </w:pPr>
            <w:r w:rsidRPr="00D51A68">
              <w:rPr>
                <w:rStyle w:val="InstructionsTabelleberschrift"/>
                <w:rFonts w:ascii="Times New Roman" w:hAnsi="Times New Roman"/>
                <w:sz w:val="24"/>
              </w:rPr>
              <w:t>ESPOSIZIONE ORIGINARIA PRIMA DELL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APPLICAZIONE DEI FATTORI DI CONVERSIONE</w:t>
            </w:r>
          </w:p>
          <w:p w:rsidR="004357B9" w:rsidRPr="00D51A68" w:rsidRDefault="004357B9" w:rsidP="004357B9">
            <w:pPr>
              <w:autoSpaceDE w:val="0"/>
              <w:autoSpaceDN w:val="0"/>
              <w:adjustRightInd w:val="0"/>
              <w:spacing w:before="0" w:after="0"/>
              <w:jc w:val="left"/>
              <w:rPr>
                <w:rStyle w:val="InstructionsTabelleText"/>
                <w:rFonts w:ascii="Times New Roman" w:hAnsi="Times New Roman"/>
                <w:sz w:val="24"/>
              </w:rPr>
            </w:pPr>
            <w:r w:rsidRPr="00D51A68">
              <w:rPr>
                <w:rFonts w:ascii="Times New Roman" w:hAnsi="Times New Roman"/>
                <w:sz w:val="24"/>
              </w:rPr>
              <w:t>Stessa definizione di cui alla colonna 020 del modello CR IRB.</w:t>
            </w:r>
          </w:p>
        </w:tc>
      </w:tr>
      <w:tr w:rsidR="004357B9" w:rsidRPr="00D51A68" w:rsidTr="00672D2A">
        <w:tc>
          <w:tcPr>
            <w:tcW w:w="1188" w:type="dxa"/>
          </w:tcPr>
          <w:p w:rsidR="004357B9" w:rsidRPr="00D51A68" w:rsidRDefault="004357B9" w:rsidP="004357B9">
            <w:pPr>
              <w:rPr>
                <w:rFonts w:ascii="Times New Roman" w:hAnsi="Times New Roman"/>
                <w:sz w:val="24"/>
              </w:rPr>
            </w:pPr>
            <w:r w:rsidRPr="00D51A68">
              <w:rPr>
                <w:rFonts w:ascii="Times New Roman" w:hAnsi="Times New Roman"/>
                <w:sz w:val="24"/>
              </w:rPr>
              <w:t>030</w:t>
            </w:r>
          </w:p>
        </w:tc>
        <w:tc>
          <w:tcPr>
            <w:tcW w:w="8640" w:type="dxa"/>
          </w:tcPr>
          <w:p w:rsidR="004357B9" w:rsidRPr="00D51A68" w:rsidRDefault="004357B9" w:rsidP="004357B9">
            <w:pPr>
              <w:rPr>
                <w:rFonts w:ascii="Times New Roman" w:hAnsi="Times New Roman"/>
                <w:b/>
                <w:sz w:val="24"/>
                <w:u w:val="single"/>
              </w:rPr>
            </w:pPr>
            <w:r w:rsidRPr="00D51A68">
              <w:rPr>
                <w:rFonts w:ascii="Times New Roman" w:hAnsi="Times New Roman"/>
                <w:b/>
                <w:sz w:val="24"/>
                <w:u w:val="single"/>
              </w:rPr>
              <w:t>in stato di default</w:t>
            </w:r>
          </w:p>
          <w:p w:rsidR="004357B9" w:rsidRPr="00D51A68" w:rsidRDefault="004357B9" w:rsidP="004357B9">
            <w:pPr>
              <w:rPr>
                <w:rStyle w:val="InstructionsTabelleText"/>
                <w:rFonts w:ascii="Times New Roman" w:hAnsi="Times New Roman"/>
                <w:sz w:val="24"/>
              </w:rPr>
            </w:pPr>
            <w:r w:rsidRPr="00D51A68">
              <w:rPr>
                <w:rStyle w:val="InstructionsTabelleText"/>
                <w:rFonts w:ascii="Times New Roman" w:hAnsi="Times New Roman"/>
                <w:sz w:val="24"/>
              </w:rPr>
              <w:t>Valore dell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 xml:space="preserve">esposizione originaria per le esposizioni classificate come </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esposizioni in stato di default</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 xml:space="preserve"> conformemente all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articolo 178 del CRR.</w:t>
            </w:r>
          </w:p>
        </w:tc>
      </w:tr>
      <w:tr w:rsidR="004357B9" w:rsidRPr="00D51A68" w:rsidTr="00672D2A">
        <w:tc>
          <w:tcPr>
            <w:tcW w:w="1188" w:type="dxa"/>
          </w:tcPr>
          <w:p w:rsidR="004357B9" w:rsidRPr="00D51A68" w:rsidRDefault="004357B9" w:rsidP="004357B9">
            <w:pPr>
              <w:rPr>
                <w:rFonts w:ascii="Times New Roman" w:hAnsi="Times New Roman"/>
                <w:sz w:val="24"/>
              </w:rPr>
            </w:pPr>
            <w:r w:rsidRPr="00D51A68">
              <w:rPr>
                <w:rFonts w:ascii="Times New Roman" w:hAnsi="Times New Roman"/>
                <w:sz w:val="24"/>
              </w:rPr>
              <w:t>040</w:t>
            </w:r>
          </w:p>
        </w:tc>
        <w:tc>
          <w:tcPr>
            <w:tcW w:w="8640" w:type="dxa"/>
          </w:tcPr>
          <w:p w:rsidR="004357B9" w:rsidRPr="00D51A68" w:rsidRDefault="004357B9" w:rsidP="004357B9">
            <w:pPr>
              <w:rPr>
                <w:rFonts w:ascii="Times New Roman" w:hAnsi="Times New Roman"/>
                <w:b/>
                <w:sz w:val="24"/>
                <w:u w:val="single"/>
              </w:rPr>
            </w:pPr>
            <w:r w:rsidRPr="00D51A68">
              <w:rPr>
                <w:rFonts w:ascii="Times New Roman" w:hAnsi="Times New Roman"/>
                <w:b/>
                <w:sz w:val="24"/>
                <w:u w:val="single"/>
              </w:rPr>
              <w:t>Nuovi default osservati per il periodo</w:t>
            </w:r>
          </w:p>
          <w:p w:rsidR="004357B9" w:rsidRPr="00D51A68" w:rsidRDefault="00DF70AE" w:rsidP="00DF70AE">
            <w:pPr>
              <w:rPr>
                <w:rFonts w:ascii="Times New Roman" w:hAnsi="Times New Roman"/>
                <w:b/>
                <w:sz w:val="24"/>
                <w:u w:val="single"/>
              </w:rPr>
            </w:pPr>
            <w:r w:rsidRPr="00D51A68">
              <w:rPr>
                <w:rStyle w:val="InstructionsTabelleText"/>
                <w:rFonts w:ascii="Times New Roman" w:hAnsi="Times New Roman"/>
                <w:sz w:val="24"/>
              </w:rPr>
              <w:t>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 xml:space="preserve">importo delle esposizioni originarie trasferite nella classe </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esposizioni in stato di default</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 xml:space="preserve"> nel corso del trimestre successivo all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 xml:space="preserve">ultima data di riferimento per le </w:t>
            </w:r>
            <w:r w:rsidRPr="00D51A68">
              <w:rPr>
                <w:rStyle w:val="InstructionsTabelleText"/>
                <w:rFonts w:ascii="Times New Roman" w:hAnsi="Times New Roman"/>
                <w:sz w:val="24"/>
              </w:rPr>
              <w:lastRenderedPageBreak/>
              <w:t>segnalazioni è segnalato nella classe di esposizioni alla quale il debitore apparteneva originariamente.</w:t>
            </w:r>
          </w:p>
        </w:tc>
      </w:tr>
      <w:tr w:rsidR="004357B9" w:rsidRPr="00D51A68" w:rsidTr="00672D2A">
        <w:tc>
          <w:tcPr>
            <w:tcW w:w="1188" w:type="dxa"/>
          </w:tcPr>
          <w:p w:rsidR="004357B9" w:rsidRPr="00D51A68" w:rsidRDefault="004357B9" w:rsidP="004357B9">
            <w:pPr>
              <w:rPr>
                <w:rFonts w:ascii="Times New Roman" w:hAnsi="Times New Roman"/>
                <w:sz w:val="24"/>
              </w:rPr>
            </w:pPr>
            <w:r w:rsidRPr="00D51A68">
              <w:rPr>
                <w:rFonts w:ascii="Times New Roman" w:hAnsi="Times New Roman"/>
                <w:sz w:val="24"/>
              </w:rPr>
              <w:lastRenderedPageBreak/>
              <w:t>050</w:t>
            </w:r>
          </w:p>
        </w:tc>
        <w:tc>
          <w:tcPr>
            <w:tcW w:w="8640" w:type="dxa"/>
          </w:tcPr>
          <w:p w:rsidR="004357B9" w:rsidRPr="00D51A68" w:rsidRDefault="004357B9" w:rsidP="004357B9">
            <w:pPr>
              <w:rPr>
                <w:rFonts w:ascii="Times New Roman" w:hAnsi="Times New Roman"/>
                <w:b/>
                <w:sz w:val="24"/>
                <w:u w:val="single"/>
              </w:rPr>
            </w:pPr>
            <w:r w:rsidRPr="00D51A68">
              <w:rPr>
                <w:rFonts w:ascii="Times New Roman" w:hAnsi="Times New Roman"/>
                <w:b/>
                <w:sz w:val="24"/>
                <w:u w:val="single"/>
              </w:rPr>
              <w:t>Rettifiche di valore su crediti generiche</w:t>
            </w:r>
          </w:p>
          <w:p w:rsidR="004357B9" w:rsidRPr="00D51A68" w:rsidRDefault="004357B9" w:rsidP="00D82B60">
            <w:pPr>
              <w:rPr>
                <w:rFonts w:ascii="Times New Roman" w:hAnsi="Times New Roman"/>
                <w:b/>
                <w:sz w:val="24"/>
                <w:u w:val="single"/>
              </w:rPr>
            </w:pPr>
            <w:r w:rsidRPr="00D51A68">
              <w:rPr>
                <w:rFonts w:ascii="Times New Roman" w:hAnsi="Times New Roman"/>
                <w:sz w:val="24"/>
              </w:rPr>
              <w:t>Rettifiche di valore su crediti conformemente all</w:t>
            </w:r>
            <w:r w:rsidR="0009277C" w:rsidRPr="00D51A68">
              <w:rPr>
                <w:rFonts w:ascii="Times New Roman" w:hAnsi="Times New Roman"/>
                <w:sz w:val="24"/>
              </w:rPr>
              <w:t>’</w:t>
            </w:r>
            <w:r w:rsidRPr="00D51A68">
              <w:rPr>
                <w:rFonts w:ascii="Times New Roman" w:hAnsi="Times New Roman"/>
                <w:sz w:val="24"/>
              </w:rPr>
              <w:t xml:space="preserve">articolo 110 del CRR. </w:t>
            </w:r>
          </w:p>
        </w:tc>
      </w:tr>
      <w:tr w:rsidR="004357B9" w:rsidRPr="00D51A68" w:rsidTr="00672D2A">
        <w:tc>
          <w:tcPr>
            <w:tcW w:w="1188" w:type="dxa"/>
          </w:tcPr>
          <w:p w:rsidR="004357B9" w:rsidRPr="00D51A68" w:rsidRDefault="004357B9" w:rsidP="004357B9">
            <w:pPr>
              <w:rPr>
                <w:rFonts w:ascii="Times New Roman" w:hAnsi="Times New Roman"/>
                <w:sz w:val="24"/>
              </w:rPr>
            </w:pPr>
            <w:r w:rsidRPr="00D51A68">
              <w:rPr>
                <w:rFonts w:ascii="Times New Roman" w:hAnsi="Times New Roman"/>
                <w:sz w:val="24"/>
              </w:rPr>
              <w:t>055</w:t>
            </w:r>
          </w:p>
        </w:tc>
        <w:tc>
          <w:tcPr>
            <w:tcW w:w="8640" w:type="dxa"/>
          </w:tcPr>
          <w:p w:rsidR="004357B9" w:rsidRPr="00D51A68" w:rsidRDefault="004357B9" w:rsidP="004357B9">
            <w:pPr>
              <w:rPr>
                <w:rFonts w:ascii="Times New Roman" w:hAnsi="Times New Roman"/>
                <w:b/>
                <w:sz w:val="24"/>
                <w:u w:val="single"/>
              </w:rPr>
            </w:pPr>
            <w:r w:rsidRPr="00D51A68">
              <w:rPr>
                <w:rFonts w:ascii="Times New Roman" w:hAnsi="Times New Roman"/>
                <w:b/>
                <w:sz w:val="24"/>
                <w:u w:val="single"/>
              </w:rPr>
              <w:t>Rettifiche di valore su crediti specifiche</w:t>
            </w:r>
          </w:p>
          <w:p w:rsidR="004357B9" w:rsidRPr="00D51A68" w:rsidRDefault="004357B9" w:rsidP="004357B9">
            <w:pPr>
              <w:rPr>
                <w:rFonts w:ascii="Times New Roman" w:hAnsi="Times New Roman"/>
                <w:b/>
                <w:sz w:val="24"/>
                <w:u w:val="single"/>
              </w:rPr>
            </w:pPr>
            <w:r w:rsidRPr="00D51A68">
              <w:rPr>
                <w:rFonts w:ascii="Times New Roman" w:hAnsi="Times New Roman"/>
                <w:sz w:val="24"/>
              </w:rPr>
              <w:t>Rettifiche di valore su crediti conformemente all</w:t>
            </w:r>
            <w:r w:rsidR="0009277C" w:rsidRPr="00D51A68">
              <w:rPr>
                <w:rFonts w:ascii="Times New Roman" w:hAnsi="Times New Roman"/>
                <w:sz w:val="24"/>
              </w:rPr>
              <w:t>’</w:t>
            </w:r>
            <w:r w:rsidRPr="00D51A68">
              <w:rPr>
                <w:rFonts w:ascii="Times New Roman" w:hAnsi="Times New Roman"/>
                <w:sz w:val="24"/>
              </w:rPr>
              <w:t>articolo 110 del CRR.</w:t>
            </w:r>
          </w:p>
        </w:tc>
      </w:tr>
      <w:tr w:rsidR="004357B9" w:rsidRPr="00D51A68" w:rsidTr="00672D2A">
        <w:tc>
          <w:tcPr>
            <w:tcW w:w="1188" w:type="dxa"/>
          </w:tcPr>
          <w:p w:rsidR="004357B9" w:rsidRPr="00D51A68" w:rsidRDefault="004357B9" w:rsidP="004357B9">
            <w:pPr>
              <w:rPr>
                <w:rFonts w:ascii="Times New Roman" w:hAnsi="Times New Roman"/>
                <w:sz w:val="24"/>
              </w:rPr>
            </w:pPr>
            <w:r w:rsidRPr="00D51A68">
              <w:rPr>
                <w:rFonts w:ascii="Times New Roman" w:hAnsi="Times New Roman"/>
                <w:sz w:val="24"/>
              </w:rPr>
              <w:t>060</w:t>
            </w:r>
          </w:p>
        </w:tc>
        <w:tc>
          <w:tcPr>
            <w:tcW w:w="8640" w:type="dxa"/>
          </w:tcPr>
          <w:p w:rsidR="004357B9" w:rsidRPr="00D51A68" w:rsidRDefault="004357B9" w:rsidP="004357B9">
            <w:pPr>
              <w:rPr>
                <w:rFonts w:ascii="Times New Roman" w:hAnsi="Times New Roman"/>
                <w:b/>
                <w:sz w:val="24"/>
                <w:u w:val="single"/>
              </w:rPr>
            </w:pPr>
            <w:r w:rsidRPr="00D51A68">
              <w:rPr>
                <w:rFonts w:ascii="Times New Roman" w:hAnsi="Times New Roman"/>
                <w:b/>
                <w:sz w:val="24"/>
                <w:u w:val="single"/>
              </w:rPr>
              <w:t>Cancellazioni</w:t>
            </w:r>
          </w:p>
          <w:p w:rsidR="004357B9" w:rsidRPr="00D51A68" w:rsidRDefault="004357B9" w:rsidP="004357B9">
            <w:pPr>
              <w:rPr>
                <w:rFonts w:ascii="Times New Roman" w:hAnsi="Times New Roman"/>
                <w:b/>
                <w:sz w:val="24"/>
                <w:u w:val="single"/>
              </w:rPr>
            </w:pPr>
            <w:r w:rsidRPr="00D51A68">
              <w:rPr>
                <w:rStyle w:val="InstructionsTabelleText"/>
                <w:rFonts w:ascii="Times New Roman" w:hAnsi="Times New Roman"/>
                <w:sz w:val="24"/>
              </w:rPr>
              <w:t>Le cancellazioni comprendono sia le riduzioni del valore riportato delle attività finanziarie deteriorate rilevate direttamente nel conto economico [IFRS 7.B5.(d).(i)] sia le riduzioni degli importi degli accantonamenti a fronte delle attività finanziarie deteriorate [IFRS 7.B5.(d).(ii)].</w:t>
            </w:r>
          </w:p>
        </w:tc>
      </w:tr>
      <w:tr w:rsidR="004357B9" w:rsidRPr="00D51A68" w:rsidTr="00672D2A">
        <w:tc>
          <w:tcPr>
            <w:tcW w:w="1188" w:type="dxa"/>
          </w:tcPr>
          <w:p w:rsidR="004357B9" w:rsidRPr="00D51A68" w:rsidRDefault="004357B9" w:rsidP="004357B9">
            <w:pPr>
              <w:rPr>
                <w:rFonts w:ascii="Times New Roman" w:hAnsi="Times New Roman"/>
                <w:sz w:val="24"/>
              </w:rPr>
            </w:pPr>
            <w:r w:rsidRPr="00D51A68">
              <w:rPr>
                <w:rFonts w:ascii="Times New Roman" w:hAnsi="Times New Roman"/>
                <w:sz w:val="24"/>
              </w:rPr>
              <w:t>070</w:t>
            </w:r>
          </w:p>
        </w:tc>
        <w:tc>
          <w:tcPr>
            <w:tcW w:w="8640" w:type="dxa"/>
          </w:tcPr>
          <w:p w:rsidR="004357B9" w:rsidRPr="00D51A68" w:rsidRDefault="004357B9" w:rsidP="004357B9">
            <w:pPr>
              <w:rPr>
                <w:rFonts w:ascii="Times New Roman" w:hAnsi="Times New Roman"/>
                <w:b/>
                <w:sz w:val="24"/>
                <w:u w:val="single"/>
              </w:rPr>
            </w:pPr>
            <w:r w:rsidRPr="00D51A68">
              <w:rPr>
                <w:rFonts w:ascii="Times New Roman" w:hAnsi="Times New Roman"/>
                <w:b/>
                <w:sz w:val="24"/>
                <w:u w:val="single"/>
              </w:rPr>
              <w:t>Rettifiche di valore su crediti/cancellazioni per nuovi default osservati</w:t>
            </w:r>
          </w:p>
          <w:p w:rsidR="004357B9" w:rsidRPr="00D51A68" w:rsidRDefault="004357B9" w:rsidP="004357B9">
            <w:pPr>
              <w:rPr>
                <w:rFonts w:ascii="Times New Roman" w:hAnsi="Times New Roman"/>
                <w:b/>
                <w:sz w:val="24"/>
                <w:u w:val="single"/>
              </w:rPr>
            </w:pPr>
            <w:r w:rsidRPr="00D51A68">
              <w:rPr>
                <w:rStyle w:val="InstructionsTabelleText"/>
                <w:rFonts w:ascii="Times New Roman" w:hAnsi="Times New Roman"/>
                <w:sz w:val="24"/>
              </w:rPr>
              <w:t xml:space="preserve">Somma delle rettifiche di valore su crediti e delle cancellazioni relativamente alle esposizioni classificate come </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esposizioni in stato di default</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 xml:space="preserve"> nel trimestre successivo all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ultima segnalazione di dati.</w:t>
            </w:r>
          </w:p>
        </w:tc>
      </w:tr>
      <w:tr w:rsidR="004357B9" w:rsidRPr="00D51A68" w:rsidTr="00672D2A">
        <w:tc>
          <w:tcPr>
            <w:tcW w:w="1188" w:type="dxa"/>
          </w:tcPr>
          <w:p w:rsidR="004357B9" w:rsidRPr="00D51A68" w:rsidRDefault="004357B9" w:rsidP="004357B9">
            <w:pPr>
              <w:rPr>
                <w:rFonts w:ascii="Times New Roman" w:hAnsi="Times New Roman"/>
                <w:sz w:val="24"/>
              </w:rPr>
            </w:pPr>
            <w:r w:rsidRPr="00D51A68">
              <w:rPr>
                <w:rFonts w:ascii="Times New Roman" w:hAnsi="Times New Roman"/>
                <w:sz w:val="24"/>
              </w:rPr>
              <w:t>080</w:t>
            </w:r>
          </w:p>
        </w:tc>
        <w:tc>
          <w:tcPr>
            <w:tcW w:w="8640" w:type="dxa"/>
          </w:tcPr>
          <w:p w:rsidR="004357B9" w:rsidRPr="00D51A68" w:rsidRDefault="004357B9" w:rsidP="004357B9">
            <w:pPr>
              <w:rPr>
                <w:rStyle w:val="InstructionsTabelleberschrift"/>
                <w:rFonts w:ascii="Times New Roman" w:hAnsi="Times New Roman"/>
                <w:bCs w:val="0"/>
                <w:sz w:val="24"/>
              </w:rPr>
            </w:pPr>
            <w:r w:rsidRPr="00D51A68">
              <w:rPr>
                <w:rStyle w:val="InstructionsTabelleberschrift"/>
                <w:rFonts w:ascii="Times New Roman" w:hAnsi="Times New Roman"/>
                <w:sz w:val="24"/>
              </w:rPr>
              <w:t>SISTEMA DI RATING INTERNO/PROBABILITÀ DI DEFAULT ASSEGNATA ALLA CLASSE O AL POOL DI DEBITORI (%)</w:t>
            </w:r>
          </w:p>
          <w:p w:rsidR="004357B9" w:rsidRPr="00D51A68" w:rsidRDefault="004357B9" w:rsidP="004357B9">
            <w:pPr>
              <w:rPr>
                <w:rFonts w:ascii="Times New Roman" w:hAnsi="Times New Roman"/>
                <w:b/>
                <w:sz w:val="24"/>
                <w:u w:val="single"/>
              </w:rPr>
            </w:pPr>
            <w:r w:rsidRPr="00D51A68">
              <w:rPr>
                <w:rStyle w:val="InstructionsTabelleText"/>
                <w:rFonts w:ascii="Times New Roman" w:hAnsi="Times New Roman"/>
                <w:sz w:val="24"/>
              </w:rPr>
              <w:t>Stessa definizione di cui alla colonna 010 del modello CR IRB.</w:t>
            </w:r>
          </w:p>
        </w:tc>
      </w:tr>
      <w:tr w:rsidR="004357B9" w:rsidRPr="00D51A68" w:rsidTr="00672D2A">
        <w:tc>
          <w:tcPr>
            <w:tcW w:w="1188" w:type="dxa"/>
          </w:tcPr>
          <w:p w:rsidR="004357B9" w:rsidRPr="00D51A68" w:rsidRDefault="004357B9" w:rsidP="004357B9">
            <w:pPr>
              <w:rPr>
                <w:rFonts w:ascii="Times New Roman" w:hAnsi="Times New Roman"/>
                <w:sz w:val="24"/>
              </w:rPr>
            </w:pPr>
            <w:r w:rsidRPr="00D51A68">
              <w:rPr>
                <w:rFonts w:ascii="Times New Roman" w:hAnsi="Times New Roman"/>
                <w:sz w:val="24"/>
              </w:rPr>
              <w:t>090</w:t>
            </w:r>
          </w:p>
        </w:tc>
        <w:tc>
          <w:tcPr>
            <w:tcW w:w="8640" w:type="dxa"/>
          </w:tcPr>
          <w:p w:rsidR="004357B9" w:rsidRPr="00D51A68" w:rsidRDefault="004357B9" w:rsidP="004357B9">
            <w:pPr>
              <w:rPr>
                <w:rFonts w:ascii="Times New Roman" w:hAnsi="Times New Roman"/>
                <w:b/>
                <w:sz w:val="24"/>
                <w:u w:val="single"/>
              </w:rPr>
            </w:pPr>
            <w:r w:rsidRPr="00D51A68">
              <w:rPr>
                <w:rFonts w:ascii="Times New Roman" w:hAnsi="Times New Roman"/>
                <w:b/>
                <w:sz w:val="24"/>
                <w:u w:val="single"/>
              </w:rPr>
              <w:t>LGD MEDIA PONDERATA PER L</w:t>
            </w:r>
            <w:r w:rsidR="0009277C" w:rsidRPr="00D51A68">
              <w:rPr>
                <w:rFonts w:ascii="Times New Roman" w:hAnsi="Times New Roman"/>
                <w:b/>
                <w:sz w:val="24"/>
                <w:u w:val="single"/>
              </w:rPr>
              <w:t>’</w:t>
            </w:r>
            <w:r w:rsidRPr="00D51A68">
              <w:rPr>
                <w:rFonts w:ascii="Times New Roman" w:hAnsi="Times New Roman"/>
                <w:b/>
                <w:sz w:val="24"/>
                <w:u w:val="single"/>
              </w:rPr>
              <w:t>ESPOSIZIONE (%)</w:t>
            </w:r>
          </w:p>
          <w:p w:rsidR="004357B9" w:rsidRPr="00D51A68" w:rsidRDefault="004357B9" w:rsidP="004357B9">
            <w:pPr>
              <w:rPr>
                <w:rStyle w:val="InstructionsTabelleText"/>
                <w:rFonts w:ascii="Times New Roman" w:hAnsi="Times New Roman"/>
                <w:sz w:val="24"/>
              </w:rPr>
            </w:pPr>
            <w:r w:rsidRPr="00D51A68">
              <w:rPr>
                <w:rStyle w:val="InstructionsTabelleText"/>
                <w:rFonts w:ascii="Times New Roman" w:hAnsi="Times New Roman"/>
                <w:sz w:val="24"/>
              </w:rPr>
              <w:t>Stessa definizione di cui alle colonne 230 e 240 del modello CR IRB: la LGD media ponderata per 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esposizione (%) si riferisce a tutte le esposizioni, comprese quelle verso soggetti di grandi dimensioni del settore finanziario e soggetti finanziari non regolamentati. Si applicano le disposizioni dell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articolo 181, paragrafo 1, lettera h), del CRR.</w:t>
            </w:r>
          </w:p>
          <w:p w:rsidR="0042766A" w:rsidRPr="00D51A68" w:rsidRDefault="0042766A" w:rsidP="0042766A">
            <w:pPr>
              <w:rPr>
                <w:rFonts w:ascii="Times New Roman" w:hAnsi="Times New Roman"/>
                <w:b/>
                <w:sz w:val="24"/>
                <w:u w:val="single"/>
              </w:rPr>
            </w:pPr>
            <w:r w:rsidRPr="00D51A68">
              <w:rPr>
                <w:rFonts w:ascii="Times New Roman" w:hAnsi="Times New Roman"/>
                <w:sz w:val="24"/>
              </w:rPr>
              <w:t>Non sono segnalati dati sulle esposizioni da finanziamenti specializzati di cui all</w:t>
            </w:r>
            <w:r w:rsidR="0009277C" w:rsidRPr="00D51A68">
              <w:rPr>
                <w:rFonts w:ascii="Times New Roman" w:hAnsi="Times New Roman"/>
                <w:sz w:val="24"/>
              </w:rPr>
              <w:t>’</w:t>
            </w:r>
            <w:r w:rsidRPr="00D51A68">
              <w:rPr>
                <w:rFonts w:ascii="Times New Roman" w:hAnsi="Times New Roman"/>
                <w:sz w:val="24"/>
              </w:rPr>
              <w:t>articolo 153, paragrafo 5.</w:t>
            </w:r>
          </w:p>
        </w:tc>
      </w:tr>
      <w:tr w:rsidR="004357B9" w:rsidRPr="00D51A68" w:rsidTr="00672D2A">
        <w:tc>
          <w:tcPr>
            <w:tcW w:w="1188" w:type="dxa"/>
          </w:tcPr>
          <w:p w:rsidR="004357B9" w:rsidRPr="00D51A68" w:rsidRDefault="004357B9" w:rsidP="004357B9">
            <w:pPr>
              <w:rPr>
                <w:rFonts w:ascii="Times New Roman" w:hAnsi="Times New Roman"/>
                <w:sz w:val="24"/>
              </w:rPr>
            </w:pPr>
            <w:r w:rsidRPr="00D51A68">
              <w:rPr>
                <w:rFonts w:ascii="Times New Roman" w:hAnsi="Times New Roman"/>
                <w:sz w:val="24"/>
              </w:rPr>
              <w:t>100</w:t>
            </w:r>
          </w:p>
        </w:tc>
        <w:tc>
          <w:tcPr>
            <w:tcW w:w="8640" w:type="dxa"/>
          </w:tcPr>
          <w:p w:rsidR="004357B9" w:rsidRPr="00D51A68" w:rsidRDefault="004357B9" w:rsidP="004357B9">
            <w:pPr>
              <w:rPr>
                <w:rFonts w:ascii="Times New Roman" w:hAnsi="Times New Roman"/>
                <w:b/>
                <w:sz w:val="24"/>
                <w:u w:val="single"/>
              </w:rPr>
            </w:pPr>
            <w:r w:rsidRPr="00D51A68">
              <w:rPr>
                <w:rFonts w:ascii="Times New Roman" w:hAnsi="Times New Roman"/>
                <w:b/>
                <w:sz w:val="24"/>
                <w:u w:val="single"/>
              </w:rPr>
              <w:t>di cui: in stato di default</w:t>
            </w:r>
          </w:p>
          <w:p w:rsidR="004357B9" w:rsidRPr="00D51A68" w:rsidRDefault="004357B9" w:rsidP="004357B9">
            <w:pPr>
              <w:rPr>
                <w:rFonts w:ascii="Times New Roman" w:hAnsi="Times New Roman"/>
                <w:b/>
                <w:sz w:val="24"/>
                <w:u w:val="single"/>
              </w:rPr>
            </w:pPr>
            <w:r w:rsidRPr="00D51A68">
              <w:rPr>
                <w:rStyle w:val="InstructionsTabelleText"/>
                <w:rFonts w:ascii="Times New Roman" w:hAnsi="Times New Roman"/>
                <w:sz w:val="24"/>
              </w:rPr>
              <w:t>LGD ponderata per 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 xml:space="preserve">esposizione per le esposizioni classificate come </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esposizioni in stato di default</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 xml:space="preserve"> conformemente all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articolo 178 del CRR.</w:t>
            </w:r>
          </w:p>
        </w:tc>
      </w:tr>
      <w:tr w:rsidR="004357B9" w:rsidRPr="00D51A68" w:rsidTr="00672D2A">
        <w:tc>
          <w:tcPr>
            <w:tcW w:w="1188" w:type="dxa"/>
          </w:tcPr>
          <w:p w:rsidR="004357B9" w:rsidRPr="00D51A68" w:rsidRDefault="00F45359" w:rsidP="004357B9">
            <w:pPr>
              <w:rPr>
                <w:rFonts w:ascii="Times New Roman" w:hAnsi="Times New Roman"/>
                <w:sz w:val="24"/>
              </w:rPr>
            </w:pPr>
            <w:r w:rsidRPr="00D51A68">
              <w:rPr>
                <w:rFonts w:ascii="Times New Roman" w:hAnsi="Times New Roman"/>
                <w:sz w:val="24"/>
              </w:rPr>
              <w:t>105</w:t>
            </w:r>
          </w:p>
        </w:tc>
        <w:tc>
          <w:tcPr>
            <w:tcW w:w="8640" w:type="dxa"/>
          </w:tcPr>
          <w:p w:rsidR="004357B9" w:rsidRPr="00D51A68" w:rsidRDefault="004357B9" w:rsidP="004357B9">
            <w:pPr>
              <w:rPr>
                <w:rFonts w:ascii="Times New Roman" w:hAnsi="Times New Roman"/>
                <w:b/>
                <w:sz w:val="24"/>
                <w:u w:val="single"/>
              </w:rPr>
            </w:pPr>
            <w:r w:rsidRPr="00D51A68">
              <w:rPr>
                <w:rFonts w:ascii="Times New Roman" w:hAnsi="Times New Roman"/>
                <w:b/>
                <w:sz w:val="24"/>
                <w:u w:val="single"/>
              </w:rPr>
              <w:t>Valore dell</w:t>
            </w:r>
            <w:r w:rsidR="0009277C" w:rsidRPr="00D51A68">
              <w:rPr>
                <w:rFonts w:ascii="Times New Roman" w:hAnsi="Times New Roman"/>
                <w:b/>
                <w:sz w:val="24"/>
                <w:u w:val="single"/>
              </w:rPr>
              <w:t>’</w:t>
            </w:r>
            <w:r w:rsidRPr="00D51A68">
              <w:rPr>
                <w:rFonts w:ascii="Times New Roman" w:hAnsi="Times New Roman"/>
                <w:b/>
                <w:sz w:val="24"/>
                <w:u w:val="single"/>
              </w:rPr>
              <w:t>esposizione</w:t>
            </w:r>
          </w:p>
          <w:p w:rsidR="004357B9" w:rsidRPr="00D51A68" w:rsidRDefault="004357B9" w:rsidP="004357B9">
            <w:pPr>
              <w:rPr>
                <w:rFonts w:ascii="Times New Roman" w:hAnsi="Times New Roman"/>
                <w:b/>
                <w:sz w:val="24"/>
                <w:u w:val="single"/>
              </w:rPr>
            </w:pPr>
            <w:r w:rsidRPr="00D51A68">
              <w:rPr>
                <w:rStyle w:val="InstructionsTabelleText"/>
                <w:rFonts w:ascii="Times New Roman" w:hAnsi="Times New Roman"/>
                <w:sz w:val="24"/>
              </w:rPr>
              <w:t>Stessa definizione di cui alla colonna 110 del modello CR IRB.</w:t>
            </w:r>
          </w:p>
        </w:tc>
      </w:tr>
      <w:tr w:rsidR="004357B9" w:rsidRPr="00D51A68" w:rsidTr="00672D2A">
        <w:tc>
          <w:tcPr>
            <w:tcW w:w="1188" w:type="dxa"/>
          </w:tcPr>
          <w:p w:rsidR="004357B9" w:rsidRPr="00D51A68" w:rsidRDefault="004357B9" w:rsidP="004357B9">
            <w:pPr>
              <w:rPr>
                <w:rFonts w:ascii="Times New Roman" w:hAnsi="Times New Roman"/>
                <w:sz w:val="24"/>
              </w:rPr>
            </w:pPr>
            <w:r w:rsidRPr="00D51A68">
              <w:rPr>
                <w:rFonts w:ascii="Times New Roman" w:hAnsi="Times New Roman"/>
                <w:sz w:val="24"/>
              </w:rPr>
              <w:t>110</w:t>
            </w:r>
          </w:p>
        </w:tc>
        <w:tc>
          <w:tcPr>
            <w:tcW w:w="8640" w:type="dxa"/>
          </w:tcPr>
          <w:p w:rsidR="004357B9" w:rsidRPr="00D51A68" w:rsidRDefault="004357B9" w:rsidP="004357B9">
            <w:pPr>
              <w:rPr>
                <w:rFonts w:ascii="Times New Roman" w:hAnsi="Times New Roman"/>
                <w:b/>
                <w:sz w:val="24"/>
                <w:u w:val="single"/>
              </w:rPr>
            </w:pPr>
            <w:r w:rsidRPr="00D51A68">
              <w:rPr>
                <w:rFonts w:ascii="Times New Roman" w:hAnsi="Times New Roman"/>
                <w:b/>
                <w:sz w:val="24"/>
                <w:u w:val="single"/>
              </w:rPr>
              <w:t>IMPORTO DELL</w:t>
            </w:r>
            <w:r w:rsidR="0009277C" w:rsidRPr="00D51A68">
              <w:rPr>
                <w:rFonts w:ascii="Times New Roman" w:hAnsi="Times New Roman"/>
                <w:b/>
                <w:sz w:val="24"/>
                <w:u w:val="single"/>
              </w:rPr>
              <w:t>’</w:t>
            </w:r>
            <w:r w:rsidRPr="00D51A68">
              <w:rPr>
                <w:rFonts w:ascii="Times New Roman" w:hAnsi="Times New Roman"/>
                <w:b/>
                <w:sz w:val="24"/>
                <w:u w:val="single"/>
              </w:rPr>
              <w:t>ESPOSIZIONE PONDERATO PER IL RISCHIO PRIMA DELL</w:t>
            </w:r>
            <w:r w:rsidR="0009277C" w:rsidRPr="00D51A68">
              <w:rPr>
                <w:rFonts w:ascii="Times New Roman" w:hAnsi="Times New Roman"/>
                <w:b/>
                <w:sz w:val="24"/>
                <w:u w:val="single"/>
              </w:rPr>
              <w:t>’</w:t>
            </w:r>
            <w:r w:rsidRPr="00D51A68">
              <w:rPr>
                <w:rFonts w:ascii="Times New Roman" w:hAnsi="Times New Roman"/>
                <w:b/>
                <w:sz w:val="24"/>
                <w:u w:val="single"/>
              </w:rPr>
              <w:t>APPLICAZIONE DEL FATTORE DI SOSTEGNO ALLE PMI</w:t>
            </w:r>
          </w:p>
          <w:p w:rsidR="004357B9" w:rsidRPr="00D51A68" w:rsidRDefault="004357B9" w:rsidP="004357B9">
            <w:pPr>
              <w:rPr>
                <w:rFonts w:ascii="Times New Roman" w:hAnsi="Times New Roman"/>
                <w:b/>
                <w:sz w:val="24"/>
                <w:u w:val="single"/>
              </w:rPr>
            </w:pPr>
            <w:r w:rsidRPr="00D51A68">
              <w:rPr>
                <w:rStyle w:val="InstructionsTabelleText"/>
                <w:rFonts w:ascii="Times New Roman" w:hAnsi="Times New Roman"/>
                <w:sz w:val="24"/>
              </w:rPr>
              <w:t>Stessa definizione di cui alla colonna 255 del modello CR IRB.</w:t>
            </w:r>
          </w:p>
        </w:tc>
      </w:tr>
      <w:tr w:rsidR="004357B9" w:rsidRPr="00D51A68" w:rsidTr="00672D2A">
        <w:tc>
          <w:tcPr>
            <w:tcW w:w="1188" w:type="dxa"/>
          </w:tcPr>
          <w:p w:rsidR="004357B9" w:rsidRPr="00D51A68" w:rsidRDefault="004357B9" w:rsidP="004357B9">
            <w:pPr>
              <w:rPr>
                <w:rFonts w:ascii="Times New Roman" w:hAnsi="Times New Roman"/>
                <w:sz w:val="24"/>
              </w:rPr>
            </w:pPr>
            <w:r w:rsidRPr="00D51A68">
              <w:rPr>
                <w:rFonts w:ascii="Times New Roman" w:hAnsi="Times New Roman"/>
                <w:sz w:val="24"/>
              </w:rPr>
              <w:t>120</w:t>
            </w:r>
          </w:p>
        </w:tc>
        <w:tc>
          <w:tcPr>
            <w:tcW w:w="8640" w:type="dxa"/>
          </w:tcPr>
          <w:p w:rsidR="004357B9" w:rsidRPr="00D51A68" w:rsidRDefault="004357B9" w:rsidP="004357B9">
            <w:pPr>
              <w:rPr>
                <w:rFonts w:ascii="Times New Roman" w:hAnsi="Times New Roman"/>
                <w:b/>
                <w:sz w:val="24"/>
                <w:u w:val="single"/>
              </w:rPr>
            </w:pPr>
            <w:r w:rsidRPr="00D51A68">
              <w:rPr>
                <w:rFonts w:ascii="Times New Roman" w:hAnsi="Times New Roman"/>
                <w:b/>
                <w:sz w:val="24"/>
                <w:u w:val="single"/>
              </w:rPr>
              <w:t>in stato di default</w:t>
            </w:r>
          </w:p>
          <w:p w:rsidR="004357B9" w:rsidRPr="00D51A68" w:rsidRDefault="004357B9" w:rsidP="004357B9">
            <w:pPr>
              <w:rPr>
                <w:rFonts w:ascii="Times New Roman" w:hAnsi="Times New Roman"/>
                <w:b/>
                <w:sz w:val="24"/>
                <w:u w:val="single"/>
              </w:rPr>
            </w:pPr>
            <w:r w:rsidRPr="00D51A68">
              <w:rPr>
                <w:rStyle w:val="InstructionsTabelleText"/>
                <w:rFonts w:ascii="Times New Roman" w:hAnsi="Times New Roman"/>
                <w:sz w:val="24"/>
              </w:rPr>
              <w:t>Importo dell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 xml:space="preserve">esposizione ponderato per il rischio per le esposizioni classificate come </w:t>
            </w:r>
            <w:r w:rsidR="0009277C" w:rsidRPr="00D51A68">
              <w:rPr>
                <w:rStyle w:val="InstructionsTabelleText"/>
                <w:rFonts w:ascii="Times New Roman" w:hAnsi="Times New Roman"/>
                <w:sz w:val="24"/>
              </w:rPr>
              <w:lastRenderedPageBreak/>
              <w:t>“</w:t>
            </w:r>
            <w:r w:rsidRPr="00D51A68">
              <w:rPr>
                <w:rStyle w:val="InstructionsTabelleText"/>
                <w:rFonts w:ascii="Times New Roman" w:hAnsi="Times New Roman"/>
                <w:sz w:val="24"/>
              </w:rPr>
              <w:t>esposizioni in stato di default</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 xml:space="preserve"> conformemente all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articolo 178 del CRR.</w:t>
            </w:r>
          </w:p>
        </w:tc>
      </w:tr>
      <w:tr w:rsidR="004357B9" w:rsidRPr="00D51A68" w:rsidTr="00672D2A">
        <w:tc>
          <w:tcPr>
            <w:tcW w:w="1188" w:type="dxa"/>
          </w:tcPr>
          <w:p w:rsidR="004357B9" w:rsidRPr="00D51A68" w:rsidRDefault="004357B9" w:rsidP="004357B9">
            <w:pPr>
              <w:rPr>
                <w:rFonts w:ascii="Times New Roman" w:hAnsi="Times New Roman"/>
                <w:sz w:val="24"/>
              </w:rPr>
            </w:pPr>
            <w:r w:rsidRPr="00D51A68">
              <w:rPr>
                <w:rFonts w:ascii="Times New Roman" w:hAnsi="Times New Roman"/>
                <w:sz w:val="24"/>
              </w:rPr>
              <w:lastRenderedPageBreak/>
              <w:t>125</w:t>
            </w:r>
          </w:p>
        </w:tc>
        <w:tc>
          <w:tcPr>
            <w:tcW w:w="8640" w:type="dxa"/>
          </w:tcPr>
          <w:p w:rsidR="004357B9" w:rsidRPr="00D51A68" w:rsidRDefault="004357B9" w:rsidP="004357B9">
            <w:pPr>
              <w:rPr>
                <w:rFonts w:ascii="Times New Roman" w:hAnsi="Times New Roman"/>
                <w:b/>
                <w:sz w:val="24"/>
                <w:u w:val="single"/>
              </w:rPr>
            </w:pPr>
            <w:r w:rsidRPr="00D51A68">
              <w:rPr>
                <w:rFonts w:ascii="Times New Roman" w:hAnsi="Times New Roman"/>
                <w:b/>
                <w:sz w:val="24"/>
                <w:u w:val="single"/>
              </w:rPr>
              <w:t>IMPORTO DELL</w:t>
            </w:r>
            <w:r w:rsidR="0009277C" w:rsidRPr="00D51A68">
              <w:rPr>
                <w:rFonts w:ascii="Times New Roman" w:hAnsi="Times New Roman"/>
                <w:b/>
                <w:sz w:val="24"/>
                <w:u w:val="single"/>
              </w:rPr>
              <w:t>’</w:t>
            </w:r>
            <w:r w:rsidRPr="00D51A68">
              <w:rPr>
                <w:rFonts w:ascii="Times New Roman" w:hAnsi="Times New Roman"/>
                <w:b/>
                <w:sz w:val="24"/>
                <w:u w:val="single"/>
              </w:rPr>
              <w:t>ESPOSIZIONE PONDERATO PER IL RISCHIO DOPO L</w:t>
            </w:r>
            <w:r w:rsidR="0009277C" w:rsidRPr="00D51A68">
              <w:rPr>
                <w:rFonts w:ascii="Times New Roman" w:hAnsi="Times New Roman"/>
                <w:b/>
                <w:sz w:val="24"/>
                <w:u w:val="single"/>
              </w:rPr>
              <w:t>’</w:t>
            </w:r>
            <w:r w:rsidRPr="00D51A68">
              <w:rPr>
                <w:rFonts w:ascii="Times New Roman" w:hAnsi="Times New Roman"/>
                <w:b/>
                <w:sz w:val="24"/>
                <w:u w:val="single"/>
              </w:rPr>
              <w:t>APPLICAZIONE DEL FATTORE DI SOSTEGNO ALLE PMI</w:t>
            </w:r>
          </w:p>
          <w:p w:rsidR="004357B9" w:rsidRPr="00D51A68" w:rsidRDefault="004357B9" w:rsidP="004357B9">
            <w:pPr>
              <w:rPr>
                <w:rFonts w:ascii="Times New Roman" w:hAnsi="Times New Roman"/>
                <w:b/>
                <w:sz w:val="24"/>
                <w:u w:val="single"/>
              </w:rPr>
            </w:pPr>
            <w:r w:rsidRPr="00D51A68">
              <w:rPr>
                <w:rStyle w:val="InstructionsTabelleText"/>
                <w:rFonts w:ascii="Times New Roman" w:hAnsi="Times New Roman"/>
                <w:sz w:val="24"/>
              </w:rPr>
              <w:t>Stessa definizione di cui alla colonna 260 del modello CR IRB.</w:t>
            </w:r>
          </w:p>
        </w:tc>
      </w:tr>
      <w:tr w:rsidR="004357B9" w:rsidRPr="00D51A68" w:rsidTr="00672D2A">
        <w:tc>
          <w:tcPr>
            <w:tcW w:w="1188" w:type="dxa"/>
          </w:tcPr>
          <w:p w:rsidR="004357B9" w:rsidRPr="00D51A68" w:rsidRDefault="004357B9" w:rsidP="004357B9">
            <w:pPr>
              <w:rPr>
                <w:rFonts w:ascii="Times New Roman" w:hAnsi="Times New Roman"/>
                <w:sz w:val="24"/>
              </w:rPr>
            </w:pPr>
            <w:r w:rsidRPr="00D51A68">
              <w:rPr>
                <w:rFonts w:ascii="Times New Roman" w:hAnsi="Times New Roman"/>
                <w:sz w:val="24"/>
              </w:rPr>
              <w:t>130</w:t>
            </w:r>
          </w:p>
        </w:tc>
        <w:tc>
          <w:tcPr>
            <w:tcW w:w="8640" w:type="dxa"/>
          </w:tcPr>
          <w:p w:rsidR="004357B9" w:rsidRPr="00D51A68" w:rsidRDefault="004357B9" w:rsidP="004357B9">
            <w:pPr>
              <w:rPr>
                <w:rFonts w:ascii="Times New Roman" w:hAnsi="Times New Roman"/>
                <w:b/>
                <w:sz w:val="24"/>
                <w:u w:val="single"/>
              </w:rPr>
            </w:pPr>
            <w:r w:rsidRPr="00D51A68">
              <w:rPr>
                <w:rFonts w:ascii="Times New Roman" w:hAnsi="Times New Roman"/>
                <w:b/>
                <w:sz w:val="24"/>
                <w:u w:val="single"/>
              </w:rPr>
              <w:t>IMPORTO DELLE PERDITE ATTESE</w:t>
            </w:r>
          </w:p>
          <w:p w:rsidR="004357B9" w:rsidRPr="00D51A68" w:rsidRDefault="004357B9" w:rsidP="004357B9">
            <w:pPr>
              <w:rPr>
                <w:rFonts w:ascii="Times New Roman" w:hAnsi="Times New Roman"/>
                <w:b/>
                <w:sz w:val="24"/>
                <w:u w:val="single"/>
              </w:rPr>
            </w:pPr>
            <w:r w:rsidRPr="00D51A68">
              <w:rPr>
                <w:rStyle w:val="InstructionsTabelleText"/>
                <w:rFonts w:ascii="Times New Roman" w:hAnsi="Times New Roman"/>
                <w:sz w:val="24"/>
              </w:rPr>
              <w:t>Stessa definizione di cui alla colonna 280 del modello CR IRB.</w:t>
            </w:r>
            <w:r w:rsidRPr="00D51A68">
              <w:rPr>
                <w:rFonts w:ascii="Times New Roman" w:hAnsi="Times New Roman"/>
                <w:b/>
                <w:sz w:val="24"/>
                <w:u w:val="single"/>
              </w:rPr>
              <w:t xml:space="preserve"> </w:t>
            </w:r>
          </w:p>
        </w:tc>
      </w:tr>
    </w:tbl>
    <w:p w:rsidR="004357B9" w:rsidRPr="00D51A68" w:rsidRDefault="004357B9" w:rsidP="004357B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D51A68" w:rsidTr="00672D2A">
        <w:tc>
          <w:tcPr>
            <w:tcW w:w="1188" w:type="dxa"/>
            <w:shd w:val="clear" w:color="auto" w:fill="CCCCCC"/>
          </w:tcPr>
          <w:p w:rsidR="004357B9" w:rsidRPr="00D51A68" w:rsidRDefault="004357B9" w:rsidP="004357B9">
            <w:pPr>
              <w:rPr>
                <w:rFonts w:ascii="Times New Roman" w:hAnsi="Times New Roman"/>
                <w:b/>
                <w:sz w:val="24"/>
              </w:rPr>
            </w:pPr>
            <w:r w:rsidRPr="00D51A68">
              <w:rPr>
                <w:rFonts w:ascii="Times New Roman" w:hAnsi="Times New Roman"/>
                <w:b/>
                <w:sz w:val="24"/>
              </w:rPr>
              <w:t>Righe</w:t>
            </w:r>
          </w:p>
        </w:tc>
        <w:tc>
          <w:tcPr>
            <w:tcW w:w="8640" w:type="dxa"/>
            <w:shd w:val="clear" w:color="auto" w:fill="CCCCCC"/>
          </w:tcPr>
          <w:p w:rsidR="004357B9" w:rsidRPr="00D51A68" w:rsidRDefault="004357B9" w:rsidP="004357B9">
            <w:pPr>
              <w:ind w:left="72"/>
              <w:rPr>
                <w:rFonts w:ascii="Times New Roman" w:hAnsi="Times New Roman"/>
                <w:sz w:val="24"/>
              </w:rPr>
            </w:pPr>
          </w:p>
        </w:tc>
      </w:tr>
      <w:tr w:rsidR="004357B9" w:rsidRPr="00D51A68" w:rsidTr="00672D2A">
        <w:tc>
          <w:tcPr>
            <w:tcW w:w="1188" w:type="dxa"/>
          </w:tcPr>
          <w:p w:rsidR="004357B9" w:rsidRPr="00D51A68" w:rsidRDefault="004357B9" w:rsidP="004357B9">
            <w:pPr>
              <w:rPr>
                <w:rFonts w:ascii="Times New Roman" w:hAnsi="Times New Roman"/>
                <w:sz w:val="24"/>
              </w:rPr>
            </w:pPr>
            <w:r w:rsidRPr="00D51A68">
              <w:rPr>
                <w:rFonts w:ascii="Times New Roman" w:hAnsi="Times New Roman"/>
                <w:sz w:val="24"/>
              </w:rPr>
              <w:t>010</w:t>
            </w:r>
          </w:p>
        </w:tc>
        <w:tc>
          <w:tcPr>
            <w:tcW w:w="8640" w:type="dxa"/>
          </w:tcPr>
          <w:p w:rsidR="004357B9" w:rsidRPr="00D51A68" w:rsidRDefault="004357B9" w:rsidP="004357B9">
            <w:pPr>
              <w:rPr>
                <w:rFonts w:ascii="Times New Roman" w:hAnsi="Times New Roman"/>
                <w:b/>
                <w:sz w:val="24"/>
                <w:u w:val="single"/>
              </w:rPr>
            </w:pPr>
            <w:r w:rsidRPr="00D51A68">
              <w:rPr>
                <w:rFonts w:ascii="Times New Roman" w:hAnsi="Times New Roman"/>
                <w:b/>
                <w:sz w:val="24"/>
                <w:u w:val="single"/>
              </w:rPr>
              <w:t xml:space="preserve">Banche centrali e amministrazioni centrali </w:t>
            </w:r>
          </w:p>
          <w:p w:rsidR="004357B9" w:rsidRPr="00D51A68" w:rsidRDefault="004357B9" w:rsidP="004357B9">
            <w:pPr>
              <w:rPr>
                <w:rFonts w:ascii="Times New Roman" w:hAnsi="Times New Roman"/>
                <w:sz w:val="24"/>
              </w:rPr>
            </w:pPr>
            <w:r w:rsidRPr="00D51A68">
              <w:rPr>
                <w:rFonts w:ascii="Times New Roman" w:hAnsi="Times New Roman"/>
                <w:sz w:val="24"/>
              </w:rPr>
              <w:t>(Articolo 147, paragrafo 2, lettera a), del CRR).</w:t>
            </w:r>
          </w:p>
        </w:tc>
      </w:tr>
      <w:tr w:rsidR="004357B9" w:rsidRPr="00D51A68" w:rsidTr="00672D2A">
        <w:tc>
          <w:tcPr>
            <w:tcW w:w="1188" w:type="dxa"/>
          </w:tcPr>
          <w:p w:rsidR="004357B9" w:rsidRPr="00D51A68" w:rsidRDefault="004357B9" w:rsidP="004357B9">
            <w:pPr>
              <w:rPr>
                <w:rFonts w:ascii="Times New Roman" w:hAnsi="Times New Roman"/>
                <w:sz w:val="24"/>
              </w:rPr>
            </w:pPr>
            <w:r w:rsidRPr="00D51A68">
              <w:rPr>
                <w:rFonts w:ascii="Times New Roman" w:hAnsi="Times New Roman"/>
                <w:sz w:val="24"/>
              </w:rPr>
              <w:t>020</w:t>
            </w:r>
          </w:p>
        </w:tc>
        <w:tc>
          <w:tcPr>
            <w:tcW w:w="8640" w:type="dxa"/>
          </w:tcPr>
          <w:p w:rsidR="004357B9" w:rsidRPr="00D51A68" w:rsidRDefault="004357B9" w:rsidP="004357B9">
            <w:pPr>
              <w:rPr>
                <w:rFonts w:ascii="Times New Roman" w:hAnsi="Times New Roman"/>
                <w:b/>
                <w:sz w:val="24"/>
                <w:u w:val="single"/>
              </w:rPr>
            </w:pPr>
            <w:r w:rsidRPr="00D51A68">
              <w:rPr>
                <w:rFonts w:ascii="Times New Roman" w:hAnsi="Times New Roman"/>
                <w:b/>
                <w:sz w:val="24"/>
                <w:u w:val="single"/>
              </w:rPr>
              <w:t>Enti</w:t>
            </w:r>
          </w:p>
          <w:p w:rsidR="004357B9" w:rsidRPr="00D51A68" w:rsidRDefault="004357B9" w:rsidP="004357B9">
            <w:pPr>
              <w:rPr>
                <w:rFonts w:ascii="Times New Roman" w:hAnsi="Times New Roman"/>
                <w:sz w:val="24"/>
              </w:rPr>
            </w:pPr>
            <w:r w:rsidRPr="00D51A68">
              <w:rPr>
                <w:rFonts w:ascii="Times New Roman" w:hAnsi="Times New Roman"/>
                <w:sz w:val="24"/>
              </w:rPr>
              <w:t>(Articolo 147, paragrafo 2, lettera b), del CRR).</w:t>
            </w:r>
          </w:p>
        </w:tc>
      </w:tr>
      <w:tr w:rsidR="004357B9" w:rsidRPr="00D51A68" w:rsidTr="00672D2A">
        <w:tc>
          <w:tcPr>
            <w:tcW w:w="1188" w:type="dxa"/>
          </w:tcPr>
          <w:p w:rsidR="004357B9" w:rsidRPr="00D51A68" w:rsidRDefault="004357B9" w:rsidP="004357B9">
            <w:pPr>
              <w:rPr>
                <w:rFonts w:ascii="Times New Roman" w:hAnsi="Times New Roman"/>
                <w:sz w:val="24"/>
              </w:rPr>
            </w:pPr>
            <w:r w:rsidRPr="00D51A68">
              <w:rPr>
                <w:rFonts w:ascii="Times New Roman" w:hAnsi="Times New Roman"/>
                <w:sz w:val="24"/>
              </w:rPr>
              <w:t>030</w:t>
            </w:r>
          </w:p>
        </w:tc>
        <w:tc>
          <w:tcPr>
            <w:tcW w:w="8640" w:type="dxa"/>
          </w:tcPr>
          <w:p w:rsidR="004357B9" w:rsidRPr="00D51A68" w:rsidRDefault="004357B9" w:rsidP="004357B9">
            <w:pPr>
              <w:rPr>
                <w:rFonts w:ascii="Times New Roman" w:hAnsi="Times New Roman"/>
                <w:b/>
                <w:sz w:val="24"/>
                <w:u w:val="single"/>
              </w:rPr>
            </w:pPr>
            <w:r w:rsidRPr="00D51A68">
              <w:rPr>
                <w:rFonts w:ascii="Times New Roman" w:hAnsi="Times New Roman"/>
                <w:b/>
                <w:sz w:val="24"/>
                <w:u w:val="single"/>
              </w:rPr>
              <w:t xml:space="preserve">Imprese </w:t>
            </w:r>
          </w:p>
          <w:p w:rsidR="004357B9" w:rsidRPr="00D51A68" w:rsidRDefault="004357B9" w:rsidP="004357B9">
            <w:pPr>
              <w:pStyle w:val="ListParagraph"/>
              <w:ind w:left="0"/>
              <w:rPr>
                <w:rFonts w:ascii="Times New Roman" w:hAnsi="Times New Roman"/>
                <w:sz w:val="24"/>
              </w:rPr>
            </w:pPr>
            <w:r w:rsidRPr="00D51A68">
              <w:rPr>
                <w:rFonts w:ascii="Times New Roman" w:hAnsi="Times New Roman"/>
                <w:sz w:val="24"/>
              </w:rPr>
              <w:t>[Tutte le imprese conformemente all</w:t>
            </w:r>
            <w:r w:rsidR="0009277C" w:rsidRPr="00D51A68">
              <w:rPr>
                <w:rFonts w:ascii="Times New Roman" w:hAnsi="Times New Roman"/>
                <w:sz w:val="24"/>
              </w:rPr>
              <w:t>’</w:t>
            </w:r>
            <w:r w:rsidRPr="00D51A68">
              <w:rPr>
                <w:rFonts w:ascii="Times New Roman" w:hAnsi="Times New Roman"/>
                <w:sz w:val="24"/>
              </w:rPr>
              <w:t>articolo 147, paragrafo 2, lettera c)].</w:t>
            </w:r>
          </w:p>
        </w:tc>
      </w:tr>
      <w:tr w:rsidR="004357B9" w:rsidRPr="00D51A68" w:rsidTr="00672D2A">
        <w:tc>
          <w:tcPr>
            <w:tcW w:w="1188" w:type="dxa"/>
          </w:tcPr>
          <w:p w:rsidR="004357B9" w:rsidRPr="00D51A68" w:rsidRDefault="004357B9" w:rsidP="004357B9">
            <w:pPr>
              <w:rPr>
                <w:rFonts w:ascii="Times New Roman" w:hAnsi="Times New Roman"/>
                <w:sz w:val="24"/>
              </w:rPr>
            </w:pPr>
            <w:r w:rsidRPr="00D51A68">
              <w:rPr>
                <w:rFonts w:ascii="Times New Roman" w:hAnsi="Times New Roman"/>
                <w:sz w:val="24"/>
              </w:rPr>
              <w:t>042</w:t>
            </w:r>
          </w:p>
        </w:tc>
        <w:tc>
          <w:tcPr>
            <w:tcW w:w="8640" w:type="dxa"/>
          </w:tcPr>
          <w:p w:rsidR="004357B9" w:rsidRPr="00D51A68" w:rsidRDefault="004357B9" w:rsidP="004357B9">
            <w:pPr>
              <w:rPr>
                <w:rFonts w:ascii="Times New Roman" w:hAnsi="Times New Roman"/>
                <w:b/>
                <w:sz w:val="24"/>
                <w:u w:val="single"/>
              </w:rPr>
            </w:pPr>
            <w:r w:rsidRPr="00D51A68">
              <w:rPr>
                <w:rFonts w:ascii="Times New Roman" w:hAnsi="Times New Roman"/>
                <w:b/>
                <w:sz w:val="24"/>
                <w:u w:val="single"/>
              </w:rPr>
              <w:t>di cui: finanziamenti specializzati (esclusi finanziamenti specializzati soggetti a criteri di assegnazione)</w:t>
            </w:r>
          </w:p>
          <w:p w:rsidR="004357B9" w:rsidRPr="00D51A68" w:rsidRDefault="004357B9" w:rsidP="004357B9">
            <w:pPr>
              <w:pStyle w:val="ListParagraph"/>
              <w:ind w:left="0"/>
              <w:rPr>
                <w:rFonts w:ascii="Times New Roman" w:hAnsi="Times New Roman"/>
                <w:sz w:val="24"/>
              </w:rPr>
            </w:pPr>
            <w:r w:rsidRPr="00D51A68">
              <w:rPr>
                <w:rFonts w:ascii="Times New Roman" w:hAnsi="Times New Roman"/>
                <w:sz w:val="24"/>
              </w:rPr>
              <w:t>(Articolo 147, paragrafo 8, lettera a), del CRR).</w:t>
            </w:r>
          </w:p>
          <w:p w:rsidR="0042766A" w:rsidRPr="00D51A68" w:rsidRDefault="0042766A" w:rsidP="004357B9">
            <w:pPr>
              <w:pStyle w:val="ListParagraph"/>
              <w:ind w:left="0"/>
              <w:rPr>
                <w:rFonts w:ascii="Times New Roman" w:hAnsi="Times New Roman"/>
                <w:sz w:val="24"/>
              </w:rPr>
            </w:pPr>
            <w:r w:rsidRPr="00D51A68">
              <w:rPr>
                <w:rFonts w:ascii="Times New Roman" w:hAnsi="Times New Roman"/>
                <w:sz w:val="24"/>
              </w:rPr>
              <w:t>Non sono segnalati dati sulle esposizioni da finanziamenti specializzati di cui all</w:t>
            </w:r>
            <w:r w:rsidR="0009277C" w:rsidRPr="00D51A68">
              <w:rPr>
                <w:rFonts w:ascii="Times New Roman" w:hAnsi="Times New Roman"/>
                <w:sz w:val="24"/>
              </w:rPr>
              <w:t>’</w:t>
            </w:r>
            <w:r w:rsidRPr="00D51A68">
              <w:rPr>
                <w:rFonts w:ascii="Times New Roman" w:hAnsi="Times New Roman"/>
                <w:sz w:val="24"/>
              </w:rPr>
              <w:t>articolo 153, paragrafo 5.</w:t>
            </w:r>
          </w:p>
        </w:tc>
      </w:tr>
      <w:tr w:rsidR="000E093A" w:rsidRPr="00D51A68" w:rsidTr="00672D2A">
        <w:tc>
          <w:tcPr>
            <w:tcW w:w="1188" w:type="dxa"/>
          </w:tcPr>
          <w:p w:rsidR="000E093A" w:rsidRPr="00D51A68" w:rsidRDefault="000E093A" w:rsidP="004357B9">
            <w:pPr>
              <w:rPr>
                <w:rFonts w:ascii="Times New Roman" w:hAnsi="Times New Roman"/>
                <w:sz w:val="24"/>
              </w:rPr>
            </w:pPr>
            <w:r w:rsidRPr="00D51A68">
              <w:rPr>
                <w:rFonts w:ascii="Times New Roman" w:hAnsi="Times New Roman"/>
                <w:sz w:val="24"/>
              </w:rPr>
              <w:t>045</w:t>
            </w:r>
          </w:p>
        </w:tc>
        <w:tc>
          <w:tcPr>
            <w:tcW w:w="8640" w:type="dxa"/>
          </w:tcPr>
          <w:p w:rsidR="000E093A" w:rsidRPr="00D51A68" w:rsidRDefault="000E093A" w:rsidP="004357B9">
            <w:pPr>
              <w:rPr>
                <w:rFonts w:ascii="Times New Roman" w:hAnsi="Times New Roman"/>
                <w:b/>
                <w:sz w:val="24"/>
                <w:u w:val="single"/>
              </w:rPr>
            </w:pPr>
            <w:r w:rsidRPr="00D51A68">
              <w:rPr>
                <w:rFonts w:ascii="Times New Roman" w:hAnsi="Times New Roman"/>
                <w:b/>
                <w:sz w:val="24"/>
                <w:u w:val="single"/>
              </w:rPr>
              <w:t>di cui: finanziamenti specializzati soggetti a criteri di assegnazione</w:t>
            </w:r>
          </w:p>
          <w:p w:rsidR="000E093A" w:rsidRPr="00D51A68" w:rsidRDefault="000E093A" w:rsidP="00FD54FC">
            <w:pPr>
              <w:rPr>
                <w:rFonts w:ascii="Times New Roman" w:hAnsi="Times New Roman"/>
                <w:b/>
                <w:sz w:val="24"/>
                <w:u w:val="single"/>
              </w:rPr>
            </w:pPr>
            <w:r w:rsidRPr="00D51A68">
              <w:rPr>
                <w:rFonts w:ascii="Times New Roman" w:hAnsi="Times New Roman"/>
                <w:sz w:val="24"/>
              </w:rPr>
              <w:t>Articolo 147, paragrafo 8, lettera a), e articolo 153, paragrafo 5, del CRR</w:t>
            </w:r>
          </w:p>
        </w:tc>
      </w:tr>
      <w:tr w:rsidR="004357B9" w:rsidRPr="00D51A68" w:rsidTr="00672D2A">
        <w:tc>
          <w:tcPr>
            <w:tcW w:w="1188" w:type="dxa"/>
          </w:tcPr>
          <w:p w:rsidR="004357B9" w:rsidRPr="00D51A68" w:rsidRDefault="004357B9" w:rsidP="004357B9">
            <w:pPr>
              <w:rPr>
                <w:rFonts w:ascii="Times New Roman" w:hAnsi="Times New Roman"/>
                <w:sz w:val="24"/>
              </w:rPr>
            </w:pPr>
            <w:r w:rsidRPr="00D51A68">
              <w:rPr>
                <w:rFonts w:ascii="Times New Roman" w:hAnsi="Times New Roman"/>
                <w:sz w:val="24"/>
              </w:rPr>
              <w:t>050</w:t>
            </w:r>
          </w:p>
        </w:tc>
        <w:tc>
          <w:tcPr>
            <w:tcW w:w="8640" w:type="dxa"/>
          </w:tcPr>
          <w:p w:rsidR="004357B9" w:rsidRPr="00D51A68" w:rsidRDefault="004357B9" w:rsidP="004357B9">
            <w:pPr>
              <w:rPr>
                <w:rFonts w:ascii="Times New Roman" w:hAnsi="Times New Roman"/>
                <w:b/>
                <w:sz w:val="24"/>
                <w:u w:val="single"/>
              </w:rPr>
            </w:pPr>
            <w:r w:rsidRPr="00D51A68">
              <w:rPr>
                <w:rFonts w:ascii="Times New Roman" w:hAnsi="Times New Roman"/>
                <w:b/>
                <w:sz w:val="24"/>
                <w:u w:val="single"/>
              </w:rPr>
              <w:t>di cui: PMI</w:t>
            </w:r>
          </w:p>
          <w:p w:rsidR="004357B9" w:rsidRPr="00D51A68" w:rsidRDefault="004357B9" w:rsidP="004357B9">
            <w:pPr>
              <w:pStyle w:val="ListParagraph"/>
              <w:ind w:left="0"/>
              <w:rPr>
                <w:rFonts w:ascii="Times New Roman" w:hAnsi="Times New Roman"/>
                <w:sz w:val="24"/>
              </w:rPr>
            </w:pPr>
            <w:r w:rsidRPr="00D51A68">
              <w:rPr>
                <w:rFonts w:ascii="Times New Roman" w:hAnsi="Times New Roman"/>
                <w:sz w:val="24"/>
              </w:rPr>
              <w:t>(Articolo 147, paragrafo 2, lettera c), del CRR).</w:t>
            </w:r>
          </w:p>
        </w:tc>
      </w:tr>
      <w:tr w:rsidR="004357B9" w:rsidRPr="00D51A68" w:rsidTr="00672D2A">
        <w:tc>
          <w:tcPr>
            <w:tcW w:w="1188" w:type="dxa"/>
          </w:tcPr>
          <w:p w:rsidR="004357B9" w:rsidRPr="00D51A68" w:rsidRDefault="004357B9" w:rsidP="004357B9">
            <w:pPr>
              <w:rPr>
                <w:rFonts w:ascii="Times New Roman" w:hAnsi="Times New Roman"/>
                <w:sz w:val="24"/>
              </w:rPr>
            </w:pPr>
            <w:r w:rsidRPr="00D51A68">
              <w:rPr>
                <w:rFonts w:ascii="Times New Roman" w:hAnsi="Times New Roman"/>
                <w:sz w:val="24"/>
              </w:rPr>
              <w:t>060</w:t>
            </w:r>
          </w:p>
        </w:tc>
        <w:tc>
          <w:tcPr>
            <w:tcW w:w="8640" w:type="dxa"/>
          </w:tcPr>
          <w:p w:rsidR="004357B9" w:rsidRPr="00D51A68" w:rsidRDefault="004357B9" w:rsidP="004357B9">
            <w:pPr>
              <w:rPr>
                <w:rFonts w:ascii="Times New Roman" w:hAnsi="Times New Roman"/>
                <w:b/>
                <w:sz w:val="24"/>
                <w:u w:val="single"/>
              </w:rPr>
            </w:pPr>
            <w:r w:rsidRPr="00D51A68">
              <w:rPr>
                <w:rFonts w:ascii="Times New Roman" w:hAnsi="Times New Roman"/>
                <w:b/>
                <w:sz w:val="24"/>
                <w:u w:val="single"/>
              </w:rPr>
              <w:t>Al dettaglio</w:t>
            </w:r>
          </w:p>
          <w:p w:rsidR="004357B9" w:rsidRPr="00D51A68" w:rsidRDefault="004357B9" w:rsidP="004357B9">
            <w:pPr>
              <w:rPr>
                <w:rFonts w:ascii="Times New Roman" w:hAnsi="Times New Roman"/>
                <w:sz w:val="24"/>
              </w:rPr>
            </w:pPr>
            <w:r w:rsidRPr="00D51A68">
              <w:rPr>
                <w:rFonts w:ascii="Times New Roman" w:hAnsi="Times New Roman"/>
                <w:sz w:val="24"/>
              </w:rPr>
              <w:t>Tutte le esposizioni al dettaglio conformemente all</w:t>
            </w:r>
            <w:r w:rsidR="0009277C" w:rsidRPr="00D51A68">
              <w:rPr>
                <w:rFonts w:ascii="Times New Roman" w:hAnsi="Times New Roman"/>
                <w:sz w:val="24"/>
              </w:rPr>
              <w:t>’</w:t>
            </w:r>
            <w:r w:rsidRPr="00D51A68">
              <w:rPr>
                <w:rFonts w:ascii="Times New Roman" w:hAnsi="Times New Roman"/>
                <w:sz w:val="24"/>
              </w:rPr>
              <w:t>articolo 147, paragrafo 2, lettera d), del CRR.</w:t>
            </w:r>
          </w:p>
        </w:tc>
      </w:tr>
      <w:tr w:rsidR="004357B9" w:rsidRPr="00D51A68" w:rsidTr="00672D2A">
        <w:tc>
          <w:tcPr>
            <w:tcW w:w="1188" w:type="dxa"/>
          </w:tcPr>
          <w:p w:rsidR="004357B9" w:rsidRPr="00D51A68" w:rsidRDefault="004357B9" w:rsidP="004357B9">
            <w:pPr>
              <w:rPr>
                <w:rFonts w:ascii="Times New Roman" w:hAnsi="Times New Roman"/>
                <w:sz w:val="24"/>
              </w:rPr>
            </w:pPr>
            <w:r w:rsidRPr="00D51A68">
              <w:rPr>
                <w:rFonts w:ascii="Times New Roman" w:hAnsi="Times New Roman"/>
                <w:sz w:val="24"/>
              </w:rPr>
              <w:t>070</w:t>
            </w:r>
          </w:p>
        </w:tc>
        <w:tc>
          <w:tcPr>
            <w:tcW w:w="8640" w:type="dxa"/>
          </w:tcPr>
          <w:p w:rsidR="004357B9" w:rsidRPr="00D51A68" w:rsidRDefault="004357B9" w:rsidP="004357B9">
            <w:pPr>
              <w:rPr>
                <w:rFonts w:ascii="Times New Roman" w:hAnsi="Times New Roman"/>
                <w:b/>
                <w:sz w:val="24"/>
                <w:u w:val="single"/>
              </w:rPr>
            </w:pPr>
            <w:r w:rsidRPr="00D51A68">
              <w:rPr>
                <w:rFonts w:ascii="Times New Roman" w:hAnsi="Times New Roman"/>
                <w:b/>
                <w:sz w:val="24"/>
                <w:u w:val="single"/>
              </w:rPr>
              <w:t>Al dettaglio — Garantite da beni immobili</w:t>
            </w:r>
          </w:p>
          <w:p w:rsidR="004357B9" w:rsidRPr="00D51A68" w:rsidRDefault="004357B9" w:rsidP="004357B9">
            <w:pPr>
              <w:pStyle w:val="ListParagraph"/>
              <w:ind w:left="0"/>
              <w:rPr>
                <w:rFonts w:ascii="Times New Roman" w:hAnsi="Times New Roman"/>
                <w:sz w:val="24"/>
              </w:rPr>
            </w:pPr>
            <w:r w:rsidRPr="00D51A68">
              <w:rPr>
                <w:rFonts w:ascii="Times New Roman" w:hAnsi="Times New Roman"/>
                <w:sz w:val="24"/>
              </w:rPr>
              <w:t>Esposizioni conformemente all</w:t>
            </w:r>
            <w:r w:rsidR="0009277C" w:rsidRPr="00D51A68">
              <w:rPr>
                <w:rFonts w:ascii="Times New Roman" w:hAnsi="Times New Roman"/>
                <w:sz w:val="24"/>
              </w:rPr>
              <w:t>’</w:t>
            </w:r>
            <w:r w:rsidRPr="00D51A68">
              <w:rPr>
                <w:rFonts w:ascii="Times New Roman" w:hAnsi="Times New Roman"/>
                <w:sz w:val="24"/>
              </w:rPr>
              <w:t>articolo 147, paragrafo 2, lettera d), del CRR garantite da beni immobili.</w:t>
            </w:r>
          </w:p>
        </w:tc>
      </w:tr>
      <w:tr w:rsidR="004357B9" w:rsidRPr="00D51A68" w:rsidTr="00672D2A">
        <w:tc>
          <w:tcPr>
            <w:tcW w:w="1188" w:type="dxa"/>
          </w:tcPr>
          <w:p w:rsidR="004357B9" w:rsidRPr="00D51A68" w:rsidRDefault="004357B9" w:rsidP="004357B9">
            <w:pPr>
              <w:rPr>
                <w:rFonts w:ascii="Times New Roman" w:hAnsi="Times New Roman"/>
                <w:sz w:val="24"/>
              </w:rPr>
            </w:pPr>
            <w:r w:rsidRPr="00D51A68">
              <w:rPr>
                <w:rFonts w:ascii="Times New Roman" w:hAnsi="Times New Roman"/>
                <w:sz w:val="24"/>
              </w:rPr>
              <w:t>080</w:t>
            </w:r>
          </w:p>
        </w:tc>
        <w:tc>
          <w:tcPr>
            <w:tcW w:w="8640" w:type="dxa"/>
          </w:tcPr>
          <w:p w:rsidR="004357B9" w:rsidRPr="00D51A68" w:rsidRDefault="004357B9" w:rsidP="004357B9">
            <w:pPr>
              <w:rPr>
                <w:rFonts w:ascii="Times New Roman" w:hAnsi="Times New Roman"/>
                <w:b/>
                <w:sz w:val="24"/>
                <w:u w:val="single"/>
              </w:rPr>
            </w:pPr>
            <w:r w:rsidRPr="00D51A68">
              <w:rPr>
                <w:rFonts w:ascii="Times New Roman" w:hAnsi="Times New Roman"/>
                <w:b/>
                <w:sz w:val="24"/>
                <w:u w:val="single"/>
              </w:rPr>
              <w:t>PMI</w:t>
            </w:r>
          </w:p>
          <w:p w:rsidR="004357B9" w:rsidRPr="00D51A68" w:rsidRDefault="004357B9" w:rsidP="004357B9">
            <w:pPr>
              <w:pStyle w:val="ListParagraph"/>
              <w:ind w:left="0"/>
              <w:rPr>
                <w:rFonts w:ascii="Times New Roman" w:hAnsi="Times New Roman"/>
                <w:sz w:val="24"/>
              </w:rPr>
            </w:pPr>
            <w:r w:rsidRPr="00D51A68">
              <w:rPr>
                <w:rFonts w:ascii="Times New Roman" w:hAnsi="Times New Roman"/>
                <w:sz w:val="24"/>
              </w:rPr>
              <w:t>Esposizioni al dettaglio conformemente all</w:t>
            </w:r>
            <w:r w:rsidR="0009277C" w:rsidRPr="00D51A68">
              <w:rPr>
                <w:rFonts w:ascii="Times New Roman" w:hAnsi="Times New Roman"/>
                <w:sz w:val="24"/>
              </w:rPr>
              <w:t>’</w:t>
            </w:r>
            <w:r w:rsidRPr="00D51A68">
              <w:rPr>
                <w:rFonts w:ascii="Times New Roman" w:hAnsi="Times New Roman"/>
                <w:sz w:val="24"/>
              </w:rPr>
              <w:t>articolo 147, paragrafo 2, lettera d), in combinato disposto con l</w:t>
            </w:r>
            <w:r w:rsidR="0009277C" w:rsidRPr="00D51A68">
              <w:rPr>
                <w:rFonts w:ascii="Times New Roman" w:hAnsi="Times New Roman"/>
                <w:sz w:val="24"/>
              </w:rPr>
              <w:t>’</w:t>
            </w:r>
            <w:r w:rsidRPr="00D51A68">
              <w:rPr>
                <w:rFonts w:ascii="Times New Roman" w:hAnsi="Times New Roman"/>
                <w:sz w:val="24"/>
              </w:rPr>
              <w:t>articolo 153, paragrafo 3, del CRR garantite da beni immobili.</w:t>
            </w:r>
          </w:p>
        </w:tc>
      </w:tr>
      <w:tr w:rsidR="004357B9" w:rsidRPr="00D51A68" w:rsidTr="00672D2A">
        <w:tc>
          <w:tcPr>
            <w:tcW w:w="1188" w:type="dxa"/>
          </w:tcPr>
          <w:p w:rsidR="004357B9" w:rsidRPr="00D51A68" w:rsidRDefault="004357B9" w:rsidP="004357B9">
            <w:pPr>
              <w:rPr>
                <w:rFonts w:ascii="Times New Roman" w:hAnsi="Times New Roman"/>
                <w:sz w:val="24"/>
              </w:rPr>
            </w:pPr>
            <w:r w:rsidRPr="00D51A68">
              <w:rPr>
                <w:rFonts w:ascii="Times New Roman" w:hAnsi="Times New Roman"/>
                <w:sz w:val="24"/>
              </w:rPr>
              <w:lastRenderedPageBreak/>
              <w:t>090</w:t>
            </w:r>
          </w:p>
        </w:tc>
        <w:tc>
          <w:tcPr>
            <w:tcW w:w="8640" w:type="dxa"/>
          </w:tcPr>
          <w:p w:rsidR="004357B9" w:rsidRPr="00D51A68" w:rsidRDefault="004357B9" w:rsidP="004357B9">
            <w:pPr>
              <w:rPr>
                <w:rFonts w:ascii="Times New Roman" w:hAnsi="Times New Roman"/>
                <w:b/>
                <w:sz w:val="24"/>
                <w:u w:val="single"/>
              </w:rPr>
            </w:pPr>
            <w:r w:rsidRPr="00D51A68">
              <w:rPr>
                <w:rFonts w:ascii="Times New Roman" w:hAnsi="Times New Roman"/>
                <w:b/>
                <w:sz w:val="24"/>
                <w:u w:val="single"/>
              </w:rPr>
              <w:t>Non PMI</w:t>
            </w:r>
          </w:p>
          <w:p w:rsidR="004357B9" w:rsidRPr="00D51A68" w:rsidRDefault="004357B9" w:rsidP="004357B9">
            <w:pPr>
              <w:pStyle w:val="ListParagraph"/>
              <w:ind w:left="0"/>
              <w:rPr>
                <w:rFonts w:ascii="Times New Roman" w:hAnsi="Times New Roman"/>
                <w:sz w:val="24"/>
              </w:rPr>
            </w:pPr>
            <w:r w:rsidRPr="00D51A68">
              <w:rPr>
                <w:rFonts w:ascii="Times New Roman" w:hAnsi="Times New Roman"/>
                <w:sz w:val="24"/>
              </w:rPr>
              <w:t>Esposizioni al dettaglio conformemente all</w:t>
            </w:r>
            <w:r w:rsidR="0009277C" w:rsidRPr="00D51A68">
              <w:rPr>
                <w:rFonts w:ascii="Times New Roman" w:hAnsi="Times New Roman"/>
                <w:sz w:val="24"/>
              </w:rPr>
              <w:t>’</w:t>
            </w:r>
            <w:r w:rsidRPr="00D51A68">
              <w:rPr>
                <w:rFonts w:ascii="Times New Roman" w:hAnsi="Times New Roman"/>
                <w:sz w:val="24"/>
              </w:rPr>
              <w:t>articolo 147, paragrafo 2, lettera d), del CRR garantite da beni immobili.</w:t>
            </w:r>
          </w:p>
        </w:tc>
      </w:tr>
      <w:tr w:rsidR="004357B9" w:rsidRPr="00D51A68" w:rsidTr="00672D2A">
        <w:tc>
          <w:tcPr>
            <w:tcW w:w="1188" w:type="dxa"/>
          </w:tcPr>
          <w:p w:rsidR="004357B9" w:rsidRPr="00D51A68" w:rsidRDefault="004357B9" w:rsidP="004357B9">
            <w:pPr>
              <w:rPr>
                <w:rFonts w:ascii="Times New Roman" w:hAnsi="Times New Roman"/>
                <w:sz w:val="24"/>
              </w:rPr>
            </w:pPr>
            <w:r w:rsidRPr="00D51A68">
              <w:rPr>
                <w:rFonts w:ascii="Times New Roman" w:hAnsi="Times New Roman"/>
                <w:sz w:val="24"/>
              </w:rPr>
              <w:t>100</w:t>
            </w:r>
          </w:p>
        </w:tc>
        <w:tc>
          <w:tcPr>
            <w:tcW w:w="8640" w:type="dxa"/>
          </w:tcPr>
          <w:p w:rsidR="004357B9" w:rsidRPr="00D51A68" w:rsidRDefault="004357B9" w:rsidP="004357B9">
            <w:pPr>
              <w:rPr>
                <w:rFonts w:ascii="Times New Roman" w:hAnsi="Times New Roman"/>
                <w:b/>
                <w:sz w:val="24"/>
                <w:u w:val="single"/>
              </w:rPr>
            </w:pPr>
            <w:r w:rsidRPr="00D51A68">
              <w:rPr>
                <w:rFonts w:ascii="Times New Roman" w:hAnsi="Times New Roman"/>
                <w:b/>
                <w:sz w:val="24"/>
                <w:u w:val="single"/>
              </w:rPr>
              <w:t>Al dettaglio — Rotative qualificate</w:t>
            </w:r>
          </w:p>
          <w:p w:rsidR="004357B9" w:rsidRPr="00D51A68" w:rsidRDefault="004357B9" w:rsidP="004357B9">
            <w:pPr>
              <w:pStyle w:val="ListParagraph"/>
              <w:ind w:left="0"/>
              <w:rPr>
                <w:rFonts w:ascii="Times New Roman" w:hAnsi="Times New Roman"/>
                <w:sz w:val="24"/>
              </w:rPr>
            </w:pPr>
            <w:r w:rsidRPr="00D51A68">
              <w:rPr>
                <w:rFonts w:ascii="Times New Roman" w:hAnsi="Times New Roman"/>
                <w:sz w:val="24"/>
              </w:rPr>
              <w:t>(articolo 147, paragrafo 2, lettera d), in combinato disposto con l</w:t>
            </w:r>
            <w:r w:rsidR="0009277C" w:rsidRPr="00D51A68">
              <w:rPr>
                <w:rFonts w:ascii="Times New Roman" w:hAnsi="Times New Roman"/>
                <w:sz w:val="24"/>
              </w:rPr>
              <w:t>’</w:t>
            </w:r>
            <w:r w:rsidRPr="00D51A68">
              <w:rPr>
                <w:rFonts w:ascii="Times New Roman" w:hAnsi="Times New Roman"/>
                <w:sz w:val="24"/>
              </w:rPr>
              <w:t xml:space="preserve">articolo 154, paragrafo 4, del CRR) </w:t>
            </w:r>
          </w:p>
        </w:tc>
      </w:tr>
      <w:tr w:rsidR="004357B9" w:rsidRPr="00D51A68" w:rsidTr="00672D2A">
        <w:tc>
          <w:tcPr>
            <w:tcW w:w="1188" w:type="dxa"/>
          </w:tcPr>
          <w:p w:rsidR="004357B9" w:rsidRPr="00D51A68" w:rsidRDefault="004357B9" w:rsidP="004357B9">
            <w:pPr>
              <w:rPr>
                <w:rFonts w:ascii="Times New Roman" w:hAnsi="Times New Roman"/>
                <w:sz w:val="24"/>
              </w:rPr>
            </w:pPr>
            <w:r w:rsidRPr="00D51A68">
              <w:rPr>
                <w:rFonts w:ascii="Times New Roman" w:hAnsi="Times New Roman"/>
                <w:sz w:val="24"/>
              </w:rPr>
              <w:t>110</w:t>
            </w:r>
          </w:p>
        </w:tc>
        <w:tc>
          <w:tcPr>
            <w:tcW w:w="8640" w:type="dxa"/>
          </w:tcPr>
          <w:p w:rsidR="004357B9" w:rsidRPr="00D51A68" w:rsidRDefault="004357B9" w:rsidP="004357B9">
            <w:pPr>
              <w:rPr>
                <w:rFonts w:ascii="Times New Roman" w:hAnsi="Times New Roman"/>
                <w:b/>
                <w:sz w:val="24"/>
                <w:u w:val="single"/>
              </w:rPr>
            </w:pPr>
            <w:r w:rsidRPr="00D51A68">
              <w:rPr>
                <w:rFonts w:ascii="Times New Roman" w:hAnsi="Times New Roman"/>
                <w:b/>
                <w:sz w:val="24"/>
                <w:u w:val="single"/>
              </w:rPr>
              <w:t>Altre esposizioni al dettaglio</w:t>
            </w:r>
          </w:p>
          <w:p w:rsidR="004357B9" w:rsidRPr="00D51A68" w:rsidRDefault="004357B9" w:rsidP="004357B9">
            <w:pPr>
              <w:pStyle w:val="ListParagraph"/>
              <w:ind w:left="0"/>
              <w:rPr>
                <w:rFonts w:ascii="Times New Roman" w:hAnsi="Times New Roman"/>
                <w:sz w:val="24"/>
              </w:rPr>
            </w:pPr>
            <w:r w:rsidRPr="00D51A68">
              <w:rPr>
                <w:rFonts w:ascii="Times New Roman" w:hAnsi="Times New Roman"/>
                <w:sz w:val="24"/>
              </w:rPr>
              <w:t>Altre esposizioni al dettaglio conformemente all</w:t>
            </w:r>
            <w:r w:rsidR="0009277C" w:rsidRPr="00D51A68">
              <w:rPr>
                <w:rFonts w:ascii="Times New Roman" w:hAnsi="Times New Roman"/>
                <w:sz w:val="24"/>
              </w:rPr>
              <w:t>’</w:t>
            </w:r>
            <w:r w:rsidRPr="00D51A68">
              <w:rPr>
                <w:rFonts w:ascii="Times New Roman" w:hAnsi="Times New Roman"/>
                <w:sz w:val="24"/>
              </w:rPr>
              <w:t>articolo 147, paragrafo 2, lettera d), non segnalate nelle righe 070 — 100.</w:t>
            </w:r>
          </w:p>
        </w:tc>
      </w:tr>
      <w:tr w:rsidR="004357B9" w:rsidRPr="00D51A68" w:rsidTr="00672D2A">
        <w:tc>
          <w:tcPr>
            <w:tcW w:w="1188" w:type="dxa"/>
          </w:tcPr>
          <w:p w:rsidR="004357B9" w:rsidRPr="00D51A68" w:rsidRDefault="004357B9" w:rsidP="004357B9">
            <w:pPr>
              <w:rPr>
                <w:rFonts w:ascii="Times New Roman" w:hAnsi="Times New Roman"/>
                <w:sz w:val="24"/>
              </w:rPr>
            </w:pPr>
            <w:r w:rsidRPr="00D51A68">
              <w:rPr>
                <w:rFonts w:ascii="Times New Roman" w:hAnsi="Times New Roman"/>
                <w:sz w:val="24"/>
              </w:rPr>
              <w:t>120</w:t>
            </w:r>
          </w:p>
        </w:tc>
        <w:tc>
          <w:tcPr>
            <w:tcW w:w="8640" w:type="dxa"/>
          </w:tcPr>
          <w:p w:rsidR="004357B9" w:rsidRPr="00D51A68" w:rsidRDefault="004357B9" w:rsidP="004357B9">
            <w:pPr>
              <w:rPr>
                <w:rFonts w:ascii="Times New Roman" w:hAnsi="Times New Roman"/>
                <w:b/>
                <w:sz w:val="24"/>
                <w:u w:val="single"/>
              </w:rPr>
            </w:pPr>
            <w:r w:rsidRPr="00D51A68">
              <w:rPr>
                <w:rFonts w:ascii="Times New Roman" w:hAnsi="Times New Roman"/>
                <w:b/>
                <w:sz w:val="24"/>
                <w:u w:val="single"/>
              </w:rPr>
              <w:t>PMI</w:t>
            </w:r>
          </w:p>
          <w:p w:rsidR="004357B9" w:rsidRPr="00D51A68" w:rsidRDefault="004357B9" w:rsidP="004357B9">
            <w:pPr>
              <w:pStyle w:val="ListParagraph"/>
              <w:ind w:left="0"/>
              <w:rPr>
                <w:rFonts w:ascii="Times New Roman" w:hAnsi="Times New Roman"/>
                <w:sz w:val="24"/>
              </w:rPr>
            </w:pPr>
            <w:r w:rsidRPr="00D51A68">
              <w:rPr>
                <w:rFonts w:ascii="Times New Roman" w:hAnsi="Times New Roman"/>
                <w:sz w:val="24"/>
              </w:rPr>
              <w:t>Altre esposizioni al dettaglio conformemente all</w:t>
            </w:r>
            <w:r w:rsidR="0009277C" w:rsidRPr="00D51A68">
              <w:rPr>
                <w:rFonts w:ascii="Times New Roman" w:hAnsi="Times New Roman"/>
                <w:sz w:val="24"/>
              </w:rPr>
              <w:t>’</w:t>
            </w:r>
            <w:r w:rsidRPr="00D51A68">
              <w:rPr>
                <w:rFonts w:ascii="Times New Roman" w:hAnsi="Times New Roman"/>
                <w:sz w:val="24"/>
              </w:rPr>
              <w:t>articolo 147, paragrafo 2, lettera d), in combinato disposto con l</w:t>
            </w:r>
            <w:r w:rsidR="0009277C" w:rsidRPr="00D51A68">
              <w:rPr>
                <w:rFonts w:ascii="Times New Roman" w:hAnsi="Times New Roman"/>
                <w:sz w:val="24"/>
              </w:rPr>
              <w:t>’</w:t>
            </w:r>
            <w:r w:rsidRPr="00D51A68">
              <w:rPr>
                <w:rFonts w:ascii="Times New Roman" w:hAnsi="Times New Roman"/>
                <w:sz w:val="24"/>
              </w:rPr>
              <w:t>articolo 153, paragrafo 3, del CRR.</w:t>
            </w:r>
          </w:p>
        </w:tc>
      </w:tr>
      <w:tr w:rsidR="004357B9" w:rsidRPr="00D51A68" w:rsidTr="00672D2A">
        <w:tc>
          <w:tcPr>
            <w:tcW w:w="1188" w:type="dxa"/>
          </w:tcPr>
          <w:p w:rsidR="004357B9" w:rsidRPr="00D51A68" w:rsidRDefault="004357B9" w:rsidP="004357B9">
            <w:pPr>
              <w:rPr>
                <w:rFonts w:ascii="Times New Roman" w:hAnsi="Times New Roman"/>
                <w:sz w:val="24"/>
              </w:rPr>
            </w:pPr>
            <w:r w:rsidRPr="00D51A68">
              <w:rPr>
                <w:rFonts w:ascii="Times New Roman" w:hAnsi="Times New Roman"/>
                <w:sz w:val="24"/>
              </w:rPr>
              <w:t>130</w:t>
            </w:r>
          </w:p>
        </w:tc>
        <w:tc>
          <w:tcPr>
            <w:tcW w:w="8640" w:type="dxa"/>
          </w:tcPr>
          <w:p w:rsidR="004357B9" w:rsidRPr="00D51A68" w:rsidRDefault="004357B9" w:rsidP="004357B9">
            <w:pPr>
              <w:rPr>
                <w:rFonts w:ascii="Times New Roman" w:hAnsi="Times New Roman"/>
                <w:b/>
                <w:sz w:val="24"/>
                <w:u w:val="single"/>
              </w:rPr>
            </w:pPr>
            <w:r w:rsidRPr="00D51A68">
              <w:rPr>
                <w:rFonts w:ascii="Times New Roman" w:hAnsi="Times New Roman"/>
                <w:b/>
                <w:sz w:val="24"/>
                <w:u w:val="single"/>
              </w:rPr>
              <w:t>Non PMI</w:t>
            </w:r>
          </w:p>
          <w:p w:rsidR="004357B9" w:rsidRPr="00D51A68" w:rsidRDefault="004357B9" w:rsidP="004357B9">
            <w:pPr>
              <w:rPr>
                <w:rFonts w:ascii="Times New Roman" w:hAnsi="Times New Roman"/>
                <w:sz w:val="24"/>
              </w:rPr>
            </w:pPr>
            <w:r w:rsidRPr="00D51A68">
              <w:rPr>
                <w:rFonts w:ascii="Times New Roman" w:hAnsi="Times New Roman"/>
                <w:sz w:val="24"/>
              </w:rPr>
              <w:t>Altre esposizioni al dettaglio conformemente all</w:t>
            </w:r>
            <w:r w:rsidR="0009277C" w:rsidRPr="00D51A68">
              <w:rPr>
                <w:rFonts w:ascii="Times New Roman" w:hAnsi="Times New Roman"/>
                <w:sz w:val="24"/>
              </w:rPr>
              <w:t>’</w:t>
            </w:r>
            <w:r w:rsidRPr="00D51A68">
              <w:rPr>
                <w:rFonts w:ascii="Times New Roman" w:hAnsi="Times New Roman"/>
                <w:sz w:val="24"/>
              </w:rPr>
              <w:t>articolo 147, paragrafo 2, lettera d), del CRR.</w:t>
            </w:r>
          </w:p>
        </w:tc>
      </w:tr>
      <w:bookmarkEnd w:id="384"/>
      <w:tr w:rsidR="004357B9" w:rsidRPr="00D51A68" w:rsidTr="00672D2A">
        <w:tc>
          <w:tcPr>
            <w:tcW w:w="1188" w:type="dxa"/>
            <w:tcBorders>
              <w:top w:val="single" w:sz="4" w:space="0" w:color="auto"/>
              <w:left w:val="single" w:sz="4" w:space="0" w:color="auto"/>
              <w:bottom w:val="single" w:sz="4" w:space="0" w:color="auto"/>
              <w:right w:val="single" w:sz="4" w:space="0" w:color="auto"/>
            </w:tcBorders>
          </w:tcPr>
          <w:p w:rsidR="004357B9" w:rsidRPr="00D51A68" w:rsidRDefault="004357B9" w:rsidP="004357B9">
            <w:pPr>
              <w:rPr>
                <w:rFonts w:ascii="Times New Roman" w:hAnsi="Times New Roman"/>
                <w:sz w:val="24"/>
              </w:rPr>
            </w:pPr>
            <w:r w:rsidRPr="00D51A68">
              <w:rPr>
                <w:rFonts w:ascii="Times New Roman" w:hAnsi="Times New Roman"/>
                <w:sz w:val="24"/>
              </w:rPr>
              <w:t>140</w:t>
            </w:r>
          </w:p>
        </w:tc>
        <w:tc>
          <w:tcPr>
            <w:tcW w:w="8640" w:type="dxa"/>
            <w:tcBorders>
              <w:top w:val="single" w:sz="4" w:space="0" w:color="auto"/>
              <w:left w:val="single" w:sz="4" w:space="0" w:color="auto"/>
              <w:bottom w:val="single" w:sz="4" w:space="0" w:color="auto"/>
              <w:right w:val="single" w:sz="4" w:space="0" w:color="auto"/>
            </w:tcBorders>
          </w:tcPr>
          <w:p w:rsidR="004357B9" w:rsidRPr="00D51A68" w:rsidRDefault="004357B9" w:rsidP="004357B9">
            <w:pPr>
              <w:rPr>
                <w:rFonts w:ascii="Times New Roman" w:hAnsi="Times New Roman"/>
                <w:b/>
                <w:sz w:val="24"/>
                <w:u w:val="single"/>
              </w:rPr>
            </w:pPr>
            <w:r w:rsidRPr="00D51A68">
              <w:rPr>
                <w:rFonts w:ascii="Times New Roman" w:hAnsi="Times New Roman"/>
                <w:b/>
                <w:sz w:val="24"/>
                <w:u w:val="single"/>
              </w:rPr>
              <w:t>Strumenti di capitale</w:t>
            </w:r>
          </w:p>
          <w:p w:rsidR="004357B9" w:rsidRPr="00D51A68" w:rsidRDefault="004357B9" w:rsidP="004357B9">
            <w:pPr>
              <w:rPr>
                <w:rFonts w:ascii="Times New Roman" w:hAnsi="Times New Roman"/>
                <w:b/>
                <w:sz w:val="24"/>
                <w:u w:val="single"/>
              </w:rPr>
            </w:pPr>
            <w:r w:rsidRPr="00D51A68">
              <w:rPr>
                <w:rFonts w:ascii="Times New Roman" w:hAnsi="Times New Roman"/>
                <w:sz w:val="24"/>
              </w:rPr>
              <w:t>Esposizioni in strumenti di capitale conformemente all</w:t>
            </w:r>
            <w:r w:rsidR="0009277C" w:rsidRPr="00D51A68">
              <w:rPr>
                <w:rFonts w:ascii="Times New Roman" w:hAnsi="Times New Roman"/>
                <w:sz w:val="24"/>
              </w:rPr>
              <w:t>’</w:t>
            </w:r>
            <w:r w:rsidRPr="00D51A68">
              <w:rPr>
                <w:rFonts w:ascii="Times New Roman" w:hAnsi="Times New Roman"/>
                <w:sz w:val="24"/>
              </w:rPr>
              <w:t>articolo 147, paragrafo 2, lettera e), del CRR.</w:t>
            </w:r>
          </w:p>
        </w:tc>
      </w:tr>
      <w:tr w:rsidR="007A49AC" w:rsidRPr="00D51A68" w:rsidTr="00672D2A">
        <w:tc>
          <w:tcPr>
            <w:tcW w:w="1188" w:type="dxa"/>
            <w:tcBorders>
              <w:top w:val="single" w:sz="4" w:space="0" w:color="auto"/>
              <w:left w:val="single" w:sz="4" w:space="0" w:color="auto"/>
              <w:bottom w:val="single" w:sz="4" w:space="0" w:color="auto"/>
              <w:right w:val="single" w:sz="4" w:space="0" w:color="auto"/>
            </w:tcBorders>
          </w:tcPr>
          <w:p w:rsidR="007A49AC" w:rsidRPr="00D51A68" w:rsidRDefault="007A49AC" w:rsidP="004357B9">
            <w:pPr>
              <w:rPr>
                <w:rFonts w:ascii="Times New Roman" w:hAnsi="Times New Roman"/>
                <w:sz w:val="24"/>
              </w:rPr>
            </w:pPr>
            <w:r w:rsidRPr="00D51A68">
              <w:rPr>
                <w:rFonts w:ascii="Times New Roman" w:hAnsi="Times New Roman"/>
                <w:sz w:val="24"/>
              </w:rPr>
              <w:t>150</w:t>
            </w:r>
          </w:p>
        </w:tc>
        <w:tc>
          <w:tcPr>
            <w:tcW w:w="8640" w:type="dxa"/>
            <w:tcBorders>
              <w:top w:val="single" w:sz="4" w:space="0" w:color="auto"/>
              <w:left w:val="single" w:sz="4" w:space="0" w:color="auto"/>
              <w:bottom w:val="single" w:sz="4" w:space="0" w:color="auto"/>
              <w:right w:val="single" w:sz="4" w:space="0" w:color="auto"/>
            </w:tcBorders>
          </w:tcPr>
          <w:p w:rsidR="007A49AC" w:rsidRPr="00D51A68" w:rsidRDefault="007A49AC" w:rsidP="007A49AC">
            <w:pPr>
              <w:rPr>
                <w:rFonts w:ascii="Times New Roman" w:hAnsi="Times New Roman"/>
                <w:b/>
                <w:sz w:val="24"/>
                <w:u w:val="single"/>
              </w:rPr>
            </w:pPr>
            <w:r w:rsidRPr="00D51A68">
              <w:rPr>
                <w:rFonts w:ascii="Times New Roman" w:hAnsi="Times New Roman"/>
                <w:b/>
                <w:sz w:val="24"/>
                <w:u w:val="single"/>
              </w:rPr>
              <w:t>Esposizioni totali</w:t>
            </w:r>
          </w:p>
          <w:p w:rsidR="007A49AC" w:rsidRPr="00D51A68" w:rsidRDefault="007A49AC" w:rsidP="004357B9">
            <w:pPr>
              <w:rPr>
                <w:rFonts w:ascii="Times New Roman" w:hAnsi="Times New Roman"/>
                <w:b/>
                <w:sz w:val="24"/>
                <w:u w:val="single"/>
              </w:rPr>
            </w:pPr>
          </w:p>
        </w:tc>
      </w:tr>
    </w:tbl>
    <w:p w:rsidR="004357B9" w:rsidRPr="00D51A68" w:rsidRDefault="004357B9" w:rsidP="004357B9">
      <w:pPr>
        <w:spacing w:before="0" w:after="200" w:line="312" w:lineRule="auto"/>
        <w:jc w:val="left"/>
        <w:rPr>
          <w:rFonts w:ascii="Times New Roman" w:hAnsi="Times New Roman"/>
          <w:sz w:val="24"/>
        </w:rPr>
      </w:pPr>
    </w:p>
    <w:p w:rsidR="004357B9" w:rsidRPr="00D51A68" w:rsidRDefault="00125707" w:rsidP="0023700C">
      <w:pPr>
        <w:pStyle w:val="Instructionsberschrift2"/>
        <w:numPr>
          <w:ilvl w:val="0"/>
          <w:numId w:val="0"/>
        </w:numPr>
        <w:ind w:left="357" w:hanging="357"/>
        <w:rPr>
          <w:rFonts w:ascii="Times New Roman" w:hAnsi="Times New Roman" w:cs="Times New Roman"/>
          <w:sz w:val="24"/>
        </w:rPr>
      </w:pPr>
      <w:bookmarkStart w:id="393" w:name="_Toc360188366"/>
      <w:bookmarkStart w:id="394" w:name="_Toc516210652"/>
      <w:bookmarkStart w:id="395" w:name="_Toc473560917"/>
      <w:bookmarkStart w:id="396" w:name="_Toc524096597"/>
      <w:r w:rsidRPr="00D51A68">
        <w:rPr>
          <w:rFonts w:ascii="Times New Roman" w:hAnsi="Times New Roman"/>
          <w:sz w:val="24"/>
          <w:u w:val="none"/>
        </w:rPr>
        <w:t>3.4.3.</w:t>
      </w:r>
      <w:r w:rsidR="00A0772B" w:rsidRPr="00D51A68">
        <w:rPr>
          <w:u w:val="none"/>
        </w:rPr>
        <w:tab/>
      </w:r>
      <w:r w:rsidRPr="00D51A68">
        <w:rPr>
          <w:rFonts w:ascii="Times New Roman" w:hAnsi="Times New Roman"/>
          <w:sz w:val="24"/>
        </w:rPr>
        <w:t>C 09.04 — Ripartizione delle esposizioni creditizie rilevanti ai fini del calcolo della riserva di capitale anticiclica per paese e del coefficiente anticiclico specifico dell</w:t>
      </w:r>
      <w:r w:rsidR="0009277C" w:rsidRPr="00D51A68">
        <w:rPr>
          <w:rFonts w:ascii="Times New Roman" w:hAnsi="Times New Roman"/>
          <w:sz w:val="24"/>
        </w:rPr>
        <w:t>’</w:t>
      </w:r>
      <w:r w:rsidRPr="00D51A68">
        <w:rPr>
          <w:rFonts w:ascii="Times New Roman" w:hAnsi="Times New Roman"/>
          <w:sz w:val="24"/>
        </w:rPr>
        <w:t>ente</w:t>
      </w:r>
      <w:bookmarkEnd w:id="393"/>
      <w:r w:rsidRPr="00D51A68">
        <w:rPr>
          <w:rFonts w:ascii="Times New Roman" w:hAnsi="Times New Roman"/>
          <w:sz w:val="24"/>
        </w:rPr>
        <w:t xml:space="preserve"> (CCB)</w:t>
      </w:r>
      <w:bookmarkEnd w:id="394"/>
      <w:bookmarkEnd w:id="395"/>
      <w:bookmarkEnd w:id="396"/>
    </w:p>
    <w:p w:rsidR="004357B9" w:rsidRPr="00D51A68" w:rsidRDefault="00125707" w:rsidP="0023700C">
      <w:pPr>
        <w:pStyle w:val="Instructionsberschrift2"/>
        <w:numPr>
          <w:ilvl w:val="0"/>
          <w:numId w:val="0"/>
        </w:numPr>
        <w:ind w:left="357" w:hanging="357"/>
        <w:rPr>
          <w:rFonts w:ascii="Times New Roman" w:hAnsi="Times New Roman" w:cs="Times New Roman"/>
          <w:sz w:val="24"/>
          <w:u w:val="none"/>
        </w:rPr>
      </w:pPr>
      <w:bookmarkStart w:id="397" w:name="_Toc360188367"/>
      <w:bookmarkStart w:id="398" w:name="_Toc516210653"/>
      <w:bookmarkStart w:id="399" w:name="_Toc473560918"/>
      <w:bookmarkStart w:id="400" w:name="_Toc524096598"/>
      <w:r w:rsidRPr="00D51A68">
        <w:rPr>
          <w:rFonts w:ascii="Times New Roman" w:hAnsi="Times New Roman"/>
          <w:sz w:val="24"/>
          <w:u w:val="none"/>
        </w:rPr>
        <w:t>3.4.3.1.</w:t>
      </w:r>
      <w:r w:rsidR="00A0772B" w:rsidRPr="00D51A68">
        <w:rPr>
          <w:u w:val="none"/>
        </w:rPr>
        <w:tab/>
      </w:r>
      <w:r w:rsidRPr="00D51A68">
        <w:rPr>
          <w:rFonts w:ascii="Times New Roman" w:hAnsi="Times New Roman"/>
          <w:sz w:val="24"/>
          <w:u w:val="none"/>
        </w:rPr>
        <w:t>Osservazioni di carattere generale</w:t>
      </w:r>
      <w:bookmarkEnd w:id="397"/>
      <w:bookmarkEnd w:id="398"/>
      <w:bookmarkEnd w:id="399"/>
      <w:bookmarkEnd w:id="400"/>
    </w:p>
    <w:p w:rsidR="00430F6F" w:rsidRPr="00D51A68" w:rsidRDefault="00125707" w:rsidP="0073183F">
      <w:pPr>
        <w:pStyle w:val="InstructionsText2"/>
        <w:numPr>
          <w:ilvl w:val="0"/>
          <w:numId w:val="0"/>
        </w:numPr>
        <w:ind w:left="993"/>
      </w:pPr>
      <w:r w:rsidRPr="00D51A68">
        <w:t>82.</w:t>
      </w:r>
      <w:r w:rsidR="00A0772B" w:rsidRPr="00D51A68">
        <w:tab/>
      </w:r>
      <w:r w:rsidRPr="00D51A68">
        <w:t>Questa tabella ha lo scopo di raccogliere maggiori informazioni sugli elementi della riserva di capitale anticiclica specifica dell</w:t>
      </w:r>
      <w:r w:rsidR="0009277C" w:rsidRPr="00D51A68">
        <w:t>’</w:t>
      </w:r>
      <w:r w:rsidRPr="00D51A68">
        <w:t>ente. Le informazioni richieste riguardano i requisiti di fondi propri determinati conformemente alla parte tre, titoli II e IV del CRR e la localizzazione geografica delle esposizioni creditizie, delle esposizioni verso la cartolarizzazione e delle esposizioni inserite nel portafoglio di negoziazione rilevanti per il calcolo della riserva di capitale anticiclica specifica dell</w:t>
      </w:r>
      <w:r w:rsidR="0009277C" w:rsidRPr="00D51A68">
        <w:t>’</w:t>
      </w:r>
      <w:r w:rsidRPr="00D51A68">
        <w:t>ente (CCB) ai sensi dell</w:t>
      </w:r>
      <w:r w:rsidR="0009277C" w:rsidRPr="00D51A68">
        <w:t>’</w:t>
      </w:r>
      <w:r w:rsidRPr="00D51A68">
        <w:t xml:space="preserve">articolo 140 della CRD (esposizioni creditizie rilevanti). </w:t>
      </w:r>
    </w:p>
    <w:p w:rsidR="00430F6F" w:rsidRPr="00D51A68" w:rsidRDefault="00125707" w:rsidP="0073183F">
      <w:pPr>
        <w:pStyle w:val="InstructionsText2"/>
        <w:numPr>
          <w:ilvl w:val="0"/>
          <w:numId w:val="0"/>
        </w:numPr>
        <w:ind w:left="993"/>
      </w:pPr>
      <w:r w:rsidRPr="00D51A68">
        <w:t>83.</w:t>
      </w:r>
      <w:r w:rsidR="00A0772B" w:rsidRPr="00D51A68">
        <w:tab/>
      </w:r>
      <w:r w:rsidRPr="00D51A68">
        <w:t xml:space="preserve">Le informazioni nel modello C 09.04 sono fornite per il </w:t>
      </w:r>
      <w:r w:rsidR="0009277C" w:rsidRPr="00D51A68">
        <w:t>“</w:t>
      </w:r>
      <w:r w:rsidRPr="00D51A68">
        <w:t>Totale</w:t>
      </w:r>
      <w:r w:rsidR="0009277C" w:rsidRPr="00D51A68">
        <w:t>”</w:t>
      </w:r>
      <w:r w:rsidRPr="00D51A68">
        <w:t xml:space="preserve"> delle esposizioni creditizie rilevanti per tutti i paesi in cui dette esposizioni sono localizzate e individualmente per ogni paese in cui sono localizzate le esposizioni </w:t>
      </w:r>
      <w:r w:rsidRPr="00D51A68">
        <w:lastRenderedPageBreak/>
        <w:t xml:space="preserve">creditizie rilevanti. Gli importi complessivi e le informazioni su ciascun paese sono segnalati in una dimensione separata. </w:t>
      </w:r>
    </w:p>
    <w:p w:rsidR="007463E2" w:rsidRPr="00D51A68" w:rsidRDefault="00125707" w:rsidP="0073183F">
      <w:pPr>
        <w:pStyle w:val="InstructionsText2"/>
        <w:numPr>
          <w:ilvl w:val="0"/>
          <w:numId w:val="0"/>
        </w:numPr>
        <w:ind w:left="993"/>
      </w:pPr>
      <w:r w:rsidRPr="00D51A68">
        <w:t>84.</w:t>
      </w:r>
      <w:r w:rsidR="00A0772B" w:rsidRPr="00D51A68">
        <w:tab/>
      </w:r>
      <w:r w:rsidRPr="00D51A68">
        <w:t>La soglia di cui all</w:t>
      </w:r>
      <w:r w:rsidR="0009277C" w:rsidRPr="00D51A68">
        <w:t>’</w:t>
      </w:r>
      <w:r w:rsidRPr="00D51A68">
        <w:t>articolo 5, lettera a), punto 4, del presente regolamento non è rilevante ai fini della segnalazione di questa ripartizione.</w:t>
      </w:r>
    </w:p>
    <w:p w:rsidR="005A7CA9" w:rsidRPr="00D51A68" w:rsidRDefault="00125707" w:rsidP="0073183F">
      <w:pPr>
        <w:pStyle w:val="InstructionsText2"/>
        <w:numPr>
          <w:ilvl w:val="0"/>
          <w:numId w:val="0"/>
        </w:numPr>
        <w:ind w:left="993"/>
      </w:pPr>
      <w:r w:rsidRPr="00D51A68">
        <w:t>85.</w:t>
      </w:r>
      <w:r w:rsidR="00A0772B" w:rsidRPr="00D51A68">
        <w:tab/>
      </w:r>
      <w:r w:rsidRPr="00D51A68">
        <w:t>Per determinare la localizzazione geografica, le esposizioni sono assegnate sulla base dell</w:t>
      </w:r>
      <w:r w:rsidR="0009277C" w:rsidRPr="00D51A68">
        <w:t>’</w:t>
      </w:r>
      <w:r w:rsidRPr="00D51A68">
        <w:t>obbligato immediato, come disposto dal regolamento delegato (UE) n. 1152/2014 della Commissione, del 4 giugno 2014, per quanto riguarda le norme tecniche di regolamentazione sull</w:t>
      </w:r>
      <w:r w:rsidR="0009277C" w:rsidRPr="00D51A68">
        <w:t>’</w:t>
      </w:r>
      <w:r w:rsidRPr="00D51A68">
        <w:t>identificazione della localizzazione geografica delle esposizioni creditizie rilevanti ai fini del calcolo dei coefficienti anticiclici specifici dell</w:t>
      </w:r>
      <w:r w:rsidR="0009277C" w:rsidRPr="00D51A68">
        <w:t>’</w:t>
      </w:r>
      <w:r w:rsidRPr="00D51A68">
        <w:t>ente. Pertanto le tecniche di attenuazione del rischio di credito (CRM) non mutano l</w:t>
      </w:r>
      <w:r w:rsidR="0009277C" w:rsidRPr="00D51A68">
        <w:t>’</w:t>
      </w:r>
      <w:r w:rsidRPr="00D51A68">
        <w:t>attribuzione di un</w:t>
      </w:r>
      <w:r w:rsidR="0009277C" w:rsidRPr="00D51A68">
        <w:t>’</w:t>
      </w:r>
      <w:r w:rsidRPr="00D51A68">
        <w:t>esposizione alla sua localizzazione geografica ai fini della segnalazione delle informazioni di cui al presente modello.</w:t>
      </w:r>
    </w:p>
    <w:p w:rsidR="00154859" w:rsidRPr="00D51A68" w:rsidRDefault="00125707" w:rsidP="0023700C">
      <w:pPr>
        <w:pStyle w:val="Instructionsberschrift2"/>
        <w:numPr>
          <w:ilvl w:val="0"/>
          <w:numId w:val="0"/>
        </w:numPr>
        <w:ind w:left="357" w:hanging="357"/>
        <w:rPr>
          <w:rFonts w:ascii="Times New Roman" w:hAnsi="Times New Roman" w:cs="Times New Roman"/>
          <w:sz w:val="24"/>
        </w:rPr>
      </w:pPr>
      <w:bookmarkStart w:id="401" w:name="_Toc360188368"/>
      <w:bookmarkStart w:id="402" w:name="_Toc516210654"/>
      <w:bookmarkStart w:id="403" w:name="_Toc473560919"/>
      <w:bookmarkStart w:id="404" w:name="_Toc524096599"/>
      <w:r w:rsidRPr="00D51A68">
        <w:rPr>
          <w:rFonts w:ascii="Times New Roman" w:hAnsi="Times New Roman"/>
          <w:sz w:val="24"/>
          <w:u w:val="none"/>
        </w:rPr>
        <w:t>3.4.3.2.</w:t>
      </w:r>
      <w:r w:rsidR="00A0772B" w:rsidRPr="00D51A68">
        <w:rPr>
          <w:u w:val="none"/>
        </w:rPr>
        <w:tab/>
      </w:r>
      <w:r w:rsidRPr="00D51A68">
        <w:rPr>
          <w:rFonts w:ascii="Times New Roman" w:hAnsi="Times New Roman"/>
          <w:sz w:val="24"/>
        </w:rPr>
        <w:t>Istruzioni relative a posizioni specifiche</w:t>
      </w:r>
      <w:bookmarkEnd w:id="401"/>
      <w:bookmarkEnd w:id="402"/>
      <w:bookmarkEnd w:id="403"/>
      <w:bookmarkEnd w:id="40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4357B9" w:rsidRPr="00D51A68" w:rsidTr="00672D2A">
        <w:tc>
          <w:tcPr>
            <w:tcW w:w="1697" w:type="dxa"/>
            <w:shd w:val="clear" w:color="auto" w:fill="CCCCCC"/>
          </w:tcPr>
          <w:p w:rsidR="00154859" w:rsidRPr="00D51A68" w:rsidRDefault="00154859" w:rsidP="004357B9">
            <w:pPr>
              <w:rPr>
                <w:rFonts w:ascii="Times New Roman" w:hAnsi="Times New Roman"/>
                <w:b/>
                <w:sz w:val="24"/>
              </w:rPr>
            </w:pPr>
            <w:r w:rsidRPr="00D51A68">
              <w:rPr>
                <w:rFonts w:ascii="Times New Roman" w:hAnsi="Times New Roman"/>
                <w:b/>
                <w:sz w:val="24"/>
              </w:rPr>
              <w:t>Colonne</w:t>
            </w:r>
          </w:p>
        </w:tc>
        <w:tc>
          <w:tcPr>
            <w:tcW w:w="8131" w:type="dxa"/>
            <w:shd w:val="clear" w:color="auto" w:fill="CCCCCC"/>
          </w:tcPr>
          <w:p w:rsidR="004357B9" w:rsidRPr="00D51A68" w:rsidRDefault="004357B9" w:rsidP="004357B9">
            <w:pPr>
              <w:ind w:left="72"/>
              <w:rPr>
                <w:rFonts w:ascii="Times New Roman" w:hAnsi="Times New Roman"/>
                <w:sz w:val="24"/>
              </w:rPr>
            </w:pPr>
          </w:p>
        </w:tc>
      </w:tr>
      <w:tr w:rsidR="00154859" w:rsidRPr="00D51A68" w:rsidTr="00672D2A">
        <w:tc>
          <w:tcPr>
            <w:tcW w:w="1697" w:type="dxa"/>
          </w:tcPr>
          <w:p w:rsidR="00154859" w:rsidRPr="00D51A68" w:rsidRDefault="00154859" w:rsidP="004357B9">
            <w:pPr>
              <w:rPr>
                <w:rStyle w:val="InstructionsTabelleText"/>
                <w:rFonts w:ascii="Times New Roman" w:hAnsi="Times New Roman"/>
                <w:sz w:val="24"/>
              </w:rPr>
            </w:pPr>
            <w:r w:rsidRPr="00D51A68">
              <w:rPr>
                <w:rFonts w:ascii="Times New Roman" w:hAnsi="Times New Roman"/>
                <w:sz w:val="24"/>
              </w:rPr>
              <w:t>010</w:t>
            </w:r>
          </w:p>
        </w:tc>
        <w:tc>
          <w:tcPr>
            <w:tcW w:w="8131" w:type="dxa"/>
          </w:tcPr>
          <w:p w:rsidR="00154859" w:rsidRPr="00D51A68" w:rsidRDefault="00154859" w:rsidP="00133107">
            <w:pPr>
              <w:rPr>
                <w:rFonts w:ascii="Times New Roman" w:hAnsi="Times New Roman"/>
                <w:b/>
                <w:bCs/>
                <w:sz w:val="24"/>
                <w:u w:val="single"/>
              </w:rPr>
            </w:pPr>
            <w:r w:rsidRPr="00D51A68">
              <w:rPr>
                <w:rFonts w:ascii="Times New Roman" w:hAnsi="Times New Roman"/>
                <w:b/>
                <w:sz w:val="24"/>
                <w:u w:val="single"/>
              </w:rPr>
              <w:t>Importo</w:t>
            </w:r>
          </w:p>
          <w:p w:rsidR="00154859" w:rsidRPr="00D51A68" w:rsidRDefault="006E3440" w:rsidP="00535A98">
            <w:pPr>
              <w:rPr>
                <w:rFonts w:ascii="Times New Roman" w:hAnsi="Times New Roman"/>
                <w:b/>
                <w:sz w:val="24"/>
                <w:u w:val="single"/>
              </w:rPr>
            </w:pPr>
            <w:r w:rsidRPr="00D51A68">
              <w:rPr>
                <w:rFonts w:ascii="Times New Roman" w:hAnsi="Times New Roman"/>
                <w:sz w:val="24"/>
              </w:rPr>
              <w:t>Il valore delle esposizioni creditizie rilevanti e i requisiti di fondi propri associati determinati conformemente alle istruzioni relative alla rispettiva riga.</w:t>
            </w:r>
          </w:p>
        </w:tc>
      </w:tr>
      <w:tr w:rsidR="00154859" w:rsidRPr="00D51A68" w:rsidTr="00672D2A">
        <w:tc>
          <w:tcPr>
            <w:tcW w:w="1697" w:type="dxa"/>
          </w:tcPr>
          <w:p w:rsidR="00154859" w:rsidRPr="00D51A68" w:rsidRDefault="00154859" w:rsidP="004357B9">
            <w:pPr>
              <w:rPr>
                <w:sz w:val="24"/>
              </w:rPr>
            </w:pPr>
            <w:r w:rsidRPr="00D51A68">
              <w:rPr>
                <w:rFonts w:ascii="Times New Roman" w:hAnsi="Times New Roman"/>
                <w:sz w:val="24"/>
              </w:rPr>
              <w:t>020</w:t>
            </w:r>
          </w:p>
        </w:tc>
        <w:tc>
          <w:tcPr>
            <w:tcW w:w="8131" w:type="dxa"/>
          </w:tcPr>
          <w:p w:rsidR="00154859" w:rsidRPr="00D51A68" w:rsidRDefault="00154859" w:rsidP="00133107">
            <w:pPr>
              <w:rPr>
                <w:rFonts w:ascii="Times New Roman" w:hAnsi="Times New Roman"/>
                <w:b/>
                <w:bCs/>
                <w:sz w:val="24"/>
                <w:u w:val="single"/>
              </w:rPr>
            </w:pPr>
            <w:r w:rsidRPr="00D51A68">
              <w:rPr>
                <w:rFonts w:ascii="Times New Roman" w:hAnsi="Times New Roman"/>
                <w:b/>
                <w:sz w:val="24"/>
                <w:u w:val="single"/>
              </w:rPr>
              <w:t>Percentuale</w:t>
            </w:r>
          </w:p>
          <w:p w:rsidR="00154859" w:rsidRPr="00D51A68" w:rsidRDefault="00154859" w:rsidP="00133107">
            <w:pPr>
              <w:rPr>
                <w:rFonts w:ascii="Times New Roman" w:hAnsi="Times New Roman"/>
                <w:b/>
                <w:bCs/>
                <w:sz w:val="24"/>
                <w:u w:val="single"/>
              </w:rPr>
            </w:pPr>
          </w:p>
        </w:tc>
      </w:tr>
      <w:tr w:rsidR="00154859" w:rsidRPr="00D51A68" w:rsidTr="00672D2A">
        <w:tc>
          <w:tcPr>
            <w:tcW w:w="1697" w:type="dxa"/>
          </w:tcPr>
          <w:p w:rsidR="00154859" w:rsidRPr="00D51A68" w:rsidRDefault="00154859" w:rsidP="004357B9">
            <w:pPr>
              <w:rPr>
                <w:rFonts w:ascii="Times New Roman" w:hAnsi="Times New Roman"/>
                <w:sz w:val="24"/>
              </w:rPr>
            </w:pPr>
            <w:r w:rsidRPr="00D51A68">
              <w:rPr>
                <w:rFonts w:ascii="Times New Roman" w:hAnsi="Times New Roman"/>
                <w:sz w:val="24"/>
              </w:rPr>
              <w:t>030</w:t>
            </w:r>
          </w:p>
        </w:tc>
        <w:tc>
          <w:tcPr>
            <w:tcW w:w="8131" w:type="dxa"/>
          </w:tcPr>
          <w:p w:rsidR="00154859" w:rsidRPr="00D51A68" w:rsidRDefault="00187348" w:rsidP="00133107">
            <w:pPr>
              <w:autoSpaceDE w:val="0"/>
              <w:autoSpaceDN w:val="0"/>
              <w:adjustRightInd w:val="0"/>
              <w:rPr>
                <w:rFonts w:ascii="Times New Roman" w:hAnsi="Times New Roman"/>
                <w:b/>
                <w:bCs/>
                <w:sz w:val="24"/>
                <w:u w:val="single"/>
              </w:rPr>
            </w:pPr>
            <w:r w:rsidRPr="00D51A68">
              <w:rPr>
                <w:rFonts w:ascii="Times New Roman" w:hAnsi="Times New Roman"/>
                <w:b/>
                <w:sz w:val="24"/>
                <w:u w:val="single"/>
              </w:rPr>
              <w:t>Informazioni qualitative</w:t>
            </w:r>
          </w:p>
          <w:p w:rsidR="00514783" w:rsidRPr="00D51A68" w:rsidRDefault="00CA270D" w:rsidP="00234E7D">
            <w:pPr>
              <w:autoSpaceDE w:val="0"/>
              <w:autoSpaceDN w:val="0"/>
              <w:adjustRightInd w:val="0"/>
              <w:rPr>
                <w:rFonts w:ascii="Times New Roman" w:hAnsi="Times New Roman"/>
                <w:sz w:val="24"/>
              </w:rPr>
            </w:pPr>
            <w:r w:rsidRPr="00D51A68">
              <w:rPr>
                <w:rFonts w:ascii="Times New Roman" w:hAnsi="Times New Roman"/>
                <w:sz w:val="24"/>
              </w:rPr>
              <w:t>Queste informazioni sono segnalate solo per il paese di residenza dell</w:t>
            </w:r>
            <w:r w:rsidR="0009277C" w:rsidRPr="00D51A68">
              <w:rPr>
                <w:rFonts w:ascii="Times New Roman" w:hAnsi="Times New Roman"/>
                <w:sz w:val="24"/>
              </w:rPr>
              <w:t>’</w:t>
            </w:r>
            <w:r w:rsidRPr="00D51A68">
              <w:rPr>
                <w:rFonts w:ascii="Times New Roman" w:hAnsi="Times New Roman"/>
                <w:sz w:val="24"/>
              </w:rPr>
              <w:t xml:space="preserve">ente (la giurisdizione corrispondente al suo Stato membro di origine) e per il </w:t>
            </w:r>
            <w:r w:rsidR="0009277C" w:rsidRPr="00D51A68">
              <w:rPr>
                <w:rFonts w:ascii="Times New Roman" w:hAnsi="Times New Roman"/>
                <w:sz w:val="24"/>
              </w:rPr>
              <w:t>“</w:t>
            </w:r>
            <w:r w:rsidRPr="00D51A68">
              <w:rPr>
                <w:rFonts w:ascii="Times New Roman" w:hAnsi="Times New Roman"/>
                <w:sz w:val="24"/>
              </w:rPr>
              <w:t>Totale</w:t>
            </w:r>
            <w:r w:rsidR="0009277C" w:rsidRPr="00D51A68">
              <w:rPr>
                <w:rFonts w:ascii="Times New Roman" w:hAnsi="Times New Roman"/>
                <w:sz w:val="24"/>
              </w:rPr>
              <w:t>”</w:t>
            </w:r>
            <w:r w:rsidRPr="00D51A68">
              <w:rPr>
                <w:rFonts w:ascii="Times New Roman" w:hAnsi="Times New Roman"/>
                <w:sz w:val="24"/>
              </w:rPr>
              <w:t xml:space="preserve"> di tutti i paesi. </w:t>
            </w:r>
          </w:p>
          <w:p w:rsidR="00EF3F40" w:rsidRPr="00D51A68" w:rsidRDefault="00514783" w:rsidP="00514783">
            <w:pPr>
              <w:autoSpaceDE w:val="0"/>
              <w:autoSpaceDN w:val="0"/>
              <w:adjustRightInd w:val="0"/>
              <w:rPr>
                <w:rFonts w:ascii="Times New Roman" w:hAnsi="Times New Roman"/>
                <w:b/>
                <w:bCs/>
                <w:sz w:val="24"/>
                <w:u w:val="single"/>
              </w:rPr>
            </w:pPr>
            <w:r w:rsidRPr="00D51A68">
              <w:rPr>
                <w:rFonts w:ascii="Times New Roman" w:hAnsi="Times New Roman"/>
                <w:sz w:val="24"/>
              </w:rPr>
              <w:t>Gli enti indicano {y} o {n} conformemente alle istruzioni relative alla pertinente riga.</w:t>
            </w:r>
          </w:p>
        </w:tc>
      </w:tr>
    </w:tbl>
    <w:p w:rsidR="00464F34" w:rsidRPr="00D51A68" w:rsidRDefault="00464F34" w:rsidP="00FC1A76">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BD5485" w:rsidRPr="00D51A68" w:rsidTr="00672D2A">
        <w:tc>
          <w:tcPr>
            <w:tcW w:w="1697" w:type="dxa"/>
            <w:shd w:val="clear" w:color="auto" w:fill="CCCCCC"/>
          </w:tcPr>
          <w:p w:rsidR="00BD5485" w:rsidRPr="00D51A68" w:rsidRDefault="00BD5485" w:rsidP="00133107">
            <w:pPr>
              <w:rPr>
                <w:rFonts w:ascii="Times New Roman" w:hAnsi="Times New Roman"/>
                <w:b/>
                <w:sz w:val="24"/>
              </w:rPr>
            </w:pPr>
            <w:r w:rsidRPr="00D51A68">
              <w:rPr>
                <w:rFonts w:ascii="Times New Roman" w:hAnsi="Times New Roman"/>
                <w:b/>
                <w:sz w:val="24"/>
              </w:rPr>
              <w:t>Righe</w:t>
            </w:r>
          </w:p>
        </w:tc>
        <w:tc>
          <w:tcPr>
            <w:tcW w:w="8131" w:type="dxa"/>
            <w:shd w:val="clear" w:color="auto" w:fill="CCCCCC"/>
          </w:tcPr>
          <w:p w:rsidR="00BD5485" w:rsidRPr="00D51A68" w:rsidRDefault="00BD5485" w:rsidP="00133107">
            <w:pPr>
              <w:ind w:left="72"/>
              <w:rPr>
                <w:rFonts w:ascii="Times New Roman" w:hAnsi="Times New Roman"/>
                <w:sz w:val="24"/>
              </w:rPr>
            </w:pPr>
          </w:p>
        </w:tc>
      </w:tr>
      <w:tr w:rsidR="00BD5485" w:rsidRPr="00D51A68" w:rsidTr="00672D2A">
        <w:tc>
          <w:tcPr>
            <w:tcW w:w="1697" w:type="dxa"/>
          </w:tcPr>
          <w:p w:rsidR="00BD5485" w:rsidRPr="00D51A68" w:rsidRDefault="00BD5485" w:rsidP="00133107">
            <w:pPr>
              <w:rPr>
                <w:rStyle w:val="InstructionsTabelleText"/>
                <w:rFonts w:ascii="Times New Roman" w:hAnsi="Times New Roman"/>
                <w:sz w:val="24"/>
              </w:rPr>
            </w:pPr>
            <w:r w:rsidRPr="00D51A68">
              <w:rPr>
                <w:rFonts w:ascii="Times New Roman" w:hAnsi="Times New Roman"/>
                <w:sz w:val="24"/>
              </w:rPr>
              <w:t>010-020</w:t>
            </w:r>
          </w:p>
        </w:tc>
        <w:tc>
          <w:tcPr>
            <w:tcW w:w="8131" w:type="dxa"/>
          </w:tcPr>
          <w:p w:rsidR="00BD5485" w:rsidRPr="00D51A68" w:rsidRDefault="00BD5485" w:rsidP="00BD5485">
            <w:pPr>
              <w:rPr>
                <w:rFonts w:ascii="Times New Roman" w:hAnsi="Times New Roman"/>
                <w:b/>
                <w:bCs/>
                <w:sz w:val="24"/>
                <w:u w:val="single"/>
              </w:rPr>
            </w:pPr>
            <w:r w:rsidRPr="00D51A68">
              <w:rPr>
                <w:rFonts w:ascii="Times New Roman" w:hAnsi="Times New Roman"/>
                <w:b/>
                <w:sz w:val="24"/>
                <w:u w:val="single"/>
              </w:rPr>
              <w:t>Esposizioni creditizie rilevanti — Rischio di credito</w:t>
            </w:r>
          </w:p>
          <w:p w:rsidR="00BD5485" w:rsidRPr="00D51A68" w:rsidRDefault="00BD5485" w:rsidP="00BD5485">
            <w:pPr>
              <w:rPr>
                <w:rFonts w:ascii="Times New Roman" w:hAnsi="Times New Roman"/>
                <w:b/>
                <w:sz w:val="24"/>
                <w:u w:val="single"/>
              </w:rPr>
            </w:pPr>
            <w:r w:rsidRPr="00D51A68">
              <w:rPr>
                <w:rFonts w:ascii="Times New Roman" w:hAnsi="Times New Roman"/>
                <w:sz w:val="24"/>
              </w:rPr>
              <w:t>Esposizioni creditizie rilevanti come definite all</w:t>
            </w:r>
            <w:r w:rsidR="0009277C" w:rsidRPr="00D51A68">
              <w:rPr>
                <w:rFonts w:ascii="Times New Roman" w:hAnsi="Times New Roman"/>
                <w:sz w:val="24"/>
              </w:rPr>
              <w:t>’</w:t>
            </w:r>
            <w:r w:rsidRPr="00D51A68">
              <w:rPr>
                <w:rFonts w:ascii="Times New Roman" w:hAnsi="Times New Roman"/>
                <w:sz w:val="24"/>
              </w:rPr>
              <w:t>articolo 140, paragrafo 4</w:t>
            </w:r>
            <w:r w:rsidR="0073183F" w:rsidRPr="00D51A68">
              <w:rPr>
                <w:rFonts w:ascii="Times New Roman" w:hAnsi="Times New Roman"/>
                <w:sz w:val="24"/>
              </w:rPr>
              <w:t>, lettera </w:t>
            </w:r>
            <w:r w:rsidRPr="00D51A68">
              <w:rPr>
                <w:rFonts w:ascii="Times New Roman" w:hAnsi="Times New Roman"/>
                <w:sz w:val="24"/>
              </w:rPr>
              <w:t>a), della CRD.</w:t>
            </w:r>
          </w:p>
        </w:tc>
      </w:tr>
      <w:tr w:rsidR="00BD5485" w:rsidRPr="00D51A68" w:rsidTr="00672D2A">
        <w:tc>
          <w:tcPr>
            <w:tcW w:w="1697" w:type="dxa"/>
          </w:tcPr>
          <w:p w:rsidR="00BD5485" w:rsidRPr="00D51A68" w:rsidRDefault="00BD5485" w:rsidP="00133107">
            <w:pPr>
              <w:rPr>
                <w:sz w:val="24"/>
              </w:rPr>
            </w:pPr>
            <w:r w:rsidRPr="00D51A68">
              <w:rPr>
                <w:rFonts w:ascii="Times New Roman" w:hAnsi="Times New Roman"/>
                <w:sz w:val="24"/>
              </w:rPr>
              <w:t>010</w:t>
            </w:r>
          </w:p>
        </w:tc>
        <w:tc>
          <w:tcPr>
            <w:tcW w:w="8131" w:type="dxa"/>
          </w:tcPr>
          <w:p w:rsidR="00BD5485" w:rsidRPr="00D51A68" w:rsidRDefault="00BD5485" w:rsidP="00BD5485">
            <w:pPr>
              <w:rPr>
                <w:rFonts w:ascii="Times New Roman" w:hAnsi="Times New Roman"/>
                <w:b/>
                <w:bCs/>
                <w:sz w:val="24"/>
                <w:u w:val="single"/>
              </w:rPr>
            </w:pPr>
            <w:r w:rsidRPr="00D51A68">
              <w:rPr>
                <w:rFonts w:ascii="Times New Roman" w:hAnsi="Times New Roman"/>
                <w:b/>
                <w:sz w:val="24"/>
                <w:u w:val="single"/>
              </w:rPr>
              <w:t>Valore dell</w:t>
            </w:r>
            <w:r w:rsidR="0009277C" w:rsidRPr="00D51A68">
              <w:rPr>
                <w:rFonts w:ascii="Times New Roman" w:hAnsi="Times New Roman"/>
                <w:b/>
                <w:sz w:val="24"/>
                <w:u w:val="single"/>
              </w:rPr>
              <w:t>’</w:t>
            </w:r>
            <w:r w:rsidRPr="00D51A68">
              <w:rPr>
                <w:rFonts w:ascii="Times New Roman" w:hAnsi="Times New Roman"/>
                <w:b/>
                <w:sz w:val="24"/>
                <w:u w:val="single"/>
              </w:rPr>
              <w:t>esposizione secondo il metodo standardizzato</w:t>
            </w:r>
          </w:p>
          <w:p w:rsidR="00BD5485" w:rsidRPr="00D51A68" w:rsidRDefault="00BD5485" w:rsidP="00BD5485">
            <w:pPr>
              <w:autoSpaceDE w:val="0"/>
              <w:autoSpaceDN w:val="0"/>
              <w:adjustRightInd w:val="0"/>
              <w:rPr>
                <w:rFonts w:ascii="Times New Roman" w:hAnsi="Times New Roman"/>
                <w:sz w:val="24"/>
              </w:rPr>
            </w:pPr>
            <w:r w:rsidRPr="00D51A68">
              <w:rPr>
                <w:rFonts w:ascii="Times New Roman" w:hAnsi="Times New Roman"/>
                <w:sz w:val="24"/>
              </w:rPr>
              <w:t>Valore dell</w:t>
            </w:r>
            <w:r w:rsidR="0009277C" w:rsidRPr="00D51A68">
              <w:rPr>
                <w:rFonts w:ascii="Times New Roman" w:hAnsi="Times New Roman"/>
                <w:sz w:val="24"/>
              </w:rPr>
              <w:t>’</w:t>
            </w:r>
            <w:r w:rsidRPr="00D51A68">
              <w:rPr>
                <w:rFonts w:ascii="Times New Roman" w:hAnsi="Times New Roman"/>
                <w:sz w:val="24"/>
              </w:rPr>
              <w:t>esposizione determinato conformemente all</w:t>
            </w:r>
            <w:r w:rsidR="0009277C" w:rsidRPr="00D51A68">
              <w:rPr>
                <w:rFonts w:ascii="Times New Roman" w:hAnsi="Times New Roman"/>
                <w:sz w:val="24"/>
              </w:rPr>
              <w:t>’</w:t>
            </w:r>
            <w:r w:rsidRPr="00D51A68">
              <w:rPr>
                <w:rFonts w:ascii="Times New Roman" w:hAnsi="Times New Roman"/>
                <w:sz w:val="24"/>
              </w:rPr>
              <w:t>articolo 111 del CRR per le esposizioni creditizie rilevanti come definite all</w:t>
            </w:r>
            <w:r w:rsidR="0009277C" w:rsidRPr="00D51A68">
              <w:rPr>
                <w:rFonts w:ascii="Times New Roman" w:hAnsi="Times New Roman"/>
                <w:sz w:val="24"/>
              </w:rPr>
              <w:t>’</w:t>
            </w:r>
            <w:r w:rsidRPr="00D51A68">
              <w:rPr>
                <w:rFonts w:ascii="Times New Roman" w:hAnsi="Times New Roman"/>
                <w:sz w:val="24"/>
              </w:rPr>
              <w:t xml:space="preserve">articolo 140, paragrafo 4, lettera a), della CRD. </w:t>
            </w:r>
          </w:p>
          <w:p w:rsidR="00BD5485" w:rsidRPr="00D51A68" w:rsidRDefault="00BD5485" w:rsidP="005A7CA9">
            <w:pPr>
              <w:autoSpaceDE w:val="0"/>
              <w:autoSpaceDN w:val="0"/>
              <w:adjustRightInd w:val="0"/>
              <w:rPr>
                <w:rFonts w:ascii="Times New Roman" w:hAnsi="Times New Roman"/>
                <w:b/>
                <w:bCs/>
                <w:sz w:val="24"/>
                <w:u w:val="single"/>
              </w:rPr>
            </w:pPr>
            <w:r w:rsidRPr="00D51A68">
              <w:rPr>
                <w:rFonts w:ascii="Times New Roman" w:hAnsi="Times New Roman"/>
                <w:sz w:val="24"/>
              </w:rPr>
              <w:t>Il valore dell</w:t>
            </w:r>
            <w:r w:rsidR="0009277C" w:rsidRPr="00D51A68">
              <w:rPr>
                <w:rFonts w:ascii="Times New Roman" w:hAnsi="Times New Roman"/>
                <w:sz w:val="24"/>
              </w:rPr>
              <w:t>’</w:t>
            </w:r>
            <w:r w:rsidRPr="00D51A68">
              <w:rPr>
                <w:rFonts w:ascii="Times New Roman" w:hAnsi="Times New Roman"/>
                <w:sz w:val="24"/>
              </w:rPr>
              <w:t>esposizione delle posizioni verso la cartolarizzazione nel portafoglio bancario secondo il metodo standardizzato non è indicato in questa riga bensì nella riga 050.</w:t>
            </w:r>
          </w:p>
        </w:tc>
      </w:tr>
      <w:tr w:rsidR="00BD5485" w:rsidRPr="00D51A68" w:rsidTr="00672D2A">
        <w:tc>
          <w:tcPr>
            <w:tcW w:w="1697" w:type="dxa"/>
          </w:tcPr>
          <w:p w:rsidR="00BD5485" w:rsidRPr="00D51A68" w:rsidRDefault="00BD5485" w:rsidP="00133107">
            <w:pPr>
              <w:rPr>
                <w:rFonts w:ascii="Times New Roman" w:hAnsi="Times New Roman"/>
                <w:sz w:val="24"/>
              </w:rPr>
            </w:pPr>
            <w:r w:rsidRPr="00D51A68">
              <w:rPr>
                <w:rFonts w:ascii="Times New Roman" w:hAnsi="Times New Roman"/>
                <w:sz w:val="24"/>
              </w:rPr>
              <w:lastRenderedPageBreak/>
              <w:t>020</w:t>
            </w:r>
          </w:p>
        </w:tc>
        <w:tc>
          <w:tcPr>
            <w:tcW w:w="8131" w:type="dxa"/>
          </w:tcPr>
          <w:p w:rsidR="00BD5485" w:rsidRPr="00D51A68" w:rsidRDefault="00BD5485" w:rsidP="00BD5485">
            <w:pPr>
              <w:rPr>
                <w:rFonts w:ascii="Times New Roman" w:hAnsi="Times New Roman"/>
                <w:b/>
                <w:bCs/>
                <w:sz w:val="24"/>
                <w:u w:val="single"/>
              </w:rPr>
            </w:pPr>
            <w:r w:rsidRPr="00D51A68">
              <w:rPr>
                <w:rFonts w:ascii="Times New Roman" w:hAnsi="Times New Roman"/>
                <w:b/>
                <w:sz w:val="24"/>
                <w:u w:val="single"/>
              </w:rPr>
              <w:t>Valore dell</w:t>
            </w:r>
            <w:r w:rsidR="0009277C" w:rsidRPr="00D51A68">
              <w:rPr>
                <w:rFonts w:ascii="Times New Roman" w:hAnsi="Times New Roman"/>
                <w:b/>
                <w:sz w:val="24"/>
                <w:u w:val="single"/>
              </w:rPr>
              <w:t>’</w:t>
            </w:r>
            <w:r w:rsidRPr="00D51A68">
              <w:rPr>
                <w:rFonts w:ascii="Times New Roman" w:hAnsi="Times New Roman"/>
                <w:b/>
                <w:sz w:val="24"/>
                <w:u w:val="single"/>
              </w:rPr>
              <w:t>esposizione secondo il metodo IRB</w:t>
            </w:r>
          </w:p>
          <w:p w:rsidR="00BD5485" w:rsidRPr="00D51A68" w:rsidRDefault="00BD5485" w:rsidP="00BD5485">
            <w:pPr>
              <w:autoSpaceDE w:val="0"/>
              <w:autoSpaceDN w:val="0"/>
              <w:adjustRightInd w:val="0"/>
              <w:rPr>
                <w:rFonts w:ascii="Times New Roman" w:hAnsi="Times New Roman"/>
                <w:sz w:val="24"/>
              </w:rPr>
            </w:pPr>
            <w:r w:rsidRPr="00D51A68">
              <w:rPr>
                <w:rFonts w:ascii="Times New Roman" w:hAnsi="Times New Roman"/>
                <w:sz w:val="24"/>
              </w:rPr>
              <w:t>Valore dell</w:t>
            </w:r>
            <w:r w:rsidR="0009277C" w:rsidRPr="00D51A68">
              <w:rPr>
                <w:rFonts w:ascii="Times New Roman" w:hAnsi="Times New Roman"/>
                <w:sz w:val="24"/>
              </w:rPr>
              <w:t>’</w:t>
            </w:r>
            <w:r w:rsidRPr="00D51A68">
              <w:rPr>
                <w:rFonts w:ascii="Times New Roman" w:hAnsi="Times New Roman"/>
                <w:sz w:val="24"/>
              </w:rPr>
              <w:t>esposizione determinato conformemente all</w:t>
            </w:r>
            <w:r w:rsidR="0009277C" w:rsidRPr="00D51A68">
              <w:rPr>
                <w:rFonts w:ascii="Times New Roman" w:hAnsi="Times New Roman"/>
                <w:sz w:val="24"/>
              </w:rPr>
              <w:t>’</w:t>
            </w:r>
            <w:r w:rsidRPr="00D51A68">
              <w:rPr>
                <w:rFonts w:ascii="Times New Roman" w:hAnsi="Times New Roman"/>
                <w:sz w:val="24"/>
              </w:rPr>
              <w:t>articolo 166 del CRR per le esposizioni creditizie rilevanti come definite all</w:t>
            </w:r>
            <w:r w:rsidR="0009277C" w:rsidRPr="00D51A68">
              <w:rPr>
                <w:rFonts w:ascii="Times New Roman" w:hAnsi="Times New Roman"/>
                <w:sz w:val="24"/>
              </w:rPr>
              <w:t>’</w:t>
            </w:r>
            <w:r w:rsidRPr="00D51A68">
              <w:rPr>
                <w:rFonts w:ascii="Times New Roman" w:hAnsi="Times New Roman"/>
                <w:sz w:val="24"/>
              </w:rPr>
              <w:t xml:space="preserve">articolo 140, paragrafo 4, lettera a), della CRD. </w:t>
            </w:r>
          </w:p>
          <w:p w:rsidR="00BD5485" w:rsidRPr="00D51A68" w:rsidRDefault="00BD5485" w:rsidP="00BD5485">
            <w:pPr>
              <w:rPr>
                <w:rFonts w:ascii="Times New Roman" w:hAnsi="Times New Roman"/>
                <w:b/>
                <w:bCs/>
                <w:sz w:val="24"/>
                <w:u w:val="single"/>
              </w:rPr>
            </w:pPr>
            <w:r w:rsidRPr="00D51A68">
              <w:rPr>
                <w:rFonts w:ascii="Times New Roman" w:hAnsi="Times New Roman"/>
                <w:sz w:val="24"/>
              </w:rPr>
              <w:t>Il valore dell</w:t>
            </w:r>
            <w:r w:rsidR="0009277C" w:rsidRPr="00D51A68">
              <w:rPr>
                <w:rFonts w:ascii="Times New Roman" w:hAnsi="Times New Roman"/>
                <w:sz w:val="24"/>
              </w:rPr>
              <w:t>’</w:t>
            </w:r>
            <w:r w:rsidRPr="00D51A68">
              <w:rPr>
                <w:rFonts w:ascii="Times New Roman" w:hAnsi="Times New Roman"/>
                <w:sz w:val="24"/>
              </w:rPr>
              <w:t>esposizione delle posizioni verso la cartolarizzazione nel portafoglio bancario secondo il metodo IRB non è indicato in questa riga bensì nella riga 060.</w:t>
            </w:r>
          </w:p>
        </w:tc>
      </w:tr>
      <w:tr w:rsidR="00BD5485" w:rsidRPr="00D51A68" w:rsidTr="00672D2A">
        <w:tc>
          <w:tcPr>
            <w:tcW w:w="1697" w:type="dxa"/>
          </w:tcPr>
          <w:p w:rsidR="00BD5485" w:rsidRPr="00D51A68" w:rsidRDefault="00BD5485" w:rsidP="00133107">
            <w:pPr>
              <w:rPr>
                <w:rFonts w:ascii="Times New Roman" w:hAnsi="Times New Roman"/>
                <w:sz w:val="24"/>
              </w:rPr>
            </w:pPr>
            <w:r w:rsidRPr="00D51A68">
              <w:rPr>
                <w:rFonts w:ascii="Times New Roman" w:hAnsi="Times New Roman"/>
                <w:sz w:val="24"/>
              </w:rPr>
              <w:t>030-040</w:t>
            </w:r>
          </w:p>
        </w:tc>
        <w:tc>
          <w:tcPr>
            <w:tcW w:w="8131" w:type="dxa"/>
          </w:tcPr>
          <w:p w:rsidR="00BD5485" w:rsidRPr="00D51A68" w:rsidRDefault="00BD5485" w:rsidP="00BD5485">
            <w:pPr>
              <w:rPr>
                <w:rFonts w:ascii="Times New Roman" w:hAnsi="Times New Roman"/>
                <w:b/>
                <w:bCs/>
                <w:sz w:val="24"/>
                <w:u w:val="single"/>
              </w:rPr>
            </w:pPr>
            <w:r w:rsidRPr="00D51A68">
              <w:rPr>
                <w:rFonts w:ascii="Times New Roman" w:hAnsi="Times New Roman"/>
                <w:b/>
                <w:sz w:val="24"/>
                <w:u w:val="single"/>
              </w:rPr>
              <w:t>Esposizioni creditizie rilevanti — Rischio di mercato</w:t>
            </w:r>
          </w:p>
          <w:p w:rsidR="00BD5485" w:rsidRPr="00D51A68" w:rsidRDefault="00BD5485" w:rsidP="00BD5485">
            <w:pPr>
              <w:rPr>
                <w:rFonts w:ascii="Times New Roman" w:hAnsi="Times New Roman"/>
                <w:b/>
                <w:bCs/>
                <w:sz w:val="24"/>
                <w:u w:val="single"/>
              </w:rPr>
            </w:pPr>
            <w:r w:rsidRPr="00D51A68">
              <w:rPr>
                <w:rFonts w:ascii="Times New Roman" w:hAnsi="Times New Roman"/>
                <w:sz w:val="24"/>
              </w:rPr>
              <w:t>Esposizioni creditizie rilevanti come definite all</w:t>
            </w:r>
            <w:r w:rsidR="0009277C" w:rsidRPr="00D51A68">
              <w:rPr>
                <w:rFonts w:ascii="Times New Roman" w:hAnsi="Times New Roman"/>
                <w:sz w:val="24"/>
              </w:rPr>
              <w:t>’</w:t>
            </w:r>
            <w:r w:rsidRPr="00D51A68">
              <w:rPr>
                <w:rFonts w:ascii="Times New Roman" w:hAnsi="Times New Roman"/>
                <w:sz w:val="24"/>
              </w:rPr>
              <w:t>articolo 140, paragrafo 4, lettera b), della CRD.</w:t>
            </w:r>
          </w:p>
        </w:tc>
      </w:tr>
      <w:tr w:rsidR="00BD5485" w:rsidRPr="00D51A68" w:rsidTr="00672D2A">
        <w:tc>
          <w:tcPr>
            <w:tcW w:w="1697" w:type="dxa"/>
          </w:tcPr>
          <w:p w:rsidR="00BD5485" w:rsidRPr="00D51A68" w:rsidRDefault="00BD5485" w:rsidP="00133107">
            <w:pPr>
              <w:rPr>
                <w:rFonts w:ascii="Times New Roman" w:hAnsi="Times New Roman"/>
                <w:sz w:val="24"/>
              </w:rPr>
            </w:pPr>
            <w:r w:rsidRPr="00D51A68">
              <w:rPr>
                <w:rFonts w:ascii="Times New Roman" w:hAnsi="Times New Roman"/>
                <w:sz w:val="24"/>
              </w:rPr>
              <w:t>030</w:t>
            </w:r>
          </w:p>
        </w:tc>
        <w:tc>
          <w:tcPr>
            <w:tcW w:w="8131" w:type="dxa"/>
          </w:tcPr>
          <w:p w:rsidR="00BD5485" w:rsidRPr="00D51A68" w:rsidRDefault="00BD5485" w:rsidP="00BD5485">
            <w:pPr>
              <w:rPr>
                <w:rFonts w:ascii="Times New Roman" w:hAnsi="Times New Roman"/>
                <w:b/>
                <w:bCs/>
                <w:sz w:val="24"/>
                <w:u w:val="single"/>
              </w:rPr>
            </w:pPr>
            <w:r w:rsidRPr="00D51A68">
              <w:rPr>
                <w:rFonts w:ascii="Times New Roman" w:hAnsi="Times New Roman"/>
                <w:b/>
                <w:sz w:val="24"/>
                <w:u w:val="single"/>
              </w:rPr>
              <w:t>Somma delle posizioni lunghe e corte in esposizioni nel portafoglio di negoziazione secondo i metodi standardizzati</w:t>
            </w:r>
          </w:p>
          <w:p w:rsidR="00BD5485" w:rsidRPr="00D51A68" w:rsidRDefault="00BD5485" w:rsidP="00BD5485">
            <w:pPr>
              <w:autoSpaceDE w:val="0"/>
              <w:autoSpaceDN w:val="0"/>
              <w:adjustRightInd w:val="0"/>
              <w:rPr>
                <w:rFonts w:ascii="Times New Roman" w:hAnsi="Times New Roman"/>
                <w:sz w:val="24"/>
              </w:rPr>
            </w:pPr>
            <w:r w:rsidRPr="00D51A68">
              <w:rPr>
                <w:rFonts w:ascii="Times New Roman" w:hAnsi="Times New Roman"/>
                <w:sz w:val="24"/>
              </w:rPr>
              <w:t>Somma delle posizioni lunghe nette e corte nette ai sensi dell</w:t>
            </w:r>
            <w:r w:rsidR="0009277C" w:rsidRPr="00D51A68">
              <w:rPr>
                <w:rFonts w:ascii="Times New Roman" w:hAnsi="Times New Roman"/>
                <w:sz w:val="24"/>
              </w:rPr>
              <w:t>’</w:t>
            </w:r>
            <w:r w:rsidRPr="00D51A68">
              <w:rPr>
                <w:rFonts w:ascii="Times New Roman" w:hAnsi="Times New Roman"/>
                <w:sz w:val="24"/>
              </w:rPr>
              <w:t>articolo 327 del CRR delle esposizioni creditizie rilevanti come definite all</w:t>
            </w:r>
            <w:r w:rsidR="0009277C" w:rsidRPr="00D51A68">
              <w:rPr>
                <w:rFonts w:ascii="Times New Roman" w:hAnsi="Times New Roman"/>
                <w:sz w:val="24"/>
              </w:rPr>
              <w:t>’</w:t>
            </w:r>
            <w:r w:rsidRPr="00D51A68">
              <w:rPr>
                <w:rFonts w:ascii="Times New Roman" w:hAnsi="Times New Roman"/>
                <w:sz w:val="24"/>
              </w:rPr>
              <w:t>articolo 140</w:t>
            </w:r>
            <w:r w:rsidR="0073183F" w:rsidRPr="00D51A68">
              <w:rPr>
                <w:rFonts w:ascii="Times New Roman" w:hAnsi="Times New Roman"/>
                <w:sz w:val="24"/>
              </w:rPr>
              <w:t>, paragrafo </w:t>
            </w:r>
            <w:r w:rsidRPr="00D51A68">
              <w:rPr>
                <w:rFonts w:ascii="Times New Roman" w:hAnsi="Times New Roman"/>
                <w:sz w:val="24"/>
              </w:rPr>
              <w:t xml:space="preserve">4, lettera b), della CRD ai sensi della parte tre, titolo IV, capo 2, del CRR: </w:t>
            </w:r>
          </w:p>
          <w:p w:rsidR="00C4425F" w:rsidRPr="00D51A68" w:rsidRDefault="00125707" w:rsidP="0023700C">
            <w:pPr>
              <w:autoSpaceDE w:val="0"/>
              <w:autoSpaceDN w:val="0"/>
              <w:adjustRightInd w:val="0"/>
              <w:ind w:left="357" w:hanging="357"/>
              <w:contextualSpacing/>
              <w:rPr>
                <w:rFonts w:ascii="Times New Roman" w:hAnsi="Times New Roman"/>
                <w:sz w:val="24"/>
              </w:rPr>
            </w:pPr>
            <w:r w:rsidRPr="00D51A68">
              <w:rPr>
                <w:rFonts w:ascii="Times New Roman" w:hAnsi="Times New Roman"/>
                <w:sz w:val="24"/>
              </w:rPr>
              <w:t>-</w:t>
            </w:r>
            <w:r w:rsidR="00A0772B" w:rsidRPr="00D51A68">
              <w:tab/>
            </w:r>
            <w:r w:rsidRPr="00D51A68">
              <w:rPr>
                <w:rFonts w:ascii="Times New Roman" w:hAnsi="Times New Roman"/>
                <w:sz w:val="24"/>
              </w:rPr>
              <w:t xml:space="preserve">esposizioni verso strumenti di debito diversi dalla cartolarizzazione; </w:t>
            </w:r>
          </w:p>
          <w:p w:rsidR="00C4425F" w:rsidRPr="00D51A68" w:rsidRDefault="00125707" w:rsidP="0023700C">
            <w:pPr>
              <w:autoSpaceDE w:val="0"/>
              <w:autoSpaceDN w:val="0"/>
              <w:adjustRightInd w:val="0"/>
              <w:ind w:left="357" w:hanging="357"/>
              <w:contextualSpacing/>
              <w:rPr>
                <w:rFonts w:ascii="Times New Roman" w:hAnsi="Times New Roman"/>
                <w:sz w:val="24"/>
              </w:rPr>
            </w:pPr>
            <w:r w:rsidRPr="00D51A68">
              <w:rPr>
                <w:rFonts w:ascii="Times New Roman" w:hAnsi="Times New Roman"/>
                <w:sz w:val="24"/>
              </w:rPr>
              <w:t>-</w:t>
            </w:r>
            <w:r w:rsidR="00A0772B" w:rsidRPr="00D51A68">
              <w:tab/>
            </w:r>
            <w:r w:rsidRPr="00D51A68">
              <w:rPr>
                <w:rFonts w:ascii="Times New Roman" w:hAnsi="Times New Roman"/>
                <w:sz w:val="24"/>
              </w:rPr>
              <w:t xml:space="preserve">esposizioni verso posizioni verso la cartolarizzazione nel portafoglio di negoziazione </w:t>
            </w:r>
          </w:p>
          <w:p w:rsidR="00C4425F" w:rsidRPr="00D51A68" w:rsidRDefault="00125707" w:rsidP="0023700C">
            <w:pPr>
              <w:autoSpaceDE w:val="0"/>
              <w:autoSpaceDN w:val="0"/>
              <w:adjustRightInd w:val="0"/>
              <w:ind w:left="357" w:hanging="357"/>
              <w:contextualSpacing/>
              <w:rPr>
                <w:rFonts w:ascii="Times New Roman" w:hAnsi="Times New Roman"/>
                <w:sz w:val="24"/>
              </w:rPr>
            </w:pPr>
            <w:r w:rsidRPr="00D51A68">
              <w:rPr>
                <w:rFonts w:ascii="Times New Roman" w:hAnsi="Times New Roman"/>
                <w:sz w:val="24"/>
              </w:rPr>
              <w:t>-</w:t>
            </w:r>
            <w:r w:rsidR="00A0772B" w:rsidRPr="00D51A68">
              <w:tab/>
            </w:r>
            <w:r w:rsidRPr="00D51A68">
              <w:rPr>
                <w:rFonts w:ascii="Times New Roman" w:hAnsi="Times New Roman"/>
                <w:sz w:val="24"/>
              </w:rPr>
              <w:t>esposizioni verso portafogli di negoziazione di correlazione;</w:t>
            </w:r>
          </w:p>
          <w:p w:rsidR="00C4425F" w:rsidRPr="00D51A68" w:rsidRDefault="00125707" w:rsidP="0023700C">
            <w:pPr>
              <w:autoSpaceDE w:val="0"/>
              <w:autoSpaceDN w:val="0"/>
              <w:adjustRightInd w:val="0"/>
              <w:ind w:left="357" w:hanging="357"/>
              <w:contextualSpacing/>
              <w:rPr>
                <w:rFonts w:ascii="Times New Roman" w:hAnsi="Times New Roman"/>
                <w:sz w:val="24"/>
              </w:rPr>
            </w:pPr>
            <w:r w:rsidRPr="00D51A68">
              <w:rPr>
                <w:rFonts w:ascii="Times New Roman" w:hAnsi="Times New Roman"/>
                <w:sz w:val="24"/>
              </w:rPr>
              <w:t>-</w:t>
            </w:r>
            <w:r w:rsidR="00A0772B" w:rsidRPr="00D51A68">
              <w:tab/>
            </w:r>
            <w:r w:rsidRPr="00D51A68">
              <w:rPr>
                <w:rFonts w:ascii="Times New Roman" w:hAnsi="Times New Roman"/>
                <w:sz w:val="24"/>
              </w:rPr>
              <w:t>esposizioni verso titoli di capitale; e</w:t>
            </w:r>
          </w:p>
          <w:p w:rsidR="00797715" w:rsidRPr="00D51A68" w:rsidRDefault="00125707" w:rsidP="0023700C">
            <w:pPr>
              <w:autoSpaceDE w:val="0"/>
              <w:autoSpaceDN w:val="0"/>
              <w:adjustRightInd w:val="0"/>
              <w:ind w:left="357" w:hanging="357"/>
              <w:contextualSpacing/>
              <w:rPr>
                <w:rFonts w:ascii="Times New Roman" w:hAnsi="Times New Roman"/>
                <w:b/>
                <w:bCs/>
                <w:sz w:val="24"/>
                <w:u w:val="single"/>
              </w:rPr>
            </w:pPr>
            <w:r w:rsidRPr="00D51A68">
              <w:rPr>
                <w:rFonts w:ascii="Times New Roman" w:hAnsi="Times New Roman"/>
                <w:sz w:val="24"/>
              </w:rPr>
              <w:t>-</w:t>
            </w:r>
            <w:r w:rsidR="00A0772B" w:rsidRPr="00D51A68">
              <w:tab/>
            </w:r>
            <w:r w:rsidRPr="00D51A68">
              <w:rPr>
                <w:rFonts w:ascii="Times New Roman" w:hAnsi="Times New Roman"/>
                <w:sz w:val="24"/>
              </w:rPr>
              <w:t>esposizioni verso OIC se i requisiti patrimoniali sono calcolati conformemente all</w:t>
            </w:r>
            <w:r w:rsidR="0009277C" w:rsidRPr="00D51A68">
              <w:rPr>
                <w:rFonts w:ascii="Times New Roman" w:hAnsi="Times New Roman"/>
                <w:sz w:val="24"/>
              </w:rPr>
              <w:t>’</w:t>
            </w:r>
            <w:r w:rsidRPr="00D51A68">
              <w:rPr>
                <w:rFonts w:ascii="Times New Roman" w:hAnsi="Times New Roman"/>
                <w:sz w:val="24"/>
              </w:rPr>
              <w:t>articolo 348 del CRR.</w:t>
            </w:r>
          </w:p>
        </w:tc>
      </w:tr>
      <w:tr w:rsidR="00BD5485" w:rsidRPr="00D51A68" w:rsidTr="00672D2A">
        <w:tc>
          <w:tcPr>
            <w:tcW w:w="1697" w:type="dxa"/>
          </w:tcPr>
          <w:p w:rsidR="00BD5485" w:rsidRPr="00D51A68" w:rsidRDefault="00BD5485" w:rsidP="00133107">
            <w:pPr>
              <w:rPr>
                <w:rFonts w:ascii="Times New Roman" w:hAnsi="Times New Roman"/>
                <w:sz w:val="24"/>
              </w:rPr>
            </w:pPr>
            <w:r w:rsidRPr="00D51A68">
              <w:rPr>
                <w:rFonts w:ascii="Times New Roman" w:hAnsi="Times New Roman"/>
                <w:sz w:val="24"/>
              </w:rPr>
              <w:t>040</w:t>
            </w:r>
          </w:p>
        </w:tc>
        <w:tc>
          <w:tcPr>
            <w:tcW w:w="8131" w:type="dxa"/>
          </w:tcPr>
          <w:p w:rsidR="00BD5485" w:rsidRPr="00D51A68" w:rsidRDefault="00BD5485" w:rsidP="00BD5485">
            <w:pPr>
              <w:rPr>
                <w:rFonts w:ascii="Times New Roman" w:hAnsi="Times New Roman"/>
                <w:b/>
                <w:bCs/>
                <w:sz w:val="24"/>
                <w:u w:val="single"/>
              </w:rPr>
            </w:pPr>
            <w:r w:rsidRPr="00D51A68">
              <w:rPr>
                <w:rFonts w:ascii="Times New Roman" w:hAnsi="Times New Roman"/>
                <w:b/>
                <w:sz w:val="24"/>
                <w:u w:val="single"/>
              </w:rPr>
              <w:t>Valore delle esposizioni nel portafoglio di negoziazione secondo i metodi dei modelli interni</w:t>
            </w:r>
          </w:p>
          <w:p w:rsidR="00BD5485" w:rsidRPr="00D51A68" w:rsidRDefault="00BD5485" w:rsidP="00BD5485">
            <w:pPr>
              <w:autoSpaceDE w:val="0"/>
              <w:autoSpaceDN w:val="0"/>
              <w:adjustRightInd w:val="0"/>
              <w:rPr>
                <w:rFonts w:ascii="Times New Roman" w:hAnsi="Times New Roman"/>
                <w:sz w:val="24"/>
              </w:rPr>
            </w:pPr>
            <w:r w:rsidRPr="00D51A68">
              <w:rPr>
                <w:rFonts w:ascii="Times New Roman" w:hAnsi="Times New Roman"/>
                <w:sz w:val="24"/>
              </w:rPr>
              <w:t>Per le esposizioni creditizie rilevanti come definite all</w:t>
            </w:r>
            <w:r w:rsidR="0009277C" w:rsidRPr="00D51A68">
              <w:rPr>
                <w:rFonts w:ascii="Times New Roman" w:hAnsi="Times New Roman"/>
                <w:sz w:val="24"/>
              </w:rPr>
              <w:t>’</w:t>
            </w:r>
            <w:r w:rsidRPr="00D51A68">
              <w:rPr>
                <w:rFonts w:ascii="Times New Roman" w:hAnsi="Times New Roman"/>
                <w:sz w:val="24"/>
              </w:rPr>
              <w:t>articolo 140, paragrafo 4, lettera b), della CRD ai sensi della parte tre, titolo IV, capo 2, del CRR, segnalare la somma dei seguenti elementi:</w:t>
            </w:r>
          </w:p>
          <w:p w:rsidR="00BD5485" w:rsidRPr="00D51A68" w:rsidRDefault="00125707" w:rsidP="0023700C">
            <w:pPr>
              <w:autoSpaceDE w:val="0"/>
              <w:autoSpaceDN w:val="0"/>
              <w:adjustRightInd w:val="0"/>
              <w:ind w:left="357" w:hanging="357"/>
              <w:contextualSpacing/>
              <w:rPr>
                <w:rFonts w:ascii="Times New Roman" w:hAnsi="Times New Roman"/>
                <w:sz w:val="24"/>
              </w:rPr>
            </w:pPr>
            <w:r w:rsidRPr="00D51A68">
              <w:rPr>
                <w:rFonts w:ascii="Calibri" w:hAnsi="Calibri"/>
                <w:sz w:val="24"/>
              </w:rPr>
              <w:t>-</w:t>
            </w:r>
            <w:r w:rsidR="00A0772B" w:rsidRPr="00D51A68">
              <w:tab/>
            </w:r>
            <w:r w:rsidRPr="00D51A68">
              <w:rPr>
                <w:rFonts w:ascii="Times New Roman" w:hAnsi="Times New Roman"/>
                <w:sz w:val="24"/>
              </w:rPr>
              <w:t>il fair value (valore equo) delle posizioni non in derivati che rappresentano esposizioni creditizie rilevanti come definite all</w:t>
            </w:r>
            <w:r w:rsidR="0009277C" w:rsidRPr="00D51A68">
              <w:rPr>
                <w:rFonts w:ascii="Times New Roman" w:hAnsi="Times New Roman"/>
                <w:sz w:val="24"/>
              </w:rPr>
              <w:t>’</w:t>
            </w:r>
            <w:r w:rsidRPr="00D51A68">
              <w:rPr>
                <w:rFonts w:ascii="Times New Roman" w:hAnsi="Times New Roman"/>
                <w:sz w:val="24"/>
              </w:rPr>
              <w:t>articolo 140, paragrafo 4, lettera b), della CRD determinate conformemente all</w:t>
            </w:r>
            <w:r w:rsidR="0009277C" w:rsidRPr="00D51A68">
              <w:rPr>
                <w:rFonts w:ascii="Times New Roman" w:hAnsi="Times New Roman"/>
                <w:sz w:val="24"/>
              </w:rPr>
              <w:t>’</w:t>
            </w:r>
            <w:r w:rsidRPr="00D51A68">
              <w:rPr>
                <w:rFonts w:ascii="Times New Roman" w:hAnsi="Times New Roman"/>
                <w:sz w:val="24"/>
              </w:rPr>
              <w:t>articolo 104 del CRR;</w:t>
            </w:r>
          </w:p>
          <w:p w:rsidR="00BD5485" w:rsidRPr="00D51A68" w:rsidRDefault="00125707" w:rsidP="0023700C">
            <w:pPr>
              <w:autoSpaceDE w:val="0"/>
              <w:autoSpaceDN w:val="0"/>
              <w:adjustRightInd w:val="0"/>
              <w:ind w:left="357" w:hanging="357"/>
              <w:contextualSpacing/>
              <w:rPr>
                <w:rFonts w:ascii="Times New Roman" w:hAnsi="Times New Roman"/>
                <w:b/>
                <w:bCs/>
                <w:sz w:val="24"/>
                <w:u w:val="single"/>
              </w:rPr>
            </w:pPr>
            <w:r w:rsidRPr="00D51A68">
              <w:rPr>
                <w:rFonts w:ascii="Calibri" w:hAnsi="Calibri"/>
                <w:sz w:val="24"/>
              </w:rPr>
              <w:t>-</w:t>
            </w:r>
            <w:r w:rsidR="00A0772B" w:rsidRPr="00D51A68">
              <w:tab/>
            </w:r>
            <w:r w:rsidRPr="00D51A68">
              <w:rPr>
                <w:rFonts w:ascii="Times New Roman" w:hAnsi="Times New Roman"/>
                <w:sz w:val="24"/>
              </w:rPr>
              <w:t>il valore nozionale dei derivati che rappresentano esposizioni creditizie rilevanti come definite all</w:t>
            </w:r>
            <w:r w:rsidR="0009277C" w:rsidRPr="00D51A68">
              <w:rPr>
                <w:rFonts w:ascii="Times New Roman" w:hAnsi="Times New Roman"/>
                <w:sz w:val="24"/>
              </w:rPr>
              <w:t>’</w:t>
            </w:r>
            <w:r w:rsidRPr="00D51A68">
              <w:rPr>
                <w:rFonts w:ascii="Times New Roman" w:hAnsi="Times New Roman"/>
                <w:sz w:val="24"/>
              </w:rPr>
              <w:t>articolo 140, paragrafo 4, lettera b), della CRD.</w:t>
            </w:r>
          </w:p>
        </w:tc>
      </w:tr>
      <w:tr w:rsidR="00BD5485" w:rsidRPr="00D51A68" w:rsidTr="00672D2A">
        <w:tc>
          <w:tcPr>
            <w:tcW w:w="1697" w:type="dxa"/>
          </w:tcPr>
          <w:p w:rsidR="00BD5485" w:rsidRPr="00D51A68" w:rsidRDefault="00BD5485" w:rsidP="00133107">
            <w:pPr>
              <w:rPr>
                <w:rFonts w:ascii="Times New Roman" w:hAnsi="Times New Roman"/>
                <w:sz w:val="24"/>
              </w:rPr>
            </w:pPr>
            <w:r w:rsidRPr="00D51A68">
              <w:rPr>
                <w:rFonts w:ascii="Times New Roman" w:hAnsi="Times New Roman"/>
                <w:sz w:val="24"/>
              </w:rPr>
              <w:t>050-060</w:t>
            </w:r>
          </w:p>
        </w:tc>
        <w:tc>
          <w:tcPr>
            <w:tcW w:w="8131" w:type="dxa"/>
          </w:tcPr>
          <w:p w:rsidR="00BD5485" w:rsidRPr="00D51A68" w:rsidRDefault="00BD5485" w:rsidP="00BD5485">
            <w:pPr>
              <w:rPr>
                <w:rFonts w:ascii="Times New Roman" w:hAnsi="Times New Roman"/>
                <w:b/>
                <w:bCs/>
                <w:sz w:val="24"/>
                <w:u w:val="single"/>
              </w:rPr>
            </w:pPr>
            <w:r w:rsidRPr="00D51A68">
              <w:rPr>
                <w:rFonts w:ascii="Times New Roman" w:hAnsi="Times New Roman"/>
                <w:b/>
                <w:sz w:val="24"/>
                <w:u w:val="single"/>
              </w:rPr>
              <w:t>Esposizioni creditizie rilevanti — Posizioni verso la cartolarizzazione nel portafoglio bancario</w:t>
            </w:r>
          </w:p>
          <w:p w:rsidR="00BD5485" w:rsidRPr="00D51A68" w:rsidRDefault="00BD5485" w:rsidP="00BD5485">
            <w:pPr>
              <w:rPr>
                <w:rFonts w:ascii="Times New Roman" w:hAnsi="Times New Roman"/>
                <w:b/>
                <w:bCs/>
                <w:sz w:val="24"/>
                <w:u w:val="single"/>
              </w:rPr>
            </w:pPr>
            <w:r w:rsidRPr="00D51A68">
              <w:rPr>
                <w:rFonts w:ascii="Times New Roman" w:hAnsi="Times New Roman"/>
                <w:sz w:val="24"/>
              </w:rPr>
              <w:t>Esposizioni creditizie rilevanti come definite all</w:t>
            </w:r>
            <w:r w:rsidR="0009277C" w:rsidRPr="00D51A68">
              <w:rPr>
                <w:rFonts w:ascii="Times New Roman" w:hAnsi="Times New Roman"/>
                <w:sz w:val="24"/>
              </w:rPr>
              <w:t>’</w:t>
            </w:r>
            <w:r w:rsidRPr="00D51A68">
              <w:rPr>
                <w:rFonts w:ascii="Times New Roman" w:hAnsi="Times New Roman"/>
                <w:sz w:val="24"/>
              </w:rPr>
              <w:t>articolo 140, paragrafo 4</w:t>
            </w:r>
            <w:r w:rsidR="0073183F" w:rsidRPr="00D51A68">
              <w:rPr>
                <w:rFonts w:ascii="Times New Roman" w:hAnsi="Times New Roman"/>
                <w:sz w:val="24"/>
              </w:rPr>
              <w:t>, lettera </w:t>
            </w:r>
            <w:r w:rsidRPr="00D51A68">
              <w:rPr>
                <w:rFonts w:ascii="Times New Roman" w:hAnsi="Times New Roman"/>
                <w:sz w:val="24"/>
              </w:rPr>
              <w:t>c), della CRD.</w:t>
            </w:r>
          </w:p>
        </w:tc>
      </w:tr>
      <w:tr w:rsidR="00BD5485" w:rsidRPr="00D51A68" w:rsidTr="00672D2A">
        <w:tc>
          <w:tcPr>
            <w:tcW w:w="1697" w:type="dxa"/>
          </w:tcPr>
          <w:p w:rsidR="00BD5485" w:rsidRPr="00D51A68" w:rsidRDefault="00BD5485" w:rsidP="00133107">
            <w:pPr>
              <w:rPr>
                <w:rFonts w:ascii="Times New Roman" w:hAnsi="Times New Roman"/>
                <w:sz w:val="24"/>
              </w:rPr>
            </w:pPr>
            <w:r w:rsidRPr="00D51A68">
              <w:rPr>
                <w:rFonts w:ascii="Times New Roman" w:hAnsi="Times New Roman"/>
                <w:sz w:val="24"/>
              </w:rPr>
              <w:t>050</w:t>
            </w:r>
          </w:p>
        </w:tc>
        <w:tc>
          <w:tcPr>
            <w:tcW w:w="8131" w:type="dxa"/>
          </w:tcPr>
          <w:p w:rsidR="00BD5485" w:rsidRPr="00D51A68" w:rsidRDefault="00BD5485" w:rsidP="00BD5485">
            <w:pPr>
              <w:rPr>
                <w:rFonts w:ascii="Times New Roman" w:hAnsi="Times New Roman"/>
                <w:b/>
                <w:bCs/>
                <w:sz w:val="24"/>
                <w:u w:val="single"/>
              </w:rPr>
            </w:pPr>
            <w:r w:rsidRPr="00D51A68">
              <w:rPr>
                <w:rFonts w:ascii="Times New Roman" w:hAnsi="Times New Roman"/>
                <w:b/>
                <w:sz w:val="24"/>
                <w:u w:val="single"/>
              </w:rPr>
              <w:t>Valore dell</w:t>
            </w:r>
            <w:r w:rsidR="0009277C" w:rsidRPr="00D51A68">
              <w:rPr>
                <w:rFonts w:ascii="Times New Roman" w:hAnsi="Times New Roman"/>
                <w:b/>
                <w:sz w:val="24"/>
                <w:u w:val="single"/>
              </w:rPr>
              <w:t>’</w:t>
            </w:r>
            <w:r w:rsidRPr="00D51A68">
              <w:rPr>
                <w:rFonts w:ascii="Times New Roman" w:hAnsi="Times New Roman"/>
                <w:b/>
                <w:sz w:val="24"/>
                <w:u w:val="single"/>
              </w:rPr>
              <w:t>esposizione delle posizioni verso la cartolarizzazione nel portafoglio bancario secondo il metodo standardizzato</w:t>
            </w:r>
          </w:p>
          <w:p w:rsidR="00BD5485" w:rsidRPr="00D51A68" w:rsidRDefault="00BD5485" w:rsidP="00BD5485">
            <w:pPr>
              <w:rPr>
                <w:rFonts w:ascii="Times New Roman" w:hAnsi="Times New Roman"/>
                <w:b/>
                <w:bCs/>
                <w:sz w:val="24"/>
                <w:u w:val="single"/>
              </w:rPr>
            </w:pPr>
            <w:r w:rsidRPr="00D51A68">
              <w:rPr>
                <w:rFonts w:ascii="Times New Roman" w:hAnsi="Times New Roman"/>
                <w:sz w:val="24"/>
              </w:rPr>
              <w:t>Valore dell</w:t>
            </w:r>
            <w:r w:rsidR="0009277C" w:rsidRPr="00D51A68">
              <w:rPr>
                <w:rFonts w:ascii="Times New Roman" w:hAnsi="Times New Roman"/>
                <w:sz w:val="24"/>
              </w:rPr>
              <w:t>’</w:t>
            </w:r>
            <w:r w:rsidRPr="00D51A68">
              <w:rPr>
                <w:rFonts w:ascii="Times New Roman" w:hAnsi="Times New Roman"/>
                <w:sz w:val="24"/>
              </w:rPr>
              <w:t>esposizione determinato conformemente all</w:t>
            </w:r>
            <w:r w:rsidR="0009277C" w:rsidRPr="00D51A68">
              <w:rPr>
                <w:rFonts w:ascii="Times New Roman" w:hAnsi="Times New Roman"/>
                <w:sz w:val="24"/>
              </w:rPr>
              <w:t>’</w:t>
            </w:r>
            <w:r w:rsidRPr="00D51A68">
              <w:rPr>
                <w:rFonts w:ascii="Times New Roman" w:hAnsi="Times New Roman"/>
                <w:sz w:val="24"/>
              </w:rPr>
              <w:t>articolo 246 del CRR per le esposizioni creditizie rilevanti come definite all</w:t>
            </w:r>
            <w:r w:rsidR="0009277C" w:rsidRPr="00D51A68">
              <w:rPr>
                <w:rFonts w:ascii="Times New Roman" w:hAnsi="Times New Roman"/>
                <w:sz w:val="24"/>
              </w:rPr>
              <w:t>’</w:t>
            </w:r>
            <w:r w:rsidRPr="00D51A68">
              <w:rPr>
                <w:rFonts w:ascii="Times New Roman" w:hAnsi="Times New Roman"/>
                <w:sz w:val="24"/>
              </w:rPr>
              <w:t xml:space="preserve">articolo 140, paragrafo 4, lettera c), della CRD. </w:t>
            </w:r>
          </w:p>
        </w:tc>
      </w:tr>
      <w:tr w:rsidR="00BD5485" w:rsidRPr="00D51A68" w:rsidTr="00672D2A">
        <w:tc>
          <w:tcPr>
            <w:tcW w:w="1697" w:type="dxa"/>
          </w:tcPr>
          <w:p w:rsidR="00BD5485" w:rsidRPr="00D51A68" w:rsidRDefault="00BD5485" w:rsidP="00133107">
            <w:pPr>
              <w:rPr>
                <w:rFonts w:ascii="Times New Roman" w:hAnsi="Times New Roman"/>
                <w:sz w:val="24"/>
              </w:rPr>
            </w:pPr>
            <w:r w:rsidRPr="00D51A68">
              <w:rPr>
                <w:rFonts w:ascii="Times New Roman" w:hAnsi="Times New Roman"/>
                <w:sz w:val="24"/>
              </w:rPr>
              <w:lastRenderedPageBreak/>
              <w:t>060</w:t>
            </w:r>
          </w:p>
        </w:tc>
        <w:tc>
          <w:tcPr>
            <w:tcW w:w="8131" w:type="dxa"/>
          </w:tcPr>
          <w:p w:rsidR="00BD5485" w:rsidRPr="00D51A68" w:rsidRDefault="00BD5485" w:rsidP="00BD5485">
            <w:pPr>
              <w:rPr>
                <w:rFonts w:ascii="Times New Roman" w:hAnsi="Times New Roman"/>
                <w:b/>
                <w:bCs/>
                <w:sz w:val="24"/>
                <w:u w:val="single"/>
              </w:rPr>
            </w:pPr>
            <w:r w:rsidRPr="00D51A68">
              <w:rPr>
                <w:rFonts w:ascii="Times New Roman" w:hAnsi="Times New Roman"/>
                <w:b/>
                <w:sz w:val="24"/>
                <w:u w:val="single"/>
              </w:rPr>
              <w:t>Valore dell</w:t>
            </w:r>
            <w:r w:rsidR="0009277C" w:rsidRPr="00D51A68">
              <w:rPr>
                <w:rFonts w:ascii="Times New Roman" w:hAnsi="Times New Roman"/>
                <w:b/>
                <w:sz w:val="24"/>
                <w:u w:val="single"/>
              </w:rPr>
              <w:t>’</w:t>
            </w:r>
            <w:r w:rsidRPr="00D51A68">
              <w:rPr>
                <w:rFonts w:ascii="Times New Roman" w:hAnsi="Times New Roman"/>
                <w:b/>
                <w:sz w:val="24"/>
                <w:u w:val="single"/>
              </w:rPr>
              <w:t>esposizione delle posizioni verso la cartolarizzazione nel portafoglio bancario secondo il metodo IRB</w:t>
            </w:r>
          </w:p>
          <w:p w:rsidR="00BD5485" w:rsidRPr="00D51A68" w:rsidRDefault="00BD5485" w:rsidP="0009195D">
            <w:pPr>
              <w:autoSpaceDE w:val="0"/>
              <w:autoSpaceDN w:val="0"/>
              <w:adjustRightInd w:val="0"/>
              <w:rPr>
                <w:rFonts w:ascii="Times New Roman" w:hAnsi="Times New Roman"/>
                <w:b/>
                <w:bCs/>
                <w:sz w:val="24"/>
                <w:u w:val="single"/>
              </w:rPr>
            </w:pPr>
            <w:r w:rsidRPr="00D51A68">
              <w:rPr>
                <w:rFonts w:ascii="Times New Roman" w:hAnsi="Times New Roman"/>
                <w:sz w:val="24"/>
              </w:rPr>
              <w:t>Valore dell</w:t>
            </w:r>
            <w:r w:rsidR="0009277C" w:rsidRPr="00D51A68">
              <w:rPr>
                <w:rFonts w:ascii="Times New Roman" w:hAnsi="Times New Roman"/>
                <w:sz w:val="24"/>
              </w:rPr>
              <w:t>’</w:t>
            </w:r>
            <w:r w:rsidRPr="00D51A68">
              <w:rPr>
                <w:rFonts w:ascii="Times New Roman" w:hAnsi="Times New Roman"/>
                <w:sz w:val="24"/>
              </w:rPr>
              <w:t>esposizione determinato conformemente all</w:t>
            </w:r>
            <w:r w:rsidR="0009277C" w:rsidRPr="00D51A68">
              <w:rPr>
                <w:rFonts w:ascii="Times New Roman" w:hAnsi="Times New Roman"/>
                <w:sz w:val="24"/>
              </w:rPr>
              <w:t>’</w:t>
            </w:r>
            <w:r w:rsidRPr="00D51A68">
              <w:rPr>
                <w:rFonts w:ascii="Times New Roman" w:hAnsi="Times New Roman"/>
                <w:sz w:val="24"/>
              </w:rPr>
              <w:t>articolo 246 del CRR per le esposizioni creditizie rilevanti come definite all</w:t>
            </w:r>
            <w:r w:rsidR="0009277C" w:rsidRPr="00D51A68">
              <w:rPr>
                <w:rFonts w:ascii="Times New Roman" w:hAnsi="Times New Roman"/>
                <w:sz w:val="24"/>
              </w:rPr>
              <w:t>’</w:t>
            </w:r>
            <w:r w:rsidRPr="00D51A68">
              <w:rPr>
                <w:rFonts w:ascii="Times New Roman" w:hAnsi="Times New Roman"/>
                <w:sz w:val="24"/>
              </w:rPr>
              <w:t xml:space="preserve">articolo 140, paragrafo 4, lettera c), della CRD. </w:t>
            </w:r>
          </w:p>
        </w:tc>
      </w:tr>
      <w:tr w:rsidR="00BD5485" w:rsidRPr="00D51A68" w:rsidTr="00672D2A">
        <w:tc>
          <w:tcPr>
            <w:tcW w:w="1697" w:type="dxa"/>
          </w:tcPr>
          <w:p w:rsidR="00BD5485" w:rsidRPr="00D51A68" w:rsidRDefault="00BD5485" w:rsidP="00133107">
            <w:pPr>
              <w:rPr>
                <w:rFonts w:ascii="Times New Roman" w:hAnsi="Times New Roman"/>
                <w:sz w:val="24"/>
              </w:rPr>
            </w:pPr>
            <w:r w:rsidRPr="00D51A68">
              <w:rPr>
                <w:rFonts w:ascii="Times New Roman" w:hAnsi="Times New Roman"/>
                <w:sz w:val="24"/>
              </w:rPr>
              <w:t>070-110</w:t>
            </w:r>
          </w:p>
        </w:tc>
        <w:tc>
          <w:tcPr>
            <w:tcW w:w="8131" w:type="dxa"/>
          </w:tcPr>
          <w:p w:rsidR="00BD5485" w:rsidRPr="00D51A68" w:rsidRDefault="00BD5485" w:rsidP="00133107">
            <w:pPr>
              <w:rPr>
                <w:rFonts w:ascii="Times New Roman" w:hAnsi="Times New Roman"/>
                <w:b/>
                <w:bCs/>
                <w:sz w:val="24"/>
                <w:u w:val="single"/>
              </w:rPr>
            </w:pPr>
            <w:r w:rsidRPr="00D51A68">
              <w:rPr>
                <w:rFonts w:ascii="Times New Roman" w:hAnsi="Times New Roman"/>
                <w:b/>
                <w:sz w:val="24"/>
                <w:u w:val="single"/>
              </w:rPr>
              <w:t>Requisiti di fondi propri e fattori di ponderazione</w:t>
            </w:r>
          </w:p>
        </w:tc>
      </w:tr>
      <w:tr w:rsidR="00BD5485" w:rsidRPr="00D51A68" w:rsidTr="00672D2A">
        <w:tc>
          <w:tcPr>
            <w:tcW w:w="1697" w:type="dxa"/>
          </w:tcPr>
          <w:p w:rsidR="00BD5485" w:rsidRPr="00D51A68" w:rsidRDefault="00BD5485" w:rsidP="00133107">
            <w:pPr>
              <w:rPr>
                <w:rFonts w:ascii="Times New Roman" w:hAnsi="Times New Roman"/>
                <w:sz w:val="24"/>
              </w:rPr>
            </w:pPr>
            <w:r w:rsidRPr="00D51A68">
              <w:rPr>
                <w:rFonts w:ascii="Times New Roman" w:hAnsi="Times New Roman"/>
                <w:sz w:val="24"/>
              </w:rPr>
              <w:t>070</w:t>
            </w:r>
          </w:p>
        </w:tc>
        <w:tc>
          <w:tcPr>
            <w:tcW w:w="8131" w:type="dxa"/>
          </w:tcPr>
          <w:p w:rsidR="00BD5485" w:rsidRPr="00D51A68" w:rsidRDefault="00BD5485" w:rsidP="00BD5485">
            <w:pPr>
              <w:rPr>
                <w:rFonts w:ascii="Times New Roman" w:hAnsi="Times New Roman"/>
                <w:b/>
                <w:bCs/>
                <w:sz w:val="24"/>
                <w:u w:val="single"/>
              </w:rPr>
            </w:pPr>
            <w:r w:rsidRPr="00D51A68">
              <w:rPr>
                <w:rFonts w:ascii="Times New Roman" w:hAnsi="Times New Roman"/>
                <w:b/>
                <w:sz w:val="24"/>
                <w:u w:val="single"/>
              </w:rPr>
              <w:t>Requisiti di fondi propri totali per CCB</w:t>
            </w:r>
          </w:p>
          <w:p w:rsidR="00BD5485" w:rsidRPr="00D51A68" w:rsidRDefault="00BD5485" w:rsidP="00BD5485">
            <w:pPr>
              <w:rPr>
                <w:rFonts w:ascii="Times New Roman" w:hAnsi="Times New Roman"/>
                <w:b/>
                <w:bCs/>
                <w:sz w:val="24"/>
                <w:u w:val="single"/>
              </w:rPr>
            </w:pPr>
            <w:r w:rsidRPr="00D51A68">
              <w:rPr>
                <w:rFonts w:ascii="Times New Roman" w:hAnsi="Times New Roman"/>
                <w:sz w:val="24"/>
              </w:rPr>
              <w:t>La somma delle righe 080, 090 e 100.</w:t>
            </w:r>
          </w:p>
        </w:tc>
      </w:tr>
      <w:tr w:rsidR="00BD5485" w:rsidRPr="00D51A68" w:rsidTr="00672D2A">
        <w:tc>
          <w:tcPr>
            <w:tcW w:w="1697" w:type="dxa"/>
          </w:tcPr>
          <w:p w:rsidR="00BD5485" w:rsidRPr="00D51A68" w:rsidRDefault="00BD5485" w:rsidP="00133107">
            <w:pPr>
              <w:rPr>
                <w:rFonts w:ascii="Times New Roman" w:hAnsi="Times New Roman"/>
                <w:sz w:val="24"/>
              </w:rPr>
            </w:pPr>
            <w:r w:rsidRPr="00D51A68">
              <w:rPr>
                <w:rFonts w:ascii="Times New Roman" w:hAnsi="Times New Roman"/>
                <w:sz w:val="24"/>
              </w:rPr>
              <w:t>080</w:t>
            </w:r>
          </w:p>
        </w:tc>
        <w:tc>
          <w:tcPr>
            <w:tcW w:w="8131" w:type="dxa"/>
          </w:tcPr>
          <w:p w:rsidR="00BD5485" w:rsidRPr="00D51A68" w:rsidRDefault="00C211DC" w:rsidP="00BD5485">
            <w:pPr>
              <w:rPr>
                <w:rFonts w:ascii="Times New Roman" w:hAnsi="Times New Roman"/>
                <w:b/>
                <w:bCs/>
                <w:sz w:val="24"/>
                <w:u w:val="single"/>
              </w:rPr>
            </w:pPr>
            <w:r w:rsidRPr="00D51A68">
              <w:rPr>
                <w:rFonts w:ascii="Times New Roman" w:hAnsi="Times New Roman"/>
                <w:b/>
                <w:sz w:val="24"/>
              </w:rPr>
              <w:t xml:space="preserve">Requisiti di fondi propri </w:t>
            </w:r>
            <w:r w:rsidRPr="00D51A68">
              <w:rPr>
                <w:rFonts w:ascii="Times New Roman" w:hAnsi="Times New Roman"/>
                <w:b/>
                <w:sz w:val="24"/>
                <w:u w:val="single"/>
              </w:rPr>
              <w:t xml:space="preserve">per le esposizioni creditizie rilevanti — Rischio di credito </w:t>
            </w:r>
          </w:p>
          <w:p w:rsidR="00BD5485" w:rsidRPr="00D51A68" w:rsidRDefault="00BD5485" w:rsidP="00BD5485">
            <w:pPr>
              <w:autoSpaceDE w:val="0"/>
              <w:autoSpaceDN w:val="0"/>
              <w:adjustRightInd w:val="0"/>
              <w:rPr>
                <w:rFonts w:ascii="Times New Roman" w:hAnsi="Times New Roman"/>
                <w:sz w:val="24"/>
              </w:rPr>
            </w:pPr>
            <w:r w:rsidRPr="00D51A68">
              <w:rPr>
                <w:rFonts w:ascii="Times New Roman" w:hAnsi="Times New Roman"/>
                <w:sz w:val="24"/>
              </w:rPr>
              <w:t>Requisiti di fondi propri determinati conformemente alla parte tre, titolo II, capi da 1 a 4 e capo 6, del CRR per le esposizioni creditizie rilevanti come definite all</w:t>
            </w:r>
            <w:r w:rsidR="0009277C" w:rsidRPr="00D51A68">
              <w:rPr>
                <w:rFonts w:ascii="Times New Roman" w:hAnsi="Times New Roman"/>
                <w:sz w:val="24"/>
              </w:rPr>
              <w:t>’</w:t>
            </w:r>
            <w:r w:rsidRPr="00D51A68">
              <w:rPr>
                <w:rFonts w:ascii="Times New Roman" w:hAnsi="Times New Roman"/>
                <w:sz w:val="24"/>
              </w:rPr>
              <w:t xml:space="preserve">articolo 140, paragrafo 4, lettera a), della CRD nel paese in questione. </w:t>
            </w:r>
          </w:p>
          <w:p w:rsidR="00BD5485" w:rsidRPr="00D51A68" w:rsidRDefault="00BD5485" w:rsidP="00BD5485">
            <w:pPr>
              <w:autoSpaceDE w:val="0"/>
              <w:autoSpaceDN w:val="0"/>
              <w:adjustRightInd w:val="0"/>
              <w:rPr>
                <w:rFonts w:ascii="Times New Roman" w:hAnsi="Times New Roman"/>
                <w:sz w:val="24"/>
              </w:rPr>
            </w:pPr>
            <w:r w:rsidRPr="00D51A68">
              <w:rPr>
                <w:rFonts w:ascii="Times New Roman" w:hAnsi="Times New Roman"/>
                <w:sz w:val="24"/>
              </w:rPr>
              <w:t>I requisiti di fondi propri per le posizioni verso la cartolarizzazione nel portafoglio bancario non sono indicati in questa riga bensì nella riga 100.</w:t>
            </w:r>
          </w:p>
          <w:p w:rsidR="00BD5485" w:rsidRPr="00D51A68" w:rsidRDefault="00BD5485" w:rsidP="00255BA9">
            <w:pPr>
              <w:rPr>
                <w:rFonts w:ascii="Times New Roman" w:hAnsi="Times New Roman"/>
                <w:b/>
                <w:bCs/>
                <w:sz w:val="24"/>
                <w:u w:val="single"/>
              </w:rPr>
            </w:pPr>
            <w:r w:rsidRPr="00D51A68">
              <w:rPr>
                <w:rFonts w:ascii="Times New Roman" w:hAnsi="Times New Roman"/>
                <w:sz w:val="24"/>
              </w:rPr>
              <w:t>I requisiti di fondi propri sono pari all</w:t>
            </w:r>
            <w:r w:rsidR="0009277C" w:rsidRPr="00D51A68">
              <w:rPr>
                <w:rFonts w:ascii="Times New Roman" w:hAnsi="Times New Roman"/>
                <w:sz w:val="24"/>
              </w:rPr>
              <w:t>’</w:t>
            </w:r>
            <w:r w:rsidRPr="00D51A68">
              <w:rPr>
                <w:rFonts w:ascii="Times New Roman" w:hAnsi="Times New Roman"/>
                <w:sz w:val="24"/>
              </w:rPr>
              <w:t>8% dell</w:t>
            </w:r>
            <w:r w:rsidR="0009277C" w:rsidRPr="00D51A68">
              <w:rPr>
                <w:rFonts w:ascii="Times New Roman" w:hAnsi="Times New Roman"/>
                <w:sz w:val="24"/>
              </w:rPr>
              <w:t>’</w:t>
            </w:r>
            <w:r w:rsidRPr="00D51A68">
              <w:rPr>
                <w:rFonts w:ascii="Times New Roman" w:hAnsi="Times New Roman"/>
                <w:sz w:val="24"/>
              </w:rPr>
              <w:t>importo dell</w:t>
            </w:r>
            <w:r w:rsidR="0009277C" w:rsidRPr="00D51A68">
              <w:rPr>
                <w:rFonts w:ascii="Times New Roman" w:hAnsi="Times New Roman"/>
                <w:sz w:val="24"/>
              </w:rPr>
              <w:t>’</w:t>
            </w:r>
            <w:r w:rsidRPr="00D51A68">
              <w:rPr>
                <w:rFonts w:ascii="Times New Roman" w:hAnsi="Times New Roman"/>
                <w:sz w:val="24"/>
              </w:rPr>
              <w:t>esposizione ponderato per il rischio determinato conformemente alle disposizioni della parte tre, titolo II, capi da 1 a 4 e capo 6, del CRR.</w:t>
            </w:r>
          </w:p>
        </w:tc>
      </w:tr>
      <w:tr w:rsidR="00BD5485" w:rsidRPr="00D51A68" w:rsidTr="00672D2A">
        <w:tc>
          <w:tcPr>
            <w:tcW w:w="1697" w:type="dxa"/>
          </w:tcPr>
          <w:p w:rsidR="00BD5485" w:rsidRPr="00D51A68" w:rsidRDefault="00BD5485" w:rsidP="00133107">
            <w:pPr>
              <w:rPr>
                <w:rFonts w:ascii="Times New Roman" w:hAnsi="Times New Roman"/>
                <w:sz w:val="24"/>
              </w:rPr>
            </w:pPr>
            <w:r w:rsidRPr="00D51A68">
              <w:rPr>
                <w:rFonts w:ascii="Times New Roman" w:hAnsi="Times New Roman"/>
                <w:sz w:val="24"/>
              </w:rPr>
              <w:t>090</w:t>
            </w:r>
          </w:p>
        </w:tc>
        <w:tc>
          <w:tcPr>
            <w:tcW w:w="8131" w:type="dxa"/>
          </w:tcPr>
          <w:p w:rsidR="00BD5485" w:rsidRPr="00D51A68" w:rsidRDefault="00C211DC" w:rsidP="00BD5485">
            <w:pPr>
              <w:rPr>
                <w:rFonts w:ascii="Times New Roman" w:hAnsi="Times New Roman"/>
                <w:b/>
                <w:bCs/>
                <w:sz w:val="24"/>
                <w:u w:val="single"/>
              </w:rPr>
            </w:pPr>
            <w:r w:rsidRPr="00D51A68">
              <w:rPr>
                <w:rFonts w:ascii="Times New Roman" w:hAnsi="Times New Roman"/>
                <w:b/>
                <w:sz w:val="24"/>
              </w:rPr>
              <w:t xml:space="preserve">Requisiti di fondi propri </w:t>
            </w:r>
            <w:r w:rsidRPr="00D51A68">
              <w:rPr>
                <w:rFonts w:ascii="Times New Roman" w:hAnsi="Times New Roman"/>
                <w:b/>
                <w:sz w:val="24"/>
                <w:u w:val="single"/>
              </w:rPr>
              <w:t xml:space="preserve">per le esposizioni creditizie rilevanti — Rischio di mercato </w:t>
            </w:r>
          </w:p>
          <w:p w:rsidR="00BD5485" w:rsidRPr="00D51A68" w:rsidRDefault="00BD5485" w:rsidP="00BD5485">
            <w:pPr>
              <w:autoSpaceDE w:val="0"/>
              <w:autoSpaceDN w:val="0"/>
              <w:adjustRightInd w:val="0"/>
              <w:rPr>
                <w:rFonts w:ascii="Times New Roman" w:hAnsi="Times New Roman"/>
                <w:sz w:val="24"/>
              </w:rPr>
            </w:pPr>
            <w:r w:rsidRPr="00D51A68">
              <w:rPr>
                <w:rFonts w:ascii="Times New Roman" w:hAnsi="Times New Roman"/>
                <w:sz w:val="24"/>
              </w:rPr>
              <w:t xml:space="preserve">Requisiti di fondi propri determinati conformemente </w:t>
            </w:r>
            <w:r w:rsidR="0073183F" w:rsidRPr="00D51A68">
              <w:rPr>
                <w:rFonts w:ascii="Times New Roman" w:hAnsi="Times New Roman"/>
                <w:sz w:val="24"/>
              </w:rPr>
              <w:t>alla parte tre, titolo IV, capo </w:t>
            </w:r>
            <w:r w:rsidRPr="00D51A68">
              <w:rPr>
                <w:rFonts w:ascii="Times New Roman" w:hAnsi="Times New Roman"/>
                <w:sz w:val="24"/>
              </w:rPr>
              <w:t>2, del CRR per il rischio specifico o conformemente alla parte tre, titolo IV, capo 5, del CRR per il rischio incrementale di default e di migrazione per le esposizioni creditizie rilevanti, definite conformemente all</w:t>
            </w:r>
            <w:r w:rsidR="0009277C" w:rsidRPr="00D51A68">
              <w:rPr>
                <w:rFonts w:ascii="Times New Roman" w:hAnsi="Times New Roman"/>
                <w:sz w:val="24"/>
              </w:rPr>
              <w:t>’</w:t>
            </w:r>
            <w:r w:rsidRPr="00D51A68">
              <w:rPr>
                <w:rFonts w:ascii="Times New Roman" w:hAnsi="Times New Roman"/>
                <w:sz w:val="24"/>
              </w:rPr>
              <w:t>articolo 140</w:t>
            </w:r>
            <w:r w:rsidR="0073183F" w:rsidRPr="00D51A68">
              <w:rPr>
                <w:rFonts w:ascii="Times New Roman" w:hAnsi="Times New Roman"/>
                <w:sz w:val="24"/>
              </w:rPr>
              <w:t>, paragrafo </w:t>
            </w:r>
            <w:r w:rsidRPr="00D51A68">
              <w:rPr>
                <w:rFonts w:ascii="Times New Roman" w:hAnsi="Times New Roman"/>
                <w:sz w:val="24"/>
              </w:rPr>
              <w:t xml:space="preserve">4, lettera b), della CRD, nel paese in questione. </w:t>
            </w:r>
          </w:p>
          <w:p w:rsidR="00BD5485" w:rsidRPr="00D51A68" w:rsidRDefault="00BD5485" w:rsidP="0009195D">
            <w:pPr>
              <w:autoSpaceDE w:val="0"/>
              <w:autoSpaceDN w:val="0"/>
              <w:adjustRightInd w:val="0"/>
              <w:rPr>
                <w:rFonts w:ascii="Times New Roman" w:hAnsi="Times New Roman"/>
                <w:b/>
                <w:bCs/>
                <w:sz w:val="24"/>
                <w:u w:val="single"/>
              </w:rPr>
            </w:pPr>
            <w:r w:rsidRPr="00D51A68">
              <w:rPr>
                <w:rFonts w:ascii="Times New Roman" w:hAnsi="Times New Roman"/>
                <w:sz w:val="24"/>
              </w:rPr>
              <w:t>I requisiti di fondi propri per le esposizioni creditizie rilevanti nel quadro del rischio di mercato includono, tra l</w:t>
            </w:r>
            <w:r w:rsidR="0009277C" w:rsidRPr="00D51A68">
              <w:rPr>
                <w:rFonts w:ascii="Times New Roman" w:hAnsi="Times New Roman"/>
                <w:sz w:val="24"/>
              </w:rPr>
              <w:t>’</w:t>
            </w:r>
            <w:r w:rsidRPr="00D51A68">
              <w:rPr>
                <w:rFonts w:ascii="Times New Roman" w:hAnsi="Times New Roman"/>
                <w:sz w:val="24"/>
              </w:rPr>
              <w:t>altro, i requisiti di fondi propri per le posizioni verso la cartolarizzazione ai sensi della parte tre, titolo IV, capo 2, del CRR e i requisiti di fondi propri per le esposizioni verso organismi di investimento collettivo determinate conformemente all</w:t>
            </w:r>
            <w:r w:rsidR="0009277C" w:rsidRPr="00D51A68">
              <w:rPr>
                <w:rFonts w:ascii="Times New Roman" w:hAnsi="Times New Roman"/>
                <w:sz w:val="24"/>
              </w:rPr>
              <w:t>’</w:t>
            </w:r>
            <w:r w:rsidRPr="00D51A68">
              <w:rPr>
                <w:rFonts w:ascii="Times New Roman" w:hAnsi="Times New Roman"/>
                <w:sz w:val="24"/>
              </w:rPr>
              <w:t>articolo 348 del CRR.</w:t>
            </w:r>
          </w:p>
        </w:tc>
      </w:tr>
      <w:tr w:rsidR="00BD5485" w:rsidRPr="00D51A68" w:rsidTr="00672D2A">
        <w:tc>
          <w:tcPr>
            <w:tcW w:w="1697" w:type="dxa"/>
          </w:tcPr>
          <w:p w:rsidR="00BD5485" w:rsidRPr="00D51A68" w:rsidRDefault="00BD5485" w:rsidP="00133107">
            <w:pPr>
              <w:rPr>
                <w:rFonts w:ascii="Times New Roman" w:hAnsi="Times New Roman"/>
                <w:sz w:val="24"/>
              </w:rPr>
            </w:pPr>
            <w:r w:rsidRPr="00D51A68">
              <w:rPr>
                <w:rFonts w:ascii="Times New Roman" w:hAnsi="Times New Roman"/>
                <w:sz w:val="24"/>
              </w:rPr>
              <w:t>100</w:t>
            </w:r>
          </w:p>
        </w:tc>
        <w:tc>
          <w:tcPr>
            <w:tcW w:w="8131" w:type="dxa"/>
          </w:tcPr>
          <w:p w:rsidR="00BD5485" w:rsidRPr="00D51A68" w:rsidRDefault="00C211DC" w:rsidP="00BD5485">
            <w:pPr>
              <w:rPr>
                <w:rFonts w:ascii="Times New Roman" w:hAnsi="Times New Roman"/>
                <w:b/>
                <w:bCs/>
                <w:sz w:val="24"/>
                <w:u w:val="single"/>
              </w:rPr>
            </w:pPr>
            <w:r w:rsidRPr="00D51A68">
              <w:rPr>
                <w:rFonts w:ascii="Times New Roman" w:hAnsi="Times New Roman"/>
                <w:b/>
                <w:sz w:val="24"/>
              </w:rPr>
              <w:t xml:space="preserve">Requisiti di fondi propri </w:t>
            </w:r>
            <w:r w:rsidRPr="00D51A68">
              <w:rPr>
                <w:rFonts w:ascii="Times New Roman" w:hAnsi="Times New Roman"/>
                <w:b/>
                <w:sz w:val="24"/>
                <w:u w:val="single"/>
              </w:rPr>
              <w:t>per le esposizioni creditizie rilevanti — Posizioni verso la cartolarizzazione nel portafoglio bancario</w:t>
            </w:r>
          </w:p>
          <w:p w:rsidR="00BD5485" w:rsidRPr="00D51A68" w:rsidRDefault="00BD5485" w:rsidP="00BD5485">
            <w:pPr>
              <w:autoSpaceDE w:val="0"/>
              <w:autoSpaceDN w:val="0"/>
              <w:adjustRightInd w:val="0"/>
              <w:rPr>
                <w:rFonts w:ascii="Times New Roman" w:hAnsi="Times New Roman"/>
                <w:sz w:val="24"/>
              </w:rPr>
            </w:pPr>
            <w:r w:rsidRPr="00D51A68">
              <w:rPr>
                <w:rFonts w:ascii="Times New Roman" w:hAnsi="Times New Roman"/>
                <w:sz w:val="24"/>
              </w:rPr>
              <w:t>Requisiti di fondi propri determinati conformemente alla parte tre, titolo II, capo</w:t>
            </w:r>
            <w:r w:rsidR="0073183F" w:rsidRPr="00D51A68">
              <w:rPr>
                <w:rFonts w:ascii="Times New Roman" w:hAnsi="Times New Roman"/>
                <w:sz w:val="24"/>
              </w:rPr>
              <w:t> </w:t>
            </w:r>
            <w:r w:rsidRPr="00D51A68">
              <w:rPr>
                <w:rFonts w:ascii="Times New Roman" w:hAnsi="Times New Roman"/>
                <w:sz w:val="24"/>
              </w:rPr>
              <w:t>5, del CRR per le esposizioni creditizie rilevanti come definite all</w:t>
            </w:r>
            <w:r w:rsidR="0009277C" w:rsidRPr="00D51A68">
              <w:rPr>
                <w:rFonts w:ascii="Times New Roman" w:hAnsi="Times New Roman"/>
                <w:sz w:val="24"/>
              </w:rPr>
              <w:t>’</w:t>
            </w:r>
            <w:r w:rsidR="0073183F" w:rsidRPr="00D51A68">
              <w:rPr>
                <w:rFonts w:ascii="Times New Roman" w:hAnsi="Times New Roman"/>
                <w:sz w:val="24"/>
              </w:rPr>
              <w:t>articolo </w:t>
            </w:r>
            <w:r w:rsidRPr="00D51A68">
              <w:rPr>
                <w:rFonts w:ascii="Times New Roman" w:hAnsi="Times New Roman"/>
                <w:sz w:val="24"/>
              </w:rPr>
              <w:t>140, paragrafo 4, lettera c), della CRD nel paese in questione.</w:t>
            </w:r>
          </w:p>
          <w:p w:rsidR="00BD5485" w:rsidRPr="00D51A68" w:rsidRDefault="00BD5485" w:rsidP="00BD5485">
            <w:pPr>
              <w:rPr>
                <w:rFonts w:ascii="Times New Roman" w:hAnsi="Times New Roman"/>
                <w:b/>
                <w:bCs/>
                <w:sz w:val="24"/>
                <w:u w:val="single"/>
              </w:rPr>
            </w:pPr>
            <w:r w:rsidRPr="00D51A68">
              <w:rPr>
                <w:rFonts w:ascii="Times New Roman" w:hAnsi="Times New Roman"/>
                <w:sz w:val="24"/>
              </w:rPr>
              <w:t>I requisiti di fondi propri sono pari all</w:t>
            </w:r>
            <w:r w:rsidR="0009277C" w:rsidRPr="00D51A68">
              <w:rPr>
                <w:rFonts w:ascii="Times New Roman" w:hAnsi="Times New Roman"/>
                <w:sz w:val="24"/>
              </w:rPr>
              <w:t>’</w:t>
            </w:r>
            <w:r w:rsidRPr="00D51A68">
              <w:rPr>
                <w:rFonts w:ascii="Times New Roman" w:hAnsi="Times New Roman"/>
                <w:sz w:val="24"/>
              </w:rPr>
              <w:t>8</w:t>
            </w:r>
            <w:r w:rsidR="0009277C" w:rsidRPr="00D51A68">
              <w:rPr>
                <w:rFonts w:ascii="Times New Roman" w:hAnsi="Times New Roman"/>
                <w:sz w:val="24"/>
              </w:rPr>
              <w:t>%</w:t>
            </w:r>
            <w:r w:rsidRPr="00D51A68">
              <w:rPr>
                <w:rFonts w:ascii="Times New Roman" w:hAnsi="Times New Roman"/>
                <w:sz w:val="24"/>
              </w:rPr>
              <w:t xml:space="preserve"> dell</w:t>
            </w:r>
            <w:r w:rsidR="0009277C" w:rsidRPr="00D51A68">
              <w:rPr>
                <w:rFonts w:ascii="Times New Roman" w:hAnsi="Times New Roman"/>
                <w:sz w:val="24"/>
              </w:rPr>
              <w:t>’</w:t>
            </w:r>
            <w:r w:rsidRPr="00D51A68">
              <w:rPr>
                <w:rFonts w:ascii="Times New Roman" w:hAnsi="Times New Roman"/>
                <w:sz w:val="24"/>
              </w:rPr>
              <w:t>importo dell</w:t>
            </w:r>
            <w:r w:rsidR="0009277C" w:rsidRPr="00D51A68">
              <w:rPr>
                <w:rFonts w:ascii="Times New Roman" w:hAnsi="Times New Roman"/>
                <w:sz w:val="24"/>
              </w:rPr>
              <w:t>’</w:t>
            </w:r>
            <w:r w:rsidRPr="00D51A68">
              <w:rPr>
                <w:rFonts w:ascii="Times New Roman" w:hAnsi="Times New Roman"/>
                <w:sz w:val="24"/>
              </w:rPr>
              <w:t>esposizione ponderato per il rischio determinato conformemente alle disposizioni della parte tre, titolo II, capo 5, del CRR.</w:t>
            </w:r>
          </w:p>
        </w:tc>
      </w:tr>
      <w:tr w:rsidR="00BD5485" w:rsidRPr="00D51A68" w:rsidTr="00672D2A">
        <w:tc>
          <w:tcPr>
            <w:tcW w:w="1697" w:type="dxa"/>
          </w:tcPr>
          <w:p w:rsidR="00BD5485" w:rsidRPr="00D51A68" w:rsidRDefault="00BD5485" w:rsidP="00133107">
            <w:pPr>
              <w:rPr>
                <w:rFonts w:ascii="Times New Roman" w:hAnsi="Times New Roman"/>
                <w:sz w:val="24"/>
              </w:rPr>
            </w:pPr>
            <w:r w:rsidRPr="00D51A68">
              <w:rPr>
                <w:rFonts w:ascii="Times New Roman" w:hAnsi="Times New Roman"/>
                <w:sz w:val="24"/>
              </w:rPr>
              <w:t>110</w:t>
            </w:r>
          </w:p>
        </w:tc>
        <w:tc>
          <w:tcPr>
            <w:tcW w:w="8131" w:type="dxa"/>
          </w:tcPr>
          <w:p w:rsidR="00966663" w:rsidRPr="00D51A68" w:rsidRDefault="00966663" w:rsidP="00966663">
            <w:pPr>
              <w:rPr>
                <w:rFonts w:ascii="Times New Roman" w:hAnsi="Times New Roman"/>
                <w:b/>
                <w:bCs/>
                <w:sz w:val="24"/>
                <w:u w:val="single"/>
              </w:rPr>
            </w:pPr>
            <w:r w:rsidRPr="00D51A68">
              <w:rPr>
                <w:rFonts w:ascii="Times New Roman" w:hAnsi="Times New Roman"/>
                <w:b/>
                <w:sz w:val="24"/>
                <w:u w:val="single"/>
              </w:rPr>
              <w:t>Fattori di ponderazione dei requisiti di fondi propri</w:t>
            </w:r>
          </w:p>
          <w:p w:rsidR="00966663" w:rsidRPr="00D51A68" w:rsidRDefault="00966663" w:rsidP="00966663">
            <w:pPr>
              <w:rPr>
                <w:rFonts w:ascii="Times New Roman" w:hAnsi="Times New Roman"/>
                <w:sz w:val="24"/>
              </w:rPr>
            </w:pPr>
            <w:r w:rsidRPr="00D51A68">
              <w:rPr>
                <w:rFonts w:ascii="Times New Roman" w:hAnsi="Times New Roman"/>
                <w:sz w:val="24"/>
              </w:rPr>
              <w:t xml:space="preserve">Il fattore di ponderazione applicato al coefficiente anticiclico in ogni paese è </w:t>
            </w:r>
            <w:r w:rsidRPr="00D51A68">
              <w:rPr>
                <w:rFonts w:ascii="Times New Roman" w:hAnsi="Times New Roman"/>
                <w:sz w:val="24"/>
              </w:rPr>
              <w:lastRenderedPageBreak/>
              <w:t>calcolato come un rapporto tra requisiti di fondi propri, determinato come segue:</w:t>
            </w:r>
          </w:p>
          <w:p w:rsidR="00966663" w:rsidRPr="00D51A68" w:rsidRDefault="00966663" w:rsidP="00966663">
            <w:pPr>
              <w:rPr>
                <w:rFonts w:ascii="Times New Roman" w:hAnsi="Times New Roman"/>
                <w:sz w:val="24"/>
              </w:rPr>
            </w:pPr>
            <w:r w:rsidRPr="00D51A68">
              <w:rPr>
                <w:rFonts w:ascii="Times New Roman" w:hAnsi="Times New Roman"/>
                <w:sz w:val="24"/>
              </w:rPr>
              <w:t>1.</w:t>
            </w:r>
            <w:r w:rsidR="00A0772B" w:rsidRPr="00D51A68">
              <w:tab/>
            </w:r>
            <w:r w:rsidRPr="00D51A68">
              <w:rPr>
                <w:rFonts w:ascii="Times New Roman" w:hAnsi="Times New Roman"/>
                <w:sz w:val="24"/>
              </w:rPr>
              <w:t xml:space="preserve">numeratore: requisiti di fondi propri totali che riguardano le esposizioni creditizie rilevanti nel paese in questione [r070; c010; foglio del paese]; </w:t>
            </w:r>
          </w:p>
          <w:p w:rsidR="00BD5485" w:rsidRPr="00D51A68" w:rsidRDefault="00966663" w:rsidP="00CF5466">
            <w:pPr>
              <w:rPr>
                <w:rFonts w:ascii="Times New Roman" w:hAnsi="Times New Roman"/>
                <w:b/>
                <w:bCs/>
                <w:sz w:val="24"/>
                <w:u w:val="single"/>
              </w:rPr>
            </w:pPr>
            <w:r w:rsidRPr="00D51A68">
              <w:rPr>
                <w:rFonts w:ascii="Times New Roman" w:hAnsi="Times New Roman"/>
                <w:sz w:val="24"/>
              </w:rPr>
              <w:t>2.</w:t>
            </w:r>
            <w:r w:rsidR="00A0772B" w:rsidRPr="00D51A68">
              <w:tab/>
            </w:r>
            <w:r w:rsidRPr="00D51A68">
              <w:rPr>
                <w:rFonts w:ascii="Times New Roman" w:hAnsi="Times New Roman"/>
                <w:sz w:val="24"/>
              </w:rPr>
              <w:t>denominatore: i requisiti di fondi propri totali che riguardano le esposizioni creditizie rilevanti per il calcolo della riserva di capitale anticiclica conformemente all</w:t>
            </w:r>
            <w:r w:rsidR="0009277C" w:rsidRPr="00D51A68">
              <w:rPr>
                <w:rFonts w:ascii="Times New Roman" w:hAnsi="Times New Roman"/>
                <w:sz w:val="24"/>
              </w:rPr>
              <w:t>’</w:t>
            </w:r>
            <w:r w:rsidRPr="00D51A68">
              <w:rPr>
                <w:rFonts w:ascii="Times New Roman" w:hAnsi="Times New Roman"/>
                <w:sz w:val="24"/>
              </w:rPr>
              <w:t xml:space="preserve">articolo 140, paragrafo 4, della CRD [r070;c010; </w:t>
            </w:r>
            <w:r w:rsidR="0009277C" w:rsidRPr="00D51A68">
              <w:rPr>
                <w:rFonts w:ascii="Times New Roman" w:hAnsi="Times New Roman"/>
                <w:sz w:val="24"/>
              </w:rPr>
              <w:t>“</w:t>
            </w:r>
            <w:r w:rsidRPr="00D51A68">
              <w:rPr>
                <w:rFonts w:ascii="Times New Roman" w:hAnsi="Times New Roman"/>
                <w:sz w:val="24"/>
              </w:rPr>
              <w:t>Totale</w:t>
            </w:r>
            <w:r w:rsidR="0009277C" w:rsidRPr="00D51A68">
              <w:rPr>
                <w:rFonts w:ascii="Times New Roman" w:hAnsi="Times New Roman"/>
                <w:sz w:val="24"/>
              </w:rPr>
              <w:t>”</w:t>
            </w:r>
            <w:r w:rsidRPr="00D51A68">
              <w:rPr>
                <w:rFonts w:ascii="Times New Roman" w:hAnsi="Times New Roman"/>
                <w:sz w:val="24"/>
              </w:rPr>
              <w:t>].</w:t>
            </w:r>
          </w:p>
          <w:p w:rsidR="003B00F4" w:rsidRPr="00D51A68" w:rsidRDefault="003B00F4" w:rsidP="003B00F4">
            <w:pPr>
              <w:rPr>
                <w:rFonts w:ascii="Times New Roman" w:hAnsi="Times New Roman"/>
                <w:b/>
                <w:bCs/>
                <w:sz w:val="24"/>
                <w:u w:val="single"/>
              </w:rPr>
            </w:pPr>
            <w:r w:rsidRPr="00D51A68">
              <w:rPr>
                <w:rFonts w:ascii="Times New Roman" w:hAnsi="Times New Roman"/>
                <w:sz w:val="24"/>
              </w:rPr>
              <w:t xml:space="preserve">Le informazioni sui fattori di ponderazione dei requisiti di fondi propri non sono segnalati per il </w:t>
            </w:r>
            <w:r w:rsidR="0009277C" w:rsidRPr="00D51A68">
              <w:rPr>
                <w:rFonts w:ascii="Times New Roman" w:hAnsi="Times New Roman"/>
                <w:sz w:val="24"/>
              </w:rPr>
              <w:t>“</w:t>
            </w:r>
            <w:r w:rsidRPr="00D51A68">
              <w:rPr>
                <w:rFonts w:ascii="Times New Roman" w:hAnsi="Times New Roman"/>
                <w:sz w:val="24"/>
              </w:rPr>
              <w:t>Totale</w:t>
            </w:r>
            <w:r w:rsidR="0009277C" w:rsidRPr="00D51A68">
              <w:rPr>
                <w:rFonts w:ascii="Times New Roman" w:hAnsi="Times New Roman"/>
                <w:sz w:val="24"/>
              </w:rPr>
              <w:t>”</w:t>
            </w:r>
            <w:r w:rsidRPr="00D51A68">
              <w:rPr>
                <w:rFonts w:ascii="Times New Roman" w:hAnsi="Times New Roman"/>
                <w:sz w:val="24"/>
              </w:rPr>
              <w:t xml:space="preserve"> di tutti i paesi.</w:t>
            </w:r>
          </w:p>
        </w:tc>
      </w:tr>
      <w:tr w:rsidR="00966663" w:rsidRPr="00D51A68" w:rsidTr="00672D2A">
        <w:tc>
          <w:tcPr>
            <w:tcW w:w="1697" w:type="dxa"/>
          </w:tcPr>
          <w:p w:rsidR="00966663" w:rsidRPr="00D51A68" w:rsidRDefault="00966663" w:rsidP="00133107">
            <w:pPr>
              <w:rPr>
                <w:rFonts w:ascii="Times New Roman" w:hAnsi="Times New Roman"/>
                <w:sz w:val="24"/>
              </w:rPr>
            </w:pPr>
            <w:r w:rsidRPr="00D51A68">
              <w:rPr>
                <w:rFonts w:ascii="Times New Roman" w:hAnsi="Times New Roman"/>
                <w:sz w:val="24"/>
              </w:rPr>
              <w:lastRenderedPageBreak/>
              <w:t>120-140</w:t>
            </w:r>
          </w:p>
        </w:tc>
        <w:tc>
          <w:tcPr>
            <w:tcW w:w="8131" w:type="dxa"/>
          </w:tcPr>
          <w:p w:rsidR="00966663" w:rsidRPr="00D51A68" w:rsidRDefault="00966663" w:rsidP="00133107">
            <w:pPr>
              <w:rPr>
                <w:rFonts w:ascii="Times New Roman" w:hAnsi="Times New Roman"/>
                <w:b/>
                <w:bCs/>
                <w:sz w:val="24"/>
                <w:u w:val="single"/>
              </w:rPr>
            </w:pPr>
            <w:r w:rsidRPr="00D51A68">
              <w:rPr>
                <w:rFonts w:ascii="Times New Roman" w:hAnsi="Times New Roman"/>
                <w:b/>
                <w:sz w:val="24"/>
                <w:u w:val="single"/>
              </w:rPr>
              <w:t>Coefficienti anticiclici</w:t>
            </w:r>
          </w:p>
        </w:tc>
      </w:tr>
      <w:tr w:rsidR="00966663" w:rsidRPr="00D51A68" w:rsidTr="00672D2A">
        <w:tc>
          <w:tcPr>
            <w:tcW w:w="1697" w:type="dxa"/>
          </w:tcPr>
          <w:p w:rsidR="00966663" w:rsidRPr="00D51A68" w:rsidRDefault="00966663" w:rsidP="00133107">
            <w:pPr>
              <w:rPr>
                <w:rFonts w:ascii="Times New Roman" w:hAnsi="Times New Roman"/>
                <w:sz w:val="24"/>
              </w:rPr>
            </w:pPr>
            <w:r w:rsidRPr="00D51A68">
              <w:rPr>
                <w:rFonts w:ascii="Times New Roman" w:hAnsi="Times New Roman"/>
                <w:sz w:val="24"/>
              </w:rPr>
              <w:t>120</w:t>
            </w:r>
          </w:p>
        </w:tc>
        <w:tc>
          <w:tcPr>
            <w:tcW w:w="8131" w:type="dxa"/>
          </w:tcPr>
          <w:p w:rsidR="00966663" w:rsidRPr="00D51A68" w:rsidRDefault="00966663" w:rsidP="00133107">
            <w:pPr>
              <w:rPr>
                <w:rFonts w:ascii="Times New Roman" w:hAnsi="Times New Roman"/>
                <w:b/>
                <w:bCs/>
                <w:sz w:val="24"/>
                <w:u w:val="single"/>
              </w:rPr>
            </w:pPr>
            <w:r w:rsidRPr="00D51A68">
              <w:rPr>
                <w:rFonts w:ascii="Times New Roman" w:hAnsi="Times New Roman"/>
                <w:b/>
                <w:sz w:val="24"/>
                <w:u w:val="single"/>
              </w:rPr>
              <w:t>Coefficiente anticiclico fissato dall</w:t>
            </w:r>
            <w:r w:rsidR="0009277C" w:rsidRPr="00D51A68">
              <w:rPr>
                <w:rFonts w:ascii="Times New Roman" w:hAnsi="Times New Roman"/>
                <w:b/>
                <w:sz w:val="24"/>
                <w:u w:val="single"/>
              </w:rPr>
              <w:t>’</w:t>
            </w:r>
            <w:r w:rsidRPr="00D51A68">
              <w:rPr>
                <w:rFonts w:ascii="Times New Roman" w:hAnsi="Times New Roman"/>
                <w:b/>
                <w:sz w:val="24"/>
                <w:u w:val="single"/>
              </w:rPr>
              <w:t>autorità designata</w:t>
            </w:r>
          </w:p>
          <w:p w:rsidR="00966663" w:rsidRPr="00D51A68" w:rsidRDefault="00966663" w:rsidP="00133107">
            <w:pPr>
              <w:autoSpaceDE w:val="0"/>
              <w:autoSpaceDN w:val="0"/>
              <w:adjustRightInd w:val="0"/>
              <w:rPr>
                <w:rFonts w:ascii="Times New Roman" w:hAnsi="Times New Roman"/>
                <w:sz w:val="24"/>
              </w:rPr>
            </w:pPr>
            <w:r w:rsidRPr="00D51A68">
              <w:rPr>
                <w:rFonts w:ascii="Times New Roman" w:hAnsi="Times New Roman"/>
                <w:sz w:val="24"/>
              </w:rPr>
              <w:t>Coefficiente anticiclico fissato per il paese in questione dall</w:t>
            </w:r>
            <w:r w:rsidR="0009277C" w:rsidRPr="00D51A68">
              <w:rPr>
                <w:rFonts w:ascii="Times New Roman" w:hAnsi="Times New Roman"/>
                <w:sz w:val="24"/>
              </w:rPr>
              <w:t>’</w:t>
            </w:r>
            <w:r w:rsidRPr="00D51A68">
              <w:rPr>
                <w:rFonts w:ascii="Times New Roman" w:hAnsi="Times New Roman"/>
                <w:sz w:val="24"/>
              </w:rPr>
              <w:t>autorità designata di detto paese conformemente agli articoli 136, 137, 138 e 139 della CRD.</w:t>
            </w:r>
          </w:p>
          <w:p w:rsidR="00C4425F" w:rsidRPr="00D51A68" w:rsidRDefault="00966663" w:rsidP="00133107">
            <w:pPr>
              <w:autoSpaceDE w:val="0"/>
              <w:autoSpaceDN w:val="0"/>
              <w:adjustRightInd w:val="0"/>
              <w:rPr>
                <w:rFonts w:ascii="Times New Roman" w:hAnsi="Times New Roman"/>
                <w:sz w:val="24"/>
              </w:rPr>
            </w:pPr>
            <w:r w:rsidRPr="00D51A68">
              <w:rPr>
                <w:rFonts w:ascii="Times New Roman" w:hAnsi="Times New Roman"/>
                <w:sz w:val="24"/>
              </w:rPr>
              <w:t>Se l</w:t>
            </w:r>
            <w:r w:rsidR="0009277C" w:rsidRPr="00D51A68">
              <w:rPr>
                <w:rFonts w:ascii="Times New Roman" w:hAnsi="Times New Roman"/>
                <w:sz w:val="24"/>
              </w:rPr>
              <w:t>’</w:t>
            </w:r>
            <w:r w:rsidRPr="00D51A68">
              <w:rPr>
                <w:rFonts w:ascii="Times New Roman" w:hAnsi="Times New Roman"/>
                <w:sz w:val="24"/>
              </w:rPr>
              <w:t>autorità designata del paese in questione non ha fissato un coefficiente anticiclico lasciare vuota questa riga.</w:t>
            </w:r>
          </w:p>
          <w:p w:rsidR="00C4425F" w:rsidRPr="00D51A68" w:rsidRDefault="00966663" w:rsidP="00133107">
            <w:pPr>
              <w:autoSpaceDE w:val="0"/>
              <w:autoSpaceDN w:val="0"/>
              <w:adjustRightInd w:val="0"/>
              <w:rPr>
                <w:rFonts w:ascii="Times New Roman" w:hAnsi="Times New Roman"/>
                <w:sz w:val="24"/>
              </w:rPr>
            </w:pPr>
            <w:r w:rsidRPr="00D51A68">
              <w:rPr>
                <w:rFonts w:ascii="Times New Roman" w:hAnsi="Times New Roman"/>
                <w:sz w:val="24"/>
              </w:rPr>
              <w:t>I coefficienti anticiclici fissati dall</w:t>
            </w:r>
            <w:r w:rsidR="0009277C" w:rsidRPr="00D51A68">
              <w:rPr>
                <w:rFonts w:ascii="Times New Roman" w:hAnsi="Times New Roman"/>
                <w:sz w:val="24"/>
              </w:rPr>
              <w:t>’</w:t>
            </w:r>
            <w:r w:rsidRPr="00D51A68">
              <w:rPr>
                <w:rFonts w:ascii="Times New Roman" w:hAnsi="Times New Roman"/>
                <w:sz w:val="24"/>
              </w:rPr>
              <w:t>autorità designata ma non ancora applicabili nel paese in questione alla data di riferimento per le segnalazioni non devono essere segnalati.</w:t>
            </w:r>
          </w:p>
          <w:p w:rsidR="00966663" w:rsidRPr="00D51A68" w:rsidRDefault="00966663" w:rsidP="000E6835">
            <w:pPr>
              <w:rPr>
                <w:rFonts w:ascii="Times New Roman" w:hAnsi="Times New Roman"/>
                <w:b/>
                <w:bCs/>
                <w:sz w:val="24"/>
                <w:u w:val="single"/>
              </w:rPr>
            </w:pPr>
            <w:r w:rsidRPr="00D51A68">
              <w:rPr>
                <w:rFonts w:ascii="Times New Roman" w:hAnsi="Times New Roman"/>
                <w:sz w:val="24"/>
              </w:rPr>
              <w:t>Le informazioni sul coefficiente anticiclico fissato dall</w:t>
            </w:r>
            <w:r w:rsidR="0009277C" w:rsidRPr="00D51A68">
              <w:rPr>
                <w:rFonts w:ascii="Times New Roman" w:hAnsi="Times New Roman"/>
                <w:sz w:val="24"/>
              </w:rPr>
              <w:t>’</w:t>
            </w:r>
            <w:r w:rsidRPr="00D51A68">
              <w:rPr>
                <w:rFonts w:ascii="Times New Roman" w:hAnsi="Times New Roman"/>
                <w:sz w:val="24"/>
              </w:rPr>
              <w:t xml:space="preserve">autorità designata non sono segnalate nel </w:t>
            </w:r>
            <w:r w:rsidR="0009277C" w:rsidRPr="00D51A68">
              <w:rPr>
                <w:rFonts w:ascii="Times New Roman" w:hAnsi="Times New Roman"/>
                <w:sz w:val="24"/>
              </w:rPr>
              <w:t>“</w:t>
            </w:r>
            <w:r w:rsidRPr="00D51A68">
              <w:rPr>
                <w:rFonts w:ascii="Times New Roman" w:hAnsi="Times New Roman"/>
                <w:sz w:val="24"/>
              </w:rPr>
              <w:t>Totale</w:t>
            </w:r>
            <w:r w:rsidR="0009277C" w:rsidRPr="00D51A68">
              <w:rPr>
                <w:rFonts w:ascii="Times New Roman" w:hAnsi="Times New Roman"/>
                <w:sz w:val="24"/>
              </w:rPr>
              <w:t>”</w:t>
            </w:r>
            <w:r w:rsidRPr="00D51A68">
              <w:rPr>
                <w:rFonts w:ascii="Times New Roman" w:hAnsi="Times New Roman"/>
                <w:sz w:val="24"/>
              </w:rPr>
              <w:t xml:space="preserve"> di tutti i paesi. </w:t>
            </w:r>
          </w:p>
        </w:tc>
      </w:tr>
      <w:tr w:rsidR="00966663" w:rsidRPr="00D51A68" w:rsidTr="00672D2A">
        <w:tc>
          <w:tcPr>
            <w:tcW w:w="1697" w:type="dxa"/>
          </w:tcPr>
          <w:p w:rsidR="00966663" w:rsidRPr="00D51A68" w:rsidRDefault="00966663" w:rsidP="00133107">
            <w:pPr>
              <w:rPr>
                <w:rFonts w:ascii="Times New Roman" w:hAnsi="Times New Roman"/>
                <w:sz w:val="24"/>
              </w:rPr>
            </w:pPr>
            <w:r w:rsidRPr="00D51A68">
              <w:rPr>
                <w:rFonts w:ascii="Times New Roman" w:hAnsi="Times New Roman"/>
                <w:sz w:val="24"/>
              </w:rPr>
              <w:t>130</w:t>
            </w:r>
          </w:p>
        </w:tc>
        <w:tc>
          <w:tcPr>
            <w:tcW w:w="8131" w:type="dxa"/>
          </w:tcPr>
          <w:p w:rsidR="00966663" w:rsidRPr="00D51A68" w:rsidRDefault="00966663" w:rsidP="00133107">
            <w:pPr>
              <w:rPr>
                <w:rFonts w:ascii="Times New Roman" w:hAnsi="Times New Roman"/>
                <w:b/>
                <w:bCs/>
                <w:sz w:val="24"/>
                <w:u w:val="single"/>
              </w:rPr>
            </w:pPr>
            <w:r w:rsidRPr="00D51A68">
              <w:rPr>
                <w:rFonts w:ascii="Times New Roman" w:hAnsi="Times New Roman"/>
                <w:b/>
                <w:sz w:val="24"/>
                <w:u w:val="single"/>
              </w:rPr>
              <w:t>Coefficiente anticiclico applicabile per il paese dell</w:t>
            </w:r>
            <w:r w:rsidR="0009277C" w:rsidRPr="00D51A68">
              <w:rPr>
                <w:rFonts w:ascii="Times New Roman" w:hAnsi="Times New Roman"/>
                <w:b/>
                <w:sz w:val="24"/>
                <w:u w:val="single"/>
              </w:rPr>
              <w:t>’</w:t>
            </w:r>
            <w:r w:rsidRPr="00D51A68">
              <w:rPr>
                <w:rFonts w:ascii="Times New Roman" w:hAnsi="Times New Roman"/>
                <w:b/>
                <w:sz w:val="24"/>
                <w:u w:val="single"/>
              </w:rPr>
              <w:t>ente</w:t>
            </w:r>
          </w:p>
          <w:p w:rsidR="00C4425F" w:rsidRPr="00D51A68" w:rsidRDefault="00966663" w:rsidP="00133107">
            <w:pPr>
              <w:autoSpaceDE w:val="0"/>
              <w:autoSpaceDN w:val="0"/>
              <w:adjustRightInd w:val="0"/>
              <w:rPr>
                <w:rFonts w:ascii="Times New Roman" w:hAnsi="Times New Roman"/>
                <w:sz w:val="24"/>
              </w:rPr>
            </w:pPr>
            <w:r w:rsidRPr="00D51A68">
              <w:rPr>
                <w:rFonts w:ascii="Times New Roman" w:hAnsi="Times New Roman"/>
                <w:sz w:val="24"/>
              </w:rPr>
              <w:t>Coefficiente anticiclico applicabile al paese in questione che è stato fissato dall</w:t>
            </w:r>
            <w:r w:rsidR="0009277C" w:rsidRPr="00D51A68">
              <w:rPr>
                <w:rFonts w:ascii="Times New Roman" w:hAnsi="Times New Roman"/>
                <w:sz w:val="24"/>
              </w:rPr>
              <w:t>’</w:t>
            </w:r>
            <w:r w:rsidRPr="00D51A68">
              <w:rPr>
                <w:rFonts w:ascii="Times New Roman" w:hAnsi="Times New Roman"/>
                <w:sz w:val="24"/>
              </w:rPr>
              <w:t>autorità designata del paese di residenza dell</w:t>
            </w:r>
            <w:r w:rsidR="0009277C" w:rsidRPr="00D51A68">
              <w:rPr>
                <w:rFonts w:ascii="Times New Roman" w:hAnsi="Times New Roman"/>
                <w:sz w:val="24"/>
              </w:rPr>
              <w:t>’</w:t>
            </w:r>
            <w:r w:rsidRPr="00D51A68">
              <w:rPr>
                <w:rFonts w:ascii="Times New Roman" w:hAnsi="Times New Roman"/>
                <w:sz w:val="24"/>
              </w:rPr>
              <w:t>ente conformemente agli articoli 137, 138, 139 e all</w:t>
            </w:r>
            <w:r w:rsidR="0009277C" w:rsidRPr="00D51A68">
              <w:rPr>
                <w:rFonts w:ascii="Times New Roman" w:hAnsi="Times New Roman"/>
                <w:sz w:val="24"/>
              </w:rPr>
              <w:t>’</w:t>
            </w:r>
            <w:r w:rsidRPr="00D51A68">
              <w:rPr>
                <w:rFonts w:ascii="Times New Roman" w:hAnsi="Times New Roman"/>
                <w:sz w:val="24"/>
              </w:rPr>
              <w:t>articolo 140, paragrafi 1, 2 e 3 della CRD. I coefficienti anticiclici non ancora applicabili alla data di riferimento per le segnalazioni non devono essere segnalati.</w:t>
            </w:r>
          </w:p>
          <w:p w:rsidR="00966663" w:rsidRPr="00D51A68" w:rsidRDefault="00966663" w:rsidP="00133107">
            <w:pPr>
              <w:rPr>
                <w:rFonts w:ascii="Times New Roman" w:hAnsi="Times New Roman"/>
                <w:b/>
                <w:bCs/>
                <w:sz w:val="24"/>
                <w:u w:val="single"/>
              </w:rPr>
            </w:pPr>
            <w:r w:rsidRPr="00D51A68">
              <w:rPr>
                <w:rFonts w:ascii="Times New Roman" w:hAnsi="Times New Roman"/>
                <w:sz w:val="24"/>
              </w:rPr>
              <w:t>Le informazioni sul coefficiente anticiclico applicabile nel paese dell</w:t>
            </w:r>
            <w:r w:rsidR="0009277C" w:rsidRPr="00D51A68">
              <w:rPr>
                <w:rFonts w:ascii="Times New Roman" w:hAnsi="Times New Roman"/>
                <w:sz w:val="24"/>
              </w:rPr>
              <w:t>’</w:t>
            </w:r>
            <w:r w:rsidRPr="00D51A68">
              <w:rPr>
                <w:rFonts w:ascii="Times New Roman" w:hAnsi="Times New Roman"/>
                <w:sz w:val="24"/>
              </w:rPr>
              <w:t xml:space="preserve">ente non sono segnalate per il </w:t>
            </w:r>
            <w:r w:rsidR="0009277C" w:rsidRPr="00D51A68">
              <w:rPr>
                <w:rFonts w:ascii="Times New Roman" w:hAnsi="Times New Roman"/>
                <w:sz w:val="24"/>
              </w:rPr>
              <w:t>“</w:t>
            </w:r>
            <w:r w:rsidRPr="00D51A68">
              <w:rPr>
                <w:rFonts w:ascii="Times New Roman" w:hAnsi="Times New Roman"/>
                <w:sz w:val="24"/>
              </w:rPr>
              <w:t>Totale</w:t>
            </w:r>
            <w:r w:rsidR="0009277C" w:rsidRPr="00D51A68">
              <w:rPr>
                <w:rFonts w:ascii="Times New Roman" w:hAnsi="Times New Roman"/>
                <w:sz w:val="24"/>
              </w:rPr>
              <w:t>”</w:t>
            </w:r>
            <w:r w:rsidRPr="00D51A68">
              <w:rPr>
                <w:rFonts w:ascii="Times New Roman" w:hAnsi="Times New Roman"/>
                <w:sz w:val="24"/>
              </w:rPr>
              <w:t xml:space="preserve"> di tutti i paesi.</w:t>
            </w:r>
          </w:p>
        </w:tc>
      </w:tr>
      <w:tr w:rsidR="00966663" w:rsidRPr="00D51A68" w:rsidTr="00672D2A">
        <w:tc>
          <w:tcPr>
            <w:tcW w:w="1697" w:type="dxa"/>
          </w:tcPr>
          <w:p w:rsidR="00966663" w:rsidRPr="00D51A68" w:rsidRDefault="00966663" w:rsidP="00133107">
            <w:pPr>
              <w:rPr>
                <w:rFonts w:ascii="Times New Roman" w:hAnsi="Times New Roman"/>
                <w:sz w:val="24"/>
              </w:rPr>
            </w:pPr>
            <w:r w:rsidRPr="00D51A68">
              <w:rPr>
                <w:rFonts w:ascii="Times New Roman" w:hAnsi="Times New Roman"/>
                <w:sz w:val="24"/>
              </w:rPr>
              <w:t>140</w:t>
            </w:r>
          </w:p>
        </w:tc>
        <w:tc>
          <w:tcPr>
            <w:tcW w:w="8131" w:type="dxa"/>
          </w:tcPr>
          <w:p w:rsidR="00966663" w:rsidRPr="00D51A68" w:rsidRDefault="00966663" w:rsidP="00133107">
            <w:pPr>
              <w:rPr>
                <w:rFonts w:ascii="Times New Roman" w:hAnsi="Times New Roman"/>
                <w:b/>
                <w:bCs/>
                <w:sz w:val="24"/>
                <w:u w:val="single"/>
              </w:rPr>
            </w:pPr>
            <w:r w:rsidRPr="00D51A68">
              <w:rPr>
                <w:rFonts w:ascii="Times New Roman" w:hAnsi="Times New Roman"/>
                <w:b/>
                <w:sz w:val="24"/>
                <w:u w:val="single"/>
              </w:rPr>
              <w:t>Coefficiente anticiclico specifico dell</w:t>
            </w:r>
            <w:r w:rsidR="0009277C" w:rsidRPr="00D51A68">
              <w:rPr>
                <w:rFonts w:ascii="Times New Roman" w:hAnsi="Times New Roman"/>
                <w:b/>
                <w:sz w:val="24"/>
                <w:u w:val="single"/>
              </w:rPr>
              <w:t>’</w:t>
            </w:r>
            <w:r w:rsidRPr="00D51A68">
              <w:rPr>
                <w:rFonts w:ascii="Times New Roman" w:hAnsi="Times New Roman"/>
                <w:b/>
                <w:sz w:val="24"/>
                <w:u w:val="single"/>
              </w:rPr>
              <w:t xml:space="preserve">ente </w:t>
            </w:r>
          </w:p>
          <w:p w:rsidR="00C4425F" w:rsidRPr="00D51A68" w:rsidRDefault="00966663" w:rsidP="00133107">
            <w:pPr>
              <w:autoSpaceDE w:val="0"/>
              <w:autoSpaceDN w:val="0"/>
              <w:adjustRightInd w:val="0"/>
              <w:rPr>
                <w:rFonts w:ascii="Times New Roman" w:hAnsi="Times New Roman"/>
                <w:sz w:val="24"/>
              </w:rPr>
            </w:pPr>
            <w:r w:rsidRPr="00D51A68">
              <w:rPr>
                <w:rFonts w:ascii="Times New Roman" w:hAnsi="Times New Roman"/>
                <w:sz w:val="24"/>
              </w:rPr>
              <w:t>Coefficiente anticiclico specifico dell</w:t>
            </w:r>
            <w:r w:rsidR="0009277C" w:rsidRPr="00D51A68">
              <w:rPr>
                <w:rFonts w:ascii="Times New Roman" w:hAnsi="Times New Roman"/>
                <w:sz w:val="24"/>
              </w:rPr>
              <w:t>’</w:t>
            </w:r>
            <w:r w:rsidRPr="00D51A68">
              <w:rPr>
                <w:rFonts w:ascii="Times New Roman" w:hAnsi="Times New Roman"/>
                <w:sz w:val="24"/>
              </w:rPr>
              <w:t>ente determinato conformemente all</w:t>
            </w:r>
            <w:r w:rsidR="0009277C" w:rsidRPr="00D51A68">
              <w:rPr>
                <w:rFonts w:ascii="Times New Roman" w:hAnsi="Times New Roman"/>
                <w:sz w:val="24"/>
              </w:rPr>
              <w:t>’</w:t>
            </w:r>
            <w:r w:rsidRPr="00D51A68">
              <w:rPr>
                <w:rFonts w:ascii="Times New Roman" w:hAnsi="Times New Roman"/>
                <w:sz w:val="24"/>
              </w:rPr>
              <w:t xml:space="preserve">articolo 140, paragrafo 1, della CRD. </w:t>
            </w:r>
          </w:p>
          <w:p w:rsidR="00C4425F" w:rsidRPr="00D51A68" w:rsidRDefault="00966663" w:rsidP="00133107">
            <w:pPr>
              <w:autoSpaceDE w:val="0"/>
              <w:autoSpaceDN w:val="0"/>
              <w:adjustRightInd w:val="0"/>
              <w:rPr>
                <w:rFonts w:ascii="Times New Roman" w:hAnsi="Times New Roman"/>
                <w:sz w:val="24"/>
              </w:rPr>
            </w:pPr>
            <w:r w:rsidRPr="00D51A68">
              <w:rPr>
                <w:rFonts w:ascii="Times New Roman" w:hAnsi="Times New Roman"/>
                <w:sz w:val="24"/>
              </w:rPr>
              <w:t>Il coefficiente anticiclico specifico dell</w:t>
            </w:r>
            <w:r w:rsidR="0009277C" w:rsidRPr="00D51A68">
              <w:rPr>
                <w:rFonts w:ascii="Times New Roman" w:hAnsi="Times New Roman"/>
                <w:sz w:val="24"/>
              </w:rPr>
              <w:t>’</w:t>
            </w:r>
            <w:r w:rsidRPr="00D51A68">
              <w:rPr>
                <w:rFonts w:ascii="Times New Roman" w:hAnsi="Times New Roman"/>
                <w:sz w:val="24"/>
              </w:rPr>
              <w:t>ente è calcolato come la media ponderata dei coefficienti anticiclici che sono applicati nei paesi in cui sono situate le esposizioni creditizie rilevanti dell</w:t>
            </w:r>
            <w:r w:rsidR="0009277C" w:rsidRPr="00D51A68">
              <w:rPr>
                <w:rFonts w:ascii="Times New Roman" w:hAnsi="Times New Roman"/>
                <w:sz w:val="24"/>
              </w:rPr>
              <w:t>’</w:t>
            </w:r>
            <w:r w:rsidRPr="00D51A68">
              <w:rPr>
                <w:rFonts w:ascii="Times New Roman" w:hAnsi="Times New Roman"/>
                <w:sz w:val="24"/>
              </w:rPr>
              <w:t>ente, ovvero che sono applicati ai fini dell</w:t>
            </w:r>
            <w:r w:rsidR="0009277C" w:rsidRPr="00D51A68">
              <w:rPr>
                <w:rFonts w:ascii="Times New Roman" w:hAnsi="Times New Roman"/>
                <w:sz w:val="24"/>
              </w:rPr>
              <w:t>’</w:t>
            </w:r>
            <w:r w:rsidRPr="00D51A68">
              <w:rPr>
                <w:rFonts w:ascii="Times New Roman" w:hAnsi="Times New Roman"/>
                <w:sz w:val="24"/>
              </w:rPr>
              <w:t>articolo 140 ai sensi dell</w:t>
            </w:r>
            <w:r w:rsidR="0009277C" w:rsidRPr="00D51A68">
              <w:rPr>
                <w:rFonts w:ascii="Times New Roman" w:hAnsi="Times New Roman"/>
                <w:sz w:val="24"/>
              </w:rPr>
              <w:t>’</w:t>
            </w:r>
            <w:r w:rsidRPr="00D51A68">
              <w:rPr>
                <w:rFonts w:ascii="Times New Roman" w:hAnsi="Times New Roman"/>
                <w:sz w:val="24"/>
              </w:rPr>
              <w:t>articolo 139, paragrafo 2 o 3 della CRD. Il coefficiente anticiclico pertinente è segnalato in [r120; c020; foglio del paese] o in [r130; c020; foglio del paese], a seconda del caso.</w:t>
            </w:r>
          </w:p>
          <w:p w:rsidR="00C4425F" w:rsidRPr="00D51A68" w:rsidRDefault="00966663" w:rsidP="00133107">
            <w:pPr>
              <w:autoSpaceDE w:val="0"/>
              <w:autoSpaceDN w:val="0"/>
              <w:adjustRightInd w:val="0"/>
              <w:rPr>
                <w:rFonts w:ascii="Times New Roman" w:hAnsi="Times New Roman"/>
                <w:b/>
                <w:strike/>
                <w:sz w:val="24"/>
              </w:rPr>
            </w:pPr>
            <w:r w:rsidRPr="00D51A68">
              <w:rPr>
                <w:rFonts w:ascii="Times New Roman" w:hAnsi="Times New Roman"/>
                <w:sz w:val="24"/>
              </w:rPr>
              <w:t xml:space="preserve">Il fattore di ponderazione applicato al coefficiente anticiclico in ogni paese è la quota di requisiti di fondi propri sul totale dei requisiti di fondi propri ed è segnalato in [r110; c020; foglio del paese]. </w:t>
            </w:r>
          </w:p>
          <w:p w:rsidR="00966663" w:rsidRPr="00D51A68" w:rsidRDefault="00966663" w:rsidP="00B816A3">
            <w:pPr>
              <w:rPr>
                <w:rFonts w:ascii="Times New Roman" w:hAnsi="Times New Roman"/>
                <w:b/>
                <w:bCs/>
                <w:sz w:val="24"/>
                <w:u w:val="single"/>
              </w:rPr>
            </w:pPr>
            <w:r w:rsidRPr="00D51A68">
              <w:rPr>
                <w:rFonts w:ascii="Times New Roman" w:hAnsi="Times New Roman"/>
                <w:sz w:val="24"/>
              </w:rPr>
              <w:t>Le informazioni sul coefficiente anticiclico specifico dell</w:t>
            </w:r>
            <w:r w:rsidR="0009277C" w:rsidRPr="00D51A68">
              <w:rPr>
                <w:rFonts w:ascii="Times New Roman" w:hAnsi="Times New Roman"/>
                <w:sz w:val="24"/>
              </w:rPr>
              <w:t>’</w:t>
            </w:r>
            <w:r w:rsidRPr="00D51A68">
              <w:rPr>
                <w:rFonts w:ascii="Times New Roman" w:hAnsi="Times New Roman"/>
                <w:sz w:val="24"/>
              </w:rPr>
              <w:t xml:space="preserve">ente sono segnalate </w:t>
            </w:r>
            <w:r w:rsidRPr="00D51A68">
              <w:rPr>
                <w:rFonts w:ascii="Times New Roman" w:hAnsi="Times New Roman"/>
                <w:sz w:val="24"/>
              </w:rPr>
              <w:lastRenderedPageBreak/>
              <w:t xml:space="preserve">soltanto per il </w:t>
            </w:r>
            <w:r w:rsidR="0009277C" w:rsidRPr="00D51A68">
              <w:rPr>
                <w:rFonts w:ascii="Times New Roman" w:hAnsi="Times New Roman"/>
                <w:sz w:val="24"/>
              </w:rPr>
              <w:t>“</w:t>
            </w:r>
            <w:r w:rsidRPr="00D51A68">
              <w:rPr>
                <w:rFonts w:ascii="Times New Roman" w:hAnsi="Times New Roman"/>
                <w:sz w:val="24"/>
              </w:rPr>
              <w:t>Totale</w:t>
            </w:r>
            <w:r w:rsidR="0009277C" w:rsidRPr="00D51A68">
              <w:rPr>
                <w:rFonts w:ascii="Times New Roman" w:hAnsi="Times New Roman"/>
                <w:sz w:val="24"/>
              </w:rPr>
              <w:t>”</w:t>
            </w:r>
            <w:r w:rsidRPr="00D51A68">
              <w:rPr>
                <w:rFonts w:ascii="Times New Roman" w:hAnsi="Times New Roman"/>
                <w:sz w:val="24"/>
              </w:rPr>
              <w:t xml:space="preserve"> di tutti i paesi e non per ogni paese separatamente.</w:t>
            </w:r>
          </w:p>
        </w:tc>
      </w:tr>
      <w:tr w:rsidR="006B1A77" w:rsidRPr="00D51A68" w:rsidTr="00672D2A">
        <w:tc>
          <w:tcPr>
            <w:tcW w:w="1697" w:type="dxa"/>
          </w:tcPr>
          <w:p w:rsidR="006B1A77" w:rsidRPr="00D51A68" w:rsidRDefault="006B1A77" w:rsidP="00FC0B81">
            <w:pPr>
              <w:rPr>
                <w:rFonts w:ascii="Times New Roman" w:hAnsi="Times New Roman"/>
                <w:sz w:val="24"/>
              </w:rPr>
            </w:pPr>
            <w:r w:rsidRPr="00D51A68">
              <w:rPr>
                <w:rFonts w:ascii="Times New Roman" w:hAnsi="Times New Roman"/>
                <w:sz w:val="24"/>
              </w:rPr>
              <w:lastRenderedPageBreak/>
              <w:t>150 - 160</w:t>
            </w:r>
          </w:p>
        </w:tc>
        <w:tc>
          <w:tcPr>
            <w:tcW w:w="8131" w:type="dxa"/>
          </w:tcPr>
          <w:p w:rsidR="006B1A77" w:rsidRPr="00D51A68" w:rsidRDefault="006B1A77" w:rsidP="00133107">
            <w:pPr>
              <w:rPr>
                <w:rFonts w:ascii="Times New Roman" w:hAnsi="Times New Roman"/>
                <w:b/>
                <w:bCs/>
                <w:sz w:val="24"/>
                <w:u w:val="single"/>
              </w:rPr>
            </w:pPr>
            <w:r w:rsidRPr="00D51A68">
              <w:rPr>
                <w:rFonts w:ascii="Times New Roman" w:hAnsi="Times New Roman"/>
                <w:b/>
                <w:sz w:val="24"/>
                <w:u w:val="single"/>
              </w:rPr>
              <w:t>Uso della soglia del 2</w:t>
            </w:r>
            <w:r w:rsidR="0009277C" w:rsidRPr="00D51A68">
              <w:rPr>
                <w:rFonts w:ascii="Times New Roman" w:hAnsi="Times New Roman"/>
                <w:b/>
                <w:sz w:val="24"/>
                <w:u w:val="single"/>
              </w:rPr>
              <w:t>%</w:t>
            </w:r>
          </w:p>
        </w:tc>
      </w:tr>
      <w:tr w:rsidR="00966663" w:rsidRPr="00D51A68" w:rsidTr="00672D2A">
        <w:tc>
          <w:tcPr>
            <w:tcW w:w="1697" w:type="dxa"/>
          </w:tcPr>
          <w:p w:rsidR="00966663" w:rsidRPr="00D51A68" w:rsidRDefault="00966663" w:rsidP="00133107">
            <w:pPr>
              <w:rPr>
                <w:rFonts w:ascii="Times New Roman" w:hAnsi="Times New Roman"/>
                <w:sz w:val="24"/>
              </w:rPr>
            </w:pPr>
            <w:r w:rsidRPr="00D51A68">
              <w:rPr>
                <w:rFonts w:ascii="Times New Roman" w:hAnsi="Times New Roman"/>
                <w:sz w:val="24"/>
              </w:rPr>
              <w:t>150</w:t>
            </w:r>
          </w:p>
        </w:tc>
        <w:tc>
          <w:tcPr>
            <w:tcW w:w="8131" w:type="dxa"/>
          </w:tcPr>
          <w:p w:rsidR="006A3A82" w:rsidRPr="00D51A68" w:rsidRDefault="00FC0B81" w:rsidP="006A3A82">
            <w:pPr>
              <w:autoSpaceDE w:val="0"/>
              <w:autoSpaceDN w:val="0"/>
              <w:adjustRightInd w:val="0"/>
              <w:rPr>
                <w:rFonts w:ascii="Times New Roman" w:hAnsi="Times New Roman"/>
                <w:sz w:val="24"/>
              </w:rPr>
            </w:pPr>
            <w:r w:rsidRPr="00D51A68">
              <w:rPr>
                <w:rFonts w:ascii="Times New Roman" w:hAnsi="Times New Roman"/>
                <w:b/>
                <w:sz w:val="24"/>
                <w:u w:val="single"/>
              </w:rPr>
              <w:t>Uso della soglia del 2% per le esposizioni creditizie generiche</w:t>
            </w:r>
            <w:r w:rsidRPr="00D51A68">
              <w:rPr>
                <w:rFonts w:ascii="Times New Roman" w:hAnsi="Times New Roman"/>
                <w:sz w:val="24"/>
              </w:rPr>
              <w:t xml:space="preserve"> </w:t>
            </w:r>
          </w:p>
          <w:p w:rsidR="006A3A82" w:rsidRPr="00D51A68" w:rsidRDefault="006A3A82" w:rsidP="006A3A82">
            <w:pPr>
              <w:autoSpaceDE w:val="0"/>
              <w:autoSpaceDN w:val="0"/>
              <w:adjustRightInd w:val="0"/>
              <w:rPr>
                <w:rFonts w:ascii="Times New Roman" w:hAnsi="Times New Roman"/>
                <w:sz w:val="24"/>
              </w:rPr>
            </w:pPr>
            <w:r w:rsidRPr="00D51A68">
              <w:rPr>
                <w:rFonts w:ascii="Times New Roman" w:hAnsi="Times New Roman"/>
                <w:sz w:val="24"/>
              </w:rPr>
              <w:t>Ai sensi dell</w:t>
            </w:r>
            <w:r w:rsidR="0009277C" w:rsidRPr="00D51A68">
              <w:rPr>
                <w:rFonts w:ascii="Times New Roman" w:hAnsi="Times New Roman"/>
                <w:sz w:val="24"/>
              </w:rPr>
              <w:t>’</w:t>
            </w:r>
            <w:r w:rsidRPr="00D51A68">
              <w:rPr>
                <w:rFonts w:ascii="Times New Roman" w:hAnsi="Times New Roman"/>
                <w:sz w:val="24"/>
              </w:rPr>
              <w:t>articolo 2, paragrafo 5, lettera b), del regolamento delegato (UE) n. 1152/2014 della Commissione, le esposizioni creditizie generiche estere il cui aggregato non supera il 2% dell</w:t>
            </w:r>
            <w:r w:rsidR="0009277C" w:rsidRPr="00D51A68">
              <w:rPr>
                <w:rFonts w:ascii="Times New Roman" w:hAnsi="Times New Roman"/>
                <w:sz w:val="24"/>
              </w:rPr>
              <w:t>’</w:t>
            </w:r>
            <w:r w:rsidRPr="00D51A68">
              <w:rPr>
                <w:rFonts w:ascii="Times New Roman" w:hAnsi="Times New Roman"/>
                <w:sz w:val="24"/>
              </w:rPr>
              <w:t>aggregato delle esposizioni creditizie generiche, delle esposizioni nel portafoglio di negoziazione e delle esposizioni verso la cartolarizzazione dell</w:t>
            </w:r>
            <w:r w:rsidR="0009277C" w:rsidRPr="00D51A68">
              <w:rPr>
                <w:rFonts w:ascii="Times New Roman" w:hAnsi="Times New Roman"/>
                <w:sz w:val="24"/>
              </w:rPr>
              <w:t>’</w:t>
            </w:r>
            <w:r w:rsidRPr="00D51A68">
              <w:rPr>
                <w:rFonts w:ascii="Times New Roman" w:hAnsi="Times New Roman"/>
                <w:sz w:val="24"/>
              </w:rPr>
              <w:t>ente possono essere assegnate allo Stato membro di origine dell</w:t>
            </w:r>
            <w:r w:rsidR="0009277C" w:rsidRPr="00D51A68">
              <w:rPr>
                <w:rFonts w:ascii="Times New Roman" w:hAnsi="Times New Roman"/>
                <w:sz w:val="24"/>
              </w:rPr>
              <w:t>’</w:t>
            </w:r>
            <w:r w:rsidRPr="00D51A68">
              <w:rPr>
                <w:rFonts w:ascii="Times New Roman" w:hAnsi="Times New Roman"/>
                <w:sz w:val="24"/>
              </w:rPr>
              <w:t>ente. L</w:t>
            </w:r>
            <w:r w:rsidR="0009277C" w:rsidRPr="00D51A68">
              <w:rPr>
                <w:rFonts w:ascii="Times New Roman" w:hAnsi="Times New Roman"/>
                <w:sz w:val="24"/>
              </w:rPr>
              <w:t>’</w:t>
            </w:r>
            <w:r w:rsidRPr="00D51A68">
              <w:rPr>
                <w:rFonts w:ascii="Times New Roman" w:hAnsi="Times New Roman"/>
                <w:sz w:val="24"/>
              </w:rPr>
              <w:t>aggregato delle esposizioni creditizie generiche, delle esposizioni nel portafoglio di negoziazione e delle esposizioni verso la cartolarizzazione è calcolato escludendo le esposizioni creditizie generiche localizzate ai sensi dell</w:t>
            </w:r>
            <w:r w:rsidR="0009277C" w:rsidRPr="00D51A68">
              <w:rPr>
                <w:rFonts w:ascii="Times New Roman" w:hAnsi="Times New Roman"/>
                <w:sz w:val="24"/>
              </w:rPr>
              <w:t>’</w:t>
            </w:r>
            <w:r w:rsidRPr="00D51A68">
              <w:rPr>
                <w:rFonts w:ascii="Times New Roman" w:hAnsi="Times New Roman"/>
                <w:sz w:val="24"/>
              </w:rPr>
              <w:t>articolo 2, paragrafo 5, lettera a), e dell</w:t>
            </w:r>
            <w:r w:rsidR="0009277C" w:rsidRPr="00D51A68">
              <w:rPr>
                <w:rFonts w:ascii="Times New Roman" w:hAnsi="Times New Roman"/>
                <w:sz w:val="24"/>
              </w:rPr>
              <w:t>’</w:t>
            </w:r>
            <w:r w:rsidRPr="00D51A68">
              <w:rPr>
                <w:rFonts w:ascii="Times New Roman" w:hAnsi="Times New Roman"/>
                <w:sz w:val="24"/>
              </w:rPr>
              <w:t>articolo 2, paragrafo 4, del regolamento delegato (UE) n. 1152/2014 della Commissione.</w:t>
            </w:r>
          </w:p>
          <w:p w:rsidR="00966663" w:rsidRPr="00D51A68" w:rsidRDefault="006A3A82" w:rsidP="006A3A82">
            <w:pPr>
              <w:autoSpaceDE w:val="0"/>
              <w:autoSpaceDN w:val="0"/>
              <w:adjustRightInd w:val="0"/>
              <w:rPr>
                <w:rFonts w:ascii="Times New Roman" w:hAnsi="Times New Roman"/>
                <w:sz w:val="24"/>
              </w:rPr>
            </w:pPr>
            <w:r w:rsidRPr="00D51A68">
              <w:rPr>
                <w:rFonts w:ascii="Times New Roman" w:hAnsi="Times New Roman"/>
                <w:sz w:val="24"/>
              </w:rPr>
              <w:t>Se si avvale di questa deroga, l</w:t>
            </w:r>
            <w:r w:rsidR="0009277C" w:rsidRPr="00D51A68">
              <w:rPr>
                <w:rFonts w:ascii="Times New Roman" w:hAnsi="Times New Roman"/>
                <w:sz w:val="24"/>
              </w:rPr>
              <w:t>’</w:t>
            </w:r>
            <w:r w:rsidRPr="00D51A68">
              <w:rPr>
                <w:rFonts w:ascii="Times New Roman" w:hAnsi="Times New Roman"/>
                <w:sz w:val="24"/>
              </w:rPr>
              <w:t xml:space="preserve">ente indica </w:t>
            </w:r>
            <w:r w:rsidR="0009277C" w:rsidRPr="00D51A68">
              <w:rPr>
                <w:rFonts w:ascii="Times New Roman" w:hAnsi="Times New Roman"/>
                <w:sz w:val="24"/>
              </w:rPr>
              <w:t>“</w:t>
            </w:r>
            <w:r w:rsidRPr="00D51A68">
              <w:rPr>
                <w:rFonts w:ascii="Times New Roman" w:hAnsi="Times New Roman"/>
                <w:sz w:val="24"/>
              </w:rPr>
              <w:t>y</w:t>
            </w:r>
            <w:r w:rsidR="0009277C" w:rsidRPr="00D51A68">
              <w:rPr>
                <w:rFonts w:ascii="Times New Roman" w:hAnsi="Times New Roman"/>
                <w:sz w:val="24"/>
              </w:rPr>
              <w:t>”</w:t>
            </w:r>
            <w:r w:rsidRPr="00D51A68">
              <w:rPr>
                <w:rFonts w:ascii="Times New Roman" w:hAnsi="Times New Roman"/>
                <w:sz w:val="24"/>
              </w:rPr>
              <w:t xml:space="preserve"> nella tabella per il paese corrispondente al suo Stato membro di origine e per il </w:t>
            </w:r>
            <w:r w:rsidR="0009277C" w:rsidRPr="00D51A68">
              <w:rPr>
                <w:rFonts w:ascii="Times New Roman" w:hAnsi="Times New Roman"/>
                <w:sz w:val="24"/>
              </w:rPr>
              <w:t>“</w:t>
            </w:r>
            <w:r w:rsidRPr="00D51A68">
              <w:rPr>
                <w:rFonts w:ascii="Times New Roman" w:hAnsi="Times New Roman"/>
                <w:sz w:val="24"/>
              </w:rPr>
              <w:t>Totale</w:t>
            </w:r>
            <w:r w:rsidR="0009277C" w:rsidRPr="00D51A68">
              <w:rPr>
                <w:rFonts w:ascii="Times New Roman" w:hAnsi="Times New Roman"/>
                <w:sz w:val="24"/>
              </w:rPr>
              <w:t>”</w:t>
            </w:r>
            <w:r w:rsidRPr="00D51A68">
              <w:rPr>
                <w:rFonts w:ascii="Times New Roman" w:hAnsi="Times New Roman"/>
                <w:sz w:val="24"/>
              </w:rPr>
              <w:t xml:space="preserve"> di tutti i paesi.</w:t>
            </w:r>
          </w:p>
          <w:p w:rsidR="006A3A82" w:rsidRPr="00D51A68" w:rsidRDefault="006A3A82" w:rsidP="006A3A82">
            <w:pPr>
              <w:autoSpaceDE w:val="0"/>
              <w:autoSpaceDN w:val="0"/>
              <w:adjustRightInd w:val="0"/>
              <w:rPr>
                <w:rFonts w:ascii="Times New Roman" w:hAnsi="Times New Roman"/>
                <w:sz w:val="24"/>
              </w:rPr>
            </w:pPr>
            <w:r w:rsidRPr="00D51A68">
              <w:rPr>
                <w:rFonts w:ascii="Times New Roman" w:hAnsi="Times New Roman"/>
                <w:sz w:val="24"/>
              </w:rPr>
              <w:t>Se non si avvale di questa deroga, l</w:t>
            </w:r>
            <w:r w:rsidR="0009277C" w:rsidRPr="00D51A68">
              <w:rPr>
                <w:rFonts w:ascii="Times New Roman" w:hAnsi="Times New Roman"/>
                <w:sz w:val="24"/>
              </w:rPr>
              <w:t>’</w:t>
            </w:r>
            <w:r w:rsidRPr="00D51A68">
              <w:rPr>
                <w:rFonts w:ascii="Times New Roman" w:hAnsi="Times New Roman"/>
                <w:sz w:val="24"/>
              </w:rPr>
              <w:t xml:space="preserve">ente indica </w:t>
            </w:r>
            <w:r w:rsidR="0009277C" w:rsidRPr="00D51A68">
              <w:rPr>
                <w:rFonts w:ascii="Times New Roman" w:hAnsi="Times New Roman"/>
                <w:sz w:val="24"/>
              </w:rPr>
              <w:t>“</w:t>
            </w:r>
            <w:r w:rsidRPr="00D51A68">
              <w:rPr>
                <w:rFonts w:ascii="Times New Roman" w:hAnsi="Times New Roman"/>
                <w:sz w:val="24"/>
              </w:rPr>
              <w:t>n</w:t>
            </w:r>
            <w:r w:rsidR="0009277C" w:rsidRPr="00D51A68">
              <w:rPr>
                <w:rFonts w:ascii="Times New Roman" w:hAnsi="Times New Roman"/>
                <w:sz w:val="24"/>
              </w:rPr>
              <w:t>”</w:t>
            </w:r>
            <w:r w:rsidRPr="00D51A68">
              <w:rPr>
                <w:rFonts w:ascii="Times New Roman" w:hAnsi="Times New Roman"/>
                <w:sz w:val="24"/>
              </w:rPr>
              <w:t xml:space="preserve"> nella rispettiva cella.</w:t>
            </w:r>
          </w:p>
        </w:tc>
      </w:tr>
      <w:tr w:rsidR="00966663" w:rsidRPr="00D51A68" w:rsidTr="00672D2A">
        <w:tc>
          <w:tcPr>
            <w:tcW w:w="1697" w:type="dxa"/>
          </w:tcPr>
          <w:p w:rsidR="00966663" w:rsidRPr="00D51A68" w:rsidRDefault="00966663" w:rsidP="00133107">
            <w:pPr>
              <w:rPr>
                <w:rFonts w:ascii="Times New Roman" w:hAnsi="Times New Roman"/>
                <w:sz w:val="24"/>
              </w:rPr>
            </w:pPr>
            <w:r w:rsidRPr="00D51A68">
              <w:rPr>
                <w:rFonts w:ascii="Times New Roman" w:hAnsi="Times New Roman"/>
                <w:sz w:val="24"/>
              </w:rPr>
              <w:t>160</w:t>
            </w:r>
          </w:p>
        </w:tc>
        <w:tc>
          <w:tcPr>
            <w:tcW w:w="8131" w:type="dxa"/>
          </w:tcPr>
          <w:p w:rsidR="00535A98" w:rsidRPr="00D51A68" w:rsidRDefault="00FC0B81" w:rsidP="006A3A82">
            <w:pPr>
              <w:autoSpaceDE w:val="0"/>
              <w:autoSpaceDN w:val="0"/>
              <w:adjustRightInd w:val="0"/>
              <w:rPr>
                <w:rFonts w:ascii="Times New Roman" w:hAnsi="Times New Roman"/>
                <w:sz w:val="24"/>
              </w:rPr>
            </w:pPr>
            <w:r w:rsidRPr="00D51A68">
              <w:rPr>
                <w:rFonts w:ascii="Times New Roman" w:hAnsi="Times New Roman"/>
                <w:b/>
                <w:sz w:val="24"/>
                <w:u w:val="single"/>
              </w:rPr>
              <w:t>Uso della soglia del 2% per le esposizioni nel portafoglio di negoziazione</w:t>
            </w:r>
          </w:p>
          <w:p w:rsidR="006A3A82" w:rsidRPr="00D51A68" w:rsidRDefault="006A3A82" w:rsidP="006A3A82">
            <w:pPr>
              <w:autoSpaceDE w:val="0"/>
              <w:autoSpaceDN w:val="0"/>
              <w:adjustRightInd w:val="0"/>
              <w:rPr>
                <w:rFonts w:ascii="Times New Roman" w:hAnsi="Times New Roman"/>
                <w:sz w:val="24"/>
              </w:rPr>
            </w:pPr>
            <w:r w:rsidRPr="00D51A68">
              <w:rPr>
                <w:rFonts w:ascii="Times New Roman" w:hAnsi="Times New Roman"/>
                <w:sz w:val="24"/>
              </w:rPr>
              <w:t>Ai sensi dell</w:t>
            </w:r>
            <w:r w:rsidR="0009277C" w:rsidRPr="00D51A68">
              <w:rPr>
                <w:rFonts w:ascii="Times New Roman" w:hAnsi="Times New Roman"/>
                <w:sz w:val="24"/>
              </w:rPr>
              <w:t>’</w:t>
            </w:r>
            <w:r w:rsidRPr="00D51A68">
              <w:rPr>
                <w:rFonts w:ascii="Times New Roman" w:hAnsi="Times New Roman"/>
                <w:sz w:val="24"/>
              </w:rPr>
              <w:t>articolo 3, paragrafo 3, del regolamento delegato (UE) n. 1152/2014 della Commissione, gli enti di cui il totale delle esposizioni nel portafoglio di negoziazione non supera il 2% del totale delle loro esposizioni creditizie generiche, delle loro esposizioni nel portafoglio di negoziazione e delle loro esposizioni verso la cartolarizzazione possono assegnare le esposizioni nel portafoglio di negoziazione allo Stato membro di origine dell</w:t>
            </w:r>
            <w:r w:rsidR="0009277C" w:rsidRPr="00D51A68">
              <w:rPr>
                <w:rFonts w:ascii="Times New Roman" w:hAnsi="Times New Roman"/>
                <w:sz w:val="24"/>
              </w:rPr>
              <w:t>’</w:t>
            </w:r>
            <w:r w:rsidRPr="00D51A68">
              <w:rPr>
                <w:rFonts w:ascii="Times New Roman" w:hAnsi="Times New Roman"/>
                <w:sz w:val="24"/>
              </w:rPr>
              <w:t>ente.</w:t>
            </w:r>
          </w:p>
          <w:p w:rsidR="006A3A82" w:rsidRPr="00D51A68" w:rsidRDefault="006A3A82" w:rsidP="006A3A82">
            <w:pPr>
              <w:rPr>
                <w:rFonts w:ascii="Times New Roman" w:hAnsi="Times New Roman"/>
                <w:sz w:val="24"/>
              </w:rPr>
            </w:pPr>
            <w:r w:rsidRPr="00D51A68">
              <w:rPr>
                <w:rFonts w:ascii="Times New Roman" w:hAnsi="Times New Roman"/>
                <w:sz w:val="24"/>
              </w:rPr>
              <w:t>Se si avvale di questa deroga, l</w:t>
            </w:r>
            <w:r w:rsidR="0009277C" w:rsidRPr="00D51A68">
              <w:rPr>
                <w:rFonts w:ascii="Times New Roman" w:hAnsi="Times New Roman"/>
                <w:sz w:val="24"/>
              </w:rPr>
              <w:t>’</w:t>
            </w:r>
            <w:r w:rsidRPr="00D51A68">
              <w:rPr>
                <w:rFonts w:ascii="Times New Roman" w:hAnsi="Times New Roman"/>
                <w:sz w:val="24"/>
              </w:rPr>
              <w:t xml:space="preserve">ente indica </w:t>
            </w:r>
            <w:r w:rsidR="0009277C" w:rsidRPr="00D51A68">
              <w:rPr>
                <w:rFonts w:ascii="Times New Roman" w:hAnsi="Times New Roman"/>
                <w:sz w:val="24"/>
              </w:rPr>
              <w:t>“</w:t>
            </w:r>
            <w:r w:rsidRPr="00D51A68">
              <w:rPr>
                <w:rFonts w:ascii="Times New Roman" w:hAnsi="Times New Roman"/>
                <w:sz w:val="24"/>
              </w:rPr>
              <w:t>y</w:t>
            </w:r>
            <w:r w:rsidR="0009277C" w:rsidRPr="00D51A68">
              <w:rPr>
                <w:rFonts w:ascii="Times New Roman" w:hAnsi="Times New Roman"/>
                <w:sz w:val="24"/>
              </w:rPr>
              <w:t>”</w:t>
            </w:r>
            <w:r w:rsidRPr="00D51A68">
              <w:rPr>
                <w:rFonts w:ascii="Times New Roman" w:hAnsi="Times New Roman"/>
                <w:sz w:val="24"/>
              </w:rPr>
              <w:t xml:space="preserve"> nella tabella per il paese corrispondente al suo Stato membro di origine e per il </w:t>
            </w:r>
            <w:r w:rsidR="0009277C" w:rsidRPr="00D51A68">
              <w:rPr>
                <w:rFonts w:ascii="Times New Roman" w:hAnsi="Times New Roman"/>
                <w:sz w:val="24"/>
              </w:rPr>
              <w:t>“</w:t>
            </w:r>
            <w:r w:rsidRPr="00D51A68">
              <w:rPr>
                <w:rFonts w:ascii="Times New Roman" w:hAnsi="Times New Roman"/>
                <w:sz w:val="24"/>
              </w:rPr>
              <w:t>Totale</w:t>
            </w:r>
            <w:r w:rsidR="0009277C" w:rsidRPr="00D51A68">
              <w:rPr>
                <w:rFonts w:ascii="Times New Roman" w:hAnsi="Times New Roman"/>
                <w:sz w:val="24"/>
              </w:rPr>
              <w:t>”</w:t>
            </w:r>
            <w:r w:rsidRPr="00D51A68">
              <w:rPr>
                <w:rFonts w:ascii="Times New Roman" w:hAnsi="Times New Roman"/>
                <w:sz w:val="24"/>
              </w:rPr>
              <w:t xml:space="preserve"> di tutti i paesi.</w:t>
            </w:r>
          </w:p>
          <w:p w:rsidR="00966663" w:rsidRPr="00D51A68" w:rsidRDefault="006A3A82" w:rsidP="006A3A82">
            <w:pPr>
              <w:rPr>
                <w:rFonts w:ascii="Times New Roman" w:hAnsi="Times New Roman"/>
                <w:b/>
                <w:bCs/>
                <w:sz w:val="24"/>
                <w:u w:val="single"/>
              </w:rPr>
            </w:pPr>
            <w:r w:rsidRPr="00D51A68">
              <w:rPr>
                <w:rFonts w:ascii="Times New Roman" w:hAnsi="Times New Roman"/>
                <w:sz w:val="24"/>
              </w:rPr>
              <w:t>Se non si avvale di questa deroga, l</w:t>
            </w:r>
            <w:r w:rsidR="0009277C" w:rsidRPr="00D51A68">
              <w:rPr>
                <w:rFonts w:ascii="Times New Roman" w:hAnsi="Times New Roman"/>
                <w:sz w:val="24"/>
              </w:rPr>
              <w:t>’</w:t>
            </w:r>
            <w:r w:rsidRPr="00D51A68">
              <w:rPr>
                <w:rFonts w:ascii="Times New Roman" w:hAnsi="Times New Roman"/>
                <w:sz w:val="24"/>
              </w:rPr>
              <w:t xml:space="preserve">ente indica </w:t>
            </w:r>
            <w:r w:rsidR="0009277C" w:rsidRPr="00D51A68">
              <w:rPr>
                <w:rFonts w:ascii="Times New Roman" w:hAnsi="Times New Roman"/>
                <w:sz w:val="24"/>
              </w:rPr>
              <w:t>“</w:t>
            </w:r>
            <w:r w:rsidRPr="00D51A68">
              <w:rPr>
                <w:rFonts w:ascii="Times New Roman" w:hAnsi="Times New Roman"/>
                <w:sz w:val="24"/>
              </w:rPr>
              <w:t>n</w:t>
            </w:r>
            <w:r w:rsidR="0009277C" w:rsidRPr="00D51A68">
              <w:rPr>
                <w:rFonts w:ascii="Times New Roman" w:hAnsi="Times New Roman"/>
                <w:sz w:val="24"/>
              </w:rPr>
              <w:t>”</w:t>
            </w:r>
            <w:r w:rsidRPr="00D51A68">
              <w:rPr>
                <w:rFonts w:ascii="Times New Roman" w:hAnsi="Times New Roman"/>
                <w:sz w:val="24"/>
              </w:rPr>
              <w:t xml:space="preserve"> nella rispettiva cella.</w:t>
            </w:r>
          </w:p>
        </w:tc>
      </w:tr>
    </w:tbl>
    <w:p w:rsidR="004357B9" w:rsidRPr="00D51A68" w:rsidRDefault="004357B9">
      <w:pPr>
        <w:spacing w:before="0" w:after="0"/>
        <w:jc w:val="left"/>
        <w:rPr>
          <w:rFonts w:ascii="Times New Roman" w:hAnsi="Times New Roman"/>
          <w:bCs/>
          <w:sz w:val="24"/>
        </w:rPr>
      </w:pPr>
    </w:p>
    <w:p w:rsidR="00C61FF5" w:rsidRPr="00D51A68" w:rsidRDefault="00125707" w:rsidP="0023700C">
      <w:pPr>
        <w:pStyle w:val="Instructionsberschrift2"/>
        <w:numPr>
          <w:ilvl w:val="0"/>
          <w:numId w:val="0"/>
        </w:numPr>
        <w:ind w:left="357" w:hanging="357"/>
        <w:rPr>
          <w:rFonts w:ascii="Times New Roman" w:hAnsi="Times New Roman" w:cs="Times New Roman"/>
          <w:sz w:val="24"/>
        </w:rPr>
      </w:pPr>
      <w:bookmarkStart w:id="405" w:name="_Toc295829919"/>
      <w:bookmarkStart w:id="406" w:name="_Toc310415031"/>
      <w:bookmarkStart w:id="407" w:name="_Toc360188369"/>
      <w:bookmarkStart w:id="408" w:name="_Toc516210655"/>
      <w:bookmarkStart w:id="409" w:name="_Toc473560920"/>
      <w:bookmarkStart w:id="410" w:name="_Toc524096600"/>
      <w:r w:rsidRPr="00D51A68">
        <w:rPr>
          <w:rFonts w:ascii="Times New Roman" w:hAnsi="Times New Roman"/>
          <w:sz w:val="24"/>
          <w:u w:val="none"/>
        </w:rPr>
        <w:t>3.5.</w:t>
      </w:r>
      <w:r w:rsidR="00A0772B" w:rsidRPr="00D51A68">
        <w:rPr>
          <w:u w:val="none"/>
        </w:rPr>
        <w:tab/>
      </w:r>
      <w:r w:rsidRPr="00D51A68">
        <w:rPr>
          <w:rFonts w:ascii="Times New Roman" w:hAnsi="Times New Roman"/>
          <w:sz w:val="24"/>
        </w:rPr>
        <w:t>C 10.01 e C 10.02 — Esposizioni in strumenti di capitale in base al metodo IRB</w:t>
      </w:r>
      <w:bookmarkEnd w:id="405"/>
      <w:bookmarkEnd w:id="406"/>
      <w:bookmarkEnd w:id="407"/>
      <w:r w:rsidRPr="00D51A68">
        <w:rPr>
          <w:rFonts w:ascii="Times New Roman" w:hAnsi="Times New Roman"/>
          <w:sz w:val="24"/>
        </w:rPr>
        <w:t xml:space="preserve"> (CR EQU IRB 1 e CR EQU IRB 2)</w:t>
      </w:r>
      <w:bookmarkEnd w:id="408"/>
      <w:bookmarkEnd w:id="409"/>
      <w:bookmarkEnd w:id="410"/>
    </w:p>
    <w:p w:rsidR="00C61FF5" w:rsidRPr="00D51A68" w:rsidRDefault="00125707" w:rsidP="0023700C">
      <w:pPr>
        <w:pStyle w:val="Instructionsberschrift2"/>
        <w:numPr>
          <w:ilvl w:val="0"/>
          <w:numId w:val="0"/>
        </w:numPr>
        <w:ind w:left="357" w:hanging="357"/>
        <w:rPr>
          <w:rFonts w:ascii="Times New Roman" w:hAnsi="Times New Roman" w:cs="Times New Roman"/>
          <w:sz w:val="24"/>
        </w:rPr>
      </w:pPr>
      <w:bookmarkStart w:id="411" w:name="_Toc239157382"/>
      <w:bookmarkStart w:id="412" w:name="_Toc295829920"/>
      <w:bookmarkStart w:id="413" w:name="_Toc310415032"/>
      <w:bookmarkStart w:id="414" w:name="_Toc360188370"/>
      <w:bookmarkStart w:id="415" w:name="_Toc516210656"/>
      <w:bookmarkStart w:id="416" w:name="_Toc473560921"/>
      <w:bookmarkStart w:id="417" w:name="_Toc524096601"/>
      <w:r w:rsidRPr="00D51A68">
        <w:rPr>
          <w:rFonts w:ascii="Times New Roman" w:hAnsi="Times New Roman"/>
          <w:sz w:val="24"/>
          <w:u w:val="none"/>
        </w:rPr>
        <w:t>3.5.1.</w:t>
      </w:r>
      <w:r w:rsidR="00A0772B" w:rsidRPr="00D51A68">
        <w:rPr>
          <w:u w:val="none"/>
        </w:rPr>
        <w:tab/>
      </w:r>
      <w:r w:rsidRPr="00D51A68">
        <w:rPr>
          <w:rFonts w:ascii="Times New Roman" w:hAnsi="Times New Roman"/>
          <w:sz w:val="24"/>
        </w:rPr>
        <w:t>Osservazioni di carattere generale</w:t>
      </w:r>
      <w:bookmarkEnd w:id="411"/>
      <w:bookmarkEnd w:id="412"/>
      <w:bookmarkEnd w:id="413"/>
      <w:bookmarkEnd w:id="414"/>
      <w:bookmarkEnd w:id="415"/>
      <w:bookmarkEnd w:id="416"/>
      <w:bookmarkEnd w:id="417"/>
    </w:p>
    <w:p w:rsidR="00C61FF5" w:rsidRPr="00D51A68" w:rsidRDefault="00125707" w:rsidP="0073183F">
      <w:pPr>
        <w:pStyle w:val="InstructionsText2"/>
        <w:numPr>
          <w:ilvl w:val="0"/>
          <w:numId w:val="0"/>
        </w:numPr>
        <w:ind w:left="993"/>
      </w:pPr>
      <w:r w:rsidRPr="00D51A68">
        <w:t>86.</w:t>
      </w:r>
      <w:r w:rsidR="00A0772B" w:rsidRPr="00D51A68">
        <w:tab/>
      </w:r>
      <w:r w:rsidRPr="00D51A68">
        <w:t>Il modello CR EQU IRB consta di due modelli: il modello CR EQU IRB 1, che offre un quadro generale delle esposizioni calcolate secondo il metodo IRB della classe di esposizioni in strumenti di capitale e dei differenti metodi di calcolo degli importi complessivi dell</w:t>
      </w:r>
      <w:r w:rsidR="0009277C" w:rsidRPr="00D51A68">
        <w:t>’</w:t>
      </w:r>
      <w:r w:rsidRPr="00D51A68">
        <w:t xml:space="preserve">esposizione al rischio, e il modello CR EQU IRB 2, che espone la ripartizione delle esposizioni totali assegnate alle classi di debitori secondo il metodo PD/LGD. Nelle seguenti istruzioni, il termine </w:t>
      </w:r>
      <w:r w:rsidR="0009277C" w:rsidRPr="00D51A68">
        <w:t>“</w:t>
      </w:r>
      <w:r w:rsidRPr="00D51A68">
        <w:t>CR EQU IRB</w:t>
      </w:r>
      <w:r w:rsidR="0009277C" w:rsidRPr="00D51A68">
        <w:t>”</w:t>
      </w:r>
      <w:r w:rsidRPr="00D51A68">
        <w:t xml:space="preserve"> si riferisce sia al modello CR EQU IRB 1 che al modello CR EQU IRB 2, in funzione della loro applicabilità.</w:t>
      </w:r>
    </w:p>
    <w:p w:rsidR="00C61FF5" w:rsidRPr="00D51A68" w:rsidRDefault="00125707" w:rsidP="0073183F">
      <w:pPr>
        <w:pStyle w:val="InstructionsText2"/>
        <w:numPr>
          <w:ilvl w:val="0"/>
          <w:numId w:val="0"/>
        </w:numPr>
        <w:ind w:left="993"/>
      </w:pPr>
      <w:r w:rsidRPr="00D51A68">
        <w:t>87.</w:t>
      </w:r>
      <w:r w:rsidR="00A0772B" w:rsidRPr="00D51A68">
        <w:tab/>
      </w:r>
      <w:r w:rsidRPr="00D51A68">
        <w:t xml:space="preserve">Il modello CR EQU IRB fornisce informazioni sul calcolo degli importi delle esposizioni ponderati per il rischio di credito (articolo 92, paragrafo 3, lettera a), del </w:t>
      </w:r>
      <w:r w:rsidRPr="00D51A68">
        <w:lastRenderedPageBreak/>
        <w:t>CRR) secondo il metodo IRB (parte tre, titolo II, capo 3, del CRR) delle esposizioni in strumenti di capitale di cui all</w:t>
      </w:r>
      <w:r w:rsidR="0009277C" w:rsidRPr="00D51A68">
        <w:t>’</w:t>
      </w:r>
      <w:r w:rsidRPr="00D51A68">
        <w:t>articolo 147, paragrafo 2, lettera e), del CRR.</w:t>
      </w:r>
    </w:p>
    <w:p w:rsidR="00C61FF5" w:rsidRPr="00D51A68" w:rsidRDefault="00125707" w:rsidP="0073183F">
      <w:pPr>
        <w:pStyle w:val="InstructionsText2"/>
        <w:numPr>
          <w:ilvl w:val="0"/>
          <w:numId w:val="0"/>
        </w:numPr>
        <w:ind w:left="993"/>
      </w:pPr>
      <w:r w:rsidRPr="00D51A68">
        <w:t>88.</w:t>
      </w:r>
      <w:r w:rsidR="00A0772B" w:rsidRPr="00D51A68">
        <w:tab/>
      </w:r>
      <w:r w:rsidRPr="00D51A68">
        <w:t>Ai sensi dell</w:t>
      </w:r>
      <w:r w:rsidR="0009277C" w:rsidRPr="00D51A68">
        <w:t>’</w:t>
      </w:r>
      <w:r w:rsidRPr="00D51A68">
        <w:t>articolo 147, paragrafo 6, del CRR le seguenti esposizioni sono assegnate alla classe delle esposizioni in strumenti di capitale:</w:t>
      </w:r>
    </w:p>
    <w:p w:rsidR="00C61FF5" w:rsidRPr="00D51A68" w:rsidRDefault="00125707" w:rsidP="0073183F">
      <w:pPr>
        <w:pStyle w:val="InstructionsText2"/>
        <w:numPr>
          <w:ilvl w:val="0"/>
          <w:numId w:val="0"/>
        </w:numPr>
        <w:ind w:left="993"/>
      </w:pPr>
      <w:r w:rsidRPr="00D51A68">
        <w:t>a)</w:t>
      </w:r>
      <w:r w:rsidR="00A0772B" w:rsidRPr="00D51A68">
        <w:tab/>
      </w:r>
      <w:r w:rsidRPr="00D51A68">
        <w:t>esposizioni non debitorie che conferiscono un diritto o credito residuale subordinato sulle attività o sul reddito dell</w:t>
      </w:r>
      <w:r w:rsidR="0009277C" w:rsidRPr="00D51A68">
        <w:t>’</w:t>
      </w:r>
      <w:r w:rsidRPr="00D51A68">
        <w:t>emittente; o</w:t>
      </w:r>
    </w:p>
    <w:p w:rsidR="00C61FF5" w:rsidRPr="00D51A68" w:rsidRDefault="00125707" w:rsidP="0073183F">
      <w:pPr>
        <w:pStyle w:val="InstructionsText2"/>
        <w:numPr>
          <w:ilvl w:val="0"/>
          <w:numId w:val="0"/>
        </w:numPr>
        <w:ind w:left="993"/>
      </w:pPr>
      <w:r w:rsidRPr="00D51A68">
        <w:t>b)</w:t>
      </w:r>
      <w:r w:rsidR="00A0772B" w:rsidRPr="00D51A68">
        <w:tab/>
      </w:r>
      <w:r w:rsidRPr="00D51A68">
        <w:t>esposizioni debitorie e altri titoli, partnership, derivati o altri veicoli, la cui sostanza economica è analoga a quella delle esposizioni menzionate alla lettera a).</w:t>
      </w:r>
    </w:p>
    <w:p w:rsidR="00C61FF5" w:rsidRPr="00D51A68" w:rsidRDefault="00125707" w:rsidP="0073183F">
      <w:pPr>
        <w:pStyle w:val="InstructionsText2"/>
        <w:numPr>
          <w:ilvl w:val="0"/>
          <w:numId w:val="0"/>
        </w:numPr>
        <w:ind w:left="993"/>
      </w:pPr>
      <w:r w:rsidRPr="00D51A68">
        <w:t>89.</w:t>
      </w:r>
      <w:r w:rsidR="00A0772B" w:rsidRPr="00D51A68">
        <w:tab/>
      </w:r>
      <w:r w:rsidRPr="00D51A68">
        <w:t>Nel modello CR EQU IRB sono segnalati anche gli organismi di investimento collettivo trattati secondo il metodo della ponderazione semplice per il rischio di cui all</w:t>
      </w:r>
      <w:r w:rsidR="0009277C" w:rsidRPr="00D51A68">
        <w:t>’</w:t>
      </w:r>
      <w:r w:rsidRPr="00D51A68">
        <w:t>articolo 152 del CRR.</w:t>
      </w:r>
    </w:p>
    <w:p w:rsidR="00C61FF5" w:rsidRPr="00D51A68" w:rsidRDefault="00125707" w:rsidP="0073183F">
      <w:pPr>
        <w:pStyle w:val="InstructionsText2"/>
        <w:numPr>
          <w:ilvl w:val="0"/>
          <w:numId w:val="0"/>
        </w:numPr>
        <w:ind w:left="993"/>
      </w:pPr>
      <w:r w:rsidRPr="00D51A68">
        <w:t>90.</w:t>
      </w:r>
      <w:r w:rsidR="00A0772B" w:rsidRPr="00D51A68">
        <w:tab/>
      </w:r>
      <w:r w:rsidRPr="00D51A68">
        <w:t>Ai sensi dell</w:t>
      </w:r>
      <w:r w:rsidR="0009277C" w:rsidRPr="00D51A68">
        <w:t>’</w:t>
      </w:r>
      <w:r w:rsidRPr="00D51A68">
        <w:t>articolo 151, paragrafo 1, del CRR gli enti trasmettono il modello CR EQU IRB qualora applichino uno dei tre metodi citati nell</w:t>
      </w:r>
      <w:r w:rsidR="0009277C" w:rsidRPr="00D51A68">
        <w:t>’</w:t>
      </w:r>
      <w:r w:rsidRPr="00D51A68">
        <w:t xml:space="preserve">articolo 155 del CRR: </w:t>
      </w:r>
    </w:p>
    <w:p w:rsidR="00C61FF5" w:rsidRPr="00D51A68" w:rsidRDefault="00C61FF5" w:rsidP="00FC1A76">
      <w:pPr>
        <w:pStyle w:val="InstructionsText"/>
      </w:pPr>
      <w:r w:rsidRPr="00D51A68">
        <w:t xml:space="preserve">- metodo della ponderazione semplice, </w:t>
      </w:r>
    </w:p>
    <w:p w:rsidR="00C61FF5" w:rsidRPr="00D51A68" w:rsidRDefault="00C61FF5" w:rsidP="00FC1A76">
      <w:pPr>
        <w:pStyle w:val="InstructionsText"/>
      </w:pPr>
      <w:r w:rsidRPr="00D51A68">
        <w:t xml:space="preserve">- metodo PD/LGD, </w:t>
      </w:r>
    </w:p>
    <w:p w:rsidR="00C61FF5" w:rsidRPr="00D51A68" w:rsidRDefault="00C61FF5" w:rsidP="00FC1A76">
      <w:pPr>
        <w:pStyle w:val="InstructionsText"/>
      </w:pPr>
      <w:r w:rsidRPr="00D51A68">
        <w:t>- metodo dei modelli interni.</w:t>
      </w:r>
    </w:p>
    <w:p w:rsidR="00C61FF5" w:rsidRPr="00D51A68" w:rsidRDefault="00C61FF5" w:rsidP="00FC1A76">
      <w:pPr>
        <w:pStyle w:val="InstructionsText"/>
      </w:pPr>
      <w:r w:rsidRPr="00D51A68">
        <w:t>Inoltre, gli enti che applicano il metodo IRB segnalano nel modello CR EQU IRB anche gli importi ponderati per il rischio delle esposizioni in strumenti di capitale cui si applica un trattamento fisso di ponderazione del rischio (senza tuttavia essere trattate esplicitamente secondo il metodo della ponderazione semplice o senza l</w:t>
      </w:r>
      <w:r w:rsidR="0009277C" w:rsidRPr="00D51A68">
        <w:t>’</w:t>
      </w:r>
      <w:r w:rsidRPr="00D51A68">
        <w:t>applicazione parziale, in via temporanea o permanente, del metodo standardizzato per il rischio di credito, ossia le esposizioni in strumenti di capitale alle quali si applica una ponderazione del rischio del 250</w:t>
      </w:r>
      <w:r w:rsidR="0009277C" w:rsidRPr="00D51A68">
        <w:t>%</w:t>
      </w:r>
      <w:r w:rsidRPr="00D51A68">
        <w:t xml:space="preserve"> conformemente all</w:t>
      </w:r>
      <w:r w:rsidR="0009277C" w:rsidRPr="00D51A68">
        <w:t>’</w:t>
      </w:r>
      <w:r w:rsidRPr="00D51A68">
        <w:t>articolo 48, paragrafo 4, del CRR e, rispettivamente, una ponderazione del rischio del 370</w:t>
      </w:r>
      <w:r w:rsidR="0009277C" w:rsidRPr="00D51A68">
        <w:t>%</w:t>
      </w:r>
      <w:r w:rsidRPr="00D51A68">
        <w:t xml:space="preserve"> conformemente all</w:t>
      </w:r>
      <w:r w:rsidR="0009277C" w:rsidRPr="00D51A68">
        <w:t>’</w:t>
      </w:r>
      <w:r w:rsidRPr="00D51A68">
        <w:t>articolo 471, paragrafo 2, del CRR).</w:t>
      </w:r>
    </w:p>
    <w:p w:rsidR="00C61FF5" w:rsidRPr="00D51A68" w:rsidRDefault="00125707" w:rsidP="0073183F">
      <w:pPr>
        <w:pStyle w:val="InstructionsText2"/>
        <w:numPr>
          <w:ilvl w:val="0"/>
          <w:numId w:val="0"/>
        </w:numPr>
        <w:ind w:left="993"/>
      </w:pPr>
      <w:r w:rsidRPr="00D51A68">
        <w:t>91.</w:t>
      </w:r>
      <w:r w:rsidR="00A0772B" w:rsidRPr="00D51A68">
        <w:tab/>
      </w:r>
      <w:r w:rsidRPr="00D51A68">
        <w:t>Nel modello CR EQU IRB non sono segnalati i seguenti crediti in strumenti di capitale:</w:t>
      </w:r>
    </w:p>
    <w:p w:rsidR="00C61FF5" w:rsidRPr="00D51A68" w:rsidRDefault="00C61FF5" w:rsidP="00FC1A76">
      <w:pPr>
        <w:pStyle w:val="InstructionsText"/>
      </w:pPr>
      <w:r w:rsidRPr="00D51A68">
        <w:t>- le esposizioni in strumenti di capitale nel portafoglio di negoziazione (se l</w:t>
      </w:r>
      <w:r w:rsidR="0009277C" w:rsidRPr="00D51A68">
        <w:t>’</w:t>
      </w:r>
      <w:r w:rsidRPr="00D51A68">
        <w:t>ente non è esentato dal calcolo dei requisiti di fondi propri per le posizioni del portafoglio di negoziazione ai sensi dell</w:t>
      </w:r>
      <w:r w:rsidR="0009277C" w:rsidRPr="00D51A68">
        <w:t>’</w:t>
      </w:r>
      <w:r w:rsidRPr="00D51A68">
        <w:t xml:space="preserve">articolo 94 del CRR); </w:t>
      </w:r>
    </w:p>
    <w:p w:rsidR="00C61FF5" w:rsidRPr="00D51A68" w:rsidRDefault="00C61FF5" w:rsidP="00FC1A76">
      <w:pPr>
        <w:pStyle w:val="InstructionsText"/>
      </w:pPr>
      <w:r w:rsidRPr="00D51A68">
        <w:t>- le esposizioni in strumenti di capitale soggette all</w:t>
      </w:r>
      <w:r w:rsidR="0009277C" w:rsidRPr="00D51A68">
        <w:t>’</w:t>
      </w:r>
      <w:r w:rsidRPr="00D51A68">
        <w:t>applicazione parziale del metodo standardizzato (articolo 150 del CRR), comprese:</w:t>
      </w:r>
    </w:p>
    <w:p w:rsidR="00C61FF5" w:rsidRPr="00D51A68" w:rsidRDefault="00C61FF5" w:rsidP="00FC1A76">
      <w:pPr>
        <w:pStyle w:val="InstructionsText"/>
      </w:pPr>
      <w:r w:rsidRPr="00D51A68">
        <w:t>- le esposizioni in strumenti di capitale soggette alla clausola grandfathering ai sensi dell</w:t>
      </w:r>
      <w:r w:rsidR="0009277C" w:rsidRPr="00D51A68">
        <w:t>’</w:t>
      </w:r>
      <w:r w:rsidRPr="00D51A68">
        <w:t>articolo 495, paragrafo 1, del CRR;</w:t>
      </w:r>
    </w:p>
    <w:p w:rsidR="00C61FF5" w:rsidRPr="00D51A68" w:rsidRDefault="00C61FF5" w:rsidP="00FC1A76">
      <w:pPr>
        <w:pStyle w:val="InstructionsText"/>
      </w:pPr>
      <w:r w:rsidRPr="00D51A68">
        <w:t>- le esposizioni in strumenti di capitale verso soggetti i cui crediti siano idonei a ricevere un fattore di ponderazione del rischio pari allo 0% secondo il metodo standardizzato, compresi i soggetti che beneficiano di sostegno pubblico, nei casi in cui è applicabile un fattore di ponderazione del rischio dello 0% (articolo 150, paragrafo 1, lettera g), del CRR);</w:t>
      </w:r>
    </w:p>
    <w:p w:rsidR="00C61FF5" w:rsidRPr="00D51A68" w:rsidRDefault="00C61FF5" w:rsidP="00FC1A76">
      <w:pPr>
        <w:pStyle w:val="InstructionsText"/>
      </w:pPr>
      <w:r w:rsidRPr="00D51A68">
        <w:t>- le esposizioni in strumenti di capitale sorte nel quadro di programmi legislativi allo scopo di promuovere determinati settori economici che prevedono consistenti sovvenzioni per investimenti a favore dell</w:t>
      </w:r>
      <w:r w:rsidR="0009277C" w:rsidRPr="00D51A68">
        <w:t>’</w:t>
      </w:r>
      <w:r w:rsidRPr="00D51A68">
        <w:t xml:space="preserve">ente e comportano una qualche forma di supervisione pubblica e </w:t>
      </w:r>
      <w:r w:rsidRPr="00D51A68">
        <w:lastRenderedPageBreak/>
        <w:t>restrizioni sugli investimenti in strumenti di capitale (articolo 150, paragrafo 1, lettera h), del CRR);</w:t>
      </w:r>
    </w:p>
    <w:p w:rsidR="00C61FF5" w:rsidRPr="00D51A68" w:rsidRDefault="00C61FF5" w:rsidP="00FC1A76">
      <w:pPr>
        <w:pStyle w:val="InstructionsText"/>
      </w:pPr>
      <w:r w:rsidRPr="00D51A68">
        <w:t xml:space="preserve">- le esposizioni in strumenti di capitale verso società strumentali i cui importi delle esposizioni ponderati per il rischio possono essere calcolati conformemente al trattamento delle </w:t>
      </w:r>
      <w:r w:rsidR="0009277C" w:rsidRPr="00D51A68">
        <w:t>“</w:t>
      </w:r>
      <w:r w:rsidRPr="00D51A68">
        <w:t>altre attività diverse dai crediti</w:t>
      </w:r>
      <w:r w:rsidR="0009277C" w:rsidRPr="00D51A68">
        <w:t>”</w:t>
      </w:r>
      <w:r w:rsidRPr="00D51A68">
        <w:t xml:space="preserve"> (conformemente all</w:t>
      </w:r>
      <w:r w:rsidR="0009277C" w:rsidRPr="00D51A68">
        <w:t>’</w:t>
      </w:r>
      <w:r w:rsidRPr="00D51A68">
        <w:t xml:space="preserve">articolo 155, paragrafo 1, del CRR); </w:t>
      </w:r>
    </w:p>
    <w:p w:rsidR="00C61FF5" w:rsidRPr="00D51A68" w:rsidRDefault="00C61FF5" w:rsidP="00FC1A76">
      <w:pPr>
        <w:pStyle w:val="InstructionsText"/>
      </w:pPr>
      <w:r w:rsidRPr="00D51A68">
        <w:t>- i crediti in strumenti di capitale dedotti dai fondi propri conformemente agli articoli 46 e 48 del CRR.</w:t>
      </w:r>
    </w:p>
    <w:p w:rsidR="00C61FF5" w:rsidRPr="00D51A68" w:rsidRDefault="00C61FF5" w:rsidP="00FC1A76">
      <w:pPr>
        <w:pStyle w:val="InstructionsText"/>
      </w:pPr>
    </w:p>
    <w:p w:rsidR="00C61FF5" w:rsidRPr="00D51A68" w:rsidRDefault="00125707" w:rsidP="0023700C">
      <w:pPr>
        <w:pStyle w:val="Instructionsberschrift2"/>
        <w:numPr>
          <w:ilvl w:val="0"/>
          <w:numId w:val="0"/>
        </w:numPr>
        <w:ind w:left="357" w:hanging="357"/>
        <w:rPr>
          <w:rFonts w:ascii="Times New Roman" w:hAnsi="Times New Roman" w:cs="Times New Roman"/>
          <w:sz w:val="24"/>
        </w:rPr>
      </w:pPr>
      <w:bookmarkStart w:id="418" w:name="_Toc295829921"/>
      <w:bookmarkStart w:id="419" w:name="_Toc310415033"/>
      <w:bookmarkStart w:id="420" w:name="_Toc360188371"/>
      <w:bookmarkStart w:id="421" w:name="_Toc516210657"/>
      <w:bookmarkStart w:id="422" w:name="_Toc473560922"/>
      <w:bookmarkStart w:id="423" w:name="_Toc524096602"/>
      <w:r w:rsidRPr="00D51A68">
        <w:rPr>
          <w:rFonts w:ascii="Times New Roman" w:hAnsi="Times New Roman"/>
          <w:sz w:val="24"/>
          <w:u w:val="none"/>
        </w:rPr>
        <w:t>3.5.2.</w:t>
      </w:r>
      <w:r w:rsidR="00A0772B" w:rsidRPr="00D51A68">
        <w:rPr>
          <w:u w:val="none"/>
        </w:rPr>
        <w:tab/>
      </w:r>
      <w:r w:rsidRPr="00D51A68">
        <w:rPr>
          <w:rFonts w:ascii="Times New Roman" w:hAnsi="Times New Roman"/>
          <w:sz w:val="24"/>
        </w:rPr>
        <w:t>Istruzioni relative a posizioni specifiche</w:t>
      </w:r>
      <w:bookmarkEnd w:id="418"/>
      <w:bookmarkEnd w:id="419"/>
      <w:r w:rsidRPr="00D51A68">
        <w:rPr>
          <w:rFonts w:ascii="Times New Roman" w:hAnsi="Times New Roman"/>
          <w:sz w:val="24"/>
        </w:rPr>
        <w:t xml:space="preserve"> (valide sia per il modello CR EQU IRB 1 che per il modello CR EQU IRB 2)</w:t>
      </w:r>
      <w:bookmarkEnd w:id="420"/>
      <w:bookmarkEnd w:id="421"/>
      <w:bookmarkEnd w:id="422"/>
      <w:bookmarkEnd w:id="423"/>
    </w:p>
    <w:tbl>
      <w:tblPr>
        <w:tblW w:w="0" w:type="auto"/>
        <w:tblLook w:val="01E0" w:firstRow="1" w:lastRow="1" w:firstColumn="1" w:lastColumn="1" w:noHBand="0" w:noVBand="0"/>
      </w:tblPr>
      <w:tblGrid>
        <w:gridCol w:w="852"/>
        <w:gridCol w:w="8004"/>
      </w:tblGrid>
      <w:tr w:rsidR="00C61FF5" w:rsidRPr="00D51A68" w:rsidTr="00672D2A">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rsidR="00745369" w:rsidRPr="00D51A68" w:rsidRDefault="00C61FF5" w:rsidP="00EA0BAB">
            <w:pPr>
              <w:spacing w:beforeLines="60" w:before="144" w:afterLines="60" w:after="144"/>
              <w:rPr>
                <w:rStyle w:val="InstructionsTabelleText"/>
                <w:rFonts w:ascii="Times New Roman" w:hAnsi="Times New Roman"/>
                <w:b/>
                <w:sz w:val="24"/>
              </w:rPr>
            </w:pPr>
            <w:r w:rsidRPr="00D51A68">
              <w:rPr>
                <w:rStyle w:val="InstructionsTabelleText"/>
                <w:rFonts w:ascii="Times New Roman" w:hAnsi="Times New Roman"/>
                <w:b/>
                <w:sz w:val="24"/>
              </w:rPr>
              <w:t>Colonne</w:t>
            </w:r>
          </w:p>
        </w:tc>
      </w:tr>
      <w:tr w:rsidR="003F05A0" w:rsidRPr="00D51A68"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3F05A0" w:rsidRPr="00D51A68" w:rsidRDefault="003F05A0" w:rsidP="00EA0BAB">
            <w:pPr>
              <w:spacing w:beforeLines="60" w:before="144" w:afterLines="60" w:after="144"/>
              <w:rPr>
                <w:rStyle w:val="InstructionsTabelleText"/>
                <w:rFonts w:ascii="Times New Roman" w:hAnsi="Times New Roman"/>
                <w:sz w:val="24"/>
              </w:rPr>
            </w:pPr>
            <w:r w:rsidRPr="00D51A68">
              <w:rPr>
                <w:rStyle w:val="InstructionsTabelleText"/>
                <w:rFonts w:ascii="Times New Roman" w:hAnsi="Times New Roman"/>
                <w:sz w:val="24"/>
              </w:rPr>
              <w:t>005</w:t>
            </w:r>
          </w:p>
        </w:tc>
        <w:tc>
          <w:tcPr>
            <w:tcW w:w="8004" w:type="dxa"/>
          </w:tcPr>
          <w:p w:rsidR="003F05A0" w:rsidRPr="00D51A68" w:rsidRDefault="003F05A0" w:rsidP="00450A2E">
            <w:pPr>
              <w:spacing w:beforeLines="60" w:before="144" w:afterLines="60" w:after="144"/>
              <w:rPr>
                <w:rStyle w:val="InstructionsTabelleberschrift"/>
                <w:rFonts w:ascii="Times New Roman" w:hAnsi="Times New Roman"/>
                <w:sz w:val="24"/>
              </w:rPr>
            </w:pPr>
            <w:r w:rsidRPr="00D51A68">
              <w:rPr>
                <w:rStyle w:val="InstructionsTabelleberschrift"/>
                <w:rFonts w:ascii="Times New Roman" w:hAnsi="Times New Roman"/>
                <w:sz w:val="24"/>
              </w:rPr>
              <w:t>CLASSE DI DEBITORI (IDENTIFICATORE DI RIGA)</w:t>
            </w:r>
          </w:p>
          <w:p w:rsidR="003F05A0" w:rsidRPr="00D51A68" w:rsidRDefault="003F05A0" w:rsidP="003F05A0">
            <w:pPr>
              <w:spacing w:beforeLines="60" w:before="144" w:afterLines="60" w:after="144"/>
              <w:rPr>
                <w:rStyle w:val="InstructionsTabelleberschrift"/>
                <w:rFonts w:ascii="Times New Roman" w:hAnsi="Times New Roman"/>
                <w:b w:val="0"/>
                <w:sz w:val="24"/>
                <w:u w:val="none"/>
              </w:rPr>
            </w:pPr>
            <w:r w:rsidRPr="00D51A68">
              <w:rPr>
                <w:rStyle w:val="InstructionsTabelleberschrift"/>
                <w:rFonts w:ascii="Times New Roman" w:hAnsi="Times New Roman"/>
                <w:b w:val="0"/>
                <w:sz w:val="24"/>
                <w:u w:val="none"/>
              </w:rPr>
              <w:t xml:space="preserve">La classe di debitori è un identificatore di riga ed è unico per ciascuna riga della tabella. </w:t>
            </w:r>
            <w:r w:rsidRPr="00D51A68">
              <w:rPr>
                <w:rFonts w:ascii="Times New Roman" w:hAnsi="Times New Roman"/>
                <w:sz w:val="24"/>
              </w:rPr>
              <w:t>Segue l</w:t>
            </w:r>
            <w:r w:rsidR="0009277C" w:rsidRPr="00D51A68">
              <w:rPr>
                <w:rFonts w:ascii="Times New Roman" w:hAnsi="Times New Roman"/>
                <w:sz w:val="24"/>
              </w:rPr>
              <w:t>’</w:t>
            </w:r>
            <w:r w:rsidRPr="00D51A68">
              <w:rPr>
                <w:rFonts w:ascii="Times New Roman" w:hAnsi="Times New Roman"/>
                <w:sz w:val="24"/>
              </w:rPr>
              <w:t>ordine numerico 1, 2, 3 ecc.</w:t>
            </w:r>
          </w:p>
        </w:tc>
      </w:tr>
      <w:tr w:rsidR="00C61FF5" w:rsidRPr="00D51A68"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D51A68" w:rsidRDefault="00C61FF5" w:rsidP="00EA0BAB">
            <w:pPr>
              <w:spacing w:beforeLines="60" w:before="144" w:afterLines="60" w:after="144"/>
              <w:rPr>
                <w:rStyle w:val="InstructionsTabelleText"/>
                <w:rFonts w:ascii="Times New Roman" w:hAnsi="Times New Roman"/>
                <w:sz w:val="24"/>
              </w:rPr>
            </w:pPr>
            <w:r w:rsidRPr="00D51A68">
              <w:rPr>
                <w:rStyle w:val="InstructionsTabelleText"/>
                <w:rFonts w:ascii="Times New Roman" w:hAnsi="Times New Roman"/>
                <w:sz w:val="24"/>
              </w:rPr>
              <w:t>010</w:t>
            </w:r>
          </w:p>
        </w:tc>
        <w:tc>
          <w:tcPr>
            <w:tcW w:w="8004" w:type="dxa"/>
          </w:tcPr>
          <w:p w:rsidR="00745369" w:rsidRPr="00D51A68" w:rsidRDefault="00C61FF5" w:rsidP="00450A2E">
            <w:pPr>
              <w:spacing w:beforeLines="60" w:before="144" w:afterLines="60" w:after="144"/>
              <w:rPr>
                <w:rStyle w:val="InstructionsTabelleberschrift"/>
                <w:rFonts w:ascii="Times New Roman" w:hAnsi="Times New Roman"/>
                <w:sz w:val="24"/>
              </w:rPr>
            </w:pPr>
            <w:r w:rsidRPr="00D51A68">
              <w:rPr>
                <w:rStyle w:val="InstructionsTabelleberschrift"/>
                <w:rFonts w:ascii="Times New Roman" w:hAnsi="Times New Roman"/>
                <w:sz w:val="24"/>
              </w:rPr>
              <w:t xml:space="preserve">SISTEMA DI RATING INTERNO </w:t>
            </w:r>
          </w:p>
          <w:p w:rsidR="00745369" w:rsidRPr="00D51A68" w:rsidRDefault="00C61FF5" w:rsidP="00450A2E">
            <w:pPr>
              <w:spacing w:beforeLines="60" w:before="144" w:afterLines="60" w:after="144"/>
              <w:rPr>
                <w:rStyle w:val="InstructionsTabelleberschrift"/>
                <w:rFonts w:ascii="Times New Roman" w:hAnsi="Times New Roman"/>
                <w:sz w:val="24"/>
              </w:rPr>
            </w:pPr>
            <w:r w:rsidRPr="00D51A68">
              <w:rPr>
                <w:rStyle w:val="InstructionsTabelleberschrift"/>
                <w:rFonts w:ascii="Times New Roman" w:hAnsi="Times New Roman"/>
                <w:sz w:val="24"/>
              </w:rPr>
              <w:t>PROBABILITÀ DI DEFAULT ASSEGNATA ALLA CLASSE DI DEBITORI (%)</w:t>
            </w:r>
          </w:p>
          <w:p w:rsidR="00745369" w:rsidRPr="00D51A68" w:rsidRDefault="00C61FF5" w:rsidP="00450A2E">
            <w:pPr>
              <w:spacing w:beforeLines="60" w:before="144" w:afterLines="60" w:after="144"/>
              <w:rPr>
                <w:rStyle w:val="InstructionsTabelleText"/>
                <w:rFonts w:ascii="Times New Roman" w:hAnsi="Times New Roman"/>
                <w:sz w:val="24"/>
              </w:rPr>
            </w:pPr>
            <w:r w:rsidRPr="00D51A68">
              <w:rPr>
                <w:rStyle w:val="InstructionsTabelleText"/>
                <w:rFonts w:ascii="Times New Roman" w:hAnsi="Times New Roman"/>
                <w:sz w:val="24"/>
              </w:rPr>
              <w:t>Gli enti che applicano il metodo PD/LGD segnalano nella colonna 010 la probabilità di default (PD) calcolata a norma dell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articolo 165, paragrafo 1, del CRR.</w:t>
            </w:r>
          </w:p>
          <w:p w:rsidR="00745369" w:rsidRPr="00D51A68" w:rsidRDefault="00C61FF5" w:rsidP="00450A2E">
            <w:pPr>
              <w:spacing w:beforeLines="60" w:before="144" w:afterLines="60" w:after="144"/>
              <w:rPr>
                <w:rStyle w:val="InstructionsTabelleText"/>
                <w:rFonts w:ascii="Times New Roman" w:hAnsi="Times New Roman"/>
                <w:sz w:val="24"/>
              </w:rPr>
            </w:pPr>
            <w:r w:rsidRPr="00D51A68">
              <w:rPr>
                <w:rStyle w:val="InstructionsTabelleText"/>
                <w:rFonts w:ascii="Times New Roman" w:hAnsi="Times New Roman"/>
                <w:sz w:val="24"/>
              </w:rPr>
              <w:t>La PD assegnata alla classe o al pool di debitori da segnalare è conforme ai requisiti previsti dalla parte tre, titolo II, capo 3, sezione 6, del CRR. Per ogni singola classe o pool di debitori è indicata la PD ad essa o esso assegnata. Tutti i parametri di rischio segnalati sono ricavati dai parametri di rischio utilizzati nel sistema di rating interno approvato dall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autorità competente.</w:t>
            </w:r>
          </w:p>
          <w:p w:rsidR="00745369" w:rsidRPr="00D51A68" w:rsidRDefault="00C61FF5" w:rsidP="00450A2E">
            <w:pPr>
              <w:spacing w:beforeLines="60" w:before="144" w:afterLines="60" w:after="144"/>
              <w:rPr>
                <w:rStyle w:val="InstructionsTabelleText"/>
                <w:rFonts w:ascii="Times New Roman" w:hAnsi="Times New Roman"/>
                <w:sz w:val="24"/>
              </w:rPr>
            </w:pPr>
            <w:r w:rsidRPr="00D51A68">
              <w:rPr>
                <w:rStyle w:val="InstructionsTabelleText"/>
                <w:rFonts w:ascii="Times New Roman" w:hAnsi="Times New Roman"/>
                <w:sz w:val="24"/>
              </w:rPr>
              <w:t>Per gli importi relativi a un</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aggregazione di classi o pool di debitori (ad esempio le esposizioni totali), si riporta la media ponderata per 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esposizione delle PD attribuite alle classi o ai pool di debitori compresi nell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aggregazione considerata. Ai fini del calcolo della PD media ponderata per 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esposizione si deve tener conto di tutte le esposizioni, comprese quelle in stato di default. Per il calcolo della PD media ponderata per 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esposizione si applica, a fini di ponderazione, il valore dell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 xml:space="preserve">esposizione tenuto conto della protezione del credito di tipo personale (colonna 060). </w:t>
            </w:r>
          </w:p>
        </w:tc>
      </w:tr>
      <w:tr w:rsidR="00C61FF5" w:rsidRPr="00D51A68"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D51A68" w:rsidRDefault="00C61FF5" w:rsidP="00EA0BAB">
            <w:pPr>
              <w:spacing w:beforeLines="60" w:before="144" w:afterLines="60" w:after="144"/>
              <w:rPr>
                <w:rStyle w:val="InstructionsTabelleText"/>
                <w:rFonts w:ascii="Times New Roman" w:hAnsi="Times New Roman"/>
                <w:sz w:val="24"/>
              </w:rPr>
            </w:pPr>
            <w:r w:rsidRPr="00D51A68">
              <w:rPr>
                <w:rStyle w:val="InstructionsTabelleText"/>
                <w:rFonts w:ascii="Times New Roman" w:hAnsi="Times New Roman"/>
                <w:sz w:val="24"/>
              </w:rPr>
              <w:t>020</w:t>
            </w:r>
          </w:p>
        </w:tc>
        <w:tc>
          <w:tcPr>
            <w:tcW w:w="8004" w:type="dxa"/>
          </w:tcPr>
          <w:p w:rsidR="00745369" w:rsidRPr="00D51A68" w:rsidRDefault="00C61FF5" w:rsidP="00450A2E">
            <w:pPr>
              <w:spacing w:beforeLines="60" w:before="144" w:afterLines="60" w:after="144"/>
              <w:rPr>
                <w:rStyle w:val="InstructionsTabelleberschrift"/>
                <w:rFonts w:ascii="Times New Roman" w:hAnsi="Times New Roman"/>
                <w:sz w:val="24"/>
              </w:rPr>
            </w:pPr>
            <w:r w:rsidRPr="00D51A68">
              <w:rPr>
                <w:rStyle w:val="InstructionsTabelleberschrift"/>
                <w:rFonts w:ascii="Times New Roman" w:hAnsi="Times New Roman"/>
                <w:sz w:val="24"/>
              </w:rPr>
              <w:t>ESPOSIZIONE ORIGINARIA PRIMA DELL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APPLICAZIONE DEI FATTORI DI CONVERSIONE</w:t>
            </w:r>
          </w:p>
          <w:p w:rsidR="00C61FF5" w:rsidRPr="00D51A68" w:rsidRDefault="00C61FF5" w:rsidP="00C61FF5">
            <w:pPr>
              <w:autoSpaceDE w:val="0"/>
              <w:autoSpaceDN w:val="0"/>
              <w:adjustRightInd w:val="0"/>
              <w:spacing w:before="0" w:after="0"/>
              <w:rPr>
                <w:rStyle w:val="InstructionsTabelleText"/>
                <w:rFonts w:ascii="Times New Roman" w:hAnsi="Times New Roman"/>
                <w:sz w:val="24"/>
              </w:rPr>
            </w:pPr>
            <w:r w:rsidRPr="00D51A68">
              <w:rPr>
                <w:rStyle w:val="InstructionsTabelleText"/>
                <w:rFonts w:ascii="Times New Roman" w:hAnsi="Times New Roman"/>
                <w:sz w:val="24"/>
              </w:rPr>
              <w:t>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ente segnala nella colonna 020 il valore dell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esposizione originaria (prima dell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applicazione dei fattori di conversione). Conformemente all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articolo 167 del CRR, il valore delle esposizioni in strumenti di capitale è il valore contabile rimanente dopo 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applicazione delle rettifiche di valore su crediti specifiche. Il</w:t>
            </w:r>
            <w:r w:rsidRPr="00D51A68">
              <w:rPr>
                <w:rFonts w:ascii="Times New Roman" w:hAnsi="Times New Roman"/>
                <w:sz w:val="24"/>
              </w:rPr>
              <w:t xml:space="preserve"> </w:t>
            </w:r>
            <w:r w:rsidRPr="00D51A68">
              <w:rPr>
                <w:rFonts w:ascii="Times New Roman" w:hAnsi="Times New Roman"/>
                <w:sz w:val="24"/>
              </w:rPr>
              <w:lastRenderedPageBreak/>
              <w:t>valore delle esposizioni in strumenti di capitale fuori bilancio è pari al valore nominale ridotto delle rettifiche di valore su crediti specifiche.</w:t>
            </w:r>
          </w:p>
          <w:p w:rsidR="00745369" w:rsidRPr="00D51A68" w:rsidRDefault="00C61FF5" w:rsidP="00EA0BAB">
            <w:pPr>
              <w:spacing w:beforeLines="60" w:before="144" w:afterLines="60" w:after="144"/>
              <w:rPr>
                <w:rStyle w:val="InstructionsTabelleText"/>
                <w:rFonts w:ascii="Times New Roman" w:hAnsi="Times New Roman"/>
                <w:sz w:val="24"/>
              </w:rPr>
            </w:pPr>
            <w:r w:rsidRPr="00D51A68">
              <w:rPr>
                <w:rStyle w:val="InstructionsTabelleText"/>
                <w:rFonts w:ascii="Times New Roman" w:hAnsi="Times New Roman"/>
                <w:sz w:val="24"/>
              </w:rPr>
              <w:t>Gli enti comprendono nella colonna 020 anche gli elementi fuori bilancio di cui all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 xml:space="preserve">allegato I del CRR assegnati alla classe delle esposizioni in strumenti di capitale (ossia la </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parte non pagata di azioni sottoscritte</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w:t>
            </w:r>
          </w:p>
          <w:p w:rsidR="00745369" w:rsidRPr="00D51A68" w:rsidRDefault="00C61FF5" w:rsidP="00450A2E">
            <w:pPr>
              <w:spacing w:beforeLines="60" w:before="144" w:afterLines="60" w:after="144"/>
              <w:rPr>
                <w:rStyle w:val="InstructionsTabelleText"/>
                <w:rFonts w:ascii="Times New Roman" w:hAnsi="Times New Roman"/>
                <w:sz w:val="24"/>
              </w:rPr>
            </w:pPr>
            <w:r w:rsidRPr="00D51A68">
              <w:rPr>
                <w:rStyle w:val="InstructionsTabelleText"/>
                <w:rFonts w:ascii="Times New Roman" w:hAnsi="Times New Roman"/>
                <w:sz w:val="24"/>
              </w:rPr>
              <w:t>Gli enti che applicano il metodo della ponderazione semplice o il metodo PD/LGD (di cui all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articolo 165, paragrafo 1) tengono conto anche delle disposizioni relative alla compensazione di cui all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 xml:space="preserve">articolo 155, paragrafo 2, del CRR. </w:t>
            </w:r>
          </w:p>
        </w:tc>
      </w:tr>
      <w:tr w:rsidR="00C61FF5" w:rsidRPr="00D51A68"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D51A68" w:rsidRDefault="00C61FF5" w:rsidP="00EA0BAB">
            <w:pPr>
              <w:spacing w:beforeLines="60" w:before="144" w:afterLines="60" w:after="144"/>
              <w:rPr>
                <w:rStyle w:val="InstructionsTabelleText"/>
                <w:rFonts w:ascii="Times New Roman" w:hAnsi="Times New Roman"/>
                <w:sz w:val="24"/>
              </w:rPr>
            </w:pPr>
            <w:r w:rsidRPr="00D51A68">
              <w:rPr>
                <w:rStyle w:val="InstructionsTabelleText"/>
                <w:rFonts w:ascii="Times New Roman" w:hAnsi="Times New Roman"/>
                <w:sz w:val="24"/>
              </w:rPr>
              <w:lastRenderedPageBreak/>
              <w:t>030-040</w:t>
            </w:r>
          </w:p>
        </w:tc>
        <w:tc>
          <w:tcPr>
            <w:tcW w:w="8004" w:type="dxa"/>
          </w:tcPr>
          <w:p w:rsidR="00745369" w:rsidRPr="00D51A68" w:rsidRDefault="00C61FF5" w:rsidP="00450A2E">
            <w:pPr>
              <w:spacing w:beforeLines="60" w:before="144" w:afterLines="60" w:after="144"/>
              <w:rPr>
                <w:rStyle w:val="InstructionsTabelleberschrift"/>
                <w:rFonts w:ascii="Times New Roman" w:hAnsi="Times New Roman"/>
                <w:sz w:val="24"/>
              </w:rPr>
            </w:pPr>
            <w:r w:rsidRPr="00D51A68">
              <w:rPr>
                <w:rStyle w:val="InstructionsTabelleberschrift"/>
                <w:rFonts w:ascii="Times New Roman" w:hAnsi="Times New Roman"/>
                <w:sz w:val="24"/>
              </w:rPr>
              <w:t>TECNICHE DI ATTENUAZIONE DEL RISCHIO DI CREDITO (CRM) CON EFFETTI DI SOSTITUZIONE SULL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ESPOSIZIONE</w:t>
            </w:r>
          </w:p>
          <w:p w:rsidR="00745369" w:rsidRPr="00D51A68" w:rsidRDefault="00C61FF5" w:rsidP="00450A2E">
            <w:pPr>
              <w:spacing w:beforeLines="60" w:before="144" w:afterLines="60" w:after="144"/>
              <w:rPr>
                <w:rStyle w:val="InstructionsTabelleberschrift"/>
                <w:rFonts w:ascii="Times New Roman" w:hAnsi="Times New Roman"/>
                <w:sz w:val="24"/>
              </w:rPr>
            </w:pPr>
            <w:r w:rsidRPr="00D51A68">
              <w:rPr>
                <w:rStyle w:val="InstructionsTabelleberschrift"/>
                <w:rFonts w:ascii="Times New Roman" w:hAnsi="Times New Roman"/>
                <w:sz w:val="24"/>
              </w:rPr>
              <w:t>PROTEZIONE DEL CREDITO DI TIPO PERSONALE</w:t>
            </w:r>
          </w:p>
          <w:p w:rsidR="00745369" w:rsidRPr="00D51A68" w:rsidRDefault="00C61FF5" w:rsidP="00450A2E">
            <w:pPr>
              <w:spacing w:beforeLines="60" w:before="144" w:afterLines="60" w:after="144"/>
              <w:rPr>
                <w:rStyle w:val="InstructionsTabelleberschrift"/>
                <w:rFonts w:ascii="Times New Roman" w:hAnsi="Times New Roman"/>
                <w:sz w:val="24"/>
              </w:rPr>
            </w:pPr>
            <w:r w:rsidRPr="00D51A68">
              <w:rPr>
                <w:rStyle w:val="InstructionsTabelleberschrift"/>
                <w:rFonts w:ascii="Times New Roman" w:hAnsi="Times New Roman"/>
                <w:sz w:val="24"/>
              </w:rPr>
              <w:t>GARANZIE</w:t>
            </w:r>
          </w:p>
          <w:p w:rsidR="00745369" w:rsidRPr="00D51A68" w:rsidRDefault="00C61FF5" w:rsidP="00450A2E">
            <w:pPr>
              <w:spacing w:beforeLines="60" w:before="144" w:afterLines="60" w:after="144"/>
              <w:rPr>
                <w:rStyle w:val="InstructionsTabelleberschrift"/>
                <w:rFonts w:ascii="Times New Roman" w:hAnsi="Times New Roman"/>
                <w:sz w:val="24"/>
              </w:rPr>
            </w:pPr>
            <w:r w:rsidRPr="00D51A68">
              <w:rPr>
                <w:rStyle w:val="InstructionsTabelleberschrift"/>
                <w:rFonts w:ascii="Times New Roman" w:hAnsi="Times New Roman"/>
                <w:sz w:val="24"/>
              </w:rPr>
              <w:t>DERIVATI SU CREDITI</w:t>
            </w:r>
          </w:p>
          <w:p w:rsidR="00745369" w:rsidRPr="00D51A68" w:rsidRDefault="00C61FF5" w:rsidP="00450A2E">
            <w:pPr>
              <w:spacing w:beforeLines="60" w:before="144" w:afterLines="60" w:after="144"/>
              <w:rPr>
                <w:rStyle w:val="InstructionsTabelleText"/>
                <w:rFonts w:ascii="Times New Roman" w:hAnsi="Times New Roman"/>
                <w:sz w:val="24"/>
              </w:rPr>
            </w:pPr>
            <w:r w:rsidRPr="00D51A68">
              <w:rPr>
                <w:rStyle w:val="InstructionsTabelleText"/>
                <w:rFonts w:ascii="Times New Roman" w:hAnsi="Times New Roman"/>
                <w:sz w:val="24"/>
              </w:rPr>
              <w:t>Indipendentemente dal metodo applicato al calcolo degli importi ponderati per il rischio delle esposizioni in strumenti di capitale, gli enti possono rilevare le protezioni del credito di tipo personale ottenute per le esposizioni in strumenti di capitale (articolo 155, paragrafi 2, 3 e 4, del CRR). Gli enti che applicano il metodo della ponderazione semplice o il metodo PD/LGD segnalano nelle colonne 030 e 040 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importo della protezione del credito di tipo personale in forma di garanzie (colonna 030) o di derivati su crediti (colonna 040) rilevato secondo i metodi di cui alla parte tre, titolo II, capo 4, del CRR.</w:t>
            </w:r>
          </w:p>
        </w:tc>
      </w:tr>
      <w:tr w:rsidR="00C61FF5" w:rsidRPr="00D51A68"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D51A68" w:rsidRDefault="00C61FF5" w:rsidP="00EA0BAB">
            <w:pPr>
              <w:spacing w:beforeLines="60" w:before="144" w:afterLines="60" w:after="144"/>
              <w:rPr>
                <w:rStyle w:val="InstructionsTabelleText"/>
                <w:rFonts w:ascii="Times New Roman" w:hAnsi="Times New Roman"/>
                <w:sz w:val="24"/>
              </w:rPr>
            </w:pPr>
            <w:r w:rsidRPr="00D51A68">
              <w:rPr>
                <w:rStyle w:val="InstructionsTabelleText"/>
                <w:rFonts w:ascii="Times New Roman" w:hAnsi="Times New Roman"/>
                <w:sz w:val="24"/>
              </w:rPr>
              <w:t>050</w:t>
            </w:r>
          </w:p>
        </w:tc>
        <w:tc>
          <w:tcPr>
            <w:tcW w:w="8004" w:type="dxa"/>
          </w:tcPr>
          <w:p w:rsidR="00745369" w:rsidRPr="00D51A68" w:rsidRDefault="00C61FF5" w:rsidP="00450A2E">
            <w:pPr>
              <w:spacing w:beforeLines="60" w:before="144" w:afterLines="60" w:after="144"/>
              <w:rPr>
                <w:rStyle w:val="InstructionsTabelleberschrift"/>
                <w:rFonts w:ascii="Times New Roman" w:hAnsi="Times New Roman"/>
                <w:sz w:val="24"/>
              </w:rPr>
            </w:pPr>
            <w:r w:rsidRPr="00D51A68">
              <w:rPr>
                <w:rStyle w:val="InstructionsTabelleberschrift"/>
                <w:rFonts w:ascii="Times New Roman" w:hAnsi="Times New Roman"/>
                <w:sz w:val="24"/>
              </w:rPr>
              <w:t>TECNICHE DI ATTENUAZIONE DEL RISCHIO DI CREDITO (CRM) CON EFFETTI DI SOSTITUZIONE SULL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ESPOSIZIONE</w:t>
            </w:r>
          </w:p>
          <w:p w:rsidR="00745369" w:rsidRPr="00D51A68" w:rsidRDefault="00C61FF5" w:rsidP="00450A2E">
            <w:pPr>
              <w:spacing w:beforeLines="60" w:before="144" w:afterLines="60" w:after="144"/>
              <w:rPr>
                <w:rStyle w:val="InstructionsTabelleberschrift"/>
                <w:rFonts w:ascii="Times New Roman" w:hAnsi="Times New Roman"/>
                <w:sz w:val="24"/>
              </w:rPr>
            </w:pPr>
            <w:r w:rsidRPr="00D51A68">
              <w:rPr>
                <w:rStyle w:val="InstructionsTabelleberschrift"/>
                <w:rFonts w:ascii="Times New Roman" w:hAnsi="Times New Roman"/>
                <w:sz w:val="24"/>
              </w:rPr>
              <w:t>SOSTITUZIONE DELL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ESPOSIZIONE DOVUTA ALL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ATTENUAZIONE DEL RISCHIO DI CREDITO</w:t>
            </w:r>
          </w:p>
          <w:p w:rsidR="00745369" w:rsidRPr="00D51A68" w:rsidRDefault="00C61FF5" w:rsidP="00450A2E">
            <w:pPr>
              <w:spacing w:beforeLines="60" w:before="144" w:afterLines="60" w:after="144"/>
              <w:rPr>
                <w:rStyle w:val="InstructionsTabelleberschrift"/>
                <w:rFonts w:ascii="Times New Roman" w:hAnsi="Times New Roman"/>
                <w:sz w:val="24"/>
              </w:rPr>
            </w:pPr>
            <w:r w:rsidRPr="00D51A68">
              <w:rPr>
                <w:rStyle w:val="InstructionsTabelleberschrift"/>
                <w:rFonts w:ascii="Times New Roman" w:hAnsi="Times New Roman"/>
                <w:sz w:val="24"/>
              </w:rPr>
              <w:t>(-) DEFLUSSI TOTALI</w:t>
            </w:r>
          </w:p>
          <w:p w:rsidR="00745369" w:rsidRPr="00D51A68" w:rsidRDefault="00C61FF5" w:rsidP="00450A2E">
            <w:pPr>
              <w:spacing w:beforeLines="60" w:before="144" w:afterLines="60" w:after="144"/>
              <w:rPr>
                <w:rStyle w:val="InstructionsTabelleText"/>
                <w:rFonts w:ascii="Times New Roman" w:hAnsi="Times New Roman"/>
                <w:sz w:val="24"/>
              </w:rPr>
            </w:pPr>
            <w:r w:rsidRPr="00D51A68">
              <w:rPr>
                <w:rStyle w:val="InstructionsTabelleText"/>
                <w:rFonts w:ascii="Times New Roman" w:hAnsi="Times New Roman"/>
                <w:sz w:val="24"/>
              </w:rPr>
              <w:t>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ente segnala nella colonna 050 la parte dell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esposizione originaria prima dell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applicazione dei fattori di conversione garantita dalla protezione del credito di tipo personale rilevata secondo i metodi di cui alla parte tre, titolo II, capo 4, del CRR.</w:t>
            </w:r>
          </w:p>
        </w:tc>
      </w:tr>
      <w:tr w:rsidR="00C61FF5" w:rsidRPr="00D51A68"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D51A68" w:rsidRDefault="00C61FF5" w:rsidP="00450A2E">
            <w:pPr>
              <w:spacing w:beforeLines="60" w:before="144" w:afterLines="60" w:after="144"/>
              <w:rPr>
                <w:rStyle w:val="InstructionsTabelleText"/>
                <w:rFonts w:ascii="Times New Roman" w:hAnsi="Times New Roman"/>
                <w:sz w:val="24"/>
              </w:rPr>
            </w:pPr>
            <w:r w:rsidRPr="00D51A68">
              <w:rPr>
                <w:rStyle w:val="InstructionsTabelleText"/>
                <w:rFonts w:ascii="Times New Roman" w:hAnsi="Times New Roman"/>
                <w:sz w:val="24"/>
              </w:rPr>
              <w:t>060</w:t>
            </w:r>
          </w:p>
        </w:tc>
        <w:tc>
          <w:tcPr>
            <w:tcW w:w="8004" w:type="dxa"/>
          </w:tcPr>
          <w:p w:rsidR="00745369" w:rsidRPr="00D51A68" w:rsidRDefault="00C61FF5" w:rsidP="00450A2E">
            <w:pPr>
              <w:spacing w:beforeLines="60" w:before="144" w:afterLines="60" w:after="144"/>
              <w:rPr>
                <w:rStyle w:val="InstructionsTabelleberschrift"/>
                <w:rFonts w:ascii="Times New Roman" w:hAnsi="Times New Roman"/>
                <w:sz w:val="24"/>
              </w:rPr>
            </w:pPr>
            <w:r w:rsidRPr="00D51A68">
              <w:rPr>
                <w:rStyle w:val="InstructionsTabelleberschrift"/>
                <w:rFonts w:ascii="Times New Roman" w:hAnsi="Times New Roman"/>
                <w:sz w:val="24"/>
              </w:rPr>
              <w:t>VALORE DELL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ESPOSIZIONE</w:t>
            </w:r>
          </w:p>
          <w:p w:rsidR="00745369" w:rsidRPr="00D51A68" w:rsidRDefault="00C61FF5" w:rsidP="00450A2E">
            <w:pPr>
              <w:spacing w:beforeLines="60" w:before="144" w:afterLines="60" w:after="144"/>
              <w:rPr>
                <w:rStyle w:val="InstructionsTabelleText"/>
                <w:rFonts w:ascii="Times New Roman" w:hAnsi="Times New Roman"/>
                <w:sz w:val="24"/>
              </w:rPr>
            </w:pPr>
            <w:r w:rsidRPr="00D51A68">
              <w:rPr>
                <w:rStyle w:val="InstructionsTabelleText"/>
                <w:rFonts w:ascii="Times New Roman" w:hAnsi="Times New Roman"/>
                <w:sz w:val="24"/>
              </w:rPr>
              <w:t>Gli enti che applicano il metodo della ponderazione semplice o il metodo PD/LGD segnalano nella colonna 060 il valore dell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 xml:space="preserve">esposizione tenendo conto degli effetti di sostituzione derivanti dalla protezione del credito di tipo personale (articolo 155, paragrafi 2 e 3, e articolo 167 del CRR). </w:t>
            </w:r>
          </w:p>
          <w:p w:rsidR="00745369" w:rsidRPr="00D51A68" w:rsidRDefault="00C61FF5" w:rsidP="00450A2E">
            <w:pPr>
              <w:spacing w:beforeLines="60" w:before="144" w:afterLines="60" w:after="144"/>
              <w:rPr>
                <w:rStyle w:val="InstructionsTabelleText"/>
                <w:rFonts w:ascii="Times New Roman" w:hAnsi="Times New Roman"/>
                <w:sz w:val="24"/>
              </w:rPr>
            </w:pPr>
            <w:r w:rsidRPr="00D51A68">
              <w:rPr>
                <w:rStyle w:val="InstructionsTabelleText"/>
                <w:rFonts w:ascii="Times New Roman" w:hAnsi="Times New Roman"/>
                <w:sz w:val="24"/>
              </w:rPr>
              <w:t>Si ricorda che, nel caso delle esposizioni in strumenti di capitale fuori bilancio, il valore dell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esposizione è pari al valore nominale ridotto delle rettifiche di valore su crediti specifiche (articolo 167 del CRR).</w:t>
            </w:r>
          </w:p>
        </w:tc>
      </w:tr>
      <w:tr w:rsidR="00C61FF5" w:rsidRPr="00D51A68"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D51A68" w:rsidRDefault="00C61FF5" w:rsidP="00450A2E">
            <w:pPr>
              <w:spacing w:beforeLines="60" w:before="144" w:afterLines="60" w:after="144"/>
              <w:rPr>
                <w:rStyle w:val="InstructionsTabelleText"/>
                <w:rFonts w:ascii="Times New Roman" w:hAnsi="Times New Roman"/>
                <w:sz w:val="24"/>
              </w:rPr>
            </w:pPr>
            <w:r w:rsidRPr="00D51A68">
              <w:rPr>
                <w:rStyle w:val="InstructionsTabelleText"/>
                <w:rFonts w:ascii="Times New Roman" w:hAnsi="Times New Roman"/>
                <w:sz w:val="24"/>
              </w:rPr>
              <w:lastRenderedPageBreak/>
              <w:t>070</w:t>
            </w:r>
          </w:p>
        </w:tc>
        <w:tc>
          <w:tcPr>
            <w:tcW w:w="8004" w:type="dxa"/>
          </w:tcPr>
          <w:p w:rsidR="00745369" w:rsidRPr="00D51A68" w:rsidRDefault="00C61FF5" w:rsidP="00450A2E">
            <w:pPr>
              <w:spacing w:beforeLines="60" w:before="144" w:afterLines="60" w:after="144"/>
              <w:rPr>
                <w:rStyle w:val="InstructionsTabelleberschrift"/>
                <w:rFonts w:ascii="Times New Roman" w:hAnsi="Times New Roman"/>
                <w:sz w:val="24"/>
              </w:rPr>
            </w:pPr>
            <w:r w:rsidRPr="00D51A68">
              <w:rPr>
                <w:rStyle w:val="InstructionsTabelleberschrift"/>
                <w:rFonts w:ascii="Times New Roman" w:hAnsi="Times New Roman"/>
                <w:sz w:val="24"/>
              </w:rPr>
              <w:t>LGD MEDIA PONDERATA PER 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ESPOSIZIONE (%)</w:t>
            </w:r>
          </w:p>
          <w:p w:rsidR="00745369" w:rsidRPr="00D51A68" w:rsidRDefault="00C61FF5" w:rsidP="00450A2E">
            <w:pPr>
              <w:spacing w:beforeLines="60" w:before="144" w:afterLines="60" w:after="144"/>
              <w:rPr>
                <w:rStyle w:val="InstructionsTabelleText"/>
                <w:rFonts w:ascii="Times New Roman" w:hAnsi="Times New Roman"/>
                <w:sz w:val="24"/>
              </w:rPr>
            </w:pPr>
            <w:r w:rsidRPr="00D51A68">
              <w:rPr>
                <w:rStyle w:val="InstructionsTabelleText"/>
                <w:rFonts w:ascii="Times New Roman" w:hAnsi="Times New Roman"/>
                <w:sz w:val="24"/>
              </w:rPr>
              <w:t>Gli enti che applicano il metodo PD/LGD segnalano nella colonna 070 del modello CR EQU IRB 2 la media ponderata per 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esposizione delle LGD assegnate alle classi o ai pool di debitori compresi nell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aggregazione; lo stesso vale per la riga 020 del modello CR EQU IRB. Per il calcolo della LGD media ponderata per 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esposizione è utilizzato il valore dell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esposizione al lordo della protezione del credito di tipo personale (colonna 060). Gli enti tengono conto delle disposizioni dell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articolo 165, paragrafo 2, del CRR.</w:t>
            </w:r>
          </w:p>
        </w:tc>
      </w:tr>
      <w:tr w:rsidR="00C61FF5" w:rsidRPr="00D51A68"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D51A68" w:rsidRDefault="00C61FF5" w:rsidP="00450A2E">
            <w:pPr>
              <w:spacing w:beforeLines="60" w:before="144" w:afterLines="60" w:after="144"/>
              <w:rPr>
                <w:rStyle w:val="InstructionsTabelleText"/>
                <w:rFonts w:ascii="Times New Roman" w:hAnsi="Times New Roman"/>
                <w:sz w:val="24"/>
              </w:rPr>
            </w:pPr>
            <w:r w:rsidRPr="00D51A68">
              <w:rPr>
                <w:rStyle w:val="InstructionsTabelleText"/>
                <w:rFonts w:ascii="Times New Roman" w:hAnsi="Times New Roman"/>
                <w:sz w:val="24"/>
              </w:rPr>
              <w:t>080</w:t>
            </w:r>
          </w:p>
        </w:tc>
        <w:tc>
          <w:tcPr>
            <w:tcW w:w="8004" w:type="dxa"/>
          </w:tcPr>
          <w:p w:rsidR="00745369" w:rsidRPr="00D51A68" w:rsidRDefault="00C61FF5" w:rsidP="00450A2E">
            <w:pPr>
              <w:spacing w:beforeLines="60" w:before="144" w:afterLines="60" w:after="144"/>
              <w:rPr>
                <w:rStyle w:val="InstructionsTabelleberschrift"/>
                <w:rFonts w:ascii="Times New Roman" w:hAnsi="Times New Roman"/>
                <w:sz w:val="24"/>
              </w:rPr>
            </w:pPr>
            <w:r w:rsidRPr="00D51A68">
              <w:rPr>
                <w:rStyle w:val="InstructionsTabelleberschrift"/>
                <w:rFonts w:ascii="Times New Roman" w:hAnsi="Times New Roman"/>
                <w:sz w:val="24"/>
              </w:rPr>
              <w:t>IMPORTO DELLE ESPOSIZIONI PONDERATO PER IL RISCHIO</w:t>
            </w:r>
          </w:p>
          <w:p w:rsidR="00745369" w:rsidRPr="00D51A68" w:rsidRDefault="00C61FF5" w:rsidP="00450A2E">
            <w:pPr>
              <w:spacing w:beforeLines="60" w:before="144" w:afterLines="60" w:after="144"/>
              <w:rPr>
                <w:rStyle w:val="InstructionsTabelleText"/>
                <w:rFonts w:ascii="Times New Roman" w:hAnsi="Times New Roman"/>
                <w:sz w:val="24"/>
              </w:rPr>
            </w:pPr>
            <w:r w:rsidRPr="00D51A68">
              <w:rPr>
                <w:rStyle w:val="InstructionsTabelleText"/>
                <w:rFonts w:ascii="Times New Roman" w:hAnsi="Times New Roman"/>
                <w:sz w:val="24"/>
              </w:rPr>
              <w:t>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ente segnala nella colonna 080 gli importi ponderati per il rischio delle esposizioni in strumenti di capitale, calcolati a norma dell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articolo 155 del CRR.</w:t>
            </w:r>
          </w:p>
          <w:p w:rsidR="00745369" w:rsidRPr="00D51A68" w:rsidRDefault="00C61FF5" w:rsidP="00450A2E">
            <w:pPr>
              <w:spacing w:beforeLines="60" w:before="144" w:afterLines="60" w:after="144"/>
              <w:rPr>
                <w:rStyle w:val="InstructionsTabelleText"/>
                <w:rFonts w:ascii="Times New Roman" w:hAnsi="Times New Roman"/>
                <w:sz w:val="24"/>
              </w:rPr>
            </w:pPr>
            <w:r w:rsidRPr="00D51A68">
              <w:rPr>
                <w:rStyle w:val="InstructionsTabelleText"/>
                <w:rFonts w:ascii="Times New Roman" w:hAnsi="Times New Roman"/>
                <w:sz w:val="24"/>
              </w:rPr>
              <w:t>Se gli enti che applicano il metodo PD/LGD non dispongono di sufficienti informazioni per poter impiegare la definizione di default di cui all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articolo 178 del CRR, ai fattori di ponderazione è assegnato un fattore di graduazione di 1,5 quando si calcolano gli importi delle esposizioni pon</w:t>
            </w:r>
            <w:r w:rsidR="0073183F" w:rsidRPr="00D51A68">
              <w:rPr>
                <w:rStyle w:val="InstructionsTabelleText"/>
                <w:rFonts w:ascii="Times New Roman" w:hAnsi="Times New Roman"/>
                <w:sz w:val="24"/>
              </w:rPr>
              <w:t>derati per il rischio (articolo </w:t>
            </w:r>
            <w:r w:rsidRPr="00D51A68">
              <w:rPr>
                <w:rStyle w:val="InstructionsTabelleText"/>
                <w:rFonts w:ascii="Times New Roman" w:hAnsi="Times New Roman"/>
                <w:sz w:val="24"/>
              </w:rPr>
              <w:t xml:space="preserve">155, paragrafo 3, del CRR). </w:t>
            </w:r>
          </w:p>
          <w:p w:rsidR="00745369" w:rsidRPr="00D51A68" w:rsidRDefault="00C61FF5" w:rsidP="00450A2E">
            <w:pPr>
              <w:spacing w:beforeLines="60" w:before="144" w:afterLines="60" w:after="144"/>
              <w:rPr>
                <w:rStyle w:val="InstructionsTabelleText"/>
                <w:rFonts w:ascii="Times New Roman" w:hAnsi="Times New Roman"/>
                <w:sz w:val="24"/>
              </w:rPr>
            </w:pPr>
            <w:r w:rsidRPr="00D51A68">
              <w:rPr>
                <w:rStyle w:val="InstructionsTabelleText"/>
                <w:rFonts w:ascii="Times New Roman" w:hAnsi="Times New Roman"/>
                <w:sz w:val="24"/>
              </w:rPr>
              <w:t>Per quanto riguarda il parametro M (</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maturity</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 durata) immesso nella funzione di ponderazione del rischio, la durata assegnata alle esposizioni in strumenti di capitale è di cinque anni (articolo 165, paragrafo 3, del CRR).</w:t>
            </w:r>
          </w:p>
        </w:tc>
      </w:tr>
      <w:tr w:rsidR="00C61FF5" w:rsidRPr="00D51A68"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D51A68" w:rsidRDefault="00C61FF5" w:rsidP="00450A2E">
            <w:pPr>
              <w:spacing w:beforeLines="60" w:before="144" w:afterLines="60" w:after="144"/>
              <w:rPr>
                <w:rStyle w:val="InstructionsTabelleText"/>
                <w:rFonts w:ascii="Times New Roman" w:hAnsi="Times New Roman"/>
                <w:sz w:val="24"/>
              </w:rPr>
            </w:pPr>
            <w:r w:rsidRPr="00D51A68">
              <w:rPr>
                <w:rStyle w:val="InstructionsTabelleText"/>
                <w:rFonts w:ascii="Times New Roman" w:hAnsi="Times New Roman"/>
                <w:sz w:val="24"/>
              </w:rPr>
              <w:t>090</w:t>
            </w:r>
          </w:p>
        </w:tc>
        <w:tc>
          <w:tcPr>
            <w:tcW w:w="8004" w:type="dxa"/>
          </w:tcPr>
          <w:p w:rsidR="00745369" w:rsidRPr="00D51A68" w:rsidRDefault="00C61FF5" w:rsidP="00450A2E">
            <w:pPr>
              <w:spacing w:beforeLines="60" w:before="144" w:afterLines="60" w:after="144"/>
              <w:rPr>
                <w:rStyle w:val="InstructionsTabelleberschrift"/>
                <w:rFonts w:ascii="Times New Roman" w:hAnsi="Times New Roman"/>
                <w:sz w:val="24"/>
              </w:rPr>
            </w:pPr>
            <w:r w:rsidRPr="00D51A68">
              <w:rPr>
                <w:rStyle w:val="InstructionsTabelleberschrift"/>
                <w:rFonts w:ascii="Times New Roman" w:hAnsi="Times New Roman"/>
                <w:sz w:val="24"/>
              </w:rPr>
              <w:t>VOCE PER MEMORIA: IMPORTO DELLE PERDITE ATTESE</w:t>
            </w:r>
          </w:p>
          <w:p w:rsidR="00745369" w:rsidRPr="00D51A68" w:rsidRDefault="00C61FF5" w:rsidP="00450A2E">
            <w:pPr>
              <w:spacing w:beforeLines="60" w:before="144" w:afterLines="60" w:after="144"/>
              <w:rPr>
                <w:rStyle w:val="InstructionsTabelleText"/>
                <w:rFonts w:ascii="Times New Roman" w:hAnsi="Times New Roman"/>
                <w:sz w:val="24"/>
              </w:rPr>
            </w:pPr>
            <w:r w:rsidRPr="00D51A68">
              <w:rPr>
                <w:rStyle w:val="InstructionsTabelleText"/>
                <w:rFonts w:ascii="Times New Roman" w:hAnsi="Times New Roman"/>
                <w:sz w:val="24"/>
              </w:rPr>
              <w:t>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ente segnala nella colonna 090 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importo delle perdite attese delle esposizioni in strumenti di capitale calcolato ai sensi dell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 xml:space="preserve">articolo 158, paragrafi 4, 7, 8 e 9, del CRR. </w:t>
            </w:r>
          </w:p>
        </w:tc>
      </w:tr>
    </w:tbl>
    <w:p w:rsidR="00745369" w:rsidRPr="00D51A68" w:rsidRDefault="00745369" w:rsidP="00FC1A76">
      <w:pPr>
        <w:pStyle w:val="InstructionsText"/>
      </w:pPr>
    </w:p>
    <w:p w:rsidR="00C61FF5" w:rsidRPr="00D51A68" w:rsidRDefault="00125707" w:rsidP="0073183F">
      <w:pPr>
        <w:pStyle w:val="InstructionsText2"/>
        <w:numPr>
          <w:ilvl w:val="0"/>
          <w:numId w:val="0"/>
        </w:numPr>
        <w:ind w:left="993"/>
      </w:pPr>
      <w:r w:rsidRPr="00D51A68">
        <w:t>92.</w:t>
      </w:r>
      <w:r w:rsidR="00A0772B" w:rsidRPr="00D51A68">
        <w:tab/>
      </w:r>
      <w:r w:rsidRPr="00D51A68">
        <w:t>Conformemente all</w:t>
      </w:r>
      <w:r w:rsidR="0009277C" w:rsidRPr="00D51A68">
        <w:t>’</w:t>
      </w:r>
      <w:r w:rsidRPr="00D51A68">
        <w:t>articolo 155 del CRR, gli enti possono applicare metodi diversi (metodo della ponderazione semplice, metodo PD/LGD o metodo dei modelli interni) a portafogli diversi se utilizzano tali metodi differenti a livello interno. L</w:t>
      </w:r>
      <w:r w:rsidR="0009277C" w:rsidRPr="00D51A68">
        <w:t>’</w:t>
      </w:r>
      <w:r w:rsidRPr="00D51A68">
        <w:t>ente segnala nel modello CR EQU IRB 1 anche gli importi ponderati per il rischio delle esposizioni in strumenti di capitale cui si applica un trattamento fisso di ponderazione del rischio (senza tuttavia essere trattate esplicitamente secondo il metodo di ponderazione semplice o senza l</w:t>
      </w:r>
      <w:r w:rsidR="0009277C" w:rsidRPr="00D51A68">
        <w:t>’</w:t>
      </w:r>
      <w:r w:rsidRPr="00D51A68">
        <w:t>applicazione parziale, in via temporanea o permanente, del metodo standardizzato per il rischio di credito).</w:t>
      </w:r>
    </w:p>
    <w:tbl>
      <w:tblPr>
        <w:tblW w:w="9524" w:type="dxa"/>
        <w:tblLook w:val="01E0" w:firstRow="1" w:lastRow="1" w:firstColumn="1" w:lastColumn="1" w:noHBand="0" w:noVBand="0"/>
      </w:tblPr>
      <w:tblGrid>
        <w:gridCol w:w="1608"/>
        <w:gridCol w:w="7916"/>
      </w:tblGrid>
      <w:tr w:rsidR="00C61FF5" w:rsidRPr="00D51A68" w:rsidTr="00672D2A">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rsidR="00745369" w:rsidRPr="00D51A68" w:rsidRDefault="00C61FF5" w:rsidP="00EA0BAB">
            <w:pPr>
              <w:spacing w:beforeLines="60" w:before="144" w:afterLines="60" w:after="144"/>
              <w:rPr>
                <w:rStyle w:val="InstructionsTabelleText"/>
                <w:rFonts w:ascii="Times New Roman" w:hAnsi="Times New Roman"/>
                <w:b/>
                <w:sz w:val="24"/>
              </w:rPr>
            </w:pPr>
            <w:r w:rsidRPr="00D51A68">
              <w:rPr>
                <w:rStyle w:val="InstructionsTabelleText"/>
                <w:rFonts w:ascii="Times New Roman" w:hAnsi="Times New Roman"/>
                <w:b/>
                <w:sz w:val="24"/>
              </w:rPr>
              <w:t>Righe</w:t>
            </w:r>
          </w:p>
        </w:tc>
      </w:tr>
      <w:tr w:rsidR="00C61FF5" w:rsidRPr="00D51A68" w:rsidTr="00672D2A">
        <w:tc>
          <w:tcPr>
            <w:tcW w:w="1608" w:type="dxa"/>
            <w:tcBorders>
              <w:top w:val="single" w:sz="4" w:space="0" w:color="auto"/>
              <w:left w:val="single" w:sz="4" w:space="0" w:color="auto"/>
              <w:bottom w:val="single" w:sz="4" w:space="0" w:color="auto"/>
              <w:right w:val="single" w:sz="4" w:space="0" w:color="auto"/>
            </w:tcBorders>
          </w:tcPr>
          <w:p w:rsidR="00745369" w:rsidRPr="00D51A68" w:rsidRDefault="00C61FF5" w:rsidP="00EA0BAB">
            <w:pPr>
              <w:spacing w:beforeLines="60" w:before="144" w:afterLines="60" w:after="144"/>
              <w:rPr>
                <w:rStyle w:val="InstructionsTabelleText"/>
                <w:rFonts w:ascii="Times New Roman" w:hAnsi="Times New Roman"/>
                <w:sz w:val="24"/>
              </w:rPr>
            </w:pPr>
            <w:r w:rsidRPr="00D51A68">
              <w:rPr>
                <w:rStyle w:val="InstructionsTabelleText"/>
                <w:rFonts w:ascii="Times New Roman" w:hAnsi="Times New Roman"/>
                <w:sz w:val="24"/>
              </w:rPr>
              <w:t>CR EQU IRB 1 — riga 020</w:t>
            </w:r>
          </w:p>
          <w:p w:rsidR="00745369" w:rsidRPr="00D51A68" w:rsidRDefault="00745369" w:rsidP="00450A2E">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rsidR="00745369" w:rsidRPr="00D51A68" w:rsidRDefault="00C61FF5" w:rsidP="00450A2E">
            <w:pPr>
              <w:keepNext/>
              <w:spacing w:beforeLines="60" w:before="144" w:afterLines="60" w:after="144"/>
              <w:rPr>
                <w:rStyle w:val="InstructionsTabelleberschrift"/>
                <w:rFonts w:ascii="Times New Roman" w:hAnsi="Times New Roman"/>
                <w:sz w:val="24"/>
              </w:rPr>
            </w:pPr>
            <w:r w:rsidRPr="00D51A68">
              <w:rPr>
                <w:rStyle w:val="InstructionsTabelleberschrift"/>
                <w:rFonts w:ascii="Times New Roman" w:hAnsi="Times New Roman"/>
                <w:sz w:val="24"/>
              </w:rPr>
              <w:t xml:space="preserve">METODO PD/LGD: TOTALE </w:t>
            </w:r>
          </w:p>
          <w:p w:rsidR="00745369" w:rsidRPr="00D51A68" w:rsidRDefault="00C61FF5" w:rsidP="00AA7658">
            <w:pPr>
              <w:keepNext/>
              <w:spacing w:beforeLines="60" w:before="144" w:afterLines="60" w:after="144"/>
              <w:rPr>
                <w:rStyle w:val="InstructionsTabelleText"/>
                <w:rFonts w:ascii="Times New Roman" w:hAnsi="Times New Roman"/>
                <w:sz w:val="24"/>
              </w:rPr>
            </w:pPr>
            <w:r w:rsidRPr="00D51A68">
              <w:rPr>
                <w:rStyle w:val="InstructionsTabelleText"/>
                <w:rFonts w:ascii="Times New Roman" w:hAnsi="Times New Roman"/>
                <w:sz w:val="24"/>
              </w:rPr>
              <w:t>Gli enti che applicano il metodo PD/LGD (articolo 155, paragrafo 3, del CRR) segnalano le informazioni richieste nella riga 020 del modello CR EQU IRB 1.</w:t>
            </w:r>
          </w:p>
        </w:tc>
      </w:tr>
      <w:tr w:rsidR="00C61FF5" w:rsidRPr="00D51A68" w:rsidTr="00672D2A">
        <w:tc>
          <w:tcPr>
            <w:tcW w:w="1608" w:type="dxa"/>
            <w:tcBorders>
              <w:top w:val="single" w:sz="4" w:space="0" w:color="auto"/>
              <w:left w:val="single" w:sz="4" w:space="0" w:color="auto"/>
              <w:bottom w:val="single" w:sz="4" w:space="0" w:color="auto"/>
              <w:right w:val="single" w:sz="4" w:space="0" w:color="auto"/>
            </w:tcBorders>
          </w:tcPr>
          <w:p w:rsidR="00745369" w:rsidRPr="00D51A68" w:rsidRDefault="00C61FF5" w:rsidP="00EA0BAB">
            <w:pPr>
              <w:spacing w:beforeLines="60" w:before="144" w:afterLines="60" w:after="144"/>
              <w:rPr>
                <w:rStyle w:val="InstructionsTabelleText"/>
                <w:rFonts w:ascii="Times New Roman" w:hAnsi="Times New Roman"/>
                <w:sz w:val="24"/>
              </w:rPr>
            </w:pPr>
            <w:r w:rsidRPr="00D51A68">
              <w:rPr>
                <w:rStyle w:val="InstructionsTabelleText"/>
                <w:rFonts w:ascii="Times New Roman" w:hAnsi="Times New Roman"/>
                <w:sz w:val="24"/>
              </w:rPr>
              <w:t>CR EQU IRB 1 — righe 050- 090</w:t>
            </w:r>
          </w:p>
        </w:tc>
        <w:tc>
          <w:tcPr>
            <w:tcW w:w="7916" w:type="dxa"/>
            <w:tcBorders>
              <w:top w:val="single" w:sz="4" w:space="0" w:color="auto"/>
              <w:left w:val="single" w:sz="4" w:space="0" w:color="auto"/>
              <w:bottom w:val="single" w:sz="4" w:space="0" w:color="auto"/>
              <w:right w:val="single" w:sz="4" w:space="0" w:color="auto"/>
            </w:tcBorders>
          </w:tcPr>
          <w:p w:rsidR="00C61FF5" w:rsidRPr="00D51A68" w:rsidRDefault="00C61FF5" w:rsidP="00C61FF5">
            <w:pPr>
              <w:rPr>
                <w:rStyle w:val="InstructionsTabelleText"/>
                <w:rFonts w:ascii="Times New Roman" w:hAnsi="Times New Roman"/>
                <w:b/>
                <w:sz w:val="24"/>
                <w:u w:val="single"/>
              </w:rPr>
            </w:pPr>
            <w:r w:rsidRPr="00D51A68">
              <w:rPr>
                <w:rStyle w:val="InstructionsTabelleText"/>
                <w:rFonts w:ascii="Times New Roman" w:hAnsi="Times New Roman"/>
                <w:b/>
                <w:sz w:val="24"/>
                <w:u w:val="single"/>
              </w:rPr>
              <w:t>METODO DELLA PONDERAZIONE SEMPLICE DEL RISCHIO: TOTALE</w:t>
            </w:r>
          </w:p>
          <w:p w:rsidR="00C61FF5" w:rsidRPr="00D51A68" w:rsidRDefault="00C61FF5" w:rsidP="00C61FF5">
            <w:pPr>
              <w:rPr>
                <w:rStyle w:val="InstructionsTabelleText"/>
                <w:rFonts w:ascii="Times New Roman" w:hAnsi="Times New Roman"/>
                <w:b/>
                <w:sz w:val="24"/>
                <w:u w:val="single"/>
              </w:rPr>
            </w:pPr>
            <w:r w:rsidRPr="00D51A68">
              <w:rPr>
                <w:rStyle w:val="InstructionsTabelleText"/>
                <w:rFonts w:ascii="Times New Roman" w:hAnsi="Times New Roman"/>
                <w:b/>
                <w:sz w:val="24"/>
                <w:u w:val="single"/>
              </w:rPr>
              <w:t xml:space="preserve">RIPARTIZIONE PER FATTORE DI PONDERAZIONE DEL RISCHIO </w:t>
            </w:r>
            <w:r w:rsidRPr="00D51A68">
              <w:rPr>
                <w:rStyle w:val="InstructionsTabelleText"/>
                <w:rFonts w:ascii="Times New Roman" w:hAnsi="Times New Roman"/>
                <w:b/>
                <w:sz w:val="24"/>
                <w:u w:val="single"/>
              </w:rPr>
              <w:lastRenderedPageBreak/>
              <w:t>DELLE ESPOSIZIONI TOTALI IN BASE AL METODO DELLA PONDERAZIONE SEMPLICE</w:t>
            </w:r>
          </w:p>
          <w:p w:rsidR="00745369" w:rsidRPr="00D51A68" w:rsidRDefault="00C61FF5" w:rsidP="00FD239F">
            <w:pPr>
              <w:keepNext/>
              <w:spacing w:beforeLines="60" w:before="144" w:afterLines="60" w:after="144"/>
              <w:rPr>
                <w:rStyle w:val="InstructionsTabelleText"/>
                <w:rFonts w:ascii="Times New Roman" w:hAnsi="Times New Roman"/>
                <w:sz w:val="24"/>
              </w:rPr>
            </w:pPr>
            <w:r w:rsidRPr="00D51A68">
              <w:rPr>
                <w:rStyle w:val="InstructionsTabelleText"/>
                <w:rFonts w:ascii="Times New Roman" w:hAnsi="Times New Roman"/>
                <w:sz w:val="24"/>
              </w:rPr>
              <w:t>Gli enti che applicano il metodo della ponderazione semplice del rischio (articolo 155, paragrafo 2, del CRR) segnalano le informazioni richieste in base alle caratteristiche delle esposizioni sottostanti nelle righe da 050 a 090.</w:t>
            </w:r>
          </w:p>
        </w:tc>
      </w:tr>
      <w:tr w:rsidR="00C61FF5" w:rsidRPr="00D51A68" w:rsidTr="00672D2A">
        <w:tc>
          <w:tcPr>
            <w:tcW w:w="1608" w:type="dxa"/>
            <w:tcBorders>
              <w:top w:val="single" w:sz="4" w:space="0" w:color="auto"/>
              <w:left w:val="single" w:sz="4" w:space="0" w:color="auto"/>
              <w:bottom w:val="single" w:sz="4" w:space="0" w:color="auto"/>
              <w:right w:val="single" w:sz="4" w:space="0" w:color="auto"/>
            </w:tcBorders>
          </w:tcPr>
          <w:p w:rsidR="00745369" w:rsidRPr="00D51A68" w:rsidRDefault="00C61FF5" w:rsidP="00EA0BAB">
            <w:pPr>
              <w:spacing w:beforeLines="60" w:before="144" w:afterLines="60" w:after="144"/>
              <w:rPr>
                <w:rStyle w:val="InstructionsTabelleText"/>
                <w:rFonts w:ascii="Times New Roman" w:hAnsi="Times New Roman"/>
                <w:sz w:val="24"/>
              </w:rPr>
            </w:pPr>
            <w:r w:rsidRPr="00D51A68">
              <w:rPr>
                <w:rStyle w:val="InstructionsTabelleText"/>
                <w:rFonts w:ascii="Times New Roman" w:hAnsi="Times New Roman"/>
                <w:sz w:val="24"/>
              </w:rPr>
              <w:lastRenderedPageBreak/>
              <w:t>CR EQU IRB 1 — riga 100</w:t>
            </w:r>
          </w:p>
        </w:tc>
        <w:tc>
          <w:tcPr>
            <w:tcW w:w="7916" w:type="dxa"/>
            <w:tcBorders>
              <w:top w:val="single" w:sz="4" w:space="0" w:color="auto"/>
              <w:left w:val="single" w:sz="4" w:space="0" w:color="auto"/>
              <w:bottom w:val="single" w:sz="4" w:space="0" w:color="auto"/>
              <w:right w:val="single" w:sz="4" w:space="0" w:color="auto"/>
            </w:tcBorders>
          </w:tcPr>
          <w:p w:rsidR="00C61FF5" w:rsidRPr="00D51A68" w:rsidRDefault="00C61FF5" w:rsidP="00C61FF5">
            <w:pPr>
              <w:rPr>
                <w:rStyle w:val="InstructionsTabelleberschrift"/>
                <w:rFonts w:ascii="Times New Roman" w:hAnsi="Times New Roman"/>
                <w:sz w:val="24"/>
              </w:rPr>
            </w:pPr>
            <w:r w:rsidRPr="00D51A68">
              <w:rPr>
                <w:rStyle w:val="InstructionsTabelleberschrift"/>
                <w:rFonts w:ascii="Times New Roman" w:hAnsi="Times New Roman"/>
                <w:sz w:val="24"/>
              </w:rPr>
              <w:t>METODO DEI MODELLI INTERNI</w:t>
            </w:r>
          </w:p>
          <w:p w:rsidR="00C61FF5" w:rsidRPr="00D51A68" w:rsidRDefault="00C61FF5" w:rsidP="00FC1A76">
            <w:pPr>
              <w:pStyle w:val="InstructionsText"/>
              <w:rPr>
                <w:rStyle w:val="FormatvorlageInstructionsTabelleText"/>
                <w:rFonts w:ascii="Times New Roman" w:hAnsi="Times New Roman"/>
                <w:bCs w:val="0"/>
                <w:sz w:val="24"/>
              </w:rPr>
            </w:pPr>
            <w:r w:rsidRPr="00D51A68">
              <w:rPr>
                <w:rStyle w:val="FormatvorlageInstructionsTabelleText"/>
                <w:rFonts w:ascii="Times New Roman" w:hAnsi="Times New Roman"/>
                <w:sz w:val="24"/>
              </w:rPr>
              <w:t>Gli enti che applicano il metodo dei modelli interni (articolo 155, paragrafo 4, del CRR) segnalano le informazioni richieste nella riga 100.</w:t>
            </w:r>
          </w:p>
        </w:tc>
      </w:tr>
      <w:tr w:rsidR="00C61FF5" w:rsidRPr="00D51A68" w:rsidTr="00672D2A">
        <w:tc>
          <w:tcPr>
            <w:tcW w:w="1608" w:type="dxa"/>
            <w:tcBorders>
              <w:top w:val="single" w:sz="4" w:space="0" w:color="auto"/>
              <w:left w:val="single" w:sz="4" w:space="0" w:color="auto"/>
              <w:bottom w:val="single" w:sz="4" w:space="0" w:color="auto"/>
              <w:right w:val="single" w:sz="4" w:space="0" w:color="auto"/>
            </w:tcBorders>
          </w:tcPr>
          <w:p w:rsidR="00745369" w:rsidRPr="00D51A68" w:rsidRDefault="00C61FF5" w:rsidP="00EA0BAB">
            <w:pPr>
              <w:spacing w:beforeLines="60" w:before="144" w:afterLines="60" w:after="144"/>
              <w:rPr>
                <w:rStyle w:val="InstructionsTabelleText"/>
                <w:rFonts w:ascii="Times New Roman" w:hAnsi="Times New Roman"/>
                <w:bCs/>
                <w:sz w:val="24"/>
              </w:rPr>
            </w:pPr>
            <w:r w:rsidRPr="00D51A68">
              <w:rPr>
                <w:rStyle w:val="InstructionsTabelleText"/>
                <w:rFonts w:ascii="Times New Roman" w:hAnsi="Times New Roman"/>
                <w:sz w:val="24"/>
              </w:rPr>
              <w:t>CR EQU IRB 1 — riga 110</w:t>
            </w:r>
          </w:p>
        </w:tc>
        <w:tc>
          <w:tcPr>
            <w:tcW w:w="7916" w:type="dxa"/>
            <w:tcBorders>
              <w:top w:val="single" w:sz="4" w:space="0" w:color="auto"/>
              <w:left w:val="single" w:sz="4" w:space="0" w:color="auto"/>
              <w:bottom w:val="single" w:sz="4" w:space="0" w:color="auto"/>
              <w:right w:val="single" w:sz="4" w:space="0" w:color="auto"/>
            </w:tcBorders>
          </w:tcPr>
          <w:p w:rsidR="00C61FF5" w:rsidRPr="00D51A68" w:rsidRDefault="00C61FF5" w:rsidP="00C61FF5">
            <w:pPr>
              <w:rPr>
                <w:rStyle w:val="InstructionsTabelleberschrift"/>
                <w:rFonts w:ascii="Times New Roman" w:hAnsi="Times New Roman"/>
                <w:sz w:val="24"/>
              </w:rPr>
            </w:pPr>
            <w:r w:rsidRPr="00D51A68">
              <w:rPr>
                <w:rStyle w:val="InstructionsTabelleberschrift"/>
                <w:rFonts w:ascii="Times New Roman" w:hAnsi="Times New Roman"/>
                <w:sz w:val="24"/>
              </w:rPr>
              <w:t>ESPOSIZIONI IN STRUMENTI DI CAPITALE SOGGETTE A FATTORI DI PONDERAZIONE DEL RISCHIO</w:t>
            </w:r>
          </w:p>
          <w:p w:rsidR="00C61FF5" w:rsidRPr="00D51A68" w:rsidRDefault="00C61FF5" w:rsidP="00C61FF5">
            <w:pPr>
              <w:rPr>
                <w:rFonts w:ascii="Times New Roman" w:hAnsi="Times New Roman"/>
                <w:sz w:val="24"/>
              </w:rPr>
            </w:pPr>
            <w:r w:rsidRPr="00D51A68">
              <w:rPr>
                <w:rFonts w:ascii="Times New Roman" w:hAnsi="Times New Roman"/>
                <w:sz w:val="24"/>
              </w:rPr>
              <w:t>Gli enti che applicano il metodo IRB segnalano gli importi ponderati per il rischio delle esposizioni in strumenti di capitale cui si applica un trattamento fisso di ponderazione del rischio (senza tuttavia essere trattate esplicitamente secondo il metodo della ponderazione semplice o senza l</w:t>
            </w:r>
            <w:r w:rsidR="0009277C" w:rsidRPr="00D51A68">
              <w:rPr>
                <w:rFonts w:ascii="Times New Roman" w:hAnsi="Times New Roman"/>
                <w:sz w:val="24"/>
              </w:rPr>
              <w:t>’</w:t>
            </w:r>
            <w:r w:rsidRPr="00D51A68">
              <w:rPr>
                <w:rFonts w:ascii="Times New Roman" w:hAnsi="Times New Roman"/>
                <w:sz w:val="24"/>
              </w:rPr>
              <w:t xml:space="preserve">applicazione parziale, in via temporanea o permanente, del metodo standardizzato per il rischio di credito). Ad esempio, </w:t>
            </w:r>
          </w:p>
          <w:p w:rsidR="00C61FF5" w:rsidRPr="00D51A68" w:rsidRDefault="00C61FF5" w:rsidP="00C61FF5">
            <w:pPr>
              <w:rPr>
                <w:rStyle w:val="FormatvorlageInstructionsTabelleText"/>
                <w:rFonts w:ascii="Times New Roman" w:hAnsi="Times New Roman"/>
                <w:sz w:val="24"/>
              </w:rPr>
            </w:pPr>
            <w:r w:rsidRPr="00D51A68">
              <w:rPr>
                <w:rFonts w:ascii="Times New Roman" w:hAnsi="Times New Roman"/>
                <w:sz w:val="24"/>
              </w:rPr>
              <w:t>-</w:t>
            </w:r>
            <w:r w:rsidRPr="00D51A68">
              <w:rPr>
                <w:rStyle w:val="FormatvorlageInstructionsTabelleText"/>
                <w:rFonts w:ascii="Times New Roman" w:hAnsi="Times New Roman"/>
                <w:sz w:val="24"/>
              </w:rPr>
              <w:t xml:space="preserve"> 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importo dell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esposizione ponderato per il rischio delle posizioni in strumenti di capitale di soggetti del settore finanziario trattate conformemente all</w:t>
            </w:r>
            <w:r w:rsidR="0009277C" w:rsidRPr="00D51A68">
              <w:rPr>
                <w:rStyle w:val="FormatvorlageInstructionsTabelleText"/>
                <w:rFonts w:ascii="Times New Roman" w:hAnsi="Times New Roman"/>
                <w:sz w:val="24"/>
              </w:rPr>
              <w:t>’</w:t>
            </w:r>
            <w:r w:rsidR="0073183F" w:rsidRPr="00D51A68">
              <w:rPr>
                <w:rStyle w:val="FormatvorlageInstructionsTabelleText"/>
                <w:rFonts w:ascii="Times New Roman" w:hAnsi="Times New Roman"/>
                <w:sz w:val="24"/>
              </w:rPr>
              <w:t>articolo </w:t>
            </w:r>
            <w:r w:rsidRPr="00D51A68">
              <w:rPr>
                <w:rStyle w:val="FormatvorlageInstructionsTabelleText"/>
                <w:rFonts w:ascii="Times New Roman" w:hAnsi="Times New Roman"/>
                <w:sz w:val="24"/>
              </w:rPr>
              <w:t xml:space="preserve">48, paragrafo 4, del CRR e </w:t>
            </w:r>
          </w:p>
          <w:p w:rsidR="00C61FF5" w:rsidRPr="00D51A68" w:rsidRDefault="00C61FF5" w:rsidP="00C61FF5">
            <w:pPr>
              <w:rPr>
                <w:rStyle w:val="FormatvorlageInstructionsTabelleText"/>
                <w:rFonts w:ascii="Times New Roman" w:hAnsi="Times New Roman"/>
                <w:sz w:val="24"/>
              </w:rPr>
            </w:pPr>
            <w:r w:rsidRPr="00D51A68">
              <w:rPr>
                <w:rStyle w:val="FormatvorlageInstructionsTabelleText"/>
                <w:rFonts w:ascii="Times New Roman" w:hAnsi="Times New Roman"/>
                <w:sz w:val="24"/>
              </w:rPr>
              <w:t>- le posizioni in strumenti di capitale con una ponderazione del risc</w:t>
            </w:r>
            <w:r w:rsidR="0073183F" w:rsidRPr="00D51A68">
              <w:rPr>
                <w:rStyle w:val="FormatvorlageInstructionsTabelleText"/>
                <w:rFonts w:ascii="Times New Roman" w:hAnsi="Times New Roman"/>
                <w:sz w:val="24"/>
              </w:rPr>
              <w:t>hio del </w:t>
            </w:r>
            <w:r w:rsidRPr="00D51A68">
              <w:rPr>
                <w:rStyle w:val="FormatvorlageInstructionsTabelleText"/>
                <w:rFonts w:ascii="Times New Roman" w:hAnsi="Times New Roman"/>
                <w:sz w:val="24"/>
              </w:rPr>
              <w:t>370% conformemente all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 xml:space="preserve">articolo 471, paragrafo 2, del CRR </w:t>
            </w:r>
          </w:p>
          <w:p w:rsidR="00C61FF5" w:rsidRPr="00D51A68" w:rsidRDefault="00C61FF5" w:rsidP="00C61FF5">
            <w:pPr>
              <w:rPr>
                <w:rStyle w:val="FormatvorlageInstructionsTabelleText"/>
                <w:rFonts w:ascii="Times New Roman" w:hAnsi="Times New Roman"/>
                <w:sz w:val="24"/>
              </w:rPr>
            </w:pPr>
            <w:r w:rsidRPr="00D51A68">
              <w:rPr>
                <w:rStyle w:val="FormatvorlageInstructionsTabelleText"/>
                <w:rFonts w:ascii="Times New Roman" w:hAnsi="Times New Roman"/>
                <w:sz w:val="24"/>
              </w:rPr>
              <w:t>sono segnalati nella riga 110.</w:t>
            </w:r>
          </w:p>
        </w:tc>
      </w:tr>
      <w:tr w:rsidR="00C61FF5" w:rsidRPr="00D51A68" w:rsidTr="00672D2A">
        <w:tc>
          <w:tcPr>
            <w:tcW w:w="1608" w:type="dxa"/>
            <w:tcBorders>
              <w:top w:val="single" w:sz="4" w:space="0" w:color="auto"/>
              <w:left w:val="single" w:sz="4" w:space="0" w:color="auto"/>
              <w:bottom w:val="single" w:sz="4" w:space="0" w:color="auto"/>
              <w:right w:val="single" w:sz="4" w:space="0" w:color="auto"/>
            </w:tcBorders>
          </w:tcPr>
          <w:p w:rsidR="00C61FF5" w:rsidRPr="00D51A68" w:rsidRDefault="00C61FF5" w:rsidP="00C61FF5">
            <w:pPr>
              <w:rPr>
                <w:rStyle w:val="InstructionsTabelleText"/>
                <w:rFonts w:ascii="Times New Roman" w:hAnsi="Times New Roman"/>
                <w:sz w:val="24"/>
              </w:rPr>
            </w:pPr>
            <w:r w:rsidRPr="00D51A68">
              <w:rPr>
                <w:rStyle w:val="InstructionsTabelleText"/>
                <w:rFonts w:ascii="Times New Roman" w:hAnsi="Times New Roman"/>
                <w:sz w:val="24"/>
              </w:rPr>
              <w:t>CR EQU IRB 2</w:t>
            </w:r>
          </w:p>
          <w:p w:rsidR="00745369" w:rsidRPr="00D51A68" w:rsidRDefault="00745369" w:rsidP="00EA0BAB">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rsidR="00745369" w:rsidRPr="00D51A68" w:rsidRDefault="00C61FF5" w:rsidP="00450A2E">
            <w:pPr>
              <w:keepNext/>
              <w:spacing w:beforeLines="60" w:before="144" w:afterLines="60" w:after="144"/>
              <w:rPr>
                <w:rStyle w:val="InstructionsTabelleberschrift"/>
                <w:rFonts w:ascii="Times New Roman" w:hAnsi="Times New Roman"/>
                <w:sz w:val="24"/>
              </w:rPr>
            </w:pPr>
            <w:r w:rsidRPr="00D51A68">
              <w:rPr>
                <w:rStyle w:val="InstructionsTabelleberschrift"/>
                <w:rFonts w:ascii="Times New Roman" w:hAnsi="Times New Roman"/>
                <w:sz w:val="24"/>
              </w:rPr>
              <w:t>RIPARTIZIONE DELLE ESPOSIZIONI TOTALI PER CLASSE DI DEBITORI IN BASE AL METODO PD/LGD</w:t>
            </w:r>
          </w:p>
          <w:p w:rsidR="00745369" w:rsidRPr="00D51A68" w:rsidRDefault="00C61FF5" w:rsidP="00450A2E">
            <w:pPr>
              <w:keepNext/>
              <w:spacing w:beforeLines="60" w:before="144" w:afterLines="60" w:after="144"/>
              <w:rPr>
                <w:rStyle w:val="InstructionsTabelleText"/>
                <w:rFonts w:ascii="Times New Roman" w:hAnsi="Times New Roman"/>
                <w:sz w:val="24"/>
              </w:rPr>
            </w:pPr>
            <w:r w:rsidRPr="00D51A68">
              <w:rPr>
                <w:rStyle w:val="InstructionsTabelleText"/>
                <w:rFonts w:ascii="Times New Roman" w:hAnsi="Times New Roman"/>
                <w:sz w:val="24"/>
              </w:rPr>
              <w:t>Gli enti che applicano il metodo PD/LGD (articolo 155, paragrafo 3, del CRR) segnalano le informazioni richieste nel modello CR EQU IRB 2.</w:t>
            </w:r>
          </w:p>
          <w:p w:rsidR="00C61FF5" w:rsidRPr="00D51A68" w:rsidRDefault="00C61FF5" w:rsidP="00C61FF5">
            <w:pPr>
              <w:rPr>
                <w:rStyle w:val="InstructionsTabelleberschrift"/>
                <w:rFonts w:ascii="Times New Roman" w:hAnsi="Times New Roman"/>
                <w:b w:val="0"/>
                <w:bCs w:val="0"/>
                <w:sz w:val="24"/>
                <w:u w:val="none"/>
              </w:rPr>
            </w:pPr>
            <w:r w:rsidRPr="00D51A68">
              <w:rPr>
                <w:rStyle w:val="InstructionsTabelleText"/>
                <w:rFonts w:ascii="Times New Roman" w:hAnsi="Times New Roman"/>
                <w:sz w:val="24"/>
              </w:rPr>
              <w:t>Gli enti che applicano il metodo PD/LGD e che utilizzano un sistema di rating unico, o sono in grado di effettuare segnalazioni in conformità di una scala tipo interna, segnalano nel modello CR EQU IRB 2 le classi o i pool di rating associati a detto sistema di rating unico/scala tipo. In tutti gli altri casi, i differenti sistemi di rating sono unificati e classificati secondo i seguenti criteri: le classi o i pool di debitori dei differenti sistemi di rating sono accorpati e ordinati a partire dalla PD più bassa assegnata a una classe o a un pool alla PD più alta.</w:t>
            </w:r>
          </w:p>
        </w:tc>
      </w:tr>
    </w:tbl>
    <w:p w:rsidR="00633DEB" w:rsidRPr="00D51A68" w:rsidRDefault="00633DEB">
      <w:pPr>
        <w:spacing w:before="0" w:after="0"/>
        <w:jc w:val="left"/>
        <w:rPr>
          <w:rStyle w:val="InstructionsTabelleText"/>
          <w:rFonts w:ascii="Times New Roman" w:hAnsi="Times New Roman"/>
          <w:sz w:val="24"/>
        </w:rPr>
      </w:pPr>
    </w:p>
    <w:p w:rsidR="00612780" w:rsidRPr="00D51A68" w:rsidRDefault="00125707" w:rsidP="0023700C">
      <w:pPr>
        <w:pStyle w:val="Instructionsberschrift2"/>
        <w:numPr>
          <w:ilvl w:val="0"/>
          <w:numId w:val="0"/>
        </w:numPr>
        <w:ind w:left="357" w:hanging="357"/>
        <w:rPr>
          <w:rFonts w:ascii="Times New Roman" w:hAnsi="Times New Roman" w:cs="Times New Roman"/>
          <w:sz w:val="24"/>
        </w:rPr>
      </w:pPr>
      <w:bookmarkStart w:id="424" w:name="_Toc310415035"/>
      <w:bookmarkStart w:id="425" w:name="_Toc360188372"/>
      <w:bookmarkStart w:id="426" w:name="_Toc516210658"/>
      <w:bookmarkStart w:id="427" w:name="_Toc473560923"/>
      <w:bookmarkStart w:id="428" w:name="_Toc524096603"/>
      <w:r w:rsidRPr="00D51A68">
        <w:rPr>
          <w:rFonts w:ascii="Times New Roman" w:hAnsi="Times New Roman"/>
          <w:sz w:val="24"/>
          <w:u w:val="none"/>
        </w:rPr>
        <w:t>3.6.</w:t>
      </w:r>
      <w:r w:rsidR="00A0772B" w:rsidRPr="00D51A68">
        <w:rPr>
          <w:u w:val="none"/>
        </w:rPr>
        <w:tab/>
      </w:r>
      <w:r w:rsidRPr="00D51A68">
        <w:rPr>
          <w:rFonts w:ascii="Times New Roman" w:hAnsi="Times New Roman"/>
          <w:sz w:val="24"/>
        </w:rPr>
        <w:t>C 11.00 — RISCHIO DI REGOLAMENTO/CONSEGNA</w:t>
      </w:r>
      <w:bookmarkEnd w:id="424"/>
      <w:bookmarkEnd w:id="425"/>
      <w:r w:rsidRPr="00D51A68">
        <w:rPr>
          <w:rFonts w:ascii="Times New Roman" w:hAnsi="Times New Roman"/>
          <w:sz w:val="24"/>
        </w:rPr>
        <w:t xml:space="preserve"> (CR SETT)</w:t>
      </w:r>
      <w:bookmarkEnd w:id="426"/>
      <w:bookmarkEnd w:id="427"/>
      <w:bookmarkEnd w:id="428"/>
    </w:p>
    <w:p w:rsidR="00612780" w:rsidRPr="00D51A68" w:rsidRDefault="00125707" w:rsidP="0023700C">
      <w:pPr>
        <w:pStyle w:val="Instructionsberschrift2"/>
        <w:numPr>
          <w:ilvl w:val="0"/>
          <w:numId w:val="0"/>
        </w:numPr>
        <w:ind w:left="357" w:hanging="357"/>
        <w:rPr>
          <w:rFonts w:ascii="Times New Roman" w:hAnsi="Times New Roman" w:cs="Times New Roman"/>
          <w:sz w:val="24"/>
        </w:rPr>
      </w:pPr>
      <w:bookmarkStart w:id="429" w:name="_Toc262568045"/>
      <w:bookmarkStart w:id="430" w:name="_Toc295829924"/>
      <w:bookmarkStart w:id="431" w:name="_Toc310415036"/>
      <w:bookmarkStart w:id="432" w:name="_Toc360188373"/>
      <w:bookmarkStart w:id="433" w:name="_Toc516210659"/>
      <w:bookmarkStart w:id="434" w:name="_Toc473560924"/>
      <w:bookmarkStart w:id="435" w:name="_Toc524096604"/>
      <w:r w:rsidRPr="00D51A68">
        <w:rPr>
          <w:rFonts w:ascii="Times New Roman" w:hAnsi="Times New Roman"/>
          <w:sz w:val="24"/>
          <w:u w:val="none"/>
        </w:rPr>
        <w:t>3.6.1.</w:t>
      </w:r>
      <w:r w:rsidR="00A0772B" w:rsidRPr="00D51A68">
        <w:rPr>
          <w:u w:val="none"/>
        </w:rPr>
        <w:tab/>
      </w:r>
      <w:r w:rsidRPr="00D51A68">
        <w:rPr>
          <w:rFonts w:ascii="Times New Roman" w:hAnsi="Times New Roman"/>
          <w:sz w:val="24"/>
        </w:rPr>
        <w:t>Osservazioni di carattere generale</w:t>
      </w:r>
      <w:bookmarkEnd w:id="429"/>
      <w:bookmarkEnd w:id="430"/>
      <w:bookmarkEnd w:id="431"/>
      <w:bookmarkEnd w:id="432"/>
      <w:bookmarkEnd w:id="433"/>
      <w:bookmarkEnd w:id="434"/>
      <w:bookmarkEnd w:id="435"/>
    </w:p>
    <w:p w:rsidR="00612780" w:rsidRPr="00D51A68" w:rsidRDefault="00125707" w:rsidP="0073183F">
      <w:pPr>
        <w:pStyle w:val="InstructionsText2"/>
        <w:numPr>
          <w:ilvl w:val="0"/>
          <w:numId w:val="0"/>
        </w:numPr>
        <w:ind w:left="993"/>
      </w:pPr>
      <w:r w:rsidRPr="00D51A68">
        <w:t>93.</w:t>
      </w:r>
      <w:r w:rsidR="00A0772B" w:rsidRPr="00D51A68">
        <w:tab/>
      </w:r>
      <w:r w:rsidRPr="00D51A68">
        <w:t xml:space="preserve">Questo modello serve per segnalare informazioni riguardanti sia le operazioni interne al portafoglio di negoziazione sia quelle esterne che risultano non liquidate dopo lo scadere delle relative date di consegna, nonché informazioni sui relativi </w:t>
      </w:r>
      <w:r w:rsidRPr="00D51A68">
        <w:lastRenderedPageBreak/>
        <w:t>requisiti di fondi propri per il rischio di regolamento conformemente all</w:t>
      </w:r>
      <w:r w:rsidR="0009277C" w:rsidRPr="00D51A68">
        <w:t>’</w:t>
      </w:r>
      <w:r w:rsidRPr="00D51A68">
        <w:t>articolo 92, paragrafo 3, lettera c), punto ii), e all</w:t>
      </w:r>
      <w:r w:rsidR="0009277C" w:rsidRPr="00D51A68">
        <w:t>’</w:t>
      </w:r>
      <w:r w:rsidRPr="00D51A68">
        <w:t xml:space="preserve">articolo 378 del CRR. </w:t>
      </w:r>
    </w:p>
    <w:p w:rsidR="00612780" w:rsidRPr="00D51A68" w:rsidRDefault="00125707" w:rsidP="0073183F">
      <w:pPr>
        <w:pStyle w:val="InstructionsText2"/>
        <w:numPr>
          <w:ilvl w:val="0"/>
          <w:numId w:val="0"/>
        </w:numPr>
        <w:ind w:left="993"/>
      </w:pPr>
      <w:r w:rsidRPr="00D51A68">
        <w:t>94.</w:t>
      </w:r>
      <w:r w:rsidR="00A0772B" w:rsidRPr="00D51A68">
        <w:tab/>
      </w:r>
      <w:r w:rsidRPr="00D51A68">
        <w:t>L</w:t>
      </w:r>
      <w:r w:rsidR="0009277C" w:rsidRPr="00D51A68">
        <w:t>’</w:t>
      </w:r>
      <w:r w:rsidRPr="00D51A68">
        <w:t xml:space="preserve">ente segnala nel modello CR SETT le informazioni sul rischio di regolamento/consegna relativamente agli strumenti di debito, agli strumenti di capitale, alle valute estere e alle merci interne o esterne al proprio portafoglio di negoziazione. </w:t>
      </w:r>
    </w:p>
    <w:p w:rsidR="00612780" w:rsidRPr="00D51A68" w:rsidRDefault="00125707" w:rsidP="0073183F">
      <w:pPr>
        <w:pStyle w:val="InstructionsText2"/>
        <w:numPr>
          <w:ilvl w:val="0"/>
          <w:numId w:val="0"/>
        </w:numPr>
        <w:ind w:left="993"/>
      </w:pPr>
      <w:r w:rsidRPr="00D51A68">
        <w:t>95.</w:t>
      </w:r>
      <w:r w:rsidR="00A0772B" w:rsidRPr="00D51A68">
        <w:tab/>
      </w:r>
      <w:r w:rsidRPr="00D51A68">
        <w:t>Ai sensi dell</w:t>
      </w:r>
      <w:r w:rsidR="0009277C" w:rsidRPr="00D51A68">
        <w:t>’</w:t>
      </w:r>
      <w:r w:rsidRPr="00D51A68">
        <w:t>articolo 378 del CRR le operazioni di vendita con patto di riacquisto e le operazioni di concessione e assunzione in prestito di titoli o di merci relative a strumenti di debito, strumenti di capitale, valute estere e merci non sono soggette al rischio di regolamento/consegna. Si rileva, tuttavia, che i derivati e le operazioni con regolamento a lungo termine che risultano non liquidati dopo lo scadere delle relative date di consegna sono invece soggetti ai requisiti di fondi propri per il rischio di regolamento/consegna, secondo quanto stabilito dall</w:t>
      </w:r>
      <w:r w:rsidR="0009277C" w:rsidRPr="00D51A68">
        <w:t>’</w:t>
      </w:r>
      <w:r w:rsidR="0073183F" w:rsidRPr="00D51A68">
        <w:t>articolo </w:t>
      </w:r>
      <w:r w:rsidRPr="00D51A68">
        <w:t>378 del CRR.</w:t>
      </w:r>
    </w:p>
    <w:p w:rsidR="00612780" w:rsidRPr="00D51A68" w:rsidRDefault="00125707" w:rsidP="0073183F">
      <w:pPr>
        <w:pStyle w:val="InstructionsText2"/>
        <w:numPr>
          <w:ilvl w:val="0"/>
          <w:numId w:val="0"/>
        </w:numPr>
        <w:ind w:left="993"/>
      </w:pPr>
      <w:r w:rsidRPr="00D51A68">
        <w:t>96.</w:t>
      </w:r>
      <w:r w:rsidR="00A0772B" w:rsidRPr="00D51A68">
        <w:tab/>
      </w:r>
      <w:r w:rsidRPr="00D51A68">
        <w:t>In caso di operazioni non liquidate dopo lo scadere della data di consegna, l</w:t>
      </w:r>
      <w:r w:rsidR="0009277C" w:rsidRPr="00D51A68">
        <w:t>’</w:t>
      </w:r>
      <w:r w:rsidRPr="00D51A68">
        <w:t>ente calcola la differenza di prezzo alla quale si trova esposto. La differenza di prezzo risulta dalla differenza tra il prezzo di liquidazione convenuto per lo strumento di debito, lo strumento di capitale, la valuta estera o la merce in questione e il suo valore di mercato corrente, quando tale differenza può comportare una perdita per l</w:t>
      </w:r>
      <w:r w:rsidR="0009277C" w:rsidRPr="00D51A68">
        <w:t>’</w:t>
      </w:r>
      <w:r w:rsidRPr="00D51A68">
        <w:t xml:space="preserve">ente. </w:t>
      </w:r>
    </w:p>
    <w:p w:rsidR="00612780" w:rsidRPr="00D51A68" w:rsidRDefault="00125707" w:rsidP="0073183F">
      <w:pPr>
        <w:pStyle w:val="InstructionsText2"/>
        <w:numPr>
          <w:ilvl w:val="0"/>
          <w:numId w:val="0"/>
        </w:numPr>
        <w:ind w:left="993"/>
      </w:pPr>
      <w:r w:rsidRPr="00D51A68">
        <w:t>97.</w:t>
      </w:r>
      <w:r w:rsidR="00A0772B" w:rsidRPr="00D51A68">
        <w:tab/>
      </w:r>
      <w:r w:rsidRPr="00D51A68">
        <w:t>Al fine di calcolare i corrispondenti requisiti di fondi propri, l</w:t>
      </w:r>
      <w:r w:rsidR="0009277C" w:rsidRPr="00D51A68">
        <w:t>’</w:t>
      </w:r>
      <w:r w:rsidRPr="00D51A68">
        <w:t>ente moltiplica tale differenza di prezzo per il fattore appropriato di cui alla tabella 1 dell</w:t>
      </w:r>
      <w:r w:rsidR="0009277C" w:rsidRPr="00D51A68">
        <w:t>’</w:t>
      </w:r>
      <w:r w:rsidR="00985E17" w:rsidRPr="00D51A68">
        <w:t>articolo </w:t>
      </w:r>
      <w:r w:rsidRPr="00D51A68">
        <w:t>378 del CRR.</w:t>
      </w:r>
    </w:p>
    <w:p w:rsidR="00612780" w:rsidRPr="00D51A68" w:rsidRDefault="00125707" w:rsidP="0073183F">
      <w:pPr>
        <w:pStyle w:val="InstructionsText2"/>
        <w:numPr>
          <w:ilvl w:val="0"/>
          <w:numId w:val="0"/>
        </w:numPr>
        <w:ind w:left="993"/>
      </w:pPr>
      <w:r w:rsidRPr="00D51A68">
        <w:t>98.</w:t>
      </w:r>
      <w:r w:rsidR="00A0772B" w:rsidRPr="00D51A68">
        <w:tab/>
      </w:r>
      <w:r w:rsidRPr="00D51A68">
        <w:t>Ai sensi dell</w:t>
      </w:r>
      <w:r w:rsidR="0009277C" w:rsidRPr="00D51A68">
        <w:t>’</w:t>
      </w:r>
      <w:r w:rsidRPr="00D51A68">
        <w:t>articolo 92, paragrafo 4, lettera b), per determinare l</w:t>
      </w:r>
      <w:r w:rsidR="0009277C" w:rsidRPr="00D51A68">
        <w:t>’</w:t>
      </w:r>
      <w:r w:rsidRPr="00D51A68">
        <w:t>importo dell</w:t>
      </w:r>
      <w:r w:rsidR="0009277C" w:rsidRPr="00D51A68">
        <w:t>’</w:t>
      </w:r>
      <w:r w:rsidRPr="00D51A68">
        <w:t>esposizione al rischio i requisiti di fondi propri per il rischio di regolamento/consegna sono moltiplicati per 12,5.</w:t>
      </w:r>
    </w:p>
    <w:p w:rsidR="00612780" w:rsidRPr="00D51A68" w:rsidRDefault="00125707" w:rsidP="00985E17">
      <w:pPr>
        <w:pStyle w:val="InstructionsText2"/>
        <w:numPr>
          <w:ilvl w:val="0"/>
          <w:numId w:val="0"/>
        </w:numPr>
        <w:ind w:left="993"/>
      </w:pPr>
      <w:r w:rsidRPr="00D51A68">
        <w:t>99.</w:t>
      </w:r>
      <w:r w:rsidR="00A0772B" w:rsidRPr="00D51A68">
        <w:tab/>
      </w:r>
      <w:r w:rsidRPr="00D51A68">
        <w:t>Si rileva che i requisiti di fondi propri per le operazioni con regolamento non contestuale ai sensi dell</w:t>
      </w:r>
      <w:r w:rsidR="0009277C" w:rsidRPr="00D51A68">
        <w:t>’</w:t>
      </w:r>
      <w:r w:rsidRPr="00D51A68">
        <w:t>articolo 379 del CRR non sono compresi nel modello CR SETT, ma sono segnalati nei modelli relativi al rischio di credito (CR SA, CR IRB).</w:t>
      </w:r>
    </w:p>
    <w:p w:rsidR="00612780" w:rsidRPr="00D51A68" w:rsidRDefault="00125707" w:rsidP="0023700C">
      <w:pPr>
        <w:pStyle w:val="Instructionsberschrift2"/>
        <w:numPr>
          <w:ilvl w:val="0"/>
          <w:numId w:val="0"/>
        </w:numPr>
        <w:ind w:left="357" w:hanging="357"/>
        <w:rPr>
          <w:rFonts w:ascii="Times New Roman" w:hAnsi="Times New Roman" w:cs="Times New Roman"/>
          <w:sz w:val="24"/>
        </w:rPr>
      </w:pPr>
      <w:bookmarkStart w:id="436" w:name="_Toc310415037"/>
      <w:bookmarkStart w:id="437" w:name="_Toc360188374"/>
      <w:bookmarkStart w:id="438" w:name="_Toc516210660"/>
      <w:bookmarkStart w:id="439" w:name="_Toc473560925"/>
      <w:bookmarkStart w:id="440" w:name="_Toc524096605"/>
      <w:r w:rsidRPr="00D51A68">
        <w:rPr>
          <w:rFonts w:ascii="Times New Roman" w:hAnsi="Times New Roman"/>
          <w:sz w:val="24"/>
          <w:u w:val="none"/>
        </w:rPr>
        <w:t>3.6.2.</w:t>
      </w:r>
      <w:r w:rsidR="00A0772B" w:rsidRPr="00D51A68">
        <w:rPr>
          <w:u w:val="none"/>
        </w:rPr>
        <w:tab/>
      </w:r>
      <w:r w:rsidRPr="00D51A68">
        <w:rPr>
          <w:rFonts w:ascii="Times New Roman" w:hAnsi="Times New Roman"/>
          <w:sz w:val="24"/>
        </w:rPr>
        <w:t>Istruzioni relative a posizioni specifiche</w:t>
      </w:r>
      <w:bookmarkEnd w:id="436"/>
      <w:bookmarkEnd w:id="437"/>
      <w:bookmarkEnd w:id="438"/>
      <w:bookmarkEnd w:id="439"/>
      <w:bookmarkEnd w:id="44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612780" w:rsidRPr="00D51A68" w:rsidTr="00672D2A">
        <w:tc>
          <w:tcPr>
            <w:tcW w:w="8856" w:type="dxa"/>
            <w:gridSpan w:val="2"/>
            <w:shd w:val="clear" w:color="auto" w:fill="CCCCCC"/>
          </w:tcPr>
          <w:p w:rsidR="00745369" w:rsidRPr="00D51A68" w:rsidRDefault="00612780" w:rsidP="00EA0BAB">
            <w:pPr>
              <w:spacing w:beforeLines="60" w:before="144" w:afterLines="60" w:after="144"/>
              <w:rPr>
                <w:rFonts w:ascii="Times New Roman" w:hAnsi="Times New Roman"/>
                <w:b/>
                <w:sz w:val="24"/>
              </w:rPr>
            </w:pPr>
            <w:r w:rsidRPr="00D51A68">
              <w:rPr>
                <w:rFonts w:ascii="Times New Roman" w:hAnsi="Times New Roman"/>
                <w:b/>
                <w:sz w:val="24"/>
              </w:rPr>
              <w:t>Colonne</w:t>
            </w:r>
          </w:p>
        </w:tc>
      </w:tr>
      <w:tr w:rsidR="00612780" w:rsidRPr="00D51A68" w:rsidTr="00672D2A">
        <w:tc>
          <w:tcPr>
            <w:tcW w:w="852" w:type="dxa"/>
          </w:tcPr>
          <w:p w:rsidR="00745369" w:rsidRPr="00D51A68" w:rsidRDefault="00612780" w:rsidP="00EA0BAB">
            <w:pPr>
              <w:spacing w:beforeLines="60" w:before="144" w:afterLines="60" w:after="144"/>
              <w:rPr>
                <w:rFonts w:ascii="Times New Roman" w:hAnsi="Times New Roman"/>
                <w:sz w:val="24"/>
              </w:rPr>
            </w:pPr>
            <w:r w:rsidRPr="00D51A68">
              <w:rPr>
                <w:rFonts w:ascii="Times New Roman" w:hAnsi="Times New Roman"/>
                <w:sz w:val="24"/>
              </w:rPr>
              <w:t>010</w:t>
            </w:r>
          </w:p>
        </w:tc>
        <w:tc>
          <w:tcPr>
            <w:tcW w:w="8004" w:type="dxa"/>
          </w:tcPr>
          <w:p w:rsidR="00745369" w:rsidRPr="00D51A68" w:rsidRDefault="00612780" w:rsidP="00450A2E">
            <w:pPr>
              <w:spacing w:beforeLines="60" w:before="144" w:afterLines="60" w:after="144"/>
              <w:rPr>
                <w:rStyle w:val="InstructionsTabelleberschrift"/>
                <w:rFonts w:ascii="Times New Roman" w:hAnsi="Times New Roman"/>
                <w:sz w:val="24"/>
              </w:rPr>
            </w:pPr>
            <w:r w:rsidRPr="00D51A68">
              <w:rPr>
                <w:rStyle w:val="InstructionsTabelleberschrift"/>
                <w:rFonts w:ascii="Times New Roman" w:hAnsi="Times New Roman"/>
                <w:sz w:val="24"/>
              </w:rPr>
              <w:t>OPERAZIONI NON LIQUIDATE AL PREZZO DI LIQUIDAZIONE</w:t>
            </w:r>
          </w:p>
          <w:p w:rsidR="00745369" w:rsidRPr="00D51A68" w:rsidRDefault="00612780" w:rsidP="00450A2E">
            <w:pPr>
              <w:spacing w:beforeLines="60" w:before="144" w:afterLines="60" w:after="144"/>
              <w:rPr>
                <w:rFonts w:ascii="Times New Roman" w:hAnsi="Times New Roman"/>
                <w:sz w:val="24"/>
              </w:rPr>
            </w:pPr>
            <w:r w:rsidRPr="00D51A68">
              <w:rPr>
                <w:rFonts w:ascii="Times New Roman" w:hAnsi="Times New Roman"/>
                <w:sz w:val="24"/>
              </w:rPr>
              <w:t>Conformemente all</w:t>
            </w:r>
            <w:r w:rsidR="0009277C" w:rsidRPr="00D51A68">
              <w:rPr>
                <w:rFonts w:ascii="Times New Roman" w:hAnsi="Times New Roman"/>
                <w:sz w:val="24"/>
              </w:rPr>
              <w:t>’</w:t>
            </w:r>
            <w:r w:rsidRPr="00D51A68">
              <w:rPr>
                <w:rFonts w:ascii="Times New Roman" w:hAnsi="Times New Roman"/>
                <w:sz w:val="24"/>
              </w:rPr>
              <w:t>articolo 378 del CRR, l</w:t>
            </w:r>
            <w:r w:rsidR="0009277C" w:rsidRPr="00D51A68">
              <w:rPr>
                <w:rFonts w:ascii="Times New Roman" w:hAnsi="Times New Roman"/>
                <w:sz w:val="24"/>
              </w:rPr>
              <w:t>’</w:t>
            </w:r>
            <w:r w:rsidRPr="00D51A68">
              <w:rPr>
                <w:rFonts w:ascii="Times New Roman" w:hAnsi="Times New Roman"/>
                <w:sz w:val="24"/>
              </w:rPr>
              <w:t xml:space="preserve">ente segnala nella colonna 010, al prezzo di liquidazione convenuto, le operazioni che risultano non liquidate dopo lo scadere delle relative date di consegna. </w:t>
            </w:r>
          </w:p>
          <w:p w:rsidR="00745369" w:rsidRPr="00D51A68" w:rsidRDefault="00612780" w:rsidP="00450A2E">
            <w:pPr>
              <w:spacing w:beforeLines="60" w:before="144" w:afterLines="60" w:after="144"/>
              <w:rPr>
                <w:rFonts w:ascii="Times New Roman" w:hAnsi="Times New Roman"/>
                <w:sz w:val="24"/>
              </w:rPr>
            </w:pPr>
            <w:r w:rsidRPr="00D51A68">
              <w:rPr>
                <w:rFonts w:ascii="Times New Roman" w:hAnsi="Times New Roman"/>
                <w:sz w:val="24"/>
              </w:rPr>
              <w:t>Tutte le operazioni non liquidate sono comprese in questa colonna, a prescindere dal fatto che, dopo la data di regolamento, costituiscano una perdita o un profitto.</w:t>
            </w:r>
          </w:p>
        </w:tc>
      </w:tr>
      <w:tr w:rsidR="00612780" w:rsidRPr="00D51A68" w:rsidTr="00672D2A">
        <w:tc>
          <w:tcPr>
            <w:tcW w:w="852" w:type="dxa"/>
          </w:tcPr>
          <w:p w:rsidR="00745369" w:rsidRPr="00D51A68" w:rsidRDefault="00612780" w:rsidP="00EA0BAB">
            <w:pPr>
              <w:spacing w:beforeLines="60" w:before="144" w:afterLines="60" w:after="144"/>
              <w:rPr>
                <w:rFonts w:ascii="Times New Roman" w:hAnsi="Times New Roman"/>
                <w:sz w:val="24"/>
              </w:rPr>
            </w:pPr>
            <w:r w:rsidRPr="00D51A68">
              <w:rPr>
                <w:rFonts w:ascii="Times New Roman" w:hAnsi="Times New Roman"/>
                <w:sz w:val="24"/>
              </w:rPr>
              <w:lastRenderedPageBreak/>
              <w:t>020</w:t>
            </w:r>
          </w:p>
        </w:tc>
        <w:tc>
          <w:tcPr>
            <w:tcW w:w="8004" w:type="dxa"/>
          </w:tcPr>
          <w:p w:rsidR="00745369" w:rsidRPr="00D51A68" w:rsidRDefault="00612780" w:rsidP="00450A2E">
            <w:pPr>
              <w:spacing w:beforeLines="60" w:before="144" w:afterLines="60" w:after="144"/>
              <w:rPr>
                <w:rStyle w:val="InstructionsTabelleberschrift"/>
                <w:rFonts w:ascii="Times New Roman" w:hAnsi="Times New Roman"/>
                <w:sz w:val="24"/>
              </w:rPr>
            </w:pPr>
            <w:r w:rsidRPr="00D51A68">
              <w:rPr>
                <w:rStyle w:val="InstructionsTabelleberschrift"/>
                <w:rFonts w:ascii="Times New Roman" w:hAnsi="Times New Roman"/>
                <w:sz w:val="24"/>
              </w:rPr>
              <w:t>ESPOSIZIONE DERIVANTE DA UNA DIFFERENZA DI PREZZO PER OPERAZIONI NON LIQUIDATE</w:t>
            </w:r>
          </w:p>
          <w:p w:rsidR="00745369" w:rsidRPr="00D51A68" w:rsidRDefault="00612780" w:rsidP="00450A2E">
            <w:pPr>
              <w:spacing w:beforeLines="60" w:before="144" w:afterLines="60" w:after="144"/>
              <w:rPr>
                <w:rFonts w:ascii="Times New Roman" w:hAnsi="Times New Roman"/>
                <w:sz w:val="24"/>
              </w:rPr>
            </w:pPr>
            <w:r w:rsidRPr="00D51A68">
              <w:rPr>
                <w:rFonts w:ascii="Times New Roman" w:hAnsi="Times New Roman"/>
                <w:sz w:val="24"/>
              </w:rPr>
              <w:t>Conformemente all</w:t>
            </w:r>
            <w:r w:rsidR="0009277C" w:rsidRPr="00D51A68">
              <w:rPr>
                <w:rFonts w:ascii="Times New Roman" w:hAnsi="Times New Roman"/>
                <w:sz w:val="24"/>
              </w:rPr>
              <w:t>’</w:t>
            </w:r>
            <w:r w:rsidRPr="00D51A68">
              <w:rPr>
                <w:rFonts w:ascii="Times New Roman" w:hAnsi="Times New Roman"/>
                <w:sz w:val="24"/>
              </w:rPr>
              <w:t>articolo 378 del CRR, gli enti segnalano nella colonna 020 la differenza di prezzo tra il prezzo di liquidazione convenuto e il valore di mercato corrente dello strumento di debito, dello strumento di capitale, della valuta estera o della merce in questione, quando tale differenza può comportare una perdita per l</w:t>
            </w:r>
            <w:r w:rsidR="0009277C" w:rsidRPr="00D51A68">
              <w:rPr>
                <w:rFonts w:ascii="Times New Roman" w:hAnsi="Times New Roman"/>
                <w:sz w:val="24"/>
              </w:rPr>
              <w:t>’</w:t>
            </w:r>
            <w:r w:rsidRPr="00D51A68">
              <w:rPr>
                <w:rFonts w:ascii="Times New Roman" w:hAnsi="Times New Roman"/>
                <w:sz w:val="24"/>
              </w:rPr>
              <w:t xml:space="preserve">ente. </w:t>
            </w:r>
          </w:p>
          <w:p w:rsidR="00745369" w:rsidRPr="00D51A68" w:rsidRDefault="00612780" w:rsidP="00450A2E">
            <w:pPr>
              <w:spacing w:beforeLines="60" w:before="144" w:afterLines="60" w:after="144"/>
              <w:rPr>
                <w:rFonts w:ascii="Times New Roman" w:hAnsi="Times New Roman"/>
                <w:sz w:val="24"/>
              </w:rPr>
            </w:pPr>
            <w:r w:rsidRPr="00D51A68">
              <w:rPr>
                <w:rFonts w:ascii="Times New Roman" w:hAnsi="Times New Roman"/>
                <w:sz w:val="24"/>
              </w:rPr>
              <w:t>Nella colonna 020 sono segnalate soltanto le operazioni non liquidate che comportano una perdita dopo la data di regolamento.</w:t>
            </w:r>
          </w:p>
        </w:tc>
      </w:tr>
      <w:tr w:rsidR="00612780" w:rsidRPr="00D51A68" w:rsidTr="00672D2A">
        <w:tc>
          <w:tcPr>
            <w:tcW w:w="852" w:type="dxa"/>
          </w:tcPr>
          <w:p w:rsidR="00745369" w:rsidRPr="00D51A68" w:rsidRDefault="00612780" w:rsidP="00EA0BAB">
            <w:pPr>
              <w:spacing w:beforeLines="60" w:before="144" w:afterLines="60" w:after="144"/>
              <w:rPr>
                <w:rFonts w:ascii="Times New Roman" w:hAnsi="Times New Roman"/>
                <w:sz w:val="24"/>
              </w:rPr>
            </w:pPr>
            <w:r w:rsidRPr="00D51A68">
              <w:rPr>
                <w:rFonts w:ascii="Times New Roman" w:hAnsi="Times New Roman"/>
                <w:sz w:val="24"/>
              </w:rPr>
              <w:t>030</w:t>
            </w:r>
          </w:p>
        </w:tc>
        <w:tc>
          <w:tcPr>
            <w:tcW w:w="8004" w:type="dxa"/>
          </w:tcPr>
          <w:p w:rsidR="00745369" w:rsidRPr="00D51A68" w:rsidRDefault="00612780" w:rsidP="00450A2E">
            <w:pPr>
              <w:spacing w:beforeLines="60" w:before="144" w:afterLines="60" w:after="144"/>
              <w:rPr>
                <w:rStyle w:val="InstructionsTabelleberschrift"/>
                <w:rFonts w:ascii="Times New Roman" w:hAnsi="Times New Roman"/>
                <w:sz w:val="24"/>
              </w:rPr>
            </w:pPr>
            <w:r w:rsidRPr="00D51A68">
              <w:rPr>
                <w:rStyle w:val="InstructionsTabelleberschrift"/>
                <w:rFonts w:ascii="Times New Roman" w:hAnsi="Times New Roman"/>
                <w:sz w:val="24"/>
              </w:rPr>
              <w:t>REQUISITI DI FONDI PROPRI</w:t>
            </w:r>
          </w:p>
          <w:p w:rsidR="00745369" w:rsidRPr="00D51A68" w:rsidRDefault="00612780" w:rsidP="00450A2E">
            <w:pPr>
              <w:spacing w:beforeLines="60" w:before="144" w:afterLines="60" w:after="144"/>
              <w:rPr>
                <w:rFonts w:ascii="Times New Roman" w:hAnsi="Times New Roman"/>
                <w:sz w:val="24"/>
              </w:rPr>
            </w:pPr>
            <w:r w:rsidRPr="00D51A68">
              <w:rPr>
                <w:rFonts w:ascii="Times New Roman" w:hAnsi="Times New Roman"/>
                <w:sz w:val="24"/>
              </w:rPr>
              <w:t>L</w:t>
            </w:r>
            <w:r w:rsidR="0009277C" w:rsidRPr="00D51A68">
              <w:rPr>
                <w:rFonts w:ascii="Times New Roman" w:hAnsi="Times New Roman"/>
                <w:sz w:val="24"/>
              </w:rPr>
              <w:t>’</w:t>
            </w:r>
            <w:r w:rsidRPr="00D51A68">
              <w:rPr>
                <w:rFonts w:ascii="Times New Roman" w:hAnsi="Times New Roman"/>
                <w:sz w:val="24"/>
              </w:rPr>
              <w:t>ente segnala nella colonna 030 i requisiti di fondi propri calcolati ai sensi dell</w:t>
            </w:r>
            <w:r w:rsidR="0009277C" w:rsidRPr="00D51A68">
              <w:rPr>
                <w:rFonts w:ascii="Times New Roman" w:hAnsi="Times New Roman"/>
                <w:sz w:val="24"/>
              </w:rPr>
              <w:t>’</w:t>
            </w:r>
            <w:r w:rsidRPr="00D51A68">
              <w:rPr>
                <w:rFonts w:ascii="Times New Roman" w:hAnsi="Times New Roman"/>
                <w:sz w:val="24"/>
              </w:rPr>
              <w:t>articolo 378 del CRR.</w:t>
            </w:r>
          </w:p>
        </w:tc>
      </w:tr>
      <w:tr w:rsidR="00612780" w:rsidRPr="00D51A68" w:rsidTr="00672D2A">
        <w:tc>
          <w:tcPr>
            <w:tcW w:w="852" w:type="dxa"/>
          </w:tcPr>
          <w:p w:rsidR="00745369" w:rsidRPr="00D51A68" w:rsidRDefault="00612780" w:rsidP="00EA0BAB">
            <w:pPr>
              <w:spacing w:beforeLines="60" w:before="144" w:afterLines="60" w:after="144"/>
              <w:rPr>
                <w:rFonts w:ascii="Times New Roman" w:hAnsi="Times New Roman"/>
                <w:sz w:val="24"/>
              </w:rPr>
            </w:pPr>
            <w:r w:rsidRPr="00D51A68">
              <w:rPr>
                <w:rFonts w:ascii="Times New Roman" w:hAnsi="Times New Roman"/>
                <w:sz w:val="24"/>
              </w:rPr>
              <w:t>040</w:t>
            </w:r>
          </w:p>
        </w:tc>
        <w:tc>
          <w:tcPr>
            <w:tcW w:w="8004" w:type="dxa"/>
          </w:tcPr>
          <w:p w:rsidR="00745369" w:rsidRPr="00D51A68" w:rsidRDefault="00612780" w:rsidP="00450A2E">
            <w:pPr>
              <w:spacing w:beforeLines="60" w:before="144" w:afterLines="60" w:after="144"/>
              <w:rPr>
                <w:rStyle w:val="InstructionsTabelleberschrift"/>
                <w:rFonts w:ascii="Times New Roman" w:hAnsi="Times New Roman"/>
                <w:sz w:val="24"/>
              </w:rPr>
            </w:pPr>
            <w:r w:rsidRPr="00D51A68">
              <w:rPr>
                <w:rStyle w:val="InstructionsTabelleberschrift"/>
                <w:rFonts w:ascii="Times New Roman" w:hAnsi="Times New Roman"/>
                <w:sz w:val="24"/>
              </w:rPr>
              <w:t>IMPORTO COMPLESSIVO DELL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ESPOSIZIONE AL RISCHIO DI REGOLAMENTO</w:t>
            </w:r>
          </w:p>
          <w:p w:rsidR="00745369" w:rsidRPr="00D51A68" w:rsidRDefault="00612780" w:rsidP="00450A2E">
            <w:pPr>
              <w:spacing w:beforeLines="60" w:before="144" w:afterLines="60" w:after="144"/>
              <w:rPr>
                <w:rFonts w:ascii="Times New Roman" w:hAnsi="Times New Roman"/>
                <w:sz w:val="24"/>
              </w:rPr>
            </w:pPr>
            <w:r w:rsidRPr="00D51A68">
              <w:rPr>
                <w:rFonts w:ascii="Times New Roman" w:hAnsi="Times New Roman"/>
                <w:sz w:val="24"/>
              </w:rPr>
              <w:t>Conformemente all</w:t>
            </w:r>
            <w:r w:rsidR="0009277C" w:rsidRPr="00D51A68">
              <w:rPr>
                <w:rFonts w:ascii="Times New Roman" w:hAnsi="Times New Roman"/>
                <w:sz w:val="24"/>
              </w:rPr>
              <w:t>’</w:t>
            </w:r>
            <w:r w:rsidRPr="00D51A68">
              <w:rPr>
                <w:rFonts w:ascii="Times New Roman" w:hAnsi="Times New Roman"/>
                <w:sz w:val="24"/>
              </w:rPr>
              <w:t>articolo 92, paragrafo 4, lettera b), del CRR, per determinare l</w:t>
            </w:r>
            <w:r w:rsidR="0009277C" w:rsidRPr="00D51A68">
              <w:rPr>
                <w:rFonts w:ascii="Times New Roman" w:hAnsi="Times New Roman"/>
                <w:sz w:val="24"/>
              </w:rPr>
              <w:t>’</w:t>
            </w:r>
            <w:r w:rsidRPr="00D51A68">
              <w:rPr>
                <w:rFonts w:ascii="Times New Roman" w:hAnsi="Times New Roman"/>
                <w:sz w:val="24"/>
              </w:rPr>
              <w:t>importo dell</w:t>
            </w:r>
            <w:r w:rsidR="0009277C" w:rsidRPr="00D51A68">
              <w:rPr>
                <w:rFonts w:ascii="Times New Roman" w:hAnsi="Times New Roman"/>
                <w:sz w:val="24"/>
              </w:rPr>
              <w:t>’</w:t>
            </w:r>
            <w:r w:rsidRPr="00D51A68">
              <w:rPr>
                <w:rFonts w:ascii="Times New Roman" w:hAnsi="Times New Roman"/>
                <w:sz w:val="24"/>
              </w:rPr>
              <w:t>esposizione al rischio di regolamento l</w:t>
            </w:r>
            <w:r w:rsidR="0009277C" w:rsidRPr="00D51A68">
              <w:rPr>
                <w:rFonts w:ascii="Times New Roman" w:hAnsi="Times New Roman"/>
                <w:sz w:val="24"/>
              </w:rPr>
              <w:t>’</w:t>
            </w:r>
            <w:r w:rsidRPr="00D51A68">
              <w:rPr>
                <w:rFonts w:ascii="Times New Roman" w:hAnsi="Times New Roman"/>
                <w:sz w:val="24"/>
              </w:rPr>
              <w:t>ente moltiplica per 12,5 i requisiti di fondi propri segnalati nella colonna 030.</w:t>
            </w:r>
          </w:p>
        </w:tc>
      </w:tr>
    </w:tbl>
    <w:p w:rsidR="00612780" w:rsidRPr="00D51A68" w:rsidRDefault="00612780" w:rsidP="00612780">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10"/>
      </w:tblGrid>
      <w:tr w:rsidR="00612780" w:rsidRPr="00D51A68" w:rsidTr="00672D2A">
        <w:tc>
          <w:tcPr>
            <w:tcW w:w="8862" w:type="dxa"/>
            <w:gridSpan w:val="2"/>
            <w:shd w:val="clear" w:color="auto" w:fill="CCCCCC"/>
          </w:tcPr>
          <w:p w:rsidR="00745369" w:rsidRPr="00D51A68" w:rsidRDefault="00612780" w:rsidP="00EA0BAB">
            <w:pPr>
              <w:spacing w:beforeLines="60" w:before="144" w:afterLines="60" w:after="144"/>
              <w:rPr>
                <w:rFonts w:ascii="Times New Roman" w:hAnsi="Times New Roman"/>
                <w:b/>
                <w:sz w:val="24"/>
              </w:rPr>
            </w:pPr>
            <w:r w:rsidRPr="00D51A68">
              <w:rPr>
                <w:rFonts w:ascii="Times New Roman" w:hAnsi="Times New Roman"/>
                <w:b/>
                <w:sz w:val="24"/>
              </w:rPr>
              <w:t>Righe</w:t>
            </w:r>
          </w:p>
        </w:tc>
      </w:tr>
      <w:tr w:rsidR="00612780" w:rsidRPr="00D51A68" w:rsidTr="00672D2A">
        <w:tc>
          <w:tcPr>
            <w:tcW w:w="852" w:type="dxa"/>
          </w:tcPr>
          <w:p w:rsidR="00745369" w:rsidRPr="00D51A68" w:rsidRDefault="00612780" w:rsidP="00EA0BAB">
            <w:pPr>
              <w:spacing w:beforeLines="60" w:before="144" w:afterLines="60" w:after="144"/>
              <w:rPr>
                <w:rFonts w:ascii="Times New Roman" w:hAnsi="Times New Roman"/>
                <w:sz w:val="24"/>
              </w:rPr>
            </w:pPr>
            <w:r w:rsidRPr="00D51A68">
              <w:rPr>
                <w:rFonts w:ascii="Times New Roman" w:hAnsi="Times New Roman"/>
                <w:sz w:val="24"/>
              </w:rPr>
              <w:t>010</w:t>
            </w:r>
          </w:p>
        </w:tc>
        <w:tc>
          <w:tcPr>
            <w:tcW w:w="8010" w:type="dxa"/>
          </w:tcPr>
          <w:p w:rsidR="00745369" w:rsidRPr="00D51A68" w:rsidRDefault="00612780" w:rsidP="00450A2E">
            <w:pPr>
              <w:spacing w:beforeLines="60" w:before="144" w:afterLines="60" w:after="144"/>
              <w:rPr>
                <w:rStyle w:val="InstructionsTabelleberschrift"/>
                <w:rFonts w:ascii="Times New Roman" w:hAnsi="Times New Roman"/>
                <w:sz w:val="24"/>
              </w:rPr>
            </w:pPr>
            <w:r w:rsidRPr="00D51A68">
              <w:rPr>
                <w:rStyle w:val="InstructionsTabelleberschrift"/>
                <w:rFonts w:ascii="Times New Roman" w:hAnsi="Times New Roman"/>
                <w:sz w:val="24"/>
              </w:rPr>
              <w:t>Operazioni non liquidate totali esterne al portafoglio di negoziazione</w:t>
            </w:r>
          </w:p>
          <w:p w:rsidR="00745369" w:rsidRPr="00D51A68" w:rsidRDefault="00612780" w:rsidP="00450A2E">
            <w:pPr>
              <w:spacing w:beforeLines="60" w:before="144" w:afterLines="60" w:after="144"/>
              <w:rPr>
                <w:rFonts w:ascii="Times New Roman" w:hAnsi="Times New Roman"/>
                <w:sz w:val="24"/>
              </w:rPr>
            </w:pPr>
            <w:r w:rsidRPr="00D51A68">
              <w:rPr>
                <w:rFonts w:ascii="Times New Roman" w:hAnsi="Times New Roman"/>
                <w:sz w:val="24"/>
              </w:rPr>
              <w:t>L</w:t>
            </w:r>
            <w:r w:rsidR="0009277C" w:rsidRPr="00D51A68">
              <w:rPr>
                <w:rFonts w:ascii="Times New Roman" w:hAnsi="Times New Roman"/>
                <w:sz w:val="24"/>
              </w:rPr>
              <w:t>’</w:t>
            </w:r>
            <w:r w:rsidRPr="00D51A68">
              <w:rPr>
                <w:rFonts w:ascii="Times New Roman" w:hAnsi="Times New Roman"/>
                <w:sz w:val="24"/>
              </w:rPr>
              <w:t>ente segnala nella riga 010 informazioni aggregate riguardanti il rischio di regolamento/consegna delle posizioni esterne al portafoglio di negoziazione (conformemente all</w:t>
            </w:r>
            <w:r w:rsidR="0009277C" w:rsidRPr="00D51A68">
              <w:rPr>
                <w:rFonts w:ascii="Times New Roman" w:hAnsi="Times New Roman"/>
                <w:sz w:val="24"/>
              </w:rPr>
              <w:t>’</w:t>
            </w:r>
            <w:r w:rsidRPr="00D51A68">
              <w:rPr>
                <w:rFonts w:ascii="Times New Roman" w:hAnsi="Times New Roman"/>
                <w:sz w:val="24"/>
              </w:rPr>
              <w:t>articolo 92, paragrafo 3, lettera c), punto ii), e all</w:t>
            </w:r>
            <w:r w:rsidR="0009277C" w:rsidRPr="00D51A68">
              <w:rPr>
                <w:rFonts w:ascii="Times New Roman" w:hAnsi="Times New Roman"/>
                <w:sz w:val="24"/>
              </w:rPr>
              <w:t>’</w:t>
            </w:r>
            <w:r w:rsidR="00985E17" w:rsidRPr="00D51A68">
              <w:rPr>
                <w:rFonts w:ascii="Times New Roman" w:hAnsi="Times New Roman"/>
                <w:sz w:val="24"/>
              </w:rPr>
              <w:t>articolo </w:t>
            </w:r>
            <w:r w:rsidRPr="00D51A68">
              <w:rPr>
                <w:rFonts w:ascii="Times New Roman" w:hAnsi="Times New Roman"/>
                <w:sz w:val="24"/>
              </w:rPr>
              <w:t>378 del CRR).</w:t>
            </w:r>
          </w:p>
          <w:p w:rsidR="00745369" w:rsidRPr="00D51A68" w:rsidRDefault="00612780" w:rsidP="00450A2E">
            <w:pPr>
              <w:spacing w:beforeLines="60" w:before="144"/>
              <w:rPr>
                <w:rFonts w:ascii="Times New Roman" w:hAnsi="Times New Roman"/>
                <w:sz w:val="24"/>
              </w:rPr>
            </w:pPr>
            <w:r w:rsidRPr="00D51A68">
              <w:rPr>
                <w:rFonts w:ascii="Times New Roman" w:hAnsi="Times New Roman"/>
                <w:sz w:val="24"/>
              </w:rPr>
              <w:t>L</w:t>
            </w:r>
            <w:r w:rsidR="0009277C" w:rsidRPr="00D51A68">
              <w:rPr>
                <w:rFonts w:ascii="Times New Roman" w:hAnsi="Times New Roman"/>
                <w:sz w:val="24"/>
              </w:rPr>
              <w:t>’</w:t>
            </w:r>
            <w:r w:rsidRPr="00D51A68">
              <w:rPr>
                <w:rFonts w:ascii="Times New Roman" w:hAnsi="Times New Roman"/>
                <w:sz w:val="24"/>
              </w:rPr>
              <w:t>ente segnala nella cella 010/010 la somma aggregata delle operazioni non liquidate dopo lo scadere delle relative date di consegna al rispettivo prezzo di liquidazione convenuto.</w:t>
            </w:r>
          </w:p>
          <w:p w:rsidR="00745369" w:rsidRPr="00D51A68" w:rsidRDefault="00612780" w:rsidP="00450A2E">
            <w:pPr>
              <w:spacing w:beforeLines="60" w:before="144"/>
              <w:rPr>
                <w:rFonts w:ascii="Times New Roman" w:hAnsi="Times New Roman"/>
                <w:sz w:val="24"/>
              </w:rPr>
            </w:pPr>
            <w:r w:rsidRPr="00D51A68">
              <w:rPr>
                <w:rFonts w:ascii="Times New Roman" w:hAnsi="Times New Roman"/>
                <w:sz w:val="24"/>
              </w:rPr>
              <w:t>L</w:t>
            </w:r>
            <w:r w:rsidR="0009277C" w:rsidRPr="00D51A68">
              <w:rPr>
                <w:rFonts w:ascii="Times New Roman" w:hAnsi="Times New Roman"/>
                <w:sz w:val="24"/>
              </w:rPr>
              <w:t>’</w:t>
            </w:r>
            <w:r w:rsidRPr="00D51A68">
              <w:rPr>
                <w:rFonts w:ascii="Times New Roman" w:hAnsi="Times New Roman"/>
                <w:sz w:val="24"/>
              </w:rPr>
              <w:t>ente segnala nella cella 010/020 informazioni aggregate relative all</w:t>
            </w:r>
            <w:r w:rsidR="0009277C" w:rsidRPr="00D51A68">
              <w:rPr>
                <w:rFonts w:ascii="Times New Roman" w:hAnsi="Times New Roman"/>
                <w:sz w:val="24"/>
              </w:rPr>
              <w:t>’</w:t>
            </w:r>
            <w:r w:rsidRPr="00D51A68">
              <w:rPr>
                <w:rFonts w:ascii="Times New Roman" w:hAnsi="Times New Roman"/>
                <w:sz w:val="24"/>
              </w:rPr>
              <w:t>esposizione derivante da una differenza di prezzo per le operazioni non liquidate che comportano una perdita.</w:t>
            </w:r>
          </w:p>
          <w:p w:rsidR="00745369" w:rsidRPr="00D51A68" w:rsidRDefault="00612780" w:rsidP="00450A2E">
            <w:pPr>
              <w:spacing w:beforeLines="60" w:before="144" w:afterLines="60" w:after="144"/>
              <w:rPr>
                <w:rFonts w:ascii="Times New Roman" w:hAnsi="Times New Roman"/>
                <w:sz w:val="24"/>
              </w:rPr>
            </w:pPr>
            <w:r w:rsidRPr="00D51A68">
              <w:rPr>
                <w:rFonts w:ascii="Times New Roman" w:hAnsi="Times New Roman"/>
                <w:sz w:val="24"/>
              </w:rPr>
              <w:t>L</w:t>
            </w:r>
            <w:r w:rsidR="0009277C" w:rsidRPr="00D51A68">
              <w:rPr>
                <w:rFonts w:ascii="Times New Roman" w:hAnsi="Times New Roman"/>
                <w:sz w:val="24"/>
              </w:rPr>
              <w:t>’</w:t>
            </w:r>
            <w:r w:rsidRPr="00D51A68">
              <w:rPr>
                <w:rFonts w:ascii="Times New Roman" w:hAnsi="Times New Roman"/>
                <w:sz w:val="24"/>
              </w:rPr>
              <w:t xml:space="preserve">ente segnala nella cella 010/030 i requisiti aggregati di fondi propri ricavati dalla somma dei requisiti di fondi propri delle operazioni non liquidate moltiplicando la </w:t>
            </w:r>
            <w:r w:rsidR="0009277C" w:rsidRPr="00D51A68">
              <w:rPr>
                <w:rFonts w:ascii="Times New Roman" w:hAnsi="Times New Roman"/>
                <w:sz w:val="24"/>
              </w:rPr>
              <w:t>“</w:t>
            </w:r>
            <w:r w:rsidRPr="00D51A68">
              <w:rPr>
                <w:rFonts w:ascii="Times New Roman" w:hAnsi="Times New Roman"/>
                <w:sz w:val="24"/>
              </w:rPr>
              <w:t>differenza di prezzo</w:t>
            </w:r>
            <w:r w:rsidR="0009277C" w:rsidRPr="00D51A68">
              <w:rPr>
                <w:rFonts w:ascii="Times New Roman" w:hAnsi="Times New Roman"/>
                <w:sz w:val="24"/>
              </w:rPr>
              <w:t>”</w:t>
            </w:r>
            <w:r w:rsidRPr="00D51A68">
              <w:rPr>
                <w:rFonts w:ascii="Times New Roman" w:hAnsi="Times New Roman"/>
                <w:sz w:val="24"/>
              </w:rPr>
              <w:t xml:space="preserve"> indicata nella colonna 020 per il fattore appropriato basato sul numero di giorni lavorativi di ritardo rispetto alla data di regolamento (categorie di cui alla tabella 1 dell</w:t>
            </w:r>
            <w:r w:rsidR="0009277C" w:rsidRPr="00D51A68">
              <w:rPr>
                <w:rFonts w:ascii="Times New Roman" w:hAnsi="Times New Roman"/>
                <w:sz w:val="24"/>
              </w:rPr>
              <w:t>’</w:t>
            </w:r>
            <w:r w:rsidRPr="00D51A68">
              <w:rPr>
                <w:rFonts w:ascii="Times New Roman" w:hAnsi="Times New Roman"/>
                <w:sz w:val="24"/>
              </w:rPr>
              <w:t>articolo 378 del CRR).</w:t>
            </w:r>
          </w:p>
        </w:tc>
      </w:tr>
      <w:tr w:rsidR="00612780" w:rsidRPr="00D51A68" w:rsidTr="00672D2A">
        <w:tc>
          <w:tcPr>
            <w:tcW w:w="852" w:type="dxa"/>
          </w:tcPr>
          <w:p w:rsidR="00745369" w:rsidRPr="00D51A68" w:rsidRDefault="00612780" w:rsidP="00EA0BAB">
            <w:pPr>
              <w:spacing w:beforeLines="60" w:before="144" w:afterLines="60" w:after="144"/>
              <w:rPr>
                <w:rFonts w:ascii="Times New Roman" w:hAnsi="Times New Roman"/>
                <w:sz w:val="24"/>
              </w:rPr>
            </w:pPr>
            <w:r w:rsidRPr="00D51A68">
              <w:rPr>
                <w:rFonts w:ascii="Times New Roman" w:hAnsi="Times New Roman"/>
                <w:sz w:val="24"/>
              </w:rPr>
              <w:t>da 020 a 060</w:t>
            </w:r>
          </w:p>
        </w:tc>
        <w:tc>
          <w:tcPr>
            <w:tcW w:w="8010" w:type="dxa"/>
          </w:tcPr>
          <w:p w:rsidR="00745369" w:rsidRPr="00D51A68" w:rsidRDefault="00612780" w:rsidP="00450A2E">
            <w:pPr>
              <w:spacing w:beforeLines="60" w:before="144" w:afterLines="60" w:after="144"/>
              <w:rPr>
                <w:rStyle w:val="InstructionsTabelleberschrift"/>
                <w:rFonts w:ascii="Times New Roman" w:hAnsi="Times New Roman"/>
                <w:sz w:val="24"/>
              </w:rPr>
            </w:pPr>
            <w:r w:rsidRPr="00D51A68">
              <w:rPr>
                <w:rStyle w:val="InstructionsTabelleberschrift"/>
                <w:rFonts w:ascii="Times New Roman" w:hAnsi="Times New Roman"/>
                <w:sz w:val="24"/>
              </w:rPr>
              <w:t>Operazioni non liquidate fino a 4 giorni (fattore 0</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 xml:space="preserve">) </w:t>
            </w:r>
          </w:p>
          <w:p w:rsidR="00745369" w:rsidRPr="00D51A68" w:rsidRDefault="00612780" w:rsidP="00450A2E">
            <w:pPr>
              <w:spacing w:beforeLines="60" w:before="144" w:afterLines="60" w:after="144"/>
              <w:rPr>
                <w:rStyle w:val="InstructionsTabelleberschrift"/>
                <w:rFonts w:ascii="Times New Roman" w:hAnsi="Times New Roman"/>
                <w:sz w:val="24"/>
              </w:rPr>
            </w:pPr>
            <w:r w:rsidRPr="00D51A68">
              <w:rPr>
                <w:rStyle w:val="InstructionsTabelleberschrift"/>
                <w:rFonts w:ascii="Times New Roman" w:hAnsi="Times New Roman"/>
                <w:sz w:val="24"/>
              </w:rPr>
              <w:t>Operazioni non liquidate tra 5 e 15 giorni (fattore 8</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w:t>
            </w:r>
          </w:p>
          <w:p w:rsidR="00745369" w:rsidRPr="00D51A68" w:rsidRDefault="00612780" w:rsidP="00450A2E">
            <w:pPr>
              <w:spacing w:beforeLines="60" w:before="144" w:afterLines="60" w:after="144"/>
              <w:rPr>
                <w:rStyle w:val="InstructionsTabelleberschrift"/>
                <w:rFonts w:ascii="Times New Roman" w:hAnsi="Times New Roman"/>
                <w:sz w:val="24"/>
              </w:rPr>
            </w:pPr>
            <w:r w:rsidRPr="00D51A68">
              <w:rPr>
                <w:rStyle w:val="InstructionsTabelleberschrift"/>
                <w:rFonts w:ascii="Times New Roman" w:hAnsi="Times New Roman"/>
                <w:sz w:val="24"/>
              </w:rPr>
              <w:lastRenderedPageBreak/>
              <w:t>Operazioni non liquidate tra 16 e 30 giorni (fattore 50</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w:t>
            </w:r>
          </w:p>
          <w:p w:rsidR="00745369" w:rsidRPr="00D51A68" w:rsidRDefault="00612780" w:rsidP="00450A2E">
            <w:pPr>
              <w:spacing w:beforeLines="60" w:before="144" w:afterLines="60" w:after="144"/>
              <w:rPr>
                <w:rStyle w:val="InstructionsTabelleberschrift"/>
                <w:rFonts w:ascii="Times New Roman" w:hAnsi="Times New Roman"/>
                <w:sz w:val="24"/>
              </w:rPr>
            </w:pPr>
            <w:r w:rsidRPr="00D51A68">
              <w:rPr>
                <w:rStyle w:val="InstructionsTabelleberschrift"/>
                <w:rFonts w:ascii="Times New Roman" w:hAnsi="Times New Roman"/>
                <w:sz w:val="24"/>
              </w:rPr>
              <w:t>Operazioni non liquidate tra 31 e 45 giorni (fattore 75</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w:t>
            </w:r>
          </w:p>
          <w:p w:rsidR="00745369" w:rsidRPr="00D51A68" w:rsidRDefault="00612780" w:rsidP="00450A2E">
            <w:pPr>
              <w:spacing w:beforeLines="60" w:before="144" w:afterLines="60" w:after="144"/>
              <w:rPr>
                <w:rStyle w:val="InstructionsTabelleberschrift"/>
                <w:rFonts w:ascii="Times New Roman" w:hAnsi="Times New Roman"/>
                <w:sz w:val="24"/>
              </w:rPr>
            </w:pPr>
            <w:r w:rsidRPr="00D51A68">
              <w:rPr>
                <w:rStyle w:val="InstructionsTabelleberschrift"/>
                <w:rFonts w:ascii="Times New Roman" w:hAnsi="Times New Roman"/>
                <w:sz w:val="24"/>
              </w:rPr>
              <w:t>Operazioni non liquidate per 46 giorni o più (fattore 100</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w:t>
            </w:r>
          </w:p>
          <w:p w:rsidR="00745369" w:rsidRPr="00D51A68" w:rsidRDefault="00612780" w:rsidP="00450A2E">
            <w:pPr>
              <w:spacing w:beforeLines="60" w:before="144" w:afterLines="60" w:after="144"/>
              <w:rPr>
                <w:rFonts w:ascii="Times New Roman" w:hAnsi="Times New Roman"/>
                <w:sz w:val="24"/>
              </w:rPr>
            </w:pPr>
            <w:r w:rsidRPr="00D51A68">
              <w:rPr>
                <w:rFonts w:ascii="Times New Roman" w:hAnsi="Times New Roman"/>
                <w:sz w:val="24"/>
              </w:rPr>
              <w:t>L</w:t>
            </w:r>
            <w:r w:rsidR="0009277C" w:rsidRPr="00D51A68">
              <w:rPr>
                <w:rFonts w:ascii="Times New Roman" w:hAnsi="Times New Roman"/>
                <w:sz w:val="24"/>
              </w:rPr>
              <w:t>’</w:t>
            </w:r>
            <w:r w:rsidRPr="00D51A68">
              <w:rPr>
                <w:rFonts w:ascii="Times New Roman" w:hAnsi="Times New Roman"/>
                <w:sz w:val="24"/>
              </w:rPr>
              <w:t>ente segnala nelle righe da 020 a 060 informazioni riguardanti il rischio di regolamento/consegna delle posizioni esterne al portafoglio di negoziazione conformemente alle categorie di cui alla tabella 1 dell</w:t>
            </w:r>
            <w:r w:rsidR="0009277C" w:rsidRPr="00D51A68">
              <w:rPr>
                <w:rFonts w:ascii="Times New Roman" w:hAnsi="Times New Roman"/>
                <w:sz w:val="24"/>
              </w:rPr>
              <w:t>’</w:t>
            </w:r>
            <w:r w:rsidRPr="00D51A68">
              <w:rPr>
                <w:rFonts w:ascii="Times New Roman" w:hAnsi="Times New Roman"/>
                <w:sz w:val="24"/>
              </w:rPr>
              <w:t xml:space="preserve">articolo 378 del CRR. </w:t>
            </w:r>
          </w:p>
          <w:p w:rsidR="00745369" w:rsidRPr="00D51A68" w:rsidRDefault="00612780" w:rsidP="00450A2E">
            <w:pPr>
              <w:spacing w:beforeLines="60" w:before="144" w:afterLines="60" w:after="144"/>
              <w:rPr>
                <w:rFonts w:ascii="Times New Roman" w:hAnsi="Times New Roman"/>
                <w:sz w:val="24"/>
              </w:rPr>
            </w:pPr>
            <w:r w:rsidRPr="00D51A68">
              <w:rPr>
                <w:rFonts w:ascii="Times New Roman" w:hAnsi="Times New Roman"/>
                <w:sz w:val="24"/>
              </w:rPr>
              <w:t>Non sono previsti requisiti di fondi propri per il rischio di regolamento/consegna per le operazioni che risultano non liquidate meno di cinque giorni lavorativi dopo la data di regolamento.</w:t>
            </w:r>
          </w:p>
        </w:tc>
      </w:tr>
      <w:tr w:rsidR="00612780" w:rsidRPr="00D51A68" w:rsidTr="00672D2A">
        <w:tc>
          <w:tcPr>
            <w:tcW w:w="852" w:type="dxa"/>
          </w:tcPr>
          <w:p w:rsidR="00745369" w:rsidRPr="00D51A68" w:rsidRDefault="00612780" w:rsidP="00EA0BAB">
            <w:pPr>
              <w:spacing w:beforeLines="60" w:before="144" w:afterLines="60" w:after="144"/>
              <w:rPr>
                <w:rFonts w:ascii="Times New Roman" w:hAnsi="Times New Roman"/>
                <w:sz w:val="24"/>
              </w:rPr>
            </w:pPr>
            <w:r w:rsidRPr="00D51A68">
              <w:rPr>
                <w:rFonts w:ascii="Times New Roman" w:hAnsi="Times New Roman"/>
                <w:sz w:val="24"/>
              </w:rPr>
              <w:lastRenderedPageBreak/>
              <w:t>070</w:t>
            </w:r>
          </w:p>
        </w:tc>
        <w:tc>
          <w:tcPr>
            <w:tcW w:w="8010" w:type="dxa"/>
          </w:tcPr>
          <w:p w:rsidR="00745369" w:rsidRPr="00D51A68" w:rsidRDefault="00612780" w:rsidP="00450A2E">
            <w:pPr>
              <w:spacing w:beforeLines="60" w:before="144" w:afterLines="60" w:after="144"/>
              <w:rPr>
                <w:rStyle w:val="InstructionsTabelleberschrift"/>
                <w:rFonts w:ascii="Times New Roman" w:hAnsi="Times New Roman"/>
                <w:sz w:val="24"/>
              </w:rPr>
            </w:pPr>
            <w:r w:rsidRPr="00D51A68">
              <w:rPr>
                <w:rStyle w:val="InstructionsTabelleberschrift"/>
                <w:rFonts w:ascii="Times New Roman" w:hAnsi="Times New Roman"/>
                <w:sz w:val="24"/>
              </w:rPr>
              <w:t>Operazioni non liquidate totali interne al portafoglio di negoziazione</w:t>
            </w:r>
          </w:p>
          <w:p w:rsidR="00745369" w:rsidRPr="00D51A68" w:rsidRDefault="00612780" w:rsidP="00450A2E">
            <w:pPr>
              <w:spacing w:beforeLines="60" w:before="144" w:afterLines="60" w:after="144"/>
              <w:rPr>
                <w:rFonts w:ascii="Times New Roman" w:hAnsi="Times New Roman"/>
                <w:sz w:val="24"/>
              </w:rPr>
            </w:pPr>
            <w:r w:rsidRPr="00D51A68">
              <w:rPr>
                <w:rFonts w:ascii="Times New Roman" w:hAnsi="Times New Roman"/>
                <w:sz w:val="24"/>
              </w:rPr>
              <w:t>L</w:t>
            </w:r>
            <w:r w:rsidR="0009277C" w:rsidRPr="00D51A68">
              <w:rPr>
                <w:rFonts w:ascii="Times New Roman" w:hAnsi="Times New Roman"/>
                <w:sz w:val="24"/>
              </w:rPr>
              <w:t>’</w:t>
            </w:r>
            <w:r w:rsidRPr="00D51A68">
              <w:rPr>
                <w:rFonts w:ascii="Times New Roman" w:hAnsi="Times New Roman"/>
                <w:sz w:val="24"/>
              </w:rPr>
              <w:t>ente segnala nella riga 070 informazioni aggregate riguardanti il rischio di regolamento/consegna delle posizioni interne al portafoglio di negoziazione (conformemente all</w:t>
            </w:r>
            <w:r w:rsidR="0009277C" w:rsidRPr="00D51A68">
              <w:rPr>
                <w:rFonts w:ascii="Times New Roman" w:hAnsi="Times New Roman"/>
                <w:sz w:val="24"/>
              </w:rPr>
              <w:t>’</w:t>
            </w:r>
            <w:r w:rsidRPr="00D51A68">
              <w:rPr>
                <w:rFonts w:ascii="Times New Roman" w:hAnsi="Times New Roman"/>
                <w:sz w:val="24"/>
              </w:rPr>
              <w:t>articolo 92, paragrafo 3, lettera c), punto ii), e all</w:t>
            </w:r>
            <w:r w:rsidR="0009277C" w:rsidRPr="00D51A68">
              <w:rPr>
                <w:rFonts w:ascii="Times New Roman" w:hAnsi="Times New Roman"/>
                <w:sz w:val="24"/>
              </w:rPr>
              <w:t>’</w:t>
            </w:r>
            <w:r w:rsidR="00985E17" w:rsidRPr="00D51A68">
              <w:rPr>
                <w:rFonts w:ascii="Times New Roman" w:hAnsi="Times New Roman"/>
                <w:sz w:val="24"/>
              </w:rPr>
              <w:t>articolo </w:t>
            </w:r>
            <w:r w:rsidRPr="00D51A68">
              <w:rPr>
                <w:rFonts w:ascii="Times New Roman" w:hAnsi="Times New Roman"/>
                <w:sz w:val="24"/>
              </w:rPr>
              <w:t>378 del CRR).</w:t>
            </w:r>
          </w:p>
          <w:p w:rsidR="00745369" w:rsidRPr="00D51A68" w:rsidRDefault="00612780" w:rsidP="00450A2E">
            <w:pPr>
              <w:spacing w:beforeLines="60" w:before="144" w:afterLines="60" w:after="144"/>
              <w:rPr>
                <w:rFonts w:ascii="Times New Roman" w:hAnsi="Times New Roman"/>
                <w:sz w:val="24"/>
              </w:rPr>
            </w:pPr>
            <w:r w:rsidRPr="00D51A68">
              <w:rPr>
                <w:rFonts w:ascii="Times New Roman" w:hAnsi="Times New Roman"/>
                <w:sz w:val="24"/>
              </w:rPr>
              <w:t>L</w:t>
            </w:r>
            <w:r w:rsidR="0009277C" w:rsidRPr="00D51A68">
              <w:rPr>
                <w:rFonts w:ascii="Times New Roman" w:hAnsi="Times New Roman"/>
                <w:sz w:val="24"/>
              </w:rPr>
              <w:t>’</w:t>
            </w:r>
            <w:r w:rsidRPr="00D51A68">
              <w:rPr>
                <w:rFonts w:ascii="Times New Roman" w:hAnsi="Times New Roman"/>
                <w:sz w:val="24"/>
              </w:rPr>
              <w:t>ente segnala nella cella 070/010 la somma aggregata delle operazioni non liquidate dopo lo scadere delle relative date di consegna al rispettivo prezzo di liquidazione convenuto.</w:t>
            </w:r>
          </w:p>
          <w:p w:rsidR="00745369" w:rsidRPr="00D51A68" w:rsidRDefault="00612780" w:rsidP="00450A2E">
            <w:pPr>
              <w:spacing w:beforeLines="60" w:before="144" w:afterLines="60" w:after="144"/>
              <w:rPr>
                <w:rFonts w:ascii="Times New Roman" w:hAnsi="Times New Roman"/>
                <w:sz w:val="24"/>
              </w:rPr>
            </w:pPr>
            <w:r w:rsidRPr="00D51A68">
              <w:rPr>
                <w:rFonts w:ascii="Times New Roman" w:hAnsi="Times New Roman"/>
                <w:sz w:val="24"/>
              </w:rPr>
              <w:t>L</w:t>
            </w:r>
            <w:r w:rsidR="0009277C" w:rsidRPr="00D51A68">
              <w:rPr>
                <w:rFonts w:ascii="Times New Roman" w:hAnsi="Times New Roman"/>
                <w:sz w:val="24"/>
              </w:rPr>
              <w:t>’</w:t>
            </w:r>
            <w:r w:rsidRPr="00D51A68">
              <w:rPr>
                <w:rFonts w:ascii="Times New Roman" w:hAnsi="Times New Roman"/>
                <w:sz w:val="24"/>
              </w:rPr>
              <w:t>ente segnala nella cella 070/020 informazioni aggregate relative all</w:t>
            </w:r>
            <w:r w:rsidR="0009277C" w:rsidRPr="00D51A68">
              <w:rPr>
                <w:rFonts w:ascii="Times New Roman" w:hAnsi="Times New Roman"/>
                <w:sz w:val="24"/>
              </w:rPr>
              <w:t>’</w:t>
            </w:r>
            <w:r w:rsidRPr="00D51A68">
              <w:rPr>
                <w:rFonts w:ascii="Times New Roman" w:hAnsi="Times New Roman"/>
                <w:sz w:val="24"/>
              </w:rPr>
              <w:t>esposizione derivante da una differenza di prezzo per le operazioni non liquidate che comportano una perdita.</w:t>
            </w:r>
          </w:p>
          <w:p w:rsidR="00745369" w:rsidRPr="00D51A68" w:rsidRDefault="00612780" w:rsidP="00450A2E">
            <w:pPr>
              <w:spacing w:beforeLines="60" w:before="144" w:afterLines="60" w:after="144"/>
              <w:rPr>
                <w:rFonts w:ascii="Times New Roman" w:hAnsi="Times New Roman"/>
                <w:b/>
                <w:sz w:val="24"/>
              </w:rPr>
            </w:pPr>
            <w:r w:rsidRPr="00D51A68">
              <w:rPr>
                <w:rFonts w:ascii="Times New Roman" w:hAnsi="Times New Roman"/>
                <w:sz w:val="24"/>
              </w:rPr>
              <w:t>L</w:t>
            </w:r>
            <w:r w:rsidR="0009277C" w:rsidRPr="00D51A68">
              <w:rPr>
                <w:rFonts w:ascii="Times New Roman" w:hAnsi="Times New Roman"/>
                <w:sz w:val="24"/>
              </w:rPr>
              <w:t>’</w:t>
            </w:r>
            <w:r w:rsidRPr="00D51A68">
              <w:rPr>
                <w:rFonts w:ascii="Times New Roman" w:hAnsi="Times New Roman"/>
                <w:sz w:val="24"/>
              </w:rPr>
              <w:t xml:space="preserve">ente segnala nella cella 070/030 i requisiti aggregati di fondi propri ricavati dalla somma dei requisiti di fondi propri delle operazioni non liquidate moltiplicando la </w:t>
            </w:r>
            <w:r w:rsidR="0009277C" w:rsidRPr="00D51A68">
              <w:rPr>
                <w:rFonts w:ascii="Times New Roman" w:hAnsi="Times New Roman"/>
                <w:sz w:val="24"/>
              </w:rPr>
              <w:t>“</w:t>
            </w:r>
            <w:r w:rsidRPr="00D51A68">
              <w:rPr>
                <w:rFonts w:ascii="Times New Roman" w:hAnsi="Times New Roman"/>
                <w:sz w:val="24"/>
              </w:rPr>
              <w:t>differenza di prezzo</w:t>
            </w:r>
            <w:r w:rsidR="0009277C" w:rsidRPr="00D51A68">
              <w:rPr>
                <w:rFonts w:ascii="Times New Roman" w:hAnsi="Times New Roman"/>
                <w:sz w:val="24"/>
              </w:rPr>
              <w:t>”</w:t>
            </w:r>
            <w:r w:rsidRPr="00D51A68">
              <w:rPr>
                <w:rFonts w:ascii="Times New Roman" w:hAnsi="Times New Roman"/>
                <w:sz w:val="24"/>
              </w:rPr>
              <w:t xml:space="preserve"> indicata nella colonna 020 per il fattore appropriato basato sul numero di giorni lavorativi di ritardo rispetto alla data di regolamento (categorie di cui alla tabella 1 dell</w:t>
            </w:r>
            <w:r w:rsidR="0009277C" w:rsidRPr="00D51A68">
              <w:rPr>
                <w:rFonts w:ascii="Times New Roman" w:hAnsi="Times New Roman"/>
                <w:sz w:val="24"/>
              </w:rPr>
              <w:t>’</w:t>
            </w:r>
            <w:r w:rsidRPr="00D51A68">
              <w:rPr>
                <w:rFonts w:ascii="Times New Roman" w:hAnsi="Times New Roman"/>
                <w:sz w:val="24"/>
              </w:rPr>
              <w:t>articolo 378 del CRR).</w:t>
            </w:r>
          </w:p>
        </w:tc>
      </w:tr>
      <w:tr w:rsidR="00612780" w:rsidRPr="00D51A68" w:rsidTr="00672D2A">
        <w:tc>
          <w:tcPr>
            <w:tcW w:w="852" w:type="dxa"/>
          </w:tcPr>
          <w:p w:rsidR="00745369" w:rsidRPr="00D51A68" w:rsidRDefault="00612780" w:rsidP="00EA0BAB">
            <w:pPr>
              <w:spacing w:beforeLines="60" w:before="144" w:afterLines="60" w:after="144"/>
              <w:rPr>
                <w:rFonts w:ascii="Times New Roman" w:hAnsi="Times New Roman"/>
                <w:sz w:val="24"/>
              </w:rPr>
            </w:pPr>
            <w:r w:rsidRPr="00D51A68">
              <w:rPr>
                <w:rFonts w:ascii="Times New Roman" w:hAnsi="Times New Roman"/>
                <w:sz w:val="24"/>
              </w:rPr>
              <w:t>da 080 a 120</w:t>
            </w:r>
          </w:p>
        </w:tc>
        <w:tc>
          <w:tcPr>
            <w:tcW w:w="8010" w:type="dxa"/>
          </w:tcPr>
          <w:p w:rsidR="00745369" w:rsidRPr="00D51A68" w:rsidRDefault="00612780" w:rsidP="00450A2E">
            <w:pPr>
              <w:spacing w:beforeLines="60" w:before="144" w:afterLines="60" w:after="144"/>
              <w:rPr>
                <w:rStyle w:val="InstructionsTabelleberschrift"/>
                <w:rFonts w:ascii="Times New Roman" w:hAnsi="Times New Roman"/>
                <w:sz w:val="24"/>
              </w:rPr>
            </w:pPr>
            <w:r w:rsidRPr="00D51A68">
              <w:rPr>
                <w:rStyle w:val="InstructionsTabelleberschrift"/>
                <w:rFonts w:ascii="Times New Roman" w:hAnsi="Times New Roman"/>
                <w:sz w:val="24"/>
              </w:rPr>
              <w:t>Operazioni non liquidate fino a 4 giorni (fattore 0</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 xml:space="preserve">) </w:t>
            </w:r>
          </w:p>
          <w:p w:rsidR="00745369" w:rsidRPr="00D51A68" w:rsidRDefault="00612780" w:rsidP="00450A2E">
            <w:pPr>
              <w:spacing w:beforeLines="60" w:before="144" w:afterLines="60" w:after="144"/>
              <w:rPr>
                <w:rStyle w:val="InstructionsTabelleberschrift"/>
                <w:rFonts w:ascii="Times New Roman" w:hAnsi="Times New Roman"/>
                <w:sz w:val="24"/>
              </w:rPr>
            </w:pPr>
            <w:r w:rsidRPr="00D51A68">
              <w:rPr>
                <w:rStyle w:val="InstructionsTabelleberschrift"/>
                <w:rFonts w:ascii="Times New Roman" w:hAnsi="Times New Roman"/>
                <w:sz w:val="24"/>
              </w:rPr>
              <w:t>Operazioni non liquidate tra 5 e 15 giorni (fattore 8</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w:t>
            </w:r>
          </w:p>
          <w:p w:rsidR="00745369" w:rsidRPr="00D51A68" w:rsidRDefault="00612780" w:rsidP="00450A2E">
            <w:pPr>
              <w:spacing w:beforeLines="60" w:before="144" w:afterLines="60" w:after="144"/>
              <w:rPr>
                <w:rStyle w:val="InstructionsTabelleberschrift"/>
                <w:rFonts w:ascii="Times New Roman" w:hAnsi="Times New Roman"/>
                <w:sz w:val="24"/>
              </w:rPr>
            </w:pPr>
            <w:r w:rsidRPr="00D51A68">
              <w:rPr>
                <w:rStyle w:val="InstructionsTabelleberschrift"/>
                <w:rFonts w:ascii="Times New Roman" w:hAnsi="Times New Roman"/>
                <w:sz w:val="24"/>
              </w:rPr>
              <w:t>Operazioni non liquidate tra 16 e 30 giorni (fattore 50</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w:t>
            </w:r>
          </w:p>
          <w:p w:rsidR="00745369" w:rsidRPr="00D51A68" w:rsidRDefault="00612780" w:rsidP="00450A2E">
            <w:pPr>
              <w:spacing w:beforeLines="60" w:before="144" w:afterLines="60" w:after="144"/>
              <w:rPr>
                <w:rStyle w:val="InstructionsTabelleberschrift"/>
                <w:rFonts w:ascii="Times New Roman" w:hAnsi="Times New Roman"/>
                <w:sz w:val="24"/>
              </w:rPr>
            </w:pPr>
            <w:r w:rsidRPr="00D51A68">
              <w:rPr>
                <w:rStyle w:val="InstructionsTabelleberschrift"/>
                <w:rFonts w:ascii="Times New Roman" w:hAnsi="Times New Roman"/>
                <w:sz w:val="24"/>
              </w:rPr>
              <w:t>Operazioni non liquidate tra 31 e 45 giorni (fattore 75</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w:t>
            </w:r>
          </w:p>
          <w:p w:rsidR="00745369" w:rsidRPr="00D51A68" w:rsidRDefault="00612780" w:rsidP="00450A2E">
            <w:pPr>
              <w:spacing w:beforeLines="60" w:before="144" w:afterLines="60" w:after="144"/>
              <w:rPr>
                <w:rStyle w:val="InstructionsTabelleberschrift"/>
                <w:rFonts w:ascii="Times New Roman" w:hAnsi="Times New Roman"/>
                <w:sz w:val="24"/>
              </w:rPr>
            </w:pPr>
            <w:r w:rsidRPr="00D51A68">
              <w:rPr>
                <w:rStyle w:val="InstructionsTabelleberschrift"/>
                <w:rFonts w:ascii="Times New Roman" w:hAnsi="Times New Roman"/>
                <w:sz w:val="24"/>
              </w:rPr>
              <w:t>Operazioni non liquidate per 46 giorni o più (fattore 100</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w:t>
            </w:r>
          </w:p>
          <w:p w:rsidR="00745369" w:rsidRPr="00D51A68" w:rsidRDefault="00612780" w:rsidP="00450A2E">
            <w:pPr>
              <w:spacing w:beforeLines="60" w:before="144" w:afterLines="60" w:after="144"/>
              <w:rPr>
                <w:rFonts w:ascii="Times New Roman" w:hAnsi="Times New Roman"/>
                <w:sz w:val="24"/>
              </w:rPr>
            </w:pPr>
            <w:r w:rsidRPr="00D51A68">
              <w:rPr>
                <w:rFonts w:ascii="Times New Roman" w:hAnsi="Times New Roman"/>
                <w:sz w:val="24"/>
              </w:rPr>
              <w:t>L</w:t>
            </w:r>
            <w:r w:rsidR="0009277C" w:rsidRPr="00D51A68">
              <w:rPr>
                <w:rFonts w:ascii="Times New Roman" w:hAnsi="Times New Roman"/>
                <w:sz w:val="24"/>
              </w:rPr>
              <w:t>’</w:t>
            </w:r>
            <w:r w:rsidRPr="00D51A68">
              <w:rPr>
                <w:rFonts w:ascii="Times New Roman" w:hAnsi="Times New Roman"/>
                <w:sz w:val="24"/>
              </w:rPr>
              <w:t>ente segnala nelle righe da 080 a 120 informazioni riguardanti il rischio di regolamento/consegna delle posizioni interne al portafoglio di negoziazione conformemente alle categorie di cui alla tabella 1 dell</w:t>
            </w:r>
            <w:r w:rsidR="0009277C" w:rsidRPr="00D51A68">
              <w:rPr>
                <w:rFonts w:ascii="Times New Roman" w:hAnsi="Times New Roman"/>
                <w:sz w:val="24"/>
              </w:rPr>
              <w:t>’</w:t>
            </w:r>
            <w:r w:rsidRPr="00D51A68">
              <w:rPr>
                <w:rFonts w:ascii="Times New Roman" w:hAnsi="Times New Roman"/>
                <w:sz w:val="24"/>
              </w:rPr>
              <w:t xml:space="preserve">articolo 378 del CRR. </w:t>
            </w:r>
          </w:p>
          <w:p w:rsidR="00745369" w:rsidRPr="00D51A68" w:rsidRDefault="00612780" w:rsidP="00450A2E">
            <w:pPr>
              <w:spacing w:beforeLines="60" w:before="144" w:afterLines="60" w:after="144"/>
              <w:rPr>
                <w:rFonts w:ascii="Times New Roman" w:hAnsi="Times New Roman"/>
                <w:b/>
                <w:sz w:val="24"/>
              </w:rPr>
            </w:pPr>
            <w:r w:rsidRPr="00D51A68">
              <w:rPr>
                <w:rFonts w:ascii="Times New Roman" w:hAnsi="Times New Roman"/>
                <w:sz w:val="24"/>
              </w:rPr>
              <w:t>Non sono previsti requisiti di fondi propri per il rischio di regolamento/consegna per le operazioni che risultano non liquidate meno di cinque giorni lavorativi dopo la data di regolamento.</w:t>
            </w:r>
          </w:p>
        </w:tc>
      </w:tr>
    </w:tbl>
    <w:p w:rsidR="00612780" w:rsidRPr="00D51A68" w:rsidRDefault="00612780" w:rsidP="00612780">
      <w:pPr>
        <w:spacing w:after="0"/>
        <w:rPr>
          <w:rFonts w:ascii="Times New Roman" w:hAnsi="Times New Roman"/>
          <w:sz w:val="24"/>
        </w:rPr>
      </w:pPr>
    </w:p>
    <w:p w:rsidR="00612780" w:rsidRPr="00D51A68" w:rsidRDefault="00612780">
      <w:pPr>
        <w:spacing w:before="0" w:after="0"/>
        <w:jc w:val="left"/>
        <w:rPr>
          <w:rStyle w:val="InstructionsTabelleText"/>
          <w:rFonts w:ascii="Times New Roman" w:hAnsi="Times New Roman"/>
          <w:sz w:val="24"/>
        </w:rPr>
      </w:pPr>
      <w:r w:rsidRPr="00D51A68">
        <w:br w:type="page"/>
      </w:r>
    </w:p>
    <w:p w:rsidR="00612780" w:rsidRPr="00D51A68" w:rsidRDefault="00125707" w:rsidP="0023700C">
      <w:pPr>
        <w:pStyle w:val="Instructionsberschrift2"/>
        <w:numPr>
          <w:ilvl w:val="0"/>
          <w:numId w:val="0"/>
        </w:numPr>
        <w:ind w:left="357" w:hanging="357"/>
        <w:rPr>
          <w:rFonts w:ascii="Times New Roman" w:hAnsi="Times New Roman" w:cs="Times New Roman"/>
          <w:sz w:val="24"/>
        </w:rPr>
      </w:pPr>
      <w:bookmarkStart w:id="441" w:name="_Toc310415038"/>
      <w:bookmarkStart w:id="442" w:name="_Toc360188375"/>
      <w:bookmarkStart w:id="443" w:name="_Toc516210661"/>
      <w:bookmarkStart w:id="444" w:name="_Toc473560926"/>
      <w:bookmarkStart w:id="445" w:name="_Toc524096606"/>
      <w:r w:rsidRPr="00D51A68">
        <w:rPr>
          <w:rFonts w:ascii="Times New Roman" w:hAnsi="Times New Roman"/>
          <w:sz w:val="24"/>
          <w:u w:val="none"/>
        </w:rPr>
        <w:lastRenderedPageBreak/>
        <w:t>3.7.</w:t>
      </w:r>
      <w:r w:rsidR="00A0772B" w:rsidRPr="00D51A68">
        <w:rPr>
          <w:u w:val="none"/>
        </w:rPr>
        <w:tab/>
      </w:r>
      <w:r w:rsidRPr="00D51A68">
        <w:rPr>
          <w:rFonts w:ascii="Times New Roman" w:hAnsi="Times New Roman"/>
          <w:sz w:val="24"/>
        </w:rPr>
        <w:t>C 12.00 — Rischio di credito: cartolarizzazioni — Metodo standardizzato applicato ai requisiti di fondi propri</w:t>
      </w:r>
      <w:bookmarkEnd w:id="441"/>
      <w:bookmarkEnd w:id="442"/>
      <w:r w:rsidRPr="00D51A68">
        <w:rPr>
          <w:rFonts w:ascii="Times New Roman" w:hAnsi="Times New Roman"/>
          <w:sz w:val="24"/>
        </w:rPr>
        <w:t xml:space="preserve"> (CR SEC SA)</w:t>
      </w:r>
      <w:bookmarkEnd w:id="443"/>
      <w:bookmarkEnd w:id="444"/>
      <w:bookmarkEnd w:id="445"/>
    </w:p>
    <w:p w:rsidR="00612780" w:rsidRPr="00D51A68" w:rsidRDefault="00125707" w:rsidP="0023700C">
      <w:pPr>
        <w:pStyle w:val="Instructionsberschrift2"/>
        <w:numPr>
          <w:ilvl w:val="0"/>
          <w:numId w:val="0"/>
        </w:numPr>
        <w:ind w:left="357" w:hanging="357"/>
        <w:rPr>
          <w:rFonts w:ascii="Times New Roman" w:hAnsi="Times New Roman" w:cs="Times New Roman"/>
          <w:sz w:val="24"/>
        </w:rPr>
      </w:pPr>
      <w:bookmarkStart w:id="446" w:name="_Toc239157385"/>
      <w:bookmarkStart w:id="447" w:name="_Toc310415039"/>
      <w:bookmarkStart w:id="448" w:name="_Toc360188376"/>
      <w:bookmarkStart w:id="449" w:name="_Toc516210662"/>
      <w:bookmarkStart w:id="450" w:name="_Toc473560927"/>
      <w:bookmarkStart w:id="451" w:name="_Toc524096607"/>
      <w:r w:rsidRPr="00D51A68">
        <w:rPr>
          <w:rFonts w:ascii="Times New Roman" w:hAnsi="Times New Roman"/>
          <w:sz w:val="24"/>
          <w:u w:val="none"/>
        </w:rPr>
        <w:t>3.7.1.</w:t>
      </w:r>
      <w:r w:rsidR="00A0772B" w:rsidRPr="00D51A68">
        <w:rPr>
          <w:u w:val="none"/>
        </w:rPr>
        <w:tab/>
      </w:r>
      <w:r w:rsidRPr="00D51A68">
        <w:rPr>
          <w:rFonts w:ascii="Times New Roman" w:hAnsi="Times New Roman"/>
          <w:sz w:val="24"/>
        </w:rPr>
        <w:t>Osservazioni di carattere generale</w:t>
      </w:r>
      <w:bookmarkEnd w:id="446"/>
      <w:bookmarkEnd w:id="447"/>
      <w:bookmarkEnd w:id="448"/>
      <w:bookmarkEnd w:id="449"/>
      <w:bookmarkEnd w:id="450"/>
      <w:bookmarkEnd w:id="451"/>
    </w:p>
    <w:p w:rsidR="00C67004" w:rsidRPr="00D51A68" w:rsidRDefault="00125707" w:rsidP="00985E17">
      <w:pPr>
        <w:pStyle w:val="InstructionsText2"/>
        <w:numPr>
          <w:ilvl w:val="0"/>
          <w:numId w:val="0"/>
        </w:numPr>
        <w:ind w:left="993"/>
      </w:pPr>
      <w:r w:rsidRPr="00D51A68">
        <w:t>100.</w:t>
      </w:r>
      <w:r w:rsidR="00A0772B" w:rsidRPr="00D51A68">
        <w:tab/>
      </w:r>
      <w:r w:rsidRPr="00D51A68">
        <w:t>Le informazioni segnalate in questo modello sono fornite per tutte le cartolarizzazioni per le quali è riconosciuto un trasferimento del rischio significativo e nelle quali l</w:t>
      </w:r>
      <w:r w:rsidR="0009277C" w:rsidRPr="00D51A68">
        <w:t>’</w:t>
      </w:r>
      <w:r w:rsidRPr="00D51A68">
        <w:t>ente segnalante partecipa a una cartolarizzazione trattata secondo il metodo standardizzato. Nelle date di riferimento per le segnalazioni successive al 1° gennaio 2019, le cartolarizzazioni il cui importo dell</w:t>
      </w:r>
      <w:r w:rsidR="0009277C" w:rsidRPr="00D51A68">
        <w:t>’</w:t>
      </w:r>
      <w:r w:rsidRPr="00D51A68">
        <w:t>esposizione ponderato per il rischio è determinato sulla base del quadro rivisto in materia di cartolarizzazione non sono segnalate in questo m</w:t>
      </w:r>
      <w:r w:rsidR="00985E17" w:rsidRPr="00D51A68">
        <w:t>odello bensì solo nel modello C </w:t>
      </w:r>
      <w:r w:rsidRPr="00D51A68">
        <w:t>02.00. Parimenti, nelle date di riferimento per le segnalazioni successive al 1</w:t>
      </w:r>
      <w:r w:rsidR="00985E17" w:rsidRPr="00D51A68">
        <w:t>° </w:t>
      </w:r>
      <w:r w:rsidRPr="00D51A68">
        <w:t>gennaio 2019, le posizioni verso la cartolarizzazione che sono soggette a un fattore di ponderazione del rischio del 1 250%</w:t>
      </w:r>
      <w:r w:rsidR="0009277C" w:rsidRPr="00D51A68">
        <w:t xml:space="preserve"> </w:t>
      </w:r>
      <w:r w:rsidRPr="00D51A68">
        <w:t>conformemente al quadro rivisto in materia di cartolarizzazione e che sono dedotte dal CET1 a norma dell</w:t>
      </w:r>
      <w:r w:rsidR="0009277C" w:rsidRPr="00D51A68">
        <w:t>’</w:t>
      </w:r>
      <w:r w:rsidRPr="00D51A68">
        <w:t>articolo 36, paragrafo 1, lettera k), punto ii), del CRR non sono segnalate in questo modello bensì solo nel modello C 01.00.</w:t>
      </w:r>
    </w:p>
    <w:p w:rsidR="00C67004" w:rsidRPr="00D51A68" w:rsidRDefault="00C67004" w:rsidP="00985E17">
      <w:pPr>
        <w:pStyle w:val="InstructionsText2"/>
        <w:numPr>
          <w:ilvl w:val="0"/>
          <w:numId w:val="0"/>
        </w:numPr>
        <w:ind w:left="993"/>
      </w:pPr>
      <w:r w:rsidRPr="00D51A68">
        <w:t>100bis. Ai fini di questo modello, tutti i riferimenti agli a</w:t>
      </w:r>
      <w:r w:rsidR="00985E17" w:rsidRPr="00D51A68">
        <w:t>rticoli della parte tre, titolo </w:t>
      </w:r>
      <w:r w:rsidRPr="00D51A68">
        <w:t>II, capo 5, del CRR vanno intesi come riferimenti al CRR nella versione applicabile il 31 dicembre 2018.</w:t>
      </w:r>
    </w:p>
    <w:p w:rsidR="00612780" w:rsidRPr="00D51A68" w:rsidRDefault="00C67004" w:rsidP="00985E17">
      <w:pPr>
        <w:pStyle w:val="InstructionsText2"/>
        <w:numPr>
          <w:ilvl w:val="0"/>
          <w:numId w:val="0"/>
        </w:numPr>
        <w:ind w:left="993"/>
      </w:pPr>
      <w:r w:rsidRPr="00D51A68">
        <w:t>100ter. Le informazioni da segnalare sono condizionate dal ruolo svolto dall</w:t>
      </w:r>
      <w:r w:rsidR="0009277C" w:rsidRPr="00D51A68">
        <w:t>’</w:t>
      </w:r>
      <w:r w:rsidRPr="00D51A68">
        <w:t>ente nel contesto della cartolarizzazione; pertanto si utilizzano elementi di segnalazione specifici per i cedenti, i promotori e gli investitori.</w:t>
      </w:r>
    </w:p>
    <w:p w:rsidR="00612780" w:rsidRPr="00D51A68" w:rsidRDefault="00125707" w:rsidP="00985E17">
      <w:pPr>
        <w:pStyle w:val="InstructionsText2"/>
        <w:numPr>
          <w:ilvl w:val="0"/>
          <w:numId w:val="0"/>
        </w:numPr>
        <w:ind w:left="993"/>
      </w:pPr>
      <w:r w:rsidRPr="00D51A68">
        <w:t>101.</w:t>
      </w:r>
      <w:r w:rsidR="00A0772B" w:rsidRPr="00D51A68">
        <w:tab/>
      </w:r>
      <w:r w:rsidRPr="00D51A68">
        <w:t>Il modello CR SEC SA combina informazioni riguardanti sia le cartolarizzazioni tradizionali sia le cartolarizzazioni sintetiche interne al portafoglio bancario, così come definite nell</w:t>
      </w:r>
      <w:r w:rsidR="0009277C" w:rsidRPr="00D51A68">
        <w:t>’</w:t>
      </w:r>
      <w:r w:rsidRPr="00D51A68">
        <w:t>articolo 242, rispettivamente paragrafi 10 e 11, del CRR.</w:t>
      </w:r>
    </w:p>
    <w:p w:rsidR="00612780" w:rsidRPr="00D51A68" w:rsidRDefault="00125707" w:rsidP="0023700C">
      <w:pPr>
        <w:pStyle w:val="Instructionsberschrift2"/>
        <w:numPr>
          <w:ilvl w:val="0"/>
          <w:numId w:val="0"/>
        </w:numPr>
        <w:ind w:left="357" w:hanging="357"/>
        <w:rPr>
          <w:rFonts w:ascii="Times New Roman" w:hAnsi="Times New Roman" w:cs="Times New Roman"/>
          <w:sz w:val="24"/>
        </w:rPr>
      </w:pPr>
      <w:bookmarkStart w:id="452" w:name="_Toc239157386"/>
      <w:bookmarkStart w:id="453" w:name="_Toc310415040"/>
      <w:bookmarkStart w:id="454" w:name="_Toc360188377"/>
      <w:bookmarkStart w:id="455" w:name="_Toc516210663"/>
      <w:bookmarkStart w:id="456" w:name="_Toc473560928"/>
      <w:bookmarkStart w:id="457" w:name="_Toc524096608"/>
      <w:r w:rsidRPr="00D51A68">
        <w:rPr>
          <w:rFonts w:ascii="Times New Roman" w:hAnsi="Times New Roman"/>
          <w:sz w:val="24"/>
          <w:u w:val="none"/>
        </w:rPr>
        <w:t>3.7.2.</w:t>
      </w:r>
      <w:r w:rsidR="00A0772B" w:rsidRPr="00D51A68">
        <w:rPr>
          <w:u w:val="none"/>
        </w:rPr>
        <w:tab/>
      </w:r>
      <w:r w:rsidRPr="00D51A68">
        <w:rPr>
          <w:rFonts w:ascii="Times New Roman" w:hAnsi="Times New Roman"/>
          <w:sz w:val="24"/>
        </w:rPr>
        <w:t>Istruzioni relative a posizioni specifiche</w:t>
      </w:r>
      <w:bookmarkEnd w:id="452"/>
      <w:bookmarkEnd w:id="453"/>
      <w:bookmarkEnd w:id="454"/>
      <w:bookmarkEnd w:id="455"/>
      <w:bookmarkEnd w:id="456"/>
      <w:bookmarkEnd w:id="457"/>
    </w:p>
    <w:tbl>
      <w:tblPr>
        <w:tblW w:w="89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856"/>
      </w:tblGrid>
      <w:tr w:rsidR="00612780" w:rsidRPr="00D51A68" w:rsidTr="00672D2A">
        <w:tc>
          <w:tcPr>
            <w:tcW w:w="8957" w:type="dxa"/>
            <w:gridSpan w:val="2"/>
            <w:shd w:val="clear" w:color="auto" w:fill="CCCCCC"/>
          </w:tcPr>
          <w:p w:rsidR="00612780" w:rsidRPr="00D51A68" w:rsidRDefault="00612780" w:rsidP="00612780">
            <w:pPr>
              <w:autoSpaceDE w:val="0"/>
              <w:autoSpaceDN w:val="0"/>
              <w:adjustRightInd w:val="0"/>
              <w:spacing w:before="0" w:after="0"/>
              <w:rPr>
                <w:rFonts w:ascii="Times New Roman" w:hAnsi="Times New Roman"/>
                <w:bCs/>
                <w:sz w:val="24"/>
              </w:rPr>
            </w:pPr>
          </w:p>
          <w:p w:rsidR="00612780" w:rsidRPr="00D51A68" w:rsidRDefault="00612780" w:rsidP="00612780">
            <w:pPr>
              <w:autoSpaceDE w:val="0"/>
              <w:autoSpaceDN w:val="0"/>
              <w:adjustRightInd w:val="0"/>
              <w:spacing w:before="0" w:after="0"/>
              <w:rPr>
                <w:rFonts w:ascii="Times New Roman" w:hAnsi="Times New Roman"/>
                <w:b/>
                <w:bCs/>
                <w:sz w:val="24"/>
              </w:rPr>
            </w:pPr>
            <w:r w:rsidRPr="00D51A68">
              <w:rPr>
                <w:rFonts w:ascii="Times New Roman" w:hAnsi="Times New Roman"/>
                <w:b/>
                <w:sz w:val="24"/>
              </w:rPr>
              <w:t>Colonne</w:t>
            </w:r>
          </w:p>
          <w:p w:rsidR="00612780" w:rsidRPr="00D51A68" w:rsidRDefault="00612780" w:rsidP="00612780">
            <w:pPr>
              <w:autoSpaceDE w:val="0"/>
              <w:autoSpaceDN w:val="0"/>
              <w:adjustRightInd w:val="0"/>
              <w:spacing w:before="0" w:after="0"/>
              <w:rPr>
                <w:rFonts w:ascii="Times New Roman" w:hAnsi="Times New Roman"/>
                <w:bCs/>
                <w:sz w:val="24"/>
              </w:rPr>
            </w:pPr>
          </w:p>
        </w:tc>
      </w:tr>
      <w:tr w:rsidR="00612780" w:rsidRPr="00D51A68" w:rsidTr="00672D2A">
        <w:tc>
          <w:tcPr>
            <w:tcW w:w="1101" w:type="dxa"/>
          </w:tcPr>
          <w:p w:rsidR="00612780" w:rsidRPr="00D51A68" w:rsidRDefault="00612780" w:rsidP="00612780">
            <w:pPr>
              <w:autoSpaceDE w:val="0"/>
              <w:autoSpaceDN w:val="0"/>
              <w:adjustRightInd w:val="0"/>
              <w:spacing w:before="0" w:after="0"/>
              <w:rPr>
                <w:rFonts w:ascii="Times New Roman" w:hAnsi="Times New Roman"/>
                <w:bCs/>
                <w:sz w:val="24"/>
              </w:rPr>
            </w:pPr>
            <w:r w:rsidRPr="00D51A68">
              <w:rPr>
                <w:rFonts w:ascii="Times New Roman" w:hAnsi="Times New Roman"/>
                <w:sz w:val="24"/>
              </w:rPr>
              <w:t>010</w:t>
            </w:r>
          </w:p>
        </w:tc>
        <w:tc>
          <w:tcPr>
            <w:tcW w:w="7856" w:type="dxa"/>
          </w:tcPr>
          <w:p w:rsidR="00612780" w:rsidRPr="00D51A68" w:rsidRDefault="00612780" w:rsidP="00612780">
            <w:pPr>
              <w:autoSpaceDE w:val="0"/>
              <w:autoSpaceDN w:val="0"/>
              <w:adjustRightInd w:val="0"/>
              <w:spacing w:before="0" w:after="0"/>
              <w:rPr>
                <w:rFonts w:ascii="Times New Roman" w:hAnsi="Times New Roman"/>
                <w:b/>
                <w:bCs/>
                <w:sz w:val="24"/>
                <w:u w:val="single"/>
              </w:rPr>
            </w:pPr>
            <w:r w:rsidRPr="00D51A68">
              <w:rPr>
                <w:rFonts w:ascii="Times New Roman" w:hAnsi="Times New Roman"/>
                <w:b/>
                <w:sz w:val="24"/>
                <w:u w:val="single"/>
              </w:rPr>
              <w:t>IMPORTO COMPLESSIVO DELLE ESPOSIZIONI VERSO LA CARTOLARIZZAZIONE CREATE</w:t>
            </w:r>
          </w:p>
          <w:p w:rsidR="00612780" w:rsidRPr="00D51A68" w:rsidRDefault="00612780" w:rsidP="00612780">
            <w:pPr>
              <w:autoSpaceDE w:val="0"/>
              <w:autoSpaceDN w:val="0"/>
              <w:adjustRightInd w:val="0"/>
              <w:spacing w:before="0" w:after="0"/>
              <w:rPr>
                <w:rFonts w:ascii="Times New Roman" w:hAnsi="Times New Roman"/>
                <w:bCs/>
                <w:sz w:val="24"/>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L</w:t>
            </w:r>
            <w:r w:rsidR="0009277C" w:rsidRPr="00D51A68">
              <w:rPr>
                <w:rFonts w:ascii="Times New Roman" w:hAnsi="Times New Roman"/>
                <w:sz w:val="24"/>
              </w:rPr>
              <w:t>’</w:t>
            </w:r>
            <w:r w:rsidRPr="00D51A68">
              <w:rPr>
                <w:rFonts w:ascii="Times New Roman" w:hAnsi="Times New Roman"/>
                <w:sz w:val="24"/>
              </w:rPr>
              <w:t>ente cedente segnala l</w:t>
            </w:r>
            <w:r w:rsidR="0009277C" w:rsidRPr="00D51A68">
              <w:rPr>
                <w:rFonts w:ascii="Times New Roman" w:hAnsi="Times New Roman"/>
                <w:sz w:val="24"/>
              </w:rPr>
              <w:t>’</w:t>
            </w:r>
            <w:r w:rsidRPr="00D51A68">
              <w:rPr>
                <w:rFonts w:ascii="Times New Roman" w:hAnsi="Times New Roman"/>
                <w:sz w:val="24"/>
              </w:rPr>
              <w:t>importo in essere, alla data di riferimento per le segnalazioni, di tutte le esposizioni correnti verso la cartolarizzazione create nell</w:t>
            </w:r>
            <w:r w:rsidR="0009277C" w:rsidRPr="00D51A68">
              <w:rPr>
                <w:rFonts w:ascii="Times New Roman" w:hAnsi="Times New Roman"/>
                <w:sz w:val="24"/>
              </w:rPr>
              <w:t>’</w:t>
            </w:r>
            <w:r w:rsidRPr="00D51A68">
              <w:rPr>
                <w:rFonts w:ascii="Times New Roman" w:hAnsi="Times New Roman"/>
                <w:sz w:val="24"/>
              </w:rPr>
              <w:t>operazione di cartolarizzazione, a prescindere dal soggetto che detiene le posizioni. Sono pertanto segnalate le esposizioni verso la cartolarizzazione in bilancio (ad esempio obbligazioni, prestiti subordinati) nonché le esposizioni fuori bilancio e i derivati (ad esempio linee di credito subordinate, linee di liquidità, contratti swap su tassi d</w:t>
            </w:r>
            <w:r w:rsidR="0009277C" w:rsidRPr="00D51A68">
              <w:rPr>
                <w:rFonts w:ascii="Times New Roman" w:hAnsi="Times New Roman"/>
                <w:sz w:val="24"/>
              </w:rPr>
              <w:t>’</w:t>
            </w:r>
            <w:r w:rsidRPr="00D51A68">
              <w:rPr>
                <w:rFonts w:ascii="Times New Roman" w:hAnsi="Times New Roman"/>
                <w:sz w:val="24"/>
              </w:rPr>
              <w:t xml:space="preserve">interesse, credit default swap, eccetera) creati dalla cartolarizzazione. </w:t>
            </w:r>
          </w:p>
          <w:p w:rsidR="00612780" w:rsidRPr="00D51A68" w:rsidRDefault="00612780" w:rsidP="00612780">
            <w:pPr>
              <w:autoSpaceDE w:val="0"/>
              <w:autoSpaceDN w:val="0"/>
              <w:adjustRightInd w:val="0"/>
              <w:spacing w:before="0" w:after="0"/>
              <w:rPr>
                <w:rFonts w:ascii="Times New Roman" w:hAnsi="Times New Roman"/>
                <w:sz w:val="24"/>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 xml:space="preserve">Il cedente non segnala nei modelli CR SEC SA o CR SEC IRB le cartolarizzazioni tradizionali nelle quali non detiene alcuna posizione. Al </w:t>
            </w:r>
            <w:r w:rsidRPr="00D51A68">
              <w:rPr>
                <w:rFonts w:ascii="Times New Roman" w:hAnsi="Times New Roman"/>
                <w:sz w:val="24"/>
              </w:rPr>
              <w:lastRenderedPageBreak/>
              <w:t>riguardo, le posizioni verso la cartolarizzazione detenute dal cedente comprendono le clausole di rimborso anticipato nella cartolarizzazione delle esposizioni rotative definite nell</w:t>
            </w:r>
            <w:r w:rsidR="0009277C" w:rsidRPr="00D51A68">
              <w:rPr>
                <w:rFonts w:ascii="Times New Roman" w:hAnsi="Times New Roman"/>
                <w:sz w:val="24"/>
              </w:rPr>
              <w:t>’</w:t>
            </w:r>
            <w:r w:rsidRPr="00D51A68">
              <w:rPr>
                <w:rFonts w:ascii="Times New Roman" w:hAnsi="Times New Roman"/>
                <w:sz w:val="24"/>
              </w:rPr>
              <w:t>articolo 242, punto 12, del CRR.</w:t>
            </w:r>
          </w:p>
          <w:p w:rsidR="00612780" w:rsidRPr="00D51A68" w:rsidRDefault="00612780" w:rsidP="009E5DCC">
            <w:pPr>
              <w:autoSpaceDE w:val="0"/>
              <w:autoSpaceDN w:val="0"/>
              <w:adjustRightInd w:val="0"/>
              <w:spacing w:before="0" w:after="0"/>
              <w:rPr>
                <w:rFonts w:ascii="Times New Roman" w:hAnsi="Times New Roman"/>
                <w:bCs/>
                <w:sz w:val="24"/>
              </w:rPr>
            </w:pPr>
          </w:p>
        </w:tc>
      </w:tr>
      <w:tr w:rsidR="00612780" w:rsidRPr="00D51A68" w:rsidTr="00672D2A">
        <w:tc>
          <w:tcPr>
            <w:tcW w:w="1101" w:type="dxa"/>
          </w:tcPr>
          <w:p w:rsidR="00612780" w:rsidRPr="00D51A68" w:rsidRDefault="00612780" w:rsidP="00612780">
            <w:pPr>
              <w:autoSpaceDE w:val="0"/>
              <w:autoSpaceDN w:val="0"/>
              <w:adjustRightInd w:val="0"/>
              <w:spacing w:before="0" w:after="0"/>
              <w:rPr>
                <w:rFonts w:ascii="Times New Roman" w:hAnsi="Times New Roman"/>
                <w:bCs/>
                <w:sz w:val="24"/>
              </w:rPr>
            </w:pPr>
            <w:r w:rsidRPr="00D51A68">
              <w:rPr>
                <w:rFonts w:ascii="Times New Roman" w:hAnsi="Times New Roman"/>
                <w:sz w:val="24"/>
              </w:rPr>
              <w:lastRenderedPageBreak/>
              <w:t>020-040</w:t>
            </w:r>
          </w:p>
        </w:tc>
        <w:tc>
          <w:tcPr>
            <w:tcW w:w="7856" w:type="dxa"/>
          </w:tcPr>
          <w:p w:rsidR="00612780" w:rsidRPr="00D51A68" w:rsidRDefault="00612780" w:rsidP="00612780">
            <w:pPr>
              <w:spacing w:before="0" w:after="0"/>
              <w:jc w:val="left"/>
              <w:rPr>
                <w:rFonts w:ascii="Times New Roman" w:hAnsi="Times New Roman"/>
                <w:b/>
                <w:sz w:val="24"/>
                <w:u w:val="single"/>
              </w:rPr>
            </w:pPr>
            <w:r w:rsidRPr="00D51A68">
              <w:rPr>
                <w:rFonts w:ascii="Times New Roman" w:hAnsi="Times New Roman"/>
                <w:b/>
                <w:sz w:val="24"/>
                <w:u w:val="single"/>
              </w:rPr>
              <w:t>CARTOLARIZZAZIONI SINTETICHE: PROTEZIONE DEL CREDITO PER LE ESPOSIZIONI CARTOLARIZZATE</w:t>
            </w:r>
          </w:p>
          <w:p w:rsidR="00612780" w:rsidRPr="00D51A68" w:rsidRDefault="00612780" w:rsidP="00612780">
            <w:pPr>
              <w:spacing w:before="0" w:after="0"/>
              <w:jc w:val="left"/>
              <w:rPr>
                <w:rFonts w:ascii="Times New Roman" w:hAnsi="Times New Roman"/>
                <w:sz w:val="24"/>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Ai sensi degli articoli 249 e 250 del CRR, la protezione del credito delle esposizioni cartolarizzate è considerata come se non ci fossero disallineamenti di durata.</w:t>
            </w:r>
          </w:p>
          <w:p w:rsidR="00612780" w:rsidRPr="00D51A68" w:rsidRDefault="00612780" w:rsidP="00612780">
            <w:pPr>
              <w:autoSpaceDE w:val="0"/>
              <w:autoSpaceDN w:val="0"/>
              <w:adjustRightInd w:val="0"/>
              <w:spacing w:before="0" w:after="0"/>
              <w:rPr>
                <w:rFonts w:ascii="Times New Roman" w:hAnsi="Times New Roman"/>
                <w:bCs/>
                <w:sz w:val="24"/>
              </w:rPr>
            </w:pPr>
          </w:p>
        </w:tc>
      </w:tr>
      <w:tr w:rsidR="00612780" w:rsidRPr="00D51A68" w:rsidTr="00672D2A">
        <w:tc>
          <w:tcPr>
            <w:tcW w:w="1101" w:type="dxa"/>
          </w:tcPr>
          <w:p w:rsidR="00612780" w:rsidRPr="00D51A68" w:rsidRDefault="00612780" w:rsidP="00612780">
            <w:pPr>
              <w:autoSpaceDE w:val="0"/>
              <w:autoSpaceDN w:val="0"/>
              <w:adjustRightInd w:val="0"/>
              <w:spacing w:before="0" w:after="0"/>
              <w:rPr>
                <w:rFonts w:ascii="Times New Roman" w:hAnsi="Times New Roman"/>
                <w:bCs/>
                <w:sz w:val="24"/>
              </w:rPr>
            </w:pPr>
            <w:r w:rsidRPr="00D51A68">
              <w:rPr>
                <w:rFonts w:ascii="Times New Roman" w:hAnsi="Times New Roman"/>
                <w:sz w:val="24"/>
              </w:rPr>
              <w:t>020</w:t>
            </w:r>
          </w:p>
        </w:tc>
        <w:tc>
          <w:tcPr>
            <w:tcW w:w="7856" w:type="dxa"/>
          </w:tcPr>
          <w:p w:rsidR="00612780" w:rsidRPr="00D51A68" w:rsidRDefault="00612780" w:rsidP="00612780">
            <w:pPr>
              <w:spacing w:before="0" w:after="0"/>
              <w:jc w:val="left"/>
              <w:rPr>
                <w:rFonts w:ascii="Times New Roman" w:hAnsi="Times New Roman"/>
                <w:b/>
                <w:strike/>
                <w:sz w:val="24"/>
                <w:u w:val="single"/>
              </w:rPr>
            </w:pPr>
            <w:r w:rsidRPr="00D51A68">
              <w:rPr>
                <w:rFonts w:ascii="Times New Roman" w:hAnsi="Times New Roman"/>
                <w:b/>
                <w:sz w:val="24"/>
                <w:u w:val="single"/>
              </w:rPr>
              <w:t>(-) PROTEZIONE DEL CREDITO DI TIPO REALE (C</w:t>
            </w:r>
            <w:r w:rsidRPr="00D51A68">
              <w:rPr>
                <w:rFonts w:ascii="Times New Roman" w:hAnsi="Times New Roman"/>
                <w:b/>
                <w:sz w:val="24"/>
                <w:u w:val="single"/>
                <w:vertAlign w:val="subscript"/>
              </w:rPr>
              <w:t>VA</w:t>
            </w:r>
            <w:r w:rsidRPr="00D51A68">
              <w:rPr>
                <w:rFonts w:ascii="Times New Roman" w:hAnsi="Times New Roman"/>
                <w:b/>
                <w:sz w:val="24"/>
                <w:u w:val="single"/>
              </w:rPr>
              <w:t xml:space="preserve">) </w:t>
            </w:r>
          </w:p>
          <w:p w:rsidR="00612780" w:rsidRPr="00D51A68" w:rsidRDefault="00612780" w:rsidP="00612780">
            <w:pPr>
              <w:spacing w:before="0" w:after="0"/>
              <w:jc w:val="left"/>
              <w:rPr>
                <w:rFonts w:ascii="Times New Roman" w:hAnsi="Times New Roman"/>
                <w:sz w:val="24"/>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La procedura dettagliata per il calcolo del valore della garanzia corretto per la volatilità (C</w:t>
            </w:r>
            <w:r w:rsidRPr="00D51A68">
              <w:rPr>
                <w:rFonts w:ascii="Times New Roman" w:hAnsi="Times New Roman"/>
                <w:sz w:val="24"/>
                <w:vertAlign w:val="subscript"/>
              </w:rPr>
              <w:t>VA</w:t>
            </w:r>
            <w:r w:rsidRPr="00D51A68">
              <w:rPr>
                <w:rFonts w:ascii="Times New Roman" w:hAnsi="Times New Roman"/>
                <w:sz w:val="24"/>
              </w:rPr>
              <w:t>) da segnalare in questa colonna è esposta nell</w:t>
            </w:r>
            <w:r w:rsidR="0009277C" w:rsidRPr="00D51A68">
              <w:rPr>
                <w:rFonts w:ascii="Times New Roman" w:hAnsi="Times New Roman"/>
                <w:sz w:val="24"/>
              </w:rPr>
              <w:t>’</w:t>
            </w:r>
            <w:r w:rsidRPr="00D51A68">
              <w:rPr>
                <w:rFonts w:ascii="Times New Roman" w:hAnsi="Times New Roman"/>
                <w:sz w:val="24"/>
              </w:rPr>
              <w:t>articolo 223, paragrafo 2, del CRR.</w:t>
            </w:r>
          </w:p>
          <w:p w:rsidR="00612780" w:rsidRPr="00D51A68" w:rsidRDefault="00612780" w:rsidP="00612780">
            <w:pPr>
              <w:autoSpaceDE w:val="0"/>
              <w:autoSpaceDN w:val="0"/>
              <w:adjustRightInd w:val="0"/>
              <w:spacing w:before="0" w:after="0"/>
              <w:jc w:val="left"/>
              <w:rPr>
                <w:rFonts w:ascii="Times New Roman" w:hAnsi="Times New Roman"/>
                <w:bCs/>
                <w:sz w:val="24"/>
              </w:rPr>
            </w:pPr>
          </w:p>
        </w:tc>
      </w:tr>
      <w:tr w:rsidR="00612780" w:rsidRPr="00D51A68" w:rsidTr="00672D2A">
        <w:tc>
          <w:tcPr>
            <w:tcW w:w="1101" w:type="dxa"/>
          </w:tcPr>
          <w:p w:rsidR="00612780" w:rsidRPr="00D51A68" w:rsidRDefault="00612780" w:rsidP="00612780">
            <w:pPr>
              <w:autoSpaceDE w:val="0"/>
              <w:autoSpaceDN w:val="0"/>
              <w:adjustRightInd w:val="0"/>
              <w:spacing w:before="0" w:after="0"/>
              <w:rPr>
                <w:rFonts w:ascii="Times New Roman" w:hAnsi="Times New Roman"/>
                <w:bCs/>
                <w:sz w:val="24"/>
              </w:rPr>
            </w:pPr>
            <w:r w:rsidRPr="00D51A68">
              <w:rPr>
                <w:rFonts w:ascii="Times New Roman" w:hAnsi="Times New Roman"/>
                <w:sz w:val="24"/>
              </w:rPr>
              <w:t>030</w:t>
            </w:r>
          </w:p>
        </w:tc>
        <w:tc>
          <w:tcPr>
            <w:tcW w:w="7856" w:type="dxa"/>
          </w:tcPr>
          <w:p w:rsidR="00612780" w:rsidRPr="00D51A68" w:rsidRDefault="00612780" w:rsidP="00612780">
            <w:pPr>
              <w:spacing w:before="0" w:after="0"/>
              <w:jc w:val="left"/>
              <w:rPr>
                <w:rFonts w:ascii="Times New Roman" w:hAnsi="Times New Roman"/>
                <w:b/>
                <w:sz w:val="24"/>
                <w:u w:val="single"/>
              </w:rPr>
            </w:pPr>
            <w:r w:rsidRPr="00D51A68">
              <w:rPr>
                <w:rFonts w:ascii="Times New Roman" w:hAnsi="Times New Roman"/>
                <w:b/>
                <w:sz w:val="24"/>
                <w:u w:val="single"/>
              </w:rPr>
              <w:t xml:space="preserve">(-) DEFLUSSI TOTALI: VALORI CORRETTI DELLA PROTEZIONE DEL CREDITO DI TIPO PERSONALE (G*) </w:t>
            </w:r>
          </w:p>
          <w:p w:rsidR="00612780" w:rsidRPr="00D51A68" w:rsidRDefault="00612780" w:rsidP="00612780">
            <w:pPr>
              <w:spacing w:before="0" w:after="0"/>
              <w:jc w:val="left"/>
              <w:rPr>
                <w:rFonts w:ascii="Times New Roman" w:hAnsi="Times New Roman"/>
                <w:sz w:val="24"/>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 xml:space="preserve">Conformemente alla regola generale per gli </w:t>
            </w:r>
            <w:r w:rsidR="0009277C" w:rsidRPr="00D51A68">
              <w:rPr>
                <w:rFonts w:ascii="Times New Roman" w:hAnsi="Times New Roman"/>
                <w:sz w:val="24"/>
              </w:rPr>
              <w:t>“</w:t>
            </w:r>
            <w:r w:rsidRPr="00D51A68">
              <w:rPr>
                <w:rFonts w:ascii="Times New Roman" w:hAnsi="Times New Roman"/>
                <w:sz w:val="24"/>
              </w:rPr>
              <w:t>afflussi</w:t>
            </w:r>
            <w:r w:rsidR="0009277C" w:rsidRPr="00D51A68">
              <w:rPr>
                <w:rFonts w:ascii="Times New Roman" w:hAnsi="Times New Roman"/>
                <w:sz w:val="24"/>
              </w:rPr>
              <w:t>”</w:t>
            </w:r>
            <w:r w:rsidRPr="00D51A68">
              <w:rPr>
                <w:rFonts w:ascii="Times New Roman" w:hAnsi="Times New Roman"/>
                <w:sz w:val="24"/>
              </w:rPr>
              <w:t xml:space="preserve"> e i </w:t>
            </w:r>
            <w:r w:rsidR="0009277C" w:rsidRPr="00D51A68">
              <w:rPr>
                <w:rFonts w:ascii="Times New Roman" w:hAnsi="Times New Roman"/>
                <w:sz w:val="24"/>
              </w:rPr>
              <w:t>“</w:t>
            </w:r>
            <w:r w:rsidRPr="00D51A68">
              <w:rPr>
                <w:rFonts w:ascii="Times New Roman" w:hAnsi="Times New Roman"/>
                <w:sz w:val="24"/>
              </w:rPr>
              <w:t>deflussi</w:t>
            </w:r>
            <w:r w:rsidR="0009277C" w:rsidRPr="00D51A68">
              <w:rPr>
                <w:rFonts w:ascii="Times New Roman" w:hAnsi="Times New Roman"/>
                <w:sz w:val="24"/>
              </w:rPr>
              <w:t>”</w:t>
            </w:r>
            <w:r w:rsidRPr="00D51A68">
              <w:rPr>
                <w:rFonts w:ascii="Times New Roman" w:hAnsi="Times New Roman"/>
                <w:sz w:val="24"/>
              </w:rPr>
              <w:t xml:space="preserve">, gli importi segnalati in questa colonna figurano come </w:t>
            </w:r>
            <w:r w:rsidR="0009277C" w:rsidRPr="00D51A68">
              <w:rPr>
                <w:rFonts w:ascii="Times New Roman" w:hAnsi="Times New Roman"/>
                <w:sz w:val="24"/>
              </w:rPr>
              <w:t>“</w:t>
            </w:r>
            <w:r w:rsidRPr="00D51A68">
              <w:rPr>
                <w:rFonts w:ascii="Times New Roman" w:hAnsi="Times New Roman"/>
                <w:sz w:val="24"/>
              </w:rPr>
              <w:t>afflussi</w:t>
            </w:r>
            <w:r w:rsidR="0009277C" w:rsidRPr="00D51A68">
              <w:rPr>
                <w:rFonts w:ascii="Times New Roman" w:hAnsi="Times New Roman"/>
                <w:sz w:val="24"/>
              </w:rPr>
              <w:t>”</w:t>
            </w:r>
            <w:r w:rsidRPr="00D51A68">
              <w:rPr>
                <w:rFonts w:ascii="Times New Roman" w:hAnsi="Times New Roman"/>
                <w:sz w:val="24"/>
              </w:rPr>
              <w:t xml:space="preserve"> nel corrispondente modello relativo al rischio di credito (CR SA o CR IRB) e nella classe di esposizioni rilevante per il fornitore della protezione (il terzo al quale il segmento è trasferito mediante protezione del credito di tipo personale).</w:t>
            </w:r>
          </w:p>
          <w:p w:rsidR="00612780" w:rsidRPr="00D51A68" w:rsidRDefault="00612780" w:rsidP="00612780">
            <w:pPr>
              <w:autoSpaceDE w:val="0"/>
              <w:autoSpaceDN w:val="0"/>
              <w:adjustRightInd w:val="0"/>
              <w:spacing w:before="0" w:after="0"/>
              <w:rPr>
                <w:rFonts w:ascii="Times New Roman" w:hAnsi="Times New Roman"/>
                <w:sz w:val="24"/>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La procedura di calcolo dell</w:t>
            </w:r>
            <w:r w:rsidR="0009277C" w:rsidRPr="00D51A68">
              <w:rPr>
                <w:rFonts w:ascii="Times New Roman" w:hAnsi="Times New Roman"/>
                <w:sz w:val="24"/>
              </w:rPr>
              <w:t>’</w:t>
            </w:r>
            <w:r w:rsidRPr="00D51A68">
              <w:rPr>
                <w:rFonts w:ascii="Times New Roman" w:hAnsi="Times New Roman"/>
                <w:sz w:val="24"/>
              </w:rPr>
              <w:t xml:space="preserve">importo nominale corretto per il </w:t>
            </w:r>
            <w:r w:rsidR="0009277C" w:rsidRPr="00D51A68">
              <w:rPr>
                <w:rFonts w:ascii="Times New Roman" w:hAnsi="Times New Roman"/>
                <w:sz w:val="24"/>
              </w:rPr>
              <w:t>“</w:t>
            </w:r>
            <w:r w:rsidRPr="00D51A68">
              <w:rPr>
                <w:rFonts w:ascii="Times New Roman" w:hAnsi="Times New Roman"/>
                <w:sz w:val="24"/>
              </w:rPr>
              <w:t>rischio di cambio</w:t>
            </w:r>
            <w:r w:rsidR="0009277C" w:rsidRPr="00D51A68">
              <w:rPr>
                <w:rFonts w:ascii="Times New Roman" w:hAnsi="Times New Roman"/>
                <w:sz w:val="24"/>
              </w:rPr>
              <w:t>”</w:t>
            </w:r>
            <w:r w:rsidRPr="00D51A68">
              <w:rPr>
                <w:rFonts w:ascii="Times New Roman" w:hAnsi="Times New Roman"/>
                <w:sz w:val="24"/>
              </w:rPr>
              <w:t xml:space="preserve"> della protezione del credito (G*) è indicata nell</w:t>
            </w:r>
            <w:r w:rsidR="0009277C" w:rsidRPr="00D51A68">
              <w:rPr>
                <w:rFonts w:ascii="Times New Roman" w:hAnsi="Times New Roman"/>
                <w:sz w:val="24"/>
              </w:rPr>
              <w:t>’</w:t>
            </w:r>
            <w:r w:rsidRPr="00D51A68">
              <w:rPr>
                <w:rFonts w:ascii="Times New Roman" w:hAnsi="Times New Roman"/>
                <w:sz w:val="24"/>
              </w:rPr>
              <w:t>articolo 233, paragrafo 3, del CRR.</w:t>
            </w:r>
          </w:p>
          <w:p w:rsidR="00612780" w:rsidRPr="00D51A68" w:rsidRDefault="00612780" w:rsidP="00612780">
            <w:pPr>
              <w:autoSpaceDE w:val="0"/>
              <w:autoSpaceDN w:val="0"/>
              <w:adjustRightInd w:val="0"/>
              <w:spacing w:before="0" w:after="0"/>
              <w:jc w:val="left"/>
              <w:rPr>
                <w:rFonts w:ascii="Times New Roman" w:hAnsi="Times New Roman"/>
                <w:bCs/>
                <w:sz w:val="24"/>
              </w:rPr>
            </w:pPr>
          </w:p>
        </w:tc>
      </w:tr>
      <w:tr w:rsidR="00612780" w:rsidRPr="00D51A68" w:rsidTr="00672D2A">
        <w:tc>
          <w:tcPr>
            <w:tcW w:w="1101" w:type="dxa"/>
          </w:tcPr>
          <w:p w:rsidR="00612780" w:rsidRPr="00D51A68" w:rsidRDefault="00612780" w:rsidP="00612780">
            <w:pPr>
              <w:autoSpaceDE w:val="0"/>
              <w:autoSpaceDN w:val="0"/>
              <w:adjustRightInd w:val="0"/>
              <w:spacing w:before="0" w:after="0"/>
              <w:rPr>
                <w:rFonts w:ascii="Times New Roman" w:hAnsi="Times New Roman"/>
                <w:bCs/>
                <w:sz w:val="24"/>
              </w:rPr>
            </w:pPr>
            <w:r w:rsidRPr="00D51A68">
              <w:rPr>
                <w:rFonts w:ascii="Times New Roman" w:hAnsi="Times New Roman"/>
                <w:sz w:val="24"/>
              </w:rPr>
              <w:t>040</w:t>
            </w:r>
          </w:p>
        </w:tc>
        <w:tc>
          <w:tcPr>
            <w:tcW w:w="7856" w:type="dxa"/>
          </w:tcPr>
          <w:p w:rsidR="00612780" w:rsidRPr="00D51A68" w:rsidRDefault="00612780" w:rsidP="00612780">
            <w:pPr>
              <w:spacing w:before="0" w:after="0"/>
              <w:jc w:val="left"/>
              <w:rPr>
                <w:rFonts w:ascii="Times New Roman" w:hAnsi="Times New Roman"/>
                <w:b/>
                <w:sz w:val="24"/>
                <w:u w:val="single"/>
              </w:rPr>
            </w:pPr>
            <w:r w:rsidRPr="00D51A68">
              <w:rPr>
                <w:rFonts w:ascii="Times New Roman" w:hAnsi="Times New Roman"/>
                <w:b/>
                <w:sz w:val="24"/>
                <w:u w:val="single"/>
              </w:rPr>
              <w:t>IMPORTO NOZIONALE MANTENUTO O RIACQUISTATO DELLA PROTEZIONE DEL CREDITO</w:t>
            </w:r>
          </w:p>
          <w:p w:rsidR="00612780" w:rsidRPr="00D51A68" w:rsidRDefault="00612780" w:rsidP="00612780">
            <w:pPr>
              <w:spacing w:before="0" w:after="0"/>
              <w:jc w:val="left"/>
              <w:rPr>
                <w:rFonts w:ascii="Times New Roman" w:hAnsi="Times New Roman"/>
                <w:sz w:val="24"/>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Tutti i segmenti mantenuti o riacquistati, ad esempio le posizioni che coprono le prime perdite non traslate, sono segnalati al rispettivo valore nominale.</w:t>
            </w:r>
          </w:p>
          <w:p w:rsidR="00612780" w:rsidRPr="00D51A68" w:rsidRDefault="00612780" w:rsidP="00612780">
            <w:pPr>
              <w:autoSpaceDE w:val="0"/>
              <w:autoSpaceDN w:val="0"/>
              <w:adjustRightInd w:val="0"/>
              <w:spacing w:before="0" w:after="0"/>
              <w:rPr>
                <w:rFonts w:ascii="Times New Roman" w:hAnsi="Times New Roman"/>
                <w:sz w:val="24"/>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Nel calcolo dell</w:t>
            </w:r>
            <w:r w:rsidR="0009277C" w:rsidRPr="00D51A68">
              <w:rPr>
                <w:rFonts w:ascii="Times New Roman" w:hAnsi="Times New Roman"/>
                <w:sz w:val="24"/>
              </w:rPr>
              <w:t>’</w:t>
            </w:r>
            <w:r w:rsidRPr="00D51A68">
              <w:rPr>
                <w:rFonts w:ascii="Times New Roman" w:hAnsi="Times New Roman"/>
                <w:sz w:val="24"/>
              </w:rPr>
              <w:t>importo mantenuto o riacquistato della protezione del credito non si tiene conto dell</w:t>
            </w:r>
            <w:r w:rsidR="0009277C" w:rsidRPr="00D51A68">
              <w:rPr>
                <w:rFonts w:ascii="Times New Roman" w:hAnsi="Times New Roman"/>
                <w:sz w:val="24"/>
              </w:rPr>
              <w:t>’</w:t>
            </w:r>
            <w:r w:rsidRPr="00D51A68">
              <w:rPr>
                <w:rFonts w:ascii="Times New Roman" w:hAnsi="Times New Roman"/>
                <w:sz w:val="24"/>
              </w:rPr>
              <w:t>effetto dei coefficienti di scarto (haircut) di vigilanza sulla protezione del credito.</w:t>
            </w:r>
          </w:p>
          <w:p w:rsidR="00612780" w:rsidRPr="00D51A68" w:rsidRDefault="00612780" w:rsidP="00612780">
            <w:pPr>
              <w:autoSpaceDE w:val="0"/>
              <w:autoSpaceDN w:val="0"/>
              <w:adjustRightInd w:val="0"/>
              <w:spacing w:before="0" w:after="0"/>
              <w:rPr>
                <w:rFonts w:ascii="Times New Roman" w:hAnsi="Times New Roman"/>
                <w:sz w:val="24"/>
              </w:rPr>
            </w:pPr>
          </w:p>
          <w:p w:rsidR="00612780" w:rsidRPr="00D51A68" w:rsidRDefault="00612780" w:rsidP="00612780">
            <w:pPr>
              <w:autoSpaceDE w:val="0"/>
              <w:autoSpaceDN w:val="0"/>
              <w:adjustRightInd w:val="0"/>
              <w:spacing w:before="0" w:after="0"/>
              <w:rPr>
                <w:rFonts w:ascii="Times New Roman" w:hAnsi="Times New Roman"/>
                <w:bCs/>
                <w:sz w:val="24"/>
              </w:rPr>
            </w:pPr>
          </w:p>
        </w:tc>
      </w:tr>
      <w:tr w:rsidR="00612780" w:rsidRPr="00D51A68" w:rsidTr="00672D2A">
        <w:tc>
          <w:tcPr>
            <w:tcW w:w="1101" w:type="dxa"/>
          </w:tcPr>
          <w:p w:rsidR="00612780" w:rsidRPr="00D51A68" w:rsidRDefault="00612780" w:rsidP="00612780">
            <w:pPr>
              <w:autoSpaceDE w:val="0"/>
              <w:autoSpaceDN w:val="0"/>
              <w:adjustRightInd w:val="0"/>
              <w:spacing w:before="0" w:after="0"/>
              <w:rPr>
                <w:rFonts w:ascii="Times New Roman" w:hAnsi="Times New Roman"/>
                <w:bCs/>
                <w:sz w:val="24"/>
              </w:rPr>
            </w:pPr>
            <w:r w:rsidRPr="00D51A68">
              <w:rPr>
                <w:rFonts w:ascii="Times New Roman" w:hAnsi="Times New Roman"/>
                <w:sz w:val="24"/>
              </w:rPr>
              <w:t>050</w:t>
            </w:r>
          </w:p>
        </w:tc>
        <w:tc>
          <w:tcPr>
            <w:tcW w:w="7856" w:type="dxa"/>
          </w:tcPr>
          <w:p w:rsidR="00612780" w:rsidRPr="00D51A68" w:rsidRDefault="00612780" w:rsidP="00612780">
            <w:pPr>
              <w:spacing w:before="0" w:after="0"/>
              <w:jc w:val="left"/>
              <w:rPr>
                <w:rFonts w:ascii="Times New Roman" w:hAnsi="Times New Roman"/>
                <w:b/>
                <w:sz w:val="24"/>
                <w:u w:val="single"/>
              </w:rPr>
            </w:pPr>
            <w:r w:rsidRPr="00D51A68">
              <w:rPr>
                <w:rFonts w:ascii="Times New Roman" w:hAnsi="Times New Roman"/>
                <w:b/>
                <w:sz w:val="24"/>
                <w:u w:val="single"/>
              </w:rPr>
              <w:t>POSIZIONI VERSO LA CARTOLARIZZAZIONE: ESPOSIZIONE ORIGINARIA PRIMA DELL</w:t>
            </w:r>
            <w:r w:rsidR="0009277C" w:rsidRPr="00D51A68">
              <w:rPr>
                <w:rFonts w:ascii="Times New Roman" w:hAnsi="Times New Roman"/>
                <w:b/>
                <w:sz w:val="24"/>
                <w:u w:val="single"/>
              </w:rPr>
              <w:t>’</w:t>
            </w:r>
            <w:r w:rsidRPr="00D51A68">
              <w:rPr>
                <w:rFonts w:ascii="Times New Roman" w:hAnsi="Times New Roman"/>
                <w:b/>
                <w:sz w:val="24"/>
                <w:u w:val="single"/>
              </w:rPr>
              <w:t>APPLICAZIONE DEI FATTORI DI CONVERSIONE</w:t>
            </w:r>
          </w:p>
          <w:p w:rsidR="00612780" w:rsidRPr="00D51A68" w:rsidRDefault="00612780" w:rsidP="00612780">
            <w:pPr>
              <w:spacing w:before="0" w:after="0"/>
              <w:jc w:val="left"/>
              <w:rPr>
                <w:rFonts w:ascii="Times New Roman" w:hAnsi="Times New Roman"/>
                <w:sz w:val="24"/>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Posizioni verso la cartolarizzazione detenute dall</w:t>
            </w:r>
            <w:r w:rsidR="0009277C" w:rsidRPr="00D51A68">
              <w:rPr>
                <w:rFonts w:ascii="Times New Roman" w:hAnsi="Times New Roman"/>
                <w:sz w:val="24"/>
              </w:rPr>
              <w:t>’</w:t>
            </w:r>
            <w:r w:rsidRPr="00D51A68">
              <w:rPr>
                <w:rFonts w:ascii="Times New Roman" w:hAnsi="Times New Roman"/>
                <w:sz w:val="24"/>
              </w:rPr>
              <w:t>ente segnalante, calcolate conformemente all</w:t>
            </w:r>
            <w:r w:rsidR="0009277C" w:rsidRPr="00D51A68">
              <w:rPr>
                <w:rFonts w:ascii="Times New Roman" w:hAnsi="Times New Roman"/>
                <w:sz w:val="24"/>
              </w:rPr>
              <w:t>’</w:t>
            </w:r>
            <w:r w:rsidRPr="00D51A68">
              <w:rPr>
                <w:rFonts w:ascii="Times New Roman" w:hAnsi="Times New Roman"/>
                <w:sz w:val="24"/>
              </w:rPr>
              <w:t>articolo 246, paragrafo 1, lettere a), c) ed e), e paragrafo 2, del CRR senza l</w:t>
            </w:r>
            <w:r w:rsidR="0009277C" w:rsidRPr="00D51A68">
              <w:rPr>
                <w:rFonts w:ascii="Times New Roman" w:hAnsi="Times New Roman"/>
                <w:sz w:val="24"/>
              </w:rPr>
              <w:t>’</w:t>
            </w:r>
            <w:r w:rsidRPr="00D51A68">
              <w:rPr>
                <w:rFonts w:ascii="Times New Roman" w:hAnsi="Times New Roman"/>
                <w:sz w:val="24"/>
              </w:rPr>
              <w:t xml:space="preserve">applicazione dei fattori di conversione del credito e al lordo di qualsiasi rettifica di valore su crediti e di accantonamenti. La compensazione è rilevante unicamente per i contratti multipli di derivati forniti alla stessa società </w:t>
            </w:r>
            <w:r w:rsidRPr="00D51A68">
              <w:rPr>
                <w:rFonts w:ascii="Times New Roman" w:hAnsi="Times New Roman"/>
                <w:sz w:val="24"/>
              </w:rPr>
              <w:lastRenderedPageBreak/>
              <w:t>veicolo per la cartolarizzazione (SSPE) coperti da accordi di compensazione ammissibili.</w:t>
            </w:r>
          </w:p>
          <w:p w:rsidR="00612780" w:rsidRPr="00D51A68" w:rsidRDefault="00612780" w:rsidP="00612780">
            <w:pPr>
              <w:autoSpaceDE w:val="0"/>
              <w:autoSpaceDN w:val="0"/>
              <w:adjustRightInd w:val="0"/>
              <w:spacing w:before="0" w:after="0"/>
              <w:rPr>
                <w:rFonts w:ascii="Times New Roman" w:hAnsi="Times New Roman"/>
                <w:sz w:val="24"/>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Le rettifiche di valore e gli accantonamenti da segnalare in questa colonna si riferiscono soltanto alle posizioni verso la cartolarizzazione; non sono considerate le rettifiche di valore delle posizioni cartolarizzate.</w:t>
            </w:r>
          </w:p>
          <w:p w:rsidR="00612780" w:rsidRPr="00D51A68" w:rsidRDefault="00612780" w:rsidP="00612780">
            <w:pPr>
              <w:autoSpaceDE w:val="0"/>
              <w:autoSpaceDN w:val="0"/>
              <w:adjustRightInd w:val="0"/>
              <w:spacing w:before="0" w:after="0"/>
              <w:rPr>
                <w:rFonts w:ascii="Times New Roman" w:hAnsi="Times New Roman"/>
                <w:sz w:val="24"/>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Ove siano previste clausole di rimborso anticipato, l</w:t>
            </w:r>
            <w:r w:rsidR="0009277C" w:rsidRPr="00D51A68">
              <w:rPr>
                <w:rFonts w:ascii="Times New Roman" w:hAnsi="Times New Roman"/>
                <w:sz w:val="24"/>
              </w:rPr>
              <w:t>’</w:t>
            </w:r>
            <w:r w:rsidRPr="00D51A68">
              <w:rPr>
                <w:rFonts w:ascii="Times New Roman" w:hAnsi="Times New Roman"/>
                <w:sz w:val="24"/>
              </w:rPr>
              <w:t>ente deve specificare l</w:t>
            </w:r>
            <w:r w:rsidR="0009277C" w:rsidRPr="00D51A68">
              <w:rPr>
                <w:rFonts w:ascii="Times New Roman" w:hAnsi="Times New Roman"/>
                <w:sz w:val="24"/>
              </w:rPr>
              <w:t>’</w:t>
            </w:r>
            <w:r w:rsidRPr="00D51A68">
              <w:rPr>
                <w:rFonts w:ascii="Times New Roman" w:hAnsi="Times New Roman"/>
                <w:sz w:val="24"/>
              </w:rPr>
              <w:t xml:space="preserve">importo delle </w:t>
            </w:r>
            <w:r w:rsidR="0009277C" w:rsidRPr="00D51A68">
              <w:rPr>
                <w:rFonts w:ascii="Times New Roman" w:hAnsi="Times New Roman"/>
                <w:sz w:val="24"/>
              </w:rPr>
              <w:t>“</w:t>
            </w:r>
            <w:r w:rsidRPr="00D51A68">
              <w:rPr>
                <w:rFonts w:ascii="Times New Roman" w:hAnsi="Times New Roman"/>
                <w:sz w:val="24"/>
              </w:rPr>
              <w:t>ragioni di credito dell</w:t>
            </w:r>
            <w:r w:rsidR="0009277C" w:rsidRPr="00D51A68">
              <w:rPr>
                <w:rFonts w:ascii="Times New Roman" w:hAnsi="Times New Roman"/>
                <w:sz w:val="24"/>
              </w:rPr>
              <w:t>’</w:t>
            </w:r>
            <w:r w:rsidRPr="00D51A68">
              <w:rPr>
                <w:rFonts w:ascii="Times New Roman" w:hAnsi="Times New Roman"/>
                <w:sz w:val="24"/>
              </w:rPr>
              <w:t>investitore</w:t>
            </w:r>
            <w:r w:rsidR="0009277C" w:rsidRPr="00D51A68">
              <w:rPr>
                <w:rFonts w:ascii="Times New Roman" w:hAnsi="Times New Roman"/>
                <w:sz w:val="24"/>
              </w:rPr>
              <w:t>”</w:t>
            </w:r>
            <w:r w:rsidRPr="00D51A68">
              <w:rPr>
                <w:rFonts w:ascii="Times New Roman" w:hAnsi="Times New Roman"/>
                <w:sz w:val="24"/>
              </w:rPr>
              <w:t xml:space="preserve"> secondo la definizione dell</w:t>
            </w:r>
            <w:r w:rsidR="0009277C" w:rsidRPr="00D51A68">
              <w:rPr>
                <w:rFonts w:ascii="Times New Roman" w:hAnsi="Times New Roman"/>
                <w:sz w:val="24"/>
              </w:rPr>
              <w:t>’</w:t>
            </w:r>
            <w:r w:rsidRPr="00D51A68">
              <w:rPr>
                <w:rFonts w:ascii="Times New Roman" w:hAnsi="Times New Roman"/>
                <w:sz w:val="24"/>
              </w:rPr>
              <w:t xml:space="preserve">articolo 256, paragrafo 2, del CRR. </w:t>
            </w:r>
          </w:p>
          <w:p w:rsidR="00612780" w:rsidRPr="00D51A68" w:rsidRDefault="00612780" w:rsidP="00612780">
            <w:pPr>
              <w:autoSpaceDE w:val="0"/>
              <w:autoSpaceDN w:val="0"/>
              <w:adjustRightInd w:val="0"/>
              <w:spacing w:before="0" w:after="0"/>
              <w:jc w:val="left"/>
              <w:rPr>
                <w:rFonts w:ascii="Times New Roman" w:hAnsi="Times New Roman"/>
                <w:sz w:val="24"/>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Nelle cartolarizzazioni sintetiche le posizioni detenute dal cedente sotto forma di elementi in bilancio e/o ragioni di credito dell</w:t>
            </w:r>
            <w:r w:rsidR="0009277C" w:rsidRPr="00D51A68">
              <w:rPr>
                <w:rFonts w:ascii="Times New Roman" w:hAnsi="Times New Roman"/>
                <w:sz w:val="24"/>
              </w:rPr>
              <w:t>’</w:t>
            </w:r>
            <w:r w:rsidRPr="00D51A68">
              <w:rPr>
                <w:rFonts w:ascii="Times New Roman" w:hAnsi="Times New Roman"/>
                <w:sz w:val="24"/>
              </w:rPr>
              <w:t>investitore (rimborso anticipato) derivano dall</w:t>
            </w:r>
            <w:r w:rsidR="0009277C" w:rsidRPr="00D51A68">
              <w:rPr>
                <w:rFonts w:ascii="Times New Roman" w:hAnsi="Times New Roman"/>
                <w:sz w:val="24"/>
              </w:rPr>
              <w:t>’</w:t>
            </w:r>
            <w:r w:rsidRPr="00D51A68">
              <w:rPr>
                <w:rFonts w:ascii="Times New Roman" w:hAnsi="Times New Roman"/>
                <w:sz w:val="24"/>
              </w:rPr>
              <w:t>aggregazione delle colonne da 010 a 040.</w:t>
            </w:r>
          </w:p>
          <w:p w:rsidR="00612780" w:rsidRPr="00D51A68" w:rsidRDefault="00612780" w:rsidP="00612780">
            <w:pPr>
              <w:autoSpaceDE w:val="0"/>
              <w:autoSpaceDN w:val="0"/>
              <w:adjustRightInd w:val="0"/>
              <w:spacing w:before="0" w:after="0"/>
              <w:rPr>
                <w:rFonts w:ascii="Times New Roman" w:hAnsi="Times New Roman"/>
                <w:bCs/>
                <w:sz w:val="24"/>
              </w:rPr>
            </w:pPr>
          </w:p>
        </w:tc>
      </w:tr>
      <w:tr w:rsidR="00612780" w:rsidRPr="00D51A68" w:rsidTr="00672D2A">
        <w:tc>
          <w:tcPr>
            <w:tcW w:w="1101" w:type="dxa"/>
          </w:tcPr>
          <w:p w:rsidR="00612780" w:rsidRPr="00D51A68" w:rsidRDefault="00612780" w:rsidP="00612780">
            <w:pPr>
              <w:autoSpaceDE w:val="0"/>
              <w:autoSpaceDN w:val="0"/>
              <w:adjustRightInd w:val="0"/>
              <w:spacing w:before="0" w:after="0"/>
              <w:rPr>
                <w:rFonts w:ascii="Times New Roman" w:hAnsi="Times New Roman"/>
                <w:bCs/>
                <w:sz w:val="24"/>
              </w:rPr>
            </w:pPr>
            <w:r w:rsidRPr="00D51A68">
              <w:rPr>
                <w:rFonts w:ascii="Times New Roman" w:hAnsi="Times New Roman"/>
                <w:sz w:val="24"/>
              </w:rPr>
              <w:lastRenderedPageBreak/>
              <w:t>060</w:t>
            </w:r>
          </w:p>
        </w:tc>
        <w:tc>
          <w:tcPr>
            <w:tcW w:w="7856" w:type="dxa"/>
          </w:tcPr>
          <w:p w:rsidR="00612780" w:rsidRPr="00D51A68" w:rsidRDefault="00612780" w:rsidP="00612780">
            <w:pPr>
              <w:spacing w:before="0" w:after="0"/>
              <w:jc w:val="left"/>
              <w:rPr>
                <w:rFonts w:ascii="Times New Roman" w:hAnsi="Times New Roman"/>
                <w:b/>
                <w:sz w:val="24"/>
                <w:u w:val="single"/>
              </w:rPr>
            </w:pPr>
            <w:r w:rsidRPr="00D51A68">
              <w:rPr>
                <w:rFonts w:ascii="Times New Roman" w:hAnsi="Times New Roman"/>
                <w:b/>
                <w:sz w:val="24"/>
                <w:u w:val="single"/>
              </w:rPr>
              <w:t xml:space="preserve">(-) RETTIFICHE DI VALORE E ACCANTONAMENTI </w:t>
            </w:r>
          </w:p>
          <w:p w:rsidR="00612780" w:rsidRPr="00D51A68" w:rsidRDefault="00612780" w:rsidP="00612780">
            <w:pPr>
              <w:pStyle w:val="ListParagraph"/>
              <w:spacing w:before="0" w:after="0"/>
              <w:ind w:left="284" w:hanging="284"/>
              <w:rPr>
                <w:rFonts w:ascii="Times New Roman" w:hAnsi="Times New Roman"/>
                <w:sz w:val="24"/>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Rettifiche di valore e accantonamenti (articolo 159 del CRR) relativi a perdite su crediti conformemente alla disciplina contabile applicabile all</w:t>
            </w:r>
            <w:r w:rsidR="0009277C" w:rsidRPr="00D51A68">
              <w:rPr>
                <w:rFonts w:ascii="Times New Roman" w:hAnsi="Times New Roman"/>
                <w:sz w:val="24"/>
              </w:rPr>
              <w:t>’</w:t>
            </w:r>
            <w:r w:rsidRPr="00D51A68">
              <w:rPr>
                <w:rFonts w:ascii="Times New Roman" w:hAnsi="Times New Roman"/>
                <w:sz w:val="24"/>
              </w:rPr>
              <w:t>ente segnalante. Le rettifiche di valore comprendono qualsiasi importo rilevato nel conto economico a titolo di perdite su crediti di attività finanziarie dalla loro rilevazione iniziale in bilancio (comprese le perdite dovute al rischio di credito di attività finanziarie misurate al valore equo che non sono dedotte dal valore dell</w:t>
            </w:r>
            <w:r w:rsidR="0009277C" w:rsidRPr="00D51A68">
              <w:rPr>
                <w:rFonts w:ascii="Times New Roman" w:hAnsi="Times New Roman"/>
                <w:sz w:val="24"/>
              </w:rPr>
              <w:t>’</w:t>
            </w:r>
            <w:r w:rsidRPr="00D51A68">
              <w:rPr>
                <w:rFonts w:ascii="Times New Roman" w:hAnsi="Times New Roman"/>
                <w:sz w:val="24"/>
              </w:rPr>
              <w:t>esposizione), più gli sconti sulle esposizioni acquistate in stato di default ai sensi dell</w:t>
            </w:r>
            <w:r w:rsidR="0009277C" w:rsidRPr="00D51A68">
              <w:rPr>
                <w:rFonts w:ascii="Times New Roman" w:hAnsi="Times New Roman"/>
                <w:sz w:val="24"/>
              </w:rPr>
              <w:t>’</w:t>
            </w:r>
            <w:r w:rsidRPr="00D51A68">
              <w:rPr>
                <w:rFonts w:ascii="Times New Roman" w:hAnsi="Times New Roman"/>
                <w:sz w:val="24"/>
              </w:rPr>
              <w:t>articolo 166, paragrafo 1, del CRR. Gli accantonamenti comprendono gli importi accumulati delle perdite su crediti negli elementi fuori bilancio.</w:t>
            </w:r>
          </w:p>
          <w:p w:rsidR="00612780" w:rsidRPr="00D51A68" w:rsidRDefault="00612780" w:rsidP="00612780">
            <w:pPr>
              <w:pStyle w:val="ListParagraph"/>
              <w:spacing w:before="0" w:after="0"/>
              <w:ind w:left="0"/>
              <w:rPr>
                <w:rFonts w:ascii="Times New Roman" w:hAnsi="Times New Roman"/>
                <w:bCs/>
                <w:sz w:val="24"/>
              </w:rPr>
            </w:pPr>
          </w:p>
        </w:tc>
      </w:tr>
      <w:tr w:rsidR="00612780" w:rsidRPr="00D51A68" w:rsidTr="00672D2A">
        <w:tc>
          <w:tcPr>
            <w:tcW w:w="1101" w:type="dxa"/>
          </w:tcPr>
          <w:p w:rsidR="00612780" w:rsidRPr="00D51A68" w:rsidRDefault="00612780" w:rsidP="00612780">
            <w:pPr>
              <w:autoSpaceDE w:val="0"/>
              <w:autoSpaceDN w:val="0"/>
              <w:adjustRightInd w:val="0"/>
              <w:spacing w:before="0" w:after="0"/>
              <w:rPr>
                <w:rFonts w:ascii="Times New Roman" w:hAnsi="Times New Roman"/>
                <w:bCs/>
                <w:sz w:val="24"/>
              </w:rPr>
            </w:pPr>
            <w:r w:rsidRPr="00D51A68">
              <w:rPr>
                <w:rFonts w:ascii="Times New Roman" w:hAnsi="Times New Roman"/>
                <w:sz w:val="24"/>
              </w:rPr>
              <w:t>070</w:t>
            </w:r>
          </w:p>
        </w:tc>
        <w:tc>
          <w:tcPr>
            <w:tcW w:w="7856" w:type="dxa"/>
          </w:tcPr>
          <w:p w:rsidR="00612780" w:rsidRPr="00D51A68" w:rsidRDefault="00612780" w:rsidP="00612780">
            <w:pPr>
              <w:spacing w:before="0" w:after="0"/>
              <w:jc w:val="left"/>
              <w:rPr>
                <w:rFonts w:ascii="Times New Roman" w:hAnsi="Times New Roman"/>
                <w:b/>
                <w:sz w:val="24"/>
                <w:u w:val="single"/>
              </w:rPr>
            </w:pPr>
            <w:r w:rsidRPr="00D51A68">
              <w:rPr>
                <w:rFonts w:ascii="Times New Roman" w:hAnsi="Times New Roman"/>
                <w:b/>
                <w:sz w:val="24"/>
                <w:u w:val="single"/>
              </w:rPr>
              <w:t>ESPOSIZIONE AL NETTO DELLE RETTIFICHE DI VALORE E DEGLI ACCANTONAMENTI</w:t>
            </w:r>
          </w:p>
          <w:p w:rsidR="00612780" w:rsidRPr="00D51A68" w:rsidRDefault="00612780" w:rsidP="00612780">
            <w:pPr>
              <w:spacing w:before="0" w:after="0"/>
              <w:jc w:val="left"/>
              <w:rPr>
                <w:rFonts w:ascii="Times New Roman" w:hAnsi="Times New Roman"/>
                <w:sz w:val="24"/>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Posizioni verso la cartolarizzazione conformemente all</w:t>
            </w:r>
            <w:r w:rsidR="0009277C" w:rsidRPr="00D51A68">
              <w:rPr>
                <w:rFonts w:ascii="Times New Roman" w:hAnsi="Times New Roman"/>
                <w:sz w:val="24"/>
              </w:rPr>
              <w:t>’</w:t>
            </w:r>
            <w:r w:rsidRPr="00D51A68">
              <w:rPr>
                <w:rFonts w:ascii="Times New Roman" w:hAnsi="Times New Roman"/>
                <w:sz w:val="24"/>
              </w:rPr>
              <w:t>articolo 246</w:t>
            </w:r>
            <w:r w:rsidR="00985E17" w:rsidRPr="00D51A68">
              <w:rPr>
                <w:rFonts w:ascii="Times New Roman" w:hAnsi="Times New Roman"/>
                <w:sz w:val="24"/>
              </w:rPr>
              <w:t>, paragrafi </w:t>
            </w:r>
            <w:r w:rsidRPr="00D51A68">
              <w:rPr>
                <w:rFonts w:ascii="Times New Roman" w:hAnsi="Times New Roman"/>
                <w:sz w:val="24"/>
              </w:rPr>
              <w:t>1 e 2, del CRR, senza l</w:t>
            </w:r>
            <w:r w:rsidR="0009277C" w:rsidRPr="00D51A68">
              <w:rPr>
                <w:rFonts w:ascii="Times New Roman" w:hAnsi="Times New Roman"/>
                <w:sz w:val="24"/>
              </w:rPr>
              <w:t>’</w:t>
            </w:r>
            <w:r w:rsidRPr="00D51A68">
              <w:rPr>
                <w:rFonts w:ascii="Times New Roman" w:hAnsi="Times New Roman"/>
                <w:sz w:val="24"/>
              </w:rPr>
              <w:t>applicazione dei fattori di conversione.</w:t>
            </w:r>
          </w:p>
          <w:p w:rsidR="00612780" w:rsidRPr="00D51A68" w:rsidRDefault="00612780" w:rsidP="00612780">
            <w:pPr>
              <w:autoSpaceDE w:val="0"/>
              <w:autoSpaceDN w:val="0"/>
              <w:adjustRightInd w:val="0"/>
              <w:spacing w:before="0" w:after="0"/>
              <w:jc w:val="left"/>
              <w:rPr>
                <w:rFonts w:ascii="Times New Roman" w:hAnsi="Times New Roman"/>
                <w:sz w:val="24"/>
              </w:rPr>
            </w:pPr>
          </w:p>
          <w:p w:rsidR="00612780" w:rsidRPr="00D51A68" w:rsidRDefault="00612780" w:rsidP="00612780">
            <w:pPr>
              <w:autoSpaceDE w:val="0"/>
              <w:autoSpaceDN w:val="0"/>
              <w:adjustRightInd w:val="0"/>
              <w:spacing w:before="0" w:after="0"/>
              <w:jc w:val="left"/>
              <w:rPr>
                <w:rFonts w:ascii="Times New Roman" w:hAnsi="Times New Roman"/>
                <w:sz w:val="24"/>
              </w:rPr>
            </w:pPr>
            <w:r w:rsidRPr="00D51A68">
              <w:rPr>
                <w:rFonts w:ascii="Times New Roman" w:hAnsi="Times New Roman"/>
                <w:sz w:val="24"/>
              </w:rPr>
              <w:t>Questa informazione è correlata alla colonna 040 del modello CR SA Total.</w:t>
            </w:r>
          </w:p>
          <w:p w:rsidR="00612780" w:rsidRPr="00D51A68" w:rsidRDefault="00612780" w:rsidP="00612780">
            <w:pPr>
              <w:autoSpaceDE w:val="0"/>
              <w:autoSpaceDN w:val="0"/>
              <w:adjustRightInd w:val="0"/>
              <w:spacing w:before="0" w:after="0"/>
              <w:rPr>
                <w:rFonts w:ascii="Times New Roman" w:hAnsi="Times New Roman"/>
                <w:bCs/>
                <w:sz w:val="24"/>
              </w:rPr>
            </w:pPr>
          </w:p>
        </w:tc>
      </w:tr>
      <w:tr w:rsidR="00612780" w:rsidRPr="00D51A68" w:rsidTr="00672D2A">
        <w:tc>
          <w:tcPr>
            <w:tcW w:w="1101" w:type="dxa"/>
          </w:tcPr>
          <w:p w:rsidR="00612780" w:rsidRPr="00D51A68" w:rsidRDefault="00612780" w:rsidP="00612780">
            <w:pPr>
              <w:autoSpaceDE w:val="0"/>
              <w:autoSpaceDN w:val="0"/>
              <w:adjustRightInd w:val="0"/>
              <w:spacing w:before="0" w:after="0"/>
              <w:rPr>
                <w:rFonts w:ascii="Times New Roman" w:hAnsi="Times New Roman"/>
                <w:bCs/>
                <w:sz w:val="24"/>
              </w:rPr>
            </w:pPr>
            <w:r w:rsidRPr="00D51A68">
              <w:rPr>
                <w:rFonts w:ascii="Times New Roman" w:hAnsi="Times New Roman"/>
                <w:sz w:val="24"/>
              </w:rPr>
              <w:t>080-110</w:t>
            </w:r>
          </w:p>
        </w:tc>
        <w:tc>
          <w:tcPr>
            <w:tcW w:w="7856" w:type="dxa"/>
          </w:tcPr>
          <w:p w:rsidR="00612780" w:rsidRPr="00D51A68" w:rsidRDefault="00612780" w:rsidP="00612780">
            <w:pPr>
              <w:spacing w:before="0" w:after="0"/>
              <w:jc w:val="left"/>
              <w:rPr>
                <w:rFonts w:ascii="Times New Roman" w:hAnsi="Times New Roman"/>
                <w:b/>
                <w:sz w:val="24"/>
                <w:u w:val="single"/>
              </w:rPr>
            </w:pPr>
            <w:r w:rsidRPr="00D51A68">
              <w:rPr>
                <w:rFonts w:ascii="Times New Roman" w:hAnsi="Times New Roman"/>
                <w:b/>
                <w:sz w:val="24"/>
                <w:u w:val="single"/>
              </w:rPr>
              <w:t>TECNICHE DI ATTENUAZIONE DEL RISCHIO DI CREDITO (CRM) CON EFFETTI DI SOSTITUZIONE SULL</w:t>
            </w:r>
            <w:r w:rsidR="0009277C" w:rsidRPr="00D51A68">
              <w:rPr>
                <w:rFonts w:ascii="Times New Roman" w:hAnsi="Times New Roman"/>
                <w:b/>
                <w:sz w:val="24"/>
                <w:u w:val="single"/>
              </w:rPr>
              <w:t>’</w:t>
            </w:r>
            <w:r w:rsidRPr="00D51A68">
              <w:rPr>
                <w:rFonts w:ascii="Times New Roman" w:hAnsi="Times New Roman"/>
                <w:b/>
                <w:sz w:val="24"/>
                <w:u w:val="single"/>
              </w:rPr>
              <w:t>ESPOSIZIONE</w:t>
            </w:r>
          </w:p>
          <w:p w:rsidR="00612780" w:rsidRPr="00D51A68" w:rsidRDefault="00612780" w:rsidP="00612780">
            <w:pPr>
              <w:spacing w:before="0" w:after="0"/>
              <w:jc w:val="left"/>
              <w:rPr>
                <w:rFonts w:ascii="Times New Roman" w:hAnsi="Times New Roman"/>
                <w:sz w:val="24"/>
              </w:rPr>
            </w:pPr>
          </w:p>
          <w:p w:rsidR="00612780" w:rsidRPr="00D51A68" w:rsidRDefault="00612780" w:rsidP="00612780">
            <w:pPr>
              <w:spacing w:before="0" w:after="0"/>
              <w:jc w:val="left"/>
              <w:rPr>
                <w:rFonts w:ascii="Times New Roman" w:hAnsi="Times New Roman"/>
                <w:sz w:val="24"/>
              </w:rPr>
            </w:pPr>
            <w:r w:rsidRPr="00D51A68">
              <w:rPr>
                <w:rFonts w:ascii="Times New Roman" w:hAnsi="Times New Roman"/>
                <w:sz w:val="24"/>
              </w:rPr>
              <w:t>Articolo 4, paragrafo 1, punto 57, e parte tre, titolo II, capo 4, del CRR.</w:t>
            </w:r>
          </w:p>
          <w:p w:rsidR="00612780" w:rsidRPr="00D51A68" w:rsidRDefault="00612780" w:rsidP="00612780">
            <w:pPr>
              <w:spacing w:before="0" w:after="0"/>
              <w:jc w:val="left"/>
              <w:rPr>
                <w:rFonts w:ascii="Times New Roman" w:hAnsi="Times New Roman"/>
                <w:sz w:val="24"/>
              </w:rPr>
            </w:pPr>
          </w:p>
          <w:p w:rsidR="00612780" w:rsidRPr="00D51A68" w:rsidRDefault="00612780" w:rsidP="00612780">
            <w:pPr>
              <w:spacing w:before="0" w:after="0"/>
              <w:rPr>
                <w:rFonts w:ascii="Times New Roman" w:hAnsi="Times New Roman"/>
                <w:sz w:val="24"/>
              </w:rPr>
            </w:pPr>
            <w:r w:rsidRPr="00D51A68">
              <w:rPr>
                <w:rFonts w:ascii="Times New Roman" w:hAnsi="Times New Roman"/>
                <w:sz w:val="24"/>
              </w:rPr>
              <w:t>Questo blocco di colonne contiene informazioni sulle tecniche di attenuazione del rischio di credito che riducono il rischio di credito di una o più esposizioni mediante sostituzione di esposizioni (come indicato sotto in riferimento agli afflussi e ai deflussi).</w:t>
            </w:r>
          </w:p>
          <w:p w:rsidR="00612780" w:rsidRPr="00D51A68" w:rsidRDefault="00612780" w:rsidP="00612780">
            <w:pPr>
              <w:spacing w:before="0" w:after="0"/>
              <w:jc w:val="left"/>
              <w:rPr>
                <w:rFonts w:ascii="Times New Roman" w:hAnsi="Times New Roman"/>
                <w:sz w:val="24"/>
              </w:rPr>
            </w:pPr>
          </w:p>
          <w:p w:rsidR="00612780" w:rsidRPr="00D51A68" w:rsidRDefault="00612780" w:rsidP="00612780">
            <w:pPr>
              <w:spacing w:before="0" w:after="0"/>
              <w:jc w:val="left"/>
              <w:rPr>
                <w:rFonts w:ascii="Times New Roman" w:hAnsi="Times New Roman"/>
                <w:sz w:val="24"/>
              </w:rPr>
            </w:pPr>
            <w:bookmarkStart w:id="458" w:name="_Toc262228334"/>
            <w:r w:rsidRPr="00D51A68">
              <w:rPr>
                <w:rFonts w:ascii="Times New Roman" w:hAnsi="Times New Roman"/>
                <w:sz w:val="24"/>
              </w:rPr>
              <w:t>Cfr. le istruzioni relative al modello CR SA (segnalazione di tecniche di attenuazione del rischio di credito con effetto di sostituzione</w:t>
            </w:r>
            <w:bookmarkEnd w:id="458"/>
            <w:r w:rsidRPr="00D51A68">
              <w:rPr>
                <w:rFonts w:ascii="Times New Roman" w:hAnsi="Times New Roman"/>
                <w:sz w:val="24"/>
              </w:rPr>
              <w:t>).</w:t>
            </w:r>
          </w:p>
          <w:p w:rsidR="00612780" w:rsidRPr="00D51A68" w:rsidRDefault="00612780" w:rsidP="00612780">
            <w:pPr>
              <w:autoSpaceDE w:val="0"/>
              <w:autoSpaceDN w:val="0"/>
              <w:adjustRightInd w:val="0"/>
              <w:spacing w:before="0" w:after="0"/>
              <w:ind w:left="284" w:hanging="284"/>
              <w:jc w:val="left"/>
              <w:rPr>
                <w:rFonts w:ascii="Times New Roman" w:hAnsi="Times New Roman"/>
                <w:bCs/>
                <w:sz w:val="24"/>
              </w:rPr>
            </w:pPr>
          </w:p>
        </w:tc>
      </w:tr>
      <w:tr w:rsidR="00612780" w:rsidRPr="00D51A68" w:rsidTr="00985E17">
        <w:trPr>
          <w:cantSplit/>
        </w:trPr>
        <w:tc>
          <w:tcPr>
            <w:tcW w:w="1101" w:type="dxa"/>
          </w:tcPr>
          <w:p w:rsidR="00612780" w:rsidRPr="00D51A68" w:rsidRDefault="00612780" w:rsidP="00612780">
            <w:pPr>
              <w:autoSpaceDE w:val="0"/>
              <w:autoSpaceDN w:val="0"/>
              <w:adjustRightInd w:val="0"/>
              <w:spacing w:before="0" w:after="0"/>
              <w:rPr>
                <w:rFonts w:ascii="Times New Roman" w:hAnsi="Times New Roman"/>
                <w:bCs/>
                <w:sz w:val="24"/>
              </w:rPr>
            </w:pPr>
            <w:r w:rsidRPr="00D51A68">
              <w:rPr>
                <w:rFonts w:ascii="Times New Roman" w:hAnsi="Times New Roman"/>
                <w:sz w:val="24"/>
              </w:rPr>
              <w:lastRenderedPageBreak/>
              <w:t>080</w:t>
            </w:r>
          </w:p>
        </w:tc>
        <w:tc>
          <w:tcPr>
            <w:tcW w:w="7856" w:type="dxa"/>
          </w:tcPr>
          <w:p w:rsidR="00612780" w:rsidRPr="00D51A68" w:rsidRDefault="003300FF" w:rsidP="00612780">
            <w:pPr>
              <w:spacing w:before="0" w:after="0"/>
              <w:jc w:val="left"/>
              <w:rPr>
                <w:rFonts w:ascii="Times New Roman" w:hAnsi="Times New Roman"/>
                <w:b/>
                <w:sz w:val="24"/>
                <w:u w:val="single"/>
              </w:rPr>
            </w:pPr>
            <w:r w:rsidRPr="00D51A68">
              <w:rPr>
                <w:rFonts w:ascii="Times New Roman" w:hAnsi="Times New Roman"/>
                <w:b/>
                <w:sz w:val="24"/>
                <w:u w:val="single"/>
              </w:rPr>
              <w:t>(-) VALORI CORRETTI DELLA PROTEZIONE DEL CREDITO DI TIPO PERSONALE (G</w:t>
            </w:r>
            <w:r w:rsidRPr="00D51A68">
              <w:rPr>
                <w:rFonts w:ascii="Times New Roman" w:hAnsi="Times New Roman"/>
                <w:b/>
                <w:sz w:val="24"/>
                <w:u w:val="single"/>
                <w:vertAlign w:val="subscript"/>
              </w:rPr>
              <w:t>A</w:t>
            </w:r>
            <w:r w:rsidRPr="00D51A68">
              <w:rPr>
                <w:rFonts w:ascii="Times New Roman" w:hAnsi="Times New Roman"/>
                <w:b/>
                <w:sz w:val="24"/>
                <w:u w:val="single"/>
              </w:rPr>
              <w:t xml:space="preserve">) </w:t>
            </w:r>
          </w:p>
          <w:p w:rsidR="00612780" w:rsidRPr="00D51A68" w:rsidRDefault="00612780" w:rsidP="00612780">
            <w:pPr>
              <w:spacing w:before="0" w:after="0"/>
              <w:jc w:val="left"/>
              <w:rPr>
                <w:rFonts w:ascii="Times New Roman" w:hAnsi="Times New Roman"/>
                <w:szCs w:val="20"/>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La protezione del credito di tipo personale è definita nell</w:t>
            </w:r>
            <w:r w:rsidR="0009277C" w:rsidRPr="00D51A68">
              <w:rPr>
                <w:rFonts w:ascii="Times New Roman" w:hAnsi="Times New Roman"/>
                <w:sz w:val="24"/>
              </w:rPr>
              <w:t>’</w:t>
            </w:r>
            <w:r w:rsidRPr="00D51A68">
              <w:rPr>
                <w:rFonts w:ascii="Times New Roman" w:hAnsi="Times New Roman"/>
                <w:sz w:val="24"/>
              </w:rPr>
              <w:t>articolo 4</w:t>
            </w:r>
            <w:r w:rsidR="00985E17" w:rsidRPr="00D51A68">
              <w:rPr>
                <w:rFonts w:ascii="Times New Roman" w:hAnsi="Times New Roman"/>
                <w:sz w:val="24"/>
              </w:rPr>
              <w:t>, paragrafo </w:t>
            </w:r>
            <w:r w:rsidRPr="00D51A68">
              <w:rPr>
                <w:rFonts w:ascii="Times New Roman" w:hAnsi="Times New Roman"/>
                <w:sz w:val="24"/>
              </w:rPr>
              <w:t>1, punto 59, e disciplinata dall</w:t>
            </w:r>
            <w:r w:rsidR="0009277C" w:rsidRPr="00D51A68">
              <w:rPr>
                <w:rFonts w:ascii="Times New Roman" w:hAnsi="Times New Roman"/>
                <w:sz w:val="24"/>
              </w:rPr>
              <w:t>’</w:t>
            </w:r>
            <w:r w:rsidRPr="00D51A68">
              <w:rPr>
                <w:rFonts w:ascii="Times New Roman" w:hAnsi="Times New Roman"/>
                <w:sz w:val="24"/>
              </w:rPr>
              <w:t>articolo 235 del CRR.</w:t>
            </w:r>
          </w:p>
          <w:p w:rsidR="00612780" w:rsidRPr="00D51A68" w:rsidRDefault="00612780" w:rsidP="00612780">
            <w:pPr>
              <w:spacing w:before="0" w:after="0"/>
              <w:jc w:val="left"/>
              <w:rPr>
                <w:rFonts w:ascii="Times New Roman" w:hAnsi="Times New Roman"/>
                <w:sz w:val="24"/>
              </w:rPr>
            </w:pPr>
          </w:p>
          <w:p w:rsidR="00612780" w:rsidRPr="00D51A68" w:rsidRDefault="00612780" w:rsidP="00612780">
            <w:pPr>
              <w:spacing w:before="0" w:after="0"/>
              <w:jc w:val="left"/>
              <w:rPr>
                <w:rFonts w:ascii="Times New Roman" w:hAnsi="Times New Roman"/>
                <w:sz w:val="24"/>
              </w:rPr>
            </w:pPr>
            <w:r w:rsidRPr="00D51A68">
              <w:rPr>
                <w:rFonts w:ascii="Times New Roman" w:hAnsi="Times New Roman"/>
                <w:sz w:val="24"/>
              </w:rPr>
              <w:t>Cfr. le istruzioni relative al modello CR SA (segnalazione di tecniche di attenuazione del rischio di credito con effetto di sostituzione).</w:t>
            </w:r>
          </w:p>
          <w:p w:rsidR="00612780" w:rsidRPr="00D51A68" w:rsidRDefault="00612780" w:rsidP="00612780">
            <w:pPr>
              <w:autoSpaceDE w:val="0"/>
              <w:autoSpaceDN w:val="0"/>
              <w:adjustRightInd w:val="0"/>
              <w:spacing w:before="0" w:after="0"/>
              <w:rPr>
                <w:rFonts w:ascii="Times New Roman" w:hAnsi="Times New Roman"/>
                <w:bCs/>
                <w:sz w:val="24"/>
              </w:rPr>
            </w:pPr>
          </w:p>
        </w:tc>
      </w:tr>
      <w:tr w:rsidR="00612780" w:rsidRPr="00D51A68" w:rsidTr="00672D2A">
        <w:tc>
          <w:tcPr>
            <w:tcW w:w="1101" w:type="dxa"/>
          </w:tcPr>
          <w:p w:rsidR="00612780" w:rsidRPr="00D51A68" w:rsidRDefault="00612780" w:rsidP="00612780">
            <w:pPr>
              <w:autoSpaceDE w:val="0"/>
              <w:autoSpaceDN w:val="0"/>
              <w:adjustRightInd w:val="0"/>
              <w:spacing w:before="0" w:after="0"/>
              <w:rPr>
                <w:rFonts w:ascii="Times New Roman" w:hAnsi="Times New Roman"/>
                <w:bCs/>
                <w:sz w:val="24"/>
              </w:rPr>
            </w:pPr>
            <w:r w:rsidRPr="00D51A68">
              <w:rPr>
                <w:rFonts w:ascii="Times New Roman" w:hAnsi="Times New Roman"/>
                <w:sz w:val="24"/>
              </w:rPr>
              <w:t>090</w:t>
            </w:r>
          </w:p>
        </w:tc>
        <w:tc>
          <w:tcPr>
            <w:tcW w:w="7856" w:type="dxa"/>
          </w:tcPr>
          <w:p w:rsidR="00612780" w:rsidRPr="00D51A68" w:rsidRDefault="003300FF" w:rsidP="00612780">
            <w:pPr>
              <w:autoSpaceDE w:val="0"/>
              <w:autoSpaceDN w:val="0"/>
              <w:adjustRightInd w:val="0"/>
              <w:spacing w:before="0" w:after="0"/>
              <w:ind w:left="284" w:hanging="284"/>
              <w:jc w:val="left"/>
              <w:rPr>
                <w:rFonts w:ascii="Times New Roman" w:hAnsi="Times New Roman"/>
                <w:b/>
                <w:sz w:val="24"/>
                <w:u w:val="single"/>
              </w:rPr>
            </w:pPr>
            <w:r w:rsidRPr="00D51A68">
              <w:rPr>
                <w:rFonts w:ascii="Times New Roman" w:hAnsi="Times New Roman"/>
                <w:b/>
                <w:sz w:val="24"/>
                <w:u w:val="single"/>
              </w:rPr>
              <w:t>(-) PROTEZIONE DEL CREDITO DI TIPO REALE</w:t>
            </w:r>
          </w:p>
          <w:p w:rsidR="00612780" w:rsidRPr="00D51A68" w:rsidRDefault="00612780" w:rsidP="00612780">
            <w:pPr>
              <w:autoSpaceDE w:val="0"/>
              <w:autoSpaceDN w:val="0"/>
              <w:adjustRightInd w:val="0"/>
              <w:spacing w:before="0" w:after="0"/>
              <w:ind w:left="284" w:hanging="284"/>
              <w:jc w:val="left"/>
              <w:rPr>
                <w:rFonts w:ascii="Times New Roman" w:hAnsi="Times New Roman"/>
                <w:szCs w:val="20"/>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La protezione del credito di tipo reale è definita nell</w:t>
            </w:r>
            <w:r w:rsidR="0009277C" w:rsidRPr="00D51A68">
              <w:rPr>
                <w:rFonts w:ascii="Times New Roman" w:hAnsi="Times New Roman"/>
                <w:sz w:val="24"/>
              </w:rPr>
              <w:t>’</w:t>
            </w:r>
            <w:r w:rsidRPr="00D51A68">
              <w:rPr>
                <w:rFonts w:ascii="Times New Roman" w:hAnsi="Times New Roman"/>
                <w:sz w:val="24"/>
              </w:rPr>
              <w:t>articolo 4, paragrafo 1, punto 58, e disciplinata dagli articoli 195, 197 e 200 del CRR.</w:t>
            </w:r>
          </w:p>
          <w:p w:rsidR="00612780" w:rsidRPr="00D51A68" w:rsidRDefault="00612780" w:rsidP="00612780">
            <w:pPr>
              <w:autoSpaceDE w:val="0"/>
              <w:autoSpaceDN w:val="0"/>
              <w:adjustRightInd w:val="0"/>
              <w:spacing w:before="0" w:after="0"/>
              <w:rPr>
                <w:rFonts w:ascii="Times New Roman" w:hAnsi="Times New Roman"/>
                <w:sz w:val="24"/>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Le credit linked note e la compensazione in bilancio di cui agli articoli da 218 a 236 del CRR sono trattate come garanzie in contante.</w:t>
            </w:r>
          </w:p>
          <w:p w:rsidR="00612780" w:rsidRPr="00D51A68" w:rsidRDefault="00612780" w:rsidP="00612780">
            <w:pPr>
              <w:autoSpaceDE w:val="0"/>
              <w:autoSpaceDN w:val="0"/>
              <w:adjustRightInd w:val="0"/>
              <w:spacing w:before="0" w:after="0"/>
              <w:ind w:left="284" w:hanging="284"/>
              <w:rPr>
                <w:rFonts w:ascii="Times New Roman" w:hAnsi="Times New Roman"/>
                <w:sz w:val="24"/>
              </w:rPr>
            </w:pPr>
          </w:p>
          <w:p w:rsidR="00612780" w:rsidRPr="00D51A68" w:rsidRDefault="00612780" w:rsidP="00612780">
            <w:pPr>
              <w:spacing w:before="0" w:after="0"/>
              <w:rPr>
                <w:rFonts w:ascii="Times New Roman" w:hAnsi="Times New Roman"/>
                <w:sz w:val="24"/>
              </w:rPr>
            </w:pPr>
            <w:r w:rsidRPr="00D51A68">
              <w:rPr>
                <w:rFonts w:ascii="Times New Roman" w:hAnsi="Times New Roman"/>
                <w:sz w:val="24"/>
              </w:rPr>
              <w:t>Cfr. le istruzioni relative al modello CR SA (segnalazione di tecniche di attenuazione del rischio di credito con effetto di sostituzione).</w:t>
            </w:r>
          </w:p>
          <w:p w:rsidR="00612780" w:rsidRPr="00D51A68" w:rsidRDefault="00612780" w:rsidP="00612780">
            <w:pPr>
              <w:spacing w:before="0" w:after="0"/>
              <w:jc w:val="left"/>
              <w:rPr>
                <w:rFonts w:ascii="Times New Roman" w:hAnsi="Times New Roman"/>
                <w:sz w:val="24"/>
              </w:rPr>
            </w:pPr>
          </w:p>
        </w:tc>
      </w:tr>
      <w:tr w:rsidR="00612780" w:rsidRPr="00D51A68" w:rsidTr="00672D2A">
        <w:tc>
          <w:tcPr>
            <w:tcW w:w="1101" w:type="dxa"/>
          </w:tcPr>
          <w:p w:rsidR="00612780" w:rsidRPr="00D51A68" w:rsidRDefault="00612780" w:rsidP="00612780">
            <w:pPr>
              <w:autoSpaceDE w:val="0"/>
              <w:autoSpaceDN w:val="0"/>
              <w:adjustRightInd w:val="0"/>
              <w:spacing w:before="0" w:after="0"/>
              <w:rPr>
                <w:rFonts w:ascii="Times New Roman" w:hAnsi="Times New Roman"/>
                <w:bCs/>
                <w:sz w:val="24"/>
              </w:rPr>
            </w:pPr>
            <w:r w:rsidRPr="00D51A68">
              <w:rPr>
                <w:rFonts w:ascii="Times New Roman" w:hAnsi="Times New Roman"/>
                <w:sz w:val="24"/>
              </w:rPr>
              <w:t>100-110</w:t>
            </w:r>
          </w:p>
        </w:tc>
        <w:tc>
          <w:tcPr>
            <w:tcW w:w="7856" w:type="dxa"/>
          </w:tcPr>
          <w:p w:rsidR="00612780" w:rsidRPr="00D51A68" w:rsidRDefault="00612780" w:rsidP="00612780">
            <w:pPr>
              <w:autoSpaceDE w:val="0"/>
              <w:autoSpaceDN w:val="0"/>
              <w:adjustRightInd w:val="0"/>
              <w:spacing w:before="0" w:after="0"/>
              <w:jc w:val="left"/>
              <w:rPr>
                <w:rFonts w:ascii="Times New Roman" w:hAnsi="Times New Roman"/>
                <w:sz w:val="24"/>
              </w:rPr>
            </w:pPr>
            <w:r w:rsidRPr="00D51A68">
              <w:rPr>
                <w:rFonts w:ascii="Times New Roman" w:hAnsi="Times New Roman"/>
                <w:b/>
                <w:sz w:val="24"/>
                <w:u w:val="single"/>
              </w:rPr>
              <w:t>SOSTITUZIONE DELL</w:t>
            </w:r>
            <w:r w:rsidR="0009277C" w:rsidRPr="00D51A68">
              <w:rPr>
                <w:rFonts w:ascii="Times New Roman" w:hAnsi="Times New Roman"/>
                <w:b/>
                <w:sz w:val="24"/>
                <w:u w:val="single"/>
              </w:rPr>
              <w:t>’</w:t>
            </w:r>
            <w:r w:rsidRPr="00D51A68">
              <w:rPr>
                <w:rFonts w:ascii="Times New Roman" w:hAnsi="Times New Roman"/>
                <w:b/>
                <w:sz w:val="24"/>
                <w:u w:val="single"/>
              </w:rPr>
              <w:t>ESPOSIZIONE DOVUTA ALL</w:t>
            </w:r>
            <w:r w:rsidR="0009277C" w:rsidRPr="00D51A68">
              <w:rPr>
                <w:rFonts w:ascii="Times New Roman" w:hAnsi="Times New Roman"/>
                <w:b/>
                <w:sz w:val="24"/>
                <w:u w:val="single"/>
              </w:rPr>
              <w:t>’</w:t>
            </w:r>
            <w:r w:rsidRPr="00D51A68">
              <w:rPr>
                <w:rFonts w:ascii="Times New Roman" w:hAnsi="Times New Roman"/>
                <w:b/>
                <w:sz w:val="24"/>
                <w:u w:val="single"/>
              </w:rPr>
              <w:t xml:space="preserve">ATTENUAZIONE DEL RISCHIO DI CREDITO </w:t>
            </w:r>
          </w:p>
          <w:p w:rsidR="00612780" w:rsidRPr="00D51A68" w:rsidRDefault="00612780" w:rsidP="00612780">
            <w:pPr>
              <w:autoSpaceDE w:val="0"/>
              <w:autoSpaceDN w:val="0"/>
              <w:adjustRightInd w:val="0"/>
              <w:spacing w:before="0" w:after="0"/>
              <w:jc w:val="left"/>
              <w:rPr>
                <w:rFonts w:ascii="Times New Roman" w:hAnsi="Times New Roman"/>
                <w:sz w:val="24"/>
              </w:rPr>
            </w:pPr>
            <w:r w:rsidRPr="00D51A68">
              <w:rPr>
                <w:rFonts w:ascii="Times New Roman" w:hAnsi="Times New Roman"/>
                <w:sz w:val="24"/>
              </w:rPr>
              <w:t>Sono segnalati anche gli afflussi e i deflussi all</w:t>
            </w:r>
            <w:r w:rsidR="0009277C" w:rsidRPr="00D51A68">
              <w:rPr>
                <w:rFonts w:ascii="Times New Roman" w:hAnsi="Times New Roman"/>
                <w:sz w:val="24"/>
              </w:rPr>
              <w:t>’</w:t>
            </w:r>
            <w:r w:rsidRPr="00D51A68">
              <w:rPr>
                <w:rFonts w:ascii="Times New Roman" w:hAnsi="Times New Roman"/>
                <w:sz w:val="24"/>
              </w:rPr>
              <w:t>interno delle stesse classi di esposizioni e, ove rilevanti, i fattori di ponderazione del rischio o le classi di debitori.</w:t>
            </w:r>
          </w:p>
          <w:p w:rsidR="00612780" w:rsidRPr="00D51A68"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D51A68" w:rsidTr="00672D2A">
        <w:tc>
          <w:tcPr>
            <w:tcW w:w="1101" w:type="dxa"/>
          </w:tcPr>
          <w:p w:rsidR="00612780" w:rsidRPr="00D51A68" w:rsidRDefault="00612780" w:rsidP="00612780">
            <w:pPr>
              <w:autoSpaceDE w:val="0"/>
              <w:autoSpaceDN w:val="0"/>
              <w:adjustRightInd w:val="0"/>
              <w:spacing w:before="0" w:after="0"/>
              <w:rPr>
                <w:rFonts w:ascii="Times New Roman" w:hAnsi="Times New Roman"/>
                <w:bCs/>
                <w:sz w:val="24"/>
              </w:rPr>
            </w:pPr>
            <w:r w:rsidRPr="00D51A68">
              <w:rPr>
                <w:rFonts w:ascii="Times New Roman" w:hAnsi="Times New Roman"/>
                <w:sz w:val="24"/>
              </w:rPr>
              <w:t>100</w:t>
            </w:r>
          </w:p>
        </w:tc>
        <w:tc>
          <w:tcPr>
            <w:tcW w:w="7856" w:type="dxa"/>
          </w:tcPr>
          <w:p w:rsidR="00612780" w:rsidRPr="00D51A68" w:rsidRDefault="00612780" w:rsidP="00612780">
            <w:pPr>
              <w:autoSpaceDE w:val="0"/>
              <w:autoSpaceDN w:val="0"/>
              <w:adjustRightInd w:val="0"/>
              <w:spacing w:before="0" w:after="0"/>
              <w:jc w:val="left"/>
              <w:rPr>
                <w:rFonts w:ascii="Times New Roman" w:hAnsi="Times New Roman"/>
                <w:b/>
                <w:sz w:val="24"/>
                <w:u w:val="single"/>
              </w:rPr>
            </w:pPr>
            <w:r w:rsidRPr="00D51A68">
              <w:rPr>
                <w:rFonts w:ascii="Times New Roman" w:hAnsi="Times New Roman"/>
                <w:b/>
                <w:sz w:val="24"/>
                <w:u w:val="single"/>
              </w:rPr>
              <w:t>(-) DEFLUSSI TOTALI</w:t>
            </w:r>
          </w:p>
          <w:p w:rsidR="00612780" w:rsidRPr="00D51A68" w:rsidRDefault="00612780" w:rsidP="00612780">
            <w:pPr>
              <w:autoSpaceDE w:val="0"/>
              <w:autoSpaceDN w:val="0"/>
              <w:adjustRightInd w:val="0"/>
              <w:spacing w:before="0" w:after="0"/>
              <w:jc w:val="left"/>
              <w:rPr>
                <w:rFonts w:ascii="Times New Roman" w:hAnsi="Times New Roman"/>
                <w:szCs w:val="20"/>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 xml:space="preserve">Articolo 222, paragrafo 3, e articolo 235, paragrafi 1 e 2. </w:t>
            </w:r>
          </w:p>
          <w:p w:rsidR="00612780" w:rsidRPr="00D51A68" w:rsidRDefault="00612780" w:rsidP="00612780">
            <w:pPr>
              <w:autoSpaceDE w:val="0"/>
              <w:autoSpaceDN w:val="0"/>
              <w:adjustRightInd w:val="0"/>
              <w:spacing w:before="0" w:after="0"/>
              <w:rPr>
                <w:rFonts w:ascii="Times New Roman" w:hAnsi="Times New Roman"/>
                <w:szCs w:val="20"/>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I deflussi corrispondono alla parte garantita dell</w:t>
            </w:r>
            <w:r w:rsidR="0009277C" w:rsidRPr="00D51A68">
              <w:rPr>
                <w:rStyle w:val="InstructionsTabelleText"/>
                <w:rFonts w:ascii="Times New Roman" w:hAnsi="Times New Roman"/>
                <w:sz w:val="24"/>
              </w:rPr>
              <w:t>’“</w:t>
            </w:r>
            <w:r w:rsidRPr="00D51A68">
              <w:rPr>
                <w:rFonts w:ascii="Times New Roman" w:hAnsi="Times New Roman"/>
                <w:sz w:val="24"/>
              </w:rPr>
              <w:t>esposizione al netto delle rettifiche di valore e degli accantonamenti</w:t>
            </w:r>
            <w:r w:rsidR="0009277C" w:rsidRPr="00D51A68">
              <w:rPr>
                <w:rFonts w:ascii="Times New Roman" w:hAnsi="Times New Roman"/>
                <w:sz w:val="24"/>
              </w:rPr>
              <w:t>”</w:t>
            </w:r>
            <w:r w:rsidRPr="00D51A68">
              <w:rPr>
                <w:rFonts w:ascii="Times New Roman" w:hAnsi="Times New Roman"/>
                <w:sz w:val="24"/>
              </w:rPr>
              <w:t xml:space="preserve"> che è dedotta dalla classe di esposizioni del debitore e, ove rilevante, dalla relativa ponderazione del rischio o classe di debitori, e successivamente assegnata alla classe di esposizioni del fornitore della protezione e, ove rilevante, alla relativa ponderazione del rischio o classe di debitori. </w:t>
            </w:r>
          </w:p>
          <w:p w:rsidR="00612780" w:rsidRPr="00D51A68" w:rsidRDefault="00612780" w:rsidP="00612780">
            <w:pPr>
              <w:autoSpaceDE w:val="0"/>
              <w:autoSpaceDN w:val="0"/>
              <w:adjustRightInd w:val="0"/>
              <w:spacing w:before="0" w:after="0"/>
              <w:rPr>
                <w:rFonts w:ascii="Times New Roman" w:hAnsi="Times New Roman"/>
                <w:szCs w:val="20"/>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Questo importo è considerato un afflusso nella classe di esposizioni del fornitore della protezione e, ove rilevanti, nelle relative ponderazioni del rischio o classi di debitori.</w:t>
            </w:r>
          </w:p>
          <w:p w:rsidR="00612780" w:rsidRPr="00D51A68" w:rsidRDefault="00612780" w:rsidP="00612780">
            <w:pPr>
              <w:autoSpaceDE w:val="0"/>
              <w:autoSpaceDN w:val="0"/>
              <w:adjustRightInd w:val="0"/>
              <w:spacing w:before="0" w:after="0"/>
              <w:rPr>
                <w:rFonts w:ascii="Times New Roman" w:hAnsi="Times New Roman"/>
                <w:szCs w:val="20"/>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Questa informazione è correlata alla colonna 090 [(-) deflussi totali] del modello CR SA Total.</w:t>
            </w:r>
          </w:p>
          <w:p w:rsidR="00612780" w:rsidRPr="00D51A68"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D51A68" w:rsidTr="00672D2A">
        <w:tc>
          <w:tcPr>
            <w:tcW w:w="1101" w:type="dxa"/>
          </w:tcPr>
          <w:p w:rsidR="00612780" w:rsidRPr="00D51A68" w:rsidRDefault="00612780" w:rsidP="00612780">
            <w:pPr>
              <w:autoSpaceDE w:val="0"/>
              <w:autoSpaceDN w:val="0"/>
              <w:adjustRightInd w:val="0"/>
              <w:spacing w:before="0" w:after="0"/>
              <w:rPr>
                <w:rFonts w:ascii="Times New Roman" w:hAnsi="Times New Roman"/>
                <w:bCs/>
                <w:sz w:val="24"/>
              </w:rPr>
            </w:pPr>
            <w:r w:rsidRPr="00D51A68">
              <w:rPr>
                <w:rFonts w:ascii="Times New Roman" w:hAnsi="Times New Roman"/>
                <w:sz w:val="24"/>
              </w:rPr>
              <w:t>110</w:t>
            </w:r>
          </w:p>
        </w:tc>
        <w:tc>
          <w:tcPr>
            <w:tcW w:w="7856" w:type="dxa"/>
          </w:tcPr>
          <w:p w:rsidR="00612780" w:rsidRPr="00D51A68" w:rsidRDefault="00612780" w:rsidP="00612780">
            <w:pPr>
              <w:autoSpaceDE w:val="0"/>
              <w:autoSpaceDN w:val="0"/>
              <w:adjustRightInd w:val="0"/>
              <w:spacing w:before="0" w:after="0"/>
              <w:jc w:val="left"/>
              <w:rPr>
                <w:rFonts w:ascii="Times New Roman" w:hAnsi="Times New Roman"/>
                <w:b/>
                <w:sz w:val="24"/>
                <w:u w:val="single"/>
              </w:rPr>
            </w:pPr>
            <w:r w:rsidRPr="00D51A68">
              <w:rPr>
                <w:rFonts w:ascii="Times New Roman" w:hAnsi="Times New Roman"/>
                <w:b/>
                <w:sz w:val="24"/>
                <w:u w:val="single"/>
              </w:rPr>
              <w:t>AFFLUSSI TOTALI</w:t>
            </w:r>
          </w:p>
          <w:p w:rsidR="00612780" w:rsidRPr="00D51A68" w:rsidRDefault="00612780" w:rsidP="00612780">
            <w:pPr>
              <w:spacing w:before="0" w:after="0"/>
              <w:jc w:val="left"/>
              <w:rPr>
                <w:rFonts w:ascii="Times New Roman" w:hAnsi="Times New Roman"/>
                <w:szCs w:val="20"/>
              </w:rPr>
            </w:pPr>
          </w:p>
          <w:p w:rsidR="00612780" w:rsidRPr="00D51A68" w:rsidRDefault="00612780" w:rsidP="00612780">
            <w:pPr>
              <w:spacing w:before="0" w:after="0"/>
              <w:rPr>
                <w:rFonts w:ascii="Times New Roman" w:hAnsi="Times New Roman"/>
                <w:sz w:val="24"/>
              </w:rPr>
            </w:pPr>
            <w:r w:rsidRPr="00D51A68">
              <w:rPr>
                <w:rFonts w:ascii="Times New Roman" w:hAnsi="Times New Roman"/>
                <w:sz w:val="24"/>
              </w:rPr>
              <w:t>In questa colonna sono segnalate come afflussi le posizioni verso la cartolarizzazione che costituiscono titoli di debito e sono garanzie reali finanziarie ammissibili conformemente all</w:t>
            </w:r>
            <w:r w:rsidR="0009277C" w:rsidRPr="00D51A68">
              <w:rPr>
                <w:rFonts w:ascii="Times New Roman" w:hAnsi="Times New Roman"/>
                <w:sz w:val="24"/>
              </w:rPr>
              <w:t>’</w:t>
            </w:r>
            <w:r w:rsidRPr="00D51A68">
              <w:rPr>
                <w:rFonts w:ascii="Times New Roman" w:hAnsi="Times New Roman"/>
                <w:sz w:val="24"/>
              </w:rPr>
              <w:t>articolo 197, paragrafo 1, del CRR se è utilizzato il metodo semplificato per il trattamento delle garanzie reali finanziarie.</w:t>
            </w:r>
          </w:p>
          <w:p w:rsidR="00612780" w:rsidRPr="00D51A68" w:rsidRDefault="00612780" w:rsidP="00612780">
            <w:pPr>
              <w:spacing w:before="0" w:after="0"/>
              <w:rPr>
                <w:rFonts w:ascii="Times New Roman" w:hAnsi="Times New Roman"/>
                <w:sz w:val="24"/>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 xml:space="preserve">Questa informazione è correlata alla colonna 100 (afflussi totali) del modello CR SA Total. </w:t>
            </w:r>
          </w:p>
          <w:p w:rsidR="00612780" w:rsidRPr="00D51A68"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D51A68" w:rsidTr="00672D2A">
        <w:tc>
          <w:tcPr>
            <w:tcW w:w="1101" w:type="dxa"/>
          </w:tcPr>
          <w:p w:rsidR="00612780" w:rsidRPr="00D51A68" w:rsidRDefault="00612780" w:rsidP="00612780">
            <w:pPr>
              <w:autoSpaceDE w:val="0"/>
              <w:autoSpaceDN w:val="0"/>
              <w:adjustRightInd w:val="0"/>
              <w:spacing w:before="0" w:after="0"/>
              <w:rPr>
                <w:rFonts w:ascii="Times New Roman" w:hAnsi="Times New Roman"/>
                <w:bCs/>
                <w:sz w:val="24"/>
              </w:rPr>
            </w:pPr>
            <w:r w:rsidRPr="00D51A68">
              <w:rPr>
                <w:rFonts w:ascii="Times New Roman" w:hAnsi="Times New Roman"/>
                <w:sz w:val="24"/>
              </w:rPr>
              <w:lastRenderedPageBreak/>
              <w:t>120</w:t>
            </w:r>
          </w:p>
        </w:tc>
        <w:tc>
          <w:tcPr>
            <w:tcW w:w="7856" w:type="dxa"/>
          </w:tcPr>
          <w:p w:rsidR="00612780" w:rsidRPr="00D51A68" w:rsidRDefault="00612780" w:rsidP="00612780">
            <w:pPr>
              <w:spacing w:before="0" w:after="0"/>
              <w:jc w:val="left"/>
              <w:rPr>
                <w:rFonts w:ascii="Times New Roman" w:hAnsi="Times New Roman"/>
                <w:b/>
                <w:sz w:val="24"/>
                <w:u w:val="single"/>
              </w:rPr>
            </w:pPr>
            <w:r w:rsidRPr="00D51A68">
              <w:rPr>
                <w:rFonts w:ascii="Times New Roman" w:hAnsi="Times New Roman"/>
                <w:b/>
                <w:sz w:val="24"/>
                <w:u w:val="single"/>
              </w:rPr>
              <w:t>ESPOSIZIONE NETTA DOPO GLI EFFETTI DI SOSTITUZIONE DELL</w:t>
            </w:r>
            <w:r w:rsidR="0009277C" w:rsidRPr="00D51A68">
              <w:rPr>
                <w:rFonts w:ascii="Times New Roman" w:hAnsi="Times New Roman"/>
                <w:b/>
                <w:sz w:val="24"/>
                <w:u w:val="single"/>
              </w:rPr>
              <w:t>’</w:t>
            </w:r>
            <w:r w:rsidRPr="00D51A68">
              <w:rPr>
                <w:rFonts w:ascii="Times New Roman" w:hAnsi="Times New Roman"/>
                <w:b/>
                <w:sz w:val="24"/>
                <w:u w:val="single"/>
              </w:rPr>
              <w:t>ATTENUAZIONE DEL RISCHIO DI CREDITO PRIMA DELL</w:t>
            </w:r>
            <w:r w:rsidR="0009277C" w:rsidRPr="00D51A68">
              <w:rPr>
                <w:rFonts w:ascii="Times New Roman" w:hAnsi="Times New Roman"/>
                <w:b/>
                <w:sz w:val="24"/>
                <w:u w:val="single"/>
              </w:rPr>
              <w:t>’</w:t>
            </w:r>
            <w:r w:rsidRPr="00D51A68">
              <w:rPr>
                <w:rFonts w:ascii="Times New Roman" w:hAnsi="Times New Roman"/>
                <w:b/>
                <w:sz w:val="24"/>
                <w:u w:val="single"/>
              </w:rPr>
              <w:t>APPLICAZIONE DEI FATTORI DI CONVERSIONE</w:t>
            </w:r>
          </w:p>
          <w:p w:rsidR="00612780" w:rsidRPr="00D51A68" w:rsidRDefault="00612780" w:rsidP="00612780">
            <w:pPr>
              <w:spacing w:before="0" w:after="0"/>
              <w:jc w:val="left"/>
              <w:rPr>
                <w:rFonts w:ascii="Times New Roman" w:hAnsi="Times New Roman"/>
                <w:sz w:val="24"/>
              </w:rPr>
            </w:pPr>
          </w:p>
          <w:p w:rsidR="00612780" w:rsidRPr="00D51A68" w:rsidRDefault="00612780" w:rsidP="00612780">
            <w:pPr>
              <w:spacing w:before="0" w:after="0"/>
              <w:rPr>
                <w:rFonts w:ascii="Times New Roman" w:hAnsi="Times New Roman"/>
                <w:sz w:val="24"/>
              </w:rPr>
            </w:pPr>
            <w:r w:rsidRPr="00D51A68">
              <w:rPr>
                <w:rFonts w:ascii="Times New Roman" w:hAnsi="Times New Roman"/>
                <w:sz w:val="24"/>
              </w:rPr>
              <w:t xml:space="preserve">Esposizione assegnata alla ponderazione del rischio e alla classe di esposizioni corrispondenti dopo aver tenuto conto dei deflussi e degli afflussi dovuti a </w:t>
            </w:r>
            <w:r w:rsidR="0009277C" w:rsidRPr="00D51A68">
              <w:rPr>
                <w:rFonts w:ascii="Times New Roman" w:hAnsi="Times New Roman"/>
                <w:sz w:val="24"/>
              </w:rPr>
              <w:t>“</w:t>
            </w:r>
            <w:r w:rsidRPr="00D51A68">
              <w:rPr>
                <w:rFonts w:ascii="Times New Roman" w:hAnsi="Times New Roman"/>
                <w:sz w:val="24"/>
              </w:rPr>
              <w:t>tecniche di attenuazione del rischio di credito (CRM) con effetti di sostituzione sull</w:t>
            </w:r>
            <w:r w:rsidR="0009277C" w:rsidRPr="00D51A68">
              <w:rPr>
                <w:rFonts w:ascii="Times New Roman" w:hAnsi="Times New Roman"/>
                <w:sz w:val="24"/>
              </w:rPr>
              <w:t>’</w:t>
            </w:r>
            <w:r w:rsidRPr="00D51A68">
              <w:rPr>
                <w:rFonts w:ascii="Times New Roman" w:hAnsi="Times New Roman"/>
                <w:sz w:val="24"/>
              </w:rPr>
              <w:t>esposizione</w:t>
            </w:r>
            <w:r w:rsidR="0009277C" w:rsidRPr="00D51A68">
              <w:rPr>
                <w:rFonts w:ascii="Times New Roman" w:hAnsi="Times New Roman"/>
                <w:sz w:val="24"/>
              </w:rPr>
              <w:t>”</w:t>
            </w:r>
            <w:r w:rsidRPr="00D51A68">
              <w:rPr>
                <w:rFonts w:ascii="Times New Roman" w:hAnsi="Times New Roman"/>
                <w:sz w:val="24"/>
              </w:rPr>
              <w:t>.</w:t>
            </w:r>
          </w:p>
          <w:p w:rsidR="00612780" w:rsidRPr="00D51A68" w:rsidRDefault="00612780" w:rsidP="00612780">
            <w:pPr>
              <w:spacing w:before="0" w:after="0"/>
              <w:rPr>
                <w:rFonts w:ascii="Times New Roman" w:hAnsi="Times New Roman"/>
                <w:sz w:val="24"/>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Questa informazione è correlata alla colonna 110 del modello CR SA Total.</w:t>
            </w:r>
          </w:p>
          <w:p w:rsidR="00612780" w:rsidRPr="00D51A68"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D51A68" w:rsidTr="00672D2A">
        <w:tc>
          <w:tcPr>
            <w:tcW w:w="1101" w:type="dxa"/>
          </w:tcPr>
          <w:p w:rsidR="00612780" w:rsidRPr="00D51A68" w:rsidRDefault="00612780" w:rsidP="00612780">
            <w:pPr>
              <w:autoSpaceDE w:val="0"/>
              <w:autoSpaceDN w:val="0"/>
              <w:adjustRightInd w:val="0"/>
              <w:spacing w:before="0" w:after="0"/>
              <w:rPr>
                <w:rFonts w:ascii="Times New Roman" w:hAnsi="Times New Roman"/>
                <w:bCs/>
                <w:sz w:val="24"/>
              </w:rPr>
            </w:pPr>
            <w:r w:rsidRPr="00D51A68">
              <w:rPr>
                <w:rFonts w:ascii="Times New Roman" w:hAnsi="Times New Roman"/>
                <w:sz w:val="24"/>
              </w:rPr>
              <w:t>130</w:t>
            </w:r>
          </w:p>
        </w:tc>
        <w:tc>
          <w:tcPr>
            <w:tcW w:w="7856" w:type="dxa"/>
          </w:tcPr>
          <w:p w:rsidR="00612780" w:rsidRPr="00D51A68" w:rsidRDefault="00612780" w:rsidP="00612780">
            <w:pPr>
              <w:spacing w:before="0" w:after="0"/>
              <w:jc w:val="left"/>
              <w:rPr>
                <w:rFonts w:ascii="Times New Roman" w:hAnsi="Times New Roman"/>
                <w:b/>
                <w:sz w:val="24"/>
                <w:u w:val="single"/>
              </w:rPr>
            </w:pPr>
            <w:r w:rsidRPr="00D51A68">
              <w:rPr>
                <w:rFonts w:ascii="Times New Roman" w:hAnsi="Times New Roman"/>
                <w:b/>
                <w:sz w:val="24"/>
                <w:u w:val="single"/>
              </w:rPr>
              <w:t>(-) TECNICHE DI ATTENUAZIONE DEL RISCHIO DI CREDITO CHE INFLUISCONO SULL</w:t>
            </w:r>
            <w:r w:rsidR="0009277C" w:rsidRPr="00D51A68">
              <w:rPr>
                <w:rFonts w:ascii="Times New Roman" w:hAnsi="Times New Roman"/>
                <w:b/>
                <w:sz w:val="24"/>
                <w:u w:val="single"/>
              </w:rPr>
              <w:t>’</w:t>
            </w:r>
            <w:r w:rsidRPr="00D51A68">
              <w:rPr>
                <w:rFonts w:ascii="Times New Roman" w:hAnsi="Times New Roman"/>
                <w:b/>
                <w:sz w:val="24"/>
                <w:u w:val="single"/>
              </w:rPr>
              <w:t>IMPORTO DELL</w:t>
            </w:r>
            <w:r w:rsidR="0009277C" w:rsidRPr="00D51A68">
              <w:rPr>
                <w:rFonts w:ascii="Times New Roman" w:hAnsi="Times New Roman"/>
                <w:b/>
                <w:sz w:val="24"/>
                <w:u w:val="single"/>
              </w:rPr>
              <w:t>’</w:t>
            </w:r>
            <w:r w:rsidRPr="00D51A68">
              <w:rPr>
                <w:rFonts w:ascii="Times New Roman" w:hAnsi="Times New Roman"/>
                <w:b/>
                <w:sz w:val="24"/>
                <w:u w:val="single"/>
              </w:rPr>
              <w:t>ESPOSIZIONE: VALORE CORRETTO IN BASE AL METODO INTEGRALE PER IL TRATTAMENTO DELLE GARANZIE REALI FINANZIARIE PER LA PROTEZIONE DEL CREDITO DI TIPO REALE (C</w:t>
            </w:r>
            <w:r w:rsidRPr="00D51A68">
              <w:rPr>
                <w:rFonts w:ascii="Times New Roman" w:hAnsi="Times New Roman"/>
                <w:b/>
                <w:sz w:val="24"/>
                <w:u w:val="single"/>
                <w:vertAlign w:val="subscript"/>
              </w:rPr>
              <w:t>VAM</w:t>
            </w:r>
            <w:r w:rsidRPr="00D51A68">
              <w:rPr>
                <w:rFonts w:ascii="Times New Roman" w:hAnsi="Times New Roman"/>
                <w:b/>
                <w:sz w:val="24"/>
                <w:u w:val="single"/>
              </w:rPr>
              <w:t>)</w:t>
            </w:r>
          </w:p>
          <w:p w:rsidR="00612780" w:rsidRPr="00D51A68" w:rsidRDefault="00612780" w:rsidP="00612780">
            <w:pPr>
              <w:spacing w:before="0" w:after="0"/>
              <w:jc w:val="left"/>
              <w:rPr>
                <w:rFonts w:ascii="Times New Roman" w:hAnsi="Times New Roman"/>
                <w:sz w:val="24"/>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Questa voce comprende anche le credit linked note (articolo 218 del CRR).</w:t>
            </w:r>
          </w:p>
          <w:p w:rsidR="00612780" w:rsidRPr="00D51A68" w:rsidRDefault="00612780" w:rsidP="00612780">
            <w:pPr>
              <w:autoSpaceDE w:val="0"/>
              <w:autoSpaceDN w:val="0"/>
              <w:adjustRightInd w:val="0"/>
              <w:spacing w:before="0" w:after="0"/>
              <w:rPr>
                <w:rFonts w:ascii="Times New Roman" w:hAnsi="Times New Roman"/>
                <w:sz w:val="24"/>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 xml:space="preserve">Questa informazione è correlata alle colonne 120 e 130 del modello CR SA Total. </w:t>
            </w:r>
          </w:p>
          <w:p w:rsidR="00612780" w:rsidRPr="00D51A68"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D51A68" w:rsidTr="00672D2A">
        <w:tc>
          <w:tcPr>
            <w:tcW w:w="1101" w:type="dxa"/>
          </w:tcPr>
          <w:p w:rsidR="00612780" w:rsidRPr="00D51A68" w:rsidRDefault="00612780" w:rsidP="00612780">
            <w:pPr>
              <w:autoSpaceDE w:val="0"/>
              <w:autoSpaceDN w:val="0"/>
              <w:adjustRightInd w:val="0"/>
              <w:spacing w:before="0" w:after="0"/>
              <w:rPr>
                <w:rFonts w:ascii="Times New Roman" w:hAnsi="Times New Roman"/>
                <w:bCs/>
                <w:sz w:val="24"/>
              </w:rPr>
            </w:pPr>
            <w:r w:rsidRPr="00D51A68">
              <w:rPr>
                <w:rFonts w:ascii="Times New Roman" w:hAnsi="Times New Roman"/>
                <w:sz w:val="24"/>
              </w:rPr>
              <w:t>140</w:t>
            </w:r>
          </w:p>
        </w:tc>
        <w:tc>
          <w:tcPr>
            <w:tcW w:w="7856" w:type="dxa"/>
          </w:tcPr>
          <w:p w:rsidR="00612780" w:rsidRPr="00D51A68" w:rsidRDefault="00612780" w:rsidP="00612780">
            <w:pPr>
              <w:spacing w:before="0" w:after="0"/>
              <w:jc w:val="left"/>
              <w:rPr>
                <w:rFonts w:ascii="Times New Roman" w:hAnsi="Times New Roman"/>
                <w:b/>
                <w:sz w:val="24"/>
                <w:u w:val="single"/>
              </w:rPr>
            </w:pPr>
            <w:r w:rsidRPr="00D51A68">
              <w:rPr>
                <w:rFonts w:ascii="Times New Roman" w:hAnsi="Times New Roman"/>
                <w:b/>
                <w:sz w:val="24"/>
                <w:u w:val="single"/>
              </w:rPr>
              <w:t>VALORE DELL</w:t>
            </w:r>
            <w:r w:rsidR="0009277C" w:rsidRPr="00D51A68">
              <w:rPr>
                <w:rFonts w:ascii="Times New Roman" w:hAnsi="Times New Roman"/>
                <w:b/>
                <w:sz w:val="24"/>
                <w:u w:val="single"/>
              </w:rPr>
              <w:t>’</w:t>
            </w:r>
            <w:r w:rsidRPr="00D51A68">
              <w:rPr>
                <w:rFonts w:ascii="Times New Roman" w:hAnsi="Times New Roman"/>
                <w:b/>
                <w:sz w:val="24"/>
                <w:u w:val="single"/>
              </w:rPr>
              <w:t>ESPOSIZIONE CORRETTO INTEGRALMENTE (E*)</w:t>
            </w:r>
          </w:p>
          <w:p w:rsidR="00612780" w:rsidRPr="00D51A68" w:rsidRDefault="00612780" w:rsidP="00612780">
            <w:pPr>
              <w:spacing w:before="0" w:after="0"/>
              <w:jc w:val="left"/>
              <w:rPr>
                <w:rFonts w:ascii="Times New Roman" w:hAnsi="Times New Roman"/>
                <w:sz w:val="24"/>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Posizioni verso la cartolarizzazione conformemente all</w:t>
            </w:r>
            <w:r w:rsidR="0009277C" w:rsidRPr="00D51A68">
              <w:rPr>
                <w:rFonts w:ascii="Times New Roman" w:hAnsi="Times New Roman"/>
                <w:sz w:val="24"/>
              </w:rPr>
              <w:t>’</w:t>
            </w:r>
            <w:r w:rsidRPr="00D51A68">
              <w:rPr>
                <w:rFonts w:ascii="Times New Roman" w:hAnsi="Times New Roman"/>
                <w:sz w:val="24"/>
              </w:rPr>
              <w:t>articolo 246 del CRR, quindi senza applicazione dei fattori di conversione di cui all</w:t>
            </w:r>
            <w:r w:rsidR="0009277C" w:rsidRPr="00D51A68">
              <w:rPr>
                <w:rFonts w:ascii="Times New Roman" w:hAnsi="Times New Roman"/>
                <w:sz w:val="24"/>
              </w:rPr>
              <w:t>’</w:t>
            </w:r>
            <w:r w:rsidRPr="00D51A68">
              <w:rPr>
                <w:rFonts w:ascii="Times New Roman" w:hAnsi="Times New Roman"/>
                <w:sz w:val="24"/>
              </w:rPr>
              <w:t>articolo 246, paragrafo 1, lettera c), del CRR.</w:t>
            </w:r>
          </w:p>
          <w:p w:rsidR="00612780" w:rsidRPr="00D51A68" w:rsidRDefault="00612780" w:rsidP="00612780">
            <w:pPr>
              <w:autoSpaceDE w:val="0"/>
              <w:autoSpaceDN w:val="0"/>
              <w:adjustRightInd w:val="0"/>
              <w:spacing w:before="0" w:after="0"/>
              <w:jc w:val="left"/>
              <w:rPr>
                <w:rFonts w:ascii="Times New Roman" w:hAnsi="Times New Roman"/>
                <w:sz w:val="24"/>
              </w:rPr>
            </w:pPr>
          </w:p>
          <w:p w:rsidR="00612780" w:rsidRPr="00D51A68" w:rsidRDefault="00612780" w:rsidP="00612780">
            <w:pPr>
              <w:autoSpaceDE w:val="0"/>
              <w:autoSpaceDN w:val="0"/>
              <w:adjustRightInd w:val="0"/>
              <w:spacing w:before="0" w:after="0"/>
              <w:jc w:val="left"/>
              <w:rPr>
                <w:rFonts w:ascii="Times New Roman" w:hAnsi="Times New Roman"/>
                <w:sz w:val="24"/>
              </w:rPr>
            </w:pPr>
            <w:r w:rsidRPr="00D51A68">
              <w:rPr>
                <w:rFonts w:ascii="Times New Roman" w:hAnsi="Times New Roman"/>
                <w:sz w:val="24"/>
              </w:rPr>
              <w:t xml:space="preserve">Questa informazione è correlata alla colonna 150 del modello CR SA Total. </w:t>
            </w:r>
          </w:p>
          <w:p w:rsidR="00612780" w:rsidRPr="00D51A68" w:rsidRDefault="00612780" w:rsidP="00612780">
            <w:pPr>
              <w:autoSpaceDE w:val="0"/>
              <w:autoSpaceDN w:val="0"/>
              <w:adjustRightInd w:val="0"/>
              <w:spacing w:before="0" w:after="0"/>
              <w:ind w:left="284" w:hanging="284"/>
              <w:rPr>
                <w:rFonts w:ascii="Times New Roman" w:hAnsi="Times New Roman"/>
                <w:sz w:val="24"/>
              </w:rPr>
            </w:pPr>
          </w:p>
        </w:tc>
      </w:tr>
      <w:tr w:rsidR="00612780" w:rsidRPr="00D51A68" w:rsidTr="00672D2A">
        <w:tc>
          <w:tcPr>
            <w:tcW w:w="1101" w:type="dxa"/>
          </w:tcPr>
          <w:p w:rsidR="00612780" w:rsidRPr="00D51A68" w:rsidRDefault="00612780" w:rsidP="00612780">
            <w:pPr>
              <w:autoSpaceDE w:val="0"/>
              <w:autoSpaceDN w:val="0"/>
              <w:adjustRightInd w:val="0"/>
              <w:spacing w:before="0" w:after="0"/>
              <w:rPr>
                <w:rFonts w:ascii="Times New Roman" w:hAnsi="Times New Roman"/>
                <w:bCs/>
                <w:sz w:val="24"/>
              </w:rPr>
            </w:pPr>
            <w:r w:rsidRPr="00D51A68">
              <w:rPr>
                <w:rFonts w:ascii="Times New Roman" w:hAnsi="Times New Roman"/>
                <w:sz w:val="24"/>
              </w:rPr>
              <w:t>150-180</w:t>
            </w:r>
          </w:p>
        </w:tc>
        <w:tc>
          <w:tcPr>
            <w:tcW w:w="7856" w:type="dxa"/>
          </w:tcPr>
          <w:p w:rsidR="00612780" w:rsidRPr="00D51A68" w:rsidRDefault="00612780" w:rsidP="00612780">
            <w:pPr>
              <w:spacing w:before="0" w:after="0"/>
              <w:jc w:val="left"/>
              <w:rPr>
                <w:rFonts w:ascii="Times New Roman" w:hAnsi="Times New Roman"/>
                <w:b/>
                <w:sz w:val="24"/>
                <w:u w:val="single"/>
              </w:rPr>
            </w:pPr>
            <w:r w:rsidRPr="00D51A68">
              <w:rPr>
                <w:rFonts w:ascii="Times New Roman" w:hAnsi="Times New Roman"/>
                <w:b/>
                <w:sz w:val="24"/>
                <w:u w:val="single"/>
              </w:rPr>
              <w:t>RIPARTIZIONE DEL VALORE DELL</w:t>
            </w:r>
            <w:r w:rsidR="0009277C" w:rsidRPr="00D51A68">
              <w:rPr>
                <w:rFonts w:ascii="Times New Roman" w:hAnsi="Times New Roman"/>
                <w:b/>
                <w:sz w:val="24"/>
                <w:u w:val="single"/>
              </w:rPr>
              <w:t>’</w:t>
            </w:r>
            <w:r w:rsidRPr="00D51A68">
              <w:rPr>
                <w:rFonts w:ascii="Times New Roman" w:hAnsi="Times New Roman"/>
                <w:b/>
                <w:sz w:val="24"/>
                <w:u w:val="single"/>
              </w:rPr>
              <w:t>ESPOSIZIONE CORRETTO INTEGRALMENTE (E*) DEGLI ELEMENTI FUORI BILANCIO IN BASE AI FATTORI DI CONVERSIONE</w:t>
            </w:r>
          </w:p>
          <w:p w:rsidR="00612780" w:rsidRPr="00D51A68" w:rsidRDefault="00612780" w:rsidP="00612780">
            <w:pPr>
              <w:spacing w:before="0" w:after="0"/>
              <w:jc w:val="left"/>
              <w:rPr>
                <w:rFonts w:ascii="Times New Roman" w:hAnsi="Times New Roman"/>
                <w:sz w:val="24"/>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L</w:t>
            </w:r>
            <w:r w:rsidR="0009277C" w:rsidRPr="00D51A68">
              <w:rPr>
                <w:rFonts w:ascii="Times New Roman" w:hAnsi="Times New Roman"/>
                <w:sz w:val="24"/>
              </w:rPr>
              <w:t>’</w:t>
            </w:r>
            <w:r w:rsidRPr="00D51A68">
              <w:rPr>
                <w:rFonts w:ascii="Times New Roman" w:hAnsi="Times New Roman"/>
                <w:sz w:val="24"/>
              </w:rPr>
              <w:t>articolo 246, paragrafo 1, lettera c), del CRR stabilisce che il valore dell</w:t>
            </w:r>
            <w:r w:rsidR="0009277C" w:rsidRPr="00D51A68">
              <w:rPr>
                <w:rFonts w:ascii="Times New Roman" w:hAnsi="Times New Roman"/>
                <w:sz w:val="24"/>
              </w:rPr>
              <w:t>’</w:t>
            </w:r>
            <w:r w:rsidRPr="00D51A68">
              <w:rPr>
                <w:rFonts w:ascii="Times New Roman" w:hAnsi="Times New Roman"/>
                <w:sz w:val="24"/>
              </w:rPr>
              <w:t>esposizione di una posizione verso la cartolarizzazione fuori bilancio è pari al suo valore nominale moltiplicato per un fattore di conversione. Ove non diversamente specificato nel CRR, tale fattore è del 100%.</w:t>
            </w:r>
          </w:p>
          <w:p w:rsidR="00612780" w:rsidRPr="00D51A68" w:rsidRDefault="00612780" w:rsidP="00612780">
            <w:pPr>
              <w:autoSpaceDE w:val="0"/>
              <w:autoSpaceDN w:val="0"/>
              <w:adjustRightInd w:val="0"/>
              <w:spacing w:before="0" w:after="0"/>
              <w:rPr>
                <w:rFonts w:ascii="Times New Roman" w:hAnsi="Times New Roman"/>
                <w:sz w:val="24"/>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Cfr. colonne da 160 a 190 del modello CR SA Total.</w:t>
            </w:r>
          </w:p>
          <w:p w:rsidR="00612780" w:rsidRPr="00D51A68" w:rsidRDefault="00612780" w:rsidP="00612780">
            <w:pPr>
              <w:autoSpaceDE w:val="0"/>
              <w:autoSpaceDN w:val="0"/>
              <w:adjustRightInd w:val="0"/>
              <w:spacing w:before="0" w:after="0"/>
              <w:rPr>
                <w:rFonts w:ascii="Times New Roman" w:hAnsi="Times New Roman"/>
                <w:sz w:val="24"/>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A fini di segnalazione, i valori delle esposizioni corretti integralmente (E*) sono riportati in base ai seguenti quattro intervalli, reciprocamente esclusivi, dei fattori di conversione: 0%, ]0%, 20%], ]20%, 50%] e ]50%, 100%].</w:t>
            </w:r>
          </w:p>
          <w:p w:rsidR="00612780" w:rsidRPr="00D51A68"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D51A68" w:rsidTr="00985E17">
        <w:trPr>
          <w:cantSplit/>
        </w:trPr>
        <w:tc>
          <w:tcPr>
            <w:tcW w:w="1101" w:type="dxa"/>
          </w:tcPr>
          <w:p w:rsidR="00612780" w:rsidRPr="00D51A68" w:rsidRDefault="00612780" w:rsidP="00612780">
            <w:pPr>
              <w:autoSpaceDE w:val="0"/>
              <w:autoSpaceDN w:val="0"/>
              <w:adjustRightInd w:val="0"/>
              <w:spacing w:before="0" w:after="0"/>
              <w:rPr>
                <w:rFonts w:ascii="Times New Roman" w:hAnsi="Times New Roman"/>
                <w:bCs/>
                <w:sz w:val="24"/>
              </w:rPr>
            </w:pPr>
            <w:r w:rsidRPr="00D51A68">
              <w:rPr>
                <w:rFonts w:ascii="Times New Roman" w:hAnsi="Times New Roman"/>
                <w:sz w:val="24"/>
              </w:rPr>
              <w:lastRenderedPageBreak/>
              <w:t>190</w:t>
            </w:r>
          </w:p>
        </w:tc>
        <w:tc>
          <w:tcPr>
            <w:tcW w:w="7856" w:type="dxa"/>
          </w:tcPr>
          <w:p w:rsidR="00612780" w:rsidRPr="00D51A68" w:rsidRDefault="00612780" w:rsidP="00612780">
            <w:pPr>
              <w:spacing w:before="0" w:after="0"/>
              <w:jc w:val="left"/>
              <w:rPr>
                <w:rFonts w:ascii="Times New Roman" w:hAnsi="Times New Roman"/>
                <w:b/>
                <w:sz w:val="24"/>
                <w:u w:val="single"/>
              </w:rPr>
            </w:pPr>
            <w:r w:rsidRPr="00D51A68">
              <w:rPr>
                <w:rFonts w:ascii="Times New Roman" w:hAnsi="Times New Roman"/>
                <w:b/>
                <w:sz w:val="24"/>
                <w:u w:val="single"/>
              </w:rPr>
              <w:t>VALORE DELL</w:t>
            </w:r>
            <w:r w:rsidR="0009277C" w:rsidRPr="00D51A68">
              <w:rPr>
                <w:rFonts w:ascii="Times New Roman" w:hAnsi="Times New Roman"/>
                <w:b/>
                <w:sz w:val="24"/>
                <w:u w:val="single"/>
              </w:rPr>
              <w:t>’</w:t>
            </w:r>
            <w:r w:rsidRPr="00D51A68">
              <w:rPr>
                <w:rFonts w:ascii="Times New Roman" w:hAnsi="Times New Roman"/>
                <w:b/>
                <w:sz w:val="24"/>
                <w:u w:val="single"/>
              </w:rPr>
              <w:t xml:space="preserve">ESPOSIZIONE </w:t>
            </w:r>
          </w:p>
          <w:p w:rsidR="00612780" w:rsidRPr="00D51A68" w:rsidRDefault="00612780" w:rsidP="00612780">
            <w:pPr>
              <w:spacing w:before="0" w:after="0"/>
              <w:jc w:val="left"/>
              <w:rPr>
                <w:rFonts w:ascii="Times New Roman" w:hAnsi="Times New Roman"/>
                <w:sz w:val="24"/>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Posizioni verso la cartolarizzazione conformemente all</w:t>
            </w:r>
            <w:r w:rsidR="0009277C" w:rsidRPr="00D51A68">
              <w:rPr>
                <w:rFonts w:ascii="Times New Roman" w:hAnsi="Times New Roman"/>
                <w:sz w:val="24"/>
              </w:rPr>
              <w:t>’</w:t>
            </w:r>
            <w:r w:rsidRPr="00D51A68">
              <w:rPr>
                <w:rFonts w:ascii="Times New Roman" w:hAnsi="Times New Roman"/>
                <w:sz w:val="24"/>
              </w:rPr>
              <w:t>articolo 246 del CRR.</w:t>
            </w:r>
          </w:p>
          <w:p w:rsidR="00612780" w:rsidRPr="00D51A68" w:rsidRDefault="00612780" w:rsidP="00612780">
            <w:pPr>
              <w:autoSpaceDE w:val="0"/>
              <w:autoSpaceDN w:val="0"/>
              <w:adjustRightInd w:val="0"/>
              <w:spacing w:before="0" w:after="0"/>
              <w:rPr>
                <w:rFonts w:ascii="Times New Roman" w:hAnsi="Times New Roman"/>
                <w:sz w:val="24"/>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 xml:space="preserve">Questa informazione è correlata alla colonna 200 del modello CR SA Total. </w:t>
            </w:r>
          </w:p>
          <w:p w:rsidR="00612780" w:rsidRPr="00D51A68"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D51A68" w:rsidTr="00672D2A">
        <w:tc>
          <w:tcPr>
            <w:tcW w:w="1101" w:type="dxa"/>
          </w:tcPr>
          <w:p w:rsidR="00612780" w:rsidRPr="00D51A68" w:rsidRDefault="00612780" w:rsidP="00612780">
            <w:pPr>
              <w:autoSpaceDE w:val="0"/>
              <w:autoSpaceDN w:val="0"/>
              <w:adjustRightInd w:val="0"/>
              <w:spacing w:before="0" w:after="0"/>
              <w:rPr>
                <w:rFonts w:ascii="Times New Roman" w:hAnsi="Times New Roman"/>
                <w:bCs/>
                <w:sz w:val="24"/>
              </w:rPr>
            </w:pPr>
            <w:r w:rsidRPr="00D51A68">
              <w:rPr>
                <w:rFonts w:ascii="Times New Roman" w:hAnsi="Times New Roman"/>
                <w:sz w:val="24"/>
              </w:rPr>
              <w:t>200</w:t>
            </w:r>
          </w:p>
        </w:tc>
        <w:tc>
          <w:tcPr>
            <w:tcW w:w="7856" w:type="dxa"/>
          </w:tcPr>
          <w:p w:rsidR="00612780" w:rsidRPr="00D51A68" w:rsidRDefault="00612780" w:rsidP="00612780">
            <w:pPr>
              <w:spacing w:before="0" w:after="0"/>
              <w:jc w:val="left"/>
              <w:rPr>
                <w:rFonts w:ascii="Times New Roman" w:hAnsi="Times New Roman"/>
                <w:b/>
                <w:sz w:val="24"/>
                <w:u w:val="single"/>
              </w:rPr>
            </w:pPr>
            <w:r w:rsidRPr="00D51A68">
              <w:rPr>
                <w:rFonts w:ascii="Times New Roman" w:hAnsi="Times New Roman"/>
                <w:b/>
                <w:sz w:val="24"/>
                <w:u w:val="single"/>
              </w:rPr>
              <w:t>(-) VALORE DELL</w:t>
            </w:r>
            <w:r w:rsidR="0009277C" w:rsidRPr="00D51A68">
              <w:rPr>
                <w:rFonts w:ascii="Times New Roman" w:hAnsi="Times New Roman"/>
                <w:b/>
                <w:sz w:val="24"/>
                <w:u w:val="single"/>
              </w:rPr>
              <w:t>’</w:t>
            </w:r>
            <w:r w:rsidRPr="00D51A68">
              <w:rPr>
                <w:rFonts w:ascii="Times New Roman" w:hAnsi="Times New Roman"/>
                <w:b/>
                <w:sz w:val="24"/>
                <w:u w:val="single"/>
              </w:rPr>
              <w:t>ESPOSIZIONE DEDOTTO DAI FONDI PROPRI</w:t>
            </w:r>
          </w:p>
          <w:p w:rsidR="00612780" w:rsidRPr="00D51A68" w:rsidRDefault="00612780" w:rsidP="00612780">
            <w:pPr>
              <w:spacing w:before="0" w:after="0"/>
              <w:jc w:val="left"/>
              <w:rPr>
                <w:rFonts w:ascii="Times New Roman" w:hAnsi="Times New Roman"/>
                <w:sz w:val="24"/>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L</w:t>
            </w:r>
            <w:r w:rsidR="0009277C" w:rsidRPr="00D51A68">
              <w:rPr>
                <w:rFonts w:ascii="Times New Roman" w:hAnsi="Times New Roman"/>
                <w:sz w:val="24"/>
              </w:rPr>
              <w:t>’</w:t>
            </w:r>
            <w:r w:rsidRPr="00D51A68">
              <w:rPr>
                <w:rFonts w:ascii="Times New Roman" w:hAnsi="Times New Roman"/>
                <w:sz w:val="24"/>
              </w:rPr>
              <w:t>articolo 258 del CRR prevede che, nel caso di una posizione verso la cartolarizzazione alla quale è attribuito un fattore di ponderazione del rischio del 1 250%, gli enti possono dedurre dai fondi propri il valore dell</w:t>
            </w:r>
            <w:r w:rsidR="0009277C" w:rsidRPr="00D51A68">
              <w:rPr>
                <w:rFonts w:ascii="Times New Roman" w:hAnsi="Times New Roman"/>
                <w:sz w:val="24"/>
              </w:rPr>
              <w:t>’</w:t>
            </w:r>
            <w:r w:rsidRPr="00D51A68">
              <w:rPr>
                <w:rFonts w:ascii="Times New Roman" w:hAnsi="Times New Roman"/>
                <w:sz w:val="24"/>
              </w:rPr>
              <w:t>esposizione della posizione, in alternativa alla sua inclusione nel calcolo degli importi delle esposizioni ponderati per il rischio.</w:t>
            </w:r>
          </w:p>
          <w:p w:rsidR="00612780" w:rsidRPr="00D51A68" w:rsidRDefault="00612780" w:rsidP="00612780">
            <w:pPr>
              <w:autoSpaceDE w:val="0"/>
              <w:autoSpaceDN w:val="0"/>
              <w:adjustRightInd w:val="0"/>
              <w:spacing w:before="0" w:after="0"/>
              <w:jc w:val="left"/>
              <w:rPr>
                <w:rFonts w:ascii="Times New Roman" w:hAnsi="Times New Roman"/>
                <w:sz w:val="24"/>
              </w:rPr>
            </w:pPr>
          </w:p>
        </w:tc>
      </w:tr>
      <w:tr w:rsidR="00612780" w:rsidRPr="00D51A68" w:rsidTr="00672D2A">
        <w:tc>
          <w:tcPr>
            <w:tcW w:w="1101" w:type="dxa"/>
          </w:tcPr>
          <w:p w:rsidR="00612780" w:rsidRPr="00D51A68" w:rsidRDefault="00612780" w:rsidP="00612780">
            <w:pPr>
              <w:autoSpaceDE w:val="0"/>
              <w:autoSpaceDN w:val="0"/>
              <w:adjustRightInd w:val="0"/>
              <w:spacing w:before="0" w:after="0"/>
              <w:rPr>
                <w:rFonts w:ascii="Times New Roman" w:hAnsi="Times New Roman"/>
                <w:bCs/>
                <w:sz w:val="24"/>
              </w:rPr>
            </w:pPr>
            <w:r w:rsidRPr="00D51A68">
              <w:rPr>
                <w:rFonts w:ascii="Times New Roman" w:hAnsi="Times New Roman"/>
                <w:sz w:val="24"/>
              </w:rPr>
              <w:t>210</w:t>
            </w:r>
          </w:p>
        </w:tc>
        <w:tc>
          <w:tcPr>
            <w:tcW w:w="7856" w:type="dxa"/>
          </w:tcPr>
          <w:p w:rsidR="00612780" w:rsidRPr="00D51A68" w:rsidRDefault="00612780" w:rsidP="00612780">
            <w:pPr>
              <w:spacing w:before="0" w:after="0"/>
              <w:jc w:val="left"/>
              <w:rPr>
                <w:rFonts w:ascii="Times New Roman" w:hAnsi="Times New Roman"/>
                <w:b/>
                <w:sz w:val="24"/>
                <w:u w:val="single"/>
              </w:rPr>
            </w:pPr>
            <w:r w:rsidRPr="00D51A68">
              <w:rPr>
                <w:rFonts w:ascii="Times New Roman" w:hAnsi="Times New Roman"/>
                <w:b/>
                <w:sz w:val="24"/>
                <w:u w:val="single"/>
              </w:rPr>
              <w:t>VALORE DELL</w:t>
            </w:r>
            <w:r w:rsidR="0009277C" w:rsidRPr="00D51A68">
              <w:rPr>
                <w:rFonts w:ascii="Times New Roman" w:hAnsi="Times New Roman"/>
                <w:b/>
                <w:sz w:val="24"/>
                <w:u w:val="single"/>
              </w:rPr>
              <w:t>’</w:t>
            </w:r>
            <w:r w:rsidRPr="00D51A68">
              <w:rPr>
                <w:rFonts w:ascii="Times New Roman" w:hAnsi="Times New Roman"/>
                <w:b/>
                <w:sz w:val="24"/>
                <w:u w:val="single"/>
              </w:rPr>
              <w:t>ESPOSIZIONE SOGGETTO A FATTORI DI PONDERAZIONE DEL RISCHIO</w:t>
            </w:r>
          </w:p>
          <w:p w:rsidR="00612780" w:rsidRPr="00D51A68" w:rsidRDefault="00612780" w:rsidP="00612780">
            <w:pPr>
              <w:spacing w:before="0" w:after="0"/>
              <w:jc w:val="left"/>
              <w:rPr>
                <w:rFonts w:ascii="Times New Roman" w:hAnsi="Times New Roman"/>
                <w:sz w:val="24"/>
              </w:rPr>
            </w:pPr>
          </w:p>
          <w:p w:rsidR="00612780" w:rsidRPr="00D51A68" w:rsidRDefault="00612780" w:rsidP="00612780">
            <w:pPr>
              <w:spacing w:before="0" w:after="0"/>
              <w:rPr>
                <w:rFonts w:ascii="Times New Roman" w:hAnsi="Times New Roman"/>
                <w:sz w:val="24"/>
              </w:rPr>
            </w:pPr>
            <w:r w:rsidRPr="00D51A68">
              <w:rPr>
                <w:rFonts w:ascii="Times New Roman" w:hAnsi="Times New Roman"/>
                <w:sz w:val="24"/>
              </w:rPr>
              <w:t>Valore dell</w:t>
            </w:r>
            <w:r w:rsidR="0009277C" w:rsidRPr="00D51A68">
              <w:rPr>
                <w:rFonts w:ascii="Times New Roman" w:hAnsi="Times New Roman"/>
                <w:sz w:val="24"/>
              </w:rPr>
              <w:t>’</w:t>
            </w:r>
            <w:r w:rsidRPr="00D51A68">
              <w:rPr>
                <w:rFonts w:ascii="Times New Roman" w:hAnsi="Times New Roman"/>
                <w:sz w:val="24"/>
              </w:rPr>
              <w:t>esposizione meno il valore dell</w:t>
            </w:r>
            <w:r w:rsidR="0009277C" w:rsidRPr="00D51A68">
              <w:rPr>
                <w:rFonts w:ascii="Times New Roman" w:hAnsi="Times New Roman"/>
                <w:sz w:val="24"/>
              </w:rPr>
              <w:t>’</w:t>
            </w:r>
            <w:r w:rsidRPr="00D51A68">
              <w:rPr>
                <w:rFonts w:ascii="Times New Roman" w:hAnsi="Times New Roman"/>
                <w:sz w:val="24"/>
              </w:rPr>
              <w:t>esposizione dedotto dai fondi propri.</w:t>
            </w:r>
          </w:p>
          <w:p w:rsidR="00612780" w:rsidRPr="00D51A68" w:rsidRDefault="00612780" w:rsidP="00612780">
            <w:pPr>
              <w:spacing w:before="0" w:after="0"/>
              <w:jc w:val="left"/>
              <w:rPr>
                <w:rFonts w:ascii="Times New Roman" w:hAnsi="Times New Roman"/>
                <w:sz w:val="24"/>
              </w:rPr>
            </w:pPr>
          </w:p>
        </w:tc>
      </w:tr>
      <w:tr w:rsidR="00612780" w:rsidRPr="00D51A68" w:rsidTr="00672D2A">
        <w:tc>
          <w:tcPr>
            <w:tcW w:w="1101" w:type="dxa"/>
          </w:tcPr>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220-320</w:t>
            </w:r>
          </w:p>
        </w:tc>
        <w:tc>
          <w:tcPr>
            <w:tcW w:w="7856" w:type="dxa"/>
          </w:tcPr>
          <w:p w:rsidR="00612780" w:rsidRPr="00D51A68" w:rsidRDefault="00612780" w:rsidP="00612780">
            <w:pPr>
              <w:spacing w:before="0" w:after="0"/>
              <w:jc w:val="left"/>
              <w:rPr>
                <w:rFonts w:ascii="Times New Roman" w:hAnsi="Times New Roman"/>
                <w:b/>
                <w:sz w:val="24"/>
                <w:u w:val="single"/>
              </w:rPr>
            </w:pPr>
            <w:r w:rsidRPr="00D51A68">
              <w:rPr>
                <w:rFonts w:ascii="Times New Roman" w:hAnsi="Times New Roman"/>
                <w:b/>
                <w:sz w:val="24"/>
                <w:u w:val="single"/>
              </w:rPr>
              <w:t>RIPARTIZIONE DEL VALORE DELL</w:t>
            </w:r>
            <w:r w:rsidR="0009277C" w:rsidRPr="00D51A68">
              <w:rPr>
                <w:rFonts w:ascii="Times New Roman" w:hAnsi="Times New Roman"/>
                <w:b/>
                <w:sz w:val="24"/>
                <w:u w:val="single"/>
              </w:rPr>
              <w:t>’</w:t>
            </w:r>
            <w:r w:rsidRPr="00D51A68">
              <w:rPr>
                <w:rFonts w:ascii="Times New Roman" w:hAnsi="Times New Roman"/>
                <w:b/>
                <w:sz w:val="24"/>
                <w:u w:val="single"/>
              </w:rPr>
              <w:t>ESPOSIZIONE SOGGETTO AI FATTORI DI PONDERAZIONE DEL RISCHIO IN BASE ALLE PONDERAZIONI DEL RISCHIO</w:t>
            </w:r>
          </w:p>
        </w:tc>
      </w:tr>
      <w:tr w:rsidR="00612780" w:rsidRPr="00D51A68" w:rsidTr="00672D2A">
        <w:tc>
          <w:tcPr>
            <w:tcW w:w="1101" w:type="dxa"/>
          </w:tcPr>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220-260</w:t>
            </w:r>
          </w:p>
        </w:tc>
        <w:tc>
          <w:tcPr>
            <w:tcW w:w="7856" w:type="dxa"/>
          </w:tcPr>
          <w:p w:rsidR="00612780" w:rsidRPr="00D51A68" w:rsidRDefault="00612780" w:rsidP="00612780">
            <w:pPr>
              <w:spacing w:before="0" w:after="0"/>
              <w:jc w:val="left"/>
              <w:rPr>
                <w:rFonts w:ascii="Times New Roman" w:hAnsi="Times New Roman"/>
                <w:b/>
                <w:sz w:val="24"/>
                <w:u w:val="single"/>
              </w:rPr>
            </w:pPr>
            <w:r w:rsidRPr="00D51A68">
              <w:rPr>
                <w:rFonts w:ascii="Times New Roman" w:hAnsi="Times New Roman"/>
                <w:b/>
                <w:sz w:val="24"/>
                <w:u w:val="single"/>
              </w:rPr>
              <w:t>PROVVISTE DI RATING</w:t>
            </w:r>
          </w:p>
          <w:p w:rsidR="00612780" w:rsidRPr="00D51A68" w:rsidRDefault="00612780" w:rsidP="00612780">
            <w:pPr>
              <w:spacing w:before="0" w:after="0"/>
              <w:jc w:val="left"/>
              <w:rPr>
                <w:rFonts w:ascii="Times New Roman" w:hAnsi="Times New Roman"/>
                <w:b/>
                <w:sz w:val="24"/>
                <w:u w:val="single"/>
              </w:rPr>
            </w:pPr>
          </w:p>
          <w:p w:rsidR="00612780" w:rsidRPr="00D51A68" w:rsidRDefault="00612780" w:rsidP="00612780">
            <w:pPr>
              <w:autoSpaceDE w:val="0"/>
              <w:autoSpaceDN w:val="0"/>
              <w:adjustRightInd w:val="0"/>
              <w:spacing w:before="0" w:after="0"/>
              <w:rPr>
                <w:rFonts w:ascii="Times New Roman" w:hAnsi="Times New Roman"/>
                <w:i/>
                <w:sz w:val="24"/>
              </w:rPr>
            </w:pPr>
            <w:r w:rsidRPr="00D51A68">
              <w:rPr>
                <w:rFonts w:ascii="Times New Roman" w:hAnsi="Times New Roman"/>
                <w:sz w:val="24"/>
              </w:rPr>
              <w:t>L</w:t>
            </w:r>
            <w:r w:rsidR="0009277C" w:rsidRPr="00D51A68">
              <w:rPr>
                <w:rFonts w:ascii="Times New Roman" w:hAnsi="Times New Roman"/>
                <w:sz w:val="24"/>
              </w:rPr>
              <w:t>’</w:t>
            </w:r>
            <w:r w:rsidRPr="00D51A68">
              <w:rPr>
                <w:rFonts w:ascii="Times New Roman" w:hAnsi="Times New Roman"/>
                <w:sz w:val="24"/>
              </w:rPr>
              <w:t>articolo 242, punto 8, del CRR contiene la definizione delle posizioni provviste di rating.</w:t>
            </w:r>
          </w:p>
          <w:p w:rsidR="00612780" w:rsidRPr="00D51A68" w:rsidRDefault="00612780" w:rsidP="00612780">
            <w:pPr>
              <w:autoSpaceDE w:val="0"/>
              <w:autoSpaceDN w:val="0"/>
              <w:adjustRightInd w:val="0"/>
              <w:spacing w:before="0" w:after="0"/>
              <w:rPr>
                <w:rFonts w:ascii="Times New Roman" w:hAnsi="Times New Roman"/>
                <w:i/>
                <w:sz w:val="24"/>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I valori delle esposizioni soggetti a ponderazione del rischio sono ripartiti in base alle classi di merito di credito (credit quality steps, CQS) come previsto per il metodo standardizzato dalla tabella 1 dell</w:t>
            </w:r>
            <w:r w:rsidR="0009277C" w:rsidRPr="00D51A68">
              <w:rPr>
                <w:rFonts w:ascii="Times New Roman" w:hAnsi="Times New Roman"/>
                <w:sz w:val="24"/>
              </w:rPr>
              <w:t>’</w:t>
            </w:r>
            <w:r w:rsidRPr="00D51A68">
              <w:rPr>
                <w:rFonts w:ascii="Times New Roman" w:hAnsi="Times New Roman"/>
                <w:sz w:val="24"/>
              </w:rPr>
              <w:t>articolo 251 del CRR.</w:t>
            </w:r>
          </w:p>
          <w:p w:rsidR="00612780" w:rsidRPr="00D51A68" w:rsidRDefault="00612780" w:rsidP="00612780">
            <w:pPr>
              <w:spacing w:before="0" w:after="0"/>
              <w:jc w:val="left"/>
              <w:rPr>
                <w:rFonts w:ascii="Times New Roman" w:hAnsi="Times New Roman"/>
                <w:b/>
                <w:sz w:val="24"/>
                <w:u w:val="single"/>
              </w:rPr>
            </w:pPr>
          </w:p>
        </w:tc>
      </w:tr>
      <w:tr w:rsidR="00612780" w:rsidRPr="00D51A68" w:rsidTr="00672D2A">
        <w:tc>
          <w:tcPr>
            <w:tcW w:w="1101" w:type="dxa"/>
          </w:tcPr>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270</w:t>
            </w:r>
          </w:p>
        </w:tc>
        <w:tc>
          <w:tcPr>
            <w:tcW w:w="7856" w:type="dxa"/>
          </w:tcPr>
          <w:p w:rsidR="00612780" w:rsidRPr="00D51A68" w:rsidRDefault="00612780" w:rsidP="00612780">
            <w:pPr>
              <w:spacing w:before="0" w:after="0"/>
              <w:jc w:val="left"/>
              <w:rPr>
                <w:rStyle w:val="InstructionsTabelleberschrift"/>
                <w:rFonts w:ascii="Times New Roman" w:hAnsi="Times New Roman"/>
                <w:sz w:val="24"/>
              </w:rPr>
            </w:pPr>
            <w:r w:rsidRPr="00D51A68">
              <w:rPr>
                <w:rStyle w:val="InstructionsTabelleberschrift"/>
                <w:rFonts w:ascii="Times New Roman" w:hAnsi="Times New Roman"/>
                <w:sz w:val="24"/>
              </w:rPr>
              <w:t>1 250% (PRIVE DI RATING)</w:t>
            </w:r>
          </w:p>
          <w:p w:rsidR="00612780" w:rsidRPr="00D51A68" w:rsidRDefault="00612780" w:rsidP="00612780">
            <w:pPr>
              <w:spacing w:before="0" w:after="0"/>
              <w:jc w:val="left"/>
              <w:rPr>
                <w:rFonts w:ascii="Times New Roman" w:hAnsi="Times New Roman"/>
                <w:b/>
                <w:sz w:val="24"/>
                <w:u w:val="single"/>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L</w:t>
            </w:r>
            <w:r w:rsidR="0009277C" w:rsidRPr="00D51A68">
              <w:rPr>
                <w:rFonts w:ascii="Times New Roman" w:hAnsi="Times New Roman"/>
                <w:sz w:val="24"/>
              </w:rPr>
              <w:t>’</w:t>
            </w:r>
            <w:r w:rsidRPr="00D51A68">
              <w:rPr>
                <w:rFonts w:ascii="Times New Roman" w:hAnsi="Times New Roman"/>
                <w:sz w:val="24"/>
              </w:rPr>
              <w:t>articolo 242, punto 7, del CRR contiene la definizione delle posizioni prive di rating.</w:t>
            </w:r>
          </w:p>
          <w:p w:rsidR="00612780" w:rsidRPr="00D51A68" w:rsidRDefault="00612780" w:rsidP="00612780">
            <w:pPr>
              <w:autoSpaceDE w:val="0"/>
              <w:autoSpaceDN w:val="0"/>
              <w:adjustRightInd w:val="0"/>
              <w:spacing w:before="0" w:after="0"/>
              <w:rPr>
                <w:rFonts w:ascii="Times New Roman" w:hAnsi="Times New Roman"/>
                <w:sz w:val="24"/>
              </w:rPr>
            </w:pPr>
          </w:p>
          <w:p w:rsidR="00612780" w:rsidRPr="00D51A68" w:rsidRDefault="00612780" w:rsidP="00612780">
            <w:pPr>
              <w:autoSpaceDE w:val="0"/>
              <w:autoSpaceDN w:val="0"/>
              <w:adjustRightInd w:val="0"/>
              <w:spacing w:before="0" w:after="0"/>
              <w:rPr>
                <w:rFonts w:ascii="Times New Roman" w:hAnsi="Times New Roman"/>
                <w:b/>
                <w:sz w:val="24"/>
                <w:u w:val="single"/>
              </w:rPr>
            </w:pPr>
          </w:p>
        </w:tc>
      </w:tr>
      <w:tr w:rsidR="00612780" w:rsidRPr="00D51A68" w:rsidTr="00672D2A">
        <w:tc>
          <w:tcPr>
            <w:tcW w:w="1101" w:type="dxa"/>
          </w:tcPr>
          <w:p w:rsidR="00612780" w:rsidRPr="00D51A68" w:rsidRDefault="00612780" w:rsidP="00612780">
            <w:pPr>
              <w:autoSpaceDE w:val="0"/>
              <w:autoSpaceDN w:val="0"/>
              <w:adjustRightInd w:val="0"/>
              <w:spacing w:before="0" w:after="0"/>
              <w:rPr>
                <w:rFonts w:ascii="Times New Roman" w:hAnsi="Times New Roman"/>
                <w:bCs/>
                <w:sz w:val="24"/>
              </w:rPr>
            </w:pPr>
            <w:r w:rsidRPr="00D51A68">
              <w:rPr>
                <w:rFonts w:ascii="Times New Roman" w:hAnsi="Times New Roman"/>
                <w:sz w:val="24"/>
              </w:rPr>
              <w:t>280</w:t>
            </w:r>
          </w:p>
        </w:tc>
        <w:tc>
          <w:tcPr>
            <w:tcW w:w="7856" w:type="dxa"/>
          </w:tcPr>
          <w:p w:rsidR="00612780" w:rsidRPr="00D51A68" w:rsidRDefault="00612780" w:rsidP="00612780">
            <w:pPr>
              <w:spacing w:before="0" w:after="0"/>
              <w:jc w:val="left"/>
              <w:rPr>
                <w:rFonts w:ascii="Times New Roman" w:hAnsi="Times New Roman"/>
                <w:b/>
                <w:sz w:val="24"/>
                <w:u w:val="single"/>
              </w:rPr>
            </w:pPr>
            <w:r w:rsidRPr="00D51A68">
              <w:rPr>
                <w:rFonts w:ascii="Times New Roman" w:hAnsi="Times New Roman"/>
                <w:b/>
                <w:sz w:val="24"/>
                <w:u w:val="single"/>
              </w:rPr>
              <w:t>METODO LOOK-THROUGH</w:t>
            </w:r>
          </w:p>
          <w:p w:rsidR="00612780" w:rsidRPr="00D51A68" w:rsidRDefault="00612780" w:rsidP="00612780">
            <w:pPr>
              <w:spacing w:before="0" w:after="0"/>
              <w:jc w:val="left"/>
              <w:rPr>
                <w:rFonts w:ascii="Times New Roman" w:hAnsi="Times New Roman"/>
                <w:sz w:val="24"/>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 xml:space="preserve">Articoli 253 e 254 e articolo 256, paragrafo 5, del CRR. </w:t>
            </w:r>
          </w:p>
          <w:p w:rsidR="00612780" w:rsidRPr="00D51A68" w:rsidRDefault="00612780" w:rsidP="00612780">
            <w:pPr>
              <w:autoSpaceDE w:val="0"/>
              <w:autoSpaceDN w:val="0"/>
              <w:adjustRightInd w:val="0"/>
              <w:spacing w:before="0" w:after="0"/>
              <w:rPr>
                <w:rFonts w:ascii="Times New Roman" w:hAnsi="Times New Roman"/>
                <w:sz w:val="24"/>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Le colonne relative al metodo look-through comprendono tutti i casi di esposizioni prive di rating il cui fattore di ponderazione del rischio si ricava dal portafoglio di esposizioni sottostante (fattore medio di ponderazione del rischio del pool, fattore più elevato di ponderazione del rischio del pool o utilizzo di un coefficiente di concentrazione).</w:t>
            </w:r>
          </w:p>
          <w:p w:rsidR="00612780" w:rsidRPr="00D51A68" w:rsidRDefault="00612780" w:rsidP="00612780">
            <w:pPr>
              <w:spacing w:before="0" w:after="0"/>
              <w:jc w:val="left"/>
              <w:rPr>
                <w:rFonts w:ascii="Times New Roman" w:hAnsi="Times New Roman"/>
                <w:sz w:val="24"/>
              </w:rPr>
            </w:pPr>
          </w:p>
        </w:tc>
      </w:tr>
      <w:tr w:rsidR="00612780" w:rsidRPr="00D51A68" w:rsidTr="00985E17">
        <w:trPr>
          <w:cantSplit/>
        </w:trPr>
        <w:tc>
          <w:tcPr>
            <w:tcW w:w="1101" w:type="dxa"/>
          </w:tcPr>
          <w:p w:rsidR="00612780" w:rsidRPr="00D51A68" w:rsidRDefault="00612780" w:rsidP="00612780">
            <w:pPr>
              <w:autoSpaceDE w:val="0"/>
              <w:autoSpaceDN w:val="0"/>
              <w:adjustRightInd w:val="0"/>
              <w:spacing w:before="0" w:after="0"/>
              <w:rPr>
                <w:rFonts w:ascii="Times New Roman" w:hAnsi="Times New Roman"/>
                <w:bCs/>
                <w:sz w:val="24"/>
              </w:rPr>
            </w:pPr>
            <w:r w:rsidRPr="00D51A68">
              <w:rPr>
                <w:rFonts w:ascii="Times New Roman" w:hAnsi="Times New Roman"/>
                <w:sz w:val="24"/>
              </w:rPr>
              <w:lastRenderedPageBreak/>
              <w:t>290</w:t>
            </w:r>
          </w:p>
        </w:tc>
        <w:tc>
          <w:tcPr>
            <w:tcW w:w="7856" w:type="dxa"/>
          </w:tcPr>
          <w:p w:rsidR="00612780" w:rsidRPr="00D51A68" w:rsidRDefault="00612780" w:rsidP="00612780">
            <w:pPr>
              <w:spacing w:before="0" w:after="0"/>
              <w:jc w:val="left"/>
              <w:rPr>
                <w:rFonts w:ascii="Times New Roman" w:hAnsi="Times New Roman"/>
                <w:b/>
                <w:sz w:val="24"/>
                <w:u w:val="single"/>
              </w:rPr>
            </w:pPr>
            <w:r w:rsidRPr="00D51A68">
              <w:rPr>
                <w:rFonts w:ascii="Times New Roman" w:hAnsi="Times New Roman"/>
                <w:b/>
                <w:sz w:val="24"/>
                <w:u w:val="single"/>
              </w:rPr>
              <w:t>METODO LOOK-THROUGH — DI CUI: SECOND LOSS NEI PROGRAMMI ABCP</w:t>
            </w:r>
          </w:p>
          <w:p w:rsidR="00612780" w:rsidRPr="00D51A68" w:rsidRDefault="00612780" w:rsidP="00612780">
            <w:pPr>
              <w:spacing w:before="0" w:after="0"/>
              <w:jc w:val="left"/>
              <w:rPr>
                <w:rFonts w:ascii="Times New Roman" w:hAnsi="Times New Roman"/>
                <w:sz w:val="24"/>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Il valore dell</w:t>
            </w:r>
            <w:r w:rsidR="0009277C" w:rsidRPr="00D51A68">
              <w:rPr>
                <w:rFonts w:ascii="Times New Roman" w:hAnsi="Times New Roman"/>
                <w:sz w:val="24"/>
              </w:rPr>
              <w:t>’</w:t>
            </w:r>
            <w:r w:rsidRPr="00D51A68">
              <w:rPr>
                <w:rFonts w:ascii="Times New Roman" w:hAnsi="Times New Roman"/>
                <w:sz w:val="24"/>
              </w:rPr>
              <w:t>esposizione soggetta al trattamento delle posizioni verso la cartolarizzazione in segmenti second loss o in situazioni di rischio migliore nei programmi ABCP è stabilito dall</w:t>
            </w:r>
            <w:r w:rsidR="0009277C" w:rsidRPr="00D51A68">
              <w:rPr>
                <w:rFonts w:ascii="Times New Roman" w:hAnsi="Times New Roman"/>
                <w:sz w:val="24"/>
              </w:rPr>
              <w:t>’</w:t>
            </w:r>
            <w:r w:rsidRPr="00D51A68">
              <w:rPr>
                <w:rFonts w:ascii="Times New Roman" w:hAnsi="Times New Roman"/>
                <w:sz w:val="24"/>
              </w:rPr>
              <w:t>articolo 254 del CRR.</w:t>
            </w:r>
          </w:p>
          <w:p w:rsidR="00612780" w:rsidRPr="00D51A68" w:rsidRDefault="00612780" w:rsidP="00612780">
            <w:pPr>
              <w:autoSpaceDE w:val="0"/>
              <w:autoSpaceDN w:val="0"/>
              <w:adjustRightInd w:val="0"/>
              <w:spacing w:before="0" w:after="0"/>
              <w:rPr>
                <w:rFonts w:ascii="Times New Roman" w:hAnsi="Times New Roman"/>
                <w:sz w:val="24"/>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L</w:t>
            </w:r>
            <w:r w:rsidR="0009277C" w:rsidRPr="00D51A68">
              <w:rPr>
                <w:rFonts w:ascii="Times New Roman" w:hAnsi="Times New Roman"/>
                <w:sz w:val="24"/>
              </w:rPr>
              <w:t>’</w:t>
            </w:r>
            <w:r w:rsidRPr="00D51A68">
              <w:rPr>
                <w:rFonts w:ascii="Times New Roman" w:hAnsi="Times New Roman"/>
                <w:sz w:val="24"/>
              </w:rPr>
              <w:t xml:space="preserve">articolo 242, punto 9, del CRR contiene la definizione dei programmi di emissione di commercial paper garantiti da attività (ABCP). </w:t>
            </w:r>
          </w:p>
          <w:p w:rsidR="00612780" w:rsidRPr="00D51A68" w:rsidRDefault="00612780" w:rsidP="00612780">
            <w:pPr>
              <w:spacing w:before="0" w:after="0"/>
              <w:jc w:val="left"/>
              <w:rPr>
                <w:rFonts w:ascii="Times New Roman" w:hAnsi="Times New Roman"/>
                <w:sz w:val="24"/>
              </w:rPr>
            </w:pPr>
          </w:p>
        </w:tc>
      </w:tr>
      <w:tr w:rsidR="00612780" w:rsidRPr="00D51A68" w:rsidTr="00672D2A">
        <w:tc>
          <w:tcPr>
            <w:tcW w:w="1101" w:type="dxa"/>
          </w:tcPr>
          <w:p w:rsidR="00612780" w:rsidRPr="00D51A68" w:rsidRDefault="00612780" w:rsidP="00612780">
            <w:pPr>
              <w:spacing w:before="0" w:after="0"/>
              <w:jc w:val="left"/>
              <w:rPr>
                <w:rFonts w:ascii="Times New Roman" w:hAnsi="Times New Roman"/>
                <w:sz w:val="24"/>
              </w:rPr>
            </w:pPr>
            <w:r w:rsidRPr="00D51A68">
              <w:rPr>
                <w:rFonts w:ascii="Times New Roman" w:hAnsi="Times New Roman"/>
                <w:sz w:val="24"/>
              </w:rPr>
              <w:t>300</w:t>
            </w:r>
          </w:p>
          <w:p w:rsidR="00612780" w:rsidRPr="00D51A68" w:rsidRDefault="00612780" w:rsidP="00612780">
            <w:pPr>
              <w:autoSpaceDE w:val="0"/>
              <w:autoSpaceDN w:val="0"/>
              <w:adjustRightInd w:val="0"/>
              <w:spacing w:before="0" w:after="0"/>
              <w:rPr>
                <w:rFonts w:ascii="Times New Roman" w:hAnsi="Times New Roman"/>
                <w:bCs/>
                <w:sz w:val="24"/>
              </w:rPr>
            </w:pPr>
          </w:p>
        </w:tc>
        <w:tc>
          <w:tcPr>
            <w:tcW w:w="7856" w:type="dxa"/>
          </w:tcPr>
          <w:p w:rsidR="00612780" w:rsidRPr="00D51A68" w:rsidRDefault="00612780" w:rsidP="00612780">
            <w:pPr>
              <w:spacing w:before="0" w:after="0"/>
              <w:jc w:val="left"/>
              <w:rPr>
                <w:rFonts w:ascii="Times New Roman" w:hAnsi="Times New Roman"/>
                <w:b/>
                <w:sz w:val="24"/>
                <w:u w:val="single"/>
              </w:rPr>
            </w:pPr>
            <w:r w:rsidRPr="00D51A68">
              <w:rPr>
                <w:rFonts w:ascii="Times New Roman" w:hAnsi="Times New Roman"/>
                <w:b/>
                <w:sz w:val="24"/>
                <w:u w:val="single"/>
              </w:rPr>
              <w:t>METODO LOOK-THROUGH DI CUI: FATTORE DI PONDERAZIONE DEL RISCHIO MEDIO (%)</w:t>
            </w:r>
          </w:p>
          <w:p w:rsidR="00612780" w:rsidRPr="00D51A68" w:rsidRDefault="00612780" w:rsidP="00612780">
            <w:pPr>
              <w:spacing w:before="0" w:after="0"/>
              <w:jc w:val="left"/>
              <w:rPr>
                <w:rFonts w:ascii="Times New Roman" w:hAnsi="Times New Roman"/>
                <w:sz w:val="24"/>
              </w:rPr>
            </w:pPr>
          </w:p>
          <w:p w:rsidR="00612780" w:rsidRPr="00D51A68" w:rsidRDefault="00612780" w:rsidP="00612780">
            <w:pPr>
              <w:spacing w:before="0" w:after="0"/>
              <w:jc w:val="left"/>
              <w:rPr>
                <w:rFonts w:ascii="Times New Roman" w:hAnsi="Times New Roman"/>
                <w:sz w:val="24"/>
              </w:rPr>
            </w:pPr>
            <w:r w:rsidRPr="00D51A68">
              <w:rPr>
                <w:rFonts w:ascii="Times New Roman" w:hAnsi="Times New Roman"/>
                <w:sz w:val="24"/>
              </w:rPr>
              <w:t>È segnalato il fattore di ponderazione del rischio medio ponderato per il valore dell</w:t>
            </w:r>
            <w:r w:rsidR="0009277C" w:rsidRPr="00D51A68">
              <w:rPr>
                <w:rFonts w:ascii="Times New Roman" w:hAnsi="Times New Roman"/>
                <w:sz w:val="24"/>
              </w:rPr>
              <w:t>’</w:t>
            </w:r>
            <w:r w:rsidRPr="00D51A68">
              <w:rPr>
                <w:rFonts w:ascii="Times New Roman" w:hAnsi="Times New Roman"/>
                <w:sz w:val="24"/>
              </w:rPr>
              <w:t>esposizione.</w:t>
            </w:r>
          </w:p>
          <w:p w:rsidR="00612780" w:rsidRPr="00D51A68" w:rsidRDefault="00612780" w:rsidP="00612780">
            <w:pPr>
              <w:spacing w:before="0" w:after="0"/>
              <w:jc w:val="left"/>
              <w:rPr>
                <w:rFonts w:ascii="Times New Roman" w:hAnsi="Times New Roman"/>
                <w:sz w:val="24"/>
              </w:rPr>
            </w:pPr>
          </w:p>
        </w:tc>
      </w:tr>
      <w:tr w:rsidR="00612780" w:rsidRPr="00D51A68" w:rsidTr="00672D2A">
        <w:tc>
          <w:tcPr>
            <w:tcW w:w="1101" w:type="dxa"/>
          </w:tcPr>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310</w:t>
            </w:r>
          </w:p>
        </w:tc>
        <w:tc>
          <w:tcPr>
            <w:tcW w:w="7856" w:type="dxa"/>
          </w:tcPr>
          <w:p w:rsidR="00612780" w:rsidRPr="00D51A68" w:rsidRDefault="00612780" w:rsidP="00612780">
            <w:pPr>
              <w:spacing w:before="0" w:after="0"/>
              <w:jc w:val="left"/>
              <w:rPr>
                <w:rFonts w:ascii="Times New Roman" w:hAnsi="Times New Roman"/>
                <w:b/>
                <w:sz w:val="24"/>
                <w:u w:val="single"/>
              </w:rPr>
            </w:pPr>
            <w:r w:rsidRPr="00D51A68">
              <w:rPr>
                <w:rFonts w:ascii="Times New Roman" w:hAnsi="Times New Roman"/>
                <w:b/>
                <w:sz w:val="24"/>
                <w:u w:val="single"/>
              </w:rPr>
              <w:t>METODO DELLA VALUTAZIONE INTERNA (IAA)</w:t>
            </w:r>
          </w:p>
          <w:p w:rsidR="00612780" w:rsidRPr="00D51A68" w:rsidRDefault="00612780" w:rsidP="00612780">
            <w:pPr>
              <w:spacing w:before="0" w:after="0"/>
              <w:jc w:val="left"/>
              <w:rPr>
                <w:rFonts w:ascii="Times New Roman" w:hAnsi="Times New Roman"/>
                <w:sz w:val="24"/>
              </w:rPr>
            </w:pPr>
          </w:p>
          <w:p w:rsidR="00612780" w:rsidRPr="00D51A68" w:rsidRDefault="00612780" w:rsidP="00612780">
            <w:pPr>
              <w:spacing w:before="0" w:after="0"/>
              <w:jc w:val="left"/>
              <w:rPr>
                <w:rFonts w:ascii="Times New Roman" w:hAnsi="Times New Roman"/>
                <w:sz w:val="24"/>
              </w:rPr>
            </w:pPr>
            <w:r w:rsidRPr="00D51A68">
              <w:rPr>
                <w:rFonts w:ascii="Times New Roman" w:hAnsi="Times New Roman"/>
                <w:sz w:val="24"/>
              </w:rPr>
              <w:t xml:space="preserve">Articolo 109, paragrafo 1, e articolo 259, paragrafo 3, del CRR. </w:t>
            </w:r>
            <w:r w:rsidRPr="00D51A68">
              <w:rPr>
                <w:rFonts w:ascii="Times New Roman" w:hAnsi="Times New Roman"/>
                <w:sz w:val="24"/>
                <w:u w:val="single"/>
              </w:rPr>
              <w:t>Valore dell</w:t>
            </w:r>
            <w:r w:rsidR="0009277C" w:rsidRPr="00D51A68">
              <w:rPr>
                <w:rFonts w:ascii="Times New Roman" w:hAnsi="Times New Roman"/>
                <w:sz w:val="24"/>
                <w:u w:val="single"/>
              </w:rPr>
              <w:t>’</w:t>
            </w:r>
            <w:r w:rsidRPr="00D51A68">
              <w:rPr>
                <w:rFonts w:ascii="Times New Roman" w:hAnsi="Times New Roman"/>
                <w:sz w:val="24"/>
                <w:u w:val="single"/>
              </w:rPr>
              <w:t>esposizione di posizioni verso la</w:t>
            </w:r>
            <w:r w:rsidRPr="00D51A68">
              <w:rPr>
                <w:rFonts w:ascii="Times New Roman" w:hAnsi="Times New Roman"/>
                <w:sz w:val="24"/>
              </w:rPr>
              <w:t xml:space="preserve"> cartolarizzazione </w:t>
            </w:r>
            <w:r w:rsidRPr="00D51A68">
              <w:rPr>
                <w:rFonts w:ascii="Times New Roman" w:hAnsi="Times New Roman"/>
                <w:sz w:val="24"/>
                <w:u w:val="single"/>
              </w:rPr>
              <w:t>secondo il metodo della valutazione interna.</w:t>
            </w:r>
          </w:p>
          <w:p w:rsidR="00612780" w:rsidRPr="00D51A68" w:rsidRDefault="00612780" w:rsidP="00612780">
            <w:pPr>
              <w:spacing w:before="0" w:after="0"/>
              <w:jc w:val="left"/>
              <w:rPr>
                <w:rFonts w:ascii="Times New Roman" w:hAnsi="Times New Roman"/>
                <w:b/>
                <w:sz w:val="24"/>
                <w:u w:val="single"/>
              </w:rPr>
            </w:pPr>
          </w:p>
        </w:tc>
      </w:tr>
      <w:tr w:rsidR="00612780" w:rsidRPr="00D51A68" w:rsidTr="00672D2A">
        <w:tc>
          <w:tcPr>
            <w:tcW w:w="1101" w:type="dxa"/>
          </w:tcPr>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320</w:t>
            </w:r>
          </w:p>
        </w:tc>
        <w:tc>
          <w:tcPr>
            <w:tcW w:w="7856" w:type="dxa"/>
          </w:tcPr>
          <w:p w:rsidR="00612780" w:rsidRPr="00D51A68" w:rsidRDefault="00612780" w:rsidP="00612780">
            <w:pPr>
              <w:spacing w:before="0" w:after="0"/>
              <w:jc w:val="left"/>
              <w:rPr>
                <w:rFonts w:ascii="Times New Roman" w:hAnsi="Times New Roman"/>
                <w:b/>
                <w:sz w:val="24"/>
                <w:u w:val="single"/>
              </w:rPr>
            </w:pPr>
            <w:r w:rsidRPr="00D51A68">
              <w:rPr>
                <w:rFonts w:ascii="Times New Roman" w:hAnsi="Times New Roman"/>
                <w:b/>
                <w:sz w:val="24"/>
                <w:u w:val="single"/>
              </w:rPr>
              <w:t>IAA: FATTORE DI PONDERAZIONE DEL RISCHIO MEDIO (%)</w:t>
            </w:r>
          </w:p>
          <w:p w:rsidR="00612780" w:rsidRPr="00D51A68" w:rsidRDefault="00612780" w:rsidP="00612780">
            <w:pPr>
              <w:spacing w:before="0" w:after="0"/>
              <w:jc w:val="left"/>
              <w:rPr>
                <w:rFonts w:ascii="Times New Roman" w:hAnsi="Times New Roman"/>
                <w:b/>
                <w:sz w:val="24"/>
                <w:u w:val="single"/>
              </w:rPr>
            </w:pPr>
          </w:p>
          <w:p w:rsidR="00612780" w:rsidRPr="00D51A68" w:rsidRDefault="00612780" w:rsidP="00612780">
            <w:pPr>
              <w:spacing w:before="0" w:after="0"/>
              <w:jc w:val="left"/>
              <w:rPr>
                <w:rFonts w:ascii="Times New Roman" w:hAnsi="Times New Roman"/>
                <w:sz w:val="24"/>
              </w:rPr>
            </w:pPr>
            <w:r w:rsidRPr="00D51A68">
              <w:rPr>
                <w:rFonts w:ascii="Times New Roman" w:hAnsi="Times New Roman"/>
                <w:sz w:val="24"/>
              </w:rPr>
              <w:t>È segnalato il fattore di ponderazione del rischio medio ponderato per il valore dell</w:t>
            </w:r>
            <w:r w:rsidR="0009277C" w:rsidRPr="00D51A68">
              <w:rPr>
                <w:rFonts w:ascii="Times New Roman" w:hAnsi="Times New Roman"/>
                <w:sz w:val="24"/>
              </w:rPr>
              <w:t>’</w:t>
            </w:r>
            <w:r w:rsidRPr="00D51A68">
              <w:rPr>
                <w:rFonts w:ascii="Times New Roman" w:hAnsi="Times New Roman"/>
                <w:sz w:val="24"/>
              </w:rPr>
              <w:t>esposizione.</w:t>
            </w:r>
          </w:p>
          <w:p w:rsidR="00612780" w:rsidRPr="00D51A68" w:rsidRDefault="00612780" w:rsidP="00612780">
            <w:pPr>
              <w:spacing w:before="0" w:after="0"/>
              <w:jc w:val="left"/>
              <w:rPr>
                <w:rFonts w:ascii="Times New Roman" w:hAnsi="Times New Roman"/>
                <w:b/>
                <w:sz w:val="24"/>
                <w:u w:val="single"/>
              </w:rPr>
            </w:pPr>
          </w:p>
        </w:tc>
      </w:tr>
      <w:tr w:rsidR="00612780" w:rsidRPr="00D51A68" w:rsidTr="00672D2A">
        <w:tc>
          <w:tcPr>
            <w:tcW w:w="1101" w:type="dxa"/>
          </w:tcPr>
          <w:p w:rsidR="00612780" w:rsidRPr="00D51A68" w:rsidRDefault="00612780" w:rsidP="00612780">
            <w:pPr>
              <w:autoSpaceDE w:val="0"/>
              <w:autoSpaceDN w:val="0"/>
              <w:adjustRightInd w:val="0"/>
              <w:spacing w:before="0" w:after="0"/>
              <w:rPr>
                <w:rFonts w:ascii="Times New Roman" w:hAnsi="Times New Roman"/>
                <w:bCs/>
                <w:sz w:val="24"/>
              </w:rPr>
            </w:pPr>
            <w:r w:rsidRPr="00D51A68">
              <w:rPr>
                <w:rFonts w:ascii="Times New Roman" w:hAnsi="Times New Roman"/>
                <w:sz w:val="24"/>
              </w:rPr>
              <w:t>330</w:t>
            </w:r>
          </w:p>
        </w:tc>
        <w:tc>
          <w:tcPr>
            <w:tcW w:w="7856" w:type="dxa"/>
          </w:tcPr>
          <w:p w:rsidR="00612780" w:rsidRPr="00D51A68" w:rsidRDefault="00612780" w:rsidP="00612780">
            <w:pPr>
              <w:spacing w:before="0" w:after="0"/>
              <w:jc w:val="left"/>
              <w:rPr>
                <w:rFonts w:ascii="Times New Roman" w:hAnsi="Times New Roman"/>
                <w:b/>
                <w:sz w:val="24"/>
                <w:u w:val="single"/>
              </w:rPr>
            </w:pPr>
            <w:r w:rsidRPr="00D51A68">
              <w:rPr>
                <w:rFonts w:ascii="Times New Roman" w:hAnsi="Times New Roman"/>
                <w:b/>
                <w:sz w:val="24"/>
                <w:u w:val="single"/>
              </w:rPr>
              <w:t>IMPORTO DELL</w:t>
            </w:r>
            <w:r w:rsidR="0009277C" w:rsidRPr="00D51A68">
              <w:rPr>
                <w:rFonts w:ascii="Times New Roman" w:hAnsi="Times New Roman"/>
                <w:b/>
                <w:sz w:val="24"/>
                <w:u w:val="single"/>
              </w:rPr>
              <w:t>’</w:t>
            </w:r>
            <w:r w:rsidRPr="00D51A68">
              <w:rPr>
                <w:rFonts w:ascii="Times New Roman" w:hAnsi="Times New Roman"/>
                <w:b/>
                <w:sz w:val="24"/>
                <w:u w:val="single"/>
              </w:rPr>
              <w:t>ESPOSIZIONE PONDERATO PER IL RISCHIO</w:t>
            </w:r>
          </w:p>
          <w:p w:rsidR="00612780" w:rsidRPr="00D51A68" w:rsidRDefault="00612780" w:rsidP="00612780">
            <w:pPr>
              <w:spacing w:before="0" w:after="0"/>
              <w:jc w:val="left"/>
              <w:rPr>
                <w:rFonts w:ascii="Times New Roman" w:hAnsi="Times New Roman"/>
                <w:sz w:val="24"/>
              </w:rPr>
            </w:pPr>
          </w:p>
          <w:p w:rsidR="00612780" w:rsidRPr="00D51A68" w:rsidRDefault="00612780" w:rsidP="00612780">
            <w:pPr>
              <w:spacing w:before="0" w:after="0"/>
              <w:rPr>
                <w:rFonts w:ascii="Times New Roman" w:hAnsi="Times New Roman"/>
                <w:sz w:val="24"/>
              </w:rPr>
            </w:pPr>
            <w:r w:rsidRPr="00D51A68">
              <w:rPr>
                <w:rFonts w:ascii="Times New Roman" w:hAnsi="Times New Roman"/>
                <w:sz w:val="24"/>
              </w:rPr>
              <w:t>Importo totale dell</w:t>
            </w:r>
            <w:r w:rsidR="0009277C" w:rsidRPr="00D51A68">
              <w:rPr>
                <w:rFonts w:ascii="Times New Roman" w:hAnsi="Times New Roman"/>
                <w:sz w:val="24"/>
              </w:rPr>
              <w:t>’</w:t>
            </w:r>
            <w:r w:rsidRPr="00D51A68">
              <w:rPr>
                <w:rFonts w:ascii="Times New Roman" w:hAnsi="Times New Roman"/>
                <w:sz w:val="24"/>
              </w:rPr>
              <w:t>esposizione ponderato per il rischio calcolato conformemente alla parte tre, titolo II, capo 5, sezione 3, del CRR, prima delle rettifiche dovute a disallineamenti di durata o violazioni delle disposizioni in materia di due diligence, escluso qualsiasi importo dell</w:t>
            </w:r>
            <w:r w:rsidR="0009277C" w:rsidRPr="00D51A68">
              <w:rPr>
                <w:rFonts w:ascii="Times New Roman" w:hAnsi="Times New Roman"/>
                <w:sz w:val="24"/>
              </w:rPr>
              <w:t>’</w:t>
            </w:r>
            <w:r w:rsidRPr="00D51A68">
              <w:rPr>
                <w:rFonts w:ascii="Times New Roman" w:hAnsi="Times New Roman"/>
                <w:sz w:val="24"/>
              </w:rPr>
              <w:t xml:space="preserve">esposizione ponderato per il rischio riguardante esposizioni riassegnate a un altro modello mediante deflussi. </w:t>
            </w:r>
          </w:p>
          <w:p w:rsidR="00612780" w:rsidRPr="00D51A68" w:rsidRDefault="00612780" w:rsidP="00612780">
            <w:pPr>
              <w:spacing w:before="0" w:after="0"/>
              <w:jc w:val="left"/>
              <w:rPr>
                <w:rFonts w:ascii="Times New Roman" w:hAnsi="Times New Roman"/>
                <w:sz w:val="24"/>
              </w:rPr>
            </w:pPr>
          </w:p>
        </w:tc>
      </w:tr>
      <w:tr w:rsidR="00612780" w:rsidRPr="00D51A68" w:rsidTr="00672D2A">
        <w:tc>
          <w:tcPr>
            <w:tcW w:w="1101" w:type="dxa"/>
          </w:tcPr>
          <w:p w:rsidR="00612780" w:rsidRPr="00D51A68" w:rsidRDefault="00612780" w:rsidP="00612780">
            <w:pPr>
              <w:autoSpaceDE w:val="0"/>
              <w:autoSpaceDN w:val="0"/>
              <w:adjustRightInd w:val="0"/>
              <w:spacing w:before="0" w:after="0"/>
              <w:rPr>
                <w:rFonts w:ascii="Times New Roman" w:hAnsi="Times New Roman"/>
                <w:bCs/>
                <w:sz w:val="24"/>
              </w:rPr>
            </w:pPr>
            <w:r w:rsidRPr="00D51A68">
              <w:rPr>
                <w:rFonts w:ascii="Times New Roman" w:hAnsi="Times New Roman"/>
                <w:sz w:val="24"/>
              </w:rPr>
              <w:t>340</w:t>
            </w:r>
          </w:p>
        </w:tc>
        <w:tc>
          <w:tcPr>
            <w:tcW w:w="7856" w:type="dxa"/>
          </w:tcPr>
          <w:p w:rsidR="00612780" w:rsidRPr="00D51A68" w:rsidRDefault="00612780" w:rsidP="00612780">
            <w:pPr>
              <w:spacing w:before="0" w:after="0"/>
              <w:jc w:val="left"/>
              <w:rPr>
                <w:rFonts w:ascii="Times New Roman" w:hAnsi="Times New Roman"/>
                <w:b/>
                <w:sz w:val="24"/>
                <w:u w:val="single"/>
              </w:rPr>
            </w:pPr>
            <w:r w:rsidRPr="00D51A68">
              <w:rPr>
                <w:rFonts w:ascii="Times New Roman" w:hAnsi="Times New Roman"/>
                <w:b/>
                <w:sz w:val="24"/>
                <w:u w:val="single"/>
              </w:rPr>
              <w:t>DI CUI: CARTOLARIZZAZIONI SINTETICHE</w:t>
            </w:r>
          </w:p>
          <w:p w:rsidR="00612780" w:rsidRPr="00D51A68" w:rsidRDefault="00612780" w:rsidP="00612780">
            <w:pPr>
              <w:spacing w:before="0" w:after="0"/>
              <w:jc w:val="left"/>
              <w:rPr>
                <w:rFonts w:ascii="Times New Roman" w:hAnsi="Times New Roman"/>
                <w:sz w:val="24"/>
              </w:rPr>
            </w:pPr>
          </w:p>
          <w:p w:rsidR="00612780" w:rsidRPr="00D51A68" w:rsidRDefault="00612780" w:rsidP="00612780">
            <w:pPr>
              <w:spacing w:before="0" w:after="0"/>
              <w:rPr>
                <w:rFonts w:ascii="Times New Roman" w:hAnsi="Times New Roman"/>
                <w:sz w:val="24"/>
              </w:rPr>
            </w:pPr>
            <w:r w:rsidRPr="00D51A68">
              <w:rPr>
                <w:rFonts w:ascii="Times New Roman" w:hAnsi="Times New Roman"/>
                <w:sz w:val="24"/>
              </w:rPr>
              <w:t>Per le cartolarizzazioni sintetiche, l</w:t>
            </w:r>
            <w:r w:rsidR="0009277C" w:rsidRPr="00D51A68">
              <w:rPr>
                <w:rFonts w:ascii="Times New Roman" w:hAnsi="Times New Roman"/>
                <w:sz w:val="24"/>
              </w:rPr>
              <w:t>’</w:t>
            </w:r>
            <w:r w:rsidRPr="00D51A68">
              <w:rPr>
                <w:rFonts w:ascii="Times New Roman" w:hAnsi="Times New Roman"/>
                <w:sz w:val="24"/>
              </w:rPr>
              <w:t>importo da segnalare in questa colonna non tiene conto dei disallineamenti di durata.</w:t>
            </w:r>
          </w:p>
          <w:p w:rsidR="00612780" w:rsidRPr="00D51A68" w:rsidRDefault="00612780" w:rsidP="00612780">
            <w:pPr>
              <w:spacing w:before="0" w:after="0"/>
              <w:jc w:val="left"/>
              <w:rPr>
                <w:rFonts w:ascii="Times New Roman" w:hAnsi="Times New Roman"/>
                <w:sz w:val="24"/>
              </w:rPr>
            </w:pPr>
          </w:p>
        </w:tc>
      </w:tr>
      <w:tr w:rsidR="00612780" w:rsidRPr="00D51A68" w:rsidTr="00672D2A">
        <w:tc>
          <w:tcPr>
            <w:tcW w:w="1101" w:type="dxa"/>
          </w:tcPr>
          <w:p w:rsidR="00612780" w:rsidRPr="00D51A68" w:rsidRDefault="00612780" w:rsidP="00612780">
            <w:pPr>
              <w:autoSpaceDE w:val="0"/>
              <w:autoSpaceDN w:val="0"/>
              <w:adjustRightInd w:val="0"/>
              <w:spacing w:before="0" w:after="0"/>
              <w:rPr>
                <w:rFonts w:ascii="Times New Roman" w:hAnsi="Times New Roman"/>
                <w:bCs/>
                <w:sz w:val="24"/>
              </w:rPr>
            </w:pPr>
            <w:r w:rsidRPr="00D51A68">
              <w:rPr>
                <w:rFonts w:ascii="Times New Roman" w:hAnsi="Times New Roman"/>
                <w:sz w:val="24"/>
              </w:rPr>
              <w:t>350</w:t>
            </w:r>
          </w:p>
        </w:tc>
        <w:tc>
          <w:tcPr>
            <w:tcW w:w="7856" w:type="dxa"/>
          </w:tcPr>
          <w:p w:rsidR="00612780" w:rsidRPr="00D51A68" w:rsidRDefault="00612780" w:rsidP="00612780">
            <w:pPr>
              <w:spacing w:before="0" w:after="0"/>
              <w:jc w:val="left"/>
              <w:rPr>
                <w:rFonts w:ascii="Times New Roman" w:hAnsi="Times New Roman"/>
                <w:b/>
                <w:sz w:val="24"/>
                <w:u w:val="single"/>
              </w:rPr>
            </w:pPr>
            <w:r w:rsidRPr="00D51A68">
              <w:rPr>
                <w:rFonts w:ascii="Times New Roman" w:hAnsi="Times New Roman"/>
                <w:b/>
                <w:sz w:val="24"/>
                <w:u w:val="single"/>
              </w:rPr>
              <w:t>EFFETTO GENERALE (RETTIFICA) DOVUTO ALLA VIOLAZIONE DELLE DISPOSIZIONI IN MATERIA DI DUE DILIGENCE</w:t>
            </w:r>
          </w:p>
          <w:p w:rsidR="00612780" w:rsidRPr="00D51A68" w:rsidRDefault="00612780" w:rsidP="00612780">
            <w:pPr>
              <w:spacing w:before="0" w:after="0"/>
              <w:jc w:val="left"/>
              <w:rPr>
                <w:rFonts w:ascii="Times New Roman" w:hAnsi="Times New Roman"/>
                <w:sz w:val="24"/>
              </w:rPr>
            </w:pPr>
          </w:p>
          <w:p w:rsidR="00612780" w:rsidRPr="00D51A68" w:rsidRDefault="00612780" w:rsidP="00551271">
            <w:pPr>
              <w:spacing w:before="0" w:after="0"/>
              <w:rPr>
                <w:rStyle w:val="InstructionsTabelleText"/>
                <w:rFonts w:ascii="Times New Roman" w:hAnsi="Times New Roman"/>
                <w:sz w:val="24"/>
              </w:rPr>
            </w:pPr>
            <w:r w:rsidRPr="00D51A68">
              <w:rPr>
                <w:rStyle w:val="InstructionsTabelleText"/>
                <w:rFonts w:ascii="Times New Roman" w:hAnsi="Times New Roman"/>
                <w:sz w:val="24"/>
              </w:rPr>
              <w:t>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articolo 14, paragrafo 2, 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articolo 406, paragrafo 2, e 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articolo 407 del CRR dispongono che, quando 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 xml:space="preserve">ente non rispetta determinati requisiti di cui agli articoli 405, 406 o 409 del CRR, gli Stati membri assicurino che le autorità competenti impongano un fattore aggiuntivo di ponderazione del rischio proporzionato non inferiore al 250% del fattore di ponderazione del rischio (limitato al 1 250%) che si applica alle relative posizioni verso la </w:t>
            </w:r>
            <w:r w:rsidRPr="00D51A68">
              <w:rPr>
                <w:rStyle w:val="InstructionsTabelleText"/>
                <w:rFonts w:ascii="Times New Roman" w:hAnsi="Times New Roman"/>
                <w:sz w:val="24"/>
              </w:rPr>
              <w:lastRenderedPageBreak/>
              <w:t>cartolarizzazione conformemente alla parte tre, titolo II, capo 5, sezione 3, del CRR. Tale fattore aggiuntivo di ponderazione del rischio può essere imposto non soltanto agli enti investitori ma anche ai cedenti, ai promotori e ai prestatori originari.</w:t>
            </w:r>
          </w:p>
          <w:p w:rsidR="00551271" w:rsidRPr="00D51A68" w:rsidRDefault="00551271" w:rsidP="00551271">
            <w:pPr>
              <w:spacing w:before="0" w:after="0"/>
              <w:rPr>
                <w:rFonts w:ascii="Times New Roman" w:hAnsi="Times New Roman"/>
                <w:sz w:val="24"/>
              </w:rPr>
            </w:pPr>
          </w:p>
        </w:tc>
      </w:tr>
      <w:tr w:rsidR="00612780" w:rsidRPr="00D51A68" w:rsidTr="00672D2A">
        <w:tc>
          <w:tcPr>
            <w:tcW w:w="1101" w:type="dxa"/>
          </w:tcPr>
          <w:p w:rsidR="00612780" w:rsidRPr="00D51A68" w:rsidRDefault="00612780" w:rsidP="00612780">
            <w:pPr>
              <w:autoSpaceDE w:val="0"/>
              <w:autoSpaceDN w:val="0"/>
              <w:adjustRightInd w:val="0"/>
              <w:spacing w:before="0" w:after="0"/>
              <w:rPr>
                <w:rFonts w:ascii="Times New Roman" w:hAnsi="Times New Roman"/>
                <w:bCs/>
                <w:sz w:val="24"/>
              </w:rPr>
            </w:pPr>
            <w:r w:rsidRPr="00D51A68">
              <w:rPr>
                <w:rFonts w:ascii="Times New Roman" w:hAnsi="Times New Roman"/>
                <w:sz w:val="24"/>
              </w:rPr>
              <w:lastRenderedPageBreak/>
              <w:t>360</w:t>
            </w:r>
          </w:p>
        </w:tc>
        <w:tc>
          <w:tcPr>
            <w:tcW w:w="7856" w:type="dxa"/>
          </w:tcPr>
          <w:p w:rsidR="00612780" w:rsidRPr="00D51A68" w:rsidRDefault="00612780" w:rsidP="00612780">
            <w:pPr>
              <w:spacing w:before="0" w:after="0"/>
              <w:jc w:val="left"/>
              <w:rPr>
                <w:rFonts w:ascii="Times New Roman" w:hAnsi="Times New Roman"/>
                <w:b/>
                <w:sz w:val="24"/>
                <w:u w:val="single"/>
              </w:rPr>
            </w:pPr>
            <w:r w:rsidRPr="00D51A68">
              <w:rPr>
                <w:rFonts w:ascii="Times New Roman" w:hAnsi="Times New Roman"/>
                <w:b/>
                <w:sz w:val="24"/>
                <w:u w:val="single"/>
              </w:rPr>
              <w:t>RETTIFICA DELL</w:t>
            </w:r>
            <w:r w:rsidR="0009277C" w:rsidRPr="00D51A68">
              <w:rPr>
                <w:rFonts w:ascii="Times New Roman" w:hAnsi="Times New Roman"/>
                <w:b/>
                <w:sz w:val="24"/>
                <w:u w:val="single"/>
              </w:rPr>
              <w:t>’</w:t>
            </w:r>
            <w:r w:rsidRPr="00D51A68">
              <w:rPr>
                <w:rFonts w:ascii="Times New Roman" w:hAnsi="Times New Roman"/>
                <w:b/>
                <w:sz w:val="24"/>
                <w:u w:val="single"/>
              </w:rPr>
              <w:t>IMPORTO DELLE ESPOSIZIONI PONDERATO PER IL RISCHIO DOVUTO A DISALLINEAMENTI DI DURATA</w:t>
            </w:r>
          </w:p>
          <w:p w:rsidR="00612780" w:rsidRPr="00D51A68" w:rsidRDefault="00612780" w:rsidP="00612780">
            <w:pPr>
              <w:spacing w:before="0" w:after="0"/>
              <w:jc w:val="left"/>
              <w:rPr>
                <w:rFonts w:ascii="Times New Roman" w:hAnsi="Times New Roman"/>
                <w:sz w:val="24"/>
              </w:rPr>
            </w:pPr>
          </w:p>
          <w:p w:rsidR="00612780" w:rsidRPr="00D51A68" w:rsidRDefault="00612780" w:rsidP="00612780">
            <w:pPr>
              <w:spacing w:before="0" w:after="0"/>
              <w:rPr>
                <w:rStyle w:val="InstructionsTabelleText"/>
                <w:rFonts w:ascii="Times New Roman" w:hAnsi="Times New Roman"/>
                <w:sz w:val="24"/>
              </w:rPr>
            </w:pPr>
            <w:r w:rsidRPr="00D51A68">
              <w:rPr>
                <w:rStyle w:val="InstructionsTabelleText"/>
                <w:rFonts w:ascii="Times New Roman" w:hAnsi="Times New Roman"/>
                <w:sz w:val="24"/>
              </w:rPr>
              <w:t>Nel caso di disallineamenti di durata nelle cartolarizzazioni sintetiche è inserito 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importo RW*-RW(SP), secondo la definizione dell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articolo 250 del CRR, tranne per i segmenti con una ponderazione del rischio del 1 250%, se 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importo da segnalare è zero. Si rileva che 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importo RW(SP) comprende non solo gli importi delle esposizioni ponderati per il</w:t>
            </w:r>
            <w:r w:rsidR="00985E17" w:rsidRPr="00D51A68">
              <w:rPr>
                <w:rStyle w:val="InstructionsTabelleText"/>
                <w:rFonts w:ascii="Times New Roman" w:hAnsi="Times New Roman"/>
                <w:sz w:val="24"/>
              </w:rPr>
              <w:t xml:space="preserve"> rischio indicati nella colonna </w:t>
            </w:r>
            <w:r w:rsidRPr="00D51A68">
              <w:rPr>
                <w:rStyle w:val="InstructionsTabelleText"/>
                <w:rFonts w:ascii="Times New Roman" w:hAnsi="Times New Roman"/>
                <w:sz w:val="24"/>
              </w:rPr>
              <w:t>330 ma anche gli importi ponderati per il rischio delle esposizioni riassegnate a altri modelli mediante deflussi.</w:t>
            </w:r>
          </w:p>
          <w:p w:rsidR="00612780" w:rsidRPr="00D51A68" w:rsidRDefault="00612780" w:rsidP="00612780">
            <w:pPr>
              <w:spacing w:before="0" w:after="0"/>
              <w:jc w:val="left"/>
              <w:rPr>
                <w:rFonts w:ascii="Times New Roman" w:hAnsi="Times New Roman"/>
                <w:sz w:val="24"/>
              </w:rPr>
            </w:pPr>
          </w:p>
        </w:tc>
      </w:tr>
      <w:tr w:rsidR="00612780" w:rsidRPr="00D51A68" w:rsidTr="00672D2A">
        <w:tc>
          <w:tcPr>
            <w:tcW w:w="1101" w:type="dxa"/>
          </w:tcPr>
          <w:p w:rsidR="00612780" w:rsidRPr="00D51A68" w:rsidDel="00F5392E"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370-380</w:t>
            </w:r>
          </w:p>
        </w:tc>
        <w:tc>
          <w:tcPr>
            <w:tcW w:w="7856" w:type="dxa"/>
          </w:tcPr>
          <w:p w:rsidR="00612780" w:rsidRPr="00D51A68" w:rsidRDefault="00612780" w:rsidP="00612780">
            <w:pPr>
              <w:spacing w:before="0" w:after="0"/>
              <w:jc w:val="left"/>
              <w:rPr>
                <w:rFonts w:ascii="Times New Roman" w:hAnsi="Times New Roman"/>
                <w:b/>
                <w:sz w:val="24"/>
                <w:u w:val="single"/>
              </w:rPr>
            </w:pPr>
            <w:r w:rsidRPr="00D51A68">
              <w:rPr>
                <w:rFonts w:ascii="Times New Roman" w:hAnsi="Times New Roman"/>
                <w:b/>
                <w:sz w:val="24"/>
                <w:u w:val="single"/>
              </w:rPr>
              <w:t>IMPORTO COMPLESSIVO DELLE ESPOSIZIONI PONDERATO PER IL RISCHIO: PRIMA DELL</w:t>
            </w:r>
            <w:r w:rsidR="0009277C" w:rsidRPr="00D51A68">
              <w:rPr>
                <w:rFonts w:ascii="Times New Roman" w:hAnsi="Times New Roman"/>
                <w:b/>
                <w:sz w:val="24"/>
                <w:u w:val="single"/>
              </w:rPr>
              <w:t>’</w:t>
            </w:r>
            <w:r w:rsidRPr="00D51A68">
              <w:rPr>
                <w:rFonts w:ascii="Times New Roman" w:hAnsi="Times New Roman"/>
                <w:b/>
                <w:sz w:val="24"/>
                <w:u w:val="single"/>
              </w:rPr>
              <w:t>APPLICAZIONE DEL MASSIMALE/DOPO L</w:t>
            </w:r>
            <w:r w:rsidR="0009277C" w:rsidRPr="00D51A68">
              <w:rPr>
                <w:rFonts w:ascii="Times New Roman" w:hAnsi="Times New Roman"/>
                <w:b/>
                <w:sz w:val="24"/>
                <w:u w:val="single"/>
              </w:rPr>
              <w:t>’</w:t>
            </w:r>
            <w:r w:rsidRPr="00D51A68">
              <w:rPr>
                <w:rFonts w:ascii="Times New Roman" w:hAnsi="Times New Roman"/>
                <w:b/>
                <w:sz w:val="24"/>
                <w:u w:val="single"/>
              </w:rPr>
              <w:t>APPLICAZIONE DEL MASSIMALE</w:t>
            </w:r>
          </w:p>
          <w:p w:rsidR="00612780" w:rsidRPr="00D51A68" w:rsidRDefault="00612780" w:rsidP="00612780">
            <w:pPr>
              <w:spacing w:before="0" w:after="0"/>
              <w:jc w:val="left"/>
              <w:rPr>
                <w:rFonts w:ascii="Times New Roman" w:hAnsi="Times New Roman"/>
                <w:sz w:val="24"/>
              </w:rPr>
            </w:pPr>
          </w:p>
          <w:p w:rsidR="00612780" w:rsidRPr="00D51A68" w:rsidRDefault="00612780" w:rsidP="00985E17">
            <w:pPr>
              <w:spacing w:before="0" w:after="0"/>
              <w:rPr>
                <w:rFonts w:ascii="Times New Roman" w:hAnsi="Times New Roman"/>
                <w:sz w:val="24"/>
              </w:rPr>
            </w:pPr>
            <w:r w:rsidRPr="00D51A68">
              <w:rPr>
                <w:rFonts w:ascii="Times New Roman" w:hAnsi="Times New Roman"/>
                <w:sz w:val="24"/>
              </w:rPr>
              <w:t>Importo complessivo delle esposizioni ponderato per il rischio calcolato ai sensi della parte tre, titolo II, capo 5, sezione 3</w:t>
            </w:r>
            <w:r w:rsidR="00985E17" w:rsidRPr="00D51A68">
              <w:rPr>
                <w:rFonts w:ascii="Times New Roman" w:hAnsi="Times New Roman"/>
                <w:sz w:val="24"/>
              </w:rPr>
              <w:t>, del CRR, prima (colonna </w:t>
            </w:r>
            <w:r w:rsidRPr="00D51A68">
              <w:rPr>
                <w:rFonts w:ascii="Times New Roman" w:hAnsi="Times New Roman"/>
                <w:sz w:val="24"/>
              </w:rPr>
              <w:t>370)/dopo (colonna</w:t>
            </w:r>
            <w:r w:rsidR="00985E17" w:rsidRPr="00D51A68">
              <w:rPr>
                <w:rFonts w:ascii="Times New Roman" w:hAnsi="Times New Roman"/>
                <w:sz w:val="24"/>
              </w:rPr>
              <w:t> </w:t>
            </w:r>
            <w:r w:rsidRPr="00D51A68">
              <w:rPr>
                <w:rFonts w:ascii="Times New Roman" w:hAnsi="Times New Roman"/>
                <w:sz w:val="24"/>
              </w:rPr>
              <w:t>380) l</w:t>
            </w:r>
            <w:r w:rsidR="0009277C" w:rsidRPr="00D51A68">
              <w:rPr>
                <w:rFonts w:ascii="Times New Roman" w:hAnsi="Times New Roman"/>
                <w:sz w:val="24"/>
              </w:rPr>
              <w:t>’</w:t>
            </w:r>
            <w:r w:rsidRPr="00D51A68">
              <w:rPr>
                <w:rFonts w:ascii="Times New Roman" w:hAnsi="Times New Roman"/>
                <w:sz w:val="24"/>
              </w:rPr>
              <w:t>applicazione dei limiti di cui all</w:t>
            </w:r>
            <w:r w:rsidR="0009277C" w:rsidRPr="00D51A68">
              <w:rPr>
                <w:rFonts w:ascii="Times New Roman" w:hAnsi="Times New Roman"/>
                <w:sz w:val="24"/>
              </w:rPr>
              <w:t>’</w:t>
            </w:r>
            <w:r w:rsidR="00985E17" w:rsidRPr="00D51A68">
              <w:rPr>
                <w:rFonts w:ascii="Times New Roman" w:hAnsi="Times New Roman"/>
                <w:sz w:val="24"/>
              </w:rPr>
              <w:t>articolo </w:t>
            </w:r>
            <w:r w:rsidRPr="00D51A68">
              <w:rPr>
                <w:rFonts w:ascii="Times New Roman" w:hAnsi="Times New Roman"/>
                <w:sz w:val="24"/>
              </w:rPr>
              <w:t>252 (cartolarizzazione di posizioni attualmente in stato di default o associate ad un rischio particolarmente elevato) o all</w:t>
            </w:r>
            <w:r w:rsidR="0009277C" w:rsidRPr="00D51A68">
              <w:rPr>
                <w:rFonts w:ascii="Times New Roman" w:hAnsi="Times New Roman"/>
                <w:sz w:val="24"/>
              </w:rPr>
              <w:t>’</w:t>
            </w:r>
            <w:r w:rsidRPr="00D51A68">
              <w:rPr>
                <w:rFonts w:ascii="Times New Roman" w:hAnsi="Times New Roman"/>
                <w:sz w:val="24"/>
              </w:rPr>
              <w:t>articolo 256, paragrafo 4 (requisiti aggiuntivi di fondi propri per le cartolarizzazioni delle esposizioni rotative provviste di clausole di rimborso anticipato), del CRR.</w:t>
            </w:r>
          </w:p>
          <w:p w:rsidR="00612780" w:rsidRPr="00D51A68" w:rsidRDefault="00612780" w:rsidP="00612780">
            <w:pPr>
              <w:spacing w:before="0" w:after="0"/>
              <w:jc w:val="left"/>
              <w:rPr>
                <w:rFonts w:ascii="Times New Roman" w:hAnsi="Times New Roman"/>
                <w:b/>
                <w:sz w:val="24"/>
                <w:u w:val="single"/>
              </w:rPr>
            </w:pPr>
          </w:p>
        </w:tc>
      </w:tr>
      <w:tr w:rsidR="00612780" w:rsidRPr="00D51A68" w:rsidTr="00672D2A">
        <w:tc>
          <w:tcPr>
            <w:tcW w:w="1101" w:type="dxa"/>
          </w:tcPr>
          <w:p w:rsidR="00612780" w:rsidRPr="00D51A68" w:rsidRDefault="00612780" w:rsidP="00612780">
            <w:pPr>
              <w:autoSpaceDE w:val="0"/>
              <w:autoSpaceDN w:val="0"/>
              <w:adjustRightInd w:val="0"/>
              <w:spacing w:before="0" w:after="0"/>
              <w:rPr>
                <w:rFonts w:ascii="Times New Roman" w:hAnsi="Times New Roman"/>
                <w:bCs/>
                <w:sz w:val="24"/>
              </w:rPr>
            </w:pPr>
            <w:r w:rsidRPr="00D51A68">
              <w:rPr>
                <w:rFonts w:ascii="Times New Roman" w:hAnsi="Times New Roman"/>
                <w:sz w:val="24"/>
              </w:rPr>
              <w:t>390</w:t>
            </w:r>
          </w:p>
        </w:tc>
        <w:tc>
          <w:tcPr>
            <w:tcW w:w="7856" w:type="dxa"/>
          </w:tcPr>
          <w:p w:rsidR="00612780" w:rsidRPr="00D51A68" w:rsidRDefault="00612780" w:rsidP="00612780">
            <w:pPr>
              <w:spacing w:before="0" w:after="0"/>
              <w:jc w:val="left"/>
              <w:rPr>
                <w:rFonts w:ascii="Times New Roman" w:hAnsi="Times New Roman"/>
                <w:b/>
                <w:sz w:val="24"/>
                <w:u w:val="single"/>
              </w:rPr>
            </w:pPr>
            <w:r w:rsidRPr="00D51A68">
              <w:rPr>
                <w:rFonts w:ascii="Times New Roman" w:hAnsi="Times New Roman"/>
                <w:b/>
                <w:sz w:val="24"/>
                <w:u w:val="single"/>
              </w:rPr>
              <w:t>VOCE PER MEMORIA: IMPORTO DELLE ESPOSIZIONI PONDERATO PER IL RISCHIO CORRISPONDENTE AI DEFLUSSI DALLA CARTOLARIZZAZIONE IN BASE AL METODO STANDARDIZZATO VERSO ALTRE CLASSI DI ESPOSIZIONI</w:t>
            </w:r>
          </w:p>
          <w:p w:rsidR="00612780" w:rsidRPr="00D51A68" w:rsidRDefault="00612780" w:rsidP="00612780">
            <w:pPr>
              <w:spacing w:before="0" w:after="0"/>
              <w:jc w:val="left"/>
              <w:rPr>
                <w:rFonts w:ascii="Times New Roman" w:hAnsi="Times New Roman"/>
                <w:sz w:val="24"/>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Importo delle esposizioni ponderato per il rischio derivante dalle esposizioni riassegnate al fornitore degli strumenti di attenuazione del rischio e pertanto computate nel modello corrispondente, che sono prese in considerazione nel calcolo del massimale delle posizioni verso la cartolarizzazione.</w:t>
            </w:r>
          </w:p>
          <w:p w:rsidR="00612780" w:rsidRPr="00D51A68" w:rsidRDefault="00612780" w:rsidP="00612780">
            <w:pPr>
              <w:spacing w:before="0" w:after="0"/>
              <w:jc w:val="left"/>
              <w:rPr>
                <w:rFonts w:ascii="Times New Roman" w:hAnsi="Times New Roman"/>
                <w:sz w:val="24"/>
              </w:rPr>
            </w:pPr>
          </w:p>
        </w:tc>
      </w:tr>
    </w:tbl>
    <w:p w:rsidR="00612780" w:rsidRPr="00D51A68" w:rsidRDefault="00612780" w:rsidP="00612780">
      <w:pPr>
        <w:spacing w:before="0" w:after="0"/>
        <w:jc w:val="left"/>
        <w:rPr>
          <w:rFonts w:ascii="Times New Roman" w:hAnsi="Times New Roman"/>
          <w:sz w:val="24"/>
        </w:rPr>
      </w:pPr>
    </w:p>
    <w:p w:rsidR="00612780" w:rsidRPr="00D51A68" w:rsidRDefault="00125707" w:rsidP="00F31236">
      <w:pPr>
        <w:pStyle w:val="InstructionsText2"/>
        <w:numPr>
          <w:ilvl w:val="0"/>
          <w:numId w:val="0"/>
        </w:numPr>
        <w:ind w:left="993"/>
      </w:pPr>
      <w:r w:rsidRPr="00D51A68">
        <w:t>102.</w:t>
      </w:r>
      <w:r w:rsidR="00A0772B" w:rsidRPr="00D51A68">
        <w:tab/>
      </w:r>
      <w:r w:rsidRPr="00D51A68">
        <w:t xml:space="preserve">Il modello CR SEC SA è suddiviso in tre grandi blocchi di righe contenenti dati riguardanti le esposizioni create/promosse/mantenute o acquistate da cedenti, investitori e promotori. Per ciascuna di esse le informazioni sono ripartite per elementi in bilancio e fuori bilancio e derivati, nonché per cartolarizzazioni e ricartolarizzazioni. </w:t>
      </w:r>
    </w:p>
    <w:p w:rsidR="00612780" w:rsidRPr="00D51A68" w:rsidRDefault="00125707" w:rsidP="00F31236">
      <w:pPr>
        <w:pStyle w:val="InstructionsText2"/>
        <w:numPr>
          <w:ilvl w:val="0"/>
          <w:numId w:val="0"/>
        </w:numPr>
        <w:ind w:left="993"/>
      </w:pPr>
      <w:r w:rsidRPr="00D51A68">
        <w:t>103.</w:t>
      </w:r>
      <w:r w:rsidR="00A0772B" w:rsidRPr="00D51A68">
        <w:tab/>
      </w:r>
      <w:r w:rsidRPr="00D51A68">
        <w:t>Anche le posizioni trattate secondo il metodo basato sui rating e le posizioni prive di rating (esposizioni alla data di riferimento per le segnalazioni) sono ripartite in base alle classi di merito di credito applicate all</w:t>
      </w:r>
      <w:r w:rsidR="0009277C" w:rsidRPr="00D51A68">
        <w:t>’</w:t>
      </w:r>
      <w:r w:rsidRPr="00D51A68">
        <w:t>avvio (ultimo blocco di righe). Questa informazione è segnalata dai cedenti, dai promotori e dagli investitori.</w:t>
      </w:r>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612780" w:rsidRPr="00D51A68" w:rsidTr="00672D2A">
        <w:tc>
          <w:tcPr>
            <w:tcW w:w="9004" w:type="dxa"/>
            <w:gridSpan w:val="2"/>
            <w:shd w:val="clear" w:color="auto" w:fill="CCCCCC"/>
          </w:tcPr>
          <w:p w:rsidR="00612780" w:rsidRPr="00D51A68" w:rsidRDefault="00612780" w:rsidP="00F71DF2">
            <w:pPr>
              <w:autoSpaceDE w:val="0"/>
              <w:autoSpaceDN w:val="0"/>
              <w:adjustRightInd w:val="0"/>
              <w:spacing w:before="0" w:after="0"/>
              <w:jc w:val="left"/>
              <w:rPr>
                <w:rFonts w:ascii="Times New Roman" w:hAnsi="Times New Roman"/>
                <w:bCs/>
                <w:sz w:val="24"/>
              </w:rPr>
            </w:pPr>
            <w:r w:rsidRPr="00D51A68">
              <w:rPr>
                <w:rFonts w:ascii="Times New Roman" w:hAnsi="Times New Roman"/>
                <w:b/>
                <w:sz w:val="24"/>
              </w:rPr>
              <w:lastRenderedPageBreak/>
              <w:t>Righe</w:t>
            </w:r>
          </w:p>
        </w:tc>
      </w:tr>
      <w:tr w:rsidR="00612780" w:rsidRPr="00D51A68" w:rsidTr="00672D2A">
        <w:tc>
          <w:tcPr>
            <w:tcW w:w="1101" w:type="dxa"/>
          </w:tcPr>
          <w:p w:rsidR="00612780" w:rsidRPr="00D51A68" w:rsidRDefault="00612780" w:rsidP="00612780">
            <w:pPr>
              <w:autoSpaceDE w:val="0"/>
              <w:autoSpaceDN w:val="0"/>
              <w:adjustRightInd w:val="0"/>
              <w:spacing w:before="0" w:after="0"/>
              <w:rPr>
                <w:rFonts w:ascii="Times New Roman" w:hAnsi="Times New Roman"/>
                <w:bCs/>
                <w:sz w:val="24"/>
              </w:rPr>
            </w:pPr>
            <w:r w:rsidRPr="00D51A68">
              <w:rPr>
                <w:rFonts w:ascii="Times New Roman" w:hAnsi="Times New Roman"/>
                <w:sz w:val="24"/>
              </w:rPr>
              <w:t>010</w:t>
            </w:r>
          </w:p>
        </w:tc>
        <w:tc>
          <w:tcPr>
            <w:tcW w:w="7903" w:type="dxa"/>
          </w:tcPr>
          <w:p w:rsidR="00612780" w:rsidRPr="00D51A68" w:rsidRDefault="00612780" w:rsidP="00612780">
            <w:pPr>
              <w:autoSpaceDE w:val="0"/>
              <w:autoSpaceDN w:val="0"/>
              <w:adjustRightInd w:val="0"/>
              <w:spacing w:before="0" w:after="0"/>
              <w:jc w:val="left"/>
              <w:rPr>
                <w:rFonts w:ascii="Times New Roman" w:hAnsi="Times New Roman"/>
                <w:b/>
                <w:sz w:val="24"/>
                <w:u w:val="single"/>
              </w:rPr>
            </w:pPr>
            <w:r w:rsidRPr="00D51A68">
              <w:rPr>
                <w:rFonts w:ascii="Times New Roman" w:hAnsi="Times New Roman"/>
                <w:b/>
                <w:sz w:val="24"/>
                <w:u w:val="single"/>
              </w:rPr>
              <w:t xml:space="preserve">ESPOSIZIONI TOTALI </w:t>
            </w:r>
          </w:p>
          <w:p w:rsidR="00612780" w:rsidRPr="00D51A68" w:rsidRDefault="00612780" w:rsidP="00612780">
            <w:pPr>
              <w:autoSpaceDE w:val="0"/>
              <w:autoSpaceDN w:val="0"/>
              <w:adjustRightInd w:val="0"/>
              <w:spacing w:before="0" w:after="0"/>
              <w:jc w:val="left"/>
              <w:rPr>
                <w:rFonts w:ascii="Times New Roman" w:hAnsi="Times New Roman"/>
                <w:sz w:val="24"/>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Le esposizioni totali fanno riferimento all</w:t>
            </w:r>
            <w:r w:rsidR="0009277C" w:rsidRPr="00D51A68">
              <w:rPr>
                <w:rFonts w:ascii="Times New Roman" w:hAnsi="Times New Roman"/>
                <w:sz w:val="24"/>
              </w:rPr>
              <w:t>’</w:t>
            </w:r>
            <w:r w:rsidRPr="00D51A68">
              <w:rPr>
                <w:rFonts w:ascii="Times New Roman" w:hAnsi="Times New Roman"/>
                <w:sz w:val="24"/>
              </w:rPr>
              <w:t>importo complessivo delle cartolarizzazioni in essere. Questa riga riassume tutte le informazioni segnalate dai cedenti, dai promotori e dagli investitori nelle righe successive.</w:t>
            </w:r>
          </w:p>
          <w:p w:rsidR="00612780" w:rsidRPr="00D51A68" w:rsidRDefault="00612780" w:rsidP="00612780">
            <w:pPr>
              <w:autoSpaceDE w:val="0"/>
              <w:autoSpaceDN w:val="0"/>
              <w:adjustRightInd w:val="0"/>
              <w:spacing w:before="0" w:after="0"/>
              <w:rPr>
                <w:rFonts w:ascii="Times New Roman" w:hAnsi="Times New Roman"/>
                <w:bCs/>
                <w:sz w:val="24"/>
              </w:rPr>
            </w:pPr>
          </w:p>
        </w:tc>
      </w:tr>
      <w:tr w:rsidR="00612780" w:rsidRPr="00D51A68" w:rsidTr="00672D2A">
        <w:tc>
          <w:tcPr>
            <w:tcW w:w="1101" w:type="dxa"/>
          </w:tcPr>
          <w:p w:rsidR="00612780" w:rsidRPr="00D51A68" w:rsidRDefault="00612780" w:rsidP="00612780">
            <w:pPr>
              <w:autoSpaceDE w:val="0"/>
              <w:autoSpaceDN w:val="0"/>
              <w:adjustRightInd w:val="0"/>
              <w:spacing w:before="0" w:after="0"/>
              <w:rPr>
                <w:rFonts w:ascii="Times New Roman" w:hAnsi="Times New Roman"/>
                <w:bCs/>
                <w:sz w:val="24"/>
              </w:rPr>
            </w:pPr>
            <w:r w:rsidRPr="00D51A68">
              <w:rPr>
                <w:rFonts w:ascii="Times New Roman" w:hAnsi="Times New Roman"/>
                <w:sz w:val="24"/>
              </w:rPr>
              <w:t>020</w:t>
            </w:r>
          </w:p>
        </w:tc>
        <w:tc>
          <w:tcPr>
            <w:tcW w:w="7903" w:type="dxa"/>
          </w:tcPr>
          <w:p w:rsidR="00612780" w:rsidRPr="00D51A68" w:rsidRDefault="00612780" w:rsidP="00612780">
            <w:pPr>
              <w:autoSpaceDE w:val="0"/>
              <w:autoSpaceDN w:val="0"/>
              <w:adjustRightInd w:val="0"/>
              <w:spacing w:before="0" w:after="0"/>
              <w:jc w:val="left"/>
              <w:rPr>
                <w:rFonts w:ascii="Times New Roman" w:hAnsi="Times New Roman"/>
                <w:b/>
                <w:sz w:val="24"/>
                <w:u w:val="single"/>
              </w:rPr>
            </w:pPr>
            <w:r w:rsidRPr="00D51A68">
              <w:rPr>
                <w:rFonts w:ascii="Times New Roman" w:hAnsi="Times New Roman"/>
                <w:b/>
                <w:sz w:val="24"/>
                <w:u w:val="single"/>
              </w:rPr>
              <w:t>DI CUI: RICARTOLARIZZAZIONI</w:t>
            </w:r>
          </w:p>
          <w:p w:rsidR="00612780" w:rsidRPr="00D51A68" w:rsidRDefault="00612780" w:rsidP="00612780">
            <w:pPr>
              <w:autoSpaceDE w:val="0"/>
              <w:autoSpaceDN w:val="0"/>
              <w:adjustRightInd w:val="0"/>
              <w:spacing w:before="0" w:after="0"/>
              <w:jc w:val="left"/>
              <w:rPr>
                <w:rFonts w:ascii="Times New Roman" w:hAnsi="Times New Roman"/>
                <w:b/>
                <w:sz w:val="24"/>
                <w:u w:val="single"/>
              </w:rPr>
            </w:pPr>
          </w:p>
          <w:p w:rsidR="00612780" w:rsidRPr="00D51A68" w:rsidRDefault="00612780" w:rsidP="00612780">
            <w:pPr>
              <w:autoSpaceDE w:val="0"/>
              <w:autoSpaceDN w:val="0"/>
              <w:adjustRightInd w:val="0"/>
              <w:spacing w:before="0" w:after="0"/>
              <w:jc w:val="left"/>
              <w:rPr>
                <w:rFonts w:ascii="Times New Roman" w:hAnsi="Times New Roman"/>
                <w:sz w:val="24"/>
              </w:rPr>
            </w:pPr>
            <w:r w:rsidRPr="00D51A68">
              <w:rPr>
                <w:rFonts w:ascii="Times New Roman" w:hAnsi="Times New Roman"/>
                <w:sz w:val="24"/>
              </w:rPr>
              <w:t>Importo complessivo delle ricartolarizzazioni in essere conformemente alle definizioni di cui all</w:t>
            </w:r>
            <w:r w:rsidR="0009277C" w:rsidRPr="00D51A68">
              <w:rPr>
                <w:rFonts w:ascii="Times New Roman" w:hAnsi="Times New Roman"/>
                <w:sz w:val="24"/>
              </w:rPr>
              <w:t>’</w:t>
            </w:r>
            <w:r w:rsidRPr="00D51A68">
              <w:rPr>
                <w:rFonts w:ascii="Times New Roman" w:hAnsi="Times New Roman"/>
                <w:sz w:val="24"/>
              </w:rPr>
              <w:t>articolo 4, paragrafo 1, punti 63 e 64, del CRR.</w:t>
            </w:r>
          </w:p>
          <w:p w:rsidR="00612780" w:rsidRPr="00D51A68" w:rsidRDefault="00612780" w:rsidP="00612780">
            <w:pPr>
              <w:autoSpaceDE w:val="0"/>
              <w:autoSpaceDN w:val="0"/>
              <w:adjustRightInd w:val="0"/>
              <w:spacing w:before="0" w:after="0"/>
              <w:jc w:val="left"/>
              <w:rPr>
                <w:rFonts w:ascii="Times New Roman" w:hAnsi="Times New Roman"/>
                <w:sz w:val="24"/>
              </w:rPr>
            </w:pPr>
          </w:p>
        </w:tc>
      </w:tr>
      <w:tr w:rsidR="00612780" w:rsidRPr="00D51A68" w:rsidTr="00672D2A">
        <w:tc>
          <w:tcPr>
            <w:tcW w:w="1101" w:type="dxa"/>
          </w:tcPr>
          <w:p w:rsidR="00612780" w:rsidRPr="00D51A68" w:rsidRDefault="00612780" w:rsidP="00612780">
            <w:pPr>
              <w:autoSpaceDE w:val="0"/>
              <w:autoSpaceDN w:val="0"/>
              <w:adjustRightInd w:val="0"/>
              <w:spacing w:before="0" w:after="0"/>
              <w:rPr>
                <w:rFonts w:ascii="Times New Roman" w:hAnsi="Times New Roman"/>
                <w:bCs/>
                <w:sz w:val="24"/>
              </w:rPr>
            </w:pPr>
            <w:r w:rsidRPr="00D51A68">
              <w:rPr>
                <w:rFonts w:ascii="Times New Roman" w:hAnsi="Times New Roman"/>
                <w:sz w:val="24"/>
              </w:rPr>
              <w:t>030</w:t>
            </w:r>
          </w:p>
        </w:tc>
        <w:tc>
          <w:tcPr>
            <w:tcW w:w="7903" w:type="dxa"/>
          </w:tcPr>
          <w:p w:rsidR="00612780" w:rsidRPr="00D51A68" w:rsidRDefault="00612780" w:rsidP="00612780">
            <w:pPr>
              <w:autoSpaceDE w:val="0"/>
              <w:autoSpaceDN w:val="0"/>
              <w:adjustRightInd w:val="0"/>
              <w:spacing w:before="0" w:after="0"/>
              <w:jc w:val="left"/>
              <w:rPr>
                <w:rFonts w:ascii="Times New Roman" w:hAnsi="Times New Roman"/>
                <w:b/>
                <w:sz w:val="24"/>
                <w:u w:val="single"/>
              </w:rPr>
            </w:pPr>
            <w:r w:rsidRPr="00D51A68">
              <w:rPr>
                <w:rFonts w:ascii="Times New Roman" w:hAnsi="Times New Roman"/>
                <w:b/>
                <w:sz w:val="24"/>
                <w:u w:val="single"/>
              </w:rPr>
              <w:t xml:space="preserve">CEDENTE: ESPOSIZIONI TOTALI </w:t>
            </w:r>
          </w:p>
          <w:p w:rsidR="00612780" w:rsidRPr="00D51A68" w:rsidRDefault="00612780" w:rsidP="00612780">
            <w:pPr>
              <w:autoSpaceDE w:val="0"/>
              <w:autoSpaceDN w:val="0"/>
              <w:adjustRightInd w:val="0"/>
              <w:spacing w:before="0" w:after="0"/>
              <w:jc w:val="left"/>
              <w:rPr>
                <w:rFonts w:ascii="Times New Roman" w:hAnsi="Times New Roman"/>
                <w:sz w:val="24"/>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Questa riga riassume le informazioni riguardanti gli elementi in bilancio, gli elementi fuori bilancio e i derivati e il rimborso anticipato delle posizioni verso la cartolarizzazione nelle quali l</w:t>
            </w:r>
            <w:r w:rsidR="0009277C" w:rsidRPr="00D51A68">
              <w:rPr>
                <w:rFonts w:ascii="Times New Roman" w:hAnsi="Times New Roman"/>
                <w:sz w:val="24"/>
              </w:rPr>
              <w:t>’</w:t>
            </w:r>
            <w:r w:rsidRPr="00D51A68">
              <w:rPr>
                <w:rFonts w:ascii="Times New Roman" w:hAnsi="Times New Roman"/>
                <w:sz w:val="24"/>
              </w:rPr>
              <w:t>ente ha il ruolo di cedente, così come definito nell</w:t>
            </w:r>
            <w:r w:rsidR="0009277C" w:rsidRPr="00D51A68">
              <w:rPr>
                <w:rFonts w:ascii="Times New Roman" w:hAnsi="Times New Roman"/>
                <w:sz w:val="24"/>
              </w:rPr>
              <w:t>’</w:t>
            </w:r>
            <w:r w:rsidRPr="00D51A68">
              <w:rPr>
                <w:rFonts w:ascii="Times New Roman" w:hAnsi="Times New Roman"/>
                <w:sz w:val="24"/>
              </w:rPr>
              <w:t>articolo 4, paragrafo 1, punto 13, del CRR.</w:t>
            </w:r>
          </w:p>
          <w:p w:rsidR="00612780" w:rsidRPr="00D51A68" w:rsidRDefault="00612780" w:rsidP="00612780">
            <w:pPr>
              <w:autoSpaceDE w:val="0"/>
              <w:autoSpaceDN w:val="0"/>
              <w:adjustRightInd w:val="0"/>
              <w:spacing w:before="0" w:after="0"/>
              <w:rPr>
                <w:rFonts w:ascii="Times New Roman" w:hAnsi="Times New Roman"/>
                <w:sz w:val="24"/>
              </w:rPr>
            </w:pPr>
          </w:p>
        </w:tc>
      </w:tr>
      <w:tr w:rsidR="00612780" w:rsidRPr="00D51A68" w:rsidTr="00672D2A">
        <w:tc>
          <w:tcPr>
            <w:tcW w:w="1101" w:type="dxa"/>
          </w:tcPr>
          <w:p w:rsidR="00612780" w:rsidRPr="00D51A68" w:rsidRDefault="00612780" w:rsidP="00612780">
            <w:pPr>
              <w:autoSpaceDE w:val="0"/>
              <w:autoSpaceDN w:val="0"/>
              <w:adjustRightInd w:val="0"/>
              <w:spacing w:before="0" w:after="0"/>
              <w:rPr>
                <w:rFonts w:ascii="Times New Roman" w:hAnsi="Times New Roman"/>
                <w:bCs/>
                <w:sz w:val="24"/>
              </w:rPr>
            </w:pPr>
            <w:r w:rsidRPr="00D51A68">
              <w:rPr>
                <w:rFonts w:ascii="Times New Roman" w:hAnsi="Times New Roman"/>
                <w:sz w:val="24"/>
              </w:rPr>
              <w:t>040-060</w:t>
            </w:r>
          </w:p>
        </w:tc>
        <w:tc>
          <w:tcPr>
            <w:tcW w:w="7903" w:type="dxa"/>
          </w:tcPr>
          <w:p w:rsidR="00612780" w:rsidRPr="00D51A68" w:rsidRDefault="00612780" w:rsidP="00612780">
            <w:pPr>
              <w:autoSpaceDE w:val="0"/>
              <w:autoSpaceDN w:val="0"/>
              <w:adjustRightInd w:val="0"/>
              <w:spacing w:before="0" w:after="0"/>
              <w:jc w:val="left"/>
              <w:rPr>
                <w:rFonts w:ascii="Times New Roman" w:hAnsi="Times New Roman"/>
                <w:b/>
                <w:sz w:val="24"/>
                <w:u w:val="single"/>
              </w:rPr>
            </w:pPr>
            <w:r w:rsidRPr="00D51A68">
              <w:rPr>
                <w:rFonts w:ascii="Times New Roman" w:hAnsi="Times New Roman"/>
                <w:b/>
                <w:sz w:val="24"/>
                <w:u w:val="single"/>
              </w:rPr>
              <w:t xml:space="preserve">ELEMENTI IN BILANCIO </w:t>
            </w:r>
          </w:p>
          <w:p w:rsidR="00612780" w:rsidRPr="00D51A68" w:rsidRDefault="00612780" w:rsidP="00612780">
            <w:pPr>
              <w:autoSpaceDE w:val="0"/>
              <w:autoSpaceDN w:val="0"/>
              <w:adjustRightInd w:val="0"/>
              <w:spacing w:before="0" w:after="0"/>
              <w:jc w:val="left"/>
              <w:rPr>
                <w:rFonts w:ascii="Times New Roman" w:hAnsi="Times New Roman"/>
                <w:sz w:val="24"/>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L</w:t>
            </w:r>
            <w:r w:rsidR="0009277C" w:rsidRPr="00D51A68">
              <w:rPr>
                <w:rFonts w:ascii="Times New Roman" w:hAnsi="Times New Roman"/>
                <w:sz w:val="24"/>
              </w:rPr>
              <w:t>’</w:t>
            </w:r>
            <w:r w:rsidRPr="00D51A68">
              <w:rPr>
                <w:rFonts w:ascii="Times New Roman" w:hAnsi="Times New Roman"/>
                <w:sz w:val="24"/>
              </w:rPr>
              <w:t>articolo 246, paragrafo 1, lettera a), del CRR prevede che, quando un ente calcola gli importi delle esposizioni ponderati per il rischio secondo il metodo standardizzato, il valore dell</w:t>
            </w:r>
            <w:r w:rsidR="0009277C" w:rsidRPr="00D51A68">
              <w:rPr>
                <w:rFonts w:ascii="Times New Roman" w:hAnsi="Times New Roman"/>
                <w:sz w:val="24"/>
              </w:rPr>
              <w:t>’</w:t>
            </w:r>
            <w:r w:rsidRPr="00D51A68">
              <w:rPr>
                <w:rFonts w:ascii="Times New Roman" w:hAnsi="Times New Roman"/>
                <w:sz w:val="24"/>
              </w:rPr>
              <w:t>esposizione di una posizione verso la cartolarizzazione iscritta a bilancio è pari al valore contabile rimanente dopo l</w:t>
            </w:r>
            <w:r w:rsidR="0009277C" w:rsidRPr="00D51A68">
              <w:rPr>
                <w:rFonts w:ascii="Times New Roman" w:hAnsi="Times New Roman"/>
                <w:sz w:val="24"/>
              </w:rPr>
              <w:t>’</w:t>
            </w:r>
            <w:r w:rsidRPr="00D51A68">
              <w:rPr>
                <w:rFonts w:ascii="Times New Roman" w:hAnsi="Times New Roman"/>
                <w:sz w:val="24"/>
              </w:rPr>
              <w:t>applicazione delle rettifiche di valore su crediti specifiche.</w:t>
            </w:r>
          </w:p>
          <w:p w:rsidR="00612780" w:rsidRPr="00D51A68" w:rsidRDefault="00612780" w:rsidP="00612780">
            <w:pPr>
              <w:autoSpaceDE w:val="0"/>
              <w:autoSpaceDN w:val="0"/>
              <w:adjustRightInd w:val="0"/>
              <w:spacing w:before="0" w:after="0"/>
              <w:rPr>
                <w:rFonts w:ascii="Times New Roman" w:hAnsi="Times New Roman"/>
                <w:sz w:val="24"/>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Gli elementi in bilancio sono ripartiti per cartolarizzazioni (riga 050) e ricartolarizzazioni (riga 060).</w:t>
            </w:r>
          </w:p>
          <w:p w:rsidR="00612780" w:rsidRPr="00D51A68" w:rsidRDefault="00612780" w:rsidP="00612780">
            <w:pPr>
              <w:autoSpaceDE w:val="0"/>
              <w:autoSpaceDN w:val="0"/>
              <w:adjustRightInd w:val="0"/>
              <w:spacing w:before="0" w:after="0"/>
              <w:rPr>
                <w:rFonts w:ascii="Times New Roman" w:hAnsi="Times New Roman"/>
                <w:bCs/>
                <w:sz w:val="24"/>
              </w:rPr>
            </w:pPr>
          </w:p>
        </w:tc>
      </w:tr>
      <w:tr w:rsidR="00612780" w:rsidRPr="00D51A68" w:rsidTr="00672D2A">
        <w:tc>
          <w:tcPr>
            <w:tcW w:w="1101" w:type="dxa"/>
          </w:tcPr>
          <w:p w:rsidR="00612780" w:rsidRPr="00D51A68" w:rsidRDefault="00612780" w:rsidP="00612780">
            <w:pPr>
              <w:autoSpaceDE w:val="0"/>
              <w:autoSpaceDN w:val="0"/>
              <w:adjustRightInd w:val="0"/>
              <w:spacing w:before="0" w:after="0"/>
              <w:rPr>
                <w:rFonts w:ascii="Times New Roman" w:hAnsi="Times New Roman"/>
                <w:bCs/>
                <w:sz w:val="24"/>
              </w:rPr>
            </w:pPr>
            <w:r w:rsidRPr="00D51A68">
              <w:rPr>
                <w:rFonts w:ascii="Times New Roman" w:hAnsi="Times New Roman"/>
                <w:sz w:val="24"/>
              </w:rPr>
              <w:t>070-090</w:t>
            </w:r>
          </w:p>
        </w:tc>
        <w:tc>
          <w:tcPr>
            <w:tcW w:w="7903" w:type="dxa"/>
          </w:tcPr>
          <w:p w:rsidR="00612780" w:rsidRPr="00D51A68" w:rsidRDefault="00612780" w:rsidP="00612780">
            <w:pPr>
              <w:autoSpaceDE w:val="0"/>
              <w:autoSpaceDN w:val="0"/>
              <w:adjustRightInd w:val="0"/>
              <w:spacing w:before="0" w:after="0"/>
              <w:jc w:val="left"/>
              <w:rPr>
                <w:rFonts w:ascii="Times New Roman" w:hAnsi="Times New Roman"/>
                <w:b/>
                <w:sz w:val="24"/>
                <w:u w:val="single"/>
              </w:rPr>
            </w:pPr>
            <w:r w:rsidRPr="00D51A68">
              <w:rPr>
                <w:rFonts w:ascii="Times New Roman" w:hAnsi="Times New Roman"/>
                <w:b/>
                <w:sz w:val="24"/>
                <w:u w:val="single"/>
              </w:rPr>
              <w:t>ELEMENTI FUORI BILANCIO E DERIVATI</w:t>
            </w:r>
          </w:p>
          <w:p w:rsidR="00612780" w:rsidRPr="00D51A68" w:rsidRDefault="00612780" w:rsidP="00612780">
            <w:pPr>
              <w:autoSpaceDE w:val="0"/>
              <w:autoSpaceDN w:val="0"/>
              <w:adjustRightInd w:val="0"/>
              <w:spacing w:before="0" w:after="0"/>
              <w:jc w:val="left"/>
              <w:rPr>
                <w:rFonts w:ascii="Times New Roman" w:hAnsi="Times New Roman"/>
                <w:sz w:val="24"/>
              </w:rPr>
            </w:pPr>
          </w:p>
          <w:p w:rsidR="00612780" w:rsidRPr="00D51A68" w:rsidRDefault="00612780" w:rsidP="00612780">
            <w:pPr>
              <w:autoSpaceDE w:val="0"/>
              <w:autoSpaceDN w:val="0"/>
              <w:adjustRightInd w:val="0"/>
              <w:spacing w:before="0" w:after="0"/>
              <w:rPr>
                <w:rFonts w:ascii="Times New Roman" w:hAnsi="Times New Roman"/>
                <w:i/>
                <w:sz w:val="24"/>
              </w:rPr>
            </w:pPr>
            <w:r w:rsidRPr="00D51A68">
              <w:rPr>
                <w:rFonts w:ascii="Times New Roman" w:hAnsi="Times New Roman"/>
                <w:sz w:val="24"/>
              </w:rPr>
              <w:t>Queste righe comprendono informazioni sulle posizioni verso la cartolarizzazione relative a elementi fuori bilancio e derivati soggette a un fattore di conversione nell</w:t>
            </w:r>
            <w:r w:rsidR="0009277C" w:rsidRPr="00D51A68">
              <w:rPr>
                <w:rFonts w:ascii="Times New Roman" w:hAnsi="Times New Roman"/>
                <w:sz w:val="24"/>
              </w:rPr>
              <w:t>’</w:t>
            </w:r>
            <w:r w:rsidRPr="00D51A68">
              <w:rPr>
                <w:rFonts w:ascii="Times New Roman" w:hAnsi="Times New Roman"/>
                <w:sz w:val="24"/>
              </w:rPr>
              <w:t>ambito del quadro in materia di cartolarizzazione. Ove non diversamente specificato, il valore dell</w:t>
            </w:r>
            <w:r w:rsidR="0009277C" w:rsidRPr="00D51A68">
              <w:rPr>
                <w:rFonts w:ascii="Times New Roman" w:hAnsi="Times New Roman"/>
                <w:sz w:val="24"/>
              </w:rPr>
              <w:t>’</w:t>
            </w:r>
            <w:r w:rsidRPr="00D51A68">
              <w:rPr>
                <w:rFonts w:ascii="Times New Roman" w:hAnsi="Times New Roman"/>
                <w:sz w:val="24"/>
              </w:rPr>
              <w:t>esposizione di una posizione verso la cartolarizzazione fuori bilancio è pari al suo valore nominale meno qualsiasi rettifica di valore su crediti specifica di tale posizione, moltiplicato per un fattore di conversione del 100</w:t>
            </w:r>
            <w:r w:rsidR="0009277C" w:rsidRPr="00D51A68">
              <w:rPr>
                <w:rFonts w:ascii="Times New Roman" w:hAnsi="Times New Roman"/>
                <w:sz w:val="24"/>
              </w:rPr>
              <w:t>%</w:t>
            </w:r>
            <w:r w:rsidRPr="00D51A68">
              <w:rPr>
                <w:rFonts w:ascii="Times New Roman" w:hAnsi="Times New Roman"/>
                <w:sz w:val="24"/>
              </w:rPr>
              <w:t>.</w:t>
            </w:r>
          </w:p>
          <w:p w:rsidR="00612780" w:rsidRPr="00D51A68" w:rsidRDefault="00612780" w:rsidP="00612780">
            <w:pPr>
              <w:autoSpaceDE w:val="0"/>
              <w:autoSpaceDN w:val="0"/>
              <w:adjustRightInd w:val="0"/>
              <w:spacing w:before="0" w:after="0"/>
              <w:rPr>
                <w:rFonts w:ascii="Times New Roman" w:hAnsi="Times New Roman"/>
                <w:i/>
                <w:sz w:val="24"/>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Il valore dell</w:t>
            </w:r>
            <w:r w:rsidR="0009277C" w:rsidRPr="00D51A68">
              <w:rPr>
                <w:rFonts w:ascii="Times New Roman" w:hAnsi="Times New Roman"/>
                <w:sz w:val="24"/>
              </w:rPr>
              <w:t>’</w:t>
            </w:r>
            <w:r w:rsidRPr="00D51A68">
              <w:rPr>
                <w:rFonts w:ascii="Times New Roman" w:hAnsi="Times New Roman"/>
                <w:sz w:val="24"/>
              </w:rPr>
              <w:t>esposizione per il rischio di controparte di uno degli strumenti derivati elencati nell</w:t>
            </w:r>
            <w:r w:rsidR="0009277C" w:rsidRPr="00D51A68">
              <w:rPr>
                <w:rFonts w:ascii="Times New Roman" w:hAnsi="Times New Roman"/>
                <w:sz w:val="24"/>
              </w:rPr>
              <w:t>’</w:t>
            </w:r>
            <w:r w:rsidRPr="00D51A68">
              <w:rPr>
                <w:rFonts w:ascii="Times New Roman" w:hAnsi="Times New Roman"/>
                <w:sz w:val="24"/>
              </w:rPr>
              <w:t xml:space="preserve">allegato II del CRR è determinato conformemente alla parte tre, titolo II, capo 6, del CRR. </w:t>
            </w:r>
          </w:p>
          <w:p w:rsidR="00612780" w:rsidRPr="00D51A68" w:rsidRDefault="00612780" w:rsidP="00612780">
            <w:pPr>
              <w:autoSpaceDE w:val="0"/>
              <w:autoSpaceDN w:val="0"/>
              <w:adjustRightInd w:val="0"/>
              <w:spacing w:before="0" w:after="0"/>
              <w:rPr>
                <w:rFonts w:ascii="Times New Roman" w:hAnsi="Times New Roman"/>
                <w:sz w:val="24"/>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Per le linee di liquidità, le linee di credito e gli anticipi per cassa del gestore gli enti segnalano l</w:t>
            </w:r>
            <w:r w:rsidR="0009277C" w:rsidRPr="00D51A68">
              <w:rPr>
                <w:rFonts w:ascii="Times New Roman" w:hAnsi="Times New Roman"/>
                <w:sz w:val="24"/>
              </w:rPr>
              <w:t>’</w:t>
            </w:r>
            <w:r w:rsidRPr="00D51A68">
              <w:rPr>
                <w:rFonts w:ascii="Times New Roman" w:hAnsi="Times New Roman"/>
                <w:sz w:val="24"/>
              </w:rPr>
              <w:t xml:space="preserve">importo non utilizzato. </w:t>
            </w:r>
          </w:p>
          <w:p w:rsidR="00612780" w:rsidRPr="00D51A68" w:rsidRDefault="00612780" w:rsidP="00612780">
            <w:pPr>
              <w:autoSpaceDE w:val="0"/>
              <w:autoSpaceDN w:val="0"/>
              <w:adjustRightInd w:val="0"/>
              <w:spacing w:before="0" w:after="0"/>
              <w:rPr>
                <w:rFonts w:ascii="Times New Roman" w:hAnsi="Times New Roman"/>
                <w:sz w:val="24"/>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Per i contratti swap su tassi d</w:t>
            </w:r>
            <w:r w:rsidR="0009277C" w:rsidRPr="00D51A68">
              <w:rPr>
                <w:rFonts w:ascii="Times New Roman" w:hAnsi="Times New Roman"/>
                <w:sz w:val="24"/>
              </w:rPr>
              <w:t>’</w:t>
            </w:r>
            <w:r w:rsidRPr="00D51A68">
              <w:rPr>
                <w:rFonts w:ascii="Times New Roman" w:hAnsi="Times New Roman"/>
                <w:sz w:val="24"/>
              </w:rPr>
              <w:t>interesse e su valuta gli enti segnalano il valore dell</w:t>
            </w:r>
            <w:r w:rsidR="0009277C" w:rsidRPr="00D51A68">
              <w:rPr>
                <w:rFonts w:ascii="Times New Roman" w:hAnsi="Times New Roman"/>
                <w:sz w:val="24"/>
              </w:rPr>
              <w:t>’</w:t>
            </w:r>
            <w:r w:rsidRPr="00D51A68">
              <w:rPr>
                <w:rFonts w:ascii="Times New Roman" w:hAnsi="Times New Roman"/>
                <w:sz w:val="24"/>
              </w:rPr>
              <w:t>esposizione (conformemente all</w:t>
            </w:r>
            <w:r w:rsidR="0009277C" w:rsidRPr="00D51A68">
              <w:rPr>
                <w:rFonts w:ascii="Times New Roman" w:hAnsi="Times New Roman"/>
                <w:sz w:val="24"/>
              </w:rPr>
              <w:t>’</w:t>
            </w:r>
            <w:r w:rsidRPr="00D51A68">
              <w:rPr>
                <w:rFonts w:ascii="Times New Roman" w:hAnsi="Times New Roman"/>
                <w:sz w:val="24"/>
              </w:rPr>
              <w:t>articolo 246, paragrafo 1, del CRR) così come specificato nel modello CR SA Total.</w:t>
            </w:r>
          </w:p>
          <w:p w:rsidR="00612780" w:rsidRPr="00D51A68" w:rsidRDefault="00612780" w:rsidP="00612780">
            <w:pPr>
              <w:autoSpaceDE w:val="0"/>
              <w:autoSpaceDN w:val="0"/>
              <w:adjustRightInd w:val="0"/>
              <w:spacing w:before="0" w:after="0"/>
              <w:rPr>
                <w:rFonts w:ascii="Times New Roman" w:hAnsi="Times New Roman"/>
                <w:sz w:val="24"/>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Gli elementi fuori bilancio e i derivati sono ripart</w:t>
            </w:r>
            <w:r w:rsidR="00F31236" w:rsidRPr="00D51A68">
              <w:rPr>
                <w:rFonts w:ascii="Times New Roman" w:hAnsi="Times New Roman"/>
                <w:sz w:val="24"/>
              </w:rPr>
              <w:t>iti per cartolarizzazioni (riga </w:t>
            </w:r>
            <w:r w:rsidRPr="00D51A68">
              <w:rPr>
                <w:rFonts w:ascii="Times New Roman" w:hAnsi="Times New Roman"/>
                <w:sz w:val="24"/>
              </w:rPr>
              <w:t>080) e ricartolarizzazioni (riga</w:t>
            </w:r>
            <w:r w:rsidR="00F31236" w:rsidRPr="00D51A68">
              <w:rPr>
                <w:rFonts w:ascii="Times New Roman" w:hAnsi="Times New Roman"/>
                <w:sz w:val="24"/>
              </w:rPr>
              <w:t> </w:t>
            </w:r>
            <w:r w:rsidRPr="00D51A68">
              <w:rPr>
                <w:rFonts w:ascii="Times New Roman" w:hAnsi="Times New Roman"/>
                <w:sz w:val="24"/>
              </w:rPr>
              <w:t>090) così come nella tabella</w:t>
            </w:r>
            <w:r w:rsidR="00F31236" w:rsidRPr="00D51A68">
              <w:rPr>
                <w:rFonts w:ascii="Times New Roman" w:hAnsi="Times New Roman"/>
                <w:sz w:val="24"/>
              </w:rPr>
              <w:t> </w:t>
            </w:r>
            <w:r w:rsidRPr="00D51A68">
              <w:rPr>
                <w:rFonts w:ascii="Times New Roman" w:hAnsi="Times New Roman"/>
                <w:sz w:val="24"/>
              </w:rPr>
              <w:t>1 dell</w:t>
            </w:r>
            <w:r w:rsidR="0009277C" w:rsidRPr="00D51A68">
              <w:rPr>
                <w:rFonts w:ascii="Times New Roman" w:hAnsi="Times New Roman"/>
                <w:sz w:val="24"/>
              </w:rPr>
              <w:t>’</w:t>
            </w:r>
            <w:r w:rsidR="00F31236" w:rsidRPr="00D51A68">
              <w:rPr>
                <w:rFonts w:ascii="Times New Roman" w:hAnsi="Times New Roman"/>
                <w:sz w:val="24"/>
              </w:rPr>
              <w:t>articolo </w:t>
            </w:r>
            <w:r w:rsidRPr="00D51A68">
              <w:rPr>
                <w:rFonts w:ascii="Times New Roman" w:hAnsi="Times New Roman"/>
                <w:sz w:val="24"/>
              </w:rPr>
              <w:t>251 del CRR.</w:t>
            </w:r>
          </w:p>
          <w:p w:rsidR="00612780" w:rsidRPr="00D51A68" w:rsidRDefault="00612780" w:rsidP="00612780">
            <w:pPr>
              <w:autoSpaceDE w:val="0"/>
              <w:autoSpaceDN w:val="0"/>
              <w:adjustRightInd w:val="0"/>
              <w:spacing w:before="0" w:after="0"/>
              <w:rPr>
                <w:rFonts w:ascii="Times New Roman" w:hAnsi="Times New Roman"/>
                <w:sz w:val="24"/>
              </w:rPr>
            </w:pPr>
          </w:p>
        </w:tc>
      </w:tr>
      <w:tr w:rsidR="00612780" w:rsidRPr="00D51A68" w:rsidTr="00672D2A">
        <w:tc>
          <w:tcPr>
            <w:tcW w:w="1101" w:type="dxa"/>
          </w:tcPr>
          <w:p w:rsidR="00612780" w:rsidRPr="00D51A68" w:rsidRDefault="00612780" w:rsidP="00612780">
            <w:pPr>
              <w:autoSpaceDE w:val="0"/>
              <w:autoSpaceDN w:val="0"/>
              <w:adjustRightInd w:val="0"/>
              <w:spacing w:before="0" w:after="0"/>
              <w:rPr>
                <w:rFonts w:ascii="Times New Roman" w:hAnsi="Times New Roman"/>
                <w:bCs/>
                <w:sz w:val="24"/>
              </w:rPr>
            </w:pPr>
            <w:r w:rsidRPr="00D51A68">
              <w:rPr>
                <w:rFonts w:ascii="Times New Roman" w:hAnsi="Times New Roman"/>
                <w:sz w:val="24"/>
              </w:rPr>
              <w:lastRenderedPageBreak/>
              <w:t>100</w:t>
            </w:r>
          </w:p>
        </w:tc>
        <w:tc>
          <w:tcPr>
            <w:tcW w:w="7903" w:type="dxa"/>
          </w:tcPr>
          <w:p w:rsidR="00612780" w:rsidRPr="00D51A68" w:rsidRDefault="00612780" w:rsidP="00612780">
            <w:pPr>
              <w:autoSpaceDE w:val="0"/>
              <w:autoSpaceDN w:val="0"/>
              <w:adjustRightInd w:val="0"/>
              <w:spacing w:before="0" w:after="0"/>
              <w:jc w:val="left"/>
              <w:rPr>
                <w:rFonts w:ascii="Times New Roman" w:hAnsi="Times New Roman"/>
                <w:b/>
                <w:sz w:val="24"/>
                <w:u w:val="single"/>
              </w:rPr>
            </w:pPr>
            <w:r w:rsidRPr="00D51A68">
              <w:rPr>
                <w:rFonts w:ascii="Times New Roman" w:hAnsi="Times New Roman"/>
                <w:b/>
                <w:sz w:val="24"/>
                <w:u w:val="single"/>
              </w:rPr>
              <w:t>RIMBORSO ANTICIPATO</w:t>
            </w:r>
          </w:p>
          <w:p w:rsidR="00612780" w:rsidRPr="00D51A68" w:rsidRDefault="00612780" w:rsidP="00612780">
            <w:pPr>
              <w:autoSpaceDE w:val="0"/>
              <w:autoSpaceDN w:val="0"/>
              <w:adjustRightInd w:val="0"/>
              <w:spacing w:before="0" w:after="0"/>
              <w:jc w:val="left"/>
              <w:rPr>
                <w:rFonts w:ascii="Times New Roman" w:hAnsi="Times New Roman"/>
                <w:sz w:val="24"/>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Questa riga riguarda soltanto i cedenti con cartolarizzazioni di esposizioni rotative provviste di clausole di rimborso anticipato, di cui all</w:t>
            </w:r>
            <w:r w:rsidR="0009277C" w:rsidRPr="00D51A68">
              <w:rPr>
                <w:rFonts w:ascii="Times New Roman" w:hAnsi="Times New Roman"/>
                <w:sz w:val="24"/>
              </w:rPr>
              <w:t>’</w:t>
            </w:r>
            <w:r w:rsidRPr="00D51A68">
              <w:rPr>
                <w:rFonts w:ascii="Times New Roman" w:hAnsi="Times New Roman"/>
                <w:sz w:val="24"/>
              </w:rPr>
              <w:t>articolo 242, punti 13 e 14, del CRR.</w:t>
            </w:r>
          </w:p>
          <w:p w:rsidR="00612780" w:rsidRPr="00D51A68" w:rsidRDefault="00612780" w:rsidP="00612780">
            <w:pPr>
              <w:pStyle w:val="Heading1"/>
              <w:rPr>
                <w:rFonts w:ascii="Times New Roman" w:eastAsia="Times New Roman" w:hAnsi="Times New Roman"/>
                <w:sz w:val="24"/>
                <w:szCs w:val="24"/>
              </w:rPr>
            </w:pPr>
          </w:p>
        </w:tc>
      </w:tr>
      <w:tr w:rsidR="00612780" w:rsidRPr="00D51A68" w:rsidTr="00672D2A">
        <w:tc>
          <w:tcPr>
            <w:tcW w:w="1101" w:type="dxa"/>
            <w:tcBorders>
              <w:bottom w:val="single" w:sz="4" w:space="0" w:color="auto"/>
            </w:tcBorders>
          </w:tcPr>
          <w:p w:rsidR="00612780" w:rsidRPr="00D51A68" w:rsidRDefault="00612780" w:rsidP="00612780">
            <w:pPr>
              <w:autoSpaceDE w:val="0"/>
              <w:autoSpaceDN w:val="0"/>
              <w:adjustRightInd w:val="0"/>
              <w:spacing w:before="0" w:after="0"/>
              <w:rPr>
                <w:rFonts w:ascii="Times New Roman" w:hAnsi="Times New Roman"/>
                <w:bCs/>
                <w:sz w:val="24"/>
              </w:rPr>
            </w:pPr>
            <w:r w:rsidRPr="00D51A68">
              <w:rPr>
                <w:rFonts w:ascii="Times New Roman" w:hAnsi="Times New Roman"/>
                <w:sz w:val="24"/>
              </w:rPr>
              <w:t>110</w:t>
            </w:r>
          </w:p>
        </w:tc>
        <w:tc>
          <w:tcPr>
            <w:tcW w:w="7903" w:type="dxa"/>
            <w:tcBorders>
              <w:bottom w:val="single" w:sz="4" w:space="0" w:color="auto"/>
            </w:tcBorders>
          </w:tcPr>
          <w:p w:rsidR="00612780" w:rsidRPr="00D51A68" w:rsidRDefault="00612780" w:rsidP="00612780">
            <w:pPr>
              <w:autoSpaceDE w:val="0"/>
              <w:autoSpaceDN w:val="0"/>
              <w:adjustRightInd w:val="0"/>
              <w:spacing w:before="0" w:after="0"/>
              <w:jc w:val="left"/>
              <w:rPr>
                <w:rFonts w:ascii="Times New Roman" w:hAnsi="Times New Roman"/>
                <w:b/>
                <w:sz w:val="24"/>
                <w:u w:val="single"/>
              </w:rPr>
            </w:pPr>
            <w:r w:rsidRPr="00D51A68">
              <w:rPr>
                <w:rFonts w:ascii="Times New Roman" w:hAnsi="Times New Roman"/>
                <w:b/>
                <w:sz w:val="24"/>
                <w:u w:val="single"/>
              </w:rPr>
              <w:t xml:space="preserve">INVESTITORE: ESPOSIZIONI TOTALI </w:t>
            </w:r>
          </w:p>
          <w:p w:rsidR="00612780" w:rsidRPr="00D51A68" w:rsidRDefault="00612780" w:rsidP="00612780">
            <w:pPr>
              <w:autoSpaceDE w:val="0"/>
              <w:autoSpaceDN w:val="0"/>
              <w:adjustRightInd w:val="0"/>
              <w:spacing w:before="0" w:after="0"/>
              <w:jc w:val="left"/>
              <w:rPr>
                <w:rFonts w:ascii="Times New Roman" w:hAnsi="Times New Roman"/>
                <w:sz w:val="24"/>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Questa riga riassume le informazioni riguardanti gli elementi in bilancio e gli elementi fuori bilancio e i derivati delle posizioni verso la cartolarizzazione nelle quali l</w:t>
            </w:r>
            <w:r w:rsidR="0009277C" w:rsidRPr="00D51A68">
              <w:rPr>
                <w:rFonts w:ascii="Times New Roman" w:hAnsi="Times New Roman"/>
                <w:sz w:val="24"/>
              </w:rPr>
              <w:t>’</w:t>
            </w:r>
            <w:r w:rsidRPr="00D51A68">
              <w:rPr>
                <w:rFonts w:ascii="Times New Roman" w:hAnsi="Times New Roman"/>
                <w:sz w:val="24"/>
              </w:rPr>
              <w:t xml:space="preserve">ente ha il ruolo di investitore. </w:t>
            </w:r>
          </w:p>
          <w:p w:rsidR="00612780" w:rsidRPr="00D51A68" w:rsidRDefault="00612780" w:rsidP="00612780">
            <w:pPr>
              <w:autoSpaceDE w:val="0"/>
              <w:autoSpaceDN w:val="0"/>
              <w:adjustRightInd w:val="0"/>
              <w:spacing w:before="0" w:after="0"/>
              <w:rPr>
                <w:rFonts w:ascii="Times New Roman" w:hAnsi="Times New Roman"/>
                <w:sz w:val="24"/>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 xml:space="preserve">Il CRR non contiene una definizione esplicita di </w:t>
            </w:r>
            <w:r w:rsidR="0009277C" w:rsidRPr="00D51A68">
              <w:rPr>
                <w:rFonts w:ascii="Times New Roman" w:hAnsi="Times New Roman"/>
                <w:sz w:val="24"/>
              </w:rPr>
              <w:t>“</w:t>
            </w:r>
            <w:r w:rsidRPr="00D51A68">
              <w:rPr>
                <w:rFonts w:ascii="Times New Roman" w:hAnsi="Times New Roman"/>
                <w:sz w:val="24"/>
              </w:rPr>
              <w:t>investitore</w:t>
            </w:r>
            <w:r w:rsidR="0009277C" w:rsidRPr="00D51A68">
              <w:rPr>
                <w:rFonts w:ascii="Times New Roman" w:hAnsi="Times New Roman"/>
                <w:sz w:val="24"/>
              </w:rPr>
              <w:t>”</w:t>
            </w:r>
            <w:r w:rsidRPr="00D51A68">
              <w:rPr>
                <w:rFonts w:ascii="Times New Roman" w:hAnsi="Times New Roman"/>
                <w:sz w:val="24"/>
              </w:rPr>
              <w:t xml:space="preserve">. Pertanto, nel contesto qui considerato per </w:t>
            </w:r>
            <w:r w:rsidR="0009277C" w:rsidRPr="00D51A68">
              <w:rPr>
                <w:rFonts w:ascii="Times New Roman" w:hAnsi="Times New Roman"/>
                <w:sz w:val="24"/>
              </w:rPr>
              <w:t>“</w:t>
            </w:r>
            <w:r w:rsidRPr="00D51A68">
              <w:rPr>
                <w:rFonts w:ascii="Times New Roman" w:hAnsi="Times New Roman"/>
                <w:sz w:val="24"/>
              </w:rPr>
              <w:t>investitore</w:t>
            </w:r>
            <w:r w:rsidR="0009277C" w:rsidRPr="00D51A68">
              <w:rPr>
                <w:rFonts w:ascii="Times New Roman" w:hAnsi="Times New Roman"/>
                <w:sz w:val="24"/>
              </w:rPr>
              <w:t>”</w:t>
            </w:r>
            <w:r w:rsidRPr="00D51A68">
              <w:rPr>
                <w:rFonts w:ascii="Times New Roman" w:hAnsi="Times New Roman"/>
                <w:sz w:val="24"/>
              </w:rPr>
              <w:t xml:space="preserve"> s</w:t>
            </w:r>
            <w:r w:rsidR="0009277C" w:rsidRPr="00D51A68">
              <w:rPr>
                <w:rFonts w:ascii="Times New Roman" w:hAnsi="Times New Roman"/>
                <w:sz w:val="24"/>
              </w:rPr>
              <w:t>’</w:t>
            </w:r>
            <w:r w:rsidRPr="00D51A68">
              <w:rPr>
                <w:rFonts w:ascii="Times New Roman" w:hAnsi="Times New Roman"/>
                <w:sz w:val="24"/>
              </w:rPr>
              <w:t>intende un ente che detiene una posizione verso la cartolarizzazione in un</w:t>
            </w:r>
            <w:r w:rsidR="0009277C" w:rsidRPr="00D51A68">
              <w:rPr>
                <w:rFonts w:ascii="Times New Roman" w:hAnsi="Times New Roman"/>
                <w:sz w:val="24"/>
              </w:rPr>
              <w:t>’</w:t>
            </w:r>
            <w:r w:rsidRPr="00D51A68">
              <w:rPr>
                <w:rFonts w:ascii="Times New Roman" w:hAnsi="Times New Roman"/>
                <w:sz w:val="24"/>
              </w:rPr>
              <w:t>operazione di cartolarizzazione nella quale non è né il cedente né il promotore.</w:t>
            </w:r>
          </w:p>
          <w:p w:rsidR="00612780" w:rsidRPr="00D51A68" w:rsidRDefault="00612780" w:rsidP="00612780">
            <w:pPr>
              <w:pStyle w:val="Heading1"/>
              <w:rPr>
                <w:rFonts w:ascii="Times New Roman" w:eastAsia="Times New Roman" w:hAnsi="Times New Roman"/>
                <w:sz w:val="24"/>
                <w:szCs w:val="24"/>
              </w:rPr>
            </w:pPr>
          </w:p>
        </w:tc>
      </w:tr>
      <w:tr w:rsidR="00612780" w:rsidRPr="00D51A68" w:rsidTr="00672D2A">
        <w:tc>
          <w:tcPr>
            <w:tcW w:w="1101" w:type="dxa"/>
          </w:tcPr>
          <w:p w:rsidR="00612780" w:rsidRPr="00D51A68" w:rsidRDefault="00612780" w:rsidP="00612780">
            <w:pPr>
              <w:autoSpaceDE w:val="0"/>
              <w:autoSpaceDN w:val="0"/>
              <w:adjustRightInd w:val="0"/>
              <w:spacing w:before="0" w:after="0"/>
              <w:rPr>
                <w:rFonts w:ascii="Times New Roman" w:hAnsi="Times New Roman"/>
                <w:bCs/>
                <w:sz w:val="24"/>
              </w:rPr>
            </w:pPr>
            <w:r w:rsidRPr="00D51A68">
              <w:rPr>
                <w:rFonts w:ascii="Times New Roman" w:hAnsi="Times New Roman"/>
                <w:sz w:val="24"/>
              </w:rPr>
              <w:t>120-140</w:t>
            </w:r>
          </w:p>
        </w:tc>
        <w:tc>
          <w:tcPr>
            <w:tcW w:w="7903" w:type="dxa"/>
          </w:tcPr>
          <w:p w:rsidR="00612780" w:rsidRPr="00D51A68" w:rsidRDefault="00612780" w:rsidP="00612780">
            <w:pPr>
              <w:autoSpaceDE w:val="0"/>
              <w:autoSpaceDN w:val="0"/>
              <w:adjustRightInd w:val="0"/>
              <w:spacing w:before="0" w:after="0"/>
              <w:jc w:val="left"/>
              <w:rPr>
                <w:rFonts w:ascii="Times New Roman" w:hAnsi="Times New Roman"/>
                <w:b/>
                <w:sz w:val="24"/>
                <w:u w:val="single"/>
              </w:rPr>
            </w:pPr>
            <w:r w:rsidRPr="00D51A68">
              <w:rPr>
                <w:rFonts w:ascii="Times New Roman" w:hAnsi="Times New Roman"/>
                <w:b/>
                <w:sz w:val="24"/>
                <w:u w:val="single"/>
              </w:rPr>
              <w:t>ELEMENTI IN BILANCIO</w:t>
            </w:r>
          </w:p>
          <w:p w:rsidR="00612780" w:rsidRPr="00D51A68" w:rsidRDefault="00612780" w:rsidP="00612780">
            <w:pPr>
              <w:autoSpaceDE w:val="0"/>
              <w:autoSpaceDN w:val="0"/>
              <w:adjustRightInd w:val="0"/>
              <w:spacing w:before="0" w:after="0"/>
              <w:jc w:val="left"/>
              <w:rPr>
                <w:rFonts w:ascii="Times New Roman" w:hAnsi="Times New Roman"/>
                <w:sz w:val="24"/>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Si applicano gli stessi criteri di classificazione delle cartolarizzazioni e delle ricartolarizzazioni utilizzati per gli elementi in bilancio dei cedenti.</w:t>
            </w:r>
          </w:p>
          <w:p w:rsidR="00612780" w:rsidRPr="00D51A68" w:rsidRDefault="00612780" w:rsidP="00612780">
            <w:pPr>
              <w:autoSpaceDE w:val="0"/>
              <w:autoSpaceDN w:val="0"/>
              <w:adjustRightInd w:val="0"/>
              <w:spacing w:before="0" w:after="0"/>
              <w:jc w:val="left"/>
              <w:rPr>
                <w:rFonts w:ascii="Times New Roman" w:hAnsi="Times New Roman"/>
                <w:sz w:val="24"/>
              </w:rPr>
            </w:pPr>
          </w:p>
        </w:tc>
      </w:tr>
      <w:tr w:rsidR="00612780" w:rsidRPr="00D51A68" w:rsidTr="00672D2A">
        <w:tc>
          <w:tcPr>
            <w:tcW w:w="1101" w:type="dxa"/>
          </w:tcPr>
          <w:p w:rsidR="00612780" w:rsidRPr="00D51A68" w:rsidRDefault="00612780" w:rsidP="00612780">
            <w:pPr>
              <w:autoSpaceDE w:val="0"/>
              <w:autoSpaceDN w:val="0"/>
              <w:adjustRightInd w:val="0"/>
              <w:spacing w:before="0" w:after="0"/>
              <w:rPr>
                <w:rFonts w:ascii="Times New Roman" w:hAnsi="Times New Roman"/>
                <w:bCs/>
                <w:sz w:val="24"/>
              </w:rPr>
            </w:pPr>
            <w:r w:rsidRPr="00D51A68">
              <w:rPr>
                <w:rFonts w:ascii="Times New Roman" w:hAnsi="Times New Roman"/>
                <w:sz w:val="24"/>
              </w:rPr>
              <w:t>150-170</w:t>
            </w:r>
          </w:p>
        </w:tc>
        <w:tc>
          <w:tcPr>
            <w:tcW w:w="7903" w:type="dxa"/>
          </w:tcPr>
          <w:p w:rsidR="00612780" w:rsidRPr="00D51A68" w:rsidRDefault="00612780" w:rsidP="00612780">
            <w:pPr>
              <w:autoSpaceDE w:val="0"/>
              <w:autoSpaceDN w:val="0"/>
              <w:adjustRightInd w:val="0"/>
              <w:spacing w:before="0" w:after="0"/>
              <w:jc w:val="left"/>
              <w:rPr>
                <w:rFonts w:ascii="Times New Roman" w:hAnsi="Times New Roman"/>
                <w:b/>
                <w:sz w:val="24"/>
                <w:u w:val="single"/>
              </w:rPr>
            </w:pPr>
            <w:r w:rsidRPr="00D51A68">
              <w:rPr>
                <w:rFonts w:ascii="Times New Roman" w:hAnsi="Times New Roman"/>
                <w:b/>
                <w:sz w:val="24"/>
                <w:u w:val="single"/>
              </w:rPr>
              <w:t>ELEMENTI FUORI BILANCIO E DERIVATI</w:t>
            </w:r>
          </w:p>
          <w:p w:rsidR="00612780" w:rsidRPr="00D51A68" w:rsidRDefault="00612780" w:rsidP="00612780">
            <w:pPr>
              <w:autoSpaceDE w:val="0"/>
              <w:autoSpaceDN w:val="0"/>
              <w:adjustRightInd w:val="0"/>
              <w:spacing w:before="0" w:after="0"/>
              <w:jc w:val="left"/>
              <w:rPr>
                <w:rFonts w:ascii="Times New Roman" w:hAnsi="Times New Roman"/>
                <w:b/>
                <w:sz w:val="24"/>
                <w:u w:val="single"/>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Si applicano gli stessi criteri di classificazione delle cartolarizzazioni e delle ricartolarizzazioni utilizzati per gli elementi fuori bilancio e i derivati dei cedenti.</w:t>
            </w:r>
          </w:p>
          <w:p w:rsidR="00612780" w:rsidRPr="00D51A68" w:rsidRDefault="00612780" w:rsidP="00612780">
            <w:pPr>
              <w:autoSpaceDE w:val="0"/>
              <w:autoSpaceDN w:val="0"/>
              <w:adjustRightInd w:val="0"/>
              <w:spacing w:before="0" w:after="0"/>
              <w:jc w:val="left"/>
              <w:rPr>
                <w:rFonts w:ascii="Times New Roman" w:hAnsi="Times New Roman"/>
                <w:sz w:val="24"/>
              </w:rPr>
            </w:pPr>
          </w:p>
        </w:tc>
      </w:tr>
      <w:tr w:rsidR="00612780" w:rsidRPr="00D51A68" w:rsidTr="00672D2A">
        <w:tc>
          <w:tcPr>
            <w:tcW w:w="1101" w:type="dxa"/>
          </w:tcPr>
          <w:p w:rsidR="00612780" w:rsidRPr="00D51A68" w:rsidRDefault="00612780" w:rsidP="00612780">
            <w:pPr>
              <w:autoSpaceDE w:val="0"/>
              <w:autoSpaceDN w:val="0"/>
              <w:adjustRightInd w:val="0"/>
              <w:spacing w:before="0" w:after="0"/>
              <w:rPr>
                <w:rFonts w:ascii="Times New Roman" w:hAnsi="Times New Roman"/>
                <w:bCs/>
                <w:sz w:val="24"/>
                <w:highlight w:val="yellow"/>
              </w:rPr>
            </w:pPr>
            <w:r w:rsidRPr="00D51A68">
              <w:rPr>
                <w:rFonts w:ascii="Times New Roman" w:hAnsi="Times New Roman"/>
                <w:sz w:val="24"/>
              </w:rPr>
              <w:t>180</w:t>
            </w:r>
          </w:p>
        </w:tc>
        <w:tc>
          <w:tcPr>
            <w:tcW w:w="7903" w:type="dxa"/>
          </w:tcPr>
          <w:p w:rsidR="00612780" w:rsidRPr="00D51A68" w:rsidRDefault="00612780" w:rsidP="00612780">
            <w:pPr>
              <w:autoSpaceDE w:val="0"/>
              <w:autoSpaceDN w:val="0"/>
              <w:adjustRightInd w:val="0"/>
              <w:spacing w:before="0" w:after="0"/>
              <w:jc w:val="left"/>
              <w:rPr>
                <w:rFonts w:ascii="Times New Roman" w:hAnsi="Times New Roman"/>
                <w:b/>
                <w:sz w:val="24"/>
                <w:u w:val="single"/>
              </w:rPr>
            </w:pPr>
            <w:r w:rsidRPr="00D51A68">
              <w:rPr>
                <w:rFonts w:ascii="Times New Roman" w:hAnsi="Times New Roman"/>
                <w:b/>
                <w:sz w:val="24"/>
                <w:u w:val="single"/>
              </w:rPr>
              <w:t xml:space="preserve">PROMOTORE: ESPOSIZIONI TOTALI </w:t>
            </w:r>
          </w:p>
          <w:p w:rsidR="00612780" w:rsidRPr="00D51A68" w:rsidRDefault="00612780" w:rsidP="00612780">
            <w:pPr>
              <w:autoSpaceDE w:val="0"/>
              <w:autoSpaceDN w:val="0"/>
              <w:adjustRightInd w:val="0"/>
              <w:spacing w:before="0" w:after="0"/>
              <w:jc w:val="left"/>
              <w:rPr>
                <w:rFonts w:ascii="Times New Roman" w:hAnsi="Times New Roman"/>
                <w:sz w:val="24"/>
              </w:rPr>
            </w:pPr>
          </w:p>
          <w:p w:rsidR="00612780" w:rsidRPr="00D51A68" w:rsidRDefault="00612780" w:rsidP="00612780">
            <w:pPr>
              <w:autoSpaceDE w:val="0"/>
              <w:autoSpaceDN w:val="0"/>
              <w:adjustRightInd w:val="0"/>
              <w:spacing w:before="0" w:after="0"/>
              <w:rPr>
                <w:rFonts w:ascii="Times New Roman" w:hAnsi="Times New Roman"/>
                <w:spacing w:val="-6"/>
                <w:sz w:val="24"/>
              </w:rPr>
            </w:pPr>
            <w:r w:rsidRPr="00D51A68">
              <w:rPr>
                <w:rFonts w:ascii="Times New Roman" w:hAnsi="Times New Roman"/>
                <w:sz w:val="24"/>
              </w:rPr>
              <w:t>Questa riga riassume le informazioni riguardanti gli elementi in bilancio e gli elementi fuori bilancio e i derivati delle posizioni verso la cartolarizzazione nelle quali l</w:t>
            </w:r>
            <w:r w:rsidR="0009277C" w:rsidRPr="00D51A68">
              <w:rPr>
                <w:rFonts w:ascii="Times New Roman" w:hAnsi="Times New Roman"/>
                <w:sz w:val="24"/>
              </w:rPr>
              <w:t>’</w:t>
            </w:r>
            <w:r w:rsidRPr="00D51A68">
              <w:rPr>
                <w:rFonts w:ascii="Times New Roman" w:hAnsi="Times New Roman"/>
                <w:sz w:val="24"/>
              </w:rPr>
              <w:t>ente ha il ruolo di promotore, così come definito nell</w:t>
            </w:r>
            <w:r w:rsidR="0009277C" w:rsidRPr="00D51A68">
              <w:rPr>
                <w:rFonts w:ascii="Times New Roman" w:hAnsi="Times New Roman"/>
                <w:sz w:val="24"/>
              </w:rPr>
              <w:t>’</w:t>
            </w:r>
            <w:r w:rsidRPr="00D51A68">
              <w:rPr>
                <w:rFonts w:ascii="Times New Roman" w:hAnsi="Times New Roman"/>
                <w:sz w:val="24"/>
              </w:rPr>
              <w:t>articolo 4, paragrafo 1, punto 14, del CRR. Se cartolarizza anche le proprie attività, il promotore inserisce nelle righe dedicate al cedente le informazioni riguardanti le proprie attività cartolarizzate.</w:t>
            </w:r>
          </w:p>
          <w:p w:rsidR="00612780" w:rsidRPr="00D51A68" w:rsidRDefault="00612780" w:rsidP="00612780">
            <w:pPr>
              <w:autoSpaceDE w:val="0"/>
              <w:autoSpaceDN w:val="0"/>
              <w:adjustRightInd w:val="0"/>
              <w:spacing w:before="0" w:after="0"/>
              <w:rPr>
                <w:rFonts w:ascii="Times New Roman" w:hAnsi="Times New Roman"/>
                <w:sz w:val="24"/>
              </w:rPr>
            </w:pPr>
          </w:p>
        </w:tc>
      </w:tr>
      <w:tr w:rsidR="00612780" w:rsidRPr="00D51A68" w:rsidTr="00672D2A">
        <w:tc>
          <w:tcPr>
            <w:tcW w:w="1101" w:type="dxa"/>
            <w:shd w:val="clear" w:color="auto" w:fill="auto"/>
          </w:tcPr>
          <w:p w:rsidR="00612780" w:rsidRPr="00D51A68" w:rsidRDefault="00612780" w:rsidP="00612780">
            <w:pPr>
              <w:autoSpaceDE w:val="0"/>
              <w:autoSpaceDN w:val="0"/>
              <w:adjustRightInd w:val="0"/>
              <w:spacing w:before="0" w:after="0"/>
              <w:rPr>
                <w:rFonts w:ascii="Times New Roman" w:hAnsi="Times New Roman"/>
                <w:bCs/>
                <w:sz w:val="24"/>
              </w:rPr>
            </w:pPr>
            <w:r w:rsidRPr="00D51A68">
              <w:rPr>
                <w:rFonts w:ascii="Times New Roman" w:hAnsi="Times New Roman"/>
                <w:sz w:val="24"/>
              </w:rPr>
              <w:t>190-210</w:t>
            </w:r>
          </w:p>
        </w:tc>
        <w:tc>
          <w:tcPr>
            <w:tcW w:w="7903" w:type="dxa"/>
            <w:shd w:val="clear" w:color="auto" w:fill="auto"/>
          </w:tcPr>
          <w:p w:rsidR="00612780" w:rsidRPr="00D51A68" w:rsidRDefault="00612780" w:rsidP="00612780">
            <w:pPr>
              <w:autoSpaceDE w:val="0"/>
              <w:autoSpaceDN w:val="0"/>
              <w:adjustRightInd w:val="0"/>
              <w:spacing w:before="0" w:after="0"/>
              <w:jc w:val="left"/>
              <w:rPr>
                <w:rFonts w:ascii="Times New Roman" w:hAnsi="Times New Roman"/>
                <w:b/>
                <w:sz w:val="24"/>
                <w:u w:val="single"/>
              </w:rPr>
            </w:pPr>
            <w:r w:rsidRPr="00D51A68">
              <w:rPr>
                <w:rFonts w:ascii="Times New Roman" w:hAnsi="Times New Roman"/>
                <w:b/>
                <w:sz w:val="24"/>
                <w:u w:val="single"/>
              </w:rPr>
              <w:t xml:space="preserve">ELEMENTI IN BILANCIO </w:t>
            </w:r>
          </w:p>
          <w:p w:rsidR="00612780" w:rsidRPr="00D51A68" w:rsidRDefault="00612780" w:rsidP="00612780">
            <w:pPr>
              <w:autoSpaceDE w:val="0"/>
              <w:autoSpaceDN w:val="0"/>
              <w:adjustRightInd w:val="0"/>
              <w:spacing w:before="0" w:after="0"/>
              <w:rPr>
                <w:rFonts w:ascii="Times New Roman" w:hAnsi="Times New Roman"/>
                <w:sz w:val="24"/>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Si applicano gli stessi criteri di classificazione delle cartolarizzazioni e delle ricartolarizzazioni utilizzati per gli elementi in bilancio dei cedenti.</w:t>
            </w:r>
          </w:p>
          <w:p w:rsidR="00612780" w:rsidRPr="00D51A68" w:rsidRDefault="00612780" w:rsidP="00612780">
            <w:pPr>
              <w:autoSpaceDE w:val="0"/>
              <w:autoSpaceDN w:val="0"/>
              <w:adjustRightInd w:val="0"/>
              <w:spacing w:before="0" w:after="0"/>
              <w:rPr>
                <w:rFonts w:ascii="Times New Roman" w:hAnsi="Times New Roman"/>
                <w:sz w:val="24"/>
              </w:rPr>
            </w:pPr>
          </w:p>
        </w:tc>
      </w:tr>
      <w:tr w:rsidR="00612780" w:rsidRPr="00D51A68" w:rsidTr="00672D2A">
        <w:tc>
          <w:tcPr>
            <w:tcW w:w="1101" w:type="dxa"/>
            <w:shd w:val="clear" w:color="auto" w:fill="auto"/>
          </w:tcPr>
          <w:p w:rsidR="00612780" w:rsidRPr="00D51A68" w:rsidRDefault="00612780" w:rsidP="00612780">
            <w:pPr>
              <w:autoSpaceDE w:val="0"/>
              <w:autoSpaceDN w:val="0"/>
              <w:adjustRightInd w:val="0"/>
              <w:spacing w:before="0" w:after="0"/>
              <w:rPr>
                <w:rFonts w:ascii="Times New Roman" w:hAnsi="Times New Roman"/>
                <w:bCs/>
                <w:sz w:val="24"/>
              </w:rPr>
            </w:pPr>
            <w:r w:rsidRPr="00D51A68">
              <w:rPr>
                <w:rFonts w:ascii="Times New Roman" w:hAnsi="Times New Roman"/>
                <w:sz w:val="24"/>
              </w:rPr>
              <w:t>220-240</w:t>
            </w:r>
          </w:p>
        </w:tc>
        <w:tc>
          <w:tcPr>
            <w:tcW w:w="7903" w:type="dxa"/>
            <w:shd w:val="clear" w:color="auto" w:fill="auto"/>
          </w:tcPr>
          <w:p w:rsidR="00612780" w:rsidRPr="00D51A68" w:rsidRDefault="00612780" w:rsidP="00612780">
            <w:pPr>
              <w:autoSpaceDE w:val="0"/>
              <w:autoSpaceDN w:val="0"/>
              <w:adjustRightInd w:val="0"/>
              <w:spacing w:before="0" w:after="0"/>
              <w:rPr>
                <w:rFonts w:ascii="Times New Roman" w:hAnsi="Times New Roman"/>
                <w:b/>
                <w:sz w:val="24"/>
                <w:u w:val="single"/>
              </w:rPr>
            </w:pPr>
            <w:r w:rsidRPr="00D51A68">
              <w:rPr>
                <w:rFonts w:ascii="Times New Roman" w:hAnsi="Times New Roman"/>
                <w:b/>
                <w:sz w:val="24"/>
                <w:u w:val="single"/>
              </w:rPr>
              <w:t>ELEMENTI FUORI BILANCIO E DERIVATI</w:t>
            </w:r>
          </w:p>
          <w:p w:rsidR="00612780" w:rsidRPr="00D51A68" w:rsidRDefault="00612780" w:rsidP="00612780">
            <w:pPr>
              <w:autoSpaceDE w:val="0"/>
              <w:autoSpaceDN w:val="0"/>
              <w:adjustRightInd w:val="0"/>
              <w:spacing w:before="0" w:after="0"/>
              <w:rPr>
                <w:rFonts w:ascii="Times New Roman" w:hAnsi="Times New Roman"/>
                <w:sz w:val="24"/>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 xml:space="preserve">Si applicano gli stessi criteri di classificazione delle cartolarizzazioni e delle </w:t>
            </w:r>
            <w:r w:rsidRPr="00D51A68">
              <w:rPr>
                <w:rFonts w:ascii="Times New Roman" w:hAnsi="Times New Roman"/>
                <w:sz w:val="24"/>
              </w:rPr>
              <w:lastRenderedPageBreak/>
              <w:t>ricartolarizzazioni utilizzati per gli elementi fuori bilancio e i derivati dei cedenti.</w:t>
            </w:r>
          </w:p>
          <w:p w:rsidR="00612780" w:rsidRPr="00D51A68" w:rsidRDefault="00612780" w:rsidP="00612780">
            <w:pPr>
              <w:autoSpaceDE w:val="0"/>
              <w:autoSpaceDN w:val="0"/>
              <w:adjustRightInd w:val="0"/>
              <w:spacing w:before="0" w:after="0"/>
              <w:rPr>
                <w:rFonts w:ascii="Times New Roman" w:hAnsi="Times New Roman"/>
                <w:b/>
                <w:sz w:val="24"/>
                <w:u w:val="single"/>
              </w:rPr>
            </w:pPr>
          </w:p>
        </w:tc>
      </w:tr>
      <w:tr w:rsidR="00612780" w:rsidRPr="00D51A68" w:rsidTr="00672D2A">
        <w:tc>
          <w:tcPr>
            <w:tcW w:w="1101" w:type="dxa"/>
          </w:tcPr>
          <w:p w:rsidR="00612780" w:rsidRPr="00D51A68" w:rsidRDefault="00612780" w:rsidP="00612780">
            <w:pPr>
              <w:autoSpaceDE w:val="0"/>
              <w:autoSpaceDN w:val="0"/>
              <w:adjustRightInd w:val="0"/>
              <w:spacing w:before="0" w:after="0"/>
              <w:rPr>
                <w:rFonts w:ascii="Times New Roman" w:hAnsi="Times New Roman"/>
                <w:bCs/>
                <w:sz w:val="24"/>
              </w:rPr>
            </w:pPr>
            <w:r w:rsidRPr="00D51A68">
              <w:rPr>
                <w:rFonts w:ascii="Times New Roman" w:hAnsi="Times New Roman"/>
                <w:sz w:val="24"/>
              </w:rPr>
              <w:lastRenderedPageBreak/>
              <w:t>250-290</w:t>
            </w:r>
          </w:p>
        </w:tc>
        <w:tc>
          <w:tcPr>
            <w:tcW w:w="7903" w:type="dxa"/>
          </w:tcPr>
          <w:p w:rsidR="00612780" w:rsidRPr="00D51A68" w:rsidRDefault="00612780" w:rsidP="00612780">
            <w:pPr>
              <w:autoSpaceDE w:val="0"/>
              <w:autoSpaceDN w:val="0"/>
              <w:adjustRightInd w:val="0"/>
              <w:spacing w:before="0" w:after="0"/>
              <w:jc w:val="left"/>
              <w:rPr>
                <w:rFonts w:ascii="Times New Roman" w:hAnsi="Times New Roman"/>
                <w:b/>
                <w:sz w:val="24"/>
                <w:u w:val="single"/>
              </w:rPr>
            </w:pPr>
            <w:r w:rsidRPr="00D51A68">
              <w:rPr>
                <w:rFonts w:ascii="Times New Roman" w:hAnsi="Times New Roman"/>
                <w:b/>
                <w:sz w:val="24"/>
                <w:u w:val="single"/>
              </w:rPr>
              <w:t>RIPARTIZIONE DELLE POSIZIONI IN ESSERE PER CLASSE DI MERITO DI CREDITO (CQS) ALL</w:t>
            </w:r>
            <w:r w:rsidR="0009277C" w:rsidRPr="00D51A68">
              <w:rPr>
                <w:rFonts w:ascii="Times New Roman" w:hAnsi="Times New Roman"/>
                <w:b/>
                <w:sz w:val="24"/>
                <w:u w:val="single"/>
              </w:rPr>
              <w:t>’</w:t>
            </w:r>
            <w:r w:rsidRPr="00D51A68">
              <w:rPr>
                <w:rFonts w:ascii="Times New Roman" w:hAnsi="Times New Roman"/>
                <w:b/>
                <w:sz w:val="24"/>
                <w:u w:val="single"/>
              </w:rPr>
              <w:t>AVVIO</w:t>
            </w:r>
          </w:p>
          <w:p w:rsidR="00612780" w:rsidRPr="00D51A68" w:rsidRDefault="00612780" w:rsidP="00612780">
            <w:pPr>
              <w:autoSpaceDE w:val="0"/>
              <w:autoSpaceDN w:val="0"/>
              <w:adjustRightInd w:val="0"/>
              <w:spacing w:before="0" w:after="0"/>
              <w:jc w:val="left"/>
              <w:rPr>
                <w:rFonts w:ascii="Times New Roman" w:hAnsi="Times New Roman"/>
                <w:b/>
                <w:sz w:val="24"/>
                <w:u w:val="single"/>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Queste righe contengono le informazioni sulle posizioni in essere trattate secondo il metodo basato sui rating e sulle posizioni in essere prive di rating (alla data di riferimento per le segnalazioni) secondo le classi di merito di credito (previste per il metodo standardizzato nella tabella 1 dell</w:t>
            </w:r>
            <w:r w:rsidR="0009277C" w:rsidRPr="00D51A68">
              <w:rPr>
                <w:rFonts w:ascii="Times New Roman" w:hAnsi="Times New Roman"/>
                <w:sz w:val="24"/>
              </w:rPr>
              <w:t>’</w:t>
            </w:r>
            <w:r w:rsidRPr="00D51A68">
              <w:rPr>
                <w:rFonts w:ascii="Times New Roman" w:hAnsi="Times New Roman"/>
                <w:sz w:val="24"/>
              </w:rPr>
              <w:t>articolo 251 del CRR) applicate alla data di creazione (avvio). In mancanza di questa informazione sono segnalati i dati disponibili equivalenti alle classi di merito di credito di più antica data.</w:t>
            </w:r>
          </w:p>
          <w:p w:rsidR="00612780" w:rsidRPr="00D51A68" w:rsidRDefault="00612780" w:rsidP="00612780">
            <w:pPr>
              <w:autoSpaceDE w:val="0"/>
              <w:autoSpaceDN w:val="0"/>
              <w:adjustRightInd w:val="0"/>
              <w:spacing w:before="0" w:after="0"/>
              <w:rPr>
                <w:rFonts w:ascii="Times New Roman" w:hAnsi="Times New Roman"/>
                <w:sz w:val="24"/>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Queste righe devono essere compilate soltanto per le colonne da 190, da 210 a 270 e da 330 a 340.</w:t>
            </w:r>
          </w:p>
          <w:p w:rsidR="00612780" w:rsidRPr="00D51A68" w:rsidRDefault="00612780" w:rsidP="00612780">
            <w:pPr>
              <w:autoSpaceDE w:val="0"/>
              <w:autoSpaceDN w:val="0"/>
              <w:adjustRightInd w:val="0"/>
              <w:spacing w:before="0" w:after="0"/>
              <w:jc w:val="left"/>
              <w:rPr>
                <w:rFonts w:ascii="Times New Roman" w:hAnsi="Times New Roman"/>
                <w:b/>
                <w:sz w:val="24"/>
                <w:u w:val="single"/>
              </w:rPr>
            </w:pPr>
          </w:p>
        </w:tc>
      </w:tr>
    </w:tbl>
    <w:p w:rsidR="00612780" w:rsidRPr="00D51A68" w:rsidRDefault="00612780" w:rsidP="00612780">
      <w:pPr>
        <w:autoSpaceDE w:val="0"/>
        <w:autoSpaceDN w:val="0"/>
        <w:adjustRightInd w:val="0"/>
        <w:spacing w:before="0" w:after="0"/>
        <w:jc w:val="left"/>
        <w:rPr>
          <w:rFonts w:ascii="Times New Roman" w:hAnsi="Times New Roman"/>
          <w:sz w:val="24"/>
        </w:rPr>
      </w:pPr>
    </w:p>
    <w:p w:rsidR="00612780" w:rsidRPr="00D51A68" w:rsidRDefault="00125707" w:rsidP="0023700C">
      <w:pPr>
        <w:pStyle w:val="Instructionsberschrift2"/>
        <w:numPr>
          <w:ilvl w:val="0"/>
          <w:numId w:val="0"/>
        </w:numPr>
        <w:ind w:left="357" w:hanging="357"/>
        <w:rPr>
          <w:rFonts w:ascii="Times New Roman" w:hAnsi="Times New Roman" w:cs="Times New Roman"/>
          <w:sz w:val="24"/>
        </w:rPr>
      </w:pPr>
      <w:bookmarkStart w:id="459" w:name="_Toc239157387"/>
      <w:bookmarkStart w:id="460" w:name="_Toc310415042"/>
      <w:bookmarkStart w:id="461" w:name="_Toc360188378"/>
      <w:bookmarkStart w:id="462" w:name="_Toc516210664"/>
      <w:bookmarkStart w:id="463" w:name="_Toc473560929"/>
      <w:bookmarkStart w:id="464" w:name="_Toc524096609"/>
      <w:r w:rsidRPr="00D51A68">
        <w:rPr>
          <w:rFonts w:ascii="Times New Roman" w:hAnsi="Times New Roman"/>
          <w:sz w:val="24"/>
          <w:u w:val="none"/>
        </w:rPr>
        <w:t>3.8.</w:t>
      </w:r>
      <w:r w:rsidR="00A0772B" w:rsidRPr="00D51A68">
        <w:rPr>
          <w:u w:val="none"/>
        </w:rPr>
        <w:tab/>
      </w:r>
      <w:r w:rsidRPr="00D51A68">
        <w:rPr>
          <w:rFonts w:ascii="Times New Roman" w:hAnsi="Times New Roman"/>
          <w:sz w:val="24"/>
        </w:rPr>
        <w:t>C 13.00 — Rischio di credito — Cartolarizzazioni: metodo IRB applicato ai requisiti di fondi propri</w:t>
      </w:r>
      <w:bookmarkEnd w:id="459"/>
      <w:bookmarkEnd w:id="460"/>
      <w:bookmarkEnd w:id="461"/>
      <w:r w:rsidRPr="00D51A68">
        <w:rPr>
          <w:rFonts w:ascii="Times New Roman" w:hAnsi="Times New Roman"/>
          <w:sz w:val="24"/>
        </w:rPr>
        <w:t xml:space="preserve"> (CR SEC IRB)</w:t>
      </w:r>
      <w:bookmarkEnd w:id="462"/>
      <w:bookmarkEnd w:id="463"/>
      <w:bookmarkEnd w:id="464"/>
    </w:p>
    <w:p w:rsidR="00612780" w:rsidRPr="00D51A68" w:rsidRDefault="00125707" w:rsidP="0023700C">
      <w:pPr>
        <w:pStyle w:val="Instructionsberschrift2"/>
        <w:numPr>
          <w:ilvl w:val="0"/>
          <w:numId w:val="0"/>
        </w:numPr>
        <w:ind w:left="357" w:hanging="357"/>
        <w:rPr>
          <w:rFonts w:ascii="Times New Roman" w:hAnsi="Times New Roman" w:cs="Times New Roman"/>
          <w:sz w:val="24"/>
        </w:rPr>
      </w:pPr>
      <w:bookmarkStart w:id="465" w:name="_Toc239157388"/>
      <w:bookmarkStart w:id="466" w:name="_Toc310415043"/>
      <w:bookmarkStart w:id="467" w:name="_Toc360188379"/>
      <w:bookmarkStart w:id="468" w:name="_Toc516210665"/>
      <w:bookmarkStart w:id="469" w:name="_Toc473560930"/>
      <w:bookmarkStart w:id="470" w:name="_Toc524096610"/>
      <w:r w:rsidRPr="00D51A68">
        <w:rPr>
          <w:rFonts w:ascii="Times New Roman" w:hAnsi="Times New Roman"/>
          <w:sz w:val="24"/>
          <w:u w:val="none"/>
        </w:rPr>
        <w:t>3.8.1.</w:t>
      </w:r>
      <w:r w:rsidR="00A0772B" w:rsidRPr="00D51A68">
        <w:rPr>
          <w:u w:val="none"/>
        </w:rPr>
        <w:tab/>
      </w:r>
      <w:r w:rsidRPr="00D51A68">
        <w:rPr>
          <w:rFonts w:ascii="Times New Roman" w:hAnsi="Times New Roman"/>
          <w:sz w:val="24"/>
        </w:rPr>
        <w:t>Osservazioni di carattere generale</w:t>
      </w:r>
      <w:bookmarkEnd w:id="465"/>
      <w:bookmarkEnd w:id="466"/>
      <w:bookmarkEnd w:id="467"/>
      <w:bookmarkEnd w:id="468"/>
      <w:bookmarkEnd w:id="469"/>
      <w:bookmarkEnd w:id="470"/>
    </w:p>
    <w:p w:rsidR="00612780" w:rsidRPr="00D51A68" w:rsidRDefault="00125707" w:rsidP="00F31236">
      <w:pPr>
        <w:pStyle w:val="InstructionsText2"/>
        <w:numPr>
          <w:ilvl w:val="0"/>
          <w:numId w:val="0"/>
        </w:numPr>
        <w:ind w:left="993"/>
      </w:pPr>
      <w:r w:rsidRPr="00D51A68">
        <w:t>104.</w:t>
      </w:r>
      <w:r w:rsidR="00A0772B" w:rsidRPr="00D51A68">
        <w:tab/>
      </w:r>
      <w:r w:rsidRPr="00D51A68">
        <w:t>Le informazioni segnalate in questo modello sono richieste per tutte le cartolarizzazioni per le quali è riconosciuto un trasferimento del rischio significativo e nelle quali l</w:t>
      </w:r>
      <w:r w:rsidR="0009277C" w:rsidRPr="00D51A68">
        <w:t>’</w:t>
      </w:r>
      <w:r w:rsidRPr="00D51A68">
        <w:t>ente segnalante partecipa a una cartolarizzazione trattata secondo il metodo basato sui rating interni. Nelle date di riferimento per le segnalazioni successive al 1° gennaio 2019, le cartolarizzazioni il cui importo dell</w:t>
      </w:r>
      <w:r w:rsidR="0009277C" w:rsidRPr="00D51A68">
        <w:t>’</w:t>
      </w:r>
      <w:r w:rsidRPr="00D51A68">
        <w:t>esposizione ponderato per il rischio è determinato sulla base del quadro rivisto in materia di cartolarizzazione non sono segnalate in questo modello bensì solo nel modello C 02.00. Parimenti, nelle date di riferimento per le segnalazioni successive al 1° gennaio 2019, le posizioni verso la cartolarizzazione che sono soggette a un fattore di ponderazione del rischio del 1 250%</w:t>
      </w:r>
      <w:r w:rsidR="0009277C" w:rsidRPr="00D51A68">
        <w:t xml:space="preserve"> </w:t>
      </w:r>
      <w:r w:rsidRPr="00D51A68">
        <w:t>conformemente al quadro rivisto in materia di cartolarizzazione e che sono dedotte dal CET1 a norma dell</w:t>
      </w:r>
      <w:r w:rsidR="0009277C" w:rsidRPr="00D51A68">
        <w:t>’</w:t>
      </w:r>
      <w:r w:rsidRPr="00D51A68">
        <w:t>articolo 36, paragrafo 1, lettera k), punto ii), del CRR non sono segnalate in questo modello bensì solo nel modello C 01.00.</w:t>
      </w:r>
    </w:p>
    <w:p w:rsidR="001D5403" w:rsidRPr="00D51A68" w:rsidRDefault="00C67004" w:rsidP="00F31236">
      <w:pPr>
        <w:pStyle w:val="InstructionsText2"/>
        <w:numPr>
          <w:ilvl w:val="0"/>
          <w:numId w:val="0"/>
        </w:numPr>
        <w:ind w:left="993"/>
      </w:pPr>
      <w:r w:rsidRPr="00D51A68">
        <w:t>104bis. Ai fini di questo modello, tutti i riferimenti agli a</w:t>
      </w:r>
      <w:r w:rsidR="00F31236" w:rsidRPr="00D51A68">
        <w:t>rticoli della parte tre, titolo </w:t>
      </w:r>
      <w:r w:rsidRPr="00D51A68">
        <w:t>II, capo 5, del CRR vanno intesi come riferimenti al CRR nella versione applicabile il 31 dicembre 2018.</w:t>
      </w:r>
    </w:p>
    <w:p w:rsidR="00612780" w:rsidRPr="00D51A68" w:rsidRDefault="00125707" w:rsidP="00F31236">
      <w:pPr>
        <w:pStyle w:val="InstructionsText2"/>
        <w:numPr>
          <w:ilvl w:val="0"/>
          <w:numId w:val="0"/>
        </w:numPr>
        <w:ind w:left="993"/>
      </w:pPr>
      <w:r w:rsidRPr="00D51A68">
        <w:t>105.</w:t>
      </w:r>
      <w:r w:rsidR="00A0772B" w:rsidRPr="00D51A68">
        <w:tab/>
      </w:r>
      <w:r w:rsidRPr="00D51A68">
        <w:t>Le informazioni da segnalare sono condizionate dal ruolo svolto dall</w:t>
      </w:r>
      <w:r w:rsidR="0009277C" w:rsidRPr="00D51A68">
        <w:t>’</w:t>
      </w:r>
      <w:r w:rsidRPr="00D51A68">
        <w:t>ente nel contesto della cartolarizzazione; pertanto si utilizzano elementi di segnalazione specifici per i cedenti, i promotori e gli investitori.</w:t>
      </w:r>
    </w:p>
    <w:p w:rsidR="00612780" w:rsidRPr="00D51A68" w:rsidRDefault="00125707" w:rsidP="00F31236">
      <w:pPr>
        <w:pStyle w:val="InstructionsText2"/>
        <w:numPr>
          <w:ilvl w:val="0"/>
          <w:numId w:val="0"/>
        </w:numPr>
        <w:ind w:left="993"/>
      </w:pPr>
      <w:r w:rsidRPr="00D51A68">
        <w:t>106.</w:t>
      </w:r>
      <w:r w:rsidR="00A0772B" w:rsidRPr="00D51A68">
        <w:tab/>
      </w:r>
      <w:r w:rsidRPr="00D51A68">
        <w:t xml:space="preserve">Il modello CR SEC IRB copre lo stesso ambito del modello CR SEC SA: combina informazioni riguardanti sia le cartolarizzazioni tradizionali sia le cartolarizzazioni sintetiche interne al portafoglio bancario. </w:t>
      </w:r>
    </w:p>
    <w:p w:rsidR="00612780" w:rsidRPr="00D51A68" w:rsidRDefault="00125707" w:rsidP="0023700C">
      <w:pPr>
        <w:pStyle w:val="Instructionsberschrift2"/>
        <w:numPr>
          <w:ilvl w:val="0"/>
          <w:numId w:val="0"/>
        </w:numPr>
        <w:ind w:left="357" w:hanging="357"/>
        <w:rPr>
          <w:rFonts w:ascii="Times New Roman" w:hAnsi="Times New Roman" w:cs="Times New Roman"/>
          <w:sz w:val="24"/>
        </w:rPr>
      </w:pPr>
      <w:bookmarkStart w:id="471" w:name="_Toc239157389"/>
      <w:bookmarkStart w:id="472" w:name="_Toc310415044"/>
      <w:bookmarkStart w:id="473" w:name="_Toc360188380"/>
      <w:bookmarkStart w:id="474" w:name="_Toc516210666"/>
      <w:bookmarkStart w:id="475" w:name="_Toc473560931"/>
      <w:bookmarkStart w:id="476" w:name="_Toc524096611"/>
      <w:r w:rsidRPr="00D51A68">
        <w:rPr>
          <w:rFonts w:ascii="Times New Roman" w:hAnsi="Times New Roman"/>
          <w:sz w:val="24"/>
          <w:u w:val="none"/>
        </w:rPr>
        <w:lastRenderedPageBreak/>
        <w:t>3.8.2.</w:t>
      </w:r>
      <w:r w:rsidR="00A0772B" w:rsidRPr="00D51A68">
        <w:rPr>
          <w:u w:val="none"/>
        </w:rPr>
        <w:tab/>
      </w:r>
      <w:r w:rsidRPr="00D51A68">
        <w:rPr>
          <w:rFonts w:ascii="Times New Roman" w:hAnsi="Times New Roman"/>
          <w:sz w:val="24"/>
        </w:rPr>
        <w:t>Istruzioni relative a posizioni specifiche</w:t>
      </w:r>
      <w:bookmarkEnd w:id="471"/>
      <w:bookmarkEnd w:id="472"/>
      <w:bookmarkEnd w:id="473"/>
      <w:bookmarkEnd w:id="474"/>
      <w:bookmarkEnd w:id="475"/>
      <w:bookmarkEnd w:id="476"/>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612780" w:rsidRPr="00D51A68" w:rsidTr="00672D2A">
        <w:tc>
          <w:tcPr>
            <w:tcW w:w="9004" w:type="dxa"/>
            <w:gridSpan w:val="2"/>
            <w:shd w:val="clear" w:color="auto" w:fill="CCCCCC"/>
          </w:tcPr>
          <w:p w:rsidR="00612780" w:rsidRPr="00D51A68" w:rsidRDefault="00612780" w:rsidP="00612780">
            <w:pPr>
              <w:autoSpaceDE w:val="0"/>
              <w:autoSpaceDN w:val="0"/>
              <w:adjustRightInd w:val="0"/>
              <w:spacing w:before="0" w:after="0"/>
              <w:ind w:left="426"/>
              <w:jc w:val="left"/>
              <w:rPr>
                <w:rFonts w:ascii="Times New Roman" w:hAnsi="Times New Roman"/>
                <w:sz w:val="24"/>
              </w:rPr>
            </w:pPr>
          </w:p>
          <w:p w:rsidR="00612780" w:rsidRPr="00D51A68" w:rsidRDefault="00612780" w:rsidP="00612780">
            <w:pPr>
              <w:autoSpaceDE w:val="0"/>
              <w:autoSpaceDN w:val="0"/>
              <w:adjustRightInd w:val="0"/>
              <w:spacing w:before="0" w:after="0"/>
              <w:rPr>
                <w:rFonts w:ascii="Times New Roman" w:hAnsi="Times New Roman"/>
                <w:b/>
                <w:bCs/>
                <w:sz w:val="24"/>
              </w:rPr>
            </w:pPr>
            <w:r w:rsidRPr="00D51A68">
              <w:rPr>
                <w:rFonts w:ascii="Times New Roman" w:hAnsi="Times New Roman"/>
                <w:b/>
                <w:sz w:val="24"/>
              </w:rPr>
              <w:t>Colonne</w:t>
            </w:r>
          </w:p>
          <w:p w:rsidR="00612780" w:rsidRPr="00D51A68" w:rsidRDefault="00612780" w:rsidP="00612780">
            <w:pPr>
              <w:autoSpaceDE w:val="0"/>
              <w:autoSpaceDN w:val="0"/>
              <w:adjustRightInd w:val="0"/>
              <w:spacing w:before="0" w:after="0"/>
              <w:rPr>
                <w:rFonts w:ascii="Times New Roman" w:hAnsi="Times New Roman"/>
                <w:bCs/>
                <w:sz w:val="24"/>
              </w:rPr>
            </w:pPr>
          </w:p>
        </w:tc>
      </w:tr>
      <w:tr w:rsidR="00612780" w:rsidRPr="00D51A68" w:rsidTr="00672D2A">
        <w:tc>
          <w:tcPr>
            <w:tcW w:w="1101" w:type="dxa"/>
          </w:tcPr>
          <w:p w:rsidR="00612780" w:rsidRPr="00D51A68" w:rsidRDefault="00612780" w:rsidP="00612780">
            <w:pPr>
              <w:autoSpaceDE w:val="0"/>
              <w:autoSpaceDN w:val="0"/>
              <w:adjustRightInd w:val="0"/>
              <w:spacing w:before="0" w:after="0"/>
              <w:rPr>
                <w:rFonts w:ascii="Times New Roman" w:hAnsi="Times New Roman"/>
                <w:bCs/>
                <w:sz w:val="24"/>
              </w:rPr>
            </w:pPr>
            <w:r w:rsidRPr="00D51A68">
              <w:rPr>
                <w:rFonts w:ascii="Times New Roman" w:hAnsi="Times New Roman"/>
                <w:sz w:val="24"/>
              </w:rPr>
              <w:t>010</w:t>
            </w:r>
          </w:p>
        </w:tc>
        <w:tc>
          <w:tcPr>
            <w:tcW w:w="7903" w:type="dxa"/>
          </w:tcPr>
          <w:p w:rsidR="00612780" w:rsidRPr="00D51A68" w:rsidRDefault="00612780" w:rsidP="00612780">
            <w:pPr>
              <w:spacing w:before="0" w:after="0"/>
              <w:jc w:val="left"/>
              <w:rPr>
                <w:rFonts w:ascii="Times New Roman" w:hAnsi="Times New Roman"/>
                <w:sz w:val="24"/>
              </w:rPr>
            </w:pPr>
            <w:r w:rsidRPr="00D51A68">
              <w:rPr>
                <w:rFonts w:ascii="Times New Roman" w:hAnsi="Times New Roman"/>
                <w:b/>
                <w:sz w:val="24"/>
                <w:u w:val="single"/>
              </w:rPr>
              <w:t>IMPORTO COMPLESSIVO DELLE ESPOSIZIONI VERSO LA CARTOLARIZZAZIONE CREATE</w:t>
            </w:r>
          </w:p>
          <w:p w:rsidR="00612780" w:rsidRPr="00D51A68" w:rsidRDefault="00612780" w:rsidP="00612780">
            <w:pPr>
              <w:spacing w:before="0" w:after="0"/>
              <w:jc w:val="left"/>
              <w:rPr>
                <w:rFonts w:ascii="Times New Roman" w:hAnsi="Times New Roman"/>
                <w:sz w:val="24"/>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Per il totale della riga relativa agli elementi in bilancio, l</w:t>
            </w:r>
            <w:r w:rsidR="0009277C" w:rsidRPr="00D51A68">
              <w:rPr>
                <w:rFonts w:ascii="Times New Roman" w:hAnsi="Times New Roman"/>
                <w:sz w:val="24"/>
              </w:rPr>
              <w:t>’</w:t>
            </w:r>
            <w:r w:rsidRPr="00D51A68">
              <w:rPr>
                <w:rFonts w:ascii="Times New Roman" w:hAnsi="Times New Roman"/>
                <w:sz w:val="24"/>
              </w:rPr>
              <w:t>importo segnalato in questa colonna è il valore in essere delle esposizioni cartolarizzate alla data di riferimento per le segnalazioni.</w:t>
            </w:r>
          </w:p>
          <w:p w:rsidR="00612780" w:rsidRPr="00D51A68" w:rsidRDefault="00612780" w:rsidP="00612780">
            <w:pPr>
              <w:autoSpaceDE w:val="0"/>
              <w:autoSpaceDN w:val="0"/>
              <w:adjustRightInd w:val="0"/>
              <w:spacing w:before="0" w:after="0"/>
              <w:rPr>
                <w:rFonts w:ascii="Times New Roman" w:hAnsi="Times New Roman"/>
                <w:bCs/>
                <w:sz w:val="24"/>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Cfr. colonna 010 del modello CR SEC SA.</w:t>
            </w:r>
          </w:p>
          <w:p w:rsidR="00612780" w:rsidRPr="00D51A68" w:rsidRDefault="00612780" w:rsidP="00612780">
            <w:pPr>
              <w:autoSpaceDE w:val="0"/>
              <w:autoSpaceDN w:val="0"/>
              <w:adjustRightInd w:val="0"/>
              <w:spacing w:before="0" w:after="0"/>
              <w:rPr>
                <w:rFonts w:ascii="Times New Roman" w:hAnsi="Times New Roman"/>
                <w:bCs/>
                <w:sz w:val="24"/>
              </w:rPr>
            </w:pPr>
          </w:p>
        </w:tc>
      </w:tr>
      <w:tr w:rsidR="00612780" w:rsidRPr="00D51A68" w:rsidTr="00672D2A">
        <w:tc>
          <w:tcPr>
            <w:tcW w:w="1101" w:type="dxa"/>
          </w:tcPr>
          <w:p w:rsidR="00612780" w:rsidRPr="00D51A68" w:rsidRDefault="00612780" w:rsidP="00612780">
            <w:pPr>
              <w:autoSpaceDE w:val="0"/>
              <w:autoSpaceDN w:val="0"/>
              <w:adjustRightInd w:val="0"/>
              <w:spacing w:before="0" w:after="0"/>
              <w:rPr>
                <w:rFonts w:ascii="Times New Roman" w:hAnsi="Times New Roman"/>
                <w:bCs/>
                <w:sz w:val="24"/>
              </w:rPr>
            </w:pPr>
            <w:r w:rsidRPr="00D51A68">
              <w:rPr>
                <w:rFonts w:ascii="Times New Roman" w:hAnsi="Times New Roman"/>
                <w:sz w:val="24"/>
              </w:rPr>
              <w:t>020-040</w:t>
            </w:r>
          </w:p>
        </w:tc>
        <w:tc>
          <w:tcPr>
            <w:tcW w:w="7903" w:type="dxa"/>
          </w:tcPr>
          <w:p w:rsidR="00612780" w:rsidRPr="00D51A68" w:rsidRDefault="00612780" w:rsidP="00612780">
            <w:pPr>
              <w:spacing w:before="0" w:after="0"/>
              <w:jc w:val="left"/>
              <w:rPr>
                <w:rFonts w:ascii="Times New Roman" w:hAnsi="Times New Roman"/>
                <w:b/>
                <w:sz w:val="24"/>
                <w:u w:val="single"/>
              </w:rPr>
            </w:pPr>
            <w:r w:rsidRPr="00D51A68">
              <w:rPr>
                <w:rFonts w:ascii="Times New Roman" w:hAnsi="Times New Roman"/>
                <w:b/>
                <w:sz w:val="24"/>
                <w:u w:val="single"/>
              </w:rPr>
              <w:t>CARTOLARIZZAZIONI SINTETICHE: PROTEZIONE DEL CREDITO PER LE ESPOSIZIONI CARTOLARIZZATE</w:t>
            </w:r>
          </w:p>
          <w:p w:rsidR="00612780" w:rsidRPr="00D51A68" w:rsidRDefault="00612780" w:rsidP="00612780">
            <w:pPr>
              <w:spacing w:before="0" w:after="0"/>
              <w:jc w:val="left"/>
              <w:rPr>
                <w:rFonts w:ascii="Times New Roman" w:hAnsi="Times New Roman"/>
                <w:sz w:val="24"/>
              </w:rPr>
            </w:pPr>
          </w:p>
          <w:p w:rsidR="00612780" w:rsidRPr="00D51A68" w:rsidRDefault="00612780" w:rsidP="00612780">
            <w:pPr>
              <w:spacing w:before="0" w:after="0"/>
              <w:rPr>
                <w:rFonts w:ascii="Times New Roman" w:hAnsi="Times New Roman"/>
                <w:sz w:val="24"/>
              </w:rPr>
            </w:pPr>
            <w:r w:rsidRPr="00D51A68">
              <w:rPr>
                <w:rFonts w:ascii="Times New Roman" w:hAnsi="Times New Roman"/>
                <w:sz w:val="24"/>
              </w:rPr>
              <w:t xml:space="preserve">Articoli 249 e 250 del CRR. </w:t>
            </w:r>
          </w:p>
          <w:p w:rsidR="00612780" w:rsidRPr="00D51A68" w:rsidRDefault="00612780" w:rsidP="00612780">
            <w:pPr>
              <w:spacing w:before="0" w:after="0"/>
              <w:rPr>
                <w:rFonts w:ascii="Times New Roman" w:hAnsi="Times New Roman"/>
                <w:sz w:val="24"/>
              </w:rPr>
            </w:pPr>
          </w:p>
          <w:p w:rsidR="00612780" w:rsidRPr="00D51A68" w:rsidRDefault="00612780" w:rsidP="00612780">
            <w:pPr>
              <w:spacing w:before="0" w:after="0"/>
              <w:rPr>
                <w:rFonts w:ascii="Times New Roman" w:hAnsi="Times New Roman"/>
                <w:bCs/>
                <w:sz w:val="24"/>
              </w:rPr>
            </w:pPr>
            <w:r w:rsidRPr="00D51A68">
              <w:rPr>
                <w:rFonts w:ascii="Times New Roman" w:hAnsi="Times New Roman"/>
                <w:sz w:val="24"/>
              </w:rPr>
              <w:t xml:space="preserve">Il valore corretto delle tecniche di attenuazione del rischio di credito utilizzate nella struttura di cartolarizzazione non tiene conto dei disallineamenti di durata. </w:t>
            </w:r>
          </w:p>
        </w:tc>
      </w:tr>
      <w:tr w:rsidR="00612780" w:rsidRPr="00D51A68" w:rsidTr="00672D2A">
        <w:tc>
          <w:tcPr>
            <w:tcW w:w="1101" w:type="dxa"/>
          </w:tcPr>
          <w:p w:rsidR="00612780" w:rsidRPr="00D51A68" w:rsidRDefault="00612780" w:rsidP="00612780">
            <w:pPr>
              <w:autoSpaceDE w:val="0"/>
              <w:autoSpaceDN w:val="0"/>
              <w:adjustRightInd w:val="0"/>
              <w:spacing w:before="0" w:after="0"/>
              <w:rPr>
                <w:rFonts w:ascii="Times New Roman" w:hAnsi="Times New Roman"/>
                <w:bCs/>
                <w:sz w:val="24"/>
              </w:rPr>
            </w:pPr>
            <w:r w:rsidRPr="00D51A68">
              <w:rPr>
                <w:rFonts w:ascii="Times New Roman" w:hAnsi="Times New Roman"/>
                <w:sz w:val="24"/>
              </w:rPr>
              <w:t>020</w:t>
            </w:r>
          </w:p>
        </w:tc>
        <w:tc>
          <w:tcPr>
            <w:tcW w:w="7903" w:type="dxa"/>
          </w:tcPr>
          <w:p w:rsidR="00612780" w:rsidRPr="00D51A68" w:rsidRDefault="00612780" w:rsidP="00612780">
            <w:pPr>
              <w:spacing w:before="0" w:after="0"/>
              <w:jc w:val="left"/>
              <w:rPr>
                <w:rFonts w:ascii="Times New Roman" w:hAnsi="Times New Roman"/>
                <w:b/>
                <w:strike/>
                <w:sz w:val="24"/>
                <w:u w:val="single"/>
              </w:rPr>
            </w:pPr>
            <w:r w:rsidRPr="00D51A68">
              <w:rPr>
                <w:rFonts w:ascii="Times New Roman" w:hAnsi="Times New Roman"/>
                <w:b/>
                <w:sz w:val="24"/>
                <w:u w:val="single"/>
              </w:rPr>
              <w:t>(-) PROTEZIONE DEL CREDITO DI TIPO REALE (C</w:t>
            </w:r>
            <w:r w:rsidRPr="00D51A68">
              <w:rPr>
                <w:rFonts w:ascii="Times New Roman" w:hAnsi="Times New Roman"/>
                <w:b/>
                <w:sz w:val="24"/>
                <w:u w:val="single"/>
                <w:vertAlign w:val="subscript"/>
              </w:rPr>
              <w:t>VA</w:t>
            </w:r>
            <w:r w:rsidRPr="00D51A68">
              <w:rPr>
                <w:rFonts w:ascii="Times New Roman" w:hAnsi="Times New Roman"/>
                <w:b/>
                <w:sz w:val="24"/>
                <w:u w:val="single"/>
              </w:rPr>
              <w:t xml:space="preserve">) </w:t>
            </w:r>
          </w:p>
          <w:p w:rsidR="00612780" w:rsidRPr="00D51A68" w:rsidRDefault="00612780" w:rsidP="00612780">
            <w:pPr>
              <w:spacing w:before="0" w:after="0"/>
              <w:jc w:val="left"/>
              <w:rPr>
                <w:rFonts w:ascii="Times New Roman" w:hAnsi="Times New Roman"/>
                <w:sz w:val="24"/>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La procedura dettagliata per il calcolo del valore della garanzia corretto per la volatilità (C</w:t>
            </w:r>
            <w:r w:rsidRPr="00D51A68">
              <w:rPr>
                <w:rFonts w:ascii="Times New Roman" w:hAnsi="Times New Roman"/>
                <w:sz w:val="24"/>
                <w:vertAlign w:val="subscript"/>
              </w:rPr>
              <w:t>VA</w:t>
            </w:r>
            <w:r w:rsidRPr="00D51A68">
              <w:rPr>
                <w:rFonts w:ascii="Times New Roman" w:hAnsi="Times New Roman"/>
                <w:sz w:val="24"/>
              </w:rPr>
              <w:t>) da segnalare in questa colonna è esposta nell</w:t>
            </w:r>
            <w:r w:rsidR="0009277C" w:rsidRPr="00D51A68">
              <w:rPr>
                <w:rFonts w:ascii="Times New Roman" w:hAnsi="Times New Roman"/>
                <w:sz w:val="24"/>
              </w:rPr>
              <w:t>’</w:t>
            </w:r>
            <w:r w:rsidRPr="00D51A68">
              <w:rPr>
                <w:rFonts w:ascii="Times New Roman" w:hAnsi="Times New Roman"/>
                <w:sz w:val="24"/>
              </w:rPr>
              <w:t>articolo 223, paragrafo 2, del CRR.</w:t>
            </w:r>
          </w:p>
          <w:p w:rsidR="00612780" w:rsidRPr="00D51A68" w:rsidRDefault="00612780" w:rsidP="00612780">
            <w:pPr>
              <w:spacing w:before="0" w:after="0"/>
              <w:jc w:val="left"/>
              <w:rPr>
                <w:rFonts w:ascii="Times New Roman" w:hAnsi="Times New Roman"/>
                <w:b/>
                <w:sz w:val="24"/>
                <w:u w:val="single"/>
              </w:rPr>
            </w:pPr>
          </w:p>
        </w:tc>
      </w:tr>
      <w:tr w:rsidR="00612780" w:rsidRPr="00D51A68" w:rsidTr="00672D2A">
        <w:tc>
          <w:tcPr>
            <w:tcW w:w="1101" w:type="dxa"/>
          </w:tcPr>
          <w:p w:rsidR="00612780" w:rsidRPr="00D51A68" w:rsidRDefault="00612780" w:rsidP="00612780">
            <w:pPr>
              <w:autoSpaceDE w:val="0"/>
              <w:autoSpaceDN w:val="0"/>
              <w:adjustRightInd w:val="0"/>
              <w:spacing w:before="0" w:after="0"/>
              <w:rPr>
                <w:rFonts w:ascii="Times New Roman" w:hAnsi="Times New Roman"/>
                <w:bCs/>
                <w:sz w:val="24"/>
              </w:rPr>
            </w:pPr>
            <w:r w:rsidRPr="00D51A68">
              <w:rPr>
                <w:rFonts w:ascii="Times New Roman" w:hAnsi="Times New Roman"/>
                <w:sz w:val="24"/>
              </w:rPr>
              <w:t>030</w:t>
            </w:r>
          </w:p>
        </w:tc>
        <w:tc>
          <w:tcPr>
            <w:tcW w:w="7903" w:type="dxa"/>
          </w:tcPr>
          <w:p w:rsidR="00612780" w:rsidRPr="00D51A68" w:rsidRDefault="00612780" w:rsidP="00612780">
            <w:pPr>
              <w:spacing w:before="0" w:after="0"/>
              <w:jc w:val="left"/>
              <w:rPr>
                <w:rFonts w:ascii="Times New Roman" w:hAnsi="Times New Roman"/>
                <w:b/>
                <w:sz w:val="24"/>
                <w:u w:val="single"/>
              </w:rPr>
            </w:pPr>
            <w:r w:rsidRPr="00D51A68">
              <w:rPr>
                <w:rFonts w:ascii="Times New Roman" w:hAnsi="Times New Roman"/>
                <w:b/>
                <w:sz w:val="24"/>
                <w:u w:val="single"/>
              </w:rPr>
              <w:t xml:space="preserve">(-) DEFLUSSI TOTALI: VALORI CORRETTI DELLA PROTEZIONE DEL CREDITO DI TIPO PERSONALE (G*) </w:t>
            </w:r>
          </w:p>
          <w:p w:rsidR="00612780" w:rsidRPr="00D51A68" w:rsidRDefault="00612780" w:rsidP="00612780">
            <w:pPr>
              <w:spacing w:before="0" w:after="0"/>
              <w:jc w:val="left"/>
              <w:rPr>
                <w:rFonts w:ascii="Times New Roman" w:hAnsi="Times New Roman"/>
                <w:sz w:val="24"/>
              </w:rPr>
            </w:pPr>
          </w:p>
          <w:p w:rsidR="00612780" w:rsidRPr="00D51A68" w:rsidRDefault="00612780" w:rsidP="00612780">
            <w:pPr>
              <w:spacing w:before="0" w:after="0"/>
              <w:rPr>
                <w:rFonts w:ascii="Times New Roman" w:hAnsi="Times New Roman"/>
                <w:i/>
                <w:sz w:val="24"/>
              </w:rPr>
            </w:pPr>
            <w:r w:rsidRPr="00D51A68">
              <w:rPr>
                <w:rFonts w:ascii="Times New Roman" w:hAnsi="Times New Roman"/>
                <w:sz w:val="24"/>
              </w:rPr>
              <w:t xml:space="preserve">Conformemente alla regola generale per gli </w:t>
            </w:r>
            <w:r w:rsidR="0009277C" w:rsidRPr="00D51A68">
              <w:rPr>
                <w:rFonts w:ascii="Times New Roman" w:hAnsi="Times New Roman"/>
                <w:sz w:val="24"/>
              </w:rPr>
              <w:t>“</w:t>
            </w:r>
            <w:r w:rsidRPr="00D51A68">
              <w:rPr>
                <w:rFonts w:ascii="Times New Roman" w:hAnsi="Times New Roman"/>
                <w:sz w:val="24"/>
              </w:rPr>
              <w:t>afflussi</w:t>
            </w:r>
            <w:r w:rsidR="0009277C" w:rsidRPr="00D51A68">
              <w:rPr>
                <w:rFonts w:ascii="Times New Roman" w:hAnsi="Times New Roman"/>
                <w:sz w:val="24"/>
              </w:rPr>
              <w:t>”</w:t>
            </w:r>
            <w:r w:rsidRPr="00D51A68">
              <w:rPr>
                <w:rFonts w:ascii="Times New Roman" w:hAnsi="Times New Roman"/>
                <w:sz w:val="24"/>
              </w:rPr>
              <w:t xml:space="preserve"> e i </w:t>
            </w:r>
            <w:r w:rsidR="0009277C" w:rsidRPr="00D51A68">
              <w:rPr>
                <w:rFonts w:ascii="Times New Roman" w:hAnsi="Times New Roman"/>
                <w:sz w:val="24"/>
              </w:rPr>
              <w:t>“</w:t>
            </w:r>
            <w:r w:rsidRPr="00D51A68">
              <w:rPr>
                <w:rFonts w:ascii="Times New Roman" w:hAnsi="Times New Roman"/>
                <w:sz w:val="24"/>
              </w:rPr>
              <w:t>deflussi</w:t>
            </w:r>
            <w:r w:rsidR="0009277C" w:rsidRPr="00D51A68">
              <w:rPr>
                <w:rFonts w:ascii="Times New Roman" w:hAnsi="Times New Roman"/>
                <w:sz w:val="24"/>
              </w:rPr>
              <w:t>”</w:t>
            </w:r>
            <w:r w:rsidRPr="00D51A68">
              <w:rPr>
                <w:rFonts w:ascii="Times New Roman" w:hAnsi="Times New Roman"/>
                <w:sz w:val="24"/>
              </w:rPr>
              <w:t xml:space="preserve">, gli importi segnalati nella colonna 030 del modello CR SEC IRB figurano come </w:t>
            </w:r>
            <w:r w:rsidR="0009277C" w:rsidRPr="00D51A68">
              <w:rPr>
                <w:rFonts w:ascii="Times New Roman" w:hAnsi="Times New Roman"/>
                <w:sz w:val="24"/>
              </w:rPr>
              <w:t>“</w:t>
            </w:r>
            <w:r w:rsidRPr="00D51A68">
              <w:rPr>
                <w:rFonts w:ascii="Times New Roman" w:hAnsi="Times New Roman"/>
                <w:sz w:val="24"/>
              </w:rPr>
              <w:t>afflussi</w:t>
            </w:r>
            <w:r w:rsidR="0009277C" w:rsidRPr="00D51A68">
              <w:rPr>
                <w:rFonts w:ascii="Times New Roman" w:hAnsi="Times New Roman"/>
                <w:sz w:val="24"/>
              </w:rPr>
              <w:t>”</w:t>
            </w:r>
            <w:r w:rsidRPr="00D51A68">
              <w:rPr>
                <w:rFonts w:ascii="Times New Roman" w:hAnsi="Times New Roman"/>
                <w:sz w:val="24"/>
              </w:rPr>
              <w:t xml:space="preserve"> nel corrispondente modello relativo al rischio di credito (CR SA o CR IRB) e nella classe di esposizioni rilevante per il fornitore della protezione (il terzo al quale il segmento è trasferito mediante protezione del credito di tipo personale)</w:t>
            </w:r>
            <w:r w:rsidRPr="00D51A68">
              <w:rPr>
                <w:rFonts w:ascii="Times New Roman" w:hAnsi="Times New Roman"/>
                <w:i/>
                <w:sz w:val="24"/>
              </w:rPr>
              <w:t>.</w:t>
            </w:r>
          </w:p>
          <w:p w:rsidR="00612780" w:rsidRPr="00D51A68" w:rsidRDefault="00612780" w:rsidP="00612780">
            <w:pPr>
              <w:spacing w:before="0" w:after="0"/>
              <w:jc w:val="left"/>
              <w:rPr>
                <w:rFonts w:ascii="Times New Roman" w:hAnsi="Times New Roman"/>
                <w:sz w:val="24"/>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La procedura di calcolo dell</w:t>
            </w:r>
            <w:r w:rsidR="0009277C" w:rsidRPr="00D51A68">
              <w:rPr>
                <w:rFonts w:ascii="Times New Roman" w:hAnsi="Times New Roman"/>
                <w:sz w:val="24"/>
              </w:rPr>
              <w:t>’</w:t>
            </w:r>
            <w:r w:rsidRPr="00D51A68">
              <w:rPr>
                <w:rFonts w:ascii="Times New Roman" w:hAnsi="Times New Roman"/>
                <w:sz w:val="24"/>
              </w:rPr>
              <w:t xml:space="preserve">importo nominale corretto per il </w:t>
            </w:r>
            <w:r w:rsidR="0009277C" w:rsidRPr="00D51A68">
              <w:rPr>
                <w:rFonts w:ascii="Times New Roman" w:hAnsi="Times New Roman"/>
                <w:sz w:val="24"/>
              </w:rPr>
              <w:t>“</w:t>
            </w:r>
            <w:r w:rsidRPr="00D51A68">
              <w:rPr>
                <w:rFonts w:ascii="Times New Roman" w:hAnsi="Times New Roman"/>
                <w:sz w:val="24"/>
              </w:rPr>
              <w:t>rischio di cambio</w:t>
            </w:r>
            <w:r w:rsidR="0009277C" w:rsidRPr="00D51A68">
              <w:rPr>
                <w:rFonts w:ascii="Times New Roman" w:hAnsi="Times New Roman"/>
                <w:sz w:val="24"/>
              </w:rPr>
              <w:t>”</w:t>
            </w:r>
            <w:r w:rsidRPr="00D51A68">
              <w:rPr>
                <w:rFonts w:ascii="Times New Roman" w:hAnsi="Times New Roman"/>
                <w:sz w:val="24"/>
              </w:rPr>
              <w:t xml:space="preserve"> della protezione del credito (G*) è indicata nell</w:t>
            </w:r>
            <w:r w:rsidR="0009277C" w:rsidRPr="00D51A68">
              <w:rPr>
                <w:rFonts w:ascii="Times New Roman" w:hAnsi="Times New Roman"/>
                <w:sz w:val="24"/>
              </w:rPr>
              <w:t>’</w:t>
            </w:r>
            <w:r w:rsidRPr="00D51A68">
              <w:rPr>
                <w:rFonts w:ascii="Times New Roman" w:hAnsi="Times New Roman"/>
                <w:sz w:val="24"/>
              </w:rPr>
              <w:t>articolo 233</w:t>
            </w:r>
            <w:r w:rsidR="00F31236" w:rsidRPr="00D51A68">
              <w:rPr>
                <w:rFonts w:ascii="Times New Roman" w:hAnsi="Times New Roman"/>
                <w:sz w:val="24"/>
              </w:rPr>
              <w:t>, paragrafo </w:t>
            </w:r>
            <w:r w:rsidRPr="00D51A68">
              <w:rPr>
                <w:rFonts w:ascii="Times New Roman" w:hAnsi="Times New Roman"/>
                <w:sz w:val="24"/>
              </w:rPr>
              <w:t>3, del CRR.</w:t>
            </w:r>
          </w:p>
          <w:p w:rsidR="00612780" w:rsidRPr="00D51A68" w:rsidRDefault="00612780" w:rsidP="00612780">
            <w:pPr>
              <w:autoSpaceDE w:val="0"/>
              <w:autoSpaceDN w:val="0"/>
              <w:adjustRightInd w:val="0"/>
              <w:spacing w:before="0" w:after="0"/>
              <w:jc w:val="left"/>
              <w:rPr>
                <w:rFonts w:ascii="Times New Roman" w:hAnsi="Times New Roman"/>
                <w:bCs/>
                <w:sz w:val="24"/>
              </w:rPr>
            </w:pPr>
          </w:p>
        </w:tc>
      </w:tr>
      <w:tr w:rsidR="00612780" w:rsidRPr="00D51A68" w:rsidTr="00672D2A">
        <w:tc>
          <w:tcPr>
            <w:tcW w:w="1101" w:type="dxa"/>
          </w:tcPr>
          <w:p w:rsidR="00612780" w:rsidRPr="00D51A68" w:rsidRDefault="00612780" w:rsidP="00612780">
            <w:pPr>
              <w:autoSpaceDE w:val="0"/>
              <w:autoSpaceDN w:val="0"/>
              <w:adjustRightInd w:val="0"/>
              <w:spacing w:before="0" w:after="0"/>
              <w:rPr>
                <w:rFonts w:ascii="Times New Roman" w:hAnsi="Times New Roman"/>
                <w:bCs/>
                <w:sz w:val="24"/>
              </w:rPr>
            </w:pPr>
            <w:r w:rsidRPr="00D51A68">
              <w:rPr>
                <w:rFonts w:ascii="Times New Roman" w:hAnsi="Times New Roman"/>
                <w:sz w:val="24"/>
              </w:rPr>
              <w:t>040</w:t>
            </w:r>
          </w:p>
        </w:tc>
        <w:tc>
          <w:tcPr>
            <w:tcW w:w="7903" w:type="dxa"/>
          </w:tcPr>
          <w:p w:rsidR="00612780" w:rsidRPr="00D51A68" w:rsidRDefault="00612780" w:rsidP="00612780">
            <w:pPr>
              <w:spacing w:before="0" w:after="0"/>
              <w:jc w:val="left"/>
              <w:rPr>
                <w:rFonts w:ascii="Times New Roman" w:hAnsi="Times New Roman"/>
                <w:b/>
                <w:sz w:val="24"/>
                <w:u w:val="single"/>
              </w:rPr>
            </w:pPr>
            <w:r w:rsidRPr="00D51A68">
              <w:rPr>
                <w:rFonts w:ascii="Times New Roman" w:hAnsi="Times New Roman"/>
                <w:b/>
                <w:sz w:val="24"/>
                <w:u w:val="single"/>
              </w:rPr>
              <w:t>IMPORTO NOZIONALE MANTENUTO O RIACQUISTATO DELLA PROTEZIONE DEL CREDITO</w:t>
            </w:r>
          </w:p>
          <w:p w:rsidR="00612780" w:rsidRPr="00D51A68" w:rsidRDefault="00612780" w:rsidP="00612780">
            <w:pPr>
              <w:spacing w:before="0" w:after="0"/>
              <w:jc w:val="left"/>
              <w:rPr>
                <w:rFonts w:ascii="Times New Roman" w:hAnsi="Times New Roman"/>
                <w:sz w:val="24"/>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Tutti i segmenti mantenuti o riacquistati, ad esempio le posizioni che coprono le prime perdite non traslate, sono segnalati al rispettivo valore nominale.</w:t>
            </w:r>
          </w:p>
          <w:p w:rsidR="00612780" w:rsidRPr="00D51A68" w:rsidRDefault="00612780" w:rsidP="00612780">
            <w:pPr>
              <w:autoSpaceDE w:val="0"/>
              <w:autoSpaceDN w:val="0"/>
              <w:adjustRightInd w:val="0"/>
              <w:spacing w:before="0" w:after="0"/>
              <w:rPr>
                <w:rFonts w:ascii="Times New Roman" w:hAnsi="Times New Roman"/>
                <w:bCs/>
                <w:sz w:val="24"/>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Nel calcolo dell</w:t>
            </w:r>
            <w:r w:rsidR="0009277C" w:rsidRPr="00D51A68">
              <w:rPr>
                <w:rFonts w:ascii="Times New Roman" w:hAnsi="Times New Roman"/>
                <w:sz w:val="24"/>
              </w:rPr>
              <w:t>’</w:t>
            </w:r>
            <w:r w:rsidRPr="00D51A68">
              <w:rPr>
                <w:rFonts w:ascii="Times New Roman" w:hAnsi="Times New Roman"/>
                <w:sz w:val="24"/>
              </w:rPr>
              <w:t>importo mantenuto o riacquistato della protezione del credito non si tiene conto dell</w:t>
            </w:r>
            <w:r w:rsidR="0009277C" w:rsidRPr="00D51A68">
              <w:rPr>
                <w:rFonts w:ascii="Times New Roman" w:hAnsi="Times New Roman"/>
                <w:sz w:val="24"/>
              </w:rPr>
              <w:t>’</w:t>
            </w:r>
            <w:r w:rsidRPr="00D51A68">
              <w:rPr>
                <w:rFonts w:ascii="Times New Roman" w:hAnsi="Times New Roman"/>
                <w:sz w:val="24"/>
              </w:rPr>
              <w:t>effetto dei coefficienti di scarto (haircut) di vigilanza sulla protezione del credito.</w:t>
            </w:r>
          </w:p>
          <w:p w:rsidR="00612780" w:rsidRPr="00D51A68" w:rsidRDefault="00612780" w:rsidP="00612780">
            <w:pPr>
              <w:autoSpaceDE w:val="0"/>
              <w:autoSpaceDN w:val="0"/>
              <w:adjustRightInd w:val="0"/>
              <w:spacing w:before="0" w:after="0"/>
              <w:rPr>
                <w:rFonts w:ascii="Times New Roman" w:hAnsi="Times New Roman"/>
                <w:bCs/>
                <w:sz w:val="24"/>
              </w:rPr>
            </w:pPr>
          </w:p>
        </w:tc>
      </w:tr>
      <w:tr w:rsidR="00612780" w:rsidRPr="00D51A68" w:rsidTr="00672D2A">
        <w:tc>
          <w:tcPr>
            <w:tcW w:w="1101" w:type="dxa"/>
          </w:tcPr>
          <w:p w:rsidR="00612780" w:rsidRPr="00D51A68" w:rsidRDefault="00612780" w:rsidP="00612780">
            <w:pPr>
              <w:autoSpaceDE w:val="0"/>
              <w:autoSpaceDN w:val="0"/>
              <w:adjustRightInd w:val="0"/>
              <w:spacing w:before="0" w:after="0"/>
              <w:rPr>
                <w:rFonts w:ascii="Times New Roman" w:hAnsi="Times New Roman"/>
                <w:bCs/>
                <w:sz w:val="24"/>
              </w:rPr>
            </w:pPr>
            <w:r w:rsidRPr="00D51A68">
              <w:rPr>
                <w:rFonts w:ascii="Times New Roman" w:hAnsi="Times New Roman"/>
                <w:sz w:val="24"/>
              </w:rPr>
              <w:lastRenderedPageBreak/>
              <w:t>050</w:t>
            </w:r>
          </w:p>
        </w:tc>
        <w:tc>
          <w:tcPr>
            <w:tcW w:w="7903" w:type="dxa"/>
          </w:tcPr>
          <w:p w:rsidR="00612780" w:rsidRPr="00D51A68" w:rsidRDefault="00612780" w:rsidP="00612780">
            <w:pPr>
              <w:spacing w:before="0" w:after="0"/>
              <w:rPr>
                <w:rFonts w:ascii="Times New Roman" w:hAnsi="Times New Roman"/>
                <w:b/>
                <w:sz w:val="24"/>
                <w:u w:val="single"/>
              </w:rPr>
            </w:pPr>
            <w:r w:rsidRPr="00D51A68">
              <w:rPr>
                <w:rFonts w:ascii="Times New Roman" w:hAnsi="Times New Roman"/>
                <w:b/>
                <w:sz w:val="24"/>
                <w:u w:val="single"/>
              </w:rPr>
              <w:t>POSIZIONI VERSO LA CARTOLARIZZAZIONE: ESPOSIZIONE ORIGINARIA PRIMA DELL</w:t>
            </w:r>
            <w:r w:rsidR="0009277C" w:rsidRPr="00D51A68">
              <w:rPr>
                <w:rFonts w:ascii="Times New Roman" w:hAnsi="Times New Roman"/>
                <w:b/>
                <w:sz w:val="24"/>
                <w:u w:val="single"/>
              </w:rPr>
              <w:t>’</w:t>
            </w:r>
            <w:r w:rsidRPr="00D51A68">
              <w:rPr>
                <w:rFonts w:ascii="Times New Roman" w:hAnsi="Times New Roman"/>
                <w:b/>
                <w:sz w:val="24"/>
                <w:u w:val="single"/>
              </w:rPr>
              <w:t xml:space="preserve">APPLICAZIONE DEI FATTORI DI CONVERSIONE </w:t>
            </w:r>
          </w:p>
          <w:p w:rsidR="00612780" w:rsidRPr="00D51A68" w:rsidRDefault="00612780" w:rsidP="00612780">
            <w:pPr>
              <w:spacing w:before="0" w:after="0"/>
              <w:jc w:val="left"/>
              <w:rPr>
                <w:rFonts w:ascii="Times New Roman" w:hAnsi="Times New Roman"/>
                <w:sz w:val="24"/>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Posizioni verso la cartolarizzazione detenute dall</w:t>
            </w:r>
            <w:r w:rsidR="0009277C" w:rsidRPr="00D51A68">
              <w:rPr>
                <w:rFonts w:ascii="Times New Roman" w:hAnsi="Times New Roman"/>
                <w:sz w:val="24"/>
              </w:rPr>
              <w:t>’</w:t>
            </w:r>
            <w:r w:rsidRPr="00D51A68">
              <w:rPr>
                <w:rFonts w:ascii="Times New Roman" w:hAnsi="Times New Roman"/>
                <w:sz w:val="24"/>
              </w:rPr>
              <w:t>ente segnalante, calcolate conformemente all</w:t>
            </w:r>
            <w:r w:rsidR="0009277C" w:rsidRPr="00D51A68">
              <w:rPr>
                <w:rFonts w:ascii="Times New Roman" w:hAnsi="Times New Roman"/>
                <w:sz w:val="24"/>
              </w:rPr>
              <w:t>’</w:t>
            </w:r>
            <w:r w:rsidRPr="00D51A68">
              <w:rPr>
                <w:rFonts w:ascii="Times New Roman" w:hAnsi="Times New Roman"/>
                <w:sz w:val="24"/>
              </w:rPr>
              <w:t>articolo 246, paragrafo 1, lettere b), d) ed e), e paragrafo 2, del CRR, senza l</w:t>
            </w:r>
            <w:r w:rsidR="0009277C" w:rsidRPr="00D51A68">
              <w:rPr>
                <w:rFonts w:ascii="Times New Roman" w:hAnsi="Times New Roman"/>
                <w:sz w:val="24"/>
              </w:rPr>
              <w:t>’</w:t>
            </w:r>
            <w:r w:rsidRPr="00D51A68">
              <w:rPr>
                <w:rFonts w:ascii="Times New Roman" w:hAnsi="Times New Roman"/>
                <w:sz w:val="24"/>
              </w:rPr>
              <w:t xml:space="preserve">applicazione dei fattori di conversione del credito e al lordo delle rettifiche di valore e degli accantonamenti. La compensazione è rilevante unicamente per i contratti multipli di derivati forniti alla stessa società veicolo per la cartolarizzazione (SSPE) coperti da accordi di compensazione ammissibili. </w:t>
            </w:r>
          </w:p>
          <w:p w:rsidR="00612780" w:rsidRPr="00D51A68" w:rsidRDefault="00612780" w:rsidP="00612780">
            <w:pPr>
              <w:autoSpaceDE w:val="0"/>
              <w:autoSpaceDN w:val="0"/>
              <w:adjustRightInd w:val="0"/>
              <w:spacing w:before="0" w:after="0"/>
              <w:rPr>
                <w:rFonts w:ascii="Times New Roman" w:hAnsi="Times New Roman"/>
                <w:sz w:val="24"/>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Le rettifiche di valore e gli accantonamenti da segnalare in questa colonna si riferiscono soltanto alle posizioni verso la cartolarizzazione; non si tiene conto delle rettifiche di valore delle posizioni cartolarizzate.</w:t>
            </w:r>
          </w:p>
          <w:p w:rsidR="00612780" w:rsidRPr="00D51A68" w:rsidRDefault="00612780" w:rsidP="00612780">
            <w:pPr>
              <w:autoSpaceDE w:val="0"/>
              <w:autoSpaceDN w:val="0"/>
              <w:adjustRightInd w:val="0"/>
              <w:spacing w:before="0" w:after="0"/>
              <w:rPr>
                <w:rFonts w:ascii="Times New Roman" w:hAnsi="Times New Roman"/>
                <w:sz w:val="24"/>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Ove siano previste clausole di rimborso anticipato, l</w:t>
            </w:r>
            <w:r w:rsidR="0009277C" w:rsidRPr="00D51A68">
              <w:rPr>
                <w:rFonts w:ascii="Times New Roman" w:hAnsi="Times New Roman"/>
                <w:sz w:val="24"/>
              </w:rPr>
              <w:t>’</w:t>
            </w:r>
            <w:r w:rsidRPr="00D51A68">
              <w:rPr>
                <w:rFonts w:ascii="Times New Roman" w:hAnsi="Times New Roman"/>
                <w:sz w:val="24"/>
              </w:rPr>
              <w:t>ente deve specificare l</w:t>
            </w:r>
            <w:r w:rsidR="0009277C" w:rsidRPr="00D51A68">
              <w:rPr>
                <w:rFonts w:ascii="Times New Roman" w:hAnsi="Times New Roman"/>
                <w:sz w:val="24"/>
              </w:rPr>
              <w:t>’</w:t>
            </w:r>
            <w:r w:rsidRPr="00D51A68">
              <w:rPr>
                <w:rFonts w:ascii="Times New Roman" w:hAnsi="Times New Roman"/>
                <w:sz w:val="24"/>
              </w:rPr>
              <w:t xml:space="preserve">importo delle </w:t>
            </w:r>
            <w:r w:rsidR="0009277C" w:rsidRPr="00D51A68">
              <w:rPr>
                <w:rFonts w:ascii="Times New Roman" w:hAnsi="Times New Roman"/>
                <w:sz w:val="24"/>
              </w:rPr>
              <w:t>“</w:t>
            </w:r>
            <w:r w:rsidRPr="00D51A68">
              <w:rPr>
                <w:rFonts w:ascii="Times New Roman" w:hAnsi="Times New Roman"/>
                <w:sz w:val="24"/>
              </w:rPr>
              <w:t>ragioni di credito dell</w:t>
            </w:r>
            <w:r w:rsidR="0009277C" w:rsidRPr="00D51A68">
              <w:rPr>
                <w:rFonts w:ascii="Times New Roman" w:hAnsi="Times New Roman"/>
                <w:sz w:val="24"/>
              </w:rPr>
              <w:t>’</w:t>
            </w:r>
            <w:r w:rsidRPr="00D51A68">
              <w:rPr>
                <w:rFonts w:ascii="Times New Roman" w:hAnsi="Times New Roman"/>
                <w:sz w:val="24"/>
              </w:rPr>
              <w:t>investitore</w:t>
            </w:r>
            <w:r w:rsidR="0009277C" w:rsidRPr="00D51A68">
              <w:rPr>
                <w:rFonts w:ascii="Times New Roman" w:hAnsi="Times New Roman"/>
                <w:sz w:val="24"/>
              </w:rPr>
              <w:t>”</w:t>
            </w:r>
            <w:r w:rsidRPr="00D51A68">
              <w:rPr>
                <w:rFonts w:ascii="Times New Roman" w:hAnsi="Times New Roman"/>
                <w:sz w:val="24"/>
              </w:rPr>
              <w:t xml:space="preserve"> secondo la definizione dell</w:t>
            </w:r>
            <w:r w:rsidR="0009277C" w:rsidRPr="00D51A68">
              <w:rPr>
                <w:rFonts w:ascii="Times New Roman" w:hAnsi="Times New Roman"/>
                <w:sz w:val="24"/>
              </w:rPr>
              <w:t>’</w:t>
            </w:r>
            <w:r w:rsidRPr="00D51A68">
              <w:rPr>
                <w:rFonts w:ascii="Times New Roman" w:hAnsi="Times New Roman"/>
                <w:sz w:val="24"/>
              </w:rPr>
              <w:t xml:space="preserve">articolo 256, paragrafo 2, del CRR. </w:t>
            </w:r>
          </w:p>
          <w:p w:rsidR="00612780" w:rsidRPr="00D51A68" w:rsidRDefault="00612780" w:rsidP="00612780">
            <w:pPr>
              <w:autoSpaceDE w:val="0"/>
              <w:autoSpaceDN w:val="0"/>
              <w:adjustRightInd w:val="0"/>
              <w:spacing w:before="0" w:after="0"/>
              <w:rPr>
                <w:rFonts w:ascii="Times New Roman" w:hAnsi="Times New Roman"/>
                <w:sz w:val="24"/>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Nelle cartolarizzazioni sintetiche le posizioni detenute dal cedente sotto forma di elementi in bilancio e/o ragioni di credito dell</w:t>
            </w:r>
            <w:r w:rsidR="0009277C" w:rsidRPr="00D51A68">
              <w:rPr>
                <w:rFonts w:ascii="Times New Roman" w:hAnsi="Times New Roman"/>
                <w:sz w:val="24"/>
              </w:rPr>
              <w:t>’</w:t>
            </w:r>
            <w:r w:rsidRPr="00D51A68">
              <w:rPr>
                <w:rFonts w:ascii="Times New Roman" w:hAnsi="Times New Roman"/>
                <w:sz w:val="24"/>
              </w:rPr>
              <w:t>investitore (rimborso anticipato) derivano dall</w:t>
            </w:r>
            <w:r w:rsidR="0009277C" w:rsidRPr="00D51A68">
              <w:rPr>
                <w:rFonts w:ascii="Times New Roman" w:hAnsi="Times New Roman"/>
                <w:sz w:val="24"/>
              </w:rPr>
              <w:t>’</w:t>
            </w:r>
            <w:r w:rsidRPr="00D51A68">
              <w:rPr>
                <w:rFonts w:ascii="Times New Roman" w:hAnsi="Times New Roman"/>
                <w:sz w:val="24"/>
              </w:rPr>
              <w:t>aggregazione delle colonne da 010 a 040.</w:t>
            </w:r>
          </w:p>
          <w:p w:rsidR="00612780" w:rsidRPr="00D51A68" w:rsidRDefault="00612780" w:rsidP="00612780">
            <w:pPr>
              <w:autoSpaceDE w:val="0"/>
              <w:autoSpaceDN w:val="0"/>
              <w:adjustRightInd w:val="0"/>
              <w:spacing w:before="0" w:after="0"/>
              <w:rPr>
                <w:rFonts w:ascii="Times New Roman" w:hAnsi="Times New Roman"/>
                <w:bCs/>
                <w:sz w:val="24"/>
              </w:rPr>
            </w:pPr>
          </w:p>
        </w:tc>
      </w:tr>
      <w:tr w:rsidR="00612780" w:rsidRPr="00D51A68" w:rsidTr="00672D2A">
        <w:tc>
          <w:tcPr>
            <w:tcW w:w="1101" w:type="dxa"/>
          </w:tcPr>
          <w:p w:rsidR="00612780" w:rsidRPr="00D51A68" w:rsidRDefault="00612780" w:rsidP="00612780">
            <w:pPr>
              <w:autoSpaceDE w:val="0"/>
              <w:autoSpaceDN w:val="0"/>
              <w:adjustRightInd w:val="0"/>
              <w:spacing w:before="0" w:after="0"/>
              <w:rPr>
                <w:rFonts w:ascii="Times New Roman" w:hAnsi="Times New Roman"/>
                <w:bCs/>
                <w:sz w:val="24"/>
              </w:rPr>
            </w:pPr>
            <w:r w:rsidRPr="00D51A68">
              <w:rPr>
                <w:rFonts w:ascii="Times New Roman" w:hAnsi="Times New Roman"/>
                <w:sz w:val="24"/>
              </w:rPr>
              <w:t>060-090</w:t>
            </w:r>
          </w:p>
        </w:tc>
        <w:tc>
          <w:tcPr>
            <w:tcW w:w="7903" w:type="dxa"/>
          </w:tcPr>
          <w:p w:rsidR="00612780" w:rsidRPr="00D51A68" w:rsidRDefault="00612780" w:rsidP="00612780">
            <w:pPr>
              <w:spacing w:before="0" w:after="0"/>
              <w:jc w:val="left"/>
              <w:rPr>
                <w:rFonts w:ascii="Times New Roman" w:hAnsi="Times New Roman"/>
                <w:b/>
                <w:sz w:val="24"/>
                <w:u w:val="single"/>
              </w:rPr>
            </w:pPr>
            <w:r w:rsidRPr="00D51A68">
              <w:rPr>
                <w:rFonts w:ascii="Times New Roman" w:hAnsi="Times New Roman"/>
                <w:b/>
                <w:sz w:val="24"/>
                <w:u w:val="single"/>
              </w:rPr>
              <w:t>TECNICHE DI ATTENUAZIONE DEL RISCHIO DI CREDITO (CRM) CON EFFETTI DI SOSTITUZIONE SULL</w:t>
            </w:r>
            <w:r w:rsidR="0009277C" w:rsidRPr="00D51A68">
              <w:rPr>
                <w:rFonts w:ascii="Times New Roman" w:hAnsi="Times New Roman"/>
                <w:b/>
                <w:sz w:val="24"/>
                <w:u w:val="single"/>
              </w:rPr>
              <w:t>’</w:t>
            </w:r>
            <w:r w:rsidRPr="00D51A68">
              <w:rPr>
                <w:rFonts w:ascii="Times New Roman" w:hAnsi="Times New Roman"/>
                <w:b/>
                <w:sz w:val="24"/>
                <w:u w:val="single"/>
              </w:rPr>
              <w:t>ESPOSIZIONE</w:t>
            </w:r>
          </w:p>
          <w:p w:rsidR="00612780" w:rsidRPr="00D51A68" w:rsidRDefault="00612780" w:rsidP="00612780">
            <w:pPr>
              <w:spacing w:before="0" w:after="0"/>
              <w:jc w:val="left"/>
              <w:rPr>
                <w:rFonts w:ascii="Times New Roman" w:hAnsi="Times New Roman"/>
                <w:sz w:val="24"/>
              </w:rPr>
            </w:pPr>
          </w:p>
          <w:p w:rsidR="00612780" w:rsidRPr="00D51A68" w:rsidRDefault="00612780" w:rsidP="00612780">
            <w:pPr>
              <w:spacing w:before="0" w:after="0"/>
              <w:rPr>
                <w:rFonts w:ascii="Times New Roman" w:hAnsi="Times New Roman"/>
                <w:sz w:val="24"/>
              </w:rPr>
            </w:pPr>
            <w:r w:rsidRPr="00D51A68">
              <w:rPr>
                <w:rFonts w:ascii="Times New Roman" w:hAnsi="Times New Roman"/>
                <w:sz w:val="24"/>
              </w:rPr>
              <w:t>Cfr. articolo 4, paragrafo 1, punto 57, e parte tre, titolo II, capo 4, del CRR.</w:t>
            </w:r>
          </w:p>
          <w:p w:rsidR="00612780" w:rsidRPr="00D51A68" w:rsidRDefault="00612780" w:rsidP="00612780">
            <w:pPr>
              <w:spacing w:before="0" w:after="0"/>
              <w:rPr>
                <w:rFonts w:ascii="Times New Roman" w:hAnsi="Times New Roman"/>
                <w:sz w:val="24"/>
              </w:rPr>
            </w:pPr>
          </w:p>
          <w:p w:rsidR="00612780" w:rsidRPr="00D51A68" w:rsidRDefault="00612780" w:rsidP="00612780">
            <w:pPr>
              <w:spacing w:before="0" w:after="0"/>
              <w:rPr>
                <w:rFonts w:ascii="Times New Roman" w:hAnsi="Times New Roman"/>
                <w:sz w:val="24"/>
              </w:rPr>
            </w:pPr>
            <w:r w:rsidRPr="00D51A68">
              <w:rPr>
                <w:rFonts w:ascii="Times New Roman" w:hAnsi="Times New Roman"/>
                <w:sz w:val="24"/>
              </w:rPr>
              <w:t>Questo blocco di colonne contiene informazioni sulle tecniche di attenuazione del rischio di credito che riducono il rischio di credito di una o più esposizioni mediante sostituzione di esposizioni (come indicato sotto in riferimento agli afflussi e ai deflussi).</w:t>
            </w:r>
          </w:p>
          <w:p w:rsidR="00612780" w:rsidRPr="00D51A68" w:rsidRDefault="00612780" w:rsidP="00612780">
            <w:pPr>
              <w:spacing w:before="0" w:after="0"/>
              <w:rPr>
                <w:rFonts w:ascii="Times New Roman" w:hAnsi="Times New Roman"/>
                <w:b/>
                <w:sz w:val="24"/>
                <w:u w:val="single"/>
              </w:rPr>
            </w:pPr>
          </w:p>
        </w:tc>
      </w:tr>
      <w:tr w:rsidR="00612780" w:rsidRPr="00D51A68" w:rsidTr="00672D2A">
        <w:tc>
          <w:tcPr>
            <w:tcW w:w="1101" w:type="dxa"/>
          </w:tcPr>
          <w:p w:rsidR="00612780" w:rsidRPr="00D51A68" w:rsidRDefault="00612780" w:rsidP="00612780">
            <w:pPr>
              <w:autoSpaceDE w:val="0"/>
              <w:autoSpaceDN w:val="0"/>
              <w:adjustRightInd w:val="0"/>
              <w:spacing w:before="0" w:after="0"/>
              <w:rPr>
                <w:rFonts w:ascii="Times New Roman" w:hAnsi="Times New Roman"/>
                <w:bCs/>
                <w:sz w:val="24"/>
              </w:rPr>
            </w:pPr>
            <w:r w:rsidRPr="00D51A68">
              <w:rPr>
                <w:rFonts w:ascii="Times New Roman" w:hAnsi="Times New Roman"/>
                <w:sz w:val="24"/>
              </w:rPr>
              <w:t>060</w:t>
            </w:r>
          </w:p>
        </w:tc>
        <w:tc>
          <w:tcPr>
            <w:tcW w:w="7903" w:type="dxa"/>
          </w:tcPr>
          <w:p w:rsidR="00612780" w:rsidRPr="00D51A68" w:rsidRDefault="00C57F07" w:rsidP="00612780">
            <w:pPr>
              <w:spacing w:before="0" w:after="0"/>
              <w:jc w:val="left"/>
              <w:rPr>
                <w:rFonts w:ascii="Times New Roman" w:hAnsi="Times New Roman"/>
                <w:b/>
                <w:sz w:val="24"/>
                <w:u w:val="single"/>
              </w:rPr>
            </w:pPr>
            <w:r w:rsidRPr="00D51A68">
              <w:rPr>
                <w:rFonts w:ascii="Times New Roman" w:hAnsi="Times New Roman"/>
                <w:b/>
                <w:sz w:val="24"/>
                <w:u w:val="single"/>
              </w:rPr>
              <w:t>(-) VALORI CORRETTI DELLA PROTEZIONE DEL CREDITO DI TIPO PERSONALE (G</w:t>
            </w:r>
            <w:r w:rsidRPr="00D51A68">
              <w:rPr>
                <w:rFonts w:ascii="Times New Roman" w:hAnsi="Times New Roman"/>
                <w:b/>
                <w:sz w:val="24"/>
                <w:u w:val="single"/>
                <w:vertAlign w:val="subscript"/>
              </w:rPr>
              <w:t>A</w:t>
            </w:r>
            <w:r w:rsidRPr="00D51A68">
              <w:rPr>
                <w:rFonts w:ascii="Times New Roman" w:hAnsi="Times New Roman"/>
                <w:b/>
                <w:sz w:val="24"/>
                <w:u w:val="single"/>
              </w:rPr>
              <w:t xml:space="preserve">) </w:t>
            </w:r>
          </w:p>
          <w:p w:rsidR="00612780" w:rsidRPr="00D51A68" w:rsidRDefault="00612780" w:rsidP="00612780">
            <w:pPr>
              <w:spacing w:before="0" w:after="0"/>
              <w:jc w:val="left"/>
              <w:rPr>
                <w:rFonts w:ascii="Times New Roman" w:hAnsi="Times New Roman"/>
                <w:b/>
                <w:sz w:val="24"/>
                <w:u w:val="single"/>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La protezione del credito di tipo personale è definita nell</w:t>
            </w:r>
            <w:r w:rsidR="0009277C" w:rsidRPr="00D51A68">
              <w:rPr>
                <w:rFonts w:ascii="Times New Roman" w:hAnsi="Times New Roman"/>
                <w:sz w:val="24"/>
              </w:rPr>
              <w:t>’</w:t>
            </w:r>
            <w:r w:rsidRPr="00D51A68">
              <w:rPr>
                <w:rFonts w:ascii="Times New Roman" w:hAnsi="Times New Roman"/>
                <w:sz w:val="24"/>
              </w:rPr>
              <w:t>articolo 4</w:t>
            </w:r>
            <w:r w:rsidR="00F31236" w:rsidRPr="00D51A68">
              <w:rPr>
                <w:rFonts w:ascii="Times New Roman" w:hAnsi="Times New Roman"/>
                <w:sz w:val="24"/>
              </w:rPr>
              <w:t>, paragrafo </w:t>
            </w:r>
            <w:r w:rsidRPr="00D51A68">
              <w:rPr>
                <w:rFonts w:ascii="Times New Roman" w:hAnsi="Times New Roman"/>
                <w:sz w:val="24"/>
              </w:rPr>
              <w:t>1, punto 59, del CRR.</w:t>
            </w:r>
          </w:p>
          <w:p w:rsidR="00612780" w:rsidRPr="00D51A68" w:rsidRDefault="00612780" w:rsidP="00612780">
            <w:pPr>
              <w:autoSpaceDE w:val="0"/>
              <w:autoSpaceDN w:val="0"/>
              <w:adjustRightInd w:val="0"/>
              <w:spacing w:before="0" w:after="0"/>
              <w:rPr>
                <w:rFonts w:ascii="Times New Roman" w:hAnsi="Times New Roman"/>
                <w:sz w:val="24"/>
              </w:rPr>
            </w:pPr>
          </w:p>
          <w:p w:rsidR="00612780" w:rsidRPr="00D51A68" w:rsidRDefault="00612780" w:rsidP="00612780">
            <w:pPr>
              <w:spacing w:before="0" w:after="0"/>
              <w:rPr>
                <w:rFonts w:ascii="Times New Roman" w:hAnsi="Times New Roman"/>
                <w:sz w:val="24"/>
              </w:rPr>
            </w:pPr>
            <w:r w:rsidRPr="00D51A68">
              <w:rPr>
                <w:rFonts w:ascii="Times New Roman" w:hAnsi="Times New Roman"/>
                <w:sz w:val="24"/>
              </w:rPr>
              <w:t>L</w:t>
            </w:r>
            <w:r w:rsidR="0009277C" w:rsidRPr="00D51A68">
              <w:rPr>
                <w:rFonts w:ascii="Times New Roman" w:hAnsi="Times New Roman"/>
                <w:sz w:val="24"/>
              </w:rPr>
              <w:t>’</w:t>
            </w:r>
            <w:r w:rsidRPr="00D51A68">
              <w:rPr>
                <w:rFonts w:ascii="Times New Roman" w:hAnsi="Times New Roman"/>
                <w:sz w:val="24"/>
              </w:rPr>
              <w:t>articolo 236 del CRR descrive la procedura per calcolare il G</w:t>
            </w:r>
            <w:r w:rsidRPr="00D51A68">
              <w:rPr>
                <w:rFonts w:ascii="Times New Roman" w:hAnsi="Times New Roman"/>
                <w:sz w:val="24"/>
                <w:vertAlign w:val="subscript"/>
              </w:rPr>
              <w:t>A</w:t>
            </w:r>
            <w:r w:rsidRPr="00D51A68">
              <w:rPr>
                <w:rFonts w:ascii="Times New Roman" w:hAnsi="Times New Roman"/>
                <w:sz w:val="24"/>
              </w:rPr>
              <w:t xml:space="preserve"> in caso di protezione completa/protezione parziale a parità di rango (seniority).</w:t>
            </w:r>
          </w:p>
          <w:p w:rsidR="00612780" w:rsidRPr="00D51A68" w:rsidRDefault="00612780" w:rsidP="00612780">
            <w:pPr>
              <w:spacing w:before="0" w:after="0"/>
              <w:rPr>
                <w:rFonts w:ascii="Times New Roman" w:hAnsi="Times New Roman"/>
                <w:sz w:val="24"/>
              </w:rPr>
            </w:pPr>
          </w:p>
          <w:p w:rsidR="00612780" w:rsidRPr="00D51A68" w:rsidRDefault="00612780" w:rsidP="00612780">
            <w:pPr>
              <w:autoSpaceDE w:val="0"/>
              <w:autoSpaceDN w:val="0"/>
              <w:adjustRightInd w:val="0"/>
              <w:spacing w:before="0" w:after="0"/>
              <w:rPr>
                <w:rFonts w:ascii="Times New Roman" w:hAnsi="Times New Roman"/>
                <w:b/>
                <w:sz w:val="24"/>
                <w:u w:val="single"/>
              </w:rPr>
            </w:pPr>
            <w:r w:rsidRPr="00D51A68">
              <w:rPr>
                <w:rFonts w:ascii="Times New Roman" w:hAnsi="Times New Roman"/>
                <w:sz w:val="24"/>
              </w:rPr>
              <w:t>Questa informazione è correlata alle colonne da 040 a 050</w:t>
            </w:r>
            <w:r w:rsidR="00F31236" w:rsidRPr="00D51A68">
              <w:rPr>
                <w:rFonts w:ascii="Times New Roman" w:hAnsi="Times New Roman"/>
                <w:sz w:val="24"/>
              </w:rPr>
              <w:t xml:space="preserve"> del modello CR </w:t>
            </w:r>
            <w:r w:rsidRPr="00D51A68">
              <w:rPr>
                <w:rFonts w:ascii="Times New Roman" w:hAnsi="Times New Roman"/>
                <w:sz w:val="24"/>
              </w:rPr>
              <w:t>IRB.</w:t>
            </w:r>
          </w:p>
          <w:p w:rsidR="00612780" w:rsidRPr="00D51A68" w:rsidRDefault="00612780" w:rsidP="00612780">
            <w:pPr>
              <w:spacing w:before="0" w:after="0"/>
              <w:rPr>
                <w:rFonts w:ascii="Times New Roman" w:hAnsi="Times New Roman"/>
                <w:b/>
                <w:sz w:val="24"/>
                <w:u w:val="single"/>
              </w:rPr>
            </w:pPr>
          </w:p>
        </w:tc>
      </w:tr>
      <w:tr w:rsidR="00612780" w:rsidRPr="00D51A68" w:rsidTr="00672D2A">
        <w:tc>
          <w:tcPr>
            <w:tcW w:w="1101" w:type="dxa"/>
          </w:tcPr>
          <w:p w:rsidR="00612780" w:rsidRPr="00D51A68" w:rsidRDefault="00612780" w:rsidP="00612780">
            <w:pPr>
              <w:autoSpaceDE w:val="0"/>
              <w:autoSpaceDN w:val="0"/>
              <w:adjustRightInd w:val="0"/>
              <w:spacing w:before="0" w:after="0"/>
              <w:rPr>
                <w:rFonts w:ascii="Times New Roman" w:hAnsi="Times New Roman"/>
                <w:bCs/>
                <w:sz w:val="24"/>
              </w:rPr>
            </w:pPr>
            <w:r w:rsidRPr="00D51A68">
              <w:rPr>
                <w:rFonts w:ascii="Times New Roman" w:hAnsi="Times New Roman"/>
                <w:sz w:val="24"/>
              </w:rPr>
              <w:t>070</w:t>
            </w:r>
          </w:p>
        </w:tc>
        <w:tc>
          <w:tcPr>
            <w:tcW w:w="7903" w:type="dxa"/>
          </w:tcPr>
          <w:p w:rsidR="00612780" w:rsidRPr="00D51A68" w:rsidRDefault="00C57F07" w:rsidP="00612780">
            <w:pPr>
              <w:spacing w:before="0" w:after="0"/>
              <w:rPr>
                <w:rFonts w:ascii="Times New Roman" w:hAnsi="Times New Roman"/>
                <w:b/>
                <w:sz w:val="24"/>
                <w:u w:val="single"/>
              </w:rPr>
            </w:pPr>
            <w:r w:rsidRPr="00D51A68">
              <w:rPr>
                <w:rFonts w:ascii="Times New Roman" w:hAnsi="Times New Roman"/>
                <w:b/>
                <w:sz w:val="24"/>
                <w:u w:val="single"/>
              </w:rPr>
              <w:t>(-) PROTEZIONE DEL CREDITO DI TIPO REALE</w:t>
            </w:r>
          </w:p>
          <w:p w:rsidR="00612780" w:rsidRPr="00D51A68" w:rsidRDefault="00612780" w:rsidP="00612780">
            <w:pPr>
              <w:spacing w:before="0" w:after="0"/>
              <w:rPr>
                <w:rFonts w:ascii="Times New Roman" w:hAnsi="Times New Roman"/>
                <w:sz w:val="24"/>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La protezione del credito di tipo reale è definita nell</w:t>
            </w:r>
            <w:r w:rsidR="0009277C" w:rsidRPr="00D51A68">
              <w:rPr>
                <w:rFonts w:ascii="Times New Roman" w:hAnsi="Times New Roman"/>
                <w:sz w:val="24"/>
              </w:rPr>
              <w:t>’</w:t>
            </w:r>
            <w:r w:rsidRPr="00D51A68">
              <w:rPr>
                <w:rFonts w:ascii="Times New Roman" w:hAnsi="Times New Roman"/>
                <w:sz w:val="24"/>
              </w:rPr>
              <w:t>articolo 4, paragrafo 1, punto 58, del CRR.</w:t>
            </w:r>
          </w:p>
          <w:p w:rsidR="00612780" w:rsidRPr="00D51A68" w:rsidRDefault="00612780" w:rsidP="00612780">
            <w:pPr>
              <w:autoSpaceDE w:val="0"/>
              <w:autoSpaceDN w:val="0"/>
              <w:adjustRightInd w:val="0"/>
              <w:spacing w:before="0" w:after="0"/>
              <w:ind w:left="284" w:hanging="284"/>
              <w:rPr>
                <w:rFonts w:ascii="Times New Roman" w:hAnsi="Times New Roman"/>
                <w:sz w:val="24"/>
              </w:rPr>
            </w:pPr>
          </w:p>
          <w:p w:rsidR="00612780" w:rsidRPr="00D51A68" w:rsidRDefault="00612780" w:rsidP="00612780">
            <w:pPr>
              <w:spacing w:before="0" w:after="0"/>
              <w:rPr>
                <w:rFonts w:ascii="Times New Roman" w:hAnsi="Times New Roman"/>
                <w:sz w:val="24"/>
              </w:rPr>
            </w:pPr>
            <w:r w:rsidRPr="00D51A68">
              <w:rPr>
                <w:rFonts w:ascii="Times New Roman" w:hAnsi="Times New Roman"/>
                <w:sz w:val="24"/>
              </w:rPr>
              <w:t>Non potendosi applicare il metodo semplificato per il trattamento delle garanzie reali finanziarie, in questa colonna è segnalata soltanto la protezione del credito di tipo reale conformemente all</w:t>
            </w:r>
            <w:r w:rsidR="0009277C" w:rsidRPr="00D51A68">
              <w:rPr>
                <w:rFonts w:ascii="Times New Roman" w:hAnsi="Times New Roman"/>
                <w:sz w:val="24"/>
              </w:rPr>
              <w:t>’</w:t>
            </w:r>
            <w:r w:rsidRPr="00D51A68">
              <w:rPr>
                <w:rFonts w:ascii="Times New Roman" w:hAnsi="Times New Roman"/>
                <w:sz w:val="24"/>
              </w:rPr>
              <w:t>articolo 200 del CRR.</w:t>
            </w:r>
          </w:p>
          <w:p w:rsidR="00612780" w:rsidRPr="00D51A68" w:rsidRDefault="00612780" w:rsidP="00612780">
            <w:pPr>
              <w:spacing w:before="0" w:after="0"/>
              <w:rPr>
                <w:rFonts w:ascii="Times New Roman" w:hAnsi="Times New Roman"/>
                <w:sz w:val="24"/>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Questa informazione è correlata alla colonna 060 del modello CR IRB.</w:t>
            </w:r>
          </w:p>
          <w:p w:rsidR="00612780" w:rsidRPr="00D51A68" w:rsidRDefault="00612780" w:rsidP="00612780">
            <w:pPr>
              <w:autoSpaceDE w:val="0"/>
              <w:autoSpaceDN w:val="0"/>
              <w:adjustRightInd w:val="0"/>
              <w:spacing w:before="0" w:after="0"/>
              <w:rPr>
                <w:rFonts w:ascii="Times New Roman" w:hAnsi="Times New Roman"/>
                <w:bCs/>
                <w:sz w:val="24"/>
              </w:rPr>
            </w:pPr>
          </w:p>
        </w:tc>
      </w:tr>
      <w:tr w:rsidR="00612780" w:rsidRPr="00D51A68" w:rsidTr="00672D2A">
        <w:tc>
          <w:tcPr>
            <w:tcW w:w="1101" w:type="dxa"/>
          </w:tcPr>
          <w:p w:rsidR="00612780" w:rsidRPr="00D51A68" w:rsidRDefault="00612780" w:rsidP="00612780">
            <w:pPr>
              <w:autoSpaceDE w:val="0"/>
              <w:autoSpaceDN w:val="0"/>
              <w:adjustRightInd w:val="0"/>
              <w:spacing w:before="0" w:after="0"/>
              <w:rPr>
                <w:rFonts w:ascii="Times New Roman" w:hAnsi="Times New Roman"/>
                <w:bCs/>
                <w:sz w:val="24"/>
              </w:rPr>
            </w:pPr>
            <w:r w:rsidRPr="00D51A68">
              <w:rPr>
                <w:rFonts w:ascii="Times New Roman" w:hAnsi="Times New Roman"/>
                <w:sz w:val="24"/>
              </w:rPr>
              <w:lastRenderedPageBreak/>
              <w:t>080-090</w:t>
            </w:r>
          </w:p>
        </w:tc>
        <w:tc>
          <w:tcPr>
            <w:tcW w:w="7903" w:type="dxa"/>
          </w:tcPr>
          <w:p w:rsidR="00612780" w:rsidRPr="00D51A68" w:rsidRDefault="00612780" w:rsidP="00612780">
            <w:pPr>
              <w:autoSpaceDE w:val="0"/>
              <w:autoSpaceDN w:val="0"/>
              <w:adjustRightInd w:val="0"/>
              <w:spacing w:before="0" w:after="0"/>
              <w:jc w:val="left"/>
              <w:rPr>
                <w:rFonts w:ascii="Times New Roman" w:hAnsi="Times New Roman"/>
                <w:b/>
                <w:sz w:val="24"/>
                <w:u w:val="single"/>
              </w:rPr>
            </w:pPr>
            <w:r w:rsidRPr="00D51A68">
              <w:rPr>
                <w:rFonts w:ascii="Times New Roman" w:hAnsi="Times New Roman"/>
                <w:b/>
                <w:sz w:val="24"/>
                <w:u w:val="single"/>
              </w:rPr>
              <w:t>SOSTITUZIONE DELL</w:t>
            </w:r>
            <w:r w:rsidR="0009277C" w:rsidRPr="00D51A68">
              <w:rPr>
                <w:rFonts w:ascii="Times New Roman" w:hAnsi="Times New Roman"/>
                <w:b/>
                <w:sz w:val="24"/>
                <w:u w:val="single"/>
              </w:rPr>
              <w:t>’</w:t>
            </w:r>
            <w:r w:rsidRPr="00D51A68">
              <w:rPr>
                <w:rFonts w:ascii="Times New Roman" w:hAnsi="Times New Roman"/>
                <w:b/>
                <w:sz w:val="24"/>
                <w:u w:val="single"/>
              </w:rPr>
              <w:t>ESPOSIZIONE DOVUTA ALL</w:t>
            </w:r>
            <w:r w:rsidR="0009277C" w:rsidRPr="00D51A68">
              <w:rPr>
                <w:rFonts w:ascii="Times New Roman" w:hAnsi="Times New Roman"/>
                <w:b/>
                <w:sz w:val="24"/>
                <w:u w:val="single"/>
              </w:rPr>
              <w:t>’</w:t>
            </w:r>
            <w:r w:rsidRPr="00D51A68">
              <w:rPr>
                <w:rFonts w:ascii="Times New Roman" w:hAnsi="Times New Roman"/>
                <w:b/>
                <w:sz w:val="24"/>
                <w:u w:val="single"/>
              </w:rPr>
              <w:t>ATTENUAZIONE DEL RISCHIO DI CREDITO</w:t>
            </w:r>
          </w:p>
          <w:p w:rsidR="00612780" w:rsidRPr="00D51A68" w:rsidRDefault="00612780" w:rsidP="00612780">
            <w:pPr>
              <w:spacing w:before="0" w:after="0"/>
              <w:rPr>
                <w:rFonts w:ascii="Times New Roman" w:hAnsi="Times New Roman"/>
                <w:b/>
                <w:sz w:val="24"/>
                <w:u w:val="single"/>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Sono segnalati anche gli afflussi e i deflussi all</w:t>
            </w:r>
            <w:r w:rsidR="0009277C" w:rsidRPr="00D51A68">
              <w:rPr>
                <w:rFonts w:ascii="Times New Roman" w:hAnsi="Times New Roman"/>
                <w:sz w:val="24"/>
              </w:rPr>
              <w:t>’</w:t>
            </w:r>
            <w:r w:rsidRPr="00D51A68">
              <w:rPr>
                <w:rFonts w:ascii="Times New Roman" w:hAnsi="Times New Roman"/>
                <w:sz w:val="24"/>
              </w:rPr>
              <w:t>interno delle stesse classi di esposizioni e, ove rilevanti, i fattori di ponderazione del rischio o le classi di debitori.</w:t>
            </w:r>
          </w:p>
          <w:p w:rsidR="00612780" w:rsidRPr="00D51A68" w:rsidRDefault="00612780" w:rsidP="00612780">
            <w:pPr>
              <w:spacing w:before="0" w:after="0"/>
              <w:rPr>
                <w:rFonts w:ascii="Times New Roman" w:hAnsi="Times New Roman"/>
                <w:b/>
                <w:sz w:val="24"/>
                <w:u w:val="single"/>
              </w:rPr>
            </w:pPr>
          </w:p>
        </w:tc>
      </w:tr>
      <w:tr w:rsidR="00612780" w:rsidRPr="00D51A68" w:rsidTr="00672D2A">
        <w:tc>
          <w:tcPr>
            <w:tcW w:w="1101" w:type="dxa"/>
          </w:tcPr>
          <w:p w:rsidR="00612780" w:rsidRPr="00D51A68" w:rsidRDefault="00612780" w:rsidP="00612780">
            <w:pPr>
              <w:autoSpaceDE w:val="0"/>
              <w:autoSpaceDN w:val="0"/>
              <w:adjustRightInd w:val="0"/>
              <w:spacing w:before="0" w:after="0"/>
              <w:rPr>
                <w:rFonts w:ascii="Times New Roman" w:hAnsi="Times New Roman"/>
                <w:bCs/>
                <w:sz w:val="24"/>
              </w:rPr>
            </w:pPr>
            <w:r w:rsidRPr="00D51A68">
              <w:rPr>
                <w:rFonts w:ascii="Times New Roman" w:hAnsi="Times New Roman"/>
                <w:sz w:val="24"/>
              </w:rPr>
              <w:t>080</w:t>
            </w:r>
          </w:p>
        </w:tc>
        <w:tc>
          <w:tcPr>
            <w:tcW w:w="7903" w:type="dxa"/>
          </w:tcPr>
          <w:p w:rsidR="00612780" w:rsidRPr="00D51A68" w:rsidRDefault="00612780" w:rsidP="00612780">
            <w:pPr>
              <w:autoSpaceDE w:val="0"/>
              <w:autoSpaceDN w:val="0"/>
              <w:adjustRightInd w:val="0"/>
              <w:spacing w:before="0" w:after="0"/>
              <w:jc w:val="left"/>
              <w:rPr>
                <w:rFonts w:ascii="Times New Roman" w:hAnsi="Times New Roman"/>
                <w:b/>
                <w:sz w:val="24"/>
                <w:u w:val="single"/>
              </w:rPr>
            </w:pPr>
            <w:r w:rsidRPr="00D51A68">
              <w:rPr>
                <w:rFonts w:ascii="Times New Roman" w:hAnsi="Times New Roman"/>
                <w:b/>
                <w:sz w:val="24"/>
                <w:u w:val="single"/>
              </w:rPr>
              <w:t>(-) DEFLUSSI TOTALI</w:t>
            </w:r>
          </w:p>
          <w:p w:rsidR="00612780" w:rsidRPr="00D51A68" w:rsidRDefault="00612780" w:rsidP="00612780">
            <w:pPr>
              <w:autoSpaceDE w:val="0"/>
              <w:autoSpaceDN w:val="0"/>
              <w:adjustRightInd w:val="0"/>
              <w:spacing w:before="0" w:after="0"/>
              <w:jc w:val="left"/>
              <w:rPr>
                <w:rFonts w:ascii="Times New Roman" w:hAnsi="Times New Roman"/>
                <w:sz w:val="24"/>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 xml:space="preserve">Articolo 236 del CRR. </w:t>
            </w:r>
          </w:p>
          <w:p w:rsidR="00612780" w:rsidRPr="00D51A68" w:rsidRDefault="00612780" w:rsidP="00612780">
            <w:pPr>
              <w:autoSpaceDE w:val="0"/>
              <w:autoSpaceDN w:val="0"/>
              <w:adjustRightInd w:val="0"/>
              <w:spacing w:before="0" w:after="0"/>
              <w:rPr>
                <w:rFonts w:ascii="Times New Roman" w:hAnsi="Times New Roman"/>
                <w:sz w:val="24"/>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I deflussi corrispondono alla parte garantita dell</w:t>
            </w:r>
            <w:r w:rsidR="0009277C" w:rsidRPr="00D51A68">
              <w:rPr>
                <w:rStyle w:val="InstructionsTabelleText"/>
                <w:rFonts w:ascii="Times New Roman" w:hAnsi="Times New Roman"/>
                <w:sz w:val="24"/>
              </w:rPr>
              <w:t>’“</w:t>
            </w:r>
            <w:r w:rsidRPr="00D51A68">
              <w:rPr>
                <w:rFonts w:ascii="Times New Roman" w:hAnsi="Times New Roman"/>
                <w:sz w:val="24"/>
              </w:rPr>
              <w:t>esposizione al netto delle rettifiche di valore e degli accantonamenti</w:t>
            </w:r>
            <w:r w:rsidR="0009277C" w:rsidRPr="00D51A68">
              <w:rPr>
                <w:rFonts w:ascii="Times New Roman" w:hAnsi="Times New Roman"/>
                <w:sz w:val="24"/>
              </w:rPr>
              <w:t>”</w:t>
            </w:r>
            <w:r w:rsidRPr="00D51A68">
              <w:rPr>
                <w:rFonts w:ascii="Times New Roman" w:hAnsi="Times New Roman"/>
                <w:sz w:val="24"/>
              </w:rPr>
              <w:t xml:space="preserve"> che è dedotta dalla classe di esposizioni del debitore e, ove rilevante, dalla relativa ponderazione del rischio o classe di debitori, e successivamente assegnata alla classe di esposizioni del fornitore della protezione e, ove rilevante, alla relativa ponderazione del rischio o classe di debitori. </w:t>
            </w: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Questo importo è considerato un afflusso nella classe di esposizioni del fornitore della protezione e, ove rilevanti, nelle relative ponderazioni del rischio o classi di debitori.</w:t>
            </w: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Questa informazione è correlata alla colonna 070 del modello CR IRB.</w:t>
            </w:r>
          </w:p>
          <w:p w:rsidR="00612780" w:rsidRPr="00D51A68" w:rsidRDefault="00612780" w:rsidP="00612780">
            <w:pPr>
              <w:autoSpaceDE w:val="0"/>
              <w:autoSpaceDN w:val="0"/>
              <w:adjustRightInd w:val="0"/>
              <w:spacing w:before="0" w:after="0"/>
              <w:jc w:val="left"/>
              <w:rPr>
                <w:rFonts w:ascii="Times New Roman" w:hAnsi="Times New Roman"/>
                <w:b/>
                <w:sz w:val="24"/>
                <w:u w:val="single"/>
              </w:rPr>
            </w:pPr>
          </w:p>
        </w:tc>
      </w:tr>
      <w:tr w:rsidR="00612780" w:rsidRPr="00D51A68" w:rsidTr="00672D2A">
        <w:tc>
          <w:tcPr>
            <w:tcW w:w="1101" w:type="dxa"/>
          </w:tcPr>
          <w:p w:rsidR="00612780" w:rsidRPr="00D51A68" w:rsidRDefault="00612780" w:rsidP="00612780">
            <w:pPr>
              <w:autoSpaceDE w:val="0"/>
              <w:autoSpaceDN w:val="0"/>
              <w:adjustRightInd w:val="0"/>
              <w:spacing w:before="0" w:after="0"/>
              <w:rPr>
                <w:rFonts w:ascii="Times New Roman" w:hAnsi="Times New Roman"/>
                <w:bCs/>
                <w:sz w:val="24"/>
              </w:rPr>
            </w:pPr>
            <w:r w:rsidRPr="00D51A68">
              <w:rPr>
                <w:rFonts w:ascii="Times New Roman" w:hAnsi="Times New Roman"/>
                <w:sz w:val="24"/>
              </w:rPr>
              <w:t>090</w:t>
            </w:r>
          </w:p>
        </w:tc>
        <w:tc>
          <w:tcPr>
            <w:tcW w:w="7903" w:type="dxa"/>
          </w:tcPr>
          <w:p w:rsidR="00612780" w:rsidRPr="00D51A68" w:rsidRDefault="00612780" w:rsidP="00612780">
            <w:pPr>
              <w:autoSpaceDE w:val="0"/>
              <w:autoSpaceDN w:val="0"/>
              <w:adjustRightInd w:val="0"/>
              <w:spacing w:before="0" w:after="0"/>
              <w:jc w:val="left"/>
              <w:rPr>
                <w:rStyle w:val="InstructionsTabelleberschrift"/>
                <w:rFonts w:ascii="Times New Roman" w:hAnsi="Times New Roman"/>
                <w:sz w:val="24"/>
              </w:rPr>
            </w:pPr>
            <w:r w:rsidRPr="00D51A68">
              <w:rPr>
                <w:rStyle w:val="InstructionsTabelleberschrift"/>
                <w:rFonts w:ascii="Times New Roman" w:hAnsi="Times New Roman"/>
                <w:sz w:val="24"/>
              </w:rPr>
              <w:t>AFFLUSSI TOTALI</w:t>
            </w:r>
          </w:p>
          <w:p w:rsidR="00612780" w:rsidRPr="00D51A68" w:rsidRDefault="00612780" w:rsidP="00612780">
            <w:pPr>
              <w:autoSpaceDE w:val="0"/>
              <w:autoSpaceDN w:val="0"/>
              <w:adjustRightInd w:val="0"/>
              <w:spacing w:before="0" w:after="0"/>
              <w:jc w:val="left"/>
              <w:rPr>
                <w:rFonts w:ascii="Times New Roman" w:hAnsi="Times New Roman"/>
                <w:b/>
                <w:sz w:val="24"/>
                <w:u w:val="single"/>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 xml:space="preserve">Questa informazione è correlata alla colonna 080 del modello CR IRB. </w:t>
            </w:r>
          </w:p>
          <w:p w:rsidR="00612780" w:rsidRPr="00D51A68" w:rsidRDefault="00612780" w:rsidP="00612780">
            <w:pPr>
              <w:autoSpaceDE w:val="0"/>
              <w:autoSpaceDN w:val="0"/>
              <w:adjustRightInd w:val="0"/>
              <w:spacing w:before="0" w:after="0"/>
              <w:jc w:val="left"/>
              <w:rPr>
                <w:rFonts w:ascii="Times New Roman" w:hAnsi="Times New Roman"/>
                <w:b/>
                <w:sz w:val="24"/>
                <w:u w:val="single"/>
              </w:rPr>
            </w:pPr>
          </w:p>
        </w:tc>
      </w:tr>
      <w:tr w:rsidR="00612780" w:rsidRPr="00D51A68" w:rsidTr="00672D2A">
        <w:tc>
          <w:tcPr>
            <w:tcW w:w="1101" w:type="dxa"/>
          </w:tcPr>
          <w:p w:rsidR="00612780" w:rsidRPr="00D51A68" w:rsidRDefault="00612780" w:rsidP="00612780">
            <w:pPr>
              <w:autoSpaceDE w:val="0"/>
              <w:autoSpaceDN w:val="0"/>
              <w:adjustRightInd w:val="0"/>
              <w:spacing w:before="0" w:after="0"/>
              <w:rPr>
                <w:rFonts w:ascii="Times New Roman" w:hAnsi="Times New Roman"/>
                <w:bCs/>
                <w:sz w:val="24"/>
              </w:rPr>
            </w:pPr>
            <w:r w:rsidRPr="00D51A68">
              <w:rPr>
                <w:rFonts w:ascii="Times New Roman" w:hAnsi="Times New Roman"/>
                <w:sz w:val="24"/>
              </w:rPr>
              <w:t>100</w:t>
            </w:r>
          </w:p>
        </w:tc>
        <w:tc>
          <w:tcPr>
            <w:tcW w:w="7903" w:type="dxa"/>
          </w:tcPr>
          <w:p w:rsidR="00612780" w:rsidRPr="00D51A68" w:rsidRDefault="00612780" w:rsidP="00612780">
            <w:pPr>
              <w:autoSpaceDE w:val="0"/>
              <w:autoSpaceDN w:val="0"/>
              <w:adjustRightInd w:val="0"/>
              <w:spacing w:before="0" w:after="0"/>
              <w:jc w:val="left"/>
              <w:rPr>
                <w:rStyle w:val="InstructionsTabelleberschrift"/>
                <w:rFonts w:ascii="Times New Roman" w:hAnsi="Times New Roman"/>
                <w:sz w:val="24"/>
              </w:rPr>
            </w:pPr>
            <w:r w:rsidRPr="00D51A68">
              <w:rPr>
                <w:rStyle w:val="InstructionsTabelleberschrift"/>
                <w:rFonts w:ascii="Times New Roman" w:hAnsi="Times New Roman"/>
                <w:sz w:val="24"/>
              </w:rPr>
              <w:t>ESPOSIZIONE DOPO GLI EFFETTI DI SOSTITUZIONE DELL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ATTENUAZIONE DEL RISCHIO DI CREDITO PRIMA DELL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APPLICAZIONE DEI FATTORI DI CONVERSIONE</w:t>
            </w:r>
          </w:p>
          <w:p w:rsidR="00612780" w:rsidRPr="00D51A68" w:rsidRDefault="00612780" w:rsidP="00612780">
            <w:pPr>
              <w:autoSpaceDE w:val="0"/>
              <w:autoSpaceDN w:val="0"/>
              <w:adjustRightInd w:val="0"/>
              <w:spacing w:before="0" w:after="0"/>
              <w:jc w:val="left"/>
              <w:rPr>
                <w:rStyle w:val="FormatvorlageInstructionsTabelleText"/>
                <w:rFonts w:ascii="Times New Roman" w:hAnsi="Times New Roman"/>
                <w:sz w:val="24"/>
              </w:rPr>
            </w:pPr>
          </w:p>
          <w:p w:rsidR="00612780" w:rsidRPr="00D51A68" w:rsidRDefault="00612780" w:rsidP="00612780">
            <w:pPr>
              <w:autoSpaceDE w:val="0"/>
              <w:autoSpaceDN w:val="0"/>
              <w:adjustRightInd w:val="0"/>
              <w:spacing w:before="0" w:after="0"/>
              <w:jc w:val="left"/>
              <w:rPr>
                <w:rStyle w:val="FormatvorlageInstructionsTabelleText"/>
                <w:rFonts w:ascii="Times New Roman" w:hAnsi="Times New Roman"/>
                <w:sz w:val="24"/>
              </w:rPr>
            </w:pPr>
            <w:r w:rsidRPr="00D51A68">
              <w:rPr>
                <w:rStyle w:val="FormatvorlageInstructionsTabelleText"/>
                <w:rFonts w:ascii="Times New Roman" w:hAnsi="Times New Roman"/>
                <w:sz w:val="24"/>
              </w:rPr>
              <w:t xml:space="preserve">Esposizione assegnata alla ponderazione del rischio e alla classe di esposizioni corrispondenti dopo aver tenuto conto dei deflussi e degli afflussi dovuti a </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tecniche di attenuazione del rischio di credito (CRM) con effetti di sostituzione sull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esposizione</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w:t>
            </w:r>
          </w:p>
          <w:p w:rsidR="00612780" w:rsidRPr="00D51A68" w:rsidRDefault="00612780" w:rsidP="00612780">
            <w:pPr>
              <w:autoSpaceDE w:val="0"/>
              <w:autoSpaceDN w:val="0"/>
              <w:adjustRightInd w:val="0"/>
              <w:spacing w:before="0" w:after="0"/>
              <w:jc w:val="left"/>
              <w:rPr>
                <w:rStyle w:val="FormatvorlageInstructionsTabelleText"/>
                <w:rFonts w:ascii="Times New Roman" w:hAnsi="Times New Roman"/>
                <w:sz w:val="24"/>
              </w:rPr>
            </w:pPr>
          </w:p>
          <w:p w:rsidR="00612780" w:rsidRPr="00D51A68" w:rsidRDefault="00612780" w:rsidP="00612780">
            <w:pPr>
              <w:autoSpaceDE w:val="0"/>
              <w:autoSpaceDN w:val="0"/>
              <w:adjustRightInd w:val="0"/>
              <w:spacing w:before="0" w:after="0"/>
              <w:jc w:val="left"/>
              <w:rPr>
                <w:rStyle w:val="FormatvorlageInstructionsTabelleText"/>
                <w:rFonts w:ascii="Times New Roman" w:hAnsi="Times New Roman"/>
                <w:sz w:val="24"/>
              </w:rPr>
            </w:pPr>
            <w:r w:rsidRPr="00D51A68">
              <w:rPr>
                <w:rStyle w:val="FormatvorlageInstructionsTabelleText"/>
                <w:rFonts w:ascii="Times New Roman" w:hAnsi="Times New Roman"/>
                <w:sz w:val="24"/>
              </w:rPr>
              <w:t>Questa informazione è correlata alla colonna 090 del modello CR IRB.</w:t>
            </w:r>
          </w:p>
          <w:p w:rsidR="00612780" w:rsidRPr="00D51A68" w:rsidRDefault="00612780" w:rsidP="00612780">
            <w:pPr>
              <w:autoSpaceDE w:val="0"/>
              <w:autoSpaceDN w:val="0"/>
              <w:adjustRightInd w:val="0"/>
              <w:spacing w:before="0" w:after="0"/>
              <w:jc w:val="left"/>
              <w:rPr>
                <w:rStyle w:val="InstructionsTabelleberschrift"/>
                <w:rFonts w:ascii="Times New Roman" w:hAnsi="Times New Roman"/>
                <w:sz w:val="24"/>
              </w:rPr>
            </w:pPr>
          </w:p>
        </w:tc>
      </w:tr>
      <w:tr w:rsidR="00612780" w:rsidRPr="00D51A68" w:rsidTr="00672D2A">
        <w:tc>
          <w:tcPr>
            <w:tcW w:w="1101" w:type="dxa"/>
          </w:tcPr>
          <w:p w:rsidR="00612780" w:rsidRPr="00D51A68" w:rsidRDefault="00612780" w:rsidP="00612780">
            <w:pPr>
              <w:autoSpaceDE w:val="0"/>
              <w:autoSpaceDN w:val="0"/>
              <w:adjustRightInd w:val="0"/>
              <w:spacing w:before="0" w:after="0"/>
              <w:rPr>
                <w:rFonts w:ascii="Times New Roman" w:hAnsi="Times New Roman"/>
                <w:bCs/>
                <w:sz w:val="24"/>
              </w:rPr>
            </w:pPr>
            <w:r w:rsidRPr="00D51A68">
              <w:rPr>
                <w:rFonts w:ascii="Times New Roman" w:hAnsi="Times New Roman"/>
                <w:sz w:val="24"/>
              </w:rPr>
              <w:t>110</w:t>
            </w:r>
          </w:p>
        </w:tc>
        <w:tc>
          <w:tcPr>
            <w:tcW w:w="7903" w:type="dxa"/>
          </w:tcPr>
          <w:p w:rsidR="00612780" w:rsidRPr="00D51A68" w:rsidRDefault="00612780" w:rsidP="00612780">
            <w:pPr>
              <w:autoSpaceDE w:val="0"/>
              <w:autoSpaceDN w:val="0"/>
              <w:adjustRightInd w:val="0"/>
              <w:spacing w:before="0" w:after="0"/>
              <w:jc w:val="left"/>
              <w:rPr>
                <w:rStyle w:val="InstructionsTabelleberschrift"/>
                <w:rFonts w:ascii="Times New Roman" w:hAnsi="Times New Roman"/>
                <w:sz w:val="24"/>
              </w:rPr>
            </w:pPr>
            <w:r w:rsidRPr="00D51A68">
              <w:rPr>
                <w:rStyle w:val="InstructionsTabelleberschrift"/>
                <w:rFonts w:ascii="Times New Roman" w:hAnsi="Times New Roman"/>
                <w:sz w:val="24"/>
              </w:rPr>
              <w:t>(-) TECNICHE DI ATTENUAZIONE DEL RISCHIO DI CREDITO CHE INFLUISCONO SULL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IMPORTO DELL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ESPOSIZIONE: VALORE CORRETTO IN BASE AL METODO INTEGRALE PER IL TRATTAMENTO DELLE GARANZIE REALI FINANZIARIE PER LA PROTEZIONE DEL CREDITO DI TIPO REALE (CVAM)</w:t>
            </w:r>
          </w:p>
          <w:p w:rsidR="00612780" w:rsidRPr="00D51A68" w:rsidRDefault="00612780" w:rsidP="00612780">
            <w:pPr>
              <w:autoSpaceDE w:val="0"/>
              <w:autoSpaceDN w:val="0"/>
              <w:adjustRightInd w:val="0"/>
              <w:spacing w:before="0" w:after="0"/>
              <w:jc w:val="left"/>
              <w:rPr>
                <w:rStyle w:val="FormatvorlageInstructionsTabelleText"/>
                <w:rFonts w:ascii="Times New Roman" w:hAnsi="Times New Roman"/>
                <w:sz w:val="24"/>
              </w:rPr>
            </w:pPr>
          </w:p>
          <w:p w:rsidR="00612780" w:rsidRPr="00D51A68" w:rsidRDefault="00612780" w:rsidP="00612780">
            <w:pPr>
              <w:autoSpaceDE w:val="0"/>
              <w:autoSpaceDN w:val="0"/>
              <w:adjustRightInd w:val="0"/>
              <w:spacing w:before="0" w:after="0"/>
              <w:jc w:val="left"/>
              <w:rPr>
                <w:rStyle w:val="InstructionsTabelleberschrift"/>
                <w:rFonts w:ascii="Times New Roman" w:hAnsi="Times New Roman"/>
                <w:sz w:val="24"/>
              </w:rPr>
            </w:pPr>
            <w:r w:rsidRPr="00D51A68">
              <w:rPr>
                <w:rStyle w:val="FormatvorlageInstructionsTabelleText"/>
                <w:rFonts w:ascii="Times New Roman" w:hAnsi="Times New Roman"/>
                <w:sz w:val="24"/>
              </w:rPr>
              <w:lastRenderedPageBreak/>
              <w:t>Articoli da 218 a 222 del CRR. Questa voce comprende anche le credit linked note (articolo 218 del CRR).</w:t>
            </w:r>
          </w:p>
        </w:tc>
      </w:tr>
      <w:tr w:rsidR="00612780" w:rsidRPr="00D51A68" w:rsidTr="00672D2A">
        <w:tc>
          <w:tcPr>
            <w:tcW w:w="1101" w:type="dxa"/>
          </w:tcPr>
          <w:p w:rsidR="00612780" w:rsidRPr="00D51A68" w:rsidRDefault="00612780" w:rsidP="00612780">
            <w:pPr>
              <w:autoSpaceDE w:val="0"/>
              <w:autoSpaceDN w:val="0"/>
              <w:adjustRightInd w:val="0"/>
              <w:spacing w:before="0" w:after="0"/>
              <w:rPr>
                <w:rFonts w:ascii="Times New Roman" w:hAnsi="Times New Roman"/>
                <w:bCs/>
                <w:sz w:val="24"/>
              </w:rPr>
            </w:pPr>
            <w:r w:rsidRPr="00D51A68">
              <w:rPr>
                <w:rFonts w:ascii="Times New Roman" w:hAnsi="Times New Roman"/>
                <w:sz w:val="24"/>
              </w:rPr>
              <w:lastRenderedPageBreak/>
              <w:t>120</w:t>
            </w:r>
          </w:p>
        </w:tc>
        <w:tc>
          <w:tcPr>
            <w:tcW w:w="7903" w:type="dxa"/>
          </w:tcPr>
          <w:p w:rsidR="00612780" w:rsidRPr="00D51A68" w:rsidRDefault="00612780" w:rsidP="00612780">
            <w:pPr>
              <w:spacing w:before="0" w:after="0"/>
              <w:rPr>
                <w:rFonts w:ascii="Times New Roman" w:hAnsi="Times New Roman"/>
                <w:b/>
                <w:sz w:val="24"/>
                <w:u w:val="single"/>
              </w:rPr>
            </w:pPr>
            <w:r w:rsidRPr="00D51A68">
              <w:rPr>
                <w:rFonts w:ascii="Times New Roman" w:hAnsi="Times New Roman"/>
                <w:b/>
                <w:sz w:val="24"/>
                <w:u w:val="single"/>
              </w:rPr>
              <w:t>VALORE DELL</w:t>
            </w:r>
            <w:r w:rsidR="0009277C" w:rsidRPr="00D51A68">
              <w:rPr>
                <w:rFonts w:ascii="Times New Roman" w:hAnsi="Times New Roman"/>
                <w:b/>
                <w:sz w:val="24"/>
                <w:u w:val="single"/>
              </w:rPr>
              <w:t>’</w:t>
            </w:r>
            <w:r w:rsidRPr="00D51A68">
              <w:rPr>
                <w:rFonts w:ascii="Times New Roman" w:hAnsi="Times New Roman"/>
                <w:b/>
                <w:sz w:val="24"/>
                <w:u w:val="single"/>
              </w:rPr>
              <w:t>ESPOSIZIONE CORRETTO INTEGRALMENTE (E*)</w:t>
            </w:r>
          </w:p>
          <w:p w:rsidR="00612780" w:rsidRPr="00D51A68" w:rsidRDefault="00612780" w:rsidP="00612780">
            <w:pPr>
              <w:pStyle w:val="Heading1"/>
              <w:rPr>
                <w:rFonts w:ascii="Times New Roman" w:eastAsia="Times New Roman" w:hAnsi="Times New Roman"/>
                <w:sz w:val="24"/>
                <w:szCs w:val="24"/>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Posizioni verso la cartolarizzazione conformemente all</w:t>
            </w:r>
            <w:r w:rsidR="0009277C" w:rsidRPr="00D51A68">
              <w:rPr>
                <w:rFonts w:ascii="Times New Roman" w:hAnsi="Times New Roman"/>
                <w:sz w:val="24"/>
              </w:rPr>
              <w:t>’</w:t>
            </w:r>
            <w:r w:rsidRPr="00D51A68">
              <w:rPr>
                <w:rFonts w:ascii="Times New Roman" w:hAnsi="Times New Roman"/>
                <w:sz w:val="24"/>
              </w:rPr>
              <w:t>articolo 246 del CRR, quindi senza applicazione dei fattori di conversione di cui all</w:t>
            </w:r>
            <w:r w:rsidR="0009277C" w:rsidRPr="00D51A68">
              <w:rPr>
                <w:rFonts w:ascii="Times New Roman" w:hAnsi="Times New Roman"/>
                <w:sz w:val="24"/>
              </w:rPr>
              <w:t>’</w:t>
            </w:r>
            <w:r w:rsidRPr="00D51A68">
              <w:rPr>
                <w:rFonts w:ascii="Times New Roman" w:hAnsi="Times New Roman"/>
                <w:sz w:val="24"/>
              </w:rPr>
              <w:t>articolo 246, paragrafo 1, lettera c), del CRR.</w:t>
            </w:r>
          </w:p>
          <w:p w:rsidR="00612780" w:rsidRPr="00D51A68" w:rsidRDefault="00612780" w:rsidP="00612780">
            <w:pPr>
              <w:autoSpaceDE w:val="0"/>
              <w:autoSpaceDN w:val="0"/>
              <w:adjustRightInd w:val="0"/>
              <w:spacing w:before="0" w:after="0"/>
              <w:jc w:val="left"/>
              <w:rPr>
                <w:rFonts w:ascii="Times New Roman" w:hAnsi="Times New Roman"/>
                <w:sz w:val="24"/>
              </w:rPr>
            </w:pPr>
          </w:p>
        </w:tc>
      </w:tr>
      <w:tr w:rsidR="00612780" w:rsidRPr="00D51A68" w:rsidTr="00672D2A">
        <w:tc>
          <w:tcPr>
            <w:tcW w:w="1101" w:type="dxa"/>
          </w:tcPr>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130-160</w:t>
            </w:r>
          </w:p>
        </w:tc>
        <w:tc>
          <w:tcPr>
            <w:tcW w:w="7903" w:type="dxa"/>
          </w:tcPr>
          <w:p w:rsidR="00612780" w:rsidRPr="00D51A68" w:rsidRDefault="00612780" w:rsidP="00612780">
            <w:pPr>
              <w:spacing w:before="0" w:after="0"/>
              <w:rPr>
                <w:rFonts w:ascii="Times New Roman" w:hAnsi="Times New Roman"/>
                <w:b/>
                <w:sz w:val="24"/>
                <w:u w:val="single"/>
              </w:rPr>
            </w:pPr>
            <w:r w:rsidRPr="00D51A68">
              <w:rPr>
                <w:rFonts w:ascii="Times New Roman" w:hAnsi="Times New Roman"/>
                <w:b/>
                <w:sz w:val="24"/>
                <w:u w:val="single"/>
              </w:rPr>
              <w:t>RIPARTIZIONE DEL VALORE DELL</w:t>
            </w:r>
            <w:r w:rsidR="0009277C" w:rsidRPr="00D51A68">
              <w:rPr>
                <w:rFonts w:ascii="Times New Roman" w:hAnsi="Times New Roman"/>
                <w:b/>
                <w:sz w:val="24"/>
                <w:u w:val="single"/>
              </w:rPr>
              <w:t>’</w:t>
            </w:r>
            <w:r w:rsidRPr="00D51A68">
              <w:rPr>
                <w:rFonts w:ascii="Times New Roman" w:hAnsi="Times New Roman"/>
                <w:b/>
                <w:sz w:val="24"/>
                <w:u w:val="single"/>
              </w:rPr>
              <w:t>ESPOSIZIONE CORRETTO INTEGRALMENTE (E*) DEGLI ELEMENTI FUORI BILANCIO IN BASE AI FATTORI DI CONVERSIONE</w:t>
            </w:r>
          </w:p>
          <w:p w:rsidR="00612780" w:rsidRPr="00D51A68" w:rsidRDefault="00612780" w:rsidP="00612780">
            <w:pPr>
              <w:spacing w:before="0" w:after="0"/>
              <w:rPr>
                <w:rFonts w:ascii="Times New Roman" w:hAnsi="Times New Roman"/>
                <w:b/>
                <w:sz w:val="24"/>
                <w:u w:val="single"/>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L</w:t>
            </w:r>
            <w:r w:rsidR="0009277C" w:rsidRPr="00D51A68">
              <w:rPr>
                <w:rFonts w:ascii="Times New Roman" w:hAnsi="Times New Roman"/>
                <w:sz w:val="24"/>
              </w:rPr>
              <w:t>’</w:t>
            </w:r>
            <w:r w:rsidRPr="00D51A68">
              <w:rPr>
                <w:rFonts w:ascii="Times New Roman" w:hAnsi="Times New Roman"/>
                <w:sz w:val="24"/>
              </w:rPr>
              <w:t>articolo 246, paragrafo 1, lettera c), del CRR stabilisce che il valore dell</w:t>
            </w:r>
            <w:r w:rsidR="0009277C" w:rsidRPr="00D51A68">
              <w:rPr>
                <w:rFonts w:ascii="Times New Roman" w:hAnsi="Times New Roman"/>
                <w:sz w:val="24"/>
              </w:rPr>
              <w:t>’</w:t>
            </w:r>
            <w:r w:rsidRPr="00D51A68">
              <w:rPr>
                <w:rFonts w:ascii="Times New Roman" w:hAnsi="Times New Roman"/>
                <w:sz w:val="24"/>
              </w:rPr>
              <w:t>esposizione di una posizione verso la cartolarizzazione fuori bilancio è pari al suo valore nominale moltiplicato per un fattore di conversione. Ove non diversamente specificato, tale fattore di conversione è del 100</w:t>
            </w:r>
            <w:r w:rsidR="0009277C" w:rsidRPr="00D51A68">
              <w:rPr>
                <w:rFonts w:ascii="Times New Roman" w:hAnsi="Times New Roman"/>
                <w:sz w:val="24"/>
              </w:rPr>
              <w:t>%</w:t>
            </w:r>
            <w:r w:rsidRPr="00D51A68">
              <w:rPr>
                <w:rFonts w:ascii="Times New Roman" w:hAnsi="Times New Roman"/>
                <w:sz w:val="24"/>
              </w:rPr>
              <w:t>.</w:t>
            </w:r>
          </w:p>
          <w:p w:rsidR="00612780" w:rsidRPr="00D51A68" w:rsidRDefault="00612780" w:rsidP="00612780">
            <w:pPr>
              <w:autoSpaceDE w:val="0"/>
              <w:autoSpaceDN w:val="0"/>
              <w:adjustRightInd w:val="0"/>
              <w:spacing w:before="0" w:after="0"/>
              <w:rPr>
                <w:rFonts w:ascii="Times New Roman" w:hAnsi="Times New Roman"/>
                <w:sz w:val="24"/>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Ai fini della presente riga, il fattore di conversione è definito nell</w:t>
            </w:r>
            <w:r w:rsidR="0009277C" w:rsidRPr="00D51A68">
              <w:rPr>
                <w:rFonts w:ascii="Times New Roman" w:hAnsi="Times New Roman"/>
                <w:sz w:val="24"/>
              </w:rPr>
              <w:t>’</w:t>
            </w:r>
            <w:r w:rsidRPr="00D51A68">
              <w:rPr>
                <w:rFonts w:ascii="Times New Roman" w:hAnsi="Times New Roman"/>
                <w:sz w:val="24"/>
              </w:rPr>
              <w:t>articolo 4, paragrafo 1, punto 56, del CRR.</w:t>
            </w:r>
          </w:p>
          <w:p w:rsidR="00612780" w:rsidRPr="00D51A68" w:rsidRDefault="00612780" w:rsidP="00612780">
            <w:pPr>
              <w:autoSpaceDE w:val="0"/>
              <w:autoSpaceDN w:val="0"/>
              <w:adjustRightInd w:val="0"/>
              <w:spacing w:before="0" w:after="0"/>
              <w:jc w:val="left"/>
              <w:rPr>
                <w:rFonts w:ascii="Times New Roman" w:hAnsi="Times New Roman"/>
                <w:sz w:val="24"/>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A fini di segnalazione, i valori delle esposizioni corretti integralmente (E*) sono riportati in base ai seguenti quattro intervalli, reciprocamente esclusivi, dei fattori di conversione: 0%, [0%, 20%], [20%, 50%] e [50%, 100%].</w:t>
            </w:r>
          </w:p>
          <w:p w:rsidR="00612780" w:rsidRPr="00D51A68" w:rsidRDefault="00612780" w:rsidP="00612780">
            <w:pPr>
              <w:spacing w:before="0" w:after="0"/>
              <w:rPr>
                <w:rFonts w:ascii="Times New Roman" w:hAnsi="Times New Roman"/>
                <w:b/>
                <w:sz w:val="24"/>
                <w:u w:val="single"/>
              </w:rPr>
            </w:pPr>
          </w:p>
        </w:tc>
      </w:tr>
      <w:tr w:rsidR="00612780" w:rsidRPr="00D51A68" w:rsidTr="00672D2A">
        <w:tc>
          <w:tcPr>
            <w:tcW w:w="1101" w:type="dxa"/>
          </w:tcPr>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170</w:t>
            </w:r>
          </w:p>
        </w:tc>
        <w:tc>
          <w:tcPr>
            <w:tcW w:w="7903" w:type="dxa"/>
          </w:tcPr>
          <w:p w:rsidR="00612780" w:rsidRPr="00D51A68" w:rsidRDefault="00612780" w:rsidP="00612780">
            <w:pPr>
              <w:spacing w:before="0" w:after="0"/>
              <w:jc w:val="left"/>
              <w:rPr>
                <w:rFonts w:ascii="Times New Roman" w:hAnsi="Times New Roman"/>
                <w:b/>
                <w:sz w:val="24"/>
                <w:u w:val="single"/>
              </w:rPr>
            </w:pPr>
            <w:r w:rsidRPr="00D51A68">
              <w:rPr>
                <w:rFonts w:ascii="Times New Roman" w:hAnsi="Times New Roman"/>
                <w:b/>
                <w:sz w:val="24"/>
                <w:u w:val="single"/>
              </w:rPr>
              <w:t>VALORE DELL</w:t>
            </w:r>
            <w:r w:rsidR="0009277C" w:rsidRPr="00D51A68">
              <w:rPr>
                <w:rFonts w:ascii="Times New Roman" w:hAnsi="Times New Roman"/>
                <w:b/>
                <w:sz w:val="24"/>
                <w:u w:val="single"/>
              </w:rPr>
              <w:t>’</w:t>
            </w:r>
            <w:r w:rsidRPr="00D51A68">
              <w:rPr>
                <w:rFonts w:ascii="Times New Roman" w:hAnsi="Times New Roman"/>
                <w:b/>
                <w:sz w:val="24"/>
                <w:u w:val="single"/>
              </w:rPr>
              <w:t>ESPOSIZIONE</w:t>
            </w:r>
          </w:p>
          <w:p w:rsidR="00612780" w:rsidRPr="00D51A68" w:rsidRDefault="00612780" w:rsidP="00612780">
            <w:pPr>
              <w:spacing w:before="0" w:after="0"/>
              <w:jc w:val="left"/>
              <w:rPr>
                <w:rFonts w:ascii="Times New Roman" w:hAnsi="Times New Roman"/>
                <w:b/>
                <w:sz w:val="24"/>
                <w:u w:val="single"/>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Posizioni verso la cartolarizzazione conformemente all</w:t>
            </w:r>
            <w:r w:rsidR="0009277C" w:rsidRPr="00D51A68">
              <w:rPr>
                <w:rFonts w:ascii="Times New Roman" w:hAnsi="Times New Roman"/>
                <w:sz w:val="24"/>
              </w:rPr>
              <w:t>’</w:t>
            </w:r>
            <w:r w:rsidRPr="00D51A68">
              <w:rPr>
                <w:rFonts w:ascii="Times New Roman" w:hAnsi="Times New Roman"/>
                <w:sz w:val="24"/>
              </w:rPr>
              <w:t>articolo 246 del CRR.</w:t>
            </w: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 xml:space="preserve">Questa informazione è correlata alla colonna 110 del modello CR IRB. </w:t>
            </w:r>
          </w:p>
          <w:p w:rsidR="00612780" w:rsidRPr="00D51A68" w:rsidRDefault="00612780" w:rsidP="00612780">
            <w:pPr>
              <w:spacing w:before="0" w:after="0"/>
              <w:jc w:val="left"/>
              <w:rPr>
                <w:rFonts w:ascii="Times New Roman" w:hAnsi="Times New Roman"/>
                <w:b/>
                <w:sz w:val="24"/>
                <w:u w:val="single"/>
              </w:rPr>
            </w:pPr>
          </w:p>
        </w:tc>
      </w:tr>
      <w:tr w:rsidR="00612780" w:rsidRPr="00D51A68" w:rsidTr="00672D2A">
        <w:tc>
          <w:tcPr>
            <w:tcW w:w="1101" w:type="dxa"/>
          </w:tcPr>
          <w:p w:rsidR="00612780" w:rsidRPr="00D51A68" w:rsidRDefault="00612780" w:rsidP="00612780">
            <w:pPr>
              <w:autoSpaceDE w:val="0"/>
              <w:autoSpaceDN w:val="0"/>
              <w:adjustRightInd w:val="0"/>
              <w:spacing w:before="0" w:after="0"/>
              <w:rPr>
                <w:rFonts w:ascii="Times New Roman" w:hAnsi="Times New Roman"/>
                <w:bCs/>
                <w:sz w:val="24"/>
              </w:rPr>
            </w:pPr>
            <w:r w:rsidRPr="00D51A68">
              <w:rPr>
                <w:rFonts w:ascii="Times New Roman" w:hAnsi="Times New Roman"/>
                <w:sz w:val="24"/>
              </w:rPr>
              <w:t>180</w:t>
            </w:r>
          </w:p>
        </w:tc>
        <w:tc>
          <w:tcPr>
            <w:tcW w:w="7903" w:type="dxa"/>
          </w:tcPr>
          <w:p w:rsidR="00612780" w:rsidRPr="00D51A68" w:rsidRDefault="00612780" w:rsidP="00612780">
            <w:pPr>
              <w:spacing w:before="0" w:after="0"/>
              <w:jc w:val="left"/>
              <w:rPr>
                <w:rFonts w:ascii="Times New Roman" w:hAnsi="Times New Roman"/>
                <w:b/>
                <w:sz w:val="24"/>
                <w:u w:val="single"/>
              </w:rPr>
            </w:pPr>
            <w:r w:rsidRPr="00D51A68">
              <w:rPr>
                <w:rFonts w:ascii="Times New Roman" w:hAnsi="Times New Roman"/>
                <w:b/>
                <w:sz w:val="24"/>
                <w:u w:val="single"/>
              </w:rPr>
              <w:t>(-) VALORE DELL</w:t>
            </w:r>
            <w:r w:rsidR="0009277C" w:rsidRPr="00D51A68">
              <w:rPr>
                <w:rFonts w:ascii="Times New Roman" w:hAnsi="Times New Roman"/>
                <w:b/>
                <w:sz w:val="24"/>
                <w:u w:val="single"/>
              </w:rPr>
              <w:t>’</w:t>
            </w:r>
            <w:r w:rsidRPr="00D51A68">
              <w:rPr>
                <w:rFonts w:ascii="Times New Roman" w:hAnsi="Times New Roman"/>
                <w:b/>
                <w:sz w:val="24"/>
                <w:u w:val="single"/>
              </w:rPr>
              <w:t>ESPOSIZIONE DEDOTTO DAI FONDI PROPRI</w:t>
            </w:r>
          </w:p>
          <w:p w:rsidR="00612780" w:rsidRPr="00D51A68" w:rsidRDefault="00612780" w:rsidP="00612780">
            <w:pPr>
              <w:spacing w:before="0" w:after="0"/>
              <w:jc w:val="left"/>
              <w:rPr>
                <w:rFonts w:ascii="Times New Roman" w:hAnsi="Times New Roman"/>
                <w:sz w:val="24"/>
              </w:rPr>
            </w:pPr>
          </w:p>
          <w:p w:rsidR="00612780" w:rsidRPr="00D51A68" w:rsidRDefault="00612780" w:rsidP="00612780">
            <w:pPr>
              <w:spacing w:before="0" w:after="0"/>
              <w:rPr>
                <w:rFonts w:ascii="Times New Roman" w:hAnsi="Times New Roman"/>
                <w:sz w:val="24"/>
              </w:rPr>
            </w:pPr>
            <w:r w:rsidRPr="00D51A68">
              <w:rPr>
                <w:rFonts w:ascii="Times New Roman" w:hAnsi="Times New Roman"/>
                <w:sz w:val="24"/>
              </w:rPr>
              <w:t>L</w:t>
            </w:r>
            <w:r w:rsidR="0009277C" w:rsidRPr="00D51A68">
              <w:rPr>
                <w:rFonts w:ascii="Times New Roman" w:hAnsi="Times New Roman"/>
                <w:sz w:val="24"/>
              </w:rPr>
              <w:t>’</w:t>
            </w:r>
            <w:r w:rsidRPr="00D51A68">
              <w:rPr>
                <w:rFonts w:ascii="Times New Roman" w:hAnsi="Times New Roman"/>
                <w:sz w:val="24"/>
              </w:rPr>
              <w:t>articolo 266, paragrafo 3, del CRR prevede che, nel caso di una posizione verso la cartolarizzazione alla quale si applica un fattore di ponderazione del rischio del 1 250%, gli enti possono dedurre dai fondi propri il valore dell</w:t>
            </w:r>
            <w:r w:rsidR="0009277C" w:rsidRPr="00D51A68">
              <w:rPr>
                <w:rFonts w:ascii="Times New Roman" w:hAnsi="Times New Roman"/>
                <w:sz w:val="24"/>
              </w:rPr>
              <w:t>’</w:t>
            </w:r>
            <w:r w:rsidRPr="00D51A68">
              <w:rPr>
                <w:rFonts w:ascii="Times New Roman" w:hAnsi="Times New Roman"/>
                <w:sz w:val="24"/>
              </w:rPr>
              <w:t>esposizione della posizione, in alternativa alla sua inclusione nel calcolo degli importi delle esposizioni ponderati per il rischio.</w:t>
            </w:r>
          </w:p>
          <w:p w:rsidR="00612780" w:rsidRPr="00D51A68"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D51A68" w:rsidTr="00672D2A">
        <w:tc>
          <w:tcPr>
            <w:tcW w:w="1101" w:type="dxa"/>
          </w:tcPr>
          <w:p w:rsidR="00612780" w:rsidRPr="00D51A68" w:rsidRDefault="00612780" w:rsidP="00612780">
            <w:pPr>
              <w:autoSpaceDE w:val="0"/>
              <w:autoSpaceDN w:val="0"/>
              <w:adjustRightInd w:val="0"/>
              <w:spacing w:before="0" w:after="0"/>
              <w:rPr>
                <w:rFonts w:ascii="Times New Roman" w:hAnsi="Times New Roman"/>
                <w:bCs/>
                <w:sz w:val="24"/>
              </w:rPr>
            </w:pPr>
            <w:r w:rsidRPr="00D51A68">
              <w:rPr>
                <w:rFonts w:ascii="Times New Roman" w:hAnsi="Times New Roman"/>
                <w:sz w:val="24"/>
              </w:rPr>
              <w:t>190</w:t>
            </w:r>
          </w:p>
        </w:tc>
        <w:tc>
          <w:tcPr>
            <w:tcW w:w="7903" w:type="dxa"/>
          </w:tcPr>
          <w:p w:rsidR="00612780" w:rsidRPr="00D51A68" w:rsidRDefault="00612780" w:rsidP="00612780">
            <w:pPr>
              <w:spacing w:before="0" w:after="0"/>
              <w:jc w:val="left"/>
              <w:rPr>
                <w:rFonts w:ascii="Times New Roman" w:hAnsi="Times New Roman"/>
                <w:b/>
                <w:sz w:val="24"/>
                <w:u w:val="single"/>
              </w:rPr>
            </w:pPr>
            <w:r w:rsidRPr="00D51A68">
              <w:rPr>
                <w:rFonts w:ascii="Times New Roman" w:hAnsi="Times New Roman"/>
                <w:b/>
                <w:sz w:val="24"/>
                <w:u w:val="single"/>
              </w:rPr>
              <w:t>VALORE DELL</w:t>
            </w:r>
            <w:r w:rsidR="0009277C" w:rsidRPr="00D51A68">
              <w:rPr>
                <w:rFonts w:ascii="Times New Roman" w:hAnsi="Times New Roman"/>
                <w:b/>
                <w:sz w:val="24"/>
                <w:u w:val="single"/>
              </w:rPr>
              <w:t>’</w:t>
            </w:r>
            <w:r w:rsidRPr="00D51A68">
              <w:rPr>
                <w:rFonts w:ascii="Times New Roman" w:hAnsi="Times New Roman"/>
                <w:b/>
                <w:sz w:val="24"/>
                <w:u w:val="single"/>
              </w:rPr>
              <w:t>ESPOSIZIONE SOGGETTO A FATTORI DI PONDERAZIONE DEL RISCHIO</w:t>
            </w:r>
          </w:p>
          <w:p w:rsidR="00612780" w:rsidRPr="00D51A68" w:rsidRDefault="00612780" w:rsidP="00612780">
            <w:pPr>
              <w:pStyle w:val="Heading1"/>
              <w:rPr>
                <w:rFonts w:ascii="Times New Roman" w:eastAsia="Times New Roman" w:hAnsi="Times New Roman"/>
                <w:sz w:val="24"/>
                <w:szCs w:val="24"/>
              </w:rPr>
            </w:pPr>
          </w:p>
        </w:tc>
      </w:tr>
      <w:tr w:rsidR="00612780" w:rsidRPr="00D51A68" w:rsidTr="00672D2A">
        <w:tc>
          <w:tcPr>
            <w:tcW w:w="1101" w:type="dxa"/>
          </w:tcPr>
          <w:p w:rsidR="00612780" w:rsidRPr="00D51A68" w:rsidRDefault="00612780" w:rsidP="00612780">
            <w:pPr>
              <w:autoSpaceDE w:val="0"/>
              <w:autoSpaceDN w:val="0"/>
              <w:adjustRightInd w:val="0"/>
              <w:spacing w:before="0" w:after="0"/>
              <w:rPr>
                <w:rFonts w:ascii="Times New Roman" w:hAnsi="Times New Roman"/>
                <w:bCs/>
                <w:sz w:val="24"/>
              </w:rPr>
            </w:pPr>
            <w:r w:rsidRPr="00D51A68">
              <w:rPr>
                <w:rFonts w:ascii="Times New Roman" w:hAnsi="Times New Roman"/>
                <w:sz w:val="24"/>
              </w:rPr>
              <w:t>200-320</w:t>
            </w:r>
          </w:p>
        </w:tc>
        <w:tc>
          <w:tcPr>
            <w:tcW w:w="7903" w:type="dxa"/>
          </w:tcPr>
          <w:p w:rsidR="00612780" w:rsidRPr="00D51A68" w:rsidRDefault="00612780" w:rsidP="00612780">
            <w:pPr>
              <w:spacing w:before="0" w:after="0"/>
              <w:rPr>
                <w:rFonts w:ascii="Times New Roman" w:hAnsi="Times New Roman"/>
                <w:b/>
                <w:sz w:val="24"/>
                <w:u w:val="single"/>
              </w:rPr>
            </w:pPr>
            <w:r w:rsidRPr="00D51A68">
              <w:rPr>
                <w:rFonts w:ascii="Times New Roman" w:hAnsi="Times New Roman"/>
                <w:b/>
                <w:sz w:val="24"/>
                <w:u w:val="single"/>
              </w:rPr>
              <w:t>METODO BASATO SUI RATING (CLASSI DI MERITO DI CREDITO)</w:t>
            </w:r>
          </w:p>
          <w:p w:rsidR="00612780" w:rsidRPr="00D51A68" w:rsidRDefault="00612780" w:rsidP="00612780">
            <w:pPr>
              <w:spacing w:before="0" w:after="0"/>
              <w:rPr>
                <w:rFonts w:ascii="Times New Roman" w:hAnsi="Times New Roman"/>
                <w:sz w:val="24"/>
              </w:rPr>
            </w:pPr>
          </w:p>
          <w:p w:rsidR="00612780" w:rsidRPr="00D51A68" w:rsidRDefault="00612780" w:rsidP="00612780">
            <w:pPr>
              <w:spacing w:before="0" w:after="0"/>
              <w:rPr>
                <w:rFonts w:ascii="Times New Roman" w:hAnsi="Times New Roman"/>
                <w:sz w:val="24"/>
              </w:rPr>
            </w:pPr>
            <w:r w:rsidRPr="00D51A68">
              <w:rPr>
                <w:rFonts w:ascii="Times New Roman" w:hAnsi="Times New Roman"/>
                <w:sz w:val="24"/>
              </w:rPr>
              <w:t>Articolo 261 del CRR.</w:t>
            </w:r>
          </w:p>
          <w:p w:rsidR="00612780" w:rsidRPr="00D51A68" w:rsidRDefault="00612780" w:rsidP="00612780">
            <w:pPr>
              <w:spacing w:before="0" w:after="0"/>
              <w:rPr>
                <w:rFonts w:ascii="Times New Roman" w:hAnsi="Times New Roman"/>
                <w:sz w:val="24"/>
              </w:rPr>
            </w:pPr>
          </w:p>
          <w:p w:rsidR="00612780" w:rsidRPr="00D51A68" w:rsidRDefault="00612780" w:rsidP="00612780">
            <w:pPr>
              <w:spacing w:before="0" w:after="0"/>
              <w:rPr>
                <w:rFonts w:ascii="Times New Roman" w:hAnsi="Times New Roman"/>
                <w:sz w:val="24"/>
              </w:rPr>
            </w:pPr>
            <w:r w:rsidRPr="00D51A68">
              <w:rPr>
                <w:rFonts w:ascii="Times New Roman" w:hAnsi="Times New Roman"/>
                <w:sz w:val="24"/>
              </w:rPr>
              <w:t>Le posizioni verso la cartolarizzazione calcolate secondo il metodo IRB con un rating desunto ai sensi dell</w:t>
            </w:r>
            <w:r w:rsidR="0009277C" w:rsidRPr="00D51A68">
              <w:rPr>
                <w:rFonts w:ascii="Times New Roman" w:hAnsi="Times New Roman"/>
                <w:sz w:val="24"/>
              </w:rPr>
              <w:t>’</w:t>
            </w:r>
            <w:r w:rsidRPr="00D51A68">
              <w:rPr>
                <w:rFonts w:ascii="Times New Roman" w:hAnsi="Times New Roman"/>
                <w:sz w:val="24"/>
              </w:rPr>
              <w:t>articolo 259, paragrafo 2, del CRR sono segnalate come posizioni provviste di rating.</w:t>
            </w:r>
          </w:p>
          <w:p w:rsidR="00612780" w:rsidRPr="00D51A68" w:rsidRDefault="00612780" w:rsidP="00612780">
            <w:pPr>
              <w:spacing w:before="0" w:after="0"/>
              <w:rPr>
                <w:rFonts w:ascii="Times New Roman" w:hAnsi="Times New Roman"/>
                <w:sz w:val="24"/>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 xml:space="preserve">I valori delle esposizioni soggetti a ponderazione del rischio sono ripartiti in base alle classi di merito di credito (CQS) previste per il metodo IRB nella </w:t>
            </w:r>
            <w:r w:rsidRPr="00D51A68">
              <w:rPr>
                <w:rFonts w:ascii="Times New Roman" w:hAnsi="Times New Roman"/>
                <w:sz w:val="24"/>
              </w:rPr>
              <w:lastRenderedPageBreak/>
              <w:t>tabella 4 dell</w:t>
            </w:r>
            <w:r w:rsidR="0009277C" w:rsidRPr="00D51A68">
              <w:rPr>
                <w:rFonts w:ascii="Times New Roman" w:hAnsi="Times New Roman"/>
                <w:sz w:val="24"/>
              </w:rPr>
              <w:t>’</w:t>
            </w:r>
            <w:r w:rsidRPr="00D51A68">
              <w:rPr>
                <w:rFonts w:ascii="Times New Roman" w:hAnsi="Times New Roman"/>
                <w:sz w:val="24"/>
              </w:rPr>
              <w:t xml:space="preserve">articolo 261, paragrafo 1, del CRR. </w:t>
            </w:r>
          </w:p>
          <w:p w:rsidR="00612780" w:rsidRPr="00D51A68" w:rsidRDefault="00612780" w:rsidP="00612780">
            <w:pPr>
              <w:pStyle w:val="Heading1"/>
              <w:rPr>
                <w:rFonts w:ascii="Times New Roman" w:eastAsia="Times New Roman" w:hAnsi="Times New Roman"/>
                <w:sz w:val="24"/>
                <w:szCs w:val="24"/>
              </w:rPr>
            </w:pPr>
          </w:p>
        </w:tc>
      </w:tr>
      <w:tr w:rsidR="00612780" w:rsidRPr="00D51A68" w:rsidTr="00672D2A">
        <w:tc>
          <w:tcPr>
            <w:tcW w:w="1101" w:type="dxa"/>
          </w:tcPr>
          <w:p w:rsidR="00612780" w:rsidRPr="00D51A68" w:rsidRDefault="00612780" w:rsidP="00612780">
            <w:pPr>
              <w:autoSpaceDE w:val="0"/>
              <w:autoSpaceDN w:val="0"/>
              <w:adjustRightInd w:val="0"/>
              <w:spacing w:before="0" w:after="0"/>
              <w:rPr>
                <w:rFonts w:ascii="Times New Roman" w:hAnsi="Times New Roman"/>
                <w:bCs/>
                <w:sz w:val="24"/>
              </w:rPr>
            </w:pPr>
            <w:r w:rsidRPr="00D51A68">
              <w:rPr>
                <w:rFonts w:ascii="Times New Roman" w:hAnsi="Times New Roman"/>
                <w:sz w:val="24"/>
              </w:rPr>
              <w:lastRenderedPageBreak/>
              <w:t>330</w:t>
            </w:r>
          </w:p>
        </w:tc>
        <w:tc>
          <w:tcPr>
            <w:tcW w:w="7903" w:type="dxa"/>
          </w:tcPr>
          <w:p w:rsidR="00612780" w:rsidRPr="00D51A68" w:rsidRDefault="00612780" w:rsidP="00612780">
            <w:pPr>
              <w:spacing w:before="0" w:after="0"/>
              <w:jc w:val="left"/>
              <w:rPr>
                <w:rFonts w:ascii="Times New Roman" w:hAnsi="Times New Roman"/>
                <w:b/>
                <w:sz w:val="24"/>
                <w:u w:val="single"/>
              </w:rPr>
            </w:pPr>
            <w:r w:rsidRPr="00D51A68">
              <w:rPr>
                <w:rFonts w:ascii="Times New Roman" w:hAnsi="Times New Roman"/>
                <w:b/>
                <w:sz w:val="24"/>
                <w:u w:val="single"/>
              </w:rPr>
              <w:t>METODO DELLA FORMULA DI VIGILANZA</w:t>
            </w:r>
          </w:p>
          <w:p w:rsidR="00612780" w:rsidRPr="00D51A68" w:rsidRDefault="00612780" w:rsidP="00612780">
            <w:pPr>
              <w:spacing w:before="0" w:after="0"/>
              <w:jc w:val="left"/>
              <w:rPr>
                <w:rFonts w:ascii="Times New Roman" w:hAnsi="Times New Roman"/>
                <w:sz w:val="24"/>
              </w:rPr>
            </w:pPr>
          </w:p>
          <w:p w:rsidR="00612780" w:rsidRPr="00D51A68" w:rsidRDefault="00612780" w:rsidP="00612780">
            <w:pPr>
              <w:spacing w:before="0" w:after="0"/>
              <w:rPr>
                <w:rFonts w:ascii="Times New Roman" w:hAnsi="Times New Roman"/>
                <w:sz w:val="24"/>
              </w:rPr>
            </w:pPr>
            <w:r w:rsidRPr="00D51A68">
              <w:rPr>
                <w:rFonts w:ascii="Times New Roman" w:hAnsi="Times New Roman"/>
                <w:sz w:val="24"/>
              </w:rPr>
              <w:t xml:space="preserve">Per il metodo della formula di vigilanza (supervisory formula method, SFM) cfr. articolo 262 del CRR. </w:t>
            </w:r>
          </w:p>
          <w:p w:rsidR="00612780" w:rsidRPr="00D51A68" w:rsidRDefault="00612780" w:rsidP="00612780">
            <w:pPr>
              <w:spacing w:before="0" w:after="0"/>
              <w:rPr>
                <w:rFonts w:ascii="Times New Roman" w:hAnsi="Times New Roman"/>
                <w:sz w:val="24"/>
              </w:rPr>
            </w:pPr>
          </w:p>
          <w:p w:rsidR="00612780" w:rsidRPr="00D51A68" w:rsidRDefault="00612780" w:rsidP="00612780">
            <w:pPr>
              <w:spacing w:before="0" w:after="0"/>
              <w:rPr>
                <w:rFonts w:ascii="Times New Roman" w:hAnsi="Times New Roman"/>
                <w:sz w:val="24"/>
              </w:rPr>
            </w:pPr>
            <w:r w:rsidRPr="00D51A68">
              <w:rPr>
                <w:rFonts w:ascii="Times New Roman" w:hAnsi="Times New Roman"/>
                <w:sz w:val="24"/>
              </w:rPr>
              <w:t>La ponderazione del rischio di una posizione verso la cartolarizzazione è pari al valore maggiore tra il 7</w:t>
            </w:r>
            <w:r w:rsidR="0009277C" w:rsidRPr="00D51A68">
              <w:rPr>
                <w:rFonts w:ascii="Times New Roman" w:hAnsi="Times New Roman"/>
                <w:sz w:val="24"/>
              </w:rPr>
              <w:t>%</w:t>
            </w:r>
            <w:r w:rsidRPr="00D51A68">
              <w:rPr>
                <w:rFonts w:ascii="Times New Roman" w:hAnsi="Times New Roman"/>
                <w:sz w:val="24"/>
              </w:rPr>
              <w:t xml:space="preserve"> e la ponderazione del rischio da applicare conformemente alle formule fornite. </w:t>
            </w:r>
          </w:p>
          <w:p w:rsidR="00612780" w:rsidRPr="00D51A68" w:rsidRDefault="00612780" w:rsidP="00612780">
            <w:pPr>
              <w:pStyle w:val="Heading1"/>
              <w:rPr>
                <w:rFonts w:ascii="Times New Roman" w:eastAsia="Times New Roman" w:hAnsi="Times New Roman"/>
                <w:sz w:val="24"/>
                <w:szCs w:val="24"/>
              </w:rPr>
            </w:pPr>
          </w:p>
        </w:tc>
      </w:tr>
      <w:tr w:rsidR="00612780" w:rsidRPr="00D51A68" w:rsidTr="00672D2A">
        <w:tc>
          <w:tcPr>
            <w:tcW w:w="1101" w:type="dxa"/>
          </w:tcPr>
          <w:p w:rsidR="00612780" w:rsidRPr="00D51A68" w:rsidRDefault="00612780" w:rsidP="00612780">
            <w:pPr>
              <w:autoSpaceDE w:val="0"/>
              <w:autoSpaceDN w:val="0"/>
              <w:adjustRightInd w:val="0"/>
              <w:spacing w:before="0" w:after="0"/>
              <w:rPr>
                <w:rFonts w:ascii="Times New Roman" w:hAnsi="Times New Roman"/>
                <w:bCs/>
                <w:sz w:val="24"/>
              </w:rPr>
            </w:pPr>
            <w:r w:rsidRPr="00D51A68">
              <w:rPr>
                <w:rFonts w:ascii="Times New Roman" w:hAnsi="Times New Roman"/>
                <w:sz w:val="24"/>
              </w:rPr>
              <w:t>340</w:t>
            </w:r>
          </w:p>
        </w:tc>
        <w:tc>
          <w:tcPr>
            <w:tcW w:w="7903" w:type="dxa"/>
          </w:tcPr>
          <w:p w:rsidR="00612780" w:rsidRPr="00D51A68" w:rsidRDefault="00612780" w:rsidP="00612780">
            <w:pPr>
              <w:spacing w:before="0" w:after="0"/>
              <w:jc w:val="left"/>
              <w:rPr>
                <w:rFonts w:ascii="Times New Roman" w:hAnsi="Times New Roman"/>
                <w:b/>
                <w:sz w:val="24"/>
                <w:u w:val="single"/>
              </w:rPr>
            </w:pPr>
            <w:r w:rsidRPr="00D51A68">
              <w:rPr>
                <w:rFonts w:ascii="Times New Roman" w:hAnsi="Times New Roman"/>
                <w:b/>
                <w:sz w:val="24"/>
                <w:u w:val="single"/>
              </w:rPr>
              <w:t>METODO DELLA FORMULA DI VIGILANZA: FATTORE DI PONDERAZIONE DEL RISCHIO MEDIO</w:t>
            </w:r>
          </w:p>
          <w:p w:rsidR="00612780" w:rsidRPr="00D51A68" w:rsidRDefault="00612780" w:rsidP="00612780">
            <w:pPr>
              <w:spacing w:before="0" w:after="0"/>
              <w:rPr>
                <w:rFonts w:ascii="Times New Roman" w:hAnsi="Times New Roman"/>
                <w:sz w:val="24"/>
              </w:rPr>
            </w:pPr>
          </w:p>
          <w:p w:rsidR="00612780" w:rsidRPr="00D51A68" w:rsidRDefault="00612780" w:rsidP="00612780">
            <w:pPr>
              <w:spacing w:before="0" w:after="0"/>
              <w:rPr>
                <w:rFonts w:ascii="Times New Roman" w:hAnsi="Times New Roman"/>
                <w:sz w:val="24"/>
              </w:rPr>
            </w:pPr>
            <w:r w:rsidRPr="00D51A68">
              <w:rPr>
                <w:rFonts w:ascii="Times New Roman" w:hAnsi="Times New Roman"/>
                <w:sz w:val="24"/>
              </w:rPr>
              <w:t>L</w:t>
            </w:r>
            <w:r w:rsidR="0009277C" w:rsidRPr="00D51A68">
              <w:rPr>
                <w:rFonts w:ascii="Times New Roman" w:hAnsi="Times New Roman"/>
                <w:sz w:val="24"/>
              </w:rPr>
              <w:t>’</w:t>
            </w:r>
            <w:r w:rsidRPr="00D51A68">
              <w:rPr>
                <w:rFonts w:ascii="Times New Roman" w:hAnsi="Times New Roman"/>
                <w:sz w:val="24"/>
              </w:rPr>
              <w:t>attenuazione del rischio di credito delle posizioni verso la cartolarizzazione può essere riconosciuta conformemente all</w:t>
            </w:r>
            <w:r w:rsidR="0009277C" w:rsidRPr="00D51A68">
              <w:rPr>
                <w:rFonts w:ascii="Times New Roman" w:hAnsi="Times New Roman"/>
                <w:sz w:val="24"/>
              </w:rPr>
              <w:t>’</w:t>
            </w:r>
            <w:r w:rsidRPr="00D51A68">
              <w:rPr>
                <w:rFonts w:ascii="Times New Roman" w:hAnsi="Times New Roman"/>
                <w:sz w:val="24"/>
              </w:rPr>
              <w:t>articolo 264 del CRR. In questi casi l</w:t>
            </w:r>
            <w:r w:rsidR="0009277C" w:rsidRPr="00D51A68">
              <w:rPr>
                <w:rFonts w:ascii="Times New Roman" w:hAnsi="Times New Roman"/>
                <w:sz w:val="24"/>
              </w:rPr>
              <w:t>’</w:t>
            </w:r>
            <w:r w:rsidRPr="00D51A68">
              <w:rPr>
                <w:rFonts w:ascii="Times New Roman" w:hAnsi="Times New Roman"/>
                <w:sz w:val="24"/>
              </w:rPr>
              <w:t xml:space="preserve">ente segnala il </w:t>
            </w:r>
            <w:r w:rsidR="0009277C" w:rsidRPr="00D51A68">
              <w:rPr>
                <w:rFonts w:ascii="Times New Roman" w:hAnsi="Times New Roman"/>
                <w:sz w:val="24"/>
              </w:rPr>
              <w:t>“</w:t>
            </w:r>
            <w:r w:rsidRPr="00D51A68">
              <w:rPr>
                <w:rFonts w:ascii="Times New Roman" w:hAnsi="Times New Roman"/>
                <w:sz w:val="24"/>
              </w:rPr>
              <w:t>fattore di ponderazione del rischio effettivo</w:t>
            </w:r>
            <w:r w:rsidR="0009277C" w:rsidRPr="00D51A68">
              <w:rPr>
                <w:rFonts w:ascii="Times New Roman" w:hAnsi="Times New Roman"/>
                <w:sz w:val="24"/>
              </w:rPr>
              <w:t>”</w:t>
            </w:r>
            <w:r w:rsidRPr="00D51A68">
              <w:rPr>
                <w:rFonts w:ascii="Times New Roman" w:hAnsi="Times New Roman"/>
                <w:sz w:val="24"/>
              </w:rPr>
              <w:t xml:space="preserve"> della posizione per la quale vi sia una protezione completa, ai sensi dell</w:t>
            </w:r>
            <w:r w:rsidR="0009277C" w:rsidRPr="00D51A68">
              <w:rPr>
                <w:rFonts w:ascii="Times New Roman" w:hAnsi="Times New Roman"/>
                <w:sz w:val="24"/>
              </w:rPr>
              <w:t>’</w:t>
            </w:r>
            <w:r w:rsidRPr="00D51A68">
              <w:rPr>
                <w:rFonts w:ascii="Times New Roman" w:hAnsi="Times New Roman"/>
                <w:sz w:val="24"/>
              </w:rPr>
              <w:t>articolo 264</w:t>
            </w:r>
            <w:r w:rsidR="00F31236" w:rsidRPr="00D51A68">
              <w:rPr>
                <w:rFonts w:ascii="Times New Roman" w:hAnsi="Times New Roman"/>
                <w:sz w:val="24"/>
              </w:rPr>
              <w:t>, paragrafo </w:t>
            </w:r>
            <w:r w:rsidRPr="00D51A68">
              <w:rPr>
                <w:rFonts w:ascii="Times New Roman" w:hAnsi="Times New Roman"/>
                <w:sz w:val="24"/>
              </w:rPr>
              <w:t>2, del CRR (il fattore di ponderazione del rischio effettivo è uguale all</w:t>
            </w:r>
            <w:r w:rsidR="0009277C" w:rsidRPr="00D51A68">
              <w:rPr>
                <w:rFonts w:ascii="Times New Roman" w:hAnsi="Times New Roman"/>
                <w:sz w:val="24"/>
              </w:rPr>
              <w:t>’</w:t>
            </w:r>
            <w:r w:rsidRPr="00D51A68">
              <w:rPr>
                <w:rFonts w:ascii="Times New Roman" w:hAnsi="Times New Roman"/>
                <w:sz w:val="24"/>
              </w:rPr>
              <w:t>importo dell</w:t>
            </w:r>
            <w:r w:rsidR="0009277C" w:rsidRPr="00D51A68">
              <w:rPr>
                <w:rFonts w:ascii="Times New Roman" w:hAnsi="Times New Roman"/>
                <w:sz w:val="24"/>
              </w:rPr>
              <w:t>’</w:t>
            </w:r>
            <w:r w:rsidRPr="00D51A68">
              <w:rPr>
                <w:rFonts w:ascii="Times New Roman" w:hAnsi="Times New Roman"/>
                <w:sz w:val="24"/>
              </w:rPr>
              <w:t>esposizione ponderato per il rischio della posizione diviso per il valore dell</w:t>
            </w:r>
            <w:r w:rsidR="0009277C" w:rsidRPr="00D51A68">
              <w:rPr>
                <w:rFonts w:ascii="Times New Roman" w:hAnsi="Times New Roman"/>
                <w:sz w:val="24"/>
              </w:rPr>
              <w:t>’</w:t>
            </w:r>
            <w:r w:rsidRPr="00D51A68">
              <w:rPr>
                <w:rFonts w:ascii="Times New Roman" w:hAnsi="Times New Roman"/>
                <w:sz w:val="24"/>
              </w:rPr>
              <w:t>esposizione della posizione, moltiplicato per 100).</w:t>
            </w:r>
          </w:p>
          <w:p w:rsidR="00612780" w:rsidRPr="00D51A68" w:rsidRDefault="00612780" w:rsidP="00612780">
            <w:pPr>
              <w:spacing w:before="0" w:after="0"/>
              <w:rPr>
                <w:rFonts w:ascii="Times New Roman" w:hAnsi="Times New Roman"/>
                <w:sz w:val="24"/>
              </w:rPr>
            </w:pPr>
          </w:p>
          <w:p w:rsidR="00612780" w:rsidRPr="00D51A68" w:rsidRDefault="00612780" w:rsidP="00612780">
            <w:pPr>
              <w:spacing w:before="0" w:after="0"/>
              <w:rPr>
                <w:rFonts w:ascii="Times New Roman" w:hAnsi="Times New Roman"/>
                <w:sz w:val="24"/>
              </w:rPr>
            </w:pPr>
            <w:r w:rsidRPr="00D51A68">
              <w:rPr>
                <w:rFonts w:ascii="Times New Roman" w:hAnsi="Times New Roman"/>
                <w:sz w:val="24"/>
              </w:rPr>
              <w:t>In caso di protezione parziale della posizione, l</w:t>
            </w:r>
            <w:r w:rsidR="0009277C" w:rsidRPr="00D51A68">
              <w:rPr>
                <w:rFonts w:ascii="Times New Roman" w:hAnsi="Times New Roman"/>
                <w:sz w:val="24"/>
              </w:rPr>
              <w:t>’</w:t>
            </w:r>
            <w:r w:rsidRPr="00D51A68">
              <w:rPr>
                <w:rFonts w:ascii="Times New Roman" w:hAnsi="Times New Roman"/>
                <w:sz w:val="24"/>
              </w:rPr>
              <w:t xml:space="preserve">ente deve applicare il metodo della formula di vigilanza correggendo il </w:t>
            </w:r>
            <w:r w:rsidR="0009277C" w:rsidRPr="00D51A68">
              <w:rPr>
                <w:rFonts w:ascii="Times New Roman" w:hAnsi="Times New Roman"/>
                <w:sz w:val="24"/>
              </w:rPr>
              <w:t>“</w:t>
            </w:r>
            <w:r w:rsidRPr="00D51A68">
              <w:rPr>
                <w:rFonts w:ascii="Times New Roman" w:hAnsi="Times New Roman"/>
                <w:sz w:val="24"/>
              </w:rPr>
              <w:t>T</w:t>
            </w:r>
            <w:r w:rsidR="0009277C" w:rsidRPr="00D51A68">
              <w:rPr>
                <w:rFonts w:ascii="Times New Roman" w:hAnsi="Times New Roman"/>
                <w:sz w:val="24"/>
              </w:rPr>
              <w:t>”</w:t>
            </w:r>
            <w:r w:rsidRPr="00D51A68">
              <w:rPr>
                <w:rFonts w:ascii="Times New Roman" w:hAnsi="Times New Roman"/>
                <w:sz w:val="24"/>
              </w:rPr>
              <w:t xml:space="preserve"> conformemente all</w:t>
            </w:r>
            <w:r w:rsidR="0009277C" w:rsidRPr="00D51A68">
              <w:rPr>
                <w:rFonts w:ascii="Times New Roman" w:hAnsi="Times New Roman"/>
                <w:sz w:val="24"/>
              </w:rPr>
              <w:t>’</w:t>
            </w:r>
            <w:r w:rsidRPr="00D51A68">
              <w:rPr>
                <w:rFonts w:ascii="Times New Roman" w:hAnsi="Times New Roman"/>
                <w:sz w:val="24"/>
              </w:rPr>
              <w:t>articolo 264, paragrafo 3, del CRR.</w:t>
            </w:r>
          </w:p>
          <w:p w:rsidR="00612780" w:rsidRPr="00D51A68" w:rsidRDefault="00612780" w:rsidP="00612780">
            <w:pPr>
              <w:spacing w:before="0" w:after="0"/>
              <w:rPr>
                <w:rFonts w:ascii="Times New Roman" w:hAnsi="Times New Roman"/>
                <w:sz w:val="24"/>
              </w:rPr>
            </w:pPr>
          </w:p>
          <w:p w:rsidR="00612780" w:rsidRPr="00D51A68" w:rsidRDefault="00612780" w:rsidP="00612780">
            <w:pPr>
              <w:spacing w:before="0" w:after="0"/>
              <w:rPr>
                <w:rFonts w:ascii="Times New Roman" w:hAnsi="Times New Roman"/>
                <w:sz w:val="24"/>
              </w:rPr>
            </w:pPr>
            <w:r w:rsidRPr="00D51A68">
              <w:rPr>
                <w:rFonts w:ascii="Times New Roman" w:hAnsi="Times New Roman"/>
                <w:sz w:val="24"/>
              </w:rPr>
              <w:t>In questa colonna sono segnalati i fattori di ponderazione del rischio medi ponderati.</w:t>
            </w:r>
          </w:p>
          <w:p w:rsidR="00612780" w:rsidRPr="00D51A68" w:rsidRDefault="00612780" w:rsidP="00612780">
            <w:pPr>
              <w:autoSpaceDE w:val="0"/>
              <w:autoSpaceDN w:val="0"/>
              <w:adjustRightInd w:val="0"/>
              <w:spacing w:before="0" w:after="0"/>
              <w:jc w:val="left"/>
              <w:rPr>
                <w:rFonts w:ascii="Times New Roman" w:hAnsi="Times New Roman"/>
                <w:sz w:val="24"/>
              </w:rPr>
            </w:pPr>
          </w:p>
        </w:tc>
      </w:tr>
      <w:tr w:rsidR="00612780" w:rsidRPr="00D51A68" w:rsidTr="00672D2A">
        <w:tc>
          <w:tcPr>
            <w:tcW w:w="1101" w:type="dxa"/>
          </w:tcPr>
          <w:p w:rsidR="00612780" w:rsidRPr="00D51A68" w:rsidRDefault="00612780" w:rsidP="00612780">
            <w:pPr>
              <w:autoSpaceDE w:val="0"/>
              <w:autoSpaceDN w:val="0"/>
              <w:adjustRightInd w:val="0"/>
              <w:spacing w:before="0" w:after="0"/>
              <w:rPr>
                <w:rFonts w:ascii="Times New Roman" w:hAnsi="Times New Roman"/>
                <w:bCs/>
                <w:sz w:val="24"/>
              </w:rPr>
            </w:pPr>
            <w:r w:rsidRPr="00D51A68">
              <w:rPr>
                <w:rFonts w:ascii="Times New Roman" w:hAnsi="Times New Roman"/>
                <w:sz w:val="24"/>
              </w:rPr>
              <w:t>350</w:t>
            </w:r>
          </w:p>
        </w:tc>
        <w:tc>
          <w:tcPr>
            <w:tcW w:w="7903" w:type="dxa"/>
          </w:tcPr>
          <w:p w:rsidR="00612780" w:rsidRPr="00D51A68" w:rsidRDefault="00612780" w:rsidP="00612780">
            <w:pPr>
              <w:spacing w:before="0" w:after="0"/>
              <w:jc w:val="left"/>
              <w:rPr>
                <w:rFonts w:ascii="Times New Roman" w:hAnsi="Times New Roman"/>
                <w:b/>
                <w:sz w:val="24"/>
                <w:u w:val="single"/>
              </w:rPr>
            </w:pPr>
            <w:r w:rsidRPr="00D51A68">
              <w:rPr>
                <w:rFonts w:ascii="Times New Roman" w:hAnsi="Times New Roman"/>
                <w:b/>
                <w:sz w:val="24"/>
                <w:u w:val="single"/>
              </w:rPr>
              <w:t>METODO LOOK-THROUGH</w:t>
            </w:r>
          </w:p>
          <w:p w:rsidR="00612780" w:rsidRPr="00D51A68" w:rsidRDefault="00612780" w:rsidP="00612780">
            <w:pPr>
              <w:spacing w:before="0" w:after="0"/>
              <w:jc w:val="left"/>
              <w:rPr>
                <w:rFonts w:ascii="Times New Roman" w:hAnsi="Times New Roman"/>
                <w:sz w:val="24"/>
              </w:rPr>
            </w:pPr>
          </w:p>
          <w:p w:rsidR="00612780" w:rsidRPr="00D51A68" w:rsidRDefault="00612780" w:rsidP="00612780">
            <w:pPr>
              <w:spacing w:before="0" w:after="0"/>
              <w:rPr>
                <w:rFonts w:ascii="Times New Roman" w:hAnsi="Times New Roman"/>
                <w:sz w:val="24"/>
              </w:rPr>
            </w:pPr>
            <w:r w:rsidRPr="00D51A68">
              <w:rPr>
                <w:rFonts w:ascii="Times New Roman" w:hAnsi="Times New Roman"/>
                <w:sz w:val="24"/>
              </w:rPr>
              <w:t>Le colonne relative al metodo look-through comprendono tutti i casi di esposizioni prive di rating in cui la ponderazione del rischio si ricava dal portafoglio di esposizioni sottostante (fattore più elevato di ponderazione del rischio del pool).</w:t>
            </w:r>
          </w:p>
          <w:p w:rsidR="00612780" w:rsidRPr="00D51A68" w:rsidRDefault="00612780" w:rsidP="00612780">
            <w:pPr>
              <w:spacing w:before="0" w:after="0"/>
              <w:rPr>
                <w:rFonts w:ascii="Times New Roman" w:hAnsi="Times New Roman"/>
                <w:sz w:val="24"/>
              </w:rPr>
            </w:pPr>
          </w:p>
          <w:p w:rsidR="00612780" w:rsidRPr="00D51A68" w:rsidRDefault="00612780" w:rsidP="00612780">
            <w:pPr>
              <w:spacing w:before="0" w:after="0"/>
              <w:rPr>
                <w:rFonts w:ascii="Times New Roman" w:hAnsi="Times New Roman"/>
                <w:sz w:val="24"/>
              </w:rPr>
            </w:pPr>
            <w:r w:rsidRPr="00D51A68">
              <w:rPr>
                <w:rFonts w:ascii="Times New Roman" w:hAnsi="Times New Roman"/>
                <w:sz w:val="24"/>
              </w:rPr>
              <w:t>L</w:t>
            </w:r>
            <w:r w:rsidR="0009277C" w:rsidRPr="00D51A68">
              <w:rPr>
                <w:rFonts w:ascii="Times New Roman" w:hAnsi="Times New Roman"/>
                <w:sz w:val="24"/>
              </w:rPr>
              <w:t>’</w:t>
            </w:r>
            <w:r w:rsidRPr="00D51A68">
              <w:rPr>
                <w:rFonts w:ascii="Times New Roman" w:hAnsi="Times New Roman"/>
                <w:sz w:val="24"/>
              </w:rPr>
              <w:t>articolo 263, paragrafi 2 e 3, del CRR prevede un trattamento eccezionale qualora non sia possibile calcolare K</w:t>
            </w:r>
            <w:r w:rsidRPr="00D51A68">
              <w:rPr>
                <w:rFonts w:ascii="Times New Roman" w:hAnsi="Times New Roman"/>
                <w:sz w:val="24"/>
                <w:vertAlign w:val="subscript"/>
              </w:rPr>
              <w:t>irb</w:t>
            </w:r>
            <w:r w:rsidRPr="00D51A68">
              <w:rPr>
                <w:rFonts w:ascii="Times New Roman" w:hAnsi="Times New Roman"/>
                <w:sz w:val="24"/>
              </w:rPr>
              <w:t>.</w:t>
            </w:r>
          </w:p>
          <w:p w:rsidR="00612780" w:rsidRPr="00D51A68" w:rsidRDefault="00612780" w:rsidP="00612780">
            <w:pPr>
              <w:spacing w:before="0" w:after="0"/>
              <w:rPr>
                <w:rFonts w:ascii="Times New Roman" w:hAnsi="Times New Roman"/>
                <w:i/>
                <w:sz w:val="24"/>
              </w:rPr>
            </w:pPr>
          </w:p>
          <w:p w:rsidR="00612780" w:rsidRPr="00D51A68" w:rsidRDefault="00612780" w:rsidP="00612780">
            <w:pPr>
              <w:spacing w:before="0" w:after="0"/>
              <w:rPr>
                <w:rFonts w:ascii="Times New Roman" w:hAnsi="Times New Roman"/>
                <w:sz w:val="24"/>
              </w:rPr>
            </w:pPr>
            <w:r w:rsidRPr="00D51A68">
              <w:rPr>
                <w:rFonts w:ascii="Times New Roman" w:hAnsi="Times New Roman"/>
                <w:sz w:val="24"/>
              </w:rPr>
              <w:t>L</w:t>
            </w:r>
            <w:r w:rsidR="0009277C" w:rsidRPr="00D51A68">
              <w:rPr>
                <w:rFonts w:ascii="Times New Roman" w:hAnsi="Times New Roman"/>
                <w:sz w:val="24"/>
              </w:rPr>
              <w:t>’</w:t>
            </w:r>
            <w:r w:rsidRPr="00D51A68">
              <w:rPr>
                <w:rFonts w:ascii="Times New Roman" w:hAnsi="Times New Roman"/>
                <w:sz w:val="24"/>
              </w:rPr>
              <w:t xml:space="preserve">importo non utilizzato delle linee di liquidità è segnalato nella voce </w:t>
            </w:r>
            <w:r w:rsidR="0009277C" w:rsidRPr="00D51A68">
              <w:rPr>
                <w:rFonts w:ascii="Times New Roman" w:hAnsi="Times New Roman"/>
                <w:sz w:val="24"/>
              </w:rPr>
              <w:t>“</w:t>
            </w:r>
            <w:r w:rsidRPr="00D51A68">
              <w:rPr>
                <w:rFonts w:ascii="Times New Roman" w:hAnsi="Times New Roman"/>
                <w:sz w:val="24"/>
              </w:rPr>
              <w:t>elementi fuori bilancio e derivati</w:t>
            </w:r>
            <w:r w:rsidR="0009277C" w:rsidRPr="00D51A68">
              <w:rPr>
                <w:rFonts w:ascii="Times New Roman" w:hAnsi="Times New Roman"/>
                <w:sz w:val="24"/>
              </w:rPr>
              <w:t>”</w:t>
            </w:r>
            <w:r w:rsidRPr="00D51A68">
              <w:rPr>
                <w:rFonts w:ascii="Times New Roman" w:hAnsi="Times New Roman"/>
                <w:sz w:val="24"/>
              </w:rPr>
              <w:t>.</w:t>
            </w:r>
          </w:p>
          <w:p w:rsidR="00612780" w:rsidRPr="00D51A68" w:rsidRDefault="00612780" w:rsidP="00612780">
            <w:pPr>
              <w:spacing w:before="0" w:after="0"/>
              <w:rPr>
                <w:rFonts w:ascii="Times New Roman" w:hAnsi="Times New Roman"/>
                <w:sz w:val="24"/>
              </w:rPr>
            </w:pPr>
          </w:p>
          <w:p w:rsidR="00612780" w:rsidRPr="00D51A68" w:rsidRDefault="00612780" w:rsidP="00612780">
            <w:pPr>
              <w:spacing w:before="0" w:after="0"/>
              <w:rPr>
                <w:rFonts w:ascii="Times New Roman" w:hAnsi="Times New Roman"/>
                <w:sz w:val="24"/>
              </w:rPr>
            </w:pPr>
            <w:r w:rsidRPr="00D51A68">
              <w:rPr>
                <w:rFonts w:ascii="Times New Roman" w:hAnsi="Times New Roman"/>
                <w:sz w:val="24"/>
              </w:rPr>
              <w:t>Finché il cedente è soggetto al trattamento eccezionale stante l</w:t>
            </w:r>
            <w:r w:rsidR="0009277C" w:rsidRPr="00D51A68">
              <w:rPr>
                <w:rFonts w:ascii="Times New Roman" w:hAnsi="Times New Roman"/>
                <w:sz w:val="24"/>
              </w:rPr>
              <w:t>’</w:t>
            </w:r>
            <w:r w:rsidRPr="00D51A68">
              <w:rPr>
                <w:rFonts w:ascii="Times New Roman" w:hAnsi="Times New Roman"/>
                <w:sz w:val="24"/>
              </w:rPr>
              <w:t>impossibilità di calcolare K</w:t>
            </w:r>
            <w:r w:rsidRPr="00D51A68">
              <w:rPr>
                <w:rFonts w:ascii="Times New Roman" w:hAnsi="Times New Roman"/>
                <w:sz w:val="24"/>
                <w:vertAlign w:val="subscript"/>
              </w:rPr>
              <w:t>irb</w:t>
            </w:r>
            <w:r w:rsidRPr="00D51A68">
              <w:rPr>
                <w:rFonts w:ascii="Times New Roman" w:hAnsi="Times New Roman"/>
                <w:sz w:val="24"/>
              </w:rPr>
              <w:t>, la colonna 350 serve per segnalare il trattamento della ponderazione del rischio applicato al valore dell</w:t>
            </w:r>
            <w:r w:rsidR="0009277C" w:rsidRPr="00D51A68">
              <w:rPr>
                <w:rFonts w:ascii="Times New Roman" w:hAnsi="Times New Roman"/>
                <w:sz w:val="24"/>
              </w:rPr>
              <w:t>’</w:t>
            </w:r>
            <w:r w:rsidRPr="00D51A68">
              <w:rPr>
                <w:rFonts w:ascii="Times New Roman" w:hAnsi="Times New Roman"/>
                <w:sz w:val="24"/>
              </w:rPr>
              <w:t>esposizione di una linea di liquidità soggetta al trattamento di cui all</w:t>
            </w:r>
            <w:r w:rsidR="0009277C" w:rsidRPr="00D51A68">
              <w:rPr>
                <w:rFonts w:ascii="Times New Roman" w:hAnsi="Times New Roman"/>
                <w:sz w:val="24"/>
              </w:rPr>
              <w:t>’</w:t>
            </w:r>
            <w:r w:rsidRPr="00D51A68">
              <w:rPr>
                <w:rFonts w:ascii="Times New Roman" w:hAnsi="Times New Roman"/>
                <w:sz w:val="24"/>
              </w:rPr>
              <w:t>articolo 263 del CRR.</w:t>
            </w:r>
          </w:p>
          <w:p w:rsidR="00612780" w:rsidRPr="00D51A68" w:rsidRDefault="00612780" w:rsidP="00612780">
            <w:pPr>
              <w:spacing w:before="0" w:after="0"/>
              <w:rPr>
                <w:rFonts w:ascii="Times New Roman" w:hAnsi="Times New Roman"/>
                <w:sz w:val="24"/>
              </w:rPr>
            </w:pPr>
          </w:p>
          <w:p w:rsidR="00612780" w:rsidRPr="00D51A68" w:rsidRDefault="00612780" w:rsidP="00612780">
            <w:pPr>
              <w:spacing w:before="0" w:after="0"/>
              <w:rPr>
                <w:rFonts w:ascii="Times New Roman" w:hAnsi="Times New Roman"/>
                <w:sz w:val="24"/>
              </w:rPr>
            </w:pPr>
            <w:r w:rsidRPr="00D51A68">
              <w:rPr>
                <w:rFonts w:ascii="Times New Roman" w:hAnsi="Times New Roman"/>
                <w:sz w:val="24"/>
              </w:rPr>
              <w:t>Per i rimborsi anticipati cfr. articolo 256, paragrafo 5, e articolo 265 del CRR.</w:t>
            </w:r>
          </w:p>
          <w:p w:rsidR="00612780" w:rsidRPr="00D51A68" w:rsidRDefault="00612780" w:rsidP="00612780">
            <w:pPr>
              <w:autoSpaceDE w:val="0"/>
              <w:autoSpaceDN w:val="0"/>
              <w:adjustRightInd w:val="0"/>
              <w:spacing w:before="0" w:after="0"/>
              <w:jc w:val="left"/>
              <w:rPr>
                <w:rFonts w:ascii="Times New Roman" w:hAnsi="Times New Roman"/>
                <w:sz w:val="24"/>
              </w:rPr>
            </w:pPr>
          </w:p>
        </w:tc>
      </w:tr>
      <w:tr w:rsidR="00612780" w:rsidRPr="00D51A68" w:rsidTr="00F31236">
        <w:trPr>
          <w:cantSplit/>
        </w:trPr>
        <w:tc>
          <w:tcPr>
            <w:tcW w:w="1101" w:type="dxa"/>
          </w:tcPr>
          <w:p w:rsidR="00612780" w:rsidRPr="00D51A68" w:rsidRDefault="00612780" w:rsidP="00612780">
            <w:pPr>
              <w:autoSpaceDE w:val="0"/>
              <w:autoSpaceDN w:val="0"/>
              <w:adjustRightInd w:val="0"/>
              <w:spacing w:before="0" w:after="0"/>
              <w:rPr>
                <w:rFonts w:ascii="Times New Roman" w:hAnsi="Times New Roman"/>
                <w:bCs/>
                <w:sz w:val="24"/>
              </w:rPr>
            </w:pPr>
            <w:r w:rsidRPr="00D51A68">
              <w:rPr>
                <w:rFonts w:ascii="Times New Roman" w:hAnsi="Times New Roman"/>
                <w:sz w:val="24"/>
              </w:rPr>
              <w:lastRenderedPageBreak/>
              <w:t>360</w:t>
            </w:r>
          </w:p>
        </w:tc>
        <w:tc>
          <w:tcPr>
            <w:tcW w:w="7903" w:type="dxa"/>
          </w:tcPr>
          <w:p w:rsidR="00612780" w:rsidRPr="00D51A68" w:rsidRDefault="00612780" w:rsidP="00612780">
            <w:pPr>
              <w:spacing w:before="0" w:after="0"/>
              <w:jc w:val="left"/>
              <w:rPr>
                <w:rFonts w:ascii="Times New Roman" w:hAnsi="Times New Roman"/>
                <w:b/>
                <w:sz w:val="24"/>
                <w:u w:val="single"/>
              </w:rPr>
            </w:pPr>
            <w:r w:rsidRPr="00D51A68">
              <w:rPr>
                <w:rFonts w:ascii="Times New Roman" w:hAnsi="Times New Roman"/>
                <w:b/>
                <w:sz w:val="24"/>
                <w:u w:val="single"/>
              </w:rPr>
              <w:t>METODO LOOK-THROUGH: FATTORE DI PONDERAZIONE DEL RISCHIO MEDIO</w:t>
            </w:r>
          </w:p>
          <w:p w:rsidR="00612780" w:rsidRPr="00D51A68" w:rsidRDefault="00612780" w:rsidP="00612780">
            <w:pPr>
              <w:spacing w:before="0" w:after="0"/>
              <w:rPr>
                <w:rFonts w:ascii="Times New Roman" w:hAnsi="Times New Roman"/>
                <w:sz w:val="24"/>
              </w:rPr>
            </w:pPr>
          </w:p>
          <w:p w:rsidR="00612780" w:rsidRPr="00D51A68" w:rsidRDefault="00612780" w:rsidP="00612780">
            <w:pPr>
              <w:spacing w:before="0" w:after="0"/>
              <w:jc w:val="left"/>
              <w:rPr>
                <w:rFonts w:ascii="Times New Roman" w:hAnsi="Times New Roman"/>
                <w:sz w:val="24"/>
              </w:rPr>
            </w:pPr>
            <w:r w:rsidRPr="00D51A68">
              <w:rPr>
                <w:rFonts w:ascii="Times New Roman" w:hAnsi="Times New Roman"/>
                <w:sz w:val="24"/>
              </w:rPr>
              <w:t>È segnalato il fattore di ponderazione del rischio medio ponderato per il valore dell</w:t>
            </w:r>
            <w:r w:rsidR="0009277C" w:rsidRPr="00D51A68">
              <w:rPr>
                <w:rFonts w:ascii="Times New Roman" w:hAnsi="Times New Roman"/>
                <w:sz w:val="24"/>
              </w:rPr>
              <w:t>’</w:t>
            </w:r>
            <w:r w:rsidRPr="00D51A68">
              <w:rPr>
                <w:rFonts w:ascii="Times New Roman" w:hAnsi="Times New Roman"/>
                <w:sz w:val="24"/>
              </w:rPr>
              <w:t>esposizione.</w:t>
            </w:r>
          </w:p>
          <w:p w:rsidR="00612780" w:rsidRPr="00D51A68" w:rsidRDefault="00612780" w:rsidP="00612780">
            <w:pPr>
              <w:spacing w:before="0" w:after="0"/>
              <w:rPr>
                <w:rFonts w:ascii="Times New Roman" w:hAnsi="Times New Roman"/>
                <w:sz w:val="24"/>
              </w:rPr>
            </w:pPr>
          </w:p>
        </w:tc>
      </w:tr>
      <w:tr w:rsidR="00612780" w:rsidRPr="00D51A68" w:rsidTr="00672D2A">
        <w:tc>
          <w:tcPr>
            <w:tcW w:w="1101" w:type="dxa"/>
          </w:tcPr>
          <w:p w:rsidR="00612780" w:rsidRPr="00D51A68" w:rsidRDefault="00612780" w:rsidP="00612780">
            <w:pPr>
              <w:autoSpaceDE w:val="0"/>
              <w:autoSpaceDN w:val="0"/>
              <w:adjustRightInd w:val="0"/>
              <w:spacing w:before="0" w:after="0"/>
              <w:rPr>
                <w:rFonts w:ascii="Times New Roman" w:hAnsi="Times New Roman"/>
                <w:bCs/>
                <w:sz w:val="24"/>
              </w:rPr>
            </w:pPr>
            <w:r w:rsidRPr="00D51A68">
              <w:rPr>
                <w:rFonts w:ascii="Times New Roman" w:hAnsi="Times New Roman"/>
                <w:sz w:val="24"/>
              </w:rPr>
              <w:t>370</w:t>
            </w:r>
          </w:p>
        </w:tc>
        <w:tc>
          <w:tcPr>
            <w:tcW w:w="7903" w:type="dxa"/>
          </w:tcPr>
          <w:p w:rsidR="00612780" w:rsidRPr="00D51A68" w:rsidRDefault="00612780" w:rsidP="00612780">
            <w:pPr>
              <w:spacing w:before="0" w:after="0"/>
              <w:jc w:val="left"/>
              <w:rPr>
                <w:rFonts w:ascii="Times New Roman" w:hAnsi="Times New Roman"/>
                <w:b/>
                <w:sz w:val="24"/>
                <w:u w:val="single"/>
              </w:rPr>
            </w:pPr>
            <w:r w:rsidRPr="00D51A68">
              <w:rPr>
                <w:rFonts w:ascii="Times New Roman" w:hAnsi="Times New Roman"/>
                <w:b/>
                <w:sz w:val="24"/>
                <w:u w:val="single"/>
              </w:rPr>
              <w:t>METODO DELLA VALUTAZIONE INTERNA</w:t>
            </w:r>
          </w:p>
          <w:p w:rsidR="00612780" w:rsidRPr="00D51A68" w:rsidRDefault="00612780" w:rsidP="00612780">
            <w:pPr>
              <w:spacing w:before="0" w:after="0"/>
              <w:jc w:val="left"/>
              <w:rPr>
                <w:rFonts w:ascii="Times New Roman" w:hAnsi="Times New Roman"/>
                <w:sz w:val="24"/>
              </w:rPr>
            </w:pPr>
          </w:p>
          <w:p w:rsidR="00612780" w:rsidRPr="00D51A68" w:rsidRDefault="00612780" w:rsidP="00612780">
            <w:pPr>
              <w:spacing w:before="0" w:after="0"/>
              <w:rPr>
                <w:rFonts w:ascii="Times New Roman" w:hAnsi="Times New Roman"/>
                <w:sz w:val="24"/>
              </w:rPr>
            </w:pPr>
            <w:r w:rsidRPr="00D51A68">
              <w:rPr>
                <w:rFonts w:ascii="Times New Roman" w:hAnsi="Times New Roman"/>
                <w:sz w:val="24"/>
              </w:rPr>
              <w:t>L</w:t>
            </w:r>
            <w:r w:rsidR="0009277C" w:rsidRPr="00D51A68">
              <w:rPr>
                <w:rFonts w:ascii="Times New Roman" w:hAnsi="Times New Roman"/>
                <w:sz w:val="24"/>
              </w:rPr>
              <w:t>’</w:t>
            </w:r>
            <w:r w:rsidRPr="00D51A68">
              <w:rPr>
                <w:rFonts w:ascii="Times New Roman" w:hAnsi="Times New Roman"/>
                <w:sz w:val="24"/>
              </w:rPr>
              <w:t>articolo 259, paragrafi 3 e 4, del CRR prevede l</w:t>
            </w:r>
            <w:r w:rsidR="0009277C" w:rsidRPr="00D51A68">
              <w:rPr>
                <w:rFonts w:ascii="Times New Roman" w:hAnsi="Times New Roman"/>
                <w:sz w:val="24"/>
              </w:rPr>
              <w:t>’</w:t>
            </w:r>
            <w:r w:rsidRPr="00D51A68">
              <w:rPr>
                <w:rFonts w:ascii="Times New Roman" w:hAnsi="Times New Roman"/>
                <w:sz w:val="24"/>
              </w:rPr>
              <w:t xml:space="preserve">applicazione del </w:t>
            </w:r>
            <w:r w:rsidR="0009277C" w:rsidRPr="00D51A68">
              <w:rPr>
                <w:rFonts w:ascii="Times New Roman" w:hAnsi="Times New Roman"/>
                <w:sz w:val="24"/>
              </w:rPr>
              <w:t>“</w:t>
            </w:r>
            <w:r w:rsidRPr="00D51A68">
              <w:rPr>
                <w:rFonts w:ascii="Times New Roman" w:hAnsi="Times New Roman"/>
                <w:sz w:val="24"/>
              </w:rPr>
              <w:t>metodo della valutazione interna</w:t>
            </w:r>
            <w:r w:rsidR="0009277C" w:rsidRPr="00D51A68">
              <w:rPr>
                <w:rFonts w:ascii="Times New Roman" w:hAnsi="Times New Roman"/>
                <w:sz w:val="24"/>
              </w:rPr>
              <w:t>”</w:t>
            </w:r>
            <w:r w:rsidRPr="00D51A68">
              <w:rPr>
                <w:rFonts w:ascii="Times New Roman" w:hAnsi="Times New Roman"/>
                <w:sz w:val="24"/>
              </w:rPr>
              <w:t xml:space="preserve"> (IAA) per le posizioni dei programmi ABCP.</w:t>
            </w:r>
          </w:p>
          <w:p w:rsidR="00612780" w:rsidRPr="00D51A68" w:rsidRDefault="00612780" w:rsidP="00612780">
            <w:pPr>
              <w:spacing w:before="0" w:after="0"/>
              <w:jc w:val="left"/>
              <w:rPr>
                <w:rFonts w:ascii="Times New Roman" w:hAnsi="Times New Roman"/>
                <w:sz w:val="24"/>
              </w:rPr>
            </w:pPr>
          </w:p>
        </w:tc>
      </w:tr>
      <w:tr w:rsidR="00612780" w:rsidRPr="00D51A68" w:rsidTr="00672D2A">
        <w:tc>
          <w:tcPr>
            <w:tcW w:w="1101" w:type="dxa"/>
          </w:tcPr>
          <w:p w:rsidR="00612780" w:rsidRPr="00D51A68" w:rsidRDefault="00612780" w:rsidP="00612780">
            <w:pPr>
              <w:autoSpaceDE w:val="0"/>
              <w:autoSpaceDN w:val="0"/>
              <w:adjustRightInd w:val="0"/>
              <w:spacing w:before="0" w:after="0"/>
              <w:rPr>
                <w:rFonts w:ascii="Times New Roman" w:hAnsi="Times New Roman"/>
                <w:bCs/>
                <w:sz w:val="24"/>
              </w:rPr>
            </w:pPr>
            <w:r w:rsidRPr="00D51A68">
              <w:rPr>
                <w:rFonts w:ascii="Times New Roman" w:hAnsi="Times New Roman"/>
                <w:sz w:val="24"/>
              </w:rPr>
              <w:t>380</w:t>
            </w:r>
          </w:p>
        </w:tc>
        <w:tc>
          <w:tcPr>
            <w:tcW w:w="7903" w:type="dxa"/>
          </w:tcPr>
          <w:p w:rsidR="00612780" w:rsidRPr="00D51A68" w:rsidRDefault="00612780" w:rsidP="00612780">
            <w:pPr>
              <w:spacing w:before="0" w:after="0"/>
              <w:jc w:val="left"/>
              <w:rPr>
                <w:rFonts w:ascii="Times New Roman" w:hAnsi="Times New Roman"/>
                <w:b/>
                <w:sz w:val="24"/>
                <w:u w:val="single"/>
              </w:rPr>
            </w:pPr>
            <w:r w:rsidRPr="00D51A68">
              <w:rPr>
                <w:rFonts w:ascii="Times New Roman" w:hAnsi="Times New Roman"/>
                <w:b/>
                <w:sz w:val="24"/>
                <w:u w:val="single"/>
              </w:rPr>
              <w:t>IAA: FATTORE DI PONDERAZIONE DEL RISCHIO MEDIO</w:t>
            </w:r>
          </w:p>
          <w:p w:rsidR="00612780" w:rsidRPr="00D51A68" w:rsidRDefault="00612780" w:rsidP="00612780">
            <w:pPr>
              <w:spacing w:before="0" w:after="0"/>
              <w:rPr>
                <w:rFonts w:ascii="Times New Roman" w:hAnsi="Times New Roman"/>
                <w:sz w:val="24"/>
              </w:rPr>
            </w:pPr>
          </w:p>
          <w:p w:rsidR="00612780" w:rsidRPr="00D51A68" w:rsidRDefault="00612780" w:rsidP="00612780">
            <w:pPr>
              <w:spacing w:before="0" w:after="0"/>
              <w:jc w:val="left"/>
              <w:rPr>
                <w:rFonts w:ascii="Times New Roman" w:hAnsi="Times New Roman"/>
                <w:sz w:val="24"/>
              </w:rPr>
            </w:pPr>
            <w:r w:rsidRPr="00D51A68">
              <w:rPr>
                <w:rFonts w:ascii="Times New Roman" w:hAnsi="Times New Roman"/>
                <w:sz w:val="24"/>
              </w:rPr>
              <w:t>In questa colonna sono segnalati i fattori di ponderazione del rischio medi ponderati.</w:t>
            </w:r>
          </w:p>
          <w:p w:rsidR="00612780" w:rsidRPr="00D51A68" w:rsidRDefault="00612780" w:rsidP="00612780">
            <w:pPr>
              <w:spacing w:before="0" w:after="0"/>
              <w:jc w:val="left"/>
              <w:rPr>
                <w:rFonts w:ascii="Times New Roman" w:hAnsi="Times New Roman"/>
                <w:sz w:val="24"/>
              </w:rPr>
            </w:pPr>
          </w:p>
        </w:tc>
      </w:tr>
      <w:tr w:rsidR="00612780" w:rsidRPr="00D51A68" w:rsidTr="00672D2A">
        <w:tc>
          <w:tcPr>
            <w:tcW w:w="1101" w:type="dxa"/>
          </w:tcPr>
          <w:p w:rsidR="00612780" w:rsidRPr="00D51A68" w:rsidRDefault="00612780" w:rsidP="00612780">
            <w:pPr>
              <w:autoSpaceDE w:val="0"/>
              <w:autoSpaceDN w:val="0"/>
              <w:adjustRightInd w:val="0"/>
              <w:spacing w:before="0" w:after="0"/>
              <w:rPr>
                <w:rFonts w:ascii="Times New Roman" w:hAnsi="Times New Roman"/>
                <w:bCs/>
                <w:sz w:val="24"/>
              </w:rPr>
            </w:pPr>
            <w:r w:rsidRPr="00D51A68">
              <w:rPr>
                <w:rFonts w:ascii="Times New Roman" w:hAnsi="Times New Roman"/>
                <w:sz w:val="24"/>
              </w:rPr>
              <w:t>390</w:t>
            </w:r>
          </w:p>
        </w:tc>
        <w:tc>
          <w:tcPr>
            <w:tcW w:w="7903" w:type="dxa"/>
          </w:tcPr>
          <w:p w:rsidR="00612780" w:rsidRPr="00D51A68" w:rsidRDefault="00612780" w:rsidP="00612780">
            <w:pPr>
              <w:spacing w:before="0" w:after="0"/>
              <w:jc w:val="left"/>
              <w:rPr>
                <w:rFonts w:ascii="Times New Roman" w:hAnsi="Times New Roman"/>
                <w:b/>
                <w:sz w:val="24"/>
                <w:u w:val="single"/>
              </w:rPr>
            </w:pPr>
            <w:r w:rsidRPr="00D51A68">
              <w:rPr>
                <w:rFonts w:ascii="Times New Roman" w:hAnsi="Times New Roman"/>
                <w:b/>
                <w:sz w:val="24"/>
                <w:u w:val="single"/>
              </w:rPr>
              <w:t>(-) RIDUZIONE DELL</w:t>
            </w:r>
            <w:r w:rsidR="0009277C" w:rsidRPr="00D51A68">
              <w:rPr>
                <w:rFonts w:ascii="Times New Roman" w:hAnsi="Times New Roman"/>
                <w:b/>
                <w:sz w:val="24"/>
                <w:u w:val="single"/>
              </w:rPr>
              <w:t>’</w:t>
            </w:r>
            <w:r w:rsidRPr="00D51A68">
              <w:rPr>
                <w:rFonts w:ascii="Times New Roman" w:hAnsi="Times New Roman"/>
                <w:b/>
                <w:sz w:val="24"/>
                <w:u w:val="single"/>
              </w:rPr>
              <w:t>IMPORTO DELL</w:t>
            </w:r>
            <w:r w:rsidR="0009277C" w:rsidRPr="00D51A68">
              <w:rPr>
                <w:rFonts w:ascii="Times New Roman" w:hAnsi="Times New Roman"/>
                <w:b/>
                <w:sz w:val="24"/>
                <w:u w:val="single"/>
              </w:rPr>
              <w:t>’</w:t>
            </w:r>
            <w:r w:rsidRPr="00D51A68">
              <w:rPr>
                <w:rFonts w:ascii="Times New Roman" w:hAnsi="Times New Roman"/>
                <w:b/>
                <w:sz w:val="24"/>
                <w:u w:val="single"/>
              </w:rPr>
              <w:t xml:space="preserve">ESPOSIZIONE PONDERATO PER IL RISCHIO DOVUTA A RETTIFICHE DI VALORE E ACCANTONAMENTI </w:t>
            </w:r>
          </w:p>
          <w:p w:rsidR="00612780" w:rsidRPr="00D51A68" w:rsidRDefault="00612780" w:rsidP="00612780">
            <w:pPr>
              <w:spacing w:before="0" w:after="0"/>
              <w:jc w:val="left"/>
              <w:rPr>
                <w:rFonts w:ascii="Times New Roman" w:hAnsi="Times New Roman"/>
                <w:sz w:val="24"/>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Gli enti che applicano il metodo IRB si attengono alle disposizioni dell</w:t>
            </w:r>
            <w:r w:rsidR="0009277C" w:rsidRPr="00D51A68">
              <w:rPr>
                <w:rFonts w:ascii="Times New Roman" w:hAnsi="Times New Roman"/>
                <w:sz w:val="24"/>
              </w:rPr>
              <w:t>’</w:t>
            </w:r>
            <w:r w:rsidR="00F31236" w:rsidRPr="00D51A68">
              <w:rPr>
                <w:rFonts w:ascii="Times New Roman" w:hAnsi="Times New Roman"/>
                <w:sz w:val="24"/>
              </w:rPr>
              <w:t>articolo </w:t>
            </w:r>
            <w:r w:rsidRPr="00D51A68">
              <w:rPr>
                <w:rFonts w:ascii="Times New Roman" w:hAnsi="Times New Roman"/>
                <w:sz w:val="24"/>
              </w:rPr>
              <w:t>266, paragrafi 1 (valido unicamente per i cedenti se l</w:t>
            </w:r>
            <w:r w:rsidR="0009277C" w:rsidRPr="00D51A68">
              <w:rPr>
                <w:rFonts w:ascii="Times New Roman" w:hAnsi="Times New Roman"/>
                <w:sz w:val="24"/>
              </w:rPr>
              <w:t>’</w:t>
            </w:r>
            <w:r w:rsidRPr="00D51A68">
              <w:rPr>
                <w:rFonts w:ascii="Times New Roman" w:hAnsi="Times New Roman"/>
                <w:sz w:val="24"/>
              </w:rPr>
              <w:t>esposizione non è stata dedotta dai fondi propri) e 2, del CRR.</w:t>
            </w:r>
          </w:p>
          <w:p w:rsidR="00612780" w:rsidRPr="00D51A68" w:rsidRDefault="00612780" w:rsidP="00612780">
            <w:pPr>
              <w:autoSpaceDE w:val="0"/>
              <w:autoSpaceDN w:val="0"/>
              <w:adjustRightInd w:val="0"/>
              <w:spacing w:before="0" w:after="0"/>
              <w:rPr>
                <w:rFonts w:ascii="Times New Roman" w:hAnsi="Times New Roman"/>
                <w:sz w:val="24"/>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Rettifiche di valore e accantonamenti (articolo 159 del CRR) relativi a perdite su crediti conformemente alla disciplina contabile applicabile all</w:t>
            </w:r>
            <w:r w:rsidR="0009277C" w:rsidRPr="00D51A68">
              <w:rPr>
                <w:rFonts w:ascii="Times New Roman" w:hAnsi="Times New Roman"/>
                <w:sz w:val="24"/>
              </w:rPr>
              <w:t>’</w:t>
            </w:r>
            <w:r w:rsidRPr="00D51A68">
              <w:rPr>
                <w:rFonts w:ascii="Times New Roman" w:hAnsi="Times New Roman"/>
                <w:sz w:val="24"/>
              </w:rPr>
              <w:t>ente segnalante. Le rettifiche di valore comprendono qualsiasi importo rilevato nel conto economico a titolo di perdite su crediti di attività finanziarie dalla loro rilevazione iniziale in bilancio (comprese le perdite dovute al rischio di credito di attività finanziarie misurate al valore equo che non sono dedotte dal valore dell</w:t>
            </w:r>
            <w:r w:rsidR="0009277C" w:rsidRPr="00D51A68">
              <w:rPr>
                <w:rFonts w:ascii="Times New Roman" w:hAnsi="Times New Roman"/>
                <w:sz w:val="24"/>
              </w:rPr>
              <w:t>’</w:t>
            </w:r>
            <w:r w:rsidRPr="00D51A68">
              <w:rPr>
                <w:rFonts w:ascii="Times New Roman" w:hAnsi="Times New Roman"/>
                <w:sz w:val="24"/>
              </w:rPr>
              <w:t>esposizione), più gli sconti sulle esposizioni acquistate in stato di default ai sensi dell</w:t>
            </w:r>
            <w:r w:rsidR="0009277C" w:rsidRPr="00D51A68">
              <w:rPr>
                <w:rFonts w:ascii="Times New Roman" w:hAnsi="Times New Roman"/>
                <w:sz w:val="24"/>
              </w:rPr>
              <w:t>’</w:t>
            </w:r>
            <w:r w:rsidRPr="00D51A68">
              <w:rPr>
                <w:rFonts w:ascii="Times New Roman" w:hAnsi="Times New Roman"/>
                <w:sz w:val="24"/>
              </w:rPr>
              <w:t>articolo 166, paragrafo 1, del CRR. Gli accantonamenti comprendono gli importi accumulati delle perdite su crediti negli elementi fuori bilancio.</w:t>
            </w:r>
          </w:p>
          <w:p w:rsidR="00612780" w:rsidRPr="00D51A68" w:rsidRDefault="00612780" w:rsidP="00612780">
            <w:pPr>
              <w:autoSpaceDE w:val="0"/>
              <w:autoSpaceDN w:val="0"/>
              <w:adjustRightInd w:val="0"/>
              <w:spacing w:before="0" w:after="0"/>
              <w:jc w:val="left"/>
              <w:rPr>
                <w:rFonts w:ascii="Times New Roman" w:hAnsi="Times New Roman"/>
                <w:sz w:val="24"/>
              </w:rPr>
            </w:pPr>
          </w:p>
        </w:tc>
      </w:tr>
      <w:tr w:rsidR="00612780" w:rsidRPr="00D51A68" w:rsidTr="00672D2A">
        <w:tc>
          <w:tcPr>
            <w:tcW w:w="1101" w:type="dxa"/>
          </w:tcPr>
          <w:p w:rsidR="00612780" w:rsidRPr="00D51A68" w:rsidRDefault="00612780" w:rsidP="00612780">
            <w:pPr>
              <w:autoSpaceDE w:val="0"/>
              <w:autoSpaceDN w:val="0"/>
              <w:adjustRightInd w:val="0"/>
              <w:spacing w:before="0" w:after="0"/>
              <w:rPr>
                <w:rFonts w:ascii="Times New Roman" w:hAnsi="Times New Roman"/>
                <w:bCs/>
                <w:sz w:val="24"/>
              </w:rPr>
            </w:pPr>
            <w:r w:rsidRPr="00D51A68">
              <w:rPr>
                <w:rFonts w:ascii="Times New Roman" w:hAnsi="Times New Roman"/>
                <w:sz w:val="24"/>
              </w:rPr>
              <w:t>400</w:t>
            </w:r>
          </w:p>
        </w:tc>
        <w:tc>
          <w:tcPr>
            <w:tcW w:w="7903" w:type="dxa"/>
          </w:tcPr>
          <w:p w:rsidR="00612780" w:rsidRPr="00D51A68" w:rsidRDefault="00612780" w:rsidP="00612780">
            <w:pPr>
              <w:spacing w:before="0" w:after="0"/>
              <w:jc w:val="left"/>
              <w:rPr>
                <w:rFonts w:ascii="Times New Roman" w:hAnsi="Times New Roman"/>
                <w:b/>
                <w:sz w:val="24"/>
                <w:u w:val="single"/>
              </w:rPr>
            </w:pPr>
            <w:r w:rsidRPr="00D51A68">
              <w:rPr>
                <w:rFonts w:ascii="Times New Roman" w:hAnsi="Times New Roman"/>
                <w:b/>
                <w:sz w:val="24"/>
                <w:u w:val="single"/>
              </w:rPr>
              <w:t>IMPORTO DELL</w:t>
            </w:r>
            <w:r w:rsidR="0009277C" w:rsidRPr="00D51A68">
              <w:rPr>
                <w:rFonts w:ascii="Times New Roman" w:hAnsi="Times New Roman"/>
                <w:b/>
                <w:sz w:val="24"/>
                <w:u w:val="single"/>
              </w:rPr>
              <w:t>’</w:t>
            </w:r>
            <w:r w:rsidRPr="00D51A68">
              <w:rPr>
                <w:rFonts w:ascii="Times New Roman" w:hAnsi="Times New Roman"/>
                <w:b/>
                <w:sz w:val="24"/>
                <w:u w:val="single"/>
              </w:rPr>
              <w:t>ESPOSIZIONE PONDERATO PER IL RISCHIO</w:t>
            </w:r>
          </w:p>
          <w:p w:rsidR="00612780" w:rsidRPr="00D51A68" w:rsidRDefault="00612780" w:rsidP="00612780">
            <w:pPr>
              <w:spacing w:before="0" w:after="0"/>
              <w:jc w:val="left"/>
              <w:rPr>
                <w:rFonts w:ascii="Times New Roman" w:hAnsi="Times New Roman"/>
                <w:sz w:val="24"/>
              </w:rPr>
            </w:pPr>
          </w:p>
          <w:p w:rsidR="00612780" w:rsidRPr="00D51A68" w:rsidRDefault="0036415F" w:rsidP="00612780">
            <w:pPr>
              <w:spacing w:before="0" w:after="0"/>
              <w:rPr>
                <w:rFonts w:ascii="Times New Roman" w:hAnsi="Times New Roman"/>
                <w:sz w:val="24"/>
              </w:rPr>
            </w:pPr>
            <w:r w:rsidRPr="00D51A68">
              <w:rPr>
                <w:rFonts w:ascii="Times New Roman" w:hAnsi="Times New Roman"/>
                <w:sz w:val="24"/>
              </w:rPr>
              <w:t>Importo totale dell</w:t>
            </w:r>
            <w:r w:rsidR="0009277C" w:rsidRPr="00D51A68">
              <w:rPr>
                <w:rFonts w:ascii="Times New Roman" w:hAnsi="Times New Roman"/>
                <w:sz w:val="24"/>
              </w:rPr>
              <w:t>’</w:t>
            </w:r>
            <w:r w:rsidRPr="00D51A68">
              <w:rPr>
                <w:rFonts w:ascii="Times New Roman" w:hAnsi="Times New Roman"/>
                <w:sz w:val="24"/>
              </w:rPr>
              <w:t>esposizione ponderato per il rischio calcolato conformemente alla parte tre, titolo II, capo 5, sezione 3, del CRR, prima delle rettifiche dovute a disallineamenti di durata o violazioni delle disposizioni in materia di due diligence, escluso qualsiasi importo dell</w:t>
            </w:r>
            <w:r w:rsidR="0009277C" w:rsidRPr="00D51A68">
              <w:rPr>
                <w:rFonts w:ascii="Times New Roman" w:hAnsi="Times New Roman"/>
                <w:sz w:val="24"/>
              </w:rPr>
              <w:t>’</w:t>
            </w:r>
            <w:r w:rsidRPr="00D51A68">
              <w:rPr>
                <w:rFonts w:ascii="Times New Roman" w:hAnsi="Times New Roman"/>
                <w:sz w:val="24"/>
              </w:rPr>
              <w:t xml:space="preserve">esposizione ponderato per il rischio riguardante esposizioni riassegnate a un altro modello mediante deflussi. </w:t>
            </w:r>
          </w:p>
          <w:p w:rsidR="00612780" w:rsidRPr="00D51A68" w:rsidRDefault="00612780" w:rsidP="00612780">
            <w:pPr>
              <w:spacing w:before="0" w:after="0"/>
              <w:rPr>
                <w:rFonts w:ascii="Times New Roman" w:hAnsi="Times New Roman"/>
                <w:sz w:val="24"/>
              </w:rPr>
            </w:pPr>
          </w:p>
        </w:tc>
      </w:tr>
      <w:tr w:rsidR="00612780" w:rsidRPr="00D51A68" w:rsidTr="00672D2A">
        <w:tc>
          <w:tcPr>
            <w:tcW w:w="1101" w:type="dxa"/>
          </w:tcPr>
          <w:p w:rsidR="00612780" w:rsidRPr="00D51A68" w:rsidRDefault="00612780" w:rsidP="00612780">
            <w:pPr>
              <w:autoSpaceDE w:val="0"/>
              <w:autoSpaceDN w:val="0"/>
              <w:adjustRightInd w:val="0"/>
              <w:spacing w:before="0" w:after="0"/>
              <w:rPr>
                <w:rFonts w:ascii="Times New Roman" w:hAnsi="Times New Roman"/>
                <w:bCs/>
                <w:sz w:val="24"/>
              </w:rPr>
            </w:pPr>
            <w:r w:rsidRPr="00D51A68">
              <w:rPr>
                <w:rFonts w:ascii="Times New Roman" w:hAnsi="Times New Roman"/>
                <w:sz w:val="24"/>
              </w:rPr>
              <w:t>410</w:t>
            </w:r>
          </w:p>
        </w:tc>
        <w:tc>
          <w:tcPr>
            <w:tcW w:w="7903" w:type="dxa"/>
          </w:tcPr>
          <w:p w:rsidR="00612780" w:rsidRPr="00D51A68" w:rsidRDefault="00612780" w:rsidP="00612780">
            <w:pPr>
              <w:spacing w:before="0" w:after="0"/>
              <w:rPr>
                <w:rFonts w:ascii="Times New Roman" w:hAnsi="Times New Roman"/>
                <w:b/>
                <w:sz w:val="24"/>
                <w:u w:val="single"/>
              </w:rPr>
            </w:pPr>
            <w:r w:rsidRPr="00D51A68">
              <w:rPr>
                <w:rFonts w:ascii="Times New Roman" w:hAnsi="Times New Roman"/>
                <w:b/>
                <w:sz w:val="24"/>
                <w:u w:val="single"/>
              </w:rPr>
              <w:t>IMPORTO DELL</w:t>
            </w:r>
            <w:r w:rsidR="0009277C" w:rsidRPr="00D51A68">
              <w:rPr>
                <w:rFonts w:ascii="Times New Roman" w:hAnsi="Times New Roman"/>
                <w:b/>
                <w:sz w:val="24"/>
                <w:u w:val="single"/>
              </w:rPr>
              <w:t>’</w:t>
            </w:r>
            <w:r w:rsidRPr="00D51A68">
              <w:rPr>
                <w:rFonts w:ascii="Times New Roman" w:hAnsi="Times New Roman"/>
                <w:b/>
                <w:sz w:val="24"/>
                <w:u w:val="single"/>
              </w:rPr>
              <w:t>ESPOSIZIONE PONDERATO PER IL RISCHIO, DI CUI: CARTOLARIZZAZIONI SINTETICHE</w:t>
            </w:r>
          </w:p>
          <w:p w:rsidR="00612780" w:rsidRPr="00D51A68" w:rsidRDefault="00612780" w:rsidP="00612780">
            <w:pPr>
              <w:spacing w:before="0" w:after="0"/>
              <w:jc w:val="left"/>
              <w:rPr>
                <w:rFonts w:ascii="Times New Roman" w:hAnsi="Times New Roman"/>
                <w:sz w:val="24"/>
              </w:rPr>
            </w:pPr>
          </w:p>
          <w:p w:rsidR="00612780" w:rsidRPr="00D51A68" w:rsidRDefault="00612780" w:rsidP="00612780">
            <w:pPr>
              <w:spacing w:before="0" w:after="0"/>
              <w:rPr>
                <w:rFonts w:ascii="Times New Roman" w:hAnsi="Times New Roman"/>
                <w:sz w:val="24"/>
              </w:rPr>
            </w:pPr>
            <w:r w:rsidRPr="00D51A68">
              <w:rPr>
                <w:rFonts w:ascii="Times New Roman" w:hAnsi="Times New Roman"/>
                <w:sz w:val="24"/>
              </w:rPr>
              <w:t>Per le cartolarizzazioni sintetiche con disallineamenti di durata, l</w:t>
            </w:r>
            <w:r w:rsidR="0009277C" w:rsidRPr="00D51A68">
              <w:rPr>
                <w:rFonts w:ascii="Times New Roman" w:hAnsi="Times New Roman"/>
                <w:sz w:val="24"/>
              </w:rPr>
              <w:t>’</w:t>
            </w:r>
            <w:r w:rsidRPr="00D51A68">
              <w:rPr>
                <w:rFonts w:ascii="Times New Roman" w:hAnsi="Times New Roman"/>
                <w:sz w:val="24"/>
              </w:rPr>
              <w:t>importo da segnalare in questa colonna non tiene conto dei disallineamenti di durata.</w:t>
            </w:r>
          </w:p>
          <w:p w:rsidR="00612780" w:rsidRPr="00D51A68" w:rsidRDefault="00612780" w:rsidP="00612780">
            <w:pPr>
              <w:spacing w:before="0" w:after="0"/>
              <w:jc w:val="left"/>
              <w:rPr>
                <w:rFonts w:ascii="Times New Roman" w:hAnsi="Times New Roman"/>
                <w:sz w:val="24"/>
              </w:rPr>
            </w:pPr>
          </w:p>
        </w:tc>
      </w:tr>
      <w:tr w:rsidR="00612780" w:rsidRPr="00D51A68" w:rsidTr="00F31236">
        <w:trPr>
          <w:cantSplit/>
        </w:trPr>
        <w:tc>
          <w:tcPr>
            <w:tcW w:w="1101" w:type="dxa"/>
          </w:tcPr>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lastRenderedPageBreak/>
              <w:t>420</w:t>
            </w:r>
          </w:p>
        </w:tc>
        <w:tc>
          <w:tcPr>
            <w:tcW w:w="7903" w:type="dxa"/>
          </w:tcPr>
          <w:p w:rsidR="00612780" w:rsidRPr="00D51A68" w:rsidRDefault="00612780" w:rsidP="00612780">
            <w:pPr>
              <w:spacing w:before="0" w:after="0"/>
              <w:jc w:val="left"/>
              <w:rPr>
                <w:rFonts w:ascii="Times New Roman" w:hAnsi="Times New Roman"/>
                <w:b/>
                <w:sz w:val="24"/>
                <w:u w:val="single"/>
              </w:rPr>
            </w:pPr>
            <w:r w:rsidRPr="00D51A68">
              <w:rPr>
                <w:rFonts w:ascii="Times New Roman" w:hAnsi="Times New Roman"/>
                <w:b/>
                <w:sz w:val="24"/>
                <w:u w:val="single"/>
              </w:rPr>
              <w:t>EFFETTO GENERALE (RETTIFICA) DOVUTO ALLA VIOLAZIONE DELLE DISPOSIZIONI IN MATERIA DI DUE DILIGENCE</w:t>
            </w:r>
          </w:p>
          <w:p w:rsidR="00612780" w:rsidRPr="00D51A68" w:rsidRDefault="00612780" w:rsidP="00612780">
            <w:pPr>
              <w:spacing w:before="0" w:after="0"/>
              <w:jc w:val="left"/>
              <w:rPr>
                <w:rFonts w:ascii="Times New Roman" w:hAnsi="Times New Roman"/>
                <w:sz w:val="24"/>
              </w:rPr>
            </w:pPr>
          </w:p>
          <w:p w:rsidR="00612780" w:rsidRPr="00D51A68" w:rsidRDefault="00612780" w:rsidP="00612780">
            <w:pPr>
              <w:spacing w:before="0" w:after="0"/>
              <w:rPr>
                <w:rFonts w:ascii="Times New Roman" w:hAnsi="Times New Roman"/>
                <w:sz w:val="24"/>
              </w:rPr>
            </w:pPr>
            <w:r w:rsidRPr="00D51A68">
              <w:rPr>
                <w:rFonts w:ascii="Times New Roman" w:hAnsi="Times New Roman"/>
                <w:sz w:val="24"/>
              </w:rPr>
              <w:t>L</w:t>
            </w:r>
            <w:r w:rsidR="0009277C" w:rsidRPr="00D51A68">
              <w:rPr>
                <w:rFonts w:ascii="Times New Roman" w:hAnsi="Times New Roman"/>
                <w:sz w:val="24"/>
              </w:rPr>
              <w:t>’</w:t>
            </w:r>
            <w:r w:rsidRPr="00D51A68">
              <w:rPr>
                <w:rFonts w:ascii="Times New Roman" w:hAnsi="Times New Roman"/>
                <w:sz w:val="24"/>
              </w:rPr>
              <w:t>articolo 14, paragrafo 2, l</w:t>
            </w:r>
            <w:r w:rsidR="0009277C" w:rsidRPr="00D51A68">
              <w:rPr>
                <w:rFonts w:ascii="Times New Roman" w:hAnsi="Times New Roman"/>
                <w:sz w:val="24"/>
              </w:rPr>
              <w:t>’</w:t>
            </w:r>
            <w:r w:rsidRPr="00D51A68">
              <w:rPr>
                <w:rFonts w:ascii="Times New Roman" w:hAnsi="Times New Roman"/>
                <w:sz w:val="24"/>
              </w:rPr>
              <w:t>articolo 406, paragrafo 2, e l</w:t>
            </w:r>
            <w:r w:rsidR="0009277C" w:rsidRPr="00D51A68">
              <w:rPr>
                <w:rFonts w:ascii="Times New Roman" w:hAnsi="Times New Roman"/>
                <w:sz w:val="24"/>
              </w:rPr>
              <w:t>’</w:t>
            </w:r>
            <w:r w:rsidRPr="00D51A68">
              <w:rPr>
                <w:rFonts w:ascii="Times New Roman" w:hAnsi="Times New Roman"/>
                <w:sz w:val="24"/>
              </w:rPr>
              <w:t>articolo 407 del CRR prevedono che, quando l</w:t>
            </w:r>
            <w:r w:rsidR="0009277C" w:rsidRPr="00D51A68">
              <w:rPr>
                <w:rFonts w:ascii="Times New Roman" w:hAnsi="Times New Roman"/>
                <w:sz w:val="24"/>
              </w:rPr>
              <w:t>’</w:t>
            </w:r>
            <w:r w:rsidRPr="00D51A68">
              <w:rPr>
                <w:rFonts w:ascii="Times New Roman" w:hAnsi="Times New Roman"/>
                <w:sz w:val="24"/>
              </w:rPr>
              <w:t xml:space="preserve">ente non rispetta determinati requisiti, gli Stati membri assicurino che le autorità competenti impongano un fattore aggiuntivo di ponderazione del rischio proporzionato non inferiore al 250% del fattore di ponderazione del rischio (limitato al 1 250%) che si applica alle relative posizioni verso la cartolarizzazione conformemente </w:t>
            </w:r>
            <w:r w:rsidR="00F31236" w:rsidRPr="00D51A68">
              <w:rPr>
                <w:rFonts w:ascii="Times New Roman" w:hAnsi="Times New Roman"/>
                <w:sz w:val="24"/>
              </w:rPr>
              <w:t>alla parte tre, titolo II, capo </w:t>
            </w:r>
            <w:r w:rsidRPr="00D51A68">
              <w:rPr>
                <w:rFonts w:ascii="Times New Roman" w:hAnsi="Times New Roman"/>
                <w:sz w:val="24"/>
              </w:rPr>
              <w:t>5, sezione 3, del CRR.</w:t>
            </w:r>
          </w:p>
          <w:p w:rsidR="00612780" w:rsidRPr="00D51A68" w:rsidRDefault="00612780" w:rsidP="00612780">
            <w:pPr>
              <w:spacing w:before="0" w:after="0"/>
              <w:rPr>
                <w:rFonts w:ascii="Times New Roman" w:hAnsi="Times New Roman"/>
                <w:b/>
                <w:sz w:val="24"/>
                <w:u w:val="single"/>
              </w:rPr>
            </w:pPr>
          </w:p>
        </w:tc>
      </w:tr>
      <w:tr w:rsidR="00612780" w:rsidRPr="00D51A68" w:rsidTr="00672D2A">
        <w:tc>
          <w:tcPr>
            <w:tcW w:w="1101" w:type="dxa"/>
          </w:tcPr>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430</w:t>
            </w:r>
          </w:p>
        </w:tc>
        <w:tc>
          <w:tcPr>
            <w:tcW w:w="7903" w:type="dxa"/>
          </w:tcPr>
          <w:p w:rsidR="00612780" w:rsidRPr="00D51A68" w:rsidRDefault="00612780" w:rsidP="00612780">
            <w:pPr>
              <w:spacing w:before="0" w:after="0"/>
              <w:jc w:val="left"/>
              <w:rPr>
                <w:rFonts w:ascii="Times New Roman" w:hAnsi="Times New Roman"/>
                <w:b/>
                <w:sz w:val="24"/>
                <w:u w:val="single"/>
              </w:rPr>
            </w:pPr>
            <w:r w:rsidRPr="00D51A68">
              <w:rPr>
                <w:rFonts w:ascii="Times New Roman" w:hAnsi="Times New Roman"/>
                <w:b/>
                <w:sz w:val="24"/>
                <w:u w:val="single"/>
              </w:rPr>
              <w:t>RETTIFICA DELL</w:t>
            </w:r>
            <w:r w:rsidR="0009277C" w:rsidRPr="00D51A68">
              <w:rPr>
                <w:rFonts w:ascii="Times New Roman" w:hAnsi="Times New Roman"/>
                <w:b/>
                <w:sz w:val="24"/>
                <w:u w:val="single"/>
              </w:rPr>
              <w:t>’</w:t>
            </w:r>
            <w:r w:rsidRPr="00D51A68">
              <w:rPr>
                <w:rFonts w:ascii="Times New Roman" w:hAnsi="Times New Roman"/>
                <w:b/>
                <w:sz w:val="24"/>
                <w:u w:val="single"/>
              </w:rPr>
              <w:t>IMPORTO DELLE ESPOSIZIONI PONDERATO PER IL RISCHIO DOVUTA A DISALLINEAMENTI DI DURATA</w:t>
            </w:r>
          </w:p>
          <w:p w:rsidR="00612780" w:rsidRPr="00D51A68" w:rsidRDefault="00612780" w:rsidP="00612780">
            <w:pPr>
              <w:spacing w:before="0" w:after="0"/>
              <w:jc w:val="left"/>
              <w:rPr>
                <w:rFonts w:ascii="Times New Roman" w:hAnsi="Times New Roman"/>
                <w:b/>
                <w:sz w:val="24"/>
                <w:u w:val="single"/>
              </w:rPr>
            </w:pPr>
          </w:p>
          <w:p w:rsidR="00612780" w:rsidRPr="00D51A68" w:rsidRDefault="00612780" w:rsidP="00612780">
            <w:pPr>
              <w:spacing w:before="0" w:after="0"/>
              <w:rPr>
                <w:rFonts w:ascii="Times New Roman" w:hAnsi="Times New Roman"/>
                <w:sz w:val="24"/>
              </w:rPr>
            </w:pPr>
            <w:r w:rsidRPr="00D51A68">
              <w:rPr>
                <w:rFonts w:ascii="Times New Roman" w:hAnsi="Times New Roman"/>
                <w:sz w:val="24"/>
              </w:rPr>
              <w:t>Nel caso di disallineamenti di durata nelle cartolarizzazioni sintetiche è inserito l</w:t>
            </w:r>
            <w:r w:rsidR="0009277C" w:rsidRPr="00D51A68">
              <w:rPr>
                <w:rFonts w:ascii="Times New Roman" w:hAnsi="Times New Roman"/>
                <w:sz w:val="24"/>
              </w:rPr>
              <w:t>’</w:t>
            </w:r>
            <w:r w:rsidRPr="00D51A68">
              <w:rPr>
                <w:rFonts w:ascii="Times New Roman" w:hAnsi="Times New Roman"/>
                <w:sz w:val="24"/>
              </w:rPr>
              <w:t>importo RW*-RW(SP), secondo la definizione dell</w:t>
            </w:r>
            <w:r w:rsidR="0009277C" w:rsidRPr="00D51A68">
              <w:rPr>
                <w:rFonts w:ascii="Times New Roman" w:hAnsi="Times New Roman"/>
                <w:sz w:val="24"/>
              </w:rPr>
              <w:t>’</w:t>
            </w:r>
            <w:r w:rsidRPr="00D51A68">
              <w:rPr>
                <w:rFonts w:ascii="Times New Roman" w:hAnsi="Times New Roman"/>
                <w:sz w:val="24"/>
              </w:rPr>
              <w:t>articolo 250 del CRR, tranne per i segmenti con una ponderazione del rischio del 1 250%, se l</w:t>
            </w:r>
            <w:r w:rsidR="0009277C" w:rsidRPr="00D51A68">
              <w:rPr>
                <w:rFonts w:ascii="Times New Roman" w:hAnsi="Times New Roman"/>
                <w:sz w:val="24"/>
              </w:rPr>
              <w:t>’</w:t>
            </w:r>
            <w:r w:rsidRPr="00D51A68">
              <w:rPr>
                <w:rFonts w:ascii="Times New Roman" w:hAnsi="Times New Roman"/>
                <w:sz w:val="24"/>
              </w:rPr>
              <w:t>importo da segnalare è zero. Si rileva che l</w:t>
            </w:r>
            <w:r w:rsidR="0009277C" w:rsidRPr="00D51A68">
              <w:rPr>
                <w:rFonts w:ascii="Times New Roman" w:hAnsi="Times New Roman"/>
                <w:sz w:val="24"/>
              </w:rPr>
              <w:t>’</w:t>
            </w:r>
            <w:r w:rsidRPr="00D51A68">
              <w:rPr>
                <w:rFonts w:ascii="Times New Roman" w:hAnsi="Times New Roman"/>
                <w:sz w:val="24"/>
              </w:rPr>
              <w:t>importo RW(SP) comprende non solo gli importi delle esposizioni ponderati per il</w:t>
            </w:r>
            <w:r w:rsidR="00F31236" w:rsidRPr="00D51A68">
              <w:rPr>
                <w:rFonts w:ascii="Times New Roman" w:hAnsi="Times New Roman"/>
                <w:sz w:val="24"/>
              </w:rPr>
              <w:t xml:space="preserve"> rischio indicati nella colonna </w:t>
            </w:r>
            <w:r w:rsidRPr="00D51A68">
              <w:rPr>
                <w:rFonts w:ascii="Times New Roman" w:hAnsi="Times New Roman"/>
                <w:sz w:val="24"/>
              </w:rPr>
              <w:t>400 ma anche gli importi ponderati per il rischio delle esposizioni riassegnate a altri modelli mediante deflussi.</w:t>
            </w:r>
          </w:p>
          <w:p w:rsidR="00612780" w:rsidRPr="00D51A68" w:rsidRDefault="00612780" w:rsidP="009068C9">
            <w:pPr>
              <w:spacing w:before="0" w:after="0"/>
              <w:rPr>
                <w:rFonts w:ascii="Times New Roman" w:hAnsi="Times New Roman"/>
                <w:sz w:val="24"/>
              </w:rPr>
            </w:pPr>
          </w:p>
        </w:tc>
      </w:tr>
      <w:tr w:rsidR="00612780" w:rsidRPr="00D51A68" w:rsidTr="00672D2A">
        <w:tc>
          <w:tcPr>
            <w:tcW w:w="1101" w:type="dxa"/>
          </w:tcPr>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440-450</w:t>
            </w:r>
          </w:p>
        </w:tc>
        <w:tc>
          <w:tcPr>
            <w:tcW w:w="7903" w:type="dxa"/>
          </w:tcPr>
          <w:p w:rsidR="00612780" w:rsidRPr="00D51A68" w:rsidRDefault="00612780" w:rsidP="00612780">
            <w:pPr>
              <w:spacing w:before="0" w:after="0"/>
              <w:jc w:val="left"/>
              <w:rPr>
                <w:rFonts w:ascii="Times New Roman" w:hAnsi="Times New Roman"/>
                <w:b/>
                <w:sz w:val="24"/>
                <w:u w:val="single"/>
              </w:rPr>
            </w:pPr>
            <w:r w:rsidRPr="00D51A68">
              <w:rPr>
                <w:rFonts w:ascii="Times New Roman" w:hAnsi="Times New Roman"/>
                <w:b/>
                <w:sz w:val="24"/>
                <w:u w:val="single"/>
              </w:rPr>
              <w:t>IMPORTO COMPLESSIVO DELLE ESPOSIZIONI PONDERATO PER IL RISCHIO: PRIMA DELL</w:t>
            </w:r>
            <w:r w:rsidR="0009277C" w:rsidRPr="00D51A68">
              <w:rPr>
                <w:rFonts w:ascii="Times New Roman" w:hAnsi="Times New Roman"/>
                <w:b/>
                <w:sz w:val="24"/>
                <w:u w:val="single"/>
              </w:rPr>
              <w:t>’</w:t>
            </w:r>
            <w:r w:rsidRPr="00D51A68">
              <w:rPr>
                <w:rFonts w:ascii="Times New Roman" w:hAnsi="Times New Roman"/>
                <w:b/>
                <w:sz w:val="24"/>
                <w:u w:val="single"/>
              </w:rPr>
              <w:t>APPLICAZIONE DEL MASSIMALE/DOPO L</w:t>
            </w:r>
            <w:r w:rsidR="0009277C" w:rsidRPr="00D51A68">
              <w:rPr>
                <w:rFonts w:ascii="Times New Roman" w:hAnsi="Times New Roman"/>
                <w:b/>
                <w:sz w:val="24"/>
                <w:u w:val="single"/>
              </w:rPr>
              <w:t>’</w:t>
            </w:r>
            <w:r w:rsidRPr="00D51A68">
              <w:rPr>
                <w:rFonts w:ascii="Times New Roman" w:hAnsi="Times New Roman"/>
                <w:b/>
                <w:sz w:val="24"/>
                <w:u w:val="single"/>
              </w:rPr>
              <w:t>APPLICAZIONE DEL MASSIMALE</w:t>
            </w:r>
          </w:p>
          <w:p w:rsidR="00612780" w:rsidRPr="00D51A68" w:rsidRDefault="00612780" w:rsidP="00612780">
            <w:pPr>
              <w:spacing w:before="0" w:after="0"/>
              <w:jc w:val="left"/>
              <w:rPr>
                <w:rFonts w:ascii="Times New Roman" w:hAnsi="Times New Roman"/>
                <w:b/>
                <w:sz w:val="24"/>
                <w:u w:val="single"/>
              </w:rPr>
            </w:pPr>
          </w:p>
          <w:p w:rsidR="00612780" w:rsidRPr="00D51A68" w:rsidRDefault="00612780" w:rsidP="00612780">
            <w:pPr>
              <w:spacing w:before="0" w:after="0"/>
              <w:jc w:val="left"/>
              <w:rPr>
                <w:rFonts w:ascii="Times New Roman" w:hAnsi="Times New Roman"/>
                <w:sz w:val="24"/>
              </w:rPr>
            </w:pPr>
            <w:r w:rsidRPr="00D51A68">
              <w:rPr>
                <w:rFonts w:ascii="Times New Roman" w:hAnsi="Times New Roman"/>
                <w:sz w:val="24"/>
              </w:rPr>
              <w:t>Importo complessivo dell</w:t>
            </w:r>
            <w:r w:rsidR="0009277C" w:rsidRPr="00D51A68">
              <w:rPr>
                <w:rFonts w:ascii="Times New Roman" w:hAnsi="Times New Roman"/>
                <w:sz w:val="24"/>
              </w:rPr>
              <w:t>’</w:t>
            </w:r>
            <w:r w:rsidRPr="00D51A68">
              <w:rPr>
                <w:rFonts w:ascii="Times New Roman" w:hAnsi="Times New Roman"/>
                <w:sz w:val="24"/>
              </w:rPr>
              <w:t>esposizione ponderato per il rischio calcolato ai sensi della parte tre, titolo II, capo 5, sezione 3, del CRR, prima (colonna 440)/dopo (colonna 450) l</w:t>
            </w:r>
            <w:r w:rsidR="0009277C" w:rsidRPr="00D51A68">
              <w:rPr>
                <w:rFonts w:ascii="Times New Roman" w:hAnsi="Times New Roman"/>
                <w:sz w:val="24"/>
              </w:rPr>
              <w:t>’</w:t>
            </w:r>
            <w:r w:rsidRPr="00D51A68">
              <w:rPr>
                <w:rFonts w:ascii="Times New Roman" w:hAnsi="Times New Roman"/>
                <w:sz w:val="24"/>
              </w:rPr>
              <w:t>applicazione dei limiti di cui all</w:t>
            </w:r>
            <w:r w:rsidR="0009277C" w:rsidRPr="00D51A68">
              <w:rPr>
                <w:rFonts w:ascii="Times New Roman" w:hAnsi="Times New Roman"/>
                <w:sz w:val="24"/>
              </w:rPr>
              <w:t>’</w:t>
            </w:r>
            <w:r w:rsidRPr="00D51A68">
              <w:rPr>
                <w:rFonts w:ascii="Times New Roman" w:hAnsi="Times New Roman"/>
                <w:sz w:val="24"/>
              </w:rPr>
              <w:t>articolo 260 del CRR. Si deve tener conto altresì dell</w:t>
            </w:r>
            <w:r w:rsidR="0009277C" w:rsidRPr="00D51A68">
              <w:rPr>
                <w:rFonts w:ascii="Times New Roman" w:hAnsi="Times New Roman"/>
                <w:sz w:val="24"/>
              </w:rPr>
              <w:t>’</w:t>
            </w:r>
            <w:r w:rsidRPr="00D51A68">
              <w:rPr>
                <w:rFonts w:ascii="Times New Roman" w:hAnsi="Times New Roman"/>
                <w:sz w:val="24"/>
              </w:rPr>
              <w:t>articolo 265 del CRR (requisiti aggiuntivi di fondi propri per le cartolarizzazioni delle esposizioni rotative provviste di clausole di rimborso anticipato).</w:t>
            </w:r>
          </w:p>
          <w:p w:rsidR="00612780" w:rsidRPr="00D51A68" w:rsidRDefault="00612780" w:rsidP="00612780">
            <w:pPr>
              <w:spacing w:before="0" w:after="0"/>
              <w:jc w:val="left"/>
              <w:rPr>
                <w:rFonts w:ascii="Times New Roman" w:hAnsi="Times New Roman"/>
                <w:b/>
                <w:sz w:val="24"/>
                <w:u w:val="single"/>
              </w:rPr>
            </w:pPr>
          </w:p>
        </w:tc>
      </w:tr>
      <w:tr w:rsidR="00612780" w:rsidRPr="00D51A68" w:rsidTr="00672D2A">
        <w:tc>
          <w:tcPr>
            <w:tcW w:w="1101" w:type="dxa"/>
          </w:tcPr>
          <w:p w:rsidR="00612780" w:rsidRPr="00D51A68" w:rsidRDefault="00612780" w:rsidP="00612780">
            <w:pPr>
              <w:autoSpaceDE w:val="0"/>
              <w:autoSpaceDN w:val="0"/>
              <w:adjustRightInd w:val="0"/>
              <w:spacing w:before="0" w:after="0"/>
              <w:rPr>
                <w:rFonts w:ascii="Times New Roman" w:hAnsi="Times New Roman"/>
                <w:bCs/>
                <w:sz w:val="24"/>
              </w:rPr>
            </w:pPr>
            <w:r w:rsidRPr="00D51A68">
              <w:rPr>
                <w:rFonts w:ascii="Times New Roman" w:hAnsi="Times New Roman"/>
                <w:sz w:val="24"/>
              </w:rPr>
              <w:t>460</w:t>
            </w:r>
          </w:p>
        </w:tc>
        <w:tc>
          <w:tcPr>
            <w:tcW w:w="7903" w:type="dxa"/>
          </w:tcPr>
          <w:p w:rsidR="00612780" w:rsidRPr="00D51A68" w:rsidRDefault="00612780" w:rsidP="00612780">
            <w:pPr>
              <w:spacing w:before="0" w:after="0"/>
              <w:jc w:val="left"/>
              <w:rPr>
                <w:rFonts w:ascii="Times New Roman" w:hAnsi="Times New Roman"/>
                <w:b/>
                <w:sz w:val="24"/>
                <w:u w:val="single"/>
              </w:rPr>
            </w:pPr>
            <w:r w:rsidRPr="00D51A68">
              <w:rPr>
                <w:rFonts w:ascii="Times New Roman" w:hAnsi="Times New Roman"/>
                <w:b/>
                <w:sz w:val="24"/>
                <w:u w:val="single"/>
              </w:rPr>
              <w:t>VOCE PER MEMORIA: IMPORTO DELLE ESPOSIZIONI PONDERATO PER IL RISCHIO CORRISPONDENTE AI DEFLUSSI DALLA CARTOLARIZZAZIONE IN BASE AL METODO IRB VERSO ALTRE CLASSI DI ESPOSIZIONI</w:t>
            </w:r>
          </w:p>
          <w:p w:rsidR="00612780" w:rsidRPr="00D51A68" w:rsidRDefault="00612780" w:rsidP="00612780">
            <w:pPr>
              <w:spacing w:before="0" w:after="0"/>
              <w:jc w:val="left"/>
              <w:rPr>
                <w:rFonts w:ascii="Times New Roman" w:hAnsi="Times New Roman"/>
                <w:sz w:val="24"/>
              </w:rPr>
            </w:pPr>
          </w:p>
          <w:p w:rsidR="00612780" w:rsidRPr="00D51A68" w:rsidRDefault="00612780" w:rsidP="00612780">
            <w:pPr>
              <w:spacing w:before="0" w:after="0"/>
              <w:rPr>
                <w:rFonts w:ascii="Times New Roman" w:hAnsi="Times New Roman"/>
                <w:sz w:val="24"/>
              </w:rPr>
            </w:pPr>
            <w:r w:rsidRPr="00D51A68">
              <w:rPr>
                <w:rFonts w:ascii="Times New Roman" w:hAnsi="Times New Roman"/>
                <w:sz w:val="24"/>
              </w:rPr>
              <w:t>Importo delle esposizioni ponderato per il rischio derivante dalle esposizioni riassegnate al fornitore degli strumenti di attenuazione del rischio e pertanto computate nel modello corrispondente, che sono prese in considerazione nel calcolo del massimale delle posizioni verso la cartolarizzazione.</w:t>
            </w:r>
          </w:p>
          <w:p w:rsidR="00612780" w:rsidRPr="00D51A68" w:rsidRDefault="00612780" w:rsidP="00612780">
            <w:pPr>
              <w:spacing w:before="0" w:after="0"/>
              <w:jc w:val="left"/>
              <w:rPr>
                <w:rFonts w:ascii="Times New Roman" w:hAnsi="Times New Roman"/>
                <w:sz w:val="24"/>
              </w:rPr>
            </w:pPr>
          </w:p>
        </w:tc>
      </w:tr>
    </w:tbl>
    <w:p w:rsidR="00612780" w:rsidRPr="00D51A68" w:rsidRDefault="00612780" w:rsidP="00612780">
      <w:pPr>
        <w:spacing w:before="0" w:after="0"/>
        <w:rPr>
          <w:rFonts w:ascii="Times New Roman" w:hAnsi="Times New Roman"/>
          <w:sz w:val="24"/>
        </w:rPr>
      </w:pPr>
    </w:p>
    <w:p w:rsidR="00612780" w:rsidRPr="00D51A68" w:rsidRDefault="00612780" w:rsidP="00612780">
      <w:pPr>
        <w:spacing w:before="0" w:after="0"/>
        <w:rPr>
          <w:rFonts w:ascii="Times New Roman" w:hAnsi="Times New Roman"/>
          <w:sz w:val="24"/>
        </w:rPr>
      </w:pPr>
    </w:p>
    <w:p w:rsidR="00612780" w:rsidRPr="00D51A68" w:rsidRDefault="00125707" w:rsidP="00F31236">
      <w:pPr>
        <w:pStyle w:val="InstructionsText2"/>
        <w:numPr>
          <w:ilvl w:val="0"/>
          <w:numId w:val="0"/>
        </w:numPr>
        <w:ind w:left="993"/>
      </w:pPr>
      <w:r w:rsidRPr="00D51A68">
        <w:t>107.</w:t>
      </w:r>
      <w:r w:rsidR="00A0772B" w:rsidRPr="00D51A68">
        <w:tab/>
      </w:r>
      <w:r w:rsidRPr="00D51A68">
        <w:t xml:space="preserve">Il modello CR SEC IRB è suddiviso in tre grandi blocchi di righe contenenti dati riguardanti le esposizioni create/promosse/mantenute o acquistate da cedenti, investitori e promotori. Per ciascuna di esse le informazioni sono ripartite per elementi in bilancio e fuori bilancio e derivati, nonché in base ai raggruppamenti dei fattori di ponderazione del rischio delle cartolarizzazioni e ricartolarizzazioni. </w:t>
      </w:r>
    </w:p>
    <w:p w:rsidR="00612780" w:rsidRPr="00D51A68" w:rsidRDefault="00125707" w:rsidP="00F31236">
      <w:pPr>
        <w:pStyle w:val="InstructionsText2"/>
        <w:numPr>
          <w:ilvl w:val="0"/>
          <w:numId w:val="0"/>
        </w:numPr>
        <w:ind w:left="993"/>
      </w:pPr>
      <w:r w:rsidRPr="00D51A68">
        <w:lastRenderedPageBreak/>
        <w:t>108.</w:t>
      </w:r>
      <w:r w:rsidR="00A0772B" w:rsidRPr="00D51A68">
        <w:tab/>
      </w:r>
      <w:r w:rsidRPr="00D51A68">
        <w:t>Anche le posizioni trattate secondo il metodo basato sui rating e le posizioni prive di rating (esposizioni alla data di riferimento per le segnalazioni) sono ripartite in base alle classi di merito di credito applicate all</w:t>
      </w:r>
      <w:r w:rsidR="0009277C" w:rsidRPr="00D51A68">
        <w:t>’</w:t>
      </w:r>
      <w:r w:rsidRPr="00D51A68">
        <w:t>avvio (ultimo blocco di righe). Questa informazione è segnalata dai cedenti, dai promotori e dagli investitori.</w:t>
      </w:r>
    </w:p>
    <w:p w:rsidR="00612780" w:rsidRPr="00D51A68" w:rsidRDefault="00612780" w:rsidP="00612780">
      <w:pPr>
        <w:spacing w:before="0" w:after="0"/>
        <w:rPr>
          <w:rFonts w:ascii="Times New Roman" w:hAnsi="Times New Roman"/>
          <w:sz w:val="24"/>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7903"/>
      </w:tblGrid>
      <w:tr w:rsidR="00612780" w:rsidRPr="00D51A68" w:rsidTr="00672D2A">
        <w:tc>
          <w:tcPr>
            <w:tcW w:w="9145" w:type="dxa"/>
            <w:gridSpan w:val="2"/>
            <w:shd w:val="clear" w:color="auto" w:fill="CCCCCC"/>
          </w:tcPr>
          <w:p w:rsidR="00612780" w:rsidRPr="00D51A68" w:rsidRDefault="00612780" w:rsidP="00612780">
            <w:pPr>
              <w:autoSpaceDE w:val="0"/>
              <w:autoSpaceDN w:val="0"/>
              <w:adjustRightInd w:val="0"/>
              <w:spacing w:before="0" w:after="0"/>
              <w:rPr>
                <w:rFonts w:ascii="Times New Roman" w:hAnsi="Times New Roman"/>
                <w:bCs/>
                <w:sz w:val="24"/>
              </w:rPr>
            </w:pPr>
          </w:p>
          <w:p w:rsidR="00612780" w:rsidRPr="00D51A68" w:rsidRDefault="00612780" w:rsidP="00612780">
            <w:pPr>
              <w:autoSpaceDE w:val="0"/>
              <w:autoSpaceDN w:val="0"/>
              <w:adjustRightInd w:val="0"/>
              <w:spacing w:before="0" w:after="0"/>
              <w:rPr>
                <w:rFonts w:ascii="Times New Roman" w:hAnsi="Times New Roman"/>
                <w:b/>
                <w:bCs/>
                <w:sz w:val="24"/>
              </w:rPr>
            </w:pPr>
            <w:r w:rsidRPr="00D51A68">
              <w:rPr>
                <w:rFonts w:ascii="Times New Roman" w:hAnsi="Times New Roman"/>
                <w:b/>
                <w:sz w:val="24"/>
              </w:rPr>
              <w:t>Righe</w:t>
            </w:r>
          </w:p>
          <w:p w:rsidR="00612780" w:rsidRPr="00D51A68" w:rsidRDefault="00612780" w:rsidP="00612780">
            <w:pPr>
              <w:autoSpaceDE w:val="0"/>
              <w:autoSpaceDN w:val="0"/>
              <w:adjustRightInd w:val="0"/>
              <w:spacing w:before="0" w:after="0"/>
              <w:rPr>
                <w:rFonts w:ascii="Times New Roman" w:hAnsi="Times New Roman"/>
                <w:bCs/>
                <w:sz w:val="24"/>
              </w:rPr>
            </w:pPr>
          </w:p>
        </w:tc>
      </w:tr>
      <w:tr w:rsidR="00612780" w:rsidRPr="00D51A68" w:rsidTr="00672D2A">
        <w:tc>
          <w:tcPr>
            <w:tcW w:w="1242" w:type="dxa"/>
          </w:tcPr>
          <w:p w:rsidR="00612780" w:rsidRPr="00D51A68" w:rsidRDefault="00612780" w:rsidP="00612780">
            <w:pPr>
              <w:autoSpaceDE w:val="0"/>
              <w:autoSpaceDN w:val="0"/>
              <w:adjustRightInd w:val="0"/>
              <w:spacing w:before="0" w:after="0"/>
              <w:rPr>
                <w:rFonts w:ascii="Times New Roman" w:hAnsi="Times New Roman"/>
                <w:bCs/>
                <w:sz w:val="24"/>
              </w:rPr>
            </w:pPr>
            <w:r w:rsidRPr="00D51A68">
              <w:rPr>
                <w:rFonts w:ascii="Times New Roman" w:hAnsi="Times New Roman"/>
                <w:sz w:val="24"/>
              </w:rPr>
              <w:t>010</w:t>
            </w:r>
          </w:p>
        </w:tc>
        <w:tc>
          <w:tcPr>
            <w:tcW w:w="7903" w:type="dxa"/>
          </w:tcPr>
          <w:p w:rsidR="00612780" w:rsidRPr="00D51A68" w:rsidRDefault="00612780" w:rsidP="00612780">
            <w:pPr>
              <w:autoSpaceDE w:val="0"/>
              <w:autoSpaceDN w:val="0"/>
              <w:adjustRightInd w:val="0"/>
              <w:spacing w:before="0" w:after="0"/>
              <w:jc w:val="left"/>
              <w:rPr>
                <w:rFonts w:ascii="Times New Roman" w:hAnsi="Times New Roman"/>
                <w:b/>
                <w:sz w:val="24"/>
                <w:u w:val="single"/>
              </w:rPr>
            </w:pPr>
            <w:r w:rsidRPr="00D51A68">
              <w:rPr>
                <w:rFonts w:ascii="Times New Roman" w:hAnsi="Times New Roman"/>
                <w:b/>
                <w:sz w:val="24"/>
                <w:u w:val="single"/>
              </w:rPr>
              <w:t xml:space="preserve">ESPOSIZIONI TOTALI </w:t>
            </w:r>
          </w:p>
          <w:p w:rsidR="00612780" w:rsidRPr="00D51A68" w:rsidRDefault="00612780" w:rsidP="00612780">
            <w:pPr>
              <w:autoSpaceDE w:val="0"/>
              <w:autoSpaceDN w:val="0"/>
              <w:adjustRightInd w:val="0"/>
              <w:spacing w:before="0" w:after="0"/>
              <w:jc w:val="left"/>
              <w:rPr>
                <w:rFonts w:ascii="Times New Roman" w:hAnsi="Times New Roman"/>
                <w:sz w:val="24"/>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Le esposizioni totali fanno riferimento all</w:t>
            </w:r>
            <w:r w:rsidR="0009277C" w:rsidRPr="00D51A68">
              <w:rPr>
                <w:rFonts w:ascii="Times New Roman" w:hAnsi="Times New Roman"/>
                <w:sz w:val="24"/>
              </w:rPr>
              <w:t>’</w:t>
            </w:r>
            <w:r w:rsidRPr="00D51A68">
              <w:rPr>
                <w:rFonts w:ascii="Times New Roman" w:hAnsi="Times New Roman"/>
                <w:sz w:val="24"/>
              </w:rPr>
              <w:t>importo complessivo delle cartolarizzazioni in essere. Questa riga riassume tutte le informazioni segnalate dai cedenti, dai promotori e dagli investitori nelle righe successive.</w:t>
            </w:r>
          </w:p>
          <w:p w:rsidR="00612780" w:rsidRPr="00D51A68" w:rsidRDefault="00612780" w:rsidP="00612780">
            <w:pPr>
              <w:autoSpaceDE w:val="0"/>
              <w:autoSpaceDN w:val="0"/>
              <w:adjustRightInd w:val="0"/>
              <w:spacing w:before="0" w:after="0"/>
              <w:rPr>
                <w:rFonts w:ascii="Times New Roman" w:hAnsi="Times New Roman"/>
                <w:b/>
                <w:bCs/>
                <w:sz w:val="24"/>
                <w:u w:val="single"/>
              </w:rPr>
            </w:pPr>
          </w:p>
        </w:tc>
      </w:tr>
      <w:tr w:rsidR="00612780" w:rsidRPr="00D51A68" w:rsidTr="00672D2A">
        <w:tc>
          <w:tcPr>
            <w:tcW w:w="1242" w:type="dxa"/>
          </w:tcPr>
          <w:p w:rsidR="00612780" w:rsidRPr="00D51A68" w:rsidRDefault="00612780" w:rsidP="00612780">
            <w:pPr>
              <w:autoSpaceDE w:val="0"/>
              <w:autoSpaceDN w:val="0"/>
              <w:adjustRightInd w:val="0"/>
              <w:spacing w:before="0" w:after="0"/>
              <w:rPr>
                <w:rFonts w:ascii="Times New Roman" w:hAnsi="Times New Roman"/>
                <w:bCs/>
                <w:sz w:val="24"/>
              </w:rPr>
            </w:pPr>
            <w:r w:rsidRPr="00D51A68">
              <w:rPr>
                <w:rFonts w:ascii="Times New Roman" w:hAnsi="Times New Roman"/>
                <w:sz w:val="24"/>
              </w:rPr>
              <w:t>020</w:t>
            </w:r>
          </w:p>
        </w:tc>
        <w:tc>
          <w:tcPr>
            <w:tcW w:w="7903" w:type="dxa"/>
          </w:tcPr>
          <w:p w:rsidR="00612780" w:rsidRPr="00D51A68" w:rsidRDefault="00612780" w:rsidP="00612780">
            <w:pPr>
              <w:autoSpaceDE w:val="0"/>
              <w:autoSpaceDN w:val="0"/>
              <w:adjustRightInd w:val="0"/>
              <w:spacing w:before="0" w:after="0"/>
              <w:jc w:val="left"/>
              <w:rPr>
                <w:rFonts w:ascii="Times New Roman" w:hAnsi="Times New Roman"/>
                <w:b/>
                <w:sz w:val="24"/>
                <w:u w:val="single"/>
              </w:rPr>
            </w:pPr>
            <w:r w:rsidRPr="00D51A68">
              <w:rPr>
                <w:rFonts w:ascii="Times New Roman" w:hAnsi="Times New Roman"/>
                <w:b/>
                <w:sz w:val="24"/>
                <w:u w:val="single"/>
              </w:rPr>
              <w:t>DI CUI: RICARTOLARIZZAZIONI</w:t>
            </w:r>
          </w:p>
          <w:p w:rsidR="00612780" w:rsidRPr="00D51A68" w:rsidRDefault="00612780" w:rsidP="00612780">
            <w:pPr>
              <w:autoSpaceDE w:val="0"/>
              <w:autoSpaceDN w:val="0"/>
              <w:adjustRightInd w:val="0"/>
              <w:spacing w:before="0" w:after="0"/>
              <w:jc w:val="left"/>
              <w:rPr>
                <w:rFonts w:ascii="Times New Roman" w:hAnsi="Times New Roman"/>
                <w:b/>
                <w:sz w:val="24"/>
                <w:u w:val="single"/>
              </w:rPr>
            </w:pPr>
          </w:p>
          <w:p w:rsidR="00612780" w:rsidRPr="00D51A68" w:rsidRDefault="00612780" w:rsidP="00612780">
            <w:pPr>
              <w:autoSpaceDE w:val="0"/>
              <w:autoSpaceDN w:val="0"/>
              <w:adjustRightInd w:val="0"/>
              <w:spacing w:before="0" w:after="0"/>
              <w:jc w:val="left"/>
              <w:rPr>
                <w:rFonts w:ascii="Times New Roman" w:hAnsi="Times New Roman"/>
                <w:sz w:val="24"/>
              </w:rPr>
            </w:pPr>
            <w:r w:rsidRPr="00D51A68">
              <w:rPr>
                <w:rFonts w:ascii="Times New Roman" w:hAnsi="Times New Roman"/>
                <w:sz w:val="24"/>
              </w:rPr>
              <w:t>Importo complessivo delle ricartolarizzazioni in essere conformemente alle definizioni di cui all</w:t>
            </w:r>
            <w:r w:rsidR="0009277C" w:rsidRPr="00D51A68">
              <w:rPr>
                <w:rFonts w:ascii="Times New Roman" w:hAnsi="Times New Roman"/>
                <w:sz w:val="24"/>
              </w:rPr>
              <w:t>’</w:t>
            </w:r>
            <w:r w:rsidRPr="00D51A68">
              <w:rPr>
                <w:rFonts w:ascii="Times New Roman" w:hAnsi="Times New Roman"/>
                <w:sz w:val="24"/>
              </w:rPr>
              <w:t>articolo 4, paragrafo 1, punti 63 e 64, del CRR.</w:t>
            </w:r>
          </w:p>
          <w:p w:rsidR="00612780" w:rsidRPr="00D51A68" w:rsidRDefault="00612780" w:rsidP="00612780">
            <w:pPr>
              <w:autoSpaceDE w:val="0"/>
              <w:autoSpaceDN w:val="0"/>
              <w:adjustRightInd w:val="0"/>
              <w:spacing w:before="0" w:after="0"/>
              <w:jc w:val="left"/>
              <w:rPr>
                <w:rFonts w:ascii="Times New Roman" w:hAnsi="Times New Roman"/>
                <w:b/>
                <w:sz w:val="24"/>
                <w:u w:val="single"/>
              </w:rPr>
            </w:pPr>
          </w:p>
        </w:tc>
      </w:tr>
      <w:tr w:rsidR="00612780" w:rsidRPr="00D51A68" w:rsidTr="00672D2A">
        <w:tc>
          <w:tcPr>
            <w:tcW w:w="1242" w:type="dxa"/>
          </w:tcPr>
          <w:p w:rsidR="00612780" w:rsidRPr="00D51A68" w:rsidRDefault="00612780" w:rsidP="00612780">
            <w:pPr>
              <w:autoSpaceDE w:val="0"/>
              <w:autoSpaceDN w:val="0"/>
              <w:adjustRightInd w:val="0"/>
              <w:spacing w:before="0" w:after="0"/>
              <w:rPr>
                <w:rFonts w:ascii="Times New Roman" w:hAnsi="Times New Roman"/>
                <w:bCs/>
                <w:sz w:val="24"/>
                <w:highlight w:val="yellow"/>
              </w:rPr>
            </w:pPr>
            <w:r w:rsidRPr="00D51A68">
              <w:rPr>
                <w:rFonts w:ascii="Times New Roman" w:hAnsi="Times New Roman"/>
                <w:sz w:val="24"/>
              </w:rPr>
              <w:t>030</w:t>
            </w:r>
          </w:p>
        </w:tc>
        <w:tc>
          <w:tcPr>
            <w:tcW w:w="7903" w:type="dxa"/>
          </w:tcPr>
          <w:p w:rsidR="00612780" w:rsidRPr="00D51A68" w:rsidRDefault="00612780" w:rsidP="00612780">
            <w:pPr>
              <w:autoSpaceDE w:val="0"/>
              <w:autoSpaceDN w:val="0"/>
              <w:adjustRightInd w:val="0"/>
              <w:spacing w:before="0" w:after="0"/>
              <w:jc w:val="left"/>
              <w:rPr>
                <w:rFonts w:ascii="Times New Roman" w:hAnsi="Times New Roman"/>
                <w:b/>
                <w:sz w:val="24"/>
                <w:u w:val="single"/>
              </w:rPr>
            </w:pPr>
            <w:r w:rsidRPr="00D51A68">
              <w:rPr>
                <w:rFonts w:ascii="Times New Roman" w:hAnsi="Times New Roman"/>
                <w:b/>
                <w:sz w:val="24"/>
                <w:u w:val="single"/>
              </w:rPr>
              <w:t xml:space="preserve">CEDENTE: ESPOSIZIONI TOTALI </w:t>
            </w:r>
          </w:p>
          <w:p w:rsidR="00612780" w:rsidRPr="00D51A68" w:rsidRDefault="00612780" w:rsidP="00612780">
            <w:pPr>
              <w:autoSpaceDE w:val="0"/>
              <w:autoSpaceDN w:val="0"/>
              <w:adjustRightInd w:val="0"/>
              <w:spacing w:before="0" w:after="0"/>
              <w:jc w:val="left"/>
              <w:rPr>
                <w:rFonts w:ascii="Times New Roman" w:hAnsi="Times New Roman"/>
                <w:sz w:val="24"/>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Questa riga riassume le informazioni riguardanti gli elementi in bilancio, gli elementi fuori bilancio e i derivati e il rimborso anticipato delle posizioni verso la cartolarizzazione nelle quali l</w:t>
            </w:r>
            <w:r w:rsidR="0009277C" w:rsidRPr="00D51A68">
              <w:rPr>
                <w:rFonts w:ascii="Times New Roman" w:hAnsi="Times New Roman"/>
                <w:sz w:val="24"/>
              </w:rPr>
              <w:t>’</w:t>
            </w:r>
            <w:r w:rsidRPr="00D51A68">
              <w:rPr>
                <w:rFonts w:ascii="Times New Roman" w:hAnsi="Times New Roman"/>
                <w:sz w:val="24"/>
              </w:rPr>
              <w:t>ente ha il ruolo di cedente, così come definito nell</w:t>
            </w:r>
            <w:r w:rsidR="0009277C" w:rsidRPr="00D51A68">
              <w:rPr>
                <w:rFonts w:ascii="Times New Roman" w:hAnsi="Times New Roman"/>
                <w:sz w:val="24"/>
              </w:rPr>
              <w:t>’</w:t>
            </w:r>
            <w:r w:rsidRPr="00D51A68">
              <w:rPr>
                <w:rFonts w:ascii="Times New Roman" w:hAnsi="Times New Roman"/>
                <w:sz w:val="24"/>
              </w:rPr>
              <w:t>articolo 4, paragrafo 1, punto 13, del CRR.</w:t>
            </w:r>
          </w:p>
          <w:p w:rsidR="00612780" w:rsidRPr="00D51A68" w:rsidRDefault="00612780" w:rsidP="00612780">
            <w:pPr>
              <w:autoSpaceDE w:val="0"/>
              <w:autoSpaceDN w:val="0"/>
              <w:adjustRightInd w:val="0"/>
              <w:spacing w:before="0" w:after="0"/>
              <w:rPr>
                <w:rFonts w:ascii="Times New Roman" w:hAnsi="Times New Roman"/>
                <w:b/>
                <w:sz w:val="24"/>
                <w:u w:val="single"/>
              </w:rPr>
            </w:pPr>
            <w:r w:rsidRPr="00D51A68">
              <w:rPr>
                <w:rFonts w:ascii="Times New Roman" w:hAnsi="Times New Roman"/>
                <w:b/>
                <w:sz w:val="24"/>
                <w:u w:val="single"/>
              </w:rPr>
              <w:t xml:space="preserve"> </w:t>
            </w:r>
          </w:p>
        </w:tc>
      </w:tr>
      <w:tr w:rsidR="00612780" w:rsidRPr="00D51A68" w:rsidTr="00672D2A">
        <w:tc>
          <w:tcPr>
            <w:tcW w:w="1242" w:type="dxa"/>
          </w:tcPr>
          <w:p w:rsidR="00612780" w:rsidRPr="00D51A68" w:rsidRDefault="00612780" w:rsidP="00612780">
            <w:pPr>
              <w:autoSpaceDE w:val="0"/>
              <w:autoSpaceDN w:val="0"/>
              <w:adjustRightInd w:val="0"/>
              <w:spacing w:before="0" w:after="0"/>
              <w:rPr>
                <w:rFonts w:ascii="Times New Roman" w:hAnsi="Times New Roman"/>
                <w:bCs/>
                <w:sz w:val="24"/>
              </w:rPr>
            </w:pPr>
            <w:r w:rsidRPr="00D51A68">
              <w:rPr>
                <w:rFonts w:ascii="Times New Roman" w:hAnsi="Times New Roman"/>
                <w:sz w:val="24"/>
              </w:rPr>
              <w:t>040-090</w:t>
            </w:r>
          </w:p>
        </w:tc>
        <w:tc>
          <w:tcPr>
            <w:tcW w:w="7903" w:type="dxa"/>
          </w:tcPr>
          <w:p w:rsidR="00612780" w:rsidRPr="00D51A68" w:rsidRDefault="00612780" w:rsidP="00612780">
            <w:pPr>
              <w:autoSpaceDE w:val="0"/>
              <w:autoSpaceDN w:val="0"/>
              <w:adjustRightInd w:val="0"/>
              <w:spacing w:before="0" w:after="0"/>
              <w:jc w:val="left"/>
              <w:rPr>
                <w:rFonts w:ascii="Times New Roman" w:hAnsi="Times New Roman"/>
                <w:b/>
                <w:sz w:val="24"/>
                <w:u w:val="single"/>
              </w:rPr>
            </w:pPr>
            <w:r w:rsidRPr="00D51A68">
              <w:rPr>
                <w:rFonts w:ascii="Times New Roman" w:hAnsi="Times New Roman"/>
                <w:b/>
                <w:sz w:val="24"/>
                <w:u w:val="single"/>
              </w:rPr>
              <w:t xml:space="preserve">ELEMENTI IN BILANCIO </w:t>
            </w:r>
          </w:p>
          <w:p w:rsidR="00612780" w:rsidRPr="00D51A68" w:rsidRDefault="00612780" w:rsidP="00612780">
            <w:pPr>
              <w:autoSpaceDE w:val="0"/>
              <w:autoSpaceDN w:val="0"/>
              <w:adjustRightInd w:val="0"/>
              <w:spacing w:before="0" w:after="0"/>
              <w:jc w:val="left"/>
              <w:rPr>
                <w:rFonts w:ascii="Times New Roman" w:hAnsi="Times New Roman"/>
                <w:sz w:val="24"/>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L</w:t>
            </w:r>
            <w:r w:rsidR="0009277C" w:rsidRPr="00D51A68">
              <w:rPr>
                <w:rFonts w:ascii="Times New Roman" w:hAnsi="Times New Roman"/>
                <w:sz w:val="24"/>
              </w:rPr>
              <w:t>’</w:t>
            </w:r>
            <w:r w:rsidRPr="00D51A68">
              <w:rPr>
                <w:rFonts w:ascii="Times New Roman" w:hAnsi="Times New Roman"/>
                <w:sz w:val="24"/>
              </w:rPr>
              <w:t>articolo 246, paragrafo 1, lettera b), del CRR prevede che, quando un ente calcola gli importi delle esposizioni ponderati per il rischio secondo il metodo IRB, il valore dell</w:t>
            </w:r>
            <w:r w:rsidR="0009277C" w:rsidRPr="00D51A68">
              <w:rPr>
                <w:rFonts w:ascii="Times New Roman" w:hAnsi="Times New Roman"/>
                <w:sz w:val="24"/>
              </w:rPr>
              <w:t>’</w:t>
            </w:r>
            <w:r w:rsidRPr="00D51A68">
              <w:rPr>
                <w:rFonts w:ascii="Times New Roman" w:hAnsi="Times New Roman"/>
                <w:sz w:val="24"/>
              </w:rPr>
              <w:t>esposizione di una posizione verso la cartolarizzazione iscritta a bilancio è pari al valore contabile misurato senza tener conto delle eventuali rettifiche di valore su crediti apportate.</w:t>
            </w:r>
          </w:p>
          <w:p w:rsidR="00612780" w:rsidRPr="00D51A68" w:rsidRDefault="00612780" w:rsidP="00612780">
            <w:pPr>
              <w:autoSpaceDE w:val="0"/>
              <w:autoSpaceDN w:val="0"/>
              <w:adjustRightInd w:val="0"/>
              <w:spacing w:before="0" w:after="0"/>
              <w:rPr>
                <w:rFonts w:ascii="Times New Roman" w:hAnsi="Times New Roman"/>
                <w:sz w:val="24"/>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Gli elementi in bilancio sono ripartiti in base ai raggruppamenti dei fattori di ponderazione del rischio delle cartolarizzazioni (A-B-C), nelle righe 050-070, e delle ricartolarizzazioni (D-E), nelle righe 080-090, previsti dalla tabella 4 dell</w:t>
            </w:r>
            <w:r w:rsidR="0009277C" w:rsidRPr="00D51A68">
              <w:rPr>
                <w:rFonts w:ascii="Times New Roman" w:hAnsi="Times New Roman"/>
                <w:sz w:val="24"/>
              </w:rPr>
              <w:t>’</w:t>
            </w:r>
            <w:r w:rsidRPr="00D51A68">
              <w:rPr>
                <w:rFonts w:ascii="Times New Roman" w:hAnsi="Times New Roman"/>
                <w:sz w:val="24"/>
              </w:rPr>
              <w:t xml:space="preserve">articolo 261, paragrafo 1, del CRR. </w:t>
            </w:r>
          </w:p>
          <w:p w:rsidR="00612780" w:rsidRPr="00D51A68" w:rsidRDefault="00612780" w:rsidP="00612780">
            <w:pPr>
              <w:autoSpaceDE w:val="0"/>
              <w:autoSpaceDN w:val="0"/>
              <w:adjustRightInd w:val="0"/>
              <w:spacing w:before="0" w:after="0"/>
              <w:rPr>
                <w:rFonts w:ascii="Times New Roman" w:hAnsi="Times New Roman"/>
                <w:b/>
                <w:sz w:val="24"/>
                <w:u w:val="single"/>
              </w:rPr>
            </w:pPr>
          </w:p>
        </w:tc>
      </w:tr>
      <w:tr w:rsidR="00612780" w:rsidRPr="00D51A68" w:rsidTr="00672D2A">
        <w:tc>
          <w:tcPr>
            <w:tcW w:w="1242" w:type="dxa"/>
          </w:tcPr>
          <w:p w:rsidR="00612780" w:rsidRPr="00D51A68" w:rsidRDefault="00612780" w:rsidP="00612780">
            <w:pPr>
              <w:autoSpaceDE w:val="0"/>
              <w:autoSpaceDN w:val="0"/>
              <w:adjustRightInd w:val="0"/>
              <w:spacing w:before="0" w:after="0"/>
              <w:rPr>
                <w:rFonts w:ascii="Times New Roman" w:hAnsi="Times New Roman"/>
                <w:bCs/>
                <w:sz w:val="24"/>
                <w:highlight w:val="yellow"/>
              </w:rPr>
            </w:pPr>
            <w:r w:rsidRPr="00D51A68">
              <w:rPr>
                <w:rFonts w:ascii="Times New Roman" w:hAnsi="Times New Roman"/>
                <w:sz w:val="24"/>
              </w:rPr>
              <w:t>100-150</w:t>
            </w:r>
          </w:p>
        </w:tc>
        <w:tc>
          <w:tcPr>
            <w:tcW w:w="7903" w:type="dxa"/>
          </w:tcPr>
          <w:p w:rsidR="00612780" w:rsidRPr="00D51A68" w:rsidRDefault="00612780" w:rsidP="00612780">
            <w:pPr>
              <w:spacing w:before="0" w:after="0"/>
              <w:rPr>
                <w:rFonts w:ascii="Times New Roman" w:hAnsi="Times New Roman"/>
                <w:b/>
                <w:sz w:val="24"/>
                <w:u w:val="single"/>
              </w:rPr>
            </w:pPr>
            <w:r w:rsidRPr="00D51A68">
              <w:rPr>
                <w:rFonts w:ascii="Times New Roman" w:hAnsi="Times New Roman"/>
                <w:b/>
                <w:sz w:val="24"/>
                <w:u w:val="single"/>
              </w:rPr>
              <w:t>ELEMENTI FUORI BILANCIO E DERIVATI</w:t>
            </w:r>
          </w:p>
          <w:p w:rsidR="00612780" w:rsidRPr="00D51A68" w:rsidRDefault="00612780" w:rsidP="00612780">
            <w:pPr>
              <w:autoSpaceDE w:val="0"/>
              <w:autoSpaceDN w:val="0"/>
              <w:adjustRightInd w:val="0"/>
              <w:spacing w:before="0" w:after="0"/>
              <w:jc w:val="left"/>
              <w:rPr>
                <w:rFonts w:ascii="Times New Roman" w:hAnsi="Times New Roman"/>
                <w:sz w:val="24"/>
              </w:rPr>
            </w:pPr>
          </w:p>
          <w:p w:rsidR="00612780" w:rsidRPr="00D51A68" w:rsidRDefault="00612780" w:rsidP="00612780">
            <w:pPr>
              <w:autoSpaceDE w:val="0"/>
              <w:autoSpaceDN w:val="0"/>
              <w:adjustRightInd w:val="0"/>
              <w:spacing w:before="0" w:after="0"/>
              <w:rPr>
                <w:rFonts w:ascii="Times New Roman" w:hAnsi="Times New Roman"/>
                <w:i/>
                <w:sz w:val="24"/>
              </w:rPr>
            </w:pPr>
            <w:r w:rsidRPr="00D51A68">
              <w:rPr>
                <w:rFonts w:ascii="Times New Roman" w:hAnsi="Times New Roman"/>
                <w:sz w:val="24"/>
              </w:rPr>
              <w:t>Queste righe comprendono informazioni sulle posizioni verso la cartolarizzazione relative a elementi fuori bilancio e derivati soggette a un fattore di conversione nell</w:t>
            </w:r>
            <w:r w:rsidR="0009277C" w:rsidRPr="00D51A68">
              <w:rPr>
                <w:rFonts w:ascii="Times New Roman" w:hAnsi="Times New Roman"/>
                <w:sz w:val="24"/>
              </w:rPr>
              <w:t>’</w:t>
            </w:r>
            <w:r w:rsidRPr="00D51A68">
              <w:rPr>
                <w:rFonts w:ascii="Times New Roman" w:hAnsi="Times New Roman"/>
                <w:sz w:val="24"/>
              </w:rPr>
              <w:t>ambito del quadro in materia di cartolarizzazione. Ove non diversamente specificato, il valore dell</w:t>
            </w:r>
            <w:r w:rsidR="0009277C" w:rsidRPr="00D51A68">
              <w:rPr>
                <w:rFonts w:ascii="Times New Roman" w:hAnsi="Times New Roman"/>
                <w:sz w:val="24"/>
              </w:rPr>
              <w:t>’</w:t>
            </w:r>
            <w:r w:rsidRPr="00D51A68">
              <w:rPr>
                <w:rFonts w:ascii="Times New Roman" w:hAnsi="Times New Roman"/>
                <w:sz w:val="24"/>
              </w:rPr>
              <w:t>esposizione di una posizione verso la cartolarizzazione fuori bilancio è pari al suo valore nominale meno qualsiasi rettifica di valore su crediti specifica di tale posizione, moltiplicato per un fattore di conversione del 100</w:t>
            </w:r>
            <w:r w:rsidR="0009277C" w:rsidRPr="00D51A68">
              <w:rPr>
                <w:rFonts w:ascii="Times New Roman" w:hAnsi="Times New Roman"/>
                <w:sz w:val="24"/>
              </w:rPr>
              <w:t>%</w:t>
            </w:r>
            <w:r w:rsidRPr="00D51A68">
              <w:rPr>
                <w:rFonts w:ascii="Times New Roman" w:hAnsi="Times New Roman"/>
                <w:sz w:val="24"/>
              </w:rPr>
              <w:t>.</w:t>
            </w:r>
          </w:p>
          <w:p w:rsidR="00612780" w:rsidRPr="00D51A68" w:rsidRDefault="00612780" w:rsidP="00612780">
            <w:pPr>
              <w:autoSpaceDE w:val="0"/>
              <w:autoSpaceDN w:val="0"/>
              <w:adjustRightInd w:val="0"/>
              <w:spacing w:before="0" w:after="0"/>
              <w:rPr>
                <w:rFonts w:ascii="Times New Roman" w:hAnsi="Times New Roman"/>
                <w:i/>
                <w:sz w:val="24"/>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Le posizioni verso la cartolarizzazione fuori bilancio risultanti da uno degli strumenti derivati elencati nell</w:t>
            </w:r>
            <w:r w:rsidR="0009277C" w:rsidRPr="00D51A68">
              <w:rPr>
                <w:rFonts w:ascii="Times New Roman" w:hAnsi="Times New Roman"/>
                <w:sz w:val="24"/>
              </w:rPr>
              <w:t>’</w:t>
            </w:r>
            <w:r w:rsidRPr="00D51A68">
              <w:rPr>
                <w:rFonts w:ascii="Times New Roman" w:hAnsi="Times New Roman"/>
                <w:sz w:val="24"/>
              </w:rPr>
              <w:t>allegato II del CRR sono determinate conformemente alla parte tre, titolo II, capo 6, del CRR. Il valore dell</w:t>
            </w:r>
            <w:r w:rsidR="0009277C" w:rsidRPr="00D51A68">
              <w:rPr>
                <w:rFonts w:ascii="Times New Roman" w:hAnsi="Times New Roman"/>
                <w:sz w:val="24"/>
              </w:rPr>
              <w:t>’</w:t>
            </w:r>
            <w:r w:rsidRPr="00D51A68">
              <w:rPr>
                <w:rFonts w:ascii="Times New Roman" w:hAnsi="Times New Roman"/>
                <w:sz w:val="24"/>
              </w:rPr>
              <w:t>esposizione per il rischio di controparte di uno degli strumenti derivati elencati nell</w:t>
            </w:r>
            <w:r w:rsidR="0009277C" w:rsidRPr="00D51A68">
              <w:rPr>
                <w:rFonts w:ascii="Times New Roman" w:hAnsi="Times New Roman"/>
                <w:sz w:val="24"/>
              </w:rPr>
              <w:t>’</w:t>
            </w:r>
            <w:r w:rsidRPr="00D51A68">
              <w:rPr>
                <w:rFonts w:ascii="Times New Roman" w:hAnsi="Times New Roman"/>
                <w:sz w:val="24"/>
              </w:rPr>
              <w:t xml:space="preserve">allegato II del CRR è determinato conformemente alla parte tre, titolo II, capo 6, del CRR. </w:t>
            </w:r>
          </w:p>
          <w:p w:rsidR="00612780" w:rsidRPr="00D51A68" w:rsidRDefault="00612780" w:rsidP="00612780">
            <w:pPr>
              <w:autoSpaceDE w:val="0"/>
              <w:autoSpaceDN w:val="0"/>
              <w:adjustRightInd w:val="0"/>
              <w:spacing w:before="0" w:after="0"/>
              <w:rPr>
                <w:rFonts w:ascii="Times New Roman" w:hAnsi="Times New Roman"/>
                <w:sz w:val="24"/>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Per le linee di liquidità, le linee di credito e gli anticipi per cassa del gestore gli enti segnalano l</w:t>
            </w:r>
            <w:r w:rsidR="0009277C" w:rsidRPr="00D51A68">
              <w:rPr>
                <w:rFonts w:ascii="Times New Roman" w:hAnsi="Times New Roman"/>
                <w:sz w:val="24"/>
              </w:rPr>
              <w:t>’</w:t>
            </w:r>
            <w:r w:rsidRPr="00D51A68">
              <w:rPr>
                <w:rFonts w:ascii="Times New Roman" w:hAnsi="Times New Roman"/>
                <w:sz w:val="24"/>
              </w:rPr>
              <w:t xml:space="preserve">importo non utilizzato. </w:t>
            </w:r>
          </w:p>
          <w:p w:rsidR="00612780" w:rsidRPr="00D51A68" w:rsidRDefault="00612780" w:rsidP="00612780">
            <w:pPr>
              <w:autoSpaceDE w:val="0"/>
              <w:autoSpaceDN w:val="0"/>
              <w:adjustRightInd w:val="0"/>
              <w:spacing w:before="0" w:after="0"/>
              <w:rPr>
                <w:rFonts w:ascii="Times New Roman" w:hAnsi="Times New Roman"/>
                <w:sz w:val="24"/>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Per i contratti swap su tassi d</w:t>
            </w:r>
            <w:r w:rsidR="0009277C" w:rsidRPr="00D51A68">
              <w:rPr>
                <w:rFonts w:ascii="Times New Roman" w:hAnsi="Times New Roman"/>
                <w:sz w:val="24"/>
              </w:rPr>
              <w:t>’</w:t>
            </w:r>
            <w:r w:rsidRPr="00D51A68">
              <w:rPr>
                <w:rFonts w:ascii="Times New Roman" w:hAnsi="Times New Roman"/>
                <w:sz w:val="24"/>
              </w:rPr>
              <w:t>interesse e su valuta gli enti segnalano il valore dell</w:t>
            </w:r>
            <w:r w:rsidR="0009277C" w:rsidRPr="00D51A68">
              <w:rPr>
                <w:rFonts w:ascii="Times New Roman" w:hAnsi="Times New Roman"/>
                <w:sz w:val="24"/>
              </w:rPr>
              <w:t>’</w:t>
            </w:r>
            <w:r w:rsidRPr="00D51A68">
              <w:rPr>
                <w:rFonts w:ascii="Times New Roman" w:hAnsi="Times New Roman"/>
                <w:sz w:val="24"/>
              </w:rPr>
              <w:t>esposizione (conformemente all</w:t>
            </w:r>
            <w:r w:rsidR="0009277C" w:rsidRPr="00D51A68">
              <w:rPr>
                <w:rFonts w:ascii="Times New Roman" w:hAnsi="Times New Roman"/>
                <w:sz w:val="24"/>
              </w:rPr>
              <w:t>’</w:t>
            </w:r>
            <w:r w:rsidRPr="00D51A68">
              <w:rPr>
                <w:rFonts w:ascii="Times New Roman" w:hAnsi="Times New Roman"/>
                <w:sz w:val="24"/>
              </w:rPr>
              <w:t>articolo 246, paragrafo 1, del CRR) così come specificato nel modello CR SA Total.</w:t>
            </w:r>
          </w:p>
          <w:p w:rsidR="00612780" w:rsidRPr="00D51A68" w:rsidRDefault="00612780" w:rsidP="00612780">
            <w:pPr>
              <w:autoSpaceDE w:val="0"/>
              <w:autoSpaceDN w:val="0"/>
              <w:adjustRightInd w:val="0"/>
              <w:spacing w:before="0" w:after="0"/>
              <w:rPr>
                <w:rFonts w:ascii="Times New Roman" w:hAnsi="Times New Roman"/>
                <w:sz w:val="24"/>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Gli elementi fuori bilancio sono ripartiti in base ai raggruppamenti dei fattori di ponderazione del rischio delle cartolarizzazioni (A-B-C), nelle righe 110-130, e delle ricartolarizzazioni (D-E), nelle righe 140-150, previsti dalla tabella 4 dell</w:t>
            </w:r>
            <w:r w:rsidR="0009277C" w:rsidRPr="00D51A68">
              <w:rPr>
                <w:rFonts w:ascii="Times New Roman" w:hAnsi="Times New Roman"/>
                <w:sz w:val="24"/>
              </w:rPr>
              <w:t>’</w:t>
            </w:r>
            <w:r w:rsidRPr="00D51A68">
              <w:rPr>
                <w:rFonts w:ascii="Times New Roman" w:hAnsi="Times New Roman"/>
                <w:sz w:val="24"/>
              </w:rPr>
              <w:t>articolo 261, paragrafo 1, del CRR.</w:t>
            </w:r>
          </w:p>
          <w:p w:rsidR="00612780" w:rsidRPr="00D51A68" w:rsidRDefault="00612780" w:rsidP="00612780">
            <w:pPr>
              <w:autoSpaceDE w:val="0"/>
              <w:autoSpaceDN w:val="0"/>
              <w:adjustRightInd w:val="0"/>
              <w:spacing w:before="0" w:after="0"/>
              <w:rPr>
                <w:rFonts w:ascii="Times New Roman" w:hAnsi="Times New Roman"/>
                <w:bCs/>
                <w:sz w:val="24"/>
              </w:rPr>
            </w:pPr>
          </w:p>
        </w:tc>
      </w:tr>
      <w:tr w:rsidR="00612780" w:rsidRPr="00D51A68" w:rsidTr="00672D2A">
        <w:tc>
          <w:tcPr>
            <w:tcW w:w="1242" w:type="dxa"/>
          </w:tcPr>
          <w:p w:rsidR="00612780" w:rsidRPr="00D51A68" w:rsidRDefault="00612780" w:rsidP="00612780">
            <w:pPr>
              <w:autoSpaceDE w:val="0"/>
              <w:autoSpaceDN w:val="0"/>
              <w:adjustRightInd w:val="0"/>
              <w:spacing w:before="0" w:after="0"/>
              <w:rPr>
                <w:rFonts w:ascii="Times New Roman" w:hAnsi="Times New Roman"/>
                <w:bCs/>
                <w:sz w:val="24"/>
              </w:rPr>
            </w:pPr>
            <w:r w:rsidRPr="00D51A68">
              <w:rPr>
                <w:rFonts w:ascii="Times New Roman" w:hAnsi="Times New Roman"/>
                <w:sz w:val="24"/>
              </w:rPr>
              <w:lastRenderedPageBreak/>
              <w:t>160</w:t>
            </w:r>
          </w:p>
        </w:tc>
        <w:tc>
          <w:tcPr>
            <w:tcW w:w="7903" w:type="dxa"/>
          </w:tcPr>
          <w:p w:rsidR="00612780" w:rsidRPr="00D51A68" w:rsidRDefault="00612780" w:rsidP="00612780">
            <w:pPr>
              <w:autoSpaceDE w:val="0"/>
              <w:autoSpaceDN w:val="0"/>
              <w:adjustRightInd w:val="0"/>
              <w:spacing w:before="0" w:after="0"/>
              <w:jc w:val="left"/>
              <w:rPr>
                <w:rFonts w:ascii="Times New Roman" w:hAnsi="Times New Roman"/>
                <w:b/>
                <w:sz w:val="24"/>
                <w:u w:val="single"/>
              </w:rPr>
            </w:pPr>
            <w:r w:rsidRPr="00D51A68">
              <w:rPr>
                <w:rFonts w:ascii="Times New Roman" w:hAnsi="Times New Roman"/>
                <w:b/>
                <w:sz w:val="24"/>
                <w:u w:val="single"/>
              </w:rPr>
              <w:t>RIMBORSO ANTICIPATO</w:t>
            </w:r>
          </w:p>
          <w:p w:rsidR="00612780" w:rsidRPr="00D51A68" w:rsidRDefault="00612780" w:rsidP="00612780">
            <w:pPr>
              <w:autoSpaceDE w:val="0"/>
              <w:autoSpaceDN w:val="0"/>
              <w:adjustRightInd w:val="0"/>
              <w:spacing w:before="0" w:after="0"/>
              <w:jc w:val="left"/>
              <w:rPr>
                <w:rFonts w:ascii="Times New Roman" w:hAnsi="Times New Roman"/>
                <w:sz w:val="24"/>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Questa riga riguarda soltanto i cedenti con cartolarizzazioni di esposizioni rotative provviste di clausole di rimborso anticipato, di cui all</w:t>
            </w:r>
            <w:r w:rsidR="0009277C" w:rsidRPr="00D51A68">
              <w:rPr>
                <w:rFonts w:ascii="Times New Roman" w:hAnsi="Times New Roman"/>
                <w:sz w:val="24"/>
              </w:rPr>
              <w:t>’</w:t>
            </w:r>
            <w:r w:rsidRPr="00D51A68">
              <w:rPr>
                <w:rFonts w:ascii="Times New Roman" w:hAnsi="Times New Roman"/>
                <w:sz w:val="24"/>
              </w:rPr>
              <w:t>articolo 242, punti 13 e 14, del CRR.</w:t>
            </w:r>
          </w:p>
          <w:p w:rsidR="00612780" w:rsidRPr="00D51A68" w:rsidRDefault="00612780" w:rsidP="00612780">
            <w:pPr>
              <w:pStyle w:val="Heading1"/>
              <w:rPr>
                <w:rFonts w:ascii="Times New Roman" w:eastAsia="Times New Roman" w:hAnsi="Times New Roman"/>
                <w:sz w:val="24"/>
                <w:szCs w:val="24"/>
              </w:rPr>
            </w:pPr>
          </w:p>
        </w:tc>
      </w:tr>
      <w:tr w:rsidR="00612780" w:rsidRPr="00D51A68" w:rsidTr="00672D2A">
        <w:tc>
          <w:tcPr>
            <w:tcW w:w="1242" w:type="dxa"/>
          </w:tcPr>
          <w:p w:rsidR="00612780" w:rsidRPr="00D51A68" w:rsidRDefault="00612780" w:rsidP="00612780">
            <w:pPr>
              <w:autoSpaceDE w:val="0"/>
              <w:autoSpaceDN w:val="0"/>
              <w:adjustRightInd w:val="0"/>
              <w:spacing w:before="0" w:after="0"/>
              <w:rPr>
                <w:rFonts w:ascii="Times New Roman" w:hAnsi="Times New Roman"/>
                <w:bCs/>
                <w:sz w:val="24"/>
              </w:rPr>
            </w:pPr>
            <w:r w:rsidRPr="00D51A68">
              <w:rPr>
                <w:rFonts w:ascii="Times New Roman" w:hAnsi="Times New Roman"/>
                <w:sz w:val="24"/>
              </w:rPr>
              <w:t>170</w:t>
            </w:r>
          </w:p>
        </w:tc>
        <w:tc>
          <w:tcPr>
            <w:tcW w:w="7903" w:type="dxa"/>
          </w:tcPr>
          <w:p w:rsidR="00612780" w:rsidRPr="00D51A68" w:rsidRDefault="00612780" w:rsidP="00612780">
            <w:pPr>
              <w:autoSpaceDE w:val="0"/>
              <w:autoSpaceDN w:val="0"/>
              <w:adjustRightInd w:val="0"/>
              <w:spacing w:before="0" w:after="0"/>
              <w:jc w:val="left"/>
              <w:rPr>
                <w:rFonts w:ascii="Times New Roman" w:hAnsi="Times New Roman"/>
                <w:b/>
                <w:sz w:val="24"/>
                <w:u w:val="single"/>
              </w:rPr>
            </w:pPr>
            <w:r w:rsidRPr="00D51A68">
              <w:rPr>
                <w:rFonts w:ascii="Times New Roman" w:hAnsi="Times New Roman"/>
                <w:b/>
                <w:sz w:val="24"/>
                <w:u w:val="single"/>
              </w:rPr>
              <w:t xml:space="preserve">INVESTITORE: ESPOSIZIONI TOTALI </w:t>
            </w:r>
          </w:p>
          <w:p w:rsidR="00612780" w:rsidRPr="00D51A68" w:rsidRDefault="00612780" w:rsidP="00612780">
            <w:pPr>
              <w:autoSpaceDE w:val="0"/>
              <w:autoSpaceDN w:val="0"/>
              <w:adjustRightInd w:val="0"/>
              <w:spacing w:before="0" w:after="0"/>
              <w:jc w:val="left"/>
              <w:rPr>
                <w:rFonts w:ascii="Times New Roman" w:hAnsi="Times New Roman"/>
                <w:sz w:val="24"/>
              </w:rPr>
            </w:pPr>
          </w:p>
          <w:p w:rsidR="00612780" w:rsidRPr="00D51A68" w:rsidRDefault="00612780" w:rsidP="00612780">
            <w:pPr>
              <w:autoSpaceDE w:val="0"/>
              <w:autoSpaceDN w:val="0"/>
              <w:adjustRightInd w:val="0"/>
              <w:spacing w:before="0" w:after="0"/>
              <w:rPr>
                <w:rStyle w:val="FormatvorlageInstructionsTabelleText"/>
                <w:rFonts w:ascii="Times New Roman" w:hAnsi="Times New Roman"/>
                <w:sz w:val="24"/>
              </w:rPr>
            </w:pPr>
            <w:r w:rsidRPr="00D51A68">
              <w:rPr>
                <w:rStyle w:val="FormatvorlageInstructionsTabelleText"/>
                <w:rFonts w:ascii="Times New Roman" w:hAnsi="Times New Roman"/>
                <w:sz w:val="24"/>
              </w:rPr>
              <w:t>Questa riga riassume le informazioni riguardanti gli elementi in bilancio e gli elementi fuori bilancio e i derivati delle posizioni verso la cartolarizzazione nelle quali l</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 xml:space="preserve">ente ha il ruolo di investitore. </w:t>
            </w:r>
          </w:p>
          <w:p w:rsidR="00612780" w:rsidRPr="00D51A68" w:rsidRDefault="00612780" w:rsidP="00612780">
            <w:pPr>
              <w:autoSpaceDE w:val="0"/>
              <w:autoSpaceDN w:val="0"/>
              <w:adjustRightInd w:val="0"/>
              <w:spacing w:before="0" w:after="0"/>
              <w:rPr>
                <w:rStyle w:val="FormatvorlageInstructionsTabelleText"/>
                <w:rFonts w:ascii="Times New Roman" w:hAnsi="Times New Roman"/>
                <w:sz w:val="24"/>
              </w:rPr>
            </w:pPr>
          </w:p>
          <w:p w:rsidR="00612780" w:rsidRPr="00D51A68" w:rsidRDefault="00612780" w:rsidP="00612780">
            <w:pPr>
              <w:autoSpaceDE w:val="0"/>
              <w:autoSpaceDN w:val="0"/>
              <w:adjustRightInd w:val="0"/>
              <w:spacing w:before="0" w:after="0"/>
              <w:rPr>
                <w:rStyle w:val="FormatvorlageInstructionsTabelleText"/>
                <w:rFonts w:ascii="Times New Roman" w:hAnsi="Times New Roman"/>
                <w:sz w:val="24"/>
              </w:rPr>
            </w:pPr>
            <w:r w:rsidRPr="00D51A68">
              <w:rPr>
                <w:rStyle w:val="FormatvorlageInstructionsTabelleText"/>
                <w:rFonts w:ascii="Times New Roman" w:hAnsi="Times New Roman"/>
                <w:sz w:val="24"/>
              </w:rPr>
              <w:t xml:space="preserve">Il CRR non contiene una definizione esplicita di </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investitore</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 xml:space="preserve">. Pertanto, nel contesto qui considerato per </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investitore</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 xml:space="preserve"> s</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intende un ente che detiene una posizione verso la cartolarizzazione in un</w:t>
            </w:r>
            <w:r w:rsidR="0009277C" w:rsidRPr="00D51A68">
              <w:rPr>
                <w:rStyle w:val="FormatvorlageInstructionsTabelleText"/>
                <w:rFonts w:ascii="Times New Roman" w:hAnsi="Times New Roman"/>
                <w:sz w:val="24"/>
              </w:rPr>
              <w:t>’</w:t>
            </w:r>
            <w:r w:rsidRPr="00D51A68">
              <w:rPr>
                <w:rStyle w:val="FormatvorlageInstructionsTabelleText"/>
                <w:rFonts w:ascii="Times New Roman" w:hAnsi="Times New Roman"/>
                <w:sz w:val="24"/>
              </w:rPr>
              <w:t>operazione di cartolarizzazione nella quale non è né il cedente né il promotore.</w:t>
            </w:r>
          </w:p>
          <w:p w:rsidR="00612780" w:rsidRPr="00D51A68" w:rsidRDefault="00612780" w:rsidP="00612780">
            <w:pPr>
              <w:autoSpaceDE w:val="0"/>
              <w:autoSpaceDN w:val="0"/>
              <w:adjustRightInd w:val="0"/>
              <w:spacing w:before="0" w:after="0"/>
              <w:jc w:val="left"/>
              <w:rPr>
                <w:rFonts w:ascii="Times New Roman" w:hAnsi="Times New Roman"/>
                <w:b/>
                <w:sz w:val="24"/>
                <w:u w:val="single"/>
              </w:rPr>
            </w:pPr>
          </w:p>
        </w:tc>
      </w:tr>
      <w:tr w:rsidR="00612780" w:rsidRPr="00D51A68" w:rsidTr="00672D2A">
        <w:tc>
          <w:tcPr>
            <w:tcW w:w="1242" w:type="dxa"/>
          </w:tcPr>
          <w:p w:rsidR="00612780" w:rsidRPr="00D51A68" w:rsidRDefault="00612780" w:rsidP="00612780">
            <w:pPr>
              <w:autoSpaceDE w:val="0"/>
              <w:autoSpaceDN w:val="0"/>
              <w:adjustRightInd w:val="0"/>
              <w:spacing w:before="0" w:after="0"/>
              <w:rPr>
                <w:rFonts w:ascii="Times New Roman" w:hAnsi="Times New Roman"/>
                <w:bCs/>
                <w:sz w:val="24"/>
                <w:highlight w:val="yellow"/>
              </w:rPr>
            </w:pPr>
            <w:r w:rsidRPr="00D51A68">
              <w:rPr>
                <w:rFonts w:ascii="Times New Roman" w:hAnsi="Times New Roman"/>
                <w:sz w:val="24"/>
              </w:rPr>
              <w:t>180-230</w:t>
            </w:r>
          </w:p>
        </w:tc>
        <w:tc>
          <w:tcPr>
            <w:tcW w:w="7903" w:type="dxa"/>
          </w:tcPr>
          <w:p w:rsidR="00612780" w:rsidRPr="00D51A68" w:rsidRDefault="00612780" w:rsidP="00612780">
            <w:pPr>
              <w:autoSpaceDE w:val="0"/>
              <w:autoSpaceDN w:val="0"/>
              <w:adjustRightInd w:val="0"/>
              <w:spacing w:before="0" w:after="0"/>
              <w:jc w:val="left"/>
              <w:rPr>
                <w:rFonts w:ascii="Times New Roman" w:hAnsi="Times New Roman"/>
                <w:b/>
                <w:sz w:val="24"/>
                <w:u w:val="single"/>
              </w:rPr>
            </w:pPr>
            <w:r w:rsidRPr="00D51A68">
              <w:rPr>
                <w:rFonts w:ascii="Times New Roman" w:hAnsi="Times New Roman"/>
                <w:b/>
                <w:sz w:val="24"/>
                <w:u w:val="single"/>
              </w:rPr>
              <w:t xml:space="preserve">ELEMENTI IN BILANCIO </w:t>
            </w:r>
          </w:p>
          <w:p w:rsidR="00612780" w:rsidRPr="00D51A68" w:rsidRDefault="00612780" w:rsidP="00612780">
            <w:pPr>
              <w:autoSpaceDE w:val="0"/>
              <w:autoSpaceDN w:val="0"/>
              <w:adjustRightInd w:val="0"/>
              <w:spacing w:before="0" w:after="0"/>
              <w:jc w:val="left"/>
              <w:rPr>
                <w:rFonts w:ascii="Times New Roman" w:hAnsi="Times New Roman"/>
                <w:b/>
                <w:sz w:val="24"/>
                <w:u w:val="single"/>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Si applicano gli stessi criteri di classificazione delle cartolarizzazioni (A-B-C) e delle ricartolarizzazioni (D-E) utilizzati per gli elementi in bilancio dei cedenti.</w:t>
            </w:r>
          </w:p>
          <w:p w:rsidR="00612780" w:rsidRPr="00D51A68" w:rsidRDefault="00612780" w:rsidP="00612780">
            <w:pPr>
              <w:autoSpaceDE w:val="0"/>
              <w:autoSpaceDN w:val="0"/>
              <w:adjustRightInd w:val="0"/>
              <w:spacing w:before="0" w:after="0"/>
              <w:jc w:val="left"/>
              <w:rPr>
                <w:rFonts w:ascii="Times New Roman" w:hAnsi="Times New Roman"/>
                <w:b/>
                <w:sz w:val="24"/>
                <w:u w:val="single"/>
              </w:rPr>
            </w:pPr>
          </w:p>
        </w:tc>
      </w:tr>
      <w:tr w:rsidR="00612780" w:rsidRPr="00D51A68" w:rsidTr="00672D2A">
        <w:tc>
          <w:tcPr>
            <w:tcW w:w="1242" w:type="dxa"/>
          </w:tcPr>
          <w:p w:rsidR="00612780" w:rsidRPr="00D51A68" w:rsidRDefault="00612780" w:rsidP="00612780">
            <w:pPr>
              <w:autoSpaceDE w:val="0"/>
              <w:autoSpaceDN w:val="0"/>
              <w:adjustRightInd w:val="0"/>
              <w:spacing w:before="0" w:after="0"/>
              <w:rPr>
                <w:rFonts w:ascii="Times New Roman" w:hAnsi="Times New Roman"/>
                <w:bCs/>
                <w:sz w:val="24"/>
                <w:highlight w:val="yellow"/>
              </w:rPr>
            </w:pPr>
            <w:r w:rsidRPr="00D51A68">
              <w:rPr>
                <w:rFonts w:ascii="Times New Roman" w:hAnsi="Times New Roman"/>
                <w:sz w:val="24"/>
              </w:rPr>
              <w:t>240-290</w:t>
            </w:r>
          </w:p>
        </w:tc>
        <w:tc>
          <w:tcPr>
            <w:tcW w:w="7903" w:type="dxa"/>
          </w:tcPr>
          <w:p w:rsidR="00612780" w:rsidRPr="00D51A68" w:rsidRDefault="00612780" w:rsidP="00612780">
            <w:pPr>
              <w:spacing w:before="0" w:after="0"/>
              <w:rPr>
                <w:rFonts w:ascii="Times New Roman" w:hAnsi="Times New Roman"/>
                <w:b/>
                <w:sz w:val="24"/>
                <w:u w:val="single"/>
              </w:rPr>
            </w:pPr>
            <w:r w:rsidRPr="00D51A68">
              <w:rPr>
                <w:rFonts w:ascii="Times New Roman" w:hAnsi="Times New Roman"/>
                <w:b/>
                <w:sz w:val="24"/>
                <w:u w:val="single"/>
              </w:rPr>
              <w:t>ELEMENTI FUORI BILANCIO E DERIVATI</w:t>
            </w:r>
          </w:p>
          <w:p w:rsidR="00612780" w:rsidRPr="00D51A68" w:rsidRDefault="00612780" w:rsidP="00612780">
            <w:pPr>
              <w:autoSpaceDE w:val="0"/>
              <w:autoSpaceDN w:val="0"/>
              <w:adjustRightInd w:val="0"/>
              <w:spacing w:before="0" w:after="0"/>
              <w:jc w:val="left"/>
              <w:rPr>
                <w:rFonts w:ascii="Times New Roman" w:hAnsi="Times New Roman"/>
                <w:b/>
                <w:sz w:val="24"/>
                <w:u w:val="single"/>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Si applicano gli stessi criteri di classificazione delle cartolarizzazioni (A-B-C) e delle ricartolarizzazioni (D-E) utilizzati per gli elementi fuori bilancio e i derivati dei cedenti.</w:t>
            </w:r>
          </w:p>
          <w:p w:rsidR="00612780" w:rsidRPr="00D51A68" w:rsidRDefault="00612780" w:rsidP="00612780">
            <w:pPr>
              <w:autoSpaceDE w:val="0"/>
              <w:autoSpaceDN w:val="0"/>
              <w:adjustRightInd w:val="0"/>
              <w:spacing w:before="0" w:after="0"/>
              <w:jc w:val="left"/>
              <w:rPr>
                <w:rFonts w:ascii="Times New Roman" w:hAnsi="Times New Roman"/>
                <w:b/>
                <w:sz w:val="24"/>
                <w:u w:val="single"/>
              </w:rPr>
            </w:pPr>
          </w:p>
        </w:tc>
      </w:tr>
      <w:tr w:rsidR="00612780" w:rsidRPr="00D51A68" w:rsidTr="00F31236">
        <w:trPr>
          <w:cantSplit/>
        </w:trPr>
        <w:tc>
          <w:tcPr>
            <w:tcW w:w="1242" w:type="dxa"/>
          </w:tcPr>
          <w:p w:rsidR="00612780" w:rsidRPr="00D51A68" w:rsidRDefault="00612780" w:rsidP="00612780">
            <w:pPr>
              <w:autoSpaceDE w:val="0"/>
              <w:autoSpaceDN w:val="0"/>
              <w:adjustRightInd w:val="0"/>
              <w:spacing w:before="0" w:after="0"/>
              <w:rPr>
                <w:rFonts w:ascii="Times New Roman" w:hAnsi="Times New Roman"/>
                <w:bCs/>
                <w:sz w:val="24"/>
              </w:rPr>
            </w:pPr>
            <w:r w:rsidRPr="00D51A68">
              <w:rPr>
                <w:rFonts w:ascii="Times New Roman" w:hAnsi="Times New Roman"/>
                <w:sz w:val="24"/>
              </w:rPr>
              <w:lastRenderedPageBreak/>
              <w:t>300</w:t>
            </w:r>
          </w:p>
        </w:tc>
        <w:tc>
          <w:tcPr>
            <w:tcW w:w="7903" w:type="dxa"/>
          </w:tcPr>
          <w:p w:rsidR="00612780" w:rsidRPr="00D51A68" w:rsidRDefault="00612780" w:rsidP="00612780">
            <w:pPr>
              <w:autoSpaceDE w:val="0"/>
              <w:autoSpaceDN w:val="0"/>
              <w:adjustRightInd w:val="0"/>
              <w:spacing w:before="0" w:after="0"/>
              <w:jc w:val="left"/>
              <w:rPr>
                <w:rFonts w:ascii="Times New Roman" w:hAnsi="Times New Roman"/>
                <w:b/>
                <w:sz w:val="24"/>
                <w:u w:val="single"/>
              </w:rPr>
            </w:pPr>
            <w:r w:rsidRPr="00D51A68">
              <w:rPr>
                <w:rFonts w:ascii="Times New Roman" w:hAnsi="Times New Roman"/>
                <w:b/>
                <w:sz w:val="24"/>
                <w:u w:val="single"/>
              </w:rPr>
              <w:t xml:space="preserve">PROMOTORE: ESPOSIZIONI TOTALI </w:t>
            </w:r>
          </w:p>
          <w:p w:rsidR="00612780" w:rsidRPr="00D51A68" w:rsidRDefault="00612780" w:rsidP="00612780">
            <w:pPr>
              <w:autoSpaceDE w:val="0"/>
              <w:autoSpaceDN w:val="0"/>
              <w:adjustRightInd w:val="0"/>
              <w:spacing w:before="0" w:after="0"/>
              <w:jc w:val="left"/>
              <w:rPr>
                <w:rFonts w:ascii="Times New Roman" w:hAnsi="Times New Roman"/>
                <w:sz w:val="24"/>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Questa riga riassume le informazioni riguardanti gli elementi in bilancio e gli elementi fuori bilancio e i derivati delle posizioni verso la cartolarizzazione nelle quali l</w:t>
            </w:r>
            <w:r w:rsidR="0009277C" w:rsidRPr="00D51A68">
              <w:rPr>
                <w:rFonts w:ascii="Times New Roman" w:hAnsi="Times New Roman"/>
                <w:sz w:val="24"/>
              </w:rPr>
              <w:t>’</w:t>
            </w:r>
            <w:r w:rsidRPr="00D51A68">
              <w:rPr>
                <w:rFonts w:ascii="Times New Roman" w:hAnsi="Times New Roman"/>
                <w:sz w:val="24"/>
              </w:rPr>
              <w:t>ente ha il ruolo di promotore, così come definito dall</w:t>
            </w:r>
            <w:r w:rsidR="0009277C" w:rsidRPr="00D51A68">
              <w:rPr>
                <w:rFonts w:ascii="Times New Roman" w:hAnsi="Times New Roman"/>
                <w:sz w:val="24"/>
              </w:rPr>
              <w:t>’</w:t>
            </w:r>
            <w:r w:rsidRPr="00D51A68">
              <w:rPr>
                <w:rFonts w:ascii="Times New Roman" w:hAnsi="Times New Roman"/>
                <w:sz w:val="24"/>
              </w:rPr>
              <w:t>articolo 4, paragrafo 1, punto 14, del CRR. Se cartolarizza anche le proprie attività, il promotore inserisce nelle righe dedicate al cedente le informazioni riguardanti le proprie attività cartolarizzate.</w:t>
            </w:r>
          </w:p>
          <w:p w:rsidR="00612780" w:rsidRPr="00D51A68" w:rsidRDefault="00612780" w:rsidP="00612780">
            <w:pPr>
              <w:autoSpaceDE w:val="0"/>
              <w:autoSpaceDN w:val="0"/>
              <w:adjustRightInd w:val="0"/>
              <w:spacing w:before="0" w:after="0"/>
              <w:rPr>
                <w:rFonts w:ascii="Times New Roman" w:hAnsi="Times New Roman"/>
                <w:sz w:val="24"/>
              </w:rPr>
            </w:pPr>
          </w:p>
        </w:tc>
      </w:tr>
      <w:tr w:rsidR="00612780" w:rsidRPr="00D51A68" w:rsidTr="00672D2A">
        <w:tc>
          <w:tcPr>
            <w:tcW w:w="1242" w:type="dxa"/>
            <w:shd w:val="clear" w:color="auto" w:fill="auto"/>
          </w:tcPr>
          <w:p w:rsidR="00612780" w:rsidRPr="00D51A68" w:rsidRDefault="00612780" w:rsidP="00612780">
            <w:pPr>
              <w:autoSpaceDE w:val="0"/>
              <w:autoSpaceDN w:val="0"/>
              <w:adjustRightInd w:val="0"/>
              <w:spacing w:before="0" w:after="0"/>
              <w:rPr>
                <w:rFonts w:ascii="Times New Roman" w:hAnsi="Times New Roman"/>
                <w:bCs/>
                <w:sz w:val="24"/>
              </w:rPr>
            </w:pPr>
            <w:r w:rsidRPr="00D51A68">
              <w:rPr>
                <w:rFonts w:ascii="Times New Roman" w:hAnsi="Times New Roman"/>
                <w:sz w:val="24"/>
              </w:rPr>
              <w:t>310-360</w:t>
            </w:r>
          </w:p>
        </w:tc>
        <w:tc>
          <w:tcPr>
            <w:tcW w:w="7903" w:type="dxa"/>
            <w:shd w:val="clear" w:color="auto" w:fill="auto"/>
          </w:tcPr>
          <w:p w:rsidR="00612780" w:rsidRPr="00D51A68" w:rsidRDefault="00612780" w:rsidP="00612780">
            <w:pPr>
              <w:autoSpaceDE w:val="0"/>
              <w:autoSpaceDN w:val="0"/>
              <w:adjustRightInd w:val="0"/>
              <w:spacing w:before="0" w:after="0"/>
              <w:jc w:val="left"/>
              <w:rPr>
                <w:rFonts w:ascii="Times New Roman" w:hAnsi="Times New Roman"/>
                <w:b/>
                <w:sz w:val="24"/>
                <w:u w:val="single"/>
              </w:rPr>
            </w:pPr>
            <w:r w:rsidRPr="00D51A68">
              <w:rPr>
                <w:rFonts w:ascii="Times New Roman" w:hAnsi="Times New Roman"/>
                <w:b/>
                <w:sz w:val="24"/>
                <w:u w:val="single"/>
              </w:rPr>
              <w:t xml:space="preserve">ELEMENTI IN BILANCIO </w:t>
            </w:r>
          </w:p>
          <w:p w:rsidR="00612780" w:rsidRPr="00D51A68" w:rsidRDefault="00612780" w:rsidP="00612780">
            <w:pPr>
              <w:autoSpaceDE w:val="0"/>
              <w:autoSpaceDN w:val="0"/>
              <w:adjustRightInd w:val="0"/>
              <w:spacing w:before="0" w:after="0"/>
              <w:jc w:val="left"/>
              <w:rPr>
                <w:rFonts w:ascii="Times New Roman" w:hAnsi="Times New Roman"/>
                <w:b/>
                <w:sz w:val="24"/>
                <w:u w:val="single"/>
              </w:rPr>
            </w:pPr>
          </w:p>
          <w:p w:rsidR="00612780" w:rsidRPr="00D51A68" w:rsidRDefault="00612780" w:rsidP="00612780">
            <w:pPr>
              <w:autoSpaceDE w:val="0"/>
              <w:autoSpaceDN w:val="0"/>
              <w:adjustRightInd w:val="0"/>
              <w:spacing w:before="0" w:after="0"/>
              <w:jc w:val="left"/>
              <w:rPr>
                <w:rFonts w:ascii="Times New Roman" w:hAnsi="Times New Roman"/>
                <w:b/>
                <w:sz w:val="24"/>
                <w:u w:val="single"/>
              </w:rPr>
            </w:pPr>
            <w:r w:rsidRPr="00D51A68">
              <w:rPr>
                <w:rFonts w:ascii="Times New Roman" w:hAnsi="Times New Roman"/>
                <w:sz w:val="24"/>
              </w:rPr>
              <w:t>Si applicano gli stessi criteri di classificazione delle cartolarizzazioni (A-B-C) e delle ricartolarizzazioni (D-E) utilizzati per gli elementi in bilancio dei cedenti.</w:t>
            </w:r>
          </w:p>
          <w:p w:rsidR="00612780" w:rsidRPr="00D51A68" w:rsidRDefault="00612780" w:rsidP="00612780">
            <w:pPr>
              <w:autoSpaceDE w:val="0"/>
              <w:autoSpaceDN w:val="0"/>
              <w:adjustRightInd w:val="0"/>
              <w:spacing w:before="0" w:after="0"/>
              <w:rPr>
                <w:rFonts w:ascii="Times New Roman" w:hAnsi="Times New Roman"/>
                <w:sz w:val="24"/>
              </w:rPr>
            </w:pPr>
          </w:p>
        </w:tc>
      </w:tr>
      <w:tr w:rsidR="00612780" w:rsidRPr="00D51A68" w:rsidTr="00672D2A">
        <w:tc>
          <w:tcPr>
            <w:tcW w:w="1242" w:type="dxa"/>
            <w:shd w:val="clear" w:color="auto" w:fill="auto"/>
          </w:tcPr>
          <w:p w:rsidR="00612780" w:rsidRPr="00D51A68" w:rsidRDefault="00612780" w:rsidP="00612780">
            <w:pPr>
              <w:autoSpaceDE w:val="0"/>
              <w:autoSpaceDN w:val="0"/>
              <w:adjustRightInd w:val="0"/>
              <w:spacing w:before="0" w:after="0"/>
              <w:rPr>
                <w:rFonts w:ascii="Times New Roman" w:hAnsi="Times New Roman"/>
                <w:bCs/>
                <w:sz w:val="24"/>
              </w:rPr>
            </w:pPr>
            <w:r w:rsidRPr="00D51A68">
              <w:rPr>
                <w:rFonts w:ascii="Times New Roman" w:hAnsi="Times New Roman"/>
                <w:sz w:val="24"/>
              </w:rPr>
              <w:t>370-420</w:t>
            </w:r>
          </w:p>
        </w:tc>
        <w:tc>
          <w:tcPr>
            <w:tcW w:w="7903" w:type="dxa"/>
            <w:shd w:val="clear" w:color="auto" w:fill="auto"/>
          </w:tcPr>
          <w:p w:rsidR="00612780" w:rsidRPr="00D51A68" w:rsidRDefault="00612780" w:rsidP="00612780">
            <w:pPr>
              <w:autoSpaceDE w:val="0"/>
              <w:autoSpaceDN w:val="0"/>
              <w:adjustRightInd w:val="0"/>
              <w:spacing w:before="0" w:after="0"/>
              <w:jc w:val="left"/>
              <w:rPr>
                <w:rFonts w:ascii="Times New Roman" w:hAnsi="Times New Roman"/>
                <w:b/>
                <w:sz w:val="24"/>
                <w:u w:val="single"/>
              </w:rPr>
            </w:pPr>
            <w:r w:rsidRPr="00D51A68">
              <w:rPr>
                <w:rFonts w:ascii="Times New Roman" w:hAnsi="Times New Roman"/>
                <w:b/>
                <w:sz w:val="24"/>
                <w:u w:val="single"/>
              </w:rPr>
              <w:t>ELEMENTI FUORI BILANCIO E DERIVATI</w:t>
            </w:r>
          </w:p>
          <w:p w:rsidR="00612780" w:rsidRPr="00D51A68" w:rsidRDefault="00612780" w:rsidP="00612780">
            <w:pPr>
              <w:autoSpaceDE w:val="0"/>
              <w:autoSpaceDN w:val="0"/>
              <w:adjustRightInd w:val="0"/>
              <w:spacing w:before="0" w:after="0"/>
              <w:rPr>
                <w:rFonts w:ascii="Times New Roman" w:hAnsi="Times New Roman"/>
                <w:b/>
                <w:sz w:val="24"/>
                <w:u w:val="single"/>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Si applicano gli stessi criteri di classificazione delle cartolarizzazioni (A-B-C) e delle ricartolarizzazioni (D-E) utilizzati per gli elementi fuori bilancio e i derivati dei cedenti.</w:t>
            </w:r>
          </w:p>
          <w:p w:rsidR="00612780" w:rsidRPr="00D51A68" w:rsidRDefault="00612780" w:rsidP="00612780">
            <w:pPr>
              <w:autoSpaceDE w:val="0"/>
              <w:autoSpaceDN w:val="0"/>
              <w:adjustRightInd w:val="0"/>
              <w:spacing w:before="0" w:after="0"/>
              <w:rPr>
                <w:rFonts w:ascii="Times New Roman" w:hAnsi="Times New Roman"/>
                <w:b/>
                <w:sz w:val="24"/>
                <w:u w:val="single"/>
              </w:rPr>
            </w:pPr>
          </w:p>
        </w:tc>
      </w:tr>
      <w:tr w:rsidR="00612780" w:rsidRPr="00D51A68" w:rsidTr="00672D2A">
        <w:tc>
          <w:tcPr>
            <w:tcW w:w="1242" w:type="dxa"/>
          </w:tcPr>
          <w:p w:rsidR="00612780" w:rsidRPr="00D51A68" w:rsidRDefault="00612780" w:rsidP="00612780">
            <w:pPr>
              <w:autoSpaceDE w:val="0"/>
              <w:autoSpaceDN w:val="0"/>
              <w:adjustRightInd w:val="0"/>
              <w:spacing w:before="0" w:after="0"/>
              <w:rPr>
                <w:rFonts w:ascii="Times New Roman" w:hAnsi="Times New Roman"/>
                <w:bCs/>
                <w:sz w:val="24"/>
                <w:highlight w:val="yellow"/>
              </w:rPr>
            </w:pPr>
            <w:r w:rsidRPr="00D51A68">
              <w:rPr>
                <w:rFonts w:ascii="Times New Roman" w:hAnsi="Times New Roman"/>
                <w:sz w:val="24"/>
              </w:rPr>
              <w:t>430-540</w:t>
            </w:r>
          </w:p>
        </w:tc>
        <w:tc>
          <w:tcPr>
            <w:tcW w:w="7903" w:type="dxa"/>
          </w:tcPr>
          <w:p w:rsidR="00612780" w:rsidRPr="00D51A68" w:rsidRDefault="00612780" w:rsidP="00612780">
            <w:pPr>
              <w:autoSpaceDE w:val="0"/>
              <w:autoSpaceDN w:val="0"/>
              <w:adjustRightInd w:val="0"/>
              <w:spacing w:before="0" w:after="0"/>
              <w:jc w:val="left"/>
              <w:rPr>
                <w:rFonts w:ascii="Times New Roman" w:hAnsi="Times New Roman"/>
                <w:b/>
                <w:sz w:val="24"/>
                <w:u w:val="single"/>
              </w:rPr>
            </w:pPr>
            <w:r w:rsidRPr="00D51A68">
              <w:rPr>
                <w:rFonts w:ascii="Times New Roman" w:hAnsi="Times New Roman"/>
                <w:b/>
                <w:sz w:val="24"/>
                <w:u w:val="single"/>
              </w:rPr>
              <w:t>RIPARTIZIONE DELLE POSIZIONI IN ESSERE PER CLASSE DI MERITO DI CREDITO (CQS) ALL</w:t>
            </w:r>
            <w:r w:rsidR="0009277C" w:rsidRPr="00D51A68">
              <w:rPr>
                <w:rFonts w:ascii="Times New Roman" w:hAnsi="Times New Roman"/>
                <w:b/>
                <w:sz w:val="24"/>
                <w:u w:val="single"/>
              </w:rPr>
              <w:t>’</w:t>
            </w:r>
            <w:r w:rsidRPr="00D51A68">
              <w:rPr>
                <w:rFonts w:ascii="Times New Roman" w:hAnsi="Times New Roman"/>
                <w:b/>
                <w:sz w:val="24"/>
                <w:u w:val="single"/>
              </w:rPr>
              <w:t>AVVIO</w:t>
            </w:r>
          </w:p>
          <w:p w:rsidR="00612780" w:rsidRPr="00D51A68" w:rsidRDefault="00612780" w:rsidP="00612780">
            <w:pPr>
              <w:autoSpaceDE w:val="0"/>
              <w:autoSpaceDN w:val="0"/>
              <w:adjustRightInd w:val="0"/>
              <w:spacing w:before="0" w:after="0"/>
              <w:jc w:val="left"/>
              <w:rPr>
                <w:rFonts w:ascii="Times New Roman" w:hAnsi="Times New Roman"/>
                <w:b/>
                <w:sz w:val="24"/>
                <w:u w:val="single"/>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Queste righe contengono le informazioni sulle posizioni in essere trattate secondo il metodo basato sui rating e sulle posizioni in essere prive di rating (alla data di riferimento per le segnalazioni) secondo le classi di merito di credito (previste per il metodo IRB nella tabella 4 dell</w:t>
            </w:r>
            <w:r w:rsidR="0009277C" w:rsidRPr="00D51A68">
              <w:rPr>
                <w:rFonts w:ascii="Times New Roman" w:hAnsi="Times New Roman"/>
                <w:sz w:val="24"/>
              </w:rPr>
              <w:t>’</w:t>
            </w:r>
            <w:r w:rsidRPr="00D51A68">
              <w:rPr>
                <w:rFonts w:ascii="Times New Roman" w:hAnsi="Times New Roman"/>
                <w:sz w:val="24"/>
              </w:rPr>
              <w:t>articolo 261 del CRR) applicate alla data di creazione (avvio). In mancanza di questa informazione sono segnalati i dati disponibili equivalenti alle classi di merito di credito di più antica data.</w:t>
            </w:r>
          </w:p>
          <w:p w:rsidR="00612780" w:rsidRPr="00D51A68" w:rsidRDefault="00612780" w:rsidP="00612780">
            <w:pPr>
              <w:autoSpaceDE w:val="0"/>
              <w:autoSpaceDN w:val="0"/>
              <w:adjustRightInd w:val="0"/>
              <w:spacing w:before="0" w:after="0"/>
              <w:jc w:val="left"/>
              <w:rPr>
                <w:rFonts w:ascii="Times New Roman" w:hAnsi="Times New Roman"/>
                <w:sz w:val="24"/>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Queste righe devono essere compilate soltanto per le colonne 170, da 190 a 320 e da 400 a 410.</w:t>
            </w:r>
          </w:p>
          <w:p w:rsidR="00612780" w:rsidRPr="00D51A68" w:rsidRDefault="00612780" w:rsidP="00612780">
            <w:pPr>
              <w:autoSpaceDE w:val="0"/>
              <w:autoSpaceDN w:val="0"/>
              <w:adjustRightInd w:val="0"/>
              <w:spacing w:before="0" w:after="0"/>
              <w:jc w:val="left"/>
              <w:rPr>
                <w:rFonts w:ascii="Times New Roman" w:hAnsi="Times New Roman"/>
                <w:b/>
                <w:sz w:val="24"/>
                <w:u w:val="single"/>
              </w:rPr>
            </w:pPr>
          </w:p>
        </w:tc>
      </w:tr>
    </w:tbl>
    <w:p w:rsidR="00612780" w:rsidRPr="00D51A68" w:rsidRDefault="00612780" w:rsidP="00612780">
      <w:pPr>
        <w:autoSpaceDE w:val="0"/>
        <w:autoSpaceDN w:val="0"/>
        <w:adjustRightInd w:val="0"/>
        <w:spacing w:before="0" w:after="0"/>
        <w:jc w:val="left"/>
        <w:rPr>
          <w:rFonts w:ascii="Times New Roman" w:hAnsi="Times New Roman"/>
          <w:sz w:val="24"/>
        </w:rPr>
      </w:pPr>
    </w:p>
    <w:p w:rsidR="00612780" w:rsidRPr="00D51A68" w:rsidRDefault="00125707" w:rsidP="0023700C">
      <w:pPr>
        <w:pStyle w:val="Instructionsberschrift2"/>
        <w:numPr>
          <w:ilvl w:val="0"/>
          <w:numId w:val="0"/>
        </w:numPr>
        <w:ind w:left="357" w:hanging="357"/>
        <w:rPr>
          <w:rFonts w:ascii="Times New Roman" w:hAnsi="Times New Roman" w:cs="Times New Roman"/>
          <w:sz w:val="24"/>
        </w:rPr>
      </w:pPr>
      <w:bookmarkStart w:id="477" w:name="_Toc239157390"/>
      <w:bookmarkStart w:id="478" w:name="_Toc310415046"/>
      <w:bookmarkStart w:id="479" w:name="_Toc360188381"/>
      <w:bookmarkStart w:id="480" w:name="_Toc516210667"/>
      <w:bookmarkStart w:id="481" w:name="_Toc473560932"/>
      <w:bookmarkStart w:id="482" w:name="_Toc524096612"/>
      <w:r w:rsidRPr="00D51A68">
        <w:rPr>
          <w:rFonts w:ascii="Times New Roman" w:hAnsi="Times New Roman"/>
          <w:sz w:val="24"/>
          <w:u w:val="none"/>
        </w:rPr>
        <w:t>3.9.</w:t>
      </w:r>
      <w:r w:rsidR="00A0772B" w:rsidRPr="00D51A68">
        <w:rPr>
          <w:u w:val="none"/>
        </w:rPr>
        <w:tab/>
      </w:r>
      <w:r w:rsidRPr="00D51A68">
        <w:rPr>
          <w:rFonts w:ascii="Times New Roman" w:hAnsi="Times New Roman"/>
          <w:sz w:val="24"/>
        </w:rPr>
        <w:t xml:space="preserve">C 14.00 — </w:t>
      </w:r>
      <w:bookmarkEnd w:id="477"/>
      <w:r w:rsidRPr="00D51A68">
        <w:rPr>
          <w:rFonts w:ascii="Times New Roman" w:hAnsi="Times New Roman"/>
          <w:sz w:val="24"/>
        </w:rPr>
        <w:t>INFORMAZIONI DETTAGLIATE SULLE CARTOLARIZZAZIONI</w:t>
      </w:r>
      <w:bookmarkEnd w:id="478"/>
      <w:bookmarkEnd w:id="479"/>
      <w:r w:rsidRPr="00D51A68">
        <w:rPr>
          <w:rFonts w:ascii="Times New Roman" w:hAnsi="Times New Roman"/>
          <w:sz w:val="24"/>
        </w:rPr>
        <w:t xml:space="preserve"> (SEC DETAILS)</w:t>
      </w:r>
      <w:bookmarkEnd w:id="480"/>
      <w:bookmarkEnd w:id="481"/>
      <w:bookmarkEnd w:id="482"/>
    </w:p>
    <w:p w:rsidR="00612780" w:rsidRPr="00D51A68" w:rsidRDefault="00125707" w:rsidP="0023700C">
      <w:pPr>
        <w:pStyle w:val="Instructionsberschrift2"/>
        <w:numPr>
          <w:ilvl w:val="0"/>
          <w:numId w:val="0"/>
        </w:numPr>
        <w:ind w:left="357" w:hanging="357"/>
        <w:rPr>
          <w:rFonts w:ascii="Times New Roman" w:hAnsi="Times New Roman" w:cs="Times New Roman"/>
          <w:sz w:val="24"/>
        </w:rPr>
      </w:pPr>
      <w:bookmarkStart w:id="483" w:name="_Toc310415047"/>
      <w:bookmarkStart w:id="484" w:name="_Toc360188382"/>
      <w:bookmarkStart w:id="485" w:name="_Toc516210668"/>
      <w:bookmarkStart w:id="486" w:name="_Toc473560933"/>
      <w:bookmarkStart w:id="487" w:name="_Toc524096613"/>
      <w:r w:rsidRPr="00D51A68">
        <w:rPr>
          <w:rFonts w:ascii="Times New Roman" w:hAnsi="Times New Roman"/>
          <w:sz w:val="24"/>
          <w:u w:val="none"/>
        </w:rPr>
        <w:t>3.9.1.</w:t>
      </w:r>
      <w:r w:rsidR="00A0772B" w:rsidRPr="00D51A68">
        <w:rPr>
          <w:u w:val="none"/>
        </w:rPr>
        <w:tab/>
      </w:r>
      <w:r w:rsidRPr="00D51A68">
        <w:rPr>
          <w:rFonts w:ascii="Times New Roman" w:hAnsi="Times New Roman"/>
          <w:sz w:val="24"/>
        </w:rPr>
        <w:t>Osservazioni di carattere generale</w:t>
      </w:r>
      <w:bookmarkEnd w:id="483"/>
      <w:bookmarkEnd w:id="484"/>
      <w:bookmarkEnd w:id="485"/>
      <w:bookmarkEnd w:id="486"/>
      <w:bookmarkEnd w:id="487"/>
    </w:p>
    <w:p w:rsidR="00612780" w:rsidRPr="00D51A68" w:rsidRDefault="00125707" w:rsidP="00F31236">
      <w:pPr>
        <w:pStyle w:val="InstructionsText2"/>
        <w:numPr>
          <w:ilvl w:val="0"/>
          <w:numId w:val="0"/>
        </w:numPr>
        <w:ind w:left="993"/>
      </w:pPr>
      <w:r w:rsidRPr="00D51A68">
        <w:t>109.</w:t>
      </w:r>
      <w:r w:rsidR="00A0772B" w:rsidRPr="00D51A68">
        <w:tab/>
      </w:r>
      <w:r w:rsidRPr="00D51A68">
        <w:t>Questo modello contiene informazioni suddivise per singola operazione (a differenza delle informazioni aggregate segnalate nei modelli CR SEC SA, CR SEC IRB, MKR SA SEC, MKR SA CTP, CA1 e CA2) riguardanti tutte le cartolarizzazioni alle quali l</w:t>
      </w:r>
      <w:r w:rsidR="0009277C" w:rsidRPr="00D51A68">
        <w:t>’</w:t>
      </w:r>
      <w:r w:rsidRPr="00D51A68">
        <w:t xml:space="preserve">ente segnalante partecipa. Sono indicate le caratteristiche principali di ciascuna cartolarizzazione, quali la natura del pool sottostante e i requisiti di fondi propri. </w:t>
      </w:r>
    </w:p>
    <w:p w:rsidR="00612780" w:rsidRPr="00D51A68" w:rsidRDefault="00125707" w:rsidP="00F31236">
      <w:pPr>
        <w:pStyle w:val="InstructionsText2"/>
        <w:numPr>
          <w:ilvl w:val="0"/>
          <w:numId w:val="0"/>
        </w:numPr>
        <w:ind w:left="993"/>
      </w:pPr>
      <w:r w:rsidRPr="00D51A68">
        <w:t>110.</w:t>
      </w:r>
      <w:r w:rsidR="00A0772B" w:rsidRPr="00D51A68">
        <w:tab/>
      </w:r>
      <w:r w:rsidRPr="00D51A68">
        <w:t>Questo modello deve essere compilato per:</w:t>
      </w:r>
    </w:p>
    <w:p w:rsidR="00612780" w:rsidRPr="00D51A68" w:rsidRDefault="00125707" w:rsidP="00F31236">
      <w:pPr>
        <w:pStyle w:val="InstructionsText2"/>
        <w:numPr>
          <w:ilvl w:val="0"/>
          <w:numId w:val="0"/>
        </w:numPr>
        <w:ind w:left="993"/>
      </w:pPr>
      <w:r w:rsidRPr="00D51A68">
        <w:lastRenderedPageBreak/>
        <w:t>a.</w:t>
      </w:r>
      <w:r w:rsidR="00A0772B" w:rsidRPr="00D51A68">
        <w:tab/>
      </w:r>
      <w:r w:rsidRPr="00D51A68">
        <w:t>le cartolarizzazioni create/promosse dall</w:t>
      </w:r>
      <w:r w:rsidR="0009277C" w:rsidRPr="00D51A68">
        <w:t>’</w:t>
      </w:r>
      <w:r w:rsidRPr="00D51A68">
        <w:t>ente segnalante qualora esso detenga almeno una posizione nella cartolarizzazione. Ciò significa che, a prescindere dal fatto che vi sia o non vi sia stato un trasferimento significativo del rischio, l</w:t>
      </w:r>
      <w:r w:rsidR="0009277C" w:rsidRPr="00D51A68">
        <w:t>’</w:t>
      </w:r>
      <w:r w:rsidRPr="00D51A68">
        <w:t>ente segnala informazioni riguardanti tutte le posizioni da esso detenute (nel portafoglio bancario oppure nel portafoglio di negoziazione). Le posizioni detenute comprendono quelle mantenute ai sensi dell</w:t>
      </w:r>
      <w:r w:rsidR="0009277C" w:rsidRPr="00D51A68">
        <w:t>’</w:t>
      </w:r>
      <w:r w:rsidRPr="00D51A68">
        <w:t>articolo 405 del CRR;</w:t>
      </w:r>
    </w:p>
    <w:p w:rsidR="00612780" w:rsidRPr="00D51A68" w:rsidRDefault="00125707" w:rsidP="00F31236">
      <w:pPr>
        <w:pStyle w:val="InstructionsText2"/>
        <w:numPr>
          <w:ilvl w:val="0"/>
          <w:numId w:val="0"/>
        </w:numPr>
        <w:ind w:left="993"/>
      </w:pPr>
      <w:r w:rsidRPr="00D51A68">
        <w:t>b.</w:t>
      </w:r>
      <w:r w:rsidR="00A0772B" w:rsidRPr="00D51A68">
        <w:tab/>
      </w:r>
      <w:r w:rsidRPr="00D51A68">
        <w:t>le cartolarizzazioni create/promosse dall</w:t>
      </w:r>
      <w:r w:rsidR="0009277C" w:rsidRPr="00D51A68">
        <w:t>’</w:t>
      </w:r>
      <w:r w:rsidRPr="00D51A68">
        <w:t>ente segnalante durante l</w:t>
      </w:r>
      <w:r w:rsidR="0009277C" w:rsidRPr="00D51A68">
        <w:t>’</w:t>
      </w:r>
      <w:r w:rsidRPr="00D51A68">
        <w:t>anno di riferimento della segnalazione</w:t>
      </w:r>
      <w:r w:rsidRPr="00D51A68">
        <w:rPr>
          <w:vertAlign w:val="superscript"/>
        </w:rPr>
        <w:footnoteReference w:id="2"/>
      </w:r>
      <w:r w:rsidRPr="00D51A68">
        <w:t>, qualora esso non detenga alcuna posizione;</w:t>
      </w:r>
    </w:p>
    <w:p w:rsidR="00612780" w:rsidRPr="00D51A68" w:rsidRDefault="00125707" w:rsidP="00F31236">
      <w:pPr>
        <w:pStyle w:val="InstructionsText2"/>
        <w:numPr>
          <w:ilvl w:val="0"/>
          <w:numId w:val="0"/>
        </w:numPr>
        <w:ind w:left="993"/>
      </w:pPr>
      <w:r w:rsidRPr="00D51A68">
        <w:t>c.</w:t>
      </w:r>
      <w:r w:rsidR="00A0772B" w:rsidRPr="00D51A68">
        <w:tab/>
      </w:r>
      <w:r w:rsidRPr="00D51A68">
        <w:t>le cartolarizzazioni il cui sottostante finale è costituito da passività finanziarie emesse originariamente dall</w:t>
      </w:r>
      <w:r w:rsidR="0009277C" w:rsidRPr="00D51A68">
        <w:t>’</w:t>
      </w:r>
      <w:r w:rsidRPr="00D51A68">
        <w:t>ente segnalante e acquisite (parzialmente) da un veicolo per la cartolarizzazione. Tale sottostante potrebbe includere obbligazioni garantite o altre passività ed è identificato come tale nella colonna 160;</w:t>
      </w:r>
    </w:p>
    <w:p w:rsidR="00E50E79" w:rsidRPr="00D51A68" w:rsidRDefault="00125707" w:rsidP="00F31236">
      <w:pPr>
        <w:pStyle w:val="InstructionsText2"/>
        <w:numPr>
          <w:ilvl w:val="0"/>
          <w:numId w:val="0"/>
        </w:numPr>
        <w:ind w:left="993"/>
      </w:pPr>
      <w:r w:rsidRPr="00D51A68">
        <w:t>d.</w:t>
      </w:r>
      <w:r w:rsidR="00A0772B" w:rsidRPr="00D51A68">
        <w:tab/>
      </w:r>
      <w:r w:rsidRPr="00D51A68">
        <w:t>le posizioni detenute nelle cartolarizzazioni quando l</w:t>
      </w:r>
      <w:r w:rsidR="0009277C" w:rsidRPr="00D51A68">
        <w:t>’</w:t>
      </w:r>
      <w:r w:rsidRPr="00D51A68">
        <w:t>ente segnalante non è né il cedente né il promotore (ossia è investitore e prestatore originario).</w:t>
      </w:r>
    </w:p>
    <w:p w:rsidR="00612780" w:rsidRPr="00D51A68" w:rsidRDefault="00125707" w:rsidP="00F31236">
      <w:pPr>
        <w:pStyle w:val="InstructionsText2"/>
        <w:numPr>
          <w:ilvl w:val="0"/>
          <w:numId w:val="0"/>
        </w:numPr>
        <w:ind w:left="993"/>
      </w:pPr>
      <w:r w:rsidRPr="00D51A68">
        <w:t>111.</w:t>
      </w:r>
      <w:r w:rsidR="00A0772B" w:rsidRPr="00D51A68">
        <w:tab/>
      </w:r>
      <w:r w:rsidRPr="00D51A68">
        <w:t>Questo modello deve essere compilato dai gruppi consolidati e dagli enti autonomi</w:t>
      </w:r>
      <w:r w:rsidRPr="00D51A68">
        <w:rPr>
          <w:vertAlign w:val="superscript"/>
        </w:rPr>
        <w:footnoteReference w:id="3"/>
      </w:r>
      <w:r w:rsidRPr="00D51A68">
        <w:t xml:space="preserve"> situati nello stesso paese in cui sono soggetti ai requisiti di fondi propri. Nel caso di cartolarizzazioni che coinvolgono più di un soggetto del medesimo gruppo consolidato, è segnalata la ripartizione dettagliata per singolo soggetto. </w:t>
      </w:r>
    </w:p>
    <w:p w:rsidR="00612780" w:rsidRPr="00D51A68" w:rsidRDefault="00125707" w:rsidP="00F31236">
      <w:pPr>
        <w:pStyle w:val="InstructionsText2"/>
        <w:numPr>
          <w:ilvl w:val="0"/>
          <w:numId w:val="0"/>
        </w:numPr>
        <w:ind w:left="993"/>
      </w:pPr>
      <w:r w:rsidRPr="00D51A68">
        <w:t>112.</w:t>
      </w:r>
      <w:r w:rsidR="00A0772B" w:rsidRPr="00D51A68">
        <w:tab/>
      </w:r>
      <w:r w:rsidRPr="00D51A68">
        <w:t>In considerazione dell</w:t>
      </w:r>
      <w:r w:rsidR="0009277C" w:rsidRPr="00D51A68">
        <w:t>’</w:t>
      </w:r>
      <w:r w:rsidRPr="00D51A68">
        <w:t>articolo 406, paragrafo 1, del CRR, secondo il quale gli enti che investono in posizioni verso la cartolarizzazione devono acquisire molte informazioni sulle posizioni stesse per adempiere gli obblighi di due diligence, l</w:t>
      </w:r>
      <w:r w:rsidR="0009277C" w:rsidRPr="00D51A68">
        <w:t>’</w:t>
      </w:r>
      <w:r w:rsidRPr="00D51A68">
        <w:t>ambito di segnalazione del modello si applica agli investitori in misura ridotta. In particolare, gli investitori devono compilare le colonne da 010 a 040, da 070 a 110, 160, 190, da 290 a 400 e da 420 a 470.</w:t>
      </w:r>
    </w:p>
    <w:p w:rsidR="00612780" w:rsidRPr="00D51A68" w:rsidRDefault="00125707" w:rsidP="00F31236">
      <w:pPr>
        <w:pStyle w:val="InstructionsText2"/>
        <w:numPr>
          <w:ilvl w:val="0"/>
          <w:numId w:val="0"/>
        </w:numPr>
        <w:ind w:left="993"/>
      </w:pPr>
      <w:r w:rsidRPr="00D51A68">
        <w:t>113.</w:t>
      </w:r>
      <w:r w:rsidR="00A0772B" w:rsidRPr="00D51A68">
        <w:tab/>
      </w:r>
      <w:r w:rsidRPr="00D51A68">
        <w:t>Gli enti che hanno il ruolo di prestatori originari (e che non hanno anche il ruolo di cedente o promotore nella medesima cartolarizzazione) devono in linea di massima compilare il modello nella stessa misura degli investitori.</w:t>
      </w:r>
    </w:p>
    <w:p w:rsidR="00612780" w:rsidRPr="00D51A68" w:rsidRDefault="00125707" w:rsidP="0023700C">
      <w:pPr>
        <w:pStyle w:val="Instructionsberschrift2"/>
        <w:numPr>
          <w:ilvl w:val="0"/>
          <w:numId w:val="0"/>
        </w:numPr>
        <w:ind w:left="357" w:hanging="357"/>
        <w:rPr>
          <w:rFonts w:ascii="Times New Roman" w:hAnsi="Times New Roman" w:cs="Times New Roman"/>
          <w:sz w:val="24"/>
        </w:rPr>
      </w:pPr>
      <w:bookmarkStart w:id="488" w:name="_Toc310415048"/>
      <w:bookmarkStart w:id="489" w:name="_Toc360188383"/>
      <w:bookmarkStart w:id="490" w:name="_Toc516210669"/>
      <w:bookmarkStart w:id="491" w:name="_Toc473560934"/>
      <w:bookmarkStart w:id="492" w:name="_Toc524096614"/>
      <w:r w:rsidRPr="00D51A68">
        <w:rPr>
          <w:rFonts w:ascii="Times New Roman" w:hAnsi="Times New Roman"/>
          <w:sz w:val="24"/>
          <w:u w:val="none"/>
        </w:rPr>
        <w:t>3.9.2.</w:t>
      </w:r>
      <w:r w:rsidR="00A0772B" w:rsidRPr="00D51A68">
        <w:rPr>
          <w:u w:val="none"/>
        </w:rPr>
        <w:tab/>
      </w:r>
      <w:r w:rsidRPr="00D51A68">
        <w:rPr>
          <w:rFonts w:ascii="Times New Roman" w:hAnsi="Times New Roman"/>
          <w:sz w:val="24"/>
        </w:rPr>
        <w:t>Istruzioni relative a posizioni specifiche</w:t>
      </w:r>
      <w:bookmarkEnd w:id="488"/>
      <w:bookmarkEnd w:id="489"/>
      <w:bookmarkEnd w:id="490"/>
      <w:bookmarkEnd w:id="491"/>
      <w:bookmarkEnd w:id="492"/>
    </w:p>
    <w:p w:rsidR="00612780" w:rsidRPr="00D51A68" w:rsidRDefault="00612780" w:rsidP="00612780">
      <w:pPr>
        <w:autoSpaceDE w:val="0"/>
        <w:autoSpaceDN w:val="0"/>
        <w:adjustRightInd w:val="0"/>
        <w:spacing w:before="0" w:after="0"/>
        <w:ind w:left="284"/>
        <w:jc w:val="left"/>
        <w:rPr>
          <w:rFonts w:ascii="Times New Roman" w:hAnsi="Times New Roman"/>
          <w:sz w:val="24"/>
        </w:rPr>
      </w:pPr>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612780" w:rsidRPr="00D51A68" w:rsidTr="00672D2A">
        <w:tc>
          <w:tcPr>
            <w:tcW w:w="9004" w:type="dxa"/>
            <w:gridSpan w:val="2"/>
            <w:shd w:val="clear" w:color="auto" w:fill="CCCCCC"/>
          </w:tcPr>
          <w:p w:rsidR="00612780" w:rsidRPr="00D51A68" w:rsidRDefault="00612780" w:rsidP="00612780">
            <w:pPr>
              <w:autoSpaceDE w:val="0"/>
              <w:autoSpaceDN w:val="0"/>
              <w:adjustRightInd w:val="0"/>
              <w:spacing w:before="0" w:after="0"/>
              <w:rPr>
                <w:rFonts w:ascii="Times New Roman" w:hAnsi="Times New Roman"/>
                <w:bCs/>
                <w:sz w:val="24"/>
              </w:rPr>
            </w:pPr>
          </w:p>
          <w:p w:rsidR="00612780" w:rsidRPr="00D51A68" w:rsidRDefault="00612780" w:rsidP="00612780">
            <w:pPr>
              <w:autoSpaceDE w:val="0"/>
              <w:autoSpaceDN w:val="0"/>
              <w:adjustRightInd w:val="0"/>
              <w:spacing w:before="0" w:after="0"/>
              <w:rPr>
                <w:rFonts w:ascii="Times New Roman" w:hAnsi="Times New Roman"/>
                <w:b/>
                <w:bCs/>
                <w:sz w:val="24"/>
              </w:rPr>
            </w:pPr>
            <w:r w:rsidRPr="00D51A68">
              <w:rPr>
                <w:rFonts w:ascii="Times New Roman" w:hAnsi="Times New Roman"/>
                <w:b/>
                <w:sz w:val="24"/>
              </w:rPr>
              <w:t>Colonne</w:t>
            </w:r>
          </w:p>
          <w:p w:rsidR="00612780" w:rsidRPr="00D51A68" w:rsidRDefault="00612780" w:rsidP="00612780">
            <w:pPr>
              <w:autoSpaceDE w:val="0"/>
              <w:autoSpaceDN w:val="0"/>
              <w:adjustRightInd w:val="0"/>
              <w:spacing w:before="0" w:after="0"/>
              <w:rPr>
                <w:rFonts w:ascii="Times New Roman" w:hAnsi="Times New Roman"/>
                <w:bCs/>
                <w:sz w:val="24"/>
              </w:rPr>
            </w:pPr>
          </w:p>
        </w:tc>
      </w:tr>
      <w:tr w:rsidR="007F7831" w:rsidRPr="00D51A68" w:rsidTr="00672D2A">
        <w:tc>
          <w:tcPr>
            <w:tcW w:w="1101" w:type="dxa"/>
          </w:tcPr>
          <w:p w:rsidR="007F7831" w:rsidRPr="00D51A68" w:rsidRDefault="007F7831" w:rsidP="00612780">
            <w:pPr>
              <w:autoSpaceDE w:val="0"/>
              <w:autoSpaceDN w:val="0"/>
              <w:adjustRightInd w:val="0"/>
              <w:spacing w:before="0" w:after="0"/>
              <w:rPr>
                <w:rFonts w:ascii="Times New Roman" w:hAnsi="Times New Roman"/>
                <w:bCs/>
                <w:sz w:val="24"/>
              </w:rPr>
            </w:pPr>
            <w:r w:rsidRPr="00D51A68">
              <w:rPr>
                <w:rFonts w:ascii="Times New Roman" w:hAnsi="Times New Roman"/>
                <w:sz w:val="24"/>
              </w:rPr>
              <w:t>005</w:t>
            </w:r>
          </w:p>
        </w:tc>
        <w:tc>
          <w:tcPr>
            <w:tcW w:w="7903" w:type="dxa"/>
          </w:tcPr>
          <w:p w:rsidR="007F7831" w:rsidRPr="00D51A68" w:rsidRDefault="007F7831" w:rsidP="00612780">
            <w:pPr>
              <w:spacing w:before="0" w:after="0"/>
              <w:jc w:val="left"/>
              <w:rPr>
                <w:rFonts w:ascii="Times New Roman" w:hAnsi="Times New Roman"/>
                <w:b/>
                <w:sz w:val="24"/>
                <w:u w:val="single"/>
              </w:rPr>
            </w:pPr>
            <w:r w:rsidRPr="00D51A68">
              <w:rPr>
                <w:rFonts w:ascii="Times New Roman" w:hAnsi="Times New Roman"/>
                <w:b/>
                <w:sz w:val="24"/>
                <w:u w:val="single"/>
              </w:rPr>
              <w:t>NUMERO DI RIGA</w:t>
            </w:r>
          </w:p>
          <w:p w:rsidR="007F7831" w:rsidRPr="00D51A68" w:rsidRDefault="007F7831" w:rsidP="00612780">
            <w:pPr>
              <w:spacing w:before="0" w:after="0"/>
              <w:jc w:val="left"/>
              <w:rPr>
                <w:rFonts w:ascii="Times New Roman" w:hAnsi="Times New Roman"/>
                <w:b/>
                <w:sz w:val="24"/>
                <w:u w:val="single"/>
              </w:rPr>
            </w:pPr>
          </w:p>
          <w:p w:rsidR="007F7831" w:rsidRPr="00D51A68" w:rsidRDefault="007F7831" w:rsidP="00FF2D0E">
            <w:pPr>
              <w:autoSpaceDE w:val="0"/>
              <w:autoSpaceDN w:val="0"/>
              <w:adjustRightInd w:val="0"/>
              <w:spacing w:before="0" w:after="0"/>
              <w:rPr>
                <w:rFonts w:ascii="Times New Roman" w:hAnsi="Times New Roman"/>
                <w:sz w:val="24"/>
              </w:rPr>
            </w:pPr>
            <w:r w:rsidRPr="00D51A68">
              <w:rPr>
                <w:rFonts w:ascii="Times New Roman" w:hAnsi="Times New Roman"/>
                <w:sz w:val="24"/>
              </w:rPr>
              <w:t>Il numero di riga è un identificatore di riga ed è unico per ciascuna riga della tabella. Segue l</w:t>
            </w:r>
            <w:r w:rsidR="0009277C" w:rsidRPr="00D51A68">
              <w:rPr>
                <w:rFonts w:ascii="Times New Roman" w:hAnsi="Times New Roman"/>
                <w:sz w:val="24"/>
              </w:rPr>
              <w:t>’</w:t>
            </w:r>
            <w:r w:rsidRPr="00D51A68">
              <w:rPr>
                <w:rFonts w:ascii="Times New Roman" w:hAnsi="Times New Roman"/>
                <w:sz w:val="24"/>
              </w:rPr>
              <w:t>ordine numerico 1, 2, 3 ecc.</w:t>
            </w:r>
          </w:p>
          <w:p w:rsidR="007F7831" w:rsidRPr="00D51A68" w:rsidRDefault="007F7831" w:rsidP="00FF2D0E">
            <w:pPr>
              <w:autoSpaceDE w:val="0"/>
              <w:autoSpaceDN w:val="0"/>
              <w:adjustRightInd w:val="0"/>
              <w:spacing w:before="0" w:after="0"/>
              <w:rPr>
                <w:rFonts w:ascii="Times New Roman" w:hAnsi="Times New Roman"/>
                <w:b/>
                <w:sz w:val="24"/>
                <w:u w:val="single"/>
              </w:rPr>
            </w:pPr>
          </w:p>
        </w:tc>
      </w:tr>
      <w:tr w:rsidR="00612780" w:rsidRPr="00D51A68" w:rsidTr="00233F01">
        <w:trPr>
          <w:cantSplit/>
        </w:trPr>
        <w:tc>
          <w:tcPr>
            <w:tcW w:w="1101" w:type="dxa"/>
          </w:tcPr>
          <w:p w:rsidR="00612780" w:rsidRPr="00D51A68" w:rsidRDefault="00612780" w:rsidP="00612780">
            <w:pPr>
              <w:autoSpaceDE w:val="0"/>
              <w:autoSpaceDN w:val="0"/>
              <w:adjustRightInd w:val="0"/>
              <w:spacing w:before="0" w:after="0"/>
              <w:rPr>
                <w:rFonts w:ascii="Times New Roman" w:hAnsi="Times New Roman"/>
                <w:bCs/>
                <w:sz w:val="24"/>
                <w:highlight w:val="yellow"/>
              </w:rPr>
            </w:pPr>
            <w:r w:rsidRPr="00D51A68">
              <w:rPr>
                <w:rFonts w:ascii="Times New Roman" w:hAnsi="Times New Roman"/>
                <w:sz w:val="24"/>
              </w:rPr>
              <w:lastRenderedPageBreak/>
              <w:t>010</w:t>
            </w:r>
          </w:p>
        </w:tc>
        <w:tc>
          <w:tcPr>
            <w:tcW w:w="7903" w:type="dxa"/>
          </w:tcPr>
          <w:p w:rsidR="00612780" w:rsidRPr="00D51A68" w:rsidRDefault="00612780" w:rsidP="00612780">
            <w:pPr>
              <w:spacing w:before="0" w:after="0"/>
              <w:jc w:val="left"/>
              <w:rPr>
                <w:rFonts w:ascii="Times New Roman" w:hAnsi="Times New Roman"/>
                <w:b/>
                <w:sz w:val="24"/>
                <w:u w:val="single"/>
              </w:rPr>
            </w:pPr>
            <w:r w:rsidRPr="00D51A68">
              <w:rPr>
                <w:rFonts w:ascii="Times New Roman" w:hAnsi="Times New Roman"/>
                <w:b/>
                <w:sz w:val="24"/>
                <w:u w:val="single"/>
              </w:rPr>
              <w:t>CODICE INTERNO</w:t>
            </w:r>
          </w:p>
          <w:p w:rsidR="00612780" w:rsidRPr="00D51A68" w:rsidRDefault="00612780" w:rsidP="00612780">
            <w:pPr>
              <w:spacing w:before="0" w:after="0"/>
              <w:jc w:val="left"/>
              <w:rPr>
                <w:rFonts w:ascii="Times New Roman" w:hAnsi="Times New Roman"/>
                <w:sz w:val="24"/>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Codice interno (alfanumerico) utilizzato dall</w:t>
            </w:r>
            <w:r w:rsidR="0009277C" w:rsidRPr="00D51A68">
              <w:rPr>
                <w:rFonts w:ascii="Times New Roman" w:hAnsi="Times New Roman"/>
                <w:sz w:val="24"/>
              </w:rPr>
              <w:t>’</w:t>
            </w:r>
            <w:r w:rsidRPr="00D51A68">
              <w:rPr>
                <w:rFonts w:ascii="Times New Roman" w:hAnsi="Times New Roman"/>
                <w:sz w:val="24"/>
              </w:rPr>
              <w:t>ente per identificare la cartolarizzazione. Il codice interno è associato all</w:t>
            </w:r>
            <w:r w:rsidR="0009277C" w:rsidRPr="00D51A68">
              <w:rPr>
                <w:rFonts w:ascii="Times New Roman" w:hAnsi="Times New Roman"/>
                <w:sz w:val="24"/>
              </w:rPr>
              <w:t>’</w:t>
            </w:r>
            <w:r w:rsidRPr="00D51A68">
              <w:rPr>
                <w:rFonts w:ascii="Times New Roman" w:hAnsi="Times New Roman"/>
                <w:sz w:val="24"/>
              </w:rPr>
              <w:t>identificativo della cartolarizzazione.</w:t>
            </w:r>
          </w:p>
          <w:p w:rsidR="00612780" w:rsidRPr="00D51A68" w:rsidRDefault="00612780" w:rsidP="00612780">
            <w:pPr>
              <w:autoSpaceDE w:val="0"/>
              <w:autoSpaceDN w:val="0"/>
              <w:adjustRightInd w:val="0"/>
              <w:spacing w:before="0" w:after="0"/>
              <w:jc w:val="left"/>
              <w:rPr>
                <w:rFonts w:ascii="Times New Roman" w:hAnsi="Times New Roman"/>
                <w:bCs/>
                <w:sz w:val="24"/>
              </w:rPr>
            </w:pPr>
          </w:p>
        </w:tc>
      </w:tr>
      <w:tr w:rsidR="00612780" w:rsidRPr="00D51A68" w:rsidTr="00672D2A">
        <w:tc>
          <w:tcPr>
            <w:tcW w:w="1101" w:type="dxa"/>
          </w:tcPr>
          <w:p w:rsidR="00612780" w:rsidRPr="00D51A68" w:rsidRDefault="00612780" w:rsidP="00612780">
            <w:pPr>
              <w:autoSpaceDE w:val="0"/>
              <w:autoSpaceDN w:val="0"/>
              <w:adjustRightInd w:val="0"/>
              <w:spacing w:before="0" w:after="0"/>
              <w:rPr>
                <w:rFonts w:ascii="Times New Roman" w:hAnsi="Times New Roman"/>
                <w:bCs/>
                <w:sz w:val="24"/>
              </w:rPr>
            </w:pPr>
            <w:r w:rsidRPr="00D51A68">
              <w:rPr>
                <w:rFonts w:ascii="Times New Roman" w:hAnsi="Times New Roman"/>
                <w:sz w:val="24"/>
              </w:rPr>
              <w:t>020</w:t>
            </w:r>
          </w:p>
        </w:tc>
        <w:tc>
          <w:tcPr>
            <w:tcW w:w="7903" w:type="dxa"/>
          </w:tcPr>
          <w:p w:rsidR="00612780" w:rsidRPr="00D51A68" w:rsidRDefault="00612780" w:rsidP="00612780">
            <w:pPr>
              <w:autoSpaceDE w:val="0"/>
              <w:autoSpaceDN w:val="0"/>
              <w:adjustRightInd w:val="0"/>
              <w:spacing w:before="0" w:after="0"/>
              <w:jc w:val="left"/>
              <w:rPr>
                <w:rFonts w:ascii="Times New Roman" w:hAnsi="Times New Roman"/>
                <w:b/>
                <w:sz w:val="24"/>
                <w:u w:val="single"/>
              </w:rPr>
            </w:pPr>
            <w:r w:rsidRPr="00D51A68">
              <w:rPr>
                <w:rFonts w:ascii="Times New Roman" w:hAnsi="Times New Roman"/>
                <w:b/>
                <w:sz w:val="24"/>
                <w:u w:val="single"/>
              </w:rPr>
              <w:t>IDENTIFICATIVO DELLA CARTOLARIZZAZIONE</w:t>
            </w:r>
            <w:r w:rsidRPr="00D51A68">
              <w:rPr>
                <w:rFonts w:ascii="Times New Roman" w:hAnsi="Times New Roman"/>
                <w:b/>
                <w:sz w:val="24"/>
              </w:rPr>
              <w:t xml:space="preserve"> (codice/denominazione)</w:t>
            </w:r>
          </w:p>
          <w:p w:rsidR="00612780" w:rsidRPr="00D51A68" w:rsidRDefault="00612780" w:rsidP="00612780">
            <w:pPr>
              <w:spacing w:before="0" w:after="0"/>
              <w:jc w:val="left"/>
              <w:rPr>
                <w:rFonts w:ascii="Times New Roman" w:hAnsi="Times New Roman"/>
                <w:sz w:val="24"/>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Codice utilizzato per la registrazione legale della cartolarizzazione o, in sua mancanza, denominazione con la quale la cartolarizzazione è nota sul mercato. Quando è disponibile il numero internazionale di identificazione dei titoli (International Securities Identification Number — ISIN), ossia nel caso di operazioni pubbliche, in questa colonna sono riportati i caratteri comuni a tutti i segmenti della cartolarizzazione.</w:t>
            </w:r>
          </w:p>
          <w:p w:rsidR="00612780" w:rsidRPr="00D51A68" w:rsidRDefault="00612780" w:rsidP="00612780">
            <w:pPr>
              <w:autoSpaceDE w:val="0"/>
              <w:autoSpaceDN w:val="0"/>
              <w:adjustRightInd w:val="0"/>
              <w:spacing w:before="0" w:after="0"/>
              <w:jc w:val="left"/>
              <w:rPr>
                <w:rFonts w:ascii="Times New Roman" w:hAnsi="Times New Roman"/>
                <w:bCs/>
                <w:sz w:val="24"/>
              </w:rPr>
            </w:pPr>
          </w:p>
        </w:tc>
      </w:tr>
      <w:tr w:rsidR="00612780" w:rsidRPr="00D51A68" w:rsidTr="00672D2A">
        <w:tc>
          <w:tcPr>
            <w:tcW w:w="1101" w:type="dxa"/>
          </w:tcPr>
          <w:p w:rsidR="00612780" w:rsidRPr="00D51A68" w:rsidRDefault="00612780" w:rsidP="00612780">
            <w:pPr>
              <w:autoSpaceDE w:val="0"/>
              <w:autoSpaceDN w:val="0"/>
              <w:adjustRightInd w:val="0"/>
              <w:spacing w:before="0" w:after="0"/>
              <w:rPr>
                <w:rFonts w:ascii="Times New Roman" w:hAnsi="Times New Roman"/>
                <w:bCs/>
                <w:sz w:val="24"/>
              </w:rPr>
            </w:pPr>
            <w:r w:rsidRPr="00D51A68">
              <w:rPr>
                <w:rFonts w:ascii="Times New Roman" w:hAnsi="Times New Roman"/>
                <w:sz w:val="24"/>
              </w:rPr>
              <w:t>030</w:t>
            </w:r>
          </w:p>
        </w:tc>
        <w:tc>
          <w:tcPr>
            <w:tcW w:w="7903" w:type="dxa"/>
          </w:tcPr>
          <w:p w:rsidR="00612780" w:rsidRPr="00D51A68" w:rsidRDefault="00612780" w:rsidP="00612780">
            <w:pPr>
              <w:autoSpaceDE w:val="0"/>
              <w:autoSpaceDN w:val="0"/>
              <w:adjustRightInd w:val="0"/>
              <w:spacing w:before="0" w:after="0"/>
              <w:jc w:val="left"/>
              <w:rPr>
                <w:rFonts w:ascii="Times New Roman" w:hAnsi="Times New Roman"/>
                <w:b/>
                <w:sz w:val="24"/>
                <w:u w:val="single"/>
              </w:rPr>
            </w:pPr>
            <w:r w:rsidRPr="00D51A68">
              <w:rPr>
                <w:rFonts w:ascii="Times New Roman" w:hAnsi="Times New Roman"/>
                <w:b/>
                <w:sz w:val="24"/>
                <w:u w:val="single"/>
              </w:rPr>
              <w:t>IDENTIFICATIVO DEL CEDENTE</w:t>
            </w:r>
            <w:r w:rsidRPr="00D51A68">
              <w:rPr>
                <w:rFonts w:ascii="Times New Roman" w:hAnsi="Times New Roman"/>
                <w:b/>
                <w:sz w:val="24"/>
              </w:rPr>
              <w:t xml:space="preserve"> (codice/denominazione)</w:t>
            </w:r>
          </w:p>
          <w:p w:rsidR="00612780" w:rsidRPr="00D51A68" w:rsidRDefault="00612780" w:rsidP="00612780">
            <w:pPr>
              <w:autoSpaceDE w:val="0"/>
              <w:autoSpaceDN w:val="0"/>
              <w:adjustRightInd w:val="0"/>
              <w:spacing w:before="0" w:after="0"/>
              <w:jc w:val="left"/>
              <w:rPr>
                <w:rFonts w:ascii="Times New Roman" w:hAnsi="Times New Roman"/>
                <w:sz w:val="24"/>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In questa colonna è segnalato il codice attribuito al cedente dall</w:t>
            </w:r>
            <w:r w:rsidR="0009277C" w:rsidRPr="00D51A68">
              <w:rPr>
                <w:rFonts w:ascii="Times New Roman" w:hAnsi="Times New Roman"/>
                <w:sz w:val="24"/>
              </w:rPr>
              <w:t>’</w:t>
            </w:r>
            <w:r w:rsidRPr="00D51A68">
              <w:rPr>
                <w:rFonts w:ascii="Times New Roman" w:hAnsi="Times New Roman"/>
                <w:sz w:val="24"/>
              </w:rPr>
              <w:t>autorità di vigilanza o, in sua mancanza, la denominazione dell</w:t>
            </w:r>
            <w:r w:rsidR="0009277C" w:rsidRPr="00D51A68">
              <w:rPr>
                <w:rFonts w:ascii="Times New Roman" w:hAnsi="Times New Roman"/>
                <w:sz w:val="24"/>
              </w:rPr>
              <w:t>’</w:t>
            </w:r>
            <w:r w:rsidRPr="00D51A68">
              <w:rPr>
                <w:rFonts w:ascii="Times New Roman" w:hAnsi="Times New Roman"/>
                <w:sz w:val="24"/>
              </w:rPr>
              <w:t>ente.</w:t>
            </w:r>
          </w:p>
          <w:p w:rsidR="00612780" w:rsidRPr="00D51A68" w:rsidRDefault="00612780" w:rsidP="00612780">
            <w:pPr>
              <w:autoSpaceDE w:val="0"/>
              <w:autoSpaceDN w:val="0"/>
              <w:adjustRightInd w:val="0"/>
              <w:spacing w:before="0" w:after="0"/>
              <w:rPr>
                <w:rFonts w:ascii="Times New Roman" w:hAnsi="Times New Roman"/>
                <w:sz w:val="24"/>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Per le cartolarizzazioni multi-seller, il soggetto segnalante riporta l</w:t>
            </w:r>
            <w:r w:rsidR="0009277C" w:rsidRPr="00D51A68">
              <w:rPr>
                <w:rFonts w:ascii="Times New Roman" w:hAnsi="Times New Roman"/>
                <w:sz w:val="24"/>
              </w:rPr>
              <w:t>’</w:t>
            </w:r>
            <w:r w:rsidRPr="00D51A68">
              <w:rPr>
                <w:rFonts w:ascii="Times New Roman" w:hAnsi="Times New Roman"/>
                <w:sz w:val="24"/>
              </w:rPr>
              <w:t>identificativo di tutti i soggetti appartenenti al suo gruppo consolidato che sono coinvolti nell</w:t>
            </w:r>
            <w:r w:rsidR="0009277C" w:rsidRPr="00D51A68">
              <w:rPr>
                <w:rFonts w:ascii="Times New Roman" w:hAnsi="Times New Roman"/>
                <w:sz w:val="24"/>
              </w:rPr>
              <w:t>’</w:t>
            </w:r>
            <w:r w:rsidRPr="00D51A68">
              <w:rPr>
                <w:rFonts w:ascii="Times New Roman" w:hAnsi="Times New Roman"/>
                <w:sz w:val="24"/>
              </w:rPr>
              <w:t>operazione (come cedente, promotore o prestatore originario). Se il codice non è disponibile o non è noto al soggetto segnalante, è indicata la denominazione dell</w:t>
            </w:r>
            <w:r w:rsidR="0009277C" w:rsidRPr="00D51A68">
              <w:rPr>
                <w:rFonts w:ascii="Times New Roman" w:hAnsi="Times New Roman"/>
                <w:sz w:val="24"/>
              </w:rPr>
              <w:t>’</w:t>
            </w:r>
            <w:r w:rsidRPr="00D51A68">
              <w:rPr>
                <w:rFonts w:ascii="Times New Roman" w:hAnsi="Times New Roman"/>
                <w:sz w:val="24"/>
              </w:rPr>
              <w:t>ente.</w:t>
            </w:r>
          </w:p>
          <w:p w:rsidR="00612780" w:rsidRPr="00D51A68" w:rsidRDefault="00612780" w:rsidP="00612780">
            <w:pPr>
              <w:autoSpaceDE w:val="0"/>
              <w:autoSpaceDN w:val="0"/>
              <w:adjustRightInd w:val="0"/>
              <w:spacing w:before="0" w:after="0"/>
              <w:rPr>
                <w:rFonts w:ascii="Times New Roman" w:hAnsi="Times New Roman"/>
                <w:bCs/>
                <w:sz w:val="24"/>
              </w:rPr>
            </w:pPr>
          </w:p>
        </w:tc>
      </w:tr>
      <w:tr w:rsidR="00612780" w:rsidRPr="00D51A68" w:rsidTr="00672D2A">
        <w:tc>
          <w:tcPr>
            <w:tcW w:w="1101" w:type="dxa"/>
          </w:tcPr>
          <w:p w:rsidR="00612780" w:rsidRPr="00D51A68" w:rsidRDefault="00612780" w:rsidP="00612780">
            <w:pPr>
              <w:autoSpaceDE w:val="0"/>
              <w:autoSpaceDN w:val="0"/>
              <w:adjustRightInd w:val="0"/>
              <w:spacing w:before="0" w:after="0"/>
              <w:rPr>
                <w:rFonts w:ascii="Times New Roman" w:hAnsi="Times New Roman"/>
                <w:bCs/>
                <w:sz w:val="24"/>
                <w:highlight w:val="yellow"/>
              </w:rPr>
            </w:pPr>
            <w:r w:rsidRPr="00D51A68">
              <w:rPr>
                <w:rFonts w:ascii="Times New Roman" w:hAnsi="Times New Roman"/>
                <w:sz w:val="24"/>
              </w:rPr>
              <w:t>040</w:t>
            </w:r>
          </w:p>
        </w:tc>
        <w:tc>
          <w:tcPr>
            <w:tcW w:w="7903" w:type="dxa"/>
          </w:tcPr>
          <w:p w:rsidR="00612780" w:rsidRPr="00D51A68" w:rsidRDefault="00612780" w:rsidP="00612780">
            <w:pPr>
              <w:spacing w:before="0" w:after="0"/>
              <w:jc w:val="left"/>
              <w:rPr>
                <w:rFonts w:ascii="Times New Roman" w:hAnsi="Times New Roman"/>
                <w:b/>
                <w:sz w:val="24"/>
                <w:u w:val="single"/>
              </w:rPr>
            </w:pPr>
            <w:r w:rsidRPr="00D51A68">
              <w:rPr>
                <w:rFonts w:ascii="Times New Roman" w:hAnsi="Times New Roman"/>
                <w:b/>
                <w:sz w:val="24"/>
                <w:u w:val="single"/>
              </w:rPr>
              <w:t xml:space="preserve">TIPO DI CARTOLARIZZAZIONE: (TRADIZIONALE/SINTETICA) </w:t>
            </w:r>
          </w:p>
          <w:p w:rsidR="00612780" w:rsidRPr="00D51A68" w:rsidRDefault="00612780" w:rsidP="00612780">
            <w:pPr>
              <w:spacing w:before="0" w:after="0"/>
              <w:jc w:val="left"/>
              <w:rPr>
                <w:rFonts w:ascii="Times New Roman" w:hAnsi="Times New Roman"/>
                <w:sz w:val="24"/>
              </w:rPr>
            </w:pPr>
          </w:p>
          <w:p w:rsidR="00612780" w:rsidRPr="00D51A68" w:rsidRDefault="00612780" w:rsidP="00612780">
            <w:pPr>
              <w:autoSpaceDE w:val="0"/>
              <w:autoSpaceDN w:val="0"/>
              <w:adjustRightInd w:val="0"/>
              <w:spacing w:before="0" w:after="0"/>
              <w:jc w:val="left"/>
              <w:rPr>
                <w:rFonts w:ascii="Times New Roman" w:hAnsi="Times New Roman"/>
                <w:sz w:val="24"/>
              </w:rPr>
            </w:pPr>
            <w:r w:rsidRPr="00D51A68">
              <w:rPr>
                <w:rFonts w:ascii="Times New Roman" w:hAnsi="Times New Roman"/>
                <w:sz w:val="24"/>
              </w:rPr>
              <w:t>Inserire le seguenti abbreviazioni:</w:t>
            </w:r>
            <w:r w:rsidRPr="00D51A68">
              <w:rPr>
                <w:rFonts w:ascii="Times New Roman" w:hAnsi="Times New Roman"/>
                <w:sz w:val="24"/>
              </w:rPr>
              <w:br/>
              <w:t xml:space="preserve">- </w:t>
            </w:r>
            <w:r w:rsidR="0009277C" w:rsidRPr="00D51A68">
              <w:rPr>
                <w:rFonts w:ascii="Times New Roman" w:hAnsi="Times New Roman"/>
                <w:sz w:val="24"/>
              </w:rPr>
              <w:t>“</w:t>
            </w:r>
            <w:r w:rsidRPr="00D51A68">
              <w:rPr>
                <w:rFonts w:ascii="Times New Roman" w:hAnsi="Times New Roman"/>
                <w:sz w:val="24"/>
              </w:rPr>
              <w:t>T</w:t>
            </w:r>
            <w:r w:rsidR="0009277C" w:rsidRPr="00D51A68">
              <w:rPr>
                <w:rFonts w:ascii="Times New Roman" w:hAnsi="Times New Roman"/>
                <w:sz w:val="24"/>
              </w:rPr>
              <w:t>”</w:t>
            </w:r>
            <w:r w:rsidRPr="00D51A68">
              <w:rPr>
                <w:rFonts w:ascii="Times New Roman" w:hAnsi="Times New Roman"/>
                <w:sz w:val="24"/>
              </w:rPr>
              <w:t xml:space="preserve"> = tradizionale</w:t>
            </w:r>
          </w:p>
          <w:p w:rsidR="00612780" w:rsidRPr="00D51A68" w:rsidRDefault="00612780" w:rsidP="00612780">
            <w:pPr>
              <w:autoSpaceDE w:val="0"/>
              <w:autoSpaceDN w:val="0"/>
              <w:adjustRightInd w:val="0"/>
              <w:spacing w:before="0" w:after="0"/>
              <w:jc w:val="left"/>
              <w:rPr>
                <w:rFonts w:ascii="Times New Roman" w:hAnsi="Times New Roman"/>
                <w:sz w:val="24"/>
              </w:rPr>
            </w:pPr>
            <w:r w:rsidRPr="00D51A68">
              <w:rPr>
                <w:rFonts w:ascii="Times New Roman" w:hAnsi="Times New Roman"/>
                <w:sz w:val="24"/>
              </w:rPr>
              <w:t xml:space="preserve">- </w:t>
            </w:r>
            <w:r w:rsidR="0009277C" w:rsidRPr="00D51A68">
              <w:rPr>
                <w:rFonts w:ascii="Times New Roman" w:hAnsi="Times New Roman"/>
                <w:sz w:val="24"/>
              </w:rPr>
              <w:t>“</w:t>
            </w:r>
            <w:r w:rsidRPr="00D51A68">
              <w:rPr>
                <w:rFonts w:ascii="Times New Roman" w:hAnsi="Times New Roman"/>
                <w:sz w:val="24"/>
              </w:rPr>
              <w:t>S</w:t>
            </w:r>
            <w:r w:rsidR="0009277C" w:rsidRPr="00D51A68">
              <w:rPr>
                <w:rFonts w:ascii="Times New Roman" w:hAnsi="Times New Roman"/>
                <w:sz w:val="24"/>
              </w:rPr>
              <w:t>”</w:t>
            </w:r>
            <w:r w:rsidRPr="00D51A68">
              <w:rPr>
                <w:rFonts w:ascii="Times New Roman" w:hAnsi="Times New Roman"/>
                <w:sz w:val="24"/>
              </w:rPr>
              <w:t xml:space="preserve"> = sintetica </w:t>
            </w:r>
          </w:p>
          <w:p w:rsidR="00612780" w:rsidRPr="00D51A68" w:rsidRDefault="00612780" w:rsidP="00612780">
            <w:pPr>
              <w:autoSpaceDE w:val="0"/>
              <w:autoSpaceDN w:val="0"/>
              <w:adjustRightInd w:val="0"/>
              <w:spacing w:before="0" w:after="0"/>
              <w:jc w:val="left"/>
              <w:rPr>
                <w:rFonts w:ascii="Times New Roman" w:hAnsi="Times New Roman"/>
                <w:sz w:val="24"/>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 xml:space="preserve">Per le definizioni di </w:t>
            </w:r>
            <w:r w:rsidR="0009277C" w:rsidRPr="00D51A68">
              <w:rPr>
                <w:rFonts w:ascii="Times New Roman" w:hAnsi="Times New Roman"/>
                <w:sz w:val="24"/>
              </w:rPr>
              <w:t>“</w:t>
            </w:r>
            <w:r w:rsidRPr="00D51A68">
              <w:rPr>
                <w:rFonts w:ascii="Times New Roman" w:hAnsi="Times New Roman"/>
                <w:sz w:val="24"/>
              </w:rPr>
              <w:t>cartolarizzazione tradizionale</w:t>
            </w:r>
            <w:r w:rsidR="0009277C" w:rsidRPr="00D51A68">
              <w:rPr>
                <w:rFonts w:ascii="Times New Roman" w:hAnsi="Times New Roman"/>
                <w:sz w:val="24"/>
              </w:rPr>
              <w:t>”</w:t>
            </w:r>
            <w:r w:rsidRPr="00D51A68">
              <w:rPr>
                <w:rFonts w:ascii="Times New Roman" w:hAnsi="Times New Roman"/>
                <w:sz w:val="24"/>
              </w:rPr>
              <w:t xml:space="preserve"> e </w:t>
            </w:r>
            <w:r w:rsidR="0009277C" w:rsidRPr="00D51A68">
              <w:rPr>
                <w:rFonts w:ascii="Times New Roman" w:hAnsi="Times New Roman"/>
                <w:sz w:val="24"/>
              </w:rPr>
              <w:t>“</w:t>
            </w:r>
            <w:r w:rsidRPr="00D51A68">
              <w:rPr>
                <w:rFonts w:ascii="Times New Roman" w:hAnsi="Times New Roman"/>
                <w:sz w:val="24"/>
              </w:rPr>
              <w:t>cartolarizzazione sintetica</w:t>
            </w:r>
            <w:r w:rsidR="0009277C" w:rsidRPr="00D51A68">
              <w:rPr>
                <w:rFonts w:ascii="Times New Roman" w:hAnsi="Times New Roman"/>
                <w:sz w:val="24"/>
              </w:rPr>
              <w:t>”</w:t>
            </w:r>
            <w:r w:rsidRPr="00D51A68">
              <w:rPr>
                <w:rFonts w:ascii="Times New Roman" w:hAnsi="Times New Roman"/>
                <w:sz w:val="24"/>
              </w:rPr>
              <w:t xml:space="preserve"> si rimanda all</w:t>
            </w:r>
            <w:r w:rsidR="0009277C" w:rsidRPr="00D51A68">
              <w:rPr>
                <w:rFonts w:ascii="Times New Roman" w:hAnsi="Times New Roman"/>
                <w:sz w:val="24"/>
              </w:rPr>
              <w:t>’</w:t>
            </w:r>
            <w:r w:rsidRPr="00D51A68">
              <w:rPr>
                <w:rFonts w:ascii="Times New Roman" w:hAnsi="Times New Roman"/>
                <w:sz w:val="24"/>
              </w:rPr>
              <w:t>articolo 242, punti 10 e 11, del CRR.</w:t>
            </w:r>
          </w:p>
          <w:p w:rsidR="00612780" w:rsidRPr="00D51A68" w:rsidRDefault="00612780" w:rsidP="00612780">
            <w:pPr>
              <w:autoSpaceDE w:val="0"/>
              <w:autoSpaceDN w:val="0"/>
              <w:adjustRightInd w:val="0"/>
              <w:spacing w:before="0" w:after="0"/>
              <w:jc w:val="left"/>
              <w:rPr>
                <w:rFonts w:ascii="Times New Roman" w:hAnsi="Times New Roman"/>
                <w:sz w:val="24"/>
              </w:rPr>
            </w:pPr>
          </w:p>
        </w:tc>
      </w:tr>
      <w:tr w:rsidR="00612780" w:rsidRPr="00D51A68" w:rsidTr="00672D2A">
        <w:tc>
          <w:tcPr>
            <w:tcW w:w="1101" w:type="dxa"/>
          </w:tcPr>
          <w:p w:rsidR="00612780" w:rsidRPr="00D51A68" w:rsidRDefault="00612780" w:rsidP="00612780">
            <w:pPr>
              <w:autoSpaceDE w:val="0"/>
              <w:autoSpaceDN w:val="0"/>
              <w:adjustRightInd w:val="0"/>
              <w:spacing w:before="0" w:after="0"/>
              <w:rPr>
                <w:rFonts w:ascii="Times New Roman" w:hAnsi="Times New Roman"/>
                <w:bCs/>
                <w:sz w:val="24"/>
                <w:highlight w:val="yellow"/>
              </w:rPr>
            </w:pPr>
            <w:r w:rsidRPr="00D51A68">
              <w:rPr>
                <w:rFonts w:ascii="Times New Roman" w:hAnsi="Times New Roman"/>
                <w:sz w:val="24"/>
              </w:rPr>
              <w:t>050</w:t>
            </w:r>
          </w:p>
        </w:tc>
        <w:tc>
          <w:tcPr>
            <w:tcW w:w="7903" w:type="dxa"/>
          </w:tcPr>
          <w:p w:rsidR="00612780" w:rsidRPr="00D51A68" w:rsidRDefault="00612780" w:rsidP="00612780">
            <w:pPr>
              <w:autoSpaceDE w:val="0"/>
              <w:autoSpaceDN w:val="0"/>
              <w:adjustRightInd w:val="0"/>
              <w:spacing w:before="0" w:after="0"/>
              <w:jc w:val="left"/>
              <w:rPr>
                <w:rFonts w:ascii="Times New Roman" w:hAnsi="Times New Roman"/>
                <w:b/>
                <w:sz w:val="24"/>
                <w:u w:val="single"/>
              </w:rPr>
            </w:pPr>
            <w:r w:rsidRPr="00D51A68">
              <w:rPr>
                <w:rFonts w:ascii="Times New Roman" w:hAnsi="Times New Roman"/>
                <w:b/>
                <w:sz w:val="24"/>
                <w:u w:val="single"/>
              </w:rPr>
              <w:t>TRATTAMENTO CONTABILE: LE ESPOSIZIONI CARTOLARIZZATE SONO MANTENUTE NELLO STATO PATRIMONIALE O SONO RIMOSSE?</w:t>
            </w:r>
          </w:p>
          <w:p w:rsidR="00612780" w:rsidRPr="00D51A68" w:rsidRDefault="00612780" w:rsidP="00612780">
            <w:pPr>
              <w:autoSpaceDE w:val="0"/>
              <w:autoSpaceDN w:val="0"/>
              <w:adjustRightInd w:val="0"/>
              <w:spacing w:before="0" w:after="0"/>
              <w:jc w:val="left"/>
              <w:rPr>
                <w:rFonts w:ascii="Times New Roman" w:hAnsi="Times New Roman"/>
                <w:sz w:val="24"/>
              </w:rPr>
            </w:pPr>
          </w:p>
          <w:p w:rsidR="00612780" w:rsidRPr="00D51A68" w:rsidRDefault="00706D25" w:rsidP="00612780">
            <w:pPr>
              <w:autoSpaceDE w:val="0"/>
              <w:autoSpaceDN w:val="0"/>
              <w:adjustRightInd w:val="0"/>
              <w:spacing w:before="0" w:after="0"/>
              <w:jc w:val="left"/>
              <w:rPr>
                <w:rFonts w:ascii="Times New Roman" w:hAnsi="Times New Roman"/>
                <w:sz w:val="24"/>
              </w:rPr>
            </w:pPr>
            <w:r w:rsidRPr="00D51A68">
              <w:rPr>
                <w:rFonts w:ascii="Times New Roman" w:hAnsi="Times New Roman"/>
                <w:sz w:val="24"/>
              </w:rPr>
              <w:t>I cedenti, i promotori e i prestatori originari inseriscono una delle seguenti abbreviazioni:</w:t>
            </w:r>
          </w:p>
          <w:p w:rsidR="00612780" w:rsidRPr="00D51A68" w:rsidRDefault="00612780" w:rsidP="00612780">
            <w:pPr>
              <w:autoSpaceDE w:val="0"/>
              <w:autoSpaceDN w:val="0"/>
              <w:adjustRightInd w:val="0"/>
              <w:spacing w:before="0" w:after="0"/>
              <w:ind w:left="1440" w:hanging="1440"/>
              <w:jc w:val="left"/>
              <w:rPr>
                <w:rFonts w:ascii="Times New Roman" w:hAnsi="Times New Roman"/>
                <w:sz w:val="24"/>
              </w:rPr>
            </w:pPr>
            <w:r w:rsidRPr="00D51A68">
              <w:rPr>
                <w:rFonts w:ascii="Times New Roman" w:hAnsi="Times New Roman"/>
                <w:sz w:val="24"/>
              </w:rPr>
              <w:t xml:space="preserve">- </w:t>
            </w:r>
            <w:r w:rsidR="0009277C" w:rsidRPr="00D51A68">
              <w:rPr>
                <w:rFonts w:ascii="Times New Roman" w:hAnsi="Times New Roman"/>
                <w:sz w:val="24"/>
              </w:rPr>
              <w:t>“</w:t>
            </w:r>
            <w:r w:rsidRPr="00D51A68">
              <w:rPr>
                <w:rFonts w:ascii="Times New Roman" w:hAnsi="Times New Roman"/>
                <w:sz w:val="24"/>
              </w:rPr>
              <w:t>K</w:t>
            </w:r>
            <w:r w:rsidR="0009277C" w:rsidRPr="00D51A68">
              <w:rPr>
                <w:rFonts w:ascii="Times New Roman" w:hAnsi="Times New Roman"/>
                <w:sz w:val="24"/>
              </w:rPr>
              <w:t>”</w:t>
            </w:r>
            <w:r w:rsidRPr="00D51A68">
              <w:rPr>
                <w:rFonts w:ascii="Times New Roman" w:hAnsi="Times New Roman"/>
                <w:sz w:val="24"/>
              </w:rPr>
              <w:t xml:space="preserve"> = rilevate totalmente</w:t>
            </w:r>
          </w:p>
          <w:p w:rsidR="00612780" w:rsidRPr="00D51A68" w:rsidRDefault="00612780" w:rsidP="00612780">
            <w:pPr>
              <w:autoSpaceDE w:val="0"/>
              <w:autoSpaceDN w:val="0"/>
              <w:adjustRightInd w:val="0"/>
              <w:spacing w:before="0" w:after="0"/>
              <w:jc w:val="left"/>
              <w:rPr>
                <w:rFonts w:ascii="Times New Roman" w:hAnsi="Times New Roman"/>
                <w:sz w:val="24"/>
              </w:rPr>
            </w:pPr>
            <w:r w:rsidRPr="00D51A68">
              <w:rPr>
                <w:rFonts w:ascii="Times New Roman" w:hAnsi="Times New Roman"/>
                <w:sz w:val="24"/>
              </w:rPr>
              <w:t xml:space="preserve">- </w:t>
            </w:r>
            <w:r w:rsidR="0009277C" w:rsidRPr="00D51A68">
              <w:rPr>
                <w:rFonts w:ascii="Times New Roman" w:hAnsi="Times New Roman"/>
                <w:sz w:val="24"/>
              </w:rPr>
              <w:t>“</w:t>
            </w:r>
            <w:r w:rsidRPr="00D51A68">
              <w:rPr>
                <w:rFonts w:ascii="Times New Roman" w:hAnsi="Times New Roman"/>
                <w:sz w:val="24"/>
              </w:rPr>
              <w:t>P</w:t>
            </w:r>
            <w:r w:rsidR="0009277C" w:rsidRPr="00D51A68">
              <w:rPr>
                <w:rFonts w:ascii="Times New Roman" w:hAnsi="Times New Roman"/>
                <w:sz w:val="24"/>
              </w:rPr>
              <w:t>”</w:t>
            </w:r>
            <w:r w:rsidRPr="00D51A68">
              <w:rPr>
                <w:rFonts w:ascii="Times New Roman" w:hAnsi="Times New Roman"/>
                <w:sz w:val="24"/>
              </w:rPr>
              <w:t xml:space="preserve"> = eliminate in parte</w:t>
            </w:r>
          </w:p>
          <w:p w:rsidR="00612780" w:rsidRPr="00D51A68" w:rsidRDefault="00612780" w:rsidP="00612780">
            <w:pPr>
              <w:autoSpaceDE w:val="0"/>
              <w:autoSpaceDN w:val="0"/>
              <w:adjustRightInd w:val="0"/>
              <w:spacing w:before="0" w:after="0"/>
              <w:jc w:val="left"/>
              <w:rPr>
                <w:rFonts w:ascii="Times New Roman" w:hAnsi="Times New Roman"/>
                <w:sz w:val="24"/>
              </w:rPr>
            </w:pPr>
            <w:r w:rsidRPr="00D51A68">
              <w:rPr>
                <w:rFonts w:ascii="Times New Roman" w:hAnsi="Times New Roman"/>
                <w:sz w:val="24"/>
              </w:rPr>
              <w:t xml:space="preserve">- </w:t>
            </w:r>
            <w:r w:rsidR="0009277C" w:rsidRPr="00D51A68">
              <w:rPr>
                <w:rFonts w:ascii="Times New Roman" w:hAnsi="Times New Roman"/>
                <w:sz w:val="24"/>
              </w:rPr>
              <w:t>“</w:t>
            </w:r>
            <w:r w:rsidRPr="00D51A68">
              <w:rPr>
                <w:rFonts w:ascii="Times New Roman" w:hAnsi="Times New Roman"/>
                <w:sz w:val="24"/>
              </w:rPr>
              <w:t>R</w:t>
            </w:r>
            <w:r w:rsidR="0009277C" w:rsidRPr="00D51A68">
              <w:rPr>
                <w:rFonts w:ascii="Times New Roman" w:hAnsi="Times New Roman"/>
                <w:sz w:val="24"/>
              </w:rPr>
              <w:t>”</w:t>
            </w:r>
            <w:r w:rsidRPr="00D51A68">
              <w:rPr>
                <w:rFonts w:ascii="Times New Roman" w:hAnsi="Times New Roman"/>
                <w:sz w:val="24"/>
              </w:rPr>
              <w:t xml:space="preserve"> = eliminate totalmente</w:t>
            </w:r>
          </w:p>
          <w:p w:rsidR="00612780" w:rsidRPr="00D51A68" w:rsidRDefault="00612780" w:rsidP="00612780">
            <w:pPr>
              <w:autoSpaceDE w:val="0"/>
              <w:autoSpaceDN w:val="0"/>
              <w:adjustRightInd w:val="0"/>
              <w:spacing w:before="0" w:after="0"/>
              <w:jc w:val="left"/>
              <w:rPr>
                <w:rFonts w:ascii="Times New Roman" w:hAnsi="Times New Roman"/>
                <w:sz w:val="24"/>
              </w:rPr>
            </w:pPr>
            <w:r w:rsidRPr="00D51A68">
              <w:rPr>
                <w:rFonts w:ascii="Times New Roman" w:hAnsi="Times New Roman"/>
                <w:sz w:val="24"/>
              </w:rPr>
              <w:t xml:space="preserve">- </w:t>
            </w:r>
            <w:r w:rsidR="0009277C" w:rsidRPr="00D51A68">
              <w:rPr>
                <w:rFonts w:ascii="Times New Roman" w:hAnsi="Times New Roman"/>
                <w:sz w:val="24"/>
              </w:rPr>
              <w:t>“</w:t>
            </w:r>
            <w:r w:rsidRPr="00D51A68">
              <w:rPr>
                <w:rFonts w:ascii="Times New Roman" w:hAnsi="Times New Roman"/>
                <w:sz w:val="24"/>
              </w:rPr>
              <w:t>N</w:t>
            </w:r>
            <w:r w:rsidR="0009277C" w:rsidRPr="00D51A68">
              <w:rPr>
                <w:rFonts w:ascii="Times New Roman" w:hAnsi="Times New Roman"/>
                <w:sz w:val="24"/>
              </w:rPr>
              <w:t>”</w:t>
            </w:r>
            <w:r w:rsidRPr="00D51A68">
              <w:rPr>
                <w:rFonts w:ascii="Times New Roman" w:hAnsi="Times New Roman"/>
                <w:sz w:val="24"/>
              </w:rPr>
              <w:t xml:space="preserve"> = non applicabile</w:t>
            </w:r>
          </w:p>
          <w:p w:rsidR="00612780" w:rsidRPr="00D51A68" w:rsidRDefault="00612780" w:rsidP="00612780">
            <w:pPr>
              <w:autoSpaceDE w:val="0"/>
              <w:autoSpaceDN w:val="0"/>
              <w:adjustRightInd w:val="0"/>
              <w:spacing w:before="0" w:after="0"/>
              <w:jc w:val="left"/>
              <w:rPr>
                <w:rFonts w:ascii="Times New Roman" w:hAnsi="Times New Roman"/>
                <w:sz w:val="24"/>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Questa colonna riassume il trattamento contabile dell</w:t>
            </w:r>
            <w:r w:rsidR="0009277C" w:rsidRPr="00D51A68">
              <w:rPr>
                <w:rFonts w:ascii="Times New Roman" w:hAnsi="Times New Roman"/>
                <w:sz w:val="24"/>
              </w:rPr>
              <w:t>’</w:t>
            </w:r>
            <w:r w:rsidRPr="00D51A68">
              <w:rPr>
                <w:rFonts w:ascii="Times New Roman" w:hAnsi="Times New Roman"/>
                <w:sz w:val="24"/>
              </w:rPr>
              <w:t xml:space="preserve">operazione. </w:t>
            </w: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Nelle cartolarizzazioni sintetiche, i cedenti segnalano che le esposizioni cartolarizzate sono eliminate dal bilancio.</w:t>
            </w: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lastRenderedPageBreak/>
              <w:t>Nelle cartolarizzazioni di passività i cedenti non compilano questa colonna.</w:t>
            </w: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L</w:t>
            </w:r>
            <w:r w:rsidR="0009277C" w:rsidRPr="00D51A68">
              <w:rPr>
                <w:rFonts w:ascii="Times New Roman" w:hAnsi="Times New Roman"/>
                <w:sz w:val="24"/>
              </w:rPr>
              <w:t>’</w:t>
            </w:r>
            <w:r w:rsidRPr="00D51A68">
              <w:rPr>
                <w:rFonts w:ascii="Times New Roman" w:hAnsi="Times New Roman"/>
                <w:sz w:val="24"/>
              </w:rPr>
              <w:t xml:space="preserve">opzione </w:t>
            </w:r>
            <w:r w:rsidR="0009277C" w:rsidRPr="00D51A68">
              <w:rPr>
                <w:rFonts w:ascii="Times New Roman" w:hAnsi="Times New Roman"/>
                <w:sz w:val="24"/>
              </w:rPr>
              <w:t>“</w:t>
            </w:r>
            <w:r w:rsidRPr="00D51A68">
              <w:rPr>
                <w:rFonts w:ascii="Times New Roman" w:hAnsi="Times New Roman"/>
                <w:sz w:val="24"/>
              </w:rPr>
              <w:t>P</w:t>
            </w:r>
            <w:r w:rsidR="0009277C" w:rsidRPr="00D51A68">
              <w:rPr>
                <w:rFonts w:ascii="Times New Roman" w:hAnsi="Times New Roman"/>
                <w:sz w:val="24"/>
              </w:rPr>
              <w:t>”</w:t>
            </w:r>
            <w:r w:rsidRPr="00D51A68">
              <w:rPr>
                <w:rFonts w:ascii="Times New Roman" w:hAnsi="Times New Roman"/>
                <w:sz w:val="24"/>
              </w:rPr>
              <w:t xml:space="preserve"> (parzialmente eliminate) è selezionata quando le attività cartolarizzate sono rilevate in bilancio in misura pari al coinvolgimento continuativo del soggetto segnalante conformemente all</w:t>
            </w:r>
            <w:r w:rsidR="0009277C" w:rsidRPr="00D51A68">
              <w:rPr>
                <w:rFonts w:ascii="Times New Roman" w:hAnsi="Times New Roman"/>
                <w:sz w:val="24"/>
              </w:rPr>
              <w:t>’</w:t>
            </w:r>
            <w:r w:rsidRPr="00D51A68">
              <w:rPr>
                <w:rFonts w:ascii="Times New Roman" w:hAnsi="Times New Roman"/>
                <w:sz w:val="24"/>
              </w:rPr>
              <w:t xml:space="preserve">IFRS 9.3.2.16 – 3.2.21. </w:t>
            </w:r>
          </w:p>
          <w:p w:rsidR="00612780" w:rsidRPr="00D51A68" w:rsidRDefault="00612780" w:rsidP="00612780">
            <w:pPr>
              <w:autoSpaceDE w:val="0"/>
              <w:autoSpaceDN w:val="0"/>
              <w:adjustRightInd w:val="0"/>
              <w:spacing w:before="0" w:after="0"/>
              <w:jc w:val="left"/>
              <w:rPr>
                <w:rFonts w:ascii="Times New Roman" w:hAnsi="Times New Roman"/>
                <w:bCs/>
                <w:sz w:val="24"/>
              </w:rPr>
            </w:pPr>
          </w:p>
        </w:tc>
      </w:tr>
      <w:tr w:rsidR="00612780" w:rsidRPr="00D51A68" w:rsidTr="00672D2A">
        <w:tc>
          <w:tcPr>
            <w:tcW w:w="1101" w:type="dxa"/>
          </w:tcPr>
          <w:p w:rsidR="00612780" w:rsidRPr="00D51A68" w:rsidRDefault="00612780" w:rsidP="00612780">
            <w:pPr>
              <w:autoSpaceDE w:val="0"/>
              <w:autoSpaceDN w:val="0"/>
              <w:adjustRightInd w:val="0"/>
              <w:spacing w:before="0" w:after="0"/>
              <w:rPr>
                <w:rFonts w:ascii="Times New Roman" w:hAnsi="Times New Roman"/>
                <w:bCs/>
                <w:sz w:val="24"/>
                <w:highlight w:val="yellow"/>
              </w:rPr>
            </w:pPr>
            <w:r w:rsidRPr="00D51A68">
              <w:rPr>
                <w:rFonts w:ascii="Times New Roman" w:hAnsi="Times New Roman"/>
                <w:sz w:val="24"/>
              </w:rPr>
              <w:lastRenderedPageBreak/>
              <w:t>060</w:t>
            </w:r>
          </w:p>
        </w:tc>
        <w:tc>
          <w:tcPr>
            <w:tcW w:w="7903" w:type="dxa"/>
          </w:tcPr>
          <w:p w:rsidR="00612780" w:rsidRPr="00D51A68" w:rsidRDefault="00612780" w:rsidP="00612780">
            <w:pPr>
              <w:spacing w:before="0" w:after="0"/>
              <w:jc w:val="left"/>
              <w:rPr>
                <w:rFonts w:ascii="Times New Roman" w:hAnsi="Times New Roman"/>
                <w:b/>
                <w:sz w:val="24"/>
                <w:u w:val="single"/>
              </w:rPr>
            </w:pPr>
            <w:r w:rsidRPr="00D51A68">
              <w:rPr>
                <w:rFonts w:ascii="Times New Roman" w:hAnsi="Times New Roman"/>
                <w:b/>
                <w:sz w:val="24"/>
                <w:u w:val="single"/>
              </w:rPr>
              <w:t>TRATTAMENTO DELLA SOLVIBILITÀ: LE POSIZIONI VERSO LA CARTOLARIZZAZIONE SONO SOGGETTE AI REQUISITI DI FONDI PROPRI?</w:t>
            </w:r>
          </w:p>
          <w:p w:rsidR="00612780" w:rsidRPr="00D51A68" w:rsidRDefault="00612780" w:rsidP="00612780">
            <w:pPr>
              <w:autoSpaceDE w:val="0"/>
              <w:autoSpaceDN w:val="0"/>
              <w:adjustRightInd w:val="0"/>
              <w:spacing w:before="0" w:after="0"/>
              <w:jc w:val="left"/>
              <w:rPr>
                <w:rFonts w:ascii="Times New Roman" w:hAnsi="Times New Roman"/>
                <w:sz w:val="24"/>
              </w:rPr>
            </w:pPr>
          </w:p>
          <w:p w:rsidR="00612780" w:rsidRPr="00D51A68" w:rsidRDefault="00612780" w:rsidP="00612780">
            <w:pPr>
              <w:autoSpaceDE w:val="0"/>
              <w:autoSpaceDN w:val="0"/>
              <w:adjustRightInd w:val="0"/>
              <w:spacing w:before="0" w:after="0"/>
              <w:jc w:val="left"/>
              <w:rPr>
                <w:rFonts w:ascii="Times New Roman" w:hAnsi="Times New Roman"/>
                <w:sz w:val="24"/>
              </w:rPr>
            </w:pPr>
            <w:r w:rsidRPr="00D51A68">
              <w:rPr>
                <w:rFonts w:ascii="Times New Roman" w:hAnsi="Times New Roman"/>
                <w:sz w:val="24"/>
              </w:rPr>
              <w:t xml:space="preserve">I cedenti, e soltanto loro, inseriscono le seguenti abbreviazioni: </w:t>
            </w:r>
          </w:p>
          <w:p w:rsidR="00612780" w:rsidRPr="00D51A68" w:rsidRDefault="00612780" w:rsidP="00612780">
            <w:pPr>
              <w:autoSpaceDE w:val="0"/>
              <w:autoSpaceDN w:val="0"/>
              <w:adjustRightInd w:val="0"/>
              <w:spacing w:before="0" w:after="0"/>
              <w:jc w:val="left"/>
              <w:rPr>
                <w:rFonts w:ascii="Times New Roman" w:hAnsi="Times New Roman"/>
                <w:sz w:val="24"/>
              </w:rPr>
            </w:pPr>
            <w:r w:rsidRPr="00D51A68">
              <w:rPr>
                <w:rFonts w:ascii="Times New Roman" w:hAnsi="Times New Roman"/>
                <w:sz w:val="24"/>
              </w:rPr>
              <w:t xml:space="preserve">- </w:t>
            </w:r>
            <w:r w:rsidR="0009277C" w:rsidRPr="00D51A68">
              <w:rPr>
                <w:rFonts w:ascii="Times New Roman" w:hAnsi="Times New Roman"/>
                <w:sz w:val="24"/>
              </w:rPr>
              <w:t>“</w:t>
            </w:r>
            <w:r w:rsidRPr="00D51A68">
              <w:rPr>
                <w:rFonts w:ascii="Times New Roman" w:hAnsi="Times New Roman"/>
                <w:sz w:val="24"/>
              </w:rPr>
              <w:t>N</w:t>
            </w:r>
            <w:r w:rsidR="0009277C" w:rsidRPr="00D51A68">
              <w:rPr>
                <w:rFonts w:ascii="Times New Roman" w:hAnsi="Times New Roman"/>
                <w:sz w:val="24"/>
              </w:rPr>
              <w:t>”</w:t>
            </w:r>
            <w:r w:rsidRPr="00D51A68">
              <w:rPr>
                <w:rFonts w:ascii="Times New Roman" w:hAnsi="Times New Roman"/>
                <w:sz w:val="24"/>
              </w:rPr>
              <w:t xml:space="preserve"> = non soggette a requisiti di fondi propri</w:t>
            </w:r>
          </w:p>
          <w:p w:rsidR="00612780" w:rsidRPr="00D51A68" w:rsidRDefault="00612780" w:rsidP="00612780">
            <w:pPr>
              <w:autoSpaceDE w:val="0"/>
              <w:autoSpaceDN w:val="0"/>
              <w:adjustRightInd w:val="0"/>
              <w:spacing w:before="0" w:after="0"/>
              <w:jc w:val="left"/>
              <w:rPr>
                <w:rFonts w:ascii="Times New Roman" w:hAnsi="Times New Roman"/>
                <w:sz w:val="24"/>
              </w:rPr>
            </w:pPr>
            <w:r w:rsidRPr="00D51A68">
              <w:rPr>
                <w:rFonts w:ascii="Times New Roman" w:hAnsi="Times New Roman"/>
                <w:sz w:val="24"/>
              </w:rPr>
              <w:t xml:space="preserve">- </w:t>
            </w:r>
            <w:r w:rsidR="0009277C" w:rsidRPr="00D51A68">
              <w:rPr>
                <w:rFonts w:ascii="Times New Roman" w:hAnsi="Times New Roman"/>
                <w:sz w:val="24"/>
              </w:rPr>
              <w:t>“</w:t>
            </w:r>
            <w:r w:rsidRPr="00D51A68">
              <w:rPr>
                <w:rFonts w:ascii="Times New Roman" w:hAnsi="Times New Roman"/>
                <w:sz w:val="24"/>
              </w:rPr>
              <w:t>B</w:t>
            </w:r>
            <w:r w:rsidR="0009277C" w:rsidRPr="00D51A68">
              <w:rPr>
                <w:rFonts w:ascii="Times New Roman" w:hAnsi="Times New Roman"/>
                <w:sz w:val="24"/>
              </w:rPr>
              <w:t>”</w:t>
            </w:r>
            <w:r w:rsidRPr="00D51A68">
              <w:rPr>
                <w:rFonts w:ascii="Times New Roman" w:hAnsi="Times New Roman"/>
                <w:sz w:val="24"/>
              </w:rPr>
              <w:t xml:space="preserve"> = portafoglio bancario</w:t>
            </w:r>
          </w:p>
          <w:p w:rsidR="00612780" w:rsidRPr="00D51A68" w:rsidRDefault="00612780" w:rsidP="00612780">
            <w:pPr>
              <w:autoSpaceDE w:val="0"/>
              <w:autoSpaceDN w:val="0"/>
              <w:adjustRightInd w:val="0"/>
              <w:spacing w:before="0" w:after="0"/>
              <w:jc w:val="left"/>
              <w:rPr>
                <w:rFonts w:ascii="Times New Roman" w:hAnsi="Times New Roman"/>
                <w:sz w:val="24"/>
              </w:rPr>
            </w:pPr>
            <w:r w:rsidRPr="00D51A68">
              <w:rPr>
                <w:rFonts w:ascii="Times New Roman" w:hAnsi="Times New Roman"/>
                <w:sz w:val="24"/>
              </w:rPr>
              <w:t xml:space="preserve">- </w:t>
            </w:r>
            <w:r w:rsidR="0009277C" w:rsidRPr="00D51A68">
              <w:rPr>
                <w:rFonts w:ascii="Times New Roman" w:hAnsi="Times New Roman"/>
                <w:sz w:val="24"/>
              </w:rPr>
              <w:t>“</w:t>
            </w:r>
            <w:r w:rsidRPr="00D51A68">
              <w:rPr>
                <w:rFonts w:ascii="Times New Roman" w:hAnsi="Times New Roman"/>
                <w:sz w:val="24"/>
              </w:rPr>
              <w:t>T</w:t>
            </w:r>
            <w:r w:rsidR="0009277C" w:rsidRPr="00D51A68">
              <w:rPr>
                <w:rFonts w:ascii="Times New Roman" w:hAnsi="Times New Roman"/>
                <w:sz w:val="24"/>
              </w:rPr>
              <w:t>”</w:t>
            </w:r>
            <w:r w:rsidRPr="00D51A68">
              <w:rPr>
                <w:rFonts w:ascii="Times New Roman" w:hAnsi="Times New Roman"/>
                <w:sz w:val="24"/>
              </w:rPr>
              <w:t xml:space="preserve"> = portafoglio di negoziazione</w:t>
            </w:r>
          </w:p>
          <w:p w:rsidR="00612780" w:rsidRPr="00D51A68" w:rsidRDefault="00612780" w:rsidP="00612780">
            <w:pPr>
              <w:autoSpaceDE w:val="0"/>
              <w:autoSpaceDN w:val="0"/>
              <w:adjustRightInd w:val="0"/>
              <w:spacing w:before="0" w:after="0"/>
              <w:jc w:val="left"/>
              <w:rPr>
                <w:rFonts w:ascii="Times New Roman" w:hAnsi="Times New Roman"/>
                <w:sz w:val="24"/>
              </w:rPr>
            </w:pPr>
            <w:r w:rsidRPr="00D51A68">
              <w:rPr>
                <w:rFonts w:ascii="Times New Roman" w:hAnsi="Times New Roman"/>
                <w:sz w:val="24"/>
              </w:rPr>
              <w:t xml:space="preserve">- </w:t>
            </w:r>
            <w:r w:rsidR="0009277C" w:rsidRPr="00D51A68">
              <w:rPr>
                <w:rFonts w:ascii="Times New Roman" w:hAnsi="Times New Roman"/>
                <w:sz w:val="24"/>
              </w:rPr>
              <w:t>“</w:t>
            </w:r>
            <w:r w:rsidRPr="00D51A68">
              <w:rPr>
                <w:rFonts w:ascii="Times New Roman" w:hAnsi="Times New Roman"/>
                <w:sz w:val="24"/>
              </w:rPr>
              <w:t>A</w:t>
            </w:r>
            <w:r w:rsidR="0009277C" w:rsidRPr="00D51A68">
              <w:rPr>
                <w:rFonts w:ascii="Times New Roman" w:hAnsi="Times New Roman"/>
                <w:sz w:val="24"/>
              </w:rPr>
              <w:t>”</w:t>
            </w:r>
            <w:r w:rsidRPr="00D51A68">
              <w:rPr>
                <w:rFonts w:ascii="Times New Roman" w:hAnsi="Times New Roman"/>
                <w:sz w:val="24"/>
              </w:rPr>
              <w:t xml:space="preserve"> = parzialmente in entrambi i portafogli. </w:t>
            </w:r>
          </w:p>
          <w:p w:rsidR="00612780" w:rsidRPr="00D51A68" w:rsidRDefault="00612780" w:rsidP="00612780">
            <w:pPr>
              <w:autoSpaceDE w:val="0"/>
              <w:autoSpaceDN w:val="0"/>
              <w:adjustRightInd w:val="0"/>
              <w:spacing w:before="0" w:after="0"/>
              <w:jc w:val="left"/>
              <w:rPr>
                <w:rFonts w:ascii="Times New Roman" w:hAnsi="Times New Roman"/>
                <w:sz w:val="24"/>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Articoli 109, 243 e 244 del CRR.</w:t>
            </w:r>
          </w:p>
          <w:p w:rsidR="00612780" w:rsidRPr="00D51A68" w:rsidRDefault="00612780" w:rsidP="00612780">
            <w:pPr>
              <w:autoSpaceDE w:val="0"/>
              <w:autoSpaceDN w:val="0"/>
              <w:adjustRightInd w:val="0"/>
              <w:spacing w:before="0" w:after="0"/>
              <w:rPr>
                <w:rFonts w:ascii="Times New Roman" w:hAnsi="Times New Roman"/>
                <w:sz w:val="24"/>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 xml:space="preserve">Questa colonna riassume il trattamento di solvibilità dello schema di cartolarizzazione da parte del cedente. La colonna indica se i requisiti di fondi propri sono calcolati secondo le esposizioni cartolarizzate o secondo le posizioni di cartolarizzazione (portafoglio bancario/portafoglio di negoziazione). </w:t>
            </w:r>
          </w:p>
          <w:p w:rsidR="00612780" w:rsidRPr="00D51A68" w:rsidRDefault="00612780" w:rsidP="00612780">
            <w:pPr>
              <w:autoSpaceDE w:val="0"/>
              <w:autoSpaceDN w:val="0"/>
              <w:adjustRightInd w:val="0"/>
              <w:spacing w:before="0" w:after="0"/>
              <w:rPr>
                <w:rFonts w:ascii="Times New Roman" w:hAnsi="Times New Roman"/>
                <w:sz w:val="24"/>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 xml:space="preserve">Se i requisiti di fondi propri si basano sulle </w:t>
            </w:r>
            <w:r w:rsidRPr="00D51A68">
              <w:rPr>
                <w:rFonts w:ascii="Times New Roman" w:hAnsi="Times New Roman"/>
                <w:i/>
                <w:sz w:val="24"/>
              </w:rPr>
              <w:t>esposizioni cartolarizzate</w:t>
            </w:r>
            <w:r w:rsidRPr="00D51A68">
              <w:rPr>
                <w:rFonts w:ascii="Times New Roman" w:hAnsi="Times New Roman"/>
                <w:sz w:val="24"/>
              </w:rPr>
              <w:t xml:space="preserve"> (non essendoci un trasferimento significativo del rischio), il calcolo dei requisiti di fondi propri per il rischio di credito è segnalato nel modello CR SA, qualora l</w:t>
            </w:r>
            <w:r w:rsidR="0009277C" w:rsidRPr="00D51A68">
              <w:rPr>
                <w:rFonts w:ascii="Times New Roman" w:hAnsi="Times New Roman"/>
                <w:sz w:val="24"/>
              </w:rPr>
              <w:t>’</w:t>
            </w:r>
            <w:r w:rsidRPr="00D51A68">
              <w:rPr>
                <w:rFonts w:ascii="Times New Roman" w:hAnsi="Times New Roman"/>
                <w:sz w:val="24"/>
              </w:rPr>
              <w:t>ente applichi il metodo standardizzato, oppure nel modello CR IRB, qualora l</w:t>
            </w:r>
            <w:r w:rsidR="0009277C" w:rsidRPr="00D51A68">
              <w:rPr>
                <w:rFonts w:ascii="Times New Roman" w:hAnsi="Times New Roman"/>
                <w:sz w:val="24"/>
              </w:rPr>
              <w:t>’</w:t>
            </w:r>
            <w:r w:rsidRPr="00D51A68">
              <w:rPr>
                <w:rFonts w:ascii="Times New Roman" w:hAnsi="Times New Roman"/>
                <w:sz w:val="24"/>
              </w:rPr>
              <w:t>ente applichi il metodo basato sui rating interni.</w:t>
            </w:r>
          </w:p>
          <w:p w:rsidR="00612780" w:rsidRPr="00D51A68" w:rsidRDefault="00612780" w:rsidP="00612780">
            <w:pPr>
              <w:autoSpaceDE w:val="0"/>
              <w:autoSpaceDN w:val="0"/>
              <w:adjustRightInd w:val="0"/>
              <w:spacing w:before="0" w:after="0"/>
              <w:rPr>
                <w:rFonts w:ascii="Times New Roman" w:hAnsi="Times New Roman"/>
                <w:sz w:val="24"/>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 xml:space="preserve">Per contro, se i requisiti di fondi propri si basano sulle </w:t>
            </w:r>
            <w:r w:rsidRPr="00D51A68">
              <w:rPr>
                <w:rFonts w:ascii="Times New Roman" w:hAnsi="Times New Roman"/>
                <w:i/>
                <w:sz w:val="24"/>
              </w:rPr>
              <w:t>posizioni verso la cartolarizzazione detenute nel portafoglio bancario</w:t>
            </w:r>
            <w:r w:rsidRPr="00D51A68">
              <w:rPr>
                <w:rFonts w:ascii="Times New Roman" w:hAnsi="Times New Roman"/>
                <w:sz w:val="24"/>
              </w:rPr>
              <w:t xml:space="preserve"> (essendoci un trasferimento significativo del rischio), il calcolo dei requisiti di fondi propri per il rischio di credito è segnalato nel modello CR SEC SA o nel modello CR SEC IRB. Per le posizioni verso la </w:t>
            </w:r>
            <w:r w:rsidRPr="00D51A68">
              <w:rPr>
                <w:rFonts w:ascii="Times New Roman" w:hAnsi="Times New Roman"/>
                <w:i/>
                <w:sz w:val="24"/>
              </w:rPr>
              <w:t>cartolarizzazione detenute nel portafoglio di negoziazione</w:t>
            </w:r>
            <w:r w:rsidRPr="00D51A68">
              <w:rPr>
                <w:rFonts w:ascii="Times New Roman" w:hAnsi="Times New Roman"/>
                <w:sz w:val="24"/>
              </w:rPr>
              <w:t>, il calcolo dei requisiti di fondi propri per il rischio di mercato è segnalato nel modello MKR SA TDI (rischio di posizione generale standardizzato) e nel modello MKR SA SEC o nel modello MKR SA CTP (rischio di posizione specifico standardizzato) o ancora nel modello MKR IM (modelli interni).</w:t>
            </w: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Nelle cartolarizzazioni di passività i cedenti non compilano questa colonna.</w:t>
            </w:r>
          </w:p>
          <w:p w:rsidR="00612780" w:rsidRPr="00D51A68" w:rsidRDefault="00612780" w:rsidP="00612780">
            <w:pPr>
              <w:autoSpaceDE w:val="0"/>
              <w:autoSpaceDN w:val="0"/>
              <w:adjustRightInd w:val="0"/>
              <w:spacing w:before="0" w:after="0"/>
              <w:jc w:val="left"/>
              <w:rPr>
                <w:rFonts w:ascii="Times New Roman" w:hAnsi="Times New Roman"/>
                <w:bCs/>
                <w:sz w:val="24"/>
              </w:rPr>
            </w:pPr>
          </w:p>
        </w:tc>
      </w:tr>
      <w:tr w:rsidR="00612780" w:rsidRPr="00D51A68" w:rsidTr="00672D2A">
        <w:tc>
          <w:tcPr>
            <w:tcW w:w="1101" w:type="dxa"/>
          </w:tcPr>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070</w:t>
            </w:r>
          </w:p>
        </w:tc>
        <w:tc>
          <w:tcPr>
            <w:tcW w:w="7903" w:type="dxa"/>
          </w:tcPr>
          <w:p w:rsidR="00612780" w:rsidRPr="00D51A68" w:rsidRDefault="00612780" w:rsidP="00612780">
            <w:pPr>
              <w:autoSpaceDE w:val="0"/>
              <w:autoSpaceDN w:val="0"/>
              <w:adjustRightInd w:val="0"/>
              <w:spacing w:before="0" w:after="0"/>
              <w:jc w:val="left"/>
              <w:rPr>
                <w:rFonts w:ascii="Times New Roman" w:hAnsi="Times New Roman"/>
                <w:b/>
                <w:sz w:val="24"/>
                <w:u w:val="single"/>
              </w:rPr>
            </w:pPr>
            <w:r w:rsidRPr="00D51A68">
              <w:rPr>
                <w:rFonts w:ascii="Times New Roman" w:hAnsi="Times New Roman"/>
                <w:b/>
                <w:sz w:val="24"/>
                <w:u w:val="single"/>
              </w:rPr>
              <w:t>CARTOLARIZZAZIONE O RICARTOLARIZZAZIONE?</w:t>
            </w:r>
          </w:p>
          <w:p w:rsidR="00612780" w:rsidRPr="00D51A68" w:rsidRDefault="00612780" w:rsidP="00612780">
            <w:pPr>
              <w:autoSpaceDE w:val="0"/>
              <w:autoSpaceDN w:val="0"/>
              <w:adjustRightInd w:val="0"/>
              <w:spacing w:before="0" w:after="0"/>
              <w:jc w:val="left"/>
              <w:rPr>
                <w:rFonts w:ascii="Times New Roman" w:hAnsi="Times New Roman"/>
                <w:sz w:val="24"/>
              </w:rPr>
            </w:pPr>
          </w:p>
          <w:p w:rsidR="00612780" w:rsidRPr="00D51A68" w:rsidRDefault="00612780" w:rsidP="00612780">
            <w:pPr>
              <w:autoSpaceDE w:val="0"/>
              <w:autoSpaceDN w:val="0"/>
              <w:adjustRightInd w:val="0"/>
              <w:spacing w:before="0" w:after="0"/>
              <w:jc w:val="left"/>
              <w:rPr>
                <w:rFonts w:ascii="Times New Roman" w:hAnsi="Times New Roman"/>
                <w:sz w:val="24"/>
              </w:rPr>
            </w:pPr>
            <w:r w:rsidRPr="00D51A68">
              <w:rPr>
                <w:rFonts w:ascii="Times New Roman" w:hAnsi="Times New Roman"/>
                <w:sz w:val="24"/>
              </w:rPr>
              <w:t xml:space="preserve">Conformemente alle definizioni di </w:t>
            </w:r>
            <w:r w:rsidR="0009277C" w:rsidRPr="00D51A68">
              <w:rPr>
                <w:rFonts w:ascii="Times New Roman" w:hAnsi="Times New Roman"/>
                <w:sz w:val="24"/>
              </w:rPr>
              <w:t>“</w:t>
            </w:r>
            <w:r w:rsidRPr="00D51A68">
              <w:rPr>
                <w:rFonts w:ascii="Times New Roman" w:hAnsi="Times New Roman"/>
                <w:sz w:val="24"/>
              </w:rPr>
              <w:t>cartolarizzazione</w:t>
            </w:r>
            <w:r w:rsidR="0009277C" w:rsidRPr="00D51A68">
              <w:rPr>
                <w:rFonts w:ascii="Times New Roman" w:hAnsi="Times New Roman"/>
                <w:sz w:val="24"/>
              </w:rPr>
              <w:t>”</w:t>
            </w:r>
            <w:r w:rsidRPr="00D51A68">
              <w:rPr>
                <w:rFonts w:ascii="Times New Roman" w:hAnsi="Times New Roman"/>
                <w:sz w:val="24"/>
              </w:rPr>
              <w:t xml:space="preserve"> e </w:t>
            </w:r>
            <w:r w:rsidR="0009277C" w:rsidRPr="00D51A68">
              <w:rPr>
                <w:rFonts w:ascii="Times New Roman" w:hAnsi="Times New Roman"/>
                <w:sz w:val="24"/>
              </w:rPr>
              <w:t>“</w:t>
            </w:r>
            <w:r w:rsidRPr="00D51A68">
              <w:rPr>
                <w:rFonts w:ascii="Times New Roman" w:hAnsi="Times New Roman"/>
                <w:sz w:val="24"/>
              </w:rPr>
              <w:t>ricartolarizzazione</w:t>
            </w:r>
            <w:r w:rsidR="0009277C" w:rsidRPr="00D51A68">
              <w:rPr>
                <w:rFonts w:ascii="Times New Roman" w:hAnsi="Times New Roman"/>
                <w:sz w:val="24"/>
              </w:rPr>
              <w:t>”</w:t>
            </w:r>
            <w:r w:rsidRPr="00D51A68">
              <w:rPr>
                <w:rFonts w:ascii="Times New Roman" w:hAnsi="Times New Roman"/>
                <w:sz w:val="24"/>
              </w:rPr>
              <w:t xml:space="preserve"> di cui all</w:t>
            </w:r>
            <w:r w:rsidR="0009277C" w:rsidRPr="00D51A68">
              <w:rPr>
                <w:rFonts w:ascii="Times New Roman" w:hAnsi="Times New Roman"/>
                <w:sz w:val="24"/>
              </w:rPr>
              <w:t>’</w:t>
            </w:r>
            <w:r w:rsidRPr="00D51A68">
              <w:rPr>
                <w:rFonts w:ascii="Times New Roman" w:hAnsi="Times New Roman"/>
                <w:sz w:val="24"/>
              </w:rPr>
              <w:t>articolo 4, paragrafo 1, punti 61 e da 62 a 64, del CRR, il tipo di sottostante è segnalato mediante le seguenti abbreviazioni:</w:t>
            </w:r>
          </w:p>
          <w:p w:rsidR="00612780" w:rsidRPr="00D51A68" w:rsidRDefault="00612780" w:rsidP="00612780">
            <w:pPr>
              <w:autoSpaceDE w:val="0"/>
              <w:autoSpaceDN w:val="0"/>
              <w:adjustRightInd w:val="0"/>
              <w:spacing w:before="0" w:after="0"/>
              <w:jc w:val="left"/>
              <w:rPr>
                <w:rFonts w:ascii="Times New Roman" w:hAnsi="Times New Roman"/>
                <w:sz w:val="24"/>
              </w:rPr>
            </w:pPr>
            <w:r w:rsidRPr="00D51A68">
              <w:rPr>
                <w:rFonts w:ascii="Times New Roman" w:hAnsi="Times New Roman"/>
                <w:sz w:val="24"/>
              </w:rPr>
              <w:t xml:space="preserve">- </w:t>
            </w:r>
            <w:r w:rsidR="0009277C" w:rsidRPr="00D51A68">
              <w:rPr>
                <w:rFonts w:ascii="Times New Roman" w:hAnsi="Times New Roman"/>
                <w:sz w:val="24"/>
              </w:rPr>
              <w:t>“</w:t>
            </w:r>
            <w:r w:rsidRPr="00D51A68">
              <w:rPr>
                <w:rFonts w:ascii="Times New Roman" w:hAnsi="Times New Roman"/>
                <w:sz w:val="24"/>
              </w:rPr>
              <w:t>S</w:t>
            </w:r>
            <w:r w:rsidR="0009277C" w:rsidRPr="00D51A68">
              <w:rPr>
                <w:rFonts w:ascii="Times New Roman" w:hAnsi="Times New Roman"/>
                <w:sz w:val="24"/>
              </w:rPr>
              <w:t>”</w:t>
            </w:r>
            <w:r w:rsidRPr="00D51A68">
              <w:rPr>
                <w:rFonts w:ascii="Times New Roman" w:hAnsi="Times New Roman"/>
                <w:sz w:val="24"/>
              </w:rPr>
              <w:t xml:space="preserve"> = cartolarizzazione</w:t>
            </w:r>
          </w:p>
          <w:p w:rsidR="00612780" w:rsidRPr="00D51A68" w:rsidRDefault="00612780" w:rsidP="00612780">
            <w:pPr>
              <w:autoSpaceDE w:val="0"/>
              <w:autoSpaceDN w:val="0"/>
              <w:adjustRightInd w:val="0"/>
              <w:spacing w:before="0" w:after="0"/>
              <w:jc w:val="left"/>
              <w:rPr>
                <w:rFonts w:ascii="Times New Roman" w:hAnsi="Times New Roman"/>
                <w:sz w:val="24"/>
              </w:rPr>
            </w:pPr>
            <w:r w:rsidRPr="00D51A68">
              <w:rPr>
                <w:rFonts w:ascii="Times New Roman" w:hAnsi="Times New Roman"/>
                <w:sz w:val="24"/>
              </w:rPr>
              <w:t xml:space="preserve">- </w:t>
            </w:r>
            <w:r w:rsidR="0009277C" w:rsidRPr="00D51A68">
              <w:rPr>
                <w:rFonts w:ascii="Times New Roman" w:hAnsi="Times New Roman"/>
                <w:sz w:val="24"/>
              </w:rPr>
              <w:t>“</w:t>
            </w:r>
            <w:r w:rsidRPr="00D51A68">
              <w:rPr>
                <w:rFonts w:ascii="Times New Roman" w:hAnsi="Times New Roman"/>
                <w:sz w:val="24"/>
              </w:rPr>
              <w:t>R</w:t>
            </w:r>
            <w:r w:rsidR="0009277C" w:rsidRPr="00D51A68">
              <w:rPr>
                <w:rFonts w:ascii="Times New Roman" w:hAnsi="Times New Roman"/>
                <w:sz w:val="24"/>
              </w:rPr>
              <w:t>”</w:t>
            </w:r>
            <w:r w:rsidRPr="00D51A68">
              <w:rPr>
                <w:rFonts w:ascii="Times New Roman" w:hAnsi="Times New Roman"/>
                <w:sz w:val="24"/>
              </w:rPr>
              <w:t xml:space="preserve"> = ricartolarizzazione</w:t>
            </w:r>
          </w:p>
          <w:p w:rsidR="00612780" w:rsidRPr="00D51A68" w:rsidRDefault="00612780" w:rsidP="00612780">
            <w:pPr>
              <w:spacing w:before="0" w:after="0"/>
              <w:jc w:val="left"/>
              <w:rPr>
                <w:rFonts w:ascii="Times New Roman" w:hAnsi="Times New Roman"/>
                <w:b/>
                <w:sz w:val="24"/>
                <w:u w:val="single"/>
              </w:rPr>
            </w:pPr>
          </w:p>
        </w:tc>
      </w:tr>
      <w:tr w:rsidR="00CE4C49" w:rsidRPr="00D51A68" w:rsidTr="00233F01">
        <w:trPr>
          <w:cantSplit/>
        </w:trPr>
        <w:tc>
          <w:tcPr>
            <w:tcW w:w="1101" w:type="dxa"/>
          </w:tcPr>
          <w:p w:rsidR="00CE4C49" w:rsidRPr="00D51A68" w:rsidRDefault="00CE4C49" w:rsidP="00612780">
            <w:pPr>
              <w:autoSpaceDE w:val="0"/>
              <w:autoSpaceDN w:val="0"/>
              <w:adjustRightInd w:val="0"/>
              <w:spacing w:before="0" w:after="0"/>
              <w:rPr>
                <w:rFonts w:ascii="Times New Roman" w:hAnsi="Times New Roman"/>
                <w:sz w:val="24"/>
              </w:rPr>
            </w:pPr>
            <w:r w:rsidRPr="00D51A68">
              <w:rPr>
                <w:rFonts w:ascii="Times New Roman" w:hAnsi="Times New Roman"/>
                <w:sz w:val="24"/>
              </w:rPr>
              <w:lastRenderedPageBreak/>
              <w:t>075</w:t>
            </w:r>
          </w:p>
        </w:tc>
        <w:tc>
          <w:tcPr>
            <w:tcW w:w="7903" w:type="dxa"/>
          </w:tcPr>
          <w:p w:rsidR="00CE4C49" w:rsidRPr="00D51A68" w:rsidRDefault="00CE4C49" w:rsidP="00CE4C49">
            <w:pPr>
              <w:tabs>
                <w:tab w:val="left" w:pos="3274"/>
              </w:tabs>
              <w:spacing w:before="0" w:after="0"/>
              <w:jc w:val="left"/>
              <w:rPr>
                <w:rFonts w:ascii="Times New Roman" w:hAnsi="Times New Roman"/>
                <w:b/>
                <w:sz w:val="24"/>
                <w:u w:val="single"/>
              </w:rPr>
            </w:pPr>
            <w:r w:rsidRPr="00D51A68">
              <w:rPr>
                <w:rFonts w:ascii="Times New Roman" w:hAnsi="Times New Roman"/>
                <w:b/>
                <w:sz w:val="24"/>
                <w:u w:val="single"/>
              </w:rPr>
              <w:t>CARTOLARIZZAZIONE STS</w:t>
            </w:r>
          </w:p>
          <w:p w:rsidR="006B4AC8" w:rsidRPr="00D51A68" w:rsidRDefault="006B4AC8" w:rsidP="00CE4C49">
            <w:pPr>
              <w:spacing w:before="0" w:after="0"/>
              <w:jc w:val="left"/>
              <w:rPr>
                <w:rFonts w:ascii="Times New Roman" w:hAnsi="Times New Roman"/>
                <w:sz w:val="24"/>
              </w:rPr>
            </w:pPr>
          </w:p>
          <w:p w:rsidR="00CE4C49" w:rsidRPr="00D51A68" w:rsidRDefault="006B4AC8" w:rsidP="00CE4C49">
            <w:pPr>
              <w:spacing w:before="0" w:after="0"/>
              <w:jc w:val="left"/>
              <w:rPr>
                <w:rFonts w:ascii="Times New Roman" w:hAnsi="Times New Roman"/>
                <w:sz w:val="24"/>
              </w:rPr>
            </w:pPr>
            <w:r w:rsidRPr="00D51A68">
              <w:rPr>
                <w:rFonts w:ascii="Times New Roman" w:hAnsi="Times New Roman"/>
                <w:sz w:val="24"/>
              </w:rPr>
              <w:t>Articolo 18 del regolamento (UE) 2017/2402.</w:t>
            </w:r>
          </w:p>
          <w:p w:rsidR="006B4AC8" w:rsidRPr="00D51A68" w:rsidRDefault="006B4AC8" w:rsidP="00CE4C49">
            <w:pPr>
              <w:spacing w:before="0" w:after="0"/>
              <w:jc w:val="left"/>
              <w:rPr>
                <w:rFonts w:ascii="Times New Roman" w:hAnsi="Times New Roman"/>
                <w:sz w:val="24"/>
              </w:rPr>
            </w:pPr>
          </w:p>
          <w:p w:rsidR="00CE4C49" w:rsidRPr="00D51A68" w:rsidRDefault="00CE4C49" w:rsidP="00CE4C49">
            <w:pPr>
              <w:spacing w:before="0" w:after="0"/>
              <w:jc w:val="left"/>
              <w:rPr>
                <w:rFonts w:ascii="Times New Roman" w:hAnsi="Times New Roman"/>
                <w:sz w:val="24"/>
              </w:rPr>
            </w:pPr>
            <w:r w:rsidRPr="00D51A68">
              <w:rPr>
                <w:rFonts w:ascii="Times New Roman" w:hAnsi="Times New Roman"/>
                <w:sz w:val="24"/>
              </w:rPr>
              <w:t>Inserire una delle seguenti abbreviazioni:</w:t>
            </w:r>
          </w:p>
          <w:p w:rsidR="006B4AC8" w:rsidRPr="00D51A68" w:rsidRDefault="006B4AC8" w:rsidP="00CE4C49">
            <w:pPr>
              <w:spacing w:before="0" w:after="0"/>
              <w:jc w:val="left"/>
              <w:rPr>
                <w:rFonts w:ascii="Times New Roman" w:hAnsi="Times New Roman"/>
                <w:sz w:val="24"/>
              </w:rPr>
            </w:pPr>
            <w:r w:rsidRPr="00D51A68">
              <w:rPr>
                <w:rFonts w:ascii="Times New Roman" w:hAnsi="Times New Roman"/>
                <w:sz w:val="24"/>
              </w:rPr>
              <w:t>Y — Sì</w:t>
            </w:r>
          </w:p>
          <w:p w:rsidR="006B4AC8" w:rsidRPr="00D51A68" w:rsidRDefault="006B4AC8" w:rsidP="00CE4C49">
            <w:pPr>
              <w:spacing w:before="0" w:after="0"/>
              <w:jc w:val="left"/>
              <w:rPr>
                <w:rFonts w:ascii="Times New Roman" w:hAnsi="Times New Roman"/>
                <w:sz w:val="24"/>
              </w:rPr>
            </w:pPr>
            <w:r w:rsidRPr="00D51A68">
              <w:rPr>
                <w:rFonts w:ascii="Times New Roman" w:hAnsi="Times New Roman"/>
                <w:sz w:val="24"/>
              </w:rPr>
              <w:t>N — No</w:t>
            </w:r>
          </w:p>
          <w:p w:rsidR="00CE4C49" w:rsidRPr="00D51A68" w:rsidRDefault="00CE4C49" w:rsidP="006B4AC8">
            <w:pPr>
              <w:spacing w:before="0" w:after="0"/>
              <w:jc w:val="left"/>
              <w:rPr>
                <w:rFonts w:ascii="Times New Roman" w:hAnsi="Times New Roman"/>
                <w:b/>
                <w:sz w:val="24"/>
                <w:u w:val="single"/>
              </w:rPr>
            </w:pPr>
          </w:p>
        </w:tc>
      </w:tr>
      <w:tr w:rsidR="00612780" w:rsidRPr="00D51A68" w:rsidTr="00672D2A">
        <w:tc>
          <w:tcPr>
            <w:tcW w:w="1101" w:type="dxa"/>
          </w:tcPr>
          <w:p w:rsidR="00612780" w:rsidRPr="00D51A68" w:rsidRDefault="00612780" w:rsidP="00612780">
            <w:pPr>
              <w:autoSpaceDE w:val="0"/>
              <w:autoSpaceDN w:val="0"/>
              <w:adjustRightInd w:val="0"/>
              <w:spacing w:before="0" w:after="0"/>
              <w:rPr>
                <w:rFonts w:ascii="Times New Roman" w:hAnsi="Times New Roman"/>
                <w:sz w:val="24"/>
                <w:highlight w:val="yellow"/>
              </w:rPr>
            </w:pPr>
            <w:r w:rsidRPr="00D51A68">
              <w:rPr>
                <w:rFonts w:ascii="Times New Roman" w:hAnsi="Times New Roman"/>
                <w:sz w:val="24"/>
              </w:rPr>
              <w:t>080-100</w:t>
            </w:r>
          </w:p>
        </w:tc>
        <w:tc>
          <w:tcPr>
            <w:tcW w:w="7903" w:type="dxa"/>
          </w:tcPr>
          <w:p w:rsidR="00612780" w:rsidRPr="00D51A68" w:rsidRDefault="00612780" w:rsidP="00612780">
            <w:pPr>
              <w:spacing w:before="0" w:after="0"/>
              <w:jc w:val="left"/>
              <w:rPr>
                <w:rFonts w:ascii="Times New Roman" w:hAnsi="Times New Roman"/>
                <w:sz w:val="24"/>
              </w:rPr>
            </w:pPr>
            <w:r w:rsidRPr="00D51A68">
              <w:rPr>
                <w:rFonts w:ascii="Times New Roman" w:hAnsi="Times New Roman"/>
                <w:b/>
                <w:sz w:val="24"/>
                <w:u w:val="single"/>
              </w:rPr>
              <w:t>MANTENIMENTO</w:t>
            </w:r>
          </w:p>
          <w:p w:rsidR="00612780" w:rsidRPr="00D51A68" w:rsidRDefault="00612780" w:rsidP="00612780">
            <w:pPr>
              <w:spacing w:before="0" w:after="0"/>
              <w:jc w:val="left"/>
              <w:rPr>
                <w:rFonts w:ascii="Times New Roman" w:hAnsi="Times New Roman"/>
                <w:sz w:val="24"/>
              </w:rPr>
            </w:pPr>
            <w:r w:rsidRPr="00D51A68">
              <w:rPr>
                <w:rFonts w:ascii="Times New Roman" w:hAnsi="Times New Roman"/>
                <w:sz w:val="24"/>
              </w:rPr>
              <w:t>Articoli da 404 a 410 del CRR.</w:t>
            </w:r>
          </w:p>
          <w:p w:rsidR="00612780" w:rsidRPr="00D51A68" w:rsidRDefault="00612780" w:rsidP="00612780">
            <w:pPr>
              <w:spacing w:before="0" w:after="0"/>
              <w:jc w:val="left"/>
              <w:rPr>
                <w:rFonts w:ascii="Times New Roman" w:hAnsi="Times New Roman"/>
                <w:sz w:val="24"/>
              </w:rPr>
            </w:pPr>
          </w:p>
        </w:tc>
      </w:tr>
      <w:tr w:rsidR="00612780" w:rsidRPr="00D51A68" w:rsidTr="00672D2A">
        <w:tc>
          <w:tcPr>
            <w:tcW w:w="1101" w:type="dxa"/>
          </w:tcPr>
          <w:p w:rsidR="00612780" w:rsidRPr="00D51A68" w:rsidRDefault="00612780" w:rsidP="00612780">
            <w:pPr>
              <w:autoSpaceDE w:val="0"/>
              <w:autoSpaceDN w:val="0"/>
              <w:adjustRightInd w:val="0"/>
              <w:spacing w:before="0" w:after="0"/>
              <w:rPr>
                <w:rFonts w:ascii="Times New Roman" w:hAnsi="Times New Roman"/>
                <w:bCs/>
                <w:sz w:val="24"/>
                <w:highlight w:val="yellow"/>
              </w:rPr>
            </w:pPr>
            <w:r w:rsidRPr="00D51A68">
              <w:rPr>
                <w:rFonts w:ascii="Times New Roman" w:hAnsi="Times New Roman"/>
                <w:sz w:val="24"/>
              </w:rPr>
              <w:t>080</w:t>
            </w:r>
          </w:p>
        </w:tc>
        <w:tc>
          <w:tcPr>
            <w:tcW w:w="7903" w:type="dxa"/>
          </w:tcPr>
          <w:p w:rsidR="00612780" w:rsidRPr="00D51A68" w:rsidRDefault="00612780" w:rsidP="00612780">
            <w:pPr>
              <w:spacing w:before="0" w:after="0"/>
              <w:jc w:val="left"/>
              <w:rPr>
                <w:rFonts w:ascii="Times New Roman" w:hAnsi="Times New Roman"/>
                <w:b/>
                <w:sz w:val="24"/>
                <w:u w:val="single"/>
              </w:rPr>
            </w:pPr>
            <w:r w:rsidRPr="00D51A68">
              <w:rPr>
                <w:rFonts w:ascii="Times New Roman" w:hAnsi="Times New Roman"/>
                <w:b/>
                <w:sz w:val="24"/>
                <w:u w:val="single"/>
              </w:rPr>
              <w:t>TIPO DI MANTENIMENTO APPLICATO</w:t>
            </w:r>
          </w:p>
          <w:p w:rsidR="00612780" w:rsidRPr="00D51A68" w:rsidRDefault="00612780" w:rsidP="00612780">
            <w:pPr>
              <w:spacing w:before="0" w:after="0"/>
              <w:jc w:val="left"/>
              <w:rPr>
                <w:rFonts w:ascii="Times New Roman" w:hAnsi="Times New Roman"/>
                <w:sz w:val="24"/>
              </w:rPr>
            </w:pPr>
          </w:p>
          <w:p w:rsidR="00612780" w:rsidRPr="00D51A68" w:rsidRDefault="00612780" w:rsidP="00612780">
            <w:pPr>
              <w:spacing w:before="0" w:after="0"/>
              <w:rPr>
                <w:rFonts w:ascii="Times New Roman" w:hAnsi="Times New Roman"/>
                <w:sz w:val="24"/>
              </w:rPr>
            </w:pPr>
            <w:r w:rsidRPr="00D51A68">
              <w:rPr>
                <w:rFonts w:ascii="Times New Roman" w:hAnsi="Times New Roman"/>
                <w:sz w:val="24"/>
              </w:rPr>
              <w:t>Per ciascuno schema di cartolarizzazione creato è segnalato il pertinente tipo di mantenimento dell</w:t>
            </w:r>
            <w:r w:rsidR="0009277C" w:rsidRPr="00D51A68">
              <w:rPr>
                <w:rFonts w:ascii="Times New Roman" w:hAnsi="Times New Roman"/>
                <w:sz w:val="24"/>
              </w:rPr>
              <w:t>’</w:t>
            </w:r>
            <w:r w:rsidRPr="00D51A68">
              <w:rPr>
                <w:rFonts w:ascii="Times New Roman" w:hAnsi="Times New Roman"/>
                <w:sz w:val="24"/>
              </w:rPr>
              <w:t>interesse economico netto, come previsto dall</w:t>
            </w:r>
            <w:r w:rsidR="0009277C" w:rsidRPr="00D51A68">
              <w:rPr>
                <w:rFonts w:ascii="Times New Roman" w:hAnsi="Times New Roman"/>
                <w:sz w:val="24"/>
              </w:rPr>
              <w:t>’</w:t>
            </w:r>
            <w:r w:rsidRPr="00D51A68">
              <w:rPr>
                <w:rFonts w:ascii="Times New Roman" w:hAnsi="Times New Roman"/>
                <w:sz w:val="24"/>
              </w:rPr>
              <w:t>articolo 405 del CRR:</w:t>
            </w:r>
          </w:p>
          <w:p w:rsidR="00612780" w:rsidRPr="00D51A68" w:rsidRDefault="00612780" w:rsidP="00612780">
            <w:pPr>
              <w:spacing w:before="0" w:after="0"/>
              <w:rPr>
                <w:rFonts w:ascii="Times New Roman" w:hAnsi="Times New Roman"/>
                <w:sz w:val="24"/>
              </w:rPr>
            </w:pPr>
          </w:p>
          <w:p w:rsidR="00612780" w:rsidRPr="00D51A68" w:rsidRDefault="00612780" w:rsidP="00612780">
            <w:pPr>
              <w:spacing w:before="0" w:after="0"/>
              <w:rPr>
                <w:rFonts w:ascii="Times New Roman" w:hAnsi="Times New Roman"/>
                <w:sz w:val="24"/>
              </w:rPr>
            </w:pPr>
            <w:r w:rsidRPr="00D51A68">
              <w:rPr>
                <w:rFonts w:ascii="Times New Roman" w:hAnsi="Times New Roman"/>
                <w:sz w:val="24"/>
              </w:rPr>
              <w:t xml:space="preserve">A </w:t>
            </w:r>
            <w:r w:rsidR="00233F01" w:rsidRPr="00D51A68">
              <w:rPr>
                <w:rFonts w:ascii="Times New Roman" w:hAnsi="Times New Roman"/>
                <w:sz w:val="24"/>
              </w:rPr>
              <w:t xml:space="preserve">– </w:t>
            </w:r>
            <w:r w:rsidRPr="00D51A68">
              <w:rPr>
                <w:rFonts w:ascii="Times New Roman" w:hAnsi="Times New Roman"/>
                <w:sz w:val="24"/>
              </w:rPr>
              <w:t xml:space="preserve">sezione verticale (posizioni verso la cartolarizzazione): </w:t>
            </w:r>
            <w:r w:rsidR="0009277C" w:rsidRPr="00D51A68">
              <w:rPr>
                <w:rFonts w:ascii="Times New Roman" w:hAnsi="Times New Roman"/>
                <w:sz w:val="24"/>
              </w:rPr>
              <w:t>“</w:t>
            </w:r>
            <w:r w:rsidRPr="00D51A68">
              <w:rPr>
                <w:rFonts w:ascii="Times New Roman" w:hAnsi="Times New Roman"/>
                <w:i/>
                <w:sz w:val="24"/>
              </w:rPr>
              <w:t>il mantenimento di una percentuale non inferiore al 5% del valore nominale di ciascun segmento ceduto o trasferito agli investitori</w:t>
            </w:r>
            <w:r w:rsidR="0009277C" w:rsidRPr="00D51A68">
              <w:rPr>
                <w:rFonts w:ascii="Times New Roman" w:hAnsi="Times New Roman"/>
                <w:sz w:val="24"/>
              </w:rPr>
              <w:t>”</w:t>
            </w:r>
            <w:r w:rsidRPr="00D51A68">
              <w:rPr>
                <w:rFonts w:ascii="Times New Roman" w:hAnsi="Times New Roman"/>
                <w:sz w:val="24"/>
              </w:rPr>
              <w:t>;</w:t>
            </w:r>
            <w:r w:rsidRPr="00D51A68">
              <w:rPr>
                <w:rFonts w:ascii="Times New Roman" w:hAnsi="Times New Roman"/>
                <w:i/>
                <w:sz w:val="24"/>
              </w:rPr>
              <w:t xml:space="preserve"> </w:t>
            </w:r>
          </w:p>
          <w:p w:rsidR="00612780" w:rsidRPr="00D51A68" w:rsidRDefault="00612780" w:rsidP="00612780">
            <w:pPr>
              <w:spacing w:before="0" w:after="0"/>
              <w:rPr>
                <w:rFonts w:ascii="Times New Roman" w:hAnsi="Times New Roman"/>
                <w:sz w:val="24"/>
              </w:rPr>
            </w:pPr>
          </w:p>
          <w:p w:rsidR="00612780" w:rsidRPr="00D51A68" w:rsidRDefault="00612780" w:rsidP="00612780">
            <w:pPr>
              <w:spacing w:before="0" w:after="0"/>
              <w:rPr>
                <w:rFonts w:ascii="Times New Roman" w:hAnsi="Times New Roman"/>
                <w:sz w:val="24"/>
              </w:rPr>
            </w:pPr>
            <w:r w:rsidRPr="00D51A68">
              <w:rPr>
                <w:rFonts w:ascii="Times New Roman" w:hAnsi="Times New Roman"/>
                <w:sz w:val="24"/>
              </w:rPr>
              <w:t xml:space="preserve">V </w:t>
            </w:r>
            <w:r w:rsidR="00233F01" w:rsidRPr="00D51A68">
              <w:rPr>
                <w:rFonts w:ascii="Times New Roman" w:hAnsi="Times New Roman"/>
                <w:sz w:val="24"/>
              </w:rPr>
              <w:t xml:space="preserve">– </w:t>
            </w:r>
            <w:r w:rsidRPr="00D51A68">
              <w:rPr>
                <w:rFonts w:ascii="Times New Roman" w:hAnsi="Times New Roman"/>
                <w:sz w:val="24"/>
              </w:rPr>
              <w:t>sezione verticale (esposizioni cartolarizzate): il mantenimento di una percentuale non inferiore al</w:t>
            </w:r>
            <w:r w:rsidRPr="00D51A68">
              <w:rPr>
                <w:rFonts w:ascii="Times New Roman" w:hAnsi="Times New Roman"/>
                <w:i/>
                <w:sz w:val="24"/>
              </w:rPr>
              <w:t xml:space="preserve"> </w:t>
            </w:r>
            <w:r w:rsidRPr="00D51A68">
              <w:rPr>
                <w:rFonts w:ascii="Times New Roman" w:hAnsi="Times New Roman"/>
                <w:sz w:val="24"/>
              </w:rPr>
              <w:t>5% del rischio di credito di ciascuna delle esposizioni cartolarizzate se il rischio di credito così mantenuto rispetto a tali esposizioni cartolarizzate è sempre alla pari con o è subordinato al rischio di credito cartolarizzato rispetto alle medesime posizioni;</w:t>
            </w:r>
          </w:p>
          <w:p w:rsidR="00612780" w:rsidRPr="00D51A68" w:rsidRDefault="00612780" w:rsidP="00612780">
            <w:pPr>
              <w:spacing w:before="0" w:after="0"/>
              <w:rPr>
                <w:rFonts w:ascii="Times New Roman" w:hAnsi="Times New Roman"/>
                <w:sz w:val="24"/>
              </w:rPr>
            </w:pPr>
          </w:p>
          <w:p w:rsidR="00612780" w:rsidRPr="00D51A68" w:rsidRDefault="00612780" w:rsidP="00612780">
            <w:pPr>
              <w:spacing w:before="0" w:after="0"/>
              <w:rPr>
                <w:rFonts w:ascii="Times New Roman" w:hAnsi="Times New Roman"/>
                <w:sz w:val="24"/>
              </w:rPr>
            </w:pPr>
            <w:r w:rsidRPr="00D51A68">
              <w:rPr>
                <w:rFonts w:ascii="Times New Roman" w:hAnsi="Times New Roman"/>
                <w:sz w:val="24"/>
              </w:rPr>
              <w:t>B</w:t>
            </w:r>
            <w:r w:rsidR="00233F01" w:rsidRPr="00D51A68">
              <w:rPr>
                <w:rFonts w:ascii="Times New Roman" w:hAnsi="Times New Roman"/>
                <w:sz w:val="24"/>
              </w:rPr>
              <w:t xml:space="preserve"> – </w:t>
            </w:r>
            <w:r w:rsidRPr="00D51A68">
              <w:rPr>
                <w:rFonts w:ascii="Times New Roman" w:hAnsi="Times New Roman"/>
                <w:sz w:val="24"/>
              </w:rPr>
              <w:t xml:space="preserve">esposizioni rotative: </w:t>
            </w:r>
            <w:r w:rsidR="0009277C" w:rsidRPr="00D51A68">
              <w:rPr>
                <w:rFonts w:ascii="Times New Roman" w:hAnsi="Times New Roman"/>
                <w:sz w:val="24"/>
              </w:rPr>
              <w:t>“</w:t>
            </w:r>
            <w:r w:rsidRPr="00D51A68">
              <w:rPr>
                <w:rFonts w:ascii="Times New Roman" w:hAnsi="Times New Roman"/>
                <w:i/>
                <w:sz w:val="24"/>
              </w:rPr>
              <w:t>in caso di cartolarizzazioni di esposizioni rotative, il mantenimento dell</w:t>
            </w:r>
            <w:r w:rsidR="0009277C" w:rsidRPr="00D51A68">
              <w:rPr>
                <w:rFonts w:ascii="Times New Roman" w:hAnsi="Times New Roman"/>
                <w:i/>
                <w:sz w:val="24"/>
              </w:rPr>
              <w:t>’</w:t>
            </w:r>
            <w:r w:rsidRPr="00D51A68">
              <w:rPr>
                <w:rFonts w:ascii="Times New Roman" w:hAnsi="Times New Roman"/>
                <w:i/>
                <w:sz w:val="24"/>
              </w:rPr>
              <w:t>interesse del cedente in percentuale non inferiore al 5% del valore nominale delle esposizioni cartolarizzate</w:t>
            </w:r>
            <w:r w:rsidR="0009277C" w:rsidRPr="00D51A68">
              <w:rPr>
                <w:rFonts w:ascii="Times New Roman" w:hAnsi="Times New Roman"/>
                <w:sz w:val="24"/>
              </w:rPr>
              <w:t>”</w:t>
            </w:r>
            <w:r w:rsidRPr="00D51A68">
              <w:rPr>
                <w:rFonts w:ascii="Times New Roman" w:hAnsi="Times New Roman"/>
                <w:sz w:val="24"/>
              </w:rPr>
              <w:t xml:space="preserve">; </w:t>
            </w:r>
          </w:p>
          <w:p w:rsidR="00612780" w:rsidRPr="00D51A68" w:rsidRDefault="00612780" w:rsidP="00612780">
            <w:pPr>
              <w:spacing w:before="0" w:after="0"/>
              <w:rPr>
                <w:rFonts w:ascii="Times New Roman" w:hAnsi="Times New Roman"/>
                <w:sz w:val="24"/>
              </w:rPr>
            </w:pPr>
          </w:p>
          <w:p w:rsidR="00612780" w:rsidRPr="00D51A68" w:rsidRDefault="00612780" w:rsidP="00612780">
            <w:pPr>
              <w:spacing w:before="0" w:after="0"/>
              <w:rPr>
                <w:rFonts w:ascii="Times New Roman" w:hAnsi="Times New Roman"/>
                <w:sz w:val="24"/>
              </w:rPr>
            </w:pPr>
            <w:r w:rsidRPr="00D51A68">
              <w:rPr>
                <w:rFonts w:ascii="Times New Roman" w:hAnsi="Times New Roman"/>
                <w:sz w:val="24"/>
              </w:rPr>
              <w:t xml:space="preserve">C </w:t>
            </w:r>
            <w:r w:rsidR="00233F01" w:rsidRPr="00D51A68">
              <w:rPr>
                <w:rFonts w:ascii="Times New Roman" w:hAnsi="Times New Roman"/>
                <w:sz w:val="24"/>
              </w:rPr>
              <w:t xml:space="preserve">– </w:t>
            </w:r>
            <w:r w:rsidRPr="00D51A68">
              <w:rPr>
                <w:rFonts w:ascii="Times New Roman" w:hAnsi="Times New Roman"/>
                <w:sz w:val="24"/>
              </w:rPr>
              <w:t xml:space="preserve">in bilancio: </w:t>
            </w:r>
            <w:r w:rsidR="0009277C" w:rsidRPr="00D51A68">
              <w:rPr>
                <w:rFonts w:ascii="Times New Roman" w:hAnsi="Times New Roman"/>
                <w:sz w:val="24"/>
              </w:rPr>
              <w:t>“</w:t>
            </w:r>
            <w:r w:rsidRPr="00D51A68">
              <w:rPr>
                <w:rFonts w:ascii="Times New Roman" w:hAnsi="Times New Roman"/>
                <w:i/>
                <w:sz w:val="24"/>
              </w:rPr>
              <w:t>il mantenimento di esposizioni scelte casualmente, equivalenti a una percentuale non inferiore al 5% del valore nominale delle esposizioni cartolarizzate, quando tali esposizioni sarebbero state altrimenti cartolarizzate, a condizione che il numero delle esposizioni potenzialmente cartolarizzate non sia inferiore a 100 all</w:t>
            </w:r>
            <w:r w:rsidR="0009277C" w:rsidRPr="00D51A68">
              <w:rPr>
                <w:rFonts w:ascii="Times New Roman" w:hAnsi="Times New Roman"/>
                <w:i/>
                <w:sz w:val="24"/>
              </w:rPr>
              <w:t>’</w:t>
            </w:r>
            <w:r w:rsidRPr="00D51A68">
              <w:rPr>
                <w:rFonts w:ascii="Times New Roman" w:hAnsi="Times New Roman"/>
                <w:i/>
                <w:sz w:val="24"/>
              </w:rPr>
              <w:t>origine</w:t>
            </w:r>
            <w:r w:rsidR="0009277C" w:rsidRPr="00D51A68">
              <w:rPr>
                <w:rFonts w:ascii="Times New Roman" w:hAnsi="Times New Roman"/>
                <w:sz w:val="24"/>
              </w:rPr>
              <w:t>”</w:t>
            </w:r>
            <w:r w:rsidRPr="00D51A68">
              <w:rPr>
                <w:rFonts w:ascii="Times New Roman" w:hAnsi="Times New Roman"/>
                <w:sz w:val="24"/>
              </w:rPr>
              <w:t>;</w:t>
            </w:r>
          </w:p>
          <w:p w:rsidR="00612780" w:rsidRPr="00D51A68" w:rsidRDefault="00612780" w:rsidP="00612780">
            <w:pPr>
              <w:spacing w:before="0" w:after="0"/>
              <w:rPr>
                <w:rFonts w:ascii="Times New Roman" w:hAnsi="Times New Roman"/>
                <w:sz w:val="24"/>
              </w:rPr>
            </w:pPr>
          </w:p>
          <w:p w:rsidR="00612780" w:rsidRPr="00D51A68" w:rsidRDefault="00612780" w:rsidP="00612780">
            <w:pPr>
              <w:spacing w:before="0" w:after="0"/>
              <w:rPr>
                <w:rFonts w:ascii="Times New Roman" w:hAnsi="Times New Roman"/>
                <w:sz w:val="24"/>
              </w:rPr>
            </w:pPr>
            <w:r w:rsidRPr="00D51A68">
              <w:rPr>
                <w:rFonts w:ascii="Times New Roman" w:hAnsi="Times New Roman"/>
                <w:sz w:val="24"/>
              </w:rPr>
              <w:t xml:space="preserve">D </w:t>
            </w:r>
            <w:r w:rsidR="00233F01" w:rsidRPr="00D51A68">
              <w:rPr>
                <w:rFonts w:ascii="Times New Roman" w:hAnsi="Times New Roman"/>
                <w:sz w:val="24"/>
              </w:rPr>
              <w:t xml:space="preserve">– </w:t>
            </w:r>
            <w:r w:rsidRPr="00D51A68">
              <w:rPr>
                <w:rFonts w:ascii="Times New Roman" w:hAnsi="Times New Roman"/>
                <w:sz w:val="24"/>
              </w:rPr>
              <w:t xml:space="preserve">prime perdite: </w:t>
            </w:r>
            <w:r w:rsidR="0009277C" w:rsidRPr="00D51A68">
              <w:rPr>
                <w:rFonts w:ascii="Times New Roman" w:hAnsi="Times New Roman"/>
                <w:sz w:val="24"/>
              </w:rPr>
              <w:t>“</w:t>
            </w:r>
            <w:r w:rsidRPr="00D51A68">
              <w:rPr>
                <w:rFonts w:ascii="Times New Roman" w:hAnsi="Times New Roman"/>
                <w:i/>
                <w:sz w:val="24"/>
              </w:rPr>
              <w:t>il mantenimento del segmento prime perdite e, se necessario, di altri segmenti aventi profilo di rischio uguale o maggiore a quelli trasferiti o ceduti agli investitori, e la cui durata non sia inferiore a quelli trasferiti o ceduti agli investitori, in modo che il mantenimento equivalga complessivamente almeno al 5% del valore nominale delle esposizioni cartolarizzate</w:t>
            </w:r>
            <w:r w:rsidR="0009277C" w:rsidRPr="00D51A68">
              <w:rPr>
                <w:rFonts w:ascii="Times New Roman" w:hAnsi="Times New Roman"/>
                <w:sz w:val="24"/>
              </w:rPr>
              <w:t>”</w:t>
            </w:r>
            <w:r w:rsidRPr="00D51A68">
              <w:rPr>
                <w:rFonts w:ascii="Times New Roman" w:hAnsi="Times New Roman"/>
                <w:sz w:val="24"/>
              </w:rPr>
              <w:t>;</w:t>
            </w:r>
          </w:p>
          <w:p w:rsidR="00612780" w:rsidRPr="00D51A68" w:rsidRDefault="00612780" w:rsidP="00612780">
            <w:pPr>
              <w:spacing w:before="0" w:after="0"/>
              <w:rPr>
                <w:rFonts w:ascii="Times New Roman" w:hAnsi="Times New Roman"/>
                <w:sz w:val="24"/>
              </w:rPr>
            </w:pPr>
          </w:p>
          <w:p w:rsidR="00612780" w:rsidRPr="00D51A68" w:rsidRDefault="00612780" w:rsidP="00612780">
            <w:pPr>
              <w:spacing w:before="0" w:after="0"/>
              <w:rPr>
                <w:rFonts w:ascii="Times New Roman" w:hAnsi="Times New Roman"/>
                <w:sz w:val="24"/>
              </w:rPr>
            </w:pPr>
            <w:r w:rsidRPr="00D51A68">
              <w:rPr>
                <w:rFonts w:ascii="Times New Roman" w:hAnsi="Times New Roman"/>
                <w:sz w:val="24"/>
              </w:rPr>
              <w:t xml:space="preserve">E </w:t>
            </w:r>
            <w:r w:rsidR="00233F01" w:rsidRPr="00D51A68">
              <w:rPr>
                <w:rFonts w:ascii="Times New Roman" w:hAnsi="Times New Roman"/>
                <w:sz w:val="24"/>
              </w:rPr>
              <w:t xml:space="preserve">– </w:t>
            </w:r>
            <w:r w:rsidRPr="00D51A68">
              <w:rPr>
                <w:rFonts w:ascii="Times New Roman" w:hAnsi="Times New Roman"/>
                <w:sz w:val="24"/>
              </w:rPr>
              <w:t>esente: questo codice è utilizzato per segnalare le cartolarizzazioni soggette alle disposizioni dell</w:t>
            </w:r>
            <w:r w:rsidR="0009277C" w:rsidRPr="00D51A68">
              <w:rPr>
                <w:rFonts w:ascii="Times New Roman" w:hAnsi="Times New Roman"/>
                <w:sz w:val="24"/>
              </w:rPr>
              <w:t>’</w:t>
            </w:r>
            <w:r w:rsidRPr="00D51A68">
              <w:rPr>
                <w:rFonts w:ascii="Times New Roman" w:hAnsi="Times New Roman"/>
                <w:sz w:val="24"/>
              </w:rPr>
              <w:t>articolo 405, paragrafo 3, del CRR;</w:t>
            </w:r>
          </w:p>
          <w:p w:rsidR="00612780" w:rsidRPr="00D51A68" w:rsidRDefault="00612780" w:rsidP="00612780">
            <w:pPr>
              <w:spacing w:before="0" w:after="0"/>
              <w:rPr>
                <w:rFonts w:ascii="Times New Roman" w:hAnsi="Times New Roman"/>
                <w:sz w:val="24"/>
              </w:rPr>
            </w:pPr>
          </w:p>
          <w:p w:rsidR="00612780" w:rsidRPr="00D51A68" w:rsidRDefault="00612780" w:rsidP="00612780">
            <w:pPr>
              <w:spacing w:before="0" w:after="0"/>
              <w:rPr>
                <w:rFonts w:ascii="Times New Roman" w:hAnsi="Times New Roman"/>
                <w:sz w:val="24"/>
              </w:rPr>
            </w:pPr>
            <w:r w:rsidRPr="00D51A68">
              <w:rPr>
                <w:rFonts w:ascii="Times New Roman" w:hAnsi="Times New Roman"/>
                <w:sz w:val="24"/>
              </w:rPr>
              <w:t xml:space="preserve">N </w:t>
            </w:r>
            <w:r w:rsidR="00233F01" w:rsidRPr="00D51A68">
              <w:rPr>
                <w:rFonts w:ascii="Times New Roman" w:hAnsi="Times New Roman"/>
                <w:sz w:val="24"/>
              </w:rPr>
              <w:t xml:space="preserve">– </w:t>
            </w:r>
            <w:r w:rsidRPr="00D51A68">
              <w:rPr>
                <w:rFonts w:ascii="Times New Roman" w:hAnsi="Times New Roman"/>
                <w:sz w:val="24"/>
              </w:rPr>
              <w:t>non applicabile: questo codice è utilizzato per segnalare le cartolarizzazioni soggette alle disposizioni dell</w:t>
            </w:r>
            <w:r w:rsidR="0009277C" w:rsidRPr="00D51A68">
              <w:rPr>
                <w:rFonts w:ascii="Times New Roman" w:hAnsi="Times New Roman"/>
                <w:sz w:val="24"/>
              </w:rPr>
              <w:t>’</w:t>
            </w:r>
            <w:r w:rsidRPr="00D51A68">
              <w:rPr>
                <w:rFonts w:ascii="Times New Roman" w:hAnsi="Times New Roman"/>
                <w:sz w:val="24"/>
              </w:rPr>
              <w:t>articolo 404 del CRR;</w:t>
            </w:r>
          </w:p>
          <w:p w:rsidR="00612780" w:rsidRPr="00D51A68" w:rsidRDefault="00612780" w:rsidP="00612780">
            <w:pPr>
              <w:spacing w:before="0" w:after="0"/>
              <w:rPr>
                <w:rFonts w:ascii="Times New Roman" w:hAnsi="Times New Roman"/>
                <w:sz w:val="24"/>
              </w:rPr>
            </w:pPr>
          </w:p>
          <w:p w:rsidR="00612780" w:rsidRPr="00D51A68" w:rsidRDefault="00612780" w:rsidP="00612780">
            <w:pPr>
              <w:spacing w:before="0" w:after="0"/>
              <w:rPr>
                <w:rFonts w:ascii="Times New Roman" w:hAnsi="Times New Roman"/>
                <w:sz w:val="24"/>
              </w:rPr>
            </w:pPr>
            <w:r w:rsidRPr="00D51A68">
              <w:rPr>
                <w:rFonts w:ascii="Times New Roman" w:hAnsi="Times New Roman"/>
                <w:sz w:val="24"/>
              </w:rPr>
              <w:lastRenderedPageBreak/>
              <w:t xml:space="preserve">U </w:t>
            </w:r>
            <w:r w:rsidR="00233F01" w:rsidRPr="00D51A68">
              <w:rPr>
                <w:rFonts w:ascii="Times New Roman" w:hAnsi="Times New Roman"/>
                <w:sz w:val="24"/>
              </w:rPr>
              <w:t xml:space="preserve">– </w:t>
            </w:r>
            <w:r w:rsidRPr="00D51A68">
              <w:rPr>
                <w:rFonts w:ascii="Times New Roman" w:hAnsi="Times New Roman"/>
                <w:sz w:val="24"/>
              </w:rPr>
              <w:t>non conforme o sconosciuto: questo codice è utilizzato quando l</w:t>
            </w:r>
            <w:r w:rsidR="0009277C" w:rsidRPr="00D51A68">
              <w:rPr>
                <w:rFonts w:ascii="Times New Roman" w:hAnsi="Times New Roman"/>
                <w:sz w:val="24"/>
              </w:rPr>
              <w:t>’</w:t>
            </w:r>
            <w:r w:rsidRPr="00D51A68">
              <w:rPr>
                <w:rFonts w:ascii="Times New Roman" w:hAnsi="Times New Roman"/>
                <w:sz w:val="24"/>
              </w:rPr>
              <w:t>ente segnalante non sa con certezza quale sia il tipo di mantenimento applicato oppure in caso di inadempienza.</w:t>
            </w:r>
          </w:p>
          <w:p w:rsidR="00612780" w:rsidRPr="00D51A68" w:rsidRDefault="00612780" w:rsidP="00612780">
            <w:pPr>
              <w:autoSpaceDE w:val="0"/>
              <w:autoSpaceDN w:val="0"/>
              <w:adjustRightInd w:val="0"/>
              <w:spacing w:before="0" w:after="0"/>
              <w:jc w:val="left"/>
              <w:rPr>
                <w:rFonts w:ascii="Times New Roman" w:hAnsi="Times New Roman"/>
                <w:sz w:val="24"/>
              </w:rPr>
            </w:pPr>
          </w:p>
        </w:tc>
      </w:tr>
      <w:tr w:rsidR="00612780" w:rsidRPr="00D51A68" w:rsidTr="00672D2A">
        <w:tc>
          <w:tcPr>
            <w:tcW w:w="1101" w:type="dxa"/>
          </w:tcPr>
          <w:p w:rsidR="00612780" w:rsidRPr="00D51A68" w:rsidRDefault="00612780" w:rsidP="00612780">
            <w:pPr>
              <w:autoSpaceDE w:val="0"/>
              <w:autoSpaceDN w:val="0"/>
              <w:adjustRightInd w:val="0"/>
              <w:spacing w:before="0" w:after="0"/>
              <w:rPr>
                <w:rFonts w:ascii="Times New Roman" w:hAnsi="Times New Roman"/>
                <w:bCs/>
                <w:sz w:val="24"/>
              </w:rPr>
            </w:pPr>
            <w:r w:rsidRPr="00D51A68">
              <w:rPr>
                <w:rFonts w:ascii="Times New Roman" w:hAnsi="Times New Roman"/>
                <w:sz w:val="24"/>
              </w:rPr>
              <w:lastRenderedPageBreak/>
              <w:t>090</w:t>
            </w:r>
          </w:p>
        </w:tc>
        <w:tc>
          <w:tcPr>
            <w:tcW w:w="7903" w:type="dxa"/>
          </w:tcPr>
          <w:p w:rsidR="00612780" w:rsidRPr="00D51A68" w:rsidRDefault="00612780" w:rsidP="00612780">
            <w:pPr>
              <w:spacing w:before="0" w:after="0"/>
              <w:jc w:val="left"/>
              <w:rPr>
                <w:rFonts w:ascii="Times New Roman" w:hAnsi="Times New Roman"/>
                <w:b/>
                <w:sz w:val="24"/>
                <w:u w:val="single"/>
              </w:rPr>
            </w:pPr>
            <w:r w:rsidRPr="00D51A68">
              <w:rPr>
                <w:rFonts w:ascii="Times New Roman" w:hAnsi="Times New Roman"/>
                <w:b/>
                <w:sz w:val="24"/>
                <w:u w:val="single"/>
              </w:rPr>
              <w:t>% DI MANTENIMENTO ALLA DATA DI RIFERIMENTO PER LE SEGNALAZIONI</w:t>
            </w:r>
          </w:p>
          <w:p w:rsidR="00612780" w:rsidRPr="00D51A68" w:rsidRDefault="00612780" w:rsidP="00612780">
            <w:pPr>
              <w:spacing w:before="0" w:after="0"/>
              <w:jc w:val="left"/>
              <w:rPr>
                <w:rFonts w:ascii="Times New Roman" w:hAnsi="Times New Roman"/>
                <w:sz w:val="24"/>
              </w:rPr>
            </w:pPr>
          </w:p>
          <w:p w:rsidR="00612780" w:rsidRPr="00D51A68" w:rsidRDefault="00612780" w:rsidP="00612780">
            <w:pPr>
              <w:spacing w:before="0" w:after="0"/>
              <w:rPr>
                <w:rFonts w:ascii="Times New Roman" w:hAnsi="Times New Roman"/>
                <w:i/>
                <w:sz w:val="24"/>
              </w:rPr>
            </w:pPr>
            <w:r w:rsidRPr="00D51A68">
              <w:rPr>
                <w:rFonts w:ascii="Times New Roman" w:hAnsi="Times New Roman"/>
                <w:sz w:val="24"/>
              </w:rPr>
              <w:t xml:space="preserve">Il mantenimento di un </w:t>
            </w:r>
            <w:r w:rsidRPr="00D51A68">
              <w:rPr>
                <w:rFonts w:ascii="Times New Roman" w:hAnsi="Times New Roman"/>
                <w:i/>
                <w:sz w:val="24"/>
              </w:rPr>
              <w:t>interesse economico netto rilevante da parte del cedente, del promotore o del prestatore originario</w:t>
            </w:r>
            <w:r w:rsidRPr="00D51A68">
              <w:rPr>
                <w:rFonts w:ascii="Times New Roman" w:hAnsi="Times New Roman"/>
                <w:sz w:val="24"/>
              </w:rPr>
              <w:t xml:space="preserve"> della cartolarizzazione riguarda una percentuale non inferiore al 5% (alla data di avvio dell</w:t>
            </w:r>
            <w:r w:rsidR="0009277C" w:rsidRPr="00D51A68">
              <w:rPr>
                <w:rFonts w:ascii="Times New Roman" w:hAnsi="Times New Roman"/>
                <w:sz w:val="24"/>
              </w:rPr>
              <w:t>’</w:t>
            </w:r>
            <w:r w:rsidRPr="00D51A68">
              <w:rPr>
                <w:rFonts w:ascii="Times New Roman" w:hAnsi="Times New Roman"/>
                <w:sz w:val="24"/>
              </w:rPr>
              <w:t>operazione).</w:t>
            </w:r>
          </w:p>
          <w:p w:rsidR="00612780" w:rsidRPr="00D51A68" w:rsidRDefault="00612780" w:rsidP="00612780">
            <w:pPr>
              <w:spacing w:before="0" w:after="0"/>
              <w:rPr>
                <w:rFonts w:ascii="Times New Roman" w:hAnsi="Times New Roman"/>
                <w:i/>
                <w:szCs w:val="20"/>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Nonostante l</w:t>
            </w:r>
            <w:r w:rsidR="0009277C" w:rsidRPr="00D51A68">
              <w:rPr>
                <w:rFonts w:ascii="Times New Roman" w:hAnsi="Times New Roman"/>
                <w:sz w:val="24"/>
              </w:rPr>
              <w:t>’</w:t>
            </w:r>
            <w:r w:rsidRPr="00D51A68">
              <w:rPr>
                <w:rFonts w:ascii="Times New Roman" w:hAnsi="Times New Roman"/>
                <w:sz w:val="24"/>
              </w:rPr>
              <w:t>articolo 405, paragrafo 1, del CRR, si può di norma interpretare che la misurazione del mantenimento all</w:t>
            </w:r>
            <w:r w:rsidR="0009277C" w:rsidRPr="00D51A68">
              <w:rPr>
                <w:rFonts w:ascii="Times New Roman" w:hAnsi="Times New Roman"/>
                <w:sz w:val="24"/>
              </w:rPr>
              <w:t>’</w:t>
            </w:r>
            <w:r w:rsidRPr="00D51A68">
              <w:rPr>
                <w:rFonts w:ascii="Times New Roman" w:hAnsi="Times New Roman"/>
                <w:sz w:val="24"/>
              </w:rPr>
              <w:t>avvio dell</w:t>
            </w:r>
            <w:r w:rsidR="0009277C" w:rsidRPr="00D51A68">
              <w:rPr>
                <w:rFonts w:ascii="Times New Roman" w:hAnsi="Times New Roman"/>
                <w:sz w:val="24"/>
              </w:rPr>
              <w:t>’</w:t>
            </w:r>
            <w:r w:rsidRPr="00D51A68">
              <w:rPr>
                <w:rFonts w:ascii="Times New Roman" w:hAnsi="Times New Roman"/>
                <w:sz w:val="24"/>
              </w:rPr>
              <w:t>operazione sia effettuata al momento della prima cartolarizzazione delle esposizioni, non al momento della loro prima creazione (ad esempio non al momento della prima concessione dei prestiti sottostanti). La misurazione del mantenimento all</w:t>
            </w:r>
            <w:r w:rsidR="0009277C" w:rsidRPr="00D51A68">
              <w:rPr>
                <w:rFonts w:ascii="Times New Roman" w:hAnsi="Times New Roman"/>
                <w:sz w:val="24"/>
              </w:rPr>
              <w:t>’</w:t>
            </w:r>
            <w:r w:rsidRPr="00D51A68">
              <w:rPr>
                <w:rFonts w:ascii="Times New Roman" w:hAnsi="Times New Roman"/>
                <w:sz w:val="24"/>
              </w:rPr>
              <w:t>avvio dell</w:t>
            </w:r>
            <w:r w:rsidR="0009277C" w:rsidRPr="00D51A68">
              <w:rPr>
                <w:rFonts w:ascii="Times New Roman" w:hAnsi="Times New Roman"/>
                <w:sz w:val="24"/>
              </w:rPr>
              <w:t>’</w:t>
            </w:r>
            <w:r w:rsidRPr="00D51A68">
              <w:rPr>
                <w:rFonts w:ascii="Times New Roman" w:hAnsi="Times New Roman"/>
                <w:sz w:val="24"/>
              </w:rPr>
              <w:t>operazione implica che il 5% fosse la percentuale di mantenimento richiesta nel momento in cui è stato misurato il relativo livello ed è risultato soddisfatto il requisito (ad esempio quando le esposizioni sono state cartolarizzate la prima volta); non sono richiesti la rimisurazione dinamica e il riaggiustamento della percentuale di mantenimento durante l</w:t>
            </w:r>
            <w:r w:rsidR="0009277C" w:rsidRPr="00D51A68">
              <w:rPr>
                <w:rFonts w:ascii="Times New Roman" w:hAnsi="Times New Roman"/>
                <w:sz w:val="24"/>
              </w:rPr>
              <w:t>’</w:t>
            </w:r>
            <w:r w:rsidRPr="00D51A68">
              <w:rPr>
                <w:rFonts w:ascii="Times New Roman" w:hAnsi="Times New Roman"/>
                <w:sz w:val="24"/>
              </w:rPr>
              <w:t>intero ciclo di vita dell</w:t>
            </w:r>
            <w:r w:rsidR="0009277C" w:rsidRPr="00D51A68">
              <w:rPr>
                <w:rFonts w:ascii="Times New Roman" w:hAnsi="Times New Roman"/>
                <w:sz w:val="24"/>
              </w:rPr>
              <w:t>’</w:t>
            </w:r>
            <w:r w:rsidRPr="00D51A68">
              <w:rPr>
                <w:rFonts w:ascii="Times New Roman" w:hAnsi="Times New Roman"/>
                <w:sz w:val="24"/>
              </w:rPr>
              <w:t>operazione.</w:t>
            </w:r>
          </w:p>
          <w:p w:rsidR="00612780" w:rsidRPr="00D51A68" w:rsidRDefault="00612780" w:rsidP="00612780">
            <w:pPr>
              <w:autoSpaceDE w:val="0"/>
              <w:autoSpaceDN w:val="0"/>
              <w:adjustRightInd w:val="0"/>
              <w:spacing w:before="0" w:after="0"/>
              <w:rPr>
                <w:rFonts w:ascii="Times New Roman" w:hAnsi="Times New Roman"/>
                <w:szCs w:val="20"/>
              </w:rPr>
            </w:pPr>
          </w:p>
          <w:p w:rsidR="00612780" w:rsidRPr="00D51A68" w:rsidRDefault="00612780" w:rsidP="00612780">
            <w:pPr>
              <w:autoSpaceDE w:val="0"/>
              <w:autoSpaceDN w:val="0"/>
              <w:adjustRightInd w:val="0"/>
              <w:spacing w:before="0" w:after="0"/>
              <w:rPr>
                <w:rFonts w:ascii="Times New Roman" w:hAnsi="Times New Roman"/>
                <w:i/>
                <w:sz w:val="24"/>
              </w:rPr>
            </w:pPr>
            <w:r w:rsidRPr="00D51A68">
              <w:rPr>
                <w:rFonts w:ascii="Times New Roman" w:hAnsi="Times New Roman"/>
                <w:sz w:val="24"/>
              </w:rPr>
              <w:t xml:space="preserve">Non occorre compilare questa colonna se nella colonna 080 (tipo di mantenimento applicato) è riportato il codice </w:t>
            </w:r>
            <w:r w:rsidR="0009277C" w:rsidRPr="00D51A68">
              <w:rPr>
                <w:rFonts w:ascii="Times New Roman" w:hAnsi="Times New Roman"/>
                <w:sz w:val="24"/>
              </w:rPr>
              <w:t>“</w:t>
            </w:r>
            <w:r w:rsidRPr="00D51A68">
              <w:rPr>
                <w:rFonts w:ascii="Times New Roman" w:hAnsi="Times New Roman"/>
                <w:sz w:val="24"/>
              </w:rPr>
              <w:t>E</w:t>
            </w:r>
            <w:r w:rsidR="0009277C" w:rsidRPr="00D51A68">
              <w:rPr>
                <w:rFonts w:ascii="Times New Roman" w:hAnsi="Times New Roman"/>
                <w:sz w:val="24"/>
              </w:rPr>
              <w:t>”</w:t>
            </w:r>
            <w:r w:rsidRPr="00D51A68">
              <w:rPr>
                <w:rFonts w:ascii="Times New Roman" w:hAnsi="Times New Roman"/>
                <w:sz w:val="24"/>
              </w:rPr>
              <w:t xml:space="preserve"> (esente) o </w:t>
            </w:r>
            <w:r w:rsidR="0009277C" w:rsidRPr="00D51A68">
              <w:rPr>
                <w:rFonts w:ascii="Times New Roman" w:hAnsi="Times New Roman"/>
                <w:sz w:val="24"/>
              </w:rPr>
              <w:t>“</w:t>
            </w:r>
            <w:r w:rsidRPr="00D51A68">
              <w:rPr>
                <w:rFonts w:ascii="Times New Roman" w:hAnsi="Times New Roman"/>
                <w:sz w:val="24"/>
              </w:rPr>
              <w:t>N</w:t>
            </w:r>
            <w:r w:rsidR="0009277C" w:rsidRPr="00D51A68">
              <w:rPr>
                <w:rFonts w:ascii="Times New Roman" w:hAnsi="Times New Roman"/>
                <w:sz w:val="24"/>
              </w:rPr>
              <w:t>”</w:t>
            </w:r>
            <w:r w:rsidRPr="00D51A68">
              <w:rPr>
                <w:rFonts w:ascii="Times New Roman" w:hAnsi="Times New Roman"/>
                <w:sz w:val="24"/>
              </w:rPr>
              <w:t xml:space="preserve"> (non applicabile).</w:t>
            </w:r>
          </w:p>
          <w:p w:rsidR="00612780" w:rsidRPr="00D51A68" w:rsidRDefault="00612780" w:rsidP="00612780">
            <w:pPr>
              <w:spacing w:before="0" w:after="0"/>
              <w:jc w:val="left"/>
              <w:rPr>
                <w:rFonts w:ascii="Times New Roman" w:hAnsi="Times New Roman"/>
                <w:sz w:val="24"/>
              </w:rPr>
            </w:pPr>
          </w:p>
        </w:tc>
      </w:tr>
      <w:tr w:rsidR="00612780" w:rsidRPr="00D51A68" w:rsidTr="00672D2A">
        <w:tc>
          <w:tcPr>
            <w:tcW w:w="1101" w:type="dxa"/>
          </w:tcPr>
          <w:p w:rsidR="00612780" w:rsidRPr="00D51A68" w:rsidRDefault="00612780" w:rsidP="00612780">
            <w:pPr>
              <w:autoSpaceDE w:val="0"/>
              <w:autoSpaceDN w:val="0"/>
              <w:adjustRightInd w:val="0"/>
              <w:spacing w:before="0" w:after="0"/>
              <w:rPr>
                <w:rFonts w:ascii="Times New Roman" w:hAnsi="Times New Roman"/>
                <w:bCs/>
                <w:sz w:val="24"/>
              </w:rPr>
            </w:pPr>
            <w:r w:rsidRPr="00D51A68">
              <w:rPr>
                <w:rFonts w:ascii="Times New Roman" w:hAnsi="Times New Roman"/>
                <w:sz w:val="24"/>
              </w:rPr>
              <w:t>100</w:t>
            </w:r>
          </w:p>
        </w:tc>
        <w:tc>
          <w:tcPr>
            <w:tcW w:w="7903" w:type="dxa"/>
          </w:tcPr>
          <w:p w:rsidR="00612780" w:rsidRPr="00D51A68" w:rsidRDefault="00612780" w:rsidP="00612780">
            <w:pPr>
              <w:spacing w:before="0" w:after="0"/>
              <w:jc w:val="left"/>
              <w:rPr>
                <w:rFonts w:ascii="Times New Roman" w:hAnsi="Times New Roman"/>
                <w:b/>
                <w:sz w:val="24"/>
                <w:u w:val="single"/>
              </w:rPr>
            </w:pPr>
            <w:r w:rsidRPr="00D51A68">
              <w:rPr>
                <w:rFonts w:ascii="Times New Roman" w:hAnsi="Times New Roman"/>
                <w:b/>
                <w:sz w:val="24"/>
                <w:u w:val="single"/>
              </w:rPr>
              <w:t>CONFORMITÀ AL REQUISITO DI MANTENIMENTO?</w:t>
            </w:r>
          </w:p>
          <w:p w:rsidR="00612780" w:rsidRPr="00D51A68" w:rsidRDefault="00612780" w:rsidP="00612780">
            <w:pPr>
              <w:spacing w:before="0" w:after="0"/>
              <w:jc w:val="left"/>
              <w:rPr>
                <w:rFonts w:ascii="Times New Roman" w:hAnsi="Times New Roman"/>
                <w:b/>
                <w:sz w:val="24"/>
                <w:u w:val="single"/>
              </w:rPr>
            </w:pPr>
          </w:p>
          <w:p w:rsidR="00612780" w:rsidRPr="00D51A68" w:rsidRDefault="00612780" w:rsidP="00612780">
            <w:pPr>
              <w:spacing w:before="0" w:after="0"/>
              <w:jc w:val="left"/>
              <w:rPr>
                <w:rFonts w:ascii="Times New Roman" w:hAnsi="Times New Roman"/>
                <w:sz w:val="24"/>
              </w:rPr>
            </w:pPr>
            <w:r w:rsidRPr="00D51A68">
              <w:rPr>
                <w:rFonts w:ascii="Times New Roman" w:hAnsi="Times New Roman"/>
                <w:sz w:val="24"/>
              </w:rPr>
              <w:t>Articolo 405, paragrafo 1, del CRR.</w:t>
            </w:r>
          </w:p>
          <w:p w:rsidR="00612780" w:rsidRPr="00D51A68" w:rsidRDefault="00612780" w:rsidP="00612780">
            <w:pPr>
              <w:spacing w:before="0" w:after="0"/>
              <w:jc w:val="left"/>
              <w:rPr>
                <w:rFonts w:ascii="Times New Roman" w:hAnsi="Times New Roman"/>
                <w:szCs w:val="20"/>
              </w:rPr>
            </w:pPr>
          </w:p>
          <w:p w:rsidR="00612780" w:rsidRPr="00D51A68" w:rsidRDefault="00612780" w:rsidP="00612780">
            <w:pPr>
              <w:spacing w:before="0" w:after="0"/>
              <w:jc w:val="left"/>
              <w:rPr>
                <w:rFonts w:ascii="Times New Roman" w:hAnsi="Times New Roman"/>
                <w:sz w:val="24"/>
              </w:rPr>
            </w:pPr>
            <w:r w:rsidRPr="00D51A68">
              <w:rPr>
                <w:rFonts w:ascii="Times New Roman" w:hAnsi="Times New Roman"/>
                <w:sz w:val="24"/>
              </w:rPr>
              <w:t>Inserire le seguenti abbreviazioni:</w:t>
            </w:r>
          </w:p>
          <w:p w:rsidR="00612780" w:rsidRPr="00D51A68" w:rsidRDefault="00612780" w:rsidP="009068C9">
            <w:pPr>
              <w:tabs>
                <w:tab w:val="left" w:pos="317"/>
                <w:tab w:val="left" w:pos="600"/>
              </w:tabs>
              <w:spacing w:before="0" w:after="0"/>
              <w:jc w:val="left"/>
              <w:rPr>
                <w:rFonts w:ascii="Times New Roman" w:hAnsi="Times New Roman"/>
                <w:sz w:val="24"/>
              </w:rPr>
            </w:pPr>
            <w:r w:rsidRPr="00D51A68">
              <w:rPr>
                <w:rFonts w:ascii="Times New Roman" w:hAnsi="Times New Roman"/>
                <w:sz w:val="24"/>
              </w:rPr>
              <w:t>Y</w:t>
            </w:r>
            <w:r w:rsidR="00A0772B" w:rsidRPr="00D51A68">
              <w:tab/>
            </w:r>
            <w:r w:rsidRPr="00D51A68">
              <w:rPr>
                <w:rFonts w:ascii="Times New Roman" w:hAnsi="Times New Roman"/>
                <w:sz w:val="24"/>
              </w:rPr>
              <w:t>-</w:t>
            </w:r>
            <w:r w:rsidR="00A0772B" w:rsidRPr="00D51A68">
              <w:tab/>
            </w:r>
            <w:r w:rsidRPr="00D51A68">
              <w:rPr>
                <w:rFonts w:ascii="Times New Roman" w:hAnsi="Times New Roman"/>
                <w:sz w:val="24"/>
              </w:rPr>
              <w:t xml:space="preserve">SÌ </w:t>
            </w:r>
          </w:p>
          <w:p w:rsidR="00612780" w:rsidRPr="00D51A68" w:rsidRDefault="00612780" w:rsidP="009068C9">
            <w:pPr>
              <w:tabs>
                <w:tab w:val="left" w:pos="317"/>
                <w:tab w:val="left" w:pos="600"/>
              </w:tabs>
              <w:spacing w:before="0" w:after="0"/>
              <w:jc w:val="left"/>
              <w:rPr>
                <w:rFonts w:ascii="Times New Roman" w:hAnsi="Times New Roman"/>
                <w:sz w:val="24"/>
              </w:rPr>
            </w:pPr>
            <w:r w:rsidRPr="00D51A68">
              <w:rPr>
                <w:rFonts w:ascii="Times New Roman" w:hAnsi="Times New Roman"/>
                <w:sz w:val="24"/>
              </w:rPr>
              <w:t>N</w:t>
            </w:r>
            <w:r w:rsidR="00A0772B" w:rsidRPr="00D51A68">
              <w:tab/>
            </w:r>
            <w:r w:rsidRPr="00D51A68">
              <w:rPr>
                <w:rFonts w:ascii="Times New Roman" w:hAnsi="Times New Roman"/>
                <w:sz w:val="24"/>
              </w:rPr>
              <w:t>-</w:t>
            </w:r>
            <w:r w:rsidR="00A0772B" w:rsidRPr="00D51A68">
              <w:tab/>
            </w:r>
            <w:r w:rsidRPr="00D51A68">
              <w:rPr>
                <w:rFonts w:ascii="Times New Roman" w:hAnsi="Times New Roman"/>
                <w:sz w:val="24"/>
              </w:rPr>
              <w:t>No</w:t>
            </w:r>
          </w:p>
          <w:p w:rsidR="00612780" w:rsidRPr="00D51A68" w:rsidRDefault="00612780" w:rsidP="00612780">
            <w:pPr>
              <w:spacing w:before="0" w:after="0"/>
              <w:jc w:val="left"/>
              <w:rPr>
                <w:rFonts w:ascii="Times New Roman" w:hAnsi="Times New Roman"/>
                <w:szCs w:val="20"/>
              </w:rPr>
            </w:pPr>
          </w:p>
          <w:p w:rsidR="00612780" w:rsidRPr="00D51A68" w:rsidRDefault="00612780" w:rsidP="00612780">
            <w:pPr>
              <w:autoSpaceDE w:val="0"/>
              <w:autoSpaceDN w:val="0"/>
              <w:adjustRightInd w:val="0"/>
              <w:spacing w:before="0" w:after="0"/>
              <w:rPr>
                <w:rFonts w:ascii="Times New Roman" w:hAnsi="Times New Roman"/>
                <w:i/>
                <w:sz w:val="24"/>
              </w:rPr>
            </w:pPr>
            <w:r w:rsidRPr="00D51A68">
              <w:rPr>
                <w:rFonts w:ascii="Times New Roman" w:hAnsi="Times New Roman"/>
                <w:sz w:val="24"/>
              </w:rPr>
              <w:t xml:space="preserve">Non occorre compilare questa colonna se nella colonna 080 (tipo di mantenimento applicato) è riportato il codice </w:t>
            </w:r>
            <w:r w:rsidR="0009277C" w:rsidRPr="00D51A68">
              <w:rPr>
                <w:rFonts w:ascii="Times New Roman" w:hAnsi="Times New Roman"/>
                <w:sz w:val="24"/>
              </w:rPr>
              <w:t>“</w:t>
            </w:r>
            <w:r w:rsidRPr="00D51A68">
              <w:rPr>
                <w:rFonts w:ascii="Times New Roman" w:hAnsi="Times New Roman"/>
                <w:sz w:val="24"/>
              </w:rPr>
              <w:t>E</w:t>
            </w:r>
            <w:r w:rsidR="0009277C" w:rsidRPr="00D51A68">
              <w:rPr>
                <w:rFonts w:ascii="Times New Roman" w:hAnsi="Times New Roman"/>
                <w:sz w:val="24"/>
              </w:rPr>
              <w:t>”</w:t>
            </w:r>
            <w:r w:rsidRPr="00D51A68">
              <w:rPr>
                <w:rFonts w:ascii="Times New Roman" w:hAnsi="Times New Roman"/>
                <w:sz w:val="24"/>
              </w:rPr>
              <w:t xml:space="preserve"> (esente) o </w:t>
            </w:r>
            <w:r w:rsidR="0009277C" w:rsidRPr="00D51A68">
              <w:rPr>
                <w:rFonts w:ascii="Times New Roman" w:hAnsi="Times New Roman"/>
                <w:sz w:val="24"/>
              </w:rPr>
              <w:t>“</w:t>
            </w:r>
            <w:r w:rsidRPr="00D51A68">
              <w:rPr>
                <w:rFonts w:ascii="Times New Roman" w:hAnsi="Times New Roman"/>
                <w:sz w:val="24"/>
              </w:rPr>
              <w:t>N</w:t>
            </w:r>
            <w:r w:rsidR="0009277C" w:rsidRPr="00D51A68">
              <w:rPr>
                <w:rFonts w:ascii="Times New Roman" w:hAnsi="Times New Roman"/>
                <w:sz w:val="24"/>
              </w:rPr>
              <w:t>”</w:t>
            </w:r>
            <w:r w:rsidRPr="00D51A68">
              <w:rPr>
                <w:rFonts w:ascii="Times New Roman" w:hAnsi="Times New Roman"/>
                <w:sz w:val="24"/>
              </w:rPr>
              <w:t xml:space="preserve"> (non applicabile).</w:t>
            </w:r>
          </w:p>
          <w:p w:rsidR="00612780" w:rsidRPr="00D51A68" w:rsidRDefault="00612780" w:rsidP="00612780">
            <w:pPr>
              <w:spacing w:before="0" w:after="0"/>
              <w:jc w:val="left"/>
              <w:rPr>
                <w:rFonts w:ascii="Times New Roman" w:hAnsi="Times New Roman"/>
                <w:b/>
                <w:sz w:val="24"/>
                <w:u w:val="single"/>
              </w:rPr>
            </w:pPr>
          </w:p>
        </w:tc>
      </w:tr>
      <w:tr w:rsidR="00612780" w:rsidRPr="00D51A68" w:rsidTr="00672D2A">
        <w:tc>
          <w:tcPr>
            <w:tcW w:w="1101" w:type="dxa"/>
            <w:shd w:val="clear" w:color="auto" w:fill="auto"/>
          </w:tcPr>
          <w:p w:rsidR="00612780" w:rsidRPr="00D51A68" w:rsidRDefault="00612780" w:rsidP="00612780">
            <w:pPr>
              <w:autoSpaceDE w:val="0"/>
              <w:autoSpaceDN w:val="0"/>
              <w:adjustRightInd w:val="0"/>
              <w:spacing w:before="0" w:after="0"/>
              <w:rPr>
                <w:rFonts w:ascii="Times New Roman" w:hAnsi="Times New Roman"/>
                <w:bCs/>
                <w:sz w:val="24"/>
                <w:highlight w:val="yellow"/>
              </w:rPr>
            </w:pPr>
            <w:r w:rsidRPr="00D51A68">
              <w:rPr>
                <w:rFonts w:ascii="Times New Roman" w:hAnsi="Times New Roman"/>
                <w:sz w:val="24"/>
              </w:rPr>
              <w:t>110</w:t>
            </w:r>
          </w:p>
        </w:tc>
        <w:tc>
          <w:tcPr>
            <w:tcW w:w="7903" w:type="dxa"/>
            <w:shd w:val="clear" w:color="auto" w:fill="auto"/>
          </w:tcPr>
          <w:p w:rsidR="00612780" w:rsidRPr="00D51A68" w:rsidRDefault="00612780" w:rsidP="00612780">
            <w:pPr>
              <w:spacing w:before="0" w:after="0"/>
              <w:jc w:val="left"/>
              <w:rPr>
                <w:rFonts w:ascii="Times New Roman" w:hAnsi="Times New Roman"/>
                <w:b/>
                <w:sz w:val="24"/>
                <w:u w:val="single"/>
              </w:rPr>
            </w:pPr>
            <w:r w:rsidRPr="00D51A68">
              <w:rPr>
                <w:rFonts w:ascii="Times New Roman" w:hAnsi="Times New Roman"/>
                <w:b/>
                <w:sz w:val="24"/>
                <w:u w:val="single"/>
              </w:rPr>
              <w:t>RUOLO DELL</w:t>
            </w:r>
            <w:r w:rsidR="0009277C" w:rsidRPr="00D51A68">
              <w:rPr>
                <w:rFonts w:ascii="Times New Roman" w:hAnsi="Times New Roman"/>
                <w:b/>
                <w:sz w:val="24"/>
                <w:u w:val="single"/>
              </w:rPr>
              <w:t>’</w:t>
            </w:r>
            <w:r w:rsidRPr="00D51A68">
              <w:rPr>
                <w:rFonts w:ascii="Times New Roman" w:hAnsi="Times New Roman"/>
                <w:b/>
                <w:sz w:val="24"/>
                <w:u w:val="single"/>
              </w:rPr>
              <w:t>ENTE: (CEDENTE/PROMOTORE/PRESTATORE ORIGINARIO/INVESTITORE)</w:t>
            </w:r>
          </w:p>
          <w:p w:rsidR="00612780" w:rsidRPr="00D51A68" w:rsidRDefault="00612780" w:rsidP="00612780">
            <w:pPr>
              <w:autoSpaceDE w:val="0"/>
              <w:autoSpaceDN w:val="0"/>
              <w:adjustRightInd w:val="0"/>
              <w:spacing w:before="0" w:after="0"/>
              <w:jc w:val="left"/>
              <w:rPr>
                <w:rFonts w:ascii="Times New Roman" w:hAnsi="Times New Roman"/>
                <w:sz w:val="24"/>
              </w:rPr>
            </w:pPr>
          </w:p>
          <w:p w:rsidR="00612780" w:rsidRPr="00D51A68" w:rsidRDefault="00612780" w:rsidP="00612780">
            <w:pPr>
              <w:autoSpaceDE w:val="0"/>
              <w:autoSpaceDN w:val="0"/>
              <w:adjustRightInd w:val="0"/>
              <w:spacing w:before="0" w:after="0"/>
              <w:jc w:val="left"/>
              <w:rPr>
                <w:rFonts w:ascii="Times New Roman" w:hAnsi="Times New Roman"/>
                <w:sz w:val="24"/>
              </w:rPr>
            </w:pPr>
            <w:r w:rsidRPr="00D51A68">
              <w:rPr>
                <w:rFonts w:ascii="Times New Roman" w:hAnsi="Times New Roman"/>
                <w:sz w:val="24"/>
              </w:rPr>
              <w:t xml:space="preserve">Inserire le seguenti abbreviazioni: </w:t>
            </w:r>
          </w:p>
          <w:p w:rsidR="00612780" w:rsidRPr="00D51A68" w:rsidRDefault="00612780" w:rsidP="00612780">
            <w:pPr>
              <w:autoSpaceDE w:val="0"/>
              <w:autoSpaceDN w:val="0"/>
              <w:adjustRightInd w:val="0"/>
              <w:spacing w:before="0" w:after="0"/>
              <w:jc w:val="left"/>
              <w:rPr>
                <w:rFonts w:ascii="Times New Roman" w:hAnsi="Times New Roman"/>
                <w:sz w:val="24"/>
              </w:rPr>
            </w:pPr>
            <w:r w:rsidRPr="00D51A68">
              <w:rPr>
                <w:rFonts w:ascii="Times New Roman" w:hAnsi="Times New Roman"/>
                <w:sz w:val="24"/>
              </w:rPr>
              <w:t xml:space="preserve">- </w:t>
            </w:r>
            <w:r w:rsidR="0009277C" w:rsidRPr="00D51A68">
              <w:rPr>
                <w:rFonts w:ascii="Times New Roman" w:hAnsi="Times New Roman"/>
                <w:sz w:val="24"/>
              </w:rPr>
              <w:t>“</w:t>
            </w:r>
            <w:r w:rsidRPr="00D51A68">
              <w:rPr>
                <w:rFonts w:ascii="Times New Roman" w:hAnsi="Times New Roman"/>
                <w:sz w:val="24"/>
              </w:rPr>
              <w:t>O</w:t>
            </w:r>
            <w:r w:rsidR="0009277C" w:rsidRPr="00D51A68">
              <w:rPr>
                <w:rFonts w:ascii="Times New Roman" w:hAnsi="Times New Roman"/>
                <w:sz w:val="24"/>
              </w:rPr>
              <w:t>”</w:t>
            </w:r>
            <w:r w:rsidRPr="00D51A68">
              <w:rPr>
                <w:rFonts w:ascii="Times New Roman" w:hAnsi="Times New Roman"/>
                <w:sz w:val="24"/>
              </w:rPr>
              <w:t xml:space="preserve"> = cedente</w:t>
            </w:r>
          </w:p>
          <w:p w:rsidR="00612780" w:rsidRPr="00D51A68" w:rsidRDefault="00612780" w:rsidP="00612780">
            <w:pPr>
              <w:autoSpaceDE w:val="0"/>
              <w:autoSpaceDN w:val="0"/>
              <w:adjustRightInd w:val="0"/>
              <w:spacing w:before="0" w:after="0"/>
              <w:jc w:val="left"/>
              <w:rPr>
                <w:rFonts w:ascii="Times New Roman" w:hAnsi="Times New Roman"/>
                <w:sz w:val="24"/>
              </w:rPr>
            </w:pPr>
            <w:r w:rsidRPr="00D51A68">
              <w:rPr>
                <w:rFonts w:ascii="Times New Roman" w:hAnsi="Times New Roman"/>
                <w:sz w:val="24"/>
              </w:rPr>
              <w:t xml:space="preserve">- </w:t>
            </w:r>
            <w:r w:rsidR="0009277C" w:rsidRPr="00D51A68">
              <w:rPr>
                <w:rFonts w:ascii="Times New Roman" w:hAnsi="Times New Roman"/>
                <w:sz w:val="24"/>
              </w:rPr>
              <w:t>“</w:t>
            </w:r>
            <w:r w:rsidRPr="00D51A68">
              <w:rPr>
                <w:rFonts w:ascii="Times New Roman" w:hAnsi="Times New Roman"/>
                <w:sz w:val="24"/>
              </w:rPr>
              <w:t>S</w:t>
            </w:r>
            <w:r w:rsidR="0009277C" w:rsidRPr="00D51A68">
              <w:rPr>
                <w:rFonts w:ascii="Times New Roman" w:hAnsi="Times New Roman"/>
                <w:sz w:val="24"/>
              </w:rPr>
              <w:t>”</w:t>
            </w:r>
            <w:r w:rsidRPr="00D51A68">
              <w:rPr>
                <w:rFonts w:ascii="Times New Roman" w:hAnsi="Times New Roman"/>
                <w:sz w:val="24"/>
              </w:rPr>
              <w:t xml:space="preserve"> = promotore</w:t>
            </w:r>
          </w:p>
          <w:p w:rsidR="00612780" w:rsidRPr="00D51A68" w:rsidRDefault="00612780" w:rsidP="00612780">
            <w:pPr>
              <w:autoSpaceDE w:val="0"/>
              <w:autoSpaceDN w:val="0"/>
              <w:adjustRightInd w:val="0"/>
              <w:spacing w:before="0" w:after="0"/>
              <w:jc w:val="left"/>
              <w:rPr>
                <w:rFonts w:ascii="Times New Roman" w:hAnsi="Times New Roman"/>
                <w:sz w:val="24"/>
              </w:rPr>
            </w:pPr>
            <w:r w:rsidRPr="00D51A68">
              <w:rPr>
                <w:rFonts w:ascii="Times New Roman" w:hAnsi="Times New Roman"/>
                <w:sz w:val="24"/>
              </w:rPr>
              <w:t xml:space="preserve">- </w:t>
            </w:r>
            <w:r w:rsidR="0009277C" w:rsidRPr="00D51A68">
              <w:rPr>
                <w:rFonts w:ascii="Times New Roman" w:hAnsi="Times New Roman"/>
                <w:sz w:val="24"/>
              </w:rPr>
              <w:t>“</w:t>
            </w:r>
            <w:r w:rsidRPr="00D51A68">
              <w:rPr>
                <w:rFonts w:ascii="Times New Roman" w:hAnsi="Times New Roman"/>
                <w:sz w:val="24"/>
              </w:rPr>
              <w:t>L</w:t>
            </w:r>
            <w:r w:rsidR="0009277C" w:rsidRPr="00D51A68">
              <w:rPr>
                <w:rFonts w:ascii="Times New Roman" w:hAnsi="Times New Roman"/>
                <w:sz w:val="24"/>
              </w:rPr>
              <w:t>”</w:t>
            </w:r>
            <w:r w:rsidRPr="00D51A68">
              <w:rPr>
                <w:rFonts w:ascii="Times New Roman" w:hAnsi="Times New Roman"/>
                <w:sz w:val="24"/>
              </w:rPr>
              <w:t xml:space="preserve"> = prestatore originario</w:t>
            </w:r>
          </w:p>
          <w:p w:rsidR="00612780" w:rsidRPr="00D51A68" w:rsidRDefault="00612780" w:rsidP="00612780">
            <w:pPr>
              <w:autoSpaceDE w:val="0"/>
              <w:autoSpaceDN w:val="0"/>
              <w:adjustRightInd w:val="0"/>
              <w:spacing w:before="0" w:after="0"/>
              <w:jc w:val="left"/>
              <w:rPr>
                <w:rFonts w:ascii="Times New Roman" w:hAnsi="Times New Roman"/>
                <w:sz w:val="24"/>
              </w:rPr>
            </w:pPr>
            <w:r w:rsidRPr="00D51A68">
              <w:rPr>
                <w:rFonts w:ascii="Times New Roman" w:hAnsi="Times New Roman"/>
                <w:sz w:val="24"/>
              </w:rPr>
              <w:t xml:space="preserve">- </w:t>
            </w:r>
            <w:r w:rsidR="0009277C" w:rsidRPr="00D51A68">
              <w:rPr>
                <w:rFonts w:ascii="Times New Roman" w:hAnsi="Times New Roman"/>
                <w:sz w:val="24"/>
              </w:rPr>
              <w:t>“</w:t>
            </w:r>
            <w:r w:rsidRPr="00D51A68">
              <w:rPr>
                <w:rFonts w:ascii="Times New Roman" w:hAnsi="Times New Roman"/>
                <w:sz w:val="24"/>
              </w:rPr>
              <w:t>I</w:t>
            </w:r>
            <w:r w:rsidR="0009277C" w:rsidRPr="00D51A68">
              <w:rPr>
                <w:rFonts w:ascii="Times New Roman" w:hAnsi="Times New Roman"/>
                <w:sz w:val="24"/>
              </w:rPr>
              <w:t>”</w:t>
            </w:r>
            <w:r w:rsidRPr="00D51A68">
              <w:rPr>
                <w:rFonts w:ascii="Times New Roman" w:hAnsi="Times New Roman"/>
                <w:sz w:val="24"/>
              </w:rPr>
              <w:t xml:space="preserve"> = investitore </w:t>
            </w:r>
          </w:p>
          <w:p w:rsidR="00612780" w:rsidRPr="00D51A68" w:rsidRDefault="00612780" w:rsidP="00612780">
            <w:pPr>
              <w:autoSpaceDE w:val="0"/>
              <w:autoSpaceDN w:val="0"/>
              <w:adjustRightInd w:val="0"/>
              <w:spacing w:before="0" w:after="0"/>
              <w:jc w:val="left"/>
              <w:rPr>
                <w:rFonts w:ascii="Times New Roman" w:hAnsi="Times New Roman"/>
                <w:sz w:val="24"/>
              </w:rPr>
            </w:pPr>
          </w:p>
          <w:p w:rsidR="00612780" w:rsidRPr="00D51A68" w:rsidRDefault="00612780" w:rsidP="00233F01">
            <w:pPr>
              <w:autoSpaceDE w:val="0"/>
              <w:autoSpaceDN w:val="0"/>
              <w:adjustRightInd w:val="0"/>
              <w:spacing w:before="0" w:after="0"/>
              <w:rPr>
                <w:rFonts w:ascii="Times New Roman" w:hAnsi="Times New Roman"/>
                <w:sz w:val="24"/>
              </w:rPr>
            </w:pPr>
            <w:r w:rsidRPr="00D51A68">
              <w:rPr>
                <w:rFonts w:ascii="Times New Roman" w:hAnsi="Times New Roman"/>
                <w:sz w:val="24"/>
              </w:rPr>
              <w:t>Cfr. le definizioni di cui all</w:t>
            </w:r>
            <w:r w:rsidR="0009277C" w:rsidRPr="00D51A68">
              <w:rPr>
                <w:rFonts w:ascii="Times New Roman" w:hAnsi="Times New Roman"/>
                <w:sz w:val="24"/>
              </w:rPr>
              <w:t>’</w:t>
            </w:r>
            <w:r w:rsidRPr="00D51A68">
              <w:rPr>
                <w:rFonts w:ascii="Times New Roman" w:hAnsi="Times New Roman"/>
                <w:sz w:val="24"/>
              </w:rPr>
              <w:t>articolo 4, paragrafo 1, punti 13 (cedente) e 14 (promotore), del CRR. Si presume che gli investitori siano gli enti ai quali si applicano le disposizioni degli articoli 406 e 407 del CRR.</w:t>
            </w:r>
          </w:p>
          <w:p w:rsidR="00612780" w:rsidRPr="00D51A68" w:rsidRDefault="00612780" w:rsidP="00612780">
            <w:pPr>
              <w:autoSpaceDE w:val="0"/>
              <w:autoSpaceDN w:val="0"/>
              <w:adjustRightInd w:val="0"/>
              <w:spacing w:before="0" w:after="0"/>
              <w:jc w:val="left"/>
              <w:rPr>
                <w:rFonts w:ascii="Times New Roman" w:hAnsi="Times New Roman"/>
                <w:sz w:val="24"/>
              </w:rPr>
            </w:pPr>
          </w:p>
        </w:tc>
      </w:tr>
      <w:tr w:rsidR="00612780" w:rsidRPr="00D51A68" w:rsidTr="00672D2A">
        <w:tc>
          <w:tcPr>
            <w:tcW w:w="1101" w:type="dxa"/>
          </w:tcPr>
          <w:p w:rsidR="00612780" w:rsidRPr="00D51A68" w:rsidRDefault="00612780" w:rsidP="00612780">
            <w:pPr>
              <w:autoSpaceDE w:val="0"/>
              <w:autoSpaceDN w:val="0"/>
              <w:adjustRightInd w:val="0"/>
              <w:spacing w:before="0" w:after="0"/>
              <w:rPr>
                <w:rFonts w:ascii="Times New Roman" w:hAnsi="Times New Roman"/>
                <w:bCs/>
                <w:sz w:val="24"/>
                <w:highlight w:val="yellow"/>
              </w:rPr>
            </w:pPr>
            <w:r w:rsidRPr="00D51A68">
              <w:rPr>
                <w:rFonts w:ascii="Times New Roman" w:hAnsi="Times New Roman"/>
                <w:sz w:val="24"/>
              </w:rPr>
              <w:lastRenderedPageBreak/>
              <w:t>120-130</w:t>
            </w:r>
          </w:p>
        </w:tc>
        <w:tc>
          <w:tcPr>
            <w:tcW w:w="7903" w:type="dxa"/>
          </w:tcPr>
          <w:p w:rsidR="00612780" w:rsidRPr="00D51A68" w:rsidRDefault="00612780" w:rsidP="00612780">
            <w:pPr>
              <w:autoSpaceDE w:val="0"/>
              <w:autoSpaceDN w:val="0"/>
              <w:adjustRightInd w:val="0"/>
              <w:spacing w:before="0" w:after="0"/>
              <w:jc w:val="left"/>
              <w:rPr>
                <w:rFonts w:ascii="Times New Roman" w:hAnsi="Times New Roman"/>
                <w:b/>
                <w:sz w:val="24"/>
              </w:rPr>
            </w:pPr>
            <w:r w:rsidRPr="00D51A68">
              <w:rPr>
                <w:rFonts w:ascii="Times New Roman" w:hAnsi="Times New Roman"/>
                <w:b/>
                <w:sz w:val="24"/>
              </w:rPr>
              <w:t>PROGRAMMI NON ABCP</w:t>
            </w:r>
          </w:p>
          <w:p w:rsidR="00612780" w:rsidRPr="00D51A68" w:rsidRDefault="00612780" w:rsidP="00612780">
            <w:pPr>
              <w:autoSpaceDE w:val="0"/>
              <w:autoSpaceDN w:val="0"/>
              <w:adjustRightInd w:val="0"/>
              <w:spacing w:before="0" w:after="0"/>
              <w:jc w:val="left"/>
              <w:rPr>
                <w:rFonts w:ascii="Times New Roman" w:hAnsi="Times New Roman"/>
                <w:sz w:val="24"/>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Data la loro particolarità di essere costituiti da una pluralità di posizioni individuali verso la cartolarizzazione, i programmi ABCP (definiti nell</w:t>
            </w:r>
            <w:r w:rsidR="0009277C" w:rsidRPr="00D51A68">
              <w:rPr>
                <w:rFonts w:ascii="Times New Roman" w:hAnsi="Times New Roman"/>
                <w:sz w:val="24"/>
              </w:rPr>
              <w:t>’</w:t>
            </w:r>
            <w:r w:rsidR="00C9052E" w:rsidRPr="00D51A68">
              <w:rPr>
                <w:rFonts w:ascii="Times New Roman" w:hAnsi="Times New Roman"/>
                <w:sz w:val="24"/>
              </w:rPr>
              <w:t>articolo </w:t>
            </w:r>
            <w:r w:rsidRPr="00D51A68">
              <w:rPr>
                <w:rFonts w:ascii="Times New Roman" w:hAnsi="Times New Roman"/>
                <w:sz w:val="24"/>
              </w:rPr>
              <w:t>242, punto 9, del CRR) sono esenti dalla segnalazione nelle colonne 120 e 130.</w:t>
            </w:r>
          </w:p>
          <w:p w:rsidR="00612780" w:rsidRPr="00D51A68" w:rsidRDefault="00612780" w:rsidP="00612780">
            <w:pPr>
              <w:spacing w:before="0" w:after="0"/>
              <w:jc w:val="left"/>
              <w:rPr>
                <w:rFonts w:ascii="Times New Roman" w:hAnsi="Times New Roman"/>
                <w:sz w:val="24"/>
              </w:rPr>
            </w:pPr>
          </w:p>
        </w:tc>
      </w:tr>
      <w:tr w:rsidR="00612780" w:rsidRPr="00D51A68" w:rsidTr="00672D2A">
        <w:tc>
          <w:tcPr>
            <w:tcW w:w="1101" w:type="dxa"/>
          </w:tcPr>
          <w:p w:rsidR="00612780" w:rsidRPr="00D51A68" w:rsidRDefault="00612780" w:rsidP="00612780">
            <w:pPr>
              <w:autoSpaceDE w:val="0"/>
              <w:autoSpaceDN w:val="0"/>
              <w:adjustRightInd w:val="0"/>
              <w:spacing w:before="0" w:after="0"/>
              <w:rPr>
                <w:rFonts w:ascii="Times New Roman" w:hAnsi="Times New Roman"/>
                <w:bCs/>
                <w:sz w:val="24"/>
              </w:rPr>
            </w:pPr>
            <w:r w:rsidRPr="00D51A68">
              <w:rPr>
                <w:rFonts w:ascii="Times New Roman" w:hAnsi="Times New Roman"/>
                <w:sz w:val="24"/>
              </w:rPr>
              <w:t>120</w:t>
            </w:r>
          </w:p>
        </w:tc>
        <w:tc>
          <w:tcPr>
            <w:tcW w:w="7903" w:type="dxa"/>
          </w:tcPr>
          <w:p w:rsidR="00612780" w:rsidRPr="00D51A68" w:rsidRDefault="00612780" w:rsidP="00612780">
            <w:pPr>
              <w:spacing w:before="0" w:after="0"/>
              <w:jc w:val="left"/>
              <w:rPr>
                <w:rFonts w:ascii="Times New Roman" w:hAnsi="Times New Roman"/>
                <w:b/>
                <w:sz w:val="24"/>
              </w:rPr>
            </w:pPr>
            <w:r w:rsidRPr="00D51A68">
              <w:rPr>
                <w:rFonts w:ascii="Times New Roman" w:hAnsi="Times New Roman"/>
                <w:b/>
                <w:sz w:val="24"/>
              </w:rPr>
              <w:t>DATA DI CREAZIONE (mm/aaaa)</w:t>
            </w:r>
          </w:p>
          <w:p w:rsidR="00612780" w:rsidRPr="00D51A68" w:rsidRDefault="00612780" w:rsidP="00612780">
            <w:pPr>
              <w:spacing w:before="0" w:after="0"/>
              <w:jc w:val="left"/>
              <w:rPr>
                <w:rFonts w:ascii="Times New Roman" w:hAnsi="Times New Roman"/>
                <w:sz w:val="24"/>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Il mese e l</w:t>
            </w:r>
            <w:r w:rsidR="0009277C" w:rsidRPr="00D51A68">
              <w:rPr>
                <w:rFonts w:ascii="Times New Roman" w:hAnsi="Times New Roman"/>
                <w:sz w:val="24"/>
              </w:rPr>
              <w:t>’</w:t>
            </w:r>
            <w:r w:rsidRPr="00D51A68">
              <w:rPr>
                <w:rFonts w:ascii="Times New Roman" w:hAnsi="Times New Roman"/>
                <w:sz w:val="24"/>
              </w:rPr>
              <w:t>anno della data di avvio dell</w:t>
            </w:r>
            <w:r w:rsidR="0009277C" w:rsidRPr="00D51A68">
              <w:rPr>
                <w:rFonts w:ascii="Times New Roman" w:hAnsi="Times New Roman"/>
                <w:sz w:val="24"/>
              </w:rPr>
              <w:t>’</w:t>
            </w:r>
            <w:r w:rsidRPr="00D51A68">
              <w:rPr>
                <w:rFonts w:ascii="Times New Roman" w:hAnsi="Times New Roman"/>
                <w:sz w:val="24"/>
              </w:rPr>
              <w:t xml:space="preserve">operazione di cartolarizzazione (che è la data di separazione o di chiusura del pool) sono indicati nel formato </w:t>
            </w:r>
            <w:r w:rsidR="0009277C" w:rsidRPr="00D51A68">
              <w:rPr>
                <w:rFonts w:ascii="Times New Roman" w:hAnsi="Times New Roman"/>
                <w:sz w:val="24"/>
              </w:rPr>
              <w:t>“</w:t>
            </w:r>
            <w:r w:rsidRPr="00D51A68">
              <w:rPr>
                <w:rFonts w:ascii="Times New Roman" w:hAnsi="Times New Roman"/>
                <w:sz w:val="24"/>
              </w:rPr>
              <w:t>mm/aaaa</w:t>
            </w:r>
            <w:r w:rsidR="0009277C" w:rsidRPr="00D51A68">
              <w:rPr>
                <w:rFonts w:ascii="Times New Roman" w:hAnsi="Times New Roman"/>
                <w:sz w:val="24"/>
              </w:rPr>
              <w:t>”</w:t>
            </w:r>
            <w:r w:rsidRPr="00D51A68">
              <w:rPr>
                <w:rFonts w:ascii="Times New Roman" w:hAnsi="Times New Roman"/>
                <w:sz w:val="24"/>
              </w:rPr>
              <w:t>.</w:t>
            </w:r>
          </w:p>
          <w:p w:rsidR="00612780" w:rsidRPr="00D51A68" w:rsidRDefault="00612780" w:rsidP="00612780">
            <w:pPr>
              <w:autoSpaceDE w:val="0"/>
              <w:autoSpaceDN w:val="0"/>
              <w:adjustRightInd w:val="0"/>
              <w:spacing w:before="0" w:after="0"/>
              <w:rPr>
                <w:rFonts w:ascii="Times New Roman" w:hAnsi="Times New Roman"/>
                <w:sz w:val="24"/>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 xml:space="preserve">Per ciascuno schema di cartolarizzazione la data di creazione non può variare tra una data di riferimento per le segnalazioni e la successiva. Nel caso specifico degli schemi di cartolarizzazione assistiti da open pool, la data di creazione è la data della prima emissione dei titoli. </w:t>
            </w:r>
          </w:p>
          <w:p w:rsidR="00612780" w:rsidRPr="00D51A68" w:rsidRDefault="00612780" w:rsidP="00612780">
            <w:pPr>
              <w:autoSpaceDE w:val="0"/>
              <w:autoSpaceDN w:val="0"/>
              <w:adjustRightInd w:val="0"/>
              <w:spacing w:before="0" w:after="0"/>
              <w:rPr>
                <w:rFonts w:ascii="Times New Roman" w:hAnsi="Times New Roman"/>
                <w:sz w:val="24"/>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Questa informazione è segnalata anche se il soggetto segnalante non detiene alcuna posizione nella cartolarizzazione.</w:t>
            </w:r>
          </w:p>
          <w:p w:rsidR="00612780" w:rsidRPr="00D51A68" w:rsidRDefault="00612780" w:rsidP="00612780">
            <w:pPr>
              <w:autoSpaceDE w:val="0"/>
              <w:autoSpaceDN w:val="0"/>
              <w:adjustRightInd w:val="0"/>
              <w:spacing w:before="0" w:after="0"/>
              <w:jc w:val="left"/>
              <w:rPr>
                <w:rFonts w:ascii="Times New Roman" w:hAnsi="Times New Roman"/>
                <w:sz w:val="24"/>
              </w:rPr>
            </w:pPr>
          </w:p>
        </w:tc>
      </w:tr>
      <w:tr w:rsidR="00612780" w:rsidRPr="00D51A68" w:rsidTr="00672D2A">
        <w:tc>
          <w:tcPr>
            <w:tcW w:w="1101" w:type="dxa"/>
          </w:tcPr>
          <w:p w:rsidR="00612780" w:rsidRPr="00D51A68" w:rsidRDefault="00612780" w:rsidP="00612780">
            <w:pPr>
              <w:autoSpaceDE w:val="0"/>
              <w:autoSpaceDN w:val="0"/>
              <w:adjustRightInd w:val="0"/>
              <w:spacing w:before="0" w:after="0"/>
              <w:rPr>
                <w:rFonts w:ascii="Times New Roman" w:hAnsi="Times New Roman"/>
                <w:bCs/>
                <w:sz w:val="24"/>
              </w:rPr>
            </w:pPr>
            <w:r w:rsidRPr="00D51A68">
              <w:rPr>
                <w:rFonts w:ascii="Times New Roman" w:hAnsi="Times New Roman"/>
                <w:sz w:val="24"/>
              </w:rPr>
              <w:t>130</w:t>
            </w:r>
          </w:p>
        </w:tc>
        <w:tc>
          <w:tcPr>
            <w:tcW w:w="7903" w:type="dxa"/>
          </w:tcPr>
          <w:p w:rsidR="00612780" w:rsidRPr="00D51A68" w:rsidRDefault="00612780" w:rsidP="00612780">
            <w:pPr>
              <w:spacing w:before="0" w:after="0"/>
              <w:jc w:val="left"/>
              <w:rPr>
                <w:rFonts w:ascii="Times New Roman" w:hAnsi="Times New Roman"/>
                <w:b/>
                <w:sz w:val="24"/>
                <w:u w:val="single"/>
              </w:rPr>
            </w:pPr>
            <w:r w:rsidRPr="00D51A68">
              <w:rPr>
                <w:rFonts w:ascii="Times New Roman" w:hAnsi="Times New Roman"/>
                <w:b/>
                <w:sz w:val="24"/>
                <w:u w:val="single"/>
              </w:rPr>
              <w:t>IMPORTO COMPLESSIVO DELLE ESPOSIZIONI CARTOLARIZZATE ALLA DATA DI CREAZIONE</w:t>
            </w:r>
          </w:p>
          <w:p w:rsidR="00612780" w:rsidRPr="00D51A68" w:rsidRDefault="00612780" w:rsidP="00612780">
            <w:pPr>
              <w:spacing w:before="0" w:after="0"/>
              <w:jc w:val="left"/>
              <w:rPr>
                <w:rFonts w:ascii="Times New Roman" w:hAnsi="Times New Roman"/>
                <w:sz w:val="24"/>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Questa colonna contiene l</w:t>
            </w:r>
            <w:r w:rsidR="0009277C" w:rsidRPr="00D51A68">
              <w:rPr>
                <w:rFonts w:ascii="Times New Roman" w:hAnsi="Times New Roman"/>
                <w:sz w:val="24"/>
              </w:rPr>
              <w:t>’</w:t>
            </w:r>
            <w:r w:rsidRPr="00D51A68">
              <w:rPr>
                <w:rFonts w:ascii="Times New Roman" w:hAnsi="Times New Roman"/>
                <w:sz w:val="24"/>
              </w:rPr>
              <w:t>importo (secondo le esposizioni originarie prima dell</w:t>
            </w:r>
            <w:r w:rsidR="0009277C" w:rsidRPr="00D51A68">
              <w:rPr>
                <w:rFonts w:ascii="Times New Roman" w:hAnsi="Times New Roman"/>
                <w:sz w:val="24"/>
              </w:rPr>
              <w:t>’</w:t>
            </w:r>
            <w:r w:rsidRPr="00D51A68">
              <w:rPr>
                <w:rFonts w:ascii="Times New Roman" w:hAnsi="Times New Roman"/>
                <w:sz w:val="24"/>
              </w:rPr>
              <w:t>applicazione dei fattori di conversione) del portafoglio cartolarizzato alla data di avvio dell</w:t>
            </w:r>
            <w:r w:rsidR="0009277C" w:rsidRPr="00D51A68">
              <w:rPr>
                <w:rFonts w:ascii="Times New Roman" w:hAnsi="Times New Roman"/>
                <w:sz w:val="24"/>
              </w:rPr>
              <w:t>’</w:t>
            </w:r>
            <w:r w:rsidRPr="00D51A68">
              <w:rPr>
                <w:rFonts w:ascii="Times New Roman" w:hAnsi="Times New Roman"/>
                <w:sz w:val="24"/>
              </w:rPr>
              <w:t xml:space="preserve">operazione. </w:t>
            </w:r>
          </w:p>
          <w:p w:rsidR="00612780" w:rsidRPr="00D51A68" w:rsidRDefault="00612780" w:rsidP="00612780">
            <w:pPr>
              <w:autoSpaceDE w:val="0"/>
              <w:autoSpaceDN w:val="0"/>
              <w:adjustRightInd w:val="0"/>
              <w:spacing w:before="0" w:after="0"/>
              <w:rPr>
                <w:rFonts w:ascii="Times New Roman" w:hAnsi="Times New Roman"/>
                <w:sz w:val="24"/>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Per gli schemi di cartolarizzazione assistiti da open pool è segnalato l</w:t>
            </w:r>
            <w:r w:rsidR="0009277C" w:rsidRPr="00D51A68">
              <w:rPr>
                <w:rFonts w:ascii="Times New Roman" w:hAnsi="Times New Roman"/>
                <w:sz w:val="24"/>
              </w:rPr>
              <w:t>’</w:t>
            </w:r>
            <w:r w:rsidRPr="00D51A68">
              <w:rPr>
                <w:rFonts w:ascii="Times New Roman" w:hAnsi="Times New Roman"/>
                <w:sz w:val="24"/>
              </w:rPr>
              <w:t>importo riferito alla data di creazione della prima emissione dei titoli. Per le cartolarizzazioni tradizionali non occorre inserire nessun</w:t>
            </w:r>
            <w:r w:rsidR="0009277C" w:rsidRPr="00D51A68">
              <w:rPr>
                <w:rFonts w:ascii="Times New Roman" w:hAnsi="Times New Roman"/>
                <w:sz w:val="24"/>
              </w:rPr>
              <w:t>’</w:t>
            </w:r>
            <w:r w:rsidRPr="00D51A68">
              <w:rPr>
                <w:rFonts w:ascii="Times New Roman" w:hAnsi="Times New Roman"/>
                <w:sz w:val="24"/>
              </w:rPr>
              <w:t>altra attività del pool di cartolarizzazioni. Per gli schemi di cartolarizzazione multi-seller (ossia con più di un cedente) è segnalato soltanto l</w:t>
            </w:r>
            <w:r w:rsidR="0009277C" w:rsidRPr="00D51A68">
              <w:rPr>
                <w:rFonts w:ascii="Times New Roman" w:hAnsi="Times New Roman"/>
                <w:sz w:val="24"/>
              </w:rPr>
              <w:t>’</w:t>
            </w:r>
            <w:r w:rsidRPr="00D51A68">
              <w:rPr>
                <w:rFonts w:ascii="Times New Roman" w:hAnsi="Times New Roman"/>
                <w:sz w:val="24"/>
              </w:rPr>
              <w:t>importo corrispondente al contributo del soggetto segnalante al portafoglio cartolarizzato. Per la cartolarizzazione di passività sono segnalati soltanto gli importi emessi dal soggetto segnalante.</w:t>
            </w:r>
          </w:p>
          <w:p w:rsidR="00612780" w:rsidRPr="00D51A68" w:rsidRDefault="00612780" w:rsidP="00612780">
            <w:pPr>
              <w:autoSpaceDE w:val="0"/>
              <w:autoSpaceDN w:val="0"/>
              <w:adjustRightInd w:val="0"/>
              <w:spacing w:before="0" w:after="0"/>
              <w:rPr>
                <w:rFonts w:ascii="Times New Roman" w:hAnsi="Times New Roman"/>
                <w:sz w:val="24"/>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Questa informazione è segnalata anche se il soggetto segnalante non detiene alcuna posizione nella cartolarizzazione.</w:t>
            </w:r>
          </w:p>
          <w:p w:rsidR="00612780" w:rsidRPr="00D51A68" w:rsidRDefault="00612780" w:rsidP="00612780">
            <w:pPr>
              <w:autoSpaceDE w:val="0"/>
              <w:autoSpaceDN w:val="0"/>
              <w:adjustRightInd w:val="0"/>
              <w:spacing w:before="0" w:after="0"/>
              <w:jc w:val="left"/>
              <w:rPr>
                <w:rFonts w:ascii="Times New Roman" w:hAnsi="Times New Roman"/>
                <w:sz w:val="24"/>
              </w:rPr>
            </w:pPr>
          </w:p>
        </w:tc>
      </w:tr>
      <w:tr w:rsidR="00612780" w:rsidRPr="00D51A68" w:rsidTr="00672D2A">
        <w:tc>
          <w:tcPr>
            <w:tcW w:w="1101" w:type="dxa"/>
          </w:tcPr>
          <w:p w:rsidR="00612780" w:rsidRPr="00D51A68" w:rsidRDefault="00612780" w:rsidP="00612780">
            <w:pPr>
              <w:autoSpaceDE w:val="0"/>
              <w:autoSpaceDN w:val="0"/>
              <w:adjustRightInd w:val="0"/>
              <w:spacing w:before="0" w:after="0"/>
              <w:rPr>
                <w:rFonts w:ascii="Times New Roman" w:hAnsi="Times New Roman"/>
                <w:bCs/>
                <w:sz w:val="24"/>
                <w:highlight w:val="yellow"/>
              </w:rPr>
            </w:pPr>
            <w:r w:rsidRPr="00D51A68">
              <w:rPr>
                <w:rFonts w:ascii="Times New Roman" w:hAnsi="Times New Roman"/>
                <w:sz w:val="24"/>
              </w:rPr>
              <w:t>140-220</w:t>
            </w:r>
          </w:p>
        </w:tc>
        <w:tc>
          <w:tcPr>
            <w:tcW w:w="7903" w:type="dxa"/>
          </w:tcPr>
          <w:p w:rsidR="00612780" w:rsidRPr="00D51A68" w:rsidRDefault="00612780" w:rsidP="00612780">
            <w:pPr>
              <w:autoSpaceDE w:val="0"/>
              <w:autoSpaceDN w:val="0"/>
              <w:adjustRightInd w:val="0"/>
              <w:spacing w:before="0" w:after="0"/>
              <w:jc w:val="left"/>
              <w:rPr>
                <w:rFonts w:ascii="Times New Roman" w:hAnsi="Times New Roman"/>
                <w:b/>
                <w:sz w:val="24"/>
                <w:u w:val="single"/>
              </w:rPr>
            </w:pPr>
            <w:r w:rsidRPr="00D51A68">
              <w:rPr>
                <w:rFonts w:ascii="Times New Roman" w:hAnsi="Times New Roman"/>
                <w:b/>
                <w:sz w:val="24"/>
                <w:u w:val="single"/>
              </w:rPr>
              <w:t>ESPOSIZIONI CARTOLARIZZATE</w:t>
            </w:r>
          </w:p>
          <w:p w:rsidR="00612780" w:rsidRPr="00D51A68" w:rsidRDefault="00612780" w:rsidP="00612780">
            <w:pPr>
              <w:autoSpaceDE w:val="0"/>
              <w:autoSpaceDN w:val="0"/>
              <w:adjustRightInd w:val="0"/>
              <w:spacing w:before="0" w:after="0"/>
              <w:jc w:val="left"/>
              <w:rPr>
                <w:rFonts w:ascii="Times New Roman" w:hAnsi="Times New Roman"/>
                <w:sz w:val="24"/>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Nelle colonne da 140 a 220 il soggetto segnalante deve inserire informazioni su varie caratteristiche del portafoglio cartolarizzato.</w:t>
            </w:r>
          </w:p>
          <w:p w:rsidR="00612780" w:rsidRPr="00D51A68" w:rsidRDefault="00612780" w:rsidP="00612780">
            <w:pPr>
              <w:autoSpaceDE w:val="0"/>
              <w:autoSpaceDN w:val="0"/>
              <w:adjustRightInd w:val="0"/>
              <w:spacing w:before="0" w:after="0"/>
              <w:jc w:val="left"/>
              <w:rPr>
                <w:rFonts w:ascii="Times New Roman" w:hAnsi="Times New Roman"/>
                <w:sz w:val="24"/>
              </w:rPr>
            </w:pPr>
          </w:p>
        </w:tc>
      </w:tr>
      <w:tr w:rsidR="00612780" w:rsidRPr="00D51A68" w:rsidTr="00672D2A">
        <w:tc>
          <w:tcPr>
            <w:tcW w:w="1101" w:type="dxa"/>
          </w:tcPr>
          <w:p w:rsidR="00612780" w:rsidRPr="00D51A68" w:rsidRDefault="00612780" w:rsidP="00612780">
            <w:pPr>
              <w:autoSpaceDE w:val="0"/>
              <w:autoSpaceDN w:val="0"/>
              <w:adjustRightInd w:val="0"/>
              <w:spacing w:before="0" w:after="0"/>
              <w:rPr>
                <w:rFonts w:ascii="Times New Roman" w:hAnsi="Times New Roman"/>
                <w:bCs/>
                <w:sz w:val="24"/>
              </w:rPr>
            </w:pPr>
            <w:r w:rsidRPr="00D51A68">
              <w:rPr>
                <w:rFonts w:ascii="Times New Roman" w:hAnsi="Times New Roman"/>
                <w:sz w:val="24"/>
              </w:rPr>
              <w:t>140</w:t>
            </w:r>
          </w:p>
        </w:tc>
        <w:tc>
          <w:tcPr>
            <w:tcW w:w="7903" w:type="dxa"/>
          </w:tcPr>
          <w:p w:rsidR="00612780" w:rsidRPr="00D51A68" w:rsidRDefault="00612780" w:rsidP="00612780">
            <w:pPr>
              <w:spacing w:before="0" w:after="0"/>
              <w:jc w:val="left"/>
              <w:rPr>
                <w:rFonts w:ascii="Times New Roman" w:hAnsi="Times New Roman"/>
                <w:b/>
                <w:sz w:val="24"/>
                <w:u w:val="single"/>
              </w:rPr>
            </w:pPr>
            <w:r w:rsidRPr="00D51A68">
              <w:rPr>
                <w:rFonts w:ascii="Times New Roman" w:hAnsi="Times New Roman"/>
                <w:b/>
                <w:sz w:val="24"/>
                <w:u w:val="single"/>
              </w:rPr>
              <w:t>IMPORTO COMPLESSIVO</w:t>
            </w:r>
          </w:p>
          <w:p w:rsidR="00612780" w:rsidRPr="00D51A68" w:rsidRDefault="00612780" w:rsidP="00612780">
            <w:pPr>
              <w:spacing w:before="0" w:after="0"/>
              <w:jc w:val="left"/>
              <w:rPr>
                <w:rFonts w:ascii="Times New Roman" w:hAnsi="Times New Roman"/>
                <w:sz w:val="24"/>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Gli enti segnalano il valore del portafoglio cartolarizzato alla data di riferimento per le segnalazioni, ossia l</w:t>
            </w:r>
            <w:r w:rsidR="0009277C" w:rsidRPr="00D51A68">
              <w:rPr>
                <w:rFonts w:ascii="Times New Roman" w:hAnsi="Times New Roman"/>
                <w:sz w:val="24"/>
              </w:rPr>
              <w:t>’</w:t>
            </w:r>
            <w:r w:rsidRPr="00D51A68">
              <w:rPr>
                <w:rFonts w:ascii="Times New Roman" w:hAnsi="Times New Roman"/>
                <w:sz w:val="24"/>
              </w:rPr>
              <w:t>importo in essere delle esposizioni cartolarizzate. Per le cartolarizzazioni tradizionali non occorre inserire nessun</w:t>
            </w:r>
            <w:r w:rsidR="0009277C" w:rsidRPr="00D51A68">
              <w:rPr>
                <w:rFonts w:ascii="Times New Roman" w:hAnsi="Times New Roman"/>
                <w:sz w:val="24"/>
              </w:rPr>
              <w:t>’</w:t>
            </w:r>
            <w:r w:rsidRPr="00D51A68">
              <w:rPr>
                <w:rFonts w:ascii="Times New Roman" w:hAnsi="Times New Roman"/>
                <w:sz w:val="24"/>
              </w:rPr>
              <w:t xml:space="preserve">altra attività del pool di cartolarizzazioni. Per gli schemi di </w:t>
            </w:r>
            <w:r w:rsidRPr="00D51A68">
              <w:rPr>
                <w:rFonts w:ascii="Times New Roman" w:hAnsi="Times New Roman"/>
                <w:sz w:val="24"/>
              </w:rPr>
              <w:lastRenderedPageBreak/>
              <w:t>cartolarizzazione multi-seller (ossia con più di un cedente) è segnalato soltanto l</w:t>
            </w:r>
            <w:r w:rsidR="0009277C" w:rsidRPr="00D51A68">
              <w:rPr>
                <w:rFonts w:ascii="Times New Roman" w:hAnsi="Times New Roman"/>
                <w:sz w:val="24"/>
              </w:rPr>
              <w:t>’</w:t>
            </w:r>
            <w:r w:rsidRPr="00D51A68">
              <w:rPr>
                <w:rFonts w:ascii="Times New Roman" w:hAnsi="Times New Roman"/>
                <w:sz w:val="24"/>
              </w:rPr>
              <w:t>importo corrispondente al contributo del soggetto segnalante al portafoglio cartolarizzato. Per gli schemi di cartolarizzazione assistiti da closed pool (ossia quando il portafoglio di attività cartolarizzate non può essere ampliato dopo la data di creazione) l</w:t>
            </w:r>
            <w:r w:rsidR="0009277C" w:rsidRPr="00D51A68">
              <w:rPr>
                <w:rFonts w:ascii="Times New Roman" w:hAnsi="Times New Roman"/>
                <w:sz w:val="24"/>
              </w:rPr>
              <w:t>’</w:t>
            </w:r>
            <w:r w:rsidRPr="00D51A68">
              <w:rPr>
                <w:rFonts w:ascii="Times New Roman" w:hAnsi="Times New Roman"/>
                <w:sz w:val="24"/>
              </w:rPr>
              <w:t>importo è ridotto progressivamente.</w:t>
            </w:r>
          </w:p>
          <w:p w:rsidR="00612780" w:rsidRPr="00D51A68" w:rsidRDefault="00612780" w:rsidP="00612780">
            <w:pPr>
              <w:autoSpaceDE w:val="0"/>
              <w:autoSpaceDN w:val="0"/>
              <w:adjustRightInd w:val="0"/>
              <w:spacing w:before="0" w:after="0"/>
              <w:rPr>
                <w:rFonts w:ascii="Times New Roman" w:hAnsi="Times New Roman"/>
                <w:sz w:val="24"/>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Questa informazione è segnalata anche se il soggetto segnalante non detiene alcuna posizione nella cartolarizzazione.</w:t>
            </w:r>
          </w:p>
          <w:p w:rsidR="00612780" w:rsidRPr="00D51A68" w:rsidRDefault="00612780" w:rsidP="00612780">
            <w:pPr>
              <w:autoSpaceDE w:val="0"/>
              <w:autoSpaceDN w:val="0"/>
              <w:adjustRightInd w:val="0"/>
              <w:spacing w:before="0" w:after="0"/>
              <w:jc w:val="left"/>
              <w:rPr>
                <w:rFonts w:ascii="Times New Roman" w:hAnsi="Times New Roman"/>
                <w:sz w:val="24"/>
              </w:rPr>
            </w:pPr>
          </w:p>
        </w:tc>
      </w:tr>
      <w:tr w:rsidR="00612780" w:rsidRPr="00D51A68" w:rsidTr="00672D2A">
        <w:tc>
          <w:tcPr>
            <w:tcW w:w="1101" w:type="dxa"/>
          </w:tcPr>
          <w:p w:rsidR="00612780" w:rsidRPr="00D51A68" w:rsidRDefault="00612780" w:rsidP="00612780">
            <w:pPr>
              <w:autoSpaceDE w:val="0"/>
              <w:autoSpaceDN w:val="0"/>
              <w:adjustRightInd w:val="0"/>
              <w:spacing w:before="0" w:after="0"/>
              <w:rPr>
                <w:rFonts w:ascii="Times New Roman" w:hAnsi="Times New Roman"/>
                <w:bCs/>
                <w:sz w:val="24"/>
              </w:rPr>
            </w:pPr>
            <w:r w:rsidRPr="00D51A68">
              <w:rPr>
                <w:rFonts w:ascii="Times New Roman" w:hAnsi="Times New Roman"/>
                <w:sz w:val="24"/>
              </w:rPr>
              <w:lastRenderedPageBreak/>
              <w:t>150</w:t>
            </w:r>
          </w:p>
        </w:tc>
        <w:tc>
          <w:tcPr>
            <w:tcW w:w="7903" w:type="dxa"/>
          </w:tcPr>
          <w:p w:rsidR="00612780" w:rsidRPr="00D51A68" w:rsidRDefault="00612780" w:rsidP="00612780">
            <w:pPr>
              <w:spacing w:before="0" w:after="0"/>
              <w:jc w:val="left"/>
              <w:rPr>
                <w:rFonts w:ascii="Times New Roman" w:hAnsi="Times New Roman"/>
                <w:b/>
                <w:sz w:val="24"/>
                <w:u w:val="single"/>
              </w:rPr>
            </w:pPr>
            <w:r w:rsidRPr="00D51A68">
              <w:rPr>
                <w:rFonts w:ascii="Times New Roman" w:hAnsi="Times New Roman"/>
                <w:b/>
                <w:sz w:val="24"/>
                <w:u w:val="single"/>
              </w:rPr>
              <w:t>QUOTA DELL</w:t>
            </w:r>
            <w:r w:rsidR="0009277C" w:rsidRPr="00D51A68">
              <w:rPr>
                <w:rFonts w:ascii="Times New Roman" w:hAnsi="Times New Roman"/>
                <w:b/>
                <w:sz w:val="24"/>
                <w:u w:val="single"/>
              </w:rPr>
              <w:t>’</w:t>
            </w:r>
            <w:r w:rsidRPr="00D51A68">
              <w:rPr>
                <w:rFonts w:ascii="Times New Roman" w:hAnsi="Times New Roman"/>
                <w:b/>
                <w:sz w:val="24"/>
                <w:u w:val="single"/>
              </w:rPr>
              <w:t>ENTE (%)</w:t>
            </w:r>
          </w:p>
          <w:p w:rsidR="00612780" w:rsidRPr="00D51A68" w:rsidRDefault="00612780" w:rsidP="00612780">
            <w:pPr>
              <w:spacing w:before="0" w:after="0"/>
              <w:jc w:val="left"/>
              <w:rPr>
                <w:rFonts w:ascii="Times New Roman" w:hAnsi="Times New Roman"/>
                <w:sz w:val="24"/>
              </w:rPr>
            </w:pPr>
          </w:p>
          <w:p w:rsidR="00612780" w:rsidRPr="00D51A68" w:rsidRDefault="00612780" w:rsidP="00612780">
            <w:pPr>
              <w:spacing w:before="0" w:after="0"/>
              <w:rPr>
                <w:rFonts w:ascii="Times New Roman" w:hAnsi="Times New Roman"/>
                <w:sz w:val="24"/>
              </w:rPr>
            </w:pPr>
            <w:r w:rsidRPr="00D51A68">
              <w:rPr>
                <w:rFonts w:ascii="Times New Roman" w:hAnsi="Times New Roman"/>
                <w:sz w:val="24"/>
              </w:rPr>
              <w:t>È segnalata la quota (percentuale con due decimali) che l</w:t>
            </w:r>
            <w:r w:rsidR="0009277C" w:rsidRPr="00D51A68">
              <w:rPr>
                <w:rFonts w:ascii="Times New Roman" w:hAnsi="Times New Roman"/>
                <w:sz w:val="24"/>
              </w:rPr>
              <w:t>’</w:t>
            </w:r>
            <w:r w:rsidRPr="00D51A68">
              <w:rPr>
                <w:rFonts w:ascii="Times New Roman" w:hAnsi="Times New Roman"/>
                <w:sz w:val="24"/>
              </w:rPr>
              <w:t>ente detiene nel portafoglio cartolarizzato alla data di riferimento per le segnalazioni. L</w:t>
            </w:r>
            <w:r w:rsidR="0009277C" w:rsidRPr="00D51A68">
              <w:rPr>
                <w:rFonts w:ascii="Times New Roman" w:hAnsi="Times New Roman"/>
                <w:sz w:val="24"/>
              </w:rPr>
              <w:t>’</w:t>
            </w:r>
            <w:r w:rsidRPr="00D51A68">
              <w:rPr>
                <w:rFonts w:ascii="Times New Roman" w:hAnsi="Times New Roman"/>
                <w:sz w:val="24"/>
              </w:rPr>
              <w:t>importo da indicare in questa colonna è prestabilito e corrisponde al 100%, ad eccezione degli schemi di cartolarizzazione multi-seller, nel qual caso il soggetto segnalante riporta il proprio contributo corrente al portafoglio cartolarizzato (equivalente alla colonna 140 in termini relativi).</w:t>
            </w:r>
          </w:p>
          <w:p w:rsidR="00612780" w:rsidRPr="00D51A68" w:rsidRDefault="00612780" w:rsidP="00612780">
            <w:pPr>
              <w:spacing w:before="0" w:after="0"/>
              <w:rPr>
                <w:rFonts w:ascii="Times New Roman" w:hAnsi="Times New Roman"/>
                <w:sz w:val="24"/>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Questa informazione è segnalata anche se il soggetto segnalante non detiene alcuna posizione nella cartolarizzazione.</w:t>
            </w:r>
          </w:p>
          <w:p w:rsidR="00612780" w:rsidRPr="00D51A68" w:rsidRDefault="00612780" w:rsidP="00612780">
            <w:pPr>
              <w:autoSpaceDE w:val="0"/>
              <w:autoSpaceDN w:val="0"/>
              <w:adjustRightInd w:val="0"/>
              <w:spacing w:before="0" w:after="0"/>
              <w:jc w:val="left"/>
              <w:rPr>
                <w:rFonts w:ascii="Times New Roman" w:hAnsi="Times New Roman"/>
                <w:sz w:val="24"/>
              </w:rPr>
            </w:pPr>
          </w:p>
        </w:tc>
      </w:tr>
      <w:tr w:rsidR="00612780" w:rsidRPr="00D51A68" w:rsidTr="00672D2A">
        <w:tc>
          <w:tcPr>
            <w:tcW w:w="1101" w:type="dxa"/>
          </w:tcPr>
          <w:p w:rsidR="00612780" w:rsidRPr="00D51A68" w:rsidRDefault="00612780" w:rsidP="00612780">
            <w:pPr>
              <w:autoSpaceDE w:val="0"/>
              <w:autoSpaceDN w:val="0"/>
              <w:adjustRightInd w:val="0"/>
              <w:spacing w:before="0" w:after="0"/>
              <w:rPr>
                <w:rFonts w:ascii="Times New Roman" w:hAnsi="Times New Roman"/>
                <w:bCs/>
                <w:sz w:val="24"/>
                <w:highlight w:val="yellow"/>
              </w:rPr>
            </w:pPr>
            <w:r w:rsidRPr="00D51A68">
              <w:rPr>
                <w:rFonts w:ascii="Times New Roman" w:hAnsi="Times New Roman"/>
                <w:sz w:val="24"/>
              </w:rPr>
              <w:t>160</w:t>
            </w:r>
          </w:p>
        </w:tc>
        <w:tc>
          <w:tcPr>
            <w:tcW w:w="7903" w:type="dxa"/>
          </w:tcPr>
          <w:p w:rsidR="00612780" w:rsidRPr="00D51A68" w:rsidRDefault="00612780" w:rsidP="00612780">
            <w:pPr>
              <w:spacing w:before="0" w:after="0"/>
              <w:jc w:val="left"/>
              <w:rPr>
                <w:rFonts w:ascii="Times New Roman" w:hAnsi="Times New Roman"/>
                <w:b/>
                <w:sz w:val="24"/>
                <w:u w:val="single"/>
              </w:rPr>
            </w:pPr>
            <w:r w:rsidRPr="00D51A68">
              <w:rPr>
                <w:rFonts w:ascii="Times New Roman" w:hAnsi="Times New Roman"/>
                <w:b/>
                <w:sz w:val="24"/>
                <w:u w:val="single"/>
              </w:rPr>
              <w:t>TIPO</w:t>
            </w:r>
          </w:p>
          <w:p w:rsidR="00612780" w:rsidRPr="00D51A68" w:rsidRDefault="00612780" w:rsidP="00612780">
            <w:pPr>
              <w:spacing w:before="0" w:after="0"/>
              <w:jc w:val="left"/>
              <w:rPr>
                <w:rFonts w:ascii="Times New Roman" w:hAnsi="Times New Roman"/>
                <w:sz w:val="24"/>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 xml:space="preserve">Questa colonna contiene informazioni sul tipo di attività (da </w:t>
            </w:r>
            <w:r w:rsidR="0009277C" w:rsidRPr="00D51A68">
              <w:rPr>
                <w:rFonts w:ascii="Times New Roman" w:hAnsi="Times New Roman"/>
                <w:sz w:val="24"/>
              </w:rPr>
              <w:t>“</w:t>
            </w:r>
            <w:r w:rsidRPr="00D51A68">
              <w:rPr>
                <w:rFonts w:ascii="Times New Roman" w:hAnsi="Times New Roman"/>
                <w:sz w:val="24"/>
              </w:rPr>
              <w:t>1</w:t>
            </w:r>
            <w:r w:rsidR="0009277C" w:rsidRPr="00D51A68">
              <w:rPr>
                <w:rFonts w:ascii="Times New Roman" w:hAnsi="Times New Roman"/>
                <w:sz w:val="24"/>
              </w:rPr>
              <w:t>”</w:t>
            </w:r>
            <w:r w:rsidRPr="00D51A68">
              <w:rPr>
                <w:rFonts w:ascii="Times New Roman" w:hAnsi="Times New Roman"/>
                <w:sz w:val="24"/>
              </w:rPr>
              <w:t xml:space="preserve"> a </w:t>
            </w:r>
            <w:r w:rsidR="0009277C" w:rsidRPr="00D51A68">
              <w:rPr>
                <w:rFonts w:ascii="Times New Roman" w:hAnsi="Times New Roman"/>
                <w:sz w:val="24"/>
              </w:rPr>
              <w:t>“</w:t>
            </w:r>
            <w:r w:rsidRPr="00D51A68">
              <w:rPr>
                <w:rFonts w:ascii="Times New Roman" w:hAnsi="Times New Roman"/>
                <w:sz w:val="24"/>
              </w:rPr>
              <w:t>8</w:t>
            </w:r>
            <w:r w:rsidR="0009277C" w:rsidRPr="00D51A68">
              <w:rPr>
                <w:rFonts w:ascii="Times New Roman" w:hAnsi="Times New Roman"/>
                <w:sz w:val="24"/>
              </w:rPr>
              <w:t>”</w:t>
            </w:r>
            <w:r w:rsidRPr="00D51A68">
              <w:rPr>
                <w:rFonts w:ascii="Times New Roman" w:hAnsi="Times New Roman"/>
                <w:sz w:val="24"/>
              </w:rPr>
              <w:t>) o passività (</w:t>
            </w:r>
            <w:r w:rsidR="0009277C" w:rsidRPr="00D51A68">
              <w:rPr>
                <w:rFonts w:ascii="Times New Roman" w:hAnsi="Times New Roman"/>
                <w:sz w:val="24"/>
              </w:rPr>
              <w:t>“</w:t>
            </w:r>
            <w:r w:rsidRPr="00D51A68">
              <w:rPr>
                <w:rFonts w:ascii="Times New Roman" w:hAnsi="Times New Roman"/>
                <w:sz w:val="24"/>
              </w:rPr>
              <w:t>9</w:t>
            </w:r>
            <w:r w:rsidR="0009277C" w:rsidRPr="00D51A68">
              <w:rPr>
                <w:rFonts w:ascii="Times New Roman" w:hAnsi="Times New Roman"/>
                <w:sz w:val="24"/>
              </w:rPr>
              <w:t>”</w:t>
            </w:r>
            <w:r w:rsidRPr="00D51A68">
              <w:rPr>
                <w:rFonts w:ascii="Times New Roman" w:hAnsi="Times New Roman"/>
                <w:sz w:val="24"/>
              </w:rPr>
              <w:t xml:space="preserve"> e </w:t>
            </w:r>
            <w:r w:rsidR="0009277C" w:rsidRPr="00D51A68">
              <w:rPr>
                <w:rFonts w:ascii="Times New Roman" w:hAnsi="Times New Roman"/>
                <w:sz w:val="24"/>
              </w:rPr>
              <w:t>“</w:t>
            </w:r>
            <w:r w:rsidRPr="00D51A68">
              <w:rPr>
                <w:rFonts w:ascii="Times New Roman" w:hAnsi="Times New Roman"/>
                <w:sz w:val="24"/>
              </w:rPr>
              <w:t>10</w:t>
            </w:r>
            <w:r w:rsidR="0009277C" w:rsidRPr="00D51A68">
              <w:rPr>
                <w:rFonts w:ascii="Times New Roman" w:hAnsi="Times New Roman"/>
                <w:sz w:val="24"/>
              </w:rPr>
              <w:t>”</w:t>
            </w:r>
            <w:r w:rsidRPr="00D51A68">
              <w:rPr>
                <w:rFonts w:ascii="Times New Roman" w:hAnsi="Times New Roman"/>
                <w:sz w:val="24"/>
              </w:rPr>
              <w:t>) del portafoglio cartolarizzato. L</w:t>
            </w:r>
            <w:r w:rsidR="0009277C" w:rsidRPr="00D51A68">
              <w:rPr>
                <w:rFonts w:ascii="Times New Roman" w:hAnsi="Times New Roman"/>
                <w:sz w:val="24"/>
              </w:rPr>
              <w:t>’</w:t>
            </w:r>
            <w:r w:rsidRPr="00D51A68">
              <w:rPr>
                <w:rFonts w:ascii="Times New Roman" w:hAnsi="Times New Roman"/>
                <w:sz w:val="24"/>
              </w:rPr>
              <w:t>ente deve inserire uno dei seguenti codici numerici:</w:t>
            </w:r>
          </w:p>
          <w:p w:rsidR="00BB7E19" w:rsidRPr="00D51A68" w:rsidRDefault="00BB7E19" w:rsidP="00612780">
            <w:pPr>
              <w:autoSpaceDE w:val="0"/>
              <w:autoSpaceDN w:val="0"/>
              <w:adjustRightInd w:val="0"/>
              <w:spacing w:before="0" w:after="0"/>
              <w:jc w:val="left"/>
              <w:rPr>
                <w:rFonts w:ascii="Times New Roman" w:hAnsi="Times New Roman"/>
                <w:sz w:val="24"/>
              </w:rPr>
            </w:pPr>
          </w:p>
          <w:p w:rsidR="00612780" w:rsidRPr="00D51A68" w:rsidRDefault="00612780" w:rsidP="00612780">
            <w:pPr>
              <w:autoSpaceDE w:val="0"/>
              <w:autoSpaceDN w:val="0"/>
              <w:adjustRightInd w:val="0"/>
              <w:spacing w:before="0" w:after="0"/>
              <w:jc w:val="left"/>
              <w:rPr>
                <w:rFonts w:ascii="Times New Roman" w:hAnsi="Times New Roman"/>
                <w:sz w:val="24"/>
              </w:rPr>
            </w:pPr>
            <w:r w:rsidRPr="00D51A68">
              <w:rPr>
                <w:rFonts w:ascii="Times New Roman" w:hAnsi="Times New Roman"/>
                <w:sz w:val="24"/>
              </w:rPr>
              <w:t xml:space="preserve">1 — ipoteche su immobili residenziali </w:t>
            </w:r>
          </w:p>
          <w:p w:rsidR="00612780" w:rsidRPr="00D51A68" w:rsidRDefault="00612780" w:rsidP="00612780">
            <w:pPr>
              <w:autoSpaceDE w:val="0"/>
              <w:autoSpaceDN w:val="0"/>
              <w:adjustRightInd w:val="0"/>
              <w:spacing w:before="0" w:after="0"/>
              <w:jc w:val="left"/>
              <w:rPr>
                <w:rFonts w:ascii="Times New Roman" w:hAnsi="Times New Roman"/>
                <w:sz w:val="24"/>
              </w:rPr>
            </w:pPr>
            <w:r w:rsidRPr="00D51A68">
              <w:rPr>
                <w:rFonts w:ascii="Times New Roman" w:hAnsi="Times New Roman"/>
                <w:sz w:val="24"/>
              </w:rPr>
              <w:t xml:space="preserve">2 — ipoteche su immobili non residenziali </w:t>
            </w:r>
          </w:p>
          <w:p w:rsidR="00612780" w:rsidRPr="00D51A68" w:rsidRDefault="00612780" w:rsidP="00612780">
            <w:pPr>
              <w:autoSpaceDE w:val="0"/>
              <w:autoSpaceDN w:val="0"/>
              <w:adjustRightInd w:val="0"/>
              <w:spacing w:before="0" w:after="0"/>
              <w:jc w:val="left"/>
              <w:rPr>
                <w:rFonts w:ascii="Times New Roman" w:hAnsi="Times New Roman"/>
                <w:sz w:val="24"/>
              </w:rPr>
            </w:pPr>
            <w:r w:rsidRPr="00D51A68">
              <w:rPr>
                <w:rFonts w:ascii="Times New Roman" w:hAnsi="Times New Roman"/>
                <w:sz w:val="24"/>
              </w:rPr>
              <w:t xml:space="preserve">3 — crediti su carta di credito </w:t>
            </w:r>
          </w:p>
          <w:p w:rsidR="00612780" w:rsidRPr="00D51A68" w:rsidRDefault="00612780" w:rsidP="00612780">
            <w:pPr>
              <w:autoSpaceDE w:val="0"/>
              <w:autoSpaceDN w:val="0"/>
              <w:adjustRightInd w:val="0"/>
              <w:spacing w:before="0" w:after="0"/>
              <w:jc w:val="left"/>
              <w:rPr>
                <w:rFonts w:ascii="Times New Roman" w:hAnsi="Times New Roman"/>
                <w:sz w:val="24"/>
              </w:rPr>
            </w:pPr>
            <w:r w:rsidRPr="00D51A68">
              <w:rPr>
                <w:rFonts w:ascii="Times New Roman" w:hAnsi="Times New Roman"/>
                <w:sz w:val="24"/>
              </w:rPr>
              <w:t xml:space="preserve">4 — leasing </w:t>
            </w:r>
          </w:p>
          <w:p w:rsidR="00612780" w:rsidRPr="00D51A68" w:rsidRDefault="00612780" w:rsidP="00612780">
            <w:pPr>
              <w:autoSpaceDE w:val="0"/>
              <w:autoSpaceDN w:val="0"/>
              <w:adjustRightInd w:val="0"/>
              <w:spacing w:before="0" w:after="0"/>
              <w:jc w:val="left"/>
              <w:rPr>
                <w:rFonts w:ascii="Times New Roman" w:hAnsi="Times New Roman"/>
                <w:sz w:val="24"/>
              </w:rPr>
            </w:pPr>
            <w:r w:rsidRPr="00D51A68">
              <w:rPr>
                <w:rFonts w:ascii="Times New Roman" w:hAnsi="Times New Roman"/>
                <w:sz w:val="24"/>
              </w:rPr>
              <w:t xml:space="preserve">5 — prestiti a imprese o PMI (trattate come imprese) </w:t>
            </w:r>
          </w:p>
          <w:p w:rsidR="00612780" w:rsidRPr="00D51A68" w:rsidRDefault="00612780" w:rsidP="00612780">
            <w:pPr>
              <w:autoSpaceDE w:val="0"/>
              <w:autoSpaceDN w:val="0"/>
              <w:adjustRightInd w:val="0"/>
              <w:spacing w:before="0" w:after="0"/>
              <w:jc w:val="left"/>
              <w:rPr>
                <w:rFonts w:ascii="Times New Roman" w:hAnsi="Times New Roman"/>
                <w:sz w:val="24"/>
              </w:rPr>
            </w:pPr>
            <w:r w:rsidRPr="00D51A68">
              <w:rPr>
                <w:rFonts w:ascii="Times New Roman" w:hAnsi="Times New Roman"/>
                <w:sz w:val="24"/>
              </w:rPr>
              <w:t>6 — prestiti al consumo</w:t>
            </w:r>
          </w:p>
          <w:p w:rsidR="00612780" w:rsidRPr="00D51A68" w:rsidRDefault="00612780" w:rsidP="00612780">
            <w:pPr>
              <w:autoSpaceDE w:val="0"/>
              <w:autoSpaceDN w:val="0"/>
              <w:adjustRightInd w:val="0"/>
              <w:spacing w:before="0" w:after="0"/>
              <w:jc w:val="left"/>
              <w:rPr>
                <w:rFonts w:ascii="Times New Roman" w:hAnsi="Times New Roman"/>
                <w:sz w:val="24"/>
              </w:rPr>
            </w:pPr>
            <w:r w:rsidRPr="00D51A68">
              <w:rPr>
                <w:rFonts w:ascii="Times New Roman" w:hAnsi="Times New Roman"/>
                <w:sz w:val="24"/>
              </w:rPr>
              <w:t>7 — crediti commerciali</w:t>
            </w:r>
          </w:p>
          <w:p w:rsidR="00612780" w:rsidRPr="00D51A68" w:rsidRDefault="00BB7E19" w:rsidP="00612780">
            <w:pPr>
              <w:autoSpaceDE w:val="0"/>
              <w:autoSpaceDN w:val="0"/>
              <w:adjustRightInd w:val="0"/>
              <w:spacing w:before="0" w:after="0"/>
              <w:jc w:val="left"/>
              <w:rPr>
                <w:rFonts w:ascii="Times New Roman" w:hAnsi="Times New Roman"/>
                <w:sz w:val="24"/>
              </w:rPr>
            </w:pPr>
            <w:r w:rsidRPr="00D51A68">
              <w:rPr>
                <w:rFonts w:ascii="Times New Roman" w:hAnsi="Times New Roman"/>
                <w:sz w:val="24"/>
              </w:rPr>
              <w:t>8 — altre attività</w:t>
            </w:r>
          </w:p>
          <w:p w:rsidR="00612780" w:rsidRPr="00D51A68" w:rsidRDefault="00BB7E19" w:rsidP="00612780">
            <w:pPr>
              <w:autoSpaceDE w:val="0"/>
              <w:autoSpaceDN w:val="0"/>
              <w:adjustRightInd w:val="0"/>
              <w:spacing w:before="0" w:after="0"/>
              <w:jc w:val="left"/>
              <w:rPr>
                <w:rFonts w:ascii="Times New Roman" w:hAnsi="Times New Roman"/>
                <w:sz w:val="24"/>
              </w:rPr>
            </w:pPr>
            <w:r w:rsidRPr="00D51A68">
              <w:rPr>
                <w:rFonts w:ascii="Times New Roman" w:hAnsi="Times New Roman"/>
                <w:sz w:val="24"/>
              </w:rPr>
              <w:t>9 — obbligazioni garantite</w:t>
            </w:r>
          </w:p>
          <w:p w:rsidR="00612780" w:rsidRPr="00D51A68" w:rsidRDefault="00612780" w:rsidP="00612780">
            <w:pPr>
              <w:autoSpaceDE w:val="0"/>
              <w:autoSpaceDN w:val="0"/>
              <w:adjustRightInd w:val="0"/>
              <w:spacing w:before="0" w:after="0"/>
              <w:jc w:val="left"/>
              <w:rPr>
                <w:rFonts w:ascii="Times New Roman" w:hAnsi="Times New Roman"/>
                <w:sz w:val="24"/>
              </w:rPr>
            </w:pPr>
            <w:r w:rsidRPr="00D51A68">
              <w:rPr>
                <w:rFonts w:ascii="Times New Roman" w:hAnsi="Times New Roman"/>
                <w:sz w:val="24"/>
              </w:rPr>
              <w:t>10 — altre passività</w:t>
            </w:r>
          </w:p>
          <w:p w:rsidR="00612780" w:rsidRPr="00D51A68" w:rsidRDefault="00612780" w:rsidP="00612780">
            <w:pPr>
              <w:autoSpaceDE w:val="0"/>
              <w:autoSpaceDN w:val="0"/>
              <w:adjustRightInd w:val="0"/>
              <w:spacing w:before="0" w:after="0"/>
              <w:jc w:val="left"/>
              <w:rPr>
                <w:rFonts w:ascii="Times New Roman" w:hAnsi="Times New Roman"/>
                <w:sz w:val="24"/>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Se il pool di esposizioni cartolarizzate è una combinazione dei tipi su elencati, l</w:t>
            </w:r>
            <w:r w:rsidR="0009277C" w:rsidRPr="00D51A68">
              <w:rPr>
                <w:rFonts w:ascii="Times New Roman" w:hAnsi="Times New Roman"/>
                <w:sz w:val="24"/>
              </w:rPr>
              <w:t>’</w:t>
            </w:r>
            <w:r w:rsidRPr="00D51A68">
              <w:rPr>
                <w:rFonts w:ascii="Times New Roman" w:hAnsi="Times New Roman"/>
                <w:sz w:val="24"/>
              </w:rPr>
              <w:t>ente segnala il tipo più importante. Per le ricartolarizzazioni l</w:t>
            </w:r>
            <w:r w:rsidR="0009277C" w:rsidRPr="00D51A68">
              <w:rPr>
                <w:rFonts w:ascii="Times New Roman" w:hAnsi="Times New Roman"/>
                <w:sz w:val="24"/>
              </w:rPr>
              <w:t>’</w:t>
            </w:r>
            <w:r w:rsidRPr="00D51A68">
              <w:rPr>
                <w:rFonts w:ascii="Times New Roman" w:hAnsi="Times New Roman"/>
                <w:sz w:val="24"/>
              </w:rPr>
              <w:t xml:space="preserve">ente indica il pool sottostante finale delle attività. Il tipo </w:t>
            </w:r>
            <w:r w:rsidR="0009277C" w:rsidRPr="00D51A68">
              <w:rPr>
                <w:rFonts w:ascii="Times New Roman" w:hAnsi="Times New Roman"/>
                <w:sz w:val="24"/>
              </w:rPr>
              <w:t>“</w:t>
            </w:r>
            <w:r w:rsidRPr="00D51A68">
              <w:rPr>
                <w:rFonts w:ascii="Times New Roman" w:hAnsi="Times New Roman"/>
                <w:sz w:val="24"/>
              </w:rPr>
              <w:t>10</w:t>
            </w:r>
            <w:r w:rsidR="0009277C" w:rsidRPr="00D51A68">
              <w:rPr>
                <w:rFonts w:ascii="Times New Roman" w:hAnsi="Times New Roman"/>
                <w:sz w:val="24"/>
              </w:rPr>
              <w:t>”</w:t>
            </w:r>
            <w:r w:rsidRPr="00D51A68">
              <w:rPr>
                <w:rFonts w:ascii="Times New Roman" w:hAnsi="Times New Roman"/>
                <w:sz w:val="24"/>
              </w:rPr>
              <w:t xml:space="preserve"> (altre passività) comprende buoni del Tesoro e credit linked note.</w:t>
            </w:r>
          </w:p>
          <w:p w:rsidR="00612780" w:rsidRPr="00D51A68" w:rsidRDefault="00612780" w:rsidP="00612780">
            <w:pPr>
              <w:autoSpaceDE w:val="0"/>
              <w:autoSpaceDN w:val="0"/>
              <w:adjustRightInd w:val="0"/>
              <w:spacing w:before="0" w:after="0"/>
              <w:rPr>
                <w:rFonts w:ascii="Times New Roman" w:hAnsi="Times New Roman"/>
                <w:sz w:val="24"/>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Per gli schemi di cartolarizzazione assistiti da closed pool il tipo non può cambiare tra una data di riferimento per le segnalazioni e la successiva.</w:t>
            </w:r>
          </w:p>
          <w:p w:rsidR="00612780" w:rsidRPr="00D51A68" w:rsidRDefault="00612780" w:rsidP="00612780">
            <w:pPr>
              <w:spacing w:before="0" w:after="0"/>
              <w:jc w:val="left"/>
              <w:rPr>
                <w:rFonts w:ascii="Times New Roman" w:hAnsi="Times New Roman"/>
                <w:sz w:val="24"/>
              </w:rPr>
            </w:pPr>
          </w:p>
        </w:tc>
      </w:tr>
      <w:tr w:rsidR="00612780" w:rsidRPr="00D51A68" w:rsidTr="00672D2A">
        <w:tc>
          <w:tcPr>
            <w:tcW w:w="1101" w:type="dxa"/>
          </w:tcPr>
          <w:p w:rsidR="00612780" w:rsidRPr="00D51A68" w:rsidRDefault="00612780" w:rsidP="00612780">
            <w:pPr>
              <w:autoSpaceDE w:val="0"/>
              <w:autoSpaceDN w:val="0"/>
              <w:adjustRightInd w:val="0"/>
              <w:spacing w:before="0" w:after="0"/>
              <w:rPr>
                <w:rFonts w:ascii="Times New Roman" w:hAnsi="Times New Roman"/>
                <w:bCs/>
                <w:sz w:val="24"/>
              </w:rPr>
            </w:pPr>
            <w:r w:rsidRPr="00D51A68">
              <w:rPr>
                <w:rFonts w:ascii="Times New Roman" w:hAnsi="Times New Roman"/>
                <w:sz w:val="24"/>
              </w:rPr>
              <w:t>170</w:t>
            </w:r>
          </w:p>
        </w:tc>
        <w:tc>
          <w:tcPr>
            <w:tcW w:w="7903" w:type="dxa"/>
          </w:tcPr>
          <w:p w:rsidR="00612780" w:rsidRPr="00D51A68" w:rsidRDefault="00612780" w:rsidP="00612780">
            <w:pPr>
              <w:spacing w:before="0" w:after="0"/>
              <w:jc w:val="left"/>
              <w:rPr>
                <w:rFonts w:ascii="Times New Roman" w:hAnsi="Times New Roman"/>
                <w:b/>
                <w:sz w:val="24"/>
                <w:u w:val="single"/>
              </w:rPr>
            </w:pPr>
            <w:r w:rsidRPr="00D51A68">
              <w:rPr>
                <w:rFonts w:ascii="Times New Roman" w:hAnsi="Times New Roman"/>
                <w:b/>
                <w:sz w:val="24"/>
                <w:u w:val="single"/>
              </w:rPr>
              <w:t>METODO APPLICATO (STANDARDIZZATO/IRB/MISTO)</w:t>
            </w:r>
          </w:p>
          <w:p w:rsidR="00612780" w:rsidRPr="00D51A68" w:rsidRDefault="00612780" w:rsidP="00612780">
            <w:pPr>
              <w:spacing w:before="0" w:after="0"/>
              <w:jc w:val="left"/>
              <w:rPr>
                <w:rFonts w:ascii="Times New Roman" w:hAnsi="Times New Roman"/>
                <w:sz w:val="24"/>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Questa colonna contiene informazioni sul metodo che l</w:t>
            </w:r>
            <w:r w:rsidR="0009277C" w:rsidRPr="00D51A68">
              <w:rPr>
                <w:rFonts w:ascii="Times New Roman" w:hAnsi="Times New Roman"/>
                <w:sz w:val="24"/>
              </w:rPr>
              <w:t>’</w:t>
            </w:r>
            <w:r w:rsidRPr="00D51A68">
              <w:rPr>
                <w:rFonts w:ascii="Times New Roman" w:hAnsi="Times New Roman"/>
                <w:sz w:val="24"/>
              </w:rPr>
              <w:t>ente intende applicare alle esposizioni cartolarizzate alla data di riferimento per le segnalazioni.</w:t>
            </w:r>
          </w:p>
          <w:p w:rsidR="00612780" w:rsidRPr="00D51A68" w:rsidRDefault="00612780" w:rsidP="00612780">
            <w:pPr>
              <w:autoSpaceDE w:val="0"/>
              <w:autoSpaceDN w:val="0"/>
              <w:adjustRightInd w:val="0"/>
              <w:spacing w:before="0" w:after="0"/>
              <w:jc w:val="left"/>
              <w:rPr>
                <w:rFonts w:ascii="Times New Roman" w:hAnsi="Times New Roman"/>
                <w:sz w:val="24"/>
              </w:rPr>
            </w:pPr>
          </w:p>
          <w:p w:rsidR="00612780" w:rsidRPr="00D51A68" w:rsidRDefault="00612780" w:rsidP="00612780">
            <w:pPr>
              <w:autoSpaceDE w:val="0"/>
              <w:autoSpaceDN w:val="0"/>
              <w:adjustRightInd w:val="0"/>
              <w:spacing w:before="0" w:after="0"/>
              <w:jc w:val="left"/>
              <w:rPr>
                <w:rFonts w:ascii="Times New Roman" w:hAnsi="Times New Roman"/>
                <w:sz w:val="24"/>
              </w:rPr>
            </w:pPr>
            <w:r w:rsidRPr="00D51A68">
              <w:rPr>
                <w:rFonts w:ascii="Times New Roman" w:hAnsi="Times New Roman"/>
                <w:sz w:val="24"/>
              </w:rPr>
              <w:t>Inserire le seguenti abbreviazioni:</w:t>
            </w:r>
          </w:p>
          <w:p w:rsidR="00612780" w:rsidRPr="00D51A68" w:rsidRDefault="00612780" w:rsidP="00612780">
            <w:pPr>
              <w:autoSpaceDE w:val="0"/>
              <w:autoSpaceDN w:val="0"/>
              <w:adjustRightInd w:val="0"/>
              <w:spacing w:before="0" w:after="0"/>
              <w:jc w:val="left"/>
              <w:rPr>
                <w:rFonts w:ascii="Times New Roman" w:hAnsi="Times New Roman"/>
                <w:sz w:val="24"/>
              </w:rPr>
            </w:pPr>
            <w:r w:rsidRPr="00D51A68">
              <w:rPr>
                <w:rFonts w:ascii="Times New Roman" w:hAnsi="Times New Roman"/>
                <w:sz w:val="24"/>
              </w:rPr>
              <w:t xml:space="preserve">- </w:t>
            </w:r>
            <w:r w:rsidR="0009277C" w:rsidRPr="00D51A68">
              <w:rPr>
                <w:rFonts w:ascii="Times New Roman" w:hAnsi="Times New Roman"/>
                <w:sz w:val="24"/>
              </w:rPr>
              <w:t>“</w:t>
            </w:r>
            <w:r w:rsidRPr="00D51A68">
              <w:rPr>
                <w:rFonts w:ascii="Times New Roman" w:hAnsi="Times New Roman"/>
                <w:sz w:val="24"/>
              </w:rPr>
              <w:t>S</w:t>
            </w:r>
            <w:r w:rsidR="0009277C" w:rsidRPr="00D51A68">
              <w:rPr>
                <w:rFonts w:ascii="Times New Roman" w:hAnsi="Times New Roman"/>
                <w:sz w:val="24"/>
              </w:rPr>
              <w:t>”</w:t>
            </w:r>
            <w:r w:rsidRPr="00D51A68">
              <w:rPr>
                <w:rFonts w:ascii="Times New Roman" w:hAnsi="Times New Roman"/>
                <w:sz w:val="24"/>
              </w:rPr>
              <w:t xml:space="preserve"> = metodo standardizzato </w:t>
            </w:r>
          </w:p>
          <w:p w:rsidR="00612780" w:rsidRPr="00D51A68" w:rsidRDefault="00612780" w:rsidP="00612780">
            <w:pPr>
              <w:autoSpaceDE w:val="0"/>
              <w:autoSpaceDN w:val="0"/>
              <w:adjustRightInd w:val="0"/>
              <w:spacing w:before="0" w:after="0"/>
              <w:jc w:val="left"/>
              <w:rPr>
                <w:rFonts w:ascii="Times New Roman" w:hAnsi="Times New Roman"/>
                <w:sz w:val="24"/>
              </w:rPr>
            </w:pPr>
            <w:r w:rsidRPr="00D51A68">
              <w:rPr>
                <w:rFonts w:ascii="Times New Roman" w:hAnsi="Times New Roman"/>
                <w:sz w:val="24"/>
              </w:rPr>
              <w:t xml:space="preserve">- </w:t>
            </w:r>
            <w:r w:rsidR="0009277C" w:rsidRPr="00D51A68">
              <w:rPr>
                <w:rFonts w:ascii="Times New Roman" w:hAnsi="Times New Roman"/>
                <w:sz w:val="24"/>
              </w:rPr>
              <w:t>“</w:t>
            </w:r>
            <w:r w:rsidRPr="00D51A68">
              <w:rPr>
                <w:rFonts w:ascii="Times New Roman" w:hAnsi="Times New Roman"/>
                <w:sz w:val="24"/>
              </w:rPr>
              <w:t>I</w:t>
            </w:r>
            <w:r w:rsidR="0009277C" w:rsidRPr="00D51A68">
              <w:rPr>
                <w:rFonts w:ascii="Times New Roman" w:hAnsi="Times New Roman"/>
                <w:sz w:val="24"/>
              </w:rPr>
              <w:t>”</w:t>
            </w:r>
            <w:r w:rsidRPr="00D51A68">
              <w:rPr>
                <w:rFonts w:ascii="Times New Roman" w:hAnsi="Times New Roman"/>
                <w:sz w:val="24"/>
              </w:rPr>
              <w:t xml:space="preserve"> = metodo basato sui rating interni</w:t>
            </w:r>
          </w:p>
          <w:p w:rsidR="00612780" w:rsidRPr="00D51A68" w:rsidRDefault="00612780" w:rsidP="00612780">
            <w:pPr>
              <w:autoSpaceDE w:val="0"/>
              <w:autoSpaceDN w:val="0"/>
              <w:adjustRightInd w:val="0"/>
              <w:spacing w:before="0" w:after="0"/>
              <w:jc w:val="left"/>
              <w:rPr>
                <w:rFonts w:ascii="Times New Roman" w:hAnsi="Times New Roman"/>
                <w:sz w:val="24"/>
              </w:rPr>
            </w:pPr>
            <w:r w:rsidRPr="00D51A68">
              <w:rPr>
                <w:rFonts w:ascii="Times New Roman" w:hAnsi="Times New Roman"/>
                <w:sz w:val="24"/>
              </w:rPr>
              <w:t xml:space="preserve">- </w:t>
            </w:r>
            <w:r w:rsidR="0009277C" w:rsidRPr="00D51A68">
              <w:rPr>
                <w:rFonts w:ascii="Times New Roman" w:hAnsi="Times New Roman"/>
                <w:sz w:val="24"/>
              </w:rPr>
              <w:t>“</w:t>
            </w:r>
            <w:r w:rsidRPr="00D51A68">
              <w:rPr>
                <w:rFonts w:ascii="Times New Roman" w:hAnsi="Times New Roman"/>
                <w:sz w:val="24"/>
              </w:rPr>
              <w:t>M</w:t>
            </w:r>
            <w:r w:rsidR="0009277C" w:rsidRPr="00D51A68">
              <w:rPr>
                <w:rFonts w:ascii="Times New Roman" w:hAnsi="Times New Roman"/>
                <w:sz w:val="24"/>
              </w:rPr>
              <w:t>”</w:t>
            </w:r>
            <w:r w:rsidRPr="00D51A68">
              <w:rPr>
                <w:rFonts w:ascii="Times New Roman" w:hAnsi="Times New Roman"/>
                <w:sz w:val="24"/>
              </w:rPr>
              <w:t xml:space="preserve"> = combinazione di entrambi i metodi (standardizzato/IRB).</w:t>
            </w:r>
          </w:p>
          <w:p w:rsidR="00612780" w:rsidRPr="00D51A68" w:rsidRDefault="00612780" w:rsidP="00612780">
            <w:pPr>
              <w:autoSpaceDE w:val="0"/>
              <w:autoSpaceDN w:val="0"/>
              <w:adjustRightInd w:val="0"/>
              <w:spacing w:before="0" w:after="0"/>
              <w:jc w:val="left"/>
              <w:rPr>
                <w:rFonts w:ascii="Times New Roman" w:hAnsi="Times New Roman"/>
                <w:sz w:val="24"/>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 xml:space="preserve">Se, in caso di applicazione del metodo standardizzato, nella colonna 050 è indicato </w:t>
            </w:r>
            <w:r w:rsidR="0009277C" w:rsidRPr="00D51A68">
              <w:rPr>
                <w:rFonts w:ascii="Times New Roman" w:hAnsi="Times New Roman"/>
                <w:sz w:val="24"/>
              </w:rPr>
              <w:t>“</w:t>
            </w:r>
            <w:r w:rsidRPr="00D51A68">
              <w:rPr>
                <w:rFonts w:ascii="Times New Roman" w:hAnsi="Times New Roman"/>
                <w:sz w:val="24"/>
              </w:rPr>
              <w:t>P</w:t>
            </w:r>
            <w:r w:rsidR="0009277C" w:rsidRPr="00D51A68">
              <w:rPr>
                <w:rFonts w:ascii="Times New Roman" w:hAnsi="Times New Roman"/>
                <w:sz w:val="24"/>
              </w:rPr>
              <w:t>”</w:t>
            </w:r>
            <w:r w:rsidRPr="00D51A68">
              <w:rPr>
                <w:rFonts w:ascii="Times New Roman" w:hAnsi="Times New Roman"/>
                <w:sz w:val="24"/>
              </w:rPr>
              <w:t>, il calcolo dei requisiti di fondi propri deve essere segnalato nel modello CR SEC SA.</w:t>
            </w: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 xml:space="preserve">Se, in caso di applicazione del metodo IRB, nella colonna 050 è indicato </w:t>
            </w:r>
            <w:r w:rsidR="0009277C" w:rsidRPr="00D51A68">
              <w:rPr>
                <w:rFonts w:ascii="Times New Roman" w:hAnsi="Times New Roman"/>
                <w:sz w:val="24"/>
              </w:rPr>
              <w:t>“</w:t>
            </w:r>
            <w:r w:rsidRPr="00D51A68">
              <w:rPr>
                <w:rFonts w:ascii="Times New Roman" w:hAnsi="Times New Roman"/>
                <w:sz w:val="24"/>
              </w:rPr>
              <w:t>P</w:t>
            </w:r>
            <w:r w:rsidR="0009277C" w:rsidRPr="00D51A68">
              <w:rPr>
                <w:rFonts w:ascii="Times New Roman" w:hAnsi="Times New Roman"/>
                <w:sz w:val="24"/>
              </w:rPr>
              <w:t>”</w:t>
            </w:r>
            <w:r w:rsidRPr="00D51A68">
              <w:rPr>
                <w:rFonts w:ascii="Times New Roman" w:hAnsi="Times New Roman"/>
                <w:sz w:val="24"/>
              </w:rPr>
              <w:t>, il calcolo dei requisiti di fondi propri deve essere segnalato nel modello CR SEC IRB.</w:t>
            </w: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 xml:space="preserve">Se, in caso di applicazione di una combinazione del metodo standardizzato e del metodo IRB, nella colonna 050 è indicato </w:t>
            </w:r>
            <w:r w:rsidR="0009277C" w:rsidRPr="00D51A68">
              <w:rPr>
                <w:rFonts w:ascii="Times New Roman" w:hAnsi="Times New Roman"/>
                <w:sz w:val="24"/>
              </w:rPr>
              <w:t>“</w:t>
            </w:r>
            <w:r w:rsidRPr="00D51A68">
              <w:rPr>
                <w:rFonts w:ascii="Times New Roman" w:hAnsi="Times New Roman"/>
                <w:sz w:val="24"/>
              </w:rPr>
              <w:t>P</w:t>
            </w:r>
            <w:r w:rsidR="0009277C" w:rsidRPr="00D51A68">
              <w:rPr>
                <w:rFonts w:ascii="Times New Roman" w:hAnsi="Times New Roman"/>
                <w:sz w:val="24"/>
              </w:rPr>
              <w:t>”</w:t>
            </w:r>
            <w:r w:rsidRPr="00D51A68">
              <w:rPr>
                <w:rFonts w:ascii="Times New Roman" w:hAnsi="Times New Roman"/>
                <w:sz w:val="24"/>
              </w:rPr>
              <w:t>, il calcolo dei requisiti di fondi propri deve essere segnalato sia nel modello CR SEC SA che nel modello CR SEC IRB.</w:t>
            </w:r>
          </w:p>
          <w:p w:rsidR="00612780" w:rsidRPr="00D51A68" w:rsidRDefault="00612780" w:rsidP="00612780">
            <w:pPr>
              <w:autoSpaceDE w:val="0"/>
              <w:autoSpaceDN w:val="0"/>
              <w:adjustRightInd w:val="0"/>
              <w:spacing w:before="0" w:after="0"/>
              <w:rPr>
                <w:rFonts w:ascii="Times New Roman" w:hAnsi="Times New Roman"/>
                <w:sz w:val="24"/>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Questa informazione è segnalata anche se il soggetto segnalante non detiene alcuna posizione nella cartolarizzazione. Tuttavia, questa colonna non riguarda le cartolarizzazioni di passività. I promotori non compilano questa colonna.</w:t>
            </w:r>
          </w:p>
          <w:p w:rsidR="00612780" w:rsidRPr="00D51A68" w:rsidRDefault="00612780" w:rsidP="00612780">
            <w:pPr>
              <w:autoSpaceDE w:val="0"/>
              <w:autoSpaceDN w:val="0"/>
              <w:adjustRightInd w:val="0"/>
              <w:spacing w:before="0" w:after="0"/>
              <w:jc w:val="left"/>
              <w:rPr>
                <w:rFonts w:ascii="Times New Roman" w:hAnsi="Times New Roman"/>
                <w:sz w:val="24"/>
              </w:rPr>
            </w:pPr>
          </w:p>
        </w:tc>
      </w:tr>
      <w:tr w:rsidR="00612780" w:rsidRPr="00D51A68" w:rsidTr="00672D2A">
        <w:tc>
          <w:tcPr>
            <w:tcW w:w="1101" w:type="dxa"/>
          </w:tcPr>
          <w:p w:rsidR="00612780" w:rsidRPr="00D51A68" w:rsidRDefault="00612780" w:rsidP="00612780">
            <w:pPr>
              <w:autoSpaceDE w:val="0"/>
              <w:autoSpaceDN w:val="0"/>
              <w:adjustRightInd w:val="0"/>
              <w:spacing w:before="0" w:after="0"/>
              <w:rPr>
                <w:rFonts w:ascii="Times New Roman" w:hAnsi="Times New Roman"/>
                <w:bCs/>
                <w:sz w:val="24"/>
              </w:rPr>
            </w:pPr>
            <w:r w:rsidRPr="00D51A68">
              <w:rPr>
                <w:rFonts w:ascii="Times New Roman" w:hAnsi="Times New Roman"/>
                <w:sz w:val="24"/>
              </w:rPr>
              <w:lastRenderedPageBreak/>
              <w:t>180</w:t>
            </w:r>
          </w:p>
        </w:tc>
        <w:tc>
          <w:tcPr>
            <w:tcW w:w="7903" w:type="dxa"/>
            <w:shd w:val="clear" w:color="auto" w:fill="auto"/>
          </w:tcPr>
          <w:p w:rsidR="00612780" w:rsidRPr="00D51A68" w:rsidRDefault="00612780" w:rsidP="00612780">
            <w:pPr>
              <w:spacing w:before="0" w:after="0"/>
              <w:jc w:val="left"/>
              <w:rPr>
                <w:rFonts w:ascii="Times New Roman" w:hAnsi="Times New Roman"/>
                <w:b/>
                <w:sz w:val="24"/>
                <w:u w:val="single"/>
              </w:rPr>
            </w:pPr>
            <w:r w:rsidRPr="00D51A68">
              <w:rPr>
                <w:rFonts w:ascii="Times New Roman" w:hAnsi="Times New Roman"/>
                <w:b/>
                <w:sz w:val="24"/>
                <w:u w:val="single"/>
              </w:rPr>
              <w:t>NUMERO DI ESPOSIZIONI</w:t>
            </w:r>
          </w:p>
          <w:p w:rsidR="00612780" w:rsidRPr="00D51A68" w:rsidRDefault="00612780" w:rsidP="00612780">
            <w:pPr>
              <w:spacing w:before="0" w:after="0"/>
              <w:jc w:val="left"/>
              <w:rPr>
                <w:rFonts w:ascii="Times New Roman" w:hAnsi="Times New Roman"/>
                <w:sz w:val="24"/>
              </w:rPr>
            </w:pPr>
          </w:p>
          <w:p w:rsidR="00612780" w:rsidRPr="00D51A68" w:rsidRDefault="00612780" w:rsidP="00612780">
            <w:pPr>
              <w:autoSpaceDE w:val="0"/>
              <w:autoSpaceDN w:val="0"/>
              <w:adjustRightInd w:val="0"/>
              <w:spacing w:before="0" w:after="0"/>
              <w:jc w:val="left"/>
              <w:rPr>
                <w:rFonts w:ascii="Times New Roman" w:hAnsi="Times New Roman"/>
                <w:sz w:val="24"/>
              </w:rPr>
            </w:pPr>
            <w:r w:rsidRPr="00D51A68">
              <w:rPr>
                <w:rFonts w:ascii="Times New Roman" w:hAnsi="Times New Roman"/>
                <w:sz w:val="24"/>
              </w:rPr>
              <w:t>Articolo 261, paragrafo 1, del CRR.</w:t>
            </w:r>
          </w:p>
          <w:p w:rsidR="00612780" w:rsidRPr="00D51A68" w:rsidRDefault="00612780" w:rsidP="00612780">
            <w:pPr>
              <w:autoSpaceDE w:val="0"/>
              <w:autoSpaceDN w:val="0"/>
              <w:adjustRightInd w:val="0"/>
              <w:spacing w:before="0" w:after="0"/>
              <w:jc w:val="left"/>
              <w:rPr>
                <w:rFonts w:ascii="Times New Roman" w:hAnsi="Times New Roman"/>
                <w:sz w:val="24"/>
              </w:rPr>
            </w:pPr>
          </w:p>
          <w:p w:rsidR="00612780" w:rsidRPr="00D51A68" w:rsidRDefault="00612780" w:rsidP="00612780">
            <w:pPr>
              <w:autoSpaceDE w:val="0"/>
              <w:autoSpaceDN w:val="0"/>
              <w:adjustRightInd w:val="0"/>
              <w:spacing w:before="0" w:after="0"/>
              <w:jc w:val="left"/>
              <w:rPr>
                <w:rFonts w:ascii="Times New Roman" w:hAnsi="Times New Roman"/>
                <w:sz w:val="24"/>
              </w:rPr>
            </w:pPr>
            <w:r w:rsidRPr="00D51A68">
              <w:rPr>
                <w:rFonts w:ascii="Times New Roman" w:hAnsi="Times New Roman"/>
                <w:sz w:val="24"/>
              </w:rPr>
              <w:t xml:space="preserve">Questa colonna deve essere compilata obbligatoriamente soltanto dagli enti che applicano il metodo IRB alle posizioni verso la cartolarizzazione (e che pertanto indicano </w:t>
            </w:r>
            <w:r w:rsidR="0009277C" w:rsidRPr="00D51A68">
              <w:rPr>
                <w:rFonts w:ascii="Times New Roman" w:hAnsi="Times New Roman"/>
                <w:sz w:val="24"/>
              </w:rPr>
              <w:t>“</w:t>
            </w:r>
            <w:r w:rsidRPr="00D51A68">
              <w:rPr>
                <w:rFonts w:ascii="Times New Roman" w:hAnsi="Times New Roman"/>
                <w:sz w:val="24"/>
              </w:rPr>
              <w:t>I</w:t>
            </w:r>
            <w:r w:rsidR="0009277C" w:rsidRPr="00D51A68">
              <w:rPr>
                <w:rFonts w:ascii="Times New Roman" w:hAnsi="Times New Roman"/>
                <w:sz w:val="24"/>
              </w:rPr>
              <w:t>”</w:t>
            </w:r>
            <w:r w:rsidRPr="00D51A68">
              <w:rPr>
                <w:rFonts w:ascii="Times New Roman" w:hAnsi="Times New Roman"/>
                <w:sz w:val="24"/>
              </w:rPr>
              <w:t xml:space="preserve"> nella colonna 170). Gli enti segnalano il numero effettivo di esposizioni. </w:t>
            </w: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Questa colonna non è compilata per la cartolarizzazione di passività o quando i requisiti di fondi propri sono basati sulle esposizioni cartolarizzate (nella cartolarizzazione di attività), né se il soggetto segnalante non detiene alcuna posizione nella cartolarizzazione. Gli investitori non compilano questa colonna.</w:t>
            </w:r>
          </w:p>
          <w:p w:rsidR="00612780" w:rsidRPr="00D51A68" w:rsidRDefault="00612780" w:rsidP="00612780">
            <w:pPr>
              <w:autoSpaceDE w:val="0"/>
              <w:autoSpaceDN w:val="0"/>
              <w:adjustRightInd w:val="0"/>
              <w:spacing w:before="0" w:after="0"/>
              <w:jc w:val="left"/>
              <w:rPr>
                <w:rFonts w:ascii="Times New Roman" w:hAnsi="Times New Roman"/>
                <w:sz w:val="24"/>
              </w:rPr>
            </w:pPr>
          </w:p>
        </w:tc>
      </w:tr>
      <w:tr w:rsidR="00612780" w:rsidRPr="00D51A68" w:rsidTr="00672D2A">
        <w:tc>
          <w:tcPr>
            <w:tcW w:w="1101" w:type="dxa"/>
            <w:shd w:val="clear" w:color="auto" w:fill="auto"/>
          </w:tcPr>
          <w:p w:rsidR="00612780" w:rsidRPr="00D51A68" w:rsidDel="00A749EA" w:rsidRDefault="00612780" w:rsidP="00612780">
            <w:pPr>
              <w:autoSpaceDE w:val="0"/>
              <w:autoSpaceDN w:val="0"/>
              <w:adjustRightInd w:val="0"/>
              <w:spacing w:before="0" w:after="0"/>
              <w:rPr>
                <w:rFonts w:ascii="Times New Roman" w:hAnsi="Times New Roman"/>
                <w:bCs/>
                <w:sz w:val="24"/>
              </w:rPr>
            </w:pPr>
            <w:r w:rsidRPr="00D51A68">
              <w:rPr>
                <w:rFonts w:ascii="Times New Roman" w:hAnsi="Times New Roman"/>
                <w:sz w:val="24"/>
              </w:rPr>
              <w:t>190</w:t>
            </w:r>
          </w:p>
        </w:tc>
        <w:tc>
          <w:tcPr>
            <w:tcW w:w="7903" w:type="dxa"/>
            <w:shd w:val="clear" w:color="auto" w:fill="auto"/>
          </w:tcPr>
          <w:p w:rsidR="00612780" w:rsidRPr="00D51A68" w:rsidRDefault="00612780" w:rsidP="00612780">
            <w:pPr>
              <w:spacing w:before="0" w:after="0"/>
              <w:jc w:val="left"/>
              <w:rPr>
                <w:rFonts w:ascii="Times New Roman" w:hAnsi="Times New Roman"/>
                <w:b/>
                <w:sz w:val="24"/>
                <w:u w:val="single"/>
              </w:rPr>
            </w:pPr>
            <w:r w:rsidRPr="00D51A68">
              <w:rPr>
                <w:rFonts w:ascii="Times New Roman" w:hAnsi="Times New Roman"/>
                <w:b/>
                <w:sz w:val="24"/>
                <w:u w:val="single"/>
              </w:rPr>
              <w:t>PAESE</w:t>
            </w:r>
          </w:p>
          <w:p w:rsidR="00612780" w:rsidRPr="00D51A68" w:rsidRDefault="00612780" w:rsidP="00612780">
            <w:pPr>
              <w:spacing w:before="0" w:after="0"/>
              <w:jc w:val="left"/>
              <w:rPr>
                <w:rFonts w:ascii="Times New Roman" w:hAnsi="Times New Roman"/>
                <w:sz w:val="24"/>
              </w:rPr>
            </w:pPr>
          </w:p>
          <w:p w:rsidR="00612780" w:rsidRPr="00D51A68" w:rsidRDefault="00612780" w:rsidP="00612780">
            <w:pPr>
              <w:spacing w:before="0" w:after="0"/>
              <w:rPr>
                <w:rFonts w:ascii="Times New Roman" w:hAnsi="Times New Roman"/>
                <w:sz w:val="24"/>
              </w:rPr>
            </w:pPr>
            <w:r w:rsidRPr="00D51A68">
              <w:rPr>
                <w:rFonts w:ascii="Times New Roman" w:hAnsi="Times New Roman"/>
                <w:sz w:val="24"/>
              </w:rPr>
              <w:t>È inserito il codice (ISO 3166-1 alpha-2) del paese di origine del sottostante finale dell</w:t>
            </w:r>
            <w:r w:rsidR="0009277C" w:rsidRPr="00D51A68">
              <w:rPr>
                <w:rFonts w:ascii="Times New Roman" w:hAnsi="Times New Roman"/>
                <w:sz w:val="24"/>
              </w:rPr>
              <w:t>’</w:t>
            </w:r>
            <w:r w:rsidRPr="00D51A68">
              <w:rPr>
                <w:rFonts w:ascii="Times New Roman" w:hAnsi="Times New Roman"/>
                <w:sz w:val="24"/>
              </w:rPr>
              <w:t>operazione, ossia il paese del debitore diretto delle esposizioni originarie cartolarizzate (metodo look-through). Se il pool delle cartolarizzazioni comprende più paesi, l</w:t>
            </w:r>
            <w:r w:rsidR="0009277C" w:rsidRPr="00D51A68">
              <w:rPr>
                <w:rFonts w:ascii="Times New Roman" w:hAnsi="Times New Roman"/>
                <w:sz w:val="24"/>
              </w:rPr>
              <w:t>’</w:t>
            </w:r>
            <w:r w:rsidRPr="00D51A68">
              <w:rPr>
                <w:rFonts w:ascii="Times New Roman" w:hAnsi="Times New Roman"/>
                <w:sz w:val="24"/>
              </w:rPr>
              <w:t>ente segnala il paese più importante. Se nessun paese supera la soglia del 20</w:t>
            </w:r>
            <w:r w:rsidR="0009277C" w:rsidRPr="00D51A68">
              <w:rPr>
                <w:rFonts w:ascii="Times New Roman" w:hAnsi="Times New Roman"/>
                <w:sz w:val="24"/>
              </w:rPr>
              <w:t>%</w:t>
            </w:r>
            <w:r w:rsidRPr="00D51A68">
              <w:rPr>
                <w:rFonts w:ascii="Times New Roman" w:hAnsi="Times New Roman"/>
                <w:sz w:val="24"/>
              </w:rPr>
              <w:t xml:space="preserve"> basata sull</w:t>
            </w:r>
            <w:r w:rsidR="0009277C" w:rsidRPr="00D51A68">
              <w:rPr>
                <w:rFonts w:ascii="Times New Roman" w:hAnsi="Times New Roman"/>
                <w:sz w:val="24"/>
              </w:rPr>
              <w:t>’</w:t>
            </w:r>
            <w:r w:rsidRPr="00D51A68">
              <w:rPr>
                <w:rFonts w:ascii="Times New Roman" w:hAnsi="Times New Roman"/>
                <w:sz w:val="24"/>
              </w:rPr>
              <w:t xml:space="preserve">importo delle attività/passività, si indica </w:t>
            </w:r>
            <w:r w:rsidR="0009277C" w:rsidRPr="00D51A68">
              <w:rPr>
                <w:rFonts w:ascii="Times New Roman" w:hAnsi="Times New Roman"/>
                <w:sz w:val="24"/>
              </w:rPr>
              <w:t>“</w:t>
            </w:r>
            <w:r w:rsidRPr="00D51A68">
              <w:rPr>
                <w:rFonts w:ascii="Times New Roman" w:hAnsi="Times New Roman"/>
                <w:sz w:val="24"/>
              </w:rPr>
              <w:t>altri paesi</w:t>
            </w:r>
            <w:r w:rsidR="0009277C" w:rsidRPr="00D51A68">
              <w:rPr>
                <w:rFonts w:ascii="Times New Roman" w:hAnsi="Times New Roman"/>
                <w:sz w:val="24"/>
              </w:rPr>
              <w:t>”</w:t>
            </w:r>
            <w:r w:rsidRPr="00D51A68">
              <w:rPr>
                <w:rFonts w:ascii="Times New Roman" w:hAnsi="Times New Roman"/>
                <w:sz w:val="24"/>
              </w:rPr>
              <w:t>.</w:t>
            </w:r>
          </w:p>
          <w:p w:rsidR="00612780" w:rsidRPr="00D51A68" w:rsidRDefault="00612780" w:rsidP="00612780">
            <w:pPr>
              <w:spacing w:before="0" w:after="0"/>
              <w:rPr>
                <w:rFonts w:ascii="Times New Roman" w:hAnsi="Times New Roman"/>
                <w:sz w:val="24"/>
              </w:rPr>
            </w:pPr>
          </w:p>
        </w:tc>
      </w:tr>
      <w:tr w:rsidR="00612780" w:rsidRPr="00D51A68" w:rsidTr="00672D2A">
        <w:tc>
          <w:tcPr>
            <w:tcW w:w="1101" w:type="dxa"/>
          </w:tcPr>
          <w:p w:rsidR="00612780" w:rsidRPr="00D51A68" w:rsidRDefault="00612780" w:rsidP="00612780">
            <w:pPr>
              <w:autoSpaceDE w:val="0"/>
              <w:autoSpaceDN w:val="0"/>
              <w:adjustRightInd w:val="0"/>
              <w:spacing w:before="0" w:after="0"/>
              <w:rPr>
                <w:rFonts w:ascii="Times New Roman" w:hAnsi="Times New Roman"/>
                <w:bCs/>
                <w:sz w:val="24"/>
                <w:highlight w:val="yellow"/>
              </w:rPr>
            </w:pPr>
            <w:r w:rsidRPr="00D51A68">
              <w:rPr>
                <w:rFonts w:ascii="Times New Roman" w:hAnsi="Times New Roman"/>
                <w:sz w:val="24"/>
              </w:rPr>
              <w:t>200</w:t>
            </w:r>
          </w:p>
        </w:tc>
        <w:tc>
          <w:tcPr>
            <w:tcW w:w="7903" w:type="dxa"/>
          </w:tcPr>
          <w:p w:rsidR="00612780" w:rsidRPr="00D51A68" w:rsidRDefault="00612780" w:rsidP="00612780">
            <w:pPr>
              <w:spacing w:before="0" w:after="0"/>
              <w:jc w:val="left"/>
              <w:rPr>
                <w:rFonts w:ascii="Times New Roman" w:hAnsi="Times New Roman"/>
                <w:b/>
                <w:sz w:val="24"/>
                <w:u w:val="single"/>
              </w:rPr>
            </w:pPr>
            <w:r w:rsidRPr="00D51A68">
              <w:rPr>
                <w:rFonts w:ascii="Times New Roman" w:hAnsi="Times New Roman"/>
                <w:b/>
                <w:sz w:val="24"/>
                <w:u w:val="single"/>
              </w:rPr>
              <w:t xml:space="preserve">ELGD (%) </w:t>
            </w:r>
          </w:p>
          <w:p w:rsidR="00612780" w:rsidRPr="00D51A68" w:rsidRDefault="00612780" w:rsidP="00612780">
            <w:pPr>
              <w:spacing w:before="0" w:after="0"/>
              <w:jc w:val="left"/>
              <w:rPr>
                <w:rFonts w:ascii="Times New Roman" w:hAnsi="Times New Roman"/>
                <w:sz w:val="24"/>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La perdita in caso di default media ponderata per l</w:t>
            </w:r>
            <w:r w:rsidR="0009277C" w:rsidRPr="00D51A68">
              <w:rPr>
                <w:rFonts w:ascii="Times New Roman" w:hAnsi="Times New Roman"/>
                <w:sz w:val="24"/>
              </w:rPr>
              <w:t>’</w:t>
            </w:r>
            <w:r w:rsidRPr="00D51A68">
              <w:rPr>
                <w:rFonts w:ascii="Times New Roman" w:hAnsi="Times New Roman"/>
                <w:sz w:val="24"/>
              </w:rPr>
              <w:t xml:space="preserve">esposizione (ELGD) deve essere segnalata soltanto dagli enti che applicano il metodo della formula di vigilanza (e che pertanto indicano </w:t>
            </w:r>
            <w:r w:rsidR="0009277C" w:rsidRPr="00D51A68">
              <w:rPr>
                <w:rFonts w:ascii="Times New Roman" w:hAnsi="Times New Roman"/>
                <w:sz w:val="24"/>
              </w:rPr>
              <w:t>“</w:t>
            </w:r>
            <w:r w:rsidRPr="00D51A68">
              <w:rPr>
                <w:rFonts w:ascii="Times New Roman" w:hAnsi="Times New Roman"/>
                <w:sz w:val="24"/>
              </w:rPr>
              <w:t>I</w:t>
            </w:r>
            <w:r w:rsidR="0009277C" w:rsidRPr="00D51A68">
              <w:rPr>
                <w:rFonts w:ascii="Times New Roman" w:hAnsi="Times New Roman"/>
                <w:sz w:val="24"/>
              </w:rPr>
              <w:t>”</w:t>
            </w:r>
            <w:r w:rsidRPr="00D51A68">
              <w:rPr>
                <w:rFonts w:ascii="Times New Roman" w:hAnsi="Times New Roman"/>
                <w:sz w:val="24"/>
              </w:rPr>
              <w:t xml:space="preserve"> nella colonna 170). L</w:t>
            </w:r>
            <w:r w:rsidR="0009277C" w:rsidRPr="00D51A68">
              <w:rPr>
                <w:rFonts w:ascii="Times New Roman" w:hAnsi="Times New Roman"/>
                <w:sz w:val="24"/>
              </w:rPr>
              <w:t>’</w:t>
            </w:r>
            <w:r w:rsidRPr="00D51A68">
              <w:rPr>
                <w:rFonts w:ascii="Times New Roman" w:hAnsi="Times New Roman"/>
                <w:sz w:val="24"/>
              </w:rPr>
              <w:t>ELGD è calcolata ai sensi dell</w:t>
            </w:r>
            <w:r w:rsidR="0009277C" w:rsidRPr="00D51A68">
              <w:rPr>
                <w:rFonts w:ascii="Times New Roman" w:hAnsi="Times New Roman"/>
                <w:sz w:val="24"/>
              </w:rPr>
              <w:t>’</w:t>
            </w:r>
            <w:r w:rsidRPr="00D51A68">
              <w:rPr>
                <w:rFonts w:ascii="Times New Roman" w:hAnsi="Times New Roman"/>
                <w:sz w:val="24"/>
              </w:rPr>
              <w:t xml:space="preserve">articolo 262, paragrafo 1, del CRR. </w:t>
            </w: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 xml:space="preserve">Questa colonna non è compilata per la cartolarizzazione di passività o quando i </w:t>
            </w:r>
            <w:r w:rsidRPr="00D51A68">
              <w:rPr>
                <w:rFonts w:ascii="Times New Roman" w:hAnsi="Times New Roman"/>
                <w:sz w:val="24"/>
              </w:rPr>
              <w:lastRenderedPageBreak/>
              <w:t>requisiti di fondi propri sono basati sulle esposizioni cartolarizzate (nel caso di cartolarizzazione di attività), né se il soggetto segnalante non detiene alcuna posizione nella cartolarizzazione. I promotori non compilano questa colonna.</w:t>
            </w:r>
          </w:p>
          <w:p w:rsidR="00612780" w:rsidRPr="00D51A68" w:rsidRDefault="00612780" w:rsidP="00612780">
            <w:pPr>
              <w:spacing w:before="0" w:after="0"/>
              <w:jc w:val="left"/>
              <w:rPr>
                <w:rFonts w:ascii="Times New Roman" w:hAnsi="Times New Roman"/>
                <w:sz w:val="24"/>
              </w:rPr>
            </w:pPr>
          </w:p>
        </w:tc>
      </w:tr>
      <w:tr w:rsidR="00612780" w:rsidRPr="00D51A68" w:rsidTr="00672D2A">
        <w:tc>
          <w:tcPr>
            <w:tcW w:w="1101" w:type="dxa"/>
          </w:tcPr>
          <w:p w:rsidR="00612780" w:rsidRPr="00D51A68" w:rsidRDefault="00612780" w:rsidP="00612780">
            <w:pPr>
              <w:autoSpaceDE w:val="0"/>
              <w:autoSpaceDN w:val="0"/>
              <w:adjustRightInd w:val="0"/>
              <w:spacing w:before="0" w:after="0"/>
              <w:rPr>
                <w:rFonts w:ascii="Times New Roman" w:hAnsi="Times New Roman"/>
                <w:bCs/>
                <w:sz w:val="24"/>
                <w:highlight w:val="yellow"/>
              </w:rPr>
            </w:pPr>
            <w:r w:rsidRPr="00D51A68">
              <w:rPr>
                <w:rFonts w:ascii="Times New Roman" w:hAnsi="Times New Roman"/>
                <w:sz w:val="24"/>
              </w:rPr>
              <w:lastRenderedPageBreak/>
              <w:t>210</w:t>
            </w:r>
          </w:p>
        </w:tc>
        <w:tc>
          <w:tcPr>
            <w:tcW w:w="7903" w:type="dxa"/>
          </w:tcPr>
          <w:p w:rsidR="00612780" w:rsidRPr="00D51A68" w:rsidRDefault="00612780" w:rsidP="00612780">
            <w:pPr>
              <w:spacing w:before="0" w:after="0"/>
              <w:jc w:val="left"/>
              <w:rPr>
                <w:rFonts w:ascii="Times New Roman" w:hAnsi="Times New Roman"/>
                <w:b/>
                <w:sz w:val="24"/>
                <w:u w:val="single"/>
              </w:rPr>
            </w:pPr>
            <w:r w:rsidRPr="00D51A68">
              <w:rPr>
                <w:rFonts w:ascii="Times New Roman" w:hAnsi="Times New Roman"/>
                <w:b/>
                <w:sz w:val="24"/>
                <w:u w:val="single"/>
              </w:rPr>
              <w:t>(-) RETTIFICHE DI VALORE E ACCANTONAMENTI</w:t>
            </w:r>
          </w:p>
          <w:p w:rsidR="00612780" w:rsidRPr="00D51A68" w:rsidRDefault="00612780" w:rsidP="00612780">
            <w:pPr>
              <w:spacing w:before="0" w:after="0"/>
              <w:jc w:val="left"/>
              <w:rPr>
                <w:rFonts w:ascii="Times New Roman" w:hAnsi="Times New Roman"/>
                <w:sz w:val="24"/>
              </w:rPr>
            </w:pPr>
          </w:p>
          <w:p w:rsidR="00706D25" w:rsidRPr="00D51A68" w:rsidRDefault="00706D25" w:rsidP="00706D25">
            <w:pPr>
              <w:autoSpaceDE w:val="0"/>
              <w:autoSpaceDN w:val="0"/>
              <w:adjustRightInd w:val="0"/>
              <w:spacing w:before="0" w:after="0"/>
              <w:jc w:val="left"/>
              <w:rPr>
                <w:rFonts w:ascii="Times New Roman" w:hAnsi="Times New Roman"/>
                <w:sz w:val="24"/>
              </w:rPr>
            </w:pPr>
            <w:r w:rsidRPr="00D51A68">
              <w:rPr>
                <w:rFonts w:ascii="Times New Roman" w:hAnsi="Times New Roman"/>
                <w:sz w:val="24"/>
              </w:rPr>
              <w:t>Rettifiche di valore e accantonamenti (articolo 159 del CRR) relativi a perdite su crediti conformemente alla disciplina contabile applicabile all</w:t>
            </w:r>
            <w:r w:rsidR="0009277C" w:rsidRPr="00D51A68">
              <w:rPr>
                <w:rFonts w:ascii="Times New Roman" w:hAnsi="Times New Roman"/>
                <w:sz w:val="24"/>
              </w:rPr>
              <w:t>’</w:t>
            </w:r>
            <w:r w:rsidRPr="00D51A68">
              <w:rPr>
                <w:rFonts w:ascii="Times New Roman" w:hAnsi="Times New Roman"/>
                <w:sz w:val="24"/>
              </w:rPr>
              <w:t>ente segnalante. Le rettifiche di valore comprendono qualsiasi importo rilevato nel conto economico a titolo di perdite su crediti di attività finanziarie dalla loro rilevazione iniziale in bilancio (comprese le perdite dovute al rischio di credito di attività finanziarie misurate al valore equo che non sono dedotte dal valore dell</w:t>
            </w:r>
            <w:r w:rsidR="0009277C" w:rsidRPr="00D51A68">
              <w:rPr>
                <w:rFonts w:ascii="Times New Roman" w:hAnsi="Times New Roman"/>
                <w:sz w:val="24"/>
              </w:rPr>
              <w:t>’</w:t>
            </w:r>
            <w:r w:rsidRPr="00D51A68">
              <w:rPr>
                <w:rFonts w:ascii="Times New Roman" w:hAnsi="Times New Roman"/>
                <w:sz w:val="24"/>
              </w:rPr>
              <w:t>esposizione), più gli sconti sulle esposizioni acquistate in stato di default ai sensi dell</w:t>
            </w:r>
            <w:r w:rsidR="0009277C" w:rsidRPr="00D51A68">
              <w:rPr>
                <w:rFonts w:ascii="Times New Roman" w:hAnsi="Times New Roman"/>
                <w:sz w:val="24"/>
              </w:rPr>
              <w:t>’</w:t>
            </w:r>
            <w:r w:rsidRPr="00D51A68">
              <w:rPr>
                <w:rFonts w:ascii="Times New Roman" w:hAnsi="Times New Roman"/>
                <w:sz w:val="24"/>
              </w:rPr>
              <w:t>articolo 166, paragrafo 1, del CRR. Gli accantonamenti comprendono gli importi accumulati delle perdite su crediti negli elementi fuori bilancio.</w:t>
            </w:r>
          </w:p>
          <w:p w:rsidR="00612780" w:rsidRPr="00D51A68" w:rsidRDefault="00612780" w:rsidP="00612780">
            <w:pPr>
              <w:autoSpaceDE w:val="0"/>
              <w:autoSpaceDN w:val="0"/>
              <w:adjustRightInd w:val="0"/>
              <w:spacing w:before="0" w:after="0"/>
              <w:jc w:val="left"/>
              <w:rPr>
                <w:rFonts w:ascii="Times New Roman" w:hAnsi="Times New Roman"/>
                <w:sz w:val="24"/>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Questa colonna contiene informazioni sulle rettifiche di valore e gli accantonamenti applicati alle esposizioni cartolarizzate. Questa colonna non è compilata per la cartolarizzazione di passività.</w:t>
            </w:r>
          </w:p>
          <w:p w:rsidR="00612780" w:rsidRPr="00D51A68" w:rsidRDefault="00612780" w:rsidP="00612780">
            <w:pPr>
              <w:autoSpaceDE w:val="0"/>
              <w:autoSpaceDN w:val="0"/>
              <w:adjustRightInd w:val="0"/>
              <w:spacing w:before="0" w:after="0"/>
              <w:rPr>
                <w:rFonts w:ascii="Times New Roman" w:hAnsi="Times New Roman"/>
                <w:sz w:val="24"/>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 xml:space="preserve">Questa informazione è segnalata anche se il soggetto segnalante non detiene alcuna posizione nella cartolarizzazione. </w:t>
            </w:r>
          </w:p>
          <w:p w:rsidR="00612780" w:rsidRPr="00D51A68" w:rsidRDefault="00612780" w:rsidP="00612780">
            <w:pPr>
              <w:autoSpaceDE w:val="0"/>
              <w:autoSpaceDN w:val="0"/>
              <w:adjustRightInd w:val="0"/>
              <w:spacing w:before="0" w:after="0"/>
              <w:rPr>
                <w:rFonts w:ascii="Times New Roman" w:hAnsi="Times New Roman"/>
                <w:sz w:val="24"/>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I promotori non compilano questa colonna.</w:t>
            </w:r>
          </w:p>
          <w:p w:rsidR="00612780" w:rsidRPr="00D51A68" w:rsidRDefault="00612780" w:rsidP="00612780">
            <w:pPr>
              <w:autoSpaceDE w:val="0"/>
              <w:autoSpaceDN w:val="0"/>
              <w:adjustRightInd w:val="0"/>
              <w:spacing w:before="0" w:after="0"/>
              <w:jc w:val="left"/>
              <w:rPr>
                <w:rFonts w:ascii="Times New Roman" w:hAnsi="Times New Roman"/>
                <w:sz w:val="24"/>
              </w:rPr>
            </w:pPr>
          </w:p>
        </w:tc>
      </w:tr>
      <w:tr w:rsidR="00612780" w:rsidRPr="00D51A68" w:rsidTr="00672D2A">
        <w:tc>
          <w:tcPr>
            <w:tcW w:w="1101" w:type="dxa"/>
          </w:tcPr>
          <w:p w:rsidR="00612780" w:rsidRPr="00D51A68" w:rsidRDefault="00612780" w:rsidP="00612780">
            <w:pPr>
              <w:autoSpaceDE w:val="0"/>
              <w:autoSpaceDN w:val="0"/>
              <w:adjustRightInd w:val="0"/>
              <w:spacing w:before="0" w:after="0"/>
              <w:rPr>
                <w:rFonts w:ascii="Times New Roman" w:hAnsi="Times New Roman"/>
                <w:bCs/>
                <w:sz w:val="24"/>
                <w:highlight w:val="yellow"/>
              </w:rPr>
            </w:pPr>
            <w:r w:rsidRPr="00D51A68">
              <w:rPr>
                <w:rFonts w:ascii="Times New Roman" w:hAnsi="Times New Roman"/>
                <w:sz w:val="24"/>
              </w:rPr>
              <w:t>220</w:t>
            </w:r>
          </w:p>
        </w:tc>
        <w:tc>
          <w:tcPr>
            <w:tcW w:w="7903" w:type="dxa"/>
          </w:tcPr>
          <w:p w:rsidR="00612780" w:rsidRPr="00D51A68" w:rsidRDefault="00612780" w:rsidP="00612780">
            <w:pPr>
              <w:spacing w:before="0" w:after="0"/>
              <w:jc w:val="left"/>
              <w:rPr>
                <w:rFonts w:ascii="Times New Roman" w:hAnsi="Times New Roman"/>
                <w:b/>
                <w:sz w:val="24"/>
                <w:u w:val="single"/>
              </w:rPr>
            </w:pPr>
            <w:r w:rsidRPr="00D51A68">
              <w:rPr>
                <w:rFonts w:ascii="Times New Roman" w:hAnsi="Times New Roman"/>
                <w:b/>
                <w:sz w:val="24"/>
                <w:u w:val="single"/>
              </w:rPr>
              <w:t>REQUISITI DI FONDI PROPRI PRIMA DELLA CARTOLARIZZAZIONE (%)</w:t>
            </w:r>
          </w:p>
          <w:p w:rsidR="00612780" w:rsidRPr="00D51A68" w:rsidRDefault="00612780" w:rsidP="00612780">
            <w:pPr>
              <w:spacing w:before="0" w:after="0"/>
              <w:jc w:val="left"/>
              <w:rPr>
                <w:rFonts w:ascii="Times New Roman" w:hAnsi="Times New Roman"/>
                <w:sz w:val="24"/>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Questa colonna riporta i requisiti di fondi propri che si applicherebbero al portafoglio cartolarizzato nel caso in cui non vi fosse stata alcuna cartolarizzazione, più le perdite attese associate a questi rischi (K</w:t>
            </w:r>
            <w:r w:rsidRPr="00D51A68">
              <w:rPr>
                <w:rFonts w:ascii="Times New Roman" w:hAnsi="Times New Roman"/>
                <w:sz w:val="24"/>
                <w:vertAlign w:val="subscript"/>
              </w:rPr>
              <w:t>irb</w:t>
            </w:r>
            <w:r w:rsidRPr="00D51A68">
              <w:rPr>
                <w:rFonts w:ascii="Times New Roman" w:hAnsi="Times New Roman"/>
                <w:sz w:val="24"/>
              </w:rPr>
              <w:t>), in percentuale (fino al secondo decimale) del totale delle esposizioni cartolarizzate alla data di creazione. K</w:t>
            </w:r>
            <w:r w:rsidRPr="00D51A68">
              <w:rPr>
                <w:rFonts w:ascii="Times New Roman" w:hAnsi="Times New Roman"/>
                <w:sz w:val="24"/>
                <w:vertAlign w:val="subscript"/>
              </w:rPr>
              <w:t>irb</w:t>
            </w:r>
            <w:r w:rsidRPr="00D51A68">
              <w:rPr>
                <w:rFonts w:ascii="Times New Roman" w:hAnsi="Times New Roman"/>
                <w:sz w:val="24"/>
              </w:rPr>
              <w:t xml:space="preserve"> è definito nell</w:t>
            </w:r>
            <w:r w:rsidR="0009277C" w:rsidRPr="00D51A68">
              <w:rPr>
                <w:rFonts w:ascii="Times New Roman" w:hAnsi="Times New Roman"/>
                <w:sz w:val="24"/>
              </w:rPr>
              <w:t>’</w:t>
            </w:r>
            <w:r w:rsidRPr="00D51A68">
              <w:rPr>
                <w:rFonts w:ascii="Times New Roman" w:hAnsi="Times New Roman"/>
                <w:sz w:val="24"/>
              </w:rPr>
              <w:t xml:space="preserve">articolo 242, punto 4, del CRR. </w:t>
            </w:r>
          </w:p>
          <w:p w:rsidR="00612780" w:rsidRPr="00D51A68" w:rsidRDefault="00612780" w:rsidP="00612780">
            <w:pPr>
              <w:autoSpaceDE w:val="0"/>
              <w:autoSpaceDN w:val="0"/>
              <w:adjustRightInd w:val="0"/>
              <w:spacing w:before="0" w:after="0"/>
              <w:rPr>
                <w:rFonts w:ascii="Times New Roman" w:hAnsi="Times New Roman"/>
                <w:sz w:val="24"/>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 xml:space="preserve">Questa colonna non è compilata per la cartolarizzazione di passività. Per la cartolarizzazione di attività, questa informazione è segnalata anche se il soggetto segnalante non detiene alcuna posizione nella cartolarizzazione. </w:t>
            </w:r>
          </w:p>
          <w:p w:rsidR="00612780" w:rsidRPr="00D51A68" w:rsidRDefault="00612780" w:rsidP="00612780">
            <w:pPr>
              <w:autoSpaceDE w:val="0"/>
              <w:autoSpaceDN w:val="0"/>
              <w:adjustRightInd w:val="0"/>
              <w:spacing w:before="0" w:after="0"/>
              <w:rPr>
                <w:rFonts w:ascii="Times New Roman" w:hAnsi="Times New Roman"/>
                <w:sz w:val="24"/>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I promotori non compilano questa colonna.</w:t>
            </w:r>
          </w:p>
          <w:p w:rsidR="00612780" w:rsidRPr="00D51A68" w:rsidRDefault="00612780" w:rsidP="00612780">
            <w:pPr>
              <w:autoSpaceDE w:val="0"/>
              <w:autoSpaceDN w:val="0"/>
              <w:adjustRightInd w:val="0"/>
              <w:spacing w:before="0" w:after="0"/>
              <w:jc w:val="left"/>
              <w:rPr>
                <w:rFonts w:ascii="Times New Roman" w:hAnsi="Times New Roman"/>
                <w:sz w:val="24"/>
              </w:rPr>
            </w:pPr>
          </w:p>
        </w:tc>
      </w:tr>
      <w:tr w:rsidR="00612780" w:rsidRPr="00D51A68" w:rsidTr="00672D2A">
        <w:tc>
          <w:tcPr>
            <w:tcW w:w="1101" w:type="dxa"/>
          </w:tcPr>
          <w:p w:rsidR="00612780" w:rsidRPr="00D51A68" w:rsidRDefault="00612780" w:rsidP="00612780">
            <w:pPr>
              <w:autoSpaceDE w:val="0"/>
              <w:autoSpaceDN w:val="0"/>
              <w:adjustRightInd w:val="0"/>
              <w:spacing w:before="0" w:after="0"/>
              <w:rPr>
                <w:rFonts w:ascii="Times New Roman" w:hAnsi="Times New Roman"/>
                <w:bCs/>
                <w:sz w:val="24"/>
                <w:highlight w:val="yellow"/>
              </w:rPr>
            </w:pPr>
            <w:r w:rsidRPr="00D51A68">
              <w:rPr>
                <w:rFonts w:ascii="Times New Roman" w:hAnsi="Times New Roman"/>
                <w:sz w:val="24"/>
              </w:rPr>
              <w:t>230-300</w:t>
            </w:r>
          </w:p>
        </w:tc>
        <w:tc>
          <w:tcPr>
            <w:tcW w:w="7903" w:type="dxa"/>
          </w:tcPr>
          <w:p w:rsidR="00612780" w:rsidRPr="00D51A68" w:rsidRDefault="00612780" w:rsidP="00612780">
            <w:pPr>
              <w:autoSpaceDE w:val="0"/>
              <w:autoSpaceDN w:val="0"/>
              <w:adjustRightInd w:val="0"/>
              <w:spacing w:before="0" w:after="0"/>
              <w:jc w:val="left"/>
              <w:rPr>
                <w:rFonts w:ascii="Times New Roman" w:hAnsi="Times New Roman"/>
                <w:b/>
                <w:sz w:val="24"/>
                <w:u w:val="single"/>
              </w:rPr>
            </w:pPr>
            <w:r w:rsidRPr="00D51A68">
              <w:rPr>
                <w:rFonts w:ascii="Times New Roman" w:hAnsi="Times New Roman"/>
                <w:b/>
                <w:sz w:val="24"/>
                <w:u w:val="single"/>
              </w:rPr>
              <w:t>STRUTTURA DELLA CARTOLARIZZAZIONE</w:t>
            </w:r>
          </w:p>
          <w:p w:rsidR="00612780" w:rsidRPr="00D51A68" w:rsidRDefault="00612780" w:rsidP="00612780">
            <w:pPr>
              <w:autoSpaceDE w:val="0"/>
              <w:autoSpaceDN w:val="0"/>
              <w:adjustRightInd w:val="0"/>
              <w:spacing w:before="0" w:after="0"/>
              <w:jc w:val="left"/>
              <w:rPr>
                <w:rFonts w:ascii="Times New Roman" w:hAnsi="Times New Roman"/>
                <w:sz w:val="24"/>
                <w:u w:val="single"/>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 xml:space="preserve">Questo blocco di sei colonne contiene informazioni sulla struttura della cartolarizzazione in base alle posizioni in bilancio/fuori bilancio, ai segmenti (senior/mezzanine/prime perdite) e alla scadenza. </w:t>
            </w:r>
          </w:p>
          <w:p w:rsidR="00612780" w:rsidRPr="00D51A68" w:rsidRDefault="00612780" w:rsidP="00612780">
            <w:pPr>
              <w:autoSpaceDE w:val="0"/>
              <w:autoSpaceDN w:val="0"/>
              <w:adjustRightInd w:val="0"/>
              <w:spacing w:before="0" w:after="0"/>
              <w:rPr>
                <w:rFonts w:ascii="Times New Roman" w:hAnsi="Times New Roman"/>
                <w:sz w:val="24"/>
              </w:rPr>
            </w:pPr>
          </w:p>
          <w:p w:rsidR="00612780" w:rsidRPr="00D51A68" w:rsidRDefault="00612780" w:rsidP="00612780">
            <w:pPr>
              <w:spacing w:before="0" w:after="0"/>
              <w:rPr>
                <w:rFonts w:ascii="Times New Roman" w:hAnsi="Times New Roman"/>
                <w:sz w:val="24"/>
              </w:rPr>
            </w:pPr>
            <w:r w:rsidRPr="00D51A68">
              <w:rPr>
                <w:rFonts w:ascii="Times New Roman" w:hAnsi="Times New Roman"/>
                <w:sz w:val="24"/>
              </w:rPr>
              <w:t>Per le cartolarizzazioni multi-seller, del segmento prime perdite è indicato soltanto l</w:t>
            </w:r>
            <w:r w:rsidR="0009277C" w:rsidRPr="00D51A68">
              <w:rPr>
                <w:rFonts w:ascii="Times New Roman" w:hAnsi="Times New Roman"/>
                <w:sz w:val="24"/>
              </w:rPr>
              <w:t>’</w:t>
            </w:r>
            <w:r w:rsidRPr="00D51A68">
              <w:rPr>
                <w:rFonts w:ascii="Times New Roman" w:hAnsi="Times New Roman"/>
                <w:sz w:val="24"/>
              </w:rPr>
              <w:t>importo corrispondente o attribuito all</w:t>
            </w:r>
            <w:r w:rsidR="0009277C" w:rsidRPr="00D51A68">
              <w:rPr>
                <w:rFonts w:ascii="Times New Roman" w:hAnsi="Times New Roman"/>
                <w:sz w:val="24"/>
              </w:rPr>
              <w:t>’</w:t>
            </w:r>
            <w:r w:rsidRPr="00D51A68">
              <w:rPr>
                <w:rFonts w:ascii="Times New Roman" w:hAnsi="Times New Roman"/>
                <w:sz w:val="24"/>
              </w:rPr>
              <w:t>ente segnalante.</w:t>
            </w:r>
          </w:p>
          <w:p w:rsidR="00612780" w:rsidRPr="00D51A68" w:rsidRDefault="00612780" w:rsidP="00612780">
            <w:pPr>
              <w:spacing w:before="0" w:after="0"/>
              <w:jc w:val="left"/>
              <w:rPr>
                <w:rFonts w:ascii="Times New Roman" w:hAnsi="Times New Roman"/>
                <w:sz w:val="24"/>
              </w:rPr>
            </w:pPr>
          </w:p>
        </w:tc>
      </w:tr>
      <w:tr w:rsidR="00612780" w:rsidRPr="00D51A68" w:rsidTr="00C9052E">
        <w:trPr>
          <w:cantSplit/>
        </w:trPr>
        <w:tc>
          <w:tcPr>
            <w:tcW w:w="1101" w:type="dxa"/>
          </w:tcPr>
          <w:p w:rsidR="00612780" w:rsidRPr="00D51A68" w:rsidRDefault="00612780" w:rsidP="00612780">
            <w:pPr>
              <w:autoSpaceDE w:val="0"/>
              <w:autoSpaceDN w:val="0"/>
              <w:adjustRightInd w:val="0"/>
              <w:spacing w:before="0" w:after="0"/>
              <w:rPr>
                <w:rFonts w:ascii="Times New Roman" w:hAnsi="Times New Roman"/>
                <w:sz w:val="24"/>
                <w:highlight w:val="yellow"/>
              </w:rPr>
            </w:pPr>
            <w:r w:rsidRPr="00D51A68">
              <w:rPr>
                <w:rFonts w:ascii="Times New Roman" w:hAnsi="Times New Roman"/>
                <w:sz w:val="24"/>
              </w:rPr>
              <w:lastRenderedPageBreak/>
              <w:t>230-250</w:t>
            </w:r>
          </w:p>
        </w:tc>
        <w:tc>
          <w:tcPr>
            <w:tcW w:w="7903" w:type="dxa"/>
          </w:tcPr>
          <w:p w:rsidR="00612780" w:rsidRPr="00D51A68" w:rsidRDefault="00612780" w:rsidP="00612780">
            <w:pPr>
              <w:autoSpaceDE w:val="0"/>
              <w:autoSpaceDN w:val="0"/>
              <w:adjustRightInd w:val="0"/>
              <w:spacing w:before="0" w:after="0"/>
              <w:jc w:val="left"/>
              <w:rPr>
                <w:rFonts w:ascii="Times New Roman" w:hAnsi="Times New Roman"/>
                <w:b/>
                <w:sz w:val="24"/>
                <w:u w:val="single"/>
              </w:rPr>
            </w:pPr>
            <w:r w:rsidRPr="00D51A68">
              <w:rPr>
                <w:rFonts w:ascii="Times New Roman" w:hAnsi="Times New Roman"/>
                <w:b/>
                <w:sz w:val="24"/>
                <w:u w:val="single"/>
              </w:rPr>
              <w:t>ELEMENTI IN BILANCIO</w:t>
            </w:r>
          </w:p>
          <w:p w:rsidR="00612780" w:rsidRPr="00D51A68" w:rsidRDefault="00612780" w:rsidP="00612780">
            <w:pPr>
              <w:autoSpaceDE w:val="0"/>
              <w:autoSpaceDN w:val="0"/>
              <w:adjustRightInd w:val="0"/>
              <w:spacing w:before="0" w:after="0"/>
              <w:jc w:val="left"/>
              <w:rPr>
                <w:rFonts w:ascii="Times New Roman" w:hAnsi="Times New Roman"/>
                <w:b/>
                <w:sz w:val="24"/>
                <w:u w:val="single"/>
              </w:rPr>
            </w:pPr>
          </w:p>
          <w:p w:rsidR="00612780" w:rsidRPr="00D51A68" w:rsidRDefault="00612780" w:rsidP="00612780">
            <w:pPr>
              <w:autoSpaceDE w:val="0"/>
              <w:autoSpaceDN w:val="0"/>
              <w:adjustRightInd w:val="0"/>
              <w:spacing w:before="0" w:after="0"/>
              <w:jc w:val="left"/>
              <w:rPr>
                <w:rFonts w:ascii="Times New Roman" w:hAnsi="Times New Roman"/>
                <w:sz w:val="24"/>
              </w:rPr>
            </w:pPr>
            <w:r w:rsidRPr="00D51A68">
              <w:rPr>
                <w:rFonts w:ascii="Times New Roman" w:hAnsi="Times New Roman"/>
                <w:sz w:val="24"/>
              </w:rPr>
              <w:t>Questo blocco di colonne contiene informazioni sugli elementi in bilancio ripartiti per segmento (senior/mezzanine/prime perdite).</w:t>
            </w:r>
          </w:p>
          <w:p w:rsidR="00612780" w:rsidRPr="00D51A68" w:rsidRDefault="00612780" w:rsidP="00612780">
            <w:pPr>
              <w:autoSpaceDE w:val="0"/>
              <w:autoSpaceDN w:val="0"/>
              <w:adjustRightInd w:val="0"/>
              <w:spacing w:before="0" w:after="0"/>
              <w:jc w:val="left"/>
              <w:rPr>
                <w:rFonts w:ascii="Times New Roman" w:hAnsi="Times New Roman"/>
                <w:b/>
                <w:sz w:val="24"/>
                <w:u w:val="single"/>
              </w:rPr>
            </w:pPr>
          </w:p>
        </w:tc>
      </w:tr>
      <w:tr w:rsidR="00612780" w:rsidRPr="00D51A68" w:rsidTr="00672D2A">
        <w:tc>
          <w:tcPr>
            <w:tcW w:w="1101" w:type="dxa"/>
          </w:tcPr>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230</w:t>
            </w:r>
          </w:p>
        </w:tc>
        <w:tc>
          <w:tcPr>
            <w:tcW w:w="7903" w:type="dxa"/>
          </w:tcPr>
          <w:p w:rsidR="00612780" w:rsidRPr="00D51A68" w:rsidRDefault="00612780" w:rsidP="00612780">
            <w:pPr>
              <w:autoSpaceDE w:val="0"/>
              <w:autoSpaceDN w:val="0"/>
              <w:adjustRightInd w:val="0"/>
              <w:spacing w:before="0" w:after="0"/>
              <w:jc w:val="left"/>
              <w:rPr>
                <w:rFonts w:ascii="Times New Roman" w:hAnsi="Times New Roman"/>
                <w:b/>
                <w:sz w:val="24"/>
                <w:u w:val="single"/>
              </w:rPr>
            </w:pPr>
            <w:r w:rsidRPr="00D51A68">
              <w:rPr>
                <w:rFonts w:ascii="Times New Roman" w:hAnsi="Times New Roman"/>
                <w:b/>
                <w:sz w:val="24"/>
                <w:u w:val="single"/>
              </w:rPr>
              <w:t>SENIOR</w:t>
            </w:r>
          </w:p>
          <w:p w:rsidR="00612780" w:rsidRPr="00D51A68" w:rsidRDefault="00612780" w:rsidP="00612780">
            <w:pPr>
              <w:autoSpaceDE w:val="0"/>
              <w:autoSpaceDN w:val="0"/>
              <w:adjustRightInd w:val="0"/>
              <w:spacing w:before="0" w:after="0"/>
              <w:jc w:val="left"/>
              <w:rPr>
                <w:rFonts w:ascii="Times New Roman" w:hAnsi="Times New Roman"/>
                <w:b/>
                <w:sz w:val="24"/>
                <w:u w:val="single"/>
              </w:rPr>
            </w:pPr>
          </w:p>
          <w:p w:rsidR="00A369B8" w:rsidRPr="00D51A68" w:rsidRDefault="002F1163" w:rsidP="00612780">
            <w:pPr>
              <w:autoSpaceDE w:val="0"/>
              <w:autoSpaceDN w:val="0"/>
              <w:adjustRightInd w:val="0"/>
              <w:spacing w:before="0" w:after="0"/>
              <w:jc w:val="left"/>
              <w:rPr>
                <w:rFonts w:ascii="Times New Roman" w:hAnsi="Times New Roman"/>
                <w:sz w:val="24"/>
              </w:rPr>
            </w:pPr>
            <w:r w:rsidRPr="00D51A68">
              <w:rPr>
                <w:rFonts w:ascii="Times New Roman" w:hAnsi="Times New Roman"/>
                <w:sz w:val="24"/>
              </w:rPr>
              <w:t>Nelle date di riferimento per le segnalazioni successive al 1° gennaio 2019, per le posizioni verso la cartolarizzazione i cui valori di esposizione sono calcolati conformemente al CRR: una posizione verso la cartolarizzazione ai sensi dell</w:t>
            </w:r>
            <w:r w:rsidR="0009277C" w:rsidRPr="00D51A68">
              <w:rPr>
                <w:rFonts w:ascii="Times New Roman" w:hAnsi="Times New Roman"/>
                <w:sz w:val="24"/>
              </w:rPr>
              <w:t>’</w:t>
            </w:r>
            <w:r w:rsidRPr="00D51A68">
              <w:rPr>
                <w:rFonts w:ascii="Times New Roman" w:hAnsi="Times New Roman"/>
                <w:sz w:val="24"/>
              </w:rPr>
              <w:t>articolo 242, punto 6, del CRR.</w:t>
            </w:r>
          </w:p>
          <w:p w:rsidR="00A369B8" w:rsidRPr="00D51A68" w:rsidRDefault="00A369B8" w:rsidP="00612780">
            <w:pPr>
              <w:autoSpaceDE w:val="0"/>
              <w:autoSpaceDN w:val="0"/>
              <w:adjustRightInd w:val="0"/>
              <w:spacing w:before="0" w:after="0"/>
              <w:jc w:val="left"/>
              <w:rPr>
                <w:rFonts w:ascii="Times New Roman" w:hAnsi="Times New Roman"/>
                <w:sz w:val="24"/>
              </w:rPr>
            </w:pPr>
          </w:p>
          <w:p w:rsidR="00A369B8" w:rsidRPr="00D51A68" w:rsidRDefault="00A369B8" w:rsidP="00612780">
            <w:pPr>
              <w:autoSpaceDE w:val="0"/>
              <w:autoSpaceDN w:val="0"/>
              <w:adjustRightInd w:val="0"/>
              <w:spacing w:before="0" w:after="0"/>
              <w:jc w:val="left"/>
              <w:rPr>
                <w:rFonts w:ascii="Times New Roman" w:hAnsi="Times New Roman"/>
                <w:sz w:val="24"/>
              </w:rPr>
            </w:pPr>
            <w:r w:rsidRPr="00D51A68">
              <w:rPr>
                <w:rFonts w:ascii="Times New Roman" w:hAnsi="Times New Roman"/>
                <w:sz w:val="24"/>
              </w:rPr>
              <w:t>Per tutte le altre posizioni verso la cartolarizzazione: in questa categoria sono inclusi tutti i segmenti che non possono essere classificati come mezzanine o prime perdite conformemente al CRR nella versione applicabile il 31 dicembre 2018.</w:t>
            </w:r>
          </w:p>
          <w:p w:rsidR="00612780" w:rsidRPr="00D51A68" w:rsidRDefault="00612780" w:rsidP="00612780">
            <w:pPr>
              <w:autoSpaceDE w:val="0"/>
              <w:autoSpaceDN w:val="0"/>
              <w:adjustRightInd w:val="0"/>
              <w:spacing w:before="0" w:after="0"/>
              <w:jc w:val="left"/>
              <w:rPr>
                <w:rFonts w:ascii="Times New Roman" w:hAnsi="Times New Roman"/>
                <w:b/>
                <w:sz w:val="24"/>
                <w:u w:val="single"/>
              </w:rPr>
            </w:pPr>
          </w:p>
        </w:tc>
      </w:tr>
      <w:tr w:rsidR="00612780" w:rsidRPr="00D51A68" w:rsidTr="00672D2A">
        <w:tc>
          <w:tcPr>
            <w:tcW w:w="1101" w:type="dxa"/>
          </w:tcPr>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240</w:t>
            </w:r>
          </w:p>
        </w:tc>
        <w:tc>
          <w:tcPr>
            <w:tcW w:w="7903" w:type="dxa"/>
          </w:tcPr>
          <w:p w:rsidR="00612780" w:rsidRPr="00D51A68" w:rsidRDefault="00612780" w:rsidP="00612780">
            <w:pPr>
              <w:autoSpaceDE w:val="0"/>
              <w:autoSpaceDN w:val="0"/>
              <w:adjustRightInd w:val="0"/>
              <w:spacing w:before="0" w:after="0"/>
              <w:jc w:val="left"/>
              <w:rPr>
                <w:rFonts w:ascii="Times New Roman" w:hAnsi="Times New Roman"/>
                <w:b/>
                <w:sz w:val="24"/>
                <w:u w:val="single"/>
              </w:rPr>
            </w:pPr>
            <w:r w:rsidRPr="00D51A68">
              <w:rPr>
                <w:rFonts w:ascii="Times New Roman" w:hAnsi="Times New Roman"/>
                <w:b/>
                <w:sz w:val="24"/>
                <w:u w:val="single"/>
              </w:rPr>
              <w:t>MEZZANINE</w:t>
            </w:r>
          </w:p>
          <w:p w:rsidR="00612780" w:rsidRPr="00D51A68" w:rsidRDefault="00612780" w:rsidP="00612780">
            <w:pPr>
              <w:autoSpaceDE w:val="0"/>
              <w:autoSpaceDN w:val="0"/>
              <w:adjustRightInd w:val="0"/>
              <w:spacing w:before="0" w:after="0"/>
              <w:jc w:val="left"/>
              <w:rPr>
                <w:rFonts w:ascii="Times New Roman" w:hAnsi="Times New Roman"/>
                <w:b/>
                <w:sz w:val="24"/>
                <w:u w:val="single"/>
              </w:rPr>
            </w:pPr>
          </w:p>
          <w:p w:rsidR="00A369B8" w:rsidRPr="00D51A68" w:rsidRDefault="002F1163" w:rsidP="00612780">
            <w:pPr>
              <w:autoSpaceDE w:val="0"/>
              <w:autoSpaceDN w:val="0"/>
              <w:adjustRightInd w:val="0"/>
              <w:spacing w:before="0" w:after="0"/>
              <w:jc w:val="left"/>
              <w:rPr>
                <w:rFonts w:ascii="Times New Roman" w:hAnsi="Times New Roman"/>
                <w:sz w:val="24"/>
              </w:rPr>
            </w:pPr>
            <w:r w:rsidRPr="00D51A68">
              <w:rPr>
                <w:rFonts w:ascii="Times New Roman" w:hAnsi="Times New Roman"/>
                <w:sz w:val="24"/>
              </w:rPr>
              <w:t>Nelle date di riferimento per le segnalazioni successive al 1° gennaio 2019, per le posizioni verso la cartolarizzazione i cui valori di esposizione sono calcolati conformemente al CRR:</w:t>
            </w:r>
          </w:p>
          <w:p w:rsidR="00A369B8" w:rsidRPr="00D51A68" w:rsidRDefault="00A369B8" w:rsidP="001D5403">
            <w:pPr>
              <w:pStyle w:val="ListParagraph"/>
              <w:numPr>
                <w:ilvl w:val="0"/>
                <w:numId w:val="38"/>
              </w:numPr>
              <w:autoSpaceDE w:val="0"/>
              <w:autoSpaceDN w:val="0"/>
              <w:adjustRightInd w:val="0"/>
              <w:spacing w:before="0" w:after="0"/>
              <w:jc w:val="left"/>
              <w:rPr>
                <w:rFonts w:ascii="Times New Roman" w:hAnsi="Times New Roman"/>
                <w:sz w:val="24"/>
              </w:rPr>
            </w:pPr>
            <w:r w:rsidRPr="00D51A68">
              <w:rPr>
                <w:rFonts w:ascii="Times New Roman" w:hAnsi="Times New Roman"/>
                <w:sz w:val="24"/>
              </w:rPr>
              <w:t>tutte le posizioni ai sensi dell</w:t>
            </w:r>
            <w:r w:rsidR="0009277C" w:rsidRPr="00D51A68">
              <w:rPr>
                <w:rFonts w:ascii="Times New Roman" w:hAnsi="Times New Roman"/>
                <w:sz w:val="24"/>
              </w:rPr>
              <w:t>’</w:t>
            </w:r>
            <w:r w:rsidRPr="00D51A68">
              <w:rPr>
                <w:rFonts w:ascii="Times New Roman" w:hAnsi="Times New Roman"/>
                <w:sz w:val="24"/>
              </w:rPr>
              <w:t>articolo 242, punto 18, del CRR;</w:t>
            </w:r>
          </w:p>
          <w:p w:rsidR="00A369B8" w:rsidRPr="00D51A68" w:rsidRDefault="00A369B8" w:rsidP="001D5403">
            <w:pPr>
              <w:pStyle w:val="ListParagraph"/>
              <w:numPr>
                <w:ilvl w:val="0"/>
                <w:numId w:val="38"/>
              </w:numPr>
              <w:autoSpaceDE w:val="0"/>
              <w:autoSpaceDN w:val="0"/>
              <w:adjustRightInd w:val="0"/>
              <w:spacing w:before="0" w:after="0"/>
              <w:jc w:val="left"/>
              <w:rPr>
                <w:rFonts w:ascii="Times New Roman" w:hAnsi="Times New Roman"/>
                <w:sz w:val="24"/>
              </w:rPr>
            </w:pPr>
            <w:r w:rsidRPr="00D51A68">
              <w:rPr>
                <w:rFonts w:ascii="Times New Roman" w:hAnsi="Times New Roman"/>
                <w:sz w:val="24"/>
              </w:rPr>
              <w:t>tutte le posizioni che non sono soggette all</w:t>
            </w:r>
            <w:r w:rsidR="0009277C" w:rsidRPr="00D51A68">
              <w:rPr>
                <w:rFonts w:ascii="Times New Roman" w:hAnsi="Times New Roman"/>
                <w:sz w:val="24"/>
              </w:rPr>
              <w:t>’</w:t>
            </w:r>
            <w:r w:rsidRPr="00D51A68">
              <w:rPr>
                <w:rFonts w:ascii="Times New Roman" w:hAnsi="Times New Roman"/>
                <w:sz w:val="24"/>
              </w:rPr>
              <w:t>articolo 242, punto 6 o 17, del CRR.</w:t>
            </w:r>
          </w:p>
          <w:p w:rsidR="00A369B8" w:rsidRPr="00D51A68" w:rsidRDefault="00A369B8" w:rsidP="00A369B8">
            <w:pPr>
              <w:autoSpaceDE w:val="0"/>
              <w:autoSpaceDN w:val="0"/>
              <w:adjustRightInd w:val="0"/>
              <w:spacing w:before="0" w:after="0"/>
              <w:jc w:val="left"/>
              <w:rPr>
                <w:rFonts w:ascii="Times New Roman" w:hAnsi="Times New Roman"/>
                <w:sz w:val="24"/>
              </w:rPr>
            </w:pPr>
          </w:p>
          <w:p w:rsidR="00612780" w:rsidRPr="00D51A68" w:rsidRDefault="00A369B8" w:rsidP="00612780">
            <w:pPr>
              <w:autoSpaceDE w:val="0"/>
              <w:autoSpaceDN w:val="0"/>
              <w:adjustRightInd w:val="0"/>
              <w:spacing w:before="0" w:after="0"/>
              <w:jc w:val="left"/>
              <w:rPr>
                <w:rFonts w:ascii="Times New Roman" w:hAnsi="Times New Roman"/>
                <w:sz w:val="24"/>
              </w:rPr>
            </w:pPr>
            <w:r w:rsidRPr="00D51A68">
              <w:rPr>
                <w:rFonts w:ascii="Times New Roman" w:hAnsi="Times New Roman"/>
                <w:sz w:val="24"/>
              </w:rPr>
              <w:t>Per tutte le altre posizioni verso la cartolarizzazione: cfr. l</w:t>
            </w:r>
            <w:r w:rsidR="0009277C" w:rsidRPr="00D51A68">
              <w:rPr>
                <w:rFonts w:ascii="Times New Roman" w:hAnsi="Times New Roman"/>
                <w:sz w:val="24"/>
              </w:rPr>
              <w:t>’</w:t>
            </w:r>
            <w:r w:rsidRPr="00D51A68">
              <w:rPr>
                <w:rFonts w:ascii="Times New Roman" w:hAnsi="Times New Roman"/>
                <w:sz w:val="24"/>
              </w:rPr>
              <w:t>articolo 243, paragrafo 3 (cartolarizzazioni tradizionali), e l</w:t>
            </w:r>
            <w:r w:rsidR="0009277C" w:rsidRPr="00D51A68">
              <w:rPr>
                <w:rFonts w:ascii="Times New Roman" w:hAnsi="Times New Roman"/>
                <w:sz w:val="24"/>
              </w:rPr>
              <w:t>’</w:t>
            </w:r>
            <w:r w:rsidRPr="00D51A68">
              <w:rPr>
                <w:rFonts w:ascii="Times New Roman" w:hAnsi="Times New Roman"/>
                <w:sz w:val="24"/>
              </w:rPr>
              <w:t>articolo 244, paragrafo 3 (cartolarizzazioni sintetiche), del CRR nella versione applicabile il 31 dicembre 2018.</w:t>
            </w:r>
          </w:p>
          <w:p w:rsidR="00612780" w:rsidRPr="00D51A68" w:rsidRDefault="00612780" w:rsidP="00612780">
            <w:pPr>
              <w:autoSpaceDE w:val="0"/>
              <w:autoSpaceDN w:val="0"/>
              <w:adjustRightInd w:val="0"/>
              <w:spacing w:before="0" w:after="0"/>
              <w:jc w:val="left"/>
              <w:rPr>
                <w:rFonts w:ascii="Times New Roman" w:hAnsi="Times New Roman"/>
                <w:sz w:val="24"/>
              </w:rPr>
            </w:pPr>
          </w:p>
        </w:tc>
      </w:tr>
      <w:tr w:rsidR="00612780" w:rsidRPr="00D51A68" w:rsidTr="00672D2A">
        <w:tc>
          <w:tcPr>
            <w:tcW w:w="1101" w:type="dxa"/>
          </w:tcPr>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250</w:t>
            </w:r>
          </w:p>
        </w:tc>
        <w:tc>
          <w:tcPr>
            <w:tcW w:w="7903" w:type="dxa"/>
          </w:tcPr>
          <w:p w:rsidR="00612780" w:rsidRPr="00D51A68" w:rsidRDefault="00612780" w:rsidP="00612780">
            <w:pPr>
              <w:autoSpaceDE w:val="0"/>
              <w:autoSpaceDN w:val="0"/>
              <w:adjustRightInd w:val="0"/>
              <w:spacing w:before="0" w:after="0"/>
              <w:jc w:val="left"/>
              <w:rPr>
                <w:rFonts w:ascii="Times New Roman" w:hAnsi="Times New Roman"/>
                <w:b/>
                <w:sz w:val="24"/>
                <w:u w:val="single"/>
              </w:rPr>
            </w:pPr>
            <w:r w:rsidRPr="00D51A68">
              <w:rPr>
                <w:rFonts w:ascii="Times New Roman" w:hAnsi="Times New Roman"/>
                <w:b/>
                <w:sz w:val="24"/>
                <w:u w:val="single"/>
              </w:rPr>
              <w:t>PRIME PERDITE</w:t>
            </w:r>
          </w:p>
          <w:p w:rsidR="00612780" w:rsidRPr="00D51A68" w:rsidRDefault="00612780" w:rsidP="00612780">
            <w:pPr>
              <w:autoSpaceDE w:val="0"/>
              <w:autoSpaceDN w:val="0"/>
              <w:adjustRightInd w:val="0"/>
              <w:spacing w:before="0" w:after="0"/>
              <w:jc w:val="left"/>
              <w:rPr>
                <w:rFonts w:ascii="Times New Roman" w:hAnsi="Times New Roman"/>
                <w:b/>
                <w:sz w:val="24"/>
                <w:u w:val="single"/>
              </w:rPr>
            </w:pPr>
          </w:p>
          <w:p w:rsidR="00A369B8" w:rsidRPr="00D51A68" w:rsidRDefault="002F1163" w:rsidP="00612780">
            <w:pPr>
              <w:autoSpaceDE w:val="0"/>
              <w:autoSpaceDN w:val="0"/>
              <w:adjustRightInd w:val="0"/>
              <w:spacing w:before="0" w:after="0"/>
              <w:jc w:val="left"/>
              <w:rPr>
                <w:rFonts w:ascii="Times New Roman" w:hAnsi="Times New Roman"/>
                <w:b/>
                <w:sz w:val="24"/>
                <w:u w:val="single"/>
              </w:rPr>
            </w:pPr>
            <w:r w:rsidRPr="00D51A68">
              <w:rPr>
                <w:rFonts w:ascii="Times New Roman" w:hAnsi="Times New Roman"/>
                <w:sz w:val="24"/>
              </w:rPr>
              <w:t>Nelle date di riferimento per le segnalazioni successive al 1° gennaio 2019, per le posizioni verso la cartolarizzazione i cui valori di esposizione sono calcolati conformemente al CRR: una posizione verso la cartolarizzazione ai sensi dell</w:t>
            </w:r>
            <w:r w:rsidR="0009277C" w:rsidRPr="00D51A68">
              <w:rPr>
                <w:rFonts w:ascii="Times New Roman" w:hAnsi="Times New Roman"/>
                <w:sz w:val="24"/>
              </w:rPr>
              <w:t>’</w:t>
            </w:r>
            <w:r w:rsidRPr="00D51A68">
              <w:rPr>
                <w:rFonts w:ascii="Times New Roman" w:hAnsi="Times New Roman"/>
                <w:sz w:val="24"/>
              </w:rPr>
              <w:t>articolo 242, punto 17, del CRR.</w:t>
            </w:r>
          </w:p>
          <w:p w:rsidR="00A369B8" w:rsidRPr="00D51A68" w:rsidRDefault="00A369B8" w:rsidP="00A369B8">
            <w:pPr>
              <w:autoSpaceDE w:val="0"/>
              <w:autoSpaceDN w:val="0"/>
              <w:adjustRightInd w:val="0"/>
              <w:spacing w:before="0" w:after="0"/>
              <w:jc w:val="left"/>
              <w:rPr>
                <w:rFonts w:ascii="Times New Roman" w:hAnsi="Times New Roman"/>
                <w:sz w:val="24"/>
              </w:rPr>
            </w:pPr>
          </w:p>
          <w:p w:rsidR="00612780" w:rsidRPr="00D51A68" w:rsidRDefault="00A369B8" w:rsidP="009068C9">
            <w:pPr>
              <w:autoSpaceDE w:val="0"/>
              <w:autoSpaceDN w:val="0"/>
              <w:adjustRightInd w:val="0"/>
              <w:spacing w:before="0" w:after="0"/>
              <w:jc w:val="left"/>
              <w:rPr>
                <w:rFonts w:ascii="Times New Roman" w:hAnsi="Times New Roman"/>
                <w:sz w:val="24"/>
              </w:rPr>
            </w:pPr>
            <w:r w:rsidRPr="00D51A68">
              <w:rPr>
                <w:rFonts w:ascii="Times New Roman" w:hAnsi="Times New Roman"/>
                <w:sz w:val="24"/>
              </w:rPr>
              <w:t>Per tutte le altre posizioni verso la cartolarizzazione: il segmento prime perdite è definito nell</w:t>
            </w:r>
            <w:r w:rsidR="0009277C" w:rsidRPr="00D51A68">
              <w:rPr>
                <w:rFonts w:ascii="Times New Roman" w:hAnsi="Times New Roman"/>
                <w:sz w:val="24"/>
              </w:rPr>
              <w:t>’</w:t>
            </w:r>
            <w:r w:rsidRPr="00D51A68">
              <w:rPr>
                <w:rFonts w:ascii="Times New Roman" w:hAnsi="Times New Roman"/>
                <w:sz w:val="24"/>
              </w:rPr>
              <w:t>articolo 242, punto 15, del CR</w:t>
            </w:r>
            <w:r w:rsidR="00C9052E" w:rsidRPr="00D51A68">
              <w:rPr>
                <w:rFonts w:ascii="Times New Roman" w:hAnsi="Times New Roman"/>
                <w:sz w:val="24"/>
              </w:rPr>
              <w:t>R nella versione applicabile il </w:t>
            </w:r>
            <w:r w:rsidRPr="00D51A68">
              <w:rPr>
                <w:rFonts w:ascii="Times New Roman" w:hAnsi="Times New Roman"/>
                <w:sz w:val="24"/>
              </w:rPr>
              <w:t>31</w:t>
            </w:r>
            <w:r w:rsidR="00C9052E" w:rsidRPr="00D51A68">
              <w:rPr>
                <w:rFonts w:ascii="Times New Roman" w:hAnsi="Times New Roman"/>
                <w:sz w:val="24"/>
              </w:rPr>
              <w:t> </w:t>
            </w:r>
            <w:r w:rsidRPr="00D51A68">
              <w:rPr>
                <w:rFonts w:ascii="Times New Roman" w:hAnsi="Times New Roman"/>
                <w:sz w:val="24"/>
              </w:rPr>
              <w:t>dicembre 2018.</w:t>
            </w:r>
          </w:p>
          <w:p w:rsidR="00612780" w:rsidRPr="00D51A68" w:rsidRDefault="00612780" w:rsidP="00612780">
            <w:pPr>
              <w:autoSpaceDE w:val="0"/>
              <w:autoSpaceDN w:val="0"/>
              <w:adjustRightInd w:val="0"/>
              <w:spacing w:before="0" w:after="0"/>
              <w:rPr>
                <w:rFonts w:ascii="Times New Roman" w:hAnsi="Times New Roman"/>
                <w:sz w:val="24"/>
              </w:rPr>
            </w:pPr>
          </w:p>
        </w:tc>
      </w:tr>
      <w:tr w:rsidR="00612780" w:rsidRPr="00D51A68" w:rsidTr="00672D2A">
        <w:tc>
          <w:tcPr>
            <w:tcW w:w="1101" w:type="dxa"/>
          </w:tcPr>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260-280</w:t>
            </w:r>
          </w:p>
        </w:tc>
        <w:tc>
          <w:tcPr>
            <w:tcW w:w="7903" w:type="dxa"/>
          </w:tcPr>
          <w:p w:rsidR="00612780" w:rsidRPr="00D51A68" w:rsidRDefault="00612780" w:rsidP="00612780">
            <w:pPr>
              <w:autoSpaceDE w:val="0"/>
              <w:autoSpaceDN w:val="0"/>
              <w:adjustRightInd w:val="0"/>
              <w:spacing w:before="0" w:after="0"/>
              <w:jc w:val="left"/>
              <w:rPr>
                <w:rFonts w:ascii="Times New Roman" w:hAnsi="Times New Roman"/>
                <w:b/>
                <w:sz w:val="24"/>
                <w:u w:val="single"/>
              </w:rPr>
            </w:pPr>
            <w:r w:rsidRPr="00D51A68">
              <w:rPr>
                <w:rFonts w:ascii="Times New Roman" w:hAnsi="Times New Roman"/>
                <w:b/>
                <w:sz w:val="24"/>
                <w:u w:val="single"/>
              </w:rPr>
              <w:t>ELEMENTI FUORI BILANCIO E DERIVATI</w:t>
            </w:r>
          </w:p>
          <w:p w:rsidR="00612780" w:rsidRPr="00D51A68" w:rsidRDefault="00612780" w:rsidP="00612780">
            <w:pPr>
              <w:autoSpaceDE w:val="0"/>
              <w:autoSpaceDN w:val="0"/>
              <w:adjustRightInd w:val="0"/>
              <w:spacing w:before="0" w:after="0"/>
              <w:jc w:val="left"/>
              <w:rPr>
                <w:rFonts w:ascii="Times New Roman" w:hAnsi="Times New Roman"/>
                <w:b/>
                <w:sz w:val="24"/>
                <w:u w:val="single"/>
              </w:rPr>
            </w:pPr>
          </w:p>
          <w:p w:rsidR="00612780" w:rsidRPr="00D51A68" w:rsidRDefault="00612780" w:rsidP="00612780">
            <w:pPr>
              <w:autoSpaceDE w:val="0"/>
              <w:autoSpaceDN w:val="0"/>
              <w:adjustRightInd w:val="0"/>
              <w:spacing w:before="0" w:after="0"/>
              <w:jc w:val="left"/>
              <w:rPr>
                <w:rFonts w:ascii="Times New Roman" w:hAnsi="Times New Roman"/>
                <w:sz w:val="24"/>
              </w:rPr>
            </w:pPr>
            <w:r w:rsidRPr="00D51A68">
              <w:rPr>
                <w:rFonts w:ascii="Times New Roman" w:hAnsi="Times New Roman"/>
                <w:sz w:val="24"/>
              </w:rPr>
              <w:t>Questo blocco di colonne contiene informazioni riguardanti gli elementi fuori bilancio e i derivati ripartiti per segmento (senior/mezzanine/prime perdite).</w:t>
            </w: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Si applicano gli stessi criteri utilizzati per gli elementi in bilancio ai fini della classificazione nei segmenti.</w:t>
            </w:r>
          </w:p>
          <w:p w:rsidR="00612780" w:rsidRPr="00D51A68" w:rsidRDefault="00612780" w:rsidP="00612780">
            <w:pPr>
              <w:autoSpaceDE w:val="0"/>
              <w:autoSpaceDN w:val="0"/>
              <w:adjustRightInd w:val="0"/>
              <w:spacing w:before="0" w:after="0"/>
              <w:jc w:val="left"/>
              <w:rPr>
                <w:rFonts w:ascii="Times New Roman" w:hAnsi="Times New Roman"/>
                <w:b/>
                <w:sz w:val="24"/>
                <w:u w:val="single"/>
              </w:rPr>
            </w:pPr>
          </w:p>
        </w:tc>
      </w:tr>
      <w:tr w:rsidR="00612780" w:rsidRPr="00D51A68" w:rsidTr="00C9052E">
        <w:trPr>
          <w:cantSplit/>
        </w:trPr>
        <w:tc>
          <w:tcPr>
            <w:tcW w:w="1101" w:type="dxa"/>
            <w:shd w:val="clear" w:color="auto" w:fill="auto"/>
          </w:tcPr>
          <w:p w:rsidR="00612780" w:rsidRPr="00D51A68" w:rsidDel="00304CB1"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lastRenderedPageBreak/>
              <w:t>290</w:t>
            </w:r>
          </w:p>
        </w:tc>
        <w:tc>
          <w:tcPr>
            <w:tcW w:w="7903" w:type="dxa"/>
            <w:shd w:val="clear" w:color="auto" w:fill="auto"/>
          </w:tcPr>
          <w:p w:rsidR="00612780" w:rsidRPr="00D51A68" w:rsidRDefault="00612780" w:rsidP="00612780">
            <w:pPr>
              <w:spacing w:before="0" w:after="0"/>
              <w:jc w:val="left"/>
              <w:rPr>
                <w:rFonts w:ascii="Times New Roman" w:hAnsi="Times New Roman"/>
                <w:b/>
                <w:sz w:val="24"/>
                <w:u w:val="single"/>
              </w:rPr>
            </w:pPr>
            <w:r w:rsidRPr="00D51A68">
              <w:rPr>
                <w:rFonts w:ascii="Times New Roman" w:hAnsi="Times New Roman"/>
                <w:b/>
                <w:sz w:val="24"/>
                <w:u w:val="single"/>
              </w:rPr>
              <w:t>PRIMA DATA DI CHIUSURA PREVEDIBILE</w:t>
            </w:r>
          </w:p>
          <w:p w:rsidR="00612780" w:rsidRPr="00D51A68" w:rsidRDefault="00612780" w:rsidP="00612780">
            <w:pPr>
              <w:spacing w:before="0" w:after="0"/>
              <w:jc w:val="left"/>
              <w:rPr>
                <w:rFonts w:ascii="Times New Roman" w:hAnsi="Times New Roman"/>
                <w:b/>
                <w:sz w:val="24"/>
                <w:u w:val="single"/>
              </w:rPr>
            </w:pPr>
          </w:p>
          <w:p w:rsidR="00612780" w:rsidRPr="00D51A68" w:rsidRDefault="00612780" w:rsidP="00612780">
            <w:pPr>
              <w:spacing w:before="0" w:after="0"/>
              <w:jc w:val="left"/>
              <w:rPr>
                <w:rFonts w:ascii="Times New Roman" w:hAnsi="Times New Roman"/>
                <w:sz w:val="24"/>
              </w:rPr>
            </w:pPr>
            <w:r w:rsidRPr="00D51A68">
              <w:rPr>
                <w:rFonts w:ascii="Times New Roman" w:hAnsi="Times New Roman"/>
                <w:sz w:val="24"/>
              </w:rPr>
              <w:t>Probabile data di chiusura dell</w:t>
            </w:r>
            <w:r w:rsidR="0009277C" w:rsidRPr="00D51A68">
              <w:rPr>
                <w:rFonts w:ascii="Times New Roman" w:hAnsi="Times New Roman"/>
                <w:sz w:val="24"/>
              </w:rPr>
              <w:t>’</w:t>
            </w:r>
            <w:r w:rsidRPr="00D51A68">
              <w:rPr>
                <w:rFonts w:ascii="Times New Roman" w:hAnsi="Times New Roman"/>
                <w:sz w:val="24"/>
              </w:rPr>
              <w:t xml:space="preserve">intera cartolarizzazione, alla luce delle clausole contrattuali e delle condizioni finanziarie attualmente attese. Di norma è la data più prossima tra quelle indicate di seguito: </w:t>
            </w:r>
          </w:p>
          <w:p w:rsidR="00612780" w:rsidRPr="00D51A68" w:rsidRDefault="00612780" w:rsidP="00612780">
            <w:pPr>
              <w:spacing w:before="0" w:after="0"/>
              <w:jc w:val="left"/>
              <w:rPr>
                <w:rFonts w:ascii="Times New Roman" w:hAnsi="Times New Roman"/>
                <w:sz w:val="24"/>
              </w:rPr>
            </w:pPr>
          </w:p>
          <w:p w:rsidR="00612780" w:rsidRPr="00D51A68" w:rsidRDefault="00612780" w:rsidP="00612780">
            <w:pPr>
              <w:spacing w:before="0" w:after="0"/>
              <w:jc w:val="left"/>
              <w:rPr>
                <w:rFonts w:ascii="Times New Roman" w:hAnsi="Times New Roman"/>
                <w:sz w:val="24"/>
              </w:rPr>
            </w:pPr>
            <w:r w:rsidRPr="00D51A68">
              <w:rPr>
                <w:rFonts w:ascii="Times New Roman" w:hAnsi="Times New Roman"/>
                <w:sz w:val="24"/>
              </w:rPr>
              <w:t>i)</w:t>
            </w:r>
            <w:r w:rsidR="00A0772B" w:rsidRPr="00D51A68">
              <w:tab/>
            </w:r>
            <w:r w:rsidRPr="00D51A68">
              <w:rPr>
                <w:rFonts w:ascii="Times New Roman" w:hAnsi="Times New Roman"/>
                <w:sz w:val="24"/>
              </w:rPr>
              <w:t>la prima data in cui può essere esercitata un</w:t>
            </w:r>
            <w:r w:rsidR="0009277C" w:rsidRPr="00D51A68">
              <w:rPr>
                <w:rFonts w:ascii="Times New Roman" w:hAnsi="Times New Roman"/>
                <w:sz w:val="24"/>
              </w:rPr>
              <w:t>’</w:t>
            </w:r>
            <w:r w:rsidRPr="00D51A68">
              <w:rPr>
                <w:rFonts w:ascii="Times New Roman" w:hAnsi="Times New Roman"/>
                <w:sz w:val="24"/>
              </w:rPr>
              <w:t>opzione clean-up call (definita nell</w:t>
            </w:r>
            <w:r w:rsidR="0009277C" w:rsidRPr="00D51A68">
              <w:rPr>
                <w:rFonts w:ascii="Times New Roman" w:hAnsi="Times New Roman"/>
                <w:sz w:val="24"/>
              </w:rPr>
              <w:t>’</w:t>
            </w:r>
            <w:r w:rsidRPr="00D51A68">
              <w:rPr>
                <w:rFonts w:ascii="Times New Roman" w:hAnsi="Times New Roman"/>
                <w:sz w:val="24"/>
              </w:rPr>
              <w:t xml:space="preserve">articolo 242, paragrafo 2, del CRR), tenendo conto della scadenza della o delle esposizioni sottostanti e del relativo tasso atteso di rimborso anticipato o di potenziali attività di rinegoziazione; </w:t>
            </w:r>
          </w:p>
          <w:p w:rsidR="00612780" w:rsidRPr="00D51A68" w:rsidRDefault="00612780" w:rsidP="00612780">
            <w:pPr>
              <w:spacing w:before="0" w:after="0"/>
              <w:jc w:val="left"/>
              <w:rPr>
                <w:rFonts w:ascii="Times New Roman" w:hAnsi="Times New Roman"/>
                <w:sz w:val="24"/>
              </w:rPr>
            </w:pPr>
          </w:p>
          <w:p w:rsidR="00612780" w:rsidRPr="00D51A68" w:rsidRDefault="00612780" w:rsidP="00612780">
            <w:pPr>
              <w:spacing w:before="0" w:after="0"/>
              <w:jc w:val="left"/>
              <w:rPr>
                <w:rFonts w:ascii="Times New Roman" w:hAnsi="Times New Roman"/>
                <w:sz w:val="24"/>
              </w:rPr>
            </w:pPr>
            <w:r w:rsidRPr="00D51A68">
              <w:rPr>
                <w:rFonts w:ascii="Times New Roman" w:hAnsi="Times New Roman"/>
                <w:sz w:val="24"/>
              </w:rPr>
              <w:t>ii)</w:t>
            </w:r>
            <w:r w:rsidR="00A0772B" w:rsidRPr="00D51A68">
              <w:tab/>
            </w:r>
            <w:r w:rsidRPr="00D51A68">
              <w:rPr>
                <w:rFonts w:ascii="Times New Roman" w:hAnsi="Times New Roman"/>
                <w:sz w:val="24"/>
              </w:rPr>
              <w:t>la prima data in cui il cedente può esercitare qualsiasi altra opzione call prevista dalle clausole contrattuali della cartolarizzazione che comporti il rimborso totale della cartolarizzazione.</w:t>
            </w:r>
          </w:p>
          <w:p w:rsidR="00612780" w:rsidRPr="00D51A68" w:rsidRDefault="00612780" w:rsidP="00612780">
            <w:pPr>
              <w:spacing w:before="0" w:after="0"/>
              <w:jc w:val="left"/>
              <w:rPr>
                <w:rFonts w:ascii="Times New Roman" w:hAnsi="Times New Roman"/>
                <w:sz w:val="24"/>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Sono indicati il giorno, il mese e l</w:t>
            </w:r>
            <w:r w:rsidR="0009277C" w:rsidRPr="00D51A68">
              <w:rPr>
                <w:rFonts w:ascii="Times New Roman" w:hAnsi="Times New Roman"/>
                <w:sz w:val="24"/>
              </w:rPr>
              <w:t>’</w:t>
            </w:r>
            <w:r w:rsidRPr="00D51A68">
              <w:rPr>
                <w:rFonts w:ascii="Times New Roman" w:hAnsi="Times New Roman"/>
                <w:sz w:val="24"/>
              </w:rPr>
              <w:t>anno della prima data di chiusura prevedibile.</w:t>
            </w:r>
            <w:r w:rsidRPr="00D51A68">
              <w:rPr>
                <w:rFonts w:ascii="Times New Roman" w:hAnsi="Times New Roman"/>
              </w:rPr>
              <w:t xml:space="preserve"> </w:t>
            </w:r>
            <w:r w:rsidRPr="00D51A68">
              <w:rPr>
                <w:rFonts w:ascii="Times New Roman" w:hAnsi="Times New Roman"/>
                <w:sz w:val="24"/>
              </w:rPr>
              <w:t>Se disponibile è indicata la data esatta, altrimenti è indicato il primo giorno del mese.</w:t>
            </w:r>
          </w:p>
          <w:p w:rsidR="00612780" w:rsidRPr="00D51A68" w:rsidRDefault="00612780" w:rsidP="00612780">
            <w:pPr>
              <w:spacing w:before="0" w:after="0"/>
              <w:jc w:val="left"/>
              <w:rPr>
                <w:rFonts w:ascii="Times New Roman" w:hAnsi="Times New Roman"/>
                <w:sz w:val="24"/>
              </w:rPr>
            </w:pPr>
          </w:p>
        </w:tc>
      </w:tr>
      <w:tr w:rsidR="00612780" w:rsidRPr="00D51A68" w:rsidTr="00672D2A">
        <w:tc>
          <w:tcPr>
            <w:tcW w:w="1101" w:type="dxa"/>
            <w:shd w:val="clear" w:color="auto" w:fill="auto"/>
          </w:tcPr>
          <w:p w:rsidR="00612780" w:rsidRPr="00D51A68" w:rsidDel="00304CB1"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300</w:t>
            </w:r>
          </w:p>
        </w:tc>
        <w:tc>
          <w:tcPr>
            <w:tcW w:w="7903" w:type="dxa"/>
            <w:shd w:val="clear" w:color="auto" w:fill="auto"/>
          </w:tcPr>
          <w:p w:rsidR="00612780" w:rsidRPr="00D51A68" w:rsidRDefault="00612780" w:rsidP="00612780">
            <w:pPr>
              <w:spacing w:before="0" w:after="0"/>
              <w:jc w:val="left"/>
              <w:rPr>
                <w:rFonts w:ascii="Times New Roman" w:hAnsi="Times New Roman"/>
                <w:b/>
                <w:sz w:val="24"/>
                <w:u w:val="single"/>
              </w:rPr>
            </w:pPr>
            <w:r w:rsidRPr="00D51A68">
              <w:rPr>
                <w:rFonts w:ascii="Times New Roman" w:hAnsi="Times New Roman"/>
                <w:b/>
                <w:sz w:val="24"/>
                <w:u w:val="single"/>
              </w:rPr>
              <w:t>DATA DI SCADENZA FINALE LEGALE</w:t>
            </w:r>
          </w:p>
          <w:p w:rsidR="00612780" w:rsidRPr="00D51A68" w:rsidRDefault="00612780" w:rsidP="00612780">
            <w:pPr>
              <w:spacing w:before="0" w:after="0"/>
              <w:jc w:val="left"/>
              <w:rPr>
                <w:rFonts w:ascii="Times New Roman" w:hAnsi="Times New Roman"/>
                <w:b/>
                <w:sz w:val="24"/>
                <w:u w:val="single"/>
              </w:rPr>
            </w:pPr>
          </w:p>
          <w:p w:rsidR="00612780" w:rsidRPr="00D51A68" w:rsidRDefault="00612780" w:rsidP="00612780">
            <w:pPr>
              <w:spacing w:before="0" w:after="0"/>
              <w:jc w:val="left"/>
              <w:rPr>
                <w:rFonts w:ascii="Times New Roman" w:hAnsi="Times New Roman"/>
                <w:sz w:val="24"/>
              </w:rPr>
            </w:pPr>
            <w:r w:rsidRPr="00D51A68">
              <w:rPr>
                <w:rFonts w:ascii="Times New Roman" w:hAnsi="Times New Roman"/>
                <w:sz w:val="24"/>
              </w:rPr>
              <w:t>Data in cui tutto il capitale e gli interessi della cartolarizzazione devono essere restituiti per legge (sulla base dei documenti dell</w:t>
            </w:r>
            <w:r w:rsidR="0009277C" w:rsidRPr="00D51A68">
              <w:rPr>
                <w:rFonts w:ascii="Times New Roman" w:hAnsi="Times New Roman"/>
                <w:sz w:val="24"/>
              </w:rPr>
              <w:t>’</w:t>
            </w:r>
            <w:r w:rsidRPr="00D51A68">
              <w:rPr>
                <w:rFonts w:ascii="Times New Roman" w:hAnsi="Times New Roman"/>
                <w:sz w:val="24"/>
              </w:rPr>
              <w:t>operazione).</w:t>
            </w:r>
          </w:p>
          <w:p w:rsidR="00612780" w:rsidRPr="00D51A68" w:rsidRDefault="00612780" w:rsidP="00612780">
            <w:pPr>
              <w:spacing w:before="0" w:after="0"/>
              <w:jc w:val="left"/>
              <w:rPr>
                <w:rFonts w:ascii="Times New Roman" w:hAnsi="Times New Roman"/>
                <w:sz w:val="24"/>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Sono indicati il giorno, il mese e l</w:t>
            </w:r>
            <w:r w:rsidR="0009277C" w:rsidRPr="00D51A68">
              <w:rPr>
                <w:rFonts w:ascii="Times New Roman" w:hAnsi="Times New Roman"/>
                <w:sz w:val="24"/>
              </w:rPr>
              <w:t>’</w:t>
            </w:r>
            <w:r w:rsidRPr="00D51A68">
              <w:rPr>
                <w:rFonts w:ascii="Times New Roman" w:hAnsi="Times New Roman"/>
                <w:sz w:val="24"/>
              </w:rPr>
              <w:t>anno della data di scadenza finale legale.</w:t>
            </w:r>
            <w:r w:rsidRPr="00D51A68">
              <w:rPr>
                <w:rFonts w:ascii="Times New Roman" w:hAnsi="Times New Roman"/>
              </w:rPr>
              <w:t xml:space="preserve"> </w:t>
            </w:r>
            <w:r w:rsidRPr="00D51A68">
              <w:rPr>
                <w:rFonts w:ascii="Times New Roman" w:hAnsi="Times New Roman"/>
                <w:sz w:val="24"/>
              </w:rPr>
              <w:t>Se disponibile è indicata la data esatta, altrimenti è indicato il primo giorno del mese.</w:t>
            </w:r>
          </w:p>
          <w:p w:rsidR="00612780" w:rsidRPr="00D51A68" w:rsidRDefault="00612780" w:rsidP="00612780">
            <w:pPr>
              <w:spacing w:before="0" w:after="0"/>
              <w:jc w:val="left"/>
              <w:rPr>
                <w:rFonts w:ascii="Times New Roman" w:hAnsi="Times New Roman"/>
                <w:sz w:val="24"/>
              </w:rPr>
            </w:pPr>
          </w:p>
        </w:tc>
      </w:tr>
      <w:tr w:rsidR="00612780" w:rsidRPr="00D51A68" w:rsidTr="00672D2A">
        <w:tc>
          <w:tcPr>
            <w:tcW w:w="1101" w:type="dxa"/>
          </w:tcPr>
          <w:p w:rsidR="00612780" w:rsidRPr="00D51A68" w:rsidRDefault="00612780" w:rsidP="00612780">
            <w:pPr>
              <w:autoSpaceDE w:val="0"/>
              <w:autoSpaceDN w:val="0"/>
              <w:adjustRightInd w:val="0"/>
              <w:spacing w:before="0" w:after="0"/>
              <w:rPr>
                <w:rFonts w:ascii="Times New Roman" w:hAnsi="Times New Roman"/>
                <w:bCs/>
                <w:sz w:val="24"/>
              </w:rPr>
            </w:pPr>
            <w:r w:rsidRPr="00D51A68">
              <w:rPr>
                <w:rFonts w:ascii="Times New Roman" w:hAnsi="Times New Roman"/>
                <w:sz w:val="24"/>
              </w:rPr>
              <w:t>310-400</w:t>
            </w:r>
          </w:p>
        </w:tc>
        <w:tc>
          <w:tcPr>
            <w:tcW w:w="7903" w:type="dxa"/>
          </w:tcPr>
          <w:p w:rsidR="00612780" w:rsidRPr="00D51A68" w:rsidRDefault="00612780" w:rsidP="00612780">
            <w:pPr>
              <w:spacing w:before="0" w:after="0"/>
              <w:jc w:val="left"/>
              <w:rPr>
                <w:rFonts w:ascii="Times New Roman" w:hAnsi="Times New Roman"/>
                <w:b/>
                <w:sz w:val="24"/>
                <w:u w:val="single"/>
              </w:rPr>
            </w:pPr>
            <w:r w:rsidRPr="00D51A68">
              <w:rPr>
                <w:rFonts w:ascii="Times New Roman" w:hAnsi="Times New Roman"/>
                <w:b/>
                <w:sz w:val="24"/>
                <w:u w:val="single"/>
              </w:rPr>
              <w:t>POSIZIONI VERSO LA CARTOLARIZZAZIONE: ESPOSIZIONE ORIGINARIA PRIMA DELL</w:t>
            </w:r>
            <w:r w:rsidR="0009277C" w:rsidRPr="00D51A68">
              <w:rPr>
                <w:rFonts w:ascii="Times New Roman" w:hAnsi="Times New Roman"/>
                <w:b/>
                <w:sz w:val="24"/>
                <w:u w:val="single"/>
              </w:rPr>
              <w:t>’</w:t>
            </w:r>
            <w:r w:rsidRPr="00D51A68">
              <w:rPr>
                <w:rFonts w:ascii="Times New Roman" w:hAnsi="Times New Roman"/>
                <w:b/>
                <w:sz w:val="24"/>
                <w:u w:val="single"/>
              </w:rPr>
              <w:t>APPLICAZIONE DEI FATTORI DI CONVERSIONE</w:t>
            </w:r>
          </w:p>
          <w:p w:rsidR="00612780" w:rsidRPr="00D51A68" w:rsidRDefault="00612780" w:rsidP="00612780">
            <w:pPr>
              <w:spacing w:before="0" w:after="0"/>
              <w:jc w:val="left"/>
              <w:rPr>
                <w:rFonts w:ascii="Times New Roman" w:hAnsi="Times New Roman"/>
                <w:sz w:val="24"/>
              </w:rPr>
            </w:pPr>
          </w:p>
          <w:p w:rsidR="00612780" w:rsidRPr="00D51A68" w:rsidRDefault="00612780" w:rsidP="00612780">
            <w:pPr>
              <w:spacing w:before="0" w:after="0"/>
              <w:rPr>
                <w:rFonts w:ascii="Times New Roman" w:hAnsi="Times New Roman"/>
                <w:sz w:val="24"/>
              </w:rPr>
            </w:pPr>
            <w:r w:rsidRPr="00D51A68">
              <w:rPr>
                <w:rFonts w:ascii="Times New Roman" w:hAnsi="Times New Roman"/>
                <w:sz w:val="24"/>
              </w:rPr>
              <w:t xml:space="preserve">Questo blocco di colonne contiene informazioni sulle posizioni verso la cartolarizzazione suddivise in posizioni in bilancio/fuori bilancio e in segmenti (senior/mezzanine/prime perdite) alla data di riferimento per le segnalazioni. </w:t>
            </w:r>
          </w:p>
          <w:p w:rsidR="00612780" w:rsidRPr="00D51A68" w:rsidRDefault="00612780" w:rsidP="00612780">
            <w:pPr>
              <w:spacing w:before="0" w:after="0"/>
              <w:jc w:val="left"/>
              <w:rPr>
                <w:rFonts w:ascii="Times New Roman" w:hAnsi="Times New Roman"/>
                <w:sz w:val="24"/>
              </w:rPr>
            </w:pPr>
          </w:p>
        </w:tc>
      </w:tr>
      <w:tr w:rsidR="00612780" w:rsidRPr="00D51A68" w:rsidTr="00672D2A">
        <w:tc>
          <w:tcPr>
            <w:tcW w:w="1101" w:type="dxa"/>
          </w:tcPr>
          <w:p w:rsidR="00612780" w:rsidRPr="00D51A68" w:rsidRDefault="00612780" w:rsidP="00612780">
            <w:pPr>
              <w:autoSpaceDE w:val="0"/>
              <w:autoSpaceDN w:val="0"/>
              <w:adjustRightInd w:val="0"/>
              <w:spacing w:before="0" w:after="0"/>
              <w:rPr>
                <w:rFonts w:ascii="Times New Roman" w:hAnsi="Times New Roman"/>
                <w:bCs/>
                <w:sz w:val="24"/>
              </w:rPr>
            </w:pPr>
            <w:r w:rsidRPr="00D51A68">
              <w:rPr>
                <w:rFonts w:ascii="Times New Roman" w:hAnsi="Times New Roman"/>
                <w:sz w:val="24"/>
              </w:rPr>
              <w:t>310-330</w:t>
            </w:r>
          </w:p>
        </w:tc>
        <w:tc>
          <w:tcPr>
            <w:tcW w:w="7903" w:type="dxa"/>
          </w:tcPr>
          <w:p w:rsidR="00612780" w:rsidRPr="00D51A68" w:rsidRDefault="00612780" w:rsidP="00612780">
            <w:pPr>
              <w:spacing w:before="0" w:after="0"/>
              <w:jc w:val="left"/>
              <w:rPr>
                <w:rFonts w:ascii="Times New Roman" w:hAnsi="Times New Roman"/>
                <w:b/>
                <w:sz w:val="24"/>
                <w:u w:val="single"/>
              </w:rPr>
            </w:pPr>
            <w:r w:rsidRPr="00D51A68">
              <w:rPr>
                <w:rFonts w:ascii="Times New Roman" w:hAnsi="Times New Roman"/>
                <w:b/>
                <w:sz w:val="24"/>
                <w:u w:val="single"/>
              </w:rPr>
              <w:t xml:space="preserve">ELEMENTI IN BILANCIO </w:t>
            </w:r>
          </w:p>
          <w:p w:rsidR="00612780" w:rsidRPr="00D51A68" w:rsidRDefault="00612780" w:rsidP="00612780">
            <w:pPr>
              <w:spacing w:before="0" w:after="0"/>
              <w:jc w:val="left"/>
              <w:rPr>
                <w:rFonts w:ascii="Times New Roman" w:hAnsi="Times New Roman"/>
                <w:sz w:val="24"/>
              </w:rPr>
            </w:pPr>
          </w:p>
          <w:p w:rsidR="00612780" w:rsidRPr="00D51A68" w:rsidRDefault="00612780" w:rsidP="00612780">
            <w:pPr>
              <w:spacing w:before="0" w:after="0"/>
              <w:jc w:val="left"/>
              <w:rPr>
                <w:rFonts w:ascii="Times New Roman" w:hAnsi="Times New Roman"/>
                <w:sz w:val="24"/>
              </w:rPr>
            </w:pPr>
            <w:r w:rsidRPr="00D51A68">
              <w:rPr>
                <w:rFonts w:ascii="Times New Roman" w:hAnsi="Times New Roman"/>
                <w:sz w:val="24"/>
              </w:rPr>
              <w:t>Si applicano gli stessi criteri utilizzati per le colonne da 230 a 250 ai fini della classificazione nei segmenti.</w:t>
            </w:r>
          </w:p>
          <w:p w:rsidR="00612780" w:rsidRPr="00D51A68" w:rsidRDefault="00612780" w:rsidP="00612780">
            <w:pPr>
              <w:spacing w:before="0" w:after="0"/>
              <w:jc w:val="left"/>
              <w:rPr>
                <w:rFonts w:ascii="Times New Roman" w:hAnsi="Times New Roman"/>
                <w:sz w:val="24"/>
              </w:rPr>
            </w:pPr>
          </w:p>
        </w:tc>
      </w:tr>
      <w:tr w:rsidR="00612780" w:rsidRPr="00D51A68" w:rsidTr="00672D2A">
        <w:tc>
          <w:tcPr>
            <w:tcW w:w="1101" w:type="dxa"/>
          </w:tcPr>
          <w:p w:rsidR="00612780" w:rsidRPr="00D51A68" w:rsidRDefault="00612780" w:rsidP="00612780">
            <w:pPr>
              <w:autoSpaceDE w:val="0"/>
              <w:autoSpaceDN w:val="0"/>
              <w:adjustRightInd w:val="0"/>
              <w:spacing w:before="0" w:after="0"/>
              <w:rPr>
                <w:rFonts w:ascii="Times New Roman" w:hAnsi="Times New Roman"/>
                <w:bCs/>
                <w:sz w:val="24"/>
              </w:rPr>
            </w:pPr>
            <w:r w:rsidRPr="00D51A68">
              <w:rPr>
                <w:rFonts w:ascii="Times New Roman" w:hAnsi="Times New Roman"/>
                <w:sz w:val="24"/>
              </w:rPr>
              <w:t>340-360</w:t>
            </w:r>
          </w:p>
        </w:tc>
        <w:tc>
          <w:tcPr>
            <w:tcW w:w="7903" w:type="dxa"/>
          </w:tcPr>
          <w:p w:rsidR="00612780" w:rsidRPr="00D51A68" w:rsidRDefault="00612780" w:rsidP="00612780">
            <w:pPr>
              <w:spacing w:before="0" w:after="0"/>
              <w:jc w:val="left"/>
              <w:rPr>
                <w:rFonts w:ascii="Times New Roman" w:hAnsi="Times New Roman"/>
                <w:b/>
                <w:sz w:val="24"/>
                <w:u w:val="single"/>
              </w:rPr>
            </w:pPr>
            <w:r w:rsidRPr="00D51A68">
              <w:rPr>
                <w:rFonts w:ascii="Times New Roman" w:hAnsi="Times New Roman"/>
                <w:b/>
                <w:sz w:val="24"/>
                <w:u w:val="single"/>
              </w:rPr>
              <w:t>ELEMENTI FUORI BILANCIO E DERIVATI</w:t>
            </w:r>
          </w:p>
          <w:p w:rsidR="00612780" w:rsidRPr="00D51A68" w:rsidRDefault="00612780" w:rsidP="00612780">
            <w:pPr>
              <w:spacing w:before="0" w:after="0"/>
              <w:jc w:val="left"/>
              <w:rPr>
                <w:rFonts w:ascii="Times New Roman" w:hAnsi="Times New Roman"/>
                <w:sz w:val="24"/>
              </w:rPr>
            </w:pPr>
          </w:p>
          <w:p w:rsidR="00612780" w:rsidRPr="00D51A68" w:rsidRDefault="00612780" w:rsidP="00612780">
            <w:pPr>
              <w:spacing w:before="0" w:after="0"/>
              <w:jc w:val="left"/>
              <w:rPr>
                <w:rFonts w:ascii="Times New Roman" w:hAnsi="Times New Roman"/>
                <w:sz w:val="24"/>
              </w:rPr>
            </w:pPr>
            <w:r w:rsidRPr="00D51A68">
              <w:rPr>
                <w:rFonts w:ascii="Times New Roman" w:hAnsi="Times New Roman"/>
                <w:sz w:val="24"/>
              </w:rPr>
              <w:t>Si applicano gli stessi criteri utilizzati per le colonne da 260 a 280 ai fini della classificazione nei segmenti.</w:t>
            </w:r>
          </w:p>
          <w:p w:rsidR="00612780" w:rsidRPr="00D51A68" w:rsidRDefault="00612780" w:rsidP="00612780">
            <w:pPr>
              <w:spacing w:before="0" w:after="0"/>
              <w:jc w:val="left"/>
              <w:rPr>
                <w:rFonts w:ascii="Times New Roman" w:hAnsi="Times New Roman"/>
                <w:sz w:val="24"/>
              </w:rPr>
            </w:pPr>
          </w:p>
        </w:tc>
      </w:tr>
      <w:tr w:rsidR="00612780" w:rsidRPr="00D51A68" w:rsidTr="00672D2A">
        <w:tc>
          <w:tcPr>
            <w:tcW w:w="1101" w:type="dxa"/>
          </w:tcPr>
          <w:p w:rsidR="00612780" w:rsidRPr="00D51A68" w:rsidRDefault="00612780" w:rsidP="00612780">
            <w:pPr>
              <w:autoSpaceDE w:val="0"/>
              <w:autoSpaceDN w:val="0"/>
              <w:adjustRightInd w:val="0"/>
              <w:spacing w:before="0" w:after="0"/>
              <w:rPr>
                <w:rFonts w:ascii="Times New Roman" w:hAnsi="Times New Roman"/>
                <w:sz w:val="24"/>
                <w:highlight w:val="yellow"/>
              </w:rPr>
            </w:pPr>
            <w:r w:rsidRPr="00D51A68">
              <w:rPr>
                <w:rFonts w:ascii="Times New Roman" w:hAnsi="Times New Roman"/>
                <w:sz w:val="24"/>
              </w:rPr>
              <w:t>370-400</w:t>
            </w:r>
          </w:p>
        </w:tc>
        <w:tc>
          <w:tcPr>
            <w:tcW w:w="7903" w:type="dxa"/>
          </w:tcPr>
          <w:p w:rsidR="00612780" w:rsidRPr="00D51A68" w:rsidRDefault="00612780" w:rsidP="00612780">
            <w:pPr>
              <w:autoSpaceDE w:val="0"/>
              <w:autoSpaceDN w:val="0"/>
              <w:adjustRightInd w:val="0"/>
              <w:spacing w:before="0" w:after="0"/>
              <w:jc w:val="left"/>
              <w:rPr>
                <w:rFonts w:ascii="Times New Roman" w:hAnsi="Times New Roman"/>
                <w:b/>
                <w:sz w:val="24"/>
                <w:u w:val="single"/>
              </w:rPr>
            </w:pPr>
            <w:r w:rsidRPr="00D51A68">
              <w:rPr>
                <w:rFonts w:ascii="Times New Roman" w:hAnsi="Times New Roman"/>
                <w:b/>
                <w:sz w:val="24"/>
                <w:u w:val="single"/>
              </w:rPr>
              <w:t>VOCI PER MEMORIA: ELEMENTI FUORI BILANCIO E DERIVATI</w:t>
            </w:r>
          </w:p>
          <w:p w:rsidR="00612780" w:rsidRPr="00D51A68" w:rsidRDefault="00612780" w:rsidP="00612780">
            <w:pPr>
              <w:autoSpaceDE w:val="0"/>
              <w:autoSpaceDN w:val="0"/>
              <w:adjustRightInd w:val="0"/>
              <w:spacing w:before="0" w:after="0"/>
              <w:jc w:val="left"/>
              <w:rPr>
                <w:rFonts w:ascii="Times New Roman" w:hAnsi="Times New Roman"/>
                <w:b/>
                <w:sz w:val="24"/>
                <w:u w:val="single"/>
              </w:rPr>
            </w:pPr>
          </w:p>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 xml:space="preserve">Questo blocco di colonne contiene informazioni aggiuntive riguardanti gli elementi fuori bilancio e i derivati totali (già segnalati nelle colonne 340-360 in </w:t>
            </w:r>
            <w:r w:rsidRPr="00D51A68">
              <w:rPr>
                <w:rFonts w:ascii="Times New Roman" w:hAnsi="Times New Roman"/>
                <w:sz w:val="24"/>
              </w:rPr>
              <w:lastRenderedPageBreak/>
              <w:t>base a una ripartizione differente).</w:t>
            </w:r>
          </w:p>
          <w:p w:rsidR="00612780" w:rsidRPr="00D51A68" w:rsidRDefault="00612780" w:rsidP="00612780">
            <w:pPr>
              <w:autoSpaceDE w:val="0"/>
              <w:autoSpaceDN w:val="0"/>
              <w:adjustRightInd w:val="0"/>
              <w:spacing w:before="0" w:after="0"/>
              <w:jc w:val="left"/>
              <w:rPr>
                <w:rFonts w:ascii="Times New Roman" w:hAnsi="Times New Roman"/>
                <w:sz w:val="24"/>
              </w:rPr>
            </w:pPr>
          </w:p>
        </w:tc>
      </w:tr>
      <w:tr w:rsidR="00612780" w:rsidRPr="00D51A68" w:rsidTr="00672D2A">
        <w:tc>
          <w:tcPr>
            <w:tcW w:w="1101" w:type="dxa"/>
          </w:tcPr>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lastRenderedPageBreak/>
              <w:t>370</w:t>
            </w:r>
          </w:p>
        </w:tc>
        <w:tc>
          <w:tcPr>
            <w:tcW w:w="7903" w:type="dxa"/>
          </w:tcPr>
          <w:p w:rsidR="00612780" w:rsidRPr="00D51A68" w:rsidRDefault="00612780" w:rsidP="00612780">
            <w:pPr>
              <w:autoSpaceDE w:val="0"/>
              <w:autoSpaceDN w:val="0"/>
              <w:adjustRightInd w:val="0"/>
              <w:spacing w:before="0" w:after="0"/>
              <w:jc w:val="left"/>
              <w:rPr>
                <w:rFonts w:ascii="Times New Roman" w:hAnsi="Times New Roman"/>
                <w:b/>
                <w:sz w:val="24"/>
                <w:u w:val="single"/>
              </w:rPr>
            </w:pPr>
            <w:r w:rsidRPr="00D51A68">
              <w:rPr>
                <w:rFonts w:ascii="Times New Roman" w:hAnsi="Times New Roman"/>
                <w:b/>
                <w:sz w:val="24"/>
                <w:u w:val="single"/>
              </w:rPr>
              <w:t>SOSTITUTI DEL CREDITO DIRETTI (DCS)</w:t>
            </w:r>
          </w:p>
          <w:p w:rsidR="00612780" w:rsidRPr="00D51A68" w:rsidRDefault="00612780" w:rsidP="00612780">
            <w:pPr>
              <w:autoSpaceDE w:val="0"/>
              <w:autoSpaceDN w:val="0"/>
              <w:adjustRightInd w:val="0"/>
              <w:spacing w:before="0" w:after="0"/>
              <w:jc w:val="left"/>
              <w:rPr>
                <w:rFonts w:ascii="Times New Roman" w:hAnsi="Times New Roman"/>
                <w:b/>
                <w:sz w:val="24"/>
                <w:u w:val="single"/>
              </w:rPr>
            </w:pPr>
          </w:p>
          <w:p w:rsidR="00612780" w:rsidRPr="00D51A68" w:rsidRDefault="00612780" w:rsidP="00612780">
            <w:pPr>
              <w:spacing w:before="0" w:after="0"/>
              <w:rPr>
                <w:rFonts w:ascii="Times New Roman" w:hAnsi="Times New Roman"/>
                <w:sz w:val="24"/>
              </w:rPr>
            </w:pPr>
            <w:r w:rsidRPr="00D51A68">
              <w:rPr>
                <w:rFonts w:ascii="Times New Roman" w:hAnsi="Times New Roman"/>
                <w:sz w:val="24"/>
              </w:rPr>
              <w:t>Questa colonna serve per le posizioni verso la cartolarizzazione detenute dal cedente e garantite tramite sostituti del credito diretti (direct credit substitutes, DCS).</w:t>
            </w:r>
          </w:p>
          <w:p w:rsidR="00612780" w:rsidRPr="00D51A68" w:rsidRDefault="00612780" w:rsidP="00612780">
            <w:pPr>
              <w:spacing w:before="0" w:after="0"/>
              <w:rPr>
                <w:rFonts w:ascii="Times New Roman" w:hAnsi="Times New Roman"/>
                <w:sz w:val="24"/>
              </w:rPr>
            </w:pPr>
          </w:p>
          <w:p w:rsidR="00612780" w:rsidRPr="00D51A68" w:rsidRDefault="00612780" w:rsidP="00612780">
            <w:pPr>
              <w:spacing w:before="0" w:after="0"/>
              <w:rPr>
                <w:rFonts w:ascii="Times New Roman" w:hAnsi="Times New Roman"/>
                <w:sz w:val="24"/>
              </w:rPr>
            </w:pPr>
            <w:r w:rsidRPr="00D51A68">
              <w:rPr>
                <w:rFonts w:ascii="Times New Roman" w:hAnsi="Times New Roman"/>
                <w:sz w:val="24"/>
              </w:rPr>
              <w:t>Conformemente all</w:t>
            </w:r>
            <w:r w:rsidR="0009277C" w:rsidRPr="00D51A68">
              <w:rPr>
                <w:rFonts w:ascii="Times New Roman" w:hAnsi="Times New Roman"/>
                <w:sz w:val="24"/>
              </w:rPr>
              <w:t>’</w:t>
            </w:r>
            <w:r w:rsidRPr="00D51A68">
              <w:rPr>
                <w:rFonts w:ascii="Times New Roman" w:hAnsi="Times New Roman"/>
                <w:sz w:val="24"/>
              </w:rPr>
              <w:t>allegato I del CRR sono considerati sostituti del credito diretti i seguenti elementi fuori bilancio a rischio pieno:</w:t>
            </w:r>
          </w:p>
          <w:p w:rsidR="00612780" w:rsidRPr="00D51A68" w:rsidRDefault="00612780" w:rsidP="00612780">
            <w:pPr>
              <w:spacing w:before="0" w:after="0"/>
              <w:rPr>
                <w:rFonts w:ascii="Times New Roman" w:hAnsi="Times New Roman"/>
                <w:sz w:val="24"/>
              </w:rPr>
            </w:pPr>
          </w:p>
          <w:p w:rsidR="00612780" w:rsidRPr="00D51A68" w:rsidRDefault="00612780" w:rsidP="00612780">
            <w:pPr>
              <w:spacing w:before="0" w:after="0"/>
              <w:rPr>
                <w:rFonts w:ascii="Times New Roman" w:hAnsi="Times New Roman"/>
                <w:i/>
                <w:sz w:val="24"/>
              </w:rPr>
            </w:pPr>
            <w:r w:rsidRPr="00D51A68">
              <w:rPr>
                <w:rFonts w:ascii="Times New Roman" w:hAnsi="Times New Roman"/>
                <w:i/>
                <w:sz w:val="24"/>
              </w:rPr>
              <w:t>- garanzie che assumono la forma di sostituti del credito;</w:t>
            </w:r>
          </w:p>
          <w:p w:rsidR="00612780" w:rsidRPr="00D51A68" w:rsidRDefault="00612780" w:rsidP="00612780">
            <w:pPr>
              <w:spacing w:before="0" w:after="0"/>
              <w:rPr>
                <w:rFonts w:ascii="Times New Roman" w:hAnsi="Times New Roman"/>
                <w:i/>
                <w:sz w:val="24"/>
              </w:rPr>
            </w:pPr>
            <w:r w:rsidRPr="00D51A68">
              <w:rPr>
                <w:rFonts w:ascii="Times New Roman" w:hAnsi="Times New Roman"/>
                <w:i/>
                <w:sz w:val="24"/>
              </w:rPr>
              <w:t>- lettere di credito standby irrevocabili che assumono la forma di sostituti del credito.</w:t>
            </w:r>
          </w:p>
          <w:p w:rsidR="00612780" w:rsidRPr="00D51A68" w:rsidRDefault="00612780" w:rsidP="00612780">
            <w:pPr>
              <w:autoSpaceDE w:val="0"/>
              <w:autoSpaceDN w:val="0"/>
              <w:adjustRightInd w:val="0"/>
              <w:spacing w:before="0" w:after="0"/>
              <w:jc w:val="left"/>
              <w:rPr>
                <w:rFonts w:ascii="Times New Roman" w:hAnsi="Times New Roman"/>
                <w:b/>
                <w:sz w:val="24"/>
                <w:u w:val="single"/>
              </w:rPr>
            </w:pPr>
          </w:p>
        </w:tc>
      </w:tr>
      <w:tr w:rsidR="00612780" w:rsidRPr="00D51A68" w:rsidTr="00672D2A">
        <w:tc>
          <w:tcPr>
            <w:tcW w:w="1101" w:type="dxa"/>
          </w:tcPr>
          <w:p w:rsidR="00612780" w:rsidRPr="00D51A68" w:rsidRDefault="00612780" w:rsidP="00612780">
            <w:pPr>
              <w:autoSpaceDE w:val="0"/>
              <w:autoSpaceDN w:val="0"/>
              <w:adjustRightInd w:val="0"/>
              <w:spacing w:before="0" w:after="0"/>
              <w:rPr>
                <w:rFonts w:ascii="Times New Roman" w:hAnsi="Times New Roman"/>
                <w:bCs/>
                <w:sz w:val="24"/>
              </w:rPr>
            </w:pPr>
            <w:r w:rsidRPr="00D51A68">
              <w:rPr>
                <w:rFonts w:ascii="Times New Roman" w:hAnsi="Times New Roman"/>
                <w:sz w:val="24"/>
              </w:rPr>
              <w:t>380</w:t>
            </w:r>
          </w:p>
        </w:tc>
        <w:tc>
          <w:tcPr>
            <w:tcW w:w="7903" w:type="dxa"/>
          </w:tcPr>
          <w:p w:rsidR="00612780" w:rsidRPr="00D51A68" w:rsidRDefault="00612780" w:rsidP="00612780">
            <w:pPr>
              <w:spacing w:before="0" w:after="0"/>
              <w:jc w:val="left"/>
              <w:rPr>
                <w:rFonts w:ascii="Times New Roman" w:hAnsi="Times New Roman"/>
                <w:b/>
                <w:sz w:val="24"/>
                <w:u w:val="single"/>
              </w:rPr>
            </w:pPr>
            <w:r w:rsidRPr="00D51A68">
              <w:rPr>
                <w:rFonts w:ascii="Times New Roman" w:hAnsi="Times New Roman"/>
                <w:b/>
                <w:sz w:val="24"/>
                <w:u w:val="single"/>
              </w:rPr>
              <w:t>IRS / CRS</w:t>
            </w:r>
          </w:p>
          <w:p w:rsidR="00612780" w:rsidRPr="00D51A68" w:rsidRDefault="00612780" w:rsidP="00612780">
            <w:pPr>
              <w:spacing w:before="0" w:after="0"/>
              <w:jc w:val="left"/>
              <w:rPr>
                <w:rFonts w:ascii="Times New Roman" w:hAnsi="Times New Roman"/>
                <w:sz w:val="24"/>
              </w:rPr>
            </w:pPr>
          </w:p>
          <w:p w:rsidR="00612780" w:rsidRPr="00D51A68" w:rsidRDefault="00612780" w:rsidP="00612780">
            <w:pPr>
              <w:spacing w:before="0" w:after="0"/>
              <w:rPr>
                <w:rFonts w:ascii="Times New Roman" w:hAnsi="Times New Roman"/>
                <w:sz w:val="24"/>
              </w:rPr>
            </w:pPr>
            <w:r w:rsidRPr="00D51A68">
              <w:rPr>
                <w:rFonts w:ascii="Times New Roman" w:hAnsi="Times New Roman"/>
                <w:sz w:val="24"/>
              </w:rPr>
              <w:t xml:space="preserve">IRS significa </w:t>
            </w:r>
            <w:r w:rsidR="0009277C" w:rsidRPr="00D51A68">
              <w:rPr>
                <w:rFonts w:ascii="Times New Roman" w:hAnsi="Times New Roman"/>
                <w:sz w:val="24"/>
              </w:rPr>
              <w:t>“</w:t>
            </w:r>
            <w:r w:rsidRPr="00D51A68">
              <w:rPr>
                <w:rFonts w:ascii="Times New Roman" w:hAnsi="Times New Roman"/>
                <w:sz w:val="24"/>
              </w:rPr>
              <w:t>contratti swap su tassi di interesse</w:t>
            </w:r>
            <w:r w:rsidR="0009277C" w:rsidRPr="00D51A68">
              <w:rPr>
                <w:rFonts w:ascii="Times New Roman" w:hAnsi="Times New Roman"/>
                <w:sz w:val="24"/>
              </w:rPr>
              <w:t>”</w:t>
            </w:r>
            <w:r w:rsidRPr="00D51A68">
              <w:rPr>
                <w:rFonts w:ascii="Times New Roman" w:hAnsi="Times New Roman"/>
                <w:sz w:val="24"/>
              </w:rPr>
              <w:t xml:space="preserve">; CRS significa </w:t>
            </w:r>
            <w:r w:rsidR="0009277C" w:rsidRPr="00D51A68">
              <w:rPr>
                <w:rFonts w:ascii="Times New Roman" w:hAnsi="Times New Roman"/>
                <w:sz w:val="24"/>
              </w:rPr>
              <w:t>“</w:t>
            </w:r>
            <w:r w:rsidRPr="00D51A68">
              <w:rPr>
                <w:rFonts w:ascii="Times New Roman" w:hAnsi="Times New Roman"/>
                <w:sz w:val="24"/>
              </w:rPr>
              <w:t>contratti swap su valuta</w:t>
            </w:r>
            <w:r w:rsidR="0009277C" w:rsidRPr="00D51A68">
              <w:rPr>
                <w:rFonts w:ascii="Times New Roman" w:hAnsi="Times New Roman"/>
                <w:sz w:val="24"/>
              </w:rPr>
              <w:t>”</w:t>
            </w:r>
            <w:r w:rsidRPr="00D51A68">
              <w:rPr>
                <w:rFonts w:ascii="Times New Roman" w:hAnsi="Times New Roman"/>
                <w:sz w:val="24"/>
              </w:rPr>
              <w:t>. Questi derivati sono elencati nell</w:t>
            </w:r>
            <w:r w:rsidR="0009277C" w:rsidRPr="00D51A68">
              <w:rPr>
                <w:rFonts w:ascii="Times New Roman" w:hAnsi="Times New Roman"/>
                <w:sz w:val="24"/>
              </w:rPr>
              <w:t>’</w:t>
            </w:r>
            <w:r w:rsidRPr="00D51A68">
              <w:rPr>
                <w:rFonts w:ascii="Times New Roman" w:hAnsi="Times New Roman"/>
                <w:sz w:val="24"/>
              </w:rPr>
              <w:t>allegato II del CRR.</w:t>
            </w:r>
          </w:p>
          <w:p w:rsidR="00612780" w:rsidRPr="00D51A68" w:rsidRDefault="00612780" w:rsidP="00612780">
            <w:pPr>
              <w:spacing w:before="0" w:after="0"/>
              <w:jc w:val="left"/>
              <w:rPr>
                <w:rFonts w:ascii="Times New Roman" w:hAnsi="Times New Roman"/>
                <w:sz w:val="24"/>
              </w:rPr>
            </w:pPr>
          </w:p>
        </w:tc>
      </w:tr>
      <w:tr w:rsidR="00612780" w:rsidRPr="00D51A68" w:rsidTr="00672D2A">
        <w:tc>
          <w:tcPr>
            <w:tcW w:w="1101" w:type="dxa"/>
          </w:tcPr>
          <w:p w:rsidR="00612780" w:rsidRPr="00D51A68" w:rsidRDefault="00612780" w:rsidP="00612780">
            <w:pPr>
              <w:autoSpaceDE w:val="0"/>
              <w:autoSpaceDN w:val="0"/>
              <w:adjustRightInd w:val="0"/>
              <w:spacing w:before="0" w:after="0"/>
              <w:rPr>
                <w:rFonts w:ascii="Times New Roman" w:hAnsi="Times New Roman"/>
                <w:bCs/>
                <w:sz w:val="24"/>
              </w:rPr>
            </w:pPr>
            <w:r w:rsidRPr="00D51A68">
              <w:rPr>
                <w:rFonts w:ascii="Times New Roman" w:hAnsi="Times New Roman"/>
                <w:sz w:val="24"/>
              </w:rPr>
              <w:t>390</w:t>
            </w:r>
          </w:p>
        </w:tc>
        <w:tc>
          <w:tcPr>
            <w:tcW w:w="7903" w:type="dxa"/>
          </w:tcPr>
          <w:p w:rsidR="00612780" w:rsidRPr="00D51A68" w:rsidRDefault="00612780" w:rsidP="00612780">
            <w:pPr>
              <w:spacing w:before="0" w:after="0"/>
              <w:jc w:val="left"/>
              <w:rPr>
                <w:rFonts w:ascii="Times New Roman" w:hAnsi="Times New Roman"/>
                <w:b/>
                <w:sz w:val="24"/>
                <w:u w:val="single"/>
              </w:rPr>
            </w:pPr>
            <w:r w:rsidRPr="00D51A68">
              <w:rPr>
                <w:rFonts w:ascii="Times New Roman" w:hAnsi="Times New Roman"/>
                <w:b/>
                <w:sz w:val="24"/>
                <w:u w:val="single"/>
              </w:rPr>
              <w:t>LINEE DI LIQUIDITÀ AMMISSIBILI</w:t>
            </w:r>
          </w:p>
          <w:p w:rsidR="00612780" w:rsidRPr="00D51A68" w:rsidRDefault="00612780" w:rsidP="00612780">
            <w:pPr>
              <w:spacing w:before="0" w:after="0"/>
              <w:jc w:val="left"/>
              <w:rPr>
                <w:rFonts w:ascii="Times New Roman" w:hAnsi="Times New Roman"/>
                <w:sz w:val="24"/>
              </w:rPr>
            </w:pPr>
          </w:p>
          <w:p w:rsidR="00612780" w:rsidRPr="00D51A68" w:rsidRDefault="00612780" w:rsidP="00612780">
            <w:pPr>
              <w:spacing w:before="0" w:after="0"/>
              <w:rPr>
                <w:rFonts w:ascii="Times New Roman" w:hAnsi="Times New Roman"/>
                <w:sz w:val="24"/>
              </w:rPr>
            </w:pPr>
            <w:r w:rsidRPr="00D51A68">
              <w:rPr>
                <w:rFonts w:ascii="Times New Roman" w:hAnsi="Times New Roman"/>
                <w:sz w:val="24"/>
              </w:rPr>
              <w:t>Le linee di liquidità, che sono definite nell</w:t>
            </w:r>
            <w:r w:rsidR="0009277C" w:rsidRPr="00D51A68">
              <w:rPr>
                <w:rFonts w:ascii="Times New Roman" w:hAnsi="Times New Roman"/>
                <w:sz w:val="24"/>
              </w:rPr>
              <w:t>’</w:t>
            </w:r>
            <w:r w:rsidRPr="00D51A68">
              <w:rPr>
                <w:rFonts w:ascii="Times New Roman" w:hAnsi="Times New Roman"/>
                <w:sz w:val="24"/>
              </w:rPr>
              <w:t>articolo 242, punto 3, del CRR, devono soddisfare le sei condizioni elencate nell</w:t>
            </w:r>
            <w:r w:rsidR="0009277C" w:rsidRPr="00D51A68">
              <w:rPr>
                <w:rFonts w:ascii="Times New Roman" w:hAnsi="Times New Roman"/>
                <w:sz w:val="24"/>
              </w:rPr>
              <w:t>’</w:t>
            </w:r>
            <w:r w:rsidRPr="00D51A68">
              <w:rPr>
                <w:rFonts w:ascii="Times New Roman" w:hAnsi="Times New Roman"/>
                <w:sz w:val="24"/>
              </w:rPr>
              <w:t>articolo 255, paragrafo 1, del CRR per poter essere considerate ammissibili (indipendentemente dal metodo applicato dall</w:t>
            </w:r>
            <w:r w:rsidR="0009277C" w:rsidRPr="00D51A68">
              <w:rPr>
                <w:rFonts w:ascii="Times New Roman" w:hAnsi="Times New Roman"/>
                <w:sz w:val="24"/>
              </w:rPr>
              <w:t>’</w:t>
            </w:r>
            <w:r w:rsidRPr="00D51A68">
              <w:rPr>
                <w:rFonts w:ascii="Times New Roman" w:hAnsi="Times New Roman"/>
                <w:sz w:val="24"/>
              </w:rPr>
              <w:t>ente — standardizzato o IRB).</w:t>
            </w:r>
          </w:p>
          <w:p w:rsidR="00612780" w:rsidRPr="00D51A68" w:rsidRDefault="00612780" w:rsidP="00612780">
            <w:pPr>
              <w:spacing w:before="0" w:after="0"/>
              <w:jc w:val="left"/>
              <w:rPr>
                <w:rFonts w:ascii="Times New Roman" w:hAnsi="Times New Roman"/>
                <w:sz w:val="24"/>
              </w:rPr>
            </w:pPr>
          </w:p>
        </w:tc>
      </w:tr>
      <w:tr w:rsidR="00612780" w:rsidRPr="00D51A68" w:rsidTr="00672D2A">
        <w:tc>
          <w:tcPr>
            <w:tcW w:w="1101" w:type="dxa"/>
          </w:tcPr>
          <w:p w:rsidR="00612780" w:rsidRPr="00D51A68" w:rsidRDefault="00612780" w:rsidP="00612780">
            <w:pPr>
              <w:autoSpaceDE w:val="0"/>
              <w:autoSpaceDN w:val="0"/>
              <w:adjustRightInd w:val="0"/>
              <w:spacing w:before="0" w:after="0"/>
              <w:rPr>
                <w:rFonts w:ascii="Times New Roman" w:hAnsi="Times New Roman"/>
                <w:bCs/>
                <w:sz w:val="24"/>
              </w:rPr>
            </w:pPr>
            <w:r w:rsidRPr="00D51A68">
              <w:rPr>
                <w:rFonts w:ascii="Times New Roman" w:hAnsi="Times New Roman"/>
                <w:sz w:val="24"/>
              </w:rPr>
              <w:t>400</w:t>
            </w:r>
          </w:p>
        </w:tc>
        <w:tc>
          <w:tcPr>
            <w:tcW w:w="7903" w:type="dxa"/>
          </w:tcPr>
          <w:p w:rsidR="00612780" w:rsidRPr="00D51A68" w:rsidRDefault="00612780" w:rsidP="00612780">
            <w:pPr>
              <w:spacing w:before="0" w:after="0"/>
              <w:jc w:val="left"/>
              <w:rPr>
                <w:rFonts w:ascii="Times New Roman" w:hAnsi="Times New Roman"/>
                <w:b/>
                <w:sz w:val="24"/>
                <w:u w:val="single"/>
              </w:rPr>
            </w:pPr>
            <w:r w:rsidRPr="00D51A68">
              <w:rPr>
                <w:rFonts w:ascii="Times New Roman" w:hAnsi="Times New Roman"/>
                <w:b/>
                <w:sz w:val="24"/>
                <w:u w:val="single"/>
              </w:rPr>
              <w:t>ALTRO (INCLUSE LE LINEE DI LIQUIDITÀ NON AMMISSIBILI)</w:t>
            </w:r>
          </w:p>
          <w:p w:rsidR="00612780" w:rsidRPr="00D51A68" w:rsidRDefault="00612780" w:rsidP="00612780">
            <w:pPr>
              <w:spacing w:before="0" w:after="0"/>
              <w:jc w:val="left"/>
              <w:rPr>
                <w:rFonts w:ascii="Times New Roman" w:hAnsi="Times New Roman"/>
                <w:sz w:val="24"/>
              </w:rPr>
            </w:pPr>
          </w:p>
          <w:p w:rsidR="00612780" w:rsidRPr="00D51A68" w:rsidRDefault="00612780" w:rsidP="00612780">
            <w:pPr>
              <w:spacing w:before="0" w:after="0"/>
              <w:rPr>
                <w:rFonts w:ascii="Times New Roman" w:hAnsi="Times New Roman"/>
                <w:sz w:val="24"/>
              </w:rPr>
            </w:pPr>
            <w:r w:rsidRPr="00D51A68">
              <w:rPr>
                <w:rFonts w:ascii="Times New Roman" w:hAnsi="Times New Roman"/>
                <w:sz w:val="24"/>
              </w:rPr>
              <w:t>Questa colonna riguarda gli elementi fuori bilancio residui, come le linee di liquidità non ammissibili (ossia le linee di liquidità che non soddisfano le condizioni di cui all</w:t>
            </w:r>
            <w:r w:rsidR="0009277C" w:rsidRPr="00D51A68">
              <w:rPr>
                <w:rFonts w:ascii="Times New Roman" w:hAnsi="Times New Roman"/>
                <w:sz w:val="24"/>
              </w:rPr>
              <w:t>’</w:t>
            </w:r>
            <w:r w:rsidRPr="00D51A68">
              <w:rPr>
                <w:rFonts w:ascii="Times New Roman" w:hAnsi="Times New Roman"/>
                <w:sz w:val="24"/>
              </w:rPr>
              <w:t>articolo 255, paragrafo 1, del CRR).</w:t>
            </w:r>
          </w:p>
          <w:p w:rsidR="00612780" w:rsidRPr="00D51A68" w:rsidRDefault="00612780" w:rsidP="00612780">
            <w:pPr>
              <w:spacing w:before="0" w:after="0"/>
              <w:jc w:val="left"/>
              <w:rPr>
                <w:rFonts w:ascii="Times New Roman" w:hAnsi="Times New Roman"/>
                <w:sz w:val="24"/>
              </w:rPr>
            </w:pPr>
          </w:p>
        </w:tc>
      </w:tr>
      <w:tr w:rsidR="00612780" w:rsidRPr="00D51A68" w:rsidTr="00672D2A">
        <w:tc>
          <w:tcPr>
            <w:tcW w:w="1101" w:type="dxa"/>
            <w:shd w:val="clear" w:color="auto" w:fill="auto"/>
          </w:tcPr>
          <w:p w:rsidR="00612780" w:rsidRPr="00D51A68" w:rsidRDefault="00612780" w:rsidP="00612780">
            <w:pPr>
              <w:autoSpaceDE w:val="0"/>
              <w:autoSpaceDN w:val="0"/>
              <w:adjustRightInd w:val="0"/>
              <w:spacing w:before="0" w:after="0"/>
              <w:rPr>
                <w:rFonts w:ascii="Times New Roman" w:hAnsi="Times New Roman"/>
                <w:bCs/>
                <w:sz w:val="24"/>
              </w:rPr>
            </w:pPr>
            <w:r w:rsidRPr="00D51A68">
              <w:rPr>
                <w:rFonts w:ascii="Times New Roman" w:hAnsi="Times New Roman"/>
                <w:sz w:val="24"/>
              </w:rPr>
              <w:t>410</w:t>
            </w:r>
          </w:p>
        </w:tc>
        <w:tc>
          <w:tcPr>
            <w:tcW w:w="7903" w:type="dxa"/>
            <w:shd w:val="clear" w:color="auto" w:fill="auto"/>
          </w:tcPr>
          <w:p w:rsidR="00612780" w:rsidRPr="00D51A68" w:rsidRDefault="00612780" w:rsidP="00612780">
            <w:pPr>
              <w:spacing w:before="0" w:after="0"/>
              <w:jc w:val="left"/>
              <w:rPr>
                <w:rFonts w:ascii="Times New Roman" w:hAnsi="Times New Roman"/>
                <w:b/>
                <w:sz w:val="24"/>
                <w:u w:val="single"/>
              </w:rPr>
            </w:pPr>
            <w:r w:rsidRPr="00D51A68">
              <w:rPr>
                <w:rFonts w:ascii="Times New Roman" w:hAnsi="Times New Roman"/>
                <w:b/>
                <w:sz w:val="24"/>
                <w:u w:val="single"/>
              </w:rPr>
              <w:t>RIMBORSO ANTICIPATO: FATTORE DI CONVERSIONE APPLICATO</w:t>
            </w:r>
          </w:p>
          <w:p w:rsidR="00612780" w:rsidRPr="00D51A68" w:rsidRDefault="00612780" w:rsidP="00612780">
            <w:pPr>
              <w:spacing w:before="0" w:after="0"/>
              <w:jc w:val="left"/>
              <w:rPr>
                <w:rFonts w:ascii="Times New Roman" w:hAnsi="Times New Roman"/>
                <w:sz w:val="24"/>
              </w:rPr>
            </w:pPr>
          </w:p>
          <w:p w:rsidR="00612780" w:rsidRPr="00D51A68" w:rsidRDefault="00612780" w:rsidP="00612780">
            <w:pPr>
              <w:tabs>
                <w:tab w:val="left" w:pos="5828"/>
              </w:tabs>
              <w:spacing w:before="0" w:after="0"/>
              <w:rPr>
                <w:rFonts w:ascii="Times New Roman" w:hAnsi="Times New Roman"/>
                <w:sz w:val="24"/>
              </w:rPr>
            </w:pPr>
            <w:r w:rsidRPr="00D51A68">
              <w:rPr>
                <w:rFonts w:ascii="Times New Roman" w:hAnsi="Times New Roman"/>
                <w:sz w:val="24"/>
              </w:rPr>
              <w:t>L</w:t>
            </w:r>
            <w:r w:rsidR="0009277C" w:rsidRPr="00D51A68">
              <w:rPr>
                <w:rFonts w:ascii="Times New Roman" w:hAnsi="Times New Roman"/>
                <w:sz w:val="24"/>
              </w:rPr>
              <w:t>’</w:t>
            </w:r>
            <w:r w:rsidRPr="00D51A68">
              <w:rPr>
                <w:rFonts w:ascii="Times New Roman" w:hAnsi="Times New Roman"/>
                <w:sz w:val="24"/>
              </w:rPr>
              <w:t>articolo 242, punto 12, nonché l</w:t>
            </w:r>
            <w:r w:rsidR="0009277C" w:rsidRPr="00D51A68">
              <w:rPr>
                <w:rFonts w:ascii="Times New Roman" w:hAnsi="Times New Roman"/>
                <w:sz w:val="24"/>
              </w:rPr>
              <w:t>’</w:t>
            </w:r>
            <w:r w:rsidRPr="00D51A68">
              <w:rPr>
                <w:rFonts w:ascii="Times New Roman" w:hAnsi="Times New Roman"/>
                <w:sz w:val="24"/>
              </w:rPr>
              <w:t>articolo 256, paragrafo 5 (per il metodo standardizzato) e l</w:t>
            </w:r>
            <w:r w:rsidR="0009277C" w:rsidRPr="00D51A68">
              <w:rPr>
                <w:rFonts w:ascii="Times New Roman" w:hAnsi="Times New Roman"/>
                <w:sz w:val="24"/>
              </w:rPr>
              <w:t>’</w:t>
            </w:r>
            <w:r w:rsidRPr="00D51A68">
              <w:rPr>
                <w:rFonts w:ascii="Times New Roman" w:hAnsi="Times New Roman"/>
                <w:sz w:val="24"/>
              </w:rPr>
              <w:t>articolo 265, paragrafo 1 (per il metodo IRB), del CRR prevedono una serie di fattori di conversione da applicare all</w:t>
            </w:r>
            <w:r w:rsidR="0009277C" w:rsidRPr="00D51A68">
              <w:rPr>
                <w:rFonts w:ascii="Times New Roman" w:hAnsi="Times New Roman"/>
                <w:sz w:val="24"/>
              </w:rPr>
              <w:t>’</w:t>
            </w:r>
            <w:r w:rsidRPr="00D51A68">
              <w:rPr>
                <w:rFonts w:ascii="Times New Roman" w:hAnsi="Times New Roman"/>
                <w:sz w:val="24"/>
              </w:rPr>
              <w:t>importo dell</w:t>
            </w:r>
            <w:r w:rsidR="0009277C" w:rsidRPr="00D51A68">
              <w:rPr>
                <w:rFonts w:ascii="Times New Roman" w:hAnsi="Times New Roman"/>
                <w:sz w:val="24"/>
              </w:rPr>
              <w:t>’</w:t>
            </w:r>
            <w:r w:rsidRPr="00D51A68">
              <w:rPr>
                <w:rFonts w:ascii="Times New Roman" w:hAnsi="Times New Roman"/>
                <w:sz w:val="24"/>
              </w:rPr>
              <w:t>interesse degli investitori (per calcolare gli importi delle esposizioni ponderati per il rischio).</w:t>
            </w:r>
          </w:p>
          <w:p w:rsidR="00612780" w:rsidRPr="00D51A68" w:rsidRDefault="00612780" w:rsidP="00612780">
            <w:pPr>
              <w:tabs>
                <w:tab w:val="left" w:pos="5828"/>
              </w:tabs>
              <w:spacing w:before="0" w:after="0"/>
              <w:rPr>
                <w:rFonts w:ascii="Times New Roman" w:hAnsi="Times New Roman"/>
                <w:sz w:val="24"/>
              </w:rPr>
            </w:pPr>
          </w:p>
          <w:p w:rsidR="00612780" w:rsidRPr="00D51A68" w:rsidRDefault="00612780" w:rsidP="00612780">
            <w:pPr>
              <w:tabs>
                <w:tab w:val="left" w:pos="5828"/>
              </w:tabs>
              <w:spacing w:before="0" w:after="0"/>
              <w:rPr>
                <w:rFonts w:ascii="Times New Roman" w:hAnsi="Times New Roman"/>
                <w:sz w:val="24"/>
              </w:rPr>
            </w:pPr>
            <w:r w:rsidRPr="00D51A68">
              <w:rPr>
                <w:rFonts w:ascii="Times New Roman" w:hAnsi="Times New Roman"/>
                <w:sz w:val="24"/>
              </w:rPr>
              <w:t>Questa colonna riguarda gli schemi di cartolarizzazione con clausole di rimborso anticipato (le cartolarizzazioni rotative).</w:t>
            </w:r>
          </w:p>
          <w:p w:rsidR="00612780" w:rsidRPr="00D51A68" w:rsidRDefault="00612780" w:rsidP="00612780">
            <w:pPr>
              <w:tabs>
                <w:tab w:val="left" w:pos="5828"/>
              </w:tabs>
              <w:spacing w:before="0" w:after="0"/>
              <w:rPr>
                <w:rFonts w:ascii="Times New Roman" w:hAnsi="Times New Roman"/>
                <w:sz w:val="24"/>
              </w:rPr>
            </w:pPr>
          </w:p>
          <w:p w:rsidR="00612780" w:rsidRPr="00D51A68" w:rsidRDefault="00612780" w:rsidP="00612780">
            <w:pPr>
              <w:tabs>
                <w:tab w:val="left" w:pos="5828"/>
              </w:tabs>
              <w:spacing w:before="0" w:after="0"/>
              <w:rPr>
                <w:rFonts w:ascii="Times New Roman" w:hAnsi="Times New Roman"/>
                <w:sz w:val="24"/>
              </w:rPr>
            </w:pPr>
            <w:r w:rsidRPr="00D51A68">
              <w:rPr>
                <w:rFonts w:ascii="Times New Roman" w:hAnsi="Times New Roman"/>
                <w:sz w:val="24"/>
              </w:rPr>
              <w:t>Conformemente all</w:t>
            </w:r>
            <w:r w:rsidR="0009277C" w:rsidRPr="00D51A68">
              <w:rPr>
                <w:rFonts w:ascii="Times New Roman" w:hAnsi="Times New Roman"/>
                <w:sz w:val="24"/>
              </w:rPr>
              <w:t>’</w:t>
            </w:r>
            <w:r w:rsidRPr="00D51A68">
              <w:rPr>
                <w:rFonts w:ascii="Times New Roman" w:hAnsi="Times New Roman"/>
                <w:sz w:val="24"/>
              </w:rPr>
              <w:t>articolo 256, paragrafo 6, del CRR, il fattore di conversione da applicare è determinato dal livello del margine positivo medio effettivo a tre mesi.</w:t>
            </w:r>
          </w:p>
          <w:p w:rsidR="00612780" w:rsidRPr="00D51A68" w:rsidRDefault="00612780" w:rsidP="00612780">
            <w:pPr>
              <w:tabs>
                <w:tab w:val="left" w:pos="5828"/>
              </w:tabs>
              <w:spacing w:before="0" w:after="0"/>
              <w:rPr>
                <w:rFonts w:ascii="Times New Roman" w:hAnsi="Times New Roman"/>
                <w:sz w:val="24"/>
              </w:rPr>
            </w:pPr>
          </w:p>
          <w:p w:rsidR="00612780" w:rsidRPr="00D51A68" w:rsidRDefault="00612780" w:rsidP="00612780">
            <w:pPr>
              <w:spacing w:before="0" w:after="0"/>
              <w:rPr>
                <w:rFonts w:ascii="Times New Roman" w:hAnsi="Times New Roman"/>
                <w:sz w:val="24"/>
              </w:rPr>
            </w:pPr>
            <w:r w:rsidRPr="00D51A68">
              <w:rPr>
                <w:rFonts w:ascii="Times New Roman" w:hAnsi="Times New Roman"/>
                <w:sz w:val="24"/>
              </w:rPr>
              <w:t xml:space="preserve">Questa colonna non è compilata per le cartolarizzazioni di passività. Questa </w:t>
            </w:r>
            <w:r w:rsidRPr="00D51A68">
              <w:rPr>
                <w:rFonts w:ascii="Times New Roman" w:hAnsi="Times New Roman"/>
                <w:sz w:val="24"/>
              </w:rPr>
              <w:lastRenderedPageBreak/>
              <w:t>informazione è correlata alla riga 100 del modello CR SEC SA e alla riga 160 del modello CR SEC IRB.</w:t>
            </w:r>
          </w:p>
          <w:p w:rsidR="00612780" w:rsidRPr="00D51A68" w:rsidRDefault="00612780" w:rsidP="00612780">
            <w:pPr>
              <w:spacing w:before="0" w:after="0"/>
              <w:jc w:val="left"/>
              <w:rPr>
                <w:rFonts w:ascii="Times New Roman" w:hAnsi="Times New Roman"/>
                <w:b/>
                <w:sz w:val="24"/>
                <w:u w:val="single"/>
              </w:rPr>
            </w:pPr>
          </w:p>
        </w:tc>
      </w:tr>
      <w:tr w:rsidR="00612780" w:rsidRPr="00D51A68" w:rsidTr="00672D2A">
        <w:tc>
          <w:tcPr>
            <w:tcW w:w="1101" w:type="dxa"/>
          </w:tcPr>
          <w:p w:rsidR="00612780" w:rsidRPr="00D51A68" w:rsidRDefault="00612780" w:rsidP="00612780">
            <w:pPr>
              <w:autoSpaceDE w:val="0"/>
              <w:autoSpaceDN w:val="0"/>
              <w:adjustRightInd w:val="0"/>
              <w:spacing w:before="0" w:after="0"/>
              <w:rPr>
                <w:rFonts w:ascii="Times New Roman" w:hAnsi="Times New Roman"/>
                <w:bCs/>
                <w:sz w:val="24"/>
              </w:rPr>
            </w:pPr>
            <w:r w:rsidRPr="00D51A68">
              <w:rPr>
                <w:rFonts w:ascii="Times New Roman" w:hAnsi="Times New Roman"/>
                <w:sz w:val="24"/>
              </w:rPr>
              <w:lastRenderedPageBreak/>
              <w:t>420</w:t>
            </w:r>
          </w:p>
        </w:tc>
        <w:tc>
          <w:tcPr>
            <w:tcW w:w="7903" w:type="dxa"/>
          </w:tcPr>
          <w:p w:rsidR="00612780" w:rsidRPr="00D51A68" w:rsidRDefault="00612780" w:rsidP="00612780">
            <w:pPr>
              <w:spacing w:before="0" w:after="0"/>
              <w:jc w:val="left"/>
              <w:rPr>
                <w:rFonts w:ascii="Times New Roman" w:hAnsi="Times New Roman"/>
                <w:b/>
                <w:sz w:val="24"/>
                <w:u w:val="single"/>
              </w:rPr>
            </w:pPr>
            <w:r w:rsidRPr="00D51A68">
              <w:rPr>
                <w:rFonts w:ascii="Times New Roman" w:hAnsi="Times New Roman"/>
                <w:b/>
                <w:sz w:val="24"/>
                <w:u w:val="single"/>
              </w:rPr>
              <w:t>(-) VALORE DELL</w:t>
            </w:r>
            <w:r w:rsidR="0009277C" w:rsidRPr="00D51A68">
              <w:rPr>
                <w:rFonts w:ascii="Times New Roman" w:hAnsi="Times New Roman"/>
                <w:b/>
                <w:sz w:val="24"/>
                <w:u w:val="single"/>
              </w:rPr>
              <w:t>’</w:t>
            </w:r>
            <w:r w:rsidRPr="00D51A68">
              <w:rPr>
                <w:rFonts w:ascii="Times New Roman" w:hAnsi="Times New Roman"/>
                <w:b/>
                <w:sz w:val="24"/>
                <w:u w:val="single"/>
              </w:rPr>
              <w:t>ESPOSIZIONE DEDOTTO DAI FONDI PROPRI</w:t>
            </w:r>
          </w:p>
          <w:p w:rsidR="00612780" w:rsidRPr="00D51A68" w:rsidRDefault="00612780" w:rsidP="00612780">
            <w:pPr>
              <w:spacing w:before="0" w:after="0"/>
              <w:jc w:val="left"/>
              <w:rPr>
                <w:rFonts w:ascii="Times New Roman" w:hAnsi="Times New Roman"/>
                <w:sz w:val="24"/>
              </w:rPr>
            </w:pPr>
          </w:p>
          <w:p w:rsidR="00612780" w:rsidRPr="00D51A68" w:rsidRDefault="00612780" w:rsidP="00612780">
            <w:pPr>
              <w:spacing w:before="0" w:after="0"/>
              <w:rPr>
                <w:rFonts w:ascii="Times New Roman" w:hAnsi="Times New Roman"/>
                <w:sz w:val="24"/>
              </w:rPr>
            </w:pPr>
            <w:r w:rsidRPr="00D51A68">
              <w:rPr>
                <w:rFonts w:ascii="Times New Roman" w:hAnsi="Times New Roman"/>
                <w:sz w:val="24"/>
              </w:rPr>
              <w:t>Questa informazione è strettamente correlata alla colonna 200 del modello CR SEC SA e alla colonna 180 del modello CR SEC IRB.</w:t>
            </w:r>
          </w:p>
          <w:p w:rsidR="00612780" w:rsidRPr="00D51A68" w:rsidRDefault="00612780" w:rsidP="00612780">
            <w:pPr>
              <w:spacing w:before="0" w:after="0"/>
              <w:rPr>
                <w:rFonts w:ascii="Times New Roman" w:hAnsi="Times New Roman"/>
                <w:sz w:val="24"/>
              </w:rPr>
            </w:pPr>
          </w:p>
          <w:p w:rsidR="00612780" w:rsidRPr="00D51A68" w:rsidRDefault="00612780" w:rsidP="00612780">
            <w:pPr>
              <w:spacing w:before="0" w:after="0"/>
              <w:rPr>
                <w:rFonts w:ascii="Times New Roman" w:hAnsi="Times New Roman"/>
                <w:sz w:val="24"/>
              </w:rPr>
            </w:pPr>
            <w:r w:rsidRPr="00D51A68">
              <w:rPr>
                <w:rFonts w:ascii="Times New Roman" w:hAnsi="Times New Roman"/>
                <w:sz w:val="24"/>
              </w:rPr>
              <w:t>In questa colonna è segnalato un importo negativo.</w:t>
            </w:r>
          </w:p>
          <w:p w:rsidR="00612780" w:rsidRPr="00D51A68" w:rsidRDefault="00612780" w:rsidP="00612780">
            <w:pPr>
              <w:spacing w:before="0" w:after="0"/>
              <w:jc w:val="left"/>
              <w:rPr>
                <w:rFonts w:ascii="Times New Roman" w:hAnsi="Times New Roman"/>
                <w:sz w:val="24"/>
              </w:rPr>
            </w:pPr>
          </w:p>
        </w:tc>
      </w:tr>
      <w:tr w:rsidR="00612780" w:rsidRPr="00D51A68" w:rsidTr="00672D2A">
        <w:tc>
          <w:tcPr>
            <w:tcW w:w="1101" w:type="dxa"/>
          </w:tcPr>
          <w:p w:rsidR="00612780" w:rsidRPr="00D51A68" w:rsidDel="00304CB1" w:rsidRDefault="00612780" w:rsidP="00612780">
            <w:pPr>
              <w:autoSpaceDE w:val="0"/>
              <w:autoSpaceDN w:val="0"/>
              <w:adjustRightInd w:val="0"/>
              <w:spacing w:before="0" w:after="0"/>
              <w:rPr>
                <w:rFonts w:ascii="Times New Roman" w:hAnsi="Times New Roman"/>
                <w:bCs/>
                <w:sz w:val="24"/>
              </w:rPr>
            </w:pPr>
            <w:r w:rsidRPr="00D51A68">
              <w:rPr>
                <w:rFonts w:ascii="Times New Roman" w:hAnsi="Times New Roman"/>
                <w:sz w:val="24"/>
              </w:rPr>
              <w:t>430</w:t>
            </w:r>
          </w:p>
        </w:tc>
        <w:tc>
          <w:tcPr>
            <w:tcW w:w="7903" w:type="dxa"/>
          </w:tcPr>
          <w:p w:rsidR="00612780" w:rsidRPr="00D51A68" w:rsidRDefault="00612780" w:rsidP="00612780">
            <w:pPr>
              <w:spacing w:before="0" w:after="0"/>
              <w:jc w:val="left"/>
              <w:rPr>
                <w:rFonts w:ascii="Times New Roman" w:hAnsi="Times New Roman"/>
                <w:b/>
                <w:sz w:val="24"/>
                <w:u w:val="single"/>
              </w:rPr>
            </w:pPr>
            <w:r w:rsidRPr="00D51A68">
              <w:rPr>
                <w:rFonts w:ascii="Times New Roman" w:hAnsi="Times New Roman"/>
                <w:b/>
                <w:sz w:val="24"/>
                <w:u w:val="single"/>
              </w:rPr>
              <w:t>IMPORTO COMPLESSIVO DELL</w:t>
            </w:r>
            <w:r w:rsidR="0009277C" w:rsidRPr="00D51A68">
              <w:rPr>
                <w:rFonts w:ascii="Times New Roman" w:hAnsi="Times New Roman"/>
                <w:b/>
                <w:sz w:val="24"/>
                <w:u w:val="single"/>
              </w:rPr>
              <w:t>’</w:t>
            </w:r>
            <w:r w:rsidRPr="00D51A68">
              <w:rPr>
                <w:rFonts w:ascii="Times New Roman" w:hAnsi="Times New Roman"/>
                <w:b/>
                <w:sz w:val="24"/>
                <w:u w:val="single"/>
              </w:rPr>
              <w:t>ESPOSIZIONE PONDERATO PER IL RISCHIO PRIMA DELL</w:t>
            </w:r>
            <w:r w:rsidR="0009277C" w:rsidRPr="00D51A68">
              <w:rPr>
                <w:rFonts w:ascii="Times New Roman" w:hAnsi="Times New Roman"/>
                <w:b/>
                <w:sz w:val="24"/>
                <w:u w:val="single"/>
              </w:rPr>
              <w:t>’</w:t>
            </w:r>
            <w:r w:rsidRPr="00D51A68">
              <w:rPr>
                <w:rFonts w:ascii="Times New Roman" w:hAnsi="Times New Roman"/>
                <w:b/>
                <w:sz w:val="24"/>
                <w:u w:val="single"/>
              </w:rPr>
              <w:t>APPLICAZIONE DEL MASSIMALE</w:t>
            </w:r>
          </w:p>
          <w:p w:rsidR="00612780" w:rsidRPr="00D51A68" w:rsidRDefault="00612780" w:rsidP="00612780">
            <w:pPr>
              <w:spacing w:before="0" w:after="0"/>
              <w:jc w:val="left"/>
              <w:rPr>
                <w:rFonts w:ascii="Times New Roman" w:hAnsi="Times New Roman"/>
                <w:sz w:val="24"/>
              </w:rPr>
            </w:pPr>
          </w:p>
          <w:p w:rsidR="00612780" w:rsidRPr="00D51A68" w:rsidRDefault="00612780" w:rsidP="00612780">
            <w:pPr>
              <w:spacing w:before="0" w:after="0"/>
              <w:rPr>
                <w:rFonts w:ascii="Times New Roman" w:hAnsi="Times New Roman"/>
                <w:sz w:val="24"/>
              </w:rPr>
            </w:pPr>
            <w:r w:rsidRPr="00D51A68">
              <w:rPr>
                <w:rFonts w:ascii="Times New Roman" w:hAnsi="Times New Roman"/>
                <w:sz w:val="24"/>
              </w:rPr>
              <w:t>Questa colonna contiene informazioni riguardanti l</w:t>
            </w:r>
            <w:r w:rsidR="0009277C" w:rsidRPr="00D51A68">
              <w:rPr>
                <w:rFonts w:ascii="Times New Roman" w:hAnsi="Times New Roman"/>
                <w:sz w:val="24"/>
              </w:rPr>
              <w:t>’</w:t>
            </w:r>
            <w:r w:rsidRPr="00D51A68">
              <w:rPr>
                <w:rFonts w:ascii="Times New Roman" w:hAnsi="Times New Roman"/>
                <w:sz w:val="24"/>
              </w:rPr>
              <w:t>importo dell</w:t>
            </w:r>
            <w:r w:rsidR="0009277C" w:rsidRPr="00D51A68">
              <w:rPr>
                <w:rFonts w:ascii="Times New Roman" w:hAnsi="Times New Roman"/>
                <w:sz w:val="24"/>
              </w:rPr>
              <w:t>’</w:t>
            </w:r>
            <w:r w:rsidRPr="00D51A68">
              <w:rPr>
                <w:rFonts w:ascii="Times New Roman" w:hAnsi="Times New Roman"/>
                <w:sz w:val="24"/>
              </w:rPr>
              <w:t>esposizione ponderato per il rischio prima dell</w:t>
            </w:r>
            <w:r w:rsidR="0009277C" w:rsidRPr="00D51A68">
              <w:rPr>
                <w:rFonts w:ascii="Times New Roman" w:hAnsi="Times New Roman"/>
                <w:sz w:val="24"/>
              </w:rPr>
              <w:t>’</w:t>
            </w:r>
            <w:r w:rsidRPr="00D51A68">
              <w:rPr>
                <w:rFonts w:ascii="Times New Roman" w:hAnsi="Times New Roman"/>
                <w:sz w:val="24"/>
              </w:rPr>
              <w:t>applicazione del massimale alle posizioni verso la cartolarizzazione (ossia negli schemi di cartolarizzazione con trasferimento significativo del rischio). Per gli schemi di cartolarizzazione senza trasferimento significativo del rischio (cioè per l</w:t>
            </w:r>
            <w:r w:rsidR="0009277C" w:rsidRPr="00D51A68">
              <w:rPr>
                <w:rFonts w:ascii="Times New Roman" w:hAnsi="Times New Roman"/>
                <w:sz w:val="24"/>
              </w:rPr>
              <w:t>’</w:t>
            </w:r>
            <w:r w:rsidRPr="00D51A68">
              <w:rPr>
                <w:rFonts w:ascii="Times New Roman" w:hAnsi="Times New Roman"/>
                <w:sz w:val="24"/>
              </w:rPr>
              <w:t>importo dell</w:t>
            </w:r>
            <w:r w:rsidR="0009277C" w:rsidRPr="00D51A68">
              <w:rPr>
                <w:rFonts w:ascii="Times New Roman" w:hAnsi="Times New Roman"/>
                <w:sz w:val="24"/>
              </w:rPr>
              <w:t>’</w:t>
            </w:r>
            <w:r w:rsidRPr="00D51A68">
              <w:rPr>
                <w:rFonts w:ascii="Times New Roman" w:hAnsi="Times New Roman"/>
                <w:sz w:val="24"/>
              </w:rPr>
              <w:t>esposizione ponderato per il rischio calcolato in base alle esposizioni cartolarizzate), in questa colonna non sono segnalati dati.</w:t>
            </w:r>
          </w:p>
          <w:p w:rsidR="00612780" w:rsidRPr="00D51A68" w:rsidRDefault="00612780" w:rsidP="00612780">
            <w:pPr>
              <w:spacing w:before="0" w:after="0"/>
              <w:jc w:val="left"/>
              <w:rPr>
                <w:rFonts w:ascii="Times New Roman" w:hAnsi="Times New Roman"/>
                <w:sz w:val="24"/>
              </w:rPr>
            </w:pPr>
          </w:p>
          <w:p w:rsidR="00612780" w:rsidRPr="00D51A68" w:rsidRDefault="00612780" w:rsidP="00612780">
            <w:pPr>
              <w:spacing w:before="0" w:after="0"/>
              <w:jc w:val="left"/>
              <w:rPr>
                <w:rFonts w:ascii="Times New Roman" w:hAnsi="Times New Roman"/>
                <w:b/>
                <w:sz w:val="24"/>
                <w:u w:val="single"/>
              </w:rPr>
            </w:pPr>
            <w:r w:rsidRPr="00D51A68">
              <w:rPr>
                <w:rFonts w:ascii="Times New Roman" w:hAnsi="Times New Roman"/>
                <w:sz w:val="24"/>
              </w:rPr>
              <w:t xml:space="preserve">Questa colonna non è compilata per le cartolarizzazioni di passività. </w:t>
            </w:r>
          </w:p>
        </w:tc>
      </w:tr>
      <w:tr w:rsidR="00612780" w:rsidRPr="00D51A68" w:rsidTr="00672D2A">
        <w:tc>
          <w:tcPr>
            <w:tcW w:w="1101" w:type="dxa"/>
          </w:tcPr>
          <w:p w:rsidR="00612780" w:rsidRPr="00D51A68" w:rsidRDefault="00612780" w:rsidP="00612780">
            <w:pPr>
              <w:autoSpaceDE w:val="0"/>
              <w:autoSpaceDN w:val="0"/>
              <w:adjustRightInd w:val="0"/>
              <w:spacing w:before="0" w:after="0"/>
              <w:rPr>
                <w:rFonts w:ascii="Times New Roman" w:hAnsi="Times New Roman"/>
                <w:bCs/>
                <w:sz w:val="24"/>
              </w:rPr>
            </w:pPr>
            <w:r w:rsidRPr="00D51A68">
              <w:rPr>
                <w:rFonts w:ascii="Times New Roman" w:hAnsi="Times New Roman"/>
                <w:sz w:val="24"/>
              </w:rPr>
              <w:t>440</w:t>
            </w:r>
          </w:p>
        </w:tc>
        <w:tc>
          <w:tcPr>
            <w:tcW w:w="7903" w:type="dxa"/>
          </w:tcPr>
          <w:p w:rsidR="00612780" w:rsidRPr="00D51A68" w:rsidRDefault="00612780" w:rsidP="00612780">
            <w:pPr>
              <w:spacing w:before="0" w:after="0"/>
              <w:jc w:val="left"/>
              <w:rPr>
                <w:rFonts w:ascii="Times New Roman" w:hAnsi="Times New Roman"/>
                <w:b/>
                <w:sz w:val="24"/>
                <w:u w:val="single"/>
              </w:rPr>
            </w:pPr>
            <w:r w:rsidRPr="00D51A68">
              <w:rPr>
                <w:rFonts w:ascii="Times New Roman" w:hAnsi="Times New Roman"/>
                <w:b/>
                <w:sz w:val="24"/>
                <w:u w:val="single"/>
              </w:rPr>
              <w:t>IMPORTO COMPLESSIVO DELL</w:t>
            </w:r>
            <w:r w:rsidR="0009277C" w:rsidRPr="00D51A68">
              <w:rPr>
                <w:rFonts w:ascii="Times New Roman" w:hAnsi="Times New Roman"/>
                <w:b/>
                <w:sz w:val="24"/>
                <w:u w:val="single"/>
              </w:rPr>
              <w:t>’</w:t>
            </w:r>
            <w:r w:rsidRPr="00D51A68">
              <w:rPr>
                <w:rFonts w:ascii="Times New Roman" w:hAnsi="Times New Roman"/>
                <w:b/>
                <w:sz w:val="24"/>
                <w:u w:val="single"/>
              </w:rPr>
              <w:t>ESPOSIZIONE PONDERATO PER IL RISCHIO DOPO L</w:t>
            </w:r>
            <w:r w:rsidR="0009277C" w:rsidRPr="00D51A68">
              <w:rPr>
                <w:rFonts w:ascii="Times New Roman" w:hAnsi="Times New Roman"/>
                <w:b/>
                <w:sz w:val="24"/>
                <w:u w:val="single"/>
              </w:rPr>
              <w:t>’</w:t>
            </w:r>
            <w:r w:rsidRPr="00D51A68">
              <w:rPr>
                <w:rFonts w:ascii="Times New Roman" w:hAnsi="Times New Roman"/>
                <w:b/>
                <w:sz w:val="24"/>
                <w:u w:val="single"/>
              </w:rPr>
              <w:t>APPLICAZIONE DEL MASSIMALE</w:t>
            </w:r>
          </w:p>
          <w:p w:rsidR="00612780" w:rsidRPr="00D51A68" w:rsidRDefault="00612780" w:rsidP="00612780">
            <w:pPr>
              <w:spacing w:before="0" w:after="0"/>
              <w:jc w:val="left"/>
              <w:rPr>
                <w:rFonts w:ascii="Times New Roman" w:hAnsi="Times New Roman"/>
                <w:sz w:val="24"/>
              </w:rPr>
            </w:pPr>
          </w:p>
          <w:p w:rsidR="00612780" w:rsidRPr="00D51A68" w:rsidRDefault="00612780" w:rsidP="00612780">
            <w:pPr>
              <w:spacing w:before="0" w:after="0"/>
              <w:rPr>
                <w:rFonts w:ascii="Times New Roman" w:hAnsi="Times New Roman"/>
                <w:sz w:val="24"/>
              </w:rPr>
            </w:pPr>
            <w:r w:rsidRPr="00D51A68">
              <w:rPr>
                <w:rFonts w:ascii="Times New Roman" w:hAnsi="Times New Roman"/>
                <w:sz w:val="24"/>
              </w:rPr>
              <w:t>Questa colonna contiene informazioni riguardanti l</w:t>
            </w:r>
            <w:r w:rsidR="0009277C" w:rsidRPr="00D51A68">
              <w:rPr>
                <w:rFonts w:ascii="Times New Roman" w:hAnsi="Times New Roman"/>
                <w:sz w:val="24"/>
              </w:rPr>
              <w:t>’</w:t>
            </w:r>
            <w:r w:rsidRPr="00D51A68">
              <w:rPr>
                <w:rFonts w:ascii="Times New Roman" w:hAnsi="Times New Roman"/>
                <w:sz w:val="24"/>
              </w:rPr>
              <w:t>importo dell</w:t>
            </w:r>
            <w:r w:rsidR="0009277C" w:rsidRPr="00D51A68">
              <w:rPr>
                <w:rFonts w:ascii="Times New Roman" w:hAnsi="Times New Roman"/>
                <w:sz w:val="24"/>
              </w:rPr>
              <w:t>’</w:t>
            </w:r>
            <w:r w:rsidRPr="00D51A68">
              <w:rPr>
                <w:rFonts w:ascii="Times New Roman" w:hAnsi="Times New Roman"/>
                <w:sz w:val="24"/>
              </w:rPr>
              <w:t>esposizione ponderato per il rischio dopo l</w:t>
            </w:r>
            <w:r w:rsidR="0009277C" w:rsidRPr="00D51A68">
              <w:rPr>
                <w:rFonts w:ascii="Times New Roman" w:hAnsi="Times New Roman"/>
                <w:sz w:val="24"/>
              </w:rPr>
              <w:t>’</w:t>
            </w:r>
            <w:r w:rsidRPr="00D51A68">
              <w:rPr>
                <w:rFonts w:ascii="Times New Roman" w:hAnsi="Times New Roman"/>
                <w:sz w:val="24"/>
              </w:rPr>
              <w:t>applicazione del massimale alle posizioni verso la cartolarizzazione (ossia negli schemi di cartolarizzazione con trasferimento significativo del rischio). Per gli schemi di cartolarizzazione senza trasferimento significativo del rischio (ossia per i requisiti di fondi propri calcolati in base alle esposizioni cartolarizzate), in questa colonna non sono segnalati dati.</w:t>
            </w:r>
          </w:p>
          <w:p w:rsidR="00612780" w:rsidRPr="00D51A68" w:rsidRDefault="00612780" w:rsidP="00612780">
            <w:pPr>
              <w:spacing w:before="0" w:after="0"/>
              <w:rPr>
                <w:rFonts w:ascii="Times New Roman" w:hAnsi="Times New Roman"/>
                <w:sz w:val="24"/>
              </w:rPr>
            </w:pPr>
          </w:p>
          <w:p w:rsidR="00612780" w:rsidRPr="00D51A68" w:rsidRDefault="00612780" w:rsidP="00612780">
            <w:pPr>
              <w:spacing w:before="0" w:after="0"/>
              <w:rPr>
                <w:rFonts w:ascii="Times New Roman" w:hAnsi="Times New Roman"/>
                <w:sz w:val="24"/>
              </w:rPr>
            </w:pPr>
            <w:r w:rsidRPr="00D51A68">
              <w:rPr>
                <w:rFonts w:ascii="Times New Roman" w:hAnsi="Times New Roman"/>
                <w:sz w:val="24"/>
              </w:rPr>
              <w:t xml:space="preserve">Questa colonna non è compilata per le cartolarizzazioni di passività. </w:t>
            </w:r>
          </w:p>
          <w:p w:rsidR="00612780" w:rsidRPr="00D51A68" w:rsidRDefault="00612780" w:rsidP="00612780">
            <w:pPr>
              <w:spacing w:before="0" w:after="0"/>
              <w:jc w:val="left"/>
              <w:rPr>
                <w:rFonts w:ascii="Times New Roman" w:hAnsi="Times New Roman"/>
                <w:sz w:val="24"/>
              </w:rPr>
            </w:pPr>
          </w:p>
        </w:tc>
      </w:tr>
      <w:tr w:rsidR="008726CA" w:rsidRPr="00D51A68" w:rsidTr="00672D2A">
        <w:tc>
          <w:tcPr>
            <w:tcW w:w="1101" w:type="dxa"/>
          </w:tcPr>
          <w:p w:rsidR="008726CA" w:rsidRPr="00D51A68" w:rsidRDefault="008726CA"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445</w:t>
            </w:r>
          </w:p>
        </w:tc>
        <w:tc>
          <w:tcPr>
            <w:tcW w:w="7903" w:type="dxa"/>
          </w:tcPr>
          <w:p w:rsidR="008726CA" w:rsidRPr="00D51A68" w:rsidRDefault="008726CA" w:rsidP="00612780">
            <w:pPr>
              <w:spacing w:before="0" w:after="0"/>
              <w:jc w:val="left"/>
              <w:rPr>
                <w:rFonts w:ascii="Times New Roman" w:hAnsi="Times New Roman"/>
                <w:b/>
                <w:sz w:val="24"/>
                <w:u w:val="single"/>
              </w:rPr>
            </w:pPr>
            <w:r w:rsidRPr="00D51A68">
              <w:rPr>
                <w:rFonts w:ascii="Times New Roman" w:hAnsi="Times New Roman"/>
                <w:b/>
                <w:sz w:val="24"/>
                <w:u w:val="single"/>
              </w:rPr>
              <w:t xml:space="preserve">METODO </w:t>
            </w:r>
          </w:p>
          <w:p w:rsidR="008726CA" w:rsidRPr="00D51A68" w:rsidRDefault="008726CA" w:rsidP="00612780">
            <w:pPr>
              <w:spacing w:before="0" w:after="0"/>
              <w:jc w:val="left"/>
              <w:rPr>
                <w:rFonts w:ascii="Times New Roman" w:hAnsi="Times New Roman"/>
                <w:sz w:val="24"/>
              </w:rPr>
            </w:pPr>
          </w:p>
          <w:p w:rsidR="00CE4C49" w:rsidRPr="00D51A68" w:rsidRDefault="00CE4C49" w:rsidP="00612780">
            <w:pPr>
              <w:spacing w:before="0" w:after="0"/>
              <w:jc w:val="left"/>
              <w:rPr>
                <w:rFonts w:ascii="Times New Roman" w:hAnsi="Times New Roman"/>
                <w:sz w:val="24"/>
              </w:rPr>
            </w:pPr>
            <w:r w:rsidRPr="00D51A68">
              <w:rPr>
                <w:rFonts w:ascii="Times New Roman" w:hAnsi="Times New Roman"/>
                <w:sz w:val="24"/>
              </w:rPr>
              <w:t>In questa colonna è indicato il metodo per determinare l</w:t>
            </w:r>
            <w:r w:rsidR="0009277C" w:rsidRPr="00D51A68">
              <w:rPr>
                <w:rFonts w:ascii="Times New Roman" w:hAnsi="Times New Roman"/>
                <w:sz w:val="24"/>
              </w:rPr>
              <w:t>’</w:t>
            </w:r>
            <w:r w:rsidRPr="00D51A68">
              <w:rPr>
                <w:rFonts w:ascii="Times New Roman" w:hAnsi="Times New Roman"/>
                <w:sz w:val="24"/>
              </w:rPr>
              <w:t>importo complessivo dell</w:t>
            </w:r>
            <w:r w:rsidR="0009277C" w:rsidRPr="00D51A68">
              <w:rPr>
                <w:rFonts w:ascii="Times New Roman" w:hAnsi="Times New Roman"/>
                <w:sz w:val="24"/>
              </w:rPr>
              <w:t>’</w:t>
            </w:r>
            <w:r w:rsidRPr="00D51A68">
              <w:rPr>
                <w:rFonts w:ascii="Times New Roman" w:hAnsi="Times New Roman"/>
                <w:sz w:val="24"/>
              </w:rPr>
              <w:t>esposizione al rischio di cui alla colonna 440.</w:t>
            </w:r>
          </w:p>
          <w:p w:rsidR="00CE4C49" w:rsidRPr="00D51A68" w:rsidRDefault="00CE4C49" w:rsidP="00612780">
            <w:pPr>
              <w:spacing w:before="0" w:after="0"/>
              <w:jc w:val="left"/>
              <w:rPr>
                <w:rFonts w:ascii="Times New Roman" w:hAnsi="Times New Roman"/>
                <w:sz w:val="24"/>
              </w:rPr>
            </w:pPr>
          </w:p>
          <w:p w:rsidR="008726CA" w:rsidRPr="00D51A68" w:rsidRDefault="00CE4C49" w:rsidP="00612780">
            <w:pPr>
              <w:spacing w:before="0" w:after="0"/>
              <w:jc w:val="left"/>
              <w:rPr>
                <w:rFonts w:ascii="Times New Roman" w:hAnsi="Times New Roman"/>
                <w:sz w:val="24"/>
              </w:rPr>
            </w:pPr>
            <w:r w:rsidRPr="00D51A68">
              <w:rPr>
                <w:rFonts w:ascii="Times New Roman" w:hAnsi="Times New Roman"/>
                <w:sz w:val="24"/>
              </w:rPr>
              <w:t>Il metodo è uno dei seguenti:</w:t>
            </w:r>
          </w:p>
          <w:p w:rsidR="008726CA" w:rsidRPr="00D51A68" w:rsidRDefault="008726CA" w:rsidP="00612780">
            <w:pPr>
              <w:spacing w:before="0" w:after="0"/>
              <w:jc w:val="left"/>
              <w:rPr>
                <w:rFonts w:ascii="Times New Roman" w:hAnsi="Times New Roman"/>
                <w:sz w:val="24"/>
              </w:rPr>
            </w:pPr>
          </w:p>
          <w:p w:rsidR="008726CA" w:rsidRPr="00D51A68" w:rsidRDefault="008726CA" w:rsidP="00612780">
            <w:pPr>
              <w:spacing w:before="0" w:after="0"/>
              <w:jc w:val="left"/>
              <w:rPr>
                <w:rFonts w:ascii="Times New Roman" w:hAnsi="Times New Roman"/>
                <w:i/>
                <w:sz w:val="24"/>
              </w:rPr>
            </w:pPr>
            <w:r w:rsidRPr="00D51A68">
              <w:rPr>
                <w:rFonts w:ascii="Times New Roman" w:hAnsi="Times New Roman"/>
                <w:i/>
                <w:sz w:val="24"/>
              </w:rPr>
              <w:t>Per le posizioni verso la cartolarizzazione i cui importi dell</w:t>
            </w:r>
            <w:r w:rsidR="0009277C" w:rsidRPr="00D51A68">
              <w:rPr>
                <w:rFonts w:ascii="Times New Roman" w:hAnsi="Times New Roman"/>
                <w:i/>
                <w:sz w:val="24"/>
              </w:rPr>
              <w:t>’</w:t>
            </w:r>
            <w:r w:rsidRPr="00D51A68">
              <w:rPr>
                <w:rFonts w:ascii="Times New Roman" w:hAnsi="Times New Roman"/>
                <w:i/>
                <w:sz w:val="24"/>
              </w:rPr>
              <w:t>esposizione ponderati per il rischio sono calcolati conformemente al CRR nella versione applicabile il 31 dicembre 2018</w:t>
            </w:r>
          </w:p>
          <w:p w:rsidR="008726CA" w:rsidRPr="00D51A68" w:rsidRDefault="00936395" w:rsidP="006B4AC8">
            <w:pPr>
              <w:pStyle w:val="ListParagraph"/>
              <w:numPr>
                <w:ilvl w:val="0"/>
                <w:numId w:val="38"/>
              </w:numPr>
              <w:spacing w:before="0" w:after="0"/>
              <w:jc w:val="left"/>
              <w:rPr>
                <w:rFonts w:ascii="Times New Roman" w:hAnsi="Times New Roman"/>
                <w:b/>
                <w:sz w:val="24"/>
                <w:u w:val="single"/>
              </w:rPr>
            </w:pPr>
            <w:r w:rsidRPr="00D51A68">
              <w:rPr>
                <w:rFonts w:ascii="Times New Roman" w:hAnsi="Times New Roman"/>
                <w:sz w:val="24"/>
              </w:rPr>
              <w:t>Altro (quadro iniziale in materia di cartolarizzazione)</w:t>
            </w:r>
          </w:p>
          <w:p w:rsidR="008726CA" w:rsidRPr="00D51A68" w:rsidRDefault="008726CA" w:rsidP="008726CA">
            <w:pPr>
              <w:spacing w:before="0" w:after="0"/>
              <w:jc w:val="left"/>
              <w:rPr>
                <w:rFonts w:ascii="Times New Roman" w:hAnsi="Times New Roman"/>
                <w:b/>
                <w:sz w:val="24"/>
                <w:u w:val="single"/>
              </w:rPr>
            </w:pPr>
          </w:p>
          <w:p w:rsidR="008726CA" w:rsidRPr="00D51A68" w:rsidRDefault="002F1163" w:rsidP="008726CA">
            <w:pPr>
              <w:autoSpaceDE w:val="0"/>
              <w:autoSpaceDN w:val="0"/>
              <w:adjustRightInd w:val="0"/>
              <w:spacing w:before="0" w:after="0"/>
              <w:jc w:val="left"/>
              <w:rPr>
                <w:rFonts w:ascii="Times New Roman" w:hAnsi="Times New Roman"/>
                <w:i/>
                <w:sz w:val="24"/>
              </w:rPr>
            </w:pPr>
            <w:r w:rsidRPr="00D51A68">
              <w:rPr>
                <w:rFonts w:ascii="Times New Roman" w:hAnsi="Times New Roman"/>
                <w:i/>
                <w:sz w:val="24"/>
              </w:rPr>
              <w:t>Nelle date di riferimento per le segnalazioni successive al 1° gennaio 2019, per le posizioni verso la cartolarizzazione i cui importi dell</w:t>
            </w:r>
            <w:r w:rsidR="0009277C" w:rsidRPr="00D51A68">
              <w:rPr>
                <w:rFonts w:ascii="Times New Roman" w:hAnsi="Times New Roman"/>
                <w:i/>
                <w:sz w:val="24"/>
              </w:rPr>
              <w:t>’</w:t>
            </w:r>
            <w:r w:rsidRPr="00D51A68">
              <w:rPr>
                <w:rFonts w:ascii="Times New Roman" w:hAnsi="Times New Roman"/>
                <w:i/>
                <w:sz w:val="24"/>
              </w:rPr>
              <w:t>esposizione ponderati per il rischio sono calcolati conformemente al CRR:</w:t>
            </w:r>
          </w:p>
          <w:p w:rsidR="008726CA" w:rsidRPr="00D51A68" w:rsidRDefault="008726CA" w:rsidP="008726CA">
            <w:pPr>
              <w:pStyle w:val="ListParagraph"/>
              <w:numPr>
                <w:ilvl w:val="0"/>
                <w:numId w:val="38"/>
              </w:numPr>
              <w:autoSpaceDE w:val="0"/>
              <w:autoSpaceDN w:val="0"/>
              <w:adjustRightInd w:val="0"/>
              <w:spacing w:before="0" w:after="0"/>
              <w:jc w:val="left"/>
              <w:rPr>
                <w:rFonts w:ascii="Times New Roman" w:hAnsi="Times New Roman"/>
                <w:sz w:val="24"/>
              </w:rPr>
            </w:pPr>
            <w:r w:rsidRPr="00D51A68">
              <w:rPr>
                <w:rFonts w:ascii="Times New Roman" w:hAnsi="Times New Roman"/>
                <w:sz w:val="24"/>
              </w:rPr>
              <w:lastRenderedPageBreak/>
              <w:t>SEC-IRBA</w:t>
            </w:r>
          </w:p>
          <w:p w:rsidR="008726CA" w:rsidRPr="00D51A68" w:rsidRDefault="008726CA" w:rsidP="008726CA">
            <w:pPr>
              <w:pStyle w:val="ListParagraph"/>
              <w:numPr>
                <w:ilvl w:val="0"/>
                <w:numId w:val="38"/>
              </w:numPr>
              <w:autoSpaceDE w:val="0"/>
              <w:autoSpaceDN w:val="0"/>
              <w:adjustRightInd w:val="0"/>
              <w:spacing w:before="0" w:after="0"/>
              <w:jc w:val="left"/>
              <w:rPr>
                <w:rFonts w:ascii="Times New Roman" w:hAnsi="Times New Roman"/>
                <w:sz w:val="24"/>
              </w:rPr>
            </w:pPr>
            <w:r w:rsidRPr="00D51A68">
              <w:rPr>
                <w:rFonts w:ascii="Times New Roman" w:hAnsi="Times New Roman"/>
                <w:sz w:val="24"/>
              </w:rPr>
              <w:t>SEC-SA</w:t>
            </w:r>
          </w:p>
          <w:p w:rsidR="00B36EAA" w:rsidRPr="00D51A68" w:rsidRDefault="00B36EAA" w:rsidP="00B36EAA">
            <w:pPr>
              <w:pStyle w:val="ListParagraph"/>
              <w:numPr>
                <w:ilvl w:val="0"/>
                <w:numId w:val="38"/>
              </w:numPr>
              <w:autoSpaceDE w:val="0"/>
              <w:autoSpaceDN w:val="0"/>
              <w:adjustRightInd w:val="0"/>
              <w:spacing w:before="0" w:after="0"/>
              <w:jc w:val="left"/>
              <w:rPr>
                <w:rFonts w:ascii="Times New Roman" w:hAnsi="Times New Roman"/>
                <w:sz w:val="24"/>
              </w:rPr>
            </w:pPr>
            <w:r w:rsidRPr="00D51A68">
              <w:rPr>
                <w:rFonts w:ascii="Times New Roman" w:hAnsi="Times New Roman"/>
                <w:sz w:val="24"/>
              </w:rPr>
              <w:t>SEC-ERBA</w:t>
            </w:r>
          </w:p>
          <w:p w:rsidR="008726CA" w:rsidRPr="00D51A68" w:rsidRDefault="008726CA" w:rsidP="008726CA">
            <w:pPr>
              <w:pStyle w:val="ListParagraph"/>
              <w:numPr>
                <w:ilvl w:val="0"/>
                <w:numId w:val="38"/>
              </w:numPr>
              <w:autoSpaceDE w:val="0"/>
              <w:autoSpaceDN w:val="0"/>
              <w:adjustRightInd w:val="0"/>
              <w:spacing w:before="0" w:after="0"/>
              <w:jc w:val="left"/>
              <w:rPr>
                <w:rFonts w:ascii="Times New Roman" w:hAnsi="Times New Roman"/>
                <w:sz w:val="24"/>
              </w:rPr>
            </w:pPr>
            <w:r w:rsidRPr="00D51A68">
              <w:rPr>
                <w:rFonts w:ascii="Times New Roman" w:hAnsi="Times New Roman"/>
                <w:sz w:val="24"/>
              </w:rPr>
              <w:t>IAA</w:t>
            </w:r>
          </w:p>
          <w:p w:rsidR="00C64027" w:rsidRPr="00D51A68" w:rsidRDefault="00C64027" w:rsidP="008726CA">
            <w:pPr>
              <w:pStyle w:val="ListParagraph"/>
              <w:numPr>
                <w:ilvl w:val="0"/>
                <w:numId w:val="38"/>
              </w:numPr>
              <w:autoSpaceDE w:val="0"/>
              <w:autoSpaceDN w:val="0"/>
              <w:adjustRightInd w:val="0"/>
              <w:spacing w:before="0" w:after="0"/>
              <w:jc w:val="left"/>
              <w:rPr>
                <w:rFonts w:ascii="Times New Roman" w:hAnsi="Times New Roman"/>
                <w:sz w:val="24"/>
              </w:rPr>
            </w:pPr>
            <w:r w:rsidRPr="00D51A68">
              <w:rPr>
                <w:rFonts w:ascii="Times New Roman" w:hAnsi="Times New Roman"/>
                <w:sz w:val="24"/>
              </w:rPr>
              <w:t>1</w:t>
            </w:r>
            <w:r w:rsidR="00FC1A76" w:rsidRPr="00D51A68">
              <w:rPr>
                <w:rFonts w:ascii="Times New Roman" w:hAnsi="Times New Roman"/>
                <w:sz w:val="24"/>
              </w:rPr>
              <w:t> </w:t>
            </w:r>
            <w:r w:rsidRPr="00D51A68">
              <w:rPr>
                <w:rFonts w:ascii="Times New Roman" w:hAnsi="Times New Roman"/>
                <w:sz w:val="24"/>
              </w:rPr>
              <w:t>250% per le posizioni non soggette ad alcuna metodologia (articolo 254, paragrafo 7, del CRR)</w:t>
            </w:r>
          </w:p>
          <w:p w:rsidR="006B4AC8" w:rsidRPr="00D51A68" w:rsidRDefault="006B4AC8" w:rsidP="008726CA">
            <w:pPr>
              <w:pStyle w:val="ListParagraph"/>
              <w:numPr>
                <w:ilvl w:val="0"/>
                <w:numId w:val="38"/>
              </w:numPr>
              <w:autoSpaceDE w:val="0"/>
              <w:autoSpaceDN w:val="0"/>
              <w:adjustRightInd w:val="0"/>
              <w:spacing w:before="0" w:after="0"/>
              <w:jc w:val="left"/>
              <w:rPr>
                <w:rFonts w:ascii="Times New Roman" w:hAnsi="Times New Roman"/>
                <w:sz w:val="24"/>
              </w:rPr>
            </w:pPr>
            <w:r w:rsidRPr="00D51A68">
              <w:rPr>
                <w:rFonts w:ascii="Times New Roman" w:hAnsi="Times New Roman"/>
                <w:sz w:val="24"/>
              </w:rPr>
              <w:t>Metodi multipli</w:t>
            </w:r>
          </w:p>
          <w:p w:rsidR="008726CA" w:rsidRPr="00D51A68" w:rsidRDefault="008726CA" w:rsidP="006B4AC8">
            <w:pPr>
              <w:autoSpaceDE w:val="0"/>
              <w:autoSpaceDN w:val="0"/>
              <w:adjustRightInd w:val="0"/>
              <w:spacing w:before="0" w:after="0"/>
              <w:jc w:val="left"/>
              <w:rPr>
                <w:rFonts w:ascii="Times New Roman" w:hAnsi="Times New Roman"/>
                <w:sz w:val="24"/>
              </w:rPr>
            </w:pPr>
            <w:r w:rsidRPr="00D51A68">
              <w:rPr>
                <w:rFonts w:ascii="Times New Roman" w:hAnsi="Times New Roman"/>
                <w:sz w:val="24"/>
              </w:rPr>
              <w:t>In linea con la determinazione dei fattori di ponderazione del rischio a norma dell</w:t>
            </w:r>
            <w:r w:rsidR="0009277C" w:rsidRPr="00D51A68">
              <w:rPr>
                <w:rFonts w:ascii="Times New Roman" w:hAnsi="Times New Roman"/>
                <w:sz w:val="24"/>
              </w:rPr>
              <w:t>’</w:t>
            </w:r>
            <w:r w:rsidRPr="00D51A68">
              <w:rPr>
                <w:rFonts w:ascii="Times New Roman" w:hAnsi="Times New Roman"/>
                <w:sz w:val="24"/>
              </w:rPr>
              <w:t>articolo 337 del CRR, il metodo da applicare per gli strumenti rappresentanti posizioni verso la cartolarizzazione all</w:t>
            </w:r>
            <w:r w:rsidR="0009277C" w:rsidRPr="00D51A68">
              <w:rPr>
                <w:rFonts w:ascii="Times New Roman" w:hAnsi="Times New Roman"/>
                <w:sz w:val="24"/>
              </w:rPr>
              <w:t>’</w:t>
            </w:r>
            <w:r w:rsidRPr="00D51A68">
              <w:rPr>
                <w:rFonts w:ascii="Times New Roman" w:hAnsi="Times New Roman"/>
                <w:sz w:val="24"/>
              </w:rPr>
              <w:t>interno del portafoglio di negoziazione è il metodo che l</w:t>
            </w:r>
            <w:r w:rsidR="0009277C" w:rsidRPr="00D51A68">
              <w:rPr>
                <w:rFonts w:ascii="Times New Roman" w:hAnsi="Times New Roman"/>
                <w:sz w:val="24"/>
              </w:rPr>
              <w:t>’</w:t>
            </w:r>
            <w:r w:rsidRPr="00D51A68">
              <w:rPr>
                <w:rFonts w:ascii="Times New Roman" w:hAnsi="Times New Roman"/>
                <w:sz w:val="24"/>
              </w:rPr>
              <w:t>ente applicherebbe alla posizione all</w:t>
            </w:r>
            <w:r w:rsidR="0009277C" w:rsidRPr="00D51A68">
              <w:rPr>
                <w:rFonts w:ascii="Times New Roman" w:hAnsi="Times New Roman"/>
                <w:sz w:val="24"/>
              </w:rPr>
              <w:t>’</w:t>
            </w:r>
            <w:r w:rsidRPr="00D51A68">
              <w:rPr>
                <w:rFonts w:ascii="Times New Roman" w:hAnsi="Times New Roman"/>
                <w:sz w:val="24"/>
              </w:rPr>
              <w:t>esterno del suo portafoglio di negoziazione.</w:t>
            </w:r>
          </w:p>
          <w:p w:rsidR="006B4AC8" w:rsidRPr="00D51A68" w:rsidRDefault="006B4AC8" w:rsidP="006B4AC8">
            <w:pPr>
              <w:autoSpaceDE w:val="0"/>
              <w:autoSpaceDN w:val="0"/>
              <w:adjustRightInd w:val="0"/>
              <w:spacing w:before="0" w:after="0"/>
              <w:jc w:val="left"/>
              <w:rPr>
                <w:rFonts w:ascii="Times New Roman" w:hAnsi="Times New Roman"/>
                <w:sz w:val="24"/>
              </w:rPr>
            </w:pPr>
            <w:r w:rsidRPr="00D51A68">
              <w:rPr>
                <w:rFonts w:ascii="Times New Roman" w:hAnsi="Times New Roman"/>
                <w:sz w:val="24"/>
              </w:rPr>
              <w:t xml:space="preserve">Sono utilizzati </w:t>
            </w:r>
            <w:r w:rsidR="0009277C" w:rsidRPr="00D51A68">
              <w:rPr>
                <w:rFonts w:ascii="Times New Roman" w:hAnsi="Times New Roman"/>
                <w:sz w:val="24"/>
              </w:rPr>
              <w:t>“</w:t>
            </w:r>
            <w:r w:rsidRPr="00D51A68">
              <w:rPr>
                <w:rFonts w:ascii="Times New Roman" w:hAnsi="Times New Roman"/>
                <w:sz w:val="24"/>
              </w:rPr>
              <w:t>metodi multipli</w:t>
            </w:r>
            <w:r w:rsidR="0009277C" w:rsidRPr="00D51A68">
              <w:rPr>
                <w:rFonts w:ascii="Times New Roman" w:hAnsi="Times New Roman"/>
                <w:sz w:val="24"/>
              </w:rPr>
              <w:t>”</w:t>
            </w:r>
            <w:r w:rsidRPr="00D51A68">
              <w:rPr>
                <w:rFonts w:ascii="Times New Roman" w:hAnsi="Times New Roman"/>
                <w:sz w:val="24"/>
              </w:rPr>
              <w:t xml:space="preserve"> se l</w:t>
            </w:r>
            <w:r w:rsidR="0009277C" w:rsidRPr="00D51A68">
              <w:rPr>
                <w:rFonts w:ascii="Times New Roman" w:hAnsi="Times New Roman"/>
                <w:sz w:val="24"/>
              </w:rPr>
              <w:t>’</w:t>
            </w:r>
            <w:r w:rsidRPr="00D51A68">
              <w:rPr>
                <w:rFonts w:ascii="Times New Roman" w:hAnsi="Times New Roman"/>
                <w:sz w:val="24"/>
              </w:rPr>
              <w:t>ente partecipa ad un</w:t>
            </w:r>
            <w:r w:rsidR="0009277C" w:rsidRPr="00D51A68">
              <w:rPr>
                <w:rFonts w:ascii="Times New Roman" w:hAnsi="Times New Roman"/>
                <w:sz w:val="24"/>
              </w:rPr>
              <w:t>’</w:t>
            </w:r>
            <w:r w:rsidRPr="00D51A68">
              <w:rPr>
                <w:rFonts w:ascii="Times New Roman" w:hAnsi="Times New Roman"/>
                <w:sz w:val="24"/>
              </w:rPr>
              <w:t>operazione di cartolarizzazione o vi è esposto in molteplici modi e applica metodi diversi per il calcolo dei requisiti di fondi propri nei suoi diversi ruoli o per le sue diverse esposizioni.</w:t>
            </w:r>
          </w:p>
          <w:p w:rsidR="008726CA" w:rsidRPr="00D51A68" w:rsidRDefault="008726CA" w:rsidP="00612780">
            <w:pPr>
              <w:spacing w:before="0" w:after="0"/>
              <w:jc w:val="left"/>
              <w:rPr>
                <w:rFonts w:ascii="Times New Roman" w:hAnsi="Times New Roman"/>
                <w:b/>
                <w:sz w:val="24"/>
                <w:u w:val="single"/>
              </w:rPr>
            </w:pPr>
          </w:p>
        </w:tc>
      </w:tr>
      <w:tr w:rsidR="006B4AC8" w:rsidRPr="00D51A68" w:rsidTr="00672D2A">
        <w:tc>
          <w:tcPr>
            <w:tcW w:w="1101" w:type="dxa"/>
          </w:tcPr>
          <w:p w:rsidR="006B4AC8" w:rsidRPr="00D51A68" w:rsidRDefault="006B4AC8" w:rsidP="00612780">
            <w:pPr>
              <w:autoSpaceDE w:val="0"/>
              <w:autoSpaceDN w:val="0"/>
              <w:adjustRightInd w:val="0"/>
              <w:spacing w:before="0" w:after="0"/>
              <w:rPr>
                <w:rFonts w:ascii="Times New Roman" w:hAnsi="Times New Roman"/>
                <w:sz w:val="24"/>
              </w:rPr>
            </w:pPr>
            <w:r w:rsidRPr="00D51A68">
              <w:rPr>
                <w:rFonts w:ascii="Times New Roman" w:hAnsi="Times New Roman"/>
                <w:sz w:val="24"/>
              </w:rPr>
              <w:lastRenderedPageBreak/>
              <w:t>446</w:t>
            </w:r>
          </w:p>
        </w:tc>
        <w:tc>
          <w:tcPr>
            <w:tcW w:w="7903" w:type="dxa"/>
          </w:tcPr>
          <w:p w:rsidR="006B4AC8" w:rsidRPr="00D51A68" w:rsidRDefault="006B4AC8" w:rsidP="009A1A9B">
            <w:pPr>
              <w:spacing w:before="0" w:after="0"/>
              <w:jc w:val="left"/>
              <w:rPr>
                <w:rFonts w:ascii="Times New Roman" w:hAnsi="Times New Roman"/>
                <w:b/>
                <w:sz w:val="24"/>
                <w:u w:val="single"/>
              </w:rPr>
            </w:pPr>
            <w:r w:rsidRPr="00D51A68">
              <w:rPr>
                <w:rFonts w:ascii="Times New Roman" w:hAnsi="Times New Roman"/>
                <w:b/>
                <w:sz w:val="24"/>
                <w:u w:val="single"/>
              </w:rPr>
              <w:t>CARTOLARIZZAZIONI AMMISSIBILI AL TRATTAMENTO DIFFERENZIATO AI FINI PATRIMONIALI</w:t>
            </w:r>
          </w:p>
          <w:p w:rsidR="006B4AC8" w:rsidRPr="00D51A68" w:rsidRDefault="006B4AC8" w:rsidP="009A1A9B">
            <w:pPr>
              <w:spacing w:before="0" w:after="0"/>
              <w:jc w:val="left"/>
              <w:rPr>
                <w:rFonts w:ascii="Times New Roman" w:hAnsi="Times New Roman"/>
                <w:sz w:val="24"/>
              </w:rPr>
            </w:pPr>
          </w:p>
          <w:p w:rsidR="006B4AC8" w:rsidRPr="00D51A68" w:rsidRDefault="004D2753" w:rsidP="009A1A9B">
            <w:pPr>
              <w:spacing w:before="0" w:after="0"/>
              <w:jc w:val="left"/>
              <w:rPr>
                <w:rFonts w:ascii="Times New Roman" w:hAnsi="Times New Roman"/>
                <w:sz w:val="24"/>
              </w:rPr>
            </w:pPr>
            <w:r w:rsidRPr="00D51A68">
              <w:rPr>
                <w:rFonts w:ascii="Times New Roman" w:hAnsi="Times New Roman"/>
                <w:sz w:val="24"/>
              </w:rPr>
              <w:t>Nelle date di riferimento per le segnalazioni successive al 1° gennaio 2019, articoli 243 e 270 del CRR</w:t>
            </w:r>
          </w:p>
          <w:p w:rsidR="006B4AC8" w:rsidRPr="00D51A68" w:rsidRDefault="006B4AC8" w:rsidP="009A1A9B">
            <w:pPr>
              <w:spacing w:before="0" w:after="0"/>
              <w:jc w:val="left"/>
              <w:rPr>
                <w:rFonts w:ascii="Times New Roman" w:hAnsi="Times New Roman"/>
                <w:sz w:val="24"/>
              </w:rPr>
            </w:pPr>
          </w:p>
          <w:p w:rsidR="006B4AC8" w:rsidRPr="00D51A68" w:rsidRDefault="006B4AC8" w:rsidP="009A1A9B">
            <w:pPr>
              <w:spacing w:before="0" w:after="0"/>
              <w:jc w:val="left"/>
              <w:rPr>
                <w:rFonts w:ascii="Times New Roman" w:hAnsi="Times New Roman"/>
                <w:sz w:val="24"/>
              </w:rPr>
            </w:pPr>
            <w:r w:rsidRPr="00D51A68">
              <w:rPr>
                <w:rFonts w:ascii="Times New Roman" w:hAnsi="Times New Roman"/>
                <w:sz w:val="24"/>
              </w:rPr>
              <w:t>Inserire una delle seguenti abbreviazioni:</w:t>
            </w:r>
          </w:p>
          <w:p w:rsidR="00261B63" w:rsidRPr="00D51A68" w:rsidRDefault="006B4AC8" w:rsidP="009A1A9B">
            <w:pPr>
              <w:spacing w:before="0" w:after="0"/>
              <w:jc w:val="left"/>
              <w:rPr>
                <w:rFonts w:ascii="Times New Roman" w:hAnsi="Times New Roman"/>
                <w:sz w:val="24"/>
              </w:rPr>
            </w:pPr>
            <w:r w:rsidRPr="00D51A68">
              <w:rPr>
                <w:rFonts w:ascii="Times New Roman" w:hAnsi="Times New Roman"/>
                <w:sz w:val="24"/>
              </w:rPr>
              <w:t>Y</w:t>
            </w:r>
            <w:r w:rsidR="00A0772B" w:rsidRPr="00D51A68">
              <w:tab/>
            </w:r>
            <w:r w:rsidRPr="00D51A68">
              <w:rPr>
                <w:rFonts w:ascii="Times New Roman" w:hAnsi="Times New Roman"/>
                <w:sz w:val="24"/>
              </w:rPr>
              <w:t>– Sì</w:t>
            </w:r>
          </w:p>
          <w:p w:rsidR="006B4AC8" w:rsidRPr="00D51A68" w:rsidRDefault="006B4AC8" w:rsidP="009A1A9B">
            <w:pPr>
              <w:spacing w:before="0" w:after="0"/>
              <w:jc w:val="left"/>
              <w:rPr>
                <w:rFonts w:ascii="Times New Roman" w:hAnsi="Times New Roman"/>
                <w:sz w:val="24"/>
              </w:rPr>
            </w:pPr>
            <w:r w:rsidRPr="00D51A68">
              <w:rPr>
                <w:rFonts w:ascii="Times New Roman" w:hAnsi="Times New Roman"/>
                <w:sz w:val="24"/>
              </w:rPr>
              <w:t>N</w:t>
            </w:r>
            <w:r w:rsidR="00A0772B" w:rsidRPr="00D51A68">
              <w:tab/>
            </w:r>
            <w:r w:rsidRPr="00D51A68">
              <w:rPr>
                <w:rFonts w:ascii="Times New Roman" w:hAnsi="Times New Roman"/>
                <w:sz w:val="24"/>
              </w:rPr>
              <w:t>– No</w:t>
            </w:r>
          </w:p>
          <w:p w:rsidR="00640475" w:rsidRPr="00D51A68" w:rsidRDefault="00640475" w:rsidP="009A1A9B">
            <w:pPr>
              <w:spacing w:before="0" w:after="0"/>
              <w:jc w:val="left"/>
              <w:rPr>
                <w:rFonts w:ascii="Times New Roman" w:hAnsi="Times New Roman"/>
                <w:b/>
                <w:sz w:val="24"/>
                <w:u w:val="single"/>
              </w:rPr>
            </w:pPr>
          </w:p>
          <w:p w:rsidR="00261B63" w:rsidRPr="00D51A68" w:rsidRDefault="0009277C" w:rsidP="002B5F2D">
            <w:pPr>
              <w:spacing w:before="0" w:after="0"/>
              <w:jc w:val="left"/>
              <w:rPr>
                <w:rFonts w:ascii="Times New Roman" w:hAnsi="Times New Roman"/>
                <w:b/>
                <w:sz w:val="24"/>
                <w:u w:val="single"/>
              </w:rPr>
            </w:pPr>
            <w:r w:rsidRPr="00D51A68">
              <w:rPr>
                <w:rFonts w:ascii="Times New Roman" w:hAnsi="Times New Roman"/>
                <w:sz w:val="24"/>
              </w:rPr>
              <w:t>‘</w:t>
            </w:r>
            <w:r w:rsidR="00261B63" w:rsidRPr="00D51A68">
              <w:rPr>
                <w:rFonts w:ascii="Times New Roman" w:hAnsi="Times New Roman"/>
                <w:sz w:val="24"/>
              </w:rPr>
              <w:t>Sì</w:t>
            </w:r>
            <w:r w:rsidRPr="00D51A68">
              <w:rPr>
                <w:rFonts w:ascii="Times New Roman" w:hAnsi="Times New Roman"/>
                <w:sz w:val="24"/>
              </w:rPr>
              <w:t>’</w:t>
            </w:r>
            <w:r w:rsidR="00261B63" w:rsidRPr="00D51A68">
              <w:rPr>
                <w:rFonts w:ascii="Times New Roman" w:hAnsi="Times New Roman"/>
                <w:sz w:val="24"/>
              </w:rPr>
              <w:t xml:space="preserve"> va indicato sia in caso di cartolarizzazioni STS ammissibili al trattamento differenziato ai fini patrimoniali a norma dell</w:t>
            </w:r>
            <w:r w:rsidRPr="00D51A68">
              <w:rPr>
                <w:rFonts w:ascii="Times New Roman" w:hAnsi="Times New Roman"/>
                <w:sz w:val="24"/>
              </w:rPr>
              <w:t>’</w:t>
            </w:r>
            <w:r w:rsidR="00261B63" w:rsidRPr="00D51A68">
              <w:rPr>
                <w:rFonts w:ascii="Times New Roman" w:hAnsi="Times New Roman"/>
                <w:sz w:val="24"/>
              </w:rPr>
              <w:t>articolo 243 del CRR che in caso di posizioni senior verso cartolarizzazioni delle PMI (non STS) ammissibili a tale trattamento a norma dell</w:t>
            </w:r>
            <w:r w:rsidRPr="00D51A68">
              <w:rPr>
                <w:rFonts w:ascii="Times New Roman" w:hAnsi="Times New Roman"/>
                <w:sz w:val="24"/>
              </w:rPr>
              <w:t>’</w:t>
            </w:r>
            <w:r w:rsidR="00261B63" w:rsidRPr="00D51A68">
              <w:rPr>
                <w:rFonts w:ascii="Times New Roman" w:hAnsi="Times New Roman"/>
                <w:sz w:val="24"/>
              </w:rPr>
              <w:t>articolo 270 del CRR.</w:t>
            </w:r>
          </w:p>
        </w:tc>
      </w:tr>
      <w:tr w:rsidR="00612780" w:rsidRPr="00D51A68" w:rsidTr="00672D2A">
        <w:tc>
          <w:tcPr>
            <w:tcW w:w="1101" w:type="dxa"/>
            <w:shd w:val="clear" w:color="auto" w:fill="auto"/>
          </w:tcPr>
          <w:p w:rsidR="00612780" w:rsidRPr="00D51A68"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450-510</w:t>
            </w:r>
          </w:p>
        </w:tc>
        <w:tc>
          <w:tcPr>
            <w:tcW w:w="7903" w:type="dxa"/>
            <w:shd w:val="clear" w:color="auto" w:fill="auto"/>
          </w:tcPr>
          <w:p w:rsidR="00612780" w:rsidRPr="00D51A68" w:rsidRDefault="00612780" w:rsidP="00612780">
            <w:pPr>
              <w:spacing w:before="0" w:after="0"/>
              <w:jc w:val="left"/>
              <w:rPr>
                <w:rFonts w:ascii="Times New Roman" w:hAnsi="Times New Roman"/>
                <w:b/>
                <w:sz w:val="24"/>
                <w:u w:val="single"/>
              </w:rPr>
            </w:pPr>
            <w:r w:rsidRPr="00D51A68">
              <w:rPr>
                <w:rFonts w:ascii="Times New Roman" w:hAnsi="Times New Roman"/>
                <w:b/>
                <w:sz w:val="24"/>
                <w:u w:val="single"/>
              </w:rPr>
              <w:t>POSIZIONI VERSO LA CARTOLARIZZAZIONE — PORTAFOGLIO DI NEGOZIAZIONE</w:t>
            </w:r>
          </w:p>
          <w:p w:rsidR="00612780" w:rsidRPr="00D51A68" w:rsidRDefault="00612780" w:rsidP="00612780">
            <w:pPr>
              <w:spacing w:before="0" w:after="0"/>
              <w:jc w:val="left"/>
              <w:rPr>
                <w:rFonts w:ascii="Times New Roman" w:hAnsi="Times New Roman"/>
                <w:b/>
                <w:sz w:val="24"/>
                <w:u w:val="single"/>
              </w:rPr>
            </w:pPr>
          </w:p>
        </w:tc>
      </w:tr>
      <w:tr w:rsidR="00612780" w:rsidRPr="00D51A68" w:rsidTr="00672D2A">
        <w:tc>
          <w:tcPr>
            <w:tcW w:w="1101" w:type="dxa"/>
            <w:tcBorders>
              <w:top w:val="single" w:sz="4" w:space="0" w:color="auto"/>
              <w:left w:val="single" w:sz="4" w:space="0" w:color="auto"/>
              <w:bottom w:val="single" w:sz="4" w:space="0" w:color="auto"/>
              <w:right w:val="single" w:sz="4" w:space="0" w:color="auto"/>
            </w:tcBorders>
            <w:shd w:val="clear" w:color="auto" w:fill="auto"/>
          </w:tcPr>
          <w:p w:rsidR="00612780" w:rsidRPr="00D51A68" w:rsidDel="00304CB1"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450</w:t>
            </w: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612780" w:rsidRPr="00D51A68" w:rsidRDefault="00612780" w:rsidP="00612780">
            <w:pPr>
              <w:spacing w:before="0" w:after="0"/>
              <w:jc w:val="left"/>
              <w:rPr>
                <w:rFonts w:ascii="Times New Roman" w:hAnsi="Times New Roman"/>
                <w:b/>
                <w:sz w:val="24"/>
                <w:u w:val="single"/>
              </w:rPr>
            </w:pPr>
            <w:r w:rsidRPr="00D51A68">
              <w:rPr>
                <w:rFonts w:ascii="Times New Roman" w:hAnsi="Times New Roman"/>
                <w:b/>
                <w:sz w:val="24"/>
                <w:u w:val="single"/>
              </w:rPr>
              <w:t>CTP O NON CTP?</w:t>
            </w:r>
          </w:p>
          <w:p w:rsidR="00612780" w:rsidRPr="00D51A68" w:rsidRDefault="00612780" w:rsidP="00612780">
            <w:pPr>
              <w:spacing w:before="0" w:after="0"/>
              <w:jc w:val="left"/>
              <w:rPr>
                <w:rStyle w:val="InstructionsTabelleText"/>
                <w:rFonts w:ascii="Times New Roman" w:hAnsi="Times New Roman"/>
                <w:sz w:val="24"/>
              </w:rPr>
            </w:pPr>
          </w:p>
          <w:p w:rsidR="00612780" w:rsidRPr="00D51A68" w:rsidRDefault="00612780" w:rsidP="00612780">
            <w:pPr>
              <w:spacing w:before="0" w:after="0"/>
              <w:jc w:val="left"/>
              <w:rPr>
                <w:rStyle w:val="InstructionsTabelleText"/>
                <w:rFonts w:ascii="Times New Roman" w:hAnsi="Times New Roman"/>
                <w:sz w:val="24"/>
              </w:rPr>
            </w:pPr>
            <w:r w:rsidRPr="00D51A68">
              <w:rPr>
                <w:rStyle w:val="InstructionsTabelleText"/>
                <w:rFonts w:ascii="Times New Roman" w:hAnsi="Times New Roman"/>
                <w:sz w:val="24"/>
              </w:rPr>
              <w:t>Inserire le seguenti abbreviazioni:</w:t>
            </w:r>
          </w:p>
          <w:p w:rsidR="00612780" w:rsidRPr="00D51A68" w:rsidRDefault="00612780" w:rsidP="00612780">
            <w:pPr>
              <w:spacing w:before="0" w:after="0"/>
              <w:jc w:val="left"/>
              <w:rPr>
                <w:rStyle w:val="InstructionsTabelleText"/>
                <w:rFonts w:ascii="Times New Roman" w:hAnsi="Times New Roman"/>
                <w:sz w:val="24"/>
              </w:rPr>
            </w:pPr>
            <w:r w:rsidRPr="00D51A68">
              <w:rPr>
                <w:rStyle w:val="InstructionsTabelleText"/>
                <w:rFonts w:ascii="Times New Roman" w:hAnsi="Times New Roman"/>
                <w:sz w:val="24"/>
              </w:rPr>
              <w:t>C — Portafoglio di negoziazione di correlazione (CTP)</w:t>
            </w:r>
          </w:p>
          <w:p w:rsidR="00612780" w:rsidRPr="00D51A68" w:rsidRDefault="00612780" w:rsidP="00612780">
            <w:pPr>
              <w:spacing w:before="0" w:after="0"/>
              <w:jc w:val="left"/>
              <w:rPr>
                <w:rStyle w:val="InstructionsTabelleText"/>
                <w:rFonts w:ascii="Times New Roman" w:hAnsi="Times New Roman"/>
                <w:sz w:val="24"/>
              </w:rPr>
            </w:pPr>
            <w:r w:rsidRPr="00D51A68">
              <w:rPr>
                <w:rStyle w:val="InstructionsTabelleText"/>
                <w:rFonts w:ascii="Times New Roman" w:hAnsi="Times New Roman"/>
                <w:sz w:val="24"/>
              </w:rPr>
              <w:t>N — Non CTP</w:t>
            </w:r>
          </w:p>
          <w:p w:rsidR="00612780" w:rsidRPr="00D51A68" w:rsidRDefault="00612780" w:rsidP="00612780">
            <w:pPr>
              <w:spacing w:before="0" w:after="0"/>
              <w:jc w:val="left"/>
              <w:rPr>
                <w:rFonts w:ascii="Times New Roman" w:hAnsi="Times New Roman"/>
                <w:b/>
                <w:sz w:val="24"/>
                <w:u w:val="single"/>
              </w:rPr>
            </w:pPr>
          </w:p>
        </w:tc>
      </w:tr>
      <w:tr w:rsidR="00612780" w:rsidRPr="00D51A68" w:rsidTr="00672D2A">
        <w:tc>
          <w:tcPr>
            <w:tcW w:w="1101" w:type="dxa"/>
            <w:tcBorders>
              <w:top w:val="single" w:sz="4" w:space="0" w:color="auto"/>
              <w:left w:val="single" w:sz="4" w:space="0" w:color="auto"/>
              <w:bottom w:val="single" w:sz="4" w:space="0" w:color="auto"/>
              <w:right w:val="single" w:sz="4" w:space="0" w:color="auto"/>
            </w:tcBorders>
            <w:shd w:val="clear" w:color="auto" w:fill="auto"/>
          </w:tcPr>
          <w:p w:rsidR="00612780" w:rsidRPr="00D51A68" w:rsidDel="00304CB1"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460-470</w:t>
            </w: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612780" w:rsidRPr="00D51A68" w:rsidRDefault="00612780" w:rsidP="00612780">
            <w:pPr>
              <w:spacing w:before="0" w:after="0"/>
              <w:jc w:val="left"/>
              <w:rPr>
                <w:rStyle w:val="InstructionsTabelleberschrift"/>
                <w:rFonts w:ascii="Times New Roman" w:hAnsi="Times New Roman"/>
                <w:sz w:val="24"/>
              </w:rPr>
            </w:pPr>
            <w:r w:rsidRPr="00D51A68">
              <w:rPr>
                <w:rStyle w:val="InstructionsTabelleberschrift"/>
                <w:rFonts w:ascii="Times New Roman" w:hAnsi="Times New Roman"/>
                <w:sz w:val="24"/>
              </w:rPr>
              <w:t>POSIZIONI NETTE — LUNGHE/CORTE</w:t>
            </w:r>
          </w:p>
          <w:p w:rsidR="00612780" w:rsidRPr="00D51A68" w:rsidRDefault="00612780" w:rsidP="00612780">
            <w:pPr>
              <w:spacing w:before="0" w:after="0"/>
              <w:jc w:val="left"/>
              <w:rPr>
                <w:rFonts w:ascii="Times New Roman" w:hAnsi="Times New Roman"/>
                <w:b/>
                <w:sz w:val="24"/>
                <w:u w:val="single"/>
              </w:rPr>
            </w:pPr>
          </w:p>
          <w:p w:rsidR="00612780" w:rsidRPr="00D51A68" w:rsidRDefault="00612780" w:rsidP="00612780">
            <w:pPr>
              <w:spacing w:before="0" w:after="0"/>
              <w:jc w:val="left"/>
              <w:rPr>
                <w:rFonts w:ascii="Times New Roman" w:hAnsi="Times New Roman"/>
                <w:b/>
                <w:sz w:val="24"/>
                <w:u w:val="single"/>
              </w:rPr>
            </w:pPr>
            <w:r w:rsidRPr="00D51A68">
              <w:rPr>
                <w:rStyle w:val="InstructionsTabelleText"/>
                <w:rFonts w:ascii="Times New Roman" w:hAnsi="Times New Roman"/>
                <w:sz w:val="24"/>
              </w:rPr>
              <w:t xml:space="preserve">Cfr., rispettivamente, le colonne 050/060 del modello MKR SA SEC o del modello MKR SA CTP. </w:t>
            </w:r>
          </w:p>
        </w:tc>
      </w:tr>
      <w:tr w:rsidR="00612780" w:rsidRPr="00D51A68" w:rsidTr="00672D2A">
        <w:tc>
          <w:tcPr>
            <w:tcW w:w="1101" w:type="dxa"/>
            <w:tcBorders>
              <w:top w:val="single" w:sz="4" w:space="0" w:color="auto"/>
              <w:left w:val="single" w:sz="4" w:space="0" w:color="auto"/>
              <w:bottom w:val="single" w:sz="4" w:space="0" w:color="auto"/>
              <w:right w:val="single" w:sz="4" w:space="0" w:color="auto"/>
            </w:tcBorders>
            <w:shd w:val="clear" w:color="auto" w:fill="auto"/>
          </w:tcPr>
          <w:p w:rsidR="00612780" w:rsidRPr="00D51A68" w:rsidDel="00304CB1" w:rsidRDefault="00612780" w:rsidP="00612780">
            <w:pPr>
              <w:autoSpaceDE w:val="0"/>
              <w:autoSpaceDN w:val="0"/>
              <w:adjustRightInd w:val="0"/>
              <w:spacing w:before="0" w:after="0"/>
              <w:rPr>
                <w:rFonts w:ascii="Times New Roman" w:hAnsi="Times New Roman"/>
                <w:sz w:val="24"/>
              </w:rPr>
            </w:pPr>
            <w:r w:rsidRPr="00D51A68">
              <w:rPr>
                <w:rFonts w:ascii="Times New Roman" w:hAnsi="Times New Roman"/>
                <w:sz w:val="24"/>
              </w:rPr>
              <w:t>480</w:t>
            </w: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612780" w:rsidRPr="00D51A68" w:rsidRDefault="00612780" w:rsidP="00612780">
            <w:pPr>
              <w:spacing w:before="0" w:after="0"/>
              <w:jc w:val="left"/>
              <w:rPr>
                <w:rStyle w:val="InstructionsTabelleberschrift"/>
                <w:rFonts w:ascii="Times New Roman" w:hAnsi="Times New Roman"/>
                <w:sz w:val="24"/>
              </w:rPr>
            </w:pPr>
            <w:r w:rsidRPr="00D51A68">
              <w:rPr>
                <w:rStyle w:val="InstructionsTabelleberschrift"/>
                <w:rFonts w:ascii="Times New Roman" w:hAnsi="Times New Roman"/>
                <w:sz w:val="24"/>
              </w:rPr>
              <w:t>REQUISITI DI FONDI PROPRI TOTALI (METODO STANDARDIZZATO) — RISCHIO SPECIFICO</w:t>
            </w:r>
          </w:p>
          <w:p w:rsidR="00612780" w:rsidRPr="00D51A68" w:rsidRDefault="00612780" w:rsidP="00612780">
            <w:pPr>
              <w:spacing w:before="0" w:after="0"/>
              <w:jc w:val="left"/>
              <w:rPr>
                <w:rFonts w:ascii="Times New Roman" w:hAnsi="Times New Roman"/>
                <w:b/>
                <w:sz w:val="24"/>
                <w:u w:val="single"/>
              </w:rPr>
            </w:pPr>
          </w:p>
          <w:p w:rsidR="00612780" w:rsidRPr="00D51A68" w:rsidRDefault="00612780" w:rsidP="00612780">
            <w:pPr>
              <w:spacing w:before="0" w:after="0"/>
              <w:jc w:val="left"/>
              <w:rPr>
                <w:rFonts w:ascii="Times New Roman" w:hAnsi="Times New Roman"/>
                <w:b/>
                <w:sz w:val="24"/>
                <w:u w:val="single"/>
              </w:rPr>
            </w:pPr>
            <w:r w:rsidRPr="00D51A68">
              <w:rPr>
                <w:rStyle w:val="InstructionsTabelleText"/>
                <w:rFonts w:ascii="Times New Roman" w:hAnsi="Times New Roman"/>
                <w:sz w:val="24"/>
              </w:rPr>
              <w:t xml:space="preserve">Cfr., rispettivamente, la colonna 610 del </w:t>
            </w:r>
            <w:r w:rsidR="00C9052E" w:rsidRPr="00D51A68">
              <w:rPr>
                <w:rStyle w:val="InstructionsTabelleText"/>
                <w:rFonts w:ascii="Times New Roman" w:hAnsi="Times New Roman"/>
                <w:sz w:val="24"/>
              </w:rPr>
              <w:t>modello MKR SA SEC o la colonna </w:t>
            </w:r>
            <w:r w:rsidRPr="00D51A68">
              <w:rPr>
                <w:rStyle w:val="InstructionsTabelleText"/>
                <w:rFonts w:ascii="Times New Roman" w:hAnsi="Times New Roman"/>
                <w:sz w:val="24"/>
              </w:rPr>
              <w:t xml:space="preserve">450 del modello MKR SA CTP. </w:t>
            </w:r>
          </w:p>
        </w:tc>
      </w:tr>
    </w:tbl>
    <w:p w:rsidR="00612780" w:rsidRPr="00D51A68" w:rsidRDefault="00612780">
      <w:pPr>
        <w:spacing w:before="0" w:after="0"/>
        <w:jc w:val="left"/>
        <w:rPr>
          <w:rStyle w:val="InstructionsTabelleText"/>
          <w:rFonts w:ascii="Times New Roman" w:hAnsi="Times New Roman"/>
          <w:sz w:val="24"/>
        </w:rPr>
      </w:pPr>
    </w:p>
    <w:p w:rsidR="00AC6255" w:rsidRPr="00D51A68" w:rsidRDefault="00CE4C49" w:rsidP="0023700C">
      <w:pPr>
        <w:pStyle w:val="Instructionsberschrift2"/>
        <w:numPr>
          <w:ilvl w:val="0"/>
          <w:numId w:val="0"/>
        </w:numPr>
        <w:ind w:left="357" w:hanging="357"/>
        <w:rPr>
          <w:rFonts w:ascii="Times New Roman" w:hAnsi="Times New Roman" w:cs="Times New Roman"/>
          <w:sz w:val="24"/>
        </w:rPr>
      </w:pPr>
      <w:bookmarkStart w:id="493" w:name="_Toc260157222"/>
      <w:bookmarkStart w:id="494" w:name="_Toc262566416"/>
      <w:bookmarkStart w:id="495" w:name="_Toc295829987"/>
      <w:bookmarkStart w:id="496" w:name="_Toc310415049"/>
      <w:bookmarkStart w:id="497" w:name="_Toc360188384"/>
      <w:bookmarkStart w:id="498" w:name="_Toc516210670"/>
      <w:bookmarkStart w:id="499" w:name="_Toc473560935"/>
      <w:bookmarkStart w:id="500" w:name="_Toc524096615"/>
      <w:bookmarkStart w:id="501" w:name="_Toc260157223"/>
      <w:bookmarkStart w:id="502" w:name="_Toc262566417"/>
      <w:bookmarkStart w:id="503" w:name="_Toc264038462"/>
      <w:bookmarkStart w:id="504" w:name="_Toc295829988"/>
      <w:bookmarkStart w:id="505" w:name="_Toc310415050"/>
      <w:r w:rsidRPr="00D51A68">
        <w:rPr>
          <w:rFonts w:ascii="Times New Roman" w:hAnsi="Times New Roman"/>
          <w:sz w:val="24"/>
          <w:u w:val="none"/>
        </w:rPr>
        <w:lastRenderedPageBreak/>
        <w:t>4.</w:t>
      </w:r>
      <w:r w:rsidR="00A0772B" w:rsidRPr="00D51A68">
        <w:rPr>
          <w:u w:val="none"/>
        </w:rPr>
        <w:tab/>
      </w:r>
      <w:r w:rsidRPr="00D51A68">
        <w:rPr>
          <w:rFonts w:ascii="Times New Roman" w:hAnsi="Times New Roman"/>
          <w:sz w:val="24"/>
        </w:rPr>
        <w:t>Modelli relativi al rischio operativo</w:t>
      </w:r>
      <w:bookmarkEnd w:id="493"/>
      <w:bookmarkEnd w:id="494"/>
      <w:bookmarkEnd w:id="495"/>
      <w:bookmarkEnd w:id="496"/>
      <w:bookmarkEnd w:id="497"/>
      <w:bookmarkEnd w:id="498"/>
      <w:bookmarkEnd w:id="499"/>
      <w:bookmarkEnd w:id="500"/>
    </w:p>
    <w:p w:rsidR="00AC6255" w:rsidRPr="00D51A68" w:rsidRDefault="00CE4C49" w:rsidP="0023700C">
      <w:pPr>
        <w:pStyle w:val="Instructionsberschrift2"/>
        <w:numPr>
          <w:ilvl w:val="0"/>
          <w:numId w:val="0"/>
        </w:numPr>
        <w:ind w:left="357" w:hanging="357"/>
        <w:rPr>
          <w:rFonts w:ascii="Times New Roman" w:hAnsi="Times New Roman" w:cs="Times New Roman"/>
          <w:sz w:val="24"/>
        </w:rPr>
      </w:pPr>
      <w:bookmarkStart w:id="506" w:name="_Toc360188385"/>
      <w:bookmarkStart w:id="507" w:name="_Toc516210671"/>
      <w:bookmarkStart w:id="508" w:name="_Toc473560936"/>
      <w:bookmarkStart w:id="509" w:name="_Toc524096616"/>
      <w:r w:rsidRPr="00D51A68">
        <w:rPr>
          <w:rFonts w:ascii="Times New Roman" w:hAnsi="Times New Roman"/>
          <w:sz w:val="24"/>
          <w:u w:val="none"/>
        </w:rPr>
        <w:t>4.1</w:t>
      </w:r>
      <w:r w:rsidR="00A0772B" w:rsidRPr="00D51A68">
        <w:rPr>
          <w:u w:val="none"/>
        </w:rPr>
        <w:tab/>
      </w:r>
      <w:r w:rsidR="00A0772B" w:rsidRPr="00D51A68">
        <w:rPr>
          <w:u w:val="none"/>
        </w:rPr>
        <w:tab/>
      </w:r>
      <w:r w:rsidRPr="00D51A68">
        <w:rPr>
          <w:rFonts w:ascii="Times New Roman" w:hAnsi="Times New Roman"/>
          <w:sz w:val="24"/>
        </w:rPr>
        <w:t>C 16.00 — Rischio operativo</w:t>
      </w:r>
      <w:bookmarkEnd w:id="501"/>
      <w:bookmarkEnd w:id="502"/>
      <w:bookmarkEnd w:id="503"/>
      <w:bookmarkEnd w:id="504"/>
      <w:bookmarkEnd w:id="505"/>
      <w:bookmarkEnd w:id="506"/>
      <w:r w:rsidRPr="00D51A68">
        <w:rPr>
          <w:rFonts w:ascii="Times New Roman" w:hAnsi="Times New Roman"/>
          <w:sz w:val="24"/>
        </w:rPr>
        <w:t xml:space="preserve"> (OPR)</w:t>
      </w:r>
      <w:bookmarkEnd w:id="507"/>
      <w:bookmarkEnd w:id="508"/>
      <w:bookmarkEnd w:id="509"/>
    </w:p>
    <w:p w:rsidR="00AC6255" w:rsidRPr="00D51A68" w:rsidRDefault="00CE4C49" w:rsidP="0023700C">
      <w:pPr>
        <w:pStyle w:val="Instructionsberschrift2"/>
        <w:numPr>
          <w:ilvl w:val="0"/>
          <w:numId w:val="0"/>
        </w:numPr>
        <w:ind w:left="357" w:hanging="357"/>
        <w:rPr>
          <w:rFonts w:ascii="Times New Roman" w:hAnsi="Times New Roman" w:cs="Times New Roman"/>
          <w:sz w:val="24"/>
          <w:u w:val="none"/>
        </w:rPr>
      </w:pPr>
      <w:bookmarkStart w:id="510" w:name="_Toc260157224"/>
      <w:bookmarkStart w:id="511" w:name="_Toc262566418"/>
      <w:bookmarkStart w:id="512" w:name="_Toc264038463"/>
      <w:bookmarkStart w:id="513" w:name="_Toc295829989"/>
      <w:bookmarkStart w:id="514" w:name="_Toc310415051"/>
      <w:bookmarkStart w:id="515" w:name="_Toc360188386"/>
      <w:bookmarkStart w:id="516" w:name="_Toc516210672"/>
      <w:bookmarkStart w:id="517" w:name="_Toc473560937"/>
      <w:bookmarkStart w:id="518" w:name="_Toc524096617"/>
      <w:r w:rsidRPr="00D51A68">
        <w:rPr>
          <w:rFonts w:ascii="Times New Roman" w:hAnsi="Times New Roman"/>
          <w:sz w:val="24"/>
          <w:u w:val="none"/>
        </w:rPr>
        <w:t>4.1.1</w:t>
      </w:r>
      <w:r w:rsidR="00A0772B" w:rsidRPr="00D51A68">
        <w:rPr>
          <w:u w:val="none"/>
        </w:rPr>
        <w:tab/>
      </w:r>
      <w:r w:rsidRPr="00D51A68">
        <w:rPr>
          <w:rFonts w:ascii="Times New Roman" w:hAnsi="Times New Roman"/>
          <w:sz w:val="24"/>
          <w:u w:val="none"/>
        </w:rPr>
        <w:t>Osservazioni</w:t>
      </w:r>
      <w:bookmarkEnd w:id="510"/>
      <w:r w:rsidRPr="00D51A68">
        <w:rPr>
          <w:rFonts w:ascii="Times New Roman" w:hAnsi="Times New Roman"/>
          <w:sz w:val="24"/>
          <w:u w:val="none"/>
        </w:rPr>
        <w:t xml:space="preserve"> di carattere generale</w:t>
      </w:r>
      <w:bookmarkEnd w:id="511"/>
      <w:bookmarkEnd w:id="512"/>
      <w:bookmarkEnd w:id="513"/>
      <w:bookmarkEnd w:id="514"/>
      <w:bookmarkEnd w:id="515"/>
      <w:bookmarkEnd w:id="516"/>
      <w:bookmarkEnd w:id="517"/>
      <w:bookmarkEnd w:id="518"/>
      <w:r w:rsidRPr="00D51A68">
        <w:rPr>
          <w:rFonts w:ascii="Times New Roman" w:hAnsi="Times New Roman"/>
          <w:sz w:val="24"/>
          <w:u w:val="none"/>
        </w:rPr>
        <w:t xml:space="preserve"> </w:t>
      </w:r>
    </w:p>
    <w:p w:rsidR="00AC6255" w:rsidRPr="00D51A68" w:rsidRDefault="006660B9" w:rsidP="00C9052E">
      <w:pPr>
        <w:pStyle w:val="InstructionsText2"/>
        <w:numPr>
          <w:ilvl w:val="0"/>
          <w:numId w:val="0"/>
        </w:numPr>
        <w:ind w:left="993"/>
      </w:pPr>
      <w:r w:rsidRPr="00D51A68">
        <w:t>114.</w:t>
      </w:r>
      <w:r w:rsidR="00A0772B" w:rsidRPr="00D51A68">
        <w:tab/>
      </w:r>
      <w:r w:rsidRPr="00D51A68">
        <w:t>Questo modello contiene informazioni riguardanti il calcolo dei requisiti di fondi propri conformemente agli articoli da 312 a 324 del CRR per il rischio operativo secondo il metodo base (BIA), il metodo standardizzato (TSA), il metodo standardizzato alternativo (ASA) e il metodo avanzato di misurazione (AMA). L</w:t>
      </w:r>
      <w:r w:rsidR="0009277C" w:rsidRPr="00D51A68">
        <w:t>’</w:t>
      </w:r>
      <w:r w:rsidRPr="00D51A68">
        <w:t xml:space="preserve">ente non può applicare contemporaneamente, a livello individuale, i metodi TSA e ASA per le linee di business </w:t>
      </w:r>
      <w:r w:rsidR="0009277C" w:rsidRPr="00D51A68">
        <w:t>“</w:t>
      </w:r>
      <w:r w:rsidRPr="00D51A68">
        <w:t>servizi bancari al dettaglio</w:t>
      </w:r>
      <w:r w:rsidR="0009277C" w:rsidRPr="00D51A68">
        <w:t>”</w:t>
      </w:r>
      <w:r w:rsidRPr="00D51A68">
        <w:t xml:space="preserve"> e </w:t>
      </w:r>
      <w:r w:rsidR="0009277C" w:rsidRPr="00D51A68">
        <w:t>“</w:t>
      </w:r>
      <w:r w:rsidRPr="00D51A68">
        <w:t>servizi bancari a carattere commerciale</w:t>
      </w:r>
      <w:r w:rsidR="0009277C" w:rsidRPr="00D51A68">
        <w:t>”</w:t>
      </w:r>
      <w:r w:rsidRPr="00D51A68">
        <w:t>.</w:t>
      </w:r>
    </w:p>
    <w:p w:rsidR="00AC6255" w:rsidRPr="00D51A68" w:rsidRDefault="00125707" w:rsidP="00C9052E">
      <w:pPr>
        <w:pStyle w:val="InstructionsText2"/>
        <w:numPr>
          <w:ilvl w:val="0"/>
          <w:numId w:val="0"/>
        </w:numPr>
        <w:ind w:left="993"/>
      </w:pPr>
      <w:r w:rsidRPr="00D51A68">
        <w:t>115.</w:t>
      </w:r>
      <w:r w:rsidR="00A0772B" w:rsidRPr="00D51A68">
        <w:tab/>
      </w:r>
      <w:r w:rsidRPr="00D51A68">
        <w:t>Gli enti che applicano i metodi BIA, TSA e/o ASA calcolano i requisiti di fondi propri sulla base delle informazioni disponibili alla fine dell</w:t>
      </w:r>
      <w:r w:rsidR="0009277C" w:rsidRPr="00D51A68">
        <w:t>’</w:t>
      </w:r>
      <w:r w:rsidRPr="00D51A68">
        <w:t>esercizio finanziario. Se non sono disponibili dati sottoposti a revisione contabile, gli enti possono utilizzare stime aziendali. Se si utilizzano dati verificati mediante revisione contabile, gli enti segnalano tali dati, che dovrebbero restare invariati. Sono ammessi scostamenti da questo principio dell</w:t>
      </w:r>
      <w:r w:rsidR="0009277C" w:rsidRPr="00D51A68">
        <w:rPr>
          <w:rStyle w:val="InstructionsTabelleText"/>
          <w:rFonts w:ascii="Times New Roman" w:hAnsi="Times New Roman"/>
          <w:sz w:val="24"/>
        </w:rPr>
        <w:t>’“</w:t>
      </w:r>
      <w:r w:rsidRPr="00D51A68">
        <w:t>invarianza</w:t>
      </w:r>
      <w:r w:rsidR="0009277C" w:rsidRPr="00D51A68">
        <w:t>”</w:t>
      </w:r>
      <w:r w:rsidRPr="00D51A68">
        <w:t xml:space="preserve"> se, ad esempio, nel periodo in questione si verificano circostanze eccezionali, quali acquisizioni recenti o dismissioni di soggetti o attività. </w:t>
      </w:r>
    </w:p>
    <w:p w:rsidR="00AC6255" w:rsidRPr="00D51A68" w:rsidRDefault="00125707" w:rsidP="00C9052E">
      <w:pPr>
        <w:pStyle w:val="InstructionsText2"/>
        <w:numPr>
          <w:ilvl w:val="0"/>
          <w:numId w:val="0"/>
        </w:numPr>
        <w:ind w:left="993"/>
      </w:pPr>
      <w:r w:rsidRPr="00D51A68">
        <w:t>116.</w:t>
      </w:r>
      <w:r w:rsidR="00A0772B" w:rsidRPr="00D51A68">
        <w:tab/>
      </w:r>
      <w:r w:rsidRPr="00D51A68">
        <w:t>Se un ente può dimostrare all</w:t>
      </w:r>
      <w:r w:rsidR="0009277C" w:rsidRPr="00D51A68">
        <w:t>’</w:t>
      </w:r>
      <w:r w:rsidRPr="00D51A68">
        <w:t>autorità competente che, a causa di circostanze eccezionali, quali fusioni o dismissioni di soggetti o attività, l</w:t>
      </w:r>
      <w:r w:rsidR="0009277C" w:rsidRPr="00D51A68">
        <w:t>’</w:t>
      </w:r>
      <w:r w:rsidRPr="00D51A68">
        <w:t>utilizzo della media triennale per il calcolo dell</w:t>
      </w:r>
      <w:r w:rsidR="0009277C" w:rsidRPr="00D51A68">
        <w:t>’</w:t>
      </w:r>
      <w:r w:rsidRPr="00D51A68">
        <w:t>indicatore rilevante determinerebbe una stima distorta del requisito di fondi propri per il rischio operativo, l</w:t>
      </w:r>
      <w:r w:rsidR="0009277C" w:rsidRPr="00D51A68">
        <w:t>’</w:t>
      </w:r>
      <w:r w:rsidRPr="00D51A68">
        <w:t>autorità competente può autorizzare l</w:t>
      </w:r>
      <w:r w:rsidR="0009277C" w:rsidRPr="00D51A68">
        <w:t>’</w:t>
      </w:r>
      <w:r w:rsidRPr="00D51A68">
        <w:t>ente a modificare il calcolo in modo da poter tener conto di tali circostanze. L</w:t>
      </w:r>
      <w:r w:rsidR="0009277C" w:rsidRPr="00D51A68">
        <w:t>’</w:t>
      </w:r>
      <w:r w:rsidRPr="00D51A68">
        <w:t>autorità competente può inoltre agire di propria iniziativa e richiedere all</w:t>
      </w:r>
      <w:r w:rsidR="0009277C" w:rsidRPr="00D51A68">
        <w:t>’</w:t>
      </w:r>
      <w:r w:rsidRPr="00D51A68">
        <w:t>ente di modificare il calcolo. L</w:t>
      </w:r>
      <w:r w:rsidR="0009277C" w:rsidRPr="00D51A68">
        <w:t>’</w:t>
      </w:r>
      <w:r w:rsidRPr="00D51A68">
        <w:t>ente operativo da meno di tre anni può avvalersi di stime aziendali prospettiche per il calcolo dell</w:t>
      </w:r>
      <w:r w:rsidR="0009277C" w:rsidRPr="00D51A68">
        <w:t>’</w:t>
      </w:r>
      <w:r w:rsidRPr="00D51A68">
        <w:t>indicatore rilevante, purché inizi a utilizzare dati storici non appena siano disponibili.</w:t>
      </w:r>
    </w:p>
    <w:p w:rsidR="00AC6255" w:rsidRPr="00D51A68" w:rsidRDefault="00125707" w:rsidP="00C9052E">
      <w:pPr>
        <w:pStyle w:val="InstructionsText2"/>
        <w:numPr>
          <w:ilvl w:val="0"/>
          <w:numId w:val="0"/>
        </w:numPr>
        <w:ind w:left="993"/>
      </w:pPr>
      <w:r w:rsidRPr="00D51A68">
        <w:t>117.</w:t>
      </w:r>
      <w:r w:rsidR="00A0772B" w:rsidRPr="00D51A68">
        <w:tab/>
      </w:r>
      <w:r w:rsidRPr="00D51A68">
        <w:t>Nelle colonne il modello riporta anzitutto informazioni riguardanti l</w:t>
      </w:r>
      <w:r w:rsidR="0009277C" w:rsidRPr="00D51A68">
        <w:t>’</w:t>
      </w:r>
      <w:r w:rsidRPr="00D51A68">
        <w:t>importo dell</w:t>
      </w:r>
      <w:r w:rsidR="0009277C" w:rsidRPr="00D51A68">
        <w:t>’</w:t>
      </w:r>
      <w:r w:rsidRPr="00D51A68">
        <w:t>indicatore rilevante delle attività bancarie soggette al rischio operativo, nonché l</w:t>
      </w:r>
      <w:r w:rsidR="0009277C" w:rsidRPr="00D51A68">
        <w:t>’</w:t>
      </w:r>
      <w:r w:rsidRPr="00D51A68">
        <w:t>importo dei prestiti e degli anticipi (quest</w:t>
      </w:r>
      <w:r w:rsidR="0009277C" w:rsidRPr="00D51A68">
        <w:t>’</w:t>
      </w:r>
      <w:r w:rsidRPr="00D51A68">
        <w:t>ultimo solo in caso di applicazione del metodo ASA) per gli ultimi tre anni. Nelle colonne successive sono segnalate le informazioni riguardanti l</w:t>
      </w:r>
      <w:r w:rsidR="0009277C" w:rsidRPr="00D51A68">
        <w:t>’</w:t>
      </w:r>
      <w:r w:rsidRPr="00D51A68">
        <w:t>importo dei requisiti di fondi propri per il rischio operativo. Ove applicabile, si deve specificare la parte di tale importo dovuta a un meccanismo di attribuzione. Per quanto riguarda il metodo AMA, sono aggiunte voci per memoria per illustrare in dettaglio l</w:t>
      </w:r>
      <w:r w:rsidR="0009277C" w:rsidRPr="00D51A68">
        <w:t>’</w:t>
      </w:r>
      <w:r w:rsidRPr="00D51A68">
        <w:t>effetto delle perdite attese, della diversificazione e delle tecniche di attenuazione sul requisito di fondi propri per il rischio operativo.</w:t>
      </w:r>
    </w:p>
    <w:p w:rsidR="00AC6255" w:rsidRPr="00D51A68" w:rsidRDefault="00125707" w:rsidP="00C9052E">
      <w:pPr>
        <w:pStyle w:val="InstructionsText2"/>
        <w:numPr>
          <w:ilvl w:val="0"/>
          <w:numId w:val="0"/>
        </w:numPr>
        <w:ind w:left="993"/>
      </w:pPr>
      <w:r w:rsidRPr="00D51A68">
        <w:t>118.</w:t>
      </w:r>
      <w:r w:rsidR="00A0772B" w:rsidRPr="00D51A68">
        <w:rPr>
          <w:u w:val="single"/>
        </w:rPr>
        <w:tab/>
      </w:r>
      <w:r w:rsidRPr="00D51A68">
        <w:t>Nelle righe le informazioni sono riportate in base al metodo di calcolo del requisito di fondi propri per il rischio operativo, con specificazione delle linee di business per i metodi TSA e ASA.</w:t>
      </w:r>
    </w:p>
    <w:p w:rsidR="00AC6255" w:rsidRPr="00D51A68" w:rsidRDefault="00125707" w:rsidP="00C9052E">
      <w:pPr>
        <w:pStyle w:val="InstructionsText2"/>
        <w:numPr>
          <w:ilvl w:val="0"/>
          <w:numId w:val="0"/>
        </w:numPr>
        <w:ind w:left="993"/>
      </w:pPr>
      <w:r w:rsidRPr="00D51A68">
        <w:t>119.</w:t>
      </w:r>
      <w:r w:rsidR="00A0772B" w:rsidRPr="00D51A68">
        <w:rPr>
          <w:u w:val="single"/>
        </w:rPr>
        <w:tab/>
      </w:r>
      <w:r w:rsidRPr="00D51A68">
        <w:t>Questo modello è trasmesso da tutti gli enti soggetti al requisito di fondi propri per il rischio operativo.</w:t>
      </w:r>
    </w:p>
    <w:p w:rsidR="00AC6255" w:rsidRPr="00D51A68" w:rsidRDefault="00125707" w:rsidP="0023700C">
      <w:pPr>
        <w:pStyle w:val="Instructionsberschrift2"/>
        <w:numPr>
          <w:ilvl w:val="0"/>
          <w:numId w:val="0"/>
        </w:numPr>
        <w:ind w:left="357" w:hanging="357"/>
        <w:rPr>
          <w:rFonts w:ascii="Times New Roman" w:hAnsi="Times New Roman" w:cs="Times New Roman"/>
          <w:sz w:val="24"/>
        </w:rPr>
      </w:pPr>
      <w:bookmarkStart w:id="519" w:name="_Toc260157225"/>
      <w:bookmarkStart w:id="520" w:name="_Toc262566419"/>
      <w:bookmarkStart w:id="521" w:name="_Toc264038464"/>
      <w:bookmarkStart w:id="522" w:name="_Toc295829990"/>
      <w:bookmarkStart w:id="523" w:name="_Toc310415052"/>
      <w:bookmarkStart w:id="524" w:name="_Toc360188387"/>
      <w:bookmarkStart w:id="525" w:name="_Toc516210673"/>
      <w:bookmarkStart w:id="526" w:name="_Toc473560938"/>
      <w:bookmarkStart w:id="527" w:name="_Toc524096618"/>
      <w:r w:rsidRPr="00D51A68">
        <w:rPr>
          <w:rFonts w:ascii="Times New Roman" w:hAnsi="Times New Roman"/>
          <w:sz w:val="24"/>
          <w:u w:val="none"/>
        </w:rPr>
        <w:lastRenderedPageBreak/>
        <w:t>4.1.2.</w:t>
      </w:r>
      <w:r w:rsidR="00A0772B" w:rsidRPr="00D51A68">
        <w:rPr>
          <w:u w:val="none"/>
        </w:rPr>
        <w:tab/>
      </w:r>
      <w:r w:rsidRPr="00D51A68">
        <w:rPr>
          <w:rFonts w:ascii="Times New Roman" w:hAnsi="Times New Roman"/>
          <w:sz w:val="24"/>
        </w:rPr>
        <w:t>Istruzioni relative a posizioni specifiche</w:t>
      </w:r>
      <w:bookmarkEnd w:id="519"/>
      <w:bookmarkEnd w:id="520"/>
      <w:bookmarkEnd w:id="521"/>
      <w:bookmarkEnd w:id="522"/>
      <w:bookmarkEnd w:id="523"/>
      <w:bookmarkEnd w:id="524"/>
      <w:bookmarkEnd w:id="525"/>
      <w:bookmarkEnd w:id="526"/>
      <w:bookmarkEnd w:id="527"/>
    </w:p>
    <w:p w:rsidR="00AC6255" w:rsidRPr="00D51A68" w:rsidRDefault="00AC6255" w:rsidP="00AC6255">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D51A68" w:rsidTr="00672D2A">
        <w:trPr>
          <w:trHeight w:val="553"/>
        </w:trPr>
        <w:tc>
          <w:tcPr>
            <w:tcW w:w="8862" w:type="dxa"/>
            <w:gridSpan w:val="2"/>
            <w:shd w:val="clear" w:color="auto" w:fill="CCCCCC"/>
          </w:tcPr>
          <w:p w:rsidR="00AC6255" w:rsidRPr="00D51A68" w:rsidRDefault="00AC6255" w:rsidP="000B0B09">
            <w:pPr>
              <w:autoSpaceDE w:val="0"/>
              <w:autoSpaceDN w:val="0"/>
              <w:adjustRightInd w:val="0"/>
              <w:spacing w:after="0"/>
              <w:rPr>
                <w:rFonts w:ascii="Times New Roman" w:hAnsi="Times New Roman"/>
                <w:b/>
                <w:bCs/>
                <w:sz w:val="24"/>
              </w:rPr>
            </w:pPr>
            <w:r w:rsidRPr="00D51A68">
              <w:rPr>
                <w:rFonts w:ascii="Times New Roman" w:hAnsi="Times New Roman"/>
                <w:b/>
                <w:sz w:val="24"/>
              </w:rPr>
              <w:t>Colonne</w:t>
            </w:r>
          </w:p>
        </w:tc>
      </w:tr>
      <w:tr w:rsidR="00AC6255" w:rsidRPr="00D51A68" w:rsidTr="00672D2A">
        <w:tc>
          <w:tcPr>
            <w:tcW w:w="985" w:type="dxa"/>
          </w:tcPr>
          <w:p w:rsidR="00AC6255" w:rsidRPr="00D51A68" w:rsidRDefault="00AC6255" w:rsidP="000F70EC">
            <w:pPr>
              <w:autoSpaceDE w:val="0"/>
              <w:autoSpaceDN w:val="0"/>
              <w:adjustRightInd w:val="0"/>
              <w:spacing w:before="0" w:after="0"/>
              <w:rPr>
                <w:rFonts w:ascii="Times New Roman" w:hAnsi="Times New Roman"/>
                <w:bCs/>
                <w:sz w:val="24"/>
              </w:rPr>
            </w:pPr>
            <w:r w:rsidRPr="00D51A68">
              <w:rPr>
                <w:rFonts w:ascii="Times New Roman" w:hAnsi="Times New Roman"/>
                <w:sz w:val="24"/>
              </w:rPr>
              <w:t>010-030</w:t>
            </w:r>
          </w:p>
        </w:tc>
        <w:tc>
          <w:tcPr>
            <w:tcW w:w="7877" w:type="dxa"/>
          </w:tcPr>
          <w:p w:rsidR="00AC6255" w:rsidRPr="00D51A68" w:rsidRDefault="00AC6255" w:rsidP="000B0B09">
            <w:pPr>
              <w:autoSpaceDE w:val="0"/>
              <w:autoSpaceDN w:val="0"/>
              <w:adjustRightInd w:val="0"/>
              <w:spacing w:before="0" w:after="0"/>
              <w:jc w:val="left"/>
              <w:rPr>
                <w:rStyle w:val="InstructionsTabelleberschrift"/>
                <w:rFonts w:ascii="Times New Roman" w:hAnsi="Times New Roman"/>
                <w:sz w:val="24"/>
              </w:rPr>
            </w:pPr>
            <w:r w:rsidRPr="00D51A68">
              <w:rPr>
                <w:rStyle w:val="InstructionsTabelleberschrift"/>
                <w:rFonts w:ascii="Times New Roman" w:hAnsi="Times New Roman"/>
                <w:sz w:val="24"/>
              </w:rPr>
              <w:t>INDICATORE RILEVANTE</w:t>
            </w:r>
          </w:p>
          <w:p w:rsidR="00AC6255" w:rsidRPr="00D51A68" w:rsidRDefault="00AC6255" w:rsidP="000B0B09">
            <w:pPr>
              <w:autoSpaceDE w:val="0"/>
              <w:autoSpaceDN w:val="0"/>
              <w:adjustRightInd w:val="0"/>
              <w:spacing w:before="0" w:after="0"/>
              <w:jc w:val="left"/>
              <w:rPr>
                <w:rFonts w:ascii="Times New Roman" w:hAnsi="Times New Roman"/>
                <w:bCs/>
                <w:szCs w:val="20"/>
              </w:rPr>
            </w:pPr>
          </w:p>
          <w:p w:rsidR="00AC6255" w:rsidRPr="00D51A68" w:rsidRDefault="00AC6255"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Gli enti che utilizzano l</w:t>
            </w:r>
            <w:r w:rsidR="0009277C" w:rsidRPr="00D51A68">
              <w:rPr>
                <w:rFonts w:ascii="Times New Roman" w:hAnsi="Times New Roman"/>
                <w:sz w:val="24"/>
              </w:rPr>
              <w:t>’</w:t>
            </w:r>
            <w:r w:rsidRPr="00D51A68">
              <w:rPr>
                <w:rFonts w:ascii="Times New Roman" w:hAnsi="Times New Roman"/>
                <w:sz w:val="24"/>
              </w:rPr>
              <w:t>indicatore rilevante per calcolare il requisito di fondi propri per il rischio operativo (secondo i metodi BIA, TSA e ASA) segnalano l</w:t>
            </w:r>
            <w:r w:rsidR="0009277C" w:rsidRPr="00D51A68">
              <w:rPr>
                <w:rFonts w:ascii="Times New Roman" w:hAnsi="Times New Roman"/>
                <w:sz w:val="24"/>
              </w:rPr>
              <w:t>’</w:t>
            </w:r>
            <w:r w:rsidRPr="00D51A68">
              <w:rPr>
                <w:rFonts w:ascii="Times New Roman" w:hAnsi="Times New Roman"/>
                <w:sz w:val="24"/>
              </w:rPr>
              <w:t>indicatore rilevante per i rispettivi anni nelle colonne da 010 a 030. Inoltre, in caso di uso combinato di diversi metodi, previsto dall</w:t>
            </w:r>
            <w:r w:rsidR="0009277C" w:rsidRPr="00D51A68">
              <w:rPr>
                <w:rFonts w:ascii="Times New Roman" w:hAnsi="Times New Roman"/>
                <w:sz w:val="24"/>
              </w:rPr>
              <w:t>’</w:t>
            </w:r>
            <w:r w:rsidRPr="00D51A68">
              <w:rPr>
                <w:rFonts w:ascii="Times New Roman" w:hAnsi="Times New Roman"/>
                <w:sz w:val="24"/>
              </w:rPr>
              <w:t>articolo 314 del CRR, gli enti segnalano anche, a fini informativi, l</w:t>
            </w:r>
            <w:r w:rsidR="0009277C" w:rsidRPr="00D51A68">
              <w:rPr>
                <w:rFonts w:ascii="Times New Roman" w:hAnsi="Times New Roman"/>
                <w:sz w:val="24"/>
              </w:rPr>
              <w:t>’</w:t>
            </w:r>
            <w:r w:rsidRPr="00D51A68">
              <w:rPr>
                <w:rFonts w:ascii="Times New Roman" w:hAnsi="Times New Roman"/>
                <w:sz w:val="24"/>
              </w:rPr>
              <w:t>indicatore rilevante per le attività soggette al metodo AMA. Ciò vale anche per tutte le altre banche che applicano il metodo AMA.</w:t>
            </w:r>
          </w:p>
          <w:p w:rsidR="00AC6255" w:rsidRPr="00D51A68" w:rsidRDefault="00AC6255" w:rsidP="000B0B09">
            <w:pPr>
              <w:autoSpaceDE w:val="0"/>
              <w:autoSpaceDN w:val="0"/>
              <w:adjustRightInd w:val="0"/>
              <w:spacing w:before="0" w:after="0"/>
              <w:rPr>
                <w:rFonts w:ascii="Times New Roman" w:hAnsi="Times New Roman"/>
                <w:bCs/>
                <w:strike/>
                <w:szCs w:val="20"/>
              </w:rPr>
            </w:pPr>
          </w:p>
          <w:p w:rsidR="00AC6255" w:rsidRPr="00D51A68" w:rsidRDefault="00AC6255" w:rsidP="000B0B09">
            <w:pPr>
              <w:autoSpaceDE w:val="0"/>
              <w:autoSpaceDN w:val="0"/>
              <w:adjustRightInd w:val="0"/>
              <w:spacing w:before="0" w:after="0"/>
              <w:rPr>
                <w:rFonts w:ascii="Times New Roman" w:hAnsi="Times New Roman"/>
                <w:bCs/>
                <w:sz w:val="24"/>
              </w:rPr>
            </w:pPr>
            <w:r w:rsidRPr="00D51A68">
              <w:rPr>
                <w:rFonts w:ascii="Times New Roman" w:hAnsi="Times New Roman"/>
                <w:sz w:val="24"/>
              </w:rPr>
              <w:t xml:space="preserve">Di seguito, il termine </w:t>
            </w:r>
            <w:r w:rsidR="0009277C" w:rsidRPr="00D51A68">
              <w:rPr>
                <w:rFonts w:ascii="Times New Roman" w:hAnsi="Times New Roman"/>
                <w:sz w:val="24"/>
              </w:rPr>
              <w:t>“</w:t>
            </w:r>
            <w:r w:rsidRPr="00D51A68">
              <w:rPr>
                <w:rFonts w:ascii="Times New Roman" w:hAnsi="Times New Roman"/>
                <w:sz w:val="24"/>
              </w:rPr>
              <w:t>indicatore rilevante</w:t>
            </w:r>
            <w:r w:rsidR="0009277C" w:rsidRPr="00D51A68">
              <w:rPr>
                <w:rFonts w:ascii="Times New Roman" w:hAnsi="Times New Roman"/>
                <w:sz w:val="24"/>
              </w:rPr>
              <w:t>”</w:t>
            </w:r>
            <w:r w:rsidRPr="00D51A68">
              <w:rPr>
                <w:rFonts w:ascii="Times New Roman" w:hAnsi="Times New Roman"/>
                <w:sz w:val="24"/>
              </w:rPr>
              <w:t xml:space="preserve"> si riferisce alla </w:t>
            </w:r>
            <w:r w:rsidR="0009277C" w:rsidRPr="00D51A68">
              <w:rPr>
                <w:rFonts w:ascii="Times New Roman" w:hAnsi="Times New Roman"/>
                <w:sz w:val="24"/>
              </w:rPr>
              <w:t>“</w:t>
            </w:r>
            <w:r w:rsidRPr="00D51A68">
              <w:rPr>
                <w:rFonts w:ascii="Times New Roman" w:hAnsi="Times New Roman"/>
                <w:sz w:val="24"/>
              </w:rPr>
              <w:t>somma degli elementi</w:t>
            </w:r>
            <w:r w:rsidR="0009277C" w:rsidRPr="00D51A68">
              <w:rPr>
                <w:rFonts w:ascii="Times New Roman" w:hAnsi="Times New Roman"/>
                <w:sz w:val="24"/>
              </w:rPr>
              <w:t>”</w:t>
            </w:r>
            <w:r w:rsidRPr="00D51A68">
              <w:rPr>
                <w:rFonts w:ascii="Times New Roman" w:hAnsi="Times New Roman"/>
                <w:sz w:val="24"/>
              </w:rPr>
              <w:t xml:space="preserve"> alla fine dell</w:t>
            </w:r>
            <w:r w:rsidR="0009277C" w:rsidRPr="00D51A68">
              <w:rPr>
                <w:rFonts w:ascii="Times New Roman" w:hAnsi="Times New Roman"/>
                <w:sz w:val="24"/>
              </w:rPr>
              <w:t>’</w:t>
            </w:r>
            <w:r w:rsidRPr="00D51A68">
              <w:rPr>
                <w:rFonts w:ascii="Times New Roman" w:hAnsi="Times New Roman"/>
                <w:sz w:val="24"/>
              </w:rPr>
              <w:t>esercizio finanziario enumerati nella tabella 1 dell</w:t>
            </w:r>
            <w:r w:rsidR="0009277C" w:rsidRPr="00D51A68">
              <w:rPr>
                <w:rFonts w:ascii="Times New Roman" w:hAnsi="Times New Roman"/>
                <w:sz w:val="24"/>
              </w:rPr>
              <w:t>’</w:t>
            </w:r>
            <w:r w:rsidRPr="00D51A68">
              <w:rPr>
                <w:rFonts w:ascii="Times New Roman" w:hAnsi="Times New Roman"/>
                <w:sz w:val="24"/>
              </w:rPr>
              <w:t xml:space="preserve">articolo 316, paragrafo 1, del CRR. </w:t>
            </w:r>
          </w:p>
          <w:p w:rsidR="00AC6255" w:rsidRPr="00D51A68" w:rsidRDefault="00AC6255" w:rsidP="000B0B09">
            <w:pPr>
              <w:autoSpaceDE w:val="0"/>
              <w:autoSpaceDN w:val="0"/>
              <w:adjustRightInd w:val="0"/>
              <w:spacing w:before="0" w:after="0"/>
              <w:rPr>
                <w:rFonts w:ascii="Times New Roman" w:hAnsi="Times New Roman"/>
                <w:szCs w:val="20"/>
              </w:rPr>
            </w:pPr>
          </w:p>
          <w:p w:rsidR="00AC6255" w:rsidRPr="00D51A68" w:rsidRDefault="00AC6255"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Se l</w:t>
            </w:r>
            <w:r w:rsidR="0009277C" w:rsidRPr="00D51A68">
              <w:rPr>
                <w:rFonts w:ascii="Times New Roman" w:hAnsi="Times New Roman"/>
                <w:sz w:val="24"/>
              </w:rPr>
              <w:t>’</w:t>
            </w:r>
            <w:r w:rsidRPr="00D51A68">
              <w:rPr>
                <w:rFonts w:ascii="Times New Roman" w:hAnsi="Times New Roman"/>
                <w:sz w:val="24"/>
              </w:rPr>
              <w:t>ente dispone di dati sull</w:t>
            </w:r>
            <w:r w:rsidR="0009277C" w:rsidRPr="00D51A68">
              <w:rPr>
                <w:rStyle w:val="InstructionsTabelleText"/>
                <w:rFonts w:ascii="Times New Roman" w:hAnsi="Times New Roman"/>
                <w:sz w:val="24"/>
              </w:rPr>
              <w:t>’“</w:t>
            </w:r>
            <w:r w:rsidRPr="00D51A68">
              <w:rPr>
                <w:rFonts w:ascii="Times New Roman" w:hAnsi="Times New Roman"/>
                <w:sz w:val="24"/>
              </w:rPr>
              <w:t>indicatore rilevante</w:t>
            </w:r>
            <w:r w:rsidR="0009277C" w:rsidRPr="00D51A68">
              <w:rPr>
                <w:rFonts w:ascii="Times New Roman" w:hAnsi="Times New Roman"/>
                <w:sz w:val="24"/>
              </w:rPr>
              <w:t>”</w:t>
            </w:r>
            <w:r w:rsidRPr="00D51A68">
              <w:rPr>
                <w:rFonts w:ascii="Times New Roman" w:hAnsi="Times New Roman"/>
                <w:sz w:val="24"/>
              </w:rPr>
              <w:t xml:space="preserve"> relativi a un periodo inferiore a tre anni, i dati storici disponibili (cifre verificate mediante revisione contabile) sono attribuiti alle corrispondenti colonne della tabella in via prioritaria: se, ad esempio, sono disponibili dati storici relativi a un solo anno, questi sono segnalati nella colonna 030. Ove plausibile, le stime prospettiche sono poi inserite nella colonna 020 (stima dell</w:t>
            </w:r>
            <w:r w:rsidR="0009277C" w:rsidRPr="00D51A68">
              <w:rPr>
                <w:rFonts w:ascii="Times New Roman" w:hAnsi="Times New Roman"/>
                <w:sz w:val="24"/>
              </w:rPr>
              <w:t>’</w:t>
            </w:r>
            <w:r w:rsidRPr="00D51A68">
              <w:rPr>
                <w:rFonts w:ascii="Times New Roman" w:hAnsi="Times New Roman"/>
                <w:sz w:val="24"/>
              </w:rPr>
              <w:t>a</w:t>
            </w:r>
            <w:r w:rsidR="00C9052E" w:rsidRPr="00D51A68">
              <w:rPr>
                <w:rFonts w:ascii="Times New Roman" w:hAnsi="Times New Roman"/>
                <w:sz w:val="24"/>
              </w:rPr>
              <w:t>nno successivo) e nella colonna </w:t>
            </w:r>
            <w:r w:rsidRPr="00D51A68">
              <w:rPr>
                <w:rFonts w:ascii="Times New Roman" w:hAnsi="Times New Roman"/>
                <w:sz w:val="24"/>
              </w:rPr>
              <w:t>010 (stima dell</w:t>
            </w:r>
            <w:r w:rsidR="0009277C" w:rsidRPr="00D51A68">
              <w:rPr>
                <w:rFonts w:ascii="Times New Roman" w:hAnsi="Times New Roman"/>
                <w:sz w:val="24"/>
              </w:rPr>
              <w:t>’</w:t>
            </w:r>
            <w:r w:rsidRPr="00D51A68">
              <w:rPr>
                <w:rFonts w:ascii="Times New Roman" w:hAnsi="Times New Roman"/>
                <w:sz w:val="24"/>
              </w:rPr>
              <w:t>anno + 2).</w:t>
            </w:r>
          </w:p>
          <w:p w:rsidR="00AC6255" w:rsidRPr="00D51A68" w:rsidRDefault="00AC6255" w:rsidP="000B0B09">
            <w:pPr>
              <w:autoSpaceDE w:val="0"/>
              <w:autoSpaceDN w:val="0"/>
              <w:adjustRightInd w:val="0"/>
              <w:spacing w:before="0" w:after="0"/>
              <w:rPr>
                <w:rFonts w:ascii="Times New Roman" w:hAnsi="Times New Roman"/>
                <w:i/>
                <w:szCs w:val="20"/>
              </w:rPr>
            </w:pPr>
          </w:p>
          <w:p w:rsidR="00AC6255" w:rsidRPr="00D51A68" w:rsidRDefault="00AC6255"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L</w:t>
            </w:r>
            <w:r w:rsidR="0009277C" w:rsidRPr="00D51A68">
              <w:rPr>
                <w:rFonts w:ascii="Times New Roman" w:hAnsi="Times New Roman"/>
                <w:sz w:val="24"/>
              </w:rPr>
              <w:t>’</w:t>
            </w:r>
            <w:r w:rsidRPr="00D51A68">
              <w:rPr>
                <w:rFonts w:ascii="Times New Roman" w:hAnsi="Times New Roman"/>
                <w:sz w:val="24"/>
              </w:rPr>
              <w:t>ente che non dispone di dati storici sull</w:t>
            </w:r>
            <w:r w:rsidR="0009277C" w:rsidRPr="00D51A68">
              <w:rPr>
                <w:rStyle w:val="InstructionsTabelleText"/>
                <w:rFonts w:ascii="Times New Roman" w:hAnsi="Times New Roman"/>
                <w:sz w:val="24"/>
              </w:rPr>
              <w:t>’“</w:t>
            </w:r>
            <w:r w:rsidRPr="00D51A68">
              <w:rPr>
                <w:rFonts w:ascii="Times New Roman" w:hAnsi="Times New Roman"/>
                <w:sz w:val="24"/>
              </w:rPr>
              <w:t>indicatore rilevante</w:t>
            </w:r>
            <w:r w:rsidR="0009277C" w:rsidRPr="00D51A68">
              <w:rPr>
                <w:rFonts w:ascii="Times New Roman" w:hAnsi="Times New Roman"/>
                <w:sz w:val="24"/>
              </w:rPr>
              <w:t>”</w:t>
            </w:r>
            <w:r w:rsidRPr="00D51A68">
              <w:rPr>
                <w:rFonts w:ascii="Times New Roman" w:hAnsi="Times New Roman"/>
                <w:sz w:val="24"/>
              </w:rPr>
              <w:t xml:space="preserve"> può utilizzare stime aziendali prospettiche.</w:t>
            </w:r>
          </w:p>
          <w:p w:rsidR="00AC6255" w:rsidRPr="00D51A68" w:rsidRDefault="00AC6255" w:rsidP="000B0B09">
            <w:pPr>
              <w:autoSpaceDE w:val="0"/>
              <w:autoSpaceDN w:val="0"/>
              <w:adjustRightInd w:val="0"/>
              <w:spacing w:before="0" w:after="0"/>
              <w:jc w:val="left"/>
              <w:rPr>
                <w:rFonts w:ascii="Times New Roman" w:hAnsi="Times New Roman"/>
                <w:bCs/>
                <w:szCs w:val="20"/>
              </w:rPr>
            </w:pPr>
          </w:p>
        </w:tc>
      </w:tr>
      <w:tr w:rsidR="00AC6255" w:rsidRPr="00D51A68" w:rsidTr="00672D2A">
        <w:tc>
          <w:tcPr>
            <w:tcW w:w="985" w:type="dxa"/>
          </w:tcPr>
          <w:p w:rsidR="00AC6255" w:rsidRPr="00D51A68" w:rsidRDefault="00AC6255" w:rsidP="000F70EC">
            <w:pPr>
              <w:autoSpaceDE w:val="0"/>
              <w:autoSpaceDN w:val="0"/>
              <w:adjustRightInd w:val="0"/>
              <w:spacing w:before="0" w:after="0"/>
              <w:rPr>
                <w:rFonts w:ascii="Times New Roman" w:hAnsi="Times New Roman"/>
                <w:bCs/>
                <w:sz w:val="24"/>
              </w:rPr>
            </w:pPr>
            <w:r w:rsidRPr="00D51A68">
              <w:rPr>
                <w:rFonts w:ascii="Times New Roman" w:hAnsi="Times New Roman"/>
                <w:sz w:val="24"/>
              </w:rPr>
              <w:t>040-060</w:t>
            </w:r>
          </w:p>
        </w:tc>
        <w:tc>
          <w:tcPr>
            <w:tcW w:w="7877" w:type="dxa"/>
          </w:tcPr>
          <w:p w:rsidR="00AC6255" w:rsidRPr="00D51A68" w:rsidRDefault="00AC6255" w:rsidP="000B0B09">
            <w:pPr>
              <w:autoSpaceDE w:val="0"/>
              <w:autoSpaceDN w:val="0"/>
              <w:adjustRightInd w:val="0"/>
              <w:spacing w:before="0" w:after="0"/>
              <w:jc w:val="left"/>
              <w:rPr>
                <w:rStyle w:val="InstructionsTabelleberschrift"/>
                <w:rFonts w:ascii="Times New Roman" w:hAnsi="Times New Roman"/>
                <w:sz w:val="24"/>
              </w:rPr>
            </w:pPr>
            <w:r w:rsidRPr="00D51A68">
              <w:rPr>
                <w:rStyle w:val="InstructionsTabelleberschrift"/>
                <w:rFonts w:ascii="Times New Roman" w:hAnsi="Times New Roman"/>
                <w:sz w:val="24"/>
              </w:rPr>
              <w:t>PRESTITI E ANTICIPI (IN CASO DI APPLICAZIONE DEL METODO STANDARDIZZATO ALTERNATIVO)</w:t>
            </w:r>
          </w:p>
          <w:p w:rsidR="00AC6255" w:rsidRPr="00D51A68" w:rsidRDefault="00AC6255" w:rsidP="000B0B09">
            <w:pPr>
              <w:autoSpaceDE w:val="0"/>
              <w:autoSpaceDN w:val="0"/>
              <w:adjustRightInd w:val="0"/>
              <w:spacing w:before="0" w:after="0"/>
              <w:jc w:val="left"/>
              <w:rPr>
                <w:rFonts w:ascii="Times New Roman" w:hAnsi="Times New Roman"/>
                <w:bCs/>
                <w:szCs w:val="20"/>
              </w:rPr>
            </w:pPr>
          </w:p>
          <w:p w:rsidR="00AC6255" w:rsidRPr="00D51A68" w:rsidRDefault="00AC6255"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 xml:space="preserve">In queste colonne sono segnalati gli importi dei prestiti e degli anticipi delle linee di business </w:t>
            </w:r>
            <w:r w:rsidR="0009277C" w:rsidRPr="00D51A68">
              <w:rPr>
                <w:rFonts w:ascii="Times New Roman" w:hAnsi="Times New Roman"/>
                <w:sz w:val="24"/>
              </w:rPr>
              <w:t>“</w:t>
            </w:r>
            <w:r w:rsidRPr="00D51A68">
              <w:rPr>
                <w:rFonts w:ascii="Times New Roman" w:hAnsi="Times New Roman"/>
                <w:sz w:val="24"/>
              </w:rPr>
              <w:t>servizi bancari a carattere commerciale</w:t>
            </w:r>
            <w:r w:rsidR="0009277C" w:rsidRPr="00D51A68">
              <w:rPr>
                <w:rFonts w:ascii="Times New Roman" w:hAnsi="Times New Roman"/>
                <w:sz w:val="24"/>
              </w:rPr>
              <w:t>”</w:t>
            </w:r>
            <w:r w:rsidRPr="00D51A68">
              <w:rPr>
                <w:rFonts w:ascii="Times New Roman" w:hAnsi="Times New Roman"/>
                <w:sz w:val="24"/>
              </w:rPr>
              <w:t xml:space="preserve"> e </w:t>
            </w:r>
            <w:r w:rsidR="0009277C" w:rsidRPr="00D51A68">
              <w:rPr>
                <w:rFonts w:ascii="Times New Roman" w:hAnsi="Times New Roman"/>
                <w:sz w:val="24"/>
              </w:rPr>
              <w:t>“</w:t>
            </w:r>
            <w:r w:rsidRPr="00D51A68">
              <w:rPr>
                <w:rFonts w:ascii="Times New Roman" w:hAnsi="Times New Roman"/>
                <w:sz w:val="24"/>
              </w:rPr>
              <w:t>servizi bancari al dettaglio</w:t>
            </w:r>
            <w:r w:rsidR="0009277C" w:rsidRPr="00D51A68">
              <w:rPr>
                <w:rFonts w:ascii="Times New Roman" w:hAnsi="Times New Roman"/>
                <w:sz w:val="24"/>
              </w:rPr>
              <w:t>”</w:t>
            </w:r>
            <w:r w:rsidRPr="00D51A68">
              <w:rPr>
                <w:rFonts w:ascii="Times New Roman" w:hAnsi="Times New Roman"/>
                <w:sz w:val="24"/>
              </w:rPr>
              <w:t xml:space="preserve"> di cui all</w:t>
            </w:r>
            <w:r w:rsidR="0009277C" w:rsidRPr="00D51A68">
              <w:rPr>
                <w:rFonts w:ascii="Times New Roman" w:hAnsi="Times New Roman"/>
                <w:sz w:val="24"/>
              </w:rPr>
              <w:t>’</w:t>
            </w:r>
            <w:r w:rsidRPr="00D51A68">
              <w:rPr>
                <w:rFonts w:ascii="Times New Roman" w:hAnsi="Times New Roman"/>
                <w:sz w:val="24"/>
              </w:rPr>
              <w:t>articolo 319, paragrafo 1, lettera b), del CRR. Detti importi servono per il calcolo dell</w:t>
            </w:r>
            <w:r w:rsidR="0009277C" w:rsidRPr="00D51A68">
              <w:rPr>
                <w:rFonts w:ascii="Times New Roman" w:hAnsi="Times New Roman"/>
                <w:sz w:val="24"/>
              </w:rPr>
              <w:t>’</w:t>
            </w:r>
            <w:r w:rsidRPr="00D51A68">
              <w:rPr>
                <w:rFonts w:ascii="Times New Roman" w:hAnsi="Times New Roman"/>
                <w:sz w:val="24"/>
              </w:rPr>
              <w:t xml:space="preserve">indicatore rilevante alternativo per determinare i requisiti di fondi propri corrispondenti alle attività soggette al metodo ASA (articolo 319, paragrafo 1, lettera a), del CRR). </w:t>
            </w:r>
          </w:p>
          <w:p w:rsidR="00AC6255" w:rsidRPr="00D51A68" w:rsidRDefault="00AC6255" w:rsidP="000B0B09">
            <w:pPr>
              <w:autoSpaceDE w:val="0"/>
              <w:autoSpaceDN w:val="0"/>
              <w:adjustRightInd w:val="0"/>
              <w:spacing w:before="0" w:after="0"/>
              <w:rPr>
                <w:rFonts w:ascii="Times New Roman" w:hAnsi="Times New Roman"/>
                <w:szCs w:val="20"/>
              </w:rPr>
            </w:pPr>
          </w:p>
          <w:p w:rsidR="00AC6255" w:rsidRPr="00D51A68" w:rsidRDefault="00AC6255" w:rsidP="000B0B09">
            <w:pPr>
              <w:autoSpaceDE w:val="0"/>
              <w:autoSpaceDN w:val="0"/>
              <w:adjustRightInd w:val="0"/>
              <w:spacing w:before="0" w:after="0"/>
              <w:rPr>
                <w:rFonts w:ascii="Times New Roman" w:hAnsi="Times New Roman"/>
                <w:bCs/>
                <w:sz w:val="24"/>
              </w:rPr>
            </w:pPr>
            <w:r w:rsidRPr="00D51A68">
              <w:rPr>
                <w:rFonts w:ascii="Times New Roman" w:hAnsi="Times New Roman"/>
                <w:sz w:val="24"/>
              </w:rPr>
              <w:t xml:space="preserve">Per la linea di business </w:t>
            </w:r>
            <w:r w:rsidR="0009277C" w:rsidRPr="00D51A68">
              <w:rPr>
                <w:rFonts w:ascii="Times New Roman" w:hAnsi="Times New Roman"/>
                <w:sz w:val="24"/>
              </w:rPr>
              <w:t>“</w:t>
            </w:r>
            <w:r w:rsidRPr="00D51A68">
              <w:rPr>
                <w:rFonts w:ascii="Times New Roman" w:hAnsi="Times New Roman"/>
                <w:sz w:val="24"/>
              </w:rPr>
              <w:t>servizi bancari a carattere commerciale</w:t>
            </w:r>
            <w:r w:rsidR="0009277C" w:rsidRPr="00D51A68">
              <w:rPr>
                <w:rFonts w:ascii="Times New Roman" w:hAnsi="Times New Roman"/>
                <w:sz w:val="24"/>
              </w:rPr>
              <w:t>”</w:t>
            </w:r>
            <w:r w:rsidRPr="00D51A68">
              <w:rPr>
                <w:rFonts w:ascii="Times New Roman" w:hAnsi="Times New Roman"/>
                <w:sz w:val="24"/>
              </w:rPr>
              <w:t xml:space="preserve"> sono inclusi anche i titoli detenuti all</w:t>
            </w:r>
            <w:r w:rsidR="0009277C" w:rsidRPr="00D51A68">
              <w:rPr>
                <w:rFonts w:ascii="Times New Roman" w:hAnsi="Times New Roman"/>
                <w:sz w:val="24"/>
              </w:rPr>
              <w:t>’</w:t>
            </w:r>
            <w:r w:rsidRPr="00D51A68">
              <w:rPr>
                <w:rFonts w:ascii="Times New Roman" w:hAnsi="Times New Roman"/>
                <w:sz w:val="24"/>
              </w:rPr>
              <w:t>esterno del portafoglio di negoziazione.</w:t>
            </w:r>
          </w:p>
        </w:tc>
      </w:tr>
      <w:tr w:rsidR="00AC6255" w:rsidRPr="00D51A68" w:rsidTr="00672D2A">
        <w:tc>
          <w:tcPr>
            <w:tcW w:w="985" w:type="dxa"/>
          </w:tcPr>
          <w:p w:rsidR="00AC6255" w:rsidRPr="00D51A68" w:rsidRDefault="00AC6255" w:rsidP="000B0B09">
            <w:pPr>
              <w:autoSpaceDE w:val="0"/>
              <w:autoSpaceDN w:val="0"/>
              <w:adjustRightInd w:val="0"/>
              <w:spacing w:before="0" w:after="0"/>
              <w:rPr>
                <w:rFonts w:ascii="Times New Roman" w:hAnsi="Times New Roman"/>
                <w:bCs/>
                <w:sz w:val="24"/>
              </w:rPr>
            </w:pPr>
            <w:r w:rsidRPr="00D51A68">
              <w:rPr>
                <w:rFonts w:ascii="Times New Roman" w:hAnsi="Times New Roman"/>
                <w:sz w:val="24"/>
              </w:rPr>
              <w:t>070</w:t>
            </w:r>
          </w:p>
        </w:tc>
        <w:tc>
          <w:tcPr>
            <w:tcW w:w="7877" w:type="dxa"/>
          </w:tcPr>
          <w:p w:rsidR="00AC6255" w:rsidRPr="00D51A68" w:rsidRDefault="00AC6255" w:rsidP="000B0B09">
            <w:pPr>
              <w:autoSpaceDE w:val="0"/>
              <w:autoSpaceDN w:val="0"/>
              <w:adjustRightInd w:val="0"/>
              <w:spacing w:before="0" w:after="0"/>
              <w:jc w:val="left"/>
              <w:rPr>
                <w:rStyle w:val="InstructionsTabelleberschrift"/>
                <w:rFonts w:ascii="Times New Roman" w:hAnsi="Times New Roman"/>
                <w:sz w:val="24"/>
              </w:rPr>
            </w:pPr>
            <w:r w:rsidRPr="00D51A68">
              <w:rPr>
                <w:rStyle w:val="InstructionsTabelleberschrift"/>
                <w:rFonts w:ascii="Times New Roman" w:hAnsi="Times New Roman"/>
                <w:sz w:val="24"/>
              </w:rPr>
              <w:t>REQUISITO DI FONDI PROPRI</w:t>
            </w:r>
          </w:p>
          <w:p w:rsidR="00AC6255" w:rsidRPr="00D51A68" w:rsidRDefault="00AC6255" w:rsidP="000B0B09">
            <w:pPr>
              <w:autoSpaceDE w:val="0"/>
              <w:autoSpaceDN w:val="0"/>
              <w:adjustRightInd w:val="0"/>
              <w:spacing w:before="0" w:after="0"/>
              <w:jc w:val="left"/>
              <w:rPr>
                <w:rFonts w:ascii="Times New Roman" w:hAnsi="Times New Roman"/>
                <w:szCs w:val="20"/>
              </w:rPr>
            </w:pPr>
          </w:p>
          <w:p w:rsidR="00AC6255" w:rsidRPr="00D51A68" w:rsidRDefault="00AC6255" w:rsidP="00E86638">
            <w:pPr>
              <w:autoSpaceDE w:val="0"/>
              <w:autoSpaceDN w:val="0"/>
              <w:adjustRightInd w:val="0"/>
              <w:spacing w:before="0" w:after="0"/>
              <w:jc w:val="left"/>
              <w:rPr>
                <w:rFonts w:ascii="Times New Roman" w:hAnsi="Times New Roman"/>
                <w:bCs/>
                <w:sz w:val="24"/>
              </w:rPr>
            </w:pPr>
            <w:r w:rsidRPr="00D51A68">
              <w:rPr>
                <w:rFonts w:ascii="Times New Roman" w:hAnsi="Times New Roman"/>
                <w:sz w:val="24"/>
              </w:rPr>
              <w:t>Il requisito di fondi propri si calcola in base al metodo applicato, conformemente agli articoli da 312 a 324 del CRR. L</w:t>
            </w:r>
            <w:r w:rsidR="0009277C" w:rsidRPr="00D51A68">
              <w:rPr>
                <w:rFonts w:ascii="Times New Roman" w:hAnsi="Times New Roman"/>
                <w:sz w:val="24"/>
              </w:rPr>
              <w:t>’</w:t>
            </w:r>
            <w:r w:rsidRPr="00D51A68">
              <w:rPr>
                <w:rFonts w:ascii="Times New Roman" w:hAnsi="Times New Roman"/>
                <w:sz w:val="24"/>
              </w:rPr>
              <w:t>importo risultante è segnalato nella colonna 070.</w:t>
            </w:r>
          </w:p>
        </w:tc>
      </w:tr>
      <w:tr w:rsidR="00AC6255" w:rsidRPr="00D51A68" w:rsidTr="00672D2A">
        <w:tc>
          <w:tcPr>
            <w:tcW w:w="985" w:type="dxa"/>
          </w:tcPr>
          <w:p w:rsidR="00AC6255" w:rsidRPr="00D51A68" w:rsidRDefault="00AC6255" w:rsidP="000B0B09">
            <w:pPr>
              <w:autoSpaceDE w:val="0"/>
              <w:autoSpaceDN w:val="0"/>
              <w:adjustRightInd w:val="0"/>
              <w:spacing w:before="0" w:after="0"/>
              <w:rPr>
                <w:rFonts w:ascii="Times New Roman" w:hAnsi="Times New Roman"/>
                <w:bCs/>
                <w:sz w:val="24"/>
              </w:rPr>
            </w:pPr>
            <w:r w:rsidRPr="00D51A68">
              <w:rPr>
                <w:rFonts w:ascii="Times New Roman" w:hAnsi="Times New Roman"/>
                <w:sz w:val="24"/>
              </w:rPr>
              <w:t>071</w:t>
            </w:r>
          </w:p>
        </w:tc>
        <w:tc>
          <w:tcPr>
            <w:tcW w:w="7877" w:type="dxa"/>
          </w:tcPr>
          <w:p w:rsidR="00AC6255" w:rsidRPr="00D51A68" w:rsidRDefault="00AC6255" w:rsidP="000B0B09">
            <w:pPr>
              <w:autoSpaceDE w:val="0"/>
              <w:autoSpaceDN w:val="0"/>
              <w:adjustRightInd w:val="0"/>
              <w:spacing w:before="0" w:after="0"/>
              <w:jc w:val="left"/>
              <w:rPr>
                <w:rStyle w:val="InstructionsTabelleberschrift"/>
                <w:rFonts w:ascii="Times New Roman" w:hAnsi="Times New Roman"/>
                <w:sz w:val="24"/>
              </w:rPr>
            </w:pPr>
            <w:r w:rsidRPr="00D51A68">
              <w:rPr>
                <w:rStyle w:val="InstructionsTabelleberschrift"/>
                <w:rFonts w:ascii="Times New Roman" w:hAnsi="Times New Roman"/>
                <w:sz w:val="24"/>
              </w:rPr>
              <w:t>IMPORTO COMPLESSIVO DELL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ESPOSIZIONE AL RISCHIO OPERATIVO</w:t>
            </w:r>
          </w:p>
          <w:p w:rsidR="00AC6255" w:rsidRPr="00D51A68" w:rsidRDefault="00AC6255" w:rsidP="000B0B09">
            <w:pPr>
              <w:autoSpaceDE w:val="0"/>
              <w:autoSpaceDN w:val="0"/>
              <w:adjustRightInd w:val="0"/>
              <w:spacing w:before="0" w:after="0"/>
              <w:jc w:val="left"/>
              <w:rPr>
                <w:rStyle w:val="InstructionsTabelleberschrift"/>
                <w:rFonts w:ascii="Times New Roman" w:hAnsi="Times New Roman"/>
                <w:b w:val="0"/>
                <w:sz w:val="24"/>
              </w:rPr>
            </w:pPr>
            <w:r w:rsidRPr="00D51A68">
              <w:rPr>
                <w:rStyle w:val="InstructionsTabelleberschrift"/>
                <w:rFonts w:ascii="Times New Roman" w:hAnsi="Times New Roman"/>
                <w:sz w:val="24"/>
              </w:rPr>
              <w:t>Articolo 92, paragrafo 4, del CRR. Requisiti di fondi propri nella colonna 070 moltiplicati per 12,5.</w:t>
            </w:r>
          </w:p>
        </w:tc>
      </w:tr>
      <w:tr w:rsidR="00AC6255" w:rsidRPr="00D51A68" w:rsidTr="00672D2A">
        <w:tc>
          <w:tcPr>
            <w:tcW w:w="985" w:type="dxa"/>
          </w:tcPr>
          <w:p w:rsidR="00AC6255" w:rsidRPr="00D51A68" w:rsidRDefault="00AC6255" w:rsidP="000B0B09">
            <w:pPr>
              <w:autoSpaceDE w:val="0"/>
              <w:autoSpaceDN w:val="0"/>
              <w:adjustRightInd w:val="0"/>
              <w:spacing w:before="0" w:after="0"/>
              <w:rPr>
                <w:rFonts w:ascii="Times New Roman" w:hAnsi="Times New Roman"/>
                <w:bCs/>
                <w:sz w:val="24"/>
              </w:rPr>
            </w:pPr>
            <w:r w:rsidRPr="00D51A68">
              <w:rPr>
                <w:rFonts w:ascii="Times New Roman" w:hAnsi="Times New Roman"/>
                <w:sz w:val="24"/>
              </w:rPr>
              <w:lastRenderedPageBreak/>
              <w:t>080</w:t>
            </w:r>
          </w:p>
        </w:tc>
        <w:tc>
          <w:tcPr>
            <w:tcW w:w="7877" w:type="dxa"/>
          </w:tcPr>
          <w:p w:rsidR="00AC6255" w:rsidRPr="00D51A68" w:rsidRDefault="00AC6255" w:rsidP="000B0B09">
            <w:pPr>
              <w:autoSpaceDE w:val="0"/>
              <w:autoSpaceDN w:val="0"/>
              <w:adjustRightInd w:val="0"/>
              <w:spacing w:before="0" w:after="0"/>
              <w:jc w:val="left"/>
              <w:rPr>
                <w:rStyle w:val="InstructionsTabelleberschrift"/>
                <w:rFonts w:ascii="Times New Roman" w:hAnsi="Times New Roman"/>
                <w:sz w:val="24"/>
              </w:rPr>
            </w:pPr>
            <w:r w:rsidRPr="00D51A68">
              <w:rPr>
                <w:rStyle w:val="InstructionsTabelleberschrift"/>
                <w:rFonts w:ascii="Times New Roman" w:hAnsi="Times New Roman"/>
                <w:sz w:val="24"/>
              </w:rPr>
              <w:t>DI CUI: DOVUTO A UN MECCANISMO DI ATTRIBUZIONE</w:t>
            </w:r>
          </w:p>
          <w:p w:rsidR="00AC6255" w:rsidRPr="00D51A68" w:rsidRDefault="00AC6255" w:rsidP="000B0B09">
            <w:pPr>
              <w:autoSpaceDE w:val="0"/>
              <w:autoSpaceDN w:val="0"/>
              <w:adjustRightInd w:val="0"/>
              <w:spacing w:before="0" w:after="0"/>
              <w:jc w:val="left"/>
              <w:rPr>
                <w:rFonts w:ascii="Times New Roman" w:hAnsi="Times New Roman"/>
                <w:bCs/>
                <w:sz w:val="24"/>
              </w:rPr>
            </w:pPr>
          </w:p>
          <w:p w:rsidR="00AC6255" w:rsidRPr="00D51A68" w:rsidRDefault="00AC6255" w:rsidP="000B0B09">
            <w:pPr>
              <w:jc w:val="left"/>
              <w:rPr>
                <w:rFonts w:ascii="Times New Roman" w:hAnsi="Times New Roman"/>
                <w:bCs/>
                <w:sz w:val="24"/>
              </w:rPr>
            </w:pPr>
            <w:r w:rsidRPr="00D51A68">
              <w:rPr>
                <w:rFonts w:ascii="Times New Roman" w:hAnsi="Times New Roman"/>
                <w:sz w:val="24"/>
              </w:rPr>
              <w:t>Articolo 18, paragrafo 1, del CRR, riguardante l</w:t>
            </w:r>
            <w:r w:rsidR="0009277C" w:rsidRPr="00D51A68">
              <w:rPr>
                <w:rFonts w:ascii="Times New Roman" w:hAnsi="Times New Roman"/>
                <w:sz w:val="24"/>
              </w:rPr>
              <w:t>’</w:t>
            </w:r>
            <w:r w:rsidRPr="00D51A68">
              <w:rPr>
                <w:rFonts w:ascii="Times New Roman" w:hAnsi="Times New Roman"/>
                <w:sz w:val="24"/>
              </w:rPr>
              <w:t>indicazione, nella domanda di cui all</w:t>
            </w:r>
            <w:r w:rsidR="0009277C" w:rsidRPr="00D51A68">
              <w:rPr>
                <w:rFonts w:ascii="Times New Roman" w:hAnsi="Times New Roman"/>
                <w:sz w:val="24"/>
              </w:rPr>
              <w:t>’</w:t>
            </w:r>
            <w:r w:rsidRPr="00D51A68">
              <w:rPr>
                <w:rFonts w:ascii="Times New Roman" w:hAnsi="Times New Roman"/>
                <w:sz w:val="24"/>
              </w:rPr>
              <w:t>articolo 312, paragrafo 2, del CRR, della metodologia utilizzata per ripartire tra i diversi soggetti del gruppo il capitale di copertura del rischio operativo, nonché della specificazione che indica se e come gli effetti della diversificazione sono presi in considerazione nel sistema di misurazione del rischio applicato da un ente creditizio impresa madre nell</w:t>
            </w:r>
            <w:r w:rsidR="0009277C" w:rsidRPr="00D51A68">
              <w:rPr>
                <w:rFonts w:ascii="Times New Roman" w:hAnsi="Times New Roman"/>
                <w:sz w:val="24"/>
              </w:rPr>
              <w:t>’</w:t>
            </w:r>
            <w:r w:rsidRPr="00D51A68">
              <w:rPr>
                <w:rFonts w:ascii="Times New Roman" w:hAnsi="Times New Roman"/>
                <w:sz w:val="24"/>
              </w:rPr>
              <w:t>UE e dalle sue filiazioni, oppure congiuntamente dalle filiazioni di una società di partecipazione finanziaria madre nell</w:t>
            </w:r>
            <w:r w:rsidR="0009277C" w:rsidRPr="00D51A68">
              <w:rPr>
                <w:rFonts w:ascii="Times New Roman" w:hAnsi="Times New Roman"/>
                <w:sz w:val="24"/>
              </w:rPr>
              <w:t>’</w:t>
            </w:r>
            <w:r w:rsidRPr="00D51A68">
              <w:rPr>
                <w:rFonts w:ascii="Times New Roman" w:hAnsi="Times New Roman"/>
                <w:sz w:val="24"/>
              </w:rPr>
              <w:t>UE o di una società di partecipazione finanziaria mista madre nell</w:t>
            </w:r>
            <w:r w:rsidR="0009277C" w:rsidRPr="00D51A68">
              <w:rPr>
                <w:rFonts w:ascii="Times New Roman" w:hAnsi="Times New Roman"/>
                <w:sz w:val="24"/>
              </w:rPr>
              <w:t>’</w:t>
            </w:r>
            <w:r w:rsidRPr="00D51A68">
              <w:rPr>
                <w:rFonts w:ascii="Times New Roman" w:hAnsi="Times New Roman"/>
                <w:sz w:val="24"/>
              </w:rPr>
              <w:t>UE.</w:t>
            </w:r>
          </w:p>
          <w:p w:rsidR="00AC6255" w:rsidRPr="00D51A68" w:rsidRDefault="00AC6255" w:rsidP="000B0B09">
            <w:pPr>
              <w:autoSpaceDE w:val="0"/>
              <w:autoSpaceDN w:val="0"/>
              <w:adjustRightInd w:val="0"/>
              <w:spacing w:before="0" w:after="0"/>
              <w:jc w:val="left"/>
              <w:rPr>
                <w:rFonts w:ascii="Times New Roman" w:hAnsi="Times New Roman"/>
                <w:bCs/>
                <w:sz w:val="24"/>
              </w:rPr>
            </w:pPr>
          </w:p>
        </w:tc>
      </w:tr>
      <w:tr w:rsidR="00AC6255" w:rsidRPr="00D51A68" w:rsidTr="00672D2A">
        <w:tc>
          <w:tcPr>
            <w:tcW w:w="985" w:type="dxa"/>
          </w:tcPr>
          <w:p w:rsidR="00AC6255" w:rsidRPr="00D51A68" w:rsidRDefault="00AC6255" w:rsidP="000F70EC">
            <w:pPr>
              <w:autoSpaceDE w:val="0"/>
              <w:autoSpaceDN w:val="0"/>
              <w:adjustRightInd w:val="0"/>
              <w:spacing w:before="0" w:after="0"/>
              <w:rPr>
                <w:rFonts w:ascii="Times New Roman" w:hAnsi="Times New Roman"/>
                <w:bCs/>
                <w:sz w:val="24"/>
              </w:rPr>
            </w:pPr>
            <w:r w:rsidRPr="00D51A68">
              <w:rPr>
                <w:rFonts w:ascii="Times New Roman" w:hAnsi="Times New Roman"/>
                <w:sz w:val="24"/>
              </w:rPr>
              <w:t>090-120</w:t>
            </w:r>
          </w:p>
        </w:tc>
        <w:tc>
          <w:tcPr>
            <w:tcW w:w="7877" w:type="dxa"/>
          </w:tcPr>
          <w:p w:rsidR="00AC6255" w:rsidRPr="00D51A68" w:rsidRDefault="00AC6255" w:rsidP="000B0B09">
            <w:pPr>
              <w:autoSpaceDE w:val="0"/>
              <w:autoSpaceDN w:val="0"/>
              <w:adjustRightInd w:val="0"/>
              <w:spacing w:before="0" w:after="0"/>
              <w:jc w:val="left"/>
              <w:rPr>
                <w:rStyle w:val="InstructionsTabelleberschrift"/>
                <w:rFonts w:ascii="Times New Roman" w:hAnsi="Times New Roman"/>
                <w:sz w:val="24"/>
              </w:rPr>
            </w:pPr>
            <w:r w:rsidRPr="00D51A68">
              <w:rPr>
                <w:rStyle w:val="InstructionsTabelleberschrift"/>
                <w:rFonts w:ascii="Times New Roman" w:hAnsi="Times New Roman"/>
                <w:sz w:val="24"/>
              </w:rPr>
              <w:t>VOCI PER MEMORIA NELL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AMBITO DEI METODI AVANZATI DI MISURAZIONE DA RIPORTARE SE APPLICABILI</w:t>
            </w:r>
          </w:p>
        </w:tc>
      </w:tr>
      <w:tr w:rsidR="00AC6255" w:rsidRPr="00D51A68" w:rsidTr="00672D2A">
        <w:tc>
          <w:tcPr>
            <w:tcW w:w="985" w:type="dxa"/>
          </w:tcPr>
          <w:p w:rsidR="00AC6255" w:rsidRPr="00D51A68" w:rsidRDefault="00AC6255" w:rsidP="000B0B09">
            <w:pPr>
              <w:autoSpaceDE w:val="0"/>
              <w:autoSpaceDN w:val="0"/>
              <w:adjustRightInd w:val="0"/>
              <w:spacing w:before="0" w:after="0"/>
              <w:rPr>
                <w:rFonts w:ascii="Times New Roman" w:hAnsi="Times New Roman"/>
                <w:bCs/>
                <w:sz w:val="24"/>
              </w:rPr>
            </w:pPr>
            <w:r w:rsidRPr="00D51A68">
              <w:rPr>
                <w:rFonts w:ascii="Times New Roman" w:hAnsi="Times New Roman"/>
                <w:sz w:val="24"/>
              </w:rPr>
              <w:t>090</w:t>
            </w:r>
          </w:p>
        </w:tc>
        <w:tc>
          <w:tcPr>
            <w:tcW w:w="7877" w:type="dxa"/>
          </w:tcPr>
          <w:p w:rsidR="00AC6255" w:rsidRPr="00D51A68" w:rsidRDefault="00AC6255" w:rsidP="000B0B09">
            <w:pPr>
              <w:autoSpaceDE w:val="0"/>
              <w:autoSpaceDN w:val="0"/>
              <w:adjustRightInd w:val="0"/>
              <w:spacing w:before="0" w:after="0"/>
              <w:jc w:val="left"/>
              <w:rPr>
                <w:rStyle w:val="InstructionsTabelleberschrift"/>
                <w:rFonts w:ascii="Times New Roman" w:hAnsi="Times New Roman"/>
                <w:sz w:val="24"/>
              </w:rPr>
            </w:pPr>
            <w:r w:rsidRPr="00D51A68">
              <w:rPr>
                <w:rStyle w:val="InstructionsTabelleberschrift"/>
                <w:rFonts w:ascii="Times New Roman" w:hAnsi="Times New Roman"/>
                <w:sz w:val="24"/>
              </w:rPr>
              <w:t>REQUISITO DI FONDI PROPRI PRIMA DELLA RIDUZIONE DOVUTA ALLE PERDITE ATTESE, ALLA DIVERSIFICAZIONE E ALLE TECNICHE DI ATTENUAZIONE DEL RISCHIO</w:t>
            </w:r>
          </w:p>
          <w:p w:rsidR="00AC6255" w:rsidRPr="00D51A68" w:rsidRDefault="00AC6255" w:rsidP="000B0B09">
            <w:pPr>
              <w:autoSpaceDE w:val="0"/>
              <w:autoSpaceDN w:val="0"/>
              <w:adjustRightInd w:val="0"/>
              <w:spacing w:before="0" w:after="0"/>
              <w:jc w:val="left"/>
              <w:rPr>
                <w:rFonts w:ascii="Times New Roman" w:hAnsi="Times New Roman"/>
                <w:bCs/>
                <w:sz w:val="24"/>
              </w:rPr>
            </w:pPr>
          </w:p>
          <w:p w:rsidR="00AC6255" w:rsidRPr="00D51A68" w:rsidRDefault="00AC6255"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Il requisito di fondi propri segnalato nella colonna 090</w:t>
            </w:r>
            <w:r w:rsidR="00C9052E" w:rsidRPr="00D51A68">
              <w:rPr>
                <w:rFonts w:ascii="Times New Roman" w:hAnsi="Times New Roman"/>
                <w:sz w:val="24"/>
              </w:rPr>
              <w:t xml:space="preserve"> è quello della colonna </w:t>
            </w:r>
            <w:r w:rsidRPr="00D51A68">
              <w:rPr>
                <w:rFonts w:ascii="Times New Roman" w:hAnsi="Times New Roman"/>
                <w:sz w:val="24"/>
              </w:rPr>
              <w:t>070, calcolato però prima di tener conto degli effetti di riduzione dovuti alle perdite attese, alla diversificazione e alle tecniche di attenuazione del rischio (cfr. sotto).</w:t>
            </w:r>
          </w:p>
          <w:p w:rsidR="00AC6255" w:rsidRPr="00D51A68" w:rsidRDefault="00AC6255" w:rsidP="000B0B09">
            <w:pPr>
              <w:autoSpaceDE w:val="0"/>
              <w:autoSpaceDN w:val="0"/>
              <w:adjustRightInd w:val="0"/>
              <w:spacing w:before="0" w:after="0"/>
              <w:jc w:val="left"/>
              <w:rPr>
                <w:rFonts w:ascii="Times New Roman" w:hAnsi="Times New Roman"/>
                <w:bCs/>
                <w:sz w:val="24"/>
              </w:rPr>
            </w:pPr>
          </w:p>
        </w:tc>
      </w:tr>
      <w:tr w:rsidR="00AC6255" w:rsidRPr="00D51A68" w:rsidTr="00672D2A">
        <w:tc>
          <w:tcPr>
            <w:tcW w:w="985" w:type="dxa"/>
          </w:tcPr>
          <w:p w:rsidR="00AC6255" w:rsidRPr="00D51A68" w:rsidRDefault="00AC6255" w:rsidP="000B0B09">
            <w:pPr>
              <w:autoSpaceDE w:val="0"/>
              <w:autoSpaceDN w:val="0"/>
              <w:adjustRightInd w:val="0"/>
              <w:spacing w:before="0" w:after="0"/>
              <w:rPr>
                <w:rFonts w:ascii="Times New Roman" w:hAnsi="Times New Roman"/>
                <w:bCs/>
                <w:sz w:val="24"/>
              </w:rPr>
            </w:pPr>
            <w:r w:rsidRPr="00D51A68">
              <w:rPr>
                <w:rFonts w:ascii="Times New Roman" w:hAnsi="Times New Roman"/>
                <w:sz w:val="24"/>
              </w:rPr>
              <w:t>100</w:t>
            </w:r>
          </w:p>
        </w:tc>
        <w:tc>
          <w:tcPr>
            <w:tcW w:w="7877" w:type="dxa"/>
          </w:tcPr>
          <w:p w:rsidR="00AC6255" w:rsidRPr="00D51A68" w:rsidRDefault="00AC6255" w:rsidP="000B0B09">
            <w:pPr>
              <w:autoSpaceDE w:val="0"/>
              <w:autoSpaceDN w:val="0"/>
              <w:adjustRightInd w:val="0"/>
              <w:spacing w:before="0" w:after="0"/>
              <w:jc w:val="left"/>
              <w:rPr>
                <w:rStyle w:val="InstructionsTabelleberschrift"/>
                <w:rFonts w:ascii="Times New Roman" w:hAnsi="Times New Roman"/>
                <w:sz w:val="24"/>
              </w:rPr>
            </w:pPr>
            <w:r w:rsidRPr="00D51A68">
              <w:rPr>
                <w:rStyle w:val="InstructionsTabelleberschrift"/>
                <w:rFonts w:ascii="Times New Roman" w:hAnsi="Times New Roman"/>
                <w:sz w:val="24"/>
              </w:rPr>
              <w:t>(-) RIDUZIONE DEL REQUISITO DI FONDI PROPRI DOVUTA ALLE PERDITE ATTESE STIMATE NELLE PRASSI OPERATIVE</w:t>
            </w:r>
          </w:p>
          <w:p w:rsidR="00AC6255" w:rsidRPr="00D51A68" w:rsidRDefault="00AC6255" w:rsidP="000B0B09">
            <w:pPr>
              <w:autoSpaceDE w:val="0"/>
              <w:autoSpaceDN w:val="0"/>
              <w:adjustRightInd w:val="0"/>
              <w:spacing w:before="0" w:after="0"/>
              <w:jc w:val="left"/>
              <w:rPr>
                <w:rFonts w:ascii="Times New Roman" w:hAnsi="Times New Roman"/>
                <w:bCs/>
                <w:sz w:val="24"/>
              </w:rPr>
            </w:pPr>
          </w:p>
          <w:p w:rsidR="00AC6255" w:rsidRPr="00D51A68" w:rsidRDefault="00AC6255"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Nella colonna 100 è segnalata la riduzione dei requisiti di fondi propri dovuta alle perdite attese stimate nelle prassi operative interne (di cui all</w:t>
            </w:r>
            <w:r w:rsidR="0009277C" w:rsidRPr="00D51A68">
              <w:rPr>
                <w:rFonts w:ascii="Times New Roman" w:hAnsi="Times New Roman"/>
                <w:sz w:val="24"/>
              </w:rPr>
              <w:t>’</w:t>
            </w:r>
            <w:r w:rsidRPr="00D51A68">
              <w:rPr>
                <w:rFonts w:ascii="Times New Roman" w:hAnsi="Times New Roman"/>
                <w:sz w:val="24"/>
              </w:rPr>
              <w:t>articolo 322, paragrafo 2, lettera a), del CRR).</w:t>
            </w:r>
          </w:p>
          <w:p w:rsidR="00AC6255" w:rsidRPr="00D51A68" w:rsidRDefault="00AC6255" w:rsidP="000B0B09">
            <w:pPr>
              <w:autoSpaceDE w:val="0"/>
              <w:autoSpaceDN w:val="0"/>
              <w:adjustRightInd w:val="0"/>
              <w:spacing w:before="0" w:after="0"/>
              <w:jc w:val="left"/>
              <w:rPr>
                <w:rFonts w:ascii="Times New Roman" w:hAnsi="Times New Roman"/>
                <w:bCs/>
                <w:sz w:val="24"/>
              </w:rPr>
            </w:pPr>
          </w:p>
        </w:tc>
      </w:tr>
      <w:tr w:rsidR="00AC6255" w:rsidRPr="00D51A68" w:rsidTr="00672D2A">
        <w:tc>
          <w:tcPr>
            <w:tcW w:w="985" w:type="dxa"/>
          </w:tcPr>
          <w:p w:rsidR="00AC6255" w:rsidRPr="00D51A68" w:rsidRDefault="00AC6255" w:rsidP="000B0B09">
            <w:pPr>
              <w:autoSpaceDE w:val="0"/>
              <w:autoSpaceDN w:val="0"/>
              <w:adjustRightInd w:val="0"/>
              <w:spacing w:before="0" w:after="0"/>
              <w:rPr>
                <w:rFonts w:ascii="Times New Roman" w:hAnsi="Times New Roman"/>
                <w:bCs/>
                <w:sz w:val="24"/>
              </w:rPr>
            </w:pPr>
            <w:r w:rsidRPr="00D51A68">
              <w:rPr>
                <w:rFonts w:ascii="Times New Roman" w:hAnsi="Times New Roman"/>
                <w:sz w:val="24"/>
              </w:rPr>
              <w:t>110</w:t>
            </w:r>
          </w:p>
        </w:tc>
        <w:tc>
          <w:tcPr>
            <w:tcW w:w="7877" w:type="dxa"/>
          </w:tcPr>
          <w:p w:rsidR="00AC6255" w:rsidRPr="00D51A68" w:rsidRDefault="00AC6255" w:rsidP="000B0B09">
            <w:pPr>
              <w:autoSpaceDE w:val="0"/>
              <w:autoSpaceDN w:val="0"/>
              <w:adjustRightInd w:val="0"/>
              <w:spacing w:before="0" w:after="0"/>
              <w:jc w:val="left"/>
              <w:rPr>
                <w:rStyle w:val="InstructionsTabelleberschrift"/>
                <w:rFonts w:ascii="Times New Roman" w:hAnsi="Times New Roman"/>
                <w:sz w:val="24"/>
              </w:rPr>
            </w:pPr>
            <w:r w:rsidRPr="00D51A68">
              <w:rPr>
                <w:rStyle w:val="InstructionsTabelleberschrift"/>
                <w:rFonts w:ascii="Times New Roman" w:hAnsi="Times New Roman"/>
                <w:sz w:val="24"/>
              </w:rPr>
              <w:t>(-) RIDUZIONE DEL REQUISITO DI FONDI PROPRI DOVUTA ALLA DIVERSIFICAZIONE</w:t>
            </w:r>
          </w:p>
          <w:p w:rsidR="00AC6255" w:rsidRPr="00D51A68" w:rsidRDefault="00AC6255" w:rsidP="000B0B09">
            <w:pPr>
              <w:rPr>
                <w:rFonts w:ascii="Times New Roman" w:hAnsi="Times New Roman"/>
                <w:sz w:val="24"/>
              </w:rPr>
            </w:pPr>
            <w:r w:rsidRPr="00D51A68">
              <w:rPr>
                <w:rFonts w:ascii="Times New Roman" w:hAnsi="Times New Roman"/>
                <w:sz w:val="24"/>
              </w:rPr>
              <w:t>L</w:t>
            </w:r>
            <w:r w:rsidR="0009277C" w:rsidRPr="00D51A68">
              <w:rPr>
                <w:rFonts w:ascii="Times New Roman" w:hAnsi="Times New Roman"/>
                <w:sz w:val="24"/>
              </w:rPr>
              <w:t>’</w:t>
            </w:r>
            <w:r w:rsidRPr="00D51A68">
              <w:rPr>
                <w:rFonts w:ascii="Times New Roman" w:hAnsi="Times New Roman"/>
                <w:sz w:val="24"/>
              </w:rPr>
              <w:t xml:space="preserve">effetto della diversificazione riportato nella colonna 110 è la differenza tra la somma dei requisiti di fondi propri calcolati separatamente per ciascuna classe di rischio operativo (ossia una situazione di </w:t>
            </w:r>
            <w:r w:rsidR="0009277C" w:rsidRPr="00D51A68">
              <w:rPr>
                <w:rFonts w:ascii="Times New Roman" w:hAnsi="Times New Roman"/>
                <w:sz w:val="24"/>
              </w:rPr>
              <w:t>“</w:t>
            </w:r>
            <w:r w:rsidRPr="00D51A68">
              <w:rPr>
                <w:rFonts w:ascii="Times New Roman" w:hAnsi="Times New Roman"/>
                <w:sz w:val="24"/>
              </w:rPr>
              <w:t>dipendenza perfetta</w:t>
            </w:r>
            <w:r w:rsidR="0009277C" w:rsidRPr="00D51A68">
              <w:rPr>
                <w:rFonts w:ascii="Times New Roman" w:hAnsi="Times New Roman"/>
                <w:sz w:val="24"/>
              </w:rPr>
              <w:t>”</w:t>
            </w:r>
            <w:r w:rsidRPr="00D51A68">
              <w:rPr>
                <w:rFonts w:ascii="Times New Roman" w:hAnsi="Times New Roman"/>
                <w:sz w:val="24"/>
              </w:rPr>
              <w:t xml:space="preserve">) e il requisito diversificato di fondi propri calcolato tenendo conto delle correlazioni e delle dipendenze (presumendo, cioè, una </w:t>
            </w:r>
            <w:r w:rsidR="0009277C" w:rsidRPr="00D51A68">
              <w:rPr>
                <w:rFonts w:ascii="Times New Roman" w:hAnsi="Times New Roman"/>
                <w:sz w:val="24"/>
              </w:rPr>
              <w:t>“</w:t>
            </w:r>
            <w:r w:rsidRPr="00D51A68">
              <w:rPr>
                <w:rFonts w:ascii="Times New Roman" w:hAnsi="Times New Roman"/>
                <w:sz w:val="24"/>
              </w:rPr>
              <w:t>dipendenza meno che perfetta</w:t>
            </w:r>
            <w:r w:rsidR="0009277C" w:rsidRPr="00D51A68">
              <w:rPr>
                <w:rFonts w:ascii="Times New Roman" w:hAnsi="Times New Roman"/>
                <w:sz w:val="24"/>
              </w:rPr>
              <w:t>”</w:t>
            </w:r>
            <w:r w:rsidRPr="00D51A68">
              <w:rPr>
                <w:rFonts w:ascii="Times New Roman" w:hAnsi="Times New Roman"/>
                <w:sz w:val="24"/>
              </w:rPr>
              <w:t xml:space="preserve"> tra le classi di rischio). La situazione di </w:t>
            </w:r>
            <w:r w:rsidR="0009277C" w:rsidRPr="00D51A68">
              <w:rPr>
                <w:rFonts w:ascii="Times New Roman" w:hAnsi="Times New Roman"/>
                <w:sz w:val="24"/>
              </w:rPr>
              <w:t>“</w:t>
            </w:r>
            <w:r w:rsidRPr="00D51A68">
              <w:rPr>
                <w:rFonts w:ascii="Times New Roman" w:hAnsi="Times New Roman"/>
                <w:sz w:val="24"/>
              </w:rPr>
              <w:t>dipendenza perfetta</w:t>
            </w:r>
            <w:r w:rsidR="0009277C" w:rsidRPr="00D51A68">
              <w:rPr>
                <w:rFonts w:ascii="Times New Roman" w:hAnsi="Times New Roman"/>
                <w:sz w:val="24"/>
              </w:rPr>
              <w:t>”</w:t>
            </w:r>
            <w:r w:rsidRPr="00D51A68">
              <w:rPr>
                <w:rFonts w:ascii="Times New Roman" w:hAnsi="Times New Roman"/>
                <w:sz w:val="24"/>
              </w:rPr>
              <w:t xml:space="preserve"> si verifica nel </w:t>
            </w:r>
            <w:r w:rsidR="0009277C" w:rsidRPr="00D51A68">
              <w:rPr>
                <w:rFonts w:ascii="Times New Roman" w:hAnsi="Times New Roman"/>
                <w:sz w:val="24"/>
              </w:rPr>
              <w:t>“</w:t>
            </w:r>
            <w:r w:rsidRPr="00D51A68">
              <w:rPr>
                <w:rFonts w:ascii="Times New Roman" w:hAnsi="Times New Roman"/>
                <w:sz w:val="24"/>
              </w:rPr>
              <w:t>caso normale</w:t>
            </w:r>
            <w:r w:rsidR="0009277C" w:rsidRPr="00D51A68">
              <w:rPr>
                <w:rFonts w:ascii="Times New Roman" w:hAnsi="Times New Roman"/>
                <w:sz w:val="24"/>
              </w:rPr>
              <w:t>”</w:t>
            </w:r>
            <w:r w:rsidRPr="00D51A68">
              <w:rPr>
                <w:rFonts w:ascii="Times New Roman" w:hAnsi="Times New Roman"/>
                <w:sz w:val="24"/>
              </w:rPr>
              <w:t>, ossia quando l</w:t>
            </w:r>
            <w:r w:rsidR="0009277C" w:rsidRPr="00D51A68">
              <w:rPr>
                <w:rFonts w:ascii="Times New Roman" w:hAnsi="Times New Roman"/>
                <w:sz w:val="24"/>
              </w:rPr>
              <w:t>’</w:t>
            </w:r>
            <w:r w:rsidRPr="00D51A68">
              <w:rPr>
                <w:rFonts w:ascii="Times New Roman" w:hAnsi="Times New Roman"/>
                <w:sz w:val="24"/>
              </w:rPr>
              <w:t>ente non applica una struttura esplicita di correlazioni tra le classi di rischio, e quindi il capitale secondo il metodo AMA è calcolato come somma delle misure individuali di rischio operativo delle classi di rischio selezionate. In questo caso si presume che la correlazione tra le classi di rischio sia del 100</w:t>
            </w:r>
            <w:r w:rsidR="0009277C" w:rsidRPr="00D51A68">
              <w:rPr>
                <w:rFonts w:ascii="Times New Roman" w:hAnsi="Times New Roman"/>
                <w:sz w:val="24"/>
              </w:rPr>
              <w:t>%</w:t>
            </w:r>
            <w:r w:rsidRPr="00D51A68">
              <w:rPr>
                <w:rFonts w:ascii="Times New Roman" w:hAnsi="Times New Roman"/>
                <w:sz w:val="24"/>
              </w:rPr>
              <w:t xml:space="preserve"> e il valore della colonna deve essere posto a zero. Per contro, quando calcola una struttura esplicita di correlazioni tra le classi di rischio, l</w:t>
            </w:r>
            <w:r w:rsidR="0009277C" w:rsidRPr="00D51A68">
              <w:rPr>
                <w:rFonts w:ascii="Times New Roman" w:hAnsi="Times New Roman"/>
                <w:sz w:val="24"/>
              </w:rPr>
              <w:t>’</w:t>
            </w:r>
            <w:r w:rsidRPr="00D51A68">
              <w:rPr>
                <w:rFonts w:ascii="Times New Roman" w:hAnsi="Times New Roman"/>
                <w:sz w:val="24"/>
              </w:rPr>
              <w:t xml:space="preserve">ente deve inserire in questa colonna la differenza tra il capitale secondo il metodo AMA derivante dal </w:t>
            </w:r>
            <w:r w:rsidR="0009277C" w:rsidRPr="00D51A68">
              <w:rPr>
                <w:rFonts w:ascii="Times New Roman" w:hAnsi="Times New Roman"/>
                <w:sz w:val="24"/>
              </w:rPr>
              <w:t>“</w:t>
            </w:r>
            <w:r w:rsidRPr="00D51A68">
              <w:rPr>
                <w:rFonts w:ascii="Times New Roman" w:hAnsi="Times New Roman"/>
                <w:sz w:val="24"/>
              </w:rPr>
              <w:t>caso normale</w:t>
            </w:r>
            <w:r w:rsidR="0009277C" w:rsidRPr="00D51A68">
              <w:rPr>
                <w:rFonts w:ascii="Times New Roman" w:hAnsi="Times New Roman"/>
                <w:sz w:val="24"/>
              </w:rPr>
              <w:t>”</w:t>
            </w:r>
            <w:r w:rsidRPr="00D51A68">
              <w:rPr>
                <w:rFonts w:ascii="Times New Roman" w:hAnsi="Times New Roman"/>
                <w:sz w:val="24"/>
              </w:rPr>
              <w:t>, e il capitale ottenuto dopo l</w:t>
            </w:r>
            <w:r w:rsidR="0009277C" w:rsidRPr="00D51A68">
              <w:rPr>
                <w:rFonts w:ascii="Times New Roman" w:hAnsi="Times New Roman"/>
                <w:sz w:val="24"/>
              </w:rPr>
              <w:t>’</w:t>
            </w:r>
            <w:r w:rsidRPr="00D51A68">
              <w:rPr>
                <w:rFonts w:ascii="Times New Roman" w:hAnsi="Times New Roman"/>
                <w:sz w:val="24"/>
              </w:rPr>
              <w:t xml:space="preserve">applicazione della struttura di correlazioni tra le classi di rischio. Il valore ottenuto esprime la </w:t>
            </w:r>
            <w:r w:rsidR="0009277C" w:rsidRPr="00D51A68">
              <w:rPr>
                <w:rFonts w:ascii="Times New Roman" w:hAnsi="Times New Roman"/>
                <w:sz w:val="24"/>
              </w:rPr>
              <w:t>“</w:t>
            </w:r>
            <w:r w:rsidRPr="00D51A68">
              <w:rPr>
                <w:rFonts w:ascii="Times New Roman" w:hAnsi="Times New Roman"/>
                <w:sz w:val="24"/>
              </w:rPr>
              <w:t>capacità di diversificazione</w:t>
            </w:r>
            <w:r w:rsidR="0009277C" w:rsidRPr="00D51A68">
              <w:rPr>
                <w:rFonts w:ascii="Times New Roman" w:hAnsi="Times New Roman"/>
                <w:sz w:val="24"/>
              </w:rPr>
              <w:t>”</w:t>
            </w:r>
            <w:r w:rsidRPr="00D51A68">
              <w:rPr>
                <w:rFonts w:ascii="Times New Roman" w:hAnsi="Times New Roman"/>
                <w:sz w:val="24"/>
              </w:rPr>
              <w:t xml:space="preserve"> del modello AMA, cioè la sua capacità di cogliere l</w:t>
            </w:r>
            <w:r w:rsidR="0009277C" w:rsidRPr="00D51A68">
              <w:rPr>
                <w:rFonts w:ascii="Times New Roman" w:hAnsi="Times New Roman"/>
                <w:sz w:val="24"/>
              </w:rPr>
              <w:t>’</w:t>
            </w:r>
            <w:r w:rsidRPr="00D51A68">
              <w:rPr>
                <w:rFonts w:ascii="Times New Roman" w:hAnsi="Times New Roman"/>
                <w:sz w:val="24"/>
              </w:rPr>
              <w:t xml:space="preserve">insorgenza non simultanea di gravi eventi di perdita </w:t>
            </w:r>
            <w:r w:rsidRPr="00D51A68">
              <w:rPr>
                <w:rFonts w:ascii="Times New Roman" w:hAnsi="Times New Roman"/>
                <w:sz w:val="24"/>
              </w:rPr>
              <w:lastRenderedPageBreak/>
              <w:t>dovuti al rischio operativo. Nella colonna 110 deve essere segnalato l</w:t>
            </w:r>
            <w:r w:rsidR="0009277C" w:rsidRPr="00D51A68">
              <w:rPr>
                <w:rFonts w:ascii="Times New Roman" w:hAnsi="Times New Roman"/>
                <w:sz w:val="24"/>
              </w:rPr>
              <w:t>’</w:t>
            </w:r>
            <w:r w:rsidRPr="00D51A68">
              <w:rPr>
                <w:rFonts w:ascii="Times New Roman" w:hAnsi="Times New Roman"/>
                <w:sz w:val="24"/>
              </w:rPr>
              <w:t>importo di cui l</w:t>
            </w:r>
            <w:r w:rsidR="0009277C" w:rsidRPr="00D51A68">
              <w:rPr>
                <w:rFonts w:ascii="Times New Roman" w:hAnsi="Times New Roman"/>
                <w:sz w:val="24"/>
              </w:rPr>
              <w:t>’</w:t>
            </w:r>
            <w:r w:rsidRPr="00D51A68">
              <w:rPr>
                <w:rFonts w:ascii="Times New Roman" w:hAnsi="Times New Roman"/>
                <w:sz w:val="24"/>
              </w:rPr>
              <w:t>assunta struttura di correlazioni riduce il capitale AMA rispetto alla correlazione del 100</w:t>
            </w:r>
            <w:r w:rsidR="0009277C" w:rsidRPr="00D51A68">
              <w:rPr>
                <w:rFonts w:ascii="Times New Roman" w:hAnsi="Times New Roman"/>
                <w:sz w:val="24"/>
              </w:rPr>
              <w:t>%</w:t>
            </w:r>
            <w:r w:rsidRPr="00D51A68">
              <w:rPr>
                <w:rFonts w:ascii="Times New Roman" w:hAnsi="Times New Roman"/>
                <w:sz w:val="24"/>
              </w:rPr>
              <w:t>.</w:t>
            </w:r>
          </w:p>
          <w:p w:rsidR="00AC6255" w:rsidRPr="00D51A68" w:rsidRDefault="00AC6255" w:rsidP="000B0B09">
            <w:pPr>
              <w:autoSpaceDE w:val="0"/>
              <w:autoSpaceDN w:val="0"/>
              <w:adjustRightInd w:val="0"/>
              <w:spacing w:before="0" w:after="0"/>
              <w:jc w:val="left"/>
              <w:rPr>
                <w:rFonts w:ascii="Times New Roman" w:hAnsi="Times New Roman"/>
                <w:bCs/>
                <w:sz w:val="24"/>
              </w:rPr>
            </w:pPr>
          </w:p>
        </w:tc>
      </w:tr>
      <w:tr w:rsidR="00AC6255" w:rsidRPr="00D51A68" w:rsidTr="00672D2A">
        <w:tc>
          <w:tcPr>
            <w:tcW w:w="985" w:type="dxa"/>
          </w:tcPr>
          <w:p w:rsidR="00AC6255" w:rsidRPr="00D51A68" w:rsidRDefault="00AC6255" w:rsidP="000B0B09">
            <w:pPr>
              <w:autoSpaceDE w:val="0"/>
              <w:autoSpaceDN w:val="0"/>
              <w:adjustRightInd w:val="0"/>
              <w:spacing w:before="0" w:after="0"/>
              <w:rPr>
                <w:rFonts w:ascii="Times New Roman" w:hAnsi="Times New Roman"/>
                <w:bCs/>
                <w:sz w:val="24"/>
              </w:rPr>
            </w:pPr>
            <w:r w:rsidRPr="00D51A68">
              <w:rPr>
                <w:rFonts w:ascii="Times New Roman" w:hAnsi="Times New Roman"/>
                <w:sz w:val="24"/>
              </w:rPr>
              <w:lastRenderedPageBreak/>
              <w:t>120</w:t>
            </w:r>
          </w:p>
        </w:tc>
        <w:tc>
          <w:tcPr>
            <w:tcW w:w="7877" w:type="dxa"/>
          </w:tcPr>
          <w:p w:rsidR="00AC6255" w:rsidRPr="00D51A68" w:rsidRDefault="00AC6255" w:rsidP="000B0B09">
            <w:pPr>
              <w:autoSpaceDE w:val="0"/>
              <w:autoSpaceDN w:val="0"/>
              <w:adjustRightInd w:val="0"/>
              <w:spacing w:before="0" w:after="0"/>
              <w:jc w:val="left"/>
              <w:rPr>
                <w:rFonts w:ascii="Times New Roman" w:hAnsi="Times New Roman"/>
                <w:sz w:val="24"/>
              </w:rPr>
            </w:pPr>
            <w:r w:rsidRPr="00D51A68">
              <w:rPr>
                <w:rStyle w:val="InstructionsTabelleberschrift"/>
                <w:rFonts w:ascii="Times New Roman" w:hAnsi="Times New Roman"/>
                <w:sz w:val="24"/>
              </w:rPr>
              <w:t>(-) RIDUZIONE DEL REQUISITO DI FONDI PROPRI DOVUTA ALLE TECNICHE DI ATTENUAZIONE DEL RISCHIO (ASSICURAZIONE E ALTRI MECCANISMI DI TRASFERIMENTO DEL RISCHIO)</w:t>
            </w:r>
          </w:p>
          <w:p w:rsidR="00AC6255" w:rsidRPr="00D51A68" w:rsidRDefault="00AC6255" w:rsidP="000B0B09">
            <w:pPr>
              <w:autoSpaceDE w:val="0"/>
              <w:autoSpaceDN w:val="0"/>
              <w:adjustRightInd w:val="0"/>
              <w:spacing w:before="0" w:after="0"/>
              <w:jc w:val="left"/>
              <w:rPr>
                <w:rFonts w:ascii="Times New Roman" w:hAnsi="Times New Roman"/>
                <w:sz w:val="24"/>
              </w:rPr>
            </w:pPr>
          </w:p>
          <w:p w:rsidR="00AC6255" w:rsidRPr="00D51A68" w:rsidRDefault="00AC6255" w:rsidP="000B0B09">
            <w:pPr>
              <w:autoSpaceDE w:val="0"/>
              <w:autoSpaceDN w:val="0"/>
              <w:adjustRightInd w:val="0"/>
              <w:spacing w:before="0" w:after="0"/>
              <w:jc w:val="left"/>
              <w:rPr>
                <w:rFonts w:ascii="Times New Roman" w:hAnsi="Times New Roman"/>
                <w:sz w:val="24"/>
              </w:rPr>
            </w:pPr>
            <w:r w:rsidRPr="00D51A68">
              <w:rPr>
                <w:rFonts w:ascii="Times New Roman" w:hAnsi="Times New Roman"/>
                <w:sz w:val="24"/>
              </w:rPr>
              <w:t>Nella colonna 120 è segnalato l</w:t>
            </w:r>
            <w:r w:rsidR="0009277C" w:rsidRPr="00D51A68">
              <w:rPr>
                <w:rFonts w:ascii="Times New Roman" w:hAnsi="Times New Roman"/>
                <w:sz w:val="24"/>
              </w:rPr>
              <w:t>’</w:t>
            </w:r>
            <w:r w:rsidRPr="00D51A68">
              <w:rPr>
                <w:rFonts w:ascii="Times New Roman" w:hAnsi="Times New Roman"/>
                <w:sz w:val="24"/>
              </w:rPr>
              <w:t>impatto delle assicurazioni e di altri meccanismi di trasferimento del rischio conformemente all</w:t>
            </w:r>
            <w:r w:rsidR="0009277C" w:rsidRPr="00D51A68">
              <w:rPr>
                <w:rFonts w:ascii="Times New Roman" w:hAnsi="Times New Roman"/>
                <w:sz w:val="24"/>
              </w:rPr>
              <w:t>’</w:t>
            </w:r>
            <w:r w:rsidRPr="00D51A68">
              <w:rPr>
                <w:rFonts w:ascii="Times New Roman" w:hAnsi="Times New Roman"/>
                <w:sz w:val="24"/>
              </w:rPr>
              <w:t>articolo 323, paragrafi da 1 a 5, del CRR.</w:t>
            </w:r>
          </w:p>
          <w:p w:rsidR="00AC6255" w:rsidRPr="00D51A68" w:rsidRDefault="00AC6255" w:rsidP="000B0B09">
            <w:pPr>
              <w:autoSpaceDE w:val="0"/>
              <w:autoSpaceDN w:val="0"/>
              <w:adjustRightInd w:val="0"/>
              <w:spacing w:before="0" w:after="0"/>
              <w:jc w:val="left"/>
              <w:rPr>
                <w:rFonts w:ascii="Times New Roman" w:hAnsi="Times New Roman"/>
                <w:bCs/>
                <w:sz w:val="24"/>
              </w:rPr>
            </w:pPr>
          </w:p>
        </w:tc>
      </w:tr>
    </w:tbl>
    <w:p w:rsidR="00AC6255" w:rsidRPr="00D51A68" w:rsidRDefault="00AC6255" w:rsidP="00AC6255">
      <w:pPr>
        <w:autoSpaceDE w:val="0"/>
        <w:autoSpaceDN w:val="0"/>
        <w:adjustRightInd w:val="0"/>
        <w:spacing w:before="0" w:after="0"/>
        <w:rPr>
          <w:rFonts w:ascii="Times New Roman" w:hAnsi="Times New Roman"/>
          <w:sz w:val="24"/>
        </w:rPr>
      </w:pPr>
    </w:p>
    <w:p w:rsidR="00AC6255" w:rsidRPr="00D51A68" w:rsidRDefault="00AC6255" w:rsidP="00AC6255">
      <w:pPr>
        <w:autoSpaceDE w:val="0"/>
        <w:autoSpaceDN w:val="0"/>
        <w:adjustRightInd w:val="0"/>
        <w:spacing w:before="0" w:after="0"/>
        <w:rPr>
          <w:rFonts w:ascii="Times New Roman" w:hAnsi="Times New Roman"/>
          <w:sz w:val="24"/>
        </w:rPr>
      </w:pPr>
    </w:p>
    <w:p w:rsidR="00AC6255" w:rsidRPr="00D51A68" w:rsidRDefault="00AC6255" w:rsidP="00AC6255">
      <w:pPr>
        <w:pStyle w:val="PlainText"/>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D51A68" w:rsidTr="00672D2A">
        <w:trPr>
          <w:trHeight w:val="518"/>
        </w:trPr>
        <w:tc>
          <w:tcPr>
            <w:tcW w:w="8862" w:type="dxa"/>
            <w:gridSpan w:val="2"/>
            <w:shd w:val="clear" w:color="auto" w:fill="CCCCCC"/>
          </w:tcPr>
          <w:p w:rsidR="00AC6255" w:rsidRPr="00D51A68" w:rsidRDefault="00AC6255" w:rsidP="000B0B09">
            <w:pPr>
              <w:autoSpaceDE w:val="0"/>
              <w:autoSpaceDN w:val="0"/>
              <w:adjustRightInd w:val="0"/>
              <w:spacing w:after="0"/>
              <w:rPr>
                <w:rFonts w:ascii="Times New Roman" w:hAnsi="Times New Roman"/>
                <w:b/>
                <w:bCs/>
                <w:sz w:val="24"/>
              </w:rPr>
            </w:pPr>
            <w:r w:rsidRPr="00D51A68">
              <w:rPr>
                <w:rFonts w:ascii="Times New Roman" w:hAnsi="Times New Roman"/>
                <w:b/>
                <w:sz w:val="24"/>
              </w:rPr>
              <w:t>Righe</w:t>
            </w:r>
          </w:p>
        </w:tc>
      </w:tr>
      <w:tr w:rsidR="00AC6255" w:rsidRPr="00D51A68" w:rsidTr="00672D2A">
        <w:tc>
          <w:tcPr>
            <w:tcW w:w="985" w:type="dxa"/>
          </w:tcPr>
          <w:p w:rsidR="00AC6255" w:rsidRPr="00D51A68" w:rsidRDefault="00AC6255" w:rsidP="000B0B09">
            <w:pPr>
              <w:autoSpaceDE w:val="0"/>
              <w:autoSpaceDN w:val="0"/>
              <w:adjustRightInd w:val="0"/>
              <w:spacing w:before="0" w:after="0"/>
              <w:rPr>
                <w:rFonts w:ascii="Times New Roman" w:hAnsi="Times New Roman"/>
                <w:bCs/>
                <w:sz w:val="24"/>
              </w:rPr>
            </w:pPr>
            <w:r w:rsidRPr="00D51A68">
              <w:rPr>
                <w:rFonts w:ascii="Times New Roman" w:hAnsi="Times New Roman"/>
                <w:sz w:val="24"/>
              </w:rPr>
              <w:t xml:space="preserve">010 </w:t>
            </w:r>
          </w:p>
        </w:tc>
        <w:tc>
          <w:tcPr>
            <w:tcW w:w="7877" w:type="dxa"/>
          </w:tcPr>
          <w:p w:rsidR="00AC6255" w:rsidRPr="00D51A68" w:rsidRDefault="00AC6255" w:rsidP="000B0B09">
            <w:pPr>
              <w:autoSpaceDE w:val="0"/>
              <w:autoSpaceDN w:val="0"/>
              <w:adjustRightInd w:val="0"/>
              <w:spacing w:before="0" w:after="0"/>
              <w:rPr>
                <w:rStyle w:val="InstructionsTabelleberschrift"/>
                <w:rFonts w:ascii="Times New Roman" w:hAnsi="Times New Roman"/>
                <w:sz w:val="24"/>
              </w:rPr>
            </w:pPr>
            <w:r w:rsidRPr="00D51A68">
              <w:rPr>
                <w:rStyle w:val="InstructionsTabelleberschrift"/>
                <w:rFonts w:ascii="Times New Roman" w:hAnsi="Times New Roman"/>
                <w:sz w:val="24"/>
              </w:rPr>
              <w:t>ATTIVITÀ BANCARIE SOGGETTE AL METODO BASE (BIA)</w:t>
            </w:r>
          </w:p>
          <w:p w:rsidR="00AC6255" w:rsidRPr="00D51A68" w:rsidRDefault="00AC6255" w:rsidP="000B0B09">
            <w:pPr>
              <w:pStyle w:val="PlainText"/>
              <w:jc w:val="both"/>
              <w:rPr>
                <w:rFonts w:ascii="Times New Roman" w:eastAsia="Times New Roman" w:hAnsi="Times New Roman"/>
                <w:sz w:val="24"/>
                <w:szCs w:val="24"/>
              </w:rPr>
            </w:pPr>
          </w:p>
          <w:p w:rsidR="00AC6255" w:rsidRPr="00D51A68" w:rsidRDefault="00AC6255" w:rsidP="000B0B09">
            <w:pPr>
              <w:pStyle w:val="PlainText"/>
              <w:jc w:val="both"/>
              <w:rPr>
                <w:rFonts w:ascii="Times New Roman" w:eastAsia="Times New Roman" w:hAnsi="Times New Roman"/>
                <w:sz w:val="24"/>
                <w:szCs w:val="24"/>
              </w:rPr>
            </w:pPr>
            <w:r w:rsidRPr="00D51A68">
              <w:rPr>
                <w:rFonts w:ascii="Times New Roman" w:hAnsi="Times New Roman"/>
                <w:sz w:val="24"/>
              </w:rPr>
              <w:t>Questa riga contiene gli importi corrispondenti alle attività soggette al metodo base per il calcolo del requisito di fondi propri per</w:t>
            </w:r>
            <w:r w:rsidR="00C9052E" w:rsidRPr="00D51A68">
              <w:rPr>
                <w:rFonts w:ascii="Times New Roman" w:hAnsi="Times New Roman"/>
                <w:sz w:val="24"/>
              </w:rPr>
              <w:t xml:space="preserve"> il rischio operativo (articoli </w:t>
            </w:r>
            <w:r w:rsidRPr="00D51A68">
              <w:rPr>
                <w:rFonts w:ascii="Times New Roman" w:hAnsi="Times New Roman"/>
                <w:sz w:val="24"/>
              </w:rPr>
              <w:t>315 e 316 del CRR).</w:t>
            </w:r>
          </w:p>
          <w:p w:rsidR="00AC6255" w:rsidRPr="00D51A68" w:rsidRDefault="00AC6255" w:rsidP="000B0B09">
            <w:pPr>
              <w:pStyle w:val="PlainText"/>
              <w:jc w:val="both"/>
              <w:rPr>
                <w:rFonts w:ascii="Times New Roman" w:eastAsia="Times New Roman" w:hAnsi="Times New Roman"/>
                <w:bCs/>
                <w:sz w:val="24"/>
                <w:szCs w:val="24"/>
              </w:rPr>
            </w:pPr>
          </w:p>
        </w:tc>
      </w:tr>
      <w:tr w:rsidR="00AC6255" w:rsidRPr="00D51A68" w:rsidTr="00672D2A">
        <w:tc>
          <w:tcPr>
            <w:tcW w:w="985" w:type="dxa"/>
          </w:tcPr>
          <w:p w:rsidR="00AC6255" w:rsidRPr="00D51A68" w:rsidRDefault="00AC6255" w:rsidP="000B0B09">
            <w:pPr>
              <w:autoSpaceDE w:val="0"/>
              <w:autoSpaceDN w:val="0"/>
              <w:adjustRightInd w:val="0"/>
              <w:spacing w:before="0" w:after="0"/>
              <w:rPr>
                <w:rFonts w:ascii="Times New Roman" w:hAnsi="Times New Roman"/>
                <w:bCs/>
                <w:sz w:val="24"/>
              </w:rPr>
            </w:pPr>
            <w:r w:rsidRPr="00D51A68">
              <w:rPr>
                <w:rFonts w:ascii="Times New Roman" w:hAnsi="Times New Roman"/>
                <w:sz w:val="24"/>
              </w:rPr>
              <w:t>020</w:t>
            </w:r>
          </w:p>
        </w:tc>
        <w:tc>
          <w:tcPr>
            <w:tcW w:w="7877" w:type="dxa"/>
          </w:tcPr>
          <w:p w:rsidR="00AC6255" w:rsidRPr="00D51A68" w:rsidRDefault="00AC6255" w:rsidP="000B0B09">
            <w:pPr>
              <w:autoSpaceDE w:val="0"/>
              <w:autoSpaceDN w:val="0"/>
              <w:adjustRightInd w:val="0"/>
              <w:spacing w:before="0" w:after="0"/>
              <w:rPr>
                <w:rStyle w:val="InstructionsTabelleberschrift"/>
                <w:rFonts w:ascii="Times New Roman" w:hAnsi="Times New Roman"/>
                <w:sz w:val="24"/>
              </w:rPr>
            </w:pPr>
            <w:r w:rsidRPr="00D51A68">
              <w:rPr>
                <w:rStyle w:val="InstructionsTabelleberschrift"/>
                <w:rFonts w:ascii="Times New Roman" w:hAnsi="Times New Roman"/>
                <w:sz w:val="24"/>
              </w:rPr>
              <w:t>ATTIVITÀ BANCARIE SOGGETTE AL METODO STANDARDIZZATO/AL METODO STANDARDIZZATO ALTERNATIVO</w:t>
            </w:r>
          </w:p>
          <w:p w:rsidR="00AC6255" w:rsidRPr="00D51A68" w:rsidRDefault="00AC6255" w:rsidP="000B0B09">
            <w:pPr>
              <w:autoSpaceDE w:val="0"/>
              <w:autoSpaceDN w:val="0"/>
              <w:adjustRightInd w:val="0"/>
              <w:spacing w:before="0" w:after="0"/>
              <w:rPr>
                <w:rFonts w:ascii="Times New Roman" w:hAnsi="Times New Roman"/>
                <w:sz w:val="24"/>
              </w:rPr>
            </w:pPr>
          </w:p>
          <w:p w:rsidR="00AC6255" w:rsidRPr="00D51A68" w:rsidRDefault="00AC6255"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In questa riga è segnalato il requisito di fondi propri calcolato in base al metodo standardizzato e al metodo standardizzato alternativo (articoli da 317</w:t>
            </w:r>
            <w:r w:rsidR="00C9052E" w:rsidRPr="00D51A68">
              <w:rPr>
                <w:rFonts w:ascii="Times New Roman" w:hAnsi="Times New Roman"/>
                <w:sz w:val="24"/>
              </w:rPr>
              <w:t xml:space="preserve"> a </w:t>
            </w:r>
            <w:r w:rsidRPr="00D51A68">
              <w:rPr>
                <w:rFonts w:ascii="Times New Roman" w:hAnsi="Times New Roman"/>
                <w:sz w:val="24"/>
              </w:rPr>
              <w:t>319 del CRR).</w:t>
            </w:r>
          </w:p>
          <w:p w:rsidR="00AC6255" w:rsidRPr="00D51A68" w:rsidRDefault="00AC6255" w:rsidP="000B0B09">
            <w:pPr>
              <w:autoSpaceDE w:val="0"/>
              <w:autoSpaceDN w:val="0"/>
              <w:adjustRightInd w:val="0"/>
              <w:spacing w:before="0" w:after="0"/>
              <w:rPr>
                <w:rFonts w:ascii="Times New Roman" w:hAnsi="Times New Roman"/>
                <w:bCs/>
                <w:sz w:val="24"/>
              </w:rPr>
            </w:pPr>
          </w:p>
        </w:tc>
      </w:tr>
      <w:tr w:rsidR="00AC6255" w:rsidRPr="00D51A68" w:rsidTr="00672D2A">
        <w:trPr>
          <w:trHeight w:val="1705"/>
        </w:trPr>
        <w:tc>
          <w:tcPr>
            <w:tcW w:w="985" w:type="dxa"/>
          </w:tcPr>
          <w:p w:rsidR="00AC6255" w:rsidRPr="00D51A68" w:rsidRDefault="00AC6255" w:rsidP="000F70EC">
            <w:pPr>
              <w:autoSpaceDE w:val="0"/>
              <w:autoSpaceDN w:val="0"/>
              <w:adjustRightInd w:val="0"/>
              <w:spacing w:before="0" w:after="0"/>
              <w:rPr>
                <w:rFonts w:ascii="Times New Roman" w:hAnsi="Times New Roman"/>
                <w:bCs/>
                <w:sz w:val="24"/>
              </w:rPr>
            </w:pPr>
            <w:r w:rsidRPr="00D51A68">
              <w:rPr>
                <w:rFonts w:ascii="Times New Roman" w:hAnsi="Times New Roman"/>
                <w:sz w:val="24"/>
              </w:rPr>
              <w:t>030-100</w:t>
            </w:r>
          </w:p>
        </w:tc>
        <w:tc>
          <w:tcPr>
            <w:tcW w:w="7877" w:type="dxa"/>
          </w:tcPr>
          <w:p w:rsidR="00AC6255" w:rsidRPr="00D51A68" w:rsidRDefault="00AC6255" w:rsidP="000B0B09">
            <w:pPr>
              <w:rPr>
                <w:rStyle w:val="InstructionsTabelleberschrift"/>
                <w:rFonts w:ascii="Times New Roman" w:hAnsi="Times New Roman"/>
                <w:sz w:val="24"/>
              </w:rPr>
            </w:pPr>
            <w:r w:rsidRPr="00D51A68">
              <w:rPr>
                <w:rStyle w:val="InstructionsTabelleberschrift"/>
                <w:rFonts w:ascii="Times New Roman" w:hAnsi="Times New Roman"/>
                <w:sz w:val="24"/>
              </w:rPr>
              <w:t>SOGGETTE AL METODO STANDARDIZZATO</w:t>
            </w:r>
          </w:p>
          <w:p w:rsidR="00AC6255" w:rsidRPr="00D51A68" w:rsidRDefault="00AC6255" w:rsidP="00A95FD0">
            <w:pPr>
              <w:autoSpaceDE w:val="0"/>
              <w:autoSpaceDN w:val="0"/>
              <w:adjustRightInd w:val="0"/>
              <w:spacing w:before="0" w:after="0"/>
              <w:jc w:val="left"/>
              <w:rPr>
                <w:rFonts w:ascii="Times New Roman" w:hAnsi="Times New Roman"/>
                <w:bCs/>
                <w:sz w:val="24"/>
              </w:rPr>
            </w:pPr>
            <w:r w:rsidRPr="00D51A68">
              <w:rPr>
                <w:rFonts w:ascii="Times New Roman" w:hAnsi="Times New Roman"/>
                <w:sz w:val="24"/>
              </w:rPr>
              <w:t>In caso di uso del metodo TSA l</w:t>
            </w:r>
            <w:r w:rsidR="0009277C" w:rsidRPr="00D51A68">
              <w:rPr>
                <w:rFonts w:ascii="Times New Roman" w:hAnsi="Times New Roman"/>
                <w:sz w:val="24"/>
              </w:rPr>
              <w:t>’</w:t>
            </w:r>
            <w:r w:rsidRPr="00D51A68">
              <w:rPr>
                <w:rFonts w:ascii="Times New Roman" w:hAnsi="Times New Roman"/>
                <w:sz w:val="24"/>
              </w:rPr>
              <w:t>indicatore rilevante di ciascun anno è riportato nelle righe da 030 a 100 in corrispondenza delle linee di business elencate nella tabella 2 dell</w:t>
            </w:r>
            <w:r w:rsidR="0009277C" w:rsidRPr="00D51A68">
              <w:rPr>
                <w:rFonts w:ascii="Times New Roman" w:hAnsi="Times New Roman"/>
                <w:sz w:val="24"/>
              </w:rPr>
              <w:t>’</w:t>
            </w:r>
            <w:r w:rsidRPr="00D51A68">
              <w:rPr>
                <w:rFonts w:ascii="Times New Roman" w:hAnsi="Times New Roman"/>
                <w:sz w:val="24"/>
              </w:rPr>
              <w:t>articolo 317 del CRR. Le attività sono classificate nelle varie linee di business conformemente ai principi di cui all</w:t>
            </w:r>
            <w:r w:rsidR="0009277C" w:rsidRPr="00D51A68">
              <w:rPr>
                <w:rFonts w:ascii="Times New Roman" w:hAnsi="Times New Roman"/>
                <w:sz w:val="24"/>
              </w:rPr>
              <w:t>’</w:t>
            </w:r>
            <w:r w:rsidRPr="00D51A68">
              <w:rPr>
                <w:rFonts w:ascii="Times New Roman" w:hAnsi="Times New Roman"/>
                <w:sz w:val="24"/>
              </w:rPr>
              <w:t>articolo 318 del CRR.</w:t>
            </w:r>
          </w:p>
        </w:tc>
      </w:tr>
      <w:tr w:rsidR="00AC6255" w:rsidRPr="00D51A68" w:rsidTr="00672D2A">
        <w:tc>
          <w:tcPr>
            <w:tcW w:w="985" w:type="dxa"/>
          </w:tcPr>
          <w:p w:rsidR="00AC6255" w:rsidRPr="00D51A68" w:rsidRDefault="00AC6255" w:rsidP="000F70EC">
            <w:pPr>
              <w:autoSpaceDE w:val="0"/>
              <w:autoSpaceDN w:val="0"/>
              <w:adjustRightInd w:val="0"/>
              <w:spacing w:before="0" w:after="0"/>
              <w:rPr>
                <w:rFonts w:ascii="Times New Roman" w:hAnsi="Times New Roman"/>
                <w:bCs/>
                <w:sz w:val="24"/>
              </w:rPr>
            </w:pPr>
            <w:r w:rsidRPr="00D51A68">
              <w:rPr>
                <w:rFonts w:ascii="Times New Roman" w:hAnsi="Times New Roman"/>
                <w:sz w:val="24"/>
              </w:rPr>
              <w:t>110-120</w:t>
            </w:r>
          </w:p>
        </w:tc>
        <w:tc>
          <w:tcPr>
            <w:tcW w:w="7877" w:type="dxa"/>
          </w:tcPr>
          <w:p w:rsidR="00AC6255" w:rsidRPr="00D51A68" w:rsidRDefault="00AC6255" w:rsidP="000B0B09">
            <w:pPr>
              <w:autoSpaceDE w:val="0"/>
              <w:autoSpaceDN w:val="0"/>
              <w:adjustRightInd w:val="0"/>
              <w:spacing w:before="0" w:after="0"/>
              <w:jc w:val="left"/>
              <w:rPr>
                <w:rStyle w:val="InstructionsTabelleberschrift"/>
                <w:rFonts w:ascii="Times New Roman" w:hAnsi="Times New Roman"/>
                <w:sz w:val="24"/>
              </w:rPr>
            </w:pPr>
            <w:r w:rsidRPr="00D51A68">
              <w:rPr>
                <w:rStyle w:val="InstructionsTabelleberschrift"/>
                <w:rFonts w:ascii="Times New Roman" w:hAnsi="Times New Roman"/>
                <w:sz w:val="24"/>
              </w:rPr>
              <w:t>SOGGETTE AL METODO STANDARDIZZATO ALTERNATIVO</w:t>
            </w:r>
          </w:p>
          <w:p w:rsidR="00AC6255" w:rsidRPr="00D51A68" w:rsidRDefault="00AC6255" w:rsidP="000B0B09">
            <w:pPr>
              <w:rPr>
                <w:rFonts w:ascii="Times New Roman" w:hAnsi="Times New Roman"/>
                <w:sz w:val="24"/>
              </w:rPr>
            </w:pPr>
            <w:r w:rsidRPr="00D51A68">
              <w:rPr>
                <w:rFonts w:ascii="Times New Roman" w:hAnsi="Times New Roman"/>
                <w:sz w:val="24"/>
              </w:rPr>
              <w:t>Gli enti che utilizzano il metodo ASA (articolo 319 del CRR) riportano l</w:t>
            </w:r>
            <w:r w:rsidR="0009277C" w:rsidRPr="00D51A68">
              <w:rPr>
                <w:rFonts w:ascii="Times New Roman" w:hAnsi="Times New Roman"/>
                <w:sz w:val="24"/>
              </w:rPr>
              <w:t>’</w:t>
            </w:r>
            <w:r w:rsidRPr="00D51A68">
              <w:rPr>
                <w:rFonts w:ascii="Times New Roman" w:hAnsi="Times New Roman"/>
                <w:sz w:val="24"/>
              </w:rPr>
              <w:t>indicatore rilevante per gli anni corrispondenti, separatamente per ciascuna linea di business nelle righe da 030 a 050 e da 080 a 100</w:t>
            </w:r>
            <w:r w:rsidR="00C9052E" w:rsidRPr="00D51A68">
              <w:rPr>
                <w:rFonts w:ascii="Times New Roman" w:hAnsi="Times New Roman"/>
                <w:sz w:val="24"/>
              </w:rPr>
              <w:t>, nonché nelle righe </w:t>
            </w:r>
            <w:r w:rsidRPr="00D51A68">
              <w:rPr>
                <w:rFonts w:ascii="Times New Roman" w:hAnsi="Times New Roman"/>
                <w:sz w:val="24"/>
              </w:rPr>
              <w:t xml:space="preserve">110 e 120 per le linee di business </w:t>
            </w:r>
            <w:r w:rsidR="0009277C" w:rsidRPr="00D51A68">
              <w:rPr>
                <w:rFonts w:ascii="Times New Roman" w:hAnsi="Times New Roman"/>
                <w:sz w:val="24"/>
              </w:rPr>
              <w:t>“</w:t>
            </w:r>
            <w:r w:rsidRPr="00D51A68">
              <w:rPr>
                <w:rFonts w:ascii="Times New Roman" w:hAnsi="Times New Roman"/>
                <w:sz w:val="24"/>
              </w:rPr>
              <w:t>servizi bancari a carattere commerciale</w:t>
            </w:r>
            <w:r w:rsidR="0009277C" w:rsidRPr="00D51A68">
              <w:rPr>
                <w:rFonts w:ascii="Times New Roman" w:hAnsi="Times New Roman"/>
                <w:sz w:val="24"/>
              </w:rPr>
              <w:t>”</w:t>
            </w:r>
            <w:r w:rsidRPr="00D51A68">
              <w:rPr>
                <w:rFonts w:ascii="Times New Roman" w:hAnsi="Times New Roman"/>
                <w:sz w:val="24"/>
              </w:rPr>
              <w:t xml:space="preserve"> e </w:t>
            </w:r>
            <w:r w:rsidR="0009277C" w:rsidRPr="00D51A68">
              <w:rPr>
                <w:rFonts w:ascii="Times New Roman" w:hAnsi="Times New Roman"/>
                <w:sz w:val="24"/>
              </w:rPr>
              <w:t>“</w:t>
            </w:r>
            <w:r w:rsidRPr="00D51A68">
              <w:rPr>
                <w:rFonts w:ascii="Times New Roman" w:hAnsi="Times New Roman"/>
                <w:sz w:val="24"/>
              </w:rPr>
              <w:t>servizi bancari al dettaglio</w:t>
            </w:r>
            <w:r w:rsidR="0009277C" w:rsidRPr="00D51A68">
              <w:rPr>
                <w:rFonts w:ascii="Times New Roman" w:hAnsi="Times New Roman"/>
                <w:sz w:val="24"/>
              </w:rPr>
              <w:t>”</w:t>
            </w:r>
            <w:r w:rsidRPr="00D51A68">
              <w:rPr>
                <w:rFonts w:ascii="Times New Roman" w:hAnsi="Times New Roman"/>
                <w:sz w:val="24"/>
              </w:rPr>
              <w:t xml:space="preserve">. </w:t>
            </w:r>
          </w:p>
          <w:p w:rsidR="00AC6255" w:rsidRPr="00D51A68" w:rsidRDefault="00AC6255" w:rsidP="000B0B09">
            <w:pPr>
              <w:autoSpaceDE w:val="0"/>
              <w:autoSpaceDN w:val="0"/>
              <w:adjustRightInd w:val="0"/>
              <w:spacing w:before="0" w:after="0"/>
              <w:rPr>
                <w:rFonts w:ascii="Times New Roman" w:hAnsi="Times New Roman"/>
                <w:bCs/>
                <w:sz w:val="24"/>
              </w:rPr>
            </w:pPr>
            <w:r w:rsidRPr="00D51A68">
              <w:rPr>
                <w:rStyle w:val="InstructionsTabelleText"/>
                <w:rFonts w:ascii="Times New Roman" w:hAnsi="Times New Roman"/>
                <w:sz w:val="24"/>
              </w:rPr>
              <w:t>Le righe 110 e 120 riportano 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importo dell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 xml:space="preserve">indicatore rilevante delle attività soggette al metodo ASA distinguendo tra le attività relative alla linea di business </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servizi bancari a carattere commerciale</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 xml:space="preserve"> e quelle relative alla linea di business </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servizi bancari al dettaglio</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 xml:space="preserve"> (articolo 319</w:t>
            </w:r>
            <w:r w:rsidRPr="00D51A68">
              <w:t xml:space="preserve"> del CRR</w:t>
            </w:r>
            <w:r w:rsidRPr="00D51A68">
              <w:rPr>
                <w:rStyle w:val="InstructionsTabelleText"/>
                <w:rFonts w:ascii="Times New Roman" w:hAnsi="Times New Roman"/>
                <w:sz w:val="24"/>
              </w:rPr>
              <w:t xml:space="preserve">). Vi possono essere importi nelle righe relative ai </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servizi bancari a carattere commerciale</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 xml:space="preserve"> e </w:t>
            </w:r>
            <w:r w:rsidRPr="00D51A68">
              <w:rPr>
                <w:rStyle w:val="InstructionsTabelleText"/>
                <w:rFonts w:ascii="Times New Roman" w:hAnsi="Times New Roman"/>
                <w:sz w:val="24"/>
              </w:rPr>
              <w:lastRenderedPageBreak/>
              <w:t xml:space="preserve">ai </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servizi bancari al dettaglio</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 xml:space="preserve"> sia per il metodo TSA (righe 060 e 070) sia per il metodo ASA (righe 110 e 120), ad esempio quando una filiazione applica il metodo TSA mentre 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ente impresa madre applica il metodo ASA.</w:t>
            </w:r>
          </w:p>
        </w:tc>
      </w:tr>
      <w:tr w:rsidR="00AC6255" w:rsidRPr="00D51A68" w:rsidTr="00672D2A">
        <w:tc>
          <w:tcPr>
            <w:tcW w:w="985" w:type="dxa"/>
          </w:tcPr>
          <w:p w:rsidR="00AC6255" w:rsidRPr="00D51A68" w:rsidRDefault="00AC6255" w:rsidP="000B0B09">
            <w:pPr>
              <w:autoSpaceDE w:val="0"/>
              <w:autoSpaceDN w:val="0"/>
              <w:adjustRightInd w:val="0"/>
              <w:spacing w:before="0" w:after="0"/>
              <w:rPr>
                <w:rFonts w:ascii="Times New Roman" w:hAnsi="Times New Roman"/>
                <w:bCs/>
                <w:sz w:val="24"/>
              </w:rPr>
            </w:pPr>
            <w:r w:rsidRPr="00D51A68">
              <w:rPr>
                <w:rFonts w:ascii="Times New Roman" w:hAnsi="Times New Roman"/>
                <w:sz w:val="24"/>
              </w:rPr>
              <w:lastRenderedPageBreak/>
              <w:t>130</w:t>
            </w:r>
          </w:p>
        </w:tc>
        <w:tc>
          <w:tcPr>
            <w:tcW w:w="7877" w:type="dxa"/>
          </w:tcPr>
          <w:p w:rsidR="00AC6255" w:rsidRPr="00D51A68" w:rsidRDefault="00AC6255" w:rsidP="000B0B09">
            <w:pPr>
              <w:autoSpaceDE w:val="0"/>
              <w:autoSpaceDN w:val="0"/>
              <w:adjustRightInd w:val="0"/>
              <w:spacing w:before="0" w:after="0"/>
              <w:rPr>
                <w:rStyle w:val="InstructionsTabelleberschrift"/>
                <w:rFonts w:ascii="Times New Roman" w:hAnsi="Times New Roman"/>
                <w:sz w:val="24"/>
              </w:rPr>
            </w:pPr>
            <w:r w:rsidRPr="00D51A68">
              <w:rPr>
                <w:rStyle w:val="InstructionsTabelleberschrift"/>
                <w:rFonts w:ascii="Times New Roman" w:hAnsi="Times New Roman"/>
                <w:sz w:val="24"/>
              </w:rPr>
              <w:t>ATTIVITÀ BANCARIE SOGGETTE AI METODI AVANZATI DI MISURAZIONE</w:t>
            </w:r>
          </w:p>
          <w:p w:rsidR="00AC6255" w:rsidRPr="00D51A68" w:rsidRDefault="00AC6255" w:rsidP="000B0B09">
            <w:pPr>
              <w:autoSpaceDE w:val="0"/>
              <w:autoSpaceDN w:val="0"/>
              <w:adjustRightInd w:val="0"/>
              <w:spacing w:before="0" w:after="0"/>
              <w:rPr>
                <w:rFonts w:ascii="Times New Roman" w:hAnsi="Times New Roman"/>
                <w:bCs/>
                <w:sz w:val="24"/>
              </w:rPr>
            </w:pPr>
          </w:p>
          <w:p w:rsidR="00AC6255" w:rsidRPr="00D51A68" w:rsidRDefault="00AC6255"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 xml:space="preserve">In questa riga sono segnalati i dati pertinenti agli enti che applicano il metodo AMA (articolo 312, paragrafo 2, e articoli da 321 a 323 del CRR). </w:t>
            </w:r>
          </w:p>
          <w:p w:rsidR="00AC6255" w:rsidRPr="00D51A68" w:rsidRDefault="00AC6255" w:rsidP="000B0B09">
            <w:pPr>
              <w:autoSpaceDE w:val="0"/>
              <w:autoSpaceDN w:val="0"/>
              <w:adjustRightInd w:val="0"/>
              <w:spacing w:before="0" w:after="0"/>
              <w:rPr>
                <w:rFonts w:ascii="Times New Roman" w:hAnsi="Times New Roman"/>
                <w:sz w:val="24"/>
              </w:rPr>
            </w:pPr>
          </w:p>
          <w:p w:rsidR="00AC6255" w:rsidRPr="00D51A68" w:rsidRDefault="00AC6255"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In caso di uso combinato di diversi metodi, previsto dall</w:t>
            </w:r>
            <w:r w:rsidR="0009277C" w:rsidRPr="00D51A68">
              <w:rPr>
                <w:rFonts w:ascii="Times New Roman" w:hAnsi="Times New Roman"/>
                <w:sz w:val="24"/>
              </w:rPr>
              <w:t>’</w:t>
            </w:r>
            <w:r w:rsidRPr="00D51A68">
              <w:rPr>
                <w:rFonts w:ascii="Times New Roman" w:hAnsi="Times New Roman"/>
                <w:sz w:val="24"/>
              </w:rPr>
              <w:t>articolo 314 del CRR, sono riportate informazioni sull</w:t>
            </w:r>
            <w:r w:rsidR="0009277C" w:rsidRPr="00D51A68">
              <w:rPr>
                <w:rFonts w:ascii="Times New Roman" w:hAnsi="Times New Roman"/>
                <w:sz w:val="24"/>
              </w:rPr>
              <w:t>’</w:t>
            </w:r>
            <w:r w:rsidRPr="00D51A68">
              <w:rPr>
                <w:rFonts w:ascii="Times New Roman" w:hAnsi="Times New Roman"/>
                <w:sz w:val="24"/>
              </w:rPr>
              <w:t>indicatore rilevante per le attività soggette al metodo AMA. Ciò vale anche per tutte le altre banche che applicano il metodo AMA.</w:t>
            </w:r>
          </w:p>
          <w:p w:rsidR="00AC6255" w:rsidRPr="00D51A68" w:rsidRDefault="00AC6255" w:rsidP="000B0B09">
            <w:pPr>
              <w:autoSpaceDE w:val="0"/>
              <w:autoSpaceDN w:val="0"/>
              <w:adjustRightInd w:val="0"/>
              <w:spacing w:before="0" w:after="0"/>
              <w:rPr>
                <w:rFonts w:ascii="Times New Roman" w:hAnsi="Times New Roman"/>
                <w:bCs/>
                <w:sz w:val="24"/>
              </w:rPr>
            </w:pPr>
          </w:p>
        </w:tc>
      </w:tr>
    </w:tbl>
    <w:p w:rsidR="00AC6255" w:rsidRPr="00D51A68" w:rsidRDefault="00AC6255" w:rsidP="00AC6255">
      <w:pPr>
        <w:pStyle w:val="PlainText"/>
        <w:jc w:val="both"/>
        <w:rPr>
          <w:rFonts w:ascii="Times New Roman" w:hAnsi="Times New Roman"/>
          <w:sz w:val="24"/>
          <w:szCs w:val="24"/>
        </w:rPr>
      </w:pPr>
    </w:p>
    <w:p w:rsidR="00AC6255" w:rsidRPr="00D51A68" w:rsidRDefault="00AC6255" w:rsidP="00AC6255">
      <w:pPr>
        <w:rPr>
          <w:rFonts w:ascii="Times New Roman" w:hAnsi="Times New Roman"/>
          <w:sz w:val="24"/>
        </w:rPr>
      </w:pPr>
    </w:p>
    <w:p w:rsidR="00FD54FC" w:rsidRPr="00D51A68" w:rsidRDefault="00125707" w:rsidP="0023700C">
      <w:pPr>
        <w:pStyle w:val="Instructionsberschrift2"/>
        <w:numPr>
          <w:ilvl w:val="0"/>
          <w:numId w:val="0"/>
        </w:numPr>
        <w:ind w:left="357" w:hanging="357"/>
        <w:rPr>
          <w:rFonts w:ascii="Times New Roman" w:hAnsi="Times New Roman" w:cs="Times New Roman"/>
          <w:sz w:val="24"/>
        </w:rPr>
      </w:pPr>
      <w:bookmarkStart w:id="528" w:name="_Toc473560939"/>
      <w:bookmarkStart w:id="529" w:name="_Toc473560940"/>
      <w:bookmarkStart w:id="530" w:name="_Toc473560941"/>
      <w:bookmarkStart w:id="531" w:name="_Toc473560942"/>
      <w:bookmarkStart w:id="532" w:name="_Toc473560943"/>
      <w:bookmarkStart w:id="533" w:name="_Toc473560944"/>
      <w:bookmarkStart w:id="534" w:name="_Toc473560945"/>
      <w:bookmarkStart w:id="535" w:name="_Toc473560946"/>
      <w:bookmarkStart w:id="536" w:name="_Toc473560947"/>
      <w:bookmarkStart w:id="537" w:name="_Toc473560948"/>
      <w:bookmarkStart w:id="538" w:name="_Toc473560949"/>
      <w:bookmarkStart w:id="539" w:name="_Toc473560950"/>
      <w:bookmarkStart w:id="540" w:name="_Toc473560951"/>
      <w:bookmarkStart w:id="541" w:name="_Toc473560952"/>
      <w:bookmarkStart w:id="542" w:name="_Toc473560953"/>
      <w:bookmarkStart w:id="543" w:name="_Toc473560954"/>
      <w:bookmarkStart w:id="544" w:name="_Toc473560955"/>
      <w:bookmarkStart w:id="545" w:name="_Toc473560956"/>
      <w:bookmarkStart w:id="546" w:name="_Toc473560957"/>
      <w:bookmarkStart w:id="547" w:name="_Toc473560958"/>
      <w:bookmarkStart w:id="548" w:name="_Toc473560959"/>
      <w:bookmarkStart w:id="549" w:name="_Toc473560960"/>
      <w:bookmarkStart w:id="550" w:name="_Toc473560961"/>
      <w:bookmarkStart w:id="551" w:name="_Toc473560962"/>
      <w:bookmarkStart w:id="552" w:name="_Toc473560963"/>
      <w:bookmarkStart w:id="553" w:name="_Toc473560964"/>
      <w:bookmarkStart w:id="554" w:name="_Toc473560965"/>
      <w:bookmarkStart w:id="555" w:name="_Toc473560966"/>
      <w:bookmarkStart w:id="556" w:name="_Toc473560967"/>
      <w:bookmarkStart w:id="557" w:name="_Toc473560968"/>
      <w:bookmarkStart w:id="558" w:name="_Toc473560969"/>
      <w:bookmarkStart w:id="559" w:name="_Toc473560970"/>
      <w:bookmarkStart w:id="560" w:name="_Toc473560989"/>
      <w:bookmarkStart w:id="561" w:name="_Toc473560990"/>
      <w:bookmarkStart w:id="562" w:name="_Toc473561022"/>
      <w:bookmarkStart w:id="563" w:name="_Toc516210674"/>
      <w:bookmarkStart w:id="564" w:name="_Toc473561023"/>
      <w:bookmarkStart w:id="565" w:name="_Toc524096619"/>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r w:rsidRPr="00D51A68">
        <w:rPr>
          <w:rFonts w:ascii="Times New Roman" w:hAnsi="Times New Roman"/>
          <w:sz w:val="24"/>
          <w:u w:val="none"/>
        </w:rPr>
        <w:t>4.2.</w:t>
      </w:r>
      <w:r w:rsidR="00A0772B" w:rsidRPr="00D51A68">
        <w:rPr>
          <w:u w:val="none"/>
        </w:rPr>
        <w:tab/>
      </w:r>
      <w:r w:rsidRPr="00D51A68">
        <w:rPr>
          <w:rFonts w:ascii="Times New Roman" w:hAnsi="Times New Roman"/>
          <w:sz w:val="24"/>
        </w:rPr>
        <w:t>Rischio operativo: informazioni dettagliate sulle perdite nel corso dell</w:t>
      </w:r>
      <w:r w:rsidR="0009277C" w:rsidRPr="00D51A68">
        <w:rPr>
          <w:rFonts w:ascii="Times New Roman" w:hAnsi="Times New Roman"/>
          <w:sz w:val="24"/>
        </w:rPr>
        <w:t>’</w:t>
      </w:r>
      <w:r w:rsidRPr="00D51A68">
        <w:rPr>
          <w:rFonts w:ascii="Times New Roman" w:hAnsi="Times New Roman"/>
          <w:sz w:val="24"/>
        </w:rPr>
        <w:t>ultimo anno (OPR DETAILS)</w:t>
      </w:r>
      <w:bookmarkEnd w:id="563"/>
      <w:bookmarkEnd w:id="564"/>
      <w:bookmarkEnd w:id="565"/>
    </w:p>
    <w:p w:rsidR="00FD54FC" w:rsidRPr="00D51A68" w:rsidRDefault="00125707" w:rsidP="0023700C">
      <w:pPr>
        <w:pStyle w:val="Instructionsberschrift2"/>
        <w:numPr>
          <w:ilvl w:val="0"/>
          <w:numId w:val="0"/>
        </w:numPr>
        <w:ind w:left="357" w:hanging="357"/>
        <w:rPr>
          <w:rFonts w:ascii="Times New Roman" w:hAnsi="Times New Roman" w:cs="Times New Roman"/>
          <w:sz w:val="24"/>
        </w:rPr>
      </w:pPr>
      <w:bookmarkStart w:id="566" w:name="_Toc516210675"/>
      <w:bookmarkStart w:id="567" w:name="_Toc473561024"/>
      <w:bookmarkStart w:id="568" w:name="_Toc524096620"/>
      <w:r w:rsidRPr="00D51A68">
        <w:rPr>
          <w:rFonts w:ascii="Times New Roman" w:hAnsi="Times New Roman"/>
          <w:sz w:val="24"/>
          <w:u w:val="none"/>
        </w:rPr>
        <w:t>4.2.1.</w:t>
      </w:r>
      <w:r w:rsidR="00A0772B" w:rsidRPr="00D51A68">
        <w:rPr>
          <w:u w:val="none"/>
        </w:rPr>
        <w:tab/>
      </w:r>
      <w:r w:rsidRPr="00D51A68">
        <w:rPr>
          <w:rFonts w:ascii="Times New Roman" w:hAnsi="Times New Roman"/>
          <w:sz w:val="24"/>
        </w:rPr>
        <w:t>Osservazioni di carattere generale</w:t>
      </w:r>
      <w:bookmarkEnd w:id="566"/>
      <w:bookmarkEnd w:id="567"/>
      <w:bookmarkEnd w:id="568"/>
    </w:p>
    <w:p w:rsidR="00FD54FC" w:rsidRPr="00D51A68" w:rsidRDefault="00125707" w:rsidP="00C9052E">
      <w:pPr>
        <w:pStyle w:val="InstructionsText2"/>
        <w:numPr>
          <w:ilvl w:val="0"/>
          <w:numId w:val="0"/>
        </w:numPr>
        <w:ind w:left="993"/>
      </w:pPr>
      <w:r w:rsidRPr="00D51A68">
        <w:t>120.</w:t>
      </w:r>
      <w:r w:rsidR="00A0772B" w:rsidRPr="00D51A68">
        <w:tab/>
      </w:r>
      <w:r w:rsidRPr="00D51A68">
        <w:t>Il modello C 17.01 (OPR DETAILS 1) riassume le informazioni riguardanti le perdite lorde e i recuperi delle perdite registrati dall</w:t>
      </w:r>
      <w:r w:rsidR="0009277C" w:rsidRPr="00D51A68">
        <w:t>’</w:t>
      </w:r>
      <w:r w:rsidRPr="00D51A68">
        <w:t>ente nell</w:t>
      </w:r>
      <w:r w:rsidR="0009277C" w:rsidRPr="00D51A68">
        <w:t>’</w:t>
      </w:r>
      <w:r w:rsidRPr="00D51A68">
        <w:t>ultimo anno, distinguendo tra tipologie di eventi e linee di business. Il modello C 17.02 (OPR DETAILS 2) fornisce informazioni dettagliate sui principali eventi di perdita nel corso dell</w:t>
      </w:r>
      <w:r w:rsidR="0009277C" w:rsidRPr="00D51A68">
        <w:t>’</w:t>
      </w:r>
      <w:r w:rsidRPr="00D51A68">
        <w:t xml:space="preserve">ultimo anno. </w:t>
      </w:r>
    </w:p>
    <w:p w:rsidR="00FD54FC" w:rsidRPr="00D51A68" w:rsidRDefault="00125707" w:rsidP="00C9052E">
      <w:pPr>
        <w:pStyle w:val="InstructionsText2"/>
        <w:numPr>
          <w:ilvl w:val="0"/>
          <w:numId w:val="0"/>
        </w:numPr>
        <w:ind w:left="993"/>
      </w:pPr>
      <w:r w:rsidRPr="00D51A68">
        <w:t>121.</w:t>
      </w:r>
      <w:r w:rsidR="00A0772B" w:rsidRPr="00D51A68">
        <w:tab/>
      </w:r>
      <w:r w:rsidRPr="00D51A68">
        <w:t>Le perdite per rischio operativo che sono collegate al rischio di credito e soggette a requisiti di fondi propri per il rischio di credito (eventi di rischio operativo di confine con i rischi di credito) non son</w:t>
      </w:r>
      <w:r w:rsidR="00C9052E" w:rsidRPr="00D51A68">
        <w:t>o considerate né nel modello C </w:t>
      </w:r>
      <w:r w:rsidRPr="00D51A68">
        <w:t>17.01 né nel modello C 17.02.</w:t>
      </w:r>
    </w:p>
    <w:p w:rsidR="00FD54FC" w:rsidRPr="00D51A68" w:rsidRDefault="00125707" w:rsidP="00C9052E">
      <w:pPr>
        <w:pStyle w:val="InstructionsText2"/>
        <w:numPr>
          <w:ilvl w:val="0"/>
          <w:numId w:val="0"/>
        </w:numPr>
        <w:ind w:left="993"/>
      </w:pPr>
      <w:r w:rsidRPr="00D51A68">
        <w:t>122.</w:t>
      </w:r>
      <w:r w:rsidR="00A0772B" w:rsidRPr="00D51A68">
        <w:tab/>
      </w:r>
      <w:r w:rsidRPr="00D51A68">
        <w:t>In caso di uso combinato di diversi metodi per il calcolo dei requisiti di fondi propri per il rischio operativo in conformità dell</w:t>
      </w:r>
      <w:r w:rsidR="0009277C" w:rsidRPr="00D51A68">
        <w:t>’</w:t>
      </w:r>
      <w:r w:rsidRPr="00D51A68">
        <w:t>articolo 314 del CRR, le perdite e i recuperi registrati dall</w:t>
      </w:r>
      <w:r w:rsidR="0009277C" w:rsidRPr="00D51A68">
        <w:t>’</w:t>
      </w:r>
      <w:r w:rsidRPr="00D51A68">
        <w:t>ente sono segnalati nei modelli C 17.01 e C 17.02, indipendentemente dal metodo applicato ai fini del calcolo dei requisiti di fondi propri.</w:t>
      </w:r>
    </w:p>
    <w:p w:rsidR="00FD54FC" w:rsidRPr="00D51A68" w:rsidRDefault="00125707" w:rsidP="00C9052E">
      <w:pPr>
        <w:pStyle w:val="InstructionsText2"/>
        <w:numPr>
          <w:ilvl w:val="0"/>
          <w:numId w:val="0"/>
        </w:numPr>
        <w:ind w:left="993"/>
      </w:pPr>
      <w:r w:rsidRPr="00D51A68">
        <w:t>123.</w:t>
      </w:r>
      <w:r w:rsidR="00A0772B" w:rsidRPr="00D51A68">
        <w:tab/>
      </w:r>
      <w:r w:rsidRPr="00D51A68">
        <w:t xml:space="preserve">Per </w:t>
      </w:r>
      <w:r w:rsidR="0009277C" w:rsidRPr="00D51A68">
        <w:t>“</w:t>
      </w:r>
      <w:r w:rsidRPr="00D51A68">
        <w:t>perdita lorda</w:t>
      </w:r>
      <w:r w:rsidR="0009277C" w:rsidRPr="00D51A68">
        <w:t>”</w:t>
      </w:r>
      <w:r w:rsidRPr="00D51A68">
        <w:t xml:space="preserve"> si intende la perdita dovuta ad un evento o ad una tipologia di evento di rischio operativo, di cui all</w:t>
      </w:r>
      <w:r w:rsidR="0009277C" w:rsidRPr="00D51A68">
        <w:t>’</w:t>
      </w:r>
      <w:r w:rsidRPr="00D51A68">
        <w:t xml:space="preserve">articolo 322, paragrafo 3, lettera b), del CRR, prima di recuperi di qualsiasi tipo, fatti salvi gli </w:t>
      </w:r>
      <w:r w:rsidR="0009277C" w:rsidRPr="00D51A68">
        <w:t>“</w:t>
      </w:r>
      <w:r w:rsidRPr="00D51A68">
        <w:t>eventi di perdita recuperata rapidamente</w:t>
      </w:r>
      <w:r w:rsidR="0009277C" w:rsidRPr="00D51A68">
        <w:t>”</w:t>
      </w:r>
      <w:r w:rsidRPr="00D51A68">
        <w:t xml:space="preserve"> così come definiti di seguito. </w:t>
      </w:r>
    </w:p>
    <w:p w:rsidR="00FD54FC" w:rsidRPr="00D51A68" w:rsidRDefault="00125707" w:rsidP="00C9052E">
      <w:pPr>
        <w:pStyle w:val="InstructionsText2"/>
        <w:numPr>
          <w:ilvl w:val="0"/>
          <w:numId w:val="0"/>
        </w:numPr>
        <w:ind w:left="993"/>
      </w:pPr>
      <w:r w:rsidRPr="00D51A68">
        <w:t>124.</w:t>
      </w:r>
      <w:r w:rsidR="00A0772B" w:rsidRPr="00D51A68">
        <w:tab/>
      </w:r>
      <w:r w:rsidRPr="00D51A68">
        <w:t xml:space="preserve">Per </w:t>
      </w:r>
      <w:r w:rsidR="0009277C" w:rsidRPr="00D51A68">
        <w:t>“</w:t>
      </w:r>
      <w:r w:rsidRPr="00D51A68">
        <w:t>recupero</w:t>
      </w:r>
      <w:r w:rsidR="0009277C" w:rsidRPr="00D51A68">
        <w:t>”</w:t>
      </w:r>
      <w:r w:rsidRPr="00D51A68">
        <w:t xml:space="preserve"> si intende un evento indipendente relativo alla perdita originale dovuta al rischio operativo che è separata nel tempo, in cui i fondi o i flussi di benefici economici sono ricevuti da prime o terze parti, quali imprese di assicurazione o altre parti. I recuperi sono ripartiti tra recuperi da assicurazioni e altri meccanismi di trasferimento del rischio e recuperi diretti.</w:t>
      </w:r>
    </w:p>
    <w:p w:rsidR="00FD54FC" w:rsidRPr="00D51A68" w:rsidRDefault="00125707" w:rsidP="00C9052E">
      <w:pPr>
        <w:pStyle w:val="InstructionsText2"/>
        <w:numPr>
          <w:ilvl w:val="0"/>
          <w:numId w:val="0"/>
        </w:numPr>
        <w:ind w:left="993"/>
      </w:pPr>
      <w:r w:rsidRPr="00D51A68">
        <w:lastRenderedPageBreak/>
        <w:t>125.</w:t>
      </w:r>
      <w:r w:rsidR="00A0772B" w:rsidRPr="00D51A68">
        <w:tab/>
      </w:r>
      <w:r w:rsidRPr="00D51A68">
        <w:t xml:space="preserve">Per </w:t>
      </w:r>
      <w:r w:rsidR="0009277C" w:rsidRPr="00D51A68">
        <w:t>“</w:t>
      </w:r>
      <w:r w:rsidRPr="00D51A68">
        <w:t>eventi di perdita recuperata rapidamente</w:t>
      </w:r>
      <w:r w:rsidR="0009277C" w:rsidRPr="00D51A68">
        <w:t>”</w:t>
      </w:r>
      <w:r w:rsidRPr="00D51A68">
        <w:t xml:space="preserve"> si intende gli eventi di rischio operativo che portano a perdite che sono parzialmente o totalmente recuperate entro cinque giorni lavorativi. In caso di evento di perdita recuperata rapidamente, soltanto la parte della perdita che non è recuperata interamente (ossia la perdita al netto della parte recuperata rapidamente) rientra nella definizione di perdita lorda. Di conseguenza, gli eventi di perdita che portano a perdite recuperate interamente entro cinque giorni lavorativi non rientrano nella definizione di perdita lorda, né sono inclusi nella segnalazione degli OPR DETAILS.</w:t>
      </w:r>
    </w:p>
    <w:p w:rsidR="00FD54FC" w:rsidRPr="00D51A68" w:rsidRDefault="00125707" w:rsidP="00C9052E">
      <w:pPr>
        <w:pStyle w:val="InstructionsText2"/>
        <w:numPr>
          <w:ilvl w:val="0"/>
          <w:numId w:val="0"/>
        </w:numPr>
        <w:ind w:left="993"/>
      </w:pPr>
      <w:r w:rsidRPr="00D51A68">
        <w:t>126.</w:t>
      </w:r>
      <w:r w:rsidR="00A0772B" w:rsidRPr="00D51A68">
        <w:tab/>
      </w:r>
      <w:r w:rsidRPr="00D51A68">
        <w:t xml:space="preserve">Per </w:t>
      </w:r>
      <w:r w:rsidR="0009277C" w:rsidRPr="00D51A68">
        <w:t>“</w:t>
      </w:r>
      <w:r w:rsidRPr="00D51A68">
        <w:t>data della contabilizzazione</w:t>
      </w:r>
      <w:r w:rsidR="0009277C" w:rsidRPr="00D51A68">
        <w:t>”</w:t>
      </w:r>
      <w:r w:rsidRPr="00D51A68">
        <w:t xml:space="preserve"> si intende la data in cui la perdita o la riserva/l</w:t>
      </w:r>
      <w:r w:rsidR="0009277C" w:rsidRPr="00D51A68">
        <w:t>’</w:t>
      </w:r>
      <w:r w:rsidRPr="00D51A68">
        <w:t xml:space="preserve">accantonamento a fronte di una perdita dovuta al rischio operativo sono state rilevate per la prima volta nel conto profitti e perdite. Questa data segue logicamente la </w:t>
      </w:r>
      <w:r w:rsidR="0009277C" w:rsidRPr="00D51A68">
        <w:t>“</w:t>
      </w:r>
      <w:r w:rsidRPr="00D51A68">
        <w:t>data dell</w:t>
      </w:r>
      <w:r w:rsidR="0009277C" w:rsidRPr="00D51A68">
        <w:t>’</w:t>
      </w:r>
      <w:r w:rsidRPr="00D51A68">
        <w:t>evento</w:t>
      </w:r>
      <w:r w:rsidR="0009277C" w:rsidRPr="00D51A68">
        <w:t>”</w:t>
      </w:r>
      <w:r w:rsidRPr="00D51A68">
        <w:t xml:space="preserve"> (ossia la data in cui l</w:t>
      </w:r>
      <w:r w:rsidR="0009277C" w:rsidRPr="00D51A68">
        <w:t>’</w:t>
      </w:r>
      <w:r w:rsidRPr="00D51A68">
        <w:t xml:space="preserve">evento di rischio operativo è avvenuto o è iniziato) e la </w:t>
      </w:r>
      <w:r w:rsidR="0009277C" w:rsidRPr="00D51A68">
        <w:t>“</w:t>
      </w:r>
      <w:r w:rsidRPr="00D51A68">
        <w:t>data di scoperta</w:t>
      </w:r>
      <w:r w:rsidR="0009277C" w:rsidRPr="00D51A68">
        <w:t>”</w:t>
      </w:r>
      <w:r w:rsidRPr="00D51A68">
        <w:t xml:space="preserve"> (ossia la data in cui l</w:t>
      </w:r>
      <w:r w:rsidR="0009277C" w:rsidRPr="00D51A68">
        <w:t>’</w:t>
      </w:r>
      <w:r w:rsidRPr="00D51A68">
        <w:t>ente ha avuto conoscenza dell</w:t>
      </w:r>
      <w:r w:rsidR="0009277C" w:rsidRPr="00D51A68">
        <w:t>’</w:t>
      </w:r>
      <w:r w:rsidRPr="00D51A68">
        <w:t xml:space="preserve">evento di rischio operativo). </w:t>
      </w:r>
    </w:p>
    <w:p w:rsidR="00FD54FC" w:rsidRPr="00D51A68" w:rsidRDefault="00125707" w:rsidP="00C9052E">
      <w:pPr>
        <w:pStyle w:val="InstructionsText2"/>
        <w:numPr>
          <w:ilvl w:val="0"/>
          <w:numId w:val="0"/>
        </w:numPr>
        <w:ind w:left="993"/>
      </w:pPr>
      <w:r w:rsidRPr="00D51A68">
        <w:t>127.</w:t>
      </w:r>
      <w:r w:rsidR="00A0772B" w:rsidRPr="00D51A68">
        <w:tab/>
      </w:r>
      <w:r w:rsidRPr="00D51A68">
        <w:t>Le perdite derivanti da un evento comune di rischio operativo o da molteplici eventi collegati ad un primo evento di rischio operativo che genera eventi o perdite (</w:t>
      </w:r>
      <w:r w:rsidR="0009277C" w:rsidRPr="00D51A68">
        <w:t>“</w:t>
      </w:r>
      <w:r w:rsidRPr="00D51A68">
        <w:t>root-event</w:t>
      </w:r>
      <w:r w:rsidR="0009277C" w:rsidRPr="00D51A68">
        <w:t>”</w:t>
      </w:r>
      <w:r w:rsidRPr="00D51A68">
        <w:t>) sono raggruppate. Gli eventi raggruppati sono considerati e segnalati come un unico evento, e quindi i relativi importi delle perdite lorde o gli adeguamenti per perdite sono sommati.</w:t>
      </w:r>
    </w:p>
    <w:p w:rsidR="00FD54FC" w:rsidRPr="00D51A68" w:rsidRDefault="00125707" w:rsidP="00C9052E">
      <w:pPr>
        <w:pStyle w:val="InstructionsText2"/>
        <w:numPr>
          <w:ilvl w:val="0"/>
          <w:numId w:val="0"/>
        </w:numPr>
        <w:ind w:left="993"/>
      </w:pPr>
      <w:r w:rsidRPr="00D51A68">
        <w:t>128.</w:t>
      </w:r>
      <w:r w:rsidR="00A0772B" w:rsidRPr="00D51A68">
        <w:tab/>
      </w:r>
      <w:r w:rsidRPr="00D51A68">
        <w:t>Le cifre segnalate nel giugno del rispettivo anno sono dati provvisori, mentre i dati definitivi sono segnalati in dicembre. Di conseguenza i dati di giugno hanno un periodo di riferimento di sei mesi (vale a dire dal 1° gennaio al 30 giugno dell</w:t>
      </w:r>
      <w:r w:rsidR="0009277C" w:rsidRPr="00D51A68">
        <w:t>’</w:t>
      </w:r>
      <w:r w:rsidRPr="00D51A68">
        <w:t>anno civile) mentre i dati di dicembre hanno un periodo di riferimento di dodici mesi (vale a dire dal 1° gennaio al 31 dicembre dell</w:t>
      </w:r>
      <w:r w:rsidR="0009277C" w:rsidRPr="00D51A68">
        <w:t>’</w:t>
      </w:r>
      <w:r w:rsidRPr="00D51A68">
        <w:t xml:space="preserve">anno civile). Per i dati segnalati sia a giugno che a dicembre, per </w:t>
      </w:r>
      <w:r w:rsidR="0009277C" w:rsidRPr="00D51A68">
        <w:t>“</w:t>
      </w:r>
      <w:r w:rsidRPr="00D51A68">
        <w:t>precedenti periodi di riferimento per le segnalazioni</w:t>
      </w:r>
      <w:r w:rsidR="0009277C" w:rsidRPr="00D51A68">
        <w:t>”</w:t>
      </w:r>
      <w:r w:rsidRPr="00D51A68">
        <w:t xml:space="preserve"> si intendono tutti i periodi di riferimento per le segnalazioni fino a quello che termina alla fine dell</w:t>
      </w:r>
      <w:r w:rsidR="0009277C" w:rsidRPr="00D51A68">
        <w:t>’</w:t>
      </w:r>
      <w:r w:rsidRPr="00D51A68">
        <w:t>anno civile precedente compreso.</w:t>
      </w:r>
    </w:p>
    <w:p w:rsidR="00FD54FC" w:rsidRPr="00D51A68" w:rsidRDefault="00125707" w:rsidP="00C9052E">
      <w:pPr>
        <w:pStyle w:val="InstructionsText2"/>
        <w:numPr>
          <w:ilvl w:val="0"/>
          <w:numId w:val="0"/>
        </w:numPr>
        <w:ind w:left="993"/>
      </w:pPr>
      <w:r w:rsidRPr="00D51A68">
        <w:t>129.</w:t>
      </w:r>
      <w:r w:rsidR="00A0772B" w:rsidRPr="00D51A68">
        <w:tab/>
      </w:r>
      <w:r w:rsidRPr="00D51A68">
        <w:t>Per verificare le condizioni previste dall</w:t>
      </w:r>
      <w:r w:rsidR="0009277C" w:rsidRPr="00D51A68">
        <w:t>’</w:t>
      </w:r>
      <w:r w:rsidRPr="00D51A68">
        <w:t>articolo 5, lettera b), punto 2, lettera b), punto i), del presente regolamento, gli enti utilizzano le ultime statistiche disponibili nella pagina Internet dell</w:t>
      </w:r>
      <w:r w:rsidR="0009277C" w:rsidRPr="00D51A68">
        <w:t>’</w:t>
      </w:r>
      <w:r w:rsidRPr="00D51A68">
        <w:t xml:space="preserve">EBA in materia di segnalazioni di vigilanza per ottenere la </w:t>
      </w:r>
      <w:r w:rsidR="0009277C" w:rsidRPr="00D51A68">
        <w:t>“</w:t>
      </w:r>
      <w:r w:rsidRPr="00D51A68">
        <w:t>somma dei singoli totali di bilancio di tutti gli enti dello stesso Stato membro</w:t>
      </w:r>
      <w:r w:rsidR="0009277C" w:rsidRPr="00D51A68">
        <w:t>”</w:t>
      </w:r>
      <w:r w:rsidRPr="00D51A68">
        <w:t>. Per verificare le condizioni previste dall</w:t>
      </w:r>
      <w:r w:rsidR="0009277C" w:rsidRPr="00D51A68">
        <w:t>’</w:t>
      </w:r>
      <w:r w:rsidRPr="00D51A68">
        <w:t>articolo 5</w:t>
      </w:r>
      <w:r w:rsidR="00C9052E" w:rsidRPr="00D51A68">
        <w:t>, lettera b), punto </w:t>
      </w:r>
      <w:r w:rsidRPr="00D51A68">
        <w:t>2, lettera b), punto iii), si utilizza il prodotto interno lordo ai prezzi di mercato quale definito al punto 8.89 dell</w:t>
      </w:r>
      <w:r w:rsidR="0009277C" w:rsidRPr="00D51A68">
        <w:t>’</w:t>
      </w:r>
      <w:r w:rsidRPr="00D51A68">
        <w:t>allegato A al regolamento (UE) n. 549/2013 del Parlamento europeo e del Consiglio (SEC 2010) e pubblicato da Eurostat per l</w:t>
      </w:r>
      <w:r w:rsidR="0009277C" w:rsidRPr="00D51A68">
        <w:t>’</w:t>
      </w:r>
      <w:r w:rsidRPr="00D51A68">
        <w:t>anno civile precedente.</w:t>
      </w:r>
    </w:p>
    <w:p w:rsidR="00FD54FC" w:rsidRPr="00D51A68" w:rsidRDefault="00125707" w:rsidP="0023700C">
      <w:pPr>
        <w:pStyle w:val="Instructionsberschrift2"/>
        <w:numPr>
          <w:ilvl w:val="0"/>
          <w:numId w:val="0"/>
        </w:numPr>
        <w:ind w:left="357" w:hanging="357"/>
        <w:rPr>
          <w:rFonts w:ascii="Times New Roman" w:hAnsi="Times New Roman" w:cs="Times New Roman"/>
          <w:sz w:val="24"/>
        </w:rPr>
      </w:pPr>
      <w:bookmarkStart w:id="569" w:name="_Toc516210676"/>
      <w:bookmarkStart w:id="570" w:name="_Toc473561025"/>
      <w:bookmarkStart w:id="571" w:name="_Toc524096621"/>
      <w:r w:rsidRPr="00D51A68">
        <w:rPr>
          <w:rFonts w:ascii="Times New Roman" w:hAnsi="Times New Roman"/>
          <w:sz w:val="24"/>
          <w:u w:val="none"/>
        </w:rPr>
        <w:t>4.2.2.</w:t>
      </w:r>
      <w:r w:rsidR="00A0772B" w:rsidRPr="00D51A68">
        <w:rPr>
          <w:u w:val="none"/>
        </w:rPr>
        <w:tab/>
      </w:r>
      <w:r w:rsidRPr="00D51A68">
        <w:rPr>
          <w:rFonts w:ascii="Times New Roman" w:hAnsi="Times New Roman"/>
          <w:sz w:val="24"/>
        </w:rPr>
        <w:t>C 17.01: Perdite e recuperi da rischio operativo per linea di business e tipologia di evento nell</w:t>
      </w:r>
      <w:r w:rsidR="0009277C" w:rsidRPr="00D51A68">
        <w:rPr>
          <w:rFonts w:ascii="Times New Roman" w:hAnsi="Times New Roman"/>
          <w:sz w:val="24"/>
        </w:rPr>
        <w:t>’</w:t>
      </w:r>
      <w:r w:rsidRPr="00D51A68">
        <w:rPr>
          <w:rFonts w:ascii="Times New Roman" w:hAnsi="Times New Roman"/>
          <w:sz w:val="24"/>
        </w:rPr>
        <w:t>ultimo anno (OPR DETAILS 1)</w:t>
      </w:r>
      <w:bookmarkEnd w:id="569"/>
      <w:bookmarkEnd w:id="570"/>
      <w:bookmarkEnd w:id="571"/>
    </w:p>
    <w:p w:rsidR="00FD54FC" w:rsidRPr="00D51A68" w:rsidRDefault="00125707" w:rsidP="0023700C">
      <w:pPr>
        <w:pStyle w:val="Instructionsberschrift2"/>
        <w:numPr>
          <w:ilvl w:val="0"/>
          <w:numId w:val="0"/>
        </w:numPr>
        <w:ind w:left="357" w:hanging="357"/>
        <w:rPr>
          <w:rFonts w:ascii="Times New Roman" w:hAnsi="Times New Roman" w:cs="Times New Roman"/>
          <w:sz w:val="24"/>
        </w:rPr>
      </w:pPr>
      <w:bookmarkStart w:id="572" w:name="_Toc516210677"/>
      <w:bookmarkStart w:id="573" w:name="_Toc473561026"/>
      <w:bookmarkStart w:id="574" w:name="_Toc524096622"/>
      <w:r w:rsidRPr="00D51A68">
        <w:rPr>
          <w:rFonts w:ascii="Times New Roman" w:hAnsi="Times New Roman"/>
          <w:sz w:val="24"/>
          <w:u w:val="none"/>
        </w:rPr>
        <w:t>4.2.2.1.</w:t>
      </w:r>
      <w:r w:rsidR="00A0772B" w:rsidRPr="00D51A68">
        <w:rPr>
          <w:u w:val="none"/>
        </w:rPr>
        <w:tab/>
      </w:r>
      <w:r w:rsidRPr="00D51A68">
        <w:rPr>
          <w:rFonts w:ascii="Times New Roman" w:hAnsi="Times New Roman"/>
          <w:sz w:val="24"/>
        </w:rPr>
        <w:t>Osservazioni di carattere generale</w:t>
      </w:r>
      <w:bookmarkEnd w:id="572"/>
      <w:bookmarkEnd w:id="573"/>
      <w:bookmarkEnd w:id="574"/>
    </w:p>
    <w:p w:rsidR="00FD54FC" w:rsidRPr="00D51A68" w:rsidRDefault="00125707" w:rsidP="00C9052E">
      <w:pPr>
        <w:pStyle w:val="InstructionsText2"/>
        <w:numPr>
          <w:ilvl w:val="0"/>
          <w:numId w:val="0"/>
        </w:numPr>
        <w:ind w:left="993"/>
      </w:pPr>
      <w:r w:rsidRPr="00D51A68">
        <w:t>130.</w:t>
      </w:r>
      <w:r w:rsidR="00A0772B" w:rsidRPr="00D51A68">
        <w:tab/>
      </w:r>
      <w:r w:rsidRPr="00D51A68">
        <w:t>Nel modello C 17.01 le informazioni sono riportate distribuendo le perdite e i recuperi superiori alle soglie interne tra le diverse linee di business (elencate nella tabella 2 dell</w:t>
      </w:r>
      <w:r w:rsidR="0009277C" w:rsidRPr="00D51A68">
        <w:t>’</w:t>
      </w:r>
      <w:r w:rsidRPr="00D51A68">
        <w:t xml:space="preserve">articolo 317 del CRR, compresa la linea di business aggiuntiva </w:t>
      </w:r>
      <w:r w:rsidR="0009277C" w:rsidRPr="00D51A68">
        <w:t>“</w:t>
      </w:r>
      <w:r w:rsidRPr="00D51A68">
        <w:t>elementi d</w:t>
      </w:r>
      <w:r w:rsidR="0009277C" w:rsidRPr="00D51A68">
        <w:t>’</w:t>
      </w:r>
      <w:r w:rsidRPr="00D51A68">
        <w:t>impresa</w:t>
      </w:r>
      <w:r w:rsidR="0009277C" w:rsidRPr="00D51A68">
        <w:t>”</w:t>
      </w:r>
      <w:r w:rsidRPr="00D51A68">
        <w:t xml:space="preserve"> di cui all</w:t>
      </w:r>
      <w:r w:rsidR="0009277C" w:rsidRPr="00D51A68">
        <w:t>’</w:t>
      </w:r>
      <w:r w:rsidRPr="00D51A68">
        <w:t>articolo 322, paragrafo 3, lettera b), del CRR) e le diverse tipologie di eventi (definite nell</w:t>
      </w:r>
      <w:r w:rsidR="0009277C" w:rsidRPr="00D51A68">
        <w:t>’</w:t>
      </w:r>
      <w:r w:rsidRPr="00D51A68">
        <w:t xml:space="preserve">articolo 324 del CRR); è possibile che le </w:t>
      </w:r>
      <w:r w:rsidRPr="00D51A68">
        <w:lastRenderedPageBreak/>
        <w:t>perdite associate a un unico evento siano ripartite tra una pluralità di linee di business.</w:t>
      </w:r>
    </w:p>
    <w:p w:rsidR="00FD54FC" w:rsidRPr="00D51A68" w:rsidRDefault="00125707" w:rsidP="00C9052E">
      <w:pPr>
        <w:pStyle w:val="InstructionsText2"/>
        <w:numPr>
          <w:ilvl w:val="0"/>
          <w:numId w:val="0"/>
        </w:numPr>
        <w:ind w:left="993"/>
      </w:pPr>
      <w:r w:rsidRPr="00D51A68">
        <w:t>131.</w:t>
      </w:r>
      <w:r w:rsidR="00A0772B" w:rsidRPr="00D51A68">
        <w:tab/>
      </w:r>
      <w:r w:rsidRPr="00D51A68">
        <w:t>Nelle colonne sono esposte le diverse tipologie di eventi e i totali di ciascuna linea di business, insieme a una voce per memoria che indica la soglia interna minima applicata nella raccolta dei dati relativi alle perdite; qualora vi sia più di una soglia, per ciascuna linea di business sono riportate sia la soglia minima che quella massima.</w:t>
      </w:r>
    </w:p>
    <w:p w:rsidR="00FD54FC" w:rsidRPr="00D51A68" w:rsidRDefault="00125707" w:rsidP="00C9052E">
      <w:pPr>
        <w:pStyle w:val="InstructionsText2"/>
        <w:numPr>
          <w:ilvl w:val="0"/>
          <w:numId w:val="0"/>
        </w:numPr>
        <w:ind w:left="993"/>
      </w:pPr>
      <w:r w:rsidRPr="00D51A68">
        <w:t>132.</w:t>
      </w:r>
      <w:r w:rsidR="00A0772B" w:rsidRPr="00D51A68">
        <w:tab/>
      </w:r>
      <w:r w:rsidRPr="00D51A68">
        <w:t>Nelle righe sono riportate le linee di business, e all</w:t>
      </w:r>
      <w:r w:rsidR="0009277C" w:rsidRPr="00D51A68">
        <w:t>’</w:t>
      </w:r>
      <w:r w:rsidRPr="00D51A68">
        <w:t>interno di ciascuna di esse sono contenute informazioni sul numero di eventi (eventi nuovi), l</w:t>
      </w:r>
      <w:r w:rsidR="0009277C" w:rsidRPr="00D51A68">
        <w:t>’</w:t>
      </w:r>
      <w:r w:rsidRPr="00D51A68">
        <w:t>importo delle perdite lorde (eventi nuovi), il numero di eventi soggetti ad adeguamenti per perdite, gli adeguamenti per perdite relativi a precedenti periodi di riferimento, la perdita singola massima, la somma delle cinque maggiori perdite e l</w:t>
      </w:r>
      <w:r w:rsidR="0009277C" w:rsidRPr="00D51A68">
        <w:t>’</w:t>
      </w:r>
      <w:r w:rsidRPr="00D51A68">
        <w:t>importo complessivo dei recuperi (recuperi diretti e recuperi da assicurazioni e altri meccanismi di trasferimento del rischio).</w:t>
      </w:r>
    </w:p>
    <w:p w:rsidR="00FD54FC" w:rsidRPr="00D51A68" w:rsidRDefault="00125707" w:rsidP="009F3E30">
      <w:pPr>
        <w:pStyle w:val="InstructionsText2"/>
        <w:numPr>
          <w:ilvl w:val="0"/>
          <w:numId w:val="0"/>
        </w:numPr>
        <w:spacing w:after="360"/>
        <w:ind w:left="992"/>
      </w:pPr>
      <w:r w:rsidRPr="00D51A68">
        <w:t>133.</w:t>
      </w:r>
      <w:r w:rsidR="00A0772B" w:rsidRPr="00D51A68">
        <w:tab/>
      </w:r>
      <w:r w:rsidRPr="00D51A68">
        <w:t>Per le linee di business totali sono anche richiesti i dati sul numero di eventi e l</w:t>
      </w:r>
      <w:r w:rsidR="0009277C" w:rsidRPr="00D51A68">
        <w:t>’</w:t>
      </w:r>
      <w:r w:rsidRPr="00D51A68">
        <w:t>importo delle perdite lorde per alcuni intervalli sulla base di soglie prestabilite:</w:t>
      </w:r>
      <w:r w:rsidR="009F3E30" w:rsidRPr="00D51A68">
        <w:t xml:space="preserve"> </w:t>
      </w:r>
      <w:r w:rsidRPr="00D51A68">
        <w:t>10</w:t>
      </w:r>
      <w:r w:rsidR="009F3E30" w:rsidRPr="00D51A68">
        <w:t> </w:t>
      </w:r>
      <w:r w:rsidRPr="00D51A68">
        <w:t>000, 20</w:t>
      </w:r>
      <w:r w:rsidR="009F3E30" w:rsidRPr="00D51A68">
        <w:t> </w:t>
      </w:r>
      <w:r w:rsidRPr="00D51A68">
        <w:t>000, 100</w:t>
      </w:r>
      <w:r w:rsidR="009F3E30" w:rsidRPr="00D51A68">
        <w:t> </w:t>
      </w:r>
      <w:r w:rsidRPr="00D51A68">
        <w:t>000 e 1</w:t>
      </w:r>
      <w:r w:rsidR="009F3E30" w:rsidRPr="00D51A68">
        <w:t> </w:t>
      </w:r>
      <w:r w:rsidRPr="00D51A68">
        <w:t>000</w:t>
      </w:r>
      <w:r w:rsidR="009F3E30" w:rsidRPr="00D51A68">
        <w:t> </w:t>
      </w:r>
      <w:r w:rsidRPr="00D51A68">
        <w:t>000. Le soglie sono fissate in importi in euro e sono incluse a fini di comparabilità tra gli enti delle perdite segnalate; pertanto esse non si riferiscono necessariamente alle soglie minime di perdita utilizzate per la raccolta interna dei dati sulle perdite, da segnalare in un</w:t>
      </w:r>
      <w:r w:rsidR="0009277C" w:rsidRPr="00D51A68">
        <w:t>’</w:t>
      </w:r>
      <w:r w:rsidRPr="00D51A68">
        <w:t>altra sezione del modello.</w:t>
      </w:r>
    </w:p>
    <w:p w:rsidR="00FD54FC" w:rsidRPr="00D51A68" w:rsidRDefault="00125707" w:rsidP="0023700C">
      <w:pPr>
        <w:pStyle w:val="Instructionsberschrift2"/>
        <w:numPr>
          <w:ilvl w:val="0"/>
          <w:numId w:val="0"/>
        </w:numPr>
        <w:ind w:left="357" w:hanging="357"/>
        <w:rPr>
          <w:rFonts w:ascii="Times New Roman" w:hAnsi="Times New Roman" w:cs="Times New Roman"/>
          <w:sz w:val="24"/>
        </w:rPr>
      </w:pPr>
      <w:bookmarkStart w:id="575" w:name="_Toc516210678"/>
      <w:bookmarkStart w:id="576" w:name="_Toc473561027"/>
      <w:bookmarkStart w:id="577" w:name="_Toc524096623"/>
      <w:r w:rsidRPr="00D51A68">
        <w:rPr>
          <w:rFonts w:ascii="Times New Roman" w:hAnsi="Times New Roman"/>
          <w:sz w:val="24"/>
          <w:u w:val="none"/>
        </w:rPr>
        <w:t>4.2.2.2.</w:t>
      </w:r>
      <w:r w:rsidR="00A0772B" w:rsidRPr="00D51A68">
        <w:rPr>
          <w:u w:val="none"/>
        </w:rPr>
        <w:tab/>
      </w:r>
      <w:r w:rsidRPr="00D51A68">
        <w:rPr>
          <w:rFonts w:ascii="Times New Roman" w:hAnsi="Times New Roman"/>
          <w:sz w:val="24"/>
        </w:rPr>
        <w:t>Istruzioni relative a posizioni specifiche</w:t>
      </w:r>
      <w:bookmarkEnd w:id="575"/>
      <w:bookmarkEnd w:id="576"/>
      <w:bookmarkEnd w:id="57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8195"/>
      </w:tblGrid>
      <w:tr w:rsidR="00FD54FC" w:rsidRPr="00D51A68" w:rsidTr="00672D2A">
        <w:trPr>
          <w:trHeight w:val="576"/>
        </w:trPr>
        <w:tc>
          <w:tcPr>
            <w:tcW w:w="9180" w:type="dxa"/>
            <w:gridSpan w:val="2"/>
            <w:shd w:val="clear" w:color="auto" w:fill="CCCCCC"/>
          </w:tcPr>
          <w:p w:rsidR="00FD54FC" w:rsidRPr="00D51A68" w:rsidRDefault="00FD54FC" w:rsidP="00FD54FC">
            <w:pPr>
              <w:autoSpaceDE w:val="0"/>
              <w:autoSpaceDN w:val="0"/>
              <w:adjustRightInd w:val="0"/>
              <w:spacing w:after="0"/>
              <w:rPr>
                <w:rFonts w:ascii="Times New Roman" w:hAnsi="Times New Roman"/>
                <w:b/>
                <w:bCs/>
                <w:sz w:val="24"/>
              </w:rPr>
            </w:pPr>
            <w:r w:rsidRPr="00D51A68">
              <w:rPr>
                <w:rFonts w:ascii="Times New Roman" w:hAnsi="Times New Roman"/>
                <w:b/>
                <w:sz w:val="24"/>
              </w:rPr>
              <w:t>Colonne</w:t>
            </w:r>
          </w:p>
        </w:tc>
      </w:tr>
      <w:tr w:rsidR="00FD54FC" w:rsidRPr="00D51A68" w:rsidTr="00672D2A">
        <w:tc>
          <w:tcPr>
            <w:tcW w:w="985" w:type="dxa"/>
          </w:tcPr>
          <w:p w:rsidR="00FD54FC" w:rsidRPr="00D51A68" w:rsidRDefault="00C93FC2" w:rsidP="000F70EC">
            <w:pPr>
              <w:autoSpaceDE w:val="0"/>
              <w:autoSpaceDN w:val="0"/>
              <w:adjustRightInd w:val="0"/>
              <w:spacing w:before="0" w:after="0"/>
              <w:rPr>
                <w:rFonts w:ascii="Times New Roman" w:hAnsi="Times New Roman"/>
                <w:bCs/>
                <w:sz w:val="24"/>
              </w:rPr>
            </w:pPr>
            <w:r w:rsidRPr="00D51A68">
              <w:rPr>
                <w:rFonts w:ascii="Times New Roman" w:hAnsi="Times New Roman"/>
                <w:sz w:val="24"/>
              </w:rPr>
              <w:t>0010-0070</w:t>
            </w:r>
          </w:p>
        </w:tc>
        <w:tc>
          <w:tcPr>
            <w:tcW w:w="8195" w:type="dxa"/>
          </w:tcPr>
          <w:p w:rsidR="00FD54FC" w:rsidRPr="00D51A68" w:rsidRDefault="00FD54FC" w:rsidP="00FD54FC">
            <w:pPr>
              <w:autoSpaceDE w:val="0"/>
              <w:autoSpaceDN w:val="0"/>
              <w:adjustRightInd w:val="0"/>
              <w:spacing w:before="0" w:after="0"/>
              <w:rPr>
                <w:rStyle w:val="InstructionsTabelleberschrift"/>
                <w:rFonts w:ascii="Times New Roman" w:hAnsi="Times New Roman"/>
                <w:sz w:val="24"/>
              </w:rPr>
            </w:pPr>
            <w:r w:rsidRPr="00D51A68">
              <w:rPr>
                <w:rStyle w:val="InstructionsTabelleberschrift"/>
                <w:rFonts w:ascii="Times New Roman" w:hAnsi="Times New Roman"/>
                <w:sz w:val="24"/>
              </w:rPr>
              <w:t>TIPOLOGIE DI EVENTI</w:t>
            </w:r>
          </w:p>
          <w:p w:rsidR="00FD54FC" w:rsidRPr="00D51A68" w:rsidRDefault="00FD54FC" w:rsidP="00FD54FC">
            <w:pPr>
              <w:rPr>
                <w:rFonts w:ascii="Times New Roman" w:hAnsi="Times New Roman"/>
                <w:sz w:val="24"/>
              </w:rPr>
            </w:pPr>
            <w:r w:rsidRPr="00D51A68">
              <w:rPr>
                <w:rFonts w:ascii="Times New Roman" w:hAnsi="Times New Roman"/>
                <w:sz w:val="24"/>
              </w:rPr>
              <w:t>Gli enti segnalano le perdite nelle rispettive colonne da 010 a 070 in base alle tipologie di eventi definite nell</w:t>
            </w:r>
            <w:r w:rsidR="0009277C" w:rsidRPr="00D51A68">
              <w:rPr>
                <w:rFonts w:ascii="Times New Roman" w:hAnsi="Times New Roman"/>
                <w:sz w:val="24"/>
              </w:rPr>
              <w:t>’</w:t>
            </w:r>
            <w:r w:rsidRPr="00D51A68">
              <w:rPr>
                <w:rFonts w:ascii="Times New Roman" w:hAnsi="Times New Roman"/>
                <w:sz w:val="24"/>
              </w:rPr>
              <w:t xml:space="preserve">articolo 324 del CRR. </w:t>
            </w:r>
          </w:p>
          <w:p w:rsidR="00FD54FC" w:rsidRPr="00D51A68" w:rsidRDefault="00FD54FC" w:rsidP="00871877">
            <w:pPr>
              <w:rPr>
                <w:rFonts w:ascii="Times New Roman" w:hAnsi="Times New Roman"/>
                <w:bCs/>
                <w:sz w:val="24"/>
              </w:rPr>
            </w:pPr>
            <w:r w:rsidRPr="00D51A68">
              <w:rPr>
                <w:rFonts w:ascii="Times New Roman" w:hAnsi="Times New Roman"/>
                <w:sz w:val="24"/>
              </w:rPr>
              <w:t>Gli enti che calcolano il requisito di fondi propri secondo il metodo BIA possono segnalare solo nella colonna 080 le perdite dovute a una tipologia di evento non identificata.</w:t>
            </w:r>
          </w:p>
        </w:tc>
      </w:tr>
      <w:tr w:rsidR="00FD54FC" w:rsidRPr="00D51A68" w:rsidTr="00672D2A">
        <w:tc>
          <w:tcPr>
            <w:tcW w:w="985" w:type="dxa"/>
          </w:tcPr>
          <w:p w:rsidR="00FD54FC" w:rsidRPr="00D51A68" w:rsidRDefault="00C93FC2" w:rsidP="00FD54FC">
            <w:pPr>
              <w:autoSpaceDE w:val="0"/>
              <w:autoSpaceDN w:val="0"/>
              <w:adjustRightInd w:val="0"/>
              <w:spacing w:before="0" w:after="0"/>
              <w:rPr>
                <w:rFonts w:ascii="Times New Roman" w:hAnsi="Times New Roman"/>
                <w:bCs/>
                <w:sz w:val="24"/>
              </w:rPr>
            </w:pPr>
            <w:r w:rsidRPr="00D51A68">
              <w:rPr>
                <w:rFonts w:ascii="Times New Roman" w:hAnsi="Times New Roman"/>
                <w:sz w:val="24"/>
              </w:rPr>
              <w:t>0080</w:t>
            </w:r>
          </w:p>
        </w:tc>
        <w:tc>
          <w:tcPr>
            <w:tcW w:w="8195" w:type="dxa"/>
          </w:tcPr>
          <w:p w:rsidR="00FD54FC" w:rsidRPr="00D51A68" w:rsidRDefault="00FD54FC" w:rsidP="00FD54FC">
            <w:pPr>
              <w:autoSpaceDE w:val="0"/>
              <w:autoSpaceDN w:val="0"/>
              <w:adjustRightInd w:val="0"/>
              <w:spacing w:before="0" w:after="0"/>
              <w:rPr>
                <w:rStyle w:val="InstructionsTabelleberschrift"/>
                <w:rFonts w:ascii="Times New Roman" w:hAnsi="Times New Roman"/>
                <w:sz w:val="24"/>
              </w:rPr>
            </w:pPr>
            <w:r w:rsidRPr="00D51A68">
              <w:rPr>
                <w:rStyle w:val="InstructionsTabelleberschrift"/>
                <w:rFonts w:ascii="Times New Roman" w:hAnsi="Times New Roman"/>
                <w:sz w:val="24"/>
              </w:rPr>
              <w:t>TIPOLOGIE DI EVENTI TOTALI</w:t>
            </w:r>
          </w:p>
          <w:p w:rsidR="008D30F0" w:rsidRPr="00D51A68" w:rsidRDefault="00FD54FC" w:rsidP="00FD54FC">
            <w:pPr>
              <w:rPr>
                <w:rStyle w:val="InstructionsTabelleText"/>
                <w:rFonts w:ascii="Times New Roman" w:hAnsi="Times New Roman"/>
                <w:sz w:val="24"/>
              </w:rPr>
            </w:pPr>
            <w:r w:rsidRPr="00D51A68">
              <w:rPr>
                <w:rStyle w:val="InstructionsTabelleText"/>
                <w:rFonts w:ascii="Times New Roman" w:hAnsi="Times New Roman"/>
                <w:sz w:val="24"/>
              </w:rPr>
              <w:t xml:space="preserve">Nella colonna 080, per ciascuna linea di business gli enti segnalano il </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numero di eventi (eventi nuovi)</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 xml:space="preserve"> totale, 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importo delle perdite lorde (eventi nuovi)</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 xml:space="preserve"> totale, il </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numero di eventi soggetti ad adeguamenti per perdite</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 xml:space="preserve"> totale, gli </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adeguamenti per perdite relativi a precedenti periodi di riferimento</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 xml:space="preserve"> totali, la </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perdita singola massima</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 xml:space="preserve">, la </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somma delle cinque maggiori perdite</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 il totale dell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importo complessivo dei recuperi diretti</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 xml:space="preserve"> e il totale dell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importo complessivo dei recuperi da assicurazioni e altri meccanismi di trasferimento del rischio</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w:t>
            </w:r>
          </w:p>
          <w:p w:rsidR="00FD54FC" w:rsidRPr="00D51A68" w:rsidRDefault="00FD54FC" w:rsidP="00FD54FC">
            <w:pPr>
              <w:rPr>
                <w:rStyle w:val="InstructionsTabelleText"/>
                <w:rFonts w:ascii="Times New Roman" w:hAnsi="Times New Roman"/>
                <w:sz w:val="24"/>
              </w:rPr>
            </w:pPr>
            <w:r w:rsidRPr="00D51A68">
              <w:rPr>
                <w:rStyle w:val="InstructionsTabelleText"/>
                <w:rFonts w:ascii="Times New Roman" w:hAnsi="Times New Roman"/>
                <w:sz w:val="24"/>
              </w:rPr>
              <w:t>A condizione che 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 xml:space="preserve">ente abbia individuato le tipologie di eventi per tutte le perdite, la colonna 080 illustra la semplice aggregazione del numero degli eventi di perdita, degli importi complessivi delle perdite lorde, degli importi complessivi dei recuperi e degli adeguamenti per perdite relativi a precedenti periodi di riferimento riportati nelle colonne da 010 a 070. </w:t>
            </w:r>
          </w:p>
          <w:p w:rsidR="00FD54FC" w:rsidRPr="00D51A68" w:rsidRDefault="00FD54FC" w:rsidP="00FD54FC">
            <w:pPr>
              <w:rPr>
                <w:rStyle w:val="InstructionsTabelleText"/>
                <w:rFonts w:ascii="Times New Roman" w:hAnsi="Times New Roman"/>
                <w:sz w:val="24"/>
              </w:rPr>
            </w:pPr>
            <w:r w:rsidRPr="00D51A68">
              <w:rPr>
                <w:rStyle w:val="InstructionsTabelleText"/>
                <w:rFonts w:ascii="Times New Roman" w:hAnsi="Times New Roman"/>
                <w:sz w:val="24"/>
              </w:rPr>
              <w:lastRenderedPageBreak/>
              <w:t xml:space="preserve">La </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perdita singola massima</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 xml:space="preserve"> segnalata nella colonna 080 è la perdita singola massima all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 xml:space="preserve">interno di una linea di business ed è identica al massimo delle </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perdite singole massime</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 xml:space="preserve"> indicate nelle colonne da 010 a 070, a condizione che 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 xml:space="preserve">ente abbia individuato le tipologie di eventi per tutte le perdite. </w:t>
            </w:r>
          </w:p>
          <w:p w:rsidR="00FD54FC" w:rsidRPr="00D51A68" w:rsidRDefault="00FD54FC" w:rsidP="00FD54FC">
            <w:pPr>
              <w:rPr>
                <w:rFonts w:ascii="Times New Roman" w:hAnsi="Times New Roman"/>
                <w:bCs/>
                <w:sz w:val="24"/>
              </w:rPr>
            </w:pPr>
            <w:r w:rsidRPr="00D51A68">
              <w:rPr>
                <w:rStyle w:val="InstructionsTabelleText"/>
                <w:rFonts w:ascii="Times New Roman" w:hAnsi="Times New Roman"/>
                <w:sz w:val="24"/>
              </w:rPr>
              <w:t>Come somma delle cinque maggiori perdite, nella colonna 080 è segnalata la somma delle cinque maggiori perdite all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interno della corrispondente linea di business.</w:t>
            </w:r>
          </w:p>
        </w:tc>
      </w:tr>
      <w:tr w:rsidR="00FD54FC" w:rsidRPr="00D51A68" w:rsidTr="00672D2A">
        <w:tc>
          <w:tcPr>
            <w:tcW w:w="985" w:type="dxa"/>
          </w:tcPr>
          <w:p w:rsidR="00FD54FC" w:rsidRPr="00D51A68" w:rsidRDefault="00C93FC2" w:rsidP="000F70EC">
            <w:pPr>
              <w:autoSpaceDE w:val="0"/>
              <w:autoSpaceDN w:val="0"/>
              <w:adjustRightInd w:val="0"/>
              <w:spacing w:before="0" w:after="0"/>
              <w:rPr>
                <w:rFonts w:ascii="Times New Roman" w:hAnsi="Times New Roman"/>
                <w:bCs/>
                <w:sz w:val="24"/>
              </w:rPr>
            </w:pPr>
            <w:r w:rsidRPr="00D51A68">
              <w:rPr>
                <w:rFonts w:ascii="Times New Roman" w:hAnsi="Times New Roman"/>
                <w:sz w:val="24"/>
              </w:rPr>
              <w:lastRenderedPageBreak/>
              <w:t>0090-0100</w:t>
            </w:r>
          </w:p>
        </w:tc>
        <w:tc>
          <w:tcPr>
            <w:tcW w:w="8195" w:type="dxa"/>
          </w:tcPr>
          <w:p w:rsidR="00FD54FC" w:rsidRPr="00D51A68" w:rsidRDefault="00FD54FC" w:rsidP="00FD54FC">
            <w:pPr>
              <w:autoSpaceDE w:val="0"/>
              <w:autoSpaceDN w:val="0"/>
              <w:adjustRightInd w:val="0"/>
              <w:spacing w:before="0" w:after="0"/>
              <w:rPr>
                <w:rFonts w:ascii="Times New Roman" w:hAnsi="Times New Roman"/>
                <w:sz w:val="24"/>
              </w:rPr>
            </w:pPr>
            <w:r w:rsidRPr="00D51A68">
              <w:rPr>
                <w:rStyle w:val="InstructionsTabelleberschrift"/>
                <w:rFonts w:ascii="Times New Roman" w:hAnsi="Times New Roman"/>
                <w:sz w:val="24"/>
              </w:rPr>
              <w:t>VOCE PER MEMORIA: SOGLIA APPLICATA NELLA RACCOLTA DI DATI</w:t>
            </w:r>
          </w:p>
          <w:p w:rsidR="00FD54FC" w:rsidRPr="00D51A68" w:rsidRDefault="00FD54FC" w:rsidP="00FD54FC">
            <w:pPr>
              <w:autoSpaceDE w:val="0"/>
              <w:autoSpaceDN w:val="0"/>
              <w:adjustRightInd w:val="0"/>
              <w:spacing w:before="0" w:after="0"/>
              <w:rPr>
                <w:rStyle w:val="InstructionsTabelleText"/>
                <w:rFonts w:ascii="Times New Roman" w:hAnsi="Times New Roman"/>
                <w:sz w:val="24"/>
              </w:rPr>
            </w:pPr>
            <w:r w:rsidRPr="00D51A68">
              <w:rPr>
                <w:rStyle w:val="InstructionsTabelleText"/>
                <w:rFonts w:ascii="Times New Roman" w:hAnsi="Times New Roman"/>
                <w:sz w:val="24"/>
              </w:rPr>
              <w:t>Gli enti segnalano nelle colonne 090 e 100 le soglie minime di perdita che applicano alla raccolta di dati interni sulle perdite conformemente all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 xml:space="preserve">articolo 322, paragrafo 3, lettera c), ultima frase, del CRR. </w:t>
            </w:r>
          </w:p>
          <w:p w:rsidR="00FD54FC" w:rsidRPr="00D51A68" w:rsidRDefault="00FD54FC" w:rsidP="00FD54FC">
            <w:pPr>
              <w:autoSpaceDE w:val="0"/>
              <w:autoSpaceDN w:val="0"/>
              <w:adjustRightInd w:val="0"/>
              <w:spacing w:before="0" w:after="0"/>
              <w:rPr>
                <w:rStyle w:val="InstructionsTabelleText"/>
                <w:rFonts w:ascii="Times New Roman" w:hAnsi="Times New Roman"/>
                <w:sz w:val="24"/>
              </w:rPr>
            </w:pPr>
            <w:r w:rsidRPr="00D51A68">
              <w:rPr>
                <w:rStyle w:val="InstructionsTabelleText"/>
                <w:rFonts w:ascii="Times New Roman" w:hAnsi="Times New Roman"/>
                <w:sz w:val="24"/>
              </w:rPr>
              <w:t>Se applica una sola soglia in ciascuna linea di business, 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 xml:space="preserve">ente compila soltanto la colonna 090. </w:t>
            </w:r>
          </w:p>
          <w:p w:rsidR="00FD54FC" w:rsidRPr="00D51A68" w:rsidRDefault="00FD54FC" w:rsidP="00FD54FC">
            <w:pPr>
              <w:autoSpaceDE w:val="0"/>
              <w:autoSpaceDN w:val="0"/>
              <w:adjustRightInd w:val="0"/>
              <w:spacing w:before="0" w:after="0"/>
              <w:rPr>
                <w:rStyle w:val="InstructionsTabelleText"/>
                <w:rFonts w:ascii="Times New Roman" w:hAnsi="Times New Roman"/>
                <w:sz w:val="24"/>
              </w:rPr>
            </w:pPr>
            <w:r w:rsidRPr="00D51A68">
              <w:rPr>
                <w:rStyle w:val="InstructionsTabelleText"/>
                <w:rFonts w:ascii="Times New Roman" w:hAnsi="Times New Roman"/>
                <w:sz w:val="24"/>
              </w:rPr>
              <w:t>Se applica soglie differenti all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interno della medesima linea di business regolamentare, segnala anche la soglia massima applicabile (colonna 100).</w:t>
            </w:r>
          </w:p>
        </w:tc>
      </w:tr>
    </w:tbl>
    <w:p w:rsidR="00FD54FC" w:rsidRPr="00D51A68" w:rsidRDefault="00941EC3" w:rsidP="00FD54FC">
      <w:pPr>
        <w:pStyle w:val="PlainText"/>
        <w:jc w:val="both"/>
        <w:rPr>
          <w:rFonts w:ascii="Times New Roman" w:hAnsi="Times New Roman"/>
          <w:sz w:val="24"/>
          <w:szCs w:val="24"/>
          <w:u w:val="single"/>
        </w:rPr>
      </w:pPr>
      <w:r w:rsidRPr="00D51A68">
        <w:rPr>
          <w:rFonts w:ascii="Times New Roman" w:hAnsi="Times New Roman"/>
          <w:sz w:val="24"/>
          <w:szCs w:val="24"/>
          <w:u w:val="single"/>
        </w:rPr>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079"/>
      </w:tblGrid>
      <w:tr w:rsidR="00FD54FC" w:rsidRPr="00D51A68" w:rsidTr="00672D2A">
        <w:trPr>
          <w:trHeight w:val="504"/>
        </w:trPr>
        <w:tc>
          <w:tcPr>
            <w:tcW w:w="9180" w:type="dxa"/>
            <w:gridSpan w:val="2"/>
            <w:shd w:val="clear" w:color="auto" w:fill="CCCCCC"/>
          </w:tcPr>
          <w:p w:rsidR="00FD54FC" w:rsidRPr="00D51A68" w:rsidRDefault="00FD54FC" w:rsidP="00FD54FC">
            <w:pPr>
              <w:autoSpaceDE w:val="0"/>
              <w:autoSpaceDN w:val="0"/>
              <w:adjustRightInd w:val="0"/>
              <w:spacing w:after="0"/>
              <w:rPr>
                <w:rFonts w:ascii="Times New Roman" w:hAnsi="Times New Roman"/>
                <w:b/>
                <w:bCs/>
                <w:sz w:val="24"/>
              </w:rPr>
            </w:pPr>
            <w:r w:rsidRPr="00D51A68">
              <w:rPr>
                <w:rFonts w:ascii="Times New Roman" w:hAnsi="Times New Roman"/>
                <w:b/>
                <w:sz w:val="24"/>
              </w:rPr>
              <w:t>Righe</w:t>
            </w:r>
          </w:p>
        </w:tc>
      </w:tr>
      <w:tr w:rsidR="00FD54FC" w:rsidRPr="00D51A68" w:rsidTr="00672D2A">
        <w:tc>
          <w:tcPr>
            <w:tcW w:w="1101" w:type="dxa"/>
          </w:tcPr>
          <w:p w:rsidR="00FD54FC" w:rsidRPr="00D51A68" w:rsidRDefault="00C93FC2" w:rsidP="000F70EC">
            <w:pPr>
              <w:rPr>
                <w:rFonts w:ascii="Times New Roman" w:hAnsi="Times New Roman"/>
                <w:bCs/>
                <w:sz w:val="24"/>
              </w:rPr>
            </w:pPr>
            <w:r w:rsidRPr="00D51A68">
              <w:rPr>
                <w:rFonts w:ascii="Times New Roman" w:hAnsi="Times New Roman"/>
                <w:sz w:val="24"/>
              </w:rPr>
              <w:t>0010-0880</w:t>
            </w:r>
          </w:p>
        </w:tc>
        <w:tc>
          <w:tcPr>
            <w:tcW w:w="8079" w:type="dxa"/>
          </w:tcPr>
          <w:p w:rsidR="00FD54FC" w:rsidRPr="00D51A68" w:rsidRDefault="00FD54FC" w:rsidP="00FD54FC">
            <w:pPr>
              <w:rPr>
                <w:rStyle w:val="InstructionsTabelleberschrift"/>
                <w:rFonts w:ascii="Times New Roman" w:hAnsi="Times New Roman"/>
                <w:sz w:val="24"/>
              </w:rPr>
            </w:pPr>
            <w:r w:rsidRPr="00D51A68">
              <w:rPr>
                <w:rStyle w:val="InstructionsTabelleberschrift"/>
                <w:rFonts w:ascii="Times New Roman" w:hAnsi="Times New Roman"/>
                <w:sz w:val="24"/>
              </w:rPr>
              <w:t>LINEE DI BUSINESS: SERVIZI FINANZIARI PER 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IMPRESA (CORPORATE FINANCE) [CF], NEGOZIAZIONI E VENDITE (TRADING AND SALES) [TS], INTERMEDIAZIONE AL DETTAGLIO (RETAIL BROKERAGE) [RBr], SERVIZI BANCARI A CARATTERE COMMERCIALE (COMMERCIAL BANKING) [CB], SERVIZI BANCARI AL DETTAGLIO (RETAIL BANKING) [RB], PAGAMENTI E REGOLAMENTI (PAYMENT AND SETTLEMENT) [PS], GESTIONI FIDUCIARIE (AGENCY SERVICES) [AS], GESTIONI PATRIMONIALI (ASSET MANAGEMENT) [AM], ELEMENTI D</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IMPRESA (CORPORATE ITEMS) [CI]</w:t>
            </w:r>
          </w:p>
          <w:p w:rsidR="00FD54FC" w:rsidRPr="00D51A68" w:rsidRDefault="00FD54FC" w:rsidP="00FD54FC">
            <w:pPr>
              <w:pStyle w:val="PlainText"/>
              <w:jc w:val="both"/>
              <w:rPr>
                <w:rFonts w:ascii="Times New Roman" w:hAnsi="Times New Roman"/>
                <w:sz w:val="24"/>
                <w:szCs w:val="24"/>
              </w:rPr>
            </w:pPr>
            <w:r w:rsidRPr="00D51A68">
              <w:rPr>
                <w:rFonts w:ascii="Times New Roman" w:hAnsi="Times New Roman"/>
                <w:sz w:val="24"/>
              </w:rPr>
              <w:t>Per ciascuna linea di business definita nella tabella 2 dell</w:t>
            </w:r>
            <w:r w:rsidR="0009277C" w:rsidRPr="00D51A68">
              <w:rPr>
                <w:rFonts w:ascii="Times New Roman" w:hAnsi="Times New Roman"/>
                <w:sz w:val="24"/>
              </w:rPr>
              <w:t>’</w:t>
            </w:r>
            <w:r w:rsidRPr="00D51A68">
              <w:rPr>
                <w:rFonts w:ascii="Times New Roman" w:hAnsi="Times New Roman"/>
                <w:sz w:val="24"/>
              </w:rPr>
              <w:t>articolo 317, parag</w:t>
            </w:r>
            <w:r w:rsidR="005B4FE4" w:rsidRPr="00D51A68">
              <w:rPr>
                <w:rFonts w:ascii="Times New Roman" w:hAnsi="Times New Roman"/>
                <w:sz w:val="24"/>
              </w:rPr>
              <w:t>rafo </w:t>
            </w:r>
            <w:r w:rsidRPr="00D51A68">
              <w:rPr>
                <w:rFonts w:ascii="Times New Roman" w:hAnsi="Times New Roman"/>
                <w:sz w:val="24"/>
              </w:rPr>
              <w:t xml:space="preserve">4, del CRR, compresa la linea di business aggiuntiva </w:t>
            </w:r>
            <w:r w:rsidR="0009277C" w:rsidRPr="00D51A68">
              <w:rPr>
                <w:rFonts w:ascii="Times New Roman" w:hAnsi="Times New Roman"/>
                <w:sz w:val="24"/>
              </w:rPr>
              <w:t>“</w:t>
            </w:r>
            <w:r w:rsidRPr="00D51A68">
              <w:rPr>
                <w:rFonts w:ascii="Times New Roman" w:hAnsi="Times New Roman"/>
                <w:sz w:val="24"/>
              </w:rPr>
              <w:t>elementi d</w:t>
            </w:r>
            <w:r w:rsidR="0009277C" w:rsidRPr="00D51A68">
              <w:rPr>
                <w:rFonts w:ascii="Times New Roman" w:hAnsi="Times New Roman"/>
                <w:sz w:val="24"/>
              </w:rPr>
              <w:t>’</w:t>
            </w:r>
            <w:r w:rsidRPr="00D51A68">
              <w:rPr>
                <w:rFonts w:ascii="Times New Roman" w:hAnsi="Times New Roman"/>
                <w:sz w:val="24"/>
              </w:rPr>
              <w:t>impresa</w:t>
            </w:r>
            <w:r w:rsidR="0009277C" w:rsidRPr="00D51A68">
              <w:rPr>
                <w:rFonts w:ascii="Times New Roman" w:hAnsi="Times New Roman"/>
                <w:sz w:val="24"/>
              </w:rPr>
              <w:t>”</w:t>
            </w:r>
            <w:r w:rsidRPr="00D51A68">
              <w:rPr>
                <w:rFonts w:ascii="Times New Roman" w:hAnsi="Times New Roman"/>
                <w:sz w:val="24"/>
              </w:rPr>
              <w:t xml:space="preserve"> di cui all</w:t>
            </w:r>
            <w:r w:rsidR="0009277C" w:rsidRPr="00D51A68">
              <w:rPr>
                <w:rFonts w:ascii="Times New Roman" w:hAnsi="Times New Roman"/>
                <w:sz w:val="24"/>
              </w:rPr>
              <w:t>’</w:t>
            </w:r>
            <w:r w:rsidRPr="00D51A68">
              <w:rPr>
                <w:rFonts w:ascii="Times New Roman" w:hAnsi="Times New Roman"/>
                <w:sz w:val="24"/>
              </w:rPr>
              <w:t>articolo 322, paragrafo 3, lettera b), del CRR, e per ciascuna tipologia di evento, l</w:t>
            </w:r>
            <w:r w:rsidR="0009277C" w:rsidRPr="00D51A68">
              <w:rPr>
                <w:rFonts w:ascii="Times New Roman" w:hAnsi="Times New Roman"/>
                <w:sz w:val="24"/>
              </w:rPr>
              <w:t>’</w:t>
            </w:r>
            <w:r w:rsidRPr="00D51A68">
              <w:rPr>
                <w:rFonts w:ascii="Times New Roman" w:hAnsi="Times New Roman"/>
                <w:sz w:val="24"/>
              </w:rPr>
              <w:t>ente segnala le seguenti informazioni in base alle soglie interne: il numero di eventi (eventi nuovi), l</w:t>
            </w:r>
            <w:r w:rsidR="0009277C" w:rsidRPr="00D51A68">
              <w:rPr>
                <w:rFonts w:ascii="Times New Roman" w:hAnsi="Times New Roman"/>
                <w:sz w:val="24"/>
              </w:rPr>
              <w:t>’</w:t>
            </w:r>
            <w:r w:rsidRPr="00D51A68">
              <w:rPr>
                <w:rFonts w:ascii="Times New Roman" w:hAnsi="Times New Roman"/>
                <w:sz w:val="24"/>
              </w:rPr>
              <w:t>importo delle perdite lorde (eventi nuovi), il numero di eventi soggetti ad adeguamenti per perdite, gli adeguamenti per perdite relativi a precedenti periodi di riferimento, la perdita singola massima, la somma delle cinque maggiori perdite, l</w:t>
            </w:r>
            <w:r w:rsidR="0009277C" w:rsidRPr="00D51A68">
              <w:rPr>
                <w:rFonts w:ascii="Times New Roman" w:hAnsi="Times New Roman"/>
                <w:sz w:val="24"/>
              </w:rPr>
              <w:t>’</w:t>
            </w:r>
            <w:r w:rsidRPr="00D51A68">
              <w:rPr>
                <w:rFonts w:ascii="Times New Roman" w:hAnsi="Times New Roman"/>
                <w:sz w:val="24"/>
              </w:rPr>
              <w:t>importo complessivo dei recuperi diretti e l</w:t>
            </w:r>
            <w:r w:rsidR="0009277C" w:rsidRPr="00D51A68">
              <w:rPr>
                <w:rFonts w:ascii="Times New Roman" w:hAnsi="Times New Roman"/>
                <w:sz w:val="24"/>
              </w:rPr>
              <w:t>’</w:t>
            </w:r>
            <w:r w:rsidRPr="00D51A68">
              <w:rPr>
                <w:rFonts w:ascii="Times New Roman" w:hAnsi="Times New Roman"/>
                <w:sz w:val="24"/>
              </w:rPr>
              <w:t xml:space="preserve">importo complessivo dei recuperi da assicurazioni e altri meccanismi di trasferimento del rischio. </w:t>
            </w:r>
          </w:p>
          <w:p w:rsidR="00FD54FC" w:rsidRPr="00D51A68" w:rsidRDefault="00FD54FC" w:rsidP="00FD54FC">
            <w:pPr>
              <w:rPr>
                <w:rFonts w:ascii="Times New Roman" w:hAnsi="Times New Roman"/>
                <w:sz w:val="24"/>
              </w:rPr>
            </w:pPr>
            <w:r w:rsidRPr="00D51A68">
              <w:rPr>
                <w:rFonts w:ascii="Times New Roman" w:hAnsi="Times New Roman"/>
                <w:sz w:val="24"/>
              </w:rPr>
              <w:t>Nel caso di un evento di perdita che riguardi più di una linea di business, l</w:t>
            </w:r>
            <w:r w:rsidR="0009277C" w:rsidRPr="00D51A68">
              <w:rPr>
                <w:rStyle w:val="InstructionsTabelleText"/>
                <w:rFonts w:ascii="Times New Roman" w:hAnsi="Times New Roman"/>
                <w:sz w:val="24"/>
              </w:rPr>
              <w:t>’“</w:t>
            </w:r>
            <w:r w:rsidRPr="00D51A68">
              <w:rPr>
                <w:rFonts w:ascii="Times New Roman" w:hAnsi="Times New Roman"/>
                <w:sz w:val="24"/>
              </w:rPr>
              <w:t>importo delle perdite lorde</w:t>
            </w:r>
            <w:r w:rsidR="0009277C" w:rsidRPr="00D51A68">
              <w:rPr>
                <w:rFonts w:ascii="Times New Roman" w:hAnsi="Times New Roman"/>
                <w:sz w:val="24"/>
              </w:rPr>
              <w:t>”</w:t>
            </w:r>
            <w:r w:rsidRPr="00D51A68">
              <w:rPr>
                <w:rFonts w:ascii="Times New Roman" w:hAnsi="Times New Roman"/>
                <w:sz w:val="24"/>
              </w:rPr>
              <w:t xml:space="preserve"> è distribuito tra tutte le linee di business interessate.</w:t>
            </w:r>
          </w:p>
          <w:p w:rsidR="00FD54FC" w:rsidRPr="00D51A68" w:rsidRDefault="00FD54FC" w:rsidP="00FD54FC">
            <w:pPr>
              <w:rPr>
                <w:rFonts w:ascii="Times New Roman" w:hAnsi="Times New Roman"/>
                <w:bCs/>
                <w:sz w:val="24"/>
              </w:rPr>
            </w:pPr>
            <w:r w:rsidRPr="00D51A68">
              <w:rPr>
                <w:rFonts w:ascii="Times New Roman" w:hAnsi="Times New Roman"/>
                <w:sz w:val="24"/>
              </w:rPr>
              <w:t>Gli enti che calcolano il requisito di fondi propri secondo il metodo BIA possono segnalare solo nelle righe 910-980 le perdite relative a una linea di business non identificata.</w:t>
            </w:r>
          </w:p>
        </w:tc>
      </w:tr>
      <w:tr w:rsidR="00FD54FC" w:rsidRPr="00D51A68" w:rsidTr="00672D2A">
        <w:tc>
          <w:tcPr>
            <w:tcW w:w="1101" w:type="dxa"/>
          </w:tcPr>
          <w:p w:rsidR="00FD54FC" w:rsidRPr="00D51A68" w:rsidRDefault="00C93FC2" w:rsidP="00FD54FC">
            <w:pPr>
              <w:rPr>
                <w:rFonts w:ascii="Times New Roman" w:hAnsi="Times New Roman"/>
                <w:bCs/>
                <w:sz w:val="24"/>
              </w:rPr>
            </w:pPr>
            <w:r w:rsidRPr="00D51A68">
              <w:rPr>
                <w:rFonts w:ascii="Times New Roman" w:hAnsi="Times New Roman"/>
                <w:sz w:val="24"/>
              </w:rPr>
              <w:lastRenderedPageBreak/>
              <w:t>0010, 0110, 0210, 0310, 0410, 0510, 0610, 0710, 0810</w:t>
            </w:r>
          </w:p>
        </w:tc>
        <w:tc>
          <w:tcPr>
            <w:tcW w:w="8079" w:type="dxa"/>
          </w:tcPr>
          <w:p w:rsidR="00FD54FC" w:rsidRPr="00D51A68" w:rsidRDefault="00FD54FC" w:rsidP="00941EC3">
            <w:pPr>
              <w:keepNext/>
              <w:keepLines/>
              <w:rPr>
                <w:rStyle w:val="InstructionsTabelleberschrift"/>
                <w:rFonts w:ascii="Times New Roman" w:hAnsi="Times New Roman"/>
                <w:sz w:val="24"/>
              </w:rPr>
            </w:pPr>
            <w:r w:rsidRPr="00D51A68">
              <w:rPr>
                <w:rStyle w:val="InstructionsTabelleberschrift"/>
                <w:rFonts w:ascii="Times New Roman" w:hAnsi="Times New Roman"/>
                <w:sz w:val="24"/>
              </w:rPr>
              <w:t>Numero di eventi (eventi nuovi)</w:t>
            </w:r>
          </w:p>
          <w:p w:rsidR="00FD54FC" w:rsidRPr="00D51A68" w:rsidRDefault="00FD54FC" w:rsidP="00941EC3">
            <w:pPr>
              <w:keepNext/>
              <w:keepLines/>
              <w:rPr>
                <w:rFonts w:ascii="Times New Roman" w:hAnsi="Times New Roman"/>
                <w:sz w:val="24"/>
              </w:rPr>
            </w:pPr>
            <w:r w:rsidRPr="00D51A68">
              <w:rPr>
                <w:rFonts w:ascii="Times New Roman" w:hAnsi="Times New Roman"/>
                <w:sz w:val="24"/>
              </w:rPr>
              <w:t>Il numero di eventi è il numero di eventi di rischio operativo per cui sono state contabilizzate perdite lorde nel periodo di riferimento per le segnalazioni.</w:t>
            </w:r>
          </w:p>
          <w:p w:rsidR="00FD54FC" w:rsidRPr="00D51A68" w:rsidRDefault="00FD54FC" w:rsidP="00941EC3">
            <w:pPr>
              <w:keepNext/>
              <w:keepLines/>
              <w:rPr>
                <w:rFonts w:ascii="Times New Roman" w:hAnsi="Times New Roman"/>
                <w:sz w:val="24"/>
              </w:rPr>
            </w:pPr>
            <w:r w:rsidRPr="00D51A68">
              <w:rPr>
                <w:rFonts w:ascii="Times New Roman" w:hAnsi="Times New Roman"/>
                <w:sz w:val="24"/>
              </w:rPr>
              <w:t xml:space="preserve">Il numero di eventi fa riferimento a </w:t>
            </w:r>
            <w:r w:rsidR="0009277C" w:rsidRPr="00D51A68">
              <w:rPr>
                <w:rFonts w:ascii="Times New Roman" w:hAnsi="Times New Roman"/>
                <w:sz w:val="24"/>
              </w:rPr>
              <w:t>“</w:t>
            </w:r>
            <w:r w:rsidRPr="00D51A68">
              <w:rPr>
                <w:rFonts w:ascii="Times New Roman" w:hAnsi="Times New Roman"/>
                <w:sz w:val="24"/>
              </w:rPr>
              <w:t>eventi nuovi</w:t>
            </w:r>
            <w:r w:rsidR="0009277C" w:rsidRPr="00D51A68">
              <w:rPr>
                <w:rFonts w:ascii="Times New Roman" w:hAnsi="Times New Roman"/>
                <w:sz w:val="24"/>
              </w:rPr>
              <w:t>”</w:t>
            </w:r>
            <w:r w:rsidRPr="00D51A68">
              <w:rPr>
                <w:rFonts w:ascii="Times New Roman" w:hAnsi="Times New Roman"/>
                <w:sz w:val="24"/>
              </w:rPr>
              <w:t>, vale a dire eventi di rischio operativo</w:t>
            </w:r>
          </w:p>
          <w:p w:rsidR="00FD54FC" w:rsidRPr="00D51A68" w:rsidRDefault="00FD54FC" w:rsidP="00FD54FC">
            <w:pPr>
              <w:tabs>
                <w:tab w:val="left" w:pos="459"/>
              </w:tabs>
              <w:ind w:left="459" w:hanging="459"/>
              <w:rPr>
                <w:rFonts w:ascii="Times New Roman" w:hAnsi="Times New Roman"/>
                <w:sz w:val="24"/>
              </w:rPr>
            </w:pPr>
            <w:r w:rsidRPr="00D51A68">
              <w:rPr>
                <w:rFonts w:ascii="Times New Roman" w:hAnsi="Times New Roman"/>
                <w:sz w:val="24"/>
              </w:rPr>
              <w:t>i)</w:t>
            </w:r>
            <w:r w:rsidR="00A0772B" w:rsidRPr="00D51A68">
              <w:tab/>
            </w:r>
            <w:r w:rsidR="0009277C" w:rsidRPr="00D51A68">
              <w:rPr>
                <w:rFonts w:ascii="Times New Roman" w:hAnsi="Times New Roman"/>
                <w:sz w:val="24"/>
              </w:rPr>
              <w:t>“</w:t>
            </w:r>
            <w:r w:rsidRPr="00D51A68">
              <w:rPr>
                <w:rFonts w:ascii="Times New Roman" w:hAnsi="Times New Roman"/>
                <w:sz w:val="24"/>
              </w:rPr>
              <w:t>contabilizzati per la prima volta</w:t>
            </w:r>
            <w:r w:rsidR="0009277C" w:rsidRPr="00D51A68">
              <w:rPr>
                <w:rFonts w:ascii="Times New Roman" w:hAnsi="Times New Roman"/>
                <w:sz w:val="24"/>
              </w:rPr>
              <w:t>”</w:t>
            </w:r>
            <w:r w:rsidRPr="00D51A68">
              <w:rPr>
                <w:rFonts w:ascii="Times New Roman" w:hAnsi="Times New Roman"/>
                <w:sz w:val="24"/>
              </w:rPr>
              <w:t xml:space="preserve"> nel periodo di riferimento per le segnalazioni o</w:t>
            </w:r>
          </w:p>
          <w:p w:rsidR="00FD54FC" w:rsidRPr="00D51A68" w:rsidRDefault="00FD54FC" w:rsidP="00FD54FC">
            <w:pPr>
              <w:tabs>
                <w:tab w:val="left" w:pos="459"/>
              </w:tabs>
              <w:ind w:left="459" w:hanging="459"/>
              <w:rPr>
                <w:rFonts w:ascii="Times New Roman" w:hAnsi="Times New Roman"/>
                <w:sz w:val="24"/>
              </w:rPr>
            </w:pPr>
            <w:r w:rsidRPr="00D51A68">
              <w:rPr>
                <w:rFonts w:ascii="Times New Roman" w:hAnsi="Times New Roman"/>
                <w:sz w:val="24"/>
              </w:rPr>
              <w:t>ii)</w:t>
            </w:r>
            <w:r w:rsidR="00A0772B" w:rsidRPr="00D51A68">
              <w:tab/>
            </w:r>
            <w:r w:rsidR="0009277C" w:rsidRPr="00D51A68">
              <w:rPr>
                <w:rFonts w:ascii="Times New Roman" w:hAnsi="Times New Roman"/>
                <w:sz w:val="24"/>
              </w:rPr>
              <w:t>“</w:t>
            </w:r>
            <w:r w:rsidRPr="00D51A68">
              <w:rPr>
                <w:rFonts w:ascii="Times New Roman" w:hAnsi="Times New Roman"/>
                <w:sz w:val="24"/>
              </w:rPr>
              <w:t>contabilizzati per la prima volta</w:t>
            </w:r>
            <w:r w:rsidR="0009277C" w:rsidRPr="00D51A68">
              <w:rPr>
                <w:rFonts w:ascii="Times New Roman" w:hAnsi="Times New Roman"/>
                <w:sz w:val="24"/>
              </w:rPr>
              <w:t>”</w:t>
            </w:r>
            <w:r w:rsidRPr="00D51A68">
              <w:rPr>
                <w:rFonts w:ascii="Times New Roman" w:hAnsi="Times New Roman"/>
                <w:sz w:val="24"/>
              </w:rPr>
              <w:t xml:space="preserve"> in un precedente periodo di riferimento per le segnalazioni, se l</w:t>
            </w:r>
            <w:r w:rsidR="0009277C" w:rsidRPr="00D51A68">
              <w:rPr>
                <w:rFonts w:ascii="Times New Roman" w:hAnsi="Times New Roman"/>
                <w:sz w:val="24"/>
              </w:rPr>
              <w:t>’</w:t>
            </w:r>
            <w:r w:rsidRPr="00D51A68">
              <w:rPr>
                <w:rFonts w:ascii="Times New Roman" w:hAnsi="Times New Roman"/>
                <w:sz w:val="24"/>
              </w:rPr>
              <w:t>evento non era stato incluso in nessuna precedente segnalazione ai fini di vigilanza, per esempio perché è stato identificato come evento di rischio operativo solo nell</w:t>
            </w:r>
            <w:r w:rsidR="0009277C" w:rsidRPr="00D51A68">
              <w:rPr>
                <w:rFonts w:ascii="Times New Roman" w:hAnsi="Times New Roman"/>
                <w:sz w:val="24"/>
              </w:rPr>
              <w:t>’</w:t>
            </w:r>
            <w:r w:rsidRPr="00D51A68">
              <w:rPr>
                <w:rFonts w:ascii="Times New Roman" w:hAnsi="Times New Roman"/>
                <w:sz w:val="24"/>
              </w:rPr>
              <w:t>attuale periodo di riferimento per le segnalazioni o perché la perdita accumulata imputabile a tale evento (ossia la perdita originaria più/meno tutti gli adeguamenti per perdite effettuati nei precedenti periodi di riferimento per le segnalazioni) ha superato la soglia per la raccolta di dati interni soltanto nell</w:t>
            </w:r>
            <w:r w:rsidR="0009277C" w:rsidRPr="00D51A68">
              <w:rPr>
                <w:rFonts w:ascii="Times New Roman" w:hAnsi="Times New Roman"/>
                <w:sz w:val="24"/>
              </w:rPr>
              <w:t>’</w:t>
            </w:r>
            <w:r w:rsidRPr="00D51A68">
              <w:rPr>
                <w:rFonts w:ascii="Times New Roman" w:hAnsi="Times New Roman"/>
                <w:sz w:val="24"/>
              </w:rPr>
              <w:t>attuale periodo di riferimento per le segnalazioni.</w:t>
            </w:r>
          </w:p>
          <w:p w:rsidR="00FD54FC" w:rsidRPr="00D51A68" w:rsidRDefault="00FD54FC" w:rsidP="00FD54FC">
            <w:pPr>
              <w:rPr>
                <w:rStyle w:val="InstructionsTabelleberschrift"/>
                <w:rFonts w:ascii="Times New Roman" w:hAnsi="Times New Roman"/>
                <w:sz w:val="24"/>
              </w:rPr>
            </w:pPr>
            <w:r w:rsidRPr="00D51A68">
              <w:rPr>
                <w:rFonts w:ascii="Times New Roman" w:hAnsi="Times New Roman"/>
                <w:sz w:val="24"/>
              </w:rPr>
              <w:t xml:space="preserve">Gli </w:t>
            </w:r>
            <w:r w:rsidR="0009277C" w:rsidRPr="00D51A68">
              <w:rPr>
                <w:rFonts w:ascii="Times New Roman" w:hAnsi="Times New Roman"/>
                <w:sz w:val="24"/>
              </w:rPr>
              <w:t>“</w:t>
            </w:r>
            <w:r w:rsidRPr="00D51A68">
              <w:rPr>
                <w:rFonts w:ascii="Times New Roman" w:hAnsi="Times New Roman"/>
                <w:sz w:val="24"/>
              </w:rPr>
              <w:t>eventi nuovi</w:t>
            </w:r>
            <w:r w:rsidR="0009277C" w:rsidRPr="00D51A68">
              <w:rPr>
                <w:rFonts w:ascii="Times New Roman" w:hAnsi="Times New Roman"/>
                <w:sz w:val="24"/>
              </w:rPr>
              <w:t>”</w:t>
            </w:r>
            <w:r w:rsidRPr="00D51A68">
              <w:rPr>
                <w:rFonts w:ascii="Times New Roman" w:hAnsi="Times New Roman"/>
                <w:sz w:val="24"/>
              </w:rPr>
              <w:t xml:space="preserve"> non comprendono gli eventi di rischio operativo </w:t>
            </w:r>
            <w:r w:rsidR="0009277C" w:rsidRPr="00D51A68">
              <w:rPr>
                <w:rFonts w:ascii="Times New Roman" w:hAnsi="Times New Roman"/>
                <w:sz w:val="24"/>
              </w:rPr>
              <w:t>“</w:t>
            </w:r>
            <w:r w:rsidRPr="00D51A68">
              <w:rPr>
                <w:rFonts w:ascii="Times New Roman" w:hAnsi="Times New Roman"/>
                <w:sz w:val="24"/>
              </w:rPr>
              <w:t>contabilizzati per la prima volta</w:t>
            </w:r>
            <w:r w:rsidR="0009277C" w:rsidRPr="00D51A68">
              <w:rPr>
                <w:rFonts w:ascii="Times New Roman" w:hAnsi="Times New Roman"/>
                <w:sz w:val="24"/>
              </w:rPr>
              <w:t>”</w:t>
            </w:r>
            <w:r w:rsidRPr="00D51A68">
              <w:rPr>
                <w:rFonts w:ascii="Times New Roman" w:hAnsi="Times New Roman"/>
                <w:sz w:val="24"/>
              </w:rPr>
              <w:t xml:space="preserve"> in un precedente periodo di riferimento per le segnalazioni già inclusi in precedenti segnalazioni ai fini di vigilanza.</w:t>
            </w:r>
          </w:p>
        </w:tc>
      </w:tr>
      <w:tr w:rsidR="00FD54FC" w:rsidRPr="00D51A68" w:rsidTr="00672D2A">
        <w:tc>
          <w:tcPr>
            <w:tcW w:w="1101" w:type="dxa"/>
          </w:tcPr>
          <w:p w:rsidR="00FD54FC" w:rsidRPr="00D51A68" w:rsidRDefault="00C93FC2" w:rsidP="00FD54FC">
            <w:pPr>
              <w:rPr>
                <w:rFonts w:ascii="Times New Roman" w:hAnsi="Times New Roman"/>
                <w:bCs/>
                <w:sz w:val="24"/>
              </w:rPr>
            </w:pPr>
            <w:r w:rsidRPr="00D51A68">
              <w:rPr>
                <w:rFonts w:ascii="Times New Roman" w:hAnsi="Times New Roman"/>
                <w:sz w:val="24"/>
              </w:rPr>
              <w:t>0020, 0120, 0220, 0320, 0420, 0520, 0620, 0720, 0820</w:t>
            </w:r>
          </w:p>
        </w:tc>
        <w:tc>
          <w:tcPr>
            <w:tcW w:w="8079" w:type="dxa"/>
          </w:tcPr>
          <w:p w:rsidR="00FD54FC" w:rsidRPr="00D51A68" w:rsidRDefault="00FD54FC" w:rsidP="00FD54FC">
            <w:pPr>
              <w:rPr>
                <w:rStyle w:val="InstructionsTabelleberschrift"/>
                <w:rFonts w:ascii="Times New Roman" w:hAnsi="Times New Roman"/>
                <w:sz w:val="24"/>
              </w:rPr>
            </w:pPr>
            <w:r w:rsidRPr="00D51A68">
              <w:rPr>
                <w:rStyle w:val="InstructionsTabelleberschrift"/>
                <w:rFonts w:ascii="Times New Roman" w:hAnsi="Times New Roman"/>
                <w:sz w:val="24"/>
              </w:rPr>
              <w:t>Importo delle perdite lorde (eventi nuovi)</w:t>
            </w:r>
          </w:p>
          <w:p w:rsidR="00FD54FC" w:rsidRPr="00D51A68" w:rsidRDefault="00FD54FC" w:rsidP="00FD54FC">
            <w:pPr>
              <w:rPr>
                <w:rFonts w:ascii="Times New Roman" w:hAnsi="Times New Roman"/>
                <w:sz w:val="24"/>
              </w:rPr>
            </w:pPr>
            <w:r w:rsidRPr="00D51A68">
              <w:rPr>
                <w:rFonts w:ascii="Times New Roman" w:hAnsi="Times New Roman"/>
                <w:sz w:val="24"/>
              </w:rPr>
              <w:t>L</w:t>
            </w:r>
            <w:r w:rsidR="0009277C" w:rsidRPr="00D51A68">
              <w:rPr>
                <w:rFonts w:ascii="Times New Roman" w:hAnsi="Times New Roman"/>
                <w:sz w:val="24"/>
              </w:rPr>
              <w:t>’</w:t>
            </w:r>
            <w:r w:rsidRPr="00D51A68">
              <w:rPr>
                <w:rFonts w:ascii="Times New Roman" w:hAnsi="Times New Roman"/>
                <w:sz w:val="24"/>
              </w:rPr>
              <w:t>importo delle perdite lorde è l</w:t>
            </w:r>
            <w:r w:rsidR="0009277C" w:rsidRPr="00D51A68">
              <w:rPr>
                <w:rFonts w:ascii="Times New Roman" w:hAnsi="Times New Roman"/>
                <w:sz w:val="24"/>
              </w:rPr>
              <w:t>’</w:t>
            </w:r>
            <w:r w:rsidRPr="00D51A68">
              <w:rPr>
                <w:rFonts w:ascii="Times New Roman" w:hAnsi="Times New Roman"/>
                <w:sz w:val="24"/>
              </w:rPr>
              <w:t>importo delle perdite lorde riferito agli eventi di rischio operativo (ad esempio costi diretti, accantonamenti, regolamenti). Tutte le perdite connesse a un singolo evento che sono contabilizzate nel periodo di riferimento per le segnalazioni sono sommate e considerate come le perdite lorde per tale evento nel periodo di riferimento per le segnalazioni in questione.</w:t>
            </w:r>
          </w:p>
          <w:p w:rsidR="00FD54FC" w:rsidRPr="00D51A68" w:rsidRDefault="00FD54FC" w:rsidP="00FD54FC">
            <w:pPr>
              <w:rPr>
                <w:rFonts w:ascii="Times New Roman" w:hAnsi="Times New Roman"/>
                <w:sz w:val="24"/>
              </w:rPr>
            </w:pPr>
            <w:r w:rsidRPr="00D51A68">
              <w:rPr>
                <w:rFonts w:ascii="Times New Roman" w:hAnsi="Times New Roman"/>
                <w:sz w:val="24"/>
              </w:rPr>
              <w:t>L</w:t>
            </w:r>
            <w:r w:rsidR="0009277C" w:rsidRPr="00D51A68">
              <w:rPr>
                <w:rFonts w:ascii="Times New Roman" w:hAnsi="Times New Roman"/>
                <w:sz w:val="24"/>
              </w:rPr>
              <w:t>’</w:t>
            </w:r>
            <w:r w:rsidRPr="00D51A68">
              <w:rPr>
                <w:rFonts w:ascii="Times New Roman" w:hAnsi="Times New Roman"/>
                <w:sz w:val="24"/>
              </w:rPr>
              <w:t xml:space="preserve">importo delle perdite lorde segnalato si riferisce agli </w:t>
            </w:r>
            <w:r w:rsidR="0009277C" w:rsidRPr="00D51A68">
              <w:rPr>
                <w:rFonts w:ascii="Times New Roman" w:hAnsi="Times New Roman"/>
                <w:sz w:val="24"/>
              </w:rPr>
              <w:t>“</w:t>
            </w:r>
            <w:r w:rsidRPr="00D51A68">
              <w:rPr>
                <w:rFonts w:ascii="Times New Roman" w:hAnsi="Times New Roman"/>
                <w:sz w:val="24"/>
              </w:rPr>
              <w:t>eventi nuovi</w:t>
            </w:r>
            <w:r w:rsidR="0009277C" w:rsidRPr="00D51A68">
              <w:rPr>
                <w:rFonts w:ascii="Times New Roman" w:hAnsi="Times New Roman"/>
                <w:sz w:val="24"/>
              </w:rPr>
              <w:t>”</w:t>
            </w:r>
            <w:r w:rsidRPr="00D51A68">
              <w:rPr>
                <w:rFonts w:ascii="Times New Roman" w:hAnsi="Times New Roman"/>
                <w:sz w:val="24"/>
              </w:rPr>
              <w:t xml:space="preserve">, come definiti alla riga precedente. Per gli eventi </w:t>
            </w:r>
            <w:r w:rsidR="0009277C" w:rsidRPr="00D51A68">
              <w:rPr>
                <w:rFonts w:ascii="Times New Roman" w:hAnsi="Times New Roman"/>
                <w:sz w:val="24"/>
              </w:rPr>
              <w:t>“</w:t>
            </w:r>
            <w:r w:rsidRPr="00D51A68">
              <w:rPr>
                <w:rFonts w:ascii="Times New Roman" w:hAnsi="Times New Roman"/>
                <w:sz w:val="24"/>
              </w:rPr>
              <w:t>contabilizzati per la prima volta</w:t>
            </w:r>
            <w:r w:rsidR="0009277C" w:rsidRPr="00D51A68">
              <w:rPr>
                <w:rFonts w:ascii="Times New Roman" w:hAnsi="Times New Roman"/>
                <w:sz w:val="24"/>
              </w:rPr>
              <w:t>”</w:t>
            </w:r>
            <w:r w:rsidRPr="00D51A68">
              <w:rPr>
                <w:rFonts w:ascii="Times New Roman" w:hAnsi="Times New Roman"/>
                <w:sz w:val="24"/>
              </w:rPr>
              <w:t xml:space="preserve"> in un precedente periodo di riferimento per le segnalazioni non inclusi in nessuna precedente segnalazione ai fini di vigilanza, la perdita totale accumulata fino alla data di riferimento per le segnalazioni (ossia la perdita originaria più/meno tutti gli adeguamenti per perdite effettuati nei precedenti periodi di riferimento per le segnalazioni) è indicata come perdita lorda alla data di riferimento per le segnalazioni.</w:t>
            </w:r>
          </w:p>
          <w:p w:rsidR="00FD54FC" w:rsidRPr="00D51A68" w:rsidRDefault="00FD54FC" w:rsidP="00F52FC6">
            <w:pPr>
              <w:rPr>
                <w:rStyle w:val="InstructionsTabelleberschrift"/>
                <w:rFonts w:ascii="Times New Roman" w:hAnsi="Times New Roman"/>
                <w:sz w:val="24"/>
              </w:rPr>
            </w:pPr>
            <w:r w:rsidRPr="00D51A68">
              <w:rPr>
                <w:rFonts w:ascii="Times New Roman" w:hAnsi="Times New Roman"/>
                <w:sz w:val="24"/>
              </w:rPr>
              <w:t>Gli importi da segnalare non tengono conto dei recuperi ottenuti.</w:t>
            </w:r>
          </w:p>
        </w:tc>
      </w:tr>
      <w:tr w:rsidR="00FD54FC" w:rsidRPr="00D51A68" w:rsidTr="00672D2A">
        <w:tc>
          <w:tcPr>
            <w:tcW w:w="1101" w:type="dxa"/>
          </w:tcPr>
          <w:p w:rsidR="00FD54FC" w:rsidRPr="00D51A68" w:rsidRDefault="00C93FC2" w:rsidP="00FD54FC">
            <w:pPr>
              <w:rPr>
                <w:rFonts w:ascii="Times New Roman" w:hAnsi="Times New Roman"/>
                <w:bCs/>
                <w:sz w:val="24"/>
              </w:rPr>
            </w:pPr>
            <w:r w:rsidRPr="00D51A68">
              <w:rPr>
                <w:rFonts w:ascii="Times New Roman" w:hAnsi="Times New Roman"/>
                <w:sz w:val="24"/>
              </w:rPr>
              <w:t>0030, 0130, 0230, 0330, 0430, 0530, 0630, 0730, 0830</w:t>
            </w:r>
          </w:p>
        </w:tc>
        <w:tc>
          <w:tcPr>
            <w:tcW w:w="8079" w:type="dxa"/>
          </w:tcPr>
          <w:p w:rsidR="00FD54FC" w:rsidRPr="00D51A68" w:rsidRDefault="00FD54FC" w:rsidP="00FD54FC">
            <w:pPr>
              <w:rPr>
                <w:rStyle w:val="InstructionsTabelleberschrift"/>
                <w:rFonts w:ascii="Times New Roman" w:hAnsi="Times New Roman"/>
                <w:sz w:val="24"/>
              </w:rPr>
            </w:pPr>
            <w:r w:rsidRPr="00D51A68">
              <w:rPr>
                <w:rStyle w:val="InstructionsTabelleberschrift"/>
                <w:rFonts w:ascii="Times New Roman" w:hAnsi="Times New Roman"/>
                <w:sz w:val="24"/>
              </w:rPr>
              <w:t>Numero di eventi di perdita soggetti ad adeguamenti per perdite</w:t>
            </w:r>
          </w:p>
          <w:p w:rsidR="00FD54FC" w:rsidRPr="00D51A68" w:rsidRDefault="00FD54FC" w:rsidP="00FD54FC">
            <w:pPr>
              <w:rPr>
                <w:rFonts w:ascii="Times New Roman" w:hAnsi="Times New Roman"/>
                <w:sz w:val="24"/>
              </w:rPr>
            </w:pPr>
            <w:r w:rsidRPr="00D51A68">
              <w:rPr>
                <w:rFonts w:ascii="Times New Roman" w:hAnsi="Times New Roman"/>
                <w:sz w:val="24"/>
              </w:rPr>
              <w:t xml:space="preserve">Il numero degli eventi di perdita soggetti ad adeguamenti per perdite è il numero di eventi di rischio operativo </w:t>
            </w:r>
            <w:r w:rsidR="0009277C" w:rsidRPr="00D51A68">
              <w:rPr>
                <w:rFonts w:ascii="Times New Roman" w:hAnsi="Times New Roman"/>
                <w:sz w:val="24"/>
              </w:rPr>
              <w:t>“</w:t>
            </w:r>
            <w:r w:rsidRPr="00D51A68">
              <w:rPr>
                <w:rFonts w:ascii="Times New Roman" w:hAnsi="Times New Roman"/>
                <w:sz w:val="24"/>
              </w:rPr>
              <w:t>contabilizzati per la prima volta</w:t>
            </w:r>
            <w:r w:rsidR="0009277C" w:rsidRPr="00D51A68">
              <w:rPr>
                <w:rFonts w:ascii="Times New Roman" w:hAnsi="Times New Roman"/>
                <w:sz w:val="24"/>
              </w:rPr>
              <w:t>”</w:t>
            </w:r>
            <w:r w:rsidRPr="00D51A68">
              <w:rPr>
                <w:rFonts w:ascii="Times New Roman" w:hAnsi="Times New Roman"/>
                <w:sz w:val="24"/>
              </w:rPr>
              <w:t xml:space="preserve"> in precedenti periodi di riferimento per le segnalazioni e già inclusi nelle precedenti segnalazioni, in relazione ai quali sono stati effettuati adeguamenti per perdite nell</w:t>
            </w:r>
            <w:r w:rsidR="0009277C" w:rsidRPr="00D51A68">
              <w:rPr>
                <w:rFonts w:ascii="Times New Roman" w:hAnsi="Times New Roman"/>
                <w:sz w:val="24"/>
              </w:rPr>
              <w:t>’</w:t>
            </w:r>
            <w:r w:rsidRPr="00D51A68">
              <w:rPr>
                <w:rFonts w:ascii="Times New Roman" w:hAnsi="Times New Roman"/>
                <w:sz w:val="24"/>
              </w:rPr>
              <w:t xml:space="preserve">attuale periodo di riferimento per le segnalazioni. </w:t>
            </w:r>
          </w:p>
          <w:p w:rsidR="00FD54FC" w:rsidRPr="00D51A68" w:rsidRDefault="00FD54FC" w:rsidP="00FD54FC">
            <w:pPr>
              <w:rPr>
                <w:b/>
                <w:sz w:val="24"/>
              </w:rPr>
            </w:pPr>
            <w:r w:rsidRPr="00D51A68">
              <w:rPr>
                <w:rFonts w:ascii="Times New Roman" w:hAnsi="Times New Roman"/>
                <w:sz w:val="24"/>
              </w:rPr>
              <w:t>Se per un evento è stato effettuato più di un adeguamento per perdite nel periodo di riferimento per le segnalazioni, la somma di tali adeguamenti per perdite è considerata come un unico adeguamento nel periodo in questione.</w:t>
            </w:r>
          </w:p>
        </w:tc>
      </w:tr>
      <w:tr w:rsidR="00FD54FC" w:rsidRPr="00D51A68" w:rsidTr="00672D2A">
        <w:tc>
          <w:tcPr>
            <w:tcW w:w="1101" w:type="dxa"/>
          </w:tcPr>
          <w:p w:rsidR="00FD54FC" w:rsidRPr="00D51A68" w:rsidRDefault="00C93FC2" w:rsidP="00FD54FC">
            <w:pPr>
              <w:rPr>
                <w:rFonts w:ascii="Times New Roman" w:hAnsi="Times New Roman"/>
                <w:bCs/>
                <w:sz w:val="24"/>
              </w:rPr>
            </w:pPr>
            <w:r w:rsidRPr="00D51A68">
              <w:rPr>
                <w:rFonts w:ascii="Times New Roman" w:hAnsi="Times New Roman"/>
                <w:sz w:val="24"/>
              </w:rPr>
              <w:lastRenderedPageBreak/>
              <w:t>0040, 0140, 0240, 0340, 0440, 0540, 0640, 0740, 0840</w:t>
            </w:r>
          </w:p>
        </w:tc>
        <w:tc>
          <w:tcPr>
            <w:tcW w:w="8079" w:type="dxa"/>
          </w:tcPr>
          <w:p w:rsidR="00FD54FC" w:rsidRPr="00D51A68" w:rsidRDefault="00FD54FC" w:rsidP="00FD54FC">
            <w:pPr>
              <w:rPr>
                <w:rStyle w:val="InstructionsTabelleberschrift"/>
                <w:rFonts w:ascii="Times New Roman" w:hAnsi="Times New Roman"/>
                <w:sz w:val="24"/>
              </w:rPr>
            </w:pPr>
            <w:r w:rsidRPr="00D51A68">
              <w:rPr>
                <w:rStyle w:val="InstructionsTabelleberschrift"/>
                <w:rFonts w:ascii="Times New Roman" w:hAnsi="Times New Roman"/>
                <w:sz w:val="24"/>
              </w:rPr>
              <w:t>Adeguamenti per perdite relativi a precedenti periodi di riferimento</w:t>
            </w:r>
          </w:p>
          <w:p w:rsidR="00FD54FC" w:rsidRPr="00D51A68" w:rsidRDefault="00FD54FC" w:rsidP="00FD54FC">
            <w:pPr>
              <w:rPr>
                <w:rFonts w:ascii="Times New Roman" w:hAnsi="Times New Roman"/>
                <w:sz w:val="24"/>
              </w:rPr>
            </w:pPr>
            <w:r w:rsidRPr="00D51A68">
              <w:rPr>
                <w:rFonts w:ascii="Times New Roman" w:hAnsi="Times New Roman"/>
                <w:sz w:val="24"/>
              </w:rPr>
              <w:t>Gli adeguamenti per perdite relativi a precedenti periodi di riferimento sono pari alla somma dei seguenti elementi (positivi o negativi):</w:t>
            </w:r>
          </w:p>
          <w:p w:rsidR="00FD54FC" w:rsidRPr="00D51A68" w:rsidRDefault="00FD54FC" w:rsidP="00FD54FC">
            <w:pPr>
              <w:tabs>
                <w:tab w:val="left" w:pos="459"/>
              </w:tabs>
              <w:ind w:left="459" w:hanging="459"/>
              <w:rPr>
                <w:rFonts w:ascii="Times New Roman" w:hAnsi="Times New Roman"/>
                <w:sz w:val="24"/>
              </w:rPr>
            </w:pPr>
            <w:r w:rsidRPr="00D51A68">
              <w:rPr>
                <w:rFonts w:ascii="Times New Roman" w:hAnsi="Times New Roman"/>
                <w:sz w:val="24"/>
              </w:rPr>
              <w:t>i)</w:t>
            </w:r>
            <w:r w:rsidR="00A0772B" w:rsidRPr="00D51A68">
              <w:tab/>
            </w:r>
            <w:r w:rsidRPr="00D51A68">
              <w:rPr>
                <w:rFonts w:ascii="Times New Roman" w:hAnsi="Times New Roman"/>
                <w:sz w:val="24"/>
              </w:rPr>
              <w:t xml:space="preserve">gli importi delle perdite lorde riferiti agli adeguamenti positivi per perdite effettuati nel periodo di riferimento per le segnalazioni (ad esempio aumento degli accantonamenti, eventi di perdita collegati, ulteriori regolamenti) per eventi di rischio operativo </w:t>
            </w:r>
            <w:r w:rsidR="0009277C" w:rsidRPr="00D51A68">
              <w:rPr>
                <w:rFonts w:ascii="Times New Roman" w:hAnsi="Times New Roman"/>
                <w:sz w:val="24"/>
              </w:rPr>
              <w:t>“</w:t>
            </w:r>
            <w:r w:rsidRPr="00D51A68">
              <w:rPr>
                <w:rFonts w:ascii="Times New Roman" w:hAnsi="Times New Roman"/>
                <w:sz w:val="24"/>
              </w:rPr>
              <w:t>contabilizzati per la prima volta</w:t>
            </w:r>
            <w:r w:rsidR="0009277C" w:rsidRPr="00D51A68">
              <w:rPr>
                <w:rFonts w:ascii="Times New Roman" w:hAnsi="Times New Roman"/>
                <w:sz w:val="24"/>
              </w:rPr>
              <w:t>”</w:t>
            </w:r>
            <w:r w:rsidRPr="00D51A68">
              <w:rPr>
                <w:rFonts w:ascii="Times New Roman" w:hAnsi="Times New Roman"/>
                <w:sz w:val="24"/>
              </w:rPr>
              <w:t xml:space="preserve"> e segnalati in precedenti periodi di riferimento per le segnalazioni;</w:t>
            </w:r>
          </w:p>
          <w:p w:rsidR="00FD54FC" w:rsidRPr="00D51A68" w:rsidRDefault="00FD54FC" w:rsidP="00FD54FC">
            <w:pPr>
              <w:tabs>
                <w:tab w:val="left" w:pos="459"/>
              </w:tabs>
              <w:ind w:left="459" w:hanging="459"/>
              <w:rPr>
                <w:rFonts w:ascii="Times New Roman" w:hAnsi="Times New Roman"/>
                <w:sz w:val="24"/>
              </w:rPr>
            </w:pPr>
            <w:r w:rsidRPr="00D51A68">
              <w:rPr>
                <w:rFonts w:ascii="Times New Roman" w:hAnsi="Times New Roman"/>
                <w:sz w:val="24"/>
              </w:rPr>
              <w:t>ii)</w:t>
            </w:r>
            <w:r w:rsidR="00A0772B" w:rsidRPr="00D51A68">
              <w:tab/>
            </w:r>
            <w:r w:rsidRPr="00D51A68">
              <w:rPr>
                <w:rFonts w:ascii="Times New Roman" w:hAnsi="Times New Roman"/>
                <w:sz w:val="24"/>
              </w:rPr>
              <w:t xml:space="preserve">gli importi delle perdite lorde riferiti agli adeguamenti negativi per perdite effettuati nel periodo di riferimento per le segnalazioni (ad esempio dovuti alla diminuzione degli accantonamenti) per eventi di rischio operativo </w:t>
            </w:r>
            <w:r w:rsidR="0009277C" w:rsidRPr="00D51A68">
              <w:rPr>
                <w:rFonts w:ascii="Times New Roman" w:hAnsi="Times New Roman"/>
                <w:sz w:val="24"/>
              </w:rPr>
              <w:t>“</w:t>
            </w:r>
            <w:r w:rsidRPr="00D51A68">
              <w:rPr>
                <w:rFonts w:ascii="Times New Roman" w:hAnsi="Times New Roman"/>
                <w:sz w:val="24"/>
              </w:rPr>
              <w:t>contabilizzati per la prima volta</w:t>
            </w:r>
            <w:r w:rsidR="0009277C" w:rsidRPr="00D51A68">
              <w:rPr>
                <w:rFonts w:ascii="Times New Roman" w:hAnsi="Times New Roman"/>
                <w:sz w:val="24"/>
              </w:rPr>
              <w:t>”</w:t>
            </w:r>
            <w:r w:rsidRPr="00D51A68">
              <w:rPr>
                <w:rFonts w:ascii="Times New Roman" w:hAnsi="Times New Roman"/>
                <w:sz w:val="24"/>
              </w:rPr>
              <w:t xml:space="preserve"> e segnalati in precedenti periodi di riferimento per le segnalazioni. </w:t>
            </w:r>
          </w:p>
          <w:p w:rsidR="00FD54FC" w:rsidRPr="00D51A68" w:rsidRDefault="00FD54FC" w:rsidP="00FD54FC">
            <w:pPr>
              <w:rPr>
                <w:rFonts w:ascii="Times New Roman" w:hAnsi="Times New Roman"/>
                <w:sz w:val="24"/>
              </w:rPr>
            </w:pPr>
            <w:r w:rsidRPr="00D51A68">
              <w:rPr>
                <w:rFonts w:ascii="Times New Roman" w:hAnsi="Times New Roman"/>
                <w:sz w:val="24"/>
              </w:rPr>
              <w:t>Se per un evento è stato effettuato più di un adeguamento per perdite nel periodo di riferimento per le segnalazioni, sono sommati tutti gli importi di tali adeguamenti per perdite, tenendo conto del segno (positivo o negativo) degli adeguamenti stessi. Questa somma è considerata come l</w:t>
            </w:r>
            <w:r w:rsidR="0009277C" w:rsidRPr="00D51A68">
              <w:rPr>
                <w:rFonts w:ascii="Times New Roman" w:hAnsi="Times New Roman"/>
                <w:sz w:val="24"/>
              </w:rPr>
              <w:t>’</w:t>
            </w:r>
            <w:r w:rsidRPr="00D51A68">
              <w:rPr>
                <w:rFonts w:ascii="Times New Roman" w:hAnsi="Times New Roman"/>
                <w:sz w:val="24"/>
              </w:rPr>
              <w:t>adeguamento per perdite per tale evento nel periodo di riferimento per le segnalazioni in questione.</w:t>
            </w:r>
          </w:p>
          <w:p w:rsidR="00FD54FC" w:rsidRPr="00D51A68" w:rsidRDefault="00FD54FC" w:rsidP="00FD54FC">
            <w:pPr>
              <w:rPr>
                <w:rFonts w:ascii="Times New Roman" w:hAnsi="Times New Roman"/>
                <w:sz w:val="24"/>
              </w:rPr>
            </w:pPr>
            <w:r w:rsidRPr="00D51A68">
              <w:rPr>
                <w:rFonts w:ascii="Times New Roman" w:hAnsi="Times New Roman"/>
                <w:sz w:val="24"/>
              </w:rPr>
              <w:t>Se, a causa di un adeguamento per perdite negativo, l</w:t>
            </w:r>
            <w:r w:rsidR="0009277C" w:rsidRPr="00D51A68">
              <w:rPr>
                <w:rFonts w:ascii="Times New Roman" w:hAnsi="Times New Roman"/>
                <w:sz w:val="24"/>
              </w:rPr>
              <w:t>’</w:t>
            </w:r>
            <w:r w:rsidRPr="00D51A68">
              <w:rPr>
                <w:rFonts w:ascii="Times New Roman" w:hAnsi="Times New Roman"/>
                <w:sz w:val="24"/>
              </w:rPr>
              <w:t>importo delle perdite adeguato imputabile a un evento scende al di sotto della soglia per la raccolta di dati interni dell</w:t>
            </w:r>
            <w:r w:rsidR="0009277C" w:rsidRPr="00D51A68">
              <w:rPr>
                <w:rFonts w:ascii="Times New Roman" w:hAnsi="Times New Roman"/>
                <w:sz w:val="24"/>
              </w:rPr>
              <w:t>’</w:t>
            </w:r>
            <w:r w:rsidRPr="00D51A68">
              <w:rPr>
                <w:rFonts w:ascii="Times New Roman" w:hAnsi="Times New Roman"/>
                <w:sz w:val="24"/>
              </w:rPr>
              <w:t>ente, l</w:t>
            </w:r>
            <w:r w:rsidR="0009277C" w:rsidRPr="00D51A68">
              <w:rPr>
                <w:rFonts w:ascii="Times New Roman" w:hAnsi="Times New Roman"/>
                <w:sz w:val="24"/>
              </w:rPr>
              <w:t>’</w:t>
            </w:r>
            <w:r w:rsidRPr="00D51A68">
              <w:rPr>
                <w:rFonts w:ascii="Times New Roman" w:hAnsi="Times New Roman"/>
                <w:sz w:val="24"/>
              </w:rPr>
              <w:t>ente segnala l</w:t>
            </w:r>
            <w:r w:rsidR="0009277C" w:rsidRPr="00D51A68">
              <w:rPr>
                <w:rFonts w:ascii="Times New Roman" w:hAnsi="Times New Roman"/>
                <w:sz w:val="24"/>
              </w:rPr>
              <w:t>’</w:t>
            </w:r>
            <w:r w:rsidRPr="00D51A68">
              <w:rPr>
                <w:rFonts w:ascii="Times New Roman" w:hAnsi="Times New Roman"/>
                <w:sz w:val="24"/>
              </w:rPr>
              <w:t>importo complessivo delle perdite per tale evento accumulate fino all</w:t>
            </w:r>
            <w:r w:rsidR="0009277C" w:rsidRPr="00D51A68">
              <w:rPr>
                <w:rFonts w:ascii="Times New Roman" w:hAnsi="Times New Roman"/>
                <w:sz w:val="24"/>
              </w:rPr>
              <w:t>’</w:t>
            </w:r>
            <w:r w:rsidRPr="00D51A68">
              <w:rPr>
                <w:rFonts w:ascii="Times New Roman" w:hAnsi="Times New Roman"/>
                <w:sz w:val="24"/>
              </w:rPr>
              <w:t>ultima volta in cui l</w:t>
            </w:r>
            <w:r w:rsidR="0009277C" w:rsidRPr="00D51A68">
              <w:rPr>
                <w:rFonts w:ascii="Times New Roman" w:hAnsi="Times New Roman"/>
                <w:sz w:val="24"/>
              </w:rPr>
              <w:t>’</w:t>
            </w:r>
            <w:r w:rsidRPr="00D51A68">
              <w:rPr>
                <w:rFonts w:ascii="Times New Roman" w:hAnsi="Times New Roman"/>
                <w:sz w:val="24"/>
              </w:rPr>
              <w:t>evento è stato segnalato ad una data di riferimento di dicembre (ossia la perdita originaria più/meno tutti gli adeguamenti per perdite effettuati nei precedenti periodi di riferimento per le segnalazioni) con un segno negativo anziché l</w:t>
            </w:r>
            <w:r w:rsidR="0009277C" w:rsidRPr="00D51A68">
              <w:rPr>
                <w:rFonts w:ascii="Times New Roman" w:hAnsi="Times New Roman"/>
                <w:sz w:val="24"/>
              </w:rPr>
              <w:t>’</w:t>
            </w:r>
            <w:r w:rsidRPr="00D51A68">
              <w:rPr>
                <w:rFonts w:ascii="Times New Roman" w:hAnsi="Times New Roman"/>
                <w:sz w:val="24"/>
              </w:rPr>
              <w:t>importo dell</w:t>
            </w:r>
            <w:r w:rsidR="0009277C" w:rsidRPr="00D51A68">
              <w:rPr>
                <w:rFonts w:ascii="Times New Roman" w:hAnsi="Times New Roman"/>
                <w:sz w:val="24"/>
              </w:rPr>
              <w:t>’</w:t>
            </w:r>
            <w:r w:rsidRPr="00D51A68">
              <w:rPr>
                <w:rFonts w:ascii="Times New Roman" w:hAnsi="Times New Roman"/>
                <w:sz w:val="24"/>
              </w:rPr>
              <w:t>adeguamento per perdite negativo stesso.</w:t>
            </w:r>
          </w:p>
          <w:p w:rsidR="00FD54FC" w:rsidRPr="00D51A68" w:rsidRDefault="00FD54FC" w:rsidP="00EB62C2">
            <w:pPr>
              <w:rPr>
                <w:b/>
                <w:sz w:val="24"/>
              </w:rPr>
            </w:pPr>
            <w:r w:rsidRPr="00D51A68">
              <w:rPr>
                <w:rFonts w:ascii="Times New Roman" w:hAnsi="Times New Roman"/>
                <w:sz w:val="24"/>
              </w:rPr>
              <w:t>Gli importi da segnalare non tengono conto dei recuperi ottenuti.</w:t>
            </w:r>
          </w:p>
        </w:tc>
      </w:tr>
      <w:tr w:rsidR="00FD54FC" w:rsidRPr="00D51A68" w:rsidTr="00672D2A">
        <w:tc>
          <w:tcPr>
            <w:tcW w:w="1101" w:type="dxa"/>
          </w:tcPr>
          <w:p w:rsidR="00FD54FC" w:rsidRPr="00D51A68" w:rsidRDefault="00C93FC2" w:rsidP="00FD54FC">
            <w:pPr>
              <w:rPr>
                <w:rFonts w:ascii="Times New Roman" w:hAnsi="Times New Roman"/>
                <w:bCs/>
                <w:sz w:val="24"/>
              </w:rPr>
            </w:pPr>
            <w:r w:rsidRPr="00D51A68">
              <w:rPr>
                <w:rFonts w:ascii="Times New Roman" w:hAnsi="Times New Roman"/>
                <w:sz w:val="24"/>
              </w:rPr>
              <w:t>0050, 0150, 0250, 0350, 0450, 0550, 0650, 0750, 0850</w:t>
            </w:r>
          </w:p>
        </w:tc>
        <w:tc>
          <w:tcPr>
            <w:tcW w:w="8079" w:type="dxa"/>
          </w:tcPr>
          <w:p w:rsidR="00FD54FC" w:rsidRPr="00D51A68" w:rsidRDefault="00FD54FC" w:rsidP="00FD54FC">
            <w:pPr>
              <w:rPr>
                <w:rStyle w:val="InstructionsTabelleberschrift"/>
                <w:rFonts w:ascii="Times New Roman" w:hAnsi="Times New Roman"/>
                <w:sz w:val="24"/>
              </w:rPr>
            </w:pPr>
            <w:r w:rsidRPr="00D51A68">
              <w:rPr>
                <w:rStyle w:val="InstructionsTabelleberschrift"/>
                <w:rFonts w:ascii="Times New Roman" w:hAnsi="Times New Roman"/>
                <w:sz w:val="24"/>
              </w:rPr>
              <w:t>Perdita singola massima</w:t>
            </w:r>
          </w:p>
          <w:p w:rsidR="00FD54FC" w:rsidRPr="00D51A68" w:rsidRDefault="00FD54FC" w:rsidP="00FD54FC">
            <w:pPr>
              <w:rPr>
                <w:rFonts w:ascii="Times New Roman" w:hAnsi="Times New Roman"/>
                <w:sz w:val="24"/>
              </w:rPr>
            </w:pPr>
            <w:r w:rsidRPr="00D51A68">
              <w:rPr>
                <w:rFonts w:ascii="Times New Roman" w:hAnsi="Times New Roman"/>
                <w:sz w:val="24"/>
              </w:rPr>
              <w:t>La perdita singola massima è l</w:t>
            </w:r>
            <w:r w:rsidR="0009277C" w:rsidRPr="00D51A68">
              <w:rPr>
                <w:rFonts w:ascii="Times New Roman" w:hAnsi="Times New Roman"/>
                <w:sz w:val="24"/>
              </w:rPr>
              <w:t>’</w:t>
            </w:r>
            <w:r w:rsidRPr="00D51A68">
              <w:rPr>
                <w:rFonts w:ascii="Times New Roman" w:hAnsi="Times New Roman"/>
                <w:sz w:val="24"/>
              </w:rPr>
              <w:t>importo singolo maggiore tra:</w:t>
            </w:r>
          </w:p>
          <w:p w:rsidR="00FD54FC" w:rsidRPr="00D51A68" w:rsidRDefault="00FD54FC" w:rsidP="00FD54FC">
            <w:pPr>
              <w:tabs>
                <w:tab w:val="left" w:pos="459"/>
              </w:tabs>
              <w:ind w:left="459" w:hanging="459"/>
              <w:rPr>
                <w:rFonts w:ascii="Times New Roman" w:hAnsi="Times New Roman"/>
                <w:sz w:val="24"/>
              </w:rPr>
            </w:pPr>
            <w:r w:rsidRPr="00D51A68">
              <w:rPr>
                <w:rFonts w:ascii="Times New Roman" w:hAnsi="Times New Roman"/>
                <w:sz w:val="24"/>
              </w:rPr>
              <w:t>i)</w:t>
            </w:r>
            <w:r w:rsidR="00A0772B" w:rsidRPr="00D51A68">
              <w:tab/>
            </w:r>
            <w:r w:rsidRPr="00D51A68">
              <w:rPr>
                <w:rFonts w:ascii="Times New Roman" w:hAnsi="Times New Roman"/>
                <w:sz w:val="24"/>
              </w:rPr>
              <w:t>l</w:t>
            </w:r>
            <w:r w:rsidR="0009277C" w:rsidRPr="00D51A68">
              <w:rPr>
                <w:rFonts w:ascii="Times New Roman" w:hAnsi="Times New Roman"/>
                <w:sz w:val="24"/>
              </w:rPr>
              <w:t>’</w:t>
            </w:r>
            <w:r w:rsidRPr="00D51A68">
              <w:rPr>
                <w:rFonts w:ascii="Times New Roman" w:hAnsi="Times New Roman"/>
                <w:sz w:val="24"/>
              </w:rPr>
              <w:t>importo maggiore delle perdite lorde relativo a un evento segnalato per la prima volta nel periodo di riferimento per le segnalazioni e</w:t>
            </w:r>
          </w:p>
          <w:p w:rsidR="00FD54FC" w:rsidRPr="00D51A68" w:rsidRDefault="00FD54FC" w:rsidP="00FD54FC">
            <w:pPr>
              <w:tabs>
                <w:tab w:val="left" w:pos="459"/>
              </w:tabs>
              <w:ind w:left="459" w:hanging="459"/>
              <w:rPr>
                <w:rFonts w:ascii="Times New Roman" w:hAnsi="Times New Roman"/>
                <w:sz w:val="24"/>
              </w:rPr>
            </w:pPr>
            <w:r w:rsidRPr="00D51A68">
              <w:rPr>
                <w:rFonts w:ascii="Times New Roman" w:hAnsi="Times New Roman"/>
                <w:sz w:val="24"/>
              </w:rPr>
              <w:t>ii)</w:t>
            </w:r>
            <w:r w:rsidR="00A0772B" w:rsidRPr="00D51A68">
              <w:tab/>
            </w:r>
            <w:r w:rsidRPr="00D51A68">
              <w:rPr>
                <w:rFonts w:ascii="Times New Roman" w:hAnsi="Times New Roman"/>
                <w:sz w:val="24"/>
              </w:rPr>
              <w:t>l</w:t>
            </w:r>
            <w:r w:rsidR="0009277C" w:rsidRPr="00D51A68">
              <w:rPr>
                <w:rFonts w:ascii="Times New Roman" w:hAnsi="Times New Roman"/>
                <w:sz w:val="24"/>
              </w:rPr>
              <w:t>’</w:t>
            </w:r>
            <w:r w:rsidRPr="00D51A68">
              <w:rPr>
                <w:rFonts w:ascii="Times New Roman" w:hAnsi="Times New Roman"/>
                <w:sz w:val="24"/>
              </w:rPr>
              <w:t>importo positivo maggiore degli adeguamenti per perdite (come definito sopra) relativo a un evento segnalato per la prima volta in un precedente periodo di riferimento per le segnalazioni.</w:t>
            </w:r>
          </w:p>
          <w:p w:rsidR="00FD54FC" w:rsidRPr="00D51A68" w:rsidRDefault="00FD54FC" w:rsidP="00F52FC6">
            <w:pPr>
              <w:rPr>
                <w:sz w:val="24"/>
              </w:rPr>
            </w:pPr>
            <w:r w:rsidRPr="00D51A68">
              <w:rPr>
                <w:rFonts w:ascii="Times New Roman" w:hAnsi="Times New Roman"/>
                <w:sz w:val="24"/>
              </w:rPr>
              <w:t>Gli importi da segnalare non tengono conto dei recuperi ottenuti.</w:t>
            </w:r>
          </w:p>
        </w:tc>
      </w:tr>
      <w:tr w:rsidR="00FD54FC" w:rsidRPr="00D51A68" w:rsidTr="00672D2A">
        <w:tc>
          <w:tcPr>
            <w:tcW w:w="1101" w:type="dxa"/>
          </w:tcPr>
          <w:p w:rsidR="00FD54FC" w:rsidRPr="00D51A68" w:rsidRDefault="00C93FC2" w:rsidP="00FD54FC">
            <w:pPr>
              <w:rPr>
                <w:rFonts w:ascii="Times New Roman" w:hAnsi="Times New Roman"/>
                <w:bCs/>
                <w:sz w:val="24"/>
              </w:rPr>
            </w:pPr>
            <w:r w:rsidRPr="00D51A68">
              <w:rPr>
                <w:rFonts w:ascii="Times New Roman" w:hAnsi="Times New Roman"/>
                <w:sz w:val="24"/>
              </w:rPr>
              <w:t xml:space="preserve">0060, 0160, 0260, 0360, 0460, 0560, 0660, 0760, </w:t>
            </w:r>
            <w:r w:rsidRPr="00D51A68">
              <w:rPr>
                <w:rFonts w:ascii="Times New Roman" w:hAnsi="Times New Roman"/>
                <w:sz w:val="24"/>
              </w:rPr>
              <w:lastRenderedPageBreak/>
              <w:t>0860</w:t>
            </w:r>
          </w:p>
        </w:tc>
        <w:tc>
          <w:tcPr>
            <w:tcW w:w="8079" w:type="dxa"/>
          </w:tcPr>
          <w:p w:rsidR="00FD54FC" w:rsidRPr="00D51A68" w:rsidRDefault="00FD54FC" w:rsidP="00FD54FC">
            <w:pPr>
              <w:rPr>
                <w:rStyle w:val="InstructionsTabelleberschrift"/>
                <w:rFonts w:ascii="Times New Roman" w:hAnsi="Times New Roman"/>
                <w:sz w:val="24"/>
              </w:rPr>
            </w:pPr>
            <w:r w:rsidRPr="00D51A68">
              <w:rPr>
                <w:rStyle w:val="InstructionsTabelleberschrift"/>
                <w:rFonts w:ascii="Times New Roman" w:hAnsi="Times New Roman"/>
                <w:sz w:val="24"/>
              </w:rPr>
              <w:lastRenderedPageBreak/>
              <w:t>Somma delle cinque maggiori perdite</w:t>
            </w:r>
          </w:p>
          <w:p w:rsidR="00FD54FC" w:rsidRPr="00D51A68" w:rsidRDefault="00FD54FC" w:rsidP="00FD54FC">
            <w:pPr>
              <w:rPr>
                <w:rFonts w:ascii="Times New Roman" w:hAnsi="Times New Roman"/>
                <w:sz w:val="24"/>
              </w:rPr>
            </w:pPr>
            <w:r w:rsidRPr="00D51A68">
              <w:rPr>
                <w:rFonts w:ascii="Times New Roman" w:hAnsi="Times New Roman"/>
                <w:sz w:val="24"/>
              </w:rPr>
              <w:t>La somma delle cinque maggiori perdite è la somma dei cinque maggiori importi tra</w:t>
            </w:r>
          </w:p>
          <w:p w:rsidR="00FD54FC" w:rsidRPr="00D51A68" w:rsidRDefault="00FD54FC" w:rsidP="00FD54FC">
            <w:pPr>
              <w:tabs>
                <w:tab w:val="left" w:pos="459"/>
              </w:tabs>
              <w:ind w:left="459" w:hanging="459"/>
              <w:rPr>
                <w:rFonts w:ascii="Times New Roman" w:hAnsi="Times New Roman"/>
                <w:sz w:val="24"/>
              </w:rPr>
            </w:pPr>
            <w:r w:rsidRPr="00D51A68">
              <w:rPr>
                <w:rFonts w:ascii="Times New Roman" w:hAnsi="Times New Roman"/>
                <w:sz w:val="24"/>
              </w:rPr>
              <w:t>i)</w:t>
            </w:r>
            <w:r w:rsidR="00A0772B" w:rsidRPr="00D51A68">
              <w:tab/>
            </w:r>
            <w:r w:rsidRPr="00D51A68">
              <w:rPr>
                <w:rFonts w:ascii="Times New Roman" w:hAnsi="Times New Roman"/>
                <w:sz w:val="24"/>
              </w:rPr>
              <w:t>gli importi delle perdite lorde per eventi segnalati per la prima volta nel periodo di riferimento per le segnalazioni e</w:t>
            </w:r>
          </w:p>
          <w:p w:rsidR="00FD54FC" w:rsidRPr="00D51A68" w:rsidRDefault="00FD54FC" w:rsidP="00FD54FC">
            <w:pPr>
              <w:tabs>
                <w:tab w:val="left" w:pos="459"/>
              </w:tabs>
              <w:ind w:left="459" w:hanging="459"/>
              <w:rPr>
                <w:rFonts w:ascii="Times New Roman" w:hAnsi="Times New Roman"/>
                <w:sz w:val="24"/>
              </w:rPr>
            </w:pPr>
            <w:r w:rsidRPr="00D51A68">
              <w:rPr>
                <w:rFonts w:ascii="Times New Roman" w:hAnsi="Times New Roman"/>
                <w:sz w:val="24"/>
              </w:rPr>
              <w:t>ii)</w:t>
            </w:r>
            <w:r w:rsidR="00A0772B" w:rsidRPr="00D51A68">
              <w:tab/>
            </w:r>
            <w:r w:rsidRPr="00D51A68">
              <w:rPr>
                <w:rFonts w:ascii="Times New Roman" w:hAnsi="Times New Roman"/>
                <w:sz w:val="24"/>
              </w:rPr>
              <w:t xml:space="preserve">gli importi positivi degli adeguamenti per perdite (come definiti per le precedenti righe 040, 140, …, 840) relativi ad eventi segnalati per la prima </w:t>
            </w:r>
            <w:r w:rsidRPr="00D51A68">
              <w:rPr>
                <w:rFonts w:ascii="Times New Roman" w:hAnsi="Times New Roman"/>
                <w:sz w:val="24"/>
              </w:rPr>
              <w:lastRenderedPageBreak/>
              <w:t>volta in un precedente periodo di riferimento per le segnalazioni. L</w:t>
            </w:r>
            <w:r w:rsidR="0009277C" w:rsidRPr="00D51A68">
              <w:rPr>
                <w:rFonts w:ascii="Times New Roman" w:hAnsi="Times New Roman"/>
                <w:sz w:val="24"/>
              </w:rPr>
              <w:t>’</w:t>
            </w:r>
            <w:r w:rsidRPr="00D51A68">
              <w:rPr>
                <w:rFonts w:ascii="Times New Roman" w:hAnsi="Times New Roman"/>
                <w:sz w:val="24"/>
              </w:rPr>
              <w:t>importo che può configurarsi come uno dei cinque maggiori è l</w:t>
            </w:r>
            <w:r w:rsidR="0009277C" w:rsidRPr="00D51A68">
              <w:rPr>
                <w:rFonts w:ascii="Times New Roman" w:hAnsi="Times New Roman"/>
                <w:sz w:val="24"/>
              </w:rPr>
              <w:t>’</w:t>
            </w:r>
            <w:r w:rsidRPr="00D51A68">
              <w:rPr>
                <w:rFonts w:ascii="Times New Roman" w:hAnsi="Times New Roman"/>
                <w:sz w:val="24"/>
              </w:rPr>
              <w:t>importo dell</w:t>
            </w:r>
            <w:r w:rsidR="0009277C" w:rsidRPr="00D51A68">
              <w:rPr>
                <w:rFonts w:ascii="Times New Roman" w:hAnsi="Times New Roman"/>
                <w:sz w:val="24"/>
              </w:rPr>
              <w:t>’</w:t>
            </w:r>
            <w:r w:rsidRPr="00D51A68">
              <w:rPr>
                <w:rFonts w:ascii="Times New Roman" w:hAnsi="Times New Roman"/>
                <w:sz w:val="24"/>
              </w:rPr>
              <w:t>adeguamento per perdite stesso, non la perdita totale associata al rispettivo evento prima o dopo l</w:t>
            </w:r>
            <w:r w:rsidR="0009277C" w:rsidRPr="00D51A68">
              <w:rPr>
                <w:rFonts w:ascii="Times New Roman" w:hAnsi="Times New Roman"/>
                <w:sz w:val="24"/>
              </w:rPr>
              <w:t>’</w:t>
            </w:r>
            <w:r w:rsidRPr="00D51A68">
              <w:rPr>
                <w:rFonts w:ascii="Times New Roman" w:hAnsi="Times New Roman"/>
                <w:sz w:val="24"/>
              </w:rPr>
              <w:t>adeguamento per perdite.</w:t>
            </w:r>
          </w:p>
          <w:p w:rsidR="00FD54FC" w:rsidRPr="00D51A68" w:rsidRDefault="00FD54FC" w:rsidP="00F52FC6">
            <w:pPr>
              <w:rPr>
                <w:sz w:val="24"/>
              </w:rPr>
            </w:pPr>
            <w:r w:rsidRPr="00D51A68">
              <w:rPr>
                <w:rFonts w:ascii="Times New Roman" w:hAnsi="Times New Roman"/>
                <w:sz w:val="24"/>
              </w:rPr>
              <w:t>Gli importi da segnalare non tengono conto dei recuperi ottenuti.</w:t>
            </w:r>
          </w:p>
        </w:tc>
      </w:tr>
      <w:tr w:rsidR="00FD54FC" w:rsidRPr="00D51A68" w:rsidTr="00672D2A">
        <w:tc>
          <w:tcPr>
            <w:tcW w:w="1101" w:type="dxa"/>
          </w:tcPr>
          <w:p w:rsidR="00FD54FC" w:rsidRPr="00D51A68" w:rsidRDefault="00C93FC2" w:rsidP="00FD54FC">
            <w:pPr>
              <w:rPr>
                <w:rFonts w:ascii="Times New Roman" w:hAnsi="Times New Roman"/>
                <w:bCs/>
                <w:sz w:val="24"/>
              </w:rPr>
            </w:pPr>
            <w:r w:rsidRPr="00D51A68">
              <w:rPr>
                <w:rFonts w:ascii="Times New Roman" w:hAnsi="Times New Roman"/>
                <w:sz w:val="24"/>
              </w:rPr>
              <w:lastRenderedPageBreak/>
              <w:t>0070, 0170, 0270, 0370, 0470, 0570, 0670, 0770, 0870</w:t>
            </w:r>
          </w:p>
        </w:tc>
        <w:tc>
          <w:tcPr>
            <w:tcW w:w="8079" w:type="dxa"/>
          </w:tcPr>
          <w:p w:rsidR="00FD54FC" w:rsidRPr="00D51A68" w:rsidRDefault="00B34B0B" w:rsidP="00FD54FC">
            <w:pPr>
              <w:rPr>
                <w:sz w:val="24"/>
              </w:rPr>
            </w:pPr>
            <w:r w:rsidRPr="00D51A68">
              <w:rPr>
                <w:rStyle w:val="InstructionsTabelleberschrift"/>
                <w:rFonts w:ascii="Times New Roman" w:hAnsi="Times New Roman"/>
                <w:sz w:val="24"/>
              </w:rPr>
              <w:t>Importo complessivo dei recuperi diretti</w:t>
            </w:r>
          </w:p>
          <w:p w:rsidR="00FD54FC" w:rsidRPr="00D51A68" w:rsidRDefault="00FD54FC" w:rsidP="00FD54FC">
            <w:pPr>
              <w:rPr>
                <w:rFonts w:ascii="Times New Roman" w:hAnsi="Times New Roman"/>
                <w:sz w:val="24"/>
              </w:rPr>
            </w:pPr>
            <w:r w:rsidRPr="00D51A68">
              <w:rPr>
                <w:rFonts w:ascii="Times New Roman" w:hAnsi="Times New Roman"/>
                <w:sz w:val="24"/>
              </w:rPr>
              <w:t>I recuperi diretti sono tutti i recuperi ottenuti, ad eccezione di quelli soggetti all</w:t>
            </w:r>
            <w:r w:rsidR="0009277C" w:rsidRPr="00D51A68">
              <w:rPr>
                <w:rFonts w:ascii="Times New Roman" w:hAnsi="Times New Roman"/>
                <w:sz w:val="24"/>
              </w:rPr>
              <w:t>’</w:t>
            </w:r>
            <w:r w:rsidRPr="00D51A68">
              <w:rPr>
                <w:rFonts w:ascii="Times New Roman" w:hAnsi="Times New Roman"/>
                <w:sz w:val="24"/>
              </w:rPr>
              <w:t xml:space="preserve">articolo 323 del CRR segnalati alla riga successiva. </w:t>
            </w:r>
          </w:p>
          <w:p w:rsidR="00FD54FC" w:rsidRPr="00D51A68" w:rsidRDefault="00FD54FC" w:rsidP="00FD54FC">
            <w:pPr>
              <w:rPr>
                <w:b/>
                <w:sz w:val="24"/>
              </w:rPr>
            </w:pPr>
            <w:r w:rsidRPr="00D51A68">
              <w:rPr>
                <w:rFonts w:ascii="Times New Roman" w:hAnsi="Times New Roman"/>
                <w:sz w:val="24"/>
              </w:rPr>
              <w:t>L</w:t>
            </w:r>
            <w:r w:rsidR="0009277C" w:rsidRPr="00D51A68">
              <w:rPr>
                <w:rFonts w:ascii="Times New Roman" w:hAnsi="Times New Roman"/>
                <w:sz w:val="24"/>
              </w:rPr>
              <w:t>’</w:t>
            </w:r>
            <w:r w:rsidRPr="00D51A68">
              <w:rPr>
                <w:rFonts w:ascii="Times New Roman" w:hAnsi="Times New Roman"/>
                <w:sz w:val="24"/>
              </w:rPr>
              <w:t>importo complessivo dei recuperi diretti è la somma di tutti i recuperi diretti e degli adeguamenti ai recuperi diretti contabilizzati nel periodo di riferimento e riferiti a eventi di rischio operativo contabilizzati per la prima volta nel periodo di riferimento per le segnalazioni o in precedenti periodi di riferimento per le segnalazioni.</w:t>
            </w:r>
          </w:p>
        </w:tc>
      </w:tr>
      <w:tr w:rsidR="00FD54FC" w:rsidRPr="00D51A68" w:rsidTr="00672D2A">
        <w:tc>
          <w:tcPr>
            <w:tcW w:w="1101" w:type="dxa"/>
          </w:tcPr>
          <w:p w:rsidR="00FD54FC" w:rsidRPr="00D51A68" w:rsidRDefault="00C93FC2" w:rsidP="00FD54FC">
            <w:pPr>
              <w:rPr>
                <w:rFonts w:ascii="Times New Roman" w:hAnsi="Times New Roman"/>
                <w:bCs/>
                <w:sz w:val="24"/>
              </w:rPr>
            </w:pPr>
            <w:r w:rsidRPr="00D51A68">
              <w:rPr>
                <w:rFonts w:ascii="Times New Roman" w:hAnsi="Times New Roman"/>
                <w:sz w:val="24"/>
              </w:rPr>
              <w:t>0080, 0180, 0280, 0380, 0480, 0580, 0680, 0780, 0880</w:t>
            </w:r>
          </w:p>
        </w:tc>
        <w:tc>
          <w:tcPr>
            <w:tcW w:w="8079" w:type="dxa"/>
          </w:tcPr>
          <w:p w:rsidR="00FD54FC" w:rsidRPr="00D51A68" w:rsidRDefault="00FD54FC" w:rsidP="00FD54FC">
            <w:pPr>
              <w:rPr>
                <w:rStyle w:val="InstructionsTabelleberschrift"/>
                <w:rFonts w:ascii="Times New Roman" w:hAnsi="Times New Roman"/>
                <w:sz w:val="24"/>
              </w:rPr>
            </w:pPr>
            <w:r w:rsidRPr="00D51A68">
              <w:rPr>
                <w:rStyle w:val="InstructionsTabelleberschrift"/>
                <w:rFonts w:ascii="Times New Roman" w:hAnsi="Times New Roman"/>
                <w:sz w:val="24"/>
              </w:rPr>
              <w:t>Importo complessivo dei recuperi da assicurazioni e altri meccanismi di trasferimento del rischio</w:t>
            </w:r>
          </w:p>
          <w:p w:rsidR="00FD54FC" w:rsidRPr="00D51A68" w:rsidRDefault="00FD54FC" w:rsidP="00FD54FC">
            <w:pPr>
              <w:rPr>
                <w:rFonts w:ascii="Times New Roman" w:hAnsi="Times New Roman"/>
                <w:sz w:val="24"/>
              </w:rPr>
            </w:pPr>
            <w:r w:rsidRPr="00D51A68">
              <w:rPr>
                <w:rFonts w:ascii="Times New Roman" w:hAnsi="Times New Roman"/>
                <w:sz w:val="24"/>
              </w:rPr>
              <w:t>Per recuperi da assicurazioni e altri meccanismi di trasferimento del rischio si intendono i recuperi soggetti all</w:t>
            </w:r>
            <w:r w:rsidR="0009277C" w:rsidRPr="00D51A68">
              <w:rPr>
                <w:rFonts w:ascii="Times New Roman" w:hAnsi="Times New Roman"/>
                <w:sz w:val="24"/>
              </w:rPr>
              <w:t>’</w:t>
            </w:r>
            <w:r w:rsidRPr="00D51A68">
              <w:rPr>
                <w:rFonts w:ascii="Times New Roman" w:hAnsi="Times New Roman"/>
                <w:sz w:val="24"/>
              </w:rPr>
              <w:t xml:space="preserve">articolo 323 del CRR. </w:t>
            </w:r>
          </w:p>
          <w:p w:rsidR="00FD54FC" w:rsidRPr="00D51A68" w:rsidRDefault="00FD54FC" w:rsidP="00070AF9">
            <w:pPr>
              <w:rPr>
                <w:sz w:val="24"/>
              </w:rPr>
            </w:pPr>
            <w:r w:rsidRPr="00D51A68">
              <w:rPr>
                <w:rFonts w:ascii="Times New Roman" w:hAnsi="Times New Roman"/>
                <w:sz w:val="24"/>
              </w:rPr>
              <w:t>L</w:t>
            </w:r>
            <w:r w:rsidR="0009277C" w:rsidRPr="00D51A68">
              <w:rPr>
                <w:rFonts w:ascii="Times New Roman" w:hAnsi="Times New Roman"/>
                <w:sz w:val="24"/>
              </w:rPr>
              <w:t>’</w:t>
            </w:r>
            <w:r w:rsidRPr="00D51A68">
              <w:rPr>
                <w:rFonts w:ascii="Times New Roman" w:hAnsi="Times New Roman"/>
                <w:sz w:val="24"/>
              </w:rPr>
              <w:t>importo complessivo dei recuperi da assicurazioni e altri meccanismi di trasferimento del rischio è la somma di tutti i recuperi da assicurazioni e altri meccanismi di trasferimento del rischio e degli adeguamenti a tali recuperi contabilizzati nel periodo di riferimento e riferiti a eventi di rischio operativo contabilizzati per la prima volta nel periodo di riferimento per le segnalazioni o in precedenti periodi di riferimento per le segnalazioni.</w:t>
            </w:r>
          </w:p>
        </w:tc>
      </w:tr>
      <w:tr w:rsidR="00FD54FC" w:rsidRPr="00D51A68" w:rsidTr="00672D2A">
        <w:tc>
          <w:tcPr>
            <w:tcW w:w="1101" w:type="dxa"/>
          </w:tcPr>
          <w:p w:rsidR="00FD54FC" w:rsidRPr="00D51A68" w:rsidRDefault="00C93FC2" w:rsidP="000F70EC">
            <w:pPr>
              <w:rPr>
                <w:rFonts w:ascii="Times New Roman" w:hAnsi="Times New Roman"/>
                <w:bCs/>
                <w:sz w:val="24"/>
              </w:rPr>
            </w:pPr>
            <w:r w:rsidRPr="00D51A68">
              <w:rPr>
                <w:rFonts w:ascii="Times New Roman" w:hAnsi="Times New Roman"/>
                <w:sz w:val="24"/>
              </w:rPr>
              <w:t>0910-0980</w:t>
            </w:r>
          </w:p>
        </w:tc>
        <w:tc>
          <w:tcPr>
            <w:tcW w:w="8079" w:type="dxa"/>
          </w:tcPr>
          <w:p w:rsidR="00FD54FC" w:rsidRPr="00D51A68" w:rsidRDefault="00FD54FC" w:rsidP="00FD54FC">
            <w:pPr>
              <w:rPr>
                <w:rStyle w:val="InstructionsTabelleberschrift"/>
                <w:rFonts w:ascii="Times New Roman" w:hAnsi="Times New Roman"/>
                <w:sz w:val="24"/>
              </w:rPr>
            </w:pPr>
            <w:r w:rsidRPr="00D51A68">
              <w:rPr>
                <w:rStyle w:val="InstructionsTabelleberschrift"/>
                <w:rFonts w:ascii="Times New Roman" w:hAnsi="Times New Roman"/>
                <w:sz w:val="24"/>
              </w:rPr>
              <w:t>LINEE DI BUSINESS TOTALI</w:t>
            </w:r>
          </w:p>
          <w:p w:rsidR="00FD54FC" w:rsidRPr="00D51A68" w:rsidRDefault="00FD54FC" w:rsidP="00FD54FC">
            <w:pPr>
              <w:rPr>
                <w:rFonts w:ascii="Times New Roman" w:hAnsi="Times New Roman"/>
                <w:sz w:val="24"/>
              </w:rPr>
            </w:pPr>
            <w:r w:rsidRPr="00D51A68">
              <w:rPr>
                <w:rFonts w:ascii="Times New Roman" w:hAnsi="Times New Roman"/>
                <w:sz w:val="24"/>
              </w:rPr>
              <w:t>Per ciascuna tipologia di evento (colonne da 010 a 080) devono essere segnalate le informazioni (articolo 322, paragrafo 3, lettere b), c) ed e), del CRR) relative alle linee di business totali.</w:t>
            </w:r>
          </w:p>
        </w:tc>
      </w:tr>
      <w:tr w:rsidR="00FD54FC" w:rsidRPr="00D51A68" w:rsidTr="00672D2A">
        <w:tc>
          <w:tcPr>
            <w:tcW w:w="1101" w:type="dxa"/>
          </w:tcPr>
          <w:p w:rsidR="00FD54FC" w:rsidRPr="00D51A68" w:rsidRDefault="00C93FC2" w:rsidP="000F70EC">
            <w:pPr>
              <w:rPr>
                <w:rFonts w:ascii="Times New Roman" w:hAnsi="Times New Roman"/>
                <w:bCs/>
                <w:sz w:val="24"/>
              </w:rPr>
            </w:pPr>
            <w:r w:rsidRPr="00D51A68">
              <w:rPr>
                <w:rFonts w:ascii="Times New Roman" w:hAnsi="Times New Roman"/>
                <w:sz w:val="24"/>
              </w:rPr>
              <w:t>0910-0914</w:t>
            </w:r>
          </w:p>
        </w:tc>
        <w:tc>
          <w:tcPr>
            <w:tcW w:w="8079" w:type="dxa"/>
          </w:tcPr>
          <w:p w:rsidR="00FD54FC" w:rsidRPr="00D51A68" w:rsidRDefault="00FD54FC" w:rsidP="00FD54FC">
            <w:pPr>
              <w:rPr>
                <w:rStyle w:val="InstructionsTabelleberschrift"/>
                <w:rFonts w:ascii="Times New Roman" w:hAnsi="Times New Roman"/>
                <w:sz w:val="24"/>
              </w:rPr>
            </w:pPr>
            <w:r w:rsidRPr="00D51A68">
              <w:rPr>
                <w:rStyle w:val="InstructionsTabelleberschrift"/>
                <w:rFonts w:ascii="Times New Roman" w:hAnsi="Times New Roman"/>
                <w:sz w:val="24"/>
              </w:rPr>
              <w:t>Numero di eventi</w:t>
            </w:r>
          </w:p>
          <w:p w:rsidR="00FD54FC" w:rsidRPr="00D51A68" w:rsidRDefault="00FD54FC" w:rsidP="00FD54FC">
            <w:pPr>
              <w:rPr>
                <w:rFonts w:ascii="Times New Roman" w:hAnsi="Times New Roman"/>
                <w:sz w:val="24"/>
              </w:rPr>
            </w:pPr>
            <w:r w:rsidRPr="00D51A68">
              <w:rPr>
                <w:rFonts w:ascii="Times New Roman" w:hAnsi="Times New Roman"/>
                <w:sz w:val="24"/>
              </w:rPr>
              <w:t>Alla riga 910 è indicato il numero degli eventi superiori alla soglia interna ripartiti per tipologia di evento nelle linee di business totali. Questo valore può essere minore dell</w:t>
            </w:r>
            <w:r w:rsidR="0009277C" w:rsidRPr="00D51A68">
              <w:rPr>
                <w:rFonts w:ascii="Times New Roman" w:hAnsi="Times New Roman"/>
                <w:sz w:val="24"/>
              </w:rPr>
              <w:t>’</w:t>
            </w:r>
            <w:r w:rsidRPr="00D51A68">
              <w:rPr>
                <w:rFonts w:ascii="Times New Roman" w:hAnsi="Times New Roman"/>
                <w:sz w:val="24"/>
              </w:rPr>
              <w:t>aggregazione del numero di eventi per linee di business, perché gli eventi con impatti multipli (impatti su più linee di business) sono considerati un evento unico. Può essere più elevato se un ente che calcola i requisiti di fondi propri conformemente al metodo BIA non è in grado di individuare per ogni caso la linea di business interessata (o le linee di business interessate) dalla perdita.</w:t>
            </w:r>
          </w:p>
          <w:p w:rsidR="00FD54FC" w:rsidRPr="00D51A68" w:rsidRDefault="00FD54FC" w:rsidP="00FD54FC">
            <w:pPr>
              <w:rPr>
                <w:rFonts w:ascii="Times New Roman" w:hAnsi="Times New Roman"/>
                <w:sz w:val="24"/>
              </w:rPr>
            </w:pPr>
            <w:r w:rsidRPr="00D51A68">
              <w:rPr>
                <w:rFonts w:ascii="Times New Roman" w:hAnsi="Times New Roman"/>
                <w:sz w:val="24"/>
              </w:rPr>
              <w:t>Alle righe 911-914 è indicato il numero di eventi il cui importo delle perdite lorde rientra negli intervalli definiti nelle righe pertinenti.</w:t>
            </w:r>
          </w:p>
          <w:p w:rsidR="00FD54FC" w:rsidRPr="00D51A68" w:rsidRDefault="00FD54FC" w:rsidP="00FD54FC">
            <w:pPr>
              <w:rPr>
                <w:rFonts w:ascii="Times New Roman" w:hAnsi="Times New Roman"/>
                <w:sz w:val="24"/>
              </w:rPr>
            </w:pPr>
            <w:r w:rsidRPr="00D51A68">
              <w:rPr>
                <w:rFonts w:ascii="Times New Roman" w:hAnsi="Times New Roman"/>
                <w:sz w:val="24"/>
              </w:rPr>
              <w:t>Se l</w:t>
            </w:r>
            <w:r w:rsidR="0009277C" w:rsidRPr="00D51A68">
              <w:rPr>
                <w:rFonts w:ascii="Times New Roman" w:hAnsi="Times New Roman"/>
                <w:sz w:val="24"/>
              </w:rPr>
              <w:t>’</w:t>
            </w:r>
            <w:r w:rsidRPr="00D51A68">
              <w:rPr>
                <w:rFonts w:ascii="Times New Roman" w:hAnsi="Times New Roman"/>
                <w:sz w:val="24"/>
              </w:rPr>
              <w:t>ente ha assegnato tutte le sue perdite ad una linea di business elencata nella tabella 2 dell</w:t>
            </w:r>
            <w:r w:rsidR="0009277C" w:rsidRPr="00D51A68">
              <w:rPr>
                <w:rFonts w:ascii="Times New Roman" w:hAnsi="Times New Roman"/>
                <w:sz w:val="24"/>
              </w:rPr>
              <w:t>’</w:t>
            </w:r>
            <w:r w:rsidRPr="00D51A68">
              <w:rPr>
                <w:rFonts w:ascii="Times New Roman" w:hAnsi="Times New Roman"/>
                <w:sz w:val="24"/>
              </w:rPr>
              <w:t xml:space="preserve">articolo 317, paragrafo 4, del CRR o alla linea di business </w:t>
            </w:r>
            <w:r w:rsidR="0009277C" w:rsidRPr="00D51A68">
              <w:rPr>
                <w:rFonts w:ascii="Times New Roman" w:hAnsi="Times New Roman"/>
                <w:sz w:val="24"/>
              </w:rPr>
              <w:t>“</w:t>
            </w:r>
            <w:r w:rsidRPr="00D51A68">
              <w:rPr>
                <w:rFonts w:ascii="Times New Roman" w:hAnsi="Times New Roman"/>
                <w:sz w:val="24"/>
              </w:rPr>
              <w:t>elementi d</w:t>
            </w:r>
            <w:r w:rsidR="0009277C" w:rsidRPr="00D51A68">
              <w:rPr>
                <w:rFonts w:ascii="Times New Roman" w:hAnsi="Times New Roman"/>
                <w:sz w:val="24"/>
              </w:rPr>
              <w:t>’</w:t>
            </w:r>
            <w:r w:rsidRPr="00D51A68">
              <w:rPr>
                <w:rFonts w:ascii="Times New Roman" w:hAnsi="Times New Roman"/>
                <w:sz w:val="24"/>
              </w:rPr>
              <w:t>impresa</w:t>
            </w:r>
            <w:r w:rsidR="0009277C" w:rsidRPr="00D51A68">
              <w:rPr>
                <w:rFonts w:ascii="Times New Roman" w:hAnsi="Times New Roman"/>
                <w:sz w:val="24"/>
              </w:rPr>
              <w:t>”</w:t>
            </w:r>
            <w:r w:rsidRPr="00D51A68">
              <w:rPr>
                <w:rFonts w:ascii="Times New Roman" w:hAnsi="Times New Roman"/>
                <w:sz w:val="24"/>
              </w:rPr>
              <w:t xml:space="preserve"> di cui all</w:t>
            </w:r>
            <w:r w:rsidR="0009277C" w:rsidRPr="00D51A68">
              <w:rPr>
                <w:rFonts w:ascii="Times New Roman" w:hAnsi="Times New Roman"/>
                <w:sz w:val="24"/>
              </w:rPr>
              <w:t>’</w:t>
            </w:r>
            <w:r w:rsidRPr="00D51A68">
              <w:rPr>
                <w:rFonts w:ascii="Times New Roman" w:hAnsi="Times New Roman"/>
                <w:sz w:val="24"/>
              </w:rPr>
              <w:t xml:space="preserve">articolo 322, paragrafo 3, lettera b), del CRR e/o ha individuato le tipologie di eventi per tutte le perdite, per la colonna 080 si </w:t>
            </w:r>
            <w:r w:rsidRPr="00D51A68">
              <w:rPr>
                <w:rFonts w:ascii="Times New Roman" w:hAnsi="Times New Roman"/>
                <w:sz w:val="24"/>
              </w:rPr>
              <w:lastRenderedPageBreak/>
              <w:t>applicano le disposizioni seguenti:</w:t>
            </w:r>
          </w:p>
          <w:p w:rsidR="00FD54FC" w:rsidRPr="00D51A68" w:rsidRDefault="00125707" w:rsidP="0023700C">
            <w:pPr>
              <w:ind w:left="360" w:hanging="360"/>
              <w:rPr>
                <w:rFonts w:ascii="Times New Roman" w:hAnsi="Times New Roman"/>
                <w:sz w:val="24"/>
              </w:rPr>
            </w:pPr>
            <w:r w:rsidRPr="00D51A68">
              <w:rPr>
                <w:rFonts w:ascii="Times New Roman" w:hAnsi="Times New Roman"/>
                <w:sz w:val="24"/>
              </w:rPr>
              <w:t>-</w:t>
            </w:r>
            <w:r w:rsidR="00A0772B" w:rsidRPr="00D51A68">
              <w:tab/>
            </w:r>
            <w:r w:rsidRPr="00D51A68">
              <w:rPr>
                <w:rFonts w:ascii="Times New Roman" w:hAnsi="Times New Roman"/>
                <w:sz w:val="24"/>
              </w:rPr>
              <w:t>Il numero totale di eventi segnalati alle righe da 910 a 914 è uguale all</w:t>
            </w:r>
            <w:r w:rsidR="0009277C" w:rsidRPr="00D51A68">
              <w:rPr>
                <w:rFonts w:ascii="Times New Roman" w:hAnsi="Times New Roman"/>
                <w:sz w:val="24"/>
              </w:rPr>
              <w:t>’</w:t>
            </w:r>
            <w:r w:rsidRPr="00D51A68">
              <w:rPr>
                <w:rFonts w:ascii="Times New Roman" w:hAnsi="Times New Roman"/>
                <w:sz w:val="24"/>
              </w:rPr>
              <w:t>aggregazione orizzontale del numero di eventi di cui alla riga corrispondente, dato che quei valori tengono già conto degli eventi con impatti su più linee di business come se fossero un evento unico.</w:t>
            </w:r>
          </w:p>
          <w:p w:rsidR="00FD54FC" w:rsidRPr="00D51A68" w:rsidRDefault="00125707" w:rsidP="0023700C">
            <w:pPr>
              <w:ind w:left="360" w:hanging="360"/>
              <w:rPr>
                <w:rStyle w:val="InstructionsTabelleberschrift"/>
                <w:rFonts w:ascii="Times New Roman" w:hAnsi="Times New Roman"/>
                <w:b w:val="0"/>
                <w:bCs w:val="0"/>
                <w:sz w:val="24"/>
                <w:u w:val="none"/>
              </w:rPr>
            </w:pPr>
            <w:r w:rsidRPr="00D51A68">
              <w:rPr>
                <w:rStyle w:val="InstructionsTabelleberschrift"/>
                <w:rFonts w:ascii="Times New Roman" w:hAnsi="Times New Roman"/>
                <w:b w:val="0"/>
                <w:sz w:val="24"/>
                <w:u w:val="none"/>
              </w:rPr>
              <w:t>-</w:t>
            </w:r>
            <w:r w:rsidR="00A0772B" w:rsidRPr="00D51A68">
              <w:tab/>
            </w:r>
            <w:r w:rsidRPr="00D51A68">
              <w:rPr>
                <w:rFonts w:ascii="Times New Roman" w:hAnsi="Times New Roman"/>
                <w:sz w:val="24"/>
              </w:rPr>
              <w:t>L</w:t>
            </w:r>
            <w:r w:rsidR="0009277C" w:rsidRPr="00D51A68">
              <w:rPr>
                <w:rFonts w:ascii="Times New Roman" w:hAnsi="Times New Roman"/>
                <w:sz w:val="24"/>
              </w:rPr>
              <w:t>’</w:t>
            </w:r>
            <w:r w:rsidRPr="00D51A68">
              <w:rPr>
                <w:rFonts w:ascii="Times New Roman" w:hAnsi="Times New Roman"/>
                <w:sz w:val="24"/>
              </w:rPr>
              <w:t>importo segnalato alla colonna 080, riga 910 non è necessariamente uguale all</w:t>
            </w:r>
            <w:r w:rsidR="0009277C" w:rsidRPr="00D51A68">
              <w:rPr>
                <w:rFonts w:ascii="Times New Roman" w:hAnsi="Times New Roman"/>
                <w:sz w:val="24"/>
              </w:rPr>
              <w:t>’</w:t>
            </w:r>
            <w:r w:rsidRPr="00D51A68">
              <w:rPr>
                <w:rFonts w:ascii="Times New Roman" w:hAnsi="Times New Roman"/>
                <w:sz w:val="24"/>
              </w:rPr>
              <w:t>aggregazione verticale del numero di eventi di cui alla colonna 080, considerato che un evento può avere impatti su più linee di business simultaneamente.</w:t>
            </w:r>
          </w:p>
        </w:tc>
      </w:tr>
      <w:tr w:rsidR="00FD54FC" w:rsidRPr="00D51A68" w:rsidTr="00672D2A">
        <w:tc>
          <w:tcPr>
            <w:tcW w:w="1101" w:type="dxa"/>
          </w:tcPr>
          <w:p w:rsidR="00FD54FC" w:rsidRPr="00D51A68" w:rsidRDefault="00C93FC2" w:rsidP="000F70EC">
            <w:pPr>
              <w:rPr>
                <w:rFonts w:ascii="Times New Roman" w:hAnsi="Times New Roman"/>
                <w:bCs/>
                <w:sz w:val="24"/>
              </w:rPr>
            </w:pPr>
            <w:r w:rsidRPr="00D51A68">
              <w:rPr>
                <w:rFonts w:ascii="Times New Roman" w:hAnsi="Times New Roman"/>
                <w:sz w:val="24"/>
              </w:rPr>
              <w:lastRenderedPageBreak/>
              <w:t>0920-0924</w:t>
            </w:r>
          </w:p>
        </w:tc>
        <w:tc>
          <w:tcPr>
            <w:tcW w:w="8079" w:type="dxa"/>
          </w:tcPr>
          <w:p w:rsidR="00FD54FC" w:rsidRPr="00D51A68" w:rsidRDefault="00FD54FC" w:rsidP="00FD54FC">
            <w:pPr>
              <w:rPr>
                <w:rStyle w:val="InstructionsTabelleberschrift"/>
                <w:rFonts w:ascii="Times New Roman" w:hAnsi="Times New Roman"/>
                <w:sz w:val="24"/>
              </w:rPr>
            </w:pPr>
            <w:r w:rsidRPr="00D51A68">
              <w:rPr>
                <w:rStyle w:val="InstructionsTabelleberschrift"/>
                <w:rFonts w:ascii="Times New Roman" w:hAnsi="Times New Roman"/>
                <w:sz w:val="24"/>
              </w:rPr>
              <w:t>Importo delle perdite lorde (eventi nuovi)</w:t>
            </w:r>
          </w:p>
          <w:p w:rsidR="00FD54FC" w:rsidRPr="00D51A68" w:rsidRDefault="00FD54FC" w:rsidP="00FD54FC">
            <w:pPr>
              <w:rPr>
                <w:rFonts w:ascii="Times New Roman" w:hAnsi="Times New Roman"/>
                <w:sz w:val="24"/>
              </w:rPr>
            </w:pPr>
            <w:r w:rsidRPr="00D51A68">
              <w:rPr>
                <w:rFonts w:ascii="Times New Roman" w:hAnsi="Times New Roman"/>
                <w:sz w:val="24"/>
              </w:rPr>
              <w:t>Se l</w:t>
            </w:r>
            <w:r w:rsidR="0009277C" w:rsidRPr="00D51A68">
              <w:rPr>
                <w:rFonts w:ascii="Times New Roman" w:hAnsi="Times New Roman"/>
                <w:sz w:val="24"/>
              </w:rPr>
              <w:t>’</w:t>
            </w:r>
            <w:r w:rsidRPr="00D51A68">
              <w:rPr>
                <w:rFonts w:ascii="Times New Roman" w:hAnsi="Times New Roman"/>
                <w:sz w:val="24"/>
              </w:rPr>
              <w:t>ente ha assegnato tutte le sue perdite ad una linea di business elencata nella tabella 2 dell</w:t>
            </w:r>
            <w:r w:rsidR="0009277C" w:rsidRPr="00D51A68">
              <w:rPr>
                <w:rFonts w:ascii="Times New Roman" w:hAnsi="Times New Roman"/>
                <w:sz w:val="24"/>
              </w:rPr>
              <w:t>’</w:t>
            </w:r>
            <w:r w:rsidRPr="00D51A68">
              <w:rPr>
                <w:rFonts w:ascii="Times New Roman" w:hAnsi="Times New Roman"/>
                <w:sz w:val="24"/>
              </w:rPr>
              <w:t xml:space="preserve">articolo 317, paragrafo 4, del CRR o alla linea di business </w:t>
            </w:r>
            <w:r w:rsidR="0009277C" w:rsidRPr="00D51A68">
              <w:rPr>
                <w:rFonts w:ascii="Times New Roman" w:hAnsi="Times New Roman"/>
                <w:sz w:val="24"/>
              </w:rPr>
              <w:t>“</w:t>
            </w:r>
            <w:r w:rsidRPr="00D51A68">
              <w:rPr>
                <w:rFonts w:ascii="Times New Roman" w:hAnsi="Times New Roman"/>
                <w:sz w:val="24"/>
              </w:rPr>
              <w:t>elementi d</w:t>
            </w:r>
            <w:r w:rsidR="0009277C" w:rsidRPr="00D51A68">
              <w:rPr>
                <w:rFonts w:ascii="Times New Roman" w:hAnsi="Times New Roman"/>
                <w:sz w:val="24"/>
              </w:rPr>
              <w:t>’</w:t>
            </w:r>
            <w:r w:rsidRPr="00D51A68">
              <w:rPr>
                <w:rFonts w:ascii="Times New Roman" w:hAnsi="Times New Roman"/>
                <w:sz w:val="24"/>
              </w:rPr>
              <w:t>impresa</w:t>
            </w:r>
            <w:r w:rsidR="0009277C" w:rsidRPr="00D51A68">
              <w:rPr>
                <w:rFonts w:ascii="Times New Roman" w:hAnsi="Times New Roman"/>
                <w:sz w:val="24"/>
              </w:rPr>
              <w:t>”</w:t>
            </w:r>
            <w:r w:rsidRPr="00D51A68">
              <w:rPr>
                <w:rFonts w:ascii="Times New Roman" w:hAnsi="Times New Roman"/>
                <w:sz w:val="24"/>
              </w:rPr>
              <w:t xml:space="preserve"> di cui all</w:t>
            </w:r>
            <w:r w:rsidR="0009277C" w:rsidRPr="00D51A68">
              <w:rPr>
                <w:rFonts w:ascii="Times New Roman" w:hAnsi="Times New Roman"/>
                <w:sz w:val="24"/>
              </w:rPr>
              <w:t>’</w:t>
            </w:r>
            <w:r w:rsidRPr="00D51A68">
              <w:rPr>
                <w:rFonts w:ascii="Times New Roman" w:hAnsi="Times New Roman"/>
                <w:sz w:val="24"/>
              </w:rPr>
              <w:t>articolo 322, paragrafo 3, lettera b), del CRR, l</w:t>
            </w:r>
            <w:r w:rsidR="0009277C" w:rsidRPr="00D51A68">
              <w:rPr>
                <w:rFonts w:ascii="Times New Roman" w:hAnsi="Times New Roman"/>
                <w:sz w:val="24"/>
              </w:rPr>
              <w:t>’</w:t>
            </w:r>
            <w:r w:rsidRPr="00D51A68">
              <w:rPr>
                <w:rFonts w:ascii="Times New Roman" w:hAnsi="Times New Roman"/>
                <w:sz w:val="24"/>
              </w:rPr>
              <w:t xml:space="preserve">importo delle perdite lorde (eventi nuovi) segnalato nella riga 920 è la semplice aggregazione degli importi delle perdite lorde degli eventi nuovi per ciascuna linea di business. </w:t>
            </w:r>
          </w:p>
          <w:p w:rsidR="00FD54FC" w:rsidRPr="00D51A68" w:rsidRDefault="00FD54FC" w:rsidP="00FD54FC">
            <w:pPr>
              <w:rPr>
                <w:rStyle w:val="InstructionsTabelleberschrift"/>
                <w:rFonts w:ascii="Times New Roman" w:hAnsi="Times New Roman"/>
                <w:sz w:val="24"/>
              </w:rPr>
            </w:pPr>
            <w:r w:rsidRPr="00D51A68">
              <w:rPr>
                <w:rFonts w:ascii="Times New Roman" w:hAnsi="Times New Roman"/>
                <w:sz w:val="24"/>
              </w:rPr>
              <w:t>Alle righe 921-924 è indicato l</w:t>
            </w:r>
            <w:r w:rsidR="0009277C" w:rsidRPr="00D51A68">
              <w:rPr>
                <w:rFonts w:ascii="Times New Roman" w:hAnsi="Times New Roman"/>
                <w:sz w:val="24"/>
              </w:rPr>
              <w:t>’</w:t>
            </w:r>
            <w:r w:rsidRPr="00D51A68">
              <w:rPr>
                <w:rFonts w:ascii="Times New Roman" w:hAnsi="Times New Roman"/>
                <w:sz w:val="24"/>
              </w:rPr>
              <w:t>importo delle perdite lorde per eventi il cui importo delle perdite lorde rientra negli intervalli definiti nelle righe pertinenti.</w:t>
            </w:r>
          </w:p>
        </w:tc>
      </w:tr>
      <w:tr w:rsidR="00FD54FC" w:rsidRPr="00D51A68" w:rsidTr="00672D2A">
        <w:tc>
          <w:tcPr>
            <w:tcW w:w="1101" w:type="dxa"/>
          </w:tcPr>
          <w:p w:rsidR="00FD54FC" w:rsidRPr="00D51A68" w:rsidRDefault="00C93FC2" w:rsidP="00FD54FC">
            <w:pPr>
              <w:rPr>
                <w:rFonts w:ascii="Times New Roman" w:hAnsi="Times New Roman"/>
                <w:bCs/>
                <w:sz w:val="24"/>
              </w:rPr>
            </w:pPr>
            <w:r w:rsidRPr="00D51A68">
              <w:rPr>
                <w:rFonts w:ascii="Times New Roman" w:hAnsi="Times New Roman"/>
                <w:sz w:val="24"/>
              </w:rPr>
              <w:t>0930, 0935, 0936</w:t>
            </w:r>
          </w:p>
        </w:tc>
        <w:tc>
          <w:tcPr>
            <w:tcW w:w="8079" w:type="dxa"/>
          </w:tcPr>
          <w:p w:rsidR="00FD54FC" w:rsidRPr="00D51A68" w:rsidRDefault="00FD54FC" w:rsidP="00FD54FC">
            <w:pPr>
              <w:rPr>
                <w:rFonts w:ascii="Times New Roman" w:hAnsi="Times New Roman"/>
                <w:sz w:val="24"/>
              </w:rPr>
            </w:pPr>
            <w:r w:rsidRPr="00D51A68">
              <w:rPr>
                <w:rStyle w:val="InstructionsTabelleberschrift"/>
                <w:rFonts w:ascii="Times New Roman" w:hAnsi="Times New Roman"/>
                <w:sz w:val="24"/>
              </w:rPr>
              <w:t>Numero di eventi di perdita soggetti ad adeguamenti per perdite</w:t>
            </w:r>
          </w:p>
          <w:p w:rsidR="00FD54FC" w:rsidRPr="00D51A68" w:rsidRDefault="00FD54FC" w:rsidP="00FD54FC">
            <w:pPr>
              <w:rPr>
                <w:rFonts w:ascii="Times New Roman" w:hAnsi="Times New Roman"/>
                <w:sz w:val="24"/>
              </w:rPr>
            </w:pPr>
            <w:r w:rsidRPr="00D51A68">
              <w:rPr>
                <w:rFonts w:ascii="Times New Roman" w:hAnsi="Times New Roman"/>
                <w:sz w:val="24"/>
              </w:rPr>
              <w:t>Alla riga 930 è indicato il totale del numero di eventi soggetti ad adeguamenti per perdite di cui alle righe 030, 130,..., 830. Questo valore può essere minore dell</w:t>
            </w:r>
            <w:r w:rsidR="0009277C" w:rsidRPr="00D51A68">
              <w:rPr>
                <w:rFonts w:ascii="Times New Roman" w:hAnsi="Times New Roman"/>
                <w:sz w:val="24"/>
              </w:rPr>
              <w:t>’</w:t>
            </w:r>
            <w:r w:rsidRPr="00D51A68">
              <w:rPr>
                <w:rFonts w:ascii="Times New Roman" w:hAnsi="Times New Roman"/>
                <w:sz w:val="24"/>
              </w:rPr>
              <w:t>aggregazione del numero di eventi soggetti ad adeguamenti per perdite per linee di business, perché gli eventi con impatti multipli (impatti su più linee di business) sono considerati un evento unico. Può essere più elevato se un ente che calcola i requisiti di fondi propri conformemente al metodo BIA non è in grado di individuare per ogni caso la linea di business interessata (o le linee di business interessate) dalla perdita.</w:t>
            </w:r>
          </w:p>
          <w:p w:rsidR="00FD54FC" w:rsidRPr="00D51A68" w:rsidRDefault="00FD54FC" w:rsidP="00FD54FC">
            <w:pPr>
              <w:rPr>
                <w:rStyle w:val="InstructionsTabelleberschrift"/>
                <w:rFonts w:ascii="Times New Roman" w:hAnsi="Times New Roman"/>
                <w:sz w:val="24"/>
              </w:rPr>
            </w:pPr>
            <w:r w:rsidRPr="00D51A68">
              <w:rPr>
                <w:rFonts w:ascii="Times New Roman" w:hAnsi="Times New Roman"/>
                <w:sz w:val="24"/>
              </w:rPr>
              <w:t>Il numero di eventi di perdita soggetti ad adeguamenti per perdite è ripartito tra il numero di eventi per i quali è stato effettuato un adeguamento per perdite positivo nel periodo di riferimento per le segnalazioni e il numero di eventi per i quali è stato effettuato un adeguamento per perdite negativo nel periodo di riferimento per le segnalazioni (tutti indicati con il segno positivo).</w:t>
            </w:r>
          </w:p>
        </w:tc>
      </w:tr>
      <w:tr w:rsidR="00FD54FC" w:rsidRPr="00D51A68" w:rsidTr="00672D2A">
        <w:tc>
          <w:tcPr>
            <w:tcW w:w="1101" w:type="dxa"/>
          </w:tcPr>
          <w:p w:rsidR="00FD54FC" w:rsidRPr="00D51A68" w:rsidRDefault="00C93FC2" w:rsidP="00FD54FC">
            <w:pPr>
              <w:rPr>
                <w:rFonts w:ascii="Times New Roman" w:hAnsi="Times New Roman"/>
                <w:sz w:val="24"/>
              </w:rPr>
            </w:pPr>
            <w:r w:rsidRPr="00D51A68">
              <w:rPr>
                <w:rFonts w:ascii="Times New Roman" w:hAnsi="Times New Roman"/>
                <w:sz w:val="24"/>
              </w:rPr>
              <w:t>0940, 0945, 0946</w:t>
            </w:r>
          </w:p>
        </w:tc>
        <w:tc>
          <w:tcPr>
            <w:tcW w:w="8079" w:type="dxa"/>
          </w:tcPr>
          <w:p w:rsidR="00FD54FC" w:rsidRPr="00D51A68" w:rsidRDefault="00FD54FC" w:rsidP="00FD54FC">
            <w:pPr>
              <w:rPr>
                <w:rFonts w:ascii="Times New Roman" w:hAnsi="Times New Roman"/>
                <w:sz w:val="24"/>
              </w:rPr>
            </w:pPr>
            <w:r w:rsidRPr="00D51A68">
              <w:rPr>
                <w:rStyle w:val="InstructionsTabelleberschrift"/>
                <w:rFonts w:ascii="Times New Roman" w:hAnsi="Times New Roman"/>
                <w:sz w:val="24"/>
              </w:rPr>
              <w:t>Adeguamenti per perdite relativi a precedenti periodi di riferimento</w:t>
            </w:r>
          </w:p>
          <w:p w:rsidR="00FD54FC" w:rsidRPr="00D51A68" w:rsidRDefault="00FD54FC" w:rsidP="00FD54FC">
            <w:pPr>
              <w:rPr>
                <w:rFonts w:ascii="Times New Roman" w:hAnsi="Times New Roman"/>
                <w:sz w:val="24"/>
              </w:rPr>
            </w:pPr>
            <w:r w:rsidRPr="00D51A68">
              <w:rPr>
                <w:rFonts w:ascii="Times New Roman" w:hAnsi="Times New Roman"/>
                <w:sz w:val="24"/>
              </w:rPr>
              <w:t>Alla riga 940 è indicato il totale degli adeguamenti per perdite relativi a precedenti periodi di riferimento per linea di business (di cui alle righe 040, 140,..., 840). Se l</w:t>
            </w:r>
            <w:r w:rsidR="0009277C" w:rsidRPr="00D51A68">
              <w:rPr>
                <w:rFonts w:ascii="Times New Roman" w:hAnsi="Times New Roman"/>
                <w:sz w:val="24"/>
              </w:rPr>
              <w:t>’</w:t>
            </w:r>
            <w:r w:rsidRPr="00D51A68">
              <w:rPr>
                <w:rFonts w:ascii="Times New Roman" w:hAnsi="Times New Roman"/>
                <w:sz w:val="24"/>
              </w:rPr>
              <w:t>ente ha assegnato tutte le sue perdite ad una linea di business elencata nella tabella 2 dell</w:t>
            </w:r>
            <w:r w:rsidR="0009277C" w:rsidRPr="00D51A68">
              <w:rPr>
                <w:rFonts w:ascii="Times New Roman" w:hAnsi="Times New Roman"/>
                <w:sz w:val="24"/>
              </w:rPr>
              <w:t>’</w:t>
            </w:r>
            <w:r w:rsidRPr="00D51A68">
              <w:rPr>
                <w:rFonts w:ascii="Times New Roman" w:hAnsi="Times New Roman"/>
                <w:sz w:val="24"/>
              </w:rPr>
              <w:t xml:space="preserve">articolo 317, paragrafo 4, del CRR o alla linea di business </w:t>
            </w:r>
            <w:r w:rsidR="0009277C" w:rsidRPr="00D51A68">
              <w:rPr>
                <w:rFonts w:ascii="Times New Roman" w:hAnsi="Times New Roman"/>
                <w:sz w:val="24"/>
              </w:rPr>
              <w:t>“</w:t>
            </w:r>
            <w:r w:rsidRPr="00D51A68">
              <w:rPr>
                <w:rFonts w:ascii="Times New Roman" w:hAnsi="Times New Roman"/>
                <w:sz w:val="24"/>
              </w:rPr>
              <w:t>elementi d</w:t>
            </w:r>
            <w:r w:rsidR="0009277C" w:rsidRPr="00D51A68">
              <w:rPr>
                <w:rFonts w:ascii="Times New Roman" w:hAnsi="Times New Roman"/>
                <w:sz w:val="24"/>
              </w:rPr>
              <w:t>’</w:t>
            </w:r>
            <w:r w:rsidRPr="00D51A68">
              <w:rPr>
                <w:rFonts w:ascii="Times New Roman" w:hAnsi="Times New Roman"/>
                <w:sz w:val="24"/>
              </w:rPr>
              <w:t>impresa</w:t>
            </w:r>
            <w:r w:rsidR="0009277C" w:rsidRPr="00D51A68">
              <w:rPr>
                <w:rFonts w:ascii="Times New Roman" w:hAnsi="Times New Roman"/>
                <w:sz w:val="24"/>
              </w:rPr>
              <w:t>”</w:t>
            </w:r>
            <w:r w:rsidRPr="00D51A68">
              <w:rPr>
                <w:rFonts w:ascii="Times New Roman" w:hAnsi="Times New Roman"/>
                <w:sz w:val="24"/>
              </w:rPr>
              <w:t xml:space="preserve"> di cui all</w:t>
            </w:r>
            <w:r w:rsidR="0009277C" w:rsidRPr="00D51A68">
              <w:rPr>
                <w:rFonts w:ascii="Times New Roman" w:hAnsi="Times New Roman"/>
                <w:sz w:val="24"/>
              </w:rPr>
              <w:t>’</w:t>
            </w:r>
            <w:r w:rsidRPr="00D51A68">
              <w:rPr>
                <w:rFonts w:ascii="Times New Roman" w:hAnsi="Times New Roman"/>
                <w:sz w:val="24"/>
              </w:rPr>
              <w:t>articolo 322, paragrafo 3, lettera b), del CRR, l</w:t>
            </w:r>
            <w:r w:rsidR="0009277C" w:rsidRPr="00D51A68">
              <w:rPr>
                <w:rFonts w:ascii="Times New Roman" w:hAnsi="Times New Roman"/>
                <w:sz w:val="24"/>
              </w:rPr>
              <w:t>’</w:t>
            </w:r>
            <w:r w:rsidRPr="00D51A68">
              <w:rPr>
                <w:rFonts w:ascii="Times New Roman" w:hAnsi="Times New Roman"/>
                <w:sz w:val="24"/>
              </w:rPr>
              <w:t>importo segnalato alla riga 940 è la semplice aggregazione degli adeguamenti per perdite relativi a precedenti periodi di riferimento segnalati per le diverse linee di business.</w:t>
            </w:r>
          </w:p>
          <w:p w:rsidR="00FD54FC" w:rsidRPr="00D51A68" w:rsidRDefault="00FD54FC" w:rsidP="00070AF9">
            <w:pPr>
              <w:rPr>
                <w:sz w:val="24"/>
              </w:rPr>
            </w:pPr>
            <w:r w:rsidRPr="00D51A68">
              <w:rPr>
                <w:rFonts w:ascii="Times New Roman" w:hAnsi="Times New Roman"/>
                <w:sz w:val="24"/>
              </w:rPr>
              <w:t>L</w:t>
            </w:r>
            <w:r w:rsidR="0009277C" w:rsidRPr="00D51A68">
              <w:rPr>
                <w:rFonts w:ascii="Times New Roman" w:hAnsi="Times New Roman"/>
                <w:sz w:val="24"/>
              </w:rPr>
              <w:t>’</w:t>
            </w:r>
            <w:r w:rsidRPr="00D51A68">
              <w:rPr>
                <w:rFonts w:ascii="Times New Roman" w:hAnsi="Times New Roman"/>
                <w:sz w:val="24"/>
              </w:rPr>
              <w:t>importo degli adeguamenti per perdite è ripartito tra l</w:t>
            </w:r>
            <w:r w:rsidR="0009277C" w:rsidRPr="00D51A68">
              <w:rPr>
                <w:rFonts w:ascii="Times New Roman" w:hAnsi="Times New Roman"/>
                <w:sz w:val="24"/>
              </w:rPr>
              <w:t>’</w:t>
            </w:r>
            <w:r w:rsidRPr="00D51A68">
              <w:rPr>
                <w:rFonts w:ascii="Times New Roman" w:hAnsi="Times New Roman"/>
                <w:sz w:val="24"/>
              </w:rPr>
              <w:t xml:space="preserve">importo relativo a eventi per i quali è stato effettuato un adeguamento per perdite positivo nel periodo di riferimento per le segnalazioni (riga 945, segnalato come cifra positiva) e </w:t>
            </w:r>
            <w:r w:rsidRPr="00D51A68">
              <w:rPr>
                <w:rFonts w:ascii="Times New Roman" w:hAnsi="Times New Roman"/>
                <w:sz w:val="24"/>
              </w:rPr>
              <w:lastRenderedPageBreak/>
              <w:t>l</w:t>
            </w:r>
            <w:r w:rsidR="0009277C" w:rsidRPr="00D51A68">
              <w:rPr>
                <w:rFonts w:ascii="Times New Roman" w:hAnsi="Times New Roman"/>
                <w:sz w:val="24"/>
              </w:rPr>
              <w:t>’</w:t>
            </w:r>
            <w:r w:rsidRPr="00D51A68">
              <w:rPr>
                <w:rFonts w:ascii="Times New Roman" w:hAnsi="Times New Roman"/>
                <w:sz w:val="24"/>
              </w:rPr>
              <w:t>importo relativo a eventi per i quali è stato effettuato un adeguamento per perdite negativo nel periodo di riferimento per le segnalazioni (riga 946, segnalato come cifra negativa). Se, a causa di un adeguamento per perdite negativo, l</w:t>
            </w:r>
            <w:r w:rsidR="0009277C" w:rsidRPr="00D51A68">
              <w:rPr>
                <w:rFonts w:ascii="Times New Roman" w:hAnsi="Times New Roman"/>
                <w:sz w:val="24"/>
              </w:rPr>
              <w:t>’</w:t>
            </w:r>
            <w:r w:rsidRPr="00D51A68">
              <w:rPr>
                <w:rFonts w:ascii="Times New Roman" w:hAnsi="Times New Roman"/>
                <w:sz w:val="24"/>
              </w:rPr>
              <w:t>importo delle perdite adeguato imputabile a un evento scende al di sotto della soglia per la raccolta di dati interni dell</w:t>
            </w:r>
            <w:r w:rsidR="0009277C" w:rsidRPr="00D51A68">
              <w:rPr>
                <w:rFonts w:ascii="Times New Roman" w:hAnsi="Times New Roman"/>
                <w:sz w:val="24"/>
              </w:rPr>
              <w:t>’</w:t>
            </w:r>
            <w:r w:rsidRPr="00D51A68">
              <w:rPr>
                <w:rFonts w:ascii="Times New Roman" w:hAnsi="Times New Roman"/>
                <w:sz w:val="24"/>
              </w:rPr>
              <w:t>ente, l</w:t>
            </w:r>
            <w:r w:rsidR="0009277C" w:rsidRPr="00D51A68">
              <w:rPr>
                <w:rFonts w:ascii="Times New Roman" w:hAnsi="Times New Roman"/>
                <w:sz w:val="24"/>
              </w:rPr>
              <w:t>’</w:t>
            </w:r>
            <w:r w:rsidRPr="00D51A68">
              <w:rPr>
                <w:rFonts w:ascii="Times New Roman" w:hAnsi="Times New Roman"/>
                <w:sz w:val="24"/>
              </w:rPr>
              <w:t>ente segnala l</w:t>
            </w:r>
            <w:r w:rsidR="0009277C" w:rsidRPr="00D51A68">
              <w:rPr>
                <w:rFonts w:ascii="Times New Roman" w:hAnsi="Times New Roman"/>
                <w:sz w:val="24"/>
              </w:rPr>
              <w:t>’</w:t>
            </w:r>
            <w:r w:rsidRPr="00D51A68">
              <w:rPr>
                <w:rFonts w:ascii="Times New Roman" w:hAnsi="Times New Roman"/>
                <w:sz w:val="24"/>
              </w:rPr>
              <w:t>importo complessivo delle perdite per tale evento accumulate fino all</w:t>
            </w:r>
            <w:r w:rsidR="0009277C" w:rsidRPr="00D51A68">
              <w:rPr>
                <w:rFonts w:ascii="Times New Roman" w:hAnsi="Times New Roman"/>
                <w:sz w:val="24"/>
              </w:rPr>
              <w:t>’</w:t>
            </w:r>
            <w:r w:rsidRPr="00D51A68">
              <w:rPr>
                <w:rFonts w:ascii="Times New Roman" w:hAnsi="Times New Roman"/>
                <w:sz w:val="24"/>
              </w:rPr>
              <w:t>ultima volta in cui l</w:t>
            </w:r>
            <w:r w:rsidR="0009277C" w:rsidRPr="00D51A68">
              <w:rPr>
                <w:rFonts w:ascii="Times New Roman" w:hAnsi="Times New Roman"/>
                <w:sz w:val="24"/>
              </w:rPr>
              <w:t>’</w:t>
            </w:r>
            <w:r w:rsidRPr="00D51A68">
              <w:rPr>
                <w:rFonts w:ascii="Times New Roman" w:hAnsi="Times New Roman"/>
                <w:sz w:val="24"/>
              </w:rPr>
              <w:t>evento è stato segnalato ad una data di riferimento di dicembre (ossia la perdita originaria più/meno tutti gli adeguamenti per perdite effettuati nei precedenti periodi di riferimento per le segnalazioni) con un segno negativo alla riga 946 anziché l</w:t>
            </w:r>
            <w:r w:rsidR="0009277C" w:rsidRPr="00D51A68">
              <w:rPr>
                <w:rFonts w:ascii="Times New Roman" w:hAnsi="Times New Roman"/>
                <w:sz w:val="24"/>
              </w:rPr>
              <w:t>’</w:t>
            </w:r>
            <w:r w:rsidRPr="00D51A68">
              <w:rPr>
                <w:rFonts w:ascii="Times New Roman" w:hAnsi="Times New Roman"/>
                <w:sz w:val="24"/>
              </w:rPr>
              <w:t>importo dell</w:t>
            </w:r>
            <w:r w:rsidR="0009277C" w:rsidRPr="00D51A68">
              <w:rPr>
                <w:rFonts w:ascii="Times New Roman" w:hAnsi="Times New Roman"/>
                <w:sz w:val="24"/>
              </w:rPr>
              <w:t>’</w:t>
            </w:r>
            <w:r w:rsidRPr="00D51A68">
              <w:rPr>
                <w:rFonts w:ascii="Times New Roman" w:hAnsi="Times New Roman"/>
                <w:sz w:val="24"/>
              </w:rPr>
              <w:t>adeguamento per perdite negativo stesso.</w:t>
            </w:r>
          </w:p>
        </w:tc>
      </w:tr>
      <w:tr w:rsidR="00FD54FC" w:rsidRPr="00D51A68" w:rsidTr="00672D2A">
        <w:tc>
          <w:tcPr>
            <w:tcW w:w="1101" w:type="dxa"/>
            <w:tcBorders>
              <w:top w:val="single" w:sz="4" w:space="0" w:color="auto"/>
              <w:left w:val="single" w:sz="4" w:space="0" w:color="auto"/>
              <w:bottom w:val="single" w:sz="4" w:space="0" w:color="auto"/>
              <w:right w:val="single" w:sz="4" w:space="0" w:color="auto"/>
            </w:tcBorders>
          </w:tcPr>
          <w:p w:rsidR="00FD54FC" w:rsidRPr="00D51A68" w:rsidRDefault="00C93FC2" w:rsidP="00FD54FC">
            <w:pPr>
              <w:rPr>
                <w:rFonts w:ascii="Times New Roman" w:hAnsi="Times New Roman"/>
                <w:sz w:val="24"/>
              </w:rPr>
            </w:pPr>
            <w:r w:rsidRPr="00D51A68">
              <w:rPr>
                <w:rFonts w:ascii="Times New Roman" w:hAnsi="Times New Roman"/>
                <w:sz w:val="24"/>
              </w:rPr>
              <w:lastRenderedPageBreak/>
              <w:t>0950</w:t>
            </w:r>
          </w:p>
        </w:tc>
        <w:tc>
          <w:tcPr>
            <w:tcW w:w="8079" w:type="dxa"/>
            <w:tcBorders>
              <w:top w:val="single" w:sz="4" w:space="0" w:color="auto"/>
              <w:left w:val="single" w:sz="4" w:space="0" w:color="auto"/>
              <w:bottom w:val="single" w:sz="4" w:space="0" w:color="auto"/>
              <w:right w:val="single" w:sz="4" w:space="0" w:color="auto"/>
            </w:tcBorders>
          </w:tcPr>
          <w:p w:rsidR="00FD54FC" w:rsidRPr="00D51A68" w:rsidRDefault="00FD54FC" w:rsidP="00FD54FC">
            <w:pPr>
              <w:rPr>
                <w:rStyle w:val="InstructionsTabelleberschrift"/>
                <w:rFonts w:ascii="Times New Roman" w:hAnsi="Times New Roman"/>
                <w:sz w:val="24"/>
              </w:rPr>
            </w:pPr>
            <w:r w:rsidRPr="00D51A68">
              <w:rPr>
                <w:rStyle w:val="InstructionsTabelleberschrift"/>
                <w:rFonts w:ascii="Times New Roman" w:hAnsi="Times New Roman"/>
                <w:sz w:val="24"/>
              </w:rPr>
              <w:t>Perdita singola massima</w:t>
            </w:r>
          </w:p>
          <w:p w:rsidR="00FD54FC" w:rsidRPr="00D51A68" w:rsidRDefault="00FD54FC" w:rsidP="00FD54FC">
            <w:pPr>
              <w:rPr>
                <w:rFonts w:ascii="Times New Roman" w:hAnsi="Times New Roman"/>
                <w:sz w:val="24"/>
              </w:rPr>
            </w:pPr>
            <w:r w:rsidRPr="00D51A68">
              <w:rPr>
                <w:rFonts w:ascii="Times New Roman" w:hAnsi="Times New Roman"/>
                <w:sz w:val="24"/>
              </w:rPr>
              <w:t>Se l</w:t>
            </w:r>
            <w:r w:rsidR="0009277C" w:rsidRPr="00D51A68">
              <w:rPr>
                <w:rFonts w:ascii="Times New Roman" w:hAnsi="Times New Roman"/>
                <w:sz w:val="24"/>
              </w:rPr>
              <w:t>’</w:t>
            </w:r>
            <w:r w:rsidRPr="00D51A68">
              <w:rPr>
                <w:rFonts w:ascii="Times New Roman" w:hAnsi="Times New Roman"/>
                <w:sz w:val="24"/>
              </w:rPr>
              <w:t>ente ha assegnato tutte le sue perdite ad una linea di business elencata nella tabella 2 dell</w:t>
            </w:r>
            <w:r w:rsidR="0009277C" w:rsidRPr="00D51A68">
              <w:rPr>
                <w:rFonts w:ascii="Times New Roman" w:hAnsi="Times New Roman"/>
                <w:sz w:val="24"/>
              </w:rPr>
              <w:t>’</w:t>
            </w:r>
            <w:r w:rsidRPr="00D51A68">
              <w:rPr>
                <w:rFonts w:ascii="Times New Roman" w:hAnsi="Times New Roman"/>
                <w:sz w:val="24"/>
              </w:rPr>
              <w:t xml:space="preserve">articolo 317, paragrafo 4, del CRR o alla linea di business </w:t>
            </w:r>
            <w:r w:rsidR="0009277C" w:rsidRPr="00D51A68">
              <w:rPr>
                <w:rFonts w:ascii="Times New Roman" w:hAnsi="Times New Roman"/>
                <w:sz w:val="24"/>
              </w:rPr>
              <w:t>“</w:t>
            </w:r>
            <w:r w:rsidRPr="00D51A68">
              <w:rPr>
                <w:rFonts w:ascii="Times New Roman" w:hAnsi="Times New Roman"/>
                <w:sz w:val="24"/>
              </w:rPr>
              <w:t>elementi d</w:t>
            </w:r>
            <w:r w:rsidR="0009277C" w:rsidRPr="00D51A68">
              <w:rPr>
                <w:rFonts w:ascii="Times New Roman" w:hAnsi="Times New Roman"/>
                <w:sz w:val="24"/>
              </w:rPr>
              <w:t>’</w:t>
            </w:r>
            <w:r w:rsidRPr="00D51A68">
              <w:rPr>
                <w:rFonts w:ascii="Times New Roman" w:hAnsi="Times New Roman"/>
                <w:sz w:val="24"/>
              </w:rPr>
              <w:t>impresa</w:t>
            </w:r>
            <w:r w:rsidR="0009277C" w:rsidRPr="00D51A68">
              <w:rPr>
                <w:rFonts w:ascii="Times New Roman" w:hAnsi="Times New Roman"/>
                <w:sz w:val="24"/>
              </w:rPr>
              <w:t>”</w:t>
            </w:r>
            <w:r w:rsidRPr="00D51A68">
              <w:rPr>
                <w:rFonts w:ascii="Times New Roman" w:hAnsi="Times New Roman"/>
                <w:sz w:val="24"/>
              </w:rPr>
              <w:t xml:space="preserve"> di cui all</w:t>
            </w:r>
            <w:r w:rsidR="0009277C" w:rsidRPr="00D51A68">
              <w:rPr>
                <w:rFonts w:ascii="Times New Roman" w:hAnsi="Times New Roman"/>
                <w:sz w:val="24"/>
              </w:rPr>
              <w:t>’</w:t>
            </w:r>
            <w:r w:rsidRPr="00D51A68">
              <w:rPr>
                <w:rFonts w:ascii="Times New Roman" w:hAnsi="Times New Roman"/>
                <w:sz w:val="24"/>
              </w:rPr>
              <w:t>articolo 322, paragrafo 3, lettera b), del CRR, la perdita singola massima è la perdita massima superiore alla soglia interna per ciascuna tipologia di evento considerate tutte le linee di business. Se un evento ha impatti su più linee di business, questi valori possono essere maggiori della perdita singola massima registrata in ciascuna linea di business;</w:t>
            </w:r>
          </w:p>
          <w:p w:rsidR="00FD54FC" w:rsidRPr="00D51A68" w:rsidRDefault="00FD54FC" w:rsidP="00FD54FC">
            <w:pPr>
              <w:rPr>
                <w:rFonts w:ascii="Times New Roman" w:hAnsi="Times New Roman"/>
                <w:sz w:val="24"/>
              </w:rPr>
            </w:pPr>
            <w:r w:rsidRPr="00D51A68">
              <w:rPr>
                <w:rFonts w:ascii="Times New Roman" w:hAnsi="Times New Roman"/>
                <w:sz w:val="24"/>
              </w:rPr>
              <w:t>Se l</w:t>
            </w:r>
            <w:r w:rsidR="0009277C" w:rsidRPr="00D51A68">
              <w:rPr>
                <w:rFonts w:ascii="Times New Roman" w:hAnsi="Times New Roman"/>
                <w:sz w:val="24"/>
              </w:rPr>
              <w:t>’</w:t>
            </w:r>
            <w:r w:rsidRPr="00D51A68">
              <w:rPr>
                <w:rFonts w:ascii="Times New Roman" w:hAnsi="Times New Roman"/>
                <w:sz w:val="24"/>
              </w:rPr>
              <w:t>ente ha assegnato tutte le sue perdite ad una linea di business elencata nella tabella 2 dell</w:t>
            </w:r>
            <w:r w:rsidR="0009277C" w:rsidRPr="00D51A68">
              <w:rPr>
                <w:rFonts w:ascii="Times New Roman" w:hAnsi="Times New Roman"/>
                <w:sz w:val="24"/>
              </w:rPr>
              <w:t>’</w:t>
            </w:r>
            <w:r w:rsidRPr="00D51A68">
              <w:rPr>
                <w:rFonts w:ascii="Times New Roman" w:hAnsi="Times New Roman"/>
                <w:sz w:val="24"/>
              </w:rPr>
              <w:t xml:space="preserve">articolo 317, paragrafo 4, del CRR o alla linea di business </w:t>
            </w:r>
            <w:r w:rsidR="0009277C" w:rsidRPr="00D51A68">
              <w:rPr>
                <w:rFonts w:ascii="Times New Roman" w:hAnsi="Times New Roman"/>
                <w:sz w:val="24"/>
              </w:rPr>
              <w:t>“</w:t>
            </w:r>
            <w:r w:rsidRPr="00D51A68">
              <w:rPr>
                <w:rFonts w:ascii="Times New Roman" w:hAnsi="Times New Roman"/>
                <w:sz w:val="24"/>
              </w:rPr>
              <w:t>elementi d</w:t>
            </w:r>
            <w:r w:rsidR="0009277C" w:rsidRPr="00D51A68">
              <w:rPr>
                <w:rFonts w:ascii="Times New Roman" w:hAnsi="Times New Roman"/>
                <w:sz w:val="24"/>
              </w:rPr>
              <w:t>’</w:t>
            </w:r>
            <w:r w:rsidRPr="00D51A68">
              <w:rPr>
                <w:rFonts w:ascii="Times New Roman" w:hAnsi="Times New Roman"/>
                <w:sz w:val="24"/>
              </w:rPr>
              <w:t>impresa</w:t>
            </w:r>
            <w:r w:rsidR="0009277C" w:rsidRPr="00D51A68">
              <w:rPr>
                <w:rFonts w:ascii="Times New Roman" w:hAnsi="Times New Roman"/>
                <w:sz w:val="24"/>
              </w:rPr>
              <w:t>”</w:t>
            </w:r>
            <w:r w:rsidRPr="00D51A68">
              <w:rPr>
                <w:rFonts w:ascii="Times New Roman" w:hAnsi="Times New Roman"/>
                <w:sz w:val="24"/>
              </w:rPr>
              <w:t xml:space="preserve"> di cui all</w:t>
            </w:r>
            <w:r w:rsidR="0009277C" w:rsidRPr="00D51A68">
              <w:rPr>
                <w:rFonts w:ascii="Times New Roman" w:hAnsi="Times New Roman"/>
                <w:sz w:val="24"/>
              </w:rPr>
              <w:t>’</w:t>
            </w:r>
            <w:r w:rsidRPr="00D51A68">
              <w:rPr>
                <w:rFonts w:ascii="Times New Roman" w:hAnsi="Times New Roman"/>
                <w:sz w:val="24"/>
              </w:rPr>
              <w:t>articolo 322, paragrafo 3, lettera b), del CRR e/o ha individuato le tipologie di eventi per tutte le perdite, per la colonna 080 si applicano le disposizioni seguenti:</w:t>
            </w:r>
          </w:p>
          <w:p w:rsidR="00FD54FC" w:rsidRPr="00D51A68" w:rsidRDefault="00125707" w:rsidP="0023700C">
            <w:pPr>
              <w:ind w:left="360" w:hanging="360"/>
              <w:rPr>
                <w:rFonts w:ascii="Times New Roman" w:hAnsi="Times New Roman"/>
                <w:b/>
                <w:bCs/>
                <w:sz w:val="24"/>
              </w:rPr>
            </w:pPr>
            <w:r w:rsidRPr="00D51A68">
              <w:rPr>
                <w:rFonts w:ascii="Times New Roman" w:hAnsi="Times New Roman"/>
                <w:sz w:val="24"/>
              </w:rPr>
              <w:t>-</w:t>
            </w:r>
            <w:r w:rsidR="00A0772B" w:rsidRPr="00D51A68">
              <w:tab/>
            </w:r>
            <w:r w:rsidRPr="00D51A68">
              <w:rPr>
                <w:rFonts w:ascii="Times New Roman" w:hAnsi="Times New Roman"/>
                <w:sz w:val="24"/>
              </w:rPr>
              <w:t>La perdita singola massima segnalata è pari al più elevato tra i valori riportati nelle colonne 010-070 di questa riga.</w:t>
            </w:r>
          </w:p>
          <w:p w:rsidR="00FD54FC" w:rsidRPr="00D51A68" w:rsidRDefault="00125707" w:rsidP="0023700C">
            <w:pPr>
              <w:ind w:left="360" w:hanging="360"/>
              <w:rPr>
                <w:rStyle w:val="InstructionsTabelleberschrift"/>
                <w:rFonts w:ascii="Times New Roman" w:hAnsi="Times New Roman"/>
                <w:bCs w:val="0"/>
                <w:sz w:val="24"/>
              </w:rPr>
            </w:pPr>
            <w:r w:rsidRPr="00D51A68">
              <w:rPr>
                <w:rStyle w:val="InstructionsTabelleberschrift"/>
                <w:rFonts w:ascii="Times New Roman" w:hAnsi="Times New Roman"/>
                <w:b w:val="0"/>
                <w:sz w:val="24"/>
                <w:u w:val="none"/>
              </w:rPr>
              <w:t>-</w:t>
            </w:r>
            <w:r w:rsidR="00A0772B" w:rsidRPr="00D51A68">
              <w:tab/>
            </w:r>
            <w:r w:rsidRPr="00D51A68">
              <w:rPr>
                <w:rFonts w:ascii="Times New Roman" w:hAnsi="Times New Roman"/>
                <w:sz w:val="24"/>
              </w:rPr>
              <w:t>Se vi sono eventi con impatti su più linee di business, l</w:t>
            </w:r>
            <w:r w:rsidR="0009277C" w:rsidRPr="00D51A68">
              <w:rPr>
                <w:rFonts w:ascii="Times New Roman" w:hAnsi="Times New Roman"/>
                <w:sz w:val="24"/>
              </w:rPr>
              <w:t>’</w:t>
            </w:r>
            <w:r w:rsidRPr="00D51A68">
              <w:rPr>
                <w:rFonts w:ascii="Times New Roman" w:hAnsi="Times New Roman"/>
                <w:sz w:val="24"/>
              </w:rPr>
              <w:t xml:space="preserve">importo segnalato alla {r950, c080} può essere più elevato degli importi della </w:t>
            </w:r>
            <w:r w:rsidR="0009277C" w:rsidRPr="00D51A68">
              <w:rPr>
                <w:rFonts w:ascii="Times New Roman" w:hAnsi="Times New Roman"/>
                <w:sz w:val="24"/>
              </w:rPr>
              <w:t>“</w:t>
            </w:r>
            <w:r w:rsidRPr="00D51A68">
              <w:rPr>
                <w:rFonts w:ascii="Times New Roman" w:hAnsi="Times New Roman"/>
                <w:sz w:val="24"/>
              </w:rPr>
              <w:t>perdita singola massima</w:t>
            </w:r>
            <w:r w:rsidR="0009277C" w:rsidRPr="00D51A68">
              <w:rPr>
                <w:rFonts w:ascii="Times New Roman" w:hAnsi="Times New Roman"/>
                <w:sz w:val="24"/>
              </w:rPr>
              <w:t>”</w:t>
            </w:r>
            <w:r w:rsidRPr="00D51A68">
              <w:rPr>
                <w:rFonts w:ascii="Times New Roman" w:hAnsi="Times New Roman"/>
                <w:sz w:val="24"/>
              </w:rPr>
              <w:t xml:space="preserve"> per linea di business segnalati in altre righe della colonna 080. </w:t>
            </w:r>
          </w:p>
        </w:tc>
      </w:tr>
      <w:tr w:rsidR="00FD54FC" w:rsidRPr="00D51A68" w:rsidTr="00672D2A">
        <w:tc>
          <w:tcPr>
            <w:tcW w:w="1101" w:type="dxa"/>
            <w:tcBorders>
              <w:top w:val="single" w:sz="4" w:space="0" w:color="auto"/>
              <w:left w:val="single" w:sz="4" w:space="0" w:color="auto"/>
              <w:bottom w:val="single" w:sz="4" w:space="0" w:color="auto"/>
              <w:right w:val="single" w:sz="4" w:space="0" w:color="auto"/>
            </w:tcBorders>
          </w:tcPr>
          <w:p w:rsidR="00FD54FC" w:rsidRPr="00D51A68" w:rsidRDefault="00C93FC2" w:rsidP="00FD54FC">
            <w:pPr>
              <w:rPr>
                <w:rFonts w:ascii="Times New Roman" w:hAnsi="Times New Roman"/>
                <w:sz w:val="24"/>
              </w:rPr>
            </w:pPr>
            <w:r w:rsidRPr="00D51A68">
              <w:rPr>
                <w:rFonts w:ascii="Times New Roman" w:hAnsi="Times New Roman"/>
                <w:sz w:val="24"/>
              </w:rPr>
              <w:t>0960</w:t>
            </w:r>
          </w:p>
        </w:tc>
        <w:tc>
          <w:tcPr>
            <w:tcW w:w="8079" w:type="dxa"/>
            <w:tcBorders>
              <w:top w:val="single" w:sz="4" w:space="0" w:color="auto"/>
              <w:left w:val="single" w:sz="4" w:space="0" w:color="auto"/>
              <w:bottom w:val="single" w:sz="4" w:space="0" w:color="auto"/>
              <w:right w:val="single" w:sz="4" w:space="0" w:color="auto"/>
            </w:tcBorders>
          </w:tcPr>
          <w:p w:rsidR="00FD54FC" w:rsidRPr="00D51A68" w:rsidRDefault="00FD54FC" w:rsidP="00FD54FC">
            <w:pPr>
              <w:rPr>
                <w:rStyle w:val="InstructionsTabelleberschrift"/>
                <w:rFonts w:ascii="Times New Roman" w:hAnsi="Times New Roman"/>
                <w:sz w:val="24"/>
              </w:rPr>
            </w:pPr>
            <w:r w:rsidRPr="00D51A68">
              <w:rPr>
                <w:rStyle w:val="InstructionsTabelleberschrift"/>
                <w:rFonts w:ascii="Times New Roman" w:hAnsi="Times New Roman"/>
                <w:sz w:val="24"/>
              </w:rPr>
              <w:t>Somma delle cinque maggiori perdite</w:t>
            </w:r>
          </w:p>
          <w:p w:rsidR="00FD54FC" w:rsidRPr="00D51A68" w:rsidRDefault="00FD54FC" w:rsidP="00FD54FC">
            <w:pPr>
              <w:rPr>
                <w:rFonts w:ascii="Times New Roman" w:hAnsi="Times New Roman"/>
                <w:sz w:val="24"/>
              </w:rPr>
            </w:pPr>
            <w:r w:rsidRPr="00D51A68">
              <w:rPr>
                <w:rFonts w:ascii="Times New Roman" w:hAnsi="Times New Roman"/>
                <w:sz w:val="24"/>
              </w:rPr>
              <w:t xml:space="preserve">È segnalata la somma delle cinque maggiori perdite lorde per ciascuna tipologia di evento considerate tutte le linee di business. Questa somma può essere maggiore della somma massima delle cinque maggiori perdite registrate in ciascuna linea di business e deve essere segnalata a prescindere dal numero delle perdite. </w:t>
            </w:r>
          </w:p>
          <w:p w:rsidR="00FD54FC" w:rsidRPr="00D51A68" w:rsidRDefault="00FD54FC" w:rsidP="00FD54FC">
            <w:pPr>
              <w:rPr>
                <w:rStyle w:val="InstructionsTabelleberschrift"/>
                <w:rFonts w:ascii="Times New Roman" w:hAnsi="Times New Roman"/>
                <w:sz w:val="24"/>
              </w:rPr>
            </w:pPr>
            <w:r w:rsidRPr="00D51A68">
              <w:rPr>
                <w:rFonts w:ascii="Times New Roman" w:hAnsi="Times New Roman"/>
                <w:sz w:val="24"/>
              </w:rPr>
              <w:t>Se l</w:t>
            </w:r>
            <w:r w:rsidR="0009277C" w:rsidRPr="00D51A68">
              <w:rPr>
                <w:rFonts w:ascii="Times New Roman" w:hAnsi="Times New Roman"/>
                <w:sz w:val="24"/>
              </w:rPr>
              <w:t>’</w:t>
            </w:r>
            <w:r w:rsidRPr="00D51A68">
              <w:rPr>
                <w:rFonts w:ascii="Times New Roman" w:hAnsi="Times New Roman"/>
                <w:sz w:val="24"/>
              </w:rPr>
              <w:t>ente ha assegnato tutte le sue perdite ad una linea di business elencata nella tabella 2 dell</w:t>
            </w:r>
            <w:r w:rsidR="0009277C" w:rsidRPr="00D51A68">
              <w:rPr>
                <w:rFonts w:ascii="Times New Roman" w:hAnsi="Times New Roman"/>
                <w:sz w:val="24"/>
              </w:rPr>
              <w:t>’</w:t>
            </w:r>
            <w:r w:rsidRPr="00D51A68">
              <w:rPr>
                <w:rFonts w:ascii="Times New Roman" w:hAnsi="Times New Roman"/>
                <w:sz w:val="24"/>
              </w:rPr>
              <w:t xml:space="preserve">articolo 317, paragrafo 4, del CRR o alla linea di business </w:t>
            </w:r>
            <w:r w:rsidR="0009277C" w:rsidRPr="00D51A68">
              <w:rPr>
                <w:rFonts w:ascii="Times New Roman" w:hAnsi="Times New Roman"/>
                <w:sz w:val="24"/>
              </w:rPr>
              <w:t>“</w:t>
            </w:r>
            <w:r w:rsidRPr="00D51A68">
              <w:rPr>
                <w:rFonts w:ascii="Times New Roman" w:hAnsi="Times New Roman"/>
                <w:sz w:val="24"/>
              </w:rPr>
              <w:t>elementi d</w:t>
            </w:r>
            <w:r w:rsidR="0009277C" w:rsidRPr="00D51A68">
              <w:rPr>
                <w:rFonts w:ascii="Times New Roman" w:hAnsi="Times New Roman"/>
                <w:sz w:val="24"/>
              </w:rPr>
              <w:t>’</w:t>
            </w:r>
            <w:r w:rsidRPr="00D51A68">
              <w:rPr>
                <w:rFonts w:ascii="Times New Roman" w:hAnsi="Times New Roman"/>
                <w:sz w:val="24"/>
              </w:rPr>
              <w:t>impresa</w:t>
            </w:r>
            <w:r w:rsidR="0009277C" w:rsidRPr="00D51A68">
              <w:rPr>
                <w:rFonts w:ascii="Times New Roman" w:hAnsi="Times New Roman"/>
                <w:sz w:val="24"/>
              </w:rPr>
              <w:t>”</w:t>
            </w:r>
            <w:r w:rsidRPr="00D51A68">
              <w:rPr>
                <w:rFonts w:ascii="Times New Roman" w:hAnsi="Times New Roman"/>
                <w:sz w:val="24"/>
              </w:rPr>
              <w:t xml:space="preserve"> di cui all</w:t>
            </w:r>
            <w:r w:rsidR="0009277C" w:rsidRPr="00D51A68">
              <w:rPr>
                <w:rFonts w:ascii="Times New Roman" w:hAnsi="Times New Roman"/>
                <w:sz w:val="24"/>
              </w:rPr>
              <w:t>’</w:t>
            </w:r>
            <w:r w:rsidRPr="00D51A68">
              <w:rPr>
                <w:rFonts w:ascii="Times New Roman" w:hAnsi="Times New Roman"/>
                <w:sz w:val="24"/>
              </w:rPr>
              <w:t>articolo 322, paragrafo 3, lettera b), del CRR, e/o ha individuato le tipologie di eventi per tutte le perdite, nella colonna 080 la somma delle cinque maggiori perdite è la somma delle cinque maggiori perdite dell</w:t>
            </w:r>
            <w:r w:rsidR="0009277C" w:rsidRPr="00D51A68">
              <w:rPr>
                <w:rFonts w:ascii="Times New Roman" w:hAnsi="Times New Roman"/>
                <w:sz w:val="24"/>
              </w:rPr>
              <w:t>’</w:t>
            </w:r>
            <w:r w:rsidRPr="00D51A68">
              <w:rPr>
                <w:rFonts w:ascii="Times New Roman" w:hAnsi="Times New Roman"/>
                <w:sz w:val="24"/>
              </w:rPr>
              <w:t xml:space="preserve">intera matrice; ciò significa che questo importo non necessariamente è uguale al valore massimo della </w:t>
            </w:r>
            <w:r w:rsidR="0009277C" w:rsidRPr="00D51A68">
              <w:rPr>
                <w:rFonts w:ascii="Times New Roman" w:hAnsi="Times New Roman"/>
                <w:sz w:val="24"/>
              </w:rPr>
              <w:t>“</w:t>
            </w:r>
            <w:r w:rsidRPr="00D51A68">
              <w:rPr>
                <w:rFonts w:ascii="Times New Roman" w:hAnsi="Times New Roman"/>
                <w:sz w:val="24"/>
              </w:rPr>
              <w:t>somma delle cinque maggiori perdite</w:t>
            </w:r>
            <w:r w:rsidR="0009277C" w:rsidRPr="00D51A68">
              <w:rPr>
                <w:rFonts w:ascii="Times New Roman" w:hAnsi="Times New Roman"/>
                <w:sz w:val="24"/>
              </w:rPr>
              <w:t>”</w:t>
            </w:r>
            <w:r w:rsidRPr="00D51A68">
              <w:rPr>
                <w:rFonts w:ascii="Times New Roman" w:hAnsi="Times New Roman"/>
                <w:sz w:val="24"/>
              </w:rPr>
              <w:t xml:space="preserve"> di cui alla riga 960 o al valore massimo della </w:t>
            </w:r>
            <w:r w:rsidR="0009277C" w:rsidRPr="00D51A68">
              <w:rPr>
                <w:rFonts w:ascii="Times New Roman" w:hAnsi="Times New Roman"/>
                <w:sz w:val="24"/>
              </w:rPr>
              <w:t>“</w:t>
            </w:r>
            <w:r w:rsidRPr="00D51A68">
              <w:rPr>
                <w:rFonts w:ascii="Times New Roman" w:hAnsi="Times New Roman"/>
                <w:sz w:val="24"/>
              </w:rPr>
              <w:t>somma delle cinque maggiori perdite</w:t>
            </w:r>
            <w:r w:rsidR="0009277C" w:rsidRPr="00D51A68">
              <w:rPr>
                <w:rFonts w:ascii="Times New Roman" w:hAnsi="Times New Roman"/>
                <w:sz w:val="24"/>
              </w:rPr>
              <w:t>”</w:t>
            </w:r>
            <w:r w:rsidRPr="00D51A68">
              <w:rPr>
                <w:rFonts w:ascii="Times New Roman" w:hAnsi="Times New Roman"/>
                <w:sz w:val="24"/>
              </w:rPr>
              <w:t xml:space="preserve"> di cui alla colonna 080.</w:t>
            </w:r>
          </w:p>
        </w:tc>
      </w:tr>
      <w:tr w:rsidR="00FD54FC" w:rsidRPr="00D51A68" w:rsidTr="00941EC3">
        <w:trPr>
          <w:cantSplit/>
        </w:trPr>
        <w:tc>
          <w:tcPr>
            <w:tcW w:w="1101" w:type="dxa"/>
            <w:tcBorders>
              <w:top w:val="single" w:sz="4" w:space="0" w:color="auto"/>
              <w:left w:val="single" w:sz="4" w:space="0" w:color="auto"/>
              <w:bottom w:val="single" w:sz="4" w:space="0" w:color="auto"/>
              <w:right w:val="single" w:sz="4" w:space="0" w:color="auto"/>
            </w:tcBorders>
          </w:tcPr>
          <w:p w:rsidR="00FD54FC" w:rsidRPr="00D51A68" w:rsidRDefault="00C93FC2" w:rsidP="00FD54FC">
            <w:pPr>
              <w:rPr>
                <w:rFonts w:ascii="Times New Roman" w:hAnsi="Times New Roman"/>
                <w:sz w:val="24"/>
              </w:rPr>
            </w:pPr>
            <w:r w:rsidRPr="00D51A68">
              <w:rPr>
                <w:rFonts w:ascii="Times New Roman" w:hAnsi="Times New Roman"/>
                <w:sz w:val="24"/>
              </w:rPr>
              <w:lastRenderedPageBreak/>
              <w:t>0970</w:t>
            </w:r>
          </w:p>
        </w:tc>
        <w:tc>
          <w:tcPr>
            <w:tcW w:w="8079" w:type="dxa"/>
            <w:tcBorders>
              <w:top w:val="single" w:sz="4" w:space="0" w:color="auto"/>
              <w:left w:val="single" w:sz="4" w:space="0" w:color="auto"/>
              <w:bottom w:val="single" w:sz="4" w:space="0" w:color="auto"/>
              <w:right w:val="single" w:sz="4" w:space="0" w:color="auto"/>
            </w:tcBorders>
          </w:tcPr>
          <w:p w:rsidR="00FD54FC" w:rsidRPr="00D51A68" w:rsidRDefault="00FD54FC" w:rsidP="00FD54FC">
            <w:pPr>
              <w:rPr>
                <w:rStyle w:val="InstructionsTabelleberschrift"/>
                <w:rFonts w:ascii="Times New Roman" w:hAnsi="Times New Roman"/>
                <w:sz w:val="24"/>
              </w:rPr>
            </w:pPr>
            <w:r w:rsidRPr="00D51A68">
              <w:rPr>
                <w:rStyle w:val="InstructionsTabelleberschrift"/>
                <w:rFonts w:ascii="Times New Roman" w:hAnsi="Times New Roman"/>
                <w:sz w:val="24"/>
              </w:rPr>
              <w:t>Importo complessivo dei recuperi diretti</w:t>
            </w:r>
          </w:p>
          <w:p w:rsidR="00FD54FC" w:rsidRPr="00D51A68" w:rsidRDefault="00FD54FC" w:rsidP="00FD54FC">
            <w:pPr>
              <w:rPr>
                <w:rStyle w:val="InstructionsTabelleberschrift"/>
                <w:rFonts w:ascii="Times New Roman" w:hAnsi="Times New Roman"/>
                <w:sz w:val="24"/>
              </w:rPr>
            </w:pPr>
            <w:r w:rsidRPr="00D51A68">
              <w:rPr>
                <w:rFonts w:ascii="Times New Roman" w:hAnsi="Times New Roman"/>
                <w:sz w:val="24"/>
              </w:rPr>
              <w:t>Se l</w:t>
            </w:r>
            <w:r w:rsidR="0009277C" w:rsidRPr="00D51A68">
              <w:rPr>
                <w:rFonts w:ascii="Times New Roman" w:hAnsi="Times New Roman"/>
                <w:sz w:val="24"/>
              </w:rPr>
              <w:t>’</w:t>
            </w:r>
            <w:r w:rsidRPr="00D51A68">
              <w:rPr>
                <w:rFonts w:ascii="Times New Roman" w:hAnsi="Times New Roman"/>
                <w:sz w:val="24"/>
              </w:rPr>
              <w:t>ente ha assegnato tutte le sue perdite ad una linea di business elencata nella tabella 2 dell</w:t>
            </w:r>
            <w:r w:rsidR="0009277C" w:rsidRPr="00D51A68">
              <w:rPr>
                <w:rFonts w:ascii="Times New Roman" w:hAnsi="Times New Roman"/>
                <w:sz w:val="24"/>
              </w:rPr>
              <w:t>’</w:t>
            </w:r>
            <w:r w:rsidRPr="00D51A68">
              <w:rPr>
                <w:rFonts w:ascii="Times New Roman" w:hAnsi="Times New Roman"/>
                <w:sz w:val="24"/>
              </w:rPr>
              <w:t xml:space="preserve">articolo 317, paragrafo 4, del CRR o alla linea di business </w:t>
            </w:r>
            <w:r w:rsidR="0009277C" w:rsidRPr="00D51A68">
              <w:rPr>
                <w:rFonts w:ascii="Times New Roman" w:hAnsi="Times New Roman"/>
                <w:sz w:val="24"/>
              </w:rPr>
              <w:t>“</w:t>
            </w:r>
            <w:r w:rsidRPr="00D51A68">
              <w:rPr>
                <w:rFonts w:ascii="Times New Roman" w:hAnsi="Times New Roman"/>
                <w:sz w:val="24"/>
              </w:rPr>
              <w:t>elementi d</w:t>
            </w:r>
            <w:r w:rsidR="0009277C" w:rsidRPr="00D51A68">
              <w:rPr>
                <w:rFonts w:ascii="Times New Roman" w:hAnsi="Times New Roman"/>
                <w:sz w:val="24"/>
              </w:rPr>
              <w:t>’</w:t>
            </w:r>
            <w:r w:rsidRPr="00D51A68">
              <w:rPr>
                <w:rFonts w:ascii="Times New Roman" w:hAnsi="Times New Roman"/>
                <w:sz w:val="24"/>
              </w:rPr>
              <w:t>impresa</w:t>
            </w:r>
            <w:r w:rsidR="0009277C" w:rsidRPr="00D51A68">
              <w:rPr>
                <w:rFonts w:ascii="Times New Roman" w:hAnsi="Times New Roman"/>
                <w:sz w:val="24"/>
              </w:rPr>
              <w:t>”</w:t>
            </w:r>
            <w:r w:rsidRPr="00D51A68">
              <w:rPr>
                <w:rFonts w:ascii="Times New Roman" w:hAnsi="Times New Roman"/>
                <w:sz w:val="24"/>
              </w:rPr>
              <w:t xml:space="preserve"> di cui all</w:t>
            </w:r>
            <w:r w:rsidR="0009277C" w:rsidRPr="00D51A68">
              <w:rPr>
                <w:rFonts w:ascii="Times New Roman" w:hAnsi="Times New Roman"/>
                <w:sz w:val="24"/>
              </w:rPr>
              <w:t>’</w:t>
            </w:r>
            <w:r w:rsidRPr="00D51A68">
              <w:rPr>
                <w:rFonts w:ascii="Times New Roman" w:hAnsi="Times New Roman"/>
                <w:sz w:val="24"/>
              </w:rPr>
              <w:t>articolo 322, paragrafo 3, lettera b), del CRR, l</w:t>
            </w:r>
            <w:r w:rsidR="0009277C" w:rsidRPr="00D51A68">
              <w:rPr>
                <w:rFonts w:ascii="Times New Roman" w:hAnsi="Times New Roman"/>
                <w:sz w:val="24"/>
              </w:rPr>
              <w:t>’</w:t>
            </w:r>
            <w:r w:rsidRPr="00D51A68">
              <w:rPr>
                <w:rFonts w:ascii="Times New Roman" w:hAnsi="Times New Roman"/>
                <w:sz w:val="24"/>
              </w:rPr>
              <w:t>importo complessivo dei recuperi diretti è la semplice aggregazione dell</w:t>
            </w:r>
            <w:r w:rsidR="0009277C" w:rsidRPr="00D51A68">
              <w:rPr>
                <w:rFonts w:ascii="Times New Roman" w:hAnsi="Times New Roman"/>
                <w:sz w:val="24"/>
              </w:rPr>
              <w:t>’</w:t>
            </w:r>
            <w:r w:rsidRPr="00D51A68">
              <w:rPr>
                <w:rFonts w:ascii="Times New Roman" w:hAnsi="Times New Roman"/>
                <w:sz w:val="24"/>
              </w:rPr>
              <w:t>importo complessivo dei recuperi diretti di ciascuna linea di business.</w:t>
            </w:r>
          </w:p>
        </w:tc>
      </w:tr>
      <w:tr w:rsidR="00FD54FC" w:rsidRPr="00D51A68" w:rsidTr="00672D2A">
        <w:tc>
          <w:tcPr>
            <w:tcW w:w="1101" w:type="dxa"/>
            <w:tcBorders>
              <w:top w:val="single" w:sz="4" w:space="0" w:color="auto"/>
              <w:left w:val="single" w:sz="4" w:space="0" w:color="auto"/>
              <w:bottom w:val="single" w:sz="4" w:space="0" w:color="auto"/>
              <w:right w:val="single" w:sz="4" w:space="0" w:color="auto"/>
            </w:tcBorders>
          </w:tcPr>
          <w:p w:rsidR="00FD54FC" w:rsidRPr="00D51A68" w:rsidRDefault="00C93FC2" w:rsidP="00FD54FC">
            <w:pPr>
              <w:rPr>
                <w:rFonts w:ascii="Times New Roman" w:hAnsi="Times New Roman"/>
                <w:sz w:val="24"/>
              </w:rPr>
            </w:pPr>
            <w:r w:rsidRPr="00D51A68">
              <w:rPr>
                <w:rFonts w:ascii="Times New Roman" w:hAnsi="Times New Roman"/>
                <w:sz w:val="24"/>
              </w:rPr>
              <w:t>0980</w:t>
            </w:r>
          </w:p>
        </w:tc>
        <w:tc>
          <w:tcPr>
            <w:tcW w:w="8079" w:type="dxa"/>
            <w:tcBorders>
              <w:top w:val="single" w:sz="4" w:space="0" w:color="auto"/>
              <w:left w:val="single" w:sz="4" w:space="0" w:color="auto"/>
              <w:bottom w:val="single" w:sz="4" w:space="0" w:color="auto"/>
              <w:right w:val="single" w:sz="4" w:space="0" w:color="auto"/>
            </w:tcBorders>
          </w:tcPr>
          <w:p w:rsidR="00FD54FC" w:rsidRPr="00D51A68" w:rsidRDefault="00FD54FC" w:rsidP="00FD54FC">
            <w:pPr>
              <w:rPr>
                <w:rStyle w:val="InstructionsTabelleberschrift"/>
                <w:rFonts w:ascii="Times New Roman" w:hAnsi="Times New Roman"/>
                <w:sz w:val="24"/>
              </w:rPr>
            </w:pPr>
            <w:r w:rsidRPr="00D51A68">
              <w:rPr>
                <w:rStyle w:val="InstructionsTabelleberschrift"/>
                <w:rFonts w:ascii="Times New Roman" w:hAnsi="Times New Roman"/>
                <w:sz w:val="24"/>
              </w:rPr>
              <w:t>Importo complessivo dei recuperi da assicurazioni e altri meccanismi di trasferimento del rischio</w:t>
            </w:r>
          </w:p>
          <w:p w:rsidR="00FD54FC" w:rsidRPr="00D51A68" w:rsidRDefault="00FD54FC" w:rsidP="00FD54FC">
            <w:pPr>
              <w:rPr>
                <w:rFonts w:ascii="Times New Roman" w:hAnsi="Times New Roman"/>
                <w:b/>
                <w:bCs/>
                <w:sz w:val="24"/>
                <w:u w:val="single"/>
              </w:rPr>
            </w:pPr>
            <w:r w:rsidRPr="00D51A68">
              <w:rPr>
                <w:rFonts w:ascii="Times New Roman" w:hAnsi="Times New Roman"/>
                <w:sz w:val="24"/>
              </w:rPr>
              <w:t>Se l</w:t>
            </w:r>
            <w:r w:rsidR="0009277C" w:rsidRPr="00D51A68">
              <w:rPr>
                <w:rFonts w:ascii="Times New Roman" w:hAnsi="Times New Roman"/>
                <w:sz w:val="24"/>
              </w:rPr>
              <w:t>’</w:t>
            </w:r>
            <w:r w:rsidRPr="00D51A68">
              <w:rPr>
                <w:rFonts w:ascii="Times New Roman" w:hAnsi="Times New Roman"/>
                <w:sz w:val="24"/>
              </w:rPr>
              <w:t>ente ha assegnato tutte le sue perdite ad una linea di business elencata nella tabella 2 dell</w:t>
            </w:r>
            <w:r w:rsidR="0009277C" w:rsidRPr="00D51A68">
              <w:rPr>
                <w:rFonts w:ascii="Times New Roman" w:hAnsi="Times New Roman"/>
                <w:sz w:val="24"/>
              </w:rPr>
              <w:t>’</w:t>
            </w:r>
            <w:r w:rsidRPr="00D51A68">
              <w:rPr>
                <w:rFonts w:ascii="Times New Roman" w:hAnsi="Times New Roman"/>
                <w:sz w:val="24"/>
              </w:rPr>
              <w:t xml:space="preserve">articolo 317, paragrafo 4, del CRR o alla linea di business </w:t>
            </w:r>
            <w:r w:rsidR="0009277C" w:rsidRPr="00D51A68">
              <w:rPr>
                <w:rFonts w:ascii="Times New Roman" w:hAnsi="Times New Roman"/>
                <w:sz w:val="24"/>
              </w:rPr>
              <w:t>“</w:t>
            </w:r>
            <w:r w:rsidRPr="00D51A68">
              <w:rPr>
                <w:rFonts w:ascii="Times New Roman" w:hAnsi="Times New Roman"/>
                <w:sz w:val="24"/>
              </w:rPr>
              <w:t>elementi d</w:t>
            </w:r>
            <w:r w:rsidR="0009277C" w:rsidRPr="00D51A68">
              <w:rPr>
                <w:rFonts w:ascii="Times New Roman" w:hAnsi="Times New Roman"/>
                <w:sz w:val="24"/>
              </w:rPr>
              <w:t>’</w:t>
            </w:r>
            <w:r w:rsidRPr="00D51A68">
              <w:rPr>
                <w:rFonts w:ascii="Times New Roman" w:hAnsi="Times New Roman"/>
                <w:sz w:val="24"/>
              </w:rPr>
              <w:t>impresa</w:t>
            </w:r>
            <w:r w:rsidR="0009277C" w:rsidRPr="00D51A68">
              <w:rPr>
                <w:rFonts w:ascii="Times New Roman" w:hAnsi="Times New Roman"/>
                <w:sz w:val="24"/>
              </w:rPr>
              <w:t>”</w:t>
            </w:r>
            <w:r w:rsidRPr="00D51A68">
              <w:rPr>
                <w:rFonts w:ascii="Times New Roman" w:hAnsi="Times New Roman"/>
                <w:sz w:val="24"/>
              </w:rPr>
              <w:t xml:space="preserve"> di cui all</w:t>
            </w:r>
            <w:r w:rsidR="0009277C" w:rsidRPr="00D51A68">
              <w:rPr>
                <w:rFonts w:ascii="Times New Roman" w:hAnsi="Times New Roman"/>
                <w:sz w:val="24"/>
              </w:rPr>
              <w:t>’</w:t>
            </w:r>
            <w:r w:rsidRPr="00D51A68">
              <w:rPr>
                <w:rFonts w:ascii="Times New Roman" w:hAnsi="Times New Roman"/>
                <w:sz w:val="24"/>
              </w:rPr>
              <w:t>articolo 322, paragrafo 3, lettera b), del CRR, l</w:t>
            </w:r>
            <w:r w:rsidR="0009277C" w:rsidRPr="00D51A68">
              <w:rPr>
                <w:rFonts w:ascii="Times New Roman" w:hAnsi="Times New Roman"/>
                <w:sz w:val="24"/>
              </w:rPr>
              <w:t>’</w:t>
            </w:r>
            <w:r w:rsidRPr="00D51A68">
              <w:rPr>
                <w:rFonts w:ascii="Times New Roman" w:hAnsi="Times New Roman"/>
                <w:sz w:val="24"/>
              </w:rPr>
              <w:t>importo complessivo dei recuperi da assicurazioni e altri meccanismi di trasferimento del rischio è la semplice aggregazione degli importi complessivi dei recuperi da assicurazioni e altri meccanismi di trasferimento del rischio per ciascuna linea di business.</w:t>
            </w:r>
          </w:p>
        </w:tc>
      </w:tr>
    </w:tbl>
    <w:p w:rsidR="00FD54FC" w:rsidRPr="00D51A68" w:rsidRDefault="00FD54FC" w:rsidP="00FD54FC">
      <w:pPr>
        <w:spacing w:before="0" w:after="0"/>
        <w:jc w:val="left"/>
        <w:rPr>
          <w:rStyle w:val="InstructionsTabelleText"/>
          <w:rFonts w:ascii="Times New Roman" w:hAnsi="Times New Roman"/>
          <w:sz w:val="24"/>
        </w:rPr>
      </w:pPr>
    </w:p>
    <w:p w:rsidR="00FD54FC" w:rsidRPr="00D51A68" w:rsidRDefault="00125707" w:rsidP="0023700C">
      <w:pPr>
        <w:pStyle w:val="Instructionsberschrift2"/>
        <w:numPr>
          <w:ilvl w:val="0"/>
          <w:numId w:val="0"/>
        </w:numPr>
        <w:ind w:left="357" w:hanging="357"/>
        <w:rPr>
          <w:rFonts w:ascii="Times New Roman" w:hAnsi="Times New Roman" w:cs="Times New Roman"/>
          <w:sz w:val="24"/>
        </w:rPr>
      </w:pPr>
      <w:bookmarkStart w:id="578" w:name="_Toc516210679"/>
      <w:bookmarkStart w:id="579" w:name="_Toc473561028"/>
      <w:bookmarkStart w:id="580" w:name="_Toc524096624"/>
      <w:r w:rsidRPr="00D51A68">
        <w:rPr>
          <w:rFonts w:ascii="Times New Roman" w:hAnsi="Times New Roman"/>
          <w:sz w:val="24"/>
          <w:u w:val="none"/>
        </w:rPr>
        <w:t>4.2.3.</w:t>
      </w:r>
      <w:r w:rsidR="00A0772B" w:rsidRPr="00D51A68">
        <w:rPr>
          <w:u w:val="none"/>
        </w:rPr>
        <w:tab/>
      </w:r>
      <w:r w:rsidRPr="00D51A68">
        <w:rPr>
          <w:rFonts w:ascii="Times New Roman" w:hAnsi="Times New Roman"/>
          <w:sz w:val="24"/>
        </w:rPr>
        <w:t>C 17.02: Rischio operativo: informazioni dettagliate sui principali eventi di perdita nel corso dell</w:t>
      </w:r>
      <w:r w:rsidR="0009277C" w:rsidRPr="00D51A68">
        <w:rPr>
          <w:rFonts w:ascii="Times New Roman" w:hAnsi="Times New Roman"/>
          <w:sz w:val="24"/>
        </w:rPr>
        <w:t>’</w:t>
      </w:r>
      <w:r w:rsidRPr="00D51A68">
        <w:rPr>
          <w:rFonts w:ascii="Times New Roman" w:hAnsi="Times New Roman"/>
          <w:sz w:val="24"/>
        </w:rPr>
        <w:t>ultimo anno (OPR DETAILS 2)</w:t>
      </w:r>
      <w:bookmarkEnd w:id="578"/>
      <w:bookmarkEnd w:id="579"/>
      <w:bookmarkEnd w:id="580"/>
    </w:p>
    <w:p w:rsidR="00FD54FC" w:rsidRPr="00D51A68" w:rsidRDefault="00125707" w:rsidP="0023700C">
      <w:pPr>
        <w:pStyle w:val="Instructionsberschrift2"/>
        <w:numPr>
          <w:ilvl w:val="0"/>
          <w:numId w:val="0"/>
        </w:numPr>
        <w:ind w:left="357" w:hanging="357"/>
        <w:rPr>
          <w:rFonts w:ascii="Times New Roman" w:hAnsi="Times New Roman" w:cs="Times New Roman"/>
          <w:sz w:val="24"/>
        </w:rPr>
      </w:pPr>
      <w:bookmarkStart w:id="581" w:name="_Toc516210680"/>
      <w:bookmarkStart w:id="582" w:name="_Toc473561029"/>
      <w:bookmarkStart w:id="583" w:name="_Toc524096625"/>
      <w:r w:rsidRPr="00D51A68">
        <w:rPr>
          <w:rFonts w:ascii="Times New Roman" w:hAnsi="Times New Roman"/>
          <w:sz w:val="24"/>
          <w:u w:val="none"/>
        </w:rPr>
        <w:t>4.2.3.1.</w:t>
      </w:r>
      <w:r w:rsidR="00A0772B" w:rsidRPr="00D51A68">
        <w:rPr>
          <w:u w:val="none"/>
        </w:rPr>
        <w:tab/>
      </w:r>
      <w:r w:rsidRPr="00D51A68">
        <w:rPr>
          <w:rFonts w:ascii="Times New Roman" w:hAnsi="Times New Roman"/>
          <w:sz w:val="24"/>
        </w:rPr>
        <w:t>Osservazioni di carattere generale</w:t>
      </w:r>
      <w:bookmarkEnd w:id="581"/>
      <w:bookmarkEnd w:id="582"/>
      <w:bookmarkEnd w:id="583"/>
    </w:p>
    <w:p w:rsidR="00FD54FC" w:rsidRPr="00D51A68" w:rsidRDefault="00125707" w:rsidP="00941EC3">
      <w:pPr>
        <w:pStyle w:val="InstructionsText2"/>
        <w:numPr>
          <w:ilvl w:val="0"/>
          <w:numId w:val="0"/>
        </w:numPr>
        <w:ind w:left="993"/>
      </w:pPr>
      <w:r w:rsidRPr="00D51A68">
        <w:t>134.</w:t>
      </w:r>
      <w:r w:rsidR="00A0772B" w:rsidRPr="00D51A68">
        <w:tab/>
      </w:r>
      <w:r w:rsidRPr="00D51A68">
        <w:t>Nel modello C 17.02 sono fornite informazioni sui singoli eventi di perdita (una riga per ciascun evento).</w:t>
      </w:r>
    </w:p>
    <w:p w:rsidR="00FD54FC" w:rsidRPr="00D51A68" w:rsidRDefault="00125707" w:rsidP="00941EC3">
      <w:pPr>
        <w:pStyle w:val="InstructionsText2"/>
        <w:numPr>
          <w:ilvl w:val="0"/>
          <w:numId w:val="0"/>
        </w:numPr>
        <w:ind w:left="993"/>
      </w:pPr>
      <w:r w:rsidRPr="00D51A68">
        <w:t>135.</w:t>
      </w:r>
      <w:r w:rsidR="00A0772B" w:rsidRPr="00D51A68">
        <w:tab/>
      </w:r>
      <w:r w:rsidRPr="00D51A68">
        <w:t xml:space="preserve">Le informazioni segnalate in questo modello fanno riferimento a </w:t>
      </w:r>
      <w:r w:rsidR="0009277C" w:rsidRPr="00D51A68">
        <w:t>“</w:t>
      </w:r>
      <w:r w:rsidRPr="00D51A68">
        <w:t>eventi nuovi</w:t>
      </w:r>
      <w:r w:rsidR="0009277C" w:rsidRPr="00D51A68">
        <w:t>”</w:t>
      </w:r>
      <w:r w:rsidRPr="00D51A68">
        <w:t>, vale a dire eventi di rischio operativo</w:t>
      </w:r>
      <w:r w:rsidR="00A0772B" w:rsidRPr="00D51A68">
        <w:tab/>
      </w:r>
    </w:p>
    <w:p w:rsidR="00FD54FC" w:rsidRPr="00D51A68" w:rsidRDefault="00125707" w:rsidP="00941EC3">
      <w:pPr>
        <w:pStyle w:val="InstructionsText2"/>
        <w:numPr>
          <w:ilvl w:val="0"/>
          <w:numId w:val="0"/>
        </w:numPr>
        <w:ind w:left="993"/>
      </w:pPr>
      <w:r w:rsidRPr="00D51A68">
        <w:t>a)</w:t>
      </w:r>
      <w:r w:rsidR="00A0772B" w:rsidRPr="00D51A68">
        <w:tab/>
      </w:r>
      <w:r w:rsidR="0009277C" w:rsidRPr="00D51A68">
        <w:t>“</w:t>
      </w:r>
      <w:r w:rsidRPr="00D51A68">
        <w:t>contabilizzati per la prima volta</w:t>
      </w:r>
      <w:r w:rsidR="0009277C" w:rsidRPr="00D51A68">
        <w:t>”</w:t>
      </w:r>
      <w:r w:rsidRPr="00D51A68">
        <w:t xml:space="preserve"> nel periodo di riferimento per le segnalazioni o</w:t>
      </w:r>
    </w:p>
    <w:p w:rsidR="00FD54FC" w:rsidRPr="00D51A68" w:rsidRDefault="00125707" w:rsidP="00941EC3">
      <w:pPr>
        <w:pStyle w:val="InstructionsText2"/>
        <w:numPr>
          <w:ilvl w:val="0"/>
          <w:numId w:val="0"/>
        </w:numPr>
        <w:ind w:left="993"/>
      </w:pPr>
      <w:r w:rsidRPr="00D51A68">
        <w:t>b)</w:t>
      </w:r>
      <w:r w:rsidR="00A0772B" w:rsidRPr="00D51A68">
        <w:tab/>
      </w:r>
      <w:r w:rsidR="0009277C" w:rsidRPr="00D51A68">
        <w:t>“</w:t>
      </w:r>
      <w:r w:rsidRPr="00D51A68">
        <w:t>contabilizzati per la prima volta</w:t>
      </w:r>
      <w:r w:rsidR="0009277C" w:rsidRPr="00D51A68">
        <w:t>”</w:t>
      </w:r>
      <w:r w:rsidRPr="00D51A68">
        <w:t xml:space="preserve"> in un precedente periodo di riferimento per le segnalazioni, se l</w:t>
      </w:r>
      <w:r w:rsidR="0009277C" w:rsidRPr="00D51A68">
        <w:t>’</w:t>
      </w:r>
      <w:r w:rsidRPr="00D51A68">
        <w:t>evento non era stato incluso in nessuna precedente segnalazione ai fini di vigilanza, per esempio perché è stato identificato come evento di rischio operativo solo nell</w:t>
      </w:r>
      <w:r w:rsidR="0009277C" w:rsidRPr="00D51A68">
        <w:t>’</w:t>
      </w:r>
      <w:r w:rsidRPr="00D51A68">
        <w:t>attuale periodo di riferimento per le segnalazioni o perché la perdita accumulata imputabile a tale evento (ossia la perdita originaria più/meno tutti gli adeguamenti per perdite effettuati nei precedenti periodi di riferimento per le segnalazioni) ha superato la soglia per la raccolta di dati interni soltanto nell</w:t>
      </w:r>
      <w:r w:rsidR="0009277C" w:rsidRPr="00D51A68">
        <w:t>’</w:t>
      </w:r>
      <w:r w:rsidRPr="00D51A68">
        <w:t>attuale periodo di riferimento per le segnalazioni.</w:t>
      </w:r>
    </w:p>
    <w:p w:rsidR="00FD54FC" w:rsidRPr="00D51A68" w:rsidRDefault="00125707" w:rsidP="00941EC3">
      <w:pPr>
        <w:pStyle w:val="InstructionsText2"/>
        <w:numPr>
          <w:ilvl w:val="0"/>
          <w:numId w:val="0"/>
        </w:numPr>
        <w:ind w:left="993"/>
      </w:pPr>
      <w:r w:rsidRPr="00D51A68">
        <w:t>136.</w:t>
      </w:r>
      <w:r w:rsidR="00A0772B" w:rsidRPr="00D51A68">
        <w:tab/>
      </w:r>
      <w:r w:rsidRPr="00D51A68">
        <w:t>Sono segnalati soltanto gli eventi che comportano una perdita lorda pari o superiore a 100 000 EUR.</w:t>
      </w:r>
      <w:r w:rsidR="00941EC3" w:rsidRPr="00D51A68">
        <w:tab/>
      </w:r>
      <w:r w:rsidRPr="00D51A68">
        <w:br/>
      </w:r>
      <w:r w:rsidR="00A0772B" w:rsidRPr="00D51A68">
        <w:tab/>
      </w:r>
      <w:r w:rsidRPr="00D51A68">
        <w:t>Tenuto conto di tale soglia,</w:t>
      </w:r>
    </w:p>
    <w:p w:rsidR="00FD54FC" w:rsidRPr="00D51A68" w:rsidRDefault="00125707" w:rsidP="00941EC3">
      <w:pPr>
        <w:pStyle w:val="InstructionsText2"/>
        <w:numPr>
          <w:ilvl w:val="0"/>
          <w:numId w:val="0"/>
        </w:numPr>
        <w:ind w:left="993"/>
      </w:pPr>
      <w:r w:rsidRPr="00D51A68">
        <w:t>a)</w:t>
      </w:r>
      <w:r w:rsidR="00A0772B" w:rsidRPr="00D51A68">
        <w:tab/>
      </w:r>
      <w:r w:rsidRPr="00D51A68">
        <w:t>sono indicati nel modello l</w:t>
      </w:r>
      <w:r w:rsidR="0009277C" w:rsidRPr="00D51A68">
        <w:t>’</w:t>
      </w:r>
      <w:r w:rsidRPr="00D51A68">
        <w:t>evento maggiore per ciascuna tipologia di evento, a condizione che l</w:t>
      </w:r>
      <w:r w:rsidR="0009277C" w:rsidRPr="00D51A68">
        <w:t>’</w:t>
      </w:r>
      <w:r w:rsidRPr="00D51A68">
        <w:t>ente abbia individuato le tipologie di eventi di perdita e</w:t>
      </w:r>
    </w:p>
    <w:p w:rsidR="00FD54FC" w:rsidRPr="00D51A68" w:rsidRDefault="00125707" w:rsidP="00941EC3">
      <w:pPr>
        <w:pStyle w:val="InstructionsText2"/>
        <w:numPr>
          <w:ilvl w:val="0"/>
          <w:numId w:val="0"/>
        </w:numPr>
        <w:ind w:left="993"/>
      </w:pPr>
      <w:r w:rsidRPr="00D51A68">
        <w:lastRenderedPageBreak/>
        <w:t>b)</w:t>
      </w:r>
      <w:r w:rsidR="00A0772B" w:rsidRPr="00D51A68">
        <w:tab/>
      </w:r>
      <w:r w:rsidRPr="00D51A68">
        <w:t xml:space="preserve">almeno i dieci maggiori eventi rimanenti per importo della perdita lorda, a prescindere dal fatto che sia stata o meno individuata la tipologia di evento. </w:t>
      </w:r>
    </w:p>
    <w:p w:rsidR="00FD54FC" w:rsidRPr="00D51A68" w:rsidRDefault="00125707" w:rsidP="00941EC3">
      <w:pPr>
        <w:pStyle w:val="InstructionsText2"/>
        <w:numPr>
          <w:ilvl w:val="0"/>
          <w:numId w:val="0"/>
        </w:numPr>
        <w:ind w:left="993"/>
      </w:pPr>
      <w:r w:rsidRPr="00D51A68">
        <w:t>c)</w:t>
      </w:r>
      <w:r w:rsidR="00A0772B" w:rsidRPr="00D51A68">
        <w:tab/>
      </w:r>
      <w:r w:rsidRPr="00D51A68">
        <w:t xml:space="preserve">Gli eventi sono classificati sulla base delle perdite lorde loro imputate. </w:t>
      </w:r>
    </w:p>
    <w:p w:rsidR="00FD54FC" w:rsidRPr="00D51A68" w:rsidRDefault="00125707" w:rsidP="00941EC3">
      <w:pPr>
        <w:pStyle w:val="InstructionsText2"/>
        <w:numPr>
          <w:ilvl w:val="0"/>
          <w:numId w:val="0"/>
        </w:numPr>
        <w:ind w:left="993"/>
      </w:pPr>
      <w:r w:rsidRPr="00D51A68">
        <w:t>d)</w:t>
      </w:r>
      <w:r w:rsidR="00A0772B" w:rsidRPr="00D51A68">
        <w:tab/>
      </w:r>
      <w:r w:rsidRPr="00D51A68">
        <w:t>Ciascun evento è considerato solo una volta.</w:t>
      </w:r>
    </w:p>
    <w:p w:rsidR="00FD54FC" w:rsidRPr="00D51A68" w:rsidRDefault="00125707" w:rsidP="0023700C">
      <w:pPr>
        <w:pStyle w:val="Instructionsberschrift2"/>
        <w:numPr>
          <w:ilvl w:val="0"/>
          <w:numId w:val="0"/>
        </w:numPr>
        <w:ind w:left="357" w:hanging="357"/>
        <w:rPr>
          <w:rFonts w:ascii="Times New Roman" w:hAnsi="Times New Roman" w:cs="Times New Roman"/>
          <w:sz w:val="24"/>
        </w:rPr>
      </w:pPr>
      <w:bookmarkStart w:id="584" w:name="_Toc516210681"/>
      <w:bookmarkStart w:id="585" w:name="_Toc473561030"/>
      <w:bookmarkStart w:id="586" w:name="_Toc524096626"/>
      <w:r w:rsidRPr="00D51A68">
        <w:rPr>
          <w:rFonts w:ascii="Times New Roman" w:hAnsi="Times New Roman"/>
          <w:sz w:val="24"/>
          <w:u w:val="none"/>
        </w:rPr>
        <w:t>4.2.3.2.</w:t>
      </w:r>
      <w:r w:rsidR="00A0772B" w:rsidRPr="00D51A68">
        <w:rPr>
          <w:u w:val="none"/>
        </w:rPr>
        <w:tab/>
      </w:r>
      <w:r w:rsidRPr="00D51A68">
        <w:rPr>
          <w:rFonts w:ascii="Times New Roman" w:hAnsi="Times New Roman"/>
          <w:sz w:val="24"/>
        </w:rPr>
        <w:t>Istruzioni relative a posizioni specifiche</w:t>
      </w:r>
      <w:bookmarkEnd w:id="584"/>
      <w:bookmarkEnd w:id="585"/>
      <w:bookmarkEnd w:id="58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8329"/>
      </w:tblGrid>
      <w:tr w:rsidR="00FD54FC" w:rsidRPr="00D51A68" w:rsidTr="00672D2A">
        <w:tc>
          <w:tcPr>
            <w:tcW w:w="9288" w:type="dxa"/>
            <w:gridSpan w:val="2"/>
            <w:shd w:val="clear" w:color="auto" w:fill="BFBFBF"/>
          </w:tcPr>
          <w:p w:rsidR="00FD54FC" w:rsidRPr="00D51A68" w:rsidRDefault="00FD54FC" w:rsidP="00FD54FC">
            <w:pPr>
              <w:rPr>
                <w:rFonts w:ascii="Times New Roman" w:hAnsi="Times New Roman"/>
                <w:sz w:val="24"/>
              </w:rPr>
            </w:pPr>
            <w:r w:rsidRPr="00D51A68">
              <w:rPr>
                <w:rFonts w:ascii="Times New Roman" w:hAnsi="Times New Roman"/>
                <w:b/>
                <w:sz w:val="24"/>
              </w:rPr>
              <w:t>Colonne</w:t>
            </w:r>
          </w:p>
        </w:tc>
      </w:tr>
      <w:tr w:rsidR="00FD54FC" w:rsidRPr="00D51A68" w:rsidTr="00672D2A">
        <w:tc>
          <w:tcPr>
            <w:tcW w:w="959" w:type="dxa"/>
            <w:shd w:val="clear" w:color="auto" w:fill="auto"/>
          </w:tcPr>
          <w:p w:rsidR="00FD54FC" w:rsidRPr="00D51A68" w:rsidRDefault="00C93FC2" w:rsidP="00FD54FC">
            <w:pPr>
              <w:rPr>
                <w:rFonts w:ascii="Times New Roman" w:hAnsi="Times New Roman"/>
                <w:sz w:val="24"/>
              </w:rPr>
            </w:pPr>
            <w:r w:rsidRPr="00D51A68">
              <w:rPr>
                <w:rFonts w:ascii="Times New Roman" w:hAnsi="Times New Roman"/>
                <w:sz w:val="24"/>
              </w:rPr>
              <w:t>0010</w:t>
            </w:r>
          </w:p>
        </w:tc>
        <w:tc>
          <w:tcPr>
            <w:tcW w:w="8329" w:type="dxa"/>
            <w:shd w:val="clear" w:color="auto" w:fill="auto"/>
          </w:tcPr>
          <w:p w:rsidR="00FD54FC" w:rsidRPr="00D51A68" w:rsidRDefault="00FD54FC" w:rsidP="00FD54FC">
            <w:pPr>
              <w:rPr>
                <w:rFonts w:ascii="Times New Roman" w:hAnsi="Times New Roman"/>
                <w:sz w:val="24"/>
              </w:rPr>
            </w:pPr>
            <w:r w:rsidRPr="00D51A68">
              <w:rPr>
                <w:rStyle w:val="InstructionsTabelleberschrift"/>
                <w:rFonts w:ascii="Times New Roman" w:hAnsi="Times New Roman"/>
                <w:sz w:val="24"/>
              </w:rPr>
              <w:t>ID dell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evento</w:t>
            </w:r>
          </w:p>
          <w:p w:rsidR="00FD54FC" w:rsidRPr="00D51A68" w:rsidRDefault="00FD54FC" w:rsidP="00FD54FC">
            <w:pPr>
              <w:rPr>
                <w:rFonts w:ascii="Times New Roman" w:hAnsi="Times New Roman"/>
                <w:sz w:val="24"/>
              </w:rPr>
            </w:pPr>
            <w:r w:rsidRPr="00D51A68">
              <w:rPr>
                <w:rFonts w:ascii="Times New Roman" w:hAnsi="Times New Roman"/>
                <w:sz w:val="24"/>
              </w:rPr>
              <w:t>L</w:t>
            </w:r>
            <w:r w:rsidR="0009277C" w:rsidRPr="00D51A68">
              <w:rPr>
                <w:rFonts w:ascii="Times New Roman" w:hAnsi="Times New Roman"/>
                <w:sz w:val="24"/>
              </w:rPr>
              <w:t>’</w:t>
            </w:r>
            <w:r w:rsidRPr="00D51A68">
              <w:rPr>
                <w:rFonts w:ascii="Times New Roman" w:hAnsi="Times New Roman"/>
                <w:sz w:val="24"/>
              </w:rPr>
              <w:t>ID dell</w:t>
            </w:r>
            <w:r w:rsidR="0009277C" w:rsidRPr="00D51A68">
              <w:rPr>
                <w:rFonts w:ascii="Times New Roman" w:hAnsi="Times New Roman"/>
                <w:sz w:val="24"/>
              </w:rPr>
              <w:t>’</w:t>
            </w:r>
            <w:r w:rsidRPr="00D51A68">
              <w:rPr>
                <w:rFonts w:ascii="Times New Roman" w:hAnsi="Times New Roman"/>
                <w:sz w:val="24"/>
              </w:rPr>
              <w:t xml:space="preserve">evento è un identificatore di riga ed è unico per ciascuna riga della tabella. </w:t>
            </w:r>
          </w:p>
          <w:p w:rsidR="00FD54FC" w:rsidRPr="00D51A68" w:rsidRDefault="00FD54FC" w:rsidP="00FD54FC">
            <w:pPr>
              <w:rPr>
                <w:rFonts w:ascii="Times New Roman" w:hAnsi="Times New Roman"/>
                <w:sz w:val="24"/>
              </w:rPr>
            </w:pPr>
            <w:r w:rsidRPr="00D51A68">
              <w:rPr>
                <w:rFonts w:ascii="Times New Roman" w:hAnsi="Times New Roman"/>
                <w:sz w:val="24"/>
              </w:rPr>
              <w:t>Gli enti utilizzano l</w:t>
            </w:r>
            <w:r w:rsidR="0009277C" w:rsidRPr="00D51A68">
              <w:rPr>
                <w:rFonts w:ascii="Times New Roman" w:hAnsi="Times New Roman"/>
                <w:sz w:val="24"/>
              </w:rPr>
              <w:t>’</w:t>
            </w:r>
            <w:r w:rsidRPr="00D51A68">
              <w:rPr>
                <w:rFonts w:ascii="Times New Roman" w:hAnsi="Times New Roman"/>
                <w:sz w:val="24"/>
              </w:rPr>
              <w:t>ID interno, ove disponibile, altrimenti riportano gli ID in ordine numerico: 1, 2, 3 ecc.</w:t>
            </w:r>
          </w:p>
        </w:tc>
      </w:tr>
      <w:tr w:rsidR="00FD54FC" w:rsidRPr="00D51A68" w:rsidTr="00672D2A">
        <w:tc>
          <w:tcPr>
            <w:tcW w:w="959" w:type="dxa"/>
            <w:shd w:val="clear" w:color="auto" w:fill="auto"/>
          </w:tcPr>
          <w:p w:rsidR="00FD54FC" w:rsidRPr="00D51A68" w:rsidRDefault="00C93FC2" w:rsidP="00FD54FC">
            <w:pPr>
              <w:rPr>
                <w:rFonts w:ascii="Times New Roman" w:hAnsi="Times New Roman"/>
                <w:sz w:val="24"/>
              </w:rPr>
            </w:pPr>
            <w:r w:rsidRPr="00D51A68">
              <w:rPr>
                <w:rFonts w:ascii="Times New Roman" w:hAnsi="Times New Roman"/>
                <w:sz w:val="24"/>
              </w:rPr>
              <w:t>0020</w:t>
            </w:r>
          </w:p>
        </w:tc>
        <w:tc>
          <w:tcPr>
            <w:tcW w:w="8329" w:type="dxa"/>
            <w:shd w:val="clear" w:color="auto" w:fill="auto"/>
          </w:tcPr>
          <w:p w:rsidR="00FD54FC" w:rsidRPr="00D51A68" w:rsidRDefault="00FD54FC" w:rsidP="00FD54FC">
            <w:pPr>
              <w:rPr>
                <w:rStyle w:val="InstructionsTabelleberschrift"/>
                <w:rFonts w:ascii="Times New Roman" w:hAnsi="Times New Roman"/>
                <w:sz w:val="24"/>
              </w:rPr>
            </w:pPr>
            <w:r w:rsidRPr="00D51A68">
              <w:rPr>
                <w:rStyle w:val="InstructionsTabelleberschrift"/>
                <w:rFonts w:ascii="Times New Roman" w:hAnsi="Times New Roman"/>
                <w:sz w:val="24"/>
              </w:rPr>
              <w:t>Data della contabilizzazione</w:t>
            </w:r>
          </w:p>
          <w:p w:rsidR="00FD54FC" w:rsidRPr="00D51A68" w:rsidRDefault="00FD54FC" w:rsidP="00FD54FC">
            <w:pPr>
              <w:rPr>
                <w:rFonts w:ascii="Times New Roman" w:hAnsi="Times New Roman"/>
                <w:sz w:val="24"/>
              </w:rPr>
            </w:pPr>
            <w:r w:rsidRPr="00D51A68">
              <w:rPr>
                <w:rFonts w:ascii="Times New Roman" w:hAnsi="Times New Roman"/>
                <w:sz w:val="24"/>
              </w:rPr>
              <w:t>Per data della contabilizzazione si intende la data in cui la perdita o la riserva/l</w:t>
            </w:r>
            <w:r w:rsidR="0009277C" w:rsidRPr="00D51A68">
              <w:rPr>
                <w:rFonts w:ascii="Times New Roman" w:hAnsi="Times New Roman"/>
                <w:sz w:val="24"/>
              </w:rPr>
              <w:t>’</w:t>
            </w:r>
            <w:r w:rsidRPr="00D51A68">
              <w:rPr>
                <w:rFonts w:ascii="Times New Roman" w:hAnsi="Times New Roman"/>
                <w:sz w:val="24"/>
              </w:rPr>
              <w:t xml:space="preserve">accantonamento a fronte di una perdita dovuta al rischio operativo sono state rilevate per la prima volta nel conto profitti e perdite. </w:t>
            </w:r>
          </w:p>
        </w:tc>
      </w:tr>
      <w:tr w:rsidR="00FD54FC" w:rsidRPr="00D51A68" w:rsidTr="00672D2A">
        <w:tc>
          <w:tcPr>
            <w:tcW w:w="959" w:type="dxa"/>
            <w:shd w:val="clear" w:color="auto" w:fill="auto"/>
          </w:tcPr>
          <w:p w:rsidR="00FD54FC" w:rsidRPr="00D51A68" w:rsidRDefault="00C93FC2" w:rsidP="00FD54FC">
            <w:pPr>
              <w:rPr>
                <w:rFonts w:ascii="Times New Roman" w:hAnsi="Times New Roman"/>
                <w:sz w:val="24"/>
              </w:rPr>
            </w:pPr>
            <w:r w:rsidRPr="00D51A68">
              <w:rPr>
                <w:rFonts w:ascii="Times New Roman" w:hAnsi="Times New Roman"/>
                <w:sz w:val="24"/>
              </w:rPr>
              <w:t>0030</w:t>
            </w:r>
          </w:p>
        </w:tc>
        <w:tc>
          <w:tcPr>
            <w:tcW w:w="8329" w:type="dxa"/>
            <w:shd w:val="clear" w:color="auto" w:fill="auto"/>
          </w:tcPr>
          <w:p w:rsidR="00FD54FC" w:rsidRPr="00D51A68" w:rsidRDefault="00FD54FC" w:rsidP="00FD54FC">
            <w:pPr>
              <w:rPr>
                <w:rStyle w:val="InstructionsTabelleberschrift"/>
                <w:rFonts w:ascii="Times New Roman" w:hAnsi="Times New Roman"/>
                <w:sz w:val="24"/>
              </w:rPr>
            </w:pPr>
            <w:r w:rsidRPr="00D51A68">
              <w:rPr>
                <w:rStyle w:val="InstructionsTabelleberschrift"/>
                <w:rFonts w:ascii="Times New Roman" w:hAnsi="Times New Roman"/>
                <w:sz w:val="24"/>
              </w:rPr>
              <w:t>Data dell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evento</w:t>
            </w:r>
          </w:p>
          <w:p w:rsidR="00FD54FC" w:rsidRPr="00D51A68" w:rsidRDefault="00FD54FC" w:rsidP="00871877">
            <w:pPr>
              <w:rPr>
                <w:rFonts w:ascii="Times New Roman" w:hAnsi="Times New Roman"/>
                <w:sz w:val="24"/>
              </w:rPr>
            </w:pPr>
            <w:r w:rsidRPr="00D51A68">
              <w:rPr>
                <w:rFonts w:ascii="Times New Roman" w:hAnsi="Times New Roman"/>
                <w:sz w:val="24"/>
              </w:rPr>
              <w:t>La data dell</w:t>
            </w:r>
            <w:r w:rsidR="0009277C" w:rsidRPr="00D51A68">
              <w:rPr>
                <w:rFonts w:ascii="Times New Roman" w:hAnsi="Times New Roman"/>
                <w:sz w:val="24"/>
              </w:rPr>
              <w:t>’</w:t>
            </w:r>
            <w:r w:rsidRPr="00D51A68">
              <w:rPr>
                <w:rFonts w:ascii="Times New Roman" w:hAnsi="Times New Roman"/>
                <w:sz w:val="24"/>
              </w:rPr>
              <w:t>evento è la data in cui è avvenuto o ha avuto inizio l</w:t>
            </w:r>
            <w:r w:rsidR="0009277C" w:rsidRPr="00D51A68">
              <w:rPr>
                <w:rFonts w:ascii="Times New Roman" w:hAnsi="Times New Roman"/>
                <w:sz w:val="24"/>
              </w:rPr>
              <w:t>’</w:t>
            </w:r>
            <w:r w:rsidRPr="00D51A68">
              <w:rPr>
                <w:rFonts w:ascii="Times New Roman" w:hAnsi="Times New Roman"/>
                <w:sz w:val="24"/>
              </w:rPr>
              <w:t>evento di rischio operativo.</w:t>
            </w:r>
          </w:p>
        </w:tc>
      </w:tr>
      <w:tr w:rsidR="00FD54FC" w:rsidRPr="00D51A68" w:rsidTr="00672D2A">
        <w:tc>
          <w:tcPr>
            <w:tcW w:w="959" w:type="dxa"/>
            <w:shd w:val="clear" w:color="auto" w:fill="auto"/>
          </w:tcPr>
          <w:p w:rsidR="00FD54FC" w:rsidRPr="00D51A68" w:rsidRDefault="00C93FC2" w:rsidP="00FD54FC">
            <w:pPr>
              <w:rPr>
                <w:rFonts w:ascii="Times New Roman" w:hAnsi="Times New Roman"/>
                <w:sz w:val="24"/>
              </w:rPr>
            </w:pPr>
            <w:r w:rsidRPr="00D51A68">
              <w:rPr>
                <w:rFonts w:ascii="Times New Roman" w:hAnsi="Times New Roman"/>
                <w:sz w:val="24"/>
              </w:rPr>
              <w:t>0040</w:t>
            </w:r>
          </w:p>
        </w:tc>
        <w:tc>
          <w:tcPr>
            <w:tcW w:w="8329" w:type="dxa"/>
            <w:shd w:val="clear" w:color="auto" w:fill="auto"/>
          </w:tcPr>
          <w:p w:rsidR="00FD54FC" w:rsidRPr="00D51A68" w:rsidRDefault="00FD54FC" w:rsidP="00FD54FC">
            <w:pPr>
              <w:rPr>
                <w:rStyle w:val="InstructionsTabelleberschrift"/>
                <w:rFonts w:ascii="Times New Roman" w:hAnsi="Times New Roman"/>
                <w:sz w:val="24"/>
              </w:rPr>
            </w:pPr>
            <w:r w:rsidRPr="00D51A68">
              <w:rPr>
                <w:rStyle w:val="InstructionsTabelleberschrift"/>
                <w:rFonts w:ascii="Times New Roman" w:hAnsi="Times New Roman"/>
                <w:sz w:val="24"/>
              </w:rPr>
              <w:t>Data di scoperta</w:t>
            </w:r>
          </w:p>
          <w:p w:rsidR="00FD54FC" w:rsidRPr="00D51A68" w:rsidRDefault="00FD54FC" w:rsidP="00FD54FC">
            <w:pPr>
              <w:rPr>
                <w:rFonts w:ascii="Times New Roman" w:hAnsi="Times New Roman"/>
                <w:sz w:val="24"/>
              </w:rPr>
            </w:pPr>
            <w:r w:rsidRPr="00D51A68">
              <w:rPr>
                <w:rFonts w:ascii="Times New Roman" w:hAnsi="Times New Roman"/>
                <w:sz w:val="24"/>
              </w:rPr>
              <w:t>La data di scoperta è la data in cui l</w:t>
            </w:r>
            <w:r w:rsidR="0009277C" w:rsidRPr="00D51A68">
              <w:rPr>
                <w:rFonts w:ascii="Times New Roman" w:hAnsi="Times New Roman"/>
                <w:sz w:val="24"/>
              </w:rPr>
              <w:t>’</w:t>
            </w:r>
            <w:r w:rsidRPr="00D51A68">
              <w:rPr>
                <w:rFonts w:ascii="Times New Roman" w:hAnsi="Times New Roman"/>
                <w:sz w:val="24"/>
              </w:rPr>
              <w:t>ente ha avuto conoscenza dell</w:t>
            </w:r>
            <w:r w:rsidR="0009277C" w:rsidRPr="00D51A68">
              <w:rPr>
                <w:rFonts w:ascii="Times New Roman" w:hAnsi="Times New Roman"/>
                <w:sz w:val="24"/>
              </w:rPr>
              <w:t>’</w:t>
            </w:r>
            <w:r w:rsidRPr="00D51A68">
              <w:rPr>
                <w:rFonts w:ascii="Times New Roman" w:hAnsi="Times New Roman"/>
                <w:sz w:val="24"/>
              </w:rPr>
              <w:t>evento di rischio operativo.</w:t>
            </w:r>
          </w:p>
        </w:tc>
      </w:tr>
      <w:tr w:rsidR="00FD54FC" w:rsidRPr="00D51A68" w:rsidTr="00672D2A">
        <w:tc>
          <w:tcPr>
            <w:tcW w:w="959" w:type="dxa"/>
            <w:shd w:val="clear" w:color="auto" w:fill="auto"/>
          </w:tcPr>
          <w:p w:rsidR="00FD54FC" w:rsidRPr="00D51A68" w:rsidRDefault="00C93FC2" w:rsidP="00FD54FC">
            <w:pPr>
              <w:rPr>
                <w:rFonts w:ascii="Times New Roman" w:hAnsi="Times New Roman"/>
                <w:sz w:val="24"/>
              </w:rPr>
            </w:pPr>
            <w:r w:rsidRPr="00D51A68">
              <w:rPr>
                <w:rFonts w:ascii="Times New Roman" w:hAnsi="Times New Roman"/>
                <w:sz w:val="24"/>
              </w:rPr>
              <w:t>0050</w:t>
            </w:r>
          </w:p>
        </w:tc>
        <w:tc>
          <w:tcPr>
            <w:tcW w:w="8329" w:type="dxa"/>
            <w:shd w:val="clear" w:color="auto" w:fill="auto"/>
          </w:tcPr>
          <w:p w:rsidR="00FD54FC" w:rsidRPr="00D51A68" w:rsidRDefault="00FD54FC" w:rsidP="00FD54FC">
            <w:pPr>
              <w:rPr>
                <w:rStyle w:val="InstructionsTabelleberschrift"/>
                <w:rFonts w:ascii="Times New Roman" w:hAnsi="Times New Roman"/>
                <w:sz w:val="24"/>
              </w:rPr>
            </w:pPr>
            <w:r w:rsidRPr="00D51A68">
              <w:rPr>
                <w:rStyle w:val="InstructionsTabelleberschrift"/>
                <w:rFonts w:ascii="Times New Roman" w:hAnsi="Times New Roman"/>
                <w:sz w:val="24"/>
              </w:rPr>
              <w:t>Tipologia di evento</w:t>
            </w:r>
          </w:p>
          <w:p w:rsidR="00FD54FC" w:rsidRPr="00D51A68" w:rsidRDefault="00FD54FC" w:rsidP="00FD54FC">
            <w:pPr>
              <w:rPr>
                <w:rFonts w:ascii="Times New Roman" w:hAnsi="Times New Roman"/>
                <w:sz w:val="24"/>
              </w:rPr>
            </w:pPr>
            <w:r w:rsidRPr="00D51A68">
              <w:rPr>
                <w:rFonts w:ascii="Times New Roman" w:hAnsi="Times New Roman"/>
                <w:sz w:val="24"/>
              </w:rPr>
              <w:t>Le tipologie di eventi di cui all</w:t>
            </w:r>
            <w:r w:rsidR="0009277C" w:rsidRPr="00D51A68">
              <w:rPr>
                <w:rFonts w:ascii="Times New Roman" w:hAnsi="Times New Roman"/>
                <w:sz w:val="24"/>
              </w:rPr>
              <w:t>’</w:t>
            </w:r>
            <w:r w:rsidRPr="00D51A68">
              <w:rPr>
                <w:rFonts w:ascii="Times New Roman" w:hAnsi="Times New Roman"/>
                <w:sz w:val="24"/>
              </w:rPr>
              <w:t>articolo 324 del CRR.</w:t>
            </w:r>
          </w:p>
        </w:tc>
      </w:tr>
      <w:tr w:rsidR="00FD54FC" w:rsidRPr="00D51A68" w:rsidTr="00672D2A">
        <w:tc>
          <w:tcPr>
            <w:tcW w:w="959" w:type="dxa"/>
            <w:shd w:val="clear" w:color="auto" w:fill="auto"/>
          </w:tcPr>
          <w:p w:rsidR="00FD54FC" w:rsidRPr="00D51A68" w:rsidRDefault="00C93FC2" w:rsidP="00FD54FC">
            <w:pPr>
              <w:rPr>
                <w:rFonts w:ascii="Times New Roman" w:hAnsi="Times New Roman"/>
                <w:sz w:val="24"/>
              </w:rPr>
            </w:pPr>
            <w:r w:rsidRPr="00D51A68">
              <w:rPr>
                <w:rFonts w:ascii="Times New Roman" w:hAnsi="Times New Roman"/>
                <w:sz w:val="24"/>
              </w:rPr>
              <w:t>0060</w:t>
            </w:r>
          </w:p>
        </w:tc>
        <w:tc>
          <w:tcPr>
            <w:tcW w:w="8329" w:type="dxa"/>
            <w:shd w:val="clear" w:color="auto" w:fill="auto"/>
          </w:tcPr>
          <w:p w:rsidR="00FD54FC" w:rsidRPr="00D51A68" w:rsidRDefault="00FD54FC" w:rsidP="00FD54FC">
            <w:pPr>
              <w:rPr>
                <w:rStyle w:val="InstructionsTabelleberschrift"/>
                <w:rFonts w:ascii="Times New Roman" w:hAnsi="Times New Roman"/>
                <w:sz w:val="24"/>
              </w:rPr>
            </w:pPr>
            <w:r w:rsidRPr="00D51A68">
              <w:rPr>
                <w:rStyle w:val="InstructionsTabelleberschrift"/>
                <w:rFonts w:ascii="Times New Roman" w:hAnsi="Times New Roman"/>
                <w:sz w:val="24"/>
              </w:rPr>
              <w:t>Perdita lorda</w:t>
            </w:r>
          </w:p>
          <w:p w:rsidR="00FD54FC" w:rsidRPr="00D51A68" w:rsidRDefault="00FD54FC" w:rsidP="00FD54FC">
            <w:pPr>
              <w:rPr>
                <w:rFonts w:ascii="Times New Roman" w:hAnsi="Times New Roman"/>
                <w:sz w:val="24"/>
              </w:rPr>
            </w:pPr>
            <w:r w:rsidRPr="00D51A68">
              <w:rPr>
                <w:rFonts w:ascii="Times New Roman" w:hAnsi="Times New Roman"/>
                <w:sz w:val="24"/>
              </w:rPr>
              <w:t>Perdita lorda relativa all</w:t>
            </w:r>
            <w:r w:rsidR="0009277C" w:rsidRPr="00D51A68">
              <w:rPr>
                <w:rFonts w:ascii="Times New Roman" w:hAnsi="Times New Roman"/>
                <w:sz w:val="24"/>
              </w:rPr>
              <w:t>’</w:t>
            </w:r>
            <w:r w:rsidRPr="00D51A68">
              <w:rPr>
                <w:rFonts w:ascii="Times New Roman" w:hAnsi="Times New Roman"/>
                <w:sz w:val="24"/>
              </w:rPr>
              <w:t>evento di cui alle righe 020, 120 ecc. del precedente modello C 17.01.</w:t>
            </w:r>
          </w:p>
        </w:tc>
      </w:tr>
      <w:tr w:rsidR="00FD54FC" w:rsidRPr="00D51A68" w:rsidTr="00672D2A">
        <w:tc>
          <w:tcPr>
            <w:tcW w:w="959" w:type="dxa"/>
            <w:shd w:val="clear" w:color="auto" w:fill="auto"/>
          </w:tcPr>
          <w:p w:rsidR="00FD54FC" w:rsidRPr="00D51A68" w:rsidRDefault="00C93FC2" w:rsidP="00FD54FC">
            <w:pPr>
              <w:rPr>
                <w:rFonts w:ascii="Times New Roman" w:hAnsi="Times New Roman"/>
                <w:sz w:val="24"/>
              </w:rPr>
            </w:pPr>
            <w:r w:rsidRPr="00D51A68">
              <w:rPr>
                <w:rFonts w:ascii="Times New Roman" w:hAnsi="Times New Roman"/>
                <w:sz w:val="24"/>
              </w:rPr>
              <w:t>0070</w:t>
            </w:r>
          </w:p>
        </w:tc>
        <w:tc>
          <w:tcPr>
            <w:tcW w:w="8329" w:type="dxa"/>
            <w:shd w:val="clear" w:color="auto" w:fill="auto"/>
          </w:tcPr>
          <w:p w:rsidR="00FD54FC" w:rsidRPr="00D51A68" w:rsidRDefault="00FD54FC" w:rsidP="00FD54FC">
            <w:pPr>
              <w:rPr>
                <w:rStyle w:val="InstructionsTabelleberschrift"/>
                <w:rFonts w:ascii="Times New Roman" w:hAnsi="Times New Roman"/>
                <w:sz w:val="24"/>
              </w:rPr>
            </w:pPr>
            <w:r w:rsidRPr="00D51A68">
              <w:rPr>
                <w:rStyle w:val="InstructionsTabelleberschrift"/>
                <w:rFonts w:ascii="Times New Roman" w:hAnsi="Times New Roman"/>
                <w:sz w:val="24"/>
              </w:rPr>
              <w:t>Perdita lorda al netto dei recuperi diretti</w:t>
            </w:r>
          </w:p>
          <w:p w:rsidR="00FD54FC" w:rsidRPr="00D51A68" w:rsidRDefault="00FD54FC" w:rsidP="00FD54FC">
            <w:pPr>
              <w:rPr>
                <w:rFonts w:ascii="Times New Roman" w:hAnsi="Times New Roman"/>
                <w:sz w:val="24"/>
              </w:rPr>
            </w:pPr>
            <w:r w:rsidRPr="00D51A68">
              <w:rPr>
                <w:rFonts w:ascii="Times New Roman" w:hAnsi="Times New Roman"/>
                <w:sz w:val="24"/>
              </w:rPr>
              <w:t>Perdita lorda relativa all</w:t>
            </w:r>
            <w:r w:rsidR="0009277C" w:rsidRPr="00D51A68">
              <w:rPr>
                <w:rFonts w:ascii="Times New Roman" w:hAnsi="Times New Roman"/>
                <w:sz w:val="24"/>
              </w:rPr>
              <w:t>’</w:t>
            </w:r>
            <w:r w:rsidRPr="00D51A68">
              <w:rPr>
                <w:rFonts w:ascii="Times New Roman" w:hAnsi="Times New Roman"/>
                <w:sz w:val="24"/>
              </w:rPr>
              <w:t>evento di cui alle righe 020, 120 ecc. del precedente modello C 17.01 al netto dei recuperi diretti riferiti a tale evento di perdita.</w:t>
            </w:r>
          </w:p>
        </w:tc>
      </w:tr>
      <w:tr w:rsidR="00FD54FC" w:rsidRPr="00D51A68" w:rsidTr="00672D2A">
        <w:tc>
          <w:tcPr>
            <w:tcW w:w="959" w:type="dxa"/>
            <w:shd w:val="clear" w:color="auto" w:fill="auto"/>
          </w:tcPr>
          <w:p w:rsidR="00FD54FC" w:rsidRPr="00D51A68" w:rsidRDefault="00C93FC2" w:rsidP="00FD54FC">
            <w:pPr>
              <w:rPr>
                <w:rFonts w:ascii="Times New Roman" w:hAnsi="Times New Roman"/>
                <w:sz w:val="24"/>
              </w:rPr>
            </w:pPr>
            <w:r w:rsidRPr="00D51A68">
              <w:rPr>
                <w:rFonts w:ascii="Times New Roman" w:hAnsi="Times New Roman"/>
                <w:sz w:val="24"/>
              </w:rPr>
              <w:t>0080 - 0160</w:t>
            </w:r>
          </w:p>
        </w:tc>
        <w:tc>
          <w:tcPr>
            <w:tcW w:w="8329" w:type="dxa"/>
            <w:shd w:val="clear" w:color="auto" w:fill="auto"/>
          </w:tcPr>
          <w:p w:rsidR="00FD54FC" w:rsidRPr="00D51A68" w:rsidRDefault="00FD54FC" w:rsidP="00FD54FC">
            <w:pPr>
              <w:rPr>
                <w:rStyle w:val="InstructionsTabelleberschrift"/>
                <w:rFonts w:ascii="Times New Roman" w:hAnsi="Times New Roman"/>
                <w:sz w:val="24"/>
              </w:rPr>
            </w:pPr>
            <w:r w:rsidRPr="00D51A68">
              <w:rPr>
                <w:rStyle w:val="InstructionsTabelleberschrift"/>
                <w:rFonts w:ascii="Times New Roman" w:hAnsi="Times New Roman"/>
                <w:sz w:val="24"/>
              </w:rPr>
              <w:t>Perdita lorda per linea di business</w:t>
            </w:r>
          </w:p>
          <w:p w:rsidR="00FD54FC" w:rsidRPr="00D51A68" w:rsidRDefault="00FD54FC" w:rsidP="00FD54FC">
            <w:pPr>
              <w:rPr>
                <w:rFonts w:ascii="Times New Roman" w:hAnsi="Times New Roman"/>
                <w:sz w:val="24"/>
              </w:rPr>
            </w:pPr>
            <w:r w:rsidRPr="00D51A68">
              <w:rPr>
                <w:rFonts w:ascii="Times New Roman" w:hAnsi="Times New Roman"/>
                <w:sz w:val="24"/>
              </w:rPr>
              <w:t>La perdita lorda segnalata alla colonna 060 è assegnata alle pertinenti linee di business di cui all</w:t>
            </w:r>
            <w:r w:rsidR="0009277C" w:rsidRPr="00D51A68">
              <w:rPr>
                <w:rFonts w:ascii="Times New Roman" w:hAnsi="Times New Roman"/>
                <w:sz w:val="24"/>
              </w:rPr>
              <w:t>’</w:t>
            </w:r>
            <w:r w:rsidRPr="00D51A68">
              <w:rPr>
                <w:rFonts w:ascii="Times New Roman" w:hAnsi="Times New Roman"/>
                <w:sz w:val="24"/>
              </w:rPr>
              <w:t>articolo 317 e all</w:t>
            </w:r>
            <w:r w:rsidR="0009277C" w:rsidRPr="00D51A68">
              <w:rPr>
                <w:rFonts w:ascii="Times New Roman" w:hAnsi="Times New Roman"/>
                <w:sz w:val="24"/>
              </w:rPr>
              <w:t>’</w:t>
            </w:r>
            <w:r w:rsidRPr="00D51A68">
              <w:rPr>
                <w:rFonts w:ascii="Times New Roman" w:hAnsi="Times New Roman"/>
                <w:sz w:val="24"/>
              </w:rPr>
              <w:t>articolo 322, paragrafo 3, lettera b), del CRR.</w:t>
            </w:r>
          </w:p>
        </w:tc>
      </w:tr>
      <w:tr w:rsidR="00FD54FC" w:rsidRPr="00D51A68" w:rsidTr="00672D2A">
        <w:tc>
          <w:tcPr>
            <w:tcW w:w="959" w:type="dxa"/>
            <w:shd w:val="clear" w:color="auto" w:fill="auto"/>
          </w:tcPr>
          <w:p w:rsidR="00FD54FC" w:rsidRPr="00D51A68" w:rsidRDefault="00C93FC2" w:rsidP="00FD54FC">
            <w:pPr>
              <w:rPr>
                <w:rFonts w:ascii="Times New Roman" w:hAnsi="Times New Roman"/>
                <w:sz w:val="24"/>
              </w:rPr>
            </w:pPr>
            <w:r w:rsidRPr="00D51A68">
              <w:rPr>
                <w:rFonts w:ascii="Times New Roman" w:hAnsi="Times New Roman"/>
                <w:sz w:val="24"/>
              </w:rPr>
              <w:t>0170</w:t>
            </w:r>
          </w:p>
        </w:tc>
        <w:tc>
          <w:tcPr>
            <w:tcW w:w="8329" w:type="dxa"/>
            <w:shd w:val="clear" w:color="auto" w:fill="auto"/>
          </w:tcPr>
          <w:p w:rsidR="00FD54FC" w:rsidRPr="00D51A68" w:rsidRDefault="00FD54FC" w:rsidP="00FD54FC">
            <w:pPr>
              <w:rPr>
                <w:rStyle w:val="InstructionsTabelleberschrift"/>
                <w:rFonts w:ascii="Times New Roman" w:hAnsi="Times New Roman"/>
                <w:sz w:val="24"/>
              </w:rPr>
            </w:pPr>
            <w:r w:rsidRPr="00D51A68">
              <w:rPr>
                <w:rStyle w:val="InstructionsTabelleberschrift"/>
                <w:rFonts w:ascii="Times New Roman" w:hAnsi="Times New Roman"/>
                <w:sz w:val="24"/>
              </w:rPr>
              <w:t>Nome del soggetto giuridico</w:t>
            </w:r>
          </w:p>
          <w:p w:rsidR="00FD54FC" w:rsidRPr="00D51A68" w:rsidRDefault="00FD54FC" w:rsidP="00FD54FC">
            <w:pPr>
              <w:rPr>
                <w:rFonts w:ascii="Times New Roman" w:hAnsi="Times New Roman"/>
                <w:sz w:val="24"/>
              </w:rPr>
            </w:pPr>
            <w:r w:rsidRPr="00D51A68">
              <w:rPr>
                <w:rFonts w:ascii="Times New Roman" w:hAnsi="Times New Roman"/>
                <w:sz w:val="24"/>
              </w:rPr>
              <w:t xml:space="preserve">Nome del soggetto giuridico quale segnalato alla colonna 010 del modello C 06.02 </w:t>
            </w:r>
            <w:r w:rsidRPr="00D51A68">
              <w:rPr>
                <w:rFonts w:ascii="Times New Roman" w:hAnsi="Times New Roman"/>
                <w:sz w:val="24"/>
              </w:rPr>
              <w:lastRenderedPageBreak/>
              <w:t>in cui si è verificata la perdita (o la quota di perdita più elevata, se sono stati interessati più soggetti).</w:t>
            </w:r>
          </w:p>
        </w:tc>
      </w:tr>
      <w:tr w:rsidR="00FD54FC" w:rsidRPr="00D51A68" w:rsidTr="00672D2A">
        <w:tc>
          <w:tcPr>
            <w:tcW w:w="959" w:type="dxa"/>
            <w:shd w:val="clear" w:color="auto" w:fill="auto"/>
          </w:tcPr>
          <w:p w:rsidR="00FD54FC" w:rsidRPr="00D51A68" w:rsidRDefault="00C93FC2" w:rsidP="00FD54FC">
            <w:pPr>
              <w:rPr>
                <w:rFonts w:ascii="Times New Roman" w:hAnsi="Times New Roman"/>
                <w:sz w:val="24"/>
              </w:rPr>
            </w:pPr>
            <w:r w:rsidRPr="00D51A68">
              <w:rPr>
                <w:rFonts w:ascii="Times New Roman" w:hAnsi="Times New Roman"/>
                <w:sz w:val="24"/>
              </w:rPr>
              <w:lastRenderedPageBreak/>
              <w:t>0180</w:t>
            </w:r>
          </w:p>
        </w:tc>
        <w:tc>
          <w:tcPr>
            <w:tcW w:w="8329" w:type="dxa"/>
            <w:shd w:val="clear" w:color="auto" w:fill="auto"/>
          </w:tcPr>
          <w:p w:rsidR="00FD54FC" w:rsidRPr="00D51A68" w:rsidRDefault="00FD54FC" w:rsidP="00FD54FC">
            <w:pPr>
              <w:rPr>
                <w:rStyle w:val="InstructionsTabelleberschrift"/>
                <w:rFonts w:ascii="Times New Roman" w:hAnsi="Times New Roman"/>
                <w:sz w:val="24"/>
              </w:rPr>
            </w:pPr>
            <w:r w:rsidRPr="00D51A68">
              <w:rPr>
                <w:rStyle w:val="InstructionsTabelleberschrift"/>
                <w:rFonts w:ascii="Times New Roman" w:hAnsi="Times New Roman"/>
                <w:sz w:val="24"/>
              </w:rPr>
              <w:t>ID del soggetto giuridico</w:t>
            </w:r>
          </w:p>
          <w:p w:rsidR="00FD54FC" w:rsidRPr="00D51A68" w:rsidRDefault="00FD54FC" w:rsidP="00FD54FC">
            <w:pPr>
              <w:rPr>
                <w:rFonts w:ascii="Times New Roman" w:hAnsi="Times New Roman"/>
                <w:sz w:val="24"/>
              </w:rPr>
            </w:pPr>
            <w:r w:rsidRPr="00D51A68">
              <w:rPr>
                <w:rFonts w:ascii="Times New Roman" w:hAnsi="Times New Roman"/>
                <w:sz w:val="24"/>
              </w:rPr>
              <w:t>Codice LEI del soggetto giuridico quale segnalato alla colonna 025</w:t>
            </w:r>
            <w:r w:rsidR="00941EC3" w:rsidRPr="00D51A68">
              <w:rPr>
                <w:rFonts w:ascii="Times New Roman" w:hAnsi="Times New Roman"/>
                <w:sz w:val="24"/>
              </w:rPr>
              <w:t xml:space="preserve"> del modello C </w:t>
            </w:r>
            <w:r w:rsidRPr="00D51A68">
              <w:rPr>
                <w:rFonts w:ascii="Times New Roman" w:hAnsi="Times New Roman"/>
                <w:sz w:val="24"/>
              </w:rPr>
              <w:t>06.02 in cui si è verificata la perdita (o la quota di perdita più elevata, se sono stati interessati più soggetti).</w:t>
            </w:r>
          </w:p>
        </w:tc>
      </w:tr>
      <w:tr w:rsidR="00FD54FC" w:rsidRPr="00D51A68" w:rsidTr="00672D2A">
        <w:tc>
          <w:tcPr>
            <w:tcW w:w="959" w:type="dxa"/>
            <w:shd w:val="clear" w:color="auto" w:fill="auto"/>
          </w:tcPr>
          <w:p w:rsidR="00FD54FC" w:rsidRPr="00D51A68" w:rsidRDefault="00C93FC2" w:rsidP="00FD54FC">
            <w:pPr>
              <w:rPr>
                <w:rFonts w:ascii="Times New Roman" w:hAnsi="Times New Roman"/>
                <w:sz w:val="24"/>
              </w:rPr>
            </w:pPr>
            <w:r w:rsidRPr="00D51A68">
              <w:rPr>
                <w:rFonts w:ascii="Times New Roman" w:hAnsi="Times New Roman"/>
                <w:sz w:val="24"/>
              </w:rPr>
              <w:t>0190</w:t>
            </w:r>
          </w:p>
        </w:tc>
        <w:tc>
          <w:tcPr>
            <w:tcW w:w="8329" w:type="dxa"/>
            <w:shd w:val="clear" w:color="auto" w:fill="auto"/>
          </w:tcPr>
          <w:p w:rsidR="00FD54FC" w:rsidRPr="00D51A68" w:rsidRDefault="00FD54FC" w:rsidP="00FD54FC">
            <w:pPr>
              <w:rPr>
                <w:rStyle w:val="InstructionsTabelleberschrift"/>
                <w:rFonts w:ascii="Times New Roman" w:hAnsi="Times New Roman"/>
                <w:sz w:val="24"/>
              </w:rPr>
            </w:pPr>
            <w:r w:rsidRPr="00D51A68">
              <w:rPr>
                <w:rStyle w:val="InstructionsTabelleberschrift"/>
                <w:rFonts w:ascii="Times New Roman" w:hAnsi="Times New Roman"/>
                <w:sz w:val="24"/>
              </w:rPr>
              <w:t>Unità operativa</w:t>
            </w:r>
          </w:p>
          <w:p w:rsidR="00FD54FC" w:rsidRPr="00D51A68" w:rsidRDefault="00FD54FC" w:rsidP="00FD54FC">
            <w:pPr>
              <w:rPr>
                <w:rFonts w:ascii="Times New Roman" w:hAnsi="Times New Roman"/>
                <w:sz w:val="24"/>
              </w:rPr>
            </w:pPr>
            <w:r w:rsidRPr="00D51A68">
              <w:rPr>
                <w:rFonts w:ascii="Times New Roman" w:hAnsi="Times New Roman"/>
                <w:sz w:val="24"/>
              </w:rPr>
              <w:t>Unità operativa o divisione dell</w:t>
            </w:r>
            <w:r w:rsidR="0009277C" w:rsidRPr="00D51A68">
              <w:rPr>
                <w:rFonts w:ascii="Times New Roman" w:hAnsi="Times New Roman"/>
                <w:sz w:val="24"/>
              </w:rPr>
              <w:t>’</w:t>
            </w:r>
            <w:r w:rsidRPr="00D51A68">
              <w:rPr>
                <w:rFonts w:ascii="Times New Roman" w:hAnsi="Times New Roman"/>
                <w:sz w:val="24"/>
              </w:rPr>
              <w:t>ente in cui si è verificata la perdita (o la quota di perdita più elevata, se sono state interessate più unità operative o divisioni).</w:t>
            </w:r>
          </w:p>
        </w:tc>
      </w:tr>
      <w:tr w:rsidR="00FD54FC" w:rsidRPr="00D51A68" w:rsidTr="00672D2A">
        <w:tc>
          <w:tcPr>
            <w:tcW w:w="959" w:type="dxa"/>
            <w:shd w:val="clear" w:color="auto" w:fill="auto"/>
          </w:tcPr>
          <w:p w:rsidR="00FD54FC" w:rsidRPr="00D51A68" w:rsidRDefault="00C93FC2" w:rsidP="00FD54FC">
            <w:pPr>
              <w:rPr>
                <w:rFonts w:ascii="Times New Roman" w:hAnsi="Times New Roman"/>
                <w:sz w:val="24"/>
              </w:rPr>
            </w:pPr>
            <w:r w:rsidRPr="00D51A68">
              <w:rPr>
                <w:rFonts w:ascii="Times New Roman" w:hAnsi="Times New Roman"/>
                <w:sz w:val="24"/>
              </w:rPr>
              <w:t>0200</w:t>
            </w:r>
          </w:p>
        </w:tc>
        <w:tc>
          <w:tcPr>
            <w:tcW w:w="8329" w:type="dxa"/>
            <w:shd w:val="clear" w:color="auto" w:fill="auto"/>
          </w:tcPr>
          <w:p w:rsidR="00FD54FC" w:rsidRPr="00D51A68" w:rsidRDefault="00FD54FC" w:rsidP="00FD54FC">
            <w:pPr>
              <w:rPr>
                <w:rStyle w:val="InstructionsTabelleberschrift"/>
                <w:rFonts w:ascii="Times New Roman" w:hAnsi="Times New Roman"/>
                <w:sz w:val="24"/>
              </w:rPr>
            </w:pPr>
            <w:r w:rsidRPr="00D51A68">
              <w:rPr>
                <w:rStyle w:val="InstructionsTabelleberschrift"/>
                <w:rFonts w:ascii="Times New Roman" w:hAnsi="Times New Roman"/>
                <w:sz w:val="24"/>
              </w:rPr>
              <w:t>Descrizione</w:t>
            </w:r>
          </w:p>
          <w:p w:rsidR="00FD54FC" w:rsidRPr="00D51A68" w:rsidRDefault="00FD54FC" w:rsidP="00FD239F">
            <w:pPr>
              <w:rPr>
                <w:rFonts w:ascii="Times New Roman" w:hAnsi="Times New Roman"/>
                <w:sz w:val="24"/>
              </w:rPr>
            </w:pPr>
            <w:r w:rsidRPr="00D51A68">
              <w:rPr>
                <w:rFonts w:ascii="Times New Roman" w:hAnsi="Times New Roman"/>
                <w:sz w:val="24"/>
              </w:rPr>
              <w:t>Descrizione dell</w:t>
            </w:r>
            <w:r w:rsidR="0009277C" w:rsidRPr="00D51A68">
              <w:rPr>
                <w:rFonts w:ascii="Times New Roman" w:hAnsi="Times New Roman"/>
                <w:sz w:val="24"/>
              </w:rPr>
              <w:t>’</w:t>
            </w:r>
            <w:r w:rsidRPr="00D51A68">
              <w:rPr>
                <w:rFonts w:ascii="Times New Roman" w:hAnsi="Times New Roman"/>
                <w:sz w:val="24"/>
              </w:rPr>
              <w:t>evento, se necessario facendo ricorso a generalizzazioni e all</w:t>
            </w:r>
            <w:r w:rsidR="0009277C" w:rsidRPr="00D51A68">
              <w:rPr>
                <w:rFonts w:ascii="Times New Roman" w:hAnsi="Times New Roman"/>
                <w:sz w:val="24"/>
              </w:rPr>
              <w:t>’</w:t>
            </w:r>
            <w:r w:rsidRPr="00D51A68">
              <w:rPr>
                <w:rFonts w:ascii="Times New Roman" w:hAnsi="Times New Roman"/>
                <w:sz w:val="24"/>
              </w:rPr>
              <w:t>anonimizzazione, comprendente come minimo informazioni sull</w:t>
            </w:r>
            <w:r w:rsidR="0009277C" w:rsidRPr="00D51A68">
              <w:rPr>
                <w:rFonts w:ascii="Times New Roman" w:hAnsi="Times New Roman"/>
                <w:sz w:val="24"/>
              </w:rPr>
              <w:t>’</w:t>
            </w:r>
            <w:r w:rsidRPr="00D51A68">
              <w:rPr>
                <w:rFonts w:ascii="Times New Roman" w:hAnsi="Times New Roman"/>
                <w:sz w:val="24"/>
              </w:rPr>
              <w:t>evento stesso e sulle sue determinanti o sulle sue cause, se note.</w:t>
            </w:r>
          </w:p>
        </w:tc>
      </w:tr>
    </w:tbl>
    <w:p w:rsidR="00FD54FC" w:rsidRPr="00D51A68" w:rsidRDefault="00FD54FC" w:rsidP="00AC6255">
      <w:pPr>
        <w:spacing w:after="0"/>
        <w:rPr>
          <w:rFonts w:ascii="Times New Roman" w:hAnsi="Times New Roman"/>
          <w:sz w:val="24"/>
        </w:rPr>
      </w:pPr>
    </w:p>
    <w:p w:rsidR="00AC6255" w:rsidRPr="00D51A68" w:rsidRDefault="00AC6255">
      <w:pPr>
        <w:spacing w:before="0" w:after="0"/>
        <w:jc w:val="left"/>
        <w:rPr>
          <w:rStyle w:val="InstructionsTabelleText"/>
          <w:rFonts w:ascii="Times New Roman" w:hAnsi="Times New Roman"/>
          <w:sz w:val="24"/>
        </w:rPr>
      </w:pPr>
      <w:r w:rsidRPr="00D51A68">
        <w:br w:type="page"/>
      </w:r>
    </w:p>
    <w:p w:rsidR="000B0B09" w:rsidRPr="00D51A68" w:rsidRDefault="00125707" w:rsidP="0023700C">
      <w:pPr>
        <w:pStyle w:val="Instructionsberschrift2"/>
        <w:numPr>
          <w:ilvl w:val="0"/>
          <w:numId w:val="0"/>
        </w:numPr>
        <w:ind w:left="357" w:hanging="357"/>
        <w:rPr>
          <w:rFonts w:ascii="Times New Roman" w:hAnsi="Times New Roman" w:cs="Times New Roman"/>
          <w:sz w:val="24"/>
        </w:rPr>
      </w:pPr>
      <w:bookmarkStart w:id="587" w:name="_Toc295829995"/>
      <w:bookmarkStart w:id="588" w:name="_Toc262566425"/>
      <w:bookmarkStart w:id="589" w:name="_Toc308426671"/>
      <w:bookmarkStart w:id="590" w:name="_Toc310415056"/>
      <w:bookmarkStart w:id="591" w:name="_Toc360188391"/>
      <w:bookmarkStart w:id="592" w:name="_Toc516210682"/>
      <w:bookmarkStart w:id="593" w:name="_Toc473561031"/>
      <w:bookmarkStart w:id="594" w:name="_Toc524096627"/>
      <w:r w:rsidRPr="00D51A68">
        <w:rPr>
          <w:rFonts w:ascii="Times New Roman" w:hAnsi="Times New Roman"/>
          <w:sz w:val="24"/>
          <w:u w:val="none"/>
        </w:rPr>
        <w:lastRenderedPageBreak/>
        <w:t>5.</w:t>
      </w:r>
      <w:r w:rsidR="00A0772B" w:rsidRPr="00D51A68">
        <w:rPr>
          <w:u w:val="none"/>
        </w:rPr>
        <w:tab/>
      </w:r>
      <w:r w:rsidRPr="00D51A68">
        <w:rPr>
          <w:rFonts w:ascii="Times New Roman" w:hAnsi="Times New Roman"/>
          <w:sz w:val="24"/>
        </w:rPr>
        <w:t>Modelli riguardanti il rischio di mercato</w:t>
      </w:r>
      <w:bookmarkEnd w:id="587"/>
      <w:bookmarkEnd w:id="588"/>
      <w:bookmarkEnd w:id="589"/>
      <w:bookmarkEnd w:id="590"/>
      <w:bookmarkEnd w:id="591"/>
      <w:bookmarkEnd w:id="592"/>
      <w:bookmarkEnd w:id="593"/>
      <w:bookmarkEnd w:id="594"/>
    </w:p>
    <w:p w:rsidR="000B0B09" w:rsidRPr="00D51A68" w:rsidRDefault="00125707" w:rsidP="00941EC3">
      <w:pPr>
        <w:pStyle w:val="InstructionsText2"/>
        <w:numPr>
          <w:ilvl w:val="0"/>
          <w:numId w:val="0"/>
        </w:numPr>
        <w:ind w:left="993"/>
      </w:pPr>
      <w:bookmarkStart w:id="595" w:name="_Toc308426672"/>
      <w:r w:rsidRPr="00D51A68">
        <w:t>137.</w:t>
      </w:r>
      <w:r w:rsidR="00A0772B" w:rsidRPr="00D51A68">
        <w:tab/>
      </w:r>
      <w:r w:rsidRPr="00D51A68">
        <w:t>Queste istruzioni riguardano i modelli da utilizzare per la segnalazione del calcolo dei requisiti di fondi propri conformemente al metodo standardizzato per il rischio di cambio (MKR SA FX), il rischio di posizione in merci (MKR SA COM), il rischio di tasso d</w:t>
      </w:r>
      <w:r w:rsidR="0009277C" w:rsidRPr="00D51A68">
        <w:t>’</w:t>
      </w:r>
      <w:r w:rsidRPr="00D51A68">
        <w:t xml:space="preserve">interesse (MKR SA TDI, MKR SA SEC, MKR SA CTP) e il rischio di strumenti di capitale (MKR SA EQU). In questa parte sono comprese anche le istruzioni relative al modello per la segnalazione del calcolo dei requisiti di fondi propri secondo il metodo dei modelli interni (MKR IM). </w:t>
      </w:r>
    </w:p>
    <w:p w:rsidR="000B0B09" w:rsidRPr="00D51A68" w:rsidRDefault="00125707" w:rsidP="00941EC3">
      <w:pPr>
        <w:pStyle w:val="InstructionsText2"/>
        <w:numPr>
          <w:ilvl w:val="0"/>
          <w:numId w:val="0"/>
        </w:numPr>
        <w:ind w:left="993"/>
      </w:pPr>
      <w:r w:rsidRPr="00D51A68">
        <w:t>138.</w:t>
      </w:r>
      <w:r w:rsidR="00A0772B" w:rsidRPr="00D51A68">
        <w:tab/>
      </w:r>
      <w:r w:rsidRPr="00D51A68">
        <w:t>Ai fini del calcolo del capitale richiesto a fronte del rischio considerato, il rischio di posizione su uno strumento di debito negoziato o uno strumento di capitale (o un derivato di uno strumento di debito o un derivato di uno strumento di capitale) è suddiviso in due componenti. La prima è la componente di rischio specifico — ossia il rischio di una variazione del prezzo dello strumento in questione dovuta a fattori connessi con l</w:t>
      </w:r>
      <w:r w:rsidR="0009277C" w:rsidRPr="00D51A68">
        <w:t>’</w:t>
      </w:r>
      <w:r w:rsidRPr="00D51A68">
        <w:t>emittente oppure, nel caso di un derivato, con l</w:t>
      </w:r>
      <w:r w:rsidR="0009277C" w:rsidRPr="00D51A68">
        <w:t>’</w:t>
      </w:r>
      <w:r w:rsidRPr="00D51A68">
        <w:t xml:space="preserve">emittente dello strumento sottostante. La seconda componente copre il rischio generico — ossia il rischio di una variazione di prezzo dello strumento dovuta, nel caso di uno strumento di debito negoziato o di un derivato di uno strumento di debito, ad una variazione del livello dei tassi di interesse oppure, nel caso di uno strumento di capitale o di un derivato di uno strumento di capitale, a un movimento generale sul mercato degli strumenti di capitale non connesso con le caratteristiche specifiche dei singoli titoli. </w:t>
      </w:r>
      <w:bookmarkEnd w:id="595"/>
      <w:r w:rsidRPr="00D51A68">
        <w:t xml:space="preserve">Il trattamento generale degli strumenti specifici e delle procedure di compensazione è indicato negli articoli da 326 a 333 del CRR. </w:t>
      </w:r>
    </w:p>
    <w:p w:rsidR="000B0B09" w:rsidRPr="00D51A68" w:rsidRDefault="00125707" w:rsidP="0023700C">
      <w:pPr>
        <w:pStyle w:val="Instructionsberschrift2"/>
        <w:numPr>
          <w:ilvl w:val="0"/>
          <w:numId w:val="0"/>
        </w:numPr>
        <w:ind w:left="357" w:hanging="357"/>
        <w:rPr>
          <w:rFonts w:ascii="Times New Roman" w:hAnsi="Times New Roman" w:cs="Times New Roman"/>
          <w:sz w:val="24"/>
        </w:rPr>
      </w:pPr>
      <w:bookmarkStart w:id="596" w:name="_Toc239157393"/>
      <w:bookmarkStart w:id="597" w:name="_Toc262566426"/>
      <w:bookmarkStart w:id="598" w:name="_Toc295829996"/>
      <w:bookmarkStart w:id="599" w:name="_Toc308426673"/>
      <w:bookmarkStart w:id="600" w:name="_Toc310415057"/>
      <w:bookmarkStart w:id="601" w:name="_Toc360188392"/>
      <w:bookmarkStart w:id="602" w:name="_Toc516210683"/>
      <w:bookmarkStart w:id="603" w:name="_Toc473561032"/>
      <w:bookmarkStart w:id="604" w:name="_Toc524096628"/>
      <w:r w:rsidRPr="00D51A68">
        <w:rPr>
          <w:rFonts w:ascii="Times New Roman" w:hAnsi="Times New Roman"/>
          <w:sz w:val="24"/>
          <w:u w:val="none"/>
        </w:rPr>
        <w:t>5.1.</w:t>
      </w:r>
      <w:r w:rsidR="00A0772B" w:rsidRPr="00D51A68">
        <w:rPr>
          <w:u w:val="none"/>
        </w:rPr>
        <w:tab/>
      </w:r>
      <w:r w:rsidRPr="00D51A68">
        <w:rPr>
          <w:rFonts w:ascii="Times New Roman" w:hAnsi="Times New Roman"/>
          <w:sz w:val="24"/>
        </w:rPr>
        <w:t>C 18.00 — Rischio di mercato: metodo standardizzato per i rischi di posizione su strumenti di debito negoziati</w:t>
      </w:r>
      <w:bookmarkEnd w:id="596"/>
      <w:bookmarkEnd w:id="597"/>
      <w:bookmarkEnd w:id="598"/>
      <w:bookmarkEnd w:id="599"/>
      <w:bookmarkEnd w:id="600"/>
      <w:bookmarkEnd w:id="601"/>
      <w:r w:rsidRPr="00D51A68">
        <w:rPr>
          <w:rFonts w:ascii="Times New Roman" w:hAnsi="Times New Roman"/>
          <w:sz w:val="24"/>
        </w:rPr>
        <w:t xml:space="preserve"> (MKR SA TDI)</w:t>
      </w:r>
      <w:bookmarkEnd w:id="602"/>
      <w:bookmarkEnd w:id="603"/>
      <w:bookmarkEnd w:id="604"/>
    </w:p>
    <w:p w:rsidR="000B0B09" w:rsidRPr="00D51A68" w:rsidRDefault="00125707" w:rsidP="0023700C">
      <w:pPr>
        <w:pStyle w:val="Instructionsberschrift2"/>
        <w:numPr>
          <w:ilvl w:val="0"/>
          <w:numId w:val="0"/>
        </w:numPr>
        <w:ind w:left="357" w:hanging="357"/>
        <w:rPr>
          <w:rFonts w:ascii="Times New Roman" w:hAnsi="Times New Roman" w:cs="Times New Roman"/>
          <w:sz w:val="24"/>
        </w:rPr>
      </w:pPr>
      <w:bookmarkStart w:id="605" w:name="_Toc262566427"/>
      <w:bookmarkStart w:id="606" w:name="_Toc295829997"/>
      <w:bookmarkStart w:id="607" w:name="_Toc308426674"/>
      <w:bookmarkStart w:id="608" w:name="_Toc310415058"/>
      <w:bookmarkStart w:id="609" w:name="_Toc360188393"/>
      <w:bookmarkStart w:id="610" w:name="_Toc516210684"/>
      <w:bookmarkStart w:id="611" w:name="_Toc473561033"/>
      <w:bookmarkStart w:id="612" w:name="_Toc524096629"/>
      <w:r w:rsidRPr="00D51A68">
        <w:rPr>
          <w:rFonts w:ascii="Times New Roman" w:hAnsi="Times New Roman"/>
          <w:sz w:val="24"/>
          <w:u w:val="none"/>
        </w:rPr>
        <w:t>5.1.1.</w:t>
      </w:r>
      <w:r w:rsidR="00A0772B" w:rsidRPr="00D51A68">
        <w:rPr>
          <w:u w:val="none"/>
        </w:rPr>
        <w:tab/>
      </w:r>
      <w:r w:rsidRPr="00D51A68">
        <w:rPr>
          <w:rFonts w:ascii="Times New Roman" w:hAnsi="Times New Roman"/>
          <w:sz w:val="24"/>
        </w:rPr>
        <w:t>Osservazioni di carattere generale</w:t>
      </w:r>
      <w:bookmarkEnd w:id="605"/>
      <w:bookmarkEnd w:id="606"/>
      <w:bookmarkEnd w:id="607"/>
      <w:bookmarkEnd w:id="608"/>
      <w:bookmarkEnd w:id="609"/>
      <w:bookmarkEnd w:id="610"/>
      <w:bookmarkEnd w:id="611"/>
      <w:bookmarkEnd w:id="612"/>
    </w:p>
    <w:p w:rsidR="000B0B09" w:rsidRPr="00D51A68" w:rsidRDefault="00125707" w:rsidP="00941EC3">
      <w:pPr>
        <w:pStyle w:val="InstructionsText2"/>
        <w:numPr>
          <w:ilvl w:val="0"/>
          <w:numId w:val="0"/>
        </w:numPr>
        <w:ind w:left="993"/>
      </w:pPr>
      <w:r w:rsidRPr="00D51A68">
        <w:t>139.</w:t>
      </w:r>
      <w:r w:rsidR="00A0772B" w:rsidRPr="00D51A68">
        <w:tab/>
      </w:r>
      <w:r w:rsidRPr="00D51A68">
        <w:t>Questo modello riassume le posizioni e i relativi requisiti di fondi propri per i rischi di posizione su strumenti di debito negoziati secondo il metodo standardizzato (articolo 102 e articolo 105, paragrafo 1, del CRR). I differenti rischi e metodi disponibili nell</w:t>
      </w:r>
      <w:r w:rsidR="0009277C" w:rsidRPr="00D51A68">
        <w:t>’</w:t>
      </w:r>
      <w:r w:rsidRPr="00D51A68">
        <w:t>ambito del CRR sono presentati per riga. Il rischio specifico associato alle esposizioni incluse nei modelli MKR SA SEC e MKR SA CTP deve essere riportato solo nel modello MKR SA TDI Total. I requisiti di fondi propri indicati nei modelli citati sono trasferiti, rispettivamente, nella cella</w:t>
      </w:r>
      <w:r w:rsidR="00941EC3" w:rsidRPr="00D51A68">
        <w:t> </w:t>
      </w:r>
      <w:r w:rsidRPr="00D51A68">
        <w:t>{325;060} (cartolarizzazioni) e nella cella {330;060} (portafoglio di negoziazione di correlazione).</w:t>
      </w:r>
    </w:p>
    <w:p w:rsidR="000B0B09" w:rsidRPr="00D51A68" w:rsidRDefault="00125707" w:rsidP="00941EC3">
      <w:pPr>
        <w:pStyle w:val="InstructionsText2"/>
        <w:numPr>
          <w:ilvl w:val="0"/>
          <w:numId w:val="0"/>
        </w:numPr>
        <w:ind w:left="993"/>
      </w:pPr>
      <w:r w:rsidRPr="00D51A68">
        <w:t>140.</w:t>
      </w:r>
      <w:r w:rsidR="00A0772B" w:rsidRPr="00D51A68">
        <w:tab/>
      </w:r>
      <w:r w:rsidRPr="00D51A68">
        <w:t xml:space="preserve">Il modello deve essere compilato separatamente per il </w:t>
      </w:r>
      <w:r w:rsidR="0009277C" w:rsidRPr="00D51A68">
        <w:t>“</w:t>
      </w:r>
      <w:r w:rsidRPr="00D51A68">
        <w:t>Totale</w:t>
      </w:r>
      <w:r w:rsidR="0009277C" w:rsidRPr="00D51A68">
        <w:t>”</w:t>
      </w:r>
      <w:r w:rsidRPr="00D51A68">
        <w:t xml:space="preserve">, più un elenco prestabilito comprendente le seguenti valute: </w:t>
      </w:r>
      <w:bookmarkStart w:id="613" w:name="OLE_LINK1"/>
      <w:r w:rsidRPr="00D51A68">
        <w:t>EUR, ALL, BGN, CZK, DKK, EGP, GBP, HRK, HUF, ISK, JPY, MKD, NOK, PLN, RON, RUB, RSD, SEK, CHF, TRY, UAH, USD</w:t>
      </w:r>
      <w:bookmarkEnd w:id="613"/>
      <w:r w:rsidR="0009277C" w:rsidRPr="00D51A68">
        <w:t xml:space="preserve"> </w:t>
      </w:r>
      <w:r w:rsidRPr="00D51A68">
        <w:t xml:space="preserve">e un modello residuale per tutte le altre valute. </w:t>
      </w:r>
    </w:p>
    <w:p w:rsidR="00941EC3" w:rsidRPr="00D51A68" w:rsidRDefault="00941EC3">
      <w:pPr>
        <w:spacing w:before="0" w:after="0"/>
        <w:jc w:val="left"/>
        <w:rPr>
          <w:rFonts w:ascii="Times New Roman" w:hAnsi="Times New Roman"/>
          <w:sz w:val="24"/>
        </w:rPr>
      </w:pPr>
      <w:r w:rsidRPr="00D51A68">
        <w:br w:type="page"/>
      </w:r>
    </w:p>
    <w:p w:rsidR="00941EC3" w:rsidRPr="00D51A68" w:rsidRDefault="00941EC3" w:rsidP="00941EC3">
      <w:pPr>
        <w:pStyle w:val="InstructionsText2"/>
        <w:numPr>
          <w:ilvl w:val="0"/>
          <w:numId w:val="0"/>
        </w:numPr>
        <w:ind w:left="993"/>
      </w:pPr>
    </w:p>
    <w:p w:rsidR="000B0B09" w:rsidRPr="00D51A68" w:rsidRDefault="00125707" w:rsidP="0023700C">
      <w:pPr>
        <w:pStyle w:val="Instructionsberschrift2"/>
        <w:numPr>
          <w:ilvl w:val="0"/>
          <w:numId w:val="0"/>
        </w:numPr>
        <w:ind w:left="357" w:hanging="357"/>
        <w:rPr>
          <w:rFonts w:ascii="Times New Roman" w:hAnsi="Times New Roman" w:cs="Times New Roman"/>
          <w:sz w:val="24"/>
        </w:rPr>
      </w:pPr>
      <w:bookmarkStart w:id="614" w:name="_Toc262566428"/>
      <w:bookmarkStart w:id="615" w:name="_Toc295829998"/>
      <w:bookmarkStart w:id="616" w:name="_Toc308426675"/>
      <w:bookmarkStart w:id="617" w:name="_Toc310415059"/>
      <w:bookmarkStart w:id="618" w:name="_Toc360188394"/>
      <w:bookmarkStart w:id="619" w:name="_Toc516210685"/>
      <w:bookmarkStart w:id="620" w:name="_Toc473561034"/>
      <w:bookmarkStart w:id="621" w:name="_Toc524096630"/>
      <w:r w:rsidRPr="00D51A68">
        <w:rPr>
          <w:rFonts w:ascii="Times New Roman" w:hAnsi="Times New Roman"/>
          <w:sz w:val="24"/>
          <w:u w:val="none"/>
        </w:rPr>
        <w:t>5.1.2.</w:t>
      </w:r>
      <w:r w:rsidR="00A0772B" w:rsidRPr="00D51A68">
        <w:rPr>
          <w:u w:val="none"/>
        </w:rPr>
        <w:tab/>
      </w:r>
      <w:r w:rsidRPr="00D51A68">
        <w:rPr>
          <w:rFonts w:ascii="Times New Roman" w:hAnsi="Times New Roman"/>
          <w:sz w:val="24"/>
        </w:rPr>
        <w:t>Istruzioni relative a posizioni specifiche</w:t>
      </w:r>
      <w:bookmarkEnd w:id="614"/>
      <w:bookmarkEnd w:id="615"/>
      <w:bookmarkEnd w:id="616"/>
      <w:bookmarkEnd w:id="617"/>
      <w:bookmarkEnd w:id="618"/>
      <w:bookmarkEnd w:id="619"/>
      <w:bookmarkEnd w:id="620"/>
      <w:bookmarkEnd w:id="62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D51A68" w:rsidTr="00672D2A">
        <w:trPr>
          <w:trHeight w:val="569"/>
        </w:trPr>
        <w:tc>
          <w:tcPr>
            <w:tcW w:w="8862" w:type="dxa"/>
            <w:gridSpan w:val="2"/>
            <w:shd w:val="clear" w:color="auto" w:fill="CCCCCC"/>
          </w:tcPr>
          <w:p w:rsidR="000B0B09" w:rsidRPr="00D51A68" w:rsidRDefault="000B0B09" w:rsidP="000B0B09">
            <w:pPr>
              <w:autoSpaceDE w:val="0"/>
              <w:autoSpaceDN w:val="0"/>
              <w:adjustRightInd w:val="0"/>
              <w:spacing w:after="0"/>
              <w:rPr>
                <w:rFonts w:ascii="Times New Roman" w:hAnsi="Times New Roman"/>
                <w:b/>
                <w:sz w:val="24"/>
              </w:rPr>
            </w:pPr>
            <w:r w:rsidRPr="00D51A68">
              <w:rPr>
                <w:rFonts w:ascii="Times New Roman" w:hAnsi="Times New Roman"/>
                <w:b/>
                <w:sz w:val="24"/>
              </w:rPr>
              <w:t>Colonne</w:t>
            </w:r>
          </w:p>
        </w:tc>
      </w:tr>
      <w:tr w:rsidR="000B0B09" w:rsidRPr="00D51A68" w:rsidTr="00672D2A">
        <w:tc>
          <w:tcPr>
            <w:tcW w:w="988" w:type="dxa"/>
          </w:tcPr>
          <w:p w:rsidR="000B0B09" w:rsidRPr="00D51A68" w:rsidRDefault="000B0B09" w:rsidP="000F70EC">
            <w:pPr>
              <w:autoSpaceDE w:val="0"/>
              <w:autoSpaceDN w:val="0"/>
              <w:adjustRightInd w:val="0"/>
              <w:spacing w:before="0" w:after="0"/>
              <w:rPr>
                <w:rFonts w:ascii="Times New Roman" w:hAnsi="Times New Roman"/>
                <w:sz w:val="24"/>
              </w:rPr>
            </w:pPr>
            <w:r w:rsidRPr="00D51A68">
              <w:rPr>
                <w:rFonts w:ascii="Times New Roman" w:hAnsi="Times New Roman"/>
                <w:sz w:val="24"/>
              </w:rPr>
              <w:t>010-020</w:t>
            </w:r>
          </w:p>
        </w:tc>
        <w:tc>
          <w:tcPr>
            <w:tcW w:w="7874" w:type="dxa"/>
          </w:tcPr>
          <w:p w:rsidR="000B0B09" w:rsidRPr="00D51A68" w:rsidRDefault="000B0B09" w:rsidP="000B0B09">
            <w:pPr>
              <w:autoSpaceDE w:val="0"/>
              <w:autoSpaceDN w:val="0"/>
              <w:adjustRightInd w:val="0"/>
              <w:spacing w:before="0" w:after="0"/>
              <w:rPr>
                <w:rFonts w:ascii="Times New Roman" w:hAnsi="Times New Roman"/>
                <w:b/>
                <w:bCs/>
                <w:sz w:val="24"/>
                <w:u w:val="single"/>
              </w:rPr>
            </w:pPr>
            <w:r w:rsidRPr="00D51A68">
              <w:rPr>
                <w:rFonts w:ascii="Times New Roman" w:hAnsi="Times New Roman"/>
                <w:b/>
                <w:sz w:val="24"/>
                <w:u w:val="single"/>
              </w:rPr>
              <w:t>TUTTE LE POSIZIONI (LUNGHE E CORTE)</w:t>
            </w:r>
          </w:p>
          <w:p w:rsidR="000B0B09" w:rsidRPr="00D51A68" w:rsidRDefault="000B0B09" w:rsidP="000B0B09">
            <w:pPr>
              <w:autoSpaceDE w:val="0"/>
              <w:autoSpaceDN w:val="0"/>
              <w:adjustRightInd w:val="0"/>
              <w:spacing w:before="0" w:after="0"/>
              <w:rPr>
                <w:rFonts w:ascii="Times New Roman" w:hAnsi="Times New Roman"/>
                <w:sz w:val="24"/>
              </w:rPr>
            </w:pPr>
          </w:p>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Articolo 102 e articolo 105, paragrafo 1, del CRR. Si tratta di posizioni lorde non compensate da strumenti; sono tuttavia escluse le posizioni in impegni irrevocabili di acquisto sottoscritte o risottoscritte da terzi (articolo 345, seconda frase, del CRR). Per la distinzione tra posizioni lunghe e posizioni corte, applicabile anche a queste posizioni lorde, cfr. articolo 328, paragrafo 2, del CRR.</w:t>
            </w:r>
          </w:p>
          <w:p w:rsidR="000B0B09" w:rsidRPr="00D51A68" w:rsidRDefault="000B0B09" w:rsidP="000B0B09">
            <w:pPr>
              <w:autoSpaceDE w:val="0"/>
              <w:autoSpaceDN w:val="0"/>
              <w:adjustRightInd w:val="0"/>
              <w:spacing w:before="0" w:after="0"/>
              <w:rPr>
                <w:rFonts w:ascii="Times New Roman" w:hAnsi="Times New Roman"/>
                <w:sz w:val="24"/>
              </w:rPr>
            </w:pPr>
          </w:p>
        </w:tc>
      </w:tr>
      <w:tr w:rsidR="000B0B09" w:rsidRPr="00D51A68" w:rsidTr="00672D2A">
        <w:tc>
          <w:tcPr>
            <w:tcW w:w="988" w:type="dxa"/>
          </w:tcPr>
          <w:p w:rsidR="000B0B09" w:rsidRPr="00D51A68" w:rsidRDefault="000B0B09" w:rsidP="000F70EC">
            <w:pPr>
              <w:autoSpaceDE w:val="0"/>
              <w:autoSpaceDN w:val="0"/>
              <w:adjustRightInd w:val="0"/>
              <w:spacing w:before="0" w:after="0"/>
              <w:rPr>
                <w:rFonts w:ascii="Times New Roman" w:hAnsi="Times New Roman"/>
                <w:sz w:val="24"/>
              </w:rPr>
            </w:pPr>
            <w:r w:rsidRPr="00D51A68">
              <w:rPr>
                <w:rFonts w:ascii="Times New Roman" w:hAnsi="Times New Roman"/>
                <w:sz w:val="24"/>
              </w:rPr>
              <w:t>030-040</w:t>
            </w:r>
          </w:p>
        </w:tc>
        <w:tc>
          <w:tcPr>
            <w:tcW w:w="7874" w:type="dxa"/>
          </w:tcPr>
          <w:p w:rsidR="000B0B09" w:rsidRPr="00D51A68" w:rsidRDefault="000B0B09" w:rsidP="000B0B09">
            <w:pPr>
              <w:autoSpaceDE w:val="0"/>
              <w:autoSpaceDN w:val="0"/>
              <w:adjustRightInd w:val="0"/>
              <w:spacing w:before="0" w:after="0"/>
              <w:rPr>
                <w:rFonts w:ascii="Times New Roman" w:hAnsi="Times New Roman"/>
                <w:b/>
                <w:bCs/>
                <w:sz w:val="24"/>
                <w:u w:val="single"/>
              </w:rPr>
            </w:pPr>
            <w:r w:rsidRPr="00D51A68">
              <w:rPr>
                <w:rFonts w:ascii="Times New Roman" w:hAnsi="Times New Roman"/>
                <w:b/>
                <w:sz w:val="24"/>
                <w:u w:val="single"/>
              </w:rPr>
              <w:t>POSIZIONI NETTE (LUNGHE E CORTE)</w:t>
            </w:r>
          </w:p>
          <w:p w:rsidR="000B0B09" w:rsidRPr="00D51A68" w:rsidRDefault="000B0B09" w:rsidP="000B0B09">
            <w:pPr>
              <w:autoSpaceDE w:val="0"/>
              <w:autoSpaceDN w:val="0"/>
              <w:adjustRightInd w:val="0"/>
              <w:spacing w:before="0" w:after="0"/>
              <w:rPr>
                <w:rFonts w:ascii="Times New Roman" w:hAnsi="Times New Roman"/>
                <w:sz w:val="24"/>
              </w:rPr>
            </w:pPr>
          </w:p>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Articoli da 327 a 329 e articolo 334 del CRR. Per la distinzione tra posizioni lunghe e posizioni corte cfr. articolo 328, paragrafo 2, del CRR.</w:t>
            </w:r>
          </w:p>
          <w:p w:rsidR="000B0B09" w:rsidRPr="00D51A68" w:rsidRDefault="000B0B09" w:rsidP="000B0B09">
            <w:pPr>
              <w:autoSpaceDE w:val="0"/>
              <w:autoSpaceDN w:val="0"/>
              <w:adjustRightInd w:val="0"/>
              <w:spacing w:before="0" w:after="0"/>
              <w:rPr>
                <w:rFonts w:ascii="Times New Roman" w:hAnsi="Times New Roman"/>
                <w:sz w:val="24"/>
              </w:rPr>
            </w:pPr>
          </w:p>
        </w:tc>
      </w:tr>
      <w:tr w:rsidR="000B0B09" w:rsidRPr="00D51A68" w:rsidTr="00672D2A">
        <w:tc>
          <w:tcPr>
            <w:tcW w:w="988" w:type="dxa"/>
          </w:tcPr>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050</w:t>
            </w:r>
          </w:p>
        </w:tc>
        <w:tc>
          <w:tcPr>
            <w:tcW w:w="7874" w:type="dxa"/>
          </w:tcPr>
          <w:p w:rsidR="000B0B09" w:rsidRPr="00D51A68" w:rsidRDefault="000B0B09" w:rsidP="000B0B09">
            <w:pPr>
              <w:autoSpaceDE w:val="0"/>
              <w:autoSpaceDN w:val="0"/>
              <w:adjustRightInd w:val="0"/>
              <w:spacing w:before="0" w:after="0"/>
              <w:rPr>
                <w:rFonts w:ascii="Times New Roman" w:hAnsi="Times New Roman"/>
                <w:b/>
                <w:bCs/>
                <w:sz w:val="24"/>
                <w:u w:val="single"/>
              </w:rPr>
            </w:pPr>
            <w:r w:rsidRPr="00D51A68">
              <w:rPr>
                <w:rFonts w:ascii="Times New Roman" w:hAnsi="Times New Roman"/>
                <w:b/>
                <w:sz w:val="24"/>
                <w:u w:val="single"/>
              </w:rPr>
              <w:t>POSIZIONI SOGGETTE A COPERTURA PATRIMONIALE</w:t>
            </w:r>
          </w:p>
          <w:p w:rsidR="000B0B09" w:rsidRPr="00D51A68" w:rsidRDefault="000B0B09" w:rsidP="000B0B09">
            <w:pPr>
              <w:autoSpaceDE w:val="0"/>
              <w:autoSpaceDN w:val="0"/>
              <w:adjustRightInd w:val="0"/>
              <w:spacing w:before="0" w:after="0"/>
              <w:rPr>
                <w:rFonts w:ascii="Times New Roman" w:hAnsi="Times New Roman"/>
                <w:b/>
                <w:bCs/>
                <w:sz w:val="24"/>
                <w:u w:val="single"/>
              </w:rPr>
            </w:pPr>
          </w:p>
          <w:p w:rsidR="000B0B09" w:rsidRPr="00D51A68" w:rsidRDefault="000B0B09" w:rsidP="000B0B09">
            <w:pPr>
              <w:autoSpaceDE w:val="0"/>
              <w:autoSpaceDN w:val="0"/>
              <w:adjustRightInd w:val="0"/>
              <w:spacing w:before="0" w:after="0"/>
              <w:rPr>
                <w:rFonts w:ascii="Times New Roman" w:hAnsi="Times New Roman"/>
                <w:b/>
                <w:bCs/>
                <w:sz w:val="24"/>
                <w:u w:val="single"/>
              </w:rPr>
            </w:pPr>
            <w:r w:rsidRPr="00D51A68">
              <w:rPr>
                <w:rFonts w:ascii="Times New Roman" w:hAnsi="Times New Roman"/>
                <w:sz w:val="24"/>
              </w:rPr>
              <w:t>Posizioni nette che, secondo i differenti metodi di cui alla parte tre, titolo IV, capo 2, del CRR, ricevono una copertura patrimoniale.</w:t>
            </w:r>
          </w:p>
        </w:tc>
      </w:tr>
      <w:tr w:rsidR="000B0B09" w:rsidRPr="00D51A68" w:rsidTr="00672D2A">
        <w:tc>
          <w:tcPr>
            <w:tcW w:w="988" w:type="dxa"/>
          </w:tcPr>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060</w:t>
            </w:r>
          </w:p>
        </w:tc>
        <w:tc>
          <w:tcPr>
            <w:tcW w:w="7874" w:type="dxa"/>
          </w:tcPr>
          <w:p w:rsidR="000B0B09" w:rsidRPr="00D51A68" w:rsidRDefault="000B0B09" w:rsidP="000B0B09">
            <w:pPr>
              <w:tabs>
                <w:tab w:val="left" w:pos="1665"/>
              </w:tabs>
              <w:autoSpaceDE w:val="0"/>
              <w:autoSpaceDN w:val="0"/>
              <w:adjustRightInd w:val="0"/>
              <w:spacing w:before="0" w:after="0"/>
              <w:rPr>
                <w:rFonts w:ascii="Times New Roman" w:hAnsi="Times New Roman"/>
                <w:b/>
                <w:bCs/>
                <w:sz w:val="24"/>
                <w:u w:val="single"/>
              </w:rPr>
            </w:pPr>
            <w:r w:rsidRPr="00D51A68">
              <w:rPr>
                <w:rFonts w:ascii="Times New Roman" w:hAnsi="Times New Roman"/>
                <w:b/>
                <w:sz w:val="24"/>
                <w:u w:val="single"/>
              </w:rPr>
              <w:t>REQUISITI DI FONDI PROPRI</w:t>
            </w:r>
          </w:p>
          <w:p w:rsidR="000B0B09" w:rsidRPr="00D51A68" w:rsidRDefault="000B0B09" w:rsidP="000B0B09">
            <w:pPr>
              <w:tabs>
                <w:tab w:val="left" w:pos="1665"/>
              </w:tabs>
              <w:autoSpaceDE w:val="0"/>
              <w:autoSpaceDN w:val="0"/>
              <w:adjustRightInd w:val="0"/>
              <w:spacing w:before="0" w:after="0"/>
              <w:rPr>
                <w:rFonts w:ascii="Times New Roman" w:hAnsi="Times New Roman"/>
                <w:b/>
                <w:bCs/>
                <w:sz w:val="24"/>
                <w:u w:val="single"/>
              </w:rPr>
            </w:pPr>
          </w:p>
          <w:p w:rsidR="000B0B09" w:rsidRPr="00D51A68" w:rsidRDefault="000B0B09" w:rsidP="000B0B09">
            <w:pPr>
              <w:autoSpaceDE w:val="0"/>
              <w:autoSpaceDN w:val="0"/>
              <w:adjustRightInd w:val="0"/>
              <w:spacing w:before="0" w:after="0"/>
              <w:rPr>
                <w:rFonts w:ascii="Times New Roman" w:hAnsi="Times New Roman"/>
                <w:b/>
                <w:bCs/>
                <w:sz w:val="24"/>
                <w:u w:val="single"/>
              </w:rPr>
            </w:pPr>
            <w:r w:rsidRPr="00D51A68">
              <w:rPr>
                <w:rFonts w:ascii="Times New Roman" w:hAnsi="Times New Roman"/>
                <w:sz w:val="24"/>
              </w:rPr>
              <w:t>Copertura patrimoniale di qualsiasi posizione pertinente conformemente alla parte tre, titolo IV, capo 2, del CRR.</w:t>
            </w:r>
          </w:p>
        </w:tc>
      </w:tr>
      <w:tr w:rsidR="000B0B09" w:rsidRPr="00D51A68" w:rsidTr="00672D2A">
        <w:tc>
          <w:tcPr>
            <w:tcW w:w="988" w:type="dxa"/>
          </w:tcPr>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070</w:t>
            </w:r>
          </w:p>
        </w:tc>
        <w:tc>
          <w:tcPr>
            <w:tcW w:w="7874" w:type="dxa"/>
          </w:tcPr>
          <w:p w:rsidR="000B0B09" w:rsidRPr="00D51A68" w:rsidRDefault="000B0B09" w:rsidP="000B0B09">
            <w:pPr>
              <w:tabs>
                <w:tab w:val="left" w:pos="1665"/>
              </w:tabs>
              <w:autoSpaceDE w:val="0"/>
              <w:autoSpaceDN w:val="0"/>
              <w:adjustRightInd w:val="0"/>
              <w:spacing w:before="0" w:after="0"/>
              <w:rPr>
                <w:rFonts w:ascii="Times New Roman" w:hAnsi="Times New Roman"/>
                <w:b/>
                <w:bCs/>
                <w:sz w:val="24"/>
                <w:u w:val="single"/>
              </w:rPr>
            </w:pPr>
            <w:r w:rsidRPr="00D51A68">
              <w:rPr>
                <w:rFonts w:ascii="Times New Roman" w:hAnsi="Times New Roman"/>
                <w:b/>
                <w:sz w:val="24"/>
                <w:u w:val="single"/>
              </w:rPr>
              <w:t>IMPORTO COMPLESSIVO DELL</w:t>
            </w:r>
            <w:r w:rsidR="0009277C" w:rsidRPr="00D51A68">
              <w:rPr>
                <w:rFonts w:ascii="Times New Roman" w:hAnsi="Times New Roman"/>
                <w:b/>
                <w:sz w:val="24"/>
                <w:u w:val="single"/>
              </w:rPr>
              <w:t>’</w:t>
            </w:r>
            <w:r w:rsidRPr="00D51A68">
              <w:rPr>
                <w:rFonts w:ascii="Times New Roman" w:hAnsi="Times New Roman"/>
                <w:b/>
                <w:sz w:val="24"/>
                <w:u w:val="single"/>
              </w:rPr>
              <w:t>ESPOSIZIONE AL RISCHIO</w:t>
            </w:r>
          </w:p>
          <w:p w:rsidR="000B0B09" w:rsidRPr="00D51A68" w:rsidRDefault="000B0B09" w:rsidP="000B0B09">
            <w:pPr>
              <w:tabs>
                <w:tab w:val="left" w:pos="1665"/>
              </w:tabs>
              <w:autoSpaceDE w:val="0"/>
              <w:autoSpaceDN w:val="0"/>
              <w:adjustRightInd w:val="0"/>
              <w:spacing w:before="0" w:after="0"/>
              <w:rPr>
                <w:rFonts w:ascii="Times New Roman" w:hAnsi="Times New Roman"/>
                <w:b/>
                <w:bCs/>
                <w:sz w:val="24"/>
                <w:u w:val="single"/>
              </w:rPr>
            </w:pPr>
          </w:p>
          <w:p w:rsidR="000B0B09" w:rsidRPr="00D51A68" w:rsidRDefault="000B0B09" w:rsidP="000B0B09">
            <w:pPr>
              <w:tabs>
                <w:tab w:val="left" w:pos="1665"/>
              </w:tabs>
              <w:autoSpaceDE w:val="0"/>
              <w:autoSpaceDN w:val="0"/>
              <w:adjustRightInd w:val="0"/>
              <w:spacing w:before="0" w:after="0"/>
              <w:rPr>
                <w:rFonts w:ascii="Times New Roman" w:hAnsi="Times New Roman"/>
                <w:b/>
                <w:bCs/>
                <w:sz w:val="24"/>
                <w:u w:val="single"/>
              </w:rPr>
            </w:pPr>
            <w:r w:rsidRPr="00D51A68">
              <w:rPr>
                <w:rFonts w:ascii="Times New Roman" w:hAnsi="Times New Roman"/>
                <w:sz w:val="24"/>
              </w:rPr>
              <w:t xml:space="preserve">Articolo 92, paragrafo 4, lettera b), del CRR. Risultato della moltiplicazione dei requisiti di fondi propri per 12,5. </w:t>
            </w:r>
          </w:p>
        </w:tc>
      </w:tr>
    </w:tbl>
    <w:p w:rsidR="000B0B09" w:rsidRPr="00D51A68" w:rsidRDefault="000B0B09" w:rsidP="000B0B09">
      <w:pPr>
        <w:autoSpaceDE w:val="0"/>
        <w:autoSpaceDN w:val="0"/>
        <w:adjustRightInd w:val="0"/>
        <w:spacing w:before="0" w:after="0"/>
        <w:rPr>
          <w:rFonts w:ascii="Times New Roman" w:hAnsi="Times New Roman"/>
          <w:sz w:val="24"/>
        </w:rPr>
      </w:pPr>
    </w:p>
    <w:p w:rsidR="000B0B09" w:rsidRPr="00D51A68" w:rsidRDefault="000B0B09" w:rsidP="000B0B09">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D51A68" w:rsidTr="00672D2A">
        <w:trPr>
          <w:trHeight w:val="533"/>
        </w:trPr>
        <w:tc>
          <w:tcPr>
            <w:tcW w:w="8862" w:type="dxa"/>
            <w:gridSpan w:val="2"/>
            <w:shd w:val="clear" w:color="auto" w:fill="CCCCCC"/>
          </w:tcPr>
          <w:p w:rsidR="000B0B09" w:rsidRPr="00D51A68" w:rsidRDefault="000B0B09" w:rsidP="000B0B09">
            <w:pPr>
              <w:autoSpaceDE w:val="0"/>
              <w:autoSpaceDN w:val="0"/>
              <w:adjustRightInd w:val="0"/>
              <w:spacing w:after="0"/>
              <w:rPr>
                <w:rFonts w:ascii="Times New Roman" w:hAnsi="Times New Roman"/>
                <w:b/>
                <w:sz w:val="24"/>
              </w:rPr>
            </w:pPr>
            <w:r w:rsidRPr="00D51A68">
              <w:rPr>
                <w:rFonts w:ascii="Times New Roman" w:hAnsi="Times New Roman"/>
                <w:b/>
                <w:sz w:val="24"/>
              </w:rPr>
              <w:t>Righe</w:t>
            </w:r>
          </w:p>
        </w:tc>
      </w:tr>
      <w:tr w:rsidR="000B0B09" w:rsidRPr="00D51A68" w:rsidTr="00672D2A">
        <w:trPr>
          <w:trHeight w:val="1168"/>
        </w:trPr>
        <w:tc>
          <w:tcPr>
            <w:tcW w:w="987" w:type="dxa"/>
          </w:tcPr>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010-350</w:t>
            </w:r>
          </w:p>
          <w:p w:rsidR="000B0B09" w:rsidRPr="00D51A68" w:rsidRDefault="000B0B09" w:rsidP="000B0B09">
            <w:pPr>
              <w:autoSpaceDE w:val="0"/>
              <w:autoSpaceDN w:val="0"/>
              <w:adjustRightInd w:val="0"/>
              <w:spacing w:before="0" w:after="0"/>
              <w:rPr>
                <w:rFonts w:ascii="Times New Roman" w:hAnsi="Times New Roman"/>
                <w:sz w:val="24"/>
              </w:rPr>
            </w:pPr>
          </w:p>
          <w:p w:rsidR="000B0B09" w:rsidRPr="00D51A68" w:rsidRDefault="000B0B09" w:rsidP="000B0B09">
            <w:pPr>
              <w:autoSpaceDE w:val="0"/>
              <w:autoSpaceDN w:val="0"/>
              <w:adjustRightInd w:val="0"/>
              <w:spacing w:before="0" w:after="0"/>
              <w:rPr>
                <w:rFonts w:ascii="Times New Roman" w:hAnsi="Times New Roman"/>
                <w:sz w:val="24"/>
              </w:rPr>
            </w:pPr>
          </w:p>
        </w:tc>
        <w:tc>
          <w:tcPr>
            <w:tcW w:w="7875" w:type="dxa"/>
          </w:tcPr>
          <w:p w:rsidR="000B0B09" w:rsidRPr="00D51A68" w:rsidRDefault="000B0B09" w:rsidP="000B0B09">
            <w:pPr>
              <w:autoSpaceDE w:val="0"/>
              <w:autoSpaceDN w:val="0"/>
              <w:adjustRightInd w:val="0"/>
              <w:spacing w:before="0" w:after="0"/>
              <w:rPr>
                <w:rFonts w:ascii="Times New Roman" w:hAnsi="Times New Roman"/>
                <w:b/>
                <w:bCs/>
                <w:sz w:val="24"/>
                <w:u w:val="single"/>
              </w:rPr>
            </w:pPr>
            <w:r w:rsidRPr="00D51A68">
              <w:rPr>
                <w:rFonts w:ascii="Times New Roman" w:hAnsi="Times New Roman"/>
                <w:b/>
                <w:sz w:val="24"/>
                <w:u w:val="single"/>
              </w:rPr>
              <w:t>STRUMENTI DI DEBITO NEGOZIATI NEL PORTAFOGLIO DI NEGOZIAZIONE</w:t>
            </w:r>
          </w:p>
          <w:p w:rsidR="000B0B09" w:rsidRPr="00D51A68" w:rsidRDefault="000B0B09" w:rsidP="000B0B09">
            <w:pPr>
              <w:autoSpaceDE w:val="0"/>
              <w:autoSpaceDN w:val="0"/>
              <w:adjustRightInd w:val="0"/>
              <w:spacing w:before="0" w:after="0"/>
              <w:rPr>
                <w:rFonts w:ascii="Times New Roman" w:hAnsi="Times New Roman"/>
                <w:sz w:val="24"/>
              </w:rPr>
            </w:pPr>
          </w:p>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Le posizioni su strumenti di debito negoziati interne al portafoglio di negoziazione e i relativi requisiti di fondi propri per il rischio di posizione conformemente all</w:t>
            </w:r>
            <w:r w:rsidR="0009277C" w:rsidRPr="00D51A68">
              <w:rPr>
                <w:rFonts w:ascii="Times New Roman" w:hAnsi="Times New Roman"/>
                <w:sz w:val="24"/>
              </w:rPr>
              <w:t>’</w:t>
            </w:r>
            <w:r w:rsidRPr="00D51A68">
              <w:rPr>
                <w:rFonts w:ascii="Times New Roman" w:hAnsi="Times New Roman"/>
                <w:sz w:val="24"/>
              </w:rPr>
              <w:t>articolo 92, paragrafo 3, lettera b), punto i), del CRR e alla parte tre, titolo IV, capo 2, del CRR sono segnalati in base alla categoria di rischio, alla scadenza e al metodo utilizzato.</w:t>
            </w:r>
          </w:p>
        </w:tc>
      </w:tr>
      <w:tr w:rsidR="000B0B09" w:rsidRPr="00D51A68" w:rsidTr="00672D2A">
        <w:tc>
          <w:tcPr>
            <w:tcW w:w="987" w:type="dxa"/>
          </w:tcPr>
          <w:p w:rsidR="000B0B09" w:rsidRPr="00D51A68" w:rsidRDefault="000B0B09" w:rsidP="000F70EC">
            <w:pPr>
              <w:autoSpaceDE w:val="0"/>
              <w:autoSpaceDN w:val="0"/>
              <w:adjustRightInd w:val="0"/>
              <w:spacing w:before="0" w:after="0"/>
              <w:rPr>
                <w:rFonts w:ascii="Times New Roman" w:hAnsi="Times New Roman"/>
                <w:sz w:val="24"/>
              </w:rPr>
            </w:pPr>
            <w:r w:rsidRPr="00D51A68">
              <w:rPr>
                <w:rFonts w:ascii="Times New Roman" w:hAnsi="Times New Roman"/>
                <w:sz w:val="24"/>
              </w:rPr>
              <w:t>011</w:t>
            </w:r>
          </w:p>
        </w:tc>
        <w:tc>
          <w:tcPr>
            <w:tcW w:w="7875" w:type="dxa"/>
          </w:tcPr>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b/>
                <w:sz w:val="24"/>
                <w:u w:val="single"/>
              </w:rPr>
              <w:t xml:space="preserve">RISCHIO GENERICO </w:t>
            </w:r>
          </w:p>
        </w:tc>
      </w:tr>
      <w:tr w:rsidR="000B0B09" w:rsidRPr="00D51A68" w:rsidTr="00672D2A">
        <w:tc>
          <w:tcPr>
            <w:tcW w:w="987" w:type="dxa"/>
          </w:tcPr>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012</w:t>
            </w:r>
          </w:p>
        </w:tc>
        <w:tc>
          <w:tcPr>
            <w:tcW w:w="7875" w:type="dxa"/>
          </w:tcPr>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Derivati</w:t>
            </w:r>
          </w:p>
          <w:p w:rsidR="000B0B09" w:rsidRPr="00D51A68" w:rsidRDefault="000B0B09" w:rsidP="000B0B09">
            <w:pPr>
              <w:autoSpaceDE w:val="0"/>
              <w:autoSpaceDN w:val="0"/>
              <w:adjustRightInd w:val="0"/>
              <w:spacing w:before="0" w:after="0"/>
              <w:rPr>
                <w:rFonts w:ascii="Times New Roman" w:hAnsi="Times New Roman"/>
                <w:sz w:val="24"/>
              </w:rPr>
            </w:pPr>
          </w:p>
          <w:p w:rsidR="000B0B09" w:rsidRPr="00D51A68" w:rsidRDefault="000B0B09" w:rsidP="000B0B09">
            <w:pPr>
              <w:autoSpaceDE w:val="0"/>
              <w:autoSpaceDN w:val="0"/>
              <w:adjustRightInd w:val="0"/>
              <w:spacing w:before="0" w:after="0"/>
              <w:rPr>
                <w:rFonts w:ascii="Times New Roman" w:hAnsi="Times New Roman"/>
                <w:b/>
                <w:bCs/>
                <w:sz w:val="24"/>
                <w:u w:val="single"/>
              </w:rPr>
            </w:pPr>
            <w:r w:rsidRPr="00D51A68">
              <w:rPr>
                <w:rFonts w:ascii="Times New Roman" w:hAnsi="Times New Roman"/>
                <w:sz w:val="24"/>
              </w:rPr>
              <w:t>Derivati compresi nel calcolo del rischio di tasso d</w:t>
            </w:r>
            <w:r w:rsidR="0009277C" w:rsidRPr="00D51A68">
              <w:rPr>
                <w:rFonts w:ascii="Times New Roman" w:hAnsi="Times New Roman"/>
                <w:sz w:val="24"/>
              </w:rPr>
              <w:t>’</w:t>
            </w:r>
            <w:r w:rsidRPr="00D51A68">
              <w:rPr>
                <w:rFonts w:ascii="Times New Roman" w:hAnsi="Times New Roman"/>
                <w:sz w:val="24"/>
              </w:rPr>
              <w:t>interesse delle posizioni interne al portafoglio di negoziazione tenuto conto degli articoli da 328 a 331, ove applicabili.</w:t>
            </w:r>
          </w:p>
        </w:tc>
      </w:tr>
      <w:tr w:rsidR="000B0B09" w:rsidRPr="00D51A68" w:rsidTr="00672D2A">
        <w:tc>
          <w:tcPr>
            <w:tcW w:w="987" w:type="dxa"/>
          </w:tcPr>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lastRenderedPageBreak/>
              <w:t>013</w:t>
            </w:r>
          </w:p>
        </w:tc>
        <w:tc>
          <w:tcPr>
            <w:tcW w:w="7875" w:type="dxa"/>
          </w:tcPr>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Altre attività e passività</w:t>
            </w:r>
          </w:p>
          <w:p w:rsidR="000B0B09" w:rsidRPr="00D51A68" w:rsidRDefault="000B0B09" w:rsidP="000B0B09">
            <w:pPr>
              <w:autoSpaceDE w:val="0"/>
              <w:autoSpaceDN w:val="0"/>
              <w:adjustRightInd w:val="0"/>
              <w:spacing w:before="0" w:after="0"/>
              <w:rPr>
                <w:rFonts w:ascii="Times New Roman" w:hAnsi="Times New Roman"/>
                <w:szCs w:val="20"/>
              </w:rPr>
            </w:pPr>
          </w:p>
          <w:p w:rsidR="000B0B09" w:rsidRPr="00D51A68" w:rsidRDefault="000B0B09" w:rsidP="000B0B09">
            <w:pPr>
              <w:autoSpaceDE w:val="0"/>
              <w:autoSpaceDN w:val="0"/>
              <w:adjustRightInd w:val="0"/>
              <w:spacing w:before="0" w:after="0"/>
              <w:rPr>
                <w:rFonts w:ascii="Times New Roman" w:hAnsi="Times New Roman"/>
                <w:b/>
                <w:bCs/>
                <w:sz w:val="24"/>
                <w:u w:val="single"/>
              </w:rPr>
            </w:pPr>
            <w:r w:rsidRPr="00D51A68">
              <w:rPr>
                <w:rFonts w:ascii="Times New Roman" w:hAnsi="Times New Roman"/>
                <w:sz w:val="24"/>
              </w:rPr>
              <w:t>Strumenti diversi dai derivati compresi nel calcolo del rischio di tasso d</w:t>
            </w:r>
            <w:r w:rsidR="0009277C" w:rsidRPr="00D51A68">
              <w:rPr>
                <w:rFonts w:ascii="Times New Roman" w:hAnsi="Times New Roman"/>
                <w:sz w:val="24"/>
              </w:rPr>
              <w:t>’</w:t>
            </w:r>
            <w:r w:rsidRPr="00D51A68">
              <w:rPr>
                <w:rFonts w:ascii="Times New Roman" w:hAnsi="Times New Roman"/>
                <w:sz w:val="24"/>
              </w:rPr>
              <w:t xml:space="preserve">interesse delle posizioni interne al portafoglio di negoziazione. </w:t>
            </w:r>
          </w:p>
        </w:tc>
      </w:tr>
      <w:tr w:rsidR="000B0B09" w:rsidRPr="00D51A68" w:rsidTr="00672D2A">
        <w:tc>
          <w:tcPr>
            <w:tcW w:w="987" w:type="dxa"/>
          </w:tcPr>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020-200</w:t>
            </w:r>
          </w:p>
        </w:tc>
        <w:tc>
          <w:tcPr>
            <w:tcW w:w="7875" w:type="dxa"/>
          </w:tcPr>
          <w:p w:rsidR="000B0B09" w:rsidRPr="00D51A68" w:rsidRDefault="000B0B09" w:rsidP="000B0B09">
            <w:pPr>
              <w:autoSpaceDE w:val="0"/>
              <w:autoSpaceDN w:val="0"/>
              <w:adjustRightInd w:val="0"/>
              <w:spacing w:before="0" w:after="0"/>
              <w:rPr>
                <w:rFonts w:ascii="Times New Roman" w:hAnsi="Times New Roman"/>
                <w:b/>
                <w:bCs/>
                <w:sz w:val="24"/>
                <w:u w:val="single"/>
              </w:rPr>
            </w:pPr>
            <w:r w:rsidRPr="00D51A68">
              <w:rPr>
                <w:rFonts w:ascii="Times New Roman" w:hAnsi="Times New Roman"/>
                <w:b/>
                <w:sz w:val="24"/>
                <w:u w:val="single"/>
              </w:rPr>
              <w:t>METODO BASATO SULLA SCADENZA</w:t>
            </w:r>
          </w:p>
          <w:p w:rsidR="000B0B09" w:rsidRPr="00D51A68" w:rsidRDefault="000B0B09" w:rsidP="000B0B09">
            <w:pPr>
              <w:autoSpaceDE w:val="0"/>
              <w:autoSpaceDN w:val="0"/>
              <w:adjustRightInd w:val="0"/>
              <w:spacing w:before="0" w:after="0"/>
              <w:rPr>
                <w:rFonts w:ascii="Times New Roman" w:hAnsi="Times New Roman"/>
                <w:szCs w:val="20"/>
              </w:rPr>
            </w:pPr>
          </w:p>
          <w:p w:rsidR="000B0B09" w:rsidRPr="00D51A68" w:rsidRDefault="000B0B09" w:rsidP="000B0B09">
            <w:pPr>
              <w:autoSpaceDE w:val="0"/>
              <w:autoSpaceDN w:val="0"/>
              <w:adjustRightInd w:val="0"/>
              <w:spacing w:before="0" w:after="0"/>
              <w:rPr>
                <w:rFonts w:ascii="Times New Roman" w:hAnsi="Times New Roman"/>
                <w:b/>
                <w:bCs/>
                <w:sz w:val="24"/>
                <w:u w:val="single"/>
              </w:rPr>
            </w:pPr>
            <w:r w:rsidRPr="00D51A68">
              <w:rPr>
                <w:rFonts w:ascii="Times New Roman" w:hAnsi="Times New Roman"/>
                <w:sz w:val="24"/>
              </w:rPr>
              <w:t>Posizioni su strumenti di debito negoziati soggette al metodo basato sulla scadenza conformemente all</w:t>
            </w:r>
            <w:r w:rsidR="0009277C" w:rsidRPr="00D51A68">
              <w:rPr>
                <w:rFonts w:ascii="Times New Roman" w:hAnsi="Times New Roman"/>
                <w:sz w:val="24"/>
              </w:rPr>
              <w:t>’</w:t>
            </w:r>
            <w:r w:rsidRPr="00D51A68">
              <w:rPr>
                <w:rFonts w:ascii="Times New Roman" w:hAnsi="Times New Roman"/>
                <w:sz w:val="24"/>
              </w:rPr>
              <w:t>articolo 339, paragrafi da 1 a 8, del CRR e relativi requisiti di fondi propri di cui all</w:t>
            </w:r>
            <w:r w:rsidR="0009277C" w:rsidRPr="00D51A68">
              <w:rPr>
                <w:rFonts w:ascii="Times New Roman" w:hAnsi="Times New Roman"/>
                <w:sz w:val="24"/>
              </w:rPr>
              <w:t>’</w:t>
            </w:r>
            <w:r w:rsidRPr="00D51A68">
              <w:rPr>
                <w:rFonts w:ascii="Times New Roman" w:hAnsi="Times New Roman"/>
                <w:sz w:val="24"/>
              </w:rPr>
              <w:t>articolo 339, paragrafo 9, del CRR. La posizione è suddivisa in zone (1, 2 e 3) e le zone sono suddivise in base alla scadenza degli strumenti.</w:t>
            </w:r>
          </w:p>
        </w:tc>
      </w:tr>
      <w:tr w:rsidR="000B0B09" w:rsidRPr="00D51A68" w:rsidTr="00672D2A">
        <w:tc>
          <w:tcPr>
            <w:tcW w:w="987" w:type="dxa"/>
          </w:tcPr>
          <w:p w:rsidR="000B0B09" w:rsidRPr="00D51A68" w:rsidRDefault="000B0B09" w:rsidP="000F70EC">
            <w:pPr>
              <w:autoSpaceDE w:val="0"/>
              <w:autoSpaceDN w:val="0"/>
              <w:adjustRightInd w:val="0"/>
              <w:spacing w:before="0" w:after="0"/>
              <w:rPr>
                <w:rFonts w:ascii="Times New Roman" w:hAnsi="Times New Roman"/>
                <w:sz w:val="24"/>
              </w:rPr>
            </w:pPr>
            <w:r w:rsidRPr="00D51A68">
              <w:rPr>
                <w:rFonts w:ascii="Times New Roman" w:hAnsi="Times New Roman"/>
                <w:sz w:val="24"/>
              </w:rPr>
              <w:t>210-240</w:t>
            </w:r>
          </w:p>
        </w:tc>
        <w:tc>
          <w:tcPr>
            <w:tcW w:w="7875" w:type="dxa"/>
          </w:tcPr>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b/>
                <w:sz w:val="24"/>
                <w:u w:val="single"/>
              </w:rPr>
              <w:t>RISCHIO GENERICO. METODO BASATO SULLA DURATA FINANZIARIA</w:t>
            </w:r>
          </w:p>
          <w:p w:rsidR="000B0B09" w:rsidRPr="00D51A68" w:rsidRDefault="000B0B09" w:rsidP="000B0B09">
            <w:pPr>
              <w:autoSpaceDE w:val="0"/>
              <w:autoSpaceDN w:val="0"/>
              <w:adjustRightInd w:val="0"/>
              <w:spacing w:before="0" w:after="0"/>
              <w:rPr>
                <w:rFonts w:ascii="Times New Roman" w:hAnsi="Times New Roman"/>
                <w:szCs w:val="20"/>
              </w:rPr>
            </w:pPr>
          </w:p>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Posizioni su strumenti di debito negoziati soggette al metodo basato sulla durata finanziaria conformemente all</w:t>
            </w:r>
            <w:r w:rsidR="0009277C" w:rsidRPr="00D51A68">
              <w:rPr>
                <w:rFonts w:ascii="Times New Roman" w:hAnsi="Times New Roman"/>
                <w:sz w:val="24"/>
              </w:rPr>
              <w:t>’</w:t>
            </w:r>
            <w:r w:rsidRPr="00D51A68">
              <w:rPr>
                <w:rFonts w:ascii="Times New Roman" w:hAnsi="Times New Roman"/>
                <w:sz w:val="24"/>
              </w:rPr>
              <w:t>articolo 340, paragrafi da 1 a 6, del CRR e relativi requisiti di fondi propri di cui all</w:t>
            </w:r>
            <w:r w:rsidR="0009277C" w:rsidRPr="00D51A68">
              <w:rPr>
                <w:rFonts w:ascii="Times New Roman" w:hAnsi="Times New Roman"/>
                <w:sz w:val="24"/>
              </w:rPr>
              <w:t>’</w:t>
            </w:r>
            <w:r w:rsidRPr="00D51A68">
              <w:rPr>
                <w:rFonts w:ascii="Times New Roman" w:hAnsi="Times New Roman"/>
                <w:sz w:val="24"/>
              </w:rPr>
              <w:t>articolo 340, paragrafo 7, del CRR. La posizione è suddivisa in zone (1, 2 e 3).</w:t>
            </w:r>
          </w:p>
          <w:p w:rsidR="000B0B09" w:rsidRPr="00D51A68" w:rsidRDefault="000B0B09" w:rsidP="000B0B09">
            <w:pPr>
              <w:autoSpaceDE w:val="0"/>
              <w:autoSpaceDN w:val="0"/>
              <w:adjustRightInd w:val="0"/>
              <w:spacing w:before="0" w:after="0"/>
              <w:rPr>
                <w:rFonts w:ascii="Times New Roman" w:hAnsi="Times New Roman"/>
                <w:b/>
                <w:bCs/>
                <w:sz w:val="24"/>
                <w:u w:val="single"/>
              </w:rPr>
            </w:pPr>
          </w:p>
        </w:tc>
      </w:tr>
      <w:tr w:rsidR="000B0B09" w:rsidRPr="00D51A68" w:rsidTr="00672D2A">
        <w:tc>
          <w:tcPr>
            <w:tcW w:w="987" w:type="dxa"/>
          </w:tcPr>
          <w:p w:rsidR="000B0B09" w:rsidRPr="00D51A68" w:rsidRDefault="000B0B09" w:rsidP="000F70EC">
            <w:pPr>
              <w:autoSpaceDE w:val="0"/>
              <w:autoSpaceDN w:val="0"/>
              <w:adjustRightInd w:val="0"/>
              <w:spacing w:before="0" w:after="0"/>
              <w:rPr>
                <w:rFonts w:ascii="Times New Roman" w:hAnsi="Times New Roman"/>
                <w:sz w:val="24"/>
              </w:rPr>
            </w:pPr>
            <w:r w:rsidRPr="00D51A68">
              <w:rPr>
                <w:rFonts w:ascii="Times New Roman" w:hAnsi="Times New Roman"/>
                <w:sz w:val="24"/>
              </w:rPr>
              <w:t>250</w:t>
            </w:r>
          </w:p>
        </w:tc>
        <w:tc>
          <w:tcPr>
            <w:tcW w:w="7875" w:type="dxa"/>
          </w:tcPr>
          <w:p w:rsidR="000B0B09" w:rsidRPr="00D51A68" w:rsidRDefault="000B0B09" w:rsidP="000B0B09">
            <w:pPr>
              <w:autoSpaceDE w:val="0"/>
              <w:autoSpaceDN w:val="0"/>
              <w:adjustRightInd w:val="0"/>
              <w:spacing w:before="0" w:after="0"/>
              <w:rPr>
                <w:rFonts w:ascii="Times New Roman" w:hAnsi="Times New Roman"/>
                <w:b/>
                <w:bCs/>
                <w:sz w:val="24"/>
                <w:u w:val="single"/>
              </w:rPr>
            </w:pPr>
            <w:r w:rsidRPr="00D51A68">
              <w:rPr>
                <w:rFonts w:ascii="Times New Roman" w:hAnsi="Times New Roman"/>
                <w:b/>
                <w:sz w:val="24"/>
                <w:u w:val="single"/>
              </w:rPr>
              <w:t>RISCHIO SPECIFICO</w:t>
            </w:r>
          </w:p>
          <w:p w:rsidR="000B0B09" w:rsidRPr="00D51A68" w:rsidRDefault="000B0B09" w:rsidP="000B0B09">
            <w:pPr>
              <w:autoSpaceDE w:val="0"/>
              <w:autoSpaceDN w:val="0"/>
              <w:adjustRightInd w:val="0"/>
              <w:spacing w:before="0" w:after="0"/>
              <w:rPr>
                <w:rFonts w:ascii="Times New Roman" w:hAnsi="Times New Roman"/>
                <w:b/>
                <w:bCs/>
                <w:szCs w:val="20"/>
                <w:u w:val="single"/>
              </w:rPr>
            </w:pPr>
          </w:p>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 xml:space="preserve">Somma degli importi segnalati nelle righe 251, 325 e 330. </w:t>
            </w:r>
          </w:p>
          <w:p w:rsidR="000B0B09" w:rsidRPr="00D51A68" w:rsidRDefault="000B0B09" w:rsidP="000B0B09">
            <w:pPr>
              <w:autoSpaceDE w:val="0"/>
              <w:autoSpaceDN w:val="0"/>
              <w:adjustRightInd w:val="0"/>
              <w:spacing w:before="0" w:after="0"/>
              <w:rPr>
                <w:rFonts w:ascii="Times New Roman" w:hAnsi="Times New Roman"/>
                <w:szCs w:val="20"/>
              </w:rPr>
            </w:pPr>
          </w:p>
          <w:p w:rsidR="000B0B09" w:rsidRPr="00D51A68" w:rsidRDefault="000B0B09" w:rsidP="000B0B09">
            <w:pPr>
              <w:autoSpaceDE w:val="0"/>
              <w:autoSpaceDN w:val="0"/>
              <w:adjustRightInd w:val="0"/>
              <w:spacing w:before="0" w:after="0"/>
              <w:rPr>
                <w:rFonts w:ascii="Times New Roman" w:hAnsi="Times New Roman"/>
                <w:b/>
                <w:bCs/>
                <w:sz w:val="24"/>
                <w:u w:val="single"/>
              </w:rPr>
            </w:pPr>
            <w:r w:rsidRPr="00D51A68">
              <w:rPr>
                <w:rFonts w:ascii="Times New Roman" w:hAnsi="Times New Roman"/>
                <w:sz w:val="24"/>
              </w:rPr>
              <w:t>Posizioni su strumenti di debito negoziati soggette a copertura patrimoniale per il rischio specifico e relativo requisito patrimoniale conformemente all</w:t>
            </w:r>
            <w:r w:rsidR="0009277C" w:rsidRPr="00D51A68">
              <w:rPr>
                <w:rFonts w:ascii="Times New Roman" w:hAnsi="Times New Roman"/>
                <w:sz w:val="24"/>
              </w:rPr>
              <w:t>’</w:t>
            </w:r>
            <w:r w:rsidR="00941EC3" w:rsidRPr="00D51A68">
              <w:rPr>
                <w:rFonts w:ascii="Times New Roman" w:hAnsi="Times New Roman"/>
                <w:sz w:val="24"/>
              </w:rPr>
              <w:t>articolo </w:t>
            </w:r>
            <w:r w:rsidRPr="00D51A68">
              <w:rPr>
                <w:rFonts w:ascii="Times New Roman" w:hAnsi="Times New Roman"/>
                <w:sz w:val="24"/>
              </w:rPr>
              <w:t>92, paragrafo 3, lettera b), all</w:t>
            </w:r>
            <w:r w:rsidR="0009277C" w:rsidRPr="00D51A68">
              <w:rPr>
                <w:rFonts w:ascii="Times New Roman" w:hAnsi="Times New Roman"/>
                <w:sz w:val="24"/>
              </w:rPr>
              <w:t>’</w:t>
            </w:r>
            <w:r w:rsidRPr="00D51A68">
              <w:rPr>
                <w:rFonts w:ascii="Times New Roman" w:hAnsi="Times New Roman"/>
                <w:sz w:val="24"/>
              </w:rPr>
              <w:t>articolo 335, all</w:t>
            </w:r>
            <w:r w:rsidR="0009277C" w:rsidRPr="00D51A68">
              <w:rPr>
                <w:rFonts w:ascii="Times New Roman" w:hAnsi="Times New Roman"/>
                <w:sz w:val="24"/>
              </w:rPr>
              <w:t>’</w:t>
            </w:r>
            <w:r w:rsidRPr="00D51A68">
              <w:rPr>
                <w:rFonts w:ascii="Times New Roman" w:hAnsi="Times New Roman"/>
                <w:sz w:val="24"/>
              </w:rPr>
              <w:t>articolo 336, paragrafi da 1 a 3, e agli articoli 337 e 338 del CRR. Si rimanda altresì all</w:t>
            </w:r>
            <w:r w:rsidR="0009277C" w:rsidRPr="00D51A68">
              <w:rPr>
                <w:rFonts w:ascii="Times New Roman" w:hAnsi="Times New Roman"/>
                <w:sz w:val="24"/>
              </w:rPr>
              <w:t>’</w:t>
            </w:r>
            <w:r w:rsidRPr="00D51A68">
              <w:rPr>
                <w:rFonts w:ascii="Times New Roman" w:hAnsi="Times New Roman"/>
                <w:sz w:val="24"/>
              </w:rPr>
              <w:t>ultima frase dell</w:t>
            </w:r>
            <w:r w:rsidR="0009277C" w:rsidRPr="00D51A68">
              <w:rPr>
                <w:rFonts w:ascii="Times New Roman" w:hAnsi="Times New Roman"/>
                <w:sz w:val="24"/>
              </w:rPr>
              <w:t>’</w:t>
            </w:r>
            <w:r w:rsidRPr="00D51A68">
              <w:rPr>
                <w:rFonts w:ascii="Times New Roman" w:hAnsi="Times New Roman"/>
                <w:sz w:val="24"/>
              </w:rPr>
              <w:t>articolo 327, paragrafo 1, del CRR.</w:t>
            </w:r>
          </w:p>
        </w:tc>
      </w:tr>
      <w:tr w:rsidR="000B0B09" w:rsidRPr="00D51A68" w:rsidTr="00672D2A">
        <w:tc>
          <w:tcPr>
            <w:tcW w:w="987" w:type="dxa"/>
          </w:tcPr>
          <w:p w:rsidR="000B0B09" w:rsidRPr="00D51A68" w:rsidRDefault="000B0B09" w:rsidP="000F70EC">
            <w:pPr>
              <w:autoSpaceDE w:val="0"/>
              <w:autoSpaceDN w:val="0"/>
              <w:adjustRightInd w:val="0"/>
              <w:spacing w:before="0" w:after="0"/>
              <w:rPr>
                <w:rFonts w:ascii="Times New Roman" w:hAnsi="Times New Roman"/>
                <w:sz w:val="24"/>
              </w:rPr>
            </w:pPr>
            <w:r w:rsidRPr="00D51A68">
              <w:rPr>
                <w:rFonts w:ascii="Times New Roman" w:hAnsi="Times New Roman"/>
                <w:sz w:val="24"/>
              </w:rPr>
              <w:t>251-321</w:t>
            </w:r>
          </w:p>
        </w:tc>
        <w:tc>
          <w:tcPr>
            <w:tcW w:w="7875" w:type="dxa"/>
          </w:tcPr>
          <w:p w:rsidR="000B0B09" w:rsidRPr="00D51A68" w:rsidRDefault="000B0B09" w:rsidP="000B0B09">
            <w:pPr>
              <w:autoSpaceDE w:val="0"/>
              <w:autoSpaceDN w:val="0"/>
              <w:adjustRightInd w:val="0"/>
              <w:spacing w:before="0" w:after="0"/>
              <w:rPr>
                <w:rFonts w:ascii="Times New Roman" w:hAnsi="Times New Roman"/>
                <w:b/>
                <w:bCs/>
                <w:sz w:val="24"/>
                <w:u w:val="single"/>
              </w:rPr>
            </w:pPr>
            <w:r w:rsidRPr="00D51A68">
              <w:rPr>
                <w:rFonts w:ascii="Times New Roman" w:hAnsi="Times New Roman"/>
                <w:b/>
                <w:sz w:val="24"/>
                <w:u w:val="single"/>
              </w:rPr>
              <w:t>Requisito di fondi propri per strumenti di debito non inerenti a cartolarizzazione</w:t>
            </w:r>
          </w:p>
          <w:p w:rsidR="000B0B09" w:rsidRPr="00D51A68" w:rsidRDefault="000B0B09" w:rsidP="000B0B09">
            <w:pPr>
              <w:autoSpaceDE w:val="0"/>
              <w:autoSpaceDN w:val="0"/>
              <w:adjustRightInd w:val="0"/>
              <w:spacing w:before="0" w:after="0"/>
              <w:rPr>
                <w:rFonts w:ascii="Times New Roman" w:hAnsi="Times New Roman"/>
                <w:sz w:val="24"/>
              </w:rPr>
            </w:pPr>
          </w:p>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Somma degli importi segnalati nelle righe da 260 a 321.</w:t>
            </w:r>
          </w:p>
          <w:p w:rsidR="000B0B09" w:rsidRPr="00D51A68" w:rsidRDefault="000B0B09" w:rsidP="000B0B09">
            <w:pPr>
              <w:autoSpaceDE w:val="0"/>
              <w:autoSpaceDN w:val="0"/>
              <w:adjustRightInd w:val="0"/>
              <w:spacing w:before="0" w:after="0"/>
              <w:rPr>
                <w:rFonts w:ascii="Times New Roman" w:hAnsi="Times New Roman"/>
                <w:sz w:val="24"/>
              </w:rPr>
            </w:pPr>
          </w:p>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 xml:space="preserve">Il requisito di fondi propri dei derivati su crediti nth-to-default privi di rating esterno deve esse calcolato sommando i fattori di ponderazione del rischio dei soggetti di riferimento (articolo 332, paragrafo 1, lettera e), primo e secondo comma, del CRR – metodo </w:t>
            </w:r>
            <w:r w:rsidR="0009277C" w:rsidRPr="00D51A68">
              <w:rPr>
                <w:rFonts w:ascii="Times New Roman" w:hAnsi="Times New Roman"/>
                <w:sz w:val="24"/>
              </w:rPr>
              <w:t>“</w:t>
            </w:r>
            <w:r w:rsidRPr="00D51A68">
              <w:rPr>
                <w:rFonts w:ascii="Times New Roman" w:hAnsi="Times New Roman"/>
                <w:sz w:val="24"/>
              </w:rPr>
              <w:t>look-through</w:t>
            </w:r>
            <w:r w:rsidR="0009277C" w:rsidRPr="00D51A68">
              <w:rPr>
                <w:rFonts w:ascii="Times New Roman" w:hAnsi="Times New Roman"/>
                <w:sz w:val="24"/>
              </w:rPr>
              <w:t>”</w:t>
            </w:r>
            <w:r w:rsidRPr="00D51A68">
              <w:rPr>
                <w:rFonts w:ascii="Times New Roman" w:hAnsi="Times New Roman"/>
                <w:sz w:val="24"/>
              </w:rPr>
              <w:t xml:space="preserve">). I derivati su crediti nth-to-default provvisti di rating esterno (articolo 332, paragrafo 1, lettera e), terzo comma, del CRR) sono indicati separatamente nella riga 321. </w:t>
            </w:r>
          </w:p>
          <w:p w:rsidR="000B0B09" w:rsidRPr="00D51A68" w:rsidRDefault="000B0B09" w:rsidP="000B0B09">
            <w:pPr>
              <w:autoSpaceDE w:val="0"/>
              <w:autoSpaceDN w:val="0"/>
              <w:adjustRightInd w:val="0"/>
              <w:spacing w:before="0" w:after="0"/>
              <w:rPr>
                <w:rFonts w:ascii="Times New Roman" w:hAnsi="Times New Roman"/>
                <w:sz w:val="24"/>
              </w:rPr>
            </w:pPr>
          </w:p>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u w:val="single"/>
              </w:rPr>
              <w:t>Segnalazione di posizioni soggette all</w:t>
            </w:r>
            <w:r w:rsidR="0009277C" w:rsidRPr="00D51A68">
              <w:rPr>
                <w:rFonts w:ascii="Times New Roman" w:hAnsi="Times New Roman"/>
                <w:sz w:val="24"/>
                <w:u w:val="single"/>
              </w:rPr>
              <w:t>’</w:t>
            </w:r>
            <w:r w:rsidRPr="00D51A68">
              <w:rPr>
                <w:rFonts w:ascii="Times New Roman" w:hAnsi="Times New Roman"/>
                <w:sz w:val="24"/>
                <w:u w:val="single"/>
              </w:rPr>
              <w:t>articolo 336, paragrafo 3, del CRR</w:t>
            </w:r>
            <w:r w:rsidRPr="00D51A68">
              <w:rPr>
                <w:rFonts w:ascii="Times New Roman" w:hAnsi="Times New Roman"/>
                <w:sz w:val="24"/>
              </w:rPr>
              <w:t>:</w:t>
            </w:r>
          </w:p>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ai sensi dell</w:t>
            </w:r>
            <w:r w:rsidR="0009277C" w:rsidRPr="00D51A68">
              <w:rPr>
                <w:rFonts w:ascii="Times New Roman" w:hAnsi="Times New Roman"/>
                <w:sz w:val="24"/>
              </w:rPr>
              <w:t>’</w:t>
            </w:r>
            <w:r w:rsidRPr="00D51A68">
              <w:rPr>
                <w:rFonts w:ascii="Times New Roman" w:hAnsi="Times New Roman"/>
                <w:sz w:val="24"/>
              </w:rPr>
              <w:t>articolo 129, paragrafo 3, del CRR, è previsto un trattamento specifico per le obbligazioni ammissibili a un fattore di ponderazione del rischio pari al 10% interne al portafoglio bancario (obbligazioni garantite). I requisiti specifici di fondi propri corrispondono alla metà della percentuale della seconda categoria della tabella 1 dell</w:t>
            </w:r>
            <w:r w:rsidR="0009277C" w:rsidRPr="00D51A68">
              <w:rPr>
                <w:rFonts w:ascii="Times New Roman" w:hAnsi="Times New Roman"/>
                <w:sz w:val="24"/>
              </w:rPr>
              <w:t>’</w:t>
            </w:r>
            <w:r w:rsidRPr="00D51A68">
              <w:rPr>
                <w:rFonts w:ascii="Times New Roman" w:hAnsi="Times New Roman"/>
                <w:sz w:val="24"/>
              </w:rPr>
              <w:t>articolo 336 del CRR. Le posizioni in questione sono assegnate alle righe 280-300 in funzione della durata residua.</w:t>
            </w:r>
          </w:p>
          <w:p w:rsidR="000B0B09" w:rsidRPr="00D51A68" w:rsidRDefault="000B0B09" w:rsidP="000B0B09">
            <w:pPr>
              <w:autoSpaceDE w:val="0"/>
              <w:autoSpaceDN w:val="0"/>
              <w:adjustRightInd w:val="0"/>
              <w:spacing w:before="0" w:after="0"/>
              <w:rPr>
                <w:rFonts w:ascii="Times New Roman" w:hAnsi="Times New Roman"/>
                <w:sz w:val="24"/>
              </w:rPr>
            </w:pPr>
          </w:p>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 xml:space="preserve">Se il rischio generico delle posizioni su tassi di interesse è coperto da un derivato su crediti, si applicano gli articoli 346 e 347. </w:t>
            </w:r>
          </w:p>
          <w:p w:rsidR="000B0B09" w:rsidRPr="00D51A68" w:rsidRDefault="000B0B09" w:rsidP="000B0B09">
            <w:pPr>
              <w:autoSpaceDE w:val="0"/>
              <w:autoSpaceDN w:val="0"/>
              <w:adjustRightInd w:val="0"/>
              <w:spacing w:before="0" w:after="0"/>
              <w:rPr>
                <w:rFonts w:ascii="Times New Roman" w:hAnsi="Times New Roman"/>
                <w:b/>
                <w:bCs/>
                <w:sz w:val="24"/>
                <w:u w:val="single"/>
              </w:rPr>
            </w:pPr>
          </w:p>
        </w:tc>
      </w:tr>
      <w:tr w:rsidR="000B0B09" w:rsidRPr="00D51A68" w:rsidTr="00672D2A">
        <w:tc>
          <w:tcPr>
            <w:tcW w:w="987" w:type="dxa"/>
          </w:tcPr>
          <w:p w:rsidR="000B0B09" w:rsidRPr="00D51A68" w:rsidDel="00F27BD6"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325</w:t>
            </w:r>
          </w:p>
        </w:tc>
        <w:tc>
          <w:tcPr>
            <w:tcW w:w="7875" w:type="dxa"/>
          </w:tcPr>
          <w:p w:rsidR="000B0B09" w:rsidRPr="00D51A68" w:rsidRDefault="000B0B09" w:rsidP="000B0B09">
            <w:pPr>
              <w:autoSpaceDE w:val="0"/>
              <w:autoSpaceDN w:val="0"/>
              <w:adjustRightInd w:val="0"/>
              <w:spacing w:before="0" w:after="0"/>
              <w:rPr>
                <w:rFonts w:ascii="Times New Roman" w:hAnsi="Times New Roman"/>
                <w:b/>
                <w:bCs/>
                <w:sz w:val="24"/>
                <w:u w:val="single"/>
              </w:rPr>
            </w:pPr>
            <w:r w:rsidRPr="00D51A68">
              <w:rPr>
                <w:rFonts w:ascii="Times New Roman" w:hAnsi="Times New Roman"/>
                <w:b/>
                <w:sz w:val="24"/>
                <w:u w:val="single"/>
              </w:rPr>
              <w:t>Requisiti di fondi propri per strumenti inerenti a cartolarizzazione</w:t>
            </w:r>
          </w:p>
          <w:p w:rsidR="000B0B09" w:rsidRPr="00D51A68" w:rsidRDefault="000B0B09" w:rsidP="000B0B09">
            <w:pPr>
              <w:autoSpaceDE w:val="0"/>
              <w:autoSpaceDN w:val="0"/>
              <w:adjustRightInd w:val="0"/>
              <w:spacing w:before="0" w:after="0"/>
              <w:rPr>
                <w:rFonts w:ascii="Times New Roman" w:hAnsi="Times New Roman"/>
                <w:b/>
                <w:bCs/>
                <w:sz w:val="24"/>
                <w:u w:val="single"/>
              </w:rPr>
            </w:pPr>
          </w:p>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Requisiti totali di fondi propri di cui alla colonna 610 del modello MKR SA SEC. È segnalato soltanto a livello di totale del modello MKR SA TDI.</w:t>
            </w:r>
          </w:p>
          <w:p w:rsidR="00722A10" w:rsidRPr="00D51A68" w:rsidDel="00F27BD6" w:rsidRDefault="00722A10" w:rsidP="000B0B09">
            <w:pPr>
              <w:autoSpaceDE w:val="0"/>
              <w:autoSpaceDN w:val="0"/>
              <w:adjustRightInd w:val="0"/>
              <w:spacing w:before="0" w:after="0"/>
              <w:rPr>
                <w:rFonts w:ascii="Times New Roman" w:hAnsi="Times New Roman"/>
                <w:b/>
                <w:bCs/>
                <w:sz w:val="24"/>
                <w:u w:val="single"/>
              </w:rPr>
            </w:pPr>
          </w:p>
        </w:tc>
      </w:tr>
      <w:tr w:rsidR="000B0B09" w:rsidRPr="00D51A68" w:rsidTr="00672D2A">
        <w:tc>
          <w:tcPr>
            <w:tcW w:w="987" w:type="dxa"/>
          </w:tcPr>
          <w:p w:rsidR="000B0B09" w:rsidRPr="00D51A68" w:rsidDel="00F27BD6"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330</w:t>
            </w:r>
          </w:p>
        </w:tc>
        <w:tc>
          <w:tcPr>
            <w:tcW w:w="7875" w:type="dxa"/>
          </w:tcPr>
          <w:p w:rsidR="000B0B09" w:rsidRPr="00D51A68" w:rsidRDefault="000B0B09" w:rsidP="000B0B09">
            <w:pPr>
              <w:autoSpaceDE w:val="0"/>
              <w:autoSpaceDN w:val="0"/>
              <w:adjustRightInd w:val="0"/>
              <w:spacing w:before="0" w:after="0"/>
              <w:rPr>
                <w:rFonts w:ascii="Times New Roman" w:hAnsi="Times New Roman"/>
                <w:b/>
                <w:bCs/>
                <w:sz w:val="24"/>
                <w:u w:val="single"/>
              </w:rPr>
            </w:pPr>
            <w:r w:rsidRPr="00D51A68">
              <w:rPr>
                <w:rFonts w:ascii="Times New Roman" w:hAnsi="Times New Roman"/>
                <w:b/>
                <w:sz w:val="24"/>
                <w:u w:val="single"/>
              </w:rPr>
              <w:t>Requisiti di fondi propri per il portafoglio di negoziazione di correlazione</w:t>
            </w:r>
          </w:p>
          <w:p w:rsidR="000B0B09" w:rsidRPr="00D51A68" w:rsidRDefault="000B0B09" w:rsidP="000B0B09">
            <w:pPr>
              <w:autoSpaceDE w:val="0"/>
              <w:autoSpaceDN w:val="0"/>
              <w:adjustRightInd w:val="0"/>
              <w:spacing w:before="0" w:after="0"/>
              <w:rPr>
                <w:rFonts w:ascii="Times New Roman" w:hAnsi="Times New Roman"/>
                <w:b/>
                <w:bCs/>
                <w:sz w:val="24"/>
                <w:u w:val="single"/>
              </w:rPr>
            </w:pPr>
          </w:p>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Requisiti totali di fondi propri segnalati nella colonna 450 del modello MKR SA CTP. È segnalato soltanto a livello di totale del modello MKR SA TDI.</w:t>
            </w:r>
          </w:p>
          <w:p w:rsidR="00722A10" w:rsidRPr="00D51A68" w:rsidDel="00F27BD6" w:rsidRDefault="00722A10" w:rsidP="000B0B09">
            <w:pPr>
              <w:autoSpaceDE w:val="0"/>
              <w:autoSpaceDN w:val="0"/>
              <w:adjustRightInd w:val="0"/>
              <w:spacing w:before="0" w:after="0"/>
              <w:rPr>
                <w:rFonts w:ascii="Times New Roman" w:hAnsi="Times New Roman"/>
                <w:b/>
                <w:bCs/>
                <w:sz w:val="24"/>
                <w:u w:val="single"/>
              </w:rPr>
            </w:pPr>
          </w:p>
        </w:tc>
      </w:tr>
      <w:tr w:rsidR="000B0B09" w:rsidRPr="00D51A68" w:rsidTr="00672D2A">
        <w:tc>
          <w:tcPr>
            <w:tcW w:w="987" w:type="dxa"/>
          </w:tcPr>
          <w:p w:rsidR="000B0B09" w:rsidRPr="00D51A68" w:rsidRDefault="000B0B09" w:rsidP="000F70EC">
            <w:pPr>
              <w:autoSpaceDE w:val="0"/>
              <w:autoSpaceDN w:val="0"/>
              <w:adjustRightInd w:val="0"/>
              <w:spacing w:before="0" w:after="0"/>
              <w:rPr>
                <w:rFonts w:ascii="Times New Roman" w:hAnsi="Times New Roman"/>
                <w:sz w:val="24"/>
              </w:rPr>
            </w:pPr>
            <w:r w:rsidRPr="00D51A68">
              <w:rPr>
                <w:rFonts w:ascii="Times New Roman" w:hAnsi="Times New Roman"/>
                <w:sz w:val="24"/>
              </w:rPr>
              <w:t>350-390</w:t>
            </w:r>
          </w:p>
        </w:tc>
        <w:tc>
          <w:tcPr>
            <w:tcW w:w="7875" w:type="dxa"/>
          </w:tcPr>
          <w:p w:rsidR="000B0B09" w:rsidRPr="00D51A68" w:rsidRDefault="000B0B09" w:rsidP="000B0B09">
            <w:pPr>
              <w:autoSpaceDE w:val="0"/>
              <w:autoSpaceDN w:val="0"/>
              <w:adjustRightInd w:val="0"/>
              <w:spacing w:before="0" w:after="0"/>
              <w:rPr>
                <w:rStyle w:val="InstructionsTabelleberschrift"/>
                <w:rFonts w:ascii="Times New Roman" w:hAnsi="Times New Roman"/>
                <w:sz w:val="24"/>
              </w:rPr>
            </w:pPr>
            <w:r w:rsidRPr="00D51A68">
              <w:rPr>
                <w:rStyle w:val="InstructionsTabelleberschrift"/>
                <w:rFonts w:ascii="Times New Roman" w:hAnsi="Times New Roman"/>
                <w:sz w:val="24"/>
              </w:rPr>
              <w:t xml:space="preserve">REQUISITI AGGIUNTIVI PER LE OPZIONI (RISCHI NON DELTA) </w:t>
            </w:r>
          </w:p>
          <w:p w:rsidR="000B0B09" w:rsidRPr="00D51A68" w:rsidRDefault="000B0B09" w:rsidP="000B0B09">
            <w:pPr>
              <w:autoSpaceDE w:val="0"/>
              <w:autoSpaceDN w:val="0"/>
              <w:adjustRightInd w:val="0"/>
              <w:spacing w:before="0" w:after="0"/>
              <w:rPr>
                <w:rStyle w:val="InstructionsTabelleberschrift"/>
                <w:rFonts w:ascii="Times New Roman" w:hAnsi="Times New Roman"/>
                <w:sz w:val="24"/>
              </w:rPr>
            </w:pPr>
          </w:p>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Articolo 329, paragrafo 3, del CRR.</w:t>
            </w:r>
          </w:p>
          <w:p w:rsidR="000B0B09" w:rsidRPr="00D51A68" w:rsidRDefault="000B0B09" w:rsidP="000B0B09">
            <w:pPr>
              <w:autoSpaceDE w:val="0"/>
              <w:autoSpaceDN w:val="0"/>
              <w:adjustRightInd w:val="0"/>
              <w:spacing w:before="0" w:after="0"/>
              <w:rPr>
                <w:rFonts w:ascii="Times New Roman" w:hAnsi="Times New Roman"/>
                <w:sz w:val="24"/>
              </w:rPr>
            </w:pPr>
          </w:p>
          <w:p w:rsidR="00D96E61"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I requisiti aggiuntivi per le opzioni correlate a rischi diversi dal rischio delta sono segnalati nel metodo utilizzato per il relativo calcolo.</w:t>
            </w:r>
          </w:p>
          <w:p w:rsidR="000B0B09" w:rsidRPr="00D51A68" w:rsidRDefault="000B0B09" w:rsidP="00D96E61">
            <w:pPr>
              <w:autoSpaceDE w:val="0"/>
              <w:autoSpaceDN w:val="0"/>
              <w:adjustRightInd w:val="0"/>
              <w:spacing w:before="0" w:after="0"/>
              <w:rPr>
                <w:rFonts w:ascii="Times New Roman" w:hAnsi="Times New Roman"/>
                <w:bCs/>
                <w:sz w:val="24"/>
              </w:rPr>
            </w:pPr>
          </w:p>
        </w:tc>
      </w:tr>
    </w:tbl>
    <w:p w:rsidR="000B0B09" w:rsidRPr="00D51A68" w:rsidRDefault="000B0B09" w:rsidP="000B0B09">
      <w:pPr>
        <w:autoSpaceDE w:val="0"/>
        <w:autoSpaceDN w:val="0"/>
        <w:adjustRightInd w:val="0"/>
        <w:spacing w:before="0" w:after="0"/>
        <w:rPr>
          <w:rFonts w:ascii="Times New Roman" w:hAnsi="Times New Roman"/>
          <w:bCs/>
          <w:sz w:val="24"/>
        </w:rPr>
      </w:pPr>
    </w:p>
    <w:p w:rsidR="000B0B09" w:rsidRPr="00D51A68" w:rsidRDefault="00125707" w:rsidP="0023700C">
      <w:pPr>
        <w:pStyle w:val="Instructionsberschrift2"/>
        <w:numPr>
          <w:ilvl w:val="0"/>
          <w:numId w:val="0"/>
        </w:numPr>
        <w:ind w:left="357" w:hanging="357"/>
        <w:rPr>
          <w:rFonts w:ascii="Times New Roman" w:hAnsi="Times New Roman" w:cs="Times New Roman"/>
          <w:sz w:val="24"/>
        </w:rPr>
      </w:pPr>
      <w:bookmarkStart w:id="622" w:name="_Toc294172370"/>
      <w:bookmarkStart w:id="623" w:name="_Toc295829999"/>
      <w:bookmarkStart w:id="624" w:name="_Toc308426676"/>
      <w:bookmarkStart w:id="625" w:name="_Toc310415060"/>
      <w:bookmarkStart w:id="626" w:name="_Toc360188395"/>
      <w:bookmarkStart w:id="627" w:name="_Toc516210686"/>
      <w:bookmarkStart w:id="628" w:name="_Toc473561035"/>
      <w:bookmarkStart w:id="629" w:name="_Toc524096631"/>
      <w:r w:rsidRPr="00D51A68">
        <w:rPr>
          <w:rFonts w:ascii="Times New Roman" w:hAnsi="Times New Roman"/>
          <w:sz w:val="24"/>
          <w:u w:val="none"/>
        </w:rPr>
        <w:t>5.2.</w:t>
      </w:r>
      <w:r w:rsidR="00A0772B" w:rsidRPr="00D51A68">
        <w:rPr>
          <w:u w:val="none"/>
        </w:rPr>
        <w:tab/>
      </w:r>
      <w:r w:rsidRPr="00D51A68">
        <w:rPr>
          <w:rFonts w:ascii="Times New Roman" w:hAnsi="Times New Roman"/>
          <w:sz w:val="24"/>
        </w:rPr>
        <w:t>C 19.00 — RISCHIO DI MERCATO: METODO STANDARDIZZATO PER IL RISCHIO SPECIFICO SU CARTOLARIZZAZIONI (MKR SA SEC)</w:t>
      </w:r>
      <w:bookmarkEnd w:id="622"/>
      <w:bookmarkEnd w:id="623"/>
      <w:bookmarkEnd w:id="624"/>
      <w:bookmarkEnd w:id="625"/>
      <w:bookmarkEnd w:id="626"/>
      <w:bookmarkEnd w:id="627"/>
      <w:bookmarkEnd w:id="628"/>
      <w:bookmarkEnd w:id="629"/>
    </w:p>
    <w:p w:rsidR="000B0B09" w:rsidRPr="00D51A68" w:rsidRDefault="00125707" w:rsidP="0023700C">
      <w:pPr>
        <w:pStyle w:val="Instructionsberschrift2"/>
        <w:numPr>
          <w:ilvl w:val="0"/>
          <w:numId w:val="0"/>
        </w:numPr>
        <w:ind w:left="357" w:hanging="357"/>
        <w:rPr>
          <w:rFonts w:ascii="Times New Roman" w:hAnsi="Times New Roman" w:cs="Times New Roman"/>
          <w:sz w:val="24"/>
        </w:rPr>
      </w:pPr>
      <w:bookmarkStart w:id="630" w:name="_Toc294172371"/>
      <w:bookmarkStart w:id="631" w:name="_Toc295830000"/>
      <w:bookmarkStart w:id="632" w:name="_Toc308426677"/>
      <w:bookmarkStart w:id="633" w:name="_Toc310415061"/>
      <w:bookmarkStart w:id="634" w:name="_Toc360188396"/>
      <w:bookmarkStart w:id="635" w:name="_Toc516210687"/>
      <w:bookmarkStart w:id="636" w:name="_Toc473561036"/>
      <w:bookmarkStart w:id="637" w:name="_Toc524096632"/>
      <w:r w:rsidRPr="00D51A68">
        <w:rPr>
          <w:rFonts w:ascii="Times New Roman" w:hAnsi="Times New Roman"/>
          <w:sz w:val="24"/>
          <w:u w:val="none"/>
        </w:rPr>
        <w:t>5.2.1.</w:t>
      </w:r>
      <w:r w:rsidR="00A0772B" w:rsidRPr="00D51A68">
        <w:rPr>
          <w:u w:val="none"/>
        </w:rPr>
        <w:tab/>
      </w:r>
      <w:r w:rsidRPr="00D51A68">
        <w:rPr>
          <w:rFonts w:ascii="Times New Roman" w:hAnsi="Times New Roman"/>
          <w:sz w:val="24"/>
        </w:rPr>
        <w:t>Osservazioni di carattere generale</w:t>
      </w:r>
      <w:bookmarkEnd w:id="630"/>
      <w:bookmarkEnd w:id="631"/>
      <w:bookmarkEnd w:id="632"/>
      <w:bookmarkEnd w:id="633"/>
      <w:bookmarkEnd w:id="634"/>
      <w:bookmarkEnd w:id="635"/>
      <w:bookmarkEnd w:id="636"/>
      <w:bookmarkEnd w:id="637"/>
    </w:p>
    <w:p w:rsidR="000B0B09" w:rsidRPr="00D51A68" w:rsidRDefault="00125707" w:rsidP="00941EC3">
      <w:pPr>
        <w:pStyle w:val="InstructionsText2"/>
        <w:numPr>
          <w:ilvl w:val="0"/>
          <w:numId w:val="0"/>
        </w:numPr>
        <w:ind w:left="993"/>
      </w:pPr>
      <w:r w:rsidRPr="00D51A68">
        <w:t>141.</w:t>
      </w:r>
      <w:r w:rsidR="00A0772B" w:rsidRPr="00D51A68">
        <w:tab/>
      </w:r>
      <w:r w:rsidRPr="00D51A68">
        <w:t>Questo modello serve per la segnalazione di informazioni sulle posizioni (totali/nette e lunghe/corte) e sui relativi requisiti di fondi propri per la componente di rischio specifico del rischio di posizione su cartolarizzazioni/ricartolarizzazioni detenute nel portafoglio di negoziazione (non ammissibili al portafoglio di negoziazione di correlazione) secondo il metodo standardizzato. Nelle date di riferimento per le segnalazioni successive al 1° gennaio 2019, le cartolarizzazione detenute nel portafoglio di negoziazione il cui requisito di fondi propri per il rischio specifico è determinato sulla base del CRR, ossia quando il requisito di fondi propri è calcolato conformemente al quadro rivisto in materia di cartolarizzazione, non sono segnalate in questo modello bensì solo nel modello C 02.00. Parimenti, nelle date di riferimento per le segnalazioni successive al 1° gennaio 2019, le posizioni verso la cartolarizzazione che sono soggette a un fattore di ponderazione del rischio del 1 250% conformemente al CRR e che sono dedotte dal CET1 a norma dell</w:t>
      </w:r>
      <w:r w:rsidR="0009277C" w:rsidRPr="00D51A68">
        <w:t>’</w:t>
      </w:r>
      <w:r w:rsidRPr="00D51A68">
        <w:t>articolo 36, paragrafo 1, lettera k), punto ii), del CRR non sono segnalate in questo modello bensì solo nel modello C 01.00.</w:t>
      </w:r>
    </w:p>
    <w:p w:rsidR="00E50E79" w:rsidRPr="00D51A68" w:rsidRDefault="00FF1422" w:rsidP="00941EC3">
      <w:pPr>
        <w:pStyle w:val="InstructionsText2"/>
        <w:numPr>
          <w:ilvl w:val="0"/>
          <w:numId w:val="0"/>
        </w:numPr>
        <w:ind w:left="993"/>
      </w:pPr>
      <w:r w:rsidRPr="00D51A68">
        <w:t>141bis. Ai fini di questo modello, tutti i riferimenti agli arti</w:t>
      </w:r>
      <w:r w:rsidR="00941EC3" w:rsidRPr="00D51A68">
        <w:t>coli della parte tre, titolo </w:t>
      </w:r>
      <w:r w:rsidRPr="00D51A68">
        <w:t>II, capo 5, del CRR e all</w:t>
      </w:r>
      <w:r w:rsidR="0009277C" w:rsidRPr="00D51A68">
        <w:t>’</w:t>
      </w:r>
      <w:r w:rsidRPr="00D51A68">
        <w:t>articolo 337 del CRR vanno intesi come riferimenti al CRR nella versione applicabile il 31 dicembre 2018.</w:t>
      </w:r>
    </w:p>
    <w:p w:rsidR="000B0B09" w:rsidRPr="00D51A68" w:rsidRDefault="00125707" w:rsidP="00941EC3">
      <w:pPr>
        <w:pStyle w:val="InstructionsText2"/>
        <w:numPr>
          <w:ilvl w:val="0"/>
          <w:numId w:val="0"/>
        </w:numPr>
        <w:ind w:left="993"/>
      </w:pPr>
      <w:r w:rsidRPr="00D51A68">
        <w:t>142.</w:t>
      </w:r>
      <w:r w:rsidR="00A0772B" w:rsidRPr="00D51A68">
        <w:tab/>
      </w:r>
      <w:r w:rsidRPr="00D51A68">
        <w:t>Il modello MKR SA SEC determina il requisito di fondi propri soltanto per il rischio specifico delle posizioni verso la cartolarizzazione conformemente all</w:t>
      </w:r>
      <w:r w:rsidR="0009277C" w:rsidRPr="00D51A68">
        <w:t>’</w:t>
      </w:r>
      <w:r w:rsidRPr="00D51A68">
        <w:t>articolo 335 in combinato disposto con l</w:t>
      </w:r>
      <w:r w:rsidR="0009277C" w:rsidRPr="00D51A68">
        <w:t>’</w:t>
      </w:r>
      <w:r w:rsidRPr="00D51A68">
        <w:t>articolo 337 del CRR. Se le posizioni verso la cartolarizzazione interne al portafoglio di negoziazione sono coperte da derivati su crediti, si applicano gli articoli 346 e 347 del CRR. C</w:t>
      </w:r>
      <w:r w:rsidR="0009277C" w:rsidRPr="00D51A68">
        <w:t>’</w:t>
      </w:r>
      <w:r w:rsidRPr="00D51A68">
        <w:t>è un solo modello per tutte le posizioni del portafoglio di negoziazione, a prescindere dal fatto che l</w:t>
      </w:r>
      <w:r w:rsidR="0009277C" w:rsidRPr="00D51A68">
        <w:t>’</w:t>
      </w:r>
      <w:r w:rsidRPr="00D51A68">
        <w:t>ente si avvalga del metodo standardizzato oppure del metodo basato sui rating interni per stabilire la ponderazione del rischio di ciascuna posizione ai sensi della parte tre, titolo II, capo 5, del CRR. Per le segnalazioni dei requisiti di fondi propri per il rischio generico di queste posizioni si utilizza il modello MKR SA TDI o il modello MKR IM.</w:t>
      </w:r>
    </w:p>
    <w:p w:rsidR="00606885" w:rsidRPr="00D51A68" w:rsidRDefault="00125707" w:rsidP="00941EC3">
      <w:pPr>
        <w:pStyle w:val="InstructionsText2"/>
        <w:numPr>
          <w:ilvl w:val="0"/>
          <w:numId w:val="0"/>
        </w:numPr>
        <w:ind w:left="993"/>
      </w:pPr>
      <w:r w:rsidRPr="00D51A68">
        <w:t>143.</w:t>
      </w:r>
      <w:r w:rsidR="00A0772B" w:rsidRPr="00D51A68">
        <w:tab/>
      </w:r>
      <w:r w:rsidRPr="00D51A68">
        <w:t xml:space="preserve">In alternativa, le posizioni soggette a un fattore </w:t>
      </w:r>
      <w:r w:rsidR="00941EC3" w:rsidRPr="00D51A68">
        <w:t xml:space="preserve">di ponderazione del rischio del </w:t>
      </w:r>
      <w:r w:rsidRPr="00D51A68">
        <w:t>1 250% possono essere dedotte dal capitale primario di classe 1 (cfr. articolo 243, paragrafo 1, lettera b), articolo 244, paragrafo 1, lettera b), e articolo 258 del CRR). In tal caso, queste posizioni devono essere segnalate nella riga 460 del CA1.</w:t>
      </w:r>
    </w:p>
    <w:p w:rsidR="000B0B09" w:rsidRPr="00D51A68" w:rsidRDefault="00125707" w:rsidP="0023700C">
      <w:pPr>
        <w:pStyle w:val="Instructionsberschrift2"/>
        <w:numPr>
          <w:ilvl w:val="0"/>
          <w:numId w:val="0"/>
        </w:numPr>
        <w:ind w:left="357" w:hanging="357"/>
        <w:rPr>
          <w:rFonts w:ascii="Times New Roman" w:hAnsi="Times New Roman" w:cs="Times New Roman"/>
          <w:sz w:val="24"/>
        </w:rPr>
      </w:pPr>
      <w:bookmarkStart w:id="638" w:name="_Toc294172372"/>
      <w:bookmarkStart w:id="639" w:name="_Toc295830001"/>
      <w:bookmarkStart w:id="640" w:name="_Toc308426678"/>
      <w:bookmarkStart w:id="641" w:name="_Toc310415062"/>
      <w:bookmarkStart w:id="642" w:name="_Toc360188397"/>
      <w:bookmarkStart w:id="643" w:name="_Toc516210688"/>
      <w:bookmarkStart w:id="644" w:name="_Toc473561037"/>
      <w:bookmarkStart w:id="645" w:name="_Toc524096633"/>
      <w:r w:rsidRPr="00D51A68">
        <w:rPr>
          <w:rFonts w:ascii="Times New Roman" w:hAnsi="Times New Roman"/>
          <w:sz w:val="24"/>
          <w:u w:val="none"/>
        </w:rPr>
        <w:t>5.2.2.</w:t>
      </w:r>
      <w:r w:rsidR="00A0772B" w:rsidRPr="00D51A68">
        <w:rPr>
          <w:u w:val="none"/>
        </w:rPr>
        <w:tab/>
      </w:r>
      <w:r w:rsidRPr="00D51A68">
        <w:rPr>
          <w:rFonts w:ascii="Times New Roman" w:hAnsi="Times New Roman"/>
          <w:sz w:val="24"/>
        </w:rPr>
        <w:t>Istruzioni relative a posizioni specifiche</w:t>
      </w:r>
      <w:bookmarkEnd w:id="638"/>
      <w:bookmarkEnd w:id="639"/>
      <w:bookmarkEnd w:id="640"/>
      <w:bookmarkEnd w:id="641"/>
      <w:bookmarkEnd w:id="642"/>
      <w:bookmarkEnd w:id="643"/>
      <w:bookmarkEnd w:id="644"/>
      <w:bookmarkEnd w:id="64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D51A68" w:rsidTr="00672D2A">
        <w:trPr>
          <w:trHeight w:val="631"/>
        </w:trPr>
        <w:tc>
          <w:tcPr>
            <w:tcW w:w="8862" w:type="dxa"/>
            <w:gridSpan w:val="2"/>
            <w:shd w:val="clear" w:color="auto" w:fill="CCCCCC"/>
          </w:tcPr>
          <w:p w:rsidR="000B0B09" w:rsidRPr="00D51A68" w:rsidRDefault="000B0B09" w:rsidP="000B0B09">
            <w:pPr>
              <w:autoSpaceDE w:val="0"/>
              <w:autoSpaceDN w:val="0"/>
              <w:adjustRightInd w:val="0"/>
              <w:spacing w:after="0"/>
              <w:rPr>
                <w:rFonts w:ascii="Times New Roman" w:hAnsi="Times New Roman"/>
                <w:b/>
                <w:sz w:val="24"/>
              </w:rPr>
            </w:pPr>
            <w:r w:rsidRPr="00D51A68">
              <w:rPr>
                <w:rFonts w:ascii="Times New Roman" w:hAnsi="Times New Roman"/>
                <w:b/>
                <w:sz w:val="24"/>
              </w:rPr>
              <w:t>Colonne</w:t>
            </w:r>
          </w:p>
        </w:tc>
      </w:tr>
      <w:tr w:rsidR="000B0B09" w:rsidRPr="00D51A68" w:rsidTr="00672D2A">
        <w:tc>
          <w:tcPr>
            <w:tcW w:w="988" w:type="dxa"/>
          </w:tcPr>
          <w:p w:rsidR="000B0B09" w:rsidRPr="00D51A68" w:rsidRDefault="000B0B09" w:rsidP="000F70EC">
            <w:pPr>
              <w:autoSpaceDE w:val="0"/>
              <w:autoSpaceDN w:val="0"/>
              <w:adjustRightInd w:val="0"/>
              <w:spacing w:before="0" w:after="0"/>
              <w:rPr>
                <w:rFonts w:ascii="Times New Roman" w:hAnsi="Times New Roman"/>
                <w:sz w:val="24"/>
              </w:rPr>
            </w:pPr>
            <w:r w:rsidRPr="00D51A68">
              <w:rPr>
                <w:rFonts w:ascii="Times New Roman" w:hAnsi="Times New Roman"/>
                <w:sz w:val="24"/>
              </w:rPr>
              <w:t>010-020</w:t>
            </w:r>
          </w:p>
        </w:tc>
        <w:tc>
          <w:tcPr>
            <w:tcW w:w="7874" w:type="dxa"/>
          </w:tcPr>
          <w:p w:rsidR="000B0B09" w:rsidRPr="00D51A68" w:rsidRDefault="000B0B09" w:rsidP="000B0B09">
            <w:pPr>
              <w:autoSpaceDE w:val="0"/>
              <w:autoSpaceDN w:val="0"/>
              <w:adjustRightInd w:val="0"/>
              <w:spacing w:before="0" w:after="0"/>
              <w:rPr>
                <w:rFonts w:ascii="Times New Roman" w:hAnsi="Times New Roman"/>
                <w:b/>
                <w:bCs/>
                <w:sz w:val="24"/>
                <w:u w:val="single"/>
              </w:rPr>
            </w:pPr>
            <w:r w:rsidRPr="00D51A68">
              <w:rPr>
                <w:rFonts w:ascii="Times New Roman" w:hAnsi="Times New Roman"/>
                <w:b/>
                <w:sz w:val="24"/>
                <w:u w:val="single"/>
              </w:rPr>
              <w:t>TUTTE LE POSIZIONI (LUNGHE E CORTE)</w:t>
            </w:r>
          </w:p>
          <w:p w:rsidR="000B0B09" w:rsidRPr="00D51A68" w:rsidRDefault="000B0B09" w:rsidP="000B0B09">
            <w:pPr>
              <w:autoSpaceDE w:val="0"/>
              <w:autoSpaceDN w:val="0"/>
              <w:adjustRightInd w:val="0"/>
              <w:spacing w:before="0" w:after="0"/>
              <w:rPr>
                <w:rFonts w:ascii="Times New Roman" w:hAnsi="Times New Roman"/>
                <w:sz w:val="24"/>
              </w:rPr>
            </w:pPr>
          </w:p>
          <w:p w:rsidR="000B0B09" w:rsidRPr="00D51A68" w:rsidRDefault="000B0B09" w:rsidP="000B0B09">
            <w:pPr>
              <w:autoSpaceDE w:val="0"/>
              <w:autoSpaceDN w:val="0"/>
              <w:adjustRightInd w:val="0"/>
              <w:spacing w:before="0" w:after="0"/>
              <w:rPr>
                <w:rStyle w:val="InstructionsTabelleText"/>
                <w:rFonts w:ascii="Times New Roman" w:hAnsi="Times New Roman"/>
                <w:sz w:val="24"/>
              </w:rPr>
            </w:pPr>
            <w:r w:rsidRPr="00D51A68">
              <w:rPr>
                <w:rStyle w:val="InstructionsTabelleText"/>
                <w:rFonts w:ascii="Times New Roman" w:hAnsi="Times New Roman"/>
                <w:sz w:val="24"/>
              </w:rPr>
              <w:t>Articolo 102 e articolo 105, paragrafo 1, del CRR in combinato disposto con 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 xml:space="preserve">articolo 337 del CRR (posizioni verso la cartolarizzazione). Per la distinzione tra posizioni lunghe e posizioni corte, applicabile anche a queste posizioni lorde, cfr. articolo 328, paragrafo 2, del CRR. </w:t>
            </w:r>
          </w:p>
          <w:p w:rsidR="000B0B09" w:rsidRPr="00D51A68" w:rsidRDefault="000B0B09" w:rsidP="000B0B09">
            <w:pPr>
              <w:autoSpaceDE w:val="0"/>
              <w:autoSpaceDN w:val="0"/>
              <w:adjustRightInd w:val="0"/>
              <w:spacing w:before="0" w:after="0"/>
              <w:rPr>
                <w:rFonts w:ascii="Times New Roman" w:hAnsi="Times New Roman"/>
                <w:sz w:val="24"/>
              </w:rPr>
            </w:pPr>
          </w:p>
        </w:tc>
      </w:tr>
      <w:tr w:rsidR="000B0B09" w:rsidRPr="00D51A68" w:rsidTr="00672D2A">
        <w:tc>
          <w:tcPr>
            <w:tcW w:w="988" w:type="dxa"/>
          </w:tcPr>
          <w:p w:rsidR="000B0B09" w:rsidRPr="00D51A68" w:rsidRDefault="000B0B09" w:rsidP="000F70EC">
            <w:pPr>
              <w:autoSpaceDE w:val="0"/>
              <w:autoSpaceDN w:val="0"/>
              <w:adjustRightInd w:val="0"/>
              <w:spacing w:before="0" w:after="0"/>
              <w:rPr>
                <w:rFonts w:ascii="Times New Roman" w:hAnsi="Times New Roman"/>
                <w:sz w:val="24"/>
              </w:rPr>
            </w:pPr>
            <w:r w:rsidRPr="00D51A68">
              <w:rPr>
                <w:rFonts w:ascii="Times New Roman" w:hAnsi="Times New Roman"/>
                <w:sz w:val="24"/>
              </w:rPr>
              <w:t>030-040</w:t>
            </w:r>
          </w:p>
        </w:tc>
        <w:tc>
          <w:tcPr>
            <w:tcW w:w="7874" w:type="dxa"/>
          </w:tcPr>
          <w:p w:rsidR="000B0B09" w:rsidRPr="00D51A68" w:rsidRDefault="000B0B09" w:rsidP="000B0B09">
            <w:pPr>
              <w:rPr>
                <w:rStyle w:val="InstructionsTabelleberschrift"/>
                <w:rFonts w:ascii="Times New Roman" w:hAnsi="Times New Roman"/>
                <w:sz w:val="24"/>
              </w:rPr>
            </w:pPr>
            <w:r w:rsidRPr="00D51A68">
              <w:rPr>
                <w:rStyle w:val="InstructionsTabelleberschrift"/>
                <w:rFonts w:ascii="Times New Roman" w:hAnsi="Times New Roman"/>
                <w:sz w:val="24"/>
              </w:rPr>
              <w:t>(-) POSIZIONI DEDOTTE DAI FONDI PROPRI</w:t>
            </w:r>
            <w:r w:rsidRPr="00D51A68">
              <w:rPr>
                <w:rFonts w:ascii="Times New Roman" w:hAnsi="Times New Roman"/>
                <w:b/>
                <w:sz w:val="24"/>
                <w:u w:val="single"/>
              </w:rPr>
              <w:t xml:space="preserve"> (LUNGHE E CORTE)</w:t>
            </w:r>
          </w:p>
          <w:p w:rsidR="000B0B09" w:rsidRPr="00D51A68" w:rsidRDefault="000B0B09" w:rsidP="000B0B09">
            <w:pPr>
              <w:autoSpaceDE w:val="0"/>
              <w:autoSpaceDN w:val="0"/>
              <w:adjustRightInd w:val="0"/>
              <w:spacing w:before="0" w:after="0"/>
              <w:rPr>
                <w:rStyle w:val="InstructionsTabelleText"/>
                <w:rFonts w:ascii="Times New Roman" w:hAnsi="Times New Roman"/>
                <w:sz w:val="24"/>
              </w:rPr>
            </w:pPr>
            <w:r w:rsidRPr="00D51A68">
              <w:rPr>
                <w:rStyle w:val="InstructionsTabelleText"/>
                <w:rFonts w:ascii="Times New Roman" w:hAnsi="Times New Roman"/>
                <w:sz w:val="24"/>
              </w:rPr>
              <w:t>Articolo 258 del CRR.</w:t>
            </w:r>
          </w:p>
        </w:tc>
      </w:tr>
      <w:tr w:rsidR="000B0B09" w:rsidRPr="00D51A68" w:rsidTr="00672D2A">
        <w:tc>
          <w:tcPr>
            <w:tcW w:w="988" w:type="dxa"/>
          </w:tcPr>
          <w:p w:rsidR="000B0B09" w:rsidRPr="00D51A68" w:rsidRDefault="000B0B09" w:rsidP="000F70EC">
            <w:pPr>
              <w:autoSpaceDE w:val="0"/>
              <w:autoSpaceDN w:val="0"/>
              <w:adjustRightInd w:val="0"/>
              <w:spacing w:before="0" w:after="0"/>
              <w:rPr>
                <w:rFonts w:ascii="Times New Roman" w:hAnsi="Times New Roman"/>
                <w:sz w:val="24"/>
              </w:rPr>
            </w:pPr>
            <w:r w:rsidRPr="00D51A68">
              <w:rPr>
                <w:rFonts w:ascii="Times New Roman" w:hAnsi="Times New Roman"/>
                <w:sz w:val="24"/>
              </w:rPr>
              <w:t>050-060</w:t>
            </w:r>
          </w:p>
        </w:tc>
        <w:tc>
          <w:tcPr>
            <w:tcW w:w="7874" w:type="dxa"/>
          </w:tcPr>
          <w:p w:rsidR="000B0B09" w:rsidRPr="00D51A68" w:rsidRDefault="000B0B09" w:rsidP="000B0B09">
            <w:pPr>
              <w:rPr>
                <w:rStyle w:val="InstructionsTabelleberschrift"/>
                <w:rFonts w:ascii="Times New Roman" w:hAnsi="Times New Roman"/>
                <w:sz w:val="24"/>
              </w:rPr>
            </w:pPr>
            <w:r w:rsidRPr="00D51A68">
              <w:rPr>
                <w:rStyle w:val="InstructionsTabelleberschrift"/>
                <w:rFonts w:ascii="Times New Roman" w:hAnsi="Times New Roman"/>
                <w:sz w:val="24"/>
              </w:rPr>
              <w:t>POSIZIONI NETTE</w:t>
            </w:r>
            <w:r w:rsidRPr="00D51A68">
              <w:rPr>
                <w:rFonts w:ascii="Times New Roman" w:hAnsi="Times New Roman"/>
                <w:b/>
                <w:sz w:val="24"/>
                <w:u w:val="single"/>
              </w:rPr>
              <w:t xml:space="preserve"> (LUNGHE E CORTE)</w:t>
            </w:r>
          </w:p>
          <w:p w:rsidR="000B0B09" w:rsidRPr="00D51A68" w:rsidRDefault="000B0B09" w:rsidP="000B0B09">
            <w:pPr>
              <w:autoSpaceDE w:val="0"/>
              <w:autoSpaceDN w:val="0"/>
              <w:adjustRightInd w:val="0"/>
              <w:spacing w:before="0" w:after="0"/>
              <w:rPr>
                <w:rStyle w:val="InstructionsTabelleText"/>
                <w:rFonts w:ascii="Times New Roman" w:hAnsi="Times New Roman"/>
                <w:sz w:val="24"/>
              </w:rPr>
            </w:pPr>
            <w:r w:rsidRPr="00D51A68">
              <w:rPr>
                <w:rStyle w:val="InstructionsTabelleText"/>
                <w:rFonts w:ascii="Times New Roman" w:hAnsi="Times New Roman"/>
                <w:sz w:val="24"/>
              </w:rPr>
              <w:t>Articoli da 327 a 329 e articolo 334 del CRR. Per la distinzione tra posizioni lunghe e posizioni corte cfr. articolo 328, paragrafo 2, del CRR.</w:t>
            </w:r>
          </w:p>
        </w:tc>
      </w:tr>
      <w:tr w:rsidR="000B0B09" w:rsidRPr="00D51A68" w:rsidTr="00672D2A">
        <w:tc>
          <w:tcPr>
            <w:tcW w:w="988" w:type="dxa"/>
          </w:tcPr>
          <w:p w:rsidR="000B0B09" w:rsidRPr="00D51A68" w:rsidRDefault="000B0B09" w:rsidP="000F70EC">
            <w:pPr>
              <w:autoSpaceDE w:val="0"/>
              <w:autoSpaceDN w:val="0"/>
              <w:adjustRightInd w:val="0"/>
              <w:spacing w:before="0" w:after="0"/>
              <w:rPr>
                <w:rFonts w:ascii="Times New Roman" w:hAnsi="Times New Roman"/>
                <w:sz w:val="24"/>
              </w:rPr>
            </w:pPr>
            <w:r w:rsidRPr="00D51A68">
              <w:rPr>
                <w:rFonts w:ascii="Times New Roman" w:hAnsi="Times New Roman"/>
                <w:sz w:val="24"/>
              </w:rPr>
              <w:t>070-520</w:t>
            </w:r>
          </w:p>
        </w:tc>
        <w:tc>
          <w:tcPr>
            <w:tcW w:w="7874" w:type="dxa"/>
          </w:tcPr>
          <w:p w:rsidR="000B0B09" w:rsidRPr="00D51A68" w:rsidRDefault="000B0B09" w:rsidP="000B0B09">
            <w:pPr>
              <w:autoSpaceDE w:val="0"/>
              <w:autoSpaceDN w:val="0"/>
              <w:adjustRightInd w:val="0"/>
              <w:spacing w:before="0" w:after="0"/>
              <w:rPr>
                <w:rFonts w:ascii="Times New Roman" w:hAnsi="Times New Roman"/>
                <w:b/>
                <w:bCs/>
                <w:sz w:val="24"/>
                <w:u w:val="single"/>
              </w:rPr>
            </w:pPr>
            <w:r w:rsidRPr="00D51A68">
              <w:rPr>
                <w:rFonts w:ascii="Times New Roman" w:hAnsi="Times New Roman"/>
                <w:b/>
                <w:sz w:val="24"/>
                <w:u w:val="single"/>
              </w:rPr>
              <w:t>RIPARTIZIONE DELLE POSIZIONI NETTE IN BASE AI FATTORI DI PONDERAZIONE DEL RISCHIO</w:t>
            </w:r>
          </w:p>
          <w:p w:rsidR="000B0B09" w:rsidRPr="00D51A68" w:rsidRDefault="000B0B09" w:rsidP="000B0B09">
            <w:pPr>
              <w:autoSpaceDE w:val="0"/>
              <w:autoSpaceDN w:val="0"/>
              <w:adjustRightInd w:val="0"/>
              <w:spacing w:before="0" w:after="0"/>
              <w:rPr>
                <w:rFonts w:ascii="Times New Roman" w:hAnsi="Times New Roman"/>
                <w:b/>
                <w:bCs/>
                <w:sz w:val="24"/>
                <w:u w:val="single"/>
              </w:rPr>
            </w:pPr>
          </w:p>
          <w:p w:rsidR="000B0B09" w:rsidRPr="00D51A68" w:rsidRDefault="000B0B09" w:rsidP="000B0B09">
            <w:pPr>
              <w:autoSpaceDE w:val="0"/>
              <w:autoSpaceDN w:val="0"/>
              <w:adjustRightInd w:val="0"/>
              <w:spacing w:before="0" w:after="0"/>
              <w:rPr>
                <w:rStyle w:val="InstructionsTabelleText"/>
                <w:rFonts w:ascii="Times New Roman" w:hAnsi="Times New Roman"/>
                <w:sz w:val="24"/>
              </w:rPr>
            </w:pPr>
            <w:r w:rsidRPr="00D51A68">
              <w:rPr>
                <w:rStyle w:val="InstructionsTabelleText"/>
                <w:rFonts w:ascii="Times New Roman" w:hAnsi="Times New Roman"/>
                <w:sz w:val="24"/>
              </w:rPr>
              <w:t>Articolo 251 (tabella 1) e articolo 261, paragrafo 1 (tabella 4), del CRR. La ripartizione deve essere indicata separatamente per le posizioni lunghe e per quelle corte.</w:t>
            </w:r>
          </w:p>
        </w:tc>
      </w:tr>
      <w:tr w:rsidR="000B0B09" w:rsidRPr="00D51A68" w:rsidTr="00672D2A">
        <w:tc>
          <w:tcPr>
            <w:tcW w:w="988" w:type="dxa"/>
          </w:tcPr>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230-240 e 460-470</w:t>
            </w:r>
          </w:p>
        </w:tc>
        <w:tc>
          <w:tcPr>
            <w:tcW w:w="7874" w:type="dxa"/>
          </w:tcPr>
          <w:p w:rsidR="000B0B09" w:rsidRPr="00D51A68" w:rsidRDefault="000B0B09" w:rsidP="000B0B09">
            <w:pPr>
              <w:autoSpaceDE w:val="0"/>
              <w:autoSpaceDN w:val="0"/>
              <w:adjustRightInd w:val="0"/>
              <w:spacing w:before="0" w:after="0"/>
              <w:rPr>
                <w:rFonts w:ascii="Times New Roman" w:hAnsi="Times New Roman"/>
                <w:b/>
                <w:bCs/>
                <w:sz w:val="24"/>
                <w:u w:val="single"/>
              </w:rPr>
            </w:pPr>
            <w:r w:rsidRPr="00D51A68">
              <w:rPr>
                <w:rFonts w:ascii="Times New Roman" w:hAnsi="Times New Roman"/>
                <w:b/>
                <w:sz w:val="24"/>
                <w:u w:val="single"/>
              </w:rPr>
              <w:t>1</w:t>
            </w:r>
            <w:r w:rsidR="0009277C" w:rsidRPr="00D51A68">
              <w:rPr>
                <w:rFonts w:ascii="Times New Roman" w:hAnsi="Times New Roman"/>
                <w:b/>
                <w:sz w:val="24"/>
                <w:u w:val="single"/>
              </w:rPr>
              <w:t> </w:t>
            </w:r>
            <w:r w:rsidRPr="00D51A68">
              <w:rPr>
                <w:rFonts w:ascii="Times New Roman" w:hAnsi="Times New Roman"/>
                <w:b/>
                <w:sz w:val="24"/>
                <w:u w:val="single"/>
              </w:rPr>
              <w:t>250%</w:t>
            </w:r>
          </w:p>
          <w:p w:rsidR="000B0B09" w:rsidRPr="00D51A68" w:rsidRDefault="000B0B09" w:rsidP="000B0B09">
            <w:pPr>
              <w:autoSpaceDE w:val="0"/>
              <w:autoSpaceDN w:val="0"/>
              <w:adjustRightInd w:val="0"/>
              <w:spacing w:before="0" w:after="0"/>
              <w:rPr>
                <w:rFonts w:ascii="Times New Roman" w:hAnsi="Times New Roman"/>
                <w:b/>
                <w:bCs/>
                <w:sz w:val="24"/>
                <w:u w:val="single"/>
              </w:rPr>
            </w:pPr>
          </w:p>
          <w:p w:rsidR="000B0B09" w:rsidRPr="00D51A68" w:rsidRDefault="000B0B09" w:rsidP="000B0B09">
            <w:pPr>
              <w:autoSpaceDE w:val="0"/>
              <w:autoSpaceDN w:val="0"/>
              <w:adjustRightInd w:val="0"/>
              <w:spacing w:before="0" w:after="0"/>
              <w:rPr>
                <w:rStyle w:val="InstructionsTabelleText"/>
                <w:rFonts w:ascii="Times New Roman" w:hAnsi="Times New Roman"/>
                <w:sz w:val="24"/>
              </w:rPr>
            </w:pPr>
            <w:r w:rsidRPr="00D51A68">
              <w:rPr>
                <w:rStyle w:val="InstructionsTabelleText"/>
                <w:rFonts w:ascii="Times New Roman" w:hAnsi="Times New Roman"/>
                <w:sz w:val="24"/>
              </w:rPr>
              <w:t>Articolo 251 (tabella 1) e articolo 261, paragrafo 1 (tabella 4), del CRR.</w:t>
            </w:r>
          </w:p>
        </w:tc>
      </w:tr>
      <w:tr w:rsidR="000B0B09" w:rsidRPr="00D51A68" w:rsidTr="00672D2A">
        <w:trPr>
          <w:trHeight w:val="1706"/>
        </w:trPr>
        <w:tc>
          <w:tcPr>
            <w:tcW w:w="988" w:type="dxa"/>
          </w:tcPr>
          <w:p w:rsidR="000B0B09" w:rsidRPr="00D51A68" w:rsidRDefault="000B0B09" w:rsidP="000B0B09">
            <w:pPr>
              <w:rPr>
                <w:rFonts w:ascii="Times New Roman" w:hAnsi="Times New Roman"/>
                <w:sz w:val="24"/>
              </w:rPr>
            </w:pPr>
            <w:r w:rsidRPr="00D51A68">
              <w:rPr>
                <w:rFonts w:ascii="Times New Roman" w:hAnsi="Times New Roman"/>
                <w:sz w:val="24"/>
              </w:rPr>
              <w:t>250-260 e 480-490</w:t>
            </w:r>
          </w:p>
          <w:p w:rsidR="000B0B09" w:rsidRPr="00D51A68" w:rsidRDefault="000B0B09" w:rsidP="000B0B09">
            <w:pPr>
              <w:autoSpaceDE w:val="0"/>
              <w:autoSpaceDN w:val="0"/>
              <w:adjustRightInd w:val="0"/>
              <w:spacing w:before="0" w:after="0"/>
              <w:rPr>
                <w:rFonts w:ascii="Times New Roman" w:hAnsi="Times New Roman"/>
                <w:sz w:val="24"/>
              </w:rPr>
            </w:pPr>
          </w:p>
        </w:tc>
        <w:tc>
          <w:tcPr>
            <w:tcW w:w="7874" w:type="dxa"/>
          </w:tcPr>
          <w:p w:rsidR="000B0B09" w:rsidRPr="00D51A68" w:rsidRDefault="000B0B09" w:rsidP="000B0B09">
            <w:pPr>
              <w:autoSpaceDE w:val="0"/>
              <w:autoSpaceDN w:val="0"/>
              <w:adjustRightInd w:val="0"/>
              <w:spacing w:before="0" w:after="0"/>
              <w:rPr>
                <w:rStyle w:val="InstructionsTabelleberschrift"/>
                <w:rFonts w:ascii="Times New Roman" w:hAnsi="Times New Roman"/>
                <w:sz w:val="24"/>
              </w:rPr>
            </w:pPr>
            <w:r w:rsidRPr="00D51A68">
              <w:rPr>
                <w:rStyle w:val="InstructionsTabelleberschrift"/>
                <w:rFonts w:ascii="Times New Roman" w:hAnsi="Times New Roman"/>
                <w:sz w:val="24"/>
              </w:rPr>
              <w:t>METODO DELLA FORMULA DI VIGILANZA</w:t>
            </w:r>
          </w:p>
          <w:p w:rsidR="000B0B09" w:rsidRPr="00D51A68" w:rsidRDefault="000B0B09" w:rsidP="000B0B09">
            <w:pPr>
              <w:autoSpaceDE w:val="0"/>
              <w:autoSpaceDN w:val="0"/>
              <w:adjustRightInd w:val="0"/>
              <w:spacing w:before="0" w:after="0"/>
              <w:rPr>
                <w:rStyle w:val="InstructionsTabelleText"/>
                <w:rFonts w:ascii="Times New Roman" w:hAnsi="Times New Roman"/>
                <w:sz w:val="24"/>
              </w:rPr>
            </w:pPr>
            <w:r w:rsidRPr="00D51A68">
              <w:rPr>
                <w:rStyle w:val="InstructionsTabelleText"/>
                <w:rFonts w:ascii="Times New Roman" w:hAnsi="Times New Roman"/>
                <w:sz w:val="24"/>
              </w:rPr>
              <w:t>Articolo 337, paragrafo 2, del CRR in combinato disposto con 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 xml:space="preserve">articolo 262 del CRR. </w:t>
            </w:r>
          </w:p>
          <w:p w:rsidR="000B0B09" w:rsidRPr="00D51A68" w:rsidRDefault="000B0B09" w:rsidP="000B0B09">
            <w:pPr>
              <w:autoSpaceDE w:val="0"/>
              <w:autoSpaceDN w:val="0"/>
              <w:adjustRightInd w:val="0"/>
              <w:spacing w:before="0" w:after="0"/>
              <w:rPr>
                <w:rStyle w:val="InstructionsTabelleText"/>
                <w:rFonts w:ascii="Times New Roman" w:hAnsi="Times New Roman"/>
                <w:sz w:val="24"/>
              </w:rPr>
            </w:pPr>
          </w:p>
          <w:p w:rsidR="000B0B09" w:rsidRPr="00D51A68" w:rsidRDefault="000B0B09" w:rsidP="000B0B09">
            <w:pPr>
              <w:autoSpaceDE w:val="0"/>
              <w:autoSpaceDN w:val="0"/>
              <w:adjustRightInd w:val="0"/>
              <w:spacing w:before="0" w:after="0"/>
              <w:rPr>
                <w:rStyle w:val="InstructionsTabelleText"/>
                <w:rFonts w:ascii="Times New Roman" w:hAnsi="Times New Roman"/>
                <w:sz w:val="24"/>
              </w:rPr>
            </w:pPr>
            <w:r w:rsidRPr="00D51A68">
              <w:rPr>
                <w:rStyle w:val="InstructionsTabelleText"/>
                <w:rFonts w:ascii="Times New Roman" w:hAnsi="Times New Roman"/>
                <w:sz w:val="24"/>
              </w:rPr>
              <w:t>Queste colonne sono compilate se 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ente utilizza il metodo alternativo della formula di vigilanza (SFA), che stabilisce i requisiti di fondi propri in funzione delle caratteristiche dell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 xml:space="preserve">aggregato di garanzie (collateral pool) e delle proprietà contrattuali del segmento. </w:t>
            </w:r>
          </w:p>
          <w:p w:rsidR="000B0B09" w:rsidRPr="00D51A68" w:rsidRDefault="000B0B09" w:rsidP="000B0B09">
            <w:pPr>
              <w:autoSpaceDE w:val="0"/>
              <w:autoSpaceDN w:val="0"/>
              <w:adjustRightInd w:val="0"/>
              <w:spacing w:before="0" w:after="0"/>
              <w:rPr>
                <w:rFonts w:ascii="Times New Roman" w:hAnsi="Times New Roman"/>
                <w:bCs/>
                <w:sz w:val="24"/>
                <w:u w:val="single"/>
              </w:rPr>
            </w:pPr>
          </w:p>
        </w:tc>
      </w:tr>
      <w:tr w:rsidR="000B0B09" w:rsidRPr="00D51A68" w:rsidTr="00672D2A">
        <w:trPr>
          <w:trHeight w:val="2254"/>
        </w:trPr>
        <w:tc>
          <w:tcPr>
            <w:tcW w:w="988" w:type="dxa"/>
          </w:tcPr>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270 e 500</w:t>
            </w:r>
          </w:p>
        </w:tc>
        <w:tc>
          <w:tcPr>
            <w:tcW w:w="7874" w:type="dxa"/>
          </w:tcPr>
          <w:p w:rsidR="000B0B09" w:rsidRPr="00D51A68" w:rsidRDefault="000B0B09" w:rsidP="000B0B09">
            <w:pPr>
              <w:autoSpaceDE w:val="0"/>
              <w:autoSpaceDN w:val="0"/>
              <w:adjustRightInd w:val="0"/>
              <w:spacing w:before="0" w:after="0"/>
              <w:rPr>
                <w:rFonts w:ascii="Times New Roman" w:hAnsi="Times New Roman"/>
                <w:b/>
                <w:bCs/>
                <w:sz w:val="24"/>
                <w:u w:val="single"/>
              </w:rPr>
            </w:pPr>
            <w:r w:rsidRPr="00D51A68">
              <w:rPr>
                <w:rFonts w:ascii="Times New Roman" w:hAnsi="Times New Roman"/>
                <w:b/>
                <w:sz w:val="24"/>
                <w:u w:val="single"/>
              </w:rPr>
              <w:t>METODO LOOK-THROUGH</w:t>
            </w:r>
          </w:p>
          <w:p w:rsidR="000B0B09" w:rsidRPr="00D51A68" w:rsidRDefault="000B0B09" w:rsidP="000B0B09">
            <w:pPr>
              <w:autoSpaceDE w:val="0"/>
              <w:autoSpaceDN w:val="0"/>
              <w:adjustRightInd w:val="0"/>
              <w:spacing w:before="0" w:after="0"/>
              <w:rPr>
                <w:rStyle w:val="InstructionsTabelleText"/>
                <w:rFonts w:ascii="Times New Roman" w:hAnsi="Times New Roman"/>
                <w:sz w:val="24"/>
              </w:rPr>
            </w:pPr>
            <w:r w:rsidRPr="00D51A68">
              <w:rPr>
                <w:rStyle w:val="InstructionsTabelleText"/>
                <w:rFonts w:ascii="Times New Roman" w:hAnsi="Times New Roman"/>
                <w:sz w:val="24"/>
              </w:rPr>
              <w:t>Metodo standardizzato: articoli 253 e 254 e articolo 256, paragrafo 5, del CRR. Le colonne relative al metodo look-through comprendono tutti i casi di esposizioni prive di rating il cui fattore di ponderazione del rischio si ricava dal portafoglio di esposizioni sottostante (fattore medio di ponderazione del rischio del pool, fattore più elevato di ponderazione del rischio del pool o utilizzo di un coefficiente di concentrazione).</w:t>
            </w:r>
          </w:p>
          <w:p w:rsidR="000B0B09" w:rsidRPr="00D51A68" w:rsidRDefault="000B0B09" w:rsidP="000B0B09">
            <w:pPr>
              <w:autoSpaceDE w:val="0"/>
              <w:autoSpaceDN w:val="0"/>
              <w:adjustRightInd w:val="0"/>
              <w:spacing w:before="0" w:after="0"/>
              <w:rPr>
                <w:rStyle w:val="InstructionsTabelleText"/>
                <w:rFonts w:ascii="Times New Roman" w:hAnsi="Times New Roman"/>
                <w:sz w:val="24"/>
              </w:rPr>
            </w:pPr>
          </w:p>
          <w:p w:rsidR="000B0B09" w:rsidRPr="00D51A68" w:rsidRDefault="000B0B09" w:rsidP="000B0B09">
            <w:pPr>
              <w:autoSpaceDE w:val="0"/>
              <w:autoSpaceDN w:val="0"/>
              <w:adjustRightInd w:val="0"/>
              <w:spacing w:before="0" w:after="0"/>
              <w:rPr>
                <w:rFonts w:ascii="Times New Roman" w:hAnsi="Times New Roman"/>
                <w:b/>
                <w:bCs/>
                <w:sz w:val="24"/>
                <w:u w:val="single"/>
              </w:rPr>
            </w:pPr>
            <w:r w:rsidRPr="00D51A68">
              <w:rPr>
                <w:rStyle w:val="InstructionsTabelleText"/>
                <w:rFonts w:ascii="Times New Roman" w:hAnsi="Times New Roman"/>
                <w:sz w:val="24"/>
              </w:rPr>
              <w:t>Metodo IRB: articolo 263, paragrafi 2 e 3, del CRR. Per i rimborsi anticipati cfr. articolo 265, paragrafo 1, e articolo 256, paragrafo 5, del CRR.</w:t>
            </w:r>
          </w:p>
        </w:tc>
      </w:tr>
      <w:tr w:rsidR="000B0B09" w:rsidRPr="00D51A68" w:rsidTr="00672D2A">
        <w:tc>
          <w:tcPr>
            <w:tcW w:w="988" w:type="dxa"/>
          </w:tcPr>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280-290 / 510-520</w:t>
            </w:r>
          </w:p>
        </w:tc>
        <w:tc>
          <w:tcPr>
            <w:tcW w:w="7874" w:type="dxa"/>
          </w:tcPr>
          <w:p w:rsidR="000B0B09" w:rsidRPr="00D51A68" w:rsidRDefault="000B0B09" w:rsidP="000B0B09">
            <w:pPr>
              <w:autoSpaceDE w:val="0"/>
              <w:autoSpaceDN w:val="0"/>
              <w:adjustRightInd w:val="0"/>
              <w:spacing w:before="0" w:after="0"/>
              <w:rPr>
                <w:rFonts w:ascii="Times New Roman" w:hAnsi="Times New Roman"/>
                <w:b/>
                <w:bCs/>
                <w:sz w:val="24"/>
                <w:u w:val="single"/>
              </w:rPr>
            </w:pPr>
            <w:r w:rsidRPr="00D51A68">
              <w:rPr>
                <w:rFonts w:ascii="Times New Roman" w:hAnsi="Times New Roman"/>
                <w:b/>
                <w:sz w:val="24"/>
                <w:u w:val="single"/>
              </w:rPr>
              <w:t>METODO DELLA VALUTAZIONE INTERNA</w:t>
            </w:r>
          </w:p>
          <w:p w:rsidR="000B0B09" w:rsidRPr="00D51A68" w:rsidRDefault="000B0B09" w:rsidP="000B0B09">
            <w:pPr>
              <w:autoSpaceDE w:val="0"/>
              <w:autoSpaceDN w:val="0"/>
              <w:adjustRightInd w:val="0"/>
              <w:jc w:val="left"/>
              <w:rPr>
                <w:rStyle w:val="InstructionsTabelleText"/>
                <w:rFonts w:ascii="Times New Roman" w:hAnsi="Times New Roman"/>
                <w:sz w:val="24"/>
              </w:rPr>
            </w:pPr>
            <w:r w:rsidRPr="00D51A68">
              <w:rPr>
                <w:rStyle w:val="InstructionsTabelleText"/>
                <w:rFonts w:ascii="Times New Roman" w:hAnsi="Times New Roman"/>
                <w:sz w:val="24"/>
              </w:rPr>
              <w:t>Articolo 109, paragrafo 1, seconda frase, e articolo 259, paragrafi 3 e 4, del CRR.</w:t>
            </w:r>
          </w:p>
          <w:p w:rsidR="000B0B09" w:rsidRPr="00D51A68" w:rsidRDefault="000B0B09" w:rsidP="000B0B09">
            <w:pPr>
              <w:autoSpaceDE w:val="0"/>
              <w:autoSpaceDN w:val="0"/>
              <w:adjustRightInd w:val="0"/>
              <w:jc w:val="left"/>
              <w:rPr>
                <w:rFonts w:ascii="Times New Roman" w:hAnsi="Times New Roman"/>
                <w:bCs/>
                <w:sz w:val="24"/>
                <w:u w:val="single"/>
              </w:rPr>
            </w:pPr>
            <w:r w:rsidRPr="00D51A68">
              <w:rPr>
                <w:rStyle w:val="InstructionsTabelleText"/>
                <w:rFonts w:ascii="Times New Roman" w:hAnsi="Times New Roman"/>
                <w:sz w:val="24"/>
              </w:rPr>
              <w:t>Queste colonne sono compilate se 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ente utilizza il metodo della valutazione interna per stabilire la copertura patrimoniale delle linee di liquidità e dei supporti di credito concessi dalle banche (comprese le banche di terzi) agli ABCP conduit. Il metodo della valutazione interna, basato sulle metodologie delle ECAI, è applicabile soltanto alle esposizioni verso gli ABCP conduit provvisti all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origine di un equivalente di rating interno di qualità elevata (investment grade).</w:t>
            </w:r>
          </w:p>
        </w:tc>
      </w:tr>
      <w:tr w:rsidR="000B0B09" w:rsidRPr="00D51A68" w:rsidTr="00672D2A">
        <w:tc>
          <w:tcPr>
            <w:tcW w:w="988" w:type="dxa"/>
          </w:tcPr>
          <w:p w:rsidR="000B0B09" w:rsidRPr="00D51A68" w:rsidRDefault="000B0B09" w:rsidP="000F70EC">
            <w:pPr>
              <w:autoSpaceDE w:val="0"/>
              <w:autoSpaceDN w:val="0"/>
              <w:adjustRightInd w:val="0"/>
              <w:spacing w:before="0" w:after="0"/>
              <w:rPr>
                <w:rFonts w:ascii="Times New Roman" w:hAnsi="Times New Roman"/>
                <w:sz w:val="24"/>
              </w:rPr>
            </w:pPr>
            <w:r w:rsidRPr="00D51A68">
              <w:rPr>
                <w:rFonts w:ascii="Times New Roman" w:hAnsi="Times New Roman"/>
                <w:sz w:val="24"/>
              </w:rPr>
              <w:t>530-540</w:t>
            </w:r>
          </w:p>
        </w:tc>
        <w:tc>
          <w:tcPr>
            <w:tcW w:w="7874" w:type="dxa"/>
          </w:tcPr>
          <w:p w:rsidR="000B0B09" w:rsidRPr="00D51A68" w:rsidRDefault="000B0B09" w:rsidP="000B0B09">
            <w:pPr>
              <w:autoSpaceDE w:val="0"/>
              <w:autoSpaceDN w:val="0"/>
              <w:adjustRightInd w:val="0"/>
              <w:spacing w:before="0" w:after="0"/>
              <w:rPr>
                <w:rFonts w:ascii="Times New Roman" w:hAnsi="Times New Roman"/>
                <w:b/>
                <w:bCs/>
                <w:sz w:val="24"/>
                <w:u w:val="single"/>
              </w:rPr>
            </w:pPr>
            <w:r w:rsidRPr="00D51A68">
              <w:rPr>
                <w:rFonts w:ascii="Times New Roman" w:hAnsi="Times New Roman"/>
                <w:b/>
                <w:sz w:val="24"/>
                <w:u w:val="single"/>
              </w:rPr>
              <w:t>EFFETTO GENERALE (RETTIFICA) DOVUTO ALLA VIOLAZIONE DELLE DISPOSIZIONI IN MATERIA DI DUE DILIGENCE</w:t>
            </w:r>
          </w:p>
          <w:p w:rsidR="000B0B09" w:rsidRPr="00D51A68" w:rsidRDefault="000B0B09" w:rsidP="000B0B09">
            <w:pPr>
              <w:autoSpaceDE w:val="0"/>
              <w:autoSpaceDN w:val="0"/>
              <w:adjustRightInd w:val="0"/>
              <w:spacing w:before="0" w:after="0"/>
              <w:rPr>
                <w:rFonts w:ascii="Times New Roman" w:hAnsi="Times New Roman"/>
                <w:b/>
                <w:bCs/>
                <w:sz w:val="24"/>
                <w:u w:val="single"/>
              </w:rPr>
            </w:pPr>
          </w:p>
          <w:p w:rsidR="000B0B09" w:rsidRPr="00D51A68" w:rsidRDefault="000B0B09" w:rsidP="00104A65">
            <w:pPr>
              <w:autoSpaceDE w:val="0"/>
              <w:autoSpaceDN w:val="0"/>
              <w:adjustRightInd w:val="0"/>
              <w:spacing w:before="0" w:after="0"/>
              <w:rPr>
                <w:rStyle w:val="InstructionsTabelleText"/>
                <w:rFonts w:ascii="Times New Roman" w:hAnsi="Times New Roman"/>
                <w:sz w:val="24"/>
              </w:rPr>
            </w:pPr>
            <w:r w:rsidRPr="00D51A68">
              <w:rPr>
                <w:rStyle w:val="InstructionsTabelleText"/>
                <w:rFonts w:ascii="Times New Roman" w:hAnsi="Times New Roman"/>
                <w:sz w:val="24"/>
              </w:rPr>
              <w:t>Articolo 337, paragrafo 3, del CRR in combinato disposto con 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articolo 407 del CRR. Articolo 14, paragrafo 2, del CRR</w:t>
            </w:r>
          </w:p>
        </w:tc>
      </w:tr>
      <w:tr w:rsidR="000B0B09" w:rsidRPr="00D51A68" w:rsidTr="00672D2A">
        <w:tc>
          <w:tcPr>
            <w:tcW w:w="988" w:type="dxa"/>
          </w:tcPr>
          <w:p w:rsidR="000B0B09" w:rsidRPr="00D51A68" w:rsidRDefault="000B0B09" w:rsidP="000F70EC">
            <w:pPr>
              <w:autoSpaceDE w:val="0"/>
              <w:autoSpaceDN w:val="0"/>
              <w:adjustRightInd w:val="0"/>
              <w:spacing w:before="0" w:after="0"/>
              <w:rPr>
                <w:rFonts w:ascii="Times New Roman" w:hAnsi="Times New Roman"/>
                <w:sz w:val="24"/>
              </w:rPr>
            </w:pPr>
            <w:r w:rsidRPr="00D51A68">
              <w:rPr>
                <w:rFonts w:ascii="Times New Roman" w:hAnsi="Times New Roman"/>
                <w:sz w:val="24"/>
              </w:rPr>
              <w:t>550-570</w:t>
            </w:r>
          </w:p>
        </w:tc>
        <w:tc>
          <w:tcPr>
            <w:tcW w:w="7874" w:type="dxa"/>
          </w:tcPr>
          <w:p w:rsidR="000B0B09" w:rsidRPr="00D51A68" w:rsidRDefault="000B0B09" w:rsidP="000B0B09">
            <w:pPr>
              <w:autoSpaceDE w:val="0"/>
              <w:autoSpaceDN w:val="0"/>
              <w:adjustRightInd w:val="0"/>
              <w:spacing w:before="0" w:after="0"/>
              <w:rPr>
                <w:rFonts w:ascii="Times New Roman" w:hAnsi="Times New Roman"/>
                <w:b/>
                <w:bCs/>
                <w:sz w:val="24"/>
                <w:u w:val="single"/>
              </w:rPr>
            </w:pPr>
            <w:r w:rsidRPr="00D51A68">
              <w:rPr>
                <w:rFonts w:ascii="Times New Roman" w:hAnsi="Times New Roman"/>
                <w:b/>
                <w:sz w:val="24"/>
                <w:u w:val="single"/>
              </w:rPr>
              <w:t>PRIMA DELL</w:t>
            </w:r>
            <w:r w:rsidR="0009277C" w:rsidRPr="00D51A68">
              <w:rPr>
                <w:rFonts w:ascii="Times New Roman" w:hAnsi="Times New Roman"/>
                <w:b/>
                <w:sz w:val="24"/>
                <w:u w:val="single"/>
              </w:rPr>
              <w:t>’</w:t>
            </w:r>
            <w:r w:rsidRPr="00D51A68">
              <w:rPr>
                <w:rFonts w:ascii="Times New Roman" w:hAnsi="Times New Roman"/>
                <w:b/>
                <w:sz w:val="24"/>
                <w:u w:val="single"/>
              </w:rPr>
              <w:t>APPLICAZIONE DEL MASSIMALE — POSIZIONI NETTE LUNGHE/CORTE PONDERATE E SOMMA DELLE POSIZIONI NETTE LUNGHE E CORTE PONDERATE</w:t>
            </w:r>
          </w:p>
          <w:p w:rsidR="000B0B09" w:rsidRPr="00D51A68" w:rsidRDefault="000B0B09" w:rsidP="000B0B09">
            <w:pPr>
              <w:autoSpaceDE w:val="0"/>
              <w:autoSpaceDN w:val="0"/>
              <w:adjustRightInd w:val="0"/>
              <w:spacing w:before="0" w:after="0"/>
              <w:rPr>
                <w:rFonts w:ascii="Times New Roman" w:hAnsi="Times New Roman"/>
                <w:b/>
                <w:bCs/>
                <w:sz w:val="24"/>
                <w:u w:val="single"/>
              </w:rPr>
            </w:pPr>
          </w:p>
          <w:p w:rsidR="000B0B09" w:rsidRPr="00D51A68" w:rsidRDefault="000B0B09" w:rsidP="000B0B09">
            <w:pPr>
              <w:autoSpaceDE w:val="0"/>
              <w:autoSpaceDN w:val="0"/>
              <w:adjustRightInd w:val="0"/>
              <w:spacing w:before="0" w:after="0"/>
              <w:rPr>
                <w:rFonts w:ascii="Times New Roman" w:hAnsi="Times New Roman"/>
                <w:bCs/>
                <w:sz w:val="24"/>
              </w:rPr>
            </w:pPr>
            <w:r w:rsidRPr="00D51A68">
              <w:rPr>
                <w:rFonts w:ascii="Times New Roman" w:hAnsi="Times New Roman"/>
                <w:sz w:val="24"/>
              </w:rPr>
              <w:t>Articolo 337 del CRR senza tener conto della facoltà di cui all</w:t>
            </w:r>
            <w:r w:rsidR="0009277C" w:rsidRPr="00D51A68">
              <w:rPr>
                <w:rFonts w:ascii="Times New Roman" w:hAnsi="Times New Roman"/>
                <w:sz w:val="24"/>
              </w:rPr>
              <w:t>’</w:t>
            </w:r>
            <w:r w:rsidRPr="00D51A68">
              <w:rPr>
                <w:rFonts w:ascii="Times New Roman" w:hAnsi="Times New Roman"/>
                <w:sz w:val="24"/>
              </w:rPr>
              <w:t>articolo 335 del CRR, che permette a un ente di fissare, per il prodotto della posizione ponderata e della posizione netta, un massimale pari alla perdita massima possibile relativa al rischio di default.</w:t>
            </w:r>
          </w:p>
        </w:tc>
      </w:tr>
      <w:tr w:rsidR="000B0B09" w:rsidRPr="00D51A68" w:rsidTr="00672D2A">
        <w:tc>
          <w:tcPr>
            <w:tcW w:w="988" w:type="dxa"/>
          </w:tcPr>
          <w:p w:rsidR="000B0B09" w:rsidRPr="00D51A68" w:rsidRDefault="000B0B09" w:rsidP="000F70EC">
            <w:pPr>
              <w:autoSpaceDE w:val="0"/>
              <w:autoSpaceDN w:val="0"/>
              <w:adjustRightInd w:val="0"/>
              <w:spacing w:before="0" w:after="0"/>
              <w:rPr>
                <w:rFonts w:ascii="Times New Roman" w:hAnsi="Times New Roman"/>
                <w:sz w:val="24"/>
              </w:rPr>
            </w:pPr>
            <w:r w:rsidRPr="00D51A68">
              <w:rPr>
                <w:rFonts w:ascii="Times New Roman" w:hAnsi="Times New Roman"/>
                <w:sz w:val="24"/>
              </w:rPr>
              <w:t>580-600</w:t>
            </w:r>
          </w:p>
        </w:tc>
        <w:tc>
          <w:tcPr>
            <w:tcW w:w="7874" w:type="dxa"/>
          </w:tcPr>
          <w:p w:rsidR="000B0B09" w:rsidRPr="00D51A68" w:rsidRDefault="000B0B09" w:rsidP="000B0B09">
            <w:pPr>
              <w:autoSpaceDE w:val="0"/>
              <w:autoSpaceDN w:val="0"/>
              <w:adjustRightInd w:val="0"/>
              <w:spacing w:before="0" w:after="0"/>
              <w:rPr>
                <w:rFonts w:ascii="Times New Roman" w:hAnsi="Times New Roman"/>
                <w:b/>
                <w:bCs/>
                <w:sz w:val="24"/>
                <w:u w:val="single"/>
              </w:rPr>
            </w:pPr>
            <w:r w:rsidRPr="00D51A68">
              <w:rPr>
                <w:rFonts w:ascii="Times New Roman" w:hAnsi="Times New Roman"/>
                <w:b/>
                <w:sz w:val="24"/>
                <w:u w:val="single"/>
              </w:rPr>
              <w:t>DOPO L</w:t>
            </w:r>
            <w:r w:rsidR="0009277C" w:rsidRPr="00D51A68">
              <w:rPr>
                <w:rFonts w:ascii="Times New Roman" w:hAnsi="Times New Roman"/>
                <w:b/>
                <w:sz w:val="24"/>
                <w:u w:val="single"/>
              </w:rPr>
              <w:t>’</w:t>
            </w:r>
            <w:r w:rsidRPr="00D51A68">
              <w:rPr>
                <w:rFonts w:ascii="Times New Roman" w:hAnsi="Times New Roman"/>
                <w:b/>
                <w:sz w:val="24"/>
                <w:u w:val="single"/>
              </w:rPr>
              <w:t>APPLICAZIONE DEL MASSIMALE — POSIZIONI NETTE LUNGHE/CORTE PONDERATE E SOMMA DELLE POSIZIONI NETTE LUNGHE E CORTE PONDERATE</w:t>
            </w:r>
          </w:p>
          <w:p w:rsidR="000B0B09" w:rsidRPr="00D51A68" w:rsidRDefault="000B0B09" w:rsidP="000B0B09">
            <w:pPr>
              <w:autoSpaceDE w:val="0"/>
              <w:autoSpaceDN w:val="0"/>
              <w:adjustRightInd w:val="0"/>
              <w:spacing w:before="0" w:after="0"/>
              <w:rPr>
                <w:rFonts w:ascii="Times New Roman" w:hAnsi="Times New Roman"/>
                <w:b/>
                <w:bCs/>
                <w:sz w:val="24"/>
                <w:u w:val="single"/>
              </w:rPr>
            </w:pPr>
          </w:p>
          <w:p w:rsidR="000B0B09" w:rsidRPr="00D51A68" w:rsidRDefault="000B0B09" w:rsidP="000B0B09">
            <w:pPr>
              <w:autoSpaceDE w:val="0"/>
              <w:autoSpaceDN w:val="0"/>
              <w:adjustRightInd w:val="0"/>
              <w:spacing w:before="0" w:after="0"/>
              <w:rPr>
                <w:rFonts w:ascii="Times New Roman" w:hAnsi="Times New Roman"/>
                <w:bCs/>
                <w:sz w:val="24"/>
              </w:rPr>
            </w:pPr>
            <w:r w:rsidRPr="00D51A68">
              <w:rPr>
                <w:rFonts w:ascii="Times New Roman" w:hAnsi="Times New Roman"/>
                <w:sz w:val="24"/>
              </w:rPr>
              <w:t>Articolo 337 del CRR tenendo conto della facoltà di cui all</w:t>
            </w:r>
            <w:r w:rsidR="0009277C" w:rsidRPr="00D51A68">
              <w:rPr>
                <w:rFonts w:ascii="Times New Roman" w:hAnsi="Times New Roman"/>
                <w:sz w:val="24"/>
              </w:rPr>
              <w:t>’</w:t>
            </w:r>
            <w:r w:rsidRPr="00D51A68">
              <w:rPr>
                <w:rFonts w:ascii="Times New Roman" w:hAnsi="Times New Roman"/>
                <w:sz w:val="24"/>
              </w:rPr>
              <w:t>articolo 335 del CRR.</w:t>
            </w:r>
          </w:p>
        </w:tc>
      </w:tr>
      <w:tr w:rsidR="000B0B09" w:rsidRPr="00D51A68" w:rsidTr="00672D2A">
        <w:trPr>
          <w:trHeight w:val="416"/>
        </w:trPr>
        <w:tc>
          <w:tcPr>
            <w:tcW w:w="988" w:type="dxa"/>
          </w:tcPr>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610</w:t>
            </w:r>
          </w:p>
        </w:tc>
        <w:tc>
          <w:tcPr>
            <w:tcW w:w="7874" w:type="dxa"/>
          </w:tcPr>
          <w:p w:rsidR="000B0B09" w:rsidRPr="00D51A68" w:rsidRDefault="000B0B09" w:rsidP="000B0B09">
            <w:pPr>
              <w:autoSpaceDE w:val="0"/>
              <w:autoSpaceDN w:val="0"/>
              <w:adjustRightInd w:val="0"/>
              <w:spacing w:before="0" w:after="0"/>
              <w:rPr>
                <w:rFonts w:ascii="Times New Roman" w:hAnsi="Times New Roman"/>
                <w:b/>
                <w:bCs/>
                <w:sz w:val="24"/>
                <w:u w:val="single"/>
              </w:rPr>
            </w:pPr>
            <w:r w:rsidRPr="00D51A68">
              <w:rPr>
                <w:rFonts w:ascii="Times New Roman" w:hAnsi="Times New Roman"/>
                <w:b/>
                <w:sz w:val="24"/>
                <w:u w:val="single"/>
              </w:rPr>
              <w:t>REQUISITI DI FONDI PROPRI TOTALI</w:t>
            </w:r>
          </w:p>
          <w:p w:rsidR="000B0B09" w:rsidRPr="00D51A68" w:rsidRDefault="000B0B09" w:rsidP="000B0B09">
            <w:pPr>
              <w:autoSpaceDE w:val="0"/>
              <w:autoSpaceDN w:val="0"/>
              <w:adjustRightInd w:val="0"/>
              <w:spacing w:before="0" w:after="0"/>
              <w:rPr>
                <w:rFonts w:ascii="Times New Roman" w:hAnsi="Times New Roman"/>
                <w:b/>
                <w:bCs/>
                <w:sz w:val="24"/>
                <w:u w:val="single"/>
              </w:rPr>
            </w:pPr>
          </w:p>
          <w:p w:rsidR="000B0B09" w:rsidRPr="00D51A68" w:rsidRDefault="000B0B09" w:rsidP="000B0B09">
            <w:pPr>
              <w:autoSpaceDE w:val="0"/>
              <w:autoSpaceDN w:val="0"/>
              <w:adjustRightInd w:val="0"/>
              <w:spacing w:before="0" w:after="0"/>
              <w:rPr>
                <w:rFonts w:ascii="Times New Roman" w:hAnsi="Times New Roman"/>
                <w:bCs/>
                <w:sz w:val="24"/>
              </w:rPr>
            </w:pPr>
            <w:r w:rsidRPr="00D51A68">
              <w:rPr>
                <w:rFonts w:ascii="Times New Roman" w:hAnsi="Times New Roman"/>
                <w:sz w:val="24"/>
              </w:rPr>
              <w:t>Conformemente all</w:t>
            </w:r>
            <w:r w:rsidR="0009277C" w:rsidRPr="00D51A68">
              <w:rPr>
                <w:rFonts w:ascii="Times New Roman" w:hAnsi="Times New Roman"/>
                <w:sz w:val="24"/>
              </w:rPr>
              <w:t>’</w:t>
            </w:r>
            <w:r w:rsidRPr="00D51A68">
              <w:rPr>
                <w:rFonts w:ascii="Times New Roman" w:hAnsi="Times New Roman"/>
                <w:sz w:val="24"/>
              </w:rPr>
              <w:t>articolo 337, paragrafo 4, del CRR, per il periodo transitorio che termina il 31 dicembre 2014 l</w:t>
            </w:r>
            <w:r w:rsidR="0009277C" w:rsidRPr="00D51A68">
              <w:rPr>
                <w:rFonts w:ascii="Times New Roman" w:hAnsi="Times New Roman"/>
                <w:sz w:val="24"/>
              </w:rPr>
              <w:t>’</w:t>
            </w:r>
            <w:r w:rsidRPr="00D51A68">
              <w:rPr>
                <w:rFonts w:ascii="Times New Roman" w:hAnsi="Times New Roman"/>
                <w:sz w:val="24"/>
              </w:rPr>
              <w:t>ente computa separatamente le sue posizioni nette lunghe ponderate (colonna 580) e le sue posizioni nette corte ponderate (colonna 590). La maggiore tra le due somme (dopo il massimale) costituisce il requisito di fondi propri. A partire dal 2015, conformemente all</w:t>
            </w:r>
            <w:r w:rsidR="0009277C" w:rsidRPr="00D51A68">
              <w:rPr>
                <w:rFonts w:ascii="Times New Roman" w:hAnsi="Times New Roman"/>
                <w:sz w:val="24"/>
              </w:rPr>
              <w:t>’</w:t>
            </w:r>
            <w:r w:rsidRPr="00D51A68">
              <w:rPr>
                <w:rFonts w:ascii="Times New Roman" w:hAnsi="Times New Roman"/>
                <w:sz w:val="24"/>
              </w:rPr>
              <w:t>articolo 337, paragrafo 4, del CRR l</w:t>
            </w:r>
            <w:r w:rsidR="0009277C" w:rsidRPr="00D51A68">
              <w:rPr>
                <w:rFonts w:ascii="Times New Roman" w:hAnsi="Times New Roman"/>
                <w:sz w:val="24"/>
              </w:rPr>
              <w:t>’</w:t>
            </w:r>
            <w:r w:rsidRPr="00D51A68">
              <w:rPr>
                <w:rFonts w:ascii="Times New Roman" w:hAnsi="Times New Roman"/>
                <w:sz w:val="24"/>
              </w:rPr>
              <w:t>ente somma le sue posizioni nette ponderate, siano esse lunghe o corte (colonna 600), per calcolare i requisiti di fondi propri.</w:t>
            </w:r>
          </w:p>
        </w:tc>
      </w:tr>
    </w:tbl>
    <w:p w:rsidR="000B0B09" w:rsidRPr="00D51A68" w:rsidRDefault="000B0B09" w:rsidP="000B0B09">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6"/>
        <w:gridCol w:w="7894"/>
      </w:tblGrid>
      <w:tr w:rsidR="000B0B09" w:rsidRPr="00D51A68" w:rsidTr="00672D2A">
        <w:trPr>
          <w:trHeight w:val="537"/>
        </w:trPr>
        <w:tc>
          <w:tcPr>
            <w:tcW w:w="8862" w:type="dxa"/>
            <w:gridSpan w:val="2"/>
            <w:shd w:val="clear" w:color="auto" w:fill="BFBFBF"/>
          </w:tcPr>
          <w:p w:rsidR="000B0B09" w:rsidRPr="00D51A68" w:rsidRDefault="000B0B09" w:rsidP="000B0B09">
            <w:pPr>
              <w:autoSpaceDE w:val="0"/>
              <w:autoSpaceDN w:val="0"/>
              <w:adjustRightInd w:val="0"/>
              <w:spacing w:after="0"/>
              <w:rPr>
                <w:rFonts w:ascii="Times New Roman" w:hAnsi="Times New Roman"/>
                <w:b/>
                <w:sz w:val="24"/>
              </w:rPr>
            </w:pPr>
            <w:r w:rsidRPr="00D51A68">
              <w:rPr>
                <w:rFonts w:ascii="Times New Roman" w:hAnsi="Times New Roman"/>
                <w:b/>
                <w:sz w:val="24"/>
              </w:rPr>
              <w:t>Righe</w:t>
            </w:r>
          </w:p>
        </w:tc>
      </w:tr>
      <w:tr w:rsidR="000B0B09" w:rsidRPr="00D51A68" w:rsidTr="00672D2A">
        <w:tc>
          <w:tcPr>
            <w:tcW w:w="968" w:type="dxa"/>
          </w:tcPr>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010</w:t>
            </w:r>
          </w:p>
        </w:tc>
        <w:tc>
          <w:tcPr>
            <w:tcW w:w="7894" w:type="dxa"/>
          </w:tcPr>
          <w:p w:rsidR="000B0B09" w:rsidRPr="00D51A68" w:rsidRDefault="000B0B09" w:rsidP="000B0B09">
            <w:pPr>
              <w:rPr>
                <w:rFonts w:ascii="Times New Roman" w:hAnsi="Times New Roman"/>
                <w:sz w:val="24"/>
              </w:rPr>
            </w:pPr>
            <w:r w:rsidRPr="00D51A68">
              <w:rPr>
                <w:rStyle w:val="InstructionsTabelleberschrift"/>
                <w:rFonts w:ascii="Times New Roman" w:hAnsi="Times New Roman"/>
                <w:sz w:val="24"/>
              </w:rPr>
              <w:t>ESPOSIZIONI TOTALI</w:t>
            </w:r>
          </w:p>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Importo complessivo delle cartolarizzazioni in essere (detenute nel portafoglio di negoziazione) segnalate dall</w:t>
            </w:r>
            <w:r w:rsidR="0009277C" w:rsidRPr="00D51A68">
              <w:rPr>
                <w:rFonts w:ascii="Times New Roman" w:hAnsi="Times New Roman"/>
                <w:sz w:val="24"/>
              </w:rPr>
              <w:t>’</w:t>
            </w:r>
            <w:r w:rsidRPr="00D51A68">
              <w:rPr>
                <w:rFonts w:ascii="Times New Roman" w:hAnsi="Times New Roman"/>
                <w:sz w:val="24"/>
              </w:rPr>
              <w:t>ente nel o nei suoi ruoli di cedente, investitore o promotore.</w:t>
            </w:r>
          </w:p>
          <w:p w:rsidR="000B0B09" w:rsidRPr="00D51A68" w:rsidRDefault="000B0B09" w:rsidP="000B0B09">
            <w:pPr>
              <w:autoSpaceDE w:val="0"/>
              <w:autoSpaceDN w:val="0"/>
              <w:adjustRightInd w:val="0"/>
              <w:spacing w:before="0" w:after="0"/>
              <w:rPr>
                <w:rFonts w:ascii="Times New Roman" w:hAnsi="Times New Roman"/>
                <w:sz w:val="24"/>
              </w:rPr>
            </w:pPr>
          </w:p>
        </w:tc>
      </w:tr>
      <w:tr w:rsidR="000B0B09" w:rsidRPr="00D51A68" w:rsidTr="00672D2A">
        <w:tc>
          <w:tcPr>
            <w:tcW w:w="968" w:type="dxa"/>
          </w:tcPr>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040,070 e</w:t>
            </w:r>
          </w:p>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100</w:t>
            </w:r>
          </w:p>
        </w:tc>
        <w:tc>
          <w:tcPr>
            <w:tcW w:w="7894" w:type="dxa"/>
          </w:tcPr>
          <w:p w:rsidR="000B0B09" w:rsidRPr="00D51A68" w:rsidRDefault="000B0B09" w:rsidP="000B0B09">
            <w:pPr>
              <w:rPr>
                <w:rStyle w:val="InstructionsTabelleberschrift"/>
                <w:rFonts w:ascii="Times New Roman" w:hAnsi="Times New Roman"/>
                <w:sz w:val="24"/>
              </w:rPr>
            </w:pPr>
            <w:r w:rsidRPr="00D51A68">
              <w:rPr>
                <w:rStyle w:val="InstructionsTabelleberschrift"/>
                <w:rFonts w:ascii="Times New Roman" w:hAnsi="Times New Roman"/>
                <w:sz w:val="24"/>
              </w:rPr>
              <w:t>CARTOLARIZZAZIONI</w:t>
            </w:r>
          </w:p>
          <w:p w:rsidR="000B0B09" w:rsidRPr="00D51A68" w:rsidRDefault="000B0B09" w:rsidP="00BB73C8">
            <w:pPr>
              <w:autoSpaceDE w:val="0"/>
              <w:autoSpaceDN w:val="0"/>
              <w:adjustRightInd w:val="0"/>
              <w:spacing w:before="0" w:after="0"/>
              <w:rPr>
                <w:rFonts w:ascii="Times New Roman" w:hAnsi="Times New Roman"/>
                <w:bCs/>
                <w:sz w:val="24"/>
              </w:rPr>
            </w:pPr>
            <w:r w:rsidRPr="00D51A68">
              <w:rPr>
                <w:rFonts w:ascii="Times New Roman" w:hAnsi="Times New Roman"/>
                <w:sz w:val="24"/>
              </w:rPr>
              <w:t>Articolo 4, paragrafo 1, punti 61 e 62, del CRR.</w:t>
            </w:r>
          </w:p>
        </w:tc>
      </w:tr>
      <w:tr w:rsidR="000B0B09" w:rsidRPr="00D51A68" w:rsidTr="00672D2A">
        <w:tc>
          <w:tcPr>
            <w:tcW w:w="968" w:type="dxa"/>
          </w:tcPr>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020,050,</w:t>
            </w:r>
          </w:p>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080 e 110</w:t>
            </w:r>
          </w:p>
        </w:tc>
        <w:tc>
          <w:tcPr>
            <w:tcW w:w="7894" w:type="dxa"/>
          </w:tcPr>
          <w:p w:rsidR="000B0B09" w:rsidRPr="00D51A68" w:rsidRDefault="000B0B09" w:rsidP="000B0B09">
            <w:pPr>
              <w:rPr>
                <w:rStyle w:val="InstructionsTabelleberschrift"/>
                <w:rFonts w:ascii="Times New Roman" w:hAnsi="Times New Roman"/>
                <w:sz w:val="24"/>
              </w:rPr>
            </w:pPr>
            <w:r w:rsidRPr="00D51A68">
              <w:rPr>
                <w:rStyle w:val="InstructionsTabelleberschrift"/>
                <w:rFonts w:ascii="Times New Roman" w:hAnsi="Times New Roman"/>
                <w:sz w:val="24"/>
              </w:rPr>
              <w:t>RICARTOLARIZZAZIONI</w:t>
            </w:r>
          </w:p>
          <w:p w:rsidR="000B0B09" w:rsidRPr="00D51A68" w:rsidRDefault="000B0B09" w:rsidP="00E871FE">
            <w:pPr>
              <w:autoSpaceDE w:val="0"/>
              <w:autoSpaceDN w:val="0"/>
              <w:adjustRightInd w:val="0"/>
              <w:spacing w:before="0" w:after="0"/>
              <w:rPr>
                <w:rFonts w:ascii="Times New Roman" w:hAnsi="Times New Roman"/>
                <w:bCs/>
                <w:sz w:val="24"/>
              </w:rPr>
            </w:pPr>
            <w:r w:rsidRPr="00D51A68">
              <w:rPr>
                <w:rFonts w:ascii="Times New Roman" w:hAnsi="Times New Roman"/>
                <w:sz w:val="24"/>
              </w:rPr>
              <w:t>Articolo 4, paragrafo 63, del CRR.</w:t>
            </w:r>
          </w:p>
        </w:tc>
      </w:tr>
      <w:tr w:rsidR="000B0B09" w:rsidRPr="00D51A68" w:rsidTr="00672D2A">
        <w:tc>
          <w:tcPr>
            <w:tcW w:w="968" w:type="dxa"/>
          </w:tcPr>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030-050</w:t>
            </w:r>
          </w:p>
        </w:tc>
        <w:tc>
          <w:tcPr>
            <w:tcW w:w="7894" w:type="dxa"/>
          </w:tcPr>
          <w:p w:rsidR="000B0B09" w:rsidRPr="00D51A68" w:rsidRDefault="000B0B09" w:rsidP="000B0B09">
            <w:pPr>
              <w:rPr>
                <w:rStyle w:val="InstructionsTabelleberschrift"/>
                <w:rFonts w:ascii="Times New Roman" w:hAnsi="Times New Roman"/>
                <w:sz w:val="24"/>
              </w:rPr>
            </w:pPr>
            <w:r w:rsidRPr="00D51A68">
              <w:rPr>
                <w:rStyle w:val="InstructionsTabelleberschrift"/>
                <w:rFonts w:ascii="Times New Roman" w:hAnsi="Times New Roman"/>
                <w:sz w:val="24"/>
              </w:rPr>
              <w:t>CEDENTE</w:t>
            </w:r>
          </w:p>
          <w:p w:rsidR="000B0B09" w:rsidRPr="00D51A68" w:rsidRDefault="000B0B09" w:rsidP="00104A65">
            <w:pPr>
              <w:autoSpaceDE w:val="0"/>
              <w:autoSpaceDN w:val="0"/>
              <w:adjustRightInd w:val="0"/>
              <w:spacing w:before="0" w:after="0"/>
              <w:rPr>
                <w:rFonts w:ascii="Times New Roman" w:hAnsi="Times New Roman"/>
                <w:bCs/>
                <w:sz w:val="24"/>
              </w:rPr>
            </w:pPr>
            <w:r w:rsidRPr="00D51A68">
              <w:rPr>
                <w:rFonts w:ascii="Times New Roman" w:hAnsi="Times New Roman"/>
                <w:sz w:val="24"/>
              </w:rPr>
              <w:t>Articolo 4, paragrafo 13, del CRR.</w:t>
            </w:r>
          </w:p>
        </w:tc>
      </w:tr>
      <w:tr w:rsidR="000B0B09" w:rsidRPr="00D51A68" w:rsidTr="00672D2A">
        <w:tc>
          <w:tcPr>
            <w:tcW w:w="968" w:type="dxa"/>
          </w:tcPr>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060-080</w:t>
            </w:r>
          </w:p>
        </w:tc>
        <w:tc>
          <w:tcPr>
            <w:tcW w:w="7894" w:type="dxa"/>
          </w:tcPr>
          <w:p w:rsidR="000B0B09" w:rsidRPr="00D51A68" w:rsidRDefault="000B0B09" w:rsidP="000B0B09">
            <w:pPr>
              <w:rPr>
                <w:rStyle w:val="InstructionsTabelleberschrift"/>
                <w:rFonts w:ascii="Times New Roman" w:hAnsi="Times New Roman"/>
                <w:sz w:val="24"/>
              </w:rPr>
            </w:pPr>
            <w:r w:rsidRPr="00D51A68">
              <w:rPr>
                <w:rStyle w:val="InstructionsTabelleberschrift"/>
                <w:rFonts w:ascii="Times New Roman" w:hAnsi="Times New Roman"/>
                <w:sz w:val="24"/>
              </w:rPr>
              <w:t>INVESTITORE</w:t>
            </w:r>
          </w:p>
          <w:p w:rsidR="000B0B09" w:rsidRPr="00D51A68" w:rsidRDefault="000B0B09" w:rsidP="000B0B09">
            <w:pPr>
              <w:autoSpaceDE w:val="0"/>
              <w:autoSpaceDN w:val="0"/>
              <w:adjustRightInd w:val="0"/>
              <w:spacing w:before="0" w:after="0"/>
              <w:rPr>
                <w:rFonts w:ascii="Times New Roman" w:hAnsi="Times New Roman"/>
                <w:bCs/>
                <w:sz w:val="24"/>
              </w:rPr>
            </w:pPr>
            <w:r w:rsidRPr="00D51A68">
              <w:rPr>
                <w:rFonts w:ascii="Times New Roman" w:hAnsi="Times New Roman"/>
                <w:sz w:val="24"/>
              </w:rPr>
              <w:t>Ente creditizio che detiene posizioni verso la cartolarizzazione in un</w:t>
            </w:r>
            <w:r w:rsidR="0009277C" w:rsidRPr="00D51A68">
              <w:rPr>
                <w:rFonts w:ascii="Times New Roman" w:hAnsi="Times New Roman"/>
                <w:sz w:val="24"/>
              </w:rPr>
              <w:t>’</w:t>
            </w:r>
            <w:r w:rsidRPr="00D51A68">
              <w:rPr>
                <w:rFonts w:ascii="Times New Roman" w:hAnsi="Times New Roman"/>
                <w:sz w:val="24"/>
              </w:rPr>
              <w:t>operazione di cartolarizzazione nella quale non è né il cedente né il promotore.</w:t>
            </w:r>
          </w:p>
        </w:tc>
      </w:tr>
      <w:tr w:rsidR="000B0B09" w:rsidRPr="00D51A68" w:rsidTr="00672D2A">
        <w:tc>
          <w:tcPr>
            <w:tcW w:w="968" w:type="dxa"/>
          </w:tcPr>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090-110</w:t>
            </w:r>
          </w:p>
        </w:tc>
        <w:tc>
          <w:tcPr>
            <w:tcW w:w="7894" w:type="dxa"/>
          </w:tcPr>
          <w:p w:rsidR="000B0B09" w:rsidRPr="00D51A68" w:rsidRDefault="000B0B09" w:rsidP="000B0B09">
            <w:pPr>
              <w:rPr>
                <w:rStyle w:val="InstructionsTabelleberschrift"/>
                <w:rFonts w:ascii="Times New Roman" w:hAnsi="Times New Roman"/>
                <w:sz w:val="24"/>
              </w:rPr>
            </w:pPr>
            <w:r w:rsidRPr="00D51A68">
              <w:rPr>
                <w:rStyle w:val="InstructionsTabelleberschrift"/>
                <w:rFonts w:ascii="Times New Roman" w:hAnsi="Times New Roman"/>
                <w:sz w:val="24"/>
              </w:rPr>
              <w:t>PROMOTORE</w:t>
            </w:r>
          </w:p>
          <w:p w:rsidR="000B0B09" w:rsidRPr="00D51A68" w:rsidRDefault="000B0B09" w:rsidP="00E871FE">
            <w:pPr>
              <w:autoSpaceDE w:val="0"/>
              <w:autoSpaceDN w:val="0"/>
              <w:adjustRightInd w:val="0"/>
              <w:spacing w:before="0" w:after="0"/>
              <w:rPr>
                <w:rStyle w:val="InstructionsTabelleText"/>
                <w:rFonts w:ascii="Times New Roman" w:hAnsi="Times New Roman"/>
                <w:sz w:val="24"/>
              </w:rPr>
            </w:pPr>
            <w:r w:rsidRPr="00D51A68">
              <w:rPr>
                <w:rStyle w:val="InstructionsTabelleText"/>
                <w:rFonts w:ascii="Times New Roman" w:hAnsi="Times New Roman"/>
                <w:sz w:val="24"/>
              </w:rPr>
              <w:t>Articolo 4, paragrafo 14, del CRR. Se cartolarizza anche attività proprie, il promotore inserisce nelle righe dedicate al cedente le informazioni relative alle proprie attività cartolarizzate.</w:t>
            </w:r>
          </w:p>
        </w:tc>
      </w:tr>
      <w:tr w:rsidR="000B0B09" w:rsidRPr="00D51A68" w:rsidTr="00672D2A">
        <w:tc>
          <w:tcPr>
            <w:tcW w:w="968" w:type="dxa"/>
          </w:tcPr>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120-210</w:t>
            </w:r>
          </w:p>
        </w:tc>
        <w:tc>
          <w:tcPr>
            <w:tcW w:w="7894" w:type="dxa"/>
          </w:tcPr>
          <w:p w:rsidR="000B0B09" w:rsidRPr="00D51A68" w:rsidRDefault="000B0B09" w:rsidP="000B0B09">
            <w:pPr>
              <w:rPr>
                <w:rStyle w:val="InstructionsTabelleberschrift"/>
                <w:rFonts w:ascii="Times New Roman" w:hAnsi="Times New Roman"/>
                <w:sz w:val="24"/>
              </w:rPr>
            </w:pPr>
            <w:r w:rsidRPr="00D51A68">
              <w:rPr>
                <w:rStyle w:val="InstructionsTabelleberschrift"/>
                <w:rFonts w:ascii="Times New Roman" w:hAnsi="Times New Roman"/>
                <w:sz w:val="24"/>
              </w:rPr>
              <w:t>RIPARTIZIONE DELLA SOMMA TOTALE DELLE POSIZIONI NETTE LUNGHE E CORTE PONDERATE PER TIPO DI ATTIVITÀ SOTTOSTANTI</w:t>
            </w:r>
          </w:p>
          <w:p w:rsidR="000B0B09" w:rsidRPr="00D51A68" w:rsidRDefault="000B0B09" w:rsidP="000B0B09">
            <w:pPr>
              <w:autoSpaceDE w:val="0"/>
              <w:autoSpaceDN w:val="0"/>
              <w:adjustRightInd w:val="0"/>
              <w:spacing w:before="0" w:after="0"/>
              <w:rPr>
                <w:rStyle w:val="InstructionsTabelleText"/>
                <w:rFonts w:ascii="Times New Roman" w:hAnsi="Times New Roman"/>
                <w:sz w:val="24"/>
              </w:rPr>
            </w:pPr>
            <w:r w:rsidRPr="00D51A68">
              <w:rPr>
                <w:rStyle w:val="InstructionsTabelleText"/>
                <w:rFonts w:ascii="Times New Roman" w:hAnsi="Times New Roman"/>
                <w:sz w:val="24"/>
              </w:rPr>
              <w:t>Articolo 337, paragrafo 4, ultima frase, del CRR.</w:t>
            </w:r>
          </w:p>
          <w:p w:rsidR="000B0B09" w:rsidRPr="00D51A68" w:rsidRDefault="000B0B09" w:rsidP="000B0B09">
            <w:pPr>
              <w:autoSpaceDE w:val="0"/>
              <w:autoSpaceDN w:val="0"/>
              <w:adjustRightInd w:val="0"/>
              <w:spacing w:before="0" w:after="0"/>
              <w:rPr>
                <w:rStyle w:val="InstructionsTabelleText"/>
                <w:rFonts w:ascii="Times New Roman" w:hAnsi="Times New Roman"/>
                <w:sz w:val="24"/>
              </w:rPr>
            </w:pPr>
          </w:p>
          <w:p w:rsidR="000B0B09" w:rsidRPr="00D51A68" w:rsidRDefault="000B0B09" w:rsidP="000B0B09">
            <w:pPr>
              <w:autoSpaceDE w:val="0"/>
              <w:autoSpaceDN w:val="0"/>
              <w:adjustRightInd w:val="0"/>
              <w:spacing w:before="0" w:after="0"/>
              <w:rPr>
                <w:rStyle w:val="InstructionsTabelleText"/>
                <w:rFonts w:ascii="Times New Roman" w:hAnsi="Times New Roman"/>
                <w:sz w:val="24"/>
              </w:rPr>
            </w:pPr>
            <w:r w:rsidRPr="00D51A68">
              <w:rPr>
                <w:rStyle w:val="InstructionsTabelleText"/>
                <w:rFonts w:ascii="Times New Roman" w:hAnsi="Times New Roman"/>
                <w:sz w:val="24"/>
              </w:rPr>
              <w:t xml:space="preserve">La ripartizione delle attività sottostanti è conforme alla classificazione utilizzata nel modello SEC Details (colonna </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tipo</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w:t>
            </w:r>
          </w:p>
          <w:p w:rsidR="000B0B09" w:rsidRPr="00D51A68" w:rsidRDefault="00941EC3" w:rsidP="0023700C">
            <w:pPr>
              <w:autoSpaceDE w:val="0"/>
              <w:autoSpaceDN w:val="0"/>
              <w:adjustRightInd w:val="0"/>
              <w:spacing w:before="0" w:after="0"/>
              <w:ind w:left="720" w:hanging="360"/>
              <w:contextualSpacing/>
              <w:rPr>
                <w:rStyle w:val="InstructionsTabelleText"/>
                <w:rFonts w:ascii="Symbol" w:hAnsi="Symbol"/>
                <w:b/>
                <w:bCs/>
                <w:sz w:val="24"/>
              </w:rPr>
            </w:pPr>
            <w:r w:rsidRPr="00D51A68">
              <w:rPr>
                <w:rStyle w:val="InstructionsTabelleText"/>
                <w:rFonts w:ascii="Symbol" w:hAnsi="Symbol"/>
                <w:bCs/>
                <w:sz w:val="24"/>
                <w:lang w:eastAsia="nl-BE"/>
              </w:rPr>
              <w:t></w:t>
            </w:r>
            <w:r w:rsidRPr="00D51A68">
              <w:rPr>
                <w:rStyle w:val="InstructionsTabelleText"/>
                <w:rFonts w:ascii="Symbol" w:hAnsi="Symbol"/>
                <w:bCs/>
                <w:sz w:val="24"/>
                <w:lang w:eastAsia="nl-BE"/>
              </w:rPr>
              <w:tab/>
            </w:r>
            <w:r w:rsidR="00125707" w:rsidRPr="00D51A68">
              <w:rPr>
                <w:rStyle w:val="InstructionsTabelleText"/>
                <w:rFonts w:ascii="Times New Roman" w:hAnsi="Times New Roman"/>
                <w:sz w:val="24"/>
              </w:rPr>
              <w:t>1 — ipoteche su immobili residenziali</w:t>
            </w:r>
          </w:p>
          <w:p w:rsidR="000B0B09" w:rsidRPr="00D51A68" w:rsidRDefault="00941EC3" w:rsidP="0023700C">
            <w:pPr>
              <w:autoSpaceDE w:val="0"/>
              <w:autoSpaceDN w:val="0"/>
              <w:adjustRightInd w:val="0"/>
              <w:spacing w:before="0" w:after="0"/>
              <w:ind w:left="720" w:hanging="360"/>
              <w:contextualSpacing/>
              <w:rPr>
                <w:rStyle w:val="InstructionsTabelleText"/>
                <w:rFonts w:ascii="Symbol" w:hAnsi="Symbol"/>
                <w:b/>
                <w:bCs/>
                <w:sz w:val="24"/>
              </w:rPr>
            </w:pPr>
            <w:r w:rsidRPr="00D51A68">
              <w:rPr>
                <w:rStyle w:val="InstructionsTabelleText"/>
                <w:rFonts w:ascii="Symbol" w:hAnsi="Symbol"/>
                <w:bCs/>
                <w:sz w:val="24"/>
                <w:lang w:eastAsia="nl-BE"/>
              </w:rPr>
              <w:t></w:t>
            </w:r>
            <w:r w:rsidRPr="00D51A68">
              <w:rPr>
                <w:rStyle w:val="InstructionsTabelleText"/>
                <w:rFonts w:ascii="Symbol" w:hAnsi="Symbol"/>
                <w:bCs/>
                <w:sz w:val="24"/>
                <w:lang w:eastAsia="nl-BE"/>
              </w:rPr>
              <w:tab/>
            </w:r>
            <w:r w:rsidR="00125707" w:rsidRPr="00D51A68">
              <w:rPr>
                <w:rStyle w:val="InstructionsTabelleText"/>
                <w:rFonts w:ascii="Times New Roman" w:hAnsi="Times New Roman"/>
                <w:sz w:val="24"/>
              </w:rPr>
              <w:t>2 — ipoteche su immobili non residenziali</w:t>
            </w:r>
          </w:p>
          <w:p w:rsidR="000B0B09" w:rsidRPr="00D51A68" w:rsidRDefault="00941EC3" w:rsidP="0023700C">
            <w:pPr>
              <w:autoSpaceDE w:val="0"/>
              <w:autoSpaceDN w:val="0"/>
              <w:adjustRightInd w:val="0"/>
              <w:spacing w:before="0" w:after="0"/>
              <w:ind w:left="720" w:hanging="360"/>
              <w:contextualSpacing/>
              <w:rPr>
                <w:rStyle w:val="InstructionsTabelleText"/>
                <w:rFonts w:ascii="Symbol" w:hAnsi="Symbol"/>
                <w:b/>
                <w:bCs/>
                <w:sz w:val="24"/>
              </w:rPr>
            </w:pPr>
            <w:r w:rsidRPr="00D51A68">
              <w:rPr>
                <w:rStyle w:val="InstructionsTabelleText"/>
                <w:rFonts w:ascii="Symbol" w:hAnsi="Symbol"/>
                <w:bCs/>
                <w:sz w:val="24"/>
                <w:lang w:eastAsia="nl-BE"/>
              </w:rPr>
              <w:t></w:t>
            </w:r>
            <w:r w:rsidRPr="00D51A68">
              <w:rPr>
                <w:rStyle w:val="InstructionsTabelleText"/>
                <w:rFonts w:ascii="Symbol" w:hAnsi="Symbol"/>
                <w:bCs/>
                <w:sz w:val="24"/>
                <w:lang w:eastAsia="nl-BE"/>
              </w:rPr>
              <w:tab/>
            </w:r>
            <w:r w:rsidR="00125707" w:rsidRPr="00D51A68">
              <w:rPr>
                <w:rStyle w:val="InstructionsTabelleText"/>
                <w:rFonts w:ascii="Times New Roman" w:hAnsi="Times New Roman"/>
                <w:sz w:val="24"/>
              </w:rPr>
              <w:t>3 — crediti su carta di credito</w:t>
            </w:r>
          </w:p>
          <w:p w:rsidR="000B0B09" w:rsidRPr="00D51A68" w:rsidRDefault="00941EC3" w:rsidP="0023700C">
            <w:pPr>
              <w:autoSpaceDE w:val="0"/>
              <w:autoSpaceDN w:val="0"/>
              <w:adjustRightInd w:val="0"/>
              <w:spacing w:before="0" w:after="0"/>
              <w:ind w:left="720" w:hanging="360"/>
              <w:contextualSpacing/>
              <w:rPr>
                <w:rStyle w:val="InstructionsTabelleText"/>
                <w:rFonts w:ascii="Symbol" w:hAnsi="Symbol"/>
                <w:b/>
                <w:bCs/>
                <w:sz w:val="24"/>
              </w:rPr>
            </w:pPr>
            <w:r w:rsidRPr="00D51A68">
              <w:rPr>
                <w:rStyle w:val="InstructionsTabelleText"/>
                <w:rFonts w:ascii="Symbol" w:hAnsi="Symbol"/>
                <w:bCs/>
                <w:sz w:val="24"/>
                <w:lang w:eastAsia="nl-BE"/>
              </w:rPr>
              <w:t></w:t>
            </w:r>
            <w:r w:rsidRPr="00D51A68">
              <w:rPr>
                <w:rStyle w:val="InstructionsTabelleText"/>
                <w:rFonts w:ascii="Symbol" w:hAnsi="Symbol"/>
                <w:bCs/>
                <w:sz w:val="24"/>
                <w:lang w:eastAsia="nl-BE"/>
              </w:rPr>
              <w:tab/>
            </w:r>
            <w:r w:rsidR="00125707" w:rsidRPr="00D51A68">
              <w:rPr>
                <w:rStyle w:val="InstructionsTabelleText"/>
                <w:rFonts w:ascii="Times New Roman" w:hAnsi="Times New Roman"/>
                <w:sz w:val="24"/>
              </w:rPr>
              <w:t>4 — leasing</w:t>
            </w:r>
          </w:p>
          <w:p w:rsidR="000B0B09" w:rsidRPr="00D51A68" w:rsidRDefault="00941EC3" w:rsidP="0023700C">
            <w:pPr>
              <w:autoSpaceDE w:val="0"/>
              <w:autoSpaceDN w:val="0"/>
              <w:adjustRightInd w:val="0"/>
              <w:spacing w:before="0" w:after="0"/>
              <w:ind w:left="720" w:hanging="360"/>
              <w:contextualSpacing/>
              <w:rPr>
                <w:rStyle w:val="InstructionsTabelleText"/>
                <w:rFonts w:ascii="Symbol" w:hAnsi="Symbol"/>
                <w:b/>
                <w:bCs/>
                <w:sz w:val="24"/>
              </w:rPr>
            </w:pPr>
            <w:r w:rsidRPr="00D51A68">
              <w:rPr>
                <w:rStyle w:val="InstructionsTabelleText"/>
                <w:rFonts w:ascii="Symbol" w:hAnsi="Symbol"/>
                <w:bCs/>
                <w:sz w:val="24"/>
                <w:lang w:eastAsia="nl-BE"/>
              </w:rPr>
              <w:t></w:t>
            </w:r>
            <w:r w:rsidRPr="00D51A68">
              <w:rPr>
                <w:rStyle w:val="InstructionsTabelleText"/>
                <w:rFonts w:ascii="Symbol" w:hAnsi="Symbol"/>
                <w:bCs/>
                <w:sz w:val="24"/>
                <w:lang w:eastAsia="nl-BE"/>
              </w:rPr>
              <w:tab/>
            </w:r>
            <w:r w:rsidR="00125707" w:rsidRPr="00D51A68">
              <w:rPr>
                <w:rStyle w:val="InstructionsTabelleText"/>
                <w:rFonts w:ascii="Times New Roman" w:hAnsi="Times New Roman"/>
                <w:sz w:val="24"/>
              </w:rPr>
              <w:t>5 — prestiti a imprese o PMI (trattate come imprese)</w:t>
            </w:r>
          </w:p>
          <w:p w:rsidR="000B0B09" w:rsidRPr="00D51A68" w:rsidRDefault="00941EC3" w:rsidP="0023700C">
            <w:pPr>
              <w:autoSpaceDE w:val="0"/>
              <w:autoSpaceDN w:val="0"/>
              <w:adjustRightInd w:val="0"/>
              <w:spacing w:before="0" w:after="0"/>
              <w:ind w:left="720" w:hanging="360"/>
              <w:contextualSpacing/>
              <w:rPr>
                <w:rStyle w:val="InstructionsTabelleText"/>
                <w:rFonts w:ascii="Symbol" w:hAnsi="Symbol"/>
                <w:b/>
                <w:bCs/>
                <w:sz w:val="24"/>
              </w:rPr>
            </w:pPr>
            <w:r w:rsidRPr="00D51A68">
              <w:rPr>
                <w:rStyle w:val="InstructionsTabelleText"/>
                <w:rFonts w:ascii="Symbol" w:hAnsi="Symbol"/>
                <w:bCs/>
                <w:sz w:val="24"/>
                <w:lang w:eastAsia="nl-BE"/>
              </w:rPr>
              <w:t></w:t>
            </w:r>
            <w:r w:rsidRPr="00D51A68">
              <w:rPr>
                <w:rStyle w:val="InstructionsTabelleText"/>
                <w:rFonts w:ascii="Symbol" w:hAnsi="Symbol"/>
                <w:bCs/>
                <w:sz w:val="24"/>
                <w:lang w:eastAsia="nl-BE"/>
              </w:rPr>
              <w:tab/>
            </w:r>
            <w:r w:rsidR="00125707" w:rsidRPr="00D51A68">
              <w:rPr>
                <w:rStyle w:val="InstructionsTabelleText"/>
                <w:rFonts w:ascii="Times New Roman" w:hAnsi="Times New Roman"/>
                <w:sz w:val="24"/>
              </w:rPr>
              <w:t>6 — prestiti al consumo</w:t>
            </w:r>
          </w:p>
          <w:p w:rsidR="000B0B09" w:rsidRPr="00D51A68" w:rsidRDefault="00941EC3" w:rsidP="0023700C">
            <w:pPr>
              <w:autoSpaceDE w:val="0"/>
              <w:autoSpaceDN w:val="0"/>
              <w:adjustRightInd w:val="0"/>
              <w:spacing w:before="0" w:after="0"/>
              <w:ind w:left="720" w:hanging="360"/>
              <w:contextualSpacing/>
              <w:rPr>
                <w:rStyle w:val="InstructionsTabelleText"/>
                <w:rFonts w:ascii="Symbol" w:hAnsi="Symbol"/>
                <w:b/>
                <w:bCs/>
                <w:sz w:val="24"/>
              </w:rPr>
            </w:pPr>
            <w:r w:rsidRPr="00D51A68">
              <w:rPr>
                <w:rStyle w:val="InstructionsTabelleText"/>
                <w:rFonts w:ascii="Symbol" w:hAnsi="Symbol"/>
                <w:bCs/>
                <w:sz w:val="24"/>
                <w:lang w:eastAsia="nl-BE"/>
              </w:rPr>
              <w:t></w:t>
            </w:r>
            <w:r w:rsidRPr="00D51A68">
              <w:rPr>
                <w:rStyle w:val="InstructionsTabelleText"/>
                <w:rFonts w:ascii="Symbol" w:hAnsi="Symbol"/>
                <w:bCs/>
                <w:sz w:val="24"/>
                <w:lang w:eastAsia="nl-BE"/>
              </w:rPr>
              <w:tab/>
            </w:r>
            <w:r w:rsidR="00125707" w:rsidRPr="00D51A68">
              <w:rPr>
                <w:rStyle w:val="InstructionsTabelleText"/>
                <w:rFonts w:ascii="Times New Roman" w:hAnsi="Times New Roman"/>
                <w:sz w:val="24"/>
              </w:rPr>
              <w:t>7 — crediti commerciali</w:t>
            </w:r>
          </w:p>
          <w:p w:rsidR="000B0B09" w:rsidRPr="00D51A68" w:rsidRDefault="00941EC3" w:rsidP="0023700C">
            <w:pPr>
              <w:autoSpaceDE w:val="0"/>
              <w:autoSpaceDN w:val="0"/>
              <w:adjustRightInd w:val="0"/>
              <w:spacing w:before="0" w:after="0"/>
              <w:ind w:left="720" w:hanging="360"/>
              <w:contextualSpacing/>
              <w:rPr>
                <w:rStyle w:val="InstructionsTabelleText"/>
                <w:rFonts w:ascii="Symbol" w:hAnsi="Symbol"/>
                <w:b/>
                <w:bCs/>
                <w:sz w:val="24"/>
              </w:rPr>
            </w:pPr>
            <w:r w:rsidRPr="00D51A68">
              <w:rPr>
                <w:rStyle w:val="InstructionsTabelleText"/>
                <w:rFonts w:ascii="Symbol" w:hAnsi="Symbol"/>
                <w:bCs/>
                <w:sz w:val="24"/>
                <w:lang w:eastAsia="nl-BE"/>
              </w:rPr>
              <w:t></w:t>
            </w:r>
            <w:r w:rsidRPr="00D51A68">
              <w:rPr>
                <w:rStyle w:val="InstructionsTabelleText"/>
                <w:rFonts w:ascii="Symbol" w:hAnsi="Symbol"/>
                <w:bCs/>
                <w:sz w:val="24"/>
                <w:lang w:eastAsia="nl-BE"/>
              </w:rPr>
              <w:tab/>
            </w:r>
            <w:r w:rsidR="00125707" w:rsidRPr="00D51A68">
              <w:rPr>
                <w:rStyle w:val="InstructionsTabelleText"/>
                <w:rFonts w:ascii="Times New Roman" w:hAnsi="Times New Roman"/>
                <w:sz w:val="24"/>
              </w:rPr>
              <w:t>8 — altre attività</w:t>
            </w:r>
          </w:p>
          <w:p w:rsidR="000B0B09" w:rsidRPr="00D51A68" w:rsidRDefault="00941EC3" w:rsidP="0023700C">
            <w:pPr>
              <w:autoSpaceDE w:val="0"/>
              <w:autoSpaceDN w:val="0"/>
              <w:adjustRightInd w:val="0"/>
              <w:spacing w:before="0" w:after="0"/>
              <w:ind w:left="720" w:hanging="360"/>
              <w:contextualSpacing/>
              <w:rPr>
                <w:rStyle w:val="InstructionsTabelleText"/>
                <w:rFonts w:ascii="Symbol" w:hAnsi="Symbol"/>
                <w:b/>
                <w:bCs/>
                <w:sz w:val="24"/>
              </w:rPr>
            </w:pPr>
            <w:r w:rsidRPr="00D51A68">
              <w:rPr>
                <w:rStyle w:val="InstructionsTabelleText"/>
                <w:rFonts w:ascii="Symbol" w:hAnsi="Symbol"/>
                <w:bCs/>
                <w:sz w:val="24"/>
                <w:lang w:eastAsia="nl-BE"/>
              </w:rPr>
              <w:t></w:t>
            </w:r>
            <w:r w:rsidRPr="00D51A68">
              <w:rPr>
                <w:rStyle w:val="InstructionsTabelleText"/>
                <w:rFonts w:ascii="Symbol" w:hAnsi="Symbol"/>
                <w:bCs/>
                <w:sz w:val="24"/>
                <w:lang w:eastAsia="nl-BE"/>
              </w:rPr>
              <w:tab/>
            </w:r>
            <w:r w:rsidR="00125707" w:rsidRPr="00D51A68">
              <w:rPr>
                <w:rStyle w:val="InstructionsTabelleText"/>
                <w:rFonts w:ascii="Times New Roman" w:hAnsi="Times New Roman"/>
                <w:sz w:val="24"/>
              </w:rPr>
              <w:t>9 — obbligazioni garantite</w:t>
            </w:r>
          </w:p>
          <w:p w:rsidR="000B0B09" w:rsidRPr="00D51A68" w:rsidRDefault="00941EC3" w:rsidP="0023700C">
            <w:pPr>
              <w:autoSpaceDE w:val="0"/>
              <w:autoSpaceDN w:val="0"/>
              <w:adjustRightInd w:val="0"/>
              <w:spacing w:before="0" w:after="0"/>
              <w:ind w:left="720" w:hanging="360"/>
              <w:contextualSpacing/>
              <w:rPr>
                <w:rStyle w:val="InstructionsTabelleText"/>
                <w:rFonts w:ascii="Symbol" w:hAnsi="Symbol"/>
                <w:b/>
                <w:bCs/>
                <w:sz w:val="24"/>
                <w:u w:val="single"/>
              </w:rPr>
            </w:pPr>
            <w:r w:rsidRPr="00D51A68">
              <w:rPr>
                <w:rStyle w:val="InstructionsTabelleText"/>
                <w:rFonts w:ascii="Symbol" w:hAnsi="Symbol"/>
                <w:bCs/>
                <w:sz w:val="24"/>
                <w:lang w:eastAsia="nl-BE"/>
              </w:rPr>
              <w:t></w:t>
            </w:r>
            <w:r w:rsidRPr="00D51A68">
              <w:rPr>
                <w:rStyle w:val="InstructionsTabelleText"/>
                <w:rFonts w:ascii="Symbol" w:hAnsi="Symbol"/>
                <w:bCs/>
                <w:sz w:val="24"/>
                <w:lang w:eastAsia="nl-BE"/>
              </w:rPr>
              <w:tab/>
            </w:r>
            <w:r w:rsidR="00125707" w:rsidRPr="00D51A68">
              <w:rPr>
                <w:rStyle w:val="InstructionsTabelleText"/>
                <w:rFonts w:ascii="Times New Roman" w:hAnsi="Times New Roman"/>
                <w:sz w:val="24"/>
              </w:rPr>
              <w:t>10 — altre passività</w:t>
            </w:r>
          </w:p>
          <w:p w:rsidR="000B0B09" w:rsidRPr="00D51A68" w:rsidRDefault="000B0B09" w:rsidP="000B0B09">
            <w:pPr>
              <w:autoSpaceDE w:val="0"/>
              <w:autoSpaceDN w:val="0"/>
              <w:adjustRightInd w:val="0"/>
              <w:spacing w:before="0" w:after="0"/>
              <w:rPr>
                <w:rFonts w:ascii="Times New Roman" w:hAnsi="Times New Roman"/>
                <w:b/>
                <w:bCs/>
                <w:sz w:val="24"/>
                <w:u w:val="single"/>
              </w:rPr>
            </w:pPr>
            <w:r w:rsidRPr="00D51A68">
              <w:rPr>
                <w:rStyle w:val="InstructionsTabelleText"/>
                <w:rFonts w:ascii="Times New Roman" w:hAnsi="Times New Roman"/>
                <w:sz w:val="24"/>
              </w:rPr>
              <w:t>Per ciascuna cartolarizzazione, se 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aggregato consta di tipi diversi di attività, l</w:t>
            </w:r>
            <w:r w:rsidR="0009277C" w:rsidRPr="00D51A68">
              <w:rPr>
                <w:rStyle w:val="InstructionsTabelleText"/>
                <w:rFonts w:ascii="Times New Roman" w:hAnsi="Times New Roman"/>
                <w:sz w:val="24"/>
              </w:rPr>
              <w:t>’</w:t>
            </w:r>
            <w:r w:rsidRPr="00D51A68">
              <w:rPr>
                <w:rStyle w:val="InstructionsTabelleText"/>
                <w:rFonts w:ascii="Times New Roman" w:hAnsi="Times New Roman"/>
                <w:sz w:val="24"/>
              </w:rPr>
              <w:t>ente prende in considerazione il tipo più importante.</w:t>
            </w:r>
          </w:p>
        </w:tc>
      </w:tr>
    </w:tbl>
    <w:p w:rsidR="000B0B09" w:rsidRPr="00D51A68" w:rsidRDefault="000B0B09" w:rsidP="000B0B09">
      <w:pPr>
        <w:autoSpaceDE w:val="0"/>
        <w:autoSpaceDN w:val="0"/>
        <w:adjustRightInd w:val="0"/>
        <w:spacing w:before="0" w:after="0"/>
        <w:rPr>
          <w:rFonts w:ascii="Times New Roman" w:hAnsi="Times New Roman"/>
          <w:sz w:val="24"/>
        </w:rPr>
      </w:pPr>
    </w:p>
    <w:p w:rsidR="000B0B09" w:rsidRPr="00D51A68" w:rsidRDefault="00125707" w:rsidP="0023700C">
      <w:pPr>
        <w:pStyle w:val="Instructionsberschrift2"/>
        <w:numPr>
          <w:ilvl w:val="0"/>
          <w:numId w:val="0"/>
        </w:numPr>
        <w:ind w:left="357" w:hanging="357"/>
        <w:rPr>
          <w:rFonts w:ascii="Times New Roman" w:hAnsi="Times New Roman" w:cs="Times New Roman"/>
          <w:sz w:val="24"/>
        </w:rPr>
      </w:pPr>
      <w:bookmarkStart w:id="646" w:name="_Toc294172373"/>
      <w:bookmarkStart w:id="647" w:name="_Toc295830002"/>
      <w:bookmarkStart w:id="648" w:name="_Toc308426679"/>
      <w:bookmarkStart w:id="649" w:name="_Toc310415063"/>
      <w:bookmarkStart w:id="650" w:name="_Toc360188398"/>
      <w:bookmarkStart w:id="651" w:name="_Toc516210689"/>
      <w:bookmarkStart w:id="652" w:name="_Toc473561038"/>
      <w:bookmarkStart w:id="653" w:name="_Toc524096634"/>
      <w:r w:rsidRPr="00D51A68">
        <w:rPr>
          <w:rFonts w:ascii="Times New Roman" w:hAnsi="Times New Roman"/>
          <w:sz w:val="24"/>
          <w:u w:val="none"/>
        </w:rPr>
        <w:t>5.3.</w:t>
      </w:r>
      <w:r w:rsidR="00A0772B" w:rsidRPr="00D51A68">
        <w:rPr>
          <w:u w:val="none"/>
        </w:rPr>
        <w:tab/>
      </w:r>
      <w:r w:rsidRPr="00D51A68">
        <w:rPr>
          <w:rFonts w:ascii="Times New Roman" w:hAnsi="Times New Roman"/>
          <w:sz w:val="24"/>
        </w:rPr>
        <w:t>C 20.00 — RISCHIO DI MERCATO: METODO STANDARDIZZATO PER IL RISCHIO SPECIFICO SUL PORTAFOGLIO DI NEGOZIAZIONE DI CORRELAZIONE (MKR SA CTP</w:t>
      </w:r>
      <w:bookmarkEnd w:id="646"/>
      <w:bookmarkEnd w:id="647"/>
      <w:bookmarkEnd w:id="648"/>
      <w:bookmarkEnd w:id="649"/>
      <w:r w:rsidRPr="00D51A68">
        <w:rPr>
          <w:rFonts w:ascii="Times New Roman" w:hAnsi="Times New Roman"/>
          <w:sz w:val="24"/>
        </w:rPr>
        <w:t>)</w:t>
      </w:r>
      <w:bookmarkEnd w:id="650"/>
      <w:bookmarkEnd w:id="651"/>
      <w:bookmarkEnd w:id="652"/>
      <w:bookmarkEnd w:id="653"/>
    </w:p>
    <w:p w:rsidR="000B0B09" w:rsidRPr="00D51A68" w:rsidRDefault="00125707" w:rsidP="0023700C">
      <w:pPr>
        <w:pStyle w:val="Instructionsberschrift2"/>
        <w:numPr>
          <w:ilvl w:val="0"/>
          <w:numId w:val="0"/>
        </w:numPr>
        <w:ind w:left="357" w:hanging="357"/>
        <w:rPr>
          <w:rFonts w:ascii="Times New Roman" w:hAnsi="Times New Roman" w:cs="Times New Roman"/>
          <w:sz w:val="24"/>
        </w:rPr>
      </w:pPr>
      <w:bookmarkStart w:id="654" w:name="_Toc294172374"/>
      <w:bookmarkStart w:id="655" w:name="_Toc295830003"/>
      <w:bookmarkStart w:id="656" w:name="_Toc308426680"/>
      <w:bookmarkStart w:id="657" w:name="_Toc310415064"/>
      <w:bookmarkStart w:id="658" w:name="_Toc360188399"/>
      <w:bookmarkStart w:id="659" w:name="_Toc516210690"/>
      <w:bookmarkStart w:id="660" w:name="_Toc473561039"/>
      <w:bookmarkStart w:id="661" w:name="_Toc524096635"/>
      <w:r w:rsidRPr="00D51A68">
        <w:rPr>
          <w:rFonts w:ascii="Times New Roman" w:hAnsi="Times New Roman"/>
          <w:sz w:val="24"/>
          <w:u w:val="none"/>
        </w:rPr>
        <w:t>5.3.1.</w:t>
      </w:r>
      <w:r w:rsidR="00A0772B" w:rsidRPr="00D51A68">
        <w:rPr>
          <w:u w:val="none"/>
        </w:rPr>
        <w:tab/>
      </w:r>
      <w:r w:rsidRPr="00D51A68">
        <w:rPr>
          <w:rFonts w:ascii="Times New Roman" w:hAnsi="Times New Roman"/>
          <w:sz w:val="24"/>
        </w:rPr>
        <w:t>Osservazioni di carattere generale</w:t>
      </w:r>
      <w:bookmarkEnd w:id="654"/>
      <w:bookmarkEnd w:id="655"/>
      <w:bookmarkEnd w:id="656"/>
      <w:bookmarkEnd w:id="657"/>
      <w:bookmarkEnd w:id="658"/>
      <w:bookmarkEnd w:id="659"/>
      <w:bookmarkEnd w:id="660"/>
      <w:bookmarkEnd w:id="661"/>
    </w:p>
    <w:p w:rsidR="000B0B09" w:rsidRPr="00D51A68" w:rsidRDefault="00125707" w:rsidP="00941EC3">
      <w:pPr>
        <w:pStyle w:val="InstructionsText2"/>
        <w:numPr>
          <w:ilvl w:val="0"/>
          <w:numId w:val="0"/>
        </w:numPr>
        <w:ind w:left="993"/>
      </w:pPr>
      <w:r w:rsidRPr="00D51A68">
        <w:t>144.</w:t>
      </w:r>
      <w:r w:rsidR="00A0772B" w:rsidRPr="00D51A68">
        <w:tab/>
      </w:r>
      <w:r w:rsidRPr="00D51A68">
        <w:t>In questo modello vanno inserite informazioni riguardanti le posizioni del portafoglio di negoziazione di correlazione (compresi le cartolarizzazioni, i derivati su crediti di tipo nth-to-default e le altre posizioni di questo portafoglio incluse ai sensi dell</w:t>
      </w:r>
      <w:r w:rsidR="0009277C" w:rsidRPr="00D51A68">
        <w:t>’</w:t>
      </w:r>
      <w:r w:rsidRPr="00D51A68">
        <w:t>articolo 338, paragrafo 3) e i relativi requisiti di fondi propri in base al metodo standardizzato.</w:t>
      </w:r>
    </w:p>
    <w:p w:rsidR="000B0B09" w:rsidRPr="00D51A68" w:rsidRDefault="00125707" w:rsidP="00941EC3">
      <w:pPr>
        <w:pStyle w:val="InstructionsText2"/>
        <w:numPr>
          <w:ilvl w:val="0"/>
          <w:numId w:val="0"/>
        </w:numPr>
        <w:ind w:left="993"/>
      </w:pPr>
      <w:r w:rsidRPr="00D51A68">
        <w:t>145.</w:t>
      </w:r>
      <w:r w:rsidR="00A0772B" w:rsidRPr="00D51A68">
        <w:tab/>
      </w:r>
      <w:r w:rsidRPr="00D51A68">
        <w:t>Il modello MKR SA CTP stabilisce il requisito di fondi propri solo per il rischio specifico delle posizioni assegnate al portafoglio di negoziazione di correlazione conformemente all</w:t>
      </w:r>
      <w:r w:rsidR="0009277C" w:rsidRPr="00D51A68">
        <w:t>’</w:t>
      </w:r>
      <w:r w:rsidRPr="00D51A68">
        <w:t>articolo 335 in combinato disposto con l</w:t>
      </w:r>
      <w:r w:rsidR="0009277C" w:rsidRPr="00D51A68">
        <w:t>’</w:t>
      </w:r>
      <w:r w:rsidRPr="00D51A68">
        <w:t>articolo</w:t>
      </w:r>
      <w:r w:rsidR="00941EC3" w:rsidRPr="00D51A68">
        <w:t> </w:t>
      </w:r>
      <w:r w:rsidRPr="00D51A68">
        <w:t>338, paragrafi 2 e 3, del CRR. Se le posizioni del portafoglio di negoziazione di correlazione comprese nel portafoglio di negoziazione sono coperte da derivati su crediti, si applicano gli articoli 346 e 347 del CRR. C</w:t>
      </w:r>
      <w:r w:rsidR="0009277C" w:rsidRPr="00D51A68">
        <w:t>’</w:t>
      </w:r>
      <w:r w:rsidRPr="00D51A68">
        <w:t>è un solo modello per tutte le posizioni del portafoglio di negoziazione di correlazione comprese nel portafoglio di negoziazione, indipendentemente dal fatto che l</w:t>
      </w:r>
      <w:r w:rsidR="0009277C" w:rsidRPr="00D51A68">
        <w:t>’</w:t>
      </w:r>
      <w:r w:rsidRPr="00D51A68">
        <w:t>ente utilizzi il metodo standardizzato oppure il metodo basato sui rating interni per stabilire il fattore di ponderazione del rischio di ciascuna posizione conformemente alla parte tre, titolo II, capo 5, del CRR. Per le segnalazioni dei requisiti di fondi propri per il rischio generico di queste posizioni si utilizza il modello MKR SA TDI o il modello MKR IM.</w:t>
      </w:r>
    </w:p>
    <w:p w:rsidR="000B0B09" w:rsidRPr="00D51A68" w:rsidRDefault="00125707" w:rsidP="00941EC3">
      <w:pPr>
        <w:pStyle w:val="InstructionsText2"/>
        <w:numPr>
          <w:ilvl w:val="0"/>
          <w:numId w:val="0"/>
        </w:numPr>
        <w:ind w:left="993"/>
      </w:pPr>
      <w:r w:rsidRPr="00D51A68">
        <w:t>146.</w:t>
      </w:r>
      <w:r w:rsidR="00A0772B" w:rsidRPr="00D51A68">
        <w:tab/>
      </w:r>
      <w:r w:rsidRPr="00D51A68">
        <w:t>La struttura del modello distingue le posizioni verso la cartolarizzazione, i derivati su crediti di tipo nth-to-default e le altre posizioni del portafoglio di negoziazione di correlazione. Ne consegue che le posizioni verso la cartolarizzazione sono sempre segnalate nelle righe 030, 060 o 090 (a seconda del ruolo svolto dall</w:t>
      </w:r>
      <w:r w:rsidR="0009277C" w:rsidRPr="00D51A68">
        <w:t>’</w:t>
      </w:r>
      <w:r w:rsidRPr="00D51A68">
        <w:t xml:space="preserve">ente nella cartolarizzazione). I derivati su crediti di tipo nth-to-default sono sempre segnalati nella riga 110. Le </w:t>
      </w:r>
      <w:r w:rsidR="0009277C" w:rsidRPr="00D51A68">
        <w:t>“</w:t>
      </w:r>
      <w:r w:rsidRPr="00D51A68">
        <w:t>altre posizioni del CTP</w:t>
      </w:r>
      <w:r w:rsidR="0009277C" w:rsidRPr="00D51A68">
        <w:t>”</w:t>
      </w:r>
      <w:r w:rsidRPr="00D51A68">
        <w:t xml:space="preserve"> non sono né posizioni verso la cartolarizzazione né derivati su crediti di tipo nth-to-default (cfr. definizione dell</w:t>
      </w:r>
      <w:r w:rsidR="0009277C" w:rsidRPr="00D51A68">
        <w:t>’</w:t>
      </w:r>
      <w:r w:rsidRPr="00D51A68">
        <w:t xml:space="preserve">articolo 338, paragrafo 3, del CRR), però sono </w:t>
      </w:r>
      <w:r w:rsidR="0009277C" w:rsidRPr="00D51A68">
        <w:t>“</w:t>
      </w:r>
      <w:r w:rsidRPr="00D51A68">
        <w:t>collegate</w:t>
      </w:r>
      <w:r w:rsidR="0009277C" w:rsidRPr="00D51A68">
        <w:t>”</w:t>
      </w:r>
      <w:r w:rsidRPr="00D51A68">
        <w:t xml:space="preserve"> esplicitamente (a causa della finalità di copertura) a una di queste due posizioni. Per tale motivo sono assegnate alla sottorubrica </w:t>
      </w:r>
      <w:r w:rsidR="0009277C" w:rsidRPr="00D51A68">
        <w:t>“</w:t>
      </w:r>
      <w:r w:rsidRPr="00D51A68">
        <w:t>cartolarizzazione</w:t>
      </w:r>
      <w:r w:rsidR="0009277C" w:rsidRPr="00D51A68">
        <w:t>”</w:t>
      </w:r>
      <w:r w:rsidRPr="00D51A68">
        <w:t xml:space="preserve"> o alla sottorubrica </w:t>
      </w:r>
      <w:r w:rsidR="0009277C" w:rsidRPr="00D51A68">
        <w:t>“</w:t>
      </w:r>
      <w:r w:rsidRPr="00D51A68">
        <w:t>derivati su crediti di tipo nth-to-default</w:t>
      </w:r>
      <w:r w:rsidR="0009277C" w:rsidRPr="00D51A68">
        <w:t>”</w:t>
      </w:r>
      <w:r w:rsidRPr="00D51A68">
        <w:t>.</w:t>
      </w:r>
    </w:p>
    <w:p w:rsidR="00606885" w:rsidRPr="00D51A68" w:rsidRDefault="00125707" w:rsidP="00941EC3">
      <w:pPr>
        <w:pStyle w:val="InstructionsText2"/>
        <w:numPr>
          <w:ilvl w:val="0"/>
          <w:numId w:val="0"/>
        </w:numPr>
        <w:ind w:left="993"/>
      </w:pPr>
      <w:r w:rsidRPr="00D51A68">
        <w:t>147.</w:t>
      </w:r>
      <w:r w:rsidR="00A0772B" w:rsidRPr="00D51A68">
        <w:tab/>
      </w:r>
      <w:r w:rsidRPr="00D51A68">
        <w:t xml:space="preserve">In alternativa, le posizioni soggette a un fattore </w:t>
      </w:r>
      <w:r w:rsidR="00941EC3" w:rsidRPr="00D51A68">
        <w:t xml:space="preserve">di ponderazione del rischio del </w:t>
      </w:r>
      <w:r w:rsidRPr="00D51A68">
        <w:t>1 250% possono essere dedotte dal capitale primario di classe 1 (cfr. articolo 243, paragrafo 1, lettera b), articolo 244, paragrafo 1, lettera b), e articolo 258 del CRR). In tal caso, queste posizioni devono essere segnalate nella riga 460 del CA1.</w:t>
      </w:r>
    </w:p>
    <w:p w:rsidR="000B0B09" w:rsidRPr="00D51A68" w:rsidRDefault="00125707" w:rsidP="0023700C">
      <w:pPr>
        <w:pStyle w:val="Instructionsberschrift2"/>
        <w:numPr>
          <w:ilvl w:val="0"/>
          <w:numId w:val="0"/>
        </w:numPr>
        <w:ind w:left="357" w:hanging="357"/>
        <w:rPr>
          <w:rFonts w:ascii="Times New Roman" w:hAnsi="Times New Roman" w:cs="Times New Roman"/>
          <w:sz w:val="24"/>
        </w:rPr>
      </w:pPr>
      <w:bookmarkStart w:id="662" w:name="_Toc294172375"/>
      <w:bookmarkStart w:id="663" w:name="_Toc295830004"/>
      <w:bookmarkStart w:id="664" w:name="_Toc308426681"/>
      <w:bookmarkStart w:id="665" w:name="_Toc310415065"/>
      <w:bookmarkStart w:id="666" w:name="_Toc360188400"/>
      <w:bookmarkStart w:id="667" w:name="_Toc516210691"/>
      <w:bookmarkStart w:id="668" w:name="_Toc473561040"/>
      <w:bookmarkStart w:id="669" w:name="_Toc524096636"/>
      <w:r w:rsidRPr="00D51A68">
        <w:rPr>
          <w:rFonts w:ascii="Times New Roman" w:hAnsi="Times New Roman"/>
          <w:sz w:val="24"/>
          <w:u w:val="none"/>
        </w:rPr>
        <w:t>5.3.2.</w:t>
      </w:r>
      <w:r w:rsidR="00A0772B" w:rsidRPr="00D51A68">
        <w:tab/>
      </w:r>
      <w:r w:rsidRPr="00D51A68">
        <w:rPr>
          <w:rFonts w:ascii="Times New Roman" w:hAnsi="Times New Roman"/>
          <w:sz w:val="24"/>
        </w:rPr>
        <w:t>Istruzioni relative a posizioni specifiche</w:t>
      </w:r>
      <w:bookmarkEnd w:id="662"/>
      <w:bookmarkEnd w:id="663"/>
      <w:bookmarkEnd w:id="664"/>
      <w:bookmarkEnd w:id="665"/>
      <w:bookmarkEnd w:id="666"/>
      <w:bookmarkEnd w:id="667"/>
      <w:bookmarkEnd w:id="668"/>
      <w:bookmarkEnd w:id="66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D51A68" w:rsidTr="00672D2A">
        <w:trPr>
          <w:trHeight w:val="602"/>
        </w:trPr>
        <w:tc>
          <w:tcPr>
            <w:tcW w:w="8862" w:type="dxa"/>
            <w:gridSpan w:val="2"/>
            <w:shd w:val="clear" w:color="auto" w:fill="CCCCCC"/>
          </w:tcPr>
          <w:p w:rsidR="000B0B09" w:rsidRPr="00D51A68" w:rsidRDefault="000B0B09" w:rsidP="000B0B09">
            <w:pPr>
              <w:autoSpaceDE w:val="0"/>
              <w:autoSpaceDN w:val="0"/>
              <w:adjustRightInd w:val="0"/>
              <w:spacing w:after="0"/>
              <w:rPr>
                <w:rFonts w:ascii="Times New Roman" w:hAnsi="Times New Roman"/>
                <w:b/>
                <w:sz w:val="24"/>
              </w:rPr>
            </w:pPr>
            <w:r w:rsidRPr="00D51A68">
              <w:rPr>
                <w:rFonts w:ascii="Times New Roman" w:hAnsi="Times New Roman"/>
                <w:b/>
                <w:sz w:val="24"/>
              </w:rPr>
              <w:t>Colonne</w:t>
            </w:r>
          </w:p>
        </w:tc>
      </w:tr>
      <w:tr w:rsidR="000B0B09" w:rsidRPr="00D51A68" w:rsidTr="00672D2A">
        <w:tc>
          <w:tcPr>
            <w:tcW w:w="988" w:type="dxa"/>
          </w:tcPr>
          <w:p w:rsidR="000B0B09" w:rsidRPr="00D51A68" w:rsidRDefault="000B0B09" w:rsidP="000F70EC">
            <w:pPr>
              <w:autoSpaceDE w:val="0"/>
              <w:autoSpaceDN w:val="0"/>
              <w:adjustRightInd w:val="0"/>
              <w:spacing w:before="0" w:after="0"/>
              <w:rPr>
                <w:rFonts w:ascii="Times New Roman" w:hAnsi="Times New Roman"/>
                <w:sz w:val="24"/>
              </w:rPr>
            </w:pPr>
            <w:r w:rsidRPr="00D51A68">
              <w:rPr>
                <w:rFonts w:ascii="Times New Roman" w:hAnsi="Times New Roman"/>
                <w:sz w:val="24"/>
              </w:rPr>
              <w:t>010-020</w:t>
            </w:r>
          </w:p>
        </w:tc>
        <w:tc>
          <w:tcPr>
            <w:tcW w:w="7874" w:type="dxa"/>
          </w:tcPr>
          <w:p w:rsidR="000B0B09" w:rsidRPr="00D51A68" w:rsidRDefault="000B0B09" w:rsidP="000B0B09">
            <w:pPr>
              <w:rPr>
                <w:rStyle w:val="InstructionsTabelleberschrift"/>
                <w:rFonts w:ascii="Times New Roman" w:hAnsi="Times New Roman"/>
                <w:sz w:val="24"/>
              </w:rPr>
            </w:pPr>
            <w:r w:rsidRPr="00D51A68">
              <w:rPr>
                <w:rStyle w:val="InstructionsTabelleberschrift"/>
                <w:rFonts w:ascii="Times New Roman" w:hAnsi="Times New Roman"/>
                <w:sz w:val="24"/>
              </w:rPr>
              <w:t>TUTTE LE POSIZIONI (LUNGHE E CORTE)</w:t>
            </w:r>
          </w:p>
          <w:p w:rsidR="000B0B09" w:rsidRPr="00D51A68" w:rsidRDefault="000B0B09" w:rsidP="000B0B09">
            <w:pPr>
              <w:rPr>
                <w:rFonts w:ascii="Times New Roman" w:hAnsi="Times New Roman"/>
                <w:sz w:val="24"/>
              </w:rPr>
            </w:pPr>
            <w:r w:rsidRPr="00D51A68">
              <w:rPr>
                <w:rFonts w:ascii="Times New Roman" w:hAnsi="Times New Roman"/>
                <w:sz w:val="24"/>
              </w:rPr>
              <w:t>Articolo 102 e articolo 105, paragrafo 1, del CRR relativamente alle posizioni assegnate al portafoglio di negoziazione di correlazione conformemente all</w:t>
            </w:r>
            <w:r w:rsidR="0009277C" w:rsidRPr="00D51A68">
              <w:rPr>
                <w:rFonts w:ascii="Times New Roman" w:hAnsi="Times New Roman"/>
                <w:sz w:val="24"/>
              </w:rPr>
              <w:t>’</w:t>
            </w:r>
            <w:r w:rsidRPr="00D51A68">
              <w:rPr>
                <w:rFonts w:ascii="Times New Roman" w:hAnsi="Times New Roman"/>
                <w:sz w:val="24"/>
              </w:rPr>
              <w:t>articolo 338, paragrafi 2 e 3, del CRR. Per la distinzione tra posizioni lunghe e posizioni corte, applicabile anche a queste posizioni lorde, cfr. articolo 328, paragrafo 2, del CRR.</w:t>
            </w:r>
          </w:p>
          <w:p w:rsidR="000B0B09" w:rsidRPr="00D51A68" w:rsidRDefault="000B0B09" w:rsidP="000B0B09">
            <w:pPr>
              <w:autoSpaceDE w:val="0"/>
              <w:autoSpaceDN w:val="0"/>
              <w:adjustRightInd w:val="0"/>
              <w:spacing w:before="0" w:after="0"/>
              <w:rPr>
                <w:rFonts w:ascii="Times New Roman" w:hAnsi="Times New Roman"/>
                <w:sz w:val="24"/>
              </w:rPr>
            </w:pPr>
          </w:p>
        </w:tc>
      </w:tr>
      <w:tr w:rsidR="000B0B09" w:rsidRPr="00D51A68" w:rsidTr="00672D2A">
        <w:tc>
          <w:tcPr>
            <w:tcW w:w="988" w:type="dxa"/>
          </w:tcPr>
          <w:p w:rsidR="000B0B09" w:rsidRPr="00D51A68" w:rsidRDefault="000B0B09" w:rsidP="000F70EC">
            <w:pPr>
              <w:autoSpaceDE w:val="0"/>
              <w:autoSpaceDN w:val="0"/>
              <w:adjustRightInd w:val="0"/>
              <w:spacing w:before="0" w:after="0"/>
              <w:rPr>
                <w:rFonts w:ascii="Times New Roman" w:hAnsi="Times New Roman"/>
                <w:sz w:val="24"/>
              </w:rPr>
            </w:pPr>
            <w:r w:rsidRPr="00D51A68">
              <w:rPr>
                <w:rFonts w:ascii="Times New Roman" w:hAnsi="Times New Roman"/>
                <w:sz w:val="24"/>
              </w:rPr>
              <w:t>030-040</w:t>
            </w:r>
          </w:p>
        </w:tc>
        <w:tc>
          <w:tcPr>
            <w:tcW w:w="7874" w:type="dxa"/>
          </w:tcPr>
          <w:p w:rsidR="000B0B09" w:rsidRPr="00D51A68" w:rsidRDefault="000B0B09" w:rsidP="000B0B09">
            <w:pPr>
              <w:rPr>
                <w:rStyle w:val="InstructionsTabelleberschrift"/>
                <w:rFonts w:ascii="Times New Roman" w:hAnsi="Times New Roman"/>
                <w:sz w:val="24"/>
              </w:rPr>
            </w:pPr>
            <w:r w:rsidRPr="00D51A68">
              <w:rPr>
                <w:rStyle w:val="InstructionsTabelleberschrift"/>
                <w:rFonts w:ascii="Times New Roman" w:hAnsi="Times New Roman"/>
                <w:sz w:val="24"/>
              </w:rPr>
              <w:t>(-) POSIZIONI DEDOTTE DAI FONDI PROPRI (LUNGHE E CORTE)</w:t>
            </w:r>
          </w:p>
          <w:p w:rsidR="000B0B09" w:rsidRPr="00D51A68" w:rsidRDefault="000B0B09" w:rsidP="000B0B09">
            <w:pPr>
              <w:rPr>
                <w:rFonts w:ascii="Times New Roman" w:hAnsi="Times New Roman"/>
                <w:sz w:val="24"/>
              </w:rPr>
            </w:pPr>
            <w:r w:rsidRPr="00D51A68">
              <w:rPr>
                <w:rFonts w:ascii="Times New Roman" w:hAnsi="Times New Roman"/>
                <w:sz w:val="24"/>
              </w:rPr>
              <w:t xml:space="preserve">Articolo 258 del CRR. </w:t>
            </w:r>
          </w:p>
        </w:tc>
      </w:tr>
      <w:tr w:rsidR="000B0B09" w:rsidRPr="00D51A68" w:rsidTr="00672D2A">
        <w:tc>
          <w:tcPr>
            <w:tcW w:w="988" w:type="dxa"/>
          </w:tcPr>
          <w:p w:rsidR="000B0B09" w:rsidRPr="00D51A68" w:rsidRDefault="000B0B09" w:rsidP="000F70EC">
            <w:pPr>
              <w:autoSpaceDE w:val="0"/>
              <w:autoSpaceDN w:val="0"/>
              <w:adjustRightInd w:val="0"/>
              <w:spacing w:before="0" w:after="0"/>
              <w:rPr>
                <w:rFonts w:ascii="Times New Roman" w:hAnsi="Times New Roman"/>
                <w:sz w:val="24"/>
              </w:rPr>
            </w:pPr>
            <w:r w:rsidRPr="00D51A68">
              <w:rPr>
                <w:rFonts w:ascii="Times New Roman" w:hAnsi="Times New Roman"/>
                <w:sz w:val="24"/>
              </w:rPr>
              <w:t>050-060</w:t>
            </w:r>
          </w:p>
        </w:tc>
        <w:tc>
          <w:tcPr>
            <w:tcW w:w="7874" w:type="dxa"/>
          </w:tcPr>
          <w:p w:rsidR="000B0B09" w:rsidRPr="00D51A68" w:rsidRDefault="000B0B09" w:rsidP="000B0B09">
            <w:pPr>
              <w:rPr>
                <w:rStyle w:val="InstructionsTabelleberschrift"/>
                <w:rFonts w:ascii="Times New Roman" w:hAnsi="Times New Roman"/>
                <w:sz w:val="24"/>
              </w:rPr>
            </w:pPr>
            <w:r w:rsidRPr="00D51A68">
              <w:rPr>
                <w:rStyle w:val="InstructionsTabelleberschrift"/>
                <w:rFonts w:ascii="Times New Roman" w:hAnsi="Times New Roman"/>
                <w:sz w:val="24"/>
              </w:rPr>
              <w:t>POSIZIONI NETTE (LUNGHE E CORTE)</w:t>
            </w:r>
          </w:p>
          <w:p w:rsidR="000B0B09" w:rsidRPr="00D51A68" w:rsidRDefault="000B0B09" w:rsidP="000B0B09">
            <w:pPr>
              <w:rPr>
                <w:rFonts w:ascii="Times New Roman" w:hAnsi="Times New Roman"/>
                <w:sz w:val="24"/>
              </w:rPr>
            </w:pPr>
            <w:r w:rsidRPr="00D51A68">
              <w:rPr>
                <w:rFonts w:ascii="Times New Roman" w:hAnsi="Times New Roman"/>
                <w:sz w:val="24"/>
              </w:rPr>
              <w:t>Articoli da 327 a 329 e articolo 334 del CRR. Per la distinzione tra posizioni lunghe e posizioni corte cfr. articolo 328, paragrafo 2, del CRR.</w:t>
            </w:r>
          </w:p>
          <w:p w:rsidR="000B0B09" w:rsidRPr="00D51A68" w:rsidRDefault="000B0B09" w:rsidP="000B0B09">
            <w:pPr>
              <w:rPr>
                <w:rFonts w:ascii="Times New Roman" w:hAnsi="Times New Roman"/>
                <w:sz w:val="24"/>
              </w:rPr>
            </w:pPr>
          </w:p>
        </w:tc>
      </w:tr>
      <w:tr w:rsidR="000B0B09" w:rsidRPr="00D51A68" w:rsidTr="00672D2A">
        <w:tc>
          <w:tcPr>
            <w:tcW w:w="988" w:type="dxa"/>
          </w:tcPr>
          <w:p w:rsidR="000B0B09" w:rsidRPr="00D51A68" w:rsidRDefault="000B0B09" w:rsidP="000F70EC">
            <w:pPr>
              <w:autoSpaceDE w:val="0"/>
              <w:autoSpaceDN w:val="0"/>
              <w:adjustRightInd w:val="0"/>
              <w:spacing w:before="0" w:after="0"/>
              <w:rPr>
                <w:rFonts w:ascii="Times New Roman" w:hAnsi="Times New Roman"/>
                <w:sz w:val="24"/>
              </w:rPr>
            </w:pPr>
            <w:r w:rsidRPr="00D51A68">
              <w:rPr>
                <w:rFonts w:ascii="Times New Roman" w:hAnsi="Times New Roman"/>
                <w:sz w:val="24"/>
              </w:rPr>
              <w:t>070-400</w:t>
            </w:r>
          </w:p>
        </w:tc>
        <w:tc>
          <w:tcPr>
            <w:tcW w:w="7874" w:type="dxa"/>
          </w:tcPr>
          <w:p w:rsidR="000B0B09" w:rsidRPr="00D51A68" w:rsidRDefault="000B0B09" w:rsidP="000B0B09">
            <w:pPr>
              <w:rPr>
                <w:rStyle w:val="InstructionsTabelleberschrift"/>
                <w:rFonts w:ascii="Times New Roman" w:hAnsi="Times New Roman"/>
                <w:sz w:val="24"/>
              </w:rPr>
            </w:pPr>
            <w:r w:rsidRPr="00D51A68">
              <w:rPr>
                <w:rStyle w:val="InstructionsTabelleberschrift"/>
                <w:rFonts w:ascii="Times New Roman" w:hAnsi="Times New Roman"/>
                <w:sz w:val="24"/>
              </w:rPr>
              <w:t>RIPARTIZIONE DELLE POSIZIONI NETTE IN BASE AI FATTORI DI PONDERAZIONE DEL RISCHIO (METODO STANDARDIZZATO E METODO IRB)</w:t>
            </w:r>
          </w:p>
          <w:p w:rsidR="000B0B09" w:rsidRPr="00D51A68" w:rsidRDefault="000B0B09" w:rsidP="000B0B09">
            <w:pPr>
              <w:rPr>
                <w:rFonts w:ascii="Times New Roman" w:hAnsi="Times New Roman"/>
                <w:sz w:val="24"/>
              </w:rPr>
            </w:pPr>
            <w:r w:rsidRPr="00D51A68">
              <w:rPr>
                <w:rFonts w:ascii="Times New Roman" w:hAnsi="Times New Roman"/>
                <w:sz w:val="24"/>
              </w:rPr>
              <w:t xml:space="preserve">Articolo 251 (tabella 1) e articolo 261, paragrafo 1 (tabella 4), del CRR. </w:t>
            </w:r>
          </w:p>
        </w:tc>
      </w:tr>
      <w:tr w:rsidR="000B0B09" w:rsidRPr="00D51A68" w:rsidTr="00672D2A">
        <w:tc>
          <w:tcPr>
            <w:tcW w:w="988" w:type="dxa"/>
          </w:tcPr>
          <w:p w:rsidR="000B0B09" w:rsidRPr="00D51A68" w:rsidRDefault="000B0B09" w:rsidP="000B0B09">
            <w:pPr>
              <w:rPr>
                <w:rFonts w:ascii="Times New Roman" w:hAnsi="Times New Roman"/>
                <w:sz w:val="24"/>
              </w:rPr>
            </w:pPr>
            <w:r w:rsidRPr="00D51A68">
              <w:rPr>
                <w:rFonts w:ascii="Times New Roman" w:hAnsi="Times New Roman"/>
                <w:sz w:val="24"/>
              </w:rPr>
              <w:t>160 e 330</w:t>
            </w:r>
          </w:p>
          <w:p w:rsidR="000B0B09" w:rsidRPr="00D51A68" w:rsidRDefault="000B0B09" w:rsidP="000B0B09">
            <w:pPr>
              <w:autoSpaceDE w:val="0"/>
              <w:autoSpaceDN w:val="0"/>
              <w:adjustRightInd w:val="0"/>
              <w:spacing w:before="0" w:after="0"/>
              <w:rPr>
                <w:rFonts w:ascii="Times New Roman" w:hAnsi="Times New Roman"/>
                <w:sz w:val="24"/>
              </w:rPr>
            </w:pPr>
          </w:p>
        </w:tc>
        <w:tc>
          <w:tcPr>
            <w:tcW w:w="7874" w:type="dxa"/>
          </w:tcPr>
          <w:p w:rsidR="000B0B09" w:rsidRPr="00D51A68" w:rsidRDefault="000B0B09" w:rsidP="000B0B09">
            <w:pPr>
              <w:rPr>
                <w:rStyle w:val="InstructionsTabelleberschrift"/>
                <w:rFonts w:ascii="Times New Roman" w:hAnsi="Times New Roman"/>
                <w:sz w:val="24"/>
              </w:rPr>
            </w:pPr>
            <w:r w:rsidRPr="00D51A68">
              <w:rPr>
                <w:rStyle w:val="InstructionsTabelleberschrift"/>
                <w:rFonts w:ascii="Times New Roman" w:hAnsi="Times New Roman"/>
                <w:sz w:val="24"/>
              </w:rPr>
              <w:t>ALTRO</w:t>
            </w:r>
          </w:p>
          <w:p w:rsidR="000B0B09" w:rsidRPr="00D51A68" w:rsidRDefault="000B0B09" w:rsidP="000B0B09">
            <w:pPr>
              <w:rPr>
                <w:rFonts w:ascii="Times New Roman" w:hAnsi="Times New Roman"/>
                <w:sz w:val="24"/>
              </w:rPr>
            </w:pPr>
            <w:r w:rsidRPr="00D51A68">
              <w:rPr>
                <w:rFonts w:ascii="Times New Roman" w:hAnsi="Times New Roman"/>
                <w:sz w:val="24"/>
              </w:rPr>
              <w:t>Altri fattori di ponderazione del rischio non citati esplicitamente nelle colonne precedenti.</w:t>
            </w:r>
          </w:p>
          <w:p w:rsidR="000B0B09" w:rsidRPr="00D51A68" w:rsidRDefault="000B0B09" w:rsidP="000B0B09">
            <w:pPr>
              <w:rPr>
                <w:rFonts w:ascii="Times New Roman" w:hAnsi="Times New Roman"/>
                <w:sz w:val="24"/>
              </w:rPr>
            </w:pPr>
            <w:r w:rsidRPr="00D51A68">
              <w:rPr>
                <w:rFonts w:ascii="Times New Roman" w:hAnsi="Times New Roman"/>
                <w:sz w:val="24"/>
              </w:rPr>
              <w:t>Dei derivati su crediti di tipo nth-to-default si riportano in questa colonna soltanto quelli privi di rating esterno. I derivati su crediti di tipo nth-to-default dotati di rating esterno devono essere segnala</w:t>
            </w:r>
            <w:r w:rsidR="00941EC3" w:rsidRPr="00D51A68">
              <w:rPr>
                <w:rFonts w:ascii="Times New Roman" w:hAnsi="Times New Roman"/>
                <w:sz w:val="24"/>
              </w:rPr>
              <w:t>ti nel modello MKR SA TDI (riga </w:t>
            </w:r>
            <w:r w:rsidRPr="00D51A68">
              <w:rPr>
                <w:rFonts w:ascii="Times New Roman" w:hAnsi="Times New Roman"/>
                <w:sz w:val="24"/>
              </w:rPr>
              <w:t xml:space="preserve">321) oppure — se sono compresi nel portafoglio di negoziazione di correlazione — nella colonna del corrispondente fattore di ponderazione del rischio. </w:t>
            </w:r>
          </w:p>
        </w:tc>
      </w:tr>
      <w:tr w:rsidR="000B0B09" w:rsidRPr="00D51A68" w:rsidTr="00672D2A">
        <w:tc>
          <w:tcPr>
            <w:tcW w:w="988" w:type="dxa"/>
          </w:tcPr>
          <w:p w:rsidR="000B0B09" w:rsidRPr="00D51A68" w:rsidRDefault="000B0B09" w:rsidP="000B0B09">
            <w:pPr>
              <w:rPr>
                <w:rFonts w:ascii="Times New Roman" w:hAnsi="Times New Roman"/>
                <w:sz w:val="24"/>
              </w:rPr>
            </w:pPr>
            <w:r w:rsidRPr="00D51A68">
              <w:rPr>
                <w:rFonts w:ascii="Times New Roman" w:hAnsi="Times New Roman"/>
                <w:sz w:val="24"/>
              </w:rPr>
              <w:t>170-180 e 360-370</w:t>
            </w:r>
          </w:p>
          <w:p w:rsidR="000B0B09" w:rsidRPr="00D51A68" w:rsidRDefault="000B0B09" w:rsidP="000B0B09">
            <w:pPr>
              <w:autoSpaceDE w:val="0"/>
              <w:autoSpaceDN w:val="0"/>
              <w:adjustRightInd w:val="0"/>
              <w:spacing w:before="0" w:after="0"/>
              <w:rPr>
                <w:rFonts w:ascii="Times New Roman" w:hAnsi="Times New Roman"/>
                <w:sz w:val="24"/>
              </w:rPr>
            </w:pPr>
          </w:p>
        </w:tc>
        <w:tc>
          <w:tcPr>
            <w:tcW w:w="7874" w:type="dxa"/>
          </w:tcPr>
          <w:p w:rsidR="000B0B09" w:rsidRPr="00D51A68" w:rsidRDefault="000B0B09" w:rsidP="000B0B09">
            <w:pPr>
              <w:rPr>
                <w:rStyle w:val="InstructionsTabelleberschrift"/>
                <w:rFonts w:ascii="Times New Roman" w:hAnsi="Times New Roman"/>
                <w:sz w:val="24"/>
              </w:rPr>
            </w:pPr>
            <w:r w:rsidRPr="00D51A68">
              <w:rPr>
                <w:rStyle w:val="InstructionsTabelleberschrift"/>
                <w:rFonts w:ascii="Times New Roman" w:hAnsi="Times New Roman"/>
                <w:sz w:val="24"/>
              </w:rPr>
              <w:t>1</w:t>
            </w:r>
            <w:r w:rsidR="00FC1A76" w:rsidRPr="00D51A68">
              <w:rPr>
                <w:rStyle w:val="InstructionsTabelleberschrift"/>
                <w:rFonts w:ascii="Times New Roman" w:hAnsi="Times New Roman"/>
                <w:sz w:val="24"/>
              </w:rPr>
              <w:t> </w:t>
            </w:r>
            <w:r w:rsidRPr="00D51A68">
              <w:rPr>
                <w:rStyle w:val="InstructionsTabelleberschrift"/>
                <w:rFonts w:ascii="Times New Roman" w:hAnsi="Times New Roman"/>
                <w:sz w:val="24"/>
              </w:rPr>
              <w:t>250%</w:t>
            </w:r>
          </w:p>
          <w:p w:rsidR="000B0B09" w:rsidRPr="00D51A68" w:rsidRDefault="000B0B09" w:rsidP="000B0B09">
            <w:pPr>
              <w:rPr>
                <w:rFonts w:ascii="Times New Roman" w:hAnsi="Times New Roman"/>
                <w:sz w:val="24"/>
              </w:rPr>
            </w:pPr>
            <w:r w:rsidRPr="00D51A68">
              <w:rPr>
                <w:rFonts w:ascii="Times New Roman" w:hAnsi="Times New Roman"/>
                <w:sz w:val="24"/>
              </w:rPr>
              <w:t xml:space="preserve">Articolo 251 (tabella 1) e articolo 261, paragrafo 1 (tabella 4), del CRR. </w:t>
            </w:r>
          </w:p>
        </w:tc>
      </w:tr>
      <w:tr w:rsidR="000B0B09" w:rsidRPr="00D51A68" w:rsidTr="00672D2A">
        <w:tc>
          <w:tcPr>
            <w:tcW w:w="988" w:type="dxa"/>
          </w:tcPr>
          <w:p w:rsidR="000B0B09" w:rsidRPr="00D51A68" w:rsidRDefault="000B0B09" w:rsidP="000B0B09">
            <w:pPr>
              <w:rPr>
                <w:rFonts w:ascii="Times New Roman" w:hAnsi="Times New Roman"/>
                <w:sz w:val="24"/>
              </w:rPr>
            </w:pPr>
            <w:r w:rsidRPr="00D51A68">
              <w:rPr>
                <w:rFonts w:ascii="Times New Roman" w:hAnsi="Times New Roman"/>
                <w:sz w:val="24"/>
              </w:rPr>
              <w:t>190 - 200 e 340 - 350</w:t>
            </w:r>
          </w:p>
          <w:p w:rsidR="000B0B09" w:rsidRPr="00D51A68" w:rsidRDefault="000B0B09" w:rsidP="000B0B09">
            <w:pPr>
              <w:autoSpaceDE w:val="0"/>
              <w:autoSpaceDN w:val="0"/>
              <w:adjustRightInd w:val="0"/>
              <w:spacing w:before="0" w:after="0"/>
              <w:rPr>
                <w:rFonts w:ascii="Times New Roman" w:hAnsi="Times New Roman"/>
                <w:sz w:val="24"/>
              </w:rPr>
            </w:pPr>
          </w:p>
        </w:tc>
        <w:tc>
          <w:tcPr>
            <w:tcW w:w="7874" w:type="dxa"/>
          </w:tcPr>
          <w:p w:rsidR="000B0B09" w:rsidRPr="00D51A68" w:rsidRDefault="000B0B09" w:rsidP="000B0B09">
            <w:pPr>
              <w:rPr>
                <w:rStyle w:val="InstructionsTabelleberschrift"/>
                <w:rFonts w:ascii="Times New Roman" w:hAnsi="Times New Roman"/>
                <w:sz w:val="24"/>
              </w:rPr>
            </w:pPr>
            <w:r w:rsidRPr="00D51A68">
              <w:rPr>
                <w:rStyle w:val="InstructionsTabelleberschrift"/>
                <w:rFonts w:ascii="Times New Roman" w:hAnsi="Times New Roman"/>
                <w:sz w:val="24"/>
              </w:rPr>
              <w:t>METODO DELLA FORMULA DI VIGILANZA</w:t>
            </w:r>
          </w:p>
          <w:p w:rsidR="000B0B09" w:rsidRPr="00D51A68" w:rsidRDefault="000B0B09" w:rsidP="000B0B09">
            <w:pPr>
              <w:rPr>
                <w:rFonts w:ascii="Times New Roman" w:hAnsi="Times New Roman"/>
                <w:sz w:val="24"/>
              </w:rPr>
            </w:pPr>
            <w:r w:rsidRPr="00D51A68">
              <w:rPr>
                <w:rFonts w:ascii="Times New Roman" w:hAnsi="Times New Roman"/>
                <w:sz w:val="24"/>
              </w:rPr>
              <w:t>Articolo 337, paragrafo 2, del CRR in combinato disposto con l</w:t>
            </w:r>
            <w:r w:rsidR="0009277C" w:rsidRPr="00D51A68">
              <w:rPr>
                <w:rFonts w:ascii="Times New Roman" w:hAnsi="Times New Roman"/>
                <w:sz w:val="24"/>
              </w:rPr>
              <w:t>’</w:t>
            </w:r>
            <w:r w:rsidRPr="00D51A68">
              <w:rPr>
                <w:rFonts w:ascii="Times New Roman" w:hAnsi="Times New Roman"/>
                <w:sz w:val="24"/>
              </w:rPr>
              <w:t xml:space="preserve">articolo 262 del CRR. </w:t>
            </w:r>
          </w:p>
        </w:tc>
      </w:tr>
      <w:tr w:rsidR="000B0B09" w:rsidRPr="00D51A68" w:rsidTr="00672D2A">
        <w:tc>
          <w:tcPr>
            <w:tcW w:w="988" w:type="dxa"/>
          </w:tcPr>
          <w:p w:rsidR="000B0B09" w:rsidRPr="00D51A68" w:rsidRDefault="000B0B09" w:rsidP="000B0B09">
            <w:pPr>
              <w:rPr>
                <w:rFonts w:ascii="Times New Roman" w:hAnsi="Times New Roman"/>
                <w:sz w:val="24"/>
              </w:rPr>
            </w:pPr>
            <w:r w:rsidRPr="00D51A68">
              <w:rPr>
                <w:rFonts w:ascii="Times New Roman" w:hAnsi="Times New Roman"/>
                <w:sz w:val="24"/>
              </w:rPr>
              <w:t>210 / 380</w:t>
            </w:r>
          </w:p>
          <w:p w:rsidR="000B0B09" w:rsidRPr="00D51A68" w:rsidRDefault="000B0B09" w:rsidP="000B0B09">
            <w:pPr>
              <w:autoSpaceDE w:val="0"/>
              <w:autoSpaceDN w:val="0"/>
              <w:adjustRightInd w:val="0"/>
              <w:spacing w:before="0" w:after="0"/>
              <w:rPr>
                <w:rFonts w:ascii="Times New Roman" w:hAnsi="Times New Roman"/>
                <w:sz w:val="24"/>
              </w:rPr>
            </w:pPr>
          </w:p>
        </w:tc>
        <w:tc>
          <w:tcPr>
            <w:tcW w:w="7874" w:type="dxa"/>
          </w:tcPr>
          <w:p w:rsidR="000B0B09" w:rsidRPr="00D51A68" w:rsidRDefault="000B0B09" w:rsidP="000B0B09">
            <w:pPr>
              <w:rPr>
                <w:rStyle w:val="InstructionsTabelleberschrift"/>
                <w:rFonts w:ascii="Times New Roman" w:hAnsi="Times New Roman"/>
                <w:sz w:val="24"/>
              </w:rPr>
            </w:pPr>
            <w:r w:rsidRPr="00D51A68">
              <w:rPr>
                <w:rStyle w:val="InstructionsTabelleberschrift"/>
                <w:rFonts w:ascii="Times New Roman" w:hAnsi="Times New Roman"/>
                <w:sz w:val="24"/>
              </w:rPr>
              <w:t>METODO LOOK-THROUGH</w:t>
            </w:r>
          </w:p>
          <w:p w:rsidR="000B0B09" w:rsidRPr="00D51A68" w:rsidRDefault="000B0B09" w:rsidP="000B0B09">
            <w:pPr>
              <w:rPr>
                <w:rFonts w:ascii="Times New Roman" w:hAnsi="Times New Roman"/>
                <w:sz w:val="24"/>
              </w:rPr>
            </w:pPr>
            <w:r w:rsidRPr="00D51A68">
              <w:rPr>
                <w:rFonts w:ascii="Times New Roman" w:hAnsi="Times New Roman"/>
                <w:sz w:val="24"/>
              </w:rPr>
              <w:t>Metodo standardizzato: articoli 253 e 254 e articolo 256, paragrafo 5, del CRR. Le colonne relative al metodo look-through comprendono tutti i casi di esposizioni prive di rating il cui fattore di ponderazione del rischio si ricava dal portafoglio di esposizioni sottostante (fattore medio di ponderazione del rischio del pool, fattore più elevato di ponderazione del rischio del pool o utilizzo di un coefficiente di concentrazione).</w:t>
            </w:r>
          </w:p>
          <w:p w:rsidR="000B0B09" w:rsidRPr="00D51A68" w:rsidRDefault="000B0B09" w:rsidP="000B0B09">
            <w:pPr>
              <w:rPr>
                <w:rFonts w:ascii="Times New Roman" w:hAnsi="Times New Roman"/>
                <w:sz w:val="24"/>
              </w:rPr>
            </w:pPr>
            <w:r w:rsidRPr="00D51A68">
              <w:rPr>
                <w:rFonts w:ascii="Times New Roman" w:hAnsi="Times New Roman"/>
                <w:sz w:val="24"/>
              </w:rPr>
              <w:t>Metodo IRB: articolo 263, paragrafi 2 e 3, del CRR. Per i rimborsi anticipati cfr. articolo 265, paragrafo 1, e articolo 256, paragrafo 5, del CRR.</w:t>
            </w:r>
          </w:p>
        </w:tc>
      </w:tr>
      <w:tr w:rsidR="000B0B09" w:rsidRPr="00D51A68" w:rsidTr="00672D2A">
        <w:tc>
          <w:tcPr>
            <w:tcW w:w="988" w:type="dxa"/>
          </w:tcPr>
          <w:p w:rsidR="000B0B09" w:rsidRPr="00D51A68" w:rsidRDefault="000B0B09" w:rsidP="000B0B09">
            <w:pPr>
              <w:rPr>
                <w:rFonts w:ascii="Times New Roman" w:hAnsi="Times New Roman"/>
                <w:sz w:val="24"/>
              </w:rPr>
            </w:pPr>
            <w:r w:rsidRPr="00D51A68">
              <w:rPr>
                <w:rFonts w:ascii="Times New Roman" w:hAnsi="Times New Roman"/>
                <w:sz w:val="24"/>
              </w:rPr>
              <w:t>220-230 e 390-400</w:t>
            </w:r>
          </w:p>
          <w:p w:rsidR="000B0B09" w:rsidRPr="00D51A68" w:rsidRDefault="000B0B09" w:rsidP="000B0B09">
            <w:pPr>
              <w:autoSpaceDE w:val="0"/>
              <w:autoSpaceDN w:val="0"/>
              <w:adjustRightInd w:val="0"/>
              <w:spacing w:before="0" w:after="0"/>
              <w:rPr>
                <w:rFonts w:ascii="Times New Roman" w:hAnsi="Times New Roman"/>
                <w:sz w:val="24"/>
              </w:rPr>
            </w:pPr>
          </w:p>
        </w:tc>
        <w:tc>
          <w:tcPr>
            <w:tcW w:w="7874" w:type="dxa"/>
          </w:tcPr>
          <w:p w:rsidR="000B0B09" w:rsidRPr="00D51A68" w:rsidRDefault="000B0B09" w:rsidP="000B0B09">
            <w:pPr>
              <w:rPr>
                <w:rStyle w:val="InstructionsTabelleberschrift"/>
                <w:rFonts w:ascii="Times New Roman" w:hAnsi="Times New Roman"/>
                <w:sz w:val="24"/>
              </w:rPr>
            </w:pPr>
            <w:r w:rsidRPr="00D51A68">
              <w:rPr>
                <w:rStyle w:val="InstructionsTabelleberschrift"/>
                <w:rFonts w:ascii="Times New Roman" w:hAnsi="Times New Roman"/>
                <w:sz w:val="24"/>
              </w:rPr>
              <w:t>METODO DELLA VALUTAZIONE INTERNA</w:t>
            </w:r>
          </w:p>
          <w:p w:rsidR="000B0B09" w:rsidRPr="00D51A68" w:rsidRDefault="000B0B09" w:rsidP="000B0B09">
            <w:pPr>
              <w:rPr>
                <w:rFonts w:ascii="Times New Roman" w:hAnsi="Times New Roman"/>
                <w:sz w:val="24"/>
              </w:rPr>
            </w:pPr>
            <w:r w:rsidRPr="00D51A68">
              <w:rPr>
                <w:rFonts w:ascii="Times New Roman" w:hAnsi="Times New Roman"/>
                <w:sz w:val="24"/>
              </w:rPr>
              <w:t xml:space="preserve">Articolo 259, paragrafi 3 e 4, del CRR. </w:t>
            </w:r>
          </w:p>
        </w:tc>
      </w:tr>
      <w:tr w:rsidR="000B0B09" w:rsidRPr="00D51A68" w:rsidTr="00672D2A">
        <w:tc>
          <w:tcPr>
            <w:tcW w:w="988" w:type="dxa"/>
          </w:tcPr>
          <w:p w:rsidR="000B0B09" w:rsidRPr="00D51A68" w:rsidRDefault="000B0B09" w:rsidP="000B0B09">
            <w:pPr>
              <w:rPr>
                <w:rFonts w:ascii="Times New Roman" w:hAnsi="Times New Roman"/>
                <w:sz w:val="24"/>
              </w:rPr>
            </w:pPr>
            <w:r w:rsidRPr="00D51A68">
              <w:rPr>
                <w:rFonts w:ascii="Times New Roman" w:hAnsi="Times New Roman"/>
                <w:sz w:val="24"/>
              </w:rPr>
              <w:t>410-420</w:t>
            </w:r>
          </w:p>
          <w:p w:rsidR="000B0B09" w:rsidRPr="00D51A68" w:rsidRDefault="000B0B09" w:rsidP="000B0B09">
            <w:pPr>
              <w:autoSpaceDE w:val="0"/>
              <w:autoSpaceDN w:val="0"/>
              <w:adjustRightInd w:val="0"/>
              <w:spacing w:before="0" w:after="0"/>
              <w:rPr>
                <w:rFonts w:ascii="Times New Roman" w:hAnsi="Times New Roman"/>
                <w:sz w:val="24"/>
              </w:rPr>
            </w:pPr>
          </w:p>
        </w:tc>
        <w:tc>
          <w:tcPr>
            <w:tcW w:w="7874" w:type="dxa"/>
          </w:tcPr>
          <w:p w:rsidR="000B0B09" w:rsidRPr="00D51A68" w:rsidRDefault="000B0B09" w:rsidP="000B0B09">
            <w:pPr>
              <w:rPr>
                <w:rStyle w:val="InstructionsTabelleberschrift"/>
                <w:rFonts w:ascii="Times New Roman" w:hAnsi="Times New Roman"/>
                <w:sz w:val="24"/>
              </w:rPr>
            </w:pPr>
            <w:r w:rsidRPr="00D51A68">
              <w:rPr>
                <w:rStyle w:val="InstructionsTabelleberschrift"/>
                <w:rFonts w:ascii="Times New Roman" w:hAnsi="Times New Roman"/>
                <w:sz w:val="24"/>
              </w:rPr>
              <w:t>PRIMA DELL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APPLICAZIONE DEL MASSIMALE — POSIZIONI NETTE LUNGHE/CORTE PONDERATE</w:t>
            </w:r>
          </w:p>
          <w:p w:rsidR="000B0B09" w:rsidRPr="00D51A68" w:rsidRDefault="000B0B09" w:rsidP="000B0B09">
            <w:pPr>
              <w:rPr>
                <w:rFonts w:ascii="Times New Roman" w:hAnsi="Times New Roman"/>
                <w:sz w:val="24"/>
              </w:rPr>
            </w:pPr>
            <w:r w:rsidRPr="00D51A68">
              <w:rPr>
                <w:rFonts w:ascii="Times New Roman" w:hAnsi="Times New Roman"/>
                <w:sz w:val="24"/>
              </w:rPr>
              <w:t>Articolo 338 senza tener conto della facoltà di cui all</w:t>
            </w:r>
            <w:r w:rsidR="0009277C" w:rsidRPr="00D51A68">
              <w:rPr>
                <w:rFonts w:ascii="Times New Roman" w:hAnsi="Times New Roman"/>
                <w:sz w:val="24"/>
              </w:rPr>
              <w:t>’</w:t>
            </w:r>
            <w:r w:rsidRPr="00D51A68">
              <w:rPr>
                <w:rFonts w:ascii="Times New Roman" w:hAnsi="Times New Roman"/>
                <w:sz w:val="24"/>
              </w:rPr>
              <w:t>articolo 335 del CRR.</w:t>
            </w:r>
          </w:p>
          <w:p w:rsidR="000B0B09" w:rsidRPr="00D51A68" w:rsidRDefault="000B0B09" w:rsidP="000B0B09">
            <w:pPr>
              <w:rPr>
                <w:rFonts w:ascii="Times New Roman" w:hAnsi="Times New Roman"/>
                <w:sz w:val="24"/>
              </w:rPr>
            </w:pPr>
          </w:p>
        </w:tc>
      </w:tr>
      <w:tr w:rsidR="000B0B09" w:rsidRPr="00D51A68" w:rsidTr="00672D2A">
        <w:tc>
          <w:tcPr>
            <w:tcW w:w="988" w:type="dxa"/>
          </w:tcPr>
          <w:p w:rsidR="000B0B09" w:rsidRPr="00D51A68" w:rsidRDefault="000B0B09" w:rsidP="000B0B09">
            <w:pPr>
              <w:rPr>
                <w:rFonts w:ascii="Times New Roman" w:hAnsi="Times New Roman"/>
                <w:sz w:val="24"/>
              </w:rPr>
            </w:pPr>
            <w:r w:rsidRPr="00D51A68">
              <w:rPr>
                <w:rFonts w:ascii="Times New Roman" w:hAnsi="Times New Roman"/>
                <w:sz w:val="24"/>
              </w:rPr>
              <w:t>430-440</w:t>
            </w:r>
          </w:p>
          <w:p w:rsidR="000B0B09" w:rsidRPr="00D51A68" w:rsidRDefault="000B0B09" w:rsidP="000B0B09">
            <w:pPr>
              <w:autoSpaceDE w:val="0"/>
              <w:autoSpaceDN w:val="0"/>
              <w:adjustRightInd w:val="0"/>
              <w:spacing w:before="0" w:after="0"/>
              <w:rPr>
                <w:rFonts w:ascii="Times New Roman" w:hAnsi="Times New Roman"/>
                <w:sz w:val="24"/>
              </w:rPr>
            </w:pPr>
          </w:p>
        </w:tc>
        <w:tc>
          <w:tcPr>
            <w:tcW w:w="7874" w:type="dxa"/>
          </w:tcPr>
          <w:p w:rsidR="000B0B09" w:rsidRPr="00D51A68" w:rsidRDefault="000B0B09" w:rsidP="000B0B09">
            <w:pPr>
              <w:rPr>
                <w:rStyle w:val="InstructionsTabelleberschrift"/>
                <w:rFonts w:ascii="Times New Roman" w:hAnsi="Times New Roman"/>
                <w:sz w:val="24"/>
              </w:rPr>
            </w:pPr>
            <w:r w:rsidRPr="00D51A68">
              <w:rPr>
                <w:rStyle w:val="InstructionsTabelleberschrift"/>
                <w:rFonts w:ascii="Times New Roman" w:hAnsi="Times New Roman"/>
                <w:sz w:val="24"/>
              </w:rPr>
              <w:t>DOPO 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APPLICAZIONE DEL MASSIMALE — POSIZIONI NETTE LUNGHE/CORTE PONDERATE</w:t>
            </w:r>
          </w:p>
          <w:p w:rsidR="000B0B09" w:rsidRPr="00D51A68" w:rsidRDefault="000B0B09" w:rsidP="000B0B09">
            <w:pPr>
              <w:rPr>
                <w:rFonts w:ascii="Times New Roman" w:hAnsi="Times New Roman"/>
                <w:sz w:val="24"/>
              </w:rPr>
            </w:pPr>
            <w:r w:rsidRPr="00D51A68">
              <w:rPr>
                <w:rFonts w:ascii="Times New Roman" w:hAnsi="Times New Roman"/>
                <w:sz w:val="24"/>
              </w:rPr>
              <w:t>Articolo 338 tenendo conto della facoltà di cui all</w:t>
            </w:r>
            <w:r w:rsidR="0009277C" w:rsidRPr="00D51A68">
              <w:rPr>
                <w:rFonts w:ascii="Times New Roman" w:hAnsi="Times New Roman"/>
                <w:sz w:val="24"/>
              </w:rPr>
              <w:t>’</w:t>
            </w:r>
            <w:r w:rsidRPr="00D51A68">
              <w:rPr>
                <w:rFonts w:ascii="Times New Roman" w:hAnsi="Times New Roman"/>
                <w:sz w:val="24"/>
              </w:rPr>
              <w:t xml:space="preserve">articolo 335 del CRR. </w:t>
            </w:r>
          </w:p>
        </w:tc>
      </w:tr>
      <w:tr w:rsidR="000B0B09" w:rsidRPr="00D51A68" w:rsidTr="00672D2A">
        <w:tc>
          <w:tcPr>
            <w:tcW w:w="988" w:type="dxa"/>
          </w:tcPr>
          <w:p w:rsidR="000B0B09" w:rsidRPr="00D51A68" w:rsidRDefault="000B0B09" w:rsidP="000B0B09">
            <w:pPr>
              <w:rPr>
                <w:rFonts w:ascii="Times New Roman" w:hAnsi="Times New Roman"/>
                <w:sz w:val="24"/>
              </w:rPr>
            </w:pPr>
            <w:r w:rsidRPr="00D51A68">
              <w:rPr>
                <w:rFonts w:ascii="Times New Roman" w:hAnsi="Times New Roman"/>
                <w:sz w:val="24"/>
              </w:rPr>
              <w:t>450</w:t>
            </w:r>
          </w:p>
          <w:p w:rsidR="000B0B09" w:rsidRPr="00D51A68" w:rsidRDefault="000B0B09" w:rsidP="000B0B09">
            <w:pPr>
              <w:autoSpaceDE w:val="0"/>
              <w:autoSpaceDN w:val="0"/>
              <w:adjustRightInd w:val="0"/>
              <w:spacing w:before="0" w:after="0"/>
              <w:rPr>
                <w:rFonts w:ascii="Times New Roman" w:hAnsi="Times New Roman"/>
                <w:sz w:val="24"/>
              </w:rPr>
            </w:pPr>
          </w:p>
        </w:tc>
        <w:tc>
          <w:tcPr>
            <w:tcW w:w="7874" w:type="dxa"/>
          </w:tcPr>
          <w:p w:rsidR="000B0B09" w:rsidRPr="00D51A68" w:rsidRDefault="000B0B09" w:rsidP="000B0B09">
            <w:pPr>
              <w:rPr>
                <w:rStyle w:val="InstructionsTabelleberschrift"/>
                <w:rFonts w:ascii="Times New Roman" w:hAnsi="Times New Roman"/>
                <w:sz w:val="24"/>
              </w:rPr>
            </w:pPr>
            <w:r w:rsidRPr="00D51A68">
              <w:rPr>
                <w:rStyle w:val="InstructionsTabelleberschrift"/>
                <w:rFonts w:ascii="Times New Roman" w:hAnsi="Times New Roman"/>
                <w:sz w:val="24"/>
              </w:rPr>
              <w:t>REQUISITI DI FONDI PROPRI TOTALI</w:t>
            </w:r>
          </w:p>
          <w:p w:rsidR="000B0B09" w:rsidRPr="00D51A68" w:rsidRDefault="000B0B09" w:rsidP="00E871FE">
            <w:pPr>
              <w:rPr>
                <w:rFonts w:ascii="Times New Roman" w:hAnsi="Times New Roman"/>
                <w:sz w:val="24"/>
              </w:rPr>
            </w:pPr>
            <w:r w:rsidRPr="00D51A68">
              <w:rPr>
                <w:rFonts w:ascii="Times New Roman" w:hAnsi="Times New Roman"/>
                <w:sz w:val="24"/>
              </w:rPr>
              <w:t xml:space="preserve">Il requisito di fondi propri è il valore maggiore tra (i) la copertura patrimoniale per il rischio specifico che si applica solo alle </w:t>
            </w:r>
            <w:r w:rsidR="00941EC3" w:rsidRPr="00D51A68">
              <w:rPr>
                <w:rFonts w:ascii="Times New Roman" w:hAnsi="Times New Roman"/>
                <w:sz w:val="24"/>
              </w:rPr>
              <w:t>posizioni nette lunghe (colonna </w:t>
            </w:r>
            <w:r w:rsidRPr="00D51A68">
              <w:rPr>
                <w:rFonts w:ascii="Times New Roman" w:hAnsi="Times New Roman"/>
                <w:sz w:val="24"/>
              </w:rPr>
              <w:t>430) e (ii) la copertura patrimoniale per il rischio specifico che si applica solo alle posizioni nette corte (colonna 440).</w:t>
            </w:r>
          </w:p>
        </w:tc>
      </w:tr>
    </w:tbl>
    <w:p w:rsidR="000B0B09" w:rsidRPr="00D51A68" w:rsidRDefault="000B0B09" w:rsidP="00E70AB0">
      <w:pPr>
        <w:autoSpaceDE w:val="0"/>
        <w:autoSpaceDN w:val="0"/>
        <w:adjustRightInd w:val="0"/>
        <w:spacing w:before="0" w:after="0"/>
        <w:rPr>
          <w:rFonts w:ascii="Times New Roman" w:hAnsi="Times New Roman"/>
          <w:sz w:val="24"/>
        </w:rPr>
      </w:pPr>
    </w:p>
    <w:p w:rsidR="00DE48EF" w:rsidRPr="00D51A68" w:rsidRDefault="00DE48EF" w:rsidP="00E70AB0">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8204"/>
      </w:tblGrid>
      <w:tr w:rsidR="000B0B09" w:rsidRPr="00D51A68" w:rsidTr="00672D2A">
        <w:trPr>
          <w:trHeight w:val="642"/>
        </w:trPr>
        <w:tc>
          <w:tcPr>
            <w:tcW w:w="9212" w:type="dxa"/>
            <w:gridSpan w:val="2"/>
            <w:shd w:val="clear" w:color="auto" w:fill="CCCCCC"/>
          </w:tcPr>
          <w:p w:rsidR="000B0B09" w:rsidRPr="00D51A68" w:rsidRDefault="000B0B09" w:rsidP="000B0B09">
            <w:pPr>
              <w:autoSpaceDE w:val="0"/>
              <w:autoSpaceDN w:val="0"/>
              <w:adjustRightInd w:val="0"/>
              <w:spacing w:after="0"/>
              <w:rPr>
                <w:rFonts w:ascii="Times New Roman" w:hAnsi="Times New Roman"/>
                <w:b/>
                <w:sz w:val="24"/>
              </w:rPr>
            </w:pPr>
            <w:r w:rsidRPr="00D51A68">
              <w:rPr>
                <w:rFonts w:ascii="Times New Roman" w:hAnsi="Times New Roman"/>
                <w:b/>
                <w:sz w:val="24"/>
              </w:rPr>
              <w:t>Righe</w:t>
            </w:r>
          </w:p>
        </w:tc>
      </w:tr>
      <w:tr w:rsidR="000B0B09" w:rsidRPr="00D51A68" w:rsidTr="00672D2A">
        <w:tc>
          <w:tcPr>
            <w:tcW w:w="1008" w:type="dxa"/>
          </w:tcPr>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010</w:t>
            </w:r>
          </w:p>
        </w:tc>
        <w:tc>
          <w:tcPr>
            <w:tcW w:w="8204" w:type="dxa"/>
          </w:tcPr>
          <w:p w:rsidR="000B0B09" w:rsidRPr="00D51A68" w:rsidRDefault="000B0B09" w:rsidP="000B0B09">
            <w:pPr>
              <w:rPr>
                <w:rStyle w:val="InstructionsTabelleberschrift"/>
                <w:rFonts w:ascii="Times New Roman" w:hAnsi="Times New Roman"/>
                <w:sz w:val="24"/>
              </w:rPr>
            </w:pPr>
            <w:r w:rsidRPr="00D51A68">
              <w:rPr>
                <w:rStyle w:val="InstructionsTabelleberschrift"/>
                <w:rFonts w:ascii="Times New Roman" w:hAnsi="Times New Roman"/>
                <w:sz w:val="24"/>
              </w:rPr>
              <w:t>ESPOSIZIONI TOTALI</w:t>
            </w:r>
          </w:p>
          <w:p w:rsidR="000B0B09" w:rsidRPr="00D51A68" w:rsidRDefault="000B0B09" w:rsidP="000B0B09">
            <w:pPr>
              <w:rPr>
                <w:rFonts w:ascii="Times New Roman" w:hAnsi="Times New Roman"/>
                <w:sz w:val="24"/>
              </w:rPr>
            </w:pPr>
            <w:r w:rsidRPr="00D51A68">
              <w:rPr>
                <w:rFonts w:ascii="Times New Roman" w:hAnsi="Times New Roman"/>
                <w:sz w:val="24"/>
              </w:rPr>
              <w:t>Importo complessivo delle posizioni in essere (detenute nel portafoglio di negoziazione di correlazione) segnalate dall</w:t>
            </w:r>
            <w:r w:rsidR="0009277C" w:rsidRPr="00D51A68">
              <w:rPr>
                <w:rFonts w:ascii="Times New Roman" w:hAnsi="Times New Roman"/>
                <w:sz w:val="24"/>
              </w:rPr>
              <w:t>’</w:t>
            </w:r>
            <w:r w:rsidRPr="00D51A68">
              <w:rPr>
                <w:rFonts w:ascii="Times New Roman" w:hAnsi="Times New Roman"/>
                <w:sz w:val="24"/>
              </w:rPr>
              <w:t>ente nel o nei suoi ruoli di cedente, investitore o promotore.</w:t>
            </w:r>
          </w:p>
        </w:tc>
      </w:tr>
      <w:tr w:rsidR="000B0B09" w:rsidRPr="00D51A68" w:rsidTr="00672D2A">
        <w:tc>
          <w:tcPr>
            <w:tcW w:w="1008" w:type="dxa"/>
          </w:tcPr>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020-040</w:t>
            </w:r>
          </w:p>
        </w:tc>
        <w:tc>
          <w:tcPr>
            <w:tcW w:w="8204" w:type="dxa"/>
          </w:tcPr>
          <w:p w:rsidR="000B0B09" w:rsidRPr="00D51A68" w:rsidRDefault="000B0B09" w:rsidP="000B0B09">
            <w:pPr>
              <w:rPr>
                <w:rStyle w:val="InstructionsTabelleberschrift"/>
                <w:rFonts w:ascii="Times New Roman" w:hAnsi="Times New Roman"/>
                <w:sz w:val="24"/>
              </w:rPr>
            </w:pPr>
            <w:r w:rsidRPr="00D51A68">
              <w:rPr>
                <w:rStyle w:val="InstructionsTabelleberschrift"/>
                <w:rFonts w:ascii="Times New Roman" w:hAnsi="Times New Roman"/>
                <w:sz w:val="24"/>
              </w:rPr>
              <w:t>CEDENTE</w:t>
            </w:r>
          </w:p>
          <w:p w:rsidR="000B0B09" w:rsidRPr="00D51A68" w:rsidRDefault="000B0B09" w:rsidP="00104A65">
            <w:pPr>
              <w:rPr>
                <w:rFonts w:ascii="Times New Roman" w:hAnsi="Times New Roman"/>
                <w:sz w:val="24"/>
              </w:rPr>
            </w:pPr>
            <w:r w:rsidRPr="00D51A68">
              <w:rPr>
                <w:rFonts w:ascii="Times New Roman" w:hAnsi="Times New Roman"/>
                <w:sz w:val="24"/>
              </w:rPr>
              <w:t xml:space="preserve">Articolo 4, paragrafo 13, del CRR </w:t>
            </w:r>
          </w:p>
        </w:tc>
      </w:tr>
      <w:tr w:rsidR="000B0B09" w:rsidRPr="00D51A68" w:rsidTr="00672D2A">
        <w:tc>
          <w:tcPr>
            <w:tcW w:w="1008" w:type="dxa"/>
          </w:tcPr>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050-070</w:t>
            </w:r>
          </w:p>
        </w:tc>
        <w:tc>
          <w:tcPr>
            <w:tcW w:w="8204" w:type="dxa"/>
          </w:tcPr>
          <w:p w:rsidR="000B0B09" w:rsidRPr="00D51A68" w:rsidRDefault="000B0B09" w:rsidP="000B0B09">
            <w:pPr>
              <w:rPr>
                <w:rStyle w:val="InstructionsTabelleberschrift"/>
                <w:rFonts w:ascii="Times New Roman" w:hAnsi="Times New Roman"/>
                <w:sz w:val="24"/>
              </w:rPr>
            </w:pPr>
            <w:r w:rsidRPr="00D51A68">
              <w:rPr>
                <w:rStyle w:val="InstructionsTabelleberschrift"/>
                <w:rFonts w:ascii="Times New Roman" w:hAnsi="Times New Roman"/>
                <w:sz w:val="24"/>
              </w:rPr>
              <w:t>INVESTITORE</w:t>
            </w:r>
          </w:p>
          <w:p w:rsidR="000B0B09" w:rsidRPr="00D51A68" w:rsidRDefault="000B0B09" w:rsidP="00DE48EF">
            <w:pPr>
              <w:rPr>
                <w:rFonts w:ascii="Times New Roman" w:hAnsi="Times New Roman"/>
                <w:sz w:val="24"/>
              </w:rPr>
            </w:pPr>
            <w:r w:rsidRPr="00D51A68">
              <w:rPr>
                <w:rFonts w:ascii="Times New Roman" w:hAnsi="Times New Roman"/>
                <w:sz w:val="24"/>
              </w:rPr>
              <w:t>Ente creditizio che detiene posizioni verso la cartolarizzazione in un</w:t>
            </w:r>
            <w:r w:rsidR="0009277C" w:rsidRPr="00D51A68">
              <w:rPr>
                <w:rFonts w:ascii="Times New Roman" w:hAnsi="Times New Roman"/>
                <w:sz w:val="24"/>
              </w:rPr>
              <w:t>’</w:t>
            </w:r>
            <w:r w:rsidRPr="00D51A68">
              <w:rPr>
                <w:rFonts w:ascii="Times New Roman" w:hAnsi="Times New Roman"/>
                <w:sz w:val="24"/>
              </w:rPr>
              <w:t>operazione di cartolarizzazione nella quale non è né il cedente né il promotore.</w:t>
            </w:r>
          </w:p>
        </w:tc>
      </w:tr>
      <w:tr w:rsidR="000B0B09" w:rsidRPr="00D51A68" w:rsidTr="00672D2A">
        <w:tc>
          <w:tcPr>
            <w:tcW w:w="1008" w:type="dxa"/>
          </w:tcPr>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080-100</w:t>
            </w:r>
          </w:p>
        </w:tc>
        <w:tc>
          <w:tcPr>
            <w:tcW w:w="8204" w:type="dxa"/>
          </w:tcPr>
          <w:p w:rsidR="000B0B09" w:rsidRPr="00D51A68" w:rsidRDefault="000B0B09" w:rsidP="000B0B09">
            <w:pPr>
              <w:rPr>
                <w:rStyle w:val="InstructionsTabelleberschrift"/>
                <w:rFonts w:ascii="Times New Roman" w:hAnsi="Times New Roman"/>
                <w:sz w:val="24"/>
              </w:rPr>
            </w:pPr>
            <w:r w:rsidRPr="00D51A68">
              <w:rPr>
                <w:rStyle w:val="InstructionsTabelleberschrift"/>
                <w:rFonts w:ascii="Times New Roman" w:hAnsi="Times New Roman"/>
                <w:sz w:val="24"/>
              </w:rPr>
              <w:t>PROMOTORE</w:t>
            </w:r>
          </w:p>
          <w:p w:rsidR="000B0B09" w:rsidRPr="00D51A68" w:rsidRDefault="000B0B09" w:rsidP="00DA040A">
            <w:pPr>
              <w:rPr>
                <w:rFonts w:ascii="Times New Roman" w:hAnsi="Times New Roman"/>
                <w:sz w:val="24"/>
              </w:rPr>
            </w:pPr>
            <w:r w:rsidRPr="00D51A68">
              <w:rPr>
                <w:rFonts w:ascii="Times New Roman" w:hAnsi="Times New Roman"/>
                <w:sz w:val="24"/>
              </w:rPr>
              <w:t xml:space="preserve">Articolo 4, paragrafo 14, del CRR. Se cartolarizza anche attività proprie, il promotore inserisce nelle righe dedicate al cedente le informazioni relative alle proprie attività cartolarizzate. </w:t>
            </w:r>
          </w:p>
        </w:tc>
      </w:tr>
      <w:tr w:rsidR="000B0B09" w:rsidRPr="00D51A68" w:rsidTr="00672D2A">
        <w:tc>
          <w:tcPr>
            <w:tcW w:w="1008" w:type="dxa"/>
          </w:tcPr>
          <w:p w:rsidR="000B0B09" w:rsidRPr="00D51A68" w:rsidRDefault="000B0B09" w:rsidP="00B74792">
            <w:pPr>
              <w:autoSpaceDE w:val="0"/>
              <w:autoSpaceDN w:val="0"/>
              <w:adjustRightInd w:val="0"/>
              <w:spacing w:before="0" w:after="0"/>
              <w:rPr>
                <w:rFonts w:ascii="Times New Roman" w:hAnsi="Times New Roman"/>
                <w:sz w:val="24"/>
              </w:rPr>
            </w:pPr>
            <w:r w:rsidRPr="00D51A68">
              <w:rPr>
                <w:rFonts w:ascii="Times New Roman" w:hAnsi="Times New Roman"/>
                <w:sz w:val="24"/>
              </w:rPr>
              <w:t>030.060 e 090</w:t>
            </w:r>
          </w:p>
        </w:tc>
        <w:tc>
          <w:tcPr>
            <w:tcW w:w="8204" w:type="dxa"/>
          </w:tcPr>
          <w:p w:rsidR="000B0B09" w:rsidRPr="00D51A68" w:rsidRDefault="000B0B09" w:rsidP="000B0B09">
            <w:pPr>
              <w:rPr>
                <w:rStyle w:val="InstructionsTabelleberschrift"/>
                <w:rFonts w:ascii="Times New Roman" w:hAnsi="Times New Roman"/>
                <w:sz w:val="24"/>
              </w:rPr>
            </w:pPr>
            <w:r w:rsidRPr="00D51A68">
              <w:rPr>
                <w:rStyle w:val="InstructionsTabelleberschrift"/>
                <w:rFonts w:ascii="Times New Roman" w:hAnsi="Times New Roman"/>
                <w:sz w:val="24"/>
              </w:rPr>
              <w:t>CARTOLARIZZAZIONI</w:t>
            </w:r>
          </w:p>
          <w:p w:rsidR="000B0B09" w:rsidRPr="00D51A68" w:rsidRDefault="000B0B09" w:rsidP="000B0B09">
            <w:pPr>
              <w:rPr>
                <w:rFonts w:ascii="Times New Roman" w:hAnsi="Times New Roman"/>
                <w:sz w:val="24"/>
              </w:rPr>
            </w:pPr>
            <w:r w:rsidRPr="00D51A68">
              <w:rPr>
                <w:rFonts w:ascii="Times New Roman" w:hAnsi="Times New Roman"/>
                <w:sz w:val="24"/>
              </w:rPr>
              <w:t>Il portafoglio di negoziazione di correlazione comprende cartolarizzazioni, derivati su crediti di tipo nth-to-default ed eventualmente altre posizioni di copertura che soddisfano i criteri di cui all</w:t>
            </w:r>
            <w:r w:rsidR="0009277C" w:rsidRPr="00D51A68">
              <w:rPr>
                <w:rFonts w:ascii="Times New Roman" w:hAnsi="Times New Roman"/>
                <w:sz w:val="24"/>
              </w:rPr>
              <w:t>’</w:t>
            </w:r>
            <w:r w:rsidRPr="00D51A68">
              <w:rPr>
                <w:rFonts w:ascii="Times New Roman" w:hAnsi="Times New Roman"/>
                <w:sz w:val="24"/>
              </w:rPr>
              <w:t>articolo 338, paragrafi 2 e 3, del CRR.</w:t>
            </w:r>
          </w:p>
          <w:p w:rsidR="000B0B09" w:rsidRPr="00D51A68" w:rsidRDefault="000B0B09" w:rsidP="00DE48EF">
            <w:pPr>
              <w:rPr>
                <w:rFonts w:ascii="Times New Roman" w:hAnsi="Times New Roman"/>
                <w:sz w:val="24"/>
              </w:rPr>
            </w:pPr>
            <w:r w:rsidRPr="00D51A68">
              <w:rPr>
                <w:rFonts w:ascii="Times New Roman" w:hAnsi="Times New Roman"/>
                <w:sz w:val="24"/>
              </w:rPr>
              <w:t>I derivati di esposizioni verso la cartolarizzazione che offrono una quota proporzionale nonché le posizioni di copertura di posizioni del portafoglio di negoziazione di correlazione sono segnalati nella riga «Altre posizioni del CTP».</w:t>
            </w:r>
          </w:p>
        </w:tc>
      </w:tr>
      <w:tr w:rsidR="000B0B09" w:rsidRPr="00D51A68" w:rsidTr="00672D2A">
        <w:tc>
          <w:tcPr>
            <w:tcW w:w="1008" w:type="dxa"/>
          </w:tcPr>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110</w:t>
            </w:r>
          </w:p>
        </w:tc>
        <w:tc>
          <w:tcPr>
            <w:tcW w:w="8204" w:type="dxa"/>
          </w:tcPr>
          <w:p w:rsidR="000B0B09" w:rsidRPr="00D51A68" w:rsidRDefault="000B0B09" w:rsidP="000B0B09">
            <w:pPr>
              <w:rPr>
                <w:rStyle w:val="InstructionsTabelleberschrift"/>
                <w:rFonts w:ascii="Times New Roman" w:hAnsi="Times New Roman"/>
                <w:sz w:val="24"/>
              </w:rPr>
            </w:pPr>
            <w:r w:rsidRPr="00D51A68">
              <w:rPr>
                <w:rStyle w:val="InstructionsTabelleberschrift"/>
                <w:rFonts w:ascii="Times New Roman" w:hAnsi="Times New Roman"/>
                <w:sz w:val="24"/>
              </w:rPr>
              <w:t>DERIVATI SU CREDITI DI TIPO NTH-TO-DEFAULT</w:t>
            </w:r>
          </w:p>
          <w:p w:rsidR="000B0B09" w:rsidRPr="00D51A68" w:rsidRDefault="000B0B09" w:rsidP="000B0B09">
            <w:pPr>
              <w:rPr>
                <w:rFonts w:ascii="Times New Roman" w:hAnsi="Times New Roman"/>
                <w:sz w:val="24"/>
              </w:rPr>
            </w:pPr>
            <w:r w:rsidRPr="00D51A68">
              <w:rPr>
                <w:rFonts w:ascii="Times New Roman" w:hAnsi="Times New Roman"/>
                <w:sz w:val="24"/>
              </w:rPr>
              <w:t>I derivati su crediti di tipo nth-to-default coperti da derivati su crediti di tipo nth-to-default conformemente all</w:t>
            </w:r>
            <w:r w:rsidR="0009277C" w:rsidRPr="00D51A68">
              <w:rPr>
                <w:rFonts w:ascii="Times New Roman" w:hAnsi="Times New Roman"/>
                <w:sz w:val="24"/>
              </w:rPr>
              <w:t>’</w:t>
            </w:r>
            <w:r w:rsidRPr="00D51A68">
              <w:rPr>
                <w:rFonts w:ascii="Times New Roman" w:hAnsi="Times New Roman"/>
                <w:sz w:val="24"/>
              </w:rPr>
              <w:t>articolo 347 del CRR sono inseriti entrambi in questa riga.</w:t>
            </w:r>
          </w:p>
          <w:p w:rsidR="000B0B09" w:rsidRPr="00D51A68" w:rsidRDefault="000B0B09" w:rsidP="00DE48EF">
            <w:pPr>
              <w:rPr>
                <w:rFonts w:ascii="Times New Roman" w:hAnsi="Times New Roman"/>
                <w:sz w:val="24"/>
              </w:rPr>
            </w:pPr>
            <w:r w:rsidRPr="00D51A68">
              <w:rPr>
                <w:rFonts w:ascii="Times New Roman" w:hAnsi="Times New Roman"/>
                <w:sz w:val="24"/>
              </w:rPr>
              <w:t>Le posizioni del cedente, dell</w:t>
            </w:r>
            <w:r w:rsidR="0009277C" w:rsidRPr="00D51A68">
              <w:rPr>
                <w:rFonts w:ascii="Times New Roman" w:hAnsi="Times New Roman"/>
                <w:sz w:val="24"/>
              </w:rPr>
              <w:t>’</w:t>
            </w:r>
            <w:r w:rsidRPr="00D51A68">
              <w:rPr>
                <w:rFonts w:ascii="Times New Roman" w:hAnsi="Times New Roman"/>
                <w:sz w:val="24"/>
              </w:rPr>
              <w:t>investitore e del promotore non sono idonee per i derivati su crediti di tipo nth-to-default; quindi, per questi derivati non è possibile fornire la ripartizione per posizioni verso la cartolarizzazione.</w:t>
            </w:r>
          </w:p>
        </w:tc>
      </w:tr>
      <w:tr w:rsidR="000B0B09" w:rsidRPr="00D51A68" w:rsidTr="00672D2A">
        <w:tc>
          <w:tcPr>
            <w:tcW w:w="1008" w:type="dxa"/>
          </w:tcPr>
          <w:p w:rsidR="000B0B09" w:rsidRPr="00D51A68" w:rsidRDefault="000B0B09" w:rsidP="00B74792">
            <w:pPr>
              <w:autoSpaceDE w:val="0"/>
              <w:autoSpaceDN w:val="0"/>
              <w:adjustRightInd w:val="0"/>
              <w:spacing w:before="0" w:after="0"/>
              <w:rPr>
                <w:rFonts w:ascii="Times New Roman" w:hAnsi="Times New Roman"/>
                <w:sz w:val="24"/>
              </w:rPr>
            </w:pPr>
            <w:r w:rsidRPr="00D51A68">
              <w:rPr>
                <w:rFonts w:ascii="Times New Roman" w:hAnsi="Times New Roman"/>
                <w:sz w:val="24"/>
              </w:rPr>
              <w:t>040, 070, 100 e 120</w:t>
            </w:r>
          </w:p>
        </w:tc>
        <w:tc>
          <w:tcPr>
            <w:tcW w:w="8204" w:type="dxa"/>
          </w:tcPr>
          <w:p w:rsidR="000B0B09" w:rsidRPr="00D51A68" w:rsidRDefault="000B0B09" w:rsidP="000B0B09">
            <w:pPr>
              <w:rPr>
                <w:rStyle w:val="InstructionsTabelleberschrift"/>
                <w:rFonts w:ascii="Times New Roman" w:hAnsi="Times New Roman"/>
                <w:sz w:val="24"/>
              </w:rPr>
            </w:pPr>
            <w:r w:rsidRPr="00D51A68">
              <w:rPr>
                <w:rStyle w:val="InstructionsTabelleberschrift"/>
                <w:rFonts w:ascii="Times New Roman" w:hAnsi="Times New Roman"/>
                <w:sz w:val="24"/>
              </w:rPr>
              <w:t>ALTRE POSIZIONI DEL CTP</w:t>
            </w:r>
          </w:p>
          <w:p w:rsidR="000B0B09" w:rsidRPr="00D51A68" w:rsidRDefault="000B0B09" w:rsidP="000B0B09">
            <w:pPr>
              <w:rPr>
                <w:rFonts w:ascii="Times New Roman" w:hAnsi="Times New Roman"/>
                <w:sz w:val="24"/>
              </w:rPr>
            </w:pPr>
            <w:r w:rsidRPr="00D51A68">
              <w:rPr>
                <w:rFonts w:ascii="Times New Roman" w:hAnsi="Times New Roman"/>
                <w:sz w:val="24"/>
              </w:rPr>
              <w:t xml:space="preserve">In questa riga sono comprese le posizioni in: </w:t>
            </w:r>
          </w:p>
          <w:p w:rsidR="000B0B09" w:rsidRPr="00D51A68" w:rsidRDefault="00125707" w:rsidP="0023700C">
            <w:pPr>
              <w:tabs>
                <w:tab w:val="left" w:pos="720"/>
              </w:tabs>
              <w:ind w:left="720" w:hanging="360"/>
              <w:rPr>
                <w:rFonts w:ascii="Times New Roman" w:hAnsi="Times New Roman"/>
                <w:sz w:val="24"/>
              </w:rPr>
            </w:pPr>
            <w:r w:rsidRPr="00D51A68">
              <w:rPr>
                <w:rFonts w:ascii="Symbol" w:hAnsi="Symbol"/>
                <w:sz w:val="24"/>
              </w:rPr>
              <w:t></w:t>
            </w:r>
            <w:r w:rsidR="00A0772B" w:rsidRPr="00D51A68">
              <w:tab/>
            </w:r>
            <w:r w:rsidRPr="00D51A68">
              <w:rPr>
                <w:rFonts w:ascii="Times New Roman" w:hAnsi="Times New Roman"/>
                <w:sz w:val="24"/>
              </w:rPr>
              <w:t>derivati di esposizioni verso la cartolarizzazione che offrono una quota proporzionale nonché le posizioni di copertura di posizioni del portafoglio di negoziazione di correlazione;</w:t>
            </w:r>
          </w:p>
          <w:p w:rsidR="000B0B09" w:rsidRPr="00D51A68" w:rsidRDefault="00125707" w:rsidP="0023700C">
            <w:pPr>
              <w:tabs>
                <w:tab w:val="left" w:pos="720"/>
              </w:tabs>
              <w:ind w:left="720" w:hanging="360"/>
              <w:rPr>
                <w:rFonts w:ascii="Times New Roman" w:hAnsi="Times New Roman"/>
                <w:sz w:val="24"/>
              </w:rPr>
            </w:pPr>
            <w:r w:rsidRPr="00D51A68">
              <w:rPr>
                <w:rFonts w:ascii="Symbol" w:hAnsi="Symbol"/>
                <w:sz w:val="24"/>
              </w:rPr>
              <w:t></w:t>
            </w:r>
            <w:r w:rsidR="00A0772B" w:rsidRPr="00D51A68">
              <w:tab/>
            </w:r>
            <w:r w:rsidRPr="00D51A68">
              <w:rPr>
                <w:rFonts w:ascii="Times New Roman" w:hAnsi="Times New Roman"/>
                <w:sz w:val="24"/>
              </w:rPr>
              <w:t>posizioni del CTP coperte da derivati su crediti conformemente all</w:t>
            </w:r>
            <w:r w:rsidR="0009277C" w:rsidRPr="00D51A68">
              <w:rPr>
                <w:rFonts w:ascii="Times New Roman" w:hAnsi="Times New Roman"/>
                <w:sz w:val="24"/>
              </w:rPr>
              <w:t>’</w:t>
            </w:r>
            <w:r w:rsidRPr="00D51A68">
              <w:rPr>
                <w:rFonts w:ascii="Times New Roman" w:hAnsi="Times New Roman"/>
                <w:sz w:val="24"/>
              </w:rPr>
              <w:t>art</w:t>
            </w:r>
            <w:r w:rsidR="00941EC3" w:rsidRPr="00D51A68">
              <w:rPr>
                <w:rFonts w:ascii="Times New Roman" w:hAnsi="Times New Roman"/>
                <w:sz w:val="24"/>
              </w:rPr>
              <w:t>icolo </w:t>
            </w:r>
            <w:r w:rsidRPr="00D51A68">
              <w:rPr>
                <w:rFonts w:ascii="Times New Roman" w:hAnsi="Times New Roman"/>
                <w:sz w:val="24"/>
              </w:rPr>
              <w:t>346 del CRR;</w:t>
            </w:r>
          </w:p>
          <w:p w:rsidR="000B0B09" w:rsidRPr="00D51A68" w:rsidRDefault="00125707" w:rsidP="0023700C">
            <w:pPr>
              <w:tabs>
                <w:tab w:val="left" w:pos="720"/>
              </w:tabs>
              <w:ind w:left="720" w:hanging="360"/>
              <w:rPr>
                <w:rFonts w:ascii="Times New Roman" w:hAnsi="Times New Roman"/>
                <w:sz w:val="24"/>
              </w:rPr>
            </w:pPr>
            <w:r w:rsidRPr="00D51A68">
              <w:rPr>
                <w:rFonts w:ascii="Symbol" w:hAnsi="Symbol"/>
                <w:sz w:val="24"/>
              </w:rPr>
              <w:t></w:t>
            </w:r>
            <w:r w:rsidR="00A0772B" w:rsidRPr="00D51A68">
              <w:tab/>
            </w:r>
            <w:r w:rsidRPr="00D51A68">
              <w:rPr>
                <w:rFonts w:ascii="Times New Roman" w:hAnsi="Times New Roman"/>
                <w:sz w:val="24"/>
              </w:rPr>
              <w:t>altre posizioni conformi all</w:t>
            </w:r>
            <w:r w:rsidR="0009277C" w:rsidRPr="00D51A68">
              <w:rPr>
                <w:rFonts w:ascii="Times New Roman" w:hAnsi="Times New Roman"/>
                <w:sz w:val="24"/>
              </w:rPr>
              <w:t>’</w:t>
            </w:r>
            <w:r w:rsidRPr="00D51A68">
              <w:rPr>
                <w:rFonts w:ascii="Times New Roman" w:hAnsi="Times New Roman"/>
                <w:sz w:val="24"/>
              </w:rPr>
              <w:t>articolo 338, paragrafo 3, del CRR.</w:t>
            </w:r>
          </w:p>
          <w:p w:rsidR="000B0B09" w:rsidRPr="00D51A68" w:rsidRDefault="000B0B09" w:rsidP="000B0B09">
            <w:pPr>
              <w:rPr>
                <w:rFonts w:ascii="Times New Roman" w:hAnsi="Times New Roman"/>
                <w:sz w:val="24"/>
              </w:rPr>
            </w:pPr>
          </w:p>
        </w:tc>
      </w:tr>
    </w:tbl>
    <w:p w:rsidR="000B0B09" w:rsidRPr="00D51A68" w:rsidRDefault="000B0B09" w:rsidP="000B0B09">
      <w:pPr>
        <w:autoSpaceDE w:val="0"/>
        <w:autoSpaceDN w:val="0"/>
        <w:adjustRightInd w:val="0"/>
        <w:spacing w:before="0" w:after="0"/>
        <w:rPr>
          <w:rFonts w:ascii="Times New Roman" w:hAnsi="Times New Roman"/>
          <w:sz w:val="24"/>
        </w:rPr>
      </w:pPr>
    </w:p>
    <w:p w:rsidR="000B0B09" w:rsidRPr="00D51A68" w:rsidRDefault="00125707" w:rsidP="0023700C">
      <w:pPr>
        <w:pStyle w:val="Instructionsberschrift2"/>
        <w:numPr>
          <w:ilvl w:val="0"/>
          <w:numId w:val="0"/>
        </w:numPr>
        <w:ind w:left="357" w:hanging="357"/>
        <w:rPr>
          <w:rFonts w:ascii="Times New Roman" w:hAnsi="Times New Roman" w:cs="Times New Roman"/>
          <w:sz w:val="24"/>
        </w:rPr>
      </w:pPr>
      <w:bookmarkStart w:id="670" w:name="_Toc262566429"/>
      <w:bookmarkStart w:id="671" w:name="_Toc295830005"/>
      <w:bookmarkStart w:id="672" w:name="_Toc308426682"/>
      <w:bookmarkStart w:id="673" w:name="_Toc310415066"/>
      <w:bookmarkStart w:id="674" w:name="_Toc360188401"/>
      <w:bookmarkStart w:id="675" w:name="_Toc516210692"/>
      <w:bookmarkStart w:id="676" w:name="_Toc473561041"/>
      <w:bookmarkStart w:id="677" w:name="_Toc524096637"/>
      <w:r w:rsidRPr="00D51A68">
        <w:rPr>
          <w:rFonts w:ascii="Times New Roman" w:hAnsi="Times New Roman"/>
          <w:sz w:val="24"/>
          <w:u w:val="none"/>
        </w:rPr>
        <w:t>5.4.</w:t>
      </w:r>
      <w:r w:rsidR="00A0772B" w:rsidRPr="00D51A68">
        <w:rPr>
          <w:u w:val="none"/>
        </w:rPr>
        <w:tab/>
      </w:r>
      <w:r w:rsidRPr="00D51A68">
        <w:rPr>
          <w:rFonts w:ascii="Times New Roman" w:hAnsi="Times New Roman"/>
          <w:sz w:val="24"/>
        </w:rPr>
        <w:t>C 21.00 — Rischio di mercato: metodo standardizzato per il rischio di posizione su strumenti di capitale</w:t>
      </w:r>
      <w:bookmarkEnd w:id="670"/>
      <w:bookmarkEnd w:id="671"/>
      <w:bookmarkEnd w:id="672"/>
      <w:bookmarkEnd w:id="673"/>
      <w:bookmarkEnd w:id="674"/>
      <w:r w:rsidRPr="00D51A68">
        <w:rPr>
          <w:rFonts w:ascii="Times New Roman" w:hAnsi="Times New Roman"/>
          <w:sz w:val="24"/>
        </w:rPr>
        <w:t xml:space="preserve"> (MKR SA EQU)</w:t>
      </w:r>
      <w:bookmarkEnd w:id="675"/>
      <w:bookmarkEnd w:id="676"/>
      <w:bookmarkEnd w:id="677"/>
    </w:p>
    <w:p w:rsidR="000B0B09" w:rsidRPr="00D51A68" w:rsidRDefault="00125707" w:rsidP="0023700C">
      <w:pPr>
        <w:pStyle w:val="Instructionsberschrift2"/>
        <w:numPr>
          <w:ilvl w:val="0"/>
          <w:numId w:val="0"/>
        </w:numPr>
        <w:ind w:left="357" w:hanging="357"/>
        <w:rPr>
          <w:rFonts w:ascii="Times New Roman" w:hAnsi="Times New Roman" w:cs="Times New Roman"/>
          <w:sz w:val="24"/>
        </w:rPr>
      </w:pPr>
      <w:bookmarkStart w:id="678" w:name="_Toc262566430"/>
      <w:bookmarkStart w:id="679" w:name="_Toc295830006"/>
      <w:bookmarkStart w:id="680" w:name="_Toc308426683"/>
      <w:bookmarkStart w:id="681" w:name="_Toc310415067"/>
      <w:bookmarkStart w:id="682" w:name="_Toc360188402"/>
      <w:bookmarkStart w:id="683" w:name="_Toc516210693"/>
      <w:bookmarkStart w:id="684" w:name="_Toc473561042"/>
      <w:bookmarkStart w:id="685" w:name="_Toc524096638"/>
      <w:r w:rsidRPr="00D51A68">
        <w:rPr>
          <w:rFonts w:ascii="Times New Roman" w:hAnsi="Times New Roman"/>
          <w:sz w:val="24"/>
          <w:u w:val="none"/>
        </w:rPr>
        <w:t>5.4.1.</w:t>
      </w:r>
      <w:r w:rsidR="00A0772B" w:rsidRPr="00D51A68">
        <w:rPr>
          <w:u w:val="none"/>
        </w:rPr>
        <w:tab/>
      </w:r>
      <w:r w:rsidRPr="00D51A68">
        <w:rPr>
          <w:rFonts w:ascii="Times New Roman" w:hAnsi="Times New Roman"/>
          <w:sz w:val="24"/>
        </w:rPr>
        <w:t>Osservazioni di carattere generale</w:t>
      </w:r>
      <w:bookmarkEnd w:id="678"/>
      <w:bookmarkEnd w:id="679"/>
      <w:bookmarkEnd w:id="680"/>
      <w:bookmarkEnd w:id="681"/>
      <w:bookmarkEnd w:id="682"/>
      <w:bookmarkEnd w:id="683"/>
      <w:bookmarkEnd w:id="684"/>
      <w:bookmarkEnd w:id="685"/>
    </w:p>
    <w:p w:rsidR="000B0B09" w:rsidRPr="00D51A68" w:rsidRDefault="00125707" w:rsidP="00941EC3">
      <w:pPr>
        <w:pStyle w:val="InstructionsText2"/>
        <w:numPr>
          <w:ilvl w:val="0"/>
          <w:numId w:val="0"/>
        </w:numPr>
        <w:ind w:left="993"/>
      </w:pPr>
      <w:r w:rsidRPr="00D51A68">
        <w:t>148.</w:t>
      </w:r>
      <w:r w:rsidR="00A0772B" w:rsidRPr="00D51A68">
        <w:tab/>
      </w:r>
      <w:r w:rsidRPr="00D51A68">
        <w:t>In questo modello vanno inserite informazioni riguardanti le posizioni e i relativi requisiti di fondi propri per il rischio di posizione su strumenti di capitale detenuti nel portafoglio di negoziazione e trattati secondo il metodo standardizzato.</w:t>
      </w:r>
    </w:p>
    <w:p w:rsidR="000B0B09" w:rsidRPr="00D51A68" w:rsidRDefault="00125707" w:rsidP="00941EC3">
      <w:pPr>
        <w:pStyle w:val="InstructionsText2"/>
        <w:numPr>
          <w:ilvl w:val="0"/>
          <w:numId w:val="0"/>
        </w:numPr>
        <w:ind w:left="993"/>
      </w:pPr>
      <w:r w:rsidRPr="00D51A68">
        <w:t>149.</w:t>
      </w:r>
      <w:r w:rsidR="00A0772B" w:rsidRPr="00D51A68">
        <w:tab/>
      </w:r>
      <w:r w:rsidRPr="00D51A68">
        <w:t xml:space="preserve">Il modello deve essere compilato separatamente per il </w:t>
      </w:r>
      <w:r w:rsidR="0009277C" w:rsidRPr="00D51A68">
        <w:t>“</w:t>
      </w:r>
      <w:r w:rsidRPr="00D51A68">
        <w:t>Totale</w:t>
      </w:r>
      <w:r w:rsidR="0009277C" w:rsidRPr="00D51A68">
        <w:t>”</w:t>
      </w:r>
      <w:r w:rsidRPr="00D51A68">
        <w:t>, più un elenco statico e prestabilito comprendente i seguenti mercati: Albania, Bulgaria, Croazia, Danimarca, Egitto, ex Repubblica iugoslava di Macedonia, Federazione russa, Giappone, Islanda, Liechtenstein, Norvegia, Polonia, Regno Unito, Repubblica ceca, Romania, Serbia, Svezia, Svizzera, Turchia, Ucraina, Ungheria, USA, zona euro, e un modello residuale per tutti gli altri mercati. Ai fini di quest</w:t>
      </w:r>
      <w:r w:rsidR="0009277C" w:rsidRPr="00D51A68">
        <w:t>’</w:t>
      </w:r>
      <w:r w:rsidRPr="00D51A68">
        <w:t xml:space="preserve">obbligo di segnalazione, il termine </w:t>
      </w:r>
      <w:r w:rsidR="0009277C" w:rsidRPr="00D51A68">
        <w:t>“</w:t>
      </w:r>
      <w:r w:rsidRPr="00D51A68">
        <w:t>mercato</w:t>
      </w:r>
      <w:r w:rsidR="0009277C" w:rsidRPr="00D51A68">
        <w:t>”</w:t>
      </w:r>
      <w:r w:rsidRPr="00D51A68">
        <w:t xml:space="preserve"> ha il valore di </w:t>
      </w:r>
      <w:r w:rsidR="0009277C" w:rsidRPr="00D51A68">
        <w:t>“</w:t>
      </w:r>
      <w:r w:rsidRPr="00D51A68">
        <w:t>paese</w:t>
      </w:r>
      <w:r w:rsidR="0009277C" w:rsidRPr="00D51A68">
        <w:t>”</w:t>
      </w:r>
      <w:r w:rsidRPr="00D51A68">
        <w:t xml:space="preserve"> (tranne che per i paesi appartenenti alla zona euro, cfr. il regolamento delegato (UE) n. 525/2014 della Commissione).</w:t>
      </w:r>
    </w:p>
    <w:p w:rsidR="000B0B09" w:rsidRPr="00D51A68" w:rsidRDefault="00125707" w:rsidP="0023700C">
      <w:pPr>
        <w:pStyle w:val="Instructionsberschrift2"/>
        <w:numPr>
          <w:ilvl w:val="0"/>
          <w:numId w:val="0"/>
        </w:numPr>
        <w:ind w:left="357" w:hanging="357"/>
        <w:rPr>
          <w:rFonts w:ascii="Times New Roman" w:hAnsi="Times New Roman" w:cs="Times New Roman"/>
          <w:sz w:val="24"/>
        </w:rPr>
      </w:pPr>
      <w:bookmarkStart w:id="686" w:name="_Toc262566431"/>
      <w:bookmarkStart w:id="687" w:name="_Toc295830007"/>
      <w:bookmarkStart w:id="688" w:name="_Toc308426684"/>
      <w:bookmarkStart w:id="689" w:name="_Toc310415068"/>
      <w:bookmarkStart w:id="690" w:name="_Toc360188403"/>
      <w:bookmarkStart w:id="691" w:name="_Toc516210694"/>
      <w:bookmarkStart w:id="692" w:name="_Toc473561043"/>
      <w:bookmarkStart w:id="693" w:name="_Toc524096639"/>
      <w:r w:rsidRPr="00D51A68">
        <w:rPr>
          <w:rFonts w:ascii="Times New Roman" w:hAnsi="Times New Roman"/>
          <w:sz w:val="24"/>
          <w:u w:val="none"/>
        </w:rPr>
        <w:t>5.4.2.</w:t>
      </w:r>
      <w:r w:rsidR="00A0772B" w:rsidRPr="00D51A68">
        <w:rPr>
          <w:u w:val="none"/>
        </w:rPr>
        <w:tab/>
      </w:r>
      <w:r w:rsidRPr="00D51A68">
        <w:rPr>
          <w:rFonts w:ascii="Times New Roman" w:hAnsi="Times New Roman"/>
          <w:sz w:val="24"/>
        </w:rPr>
        <w:t>Istruzioni relative a posizioni specifiche</w:t>
      </w:r>
      <w:bookmarkEnd w:id="686"/>
      <w:bookmarkEnd w:id="687"/>
      <w:bookmarkEnd w:id="688"/>
      <w:bookmarkEnd w:id="689"/>
      <w:bookmarkEnd w:id="690"/>
      <w:bookmarkEnd w:id="691"/>
      <w:bookmarkEnd w:id="692"/>
      <w:bookmarkEnd w:id="69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D51A68" w:rsidTr="00672D2A">
        <w:trPr>
          <w:trHeight w:val="626"/>
        </w:trPr>
        <w:tc>
          <w:tcPr>
            <w:tcW w:w="8862" w:type="dxa"/>
            <w:gridSpan w:val="2"/>
            <w:shd w:val="clear" w:color="auto" w:fill="CCCCCC"/>
          </w:tcPr>
          <w:p w:rsidR="000B0B09" w:rsidRPr="00D51A68" w:rsidRDefault="000B0B09" w:rsidP="000B0B09">
            <w:pPr>
              <w:autoSpaceDE w:val="0"/>
              <w:autoSpaceDN w:val="0"/>
              <w:adjustRightInd w:val="0"/>
              <w:spacing w:after="0"/>
              <w:rPr>
                <w:rFonts w:ascii="Times New Roman" w:hAnsi="Times New Roman"/>
                <w:b/>
                <w:sz w:val="24"/>
              </w:rPr>
            </w:pPr>
            <w:r w:rsidRPr="00D51A68">
              <w:rPr>
                <w:rFonts w:ascii="Times New Roman" w:hAnsi="Times New Roman"/>
                <w:b/>
                <w:sz w:val="24"/>
              </w:rPr>
              <w:t>Colonne</w:t>
            </w:r>
          </w:p>
        </w:tc>
      </w:tr>
      <w:tr w:rsidR="000B0B09" w:rsidRPr="00D51A68" w:rsidTr="00672D2A">
        <w:tc>
          <w:tcPr>
            <w:tcW w:w="988" w:type="dxa"/>
          </w:tcPr>
          <w:p w:rsidR="000B0B09" w:rsidRPr="00D51A68" w:rsidRDefault="000B0B09" w:rsidP="00B74792">
            <w:pPr>
              <w:autoSpaceDE w:val="0"/>
              <w:autoSpaceDN w:val="0"/>
              <w:adjustRightInd w:val="0"/>
              <w:spacing w:before="0" w:after="0"/>
              <w:rPr>
                <w:rFonts w:ascii="Times New Roman" w:hAnsi="Times New Roman"/>
                <w:sz w:val="24"/>
              </w:rPr>
            </w:pPr>
            <w:r w:rsidRPr="00D51A68">
              <w:rPr>
                <w:rFonts w:ascii="Times New Roman" w:hAnsi="Times New Roman"/>
                <w:sz w:val="24"/>
              </w:rPr>
              <w:t>010-020</w:t>
            </w:r>
          </w:p>
        </w:tc>
        <w:tc>
          <w:tcPr>
            <w:tcW w:w="7874" w:type="dxa"/>
          </w:tcPr>
          <w:p w:rsidR="000B0B09" w:rsidRPr="00D51A68" w:rsidRDefault="000B0B09" w:rsidP="000B0B09">
            <w:pPr>
              <w:autoSpaceDE w:val="0"/>
              <w:autoSpaceDN w:val="0"/>
              <w:adjustRightInd w:val="0"/>
              <w:spacing w:before="0" w:after="0"/>
              <w:rPr>
                <w:rFonts w:ascii="Times New Roman" w:hAnsi="Times New Roman"/>
                <w:b/>
                <w:bCs/>
                <w:sz w:val="24"/>
                <w:u w:val="single"/>
              </w:rPr>
            </w:pPr>
            <w:r w:rsidRPr="00D51A68">
              <w:rPr>
                <w:rFonts w:ascii="Times New Roman" w:hAnsi="Times New Roman"/>
                <w:b/>
                <w:sz w:val="24"/>
                <w:u w:val="single"/>
              </w:rPr>
              <w:t>TUTTE LE POSIZIONI (LUNGHE E CORTE)</w:t>
            </w:r>
          </w:p>
          <w:p w:rsidR="000B0B09" w:rsidRPr="00D51A68" w:rsidRDefault="000B0B09" w:rsidP="000B0B09">
            <w:pPr>
              <w:autoSpaceDE w:val="0"/>
              <w:autoSpaceDN w:val="0"/>
              <w:adjustRightInd w:val="0"/>
              <w:spacing w:before="0" w:after="0"/>
              <w:rPr>
                <w:rFonts w:ascii="Times New Roman" w:hAnsi="Times New Roman"/>
                <w:sz w:val="24"/>
              </w:rPr>
            </w:pPr>
          </w:p>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 xml:space="preserve">Articolo 102 e articolo 105, paragrafo 1, del CRR. Si tratta di posizioni lorde non compensate da strumenti; sono tuttavia escluse le posizioni in impegni irrevocabili di acquisto sottoscritte o risottoscritte da terzi (articolo 345, seconda frase, del CRR). </w:t>
            </w:r>
          </w:p>
        </w:tc>
      </w:tr>
      <w:tr w:rsidR="000B0B09" w:rsidRPr="00D51A68" w:rsidTr="00672D2A">
        <w:tc>
          <w:tcPr>
            <w:tcW w:w="988" w:type="dxa"/>
          </w:tcPr>
          <w:p w:rsidR="000B0B09" w:rsidRPr="00D51A68" w:rsidRDefault="000B0B09" w:rsidP="00B74792">
            <w:pPr>
              <w:autoSpaceDE w:val="0"/>
              <w:autoSpaceDN w:val="0"/>
              <w:adjustRightInd w:val="0"/>
              <w:spacing w:before="0" w:after="0"/>
              <w:rPr>
                <w:rFonts w:ascii="Times New Roman" w:hAnsi="Times New Roman"/>
                <w:sz w:val="24"/>
              </w:rPr>
            </w:pPr>
            <w:r w:rsidRPr="00D51A68">
              <w:rPr>
                <w:rFonts w:ascii="Times New Roman" w:hAnsi="Times New Roman"/>
                <w:sz w:val="24"/>
              </w:rPr>
              <w:t xml:space="preserve">030-040 </w:t>
            </w:r>
          </w:p>
        </w:tc>
        <w:tc>
          <w:tcPr>
            <w:tcW w:w="7874" w:type="dxa"/>
          </w:tcPr>
          <w:p w:rsidR="000B0B09" w:rsidRPr="00D51A68" w:rsidRDefault="000B0B09" w:rsidP="000B0B09">
            <w:pPr>
              <w:autoSpaceDE w:val="0"/>
              <w:autoSpaceDN w:val="0"/>
              <w:adjustRightInd w:val="0"/>
              <w:spacing w:before="0" w:after="0"/>
              <w:rPr>
                <w:rFonts w:ascii="Times New Roman" w:hAnsi="Times New Roman"/>
                <w:b/>
                <w:bCs/>
                <w:sz w:val="24"/>
                <w:u w:val="single"/>
              </w:rPr>
            </w:pPr>
            <w:r w:rsidRPr="00D51A68">
              <w:rPr>
                <w:rFonts w:ascii="Times New Roman" w:hAnsi="Times New Roman"/>
                <w:b/>
                <w:sz w:val="24"/>
                <w:u w:val="single"/>
              </w:rPr>
              <w:t>POSIZIONI NETTE (LUNGHE E CORTE)</w:t>
            </w:r>
          </w:p>
          <w:p w:rsidR="000B0B09" w:rsidRPr="00D51A68" w:rsidRDefault="000B0B09" w:rsidP="000B0B09">
            <w:pPr>
              <w:autoSpaceDE w:val="0"/>
              <w:autoSpaceDN w:val="0"/>
              <w:adjustRightInd w:val="0"/>
              <w:spacing w:before="0" w:after="0"/>
              <w:rPr>
                <w:rFonts w:ascii="Times New Roman" w:hAnsi="Times New Roman"/>
                <w:sz w:val="24"/>
              </w:rPr>
            </w:pPr>
          </w:p>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 xml:space="preserve">Articoli 327, 329, 332, 341 e 345 del CRR. </w:t>
            </w:r>
          </w:p>
        </w:tc>
      </w:tr>
      <w:tr w:rsidR="000B0B09" w:rsidRPr="00D51A68" w:rsidTr="00672D2A">
        <w:tc>
          <w:tcPr>
            <w:tcW w:w="988" w:type="dxa"/>
          </w:tcPr>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050</w:t>
            </w:r>
          </w:p>
        </w:tc>
        <w:tc>
          <w:tcPr>
            <w:tcW w:w="7874" w:type="dxa"/>
          </w:tcPr>
          <w:p w:rsidR="000B0B09" w:rsidRPr="00D51A68" w:rsidRDefault="000B0B09" w:rsidP="000B0B09">
            <w:pPr>
              <w:tabs>
                <w:tab w:val="left" w:pos="5795"/>
              </w:tabs>
              <w:autoSpaceDE w:val="0"/>
              <w:autoSpaceDN w:val="0"/>
              <w:adjustRightInd w:val="0"/>
              <w:spacing w:before="0" w:after="0"/>
              <w:rPr>
                <w:rFonts w:ascii="Times New Roman" w:hAnsi="Times New Roman"/>
                <w:b/>
                <w:bCs/>
                <w:sz w:val="24"/>
                <w:u w:val="single"/>
              </w:rPr>
            </w:pPr>
            <w:r w:rsidRPr="00D51A68">
              <w:rPr>
                <w:rFonts w:ascii="Times New Roman" w:hAnsi="Times New Roman"/>
                <w:b/>
                <w:sz w:val="24"/>
                <w:u w:val="single"/>
              </w:rPr>
              <w:t>POSIZIONI SOGGETTE A COPERTURA PATRIMONIALE</w:t>
            </w:r>
          </w:p>
          <w:p w:rsidR="000B0B09" w:rsidRPr="00D51A68" w:rsidRDefault="000B0B09" w:rsidP="000B0B09">
            <w:pPr>
              <w:tabs>
                <w:tab w:val="left" w:pos="5795"/>
              </w:tabs>
              <w:autoSpaceDE w:val="0"/>
              <w:autoSpaceDN w:val="0"/>
              <w:adjustRightInd w:val="0"/>
              <w:spacing w:before="0" w:after="0"/>
              <w:rPr>
                <w:rFonts w:ascii="Times New Roman" w:hAnsi="Times New Roman"/>
                <w:b/>
                <w:bCs/>
                <w:sz w:val="24"/>
                <w:u w:val="single"/>
              </w:rPr>
            </w:pPr>
          </w:p>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Posizioni nette che, secondo i differenti metodi di cui alla parte tre, titolo IV, capo 2, del CRR, ricevono una copertura patrimoniale. La copertura patrimoniale deve essere calcolata separatamente per ciascun mercato nazionale. Non sono incluse in questa colonna le posizioni in contratti future su indici azionari conformemente all</w:t>
            </w:r>
            <w:r w:rsidR="0009277C" w:rsidRPr="00D51A68">
              <w:rPr>
                <w:rFonts w:ascii="Times New Roman" w:hAnsi="Times New Roman"/>
                <w:sz w:val="24"/>
              </w:rPr>
              <w:t>’</w:t>
            </w:r>
            <w:r w:rsidRPr="00D51A68">
              <w:rPr>
                <w:rFonts w:ascii="Times New Roman" w:hAnsi="Times New Roman"/>
                <w:sz w:val="24"/>
              </w:rPr>
              <w:t>articolo 344, paragrafo 4, seconda frase, del CRR.</w:t>
            </w:r>
          </w:p>
          <w:p w:rsidR="000B0B09" w:rsidRPr="00D51A68" w:rsidRDefault="000B0B09" w:rsidP="000B0B09">
            <w:pPr>
              <w:autoSpaceDE w:val="0"/>
              <w:autoSpaceDN w:val="0"/>
              <w:adjustRightInd w:val="0"/>
              <w:spacing w:before="0" w:after="0"/>
              <w:rPr>
                <w:rFonts w:ascii="Times New Roman" w:hAnsi="Times New Roman"/>
                <w:b/>
                <w:bCs/>
                <w:sz w:val="24"/>
                <w:u w:val="single"/>
              </w:rPr>
            </w:pPr>
          </w:p>
        </w:tc>
      </w:tr>
      <w:tr w:rsidR="000B0B09" w:rsidRPr="00D51A68" w:rsidTr="00672D2A">
        <w:tc>
          <w:tcPr>
            <w:tcW w:w="988" w:type="dxa"/>
          </w:tcPr>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060</w:t>
            </w:r>
          </w:p>
        </w:tc>
        <w:tc>
          <w:tcPr>
            <w:tcW w:w="7874" w:type="dxa"/>
          </w:tcPr>
          <w:p w:rsidR="000B0B09" w:rsidRPr="00D51A68" w:rsidRDefault="000B0B09" w:rsidP="000B0B09">
            <w:pPr>
              <w:tabs>
                <w:tab w:val="left" w:pos="1665"/>
              </w:tabs>
              <w:autoSpaceDE w:val="0"/>
              <w:autoSpaceDN w:val="0"/>
              <w:adjustRightInd w:val="0"/>
              <w:spacing w:before="0" w:after="0"/>
              <w:rPr>
                <w:rFonts w:ascii="Times New Roman" w:hAnsi="Times New Roman"/>
                <w:b/>
                <w:bCs/>
                <w:sz w:val="24"/>
                <w:u w:val="single"/>
              </w:rPr>
            </w:pPr>
            <w:r w:rsidRPr="00D51A68">
              <w:rPr>
                <w:rFonts w:ascii="Times New Roman" w:hAnsi="Times New Roman"/>
                <w:b/>
                <w:sz w:val="24"/>
                <w:u w:val="single"/>
              </w:rPr>
              <w:t>REQUISITI DI FONDI PROPRI</w:t>
            </w:r>
          </w:p>
          <w:p w:rsidR="000B0B09" w:rsidRPr="00D51A68" w:rsidRDefault="000B0B09" w:rsidP="000B0B09">
            <w:pPr>
              <w:tabs>
                <w:tab w:val="left" w:pos="1665"/>
              </w:tabs>
              <w:autoSpaceDE w:val="0"/>
              <w:autoSpaceDN w:val="0"/>
              <w:adjustRightInd w:val="0"/>
              <w:spacing w:before="0" w:after="0"/>
              <w:rPr>
                <w:rFonts w:ascii="Times New Roman" w:hAnsi="Times New Roman"/>
                <w:b/>
                <w:bCs/>
                <w:sz w:val="24"/>
                <w:u w:val="single"/>
              </w:rPr>
            </w:pPr>
          </w:p>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Copertura patrimoniale di qualsiasi posizione pertinente conformemente alla parte tre, titolo IV, capo 2, del CRR.</w:t>
            </w:r>
          </w:p>
          <w:p w:rsidR="000B0B09" w:rsidRPr="00D51A68" w:rsidRDefault="000B0B09" w:rsidP="000B0B09">
            <w:pPr>
              <w:tabs>
                <w:tab w:val="left" w:pos="1665"/>
              </w:tabs>
              <w:autoSpaceDE w:val="0"/>
              <w:autoSpaceDN w:val="0"/>
              <w:adjustRightInd w:val="0"/>
              <w:spacing w:before="0" w:after="0"/>
              <w:rPr>
                <w:rFonts w:ascii="Times New Roman" w:hAnsi="Times New Roman"/>
                <w:b/>
                <w:bCs/>
                <w:sz w:val="24"/>
                <w:u w:val="single"/>
              </w:rPr>
            </w:pPr>
          </w:p>
        </w:tc>
      </w:tr>
      <w:tr w:rsidR="000B0B09" w:rsidRPr="00D51A68" w:rsidTr="00672D2A">
        <w:tc>
          <w:tcPr>
            <w:tcW w:w="988" w:type="dxa"/>
          </w:tcPr>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070</w:t>
            </w:r>
          </w:p>
        </w:tc>
        <w:tc>
          <w:tcPr>
            <w:tcW w:w="7874" w:type="dxa"/>
          </w:tcPr>
          <w:p w:rsidR="000B0B09" w:rsidRPr="00D51A68" w:rsidRDefault="000B0B09" w:rsidP="000B0B09">
            <w:pPr>
              <w:tabs>
                <w:tab w:val="left" w:pos="1665"/>
              </w:tabs>
              <w:autoSpaceDE w:val="0"/>
              <w:autoSpaceDN w:val="0"/>
              <w:adjustRightInd w:val="0"/>
              <w:spacing w:before="0" w:after="0"/>
              <w:rPr>
                <w:rFonts w:ascii="Times New Roman" w:hAnsi="Times New Roman"/>
                <w:b/>
                <w:bCs/>
                <w:sz w:val="24"/>
                <w:u w:val="single"/>
              </w:rPr>
            </w:pPr>
            <w:r w:rsidRPr="00D51A68">
              <w:rPr>
                <w:rFonts w:ascii="Times New Roman" w:hAnsi="Times New Roman"/>
                <w:b/>
                <w:sz w:val="24"/>
                <w:u w:val="single"/>
              </w:rPr>
              <w:t>IMPORTO COMPLESSIVO DELL</w:t>
            </w:r>
            <w:r w:rsidR="0009277C" w:rsidRPr="00D51A68">
              <w:rPr>
                <w:rFonts w:ascii="Times New Roman" w:hAnsi="Times New Roman"/>
                <w:b/>
                <w:sz w:val="24"/>
                <w:u w:val="single"/>
              </w:rPr>
              <w:t>’</w:t>
            </w:r>
            <w:r w:rsidRPr="00D51A68">
              <w:rPr>
                <w:rFonts w:ascii="Times New Roman" w:hAnsi="Times New Roman"/>
                <w:b/>
                <w:sz w:val="24"/>
                <w:u w:val="single"/>
              </w:rPr>
              <w:t>ESPOSIZIONE AL RISCHIO</w:t>
            </w:r>
          </w:p>
          <w:p w:rsidR="000B0B09" w:rsidRPr="00D51A68" w:rsidRDefault="000B0B09" w:rsidP="000B0B09">
            <w:pPr>
              <w:tabs>
                <w:tab w:val="left" w:pos="1665"/>
              </w:tabs>
              <w:autoSpaceDE w:val="0"/>
              <w:autoSpaceDN w:val="0"/>
              <w:adjustRightInd w:val="0"/>
              <w:spacing w:before="0" w:after="0"/>
              <w:rPr>
                <w:rFonts w:ascii="Times New Roman" w:hAnsi="Times New Roman"/>
                <w:b/>
                <w:bCs/>
                <w:sz w:val="24"/>
                <w:u w:val="single"/>
              </w:rPr>
            </w:pPr>
          </w:p>
          <w:p w:rsidR="000B0B09" w:rsidRPr="00D51A68" w:rsidRDefault="000B0B09" w:rsidP="000B0B09">
            <w:pPr>
              <w:tabs>
                <w:tab w:val="left" w:pos="1665"/>
              </w:tabs>
              <w:autoSpaceDE w:val="0"/>
              <w:autoSpaceDN w:val="0"/>
              <w:adjustRightInd w:val="0"/>
              <w:spacing w:before="0" w:after="0"/>
              <w:rPr>
                <w:rFonts w:ascii="Times New Roman" w:hAnsi="Times New Roman"/>
                <w:b/>
                <w:bCs/>
                <w:sz w:val="24"/>
                <w:u w:val="single"/>
              </w:rPr>
            </w:pPr>
            <w:r w:rsidRPr="00D51A68">
              <w:rPr>
                <w:rFonts w:ascii="Times New Roman" w:hAnsi="Times New Roman"/>
                <w:sz w:val="24"/>
              </w:rPr>
              <w:t xml:space="preserve">Articolo 92, paragrafo 4, lettera b), del CRR. Risultato della moltiplicazione dei requisiti di fondi propri per 12,5. </w:t>
            </w:r>
          </w:p>
        </w:tc>
      </w:tr>
    </w:tbl>
    <w:p w:rsidR="000B0B09" w:rsidRPr="00D51A68" w:rsidRDefault="000B0B09" w:rsidP="000B0B09">
      <w:pPr>
        <w:autoSpaceDE w:val="0"/>
        <w:autoSpaceDN w:val="0"/>
        <w:adjustRightInd w:val="0"/>
        <w:spacing w:before="0" w:after="0"/>
        <w:rPr>
          <w:rFonts w:ascii="Times New Roman" w:hAnsi="Times New Roman"/>
          <w:sz w:val="24"/>
        </w:rPr>
      </w:pPr>
    </w:p>
    <w:p w:rsidR="000B0B09" w:rsidRPr="00D51A68" w:rsidRDefault="000B0B09" w:rsidP="000B0B09">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8204"/>
      </w:tblGrid>
      <w:tr w:rsidR="000B0B09" w:rsidRPr="00D51A68" w:rsidTr="00672D2A">
        <w:trPr>
          <w:trHeight w:val="662"/>
        </w:trPr>
        <w:tc>
          <w:tcPr>
            <w:tcW w:w="9212" w:type="dxa"/>
            <w:gridSpan w:val="2"/>
            <w:shd w:val="clear" w:color="auto" w:fill="CCCCCC"/>
          </w:tcPr>
          <w:p w:rsidR="000B0B09" w:rsidRPr="00D51A68" w:rsidRDefault="000B0B09" w:rsidP="000B0B09">
            <w:pPr>
              <w:autoSpaceDE w:val="0"/>
              <w:autoSpaceDN w:val="0"/>
              <w:adjustRightInd w:val="0"/>
              <w:spacing w:after="0"/>
              <w:rPr>
                <w:rFonts w:ascii="Times New Roman" w:hAnsi="Times New Roman"/>
                <w:b/>
                <w:sz w:val="24"/>
              </w:rPr>
            </w:pPr>
            <w:r w:rsidRPr="00D51A68">
              <w:rPr>
                <w:rFonts w:ascii="Times New Roman" w:hAnsi="Times New Roman"/>
                <w:b/>
                <w:sz w:val="24"/>
              </w:rPr>
              <w:t>Righe</w:t>
            </w:r>
          </w:p>
        </w:tc>
      </w:tr>
      <w:tr w:rsidR="000B0B09" w:rsidRPr="00D51A68" w:rsidTr="00672D2A">
        <w:tc>
          <w:tcPr>
            <w:tcW w:w="1008" w:type="dxa"/>
          </w:tcPr>
          <w:p w:rsidR="000B0B09" w:rsidRPr="00D51A68" w:rsidRDefault="000B0B09" w:rsidP="00B74792">
            <w:pPr>
              <w:autoSpaceDE w:val="0"/>
              <w:autoSpaceDN w:val="0"/>
              <w:adjustRightInd w:val="0"/>
              <w:spacing w:before="0" w:after="0"/>
              <w:rPr>
                <w:rFonts w:ascii="Times New Roman" w:hAnsi="Times New Roman"/>
                <w:sz w:val="24"/>
              </w:rPr>
            </w:pPr>
            <w:r w:rsidRPr="00D51A68">
              <w:rPr>
                <w:rFonts w:ascii="Times New Roman" w:hAnsi="Times New Roman"/>
                <w:sz w:val="24"/>
              </w:rPr>
              <w:t>010-130</w:t>
            </w:r>
          </w:p>
        </w:tc>
        <w:tc>
          <w:tcPr>
            <w:tcW w:w="8204" w:type="dxa"/>
          </w:tcPr>
          <w:p w:rsidR="000B0B09" w:rsidRPr="00D51A68" w:rsidRDefault="000B0B09" w:rsidP="000B0B09">
            <w:pPr>
              <w:autoSpaceDE w:val="0"/>
              <w:autoSpaceDN w:val="0"/>
              <w:adjustRightInd w:val="0"/>
              <w:spacing w:before="0" w:after="0"/>
              <w:rPr>
                <w:rFonts w:ascii="Times New Roman" w:hAnsi="Times New Roman"/>
                <w:b/>
                <w:bCs/>
                <w:sz w:val="24"/>
                <w:u w:val="single"/>
              </w:rPr>
            </w:pPr>
            <w:r w:rsidRPr="00D51A68">
              <w:rPr>
                <w:rFonts w:ascii="Times New Roman" w:hAnsi="Times New Roman"/>
                <w:b/>
                <w:sz w:val="24"/>
                <w:u w:val="single"/>
              </w:rPr>
              <w:t>STRUMENTI DI CAPITALE NEL PORTAFOGLIO DI NEGOZIAZIONE</w:t>
            </w:r>
          </w:p>
          <w:p w:rsidR="000B0B09" w:rsidRPr="00D51A68" w:rsidRDefault="000B0B09" w:rsidP="000B0B09">
            <w:pPr>
              <w:autoSpaceDE w:val="0"/>
              <w:autoSpaceDN w:val="0"/>
              <w:adjustRightInd w:val="0"/>
              <w:spacing w:before="0" w:after="0"/>
              <w:rPr>
                <w:rFonts w:ascii="Times New Roman" w:hAnsi="Times New Roman"/>
                <w:sz w:val="24"/>
              </w:rPr>
            </w:pPr>
          </w:p>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Requisiti di fondi propri per il rischio di posizione conformemente all</w:t>
            </w:r>
            <w:r w:rsidR="0009277C" w:rsidRPr="00D51A68">
              <w:rPr>
                <w:rFonts w:ascii="Times New Roman" w:hAnsi="Times New Roman"/>
                <w:sz w:val="24"/>
              </w:rPr>
              <w:t>’</w:t>
            </w:r>
            <w:r w:rsidRPr="00D51A68">
              <w:rPr>
                <w:rFonts w:ascii="Times New Roman" w:hAnsi="Times New Roman"/>
                <w:sz w:val="24"/>
              </w:rPr>
              <w:t>articolo 92, paragrafo 3, lettera b), punto i), del CRR e alla parte tre, titolo IV, capo 2</w:t>
            </w:r>
            <w:r w:rsidR="00941EC3" w:rsidRPr="00D51A68">
              <w:rPr>
                <w:rFonts w:ascii="Times New Roman" w:hAnsi="Times New Roman"/>
                <w:sz w:val="24"/>
              </w:rPr>
              <w:t>, sezione </w:t>
            </w:r>
            <w:r w:rsidRPr="00D51A68">
              <w:rPr>
                <w:rFonts w:ascii="Times New Roman" w:hAnsi="Times New Roman"/>
                <w:sz w:val="24"/>
              </w:rPr>
              <w:t>3, del CRR.</w:t>
            </w:r>
          </w:p>
          <w:p w:rsidR="000B0B09" w:rsidRPr="00D51A68" w:rsidRDefault="000B0B09" w:rsidP="000B0B09">
            <w:pPr>
              <w:autoSpaceDE w:val="0"/>
              <w:autoSpaceDN w:val="0"/>
              <w:adjustRightInd w:val="0"/>
              <w:spacing w:before="0" w:after="0"/>
              <w:rPr>
                <w:rFonts w:ascii="Times New Roman" w:hAnsi="Times New Roman"/>
                <w:sz w:val="24"/>
              </w:rPr>
            </w:pPr>
          </w:p>
        </w:tc>
      </w:tr>
      <w:tr w:rsidR="000B0B09" w:rsidRPr="00D51A68" w:rsidTr="00672D2A">
        <w:tc>
          <w:tcPr>
            <w:tcW w:w="1008" w:type="dxa"/>
          </w:tcPr>
          <w:p w:rsidR="000B0B09" w:rsidRPr="00D51A68" w:rsidRDefault="000B0B09" w:rsidP="00B74792">
            <w:pPr>
              <w:autoSpaceDE w:val="0"/>
              <w:autoSpaceDN w:val="0"/>
              <w:adjustRightInd w:val="0"/>
              <w:spacing w:before="0" w:after="0"/>
              <w:rPr>
                <w:rFonts w:ascii="Times New Roman" w:hAnsi="Times New Roman"/>
                <w:sz w:val="24"/>
              </w:rPr>
            </w:pPr>
            <w:r w:rsidRPr="00D51A68">
              <w:rPr>
                <w:rFonts w:ascii="Times New Roman" w:hAnsi="Times New Roman"/>
                <w:sz w:val="24"/>
              </w:rPr>
              <w:t>020-040</w:t>
            </w:r>
          </w:p>
        </w:tc>
        <w:tc>
          <w:tcPr>
            <w:tcW w:w="8204" w:type="dxa"/>
          </w:tcPr>
          <w:p w:rsidR="000B0B09" w:rsidRPr="00D51A68" w:rsidRDefault="000B0B09" w:rsidP="000B0B09">
            <w:pPr>
              <w:autoSpaceDE w:val="0"/>
              <w:autoSpaceDN w:val="0"/>
              <w:adjustRightInd w:val="0"/>
              <w:spacing w:before="0" w:after="0"/>
              <w:rPr>
                <w:rFonts w:ascii="Times New Roman" w:hAnsi="Times New Roman"/>
                <w:b/>
                <w:bCs/>
                <w:sz w:val="24"/>
                <w:u w:val="single"/>
              </w:rPr>
            </w:pPr>
            <w:r w:rsidRPr="00D51A68">
              <w:rPr>
                <w:rFonts w:ascii="Times New Roman" w:hAnsi="Times New Roman"/>
                <w:b/>
                <w:sz w:val="24"/>
                <w:u w:val="single"/>
              </w:rPr>
              <w:t>RISCHIO GENERICO</w:t>
            </w:r>
          </w:p>
          <w:p w:rsidR="000B0B09" w:rsidRPr="00D51A68" w:rsidRDefault="000B0B09" w:rsidP="000B0B09">
            <w:pPr>
              <w:autoSpaceDE w:val="0"/>
              <w:autoSpaceDN w:val="0"/>
              <w:adjustRightInd w:val="0"/>
              <w:spacing w:before="0" w:after="0"/>
              <w:rPr>
                <w:rFonts w:ascii="Times New Roman" w:hAnsi="Times New Roman"/>
                <w:sz w:val="24"/>
              </w:rPr>
            </w:pPr>
          </w:p>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Posizioni in strumenti di capitale soggette al rischio generico (articolo 343 del CRR) e relativi requisiti di fondi propri conformemente alla parte tre, titolo IV, capo 2, sezione 3, del CRR.</w:t>
            </w:r>
          </w:p>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 xml:space="preserve">Entrambe le ripartizioni (021/022 e 030/040) riguardano tutte le posizioni soggette al rischio generico. </w:t>
            </w:r>
          </w:p>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 xml:space="preserve">Nelle righe 021 e 022 sono segnalate informazioni relative alla ripartizione per strumenti. Per calcolare i requisiti di fondi propri si fa riferimento unicamente alla ripartizione nelle righe 030 e 040. </w:t>
            </w:r>
          </w:p>
          <w:p w:rsidR="000B0B09" w:rsidRPr="00D51A68" w:rsidRDefault="000B0B09" w:rsidP="000B0B09">
            <w:pPr>
              <w:autoSpaceDE w:val="0"/>
              <w:autoSpaceDN w:val="0"/>
              <w:adjustRightInd w:val="0"/>
              <w:spacing w:before="0" w:after="0"/>
              <w:rPr>
                <w:rFonts w:ascii="Times New Roman" w:hAnsi="Times New Roman"/>
                <w:sz w:val="24"/>
              </w:rPr>
            </w:pPr>
          </w:p>
        </w:tc>
      </w:tr>
      <w:tr w:rsidR="000B0B09" w:rsidRPr="00D51A68" w:rsidTr="00672D2A">
        <w:tc>
          <w:tcPr>
            <w:tcW w:w="1008" w:type="dxa"/>
          </w:tcPr>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021</w:t>
            </w:r>
          </w:p>
        </w:tc>
        <w:tc>
          <w:tcPr>
            <w:tcW w:w="8204" w:type="dxa"/>
          </w:tcPr>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Derivati</w:t>
            </w:r>
          </w:p>
          <w:p w:rsidR="000B0B09" w:rsidRPr="00D51A68" w:rsidRDefault="000B0B09" w:rsidP="000B0B09">
            <w:pPr>
              <w:autoSpaceDE w:val="0"/>
              <w:autoSpaceDN w:val="0"/>
              <w:adjustRightInd w:val="0"/>
              <w:spacing w:before="0" w:after="0"/>
              <w:rPr>
                <w:rFonts w:ascii="Times New Roman" w:hAnsi="Times New Roman"/>
                <w:sz w:val="24"/>
              </w:rPr>
            </w:pPr>
          </w:p>
          <w:p w:rsidR="000B0B09" w:rsidRPr="00D51A68" w:rsidRDefault="000B0B09" w:rsidP="000B0B09">
            <w:pPr>
              <w:autoSpaceDE w:val="0"/>
              <w:autoSpaceDN w:val="0"/>
              <w:adjustRightInd w:val="0"/>
              <w:spacing w:before="0" w:after="0"/>
              <w:rPr>
                <w:rFonts w:ascii="Times New Roman" w:hAnsi="Times New Roman"/>
                <w:b/>
                <w:bCs/>
                <w:sz w:val="24"/>
                <w:u w:val="single"/>
              </w:rPr>
            </w:pPr>
            <w:r w:rsidRPr="00D51A68">
              <w:rPr>
                <w:rFonts w:ascii="Times New Roman" w:hAnsi="Times New Roman"/>
                <w:sz w:val="24"/>
              </w:rPr>
              <w:t>Derivati considerati nel calcolo del rischio di strumenti di capitale di posizioni del portafoglio di negoziazione tenuto conto degli articoli 329 e 332, ove applicabili.</w:t>
            </w:r>
          </w:p>
        </w:tc>
      </w:tr>
      <w:tr w:rsidR="000B0B09" w:rsidRPr="00D51A68" w:rsidTr="00672D2A">
        <w:tc>
          <w:tcPr>
            <w:tcW w:w="1008" w:type="dxa"/>
          </w:tcPr>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022</w:t>
            </w:r>
          </w:p>
        </w:tc>
        <w:tc>
          <w:tcPr>
            <w:tcW w:w="8204" w:type="dxa"/>
          </w:tcPr>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Altre attività e passività</w:t>
            </w:r>
          </w:p>
          <w:p w:rsidR="000B0B09" w:rsidRPr="00D51A68" w:rsidRDefault="000B0B09" w:rsidP="000B0B09">
            <w:pPr>
              <w:autoSpaceDE w:val="0"/>
              <w:autoSpaceDN w:val="0"/>
              <w:adjustRightInd w:val="0"/>
              <w:spacing w:before="0" w:after="0"/>
              <w:rPr>
                <w:rFonts w:ascii="Times New Roman" w:hAnsi="Times New Roman"/>
                <w:sz w:val="24"/>
              </w:rPr>
            </w:pPr>
          </w:p>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 xml:space="preserve">Strumenti diversi dai derivati compresi nel calcolo del rischio di strumenti di capitale di posizioni del portafoglio di negoziazione. </w:t>
            </w:r>
          </w:p>
          <w:p w:rsidR="000B0B09" w:rsidRPr="00D51A68" w:rsidRDefault="000B0B09" w:rsidP="000B0B09">
            <w:pPr>
              <w:autoSpaceDE w:val="0"/>
              <w:autoSpaceDN w:val="0"/>
              <w:adjustRightInd w:val="0"/>
              <w:spacing w:before="0" w:after="0"/>
              <w:rPr>
                <w:rFonts w:ascii="Times New Roman" w:hAnsi="Times New Roman"/>
                <w:b/>
                <w:bCs/>
                <w:sz w:val="24"/>
                <w:u w:val="single"/>
              </w:rPr>
            </w:pPr>
          </w:p>
        </w:tc>
      </w:tr>
      <w:tr w:rsidR="000B0B09" w:rsidRPr="00D51A68" w:rsidTr="00672D2A">
        <w:tc>
          <w:tcPr>
            <w:tcW w:w="1008" w:type="dxa"/>
          </w:tcPr>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030</w:t>
            </w:r>
          </w:p>
        </w:tc>
        <w:tc>
          <w:tcPr>
            <w:tcW w:w="8204" w:type="dxa"/>
          </w:tcPr>
          <w:p w:rsidR="000B0B09" w:rsidRPr="00D51A68" w:rsidRDefault="000B0B09" w:rsidP="000B0B09">
            <w:pPr>
              <w:autoSpaceDE w:val="0"/>
              <w:autoSpaceDN w:val="0"/>
              <w:adjustRightInd w:val="0"/>
              <w:spacing w:before="0" w:after="0"/>
              <w:rPr>
                <w:rFonts w:ascii="Times New Roman" w:hAnsi="Times New Roman"/>
                <w:b/>
                <w:bCs/>
                <w:sz w:val="24"/>
                <w:u w:val="single"/>
              </w:rPr>
            </w:pPr>
            <w:r w:rsidRPr="00D51A68">
              <w:rPr>
                <w:rFonts w:ascii="Times New Roman" w:hAnsi="Times New Roman"/>
                <w:b/>
                <w:sz w:val="24"/>
                <w:u w:val="single"/>
              </w:rPr>
              <w:t>Contratti future su indici azionari negoziati in Borsa ampiamente diversificati soggetti a un metodo particolare</w:t>
            </w:r>
          </w:p>
          <w:p w:rsidR="000B0B09" w:rsidRPr="00D51A68" w:rsidRDefault="000B0B09" w:rsidP="000B0B09">
            <w:pPr>
              <w:autoSpaceDE w:val="0"/>
              <w:autoSpaceDN w:val="0"/>
              <w:adjustRightInd w:val="0"/>
              <w:spacing w:before="0" w:after="0"/>
              <w:rPr>
                <w:rFonts w:ascii="Times New Roman" w:hAnsi="Times New Roman"/>
                <w:sz w:val="24"/>
              </w:rPr>
            </w:pPr>
          </w:p>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Contratti future su indici azionari negoziati in Borsa ampiamente diversificati e soggetti a un metodo particolare conformemente all</w:t>
            </w:r>
            <w:r w:rsidR="0009277C" w:rsidRPr="00D51A68">
              <w:rPr>
                <w:rFonts w:ascii="Times New Roman" w:hAnsi="Times New Roman"/>
                <w:sz w:val="24"/>
              </w:rPr>
              <w:t>’</w:t>
            </w:r>
            <w:r w:rsidRPr="00D51A68">
              <w:rPr>
                <w:rFonts w:ascii="Times New Roman" w:hAnsi="Times New Roman"/>
                <w:sz w:val="24"/>
              </w:rPr>
              <w:t>articolo 344, paragrafi 1 e 4, del CRR. Queste posizioni sono soggette soltanto al rischio generico e, di conseguenza, non vanno segnalate nella riga (050).</w:t>
            </w:r>
          </w:p>
          <w:p w:rsidR="000B0B09" w:rsidRPr="00D51A68" w:rsidRDefault="000B0B09" w:rsidP="000B0B09">
            <w:pPr>
              <w:autoSpaceDE w:val="0"/>
              <w:autoSpaceDN w:val="0"/>
              <w:adjustRightInd w:val="0"/>
              <w:spacing w:before="0" w:after="0"/>
              <w:rPr>
                <w:rFonts w:ascii="Times New Roman" w:hAnsi="Times New Roman"/>
                <w:b/>
                <w:bCs/>
                <w:sz w:val="24"/>
                <w:u w:val="single"/>
              </w:rPr>
            </w:pPr>
          </w:p>
        </w:tc>
      </w:tr>
      <w:tr w:rsidR="000B0B09" w:rsidRPr="00D51A68" w:rsidTr="00672D2A">
        <w:tc>
          <w:tcPr>
            <w:tcW w:w="1008" w:type="dxa"/>
          </w:tcPr>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040</w:t>
            </w:r>
          </w:p>
        </w:tc>
        <w:tc>
          <w:tcPr>
            <w:tcW w:w="8204" w:type="dxa"/>
          </w:tcPr>
          <w:p w:rsidR="000B0B09" w:rsidRPr="00D51A68" w:rsidRDefault="000B0B09" w:rsidP="000B0B09">
            <w:pPr>
              <w:autoSpaceDE w:val="0"/>
              <w:autoSpaceDN w:val="0"/>
              <w:adjustRightInd w:val="0"/>
              <w:spacing w:before="0" w:after="0"/>
              <w:rPr>
                <w:rFonts w:ascii="Times New Roman" w:hAnsi="Times New Roman"/>
                <w:b/>
                <w:bCs/>
                <w:sz w:val="24"/>
                <w:u w:val="single"/>
              </w:rPr>
            </w:pPr>
            <w:r w:rsidRPr="00D51A68">
              <w:rPr>
                <w:rFonts w:ascii="Times New Roman" w:hAnsi="Times New Roman"/>
                <w:b/>
                <w:sz w:val="24"/>
                <w:u w:val="single"/>
              </w:rPr>
              <w:t>Strumenti di capitale diversi dai contratti future su indici azionari negoziati in Borsa ampiamente diversificati</w:t>
            </w:r>
          </w:p>
          <w:p w:rsidR="000B0B09" w:rsidRPr="00D51A68" w:rsidRDefault="000B0B09" w:rsidP="000B0B09">
            <w:pPr>
              <w:autoSpaceDE w:val="0"/>
              <w:autoSpaceDN w:val="0"/>
              <w:adjustRightInd w:val="0"/>
              <w:spacing w:before="0" w:after="0"/>
              <w:rPr>
                <w:rFonts w:ascii="Times New Roman" w:hAnsi="Times New Roman"/>
                <w:sz w:val="24"/>
              </w:rPr>
            </w:pPr>
          </w:p>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Altre posizioni in strumenti di capitale soggette a rischio specifico e relativi requisiti di fondi propri conformemente all</w:t>
            </w:r>
            <w:r w:rsidR="0009277C" w:rsidRPr="00D51A68">
              <w:rPr>
                <w:rFonts w:ascii="Times New Roman" w:hAnsi="Times New Roman"/>
                <w:sz w:val="24"/>
              </w:rPr>
              <w:t>’</w:t>
            </w:r>
            <w:r w:rsidRPr="00D51A68">
              <w:rPr>
                <w:rFonts w:ascii="Times New Roman" w:hAnsi="Times New Roman"/>
                <w:sz w:val="24"/>
              </w:rPr>
              <w:t>articolo 343 e all</w:t>
            </w:r>
            <w:r w:rsidR="0009277C" w:rsidRPr="00D51A68">
              <w:rPr>
                <w:rFonts w:ascii="Times New Roman" w:hAnsi="Times New Roman"/>
                <w:sz w:val="24"/>
              </w:rPr>
              <w:t>’</w:t>
            </w:r>
            <w:r w:rsidRPr="00D51A68">
              <w:rPr>
                <w:rFonts w:ascii="Times New Roman" w:hAnsi="Times New Roman"/>
                <w:sz w:val="24"/>
              </w:rPr>
              <w:t xml:space="preserve">articolo 344, paragrafo 3, del CRR. </w:t>
            </w:r>
          </w:p>
        </w:tc>
      </w:tr>
      <w:tr w:rsidR="000B0B09" w:rsidRPr="00D51A68" w:rsidTr="00672D2A">
        <w:tc>
          <w:tcPr>
            <w:tcW w:w="1008" w:type="dxa"/>
          </w:tcPr>
          <w:p w:rsidR="000B0B09" w:rsidRPr="00D51A68" w:rsidRDefault="000B0B09" w:rsidP="00B74792">
            <w:pPr>
              <w:autoSpaceDE w:val="0"/>
              <w:autoSpaceDN w:val="0"/>
              <w:adjustRightInd w:val="0"/>
              <w:spacing w:before="0" w:after="0"/>
              <w:rPr>
                <w:rFonts w:ascii="Times New Roman" w:hAnsi="Times New Roman"/>
                <w:sz w:val="24"/>
              </w:rPr>
            </w:pPr>
            <w:r w:rsidRPr="00D51A68">
              <w:rPr>
                <w:rFonts w:ascii="Times New Roman" w:hAnsi="Times New Roman"/>
                <w:sz w:val="24"/>
              </w:rPr>
              <w:t xml:space="preserve">050 </w:t>
            </w:r>
          </w:p>
        </w:tc>
        <w:tc>
          <w:tcPr>
            <w:tcW w:w="8204" w:type="dxa"/>
          </w:tcPr>
          <w:p w:rsidR="000B0B09" w:rsidRPr="00D51A68" w:rsidRDefault="000B0B09" w:rsidP="000B0B09">
            <w:pPr>
              <w:autoSpaceDE w:val="0"/>
              <w:autoSpaceDN w:val="0"/>
              <w:adjustRightInd w:val="0"/>
              <w:spacing w:before="0" w:after="0"/>
              <w:rPr>
                <w:rFonts w:ascii="Times New Roman" w:hAnsi="Times New Roman"/>
                <w:b/>
                <w:bCs/>
                <w:sz w:val="24"/>
                <w:u w:val="single"/>
              </w:rPr>
            </w:pPr>
            <w:r w:rsidRPr="00D51A68">
              <w:rPr>
                <w:rFonts w:ascii="Times New Roman" w:hAnsi="Times New Roman"/>
                <w:b/>
                <w:sz w:val="24"/>
                <w:u w:val="single"/>
              </w:rPr>
              <w:t>RISCHIO SPECIFICO</w:t>
            </w:r>
          </w:p>
          <w:p w:rsidR="000B0B09" w:rsidRPr="00D51A68" w:rsidRDefault="000B0B09" w:rsidP="000B0B09">
            <w:pPr>
              <w:autoSpaceDE w:val="0"/>
              <w:autoSpaceDN w:val="0"/>
              <w:adjustRightInd w:val="0"/>
              <w:spacing w:before="0" w:after="0"/>
              <w:rPr>
                <w:rFonts w:ascii="Times New Roman" w:hAnsi="Times New Roman"/>
                <w:sz w:val="24"/>
              </w:rPr>
            </w:pPr>
          </w:p>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Posizioni in strumenti di capitale soggette a rischio specifico e relativo requisito di fondi propri conformemente all</w:t>
            </w:r>
            <w:r w:rsidR="0009277C" w:rsidRPr="00D51A68">
              <w:rPr>
                <w:rFonts w:ascii="Times New Roman" w:hAnsi="Times New Roman"/>
                <w:sz w:val="24"/>
              </w:rPr>
              <w:t>’</w:t>
            </w:r>
            <w:r w:rsidRPr="00D51A68">
              <w:rPr>
                <w:rFonts w:ascii="Times New Roman" w:hAnsi="Times New Roman"/>
                <w:sz w:val="24"/>
              </w:rPr>
              <w:t>articolo 342 e all</w:t>
            </w:r>
            <w:r w:rsidR="0009277C" w:rsidRPr="00D51A68">
              <w:rPr>
                <w:rFonts w:ascii="Times New Roman" w:hAnsi="Times New Roman"/>
                <w:sz w:val="24"/>
              </w:rPr>
              <w:t>’</w:t>
            </w:r>
            <w:r w:rsidRPr="00D51A68">
              <w:rPr>
                <w:rFonts w:ascii="Times New Roman" w:hAnsi="Times New Roman"/>
                <w:sz w:val="24"/>
              </w:rPr>
              <w:t xml:space="preserve">articolo 344, paragrafo 4, del CRR. </w:t>
            </w:r>
          </w:p>
          <w:p w:rsidR="000B0B09" w:rsidRPr="00D51A68" w:rsidRDefault="000B0B09" w:rsidP="000B0B09">
            <w:pPr>
              <w:autoSpaceDE w:val="0"/>
              <w:autoSpaceDN w:val="0"/>
              <w:adjustRightInd w:val="0"/>
              <w:spacing w:before="0" w:after="0"/>
              <w:rPr>
                <w:rFonts w:ascii="Times New Roman" w:hAnsi="Times New Roman"/>
                <w:sz w:val="24"/>
              </w:rPr>
            </w:pPr>
          </w:p>
        </w:tc>
      </w:tr>
      <w:tr w:rsidR="000B0B09" w:rsidRPr="00D51A68" w:rsidTr="00672D2A">
        <w:tc>
          <w:tcPr>
            <w:tcW w:w="1008" w:type="dxa"/>
          </w:tcPr>
          <w:p w:rsidR="000B0B09" w:rsidRPr="00D51A68" w:rsidRDefault="000B0B09" w:rsidP="00B74792">
            <w:pPr>
              <w:autoSpaceDE w:val="0"/>
              <w:autoSpaceDN w:val="0"/>
              <w:adjustRightInd w:val="0"/>
              <w:spacing w:before="0" w:after="0"/>
              <w:rPr>
                <w:rFonts w:ascii="Times New Roman" w:hAnsi="Times New Roman"/>
                <w:sz w:val="24"/>
              </w:rPr>
            </w:pPr>
            <w:r w:rsidRPr="00D51A68">
              <w:rPr>
                <w:rFonts w:ascii="Times New Roman" w:hAnsi="Times New Roman"/>
                <w:sz w:val="24"/>
              </w:rPr>
              <w:t>090-130</w:t>
            </w:r>
          </w:p>
        </w:tc>
        <w:tc>
          <w:tcPr>
            <w:tcW w:w="8204" w:type="dxa"/>
          </w:tcPr>
          <w:p w:rsidR="000B0B09" w:rsidRPr="00D51A68" w:rsidRDefault="000B0B09" w:rsidP="000B0B09">
            <w:pPr>
              <w:autoSpaceDE w:val="0"/>
              <w:autoSpaceDN w:val="0"/>
              <w:adjustRightInd w:val="0"/>
              <w:spacing w:before="0" w:after="0"/>
              <w:rPr>
                <w:rFonts w:ascii="Times New Roman" w:hAnsi="Times New Roman"/>
                <w:b/>
                <w:bCs/>
                <w:sz w:val="24"/>
                <w:u w:val="single"/>
              </w:rPr>
            </w:pPr>
            <w:r w:rsidRPr="00D51A68">
              <w:rPr>
                <w:rStyle w:val="InstructionsTabelleberschrift"/>
                <w:rFonts w:ascii="Times New Roman" w:hAnsi="Times New Roman"/>
                <w:sz w:val="24"/>
              </w:rPr>
              <w:t>REQUISITI AGGIUNTIVI PER LE OPZIONI (RISCHI NON DELTA)</w:t>
            </w:r>
          </w:p>
          <w:p w:rsidR="000B0B09" w:rsidRPr="00D51A68" w:rsidRDefault="000B0B09" w:rsidP="000B0B09">
            <w:pPr>
              <w:autoSpaceDE w:val="0"/>
              <w:autoSpaceDN w:val="0"/>
              <w:adjustRightInd w:val="0"/>
              <w:spacing w:before="0" w:after="0"/>
              <w:rPr>
                <w:rFonts w:ascii="Times New Roman" w:hAnsi="Times New Roman"/>
                <w:sz w:val="24"/>
              </w:rPr>
            </w:pPr>
          </w:p>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 xml:space="preserve">Articolo 329, paragrafi 2 e 3, del CRR. </w:t>
            </w:r>
          </w:p>
          <w:p w:rsidR="000B0B09" w:rsidRPr="00D51A68" w:rsidRDefault="000B0B09" w:rsidP="000B0B09">
            <w:pPr>
              <w:autoSpaceDE w:val="0"/>
              <w:autoSpaceDN w:val="0"/>
              <w:adjustRightInd w:val="0"/>
              <w:spacing w:before="0" w:after="0"/>
              <w:rPr>
                <w:rFonts w:ascii="Times New Roman" w:hAnsi="Times New Roman"/>
                <w:sz w:val="24"/>
              </w:rPr>
            </w:pPr>
          </w:p>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I requisiti aggiuntivi per le opzioni correlate a rischi diversi dal rischio delta sono segnalati nel metodo utilizzato per il relativo calcolo.</w:t>
            </w:r>
          </w:p>
          <w:p w:rsidR="000B0B09" w:rsidRPr="00D51A68" w:rsidRDefault="000B0B09" w:rsidP="000B0B09">
            <w:pPr>
              <w:autoSpaceDE w:val="0"/>
              <w:autoSpaceDN w:val="0"/>
              <w:adjustRightInd w:val="0"/>
              <w:spacing w:before="0" w:after="0"/>
              <w:rPr>
                <w:rFonts w:ascii="Times New Roman" w:hAnsi="Times New Roman"/>
                <w:sz w:val="24"/>
              </w:rPr>
            </w:pPr>
          </w:p>
        </w:tc>
      </w:tr>
    </w:tbl>
    <w:p w:rsidR="000B0B09" w:rsidRPr="00D51A68" w:rsidRDefault="000B0B09" w:rsidP="000B0B09">
      <w:pPr>
        <w:autoSpaceDE w:val="0"/>
        <w:autoSpaceDN w:val="0"/>
        <w:adjustRightInd w:val="0"/>
        <w:spacing w:before="0" w:after="0"/>
        <w:rPr>
          <w:rFonts w:ascii="Times New Roman" w:hAnsi="Times New Roman"/>
          <w:bCs/>
          <w:sz w:val="24"/>
        </w:rPr>
      </w:pPr>
    </w:p>
    <w:p w:rsidR="000B0B09" w:rsidRPr="00D51A68" w:rsidRDefault="00125707" w:rsidP="0023700C">
      <w:pPr>
        <w:pStyle w:val="Instructionsberschrift2"/>
        <w:numPr>
          <w:ilvl w:val="0"/>
          <w:numId w:val="0"/>
        </w:numPr>
        <w:ind w:left="357" w:hanging="357"/>
        <w:rPr>
          <w:rFonts w:ascii="Times New Roman" w:hAnsi="Times New Roman" w:cs="Times New Roman"/>
          <w:sz w:val="24"/>
        </w:rPr>
      </w:pPr>
      <w:bookmarkStart w:id="694" w:name="_Toc262566432"/>
      <w:bookmarkStart w:id="695" w:name="_Toc295830008"/>
      <w:bookmarkStart w:id="696" w:name="_Toc308426685"/>
      <w:bookmarkStart w:id="697" w:name="_Toc310415069"/>
      <w:bookmarkStart w:id="698" w:name="_Toc360188404"/>
      <w:bookmarkStart w:id="699" w:name="_Toc516210695"/>
      <w:bookmarkStart w:id="700" w:name="_Toc473561044"/>
      <w:bookmarkStart w:id="701" w:name="_Toc524096640"/>
      <w:r w:rsidRPr="00D51A68">
        <w:rPr>
          <w:rFonts w:ascii="Times New Roman" w:hAnsi="Times New Roman"/>
          <w:sz w:val="24"/>
          <w:u w:val="none"/>
        </w:rPr>
        <w:t>5.5.</w:t>
      </w:r>
      <w:r w:rsidR="00A0772B" w:rsidRPr="00D51A68">
        <w:rPr>
          <w:u w:val="none"/>
        </w:rPr>
        <w:tab/>
      </w:r>
      <w:r w:rsidRPr="00D51A68">
        <w:rPr>
          <w:rFonts w:ascii="Times New Roman" w:hAnsi="Times New Roman"/>
          <w:sz w:val="24"/>
        </w:rPr>
        <w:t>C 22.00 — Rischio di mercato: metodi standardizzati per il rischio di cambio</w:t>
      </w:r>
      <w:bookmarkEnd w:id="694"/>
      <w:bookmarkEnd w:id="695"/>
      <w:bookmarkEnd w:id="696"/>
      <w:bookmarkEnd w:id="697"/>
      <w:bookmarkEnd w:id="698"/>
      <w:r w:rsidRPr="00D51A68">
        <w:rPr>
          <w:rFonts w:ascii="Times New Roman" w:hAnsi="Times New Roman"/>
          <w:sz w:val="24"/>
        </w:rPr>
        <w:t xml:space="preserve"> (MKR SA FX)</w:t>
      </w:r>
      <w:bookmarkEnd w:id="699"/>
      <w:bookmarkEnd w:id="700"/>
      <w:bookmarkEnd w:id="701"/>
    </w:p>
    <w:p w:rsidR="000B0B09" w:rsidRPr="00D51A68" w:rsidRDefault="00125707" w:rsidP="0023700C">
      <w:pPr>
        <w:pStyle w:val="Instructionsberschrift2"/>
        <w:numPr>
          <w:ilvl w:val="0"/>
          <w:numId w:val="0"/>
        </w:numPr>
        <w:ind w:left="357" w:hanging="357"/>
        <w:rPr>
          <w:rFonts w:ascii="Times New Roman" w:hAnsi="Times New Roman" w:cs="Times New Roman"/>
          <w:sz w:val="24"/>
        </w:rPr>
      </w:pPr>
      <w:bookmarkStart w:id="702" w:name="_Toc262566433"/>
      <w:bookmarkStart w:id="703" w:name="_Toc295830009"/>
      <w:bookmarkStart w:id="704" w:name="_Toc308426686"/>
      <w:bookmarkStart w:id="705" w:name="_Toc310415070"/>
      <w:bookmarkStart w:id="706" w:name="_Toc360188405"/>
      <w:bookmarkStart w:id="707" w:name="_Toc516210696"/>
      <w:bookmarkStart w:id="708" w:name="_Toc473561045"/>
      <w:bookmarkStart w:id="709" w:name="_Toc524096641"/>
      <w:r w:rsidRPr="00D51A68">
        <w:rPr>
          <w:rFonts w:ascii="Times New Roman" w:hAnsi="Times New Roman"/>
          <w:sz w:val="24"/>
          <w:u w:val="none"/>
        </w:rPr>
        <w:t>5.5.1.</w:t>
      </w:r>
      <w:r w:rsidR="00A0772B" w:rsidRPr="00D51A68">
        <w:rPr>
          <w:u w:val="none"/>
        </w:rPr>
        <w:tab/>
      </w:r>
      <w:r w:rsidRPr="00D51A68">
        <w:rPr>
          <w:rFonts w:ascii="Times New Roman" w:hAnsi="Times New Roman"/>
          <w:sz w:val="24"/>
        </w:rPr>
        <w:t>Osservazioni di carattere generale</w:t>
      </w:r>
      <w:bookmarkEnd w:id="702"/>
      <w:bookmarkEnd w:id="703"/>
      <w:bookmarkEnd w:id="704"/>
      <w:bookmarkEnd w:id="705"/>
      <w:bookmarkEnd w:id="706"/>
      <w:bookmarkEnd w:id="707"/>
      <w:bookmarkEnd w:id="708"/>
      <w:bookmarkEnd w:id="709"/>
    </w:p>
    <w:p w:rsidR="00F71DF2" w:rsidRPr="00D51A68" w:rsidRDefault="00125707" w:rsidP="00941EC3">
      <w:pPr>
        <w:pStyle w:val="InstructionsText2"/>
        <w:numPr>
          <w:ilvl w:val="0"/>
          <w:numId w:val="0"/>
        </w:numPr>
        <w:ind w:left="993"/>
      </w:pPr>
      <w:r w:rsidRPr="00D51A68">
        <w:t>150.</w:t>
      </w:r>
      <w:r w:rsidR="00A0772B" w:rsidRPr="00D51A68">
        <w:tab/>
      </w:r>
      <w:r w:rsidRPr="00D51A68">
        <w:t>Gli enti segnalano informazioni sulle posizioni in ciascuna valuta (compresa la valuta utilizzata per le segnalazioni) e i relativi requisiti di fondi propri per il cambio, trattati secondo il metodo standardizzato. La posizione è calcolata per ciascuna valuta (compreso l</w:t>
      </w:r>
      <w:r w:rsidR="0009277C" w:rsidRPr="00D51A68">
        <w:t>’</w:t>
      </w:r>
      <w:r w:rsidRPr="00D51A68">
        <w:t>euro), l</w:t>
      </w:r>
      <w:r w:rsidR="0009277C" w:rsidRPr="00D51A68">
        <w:t>’</w:t>
      </w:r>
      <w:r w:rsidRPr="00D51A68">
        <w:t xml:space="preserve">oro e le posizioni in quote di OIC. </w:t>
      </w:r>
    </w:p>
    <w:p w:rsidR="000B0B09" w:rsidRPr="00D51A68" w:rsidRDefault="00125707" w:rsidP="00941EC3">
      <w:pPr>
        <w:pStyle w:val="InstructionsText2"/>
        <w:numPr>
          <w:ilvl w:val="0"/>
          <w:numId w:val="0"/>
        </w:numPr>
        <w:ind w:left="993"/>
      </w:pPr>
      <w:r w:rsidRPr="00D51A68">
        <w:t>151.</w:t>
      </w:r>
      <w:r w:rsidR="00A0772B" w:rsidRPr="00D51A68">
        <w:tab/>
      </w:r>
      <w:r w:rsidRPr="00D51A68">
        <w:t>Le righe da 100 a 480 di questo modello sono compilate anche se gli enti non sono tenuti a calcolare i requisiti di fondi propri per il rischio di cambio a norma dell</w:t>
      </w:r>
      <w:r w:rsidR="0009277C" w:rsidRPr="00D51A68">
        <w:t>’</w:t>
      </w:r>
      <w:r w:rsidRPr="00D51A68">
        <w:t>articolo 351 del CRR. In tali voci per memoria sono incluse tutte le posizioni nella valuta utilizzata per le segnalazioni, indipendentemente dalla misura in cui esse sono considerate ai fini dell</w:t>
      </w:r>
      <w:r w:rsidR="0009277C" w:rsidRPr="00D51A68">
        <w:t>’</w:t>
      </w:r>
      <w:r w:rsidRPr="00D51A68">
        <w:t>articolo 354 del CRR. Le righe da 130 a 480 delle voci per memoria del modello sono compilate separatamente per tutte le valute degli Stati membri dell</w:t>
      </w:r>
      <w:r w:rsidR="0009277C" w:rsidRPr="00D51A68">
        <w:t>’</w:t>
      </w:r>
      <w:r w:rsidRPr="00D51A68">
        <w:t>Unione e per le valute seguenti: USD, CHF, JPY, RUB, TRY, AUD, CAD, RSD, ALL, UAH, MKD, EGP, ARS, BRL, MXN, HKD, ICK, TWD, NZD, NOK, SGD, KRW, CNY, nonché per tutte le altre valute.</w:t>
      </w:r>
    </w:p>
    <w:p w:rsidR="000B0B09" w:rsidRPr="00D51A68" w:rsidRDefault="00125707" w:rsidP="0023700C">
      <w:pPr>
        <w:pStyle w:val="Instructionsberschrift2"/>
        <w:numPr>
          <w:ilvl w:val="0"/>
          <w:numId w:val="0"/>
        </w:numPr>
        <w:ind w:left="357" w:hanging="357"/>
        <w:rPr>
          <w:rFonts w:ascii="Times New Roman" w:hAnsi="Times New Roman" w:cs="Times New Roman"/>
          <w:sz w:val="24"/>
        </w:rPr>
      </w:pPr>
      <w:bookmarkStart w:id="710" w:name="_Toc262566434"/>
      <w:bookmarkStart w:id="711" w:name="_Toc295830010"/>
      <w:bookmarkStart w:id="712" w:name="_Toc308426687"/>
      <w:bookmarkStart w:id="713" w:name="_Toc310415071"/>
      <w:bookmarkStart w:id="714" w:name="_Toc360188406"/>
      <w:bookmarkStart w:id="715" w:name="_Toc516210697"/>
      <w:bookmarkStart w:id="716" w:name="_Toc473561046"/>
      <w:bookmarkStart w:id="717" w:name="_Toc524096642"/>
      <w:r w:rsidRPr="00D51A68">
        <w:rPr>
          <w:rFonts w:ascii="Times New Roman" w:hAnsi="Times New Roman"/>
          <w:sz w:val="24"/>
          <w:u w:val="none"/>
        </w:rPr>
        <w:t>5.5.2.</w:t>
      </w:r>
      <w:r w:rsidR="00A0772B" w:rsidRPr="00D51A68">
        <w:rPr>
          <w:u w:val="none"/>
        </w:rPr>
        <w:tab/>
      </w:r>
      <w:r w:rsidRPr="00D51A68">
        <w:rPr>
          <w:rFonts w:ascii="Times New Roman" w:hAnsi="Times New Roman"/>
          <w:sz w:val="24"/>
        </w:rPr>
        <w:t>Istruzioni relative a posizioni specifiche</w:t>
      </w:r>
      <w:bookmarkEnd w:id="710"/>
      <w:bookmarkEnd w:id="711"/>
      <w:bookmarkEnd w:id="712"/>
      <w:bookmarkEnd w:id="713"/>
      <w:bookmarkEnd w:id="714"/>
      <w:bookmarkEnd w:id="715"/>
      <w:bookmarkEnd w:id="716"/>
      <w:bookmarkEnd w:id="71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D51A68" w:rsidTr="00672D2A">
        <w:trPr>
          <w:trHeight w:val="595"/>
        </w:trPr>
        <w:tc>
          <w:tcPr>
            <w:tcW w:w="8862" w:type="dxa"/>
            <w:gridSpan w:val="2"/>
            <w:shd w:val="clear" w:color="auto" w:fill="CCCCCC"/>
          </w:tcPr>
          <w:p w:rsidR="000B0B09" w:rsidRPr="00D51A68" w:rsidRDefault="000B0B09" w:rsidP="000B0B09">
            <w:pPr>
              <w:autoSpaceDE w:val="0"/>
              <w:autoSpaceDN w:val="0"/>
              <w:adjustRightInd w:val="0"/>
              <w:spacing w:after="0"/>
              <w:rPr>
                <w:rFonts w:ascii="Times New Roman" w:hAnsi="Times New Roman"/>
                <w:b/>
                <w:sz w:val="24"/>
              </w:rPr>
            </w:pPr>
            <w:r w:rsidRPr="00D51A68">
              <w:rPr>
                <w:rFonts w:ascii="Times New Roman" w:hAnsi="Times New Roman"/>
                <w:b/>
                <w:sz w:val="24"/>
              </w:rPr>
              <w:t>Colonne</w:t>
            </w:r>
          </w:p>
        </w:tc>
      </w:tr>
      <w:tr w:rsidR="000B0B09" w:rsidRPr="00D51A68" w:rsidTr="00672D2A">
        <w:tc>
          <w:tcPr>
            <w:tcW w:w="988" w:type="dxa"/>
          </w:tcPr>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020-030</w:t>
            </w:r>
          </w:p>
          <w:p w:rsidR="000B0B09" w:rsidRPr="00D51A68" w:rsidRDefault="000B0B09" w:rsidP="000B0B09">
            <w:pPr>
              <w:autoSpaceDE w:val="0"/>
              <w:autoSpaceDN w:val="0"/>
              <w:adjustRightInd w:val="0"/>
              <w:spacing w:before="0" w:after="0"/>
              <w:rPr>
                <w:rFonts w:ascii="Times New Roman" w:hAnsi="Times New Roman"/>
                <w:sz w:val="24"/>
              </w:rPr>
            </w:pPr>
          </w:p>
        </w:tc>
        <w:tc>
          <w:tcPr>
            <w:tcW w:w="7874" w:type="dxa"/>
          </w:tcPr>
          <w:p w:rsidR="000B0B09" w:rsidRPr="00D51A68" w:rsidRDefault="000B0B09" w:rsidP="000B0B09">
            <w:pPr>
              <w:autoSpaceDE w:val="0"/>
              <w:autoSpaceDN w:val="0"/>
              <w:adjustRightInd w:val="0"/>
              <w:spacing w:before="0" w:after="0"/>
              <w:rPr>
                <w:rFonts w:ascii="Times New Roman" w:hAnsi="Times New Roman"/>
                <w:b/>
                <w:bCs/>
                <w:sz w:val="24"/>
                <w:u w:val="single"/>
              </w:rPr>
            </w:pPr>
            <w:r w:rsidRPr="00D51A68">
              <w:rPr>
                <w:rFonts w:ascii="Times New Roman" w:hAnsi="Times New Roman"/>
                <w:b/>
                <w:sz w:val="24"/>
                <w:u w:val="single"/>
              </w:rPr>
              <w:t>TUTTE LE POSIZIONI (LUNGHE E CORTE)</w:t>
            </w:r>
          </w:p>
          <w:p w:rsidR="000B0B09" w:rsidRPr="00D51A68" w:rsidRDefault="000B0B09" w:rsidP="00283B5F">
            <w:pPr>
              <w:autoSpaceDE w:val="0"/>
              <w:autoSpaceDN w:val="0"/>
              <w:adjustRightInd w:val="0"/>
              <w:spacing w:before="0" w:after="0"/>
              <w:rPr>
                <w:rFonts w:ascii="Times New Roman" w:hAnsi="Times New Roman"/>
                <w:sz w:val="24"/>
              </w:rPr>
            </w:pPr>
          </w:p>
          <w:p w:rsidR="000B0B09" w:rsidRPr="00D51A68" w:rsidRDefault="000B0B09" w:rsidP="00D1690D">
            <w:pPr>
              <w:autoSpaceDE w:val="0"/>
              <w:autoSpaceDN w:val="0"/>
              <w:adjustRightInd w:val="0"/>
              <w:spacing w:before="0" w:after="0"/>
              <w:rPr>
                <w:rFonts w:ascii="Times New Roman" w:hAnsi="Times New Roman"/>
                <w:sz w:val="24"/>
              </w:rPr>
            </w:pPr>
            <w:r w:rsidRPr="00D51A68">
              <w:rPr>
                <w:rFonts w:ascii="Times New Roman" w:hAnsi="Times New Roman"/>
                <w:sz w:val="24"/>
              </w:rPr>
              <w:t>Posizioni lorde dovute ad attività, importi da ricevere ed elementi analoghi di cui all</w:t>
            </w:r>
            <w:r w:rsidR="0009277C" w:rsidRPr="00D51A68">
              <w:rPr>
                <w:rFonts w:ascii="Times New Roman" w:hAnsi="Times New Roman"/>
                <w:sz w:val="24"/>
              </w:rPr>
              <w:t>’</w:t>
            </w:r>
            <w:r w:rsidRPr="00D51A68">
              <w:rPr>
                <w:rFonts w:ascii="Times New Roman" w:hAnsi="Times New Roman"/>
                <w:sz w:val="24"/>
              </w:rPr>
              <w:t>articolo 352, paragrafo 1, del CRR. A norma dell</w:t>
            </w:r>
            <w:r w:rsidR="0009277C" w:rsidRPr="00D51A68">
              <w:rPr>
                <w:rFonts w:ascii="Times New Roman" w:hAnsi="Times New Roman"/>
                <w:sz w:val="24"/>
              </w:rPr>
              <w:t>’</w:t>
            </w:r>
            <w:r w:rsidRPr="00D51A68">
              <w:rPr>
                <w:rFonts w:ascii="Times New Roman" w:hAnsi="Times New Roman"/>
                <w:sz w:val="24"/>
              </w:rPr>
              <w:t>articolo 352</w:t>
            </w:r>
            <w:r w:rsidR="00941EC3" w:rsidRPr="00D51A68">
              <w:rPr>
                <w:rFonts w:ascii="Times New Roman" w:hAnsi="Times New Roman"/>
                <w:sz w:val="24"/>
              </w:rPr>
              <w:t>, paragrafo </w:t>
            </w:r>
            <w:r w:rsidRPr="00D51A68">
              <w:rPr>
                <w:rFonts w:ascii="Times New Roman" w:hAnsi="Times New Roman"/>
                <w:sz w:val="24"/>
              </w:rPr>
              <w:t>2, e previa autorizzazione delle autorità competenti, non sono segnalate le posizioni che un ente detiene al fine specifico di salvaguardarsi dagli effetti negativi dei tassi di cambio sui suoi coefficienti conformemente all</w:t>
            </w:r>
            <w:r w:rsidR="0009277C" w:rsidRPr="00D51A68">
              <w:rPr>
                <w:rFonts w:ascii="Times New Roman" w:hAnsi="Times New Roman"/>
                <w:sz w:val="24"/>
              </w:rPr>
              <w:t>’</w:t>
            </w:r>
            <w:r w:rsidRPr="00D51A68">
              <w:rPr>
                <w:rFonts w:ascii="Times New Roman" w:hAnsi="Times New Roman"/>
                <w:sz w:val="24"/>
              </w:rPr>
              <w:t>articolo 92, paragrafo 1, e le posizioni relative agli elementi che sono già dedotti nel calcolo dei fondi propri.</w:t>
            </w:r>
          </w:p>
          <w:p w:rsidR="000B0B09" w:rsidRPr="00D51A68" w:rsidRDefault="000B0B09" w:rsidP="000B0B09">
            <w:pPr>
              <w:autoSpaceDE w:val="0"/>
              <w:autoSpaceDN w:val="0"/>
              <w:adjustRightInd w:val="0"/>
              <w:spacing w:before="0" w:after="0"/>
              <w:rPr>
                <w:rFonts w:ascii="Times New Roman" w:hAnsi="Times New Roman"/>
                <w:sz w:val="24"/>
              </w:rPr>
            </w:pPr>
          </w:p>
        </w:tc>
      </w:tr>
      <w:tr w:rsidR="000B0B09" w:rsidRPr="00D51A68" w:rsidTr="00672D2A">
        <w:tc>
          <w:tcPr>
            <w:tcW w:w="988" w:type="dxa"/>
          </w:tcPr>
          <w:p w:rsidR="000B0B09" w:rsidRPr="00D51A68" w:rsidRDefault="000B0B09" w:rsidP="00B74792">
            <w:pPr>
              <w:autoSpaceDE w:val="0"/>
              <w:autoSpaceDN w:val="0"/>
              <w:adjustRightInd w:val="0"/>
              <w:spacing w:before="0" w:after="0"/>
              <w:rPr>
                <w:rFonts w:ascii="Times New Roman" w:hAnsi="Times New Roman"/>
                <w:sz w:val="24"/>
              </w:rPr>
            </w:pPr>
            <w:r w:rsidRPr="00D51A68">
              <w:rPr>
                <w:rFonts w:ascii="Times New Roman" w:hAnsi="Times New Roman"/>
                <w:sz w:val="24"/>
              </w:rPr>
              <w:t>040-050</w:t>
            </w:r>
          </w:p>
        </w:tc>
        <w:tc>
          <w:tcPr>
            <w:tcW w:w="7874" w:type="dxa"/>
          </w:tcPr>
          <w:p w:rsidR="000B0B09" w:rsidRPr="00D51A68" w:rsidRDefault="000B0B09" w:rsidP="000B0B09">
            <w:pPr>
              <w:autoSpaceDE w:val="0"/>
              <w:autoSpaceDN w:val="0"/>
              <w:adjustRightInd w:val="0"/>
              <w:spacing w:before="0" w:after="0"/>
              <w:rPr>
                <w:rFonts w:ascii="Times New Roman" w:hAnsi="Times New Roman"/>
                <w:b/>
                <w:bCs/>
                <w:sz w:val="24"/>
                <w:u w:val="single"/>
              </w:rPr>
            </w:pPr>
            <w:r w:rsidRPr="00D51A68">
              <w:rPr>
                <w:rFonts w:ascii="Times New Roman" w:hAnsi="Times New Roman"/>
                <w:b/>
                <w:sz w:val="24"/>
                <w:u w:val="single"/>
              </w:rPr>
              <w:t>POSIZIONI NETTE (LUNGHE E CORTE)</w:t>
            </w:r>
          </w:p>
          <w:p w:rsidR="000B0B09" w:rsidRPr="00D51A68" w:rsidRDefault="000B0B09" w:rsidP="000B0B09">
            <w:pPr>
              <w:autoSpaceDE w:val="0"/>
              <w:autoSpaceDN w:val="0"/>
              <w:adjustRightInd w:val="0"/>
              <w:spacing w:before="0" w:after="0"/>
              <w:rPr>
                <w:rFonts w:ascii="Times New Roman" w:hAnsi="Times New Roman"/>
                <w:sz w:val="24"/>
              </w:rPr>
            </w:pPr>
          </w:p>
          <w:p w:rsidR="00283B5F"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Articolo 352, paragrafo 3 e paragrafo 4, prima e seconda frase, e articolo 353 del CRR.</w:t>
            </w:r>
          </w:p>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 xml:space="preserve">Le posizioni nette sono calcolate per ciascuna valuta; pertanto vi possono essere contemporaneamente posizioni lunghe e posizioni corte. </w:t>
            </w:r>
          </w:p>
          <w:p w:rsidR="000B0B09" w:rsidRPr="00D51A68" w:rsidRDefault="000B0B09" w:rsidP="000B0B09">
            <w:pPr>
              <w:autoSpaceDE w:val="0"/>
              <w:autoSpaceDN w:val="0"/>
              <w:adjustRightInd w:val="0"/>
              <w:spacing w:before="0" w:after="0"/>
              <w:rPr>
                <w:rFonts w:ascii="Times New Roman" w:hAnsi="Times New Roman"/>
                <w:sz w:val="24"/>
              </w:rPr>
            </w:pPr>
          </w:p>
        </w:tc>
      </w:tr>
      <w:tr w:rsidR="000B0B09" w:rsidRPr="00D51A68" w:rsidTr="00672D2A">
        <w:tc>
          <w:tcPr>
            <w:tcW w:w="988" w:type="dxa"/>
          </w:tcPr>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060-080</w:t>
            </w:r>
          </w:p>
        </w:tc>
        <w:tc>
          <w:tcPr>
            <w:tcW w:w="7874" w:type="dxa"/>
          </w:tcPr>
          <w:p w:rsidR="000B0B09" w:rsidRPr="00D51A68" w:rsidRDefault="000B0B09" w:rsidP="000B0B09">
            <w:pPr>
              <w:autoSpaceDE w:val="0"/>
              <w:autoSpaceDN w:val="0"/>
              <w:adjustRightInd w:val="0"/>
              <w:spacing w:before="0" w:after="0"/>
              <w:rPr>
                <w:rFonts w:ascii="Times New Roman" w:hAnsi="Times New Roman"/>
                <w:b/>
                <w:bCs/>
                <w:sz w:val="24"/>
                <w:u w:val="single"/>
              </w:rPr>
            </w:pPr>
            <w:r w:rsidRPr="00D51A68">
              <w:rPr>
                <w:rFonts w:ascii="Times New Roman" w:hAnsi="Times New Roman"/>
                <w:b/>
                <w:sz w:val="24"/>
                <w:u w:val="single"/>
              </w:rPr>
              <w:t>POSIZIONI SOGGETTE A COPERTURA PATRIMONIALE</w:t>
            </w:r>
          </w:p>
          <w:p w:rsidR="000B0B09" w:rsidRPr="00D51A68" w:rsidRDefault="000B0B09" w:rsidP="000B0B09">
            <w:pPr>
              <w:autoSpaceDE w:val="0"/>
              <w:autoSpaceDN w:val="0"/>
              <w:adjustRightInd w:val="0"/>
              <w:spacing w:before="0" w:after="0"/>
              <w:rPr>
                <w:rFonts w:ascii="Times New Roman" w:hAnsi="Times New Roman"/>
                <w:sz w:val="24"/>
              </w:rPr>
            </w:pPr>
          </w:p>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 xml:space="preserve">Articolo 352, paragrafo 4, terza frase, e articoli 353 e 354 del CRR. </w:t>
            </w:r>
          </w:p>
          <w:p w:rsidR="000B0B09" w:rsidRPr="00D51A68" w:rsidRDefault="000B0B09" w:rsidP="000B0B09">
            <w:pPr>
              <w:autoSpaceDE w:val="0"/>
              <w:autoSpaceDN w:val="0"/>
              <w:adjustRightInd w:val="0"/>
              <w:spacing w:before="0" w:after="0"/>
              <w:rPr>
                <w:rFonts w:ascii="Times New Roman" w:hAnsi="Times New Roman"/>
                <w:b/>
                <w:bCs/>
                <w:sz w:val="24"/>
                <w:u w:val="single"/>
              </w:rPr>
            </w:pPr>
          </w:p>
        </w:tc>
      </w:tr>
      <w:tr w:rsidR="000B0B09" w:rsidRPr="00D51A68" w:rsidTr="00672D2A">
        <w:tc>
          <w:tcPr>
            <w:tcW w:w="988" w:type="dxa"/>
          </w:tcPr>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060-070</w:t>
            </w:r>
          </w:p>
        </w:tc>
        <w:tc>
          <w:tcPr>
            <w:tcW w:w="7874" w:type="dxa"/>
          </w:tcPr>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b/>
                <w:sz w:val="24"/>
                <w:u w:val="single"/>
              </w:rPr>
              <w:t>POSIZIONI SOGGETTE A COPERTURA PATRIMONIALE (LUNGHE E CORTE)</w:t>
            </w:r>
          </w:p>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Le posizioni nette lunghe e corte di ciascuna valuta sono calcolate deducendo il totale delle posizioni corte dal totale delle posizioni lunghe.</w:t>
            </w:r>
          </w:p>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Si sommano le posizioni nette lunghe di ciascuna operazione in una valuta per ottenere la posizione netta lunga in quella data valuta.</w:t>
            </w:r>
          </w:p>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Si sommano le posizioni nette corte di ciascuna operazione in una valuta per ottenere la posizione netta corta in quella data valuta.</w:t>
            </w:r>
          </w:p>
          <w:p w:rsidR="000B0B09" w:rsidRPr="00D51A68" w:rsidRDefault="000B0B09" w:rsidP="00283B5F">
            <w:pPr>
              <w:autoSpaceDE w:val="0"/>
              <w:autoSpaceDN w:val="0"/>
              <w:adjustRightInd w:val="0"/>
              <w:spacing w:before="0" w:after="0"/>
              <w:rPr>
                <w:rFonts w:ascii="Times New Roman" w:hAnsi="Times New Roman"/>
                <w:sz w:val="24"/>
              </w:rPr>
            </w:pPr>
            <w:r w:rsidRPr="00D51A68">
              <w:rPr>
                <w:rFonts w:ascii="Times New Roman" w:hAnsi="Times New Roman"/>
                <w:sz w:val="24"/>
              </w:rPr>
              <w:t>Le posizioni non compensate nelle valute non utilizzate per le segnalazioni sono aggiunte alle posizioni soggette a copertura patrimoniale per altre valute (riga 030) nella colonna (060) o (070) a seconda del regolamento a breve o lungo termine.</w:t>
            </w:r>
          </w:p>
          <w:p w:rsidR="00DE48EF" w:rsidRPr="00D51A68" w:rsidRDefault="00DE48EF" w:rsidP="00283B5F">
            <w:pPr>
              <w:autoSpaceDE w:val="0"/>
              <w:autoSpaceDN w:val="0"/>
              <w:adjustRightInd w:val="0"/>
              <w:spacing w:before="0" w:after="0"/>
              <w:rPr>
                <w:rFonts w:ascii="Times New Roman" w:hAnsi="Times New Roman"/>
                <w:b/>
                <w:bCs/>
                <w:sz w:val="24"/>
                <w:u w:val="single"/>
              </w:rPr>
            </w:pPr>
          </w:p>
        </w:tc>
      </w:tr>
      <w:tr w:rsidR="000B0B09" w:rsidRPr="00D51A68" w:rsidTr="00941EC3">
        <w:trPr>
          <w:cantSplit/>
        </w:trPr>
        <w:tc>
          <w:tcPr>
            <w:tcW w:w="988" w:type="dxa"/>
          </w:tcPr>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080</w:t>
            </w:r>
          </w:p>
        </w:tc>
        <w:tc>
          <w:tcPr>
            <w:tcW w:w="7874" w:type="dxa"/>
          </w:tcPr>
          <w:p w:rsidR="000B0B09" w:rsidRPr="00D51A68" w:rsidRDefault="000B0B09" w:rsidP="000B0B09">
            <w:pPr>
              <w:autoSpaceDE w:val="0"/>
              <w:autoSpaceDN w:val="0"/>
              <w:adjustRightInd w:val="0"/>
              <w:spacing w:before="0" w:after="0"/>
              <w:rPr>
                <w:rFonts w:ascii="Times New Roman" w:hAnsi="Times New Roman"/>
                <w:b/>
                <w:bCs/>
                <w:sz w:val="24"/>
                <w:u w:val="single"/>
              </w:rPr>
            </w:pPr>
            <w:r w:rsidRPr="00D51A68">
              <w:rPr>
                <w:rFonts w:ascii="Times New Roman" w:hAnsi="Times New Roman"/>
                <w:b/>
                <w:sz w:val="24"/>
                <w:u w:val="single"/>
              </w:rPr>
              <w:t>POSIZIONI SOGGETTE A COPERTURA PATRIMONIALE (COMPENSATE)</w:t>
            </w:r>
          </w:p>
          <w:p w:rsidR="000B0B09" w:rsidRPr="00D51A68" w:rsidRDefault="000B0B09" w:rsidP="000B0B09">
            <w:pPr>
              <w:autoSpaceDE w:val="0"/>
              <w:autoSpaceDN w:val="0"/>
              <w:adjustRightInd w:val="0"/>
              <w:spacing w:before="0" w:after="0"/>
              <w:rPr>
                <w:rFonts w:ascii="Times New Roman" w:hAnsi="Times New Roman"/>
                <w:sz w:val="24"/>
              </w:rPr>
            </w:pPr>
          </w:p>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Posizioni compensate per valute strettamente correlate.</w:t>
            </w:r>
          </w:p>
          <w:p w:rsidR="000B0B09" w:rsidRPr="00D51A68" w:rsidRDefault="000B0B09" w:rsidP="000B0B09">
            <w:pPr>
              <w:autoSpaceDE w:val="0"/>
              <w:autoSpaceDN w:val="0"/>
              <w:adjustRightInd w:val="0"/>
              <w:spacing w:before="0" w:after="0"/>
              <w:rPr>
                <w:rFonts w:ascii="Times New Roman" w:hAnsi="Times New Roman"/>
                <w:b/>
                <w:bCs/>
                <w:sz w:val="24"/>
                <w:u w:val="single"/>
              </w:rPr>
            </w:pPr>
          </w:p>
        </w:tc>
      </w:tr>
      <w:tr w:rsidR="000B0B09" w:rsidRPr="00D51A68" w:rsidTr="00672D2A">
        <w:tc>
          <w:tcPr>
            <w:tcW w:w="988" w:type="dxa"/>
          </w:tcPr>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090</w:t>
            </w:r>
          </w:p>
        </w:tc>
        <w:tc>
          <w:tcPr>
            <w:tcW w:w="7874" w:type="dxa"/>
          </w:tcPr>
          <w:p w:rsidR="000B0B09" w:rsidRPr="00D51A68" w:rsidRDefault="000B0B09" w:rsidP="000B0B09">
            <w:pPr>
              <w:autoSpaceDE w:val="0"/>
              <w:autoSpaceDN w:val="0"/>
              <w:adjustRightInd w:val="0"/>
              <w:spacing w:before="0" w:after="0"/>
              <w:rPr>
                <w:rFonts w:ascii="Times New Roman" w:hAnsi="Times New Roman"/>
                <w:b/>
                <w:bCs/>
                <w:sz w:val="24"/>
                <w:u w:val="single"/>
              </w:rPr>
            </w:pPr>
            <w:r w:rsidRPr="00D51A68">
              <w:rPr>
                <w:rFonts w:ascii="Times New Roman" w:hAnsi="Times New Roman"/>
                <w:b/>
                <w:sz w:val="24"/>
                <w:u w:val="single"/>
              </w:rPr>
              <w:t>REQUISITI DI FONDI PROPRI</w:t>
            </w:r>
          </w:p>
          <w:p w:rsidR="000B0B09" w:rsidRPr="00D51A68" w:rsidRDefault="000B0B09" w:rsidP="000B0B09">
            <w:pPr>
              <w:autoSpaceDE w:val="0"/>
              <w:autoSpaceDN w:val="0"/>
              <w:adjustRightInd w:val="0"/>
              <w:spacing w:before="0" w:after="0"/>
              <w:rPr>
                <w:rFonts w:ascii="Times New Roman" w:hAnsi="Times New Roman"/>
                <w:b/>
                <w:bCs/>
                <w:sz w:val="24"/>
                <w:u w:val="single"/>
              </w:rPr>
            </w:pPr>
          </w:p>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 xml:space="preserve">Copertura patrimoniale di qualsiasi posizione pertinente conformemente alla parte tre, titolo IV, capo 3, del CRR. </w:t>
            </w:r>
          </w:p>
          <w:p w:rsidR="000B0B09" w:rsidRPr="00D51A68" w:rsidRDefault="000B0B09" w:rsidP="000B0B09">
            <w:pPr>
              <w:autoSpaceDE w:val="0"/>
              <w:autoSpaceDN w:val="0"/>
              <w:adjustRightInd w:val="0"/>
              <w:spacing w:before="0" w:after="0"/>
              <w:rPr>
                <w:rFonts w:ascii="Times New Roman" w:hAnsi="Times New Roman"/>
                <w:b/>
                <w:bCs/>
                <w:sz w:val="24"/>
                <w:u w:val="single"/>
              </w:rPr>
            </w:pPr>
          </w:p>
        </w:tc>
      </w:tr>
      <w:tr w:rsidR="000B0B09" w:rsidRPr="00D51A68" w:rsidTr="00672D2A">
        <w:tc>
          <w:tcPr>
            <w:tcW w:w="988" w:type="dxa"/>
          </w:tcPr>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100</w:t>
            </w:r>
          </w:p>
        </w:tc>
        <w:tc>
          <w:tcPr>
            <w:tcW w:w="7874" w:type="dxa"/>
          </w:tcPr>
          <w:p w:rsidR="000B0B09" w:rsidRPr="00D51A68" w:rsidRDefault="000B0B09" w:rsidP="000B0B09">
            <w:pPr>
              <w:tabs>
                <w:tab w:val="left" w:pos="1665"/>
              </w:tabs>
              <w:autoSpaceDE w:val="0"/>
              <w:autoSpaceDN w:val="0"/>
              <w:adjustRightInd w:val="0"/>
              <w:spacing w:before="0" w:after="0"/>
              <w:rPr>
                <w:rFonts w:ascii="Times New Roman" w:hAnsi="Times New Roman"/>
                <w:b/>
                <w:bCs/>
                <w:sz w:val="24"/>
                <w:u w:val="single"/>
              </w:rPr>
            </w:pPr>
            <w:r w:rsidRPr="00D51A68">
              <w:rPr>
                <w:rFonts w:ascii="Times New Roman" w:hAnsi="Times New Roman"/>
                <w:b/>
                <w:sz w:val="24"/>
                <w:u w:val="single"/>
              </w:rPr>
              <w:t>IMPORTO COMPLESSIVO DELL</w:t>
            </w:r>
            <w:r w:rsidR="0009277C" w:rsidRPr="00D51A68">
              <w:rPr>
                <w:rFonts w:ascii="Times New Roman" w:hAnsi="Times New Roman"/>
                <w:b/>
                <w:sz w:val="24"/>
                <w:u w:val="single"/>
              </w:rPr>
              <w:t>’</w:t>
            </w:r>
            <w:r w:rsidRPr="00D51A68">
              <w:rPr>
                <w:rFonts w:ascii="Times New Roman" w:hAnsi="Times New Roman"/>
                <w:b/>
                <w:sz w:val="24"/>
                <w:u w:val="single"/>
              </w:rPr>
              <w:t>ESPOSIZIONE AL RISCHIO</w:t>
            </w:r>
          </w:p>
          <w:p w:rsidR="000B0B09" w:rsidRPr="00D51A68" w:rsidRDefault="000B0B09" w:rsidP="000B0B09">
            <w:pPr>
              <w:tabs>
                <w:tab w:val="left" w:pos="1665"/>
              </w:tabs>
              <w:autoSpaceDE w:val="0"/>
              <w:autoSpaceDN w:val="0"/>
              <w:adjustRightInd w:val="0"/>
              <w:spacing w:before="0" w:after="0"/>
              <w:rPr>
                <w:rFonts w:ascii="Times New Roman" w:hAnsi="Times New Roman"/>
                <w:b/>
                <w:bCs/>
                <w:sz w:val="24"/>
                <w:u w:val="single"/>
              </w:rPr>
            </w:pPr>
          </w:p>
          <w:p w:rsidR="000B0B09" w:rsidRPr="00D51A68" w:rsidRDefault="000B0B09" w:rsidP="000B0B09">
            <w:pPr>
              <w:tabs>
                <w:tab w:val="left" w:pos="1665"/>
              </w:tabs>
              <w:autoSpaceDE w:val="0"/>
              <w:autoSpaceDN w:val="0"/>
              <w:adjustRightInd w:val="0"/>
              <w:spacing w:before="0" w:after="0"/>
              <w:rPr>
                <w:rFonts w:ascii="Times New Roman" w:hAnsi="Times New Roman"/>
                <w:sz w:val="24"/>
              </w:rPr>
            </w:pPr>
            <w:r w:rsidRPr="00D51A68">
              <w:rPr>
                <w:rFonts w:ascii="Times New Roman" w:hAnsi="Times New Roman"/>
                <w:sz w:val="24"/>
              </w:rPr>
              <w:t xml:space="preserve">Articolo 92, paragrafo 4, lettera b), del CRR. Risultato della moltiplicazione dei requisiti di fondi propri per 12,5. </w:t>
            </w:r>
          </w:p>
          <w:p w:rsidR="00DE48EF" w:rsidRPr="00D51A68" w:rsidRDefault="00DE48EF" w:rsidP="000B0B09">
            <w:pPr>
              <w:tabs>
                <w:tab w:val="left" w:pos="1665"/>
              </w:tabs>
              <w:autoSpaceDE w:val="0"/>
              <w:autoSpaceDN w:val="0"/>
              <w:adjustRightInd w:val="0"/>
              <w:spacing w:before="0" w:after="0"/>
              <w:rPr>
                <w:rFonts w:ascii="Times New Roman" w:hAnsi="Times New Roman"/>
                <w:b/>
                <w:bCs/>
                <w:sz w:val="24"/>
                <w:u w:val="single"/>
              </w:rPr>
            </w:pPr>
          </w:p>
        </w:tc>
      </w:tr>
    </w:tbl>
    <w:p w:rsidR="000B0B09" w:rsidRPr="00D51A68"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D51A68" w:rsidTr="00672D2A">
        <w:trPr>
          <w:trHeight w:val="497"/>
        </w:trPr>
        <w:tc>
          <w:tcPr>
            <w:tcW w:w="8862" w:type="dxa"/>
            <w:gridSpan w:val="2"/>
            <w:shd w:val="clear" w:color="auto" w:fill="CCCCCC"/>
          </w:tcPr>
          <w:p w:rsidR="000B0B09" w:rsidRPr="00D51A68" w:rsidRDefault="000B0B09" w:rsidP="000B0B09">
            <w:pPr>
              <w:autoSpaceDE w:val="0"/>
              <w:autoSpaceDN w:val="0"/>
              <w:adjustRightInd w:val="0"/>
              <w:spacing w:after="0"/>
              <w:rPr>
                <w:rFonts w:ascii="Times New Roman" w:hAnsi="Times New Roman"/>
                <w:b/>
                <w:sz w:val="24"/>
              </w:rPr>
            </w:pPr>
            <w:r w:rsidRPr="00D51A68">
              <w:rPr>
                <w:rFonts w:ascii="Times New Roman" w:hAnsi="Times New Roman"/>
                <w:b/>
                <w:sz w:val="24"/>
              </w:rPr>
              <w:t>Righe</w:t>
            </w:r>
          </w:p>
        </w:tc>
      </w:tr>
      <w:tr w:rsidR="000B0B09" w:rsidRPr="00D51A68" w:rsidTr="00672D2A">
        <w:tc>
          <w:tcPr>
            <w:tcW w:w="991" w:type="dxa"/>
          </w:tcPr>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010</w:t>
            </w:r>
          </w:p>
        </w:tc>
        <w:tc>
          <w:tcPr>
            <w:tcW w:w="7871" w:type="dxa"/>
          </w:tcPr>
          <w:p w:rsidR="000B0B09" w:rsidRPr="00D51A68" w:rsidRDefault="000B0B09" w:rsidP="000B0B09">
            <w:pPr>
              <w:autoSpaceDE w:val="0"/>
              <w:autoSpaceDN w:val="0"/>
              <w:adjustRightInd w:val="0"/>
              <w:spacing w:before="0" w:after="0"/>
              <w:rPr>
                <w:rFonts w:ascii="Times New Roman" w:hAnsi="Times New Roman"/>
                <w:b/>
                <w:bCs/>
                <w:sz w:val="24"/>
                <w:u w:val="single"/>
              </w:rPr>
            </w:pPr>
            <w:r w:rsidRPr="00D51A68">
              <w:rPr>
                <w:rFonts w:ascii="Times New Roman" w:hAnsi="Times New Roman"/>
                <w:b/>
                <w:sz w:val="24"/>
                <w:u w:val="single"/>
              </w:rPr>
              <w:t>POSIZIONI TOTALI</w:t>
            </w:r>
          </w:p>
          <w:p w:rsidR="000B0B09" w:rsidRPr="00D51A68" w:rsidRDefault="000B0B09" w:rsidP="000B0B09">
            <w:pPr>
              <w:autoSpaceDE w:val="0"/>
              <w:autoSpaceDN w:val="0"/>
              <w:adjustRightInd w:val="0"/>
              <w:spacing w:before="0" w:after="0"/>
              <w:rPr>
                <w:rFonts w:ascii="Times New Roman" w:hAnsi="Times New Roman"/>
                <w:sz w:val="24"/>
              </w:rPr>
            </w:pPr>
          </w:p>
          <w:p w:rsidR="000B0B09" w:rsidRPr="00D51A68" w:rsidRDefault="00491F4D"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Tutte le posizioni nelle valute non utilizzate per le segnalazioni e le posizioni nella valuta utilizzata per le segnalazioni che sono considerate ai fini dell</w:t>
            </w:r>
            <w:r w:rsidR="0009277C" w:rsidRPr="00D51A68">
              <w:rPr>
                <w:rFonts w:ascii="Times New Roman" w:hAnsi="Times New Roman"/>
                <w:sz w:val="24"/>
              </w:rPr>
              <w:t>’</w:t>
            </w:r>
            <w:r w:rsidRPr="00D51A68">
              <w:rPr>
                <w:rFonts w:ascii="Times New Roman" w:hAnsi="Times New Roman"/>
                <w:sz w:val="24"/>
              </w:rPr>
              <w:t>articolo 354 del CRR e i relativi requisiti di fondi propri conformemente all</w:t>
            </w:r>
            <w:r w:rsidR="0009277C" w:rsidRPr="00D51A68">
              <w:rPr>
                <w:rFonts w:ascii="Times New Roman" w:hAnsi="Times New Roman"/>
                <w:sz w:val="24"/>
              </w:rPr>
              <w:t>’</w:t>
            </w:r>
            <w:r w:rsidRPr="00D51A68">
              <w:rPr>
                <w:rFonts w:ascii="Times New Roman" w:hAnsi="Times New Roman"/>
                <w:sz w:val="24"/>
              </w:rPr>
              <w:t>articolo 92, paragrafo 3, lettera c), punto i), e all</w:t>
            </w:r>
            <w:r w:rsidR="0009277C" w:rsidRPr="00D51A68">
              <w:rPr>
                <w:rFonts w:ascii="Times New Roman" w:hAnsi="Times New Roman"/>
                <w:sz w:val="24"/>
              </w:rPr>
              <w:t>’</w:t>
            </w:r>
            <w:r w:rsidRPr="00D51A68">
              <w:rPr>
                <w:rFonts w:ascii="Times New Roman" w:hAnsi="Times New Roman"/>
                <w:sz w:val="24"/>
              </w:rPr>
              <w:t>articolo 352, paragrafi 2 e</w:t>
            </w:r>
            <w:r w:rsidR="00941EC3" w:rsidRPr="00D51A68">
              <w:rPr>
                <w:rFonts w:ascii="Times New Roman" w:hAnsi="Times New Roman"/>
                <w:sz w:val="24"/>
              </w:rPr>
              <w:t> </w:t>
            </w:r>
            <w:r w:rsidRPr="00D51A68">
              <w:rPr>
                <w:rFonts w:ascii="Times New Roman" w:hAnsi="Times New Roman"/>
                <w:sz w:val="24"/>
              </w:rPr>
              <w:t>4, del CRR (per conversione nella valuta utilizzata per le segnalazioni).</w:t>
            </w:r>
          </w:p>
          <w:p w:rsidR="000B0B09" w:rsidRPr="00D51A68" w:rsidRDefault="000B0B09" w:rsidP="000B0B09">
            <w:pPr>
              <w:autoSpaceDE w:val="0"/>
              <w:autoSpaceDN w:val="0"/>
              <w:adjustRightInd w:val="0"/>
              <w:spacing w:before="0" w:after="0"/>
              <w:rPr>
                <w:rFonts w:ascii="Times New Roman" w:hAnsi="Times New Roman"/>
                <w:sz w:val="24"/>
              </w:rPr>
            </w:pPr>
          </w:p>
        </w:tc>
      </w:tr>
      <w:tr w:rsidR="000B0B09" w:rsidRPr="00D51A68" w:rsidTr="00672D2A">
        <w:tc>
          <w:tcPr>
            <w:tcW w:w="991" w:type="dxa"/>
          </w:tcPr>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020</w:t>
            </w:r>
          </w:p>
        </w:tc>
        <w:tc>
          <w:tcPr>
            <w:tcW w:w="7871" w:type="dxa"/>
          </w:tcPr>
          <w:p w:rsidR="000B0B09" w:rsidRPr="00D51A68" w:rsidRDefault="000B0B09" w:rsidP="000B0B09">
            <w:pPr>
              <w:autoSpaceDE w:val="0"/>
              <w:autoSpaceDN w:val="0"/>
              <w:adjustRightInd w:val="0"/>
              <w:spacing w:before="0" w:after="0"/>
              <w:rPr>
                <w:rFonts w:ascii="Times New Roman" w:hAnsi="Times New Roman"/>
                <w:b/>
                <w:bCs/>
                <w:sz w:val="24"/>
                <w:u w:val="single"/>
              </w:rPr>
            </w:pPr>
            <w:r w:rsidRPr="00D51A68">
              <w:rPr>
                <w:rFonts w:ascii="Times New Roman" w:hAnsi="Times New Roman"/>
                <w:b/>
                <w:sz w:val="24"/>
                <w:u w:val="single"/>
              </w:rPr>
              <w:t>VALUTE STRETTAMENTE CORRELATE</w:t>
            </w:r>
          </w:p>
          <w:p w:rsidR="000B0B09" w:rsidRPr="00D51A68" w:rsidRDefault="000B0B09" w:rsidP="000B0B09">
            <w:pPr>
              <w:autoSpaceDE w:val="0"/>
              <w:autoSpaceDN w:val="0"/>
              <w:adjustRightInd w:val="0"/>
              <w:spacing w:before="0" w:after="0"/>
              <w:rPr>
                <w:rFonts w:ascii="Times New Roman" w:hAnsi="Times New Roman"/>
                <w:sz w:val="24"/>
              </w:rPr>
            </w:pPr>
          </w:p>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Posizioni e relativi requisiti di fondi propri per le valute di cui all</w:t>
            </w:r>
            <w:r w:rsidR="0009277C" w:rsidRPr="00D51A68">
              <w:rPr>
                <w:rFonts w:ascii="Times New Roman" w:hAnsi="Times New Roman"/>
                <w:sz w:val="24"/>
              </w:rPr>
              <w:t>’</w:t>
            </w:r>
            <w:r w:rsidRPr="00D51A68">
              <w:rPr>
                <w:rFonts w:ascii="Times New Roman" w:hAnsi="Times New Roman"/>
                <w:sz w:val="24"/>
              </w:rPr>
              <w:t>articolo 354 del CRR.</w:t>
            </w:r>
          </w:p>
          <w:p w:rsidR="000B0B09" w:rsidRPr="00D51A68" w:rsidRDefault="000B0B09" w:rsidP="000B0B09">
            <w:pPr>
              <w:autoSpaceDE w:val="0"/>
              <w:autoSpaceDN w:val="0"/>
              <w:adjustRightInd w:val="0"/>
              <w:spacing w:before="0" w:after="0"/>
              <w:rPr>
                <w:rFonts w:ascii="Times New Roman" w:hAnsi="Times New Roman"/>
                <w:sz w:val="24"/>
              </w:rPr>
            </w:pPr>
          </w:p>
        </w:tc>
      </w:tr>
      <w:tr w:rsidR="00491F4D" w:rsidRPr="00D51A68" w:rsidTr="00672D2A">
        <w:tc>
          <w:tcPr>
            <w:tcW w:w="991" w:type="dxa"/>
          </w:tcPr>
          <w:p w:rsidR="00491F4D" w:rsidRPr="00D51A68" w:rsidRDefault="00491F4D"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025</w:t>
            </w:r>
          </w:p>
        </w:tc>
        <w:tc>
          <w:tcPr>
            <w:tcW w:w="7871" w:type="dxa"/>
          </w:tcPr>
          <w:p w:rsidR="00491F4D" w:rsidRPr="00D51A68" w:rsidRDefault="00491F4D" w:rsidP="000B0B09">
            <w:pPr>
              <w:autoSpaceDE w:val="0"/>
              <w:autoSpaceDN w:val="0"/>
              <w:adjustRightInd w:val="0"/>
              <w:spacing w:before="0" w:after="0"/>
              <w:rPr>
                <w:rFonts w:ascii="Times New Roman" w:hAnsi="Times New Roman"/>
                <w:b/>
                <w:bCs/>
                <w:sz w:val="24"/>
                <w:u w:val="single"/>
              </w:rPr>
            </w:pPr>
            <w:r w:rsidRPr="00D51A68">
              <w:rPr>
                <w:rFonts w:ascii="Times New Roman" w:hAnsi="Times New Roman"/>
                <w:b/>
                <w:sz w:val="24"/>
                <w:u w:val="single"/>
              </w:rPr>
              <w:t xml:space="preserve">Valute strettamente correlate: </w:t>
            </w:r>
            <w:r w:rsidRPr="00D51A68">
              <w:rPr>
                <w:rFonts w:ascii="Times New Roman" w:hAnsi="Times New Roman"/>
                <w:b/>
                <w:i/>
                <w:sz w:val="24"/>
                <w:u w:val="single"/>
              </w:rPr>
              <w:t>di cui</w:t>
            </w:r>
            <w:r w:rsidRPr="00D51A68">
              <w:rPr>
                <w:rFonts w:ascii="Times New Roman" w:hAnsi="Times New Roman"/>
                <w:b/>
                <w:sz w:val="24"/>
                <w:u w:val="single"/>
              </w:rPr>
              <w:t>: valuta utilizzata per le segnalazioni</w:t>
            </w:r>
          </w:p>
          <w:p w:rsidR="00491F4D" w:rsidRPr="00D51A68" w:rsidRDefault="00491F4D" w:rsidP="000B0B09">
            <w:pPr>
              <w:autoSpaceDE w:val="0"/>
              <w:autoSpaceDN w:val="0"/>
              <w:adjustRightInd w:val="0"/>
              <w:spacing w:before="0" w:after="0"/>
              <w:rPr>
                <w:rFonts w:ascii="Times New Roman" w:hAnsi="Times New Roman"/>
                <w:sz w:val="24"/>
              </w:rPr>
            </w:pPr>
          </w:p>
          <w:p w:rsidR="00491F4D" w:rsidRPr="00D51A68" w:rsidRDefault="00491F4D"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Posizioni nella valuta utilizzata per le segnalazioni che concorrono al calcolo dei requisiti patrimoniali ai sensi dell</w:t>
            </w:r>
            <w:r w:rsidR="0009277C" w:rsidRPr="00D51A68">
              <w:rPr>
                <w:rFonts w:ascii="Times New Roman" w:hAnsi="Times New Roman"/>
                <w:sz w:val="24"/>
              </w:rPr>
              <w:t>’</w:t>
            </w:r>
            <w:r w:rsidRPr="00D51A68">
              <w:rPr>
                <w:rFonts w:ascii="Times New Roman" w:hAnsi="Times New Roman"/>
                <w:sz w:val="24"/>
              </w:rPr>
              <w:t>articolo 354 del CRR</w:t>
            </w:r>
          </w:p>
          <w:p w:rsidR="00491F4D" w:rsidRPr="00D51A68" w:rsidRDefault="00491F4D" w:rsidP="000B0B09">
            <w:pPr>
              <w:autoSpaceDE w:val="0"/>
              <w:autoSpaceDN w:val="0"/>
              <w:adjustRightInd w:val="0"/>
              <w:spacing w:before="0" w:after="0"/>
              <w:rPr>
                <w:rFonts w:ascii="Times New Roman" w:hAnsi="Times New Roman"/>
                <w:b/>
                <w:bCs/>
                <w:sz w:val="24"/>
                <w:u w:val="single"/>
              </w:rPr>
            </w:pPr>
          </w:p>
        </w:tc>
      </w:tr>
      <w:tr w:rsidR="000B0B09" w:rsidRPr="00D51A68" w:rsidTr="00672D2A">
        <w:tc>
          <w:tcPr>
            <w:tcW w:w="991" w:type="dxa"/>
          </w:tcPr>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030</w:t>
            </w:r>
          </w:p>
        </w:tc>
        <w:tc>
          <w:tcPr>
            <w:tcW w:w="7871" w:type="dxa"/>
          </w:tcPr>
          <w:p w:rsidR="000B0B09" w:rsidRPr="00D51A68" w:rsidRDefault="000B0B09" w:rsidP="000B0B09">
            <w:pPr>
              <w:autoSpaceDE w:val="0"/>
              <w:autoSpaceDN w:val="0"/>
              <w:adjustRightInd w:val="0"/>
              <w:spacing w:before="0" w:after="0"/>
              <w:rPr>
                <w:rFonts w:ascii="Times New Roman" w:hAnsi="Times New Roman"/>
                <w:b/>
                <w:bCs/>
                <w:sz w:val="24"/>
                <w:u w:val="single"/>
              </w:rPr>
            </w:pPr>
            <w:r w:rsidRPr="00D51A68">
              <w:rPr>
                <w:rFonts w:ascii="Times New Roman" w:hAnsi="Times New Roman"/>
                <w:b/>
                <w:sz w:val="24"/>
                <w:u w:val="single"/>
              </w:rPr>
              <w:t>TUTTE LE ALTRE VALUTE (compresi gli OIC trattati come valute diverse)</w:t>
            </w:r>
          </w:p>
          <w:p w:rsidR="000B0B09" w:rsidRPr="00D51A68" w:rsidRDefault="000B0B09" w:rsidP="000B0B09">
            <w:pPr>
              <w:autoSpaceDE w:val="0"/>
              <w:autoSpaceDN w:val="0"/>
              <w:adjustRightInd w:val="0"/>
              <w:spacing w:before="0" w:after="0"/>
              <w:rPr>
                <w:rFonts w:ascii="Times New Roman" w:hAnsi="Times New Roman"/>
                <w:b/>
                <w:bCs/>
                <w:sz w:val="24"/>
                <w:u w:val="single"/>
              </w:rPr>
            </w:pPr>
          </w:p>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Posizioni e relativi requisiti di fondi propri per le valute soggette alla procedura generale di cui all</w:t>
            </w:r>
            <w:r w:rsidR="0009277C" w:rsidRPr="00D51A68">
              <w:rPr>
                <w:rFonts w:ascii="Times New Roman" w:hAnsi="Times New Roman"/>
                <w:sz w:val="24"/>
              </w:rPr>
              <w:t>’</w:t>
            </w:r>
            <w:r w:rsidRPr="00D51A68">
              <w:rPr>
                <w:rFonts w:ascii="Times New Roman" w:hAnsi="Times New Roman"/>
                <w:sz w:val="24"/>
              </w:rPr>
              <w:t>articolo 351 e all</w:t>
            </w:r>
            <w:r w:rsidR="0009277C" w:rsidRPr="00D51A68">
              <w:rPr>
                <w:rFonts w:ascii="Times New Roman" w:hAnsi="Times New Roman"/>
                <w:sz w:val="24"/>
              </w:rPr>
              <w:t>’</w:t>
            </w:r>
            <w:r w:rsidRPr="00D51A68">
              <w:rPr>
                <w:rFonts w:ascii="Times New Roman" w:hAnsi="Times New Roman"/>
                <w:sz w:val="24"/>
              </w:rPr>
              <w:t xml:space="preserve">articolo 352, paragrafi 2 e 4, del CRR. </w:t>
            </w:r>
          </w:p>
          <w:p w:rsidR="000B0B09" w:rsidRPr="00D51A68" w:rsidRDefault="000B0B09" w:rsidP="000B0B09">
            <w:pPr>
              <w:autoSpaceDE w:val="0"/>
              <w:autoSpaceDN w:val="0"/>
              <w:adjustRightInd w:val="0"/>
              <w:spacing w:before="0" w:after="0"/>
              <w:rPr>
                <w:rFonts w:ascii="Times New Roman" w:hAnsi="Times New Roman"/>
                <w:b/>
                <w:bCs/>
                <w:sz w:val="24"/>
                <w:u w:val="single"/>
              </w:rPr>
            </w:pPr>
          </w:p>
          <w:p w:rsidR="000B0B09" w:rsidRPr="00D51A68" w:rsidRDefault="000B0B09" w:rsidP="000B0B09">
            <w:pPr>
              <w:autoSpaceDE w:val="0"/>
              <w:autoSpaceDN w:val="0"/>
              <w:adjustRightInd w:val="0"/>
              <w:spacing w:before="0" w:after="0"/>
              <w:rPr>
                <w:rFonts w:ascii="Times New Roman" w:hAnsi="Times New Roman"/>
                <w:bCs/>
                <w:sz w:val="24"/>
                <w:u w:val="single"/>
              </w:rPr>
            </w:pPr>
            <w:r w:rsidRPr="00D51A68">
              <w:rPr>
                <w:rFonts w:ascii="Times New Roman" w:hAnsi="Times New Roman"/>
                <w:sz w:val="24"/>
                <w:u w:val="single"/>
              </w:rPr>
              <w:t>Segnalazione di OIC trattati come valute diverse ai sensi dell</w:t>
            </w:r>
            <w:r w:rsidR="0009277C" w:rsidRPr="00D51A68">
              <w:rPr>
                <w:rFonts w:ascii="Times New Roman" w:hAnsi="Times New Roman"/>
                <w:sz w:val="24"/>
                <w:u w:val="single"/>
              </w:rPr>
              <w:t>’</w:t>
            </w:r>
            <w:r w:rsidRPr="00D51A68">
              <w:rPr>
                <w:rFonts w:ascii="Times New Roman" w:hAnsi="Times New Roman"/>
                <w:sz w:val="24"/>
                <w:u w:val="single"/>
              </w:rPr>
              <w:t>articolo 353 del CRR</w:t>
            </w:r>
          </w:p>
          <w:p w:rsidR="000B0B09" w:rsidRPr="00D51A68" w:rsidRDefault="000B0B09" w:rsidP="000B0B09">
            <w:pPr>
              <w:autoSpaceDE w:val="0"/>
              <w:autoSpaceDN w:val="0"/>
              <w:adjustRightInd w:val="0"/>
              <w:spacing w:before="0" w:after="0"/>
              <w:rPr>
                <w:rFonts w:ascii="Times New Roman" w:hAnsi="Times New Roman"/>
                <w:bCs/>
                <w:sz w:val="24"/>
              </w:rPr>
            </w:pPr>
            <w:r w:rsidRPr="00D51A68">
              <w:rPr>
                <w:rFonts w:ascii="Times New Roman" w:hAnsi="Times New Roman"/>
                <w:sz w:val="24"/>
              </w:rPr>
              <w:t>Sono previsti due trattamenti diversi degli OIC trattati come valute distinte per il calcolo dei requisiti patrimoniali:</w:t>
            </w:r>
          </w:p>
          <w:p w:rsidR="000B0B09" w:rsidRPr="00D51A68" w:rsidRDefault="00125707" w:rsidP="0023700C">
            <w:pPr>
              <w:autoSpaceDE w:val="0"/>
              <w:autoSpaceDN w:val="0"/>
              <w:adjustRightInd w:val="0"/>
              <w:spacing w:before="0" w:after="0"/>
              <w:ind w:left="720" w:hanging="360"/>
              <w:rPr>
                <w:rFonts w:ascii="Times New Roman" w:hAnsi="Times New Roman"/>
                <w:bCs/>
                <w:sz w:val="24"/>
              </w:rPr>
            </w:pPr>
            <w:r w:rsidRPr="00D51A68">
              <w:rPr>
                <w:rFonts w:ascii="Times New Roman" w:hAnsi="Times New Roman"/>
                <w:sz w:val="24"/>
              </w:rPr>
              <w:t>1.</w:t>
            </w:r>
            <w:r w:rsidR="00A0772B" w:rsidRPr="00D51A68">
              <w:tab/>
            </w:r>
            <w:r w:rsidRPr="00D51A68">
              <w:rPr>
                <w:rFonts w:ascii="Times New Roman" w:hAnsi="Times New Roman"/>
                <w:sz w:val="24"/>
              </w:rPr>
              <w:t>il metodo modificato per il trattamento degli investimenti in oro, se la direzione dell</w:t>
            </w:r>
            <w:r w:rsidR="0009277C" w:rsidRPr="00D51A68">
              <w:rPr>
                <w:rFonts w:ascii="Times New Roman" w:hAnsi="Times New Roman"/>
                <w:sz w:val="24"/>
              </w:rPr>
              <w:t>’</w:t>
            </w:r>
            <w:r w:rsidRPr="00D51A68">
              <w:rPr>
                <w:rFonts w:ascii="Times New Roman" w:hAnsi="Times New Roman"/>
                <w:sz w:val="24"/>
              </w:rPr>
              <w:t>investimento in OIC non è disponibile (gli OIC in questione sono aggiunti alla posizione complessiva netta in valuta dell</w:t>
            </w:r>
            <w:r w:rsidR="0009277C" w:rsidRPr="00D51A68">
              <w:rPr>
                <w:rFonts w:ascii="Times New Roman" w:hAnsi="Times New Roman"/>
                <w:sz w:val="24"/>
              </w:rPr>
              <w:t>’</w:t>
            </w:r>
            <w:r w:rsidRPr="00D51A68">
              <w:rPr>
                <w:rFonts w:ascii="Times New Roman" w:hAnsi="Times New Roman"/>
                <w:sz w:val="24"/>
              </w:rPr>
              <w:t>ente)</w:t>
            </w:r>
          </w:p>
          <w:p w:rsidR="000B0B09" w:rsidRPr="00D51A68" w:rsidRDefault="00125707" w:rsidP="0023700C">
            <w:pPr>
              <w:autoSpaceDE w:val="0"/>
              <w:autoSpaceDN w:val="0"/>
              <w:adjustRightInd w:val="0"/>
              <w:spacing w:before="0" w:after="0"/>
              <w:ind w:left="720" w:hanging="360"/>
              <w:rPr>
                <w:rFonts w:ascii="Times New Roman" w:hAnsi="Times New Roman"/>
                <w:bCs/>
                <w:sz w:val="24"/>
              </w:rPr>
            </w:pPr>
            <w:r w:rsidRPr="00D51A68">
              <w:rPr>
                <w:rFonts w:ascii="Times New Roman" w:hAnsi="Times New Roman"/>
                <w:sz w:val="24"/>
              </w:rPr>
              <w:t>2.</w:t>
            </w:r>
            <w:r w:rsidR="00A0772B" w:rsidRPr="00D51A68">
              <w:tab/>
            </w:r>
            <w:r w:rsidRPr="00D51A68">
              <w:rPr>
                <w:rFonts w:ascii="Times New Roman" w:hAnsi="Times New Roman"/>
                <w:sz w:val="24"/>
              </w:rPr>
              <w:t>se la direzione dell</w:t>
            </w:r>
            <w:r w:rsidR="0009277C" w:rsidRPr="00D51A68">
              <w:rPr>
                <w:rFonts w:ascii="Times New Roman" w:hAnsi="Times New Roman"/>
                <w:sz w:val="24"/>
              </w:rPr>
              <w:t>’</w:t>
            </w:r>
            <w:r w:rsidRPr="00D51A68">
              <w:rPr>
                <w:rFonts w:ascii="Times New Roman" w:hAnsi="Times New Roman"/>
                <w:sz w:val="24"/>
              </w:rPr>
              <w:t>investimento in OIC è disponibile, gli OIC in questione sono aggiunti alla posizione complessiva aperta in valuta (lunga o corta a seconda della direzione dell</w:t>
            </w:r>
            <w:r w:rsidR="0009277C" w:rsidRPr="00D51A68">
              <w:rPr>
                <w:rFonts w:ascii="Times New Roman" w:hAnsi="Times New Roman"/>
                <w:sz w:val="24"/>
              </w:rPr>
              <w:t>’</w:t>
            </w:r>
            <w:r w:rsidRPr="00D51A68">
              <w:rPr>
                <w:rFonts w:ascii="Times New Roman" w:hAnsi="Times New Roman"/>
                <w:sz w:val="24"/>
              </w:rPr>
              <w:t>OIC).</w:t>
            </w:r>
          </w:p>
          <w:p w:rsidR="000B0B09" w:rsidRPr="00D51A68" w:rsidRDefault="000B0B09" w:rsidP="000B0B09">
            <w:pPr>
              <w:autoSpaceDE w:val="0"/>
              <w:autoSpaceDN w:val="0"/>
              <w:adjustRightInd w:val="0"/>
              <w:spacing w:before="0" w:after="0"/>
              <w:rPr>
                <w:rFonts w:ascii="Times New Roman" w:hAnsi="Times New Roman"/>
                <w:bCs/>
                <w:sz w:val="24"/>
                <w:u w:val="single"/>
              </w:rPr>
            </w:pPr>
            <w:r w:rsidRPr="00D51A68">
              <w:rPr>
                <w:rFonts w:ascii="Times New Roman" w:hAnsi="Times New Roman"/>
                <w:sz w:val="24"/>
              </w:rPr>
              <w:t>La segnalazione degli OIC in questione segue di conseguenza il calcolo dei requisiti patrimoniali.</w:t>
            </w:r>
            <w:r w:rsidRPr="00D51A68">
              <w:rPr>
                <w:rFonts w:ascii="Times New Roman" w:hAnsi="Times New Roman"/>
                <w:sz w:val="24"/>
                <w:u w:val="single"/>
              </w:rPr>
              <w:t xml:space="preserve"> </w:t>
            </w:r>
          </w:p>
          <w:p w:rsidR="00DE48EF" w:rsidRPr="00D51A68" w:rsidRDefault="00DE48EF" w:rsidP="000B0B09">
            <w:pPr>
              <w:autoSpaceDE w:val="0"/>
              <w:autoSpaceDN w:val="0"/>
              <w:adjustRightInd w:val="0"/>
              <w:spacing w:before="0" w:after="0"/>
              <w:rPr>
                <w:rFonts w:ascii="Times New Roman" w:hAnsi="Times New Roman"/>
                <w:b/>
                <w:bCs/>
                <w:sz w:val="24"/>
                <w:u w:val="single"/>
              </w:rPr>
            </w:pPr>
          </w:p>
        </w:tc>
      </w:tr>
      <w:tr w:rsidR="000B0B09" w:rsidRPr="00D51A68" w:rsidTr="00672D2A">
        <w:tc>
          <w:tcPr>
            <w:tcW w:w="991" w:type="dxa"/>
          </w:tcPr>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040</w:t>
            </w:r>
          </w:p>
        </w:tc>
        <w:tc>
          <w:tcPr>
            <w:tcW w:w="7871" w:type="dxa"/>
          </w:tcPr>
          <w:p w:rsidR="000B0B09" w:rsidRPr="00D51A68" w:rsidRDefault="000B0B09" w:rsidP="000B0B09">
            <w:pPr>
              <w:autoSpaceDE w:val="0"/>
              <w:autoSpaceDN w:val="0"/>
              <w:adjustRightInd w:val="0"/>
              <w:spacing w:before="0" w:after="0"/>
              <w:rPr>
                <w:rFonts w:ascii="Times New Roman" w:hAnsi="Times New Roman"/>
                <w:b/>
                <w:bCs/>
                <w:sz w:val="24"/>
                <w:u w:val="single"/>
              </w:rPr>
            </w:pPr>
            <w:r w:rsidRPr="00D51A68">
              <w:rPr>
                <w:rFonts w:ascii="Times New Roman" w:hAnsi="Times New Roman"/>
                <w:b/>
                <w:sz w:val="24"/>
                <w:u w:val="single"/>
              </w:rPr>
              <w:t>ORO</w:t>
            </w:r>
          </w:p>
          <w:p w:rsidR="000B0B09" w:rsidRPr="00D51A68" w:rsidRDefault="000B0B09" w:rsidP="000B0B09">
            <w:pPr>
              <w:autoSpaceDE w:val="0"/>
              <w:autoSpaceDN w:val="0"/>
              <w:adjustRightInd w:val="0"/>
              <w:spacing w:before="0" w:after="0"/>
              <w:rPr>
                <w:rFonts w:ascii="Times New Roman" w:hAnsi="Times New Roman"/>
                <w:b/>
                <w:bCs/>
                <w:sz w:val="24"/>
                <w:u w:val="single"/>
              </w:rPr>
            </w:pPr>
          </w:p>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Posizioni e relativi requisiti di fondi propri per le valute soggette alla procedura generale di cui all</w:t>
            </w:r>
            <w:r w:rsidR="0009277C" w:rsidRPr="00D51A68">
              <w:rPr>
                <w:rFonts w:ascii="Times New Roman" w:hAnsi="Times New Roman"/>
                <w:sz w:val="24"/>
              </w:rPr>
              <w:t>’</w:t>
            </w:r>
            <w:r w:rsidRPr="00D51A68">
              <w:rPr>
                <w:rFonts w:ascii="Times New Roman" w:hAnsi="Times New Roman"/>
                <w:sz w:val="24"/>
              </w:rPr>
              <w:t>articolo 351 e all</w:t>
            </w:r>
            <w:r w:rsidR="0009277C" w:rsidRPr="00D51A68">
              <w:rPr>
                <w:rFonts w:ascii="Times New Roman" w:hAnsi="Times New Roman"/>
                <w:sz w:val="24"/>
              </w:rPr>
              <w:t>’</w:t>
            </w:r>
            <w:r w:rsidRPr="00D51A68">
              <w:rPr>
                <w:rFonts w:ascii="Times New Roman" w:hAnsi="Times New Roman"/>
                <w:sz w:val="24"/>
              </w:rPr>
              <w:t xml:space="preserve">articolo 352, paragrafi 2 e 4, del CRR. </w:t>
            </w:r>
          </w:p>
          <w:p w:rsidR="000B0B09" w:rsidRPr="00D51A68" w:rsidRDefault="000B0B09" w:rsidP="000B0B09">
            <w:pPr>
              <w:autoSpaceDE w:val="0"/>
              <w:autoSpaceDN w:val="0"/>
              <w:adjustRightInd w:val="0"/>
              <w:spacing w:before="0" w:after="0"/>
              <w:rPr>
                <w:rFonts w:ascii="Times New Roman" w:hAnsi="Times New Roman"/>
                <w:b/>
                <w:bCs/>
                <w:sz w:val="24"/>
                <w:u w:val="single"/>
              </w:rPr>
            </w:pPr>
          </w:p>
        </w:tc>
      </w:tr>
      <w:tr w:rsidR="000B0B09" w:rsidRPr="00D51A68" w:rsidTr="00672D2A">
        <w:tc>
          <w:tcPr>
            <w:tcW w:w="991" w:type="dxa"/>
          </w:tcPr>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050 - 090</w:t>
            </w:r>
          </w:p>
        </w:tc>
        <w:tc>
          <w:tcPr>
            <w:tcW w:w="7871" w:type="dxa"/>
          </w:tcPr>
          <w:p w:rsidR="000B0B09" w:rsidRPr="00D51A68" w:rsidRDefault="000B0B09" w:rsidP="000B0B09">
            <w:pPr>
              <w:autoSpaceDE w:val="0"/>
              <w:autoSpaceDN w:val="0"/>
              <w:adjustRightInd w:val="0"/>
              <w:spacing w:before="0" w:after="0"/>
              <w:rPr>
                <w:rFonts w:ascii="Times New Roman" w:hAnsi="Times New Roman"/>
                <w:b/>
                <w:bCs/>
                <w:sz w:val="24"/>
                <w:u w:val="single"/>
              </w:rPr>
            </w:pPr>
            <w:r w:rsidRPr="00D51A68">
              <w:rPr>
                <w:rStyle w:val="InstructionsTabelleberschrift"/>
                <w:rFonts w:ascii="Times New Roman" w:hAnsi="Times New Roman"/>
                <w:sz w:val="24"/>
              </w:rPr>
              <w:t>REQUISITI AGGIUNTIVI PER LE OPZIONI (RISCHI NON DELTA)</w:t>
            </w:r>
          </w:p>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 xml:space="preserve">Articolo 352, paragrafi 5 e 6, del CRR. </w:t>
            </w:r>
          </w:p>
          <w:p w:rsidR="000B0B09" w:rsidRPr="00D51A68" w:rsidRDefault="000B0B09" w:rsidP="000B0B09">
            <w:pPr>
              <w:autoSpaceDE w:val="0"/>
              <w:autoSpaceDN w:val="0"/>
              <w:adjustRightInd w:val="0"/>
              <w:spacing w:before="0" w:after="0"/>
              <w:rPr>
                <w:rFonts w:ascii="Times New Roman" w:hAnsi="Times New Roman"/>
                <w:sz w:val="24"/>
              </w:rPr>
            </w:pPr>
          </w:p>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I requisiti aggiuntivi per le opzioni correlate a rischi diversi dal rischio delta sono segnalati nel metodo utilizzato per il relativo calcolo.</w:t>
            </w:r>
          </w:p>
          <w:p w:rsidR="000B0B09" w:rsidRPr="00D51A68" w:rsidRDefault="000B0B09" w:rsidP="000B0B09">
            <w:pPr>
              <w:autoSpaceDE w:val="0"/>
              <w:autoSpaceDN w:val="0"/>
              <w:adjustRightInd w:val="0"/>
              <w:spacing w:before="0" w:after="0"/>
              <w:rPr>
                <w:rFonts w:ascii="Times New Roman" w:hAnsi="Times New Roman"/>
                <w:b/>
                <w:bCs/>
                <w:sz w:val="24"/>
                <w:u w:val="single"/>
              </w:rPr>
            </w:pPr>
          </w:p>
        </w:tc>
      </w:tr>
      <w:tr w:rsidR="000B0B09" w:rsidRPr="00D51A68" w:rsidTr="00672D2A">
        <w:tc>
          <w:tcPr>
            <w:tcW w:w="991" w:type="dxa"/>
          </w:tcPr>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100-120</w:t>
            </w:r>
          </w:p>
        </w:tc>
        <w:tc>
          <w:tcPr>
            <w:tcW w:w="7871" w:type="dxa"/>
          </w:tcPr>
          <w:p w:rsidR="000B0B09" w:rsidRPr="00D51A68" w:rsidRDefault="000B0B09" w:rsidP="000B0B09">
            <w:pPr>
              <w:autoSpaceDE w:val="0"/>
              <w:autoSpaceDN w:val="0"/>
              <w:adjustRightInd w:val="0"/>
              <w:spacing w:before="0" w:after="0"/>
              <w:rPr>
                <w:rFonts w:ascii="Times New Roman" w:hAnsi="Times New Roman"/>
                <w:b/>
                <w:bCs/>
                <w:sz w:val="24"/>
                <w:u w:val="single"/>
              </w:rPr>
            </w:pPr>
            <w:r w:rsidRPr="00D51A68">
              <w:rPr>
                <w:rFonts w:ascii="Times New Roman" w:hAnsi="Times New Roman"/>
                <w:b/>
                <w:sz w:val="24"/>
                <w:u w:val="single"/>
              </w:rPr>
              <w:t>Ripartizione delle posizioni totali (comprese le valute utilizzate per le segnalazioni) per tipo di esposizione</w:t>
            </w:r>
          </w:p>
          <w:p w:rsidR="000B0B09" w:rsidRPr="00D51A68" w:rsidRDefault="000B0B09" w:rsidP="000B0B09">
            <w:pPr>
              <w:autoSpaceDE w:val="0"/>
              <w:autoSpaceDN w:val="0"/>
              <w:adjustRightInd w:val="0"/>
              <w:spacing w:before="0" w:after="0"/>
              <w:rPr>
                <w:rFonts w:ascii="Times New Roman" w:hAnsi="Times New Roman"/>
                <w:b/>
                <w:bCs/>
                <w:sz w:val="24"/>
                <w:u w:val="single"/>
              </w:rPr>
            </w:pPr>
          </w:p>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Le posizioni totali sono ripartite per derivati, altre attività e passività ed elementi fuori bilancio.</w:t>
            </w:r>
          </w:p>
          <w:p w:rsidR="00DE48EF" w:rsidRPr="00D51A68" w:rsidRDefault="00DE48EF" w:rsidP="000B0B09">
            <w:pPr>
              <w:autoSpaceDE w:val="0"/>
              <w:autoSpaceDN w:val="0"/>
              <w:adjustRightInd w:val="0"/>
              <w:spacing w:before="0" w:after="0"/>
              <w:rPr>
                <w:rFonts w:ascii="Times New Roman" w:hAnsi="Times New Roman"/>
                <w:b/>
                <w:bCs/>
                <w:sz w:val="24"/>
                <w:u w:val="single"/>
              </w:rPr>
            </w:pPr>
          </w:p>
        </w:tc>
      </w:tr>
      <w:tr w:rsidR="000B0B09" w:rsidRPr="00D51A68" w:rsidTr="00672D2A">
        <w:tc>
          <w:tcPr>
            <w:tcW w:w="991" w:type="dxa"/>
          </w:tcPr>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100</w:t>
            </w:r>
          </w:p>
        </w:tc>
        <w:tc>
          <w:tcPr>
            <w:tcW w:w="7871" w:type="dxa"/>
          </w:tcPr>
          <w:p w:rsidR="000B0B09" w:rsidRPr="00D51A68" w:rsidRDefault="000B0B09" w:rsidP="000B0B09">
            <w:pPr>
              <w:autoSpaceDE w:val="0"/>
              <w:autoSpaceDN w:val="0"/>
              <w:adjustRightInd w:val="0"/>
              <w:spacing w:before="0" w:after="0"/>
              <w:rPr>
                <w:rFonts w:ascii="Times New Roman" w:hAnsi="Times New Roman"/>
                <w:b/>
                <w:bCs/>
                <w:sz w:val="24"/>
                <w:u w:val="single"/>
              </w:rPr>
            </w:pPr>
            <w:r w:rsidRPr="00D51A68">
              <w:rPr>
                <w:rFonts w:ascii="Times New Roman" w:hAnsi="Times New Roman"/>
                <w:b/>
                <w:sz w:val="24"/>
                <w:u w:val="single"/>
              </w:rPr>
              <w:t>Attività e passività diverse dagli elementi fuori bilancio e dai derivati</w:t>
            </w:r>
          </w:p>
          <w:p w:rsidR="000B0B09" w:rsidRPr="00D51A68" w:rsidRDefault="000B0B09" w:rsidP="000B0B09">
            <w:pPr>
              <w:autoSpaceDE w:val="0"/>
              <w:autoSpaceDN w:val="0"/>
              <w:adjustRightInd w:val="0"/>
              <w:spacing w:before="0" w:after="0"/>
              <w:rPr>
                <w:rFonts w:ascii="Times New Roman" w:hAnsi="Times New Roman"/>
                <w:b/>
                <w:bCs/>
                <w:sz w:val="24"/>
                <w:u w:val="single"/>
              </w:rPr>
            </w:pPr>
          </w:p>
          <w:p w:rsidR="00DE48EF"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 xml:space="preserve"> Le posizioni non comprese nella riga 110 o nella riga 120 sono segnalate in questa voce. </w:t>
            </w:r>
          </w:p>
          <w:p w:rsidR="000B0B09" w:rsidRPr="00D51A68" w:rsidRDefault="000B0B09" w:rsidP="000B0B09">
            <w:pPr>
              <w:autoSpaceDE w:val="0"/>
              <w:autoSpaceDN w:val="0"/>
              <w:adjustRightInd w:val="0"/>
              <w:spacing w:before="0" w:after="0"/>
              <w:rPr>
                <w:rFonts w:ascii="Times New Roman" w:hAnsi="Times New Roman"/>
                <w:b/>
                <w:bCs/>
                <w:sz w:val="24"/>
                <w:u w:val="single"/>
              </w:rPr>
            </w:pPr>
            <w:r w:rsidRPr="00D51A68">
              <w:rPr>
                <w:rFonts w:ascii="Times New Roman" w:hAnsi="Times New Roman"/>
                <w:sz w:val="24"/>
              </w:rPr>
              <w:t xml:space="preserve"> </w:t>
            </w:r>
          </w:p>
        </w:tc>
      </w:tr>
      <w:tr w:rsidR="000B0B09" w:rsidRPr="00D51A68" w:rsidTr="00672D2A">
        <w:tc>
          <w:tcPr>
            <w:tcW w:w="991" w:type="dxa"/>
          </w:tcPr>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110</w:t>
            </w:r>
          </w:p>
        </w:tc>
        <w:tc>
          <w:tcPr>
            <w:tcW w:w="7871" w:type="dxa"/>
          </w:tcPr>
          <w:p w:rsidR="000B0B09" w:rsidRPr="00D51A68" w:rsidRDefault="000B0B09" w:rsidP="000B0B09">
            <w:pPr>
              <w:autoSpaceDE w:val="0"/>
              <w:autoSpaceDN w:val="0"/>
              <w:adjustRightInd w:val="0"/>
              <w:spacing w:before="0" w:after="0"/>
              <w:rPr>
                <w:rFonts w:ascii="Times New Roman" w:hAnsi="Times New Roman"/>
                <w:b/>
                <w:bCs/>
                <w:sz w:val="24"/>
                <w:u w:val="single"/>
              </w:rPr>
            </w:pPr>
            <w:r w:rsidRPr="00D51A68">
              <w:rPr>
                <w:rFonts w:ascii="Times New Roman" w:hAnsi="Times New Roman"/>
                <w:b/>
                <w:sz w:val="24"/>
                <w:u w:val="single"/>
              </w:rPr>
              <w:t>Elementi fuori bilancio</w:t>
            </w:r>
          </w:p>
          <w:p w:rsidR="000B0B09" w:rsidRPr="00D51A68" w:rsidRDefault="000B0B09" w:rsidP="000B0B09">
            <w:pPr>
              <w:autoSpaceDE w:val="0"/>
              <w:autoSpaceDN w:val="0"/>
              <w:adjustRightInd w:val="0"/>
              <w:spacing w:before="0" w:after="0"/>
              <w:rPr>
                <w:rFonts w:ascii="Times New Roman" w:hAnsi="Times New Roman"/>
                <w:b/>
                <w:bCs/>
                <w:sz w:val="24"/>
                <w:u w:val="single"/>
              </w:rPr>
            </w:pPr>
          </w:p>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Gli elementi che rientrano nell</w:t>
            </w:r>
            <w:r w:rsidR="0009277C" w:rsidRPr="00D51A68">
              <w:rPr>
                <w:rFonts w:ascii="Times New Roman" w:hAnsi="Times New Roman"/>
                <w:sz w:val="24"/>
              </w:rPr>
              <w:t>’</w:t>
            </w:r>
            <w:r w:rsidRPr="00D51A68">
              <w:rPr>
                <w:rFonts w:ascii="Times New Roman" w:hAnsi="Times New Roman"/>
                <w:sz w:val="24"/>
              </w:rPr>
              <w:t>ambito di applicazione dell</w:t>
            </w:r>
            <w:r w:rsidR="0009277C" w:rsidRPr="00D51A68">
              <w:rPr>
                <w:rFonts w:ascii="Times New Roman" w:hAnsi="Times New Roman"/>
                <w:sz w:val="24"/>
              </w:rPr>
              <w:t>’</w:t>
            </w:r>
            <w:r w:rsidRPr="00D51A68">
              <w:rPr>
                <w:rFonts w:ascii="Times New Roman" w:hAnsi="Times New Roman"/>
                <w:sz w:val="24"/>
              </w:rPr>
              <w:t>articolo 352 del CRR, indipendentemente dalla valuta di denominazione, che sono compresi nell</w:t>
            </w:r>
            <w:r w:rsidR="0009277C" w:rsidRPr="00D51A68">
              <w:rPr>
                <w:rFonts w:ascii="Times New Roman" w:hAnsi="Times New Roman"/>
                <w:sz w:val="24"/>
              </w:rPr>
              <w:t>’</w:t>
            </w:r>
            <w:r w:rsidRPr="00D51A68">
              <w:rPr>
                <w:rFonts w:ascii="Times New Roman" w:hAnsi="Times New Roman"/>
                <w:sz w:val="24"/>
              </w:rPr>
              <w:t>allegato I del CRR, tranne quelli inclusi come operazioni di finanziamento tramite titoli e operazioni con regolamento a lungo termine o derivanti da un accordo di compensazione contrattuale tra prodotti differenti.</w:t>
            </w:r>
          </w:p>
          <w:p w:rsidR="00DE48EF" w:rsidRPr="00D51A68" w:rsidRDefault="00DE48EF" w:rsidP="000B0B09">
            <w:pPr>
              <w:autoSpaceDE w:val="0"/>
              <w:autoSpaceDN w:val="0"/>
              <w:adjustRightInd w:val="0"/>
              <w:spacing w:before="0" w:after="0"/>
              <w:rPr>
                <w:rFonts w:ascii="Times New Roman" w:hAnsi="Times New Roman"/>
                <w:b/>
                <w:bCs/>
                <w:sz w:val="24"/>
                <w:u w:val="single"/>
              </w:rPr>
            </w:pPr>
          </w:p>
        </w:tc>
      </w:tr>
      <w:tr w:rsidR="000B0B09" w:rsidRPr="00D51A68" w:rsidTr="00672D2A">
        <w:tc>
          <w:tcPr>
            <w:tcW w:w="991" w:type="dxa"/>
          </w:tcPr>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120</w:t>
            </w:r>
          </w:p>
          <w:p w:rsidR="000B0B09" w:rsidRPr="00D51A68" w:rsidRDefault="000B0B09" w:rsidP="000B0B09">
            <w:pPr>
              <w:autoSpaceDE w:val="0"/>
              <w:autoSpaceDN w:val="0"/>
              <w:adjustRightInd w:val="0"/>
              <w:spacing w:before="0" w:after="0"/>
              <w:rPr>
                <w:rFonts w:ascii="Times New Roman" w:hAnsi="Times New Roman"/>
                <w:sz w:val="24"/>
              </w:rPr>
            </w:pPr>
          </w:p>
        </w:tc>
        <w:tc>
          <w:tcPr>
            <w:tcW w:w="7871" w:type="dxa"/>
          </w:tcPr>
          <w:p w:rsidR="000B0B09" w:rsidRPr="00D51A68" w:rsidRDefault="000B0B09" w:rsidP="000B0B09">
            <w:pPr>
              <w:autoSpaceDE w:val="0"/>
              <w:autoSpaceDN w:val="0"/>
              <w:adjustRightInd w:val="0"/>
              <w:spacing w:before="0" w:after="0"/>
              <w:rPr>
                <w:rFonts w:ascii="Times New Roman" w:hAnsi="Times New Roman"/>
                <w:b/>
                <w:bCs/>
                <w:sz w:val="24"/>
                <w:u w:val="single"/>
              </w:rPr>
            </w:pPr>
            <w:r w:rsidRPr="00D51A68">
              <w:rPr>
                <w:rFonts w:ascii="Times New Roman" w:hAnsi="Times New Roman"/>
                <w:b/>
                <w:sz w:val="24"/>
                <w:u w:val="single"/>
              </w:rPr>
              <w:t>Derivati</w:t>
            </w:r>
          </w:p>
          <w:p w:rsidR="000B0B09" w:rsidRPr="00D51A68" w:rsidRDefault="000B0B09" w:rsidP="000B0B09">
            <w:pPr>
              <w:autoSpaceDE w:val="0"/>
              <w:autoSpaceDN w:val="0"/>
              <w:adjustRightInd w:val="0"/>
              <w:spacing w:before="0" w:after="0"/>
              <w:rPr>
                <w:rFonts w:ascii="Times New Roman" w:hAnsi="Times New Roman"/>
                <w:b/>
                <w:bCs/>
                <w:sz w:val="24"/>
                <w:u w:val="single"/>
              </w:rPr>
            </w:pPr>
          </w:p>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Posizioni valutate conformemente all</w:t>
            </w:r>
            <w:r w:rsidR="0009277C" w:rsidRPr="00D51A68">
              <w:rPr>
                <w:rFonts w:ascii="Times New Roman" w:hAnsi="Times New Roman"/>
                <w:sz w:val="24"/>
              </w:rPr>
              <w:t>’</w:t>
            </w:r>
            <w:r w:rsidRPr="00D51A68">
              <w:rPr>
                <w:rFonts w:ascii="Times New Roman" w:hAnsi="Times New Roman"/>
                <w:sz w:val="24"/>
              </w:rPr>
              <w:t>articolo 352 del CRR.</w:t>
            </w:r>
          </w:p>
          <w:p w:rsidR="00902EFC" w:rsidRPr="00D51A68" w:rsidRDefault="00902EFC" w:rsidP="000B0B09">
            <w:pPr>
              <w:autoSpaceDE w:val="0"/>
              <w:autoSpaceDN w:val="0"/>
              <w:adjustRightInd w:val="0"/>
              <w:spacing w:before="0" w:after="0"/>
              <w:rPr>
                <w:rFonts w:ascii="Times New Roman" w:hAnsi="Times New Roman"/>
                <w:b/>
                <w:bCs/>
                <w:sz w:val="24"/>
                <w:u w:val="single"/>
              </w:rPr>
            </w:pPr>
          </w:p>
        </w:tc>
      </w:tr>
      <w:tr w:rsidR="000B0B09" w:rsidRPr="00D51A68" w:rsidTr="00672D2A">
        <w:tc>
          <w:tcPr>
            <w:tcW w:w="991" w:type="dxa"/>
          </w:tcPr>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130-480</w:t>
            </w:r>
          </w:p>
          <w:p w:rsidR="000B0B09" w:rsidRPr="00D51A68" w:rsidRDefault="000B0B09" w:rsidP="000B0B09">
            <w:pPr>
              <w:autoSpaceDE w:val="0"/>
              <w:autoSpaceDN w:val="0"/>
              <w:adjustRightInd w:val="0"/>
              <w:spacing w:before="0" w:after="0"/>
              <w:rPr>
                <w:rFonts w:ascii="Times New Roman" w:hAnsi="Times New Roman"/>
                <w:sz w:val="24"/>
              </w:rPr>
            </w:pPr>
          </w:p>
        </w:tc>
        <w:tc>
          <w:tcPr>
            <w:tcW w:w="7871" w:type="dxa"/>
          </w:tcPr>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b/>
                <w:sz w:val="24"/>
                <w:u w:val="single"/>
              </w:rPr>
              <w:t>VOCI PER MEMORIA: POSIZIONI IN VALUTA</w:t>
            </w:r>
          </w:p>
          <w:p w:rsidR="000B0B09" w:rsidRPr="00D51A68" w:rsidRDefault="000B0B09" w:rsidP="000B0B09">
            <w:pPr>
              <w:autoSpaceDE w:val="0"/>
              <w:autoSpaceDN w:val="0"/>
              <w:adjustRightInd w:val="0"/>
              <w:spacing w:before="0" w:after="0"/>
              <w:rPr>
                <w:rFonts w:ascii="Times New Roman" w:hAnsi="Times New Roman"/>
                <w:b/>
                <w:bCs/>
                <w:sz w:val="24"/>
              </w:rPr>
            </w:pPr>
          </w:p>
          <w:p w:rsidR="000B0B09" w:rsidRPr="00D51A68" w:rsidRDefault="000B0B09" w:rsidP="00944530">
            <w:pPr>
              <w:autoSpaceDE w:val="0"/>
              <w:autoSpaceDN w:val="0"/>
              <w:adjustRightInd w:val="0"/>
              <w:spacing w:before="0" w:after="0"/>
              <w:rPr>
                <w:rStyle w:val="InstructionsTabelleText"/>
                <w:rFonts w:ascii="Times New Roman" w:hAnsi="Times New Roman"/>
                <w:sz w:val="24"/>
              </w:rPr>
            </w:pPr>
            <w:r w:rsidRPr="00D51A68">
              <w:rPr>
                <w:rFonts w:ascii="Times New Roman" w:hAnsi="Times New Roman"/>
                <w:sz w:val="24"/>
              </w:rPr>
              <w:t>Le voci per memoria del modello sono compilate separatamente per tutte le valute degli Stati membri dell</w:t>
            </w:r>
            <w:r w:rsidR="0009277C" w:rsidRPr="00D51A68">
              <w:rPr>
                <w:rFonts w:ascii="Times New Roman" w:hAnsi="Times New Roman"/>
                <w:sz w:val="24"/>
              </w:rPr>
              <w:t>’</w:t>
            </w:r>
            <w:r w:rsidRPr="00D51A68">
              <w:rPr>
                <w:rFonts w:ascii="Times New Roman" w:hAnsi="Times New Roman"/>
                <w:sz w:val="24"/>
              </w:rPr>
              <w:t xml:space="preserve">Unione e per le valute seguenti: USD, CHF, JPY, RUB, TRY, AUD, CAD, RSD, ALL, UAH, MKD, EGP, ARS, BRL, MXN, HKD, ICK, TWD, NZD, NOK, SGD, KRW, CNY, nonché per tutte le altre valute. </w:t>
            </w:r>
          </w:p>
        </w:tc>
      </w:tr>
    </w:tbl>
    <w:p w:rsidR="000B0B09" w:rsidRPr="00D51A68" w:rsidRDefault="000B0B09" w:rsidP="000B0B09">
      <w:pPr>
        <w:rPr>
          <w:rFonts w:ascii="Times New Roman" w:hAnsi="Times New Roman"/>
          <w:sz w:val="24"/>
        </w:rPr>
      </w:pPr>
    </w:p>
    <w:p w:rsidR="000B0B09" w:rsidRPr="00D51A68" w:rsidRDefault="00125707" w:rsidP="0023700C">
      <w:pPr>
        <w:pStyle w:val="Instructionsberschrift2"/>
        <w:numPr>
          <w:ilvl w:val="0"/>
          <w:numId w:val="0"/>
        </w:numPr>
        <w:ind w:left="357" w:hanging="357"/>
        <w:rPr>
          <w:rFonts w:ascii="Times New Roman" w:hAnsi="Times New Roman" w:cs="Times New Roman"/>
          <w:sz w:val="24"/>
        </w:rPr>
      </w:pPr>
      <w:bookmarkStart w:id="718" w:name="_Toc262566435"/>
      <w:bookmarkStart w:id="719" w:name="_Toc295830011"/>
      <w:bookmarkStart w:id="720" w:name="_Toc308426688"/>
      <w:bookmarkStart w:id="721" w:name="_Toc310415072"/>
      <w:bookmarkStart w:id="722" w:name="_Toc360188407"/>
      <w:bookmarkStart w:id="723" w:name="_Toc516210698"/>
      <w:bookmarkStart w:id="724" w:name="_Toc473561047"/>
      <w:bookmarkStart w:id="725" w:name="_Toc524096643"/>
      <w:r w:rsidRPr="00D51A68">
        <w:rPr>
          <w:rFonts w:ascii="Times New Roman" w:hAnsi="Times New Roman"/>
          <w:sz w:val="24"/>
          <w:u w:val="none"/>
        </w:rPr>
        <w:t>5.6.</w:t>
      </w:r>
      <w:r w:rsidR="00A0772B" w:rsidRPr="00D51A68">
        <w:rPr>
          <w:u w:val="none"/>
        </w:rPr>
        <w:tab/>
      </w:r>
      <w:r w:rsidRPr="00D51A68">
        <w:rPr>
          <w:rFonts w:ascii="Times New Roman" w:hAnsi="Times New Roman"/>
          <w:sz w:val="24"/>
        </w:rPr>
        <w:t>C 23.00 — Rischio di mercato: metodi standardizzati per le merci</w:t>
      </w:r>
      <w:bookmarkEnd w:id="718"/>
      <w:bookmarkEnd w:id="719"/>
      <w:bookmarkEnd w:id="720"/>
      <w:bookmarkEnd w:id="721"/>
      <w:bookmarkEnd w:id="722"/>
      <w:r w:rsidRPr="00D51A68">
        <w:rPr>
          <w:rFonts w:ascii="Times New Roman" w:hAnsi="Times New Roman"/>
          <w:sz w:val="24"/>
        </w:rPr>
        <w:t xml:space="preserve"> (MKR SA COM)</w:t>
      </w:r>
      <w:bookmarkEnd w:id="723"/>
      <w:bookmarkEnd w:id="724"/>
      <w:bookmarkEnd w:id="725"/>
    </w:p>
    <w:p w:rsidR="000B0B09" w:rsidRPr="00D51A68" w:rsidRDefault="00125707" w:rsidP="0023700C">
      <w:pPr>
        <w:pStyle w:val="Instructionsberschrift2"/>
        <w:numPr>
          <w:ilvl w:val="0"/>
          <w:numId w:val="0"/>
        </w:numPr>
        <w:ind w:left="357" w:hanging="357"/>
        <w:rPr>
          <w:rFonts w:ascii="Times New Roman" w:hAnsi="Times New Roman" w:cs="Times New Roman"/>
          <w:sz w:val="24"/>
        </w:rPr>
      </w:pPr>
      <w:bookmarkStart w:id="726" w:name="_Toc262566436"/>
      <w:bookmarkStart w:id="727" w:name="_Toc295830012"/>
      <w:bookmarkStart w:id="728" w:name="_Toc308426689"/>
      <w:bookmarkStart w:id="729" w:name="_Toc310415073"/>
      <w:bookmarkStart w:id="730" w:name="_Toc360188408"/>
      <w:bookmarkStart w:id="731" w:name="_Toc516210699"/>
      <w:bookmarkStart w:id="732" w:name="_Toc473561048"/>
      <w:bookmarkStart w:id="733" w:name="_Toc524096644"/>
      <w:r w:rsidRPr="00D51A68">
        <w:rPr>
          <w:rFonts w:ascii="Times New Roman" w:hAnsi="Times New Roman"/>
          <w:sz w:val="24"/>
          <w:u w:val="none"/>
        </w:rPr>
        <w:t>5.6.1.</w:t>
      </w:r>
      <w:r w:rsidR="00A0772B" w:rsidRPr="00D51A68">
        <w:rPr>
          <w:u w:val="none"/>
        </w:rPr>
        <w:tab/>
      </w:r>
      <w:r w:rsidRPr="00D51A68">
        <w:rPr>
          <w:rFonts w:ascii="Times New Roman" w:hAnsi="Times New Roman"/>
          <w:sz w:val="24"/>
        </w:rPr>
        <w:t>Osservazioni di carattere generale</w:t>
      </w:r>
      <w:bookmarkEnd w:id="726"/>
      <w:bookmarkEnd w:id="727"/>
      <w:bookmarkEnd w:id="728"/>
      <w:bookmarkEnd w:id="729"/>
      <w:bookmarkEnd w:id="730"/>
      <w:bookmarkEnd w:id="731"/>
      <w:bookmarkEnd w:id="732"/>
      <w:bookmarkEnd w:id="733"/>
    </w:p>
    <w:p w:rsidR="000B0B09" w:rsidRPr="00D51A68" w:rsidRDefault="00125707" w:rsidP="00941EC3">
      <w:pPr>
        <w:pStyle w:val="InstructionsText2"/>
        <w:numPr>
          <w:ilvl w:val="0"/>
          <w:numId w:val="0"/>
        </w:numPr>
        <w:ind w:left="993"/>
      </w:pPr>
      <w:r w:rsidRPr="00D51A68">
        <w:t>152.</w:t>
      </w:r>
      <w:r w:rsidR="00A0772B" w:rsidRPr="00D51A68">
        <w:tab/>
      </w:r>
      <w:r w:rsidRPr="00D51A68">
        <w:t>In questo modello vanno inserite informazioni riguardanti le posizioni in merci e i relativi requisiti di fondi propri trattati secondo l</w:t>
      </w:r>
      <w:r w:rsidR="0009277C" w:rsidRPr="00D51A68">
        <w:t>’</w:t>
      </w:r>
      <w:r w:rsidRPr="00D51A68">
        <w:t>approccio standardizzato.</w:t>
      </w:r>
    </w:p>
    <w:p w:rsidR="000B0B09" w:rsidRPr="00D51A68" w:rsidRDefault="00125707" w:rsidP="0023700C">
      <w:pPr>
        <w:pStyle w:val="Instructionsberschrift2"/>
        <w:numPr>
          <w:ilvl w:val="0"/>
          <w:numId w:val="0"/>
        </w:numPr>
        <w:ind w:left="357" w:hanging="357"/>
        <w:rPr>
          <w:rFonts w:ascii="Times New Roman" w:hAnsi="Times New Roman" w:cs="Times New Roman"/>
          <w:sz w:val="24"/>
        </w:rPr>
      </w:pPr>
      <w:bookmarkStart w:id="734" w:name="_Toc262566437"/>
      <w:bookmarkStart w:id="735" w:name="_Toc295830013"/>
      <w:bookmarkStart w:id="736" w:name="_Toc308426690"/>
      <w:bookmarkStart w:id="737" w:name="_Toc310415074"/>
      <w:bookmarkStart w:id="738" w:name="_Toc360188409"/>
      <w:bookmarkStart w:id="739" w:name="_Toc516210700"/>
      <w:bookmarkStart w:id="740" w:name="_Toc473561049"/>
      <w:bookmarkStart w:id="741" w:name="_Toc524096645"/>
      <w:r w:rsidRPr="00D51A68">
        <w:rPr>
          <w:rFonts w:ascii="Times New Roman" w:hAnsi="Times New Roman"/>
          <w:sz w:val="24"/>
          <w:u w:val="none"/>
        </w:rPr>
        <w:t>5.6.2.</w:t>
      </w:r>
      <w:r w:rsidR="00A0772B" w:rsidRPr="00D51A68">
        <w:rPr>
          <w:u w:val="none"/>
        </w:rPr>
        <w:tab/>
      </w:r>
      <w:r w:rsidRPr="00D51A68">
        <w:rPr>
          <w:rFonts w:ascii="Times New Roman" w:hAnsi="Times New Roman"/>
          <w:sz w:val="24"/>
        </w:rPr>
        <w:t>Istruzioni relative a posizioni specifiche</w:t>
      </w:r>
      <w:bookmarkEnd w:id="734"/>
      <w:bookmarkEnd w:id="735"/>
      <w:bookmarkEnd w:id="736"/>
      <w:bookmarkEnd w:id="737"/>
      <w:bookmarkEnd w:id="738"/>
      <w:bookmarkEnd w:id="739"/>
      <w:bookmarkEnd w:id="740"/>
      <w:bookmarkEnd w:id="74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D51A68" w:rsidTr="00672D2A">
        <w:trPr>
          <w:trHeight w:val="591"/>
        </w:trPr>
        <w:tc>
          <w:tcPr>
            <w:tcW w:w="8862" w:type="dxa"/>
            <w:gridSpan w:val="2"/>
            <w:shd w:val="clear" w:color="auto" w:fill="CCCCCC"/>
          </w:tcPr>
          <w:p w:rsidR="000B0B09" w:rsidRPr="00D51A68" w:rsidRDefault="000B0B09" w:rsidP="000B0B09">
            <w:pPr>
              <w:autoSpaceDE w:val="0"/>
              <w:autoSpaceDN w:val="0"/>
              <w:adjustRightInd w:val="0"/>
              <w:spacing w:after="0"/>
              <w:rPr>
                <w:rFonts w:ascii="Times New Roman" w:hAnsi="Times New Roman"/>
                <w:b/>
                <w:sz w:val="24"/>
              </w:rPr>
            </w:pPr>
            <w:r w:rsidRPr="00D51A68">
              <w:rPr>
                <w:rFonts w:ascii="Times New Roman" w:hAnsi="Times New Roman"/>
                <w:b/>
                <w:sz w:val="24"/>
              </w:rPr>
              <w:t>Colonne</w:t>
            </w:r>
          </w:p>
        </w:tc>
      </w:tr>
      <w:tr w:rsidR="000B0B09" w:rsidRPr="00D51A68" w:rsidTr="00672D2A">
        <w:tc>
          <w:tcPr>
            <w:tcW w:w="986" w:type="dxa"/>
          </w:tcPr>
          <w:p w:rsidR="000B0B09" w:rsidRPr="00D51A68" w:rsidRDefault="000B0B09" w:rsidP="00B74792">
            <w:pPr>
              <w:autoSpaceDE w:val="0"/>
              <w:autoSpaceDN w:val="0"/>
              <w:adjustRightInd w:val="0"/>
              <w:spacing w:before="0" w:after="0"/>
              <w:rPr>
                <w:rFonts w:ascii="Times New Roman" w:hAnsi="Times New Roman"/>
                <w:sz w:val="24"/>
              </w:rPr>
            </w:pPr>
            <w:r w:rsidRPr="00D51A68">
              <w:rPr>
                <w:rFonts w:ascii="Times New Roman" w:hAnsi="Times New Roman"/>
                <w:sz w:val="24"/>
              </w:rPr>
              <w:t>010-020</w:t>
            </w:r>
          </w:p>
        </w:tc>
        <w:tc>
          <w:tcPr>
            <w:tcW w:w="7876" w:type="dxa"/>
          </w:tcPr>
          <w:p w:rsidR="000B0B09" w:rsidRPr="00D51A68" w:rsidRDefault="000B0B09" w:rsidP="000B0B09">
            <w:pPr>
              <w:autoSpaceDE w:val="0"/>
              <w:autoSpaceDN w:val="0"/>
              <w:adjustRightInd w:val="0"/>
              <w:spacing w:before="0" w:after="0"/>
              <w:rPr>
                <w:rFonts w:ascii="Times New Roman" w:hAnsi="Times New Roman"/>
                <w:b/>
                <w:bCs/>
                <w:sz w:val="24"/>
                <w:u w:val="single"/>
              </w:rPr>
            </w:pPr>
            <w:r w:rsidRPr="00D51A68">
              <w:rPr>
                <w:rFonts w:ascii="Times New Roman" w:hAnsi="Times New Roman"/>
                <w:b/>
                <w:sz w:val="24"/>
                <w:u w:val="single"/>
              </w:rPr>
              <w:t>TUTTE LE POSIZIONI (LUNGHE E CORTE)</w:t>
            </w:r>
          </w:p>
          <w:p w:rsidR="000B0B09" w:rsidRPr="00D51A68" w:rsidRDefault="000B0B09" w:rsidP="000B0B09">
            <w:pPr>
              <w:autoSpaceDE w:val="0"/>
              <w:autoSpaceDN w:val="0"/>
              <w:adjustRightInd w:val="0"/>
              <w:spacing w:before="0" w:after="0"/>
              <w:rPr>
                <w:rFonts w:ascii="Times New Roman" w:hAnsi="Times New Roman"/>
                <w:b/>
                <w:bCs/>
                <w:sz w:val="24"/>
                <w:u w:val="single"/>
              </w:rPr>
            </w:pPr>
          </w:p>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Posizioni lorde lunghe/corte considerate posizioni nella stessa merce conformemente all</w:t>
            </w:r>
            <w:r w:rsidR="0009277C" w:rsidRPr="00D51A68">
              <w:rPr>
                <w:rFonts w:ascii="Times New Roman" w:hAnsi="Times New Roman"/>
                <w:sz w:val="24"/>
              </w:rPr>
              <w:t>’</w:t>
            </w:r>
            <w:r w:rsidRPr="00D51A68">
              <w:rPr>
                <w:rFonts w:ascii="Times New Roman" w:hAnsi="Times New Roman"/>
                <w:sz w:val="24"/>
              </w:rPr>
              <w:t>articolo 357, paragrafi 1 e 4</w:t>
            </w:r>
            <w:r w:rsidR="00941EC3" w:rsidRPr="00D51A68">
              <w:rPr>
                <w:rFonts w:ascii="Times New Roman" w:hAnsi="Times New Roman"/>
                <w:sz w:val="24"/>
              </w:rPr>
              <w:t>, del CRR (cfr. anche articolo </w:t>
            </w:r>
            <w:r w:rsidRPr="00D51A68">
              <w:rPr>
                <w:rFonts w:ascii="Times New Roman" w:hAnsi="Times New Roman"/>
                <w:sz w:val="24"/>
              </w:rPr>
              <w:t>359, paragrafo 1, del CRR).</w:t>
            </w:r>
          </w:p>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 xml:space="preserve"> </w:t>
            </w:r>
          </w:p>
        </w:tc>
      </w:tr>
      <w:tr w:rsidR="000B0B09" w:rsidRPr="00D51A68" w:rsidTr="00672D2A">
        <w:tc>
          <w:tcPr>
            <w:tcW w:w="986" w:type="dxa"/>
          </w:tcPr>
          <w:p w:rsidR="000B0B09" w:rsidRPr="00D51A68" w:rsidRDefault="000B0B09" w:rsidP="00B74792">
            <w:pPr>
              <w:autoSpaceDE w:val="0"/>
              <w:autoSpaceDN w:val="0"/>
              <w:adjustRightInd w:val="0"/>
              <w:spacing w:before="0" w:after="0"/>
              <w:rPr>
                <w:rFonts w:ascii="Times New Roman" w:hAnsi="Times New Roman"/>
                <w:sz w:val="24"/>
              </w:rPr>
            </w:pPr>
            <w:r w:rsidRPr="00D51A68">
              <w:rPr>
                <w:rFonts w:ascii="Times New Roman" w:hAnsi="Times New Roman"/>
                <w:sz w:val="24"/>
              </w:rPr>
              <w:t xml:space="preserve">030-040 </w:t>
            </w:r>
          </w:p>
        </w:tc>
        <w:tc>
          <w:tcPr>
            <w:tcW w:w="7876" w:type="dxa"/>
          </w:tcPr>
          <w:p w:rsidR="000B0B09" w:rsidRPr="00D51A68" w:rsidRDefault="000B0B09" w:rsidP="000B0B09">
            <w:pPr>
              <w:autoSpaceDE w:val="0"/>
              <w:autoSpaceDN w:val="0"/>
              <w:adjustRightInd w:val="0"/>
              <w:spacing w:before="0" w:after="0"/>
              <w:rPr>
                <w:rFonts w:ascii="Times New Roman" w:hAnsi="Times New Roman"/>
                <w:b/>
                <w:bCs/>
                <w:sz w:val="24"/>
                <w:u w:val="single"/>
              </w:rPr>
            </w:pPr>
            <w:r w:rsidRPr="00D51A68">
              <w:rPr>
                <w:rFonts w:ascii="Times New Roman" w:hAnsi="Times New Roman"/>
                <w:b/>
                <w:sz w:val="24"/>
                <w:u w:val="single"/>
              </w:rPr>
              <w:t>POSIZIONI NETTE (LUNGHE E CORTE)</w:t>
            </w:r>
          </w:p>
          <w:p w:rsidR="000B0B09" w:rsidRPr="00D51A68" w:rsidRDefault="000B0B09" w:rsidP="000B0B09">
            <w:pPr>
              <w:autoSpaceDE w:val="0"/>
              <w:autoSpaceDN w:val="0"/>
              <w:adjustRightInd w:val="0"/>
              <w:spacing w:before="0" w:after="0"/>
              <w:rPr>
                <w:rFonts w:ascii="Times New Roman" w:hAnsi="Times New Roman"/>
                <w:sz w:val="24"/>
              </w:rPr>
            </w:pPr>
          </w:p>
          <w:p w:rsidR="000B0B09" w:rsidRPr="00D51A68" w:rsidRDefault="000B0B09" w:rsidP="00D1690D">
            <w:pPr>
              <w:autoSpaceDE w:val="0"/>
              <w:autoSpaceDN w:val="0"/>
              <w:adjustRightInd w:val="0"/>
              <w:spacing w:before="0" w:after="0"/>
              <w:rPr>
                <w:rFonts w:ascii="Times New Roman" w:hAnsi="Times New Roman"/>
                <w:sz w:val="24"/>
              </w:rPr>
            </w:pPr>
            <w:r w:rsidRPr="00D51A68">
              <w:rPr>
                <w:rFonts w:ascii="Times New Roman" w:hAnsi="Times New Roman"/>
                <w:sz w:val="24"/>
              </w:rPr>
              <w:t>Secondo la definizione dell</w:t>
            </w:r>
            <w:r w:rsidR="0009277C" w:rsidRPr="00D51A68">
              <w:rPr>
                <w:rFonts w:ascii="Times New Roman" w:hAnsi="Times New Roman"/>
                <w:sz w:val="24"/>
              </w:rPr>
              <w:t>’</w:t>
            </w:r>
            <w:r w:rsidRPr="00D51A68">
              <w:rPr>
                <w:rFonts w:ascii="Times New Roman" w:hAnsi="Times New Roman"/>
                <w:sz w:val="24"/>
              </w:rPr>
              <w:t xml:space="preserve">articolo 357, paragrafo 3, del CRR. </w:t>
            </w:r>
          </w:p>
        </w:tc>
      </w:tr>
      <w:tr w:rsidR="000B0B09" w:rsidRPr="00D51A68" w:rsidTr="00672D2A">
        <w:tc>
          <w:tcPr>
            <w:tcW w:w="986" w:type="dxa"/>
          </w:tcPr>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050</w:t>
            </w:r>
          </w:p>
        </w:tc>
        <w:tc>
          <w:tcPr>
            <w:tcW w:w="7876" w:type="dxa"/>
          </w:tcPr>
          <w:p w:rsidR="000B0B09" w:rsidRPr="00D51A68" w:rsidRDefault="000B0B09" w:rsidP="000B0B09">
            <w:pPr>
              <w:autoSpaceDE w:val="0"/>
              <w:autoSpaceDN w:val="0"/>
              <w:adjustRightInd w:val="0"/>
              <w:spacing w:before="0" w:after="0"/>
              <w:rPr>
                <w:rFonts w:ascii="Times New Roman" w:hAnsi="Times New Roman"/>
                <w:b/>
                <w:bCs/>
                <w:sz w:val="24"/>
                <w:u w:val="single"/>
              </w:rPr>
            </w:pPr>
            <w:r w:rsidRPr="00D51A68">
              <w:rPr>
                <w:rFonts w:ascii="Times New Roman" w:hAnsi="Times New Roman"/>
                <w:b/>
                <w:sz w:val="24"/>
                <w:u w:val="single"/>
              </w:rPr>
              <w:t>POSIZIONI SOGGETTE A COPERTURA PATRIMONIALE</w:t>
            </w:r>
          </w:p>
          <w:p w:rsidR="000B0B09" w:rsidRPr="00D51A68" w:rsidRDefault="000B0B09" w:rsidP="000B0B09">
            <w:pPr>
              <w:autoSpaceDE w:val="0"/>
              <w:autoSpaceDN w:val="0"/>
              <w:adjustRightInd w:val="0"/>
              <w:spacing w:before="0" w:after="0"/>
              <w:rPr>
                <w:rFonts w:ascii="Times New Roman" w:hAnsi="Times New Roman"/>
                <w:sz w:val="24"/>
              </w:rPr>
            </w:pPr>
          </w:p>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Posizioni nette che, secondo i differenti metodi di cui alla parte tre, titolo IV, capo 4, del CRR, ricevono una copertura patrimoniale.</w:t>
            </w:r>
          </w:p>
          <w:p w:rsidR="000B0B09" w:rsidRPr="00D51A68" w:rsidRDefault="000B0B09" w:rsidP="000B0B09">
            <w:pPr>
              <w:autoSpaceDE w:val="0"/>
              <w:autoSpaceDN w:val="0"/>
              <w:adjustRightInd w:val="0"/>
              <w:spacing w:before="0" w:after="0"/>
              <w:rPr>
                <w:rFonts w:ascii="Times New Roman" w:hAnsi="Times New Roman"/>
                <w:b/>
                <w:bCs/>
                <w:sz w:val="24"/>
                <w:u w:val="single"/>
              </w:rPr>
            </w:pPr>
          </w:p>
        </w:tc>
      </w:tr>
      <w:tr w:rsidR="000B0B09" w:rsidRPr="00D51A68" w:rsidTr="00672D2A">
        <w:tc>
          <w:tcPr>
            <w:tcW w:w="986" w:type="dxa"/>
          </w:tcPr>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060</w:t>
            </w:r>
          </w:p>
        </w:tc>
        <w:tc>
          <w:tcPr>
            <w:tcW w:w="7876" w:type="dxa"/>
          </w:tcPr>
          <w:p w:rsidR="000B0B09" w:rsidRPr="00D51A68" w:rsidRDefault="000B0B09" w:rsidP="000B0B09">
            <w:pPr>
              <w:autoSpaceDE w:val="0"/>
              <w:autoSpaceDN w:val="0"/>
              <w:adjustRightInd w:val="0"/>
              <w:spacing w:before="0" w:after="0"/>
              <w:rPr>
                <w:rFonts w:ascii="Times New Roman" w:hAnsi="Times New Roman"/>
                <w:b/>
                <w:bCs/>
                <w:sz w:val="24"/>
                <w:u w:val="single"/>
              </w:rPr>
            </w:pPr>
            <w:r w:rsidRPr="00D51A68">
              <w:rPr>
                <w:rFonts w:ascii="Times New Roman" w:hAnsi="Times New Roman"/>
                <w:b/>
                <w:sz w:val="24"/>
                <w:u w:val="single"/>
              </w:rPr>
              <w:t>REQUISITI DI FONDI PROPRI</w:t>
            </w:r>
          </w:p>
          <w:p w:rsidR="000B0B09" w:rsidRPr="00D51A68" w:rsidRDefault="000B0B09" w:rsidP="000B0B09">
            <w:pPr>
              <w:autoSpaceDE w:val="0"/>
              <w:autoSpaceDN w:val="0"/>
              <w:adjustRightInd w:val="0"/>
              <w:spacing w:before="0" w:after="0"/>
              <w:rPr>
                <w:rFonts w:ascii="Times New Roman" w:hAnsi="Times New Roman"/>
                <w:b/>
                <w:bCs/>
                <w:szCs w:val="20"/>
                <w:u w:val="single"/>
              </w:rPr>
            </w:pPr>
          </w:p>
          <w:p w:rsidR="000B0B09" w:rsidRPr="00D51A68" w:rsidRDefault="000B0B09" w:rsidP="000B0B09">
            <w:pPr>
              <w:autoSpaceDE w:val="0"/>
              <w:autoSpaceDN w:val="0"/>
              <w:adjustRightInd w:val="0"/>
              <w:spacing w:before="0" w:after="0"/>
              <w:rPr>
                <w:rFonts w:ascii="Times New Roman" w:hAnsi="Times New Roman"/>
                <w:b/>
                <w:bCs/>
                <w:sz w:val="24"/>
                <w:u w:val="single"/>
              </w:rPr>
            </w:pPr>
            <w:r w:rsidRPr="00D51A68">
              <w:rPr>
                <w:rFonts w:ascii="Times New Roman" w:hAnsi="Times New Roman"/>
                <w:sz w:val="24"/>
              </w:rPr>
              <w:t xml:space="preserve">Copertura patrimoniale di qualsiasi posizione pertinente conformemente alla parte tre, titolo IV, capo 4, del CRR. </w:t>
            </w:r>
          </w:p>
        </w:tc>
      </w:tr>
      <w:tr w:rsidR="000B0B09" w:rsidRPr="00D51A68" w:rsidTr="00672D2A">
        <w:tc>
          <w:tcPr>
            <w:tcW w:w="986" w:type="dxa"/>
          </w:tcPr>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070</w:t>
            </w:r>
          </w:p>
        </w:tc>
        <w:tc>
          <w:tcPr>
            <w:tcW w:w="7876" w:type="dxa"/>
          </w:tcPr>
          <w:p w:rsidR="000B0B09" w:rsidRPr="00D51A68" w:rsidRDefault="000B0B09" w:rsidP="000B0B09">
            <w:pPr>
              <w:tabs>
                <w:tab w:val="left" w:pos="1665"/>
              </w:tabs>
              <w:autoSpaceDE w:val="0"/>
              <w:autoSpaceDN w:val="0"/>
              <w:adjustRightInd w:val="0"/>
              <w:spacing w:before="0" w:after="0"/>
              <w:rPr>
                <w:rFonts w:ascii="Times New Roman" w:hAnsi="Times New Roman"/>
                <w:b/>
                <w:bCs/>
                <w:sz w:val="24"/>
                <w:u w:val="single"/>
              </w:rPr>
            </w:pPr>
            <w:r w:rsidRPr="00D51A68">
              <w:rPr>
                <w:rFonts w:ascii="Times New Roman" w:hAnsi="Times New Roman"/>
                <w:b/>
                <w:sz w:val="24"/>
                <w:u w:val="single"/>
              </w:rPr>
              <w:t>IMPORTO COMPLESSIVO DELL</w:t>
            </w:r>
            <w:r w:rsidR="0009277C" w:rsidRPr="00D51A68">
              <w:rPr>
                <w:rFonts w:ascii="Times New Roman" w:hAnsi="Times New Roman"/>
                <w:b/>
                <w:sz w:val="24"/>
                <w:u w:val="single"/>
              </w:rPr>
              <w:t>’</w:t>
            </w:r>
            <w:r w:rsidRPr="00D51A68">
              <w:rPr>
                <w:rFonts w:ascii="Times New Roman" w:hAnsi="Times New Roman"/>
                <w:b/>
                <w:sz w:val="24"/>
                <w:u w:val="single"/>
              </w:rPr>
              <w:t>ESPOSIZIONE AL RISCHIO</w:t>
            </w:r>
          </w:p>
          <w:p w:rsidR="000B0B09" w:rsidRPr="00D51A68" w:rsidRDefault="000B0B09" w:rsidP="000B0B09">
            <w:pPr>
              <w:tabs>
                <w:tab w:val="left" w:pos="1665"/>
              </w:tabs>
              <w:autoSpaceDE w:val="0"/>
              <w:autoSpaceDN w:val="0"/>
              <w:adjustRightInd w:val="0"/>
              <w:spacing w:before="0" w:after="0"/>
              <w:rPr>
                <w:rFonts w:ascii="Times New Roman" w:hAnsi="Times New Roman"/>
                <w:b/>
                <w:bCs/>
                <w:szCs w:val="20"/>
                <w:u w:val="single"/>
              </w:rPr>
            </w:pPr>
          </w:p>
          <w:p w:rsidR="000B0B09" w:rsidRPr="00D51A68" w:rsidRDefault="000B0B09" w:rsidP="000B0B09">
            <w:pPr>
              <w:tabs>
                <w:tab w:val="left" w:pos="1665"/>
              </w:tabs>
              <w:autoSpaceDE w:val="0"/>
              <w:autoSpaceDN w:val="0"/>
              <w:adjustRightInd w:val="0"/>
              <w:spacing w:before="0" w:after="0"/>
              <w:rPr>
                <w:rFonts w:ascii="Times New Roman" w:hAnsi="Times New Roman"/>
                <w:b/>
                <w:bCs/>
                <w:sz w:val="24"/>
                <w:u w:val="single"/>
              </w:rPr>
            </w:pPr>
            <w:r w:rsidRPr="00D51A68">
              <w:rPr>
                <w:rFonts w:ascii="Times New Roman" w:hAnsi="Times New Roman"/>
                <w:sz w:val="24"/>
              </w:rPr>
              <w:t xml:space="preserve">Articolo 92, paragrafo 4, lettera b), del CRR. Risultato della moltiplicazione dei requisiti di fondi propri per 12,5. </w:t>
            </w:r>
          </w:p>
        </w:tc>
      </w:tr>
    </w:tbl>
    <w:p w:rsidR="000B0B09" w:rsidRPr="00D51A68" w:rsidRDefault="000B0B09" w:rsidP="000B0B09">
      <w:pPr>
        <w:rPr>
          <w:rFonts w:ascii="Times New Roman" w:hAnsi="Times New Roman"/>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D51A68" w:rsidTr="00672D2A">
        <w:trPr>
          <w:trHeight w:val="483"/>
        </w:trPr>
        <w:tc>
          <w:tcPr>
            <w:tcW w:w="8862" w:type="dxa"/>
            <w:gridSpan w:val="2"/>
            <w:shd w:val="clear" w:color="auto" w:fill="CCCCCC"/>
          </w:tcPr>
          <w:p w:rsidR="000B0B09" w:rsidRPr="00D51A68" w:rsidRDefault="000B0B09" w:rsidP="000B0B09">
            <w:pPr>
              <w:autoSpaceDE w:val="0"/>
              <w:autoSpaceDN w:val="0"/>
              <w:adjustRightInd w:val="0"/>
              <w:spacing w:after="0"/>
              <w:rPr>
                <w:rFonts w:ascii="Times New Roman" w:hAnsi="Times New Roman"/>
                <w:b/>
                <w:sz w:val="24"/>
              </w:rPr>
            </w:pPr>
            <w:r w:rsidRPr="00D51A68">
              <w:rPr>
                <w:rFonts w:ascii="Times New Roman" w:hAnsi="Times New Roman"/>
                <w:b/>
                <w:sz w:val="24"/>
              </w:rPr>
              <w:t>Righe</w:t>
            </w:r>
          </w:p>
        </w:tc>
      </w:tr>
      <w:tr w:rsidR="000B0B09" w:rsidRPr="00D51A68" w:rsidTr="00672D2A">
        <w:tc>
          <w:tcPr>
            <w:tcW w:w="987" w:type="dxa"/>
          </w:tcPr>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010</w:t>
            </w:r>
          </w:p>
        </w:tc>
        <w:tc>
          <w:tcPr>
            <w:tcW w:w="7875" w:type="dxa"/>
          </w:tcPr>
          <w:p w:rsidR="000B0B09" w:rsidRPr="00D51A68" w:rsidRDefault="000B0B09" w:rsidP="000B0B09">
            <w:pPr>
              <w:autoSpaceDE w:val="0"/>
              <w:autoSpaceDN w:val="0"/>
              <w:adjustRightInd w:val="0"/>
              <w:spacing w:before="0" w:after="0"/>
              <w:rPr>
                <w:rFonts w:ascii="Times New Roman" w:hAnsi="Times New Roman"/>
                <w:b/>
                <w:bCs/>
                <w:sz w:val="24"/>
                <w:u w:val="single"/>
              </w:rPr>
            </w:pPr>
            <w:r w:rsidRPr="00D51A68">
              <w:rPr>
                <w:rFonts w:ascii="Times New Roman" w:hAnsi="Times New Roman"/>
                <w:b/>
                <w:sz w:val="24"/>
                <w:u w:val="single"/>
              </w:rPr>
              <w:t>POSIZIONI TOTALI IN MERCI</w:t>
            </w:r>
          </w:p>
          <w:p w:rsidR="000B0B09" w:rsidRPr="00D51A68" w:rsidRDefault="000B0B09" w:rsidP="000B0B09">
            <w:pPr>
              <w:autoSpaceDE w:val="0"/>
              <w:autoSpaceDN w:val="0"/>
              <w:adjustRightInd w:val="0"/>
              <w:spacing w:before="0" w:after="0"/>
              <w:rPr>
                <w:rFonts w:ascii="Times New Roman" w:hAnsi="Times New Roman"/>
                <w:szCs w:val="20"/>
              </w:rPr>
            </w:pPr>
          </w:p>
          <w:p w:rsidR="000B0B09" w:rsidRPr="00D51A68" w:rsidRDefault="000B0B09" w:rsidP="009E2BBD">
            <w:pPr>
              <w:autoSpaceDE w:val="0"/>
              <w:autoSpaceDN w:val="0"/>
              <w:adjustRightInd w:val="0"/>
              <w:spacing w:before="0" w:after="0"/>
              <w:rPr>
                <w:rFonts w:ascii="Times New Roman" w:hAnsi="Times New Roman"/>
                <w:sz w:val="24"/>
              </w:rPr>
            </w:pPr>
            <w:r w:rsidRPr="00D51A68">
              <w:rPr>
                <w:rFonts w:ascii="Times New Roman" w:hAnsi="Times New Roman"/>
                <w:sz w:val="24"/>
              </w:rPr>
              <w:t>Posizioni in merci e relativi requisiti di fondi propri per il rischio di mercato conformemente all</w:t>
            </w:r>
            <w:r w:rsidR="0009277C" w:rsidRPr="00D51A68">
              <w:rPr>
                <w:rFonts w:ascii="Times New Roman" w:hAnsi="Times New Roman"/>
                <w:sz w:val="24"/>
              </w:rPr>
              <w:t>’</w:t>
            </w:r>
            <w:r w:rsidRPr="00D51A68">
              <w:rPr>
                <w:rFonts w:ascii="Times New Roman" w:hAnsi="Times New Roman"/>
                <w:sz w:val="24"/>
              </w:rPr>
              <w:t xml:space="preserve">articolo 92, paragrafo 3, lettera c), punto iii), del CRR e della parte tre, titolo IV, capo 4, del CRR. </w:t>
            </w:r>
          </w:p>
        </w:tc>
      </w:tr>
      <w:tr w:rsidR="000B0B09" w:rsidRPr="00D51A68" w:rsidTr="00672D2A">
        <w:tc>
          <w:tcPr>
            <w:tcW w:w="987" w:type="dxa"/>
          </w:tcPr>
          <w:p w:rsidR="000B0B09" w:rsidRPr="00D51A68" w:rsidRDefault="000B0B09" w:rsidP="00B74792">
            <w:pPr>
              <w:autoSpaceDE w:val="0"/>
              <w:autoSpaceDN w:val="0"/>
              <w:adjustRightInd w:val="0"/>
              <w:spacing w:before="0" w:after="0"/>
              <w:rPr>
                <w:rFonts w:ascii="Times New Roman" w:hAnsi="Times New Roman"/>
                <w:sz w:val="24"/>
              </w:rPr>
            </w:pPr>
            <w:r w:rsidRPr="00D51A68">
              <w:rPr>
                <w:rFonts w:ascii="Times New Roman" w:hAnsi="Times New Roman"/>
                <w:sz w:val="24"/>
              </w:rPr>
              <w:t>020-060</w:t>
            </w:r>
          </w:p>
        </w:tc>
        <w:tc>
          <w:tcPr>
            <w:tcW w:w="7875" w:type="dxa"/>
          </w:tcPr>
          <w:p w:rsidR="000B0B09" w:rsidRPr="00D51A68" w:rsidRDefault="000B0B09" w:rsidP="000B0B09">
            <w:pPr>
              <w:autoSpaceDE w:val="0"/>
              <w:autoSpaceDN w:val="0"/>
              <w:adjustRightInd w:val="0"/>
              <w:spacing w:before="0" w:after="0"/>
              <w:rPr>
                <w:rFonts w:ascii="Times New Roman" w:hAnsi="Times New Roman"/>
                <w:b/>
                <w:bCs/>
                <w:sz w:val="24"/>
                <w:u w:val="single"/>
              </w:rPr>
            </w:pPr>
            <w:r w:rsidRPr="00D51A68">
              <w:rPr>
                <w:rFonts w:ascii="Times New Roman" w:hAnsi="Times New Roman"/>
                <w:b/>
                <w:sz w:val="24"/>
                <w:u w:val="single"/>
              </w:rPr>
              <w:t>POSIZIONI PER CATEGORIA MERCEOLOGICA</w:t>
            </w:r>
          </w:p>
          <w:p w:rsidR="000B0B09" w:rsidRPr="00D51A68" w:rsidRDefault="000B0B09" w:rsidP="000B0B09">
            <w:pPr>
              <w:autoSpaceDE w:val="0"/>
              <w:autoSpaceDN w:val="0"/>
              <w:adjustRightInd w:val="0"/>
              <w:spacing w:before="0" w:after="0"/>
              <w:rPr>
                <w:rFonts w:ascii="Times New Roman" w:hAnsi="Times New Roman"/>
                <w:szCs w:val="20"/>
              </w:rPr>
            </w:pPr>
          </w:p>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A fini di segnalazione le merci sono raggruppate nelle quattro categorie merceologiche principali di cui alla tabella 2 dell</w:t>
            </w:r>
            <w:r w:rsidR="0009277C" w:rsidRPr="00D51A68">
              <w:rPr>
                <w:rFonts w:ascii="Times New Roman" w:hAnsi="Times New Roman"/>
                <w:sz w:val="24"/>
              </w:rPr>
              <w:t>’</w:t>
            </w:r>
            <w:r w:rsidRPr="00D51A68">
              <w:rPr>
                <w:rFonts w:ascii="Times New Roman" w:hAnsi="Times New Roman"/>
                <w:sz w:val="24"/>
              </w:rPr>
              <w:t>articolo 361 del CRR.</w:t>
            </w:r>
          </w:p>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 xml:space="preserve"> </w:t>
            </w:r>
          </w:p>
        </w:tc>
      </w:tr>
      <w:tr w:rsidR="000B0B09" w:rsidRPr="00D51A68" w:rsidTr="00672D2A">
        <w:tc>
          <w:tcPr>
            <w:tcW w:w="987" w:type="dxa"/>
          </w:tcPr>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070</w:t>
            </w:r>
          </w:p>
        </w:tc>
        <w:tc>
          <w:tcPr>
            <w:tcW w:w="7875" w:type="dxa"/>
          </w:tcPr>
          <w:p w:rsidR="000B0B09" w:rsidRPr="00D51A68" w:rsidRDefault="000B0B09" w:rsidP="000B0B09">
            <w:pPr>
              <w:autoSpaceDE w:val="0"/>
              <w:autoSpaceDN w:val="0"/>
              <w:adjustRightInd w:val="0"/>
              <w:spacing w:before="0" w:after="0"/>
              <w:rPr>
                <w:rFonts w:ascii="Times New Roman" w:hAnsi="Times New Roman"/>
                <w:b/>
                <w:bCs/>
                <w:sz w:val="24"/>
                <w:u w:val="single"/>
              </w:rPr>
            </w:pPr>
            <w:r w:rsidRPr="00D51A68">
              <w:rPr>
                <w:rFonts w:ascii="Times New Roman" w:hAnsi="Times New Roman"/>
                <w:b/>
                <w:sz w:val="24"/>
                <w:u w:val="single"/>
              </w:rPr>
              <w:t>METODO BASATO SULLE FASCE DI SCADENZA</w:t>
            </w:r>
          </w:p>
          <w:p w:rsidR="000B0B09" w:rsidRPr="00D51A68" w:rsidRDefault="000B0B09" w:rsidP="000B0B09">
            <w:pPr>
              <w:autoSpaceDE w:val="0"/>
              <w:autoSpaceDN w:val="0"/>
              <w:adjustRightInd w:val="0"/>
              <w:spacing w:before="0" w:after="0"/>
              <w:rPr>
                <w:rFonts w:ascii="Times New Roman" w:hAnsi="Times New Roman"/>
                <w:szCs w:val="20"/>
              </w:rPr>
            </w:pPr>
          </w:p>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Posizioni in merci soggette al metodo basato sulle fasce di scadenza di cui all</w:t>
            </w:r>
            <w:r w:rsidR="0009277C" w:rsidRPr="00D51A68">
              <w:rPr>
                <w:rFonts w:ascii="Times New Roman" w:hAnsi="Times New Roman"/>
                <w:sz w:val="24"/>
              </w:rPr>
              <w:t>’</w:t>
            </w:r>
            <w:r w:rsidRPr="00D51A68">
              <w:rPr>
                <w:rFonts w:ascii="Times New Roman" w:hAnsi="Times New Roman"/>
                <w:sz w:val="24"/>
              </w:rPr>
              <w:t>articolo 359 del CRR.</w:t>
            </w:r>
          </w:p>
          <w:p w:rsidR="000B0B09" w:rsidRPr="00D51A68" w:rsidRDefault="000B0B09" w:rsidP="000B0B09">
            <w:pPr>
              <w:autoSpaceDE w:val="0"/>
              <w:autoSpaceDN w:val="0"/>
              <w:adjustRightInd w:val="0"/>
              <w:spacing w:before="0" w:after="0"/>
              <w:rPr>
                <w:rFonts w:ascii="Times New Roman" w:hAnsi="Times New Roman"/>
                <w:b/>
                <w:bCs/>
                <w:sz w:val="24"/>
                <w:u w:val="single"/>
              </w:rPr>
            </w:pPr>
          </w:p>
        </w:tc>
      </w:tr>
      <w:tr w:rsidR="000B0B09" w:rsidRPr="00D51A68" w:rsidTr="00672D2A">
        <w:tc>
          <w:tcPr>
            <w:tcW w:w="987" w:type="dxa"/>
          </w:tcPr>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080</w:t>
            </w:r>
          </w:p>
        </w:tc>
        <w:tc>
          <w:tcPr>
            <w:tcW w:w="7875" w:type="dxa"/>
          </w:tcPr>
          <w:p w:rsidR="000B0B09" w:rsidRPr="00D51A68" w:rsidRDefault="000B0B09" w:rsidP="000B0B09">
            <w:pPr>
              <w:autoSpaceDE w:val="0"/>
              <w:autoSpaceDN w:val="0"/>
              <w:adjustRightInd w:val="0"/>
              <w:spacing w:before="0" w:after="0"/>
              <w:rPr>
                <w:rFonts w:ascii="Times New Roman" w:hAnsi="Times New Roman"/>
                <w:b/>
                <w:bCs/>
                <w:sz w:val="24"/>
                <w:u w:val="single"/>
              </w:rPr>
            </w:pPr>
            <w:r w:rsidRPr="00D51A68">
              <w:rPr>
                <w:rFonts w:ascii="Times New Roman" w:hAnsi="Times New Roman"/>
                <w:b/>
                <w:sz w:val="24"/>
                <w:u w:val="single"/>
              </w:rPr>
              <w:t>METODO BASATO SULLE FASCE DI SCADENZA AMPLIATO</w:t>
            </w:r>
          </w:p>
          <w:p w:rsidR="000B0B09" w:rsidRPr="00D51A68" w:rsidRDefault="000B0B09" w:rsidP="000B0B09">
            <w:pPr>
              <w:autoSpaceDE w:val="0"/>
              <w:autoSpaceDN w:val="0"/>
              <w:adjustRightInd w:val="0"/>
              <w:spacing w:before="0" w:after="0"/>
              <w:rPr>
                <w:rFonts w:ascii="Times New Roman" w:hAnsi="Times New Roman"/>
                <w:sz w:val="24"/>
              </w:rPr>
            </w:pPr>
          </w:p>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Posizioni in merci soggette al metodo basato sulle fasce di scadenza ampliato di cui all</w:t>
            </w:r>
            <w:r w:rsidR="0009277C" w:rsidRPr="00D51A68">
              <w:rPr>
                <w:rFonts w:ascii="Times New Roman" w:hAnsi="Times New Roman"/>
                <w:sz w:val="24"/>
              </w:rPr>
              <w:t>’</w:t>
            </w:r>
            <w:r w:rsidRPr="00D51A68">
              <w:rPr>
                <w:rFonts w:ascii="Times New Roman" w:hAnsi="Times New Roman"/>
                <w:sz w:val="24"/>
              </w:rPr>
              <w:t>articolo 361 del CRR.</w:t>
            </w:r>
          </w:p>
          <w:p w:rsidR="000B0B09" w:rsidRPr="00D51A68" w:rsidRDefault="000B0B09" w:rsidP="000B0B09">
            <w:pPr>
              <w:autoSpaceDE w:val="0"/>
              <w:autoSpaceDN w:val="0"/>
              <w:adjustRightInd w:val="0"/>
              <w:spacing w:before="0" w:after="0"/>
              <w:rPr>
                <w:rFonts w:ascii="Times New Roman" w:hAnsi="Times New Roman"/>
                <w:b/>
                <w:bCs/>
                <w:sz w:val="24"/>
                <w:u w:val="single"/>
              </w:rPr>
            </w:pPr>
          </w:p>
        </w:tc>
      </w:tr>
      <w:tr w:rsidR="000B0B09" w:rsidRPr="00D51A68" w:rsidTr="00672D2A">
        <w:tc>
          <w:tcPr>
            <w:tcW w:w="987" w:type="dxa"/>
          </w:tcPr>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090</w:t>
            </w:r>
          </w:p>
        </w:tc>
        <w:tc>
          <w:tcPr>
            <w:tcW w:w="7875" w:type="dxa"/>
          </w:tcPr>
          <w:p w:rsidR="000B0B09" w:rsidRPr="00D51A68" w:rsidRDefault="000B0B09" w:rsidP="000B0B09">
            <w:pPr>
              <w:autoSpaceDE w:val="0"/>
              <w:autoSpaceDN w:val="0"/>
              <w:adjustRightInd w:val="0"/>
              <w:spacing w:before="0" w:after="0"/>
              <w:rPr>
                <w:rFonts w:ascii="Times New Roman" w:hAnsi="Times New Roman"/>
                <w:b/>
                <w:bCs/>
                <w:sz w:val="24"/>
                <w:u w:val="single"/>
              </w:rPr>
            </w:pPr>
            <w:r w:rsidRPr="00D51A68">
              <w:rPr>
                <w:rFonts w:ascii="Times New Roman" w:hAnsi="Times New Roman"/>
                <w:b/>
                <w:sz w:val="24"/>
                <w:u w:val="single"/>
              </w:rPr>
              <w:t>METODO SEMPLIFICATO</w:t>
            </w:r>
          </w:p>
          <w:p w:rsidR="000B0B09" w:rsidRPr="00D51A68" w:rsidRDefault="000B0B09" w:rsidP="000B0B09">
            <w:pPr>
              <w:autoSpaceDE w:val="0"/>
              <w:autoSpaceDN w:val="0"/>
              <w:adjustRightInd w:val="0"/>
              <w:spacing w:before="0" w:after="0"/>
              <w:rPr>
                <w:rFonts w:ascii="Times New Roman" w:hAnsi="Times New Roman"/>
                <w:b/>
                <w:bCs/>
                <w:sz w:val="24"/>
                <w:u w:val="single"/>
              </w:rPr>
            </w:pPr>
          </w:p>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Posizioni in merci soggette al metodo semplificato di cui all</w:t>
            </w:r>
            <w:r w:rsidR="0009277C" w:rsidRPr="00D51A68">
              <w:rPr>
                <w:rFonts w:ascii="Times New Roman" w:hAnsi="Times New Roman"/>
                <w:sz w:val="24"/>
              </w:rPr>
              <w:t>’</w:t>
            </w:r>
            <w:r w:rsidRPr="00D51A68">
              <w:rPr>
                <w:rFonts w:ascii="Times New Roman" w:hAnsi="Times New Roman"/>
                <w:sz w:val="24"/>
              </w:rPr>
              <w:t xml:space="preserve">articolo 360 del CRR. </w:t>
            </w:r>
          </w:p>
          <w:p w:rsidR="000B0B09" w:rsidRPr="00D51A68" w:rsidRDefault="000B0B09" w:rsidP="000B0B09">
            <w:pPr>
              <w:autoSpaceDE w:val="0"/>
              <w:autoSpaceDN w:val="0"/>
              <w:adjustRightInd w:val="0"/>
              <w:spacing w:before="0" w:after="0"/>
              <w:rPr>
                <w:rFonts w:ascii="Times New Roman" w:hAnsi="Times New Roman"/>
                <w:b/>
                <w:bCs/>
                <w:sz w:val="24"/>
                <w:u w:val="single"/>
              </w:rPr>
            </w:pPr>
          </w:p>
        </w:tc>
      </w:tr>
      <w:tr w:rsidR="000B0B09" w:rsidRPr="00D51A68" w:rsidTr="00672D2A">
        <w:tc>
          <w:tcPr>
            <w:tcW w:w="987" w:type="dxa"/>
          </w:tcPr>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100-140</w:t>
            </w:r>
          </w:p>
        </w:tc>
        <w:tc>
          <w:tcPr>
            <w:tcW w:w="7875" w:type="dxa"/>
          </w:tcPr>
          <w:p w:rsidR="000B0B09" w:rsidRPr="00D51A68" w:rsidRDefault="000B0B09" w:rsidP="000B0B09">
            <w:pPr>
              <w:autoSpaceDE w:val="0"/>
              <w:autoSpaceDN w:val="0"/>
              <w:adjustRightInd w:val="0"/>
              <w:spacing w:before="0" w:after="0"/>
              <w:rPr>
                <w:rFonts w:ascii="Times New Roman" w:hAnsi="Times New Roman"/>
                <w:b/>
                <w:bCs/>
                <w:sz w:val="24"/>
                <w:u w:val="single"/>
              </w:rPr>
            </w:pPr>
            <w:r w:rsidRPr="00D51A68">
              <w:rPr>
                <w:rStyle w:val="InstructionsTabelleberschrift"/>
                <w:rFonts w:ascii="Times New Roman" w:hAnsi="Times New Roman"/>
                <w:sz w:val="24"/>
              </w:rPr>
              <w:t>REQUISITI AGGIUNTIVI PER LE OPZIONI (RISCHI NON DELTA)</w:t>
            </w:r>
          </w:p>
          <w:p w:rsidR="000B0B09" w:rsidRPr="00D51A68" w:rsidRDefault="000B0B09" w:rsidP="000B0B09">
            <w:pPr>
              <w:autoSpaceDE w:val="0"/>
              <w:autoSpaceDN w:val="0"/>
              <w:adjustRightInd w:val="0"/>
              <w:spacing w:before="0" w:after="0"/>
              <w:rPr>
                <w:rFonts w:ascii="Times New Roman" w:hAnsi="Times New Roman"/>
                <w:sz w:val="24"/>
              </w:rPr>
            </w:pPr>
          </w:p>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 xml:space="preserve">Articolo 358, paragrafo 4, del CRR. </w:t>
            </w:r>
          </w:p>
          <w:p w:rsidR="000B0B09" w:rsidRPr="00D51A68" w:rsidRDefault="000B0B09" w:rsidP="000B0B09">
            <w:pPr>
              <w:autoSpaceDE w:val="0"/>
              <w:autoSpaceDN w:val="0"/>
              <w:adjustRightInd w:val="0"/>
              <w:spacing w:before="0" w:after="0"/>
              <w:rPr>
                <w:rFonts w:ascii="Times New Roman" w:hAnsi="Times New Roman"/>
                <w:sz w:val="24"/>
              </w:rPr>
            </w:pPr>
          </w:p>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I requisiti aggiuntivi per opzioni correlati ai rischi diversi dal rischio delta sono segnalati nel metodo utilizzato per il calcolo.</w:t>
            </w:r>
          </w:p>
          <w:p w:rsidR="000B0B09" w:rsidRPr="00D51A68" w:rsidRDefault="000B0B09" w:rsidP="000B0B09">
            <w:pPr>
              <w:autoSpaceDE w:val="0"/>
              <w:autoSpaceDN w:val="0"/>
              <w:adjustRightInd w:val="0"/>
              <w:spacing w:before="0" w:after="0"/>
              <w:rPr>
                <w:rFonts w:ascii="Times New Roman" w:hAnsi="Times New Roman"/>
                <w:sz w:val="24"/>
              </w:rPr>
            </w:pPr>
          </w:p>
          <w:p w:rsidR="000B0B09" w:rsidRPr="00D51A68" w:rsidRDefault="000B0B09" w:rsidP="000B0B09">
            <w:pPr>
              <w:autoSpaceDE w:val="0"/>
              <w:autoSpaceDN w:val="0"/>
              <w:adjustRightInd w:val="0"/>
              <w:spacing w:before="0" w:after="0"/>
              <w:rPr>
                <w:rFonts w:ascii="Times New Roman" w:hAnsi="Times New Roman"/>
                <w:sz w:val="24"/>
              </w:rPr>
            </w:pPr>
          </w:p>
        </w:tc>
      </w:tr>
    </w:tbl>
    <w:p w:rsidR="000B0B09" w:rsidRPr="00D51A68" w:rsidRDefault="000B0B09" w:rsidP="000B0B09">
      <w:pPr>
        <w:rPr>
          <w:rFonts w:ascii="Times New Roman" w:hAnsi="Times New Roman"/>
          <w:sz w:val="24"/>
        </w:rPr>
      </w:pPr>
    </w:p>
    <w:p w:rsidR="000B0B09" w:rsidRPr="00D51A68" w:rsidRDefault="00125707" w:rsidP="0023700C">
      <w:pPr>
        <w:pStyle w:val="Instructionsberschrift2"/>
        <w:numPr>
          <w:ilvl w:val="0"/>
          <w:numId w:val="0"/>
        </w:numPr>
        <w:ind w:left="357" w:hanging="357"/>
        <w:rPr>
          <w:rFonts w:ascii="Times New Roman" w:hAnsi="Times New Roman"/>
          <w:sz w:val="24"/>
        </w:rPr>
      </w:pPr>
      <w:bookmarkStart w:id="742" w:name="_Toc262566438"/>
      <w:bookmarkStart w:id="743" w:name="_Toc295830014"/>
      <w:bookmarkStart w:id="744" w:name="_Toc308426691"/>
      <w:bookmarkStart w:id="745" w:name="_Toc310415075"/>
      <w:bookmarkStart w:id="746" w:name="_Toc360188410"/>
      <w:bookmarkStart w:id="747" w:name="_Toc516210701"/>
      <w:bookmarkStart w:id="748" w:name="_Toc473561050"/>
      <w:bookmarkStart w:id="749" w:name="_Toc524096646"/>
      <w:r w:rsidRPr="00D51A68">
        <w:rPr>
          <w:rFonts w:ascii="Times New Roman" w:hAnsi="Times New Roman"/>
          <w:sz w:val="24"/>
          <w:u w:val="none"/>
        </w:rPr>
        <w:t>5.7.</w:t>
      </w:r>
      <w:r w:rsidR="00A0772B" w:rsidRPr="00D51A68">
        <w:rPr>
          <w:u w:val="none"/>
        </w:rPr>
        <w:tab/>
      </w:r>
      <w:r w:rsidRPr="00D51A68">
        <w:rPr>
          <w:rFonts w:ascii="Times New Roman" w:hAnsi="Times New Roman"/>
          <w:sz w:val="24"/>
        </w:rPr>
        <w:t>C 24.00 — Modelli interni per il rischio di mercato</w:t>
      </w:r>
      <w:bookmarkEnd w:id="742"/>
      <w:bookmarkEnd w:id="743"/>
      <w:bookmarkEnd w:id="744"/>
      <w:bookmarkEnd w:id="745"/>
      <w:bookmarkEnd w:id="746"/>
      <w:r w:rsidRPr="00D51A68">
        <w:rPr>
          <w:rFonts w:ascii="Times New Roman" w:hAnsi="Times New Roman"/>
          <w:sz w:val="24"/>
        </w:rPr>
        <w:t xml:space="preserve"> (MKR IM)</w:t>
      </w:r>
      <w:bookmarkEnd w:id="747"/>
      <w:bookmarkEnd w:id="748"/>
      <w:bookmarkEnd w:id="749"/>
    </w:p>
    <w:p w:rsidR="000B0B09" w:rsidRPr="00D51A68" w:rsidRDefault="00125707" w:rsidP="0023700C">
      <w:pPr>
        <w:pStyle w:val="Instructionsberschrift2"/>
        <w:numPr>
          <w:ilvl w:val="0"/>
          <w:numId w:val="0"/>
        </w:numPr>
        <w:ind w:left="357" w:hanging="357"/>
        <w:rPr>
          <w:rFonts w:ascii="Times New Roman" w:hAnsi="Times New Roman" w:cs="Times New Roman"/>
          <w:sz w:val="24"/>
        </w:rPr>
      </w:pPr>
      <w:bookmarkStart w:id="750" w:name="_Toc262566439"/>
      <w:bookmarkStart w:id="751" w:name="_Toc295830015"/>
      <w:bookmarkStart w:id="752" w:name="_Toc308426692"/>
      <w:bookmarkStart w:id="753" w:name="_Toc310415076"/>
      <w:bookmarkStart w:id="754" w:name="_Toc360188411"/>
      <w:bookmarkStart w:id="755" w:name="_Toc516210702"/>
      <w:bookmarkStart w:id="756" w:name="_Toc473561051"/>
      <w:bookmarkStart w:id="757" w:name="_Toc524096647"/>
      <w:r w:rsidRPr="00D51A68">
        <w:rPr>
          <w:rFonts w:ascii="Times New Roman" w:hAnsi="Times New Roman"/>
          <w:sz w:val="24"/>
          <w:u w:val="none"/>
        </w:rPr>
        <w:t>5.7.1.</w:t>
      </w:r>
      <w:r w:rsidR="00A0772B" w:rsidRPr="00D51A68">
        <w:rPr>
          <w:u w:val="none"/>
        </w:rPr>
        <w:tab/>
      </w:r>
      <w:r w:rsidRPr="00D51A68">
        <w:rPr>
          <w:rFonts w:ascii="Times New Roman" w:hAnsi="Times New Roman"/>
          <w:sz w:val="24"/>
        </w:rPr>
        <w:t>Osservazioni di carattere generale</w:t>
      </w:r>
      <w:bookmarkEnd w:id="750"/>
      <w:bookmarkEnd w:id="751"/>
      <w:bookmarkEnd w:id="752"/>
      <w:bookmarkEnd w:id="753"/>
      <w:bookmarkEnd w:id="754"/>
      <w:bookmarkEnd w:id="755"/>
      <w:bookmarkEnd w:id="756"/>
      <w:bookmarkEnd w:id="757"/>
    </w:p>
    <w:p w:rsidR="000B0B09" w:rsidRPr="00D51A68" w:rsidRDefault="00125707" w:rsidP="00BE76FD">
      <w:pPr>
        <w:pStyle w:val="InstructionsText2"/>
        <w:numPr>
          <w:ilvl w:val="0"/>
          <w:numId w:val="0"/>
        </w:numPr>
        <w:ind w:left="993"/>
      </w:pPr>
      <w:r w:rsidRPr="00D51A68">
        <w:t>153.</w:t>
      </w:r>
      <w:r w:rsidR="00A0772B" w:rsidRPr="00D51A68">
        <w:tab/>
      </w:r>
      <w:r w:rsidRPr="00D51A68">
        <w:t>Questo modello contiene una ripartizione dei dati del valore a rischio (VaR) e del valore a rischio in condizioni di stress (SVaR) secondo i diversi rischi di mercato (debito, strumenti di capitale, cambio, merci) e altre informazioni rilevanti per il calcolo dei requisiti di fondi propri.</w:t>
      </w:r>
    </w:p>
    <w:p w:rsidR="000B0B09" w:rsidRPr="00D51A68" w:rsidRDefault="00125707" w:rsidP="00BE76FD">
      <w:pPr>
        <w:pStyle w:val="InstructionsText2"/>
        <w:numPr>
          <w:ilvl w:val="0"/>
          <w:numId w:val="0"/>
        </w:numPr>
        <w:ind w:left="993"/>
      </w:pPr>
      <w:r w:rsidRPr="00D51A68">
        <w:t>154.</w:t>
      </w:r>
      <w:r w:rsidR="00A0772B" w:rsidRPr="00D51A68">
        <w:tab/>
      </w:r>
      <w:r w:rsidRPr="00D51A68">
        <w:t>In linea generale, la segnalazione dipende dalla struttura del modello degli enti, ossia dal fatto che l</w:t>
      </w:r>
      <w:r w:rsidR="0009277C" w:rsidRPr="00D51A68">
        <w:t>’</w:t>
      </w:r>
      <w:r w:rsidRPr="00D51A68">
        <w:t>ente segnali i dati relativi al rischio generico e al rischio specifico separatamente o insieme. Lo stesso vale per la scomposizione del VaR/SVaR tra le categorie di rischio (rischio di tasso d</w:t>
      </w:r>
      <w:r w:rsidR="0009277C" w:rsidRPr="00D51A68">
        <w:t>’</w:t>
      </w:r>
      <w:r w:rsidRPr="00D51A68">
        <w:t>interesse, di strumenti di capitale, di posizione in merci e di cambio). L</w:t>
      </w:r>
      <w:r w:rsidR="0009277C" w:rsidRPr="00D51A68">
        <w:t>’</w:t>
      </w:r>
      <w:r w:rsidRPr="00D51A68">
        <w:t xml:space="preserve">ente può non segnalare le scomposizioni su indicate se è in grado di dimostrare che la segnalazione di questi dati sarebbe ingiustificatamente onerosa. </w:t>
      </w:r>
    </w:p>
    <w:p w:rsidR="000B0B09" w:rsidRPr="00D51A68" w:rsidRDefault="00125707" w:rsidP="0023700C">
      <w:pPr>
        <w:pStyle w:val="Instructionsberschrift2"/>
        <w:numPr>
          <w:ilvl w:val="0"/>
          <w:numId w:val="0"/>
        </w:numPr>
        <w:ind w:left="357" w:hanging="357"/>
        <w:rPr>
          <w:rFonts w:ascii="Times New Roman" w:hAnsi="Times New Roman" w:cs="Times New Roman"/>
          <w:sz w:val="24"/>
        </w:rPr>
      </w:pPr>
      <w:bookmarkStart w:id="758" w:name="_Toc262566440"/>
      <w:bookmarkStart w:id="759" w:name="_Toc295830016"/>
      <w:bookmarkStart w:id="760" w:name="_Toc308426693"/>
      <w:bookmarkStart w:id="761" w:name="_Toc310415077"/>
      <w:bookmarkStart w:id="762" w:name="_Toc360188412"/>
      <w:bookmarkStart w:id="763" w:name="_Toc516210703"/>
      <w:bookmarkStart w:id="764" w:name="_Toc473561052"/>
      <w:bookmarkStart w:id="765" w:name="_Toc524096648"/>
      <w:r w:rsidRPr="00D51A68">
        <w:rPr>
          <w:rFonts w:ascii="Times New Roman" w:hAnsi="Times New Roman"/>
          <w:sz w:val="24"/>
          <w:u w:val="none"/>
        </w:rPr>
        <w:t>5.7.2.</w:t>
      </w:r>
      <w:r w:rsidR="00A0772B" w:rsidRPr="00D51A68">
        <w:tab/>
      </w:r>
      <w:r w:rsidRPr="00D51A68">
        <w:rPr>
          <w:rFonts w:ascii="Times New Roman" w:hAnsi="Times New Roman"/>
          <w:sz w:val="24"/>
        </w:rPr>
        <w:t>Istruzioni relative a posizioni specifiche</w:t>
      </w:r>
      <w:bookmarkEnd w:id="758"/>
      <w:bookmarkEnd w:id="759"/>
      <w:bookmarkEnd w:id="760"/>
      <w:bookmarkEnd w:id="761"/>
      <w:bookmarkEnd w:id="762"/>
      <w:bookmarkEnd w:id="763"/>
      <w:bookmarkEnd w:id="764"/>
      <w:bookmarkEnd w:id="76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0B0B09" w:rsidRPr="00D51A68" w:rsidTr="00672D2A">
        <w:tc>
          <w:tcPr>
            <w:tcW w:w="8862" w:type="dxa"/>
            <w:gridSpan w:val="2"/>
            <w:shd w:val="clear" w:color="auto" w:fill="BFBFBF"/>
          </w:tcPr>
          <w:p w:rsidR="000B0B09" w:rsidRPr="00D51A68" w:rsidRDefault="0034786E"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Colonne</w:t>
            </w:r>
          </w:p>
        </w:tc>
      </w:tr>
      <w:tr w:rsidR="000B0B09" w:rsidRPr="00D51A68" w:rsidTr="00672D2A">
        <w:tc>
          <w:tcPr>
            <w:tcW w:w="993" w:type="dxa"/>
          </w:tcPr>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030-040</w:t>
            </w:r>
          </w:p>
        </w:tc>
        <w:tc>
          <w:tcPr>
            <w:tcW w:w="7869" w:type="dxa"/>
          </w:tcPr>
          <w:p w:rsidR="000B0B09" w:rsidRPr="00D51A68" w:rsidRDefault="000B0B09" w:rsidP="000B0B09">
            <w:pPr>
              <w:autoSpaceDE w:val="0"/>
              <w:autoSpaceDN w:val="0"/>
              <w:adjustRightInd w:val="0"/>
              <w:spacing w:before="0" w:after="0"/>
              <w:rPr>
                <w:rFonts w:ascii="Times New Roman" w:hAnsi="Times New Roman"/>
                <w:b/>
                <w:bCs/>
                <w:sz w:val="24"/>
                <w:u w:val="single"/>
              </w:rPr>
            </w:pPr>
            <w:r w:rsidRPr="00D51A68">
              <w:rPr>
                <w:rFonts w:ascii="Times New Roman" w:hAnsi="Times New Roman"/>
                <w:b/>
                <w:sz w:val="24"/>
                <w:u w:val="single"/>
              </w:rPr>
              <w:t xml:space="preserve">Valore a rischio </w:t>
            </w:r>
          </w:p>
          <w:p w:rsidR="000B0B09" w:rsidRPr="00D51A68" w:rsidRDefault="000B0B09" w:rsidP="000B0B09">
            <w:pPr>
              <w:autoSpaceDE w:val="0"/>
              <w:autoSpaceDN w:val="0"/>
              <w:adjustRightInd w:val="0"/>
              <w:spacing w:before="0" w:after="0"/>
              <w:rPr>
                <w:rFonts w:ascii="Times New Roman" w:hAnsi="Times New Roman"/>
                <w:b/>
                <w:bCs/>
                <w:sz w:val="24"/>
                <w:u w:val="single"/>
              </w:rPr>
            </w:pPr>
            <w:r w:rsidRPr="00D51A68">
              <w:rPr>
                <w:rFonts w:ascii="Times New Roman" w:hAnsi="Times New Roman"/>
                <w:sz w:val="24"/>
              </w:rPr>
              <w:t>Perdita potenziale massima che risulterebbe con una data probabilità da una variazione di prezzo a un orizzonte temporale specificato.</w:t>
            </w:r>
          </w:p>
        </w:tc>
      </w:tr>
      <w:tr w:rsidR="000B0B09" w:rsidRPr="00D51A68" w:rsidTr="00672D2A">
        <w:tc>
          <w:tcPr>
            <w:tcW w:w="993" w:type="dxa"/>
          </w:tcPr>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030</w:t>
            </w:r>
          </w:p>
        </w:tc>
        <w:tc>
          <w:tcPr>
            <w:tcW w:w="7869" w:type="dxa"/>
          </w:tcPr>
          <w:p w:rsidR="000B0B09" w:rsidRPr="00D51A68" w:rsidRDefault="000B0B09" w:rsidP="000B0B09">
            <w:pPr>
              <w:autoSpaceDE w:val="0"/>
              <w:autoSpaceDN w:val="0"/>
              <w:adjustRightInd w:val="0"/>
              <w:spacing w:before="0" w:after="0"/>
              <w:rPr>
                <w:rFonts w:ascii="Times New Roman" w:hAnsi="Times New Roman"/>
                <w:b/>
                <w:bCs/>
                <w:sz w:val="24"/>
                <w:u w:val="single"/>
              </w:rPr>
            </w:pPr>
            <w:r w:rsidRPr="00D51A68">
              <w:rPr>
                <w:rFonts w:ascii="Times New Roman" w:hAnsi="Times New Roman"/>
                <w:b/>
                <w:sz w:val="24"/>
                <w:u w:val="single"/>
              </w:rPr>
              <w:t>Fattore moltiplicativo (mc) x media dei 60 giorni lavorativi precedenti (VaRavg)</w:t>
            </w:r>
          </w:p>
          <w:p w:rsidR="000B0B09" w:rsidRPr="00D51A68" w:rsidRDefault="000B0B09" w:rsidP="000B0B09">
            <w:pPr>
              <w:autoSpaceDE w:val="0"/>
              <w:autoSpaceDN w:val="0"/>
              <w:adjustRightInd w:val="0"/>
              <w:spacing w:before="0" w:after="0"/>
              <w:rPr>
                <w:rFonts w:ascii="Times New Roman" w:hAnsi="Times New Roman"/>
                <w:b/>
                <w:bCs/>
                <w:sz w:val="24"/>
                <w:u w:val="single"/>
              </w:rPr>
            </w:pPr>
          </w:p>
          <w:p w:rsidR="000B0B09" w:rsidRPr="00D51A68" w:rsidRDefault="000B0B09" w:rsidP="005F1095">
            <w:pPr>
              <w:autoSpaceDE w:val="0"/>
              <w:autoSpaceDN w:val="0"/>
              <w:adjustRightInd w:val="0"/>
              <w:spacing w:before="0" w:after="0"/>
              <w:rPr>
                <w:rFonts w:ascii="Times New Roman" w:hAnsi="Times New Roman"/>
                <w:sz w:val="24"/>
              </w:rPr>
            </w:pPr>
            <w:r w:rsidRPr="00D51A68">
              <w:rPr>
                <w:rFonts w:ascii="Times New Roman" w:hAnsi="Times New Roman"/>
                <w:sz w:val="24"/>
              </w:rPr>
              <w:t xml:space="preserve">Articolo 364, paragrafo 1, lettera a), punto ii), e articolo 365, paragrafo 1, del CRR. </w:t>
            </w:r>
          </w:p>
          <w:p w:rsidR="000B0B09" w:rsidRPr="00D51A68" w:rsidRDefault="000B0B09" w:rsidP="000B0B09">
            <w:pPr>
              <w:autoSpaceDE w:val="0"/>
              <w:autoSpaceDN w:val="0"/>
              <w:adjustRightInd w:val="0"/>
              <w:spacing w:before="0" w:after="0"/>
              <w:rPr>
                <w:rFonts w:ascii="Times New Roman" w:hAnsi="Times New Roman"/>
                <w:sz w:val="24"/>
              </w:rPr>
            </w:pPr>
          </w:p>
        </w:tc>
      </w:tr>
      <w:tr w:rsidR="000B0B09" w:rsidRPr="00D51A68" w:rsidTr="00BE76FD">
        <w:trPr>
          <w:cantSplit/>
        </w:trPr>
        <w:tc>
          <w:tcPr>
            <w:tcW w:w="993" w:type="dxa"/>
          </w:tcPr>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040</w:t>
            </w:r>
          </w:p>
        </w:tc>
        <w:tc>
          <w:tcPr>
            <w:tcW w:w="7869" w:type="dxa"/>
          </w:tcPr>
          <w:p w:rsidR="000B0B09" w:rsidRPr="00D51A68" w:rsidRDefault="000B0B09" w:rsidP="000B0B09">
            <w:pPr>
              <w:autoSpaceDE w:val="0"/>
              <w:autoSpaceDN w:val="0"/>
              <w:adjustRightInd w:val="0"/>
              <w:spacing w:before="0" w:after="0"/>
              <w:rPr>
                <w:rFonts w:ascii="Times New Roman" w:hAnsi="Times New Roman"/>
                <w:b/>
                <w:bCs/>
                <w:sz w:val="24"/>
                <w:u w:val="single"/>
              </w:rPr>
            </w:pPr>
            <w:r w:rsidRPr="00D51A68">
              <w:rPr>
                <w:rFonts w:ascii="Times New Roman" w:hAnsi="Times New Roman"/>
                <w:b/>
                <w:sz w:val="24"/>
                <w:u w:val="single"/>
              </w:rPr>
              <w:t>Giorno precedente (VaRt-1)</w:t>
            </w:r>
          </w:p>
          <w:p w:rsidR="000B0B09" w:rsidRPr="00D51A68" w:rsidRDefault="000B0B09" w:rsidP="000B0B09">
            <w:pPr>
              <w:autoSpaceDE w:val="0"/>
              <w:autoSpaceDN w:val="0"/>
              <w:adjustRightInd w:val="0"/>
              <w:spacing w:before="0" w:after="0"/>
              <w:rPr>
                <w:rFonts w:ascii="Times New Roman" w:hAnsi="Times New Roman"/>
                <w:b/>
                <w:bCs/>
                <w:sz w:val="24"/>
                <w:u w:val="single"/>
              </w:rPr>
            </w:pPr>
          </w:p>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 xml:space="preserve">Articolo 364, paragrafo 1, lettera a), punto i), e articolo 365, paragrafo 1, del CRR. </w:t>
            </w:r>
          </w:p>
          <w:p w:rsidR="000B0B09" w:rsidRPr="00D51A68" w:rsidRDefault="000B0B09" w:rsidP="000B0B09">
            <w:pPr>
              <w:autoSpaceDE w:val="0"/>
              <w:autoSpaceDN w:val="0"/>
              <w:adjustRightInd w:val="0"/>
              <w:spacing w:before="0" w:after="0"/>
              <w:rPr>
                <w:rFonts w:ascii="Times New Roman" w:hAnsi="Times New Roman"/>
                <w:sz w:val="16"/>
                <w:szCs w:val="16"/>
              </w:rPr>
            </w:pPr>
          </w:p>
        </w:tc>
      </w:tr>
      <w:tr w:rsidR="000B0B09" w:rsidRPr="00D51A68" w:rsidTr="00672D2A">
        <w:tc>
          <w:tcPr>
            <w:tcW w:w="993" w:type="dxa"/>
          </w:tcPr>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050-060</w:t>
            </w:r>
          </w:p>
        </w:tc>
        <w:tc>
          <w:tcPr>
            <w:tcW w:w="7869" w:type="dxa"/>
          </w:tcPr>
          <w:p w:rsidR="000B0B09" w:rsidRPr="00D51A68" w:rsidRDefault="000B0B09" w:rsidP="000B0B09">
            <w:pPr>
              <w:autoSpaceDE w:val="0"/>
              <w:autoSpaceDN w:val="0"/>
              <w:adjustRightInd w:val="0"/>
              <w:spacing w:before="0" w:after="0"/>
              <w:rPr>
                <w:rFonts w:ascii="Times New Roman" w:hAnsi="Times New Roman"/>
                <w:b/>
                <w:bCs/>
                <w:sz w:val="24"/>
                <w:u w:val="single"/>
              </w:rPr>
            </w:pPr>
            <w:r w:rsidRPr="00D51A68">
              <w:rPr>
                <w:rFonts w:ascii="Times New Roman" w:hAnsi="Times New Roman"/>
                <w:b/>
                <w:sz w:val="24"/>
                <w:u w:val="single"/>
              </w:rPr>
              <w:t>Valore a rischio in condizioni di stress</w:t>
            </w:r>
          </w:p>
          <w:p w:rsidR="000B0B09" w:rsidRPr="00D51A68" w:rsidRDefault="000B0B09" w:rsidP="000B0B09">
            <w:pPr>
              <w:autoSpaceDE w:val="0"/>
              <w:autoSpaceDN w:val="0"/>
              <w:adjustRightInd w:val="0"/>
              <w:spacing w:before="0" w:after="0"/>
              <w:rPr>
                <w:rFonts w:ascii="Times New Roman" w:hAnsi="Times New Roman"/>
                <w:b/>
                <w:bCs/>
                <w:sz w:val="24"/>
                <w:u w:val="single"/>
              </w:rPr>
            </w:pPr>
          </w:p>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Perdita potenziale massima che risulterebbe con una data probabilità da una variazione di prezzo a un orizzonte temporale specificato, ottenuta tramite l</w:t>
            </w:r>
            <w:r w:rsidR="0009277C" w:rsidRPr="00D51A68">
              <w:rPr>
                <w:rFonts w:ascii="Times New Roman" w:hAnsi="Times New Roman"/>
                <w:sz w:val="24"/>
              </w:rPr>
              <w:t>’</w:t>
            </w:r>
            <w:r w:rsidRPr="00D51A68">
              <w:rPr>
                <w:rFonts w:ascii="Times New Roman" w:hAnsi="Times New Roman"/>
                <w:sz w:val="24"/>
              </w:rPr>
              <w:t>immissione di parametri calibrati su dati storici per un periodo continuato di dodici mesi di stress finanziario pertinente per il portafoglio dell</w:t>
            </w:r>
            <w:r w:rsidR="0009277C" w:rsidRPr="00D51A68">
              <w:rPr>
                <w:rFonts w:ascii="Times New Roman" w:hAnsi="Times New Roman"/>
                <w:sz w:val="24"/>
              </w:rPr>
              <w:t>’</w:t>
            </w:r>
            <w:r w:rsidRPr="00D51A68">
              <w:rPr>
                <w:rFonts w:ascii="Times New Roman" w:hAnsi="Times New Roman"/>
                <w:sz w:val="24"/>
              </w:rPr>
              <w:t>ente.</w:t>
            </w:r>
          </w:p>
        </w:tc>
      </w:tr>
      <w:tr w:rsidR="000B0B09" w:rsidRPr="00D51A68" w:rsidTr="00672D2A">
        <w:tc>
          <w:tcPr>
            <w:tcW w:w="993" w:type="dxa"/>
          </w:tcPr>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050</w:t>
            </w:r>
          </w:p>
        </w:tc>
        <w:tc>
          <w:tcPr>
            <w:tcW w:w="7869" w:type="dxa"/>
          </w:tcPr>
          <w:p w:rsidR="000B0B09" w:rsidRPr="00D51A68" w:rsidRDefault="000B0B09" w:rsidP="000B0B09">
            <w:pPr>
              <w:autoSpaceDE w:val="0"/>
              <w:autoSpaceDN w:val="0"/>
              <w:adjustRightInd w:val="0"/>
              <w:spacing w:before="0" w:after="0"/>
              <w:rPr>
                <w:rFonts w:ascii="Times New Roman" w:hAnsi="Times New Roman"/>
                <w:b/>
                <w:bCs/>
                <w:sz w:val="24"/>
                <w:u w:val="single"/>
              </w:rPr>
            </w:pPr>
            <w:r w:rsidRPr="00D51A68">
              <w:rPr>
                <w:rFonts w:ascii="Times New Roman" w:hAnsi="Times New Roman"/>
                <w:b/>
                <w:sz w:val="24"/>
                <w:u w:val="single"/>
              </w:rPr>
              <w:t>Fattore moltiplicativo (ms) x media dei 60 giorni lavorativi precedenti (SVaRavg)</w:t>
            </w:r>
          </w:p>
          <w:p w:rsidR="000B0B09" w:rsidRPr="00D51A68" w:rsidRDefault="000B0B09" w:rsidP="000B0B09">
            <w:pPr>
              <w:autoSpaceDE w:val="0"/>
              <w:autoSpaceDN w:val="0"/>
              <w:adjustRightInd w:val="0"/>
              <w:spacing w:before="0" w:after="0"/>
              <w:rPr>
                <w:rStyle w:val="InstructionsTabelleberschrift"/>
                <w:rFonts w:ascii="Times New Roman" w:hAnsi="Times New Roman"/>
                <w:sz w:val="24"/>
              </w:rPr>
            </w:pPr>
          </w:p>
          <w:p w:rsidR="000B0B09" w:rsidRPr="00D51A68" w:rsidRDefault="000B0B09" w:rsidP="000B0B09">
            <w:pPr>
              <w:autoSpaceDE w:val="0"/>
              <w:autoSpaceDN w:val="0"/>
              <w:adjustRightInd w:val="0"/>
              <w:spacing w:before="0" w:after="0"/>
              <w:rPr>
                <w:rStyle w:val="InstructionsTabelleberschrift"/>
                <w:rFonts w:ascii="Times New Roman" w:hAnsi="Times New Roman"/>
                <w:b w:val="0"/>
                <w:bCs w:val="0"/>
                <w:sz w:val="24"/>
              </w:rPr>
            </w:pPr>
            <w:r w:rsidRPr="00D51A68">
              <w:rPr>
                <w:rFonts w:ascii="Times New Roman" w:hAnsi="Times New Roman"/>
                <w:sz w:val="24"/>
              </w:rPr>
              <w:t>Articolo 364, paragrafo 1, lettera b), punto ii), e articolo 365, paragrafo 1, del CRR.</w:t>
            </w:r>
            <w:r w:rsidRPr="00D51A68">
              <w:rPr>
                <w:rStyle w:val="InstructionsTabelleberschrift"/>
                <w:rFonts w:ascii="Times New Roman" w:hAnsi="Times New Roman"/>
                <w:sz w:val="24"/>
              </w:rPr>
              <w:t xml:space="preserve"> </w:t>
            </w:r>
          </w:p>
          <w:p w:rsidR="000B0B09" w:rsidRPr="00D51A68" w:rsidRDefault="000B0B09" w:rsidP="000B0B09">
            <w:pPr>
              <w:autoSpaceDE w:val="0"/>
              <w:autoSpaceDN w:val="0"/>
              <w:adjustRightInd w:val="0"/>
              <w:spacing w:before="0" w:after="0"/>
              <w:rPr>
                <w:rStyle w:val="InstructionsTabelleberschrift"/>
                <w:rFonts w:ascii="Times New Roman" w:hAnsi="Times New Roman"/>
                <w:sz w:val="16"/>
                <w:szCs w:val="16"/>
              </w:rPr>
            </w:pPr>
          </w:p>
        </w:tc>
      </w:tr>
      <w:tr w:rsidR="000B0B09" w:rsidRPr="00D51A68" w:rsidTr="00672D2A">
        <w:tc>
          <w:tcPr>
            <w:tcW w:w="993" w:type="dxa"/>
          </w:tcPr>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060</w:t>
            </w:r>
          </w:p>
        </w:tc>
        <w:tc>
          <w:tcPr>
            <w:tcW w:w="7869" w:type="dxa"/>
          </w:tcPr>
          <w:p w:rsidR="000B0B09" w:rsidRPr="00D51A68" w:rsidRDefault="000B0B09" w:rsidP="000B0B09">
            <w:pPr>
              <w:autoSpaceDE w:val="0"/>
              <w:autoSpaceDN w:val="0"/>
              <w:adjustRightInd w:val="0"/>
              <w:spacing w:before="0" w:after="0"/>
              <w:rPr>
                <w:rFonts w:ascii="Times New Roman" w:hAnsi="Times New Roman"/>
                <w:b/>
                <w:bCs/>
                <w:sz w:val="24"/>
                <w:u w:val="single"/>
              </w:rPr>
            </w:pPr>
            <w:r w:rsidRPr="00D51A68">
              <w:rPr>
                <w:rFonts w:ascii="Times New Roman" w:hAnsi="Times New Roman"/>
                <w:b/>
                <w:sz w:val="24"/>
                <w:u w:val="single"/>
              </w:rPr>
              <w:t>Ultimo disponibile (SVaRt-1)</w:t>
            </w:r>
          </w:p>
          <w:p w:rsidR="000B0B09" w:rsidRPr="00D51A68" w:rsidRDefault="000B0B09" w:rsidP="000B0B09">
            <w:pPr>
              <w:autoSpaceDE w:val="0"/>
              <w:autoSpaceDN w:val="0"/>
              <w:adjustRightInd w:val="0"/>
              <w:spacing w:before="0" w:after="0"/>
              <w:rPr>
                <w:rFonts w:ascii="Times New Roman" w:hAnsi="Times New Roman"/>
                <w:sz w:val="24"/>
              </w:rPr>
            </w:pPr>
          </w:p>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 xml:space="preserve">Articolo 364, paragrafo 1, lettera b), punto i), e articolo 365, paragrafo 1, del CRR. </w:t>
            </w:r>
          </w:p>
          <w:p w:rsidR="000B0B09" w:rsidRPr="00D51A68" w:rsidRDefault="000B0B09" w:rsidP="000B0B09">
            <w:pPr>
              <w:autoSpaceDE w:val="0"/>
              <w:autoSpaceDN w:val="0"/>
              <w:adjustRightInd w:val="0"/>
              <w:spacing w:before="0" w:after="0"/>
              <w:rPr>
                <w:rFonts w:ascii="Times New Roman" w:hAnsi="Times New Roman"/>
                <w:b/>
                <w:bCs/>
                <w:sz w:val="24"/>
                <w:u w:val="single"/>
              </w:rPr>
            </w:pPr>
          </w:p>
        </w:tc>
      </w:tr>
      <w:tr w:rsidR="000B0B09" w:rsidRPr="00D51A68" w:rsidTr="00672D2A">
        <w:tc>
          <w:tcPr>
            <w:tcW w:w="993" w:type="dxa"/>
          </w:tcPr>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070-080</w:t>
            </w:r>
          </w:p>
        </w:tc>
        <w:tc>
          <w:tcPr>
            <w:tcW w:w="7869" w:type="dxa"/>
          </w:tcPr>
          <w:p w:rsidR="000B0B09" w:rsidRPr="00D51A68" w:rsidRDefault="000B0B09" w:rsidP="000B0B09">
            <w:pPr>
              <w:autoSpaceDE w:val="0"/>
              <w:autoSpaceDN w:val="0"/>
              <w:adjustRightInd w:val="0"/>
              <w:spacing w:before="0" w:after="0"/>
              <w:rPr>
                <w:rFonts w:ascii="Times New Roman" w:hAnsi="Times New Roman"/>
                <w:b/>
                <w:bCs/>
                <w:sz w:val="24"/>
                <w:u w:val="single"/>
              </w:rPr>
            </w:pPr>
            <w:r w:rsidRPr="00D51A68">
              <w:rPr>
                <w:rFonts w:ascii="Times New Roman" w:hAnsi="Times New Roman"/>
                <w:b/>
                <w:sz w:val="24"/>
                <w:u w:val="single"/>
              </w:rPr>
              <w:t>COPERTURA PATRIMONIALE PER IL RISCHIO INCREMENTALE DI DEFAULT E DI MIGRAZIONE</w:t>
            </w:r>
          </w:p>
          <w:p w:rsidR="000B0B09" w:rsidRPr="00D51A68" w:rsidRDefault="000B0B09" w:rsidP="000B0B09">
            <w:pPr>
              <w:autoSpaceDE w:val="0"/>
              <w:autoSpaceDN w:val="0"/>
              <w:adjustRightInd w:val="0"/>
              <w:spacing w:before="0" w:after="0"/>
              <w:rPr>
                <w:rFonts w:ascii="Times New Roman" w:hAnsi="Times New Roman"/>
                <w:sz w:val="24"/>
              </w:rPr>
            </w:pPr>
          </w:p>
          <w:p w:rsidR="000B0B09" w:rsidRPr="00D51A68" w:rsidRDefault="000B0B09" w:rsidP="000B0B09">
            <w:pPr>
              <w:rPr>
                <w:rFonts w:ascii="Times New Roman" w:hAnsi="Times New Roman"/>
                <w:sz w:val="24"/>
              </w:rPr>
            </w:pPr>
            <w:r w:rsidRPr="00D51A68">
              <w:rPr>
                <w:rFonts w:ascii="Times New Roman" w:hAnsi="Times New Roman"/>
                <w:sz w:val="24"/>
              </w:rPr>
              <w:t>Perdita potenziale massima che risulterebbe da una variazione di prezzo correlata a rischi di default e di migrazione calcolati conformemente all</w:t>
            </w:r>
            <w:r w:rsidR="0009277C" w:rsidRPr="00D51A68">
              <w:rPr>
                <w:rFonts w:ascii="Times New Roman" w:hAnsi="Times New Roman"/>
                <w:sz w:val="24"/>
              </w:rPr>
              <w:t>’</w:t>
            </w:r>
            <w:r w:rsidRPr="00D51A68">
              <w:rPr>
                <w:rFonts w:ascii="Times New Roman" w:hAnsi="Times New Roman"/>
                <w:sz w:val="24"/>
              </w:rPr>
              <w:t xml:space="preserve">articolo 364, paragrafo 2, lettera b), in combinato disposto con la parte tre, titolo IV, capo 5, sezione 4, del CRR. </w:t>
            </w:r>
          </w:p>
          <w:p w:rsidR="000B0B09" w:rsidRPr="00D51A68" w:rsidRDefault="000B0B09" w:rsidP="000B0B09">
            <w:pPr>
              <w:autoSpaceDE w:val="0"/>
              <w:autoSpaceDN w:val="0"/>
              <w:adjustRightInd w:val="0"/>
              <w:spacing w:before="0" w:after="0"/>
              <w:rPr>
                <w:rFonts w:ascii="Times New Roman" w:hAnsi="Times New Roman"/>
                <w:b/>
                <w:bCs/>
                <w:sz w:val="24"/>
                <w:u w:val="single"/>
              </w:rPr>
            </w:pPr>
          </w:p>
        </w:tc>
      </w:tr>
      <w:tr w:rsidR="000B0B09" w:rsidRPr="00D51A68" w:rsidTr="00672D2A">
        <w:tc>
          <w:tcPr>
            <w:tcW w:w="993" w:type="dxa"/>
          </w:tcPr>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070</w:t>
            </w:r>
          </w:p>
        </w:tc>
        <w:tc>
          <w:tcPr>
            <w:tcW w:w="7869" w:type="dxa"/>
          </w:tcPr>
          <w:p w:rsidR="000B0B09" w:rsidRPr="00D51A68" w:rsidRDefault="000B0B09" w:rsidP="000B0B09">
            <w:pPr>
              <w:autoSpaceDE w:val="0"/>
              <w:autoSpaceDN w:val="0"/>
              <w:adjustRightInd w:val="0"/>
              <w:spacing w:before="0" w:after="0"/>
              <w:rPr>
                <w:rFonts w:ascii="Times New Roman" w:hAnsi="Times New Roman"/>
                <w:b/>
                <w:bCs/>
                <w:sz w:val="24"/>
                <w:u w:val="single"/>
              </w:rPr>
            </w:pPr>
            <w:r w:rsidRPr="00D51A68">
              <w:rPr>
                <w:rFonts w:ascii="Times New Roman" w:hAnsi="Times New Roman"/>
                <w:b/>
                <w:sz w:val="24"/>
                <w:u w:val="single"/>
              </w:rPr>
              <w:t>Misura media su 12 settimane</w:t>
            </w:r>
          </w:p>
          <w:p w:rsidR="000B0B09" w:rsidRPr="00D51A68" w:rsidRDefault="000B0B09" w:rsidP="000B0B09">
            <w:pPr>
              <w:autoSpaceDE w:val="0"/>
              <w:autoSpaceDN w:val="0"/>
              <w:adjustRightInd w:val="0"/>
              <w:spacing w:before="0" w:after="0"/>
              <w:rPr>
                <w:rFonts w:ascii="Times New Roman" w:hAnsi="Times New Roman"/>
                <w:b/>
                <w:bCs/>
                <w:sz w:val="24"/>
                <w:u w:val="single"/>
              </w:rPr>
            </w:pPr>
          </w:p>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Articolo 364, paragrafo 2, lettera b), punto ii), in combinato disposto con la parte tre, titolo IV, capo 5, sezione 4, del CRR.</w:t>
            </w:r>
          </w:p>
          <w:p w:rsidR="000B0B09" w:rsidRPr="00D51A68" w:rsidRDefault="000B0B09" w:rsidP="000B0B09">
            <w:pPr>
              <w:autoSpaceDE w:val="0"/>
              <w:autoSpaceDN w:val="0"/>
              <w:adjustRightInd w:val="0"/>
              <w:spacing w:before="0" w:after="0"/>
              <w:rPr>
                <w:rFonts w:ascii="Times New Roman" w:hAnsi="Times New Roman"/>
                <w:b/>
                <w:bCs/>
                <w:sz w:val="24"/>
                <w:u w:val="single"/>
              </w:rPr>
            </w:pPr>
          </w:p>
        </w:tc>
      </w:tr>
      <w:tr w:rsidR="000B0B09" w:rsidRPr="00D51A68" w:rsidTr="00672D2A">
        <w:tc>
          <w:tcPr>
            <w:tcW w:w="993" w:type="dxa"/>
          </w:tcPr>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080</w:t>
            </w:r>
          </w:p>
        </w:tc>
        <w:tc>
          <w:tcPr>
            <w:tcW w:w="7869" w:type="dxa"/>
          </w:tcPr>
          <w:p w:rsidR="000B0B09" w:rsidRPr="00D51A68" w:rsidRDefault="000B0B09" w:rsidP="000B0B09">
            <w:pPr>
              <w:autoSpaceDE w:val="0"/>
              <w:autoSpaceDN w:val="0"/>
              <w:adjustRightInd w:val="0"/>
              <w:spacing w:before="0" w:after="0"/>
              <w:rPr>
                <w:rFonts w:ascii="Times New Roman" w:hAnsi="Times New Roman"/>
                <w:b/>
                <w:bCs/>
                <w:sz w:val="24"/>
                <w:u w:val="single"/>
              </w:rPr>
            </w:pPr>
            <w:r w:rsidRPr="00D51A68">
              <w:rPr>
                <w:rFonts w:ascii="Times New Roman" w:hAnsi="Times New Roman"/>
                <w:b/>
                <w:sz w:val="24"/>
                <w:u w:val="single"/>
              </w:rPr>
              <w:t>Ultima misura</w:t>
            </w:r>
          </w:p>
          <w:p w:rsidR="000B0B09" w:rsidRPr="00D51A68" w:rsidRDefault="000B0B09" w:rsidP="000B0B09">
            <w:pPr>
              <w:autoSpaceDE w:val="0"/>
              <w:autoSpaceDN w:val="0"/>
              <w:adjustRightInd w:val="0"/>
              <w:spacing w:before="0" w:after="0"/>
              <w:rPr>
                <w:rFonts w:ascii="Times New Roman" w:hAnsi="Times New Roman"/>
                <w:b/>
                <w:bCs/>
                <w:sz w:val="24"/>
                <w:u w:val="single"/>
              </w:rPr>
            </w:pPr>
          </w:p>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Articolo 364, paragrafo 2, lettera b), punto i), in combinato disposto con la parte tre, titolo IV, capo 5, sezione 4, del CRR.</w:t>
            </w:r>
          </w:p>
          <w:p w:rsidR="000B0B09" w:rsidRPr="00D51A68" w:rsidRDefault="000B0B09" w:rsidP="000B0B09">
            <w:pPr>
              <w:autoSpaceDE w:val="0"/>
              <w:autoSpaceDN w:val="0"/>
              <w:adjustRightInd w:val="0"/>
              <w:spacing w:before="0" w:after="0"/>
              <w:rPr>
                <w:rFonts w:ascii="Times New Roman" w:hAnsi="Times New Roman"/>
                <w:b/>
                <w:bCs/>
                <w:sz w:val="24"/>
                <w:u w:val="single"/>
              </w:rPr>
            </w:pPr>
          </w:p>
        </w:tc>
      </w:tr>
      <w:tr w:rsidR="000B0B09" w:rsidRPr="00D51A68" w:rsidTr="00672D2A">
        <w:tc>
          <w:tcPr>
            <w:tcW w:w="993" w:type="dxa"/>
          </w:tcPr>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090-110</w:t>
            </w:r>
          </w:p>
        </w:tc>
        <w:tc>
          <w:tcPr>
            <w:tcW w:w="7869" w:type="dxa"/>
          </w:tcPr>
          <w:p w:rsidR="000B0B09" w:rsidRPr="00D51A68" w:rsidRDefault="000B0B09" w:rsidP="000B0B09">
            <w:pPr>
              <w:autoSpaceDE w:val="0"/>
              <w:autoSpaceDN w:val="0"/>
              <w:adjustRightInd w:val="0"/>
              <w:spacing w:before="0" w:after="0"/>
              <w:rPr>
                <w:rFonts w:ascii="Times New Roman" w:hAnsi="Times New Roman"/>
                <w:b/>
                <w:bCs/>
                <w:sz w:val="24"/>
                <w:u w:val="single"/>
              </w:rPr>
            </w:pPr>
            <w:r w:rsidRPr="00D51A68">
              <w:rPr>
                <w:rFonts w:ascii="Times New Roman" w:hAnsi="Times New Roman"/>
                <w:b/>
                <w:sz w:val="24"/>
                <w:u w:val="single"/>
              </w:rPr>
              <w:t>COPERTURA PATRIMONIALE PER TUTTI I RISCHI DI PREZZO PER IL CTP</w:t>
            </w:r>
          </w:p>
          <w:p w:rsidR="000B0B09" w:rsidRPr="00D51A68" w:rsidRDefault="000B0B09" w:rsidP="000B0B09">
            <w:pPr>
              <w:autoSpaceDE w:val="0"/>
              <w:autoSpaceDN w:val="0"/>
              <w:adjustRightInd w:val="0"/>
              <w:spacing w:before="0" w:after="0"/>
              <w:rPr>
                <w:rFonts w:ascii="Times New Roman" w:hAnsi="Times New Roman"/>
                <w:b/>
                <w:bCs/>
                <w:sz w:val="24"/>
                <w:u w:val="single"/>
              </w:rPr>
            </w:pPr>
          </w:p>
        </w:tc>
      </w:tr>
      <w:tr w:rsidR="000B0B09" w:rsidRPr="00D51A68" w:rsidTr="00672D2A">
        <w:tc>
          <w:tcPr>
            <w:tcW w:w="993" w:type="dxa"/>
          </w:tcPr>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090</w:t>
            </w:r>
          </w:p>
        </w:tc>
        <w:tc>
          <w:tcPr>
            <w:tcW w:w="7869" w:type="dxa"/>
          </w:tcPr>
          <w:p w:rsidR="000B0B09" w:rsidRPr="00D51A68" w:rsidRDefault="000B0B09" w:rsidP="000B0B09">
            <w:pPr>
              <w:autoSpaceDE w:val="0"/>
              <w:autoSpaceDN w:val="0"/>
              <w:adjustRightInd w:val="0"/>
              <w:spacing w:before="0" w:after="0"/>
              <w:rPr>
                <w:rFonts w:ascii="Times New Roman" w:hAnsi="Times New Roman"/>
                <w:b/>
                <w:bCs/>
                <w:sz w:val="24"/>
                <w:u w:val="single"/>
              </w:rPr>
            </w:pPr>
            <w:r w:rsidRPr="00D51A68">
              <w:rPr>
                <w:rFonts w:ascii="Times New Roman" w:hAnsi="Times New Roman"/>
                <w:b/>
                <w:sz w:val="24"/>
                <w:u w:val="single"/>
              </w:rPr>
              <w:t>REQUISITO MINIMO</w:t>
            </w:r>
          </w:p>
          <w:p w:rsidR="000B0B09" w:rsidRPr="00D51A68" w:rsidRDefault="000B0B09" w:rsidP="000B0B09">
            <w:pPr>
              <w:rPr>
                <w:rFonts w:ascii="Times New Roman" w:hAnsi="Times New Roman"/>
                <w:sz w:val="24"/>
              </w:rPr>
            </w:pPr>
            <w:r w:rsidRPr="00D51A68">
              <w:rPr>
                <w:rFonts w:ascii="Times New Roman" w:hAnsi="Times New Roman"/>
                <w:sz w:val="24"/>
              </w:rPr>
              <w:t>Articolo 364, paragrafo 3, lettera c), del CRR</w:t>
            </w:r>
          </w:p>
          <w:p w:rsidR="000B0B09" w:rsidRPr="00D51A68" w:rsidRDefault="000B0B09" w:rsidP="000B0B09">
            <w:pPr>
              <w:autoSpaceDE w:val="0"/>
              <w:autoSpaceDN w:val="0"/>
              <w:adjustRightInd w:val="0"/>
              <w:spacing w:before="0" w:after="0"/>
              <w:rPr>
                <w:rFonts w:ascii="Times New Roman" w:hAnsi="Times New Roman"/>
                <w:b/>
                <w:bCs/>
                <w:sz w:val="24"/>
                <w:u w:val="single"/>
              </w:rPr>
            </w:pPr>
            <w:r w:rsidRPr="00D51A68">
              <w:rPr>
                <w:rFonts w:ascii="Times New Roman" w:hAnsi="Times New Roman"/>
                <w:sz w:val="24"/>
              </w:rPr>
              <w:t>Corrisponde all</w:t>
            </w:r>
            <w:r w:rsidR="0009277C" w:rsidRPr="00D51A68">
              <w:rPr>
                <w:rFonts w:ascii="Times New Roman" w:hAnsi="Times New Roman"/>
                <w:sz w:val="24"/>
              </w:rPr>
              <w:t>’</w:t>
            </w:r>
            <w:r w:rsidRPr="00D51A68">
              <w:rPr>
                <w:rFonts w:ascii="Times New Roman" w:hAnsi="Times New Roman"/>
                <w:sz w:val="24"/>
              </w:rPr>
              <w:t>8% della copertura patrimoniale calcolata conformemente all</w:t>
            </w:r>
            <w:r w:rsidR="0009277C" w:rsidRPr="00D51A68">
              <w:rPr>
                <w:rFonts w:ascii="Times New Roman" w:hAnsi="Times New Roman"/>
                <w:sz w:val="24"/>
              </w:rPr>
              <w:t>’</w:t>
            </w:r>
            <w:r w:rsidRPr="00D51A68">
              <w:rPr>
                <w:rFonts w:ascii="Times New Roman" w:hAnsi="Times New Roman"/>
                <w:sz w:val="24"/>
              </w:rPr>
              <w:t xml:space="preserve">articolo 338, paragrafo 1, del CRR per tutte le posizioni della copertura patrimoniale per </w:t>
            </w:r>
            <w:r w:rsidR="0009277C" w:rsidRPr="00D51A68">
              <w:rPr>
                <w:rFonts w:ascii="Times New Roman" w:hAnsi="Times New Roman"/>
                <w:sz w:val="24"/>
              </w:rPr>
              <w:t>“</w:t>
            </w:r>
            <w:r w:rsidRPr="00D51A68">
              <w:rPr>
                <w:rFonts w:ascii="Times New Roman" w:hAnsi="Times New Roman"/>
                <w:sz w:val="24"/>
              </w:rPr>
              <w:t>tutti i rischi di prezzo</w:t>
            </w:r>
            <w:r w:rsidR="0009277C" w:rsidRPr="00D51A68">
              <w:rPr>
                <w:rFonts w:ascii="Times New Roman" w:hAnsi="Times New Roman"/>
                <w:sz w:val="24"/>
              </w:rPr>
              <w:t>”</w:t>
            </w:r>
            <w:r w:rsidRPr="00D51A68">
              <w:rPr>
                <w:rFonts w:ascii="Times New Roman" w:hAnsi="Times New Roman"/>
                <w:sz w:val="24"/>
              </w:rPr>
              <w:t>.</w:t>
            </w:r>
            <w:r w:rsidRPr="00D51A68">
              <w:rPr>
                <w:rFonts w:ascii="Times New Roman" w:hAnsi="Times New Roman"/>
                <w:b/>
                <w:sz w:val="24"/>
                <w:u w:val="single"/>
              </w:rPr>
              <w:t xml:space="preserve"> </w:t>
            </w:r>
          </w:p>
          <w:p w:rsidR="000B0B09" w:rsidRPr="00D51A68" w:rsidRDefault="000B0B09" w:rsidP="000B0B09">
            <w:pPr>
              <w:autoSpaceDE w:val="0"/>
              <w:autoSpaceDN w:val="0"/>
              <w:adjustRightInd w:val="0"/>
              <w:spacing w:before="0" w:after="0"/>
              <w:rPr>
                <w:rFonts w:ascii="Times New Roman" w:hAnsi="Times New Roman"/>
                <w:b/>
                <w:bCs/>
                <w:sz w:val="24"/>
                <w:u w:val="single"/>
              </w:rPr>
            </w:pPr>
          </w:p>
        </w:tc>
      </w:tr>
      <w:tr w:rsidR="000B0B09" w:rsidRPr="00D51A68" w:rsidTr="00672D2A">
        <w:tc>
          <w:tcPr>
            <w:tcW w:w="993" w:type="dxa"/>
          </w:tcPr>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100-110</w:t>
            </w:r>
          </w:p>
        </w:tc>
        <w:tc>
          <w:tcPr>
            <w:tcW w:w="7869" w:type="dxa"/>
          </w:tcPr>
          <w:p w:rsidR="000B0B09" w:rsidRPr="00D51A68" w:rsidRDefault="000B0B09" w:rsidP="000B0B09">
            <w:pPr>
              <w:autoSpaceDE w:val="0"/>
              <w:autoSpaceDN w:val="0"/>
              <w:adjustRightInd w:val="0"/>
              <w:spacing w:before="0" w:after="0"/>
              <w:rPr>
                <w:rFonts w:ascii="Times New Roman" w:hAnsi="Times New Roman"/>
                <w:b/>
                <w:bCs/>
                <w:sz w:val="24"/>
                <w:u w:val="single"/>
              </w:rPr>
            </w:pPr>
            <w:r w:rsidRPr="00D51A68">
              <w:rPr>
                <w:rFonts w:ascii="Times New Roman" w:hAnsi="Times New Roman"/>
                <w:b/>
                <w:sz w:val="24"/>
                <w:u w:val="single"/>
              </w:rPr>
              <w:t>MISURA MEDIA SU 12 SETTIMANE E ULTIMA MISURA</w:t>
            </w:r>
          </w:p>
          <w:p w:rsidR="000B0B09" w:rsidRPr="00D51A68" w:rsidRDefault="000B0B09" w:rsidP="000B0B09">
            <w:pPr>
              <w:autoSpaceDE w:val="0"/>
              <w:autoSpaceDN w:val="0"/>
              <w:adjustRightInd w:val="0"/>
              <w:spacing w:before="0" w:after="0"/>
              <w:rPr>
                <w:rFonts w:ascii="Times New Roman" w:hAnsi="Times New Roman"/>
                <w:bCs/>
                <w:sz w:val="24"/>
                <w:u w:val="single"/>
              </w:rPr>
            </w:pPr>
            <w:r w:rsidRPr="00D51A68">
              <w:rPr>
                <w:rFonts w:ascii="Times New Roman" w:hAnsi="Times New Roman"/>
                <w:sz w:val="24"/>
                <w:u w:val="single"/>
              </w:rPr>
              <w:t>Articolo 364, paragrafo 3, lettera b).</w:t>
            </w:r>
          </w:p>
          <w:p w:rsidR="000B0B09" w:rsidRPr="00D51A68" w:rsidRDefault="000B0B09" w:rsidP="000B0B09">
            <w:pPr>
              <w:autoSpaceDE w:val="0"/>
              <w:autoSpaceDN w:val="0"/>
              <w:adjustRightInd w:val="0"/>
              <w:spacing w:before="0" w:after="0"/>
              <w:rPr>
                <w:rFonts w:ascii="Times New Roman" w:hAnsi="Times New Roman"/>
                <w:bCs/>
                <w:sz w:val="16"/>
                <w:szCs w:val="16"/>
                <w:u w:val="single"/>
              </w:rPr>
            </w:pPr>
          </w:p>
        </w:tc>
      </w:tr>
      <w:tr w:rsidR="000B0B09" w:rsidRPr="00D51A68" w:rsidTr="00672D2A">
        <w:tc>
          <w:tcPr>
            <w:tcW w:w="993" w:type="dxa"/>
          </w:tcPr>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110</w:t>
            </w:r>
          </w:p>
        </w:tc>
        <w:tc>
          <w:tcPr>
            <w:tcW w:w="7869" w:type="dxa"/>
          </w:tcPr>
          <w:p w:rsidR="000B0B09" w:rsidRPr="00D51A68" w:rsidRDefault="000B0B09" w:rsidP="000B0B09">
            <w:pPr>
              <w:autoSpaceDE w:val="0"/>
              <w:autoSpaceDN w:val="0"/>
              <w:adjustRightInd w:val="0"/>
              <w:spacing w:before="0" w:after="0"/>
              <w:rPr>
                <w:rFonts w:ascii="Times New Roman" w:hAnsi="Times New Roman"/>
                <w:b/>
                <w:bCs/>
                <w:sz w:val="24"/>
                <w:u w:val="single"/>
              </w:rPr>
            </w:pPr>
            <w:r w:rsidRPr="00D51A68">
              <w:rPr>
                <w:rFonts w:ascii="Times New Roman" w:hAnsi="Times New Roman"/>
                <w:b/>
                <w:sz w:val="24"/>
                <w:u w:val="single"/>
              </w:rPr>
              <w:t>ULTIMA MISURA</w:t>
            </w:r>
          </w:p>
          <w:p w:rsidR="000B0B09" w:rsidRPr="00D51A68" w:rsidRDefault="000B0B09" w:rsidP="000B0B09">
            <w:pPr>
              <w:autoSpaceDE w:val="0"/>
              <w:autoSpaceDN w:val="0"/>
              <w:adjustRightInd w:val="0"/>
              <w:spacing w:before="0" w:after="0"/>
              <w:rPr>
                <w:rFonts w:ascii="Times New Roman" w:hAnsi="Times New Roman"/>
                <w:b/>
                <w:bCs/>
                <w:sz w:val="24"/>
                <w:u w:val="single"/>
              </w:rPr>
            </w:pPr>
          </w:p>
          <w:p w:rsidR="000B0B09" w:rsidRPr="00D51A68" w:rsidRDefault="000B0B09" w:rsidP="000B0B09">
            <w:pPr>
              <w:autoSpaceDE w:val="0"/>
              <w:autoSpaceDN w:val="0"/>
              <w:adjustRightInd w:val="0"/>
              <w:spacing w:before="0" w:after="0"/>
              <w:rPr>
                <w:rFonts w:ascii="Times New Roman" w:hAnsi="Times New Roman"/>
                <w:bCs/>
                <w:sz w:val="24"/>
                <w:u w:val="single"/>
              </w:rPr>
            </w:pPr>
            <w:r w:rsidRPr="00D51A68">
              <w:rPr>
                <w:rFonts w:ascii="Times New Roman" w:hAnsi="Times New Roman"/>
                <w:sz w:val="24"/>
                <w:u w:val="single"/>
              </w:rPr>
              <w:t>Articolo 364, paragrafo 3, lettera a).</w:t>
            </w:r>
          </w:p>
          <w:p w:rsidR="000B0B09" w:rsidRPr="00D51A68" w:rsidRDefault="000B0B09" w:rsidP="000B0B09">
            <w:pPr>
              <w:autoSpaceDE w:val="0"/>
              <w:autoSpaceDN w:val="0"/>
              <w:adjustRightInd w:val="0"/>
              <w:spacing w:before="0" w:after="0"/>
              <w:rPr>
                <w:rFonts w:ascii="Times New Roman" w:hAnsi="Times New Roman"/>
                <w:b/>
                <w:bCs/>
                <w:sz w:val="24"/>
                <w:u w:val="single"/>
              </w:rPr>
            </w:pPr>
          </w:p>
        </w:tc>
      </w:tr>
      <w:tr w:rsidR="000B0B09" w:rsidRPr="00D51A68" w:rsidTr="00672D2A">
        <w:tc>
          <w:tcPr>
            <w:tcW w:w="993" w:type="dxa"/>
          </w:tcPr>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120</w:t>
            </w:r>
          </w:p>
        </w:tc>
        <w:tc>
          <w:tcPr>
            <w:tcW w:w="7869" w:type="dxa"/>
          </w:tcPr>
          <w:p w:rsidR="000B0B09" w:rsidRPr="00D51A68" w:rsidRDefault="000B0B09" w:rsidP="000B0B09">
            <w:pPr>
              <w:autoSpaceDE w:val="0"/>
              <w:autoSpaceDN w:val="0"/>
              <w:adjustRightInd w:val="0"/>
              <w:spacing w:before="0" w:after="0"/>
              <w:rPr>
                <w:rFonts w:ascii="Times New Roman" w:hAnsi="Times New Roman"/>
                <w:b/>
                <w:bCs/>
                <w:sz w:val="24"/>
                <w:u w:val="single"/>
              </w:rPr>
            </w:pPr>
            <w:r w:rsidRPr="00D51A68">
              <w:rPr>
                <w:rFonts w:ascii="Times New Roman" w:hAnsi="Times New Roman"/>
                <w:b/>
                <w:sz w:val="24"/>
                <w:u w:val="single"/>
              </w:rPr>
              <w:t>REQUISITI DI FONDI PROPRI</w:t>
            </w:r>
          </w:p>
          <w:p w:rsidR="000B0B09" w:rsidRPr="00D51A68" w:rsidRDefault="000B0B09" w:rsidP="000B0B09">
            <w:pPr>
              <w:autoSpaceDE w:val="0"/>
              <w:autoSpaceDN w:val="0"/>
              <w:adjustRightInd w:val="0"/>
              <w:spacing w:before="0" w:after="0"/>
              <w:rPr>
                <w:rFonts w:ascii="Times New Roman" w:hAnsi="Times New Roman"/>
                <w:b/>
                <w:bCs/>
                <w:sz w:val="24"/>
                <w:u w:val="single"/>
              </w:rPr>
            </w:pPr>
          </w:p>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Requisiti citati nell</w:t>
            </w:r>
            <w:r w:rsidR="0009277C" w:rsidRPr="00D51A68">
              <w:rPr>
                <w:rFonts w:ascii="Times New Roman" w:hAnsi="Times New Roman"/>
                <w:sz w:val="24"/>
              </w:rPr>
              <w:t>’</w:t>
            </w:r>
            <w:r w:rsidRPr="00D51A68">
              <w:rPr>
                <w:rFonts w:ascii="Times New Roman" w:hAnsi="Times New Roman"/>
                <w:sz w:val="24"/>
              </w:rPr>
              <w:t>articolo 364 del CRR per tutti i fattori di rischio, tenuto conto degli effetti di correlazione, ove applicabili, più il rischio incrementale di default e di migrazione e tutti i rischi di prezzo per il CTP, esclusi però le coperture patrimoniali delle posizioni verso la cartolarizzazione e i derivati su crediti di tipo nth-to-default conformemente all</w:t>
            </w:r>
            <w:r w:rsidR="0009277C" w:rsidRPr="00D51A68">
              <w:rPr>
                <w:rFonts w:ascii="Times New Roman" w:hAnsi="Times New Roman"/>
                <w:sz w:val="24"/>
              </w:rPr>
              <w:t>’</w:t>
            </w:r>
            <w:r w:rsidRPr="00D51A68">
              <w:rPr>
                <w:rFonts w:ascii="Times New Roman" w:hAnsi="Times New Roman"/>
                <w:sz w:val="24"/>
              </w:rPr>
              <w:t xml:space="preserve">articolo 364, paragrafo 2, del CRR. </w:t>
            </w:r>
          </w:p>
          <w:p w:rsidR="000B0B09" w:rsidRPr="00D51A68" w:rsidRDefault="000B0B09" w:rsidP="000B0B09">
            <w:pPr>
              <w:autoSpaceDE w:val="0"/>
              <w:autoSpaceDN w:val="0"/>
              <w:adjustRightInd w:val="0"/>
              <w:spacing w:before="0" w:after="0"/>
              <w:rPr>
                <w:rFonts w:ascii="Times New Roman" w:hAnsi="Times New Roman"/>
                <w:b/>
                <w:bCs/>
                <w:sz w:val="16"/>
                <w:szCs w:val="16"/>
                <w:u w:val="single"/>
              </w:rPr>
            </w:pPr>
          </w:p>
        </w:tc>
      </w:tr>
      <w:tr w:rsidR="000B0B09" w:rsidRPr="00D51A68" w:rsidTr="00672D2A">
        <w:tc>
          <w:tcPr>
            <w:tcW w:w="993" w:type="dxa"/>
          </w:tcPr>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130</w:t>
            </w:r>
          </w:p>
        </w:tc>
        <w:tc>
          <w:tcPr>
            <w:tcW w:w="7869" w:type="dxa"/>
          </w:tcPr>
          <w:p w:rsidR="000B0B09" w:rsidRPr="00D51A68" w:rsidRDefault="000B0B09" w:rsidP="000B0B09">
            <w:pPr>
              <w:autoSpaceDE w:val="0"/>
              <w:autoSpaceDN w:val="0"/>
              <w:adjustRightInd w:val="0"/>
              <w:spacing w:before="0" w:after="0"/>
              <w:rPr>
                <w:rFonts w:ascii="Times New Roman" w:hAnsi="Times New Roman"/>
                <w:b/>
                <w:bCs/>
                <w:sz w:val="24"/>
                <w:u w:val="single"/>
              </w:rPr>
            </w:pPr>
            <w:r w:rsidRPr="00D51A68">
              <w:rPr>
                <w:rFonts w:ascii="Times New Roman" w:hAnsi="Times New Roman"/>
                <w:b/>
                <w:sz w:val="24"/>
                <w:u w:val="single"/>
              </w:rPr>
              <w:t>IMPORTO COMPLESSIVO DELL</w:t>
            </w:r>
            <w:r w:rsidR="0009277C" w:rsidRPr="00D51A68">
              <w:rPr>
                <w:rFonts w:ascii="Times New Roman" w:hAnsi="Times New Roman"/>
                <w:b/>
                <w:sz w:val="24"/>
                <w:u w:val="single"/>
              </w:rPr>
              <w:t>’</w:t>
            </w:r>
            <w:r w:rsidRPr="00D51A68">
              <w:rPr>
                <w:rFonts w:ascii="Times New Roman" w:hAnsi="Times New Roman"/>
                <w:b/>
                <w:sz w:val="24"/>
                <w:u w:val="single"/>
              </w:rPr>
              <w:t>ESPOSIZIONE AL RISCHIO</w:t>
            </w:r>
          </w:p>
          <w:p w:rsidR="000B0B09" w:rsidRPr="00D51A68" w:rsidRDefault="000B0B09" w:rsidP="000B0B09">
            <w:pPr>
              <w:autoSpaceDE w:val="0"/>
              <w:autoSpaceDN w:val="0"/>
              <w:adjustRightInd w:val="0"/>
              <w:spacing w:before="0" w:after="0"/>
              <w:rPr>
                <w:rFonts w:ascii="Times New Roman" w:hAnsi="Times New Roman"/>
                <w:b/>
                <w:bCs/>
                <w:sz w:val="24"/>
                <w:u w:val="single"/>
              </w:rPr>
            </w:pPr>
          </w:p>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Articolo 92, paragrafo 4, lettera b), del CRR. Risultato della moltiplicazione dei requisiti di fondi propri per 12,5.</w:t>
            </w:r>
          </w:p>
          <w:p w:rsidR="000B0B09" w:rsidRPr="00D51A68" w:rsidRDefault="000B0B09" w:rsidP="000B0B09">
            <w:pPr>
              <w:autoSpaceDE w:val="0"/>
              <w:autoSpaceDN w:val="0"/>
              <w:adjustRightInd w:val="0"/>
              <w:spacing w:before="0" w:after="0"/>
              <w:rPr>
                <w:rFonts w:ascii="Times New Roman" w:hAnsi="Times New Roman"/>
                <w:b/>
                <w:bCs/>
                <w:sz w:val="16"/>
                <w:szCs w:val="16"/>
                <w:u w:val="single"/>
              </w:rPr>
            </w:pPr>
          </w:p>
        </w:tc>
      </w:tr>
      <w:tr w:rsidR="000B0B09" w:rsidRPr="00D51A68" w:rsidTr="00672D2A">
        <w:tc>
          <w:tcPr>
            <w:tcW w:w="993" w:type="dxa"/>
          </w:tcPr>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140</w:t>
            </w:r>
          </w:p>
        </w:tc>
        <w:tc>
          <w:tcPr>
            <w:tcW w:w="7869" w:type="dxa"/>
          </w:tcPr>
          <w:p w:rsidR="000B0B09" w:rsidRPr="00D51A68" w:rsidRDefault="000B0B09" w:rsidP="000B0B09">
            <w:pPr>
              <w:autoSpaceDE w:val="0"/>
              <w:autoSpaceDN w:val="0"/>
              <w:adjustRightInd w:val="0"/>
              <w:spacing w:before="0" w:after="0"/>
              <w:rPr>
                <w:rFonts w:ascii="Times New Roman" w:hAnsi="Times New Roman"/>
                <w:b/>
                <w:bCs/>
                <w:sz w:val="24"/>
                <w:u w:val="single"/>
              </w:rPr>
            </w:pPr>
            <w:r w:rsidRPr="00D51A68">
              <w:rPr>
                <w:rFonts w:ascii="Times New Roman" w:hAnsi="Times New Roman"/>
                <w:b/>
                <w:sz w:val="24"/>
                <w:u w:val="single"/>
              </w:rPr>
              <w:t>Numero di scostamenti (durante i 250 giorni lavorativi precedenti)</w:t>
            </w:r>
          </w:p>
          <w:p w:rsidR="000B0B09" w:rsidRPr="00D51A68" w:rsidRDefault="000B0B09" w:rsidP="000B0B09">
            <w:pPr>
              <w:autoSpaceDE w:val="0"/>
              <w:autoSpaceDN w:val="0"/>
              <w:adjustRightInd w:val="0"/>
              <w:spacing w:before="0" w:after="0"/>
              <w:rPr>
                <w:rFonts w:ascii="Times New Roman" w:hAnsi="Times New Roman"/>
                <w:sz w:val="24"/>
              </w:rPr>
            </w:pPr>
          </w:p>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Di cui all</w:t>
            </w:r>
            <w:r w:rsidR="0009277C" w:rsidRPr="00D51A68">
              <w:rPr>
                <w:rFonts w:ascii="Times New Roman" w:hAnsi="Times New Roman"/>
                <w:sz w:val="24"/>
              </w:rPr>
              <w:t>’</w:t>
            </w:r>
            <w:r w:rsidRPr="00D51A68">
              <w:rPr>
                <w:rFonts w:ascii="Times New Roman" w:hAnsi="Times New Roman"/>
                <w:sz w:val="24"/>
              </w:rPr>
              <w:t xml:space="preserve">articolo 366 del CRR. </w:t>
            </w:r>
          </w:p>
          <w:p w:rsidR="00A92CFF" w:rsidRPr="00D51A68" w:rsidRDefault="00A92CFF" w:rsidP="000B0B09">
            <w:pPr>
              <w:autoSpaceDE w:val="0"/>
              <w:autoSpaceDN w:val="0"/>
              <w:adjustRightInd w:val="0"/>
              <w:spacing w:before="0" w:after="0"/>
              <w:rPr>
                <w:rFonts w:ascii="Times New Roman" w:hAnsi="Times New Roman"/>
                <w:sz w:val="24"/>
              </w:rPr>
            </w:pPr>
          </w:p>
          <w:p w:rsidR="00A92CFF" w:rsidRPr="00D51A68" w:rsidRDefault="00A92CFF"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È indicato il numero di scostamenti in base al quale è determinato l</w:t>
            </w:r>
            <w:r w:rsidR="0009277C" w:rsidRPr="00D51A68">
              <w:rPr>
                <w:rFonts w:ascii="Times New Roman" w:hAnsi="Times New Roman"/>
                <w:sz w:val="24"/>
              </w:rPr>
              <w:t>’</w:t>
            </w:r>
            <w:r w:rsidRPr="00D51A68">
              <w:rPr>
                <w:rFonts w:ascii="Times New Roman" w:hAnsi="Times New Roman"/>
                <w:sz w:val="24"/>
              </w:rPr>
              <w:t>addendo.</w:t>
            </w:r>
          </w:p>
          <w:p w:rsidR="000B0B09" w:rsidRPr="00D51A68" w:rsidRDefault="000B0B09" w:rsidP="000B0B09">
            <w:pPr>
              <w:autoSpaceDE w:val="0"/>
              <w:autoSpaceDN w:val="0"/>
              <w:adjustRightInd w:val="0"/>
              <w:spacing w:before="0" w:after="0"/>
              <w:rPr>
                <w:rFonts w:ascii="Times New Roman" w:hAnsi="Times New Roman"/>
                <w:b/>
                <w:bCs/>
                <w:sz w:val="24"/>
                <w:u w:val="single"/>
              </w:rPr>
            </w:pPr>
          </w:p>
        </w:tc>
      </w:tr>
      <w:tr w:rsidR="000B0B09" w:rsidRPr="00D51A68" w:rsidTr="00672D2A">
        <w:tc>
          <w:tcPr>
            <w:tcW w:w="993" w:type="dxa"/>
          </w:tcPr>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150-160</w:t>
            </w:r>
          </w:p>
        </w:tc>
        <w:tc>
          <w:tcPr>
            <w:tcW w:w="7869" w:type="dxa"/>
          </w:tcPr>
          <w:p w:rsidR="000B0B09" w:rsidRPr="00D51A68" w:rsidRDefault="000B0B09" w:rsidP="000B0B09">
            <w:pPr>
              <w:autoSpaceDE w:val="0"/>
              <w:autoSpaceDN w:val="0"/>
              <w:adjustRightInd w:val="0"/>
              <w:spacing w:before="0" w:after="0"/>
              <w:rPr>
                <w:rFonts w:ascii="Times New Roman" w:hAnsi="Times New Roman"/>
                <w:b/>
                <w:bCs/>
                <w:sz w:val="24"/>
                <w:u w:val="single"/>
              </w:rPr>
            </w:pPr>
            <w:r w:rsidRPr="00D51A68">
              <w:rPr>
                <w:rFonts w:ascii="Times New Roman" w:hAnsi="Times New Roman"/>
                <w:b/>
                <w:sz w:val="24"/>
                <w:u w:val="single"/>
              </w:rPr>
              <w:t>Fattore moltiplicativo del valore a rischio (mc) e fattore moltiplicativo del valore a rischio in condizioni di stress (ms)</w:t>
            </w:r>
          </w:p>
          <w:p w:rsidR="000B0B09" w:rsidRPr="00D51A68" w:rsidRDefault="000B0B09" w:rsidP="000B0B09">
            <w:pPr>
              <w:autoSpaceDE w:val="0"/>
              <w:autoSpaceDN w:val="0"/>
              <w:adjustRightInd w:val="0"/>
              <w:spacing w:before="0" w:after="0"/>
              <w:rPr>
                <w:rFonts w:ascii="Times New Roman" w:hAnsi="Times New Roman"/>
                <w:sz w:val="24"/>
              </w:rPr>
            </w:pPr>
          </w:p>
          <w:p w:rsidR="000B0B09" w:rsidRPr="00D51A68" w:rsidRDefault="000B0B09" w:rsidP="000B0B09">
            <w:pPr>
              <w:autoSpaceDE w:val="0"/>
              <w:autoSpaceDN w:val="0"/>
              <w:adjustRightInd w:val="0"/>
              <w:spacing w:before="0" w:after="0"/>
              <w:rPr>
                <w:rStyle w:val="InstructionsTabelleberschrift"/>
                <w:rFonts w:ascii="Times New Roman" w:hAnsi="Times New Roman"/>
                <w:sz w:val="24"/>
              </w:rPr>
            </w:pPr>
            <w:r w:rsidRPr="00D51A68">
              <w:rPr>
                <w:rFonts w:ascii="Times New Roman" w:hAnsi="Times New Roman"/>
                <w:sz w:val="24"/>
              </w:rPr>
              <w:t>Di cui all</w:t>
            </w:r>
            <w:r w:rsidR="0009277C" w:rsidRPr="00D51A68">
              <w:rPr>
                <w:rFonts w:ascii="Times New Roman" w:hAnsi="Times New Roman"/>
                <w:sz w:val="24"/>
              </w:rPr>
              <w:t>’</w:t>
            </w:r>
            <w:r w:rsidRPr="00D51A68">
              <w:rPr>
                <w:rFonts w:ascii="Times New Roman" w:hAnsi="Times New Roman"/>
                <w:sz w:val="24"/>
              </w:rPr>
              <w:t>articolo 366 del CRR.</w:t>
            </w:r>
            <w:r w:rsidRPr="00D51A68">
              <w:rPr>
                <w:rStyle w:val="InstructionsTabelleberschrift"/>
                <w:rFonts w:ascii="Times New Roman" w:hAnsi="Times New Roman"/>
                <w:sz w:val="24"/>
              </w:rPr>
              <w:t xml:space="preserve"> </w:t>
            </w:r>
          </w:p>
          <w:p w:rsidR="000B0B09" w:rsidRPr="00D51A68" w:rsidRDefault="000B0B09" w:rsidP="000B0B09">
            <w:pPr>
              <w:autoSpaceDE w:val="0"/>
              <w:autoSpaceDN w:val="0"/>
              <w:adjustRightInd w:val="0"/>
              <w:spacing w:before="0" w:after="0"/>
              <w:rPr>
                <w:rFonts w:ascii="Times New Roman" w:hAnsi="Times New Roman"/>
                <w:b/>
                <w:bCs/>
                <w:sz w:val="24"/>
                <w:u w:val="single"/>
              </w:rPr>
            </w:pPr>
          </w:p>
        </w:tc>
      </w:tr>
      <w:tr w:rsidR="000B0B09" w:rsidRPr="00D51A68" w:rsidTr="00672D2A">
        <w:tc>
          <w:tcPr>
            <w:tcW w:w="993" w:type="dxa"/>
          </w:tcPr>
          <w:p w:rsidR="000B0B09" w:rsidRPr="00D51A68" w:rsidRDefault="000B0B09" w:rsidP="00B74792">
            <w:pPr>
              <w:autoSpaceDE w:val="0"/>
              <w:autoSpaceDN w:val="0"/>
              <w:adjustRightInd w:val="0"/>
              <w:spacing w:before="0" w:after="0"/>
              <w:rPr>
                <w:rFonts w:ascii="Times New Roman" w:hAnsi="Times New Roman"/>
                <w:sz w:val="24"/>
              </w:rPr>
            </w:pPr>
            <w:r w:rsidRPr="00D51A68">
              <w:rPr>
                <w:rFonts w:ascii="Times New Roman" w:hAnsi="Times New Roman"/>
                <w:sz w:val="24"/>
              </w:rPr>
              <w:t>170-180</w:t>
            </w:r>
          </w:p>
        </w:tc>
        <w:tc>
          <w:tcPr>
            <w:tcW w:w="7869" w:type="dxa"/>
          </w:tcPr>
          <w:p w:rsidR="000B0B09" w:rsidRPr="00D51A68" w:rsidRDefault="000B0B09" w:rsidP="000B0B09">
            <w:pPr>
              <w:autoSpaceDE w:val="0"/>
              <w:autoSpaceDN w:val="0"/>
              <w:adjustRightInd w:val="0"/>
              <w:spacing w:before="0" w:after="0"/>
              <w:rPr>
                <w:rFonts w:ascii="Times New Roman" w:hAnsi="Times New Roman"/>
                <w:b/>
                <w:bCs/>
                <w:sz w:val="24"/>
                <w:u w:val="single"/>
              </w:rPr>
            </w:pPr>
            <w:r w:rsidRPr="00D51A68">
              <w:rPr>
                <w:rFonts w:ascii="Times New Roman" w:hAnsi="Times New Roman"/>
                <w:b/>
                <w:sz w:val="24"/>
                <w:u w:val="single"/>
              </w:rPr>
              <w:t>COPERTURA PRESUNTA PER IL REQUISITO MINIMO DEL CTP — POSIZIONI NETTE LUNGHE/CORTE PONDERATE DOPO L</w:t>
            </w:r>
            <w:r w:rsidR="0009277C" w:rsidRPr="00D51A68">
              <w:rPr>
                <w:rFonts w:ascii="Times New Roman" w:hAnsi="Times New Roman"/>
                <w:b/>
                <w:sz w:val="24"/>
                <w:u w:val="single"/>
              </w:rPr>
              <w:t>’</w:t>
            </w:r>
            <w:r w:rsidRPr="00D51A68">
              <w:rPr>
                <w:rFonts w:ascii="Times New Roman" w:hAnsi="Times New Roman"/>
                <w:b/>
                <w:sz w:val="24"/>
                <w:u w:val="single"/>
              </w:rPr>
              <w:t>APPLICAZIONE DEL MASSIMALE</w:t>
            </w:r>
          </w:p>
          <w:p w:rsidR="000B0B09" w:rsidRPr="00D51A68" w:rsidRDefault="000B0B09" w:rsidP="000B0B09">
            <w:pPr>
              <w:autoSpaceDE w:val="0"/>
              <w:autoSpaceDN w:val="0"/>
              <w:adjustRightInd w:val="0"/>
              <w:spacing w:before="0" w:after="0"/>
              <w:rPr>
                <w:rFonts w:ascii="Times New Roman" w:hAnsi="Times New Roman"/>
                <w:b/>
                <w:bCs/>
                <w:sz w:val="24"/>
                <w:u w:val="single"/>
              </w:rPr>
            </w:pPr>
          </w:p>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Gli importi segnalati e che servono da base di calcolo del requisito minimo di copertura patrimoniale per tutti i rischi di prezzo conformemente all</w:t>
            </w:r>
            <w:r w:rsidR="0009277C" w:rsidRPr="00D51A68">
              <w:rPr>
                <w:rFonts w:ascii="Times New Roman" w:hAnsi="Times New Roman"/>
                <w:sz w:val="24"/>
              </w:rPr>
              <w:t>’</w:t>
            </w:r>
            <w:r w:rsidR="00BE76FD" w:rsidRPr="00D51A68">
              <w:rPr>
                <w:rFonts w:ascii="Times New Roman" w:hAnsi="Times New Roman"/>
                <w:sz w:val="24"/>
              </w:rPr>
              <w:t>articolo </w:t>
            </w:r>
            <w:r w:rsidRPr="00D51A68">
              <w:rPr>
                <w:rFonts w:ascii="Times New Roman" w:hAnsi="Times New Roman"/>
                <w:sz w:val="24"/>
              </w:rPr>
              <w:t>364, paragrafo 3, lettera c), del CRR, tengono conto della facoltà di cui all</w:t>
            </w:r>
            <w:r w:rsidR="0009277C" w:rsidRPr="00D51A68">
              <w:rPr>
                <w:rFonts w:ascii="Times New Roman" w:hAnsi="Times New Roman"/>
                <w:sz w:val="24"/>
              </w:rPr>
              <w:t>’</w:t>
            </w:r>
            <w:r w:rsidRPr="00D51A68">
              <w:rPr>
                <w:rFonts w:ascii="Times New Roman" w:hAnsi="Times New Roman"/>
                <w:sz w:val="24"/>
              </w:rPr>
              <w:t xml:space="preserve">articolo 335 del CRR, che permette a un ente di fissare, per il prodotto della posizione ponderata e della posizione netta, un massimale pari alla perdita massima possibile relativa al rischio di default. </w:t>
            </w:r>
          </w:p>
          <w:p w:rsidR="00902EFC" w:rsidRPr="00D51A68" w:rsidRDefault="00902EFC" w:rsidP="000B0B09">
            <w:pPr>
              <w:autoSpaceDE w:val="0"/>
              <w:autoSpaceDN w:val="0"/>
              <w:adjustRightInd w:val="0"/>
              <w:spacing w:before="0" w:after="0"/>
              <w:rPr>
                <w:rStyle w:val="InstructionsTabelleberschrift"/>
                <w:rFonts w:ascii="Times New Roman" w:hAnsi="Times New Roman"/>
                <w:sz w:val="24"/>
              </w:rPr>
            </w:pPr>
          </w:p>
        </w:tc>
      </w:tr>
    </w:tbl>
    <w:p w:rsidR="000B0B09" w:rsidRPr="00D51A68" w:rsidRDefault="000B0B09" w:rsidP="000B0B09">
      <w:pPr>
        <w:rPr>
          <w:rFonts w:ascii="Times New Roman" w:hAnsi="Times New Roman"/>
          <w:sz w:val="16"/>
          <w:szCs w:val="16"/>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0B0B09" w:rsidRPr="00D51A68" w:rsidTr="00672D2A">
        <w:trPr>
          <w:trHeight w:val="566"/>
        </w:trPr>
        <w:tc>
          <w:tcPr>
            <w:tcW w:w="8896" w:type="dxa"/>
            <w:gridSpan w:val="2"/>
            <w:shd w:val="clear" w:color="auto" w:fill="CCCCCC"/>
          </w:tcPr>
          <w:p w:rsidR="000B0B09" w:rsidRPr="00D51A68" w:rsidRDefault="000B0B09" w:rsidP="000B0B09">
            <w:pPr>
              <w:autoSpaceDE w:val="0"/>
              <w:autoSpaceDN w:val="0"/>
              <w:adjustRightInd w:val="0"/>
              <w:spacing w:after="0"/>
              <w:rPr>
                <w:rFonts w:ascii="Times New Roman" w:hAnsi="Times New Roman"/>
                <w:b/>
                <w:sz w:val="24"/>
              </w:rPr>
            </w:pPr>
            <w:r w:rsidRPr="00D51A68">
              <w:rPr>
                <w:rFonts w:ascii="Times New Roman" w:hAnsi="Times New Roman"/>
                <w:b/>
                <w:sz w:val="24"/>
              </w:rPr>
              <w:t>Righe</w:t>
            </w:r>
          </w:p>
        </w:tc>
      </w:tr>
      <w:tr w:rsidR="000B0B09" w:rsidRPr="00D51A68" w:rsidTr="00672D2A">
        <w:tc>
          <w:tcPr>
            <w:tcW w:w="993" w:type="dxa"/>
          </w:tcPr>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010</w:t>
            </w:r>
          </w:p>
        </w:tc>
        <w:tc>
          <w:tcPr>
            <w:tcW w:w="7903" w:type="dxa"/>
          </w:tcPr>
          <w:p w:rsidR="000B0B09" w:rsidRPr="00D51A68" w:rsidRDefault="000B0B09" w:rsidP="000B0B09">
            <w:pPr>
              <w:autoSpaceDE w:val="0"/>
              <w:autoSpaceDN w:val="0"/>
              <w:adjustRightInd w:val="0"/>
              <w:spacing w:before="0" w:after="0"/>
              <w:rPr>
                <w:rFonts w:ascii="Times New Roman" w:hAnsi="Times New Roman"/>
                <w:b/>
                <w:bCs/>
                <w:sz w:val="24"/>
                <w:u w:val="single"/>
              </w:rPr>
            </w:pPr>
            <w:r w:rsidRPr="00D51A68">
              <w:rPr>
                <w:rFonts w:ascii="Times New Roman" w:hAnsi="Times New Roman"/>
                <w:b/>
                <w:sz w:val="24"/>
                <w:u w:val="single"/>
              </w:rPr>
              <w:t>POSIZIONI TOTALI</w:t>
            </w:r>
          </w:p>
          <w:p w:rsidR="000B0B09" w:rsidRPr="00D51A68" w:rsidRDefault="000B0B09" w:rsidP="000B0B09">
            <w:pPr>
              <w:autoSpaceDE w:val="0"/>
              <w:autoSpaceDN w:val="0"/>
              <w:adjustRightInd w:val="0"/>
              <w:spacing w:before="0" w:after="0"/>
              <w:rPr>
                <w:rFonts w:ascii="Times New Roman" w:hAnsi="Times New Roman"/>
                <w:b/>
                <w:bCs/>
                <w:sz w:val="16"/>
                <w:szCs w:val="16"/>
                <w:u w:val="single"/>
              </w:rPr>
            </w:pPr>
          </w:p>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Parte del rischio di posizione, di cambio e di posizione in merci di cui all</w:t>
            </w:r>
            <w:r w:rsidR="0009277C" w:rsidRPr="00D51A68">
              <w:rPr>
                <w:rFonts w:ascii="Times New Roman" w:hAnsi="Times New Roman"/>
                <w:sz w:val="24"/>
              </w:rPr>
              <w:t>’</w:t>
            </w:r>
            <w:r w:rsidRPr="00D51A68">
              <w:rPr>
                <w:rFonts w:ascii="Times New Roman" w:hAnsi="Times New Roman"/>
                <w:sz w:val="24"/>
              </w:rPr>
              <w:t>articolo 363, paragrafo 1, del CRR correlata ai fattori di rischio specificati nell</w:t>
            </w:r>
            <w:r w:rsidR="0009277C" w:rsidRPr="00D51A68">
              <w:rPr>
                <w:rFonts w:ascii="Times New Roman" w:hAnsi="Times New Roman"/>
                <w:sz w:val="24"/>
              </w:rPr>
              <w:t>’</w:t>
            </w:r>
            <w:r w:rsidRPr="00D51A68">
              <w:rPr>
                <w:rFonts w:ascii="Times New Roman" w:hAnsi="Times New Roman"/>
                <w:sz w:val="24"/>
              </w:rPr>
              <w:t xml:space="preserve">articolo 367, paragrafo 2, del CRR. </w:t>
            </w:r>
          </w:p>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 xml:space="preserve">Nelle colonne da 030 a 060 (VaR e SVaR), la cifra segnalata nella riga del totale non è uguale alla scomposizione delle cifre del VaR/SVaR delle pertinenti componenti del rischio; pertanto la scomposizione corrisponde a voci per memoria. </w:t>
            </w:r>
          </w:p>
          <w:p w:rsidR="000B0B09" w:rsidRPr="00D51A68" w:rsidRDefault="000B0B09" w:rsidP="000B0B09">
            <w:pPr>
              <w:autoSpaceDE w:val="0"/>
              <w:autoSpaceDN w:val="0"/>
              <w:adjustRightInd w:val="0"/>
              <w:spacing w:before="0" w:after="0"/>
              <w:rPr>
                <w:rFonts w:ascii="Times New Roman" w:hAnsi="Times New Roman"/>
                <w:sz w:val="24"/>
              </w:rPr>
            </w:pPr>
          </w:p>
        </w:tc>
      </w:tr>
      <w:tr w:rsidR="000B0B09" w:rsidRPr="00D51A68" w:rsidTr="00672D2A">
        <w:tc>
          <w:tcPr>
            <w:tcW w:w="993" w:type="dxa"/>
          </w:tcPr>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020</w:t>
            </w:r>
          </w:p>
        </w:tc>
        <w:tc>
          <w:tcPr>
            <w:tcW w:w="7903" w:type="dxa"/>
          </w:tcPr>
          <w:p w:rsidR="000B0B09" w:rsidRPr="00D51A68" w:rsidRDefault="000B0B09" w:rsidP="000B0B09">
            <w:pPr>
              <w:autoSpaceDE w:val="0"/>
              <w:autoSpaceDN w:val="0"/>
              <w:adjustRightInd w:val="0"/>
              <w:spacing w:before="0" w:after="0"/>
              <w:rPr>
                <w:rFonts w:ascii="Times New Roman" w:hAnsi="Times New Roman"/>
                <w:b/>
                <w:bCs/>
                <w:sz w:val="24"/>
                <w:u w:val="single"/>
              </w:rPr>
            </w:pPr>
            <w:r w:rsidRPr="00D51A68">
              <w:rPr>
                <w:rFonts w:ascii="Times New Roman" w:hAnsi="Times New Roman"/>
                <w:b/>
                <w:sz w:val="24"/>
                <w:u w:val="single"/>
              </w:rPr>
              <w:t>STRUMENTI DI DEBITO NEGOZIATI</w:t>
            </w:r>
          </w:p>
          <w:p w:rsidR="000B0B09" w:rsidRPr="00D51A68" w:rsidRDefault="000B0B09" w:rsidP="000B0B09">
            <w:pPr>
              <w:autoSpaceDE w:val="0"/>
              <w:autoSpaceDN w:val="0"/>
              <w:adjustRightInd w:val="0"/>
              <w:spacing w:before="0" w:after="0"/>
              <w:rPr>
                <w:rFonts w:ascii="Times New Roman" w:hAnsi="Times New Roman"/>
                <w:b/>
                <w:bCs/>
                <w:sz w:val="24"/>
                <w:u w:val="single"/>
              </w:rPr>
            </w:pPr>
          </w:p>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Parte del rischio di posizione di cui all</w:t>
            </w:r>
            <w:r w:rsidR="0009277C" w:rsidRPr="00D51A68">
              <w:rPr>
                <w:rFonts w:ascii="Times New Roman" w:hAnsi="Times New Roman"/>
                <w:sz w:val="24"/>
              </w:rPr>
              <w:t>’</w:t>
            </w:r>
            <w:r w:rsidRPr="00D51A68">
              <w:rPr>
                <w:rFonts w:ascii="Times New Roman" w:hAnsi="Times New Roman"/>
                <w:sz w:val="24"/>
              </w:rPr>
              <w:t>articolo 363, paragrafo 1, del CRR correlata ai fattori di rischio di tasso d</w:t>
            </w:r>
            <w:r w:rsidR="0009277C" w:rsidRPr="00D51A68">
              <w:rPr>
                <w:rFonts w:ascii="Times New Roman" w:hAnsi="Times New Roman"/>
                <w:sz w:val="24"/>
              </w:rPr>
              <w:t>’</w:t>
            </w:r>
            <w:r w:rsidRPr="00D51A68">
              <w:rPr>
                <w:rFonts w:ascii="Times New Roman" w:hAnsi="Times New Roman"/>
                <w:sz w:val="24"/>
              </w:rPr>
              <w:t>interesse specificati nell</w:t>
            </w:r>
            <w:r w:rsidR="0009277C" w:rsidRPr="00D51A68">
              <w:rPr>
                <w:rFonts w:ascii="Times New Roman" w:hAnsi="Times New Roman"/>
                <w:sz w:val="24"/>
              </w:rPr>
              <w:t>’</w:t>
            </w:r>
            <w:r w:rsidRPr="00D51A68">
              <w:rPr>
                <w:rFonts w:ascii="Times New Roman" w:hAnsi="Times New Roman"/>
                <w:sz w:val="24"/>
              </w:rPr>
              <w:t xml:space="preserve">articolo 367, paragrafo 2, del CRR. </w:t>
            </w:r>
          </w:p>
        </w:tc>
      </w:tr>
      <w:tr w:rsidR="000B0B09" w:rsidRPr="00D51A68" w:rsidTr="00672D2A">
        <w:tc>
          <w:tcPr>
            <w:tcW w:w="993" w:type="dxa"/>
          </w:tcPr>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030</w:t>
            </w:r>
          </w:p>
        </w:tc>
        <w:tc>
          <w:tcPr>
            <w:tcW w:w="7903" w:type="dxa"/>
          </w:tcPr>
          <w:p w:rsidR="000B0B09" w:rsidRPr="00D51A68" w:rsidRDefault="000B0B09" w:rsidP="000B0B09">
            <w:pPr>
              <w:autoSpaceDE w:val="0"/>
              <w:autoSpaceDN w:val="0"/>
              <w:adjustRightInd w:val="0"/>
              <w:spacing w:before="0" w:after="0"/>
              <w:rPr>
                <w:rFonts w:ascii="Times New Roman" w:hAnsi="Times New Roman"/>
                <w:b/>
                <w:bCs/>
                <w:sz w:val="24"/>
                <w:u w:val="single"/>
              </w:rPr>
            </w:pPr>
            <w:r w:rsidRPr="00D51A68">
              <w:rPr>
                <w:rFonts w:ascii="Times New Roman" w:hAnsi="Times New Roman"/>
                <w:b/>
                <w:sz w:val="24"/>
                <w:u w:val="single"/>
              </w:rPr>
              <w:t>STRUMENTO DI DEBITO NEGOZIATI — RISCHIO GENERICO</w:t>
            </w:r>
          </w:p>
          <w:p w:rsidR="000B0B09" w:rsidRPr="00D51A68" w:rsidRDefault="000B0B09" w:rsidP="000B0B09">
            <w:pPr>
              <w:autoSpaceDE w:val="0"/>
              <w:autoSpaceDN w:val="0"/>
              <w:adjustRightInd w:val="0"/>
              <w:spacing w:before="0" w:after="0"/>
              <w:rPr>
                <w:rFonts w:ascii="Times New Roman" w:hAnsi="Times New Roman"/>
                <w:sz w:val="24"/>
              </w:rPr>
            </w:pPr>
          </w:p>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Rischio generico così come definito nell</w:t>
            </w:r>
            <w:r w:rsidR="0009277C" w:rsidRPr="00D51A68">
              <w:rPr>
                <w:rFonts w:ascii="Times New Roman" w:hAnsi="Times New Roman"/>
                <w:sz w:val="24"/>
              </w:rPr>
              <w:t>’</w:t>
            </w:r>
            <w:r w:rsidRPr="00D51A68">
              <w:rPr>
                <w:rFonts w:ascii="Times New Roman" w:hAnsi="Times New Roman"/>
                <w:sz w:val="24"/>
              </w:rPr>
              <w:t xml:space="preserve">articolo 362 del CRR. </w:t>
            </w:r>
          </w:p>
        </w:tc>
      </w:tr>
      <w:tr w:rsidR="000B0B09" w:rsidRPr="00D51A68" w:rsidTr="00672D2A">
        <w:tc>
          <w:tcPr>
            <w:tcW w:w="993" w:type="dxa"/>
          </w:tcPr>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040</w:t>
            </w:r>
          </w:p>
        </w:tc>
        <w:tc>
          <w:tcPr>
            <w:tcW w:w="7903" w:type="dxa"/>
          </w:tcPr>
          <w:p w:rsidR="000B0B09" w:rsidRPr="00D51A68" w:rsidRDefault="000B0B09" w:rsidP="000B0B09">
            <w:pPr>
              <w:autoSpaceDE w:val="0"/>
              <w:autoSpaceDN w:val="0"/>
              <w:adjustRightInd w:val="0"/>
              <w:spacing w:before="0" w:after="0"/>
              <w:rPr>
                <w:rFonts w:ascii="Times New Roman" w:hAnsi="Times New Roman"/>
                <w:b/>
                <w:bCs/>
                <w:sz w:val="24"/>
                <w:u w:val="single"/>
              </w:rPr>
            </w:pPr>
            <w:r w:rsidRPr="00D51A68">
              <w:rPr>
                <w:rFonts w:ascii="Times New Roman" w:hAnsi="Times New Roman"/>
                <w:b/>
                <w:sz w:val="24"/>
                <w:u w:val="single"/>
              </w:rPr>
              <w:t>STRUMENTO DI DEBITO NEGOZIATI — RISCHIO SPECIFICO</w:t>
            </w:r>
          </w:p>
          <w:p w:rsidR="000B0B09" w:rsidRPr="00D51A68" w:rsidRDefault="000B0B09" w:rsidP="000B0B09">
            <w:pPr>
              <w:autoSpaceDE w:val="0"/>
              <w:autoSpaceDN w:val="0"/>
              <w:adjustRightInd w:val="0"/>
              <w:spacing w:before="0" w:after="0"/>
              <w:rPr>
                <w:rFonts w:ascii="Times New Roman" w:hAnsi="Times New Roman"/>
                <w:sz w:val="24"/>
              </w:rPr>
            </w:pPr>
          </w:p>
          <w:p w:rsidR="000B0B09" w:rsidRPr="00D51A68" w:rsidRDefault="000B0B09" w:rsidP="000B0B09">
            <w:pPr>
              <w:autoSpaceDE w:val="0"/>
              <w:autoSpaceDN w:val="0"/>
              <w:adjustRightInd w:val="0"/>
              <w:spacing w:before="0" w:after="0"/>
              <w:rPr>
                <w:rFonts w:ascii="Times New Roman" w:hAnsi="Times New Roman"/>
                <w:b/>
                <w:bCs/>
                <w:sz w:val="24"/>
                <w:u w:val="single"/>
              </w:rPr>
            </w:pPr>
            <w:r w:rsidRPr="00D51A68">
              <w:rPr>
                <w:rFonts w:ascii="Times New Roman" w:hAnsi="Times New Roman"/>
                <w:sz w:val="24"/>
              </w:rPr>
              <w:t>Rischio specifico così come definito nell</w:t>
            </w:r>
            <w:r w:rsidR="0009277C" w:rsidRPr="00D51A68">
              <w:rPr>
                <w:rFonts w:ascii="Times New Roman" w:hAnsi="Times New Roman"/>
                <w:sz w:val="24"/>
              </w:rPr>
              <w:t>’</w:t>
            </w:r>
            <w:r w:rsidRPr="00D51A68">
              <w:rPr>
                <w:rFonts w:ascii="Times New Roman" w:hAnsi="Times New Roman"/>
                <w:sz w:val="24"/>
              </w:rPr>
              <w:t xml:space="preserve">articolo 362 del CRR. </w:t>
            </w:r>
          </w:p>
        </w:tc>
      </w:tr>
      <w:tr w:rsidR="000B0B09" w:rsidRPr="00D51A68" w:rsidTr="00672D2A">
        <w:tc>
          <w:tcPr>
            <w:tcW w:w="993" w:type="dxa"/>
          </w:tcPr>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050</w:t>
            </w:r>
          </w:p>
        </w:tc>
        <w:tc>
          <w:tcPr>
            <w:tcW w:w="7903" w:type="dxa"/>
          </w:tcPr>
          <w:p w:rsidR="000B0B09" w:rsidRPr="00D51A68" w:rsidRDefault="000B0B09" w:rsidP="000B0B09">
            <w:pPr>
              <w:autoSpaceDE w:val="0"/>
              <w:autoSpaceDN w:val="0"/>
              <w:adjustRightInd w:val="0"/>
              <w:spacing w:before="0" w:after="0"/>
              <w:rPr>
                <w:rFonts w:ascii="Times New Roman" w:hAnsi="Times New Roman"/>
                <w:b/>
                <w:bCs/>
                <w:sz w:val="24"/>
                <w:u w:val="single"/>
              </w:rPr>
            </w:pPr>
            <w:r w:rsidRPr="00D51A68">
              <w:rPr>
                <w:rFonts w:ascii="Times New Roman" w:hAnsi="Times New Roman"/>
                <w:b/>
                <w:sz w:val="24"/>
                <w:u w:val="single"/>
              </w:rPr>
              <w:t>STRUMENTI DI CAPITALE</w:t>
            </w:r>
          </w:p>
          <w:p w:rsidR="000B0B09" w:rsidRPr="00D51A68" w:rsidRDefault="000B0B09" w:rsidP="000B0B09">
            <w:pPr>
              <w:autoSpaceDE w:val="0"/>
              <w:autoSpaceDN w:val="0"/>
              <w:adjustRightInd w:val="0"/>
              <w:spacing w:before="0" w:after="0"/>
              <w:rPr>
                <w:rFonts w:ascii="Times New Roman" w:hAnsi="Times New Roman"/>
                <w:sz w:val="24"/>
              </w:rPr>
            </w:pPr>
          </w:p>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Parte del rischio di posizione di cui all</w:t>
            </w:r>
            <w:r w:rsidR="0009277C" w:rsidRPr="00D51A68">
              <w:rPr>
                <w:rFonts w:ascii="Times New Roman" w:hAnsi="Times New Roman"/>
                <w:sz w:val="24"/>
              </w:rPr>
              <w:t>’</w:t>
            </w:r>
            <w:r w:rsidRPr="00D51A68">
              <w:rPr>
                <w:rFonts w:ascii="Times New Roman" w:hAnsi="Times New Roman"/>
                <w:sz w:val="24"/>
              </w:rPr>
              <w:t>articolo 363, paragrafo 1, del CRR correlata ai fattori di rischio di strumenti di capitale specificati nell</w:t>
            </w:r>
            <w:r w:rsidR="0009277C" w:rsidRPr="00D51A68">
              <w:rPr>
                <w:rFonts w:ascii="Times New Roman" w:hAnsi="Times New Roman"/>
                <w:sz w:val="24"/>
              </w:rPr>
              <w:t>’</w:t>
            </w:r>
            <w:r w:rsidR="00BE76FD" w:rsidRPr="00D51A68">
              <w:rPr>
                <w:rFonts w:ascii="Times New Roman" w:hAnsi="Times New Roman"/>
                <w:sz w:val="24"/>
              </w:rPr>
              <w:t>articolo </w:t>
            </w:r>
            <w:r w:rsidRPr="00D51A68">
              <w:rPr>
                <w:rFonts w:ascii="Times New Roman" w:hAnsi="Times New Roman"/>
                <w:sz w:val="24"/>
              </w:rPr>
              <w:t xml:space="preserve">367, paragrafo 2, del CRR. </w:t>
            </w:r>
          </w:p>
          <w:p w:rsidR="000B0B09" w:rsidRPr="00D51A68" w:rsidRDefault="000B0B09" w:rsidP="000B0B09">
            <w:pPr>
              <w:autoSpaceDE w:val="0"/>
              <w:autoSpaceDN w:val="0"/>
              <w:adjustRightInd w:val="0"/>
              <w:spacing w:before="0" w:after="0"/>
              <w:rPr>
                <w:rFonts w:ascii="Times New Roman" w:hAnsi="Times New Roman"/>
                <w:b/>
                <w:bCs/>
                <w:sz w:val="24"/>
                <w:u w:val="single"/>
              </w:rPr>
            </w:pPr>
          </w:p>
        </w:tc>
      </w:tr>
      <w:tr w:rsidR="000B0B09" w:rsidRPr="00D51A68" w:rsidTr="00672D2A">
        <w:tc>
          <w:tcPr>
            <w:tcW w:w="993" w:type="dxa"/>
          </w:tcPr>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060</w:t>
            </w:r>
          </w:p>
        </w:tc>
        <w:tc>
          <w:tcPr>
            <w:tcW w:w="7903" w:type="dxa"/>
          </w:tcPr>
          <w:p w:rsidR="000B0B09" w:rsidRPr="00D51A68" w:rsidRDefault="000B0B09" w:rsidP="000B0B09">
            <w:pPr>
              <w:autoSpaceDE w:val="0"/>
              <w:autoSpaceDN w:val="0"/>
              <w:adjustRightInd w:val="0"/>
              <w:spacing w:before="0" w:after="0"/>
              <w:rPr>
                <w:rFonts w:ascii="Times New Roman" w:hAnsi="Times New Roman"/>
                <w:b/>
                <w:bCs/>
                <w:sz w:val="24"/>
                <w:u w:val="single"/>
              </w:rPr>
            </w:pPr>
            <w:r w:rsidRPr="00D51A68">
              <w:rPr>
                <w:rFonts w:ascii="Times New Roman" w:hAnsi="Times New Roman"/>
                <w:b/>
                <w:sz w:val="24"/>
                <w:u w:val="single"/>
              </w:rPr>
              <w:t>STRUMENTI DI CAPITALE — RISCHIO GENERICO</w:t>
            </w:r>
          </w:p>
          <w:p w:rsidR="000B0B09" w:rsidRPr="00D51A68" w:rsidRDefault="000B0B09" w:rsidP="000B0B09">
            <w:pPr>
              <w:autoSpaceDE w:val="0"/>
              <w:autoSpaceDN w:val="0"/>
              <w:adjustRightInd w:val="0"/>
              <w:spacing w:before="0" w:after="0"/>
              <w:rPr>
                <w:rFonts w:ascii="Times New Roman" w:hAnsi="Times New Roman"/>
                <w:b/>
                <w:bCs/>
                <w:sz w:val="24"/>
                <w:u w:val="single"/>
              </w:rPr>
            </w:pPr>
          </w:p>
          <w:p w:rsidR="000B0B09" w:rsidRPr="00D51A68" w:rsidRDefault="000B0B09" w:rsidP="000B0B09">
            <w:pPr>
              <w:autoSpaceDE w:val="0"/>
              <w:autoSpaceDN w:val="0"/>
              <w:adjustRightInd w:val="0"/>
              <w:spacing w:before="0" w:after="0"/>
              <w:rPr>
                <w:rFonts w:ascii="Times New Roman" w:hAnsi="Times New Roman"/>
                <w:b/>
                <w:bCs/>
                <w:sz w:val="24"/>
                <w:u w:val="single"/>
              </w:rPr>
            </w:pPr>
            <w:r w:rsidRPr="00D51A68">
              <w:rPr>
                <w:rFonts w:ascii="Times New Roman" w:hAnsi="Times New Roman"/>
                <w:sz w:val="24"/>
              </w:rPr>
              <w:t>Rischio generico così come definito nell</w:t>
            </w:r>
            <w:r w:rsidR="0009277C" w:rsidRPr="00D51A68">
              <w:rPr>
                <w:rFonts w:ascii="Times New Roman" w:hAnsi="Times New Roman"/>
                <w:sz w:val="24"/>
              </w:rPr>
              <w:t>’</w:t>
            </w:r>
            <w:r w:rsidRPr="00D51A68">
              <w:rPr>
                <w:rFonts w:ascii="Times New Roman" w:hAnsi="Times New Roman"/>
                <w:sz w:val="24"/>
              </w:rPr>
              <w:t>articolo 362 del CRR.</w:t>
            </w:r>
          </w:p>
        </w:tc>
      </w:tr>
      <w:tr w:rsidR="000B0B09" w:rsidRPr="00D51A68" w:rsidTr="00672D2A">
        <w:tc>
          <w:tcPr>
            <w:tcW w:w="993" w:type="dxa"/>
          </w:tcPr>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070</w:t>
            </w:r>
          </w:p>
        </w:tc>
        <w:tc>
          <w:tcPr>
            <w:tcW w:w="7903" w:type="dxa"/>
          </w:tcPr>
          <w:p w:rsidR="000B0B09" w:rsidRPr="00D51A68" w:rsidRDefault="000B0B09" w:rsidP="000B0B09">
            <w:pPr>
              <w:autoSpaceDE w:val="0"/>
              <w:autoSpaceDN w:val="0"/>
              <w:adjustRightInd w:val="0"/>
              <w:spacing w:before="0" w:after="0"/>
              <w:rPr>
                <w:rFonts w:ascii="Times New Roman" w:hAnsi="Times New Roman"/>
                <w:b/>
                <w:bCs/>
                <w:sz w:val="24"/>
                <w:u w:val="single"/>
              </w:rPr>
            </w:pPr>
            <w:r w:rsidRPr="00D51A68">
              <w:rPr>
                <w:rFonts w:ascii="Times New Roman" w:hAnsi="Times New Roman"/>
                <w:b/>
                <w:sz w:val="24"/>
                <w:u w:val="single"/>
              </w:rPr>
              <w:t>STRUMENTI DI CAPITALE — RISCHIO SPECIFICO</w:t>
            </w:r>
          </w:p>
          <w:p w:rsidR="000B0B09" w:rsidRPr="00D51A68" w:rsidRDefault="000B0B09" w:rsidP="000B0B09">
            <w:pPr>
              <w:autoSpaceDE w:val="0"/>
              <w:autoSpaceDN w:val="0"/>
              <w:adjustRightInd w:val="0"/>
              <w:spacing w:before="0" w:after="0"/>
              <w:rPr>
                <w:rFonts w:ascii="Times New Roman" w:hAnsi="Times New Roman"/>
                <w:b/>
                <w:bCs/>
                <w:sz w:val="24"/>
                <w:u w:val="single"/>
              </w:rPr>
            </w:pPr>
          </w:p>
          <w:p w:rsidR="000B0B09" w:rsidRPr="00D51A68" w:rsidRDefault="000B0B09" w:rsidP="000B0B09">
            <w:pPr>
              <w:autoSpaceDE w:val="0"/>
              <w:autoSpaceDN w:val="0"/>
              <w:adjustRightInd w:val="0"/>
              <w:spacing w:before="0" w:after="0"/>
              <w:rPr>
                <w:rFonts w:ascii="Times New Roman" w:hAnsi="Times New Roman"/>
                <w:b/>
                <w:bCs/>
                <w:sz w:val="24"/>
                <w:u w:val="single"/>
              </w:rPr>
            </w:pPr>
            <w:r w:rsidRPr="00D51A68">
              <w:rPr>
                <w:rFonts w:ascii="Times New Roman" w:hAnsi="Times New Roman"/>
                <w:sz w:val="24"/>
              </w:rPr>
              <w:t>Rischio specifico così come definito nell</w:t>
            </w:r>
            <w:r w:rsidR="0009277C" w:rsidRPr="00D51A68">
              <w:rPr>
                <w:rFonts w:ascii="Times New Roman" w:hAnsi="Times New Roman"/>
                <w:sz w:val="24"/>
              </w:rPr>
              <w:t>’</w:t>
            </w:r>
            <w:r w:rsidRPr="00D51A68">
              <w:rPr>
                <w:rFonts w:ascii="Times New Roman" w:hAnsi="Times New Roman"/>
                <w:sz w:val="24"/>
              </w:rPr>
              <w:t xml:space="preserve">articolo 362 del CRR. </w:t>
            </w:r>
          </w:p>
        </w:tc>
      </w:tr>
      <w:tr w:rsidR="000B0B09" w:rsidRPr="00D51A68" w:rsidTr="00672D2A">
        <w:tc>
          <w:tcPr>
            <w:tcW w:w="993" w:type="dxa"/>
          </w:tcPr>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080</w:t>
            </w:r>
          </w:p>
        </w:tc>
        <w:tc>
          <w:tcPr>
            <w:tcW w:w="7903" w:type="dxa"/>
          </w:tcPr>
          <w:p w:rsidR="000B0B09" w:rsidRPr="00D51A68" w:rsidRDefault="000B0B09" w:rsidP="000B0B09">
            <w:pPr>
              <w:autoSpaceDE w:val="0"/>
              <w:autoSpaceDN w:val="0"/>
              <w:adjustRightInd w:val="0"/>
              <w:spacing w:before="0" w:after="0"/>
              <w:rPr>
                <w:rFonts w:ascii="Times New Roman" w:hAnsi="Times New Roman"/>
                <w:b/>
                <w:bCs/>
                <w:sz w:val="24"/>
                <w:u w:val="single"/>
              </w:rPr>
            </w:pPr>
            <w:r w:rsidRPr="00D51A68">
              <w:rPr>
                <w:rFonts w:ascii="Times New Roman" w:hAnsi="Times New Roman"/>
                <w:b/>
                <w:sz w:val="24"/>
                <w:u w:val="single"/>
              </w:rPr>
              <w:t>RISCHIO DI CAMBIO</w:t>
            </w:r>
          </w:p>
          <w:p w:rsidR="000B0B09" w:rsidRPr="00D51A68" w:rsidRDefault="000B0B09" w:rsidP="000B0B09">
            <w:pPr>
              <w:autoSpaceDE w:val="0"/>
              <w:autoSpaceDN w:val="0"/>
              <w:adjustRightInd w:val="0"/>
              <w:spacing w:before="0" w:after="0"/>
              <w:rPr>
                <w:rFonts w:ascii="Times New Roman" w:hAnsi="Times New Roman"/>
                <w:b/>
                <w:bCs/>
                <w:sz w:val="24"/>
                <w:u w:val="single"/>
              </w:rPr>
            </w:pPr>
          </w:p>
          <w:p w:rsidR="000B0B09" w:rsidRPr="00D51A68" w:rsidRDefault="000B0B09" w:rsidP="000B0B09">
            <w:pPr>
              <w:autoSpaceDE w:val="0"/>
              <w:autoSpaceDN w:val="0"/>
              <w:adjustRightInd w:val="0"/>
              <w:spacing w:before="0" w:after="0"/>
              <w:rPr>
                <w:rFonts w:ascii="Times New Roman" w:hAnsi="Times New Roman"/>
                <w:b/>
                <w:bCs/>
                <w:sz w:val="24"/>
                <w:u w:val="single"/>
              </w:rPr>
            </w:pPr>
            <w:r w:rsidRPr="00D51A68">
              <w:rPr>
                <w:rFonts w:ascii="Times New Roman" w:hAnsi="Times New Roman"/>
                <w:sz w:val="24"/>
              </w:rPr>
              <w:t>Articolo 363, paragrafo 1, e articolo 367, paragrafo 2, del CRR.</w:t>
            </w:r>
          </w:p>
        </w:tc>
      </w:tr>
      <w:tr w:rsidR="000B0B09" w:rsidRPr="00D51A68" w:rsidTr="00672D2A">
        <w:tc>
          <w:tcPr>
            <w:tcW w:w="993" w:type="dxa"/>
          </w:tcPr>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090</w:t>
            </w:r>
          </w:p>
        </w:tc>
        <w:tc>
          <w:tcPr>
            <w:tcW w:w="7903" w:type="dxa"/>
          </w:tcPr>
          <w:p w:rsidR="000B0B09" w:rsidRPr="00D51A68" w:rsidRDefault="000B0B09" w:rsidP="000B0B09">
            <w:pPr>
              <w:autoSpaceDE w:val="0"/>
              <w:autoSpaceDN w:val="0"/>
              <w:adjustRightInd w:val="0"/>
              <w:spacing w:before="0" w:after="0"/>
              <w:rPr>
                <w:rFonts w:ascii="Times New Roman" w:hAnsi="Times New Roman"/>
                <w:b/>
                <w:bCs/>
                <w:sz w:val="24"/>
                <w:u w:val="single"/>
              </w:rPr>
            </w:pPr>
            <w:r w:rsidRPr="00D51A68">
              <w:rPr>
                <w:rFonts w:ascii="Times New Roman" w:hAnsi="Times New Roman"/>
                <w:b/>
                <w:sz w:val="24"/>
                <w:u w:val="single"/>
              </w:rPr>
              <w:t>RISCHIO DI POSIZIONE IN MERCI</w:t>
            </w:r>
          </w:p>
          <w:p w:rsidR="000B0B09" w:rsidRPr="00D51A68" w:rsidRDefault="000B0B09" w:rsidP="000B0B09">
            <w:pPr>
              <w:autoSpaceDE w:val="0"/>
              <w:autoSpaceDN w:val="0"/>
              <w:adjustRightInd w:val="0"/>
              <w:spacing w:before="0" w:after="0"/>
              <w:rPr>
                <w:rFonts w:ascii="Times New Roman" w:hAnsi="Times New Roman"/>
                <w:b/>
                <w:bCs/>
                <w:sz w:val="24"/>
                <w:u w:val="single"/>
              </w:rPr>
            </w:pPr>
          </w:p>
          <w:p w:rsidR="000B0B09" w:rsidRPr="00D51A68" w:rsidRDefault="000B0B09" w:rsidP="000B0B09">
            <w:pPr>
              <w:autoSpaceDE w:val="0"/>
              <w:autoSpaceDN w:val="0"/>
              <w:adjustRightInd w:val="0"/>
              <w:spacing w:before="0" w:after="0"/>
              <w:rPr>
                <w:rFonts w:ascii="Times New Roman" w:hAnsi="Times New Roman"/>
                <w:b/>
                <w:bCs/>
                <w:sz w:val="24"/>
                <w:u w:val="single"/>
              </w:rPr>
            </w:pPr>
            <w:r w:rsidRPr="00D51A68">
              <w:rPr>
                <w:rFonts w:ascii="Times New Roman" w:hAnsi="Times New Roman"/>
                <w:sz w:val="24"/>
              </w:rPr>
              <w:t xml:space="preserve">Articolo 363, paragrafo 1, e articolo 367, paragrafo 2, del CRR. </w:t>
            </w:r>
          </w:p>
        </w:tc>
      </w:tr>
      <w:tr w:rsidR="000B0B09" w:rsidRPr="00D51A68" w:rsidTr="00672D2A">
        <w:tc>
          <w:tcPr>
            <w:tcW w:w="993" w:type="dxa"/>
          </w:tcPr>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100</w:t>
            </w:r>
          </w:p>
        </w:tc>
        <w:tc>
          <w:tcPr>
            <w:tcW w:w="7903" w:type="dxa"/>
          </w:tcPr>
          <w:p w:rsidR="000B0B09" w:rsidRPr="00D51A68" w:rsidRDefault="000B0B09" w:rsidP="000B0B09">
            <w:pPr>
              <w:autoSpaceDE w:val="0"/>
              <w:autoSpaceDN w:val="0"/>
              <w:adjustRightInd w:val="0"/>
              <w:spacing w:before="0" w:after="0"/>
              <w:rPr>
                <w:rFonts w:ascii="Times New Roman" w:hAnsi="Times New Roman"/>
                <w:b/>
                <w:bCs/>
                <w:sz w:val="24"/>
                <w:u w:val="single"/>
              </w:rPr>
            </w:pPr>
            <w:r w:rsidRPr="00D51A68">
              <w:rPr>
                <w:rFonts w:ascii="Times New Roman" w:hAnsi="Times New Roman"/>
                <w:b/>
                <w:sz w:val="24"/>
                <w:u w:val="single"/>
              </w:rPr>
              <w:t>IMPORTO COMPLESSIVO PER IL RISCHIO GENERICO</w:t>
            </w:r>
          </w:p>
          <w:p w:rsidR="000B0B09" w:rsidRPr="00D51A68" w:rsidRDefault="000B0B09" w:rsidP="000B0B09">
            <w:pPr>
              <w:autoSpaceDE w:val="0"/>
              <w:autoSpaceDN w:val="0"/>
              <w:adjustRightInd w:val="0"/>
              <w:spacing w:before="0" w:after="0"/>
              <w:rPr>
                <w:rStyle w:val="InstructionsTabelleText"/>
                <w:rFonts w:ascii="Times New Roman" w:hAnsi="Times New Roman"/>
                <w:sz w:val="24"/>
              </w:rPr>
            </w:pPr>
          </w:p>
          <w:p w:rsidR="000B0B09" w:rsidRPr="00D51A68" w:rsidRDefault="000B0B09" w:rsidP="000B0B09">
            <w:pPr>
              <w:autoSpaceDE w:val="0"/>
              <w:autoSpaceDN w:val="0"/>
              <w:adjustRightInd w:val="0"/>
              <w:spacing w:before="0" w:after="0"/>
              <w:rPr>
                <w:rStyle w:val="InstructionsTabelleText"/>
                <w:rFonts w:ascii="Times New Roman" w:hAnsi="Times New Roman"/>
                <w:sz w:val="24"/>
              </w:rPr>
            </w:pPr>
            <w:r w:rsidRPr="00D51A68">
              <w:rPr>
                <w:rStyle w:val="InstructionsTabelleText"/>
                <w:rFonts w:ascii="Times New Roman" w:hAnsi="Times New Roman"/>
                <w:sz w:val="24"/>
              </w:rPr>
              <w:t xml:space="preserve">Rischio di mercato dovuto a movimenti generali di mercato di strumenti di debito negoziati, strumenti di capitale, cambio e merci. VaR del rischio generico di tutti i fattori di rischio (tenuto conto degli effetti di correlazione, ove applicabili). </w:t>
            </w:r>
          </w:p>
          <w:p w:rsidR="000B0B09" w:rsidRPr="00D51A68" w:rsidRDefault="000B0B09" w:rsidP="000B0B09">
            <w:pPr>
              <w:autoSpaceDE w:val="0"/>
              <w:autoSpaceDN w:val="0"/>
              <w:adjustRightInd w:val="0"/>
              <w:spacing w:before="0" w:after="0"/>
              <w:rPr>
                <w:rFonts w:ascii="Times New Roman" w:hAnsi="Times New Roman"/>
                <w:b/>
                <w:bCs/>
                <w:sz w:val="24"/>
                <w:u w:val="single"/>
              </w:rPr>
            </w:pPr>
            <w:r w:rsidRPr="00D51A68">
              <w:rPr>
                <w:rFonts w:ascii="Times New Roman" w:hAnsi="Times New Roman"/>
                <w:b/>
                <w:sz w:val="24"/>
                <w:u w:val="single"/>
              </w:rPr>
              <w:t xml:space="preserve"> </w:t>
            </w:r>
          </w:p>
        </w:tc>
      </w:tr>
      <w:tr w:rsidR="000B0B09" w:rsidRPr="00D51A68" w:rsidTr="00672D2A">
        <w:tc>
          <w:tcPr>
            <w:tcW w:w="993" w:type="dxa"/>
          </w:tcPr>
          <w:p w:rsidR="000B0B09" w:rsidRPr="00D51A68" w:rsidRDefault="000B0B09" w:rsidP="000B0B09">
            <w:pPr>
              <w:autoSpaceDE w:val="0"/>
              <w:autoSpaceDN w:val="0"/>
              <w:adjustRightInd w:val="0"/>
              <w:spacing w:before="0" w:after="0"/>
              <w:rPr>
                <w:rFonts w:ascii="Times New Roman" w:hAnsi="Times New Roman"/>
                <w:sz w:val="24"/>
              </w:rPr>
            </w:pPr>
            <w:r w:rsidRPr="00D51A68">
              <w:rPr>
                <w:rFonts w:ascii="Times New Roman" w:hAnsi="Times New Roman"/>
                <w:sz w:val="24"/>
              </w:rPr>
              <w:t>110</w:t>
            </w:r>
          </w:p>
          <w:p w:rsidR="000B0B09" w:rsidRPr="00D51A68" w:rsidRDefault="000B0B09" w:rsidP="000B0B09">
            <w:pPr>
              <w:jc w:val="center"/>
              <w:rPr>
                <w:rFonts w:ascii="Times New Roman" w:hAnsi="Times New Roman"/>
                <w:sz w:val="24"/>
              </w:rPr>
            </w:pPr>
          </w:p>
        </w:tc>
        <w:tc>
          <w:tcPr>
            <w:tcW w:w="7903" w:type="dxa"/>
          </w:tcPr>
          <w:p w:rsidR="000B0B09" w:rsidRPr="00D51A68" w:rsidRDefault="000B0B09" w:rsidP="000B0B09">
            <w:pPr>
              <w:autoSpaceDE w:val="0"/>
              <w:autoSpaceDN w:val="0"/>
              <w:adjustRightInd w:val="0"/>
              <w:spacing w:before="0" w:after="0"/>
              <w:rPr>
                <w:rFonts w:ascii="Times New Roman" w:hAnsi="Times New Roman"/>
                <w:b/>
                <w:bCs/>
                <w:sz w:val="24"/>
                <w:u w:val="single"/>
              </w:rPr>
            </w:pPr>
            <w:r w:rsidRPr="00D51A68">
              <w:rPr>
                <w:rFonts w:ascii="Times New Roman" w:hAnsi="Times New Roman"/>
                <w:b/>
                <w:sz w:val="24"/>
                <w:u w:val="single"/>
              </w:rPr>
              <w:t>IMPORTO COMPLESSIVO PER IL RISCHIO SPECIFICO</w:t>
            </w:r>
          </w:p>
          <w:p w:rsidR="000B0B09" w:rsidRPr="00D51A68" w:rsidRDefault="000B0B09" w:rsidP="000B0B09">
            <w:pPr>
              <w:autoSpaceDE w:val="0"/>
              <w:autoSpaceDN w:val="0"/>
              <w:adjustRightInd w:val="0"/>
              <w:spacing w:before="0" w:after="0"/>
              <w:rPr>
                <w:rStyle w:val="InstructionsTabelleText"/>
                <w:rFonts w:ascii="Times New Roman" w:hAnsi="Times New Roman"/>
                <w:sz w:val="24"/>
              </w:rPr>
            </w:pPr>
          </w:p>
          <w:p w:rsidR="000B0B09" w:rsidRPr="00D51A68" w:rsidRDefault="000B0B09" w:rsidP="000B0B09">
            <w:pPr>
              <w:autoSpaceDE w:val="0"/>
              <w:autoSpaceDN w:val="0"/>
              <w:adjustRightInd w:val="0"/>
              <w:spacing w:before="0" w:after="0"/>
              <w:rPr>
                <w:rFonts w:ascii="Times New Roman" w:hAnsi="Times New Roman"/>
                <w:b/>
                <w:bCs/>
                <w:sz w:val="24"/>
                <w:u w:val="single"/>
              </w:rPr>
            </w:pPr>
            <w:r w:rsidRPr="00D51A68">
              <w:rPr>
                <w:rStyle w:val="InstructionsTabelleText"/>
                <w:rFonts w:ascii="Times New Roman" w:hAnsi="Times New Roman"/>
                <w:sz w:val="24"/>
              </w:rPr>
              <w:t>Componente del rischio specifico di strumenti di debito negoziati e strumenti di capitale. VaR del rischio specifico degli strumenti di capitale e strumenti di debito negoziati interni al portafoglio di negoziazione (tenuto conto degli effetti di correlazione, ove applicabili).</w:t>
            </w:r>
          </w:p>
        </w:tc>
      </w:tr>
    </w:tbl>
    <w:p w:rsidR="000B0B09" w:rsidRPr="00D51A68" w:rsidRDefault="000B0B09">
      <w:pPr>
        <w:spacing w:before="0" w:after="0"/>
        <w:jc w:val="left"/>
        <w:rPr>
          <w:rStyle w:val="InstructionsTabelleText"/>
          <w:rFonts w:ascii="Times New Roman" w:hAnsi="Times New Roman"/>
          <w:sz w:val="24"/>
        </w:rPr>
      </w:pPr>
    </w:p>
    <w:p w:rsidR="000B0B09" w:rsidRPr="00D51A68" w:rsidRDefault="00125707" w:rsidP="0023700C">
      <w:pPr>
        <w:pStyle w:val="Instructionsberschrift2"/>
        <w:numPr>
          <w:ilvl w:val="0"/>
          <w:numId w:val="0"/>
        </w:numPr>
        <w:ind w:left="357" w:hanging="357"/>
        <w:rPr>
          <w:rFonts w:ascii="Times New Roman" w:hAnsi="Times New Roman" w:cs="Times New Roman"/>
          <w:sz w:val="24"/>
        </w:rPr>
      </w:pPr>
      <w:bookmarkStart w:id="766" w:name="_Toc360188413"/>
      <w:bookmarkStart w:id="767" w:name="_Toc516210704"/>
      <w:bookmarkStart w:id="768" w:name="_Toc473561053"/>
      <w:bookmarkStart w:id="769" w:name="_Toc524096649"/>
      <w:r w:rsidRPr="00D51A68">
        <w:rPr>
          <w:rFonts w:ascii="Times New Roman" w:hAnsi="Times New Roman"/>
          <w:sz w:val="24"/>
          <w:u w:val="none"/>
        </w:rPr>
        <w:t>5.8.</w:t>
      </w:r>
      <w:r w:rsidR="00A0772B" w:rsidRPr="00D51A68">
        <w:rPr>
          <w:u w:val="none"/>
        </w:rPr>
        <w:tab/>
      </w:r>
      <w:r w:rsidRPr="00D51A68">
        <w:rPr>
          <w:rFonts w:ascii="Times New Roman" w:hAnsi="Times New Roman"/>
          <w:sz w:val="24"/>
        </w:rPr>
        <w:t>C 25.00 — RISCHIO DI AGGIUSTAMENTO DELLA VALUTAZIONE DEL CREDITO</w:t>
      </w:r>
      <w:bookmarkEnd w:id="766"/>
      <w:r w:rsidRPr="00D51A68">
        <w:rPr>
          <w:rFonts w:ascii="Times New Roman" w:hAnsi="Times New Roman"/>
          <w:sz w:val="24"/>
        </w:rPr>
        <w:t xml:space="preserve"> (CVA)</w:t>
      </w:r>
      <w:bookmarkEnd w:id="767"/>
      <w:bookmarkEnd w:id="768"/>
      <w:bookmarkEnd w:id="769"/>
    </w:p>
    <w:p w:rsidR="000B0B09" w:rsidRPr="00D51A68" w:rsidRDefault="00125707" w:rsidP="0023700C">
      <w:pPr>
        <w:pStyle w:val="Instructionsberschrift2"/>
        <w:numPr>
          <w:ilvl w:val="0"/>
          <w:numId w:val="0"/>
        </w:numPr>
        <w:ind w:left="357" w:hanging="357"/>
        <w:rPr>
          <w:rFonts w:ascii="Times New Roman" w:hAnsi="Times New Roman" w:cs="Times New Roman"/>
          <w:sz w:val="24"/>
        </w:rPr>
      </w:pPr>
      <w:bookmarkStart w:id="770" w:name="_Toc360188414"/>
      <w:bookmarkStart w:id="771" w:name="_Toc516210705"/>
      <w:bookmarkStart w:id="772" w:name="_Toc473561054"/>
      <w:bookmarkStart w:id="773" w:name="_Toc524096650"/>
      <w:bookmarkStart w:id="774" w:name="_Toc310008820"/>
      <w:r w:rsidRPr="00D51A68">
        <w:rPr>
          <w:rFonts w:ascii="Times New Roman" w:hAnsi="Times New Roman"/>
          <w:sz w:val="24"/>
          <w:u w:val="none"/>
        </w:rPr>
        <w:t>5.8.1.</w:t>
      </w:r>
      <w:r w:rsidR="00A0772B" w:rsidRPr="00D51A68">
        <w:rPr>
          <w:u w:val="none"/>
        </w:rPr>
        <w:tab/>
      </w:r>
      <w:r w:rsidRPr="00D51A68">
        <w:rPr>
          <w:rFonts w:ascii="Times New Roman" w:hAnsi="Times New Roman"/>
          <w:sz w:val="24"/>
        </w:rPr>
        <w:t>Istruzioni relative a posizioni specifiche</w:t>
      </w:r>
      <w:bookmarkEnd w:id="770"/>
      <w:bookmarkEnd w:id="771"/>
      <w:bookmarkEnd w:id="772"/>
      <w:bookmarkEnd w:id="77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D51A68" w:rsidTr="00672D2A">
        <w:tc>
          <w:tcPr>
            <w:tcW w:w="8856" w:type="dxa"/>
            <w:gridSpan w:val="2"/>
            <w:shd w:val="clear" w:color="auto" w:fill="CCCCCC"/>
          </w:tcPr>
          <w:p w:rsidR="000B0B09" w:rsidRPr="00D51A68" w:rsidRDefault="000B0B09" w:rsidP="000B0B09">
            <w:pPr>
              <w:rPr>
                <w:rFonts w:ascii="Times New Roman" w:hAnsi="Times New Roman"/>
                <w:b/>
                <w:sz w:val="24"/>
              </w:rPr>
            </w:pPr>
            <w:r w:rsidRPr="00D51A68">
              <w:rPr>
                <w:rFonts w:ascii="Times New Roman" w:hAnsi="Times New Roman"/>
                <w:b/>
                <w:sz w:val="24"/>
              </w:rPr>
              <w:t>Colonne</w:t>
            </w:r>
          </w:p>
        </w:tc>
      </w:tr>
      <w:tr w:rsidR="000B0B09" w:rsidRPr="00D51A68" w:rsidTr="00672D2A">
        <w:tc>
          <w:tcPr>
            <w:tcW w:w="852" w:type="dxa"/>
          </w:tcPr>
          <w:p w:rsidR="000B0B09" w:rsidRPr="00D51A68" w:rsidRDefault="000B0B09" w:rsidP="000B0B09">
            <w:pPr>
              <w:rPr>
                <w:rFonts w:ascii="Times New Roman" w:hAnsi="Times New Roman"/>
                <w:sz w:val="24"/>
              </w:rPr>
            </w:pPr>
            <w:r w:rsidRPr="00D51A68">
              <w:rPr>
                <w:rFonts w:ascii="Times New Roman" w:hAnsi="Times New Roman"/>
                <w:sz w:val="24"/>
              </w:rPr>
              <w:t>010</w:t>
            </w:r>
          </w:p>
        </w:tc>
        <w:tc>
          <w:tcPr>
            <w:tcW w:w="8004" w:type="dxa"/>
          </w:tcPr>
          <w:p w:rsidR="000B0B09" w:rsidRPr="00D51A68" w:rsidRDefault="000B0B09" w:rsidP="000B0B09">
            <w:pPr>
              <w:rPr>
                <w:rFonts w:ascii="Times New Roman" w:hAnsi="Times New Roman"/>
                <w:b/>
                <w:bCs/>
                <w:sz w:val="24"/>
                <w:u w:val="single"/>
              </w:rPr>
            </w:pPr>
            <w:r w:rsidRPr="00D51A68">
              <w:rPr>
                <w:rFonts w:ascii="Times New Roman" w:hAnsi="Times New Roman"/>
                <w:b/>
                <w:sz w:val="24"/>
                <w:u w:val="single"/>
              </w:rPr>
              <w:t>Valore dell</w:t>
            </w:r>
            <w:r w:rsidR="0009277C" w:rsidRPr="00D51A68">
              <w:rPr>
                <w:rFonts w:ascii="Times New Roman" w:hAnsi="Times New Roman"/>
                <w:b/>
                <w:sz w:val="24"/>
                <w:u w:val="single"/>
              </w:rPr>
              <w:t>’</w:t>
            </w:r>
            <w:r w:rsidRPr="00D51A68">
              <w:rPr>
                <w:rFonts w:ascii="Times New Roman" w:hAnsi="Times New Roman"/>
                <w:b/>
                <w:sz w:val="24"/>
                <w:u w:val="single"/>
              </w:rPr>
              <w:t xml:space="preserve">esposizione </w:t>
            </w:r>
          </w:p>
          <w:p w:rsidR="000B0B09" w:rsidRPr="00D51A68" w:rsidRDefault="000B0B09" w:rsidP="000B0B09">
            <w:pPr>
              <w:rPr>
                <w:rFonts w:ascii="Times New Roman" w:hAnsi="Times New Roman"/>
                <w:sz w:val="24"/>
              </w:rPr>
            </w:pPr>
            <w:r w:rsidRPr="00D51A68">
              <w:rPr>
                <w:rFonts w:ascii="Times New Roman" w:hAnsi="Times New Roman"/>
                <w:sz w:val="24"/>
              </w:rPr>
              <w:t>Articolo 271 del CRR, conformemente all</w:t>
            </w:r>
            <w:r w:rsidR="0009277C" w:rsidRPr="00D51A68">
              <w:rPr>
                <w:rFonts w:ascii="Times New Roman" w:hAnsi="Times New Roman"/>
                <w:sz w:val="24"/>
              </w:rPr>
              <w:t>’</w:t>
            </w:r>
            <w:r w:rsidRPr="00D51A68">
              <w:rPr>
                <w:rFonts w:ascii="Times New Roman" w:hAnsi="Times New Roman"/>
                <w:sz w:val="24"/>
              </w:rPr>
              <w:t>articolo 382 del CRR.</w:t>
            </w:r>
          </w:p>
          <w:p w:rsidR="000B0B09" w:rsidRPr="00D51A68" w:rsidRDefault="000B0B09" w:rsidP="000B0B09">
            <w:pPr>
              <w:rPr>
                <w:rFonts w:ascii="Times New Roman" w:hAnsi="Times New Roman"/>
                <w:sz w:val="24"/>
              </w:rPr>
            </w:pPr>
            <w:r w:rsidRPr="00D51A68">
              <w:rPr>
                <w:rFonts w:ascii="Times New Roman" w:hAnsi="Times New Roman"/>
                <w:sz w:val="24"/>
              </w:rPr>
              <w:t xml:space="preserve">EAD totale di tutte le operazioni soggette a copertura del rischio di CVA. </w:t>
            </w:r>
          </w:p>
        </w:tc>
      </w:tr>
      <w:tr w:rsidR="000B0B09" w:rsidRPr="00D51A68" w:rsidTr="00672D2A">
        <w:tc>
          <w:tcPr>
            <w:tcW w:w="852" w:type="dxa"/>
          </w:tcPr>
          <w:p w:rsidR="000B0B09" w:rsidRPr="00D51A68" w:rsidRDefault="000B0B09" w:rsidP="000B0B09">
            <w:pPr>
              <w:rPr>
                <w:rFonts w:ascii="Times New Roman" w:hAnsi="Times New Roman"/>
                <w:sz w:val="24"/>
              </w:rPr>
            </w:pPr>
            <w:r w:rsidRPr="00D51A68">
              <w:rPr>
                <w:rFonts w:ascii="Times New Roman" w:hAnsi="Times New Roman"/>
                <w:sz w:val="24"/>
              </w:rPr>
              <w:t>020</w:t>
            </w:r>
          </w:p>
        </w:tc>
        <w:tc>
          <w:tcPr>
            <w:tcW w:w="8004" w:type="dxa"/>
          </w:tcPr>
          <w:p w:rsidR="000B0B09" w:rsidRPr="00D51A68" w:rsidRDefault="000B0B09" w:rsidP="000B0B09">
            <w:pPr>
              <w:rPr>
                <w:rFonts w:ascii="Times New Roman" w:hAnsi="Times New Roman"/>
                <w:b/>
                <w:bCs/>
                <w:sz w:val="24"/>
                <w:u w:val="single"/>
              </w:rPr>
            </w:pPr>
            <w:r w:rsidRPr="00D51A68">
              <w:rPr>
                <w:rFonts w:ascii="Times New Roman" w:hAnsi="Times New Roman"/>
                <w:b/>
                <w:sz w:val="24"/>
                <w:u w:val="single"/>
              </w:rPr>
              <w:t xml:space="preserve">di cui: derivati OTC </w:t>
            </w:r>
          </w:p>
          <w:p w:rsidR="000B0B09" w:rsidRPr="00D51A68" w:rsidRDefault="000B0B09" w:rsidP="000B0B09">
            <w:pPr>
              <w:rPr>
                <w:rFonts w:ascii="Times New Roman" w:hAnsi="Times New Roman"/>
                <w:sz w:val="24"/>
              </w:rPr>
            </w:pPr>
            <w:r w:rsidRPr="00D51A68">
              <w:rPr>
                <w:rFonts w:ascii="Times New Roman" w:hAnsi="Times New Roman"/>
                <w:sz w:val="24"/>
              </w:rPr>
              <w:t>Articolo 271 del CRR in combinato disposto con l</w:t>
            </w:r>
            <w:r w:rsidR="0009277C" w:rsidRPr="00D51A68">
              <w:rPr>
                <w:rFonts w:ascii="Times New Roman" w:hAnsi="Times New Roman"/>
                <w:sz w:val="24"/>
              </w:rPr>
              <w:t>’</w:t>
            </w:r>
            <w:r w:rsidRPr="00D51A68">
              <w:rPr>
                <w:rFonts w:ascii="Times New Roman" w:hAnsi="Times New Roman"/>
                <w:sz w:val="24"/>
              </w:rPr>
              <w:t>articolo 382, paragrafo 1, del CRR.</w:t>
            </w:r>
          </w:p>
          <w:p w:rsidR="000B0B09" w:rsidRPr="00D51A68" w:rsidRDefault="000B0B09" w:rsidP="000B0B09">
            <w:pPr>
              <w:rPr>
                <w:rFonts w:ascii="Times New Roman" w:hAnsi="Times New Roman"/>
                <w:sz w:val="24"/>
              </w:rPr>
            </w:pPr>
            <w:r w:rsidRPr="00D51A68">
              <w:rPr>
                <w:rFonts w:ascii="Times New Roman" w:hAnsi="Times New Roman"/>
                <w:sz w:val="24"/>
              </w:rPr>
              <w:t>Parte dell</w:t>
            </w:r>
            <w:r w:rsidR="0009277C" w:rsidRPr="00D51A68">
              <w:rPr>
                <w:rFonts w:ascii="Times New Roman" w:hAnsi="Times New Roman"/>
                <w:sz w:val="24"/>
              </w:rPr>
              <w:t>’</w:t>
            </w:r>
            <w:r w:rsidRPr="00D51A68">
              <w:rPr>
                <w:rFonts w:ascii="Times New Roman" w:hAnsi="Times New Roman"/>
                <w:sz w:val="24"/>
              </w:rPr>
              <w:t>esposizione totale al rischio di controparte dovuta esclusivamente a derivati OTC. Gli enti che utilizzano il metodo dei modelli interni e detengono derivati OTC e operazioni di finanziamento tramite titoli nel medesimo insieme di attività soggette a compensazione non sono tenuti a segnalare questa informazione.</w:t>
            </w:r>
          </w:p>
        </w:tc>
      </w:tr>
      <w:tr w:rsidR="000B0B09" w:rsidRPr="00D51A68" w:rsidTr="00672D2A">
        <w:tc>
          <w:tcPr>
            <w:tcW w:w="852" w:type="dxa"/>
          </w:tcPr>
          <w:p w:rsidR="000B0B09" w:rsidRPr="00D51A68" w:rsidRDefault="000B0B09" w:rsidP="000B0B09">
            <w:pPr>
              <w:rPr>
                <w:rFonts w:ascii="Times New Roman" w:hAnsi="Times New Roman"/>
                <w:sz w:val="24"/>
              </w:rPr>
            </w:pPr>
            <w:r w:rsidRPr="00D51A68">
              <w:rPr>
                <w:rFonts w:ascii="Times New Roman" w:hAnsi="Times New Roman"/>
                <w:sz w:val="24"/>
              </w:rPr>
              <w:t>030</w:t>
            </w:r>
          </w:p>
        </w:tc>
        <w:tc>
          <w:tcPr>
            <w:tcW w:w="8004" w:type="dxa"/>
          </w:tcPr>
          <w:p w:rsidR="000B0B09" w:rsidRPr="00D51A68" w:rsidRDefault="000B0B09" w:rsidP="000B0B09">
            <w:pPr>
              <w:rPr>
                <w:rFonts w:ascii="Times New Roman" w:hAnsi="Times New Roman"/>
                <w:b/>
                <w:bCs/>
                <w:sz w:val="24"/>
                <w:u w:val="single"/>
              </w:rPr>
            </w:pPr>
            <w:r w:rsidRPr="00D51A68">
              <w:rPr>
                <w:rFonts w:ascii="Times New Roman" w:hAnsi="Times New Roman"/>
                <w:b/>
                <w:sz w:val="24"/>
                <w:u w:val="single"/>
              </w:rPr>
              <w:t xml:space="preserve">di cui: operazioni di finanziamento tramite titoli </w:t>
            </w:r>
          </w:p>
          <w:p w:rsidR="000B0B09" w:rsidRPr="00D51A68" w:rsidRDefault="000B0B09" w:rsidP="000B0B09">
            <w:pPr>
              <w:rPr>
                <w:rFonts w:ascii="Times New Roman" w:hAnsi="Times New Roman"/>
                <w:sz w:val="24"/>
              </w:rPr>
            </w:pPr>
            <w:r w:rsidRPr="00D51A68">
              <w:rPr>
                <w:rFonts w:ascii="Times New Roman" w:hAnsi="Times New Roman"/>
                <w:sz w:val="24"/>
              </w:rPr>
              <w:t>Articolo 271 del CRR in combinato disposto con l</w:t>
            </w:r>
            <w:r w:rsidR="0009277C" w:rsidRPr="00D51A68">
              <w:rPr>
                <w:rFonts w:ascii="Times New Roman" w:hAnsi="Times New Roman"/>
                <w:sz w:val="24"/>
              </w:rPr>
              <w:t>’</w:t>
            </w:r>
            <w:r w:rsidRPr="00D51A68">
              <w:rPr>
                <w:rFonts w:ascii="Times New Roman" w:hAnsi="Times New Roman"/>
                <w:sz w:val="24"/>
              </w:rPr>
              <w:t>articolo 382, paragrafo 2, del CRR.</w:t>
            </w:r>
          </w:p>
          <w:p w:rsidR="000B0B09" w:rsidRPr="00D51A68" w:rsidRDefault="000B0B09" w:rsidP="000B0B09">
            <w:pPr>
              <w:rPr>
                <w:rFonts w:ascii="Times New Roman" w:hAnsi="Times New Roman"/>
                <w:sz w:val="24"/>
              </w:rPr>
            </w:pPr>
            <w:r w:rsidRPr="00D51A68">
              <w:rPr>
                <w:rFonts w:ascii="Times New Roman" w:hAnsi="Times New Roman"/>
                <w:sz w:val="24"/>
              </w:rPr>
              <w:t>La parte dell</w:t>
            </w:r>
            <w:r w:rsidR="0009277C" w:rsidRPr="00D51A68">
              <w:rPr>
                <w:rFonts w:ascii="Times New Roman" w:hAnsi="Times New Roman"/>
                <w:sz w:val="24"/>
              </w:rPr>
              <w:t>’</w:t>
            </w:r>
            <w:r w:rsidRPr="00D51A68">
              <w:rPr>
                <w:rFonts w:ascii="Times New Roman" w:hAnsi="Times New Roman"/>
                <w:sz w:val="24"/>
              </w:rPr>
              <w:t>esposizione totale al rischio di controparte dovuta esclusivamente a derivati su operazioni di finanziamento tramite titoli. Gli enti che utilizzano il metodo dei modelli interni e detengono derivati OTC e operazioni di finanziamento tramite titoli nel medesimo insieme di attività soggette a compensazione non sono tenuti a segnalare questa informazione.</w:t>
            </w:r>
          </w:p>
        </w:tc>
      </w:tr>
      <w:tr w:rsidR="000B0B09" w:rsidRPr="00D51A68" w:rsidTr="00672D2A">
        <w:tc>
          <w:tcPr>
            <w:tcW w:w="852" w:type="dxa"/>
          </w:tcPr>
          <w:p w:rsidR="000B0B09" w:rsidRPr="00D51A68" w:rsidRDefault="000B0B09" w:rsidP="000B0B09">
            <w:pPr>
              <w:rPr>
                <w:rFonts w:ascii="Times New Roman" w:hAnsi="Times New Roman"/>
                <w:sz w:val="24"/>
              </w:rPr>
            </w:pPr>
            <w:r w:rsidRPr="00D51A68">
              <w:rPr>
                <w:rFonts w:ascii="Times New Roman" w:hAnsi="Times New Roman"/>
                <w:sz w:val="24"/>
              </w:rPr>
              <w:t>040</w:t>
            </w:r>
          </w:p>
        </w:tc>
        <w:tc>
          <w:tcPr>
            <w:tcW w:w="8004" w:type="dxa"/>
          </w:tcPr>
          <w:p w:rsidR="000B0B09" w:rsidRPr="00D51A68" w:rsidRDefault="000B0B09" w:rsidP="000B0B09">
            <w:pPr>
              <w:rPr>
                <w:rFonts w:ascii="Times New Roman" w:hAnsi="Times New Roman"/>
                <w:b/>
                <w:sz w:val="24"/>
                <w:u w:val="single"/>
              </w:rPr>
            </w:pPr>
            <w:r w:rsidRPr="00D51A68">
              <w:rPr>
                <w:rFonts w:ascii="Times New Roman" w:hAnsi="Times New Roman"/>
                <w:b/>
                <w:sz w:val="24"/>
                <w:u w:val="single"/>
              </w:rPr>
              <w:t>FATTORE MOLTIPLICATIVO (mc) x MEDIA DEI 60 GIORNI LAVORATIVI PRECEDENTI (VaRavg)</w:t>
            </w:r>
          </w:p>
          <w:p w:rsidR="000B0B09" w:rsidRPr="00D51A68" w:rsidRDefault="000B0B09" w:rsidP="000B0B09">
            <w:pPr>
              <w:rPr>
                <w:rFonts w:ascii="Times New Roman" w:hAnsi="Times New Roman"/>
                <w:sz w:val="24"/>
              </w:rPr>
            </w:pPr>
            <w:r w:rsidRPr="00D51A68">
              <w:rPr>
                <w:rFonts w:ascii="Times New Roman" w:hAnsi="Times New Roman"/>
                <w:sz w:val="24"/>
              </w:rPr>
              <w:t>Articolo 383 del CRR, conformemente all</w:t>
            </w:r>
            <w:r w:rsidR="0009277C" w:rsidRPr="00D51A68">
              <w:rPr>
                <w:rFonts w:ascii="Times New Roman" w:hAnsi="Times New Roman"/>
                <w:sz w:val="24"/>
              </w:rPr>
              <w:t>’</w:t>
            </w:r>
            <w:r w:rsidRPr="00D51A68">
              <w:rPr>
                <w:rFonts w:ascii="Times New Roman" w:hAnsi="Times New Roman"/>
                <w:sz w:val="24"/>
              </w:rPr>
              <w:t>articolo 363, paragrafo 1, lettera d), del CRR.</w:t>
            </w:r>
          </w:p>
          <w:p w:rsidR="000B0B09" w:rsidRPr="00D51A68" w:rsidRDefault="000B0B09" w:rsidP="000B0B09">
            <w:pPr>
              <w:rPr>
                <w:rFonts w:ascii="Times New Roman" w:hAnsi="Times New Roman"/>
                <w:sz w:val="24"/>
              </w:rPr>
            </w:pPr>
            <w:r w:rsidRPr="00D51A68">
              <w:rPr>
                <w:rFonts w:ascii="Times New Roman" w:hAnsi="Times New Roman"/>
                <w:sz w:val="24"/>
              </w:rPr>
              <w:t xml:space="preserve">Calcolo del valore a rischio basato sui modelli interni per il rischio di mercato. </w:t>
            </w:r>
          </w:p>
        </w:tc>
      </w:tr>
      <w:tr w:rsidR="000B0B09" w:rsidRPr="00D51A68" w:rsidTr="00672D2A">
        <w:tc>
          <w:tcPr>
            <w:tcW w:w="852" w:type="dxa"/>
          </w:tcPr>
          <w:p w:rsidR="000B0B09" w:rsidRPr="00D51A68" w:rsidRDefault="000B0B09" w:rsidP="000B0B09">
            <w:pPr>
              <w:rPr>
                <w:rFonts w:ascii="Times New Roman" w:hAnsi="Times New Roman"/>
                <w:sz w:val="24"/>
              </w:rPr>
            </w:pPr>
            <w:r w:rsidRPr="00D51A68">
              <w:rPr>
                <w:rFonts w:ascii="Times New Roman" w:hAnsi="Times New Roman"/>
                <w:sz w:val="24"/>
              </w:rPr>
              <w:t>050</w:t>
            </w:r>
          </w:p>
        </w:tc>
        <w:tc>
          <w:tcPr>
            <w:tcW w:w="8004" w:type="dxa"/>
          </w:tcPr>
          <w:p w:rsidR="000B0B09" w:rsidRPr="00D51A68" w:rsidRDefault="000B0B09" w:rsidP="000B0B09">
            <w:pPr>
              <w:rPr>
                <w:rFonts w:ascii="Times New Roman" w:hAnsi="Times New Roman"/>
                <w:b/>
                <w:bCs/>
                <w:sz w:val="24"/>
                <w:u w:val="single"/>
              </w:rPr>
            </w:pPr>
            <w:r w:rsidRPr="00D51A68">
              <w:rPr>
                <w:rFonts w:ascii="Times New Roman" w:hAnsi="Times New Roman"/>
                <w:b/>
                <w:sz w:val="24"/>
                <w:u w:val="single"/>
              </w:rPr>
              <w:t>GIORNO PRECEDENTE (VaRt-1)</w:t>
            </w:r>
          </w:p>
          <w:p w:rsidR="000B0B09" w:rsidRPr="00D51A68" w:rsidRDefault="000B0B09" w:rsidP="000B0B09">
            <w:pPr>
              <w:rPr>
                <w:rFonts w:ascii="Times New Roman" w:hAnsi="Times New Roman"/>
                <w:sz w:val="24"/>
              </w:rPr>
            </w:pPr>
            <w:r w:rsidRPr="00D51A68">
              <w:rPr>
                <w:rFonts w:ascii="Times New Roman" w:hAnsi="Times New Roman"/>
                <w:sz w:val="24"/>
              </w:rPr>
              <w:t>Cfr. le istruzioni relative alla colonna 040.</w:t>
            </w:r>
          </w:p>
        </w:tc>
      </w:tr>
      <w:tr w:rsidR="000B0B09" w:rsidRPr="00D51A68" w:rsidTr="00672D2A">
        <w:tc>
          <w:tcPr>
            <w:tcW w:w="852" w:type="dxa"/>
          </w:tcPr>
          <w:p w:rsidR="000B0B09" w:rsidRPr="00D51A68" w:rsidRDefault="000B0B09" w:rsidP="000B0B09">
            <w:pPr>
              <w:rPr>
                <w:rFonts w:ascii="Times New Roman" w:hAnsi="Times New Roman"/>
                <w:sz w:val="24"/>
              </w:rPr>
            </w:pPr>
            <w:r w:rsidRPr="00D51A68">
              <w:rPr>
                <w:rFonts w:ascii="Times New Roman" w:hAnsi="Times New Roman"/>
                <w:sz w:val="24"/>
              </w:rPr>
              <w:t>060</w:t>
            </w:r>
          </w:p>
        </w:tc>
        <w:tc>
          <w:tcPr>
            <w:tcW w:w="8004" w:type="dxa"/>
          </w:tcPr>
          <w:p w:rsidR="000B0B09" w:rsidRPr="00D51A68" w:rsidRDefault="000B0B09" w:rsidP="000B0B09">
            <w:pPr>
              <w:rPr>
                <w:rFonts w:ascii="Times New Roman" w:hAnsi="Times New Roman"/>
                <w:b/>
                <w:bCs/>
                <w:sz w:val="24"/>
                <w:u w:val="single"/>
              </w:rPr>
            </w:pPr>
            <w:r w:rsidRPr="00D51A68">
              <w:rPr>
                <w:rFonts w:ascii="Times New Roman" w:hAnsi="Times New Roman"/>
                <w:b/>
                <w:sz w:val="24"/>
                <w:u w:val="single"/>
              </w:rPr>
              <w:t>FATTORE MOLTIPLICATIVO (ms) x MEDIA DEI 60 GIORNI LAVORATIVI PRECEDENTI (SVaRavg)</w:t>
            </w:r>
          </w:p>
          <w:p w:rsidR="000B0B09" w:rsidRPr="00D51A68" w:rsidRDefault="000B0B09" w:rsidP="000B0B09">
            <w:pPr>
              <w:rPr>
                <w:rFonts w:ascii="Times New Roman" w:hAnsi="Times New Roman"/>
                <w:sz w:val="24"/>
              </w:rPr>
            </w:pPr>
            <w:r w:rsidRPr="00D51A68">
              <w:rPr>
                <w:rFonts w:ascii="Times New Roman" w:hAnsi="Times New Roman"/>
                <w:sz w:val="24"/>
              </w:rPr>
              <w:t>Cfr. le istruzioni relative alla colonna 040.</w:t>
            </w:r>
          </w:p>
        </w:tc>
      </w:tr>
      <w:tr w:rsidR="000B0B09" w:rsidRPr="00D51A68" w:rsidTr="00672D2A">
        <w:tc>
          <w:tcPr>
            <w:tcW w:w="852" w:type="dxa"/>
          </w:tcPr>
          <w:p w:rsidR="000B0B09" w:rsidRPr="00D51A68" w:rsidRDefault="000B0B09" w:rsidP="000B0B09">
            <w:pPr>
              <w:rPr>
                <w:rFonts w:ascii="Times New Roman" w:hAnsi="Times New Roman"/>
                <w:sz w:val="24"/>
              </w:rPr>
            </w:pPr>
            <w:r w:rsidRPr="00D51A68">
              <w:rPr>
                <w:rFonts w:ascii="Times New Roman" w:hAnsi="Times New Roman"/>
                <w:sz w:val="24"/>
              </w:rPr>
              <w:t>070</w:t>
            </w:r>
          </w:p>
        </w:tc>
        <w:tc>
          <w:tcPr>
            <w:tcW w:w="8004" w:type="dxa"/>
          </w:tcPr>
          <w:p w:rsidR="000B0B09" w:rsidRPr="00D51A68" w:rsidRDefault="000B0B09" w:rsidP="000B0B09">
            <w:pPr>
              <w:rPr>
                <w:rFonts w:ascii="Times New Roman" w:hAnsi="Times New Roman"/>
                <w:b/>
                <w:sz w:val="24"/>
                <w:u w:val="single"/>
              </w:rPr>
            </w:pPr>
            <w:r w:rsidRPr="00D51A68">
              <w:rPr>
                <w:rFonts w:ascii="Times New Roman" w:hAnsi="Times New Roman"/>
                <w:b/>
                <w:sz w:val="24"/>
                <w:u w:val="single"/>
              </w:rPr>
              <w:t>ULTIMO DISPONIBILE (SVaRt-1)</w:t>
            </w:r>
          </w:p>
          <w:p w:rsidR="000B0B09" w:rsidRPr="00D51A68" w:rsidRDefault="000B0B09" w:rsidP="000B0B09">
            <w:pPr>
              <w:rPr>
                <w:rFonts w:ascii="Times New Roman" w:hAnsi="Times New Roman"/>
                <w:b/>
                <w:sz w:val="24"/>
                <w:u w:val="single"/>
              </w:rPr>
            </w:pPr>
            <w:r w:rsidRPr="00D51A68">
              <w:rPr>
                <w:rFonts w:ascii="Times New Roman" w:hAnsi="Times New Roman"/>
                <w:sz w:val="24"/>
              </w:rPr>
              <w:t>Cfr. le istruzioni relative alla colonna 040.</w:t>
            </w:r>
          </w:p>
        </w:tc>
      </w:tr>
      <w:tr w:rsidR="000B0B09" w:rsidRPr="00D51A68" w:rsidTr="00672D2A">
        <w:tc>
          <w:tcPr>
            <w:tcW w:w="852" w:type="dxa"/>
          </w:tcPr>
          <w:p w:rsidR="000B0B09" w:rsidRPr="00D51A68" w:rsidRDefault="000B0B09" w:rsidP="000B0B09">
            <w:pPr>
              <w:rPr>
                <w:rFonts w:ascii="Times New Roman" w:hAnsi="Times New Roman"/>
                <w:sz w:val="24"/>
              </w:rPr>
            </w:pPr>
            <w:r w:rsidRPr="00D51A68">
              <w:rPr>
                <w:rFonts w:ascii="Times New Roman" w:hAnsi="Times New Roman"/>
                <w:sz w:val="24"/>
              </w:rPr>
              <w:t>080</w:t>
            </w:r>
          </w:p>
        </w:tc>
        <w:tc>
          <w:tcPr>
            <w:tcW w:w="8004" w:type="dxa"/>
          </w:tcPr>
          <w:p w:rsidR="000B0B09" w:rsidRPr="00D51A68" w:rsidRDefault="000B0B09" w:rsidP="000B0B09">
            <w:pPr>
              <w:rPr>
                <w:rFonts w:ascii="Times New Roman" w:hAnsi="Times New Roman"/>
                <w:b/>
                <w:sz w:val="24"/>
                <w:u w:val="single"/>
              </w:rPr>
            </w:pPr>
            <w:r w:rsidRPr="00D51A68">
              <w:rPr>
                <w:rFonts w:ascii="Times New Roman" w:hAnsi="Times New Roman"/>
                <w:b/>
                <w:sz w:val="24"/>
                <w:u w:val="single"/>
              </w:rPr>
              <w:t>REQUISITI DI FONDI PROPRI</w:t>
            </w:r>
          </w:p>
          <w:p w:rsidR="000B0B09" w:rsidRPr="00D51A68" w:rsidRDefault="000B0B09" w:rsidP="000B0B09">
            <w:pPr>
              <w:rPr>
                <w:rFonts w:ascii="Times New Roman" w:hAnsi="Times New Roman"/>
                <w:sz w:val="24"/>
              </w:rPr>
            </w:pPr>
            <w:r w:rsidRPr="00D51A68">
              <w:rPr>
                <w:rFonts w:ascii="Times New Roman" w:hAnsi="Times New Roman"/>
                <w:sz w:val="24"/>
              </w:rPr>
              <w:t>Articolo 92, paragrafo 3, lettera d), del CRR.</w:t>
            </w:r>
          </w:p>
          <w:p w:rsidR="000B0B09" w:rsidRPr="00D51A68" w:rsidRDefault="000B0B09" w:rsidP="000B0B09">
            <w:pPr>
              <w:rPr>
                <w:rFonts w:ascii="Times New Roman" w:hAnsi="Times New Roman"/>
                <w:sz w:val="24"/>
              </w:rPr>
            </w:pPr>
            <w:r w:rsidRPr="00D51A68">
              <w:rPr>
                <w:rFonts w:ascii="Times New Roman" w:hAnsi="Times New Roman"/>
                <w:sz w:val="24"/>
              </w:rPr>
              <w:t xml:space="preserve">Requisiti di fondi propri per il rischio di CVA calcolato secondo il metodo prescelto. </w:t>
            </w:r>
          </w:p>
        </w:tc>
      </w:tr>
      <w:tr w:rsidR="000B0B09" w:rsidRPr="00D51A68" w:rsidTr="00672D2A">
        <w:tc>
          <w:tcPr>
            <w:tcW w:w="852" w:type="dxa"/>
          </w:tcPr>
          <w:p w:rsidR="000B0B09" w:rsidRPr="00D51A68" w:rsidRDefault="000B0B09" w:rsidP="000B0B09">
            <w:pPr>
              <w:rPr>
                <w:rFonts w:ascii="Times New Roman" w:hAnsi="Times New Roman"/>
                <w:sz w:val="24"/>
              </w:rPr>
            </w:pPr>
            <w:r w:rsidRPr="00D51A68">
              <w:rPr>
                <w:rFonts w:ascii="Times New Roman" w:hAnsi="Times New Roman"/>
                <w:sz w:val="24"/>
              </w:rPr>
              <w:t>090</w:t>
            </w:r>
          </w:p>
        </w:tc>
        <w:tc>
          <w:tcPr>
            <w:tcW w:w="8004" w:type="dxa"/>
          </w:tcPr>
          <w:p w:rsidR="000B0B09" w:rsidRPr="00D51A68" w:rsidRDefault="000B0B09" w:rsidP="000B0B09">
            <w:pPr>
              <w:rPr>
                <w:rFonts w:ascii="Times New Roman" w:hAnsi="Times New Roman"/>
                <w:b/>
                <w:sz w:val="24"/>
                <w:u w:val="single"/>
              </w:rPr>
            </w:pPr>
            <w:r w:rsidRPr="00D51A68">
              <w:rPr>
                <w:rFonts w:ascii="Times New Roman" w:hAnsi="Times New Roman"/>
                <w:b/>
                <w:sz w:val="24"/>
                <w:u w:val="single"/>
              </w:rPr>
              <w:t>IMPORTO COMPLESSIVO DELL</w:t>
            </w:r>
            <w:r w:rsidR="0009277C" w:rsidRPr="00D51A68">
              <w:rPr>
                <w:rFonts w:ascii="Times New Roman" w:hAnsi="Times New Roman"/>
                <w:b/>
                <w:sz w:val="24"/>
                <w:u w:val="single"/>
              </w:rPr>
              <w:t>’</w:t>
            </w:r>
            <w:r w:rsidRPr="00D51A68">
              <w:rPr>
                <w:rFonts w:ascii="Times New Roman" w:hAnsi="Times New Roman"/>
                <w:b/>
                <w:sz w:val="24"/>
                <w:u w:val="single"/>
              </w:rPr>
              <w:t>ESPOSIZIONE AL RISCHIO</w:t>
            </w:r>
          </w:p>
          <w:p w:rsidR="000B0B09" w:rsidRPr="00D51A68" w:rsidRDefault="000B0B09" w:rsidP="000B0B09">
            <w:pPr>
              <w:rPr>
                <w:rFonts w:ascii="Times New Roman" w:hAnsi="Times New Roman"/>
                <w:sz w:val="24"/>
              </w:rPr>
            </w:pPr>
            <w:r w:rsidRPr="00D51A68">
              <w:rPr>
                <w:rFonts w:ascii="Times New Roman" w:hAnsi="Times New Roman"/>
                <w:sz w:val="24"/>
              </w:rPr>
              <w:t>Articolo 92, paragrafo 4, lettera b), del CRR.</w:t>
            </w:r>
          </w:p>
          <w:p w:rsidR="000B0B09" w:rsidRPr="00D51A68" w:rsidRDefault="000B0B09" w:rsidP="000B0B09">
            <w:pPr>
              <w:rPr>
                <w:rFonts w:ascii="Times New Roman" w:hAnsi="Times New Roman"/>
                <w:sz w:val="24"/>
              </w:rPr>
            </w:pPr>
            <w:r w:rsidRPr="00D51A68">
              <w:rPr>
                <w:rFonts w:ascii="Times New Roman" w:hAnsi="Times New Roman"/>
                <w:sz w:val="24"/>
              </w:rPr>
              <w:t>Requisiti di fondi propri moltiplicati per 12,5.</w:t>
            </w:r>
          </w:p>
        </w:tc>
      </w:tr>
      <w:tr w:rsidR="000B0B09" w:rsidRPr="00D51A68" w:rsidTr="00672D2A">
        <w:tc>
          <w:tcPr>
            <w:tcW w:w="852" w:type="dxa"/>
          </w:tcPr>
          <w:p w:rsidR="000B0B09" w:rsidRPr="00D51A68" w:rsidRDefault="000B0B09" w:rsidP="000B0B09">
            <w:pPr>
              <w:rPr>
                <w:rFonts w:ascii="Times New Roman" w:hAnsi="Times New Roman"/>
                <w:sz w:val="24"/>
              </w:rPr>
            </w:pPr>
          </w:p>
        </w:tc>
        <w:tc>
          <w:tcPr>
            <w:tcW w:w="8004" w:type="dxa"/>
          </w:tcPr>
          <w:p w:rsidR="000B0B09" w:rsidRPr="00D51A68" w:rsidRDefault="000B0B09" w:rsidP="000B0B09">
            <w:pPr>
              <w:rPr>
                <w:rFonts w:ascii="Times New Roman" w:hAnsi="Times New Roman"/>
                <w:b/>
                <w:sz w:val="24"/>
                <w:u w:val="single"/>
              </w:rPr>
            </w:pPr>
            <w:r w:rsidRPr="00D51A68">
              <w:rPr>
                <w:rFonts w:ascii="Times New Roman" w:hAnsi="Times New Roman"/>
                <w:b/>
                <w:sz w:val="24"/>
                <w:u w:val="single"/>
              </w:rPr>
              <w:t>Voci per memoria</w:t>
            </w:r>
          </w:p>
        </w:tc>
      </w:tr>
      <w:tr w:rsidR="000B0B09" w:rsidRPr="00D51A68" w:rsidTr="00672D2A">
        <w:tc>
          <w:tcPr>
            <w:tcW w:w="852" w:type="dxa"/>
          </w:tcPr>
          <w:p w:rsidR="000B0B09" w:rsidRPr="00D51A68" w:rsidRDefault="000B0B09" w:rsidP="000B0B09">
            <w:pPr>
              <w:rPr>
                <w:rFonts w:ascii="Times New Roman" w:hAnsi="Times New Roman"/>
                <w:sz w:val="24"/>
              </w:rPr>
            </w:pPr>
            <w:r w:rsidRPr="00D51A68">
              <w:rPr>
                <w:rFonts w:ascii="Times New Roman" w:hAnsi="Times New Roman"/>
                <w:sz w:val="24"/>
              </w:rPr>
              <w:t>100</w:t>
            </w:r>
          </w:p>
        </w:tc>
        <w:tc>
          <w:tcPr>
            <w:tcW w:w="8004" w:type="dxa"/>
          </w:tcPr>
          <w:p w:rsidR="000B0B09" w:rsidRPr="00D51A68" w:rsidRDefault="000B0B09" w:rsidP="000B0B09">
            <w:pPr>
              <w:rPr>
                <w:rFonts w:ascii="Times New Roman" w:hAnsi="Times New Roman"/>
                <w:b/>
                <w:sz w:val="24"/>
                <w:u w:val="single"/>
              </w:rPr>
            </w:pPr>
            <w:r w:rsidRPr="00D51A68">
              <w:rPr>
                <w:rFonts w:ascii="Times New Roman" w:hAnsi="Times New Roman"/>
                <w:b/>
                <w:sz w:val="24"/>
                <w:u w:val="single"/>
              </w:rPr>
              <w:t>Numero di controparti</w:t>
            </w:r>
          </w:p>
          <w:p w:rsidR="000B0B09" w:rsidRPr="00D51A68" w:rsidRDefault="000B0B09" w:rsidP="000B0B09">
            <w:pPr>
              <w:rPr>
                <w:rFonts w:ascii="Times New Roman" w:hAnsi="Times New Roman"/>
                <w:sz w:val="24"/>
              </w:rPr>
            </w:pPr>
            <w:r w:rsidRPr="00D51A68">
              <w:rPr>
                <w:rFonts w:ascii="Times New Roman" w:hAnsi="Times New Roman"/>
                <w:sz w:val="24"/>
              </w:rPr>
              <w:t>Articolo 382 del CRR.</w:t>
            </w:r>
          </w:p>
          <w:p w:rsidR="000B0B09" w:rsidRPr="00D51A68" w:rsidRDefault="000B0B09" w:rsidP="000B0B09">
            <w:pPr>
              <w:rPr>
                <w:rFonts w:ascii="Times New Roman" w:hAnsi="Times New Roman"/>
                <w:sz w:val="24"/>
              </w:rPr>
            </w:pPr>
            <w:r w:rsidRPr="00D51A68">
              <w:rPr>
                <w:rFonts w:ascii="Times New Roman" w:hAnsi="Times New Roman"/>
                <w:sz w:val="24"/>
              </w:rPr>
              <w:t>Numero delle controparti comprese nel calcolo dei fondi propri per il rischio di CVA.</w:t>
            </w:r>
          </w:p>
          <w:p w:rsidR="000B0B09" w:rsidRPr="00D51A68" w:rsidRDefault="000B0B09" w:rsidP="000B0B09">
            <w:pPr>
              <w:rPr>
                <w:rFonts w:ascii="Times New Roman" w:hAnsi="Times New Roman"/>
                <w:sz w:val="24"/>
              </w:rPr>
            </w:pPr>
            <w:r w:rsidRPr="00D51A68">
              <w:rPr>
                <w:rFonts w:ascii="Times New Roman" w:hAnsi="Times New Roman"/>
                <w:sz w:val="24"/>
              </w:rPr>
              <w:t>Le controparti sono un sottoinsieme di debitori. Esistono soltanto nelle operazioni su derivati e nelle operazioni di finanziamento tramite titoli, nelle quali sono semplicemente l</w:t>
            </w:r>
            <w:r w:rsidR="0009277C" w:rsidRPr="00D51A68">
              <w:rPr>
                <w:rFonts w:ascii="Times New Roman" w:hAnsi="Times New Roman"/>
                <w:sz w:val="24"/>
              </w:rPr>
              <w:t>’</w:t>
            </w:r>
            <w:r w:rsidRPr="00D51A68">
              <w:rPr>
                <w:rFonts w:ascii="Times New Roman" w:hAnsi="Times New Roman"/>
                <w:sz w:val="24"/>
              </w:rPr>
              <w:t xml:space="preserve">altra parte contrattuale. </w:t>
            </w:r>
          </w:p>
        </w:tc>
      </w:tr>
      <w:tr w:rsidR="000B0B09" w:rsidRPr="00D51A68" w:rsidTr="00672D2A">
        <w:tc>
          <w:tcPr>
            <w:tcW w:w="852" w:type="dxa"/>
          </w:tcPr>
          <w:p w:rsidR="000B0B09" w:rsidRPr="00D51A68" w:rsidRDefault="000B0B09" w:rsidP="000B0B09">
            <w:pPr>
              <w:rPr>
                <w:rFonts w:ascii="Times New Roman" w:hAnsi="Times New Roman"/>
                <w:sz w:val="24"/>
              </w:rPr>
            </w:pPr>
            <w:r w:rsidRPr="00D51A68">
              <w:rPr>
                <w:rFonts w:ascii="Times New Roman" w:hAnsi="Times New Roman"/>
                <w:sz w:val="24"/>
              </w:rPr>
              <w:t>110</w:t>
            </w:r>
          </w:p>
        </w:tc>
        <w:tc>
          <w:tcPr>
            <w:tcW w:w="8004" w:type="dxa"/>
          </w:tcPr>
          <w:p w:rsidR="000B0B09" w:rsidRPr="00D51A68" w:rsidRDefault="000B0B09" w:rsidP="000B0B09">
            <w:pPr>
              <w:rPr>
                <w:rFonts w:ascii="Times New Roman" w:hAnsi="Times New Roman"/>
                <w:b/>
                <w:sz w:val="24"/>
                <w:u w:val="single"/>
              </w:rPr>
            </w:pPr>
            <w:r w:rsidRPr="00D51A68">
              <w:rPr>
                <w:rFonts w:ascii="Times New Roman" w:hAnsi="Times New Roman"/>
                <w:b/>
                <w:sz w:val="24"/>
                <w:u w:val="single"/>
              </w:rPr>
              <w:t>di cui: utilizzo di una variabile proxy per determinare il differenziale creditizio</w:t>
            </w:r>
          </w:p>
          <w:p w:rsidR="000B0B09" w:rsidRPr="00D51A68" w:rsidRDefault="000B0B09" w:rsidP="000B0B09">
            <w:pPr>
              <w:rPr>
                <w:rFonts w:ascii="Times New Roman" w:hAnsi="Times New Roman"/>
                <w:sz w:val="24"/>
              </w:rPr>
            </w:pPr>
            <w:r w:rsidRPr="00D51A68">
              <w:rPr>
                <w:rFonts w:ascii="Times New Roman" w:hAnsi="Times New Roman"/>
                <w:sz w:val="24"/>
              </w:rPr>
              <w:t>Numero di controparti per le quali il differenziale creditizio è stato determinato utilizzando una variabile proxy invece dei dati di mercato osservati direttamente.</w:t>
            </w:r>
          </w:p>
          <w:p w:rsidR="000B0B09" w:rsidRPr="00D51A68" w:rsidRDefault="000B0B09" w:rsidP="000B0B09">
            <w:pPr>
              <w:rPr>
                <w:rFonts w:ascii="Times New Roman" w:hAnsi="Times New Roman"/>
                <w:b/>
                <w:sz w:val="24"/>
                <w:u w:val="single"/>
              </w:rPr>
            </w:pPr>
          </w:p>
        </w:tc>
      </w:tr>
      <w:tr w:rsidR="000B0B09" w:rsidRPr="00D51A68" w:rsidTr="00672D2A">
        <w:tc>
          <w:tcPr>
            <w:tcW w:w="852" w:type="dxa"/>
          </w:tcPr>
          <w:p w:rsidR="000B0B09" w:rsidRPr="00D51A68" w:rsidRDefault="000B0B09" w:rsidP="000B0B09">
            <w:pPr>
              <w:rPr>
                <w:rFonts w:ascii="Times New Roman" w:hAnsi="Times New Roman"/>
                <w:sz w:val="24"/>
              </w:rPr>
            </w:pPr>
            <w:r w:rsidRPr="00D51A68">
              <w:rPr>
                <w:rFonts w:ascii="Times New Roman" w:hAnsi="Times New Roman"/>
                <w:sz w:val="24"/>
              </w:rPr>
              <w:t>120</w:t>
            </w:r>
          </w:p>
        </w:tc>
        <w:tc>
          <w:tcPr>
            <w:tcW w:w="8004" w:type="dxa"/>
          </w:tcPr>
          <w:p w:rsidR="000B0B09" w:rsidRPr="00D51A68" w:rsidRDefault="000B0B09" w:rsidP="000B0B09">
            <w:pPr>
              <w:rPr>
                <w:rFonts w:ascii="Times New Roman" w:hAnsi="Times New Roman"/>
                <w:b/>
                <w:sz w:val="24"/>
                <w:u w:val="single"/>
              </w:rPr>
            </w:pPr>
            <w:r w:rsidRPr="00D51A68">
              <w:rPr>
                <w:rFonts w:ascii="Times New Roman" w:hAnsi="Times New Roman"/>
                <w:b/>
                <w:sz w:val="24"/>
                <w:u w:val="single"/>
              </w:rPr>
              <w:t>CVA SOSTENUTO</w:t>
            </w:r>
          </w:p>
          <w:p w:rsidR="000B0B09" w:rsidRPr="00D51A68" w:rsidRDefault="000B0B09" w:rsidP="000B0B09">
            <w:pPr>
              <w:rPr>
                <w:rFonts w:ascii="Times New Roman" w:hAnsi="Times New Roman"/>
                <w:sz w:val="24"/>
              </w:rPr>
            </w:pPr>
          </w:p>
          <w:p w:rsidR="000B0B09" w:rsidRPr="00D51A68" w:rsidRDefault="000B0B09" w:rsidP="000B0B09">
            <w:pPr>
              <w:rPr>
                <w:rFonts w:ascii="Times New Roman" w:hAnsi="Times New Roman"/>
                <w:sz w:val="24"/>
              </w:rPr>
            </w:pPr>
            <w:r w:rsidRPr="00D51A68">
              <w:rPr>
                <w:rFonts w:ascii="Times New Roman" w:hAnsi="Times New Roman"/>
                <w:sz w:val="24"/>
              </w:rPr>
              <w:t>Accantonamenti contabili dovuti al calo del merito di credito delle controparti dei derivati.</w:t>
            </w:r>
          </w:p>
        </w:tc>
      </w:tr>
      <w:tr w:rsidR="000B0B09" w:rsidRPr="00D51A68" w:rsidTr="00672D2A">
        <w:tc>
          <w:tcPr>
            <w:tcW w:w="852" w:type="dxa"/>
          </w:tcPr>
          <w:p w:rsidR="000B0B09" w:rsidRPr="00D51A68" w:rsidRDefault="000B0B09" w:rsidP="000B0B09">
            <w:pPr>
              <w:rPr>
                <w:rFonts w:ascii="Times New Roman" w:hAnsi="Times New Roman"/>
                <w:sz w:val="24"/>
              </w:rPr>
            </w:pPr>
            <w:r w:rsidRPr="00D51A68">
              <w:rPr>
                <w:rFonts w:ascii="Times New Roman" w:hAnsi="Times New Roman"/>
                <w:sz w:val="24"/>
              </w:rPr>
              <w:t>130</w:t>
            </w:r>
          </w:p>
        </w:tc>
        <w:tc>
          <w:tcPr>
            <w:tcW w:w="8004" w:type="dxa"/>
          </w:tcPr>
          <w:p w:rsidR="000B0B09" w:rsidRPr="00D51A68" w:rsidRDefault="000B0B09" w:rsidP="000B0B09">
            <w:pPr>
              <w:rPr>
                <w:rFonts w:ascii="Times New Roman" w:hAnsi="Times New Roman"/>
                <w:b/>
                <w:sz w:val="24"/>
                <w:u w:val="single"/>
              </w:rPr>
            </w:pPr>
            <w:r w:rsidRPr="00D51A68">
              <w:rPr>
                <w:rFonts w:ascii="Times New Roman" w:hAnsi="Times New Roman"/>
                <w:b/>
                <w:sz w:val="24"/>
                <w:u w:val="single"/>
              </w:rPr>
              <w:t>CDS SINGLE NAME</w:t>
            </w:r>
          </w:p>
          <w:p w:rsidR="000B0B09" w:rsidRPr="00D51A68" w:rsidRDefault="000B0B09" w:rsidP="000B0B09">
            <w:pPr>
              <w:rPr>
                <w:rFonts w:ascii="Times New Roman" w:hAnsi="Times New Roman"/>
                <w:sz w:val="24"/>
              </w:rPr>
            </w:pPr>
            <w:r w:rsidRPr="00D51A68">
              <w:rPr>
                <w:rFonts w:ascii="Times New Roman" w:hAnsi="Times New Roman"/>
                <w:sz w:val="24"/>
              </w:rPr>
              <w:t xml:space="preserve">Articolo 386, paragrafo 1, lettera a), del CRR. </w:t>
            </w:r>
          </w:p>
          <w:p w:rsidR="000B0B09" w:rsidRPr="00D51A68" w:rsidRDefault="000B0B09" w:rsidP="000B0B09">
            <w:pPr>
              <w:rPr>
                <w:rFonts w:ascii="Times New Roman" w:hAnsi="Times New Roman"/>
                <w:sz w:val="24"/>
              </w:rPr>
            </w:pPr>
            <w:r w:rsidRPr="00D51A68">
              <w:rPr>
                <w:rFonts w:ascii="Times New Roman" w:hAnsi="Times New Roman"/>
                <w:sz w:val="24"/>
              </w:rPr>
              <w:t xml:space="preserve">Importi nozionali totali dei single name CDS utilizzati come copertura di un rischio di CVA. </w:t>
            </w:r>
          </w:p>
        </w:tc>
      </w:tr>
      <w:tr w:rsidR="000B0B09" w:rsidRPr="00D51A68" w:rsidTr="00672D2A">
        <w:tc>
          <w:tcPr>
            <w:tcW w:w="852" w:type="dxa"/>
          </w:tcPr>
          <w:p w:rsidR="000B0B09" w:rsidRPr="00D51A68" w:rsidRDefault="000B0B09" w:rsidP="000B0B09">
            <w:pPr>
              <w:rPr>
                <w:rFonts w:ascii="Times New Roman" w:hAnsi="Times New Roman"/>
                <w:sz w:val="24"/>
              </w:rPr>
            </w:pPr>
            <w:r w:rsidRPr="00D51A68">
              <w:rPr>
                <w:rFonts w:ascii="Times New Roman" w:hAnsi="Times New Roman"/>
                <w:sz w:val="24"/>
              </w:rPr>
              <w:t>140</w:t>
            </w:r>
          </w:p>
        </w:tc>
        <w:tc>
          <w:tcPr>
            <w:tcW w:w="8004" w:type="dxa"/>
          </w:tcPr>
          <w:p w:rsidR="000B0B09" w:rsidRPr="00D51A68" w:rsidRDefault="000B0B09" w:rsidP="000B0B09">
            <w:pPr>
              <w:rPr>
                <w:rFonts w:ascii="Times New Roman" w:hAnsi="Times New Roman"/>
                <w:b/>
                <w:sz w:val="24"/>
                <w:u w:val="single"/>
              </w:rPr>
            </w:pPr>
            <w:r w:rsidRPr="00D51A68">
              <w:rPr>
                <w:rFonts w:ascii="Times New Roman" w:hAnsi="Times New Roman"/>
                <w:b/>
                <w:sz w:val="24"/>
                <w:u w:val="single"/>
              </w:rPr>
              <w:t>CDS DELL</w:t>
            </w:r>
            <w:r w:rsidR="0009277C" w:rsidRPr="00D51A68">
              <w:rPr>
                <w:rFonts w:ascii="Times New Roman" w:hAnsi="Times New Roman"/>
                <w:b/>
                <w:sz w:val="24"/>
                <w:u w:val="single"/>
              </w:rPr>
              <w:t>’</w:t>
            </w:r>
            <w:r w:rsidRPr="00D51A68">
              <w:rPr>
                <w:rFonts w:ascii="Times New Roman" w:hAnsi="Times New Roman"/>
                <w:b/>
                <w:sz w:val="24"/>
                <w:u w:val="single"/>
              </w:rPr>
              <w:t>INDICE</w:t>
            </w:r>
          </w:p>
          <w:p w:rsidR="000B0B09" w:rsidRPr="00D51A68" w:rsidRDefault="000B0B09" w:rsidP="000B0B09">
            <w:pPr>
              <w:rPr>
                <w:rFonts w:ascii="Times New Roman" w:hAnsi="Times New Roman"/>
                <w:sz w:val="24"/>
              </w:rPr>
            </w:pPr>
            <w:r w:rsidRPr="00D51A68">
              <w:rPr>
                <w:rFonts w:ascii="Times New Roman" w:hAnsi="Times New Roman"/>
                <w:sz w:val="24"/>
              </w:rPr>
              <w:t>Articolo 386, paragrafo 1, lettera b), del CRR.</w:t>
            </w:r>
          </w:p>
          <w:p w:rsidR="000B0B09" w:rsidRPr="00D51A68" w:rsidRDefault="000B0B09" w:rsidP="000B0B09">
            <w:pPr>
              <w:rPr>
                <w:rFonts w:ascii="Times New Roman" w:hAnsi="Times New Roman"/>
                <w:b/>
                <w:sz w:val="24"/>
                <w:u w:val="single"/>
              </w:rPr>
            </w:pPr>
            <w:r w:rsidRPr="00D51A68">
              <w:rPr>
                <w:rFonts w:ascii="Times New Roman" w:hAnsi="Times New Roman"/>
                <w:sz w:val="24"/>
              </w:rPr>
              <w:t>Importi nozionali totali di CDS dell</w:t>
            </w:r>
            <w:r w:rsidR="0009277C" w:rsidRPr="00D51A68">
              <w:rPr>
                <w:rFonts w:ascii="Times New Roman" w:hAnsi="Times New Roman"/>
                <w:sz w:val="24"/>
              </w:rPr>
              <w:t>’</w:t>
            </w:r>
            <w:r w:rsidRPr="00D51A68">
              <w:rPr>
                <w:rFonts w:ascii="Times New Roman" w:hAnsi="Times New Roman"/>
                <w:sz w:val="24"/>
              </w:rPr>
              <w:t xml:space="preserve">indice utilizzati come copertura di un rischio di CVA. </w:t>
            </w:r>
          </w:p>
        </w:tc>
      </w:tr>
    </w:tbl>
    <w:p w:rsidR="000B0B09" w:rsidRPr="00D51A68"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D51A68" w:rsidTr="00672D2A">
        <w:tc>
          <w:tcPr>
            <w:tcW w:w="8856" w:type="dxa"/>
            <w:gridSpan w:val="2"/>
            <w:shd w:val="clear" w:color="auto" w:fill="CCCCCC"/>
          </w:tcPr>
          <w:p w:rsidR="000B0B09" w:rsidRPr="00D51A68" w:rsidRDefault="000B0B09" w:rsidP="00BE76FD">
            <w:pPr>
              <w:keepNext/>
              <w:rPr>
                <w:rFonts w:ascii="Times New Roman" w:hAnsi="Times New Roman"/>
                <w:b/>
                <w:sz w:val="24"/>
              </w:rPr>
            </w:pPr>
            <w:r w:rsidRPr="00D51A68">
              <w:rPr>
                <w:rFonts w:ascii="Times New Roman" w:hAnsi="Times New Roman"/>
                <w:b/>
                <w:sz w:val="24"/>
              </w:rPr>
              <w:t>Righe</w:t>
            </w:r>
          </w:p>
        </w:tc>
      </w:tr>
      <w:tr w:rsidR="000B0B09" w:rsidRPr="00D51A68" w:rsidTr="00672D2A">
        <w:tc>
          <w:tcPr>
            <w:tcW w:w="852" w:type="dxa"/>
          </w:tcPr>
          <w:p w:rsidR="000B0B09" w:rsidRPr="00D51A68" w:rsidRDefault="000B0B09" w:rsidP="000B0B09">
            <w:pPr>
              <w:rPr>
                <w:rFonts w:ascii="Times New Roman" w:hAnsi="Times New Roman"/>
                <w:sz w:val="24"/>
              </w:rPr>
            </w:pPr>
            <w:r w:rsidRPr="00D51A68">
              <w:rPr>
                <w:rFonts w:ascii="Times New Roman" w:hAnsi="Times New Roman"/>
                <w:sz w:val="24"/>
              </w:rPr>
              <w:t>010</w:t>
            </w:r>
          </w:p>
        </w:tc>
        <w:tc>
          <w:tcPr>
            <w:tcW w:w="8004" w:type="dxa"/>
          </w:tcPr>
          <w:p w:rsidR="000B0B09" w:rsidRPr="00D51A68" w:rsidRDefault="000B0B09" w:rsidP="000B0B09">
            <w:pPr>
              <w:rPr>
                <w:rFonts w:ascii="Times New Roman" w:hAnsi="Times New Roman"/>
                <w:b/>
                <w:bCs/>
                <w:sz w:val="24"/>
                <w:u w:val="single"/>
              </w:rPr>
            </w:pPr>
            <w:r w:rsidRPr="00D51A68">
              <w:rPr>
                <w:rFonts w:ascii="Times New Roman" w:hAnsi="Times New Roman"/>
                <w:b/>
                <w:sz w:val="24"/>
                <w:u w:val="single"/>
              </w:rPr>
              <w:t>Rischio totale di CVA</w:t>
            </w:r>
          </w:p>
          <w:p w:rsidR="000B0B09" w:rsidRPr="00D51A68" w:rsidRDefault="000B0B09" w:rsidP="000B0B09">
            <w:pPr>
              <w:rPr>
                <w:rFonts w:ascii="Times New Roman" w:hAnsi="Times New Roman"/>
                <w:bCs/>
                <w:sz w:val="24"/>
              </w:rPr>
            </w:pPr>
            <w:r w:rsidRPr="00D51A68">
              <w:rPr>
                <w:rFonts w:ascii="Times New Roman" w:hAnsi="Times New Roman"/>
                <w:sz w:val="24"/>
              </w:rPr>
              <w:t>Somma delle righe da 020 a 040 in funzione dell</w:t>
            </w:r>
            <w:r w:rsidR="0009277C" w:rsidRPr="00D51A68">
              <w:rPr>
                <w:rFonts w:ascii="Times New Roman" w:hAnsi="Times New Roman"/>
                <w:sz w:val="24"/>
              </w:rPr>
              <w:t>’</w:t>
            </w:r>
            <w:r w:rsidRPr="00D51A68">
              <w:rPr>
                <w:rFonts w:ascii="Times New Roman" w:hAnsi="Times New Roman"/>
                <w:sz w:val="24"/>
              </w:rPr>
              <w:t>applicabilità.</w:t>
            </w:r>
          </w:p>
        </w:tc>
      </w:tr>
      <w:tr w:rsidR="000B0B09" w:rsidRPr="00D51A68" w:rsidTr="00672D2A">
        <w:tc>
          <w:tcPr>
            <w:tcW w:w="852" w:type="dxa"/>
          </w:tcPr>
          <w:p w:rsidR="000B0B09" w:rsidRPr="00D51A68" w:rsidRDefault="000B0B09" w:rsidP="000B0B09">
            <w:pPr>
              <w:rPr>
                <w:rFonts w:ascii="Times New Roman" w:hAnsi="Times New Roman"/>
                <w:sz w:val="24"/>
              </w:rPr>
            </w:pPr>
            <w:r w:rsidRPr="00D51A68">
              <w:rPr>
                <w:rFonts w:ascii="Times New Roman" w:hAnsi="Times New Roman"/>
                <w:sz w:val="24"/>
              </w:rPr>
              <w:t xml:space="preserve">020 </w:t>
            </w:r>
          </w:p>
        </w:tc>
        <w:tc>
          <w:tcPr>
            <w:tcW w:w="8004" w:type="dxa"/>
          </w:tcPr>
          <w:p w:rsidR="000B0B09" w:rsidRPr="00D51A68" w:rsidRDefault="000B0B09" w:rsidP="000B0B09">
            <w:pPr>
              <w:rPr>
                <w:rFonts w:ascii="Times New Roman" w:hAnsi="Times New Roman"/>
                <w:b/>
                <w:bCs/>
                <w:sz w:val="24"/>
                <w:u w:val="single"/>
              </w:rPr>
            </w:pPr>
            <w:r w:rsidRPr="00D51A68">
              <w:rPr>
                <w:rFonts w:ascii="Times New Roman" w:hAnsi="Times New Roman"/>
                <w:b/>
                <w:sz w:val="24"/>
                <w:u w:val="single"/>
              </w:rPr>
              <w:t>In base al metodo avanzato</w:t>
            </w:r>
          </w:p>
          <w:p w:rsidR="000B0B09" w:rsidRPr="00D51A68" w:rsidRDefault="000B0B09" w:rsidP="000B0B09">
            <w:pPr>
              <w:rPr>
                <w:rFonts w:ascii="Times New Roman" w:hAnsi="Times New Roman"/>
                <w:bCs/>
                <w:sz w:val="24"/>
              </w:rPr>
            </w:pPr>
            <w:r w:rsidRPr="00D51A68">
              <w:rPr>
                <w:rFonts w:ascii="Times New Roman" w:hAnsi="Times New Roman"/>
                <w:sz w:val="24"/>
              </w:rPr>
              <w:t>Metodo avanzato di calcolo del rischio di CVA previsto dall</w:t>
            </w:r>
            <w:r w:rsidR="0009277C" w:rsidRPr="00D51A68">
              <w:rPr>
                <w:rFonts w:ascii="Times New Roman" w:hAnsi="Times New Roman"/>
                <w:sz w:val="24"/>
              </w:rPr>
              <w:t>’</w:t>
            </w:r>
            <w:r w:rsidRPr="00D51A68">
              <w:rPr>
                <w:rFonts w:ascii="Times New Roman" w:hAnsi="Times New Roman"/>
                <w:sz w:val="24"/>
              </w:rPr>
              <w:t xml:space="preserve">articolo 383 del CRR. </w:t>
            </w:r>
          </w:p>
        </w:tc>
      </w:tr>
      <w:tr w:rsidR="000B0B09" w:rsidRPr="00D51A68" w:rsidTr="00672D2A">
        <w:tc>
          <w:tcPr>
            <w:tcW w:w="852" w:type="dxa"/>
          </w:tcPr>
          <w:p w:rsidR="000B0B09" w:rsidRPr="00D51A68" w:rsidRDefault="000B0B09" w:rsidP="000B0B09">
            <w:pPr>
              <w:rPr>
                <w:rFonts w:ascii="Times New Roman" w:hAnsi="Times New Roman"/>
                <w:sz w:val="24"/>
              </w:rPr>
            </w:pPr>
            <w:r w:rsidRPr="00D51A68">
              <w:rPr>
                <w:rFonts w:ascii="Times New Roman" w:hAnsi="Times New Roman"/>
                <w:sz w:val="24"/>
              </w:rPr>
              <w:t>030</w:t>
            </w:r>
          </w:p>
        </w:tc>
        <w:tc>
          <w:tcPr>
            <w:tcW w:w="8004" w:type="dxa"/>
          </w:tcPr>
          <w:p w:rsidR="000B0B09" w:rsidRPr="00D51A68" w:rsidRDefault="000B0B09" w:rsidP="000B0B09">
            <w:pPr>
              <w:rPr>
                <w:rFonts w:ascii="Times New Roman" w:hAnsi="Times New Roman"/>
                <w:b/>
                <w:bCs/>
                <w:sz w:val="24"/>
                <w:u w:val="single"/>
              </w:rPr>
            </w:pPr>
            <w:r w:rsidRPr="00D51A68">
              <w:rPr>
                <w:rFonts w:ascii="Times New Roman" w:hAnsi="Times New Roman"/>
                <w:b/>
                <w:sz w:val="24"/>
                <w:u w:val="single"/>
              </w:rPr>
              <w:t>In base al metodo standardizzato</w:t>
            </w:r>
          </w:p>
          <w:p w:rsidR="000B0B09" w:rsidRPr="00D51A68" w:rsidRDefault="000B0B09" w:rsidP="000B0B09">
            <w:pPr>
              <w:rPr>
                <w:rFonts w:ascii="Times New Roman" w:hAnsi="Times New Roman"/>
                <w:bCs/>
                <w:sz w:val="24"/>
              </w:rPr>
            </w:pPr>
            <w:r w:rsidRPr="00D51A68">
              <w:rPr>
                <w:rFonts w:ascii="Times New Roman" w:hAnsi="Times New Roman"/>
                <w:sz w:val="24"/>
              </w:rPr>
              <w:t>Metodo standardizzato di calcolo del rischio di CVA previsto dall</w:t>
            </w:r>
            <w:r w:rsidR="0009277C" w:rsidRPr="00D51A68">
              <w:rPr>
                <w:rFonts w:ascii="Times New Roman" w:hAnsi="Times New Roman"/>
                <w:sz w:val="24"/>
              </w:rPr>
              <w:t>’</w:t>
            </w:r>
            <w:r w:rsidRPr="00D51A68">
              <w:rPr>
                <w:rFonts w:ascii="Times New Roman" w:hAnsi="Times New Roman"/>
                <w:sz w:val="24"/>
              </w:rPr>
              <w:t xml:space="preserve">articolo 384 del CRR. </w:t>
            </w:r>
          </w:p>
        </w:tc>
      </w:tr>
      <w:tr w:rsidR="000B0B09" w:rsidRPr="00D51A68" w:rsidTr="00672D2A">
        <w:tc>
          <w:tcPr>
            <w:tcW w:w="852" w:type="dxa"/>
          </w:tcPr>
          <w:p w:rsidR="000B0B09" w:rsidRPr="00D51A68" w:rsidRDefault="000B0B09" w:rsidP="000B0B09">
            <w:pPr>
              <w:rPr>
                <w:rFonts w:ascii="Times New Roman" w:hAnsi="Times New Roman"/>
                <w:sz w:val="24"/>
              </w:rPr>
            </w:pPr>
            <w:r w:rsidRPr="00D51A68">
              <w:rPr>
                <w:rFonts w:ascii="Times New Roman" w:hAnsi="Times New Roman"/>
                <w:sz w:val="24"/>
              </w:rPr>
              <w:t>040</w:t>
            </w:r>
          </w:p>
        </w:tc>
        <w:tc>
          <w:tcPr>
            <w:tcW w:w="8004" w:type="dxa"/>
          </w:tcPr>
          <w:p w:rsidR="000B0B09" w:rsidRPr="00D51A68" w:rsidRDefault="000B0B09" w:rsidP="000B0B09">
            <w:pPr>
              <w:rPr>
                <w:rFonts w:ascii="Times New Roman" w:hAnsi="Times New Roman"/>
                <w:b/>
                <w:bCs/>
                <w:sz w:val="24"/>
                <w:u w:val="single"/>
              </w:rPr>
            </w:pPr>
            <w:r w:rsidRPr="00D51A68">
              <w:rPr>
                <w:rFonts w:ascii="Times New Roman" w:hAnsi="Times New Roman"/>
                <w:b/>
                <w:sz w:val="24"/>
                <w:u w:val="single"/>
              </w:rPr>
              <w:t>In base al metodo dell</w:t>
            </w:r>
            <w:r w:rsidR="0009277C" w:rsidRPr="00D51A68">
              <w:rPr>
                <w:rFonts w:ascii="Times New Roman" w:hAnsi="Times New Roman"/>
                <w:b/>
                <w:sz w:val="24"/>
                <w:u w:val="single"/>
              </w:rPr>
              <w:t>’</w:t>
            </w:r>
            <w:r w:rsidRPr="00D51A68">
              <w:rPr>
                <w:rFonts w:ascii="Times New Roman" w:hAnsi="Times New Roman"/>
                <w:b/>
                <w:sz w:val="24"/>
                <w:u w:val="single"/>
              </w:rPr>
              <w:t>esposizione originaria (OEM)</w:t>
            </w:r>
          </w:p>
          <w:p w:rsidR="000B0B09" w:rsidRPr="00D51A68" w:rsidRDefault="000B0B09" w:rsidP="00E871FE">
            <w:pPr>
              <w:rPr>
                <w:rFonts w:ascii="Times New Roman" w:hAnsi="Times New Roman"/>
                <w:bCs/>
                <w:sz w:val="24"/>
              </w:rPr>
            </w:pPr>
            <w:r w:rsidRPr="00D51A68">
              <w:rPr>
                <w:rFonts w:ascii="Times New Roman" w:hAnsi="Times New Roman"/>
                <w:sz w:val="24"/>
              </w:rPr>
              <w:t>Importi soggetti all</w:t>
            </w:r>
            <w:r w:rsidR="0009277C" w:rsidRPr="00D51A68">
              <w:rPr>
                <w:rFonts w:ascii="Times New Roman" w:hAnsi="Times New Roman"/>
                <w:sz w:val="24"/>
              </w:rPr>
              <w:t>’</w:t>
            </w:r>
            <w:r w:rsidRPr="00D51A68">
              <w:rPr>
                <w:rFonts w:ascii="Times New Roman" w:hAnsi="Times New Roman"/>
                <w:sz w:val="24"/>
              </w:rPr>
              <w:t>applicazione dell</w:t>
            </w:r>
            <w:r w:rsidR="0009277C" w:rsidRPr="00D51A68">
              <w:rPr>
                <w:rFonts w:ascii="Times New Roman" w:hAnsi="Times New Roman"/>
                <w:sz w:val="24"/>
              </w:rPr>
              <w:t>’</w:t>
            </w:r>
            <w:r w:rsidRPr="00D51A68">
              <w:rPr>
                <w:rFonts w:ascii="Times New Roman" w:hAnsi="Times New Roman"/>
                <w:sz w:val="24"/>
              </w:rPr>
              <w:t>articolo 385 del CRR.</w:t>
            </w:r>
          </w:p>
        </w:tc>
      </w:tr>
      <w:bookmarkEnd w:id="774"/>
    </w:tbl>
    <w:p w:rsidR="00633DEB" w:rsidRPr="00D51A68" w:rsidRDefault="00633DEB" w:rsidP="00C61FF5">
      <w:pPr>
        <w:rPr>
          <w:rStyle w:val="InstructionsTabelleText"/>
          <w:rFonts w:ascii="Times New Roman" w:hAnsi="Times New Roman"/>
          <w:sz w:val="24"/>
        </w:rPr>
      </w:pPr>
    </w:p>
    <w:p w:rsidR="00995A7F" w:rsidRPr="00D51A68" w:rsidRDefault="00995A7F" w:rsidP="00995A7F">
      <w:pPr>
        <w:pStyle w:val="Instructionsberschrift2"/>
        <w:numPr>
          <w:ilvl w:val="0"/>
          <w:numId w:val="0"/>
        </w:numPr>
        <w:ind w:left="357" w:hanging="357"/>
        <w:rPr>
          <w:rFonts w:ascii="Times New Roman" w:hAnsi="Times New Roman" w:cs="Times New Roman"/>
          <w:sz w:val="24"/>
        </w:rPr>
      </w:pPr>
      <w:bookmarkStart w:id="775" w:name="_Toc516210706"/>
      <w:bookmarkStart w:id="776" w:name="_Toc524096651"/>
      <w:r w:rsidRPr="00D51A68">
        <w:rPr>
          <w:rFonts w:ascii="Times New Roman" w:hAnsi="Times New Roman"/>
          <w:sz w:val="24"/>
          <w:u w:val="none"/>
        </w:rPr>
        <w:t>6.</w:t>
      </w:r>
      <w:r w:rsidR="00A0772B" w:rsidRPr="00D51A68">
        <w:rPr>
          <w:u w:val="none"/>
        </w:rPr>
        <w:tab/>
      </w:r>
      <w:r w:rsidRPr="00D51A68">
        <w:rPr>
          <w:rFonts w:ascii="Times New Roman" w:hAnsi="Times New Roman"/>
          <w:sz w:val="24"/>
        </w:rPr>
        <w:t>Valutazione prudente (PruVal)</w:t>
      </w:r>
      <w:bookmarkEnd w:id="775"/>
      <w:bookmarkEnd w:id="776"/>
    </w:p>
    <w:p w:rsidR="00995A7F" w:rsidRPr="00D51A68" w:rsidRDefault="00995A7F" w:rsidP="00995A7F">
      <w:pPr>
        <w:pStyle w:val="Instructionsberschrift2"/>
        <w:numPr>
          <w:ilvl w:val="0"/>
          <w:numId w:val="0"/>
        </w:numPr>
        <w:ind w:left="357" w:hanging="357"/>
        <w:rPr>
          <w:rFonts w:ascii="Times New Roman" w:hAnsi="Times New Roman" w:cs="Times New Roman"/>
          <w:sz w:val="24"/>
          <w:u w:val="none"/>
        </w:rPr>
      </w:pPr>
      <w:bookmarkStart w:id="777" w:name="_Toc516210707"/>
      <w:bookmarkStart w:id="778" w:name="_Toc524096652"/>
      <w:r w:rsidRPr="00D51A68">
        <w:rPr>
          <w:rFonts w:ascii="Times New Roman" w:hAnsi="Times New Roman"/>
          <w:sz w:val="24"/>
          <w:u w:val="none"/>
        </w:rPr>
        <w:t>6.1.</w:t>
      </w:r>
      <w:r w:rsidR="00A0772B" w:rsidRPr="00D51A68">
        <w:rPr>
          <w:u w:val="none"/>
        </w:rPr>
        <w:tab/>
      </w:r>
      <w:r w:rsidRPr="00D51A68">
        <w:rPr>
          <w:rFonts w:ascii="Times New Roman" w:hAnsi="Times New Roman"/>
          <w:sz w:val="24"/>
        </w:rPr>
        <w:t>C 32.01 - Valutazione prudente: attività e passività valutate al fair value (valore equo) (PruVal 1)</w:t>
      </w:r>
      <w:bookmarkEnd w:id="777"/>
      <w:bookmarkEnd w:id="778"/>
    </w:p>
    <w:p w:rsidR="00995A7F" w:rsidRPr="00D51A68" w:rsidRDefault="00995A7F" w:rsidP="00995A7F">
      <w:pPr>
        <w:pStyle w:val="Instructionsberschrift2"/>
        <w:numPr>
          <w:ilvl w:val="0"/>
          <w:numId w:val="0"/>
        </w:numPr>
        <w:ind w:left="357" w:hanging="357"/>
        <w:rPr>
          <w:rFonts w:ascii="Times New Roman" w:hAnsi="Times New Roman" w:cs="Times New Roman"/>
          <w:sz w:val="24"/>
          <w:u w:val="none"/>
        </w:rPr>
      </w:pPr>
      <w:bookmarkStart w:id="779" w:name="_Toc516210708"/>
      <w:bookmarkStart w:id="780" w:name="_Toc524096653"/>
      <w:r w:rsidRPr="00D51A68">
        <w:rPr>
          <w:rFonts w:ascii="Times New Roman" w:hAnsi="Times New Roman"/>
          <w:sz w:val="24"/>
          <w:u w:val="none"/>
        </w:rPr>
        <w:t>6.1.1.</w:t>
      </w:r>
      <w:r w:rsidR="00A0772B" w:rsidRPr="00D51A68">
        <w:rPr>
          <w:u w:val="none"/>
        </w:rPr>
        <w:tab/>
      </w:r>
      <w:r w:rsidRPr="00D51A68">
        <w:rPr>
          <w:rFonts w:ascii="Times New Roman" w:hAnsi="Times New Roman"/>
          <w:sz w:val="24"/>
        </w:rPr>
        <w:t>Osservazioni di carattere generale</w:t>
      </w:r>
      <w:bookmarkEnd w:id="779"/>
      <w:bookmarkEnd w:id="780"/>
      <w:r w:rsidRPr="00D51A68">
        <w:rPr>
          <w:rFonts w:ascii="Times New Roman" w:hAnsi="Times New Roman"/>
          <w:sz w:val="24"/>
          <w:u w:val="none"/>
        </w:rPr>
        <w:t xml:space="preserve"> </w:t>
      </w:r>
    </w:p>
    <w:p w:rsidR="00B93FA1" w:rsidRPr="00D51A68" w:rsidRDefault="00995A7F" w:rsidP="00BE76FD">
      <w:pPr>
        <w:pStyle w:val="InstructionsText2"/>
        <w:numPr>
          <w:ilvl w:val="0"/>
          <w:numId w:val="0"/>
        </w:numPr>
        <w:ind w:left="993"/>
      </w:pPr>
      <w:r w:rsidRPr="00D51A68">
        <w:t>154bis. Questo modello è compilato da tutti gli enti, a prescindere dal fatto che abbiano o meno adottato il metodo semplificato per la determinazione degli aggiustamenti di valutazione supplementari (AVA). Ha per oggetto il valore assoluto delle attività e passività valutate al fair value (valore equo) utilizzato per determinare se siano o meno soddisfatte le condizioni di cui all</w:t>
      </w:r>
      <w:r w:rsidR="0009277C" w:rsidRPr="00D51A68">
        <w:t>’</w:t>
      </w:r>
      <w:r w:rsidRPr="00D51A68">
        <w:t>articolo 4 del regolamento delegato (UE) 2016/101 sulla valutazione prudente per l</w:t>
      </w:r>
      <w:r w:rsidR="0009277C" w:rsidRPr="00D51A68">
        <w:t>’</w:t>
      </w:r>
      <w:r w:rsidRPr="00D51A68">
        <w:t>uso del metodo semplificato per la determinazione degli AVA.</w:t>
      </w:r>
    </w:p>
    <w:p w:rsidR="00995A7F" w:rsidRPr="00D51A68" w:rsidRDefault="00B93FA1" w:rsidP="00BE76FD">
      <w:pPr>
        <w:pStyle w:val="InstructionsText2"/>
        <w:numPr>
          <w:ilvl w:val="0"/>
          <w:numId w:val="0"/>
        </w:numPr>
        <w:ind w:left="993"/>
      </w:pPr>
      <w:r w:rsidRPr="00D51A68">
        <w:t>154ter. Per quanto riguarda gli enti che utilizzano il metodo semplificato, questo modello fornisce l</w:t>
      </w:r>
      <w:r w:rsidR="0009277C" w:rsidRPr="00D51A68">
        <w:t>’</w:t>
      </w:r>
      <w:r w:rsidRPr="00D51A68">
        <w:t>AVA totale da dedurre dai fondi propri a norma degli articoli 34 e 105 del CRR come previsto all</w:t>
      </w:r>
      <w:r w:rsidR="0009277C" w:rsidRPr="00D51A68">
        <w:t>’</w:t>
      </w:r>
      <w:r w:rsidRPr="00D51A68">
        <w:t>articolo 5 del regolamento delegato (UE) 2016/101 sulla valutazione prudente, che va segn</w:t>
      </w:r>
      <w:r w:rsidR="00BE76FD" w:rsidRPr="00D51A68">
        <w:t>alato di conseguenza nella riga </w:t>
      </w:r>
      <w:r w:rsidRPr="00D51A68">
        <w:t>290 del C 01.00.</w:t>
      </w:r>
    </w:p>
    <w:p w:rsidR="00B93FA1" w:rsidRPr="00D51A68" w:rsidRDefault="00B93FA1" w:rsidP="00B93FA1">
      <w:pPr>
        <w:pStyle w:val="Instructionsberschrift2"/>
        <w:numPr>
          <w:ilvl w:val="0"/>
          <w:numId w:val="0"/>
        </w:numPr>
        <w:ind w:left="357" w:hanging="357"/>
        <w:rPr>
          <w:rFonts w:ascii="Times New Roman" w:hAnsi="Times New Roman" w:cs="Times New Roman"/>
          <w:sz w:val="24"/>
          <w:u w:val="none"/>
        </w:rPr>
      </w:pPr>
      <w:bookmarkStart w:id="781" w:name="_Toc516210709"/>
      <w:bookmarkStart w:id="782" w:name="_Toc524096654"/>
      <w:r w:rsidRPr="00D51A68">
        <w:rPr>
          <w:rFonts w:ascii="Times New Roman" w:hAnsi="Times New Roman"/>
          <w:sz w:val="24"/>
          <w:u w:val="none"/>
        </w:rPr>
        <w:t>6.1.2.</w:t>
      </w:r>
      <w:r w:rsidR="00A0772B" w:rsidRPr="00D51A68">
        <w:rPr>
          <w:u w:val="none"/>
        </w:rPr>
        <w:tab/>
      </w:r>
      <w:r w:rsidRPr="00D51A68">
        <w:rPr>
          <w:rFonts w:ascii="Times New Roman" w:hAnsi="Times New Roman"/>
          <w:sz w:val="24"/>
        </w:rPr>
        <w:t>Istruzioni relative a posizioni specifiche</w:t>
      </w:r>
      <w:bookmarkEnd w:id="781"/>
      <w:bookmarkEnd w:id="782"/>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D51A68" w:rsidTr="00672D2A">
        <w:tc>
          <w:tcPr>
            <w:tcW w:w="9291" w:type="dxa"/>
            <w:gridSpan w:val="2"/>
            <w:shd w:val="clear" w:color="auto" w:fill="CCCCCC"/>
          </w:tcPr>
          <w:p w:rsidR="00B93FA1" w:rsidRPr="00D51A68" w:rsidRDefault="00B93FA1" w:rsidP="00AF3D7A">
            <w:pPr>
              <w:spacing w:beforeLines="60" w:before="144" w:afterLines="60" w:after="144"/>
              <w:rPr>
                <w:rFonts w:ascii="Times New Roman" w:hAnsi="Times New Roman"/>
                <w:b/>
                <w:sz w:val="24"/>
              </w:rPr>
            </w:pPr>
            <w:r w:rsidRPr="00D51A68">
              <w:rPr>
                <w:rFonts w:ascii="Times New Roman" w:hAnsi="Times New Roman"/>
                <w:b/>
                <w:sz w:val="24"/>
              </w:rPr>
              <w:t>Colonne</w:t>
            </w:r>
          </w:p>
        </w:tc>
      </w:tr>
      <w:tr w:rsidR="00B93FA1" w:rsidRPr="00D51A68" w:rsidTr="00672D2A">
        <w:tc>
          <w:tcPr>
            <w:tcW w:w="1101" w:type="dxa"/>
          </w:tcPr>
          <w:p w:rsidR="00B93FA1" w:rsidRPr="00D51A68" w:rsidRDefault="00B93FA1" w:rsidP="00AF3D7A">
            <w:pPr>
              <w:spacing w:beforeLines="60" w:before="144" w:afterLines="60" w:after="144"/>
              <w:rPr>
                <w:rFonts w:ascii="Times New Roman" w:hAnsi="Times New Roman"/>
                <w:sz w:val="24"/>
              </w:rPr>
            </w:pPr>
            <w:r w:rsidRPr="00D51A68">
              <w:rPr>
                <w:rFonts w:ascii="Times New Roman" w:hAnsi="Times New Roman"/>
                <w:sz w:val="24"/>
              </w:rPr>
              <w:t>0010</w:t>
            </w:r>
          </w:p>
        </w:tc>
        <w:tc>
          <w:tcPr>
            <w:tcW w:w="8190" w:type="dxa"/>
          </w:tcPr>
          <w:p w:rsidR="00B93FA1" w:rsidRPr="00D51A68" w:rsidRDefault="00B93FA1" w:rsidP="00AF3D7A">
            <w:pPr>
              <w:spacing w:beforeLines="60" w:before="144" w:afterLines="60" w:after="144"/>
              <w:rPr>
                <w:rFonts w:ascii="Times New Roman" w:hAnsi="Times New Roman"/>
                <w:b/>
                <w:caps/>
                <w:sz w:val="24"/>
                <w:u w:val="single"/>
              </w:rPr>
            </w:pPr>
            <w:r w:rsidRPr="00D51A68">
              <w:rPr>
                <w:rFonts w:ascii="Times New Roman" w:hAnsi="Times New Roman"/>
                <w:b/>
                <w:caps/>
                <w:sz w:val="24"/>
                <w:u w:val="single"/>
              </w:rPr>
              <w:t>ATTIVITÀ E PASSIVITÀ VALUTATE AL FAIR VALUE (VALORE EQUO)</w:t>
            </w:r>
          </w:p>
          <w:p w:rsidR="00B93FA1" w:rsidRPr="00D51A68" w:rsidRDefault="00B93FA1" w:rsidP="00C11B8D">
            <w:pPr>
              <w:spacing w:beforeLines="60" w:before="144" w:afterLines="60" w:after="144"/>
              <w:rPr>
                <w:rFonts w:ascii="Times New Roman" w:hAnsi="Times New Roman"/>
                <w:sz w:val="24"/>
              </w:rPr>
            </w:pPr>
            <w:r w:rsidRPr="00D51A68">
              <w:rPr>
                <w:rFonts w:ascii="Times New Roman" w:hAnsi="Times New Roman"/>
                <w:sz w:val="24"/>
              </w:rPr>
              <w:t>Il valore assoluto delle attività e delle passività valutate al fair value (valore equo) rilevato a bilancio ai sensi della disciplina contabile applicabile di cui all</w:t>
            </w:r>
            <w:r w:rsidR="0009277C" w:rsidRPr="00D51A68">
              <w:rPr>
                <w:rFonts w:ascii="Times New Roman" w:hAnsi="Times New Roman"/>
                <w:sz w:val="24"/>
              </w:rPr>
              <w:t>’</w:t>
            </w:r>
            <w:r w:rsidR="00BE76FD" w:rsidRPr="00D51A68">
              <w:rPr>
                <w:rFonts w:ascii="Times New Roman" w:hAnsi="Times New Roman"/>
                <w:sz w:val="24"/>
              </w:rPr>
              <w:t>articolo </w:t>
            </w:r>
            <w:r w:rsidRPr="00D51A68">
              <w:rPr>
                <w:rFonts w:ascii="Times New Roman" w:hAnsi="Times New Roman"/>
                <w:sz w:val="24"/>
              </w:rPr>
              <w:t>4, paragrafo 1, del regolamento delegato (UE) 2016/101 sulla valutazione prudente, prima di qualsiasi deduzione a norma dell</w:t>
            </w:r>
            <w:r w:rsidR="0009277C" w:rsidRPr="00D51A68">
              <w:rPr>
                <w:rFonts w:ascii="Times New Roman" w:hAnsi="Times New Roman"/>
                <w:sz w:val="24"/>
              </w:rPr>
              <w:t>’</w:t>
            </w:r>
            <w:r w:rsidRPr="00D51A68">
              <w:rPr>
                <w:rFonts w:ascii="Times New Roman" w:hAnsi="Times New Roman"/>
                <w:sz w:val="24"/>
              </w:rPr>
              <w:t>articolo 4, paragrafo 2.</w:t>
            </w:r>
          </w:p>
        </w:tc>
      </w:tr>
      <w:tr w:rsidR="00B93FA1" w:rsidRPr="00D51A68" w:rsidTr="00672D2A">
        <w:tc>
          <w:tcPr>
            <w:tcW w:w="1101" w:type="dxa"/>
          </w:tcPr>
          <w:p w:rsidR="00B93FA1" w:rsidRPr="00D51A68" w:rsidRDefault="001924F4" w:rsidP="00AF3D7A">
            <w:pPr>
              <w:spacing w:beforeLines="60" w:before="144" w:afterLines="60" w:after="144"/>
              <w:rPr>
                <w:rFonts w:ascii="Times New Roman" w:hAnsi="Times New Roman"/>
                <w:sz w:val="24"/>
              </w:rPr>
            </w:pPr>
            <w:r w:rsidRPr="00D51A68">
              <w:rPr>
                <w:rFonts w:ascii="Times New Roman" w:hAnsi="Times New Roman"/>
                <w:sz w:val="24"/>
              </w:rPr>
              <w:t>0020</w:t>
            </w:r>
          </w:p>
        </w:tc>
        <w:tc>
          <w:tcPr>
            <w:tcW w:w="8190" w:type="dxa"/>
          </w:tcPr>
          <w:p w:rsidR="00B93FA1" w:rsidRPr="00D51A68" w:rsidRDefault="00B93FA1" w:rsidP="00AF3D7A">
            <w:pPr>
              <w:spacing w:beforeLines="60" w:before="144" w:afterLines="60" w:after="144"/>
              <w:rPr>
                <w:rFonts w:ascii="Times New Roman" w:hAnsi="Times New Roman"/>
                <w:b/>
                <w:caps/>
                <w:sz w:val="24"/>
                <w:u w:val="single"/>
              </w:rPr>
            </w:pPr>
            <w:r w:rsidRPr="00D51A68">
              <w:rPr>
                <w:rFonts w:ascii="Times New Roman" w:hAnsi="Times New Roman"/>
                <w:b/>
                <w:caps/>
                <w:sz w:val="24"/>
                <w:u w:val="single"/>
              </w:rPr>
              <w:t>DI CUI: portafoglio di negoziazione</w:t>
            </w:r>
          </w:p>
          <w:p w:rsidR="00B93FA1" w:rsidRPr="00D51A68" w:rsidRDefault="00B93FA1" w:rsidP="00AF3D7A">
            <w:pPr>
              <w:spacing w:beforeLines="60" w:before="144" w:afterLines="60" w:after="144"/>
              <w:rPr>
                <w:rFonts w:ascii="Times New Roman" w:hAnsi="Times New Roman"/>
                <w:b/>
                <w:caps/>
                <w:sz w:val="24"/>
                <w:u w:val="single"/>
              </w:rPr>
            </w:pPr>
            <w:r w:rsidRPr="00D51A68">
              <w:rPr>
                <w:rFonts w:ascii="Times New Roman" w:hAnsi="Times New Roman"/>
                <w:sz w:val="24"/>
              </w:rPr>
              <w:t xml:space="preserve">Il valore assoluto delle attività e delle passività valutate al fair value (valore equo) di cui a 010 corrispondenti a posizioni detenute nel portafoglio di negoziazione. </w:t>
            </w:r>
          </w:p>
        </w:tc>
      </w:tr>
      <w:tr w:rsidR="00B93FA1" w:rsidRPr="00D51A68" w:rsidTr="00672D2A">
        <w:tc>
          <w:tcPr>
            <w:tcW w:w="1101" w:type="dxa"/>
          </w:tcPr>
          <w:p w:rsidR="00B93FA1" w:rsidRPr="00D51A68" w:rsidRDefault="00B93FA1" w:rsidP="00AF3D7A">
            <w:pPr>
              <w:spacing w:beforeLines="60" w:before="144" w:afterLines="60" w:after="144"/>
              <w:rPr>
                <w:rFonts w:ascii="Times New Roman" w:hAnsi="Times New Roman"/>
                <w:sz w:val="24"/>
              </w:rPr>
            </w:pPr>
            <w:r w:rsidRPr="00D51A68">
              <w:rPr>
                <w:rFonts w:ascii="Times New Roman" w:hAnsi="Times New Roman"/>
                <w:sz w:val="24"/>
              </w:rPr>
              <w:t>0030-0070</w:t>
            </w:r>
          </w:p>
        </w:tc>
        <w:tc>
          <w:tcPr>
            <w:tcW w:w="8190" w:type="dxa"/>
          </w:tcPr>
          <w:p w:rsidR="00B93FA1" w:rsidRPr="00D51A68" w:rsidRDefault="00B93FA1" w:rsidP="00AF3D7A">
            <w:pPr>
              <w:spacing w:beforeLines="60" w:before="144" w:afterLines="60" w:after="144"/>
              <w:rPr>
                <w:rFonts w:ascii="Times New Roman" w:hAnsi="Times New Roman"/>
                <w:b/>
                <w:caps/>
                <w:sz w:val="24"/>
                <w:u w:val="single"/>
              </w:rPr>
            </w:pPr>
            <w:r w:rsidRPr="00D51A68">
              <w:rPr>
                <w:rFonts w:ascii="Times New Roman" w:hAnsi="Times New Roman"/>
                <w:b/>
                <w:caps/>
                <w:sz w:val="24"/>
                <w:u w:val="single"/>
              </w:rPr>
              <w:t>ATTIVITÀ E PASSIVITÀ VALUTATE AL FAIR VALUE (VALORE EQUO) ESCLUSE A CAUSA DELL</w:t>
            </w:r>
            <w:r w:rsidR="0009277C" w:rsidRPr="00D51A68">
              <w:rPr>
                <w:rFonts w:ascii="Times New Roman" w:hAnsi="Times New Roman"/>
                <w:b/>
                <w:caps/>
                <w:sz w:val="24"/>
                <w:u w:val="single"/>
              </w:rPr>
              <w:t>’</w:t>
            </w:r>
            <w:r w:rsidRPr="00D51A68">
              <w:rPr>
                <w:rFonts w:ascii="Times New Roman" w:hAnsi="Times New Roman"/>
                <w:b/>
                <w:caps/>
                <w:sz w:val="24"/>
                <w:u w:val="single"/>
              </w:rPr>
              <w:t>IMPATTO PARZIALE SUL CET1</w:t>
            </w:r>
          </w:p>
          <w:p w:rsidR="00B93FA1" w:rsidRPr="00D51A68" w:rsidRDefault="00B93FA1" w:rsidP="00C11B8D">
            <w:pPr>
              <w:spacing w:beforeLines="60" w:before="144" w:afterLines="60" w:after="144"/>
              <w:rPr>
                <w:rFonts w:ascii="Times New Roman" w:hAnsi="Times New Roman"/>
                <w:b/>
                <w:caps/>
                <w:sz w:val="24"/>
                <w:u w:val="single"/>
              </w:rPr>
            </w:pPr>
            <w:r w:rsidRPr="00D51A68">
              <w:rPr>
                <w:rFonts w:ascii="Times New Roman" w:hAnsi="Times New Roman"/>
                <w:sz w:val="24"/>
              </w:rPr>
              <w:t>Il valore assoluto delle attività e delle passività valutate al fair value (valore equo) escluse a norma dell</w:t>
            </w:r>
            <w:r w:rsidR="0009277C" w:rsidRPr="00D51A68">
              <w:rPr>
                <w:rFonts w:ascii="Times New Roman" w:hAnsi="Times New Roman"/>
                <w:sz w:val="24"/>
              </w:rPr>
              <w:t>’</w:t>
            </w:r>
            <w:r w:rsidRPr="00D51A68">
              <w:rPr>
                <w:rFonts w:ascii="Times New Roman" w:hAnsi="Times New Roman"/>
                <w:sz w:val="24"/>
              </w:rPr>
              <w:t>articolo 4, paragrafo 2, del regolamento delegato (UE) 2016/101 sulla valutazione prudente.</w:t>
            </w:r>
          </w:p>
        </w:tc>
      </w:tr>
      <w:tr w:rsidR="00B93FA1" w:rsidRPr="00D51A68" w:rsidTr="00672D2A">
        <w:tc>
          <w:tcPr>
            <w:tcW w:w="1101" w:type="dxa"/>
          </w:tcPr>
          <w:p w:rsidR="00B93FA1" w:rsidRPr="00D51A68" w:rsidRDefault="00B93FA1" w:rsidP="00AF3D7A">
            <w:pPr>
              <w:spacing w:beforeLines="60" w:before="144" w:afterLines="60" w:after="144"/>
              <w:rPr>
                <w:rFonts w:ascii="Times New Roman" w:hAnsi="Times New Roman"/>
                <w:sz w:val="24"/>
              </w:rPr>
            </w:pPr>
            <w:r w:rsidRPr="00D51A68">
              <w:rPr>
                <w:rFonts w:ascii="Times New Roman" w:hAnsi="Times New Roman"/>
                <w:sz w:val="24"/>
              </w:rPr>
              <w:t>0030</w:t>
            </w:r>
          </w:p>
        </w:tc>
        <w:tc>
          <w:tcPr>
            <w:tcW w:w="8190" w:type="dxa"/>
          </w:tcPr>
          <w:p w:rsidR="00B93FA1" w:rsidRPr="00D51A68" w:rsidRDefault="00B93FA1" w:rsidP="00AF3D7A">
            <w:pPr>
              <w:spacing w:beforeLines="60" w:before="144" w:afterLines="60" w:after="144"/>
              <w:rPr>
                <w:rFonts w:ascii="Times New Roman" w:hAnsi="Times New Roman"/>
                <w:b/>
                <w:caps/>
                <w:sz w:val="24"/>
                <w:u w:val="single"/>
              </w:rPr>
            </w:pPr>
            <w:r w:rsidRPr="00D51A68">
              <w:rPr>
                <w:rFonts w:ascii="Times New Roman" w:hAnsi="Times New Roman"/>
                <w:b/>
                <w:caps/>
                <w:sz w:val="24"/>
                <w:u w:val="single"/>
              </w:rPr>
              <w:t>Perfettamente corrispondenti</w:t>
            </w:r>
          </w:p>
          <w:p w:rsidR="00B93FA1" w:rsidRPr="00D51A68" w:rsidRDefault="00B93FA1" w:rsidP="00C11B8D">
            <w:pPr>
              <w:spacing w:beforeLines="60" w:before="144" w:afterLines="60" w:after="144"/>
              <w:rPr>
                <w:rFonts w:ascii="Times New Roman" w:hAnsi="Times New Roman"/>
                <w:sz w:val="24"/>
              </w:rPr>
            </w:pPr>
            <w:r w:rsidRPr="00D51A68">
              <w:rPr>
                <w:rFonts w:ascii="Times New Roman" w:hAnsi="Times New Roman"/>
                <w:sz w:val="24"/>
              </w:rPr>
              <w:t>Le attività e le passività valutate al fair value (valore equo) di segno opposto perfettamente corrispondenti escluse a norma dell</w:t>
            </w:r>
            <w:r w:rsidR="0009277C" w:rsidRPr="00D51A68">
              <w:rPr>
                <w:rFonts w:ascii="Times New Roman" w:hAnsi="Times New Roman"/>
                <w:sz w:val="24"/>
              </w:rPr>
              <w:t>’</w:t>
            </w:r>
            <w:r w:rsidRPr="00D51A68">
              <w:rPr>
                <w:rFonts w:ascii="Times New Roman" w:hAnsi="Times New Roman"/>
                <w:sz w:val="24"/>
              </w:rPr>
              <w:t>articolo 4, paragrafo 2, del regolamento delegato (UE) 2016/101 sulla valutazione prudente.</w:t>
            </w:r>
          </w:p>
        </w:tc>
      </w:tr>
      <w:tr w:rsidR="00B93FA1" w:rsidRPr="00D51A68" w:rsidTr="00672D2A">
        <w:tc>
          <w:tcPr>
            <w:tcW w:w="1101" w:type="dxa"/>
          </w:tcPr>
          <w:p w:rsidR="00B93FA1" w:rsidRPr="00D51A68" w:rsidRDefault="001924F4" w:rsidP="00AF3D7A">
            <w:pPr>
              <w:spacing w:beforeLines="60" w:before="144" w:afterLines="60" w:after="144"/>
              <w:rPr>
                <w:rFonts w:ascii="Times New Roman" w:hAnsi="Times New Roman"/>
                <w:sz w:val="24"/>
              </w:rPr>
            </w:pPr>
            <w:r w:rsidRPr="00D51A68">
              <w:rPr>
                <w:rFonts w:ascii="Times New Roman" w:hAnsi="Times New Roman"/>
                <w:sz w:val="24"/>
              </w:rPr>
              <w:t>0040</w:t>
            </w:r>
          </w:p>
        </w:tc>
        <w:tc>
          <w:tcPr>
            <w:tcW w:w="8190" w:type="dxa"/>
          </w:tcPr>
          <w:p w:rsidR="00B93FA1" w:rsidRPr="00D51A68" w:rsidRDefault="00B93FA1" w:rsidP="00AF3D7A">
            <w:pPr>
              <w:spacing w:beforeLines="60" w:before="144" w:afterLines="60" w:after="144"/>
              <w:rPr>
                <w:rFonts w:ascii="Times New Roman" w:hAnsi="Times New Roman"/>
                <w:b/>
                <w:caps/>
                <w:sz w:val="24"/>
                <w:u w:val="single"/>
              </w:rPr>
            </w:pPr>
            <w:r w:rsidRPr="00D51A68">
              <w:rPr>
                <w:rFonts w:ascii="Times New Roman" w:hAnsi="Times New Roman"/>
                <w:b/>
                <w:caps/>
                <w:sz w:val="24"/>
                <w:u w:val="single"/>
              </w:rPr>
              <w:t>Contabilizzazione delle operazioni di copertura</w:t>
            </w:r>
          </w:p>
          <w:p w:rsidR="00B93FA1" w:rsidRPr="00D51A68" w:rsidRDefault="00B93FA1" w:rsidP="00733B77">
            <w:pPr>
              <w:spacing w:beforeLines="60" w:before="144" w:afterLines="60" w:after="144"/>
              <w:rPr>
                <w:rFonts w:ascii="Times New Roman" w:hAnsi="Times New Roman"/>
                <w:sz w:val="24"/>
              </w:rPr>
            </w:pPr>
            <w:r w:rsidRPr="00D51A68">
              <w:rPr>
                <w:rFonts w:ascii="Times New Roman" w:hAnsi="Times New Roman"/>
                <w:sz w:val="24"/>
              </w:rPr>
              <w:t>Per le posizioni soggette a contabilizzazione delle operazioni di copertura ai sensi della disciplina contabile applicabile, il valore assoluto delle attività e delle passività valutate al fair value (valore equo) escluse in proporzione all</w:t>
            </w:r>
            <w:r w:rsidR="0009277C" w:rsidRPr="00D51A68">
              <w:rPr>
                <w:rFonts w:ascii="Times New Roman" w:hAnsi="Times New Roman"/>
                <w:sz w:val="24"/>
              </w:rPr>
              <w:t>’</w:t>
            </w:r>
            <w:r w:rsidRPr="00D51A68">
              <w:rPr>
                <w:rFonts w:ascii="Times New Roman" w:hAnsi="Times New Roman"/>
                <w:sz w:val="24"/>
              </w:rPr>
              <w:t>impatto della pertinente variazione della valutazione sul capitale CET1 a norma dell</w:t>
            </w:r>
            <w:r w:rsidR="0009277C" w:rsidRPr="00D51A68">
              <w:rPr>
                <w:rFonts w:ascii="Times New Roman" w:hAnsi="Times New Roman"/>
                <w:sz w:val="24"/>
              </w:rPr>
              <w:t>’</w:t>
            </w:r>
            <w:r w:rsidRPr="00D51A68">
              <w:rPr>
                <w:rFonts w:ascii="Times New Roman" w:hAnsi="Times New Roman"/>
                <w:sz w:val="24"/>
              </w:rPr>
              <w:t>articolo 4, paragrafo 2, del regolamento delegato (UE) 2016/101 sulla valutazione prudente.</w:t>
            </w:r>
          </w:p>
        </w:tc>
      </w:tr>
      <w:tr w:rsidR="00B93FA1" w:rsidRPr="00D51A68" w:rsidTr="00672D2A">
        <w:tc>
          <w:tcPr>
            <w:tcW w:w="1101" w:type="dxa"/>
          </w:tcPr>
          <w:p w:rsidR="00B93FA1" w:rsidRPr="00D51A68" w:rsidRDefault="001924F4" w:rsidP="00AF3D7A">
            <w:pPr>
              <w:spacing w:beforeLines="60" w:before="144" w:afterLines="60" w:after="144"/>
              <w:rPr>
                <w:rFonts w:ascii="Times New Roman" w:hAnsi="Times New Roman"/>
                <w:sz w:val="24"/>
              </w:rPr>
            </w:pPr>
            <w:r w:rsidRPr="00D51A68">
              <w:rPr>
                <w:rFonts w:ascii="Times New Roman" w:hAnsi="Times New Roman"/>
                <w:sz w:val="24"/>
              </w:rPr>
              <w:t>0050</w:t>
            </w:r>
          </w:p>
        </w:tc>
        <w:tc>
          <w:tcPr>
            <w:tcW w:w="8190" w:type="dxa"/>
          </w:tcPr>
          <w:p w:rsidR="00B93FA1" w:rsidRPr="00D51A68" w:rsidRDefault="00B93FA1" w:rsidP="00AF3D7A">
            <w:pPr>
              <w:spacing w:beforeLines="60" w:before="144" w:afterLines="60" w:after="144"/>
              <w:rPr>
                <w:rFonts w:ascii="Times New Roman" w:hAnsi="Times New Roman"/>
                <w:b/>
                <w:caps/>
                <w:sz w:val="24"/>
              </w:rPr>
            </w:pPr>
            <w:r w:rsidRPr="00D51A68">
              <w:rPr>
                <w:rFonts w:ascii="Times New Roman" w:hAnsi="Times New Roman"/>
                <w:b/>
                <w:caps/>
                <w:sz w:val="24"/>
                <w:u w:val="single"/>
              </w:rPr>
              <w:t xml:space="preserve">Filtri PRUDENZIALI </w:t>
            </w:r>
          </w:p>
          <w:p w:rsidR="00B93FA1" w:rsidRPr="00D51A68" w:rsidRDefault="00B93FA1" w:rsidP="00733B77">
            <w:pPr>
              <w:spacing w:beforeLines="60" w:before="144" w:afterLines="60" w:after="144"/>
              <w:rPr>
                <w:rFonts w:ascii="Times New Roman" w:hAnsi="Times New Roman"/>
                <w:sz w:val="24"/>
              </w:rPr>
            </w:pPr>
            <w:r w:rsidRPr="00D51A68">
              <w:rPr>
                <w:rFonts w:ascii="Times New Roman" w:hAnsi="Times New Roman"/>
                <w:sz w:val="24"/>
              </w:rPr>
              <w:t>Il valore assoluto delle attività e delle passività valutate al fair value (valore equo) escluse a norma dell</w:t>
            </w:r>
            <w:r w:rsidR="0009277C" w:rsidRPr="00D51A68">
              <w:rPr>
                <w:rFonts w:ascii="Times New Roman" w:hAnsi="Times New Roman"/>
                <w:sz w:val="24"/>
              </w:rPr>
              <w:t>’</w:t>
            </w:r>
            <w:r w:rsidRPr="00D51A68">
              <w:rPr>
                <w:rFonts w:ascii="Times New Roman" w:hAnsi="Times New Roman"/>
                <w:sz w:val="24"/>
              </w:rPr>
              <w:t xml:space="preserve">articolo 4, paragrafo 2, del regolamento delegato (UE) 2016/101 sulla valutazione prudente a causa dei filtri </w:t>
            </w:r>
            <w:r w:rsidR="00BE76FD" w:rsidRPr="00D51A68">
              <w:rPr>
                <w:rFonts w:ascii="Times New Roman" w:hAnsi="Times New Roman"/>
                <w:sz w:val="24"/>
              </w:rPr>
              <w:t>transitori di cui agli articoli </w:t>
            </w:r>
            <w:r w:rsidRPr="00D51A68">
              <w:rPr>
                <w:rFonts w:ascii="Times New Roman" w:hAnsi="Times New Roman"/>
                <w:sz w:val="24"/>
              </w:rPr>
              <w:t>467 e 468 del CRR.</w:t>
            </w:r>
          </w:p>
        </w:tc>
      </w:tr>
      <w:tr w:rsidR="00B93FA1" w:rsidRPr="00D51A68" w:rsidTr="00672D2A">
        <w:tc>
          <w:tcPr>
            <w:tcW w:w="1101" w:type="dxa"/>
          </w:tcPr>
          <w:p w:rsidR="00B93FA1" w:rsidRPr="00D51A68" w:rsidRDefault="001924F4" w:rsidP="00B93FA1">
            <w:pPr>
              <w:spacing w:beforeLines="60" w:before="144" w:afterLines="60" w:after="144"/>
              <w:rPr>
                <w:rFonts w:ascii="Times New Roman" w:hAnsi="Times New Roman"/>
                <w:sz w:val="24"/>
              </w:rPr>
            </w:pPr>
            <w:r w:rsidRPr="00D51A68">
              <w:rPr>
                <w:rFonts w:ascii="Times New Roman" w:hAnsi="Times New Roman"/>
                <w:sz w:val="24"/>
              </w:rPr>
              <w:t>0060</w:t>
            </w:r>
          </w:p>
        </w:tc>
        <w:tc>
          <w:tcPr>
            <w:tcW w:w="8190" w:type="dxa"/>
          </w:tcPr>
          <w:p w:rsidR="00B93FA1" w:rsidRPr="00D51A68" w:rsidRDefault="00B93FA1" w:rsidP="00AF3D7A">
            <w:pPr>
              <w:spacing w:beforeLines="60" w:before="144" w:afterLines="60" w:after="144"/>
              <w:rPr>
                <w:rFonts w:ascii="Times New Roman" w:hAnsi="Times New Roman"/>
                <w:b/>
                <w:caps/>
                <w:sz w:val="24"/>
                <w:u w:val="single"/>
              </w:rPr>
            </w:pPr>
            <w:r w:rsidRPr="00D51A68">
              <w:rPr>
                <w:rFonts w:ascii="Times New Roman" w:hAnsi="Times New Roman"/>
                <w:b/>
                <w:caps/>
                <w:sz w:val="24"/>
                <w:u w:val="single"/>
              </w:rPr>
              <w:t>Altro</w:t>
            </w:r>
          </w:p>
          <w:p w:rsidR="00B93FA1" w:rsidRPr="00D51A68" w:rsidRDefault="00B93FA1" w:rsidP="00AF3D7A">
            <w:pPr>
              <w:spacing w:beforeLines="60" w:before="144" w:afterLines="60" w:after="144"/>
              <w:rPr>
                <w:rFonts w:ascii="Times New Roman" w:hAnsi="Times New Roman"/>
                <w:sz w:val="24"/>
              </w:rPr>
            </w:pPr>
            <w:r w:rsidRPr="00D51A68">
              <w:rPr>
                <w:rFonts w:ascii="Times New Roman" w:hAnsi="Times New Roman"/>
                <w:sz w:val="24"/>
              </w:rPr>
              <w:t>Qualsiasi altra posizione esclusa a norma dell</w:t>
            </w:r>
            <w:r w:rsidR="0009277C" w:rsidRPr="00D51A68">
              <w:rPr>
                <w:rFonts w:ascii="Times New Roman" w:hAnsi="Times New Roman"/>
                <w:sz w:val="24"/>
              </w:rPr>
              <w:t>’</w:t>
            </w:r>
            <w:r w:rsidRPr="00D51A68">
              <w:rPr>
                <w:rFonts w:ascii="Times New Roman" w:hAnsi="Times New Roman"/>
                <w:sz w:val="24"/>
              </w:rPr>
              <w:t>articolo 4, paragrafo 2, del regolamento delegato (UE) 2016/101 sulla valutazione prudente a causa di aggiustamenti del valore contabile aventi solo un effetto proporzionale sul capitale CET1.</w:t>
            </w:r>
          </w:p>
          <w:p w:rsidR="00B93FA1" w:rsidRPr="00D51A68" w:rsidRDefault="00B93FA1" w:rsidP="00733B77">
            <w:pPr>
              <w:spacing w:beforeLines="60" w:before="144" w:afterLines="60" w:after="144"/>
              <w:rPr>
                <w:rFonts w:ascii="Times New Roman" w:hAnsi="Times New Roman"/>
                <w:sz w:val="24"/>
              </w:rPr>
            </w:pPr>
            <w:r w:rsidRPr="00D51A68">
              <w:rPr>
                <w:rFonts w:ascii="Times New Roman" w:hAnsi="Times New Roman"/>
                <w:sz w:val="24"/>
              </w:rPr>
              <w:t>Questa riga è compilata solo nei rari casi in cui elementi esclusi a norma dell</w:t>
            </w:r>
            <w:r w:rsidR="0009277C" w:rsidRPr="00D51A68">
              <w:rPr>
                <w:rFonts w:ascii="Times New Roman" w:hAnsi="Times New Roman"/>
                <w:sz w:val="24"/>
              </w:rPr>
              <w:t>’</w:t>
            </w:r>
            <w:r w:rsidRPr="00D51A68">
              <w:rPr>
                <w:rFonts w:ascii="Times New Roman" w:hAnsi="Times New Roman"/>
                <w:sz w:val="24"/>
              </w:rPr>
              <w:t>articolo 4, paragrafo 2, del regolamento delegato (UE) 2016/101 sulla valutazione prudente non possono essere indicati nelle colonne 0030, 0040 o 0050 di questo modello.</w:t>
            </w:r>
          </w:p>
        </w:tc>
      </w:tr>
      <w:tr w:rsidR="00B93FA1" w:rsidRPr="00D51A68" w:rsidTr="00672D2A">
        <w:tc>
          <w:tcPr>
            <w:tcW w:w="1101" w:type="dxa"/>
          </w:tcPr>
          <w:p w:rsidR="00B93FA1" w:rsidRPr="00D51A68" w:rsidRDefault="001924F4" w:rsidP="00AF3D7A">
            <w:pPr>
              <w:spacing w:beforeLines="60" w:before="144" w:afterLines="60" w:after="144"/>
              <w:rPr>
                <w:rFonts w:ascii="Times New Roman" w:hAnsi="Times New Roman"/>
                <w:sz w:val="24"/>
              </w:rPr>
            </w:pPr>
            <w:r w:rsidRPr="00D51A68">
              <w:rPr>
                <w:rFonts w:ascii="Times New Roman" w:hAnsi="Times New Roman"/>
                <w:sz w:val="24"/>
              </w:rPr>
              <w:t>0070</w:t>
            </w:r>
          </w:p>
        </w:tc>
        <w:tc>
          <w:tcPr>
            <w:tcW w:w="8190" w:type="dxa"/>
          </w:tcPr>
          <w:p w:rsidR="00B93FA1" w:rsidRPr="00D51A68" w:rsidRDefault="00B93FA1" w:rsidP="00AF3D7A">
            <w:pPr>
              <w:spacing w:beforeLines="60" w:before="144" w:afterLines="60" w:after="144"/>
              <w:rPr>
                <w:rFonts w:ascii="Times New Roman" w:hAnsi="Times New Roman"/>
                <w:sz w:val="24"/>
              </w:rPr>
            </w:pPr>
            <w:r w:rsidRPr="00D51A68">
              <w:rPr>
                <w:rFonts w:ascii="Times New Roman" w:hAnsi="Times New Roman"/>
                <w:b/>
                <w:caps/>
                <w:sz w:val="24"/>
                <w:u w:val="single"/>
              </w:rPr>
              <w:t>Commenti per altro</w:t>
            </w:r>
            <w:r w:rsidRPr="00D51A68">
              <w:rPr>
                <w:rFonts w:ascii="Times New Roman" w:hAnsi="Times New Roman"/>
                <w:sz w:val="24"/>
              </w:rPr>
              <w:t xml:space="preserve"> </w:t>
            </w:r>
          </w:p>
          <w:p w:rsidR="00B93FA1" w:rsidRPr="00D51A68" w:rsidRDefault="00C11B8D" w:rsidP="00584165">
            <w:pPr>
              <w:spacing w:beforeLines="60" w:before="144" w:afterLines="60" w:after="144"/>
              <w:rPr>
                <w:rFonts w:ascii="Times New Roman" w:hAnsi="Times New Roman"/>
                <w:b/>
                <w:caps/>
                <w:sz w:val="24"/>
                <w:u w:val="single"/>
              </w:rPr>
            </w:pPr>
            <w:r w:rsidRPr="00D51A68">
              <w:rPr>
                <w:rFonts w:ascii="Times New Roman" w:hAnsi="Times New Roman"/>
                <w:sz w:val="24"/>
              </w:rPr>
              <w:t>Occorre indicare le ragioni principali per cui le po</w:t>
            </w:r>
            <w:r w:rsidR="00BE76FD" w:rsidRPr="00D51A68">
              <w:rPr>
                <w:rFonts w:ascii="Times New Roman" w:hAnsi="Times New Roman"/>
                <w:sz w:val="24"/>
              </w:rPr>
              <w:t>sizioni segnalate nella colonna </w:t>
            </w:r>
            <w:r w:rsidRPr="00D51A68">
              <w:rPr>
                <w:rFonts w:ascii="Times New Roman" w:hAnsi="Times New Roman"/>
                <w:sz w:val="24"/>
              </w:rPr>
              <w:t>0060 sono state escluse.</w:t>
            </w:r>
          </w:p>
        </w:tc>
      </w:tr>
      <w:tr w:rsidR="00B93FA1" w:rsidRPr="00D51A68" w:rsidTr="00672D2A">
        <w:tc>
          <w:tcPr>
            <w:tcW w:w="1101" w:type="dxa"/>
          </w:tcPr>
          <w:p w:rsidR="00B93FA1" w:rsidRPr="00D51A68" w:rsidRDefault="001924F4" w:rsidP="00AF3D7A">
            <w:pPr>
              <w:spacing w:beforeLines="60" w:before="144" w:afterLines="60" w:after="144"/>
              <w:rPr>
                <w:rFonts w:ascii="Times New Roman" w:hAnsi="Times New Roman"/>
                <w:sz w:val="24"/>
              </w:rPr>
            </w:pPr>
            <w:r w:rsidRPr="00D51A68">
              <w:rPr>
                <w:rFonts w:ascii="Times New Roman" w:hAnsi="Times New Roman"/>
                <w:sz w:val="24"/>
              </w:rPr>
              <w:t>0080</w:t>
            </w:r>
          </w:p>
        </w:tc>
        <w:tc>
          <w:tcPr>
            <w:tcW w:w="8190" w:type="dxa"/>
          </w:tcPr>
          <w:p w:rsidR="00B93FA1" w:rsidRPr="00D51A68" w:rsidRDefault="00B93FA1" w:rsidP="00AF3D7A">
            <w:pPr>
              <w:spacing w:beforeLines="60" w:before="144" w:afterLines="60" w:after="144"/>
              <w:rPr>
                <w:rFonts w:ascii="Times New Roman" w:hAnsi="Times New Roman"/>
                <w:b/>
                <w:caps/>
                <w:sz w:val="24"/>
                <w:u w:val="single"/>
              </w:rPr>
            </w:pPr>
            <w:r w:rsidRPr="00D51A68">
              <w:rPr>
                <w:rFonts w:ascii="Times New Roman" w:hAnsi="Times New Roman"/>
                <w:b/>
                <w:caps/>
                <w:sz w:val="24"/>
                <w:u w:val="single"/>
              </w:rPr>
              <w:t>Attività e passività VALUTATE AL FAIR VALUE (VALORE EQUO) incluse nella soglia di cui all</w:t>
            </w:r>
            <w:r w:rsidR="0009277C" w:rsidRPr="00D51A68">
              <w:rPr>
                <w:rFonts w:ascii="Times New Roman" w:hAnsi="Times New Roman"/>
                <w:b/>
                <w:caps/>
                <w:sz w:val="24"/>
                <w:u w:val="single"/>
              </w:rPr>
              <w:t>’</w:t>
            </w:r>
            <w:r w:rsidRPr="00D51A68">
              <w:rPr>
                <w:rFonts w:ascii="Times New Roman" w:hAnsi="Times New Roman"/>
                <w:b/>
                <w:caps/>
                <w:sz w:val="24"/>
                <w:u w:val="single"/>
              </w:rPr>
              <w:t>ART. 4, PAR. 1</w:t>
            </w:r>
          </w:p>
          <w:p w:rsidR="00B93FA1" w:rsidRPr="00D51A68" w:rsidRDefault="00B93FA1" w:rsidP="00733B77">
            <w:pPr>
              <w:spacing w:beforeLines="60" w:before="144" w:afterLines="60" w:after="144"/>
              <w:rPr>
                <w:rFonts w:ascii="Times New Roman" w:hAnsi="Times New Roman"/>
                <w:b/>
                <w:caps/>
                <w:sz w:val="24"/>
                <w:u w:val="single"/>
              </w:rPr>
            </w:pPr>
            <w:r w:rsidRPr="00D51A68">
              <w:rPr>
                <w:rFonts w:ascii="Times New Roman" w:hAnsi="Times New Roman"/>
                <w:sz w:val="24"/>
              </w:rPr>
              <w:t>Il valore assoluto delle attività e delle passività valutate al fair value (valore equo) effettivamente incluse ai fini del computo della soglia a norma dell</w:t>
            </w:r>
            <w:r w:rsidR="0009277C" w:rsidRPr="00D51A68">
              <w:rPr>
                <w:rFonts w:ascii="Times New Roman" w:hAnsi="Times New Roman"/>
                <w:sz w:val="24"/>
              </w:rPr>
              <w:t>’</w:t>
            </w:r>
            <w:r w:rsidRPr="00D51A68">
              <w:rPr>
                <w:rFonts w:ascii="Times New Roman" w:hAnsi="Times New Roman"/>
                <w:sz w:val="24"/>
              </w:rPr>
              <w:t>articolo 4, paragrafo 1, del regolamento delegato (UE) 2016/101 sulla valutazione prudente.</w:t>
            </w:r>
          </w:p>
        </w:tc>
      </w:tr>
      <w:tr w:rsidR="00B93FA1" w:rsidRPr="00D51A68" w:rsidTr="00672D2A">
        <w:tc>
          <w:tcPr>
            <w:tcW w:w="1101" w:type="dxa"/>
          </w:tcPr>
          <w:p w:rsidR="00B93FA1" w:rsidRPr="00D51A68" w:rsidRDefault="001924F4" w:rsidP="00AF3D7A">
            <w:pPr>
              <w:spacing w:beforeLines="60" w:before="144" w:afterLines="60" w:after="144"/>
              <w:rPr>
                <w:rFonts w:ascii="Times New Roman" w:hAnsi="Times New Roman"/>
                <w:sz w:val="24"/>
              </w:rPr>
            </w:pPr>
            <w:r w:rsidRPr="00D51A68">
              <w:rPr>
                <w:rFonts w:ascii="Times New Roman" w:hAnsi="Times New Roman"/>
                <w:sz w:val="24"/>
              </w:rPr>
              <w:t>0090</w:t>
            </w:r>
          </w:p>
        </w:tc>
        <w:tc>
          <w:tcPr>
            <w:tcW w:w="8190" w:type="dxa"/>
          </w:tcPr>
          <w:p w:rsidR="00B93FA1" w:rsidRPr="00D51A68" w:rsidRDefault="00B93FA1" w:rsidP="00AF3D7A">
            <w:pPr>
              <w:spacing w:beforeLines="60" w:before="144" w:afterLines="60" w:after="144"/>
              <w:rPr>
                <w:rFonts w:ascii="Times New Roman" w:hAnsi="Times New Roman"/>
                <w:b/>
                <w:caps/>
                <w:sz w:val="24"/>
                <w:u w:val="single"/>
              </w:rPr>
            </w:pPr>
            <w:r w:rsidRPr="00D51A68">
              <w:rPr>
                <w:rFonts w:ascii="Times New Roman" w:hAnsi="Times New Roman"/>
                <w:b/>
                <w:caps/>
                <w:sz w:val="24"/>
                <w:u w:val="single"/>
              </w:rPr>
              <w:t>DI CUI: portafoglio di negoziazione</w:t>
            </w:r>
          </w:p>
          <w:p w:rsidR="00B93FA1" w:rsidRPr="00D51A68" w:rsidRDefault="00B93FA1" w:rsidP="00AF3D7A">
            <w:pPr>
              <w:spacing w:beforeLines="60" w:before="144" w:afterLines="60" w:after="144"/>
              <w:rPr>
                <w:rFonts w:ascii="Times New Roman" w:hAnsi="Times New Roman"/>
                <w:b/>
                <w:caps/>
                <w:sz w:val="24"/>
                <w:u w:val="single"/>
              </w:rPr>
            </w:pPr>
            <w:r w:rsidRPr="00D51A68">
              <w:rPr>
                <w:rFonts w:ascii="Times New Roman" w:hAnsi="Times New Roman"/>
                <w:sz w:val="24"/>
              </w:rPr>
              <w:t>Il valore assoluto delle attività e delle passività valutate al fair value (valore equo) indicato nella colonna 0080 corrispondente alle posizioni detenute nel portafoglio di negoziazione.</w:t>
            </w:r>
          </w:p>
        </w:tc>
      </w:tr>
    </w:tbl>
    <w:p w:rsidR="00E60B53" w:rsidRPr="00D51A68" w:rsidRDefault="00E60B53" w:rsidP="00C61FF5">
      <w:pPr>
        <w:rPr>
          <w:rStyle w:val="InstructionsTabelleText"/>
          <w:rFonts w:ascii="Times New Roman" w:hAnsi="Times New Roman"/>
          <w:sz w:val="24"/>
        </w:rPr>
      </w:pP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D51A68" w:rsidTr="00672D2A">
        <w:tc>
          <w:tcPr>
            <w:tcW w:w="9291" w:type="dxa"/>
            <w:gridSpan w:val="2"/>
            <w:shd w:val="clear" w:color="auto" w:fill="CCCCCC"/>
          </w:tcPr>
          <w:p w:rsidR="00B93FA1" w:rsidRPr="00D51A68" w:rsidRDefault="00B93FA1" w:rsidP="00AF3D7A">
            <w:pPr>
              <w:spacing w:beforeLines="60" w:before="144" w:afterLines="60" w:after="144"/>
              <w:rPr>
                <w:rFonts w:ascii="Times New Roman" w:hAnsi="Times New Roman"/>
                <w:b/>
                <w:sz w:val="24"/>
              </w:rPr>
            </w:pPr>
            <w:r w:rsidRPr="00D51A68">
              <w:rPr>
                <w:rFonts w:ascii="Times New Roman" w:hAnsi="Times New Roman"/>
                <w:b/>
                <w:sz w:val="24"/>
              </w:rPr>
              <w:t>Righe</w:t>
            </w:r>
          </w:p>
        </w:tc>
      </w:tr>
      <w:tr w:rsidR="00B93FA1" w:rsidRPr="00D51A68" w:rsidTr="00672D2A">
        <w:tc>
          <w:tcPr>
            <w:tcW w:w="1101" w:type="dxa"/>
          </w:tcPr>
          <w:p w:rsidR="00B93FA1" w:rsidRPr="00D51A68" w:rsidRDefault="001924F4" w:rsidP="00AF3D7A">
            <w:pPr>
              <w:spacing w:beforeLines="60" w:before="144" w:afterLines="60" w:after="144"/>
              <w:rPr>
                <w:rFonts w:ascii="Times New Roman" w:hAnsi="Times New Roman"/>
                <w:sz w:val="24"/>
              </w:rPr>
            </w:pPr>
            <w:r w:rsidRPr="00D51A68">
              <w:rPr>
                <w:rFonts w:ascii="Times New Roman" w:hAnsi="Times New Roman"/>
                <w:sz w:val="24"/>
              </w:rPr>
              <w:t>0010 – 0210</w:t>
            </w:r>
          </w:p>
        </w:tc>
        <w:tc>
          <w:tcPr>
            <w:tcW w:w="8190" w:type="dxa"/>
          </w:tcPr>
          <w:p w:rsidR="00B93FA1" w:rsidRPr="00D51A68" w:rsidRDefault="00B93FA1" w:rsidP="00AF3D7A">
            <w:pPr>
              <w:spacing w:beforeLines="60" w:before="144" w:afterLines="60" w:after="144"/>
              <w:rPr>
                <w:rFonts w:ascii="Times New Roman" w:hAnsi="Times New Roman"/>
                <w:sz w:val="24"/>
              </w:rPr>
            </w:pPr>
            <w:r w:rsidRPr="00D51A68">
              <w:rPr>
                <w:rFonts w:ascii="Times New Roman" w:hAnsi="Times New Roman"/>
                <w:sz w:val="24"/>
              </w:rPr>
              <w:t xml:space="preserve">Le definizioni di queste categorie corrispondono a quelle delle righe corrispondenti dei modelli FINREP 1.1 e 1.2. </w:t>
            </w:r>
          </w:p>
        </w:tc>
      </w:tr>
      <w:tr w:rsidR="00B93FA1" w:rsidRPr="00D51A68" w:rsidTr="00672D2A">
        <w:tc>
          <w:tcPr>
            <w:tcW w:w="1101" w:type="dxa"/>
          </w:tcPr>
          <w:p w:rsidR="00B93FA1" w:rsidRPr="00D51A68" w:rsidRDefault="001924F4" w:rsidP="00AF3D7A">
            <w:pPr>
              <w:spacing w:beforeLines="60" w:before="144" w:afterLines="60" w:after="144"/>
              <w:rPr>
                <w:rFonts w:ascii="Times New Roman" w:hAnsi="Times New Roman"/>
                <w:sz w:val="24"/>
              </w:rPr>
            </w:pPr>
            <w:r w:rsidRPr="00D51A68">
              <w:rPr>
                <w:rFonts w:ascii="Times New Roman" w:hAnsi="Times New Roman"/>
                <w:sz w:val="24"/>
              </w:rPr>
              <w:t>0010</w:t>
            </w:r>
          </w:p>
        </w:tc>
        <w:tc>
          <w:tcPr>
            <w:tcW w:w="8190" w:type="dxa"/>
          </w:tcPr>
          <w:p w:rsidR="00B93FA1" w:rsidRPr="00D51A68" w:rsidRDefault="00B93FA1" w:rsidP="00AF3D7A">
            <w:pPr>
              <w:spacing w:beforeLines="60" w:before="144" w:afterLines="60" w:after="144"/>
              <w:rPr>
                <w:rFonts w:ascii="Times New Roman" w:hAnsi="Times New Roman"/>
                <w:b/>
                <w:sz w:val="24"/>
                <w:u w:val="single"/>
              </w:rPr>
            </w:pPr>
            <w:r w:rsidRPr="00D51A68">
              <w:rPr>
                <w:rFonts w:ascii="Times New Roman" w:hAnsi="Times New Roman"/>
                <w:b/>
                <w:sz w:val="24"/>
                <w:u w:val="single"/>
              </w:rPr>
              <w:t>1 ATTIVITÀ E PASSIVITÀ TOTALI VALUTATE AL FAIR VALUE (VALORE EQUO)</w:t>
            </w:r>
          </w:p>
          <w:p w:rsidR="00B93FA1" w:rsidRPr="00D51A68" w:rsidRDefault="00B93FA1" w:rsidP="00AF3D7A">
            <w:pPr>
              <w:spacing w:beforeLines="60" w:before="144" w:afterLines="60" w:after="144"/>
              <w:rPr>
                <w:rFonts w:ascii="Times New Roman" w:hAnsi="Times New Roman"/>
                <w:b/>
                <w:sz w:val="24"/>
                <w:u w:val="single"/>
              </w:rPr>
            </w:pPr>
            <w:r w:rsidRPr="00D51A68">
              <w:rPr>
                <w:rFonts w:ascii="Times New Roman" w:hAnsi="Times New Roman"/>
                <w:sz w:val="24"/>
              </w:rPr>
              <w:t>Il totale delle attività e delle passività valutate al fair value (valore equo) indicate nelle righe da 20 a 210.</w:t>
            </w:r>
          </w:p>
        </w:tc>
      </w:tr>
      <w:tr w:rsidR="00B93FA1" w:rsidRPr="00D51A68" w:rsidTr="00672D2A">
        <w:tc>
          <w:tcPr>
            <w:tcW w:w="1101" w:type="dxa"/>
          </w:tcPr>
          <w:p w:rsidR="00B93FA1" w:rsidRPr="00D51A68" w:rsidRDefault="001924F4" w:rsidP="00AF3D7A">
            <w:pPr>
              <w:spacing w:beforeLines="60" w:before="144" w:afterLines="60" w:after="144"/>
              <w:rPr>
                <w:rFonts w:ascii="Times New Roman" w:hAnsi="Times New Roman"/>
                <w:sz w:val="24"/>
              </w:rPr>
            </w:pPr>
            <w:r w:rsidRPr="00D51A68">
              <w:rPr>
                <w:rFonts w:ascii="Times New Roman" w:hAnsi="Times New Roman"/>
                <w:sz w:val="24"/>
              </w:rPr>
              <w:t>0020</w:t>
            </w:r>
          </w:p>
        </w:tc>
        <w:tc>
          <w:tcPr>
            <w:tcW w:w="8190" w:type="dxa"/>
          </w:tcPr>
          <w:p w:rsidR="00B93FA1" w:rsidRPr="00D51A68" w:rsidRDefault="00B93FA1" w:rsidP="00AF3D7A">
            <w:pPr>
              <w:spacing w:beforeLines="60" w:before="144" w:afterLines="60" w:after="144"/>
              <w:rPr>
                <w:rFonts w:ascii="Times New Roman" w:hAnsi="Times New Roman"/>
                <w:b/>
                <w:sz w:val="24"/>
                <w:u w:val="single"/>
              </w:rPr>
            </w:pPr>
            <w:r w:rsidRPr="00D51A68">
              <w:rPr>
                <w:rFonts w:ascii="Times New Roman" w:hAnsi="Times New Roman"/>
                <w:b/>
                <w:sz w:val="24"/>
                <w:u w:val="single"/>
              </w:rPr>
              <w:t>1.1 ATTIVITÀ TOTALI VALUTATE AL FAIR VALUE (VALORE EQUO)</w:t>
            </w:r>
          </w:p>
          <w:p w:rsidR="00B93FA1" w:rsidRPr="00D51A68" w:rsidRDefault="00B93FA1" w:rsidP="00AF3D7A">
            <w:pPr>
              <w:spacing w:beforeLines="60" w:before="144" w:afterLines="60" w:after="144"/>
              <w:rPr>
                <w:rFonts w:ascii="Times New Roman" w:hAnsi="Times New Roman"/>
                <w:sz w:val="24"/>
              </w:rPr>
            </w:pPr>
            <w:r w:rsidRPr="00D51A68">
              <w:rPr>
                <w:rFonts w:ascii="Times New Roman" w:hAnsi="Times New Roman"/>
                <w:sz w:val="24"/>
              </w:rPr>
              <w:t>Il totale delle attività valutate al fair value (valor</w:t>
            </w:r>
            <w:r w:rsidR="00BE76FD" w:rsidRPr="00D51A68">
              <w:rPr>
                <w:rFonts w:ascii="Times New Roman" w:hAnsi="Times New Roman"/>
                <w:sz w:val="24"/>
              </w:rPr>
              <w:t>e equo) indicate nelle righe da </w:t>
            </w:r>
            <w:r w:rsidRPr="00D51A68">
              <w:rPr>
                <w:rFonts w:ascii="Times New Roman" w:hAnsi="Times New Roman"/>
                <w:sz w:val="24"/>
              </w:rPr>
              <w:t xml:space="preserve">0030 a 0140. </w:t>
            </w:r>
          </w:p>
          <w:p w:rsidR="00B93FA1" w:rsidRPr="00D51A68" w:rsidRDefault="00B93FA1" w:rsidP="00AF3D7A">
            <w:pPr>
              <w:spacing w:beforeLines="60" w:before="144" w:afterLines="60" w:after="144"/>
              <w:rPr>
                <w:rFonts w:ascii="Times New Roman" w:hAnsi="Times New Roman"/>
                <w:sz w:val="24"/>
              </w:rPr>
            </w:pPr>
            <w:r w:rsidRPr="00D51A68">
              <w:rPr>
                <w:rFonts w:ascii="Times New Roman" w:hAnsi="Times New Roman"/>
                <w:sz w:val="24"/>
              </w:rPr>
              <w:t>Le celle pertinenti delle righe da 0030 a 0130 sono compilate in linea con il modello FINREP F 01.01 di cui agli allegati III e IV del presente regolamento in funzione dei principi contabili applicati dall</w:t>
            </w:r>
            <w:r w:rsidR="0009277C" w:rsidRPr="00D51A68">
              <w:rPr>
                <w:rFonts w:ascii="Times New Roman" w:hAnsi="Times New Roman"/>
                <w:sz w:val="24"/>
              </w:rPr>
              <w:t>’</w:t>
            </w:r>
            <w:r w:rsidRPr="00D51A68">
              <w:rPr>
                <w:rFonts w:ascii="Times New Roman" w:hAnsi="Times New Roman"/>
                <w:sz w:val="24"/>
              </w:rPr>
              <w:t xml:space="preserve">ente: </w:t>
            </w:r>
          </w:p>
          <w:p w:rsidR="00B93FA1" w:rsidRPr="00D51A68" w:rsidRDefault="00B93FA1" w:rsidP="00B93FA1">
            <w:pPr>
              <w:pStyle w:val="ListParagraph"/>
              <w:numPr>
                <w:ilvl w:val="0"/>
                <w:numId w:val="46"/>
              </w:numPr>
              <w:spacing w:beforeLines="60" w:before="144" w:afterLines="60" w:after="144"/>
              <w:rPr>
                <w:rFonts w:ascii="Times New Roman" w:hAnsi="Times New Roman"/>
                <w:sz w:val="24"/>
              </w:rPr>
            </w:pPr>
            <w:r w:rsidRPr="00D51A68">
              <w:rPr>
                <w:rFonts w:ascii="Times New Roman" w:hAnsi="Times New Roman"/>
                <w:sz w:val="24"/>
              </w:rPr>
              <w:t>gli IFRS omologati dall</w:t>
            </w:r>
            <w:r w:rsidR="0009277C" w:rsidRPr="00D51A68">
              <w:rPr>
                <w:rFonts w:ascii="Times New Roman" w:hAnsi="Times New Roman"/>
                <w:sz w:val="24"/>
              </w:rPr>
              <w:t>’</w:t>
            </w:r>
            <w:r w:rsidRPr="00D51A68">
              <w:rPr>
                <w:rFonts w:ascii="Times New Roman" w:hAnsi="Times New Roman"/>
                <w:sz w:val="24"/>
              </w:rPr>
              <w:t xml:space="preserve">Unione in applicazione del regolamento (UE) </w:t>
            </w:r>
            <w:r w:rsidR="00BE76FD" w:rsidRPr="00D51A68">
              <w:rPr>
                <w:rFonts w:ascii="Times New Roman" w:hAnsi="Times New Roman"/>
                <w:sz w:val="24"/>
              </w:rPr>
              <w:t>n. </w:t>
            </w:r>
            <w:r w:rsidRPr="00D51A68">
              <w:rPr>
                <w:rFonts w:ascii="Times New Roman" w:hAnsi="Times New Roman"/>
                <w:sz w:val="24"/>
              </w:rPr>
              <w:t>1606/2002 (</w:t>
            </w:r>
            <w:r w:rsidR="0009277C" w:rsidRPr="00D51A68">
              <w:rPr>
                <w:rFonts w:ascii="Times New Roman" w:hAnsi="Times New Roman"/>
                <w:sz w:val="24"/>
              </w:rPr>
              <w:t>“</w:t>
            </w:r>
            <w:r w:rsidRPr="00D51A68">
              <w:rPr>
                <w:rFonts w:ascii="Times New Roman" w:hAnsi="Times New Roman"/>
                <w:sz w:val="24"/>
              </w:rPr>
              <w:t>IFRS UE</w:t>
            </w:r>
            <w:r w:rsidR="0009277C" w:rsidRPr="00D51A68">
              <w:rPr>
                <w:rFonts w:ascii="Times New Roman" w:hAnsi="Times New Roman"/>
                <w:sz w:val="24"/>
              </w:rPr>
              <w:t>”</w:t>
            </w:r>
            <w:r w:rsidRPr="00D51A68">
              <w:rPr>
                <w:rFonts w:ascii="Times New Roman" w:hAnsi="Times New Roman"/>
                <w:sz w:val="24"/>
              </w:rPr>
              <w:t>)</w:t>
            </w:r>
          </w:p>
          <w:p w:rsidR="00B93FA1" w:rsidRPr="00D51A68" w:rsidRDefault="00B93FA1" w:rsidP="00B93FA1">
            <w:pPr>
              <w:pStyle w:val="ListParagraph"/>
              <w:numPr>
                <w:ilvl w:val="0"/>
                <w:numId w:val="46"/>
              </w:numPr>
              <w:spacing w:beforeLines="60" w:before="144" w:afterLines="60" w:after="144"/>
              <w:rPr>
                <w:rFonts w:ascii="Times New Roman" w:hAnsi="Times New Roman"/>
                <w:sz w:val="24"/>
              </w:rPr>
            </w:pPr>
            <w:r w:rsidRPr="00D51A68">
              <w:rPr>
                <w:rFonts w:ascii="Times New Roman" w:hAnsi="Times New Roman"/>
                <w:sz w:val="24"/>
              </w:rPr>
              <w:t>i principi contabili nazionali compatibili con gli IFRS UE (</w:t>
            </w:r>
            <w:r w:rsidR="0009277C" w:rsidRPr="00D51A68">
              <w:rPr>
                <w:rFonts w:ascii="Times New Roman" w:hAnsi="Times New Roman"/>
                <w:sz w:val="24"/>
              </w:rPr>
              <w:t>“</w:t>
            </w:r>
            <w:r w:rsidRPr="00D51A68">
              <w:rPr>
                <w:rFonts w:ascii="Times New Roman" w:hAnsi="Times New Roman"/>
                <w:sz w:val="24"/>
              </w:rPr>
              <w:t>GAAP nazionali compatibili con gli IFRS</w:t>
            </w:r>
            <w:r w:rsidR="0009277C" w:rsidRPr="00D51A68">
              <w:rPr>
                <w:rFonts w:ascii="Times New Roman" w:hAnsi="Times New Roman"/>
                <w:sz w:val="24"/>
              </w:rPr>
              <w:t>”</w:t>
            </w:r>
            <w:r w:rsidRPr="00D51A68">
              <w:rPr>
                <w:rFonts w:ascii="Times New Roman" w:hAnsi="Times New Roman"/>
                <w:sz w:val="24"/>
              </w:rPr>
              <w:t>) o</w:t>
            </w:r>
          </w:p>
          <w:p w:rsidR="00B93FA1" w:rsidRPr="00D51A68" w:rsidRDefault="00B93FA1" w:rsidP="00B93FA1">
            <w:pPr>
              <w:pStyle w:val="ListParagraph"/>
              <w:numPr>
                <w:ilvl w:val="0"/>
                <w:numId w:val="46"/>
              </w:numPr>
              <w:spacing w:beforeLines="60" w:before="144" w:afterLines="60" w:after="144"/>
              <w:rPr>
                <w:rFonts w:ascii="Times New Roman" w:hAnsi="Times New Roman"/>
                <w:sz w:val="24"/>
              </w:rPr>
            </w:pPr>
            <w:r w:rsidRPr="00D51A68">
              <w:rPr>
                <w:rFonts w:ascii="Times New Roman" w:hAnsi="Times New Roman"/>
                <w:sz w:val="24"/>
              </w:rPr>
              <w:t xml:space="preserve">i GAAP nazionali basati sulla direttiva 86/635/CE, la BAD (FINREP </w:t>
            </w:r>
            <w:r w:rsidR="0009277C" w:rsidRPr="00D51A68">
              <w:rPr>
                <w:rFonts w:ascii="Times New Roman" w:hAnsi="Times New Roman"/>
                <w:sz w:val="24"/>
              </w:rPr>
              <w:t>“</w:t>
            </w:r>
            <w:r w:rsidRPr="00D51A68">
              <w:rPr>
                <w:rFonts w:ascii="Times New Roman" w:hAnsi="Times New Roman"/>
                <w:sz w:val="24"/>
              </w:rPr>
              <w:t>GAAP nazionali basati sulla BAD)</w:t>
            </w:r>
          </w:p>
        </w:tc>
      </w:tr>
      <w:tr w:rsidR="00B93FA1" w:rsidRPr="00D51A68" w:rsidTr="00672D2A">
        <w:tc>
          <w:tcPr>
            <w:tcW w:w="1101" w:type="dxa"/>
          </w:tcPr>
          <w:p w:rsidR="00B93FA1" w:rsidRPr="00D51A68" w:rsidRDefault="001924F4" w:rsidP="00AF3D7A">
            <w:pPr>
              <w:spacing w:beforeLines="60" w:before="144" w:afterLines="60" w:after="144"/>
              <w:rPr>
                <w:rFonts w:ascii="Times New Roman" w:hAnsi="Times New Roman"/>
                <w:sz w:val="24"/>
              </w:rPr>
            </w:pPr>
            <w:r w:rsidRPr="00D51A68">
              <w:rPr>
                <w:rFonts w:ascii="Times New Roman" w:hAnsi="Times New Roman"/>
                <w:sz w:val="24"/>
              </w:rPr>
              <w:t>0030</w:t>
            </w:r>
          </w:p>
        </w:tc>
        <w:tc>
          <w:tcPr>
            <w:tcW w:w="8190" w:type="dxa"/>
          </w:tcPr>
          <w:p w:rsidR="00B93FA1" w:rsidRPr="00D51A68" w:rsidRDefault="00B93FA1" w:rsidP="00AF3D7A">
            <w:pPr>
              <w:spacing w:beforeLines="60" w:before="144" w:afterLines="60" w:after="144"/>
              <w:rPr>
                <w:rFonts w:ascii="Times New Roman" w:hAnsi="Times New Roman"/>
                <w:b/>
                <w:sz w:val="24"/>
                <w:u w:val="single"/>
              </w:rPr>
            </w:pPr>
            <w:r w:rsidRPr="00D51A68">
              <w:rPr>
                <w:rFonts w:ascii="Times New Roman" w:hAnsi="Times New Roman"/>
                <w:b/>
                <w:sz w:val="24"/>
                <w:u w:val="single"/>
              </w:rPr>
              <w:t>1.1.1 ATTIVITÀ FINANZIARIE POSSEDUTE PER NEGOZIAZIONE</w:t>
            </w:r>
          </w:p>
          <w:p w:rsidR="00B93FA1" w:rsidRPr="00D51A68" w:rsidRDefault="00B93FA1" w:rsidP="00AF3D7A">
            <w:pPr>
              <w:spacing w:beforeLines="60" w:before="144" w:afterLines="60" w:after="144"/>
              <w:rPr>
                <w:rFonts w:ascii="Times New Roman" w:hAnsi="Times New Roman"/>
                <w:sz w:val="24"/>
              </w:rPr>
            </w:pPr>
            <w:r w:rsidRPr="00D51A68">
              <w:rPr>
                <w:rFonts w:ascii="Times New Roman" w:hAnsi="Times New Roman"/>
                <w:sz w:val="24"/>
              </w:rPr>
              <w:t>IFRS 9. Appendice A.</w:t>
            </w:r>
          </w:p>
          <w:p w:rsidR="00B93FA1" w:rsidRPr="00D51A68" w:rsidRDefault="00B93FA1" w:rsidP="00C11B8D">
            <w:pPr>
              <w:spacing w:beforeLines="60" w:before="144" w:afterLines="60" w:after="144"/>
              <w:rPr>
                <w:rFonts w:ascii="Times New Roman" w:hAnsi="Times New Roman"/>
                <w:sz w:val="24"/>
              </w:rPr>
            </w:pPr>
            <w:r w:rsidRPr="00D51A68">
              <w:rPr>
                <w:rFonts w:ascii="Times New Roman" w:hAnsi="Times New Roman"/>
                <w:sz w:val="24"/>
              </w:rPr>
              <w:t>Le informazioni fornite in questa riga corrispondono a quelle della riga 050 del modello F 01.01 degli allegati III e IV del presente regolamento.</w:t>
            </w:r>
          </w:p>
        </w:tc>
      </w:tr>
      <w:tr w:rsidR="00B93FA1" w:rsidRPr="00D51A68" w:rsidTr="00672D2A">
        <w:tc>
          <w:tcPr>
            <w:tcW w:w="1101" w:type="dxa"/>
          </w:tcPr>
          <w:p w:rsidR="00B93FA1" w:rsidRPr="00D51A68" w:rsidRDefault="001924F4" w:rsidP="00AF3D7A">
            <w:pPr>
              <w:spacing w:beforeLines="60" w:before="144" w:afterLines="60" w:after="144"/>
              <w:rPr>
                <w:rFonts w:ascii="Times New Roman" w:hAnsi="Times New Roman"/>
                <w:sz w:val="24"/>
              </w:rPr>
            </w:pPr>
            <w:r w:rsidRPr="00D51A68">
              <w:rPr>
                <w:rFonts w:ascii="Times New Roman" w:hAnsi="Times New Roman"/>
                <w:sz w:val="24"/>
              </w:rPr>
              <w:t>0040</w:t>
            </w:r>
          </w:p>
        </w:tc>
        <w:tc>
          <w:tcPr>
            <w:tcW w:w="8190" w:type="dxa"/>
          </w:tcPr>
          <w:p w:rsidR="00B93FA1" w:rsidRPr="00D51A68" w:rsidRDefault="00B93FA1" w:rsidP="00AF3D7A">
            <w:pPr>
              <w:spacing w:beforeLines="60" w:before="144" w:afterLines="60" w:after="144"/>
              <w:rPr>
                <w:rFonts w:ascii="Times New Roman" w:hAnsi="Times New Roman"/>
                <w:b/>
                <w:sz w:val="24"/>
                <w:u w:val="single"/>
              </w:rPr>
            </w:pPr>
            <w:r w:rsidRPr="00D51A68">
              <w:rPr>
                <w:rFonts w:ascii="Times New Roman" w:hAnsi="Times New Roman"/>
                <w:b/>
                <w:sz w:val="24"/>
                <w:u w:val="single"/>
              </w:rPr>
              <w:t>1.1.2 ATTIVITÀ FINANZIARIE PER NEGOZIAZIONE</w:t>
            </w:r>
          </w:p>
          <w:p w:rsidR="00B93FA1" w:rsidRPr="00D51A68" w:rsidRDefault="00B93FA1" w:rsidP="00AF3D7A">
            <w:pPr>
              <w:spacing w:beforeLines="60" w:before="144" w:afterLines="60" w:after="144"/>
              <w:rPr>
                <w:rFonts w:ascii="Times New Roman" w:hAnsi="Times New Roman"/>
                <w:sz w:val="24"/>
              </w:rPr>
            </w:pPr>
            <w:r w:rsidRPr="00D51A68">
              <w:rPr>
                <w:rFonts w:ascii="Times New Roman" w:hAnsi="Times New Roman"/>
                <w:sz w:val="24"/>
              </w:rPr>
              <w:t xml:space="preserve">Articoli 32 e 33 della BAD; Allegato V, parte 1.17. </w:t>
            </w:r>
          </w:p>
          <w:p w:rsidR="00B93FA1" w:rsidRPr="00D51A68" w:rsidRDefault="00B93FA1" w:rsidP="00C11B8D">
            <w:pPr>
              <w:spacing w:beforeLines="60" w:before="144" w:afterLines="60" w:after="144"/>
              <w:rPr>
                <w:rFonts w:ascii="Times New Roman" w:hAnsi="Times New Roman"/>
                <w:b/>
                <w:sz w:val="24"/>
                <w:u w:val="single"/>
              </w:rPr>
            </w:pPr>
            <w:r w:rsidRPr="00D51A68">
              <w:rPr>
                <w:rFonts w:ascii="Times New Roman" w:hAnsi="Times New Roman"/>
                <w:sz w:val="24"/>
              </w:rPr>
              <w:t>Le informazioni fornite in questa riga corrispondono a quelle della riga 091 del modello F 01.01 degli allegati III e IV del presente regolamento.</w:t>
            </w:r>
          </w:p>
        </w:tc>
      </w:tr>
      <w:tr w:rsidR="00B93FA1" w:rsidRPr="00D51A68" w:rsidTr="00672D2A">
        <w:tc>
          <w:tcPr>
            <w:tcW w:w="1101" w:type="dxa"/>
          </w:tcPr>
          <w:p w:rsidR="00B93FA1" w:rsidRPr="00D51A68" w:rsidRDefault="001924F4" w:rsidP="00AF3D7A">
            <w:pPr>
              <w:spacing w:beforeLines="60" w:before="144" w:afterLines="60" w:after="144"/>
              <w:rPr>
                <w:rFonts w:ascii="Times New Roman" w:hAnsi="Times New Roman"/>
                <w:sz w:val="24"/>
              </w:rPr>
            </w:pPr>
            <w:r w:rsidRPr="00D51A68">
              <w:rPr>
                <w:rFonts w:ascii="Times New Roman" w:hAnsi="Times New Roman"/>
                <w:sz w:val="24"/>
              </w:rPr>
              <w:t>0050</w:t>
            </w:r>
          </w:p>
        </w:tc>
        <w:tc>
          <w:tcPr>
            <w:tcW w:w="8190" w:type="dxa"/>
          </w:tcPr>
          <w:p w:rsidR="00B93FA1" w:rsidRPr="00D51A68" w:rsidRDefault="00B93FA1" w:rsidP="00AF3D7A">
            <w:pPr>
              <w:spacing w:beforeLines="60" w:before="144" w:afterLines="60" w:after="144"/>
              <w:rPr>
                <w:rFonts w:ascii="Times New Roman" w:hAnsi="Times New Roman"/>
                <w:b/>
                <w:sz w:val="24"/>
                <w:u w:val="single"/>
              </w:rPr>
            </w:pPr>
            <w:r w:rsidRPr="00D51A68">
              <w:rPr>
                <w:rFonts w:ascii="Times New Roman" w:hAnsi="Times New Roman"/>
                <w:b/>
                <w:sz w:val="24"/>
                <w:u w:val="single"/>
              </w:rPr>
              <w:t>1.1.3 ATTIVITÀ FINANZIARIE NON PER NEGOZIAZIONE OBBLIGATORIAMENTE AL FAIR VALUE (VALORE EQUO) RILEVATO NELL</w:t>
            </w:r>
            <w:r w:rsidR="0009277C" w:rsidRPr="00D51A68">
              <w:rPr>
                <w:rFonts w:ascii="Times New Roman" w:hAnsi="Times New Roman"/>
                <w:b/>
                <w:sz w:val="24"/>
                <w:u w:val="single"/>
              </w:rPr>
              <w:t>’</w:t>
            </w:r>
            <w:r w:rsidRPr="00D51A68">
              <w:rPr>
                <w:rFonts w:ascii="Times New Roman" w:hAnsi="Times New Roman"/>
                <w:b/>
                <w:sz w:val="24"/>
                <w:u w:val="single"/>
              </w:rPr>
              <w:t>UTILE (PERDITA) D</w:t>
            </w:r>
            <w:r w:rsidR="0009277C" w:rsidRPr="00D51A68">
              <w:rPr>
                <w:rFonts w:ascii="Times New Roman" w:hAnsi="Times New Roman"/>
                <w:b/>
                <w:sz w:val="24"/>
                <w:u w:val="single"/>
              </w:rPr>
              <w:t>’</w:t>
            </w:r>
            <w:r w:rsidRPr="00D51A68">
              <w:rPr>
                <w:rFonts w:ascii="Times New Roman" w:hAnsi="Times New Roman"/>
                <w:b/>
                <w:sz w:val="24"/>
                <w:u w:val="single"/>
              </w:rPr>
              <w:t xml:space="preserve">ESERCIZIO </w:t>
            </w:r>
          </w:p>
          <w:p w:rsidR="00B93FA1" w:rsidRPr="00D51A68" w:rsidRDefault="00B93FA1" w:rsidP="00AF3D7A">
            <w:pPr>
              <w:spacing w:beforeLines="60" w:before="144" w:afterLines="60" w:after="144"/>
              <w:rPr>
                <w:rFonts w:ascii="Times New Roman" w:hAnsi="Times New Roman"/>
                <w:sz w:val="24"/>
              </w:rPr>
            </w:pPr>
            <w:r w:rsidRPr="00D51A68">
              <w:rPr>
                <w:rFonts w:ascii="Times New Roman" w:hAnsi="Times New Roman"/>
                <w:sz w:val="24"/>
              </w:rPr>
              <w:t xml:space="preserve">IFRS 7.8(a)(ii); IFRS 9.4.1.4. </w:t>
            </w:r>
          </w:p>
          <w:p w:rsidR="00B93FA1" w:rsidRPr="00D51A68" w:rsidRDefault="00B93FA1" w:rsidP="00C11B8D">
            <w:pPr>
              <w:spacing w:beforeLines="60" w:before="144" w:afterLines="60" w:after="144"/>
              <w:rPr>
                <w:rFonts w:ascii="Times New Roman" w:hAnsi="Times New Roman"/>
                <w:b/>
                <w:sz w:val="24"/>
                <w:u w:val="single"/>
              </w:rPr>
            </w:pPr>
            <w:r w:rsidRPr="00D51A68">
              <w:rPr>
                <w:rFonts w:ascii="Times New Roman" w:hAnsi="Times New Roman"/>
                <w:sz w:val="24"/>
              </w:rPr>
              <w:t>Le informazioni fornite in questa riga corrispondono a quelle della riga 096 del modello F 01.01 degli allegati III e IV del presente regolamento.</w:t>
            </w:r>
          </w:p>
        </w:tc>
      </w:tr>
      <w:tr w:rsidR="00B93FA1" w:rsidRPr="00D51A68" w:rsidTr="00672D2A">
        <w:tc>
          <w:tcPr>
            <w:tcW w:w="1101" w:type="dxa"/>
          </w:tcPr>
          <w:p w:rsidR="00B93FA1" w:rsidRPr="00D51A68" w:rsidRDefault="001924F4" w:rsidP="00AF3D7A">
            <w:pPr>
              <w:spacing w:beforeLines="60" w:before="144" w:afterLines="60" w:after="144"/>
              <w:rPr>
                <w:rFonts w:ascii="Times New Roman" w:hAnsi="Times New Roman"/>
                <w:sz w:val="24"/>
              </w:rPr>
            </w:pPr>
            <w:r w:rsidRPr="00D51A68">
              <w:rPr>
                <w:rFonts w:ascii="Times New Roman" w:hAnsi="Times New Roman"/>
                <w:sz w:val="24"/>
              </w:rPr>
              <w:t>0060</w:t>
            </w:r>
          </w:p>
        </w:tc>
        <w:tc>
          <w:tcPr>
            <w:tcW w:w="8190" w:type="dxa"/>
          </w:tcPr>
          <w:p w:rsidR="00B93FA1" w:rsidRPr="00D51A68" w:rsidRDefault="00B93FA1" w:rsidP="00AF3D7A">
            <w:pPr>
              <w:spacing w:beforeLines="60" w:before="144" w:afterLines="60" w:after="144"/>
              <w:rPr>
                <w:rFonts w:ascii="Times New Roman" w:hAnsi="Times New Roman"/>
                <w:b/>
                <w:sz w:val="24"/>
                <w:u w:val="single"/>
              </w:rPr>
            </w:pPr>
            <w:r w:rsidRPr="00D51A68">
              <w:rPr>
                <w:rFonts w:ascii="Times New Roman" w:hAnsi="Times New Roman"/>
                <w:b/>
                <w:sz w:val="24"/>
                <w:u w:val="single"/>
              </w:rPr>
              <w:t>1.1.4 ATTIVITÀ FINANZIARIE DESIGNATE AL FAIR VALUE (VALORE EQUO) RILEVATO NELL</w:t>
            </w:r>
            <w:r w:rsidR="0009277C" w:rsidRPr="00D51A68">
              <w:rPr>
                <w:rFonts w:ascii="Times New Roman" w:hAnsi="Times New Roman"/>
                <w:b/>
                <w:sz w:val="24"/>
                <w:u w:val="single"/>
              </w:rPr>
              <w:t>’</w:t>
            </w:r>
            <w:r w:rsidRPr="00D51A68">
              <w:rPr>
                <w:rFonts w:ascii="Times New Roman" w:hAnsi="Times New Roman"/>
                <w:b/>
                <w:sz w:val="24"/>
                <w:u w:val="single"/>
              </w:rPr>
              <w:t>UTILE (PERDITA) D</w:t>
            </w:r>
            <w:r w:rsidR="0009277C" w:rsidRPr="00D51A68">
              <w:rPr>
                <w:rFonts w:ascii="Times New Roman" w:hAnsi="Times New Roman"/>
                <w:b/>
                <w:sz w:val="24"/>
                <w:u w:val="single"/>
              </w:rPr>
              <w:t>’</w:t>
            </w:r>
            <w:r w:rsidRPr="00D51A68">
              <w:rPr>
                <w:rFonts w:ascii="Times New Roman" w:hAnsi="Times New Roman"/>
                <w:b/>
                <w:sz w:val="24"/>
                <w:u w:val="single"/>
              </w:rPr>
              <w:t>ESERCIZIO</w:t>
            </w:r>
          </w:p>
          <w:p w:rsidR="00B93FA1" w:rsidRPr="00D51A68" w:rsidRDefault="00B93FA1" w:rsidP="00AF3D7A">
            <w:pPr>
              <w:spacing w:beforeLines="60" w:before="144" w:afterLines="60" w:after="144"/>
              <w:rPr>
                <w:rFonts w:ascii="Times New Roman" w:hAnsi="Times New Roman"/>
                <w:sz w:val="24"/>
              </w:rPr>
            </w:pPr>
            <w:r w:rsidRPr="00D51A68">
              <w:rPr>
                <w:rFonts w:ascii="Times New Roman" w:hAnsi="Times New Roman"/>
                <w:sz w:val="24"/>
              </w:rPr>
              <w:t>IFRS 7.8(a)(i); IFRS 9.4.1.5; Articolo 8, paragrafo 1, lettera a), e paragrafo 6, della direttiva contabile.</w:t>
            </w:r>
          </w:p>
          <w:p w:rsidR="00B93FA1" w:rsidRPr="00D51A68" w:rsidRDefault="00B93FA1" w:rsidP="00C11B8D">
            <w:pPr>
              <w:spacing w:beforeLines="60" w:before="144" w:afterLines="60" w:after="144"/>
              <w:rPr>
                <w:rFonts w:ascii="Times New Roman" w:hAnsi="Times New Roman"/>
                <w:sz w:val="24"/>
              </w:rPr>
            </w:pPr>
            <w:r w:rsidRPr="00D51A68">
              <w:rPr>
                <w:rFonts w:ascii="Times New Roman" w:hAnsi="Times New Roman"/>
                <w:sz w:val="24"/>
              </w:rPr>
              <w:t>Le informazioni fornite in questa riga corrispondono a quelle della riga 100 del modello F 01.01 degli allegati III e IV del presente regolamento.</w:t>
            </w:r>
          </w:p>
        </w:tc>
      </w:tr>
      <w:tr w:rsidR="00B93FA1" w:rsidRPr="00D51A68" w:rsidTr="00672D2A">
        <w:tc>
          <w:tcPr>
            <w:tcW w:w="1101" w:type="dxa"/>
          </w:tcPr>
          <w:p w:rsidR="00B93FA1" w:rsidRPr="00D51A68" w:rsidRDefault="001924F4" w:rsidP="00AF3D7A">
            <w:pPr>
              <w:spacing w:beforeLines="60" w:before="144" w:afterLines="60" w:after="144"/>
              <w:rPr>
                <w:rFonts w:ascii="Times New Roman" w:hAnsi="Times New Roman"/>
                <w:sz w:val="24"/>
              </w:rPr>
            </w:pPr>
            <w:r w:rsidRPr="00D51A68">
              <w:rPr>
                <w:rFonts w:ascii="Times New Roman" w:hAnsi="Times New Roman"/>
                <w:sz w:val="24"/>
              </w:rPr>
              <w:t>0070</w:t>
            </w:r>
          </w:p>
        </w:tc>
        <w:tc>
          <w:tcPr>
            <w:tcW w:w="8190" w:type="dxa"/>
          </w:tcPr>
          <w:p w:rsidR="00B93FA1" w:rsidRPr="00D51A68" w:rsidRDefault="00B93FA1" w:rsidP="00AF3D7A">
            <w:pPr>
              <w:spacing w:beforeLines="60" w:before="144" w:afterLines="60" w:after="144"/>
              <w:rPr>
                <w:rFonts w:ascii="Times New Roman" w:hAnsi="Times New Roman"/>
                <w:b/>
                <w:sz w:val="24"/>
                <w:u w:val="single"/>
              </w:rPr>
            </w:pPr>
            <w:r w:rsidRPr="00D51A68">
              <w:rPr>
                <w:rFonts w:ascii="Times New Roman" w:hAnsi="Times New Roman"/>
                <w:b/>
                <w:sz w:val="24"/>
                <w:u w:val="single"/>
              </w:rPr>
              <w:t>1.1.5 ATTIVITÀ FINANZIARIE AL FAIR VALUE (VALORE EQUO) RILEVATO NELLE ALTRE COMPONENTI DI CONTO ECONOMICO COMPLESSIVO</w:t>
            </w:r>
          </w:p>
          <w:p w:rsidR="00B93FA1" w:rsidRPr="00D51A68" w:rsidRDefault="00B93FA1" w:rsidP="00AF3D7A">
            <w:pPr>
              <w:spacing w:beforeLines="60" w:before="144" w:afterLines="60" w:after="144"/>
              <w:rPr>
                <w:rFonts w:ascii="Times New Roman" w:hAnsi="Times New Roman"/>
                <w:sz w:val="24"/>
              </w:rPr>
            </w:pPr>
            <w:r w:rsidRPr="00D51A68">
              <w:rPr>
                <w:rFonts w:ascii="Times New Roman" w:hAnsi="Times New Roman"/>
                <w:sz w:val="24"/>
              </w:rPr>
              <w:t>IFRS 7.8(h); IFRS 9.4.1.2A.</w:t>
            </w:r>
          </w:p>
          <w:p w:rsidR="00B93FA1" w:rsidRPr="00D51A68" w:rsidRDefault="00B93FA1" w:rsidP="00C11B8D">
            <w:pPr>
              <w:spacing w:beforeLines="60" w:before="144" w:afterLines="60" w:after="144"/>
              <w:rPr>
                <w:rFonts w:ascii="Times New Roman" w:hAnsi="Times New Roman"/>
                <w:sz w:val="24"/>
              </w:rPr>
            </w:pPr>
            <w:r w:rsidRPr="00D51A68">
              <w:rPr>
                <w:rFonts w:ascii="Times New Roman" w:hAnsi="Times New Roman"/>
                <w:sz w:val="24"/>
              </w:rPr>
              <w:t>Le informazioni fornite in questa riga corrispondono a quelle della riga 141 del modello F 01.01 degli allegati III e IV del presente regolamento.</w:t>
            </w:r>
          </w:p>
        </w:tc>
      </w:tr>
      <w:tr w:rsidR="00B93FA1" w:rsidRPr="00D51A68" w:rsidTr="00672D2A">
        <w:tc>
          <w:tcPr>
            <w:tcW w:w="1101" w:type="dxa"/>
          </w:tcPr>
          <w:p w:rsidR="00B93FA1" w:rsidRPr="00D51A68" w:rsidRDefault="001924F4" w:rsidP="00AF3D7A">
            <w:pPr>
              <w:spacing w:beforeLines="60" w:before="144" w:afterLines="60" w:after="144"/>
              <w:rPr>
                <w:rFonts w:ascii="Times New Roman" w:hAnsi="Times New Roman"/>
                <w:sz w:val="24"/>
              </w:rPr>
            </w:pPr>
            <w:r w:rsidRPr="00D51A68">
              <w:rPr>
                <w:rFonts w:ascii="Times New Roman" w:hAnsi="Times New Roman"/>
                <w:sz w:val="24"/>
              </w:rPr>
              <w:t>0080</w:t>
            </w:r>
          </w:p>
        </w:tc>
        <w:tc>
          <w:tcPr>
            <w:tcW w:w="8190" w:type="dxa"/>
          </w:tcPr>
          <w:p w:rsidR="00B93FA1" w:rsidRPr="00D51A68" w:rsidRDefault="00B93FA1" w:rsidP="00AF3D7A">
            <w:pPr>
              <w:spacing w:beforeLines="60" w:before="144" w:afterLines="60" w:after="144"/>
              <w:rPr>
                <w:rFonts w:ascii="Times New Roman" w:hAnsi="Times New Roman"/>
                <w:b/>
                <w:sz w:val="24"/>
                <w:u w:val="single"/>
              </w:rPr>
            </w:pPr>
            <w:r w:rsidRPr="00D51A68">
              <w:rPr>
                <w:rFonts w:ascii="Times New Roman" w:hAnsi="Times New Roman"/>
                <w:b/>
                <w:sz w:val="24"/>
                <w:u w:val="single"/>
              </w:rPr>
              <w:t>1.1.6 ATTIVITÀ FINANZIARIE NON DERIVATE E NON PER NEGOZIAZIONE VALUTATE AL FAIR VALUE (VALORE EQUO) RILEVATO NELL</w:t>
            </w:r>
            <w:r w:rsidR="0009277C" w:rsidRPr="00D51A68">
              <w:rPr>
                <w:rFonts w:ascii="Times New Roman" w:hAnsi="Times New Roman"/>
                <w:b/>
                <w:sz w:val="24"/>
                <w:u w:val="single"/>
              </w:rPr>
              <w:t>’</w:t>
            </w:r>
            <w:r w:rsidRPr="00D51A68">
              <w:rPr>
                <w:rFonts w:ascii="Times New Roman" w:hAnsi="Times New Roman"/>
                <w:b/>
                <w:sz w:val="24"/>
                <w:u w:val="single"/>
              </w:rPr>
              <w:t>UTILE (PERDITA) D</w:t>
            </w:r>
            <w:r w:rsidR="0009277C" w:rsidRPr="00D51A68">
              <w:rPr>
                <w:rFonts w:ascii="Times New Roman" w:hAnsi="Times New Roman"/>
                <w:b/>
                <w:sz w:val="24"/>
                <w:u w:val="single"/>
              </w:rPr>
              <w:t>’</w:t>
            </w:r>
            <w:r w:rsidRPr="00D51A68">
              <w:rPr>
                <w:rFonts w:ascii="Times New Roman" w:hAnsi="Times New Roman"/>
                <w:b/>
                <w:sz w:val="24"/>
                <w:u w:val="single"/>
              </w:rPr>
              <w:t>ESERCIZIO</w:t>
            </w:r>
          </w:p>
          <w:p w:rsidR="00B93FA1" w:rsidRPr="00D51A68" w:rsidRDefault="00B93FA1" w:rsidP="00AF3D7A">
            <w:pPr>
              <w:spacing w:beforeLines="60" w:before="144" w:afterLines="60" w:after="144"/>
              <w:rPr>
                <w:rFonts w:ascii="Times New Roman" w:hAnsi="Times New Roman"/>
                <w:sz w:val="24"/>
              </w:rPr>
            </w:pPr>
            <w:r w:rsidRPr="00D51A68">
              <w:rPr>
                <w:rFonts w:ascii="Times New Roman" w:hAnsi="Times New Roman"/>
                <w:sz w:val="24"/>
              </w:rPr>
              <w:t xml:space="preserve">Articolo 36, paragrafo 2, della BAD. </w:t>
            </w:r>
          </w:p>
          <w:p w:rsidR="00B93FA1" w:rsidRPr="00D51A68" w:rsidRDefault="00B93FA1" w:rsidP="00C11B8D">
            <w:pPr>
              <w:spacing w:beforeLines="60" w:before="144" w:afterLines="60" w:after="144"/>
              <w:rPr>
                <w:rFonts w:ascii="Times New Roman" w:hAnsi="Times New Roman"/>
                <w:b/>
                <w:sz w:val="24"/>
                <w:u w:val="single"/>
              </w:rPr>
            </w:pPr>
            <w:r w:rsidRPr="00D51A68">
              <w:rPr>
                <w:rFonts w:ascii="Times New Roman" w:hAnsi="Times New Roman"/>
                <w:sz w:val="24"/>
              </w:rPr>
              <w:t>Le informazioni fornite in questa riga corrispondono a quelle della riga 171 del modello F 01.01 degli allegati III e IV del presente regolamento.</w:t>
            </w:r>
          </w:p>
        </w:tc>
      </w:tr>
      <w:tr w:rsidR="00B93FA1" w:rsidRPr="00D51A68" w:rsidTr="00672D2A">
        <w:tc>
          <w:tcPr>
            <w:tcW w:w="1101" w:type="dxa"/>
          </w:tcPr>
          <w:p w:rsidR="00B93FA1" w:rsidRPr="00D51A68" w:rsidRDefault="001924F4" w:rsidP="00AF3D7A">
            <w:pPr>
              <w:spacing w:beforeLines="60" w:before="144" w:afterLines="60" w:after="144"/>
              <w:rPr>
                <w:rFonts w:ascii="Times New Roman" w:hAnsi="Times New Roman"/>
                <w:sz w:val="24"/>
              </w:rPr>
            </w:pPr>
            <w:r w:rsidRPr="00D51A68">
              <w:rPr>
                <w:rFonts w:ascii="Times New Roman" w:hAnsi="Times New Roman"/>
                <w:sz w:val="24"/>
              </w:rPr>
              <w:t>0090</w:t>
            </w:r>
          </w:p>
        </w:tc>
        <w:tc>
          <w:tcPr>
            <w:tcW w:w="8190" w:type="dxa"/>
          </w:tcPr>
          <w:p w:rsidR="00B93FA1" w:rsidRPr="00D51A68" w:rsidRDefault="00B93FA1" w:rsidP="00AF3D7A">
            <w:pPr>
              <w:spacing w:beforeLines="60" w:before="144" w:afterLines="60" w:after="144"/>
              <w:rPr>
                <w:rFonts w:ascii="Times New Roman" w:hAnsi="Times New Roman"/>
                <w:b/>
                <w:sz w:val="24"/>
                <w:u w:val="single"/>
              </w:rPr>
            </w:pPr>
            <w:r w:rsidRPr="00D51A68">
              <w:rPr>
                <w:rFonts w:ascii="Times New Roman" w:hAnsi="Times New Roman"/>
                <w:b/>
                <w:sz w:val="24"/>
                <w:u w:val="single"/>
              </w:rPr>
              <w:t>1.1.7 ATTIVITÀ FINANZIARIE NON DERIVATE E NON PER NEGOZIAZIONE VALUTATE AL FAIR VALUE (VALORE EQUO) RILEVATO A PATRIMONIO NETTO</w:t>
            </w:r>
          </w:p>
          <w:p w:rsidR="00B93FA1" w:rsidRPr="00D51A68" w:rsidRDefault="00B93FA1" w:rsidP="00AF3D7A">
            <w:pPr>
              <w:spacing w:beforeLines="60" w:before="144" w:afterLines="60" w:after="144"/>
              <w:rPr>
                <w:rFonts w:ascii="Times New Roman" w:hAnsi="Times New Roman"/>
                <w:sz w:val="24"/>
              </w:rPr>
            </w:pPr>
            <w:r w:rsidRPr="00D51A68">
              <w:rPr>
                <w:rFonts w:ascii="Times New Roman" w:hAnsi="Times New Roman"/>
                <w:sz w:val="24"/>
              </w:rPr>
              <w:t>Articolo 8, paragrafo 1, lettera a), e paragrafo 8, della direttiva contabile.</w:t>
            </w:r>
          </w:p>
          <w:p w:rsidR="00B93FA1" w:rsidRPr="00D51A68" w:rsidRDefault="00B93FA1" w:rsidP="00C11B8D">
            <w:pPr>
              <w:spacing w:beforeLines="60" w:before="144" w:afterLines="60" w:after="144"/>
              <w:rPr>
                <w:rFonts w:ascii="Times New Roman" w:hAnsi="Times New Roman"/>
                <w:b/>
                <w:sz w:val="24"/>
                <w:u w:val="single"/>
              </w:rPr>
            </w:pPr>
            <w:r w:rsidRPr="00D51A68">
              <w:rPr>
                <w:rFonts w:ascii="Times New Roman" w:hAnsi="Times New Roman"/>
                <w:sz w:val="24"/>
              </w:rPr>
              <w:t>Le informazioni fornite in questa riga corrispondono a quelle della riga 175 del modello F 01.01 degli allegati III e IV del presente regolamento.</w:t>
            </w:r>
          </w:p>
        </w:tc>
      </w:tr>
      <w:tr w:rsidR="00B93FA1" w:rsidRPr="00D51A68" w:rsidTr="00672D2A">
        <w:tc>
          <w:tcPr>
            <w:tcW w:w="1101" w:type="dxa"/>
          </w:tcPr>
          <w:p w:rsidR="00B93FA1" w:rsidRPr="00D51A68" w:rsidRDefault="001924F4" w:rsidP="00AF3D7A">
            <w:pPr>
              <w:spacing w:beforeLines="60" w:before="144" w:afterLines="60" w:after="144"/>
              <w:rPr>
                <w:rFonts w:ascii="Times New Roman" w:hAnsi="Times New Roman"/>
                <w:sz w:val="24"/>
              </w:rPr>
            </w:pPr>
            <w:r w:rsidRPr="00D51A68">
              <w:rPr>
                <w:rFonts w:ascii="Times New Roman" w:hAnsi="Times New Roman"/>
                <w:sz w:val="24"/>
              </w:rPr>
              <w:t>0100</w:t>
            </w:r>
          </w:p>
        </w:tc>
        <w:tc>
          <w:tcPr>
            <w:tcW w:w="8190" w:type="dxa"/>
          </w:tcPr>
          <w:p w:rsidR="00B93FA1" w:rsidRPr="00D51A68" w:rsidRDefault="00B93FA1" w:rsidP="00AF3D7A">
            <w:pPr>
              <w:spacing w:beforeLines="60" w:before="144" w:afterLines="60" w:after="144"/>
              <w:rPr>
                <w:rFonts w:ascii="Times New Roman" w:hAnsi="Times New Roman"/>
                <w:b/>
                <w:sz w:val="24"/>
                <w:u w:val="single"/>
              </w:rPr>
            </w:pPr>
            <w:r w:rsidRPr="00D51A68">
              <w:rPr>
                <w:rFonts w:ascii="Times New Roman" w:hAnsi="Times New Roman"/>
                <w:b/>
                <w:sz w:val="24"/>
                <w:u w:val="single"/>
              </w:rPr>
              <w:t>1.1.8 ALTRE ATTIVITÀ FINANZIARIE NON DERIVATE E NON PER NEGOZIAZIONE</w:t>
            </w:r>
          </w:p>
          <w:p w:rsidR="00B93FA1" w:rsidRPr="00D51A68" w:rsidRDefault="00B93FA1" w:rsidP="00AF3D7A">
            <w:pPr>
              <w:spacing w:beforeLines="60" w:before="144" w:afterLines="60" w:after="144"/>
              <w:rPr>
                <w:rFonts w:ascii="Times New Roman" w:hAnsi="Times New Roman"/>
                <w:sz w:val="24"/>
              </w:rPr>
            </w:pPr>
            <w:r w:rsidRPr="00D51A68">
              <w:rPr>
                <w:rFonts w:ascii="Times New Roman" w:hAnsi="Times New Roman"/>
                <w:sz w:val="24"/>
              </w:rPr>
              <w:t>Articolo 37 della BAD; Articolo 12, paragrafo 7, della direttiva contabile; Allegato V, parte 1.20.</w:t>
            </w:r>
          </w:p>
          <w:p w:rsidR="00B93FA1" w:rsidRPr="00D51A68" w:rsidRDefault="00B93FA1" w:rsidP="00C11B8D">
            <w:pPr>
              <w:spacing w:beforeLines="60" w:before="144" w:afterLines="60" w:after="144"/>
              <w:rPr>
                <w:rFonts w:ascii="Times New Roman" w:hAnsi="Times New Roman"/>
                <w:b/>
                <w:sz w:val="24"/>
                <w:u w:val="single"/>
              </w:rPr>
            </w:pPr>
            <w:r w:rsidRPr="00D51A68">
              <w:rPr>
                <w:rFonts w:ascii="Times New Roman" w:hAnsi="Times New Roman"/>
                <w:sz w:val="24"/>
              </w:rPr>
              <w:t>Le informazioni fornite in questa riga corrispondono a quelle della riga 234 del modello F 01.01 degli allegati III e IV del presente regolamento.</w:t>
            </w:r>
          </w:p>
        </w:tc>
      </w:tr>
      <w:tr w:rsidR="00B93FA1" w:rsidRPr="00D51A68" w:rsidTr="00672D2A">
        <w:tc>
          <w:tcPr>
            <w:tcW w:w="1101" w:type="dxa"/>
          </w:tcPr>
          <w:p w:rsidR="00B93FA1" w:rsidRPr="00D51A68" w:rsidRDefault="001924F4" w:rsidP="00AF3D7A">
            <w:pPr>
              <w:spacing w:beforeLines="60" w:before="144" w:afterLines="60" w:after="144"/>
              <w:rPr>
                <w:rFonts w:ascii="Times New Roman" w:hAnsi="Times New Roman"/>
                <w:sz w:val="24"/>
              </w:rPr>
            </w:pPr>
            <w:r w:rsidRPr="00D51A68">
              <w:rPr>
                <w:rFonts w:ascii="Times New Roman" w:hAnsi="Times New Roman"/>
                <w:sz w:val="24"/>
              </w:rPr>
              <w:t>0110</w:t>
            </w:r>
          </w:p>
        </w:tc>
        <w:tc>
          <w:tcPr>
            <w:tcW w:w="8190" w:type="dxa"/>
          </w:tcPr>
          <w:p w:rsidR="00B93FA1" w:rsidRPr="00D51A68" w:rsidRDefault="00B93FA1" w:rsidP="00AF3D7A">
            <w:pPr>
              <w:spacing w:beforeLines="60" w:before="144" w:afterLines="60" w:after="144"/>
              <w:rPr>
                <w:rFonts w:ascii="Times New Roman" w:hAnsi="Times New Roman"/>
                <w:b/>
                <w:sz w:val="24"/>
                <w:u w:val="single"/>
              </w:rPr>
            </w:pPr>
            <w:r w:rsidRPr="00D51A68">
              <w:rPr>
                <w:rFonts w:ascii="Times New Roman" w:hAnsi="Times New Roman"/>
                <w:b/>
                <w:sz w:val="24"/>
                <w:u w:val="single"/>
              </w:rPr>
              <w:t>1.1.9 DERIVATI-CONTABILIZZAZIONE DELLE OPERAZIONI DI COPERTURA</w:t>
            </w:r>
          </w:p>
          <w:p w:rsidR="00B93FA1" w:rsidRPr="00D51A68" w:rsidRDefault="00B93FA1" w:rsidP="00AF3D7A">
            <w:pPr>
              <w:spacing w:beforeLines="60" w:before="144" w:afterLines="60" w:after="144"/>
              <w:rPr>
                <w:rFonts w:ascii="Times New Roman" w:hAnsi="Times New Roman"/>
                <w:sz w:val="24"/>
              </w:rPr>
            </w:pPr>
            <w:r w:rsidRPr="00D51A68">
              <w:rPr>
                <w:rFonts w:ascii="Times New Roman" w:hAnsi="Times New Roman"/>
                <w:sz w:val="24"/>
              </w:rPr>
              <w:t>IFRS 9.6.2.1; Allegato V, parte 1.22. Articolo 8, paragrafo 1, lettera a), e paragrafi 6 e 8, della direttiva contabile. IAS 39.9; Allegato V, parte 1.22.</w:t>
            </w:r>
          </w:p>
          <w:p w:rsidR="00B93FA1" w:rsidRPr="00D51A68" w:rsidRDefault="00B93FA1" w:rsidP="00C11B8D">
            <w:pPr>
              <w:spacing w:beforeLines="60" w:before="144" w:afterLines="60" w:after="144"/>
              <w:rPr>
                <w:rFonts w:ascii="Times New Roman" w:hAnsi="Times New Roman"/>
                <w:sz w:val="24"/>
              </w:rPr>
            </w:pPr>
            <w:r w:rsidRPr="00D51A68">
              <w:rPr>
                <w:rFonts w:ascii="Times New Roman" w:hAnsi="Times New Roman"/>
                <w:sz w:val="24"/>
              </w:rPr>
              <w:t>Le informazioni fornite in questa riga corrispondono a quelle della riga 240 del modello F 01.01 degli allegati III e IV del presente regolamento.</w:t>
            </w:r>
          </w:p>
        </w:tc>
      </w:tr>
      <w:tr w:rsidR="00B93FA1" w:rsidRPr="00D51A68" w:rsidTr="00672D2A">
        <w:tc>
          <w:tcPr>
            <w:tcW w:w="1101" w:type="dxa"/>
          </w:tcPr>
          <w:p w:rsidR="00B93FA1" w:rsidRPr="00D51A68" w:rsidDel="006529A1" w:rsidRDefault="001924F4" w:rsidP="00AF3D7A">
            <w:pPr>
              <w:spacing w:beforeLines="60" w:before="144" w:afterLines="60" w:after="144"/>
              <w:rPr>
                <w:rFonts w:ascii="Times New Roman" w:hAnsi="Times New Roman"/>
                <w:sz w:val="24"/>
              </w:rPr>
            </w:pPr>
            <w:r w:rsidRPr="00D51A68">
              <w:rPr>
                <w:rFonts w:ascii="Times New Roman" w:hAnsi="Times New Roman"/>
                <w:sz w:val="24"/>
              </w:rPr>
              <w:t>0120</w:t>
            </w:r>
          </w:p>
        </w:tc>
        <w:tc>
          <w:tcPr>
            <w:tcW w:w="8190" w:type="dxa"/>
          </w:tcPr>
          <w:p w:rsidR="00B93FA1" w:rsidRPr="00D51A68" w:rsidRDefault="00B93FA1" w:rsidP="00AF3D7A">
            <w:pPr>
              <w:spacing w:beforeLines="60" w:before="144" w:afterLines="60" w:after="144"/>
              <w:rPr>
                <w:rFonts w:ascii="Times New Roman" w:hAnsi="Times New Roman"/>
                <w:b/>
                <w:sz w:val="24"/>
                <w:u w:val="single"/>
              </w:rPr>
            </w:pPr>
            <w:r w:rsidRPr="00D51A68">
              <w:rPr>
                <w:rFonts w:ascii="Times New Roman" w:hAnsi="Times New Roman"/>
                <w:b/>
                <w:sz w:val="24"/>
                <w:u w:val="single"/>
              </w:rPr>
              <w:t>1.1.10 VARIAZIONI DEL FAIR VALUE (VALORE EQUO) DEGLI ELEMENTI COPERTI IN UNA COPERTURA DI PORTAFOGLIO DAL RISCHIO DI TASSO DI INTERESSE</w:t>
            </w:r>
          </w:p>
          <w:p w:rsidR="00B93FA1" w:rsidRPr="00D51A68" w:rsidRDefault="00B93FA1" w:rsidP="00AF3D7A">
            <w:pPr>
              <w:spacing w:beforeLines="60" w:before="144" w:afterLines="60" w:after="144"/>
              <w:rPr>
                <w:rFonts w:ascii="Times New Roman" w:hAnsi="Times New Roman"/>
                <w:sz w:val="24"/>
              </w:rPr>
            </w:pPr>
            <w:r w:rsidRPr="00D51A68">
              <w:rPr>
                <w:rFonts w:ascii="Times New Roman" w:hAnsi="Times New Roman"/>
                <w:sz w:val="24"/>
              </w:rPr>
              <w:t>IAS 39.89A(a); IFRS 9.6.5.8; Articolo 8, paragrafi 5 e 6, della direttiva contabile.</w:t>
            </w:r>
          </w:p>
          <w:p w:rsidR="00B93FA1" w:rsidRPr="00D51A68" w:rsidRDefault="00B93FA1" w:rsidP="00C11B8D">
            <w:pPr>
              <w:spacing w:beforeLines="60" w:before="144" w:afterLines="60" w:after="144"/>
              <w:rPr>
                <w:rFonts w:ascii="Times New Roman" w:hAnsi="Times New Roman"/>
                <w:b/>
                <w:sz w:val="24"/>
                <w:u w:val="single"/>
              </w:rPr>
            </w:pPr>
            <w:r w:rsidRPr="00D51A68">
              <w:rPr>
                <w:rFonts w:ascii="Times New Roman" w:hAnsi="Times New Roman"/>
                <w:sz w:val="24"/>
              </w:rPr>
              <w:t>Le informazioni fornite in questa riga corrispondono a quelle della riga 250 del modello F 01.01 degli allegati III e IV del presente regolamento.</w:t>
            </w:r>
          </w:p>
        </w:tc>
      </w:tr>
      <w:tr w:rsidR="00B93FA1" w:rsidRPr="00D51A68" w:rsidTr="00672D2A">
        <w:tc>
          <w:tcPr>
            <w:tcW w:w="1101" w:type="dxa"/>
          </w:tcPr>
          <w:p w:rsidR="00B93FA1" w:rsidRPr="00D51A68" w:rsidRDefault="001924F4" w:rsidP="00AF3D7A">
            <w:pPr>
              <w:spacing w:beforeLines="60" w:before="144" w:afterLines="60" w:after="144"/>
              <w:rPr>
                <w:rFonts w:ascii="Times New Roman" w:hAnsi="Times New Roman"/>
                <w:sz w:val="24"/>
              </w:rPr>
            </w:pPr>
            <w:r w:rsidRPr="00D51A68">
              <w:rPr>
                <w:rFonts w:ascii="Times New Roman" w:hAnsi="Times New Roman"/>
                <w:sz w:val="24"/>
              </w:rPr>
              <w:t>0130</w:t>
            </w:r>
          </w:p>
        </w:tc>
        <w:tc>
          <w:tcPr>
            <w:tcW w:w="8190" w:type="dxa"/>
          </w:tcPr>
          <w:p w:rsidR="00B93FA1" w:rsidRPr="00D51A68" w:rsidRDefault="00B93FA1" w:rsidP="00AF3D7A">
            <w:pPr>
              <w:spacing w:beforeLines="60" w:before="144" w:afterLines="60" w:after="144"/>
              <w:rPr>
                <w:rFonts w:ascii="Times New Roman" w:hAnsi="Times New Roman"/>
                <w:b/>
                <w:sz w:val="24"/>
                <w:u w:val="single"/>
              </w:rPr>
            </w:pPr>
            <w:r w:rsidRPr="00D51A68">
              <w:rPr>
                <w:rFonts w:ascii="Times New Roman" w:hAnsi="Times New Roman"/>
                <w:b/>
                <w:sz w:val="24"/>
                <w:u w:val="single"/>
              </w:rPr>
              <w:t>1.1.11 PARTECIPAZIONI IN FILIAZIONI, IN JOINT VENTURE E IN SOCIETÀ COLLEGATE</w:t>
            </w:r>
          </w:p>
          <w:p w:rsidR="00B93FA1" w:rsidRPr="00D51A68" w:rsidRDefault="00B93FA1" w:rsidP="00AF3D7A">
            <w:pPr>
              <w:spacing w:beforeLines="60" w:before="144" w:afterLines="60" w:after="144"/>
              <w:rPr>
                <w:rFonts w:ascii="Times New Roman" w:hAnsi="Times New Roman"/>
                <w:sz w:val="24"/>
              </w:rPr>
            </w:pPr>
            <w:r w:rsidRPr="00D51A68">
              <w:rPr>
                <w:rFonts w:ascii="Times New Roman" w:hAnsi="Times New Roman"/>
                <w:sz w:val="24"/>
              </w:rPr>
              <w:t>IAS 1.54(e); Al</w:t>
            </w:r>
            <w:r w:rsidR="0009277C" w:rsidRPr="00D51A68">
              <w:rPr>
                <w:rFonts w:ascii="Times New Roman" w:hAnsi="Times New Roman"/>
                <w:sz w:val="24"/>
              </w:rPr>
              <w:t>legato V, parte 1.21, parte 2.4</w:t>
            </w:r>
            <w:r w:rsidRPr="00D51A68">
              <w:rPr>
                <w:rFonts w:ascii="Times New Roman" w:hAnsi="Times New Roman"/>
                <w:sz w:val="24"/>
              </w:rPr>
              <w:t xml:space="preserve">; Articolo 4 della BAD. Attività(7)-(8); Articolo 2, paragrafo 2, della direttiva contabile. </w:t>
            </w:r>
          </w:p>
          <w:p w:rsidR="00B93FA1" w:rsidRPr="00D51A68" w:rsidRDefault="00B93FA1" w:rsidP="00F811F8">
            <w:pPr>
              <w:spacing w:beforeLines="60" w:before="144" w:afterLines="60" w:after="144"/>
              <w:rPr>
                <w:rFonts w:ascii="Times New Roman" w:hAnsi="Times New Roman"/>
                <w:b/>
                <w:sz w:val="24"/>
                <w:u w:val="single"/>
              </w:rPr>
            </w:pPr>
            <w:r w:rsidRPr="00D51A68">
              <w:rPr>
                <w:rFonts w:ascii="Times New Roman" w:hAnsi="Times New Roman"/>
                <w:sz w:val="24"/>
              </w:rPr>
              <w:t>Le informazioni fornite in questa riga corrispondono a quelle della riga 260 del modello F 01.01 degli allegati III e IV del presente regolamento.</w:t>
            </w:r>
          </w:p>
        </w:tc>
      </w:tr>
      <w:tr w:rsidR="00B93FA1" w:rsidRPr="00D51A68" w:rsidTr="00672D2A">
        <w:tc>
          <w:tcPr>
            <w:tcW w:w="1101" w:type="dxa"/>
          </w:tcPr>
          <w:p w:rsidR="00B93FA1" w:rsidRPr="00D51A68" w:rsidRDefault="001924F4" w:rsidP="00AF3D7A">
            <w:pPr>
              <w:spacing w:beforeLines="60" w:before="144" w:afterLines="60" w:after="144"/>
              <w:rPr>
                <w:rFonts w:ascii="Times New Roman" w:hAnsi="Times New Roman"/>
                <w:sz w:val="24"/>
              </w:rPr>
            </w:pPr>
            <w:r w:rsidRPr="00D51A68">
              <w:rPr>
                <w:rFonts w:ascii="Times New Roman" w:hAnsi="Times New Roman"/>
                <w:sz w:val="24"/>
              </w:rPr>
              <w:t>0140</w:t>
            </w:r>
          </w:p>
        </w:tc>
        <w:tc>
          <w:tcPr>
            <w:tcW w:w="8190" w:type="dxa"/>
          </w:tcPr>
          <w:p w:rsidR="00B93FA1" w:rsidRPr="00D51A68" w:rsidRDefault="00B93FA1" w:rsidP="00AF3D7A">
            <w:pPr>
              <w:spacing w:beforeLines="60" w:before="144" w:afterLines="60" w:after="144"/>
              <w:rPr>
                <w:rFonts w:ascii="Times New Roman" w:hAnsi="Times New Roman"/>
                <w:b/>
                <w:sz w:val="24"/>
                <w:u w:val="single"/>
              </w:rPr>
            </w:pPr>
            <w:r w:rsidRPr="00D51A68">
              <w:rPr>
                <w:rFonts w:ascii="Times New Roman" w:hAnsi="Times New Roman"/>
                <w:b/>
                <w:sz w:val="24"/>
                <w:u w:val="single"/>
              </w:rPr>
              <w:t>1.1.12 (-) SCARTI DI GARANZIA RELATIVI AD ATTIVITÀ PER NEGOZIAZIONE AL FAIR VALUE (VALORE EQUO)</w:t>
            </w:r>
          </w:p>
          <w:p w:rsidR="00B93FA1" w:rsidRPr="00D51A68" w:rsidRDefault="00B93FA1" w:rsidP="00AF3D7A">
            <w:pPr>
              <w:spacing w:beforeLines="60" w:before="144" w:afterLines="60" w:after="144"/>
              <w:rPr>
                <w:rFonts w:ascii="Times New Roman" w:hAnsi="Times New Roman"/>
                <w:sz w:val="24"/>
              </w:rPr>
            </w:pPr>
            <w:r w:rsidRPr="00D51A68">
              <w:rPr>
                <w:rFonts w:ascii="Times New Roman" w:hAnsi="Times New Roman"/>
                <w:sz w:val="24"/>
              </w:rPr>
              <w:t>Allegato V, parte 1.29.</w:t>
            </w:r>
          </w:p>
          <w:p w:rsidR="00B93FA1" w:rsidRPr="00D51A68" w:rsidRDefault="00B93FA1" w:rsidP="00F811F8">
            <w:pPr>
              <w:spacing w:beforeLines="60" w:before="144" w:afterLines="60" w:after="144"/>
              <w:rPr>
                <w:rFonts w:ascii="Times New Roman" w:hAnsi="Times New Roman"/>
                <w:b/>
                <w:sz w:val="24"/>
                <w:u w:val="single"/>
              </w:rPr>
            </w:pPr>
            <w:r w:rsidRPr="00D51A68">
              <w:rPr>
                <w:rFonts w:ascii="Times New Roman" w:hAnsi="Times New Roman"/>
                <w:sz w:val="24"/>
              </w:rPr>
              <w:t>Le informazioni fornite in questa riga corrispondono a quelle della riga 375 del modello F 01.01 degli allegati III e IV del presente regolamento.</w:t>
            </w:r>
          </w:p>
        </w:tc>
      </w:tr>
      <w:tr w:rsidR="00B93FA1" w:rsidRPr="00D51A68" w:rsidTr="00672D2A">
        <w:tc>
          <w:tcPr>
            <w:tcW w:w="1101" w:type="dxa"/>
          </w:tcPr>
          <w:p w:rsidR="00B93FA1" w:rsidRPr="00D51A68" w:rsidRDefault="001924F4" w:rsidP="00AF3D7A">
            <w:pPr>
              <w:spacing w:beforeLines="60" w:before="144" w:afterLines="60" w:after="144"/>
              <w:rPr>
                <w:rFonts w:ascii="Times New Roman" w:hAnsi="Times New Roman"/>
                <w:sz w:val="24"/>
              </w:rPr>
            </w:pPr>
            <w:r w:rsidRPr="00D51A68">
              <w:rPr>
                <w:rFonts w:ascii="Times New Roman" w:hAnsi="Times New Roman"/>
                <w:sz w:val="24"/>
              </w:rPr>
              <w:t>0150</w:t>
            </w:r>
          </w:p>
        </w:tc>
        <w:tc>
          <w:tcPr>
            <w:tcW w:w="8190" w:type="dxa"/>
          </w:tcPr>
          <w:p w:rsidR="00B93FA1" w:rsidRPr="00D51A68" w:rsidRDefault="00B93FA1" w:rsidP="00AF3D7A">
            <w:pPr>
              <w:spacing w:beforeLines="60" w:before="144" w:afterLines="60" w:after="144"/>
              <w:rPr>
                <w:rFonts w:ascii="Times New Roman" w:hAnsi="Times New Roman"/>
                <w:b/>
                <w:sz w:val="24"/>
                <w:u w:val="single"/>
              </w:rPr>
            </w:pPr>
            <w:r w:rsidRPr="00D51A68">
              <w:rPr>
                <w:rFonts w:ascii="Times New Roman" w:hAnsi="Times New Roman"/>
                <w:b/>
                <w:sz w:val="24"/>
                <w:u w:val="single"/>
              </w:rPr>
              <w:t>1.2 PASSIVITÀ TOTALI VALUTATE AL FAIR VALUE (VALORE EQUO)</w:t>
            </w:r>
            <w:r w:rsidR="0009277C" w:rsidRPr="00D51A68">
              <w:rPr>
                <w:rFonts w:ascii="Times New Roman" w:hAnsi="Times New Roman"/>
                <w:b/>
                <w:sz w:val="24"/>
                <w:u w:val="single"/>
              </w:rPr>
              <w:t xml:space="preserve"> </w:t>
            </w:r>
          </w:p>
          <w:p w:rsidR="00B93FA1" w:rsidRPr="00D51A68" w:rsidRDefault="00B93FA1" w:rsidP="00AF3D7A">
            <w:pPr>
              <w:spacing w:beforeLines="60" w:before="144" w:afterLines="60" w:after="144"/>
              <w:rPr>
                <w:rFonts w:ascii="Times New Roman" w:hAnsi="Times New Roman"/>
                <w:sz w:val="24"/>
              </w:rPr>
            </w:pPr>
            <w:r w:rsidRPr="00D51A68">
              <w:rPr>
                <w:rFonts w:ascii="Times New Roman" w:hAnsi="Times New Roman"/>
                <w:sz w:val="24"/>
              </w:rPr>
              <w:t>Il totale delle passività valutate al fair value (valor</w:t>
            </w:r>
            <w:r w:rsidR="00BE76FD" w:rsidRPr="00D51A68">
              <w:rPr>
                <w:rFonts w:ascii="Times New Roman" w:hAnsi="Times New Roman"/>
                <w:sz w:val="24"/>
              </w:rPr>
              <w:t>e equo) indicate nelle righe da </w:t>
            </w:r>
            <w:r w:rsidRPr="00D51A68">
              <w:rPr>
                <w:rFonts w:ascii="Times New Roman" w:hAnsi="Times New Roman"/>
                <w:sz w:val="24"/>
              </w:rPr>
              <w:t>0160 a 0210.</w:t>
            </w:r>
          </w:p>
          <w:p w:rsidR="00B93FA1" w:rsidRPr="00D51A68" w:rsidRDefault="00B93FA1" w:rsidP="00AF3D7A">
            <w:pPr>
              <w:spacing w:beforeLines="60" w:before="144" w:afterLines="60" w:after="144"/>
              <w:rPr>
                <w:rFonts w:ascii="Times New Roman" w:hAnsi="Times New Roman"/>
                <w:sz w:val="24"/>
              </w:rPr>
            </w:pPr>
            <w:r w:rsidRPr="00D51A68">
              <w:rPr>
                <w:rFonts w:ascii="Times New Roman" w:hAnsi="Times New Roman"/>
                <w:sz w:val="24"/>
              </w:rPr>
              <w:t>Le celle pertinenti delle righe da 0150 a 0190 sono compilate in linea con il modello FINREP F 01.02 di cui agli allegati III e IV del presente regolamento in funzione dei principi contabili applicati dall</w:t>
            </w:r>
            <w:r w:rsidR="0009277C" w:rsidRPr="00D51A68">
              <w:rPr>
                <w:rFonts w:ascii="Times New Roman" w:hAnsi="Times New Roman"/>
                <w:sz w:val="24"/>
              </w:rPr>
              <w:t>’</w:t>
            </w:r>
            <w:r w:rsidRPr="00D51A68">
              <w:rPr>
                <w:rFonts w:ascii="Times New Roman" w:hAnsi="Times New Roman"/>
                <w:sz w:val="24"/>
              </w:rPr>
              <w:t xml:space="preserve">ente: </w:t>
            </w:r>
          </w:p>
          <w:p w:rsidR="00B93FA1" w:rsidRPr="00D51A68" w:rsidRDefault="00B93FA1" w:rsidP="00B93FA1">
            <w:pPr>
              <w:pStyle w:val="ListParagraph"/>
              <w:numPr>
                <w:ilvl w:val="0"/>
                <w:numId w:val="46"/>
              </w:numPr>
              <w:spacing w:beforeLines="60" w:before="144" w:afterLines="60" w:after="144"/>
              <w:rPr>
                <w:rFonts w:ascii="Times New Roman" w:hAnsi="Times New Roman"/>
                <w:sz w:val="24"/>
              </w:rPr>
            </w:pPr>
            <w:r w:rsidRPr="00D51A68">
              <w:rPr>
                <w:rFonts w:ascii="Times New Roman" w:hAnsi="Times New Roman"/>
                <w:sz w:val="24"/>
              </w:rPr>
              <w:t>gli IFRS omologati dall</w:t>
            </w:r>
            <w:r w:rsidR="0009277C" w:rsidRPr="00D51A68">
              <w:rPr>
                <w:rFonts w:ascii="Times New Roman" w:hAnsi="Times New Roman"/>
                <w:sz w:val="24"/>
              </w:rPr>
              <w:t>’</w:t>
            </w:r>
            <w:r w:rsidRPr="00D51A68">
              <w:rPr>
                <w:rFonts w:ascii="Times New Roman" w:hAnsi="Times New Roman"/>
                <w:sz w:val="24"/>
              </w:rPr>
              <w:t>Unione in appli</w:t>
            </w:r>
            <w:r w:rsidR="00BE76FD" w:rsidRPr="00D51A68">
              <w:rPr>
                <w:rFonts w:ascii="Times New Roman" w:hAnsi="Times New Roman"/>
                <w:sz w:val="24"/>
              </w:rPr>
              <w:t>cazione del regolamento (UE) n. </w:t>
            </w:r>
            <w:r w:rsidRPr="00D51A68">
              <w:rPr>
                <w:rFonts w:ascii="Times New Roman" w:hAnsi="Times New Roman"/>
                <w:sz w:val="24"/>
              </w:rPr>
              <w:t>1606/2002 (IFRS UE)</w:t>
            </w:r>
          </w:p>
          <w:p w:rsidR="00B93FA1" w:rsidRPr="00D51A68" w:rsidRDefault="00B93FA1" w:rsidP="00B93FA1">
            <w:pPr>
              <w:pStyle w:val="ListParagraph"/>
              <w:numPr>
                <w:ilvl w:val="0"/>
                <w:numId w:val="46"/>
              </w:numPr>
              <w:spacing w:beforeLines="60" w:before="144" w:afterLines="60" w:after="144"/>
              <w:rPr>
                <w:rFonts w:ascii="Times New Roman" w:hAnsi="Times New Roman"/>
                <w:sz w:val="24"/>
              </w:rPr>
            </w:pPr>
            <w:r w:rsidRPr="00D51A68">
              <w:rPr>
                <w:rFonts w:ascii="Times New Roman" w:hAnsi="Times New Roman"/>
                <w:sz w:val="24"/>
              </w:rPr>
              <w:t>i principi contabili nazionali compatibili con gli IFRS UE (</w:t>
            </w:r>
            <w:r w:rsidR="0009277C" w:rsidRPr="00D51A68">
              <w:rPr>
                <w:rFonts w:ascii="Times New Roman" w:hAnsi="Times New Roman"/>
                <w:sz w:val="24"/>
              </w:rPr>
              <w:t>“</w:t>
            </w:r>
            <w:r w:rsidRPr="00D51A68">
              <w:rPr>
                <w:rFonts w:ascii="Times New Roman" w:hAnsi="Times New Roman"/>
                <w:sz w:val="24"/>
              </w:rPr>
              <w:t>GAAP nazionali compatibili con gli IFRS</w:t>
            </w:r>
            <w:r w:rsidR="0009277C" w:rsidRPr="00D51A68">
              <w:rPr>
                <w:rFonts w:ascii="Times New Roman" w:hAnsi="Times New Roman"/>
                <w:sz w:val="24"/>
              </w:rPr>
              <w:t>”</w:t>
            </w:r>
            <w:r w:rsidRPr="00D51A68">
              <w:rPr>
                <w:rFonts w:ascii="Times New Roman" w:hAnsi="Times New Roman"/>
                <w:sz w:val="24"/>
              </w:rPr>
              <w:t xml:space="preserve">) o </w:t>
            </w:r>
          </w:p>
          <w:p w:rsidR="00B93FA1" w:rsidRPr="00D51A68" w:rsidRDefault="00B93FA1" w:rsidP="00B93FA1">
            <w:pPr>
              <w:pStyle w:val="ListParagraph"/>
              <w:numPr>
                <w:ilvl w:val="0"/>
                <w:numId w:val="46"/>
              </w:numPr>
              <w:spacing w:beforeLines="60" w:before="144" w:afterLines="60" w:after="144"/>
              <w:rPr>
                <w:rFonts w:ascii="Times New Roman" w:hAnsi="Times New Roman"/>
                <w:sz w:val="24"/>
              </w:rPr>
            </w:pPr>
            <w:r w:rsidRPr="00D51A68">
              <w:rPr>
                <w:rFonts w:ascii="Times New Roman" w:hAnsi="Times New Roman"/>
                <w:sz w:val="24"/>
              </w:rPr>
              <w:t xml:space="preserve">i GAAP nazionali basati sulla direttiva 86/635/CE, la BAD (FINREP </w:t>
            </w:r>
            <w:r w:rsidR="0009277C" w:rsidRPr="00D51A68">
              <w:rPr>
                <w:rFonts w:ascii="Times New Roman" w:hAnsi="Times New Roman"/>
                <w:sz w:val="24"/>
              </w:rPr>
              <w:t>“</w:t>
            </w:r>
            <w:r w:rsidRPr="00D51A68">
              <w:rPr>
                <w:rFonts w:ascii="Times New Roman" w:hAnsi="Times New Roman"/>
                <w:sz w:val="24"/>
              </w:rPr>
              <w:t>GAAP nazionali basati sulla BAD).</w:t>
            </w:r>
          </w:p>
        </w:tc>
      </w:tr>
      <w:tr w:rsidR="00B93FA1" w:rsidRPr="00D51A68" w:rsidTr="00672D2A">
        <w:tc>
          <w:tcPr>
            <w:tcW w:w="1101" w:type="dxa"/>
          </w:tcPr>
          <w:p w:rsidR="00B93FA1" w:rsidRPr="00D51A68" w:rsidRDefault="001924F4" w:rsidP="00AF3D7A">
            <w:pPr>
              <w:spacing w:beforeLines="60" w:before="144" w:afterLines="60" w:after="144"/>
              <w:rPr>
                <w:rFonts w:ascii="Times New Roman" w:hAnsi="Times New Roman"/>
                <w:sz w:val="24"/>
              </w:rPr>
            </w:pPr>
            <w:r w:rsidRPr="00D51A68">
              <w:rPr>
                <w:rFonts w:ascii="Times New Roman" w:hAnsi="Times New Roman"/>
                <w:sz w:val="24"/>
              </w:rPr>
              <w:t>0160</w:t>
            </w:r>
          </w:p>
        </w:tc>
        <w:tc>
          <w:tcPr>
            <w:tcW w:w="8190" w:type="dxa"/>
          </w:tcPr>
          <w:p w:rsidR="00B93FA1" w:rsidRPr="00D51A68" w:rsidRDefault="00B93FA1" w:rsidP="00AF3D7A">
            <w:pPr>
              <w:spacing w:beforeLines="60" w:before="144" w:afterLines="60" w:after="144"/>
              <w:rPr>
                <w:rFonts w:ascii="Times New Roman" w:hAnsi="Times New Roman"/>
                <w:b/>
                <w:sz w:val="24"/>
                <w:u w:val="single"/>
              </w:rPr>
            </w:pPr>
            <w:r w:rsidRPr="00D51A68">
              <w:rPr>
                <w:rFonts w:ascii="Times New Roman" w:hAnsi="Times New Roman"/>
                <w:b/>
                <w:sz w:val="24"/>
                <w:u w:val="single"/>
              </w:rPr>
              <w:t>1.2.1 PASSIVITÀ FINANZIARIE POSSEDUTE PER NEGOZIAZIONE</w:t>
            </w:r>
          </w:p>
          <w:p w:rsidR="00B93FA1" w:rsidRPr="00D51A68" w:rsidRDefault="00B93FA1" w:rsidP="00AF3D7A">
            <w:pPr>
              <w:spacing w:beforeLines="60" w:before="144" w:afterLines="60" w:after="144"/>
              <w:rPr>
                <w:rFonts w:ascii="Times New Roman" w:hAnsi="Times New Roman"/>
                <w:sz w:val="24"/>
              </w:rPr>
            </w:pPr>
            <w:r w:rsidRPr="00D51A68">
              <w:rPr>
                <w:rFonts w:ascii="Times New Roman" w:hAnsi="Times New Roman"/>
                <w:sz w:val="24"/>
              </w:rPr>
              <w:t>IFRS 7.8 (e) (ii); IFRS 9.BA.6.</w:t>
            </w:r>
          </w:p>
          <w:p w:rsidR="00B93FA1" w:rsidRPr="00D51A68" w:rsidRDefault="00B93FA1" w:rsidP="00F811F8">
            <w:pPr>
              <w:spacing w:beforeLines="60" w:before="144" w:afterLines="60" w:after="144"/>
              <w:rPr>
                <w:rFonts w:ascii="Times New Roman" w:hAnsi="Times New Roman"/>
                <w:sz w:val="24"/>
              </w:rPr>
            </w:pPr>
            <w:r w:rsidRPr="00D51A68">
              <w:rPr>
                <w:rFonts w:ascii="Times New Roman" w:hAnsi="Times New Roman"/>
                <w:sz w:val="24"/>
              </w:rPr>
              <w:t>Le informazioni fornite in questa riga corrispondono a quelle della riga 010 del modello F 01.02 degli allegati III e IV del presente regolamento.</w:t>
            </w:r>
          </w:p>
        </w:tc>
      </w:tr>
      <w:tr w:rsidR="00B93FA1" w:rsidRPr="00D51A68" w:rsidTr="00672D2A">
        <w:tc>
          <w:tcPr>
            <w:tcW w:w="1101" w:type="dxa"/>
          </w:tcPr>
          <w:p w:rsidR="00B93FA1" w:rsidRPr="00D51A68" w:rsidRDefault="001924F4" w:rsidP="00AF3D7A">
            <w:pPr>
              <w:spacing w:beforeLines="60" w:before="144" w:afterLines="60" w:after="144"/>
              <w:rPr>
                <w:rFonts w:ascii="Times New Roman" w:hAnsi="Times New Roman"/>
                <w:sz w:val="24"/>
              </w:rPr>
            </w:pPr>
            <w:r w:rsidRPr="00D51A68">
              <w:rPr>
                <w:rFonts w:ascii="Times New Roman" w:hAnsi="Times New Roman"/>
                <w:sz w:val="24"/>
              </w:rPr>
              <w:t>0170</w:t>
            </w:r>
          </w:p>
        </w:tc>
        <w:tc>
          <w:tcPr>
            <w:tcW w:w="8190" w:type="dxa"/>
          </w:tcPr>
          <w:p w:rsidR="00B93FA1" w:rsidRPr="00D51A68" w:rsidRDefault="00B93FA1" w:rsidP="00AF3D7A">
            <w:pPr>
              <w:spacing w:beforeLines="60" w:before="144" w:afterLines="60" w:after="144"/>
              <w:rPr>
                <w:rFonts w:ascii="Times New Roman" w:hAnsi="Times New Roman"/>
                <w:b/>
                <w:sz w:val="24"/>
                <w:u w:val="single"/>
              </w:rPr>
            </w:pPr>
            <w:r w:rsidRPr="00D51A68">
              <w:rPr>
                <w:rFonts w:ascii="Times New Roman" w:hAnsi="Times New Roman"/>
                <w:b/>
                <w:sz w:val="24"/>
                <w:u w:val="single"/>
              </w:rPr>
              <w:t>1.2.2 PASSIVITÀ FINANZIARIE PER NEGOZIAZIONE</w:t>
            </w:r>
          </w:p>
          <w:p w:rsidR="00B93FA1" w:rsidRPr="00D51A68" w:rsidRDefault="00B93FA1" w:rsidP="00AF3D7A">
            <w:pPr>
              <w:spacing w:beforeLines="60" w:before="144" w:afterLines="60" w:after="144"/>
              <w:rPr>
                <w:rFonts w:ascii="Times New Roman" w:hAnsi="Times New Roman"/>
                <w:sz w:val="24"/>
              </w:rPr>
            </w:pPr>
            <w:r w:rsidRPr="00D51A68">
              <w:rPr>
                <w:rFonts w:ascii="Times New Roman" w:hAnsi="Times New Roman"/>
                <w:sz w:val="24"/>
              </w:rPr>
              <w:t>Articolo 8, paragrafo 1, lettera a), e paragrafi 3 e 6, della direttiva contabile.</w:t>
            </w:r>
          </w:p>
          <w:p w:rsidR="00B93FA1" w:rsidRPr="00D51A68" w:rsidRDefault="00B93FA1" w:rsidP="00F811F8">
            <w:pPr>
              <w:spacing w:beforeLines="60" w:before="144" w:afterLines="60" w:after="144"/>
              <w:rPr>
                <w:rFonts w:ascii="Times New Roman" w:hAnsi="Times New Roman"/>
                <w:b/>
                <w:sz w:val="24"/>
                <w:u w:val="single"/>
              </w:rPr>
            </w:pPr>
            <w:r w:rsidRPr="00D51A68">
              <w:rPr>
                <w:rFonts w:ascii="Times New Roman" w:hAnsi="Times New Roman"/>
                <w:sz w:val="24"/>
              </w:rPr>
              <w:t>Le informazioni fornite in questa riga corrispondono a quelle della riga 061 del modello F 01.02 degli allegati III e IV del presente regolamento.</w:t>
            </w:r>
          </w:p>
        </w:tc>
      </w:tr>
      <w:tr w:rsidR="00B93FA1" w:rsidRPr="00D51A68" w:rsidTr="00672D2A">
        <w:tc>
          <w:tcPr>
            <w:tcW w:w="1101" w:type="dxa"/>
          </w:tcPr>
          <w:p w:rsidR="00B93FA1" w:rsidRPr="00D51A68" w:rsidRDefault="001924F4" w:rsidP="00AF3D7A">
            <w:pPr>
              <w:spacing w:beforeLines="60" w:before="144" w:afterLines="60" w:after="144"/>
              <w:rPr>
                <w:rFonts w:ascii="Times New Roman" w:hAnsi="Times New Roman"/>
                <w:sz w:val="24"/>
              </w:rPr>
            </w:pPr>
            <w:r w:rsidRPr="00D51A68">
              <w:rPr>
                <w:rFonts w:ascii="Times New Roman" w:hAnsi="Times New Roman"/>
                <w:sz w:val="24"/>
              </w:rPr>
              <w:t>0180</w:t>
            </w:r>
          </w:p>
        </w:tc>
        <w:tc>
          <w:tcPr>
            <w:tcW w:w="8190" w:type="dxa"/>
          </w:tcPr>
          <w:p w:rsidR="00B93FA1" w:rsidRPr="00D51A68" w:rsidRDefault="00B93FA1" w:rsidP="00AF3D7A">
            <w:pPr>
              <w:spacing w:beforeLines="60" w:before="144" w:afterLines="60" w:after="144"/>
              <w:rPr>
                <w:rFonts w:ascii="Times New Roman" w:hAnsi="Times New Roman"/>
                <w:b/>
                <w:sz w:val="24"/>
                <w:u w:val="single"/>
              </w:rPr>
            </w:pPr>
            <w:r w:rsidRPr="00D51A68">
              <w:rPr>
                <w:rFonts w:ascii="Times New Roman" w:hAnsi="Times New Roman"/>
                <w:b/>
                <w:sz w:val="24"/>
                <w:u w:val="single"/>
              </w:rPr>
              <w:t>1.2.3 PASSIVITÀ FINANZIARIE DESIGNATE AL FAIR VALUE (VALORE EQUO) RILEVATO NELL</w:t>
            </w:r>
            <w:r w:rsidR="0009277C" w:rsidRPr="00D51A68">
              <w:rPr>
                <w:rFonts w:ascii="Times New Roman" w:hAnsi="Times New Roman"/>
                <w:b/>
                <w:sz w:val="24"/>
                <w:u w:val="single"/>
              </w:rPr>
              <w:t>’</w:t>
            </w:r>
            <w:r w:rsidRPr="00D51A68">
              <w:rPr>
                <w:rFonts w:ascii="Times New Roman" w:hAnsi="Times New Roman"/>
                <w:b/>
                <w:sz w:val="24"/>
                <w:u w:val="single"/>
              </w:rPr>
              <w:t>UTILE (PERDITA) D</w:t>
            </w:r>
            <w:r w:rsidR="0009277C" w:rsidRPr="00D51A68">
              <w:rPr>
                <w:rFonts w:ascii="Times New Roman" w:hAnsi="Times New Roman"/>
                <w:b/>
                <w:sz w:val="24"/>
                <w:u w:val="single"/>
              </w:rPr>
              <w:t>’</w:t>
            </w:r>
            <w:r w:rsidRPr="00D51A68">
              <w:rPr>
                <w:rFonts w:ascii="Times New Roman" w:hAnsi="Times New Roman"/>
                <w:b/>
                <w:sz w:val="24"/>
                <w:u w:val="single"/>
              </w:rPr>
              <w:t>ESERCIZIO</w:t>
            </w:r>
          </w:p>
          <w:p w:rsidR="00B93FA1" w:rsidRPr="00D51A68" w:rsidRDefault="00B93FA1" w:rsidP="00AF3D7A">
            <w:pPr>
              <w:spacing w:beforeLines="60" w:before="144" w:afterLines="60" w:after="144"/>
              <w:rPr>
                <w:rFonts w:ascii="Times New Roman" w:hAnsi="Times New Roman"/>
                <w:sz w:val="24"/>
              </w:rPr>
            </w:pPr>
            <w:r w:rsidRPr="00D51A68">
              <w:rPr>
                <w:rFonts w:ascii="Times New Roman" w:hAnsi="Times New Roman"/>
                <w:sz w:val="24"/>
              </w:rPr>
              <w:t>IFRS 7.8 (e)(i); IFRS 9.4.2.2;</w:t>
            </w:r>
            <w:r w:rsidRPr="00D51A68">
              <w:rPr>
                <w:sz w:val="24"/>
              </w:rPr>
              <w:t xml:space="preserve"> </w:t>
            </w:r>
            <w:r w:rsidRPr="00D51A68">
              <w:rPr>
                <w:rFonts w:ascii="Times New Roman" w:hAnsi="Times New Roman"/>
                <w:sz w:val="24"/>
              </w:rPr>
              <w:t xml:space="preserve">Articolo 8, paragrafo 1, lettera a), e paragrafo 6, della direttiva contabile; IAS 39.9. </w:t>
            </w:r>
          </w:p>
          <w:p w:rsidR="00B93FA1" w:rsidRPr="00D51A68" w:rsidRDefault="00B93FA1" w:rsidP="00F811F8">
            <w:pPr>
              <w:spacing w:beforeLines="60" w:before="144" w:afterLines="60" w:after="144"/>
              <w:rPr>
                <w:rFonts w:ascii="Times New Roman" w:hAnsi="Times New Roman"/>
                <w:sz w:val="24"/>
              </w:rPr>
            </w:pPr>
            <w:r w:rsidRPr="00D51A68">
              <w:rPr>
                <w:rFonts w:ascii="Times New Roman" w:hAnsi="Times New Roman"/>
                <w:sz w:val="24"/>
              </w:rPr>
              <w:t>Le informazioni fornite in questa riga corrispondono a quelle della riga 070 del modello F 01.02 degli allegati III e IV del presente regolamento.</w:t>
            </w:r>
          </w:p>
        </w:tc>
      </w:tr>
      <w:tr w:rsidR="00B93FA1" w:rsidRPr="00D51A68" w:rsidTr="00672D2A">
        <w:tc>
          <w:tcPr>
            <w:tcW w:w="1101" w:type="dxa"/>
          </w:tcPr>
          <w:p w:rsidR="00B93FA1" w:rsidRPr="00D51A68" w:rsidRDefault="001924F4" w:rsidP="00AF3D7A">
            <w:pPr>
              <w:spacing w:beforeLines="60" w:before="144" w:afterLines="60" w:after="144"/>
              <w:rPr>
                <w:rFonts w:ascii="Times New Roman" w:hAnsi="Times New Roman"/>
                <w:sz w:val="24"/>
              </w:rPr>
            </w:pPr>
            <w:r w:rsidRPr="00D51A68">
              <w:rPr>
                <w:rFonts w:ascii="Times New Roman" w:hAnsi="Times New Roman"/>
                <w:sz w:val="24"/>
              </w:rPr>
              <w:t>0190</w:t>
            </w:r>
          </w:p>
        </w:tc>
        <w:tc>
          <w:tcPr>
            <w:tcW w:w="8190" w:type="dxa"/>
          </w:tcPr>
          <w:p w:rsidR="00B93FA1" w:rsidRPr="00D51A68" w:rsidRDefault="00B93FA1" w:rsidP="00AF3D7A">
            <w:pPr>
              <w:spacing w:beforeLines="60" w:before="144" w:afterLines="60" w:after="144"/>
              <w:rPr>
                <w:rFonts w:ascii="Times New Roman" w:hAnsi="Times New Roman"/>
                <w:b/>
                <w:sz w:val="24"/>
                <w:u w:val="single"/>
              </w:rPr>
            </w:pPr>
            <w:r w:rsidRPr="00D51A68">
              <w:rPr>
                <w:rFonts w:ascii="Times New Roman" w:hAnsi="Times New Roman"/>
                <w:b/>
                <w:sz w:val="24"/>
                <w:u w:val="single"/>
              </w:rPr>
              <w:t>1.2.4 DERIVATI-CONTABILIZZAZIONE DELLE OPERAZIONI DI COPERTURA</w:t>
            </w:r>
          </w:p>
          <w:p w:rsidR="00B93FA1" w:rsidRPr="00D51A68" w:rsidRDefault="00B93FA1" w:rsidP="00AF3D7A">
            <w:pPr>
              <w:spacing w:beforeLines="60" w:before="144" w:afterLines="60" w:after="144"/>
              <w:rPr>
                <w:rFonts w:ascii="Times New Roman" w:hAnsi="Times New Roman"/>
                <w:sz w:val="24"/>
              </w:rPr>
            </w:pPr>
            <w:r w:rsidRPr="00D51A68">
              <w:rPr>
                <w:rFonts w:ascii="Times New Roman" w:hAnsi="Times New Roman"/>
                <w:sz w:val="24"/>
              </w:rPr>
              <w:t>IFRS 9.6.2.1; Allegato V, parte 1.26; Articolo 8, paragrafo 1</w:t>
            </w:r>
            <w:r w:rsidR="00BE76FD" w:rsidRPr="00D51A68">
              <w:rPr>
                <w:rFonts w:ascii="Times New Roman" w:hAnsi="Times New Roman"/>
                <w:sz w:val="24"/>
              </w:rPr>
              <w:t>, lettera a), paragrafo </w:t>
            </w:r>
            <w:r w:rsidRPr="00D51A68">
              <w:rPr>
                <w:rFonts w:ascii="Times New Roman" w:hAnsi="Times New Roman"/>
                <w:sz w:val="24"/>
              </w:rPr>
              <w:t xml:space="preserve">6 e paragrafo 8, lettera a), della direttiva contabile. </w:t>
            </w:r>
          </w:p>
          <w:p w:rsidR="00B93FA1" w:rsidRPr="00D51A68" w:rsidRDefault="00B93FA1" w:rsidP="00F811F8">
            <w:pPr>
              <w:spacing w:beforeLines="60" w:before="144" w:afterLines="60" w:after="144"/>
              <w:rPr>
                <w:rFonts w:ascii="Times New Roman" w:hAnsi="Times New Roman"/>
                <w:sz w:val="24"/>
              </w:rPr>
            </w:pPr>
            <w:r w:rsidRPr="00D51A68">
              <w:rPr>
                <w:rFonts w:ascii="Times New Roman" w:hAnsi="Times New Roman"/>
                <w:sz w:val="24"/>
              </w:rPr>
              <w:t>Le informazioni fornite in questa riga corrispondono a quelle della riga 150 del modello F 01.02 degli allegati III e IV del presente regolamento.</w:t>
            </w:r>
          </w:p>
        </w:tc>
      </w:tr>
      <w:tr w:rsidR="00B93FA1" w:rsidRPr="00D51A68" w:rsidTr="00672D2A">
        <w:tc>
          <w:tcPr>
            <w:tcW w:w="1101" w:type="dxa"/>
          </w:tcPr>
          <w:p w:rsidR="00B93FA1" w:rsidRPr="00D51A68" w:rsidRDefault="001924F4" w:rsidP="00AF3D7A">
            <w:pPr>
              <w:spacing w:beforeLines="60" w:before="144" w:afterLines="60" w:after="144"/>
              <w:rPr>
                <w:rFonts w:ascii="Times New Roman" w:hAnsi="Times New Roman"/>
                <w:sz w:val="24"/>
              </w:rPr>
            </w:pPr>
            <w:r w:rsidRPr="00D51A68">
              <w:rPr>
                <w:rFonts w:ascii="Times New Roman" w:hAnsi="Times New Roman"/>
                <w:sz w:val="24"/>
              </w:rPr>
              <w:t>0200</w:t>
            </w:r>
          </w:p>
        </w:tc>
        <w:tc>
          <w:tcPr>
            <w:tcW w:w="8190" w:type="dxa"/>
          </w:tcPr>
          <w:p w:rsidR="00B93FA1" w:rsidRPr="00D51A68" w:rsidRDefault="00B93FA1" w:rsidP="00AF3D7A">
            <w:pPr>
              <w:spacing w:beforeLines="60" w:before="144" w:afterLines="60" w:after="144"/>
              <w:rPr>
                <w:rFonts w:ascii="Times New Roman" w:hAnsi="Times New Roman"/>
                <w:b/>
                <w:sz w:val="24"/>
                <w:u w:val="single"/>
              </w:rPr>
            </w:pPr>
            <w:r w:rsidRPr="00D51A68">
              <w:rPr>
                <w:rFonts w:ascii="Times New Roman" w:hAnsi="Times New Roman"/>
                <w:b/>
                <w:sz w:val="24"/>
                <w:u w:val="single"/>
              </w:rPr>
              <w:t>1.2.5 VARIAZIONI DEL FAIR VALUE (VALORE EQUO) DEGLI ELEMENTI COPERTI IN UNA COPERTURA DI PORTAFOGLIO DAL RISCHIO DI TASSO DI INTERESSE</w:t>
            </w:r>
          </w:p>
          <w:p w:rsidR="00B93FA1" w:rsidRPr="00D51A68" w:rsidRDefault="00B93FA1" w:rsidP="00AF3D7A">
            <w:pPr>
              <w:spacing w:beforeLines="60" w:before="144" w:afterLines="60" w:after="144"/>
              <w:rPr>
                <w:rFonts w:ascii="Times New Roman" w:hAnsi="Times New Roman"/>
                <w:sz w:val="24"/>
              </w:rPr>
            </w:pPr>
            <w:r w:rsidRPr="00D51A68">
              <w:rPr>
                <w:rFonts w:ascii="Times New Roman" w:hAnsi="Times New Roman"/>
                <w:sz w:val="24"/>
              </w:rPr>
              <w:t>IAS 39.89A(b), IFRS 9.6.5.8; Articolo 8, paragrafi 5 e 6, della direttiva contabile; Allegato V, parte 2.8.</w:t>
            </w:r>
          </w:p>
          <w:p w:rsidR="00B93FA1" w:rsidRPr="00D51A68" w:rsidRDefault="00B93FA1" w:rsidP="00F811F8">
            <w:pPr>
              <w:spacing w:beforeLines="60" w:before="144" w:afterLines="60" w:after="144"/>
              <w:rPr>
                <w:rFonts w:ascii="Times New Roman" w:hAnsi="Times New Roman"/>
                <w:b/>
                <w:sz w:val="24"/>
                <w:u w:val="single"/>
              </w:rPr>
            </w:pPr>
            <w:r w:rsidRPr="00D51A68">
              <w:rPr>
                <w:rFonts w:ascii="Times New Roman" w:hAnsi="Times New Roman"/>
                <w:sz w:val="24"/>
              </w:rPr>
              <w:t>Le informazioni fornite in questa riga corrispondono a quelle della riga 160 del modello F 01.02 degli allegati III e IV del presente regolamento.</w:t>
            </w:r>
          </w:p>
        </w:tc>
      </w:tr>
      <w:tr w:rsidR="00B93FA1" w:rsidRPr="00D51A68" w:rsidTr="00672D2A">
        <w:tc>
          <w:tcPr>
            <w:tcW w:w="1101" w:type="dxa"/>
          </w:tcPr>
          <w:p w:rsidR="00B93FA1" w:rsidRPr="00D51A68" w:rsidRDefault="001924F4" w:rsidP="00AF3D7A">
            <w:pPr>
              <w:spacing w:beforeLines="60" w:before="144" w:afterLines="60" w:after="144"/>
              <w:rPr>
                <w:rFonts w:ascii="Times New Roman" w:hAnsi="Times New Roman"/>
                <w:sz w:val="24"/>
              </w:rPr>
            </w:pPr>
            <w:r w:rsidRPr="00D51A68">
              <w:rPr>
                <w:rFonts w:ascii="Times New Roman" w:hAnsi="Times New Roman"/>
                <w:sz w:val="24"/>
              </w:rPr>
              <w:t>0210</w:t>
            </w:r>
          </w:p>
        </w:tc>
        <w:tc>
          <w:tcPr>
            <w:tcW w:w="8190" w:type="dxa"/>
          </w:tcPr>
          <w:p w:rsidR="00B93FA1" w:rsidRPr="00D51A68" w:rsidRDefault="00B93FA1" w:rsidP="00AF3D7A">
            <w:pPr>
              <w:spacing w:beforeLines="60" w:before="144" w:afterLines="60" w:after="144"/>
              <w:rPr>
                <w:rFonts w:ascii="Times New Roman" w:hAnsi="Times New Roman"/>
                <w:b/>
                <w:sz w:val="24"/>
                <w:u w:val="single"/>
              </w:rPr>
            </w:pPr>
            <w:r w:rsidRPr="00D51A68">
              <w:rPr>
                <w:rFonts w:ascii="Times New Roman" w:hAnsi="Times New Roman"/>
                <w:b/>
                <w:sz w:val="24"/>
                <w:u w:val="single"/>
              </w:rPr>
              <w:t>1.2.6 SCARTI DI GARANZIA RELATIVI A PASSIVITÀ PER NEGOZIAZIONE AL FAIR VALUE (VALORE EQUO)</w:t>
            </w:r>
          </w:p>
          <w:p w:rsidR="00B93FA1" w:rsidRPr="00D51A68" w:rsidRDefault="00B93FA1" w:rsidP="00AF3D7A">
            <w:pPr>
              <w:spacing w:beforeLines="60" w:before="144" w:afterLines="60" w:after="144"/>
              <w:rPr>
                <w:rFonts w:ascii="Times New Roman" w:hAnsi="Times New Roman"/>
                <w:sz w:val="24"/>
              </w:rPr>
            </w:pPr>
            <w:r w:rsidRPr="00D51A68">
              <w:rPr>
                <w:rFonts w:ascii="Times New Roman" w:hAnsi="Times New Roman"/>
                <w:sz w:val="24"/>
              </w:rPr>
              <w:t>Allegato V, parte 1.29</w:t>
            </w:r>
          </w:p>
          <w:p w:rsidR="00B93FA1" w:rsidRPr="00D51A68" w:rsidRDefault="00B93FA1" w:rsidP="00F811F8">
            <w:pPr>
              <w:spacing w:beforeLines="60" w:before="144" w:afterLines="60" w:after="144"/>
              <w:rPr>
                <w:rFonts w:ascii="Times New Roman" w:hAnsi="Times New Roman"/>
                <w:b/>
                <w:sz w:val="24"/>
                <w:u w:val="single"/>
              </w:rPr>
            </w:pPr>
            <w:r w:rsidRPr="00D51A68">
              <w:rPr>
                <w:rFonts w:ascii="Times New Roman" w:hAnsi="Times New Roman"/>
                <w:sz w:val="24"/>
              </w:rPr>
              <w:t>Le informazioni fornite in questa riga corrispondono a quelle della riga 295 del modello F 01.02 degli allegati III e IV del presente regolamento.</w:t>
            </w:r>
          </w:p>
        </w:tc>
      </w:tr>
    </w:tbl>
    <w:p w:rsidR="00995A7F" w:rsidRPr="00D51A68" w:rsidRDefault="00995A7F" w:rsidP="00C61FF5">
      <w:pPr>
        <w:rPr>
          <w:rStyle w:val="InstructionsTabelleText"/>
          <w:rFonts w:ascii="Times New Roman" w:hAnsi="Times New Roman"/>
          <w:sz w:val="24"/>
        </w:rPr>
      </w:pPr>
    </w:p>
    <w:p w:rsidR="00B93FA1" w:rsidRPr="00D51A68" w:rsidRDefault="00B93FA1" w:rsidP="00B93FA1">
      <w:pPr>
        <w:pStyle w:val="Instructionsberschrift2"/>
        <w:numPr>
          <w:ilvl w:val="0"/>
          <w:numId w:val="0"/>
        </w:numPr>
        <w:ind w:left="357" w:hanging="357"/>
        <w:rPr>
          <w:rFonts w:ascii="Times New Roman" w:hAnsi="Times New Roman" w:cs="Times New Roman"/>
          <w:sz w:val="24"/>
          <w:u w:val="none"/>
        </w:rPr>
      </w:pPr>
      <w:bookmarkStart w:id="783" w:name="_Toc516210710"/>
      <w:bookmarkStart w:id="784" w:name="_Toc524096655"/>
      <w:r w:rsidRPr="00D51A68">
        <w:rPr>
          <w:rFonts w:ascii="Times New Roman" w:hAnsi="Times New Roman"/>
          <w:sz w:val="24"/>
          <w:u w:val="none"/>
        </w:rPr>
        <w:t>6.2.</w:t>
      </w:r>
      <w:r w:rsidR="00A0772B" w:rsidRPr="00D51A68">
        <w:rPr>
          <w:u w:val="none"/>
        </w:rPr>
        <w:tab/>
      </w:r>
      <w:r w:rsidRPr="00D51A68">
        <w:rPr>
          <w:rFonts w:ascii="Times New Roman" w:hAnsi="Times New Roman"/>
          <w:sz w:val="24"/>
        </w:rPr>
        <w:t>C 32.02 - Valutazione prudente: Metodo di base (PruVal 2)</w:t>
      </w:r>
      <w:bookmarkEnd w:id="783"/>
      <w:bookmarkEnd w:id="784"/>
    </w:p>
    <w:p w:rsidR="00B93FA1" w:rsidRPr="00D51A68" w:rsidRDefault="00B93FA1" w:rsidP="00B93FA1">
      <w:pPr>
        <w:pStyle w:val="Instructionsberschrift2"/>
        <w:numPr>
          <w:ilvl w:val="0"/>
          <w:numId w:val="0"/>
        </w:numPr>
        <w:ind w:left="357" w:hanging="357"/>
        <w:rPr>
          <w:rFonts w:ascii="Times New Roman" w:hAnsi="Times New Roman" w:cs="Times New Roman"/>
          <w:sz w:val="24"/>
          <w:u w:val="none"/>
        </w:rPr>
      </w:pPr>
      <w:bookmarkStart w:id="785" w:name="_Toc516210711"/>
      <w:bookmarkStart w:id="786" w:name="_Toc524096656"/>
      <w:r w:rsidRPr="00D51A68">
        <w:rPr>
          <w:rFonts w:ascii="Times New Roman" w:hAnsi="Times New Roman"/>
          <w:sz w:val="24"/>
          <w:u w:val="none"/>
        </w:rPr>
        <w:t>6.2.1.</w:t>
      </w:r>
      <w:r w:rsidR="00A0772B" w:rsidRPr="00D51A68">
        <w:rPr>
          <w:u w:val="none"/>
        </w:rPr>
        <w:tab/>
      </w:r>
      <w:r w:rsidRPr="00D51A68">
        <w:rPr>
          <w:rFonts w:ascii="Times New Roman" w:hAnsi="Times New Roman"/>
          <w:sz w:val="24"/>
        </w:rPr>
        <w:t>Osservazioni di carattere generale</w:t>
      </w:r>
      <w:bookmarkEnd w:id="785"/>
      <w:bookmarkEnd w:id="786"/>
      <w:r w:rsidRPr="00D51A68">
        <w:rPr>
          <w:rFonts w:ascii="Times New Roman" w:hAnsi="Times New Roman"/>
          <w:sz w:val="24"/>
          <w:u w:val="none"/>
        </w:rPr>
        <w:t xml:space="preserve"> </w:t>
      </w:r>
    </w:p>
    <w:p w:rsidR="00B93FA1" w:rsidRPr="00D51A68" w:rsidRDefault="00B93FA1" w:rsidP="00BE76FD">
      <w:pPr>
        <w:pStyle w:val="InstructionsText2"/>
        <w:numPr>
          <w:ilvl w:val="0"/>
          <w:numId w:val="0"/>
        </w:numPr>
        <w:ind w:left="993"/>
      </w:pPr>
      <w:r w:rsidRPr="00D51A68">
        <w:t>154quater. Lo scopo di questo modello è fornire informazioni sulla composizione dell</w:t>
      </w:r>
      <w:r w:rsidR="0009277C" w:rsidRPr="00D51A68">
        <w:t>’</w:t>
      </w:r>
      <w:r w:rsidRPr="00D51A68">
        <w:t>AVA totale da dedurre dai fondi propri a norma degli articoli 34 e 105 del CRR insieme alle informazioni pertinenti sulla valutazione contabile delle posizioni che danno origine alla determinazione degli AVA.</w:t>
      </w:r>
    </w:p>
    <w:p w:rsidR="00B93FA1" w:rsidRPr="00D51A68" w:rsidRDefault="00B93FA1" w:rsidP="00BE76FD">
      <w:pPr>
        <w:pStyle w:val="InstructionsText2"/>
        <w:numPr>
          <w:ilvl w:val="0"/>
          <w:numId w:val="0"/>
        </w:numPr>
        <w:ind w:left="993"/>
      </w:pPr>
      <w:r w:rsidRPr="00D51A68">
        <w:t xml:space="preserve">154quinquies. Questo modello è compilato da tutti gli enti che </w:t>
      </w:r>
    </w:p>
    <w:p w:rsidR="00B93FA1" w:rsidRPr="00D51A68" w:rsidRDefault="00B93FA1" w:rsidP="00BE76FD">
      <w:pPr>
        <w:pStyle w:val="InstructionsText2"/>
        <w:numPr>
          <w:ilvl w:val="0"/>
          <w:numId w:val="0"/>
        </w:numPr>
        <w:ind w:left="993"/>
      </w:pPr>
      <w:r w:rsidRPr="00D51A68">
        <w:t>a) sono tenuti ad utilizzare il metodo di base poiché superano la soglia di cui all</w:t>
      </w:r>
      <w:r w:rsidR="0009277C" w:rsidRPr="00D51A68">
        <w:t>’</w:t>
      </w:r>
      <w:r w:rsidRPr="00D51A68">
        <w:t>articolo 4, paragrafo 1, del regolamento delegato (UE) 2016/101 sulla valutazione prudente, su base individuale o su base consolidata, come previsto all</w:t>
      </w:r>
      <w:r w:rsidR="0009277C" w:rsidRPr="00D51A68">
        <w:t>’</w:t>
      </w:r>
      <w:r w:rsidRPr="00D51A68">
        <w:t>articolo 4, paragrafo 3, del regolamento delegato (UE) 2016/101 sulla valutazione prudente oppure</w:t>
      </w:r>
    </w:p>
    <w:p w:rsidR="00B93FA1" w:rsidRPr="00D51A68" w:rsidRDefault="00973707" w:rsidP="00BE76FD">
      <w:pPr>
        <w:pStyle w:val="InstructionsText2"/>
        <w:numPr>
          <w:ilvl w:val="0"/>
          <w:numId w:val="0"/>
        </w:numPr>
        <w:ind w:left="993"/>
      </w:pPr>
      <w:r w:rsidRPr="00D51A68">
        <w:t xml:space="preserve">b) hanno scelto di applicare il metodo di base sebbene non superino la soglia. </w:t>
      </w:r>
    </w:p>
    <w:p w:rsidR="00973707" w:rsidRPr="00D51A68" w:rsidRDefault="00973707" w:rsidP="00BE76FD">
      <w:pPr>
        <w:pStyle w:val="InstructionsText2"/>
        <w:numPr>
          <w:ilvl w:val="0"/>
          <w:numId w:val="0"/>
        </w:numPr>
        <w:ind w:left="993"/>
      </w:pPr>
      <w:r w:rsidRPr="00D51A68">
        <w:t xml:space="preserve">154sexies. Ai fini del presente modello per incertezza </w:t>
      </w:r>
      <w:r w:rsidR="0009277C" w:rsidRPr="00D51A68">
        <w:t>“</w:t>
      </w:r>
      <w:r w:rsidRPr="00D51A68">
        <w:t>upside</w:t>
      </w:r>
      <w:r w:rsidR="0009277C" w:rsidRPr="00D51A68">
        <w:t>”</w:t>
      </w:r>
      <w:r w:rsidRPr="00D51A68">
        <w:t xml:space="preserve"> si intende quanto segue: Come stabilito dall</w:t>
      </w:r>
      <w:r w:rsidR="0009277C" w:rsidRPr="00D51A68">
        <w:t>’</w:t>
      </w:r>
      <w:r w:rsidRPr="00D51A68">
        <w:t>articolo 8, paragrafo 2</w:t>
      </w:r>
      <w:r w:rsidR="00BE76FD" w:rsidRPr="00D51A68">
        <w:t>, del regolamento delegato (UE) </w:t>
      </w:r>
      <w:r w:rsidRPr="00D51A68">
        <w:t>2016/101 sulla valutazione prudente, gli AVA sono pari alla differenza tra il fair value (valore equo) e una valutazione prudente definita sulla base di una sicurezza del 90% che gli enti possano uscire dall</w:t>
      </w:r>
      <w:r w:rsidR="0009277C" w:rsidRPr="00D51A68">
        <w:t>’</w:t>
      </w:r>
      <w:r w:rsidRPr="00D51A68">
        <w:t xml:space="preserve">esposizione a tale punto o meglio entro il range nozionale dei valori plausibili. Il valore o incertezza </w:t>
      </w:r>
      <w:r w:rsidR="0009277C" w:rsidRPr="00D51A68">
        <w:t>“</w:t>
      </w:r>
      <w:r w:rsidRPr="00D51A68">
        <w:t>upside</w:t>
      </w:r>
      <w:r w:rsidR="0009277C" w:rsidRPr="00D51A68">
        <w:t>”</w:t>
      </w:r>
      <w:r w:rsidRPr="00D51A68">
        <w:t xml:space="preserve"> è il punto opposto nella distribuzione dei valori plausibili al quale gli enti hanno solo una sicurezza del 10% di poter uscire dall</w:t>
      </w:r>
      <w:r w:rsidR="0009277C" w:rsidRPr="00D51A68">
        <w:t>’</w:t>
      </w:r>
      <w:r w:rsidRPr="00D51A68">
        <w:t>esposizione a tale punto o meglio. L</w:t>
      </w:r>
      <w:r w:rsidR="0009277C" w:rsidRPr="00D51A68">
        <w:t>’</w:t>
      </w:r>
      <w:r w:rsidRPr="00D51A68">
        <w:t xml:space="preserve">incertezza </w:t>
      </w:r>
      <w:r w:rsidR="0009277C" w:rsidRPr="00D51A68">
        <w:t>“</w:t>
      </w:r>
      <w:r w:rsidRPr="00D51A68">
        <w:t>upside</w:t>
      </w:r>
      <w:r w:rsidR="0009277C" w:rsidRPr="00D51A68">
        <w:t>”</w:t>
      </w:r>
      <w:r w:rsidRPr="00D51A68">
        <w:t xml:space="preserve"> è calcolata e aggregata sulla stessa base dell</w:t>
      </w:r>
      <w:r w:rsidR="0009277C" w:rsidRPr="00D51A68">
        <w:t>’</w:t>
      </w:r>
      <w:r w:rsidRPr="00D51A68">
        <w:t>AVA totale, ma utilizzando un livello di certezza del 10% al posto del 90% impiegato per determinare l</w:t>
      </w:r>
      <w:r w:rsidR="0009277C" w:rsidRPr="00D51A68">
        <w:t>’</w:t>
      </w:r>
      <w:r w:rsidRPr="00D51A68">
        <w:t>AVA totale.</w:t>
      </w:r>
    </w:p>
    <w:p w:rsidR="00B93FA1" w:rsidRPr="00D51A68" w:rsidRDefault="00B93FA1" w:rsidP="00973707">
      <w:pPr>
        <w:pStyle w:val="Instructionsberschrift2"/>
        <w:numPr>
          <w:ilvl w:val="0"/>
          <w:numId w:val="0"/>
        </w:numPr>
        <w:ind w:left="357" w:hanging="357"/>
        <w:rPr>
          <w:rFonts w:ascii="Times New Roman" w:hAnsi="Times New Roman" w:cs="Times New Roman"/>
          <w:sz w:val="24"/>
          <w:u w:val="none"/>
        </w:rPr>
      </w:pPr>
      <w:bookmarkStart w:id="787" w:name="_Toc516210712"/>
      <w:bookmarkStart w:id="788" w:name="_Toc524096657"/>
      <w:r w:rsidRPr="00D51A68">
        <w:rPr>
          <w:rFonts w:ascii="Times New Roman" w:hAnsi="Times New Roman"/>
          <w:sz w:val="24"/>
          <w:u w:val="none"/>
        </w:rPr>
        <w:t>6.2.2.</w:t>
      </w:r>
      <w:r w:rsidR="00A0772B" w:rsidRPr="00D51A68">
        <w:rPr>
          <w:u w:val="none"/>
        </w:rPr>
        <w:tab/>
      </w:r>
      <w:r w:rsidRPr="00D51A68">
        <w:rPr>
          <w:rFonts w:ascii="Times New Roman" w:hAnsi="Times New Roman"/>
          <w:sz w:val="24"/>
          <w:u w:val="none"/>
        </w:rPr>
        <w:t>Istruzioni relative a posizioni specifiche</w:t>
      </w:r>
      <w:bookmarkEnd w:id="787"/>
      <w:bookmarkEnd w:id="788"/>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973707" w:rsidRPr="00D51A68" w:rsidTr="00672D2A">
        <w:tc>
          <w:tcPr>
            <w:tcW w:w="9291" w:type="dxa"/>
            <w:gridSpan w:val="2"/>
            <w:shd w:val="clear" w:color="auto" w:fill="CCCCCC"/>
          </w:tcPr>
          <w:p w:rsidR="00973707" w:rsidRPr="00D51A68" w:rsidRDefault="00973707" w:rsidP="00AF3D7A">
            <w:pPr>
              <w:spacing w:beforeLines="60" w:before="144" w:afterLines="60" w:after="144"/>
              <w:rPr>
                <w:rFonts w:ascii="Times New Roman" w:hAnsi="Times New Roman"/>
                <w:b/>
                <w:sz w:val="24"/>
              </w:rPr>
            </w:pPr>
            <w:r w:rsidRPr="00D51A68">
              <w:rPr>
                <w:rFonts w:ascii="Times New Roman" w:hAnsi="Times New Roman"/>
                <w:b/>
                <w:sz w:val="24"/>
              </w:rPr>
              <w:t>Colonne</w:t>
            </w:r>
          </w:p>
        </w:tc>
      </w:tr>
      <w:tr w:rsidR="00973707" w:rsidRPr="00D51A68" w:rsidTr="00672D2A">
        <w:tc>
          <w:tcPr>
            <w:tcW w:w="1101" w:type="dxa"/>
          </w:tcPr>
          <w:p w:rsidR="00973707" w:rsidRPr="00D51A68" w:rsidRDefault="009A7A38" w:rsidP="00AF3D7A">
            <w:pPr>
              <w:spacing w:beforeLines="60" w:before="144" w:afterLines="60" w:after="144"/>
              <w:rPr>
                <w:rFonts w:ascii="Times New Roman" w:hAnsi="Times New Roman"/>
                <w:sz w:val="24"/>
              </w:rPr>
            </w:pPr>
            <w:r w:rsidRPr="00D51A68">
              <w:rPr>
                <w:rFonts w:ascii="Times New Roman" w:hAnsi="Times New Roman"/>
                <w:sz w:val="24"/>
              </w:rPr>
              <w:t>0010 - 0100</w:t>
            </w:r>
          </w:p>
        </w:tc>
        <w:tc>
          <w:tcPr>
            <w:tcW w:w="8190" w:type="dxa"/>
          </w:tcPr>
          <w:p w:rsidR="00973707" w:rsidRPr="00D51A68" w:rsidRDefault="00973707" w:rsidP="00AF3D7A">
            <w:pPr>
              <w:spacing w:beforeLines="60" w:before="144" w:afterLines="60" w:after="144"/>
              <w:rPr>
                <w:rStyle w:val="InstructionsTabelleberschrift"/>
                <w:rFonts w:ascii="Times New Roman" w:hAnsi="Times New Roman"/>
                <w:sz w:val="24"/>
              </w:rPr>
            </w:pPr>
            <w:r w:rsidRPr="00D51A68">
              <w:rPr>
                <w:rStyle w:val="InstructionsTabelleberschrift"/>
                <w:rFonts w:ascii="Times New Roman" w:hAnsi="Times New Roman"/>
                <w:sz w:val="24"/>
              </w:rPr>
              <w:t>AVA A LIVELLO DI CATEGORIA</w:t>
            </w:r>
          </w:p>
          <w:p w:rsidR="00973707" w:rsidRPr="00D51A68" w:rsidRDefault="00973707" w:rsidP="00AF3D7A">
            <w:pPr>
              <w:spacing w:beforeLines="60" w:before="144" w:afterLines="60" w:after="144"/>
              <w:rPr>
                <w:rFonts w:ascii="Times New Roman" w:hAnsi="Times New Roman"/>
                <w:sz w:val="24"/>
              </w:rPr>
            </w:pPr>
            <w:r w:rsidRPr="00D51A68">
              <w:rPr>
                <w:rFonts w:ascii="Times New Roman" w:hAnsi="Times New Roman"/>
                <w:sz w:val="24"/>
              </w:rPr>
              <w:t>Gli AVA a livello di categoria per l</w:t>
            </w:r>
            <w:r w:rsidR="0009277C" w:rsidRPr="00D51A68">
              <w:rPr>
                <w:rFonts w:ascii="Times New Roman" w:hAnsi="Times New Roman"/>
                <w:sz w:val="24"/>
              </w:rPr>
              <w:t>’</w:t>
            </w:r>
            <w:r w:rsidRPr="00D51A68">
              <w:rPr>
                <w:rFonts w:ascii="Times New Roman" w:hAnsi="Times New Roman"/>
                <w:sz w:val="24"/>
              </w:rPr>
              <w:t>incertezza delle quotazioni di mercato, i costi di chiusura, i rischi del modello, le posizioni concentrate, i costi amministrativi futuri, la chiusura anticipata delle posizioni e i rischi operativi sono calcolati rispettivamente a norma degli articoli da 9 a 11 e da 14 a 17 del regolamento delegato (UE) 2016/101 sulla valutazione prudente.</w:t>
            </w:r>
          </w:p>
          <w:p w:rsidR="00973707" w:rsidRPr="00D51A68" w:rsidRDefault="00973707" w:rsidP="00AF3D7A">
            <w:pPr>
              <w:spacing w:beforeLines="60" w:before="144" w:afterLines="60" w:after="144"/>
              <w:rPr>
                <w:rFonts w:ascii="Times New Roman" w:hAnsi="Times New Roman"/>
                <w:sz w:val="24"/>
              </w:rPr>
            </w:pPr>
            <w:r w:rsidRPr="00D51A68">
              <w:rPr>
                <w:rFonts w:ascii="Times New Roman" w:hAnsi="Times New Roman"/>
                <w:sz w:val="24"/>
              </w:rPr>
              <w:t>Per le categorie dell</w:t>
            </w:r>
            <w:r w:rsidR="0009277C" w:rsidRPr="00D51A68">
              <w:rPr>
                <w:rFonts w:ascii="Times New Roman" w:hAnsi="Times New Roman"/>
                <w:sz w:val="24"/>
              </w:rPr>
              <w:t>’</w:t>
            </w:r>
            <w:r w:rsidRPr="00D51A68">
              <w:rPr>
                <w:rFonts w:ascii="Times New Roman" w:hAnsi="Times New Roman"/>
                <w:sz w:val="24"/>
              </w:rPr>
              <w:t>incertezza delle quotazioni di mercato, dei costi di chiusura e dei rischi del modello, che sono soggette al beneficio della diversificazione rispettivamente a norma dell</w:t>
            </w:r>
            <w:r w:rsidR="0009277C" w:rsidRPr="00D51A68">
              <w:rPr>
                <w:rFonts w:ascii="Times New Roman" w:hAnsi="Times New Roman"/>
                <w:sz w:val="24"/>
              </w:rPr>
              <w:t>’</w:t>
            </w:r>
            <w:r w:rsidRPr="00D51A68">
              <w:rPr>
                <w:rFonts w:ascii="Times New Roman" w:hAnsi="Times New Roman"/>
                <w:sz w:val="24"/>
              </w:rPr>
              <w:t>articolo 9, paragrafo 6, dell</w:t>
            </w:r>
            <w:r w:rsidR="0009277C" w:rsidRPr="00D51A68">
              <w:rPr>
                <w:rFonts w:ascii="Times New Roman" w:hAnsi="Times New Roman"/>
                <w:sz w:val="24"/>
              </w:rPr>
              <w:t>’</w:t>
            </w:r>
            <w:r w:rsidRPr="00D51A68">
              <w:rPr>
                <w:rFonts w:ascii="Times New Roman" w:hAnsi="Times New Roman"/>
                <w:sz w:val="24"/>
              </w:rPr>
              <w:t>articolo 10, paragrafo 7, e dell</w:t>
            </w:r>
            <w:r w:rsidR="0009277C" w:rsidRPr="00D51A68">
              <w:rPr>
                <w:rFonts w:ascii="Times New Roman" w:hAnsi="Times New Roman"/>
                <w:sz w:val="24"/>
              </w:rPr>
              <w:t>’</w:t>
            </w:r>
            <w:r w:rsidRPr="00D51A68">
              <w:rPr>
                <w:rFonts w:ascii="Times New Roman" w:hAnsi="Times New Roman"/>
                <w:sz w:val="24"/>
              </w:rPr>
              <w:t>articolo 11, paragrafo 7, del regolamento delegato (UE) 2016/101 sulla valutazione prudente, gli AVA a livello di categoria, salvo altrimenti indicato, sono pari alla somma dei singoli AVA prima del beneficio della diversificazione [i benefici della diversificazione calcolati utilizzando il metodo 1 o 2 di cui all</w:t>
            </w:r>
            <w:r w:rsidR="0009277C" w:rsidRPr="00D51A68">
              <w:rPr>
                <w:rFonts w:ascii="Times New Roman" w:hAnsi="Times New Roman"/>
                <w:sz w:val="24"/>
              </w:rPr>
              <w:t>’</w:t>
            </w:r>
            <w:r w:rsidRPr="00D51A68">
              <w:rPr>
                <w:rFonts w:ascii="Times New Roman" w:hAnsi="Times New Roman"/>
                <w:sz w:val="24"/>
              </w:rPr>
              <w:t xml:space="preserve">allegato del regolamento delegato (UE) 2016/101 sulla valutazione prudente sono indicati alle voci 1.1.2, 1.1.2.1 e 1.1.2.2 del modello]. </w:t>
            </w:r>
          </w:p>
          <w:p w:rsidR="00973707" w:rsidRPr="00D51A68" w:rsidRDefault="00973707" w:rsidP="00F811F8">
            <w:pPr>
              <w:spacing w:beforeLines="60" w:before="144" w:afterLines="60" w:after="144"/>
              <w:rPr>
                <w:rFonts w:ascii="Times New Roman" w:hAnsi="Times New Roman"/>
                <w:sz w:val="24"/>
              </w:rPr>
            </w:pPr>
            <w:r w:rsidRPr="00D51A68">
              <w:rPr>
                <w:rFonts w:ascii="Times New Roman" w:hAnsi="Times New Roman"/>
                <w:sz w:val="24"/>
              </w:rPr>
              <w:t>Per le categorie dell</w:t>
            </w:r>
            <w:r w:rsidR="0009277C" w:rsidRPr="00D51A68">
              <w:rPr>
                <w:rFonts w:ascii="Times New Roman" w:hAnsi="Times New Roman"/>
                <w:sz w:val="24"/>
              </w:rPr>
              <w:t>’</w:t>
            </w:r>
            <w:r w:rsidRPr="00D51A68">
              <w:rPr>
                <w:rFonts w:ascii="Times New Roman" w:hAnsi="Times New Roman"/>
                <w:sz w:val="24"/>
              </w:rPr>
              <w:t>incertezza delle quotazioni di mercato, dei costi di chiusura e dei rischi del modello, gli importi calcolati secondo l</w:t>
            </w:r>
            <w:r w:rsidR="0009277C" w:rsidRPr="00D51A68">
              <w:rPr>
                <w:rFonts w:ascii="Times New Roman" w:hAnsi="Times New Roman"/>
                <w:sz w:val="24"/>
              </w:rPr>
              <w:t>’</w:t>
            </w:r>
            <w:r w:rsidRPr="00D51A68">
              <w:rPr>
                <w:rFonts w:ascii="Times New Roman" w:hAnsi="Times New Roman"/>
                <w:sz w:val="24"/>
              </w:rPr>
              <w:t>approccio basato su esperti ai sensi dell</w:t>
            </w:r>
            <w:r w:rsidR="0009277C" w:rsidRPr="00D51A68">
              <w:rPr>
                <w:rFonts w:ascii="Times New Roman" w:hAnsi="Times New Roman"/>
                <w:sz w:val="24"/>
              </w:rPr>
              <w:t>’</w:t>
            </w:r>
            <w:r w:rsidRPr="00D51A68">
              <w:rPr>
                <w:rFonts w:ascii="Times New Roman" w:hAnsi="Times New Roman"/>
                <w:sz w:val="24"/>
              </w:rPr>
              <w:t>articolo 9, paragrafo 5, lettera b), dell</w:t>
            </w:r>
            <w:r w:rsidR="0009277C" w:rsidRPr="00D51A68">
              <w:rPr>
                <w:rFonts w:ascii="Times New Roman" w:hAnsi="Times New Roman"/>
                <w:sz w:val="24"/>
              </w:rPr>
              <w:t>’</w:t>
            </w:r>
            <w:r w:rsidRPr="00D51A68">
              <w:rPr>
                <w:rFonts w:ascii="Times New Roman" w:hAnsi="Times New Roman"/>
                <w:sz w:val="24"/>
              </w:rPr>
              <w:t>articolo 10, paragrafo 6</w:t>
            </w:r>
            <w:r w:rsidR="00BE76FD" w:rsidRPr="00D51A68">
              <w:rPr>
                <w:rFonts w:ascii="Times New Roman" w:hAnsi="Times New Roman"/>
                <w:sz w:val="24"/>
              </w:rPr>
              <w:t>, lettera </w:t>
            </w:r>
            <w:r w:rsidRPr="00D51A68">
              <w:rPr>
                <w:rFonts w:ascii="Times New Roman" w:hAnsi="Times New Roman"/>
                <w:sz w:val="24"/>
              </w:rPr>
              <w:t>b), e dell</w:t>
            </w:r>
            <w:r w:rsidR="0009277C" w:rsidRPr="00D51A68">
              <w:rPr>
                <w:rFonts w:ascii="Times New Roman" w:hAnsi="Times New Roman"/>
                <w:sz w:val="24"/>
              </w:rPr>
              <w:t>’</w:t>
            </w:r>
            <w:r w:rsidRPr="00D51A68">
              <w:rPr>
                <w:rFonts w:ascii="Times New Roman" w:hAnsi="Times New Roman"/>
                <w:sz w:val="24"/>
              </w:rPr>
              <w:t>articolo 11, paragrafo 4, del regolamento delegato (UE) 2016/101 sulla valutazione prudente sono indicati separatamente nelle colonne 0020, 0040</w:t>
            </w:r>
            <w:r w:rsidR="00BE76FD" w:rsidRPr="00D51A68">
              <w:rPr>
                <w:rFonts w:ascii="Times New Roman" w:hAnsi="Times New Roman"/>
                <w:sz w:val="24"/>
              </w:rPr>
              <w:t xml:space="preserve"> e </w:t>
            </w:r>
            <w:r w:rsidRPr="00D51A68">
              <w:rPr>
                <w:rFonts w:ascii="Times New Roman" w:hAnsi="Times New Roman"/>
                <w:sz w:val="24"/>
              </w:rPr>
              <w:t>0060.</w:t>
            </w:r>
          </w:p>
        </w:tc>
      </w:tr>
      <w:tr w:rsidR="00973707" w:rsidRPr="00D51A68" w:rsidTr="00672D2A">
        <w:tc>
          <w:tcPr>
            <w:tcW w:w="1101" w:type="dxa"/>
          </w:tcPr>
          <w:p w:rsidR="00973707" w:rsidRPr="00D51A68" w:rsidRDefault="009A7A38" w:rsidP="00AF3D7A">
            <w:pPr>
              <w:spacing w:beforeLines="60" w:before="144" w:afterLines="60" w:after="144"/>
              <w:rPr>
                <w:rFonts w:ascii="Times New Roman" w:hAnsi="Times New Roman"/>
                <w:sz w:val="24"/>
              </w:rPr>
            </w:pPr>
            <w:r w:rsidRPr="00D51A68">
              <w:rPr>
                <w:rFonts w:ascii="Times New Roman" w:hAnsi="Times New Roman"/>
                <w:sz w:val="24"/>
              </w:rPr>
              <w:t>0010</w:t>
            </w:r>
          </w:p>
        </w:tc>
        <w:tc>
          <w:tcPr>
            <w:tcW w:w="8190" w:type="dxa"/>
          </w:tcPr>
          <w:p w:rsidR="00973707" w:rsidRPr="00D51A68" w:rsidRDefault="00973707" w:rsidP="00AF3D7A">
            <w:pPr>
              <w:spacing w:beforeLines="60" w:before="144" w:afterLines="60" w:after="144"/>
              <w:rPr>
                <w:rStyle w:val="InstructionsTabelleberschrift"/>
                <w:rFonts w:ascii="Times New Roman" w:hAnsi="Times New Roman"/>
                <w:sz w:val="24"/>
              </w:rPr>
            </w:pPr>
            <w:r w:rsidRPr="00D51A68">
              <w:rPr>
                <w:rStyle w:val="InstructionsTabelleberschrift"/>
                <w:rFonts w:ascii="Times New Roman" w:hAnsi="Times New Roman"/>
                <w:sz w:val="24"/>
              </w:rPr>
              <w:t>INCERTEZZA DELLE QUOTAZIONI DI MERCATO</w:t>
            </w:r>
          </w:p>
          <w:p w:rsidR="00973707" w:rsidRPr="00D51A68" w:rsidRDefault="00973707" w:rsidP="00AF3D7A">
            <w:pPr>
              <w:spacing w:beforeLines="60" w:before="144" w:afterLines="60" w:after="144"/>
              <w:rPr>
                <w:rFonts w:ascii="Times New Roman" w:hAnsi="Times New Roman"/>
                <w:sz w:val="24"/>
              </w:rPr>
            </w:pPr>
            <w:r w:rsidRPr="00D51A68">
              <w:rPr>
                <w:rFonts w:ascii="Times New Roman" w:hAnsi="Times New Roman"/>
                <w:sz w:val="24"/>
              </w:rPr>
              <w:t xml:space="preserve">Articolo 105, paragrafo 10, del CRR. </w:t>
            </w:r>
          </w:p>
          <w:p w:rsidR="00973707" w:rsidRPr="00D51A68" w:rsidRDefault="00973707" w:rsidP="00AF3D7A">
            <w:pPr>
              <w:spacing w:beforeLines="60" w:before="144" w:afterLines="60" w:after="144"/>
              <w:rPr>
                <w:rStyle w:val="InstructionsTabelleberschrift"/>
                <w:rFonts w:ascii="Times New Roman" w:hAnsi="Times New Roman"/>
                <w:sz w:val="24"/>
              </w:rPr>
            </w:pPr>
            <w:r w:rsidRPr="00D51A68">
              <w:rPr>
                <w:rFonts w:ascii="Times New Roman" w:hAnsi="Times New Roman"/>
                <w:sz w:val="24"/>
              </w:rPr>
              <w:t>Gli AVA per l</w:t>
            </w:r>
            <w:r w:rsidR="0009277C" w:rsidRPr="00D51A68">
              <w:rPr>
                <w:rFonts w:ascii="Times New Roman" w:hAnsi="Times New Roman"/>
                <w:sz w:val="24"/>
              </w:rPr>
              <w:t>’</w:t>
            </w:r>
            <w:r w:rsidRPr="00D51A68">
              <w:rPr>
                <w:rFonts w:ascii="Times New Roman" w:hAnsi="Times New Roman"/>
                <w:sz w:val="24"/>
              </w:rPr>
              <w:t>incertezza delle quotazioni di mercato calcolati a norma dell</w:t>
            </w:r>
            <w:r w:rsidR="0009277C" w:rsidRPr="00D51A68">
              <w:rPr>
                <w:rFonts w:ascii="Times New Roman" w:hAnsi="Times New Roman"/>
                <w:sz w:val="24"/>
              </w:rPr>
              <w:t>’</w:t>
            </w:r>
            <w:r w:rsidRPr="00D51A68">
              <w:rPr>
                <w:rFonts w:ascii="Times New Roman" w:hAnsi="Times New Roman"/>
                <w:sz w:val="24"/>
              </w:rPr>
              <w:t>articolo 9 del regolamento delegato (UE) 2016/101 sulla valutazione prudente.</w:t>
            </w:r>
          </w:p>
        </w:tc>
      </w:tr>
      <w:tr w:rsidR="00973707" w:rsidRPr="00D51A68" w:rsidTr="00672D2A">
        <w:tc>
          <w:tcPr>
            <w:tcW w:w="1101" w:type="dxa"/>
          </w:tcPr>
          <w:p w:rsidR="00973707" w:rsidRPr="00D51A68" w:rsidRDefault="009A7A38" w:rsidP="00AF3D7A">
            <w:pPr>
              <w:spacing w:beforeLines="60" w:before="144" w:afterLines="60" w:after="144"/>
              <w:rPr>
                <w:rFonts w:ascii="Times New Roman" w:hAnsi="Times New Roman"/>
                <w:sz w:val="24"/>
              </w:rPr>
            </w:pPr>
            <w:r w:rsidRPr="00D51A68">
              <w:rPr>
                <w:rFonts w:ascii="Times New Roman" w:hAnsi="Times New Roman"/>
                <w:sz w:val="24"/>
              </w:rPr>
              <w:t>0020</w:t>
            </w:r>
          </w:p>
        </w:tc>
        <w:tc>
          <w:tcPr>
            <w:tcW w:w="8190" w:type="dxa"/>
          </w:tcPr>
          <w:p w:rsidR="00973707" w:rsidRPr="00D51A68" w:rsidRDefault="00973707" w:rsidP="00AF3D7A">
            <w:pPr>
              <w:spacing w:beforeLines="60" w:before="144" w:afterLines="60" w:after="144"/>
              <w:rPr>
                <w:rStyle w:val="InstructionsTabelleberschrift"/>
                <w:rFonts w:ascii="Times New Roman" w:hAnsi="Times New Roman"/>
                <w:sz w:val="24"/>
              </w:rPr>
            </w:pPr>
            <w:r w:rsidRPr="00D51A68">
              <w:rPr>
                <w:rStyle w:val="InstructionsTabelleberschrift"/>
                <w:rFonts w:ascii="Times New Roman" w:hAnsi="Times New Roman"/>
                <w:sz w:val="24"/>
              </w:rPr>
              <w:t>DI CUI: CALCOLATI SECONDO 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APPROCCIO BASATO SU ESPERTI</w:t>
            </w:r>
          </w:p>
          <w:p w:rsidR="00973707" w:rsidRPr="00D51A68" w:rsidRDefault="00973707" w:rsidP="00AF3D7A">
            <w:pPr>
              <w:spacing w:beforeLines="60" w:before="144" w:afterLines="60" w:after="144"/>
              <w:rPr>
                <w:rStyle w:val="InstructionsTabelleberschrift"/>
                <w:rFonts w:ascii="Times New Roman" w:hAnsi="Times New Roman"/>
                <w:sz w:val="24"/>
              </w:rPr>
            </w:pPr>
            <w:r w:rsidRPr="00D51A68">
              <w:rPr>
                <w:rFonts w:ascii="Times New Roman" w:hAnsi="Times New Roman"/>
                <w:sz w:val="24"/>
              </w:rPr>
              <w:t>Gli AVA per l</w:t>
            </w:r>
            <w:r w:rsidR="0009277C" w:rsidRPr="00D51A68">
              <w:rPr>
                <w:rFonts w:ascii="Times New Roman" w:hAnsi="Times New Roman"/>
                <w:sz w:val="24"/>
              </w:rPr>
              <w:t>’</w:t>
            </w:r>
            <w:r w:rsidRPr="00D51A68">
              <w:rPr>
                <w:rFonts w:ascii="Times New Roman" w:hAnsi="Times New Roman"/>
                <w:sz w:val="24"/>
              </w:rPr>
              <w:t>incertezza delle quotazioni di mercato calcolati a norma dell</w:t>
            </w:r>
            <w:r w:rsidR="0009277C" w:rsidRPr="00D51A68">
              <w:rPr>
                <w:rFonts w:ascii="Times New Roman" w:hAnsi="Times New Roman"/>
                <w:sz w:val="24"/>
              </w:rPr>
              <w:t>’</w:t>
            </w:r>
            <w:r w:rsidRPr="00D51A68">
              <w:rPr>
                <w:rFonts w:ascii="Times New Roman" w:hAnsi="Times New Roman"/>
                <w:sz w:val="24"/>
              </w:rPr>
              <w:t>articolo 9, paragrafo 5, lettera b), del regolamento delegato (UE) 2016/101 sulla valutazione prudente.</w:t>
            </w:r>
          </w:p>
        </w:tc>
      </w:tr>
      <w:tr w:rsidR="00973707" w:rsidRPr="00D51A68" w:rsidTr="00672D2A">
        <w:tc>
          <w:tcPr>
            <w:tcW w:w="1101" w:type="dxa"/>
          </w:tcPr>
          <w:p w:rsidR="00973707" w:rsidRPr="00D51A68" w:rsidRDefault="009A7A38" w:rsidP="00AF3D7A">
            <w:pPr>
              <w:spacing w:beforeLines="60" w:before="144" w:afterLines="60" w:after="144"/>
              <w:rPr>
                <w:rFonts w:ascii="Times New Roman" w:hAnsi="Times New Roman"/>
                <w:sz w:val="24"/>
              </w:rPr>
            </w:pPr>
            <w:r w:rsidRPr="00D51A68">
              <w:rPr>
                <w:rFonts w:ascii="Times New Roman" w:hAnsi="Times New Roman"/>
                <w:sz w:val="24"/>
              </w:rPr>
              <w:t>0030</w:t>
            </w:r>
          </w:p>
        </w:tc>
        <w:tc>
          <w:tcPr>
            <w:tcW w:w="8190" w:type="dxa"/>
          </w:tcPr>
          <w:p w:rsidR="00973707" w:rsidRPr="00D51A68" w:rsidRDefault="00973707" w:rsidP="00AF3D7A">
            <w:pPr>
              <w:spacing w:beforeLines="60" w:before="144" w:afterLines="60" w:after="144"/>
              <w:rPr>
                <w:rStyle w:val="InstructionsTabelleberschrift"/>
                <w:rFonts w:ascii="Times New Roman" w:hAnsi="Times New Roman"/>
                <w:sz w:val="24"/>
              </w:rPr>
            </w:pPr>
            <w:r w:rsidRPr="00D51A68">
              <w:rPr>
                <w:rStyle w:val="InstructionsTabelleberschrift"/>
                <w:rFonts w:ascii="Times New Roman" w:hAnsi="Times New Roman"/>
                <w:sz w:val="24"/>
              </w:rPr>
              <w:t>COSTI DI CHIUSURA</w:t>
            </w:r>
          </w:p>
          <w:p w:rsidR="00973707" w:rsidRPr="00D51A68" w:rsidRDefault="00973707" w:rsidP="00AF3D7A">
            <w:pPr>
              <w:spacing w:beforeLines="60" w:before="144" w:afterLines="60" w:after="144"/>
              <w:rPr>
                <w:rFonts w:ascii="Times New Roman" w:hAnsi="Times New Roman"/>
                <w:sz w:val="24"/>
              </w:rPr>
            </w:pPr>
            <w:r w:rsidRPr="00D51A68">
              <w:rPr>
                <w:rFonts w:ascii="Times New Roman" w:hAnsi="Times New Roman"/>
                <w:sz w:val="24"/>
              </w:rPr>
              <w:t xml:space="preserve">Articolo 105, paragrafo 10, del CRR. </w:t>
            </w:r>
          </w:p>
          <w:p w:rsidR="00973707" w:rsidRPr="00D51A68" w:rsidRDefault="00973707" w:rsidP="00AF3D7A">
            <w:pPr>
              <w:spacing w:beforeLines="60" w:before="144" w:afterLines="60" w:after="144"/>
              <w:rPr>
                <w:rStyle w:val="InstructionsTabelleberschrift"/>
                <w:rFonts w:ascii="Times New Roman" w:hAnsi="Times New Roman"/>
                <w:sz w:val="24"/>
              </w:rPr>
            </w:pPr>
            <w:r w:rsidRPr="00D51A68">
              <w:rPr>
                <w:rFonts w:ascii="Times New Roman" w:hAnsi="Times New Roman"/>
                <w:sz w:val="24"/>
              </w:rPr>
              <w:t>Gli AVA per i costi di chiusura calcolati a norma dell</w:t>
            </w:r>
            <w:r w:rsidR="0009277C" w:rsidRPr="00D51A68">
              <w:rPr>
                <w:rFonts w:ascii="Times New Roman" w:hAnsi="Times New Roman"/>
                <w:sz w:val="24"/>
              </w:rPr>
              <w:t>’</w:t>
            </w:r>
            <w:r w:rsidRPr="00D51A68">
              <w:rPr>
                <w:rFonts w:ascii="Times New Roman" w:hAnsi="Times New Roman"/>
                <w:sz w:val="24"/>
              </w:rPr>
              <w:t xml:space="preserve">articolo 10 del regolamento delegato (UE) 2016/101 sulla valutazione prudente. </w:t>
            </w:r>
          </w:p>
        </w:tc>
      </w:tr>
      <w:tr w:rsidR="00973707" w:rsidRPr="00D51A68" w:rsidTr="00672D2A">
        <w:tc>
          <w:tcPr>
            <w:tcW w:w="1101" w:type="dxa"/>
          </w:tcPr>
          <w:p w:rsidR="00973707" w:rsidRPr="00D51A68" w:rsidRDefault="009A7A38" w:rsidP="00AF3D7A">
            <w:pPr>
              <w:spacing w:beforeLines="60" w:before="144" w:afterLines="60" w:after="144"/>
              <w:rPr>
                <w:rFonts w:ascii="Times New Roman" w:hAnsi="Times New Roman"/>
                <w:sz w:val="24"/>
              </w:rPr>
            </w:pPr>
            <w:r w:rsidRPr="00D51A68">
              <w:rPr>
                <w:rFonts w:ascii="Times New Roman" w:hAnsi="Times New Roman"/>
                <w:sz w:val="24"/>
              </w:rPr>
              <w:t>0040</w:t>
            </w:r>
          </w:p>
        </w:tc>
        <w:tc>
          <w:tcPr>
            <w:tcW w:w="8190" w:type="dxa"/>
          </w:tcPr>
          <w:p w:rsidR="00973707" w:rsidRPr="00D51A68" w:rsidRDefault="00973707" w:rsidP="00AF3D7A">
            <w:pPr>
              <w:spacing w:beforeLines="60" w:before="144" w:afterLines="60" w:after="144"/>
              <w:rPr>
                <w:rStyle w:val="InstructionsTabelleberschrift"/>
                <w:rFonts w:ascii="Times New Roman" w:hAnsi="Times New Roman"/>
                <w:sz w:val="24"/>
              </w:rPr>
            </w:pPr>
            <w:r w:rsidRPr="00D51A68">
              <w:rPr>
                <w:rStyle w:val="InstructionsTabelleberschrift"/>
                <w:rFonts w:ascii="Times New Roman" w:hAnsi="Times New Roman"/>
                <w:sz w:val="24"/>
              </w:rPr>
              <w:t>DI CUI: CALCOLATI SECONDO 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APPROCCIO BASATO SU ESPERTI</w:t>
            </w:r>
          </w:p>
          <w:p w:rsidR="00973707" w:rsidRPr="00D51A68" w:rsidRDefault="00973707" w:rsidP="009F5262">
            <w:pPr>
              <w:spacing w:beforeLines="60" w:before="144" w:afterLines="60" w:after="144"/>
              <w:rPr>
                <w:rStyle w:val="InstructionsTabelleberschrift"/>
                <w:rFonts w:ascii="Times New Roman" w:hAnsi="Times New Roman"/>
                <w:sz w:val="24"/>
              </w:rPr>
            </w:pPr>
            <w:r w:rsidRPr="00D51A68">
              <w:rPr>
                <w:rFonts w:ascii="Times New Roman" w:hAnsi="Times New Roman"/>
                <w:sz w:val="24"/>
              </w:rPr>
              <w:t>Gli AVA per i costi di chiusura calcolati a norma dell</w:t>
            </w:r>
            <w:r w:rsidR="0009277C" w:rsidRPr="00D51A68">
              <w:rPr>
                <w:rFonts w:ascii="Times New Roman" w:hAnsi="Times New Roman"/>
                <w:sz w:val="24"/>
              </w:rPr>
              <w:t>’</w:t>
            </w:r>
            <w:r w:rsidRPr="00D51A68">
              <w:rPr>
                <w:rFonts w:ascii="Times New Roman" w:hAnsi="Times New Roman"/>
                <w:sz w:val="24"/>
              </w:rPr>
              <w:t>articolo 10, paragrafo 6, lettera b), del regolamento delegato (UE) 2016/101 sulla valutazione prudente.</w:t>
            </w:r>
          </w:p>
        </w:tc>
      </w:tr>
      <w:tr w:rsidR="00973707" w:rsidRPr="00D51A68" w:rsidTr="00672D2A">
        <w:tc>
          <w:tcPr>
            <w:tcW w:w="1101" w:type="dxa"/>
          </w:tcPr>
          <w:p w:rsidR="00973707" w:rsidRPr="00D51A68" w:rsidRDefault="009A7A38" w:rsidP="00AF3D7A">
            <w:pPr>
              <w:spacing w:beforeLines="60" w:before="144" w:afterLines="60" w:after="144"/>
              <w:rPr>
                <w:rFonts w:ascii="Times New Roman" w:hAnsi="Times New Roman"/>
                <w:sz w:val="24"/>
              </w:rPr>
            </w:pPr>
            <w:r w:rsidRPr="00D51A68">
              <w:rPr>
                <w:rFonts w:ascii="Times New Roman" w:hAnsi="Times New Roman"/>
                <w:sz w:val="24"/>
              </w:rPr>
              <w:t>0050</w:t>
            </w:r>
          </w:p>
        </w:tc>
        <w:tc>
          <w:tcPr>
            <w:tcW w:w="8190" w:type="dxa"/>
          </w:tcPr>
          <w:p w:rsidR="00973707" w:rsidRPr="00D51A68" w:rsidRDefault="00973707" w:rsidP="00AF3D7A">
            <w:pPr>
              <w:spacing w:beforeLines="60" w:before="144" w:afterLines="60" w:after="144"/>
              <w:rPr>
                <w:rStyle w:val="InstructionsTabelleberschrift"/>
                <w:rFonts w:ascii="Times New Roman" w:hAnsi="Times New Roman"/>
                <w:sz w:val="24"/>
              </w:rPr>
            </w:pPr>
            <w:r w:rsidRPr="00D51A68">
              <w:rPr>
                <w:rStyle w:val="InstructionsTabelleberschrift"/>
                <w:rFonts w:ascii="Times New Roman" w:hAnsi="Times New Roman"/>
                <w:sz w:val="24"/>
              </w:rPr>
              <w:t>RISCHI DEL MODELLO</w:t>
            </w:r>
          </w:p>
          <w:p w:rsidR="00973707" w:rsidRPr="00D51A68" w:rsidRDefault="00973707" w:rsidP="00AF3D7A">
            <w:pPr>
              <w:spacing w:beforeLines="60" w:before="144" w:afterLines="60" w:after="144"/>
              <w:rPr>
                <w:rFonts w:ascii="Times New Roman" w:hAnsi="Times New Roman"/>
                <w:sz w:val="24"/>
              </w:rPr>
            </w:pPr>
            <w:r w:rsidRPr="00D51A68">
              <w:rPr>
                <w:rFonts w:ascii="Times New Roman" w:hAnsi="Times New Roman"/>
                <w:sz w:val="24"/>
              </w:rPr>
              <w:t>Articolo 105, paragrafo 10, del CRR.</w:t>
            </w:r>
          </w:p>
          <w:p w:rsidR="00973707" w:rsidRPr="00D51A68" w:rsidRDefault="00973707" w:rsidP="009F5262">
            <w:pPr>
              <w:spacing w:beforeLines="60" w:before="144" w:afterLines="60" w:after="144"/>
              <w:rPr>
                <w:rStyle w:val="InstructionsTabelleberschrift"/>
                <w:rFonts w:ascii="Times New Roman" w:hAnsi="Times New Roman"/>
                <w:sz w:val="24"/>
              </w:rPr>
            </w:pPr>
            <w:r w:rsidRPr="00D51A68">
              <w:rPr>
                <w:rFonts w:ascii="Times New Roman" w:hAnsi="Times New Roman"/>
                <w:sz w:val="24"/>
              </w:rPr>
              <w:t>Gli AVA per i rischi del modello calcolati a norma dell</w:t>
            </w:r>
            <w:r w:rsidR="0009277C" w:rsidRPr="00D51A68">
              <w:rPr>
                <w:rFonts w:ascii="Times New Roman" w:hAnsi="Times New Roman"/>
                <w:sz w:val="24"/>
              </w:rPr>
              <w:t>’</w:t>
            </w:r>
            <w:r w:rsidRPr="00D51A68">
              <w:rPr>
                <w:rFonts w:ascii="Times New Roman" w:hAnsi="Times New Roman"/>
                <w:sz w:val="24"/>
              </w:rPr>
              <w:t xml:space="preserve">articolo 11 del regolamento delegato (UE) 2016/101 sulla valutazione prudente. </w:t>
            </w:r>
          </w:p>
        </w:tc>
      </w:tr>
      <w:tr w:rsidR="00973707" w:rsidRPr="00D51A68" w:rsidTr="00672D2A">
        <w:tc>
          <w:tcPr>
            <w:tcW w:w="1101" w:type="dxa"/>
          </w:tcPr>
          <w:p w:rsidR="00973707" w:rsidRPr="00D51A68" w:rsidRDefault="009A7A38" w:rsidP="00AF3D7A">
            <w:pPr>
              <w:spacing w:beforeLines="60" w:before="144" w:afterLines="60" w:after="144"/>
              <w:rPr>
                <w:rFonts w:ascii="Times New Roman" w:hAnsi="Times New Roman"/>
                <w:sz w:val="24"/>
              </w:rPr>
            </w:pPr>
            <w:r w:rsidRPr="00D51A68">
              <w:rPr>
                <w:rFonts w:ascii="Times New Roman" w:hAnsi="Times New Roman"/>
                <w:sz w:val="24"/>
              </w:rPr>
              <w:t>0060</w:t>
            </w:r>
          </w:p>
        </w:tc>
        <w:tc>
          <w:tcPr>
            <w:tcW w:w="8190" w:type="dxa"/>
          </w:tcPr>
          <w:p w:rsidR="00973707" w:rsidRPr="00D51A68" w:rsidRDefault="00973707" w:rsidP="00AF3D7A">
            <w:pPr>
              <w:spacing w:beforeLines="60" w:before="144" w:afterLines="60" w:after="144"/>
              <w:rPr>
                <w:rStyle w:val="InstructionsTabelleberschrift"/>
                <w:rFonts w:ascii="Times New Roman" w:hAnsi="Times New Roman"/>
                <w:sz w:val="24"/>
              </w:rPr>
            </w:pPr>
            <w:r w:rsidRPr="00D51A68">
              <w:rPr>
                <w:rStyle w:val="InstructionsTabelleberschrift"/>
                <w:rFonts w:ascii="Times New Roman" w:hAnsi="Times New Roman"/>
                <w:sz w:val="24"/>
              </w:rPr>
              <w:t>DI CUI: CALCOLATI SECONDO 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APPROCCIO BASATO SU ESPERTI</w:t>
            </w:r>
          </w:p>
          <w:p w:rsidR="00973707" w:rsidRPr="00D51A68" w:rsidRDefault="00973707" w:rsidP="009F5262">
            <w:pPr>
              <w:spacing w:beforeLines="60" w:before="144" w:afterLines="60" w:after="144"/>
              <w:rPr>
                <w:rStyle w:val="InstructionsTabelleberschrift"/>
                <w:rFonts w:ascii="Times New Roman" w:hAnsi="Times New Roman"/>
                <w:sz w:val="24"/>
              </w:rPr>
            </w:pPr>
            <w:r w:rsidRPr="00D51A68">
              <w:rPr>
                <w:rFonts w:ascii="Times New Roman" w:hAnsi="Times New Roman"/>
                <w:sz w:val="24"/>
              </w:rPr>
              <w:t>Gli AVA per i rischi del modello calcolati a norma dell</w:t>
            </w:r>
            <w:r w:rsidR="0009277C" w:rsidRPr="00D51A68">
              <w:rPr>
                <w:rFonts w:ascii="Times New Roman" w:hAnsi="Times New Roman"/>
                <w:sz w:val="24"/>
              </w:rPr>
              <w:t>’</w:t>
            </w:r>
            <w:r w:rsidRPr="00D51A68">
              <w:rPr>
                <w:rFonts w:ascii="Times New Roman" w:hAnsi="Times New Roman"/>
                <w:sz w:val="24"/>
              </w:rPr>
              <w:t>articolo 11, paragrafo 4, del regolamento delegato (UE) 2016/101 sulla valutazione prudente.</w:t>
            </w:r>
          </w:p>
        </w:tc>
      </w:tr>
      <w:tr w:rsidR="00973707" w:rsidRPr="00D51A68" w:rsidTr="00672D2A">
        <w:tc>
          <w:tcPr>
            <w:tcW w:w="1101" w:type="dxa"/>
          </w:tcPr>
          <w:p w:rsidR="00973707" w:rsidRPr="00D51A68" w:rsidRDefault="009A7A38" w:rsidP="00AF3D7A">
            <w:pPr>
              <w:spacing w:beforeLines="60" w:before="144" w:afterLines="60" w:after="144"/>
              <w:rPr>
                <w:rFonts w:ascii="Times New Roman" w:hAnsi="Times New Roman"/>
                <w:sz w:val="24"/>
              </w:rPr>
            </w:pPr>
            <w:r w:rsidRPr="00D51A68">
              <w:rPr>
                <w:rFonts w:ascii="Times New Roman" w:hAnsi="Times New Roman"/>
                <w:sz w:val="24"/>
              </w:rPr>
              <w:t>0070</w:t>
            </w:r>
          </w:p>
        </w:tc>
        <w:tc>
          <w:tcPr>
            <w:tcW w:w="8190" w:type="dxa"/>
          </w:tcPr>
          <w:p w:rsidR="00973707" w:rsidRPr="00D51A68" w:rsidRDefault="00973707" w:rsidP="00AF3D7A">
            <w:pPr>
              <w:spacing w:beforeLines="60" w:before="144" w:afterLines="60" w:after="144"/>
              <w:rPr>
                <w:rStyle w:val="InstructionsTabelleberschrift"/>
                <w:rFonts w:ascii="Times New Roman" w:hAnsi="Times New Roman"/>
                <w:sz w:val="24"/>
              </w:rPr>
            </w:pPr>
            <w:r w:rsidRPr="00D51A68">
              <w:rPr>
                <w:rStyle w:val="InstructionsTabelleberschrift"/>
                <w:rFonts w:ascii="Times New Roman" w:hAnsi="Times New Roman"/>
                <w:sz w:val="24"/>
              </w:rPr>
              <w:t>POSIZIONI CONCENTRATE</w:t>
            </w:r>
          </w:p>
          <w:p w:rsidR="00973707" w:rsidRPr="00D51A68" w:rsidRDefault="00973707" w:rsidP="00AF3D7A">
            <w:pPr>
              <w:spacing w:beforeLines="60" w:before="144" w:afterLines="60" w:after="144"/>
              <w:rPr>
                <w:rFonts w:ascii="Times New Roman" w:hAnsi="Times New Roman"/>
                <w:sz w:val="24"/>
              </w:rPr>
            </w:pPr>
            <w:r w:rsidRPr="00D51A68">
              <w:rPr>
                <w:rFonts w:ascii="Times New Roman" w:hAnsi="Times New Roman"/>
                <w:sz w:val="24"/>
              </w:rPr>
              <w:t>Articolo 105, paragrafo 11, del CRR.</w:t>
            </w:r>
          </w:p>
          <w:p w:rsidR="00973707" w:rsidRPr="00D51A68" w:rsidRDefault="00973707" w:rsidP="00AF3D7A">
            <w:pPr>
              <w:spacing w:beforeLines="60" w:before="144" w:afterLines="60" w:after="144"/>
              <w:rPr>
                <w:rStyle w:val="InstructionsTabelleberschrift"/>
                <w:rFonts w:ascii="Times New Roman" w:hAnsi="Times New Roman"/>
                <w:sz w:val="24"/>
              </w:rPr>
            </w:pPr>
            <w:r w:rsidRPr="00D51A68">
              <w:rPr>
                <w:rFonts w:ascii="Times New Roman" w:hAnsi="Times New Roman"/>
                <w:sz w:val="24"/>
              </w:rPr>
              <w:t>Gli AVA per le posizioni concentrate calcolati a norma dell</w:t>
            </w:r>
            <w:r w:rsidR="0009277C" w:rsidRPr="00D51A68">
              <w:rPr>
                <w:rFonts w:ascii="Times New Roman" w:hAnsi="Times New Roman"/>
                <w:sz w:val="24"/>
              </w:rPr>
              <w:t>’</w:t>
            </w:r>
            <w:r w:rsidRPr="00D51A68">
              <w:rPr>
                <w:rFonts w:ascii="Times New Roman" w:hAnsi="Times New Roman"/>
                <w:sz w:val="24"/>
              </w:rPr>
              <w:t>articolo 14 del regolamento delegato (UE) 2016/101 sulla valutazione prudente.</w:t>
            </w:r>
          </w:p>
        </w:tc>
      </w:tr>
      <w:tr w:rsidR="00973707" w:rsidRPr="00D51A68" w:rsidTr="00BE76FD">
        <w:trPr>
          <w:cantSplit/>
        </w:trPr>
        <w:tc>
          <w:tcPr>
            <w:tcW w:w="1101" w:type="dxa"/>
          </w:tcPr>
          <w:p w:rsidR="00973707" w:rsidRPr="00D51A68" w:rsidRDefault="009A7A38" w:rsidP="00AF3D7A">
            <w:pPr>
              <w:spacing w:beforeLines="60" w:before="144" w:afterLines="60" w:after="144"/>
              <w:rPr>
                <w:rFonts w:ascii="Times New Roman" w:hAnsi="Times New Roman"/>
                <w:sz w:val="24"/>
              </w:rPr>
            </w:pPr>
            <w:r w:rsidRPr="00D51A68">
              <w:rPr>
                <w:rFonts w:ascii="Times New Roman" w:hAnsi="Times New Roman"/>
                <w:sz w:val="24"/>
              </w:rPr>
              <w:t>0080</w:t>
            </w:r>
          </w:p>
        </w:tc>
        <w:tc>
          <w:tcPr>
            <w:tcW w:w="8190" w:type="dxa"/>
          </w:tcPr>
          <w:p w:rsidR="00973707" w:rsidRPr="00D51A68" w:rsidRDefault="00973707" w:rsidP="00AF3D7A">
            <w:pPr>
              <w:spacing w:beforeLines="60" w:before="144" w:afterLines="60" w:after="144"/>
              <w:rPr>
                <w:rStyle w:val="InstructionsTabelleberschrift"/>
                <w:rFonts w:ascii="Times New Roman" w:hAnsi="Times New Roman"/>
                <w:sz w:val="24"/>
              </w:rPr>
            </w:pPr>
            <w:r w:rsidRPr="00D51A68">
              <w:rPr>
                <w:rStyle w:val="InstructionsTabelleberschrift"/>
                <w:rFonts w:ascii="Times New Roman" w:hAnsi="Times New Roman"/>
                <w:sz w:val="24"/>
              </w:rPr>
              <w:t>COSTI AMMINISTRATIVI FUTURI</w:t>
            </w:r>
          </w:p>
          <w:p w:rsidR="00973707" w:rsidRPr="00D51A68" w:rsidRDefault="00973707" w:rsidP="00AF3D7A">
            <w:pPr>
              <w:spacing w:beforeLines="60" w:before="144" w:afterLines="60" w:after="144"/>
              <w:rPr>
                <w:rFonts w:ascii="Times New Roman" w:hAnsi="Times New Roman"/>
                <w:sz w:val="24"/>
              </w:rPr>
            </w:pPr>
            <w:r w:rsidRPr="00D51A68">
              <w:rPr>
                <w:rFonts w:ascii="Times New Roman" w:hAnsi="Times New Roman"/>
                <w:sz w:val="24"/>
              </w:rPr>
              <w:t>Articolo 105, paragrafo 10, del CRR.</w:t>
            </w:r>
          </w:p>
          <w:p w:rsidR="00973707" w:rsidRPr="00D51A68" w:rsidRDefault="00973707" w:rsidP="00AF3D7A">
            <w:pPr>
              <w:spacing w:beforeLines="60" w:before="144" w:afterLines="60" w:after="144"/>
              <w:rPr>
                <w:rStyle w:val="InstructionsTabelleberschrift"/>
                <w:rFonts w:ascii="Times New Roman" w:hAnsi="Times New Roman"/>
                <w:sz w:val="24"/>
              </w:rPr>
            </w:pPr>
            <w:r w:rsidRPr="00D51A68">
              <w:rPr>
                <w:rFonts w:ascii="Times New Roman" w:hAnsi="Times New Roman"/>
                <w:sz w:val="24"/>
              </w:rPr>
              <w:t>Gli AVA per i costi amministrativi futuri calcolati a norma dell</w:t>
            </w:r>
            <w:r w:rsidR="0009277C" w:rsidRPr="00D51A68">
              <w:rPr>
                <w:rFonts w:ascii="Times New Roman" w:hAnsi="Times New Roman"/>
                <w:sz w:val="24"/>
              </w:rPr>
              <w:t>’</w:t>
            </w:r>
            <w:r w:rsidRPr="00D51A68">
              <w:rPr>
                <w:rFonts w:ascii="Times New Roman" w:hAnsi="Times New Roman"/>
                <w:sz w:val="24"/>
              </w:rPr>
              <w:t>articolo 15 del regolamento delegato (UE) 2016/101 sulla valutazione prudente.</w:t>
            </w:r>
          </w:p>
        </w:tc>
      </w:tr>
      <w:tr w:rsidR="00973707" w:rsidRPr="00D51A68" w:rsidTr="00672D2A">
        <w:tc>
          <w:tcPr>
            <w:tcW w:w="1101" w:type="dxa"/>
          </w:tcPr>
          <w:p w:rsidR="00973707" w:rsidRPr="00D51A68" w:rsidRDefault="009A7A38" w:rsidP="00AF3D7A">
            <w:pPr>
              <w:spacing w:beforeLines="60" w:before="144" w:afterLines="60" w:after="144"/>
              <w:rPr>
                <w:rFonts w:ascii="Times New Roman" w:hAnsi="Times New Roman"/>
                <w:sz w:val="24"/>
              </w:rPr>
            </w:pPr>
            <w:r w:rsidRPr="00D51A68">
              <w:rPr>
                <w:rFonts w:ascii="Times New Roman" w:hAnsi="Times New Roman"/>
                <w:sz w:val="24"/>
              </w:rPr>
              <w:t>0090</w:t>
            </w:r>
          </w:p>
        </w:tc>
        <w:tc>
          <w:tcPr>
            <w:tcW w:w="8190" w:type="dxa"/>
          </w:tcPr>
          <w:p w:rsidR="00973707" w:rsidRPr="00D51A68" w:rsidRDefault="00973707" w:rsidP="00AF3D7A">
            <w:pPr>
              <w:spacing w:beforeLines="60" w:before="144" w:afterLines="60" w:after="144"/>
              <w:rPr>
                <w:rStyle w:val="InstructionsTabelleberschrift"/>
                <w:rFonts w:ascii="Times New Roman" w:hAnsi="Times New Roman"/>
                <w:sz w:val="24"/>
              </w:rPr>
            </w:pPr>
            <w:r w:rsidRPr="00D51A68">
              <w:rPr>
                <w:rStyle w:val="InstructionsTabelleberschrift"/>
                <w:rFonts w:ascii="Times New Roman" w:hAnsi="Times New Roman"/>
                <w:sz w:val="24"/>
              </w:rPr>
              <w:t>CHIUSURE ANTICIPATE DELLE POSIZIONI</w:t>
            </w:r>
          </w:p>
          <w:p w:rsidR="00973707" w:rsidRPr="00D51A68" w:rsidRDefault="00973707" w:rsidP="00AF3D7A">
            <w:pPr>
              <w:spacing w:beforeLines="60" w:before="144" w:afterLines="60" w:after="144"/>
              <w:rPr>
                <w:rFonts w:ascii="Times New Roman" w:hAnsi="Times New Roman"/>
                <w:sz w:val="24"/>
              </w:rPr>
            </w:pPr>
            <w:r w:rsidRPr="00D51A68">
              <w:rPr>
                <w:rFonts w:ascii="Times New Roman" w:hAnsi="Times New Roman"/>
                <w:sz w:val="24"/>
              </w:rPr>
              <w:t>Articolo 105, paragrafo 10, del CRR.</w:t>
            </w:r>
          </w:p>
          <w:p w:rsidR="00973707" w:rsidRPr="00D51A68" w:rsidRDefault="00973707" w:rsidP="00AF3D7A">
            <w:pPr>
              <w:spacing w:beforeLines="60" w:before="144" w:afterLines="60" w:after="144"/>
              <w:rPr>
                <w:rStyle w:val="InstructionsTabelleberschrift"/>
                <w:rFonts w:ascii="Times New Roman" w:hAnsi="Times New Roman"/>
                <w:sz w:val="24"/>
              </w:rPr>
            </w:pPr>
            <w:r w:rsidRPr="00D51A68">
              <w:rPr>
                <w:rFonts w:ascii="Times New Roman" w:hAnsi="Times New Roman"/>
                <w:sz w:val="24"/>
              </w:rPr>
              <w:t>Gli AVA per le chiusure anticipate delle posizioni calcolati a norma dell</w:t>
            </w:r>
            <w:r w:rsidR="0009277C" w:rsidRPr="00D51A68">
              <w:rPr>
                <w:rFonts w:ascii="Times New Roman" w:hAnsi="Times New Roman"/>
                <w:sz w:val="24"/>
              </w:rPr>
              <w:t>’</w:t>
            </w:r>
            <w:r w:rsidR="00BE76FD" w:rsidRPr="00D51A68">
              <w:rPr>
                <w:rFonts w:ascii="Times New Roman" w:hAnsi="Times New Roman"/>
                <w:sz w:val="24"/>
              </w:rPr>
              <w:t>articolo </w:t>
            </w:r>
            <w:r w:rsidRPr="00D51A68">
              <w:rPr>
                <w:rFonts w:ascii="Times New Roman" w:hAnsi="Times New Roman"/>
                <w:sz w:val="24"/>
              </w:rPr>
              <w:t xml:space="preserve">16 del regolamento delegato (UE) 2016/101 sulla valutazione prudente. </w:t>
            </w:r>
          </w:p>
        </w:tc>
      </w:tr>
      <w:tr w:rsidR="00973707" w:rsidRPr="00D51A68" w:rsidTr="00672D2A">
        <w:tc>
          <w:tcPr>
            <w:tcW w:w="1101" w:type="dxa"/>
          </w:tcPr>
          <w:p w:rsidR="00973707" w:rsidRPr="00D51A68" w:rsidRDefault="009A7A38" w:rsidP="00AF3D7A">
            <w:pPr>
              <w:spacing w:beforeLines="60" w:before="144" w:afterLines="60" w:after="144"/>
              <w:rPr>
                <w:rFonts w:ascii="Times New Roman" w:hAnsi="Times New Roman"/>
                <w:sz w:val="24"/>
              </w:rPr>
            </w:pPr>
            <w:r w:rsidRPr="00D51A68">
              <w:rPr>
                <w:rFonts w:ascii="Times New Roman" w:hAnsi="Times New Roman"/>
                <w:sz w:val="24"/>
              </w:rPr>
              <w:t>0100</w:t>
            </w:r>
          </w:p>
        </w:tc>
        <w:tc>
          <w:tcPr>
            <w:tcW w:w="8190" w:type="dxa"/>
          </w:tcPr>
          <w:p w:rsidR="00973707" w:rsidRPr="00D51A68" w:rsidRDefault="00973707" w:rsidP="00AF3D7A">
            <w:pPr>
              <w:spacing w:beforeLines="60" w:before="144" w:afterLines="60" w:after="144"/>
              <w:rPr>
                <w:rStyle w:val="InstructionsTabelleberschrift"/>
                <w:rFonts w:ascii="Times New Roman" w:hAnsi="Times New Roman"/>
                <w:sz w:val="24"/>
              </w:rPr>
            </w:pPr>
            <w:r w:rsidRPr="00D51A68">
              <w:rPr>
                <w:rStyle w:val="InstructionsTabelleberschrift"/>
                <w:rFonts w:ascii="Times New Roman" w:hAnsi="Times New Roman"/>
                <w:sz w:val="24"/>
              </w:rPr>
              <w:t>RISCHIO OPERATIVO</w:t>
            </w:r>
          </w:p>
          <w:p w:rsidR="00973707" w:rsidRPr="00D51A68" w:rsidRDefault="00973707" w:rsidP="00AF3D7A">
            <w:pPr>
              <w:spacing w:beforeLines="60" w:before="144" w:afterLines="60" w:after="144"/>
              <w:rPr>
                <w:rFonts w:ascii="Times New Roman" w:hAnsi="Times New Roman"/>
                <w:sz w:val="24"/>
              </w:rPr>
            </w:pPr>
            <w:r w:rsidRPr="00D51A68">
              <w:rPr>
                <w:rFonts w:ascii="Times New Roman" w:hAnsi="Times New Roman"/>
                <w:sz w:val="24"/>
              </w:rPr>
              <w:t>Articolo 105, paragrafo 10, del CRR.</w:t>
            </w:r>
          </w:p>
          <w:p w:rsidR="00973707" w:rsidRPr="00D51A68" w:rsidRDefault="00973707" w:rsidP="00AF3D7A">
            <w:pPr>
              <w:spacing w:beforeLines="60" w:before="144" w:afterLines="60" w:after="144"/>
              <w:rPr>
                <w:rStyle w:val="InstructionsTabelleberschrift"/>
                <w:rFonts w:ascii="Times New Roman" w:hAnsi="Times New Roman"/>
                <w:sz w:val="24"/>
              </w:rPr>
            </w:pPr>
            <w:r w:rsidRPr="00D51A68">
              <w:rPr>
                <w:rFonts w:ascii="Times New Roman" w:hAnsi="Times New Roman"/>
                <w:sz w:val="24"/>
              </w:rPr>
              <w:t>Gli AVA per i rischi operativi calcolati a norma dell</w:t>
            </w:r>
            <w:r w:rsidR="0009277C" w:rsidRPr="00D51A68">
              <w:rPr>
                <w:rFonts w:ascii="Times New Roman" w:hAnsi="Times New Roman"/>
                <w:sz w:val="24"/>
              </w:rPr>
              <w:t>’</w:t>
            </w:r>
            <w:r w:rsidRPr="00D51A68">
              <w:rPr>
                <w:rFonts w:ascii="Times New Roman" w:hAnsi="Times New Roman"/>
                <w:sz w:val="24"/>
              </w:rPr>
              <w:t>articolo 17 del regolamento delegato (UE) 2016/101 sulla valutazione prudente.</w:t>
            </w:r>
          </w:p>
        </w:tc>
      </w:tr>
      <w:tr w:rsidR="00973707" w:rsidRPr="00D51A68" w:rsidTr="00672D2A">
        <w:tc>
          <w:tcPr>
            <w:tcW w:w="1101" w:type="dxa"/>
            <w:tcBorders>
              <w:bottom w:val="single" w:sz="4" w:space="0" w:color="auto"/>
            </w:tcBorders>
          </w:tcPr>
          <w:p w:rsidR="00973707" w:rsidRPr="00D51A68" w:rsidRDefault="009A7A38" w:rsidP="00AF3D7A">
            <w:pPr>
              <w:spacing w:beforeLines="60" w:before="144" w:afterLines="60" w:after="144"/>
              <w:rPr>
                <w:rFonts w:ascii="Times New Roman" w:hAnsi="Times New Roman"/>
                <w:sz w:val="24"/>
              </w:rPr>
            </w:pPr>
            <w:r w:rsidRPr="00D51A68">
              <w:rPr>
                <w:rFonts w:ascii="Times New Roman" w:hAnsi="Times New Roman"/>
                <w:sz w:val="24"/>
              </w:rPr>
              <w:t>0110</w:t>
            </w:r>
          </w:p>
        </w:tc>
        <w:tc>
          <w:tcPr>
            <w:tcW w:w="8190" w:type="dxa"/>
            <w:tcBorders>
              <w:bottom w:val="single" w:sz="4" w:space="0" w:color="auto"/>
            </w:tcBorders>
          </w:tcPr>
          <w:p w:rsidR="00973707" w:rsidRPr="00D51A68" w:rsidRDefault="00973707" w:rsidP="00AF3D7A">
            <w:pPr>
              <w:spacing w:beforeLines="60" w:before="144" w:afterLines="60" w:after="144"/>
              <w:rPr>
                <w:rStyle w:val="InstructionsTabelleberschrift"/>
                <w:rFonts w:ascii="Times New Roman" w:hAnsi="Times New Roman"/>
                <w:sz w:val="24"/>
              </w:rPr>
            </w:pPr>
            <w:r w:rsidRPr="00D51A68">
              <w:rPr>
                <w:rStyle w:val="InstructionsTabelleberschrift"/>
                <w:rFonts w:ascii="Times New Roman" w:hAnsi="Times New Roman"/>
                <w:sz w:val="24"/>
              </w:rPr>
              <w:t xml:space="preserve">AVA TOTALE </w:t>
            </w:r>
          </w:p>
          <w:p w:rsidR="00973707" w:rsidRPr="00D51A68" w:rsidRDefault="00973707" w:rsidP="00AF3D7A">
            <w:pPr>
              <w:spacing w:beforeLines="60" w:before="144" w:afterLines="60" w:after="144"/>
              <w:rPr>
                <w:rStyle w:val="InstructionsTabelleberschrift"/>
                <w:rFonts w:ascii="Times New Roman" w:hAnsi="Times New Roman"/>
                <w:b w:val="0"/>
                <w:sz w:val="24"/>
                <w:u w:val="none"/>
              </w:rPr>
            </w:pPr>
            <w:r w:rsidRPr="00D51A68">
              <w:rPr>
                <w:rStyle w:val="InstructionsTabelleberschrift"/>
                <w:rFonts w:ascii="Times New Roman" w:hAnsi="Times New Roman"/>
                <w:b w:val="0"/>
                <w:sz w:val="24"/>
                <w:u w:val="none"/>
              </w:rPr>
              <w:t>Riga 0010: AVA totale da dedurre dai fondi propri a norma degli articoli 34 e 105 del CRR e indicato conseguentemente alla riga 290 di C 01.00. L</w:t>
            </w:r>
            <w:r w:rsidR="0009277C" w:rsidRPr="00D51A68">
              <w:rPr>
                <w:rStyle w:val="InstructionsTabelleberschrift"/>
                <w:rFonts w:ascii="Times New Roman" w:hAnsi="Times New Roman"/>
                <w:b w:val="0"/>
                <w:sz w:val="24"/>
                <w:u w:val="none"/>
              </w:rPr>
              <w:t>’</w:t>
            </w:r>
            <w:r w:rsidRPr="00D51A68">
              <w:rPr>
                <w:rStyle w:val="InstructionsTabelleberschrift"/>
                <w:rFonts w:ascii="Times New Roman" w:hAnsi="Times New Roman"/>
                <w:b w:val="0"/>
                <w:sz w:val="24"/>
                <w:u w:val="none"/>
              </w:rPr>
              <w:t xml:space="preserve">AVA totale è la somma delle righe 0030 e 0180. </w:t>
            </w:r>
          </w:p>
          <w:p w:rsidR="00973707" w:rsidRPr="00D51A68" w:rsidRDefault="00973707" w:rsidP="00AF3D7A">
            <w:pPr>
              <w:spacing w:beforeLines="60" w:before="144" w:afterLines="60" w:after="144"/>
              <w:rPr>
                <w:rStyle w:val="InstructionsTabelleberschrift"/>
                <w:rFonts w:ascii="Times New Roman" w:hAnsi="Times New Roman"/>
                <w:b w:val="0"/>
                <w:sz w:val="24"/>
                <w:u w:val="none"/>
              </w:rPr>
            </w:pPr>
            <w:r w:rsidRPr="00D51A68">
              <w:rPr>
                <w:rStyle w:val="InstructionsTabelleberschrift"/>
                <w:rFonts w:ascii="Times New Roman" w:hAnsi="Times New Roman"/>
                <w:b w:val="0"/>
                <w:sz w:val="24"/>
                <w:u w:val="none"/>
              </w:rPr>
              <w:t>Riga 0020: Quota dell</w:t>
            </w:r>
            <w:r w:rsidR="0009277C" w:rsidRPr="00D51A68">
              <w:rPr>
                <w:rStyle w:val="InstructionsTabelleberschrift"/>
                <w:rFonts w:ascii="Times New Roman" w:hAnsi="Times New Roman"/>
                <w:b w:val="0"/>
                <w:sz w:val="24"/>
                <w:u w:val="none"/>
              </w:rPr>
              <w:t>’</w:t>
            </w:r>
            <w:r w:rsidRPr="00D51A68">
              <w:rPr>
                <w:rStyle w:val="InstructionsTabelleberschrift"/>
                <w:rFonts w:ascii="Times New Roman" w:hAnsi="Times New Roman"/>
                <w:b w:val="0"/>
                <w:sz w:val="24"/>
                <w:u w:val="none"/>
              </w:rPr>
              <w:t xml:space="preserve">AVA totale indicata nella riga 0010 derivante da posizioni del portafoglio di negoziazione (valore assoluto). </w:t>
            </w:r>
          </w:p>
          <w:p w:rsidR="00973707" w:rsidRPr="00D51A68" w:rsidRDefault="00973707" w:rsidP="00AF3D7A">
            <w:pPr>
              <w:spacing w:beforeLines="60" w:before="144" w:afterLines="60" w:after="144"/>
              <w:rPr>
                <w:rStyle w:val="InstructionsTabelleberschrift"/>
                <w:rFonts w:ascii="Times New Roman" w:hAnsi="Times New Roman"/>
                <w:b w:val="0"/>
                <w:sz w:val="24"/>
                <w:u w:val="none"/>
              </w:rPr>
            </w:pPr>
            <w:r w:rsidRPr="00D51A68">
              <w:rPr>
                <w:rStyle w:val="InstructionsTabelleberschrift"/>
                <w:rFonts w:ascii="Times New Roman" w:hAnsi="Times New Roman"/>
                <w:b w:val="0"/>
                <w:sz w:val="24"/>
                <w:u w:val="none"/>
              </w:rPr>
              <w:t xml:space="preserve">Righe da 0030 a 0160: Somma delle colonne 0010, 0030, 0050 e da 0070 a 0100. </w:t>
            </w:r>
          </w:p>
          <w:p w:rsidR="00973707" w:rsidRPr="00D51A68" w:rsidRDefault="00973707" w:rsidP="00AF3D7A">
            <w:pPr>
              <w:spacing w:beforeLines="60" w:before="144" w:afterLines="60" w:after="144"/>
              <w:rPr>
                <w:rStyle w:val="InstructionsTabelleberschrift"/>
                <w:rFonts w:ascii="Times New Roman" w:hAnsi="Times New Roman"/>
                <w:b w:val="0"/>
                <w:sz w:val="24"/>
                <w:u w:val="none"/>
              </w:rPr>
            </w:pPr>
            <w:r w:rsidRPr="00D51A68">
              <w:rPr>
                <w:rStyle w:val="InstructionsTabelleberschrift"/>
                <w:rFonts w:ascii="Times New Roman" w:hAnsi="Times New Roman"/>
                <w:b w:val="0"/>
                <w:sz w:val="24"/>
                <w:u w:val="none"/>
              </w:rPr>
              <w:t>Righe da 0180 a 0210: AVA totale derivante dai portafogli secondo l</w:t>
            </w:r>
            <w:r w:rsidR="0009277C" w:rsidRPr="00D51A68">
              <w:rPr>
                <w:rStyle w:val="InstructionsTabelleberschrift"/>
                <w:rFonts w:ascii="Times New Roman" w:hAnsi="Times New Roman"/>
                <w:b w:val="0"/>
                <w:sz w:val="24"/>
                <w:u w:val="none"/>
              </w:rPr>
              <w:t>’</w:t>
            </w:r>
            <w:r w:rsidRPr="00D51A68">
              <w:rPr>
                <w:rStyle w:val="InstructionsTabelleberschrift"/>
                <w:rFonts w:ascii="Times New Roman" w:hAnsi="Times New Roman"/>
                <w:b w:val="0"/>
                <w:sz w:val="24"/>
                <w:u w:val="none"/>
              </w:rPr>
              <w:t xml:space="preserve">approccio alternativo. </w:t>
            </w:r>
          </w:p>
        </w:tc>
      </w:tr>
      <w:tr w:rsidR="00973707" w:rsidRPr="00D51A68" w:rsidTr="00672D2A">
        <w:tc>
          <w:tcPr>
            <w:tcW w:w="1101" w:type="dxa"/>
            <w:tcBorders>
              <w:bottom w:val="single" w:sz="4" w:space="0" w:color="auto"/>
            </w:tcBorders>
          </w:tcPr>
          <w:p w:rsidR="00973707" w:rsidRPr="00D51A68" w:rsidRDefault="009A7A38" w:rsidP="00AF3D7A">
            <w:pPr>
              <w:spacing w:beforeLines="60" w:before="144" w:afterLines="60" w:after="144"/>
              <w:rPr>
                <w:rFonts w:ascii="Times New Roman" w:hAnsi="Times New Roman"/>
                <w:sz w:val="24"/>
              </w:rPr>
            </w:pPr>
            <w:r w:rsidRPr="00D51A68">
              <w:rPr>
                <w:rFonts w:ascii="Times New Roman" w:hAnsi="Times New Roman"/>
                <w:sz w:val="24"/>
              </w:rPr>
              <w:t>0120</w:t>
            </w:r>
          </w:p>
        </w:tc>
        <w:tc>
          <w:tcPr>
            <w:tcW w:w="8190" w:type="dxa"/>
            <w:tcBorders>
              <w:bottom w:val="single" w:sz="4" w:space="0" w:color="auto"/>
            </w:tcBorders>
          </w:tcPr>
          <w:p w:rsidR="00973707" w:rsidRPr="00D51A68" w:rsidRDefault="00973707" w:rsidP="00AF3D7A">
            <w:pPr>
              <w:spacing w:beforeLines="60" w:before="144" w:afterLines="60" w:after="144"/>
              <w:rPr>
                <w:rStyle w:val="InstructionsTabelleberschrift"/>
                <w:rFonts w:ascii="Times New Roman" w:hAnsi="Times New Roman"/>
                <w:sz w:val="24"/>
              </w:rPr>
            </w:pPr>
            <w:r w:rsidRPr="00D51A68">
              <w:rPr>
                <w:rStyle w:val="InstructionsTabelleberschrift"/>
                <w:rFonts w:ascii="Times New Roman" w:hAnsi="Times New Roman"/>
                <w:sz w:val="24"/>
              </w:rPr>
              <w:t xml:space="preserve">INCERTEZZA </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UPSIDE</w:t>
            </w:r>
            <w:r w:rsidR="0009277C" w:rsidRPr="00D51A68">
              <w:rPr>
                <w:rStyle w:val="InstructionsTabelleberschrift"/>
                <w:rFonts w:ascii="Times New Roman" w:hAnsi="Times New Roman"/>
                <w:sz w:val="24"/>
              </w:rPr>
              <w:t>”</w:t>
            </w:r>
          </w:p>
          <w:p w:rsidR="00973707" w:rsidRPr="00D51A68" w:rsidRDefault="00973707" w:rsidP="00AF3D7A">
            <w:pPr>
              <w:spacing w:beforeLines="60" w:before="144" w:afterLines="60" w:after="144"/>
              <w:rPr>
                <w:rStyle w:val="InstructionsTabelleberschrift"/>
                <w:rFonts w:ascii="Times New Roman" w:hAnsi="Times New Roman"/>
                <w:b w:val="0"/>
                <w:sz w:val="24"/>
                <w:u w:val="none"/>
              </w:rPr>
            </w:pPr>
            <w:r w:rsidRPr="00D51A68">
              <w:rPr>
                <w:rFonts w:ascii="Times New Roman" w:hAnsi="Times New Roman"/>
                <w:sz w:val="24"/>
              </w:rPr>
              <w:t>Articolo 8, paragrafo 2, del regolamento delegato (UE) 2016/101 sulla valutazione prudente</w:t>
            </w:r>
            <w:r w:rsidRPr="00D51A68">
              <w:t>.</w:t>
            </w:r>
          </w:p>
          <w:p w:rsidR="00973707" w:rsidRPr="00D51A68" w:rsidRDefault="00973707" w:rsidP="00AF3D7A">
            <w:pPr>
              <w:spacing w:beforeLines="60" w:before="144" w:afterLines="60" w:after="144"/>
              <w:rPr>
                <w:rFonts w:ascii="Times New Roman" w:hAnsi="Times New Roman"/>
                <w:sz w:val="24"/>
              </w:rPr>
            </w:pPr>
            <w:r w:rsidRPr="00D51A68">
              <w:rPr>
                <w:rFonts w:ascii="Times New Roman" w:hAnsi="Times New Roman"/>
                <w:sz w:val="24"/>
              </w:rPr>
              <w:t>L</w:t>
            </w:r>
            <w:r w:rsidR="0009277C" w:rsidRPr="00D51A68">
              <w:rPr>
                <w:rFonts w:ascii="Times New Roman" w:hAnsi="Times New Roman"/>
                <w:sz w:val="24"/>
              </w:rPr>
              <w:t>’</w:t>
            </w:r>
            <w:r w:rsidRPr="00D51A68">
              <w:rPr>
                <w:rFonts w:ascii="Times New Roman" w:hAnsi="Times New Roman"/>
                <w:sz w:val="24"/>
              </w:rPr>
              <w:t xml:space="preserve">incertezza </w:t>
            </w:r>
            <w:r w:rsidR="0009277C" w:rsidRPr="00D51A68">
              <w:rPr>
                <w:rFonts w:ascii="Times New Roman" w:hAnsi="Times New Roman"/>
                <w:sz w:val="24"/>
              </w:rPr>
              <w:t>“</w:t>
            </w:r>
            <w:r w:rsidRPr="00D51A68">
              <w:rPr>
                <w:rFonts w:ascii="Times New Roman" w:hAnsi="Times New Roman"/>
                <w:sz w:val="24"/>
              </w:rPr>
              <w:t>upside</w:t>
            </w:r>
            <w:r w:rsidR="0009277C" w:rsidRPr="00D51A68">
              <w:rPr>
                <w:rFonts w:ascii="Times New Roman" w:hAnsi="Times New Roman"/>
                <w:sz w:val="24"/>
              </w:rPr>
              <w:t>”</w:t>
            </w:r>
            <w:r w:rsidRPr="00D51A68">
              <w:rPr>
                <w:rFonts w:ascii="Times New Roman" w:hAnsi="Times New Roman"/>
                <w:sz w:val="24"/>
              </w:rPr>
              <w:t xml:space="preserve"> è calcolata e aggregata sulla stessa base dell</w:t>
            </w:r>
            <w:r w:rsidR="0009277C" w:rsidRPr="00D51A68">
              <w:rPr>
                <w:rFonts w:ascii="Times New Roman" w:hAnsi="Times New Roman"/>
                <w:sz w:val="24"/>
              </w:rPr>
              <w:t>’</w:t>
            </w:r>
            <w:r w:rsidRPr="00D51A68">
              <w:rPr>
                <w:rFonts w:ascii="Times New Roman" w:hAnsi="Times New Roman"/>
                <w:sz w:val="24"/>
              </w:rPr>
              <w:t>AVA totale di cui alla colonna 0110, ma utilizzando un livello di certezza del 10</w:t>
            </w:r>
            <w:r w:rsidR="00BE76FD" w:rsidRPr="00D51A68">
              <w:rPr>
                <w:rFonts w:ascii="Times New Roman" w:hAnsi="Times New Roman"/>
                <w:sz w:val="24"/>
              </w:rPr>
              <w:t>% al posto del </w:t>
            </w:r>
            <w:r w:rsidRPr="00D51A68">
              <w:rPr>
                <w:rFonts w:ascii="Times New Roman" w:hAnsi="Times New Roman"/>
                <w:sz w:val="24"/>
              </w:rPr>
              <w:t>90% impiegato per determinare l</w:t>
            </w:r>
            <w:r w:rsidR="0009277C" w:rsidRPr="00D51A68">
              <w:rPr>
                <w:rFonts w:ascii="Times New Roman" w:hAnsi="Times New Roman"/>
                <w:sz w:val="24"/>
              </w:rPr>
              <w:t>’</w:t>
            </w:r>
            <w:r w:rsidRPr="00D51A68">
              <w:rPr>
                <w:rFonts w:ascii="Times New Roman" w:hAnsi="Times New Roman"/>
                <w:sz w:val="24"/>
              </w:rPr>
              <w:t>AVA totale.</w:t>
            </w:r>
          </w:p>
        </w:tc>
      </w:tr>
      <w:tr w:rsidR="00973707" w:rsidRPr="00D51A68" w:rsidTr="00672D2A">
        <w:tc>
          <w:tcPr>
            <w:tcW w:w="1101" w:type="dxa"/>
          </w:tcPr>
          <w:p w:rsidR="00973707" w:rsidRPr="00D51A68" w:rsidRDefault="009A7A38" w:rsidP="00AF3D7A">
            <w:pPr>
              <w:spacing w:beforeLines="60" w:before="144" w:afterLines="60" w:after="144"/>
              <w:rPr>
                <w:rFonts w:ascii="Times New Roman" w:hAnsi="Times New Roman"/>
                <w:sz w:val="24"/>
              </w:rPr>
            </w:pPr>
            <w:r w:rsidRPr="00D51A68">
              <w:rPr>
                <w:rFonts w:ascii="Times New Roman" w:hAnsi="Times New Roman"/>
                <w:sz w:val="24"/>
              </w:rPr>
              <w:t>0130 -0140</w:t>
            </w:r>
          </w:p>
        </w:tc>
        <w:tc>
          <w:tcPr>
            <w:tcW w:w="8190" w:type="dxa"/>
          </w:tcPr>
          <w:p w:rsidR="00973707" w:rsidRPr="00D51A68" w:rsidRDefault="00973707" w:rsidP="00AF3D7A">
            <w:pPr>
              <w:spacing w:beforeLines="60" w:before="144" w:afterLines="60" w:after="144"/>
              <w:rPr>
                <w:rStyle w:val="InstructionsTabelleberschrift"/>
                <w:rFonts w:ascii="Times New Roman" w:hAnsi="Times New Roman"/>
                <w:sz w:val="24"/>
              </w:rPr>
            </w:pPr>
            <w:r w:rsidRPr="00D51A68">
              <w:rPr>
                <w:rStyle w:val="InstructionsTabelleberschrift"/>
                <w:rFonts w:ascii="Times New Roman" w:hAnsi="Times New Roman"/>
                <w:sz w:val="24"/>
              </w:rPr>
              <w:t>ATTIVITÀ E PASSIVITÀ VALUTATE AL FAIR VALUE (VALORE EQUO)</w:t>
            </w:r>
          </w:p>
          <w:p w:rsidR="00973707" w:rsidRPr="00D51A68" w:rsidRDefault="00973707" w:rsidP="00AF3D7A">
            <w:pPr>
              <w:spacing w:beforeLines="60" w:before="144" w:afterLines="60" w:after="144"/>
              <w:rPr>
                <w:rFonts w:ascii="Times New Roman" w:hAnsi="Times New Roman"/>
                <w:sz w:val="24"/>
              </w:rPr>
            </w:pPr>
            <w:r w:rsidRPr="00D51A68">
              <w:rPr>
                <w:rFonts w:ascii="Times New Roman" w:hAnsi="Times New Roman"/>
                <w:sz w:val="24"/>
              </w:rPr>
              <w:t xml:space="preserve">Il valore assoluto delle attività e delle passività valutate al fair value (valore equo) corrispondenti agli importi degli AVA indicati nelle righe da 0010 a 0130 e nella riga 0180. Per alcune righe, in particolare le righe da 0090 a 0130, tali importi potrebbero dover essere approssimati o assegnati sulla base della valutazione di esperti. </w:t>
            </w:r>
          </w:p>
          <w:p w:rsidR="00973707" w:rsidRPr="00D51A68" w:rsidRDefault="00973707" w:rsidP="00AF3D7A">
            <w:pPr>
              <w:spacing w:beforeLines="60" w:before="144" w:afterLines="60" w:after="144"/>
              <w:rPr>
                <w:rFonts w:ascii="Times New Roman" w:hAnsi="Times New Roman"/>
                <w:sz w:val="24"/>
              </w:rPr>
            </w:pPr>
            <w:r w:rsidRPr="00D51A68">
              <w:rPr>
                <w:rFonts w:ascii="Times New Roman" w:hAnsi="Times New Roman"/>
                <w:sz w:val="24"/>
              </w:rPr>
              <w:t>Riga 0010: Il valore assoluto totale delle attività e delle passività valutate al fair value (valore equo) incluse ai fini del computo della soglia a norma dell</w:t>
            </w:r>
            <w:r w:rsidR="0009277C" w:rsidRPr="00D51A68">
              <w:rPr>
                <w:rFonts w:ascii="Times New Roman" w:hAnsi="Times New Roman"/>
                <w:sz w:val="24"/>
              </w:rPr>
              <w:t>’</w:t>
            </w:r>
            <w:r w:rsidRPr="00D51A68">
              <w:rPr>
                <w:rFonts w:ascii="Times New Roman" w:hAnsi="Times New Roman"/>
                <w:sz w:val="24"/>
              </w:rPr>
              <w:t>articolo 4, paragrafo 1, del regolamento delegato (UE) 2016/101 sulla valutazione prudente. Esso include il valore assoluto delle attività e delle passività valutate al fair value (valore equo) per le quali gli AVA hanno valore zero a norma dell</w:t>
            </w:r>
            <w:r w:rsidR="0009277C" w:rsidRPr="00D51A68">
              <w:rPr>
                <w:rFonts w:ascii="Times New Roman" w:hAnsi="Times New Roman"/>
                <w:sz w:val="24"/>
              </w:rPr>
              <w:t>’</w:t>
            </w:r>
            <w:r w:rsidRPr="00D51A68">
              <w:rPr>
                <w:rFonts w:ascii="Times New Roman" w:hAnsi="Times New Roman"/>
                <w:sz w:val="24"/>
              </w:rPr>
              <w:t>articolo 9, paragrafo 2, o dell</w:t>
            </w:r>
            <w:r w:rsidR="0009277C" w:rsidRPr="00D51A68">
              <w:rPr>
                <w:rFonts w:ascii="Times New Roman" w:hAnsi="Times New Roman"/>
                <w:sz w:val="24"/>
              </w:rPr>
              <w:t>’</w:t>
            </w:r>
            <w:r w:rsidRPr="00D51A68">
              <w:rPr>
                <w:rFonts w:ascii="Times New Roman" w:hAnsi="Times New Roman"/>
                <w:sz w:val="24"/>
              </w:rPr>
              <w:t>articolo 10, paragrafo 2 o 3, del regolamento delegato (UE)</w:t>
            </w:r>
            <w:r w:rsidR="00BE76FD" w:rsidRPr="00D51A68">
              <w:rPr>
                <w:rFonts w:ascii="Times New Roman" w:hAnsi="Times New Roman"/>
                <w:sz w:val="24"/>
              </w:rPr>
              <w:t> </w:t>
            </w:r>
            <w:r w:rsidRPr="00D51A68">
              <w:rPr>
                <w:rFonts w:ascii="Times New Roman" w:hAnsi="Times New Roman"/>
                <w:sz w:val="24"/>
              </w:rPr>
              <w:t>2016/101 sulla valutazione prudente, che sono altresì indicate separatamente nelle righe 0070 e 0080.</w:t>
            </w:r>
            <w:r w:rsidR="00BE76FD" w:rsidRPr="00D51A68">
              <w:rPr>
                <w:rFonts w:ascii="Times New Roman" w:hAnsi="Times New Roman"/>
                <w:sz w:val="24"/>
              </w:rPr>
              <w:tab/>
            </w:r>
            <w:r w:rsidRPr="00D51A68">
              <w:rPr>
                <w:rFonts w:ascii="Times New Roman" w:hAnsi="Times New Roman"/>
                <w:sz w:val="24"/>
              </w:rPr>
              <w:t xml:space="preserve"> </w:t>
            </w:r>
            <w:r w:rsidRPr="00D51A68">
              <w:rPr>
                <w:rFonts w:ascii="Times New Roman" w:hAnsi="Times New Roman"/>
                <w:sz w:val="24"/>
              </w:rPr>
              <w:br/>
              <w:t xml:space="preserve">La riga 0010 è la somma delle righe 0030 e 0180. </w:t>
            </w:r>
          </w:p>
          <w:p w:rsidR="00973707" w:rsidRPr="00D51A68" w:rsidRDefault="00973707" w:rsidP="00AF3D7A">
            <w:pPr>
              <w:spacing w:beforeLines="60" w:before="144" w:afterLines="60" w:after="144"/>
              <w:rPr>
                <w:rFonts w:ascii="Times New Roman" w:hAnsi="Times New Roman"/>
                <w:sz w:val="24"/>
              </w:rPr>
            </w:pPr>
            <w:r w:rsidRPr="00D51A68">
              <w:rPr>
                <w:rFonts w:ascii="Times New Roman" w:hAnsi="Times New Roman"/>
                <w:sz w:val="24"/>
              </w:rPr>
              <w:t xml:space="preserve">Riga 0020: quota del valore assoluto totale delle attività e delle passività valutate al fair value (valore equo) indicate nella riga 0010 derivante da posizioni del portafoglio di negoziazione (valore assoluto). </w:t>
            </w:r>
          </w:p>
          <w:p w:rsidR="00973707" w:rsidRPr="00D51A68" w:rsidRDefault="00973707" w:rsidP="00AF3D7A">
            <w:pPr>
              <w:spacing w:beforeLines="60" w:before="144" w:afterLines="60" w:after="144"/>
              <w:rPr>
                <w:rFonts w:ascii="Times New Roman" w:hAnsi="Times New Roman"/>
                <w:sz w:val="24"/>
              </w:rPr>
            </w:pPr>
            <w:r w:rsidRPr="00D51A68">
              <w:rPr>
                <w:rFonts w:ascii="Times New Roman" w:hAnsi="Times New Roman"/>
                <w:sz w:val="24"/>
              </w:rPr>
              <w:t>Riga 0030: Il valore assoluto delle attività e delle passività valutate al fair value (valore equo) corrispondenti ai portafogli a norma degli articoli da 9 a 17 del regolamento delegato (UE) 2016/101 sulla valutazione prudente. Esso include il valore assoluto delle attività e delle passività valutate al fair value (valore equo) per le quali gli AVA hanno valore zero a norma dell</w:t>
            </w:r>
            <w:r w:rsidR="0009277C" w:rsidRPr="00D51A68">
              <w:rPr>
                <w:rFonts w:ascii="Times New Roman" w:hAnsi="Times New Roman"/>
                <w:sz w:val="24"/>
              </w:rPr>
              <w:t>’</w:t>
            </w:r>
            <w:r w:rsidRPr="00D51A68">
              <w:rPr>
                <w:rFonts w:ascii="Times New Roman" w:hAnsi="Times New Roman"/>
                <w:sz w:val="24"/>
              </w:rPr>
              <w:t>articolo 9, paragrafo 2, o dell</w:t>
            </w:r>
            <w:r w:rsidR="0009277C" w:rsidRPr="00D51A68">
              <w:rPr>
                <w:rFonts w:ascii="Times New Roman" w:hAnsi="Times New Roman"/>
                <w:sz w:val="24"/>
              </w:rPr>
              <w:t>’</w:t>
            </w:r>
            <w:r w:rsidRPr="00D51A68">
              <w:rPr>
                <w:rFonts w:ascii="Times New Roman" w:hAnsi="Times New Roman"/>
                <w:sz w:val="24"/>
              </w:rPr>
              <w:t>articolo 10, paragrafo 2 o 3, del regolamento delegato (UE) 2016/101 sulla valutazione prudente, che sono altresì indicate separatamente nelle righe 0070 e 0080. La riga 0030 è la somma delle righe da 0090 a 0130.</w:t>
            </w:r>
          </w:p>
          <w:p w:rsidR="00973707" w:rsidRPr="00D51A68" w:rsidRDefault="00973707" w:rsidP="00AF3D7A">
            <w:pPr>
              <w:spacing w:beforeLines="60" w:before="144" w:afterLines="60" w:after="144"/>
              <w:rPr>
                <w:rFonts w:ascii="Times New Roman" w:hAnsi="Times New Roman"/>
                <w:sz w:val="24"/>
              </w:rPr>
            </w:pPr>
            <w:r w:rsidRPr="00D51A68">
              <w:rPr>
                <w:rFonts w:ascii="Times New Roman" w:hAnsi="Times New Roman"/>
                <w:sz w:val="24"/>
              </w:rPr>
              <w:t>Riga 0050: Il valore assoluto delle attività e delle passività valutate al fair value (valore equo) incluse ai fini del computo dell</w:t>
            </w:r>
            <w:r w:rsidR="0009277C" w:rsidRPr="00D51A68">
              <w:rPr>
                <w:rFonts w:ascii="Times New Roman" w:hAnsi="Times New Roman"/>
                <w:sz w:val="24"/>
              </w:rPr>
              <w:t>’</w:t>
            </w:r>
            <w:r w:rsidRPr="00D51A68">
              <w:rPr>
                <w:rFonts w:ascii="Times New Roman" w:hAnsi="Times New Roman"/>
                <w:sz w:val="24"/>
              </w:rPr>
              <w:t>AVA per i differenziali creditizi non realizzati. Ai fini del computo di questo AVA, le attività e le passività valutate al fair value (valore equo) di segno opposto perfettamente corrispondenti, escluse dal computo della soglia a norma dell</w:t>
            </w:r>
            <w:r w:rsidR="0009277C" w:rsidRPr="00D51A68">
              <w:rPr>
                <w:rFonts w:ascii="Times New Roman" w:hAnsi="Times New Roman"/>
                <w:sz w:val="24"/>
              </w:rPr>
              <w:t>’</w:t>
            </w:r>
            <w:r w:rsidRPr="00D51A68">
              <w:rPr>
                <w:rFonts w:ascii="Times New Roman" w:hAnsi="Times New Roman"/>
                <w:sz w:val="24"/>
              </w:rPr>
              <w:t xml:space="preserve">articolo 4, paragrafo 2, del regolamento delegato (UE) 2016/101 sulla valutazione prudente, non possono più essere considerate di segno opposto perfettamente corrispondenti. </w:t>
            </w:r>
          </w:p>
          <w:p w:rsidR="00973707" w:rsidRPr="00D51A68" w:rsidRDefault="00973707" w:rsidP="00AF3D7A">
            <w:pPr>
              <w:spacing w:beforeLines="60" w:before="144" w:afterLines="60" w:after="144"/>
              <w:rPr>
                <w:rFonts w:ascii="Times New Roman" w:hAnsi="Times New Roman"/>
                <w:sz w:val="24"/>
              </w:rPr>
            </w:pPr>
            <w:r w:rsidRPr="00D51A68">
              <w:rPr>
                <w:rFonts w:ascii="Times New Roman" w:hAnsi="Times New Roman"/>
                <w:sz w:val="24"/>
              </w:rPr>
              <w:t>Riga 0060: Il valore assoluto delle attività e delle passività valutate al fair value (valore equo) incluse ai fini del computo dell</w:t>
            </w:r>
            <w:r w:rsidR="0009277C" w:rsidRPr="00D51A68">
              <w:rPr>
                <w:rFonts w:ascii="Times New Roman" w:hAnsi="Times New Roman"/>
                <w:sz w:val="24"/>
              </w:rPr>
              <w:t>’</w:t>
            </w:r>
            <w:r w:rsidRPr="00D51A68">
              <w:rPr>
                <w:rFonts w:ascii="Times New Roman" w:hAnsi="Times New Roman"/>
                <w:sz w:val="24"/>
              </w:rPr>
              <w:t>AVA per i costi di investimento e di finanziamento (funding). Ai fini del computo di questo AVA, le attività e le passività valutate al fair value (valore equo) di segno opposto perfettamente corrispondenti, escluse dal computo della soglia a norma dell</w:t>
            </w:r>
            <w:r w:rsidR="0009277C" w:rsidRPr="00D51A68">
              <w:rPr>
                <w:rFonts w:ascii="Times New Roman" w:hAnsi="Times New Roman"/>
                <w:sz w:val="24"/>
              </w:rPr>
              <w:t>’</w:t>
            </w:r>
            <w:r w:rsidRPr="00D51A68">
              <w:rPr>
                <w:rFonts w:ascii="Times New Roman" w:hAnsi="Times New Roman"/>
                <w:sz w:val="24"/>
              </w:rPr>
              <w:t>articolo 4</w:t>
            </w:r>
            <w:r w:rsidR="00BE76FD" w:rsidRPr="00D51A68">
              <w:rPr>
                <w:rFonts w:ascii="Times New Roman" w:hAnsi="Times New Roman"/>
                <w:sz w:val="24"/>
              </w:rPr>
              <w:t>, paragrafo </w:t>
            </w:r>
            <w:r w:rsidRPr="00D51A68">
              <w:rPr>
                <w:rFonts w:ascii="Times New Roman" w:hAnsi="Times New Roman"/>
                <w:sz w:val="24"/>
              </w:rPr>
              <w:t xml:space="preserve">2, del regolamento delegato (UE) 2016/101 sulla valutazione prudente, non possono più essere considerate di segno opposto perfettamente corrispondenti. </w:t>
            </w:r>
          </w:p>
          <w:p w:rsidR="00973707" w:rsidRPr="00D51A68" w:rsidRDefault="00973707" w:rsidP="00AF3D7A">
            <w:pPr>
              <w:spacing w:beforeLines="60" w:before="144" w:afterLines="60" w:after="144"/>
              <w:rPr>
                <w:rFonts w:ascii="Times New Roman" w:hAnsi="Times New Roman"/>
                <w:sz w:val="24"/>
              </w:rPr>
            </w:pPr>
            <w:r w:rsidRPr="00D51A68">
              <w:rPr>
                <w:rFonts w:ascii="Times New Roman" w:hAnsi="Times New Roman"/>
                <w:sz w:val="24"/>
              </w:rPr>
              <w:t>Riga 0070: Il valore assoluto delle attività e delle passività valutate al fair value (valore equo) corrispondenti alle esposizioni oggetto di valutazione per le quali l</w:t>
            </w:r>
            <w:r w:rsidR="0009277C" w:rsidRPr="00D51A68">
              <w:rPr>
                <w:rFonts w:ascii="Times New Roman" w:hAnsi="Times New Roman"/>
                <w:sz w:val="24"/>
              </w:rPr>
              <w:t>’</w:t>
            </w:r>
            <w:r w:rsidRPr="00D51A68">
              <w:rPr>
                <w:rFonts w:ascii="Times New Roman" w:hAnsi="Times New Roman"/>
                <w:sz w:val="24"/>
              </w:rPr>
              <w:t>AVA ha valore zero a norma dell</w:t>
            </w:r>
            <w:r w:rsidR="0009277C" w:rsidRPr="00D51A68">
              <w:rPr>
                <w:rFonts w:ascii="Times New Roman" w:hAnsi="Times New Roman"/>
                <w:sz w:val="24"/>
              </w:rPr>
              <w:t>’</w:t>
            </w:r>
            <w:r w:rsidRPr="00D51A68">
              <w:rPr>
                <w:rFonts w:ascii="Times New Roman" w:hAnsi="Times New Roman"/>
                <w:sz w:val="24"/>
              </w:rPr>
              <w:t xml:space="preserve">articolo 9, paragrafo 2, del regolamento delegato (UE) 2016/101 sulla valutazione prudente. </w:t>
            </w:r>
          </w:p>
          <w:p w:rsidR="00973707" w:rsidRPr="00D51A68" w:rsidRDefault="00973707" w:rsidP="00AF3D7A">
            <w:pPr>
              <w:spacing w:beforeLines="60" w:before="144" w:afterLines="60" w:after="144"/>
              <w:rPr>
                <w:rFonts w:ascii="Times New Roman" w:hAnsi="Times New Roman"/>
                <w:sz w:val="24"/>
              </w:rPr>
            </w:pPr>
            <w:r w:rsidRPr="00D51A68">
              <w:rPr>
                <w:rFonts w:ascii="Times New Roman" w:hAnsi="Times New Roman"/>
                <w:sz w:val="24"/>
              </w:rPr>
              <w:t>Riga 0080: Il valore assoluto delle attività e delle passività valutate al fair value (valore equo) corrispondenti alle esposizioni oggetto di valutazione per le quali l</w:t>
            </w:r>
            <w:r w:rsidR="0009277C" w:rsidRPr="00D51A68">
              <w:rPr>
                <w:rFonts w:ascii="Times New Roman" w:hAnsi="Times New Roman"/>
                <w:sz w:val="24"/>
              </w:rPr>
              <w:t>’</w:t>
            </w:r>
            <w:r w:rsidRPr="00D51A68">
              <w:rPr>
                <w:rFonts w:ascii="Times New Roman" w:hAnsi="Times New Roman"/>
                <w:sz w:val="24"/>
              </w:rPr>
              <w:t>AVA ha valore zero a norma dell</w:t>
            </w:r>
            <w:r w:rsidR="0009277C" w:rsidRPr="00D51A68">
              <w:rPr>
                <w:rFonts w:ascii="Times New Roman" w:hAnsi="Times New Roman"/>
                <w:sz w:val="24"/>
              </w:rPr>
              <w:t>’</w:t>
            </w:r>
            <w:r w:rsidRPr="00D51A68">
              <w:rPr>
                <w:rFonts w:ascii="Times New Roman" w:hAnsi="Times New Roman"/>
                <w:sz w:val="24"/>
              </w:rPr>
              <w:t xml:space="preserve">articolo 10, paragrafo 2 o 3, del regolamento delegato (UE) 2016/101 sulla valutazione prudente. </w:t>
            </w:r>
          </w:p>
          <w:p w:rsidR="00973707" w:rsidRPr="00D51A68" w:rsidRDefault="00973707" w:rsidP="00AF3D7A">
            <w:pPr>
              <w:spacing w:beforeLines="60" w:before="144" w:afterLines="60" w:after="144"/>
              <w:rPr>
                <w:rFonts w:ascii="Times New Roman" w:hAnsi="Times New Roman"/>
                <w:sz w:val="24"/>
              </w:rPr>
            </w:pPr>
            <w:r w:rsidRPr="00D51A68">
              <w:rPr>
                <w:rFonts w:ascii="Times New Roman" w:hAnsi="Times New Roman"/>
                <w:sz w:val="24"/>
              </w:rPr>
              <w:t>Righe da 0090 a 0130: Il valore assoluto delle attività e delle passività valutate al fair value (valore equo) assegnato come indicato sotto (cfr. le istruzioni delle righe corrispondenti) in base alle seguenti categorie di rischio: tassi di interesse, cambio, credito, strumenti di capitale e merci. Esso include il valore assoluto delle attività e delle passività valutate al fair value (valore equo) per le quali gli AVA hanno valore zero a norma dell</w:t>
            </w:r>
            <w:r w:rsidR="0009277C" w:rsidRPr="00D51A68">
              <w:rPr>
                <w:rFonts w:ascii="Times New Roman" w:hAnsi="Times New Roman"/>
                <w:sz w:val="24"/>
              </w:rPr>
              <w:t>’</w:t>
            </w:r>
            <w:r w:rsidRPr="00D51A68">
              <w:rPr>
                <w:rFonts w:ascii="Times New Roman" w:hAnsi="Times New Roman"/>
                <w:sz w:val="24"/>
              </w:rPr>
              <w:t>articolo 9, paragrafo 2, o dell</w:t>
            </w:r>
            <w:r w:rsidR="0009277C" w:rsidRPr="00D51A68">
              <w:rPr>
                <w:rFonts w:ascii="Times New Roman" w:hAnsi="Times New Roman"/>
                <w:sz w:val="24"/>
              </w:rPr>
              <w:t>’</w:t>
            </w:r>
            <w:r w:rsidRPr="00D51A68">
              <w:rPr>
                <w:rFonts w:ascii="Times New Roman" w:hAnsi="Times New Roman"/>
                <w:sz w:val="24"/>
              </w:rPr>
              <w:t>articolo 10, paragrafo 2 o 3, del regolamento delegato (UE) 2016/101 sulla valutazione prudente, che sono altresì indicate separatamente nelle righe 0070 e 0080.</w:t>
            </w:r>
          </w:p>
          <w:p w:rsidR="00973707" w:rsidRPr="00D51A68" w:rsidRDefault="00973707" w:rsidP="00AF3D7A">
            <w:pPr>
              <w:spacing w:beforeLines="60" w:before="144" w:afterLines="60" w:after="144"/>
              <w:rPr>
                <w:rFonts w:ascii="Times New Roman" w:hAnsi="Times New Roman"/>
                <w:sz w:val="24"/>
              </w:rPr>
            </w:pPr>
            <w:r w:rsidRPr="00D51A68">
              <w:rPr>
                <w:rFonts w:ascii="Times New Roman" w:hAnsi="Times New Roman"/>
                <w:sz w:val="24"/>
              </w:rPr>
              <w:t>Riga 0180: Il valore assoluto delle attività e delle passività valutate al fair value (valore equo) corrispondenti ai portafogli secondo l</w:t>
            </w:r>
            <w:r w:rsidR="0009277C" w:rsidRPr="00D51A68">
              <w:rPr>
                <w:rFonts w:ascii="Times New Roman" w:hAnsi="Times New Roman"/>
                <w:sz w:val="24"/>
              </w:rPr>
              <w:t>’</w:t>
            </w:r>
            <w:r w:rsidRPr="00D51A68">
              <w:rPr>
                <w:rFonts w:ascii="Times New Roman" w:hAnsi="Times New Roman"/>
                <w:sz w:val="24"/>
              </w:rPr>
              <w:t xml:space="preserve">approccio alternativo </w:t>
            </w:r>
          </w:p>
        </w:tc>
      </w:tr>
      <w:tr w:rsidR="00973707" w:rsidRPr="00D51A68" w:rsidTr="00672D2A">
        <w:tc>
          <w:tcPr>
            <w:tcW w:w="1101" w:type="dxa"/>
          </w:tcPr>
          <w:p w:rsidR="00973707" w:rsidRPr="00D51A68" w:rsidRDefault="009A7A38" w:rsidP="00AF3D7A">
            <w:pPr>
              <w:spacing w:beforeLines="60" w:before="144" w:afterLines="60" w:after="144"/>
              <w:rPr>
                <w:rFonts w:ascii="Times New Roman" w:hAnsi="Times New Roman"/>
                <w:sz w:val="24"/>
              </w:rPr>
            </w:pPr>
            <w:r w:rsidRPr="00D51A68">
              <w:rPr>
                <w:rFonts w:ascii="Times New Roman" w:hAnsi="Times New Roman"/>
                <w:sz w:val="24"/>
              </w:rPr>
              <w:t>0130</w:t>
            </w:r>
          </w:p>
        </w:tc>
        <w:tc>
          <w:tcPr>
            <w:tcW w:w="8190" w:type="dxa"/>
          </w:tcPr>
          <w:p w:rsidR="00973707" w:rsidRPr="00D51A68" w:rsidRDefault="00973707" w:rsidP="00AF3D7A">
            <w:pPr>
              <w:spacing w:beforeLines="60" w:before="144" w:afterLines="60" w:after="144"/>
              <w:rPr>
                <w:rStyle w:val="InstructionsTabelleberschrift"/>
                <w:rFonts w:ascii="Times New Roman" w:hAnsi="Times New Roman"/>
                <w:sz w:val="24"/>
              </w:rPr>
            </w:pPr>
            <w:r w:rsidRPr="00D51A68">
              <w:rPr>
                <w:rStyle w:val="InstructionsTabelleberschrift"/>
                <w:rFonts w:ascii="Times New Roman" w:hAnsi="Times New Roman"/>
                <w:sz w:val="24"/>
              </w:rPr>
              <w:t>ATTIVITÀ VALUTATE AL FAIR VALUE (VALORE EQUO)</w:t>
            </w:r>
          </w:p>
          <w:p w:rsidR="00973707" w:rsidRPr="00D51A68" w:rsidRDefault="00973707" w:rsidP="00AF3D7A">
            <w:pPr>
              <w:spacing w:beforeLines="60" w:before="144" w:afterLines="60" w:after="144"/>
              <w:rPr>
                <w:rStyle w:val="InstructionsTabelleberschrift"/>
                <w:rFonts w:ascii="Times New Roman" w:hAnsi="Times New Roman"/>
                <w:sz w:val="24"/>
                <w:u w:val="none"/>
              </w:rPr>
            </w:pPr>
            <w:r w:rsidRPr="00D51A68">
              <w:rPr>
                <w:rFonts w:ascii="Times New Roman" w:hAnsi="Times New Roman"/>
                <w:sz w:val="24"/>
              </w:rPr>
              <w:t>Il valore assoluto delle attività valutate al fair value (valore equo) corrispondenti alle diverse righe come spiegato nelle istruzioni relative alle colonne da 0130</w:t>
            </w:r>
            <w:r w:rsidR="00BE76FD" w:rsidRPr="00D51A68">
              <w:rPr>
                <w:rFonts w:ascii="Times New Roman" w:hAnsi="Times New Roman"/>
                <w:sz w:val="24"/>
              </w:rPr>
              <w:t xml:space="preserve"> a </w:t>
            </w:r>
            <w:r w:rsidRPr="00D51A68">
              <w:rPr>
                <w:rFonts w:ascii="Times New Roman" w:hAnsi="Times New Roman"/>
                <w:sz w:val="24"/>
              </w:rPr>
              <w:t>0140 di cui sopra.</w:t>
            </w:r>
          </w:p>
        </w:tc>
      </w:tr>
      <w:tr w:rsidR="00973707" w:rsidRPr="00D51A68" w:rsidTr="00672D2A">
        <w:tc>
          <w:tcPr>
            <w:tcW w:w="1101" w:type="dxa"/>
          </w:tcPr>
          <w:p w:rsidR="00973707" w:rsidRPr="00D51A68" w:rsidRDefault="009A7A38" w:rsidP="00AF3D7A">
            <w:pPr>
              <w:spacing w:beforeLines="60" w:before="144" w:afterLines="60" w:after="144"/>
              <w:rPr>
                <w:rFonts w:ascii="Times New Roman" w:hAnsi="Times New Roman"/>
                <w:sz w:val="24"/>
              </w:rPr>
            </w:pPr>
            <w:r w:rsidRPr="00D51A68">
              <w:rPr>
                <w:rFonts w:ascii="Times New Roman" w:hAnsi="Times New Roman"/>
                <w:sz w:val="24"/>
              </w:rPr>
              <w:t>0140</w:t>
            </w:r>
          </w:p>
        </w:tc>
        <w:tc>
          <w:tcPr>
            <w:tcW w:w="8190" w:type="dxa"/>
          </w:tcPr>
          <w:p w:rsidR="00973707" w:rsidRPr="00D51A68" w:rsidRDefault="00973707" w:rsidP="00AF3D7A">
            <w:pPr>
              <w:tabs>
                <w:tab w:val="center" w:pos="3894"/>
              </w:tabs>
              <w:spacing w:beforeLines="60" w:before="144" w:afterLines="60" w:after="144"/>
              <w:rPr>
                <w:rStyle w:val="InstructionsTabelleberschrift"/>
                <w:rFonts w:ascii="Times New Roman" w:hAnsi="Times New Roman"/>
                <w:sz w:val="24"/>
              </w:rPr>
            </w:pPr>
            <w:r w:rsidRPr="00D51A68">
              <w:rPr>
                <w:rStyle w:val="InstructionsTabelleberschrift"/>
                <w:rFonts w:ascii="Times New Roman" w:hAnsi="Times New Roman"/>
                <w:sz w:val="24"/>
              </w:rPr>
              <w:t>PASSIVITÀ VALUTATE AL FAIR VALUE (VALORE EQUO)</w:t>
            </w:r>
          </w:p>
          <w:p w:rsidR="00973707" w:rsidRPr="00D51A68" w:rsidRDefault="00973707" w:rsidP="00AF3D7A">
            <w:pPr>
              <w:spacing w:beforeLines="60" w:before="144" w:afterLines="60" w:after="144"/>
              <w:rPr>
                <w:rStyle w:val="InstructionsTabelleberschrift"/>
                <w:rFonts w:ascii="Times New Roman" w:hAnsi="Times New Roman"/>
                <w:sz w:val="24"/>
              </w:rPr>
            </w:pPr>
            <w:r w:rsidRPr="00D51A68">
              <w:rPr>
                <w:rFonts w:ascii="Times New Roman" w:hAnsi="Times New Roman"/>
                <w:sz w:val="24"/>
              </w:rPr>
              <w:t>Il valore assoluto delle passività valutate al fair value (valore equo) corrispondenti alle diverse righe come spiegato nelle istruzioni relative alle colonne da 0130</w:t>
            </w:r>
            <w:r w:rsidR="00BE76FD" w:rsidRPr="00D51A68">
              <w:rPr>
                <w:rFonts w:ascii="Times New Roman" w:hAnsi="Times New Roman"/>
                <w:sz w:val="24"/>
              </w:rPr>
              <w:t xml:space="preserve"> a </w:t>
            </w:r>
            <w:r w:rsidRPr="00D51A68">
              <w:rPr>
                <w:rFonts w:ascii="Times New Roman" w:hAnsi="Times New Roman"/>
                <w:sz w:val="24"/>
              </w:rPr>
              <w:t>0140 di cui sopra.</w:t>
            </w:r>
          </w:p>
        </w:tc>
      </w:tr>
      <w:tr w:rsidR="00973707" w:rsidRPr="00D51A68" w:rsidTr="00672D2A">
        <w:tc>
          <w:tcPr>
            <w:tcW w:w="1101" w:type="dxa"/>
          </w:tcPr>
          <w:p w:rsidR="00973707" w:rsidRPr="00D51A68" w:rsidRDefault="009A7A38" w:rsidP="00AF3D7A">
            <w:pPr>
              <w:spacing w:beforeLines="60" w:before="144" w:afterLines="60" w:after="144"/>
              <w:rPr>
                <w:rFonts w:ascii="Times New Roman" w:hAnsi="Times New Roman"/>
                <w:sz w:val="24"/>
              </w:rPr>
            </w:pPr>
            <w:r w:rsidRPr="00D51A68">
              <w:rPr>
                <w:rFonts w:ascii="Times New Roman" w:hAnsi="Times New Roman"/>
                <w:sz w:val="24"/>
              </w:rPr>
              <w:t>0150</w:t>
            </w:r>
          </w:p>
        </w:tc>
        <w:tc>
          <w:tcPr>
            <w:tcW w:w="8190" w:type="dxa"/>
          </w:tcPr>
          <w:p w:rsidR="00973707" w:rsidRPr="00D51A68" w:rsidRDefault="00973707" w:rsidP="00AF3D7A">
            <w:pPr>
              <w:spacing w:beforeLines="60" w:before="144" w:afterLines="60" w:after="144"/>
              <w:rPr>
                <w:rStyle w:val="InstructionsTabelleberschrift"/>
                <w:rFonts w:ascii="Times New Roman" w:hAnsi="Times New Roman"/>
                <w:sz w:val="24"/>
              </w:rPr>
            </w:pPr>
            <w:r w:rsidRPr="00D51A68">
              <w:rPr>
                <w:rStyle w:val="InstructionsTabelleberschrift"/>
                <w:rFonts w:ascii="Times New Roman" w:hAnsi="Times New Roman"/>
                <w:sz w:val="24"/>
              </w:rPr>
              <w:t>RICAVI QTD</w:t>
            </w:r>
          </w:p>
          <w:p w:rsidR="00973707" w:rsidRPr="00D51A68" w:rsidRDefault="00973707" w:rsidP="00AF3D7A">
            <w:pPr>
              <w:spacing w:beforeLines="60" w:before="144" w:afterLines="60" w:after="144"/>
              <w:rPr>
                <w:rFonts w:ascii="Times New Roman" w:hAnsi="Times New Roman"/>
                <w:sz w:val="24"/>
              </w:rPr>
            </w:pPr>
            <w:r w:rsidRPr="00D51A68">
              <w:rPr>
                <w:rFonts w:ascii="Times New Roman" w:hAnsi="Times New Roman"/>
                <w:sz w:val="24"/>
              </w:rPr>
              <w:t>I ricavi quarter-to-date (ricavi QTD) dall</w:t>
            </w:r>
            <w:r w:rsidR="0009277C" w:rsidRPr="00D51A68">
              <w:rPr>
                <w:rFonts w:ascii="Times New Roman" w:hAnsi="Times New Roman"/>
                <w:sz w:val="24"/>
              </w:rPr>
              <w:t>’</w:t>
            </w:r>
            <w:r w:rsidRPr="00D51A68">
              <w:rPr>
                <w:rFonts w:ascii="Times New Roman" w:hAnsi="Times New Roman"/>
                <w:sz w:val="24"/>
              </w:rPr>
              <w:t>ultima data di riferimento per le segnalazioni attribuiti alle attività e alle passività valutate al fair value (valore equo) corrispondenti alle diverse righe come spiegato nelle istruzioni relative alle colonne da 0130 a 0140 di cui sopra, ove pertinente assegnati o approssimati sulla base della valutazione di esperti.</w:t>
            </w:r>
          </w:p>
        </w:tc>
      </w:tr>
      <w:tr w:rsidR="00973707" w:rsidRPr="00D51A68" w:rsidTr="00672D2A">
        <w:tc>
          <w:tcPr>
            <w:tcW w:w="1101" w:type="dxa"/>
          </w:tcPr>
          <w:p w:rsidR="00973707" w:rsidRPr="00D51A68" w:rsidRDefault="009A7A38" w:rsidP="00AF3D7A">
            <w:pPr>
              <w:spacing w:beforeLines="60" w:before="144" w:afterLines="60" w:after="144"/>
              <w:rPr>
                <w:rFonts w:ascii="Times New Roman" w:hAnsi="Times New Roman"/>
                <w:sz w:val="24"/>
              </w:rPr>
            </w:pPr>
            <w:r w:rsidRPr="00D51A68">
              <w:rPr>
                <w:rFonts w:ascii="Times New Roman" w:hAnsi="Times New Roman"/>
                <w:sz w:val="24"/>
              </w:rPr>
              <w:t>0160</w:t>
            </w:r>
          </w:p>
        </w:tc>
        <w:tc>
          <w:tcPr>
            <w:tcW w:w="8190" w:type="dxa"/>
          </w:tcPr>
          <w:p w:rsidR="00973707" w:rsidRPr="00D51A68" w:rsidRDefault="00973707" w:rsidP="00AF3D7A">
            <w:pPr>
              <w:spacing w:beforeLines="60" w:before="144" w:afterLines="60" w:after="144"/>
              <w:rPr>
                <w:rStyle w:val="InstructionsTabelleberschrift"/>
                <w:rFonts w:ascii="Times New Roman" w:hAnsi="Times New Roman"/>
                <w:sz w:val="24"/>
              </w:rPr>
            </w:pPr>
            <w:r w:rsidRPr="00D51A68">
              <w:rPr>
                <w:rStyle w:val="InstructionsTabelleberschrift"/>
                <w:rFonts w:ascii="Times New Roman" w:hAnsi="Times New Roman"/>
                <w:sz w:val="24"/>
              </w:rPr>
              <w:t>DIFFERENZA IPV</w:t>
            </w:r>
          </w:p>
          <w:p w:rsidR="00973707" w:rsidRPr="00D51A68" w:rsidRDefault="00973707" w:rsidP="00AF3D7A">
            <w:pPr>
              <w:spacing w:beforeLines="60" w:before="144" w:afterLines="60" w:after="144"/>
              <w:rPr>
                <w:rStyle w:val="InstructionsTabelleberschrift"/>
                <w:rFonts w:ascii="Times New Roman" w:hAnsi="Times New Roman"/>
                <w:b w:val="0"/>
                <w:sz w:val="24"/>
                <w:u w:val="none"/>
              </w:rPr>
            </w:pPr>
            <w:r w:rsidRPr="00D51A68">
              <w:rPr>
                <w:rStyle w:val="InstructionsTabelleberschrift"/>
                <w:rFonts w:ascii="Times New Roman" w:hAnsi="Times New Roman"/>
                <w:b w:val="0"/>
                <w:sz w:val="24"/>
                <w:u w:val="none"/>
              </w:rPr>
              <w:t>La somma per tutte le posizioni e i fattori di rischio dei differenziali non aggiustati (</w:t>
            </w:r>
            <w:r w:rsidR="0009277C" w:rsidRPr="00D51A68">
              <w:rPr>
                <w:rStyle w:val="InstructionsTabelleberschrift"/>
                <w:rFonts w:ascii="Times New Roman" w:hAnsi="Times New Roman"/>
                <w:b w:val="0"/>
                <w:sz w:val="24"/>
                <w:u w:val="none"/>
              </w:rPr>
              <w:t>“</w:t>
            </w:r>
            <w:r w:rsidRPr="00D51A68">
              <w:rPr>
                <w:rStyle w:val="InstructionsTabelleberschrift"/>
                <w:rFonts w:ascii="Times New Roman" w:hAnsi="Times New Roman"/>
                <w:b w:val="0"/>
                <w:sz w:val="24"/>
                <w:u w:val="none"/>
              </w:rPr>
              <w:t>differenza IPV) calcolati alla fine del mese più vicina alla data di riferimento per le segnalazioni nel quadro del processo di verifica indipendente dei prezzi di cui all</w:t>
            </w:r>
            <w:r w:rsidR="0009277C" w:rsidRPr="00D51A68">
              <w:rPr>
                <w:rStyle w:val="InstructionsTabelleberschrift"/>
                <w:rFonts w:ascii="Times New Roman" w:hAnsi="Times New Roman"/>
                <w:b w:val="0"/>
                <w:sz w:val="24"/>
                <w:u w:val="none"/>
              </w:rPr>
              <w:t>’</w:t>
            </w:r>
            <w:r w:rsidRPr="00D51A68">
              <w:rPr>
                <w:rStyle w:val="InstructionsTabelleberschrift"/>
                <w:rFonts w:ascii="Times New Roman" w:hAnsi="Times New Roman"/>
                <w:b w:val="0"/>
                <w:sz w:val="24"/>
                <w:u w:val="none"/>
              </w:rPr>
              <w:t xml:space="preserve">articolo 105, paragrafo 8, del CRR, utilizzando i migliori dati indipendenti disponibili per la posizione o il fattore di rischio pertinente. </w:t>
            </w:r>
          </w:p>
          <w:p w:rsidR="00973707" w:rsidRPr="00D51A68" w:rsidRDefault="00973707" w:rsidP="00AF3D7A">
            <w:pPr>
              <w:spacing w:beforeLines="60" w:before="144" w:afterLines="60" w:after="144"/>
              <w:rPr>
                <w:rStyle w:val="InstructionsTabelleberschrift"/>
                <w:rFonts w:ascii="Times New Roman" w:hAnsi="Times New Roman"/>
                <w:b w:val="0"/>
                <w:sz w:val="24"/>
                <w:u w:val="none"/>
              </w:rPr>
            </w:pPr>
            <w:r w:rsidRPr="00D51A68">
              <w:rPr>
                <w:rStyle w:val="InstructionsTabelleberschrift"/>
                <w:rFonts w:ascii="Times New Roman" w:hAnsi="Times New Roman"/>
                <w:b w:val="0"/>
                <w:sz w:val="24"/>
                <w:u w:val="none"/>
              </w:rPr>
              <w:t xml:space="preserve">Per differenziali non aggiustati si intendono le differenze non aggiustate tra le valutazioni generate dal sistema di negoziazione e le valutazioni prodotte dal processo IPV mensile </w:t>
            </w:r>
          </w:p>
          <w:p w:rsidR="00973707" w:rsidRPr="00D51A68" w:rsidRDefault="004D2753" w:rsidP="004D2753">
            <w:pPr>
              <w:spacing w:beforeLines="60" w:before="144" w:afterLines="60" w:after="144"/>
              <w:rPr>
                <w:rStyle w:val="InstructionsTabelleberschrift"/>
                <w:rFonts w:ascii="Times New Roman" w:hAnsi="Times New Roman"/>
                <w:b w:val="0"/>
                <w:sz w:val="24"/>
                <w:u w:val="none"/>
              </w:rPr>
            </w:pPr>
            <w:r w:rsidRPr="00D51A68">
              <w:rPr>
                <w:rStyle w:val="InstructionsTabelleberschrift"/>
                <w:rFonts w:ascii="Times New Roman" w:hAnsi="Times New Roman"/>
                <w:b w:val="0"/>
                <w:sz w:val="24"/>
                <w:u w:val="none"/>
              </w:rPr>
              <w:t>I differenziali aggiustati nei libri e nella contabilità dell</w:t>
            </w:r>
            <w:r w:rsidR="0009277C" w:rsidRPr="00D51A68">
              <w:rPr>
                <w:rStyle w:val="InstructionsTabelleberschrift"/>
                <w:rFonts w:ascii="Times New Roman" w:hAnsi="Times New Roman"/>
                <w:b w:val="0"/>
                <w:sz w:val="24"/>
                <w:u w:val="none"/>
              </w:rPr>
              <w:t>’</w:t>
            </w:r>
            <w:r w:rsidRPr="00D51A68">
              <w:rPr>
                <w:rStyle w:val="InstructionsTabelleberschrift"/>
                <w:rFonts w:ascii="Times New Roman" w:hAnsi="Times New Roman"/>
                <w:b w:val="0"/>
                <w:sz w:val="24"/>
                <w:u w:val="none"/>
              </w:rPr>
              <w:t>ente per la data di fine mese pertinente non sono inclusi ai fini del calcolo della differenza IPV.</w:t>
            </w:r>
          </w:p>
        </w:tc>
      </w:tr>
      <w:tr w:rsidR="00973707" w:rsidRPr="00D51A68" w:rsidTr="00672D2A">
        <w:tc>
          <w:tcPr>
            <w:tcW w:w="1101" w:type="dxa"/>
          </w:tcPr>
          <w:p w:rsidR="00973707" w:rsidRPr="00D51A68" w:rsidRDefault="009A7A38" w:rsidP="009A7A38">
            <w:pPr>
              <w:spacing w:beforeLines="60" w:before="144" w:afterLines="60" w:after="144"/>
              <w:rPr>
                <w:rFonts w:ascii="Times New Roman" w:hAnsi="Times New Roman"/>
                <w:sz w:val="24"/>
              </w:rPr>
            </w:pPr>
            <w:r w:rsidRPr="00D51A68">
              <w:rPr>
                <w:rFonts w:ascii="Times New Roman" w:hAnsi="Times New Roman"/>
                <w:sz w:val="24"/>
              </w:rPr>
              <w:t>0170 - 0250</w:t>
            </w:r>
          </w:p>
        </w:tc>
        <w:tc>
          <w:tcPr>
            <w:tcW w:w="8190" w:type="dxa"/>
          </w:tcPr>
          <w:p w:rsidR="00973707" w:rsidRPr="00D51A68" w:rsidRDefault="00973707" w:rsidP="00AF3D7A">
            <w:pPr>
              <w:spacing w:beforeLines="60" w:before="144" w:afterLines="60" w:after="144"/>
              <w:rPr>
                <w:rStyle w:val="InstructionsTabelleberschrift"/>
                <w:rFonts w:ascii="Times New Roman" w:hAnsi="Times New Roman"/>
                <w:sz w:val="24"/>
              </w:rPr>
            </w:pPr>
            <w:r w:rsidRPr="00D51A68">
              <w:rPr>
                <w:rStyle w:val="InstructionsTabelleberschrift"/>
                <w:rFonts w:ascii="Times New Roman" w:hAnsi="Times New Roman"/>
                <w:sz w:val="24"/>
              </w:rPr>
              <w:t>RETTIFICHE DEL VALORE EQUO</w:t>
            </w:r>
          </w:p>
          <w:p w:rsidR="001B1531" w:rsidRPr="00D51A68" w:rsidRDefault="00973707" w:rsidP="001B1531">
            <w:pPr>
              <w:spacing w:beforeLines="60" w:before="144" w:afterLines="60" w:after="144"/>
              <w:rPr>
                <w:rStyle w:val="InstructionsTabelleberschrift"/>
                <w:rFonts w:ascii="Times New Roman" w:hAnsi="Times New Roman"/>
                <w:b w:val="0"/>
                <w:sz w:val="24"/>
                <w:u w:val="none"/>
              </w:rPr>
            </w:pPr>
            <w:r w:rsidRPr="00D51A68">
              <w:rPr>
                <w:rStyle w:val="InstructionsTabelleberschrift"/>
                <w:rFonts w:ascii="Times New Roman" w:hAnsi="Times New Roman"/>
                <w:b w:val="0"/>
                <w:sz w:val="24"/>
                <w:u w:val="none"/>
              </w:rPr>
              <w:t xml:space="preserve">Le rettifiche, talora definite </w:t>
            </w:r>
            <w:r w:rsidR="0009277C" w:rsidRPr="00D51A68">
              <w:rPr>
                <w:rStyle w:val="InstructionsTabelleberschrift"/>
                <w:rFonts w:ascii="Times New Roman" w:hAnsi="Times New Roman"/>
                <w:b w:val="0"/>
                <w:sz w:val="24"/>
                <w:u w:val="none"/>
              </w:rPr>
              <w:t>“</w:t>
            </w:r>
            <w:r w:rsidRPr="00D51A68">
              <w:rPr>
                <w:rStyle w:val="InstructionsTabelleberschrift"/>
                <w:rFonts w:ascii="Times New Roman" w:hAnsi="Times New Roman"/>
                <w:b w:val="0"/>
                <w:sz w:val="24"/>
                <w:u w:val="none"/>
              </w:rPr>
              <w:t>riserve</w:t>
            </w:r>
            <w:r w:rsidR="0009277C" w:rsidRPr="00D51A68">
              <w:rPr>
                <w:rStyle w:val="InstructionsTabelleberschrift"/>
                <w:rFonts w:ascii="Times New Roman" w:hAnsi="Times New Roman"/>
                <w:b w:val="0"/>
                <w:sz w:val="24"/>
                <w:u w:val="none"/>
              </w:rPr>
              <w:t>”</w:t>
            </w:r>
            <w:r w:rsidRPr="00D51A68">
              <w:rPr>
                <w:rStyle w:val="InstructionsTabelleberschrift"/>
                <w:rFonts w:ascii="Times New Roman" w:hAnsi="Times New Roman"/>
                <w:b w:val="0"/>
                <w:sz w:val="24"/>
                <w:u w:val="none"/>
              </w:rPr>
              <w:t>, applicate potenzialmente al fair value (valore equo) contabile dell</w:t>
            </w:r>
            <w:r w:rsidR="0009277C" w:rsidRPr="00D51A68">
              <w:rPr>
                <w:rStyle w:val="InstructionsTabelleberschrift"/>
                <w:rFonts w:ascii="Times New Roman" w:hAnsi="Times New Roman"/>
                <w:b w:val="0"/>
                <w:sz w:val="24"/>
                <w:u w:val="none"/>
              </w:rPr>
              <w:t>’</w:t>
            </w:r>
            <w:r w:rsidRPr="00D51A68">
              <w:rPr>
                <w:rStyle w:val="InstructionsTabelleberschrift"/>
                <w:rFonts w:ascii="Times New Roman" w:hAnsi="Times New Roman"/>
                <w:b w:val="0"/>
                <w:sz w:val="24"/>
                <w:u w:val="none"/>
              </w:rPr>
              <w:t>ente, che esulano dal modello di valutazione utilizzato per generare i valori contabili (escluso il differimento dell</w:t>
            </w:r>
            <w:r w:rsidR="0009277C" w:rsidRPr="00D51A68">
              <w:rPr>
                <w:rStyle w:val="InstructionsTabelleberschrift"/>
                <w:rFonts w:ascii="Times New Roman" w:hAnsi="Times New Roman"/>
                <w:b w:val="0"/>
                <w:sz w:val="24"/>
                <w:u w:val="none"/>
              </w:rPr>
              <w:t>’</w:t>
            </w:r>
            <w:r w:rsidRPr="00D51A68">
              <w:rPr>
                <w:rStyle w:val="InstructionsTabelleberschrift"/>
                <w:rFonts w:ascii="Times New Roman" w:hAnsi="Times New Roman"/>
                <w:b w:val="0"/>
                <w:sz w:val="24"/>
                <w:u w:val="none"/>
              </w:rPr>
              <w:t>utile o perdita del giorno 1) e che possono essere considerate volte a far fronte alla stessa fonte di incertezza dell</w:t>
            </w:r>
            <w:r w:rsidR="0009277C" w:rsidRPr="00D51A68">
              <w:rPr>
                <w:rStyle w:val="InstructionsTabelleberschrift"/>
                <w:rFonts w:ascii="Times New Roman" w:hAnsi="Times New Roman"/>
                <w:b w:val="0"/>
                <w:sz w:val="24"/>
                <w:u w:val="none"/>
              </w:rPr>
              <w:t>’</w:t>
            </w:r>
            <w:r w:rsidRPr="00D51A68">
              <w:rPr>
                <w:rStyle w:val="InstructionsTabelleberschrift"/>
                <w:rFonts w:ascii="Times New Roman" w:hAnsi="Times New Roman"/>
                <w:b w:val="0"/>
                <w:sz w:val="24"/>
                <w:u w:val="none"/>
              </w:rPr>
              <w:t>AVA pertinente. Potrebbero riflettere fattori di rischio sfuggenti alla tecnica di valutazione che sono in forma di premio di rischio o costo di uscita e rientrano nella definizione di fair value (valore equo). Dovrebbero comunque essere considerate dai partecipanti al mercato in sede di determinazione del prezzo. (IFRS 13.9 e IFRS13.88)</w:t>
            </w:r>
          </w:p>
        </w:tc>
      </w:tr>
      <w:tr w:rsidR="00973707" w:rsidRPr="00D51A68" w:rsidTr="00672D2A">
        <w:tc>
          <w:tcPr>
            <w:tcW w:w="1101" w:type="dxa"/>
          </w:tcPr>
          <w:p w:rsidR="00973707" w:rsidRPr="00D51A68" w:rsidRDefault="009A7A38" w:rsidP="00AF3D7A">
            <w:pPr>
              <w:spacing w:beforeLines="60" w:before="144" w:afterLines="60" w:after="144"/>
              <w:rPr>
                <w:rFonts w:ascii="Times New Roman" w:hAnsi="Times New Roman"/>
                <w:sz w:val="24"/>
              </w:rPr>
            </w:pPr>
            <w:r w:rsidRPr="00D51A68">
              <w:rPr>
                <w:rFonts w:ascii="Times New Roman" w:hAnsi="Times New Roman"/>
                <w:sz w:val="24"/>
              </w:rPr>
              <w:t>0170</w:t>
            </w:r>
          </w:p>
        </w:tc>
        <w:tc>
          <w:tcPr>
            <w:tcW w:w="8190" w:type="dxa"/>
          </w:tcPr>
          <w:p w:rsidR="00973707" w:rsidRPr="00D51A68" w:rsidRDefault="00973707" w:rsidP="00AF3D7A">
            <w:pPr>
              <w:spacing w:beforeLines="60" w:before="144" w:afterLines="60" w:after="144"/>
              <w:rPr>
                <w:rStyle w:val="InstructionsTabelleberschrift"/>
                <w:rFonts w:ascii="Times New Roman" w:hAnsi="Times New Roman"/>
                <w:b w:val="0"/>
                <w:sz w:val="24"/>
                <w:u w:val="none"/>
              </w:rPr>
            </w:pPr>
            <w:r w:rsidRPr="00D51A68">
              <w:rPr>
                <w:rStyle w:val="InstructionsTabelleberschrift"/>
                <w:rFonts w:ascii="Times New Roman" w:hAnsi="Times New Roman"/>
                <w:sz w:val="24"/>
              </w:rPr>
              <w:t>INCERTEZZA DELLE QUOTAZIONI DI MERCATO</w:t>
            </w:r>
          </w:p>
          <w:p w:rsidR="00973707" w:rsidRPr="00D51A68" w:rsidRDefault="00973707" w:rsidP="00AF3D7A">
            <w:pPr>
              <w:spacing w:beforeLines="60" w:before="144" w:afterLines="60" w:after="144"/>
              <w:rPr>
                <w:rStyle w:val="InstructionsTabelleberschrift"/>
                <w:rFonts w:ascii="Times New Roman" w:hAnsi="Times New Roman"/>
                <w:b w:val="0"/>
                <w:sz w:val="24"/>
                <w:u w:val="none"/>
              </w:rPr>
            </w:pPr>
            <w:r w:rsidRPr="00D51A68">
              <w:rPr>
                <w:rStyle w:val="InstructionsTabelleberschrift"/>
                <w:rFonts w:ascii="Times New Roman" w:hAnsi="Times New Roman"/>
                <w:b w:val="0"/>
                <w:sz w:val="24"/>
                <w:u w:val="none"/>
              </w:rPr>
              <w:t>Rettifica applicata al fair value (valore equo) dell</w:t>
            </w:r>
            <w:r w:rsidR="0009277C" w:rsidRPr="00D51A68">
              <w:rPr>
                <w:rStyle w:val="InstructionsTabelleberschrift"/>
                <w:rFonts w:ascii="Times New Roman" w:hAnsi="Times New Roman"/>
                <w:b w:val="0"/>
                <w:sz w:val="24"/>
                <w:u w:val="none"/>
              </w:rPr>
              <w:t>’</w:t>
            </w:r>
            <w:r w:rsidRPr="00D51A68">
              <w:rPr>
                <w:rStyle w:val="InstructionsTabelleberschrift"/>
                <w:rFonts w:ascii="Times New Roman" w:hAnsi="Times New Roman"/>
                <w:b w:val="0"/>
                <w:sz w:val="24"/>
                <w:u w:val="none"/>
              </w:rPr>
              <w:t>ente per riflettere il premio di rischio derivante dall</w:t>
            </w:r>
            <w:r w:rsidR="0009277C" w:rsidRPr="00D51A68">
              <w:rPr>
                <w:rStyle w:val="InstructionsTabelleberschrift"/>
                <w:rFonts w:ascii="Times New Roman" w:hAnsi="Times New Roman"/>
                <w:b w:val="0"/>
                <w:sz w:val="24"/>
                <w:u w:val="none"/>
              </w:rPr>
              <w:t>’</w:t>
            </w:r>
            <w:r w:rsidRPr="00D51A68">
              <w:rPr>
                <w:rStyle w:val="InstructionsTabelleberschrift"/>
                <w:rFonts w:ascii="Times New Roman" w:hAnsi="Times New Roman"/>
                <w:b w:val="0"/>
                <w:sz w:val="24"/>
                <w:u w:val="none"/>
              </w:rPr>
              <w:t>esistenza di un range di prezzi osservati per strumenti equivalenti o, con riferimento ad un input di un modello di valutazione costituito da un parametro di mercato, gli strumenti dai quali l</w:t>
            </w:r>
            <w:r w:rsidR="0009277C" w:rsidRPr="00D51A68">
              <w:rPr>
                <w:rStyle w:val="InstructionsTabelleberschrift"/>
                <w:rFonts w:ascii="Times New Roman" w:hAnsi="Times New Roman"/>
                <w:b w:val="0"/>
                <w:sz w:val="24"/>
                <w:u w:val="none"/>
              </w:rPr>
              <w:t>’</w:t>
            </w:r>
            <w:r w:rsidRPr="00D51A68">
              <w:rPr>
                <w:rStyle w:val="InstructionsTabelleberschrift"/>
                <w:rFonts w:ascii="Times New Roman" w:hAnsi="Times New Roman"/>
                <w:b w:val="0"/>
                <w:sz w:val="24"/>
                <w:u w:val="none"/>
              </w:rPr>
              <w:t>input è stato calibrato, e che pertanto può essere considerata volta a far fronte alla stessa fonte di incertezza dell</w:t>
            </w:r>
            <w:r w:rsidR="0009277C" w:rsidRPr="00D51A68">
              <w:rPr>
                <w:rStyle w:val="InstructionsTabelleberschrift"/>
                <w:rFonts w:ascii="Times New Roman" w:hAnsi="Times New Roman"/>
                <w:b w:val="0"/>
                <w:sz w:val="24"/>
                <w:u w:val="none"/>
              </w:rPr>
              <w:t>’</w:t>
            </w:r>
            <w:r w:rsidRPr="00D51A68">
              <w:rPr>
                <w:rStyle w:val="InstructionsTabelleberschrift"/>
                <w:rFonts w:ascii="Times New Roman" w:hAnsi="Times New Roman"/>
                <w:b w:val="0"/>
                <w:sz w:val="24"/>
                <w:u w:val="none"/>
              </w:rPr>
              <w:t>AVA per l</w:t>
            </w:r>
            <w:r w:rsidR="0009277C" w:rsidRPr="00D51A68">
              <w:rPr>
                <w:rStyle w:val="InstructionsTabelleberschrift"/>
                <w:rFonts w:ascii="Times New Roman" w:hAnsi="Times New Roman"/>
                <w:b w:val="0"/>
                <w:sz w:val="24"/>
                <w:u w:val="none"/>
              </w:rPr>
              <w:t>’</w:t>
            </w:r>
            <w:r w:rsidRPr="00D51A68">
              <w:rPr>
                <w:rStyle w:val="InstructionsTabelleberschrift"/>
                <w:rFonts w:ascii="Times New Roman" w:hAnsi="Times New Roman"/>
                <w:b w:val="0"/>
                <w:sz w:val="24"/>
                <w:u w:val="none"/>
              </w:rPr>
              <w:t xml:space="preserve">incertezza delle quotazioni di mercato. </w:t>
            </w:r>
          </w:p>
        </w:tc>
      </w:tr>
      <w:tr w:rsidR="00973707" w:rsidRPr="00D51A68" w:rsidTr="00672D2A">
        <w:tc>
          <w:tcPr>
            <w:tcW w:w="1101" w:type="dxa"/>
          </w:tcPr>
          <w:p w:rsidR="00973707" w:rsidRPr="00D51A68" w:rsidRDefault="009A7A38" w:rsidP="00AF3D7A">
            <w:pPr>
              <w:spacing w:beforeLines="60" w:before="144" w:afterLines="60" w:after="144"/>
              <w:rPr>
                <w:rFonts w:ascii="Times New Roman" w:hAnsi="Times New Roman"/>
                <w:sz w:val="24"/>
              </w:rPr>
            </w:pPr>
            <w:r w:rsidRPr="00D51A68">
              <w:rPr>
                <w:rFonts w:ascii="Times New Roman" w:hAnsi="Times New Roman"/>
                <w:sz w:val="24"/>
              </w:rPr>
              <w:t>0180</w:t>
            </w:r>
          </w:p>
        </w:tc>
        <w:tc>
          <w:tcPr>
            <w:tcW w:w="8190" w:type="dxa"/>
          </w:tcPr>
          <w:p w:rsidR="00973707" w:rsidRPr="00D51A68" w:rsidRDefault="00973707" w:rsidP="00AF3D7A">
            <w:pPr>
              <w:spacing w:beforeLines="60" w:before="144" w:afterLines="60" w:after="144"/>
              <w:rPr>
                <w:rStyle w:val="InstructionsTabelleberschrift"/>
                <w:rFonts w:ascii="Times New Roman" w:hAnsi="Times New Roman"/>
                <w:sz w:val="24"/>
              </w:rPr>
            </w:pPr>
            <w:r w:rsidRPr="00D51A68">
              <w:rPr>
                <w:rStyle w:val="InstructionsTabelleberschrift"/>
                <w:rFonts w:ascii="Times New Roman" w:hAnsi="Times New Roman"/>
                <w:sz w:val="24"/>
              </w:rPr>
              <w:t>COSTI DI CHIUSURA</w:t>
            </w:r>
          </w:p>
          <w:p w:rsidR="00973707" w:rsidRPr="00D51A68" w:rsidRDefault="00973707" w:rsidP="00AF3D7A">
            <w:pPr>
              <w:spacing w:beforeLines="60" w:before="144" w:afterLines="60" w:after="144"/>
              <w:rPr>
                <w:rStyle w:val="InstructionsTabelleberschrift"/>
                <w:rFonts w:ascii="Times New Roman" w:hAnsi="Times New Roman"/>
                <w:b w:val="0"/>
                <w:sz w:val="24"/>
                <w:u w:val="none"/>
              </w:rPr>
            </w:pPr>
            <w:r w:rsidRPr="00D51A68">
              <w:rPr>
                <w:rStyle w:val="InstructionsTabelleberschrift"/>
                <w:rFonts w:ascii="Times New Roman" w:hAnsi="Times New Roman"/>
                <w:b w:val="0"/>
                <w:sz w:val="24"/>
                <w:u w:val="none"/>
              </w:rPr>
              <w:t>Rettifica applicata al fair value (valore equo) dell</w:t>
            </w:r>
            <w:r w:rsidR="0009277C" w:rsidRPr="00D51A68">
              <w:rPr>
                <w:rStyle w:val="InstructionsTabelleberschrift"/>
                <w:rFonts w:ascii="Times New Roman" w:hAnsi="Times New Roman"/>
                <w:b w:val="0"/>
                <w:sz w:val="24"/>
                <w:u w:val="none"/>
              </w:rPr>
              <w:t>’</w:t>
            </w:r>
            <w:r w:rsidRPr="00D51A68">
              <w:rPr>
                <w:rStyle w:val="InstructionsTabelleberschrift"/>
                <w:rFonts w:ascii="Times New Roman" w:hAnsi="Times New Roman"/>
                <w:b w:val="0"/>
                <w:sz w:val="24"/>
                <w:u w:val="none"/>
              </w:rPr>
              <w:t>ente per tenere conto del fatto che le valutazioni a livello di posizione non riflettono un prezzo di uscita per la posizione o il portafoglio, in particolare se tali valutazioni sono calibrate su un prezzo di mid-market, e che pertanto può essere considerata volta a far fronte alla stessa fonte di incertezza dell</w:t>
            </w:r>
            <w:r w:rsidR="0009277C" w:rsidRPr="00D51A68">
              <w:rPr>
                <w:rStyle w:val="InstructionsTabelleberschrift"/>
                <w:rFonts w:ascii="Times New Roman" w:hAnsi="Times New Roman"/>
                <w:b w:val="0"/>
                <w:sz w:val="24"/>
                <w:u w:val="none"/>
              </w:rPr>
              <w:t>’</w:t>
            </w:r>
            <w:r w:rsidRPr="00D51A68">
              <w:rPr>
                <w:rStyle w:val="InstructionsTabelleberschrift"/>
                <w:rFonts w:ascii="Times New Roman" w:hAnsi="Times New Roman"/>
                <w:b w:val="0"/>
                <w:sz w:val="24"/>
                <w:u w:val="none"/>
              </w:rPr>
              <w:t>AVA per i costi di chiusura.</w:t>
            </w:r>
          </w:p>
        </w:tc>
      </w:tr>
      <w:tr w:rsidR="00973707" w:rsidRPr="00D51A68" w:rsidTr="00672D2A">
        <w:tc>
          <w:tcPr>
            <w:tcW w:w="1101" w:type="dxa"/>
          </w:tcPr>
          <w:p w:rsidR="00973707" w:rsidRPr="00D51A68" w:rsidRDefault="009A7A38" w:rsidP="00AF3D7A">
            <w:pPr>
              <w:spacing w:beforeLines="60" w:before="144" w:afterLines="60" w:after="144"/>
              <w:rPr>
                <w:rFonts w:ascii="Times New Roman" w:hAnsi="Times New Roman"/>
                <w:sz w:val="24"/>
              </w:rPr>
            </w:pPr>
            <w:r w:rsidRPr="00D51A68">
              <w:rPr>
                <w:rFonts w:ascii="Times New Roman" w:hAnsi="Times New Roman"/>
                <w:sz w:val="24"/>
              </w:rPr>
              <w:t>0190</w:t>
            </w:r>
          </w:p>
        </w:tc>
        <w:tc>
          <w:tcPr>
            <w:tcW w:w="8190" w:type="dxa"/>
          </w:tcPr>
          <w:p w:rsidR="00973707" w:rsidRPr="00D51A68" w:rsidRDefault="00973707" w:rsidP="00AF3D7A">
            <w:pPr>
              <w:spacing w:beforeLines="60" w:before="144" w:afterLines="60" w:after="144"/>
              <w:rPr>
                <w:rStyle w:val="InstructionsTabelleberschrift"/>
                <w:rFonts w:ascii="Times New Roman" w:hAnsi="Times New Roman"/>
                <w:sz w:val="24"/>
              </w:rPr>
            </w:pPr>
            <w:r w:rsidRPr="00D51A68">
              <w:rPr>
                <w:rStyle w:val="InstructionsTabelleberschrift"/>
                <w:rFonts w:ascii="Times New Roman" w:hAnsi="Times New Roman"/>
                <w:sz w:val="24"/>
              </w:rPr>
              <w:t>RISCHI DEL MODELLO</w:t>
            </w:r>
          </w:p>
          <w:p w:rsidR="00973707" w:rsidRPr="00D51A68" w:rsidRDefault="00973707" w:rsidP="00AF3D7A">
            <w:pPr>
              <w:spacing w:beforeLines="60" w:before="144" w:afterLines="60" w:after="144"/>
              <w:rPr>
                <w:rStyle w:val="InstructionsTabelleberschrift"/>
                <w:rFonts w:ascii="Times New Roman" w:hAnsi="Times New Roman"/>
                <w:b w:val="0"/>
                <w:sz w:val="24"/>
                <w:u w:val="none"/>
              </w:rPr>
            </w:pPr>
            <w:r w:rsidRPr="00D51A68">
              <w:rPr>
                <w:rStyle w:val="InstructionsTabelleberschrift"/>
                <w:rFonts w:ascii="Times New Roman" w:hAnsi="Times New Roman"/>
                <w:b w:val="0"/>
                <w:sz w:val="24"/>
                <w:u w:val="none"/>
              </w:rPr>
              <w:t>Rettifica applicata al fair value (valore equo) dell</w:t>
            </w:r>
            <w:r w:rsidR="0009277C" w:rsidRPr="00D51A68">
              <w:rPr>
                <w:rStyle w:val="InstructionsTabelleberschrift"/>
                <w:rFonts w:ascii="Times New Roman" w:hAnsi="Times New Roman"/>
                <w:b w:val="0"/>
                <w:sz w:val="24"/>
                <w:u w:val="none"/>
              </w:rPr>
              <w:t>’</w:t>
            </w:r>
            <w:r w:rsidRPr="00D51A68">
              <w:rPr>
                <w:rStyle w:val="InstructionsTabelleberschrift"/>
                <w:rFonts w:ascii="Times New Roman" w:hAnsi="Times New Roman"/>
                <w:b w:val="0"/>
                <w:sz w:val="24"/>
                <w:u w:val="none"/>
              </w:rPr>
              <w:t>ente per riflettere i fattori di mercato o prodotto che sfuggono al modello utilizzato per calcolare i valori e i rischi quotidiani delle posizioni (</w:t>
            </w:r>
            <w:r w:rsidR="0009277C" w:rsidRPr="00D51A68">
              <w:rPr>
                <w:rStyle w:val="InstructionsTabelleberschrift"/>
                <w:rFonts w:ascii="Times New Roman" w:hAnsi="Times New Roman"/>
                <w:b w:val="0"/>
                <w:sz w:val="24"/>
                <w:u w:val="none"/>
              </w:rPr>
              <w:t>“</w:t>
            </w:r>
            <w:r w:rsidRPr="00D51A68">
              <w:rPr>
                <w:rStyle w:val="InstructionsTabelleberschrift"/>
                <w:rFonts w:ascii="Times New Roman" w:hAnsi="Times New Roman"/>
                <w:b w:val="0"/>
                <w:sz w:val="24"/>
                <w:u w:val="none"/>
              </w:rPr>
              <w:t>modello di valutazione</w:t>
            </w:r>
            <w:r w:rsidR="0009277C" w:rsidRPr="00D51A68">
              <w:rPr>
                <w:rStyle w:val="InstructionsTabelleberschrift"/>
                <w:rFonts w:ascii="Times New Roman" w:hAnsi="Times New Roman"/>
                <w:b w:val="0"/>
                <w:sz w:val="24"/>
                <w:u w:val="none"/>
              </w:rPr>
              <w:t>”</w:t>
            </w:r>
            <w:r w:rsidRPr="00D51A68">
              <w:rPr>
                <w:rStyle w:val="InstructionsTabelleberschrift"/>
                <w:rFonts w:ascii="Times New Roman" w:hAnsi="Times New Roman"/>
                <w:b w:val="0"/>
                <w:sz w:val="24"/>
                <w:u w:val="none"/>
              </w:rPr>
              <w:t>) o per riflettere un livello appropriato di prudenza data l</w:t>
            </w:r>
            <w:r w:rsidR="0009277C" w:rsidRPr="00D51A68">
              <w:rPr>
                <w:rStyle w:val="InstructionsTabelleberschrift"/>
                <w:rFonts w:ascii="Times New Roman" w:hAnsi="Times New Roman"/>
                <w:b w:val="0"/>
                <w:sz w:val="24"/>
                <w:u w:val="none"/>
              </w:rPr>
              <w:t>’</w:t>
            </w:r>
            <w:r w:rsidRPr="00D51A68">
              <w:rPr>
                <w:rStyle w:val="InstructionsTabelleberschrift"/>
                <w:rFonts w:ascii="Times New Roman" w:hAnsi="Times New Roman"/>
                <w:b w:val="0"/>
                <w:sz w:val="24"/>
                <w:u w:val="none"/>
              </w:rPr>
              <w:t>incertezza derivante dall</w:t>
            </w:r>
            <w:r w:rsidR="0009277C" w:rsidRPr="00D51A68">
              <w:rPr>
                <w:rStyle w:val="InstructionsTabelleberschrift"/>
                <w:rFonts w:ascii="Times New Roman" w:hAnsi="Times New Roman"/>
                <w:b w:val="0"/>
                <w:sz w:val="24"/>
                <w:u w:val="none"/>
              </w:rPr>
              <w:t>’</w:t>
            </w:r>
            <w:r w:rsidRPr="00D51A68">
              <w:rPr>
                <w:rStyle w:val="InstructionsTabelleberschrift"/>
                <w:rFonts w:ascii="Times New Roman" w:hAnsi="Times New Roman"/>
                <w:b w:val="0"/>
                <w:sz w:val="24"/>
                <w:u w:val="none"/>
              </w:rPr>
              <w:t>esistenza di un range di modelli validi alternativi e di calibrazioni di modello, e che pertanto può essere considerata volta a far fronte alla stessa fonte di incertezza dell</w:t>
            </w:r>
            <w:r w:rsidR="0009277C" w:rsidRPr="00D51A68">
              <w:rPr>
                <w:rStyle w:val="InstructionsTabelleberschrift"/>
                <w:rFonts w:ascii="Times New Roman" w:hAnsi="Times New Roman"/>
                <w:b w:val="0"/>
                <w:sz w:val="24"/>
                <w:u w:val="none"/>
              </w:rPr>
              <w:t>’</w:t>
            </w:r>
            <w:r w:rsidRPr="00D51A68">
              <w:rPr>
                <w:rStyle w:val="InstructionsTabelleberschrift"/>
                <w:rFonts w:ascii="Times New Roman" w:hAnsi="Times New Roman"/>
                <w:b w:val="0"/>
                <w:sz w:val="24"/>
                <w:u w:val="none"/>
              </w:rPr>
              <w:t>AVA per i rischi del modello.</w:t>
            </w:r>
          </w:p>
        </w:tc>
      </w:tr>
      <w:tr w:rsidR="00973707" w:rsidRPr="00D51A68" w:rsidTr="00672D2A">
        <w:tc>
          <w:tcPr>
            <w:tcW w:w="1101" w:type="dxa"/>
          </w:tcPr>
          <w:p w:rsidR="00973707" w:rsidRPr="00D51A68" w:rsidRDefault="009A7A38" w:rsidP="00AF3D7A">
            <w:pPr>
              <w:spacing w:beforeLines="60" w:before="144" w:afterLines="60" w:after="144"/>
              <w:rPr>
                <w:rFonts w:ascii="Times New Roman" w:hAnsi="Times New Roman"/>
                <w:sz w:val="24"/>
              </w:rPr>
            </w:pPr>
            <w:r w:rsidRPr="00D51A68">
              <w:rPr>
                <w:rFonts w:ascii="Times New Roman" w:hAnsi="Times New Roman"/>
                <w:sz w:val="24"/>
              </w:rPr>
              <w:t>0200</w:t>
            </w:r>
          </w:p>
        </w:tc>
        <w:tc>
          <w:tcPr>
            <w:tcW w:w="8190" w:type="dxa"/>
          </w:tcPr>
          <w:p w:rsidR="00973707" w:rsidRPr="00D51A68" w:rsidRDefault="00973707" w:rsidP="00AF3D7A">
            <w:pPr>
              <w:spacing w:beforeLines="60" w:before="144" w:afterLines="60" w:after="144"/>
              <w:rPr>
                <w:rStyle w:val="InstructionsTabelleberschrift"/>
                <w:rFonts w:ascii="Times New Roman" w:hAnsi="Times New Roman"/>
                <w:sz w:val="24"/>
              </w:rPr>
            </w:pPr>
            <w:r w:rsidRPr="00D51A68">
              <w:rPr>
                <w:rStyle w:val="InstructionsTabelleberschrift"/>
                <w:rFonts w:ascii="Times New Roman" w:hAnsi="Times New Roman"/>
                <w:sz w:val="24"/>
              </w:rPr>
              <w:t>POSIZIONI CONCENTRATE</w:t>
            </w:r>
          </w:p>
          <w:p w:rsidR="00973707" w:rsidRPr="00D51A68" w:rsidRDefault="00973707" w:rsidP="00AF3D7A">
            <w:pPr>
              <w:spacing w:beforeLines="60" w:before="144" w:afterLines="60" w:after="144"/>
              <w:rPr>
                <w:rStyle w:val="InstructionsTabelleberschrift"/>
                <w:rFonts w:ascii="Times New Roman" w:hAnsi="Times New Roman"/>
                <w:b w:val="0"/>
                <w:sz w:val="24"/>
                <w:u w:val="none"/>
              </w:rPr>
            </w:pPr>
            <w:r w:rsidRPr="00D51A68">
              <w:rPr>
                <w:rStyle w:val="InstructionsTabelleberschrift"/>
                <w:rFonts w:ascii="Times New Roman" w:hAnsi="Times New Roman"/>
                <w:b w:val="0"/>
                <w:sz w:val="24"/>
                <w:u w:val="none"/>
              </w:rPr>
              <w:t>Rettifica applicata al fair value (valore equo) dell</w:t>
            </w:r>
            <w:r w:rsidR="0009277C" w:rsidRPr="00D51A68">
              <w:rPr>
                <w:rStyle w:val="InstructionsTabelleberschrift"/>
                <w:rFonts w:ascii="Times New Roman" w:hAnsi="Times New Roman"/>
                <w:b w:val="0"/>
                <w:sz w:val="24"/>
                <w:u w:val="none"/>
              </w:rPr>
              <w:t>’</w:t>
            </w:r>
            <w:r w:rsidRPr="00D51A68">
              <w:rPr>
                <w:rStyle w:val="InstructionsTabelleberschrift"/>
                <w:rFonts w:ascii="Times New Roman" w:hAnsi="Times New Roman"/>
                <w:b w:val="0"/>
                <w:sz w:val="24"/>
                <w:u w:val="none"/>
              </w:rPr>
              <w:t>ente per riflettere il fatto che la posizione aggregata detenuta dall</w:t>
            </w:r>
            <w:r w:rsidR="0009277C" w:rsidRPr="00D51A68">
              <w:rPr>
                <w:rStyle w:val="InstructionsTabelleberschrift"/>
                <w:rFonts w:ascii="Times New Roman" w:hAnsi="Times New Roman"/>
                <w:b w:val="0"/>
                <w:sz w:val="24"/>
                <w:u w:val="none"/>
              </w:rPr>
              <w:t>’</w:t>
            </w:r>
            <w:r w:rsidRPr="00D51A68">
              <w:rPr>
                <w:rStyle w:val="InstructionsTabelleberschrift"/>
                <w:rFonts w:ascii="Times New Roman" w:hAnsi="Times New Roman"/>
                <w:b w:val="0"/>
                <w:sz w:val="24"/>
                <w:u w:val="none"/>
              </w:rPr>
              <w:t>ente è superiore al volume di negoziazione normale o alle dimensioni delle posizioni su cui si basano le quotazioni o negoziazioni osservabili utilizzate per calibrare il prezzo o gli input immessi nel modello di valutazione, e che pertanto può essere considerata volta a far fronte alla stessa fonte di incertezza dell</w:t>
            </w:r>
            <w:r w:rsidR="0009277C" w:rsidRPr="00D51A68">
              <w:rPr>
                <w:rStyle w:val="InstructionsTabelleberschrift"/>
                <w:rFonts w:ascii="Times New Roman" w:hAnsi="Times New Roman"/>
                <w:b w:val="0"/>
                <w:sz w:val="24"/>
                <w:u w:val="none"/>
              </w:rPr>
              <w:t>’</w:t>
            </w:r>
            <w:r w:rsidRPr="00D51A68">
              <w:rPr>
                <w:rStyle w:val="InstructionsTabelleberschrift"/>
                <w:rFonts w:ascii="Times New Roman" w:hAnsi="Times New Roman"/>
                <w:b w:val="0"/>
                <w:sz w:val="24"/>
                <w:u w:val="none"/>
              </w:rPr>
              <w:t xml:space="preserve">AVA per le posizioni concentrate. </w:t>
            </w:r>
          </w:p>
        </w:tc>
      </w:tr>
      <w:tr w:rsidR="00973707" w:rsidRPr="00D51A68" w:rsidTr="00672D2A">
        <w:tc>
          <w:tcPr>
            <w:tcW w:w="1101" w:type="dxa"/>
          </w:tcPr>
          <w:p w:rsidR="00973707" w:rsidRPr="00D51A68" w:rsidRDefault="009A7A38" w:rsidP="00AF3D7A">
            <w:pPr>
              <w:spacing w:beforeLines="60" w:before="144" w:afterLines="60" w:after="144"/>
              <w:rPr>
                <w:rFonts w:ascii="Times New Roman" w:hAnsi="Times New Roman"/>
                <w:sz w:val="24"/>
              </w:rPr>
            </w:pPr>
            <w:r w:rsidRPr="00D51A68">
              <w:rPr>
                <w:rFonts w:ascii="Times New Roman" w:hAnsi="Times New Roman"/>
                <w:sz w:val="24"/>
              </w:rPr>
              <w:t>0210</w:t>
            </w:r>
          </w:p>
        </w:tc>
        <w:tc>
          <w:tcPr>
            <w:tcW w:w="8190" w:type="dxa"/>
          </w:tcPr>
          <w:p w:rsidR="00973707" w:rsidRPr="00D51A68" w:rsidRDefault="00973707" w:rsidP="00AF3D7A">
            <w:pPr>
              <w:spacing w:beforeLines="60" w:before="144" w:afterLines="60" w:after="144"/>
              <w:rPr>
                <w:rStyle w:val="InstructionsTabelleberschrift"/>
                <w:rFonts w:ascii="Times New Roman" w:hAnsi="Times New Roman"/>
                <w:sz w:val="24"/>
              </w:rPr>
            </w:pPr>
            <w:r w:rsidRPr="00D51A68">
              <w:rPr>
                <w:rStyle w:val="InstructionsTabelleberschrift"/>
                <w:rFonts w:ascii="Times New Roman" w:hAnsi="Times New Roman"/>
                <w:sz w:val="24"/>
              </w:rPr>
              <w:t>DIFFERENZIALI CREDITIZI NON REALIZZATI</w:t>
            </w:r>
          </w:p>
          <w:p w:rsidR="00973707" w:rsidRPr="00D51A68" w:rsidRDefault="00973707" w:rsidP="00AF3D7A">
            <w:pPr>
              <w:spacing w:beforeLines="60" w:before="144" w:afterLines="60" w:after="144"/>
              <w:rPr>
                <w:rStyle w:val="InstructionsTabelleberschrift"/>
                <w:rFonts w:ascii="Times New Roman" w:hAnsi="Times New Roman"/>
                <w:sz w:val="24"/>
              </w:rPr>
            </w:pPr>
            <w:r w:rsidRPr="00D51A68">
              <w:rPr>
                <w:rStyle w:val="InstructionsTabelleberschrift"/>
                <w:rFonts w:ascii="Times New Roman" w:hAnsi="Times New Roman"/>
                <w:b w:val="0"/>
                <w:sz w:val="24"/>
                <w:u w:val="none"/>
              </w:rPr>
              <w:t>Rettifica applicata al fair value (valore equo) dell</w:t>
            </w:r>
            <w:r w:rsidR="0009277C" w:rsidRPr="00D51A68">
              <w:rPr>
                <w:rStyle w:val="InstructionsTabelleberschrift"/>
                <w:rFonts w:ascii="Times New Roman" w:hAnsi="Times New Roman"/>
                <w:b w:val="0"/>
                <w:sz w:val="24"/>
                <w:u w:val="none"/>
              </w:rPr>
              <w:t>’</w:t>
            </w:r>
            <w:r w:rsidRPr="00D51A68">
              <w:rPr>
                <w:rStyle w:val="InstructionsTabelleberschrift"/>
                <w:rFonts w:ascii="Times New Roman" w:hAnsi="Times New Roman"/>
                <w:b w:val="0"/>
                <w:sz w:val="24"/>
                <w:u w:val="none"/>
              </w:rPr>
              <w:t>ente per coprire le perdite attese dovute al default della controparte su posizioni derivate (ovvero l</w:t>
            </w:r>
            <w:r w:rsidR="0009277C" w:rsidRPr="00D51A68">
              <w:rPr>
                <w:rStyle w:val="InstructionsTabelleberschrift"/>
                <w:rFonts w:ascii="Times New Roman" w:hAnsi="Times New Roman"/>
                <w:b w:val="0"/>
                <w:sz w:val="24"/>
                <w:u w:val="none"/>
              </w:rPr>
              <w:t>’</w:t>
            </w:r>
            <w:r w:rsidRPr="00D51A68">
              <w:rPr>
                <w:rStyle w:val="InstructionsTabelleberschrift"/>
                <w:rFonts w:ascii="Times New Roman" w:hAnsi="Times New Roman"/>
                <w:b w:val="0"/>
                <w:sz w:val="24"/>
                <w:u w:val="none"/>
              </w:rPr>
              <w:t>aggiustamento della valutazione del credito - CVA- totale dell</w:t>
            </w:r>
            <w:r w:rsidR="0009277C" w:rsidRPr="00D51A68">
              <w:rPr>
                <w:rStyle w:val="InstructionsTabelleberschrift"/>
                <w:rFonts w:ascii="Times New Roman" w:hAnsi="Times New Roman"/>
                <w:b w:val="0"/>
                <w:sz w:val="24"/>
                <w:u w:val="none"/>
              </w:rPr>
              <w:t>’</w:t>
            </w:r>
            <w:r w:rsidRPr="00D51A68">
              <w:rPr>
                <w:rStyle w:val="InstructionsTabelleberschrift"/>
                <w:rFonts w:ascii="Times New Roman" w:hAnsi="Times New Roman"/>
                <w:b w:val="0"/>
                <w:sz w:val="24"/>
                <w:u w:val="none"/>
              </w:rPr>
              <w:t>ente).</w:t>
            </w:r>
          </w:p>
        </w:tc>
      </w:tr>
      <w:tr w:rsidR="00973707" w:rsidRPr="00D51A68" w:rsidTr="00672D2A">
        <w:tc>
          <w:tcPr>
            <w:tcW w:w="1101" w:type="dxa"/>
          </w:tcPr>
          <w:p w:rsidR="00973707" w:rsidRPr="00D51A68" w:rsidRDefault="009A7A38" w:rsidP="00AF3D7A">
            <w:pPr>
              <w:spacing w:beforeLines="60" w:before="144" w:afterLines="60" w:after="144"/>
              <w:rPr>
                <w:rFonts w:ascii="Times New Roman" w:hAnsi="Times New Roman"/>
                <w:sz w:val="24"/>
              </w:rPr>
            </w:pPr>
            <w:r w:rsidRPr="00D51A68">
              <w:rPr>
                <w:rFonts w:ascii="Times New Roman" w:hAnsi="Times New Roman"/>
                <w:sz w:val="24"/>
              </w:rPr>
              <w:t>0220</w:t>
            </w:r>
          </w:p>
        </w:tc>
        <w:tc>
          <w:tcPr>
            <w:tcW w:w="8190" w:type="dxa"/>
          </w:tcPr>
          <w:p w:rsidR="00973707" w:rsidRPr="00D51A68" w:rsidRDefault="00973707" w:rsidP="00AF3D7A">
            <w:pPr>
              <w:spacing w:beforeLines="60" w:before="144" w:afterLines="60" w:after="144"/>
              <w:rPr>
                <w:rStyle w:val="InstructionsTabelleberschrift"/>
                <w:rFonts w:ascii="Times New Roman" w:hAnsi="Times New Roman"/>
                <w:sz w:val="24"/>
              </w:rPr>
            </w:pPr>
            <w:r w:rsidRPr="00D51A68">
              <w:rPr>
                <w:rStyle w:val="InstructionsTabelleberschrift"/>
                <w:rFonts w:ascii="Times New Roman" w:hAnsi="Times New Roman"/>
                <w:sz w:val="24"/>
              </w:rPr>
              <w:t>COSTI DI INVESTIMENTO E DI FINANZIAMENTO (FUNDING)</w:t>
            </w:r>
          </w:p>
          <w:p w:rsidR="00973707" w:rsidRPr="00D51A68" w:rsidRDefault="00973707" w:rsidP="00AF3D7A">
            <w:pPr>
              <w:spacing w:beforeLines="60" w:before="144" w:afterLines="60" w:after="144"/>
              <w:rPr>
                <w:rStyle w:val="InstructionsTabelleberschrift"/>
                <w:rFonts w:ascii="Times New Roman" w:hAnsi="Times New Roman"/>
                <w:b w:val="0"/>
                <w:sz w:val="24"/>
                <w:u w:val="none"/>
              </w:rPr>
            </w:pPr>
            <w:r w:rsidRPr="00D51A68">
              <w:rPr>
                <w:rStyle w:val="InstructionsTabelleberschrift"/>
                <w:rFonts w:ascii="Times New Roman" w:hAnsi="Times New Roman"/>
                <w:b w:val="0"/>
                <w:sz w:val="24"/>
                <w:u w:val="none"/>
              </w:rPr>
              <w:t>Rettifica applicata al fair value (valore equo) dell</w:t>
            </w:r>
            <w:r w:rsidR="0009277C" w:rsidRPr="00D51A68">
              <w:rPr>
                <w:rStyle w:val="InstructionsTabelleberschrift"/>
                <w:rFonts w:ascii="Times New Roman" w:hAnsi="Times New Roman"/>
                <w:b w:val="0"/>
                <w:sz w:val="24"/>
                <w:u w:val="none"/>
              </w:rPr>
              <w:t>’</w:t>
            </w:r>
            <w:r w:rsidRPr="00D51A68">
              <w:rPr>
                <w:rStyle w:val="InstructionsTabelleberschrift"/>
                <w:rFonts w:ascii="Times New Roman" w:hAnsi="Times New Roman"/>
                <w:b w:val="0"/>
                <w:sz w:val="24"/>
                <w:u w:val="none"/>
              </w:rPr>
              <w:t>ente qualora i modelli di valutazione non riflettano pienamente il costo di finanziamento (funding) che i partecipanti al mercato ingloberebbero nel prezzo di uscita per una posizione o un portafoglio (ovvero la rettifica totale della valutazione per finanziamento (funding) a livello di ente quando un ente computa tale rettifica o, in alternativa, una rettifica equivalente).</w:t>
            </w:r>
          </w:p>
        </w:tc>
      </w:tr>
      <w:tr w:rsidR="00973707" w:rsidRPr="00D51A68" w:rsidTr="00672D2A">
        <w:tc>
          <w:tcPr>
            <w:tcW w:w="1101" w:type="dxa"/>
          </w:tcPr>
          <w:p w:rsidR="00973707" w:rsidRPr="00D51A68" w:rsidRDefault="009A7A38" w:rsidP="00AF3D7A">
            <w:pPr>
              <w:spacing w:beforeLines="60" w:before="144" w:afterLines="60" w:after="144"/>
              <w:rPr>
                <w:rFonts w:ascii="Times New Roman" w:hAnsi="Times New Roman"/>
                <w:sz w:val="24"/>
              </w:rPr>
            </w:pPr>
            <w:r w:rsidRPr="00D51A68">
              <w:rPr>
                <w:rFonts w:ascii="Times New Roman" w:hAnsi="Times New Roman"/>
                <w:sz w:val="24"/>
              </w:rPr>
              <w:t>0230</w:t>
            </w:r>
          </w:p>
        </w:tc>
        <w:tc>
          <w:tcPr>
            <w:tcW w:w="8190" w:type="dxa"/>
          </w:tcPr>
          <w:p w:rsidR="00973707" w:rsidRPr="00D51A68" w:rsidRDefault="00973707" w:rsidP="00AF3D7A">
            <w:pPr>
              <w:spacing w:beforeLines="60" w:before="144" w:afterLines="60" w:after="144"/>
              <w:rPr>
                <w:rStyle w:val="InstructionsTabelleberschrift"/>
                <w:rFonts w:ascii="Times New Roman" w:hAnsi="Times New Roman"/>
                <w:sz w:val="24"/>
              </w:rPr>
            </w:pPr>
            <w:r w:rsidRPr="00D51A68">
              <w:rPr>
                <w:rStyle w:val="InstructionsTabelleberschrift"/>
                <w:rFonts w:ascii="Times New Roman" w:hAnsi="Times New Roman"/>
                <w:sz w:val="24"/>
              </w:rPr>
              <w:t>COSTI AMMINISTRATIVI FUTURI</w:t>
            </w:r>
          </w:p>
          <w:p w:rsidR="00973707" w:rsidRPr="00D51A68" w:rsidRDefault="00973707" w:rsidP="00AF3D7A">
            <w:pPr>
              <w:spacing w:beforeLines="60" w:before="144" w:afterLines="60" w:after="144"/>
              <w:rPr>
                <w:rStyle w:val="InstructionsTabelleberschrift"/>
                <w:rFonts w:ascii="Times New Roman" w:hAnsi="Times New Roman"/>
                <w:b w:val="0"/>
                <w:sz w:val="24"/>
                <w:u w:val="none"/>
              </w:rPr>
            </w:pPr>
            <w:r w:rsidRPr="00D51A68">
              <w:rPr>
                <w:rStyle w:val="InstructionsTabelleberschrift"/>
                <w:rFonts w:ascii="Times New Roman" w:hAnsi="Times New Roman"/>
                <w:b w:val="0"/>
                <w:sz w:val="24"/>
                <w:u w:val="none"/>
              </w:rPr>
              <w:t>Rettifica applicata al fair value (valore equo) dell</w:t>
            </w:r>
            <w:r w:rsidR="0009277C" w:rsidRPr="00D51A68">
              <w:rPr>
                <w:rStyle w:val="InstructionsTabelleberschrift"/>
                <w:rFonts w:ascii="Times New Roman" w:hAnsi="Times New Roman"/>
                <w:b w:val="0"/>
                <w:sz w:val="24"/>
                <w:u w:val="none"/>
              </w:rPr>
              <w:t>’</w:t>
            </w:r>
            <w:r w:rsidRPr="00D51A68">
              <w:rPr>
                <w:rStyle w:val="InstructionsTabelleberschrift"/>
                <w:rFonts w:ascii="Times New Roman" w:hAnsi="Times New Roman"/>
                <w:b w:val="0"/>
                <w:sz w:val="24"/>
                <w:u w:val="none"/>
              </w:rPr>
              <w:t>ente per riflettere i costi amministrativi sostenuti dal portafoglio o dalla posizione ma non inclusi nel modello di valutazione o nei prezzi utilizzati per calibrare gli input di tale modello, e che pertanto può essere considerata volta a far fronte alla stessa fonte di incertezza dell</w:t>
            </w:r>
            <w:r w:rsidR="0009277C" w:rsidRPr="00D51A68">
              <w:rPr>
                <w:rStyle w:val="InstructionsTabelleberschrift"/>
                <w:rFonts w:ascii="Times New Roman" w:hAnsi="Times New Roman"/>
                <w:b w:val="0"/>
                <w:sz w:val="24"/>
                <w:u w:val="none"/>
              </w:rPr>
              <w:t>’</w:t>
            </w:r>
            <w:r w:rsidRPr="00D51A68">
              <w:rPr>
                <w:rStyle w:val="InstructionsTabelleberschrift"/>
                <w:rFonts w:ascii="Times New Roman" w:hAnsi="Times New Roman"/>
                <w:b w:val="0"/>
                <w:sz w:val="24"/>
                <w:u w:val="none"/>
              </w:rPr>
              <w:t>AVA per costi amministrativi futuri.</w:t>
            </w:r>
          </w:p>
        </w:tc>
      </w:tr>
      <w:tr w:rsidR="00973707" w:rsidRPr="00D51A68" w:rsidTr="00672D2A">
        <w:tc>
          <w:tcPr>
            <w:tcW w:w="1101" w:type="dxa"/>
          </w:tcPr>
          <w:p w:rsidR="00973707" w:rsidRPr="00D51A68" w:rsidRDefault="009A7A38" w:rsidP="00AF3D7A">
            <w:pPr>
              <w:spacing w:beforeLines="60" w:before="144" w:afterLines="60" w:after="144"/>
              <w:rPr>
                <w:rFonts w:ascii="Times New Roman" w:hAnsi="Times New Roman"/>
                <w:sz w:val="24"/>
              </w:rPr>
            </w:pPr>
            <w:r w:rsidRPr="00D51A68">
              <w:rPr>
                <w:rFonts w:ascii="Times New Roman" w:hAnsi="Times New Roman"/>
                <w:sz w:val="24"/>
              </w:rPr>
              <w:t>0240</w:t>
            </w:r>
          </w:p>
        </w:tc>
        <w:tc>
          <w:tcPr>
            <w:tcW w:w="8190" w:type="dxa"/>
          </w:tcPr>
          <w:p w:rsidR="00973707" w:rsidRPr="00D51A68" w:rsidRDefault="00973707" w:rsidP="00AF3D7A">
            <w:pPr>
              <w:spacing w:beforeLines="60" w:before="144" w:afterLines="60" w:after="144"/>
              <w:rPr>
                <w:rStyle w:val="InstructionsTabelleberschrift"/>
                <w:rFonts w:ascii="Times New Roman" w:hAnsi="Times New Roman"/>
                <w:sz w:val="24"/>
              </w:rPr>
            </w:pPr>
            <w:r w:rsidRPr="00D51A68">
              <w:rPr>
                <w:rStyle w:val="InstructionsTabelleberschrift"/>
                <w:rFonts w:ascii="Times New Roman" w:hAnsi="Times New Roman"/>
                <w:sz w:val="24"/>
              </w:rPr>
              <w:t>CHIUSURE ANTICIPATE DELLE POSIZIONI</w:t>
            </w:r>
          </w:p>
          <w:p w:rsidR="00973707" w:rsidRPr="00D51A68" w:rsidRDefault="00973707" w:rsidP="00AF3D7A">
            <w:pPr>
              <w:spacing w:beforeLines="60" w:before="144" w:afterLines="60" w:after="144"/>
              <w:rPr>
                <w:rStyle w:val="InstructionsTabelleberschrift"/>
                <w:rFonts w:ascii="Times New Roman" w:hAnsi="Times New Roman"/>
                <w:b w:val="0"/>
                <w:sz w:val="24"/>
                <w:u w:val="none"/>
              </w:rPr>
            </w:pPr>
            <w:r w:rsidRPr="00D51A68">
              <w:rPr>
                <w:rStyle w:val="InstructionsTabelleberschrift"/>
                <w:rFonts w:ascii="Times New Roman" w:hAnsi="Times New Roman"/>
                <w:b w:val="0"/>
                <w:sz w:val="24"/>
                <w:u w:val="none"/>
              </w:rPr>
              <w:t>Rettifiche applicate al fair value (valore equo) dell</w:t>
            </w:r>
            <w:r w:rsidR="0009277C" w:rsidRPr="00D51A68">
              <w:rPr>
                <w:rStyle w:val="InstructionsTabelleberschrift"/>
                <w:rFonts w:ascii="Times New Roman" w:hAnsi="Times New Roman"/>
                <w:b w:val="0"/>
                <w:sz w:val="24"/>
                <w:u w:val="none"/>
              </w:rPr>
              <w:t>’</w:t>
            </w:r>
            <w:r w:rsidRPr="00D51A68">
              <w:rPr>
                <w:rStyle w:val="InstructionsTabelleberschrift"/>
                <w:rFonts w:ascii="Times New Roman" w:hAnsi="Times New Roman"/>
                <w:b w:val="0"/>
                <w:sz w:val="24"/>
                <w:u w:val="none"/>
              </w:rPr>
              <w:t>ente per riflettere le aspettative di chiusura anticipata contrattuale o non contrattuale che sfuggono al modello di valutazione, e che pertanto possono essere considerate volte a far fronte alla stessa fonte di incertezza dell</w:t>
            </w:r>
            <w:r w:rsidR="0009277C" w:rsidRPr="00D51A68">
              <w:rPr>
                <w:rStyle w:val="InstructionsTabelleberschrift"/>
                <w:rFonts w:ascii="Times New Roman" w:hAnsi="Times New Roman"/>
                <w:b w:val="0"/>
                <w:sz w:val="24"/>
                <w:u w:val="none"/>
              </w:rPr>
              <w:t>’</w:t>
            </w:r>
            <w:r w:rsidRPr="00D51A68">
              <w:rPr>
                <w:rStyle w:val="InstructionsTabelleberschrift"/>
                <w:rFonts w:ascii="Times New Roman" w:hAnsi="Times New Roman"/>
                <w:b w:val="0"/>
                <w:sz w:val="24"/>
                <w:u w:val="none"/>
              </w:rPr>
              <w:t>AVA per chiusure anticipate delle posizioni.</w:t>
            </w:r>
          </w:p>
        </w:tc>
      </w:tr>
      <w:tr w:rsidR="00973707" w:rsidRPr="00D51A68" w:rsidTr="00672D2A">
        <w:tc>
          <w:tcPr>
            <w:tcW w:w="1101" w:type="dxa"/>
          </w:tcPr>
          <w:p w:rsidR="00973707" w:rsidRPr="00D51A68" w:rsidRDefault="009A7A38" w:rsidP="00AF3D7A">
            <w:pPr>
              <w:spacing w:beforeLines="60" w:before="144" w:afterLines="60" w:after="144"/>
              <w:rPr>
                <w:rFonts w:ascii="Times New Roman" w:hAnsi="Times New Roman"/>
                <w:sz w:val="24"/>
              </w:rPr>
            </w:pPr>
            <w:r w:rsidRPr="00D51A68">
              <w:rPr>
                <w:rFonts w:ascii="Times New Roman" w:hAnsi="Times New Roman"/>
                <w:sz w:val="24"/>
              </w:rPr>
              <w:t>0250</w:t>
            </w:r>
          </w:p>
        </w:tc>
        <w:tc>
          <w:tcPr>
            <w:tcW w:w="8190" w:type="dxa"/>
          </w:tcPr>
          <w:p w:rsidR="00973707" w:rsidRPr="00D51A68" w:rsidRDefault="00973707" w:rsidP="00AF3D7A">
            <w:pPr>
              <w:spacing w:beforeLines="60" w:before="144" w:afterLines="60" w:after="144"/>
              <w:rPr>
                <w:rStyle w:val="InstructionsTabelleberschrift"/>
                <w:rFonts w:ascii="Times New Roman" w:hAnsi="Times New Roman"/>
                <w:sz w:val="24"/>
              </w:rPr>
            </w:pPr>
            <w:r w:rsidRPr="00D51A68">
              <w:rPr>
                <w:rStyle w:val="InstructionsTabelleberschrift"/>
                <w:rFonts w:ascii="Times New Roman" w:hAnsi="Times New Roman"/>
                <w:sz w:val="24"/>
              </w:rPr>
              <w:t>RISCHIO OPERATIVO</w:t>
            </w:r>
          </w:p>
          <w:p w:rsidR="00973707" w:rsidRPr="00D51A68" w:rsidRDefault="00973707" w:rsidP="00AF3D7A">
            <w:pPr>
              <w:spacing w:beforeLines="60" w:before="144" w:afterLines="60" w:after="144"/>
              <w:rPr>
                <w:rStyle w:val="InstructionsTabelleberschrift"/>
                <w:rFonts w:ascii="Times New Roman" w:hAnsi="Times New Roman"/>
                <w:sz w:val="24"/>
              </w:rPr>
            </w:pPr>
            <w:r w:rsidRPr="00D51A68">
              <w:rPr>
                <w:rStyle w:val="InstructionsTabelleberschrift"/>
                <w:rFonts w:ascii="Times New Roman" w:hAnsi="Times New Roman"/>
                <w:b w:val="0"/>
                <w:sz w:val="24"/>
                <w:u w:val="none"/>
              </w:rPr>
              <w:t>Rettifiche applicate al fair value (valore equo) dell</w:t>
            </w:r>
            <w:r w:rsidR="0009277C" w:rsidRPr="00D51A68">
              <w:rPr>
                <w:rStyle w:val="InstructionsTabelleberschrift"/>
                <w:rFonts w:ascii="Times New Roman" w:hAnsi="Times New Roman"/>
                <w:b w:val="0"/>
                <w:sz w:val="24"/>
                <w:u w:val="none"/>
              </w:rPr>
              <w:t>’</w:t>
            </w:r>
            <w:r w:rsidRPr="00D51A68">
              <w:rPr>
                <w:rStyle w:val="InstructionsTabelleberschrift"/>
                <w:rFonts w:ascii="Times New Roman" w:hAnsi="Times New Roman"/>
                <w:b w:val="0"/>
                <w:sz w:val="24"/>
                <w:u w:val="none"/>
              </w:rPr>
              <w:t>ente per riflettere il premio di rischio che i partecipanti al mercato esigerebbero per i rischi operativi derivanti da copertura, amministrazione e regolamento di contratti del portafoglio, e che pertanto possono essere considerate volte a far fronte alla stessa fonte di incertezza dell</w:t>
            </w:r>
            <w:r w:rsidR="0009277C" w:rsidRPr="00D51A68">
              <w:rPr>
                <w:rStyle w:val="InstructionsTabelleberschrift"/>
                <w:rFonts w:ascii="Times New Roman" w:hAnsi="Times New Roman"/>
                <w:b w:val="0"/>
                <w:sz w:val="24"/>
                <w:u w:val="none"/>
              </w:rPr>
              <w:t>’</w:t>
            </w:r>
            <w:r w:rsidRPr="00D51A68">
              <w:rPr>
                <w:rStyle w:val="InstructionsTabelleberschrift"/>
                <w:rFonts w:ascii="Times New Roman" w:hAnsi="Times New Roman"/>
                <w:b w:val="0"/>
                <w:sz w:val="24"/>
                <w:u w:val="none"/>
              </w:rPr>
              <w:t>AVA per i rischi operativi.</w:t>
            </w:r>
          </w:p>
        </w:tc>
      </w:tr>
      <w:tr w:rsidR="00973707" w:rsidRPr="00D51A68" w:rsidTr="00672D2A">
        <w:tc>
          <w:tcPr>
            <w:tcW w:w="1101" w:type="dxa"/>
          </w:tcPr>
          <w:p w:rsidR="00973707" w:rsidRPr="00D51A68" w:rsidRDefault="009A7A38" w:rsidP="00AF3D7A">
            <w:pPr>
              <w:spacing w:beforeLines="60" w:before="144" w:afterLines="60" w:after="144"/>
              <w:rPr>
                <w:rFonts w:ascii="Times New Roman" w:hAnsi="Times New Roman"/>
                <w:sz w:val="24"/>
              </w:rPr>
            </w:pPr>
            <w:r w:rsidRPr="00D51A68">
              <w:rPr>
                <w:rFonts w:ascii="Times New Roman" w:hAnsi="Times New Roman"/>
                <w:sz w:val="24"/>
              </w:rPr>
              <w:t>0260</w:t>
            </w:r>
          </w:p>
        </w:tc>
        <w:tc>
          <w:tcPr>
            <w:tcW w:w="8190" w:type="dxa"/>
          </w:tcPr>
          <w:p w:rsidR="00973707" w:rsidRPr="00D51A68" w:rsidRDefault="00973707" w:rsidP="00AF3D7A">
            <w:pPr>
              <w:spacing w:beforeLines="60" w:before="144" w:afterLines="60" w:after="144"/>
              <w:rPr>
                <w:rStyle w:val="InstructionsTabelleberschrift"/>
                <w:rFonts w:ascii="Times New Roman" w:hAnsi="Times New Roman"/>
                <w:sz w:val="24"/>
              </w:rPr>
            </w:pPr>
            <w:r w:rsidRPr="00D51A68">
              <w:rPr>
                <w:rStyle w:val="InstructionsTabelleberschrift"/>
                <w:rFonts w:ascii="Times New Roman" w:hAnsi="Times New Roman"/>
                <w:sz w:val="24"/>
              </w:rPr>
              <w:t>P&amp;L DEL GIORNO 1</w:t>
            </w:r>
          </w:p>
          <w:p w:rsidR="001B1531" w:rsidRPr="00D51A68" w:rsidRDefault="00973707" w:rsidP="00BE76FD">
            <w:pPr>
              <w:spacing w:beforeLines="60" w:before="144" w:afterLines="60" w:after="144"/>
              <w:rPr>
                <w:rStyle w:val="InstructionsTabelleberschrift"/>
                <w:rFonts w:ascii="Times New Roman" w:hAnsi="Times New Roman"/>
                <w:b w:val="0"/>
                <w:sz w:val="24"/>
                <w:u w:val="none"/>
              </w:rPr>
            </w:pPr>
            <w:r w:rsidRPr="00D51A68">
              <w:rPr>
                <w:rStyle w:val="InstructionsTabelleberschrift"/>
                <w:rFonts w:ascii="Times New Roman" w:hAnsi="Times New Roman"/>
                <w:b w:val="0"/>
                <w:sz w:val="24"/>
                <w:u w:val="none"/>
              </w:rPr>
              <w:t>Rettifiche per riflettere i casi in cui il modello di valutazione più tutte le altre rettifiche pertinenti del fair value (valore equo) applicabili ad una posizione o ad un portafoglio non riflettevano il prezzo pagato o ricevuto il primo giorno della rilevazione, ovvero il differimento dell</w:t>
            </w:r>
            <w:r w:rsidR="0009277C" w:rsidRPr="00D51A68">
              <w:rPr>
                <w:rStyle w:val="InstructionsTabelleberschrift"/>
                <w:rFonts w:ascii="Times New Roman" w:hAnsi="Times New Roman"/>
                <w:b w:val="0"/>
                <w:sz w:val="24"/>
                <w:u w:val="none"/>
              </w:rPr>
              <w:t>’</w:t>
            </w:r>
            <w:r w:rsidRPr="00D51A68">
              <w:rPr>
                <w:rStyle w:val="InstructionsTabelleberschrift"/>
                <w:rFonts w:ascii="Times New Roman" w:hAnsi="Times New Roman"/>
                <w:b w:val="0"/>
                <w:sz w:val="24"/>
                <w:u w:val="none"/>
              </w:rPr>
              <w:t>utile o della perdita del giorno</w:t>
            </w:r>
            <w:r w:rsidR="00BE76FD" w:rsidRPr="00D51A68">
              <w:rPr>
                <w:rStyle w:val="InstructionsTabelleberschrift"/>
                <w:rFonts w:ascii="Times New Roman" w:hAnsi="Times New Roman"/>
                <w:b w:val="0"/>
                <w:sz w:val="24"/>
                <w:u w:val="none"/>
              </w:rPr>
              <w:t> </w:t>
            </w:r>
            <w:r w:rsidRPr="00D51A68">
              <w:rPr>
                <w:rStyle w:val="InstructionsTabelleberschrift"/>
                <w:rFonts w:ascii="Times New Roman" w:hAnsi="Times New Roman"/>
                <w:b w:val="0"/>
                <w:sz w:val="24"/>
                <w:u w:val="none"/>
              </w:rPr>
              <w:t>1</w:t>
            </w:r>
            <w:r w:rsidR="00BE76FD" w:rsidRPr="00D51A68">
              <w:rPr>
                <w:rStyle w:val="InstructionsTabelleberschrift"/>
                <w:rFonts w:ascii="Times New Roman" w:hAnsi="Times New Roman"/>
                <w:b w:val="0"/>
                <w:sz w:val="24"/>
                <w:u w:val="none"/>
              </w:rPr>
              <w:t xml:space="preserve"> (IFRS </w:t>
            </w:r>
            <w:r w:rsidRPr="00D51A68">
              <w:rPr>
                <w:rStyle w:val="InstructionsTabelleberschrift"/>
                <w:rFonts w:ascii="Times New Roman" w:hAnsi="Times New Roman"/>
                <w:b w:val="0"/>
                <w:sz w:val="24"/>
                <w:u w:val="none"/>
              </w:rPr>
              <w:t>9.B5.1.2.A).</w:t>
            </w:r>
          </w:p>
        </w:tc>
      </w:tr>
      <w:tr w:rsidR="00973707" w:rsidRPr="00D51A68" w:rsidTr="00672D2A">
        <w:tc>
          <w:tcPr>
            <w:tcW w:w="1101" w:type="dxa"/>
          </w:tcPr>
          <w:p w:rsidR="00973707" w:rsidRPr="00D51A68" w:rsidRDefault="009A7A38" w:rsidP="00AF3D7A">
            <w:pPr>
              <w:spacing w:beforeLines="60" w:before="144" w:afterLines="60" w:after="144"/>
              <w:rPr>
                <w:rFonts w:ascii="Times New Roman" w:hAnsi="Times New Roman"/>
                <w:sz w:val="24"/>
              </w:rPr>
            </w:pPr>
            <w:r w:rsidRPr="00D51A68">
              <w:rPr>
                <w:rFonts w:ascii="Times New Roman" w:hAnsi="Times New Roman"/>
                <w:sz w:val="24"/>
              </w:rPr>
              <w:t>0270</w:t>
            </w:r>
          </w:p>
        </w:tc>
        <w:tc>
          <w:tcPr>
            <w:tcW w:w="8190" w:type="dxa"/>
          </w:tcPr>
          <w:p w:rsidR="00973707" w:rsidRPr="00D51A68" w:rsidRDefault="00973707" w:rsidP="00AF3D7A">
            <w:pPr>
              <w:spacing w:beforeLines="60" w:before="144" w:afterLines="60" w:after="144"/>
              <w:rPr>
                <w:rStyle w:val="InstructionsTabelleberschrift"/>
                <w:rFonts w:ascii="Times New Roman" w:hAnsi="Times New Roman"/>
                <w:sz w:val="24"/>
              </w:rPr>
            </w:pPr>
            <w:r w:rsidRPr="00D51A68">
              <w:rPr>
                <w:rStyle w:val="InstructionsTabelleberschrift"/>
                <w:rFonts w:ascii="Times New Roman" w:hAnsi="Times New Roman"/>
                <w:sz w:val="24"/>
              </w:rPr>
              <w:t>SPIEGAZIONE E DESCRIZIONE</w:t>
            </w:r>
          </w:p>
          <w:p w:rsidR="00973707" w:rsidRPr="00D51A68" w:rsidRDefault="00973707" w:rsidP="00FD239F">
            <w:pPr>
              <w:spacing w:beforeLines="60" w:before="144" w:afterLines="60" w:after="144"/>
              <w:rPr>
                <w:rStyle w:val="InstructionsTabelleberschrift"/>
                <w:rFonts w:ascii="Times New Roman" w:hAnsi="Times New Roman"/>
                <w:b w:val="0"/>
                <w:sz w:val="24"/>
                <w:u w:val="none"/>
              </w:rPr>
            </w:pPr>
            <w:r w:rsidRPr="00D51A68">
              <w:rPr>
                <w:rFonts w:ascii="Times New Roman" w:hAnsi="Times New Roman"/>
                <w:sz w:val="24"/>
              </w:rPr>
              <w:t>Descrizione delle posizioni di cui all</w:t>
            </w:r>
            <w:r w:rsidR="0009277C" w:rsidRPr="00D51A68">
              <w:rPr>
                <w:rFonts w:ascii="Times New Roman" w:hAnsi="Times New Roman"/>
                <w:sz w:val="24"/>
              </w:rPr>
              <w:t>’</w:t>
            </w:r>
            <w:r w:rsidRPr="00D51A68">
              <w:rPr>
                <w:rFonts w:ascii="Times New Roman" w:hAnsi="Times New Roman"/>
                <w:sz w:val="24"/>
              </w:rPr>
              <w:t>articolo 7, paragrafo 2, lettera b), del regolamento delegato (UE) 2016/101 sulla valutazione prudente e delle ragioni per cui non è stato possibile applicare gli articoli da 9 a 17.</w:t>
            </w:r>
          </w:p>
        </w:tc>
      </w:tr>
    </w:tbl>
    <w:p w:rsidR="00B93FA1" w:rsidRPr="00D51A68" w:rsidRDefault="00B93FA1" w:rsidP="00C61FF5">
      <w:pPr>
        <w:rPr>
          <w:rStyle w:val="InstructionsTabelleText"/>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87"/>
      </w:tblGrid>
      <w:tr w:rsidR="00973707" w:rsidRPr="00D51A68" w:rsidTr="00672D2A">
        <w:tc>
          <w:tcPr>
            <w:tcW w:w="9288" w:type="dxa"/>
            <w:gridSpan w:val="2"/>
            <w:shd w:val="clear" w:color="auto" w:fill="CCCCCC"/>
          </w:tcPr>
          <w:p w:rsidR="00973707" w:rsidRPr="00D51A68" w:rsidRDefault="00973707" w:rsidP="00AF3D7A">
            <w:pPr>
              <w:spacing w:beforeLines="60" w:before="144" w:afterLines="60" w:after="144"/>
              <w:rPr>
                <w:rFonts w:ascii="Times New Roman" w:hAnsi="Times New Roman"/>
                <w:b/>
                <w:sz w:val="24"/>
              </w:rPr>
            </w:pPr>
            <w:r w:rsidRPr="00D51A68">
              <w:rPr>
                <w:rFonts w:ascii="Times New Roman" w:hAnsi="Times New Roman"/>
                <w:b/>
                <w:sz w:val="24"/>
              </w:rPr>
              <w:t>Righe</w:t>
            </w:r>
          </w:p>
        </w:tc>
      </w:tr>
      <w:tr w:rsidR="00973707" w:rsidRPr="00D51A68" w:rsidTr="00672D2A">
        <w:tc>
          <w:tcPr>
            <w:tcW w:w="1101" w:type="dxa"/>
          </w:tcPr>
          <w:p w:rsidR="00973707" w:rsidRPr="00D51A68" w:rsidRDefault="009A7A38" w:rsidP="00AF3D7A">
            <w:pPr>
              <w:spacing w:beforeLines="60" w:before="144" w:afterLines="60" w:after="144"/>
              <w:rPr>
                <w:rFonts w:ascii="Times New Roman" w:hAnsi="Times New Roman"/>
                <w:sz w:val="24"/>
              </w:rPr>
            </w:pPr>
            <w:r w:rsidRPr="00D51A68">
              <w:rPr>
                <w:rFonts w:ascii="Times New Roman" w:hAnsi="Times New Roman"/>
                <w:sz w:val="24"/>
              </w:rPr>
              <w:t>0010</w:t>
            </w:r>
          </w:p>
        </w:tc>
        <w:tc>
          <w:tcPr>
            <w:tcW w:w="8187" w:type="dxa"/>
          </w:tcPr>
          <w:p w:rsidR="00973707" w:rsidRPr="00D51A68" w:rsidRDefault="00973707" w:rsidP="00AF3D7A">
            <w:pPr>
              <w:spacing w:beforeLines="60" w:before="144" w:afterLines="60" w:after="144"/>
              <w:rPr>
                <w:rFonts w:ascii="Times New Roman" w:hAnsi="Times New Roman"/>
                <w:b/>
                <w:sz w:val="24"/>
                <w:u w:val="single"/>
              </w:rPr>
            </w:pPr>
            <w:r w:rsidRPr="00D51A68">
              <w:rPr>
                <w:rFonts w:ascii="Times New Roman" w:hAnsi="Times New Roman"/>
                <w:b/>
                <w:sz w:val="24"/>
                <w:u w:val="single"/>
              </w:rPr>
              <w:t xml:space="preserve">1. METODO DI BASE TOTALE </w:t>
            </w:r>
          </w:p>
          <w:p w:rsidR="00973707" w:rsidRPr="00D51A68" w:rsidRDefault="00973707" w:rsidP="00AF3D7A">
            <w:pPr>
              <w:spacing w:beforeLines="60" w:before="144" w:afterLines="60" w:after="144"/>
              <w:rPr>
                <w:rFonts w:ascii="Times New Roman" w:hAnsi="Times New Roman"/>
                <w:sz w:val="24"/>
              </w:rPr>
            </w:pPr>
            <w:r w:rsidRPr="00D51A68">
              <w:rPr>
                <w:rFonts w:ascii="Times New Roman" w:hAnsi="Times New Roman"/>
                <w:sz w:val="24"/>
              </w:rPr>
              <w:t>Articolo 7, paragrafo 2, del regolamento delegato (UE) 2016/101 sulla valutazione prudente.</w:t>
            </w:r>
          </w:p>
          <w:p w:rsidR="00973707" w:rsidRPr="00D51A68" w:rsidRDefault="00973707" w:rsidP="00AF3D7A">
            <w:pPr>
              <w:spacing w:beforeLines="60" w:before="144" w:afterLines="60" w:after="144"/>
              <w:rPr>
                <w:rFonts w:ascii="Times New Roman" w:hAnsi="Times New Roman"/>
                <w:sz w:val="24"/>
              </w:rPr>
            </w:pPr>
            <w:r w:rsidRPr="00D51A68">
              <w:rPr>
                <w:rFonts w:ascii="Times New Roman" w:hAnsi="Times New Roman"/>
                <w:sz w:val="24"/>
              </w:rPr>
              <w:t>Per ciascuna categoria pertinente di AVA di cui alle colonne da 0010 a 0110, gli AVA totali computati secondo il metodo di base come previsto al capo 3 del regolamento delegato (UE) 2016/101 sulla valutazione prudente per le attività e le passività valutate al fair value (valore equo) incluse ai fini del computo della soglia a norma dell</w:t>
            </w:r>
            <w:r w:rsidR="0009277C" w:rsidRPr="00D51A68">
              <w:rPr>
                <w:rFonts w:ascii="Times New Roman" w:hAnsi="Times New Roman"/>
                <w:sz w:val="24"/>
              </w:rPr>
              <w:t>’</w:t>
            </w:r>
            <w:r w:rsidRPr="00D51A68">
              <w:rPr>
                <w:rFonts w:ascii="Times New Roman" w:hAnsi="Times New Roman"/>
                <w:sz w:val="24"/>
              </w:rPr>
              <w:t>articolo 4, paragrafo 1</w:t>
            </w:r>
            <w:r w:rsidR="00BE76FD" w:rsidRPr="00D51A68">
              <w:rPr>
                <w:rFonts w:ascii="Times New Roman" w:hAnsi="Times New Roman"/>
                <w:sz w:val="24"/>
              </w:rPr>
              <w:t>, del regolamento delegato (UE) </w:t>
            </w:r>
            <w:r w:rsidRPr="00D51A68">
              <w:rPr>
                <w:rFonts w:ascii="Times New Roman" w:hAnsi="Times New Roman"/>
                <w:sz w:val="24"/>
              </w:rPr>
              <w:t>2016/101 sulla valutazione prudente. Sono inclusi i benefici della diversificazione indicati nella riga 0140 a norma dell</w:t>
            </w:r>
            <w:r w:rsidR="0009277C" w:rsidRPr="00D51A68">
              <w:rPr>
                <w:rFonts w:ascii="Times New Roman" w:hAnsi="Times New Roman"/>
                <w:sz w:val="24"/>
              </w:rPr>
              <w:t>’</w:t>
            </w:r>
            <w:r w:rsidRPr="00D51A68">
              <w:rPr>
                <w:rFonts w:ascii="Times New Roman" w:hAnsi="Times New Roman"/>
                <w:sz w:val="24"/>
              </w:rPr>
              <w:t>articolo 9, paragrafo 6, dell</w:t>
            </w:r>
            <w:r w:rsidR="0009277C" w:rsidRPr="00D51A68">
              <w:rPr>
                <w:rFonts w:ascii="Times New Roman" w:hAnsi="Times New Roman"/>
                <w:sz w:val="24"/>
              </w:rPr>
              <w:t>’</w:t>
            </w:r>
            <w:r w:rsidRPr="00D51A68">
              <w:rPr>
                <w:rFonts w:ascii="Times New Roman" w:hAnsi="Times New Roman"/>
                <w:sz w:val="24"/>
              </w:rPr>
              <w:t>articolo 10, paragrafo 7, e dell</w:t>
            </w:r>
            <w:r w:rsidR="0009277C" w:rsidRPr="00D51A68">
              <w:rPr>
                <w:rFonts w:ascii="Times New Roman" w:hAnsi="Times New Roman"/>
                <w:sz w:val="24"/>
              </w:rPr>
              <w:t>’</w:t>
            </w:r>
            <w:r w:rsidRPr="00D51A68">
              <w:rPr>
                <w:rFonts w:ascii="Times New Roman" w:hAnsi="Times New Roman"/>
                <w:sz w:val="24"/>
              </w:rPr>
              <w:t xml:space="preserve">articolo 11, paragrafo 7, del regolamento delegato (UE) 2016/101 sulla valutazione prudente. </w:t>
            </w:r>
          </w:p>
        </w:tc>
      </w:tr>
      <w:tr w:rsidR="00973707" w:rsidRPr="00D51A68" w:rsidTr="00672D2A">
        <w:tc>
          <w:tcPr>
            <w:tcW w:w="1101" w:type="dxa"/>
          </w:tcPr>
          <w:p w:rsidR="00973707" w:rsidRPr="00D51A68" w:rsidRDefault="009A7A38" w:rsidP="00AF3D7A">
            <w:pPr>
              <w:spacing w:beforeLines="60" w:before="144" w:afterLines="60" w:after="144"/>
              <w:rPr>
                <w:rFonts w:ascii="Times New Roman" w:hAnsi="Times New Roman"/>
                <w:sz w:val="24"/>
              </w:rPr>
            </w:pPr>
            <w:r w:rsidRPr="00D51A68">
              <w:rPr>
                <w:rFonts w:ascii="Times New Roman" w:hAnsi="Times New Roman"/>
                <w:sz w:val="24"/>
              </w:rPr>
              <w:t>0020</w:t>
            </w:r>
          </w:p>
        </w:tc>
        <w:tc>
          <w:tcPr>
            <w:tcW w:w="8187" w:type="dxa"/>
          </w:tcPr>
          <w:p w:rsidR="00973707" w:rsidRPr="00D51A68" w:rsidRDefault="00973707" w:rsidP="00AF3D7A">
            <w:pPr>
              <w:spacing w:beforeLines="60" w:before="144" w:afterLines="60" w:after="144"/>
              <w:rPr>
                <w:rFonts w:ascii="Times New Roman" w:hAnsi="Times New Roman"/>
                <w:b/>
                <w:sz w:val="24"/>
                <w:u w:val="single"/>
              </w:rPr>
            </w:pPr>
            <w:r w:rsidRPr="00D51A68">
              <w:rPr>
                <w:rFonts w:ascii="Times New Roman" w:hAnsi="Times New Roman"/>
                <w:b/>
                <w:sz w:val="24"/>
                <w:u w:val="single"/>
              </w:rPr>
              <w:t xml:space="preserve">DI CUI: PORTAFOGLIO DI NEGOZIAZIONE </w:t>
            </w:r>
          </w:p>
          <w:p w:rsidR="00973707" w:rsidRPr="00D51A68" w:rsidRDefault="00973707" w:rsidP="00BE76FD">
            <w:pPr>
              <w:spacing w:beforeLines="60" w:before="144" w:after="0"/>
              <w:rPr>
                <w:rFonts w:ascii="Times New Roman" w:hAnsi="Times New Roman"/>
                <w:sz w:val="24"/>
              </w:rPr>
            </w:pPr>
            <w:r w:rsidRPr="00D51A68">
              <w:rPr>
                <w:rFonts w:ascii="Times New Roman" w:hAnsi="Times New Roman"/>
                <w:sz w:val="24"/>
              </w:rPr>
              <w:t>Articolo 7, paragrafo 2, del regolamento delegato (UE) 2016/101 sulla valutazione prudente.</w:t>
            </w:r>
          </w:p>
          <w:p w:rsidR="00973707" w:rsidRPr="00D51A68" w:rsidRDefault="00973707" w:rsidP="00BE76FD">
            <w:pPr>
              <w:spacing w:beforeLines="60" w:before="144" w:after="0"/>
              <w:rPr>
                <w:rFonts w:ascii="Times New Roman" w:hAnsi="Times New Roman"/>
                <w:b/>
                <w:sz w:val="24"/>
                <w:u w:val="single"/>
              </w:rPr>
            </w:pPr>
            <w:r w:rsidRPr="00D51A68">
              <w:rPr>
                <w:rFonts w:ascii="Times New Roman" w:hAnsi="Times New Roman"/>
                <w:sz w:val="24"/>
              </w:rPr>
              <w:t>Per ciascuna categoria pertinente di AVA di cui alle colonne da 0010 a 0110, la quota degli AVA totali indicati nella riga 0010 derivante da posizioni del portafoglio di negoziazione (valore assoluto).</w:t>
            </w:r>
          </w:p>
        </w:tc>
      </w:tr>
      <w:tr w:rsidR="00973707" w:rsidRPr="00D51A68" w:rsidTr="00672D2A">
        <w:tc>
          <w:tcPr>
            <w:tcW w:w="1101" w:type="dxa"/>
          </w:tcPr>
          <w:p w:rsidR="00973707" w:rsidRPr="00D51A68" w:rsidRDefault="009A7A38" w:rsidP="00AF3D7A">
            <w:pPr>
              <w:spacing w:beforeLines="60" w:before="144" w:afterLines="60" w:after="144"/>
              <w:rPr>
                <w:rFonts w:ascii="Times New Roman" w:hAnsi="Times New Roman"/>
                <w:sz w:val="24"/>
              </w:rPr>
            </w:pPr>
            <w:r w:rsidRPr="00D51A68">
              <w:rPr>
                <w:rFonts w:ascii="Times New Roman" w:hAnsi="Times New Roman"/>
                <w:sz w:val="24"/>
              </w:rPr>
              <w:t>0030</w:t>
            </w:r>
          </w:p>
        </w:tc>
        <w:tc>
          <w:tcPr>
            <w:tcW w:w="8187" w:type="dxa"/>
          </w:tcPr>
          <w:p w:rsidR="00973707" w:rsidRPr="00D51A68" w:rsidRDefault="00973707" w:rsidP="00AF3D7A">
            <w:pPr>
              <w:spacing w:beforeLines="60" w:before="144" w:afterLines="60" w:after="144"/>
              <w:rPr>
                <w:rFonts w:ascii="Times New Roman" w:hAnsi="Times New Roman"/>
                <w:b/>
                <w:sz w:val="24"/>
                <w:u w:val="single"/>
              </w:rPr>
            </w:pPr>
            <w:r w:rsidRPr="00D51A68">
              <w:rPr>
                <w:rFonts w:ascii="Times New Roman" w:hAnsi="Times New Roman"/>
                <w:b/>
                <w:sz w:val="24"/>
                <w:u w:val="single"/>
              </w:rPr>
              <w:t xml:space="preserve">1.1 PORTAFOGLI DI CUI AGLI ARTICOLI DA 9 A 17 - TOTALE A LIVELLO DI CATEGORIA POST-DIVERSIFICAZIONE </w:t>
            </w:r>
          </w:p>
          <w:p w:rsidR="00973707" w:rsidRPr="00D51A68" w:rsidRDefault="00973707" w:rsidP="00AF3D7A">
            <w:pPr>
              <w:spacing w:beforeLines="60" w:before="144" w:afterLines="60" w:after="144"/>
              <w:rPr>
                <w:rFonts w:ascii="Times New Roman" w:hAnsi="Times New Roman"/>
                <w:sz w:val="24"/>
              </w:rPr>
            </w:pPr>
            <w:r w:rsidRPr="00D51A68">
              <w:rPr>
                <w:rFonts w:ascii="Times New Roman" w:hAnsi="Times New Roman"/>
                <w:sz w:val="24"/>
              </w:rPr>
              <w:t>Articolo 7, paragrafo 2, lettera a), del regolamento delegato (UE) 2016/101 sulla valutazione prudente</w:t>
            </w:r>
          </w:p>
          <w:p w:rsidR="00973707" w:rsidRPr="00D51A68" w:rsidRDefault="00973707" w:rsidP="00AF3D7A">
            <w:pPr>
              <w:spacing w:beforeLines="60" w:before="144" w:afterLines="60" w:after="144"/>
              <w:rPr>
                <w:rFonts w:ascii="Times New Roman" w:hAnsi="Times New Roman"/>
                <w:sz w:val="24"/>
              </w:rPr>
            </w:pPr>
            <w:r w:rsidRPr="00D51A68">
              <w:rPr>
                <w:rFonts w:ascii="Times New Roman" w:hAnsi="Times New Roman"/>
                <w:sz w:val="24"/>
              </w:rPr>
              <w:t>Per ciascuna categoria pertinente di AVA di cui alle colonne da 0010 a 0110, gli AVA totali computati a norma degli articoli da 9 a 17 del regolamento delegato (UE) 2016/101 sulla valutazione prudente per le attività e le passività valutate al fair value (valore equo) incluse ai fini del computo della soglia a norma dell</w:t>
            </w:r>
            <w:r w:rsidR="0009277C" w:rsidRPr="00D51A68">
              <w:rPr>
                <w:rFonts w:ascii="Times New Roman" w:hAnsi="Times New Roman"/>
                <w:sz w:val="24"/>
              </w:rPr>
              <w:t>’</w:t>
            </w:r>
            <w:r w:rsidRPr="00D51A68">
              <w:rPr>
                <w:rFonts w:ascii="Times New Roman" w:hAnsi="Times New Roman"/>
                <w:sz w:val="24"/>
              </w:rPr>
              <w:t>articolo 4, paragrafo 1, del regolamento delegato (UE) 2016/101 sulla valutazione prudente, ad eccezione delle attività e delle passività valutate al fair value (valore equo) soggette al trattamento descritto all</w:t>
            </w:r>
            <w:r w:rsidR="0009277C" w:rsidRPr="00D51A68">
              <w:rPr>
                <w:rFonts w:ascii="Times New Roman" w:hAnsi="Times New Roman"/>
                <w:sz w:val="24"/>
              </w:rPr>
              <w:t>’</w:t>
            </w:r>
            <w:r w:rsidRPr="00D51A68">
              <w:rPr>
                <w:rFonts w:ascii="Times New Roman" w:hAnsi="Times New Roman"/>
                <w:sz w:val="24"/>
              </w:rPr>
              <w:t xml:space="preserve">articolo 7, paragrafo 2, lettera b), del regolamento delegato (UE) 2016/101 sulla valutazione prudente. </w:t>
            </w:r>
          </w:p>
          <w:p w:rsidR="00973707" w:rsidRPr="00D51A68" w:rsidRDefault="00973707" w:rsidP="00AF3D7A">
            <w:pPr>
              <w:spacing w:beforeLines="60" w:before="144" w:afterLines="60" w:after="144"/>
              <w:rPr>
                <w:rFonts w:ascii="Times New Roman" w:hAnsi="Times New Roman"/>
                <w:sz w:val="24"/>
              </w:rPr>
            </w:pPr>
            <w:r w:rsidRPr="00D51A68">
              <w:rPr>
                <w:rFonts w:ascii="Times New Roman" w:hAnsi="Times New Roman"/>
                <w:sz w:val="24"/>
              </w:rPr>
              <w:t>Sono compresi gli AVA computati a norma degli articoli 12 e 13 del regolamento delegato (UE) 2016/101 sulla valutazione prudent</w:t>
            </w:r>
            <w:r w:rsidR="00BE76FD" w:rsidRPr="00D51A68">
              <w:rPr>
                <w:rFonts w:ascii="Times New Roman" w:hAnsi="Times New Roman"/>
                <w:sz w:val="24"/>
              </w:rPr>
              <w:t>e che sono indicati nelle righe </w:t>
            </w:r>
            <w:r w:rsidRPr="00D51A68">
              <w:rPr>
                <w:rFonts w:ascii="Times New Roman" w:hAnsi="Times New Roman"/>
                <w:sz w:val="24"/>
              </w:rPr>
              <w:t>0050 e 0060 e sono inclusi negli AVA per l</w:t>
            </w:r>
            <w:r w:rsidR="0009277C" w:rsidRPr="00D51A68">
              <w:rPr>
                <w:rFonts w:ascii="Times New Roman" w:hAnsi="Times New Roman"/>
                <w:sz w:val="24"/>
              </w:rPr>
              <w:t>’</w:t>
            </w:r>
            <w:r w:rsidRPr="00D51A68">
              <w:rPr>
                <w:rFonts w:ascii="Times New Roman" w:hAnsi="Times New Roman"/>
                <w:sz w:val="24"/>
              </w:rPr>
              <w:t>incertezza delle quotazioni di mercato, negli AVA per i costi di chiusura e negli AVA per i rischi del modello come previsto all</w:t>
            </w:r>
            <w:r w:rsidR="0009277C" w:rsidRPr="00D51A68">
              <w:rPr>
                <w:rFonts w:ascii="Times New Roman" w:hAnsi="Times New Roman"/>
                <w:sz w:val="24"/>
              </w:rPr>
              <w:t>’</w:t>
            </w:r>
            <w:r w:rsidRPr="00D51A68">
              <w:rPr>
                <w:rFonts w:ascii="Times New Roman" w:hAnsi="Times New Roman"/>
                <w:sz w:val="24"/>
              </w:rPr>
              <w:t>articolo 12, paragrafo 2, e all</w:t>
            </w:r>
            <w:r w:rsidR="0009277C" w:rsidRPr="00D51A68">
              <w:rPr>
                <w:rFonts w:ascii="Times New Roman" w:hAnsi="Times New Roman"/>
                <w:sz w:val="24"/>
              </w:rPr>
              <w:t>’</w:t>
            </w:r>
            <w:r w:rsidRPr="00D51A68">
              <w:rPr>
                <w:rFonts w:ascii="Times New Roman" w:hAnsi="Times New Roman"/>
                <w:sz w:val="24"/>
              </w:rPr>
              <w:t xml:space="preserve">articolo 13, paragrafo 2, del regolamento delegato (UE) 2016/101 sulla valutazione prudente </w:t>
            </w:r>
          </w:p>
          <w:p w:rsidR="00973707" w:rsidRPr="00D51A68" w:rsidRDefault="00973707" w:rsidP="00AF3D7A">
            <w:pPr>
              <w:spacing w:beforeLines="60" w:before="144" w:afterLines="60" w:after="144"/>
              <w:rPr>
                <w:rFonts w:ascii="Times New Roman" w:hAnsi="Times New Roman"/>
                <w:sz w:val="24"/>
              </w:rPr>
            </w:pPr>
            <w:r w:rsidRPr="00D51A68">
              <w:rPr>
                <w:rFonts w:ascii="Times New Roman" w:hAnsi="Times New Roman"/>
                <w:sz w:val="24"/>
              </w:rPr>
              <w:t>Sono inclusi i benefici della diversificazione indicati nella riga 0140 a norma dell</w:t>
            </w:r>
            <w:r w:rsidR="0009277C" w:rsidRPr="00D51A68">
              <w:rPr>
                <w:rFonts w:ascii="Times New Roman" w:hAnsi="Times New Roman"/>
                <w:sz w:val="24"/>
              </w:rPr>
              <w:t>’</w:t>
            </w:r>
            <w:r w:rsidRPr="00D51A68">
              <w:rPr>
                <w:rFonts w:ascii="Times New Roman" w:hAnsi="Times New Roman"/>
                <w:sz w:val="24"/>
              </w:rPr>
              <w:t>articolo 9, paragrafo 6, dell</w:t>
            </w:r>
            <w:r w:rsidR="0009277C" w:rsidRPr="00D51A68">
              <w:rPr>
                <w:rFonts w:ascii="Times New Roman" w:hAnsi="Times New Roman"/>
                <w:sz w:val="24"/>
              </w:rPr>
              <w:t>’</w:t>
            </w:r>
            <w:r w:rsidRPr="00D51A68">
              <w:rPr>
                <w:rFonts w:ascii="Times New Roman" w:hAnsi="Times New Roman"/>
                <w:sz w:val="24"/>
              </w:rPr>
              <w:t>articolo 10, paragrafo 7, e dell</w:t>
            </w:r>
            <w:r w:rsidR="0009277C" w:rsidRPr="00D51A68">
              <w:rPr>
                <w:rFonts w:ascii="Times New Roman" w:hAnsi="Times New Roman"/>
                <w:sz w:val="24"/>
              </w:rPr>
              <w:t>’</w:t>
            </w:r>
            <w:r w:rsidRPr="00D51A68">
              <w:rPr>
                <w:rFonts w:ascii="Times New Roman" w:hAnsi="Times New Roman"/>
                <w:sz w:val="24"/>
              </w:rPr>
              <w:t xml:space="preserve">articolo 11, paragrafo 7, del regolamento delegato (UE) 2016/101 sulla valutazione prudente. </w:t>
            </w:r>
          </w:p>
          <w:p w:rsidR="00973707" w:rsidRPr="00D51A68" w:rsidRDefault="00973707" w:rsidP="009A7A38">
            <w:pPr>
              <w:spacing w:beforeLines="60" w:before="144" w:afterLines="60" w:after="144"/>
              <w:rPr>
                <w:rFonts w:ascii="Times New Roman" w:hAnsi="Times New Roman"/>
                <w:sz w:val="24"/>
              </w:rPr>
            </w:pPr>
            <w:r w:rsidRPr="00D51A68">
              <w:rPr>
                <w:rFonts w:ascii="Times New Roman" w:hAnsi="Times New Roman"/>
                <w:sz w:val="24"/>
              </w:rPr>
              <w:t xml:space="preserve">La riga 0030 è pertanto la differenza tra le righe 0040 e 0140. </w:t>
            </w:r>
          </w:p>
        </w:tc>
      </w:tr>
      <w:tr w:rsidR="00973707" w:rsidRPr="00D51A68" w:rsidTr="00672D2A">
        <w:tc>
          <w:tcPr>
            <w:tcW w:w="1101" w:type="dxa"/>
          </w:tcPr>
          <w:p w:rsidR="00973707" w:rsidRPr="00D51A68" w:rsidRDefault="009A7A38" w:rsidP="00AF3D7A">
            <w:pPr>
              <w:spacing w:beforeLines="60" w:before="144" w:afterLines="60" w:after="144"/>
              <w:rPr>
                <w:rFonts w:ascii="Times New Roman" w:hAnsi="Times New Roman"/>
                <w:sz w:val="24"/>
              </w:rPr>
            </w:pPr>
            <w:r w:rsidRPr="00D51A68">
              <w:rPr>
                <w:rFonts w:ascii="Times New Roman" w:hAnsi="Times New Roman"/>
                <w:sz w:val="24"/>
              </w:rPr>
              <w:t>0040 - 0130</w:t>
            </w:r>
          </w:p>
        </w:tc>
        <w:tc>
          <w:tcPr>
            <w:tcW w:w="8187" w:type="dxa"/>
          </w:tcPr>
          <w:p w:rsidR="00973707" w:rsidRPr="00D51A68" w:rsidRDefault="00973707" w:rsidP="00AF3D7A">
            <w:pPr>
              <w:spacing w:beforeLines="60" w:before="144" w:afterLines="60" w:after="144"/>
              <w:rPr>
                <w:rFonts w:ascii="Times New Roman" w:hAnsi="Times New Roman"/>
                <w:b/>
                <w:sz w:val="24"/>
                <w:u w:val="single"/>
              </w:rPr>
            </w:pPr>
            <w:r w:rsidRPr="00D51A68">
              <w:rPr>
                <w:rFonts w:ascii="Times New Roman" w:hAnsi="Times New Roman"/>
                <w:b/>
                <w:sz w:val="24"/>
                <w:u w:val="single"/>
              </w:rPr>
              <w:t>1.1.1 TOTALE A LIVELLO DI CATEGORIA PRE-DIVERSIFICAZIONE</w:t>
            </w:r>
          </w:p>
          <w:p w:rsidR="00973707" w:rsidRPr="00D51A68" w:rsidRDefault="00973707" w:rsidP="00AF3D7A">
            <w:pPr>
              <w:spacing w:beforeLines="60" w:before="144" w:afterLines="60" w:after="144"/>
              <w:rPr>
                <w:rFonts w:ascii="Times New Roman" w:hAnsi="Times New Roman"/>
                <w:sz w:val="24"/>
              </w:rPr>
            </w:pPr>
            <w:r w:rsidRPr="00D51A68">
              <w:rPr>
                <w:rFonts w:ascii="Times New Roman" w:hAnsi="Times New Roman"/>
                <w:sz w:val="24"/>
              </w:rPr>
              <w:t>Per le righe da 0090 a 0130 gli enti classificano le loro attività e passività valutate al fair value (valore equo) incluse ai fini del computo della soglia a norma dell</w:t>
            </w:r>
            <w:r w:rsidR="0009277C" w:rsidRPr="00D51A68">
              <w:rPr>
                <w:rFonts w:ascii="Times New Roman" w:hAnsi="Times New Roman"/>
                <w:sz w:val="24"/>
              </w:rPr>
              <w:t>’</w:t>
            </w:r>
            <w:r w:rsidRPr="00D51A68">
              <w:rPr>
                <w:rFonts w:ascii="Times New Roman" w:hAnsi="Times New Roman"/>
                <w:sz w:val="24"/>
              </w:rPr>
              <w:t>articolo 4, paragrafo 1, del regolamento delegato (UE) 2016/101 sulla valutazione prudente (all</w:t>
            </w:r>
            <w:r w:rsidR="0009277C" w:rsidRPr="00D51A68">
              <w:rPr>
                <w:rFonts w:ascii="Times New Roman" w:hAnsi="Times New Roman"/>
                <w:sz w:val="24"/>
              </w:rPr>
              <w:t>’</w:t>
            </w:r>
            <w:r w:rsidRPr="00D51A68">
              <w:rPr>
                <w:rFonts w:ascii="Times New Roman" w:hAnsi="Times New Roman"/>
                <w:sz w:val="24"/>
              </w:rPr>
              <w:t>interno e all</w:t>
            </w:r>
            <w:r w:rsidR="0009277C" w:rsidRPr="00D51A68">
              <w:rPr>
                <w:rFonts w:ascii="Times New Roman" w:hAnsi="Times New Roman"/>
                <w:sz w:val="24"/>
              </w:rPr>
              <w:t>’</w:t>
            </w:r>
            <w:r w:rsidRPr="00D51A68">
              <w:rPr>
                <w:rFonts w:ascii="Times New Roman" w:hAnsi="Times New Roman"/>
                <w:sz w:val="24"/>
              </w:rPr>
              <w:t xml:space="preserve">esterno del portafoglio di negoziazione) in base alle categorie di rischio seguenti: tassi di interesse, cambio, credito, strumenti di capitale e merci. </w:t>
            </w:r>
          </w:p>
          <w:p w:rsidR="00973707" w:rsidRPr="00D51A68" w:rsidRDefault="00973707" w:rsidP="00AF3D7A">
            <w:pPr>
              <w:spacing w:beforeLines="60" w:before="144" w:afterLines="60" w:after="144"/>
              <w:rPr>
                <w:rFonts w:ascii="Times New Roman" w:hAnsi="Times New Roman"/>
                <w:sz w:val="24"/>
              </w:rPr>
            </w:pPr>
            <w:r w:rsidRPr="00D51A68">
              <w:rPr>
                <w:rFonts w:ascii="Times New Roman" w:hAnsi="Times New Roman"/>
                <w:sz w:val="24"/>
              </w:rPr>
              <w:t>A tal fine gli enti si affidano alla loro struttura interna di gestione del rischio e, secondo una mappatura elaborata in base alla valutazione di esperti, assegnano le loro linee di business o unità di negoziazione alla categoria di rischio più appropriata. Gli AVA, le rettifiche del fair value (valore equo) ed altre informazioni richieste corrispondenti alle linee di business o alle unità di negoziazione assegnate sono poi allocati alla stessa categoria di rischio pertinente, per fornire a livello di riga per ciascuna categoria di rischio un quadro coerente degli aggiustamenti apportati sia a fini prudenziali che a fini contabili ed un</w:t>
            </w:r>
            <w:r w:rsidR="0009277C" w:rsidRPr="00D51A68">
              <w:rPr>
                <w:rFonts w:ascii="Times New Roman" w:hAnsi="Times New Roman"/>
                <w:sz w:val="24"/>
              </w:rPr>
              <w:t>’</w:t>
            </w:r>
            <w:r w:rsidRPr="00D51A68">
              <w:rPr>
                <w:rFonts w:ascii="Times New Roman" w:hAnsi="Times New Roman"/>
                <w:sz w:val="24"/>
              </w:rPr>
              <w:t>indicazione della dimensione delle posizioni interessate (in termini di attività e passività valutate al fair value (valore equo)). Quando gli AVA o altri aggiustamenti sono computati ad un livello di aggregazione diverso, in particolare a livello di impresa, gli enti elaborano una metodologia di assegnazione degli AVA agli insiemi pertinenti di posizioni. La metodologia di allocazione fa sì che la riga 0040 sia la somma delle righe da 0050 a 0130 per le colonne da 0010</w:t>
            </w:r>
            <w:r w:rsidR="00BE76FD" w:rsidRPr="00D51A68">
              <w:rPr>
                <w:rFonts w:ascii="Times New Roman" w:hAnsi="Times New Roman"/>
                <w:sz w:val="24"/>
              </w:rPr>
              <w:t xml:space="preserve"> a </w:t>
            </w:r>
            <w:r w:rsidRPr="00D51A68">
              <w:rPr>
                <w:rFonts w:ascii="Times New Roman" w:hAnsi="Times New Roman"/>
                <w:sz w:val="24"/>
              </w:rPr>
              <w:t xml:space="preserve">0100. </w:t>
            </w:r>
          </w:p>
          <w:p w:rsidR="00973707" w:rsidRPr="00D51A68" w:rsidRDefault="00973707" w:rsidP="00AF3D7A">
            <w:pPr>
              <w:spacing w:beforeLines="60" w:before="144" w:afterLines="60" w:after="144"/>
              <w:rPr>
                <w:rFonts w:ascii="Times New Roman" w:hAnsi="Times New Roman"/>
                <w:sz w:val="24"/>
              </w:rPr>
            </w:pPr>
            <w:r w:rsidRPr="00D51A68">
              <w:rPr>
                <w:rFonts w:ascii="Times New Roman" w:hAnsi="Times New Roman"/>
                <w:sz w:val="24"/>
              </w:rPr>
              <w:t xml:space="preserve">Indipendentemente dal metodo applicato, le informazioni fornite sono per quanto possibile coerenti a livello di riga poiché saranno comparate a tale livello (importi AVA, incertezza </w:t>
            </w:r>
            <w:r w:rsidR="0009277C" w:rsidRPr="00D51A68">
              <w:rPr>
                <w:rFonts w:ascii="Times New Roman" w:hAnsi="Times New Roman"/>
                <w:sz w:val="24"/>
              </w:rPr>
              <w:t>“</w:t>
            </w:r>
            <w:r w:rsidRPr="00D51A68">
              <w:rPr>
                <w:rFonts w:ascii="Times New Roman" w:hAnsi="Times New Roman"/>
                <w:sz w:val="24"/>
              </w:rPr>
              <w:t>upside</w:t>
            </w:r>
            <w:r w:rsidR="0009277C" w:rsidRPr="00D51A68">
              <w:rPr>
                <w:rFonts w:ascii="Times New Roman" w:hAnsi="Times New Roman"/>
                <w:sz w:val="24"/>
              </w:rPr>
              <w:t>”</w:t>
            </w:r>
            <w:r w:rsidRPr="00D51A68">
              <w:rPr>
                <w:rFonts w:ascii="Times New Roman" w:hAnsi="Times New Roman"/>
                <w:sz w:val="24"/>
              </w:rPr>
              <w:t xml:space="preserve">, importi del fair value (valore equo) e potenziali rettifiche del fair value (valore equo)). </w:t>
            </w:r>
          </w:p>
          <w:p w:rsidR="00973707" w:rsidRPr="00D51A68" w:rsidRDefault="00973707" w:rsidP="00AF3D7A">
            <w:pPr>
              <w:spacing w:beforeLines="60" w:before="144" w:afterLines="60" w:after="144"/>
              <w:rPr>
                <w:rFonts w:ascii="Times New Roman" w:hAnsi="Times New Roman"/>
                <w:sz w:val="24"/>
              </w:rPr>
            </w:pPr>
            <w:r w:rsidRPr="00D51A68">
              <w:rPr>
                <w:rFonts w:ascii="Times New Roman" w:hAnsi="Times New Roman"/>
                <w:sz w:val="24"/>
              </w:rPr>
              <w:t>La ripartizione nelle righe da 0090 a 0130 esclude gli AVA computati a norma degli articoli 12 e 13 del regolamento delegato (UE) 2016/101 sulla valutazione prudente che sono indicati nelle righe 0050 e 0060 e sono inclusi negli AVA per l</w:t>
            </w:r>
            <w:r w:rsidR="0009277C" w:rsidRPr="00D51A68">
              <w:rPr>
                <w:rFonts w:ascii="Times New Roman" w:hAnsi="Times New Roman"/>
                <w:sz w:val="24"/>
              </w:rPr>
              <w:t>’</w:t>
            </w:r>
            <w:r w:rsidRPr="00D51A68">
              <w:rPr>
                <w:rFonts w:ascii="Times New Roman" w:hAnsi="Times New Roman"/>
                <w:sz w:val="24"/>
              </w:rPr>
              <w:t>incertezza delle quotazioni di mercato, negli AVA per i costi di chiusura e negli AVA per i rischi del modello come previsto all</w:t>
            </w:r>
            <w:r w:rsidR="0009277C" w:rsidRPr="00D51A68">
              <w:rPr>
                <w:rFonts w:ascii="Times New Roman" w:hAnsi="Times New Roman"/>
                <w:sz w:val="24"/>
              </w:rPr>
              <w:t>’</w:t>
            </w:r>
            <w:r w:rsidRPr="00D51A68">
              <w:rPr>
                <w:rFonts w:ascii="Times New Roman" w:hAnsi="Times New Roman"/>
                <w:sz w:val="24"/>
              </w:rPr>
              <w:t>articolo 12, paragrafo 2, e all</w:t>
            </w:r>
            <w:r w:rsidR="0009277C" w:rsidRPr="00D51A68">
              <w:rPr>
                <w:rFonts w:ascii="Times New Roman" w:hAnsi="Times New Roman"/>
                <w:sz w:val="24"/>
              </w:rPr>
              <w:t>’</w:t>
            </w:r>
            <w:r w:rsidRPr="00D51A68">
              <w:rPr>
                <w:rFonts w:ascii="Times New Roman" w:hAnsi="Times New Roman"/>
                <w:sz w:val="24"/>
              </w:rPr>
              <w:t xml:space="preserve">articolo 13, paragrafo 2, del regolamento delegato (UE) 2016/101 sulla valutazione prudente </w:t>
            </w:r>
          </w:p>
          <w:p w:rsidR="00973707" w:rsidRPr="00D51A68" w:rsidRDefault="00973707" w:rsidP="00AF3D7A">
            <w:pPr>
              <w:spacing w:beforeLines="60" w:before="144" w:afterLines="60" w:after="144"/>
              <w:rPr>
                <w:rFonts w:ascii="Times New Roman" w:hAnsi="Times New Roman"/>
                <w:sz w:val="24"/>
              </w:rPr>
            </w:pPr>
            <w:r w:rsidRPr="00D51A68">
              <w:rPr>
                <w:rFonts w:ascii="Times New Roman" w:hAnsi="Times New Roman"/>
                <w:sz w:val="24"/>
              </w:rPr>
              <w:t>I benefici della diversificazione sono indicati nella riga 0140 a norma dell</w:t>
            </w:r>
            <w:r w:rsidR="0009277C" w:rsidRPr="00D51A68">
              <w:rPr>
                <w:rFonts w:ascii="Times New Roman" w:hAnsi="Times New Roman"/>
                <w:sz w:val="24"/>
              </w:rPr>
              <w:t>’</w:t>
            </w:r>
            <w:r w:rsidR="00BE76FD" w:rsidRPr="00D51A68">
              <w:rPr>
                <w:rFonts w:ascii="Times New Roman" w:hAnsi="Times New Roman"/>
                <w:sz w:val="24"/>
              </w:rPr>
              <w:t>articolo </w:t>
            </w:r>
            <w:r w:rsidRPr="00D51A68">
              <w:rPr>
                <w:rFonts w:ascii="Times New Roman" w:hAnsi="Times New Roman"/>
                <w:sz w:val="24"/>
              </w:rPr>
              <w:t>9, paragrafo 6, dell</w:t>
            </w:r>
            <w:r w:rsidR="0009277C" w:rsidRPr="00D51A68">
              <w:rPr>
                <w:rFonts w:ascii="Times New Roman" w:hAnsi="Times New Roman"/>
                <w:sz w:val="24"/>
              </w:rPr>
              <w:t>’</w:t>
            </w:r>
            <w:r w:rsidRPr="00D51A68">
              <w:rPr>
                <w:rFonts w:ascii="Times New Roman" w:hAnsi="Times New Roman"/>
                <w:sz w:val="24"/>
              </w:rPr>
              <w:t>articolo 10, paragrafo 7, e dell</w:t>
            </w:r>
            <w:r w:rsidR="0009277C" w:rsidRPr="00D51A68">
              <w:rPr>
                <w:rFonts w:ascii="Times New Roman" w:hAnsi="Times New Roman"/>
                <w:sz w:val="24"/>
              </w:rPr>
              <w:t>’</w:t>
            </w:r>
            <w:r w:rsidRPr="00D51A68">
              <w:rPr>
                <w:rFonts w:ascii="Times New Roman" w:hAnsi="Times New Roman"/>
                <w:sz w:val="24"/>
              </w:rPr>
              <w:t xml:space="preserve">articolo 11, paragrafo 7, del regolamento delegato (UE) 2016/101 sulla valutazione prudente e sono pertanto esclusi dalle righe da 0040 a 0130. </w:t>
            </w:r>
          </w:p>
        </w:tc>
      </w:tr>
      <w:tr w:rsidR="00973707" w:rsidRPr="00D51A68" w:rsidTr="00672D2A">
        <w:tc>
          <w:tcPr>
            <w:tcW w:w="1101" w:type="dxa"/>
          </w:tcPr>
          <w:p w:rsidR="00973707" w:rsidRPr="00D51A68" w:rsidRDefault="009A7A38" w:rsidP="00AF3D7A">
            <w:pPr>
              <w:spacing w:beforeLines="60" w:before="144" w:afterLines="60" w:after="144"/>
              <w:rPr>
                <w:rFonts w:ascii="Times New Roman" w:hAnsi="Times New Roman"/>
                <w:sz w:val="24"/>
              </w:rPr>
            </w:pPr>
            <w:r w:rsidRPr="00D51A68">
              <w:rPr>
                <w:rFonts w:ascii="Times New Roman" w:hAnsi="Times New Roman"/>
                <w:sz w:val="24"/>
              </w:rPr>
              <w:t>0050</w:t>
            </w:r>
          </w:p>
        </w:tc>
        <w:tc>
          <w:tcPr>
            <w:tcW w:w="8187" w:type="dxa"/>
            <w:shd w:val="clear" w:color="auto" w:fill="auto"/>
          </w:tcPr>
          <w:p w:rsidR="00973707" w:rsidRPr="00D51A68" w:rsidRDefault="00973707" w:rsidP="00AF3D7A">
            <w:pPr>
              <w:spacing w:beforeLines="60" w:before="144" w:afterLines="60" w:after="144"/>
              <w:rPr>
                <w:rFonts w:ascii="Times New Roman" w:hAnsi="Times New Roman"/>
                <w:b/>
                <w:sz w:val="24"/>
                <w:u w:val="single"/>
              </w:rPr>
            </w:pPr>
            <w:r w:rsidRPr="00D51A68">
              <w:rPr>
                <w:rFonts w:ascii="Times New Roman" w:hAnsi="Times New Roman"/>
                <w:b/>
                <w:sz w:val="24"/>
                <w:u w:val="single"/>
              </w:rPr>
              <w:t>DI CUI: AVA PER DIFFERENZIALI CREDITIZI NON REALIZZATI</w:t>
            </w:r>
          </w:p>
          <w:p w:rsidR="00973707" w:rsidRPr="00D51A68" w:rsidRDefault="00973707" w:rsidP="00AF3D7A">
            <w:pPr>
              <w:spacing w:beforeLines="60" w:before="144" w:afterLines="60" w:after="144"/>
              <w:rPr>
                <w:rFonts w:ascii="Times New Roman" w:hAnsi="Times New Roman"/>
                <w:sz w:val="24"/>
              </w:rPr>
            </w:pPr>
            <w:r w:rsidRPr="00D51A68">
              <w:rPr>
                <w:rFonts w:ascii="Times New Roman" w:hAnsi="Times New Roman"/>
                <w:sz w:val="24"/>
              </w:rPr>
              <w:t>Articolo 105, paragrafo 10, del CRR, articolo 12 del regolamento delegat</w:t>
            </w:r>
            <w:r w:rsidR="00BE76FD" w:rsidRPr="00D51A68">
              <w:rPr>
                <w:rFonts w:ascii="Times New Roman" w:hAnsi="Times New Roman"/>
                <w:sz w:val="24"/>
              </w:rPr>
              <w:t>o (UE) </w:t>
            </w:r>
            <w:r w:rsidRPr="00D51A68">
              <w:rPr>
                <w:rFonts w:ascii="Times New Roman" w:hAnsi="Times New Roman"/>
                <w:sz w:val="24"/>
              </w:rPr>
              <w:t>2016/101 sulla valutazione prudente</w:t>
            </w:r>
          </w:p>
          <w:p w:rsidR="00973707" w:rsidRPr="00D51A68" w:rsidRDefault="00973707" w:rsidP="00AF3D7A">
            <w:pPr>
              <w:spacing w:beforeLines="60" w:before="144" w:afterLines="60" w:after="144"/>
              <w:rPr>
                <w:rFonts w:ascii="Times New Roman" w:hAnsi="Times New Roman"/>
                <w:sz w:val="24"/>
              </w:rPr>
            </w:pPr>
            <w:r w:rsidRPr="00D51A68">
              <w:rPr>
                <w:rFonts w:ascii="Times New Roman" w:hAnsi="Times New Roman"/>
                <w:sz w:val="24"/>
              </w:rPr>
              <w:t>L</w:t>
            </w:r>
            <w:r w:rsidR="0009277C" w:rsidRPr="00D51A68">
              <w:rPr>
                <w:rFonts w:ascii="Times New Roman" w:hAnsi="Times New Roman"/>
                <w:sz w:val="24"/>
              </w:rPr>
              <w:t>’</w:t>
            </w:r>
            <w:r w:rsidRPr="00D51A68">
              <w:rPr>
                <w:rFonts w:ascii="Times New Roman" w:hAnsi="Times New Roman"/>
                <w:sz w:val="24"/>
              </w:rPr>
              <w:t>AVA totale calcolato per i differenziali creditizi non realizzati (</w:t>
            </w:r>
            <w:r w:rsidR="0009277C" w:rsidRPr="00D51A68">
              <w:rPr>
                <w:rFonts w:ascii="Times New Roman" w:hAnsi="Times New Roman"/>
                <w:sz w:val="24"/>
              </w:rPr>
              <w:t>“</w:t>
            </w:r>
            <w:r w:rsidRPr="00D51A68">
              <w:rPr>
                <w:rFonts w:ascii="Times New Roman" w:hAnsi="Times New Roman"/>
                <w:sz w:val="24"/>
              </w:rPr>
              <w:t>AVA su CVA</w:t>
            </w:r>
            <w:r w:rsidR="0009277C" w:rsidRPr="00D51A68">
              <w:rPr>
                <w:rFonts w:ascii="Times New Roman" w:hAnsi="Times New Roman"/>
                <w:sz w:val="24"/>
              </w:rPr>
              <w:t>”</w:t>
            </w:r>
            <w:r w:rsidRPr="00D51A68">
              <w:rPr>
                <w:rFonts w:ascii="Times New Roman" w:hAnsi="Times New Roman"/>
                <w:sz w:val="24"/>
              </w:rPr>
              <w:t>) e la sua attribuzione agli AVA per l</w:t>
            </w:r>
            <w:r w:rsidR="0009277C" w:rsidRPr="00D51A68">
              <w:rPr>
                <w:rFonts w:ascii="Times New Roman" w:hAnsi="Times New Roman"/>
                <w:sz w:val="24"/>
              </w:rPr>
              <w:t>’</w:t>
            </w:r>
            <w:r w:rsidRPr="00D51A68">
              <w:rPr>
                <w:rFonts w:ascii="Times New Roman" w:hAnsi="Times New Roman"/>
                <w:sz w:val="24"/>
              </w:rPr>
              <w:t>incertezza delle quotazioni di mercato, agli AVA per i costi di chiusura o agli AVA per i rischi del modello a norma dell</w:t>
            </w:r>
            <w:r w:rsidR="0009277C" w:rsidRPr="00D51A68">
              <w:rPr>
                <w:rFonts w:ascii="Times New Roman" w:hAnsi="Times New Roman"/>
                <w:sz w:val="24"/>
              </w:rPr>
              <w:t>’</w:t>
            </w:r>
            <w:r w:rsidRPr="00D51A68">
              <w:rPr>
                <w:rFonts w:ascii="Times New Roman" w:hAnsi="Times New Roman"/>
                <w:sz w:val="24"/>
              </w:rPr>
              <w:t xml:space="preserve">articolo 12 del regolamento delegato (UE) 2016/101 sulla valutazione prudente. </w:t>
            </w:r>
          </w:p>
          <w:p w:rsidR="00973707" w:rsidRPr="00D51A68" w:rsidRDefault="00973707" w:rsidP="00AF3D7A">
            <w:pPr>
              <w:spacing w:beforeLines="60" w:before="144" w:afterLines="60" w:after="144"/>
              <w:rPr>
                <w:rFonts w:ascii="Times New Roman" w:hAnsi="Times New Roman"/>
                <w:sz w:val="24"/>
              </w:rPr>
            </w:pPr>
            <w:r w:rsidRPr="00D51A68">
              <w:rPr>
                <w:rFonts w:ascii="Times New Roman" w:hAnsi="Times New Roman"/>
                <w:sz w:val="24"/>
              </w:rPr>
              <w:t>Colonna 0110: L</w:t>
            </w:r>
            <w:r w:rsidR="0009277C" w:rsidRPr="00D51A68">
              <w:rPr>
                <w:rFonts w:ascii="Times New Roman" w:hAnsi="Times New Roman"/>
                <w:sz w:val="24"/>
              </w:rPr>
              <w:t>’</w:t>
            </w:r>
            <w:r w:rsidRPr="00D51A68">
              <w:rPr>
                <w:rFonts w:ascii="Times New Roman" w:hAnsi="Times New Roman"/>
                <w:sz w:val="24"/>
              </w:rPr>
              <w:t>AVA totale è fornito solo per informazione in quanto la sua attribuzione agli AVA per l</w:t>
            </w:r>
            <w:r w:rsidR="0009277C" w:rsidRPr="00D51A68">
              <w:rPr>
                <w:rFonts w:ascii="Times New Roman" w:hAnsi="Times New Roman"/>
                <w:sz w:val="24"/>
              </w:rPr>
              <w:t>’</w:t>
            </w:r>
            <w:r w:rsidRPr="00D51A68">
              <w:rPr>
                <w:rFonts w:ascii="Times New Roman" w:hAnsi="Times New Roman"/>
                <w:sz w:val="24"/>
              </w:rPr>
              <w:t xml:space="preserve">incertezza delle quotazioni di mercato, agli AVA per i costi di chiusura o agli AVA per i rischi del modello porta alla sua inclusione, dopo aver tenuto conto dei benefici della diversificazione, nei corrispondenti AVA a livello di categoria. </w:t>
            </w:r>
          </w:p>
          <w:p w:rsidR="00973707" w:rsidRPr="00D51A68" w:rsidRDefault="00973707" w:rsidP="00130EEF">
            <w:pPr>
              <w:spacing w:beforeLines="60" w:before="144" w:afterLines="60" w:after="144"/>
              <w:rPr>
                <w:rFonts w:ascii="Times New Roman" w:hAnsi="Times New Roman"/>
                <w:sz w:val="24"/>
              </w:rPr>
            </w:pPr>
            <w:r w:rsidRPr="00D51A68">
              <w:rPr>
                <w:rFonts w:ascii="Times New Roman" w:hAnsi="Times New Roman"/>
                <w:sz w:val="24"/>
              </w:rPr>
              <w:t>Colonne 0130 e 0140: Il valore assoluto delle attività e delle passività valutate al fair value (valore equo) incluse ai fini del computo degli AVA per i differenziali creditizi non realizzati. Ai fini del computo di questo AVA, le attività e le passività valutate al fair value (valore equo) di segno opposto perfettamente corrispondenti, escluse dal computo della soglia a norma dell</w:t>
            </w:r>
            <w:r w:rsidR="0009277C" w:rsidRPr="00D51A68">
              <w:rPr>
                <w:rFonts w:ascii="Times New Roman" w:hAnsi="Times New Roman"/>
                <w:sz w:val="24"/>
              </w:rPr>
              <w:t>’</w:t>
            </w:r>
            <w:r w:rsidRPr="00D51A68">
              <w:rPr>
                <w:rFonts w:ascii="Times New Roman" w:hAnsi="Times New Roman"/>
                <w:sz w:val="24"/>
              </w:rPr>
              <w:t>articolo 4</w:t>
            </w:r>
            <w:r w:rsidR="00BE76FD" w:rsidRPr="00D51A68">
              <w:rPr>
                <w:rFonts w:ascii="Times New Roman" w:hAnsi="Times New Roman"/>
                <w:sz w:val="24"/>
              </w:rPr>
              <w:t>, paragrafo </w:t>
            </w:r>
            <w:r w:rsidRPr="00D51A68">
              <w:rPr>
                <w:rFonts w:ascii="Times New Roman" w:hAnsi="Times New Roman"/>
                <w:sz w:val="24"/>
              </w:rPr>
              <w:t>2, del regolamento delegato (UE) 2016/101 sulla valutazione prudente, non possono più essere considerate di segno opposto perfettamente corrispondenti.</w:t>
            </w:r>
          </w:p>
        </w:tc>
      </w:tr>
      <w:tr w:rsidR="00973707" w:rsidRPr="00D51A68" w:rsidTr="00672D2A">
        <w:tc>
          <w:tcPr>
            <w:tcW w:w="1101" w:type="dxa"/>
          </w:tcPr>
          <w:p w:rsidR="00973707" w:rsidRPr="00D51A68" w:rsidRDefault="009A7A38" w:rsidP="00AF3D7A">
            <w:pPr>
              <w:spacing w:beforeLines="60" w:before="144" w:afterLines="60" w:after="144"/>
              <w:rPr>
                <w:rFonts w:ascii="Times New Roman" w:hAnsi="Times New Roman"/>
                <w:sz w:val="24"/>
              </w:rPr>
            </w:pPr>
            <w:r w:rsidRPr="00D51A68">
              <w:rPr>
                <w:rFonts w:ascii="Times New Roman" w:hAnsi="Times New Roman"/>
                <w:sz w:val="24"/>
              </w:rPr>
              <w:t>0060</w:t>
            </w:r>
          </w:p>
        </w:tc>
        <w:tc>
          <w:tcPr>
            <w:tcW w:w="8187" w:type="dxa"/>
            <w:shd w:val="clear" w:color="auto" w:fill="auto"/>
          </w:tcPr>
          <w:p w:rsidR="00973707" w:rsidRPr="00D51A68" w:rsidRDefault="00973707" w:rsidP="00AF3D7A">
            <w:pPr>
              <w:spacing w:beforeLines="60" w:before="144" w:afterLines="60" w:after="144"/>
              <w:rPr>
                <w:rFonts w:ascii="Times New Roman" w:hAnsi="Times New Roman"/>
                <w:b/>
                <w:sz w:val="24"/>
                <w:u w:val="single"/>
              </w:rPr>
            </w:pPr>
            <w:r w:rsidRPr="00D51A68">
              <w:rPr>
                <w:rFonts w:ascii="Times New Roman" w:hAnsi="Times New Roman"/>
                <w:b/>
                <w:sz w:val="24"/>
                <w:u w:val="single"/>
              </w:rPr>
              <w:t xml:space="preserve">DI CUI: AVA PER COSTI DI INVESTIMENTO E DI FINANZIAMENTO (FUNDING) </w:t>
            </w:r>
          </w:p>
          <w:p w:rsidR="00973707" w:rsidRPr="00D51A68" w:rsidRDefault="00973707" w:rsidP="00AF3D7A">
            <w:pPr>
              <w:spacing w:beforeLines="60" w:before="144" w:afterLines="60" w:after="144"/>
              <w:rPr>
                <w:rFonts w:ascii="Times New Roman" w:hAnsi="Times New Roman"/>
                <w:caps/>
                <w:sz w:val="24"/>
                <w:u w:val="single"/>
              </w:rPr>
            </w:pPr>
            <w:r w:rsidRPr="00D51A68">
              <w:rPr>
                <w:rFonts w:ascii="Times New Roman" w:hAnsi="Times New Roman"/>
                <w:sz w:val="24"/>
              </w:rPr>
              <w:t>Articolo 105, paragrafo 10, del CRR, articolo 17</w:t>
            </w:r>
            <w:r w:rsidR="00BE76FD" w:rsidRPr="00D51A68">
              <w:rPr>
                <w:rFonts w:ascii="Times New Roman" w:hAnsi="Times New Roman"/>
                <w:sz w:val="24"/>
              </w:rPr>
              <w:t xml:space="preserve"> del regolamento delegato (UE) </w:t>
            </w:r>
            <w:r w:rsidRPr="00D51A68">
              <w:rPr>
                <w:rFonts w:ascii="Times New Roman" w:hAnsi="Times New Roman"/>
                <w:sz w:val="24"/>
              </w:rPr>
              <w:t>2016/101 sulla valutazione prudente</w:t>
            </w:r>
          </w:p>
          <w:p w:rsidR="00973707" w:rsidRPr="00D51A68" w:rsidRDefault="00973707" w:rsidP="00AF3D7A">
            <w:pPr>
              <w:spacing w:beforeLines="60" w:before="144" w:afterLines="60" w:after="144"/>
              <w:rPr>
                <w:rFonts w:ascii="Times New Roman" w:hAnsi="Times New Roman"/>
                <w:sz w:val="24"/>
              </w:rPr>
            </w:pPr>
            <w:r w:rsidRPr="00D51A68">
              <w:rPr>
                <w:rFonts w:ascii="Times New Roman" w:hAnsi="Times New Roman"/>
                <w:sz w:val="24"/>
              </w:rPr>
              <w:t>L</w:t>
            </w:r>
            <w:r w:rsidR="0009277C" w:rsidRPr="00D51A68">
              <w:rPr>
                <w:rFonts w:ascii="Times New Roman" w:hAnsi="Times New Roman"/>
                <w:sz w:val="24"/>
              </w:rPr>
              <w:t>’</w:t>
            </w:r>
            <w:r w:rsidRPr="00D51A68">
              <w:rPr>
                <w:rFonts w:ascii="Times New Roman" w:hAnsi="Times New Roman"/>
                <w:sz w:val="24"/>
              </w:rPr>
              <w:t>AVA totale calcolato per i costi di investimento e di finanziamento (funding) e la sua attribuzione agli AVA per l</w:t>
            </w:r>
            <w:r w:rsidR="0009277C" w:rsidRPr="00D51A68">
              <w:rPr>
                <w:rFonts w:ascii="Times New Roman" w:hAnsi="Times New Roman"/>
                <w:sz w:val="24"/>
              </w:rPr>
              <w:t>’</w:t>
            </w:r>
            <w:r w:rsidRPr="00D51A68">
              <w:rPr>
                <w:rFonts w:ascii="Times New Roman" w:hAnsi="Times New Roman"/>
                <w:sz w:val="24"/>
              </w:rPr>
              <w:t>incertezza delle quotazioni di mercato, agli AVA per i costi di chiusura o agli AVA per i rischi del modello a norma dell</w:t>
            </w:r>
            <w:r w:rsidR="0009277C" w:rsidRPr="00D51A68">
              <w:rPr>
                <w:rFonts w:ascii="Times New Roman" w:hAnsi="Times New Roman"/>
                <w:sz w:val="24"/>
              </w:rPr>
              <w:t>’</w:t>
            </w:r>
            <w:r w:rsidRPr="00D51A68">
              <w:rPr>
                <w:rFonts w:ascii="Times New Roman" w:hAnsi="Times New Roman"/>
                <w:sz w:val="24"/>
              </w:rPr>
              <w:t xml:space="preserve">articolo 13 del regolamento delegato (UE) 2016/101 sulla valutazione prudente. </w:t>
            </w:r>
          </w:p>
          <w:p w:rsidR="00973707" w:rsidRPr="00D51A68" w:rsidRDefault="00973707" w:rsidP="00AF3D7A">
            <w:pPr>
              <w:spacing w:beforeLines="60" w:before="144" w:afterLines="60" w:after="144"/>
              <w:rPr>
                <w:rFonts w:ascii="Times New Roman" w:hAnsi="Times New Roman"/>
                <w:sz w:val="24"/>
              </w:rPr>
            </w:pPr>
            <w:r w:rsidRPr="00D51A68">
              <w:rPr>
                <w:rFonts w:ascii="Times New Roman" w:hAnsi="Times New Roman"/>
                <w:sz w:val="24"/>
              </w:rPr>
              <w:t>Colonna 0110: L</w:t>
            </w:r>
            <w:r w:rsidR="0009277C" w:rsidRPr="00D51A68">
              <w:rPr>
                <w:rFonts w:ascii="Times New Roman" w:hAnsi="Times New Roman"/>
                <w:sz w:val="24"/>
              </w:rPr>
              <w:t>’</w:t>
            </w:r>
            <w:r w:rsidRPr="00D51A68">
              <w:rPr>
                <w:rFonts w:ascii="Times New Roman" w:hAnsi="Times New Roman"/>
                <w:sz w:val="24"/>
              </w:rPr>
              <w:t>AVA totale è fornito solo per informazione in quanto la sua attribuzione agli AVA per l</w:t>
            </w:r>
            <w:r w:rsidR="0009277C" w:rsidRPr="00D51A68">
              <w:rPr>
                <w:rFonts w:ascii="Times New Roman" w:hAnsi="Times New Roman"/>
                <w:sz w:val="24"/>
              </w:rPr>
              <w:t>’</w:t>
            </w:r>
            <w:r w:rsidRPr="00D51A68">
              <w:rPr>
                <w:rFonts w:ascii="Times New Roman" w:hAnsi="Times New Roman"/>
                <w:sz w:val="24"/>
              </w:rPr>
              <w:t xml:space="preserve">incertezza delle quotazioni di mercato, agli AVA per i costi di chiusura o agli AVA per i rischi del modello porta alla sua inclusione, dopo aver tenuto conto dei benefici della diversificazione, nei corrispondenti AVA a livello di categoria. </w:t>
            </w:r>
          </w:p>
          <w:p w:rsidR="00973707" w:rsidRPr="00D51A68" w:rsidRDefault="00973707" w:rsidP="00130EEF">
            <w:pPr>
              <w:spacing w:beforeLines="60" w:before="144" w:afterLines="60" w:after="144"/>
              <w:rPr>
                <w:rFonts w:ascii="Times New Roman" w:hAnsi="Times New Roman"/>
                <w:sz w:val="24"/>
              </w:rPr>
            </w:pPr>
            <w:r w:rsidRPr="00D51A68">
              <w:rPr>
                <w:rFonts w:ascii="Times New Roman" w:hAnsi="Times New Roman"/>
                <w:sz w:val="24"/>
              </w:rPr>
              <w:t>Colonne 0130 e 0140: Il valore assoluto delle attività e delle passività valutate al fair value (valore equo) incluse ai fini del computo dell</w:t>
            </w:r>
            <w:r w:rsidR="0009277C" w:rsidRPr="00D51A68">
              <w:rPr>
                <w:rFonts w:ascii="Times New Roman" w:hAnsi="Times New Roman"/>
                <w:sz w:val="24"/>
              </w:rPr>
              <w:t>’</w:t>
            </w:r>
            <w:r w:rsidRPr="00D51A68">
              <w:rPr>
                <w:rFonts w:ascii="Times New Roman" w:hAnsi="Times New Roman"/>
                <w:sz w:val="24"/>
              </w:rPr>
              <w:t>AVA per i costi di investimento e di finanziamento (funding). Ai fini del computo di questo AVA, le attività e le passività valutate al fair value (valore equo) di segno opposto perfettamente corrispondenti, escluse dal computo della soglia a norma dell</w:t>
            </w:r>
            <w:r w:rsidR="0009277C" w:rsidRPr="00D51A68">
              <w:rPr>
                <w:rFonts w:ascii="Times New Roman" w:hAnsi="Times New Roman"/>
                <w:sz w:val="24"/>
              </w:rPr>
              <w:t>’</w:t>
            </w:r>
            <w:r w:rsidRPr="00D51A68">
              <w:rPr>
                <w:rFonts w:ascii="Times New Roman" w:hAnsi="Times New Roman"/>
                <w:sz w:val="24"/>
              </w:rPr>
              <w:t>articolo 4, paragrafo 2, del regolamento delegato (UE) 2016/101 sulla valutazione prudente, non possono più essere considerate di segno opposto perfettamente corrispondenti.</w:t>
            </w:r>
          </w:p>
        </w:tc>
      </w:tr>
      <w:tr w:rsidR="00973707" w:rsidRPr="00D51A68" w:rsidTr="00672D2A">
        <w:tc>
          <w:tcPr>
            <w:tcW w:w="1101" w:type="dxa"/>
          </w:tcPr>
          <w:p w:rsidR="00973707" w:rsidRPr="00D51A68" w:rsidRDefault="009A7A38" w:rsidP="00AF3D7A">
            <w:pPr>
              <w:spacing w:beforeLines="60" w:before="144" w:afterLines="60" w:after="144"/>
              <w:rPr>
                <w:rFonts w:ascii="Times New Roman" w:hAnsi="Times New Roman"/>
                <w:sz w:val="24"/>
              </w:rPr>
            </w:pPr>
            <w:r w:rsidRPr="00D51A68">
              <w:rPr>
                <w:rFonts w:ascii="Times New Roman" w:hAnsi="Times New Roman"/>
                <w:sz w:val="24"/>
              </w:rPr>
              <w:t>0070</w:t>
            </w:r>
          </w:p>
        </w:tc>
        <w:tc>
          <w:tcPr>
            <w:tcW w:w="8187" w:type="dxa"/>
          </w:tcPr>
          <w:p w:rsidR="00973707" w:rsidRPr="00D51A68" w:rsidRDefault="00973707" w:rsidP="00AF3D7A">
            <w:pPr>
              <w:spacing w:beforeLines="60" w:before="144" w:afterLines="60" w:after="144"/>
              <w:rPr>
                <w:rFonts w:ascii="Times New Roman" w:hAnsi="Times New Roman"/>
                <w:b/>
                <w:sz w:val="24"/>
                <w:u w:val="single"/>
              </w:rPr>
            </w:pPr>
            <w:r w:rsidRPr="00D51A68">
              <w:rPr>
                <w:rFonts w:ascii="Times New Roman" w:hAnsi="Times New Roman"/>
                <w:b/>
                <w:sz w:val="24"/>
                <w:u w:val="single"/>
              </w:rPr>
              <w:t>DI CUI: AVA AVENTI VALORE ZERO A NORMA DELL</w:t>
            </w:r>
            <w:r w:rsidR="0009277C" w:rsidRPr="00D51A68">
              <w:rPr>
                <w:rFonts w:ascii="Times New Roman" w:hAnsi="Times New Roman"/>
                <w:b/>
                <w:sz w:val="24"/>
                <w:u w:val="single"/>
              </w:rPr>
              <w:t>’</w:t>
            </w:r>
            <w:r w:rsidRPr="00D51A68">
              <w:rPr>
                <w:rFonts w:ascii="Times New Roman" w:hAnsi="Times New Roman"/>
                <w:b/>
                <w:sz w:val="24"/>
                <w:u w:val="single"/>
              </w:rPr>
              <w:t xml:space="preserve">ARTICOLO 9, PARAGRAFO 2 </w:t>
            </w:r>
          </w:p>
          <w:p w:rsidR="00973707" w:rsidRPr="00D51A68" w:rsidRDefault="00973707" w:rsidP="00AF3D7A">
            <w:pPr>
              <w:spacing w:beforeLines="60" w:before="144" w:afterLines="60" w:after="144"/>
              <w:rPr>
                <w:rFonts w:ascii="Times New Roman" w:hAnsi="Times New Roman"/>
                <w:sz w:val="24"/>
              </w:rPr>
            </w:pPr>
            <w:r w:rsidRPr="00D51A68">
              <w:rPr>
                <w:rFonts w:ascii="Times New Roman" w:hAnsi="Times New Roman"/>
                <w:sz w:val="24"/>
              </w:rPr>
              <w:t>Il valore assoluto delle attività e delle passività valutate al fair value (valore equo) corrispondenti alle esposizioni oggetto di valutazione per le quali l</w:t>
            </w:r>
            <w:r w:rsidR="0009277C" w:rsidRPr="00D51A68">
              <w:rPr>
                <w:rFonts w:ascii="Times New Roman" w:hAnsi="Times New Roman"/>
                <w:sz w:val="24"/>
              </w:rPr>
              <w:t>’</w:t>
            </w:r>
            <w:r w:rsidRPr="00D51A68">
              <w:rPr>
                <w:rFonts w:ascii="Times New Roman" w:hAnsi="Times New Roman"/>
                <w:sz w:val="24"/>
              </w:rPr>
              <w:t>AVA ha valore zero a norma dell</w:t>
            </w:r>
            <w:r w:rsidR="0009277C" w:rsidRPr="00D51A68">
              <w:rPr>
                <w:rFonts w:ascii="Times New Roman" w:hAnsi="Times New Roman"/>
                <w:sz w:val="24"/>
              </w:rPr>
              <w:t>’</w:t>
            </w:r>
            <w:r w:rsidRPr="00D51A68">
              <w:rPr>
                <w:rFonts w:ascii="Times New Roman" w:hAnsi="Times New Roman"/>
                <w:sz w:val="24"/>
              </w:rPr>
              <w:t xml:space="preserve">articolo 9, paragrafo 2, del regolamento delegato (UE) 2016/101 sulla valutazione prudente. </w:t>
            </w:r>
          </w:p>
        </w:tc>
      </w:tr>
      <w:tr w:rsidR="00973707" w:rsidRPr="00D51A68" w:rsidTr="00672D2A">
        <w:tc>
          <w:tcPr>
            <w:tcW w:w="1101" w:type="dxa"/>
          </w:tcPr>
          <w:p w:rsidR="00973707" w:rsidRPr="00D51A68" w:rsidRDefault="009A7A38" w:rsidP="00AF3D7A">
            <w:pPr>
              <w:spacing w:beforeLines="60" w:before="144" w:afterLines="60" w:after="144"/>
              <w:rPr>
                <w:rFonts w:ascii="Times New Roman" w:hAnsi="Times New Roman"/>
                <w:sz w:val="24"/>
              </w:rPr>
            </w:pPr>
            <w:r w:rsidRPr="00D51A68">
              <w:rPr>
                <w:rFonts w:ascii="Times New Roman" w:hAnsi="Times New Roman"/>
                <w:sz w:val="24"/>
              </w:rPr>
              <w:t>0080</w:t>
            </w:r>
          </w:p>
        </w:tc>
        <w:tc>
          <w:tcPr>
            <w:tcW w:w="8187" w:type="dxa"/>
          </w:tcPr>
          <w:p w:rsidR="00973707" w:rsidRPr="00D51A68" w:rsidRDefault="00973707" w:rsidP="00AF3D7A">
            <w:pPr>
              <w:spacing w:beforeLines="60" w:before="144" w:afterLines="60" w:after="144"/>
              <w:rPr>
                <w:rFonts w:ascii="Times New Roman" w:hAnsi="Times New Roman"/>
                <w:b/>
                <w:sz w:val="24"/>
                <w:u w:val="single"/>
              </w:rPr>
            </w:pPr>
            <w:r w:rsidRPr="00D51A68">
              <w:rPr>
                <w:rFonts w:ascii="Times New Roman" w:hAnsi="Times New Roman"/>
                <w:b/>
                <w:sz w:val="24"/>
                <w:u w:val="single"/>
              </w:rPr>
              <w:t>DI CUI: AVA AVENTI VALORE ZERO A NORMA DELL</w:t>
            </w:r>
            <w:r w:rsidR="0009277C" w:rsidRPr="00D51A68">
              <w:rPr>
                <w:rFonts w:ascii="Times New Roman" w:hAnsi="Times New Roman"/>
                <w:b/>
                <w:sz w:val="24"/>
                <w:u w:val="single"/>
              </w:rPr>
              <w:t>’</w:t>
            </w:r>
            <w:r w:rsidRPr="00D51A68">
              <w:rPr>
                <w:rFonts w:ascii="Times New Roman" w:hAnsi="Times New Roman"/>
                <w:b/>
                <w:sz w:val="24"/>
                <w:u w:val="single"/>
              </w:rPr>
              <w:t xml:space="preserve">ARTICOLO 10, PARAGRAFI 2 E 3 </w:t>
            </w:r>
          </w:p>
          <w:p w:rsidR="00973707" w:rsidRPr="00D51A68" w:rsidRDefault="00973707" w:rsidP="00AF3D7A">
            <w:pPr>
              <w:spacing w:beforeLines="60" w:before="144" w:afterLines="60" w:after="144"/>
              <w:rPr>
                <w:rFonts w:ascii="Times New Roman" w:hAnsi="Times New Roman"/>
                <w:sz w:val="24"/>
              </w:rPr>
            </w:pPr>
            <w:r w:rsidRPr="00D51A68">
              <w:rPr>
                <w:rFonts w:ascii="Times New Roman" w:hAnsi="Times New Roman"/>
                <w:sz w:val="24"/>
              </w:rPr>
              <w:t>Il valore assoluto delle attività e delle passività valutate al fair value (valore equo) corrispondenti alle esposizioni oggetto di valutazione per le quali l</w:t>
            </w:r>
            <w:r w:rsidR="0009277C" w:rsidRPr="00D51A68">
              <w:rPr>
                <w:rFonts w:ascii="Times New Roman" w:hAnsi="Times New Roman"/>
                <w:sz w:val="24"/>
              </w:rPr>
              <w:t>’</w:t>
            </w:r>
            <w:r w:rsidRPr="00D51A68">
              <w:rPr>
                <w:rFonts w:ascii="Times New Roman" w:hAnsi="Times New Roman"/>
                <w:sz w:val="24"/>
              </w:rPr>
              <w:t>AVA ha valore zero a norma dell</w:t>
            </w:r>
            <w:r w:rsidR="0009277C" w:rsidRPr="00D51A68">
              <w:rPr>
                <w:rFonts w:ascii="Times New Roman" w:hAnsi="Times New Roman"/>
                <w:sz w:val="24"/>
              </w:rPr>
              <w:t>’</w:t>
            </w:r>
            <w:r w:rsidRPr="00D51A68">
              <w:rPr>
                <w:rFonts w:ascii="Times New Roman" w:hAnsi="Times New Roman"/>
                <w:sz w:val="24"/>
              </w:rPr>
              <w:t>articolo 10, paragrafo 2 o 3</w:t>
            </w:r>
            <w:r w:rsidR="00BE76FD" w:rsidRPr="00D51A68">
              <w:rPr>
                <w:rFonts w:ascii="Times New Roman" w:hAnsi="Times New Roman"/>
                <w:sz w:val="24"/>
              </w:rPr>
              <w:t>, del regolamento delegato (UE) </w:t>
            </w:r>
            <w:r w:rsidRPr="00D51A68">
              <w:rPr>
                <w:rFonts w:ascii="Times New Roman" w:hAnsi="Times New Roman"/>
                <w:sz w:val="24"/>
              </w:rPr>
              <w:t>2016/101 sulla valutazione prudente.</w:t>
            </w:r>
          </w:p>
        </w:tc>
      </w:tr>
      <w:tr w:rsidR="00973707" w:rsidRPr="00D51A68" w:rsidTr="00672D2A">
        <w:tc>
          <w:tcPr>
            <w:tcW w:w="1101" w:type="dxa"/>
          </w:tcPr>
          <w:p w:rsidR="00973707" w:rsidRPr="00D51A68" w:rsidRDefault="009A7A38" w:rsidP="00AF3D7A">
            <w:pPr>
              <w:spacing w:beforeLines="60" w:before="144" w:afterLines="60" w:after="144"/>
              <w:rPr>
                <w:rFonts w:ascii="Times New Roman" w:hAnsi="Times New Roman"/>
                <w:sz w:val="24"/>
              </w:rPr>
            </w:pPr>
            <w:r w:rsidRPr="00D51A68">
              <w:rPr>
                <w:rFonts w:ascii="Times New Roman" w:hAnsi="Times New Roman"/>
                <w:sz w:val="24"/>
              </w:rPr>
              <w:t>0090</w:t>
            </w:r>
          </w:p>
        </w:tc>
        <w:tc>
          <w:tcPr>
            <w:tcW w:w="8187" w:type="dxa"/>
          </w:tcPr>
          <w:p w:rsidR="00973707" w:rsidRPr="00D51A68" w:rsidRDefault="00973707" w:rsidP="00AF3D7A">
            <w:pPr>
              <w:spacing w:beforeLines="60" w:before="144" w:afterLines="60" w:after="144"/>
              <w:rPr>
                <w:rFonts w:ascii="Times New Roman" w:hAnsi="Times New Roman"/>
                <w:b/>
                <w:sz w:val="24"/>
                <w:u w:val="single"/>
              </w:rPr>
            </w:pPr>
            <w:r w:rsidRPr="00D51A68">
              <w:rPr>
                <w:rFonts w:ascii="Times New Roman" w:hAnsi="Times New Roman"/>
                <w:b/>
                <w:sz w:val="24"/>
                <w:u w:val="single"/>
              </w:rPr>
              <w:t>1.1.1.1 TASSI DI INTERESSE</w:t>
            </w:r>
          </w:p>
        </w:tc>
      </w:tr>
      <w:tr w:rsidR="00AF3D7A" w:rsidRPr="00D51A68" w:rsidTr="00672D2A">
        <w:tc>
          <w:tcPr>
            <w:tcW w:w="1101" w:type="dxa"/>
          </w:tcPr>
          <w:p w:rsidR="00AF3D7A" w:rsidRPr="00D51A68" w:rsidRDefault="009A7A38" w:rsidP="00AF3D7A">
            <w:pPr>
              <w:spacing w:beforeLines="60" w:before="144" w:afterLines="60" w:after="144"/>
              <w:rPr>
                <w:rFonts w:ascii="Times New Roman" w:hAnsi="Times New Roman"/>
                <w:sz w:val="24"/>
              </w:rPr>
            </w:pPr>
            <w:r w:rsidRPr="00D51A68">
              <w:rPr>
                <w:rFonts w:ascii="Times New Roman" w:hAnsi="Times New Roman"/>
                <w:sz w:val="24"/>
              </w:rPr>
              <w:t>0100</w:t>
            </w:r>
          </w:p>
        </w:tc>
        <w:tc>
          <w:tcPr>
            <w:tcW w:w="8187" w:type="dxa"/>
          </w:tcPr>
          <w:p w:rsidR="00AF3D7A" w:rsidRPr="00D51A68" w:rsidRDefault="00AF3D7A" w:rsidP="00AF3D7A">
            <w:pPr>
              <w:spacing w:beforeLines="60" w:before="144" w:afterLines="60" w:after="144"/>
              <w:rPr>
                <w:rFonts w:ascii="Times New Roman" w:hAnsi="Times New Roman"/>
                <w:b/>
                <w:sz w:val="24"/>
                <w:u w:val="single"/>
              </w:rPr>
            </w:pPr>
            <w:r w:rsidRPr="00D51A68">
              <w:rPr>
                <w:rFonts w:ascii="Times New Roman" w:hAnsi="Times New Roman"/>
                <w:b/>
                <w:sz w:val="24"/>
                <w:u w:val="single"/>
              </w:rPr>
              <w:t>1.1.1.2 CAMBIO</w:t>
            </w:r>
          </w:p>
        </w:tc>
      </w:tr>
      <w:tr w:rsidR="00AF3D7A" w:rsidRPr="00D51A68" w:rsidTr="00672D2A">
        <w:tc>
          <w:tcPr>
            <w:tcW w:w="1101" w:type="dxa"/>
          </w:tcPr>
          <w:p w:rsidR="00AF3D7A" w:rsidRPr="00D51A68" w:rsidRDefault="009A7A38" w:rsidP="00AF3D7A">
            <w:pPr>
              <w:spacing w:beforeLines="60" w:before="144" w:afterLines="60" w:after="144"/>
              <w:rPr>
                <w:rFonts w:ascii="Times New Roman" w:hAnsi="Times New Roman"/>
                <w:sz w:val="24"/>
              </w:rPr>
            </w:pPr>
            <w:r w:rsidRPr="00D51A68">
              <w:rPr>
                <w:rFonts w:ascii="Times New Roman" w:hAnsi="Times New Roman"/>
                <w:sz w:val="24"/>
              </w:rPr>
              <w:t>0110</w:t>
            </w:r>
          </w:p>
        </w:tc>
        <w:tc>
          <w:tcPr>
            <w:tcW w:w="8187" w:type="dxa"/>
          </w:tcPr>
          <w:p w:rsidR="00AF3D7A" w:rsidRPr="00D51A68" w:rsidRDefault="00AF3D7A" w:rsidP="00AF3D7A">
            <w:pPr>
              <w:spacing w:beforeLines="60" w:before="144" w:afterLines="60" w:after="144"/>
              <w:rPr>
                <w:rFonts w:ascii="Times New Roman" w:hAnsi="Times New Roman"/>
                <w:b/>
                <w:sz w:val="24"/>
                <w:u w:val="single"/>
              </w:rPr>
            </w:pPr>
            <w:r w:rsidRPr="00D51A68">
              <w:rPr>
                <w:rFonts w:ascii="Times New Roman" w:hAnsi="Times New Roman"/>
                <w:b/>
                <w:sz w:val="24"/>
                <w:u w:val="single"/>
              </w:rPr>
              <w:t>1.1.1.3 CREDITO</w:t>
            </w:r>
          </w:p>
        </w:tc>
      </w:tr>
      <w:tr w:rsidR="00AF3D7A" w:rsidRPr="00D51A68" w:rsidTr="00672D2A">
        <w:tc>
          <w:tcPr>
            <w:tcW w:w="1101" w:type="dxa"/>
          </w:tcPr>
          <w:p w:rsidR="00AF3D7A" w:rsidRPr="00D51A68" w:rsidRDefault="009A7A38" w:rsidP="00AF3D7A">
            <w:pPr>
              <w:spacing w:beforeLines="60" w:before="144" w:afterLines="60" w:after="144"/>
              <w:rPr>
                <w:rFonts w:ascii="Times New Roman" w:hAnsi="Times New Roman"/>
                <w:sz w:val="24"/>
              </w:rPr>
            </w:pPr>
            <w:r w:rsidRPr="00D51A68">
              <w:rPr>
                <w:rFonts w:ascii="Times New Roman" w:hAnsi="Times New Roman"/>
                <w:sz w:val="24"/>
              </w:rPr>
              <w:t>0120</w:t>
            </w:r>
          </w:p>
        </w:tc>
        <w:tc>
          <w:tcPr>
            <w:tcW w:w="8187" w:type="dxa"/>
          </w:tcPr>
          <w:p w:rsidR="00AF3D7A" w:rsidRPr="00D51A68" w:rsidRDefault="00AF3D7A" w:rsidP="00AF3D7A">
            <w:pPr>
              <w:spacing w:beforeLines="60" w:before="144" w:afterLines="60" w:after="144"/>
              <w:rPr>
                <w:rFonts w:ascii="Times New Roman" w:hAnsi="Times New Roman"/>
                <w:b/>
                <w:sz w:val="24"/>
                <w:u w:val="single"/>
              </w:rPr>
            </w:pPr>
            <w:r w:rsidRPr="00D51A68">
              <w:rPr>
                <w:rFonts w:ascii="Times New Roman" w:hAnsi="Times New Roman"/>
                <w:b/>
                <w:sz w:val="24"/>
                <w:u w:val="single"/>
              </w:rPr>
              <w:t>1.1.1.4 STRUMENTI DI CAPITALE</w:t>
            </w:r>
          </w:p>
        </w:tc>
      </w:tr>
      <w:tr w:rsidR="00973707" w:rsidRPr="00D51A68" w:rsidTr="00672D2A">
        <w:tc>
          <w:tcPr>
            <w:tcW w:w="1101" w:type="dxa"/>
          </w:tcPr>
          <w:p w:rsidR="00973707" w:rsidRPr="00D51A68" w:rsidRDefault="009A7A38" w:rsidP="00AF3D7A">
            <w:pPr>
              <w:spacing w:beforeLines="60" w:before="144" w:afterLines="60" w:after="144"/>
              <w:rPr>
                <w:rFonts w:ascii="Times New Roman" w:hAnsi="Times New Roman"/>
                <w:sz w:val="24"/>
              </w:rPr>
            </w:pPr>
            <w:r w:rsidRPr="00D51A68">
              <w:rPr>
                <w:rFonts w:ascii="Times New Roman" w:hAnsi="Times New Roman"/>
                <w:sz w:val="24"/>
              </w:rPr>
              <w:t>0130</w:t>
            </w:r>
          </w:p>
        </w:tc>
        <w:tc>
          <w:tcPr>
            <w:tcW w:w="8187" w:type="dxa"/>
          </w:tcPr>
          <w:p w:rsidR="00973707" w:rsidRPr="00D51A68" w:rsidRDefault="00973707" w:rsidP="00AF3D7A">
            <w:pPr>
              <w:spacing w:beforeLines="60" w:before="144" w:afterLines="60" w:after="144"/>
              <w:rPr>
                <w:rFonts w:ascii="Times New Roman" w:hAnsi="Times New Roman"/>
                <w:b/>
                <w:sz w:val="24"/>
                <w:u w:val="single"/>
              </w:rPr>
            </w:pPr>
            <w:r w:rsidRPr="00D51A68">
              <w:rPr>
                <w:rFonts w:ascii="Times New Roman" w:hAnsi="Times New Roman"/>
                <w:b/>
                <w:sz w:val="24"/>
                <w:u w:val="single"/>
              </w:rPr>
              <w:t>1.1.1.5 MERCI</w:t>
            </w:r>
          </w:p>
        </w:tc>
      </w:tr>
      <w:tr w:rsidR="00973707" w:rsidRPr="00D51A68" w:rsidTr="00672D2A">
        <w:tc>
          <w:tcPr>
            <w:tcW w:w="1101" w:type="dxa"/>
          </w:tcPr>
          <w:p w:rsidR="00973707" w:rsidRPr="00D51A68" w:rsidRDefault="009A7A38" w:rsidP="00AF3D7A">
            <w:pPr>
              <w:spacing w:beforeLines="60" w:before="144" w:afterLines="60" w:after="144"/>
              <w:rPr>
                <w:rFonts w:ascii="Times New Roman" w:hAnsi="Times New Roman"/>
                <w:sz w:val="24"/>
              </w:rPr>
            </w:pPr>
            <w:r w:rsidRPr="00D51A68">
              <w:rPr>
                <w:rFonts w:ascii="Times New Roman" w:hAnsi="Times New Roman"/>
                <w:sz w:val="24"/>
              </w:rPr>
              <w:t>0140</w:t>
            </w:r>
          </w:p>
        </w:tc>
        <w:tc>
          <w:tcPr>
            <w:tcW w:w="8187" w:type="dxa"/>
          </w:tcPr>
          <w:p w:rsidR="00973707" w:rsidRPr="00D51A68" w:rsidRDefault="00973707" w:rsidP="00AF3D7A">
            <w:pPr>
              <w:spacing w:beforeLines="60" w:before="144" w:afterLines="60" w:after="144"/>
              <w:rPr>
                <w:rFonts w:ascii="Times New Roman" w:hAnsi="Times New Roman"/>
                <w:b/>
                <w:caps/>
                <w:sz w:val="24"/>
                <w:u w:val="single"/>
              </w:rPr>
            </w:pPr>
            <w:r w:rsidRPr="00D51A68">
              <w:rPr>
                <w:rFonts w:ascii="Times New Roman" w:hAnsi="Times New Roman"/>
                <w:b/>
                <w:caps/>
                <w:sz w:val="24"/>
                <w:u w:val="single"/>
              </w:rPr>
              <w:t>1.1.2 (-) Benefici della diversificazione</w:t>
            </w:r>
          </w:p>
          <w:p w:rsidR="00973707" w:rsidRPr="00D51A68" w:rsidRDefault="00973707" w:rsidP="00AF3D7A">
            <w:pPr>
              <w:spacing w:beforeLines="60" w:before="144" w:afterLines="60" w:after="144"/>
              <w:rPr>
                <w:rFonts w:ascii="Times New Roman" w:hAnsi="Times New Roman"/>
                <w:sz w:val="24"/>
              </w:rPr>
            </w:pPr>
            <w:r w:rsidRPr="00D51A68">
              <w:rPr>
                <w:rFonts w:ascii="Times New Roman" w:hAnsi="Times New Roman"/>
                <w:sz w:val="24"/>
              </w:rPr>
              <w:t>Beneficio totale della diversificazione Somma delle righe 0150 e 0160.</w:t>
            </w:r>
          </w:p>
        </w:tc>
      </w:tr>
      <w:tr w:rsidR="00973707" w:rsidRPr="00D51A68" w:rsidTr="00672D2A">
        <w:tc>
          <w:tcPr>
            <w:tcW w:w="1101" w:type="dxa"/>
          </w:tcPr>
          <w:p w:rsidR="00973707" w:rsidRPr="00D51A68" w:rsidRDefault="009A7A38" w:rsidP="00AF3D7A">
            <w:pPr>
              <w:spacing w:beforeLines="60" w:before="144" w:afterLines="60" w:after="144"/>
              <w:rPr>
                <w:rFonts w:ascii="Times New Roman" w:hAnsi="Times New Roman"/>
                <w:sz w:val="24"/>
              </w:rPr>
            </w:pPr>
            <w:r w:rsidRPr="00D51A68">
              <w:rPr>
                <w:rFonts w:ascii="Times New Roman" w:hAnsi="Times New Roman"/>
                <w:sz w:val="24"/>
              </w:rPr>
              <w:t>0150</w:t>
            </w:r>
          </w:p>
        </w:tc>
        <w:tc>
          <w:tcPr>
            <w:tcW w:w="8187" w:type="dxa"/>
          </w:tcPr>
          <w:p w:rsidR="00973707" w:rsidRPr="00D51A68" w:rsidRDefault="00973707" w:rsidP="00AF3D7A">
            <w:pPr>
              <w:spacing w:beforeLines="60" w:before="144" w:afterLines="60" w:after="144"/>
              <w:rPr>
                <w:rFonts w:ascii="Times New Roman" w:hAnsi="Times New Roman"/>
                <w:b/>
                <w:caps/>
                <w:sz w:val="24"/>
                <w:u w:val="single"/>
              </w:rPr>
            </w:pPr>
            <w:r w:rsidRPr="00D51A68">
              <w:rPr>
                <w:rFonts w:ascii="Times New Roman" w:hAnsi="Times New Roman"/>
                <w:b/>
                <w:caps/>
                <w:sz w:val="24"/>
                <w:u w:val="single"/>
              </w:rPr>
              <w:t>1.1.2.1 (-) Beneficio della diversificazione calcolato utilizzando il metodo 1</w:t>
            </w:r>
          </w:p>
          <w:p w:rsidR="00973707" w:rsidRPr="00D51A68" w:rsidRDefault="00973707" w:rsidP="00DD41BE">
            <w:pPr>
              <w:spacing w:beforeLines="60" w:before="144" w:afterLines="60" w:after="144"/>
              <w:rPr>
                <w:rFonts w:ascii="Times New Roman" w:hAnsi="Times New Roman"/>
                <w:sz w:val="24"/>
              </w:rPr>
            </w:pPr>
            <w:r w:rsidRPr="00D51A68">
              <w:rPr>
                <w:rFonts w:ascii="Times New Roman" w:hAnsi="Times New Roman"/>
                <w:sz w:val="24"/>
              </w:rPr>
              <w:t>Per le categorie di AVA aggregate utilizzando il metodo 1 a norma dell</w:t>
            </w:r>
            <w:r w:rsidR="0009277C" w:rsidRPr="00D51A68">
              <w:rPr>
                <w:rFonts w:ascii="Times New Roman" w:hAnsi="Times New Roman"/>
                <w:sz w:val="24"/>
              </w:rPr>
              <w:t>’</w:t>
            </w:r>
            <w:r w:rsidRPr="00D51A68">
              <w:rPr>
                <w:rFonts w:ascii="Times New Roman" w:hAnsi="Times New Roman"/>
                <w:sz w:val="24"/>
              </w:rPr>
              <w:t>articolo 9, paragrafo 6, dell</w:t>
            </w:r>
            <w:r w:rsidR="0009277C" w:rsidRPr="00D51A68">
              <w:rPr>
                <w:rFonts w:ascii="Times New Roman" w:hAnsi="Times New Roman"/>
                <w:sz w:val="24"/>
              </w:rPr>
              <w:t>’</w:t>
            </w:r>
            <w:r w:rsidRPr="00D51A68">
              <w:rPr>
                <w:rFonts w:ascii="Times New Roman" w:hAnsi="Times New Roman"/>
                <w:sz w:val="24"/>
              </w:rPr>
              <w:t>articolo 10, paragrafo 7, e dell</w:t>
            </w:r>
            <w:r w:rsidR="0009277C" w:rsidRPr="00D51A68">
              <w:rPr>
                <w:rFonts w:ascii="Times New Roman" w:hAnsi="Times New Roman"/>
                <w:sz w:val="24"/>
              </w:rPr>
              <w:t>’</w:t>
            </w:r>
            <w:r w:rsidRPr="00D51A68">
              <w:rPr>
                <w:rFonts w:ascii="Times New Roman" w:hAnsi="Times New Roman"/>
                <w:sz w:val="24"/>
              </w:rPr>
              <w:t>articolo 11, paragrafo 6, del regolamento delegato (UE) 2016/101 sulla valutazione prudente, la differenza tra la somma dei singoli AVA e l</w:t>
            </w:r>
            <w:r w:rsidR="0009277C" w:rsidRPr="00D51A68">
              <w:rPr>
                <w:rFonts w:ascii="Times New Roman" w:hAnsi="Times New Roman"/>
                <w:sz w:val="24"/>
              </w:rPr>
              <w:t>’</w:t>
            </w:r>
            <w:r w:rsidRPr="00D51A68">
              <w:rPr>
                <w:rFonts w:ascii="Times New Roman" w:hAnsi="Times New Roman"/>
                <w:sz w:val="24"/>
              </w:rPr>
              <w:t>AVA totale a livello di categoria dopo l</w:t>
            </w:r>
            <w:r w:rsidR="0009277C" w:rsidRPr="00D51A68">
              <w:rPr>
                <w:rFonts w:ascii="Times New Roman" w:hAnsi="Times New Roman"/>
                <w:sz w:val="24"/>
              </w:rPr>
              <w:t>’</w:t>
            </w:r>
            <w:r w:rsidRPr="00D51A68">
              <w:rPr>
                <w:rFonts w:ascii="Times New Roman" w:hAnsi="Times New Roman"/>
                <w:sz w:val="24"/>
              </w:rPr>
              <w:t>aggiustamento per aggregazione.</w:t>
            </w:r>
          </w:p>
        </w:tc>
      </w:tr>
      <w:tr w:rsidR="00973707" w:rsidRPr="00D51A68" w:rsidTr="00672D2A">
        <w:tc>
          <w:tcPr>
            <w:tcW w:w="1101" w:type="dxa"/>
          </w:tcPr>
          <w:p w:rsidR="00973707" w:rsidRPr="00D51A68" w:rsidRDefault="009A7A38" w:rsidP="00AF3D7A">
            <w:pPr>
              <w:spacing w:beforeLines="60" w:before="144" w:afterLines="60" w:after="144"/>
              <w:rPr>
                <w:rFonts w:ascii="Times New Roman" w:hAnsi="Times New Roman"/>
                <w:sz w:val="24"/>
              </w:rPr>
            </w:pPr>
            <w:r w:rsidRPr="00D51A68">
              <w:rPr>
                <w:rFonts w:ascii="Times New Roman" w:hAnsi="Times New Roman"/>
                <w:sz w:val="24"/>
              </w:rPr>
              <w:t>0160</w:t>
            </w:r>
          </w:p>
        </w:tc>
        <w:tc>
          <w:tcPr>
            <w:tcW w:w="8187" w:type="dxa"/>
          </w:tcPr>
          <w:p w:rsidR="00973707" w:rsidRPr="00D51A68" w:rsidRDefault="00973707" w:rsidP="00AF3D7A">
            <w:pPr>
              <w:spacing w:beforeLines="60" w:before="144" w:afterLines="60" w:after="144"/>
              <w:rPr>
                <w:rFonts w:ascii="Times New Roman" w:hAnsi="Times New Roman"/>
                <w:b/>
                <w:caps/>
                <w:sz w:val="24"/>
                <w:u w:val="single"/>
              </w:rPr>
            </w:pPr>
            <w:r w:rsidRPr="00D51A68">
              <w:rPr>
                <w:rFonts w:ascii="Times New Roman" w:hAnsi="Times New Roman"/>
                <w:b/>
                <w:caps/>
                <w:sz w:val="24"/>
                <w:u w:val="single"/>
              </w:rPr>
              <w:t>1.1.2.2 (-) Beneficio della diversificazione calcolato utilizzando il metodo 2</w:t>
            </w:r>
          </w:p>
          <w:p w:rsidR="00973707" w:rsidRPr="00D51A68" w:rsidRDefault="00973707" w:rsidP="00DD41BE">
            <w:pPr>
              <w:spacing w:beforeLines="60" w:before="144" w:afterLines="60" w:after="144"/>
              <w:rPr>
                <w:rFonts w:ascii="Times New Roman" w:hAnsi="Times New Roman"/>
                <w:sz w:val="24"/>
              </w:rPr>
            </w:pPr>
            <w:r w:rsidRPr="00D51A68">
              <w:rPr>
                <w:rFonts w:ascii="Times New Roman" w:hAnsi="Times New Roman"/>
                <w:sz w:val="24"/>
              </w:rPr>
              <w:t>Per le categorie di AVA aggregate utilizzando il metodo 2 a norma dell</w:t>
            </w:r>
            <w:r w:rsidR="0009277C" w:rsidRPr="00D51A68">
              <w:rPr>
                <w:rFonts w:ascii="Times New Roman" w:hAnsi="Times New Roman"/>
                <w:sz w:val="24"/>
              </w:rPr>
              <w:t>’</w:t>
            </w:r>
            <w:r w:rsidRPr="00D51A68">
              <w:rPr>
                <w:rFonts w:ascii="Times New Roman" w:hAnsi="Times New Roman"/>
                <w:sz w:val="24"/>
              </w:rPr>
              <w:t>articolo 9, paragrafo 6, dell</w:t>
            </w:r>
            <w:r w:rsidR="0009277C" w:rsidRPr="00D51A68">
              <w:rPr>
                <w:rFonts w:ascii="Times New Roman" w:hAnsi="Times New Roman"/>
                <w:sz w:val="24"/>
              </w:rPr>
              <w:t>’</w:t>
            </w:r>
            <w:r w:rsidRPr="00D51A68">
              <w:rPr>
                <w:rFonts w:ascii="Times New Roman" w:hAnsi="Times New Roman"/>
                <w:sz w:val="24"/>
              </w:rPr>
              <w:t>articolo 10, paragrafo 7, e dell</w:t>
            </w:r>
            <w:r w:rsidR="0009277C" w:rsidRPr="00D51A68">
              <w:rPr>
                <w:rFonts w:ascii="Times New Roman" w:hAnsi="Times New Roman"/>
                <w:sz w:val="24"/>
              </w:rPr>
              <w:t>’</w:t>
            </w:r>
            <w:r w:rsidRPr="00D51A68">
              <w:rPr>
                <w:rFonts w:ascii="Times New Roman" w:hAnsi="Times New Roman"/>
                <w:sz w:val="24"/>
              </w:rPr>
              <w:t>articolo 11, paragrafo 6, del regolamento delegato (UE) 2016/101 sulla valutazione prudente, la differenza tra la somma dei singoli AVA e l</w:t>
            </w:r>
            <w:r w:rsidR="0009277C" w:rsidRPr="00D51A68">
              <w:rPr>
                <w:rFonts w:ascii="Times New Roman" w:hAnsi="Times New Roman"/>
                <w:sz w:val="24"/>
              </w:rPr>
              <w:t>’</w:t>
            </w:r>
            <w:r w:rsidRPr="00D51A68">
              <w:rPr>
                <w:rFonts w:ascii="Times New Roman" w:hAnsi="Times New Roman"/>
                <w:sz w:val="24"/>
              </w:rPr>
              <w:t>AVA totale a livello di categoria dopo l</w:t>
            </w:r>
            <w:r w:rsidR="0009277C" w:rsidRPr="00D51A68">
              <w:rPr>
                <w:rFonts w:ascii="Times New Roman" w:hAnsi="Times New Roman"/>
                <w:sz w:val="24"/>
              </w:rPr>
              <w:t>’</w:t>
            </w:r>
            <w:r w:rsidRPr="00D51A68">
              <w:rPr>
                <w:rFonts w:ascii="Times New Roman" w:hAnsi="Times New Roman"/>
                <w:sz w:val="24"/>
              </w:rPr>
              <w:t>aggiustamento per aggregazione.</w:t>
            </w:r>
          </w:p>
        </w:tc>
      </w:tr>
      <w:tr w:rsidR="00973707" w:rsidRPr="00D51A68" w:rsidTr="00672D2A">
        <w:tc>
          <w:tcPr>
            <w:tcW w:w="1101" w:type="dxa"/>
          </w:tcPr>
          <w:p w:rsidR="00973707" w:rsidRPr="00D51A68" w:rsidRDefault="009A7A38" w:rsidP="00AF3D7A">
            <w:pPr>
              <w:spacing w:beforeLines="60" w:before="144" w:afterLines="60" w:after="144"/>
              <w:rPr>
                <w:rFonts w:ascii="Times New Roman" w:hAnsi="Times New Roman"/>
                <w:sz w:val="24"/>
              </w:rPr>
            </w:pPr>
            <w:r w:rsidRPr="00D51A68">
              <w:rPr>
                <w:rFonts w:ascii="Times New Roman" w:hAnsi="Times New Roman"/>
                <w:sz w:val="24"/>
              </w:rPr>
              <w:t>0170</w:t>
            </w:r>
          </w:p>
        </w:tc>
        <w:tc>
          <w:tcPr>
            <w:tcW w:w="8187" w:type="dxa"/>
          </w:tcPr>
          <w:p w:rsidR="00973707" w:rsidRPr="00D51A68" w:rsidRDefault="00973707" w:rsidP="00AF3D7A">
            <w:pPr>
              <w:spacing w:beforeLines="60" w:before="144" w:afterLines="60" w:after="144"/>
              <w:rPr>
                <w:rFonts w:ascii="Times New Roman" w:hAnsi="Times New Roman"/>
                <w:b/>
                <w:caps/>
                <w:sz w:val="24"/>
                <w:u w:val="single"/>
              </w:rPr>
            </w:pPr>
            <w:r w:rsidRPr="00D51A68">
              <w:rPr>
                <w:rFonts w:ascii="Times New Roman" w:hAnsi="Times New Roman"/>
                <w:b/>
                <w:caps/>
                <w:sz w:val="24"/>
                <w:u w:val="single"/>
              </w:rPr>
              <w:t>1.1.2.2* Voce per memoria: AVA pre-diversificazione ridotti di oltre il 90% dalla diversificazione utilizzando il metodo 2</w:t>
            </w:r>
          </w:p>
          <w:p w:rsidR="00973707" w:rsidRPr="00D51A68" w:rsidRDefault="00973707" w:rsidP="00DD41BE">
            <w:pPr>
              <w:spacing w:beforeLines="60" w:before="144" w:afterLines="60" w:after="144"/>
              <w:rPr>
                <w:rFonts w:ascii="Times New Roman" w:hAnsi="Times New Roman"/>
                <w:sz w:val="24"/>
              </w:rPr>
            </w:pPr>
            <w:r w:rsidRPr="00D51A68">
              <w:rPr>
                <w:rFonts w:ascii="Times New Roman" w:hAnsi="Times New Roman"/>
                <w:sz w:val="24"/>
              </w:rPr>
              <w:t xml:space="preserve">Nella terminologia del metodo 2, la somma di FV – PV per tutte le esposizioni oggetto di valutazione per le quali APVA &lt; 10% (FV – PV). </w:t>
            </w:r>
            <w:r w:rsidRPr="00D51A68">
              <w:rPr>
                <w:rFonts w:ascii="Times New Roman" w:hAnsi="Times New Roman"/>
                <w:sz w:val="24"/>
              </w:rPr>
              <w:br/>
            </w:r>
          </w:p>
        </w:tc>
      </w:tr>
      <w:tr w:rsidR="00973707" w:rsidRPr="00D51A68" w:rsidTr="00672D2A">
        <w:tc>
          <w:tcPr>
            <w:tcW w:w="1101" w:type="dxa"/>
          </w:tcPr>
          <w:p w:rsidR="00973707" w:rsidRPr="00D51A68" w:rsidRDefault="009A7A38" w:rsidP="00AF3D7A">
            <w:pPr>
              <w:spacing w:beforeLines="60" w:before="144" w:afterLines="60" w:after="144"/>
              <w:rPr>
                <w:rFonts w:ascii="Times New Roman" w:hAnsi="Times New Roman"/>
                <w:sz w:val="24"/>
              </w:rPr>
            </w:pPr>
            <w:r w:rsidRPr="00D51A68">
              <w:rPr>
                <w:rFonts w:ascii="Times New Roman" w:hAnsi="Times New Roman"/>
                <w:sz w:val="24"/>
              </w:rPr>
              <w:t>0180</w:t>
            </w:r>
          </w:p>
        </w:tc>
        <w:tc>
          <w:tcPr>
            <w:tcW w:w="8187" w:type="dxa"/>
          </w:tcPr>
          <w:p w:rsidR="00973707" w:rsidRPr="00D51A68" w:rsidRDefault="00973707" w:rsidP="00AF3D7A">
            <w:pPr>
              <w:spacing w:beforeLines="60" w:before="144" w:afterLines="60" w:after="144"/>
              <w:rPr>
                <w:rFonts w:ascii="Times New Roman" w:hAnsi="Times New Roman"/>
                <w:b/>
                <w:caps/>
                <w:sz w:val="24"/>
                <w:u w:val="single"/>
              </w:rPr>
            </w:pPr>
            <w:r w:rsidRPr="00D51A68">
              <w:rPr>
                <w:rFonts w:ascii="Times New Roman" w:hAnsi="Times New Roman"/>
                <w:b/>
                <w:caps/>
                <w:sz w:val="24"/>
                <w:u w:val="single"/>
              </w:rPr>
              <w:t>1.2 Portafogli calcolati secondo l</w:t>
            </w:r>
            <w:r w:rsidR="0009277C" w:rsidRPr="00D51A68">
              <w:rPr>
                <w:rFonts w:ascii="Times New Roman" w:hAnsi="Times New Roman"/>
                <w:b/>
                <w:caps/>
                <w:sz w:val="24"/>
                <w:u w:val="single"/>
              </w:rPr>
              <w:t>’</w:t>
            </w:r>
            <w:r w:rsidRPr="00D51A68">
              <w:rPr>
                <w:rFonts w:ascii="Times New Roman" w:hAnsi="Times New Roman"/>
                <w:b/>
                <w:caps/>
                <w:sz w:val="24"/>
                <w:u w:val="single"/>
              </w:rPr>
              <w:t>approccio alternativo</w:t>
            </w:r>
          </w:p>
          <w:p w:rsidR="00973707" w:rsidRPr="00D51A68" w:rsidRDefault="00973707" w:rsidP="00AF3D7A">
            <w:pPr>
              <w:spacing w:beforeLines="60" w:before="144" w:afterLines="60" w:after="144"/>
              <w:rPr>
                <w:rFonts w:ascii="Times New Roman" w:hAnsi="Times New Roman"/>
                <w:sz w:val="24"/>
              </w:rPr>
            </w:pPr>
            <w:r w:rsidRPr="00D51A68">
              <w:rPr>
                <w:rFonts w:ascii="Times New Roman" w:hAnsi="Times New Roman"/>
                <w:sz w:val="24"/>
              </w:rPr>
              <w:t>Articolo 7, paragrafo 2, lettera b), del regolamento delegato (UE) 2016/101 sulla valutazione prudente.</w:t>
            </w:r>
          </w:p>
          <w:p w:rsidR="00973707" w:rsidRPr="00D51A68" w:rsidRDefault="00973707" w:rsidP="00AF3D7A">
            <w:pPr>
              <w:spacing w:beforeLines="60" w:before="144" w:afterLines="60" w:after="144"/>
              <w:rPr>
                <w:rFonts w:ascii="Times New Roman" w:hAnsi="Times New Roman"/>
                <w:sz w:val="24"/>
              </w:rPr>
            </w:pPr>
            <w:r w:rsidRPr="00D51A68">
              <w:rPr>
                <w:rFonts w:ascii="Times New Roman" w:hAnsi="Times New Roman"/>
                <w:sz w:val="24"/>
              </w:rPr>
              <w:t>Per i portafogli soggetti all</w:t>
            </w:r>
            <w:r w:rsidR="0009277C" w:rsidRPr="00D51A68">
              <w:rPr>
                <w:rFonts w:ascii="Times New Roman" w:hAnsi="Times New Roman"/>
                <w:sz w:val="24"/>
              </w:rPr>
              <w:t>’</w:t>
            </w:r>
            <w:r w:rsidRPr="00D51A68">
              <w:rPr>
                <w:rFonts w:ascii="Times New Roman" w:hAnsi="Times New Roman"/>
                <w:sz w:val="24"/>
              </w:rPr>
              <w:t>approccio alternativo a norma dell</w:t>
            </w:r>
            <w:r w:rsidR="0009277C" w:rsidRPr="00D51A68">
              <w:rPr>
                <w:rFonts w:ascii="Times New Roman" w:hAnsi="Times New Roman"/>
                <w:sz w:val="24"/>
              </w:rPr>
              <w:t>’</w:t>
            </w:r>
            <w:r w:rsidRPr="00D51A68">
              <w:rPr>
                <w:rFonts w:ascii="Times New Roman" w:hAnsi="Times New Roman"/>
                <w:sz w:val="24"/>
              </w:rPr>
              <w:t>articolo 7, paragrafo 2, lettera b), del regolamento delegato (UE) 2016/101 sulla valutazione prudente, l</w:t>
            </w:r>
            <w:r w:rsidR="0009277C" w:rsidRPr="00D51A68">
              <w:rPr>
                <w:rFonts w:ascii="Times New Roman" w:hAnsi="Times New Roman"/>
                <w:sz w:val="24"/>
              </w:rPr>
              <w:t>’</w:t>
            </w:r>
            <w:r w:rsidRPr="00D51A68">
              <w:rPr>
                <w:rFonts w:ascii="Times New Roman" w:hAnsi="Times New Roman"/>
                <w:sz w:val="24"/>
              </w:rPr>
              <w:t xml:space="preserve">AVA totale è pari alla somma delle righe 0190, 0200 e 0210. </w:t>
            </w:r>
          </w:p>
          <w:p w:rsidR="00973707" w:rsidRPr="00D51A68" w:rsidRDefault="00973707" w:rsidP="00AF3D7A">
            <w:pPr>
              <w:spacing w:beforeLines="60" w:before="144" w:afterLines="60" w:after="144"/>
              <w:rPr>
                <w:rFonts w:ascii="Times New Roman" w:hAnsi="Times New Roman"/>
                <w:sz w:val="24"/>
              </w:rPr>
            </w:pPr>
            <w:r w:rsidRPr="00D51A68">
              <w:rPr>
                <w:rFonts w:ascii="Times New Roman" w:hAnsi="Times New Roman"/>
                <w:sz w:val="24"/>
              </w:rPr>
              <w:t xml:space="preserve">Le informazioni di bilancio ed altre informazioni contestuali sono fornite nelle colonne da 0130 a 0260. La descrizione delle posizioni e le ragioni per cui non è stato possibile applicare gli articoli da 9 a 17 del regolamento delegato (UE) 2016/101 sulla valutazione prudente sono fornite nella colonna 0270. </w:t>
            </w:r>
          </w:p>
        </w:tc>
      </w:tr>
      <w:tr w:rsidR="00973707" w:rsidRPr="00D51A68" w:rsidTr="00672D2A">
        <w:tc>
          <w:tcPr>
            <w:tcW w:w="1101" w:type="dxa"/>
          </w:tcPr>
          <w:p w:rsidR="00973707" w:rsidRPr="00D51A68" w:rsidRDefault="009A7A38" w:rsidP="00AF3D7A">
            <w:pPr>
              <w:spacing w:beforeLines="60" w:before="144" w:afterLines="60" w:after="144"/>
              <w:rPr>
                <w:rFonts w:ascii="Times New Roman" w:hAnsi="Times New Roman"/>
                <w:sz w:val="24"/>
              </w:rPr>
            </w:pPr>
            <w:r w:rsidRPr="00D51A68">
              <w:rPr>
                <w:rFonts w:ascii="Times New Roman" w:hAnsi="Times New Roman"/>
                <w:sz w:val="24"/>
              </w:rPr>
              <w:t>0190</w:t>
            </w:r>
          </w:p>
        </w:tc>
        <w:tc>
          <w:tcPr>
            <w:tcW w:w="8187" w:type="dxa"/>
          </w:tcPr>
          <w:p w:rsidR="00973707" w:rsidRPr="00D51A68" w:rsidRDefault="00973707" w:rsidP="00AF3D7A">
            <w:pPr>
              <w:spacing w:beforeLines="60" w:before="144" w:afterLines="60" w:after="144"/>
              <w:rPr>
                <w:rFonts w:ascii="Times New Roman" w:hAnsi="Times New Roman"/>
                <w:b/>
                <w:caps/>
                <w:sz w:val="24"/>
                <w:u w:val="single"/>
              </w:rPr>
            </w:pPr>
            <w:r w:rsidRPr="00D51A68">
              <w:rPr>
                <w:rFonts w:ascii="Times New Roman" w:hAnsi="Times New Roman"/>
                <w:b/>
                <w:caps/>
                <w:sz w:val="24"/>
                <w:u w:val="single"/>
              </w:rPr>
              <w:t>1.2.1 Approccio alternativo; 100% del profitto non realizzato</w:t>
            </w:r>
          </w:p>
          <w:p w:rsidR="00973707" w:rsidRPr="00D51A68" w:rsidRDefault="00973707" w:rsidP="009A7A38">
            <w:pPr>
              <w:spacing w:beforeLines="60" w:before="144" w:afterLines="60" w:after="144"/>
              <w:rPr>
                <w:rFonts w:ascii="Times New Roman" w:hAnsi="Times New Roman"/>
                <w:sz w:val="24"/>
              </w:rPr>
            </w:pPr>
            <w:r w:rsidRPr="00D51A68">
              <w:rPr>
                <w:rFonts w:ascii="Times New Roman" w:hAnsi="Times New Roman"/>
                <w:sz w:val="24"/>
              </w:rPr>
              <w:t>Articolo 7, paragrafo 2, lettera b), punto i)</w:t>
            </w:r>
            <w:r w:rsidR="00BE76FD" w:rsidRPr="00D51A68">
              <w:rPr>
                <w:rFonts w:ascii="Times New Roman" w:hAnsi="Times New Roman"/>
                <w:sz w:val="24"/>
              </w:rPr>
              <w:t>, del regolamento delegato (UE) </w:t>
            </w:r>
            <w:r w:rsidRPr="00D51A68">
              <w:rPr>
                <w:rFonts w:ascii="Times New Roman" w:hAnsi="Times New Roman"/>
                <w:sz w:val="24"/>
              </w:rPr>
              <w:t>2016/101 sulla valutazione prudente</w:t>
            </w:r>
          </w:p>
        </w:tc>
      </w:tr>
      <w:tr w:rsidR="00973707" w:rsidRPr="00D51A68" w:rsidTr="00672D2A">
        <w:tc>
          <w:tcPr>
            <w:tcW w:w="1101" w:type="dxa"/>
          </w:tcPr>
          <w:p w:rsidR="00973707" w:rsidRPr="00D51A68" w:rsidRDefault="009A7A38" w:rsidP="00AF3D7A">
            <w:pPr>
              <w:spacing w:beforeLines="60" w:before="144" w:afterLines="60" w:after="144"/>
              <w:rPr>
                <w:rFonts w:ascii="Times New Roman" w:hAnsi="Times New Roman"/>
                <w:sz w:val="24"/>
              </w:rPr>
            </w:pPr>
            <w:r w:rsidRPr="00D51A68">
              <w:rPr>
                <w:rFonts w:ascii="Times New Roman" w:hAnsi="Times New Roman"/>
                <w:sz w:val="24"/>
              </w:rPr>
              <w:t>0200</w:t>
            </w:r>
          </w:p>
        </w:tc>
        <w:tc>
          <w:tcPr>
            <w:tcW w:w="8187" w:type="dxa"/>
          </w:tcPr>
          <w:p w:rsidR="00973707" w:rsidRPr="00D51A68" w:rsidRDefault="00973707" w:rsidP="00AF3D7A">
            <w:pPr>
              <w:spacing w:beforeLines="60" w:before="144" w:afterLines="60" w:after="144"/>
              <w:rPr>
                <w:rFonts w:ascii="Times New Roman" w:hAnsi="Times New Roman"/>
                <w:b/>
                <w:caps/>
                <w:sz w:val="24"/>
                <w:u w:val="single"/>
              </w:rPr>
            </w:pPr>
            <w:r w:rsidRPr="00D51A68">
              <w:rPr>
                <w:rFonts w:ascii="Times New Roman" w:hAnsi="Times New Roman"/>
                <w:b/>
                <w:caps/>
                <w:sz w:val="24"/>
                <w:u w:val="single"/>
              </w:rPr>
              <w:t>1.2.2 Approccio alternativo; 10% del valore nozionale</w:t>
            </w:r>
          </w:p>
          <w:p w:rsidR="00973707" w:rsidRPr="00D51A68" w:rsidRDefault="009A7A38" w:rsidP="00AF3D7A">
            <w:pPr>
              <w:spacing w:beforeLines="60" w:before="144" w:afterLines="60" w:after="144"/>
              <w:rPr>
                <w:rFonts w:ascii="Times New Roman" w:hAnsi="Times New Roman"/>
                <w:sz w:val="24"/>
              </w:rPr>
            </w:pPr>
            <w:r w:rsidRPr="00D51A68">
              <w:rPr>
                <w:rFonts w:ascii="Times New Roman" w:hAnsi="Times New Roman"/>
                <w:sz w:val="24"/>
              </w:rPr>
              <w:t>Articolo 7, paragrafo 2, lettera b), punto ii)</w:t>
            </w:r>
            <w:r w:rsidR="00BE76FD" w:rsidRPr="00D51A68">
              <w:rPr>
                <w:rFonts w:ascii="Times New Roman" w:hAnsi="Times New Roman"/>
                <w:sz w:val="24"/>
              </w:rPr>
              <w:t>, del regolamento delegato (UE) </w:t>
            </w:r>
            <w:r w:rsidRPr="00D51A68">
              <w:rPr>
                <w:rFonts w:ascii="Times New Roman" w:hAnsi="Times New Roman"/>
                <w:sz w:val="24"/>
              </w:rPr>
              <w:t>2016/101 sulla valutazione prudente</w:t>
            </w:r>
          </w:p>
        </w:tc>
      </w:tr>
      <w:tr w:rsidR="00973707" w:rsidRPr="00D51A68" w:rsidTr="00672D2A">
        <w:tc>
          <w:tcPr>
            <w:tcW w:w="1101" w:type="dxa"/>
          </w:tcPr>
          <w:p w:rsidR="00973707" w:rsidRPr="00D51A68" w:rsidRDefault="009A7A38" w:rsidP="00AF3D7A">
            <w:pPr>
              <w:spacing w:beforeLines="60" w:before="144" w:afterLines="60" w:after="144"/>
              <w:rPr>
                <w:rFonts w:ascii="Times New Roman" w:hAnsi="Times New Roman"/>
                <w:sz w:val="24"/>
              </w:rPr>
            </w:pPr>
            <w:r w:rsidRPr="00D51A68">
              <w:rPr>
                <w:rFonts w:ascii="Times New Roman" w:hAnsi="Times New Roman"/>
                <w:sz w:val="24"/>
              </w:rPr>
              <w:t>0210</w:t>
            </w:r>
          </w:p>
        </w:tc>
        <w:tc>
          <w:tcPr>
            <w:tcW w:w="8187" w:type="dxa"/>
          </w:tcPr>
          <w:p w:rsidR="00973707" w:rsidRPr="00D51A68" w:rsidRDefault="00973707" w:rsidP="00AF3D7A">
            <w:pPr>
              <w:spacing w:beforeLines="60" w:before="144" w:afterLines="60" w:after="144"/>
              <w:rPr>
                <w:rFonts w:ascii="Times New Roman" w:hAnsi="Times New Roman"/>
                <w:b/>
                <w:caps/>
                <w:sz w:val="24"/>
                <w:u w:val="single"/>
              </w:rPr>
            </w:pPr>
            <w:r w:rsidRPr="00D51A68">
              <w:rPr>
                <w:rFonts w:ascii="Times New Roman" w:hAnsi="Times New Roman"/>
                <w:b/>
                <w:caps/>
                <w:sz w:val="24"/>
                <w:u w:val="single"/>
              </w:rPr>
              <w:t>1.2.3 Approccio alternativo; 25</w:t>
            </w:r>
            <w:r w:rsidR="0009277C" w:rsidRPr="00D51A68">
              <w:rPr>
                <w:rFonts w:ascii="Times New Roman" w:hAnsi="Times New Roman"/>
                <w:b/>
                <w:caps/>
                <w:sz w:val="24"/>
                <w:u w:val="single"/>
              </w:rPr>
              <w:t>%</w:t>
            </w:r>
            <w:r w:rsidRPr="00D51A68">
              <w:rPr>
                <w:rFonts w:ascii="Times New Roman" w:hAnsi="Times New Roman"/>
                <w:b/>
                <w:caps/>
                <w:sz w:val="24"/>
                <w:u w:val="single"/>
              </w:rPr>
              <w:t xml:space="preserve"> del valore iniziale</w:t>
            </w:r>
          </w:p>
          <w:p w:rsidR="00973707" w:rsidRPr="00D51A68" w:rsidRDefault="009A7A38" w:rsidP="00AF3D7A">
            <w:pPr>
              <w:spacing w:beforeLines="60" w:before="144" w:afterLines="60" w:after="144"/>
              <w:rPr>
                <w:rFonts w:ascii="Times New Roman" w:hAnsi="Times New Roman"/>
                <w:sz w:val="24"/>
              </w:rPr>
            </w:pPr>
            <w:r w:rsidRPr="00D51A68">
              <w:rPr>
                <w:rFonts w:ascii="Times New Roman" w:hAnsi="Times New Roman"/>
                <w:sz w:val="24"/>
              </w:rPr>
              <w:t>Articolo 7, paragrafo 2, lettera b), punto iii)</w:t>
            </w:r>
            <w:r w:rsidR="00BE76FD" w:rsidRPr="00D51A68">
              <w:rPr>
                <w:rFonts w:ascii="Times New Roman" w:hAnsi="Times New Roman"/>
                <w:sz w:val="24"/>
              </w:rPr>
              <w:t>, del regolamento delegato (UE) </w:t>
            </w:r>
            <w:r w:rsidRPr="00D51A68">
              <w:rPr>
                <w:rFonts w:ascii="Times New Roman" w:hAnsi="Times New Roman"/>
                <w:sz w:val="24"/>
              </w:rPr>
              <w:t>2016/101 sulla valutazione prudente</w:t>
            </w:r>
          </w:p>
        </w:tc>
      </w:tr>
    </w:tbl>
    <w:p w:rsidR="00B93FA1" w:rsidRPr="00D51A68" w:rsidRDefault="00AF3D7A" w:rsidP="00B93FA1">
      <w:pPr>
        <w:pStyle w:val="Instructionsberschrift2"/>
        <w:numPr>
          <w:ilvl w:val="0"/>
          <w:numId w:val="0"/>
        </w:numPr>
        <w:ind w:left="357" w:hanging="357"/>
        <w:rPr>
          <w:rFonts w:ascii="Times New Roman" w:hAnsi="Times New Roman"/>
          <w:sz w:val="24"/>
          <w:u w:val="none"/>
        </w:rPr>
      </w:pPr>
      <w:bookmarkStart w:id="789" w:name="_Toc516210713"/>
      <w:bookmarkStart w:id="790" w:name="_Toc524096658"/>
      <w:r w:rsidRPr="00D51A68">
        <w:rPr>
          <w:rFonts w:ascii="Times New Roman" w:hAnsi="Times New Roman"/>
          <w:sz w:val="24"/>
          <w:u w:val="none"/>
        </w:rPr>
        <w:t>6.3</w:t>
      </w:r>
      <w:r w:rsidR="004B5E3A" w:rsidRPr="00D51A68">
        <w:rPr>
          <w:rFonts w:ascii="Times New Roman" w:hAnsi="Times New Roman"/>
          <w:sz w:val="24"/>
          <w:u w:val="none"/>
        </w:rPr>
        <w:t>.</w:t>
      </w:r>
      <w:r w:rsidR="004B5E3A" w:rsidRPr="00D51A68">
        <w:rPr>
          <w:rFonts w:ascii="Times New Roman" w:hAnsi="Times New Roman"/>
          <w:sz w:val="24"/>
          <w:u w:val="none"/>
        </w:rPr>
        <w:tab/>
      </w:r>
      <w:r w:rsidRPr="00D51A68">
        <w:rPr>
          <w:rFonts w:ascii="Times New Roman" w:hAnsi="Times New Roman"/>
          <w:sz w:val="24"/>
        </w:rPr>
        <w:t>C 32.03 - Valutazione prudente: AVA per i rischi del modello (PruVal 3)</w:t>
      </w:r>
      <w:bookmarkEnd w:id="789"/>
      <w:bookmarkEnd w:id="790"/>
    </w:p>
    <w:p w:rsidR="00B93FA1" w:rsidRPr="00D51A68" w:rsidRDefault="00B93FA1" w:rsidP="00B93FA1">
      <w:pPr>
        <w:pStyle w:val="Instructionsberschrift2"/>
        <w:numPr>
          <w:ilvl w:val="0"/>
          <w:numId w:val="0"/>
        </w:numPr>
        <w:ind w:left="357" w:hanging="357"/>
        <w:rPr>
          <w:rFonts w:ascii="Times New Roman" w:hAnsi="Times New Roman" w:cs="Times New Roman"/>
          <w:sz w:val="24"/>
          <w:u w:val="none"/>
        </w:rPr>
      </w:pPr>
      <w:bookmarkStart w:id="791" w:name="_Toc516210714"/>
      <w:bookmarkStart w:id="792" w:name="_Toc524096659"/>
      <w:r w:rsidRPr="00D51A68">
        <w:rPr>
          <w:rFonts w:ascii="Times New Roman" w:hAnsi="Times New Roman"/>
          <w:sz w:val="24"/>
          <w:u w:val="none"/>
        </w:rPr>
        <w:t>6.3.1.</w:t>
      </w:r>
      <w:r w:rsidR="00A0772B" w:rsidRPr="00D51A68">
        <w:rPr>
          <w:u w:val="none"/>
        </w:rPr>
        <w:tab/>
      </w:r>
      <w:r w:rsidRPr="00D51A68">
        <w:rPr>
          <w:rFonts w:ascii="Times New Roman" w:hAnsi="Times New Roman"/>
          <w:sz w:val="24"/>
        </w:rPr>
        <w:t>Osservazioni di carattere generale</w:t>
      </w:r>
      <w:bookmarkEnd w:id="791"/>
      <w:bookmarkEnd w:id="792"/>
      <w:r w:rsidRPr="00D51A68">
        <w:rPr>
          <w:rFonts w:ascii="Times New Roman" w:hAnsi="Times New Roman"/>
          <w:sz w:val="24"/>
          <w:u w:val="none"/>
        </w:rPr>
        <w:t xml:space="preserve"> </w:t>
      </w:r>
    </w:p>
    <w:p w:rsidR="00AF3D7A" w:rsidRPr="00D51A68" w:rsidRDefault="00AF3D7A" w:rsidP="00BE76FD">
      <w:pPr>
        <w:pStyle w:val="InstructionsText2"/>
        <w:numPr>
          <w:ilvl w:val="0"/>
          <w:numId w:val="0"/>
        </w:numPr>
        <w:ind w:left="993"/>
      </w:pPr>
      <w:r w:rsidRPr="00D51A68">
        <w:t>154septies. Questo modello è compilato solo dagli enti che superano la soglia di cui all</w:t>
      </w:r>
      <w:r w:rsidR="0009277C" w:rsidRPr="00D51A68">
        <w:t>’</w:t>
      </w:r>
      <w:r w:rsidRPr="00D51A68">
        <w:t>articolo 4, paragrafo 1, del regolamento delegato (UE) 2016/101 sulla valutazione prudente al loro livello. Gli enti appartenenti ad un gruppo che superano la soglia su base consolidata sono tenuti a compilare questo modello solo quando superano la soglia anche al loro livello.</w:t>
      </w:r>
    </w:p>
    <w:p w:rsidR="00AF3D7A" w:rsidRPr="00D51A68" w:rsidRDefault="00AF3D7A" w:rsidP="00BE76FD">
      <w:pPr>
        <w:pStyle w:val="InstructionsText2"/>
        <w:numPr>
          <w:ilvl w:val="0"/>
          <w:numId w:val="0"/>
        </w:numPr>
        <w:ind w:left="993"/>
      </w:pPr>
      <w:r w:rsidRPr="00D51A68">
        <w:t>154octies. Questo modello è utilizzato per fornire i dettagli dei 20 principali singoli AVA per i rischi del modello in termini di importo dell</w:t>
      </w:r>
      <w:r w:rsidR="0009277C" w:rsidRPr="00D51A68">
        <w:t>’</w:t>
      </w:r>
      <w:r w:rsidRPr="00D51A68">
        <w:t>AVA che contribuisce all</w:t>
      </w:r>
      <w:r w:rsidR="0009277C" w:rsidRPr="00D51A68">
        <w:t>’</w:t>
      </w:r>
      <w:r w:rsidRPr="00D51A68">
        <w:t>AVA totale a livello di categoria per i rischi del modello computato a norma dell</w:t>
      </w:r>
      <w:r w:rsidR="0009277C" w:rsidRPr="00D51A68">
        <w:t>’</w:t>
      </w:r>
      <w:r w:rsidRPr="00D51A68">
        <w:t>articolo 11 del regolamento delegato (UE) 2016/101 sulla valutazione prudente. Queste informazioni corrispondono a quelle riportate nella colonna 0050 del modello C 32.02.</w:t>
      </w:r>
    </w:p>
    <w:p w:rsidR="00AF3D7A" w:rsidRPr="00D51A68" w:rsidRDefault="00AF3D7A" w:rsidP="00BE76FD">
      <w:pPr>
        <w:pStyle w:val="InstructionsText2"/>
        <w:numPr>
          <w:ilvl w:val="0"/>
          <w:numId w:val="0"/>
        </w:numPr>
        <w:ind w:left="993"/>
      </w:pPr>
      <w:r w:rsidRPr="00D51A68">
        <w:t xml:space="preserve">154nonies. I 20 principali singoli AVA per i rischi del modello, e le corrispondenti informazioni sul prodotto, sono indicati in ordine discendente partendo dal maggiore. </w:t>
      </w:r>
    </w:p>
    <w:p w:rsidR="00AF3D7A" w:rsidRPr="00D51A68" w:rsidRDefault="00AF3D7A" w:rsidP="00BE76FD">
      <w:pPr>
        <w:pStyle w:val="InstructionsText2"/>
        <w:numPr>
          <w:ilvl w:val="0"/>
          <w:numId w:val="0"/>
        </w:numPr>
        <w:ind w:left="993"/>
      </w:pPr>
      <w:r w:rsidRPr="00D51A68">
        <w:t>154decies. I prodotti corrispondenti a questi principali singoli AVA per i rischi del modello sono indicati utilizzando l</w:t>
      </w:r>
      <w:r w:rsidR="0009277C" w:rsidRPr="00D51A68">
        <w:t>’</w:t>
      </w:r>
      <w:r w:rsidRPr="00D51A68">
        <w:t>inventario dei prodotti previsto all</w:t>
      </w:r>
      <w:r w:rsidR="0009277C" w:rsidRPr="00D51A68">
        <w:t>’</w:t>
      </w:r>
      <w:r w:rsidRPr="00D51A68">
        <w:t xml:space="preserve">articolo 19, paragrafo 3, lettera a), del regolamento delegato (UE) 2016/101 sulla valutazione prudente </w:t>
      </w:r>
    </w:p>
    <w:p w:rsidR="00AF3D7A" w:rsidRPr="00D51A68" w:rsidRDefault="00113E45" w:rsidP="00BE76FD">
      <w:pPr>
        <w:pStyle w:val="InstructionsText2"/>
        <w:numPr>
          <w:ilvl w:val="0"/>
          <w:numId w:val="0"/>
        </w:numPr>
        <w:ind w:left="993"/>
      </w:pPr>
      <w:r w:rsidRPr="00D51A68">
        <w:t>154undecies. I prodotti che sono sufficientemente omogenei rispetto al modello di valutazione e all</w:t>
      </w:r>
      <w:r w:rsidR="0009277C" w:rsidRPr="00D51A68">
        <w:t>’</w:t>
      </w:r>
      <w:r w:rsidRPr="00D51A68">
        <w:t>AVA per i rischi del modello sono riuniti e indicati su una linea per massimizzare la copertura rispetto all</w:t>
      </w:r>
      <w:r w:rsidR="0009277C" w:rsidRPr="00D51A68">
        <w:t>’</w:t>
      </w:r>
      <w:r w:rsidRPr="00D51A68">
        <w:t>AVA totale a livello di categoria per i rischi del modello dell</w:t>
      </w:r>
      <w:r w:rsidR="0009277C" w:rsidRPr="00D51A68">
        <w:t>’</w:t>
      </w:r>
      <w:r w:rsidRPr="00D51A68">
        <w:t>ente.</w:t>
      </w:r>
    </w:p>
    <w:p w:rsidR="00B93FA1" w:rsidRPr="00D51A68" w:rsidRDefault="00B93FA1" w:rsidP="00B93FA1">
      <w:pPr>
        <w:pStyle w:val="Instructionsberschrift2"/>
        <w:numPr>
          <w:ilvl w:val="0"/>
          <w:numId w:val="0"/>
        </w:numPr>
        <w:ind w:left="357" w:hanging="357"/>
        <w:rPr>
          <w:rFonts w:ascii="Times New Roman" w:hAnsi="Times New Roman" w:cs="Times New Roman"/>
          <w:sz w:val="24"/>
        </w:rPr>
      </w:pPr>
      <w:bookmarkStart w:id="793" w:name="_Toc516210715"/>
      <w:bookmarkStart w:id="794" w:name="_Toc524096660"/>
      <w:r w:rsidRPr="00D51A68">
        <w:rPr>
          <w:rFonts w:ascii="Times New Roman" w:hAnsi="Times New Roman"/>
          <w:sz w:val="24"/>
          <w:u w:val="none"/>
        </w:rPr>
        <w:t>6.3.2.</w:t>
      </w:r>
      <w:r w:rsidR="00A0772B" w:rsidRPr="00D51A68">
        <w:rPr>
          <w:u w:val="none"/>
        </w:rPr>
        <w:tab/>
      </w:r>
      <w:r w:rsidRPr="00D51A68">
        <w:rPr>
          <w:rFonts w:ascii="Times New Roman" w:hAnsi="Times New Roman"/>
          <w:sz w:val="24"/>
        </w:rPr>
        <w:t>Istruzioni relative a posizioni specifiche</w:t>
      </w:r>
      <w:bookmarkEnd w:id="793"/>
      <w:bookmarkEnd w:id="794"/>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221"/>
      </w:tblGrid>
      <w:tr w:rsidR="00113E45" w:rsidRPr="00D51A68" w:rsidTr="00672D2A">
        <w:tc>
          <w:tcPr>
            <w:tcW w:w="9322" w:type="dxa"/>
            <w:gridSpan w:val="2"/>
            <w:shd w:val="clear" w:color="auto" w:fill="CCCCCC"/>
          </w:tcPr>
          <w:p w:rsidR="00113E45" w:rsidRPr="00D51A68" w:rsidRDefault="00113E45" w:rsidP="00E60B53">
            <w:pPr>
              <w:spacing w:beforeLines="60" w:before="144" w:afterLines="60" w:after="144"/>
              <w:rPr>
                <w:rFonts w:ascii="Times New Roman" w:hAnsi="Times New Roman"/>
                <w:b/>
                <w:sz w:val="24"/>
              </w:rPr>
            </w:pPr>
            <w:r w:rsidRPr="00D51A68">
              <w:rPr>
                <w:rFonts w:ascii="Times New Roman" w:hAnsi="Times New Roman"/>
                <w:b/>
                <w:sz w:val="24"/>
              </w:rPr>
              <w:t>Colonne</w:t>
            </w:r>
          </w:p>
        </w:tc>
      </w:tr>
      <w:tr w:rsidR="00113E45" w:rsidRPr="00D51A68" w:rsidTr="00672D2A">
        <w:tc>
          <w:tcPr>
            <w:tcW w:w="1101" w:type="dxa"/>
          </w:tcPr>
          <w:p w:rsidR="00113E45" w:rsidRPr="00D51A68" w:rsidRDefault="008136B4" w:rsidP="00E60B53">
            <w:pPr>
              <w:spacing w:beforeLines="60" w:before="144" w:afterLines="60" w:after="144"/>
              <w:rPr>
                <w:rFonts w:ascii="Times New Roman" w:hAnsi="Times New Roman"/>
                <w:sz w:val="24"/>
              </w:rPr>
            </w:pPr>
            <w:r w:rsidRPr="00D51A68">
              <w:rPr>
                <w:rFonts w:ascii="Times New Roman" w:hAnsi="Times New Roman"/>
                <w:sz w:val="24"/>
              </w:rPr>
              <w:t>0005</w:t>
            </w:r>
          </w:p>
        </w:tc>
        <w:tc>
          <w:tcPr>
            <w:tcW w:w="8221" w:type="dxa"/>
          </w:tcPr>
          <w:p w:rsidR="00113E45" w:rsidRPr="00D51A68" w:rsidRDefault="00113E45" w:rsidP="00E60B53">
            <w:pPr>
              <w:spacing w:beforeLines="60" w:before="144" w:afterLines="60" w:after="144"/>
              <w:rPr>
                <w:rFonts w:ascii="Times New Roman" w:hAnsi="Times New Roman"/>
                <w:b/>
                <w:sz w:val="24"/>
                <w:u w:val="single"/>
              </w:rPr>
            </w:pPr>
            <w:r w:rsidRPr="00D51A68">
              <w:rPr>
                <w:rFonts w:ascii="Times New Roman" w:hAnsi="Times New Roman"/>
                <w:b/>
                <w:sz w:val="24"/>
                <w:u w:val="single"/>
              </w:rPr>
              <w:t>RANK</w:t>
            </w:r>
          </w:p>
          <w:p w:rsidR="00113E45" w:rsidRPr="00D51A68" w:rsidRDefault="00113E45" w:rsidP="00113E45">
            <w:pPr>
              <w:spacing w:beforeLines="60" w:before="144" w:afterLines="60" w:after="144"/>
              <w:rPr>
                <w:rFonts w:ascii="Times New Roman" w:hAnsi="Times New Roman"/>
                <w:b/>
                <w:sz w:val="24"/>
                <w:u w:val="single"/>
              </w:rPr>
            </w:pPr>
            <w:r w:rsidRPr="00D51A68">
              <w:rPr>
                <w:rFonts w:ascii="Times New Roman" w:hAnsi="Times New Roman"/>
                <w:sz w:val="24"/>
              </w:rPr>
              <w:t>Il rank è un identificatore di riga ed è unico per ciascuna riga della tabella. Segue l</w:t>
            </w:r>
            <w:r w:rsidR="0009277C" w:rsidRPr="00D51A68">
              <w:rPr>
                <w:rFonts w:ascii="Times New Roman" w:hAnsi="Times New Roman"/>
                <w:sz w:val="24"/>
              </w:rPr>
              <w:t>’</w:t>
            </w:r>
            <w:r w:rsidRPr="00D51A68">
              <w:rPr>
                <w:rFonts w:ascii="Times New Roman" w:hAnsi="Times New Roman"/>
                <w:sz w:val="24"/>
              </w:rPr>
              <w:t>ordine numerico 1, 2, 3, ecc.; 1 è assegnato al maggiore singolo AVA per i rischi del modello, 2 al secondo maggiore, ecc.</w:t>
            </w:r>
          </w:p>
        </w:tc>
      </w:tr>
      <w:tr w:rsidR="00113E45" w:rsidRPr="00D51A68" w:rsidTr="00672D2A">
        <w:tc>
          <w:tcPr>
            <w:tcW w:w="1101" w:type="dxa"/>
          </w:tcPr>
          <w:p w:rsidR="00113E45" w:rsidRPr="00D51A68" w:rsidRDefault="008136B4" w:rsidP="00E60B53">
            <w:pPr>
              <w:spacing w:beforeLines="60" w:before="144" w:afterLines="60" w:after="144"/>
              <w:rPr>
                <w:rFonts w:ascii="Times New Roman" w:hAnsi="Times New Roman"/>
                <w:sz w:val="24"/>
              </w:rPr>
            </w:pPr>
            <w:r w:rsidRPr="00D51A68">
              <w:rPr>
                <w:rFonts w:ascii="Times New Roman" w:hAnsi="Times New Roman"/>
                <w:sz w:val="24"/>
              </w:rPr>
              <w:t>0010</w:t>
            </w:r>
          </w:p>
        </w:tc>
        <w:tc>
          <w:tcPr>
            <w:tcW w:w="8221" w:type="dxa"/>
          </w:tcPr>
          <w:p w:rsidR="00113E45" w:rsidRPr="00D51A68" w:rsidRDefault="00113E45" w:rsidP="00E60B53">
            <w:pPr>
              <w:spacing w:beforeLines="60" w:before="144" w:afterLines="60" w:after="144"/>
              <w:rPr>
                <w:rFonts w:ascii="Times New Roman" w:hAnsi="Times New Roman"/>
                <w:b/>
                <w:sz w:val="24"/>
                <w:u w:val="single"/>
              </w:rPr>
            </w:pPr>
            <w:r w:rsidRPr="00D51A68">
              <w:rPr>
                <w:rFonts w:ascii="Times New Roman" w:hAnsi="Times New Roman"/>
                <w:b/>
                <w:sz w:val="24"/>
                <w:u w:val="single"/>
              </w:rPr>
              <w:t>MODELLO</w:t>
            </w:r>
          </w:p>
          <w:p w:rsidR="00113E45" w:rsidRPr="00D51A68" w:rsidRDefault="00113E45" w:rsidP="00E60B53">
            <w:pPr>
              <w:spacing w:beforeLines="60" w:before="144" w:afterLines="60" w:after="144"/>
              <w:rPr>
                <w:rFonts w:ascii="Times New Roman" w:hAnsi="Times New Roman"/>
                <w:b/>
                <w:sz w:val="24"/>
                <w:u w:val="single"/>
              </w:rPr>
            </w:pPr>
            <w:r w:rsidRPr="00D51A68">
              <w:rPr>
                <w:rFonts w:ascii="Times New Roman" w:hAnsi="Times New Roman"/>
                <w:sz w:val="24"/>
              </w:rPr>
              <w:t>Il nome interno (alfanumerico) utilizzato dall</w:t>
            </w:r>
            <w:r w:rsidR="0009277C" w:rsidRPr="00D51A68">
              <w:rPr>
                <w:rFonts w:ascii="Times New Roman" w:hAnsi="Times New Roman"/>
                <w:sz w:val="24"/>
              </w:rPr>
              <w:t>’</w:t>
            </w:r>
            <w:r w:rsidRPr="00D51A68">
              <w:rPr>
                <w:rFonts w:ascii="Times New Roman" w:hAnsi="Times New Roman"/>
                <w:sz w:val="24"/>
              </w:rPr>
              <w:t>ente per identificare il modello.</w:t>
            </w:r>
          </w:p>
        </w:tc>
      </w:tr>
      <w:tr w:rsidR="00113E45" w:rsidRPr="00D51A68" w:rsidTr="00672D2A">
        <w:tc>
          <w:tcPr>
            <w:tcW w:w="1101" w:type="dxa"/>
          </w:tcPr>
          <w:p w:rsidR="00113E45" w:rsidRPr="00D51A68" w:rsidRDefault="008136B4" w:rsidP="00E60B53">
            <w:pPr>
              <w:spacing w:beforeLines="60" w:before="144" w:afterLines="60" w:after="144"/>
              <w:rPr>
                <w:rFonts w:ascii="Times New Roman" w:hAnsi="Times New Roman"/>
                <w:sz w:val="24"/>
              </w:rPr>
            </w:pPr>
            <w:r w:rsidRPr="00D51A68">
              <w:rPr>
                <w:rFonts w:ascii="Times New Roman" w:hAnsi="Times New Roman"/>
                <w:sz w:val="24"/>
              </w:rPr>
              <w:t>0020</w:t>
            </w:r>
          </w:p>
        </w:tc>
        <w:tc>
          <w:tcPr>
            <w:tcW w:w="8221" w:type="dxa"/>
          </w:tcPr>
          <w:p w:rsidR="00113E45" w:rsidRPr="00D51A68" w:rsidRDefault="00113E45" w:rsidP="00E60B53">
            <w:pPr>
              <w:spacing w:beforeLines="60" w:before="144" w:afterLines="60" w:after="144"/>
              <w:rPr>
                <w:rFonts w:ascii="Times New Roman" w:hAnsi="Times New Roman"/>
                <w:b/>
                <w:sz w:val="24"/>
                <w:u w:val="single"/>
              </w:rPr>
            </w:pPr>
            <w:r w:rsidRPr="00D51A68">
              <w:rPr>
                <w:rFonts w:ascii="Times New Roman" w:hAnsi="Times New Roman"/>
                <w:b/>
                <w:sz w:val="24"/>
                <w:u w:val="single"/>
              </w:rPr>
              <w:t>CATEGORIA DI RISCHIO</w:t>
            </w:r>
          </w:p>
          <w:p w:rsidR="00113E45" w:rsidRPr="00D51A68" w:rsidRDefault="00113E45" w:rsidP="00E60B53">
            <w:pPr>
              <w:spacing w:beforeLines="60" w:before="144" w:afterLines="60" w:after="144"/>
              <w:rPr>
                <w:rFonts w:ascii="Times New Roman" w:hAnsi="Times New Roman"/>
                <w:sz w:val="24"/>
              </w:rPr>
            </w:pPr>
            <w:r w:rsidRPr="00D51A68">
              <w:rPr>
                <w:rFonts w:ascii="Times New Roman" w:hAnsi="Times New Roman"/>
                <w:sz w:val="24"/>
              </w:rPr>
              <w:t>La categoria di rischio (tassi di interesse, FX, credito, strumenti di capitale, merci) che caratterizza più adeguatamente il prodotto o il gruppo di prodotti che danno origine all</w:t>
            </w:r>
            <w:r w:rsidR="0009277C" w:rsidRPr="00D51A68">
              <w:rPr>
                <w:rFonts w:ascii="Times New Roman" w:hAnsi="Times New Roman"/>
                <w:sz w:val="24"/>
              </w:rPr>
              <w:t>’</w:t>
            </w:r>
            <w:r w:rsidRPr="00D51A68">
              <w:rPr>
                <w:rFonts w:ascii="Times New Roman" w:hAnsi="Times New Roman"/>
                <w:sz w:val="24"/>
              </w:rPr>
              <w:t>aggiustamento di valutazione per i rischi del modello.</w:t>
            </w:r>
          </w:p>
          <w:p w:rsidR="00113E45" w:rsidRPr="00D51A68" w:rsidRDefault="00113E45" w:rsidP="00E60B53">
            <w:pPr>
              <w:spacing w:beforeLines="60" w:before="144" w:afterLines="60" w:after="144"/>
              <w:rPr>
                <w:rFonts w:ascii="Times New Roman" w:hAnsi="Times New Roman"/>
                <w:sz w:val="24"/>
              </w:rPr>
            </w:pPr>
            <w:r w:rsidRPr="00D51A68">
              <w:rPr>
                <w:rFonts w:ascii="Times New Roman" w:hAnsi="Times New Roman"/>
                <w:sz w:val="24"/>
              </w:rPr>
              <w:t>Gli enti utilizzano i seguenti codici:</w:t>
            </w:r>
          </w:p>
          <w:p w:rsidR="00113E45" w:rsidRPr="00D51A68" w:rsidRDefault="00113E45" w:rsidP="00E60B53">
            <w:pPr>
              <w:spacing w:beforeLines="60" w:before="144" w:afterLines="60" w:after="144"/>
              <w:rPr>
                <w:rFonts w:ascii="Times New Roman" w:hAnsi="Times New Roman"/>
                <w:sz w:val="24"/>
              </w:rPr>
            </w:pPr>
            <w:r w:rsidRPr="00D51A68">
              <w:rPr>
                <w:rFonts w:ascii="Times New Roman" w:hAnsi="Times New Roman"/>
                <w:sz w:val="24"/>
              </w:rPr>
              <w:t>IR – tassi di interesse (interest rates)</w:t>
            </w:r>
          </w:p>
          <w:p w:rsidR="00A74B40" w:rsidRPr="00D51A68" w:rsidRDefault="00A74B40" w:rsidP="00E60B53">
            <w:pPr>
              <w:spacing w:beforeLines="60" w:before="144" w:afterLines="60" w:after="144"/>
              <w:rPr>
                <w:rFonts w:ascii="Times New Roman" w:hAnsi="Times New Roman"/>
                <w:sz w:val="24"/>
              </w:rPr>
            </w:pPr>
            <w:r w:rsidRPr="00D51A68">
              <w:rPr>
                <w:rFonts w:ascii="Times New Roman" w:hAnsi="Times New Roman"/>
                <w:sz w:val="24"/>
              </w:rPr>
              <w:t>FX – cambio (foreign exchange)</w:t>
            </w:r>
          </w:p>
          <w:p w:rsidR="00113E45" w:rsidRPr="00D51A68" w:rsidRDefault="00113E45" w:rsidP="00E60B53">
            <w:pPr>
              <w:spacing w:beforeLines="60" w:before="144" w:afterLines="60" w:after="144"/>
              <w:rPr>
                <w:rFonts w:ascii="Times New Roman" w:hAnsi="Times New Roman"/>
                <w:sz w:val="24"/>
              </w:rPr>
            </w:pPr>
            <w:r w:rsidRPr="00D51A68">
              <w:rPr>
                <w:rFonts w:ascii="Times New Roman" w:hAnsi="Times New Roman"/>
                <w:sz w:val="24"/>
              </w:rPr>
              <w:t>CR – credito (credit)</w:t>
            </w:r>
          </w:p>
          <w:p w:rsidR="00113E45" w:rsidRPr="00D51A68" w:rsidRDefault="00113E45" w:rsidP="00E60B53">
            <w:pPr>
              <w:spacing w:beforeLines="60" w:before="144" w:afterLines="60" w:after="144"/>
              <w:rPr>
                <w:rFonts w:ascii="Times New Roman" w:hAnsi="Times New Roman"/>
                <w:sz w:val="24"/>
              </w:rPr>
            </w:pPr>
            <w:r w:rsidRPr="00D51A68">
              <w:rPr>
                <w:rFonts w:ascii="Times New Roman" w:hAnsi="Times New Roman"/>
                <w:sz w:val="24"/>
              </w:rPr>
              <w:t>EQ – strumenti di capitale (equities)</w:t>
            </w:r>
          </w:p>
          <w:p w:rsidR="00113E45" w:rsidRPr="00D51A68" w:rsidRDefault="00113E45" w:rsidP="00A74B40">
            <w:pPr>
              <w:spacing w:beforeLines="60" w:before="144" w:afterLines="60" w:after="144"/>
              <w:rPr>
                <w:rFonts w:ascii="Times New Roman" w:hAnsi="Times New Roman"/>
                <w:sz w:val="24"/>
              </w:rPr>
            </w:pPr>
            <w:r w:rsidRPr="00D51A68">
              <w:rPr>
                <w:rFonts w:ascii="Times New Roman" w:hAnsi="Times New Roman"/>
                <w:sz w:val="24"/>
              </w:rPr>
              <w:t>CO – merci (commodities)</w:t>
            </w:r>
          </w:p>
        </w:tc>
      </w:tr>
      <w:tr w:rsidR="00113E45" w:rsidRPr="00D51A68" w:rsidTr="00672D2A">
        <w:tc>
          <w:tcPr>
            <w:tcW w:w="1101" w:type="dxa"/>
          </w:tcPr>
          <w:p w:rsidR="00113E45" w:rsidRPr="00D51A68" w:rsidRDefault="008136B4" w:rsidP="00E60B53">
            <w:pPr>
              <w:spacing w:beforeLines="60" w:before="144" w:afterLines="60" w:after="144"/>
              <w:rPr>
                <w:rFonts w:ascii="Times New Roman" w:hAnsi="Times New Roman"/>
                <w:sz w:val="24"/>
              </w:rPr>
            </w:pPr>
            <w:r w:rsidRPr="00D51A68">
              <w:rPr>
                <w:rFonts w:ascii="Times New Roman" w:hAnsi="Times New Roman"/>
                <w:sz w:val="24"/>
              </w:rPr>
              <w:t>0030</w:t>
            </w:r>
          </w:p>
        </w:tc>
        <w:tc>
          <w:tcPr>
            <w:tcW w:w="8221" w:type="dxa"/>
          </w:tcPr>
          <w:p w:rsidR="00113E45" w:rsidRPr="00D51A68" w:rsidRDefault="00113E45" w:rsidP="00E60B53">
            <w:pPr>
              <w:spacing w:beforeLines="60" w:before="144" w:afterLines="60" w:after="144"/>
              <w:rPr>
                <w:rFonts w:ascii="Times New Roman" w:hAnsi="Times New Roman"/>
                <w:b/>
                <w:sz w:val="24"/>
                <w:u w:val="single"/>
              </w:rPr>
            </w:pPr>
            <w:r w:rsidRPr="00D51A68">
              <w:rPr>
                <w:rFonts w:ascii="Times New Roman" w:hAnsi="Times New Roman"/>
                <w:b/>
                <w:sz w:val="24"/>
                <w:u w:val="single"/>
              </w:rPr>
              <w:t>PRODOTTO</w:t>
            </w:r>
          </w:p>
          <w:p w:rsidR="00113E45" w:rsidRPr="00D51A68" w:rsidRDefault="00113E45" w:rsidP="00E60B53">
            <w:pPr>
              <w:spacing w:beforeLines="60" w:before="144" w:afterLines="60" w:after="144"/>
              <w:rPr>
                <w:rFonts w:ascii="Times New Roman" w:hAnsi="Times New Roman"/>
                <w:sz w:val="24"/>
              </w:rPr>
            </w:pPr>
            <w:r w:rsidRPr="00D51A68">
              <w:rPr>
                <w:rFonts w:ascii="Times New Roman" w:hAnsi="Times New Roman"/>
                <w:sz w:val="24"/>
              </w:rPr>
              <w:t>Il nome interno (alfanumerico) per il prodotto o il gruppo di prodotti, in linea con l</w:t>
            </w:r>
            <w:r w:rsidR="0009277C" w:rsidRPr="00D51A68">
              <w:rPr>
                <w:rFonts w:ascii="Times New Roman" w:hAnsi="Times New Roman"/>
                <w:sz w:val="24"/>
              </w:rPr>
              <w:t>’</w:t>
            </w:r>
            <w:r w:rsidRPr="00D51A68">
              <w:rPr>
                <w:rFonts w:ascii="Times New Roman" w:hAnsi="Times New Roman"/>
                <w:sz w:val="24"/>
              </w:rPr>
              <w:t>inventario dei prodotti previsto all</w:t>
            </w:r>
            <w:r w:rsidR="0009277C" w:rsidRPr="00D51A68">
              <w:rPr>
                <w:rFonts w:ascii="Times New Roman" w:hAnsi="Times New Roman"/>
                <w:sz w:val="24"/>
              </w:rPr>
              <w:t>’</w:t>
            </w:r>
            <w:r w:rsidRPr="00D51A68">
              <w:rPr>
                <w:rFonts w:ascii="Times New Roman" w:hAnsi="Times New Roman"/>
                <w:sz w:val="24"/>
              </w:rPr>
              <w:t>articolo 19, paragrafo 3, lettera a), del regolamento delegato (UE) 2016/101 sulla valutazione prudente, che è valutato utilizzando il modello.</w:t>
            </w:r>
          </w:p>
        </w:tc>
      </w:tr>
      <w:tr w:rsidR="00113E45" w:rsidRPr="00D51A68" w:rsidTr="00672D2A">
        <w:tc>
          <w:tcPr>
            <w:tcW w:w="1101" w:type="dxa"/>
          </w:tcPr>
          <w:p w:rsidR="00113E45" w:rsidRPr="00D51A68" w:rsidRDefault="008136B4" w:rsidP="00E60B53">
            <w:pPr>
              <w:spacing w:beforeLines="60" w:before="144" w:afterLines="60" w:after="144"/>
              <w:rPr>
                <w:rFonts w:ascii="Times New Roman" w:hAnsi="Times New Roman"/>
                <w:sz w:val="24"/>
              </w:rPr>
            </w:pPr>
            <w:r w:rsidRPr="00D51A68">
              <w:rPr>
                <w:rFonts w:ascii="Times New Roman" w:hAnsi="Times New Roman"/>
                <w:sz w:val="24"/>
              </w:rPr>
              <w:t>0040</w:t>
            </w:r>
          </w:p>
        </w:tc>
        <w:tc>
          <w:tcPr>
            <w:tcW w:w="8221" w:type="dxa"/>
          </w:tcPr>
          <w:p w:rsidR="00113E45" w:rsidRPr="00D51A68" w:rsidRDefault="00113E45" w:rsidP="00E60B53">
            <w:pPr>
              <w:spacing w:beforeLines="60" w:before="144" w:afterLines="60" w:after="144"/>
              <w:rPr>
                <w:rStyle w:val="InstructionsTabelleberschrift"/>
                <w:rFonts w:ascii="Times New Roman" w:hAnsi="Times New Roman"/>
                <w:sz w:val="24"/>
              </w:rPr>
            </w:pPr>
            <w:r w:rsidRPr="00D51A68">
              <w:rPr>
                <w:rStyle w:val="InstructionsTabelleberschrift"/>
                <w:rFonts w:ascii="Times New Roman" w:hAnsi="Times New Roman"/>
                <w:sz w:val="24"/>
              </w:rPr>
              <w:t>RILEVABILITÀ</w:t>
            </w:r>
          </w:p>
          <w:p w:rsidR="00113E45" w:rsidRPr="00D51A68" w:rsidRDefault="00113E45" w:rsidP="00E60B53">
            <w:pPr>
              <w:pStyle w:val="CommentText"/>
              <w:rPr>
                <w:rFonts w:ascii="Times New Roman" w:hAnsi="Times New Roman"/>
                <w:sz w:val="24"/>
                <w:szCs w:val="24"/>
              </w:rPr>
            </w:pPr>
            <w:r w:rsidRPr="00D51A68">
              <w:rPr>
                <w:rFonts w:ascii="Times New Roman" w:hAnsi="Times New Roman"/>
                <w:sz w:val="24"/>
              </w:rPr>
              <w:t>Numero di rilevazioni di prezzo per il prodotto o il gruppo di prodotti negli ultimi dodici mesi che soddisfano uno dei criteri seguenti:</w:t>
            </w:r>
          </w:p>
          <w:p w:rsidR="00113E45" w:rsidRPr="00D51A68" w:rsidRDefault="00113E45" w:rsidP="00113E45">
            <w:pPr>
              <w:pStyle w:val="CommentText"/>
              <w:numPr>
                <w:ilvl w:val="0"/>
                <w:numId w:val="57"/>
              </w:numPr>
              <w:rPr>
                <w:rFonts w:ascii="Times New Roman" w:hAnsi="Times New Roman"/>
                <w:sz w:val="24"/>
                <w:szCs w:val="24"/>
              </w:rPr>
            </w:pPr>
            <w:r w:rsidRPr="00D51A68">
              <w:rPr>
                <w:rFonts w:ascii="Times New Roman" w:hAnsi="Times New Roman"/>
                <w:sz w:val="24"/>
              </w:rPr>
              <w:t>la rilevazione riguarda un prezzo al quale l</w:t>
            </w:r>
            <w:r w:rsidR="0009277C" w:rsidRPr="00D51A68">
              <w:rPr>
                <w:rFonts w:ascii="Times New Roman" w:hAnsi="Times New Roman"/>
                <w:sz w:val="24"/>
              </w:rPr>
              <w:t>’</w:t>
            </w:r>
            <w:r w:rsidRPr="00D51A68">
              <w:rPr>
                <w:rFonts w:ascii="Times New Roman" w:hAnsi="Times New Roman"/>
                <w:sz w:val="24"/>
              </w:rPr>
              <w:t>ente ha effettuato un</w:t>
            </w:r>
            <w:r w:rsidR="0009277C" w:rsidRPr="00D51A68">
              <w:rPr>
                <w:rFonts w:ascii="Times New Roman" w:hAnsi="Times New Roman"/>
                <w:sz w:val="24"/>
              </w:rPr>
              <w:t>’</w:t>
            </w:r>
            <w:r w:rsidRPr="00D51A68">
              <w:rPr>
                <w:rFonts w:ascii="Times New Roman" w:hAnsi="Times New Roman"/>
                <w:sz w:val="24"/>
              </w:rPr>
              <w:t>operazione;</w:t>
            </w:r>
          </w:p>
          <w:p w:rsidR="00113E45" w:rsidRPr="00D51A68" w:rsidRDefault="00113E45" w:rsidP="00113E45">
            <w:pPr>
              <w:pStyle w:val="CommentText"/>
              <w:numPr>
                <w:ilvl w:val="0"/>
                <w:numId w:val="57"/>
              </w:numPr>
              <w:rPr>
                <w:rFonts w:ascii="Times New Roman" w:hAnsi="Times New Roman"/>
                <w:sz w:val="24"/>
                <w:szCs w:val="24"/>
              </w:rPr>
            </w:pPr>
            <w:r w:rsidRPr="00D51A68">
              <w:rPr>
                <w:rFonts w:ascii="Times New Roman" w:hAnsi="Times New Roman"/>
                <w:sz w:val="24"/>
              </w:rPr>
              <w:t>la rilevazione riguarda un prezzo verificabile per un</w:t>
            </w:r>
            <w:r w:rsidR="0009277C" w:rsidRPr="00D51A68">
              <w:rPr>
                <w:rFonts w:ascii="Times New Roman" w:hAnsi="Times New Roman"/>
                <w:sz w:val="24"/>
              </w:rPr>
              <w:t>’</w:t>
            </w:r>
            <w:r w:rsidRPr="00D51A68">
              <w:rPr>
                <w:rFonts w:ascii="Times New Roman" w:hAnsi="Times New Roman"/>
                <w:sz w:val="24"/>
              </w:rPr>
              <w:t>effettiva operazione intercorsa tra terzi;</w:t>
            </w:r>
          </w:p>
          <w:p w:rsidR="00113E45" w:rsidRPr="00D51A68" w:rsidRDefault="00113E45" w:rsidP="00113E45">
            <w:pPr>
              <w:pStyle w:val="CommentText"/>
              <w:numPr>
                <w:ilvl w:val="0"/>
                <w:numId w:val="57"/>
              </w:numPr>
              <w:rPr>
                <w:rFonts w:ascii="Times New Roman" w:hAnsi="Times New Roman"/>
                <w:sz w:val="24"/>
                <w:szCs w:val="24"/>
              </w:rPr>
            </w:pPr>
            <w:r w:rsidRPr="00D51A68">
              <w:rPr>
                <w:rFonts w:ascii="Times New Roman" w:hAnsi="Times New Roman"/>
                <w:sz w:val="24"/>
              </w:rPr>
              <w:t>la rilevazione riguarda un prezzo ottenuto da una quotazione irrevocabile.</w:t>
            </w:r>
          </w:p>
          <w:p w:rsidR="00113E45" w:rsidRPr="00D51A68" w:rsidRDefault="00113E45" w:rsidP="008136B4">
            <w:pPr>
              <w:pStyle w:val="CommentText"/>
              <w:rPr>
                <w:rStyle w:val="InstructionsTabelleberschrift"/>
                <w:rFonts w:ascii="Times New Roman" w:hAnsi="Times New Roman"/>
                <w:b w:val="0"/>
                <w:sz w:val="24"/>
                <w:szCs w:val="24"/>
                <w:u w:val="none"/>
              </w:rPr>
            </w:pPr>
            <w:r w:rsidRPr="00D51A68">
              <w:rPr>
                <w:rFonts w:ascii="Times New Roman" w:hAnsi="Times New Roman"/>
                <w:sz w:val="24"/>
              </w:rPr>
              <w:t xml:space="preserve">Gli enti utilizzano uno dei seguenti valori: </w:t>
            </w:r>
            <w:r w:rsidR="0009277C" w:rsidRPr="00D51A68">
              <w:rPr>
                <w:rFonts w:ascii="Times New Roman" w:hAnsi="Times New Roman"/>
                <w:sz w:val="24"/>
              </w:rPr>
              <w:t>‘</w:t>
            </w:r>
            <w:r w:rsidRPr="00D51A68">
              <w:rPr>
                <w:rFonts w:ascii="Times New Roman" w:hAnsi="Times New Roman"/>
                <w:sz w:val="24"/>
              </w:rPr>
              <w:t>nessuna</w:t>
            </w:r>
            <w:r w:rsidR="0009277C" w:rsidRPr="00D51A68">
              <w:rPr>
                <w:rFonts w:ascii="Times New Roman" w:hAnsi="Times New Roman"/>
                <w:sz w:val="24"/>
              </w:rPr>
              <w:t>’</w:t>
            </w:r>
            <w:r w:rsidRPr="00D51A68">
              <w:rPr>
                <w:rFonts w:ascii="Times New Roman" w:hAnsi="Times New Roman"/>
                <w:sz w:val="24"/>
              </w:rPr>
              <w:t xml:space="preserve">, </w:t>
            </w:r>
            <w:r w:rsidR="0009277C" w:rsidRPr="00D51A68">
              <w:rPr>
                <w:rFonts w:ascii="Times New Roman" w:hAnsi="Times New Roman"/>
                <w:sz w:val="24"/>
              </w:rPr>
              <w:t>‘</w:t>
            </w:r>
            <w:r w:rsidRPr="00D51A68">
              <w:rPr>
                <w:rFonts w:ascii="Times New Roman" w:hAnsi="Times New Roman"/>
                <w:sz w:val="24"/>
              </w:rPr>
              <w:t>1-6</w:t>
            </w:r>
            <w:r w:rsidR="0009277C" w:rsidRPr="00D51A68">
              <w:rPr>
                <w:rFonts w:ascii="Times New Roman" w:hAnsi="Times New Roman"/>
                <w:sz w:val="24"/>
              </w:rPr>
              <w:t>’</w:t>
            </w:r>
            <w:r w:rsidRPr="00D51A68">
              <w:rPr>
                <w:rFonts w:ascii="Times New Roman" w:hAnsi="Times New Roman"/>
                <w:sz w:val="24"/>
              </w:rPr>
              <w:t xml:space="preserve">, </w:t>
            </w:r>
            <w:r w:rsidR="0009277C" w:rsidRPr="00D51A68">
              <w:rPr>
                <w:rFonts w:ascii="Times New Roman" w:hAnsi="Times New Roman"/>
                <w:sz w:val="24"/>
              </w:rPr>
              <w:t>‘</w:t>
            </w:r>
            <w:r w:rsidRPr="00D51A68">
              <w:rPr>
                <w:rFonts w:ascii="Times New Roman" w:hAnsi="Times New Roman"/>
                <w:sz w:val="24"/>
              </w:rPr>
              <w:t>6-24</w:t>
            </w:r>
            <w:r w:rsidR="0009277C" w:rsidRPr="00D51A68">
              <w:rPr>
                <w:rFonts w:ascii="Times New Roman" w:hAnsi="Times New Roman"/>
                <w:sz w:val="24"/>
              </w:rPr>
              <w:t>’</w:t>
            </w:r>
            <w:r w:rsidRPr="00D51A68">
              <w:rPr>
                <w:rFonts w:ascii="Times New Roman" w:hAnsi="Times New Roman"/>
                <w:sz w:val="24"/>
              </w:rPr>
              <w:t xml:space="preserve">, </w:t>
            </w:r>
            <w:r w:rsidR="0009277C" w:rsidRPr="00D51A68">
              <w:rPr>
                <w:rFonts w:ascii="Times New Roman" w:hAnsi="Times New Roman"/>
                <w:sz w:val="24"/>
              </w:rPr>
              <w:t>‘</w:t>
            </w:r>
            <w:r w:rsidRPr="00D51A68">
              <w:rPr>
                <w:rFonts w:ascii="Times New Roman" w:hAnsi="Times New Roman"/>
                <w:sz w:val="24"/>
              </w:rPr>
              <w:t>24-100</w:t>
            </w:r>
            <w:r w:rsidR="0009277C" w:rsidRPr="00D51A68">
              <w:rPr>
                <w:rFonts w:ascii="Times New Roman" w:hAnsi="Times New Roman"/>
                <w:sz w:val="24"/>
              </w:rPr>
              <w:t>’</w:t>
            </w:r>
            <w:r w:rsidRPr="00D51A68">
              <w:rPr>
                <w:rFonts w:ascii="Times New Roman" w:hAnsi="Times New Roman"/>
                <w:sz w:val="24"/>
              </w:rPr>
              <w:t xml:space="preserve">, </w:t>
            </w:r>
            <w:r w:rsidR="0009277C" w:rsidRPr="00D51A68">
              <w:rPr>
                <w:rFonts w:ascii="Times New Roman" w:hAnsi="Times New Roman"/>
                <w:sz w:val="24"/>
              </w:rPr>
              <w:t>‘</w:t>
            </w:r>
            <w:r w:rsidRPr="00D51A68">
              <w:rPr>
                <w:rFonts w:ascii="Times New Roman" w:hAnsi="Times New Roman"/>
                <w:sz w:val="24"/>
              </w:rPr>
              <w:t>100+</w:t>
            </w:r>
            <w:r w:rsidR="0009277C" w:rsidRPr="00D51A68">
              <w:rPr>
                <w:rFonts w:ascii="Times New Roman" w:hAnsi="Times New Roman"/>
                <w:sz w:val="24"/>
              </w:rPr>
              <w:t>’</w:t>
            </w:r>
            <w:r w:rsidRPr="00D51A68">
              <w:rPr>
                <w:rFonts w:ascii="Times New Roman" w:hAnsi="Times New Roman"/>
                <w:sz w:val="24"/>
              </w:rPr>
              <w:t>.</w:t>
            </w:r>
          </w:p>
        </w:tc>
      </w:tr>
      <w:tr w:rsidR="00113E45" w:rsidRPr="00D51A68" w:rsidTr="00672D2A">
        <w:tc>
          <w:tcPr>
            <w:tcW w:w="1101" w:type="dxa"/>
          </w:tcPr>
          <w:p w:rsidR="00113E45" w:rsidRPr="00D51A68" w:rsidRDefault="008136B4" w:rsidP="00E60B53">
            <w:pPr>
              <w:spacing w:beforeLines="60" w:before="144" w:afterLines="60" w:after="144"/>
              <w:rPr>
                <w:rFonts w:ascii="Times New Roman" w:hAnsi="Times New Roman"/>
                <w:sz w:val="24"/>
              </w:rPr>
            </w:pPr>
            <w:r w:rsidRPr="00D51A68">
              <w:rPr>
                <w:rFonts w:ascii="Times New Roman" w:hAnsi="Times New Roman"/>
                <w:sz w:val="24"/>
              </w:rPr>
              <w:t>0050</w:t>
            </w:r>
          </w:p>
        </w:tc>
        <w:tc>
          <w:tcPr>
            <w:tcW w:w="8221" w:type="dxa"/>
          </w:tcPr>
          <w:p w:rsidR="00113E45" w:rsidRPr="00D51A68" w:rsidRDefault="00113E45" w:rsidP="00E60B53">
            <w:pPr>
              <w:spacing w:beforeLines="60" w:before="144" w:afterLines="60" w:after="144"/>
              <w:rPr>
                <w:rStyle w:val="InstructionsTabelleberschrift"/>
                <w:rFonts w:ascii="Times New Roman" w:hAnsi="Times New Roman"/>
                <w:sz w:val="24"/>
              </w:rPr>
            </w:pPr>
            <w:r w:rsidRPr="00D51A68">
              <w:rPr>
                <w:rStyle w:val="InstructionsTabelleberschrift"/>
                <w:rFonts w:ascii="Times New Roman" w:hAnsi="Times New Roman"/>
                <w:sz w:val="24"/>
              </w:rPr>
              <w:t>AVA PER I RISCHI DEL MODELLO</w:t>
            </w:r>
          </w:p>
          <w:p w:rsidR="00113E45" w:rsidRPr="00D51A68" w:rsidRDefault="00113E45" w:rsidP="00E60B53">
            <w:pPr>
              <w:spacing w:beforeLines="60" w:before="144" w:afterLines="60" w:after="144"/>
              <w:rPr>
                <w:rStyle w:val="InstructionsTabelleberschrift"/>
                <w:rFonts w:ascii="Times New Roman" w:hAnsi="Times New Roman"/>
                <w:b w:val="0"/>
                <w:sz w:val="24"/>
                <w:u w:val="none"/>
              </w:rPr>
            </w:pPr>
            <w:r w:rsidRPr="00D51A68">
              <w:rPr>
                <w:rStyle w:val="InstructionsTabelleberschrift"/>
                <w:rFonts w:ascii="Times New Roman" w:hAnsi="Times New Roman"/>
                <w:b w:val="0"/>
                <w:sz w:val="24"/>
                <w:u w:val="none"/>
              </w:rPr>
              <w:t xml:space="preserve">Articolo 11, paragrafo 1, del regolamento delegato (UE) 2016/101 sulla valutazione prudente. </w:t>
            </w:r>
          </w:p>
          <w:p w:rsidR="00113E45" w:rsidRPr="00D51A68" w:rsidRDefault="00113E45" w:rsidP="00E60B53">
            <w:pPr>
              <w:spacing w:beforeLines="60" w:before="144" w:afterLines="60" w:after="144"/>
              <w:rPr>
                <w:rStyle w:val="InstructionsTabelleberschrift"/>
                <w:rFonts w:ascii="Times New Roman" w:hAnsi="Times New Roman"/>
                <w:b w:val="0"/>
                <w:sz w:val="24"/>
                <w:u w:val="none"/>
              </w:rPr>
            </w:pPr>
            <w:r w:rsidRPr="00D51A68">
              <w:rPr>
                <w:rStyle w:val="InstructionsTabelleberschrift"/>
                <w:rFonts w:ascii="Times New Roman" w:hAnsi="Times New Roman"/>
                <w:b w:val="0"/>
                <w:sz w:val="24"/>
                <w:u w:val="none"/>
              </w:rPr>
              <w:t>Singolo AVA per i rischi del modello prima del beneficio della diversificazione ma dopo il netting del portafoglio, ove applicabile.</w:t>
            </w:r>
          </w:p>
        </w:tc>
      </w:tr>
      <w:tr w:rsidR="00113E45" w:rsidRPr="00D51A68" w:rsidTr="00672D2A">
        <w:tc>
          <w:tcPr>
            <w:tcW w:w="1101" w:type="dxa"/>
          </w:tcPr>
          <w:p w:rsidR="00113E45" w:rsidRPr="00D51A68" w:rsidRDefault="008136B4" w:rsidP="00E60B53">
            <w:pPr>
              <w:spacing w:beforeLines="60" w:before="144" w:afterLines="60" w:after="144"/>
              <w:rPr>
                <w:rFonts w:ascii="Times New Roman" w:hAnsi="Times New Roman"/>
                <w:sz w:val="24"/>
              </w:rPr>
            </w:pPr>
            <w:r w:rsidRPr="00D51A68">
              <w:rPr>
                <w:rFonts w:ascii="Times New Roman" w:hAnsi="Times New Roman"/>
                <w:sz w:val="24"/>
              </w:rPr>
              <w:t>0060</w:t>
            </w:r>
          </w:p>
        </w:tc>
        <w:tc>
          <w:tcPr>
            <w:tcW w:w="8221" w:type="dxa"/>
          </w:tcPr>
          <w:p w:rsidR="00113E45" w:rsidRPr="00D51A68" w:rsidRDefault="00113E45" w:rsidP="00E60B53">
            <w:pPr>
              <w:spacing w:beforeLines="60" w:before="144" w:afterLines="60" w:after="144"/>
              <w:rPr>
                <w:rStyle w:val="InstructionsTabelleberschrift"/>
                <w:rFonts w:ascii="Times New Roman" w:hAnsi="Times New Roman"/>
                <w:sz w:val="24"/>
              </w:rPr>
            </w:pPr>
            <w:r w:rsidRPr="00D51A68">
              <w:rPr>
                <w:rStyle w:val="InstructionsTabelleberschrift"/>
                <w:rFonts w:ascii="Times New Roman" w:hAnsi="Times New Roman"/>
                <w:sz w:val="24"/>
              </w:rPr>
              <w:t>DI CUI: CALCOLATO SECONDO 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APPROCCIO BASATO SU ESPERTI</w:t>
            </w:r>
          </w:p>
          <w:p w:rsidR="00113E45" w:rsidRPr="00D51A68" w:rsidRDefault="00113E45" w:rsidP="00E60B53">
            <w:pPr>
              <w:spacing w:beforeLines="60" w:before="144" w:afterLines="60" w:after="144"/>
              <w:rPr>
                <w:rStyle w:val="InstructionsTabelleberschrift"/>
                <w:rFonts w:ascii="Times New Roman" w:hAnsi="Times New Roman"/>
                <w:sz w:val="24"/>
                <w:u w:val="none"/>
              </w:rPr>
            </w:pPr>
            <w:r w:rsidRPr="00D51A68">
              <w:rPr>
                <w:rFonts w:ascii="Times New Roman" w:hAnsi="Times New Roman"/>
                <w:sz w:val="24"/>
              </w:rPr>
              <w:t>Gli importi nella colonna 0050 che sono stati calcolati secondo l</w:t>
            </w:r>
            <w:r w:rsidR="0009277C" w:rsidRPr="00D51A68">
              <w:rPr>
                <w:rFonts w:ascii="Times New Roman" w:hAnsi="Times New Roman"/>
                <w:sz w:val="24"/>
              </w:rPr>
              <w:t>’</w:t>
            </w:r>
            <w:r w:rsidRPr="00D51A68">
              <w:rPr>
                <w:rFonts w:ascii="Times New Roman" w:hAnsi="Times New Roman"/>
                <w:sz w:val="24"/>
              </w:rPr>
              <w:t>approccio basato su esperti di cui all</w:t>
            </w:r>
            <w:r w:rsidR="0009277C" w:rsidRPr="00D51A68">
              <w:rPr>
                <w:rFonts w:ascii="Times New Roman" w:hAnsi="Times New Roman"/>
                <w:sz w:val="24"/>
              </w:rPr>
              <w:t>’</w:t>
            </w:r>
            <w:r w:rsidRPr="00D51A68">
              <w:rPr>
                <w:rFonts w:ascii="Times New Roman" w:hAnsi="Times New Roman"/>
                <w:sz w:val="24"/>
              </w:rPr>
              <w:t>articolo 11, paragrafo 4</w:t>
            </w:r>
            <w:r w:rsidR="00BE76FD" w:rsidRPr="00D51A68">
              <w:rPr>
                <w:rFonts w:ascii="Times New Roman" w:hAnsi="Times New Roman"/>
                <w:sz w:val="24"/>
              </w:rPr>
              <w:t>, del regolamento delegato (UE) </w:t>
            </w:r>
            <w:r w:rsidRPr="00D51A68">
              <w:rPr>
                <w:rFonts w:ascii="Times New Roman" w:hAnsi="Times New Roman"/>
                <w:sz w:val="24"/>
              </w:rPr>
              <w:t>2016/101 sulla valutazione prudente.</w:t>
            </w:r>
          </w:p>
        </w:tc>
      </w:tr>
      <w:tr w:rsidR="00113E45" w:rsidRPr="00D51A68" w:rsidTr="00672D2A">
        <w:tc>
          <w:tcPr>
            <w:tcW w:w="1101" w:type="dxa"/>
          </w:tcPr>
          <w:p w:rsidR="00113E45" w:rsidRPr="00D51A68" w:rsidRDefault="008136B4" w:rsidP="00E60B53">
            <w:pPr>
              <w:spacing w:beforeLines="60" w:before="144" w:afterLines="60" w:after="144"/>
              <w:rPr>
                <w:rFonts w:ascii="Times New Roman" w:hAnsi="Times New Roman"/>
                <w:sz w:val="24"/>
              </w:rPr>
            </w:pPr>
            <w:r w:rsidRPr="00D51A68">
              <w:rPr>
                <w:rFonts w:ascii="Times New Roman" w:hAnsi="Times New Roman"/>
                <w:sz w:val="24"/>
              </w:rPr>
              <w:t>0070</w:t>
            </w:r>
          </w:p>
        </w:tc>
        <w:tc>
          <w:tcPr>
            <w:tcW w:w="8221" w:type="dxa"/>
          </w:tcPr>
          <w:p w:rsidR="00113E45" w:rsidRPr="00D51A68" w:rsidRDefault="00113E45" w:rsidP="00E60B53">
            <w:pPr>
              <w:spacing w:beforeLines="60" w:before="144" w:afterLines="60" w:after="144"/>
              <w:rPr>
                <w:rStyle w:val="InstructionsTabelleberschrift"/>
                <w:rFonts w:ascii="Times New Roman" w:hAnsi="Times New Roman"/>
                <w:sz w:val="24"/>
              </w:rPr>
            </w:pPr>
            <w:r w:rsidRPr="00D51A68">
              <w:rPr>
                <w:rStyle w:val="InstructionsTabelleberschrift"/>
                <w:rFonts w:ascii="Times New Roman" w:hAnsi="Times New Roman"/>
                <w:sz w:val="24"/>
              </w:rPr>
              <w:t>DI CUI: AGGREGATO UTILIZZANDO IL METODO 2</w:t>
            </w:r>
          </w:p>
          <w:p w:rsidR="00113E45" w:rsidRPr="00D51A68" w:rsidRDefault="00113E45" w:rsidP="008136B4">
            <w:pPr>
              <w:spacing w:beforeLines="60" w:before="144" w:afterLines="60" w:after="144"/>
              <w:rPr>
                <w:rStyle w:val="InstructionsTabelleberschrift"/>
                <w:rFonts w:ascii="Times New Roman" w:hAnsi="Times New Roman"/>
                <w:sz w:val="24"/>
              </w:rPr>
            </w:pPr>
            <w:r w:rsidRPr="00D51A68">
              <w:rPr>
                <w:rFonts w:ascii="Times New Roman" w:hAnsi="Times New Roman"/>
                <w:sz w:val="24"/>
              </w:rPr>
              <w:t>Gli importi nella colonna 0050 che sono stati aggregati utilizzando il metodo 2 dell</w:t>
            </w:r>
            <w:r w:rsidR="0009277C" w:rsidRPr="00D51A68">
              <w:rPr>
                <w:rFonts w:ascii="Times New Roman" w:hAnsi="Times New Roman"/>
                <w:sz w:val="24"/>
              </w:rPr>
              <w:t>’</w:t>
            </w:r>
            <w:r w:rsidRPr="00D51A68">
              <w:rPr>
                <w:rFonts w:ascii="Times New Roman" w:hAnsi="Times New Roman"/>
                <w:sz w:val="24"/>
              </w:rPr>
              <w:t>allegato del regolamento delegato (UE) 2016/101 sulla valutazione prudente (FV – PV nella terminologia dell</w:t>
            </w:r>
            <w:r w:rsidR="0009277C" w:rsidRPr="00D51A68">
              <w:rPr>
                <w:rFonts w:ascii="Times New Roman" w:hAnsi="Times New Roman"/>
                <w:sz w:val="24"/>
              </w:rPr>
              <w:t>’</w:t>
            </w:r>
            <w:r w:rsidRPr="00D51A68">
              <w:rPr>
                <w:rFonts w:ascii="Times New Roman" w:hAnsi="Times New Roman"/>
                <w:sz w:val="24"/>
              </w:rPr>
              <w:t xml:space="preserve">allegato). </w:t>
            </w:r>
          </w:p>
        </w:tc>
      </w:tr>
      <w:tr w:rsidR="00113E45" w:rsidRPr="00D51A68" w:rsidTr="00672D2A">
        <w:tc>
          <w:tcPr>
            <w:tcW w:w="1101" w:type="dxa"/>
          </w:tcPr>
          <w:p w:rsidR="00113E45" w:rsidRPr="00D51A68" w:rsidRDefault="008136B4" w:rsidP="00E60B53">
            <w:pPr>
              <w:spacing w:beforeLines="60" w:before="144" w:afterLines="60" w:after="144"/>
              <w:rPr>
                <w:rFonts w:ascii="Times New Roman" w:hAnsi="Times New Roman"/>
                <w:sz w:val="24"/>
              </w:rPr>
            </w:pPr>
            <w:r w:rsidRPr="00D51A68">
              <w:rPr>
                <w:rFonts w:ascii="Times New Roman" w:hAnsi="Times New Roman"/>
                <w:sz w:val="24"/>
              </w:rPr>
              <w:t>0080</w:t>
            </w:r>
          </w:p>
        </w:tc>
        <w:tc>
          <w:tcPr>
            <w:tcW w:w="8221" w:type="dxa"/>
          </w:tcPr>
          <w:p w:rsidR="00113E45" w:rsidRPr="00D51A68" w:rsidRDefault="00113E45" w:rsidP="00E60B53">
            <w:pPr>
              <w:spacing w:beforeLines="60" w:before="144" w:afterLines="60" w:after="144"/>
              <w:rPr>
                <w:rStyle w:val="InstructionsTabelleberschrift"/>
                <w:rFonts w:ascii="Times New Roman" w:hAnsi="Times New Roman"/>
                <w:sz w:val="24"/>
              </w:rPr>
            </w:pPr>
            <w:r w:rsidRPr="00D51A68">
              <w:rPr>
                <w:rStyle w:val="InstructionsTabelleberschrift"/>
                <w:rFonts w:ascii="Times New Roman" w:hAnsi="Times New Roman"/>
                <w:sz w:val="24"/>
              </w:rPr>
              <w:t>AVA AGGREGATO CALCOLATO UTILIZZANDO IL METODO 2</w:t>
            </w:r>
          </w:p>
          <w:p w:rsidR="00113E45" w:rsidRPr="00D51A68" w:rsidRDefault="00113E45" w:rsidP="008136B4">
            <w:pPr>
              <w:spacing w:beforeLines="60" w:before="144" w:afterLines="60" w:after="144"/>
              <w:rPr>
                <w:rStyle w:val="InstructionsTabelleberschrift"/>
                <w:rFonts w:ascii="Times New Roman" w:hAnsi="Times New Roman"/>
                <w:b w:val="0"/>
                <w:sz w:val="24"/>
                <w:u w:val="none"/>
              </w:rPr>
            </w:pPr>
            <w:r w:rsidRPr="00D51A68">
              <w:rPr>
                <w:rStyle w:val="InstructionsTabelleberschrift"/>
                <w:rFonts w:ascii="Times New Roman" w:hAnsi="Times New Roman"/>
                <w:b w:val="0"/>
                <w:sz w:val="24"/>
                <w:u w:val="none"/>
              </w:rPr>
              <w:t>Il contributo all</w:t>
            </w:r>
            <w:r w:rsidR="0009277C" w:rsidRPr="00D51A68">
              <w:rPr>
                <w:rStyle w:val="InstructionsTabelleberschrift"/>
                <w:rFonts w:ascii="Times New Roman" w:hAnsi="Times New Roman"/>
                <w:b w:val="0"/>
                <w:sz w:val="24"/>
                <w:u w:val="none"/>
              </w:rPr>
              <w:t>’</w:t>
            </w:r>
            <w:r w:rsidRPr="00D51A68">
              <w:rPr>
                <w:rStyle w:val="InstructionsTabelleberschrift"/>
                <w:rFonts w:ascii="Times New Roman" w:hAnsi="Times New Roman"/>
                <w:b w:val="0"/>
                <w:sz w:val="24"/>
                <w:u w:val="none"/>
              </w:rPr>
              <w:t>AVA totale a livello di categoria per i rischi del modello, calcolato a norma dell</w:t>
            </w:r>
            <w:r w:rsidR="0009277C" w:rsidRPr="00D51A68">
              <w:rPr>
                <w:rStyle w:val="InstructionsTabelleberschrift"/>
                <w:rFonts w:ascii="Times New Roman" w:hAnsi="Times New Roman"/>
                <w:b w:val="0"/>
                <w:sz w:val="24"/>
                <w:u w:val="none"/>
              </w:rPr>
              <w:t>’</w:t>
            </w:r>
            <w:r w:rsidRPr="00D51A68">
              <w:rPr>
                <w:rStyle w:val="InstructionsTabelleberschrift"/>
                <w:rFonts w:ascii="Times New Roman" w:hAnsi="Times New Roman"/>
                <w:b w:val="0"/>
                <w:sz w:val="24"/>
                <w:u w:val="none"/>
              </w:rPr>
              <w:t>articolo 11, paragrafo 7, del regolamento delegato (UE) 2016/101 sulla valutazione prudente, dei singoli AVA per i rischi del modello che sono aggregati utilizzando il metodo 2 dell</w:t>
            </w:r>
            <w:r w:rsidR="0009277C" w:rsidRPr="00D51A68">
              <w:rPr>
                <w:rStyle w:val="InstructionsTabelleberschrift"/>
                <w:rFonts w:ascii="Times New Roman" w:hAnsi="Times New Roman"/>
                <w:b w:val="0"/>
                <w:sz w:val="24"/>
                <w:u w:val="none"/>
              </w:rPr>
              <w:t>’</w:t>
            </w:r>
            <w:r w:rsidRPr="00D51A68">
              <w:rPr>
                <w:rStyle w:val="InstructionsTabelleberschrift"/>
                <w:rFonts w:ascii="Times New Roman" w:hAnsi="Times New Roman"/>
                <w:b w:val="0"/>
                <w:sz w:val="24"/>
                <w:u w:val="none"/>
              </w:rPr>
              <w:t xml:space="preserve">allegato del regolamento delegato (UE) 2016/101 sulla valutazione prudente </w:t>
            </w:r>
            <w:r w:rsidRPr="00D51A68">
              <w:rPr>
                <w:rFonts w:ascii="Times New Roman" w:hAnsi="Times New Roman"/>
                <w:sz w:val="24"/>
              </w:rPr>
              <w:t>(APVA nella terminologia dell</w:t>
            </w:r>
            <w:r w:rsidR="0009277C" w:rsidRPr="00D51A68">
              <w:rPr>
                <w:rFonts w:ascii="Times New Roman" w:hAnsi="Times New Roman"/>
                <w:sz w:val="24"/>
              </w:rPr>
              <w:t>’</w:t>
            </w:r>
            <w:r w:rsidRPr="00D51A68">
              <w:rPr>
                <w:rFonts w:ascii="Times New Roman" w:hAnsi="Times New Roman"/>
                <w:sz w:val="24"/>
              </w:rPr>
              <w:t>allegato).</w:t>
            </w:r>
          </w:p>
        </w:tc>
      </w:tr>
      <w:tr w:rsidR="00113E45" w:rsidRPr="00D51A68" w:rsidTr="00672D2A">
        <w:tc>
          <w:tcPr>
            <w:tcW w:w="1101" w:type="dxa"/>
          </w:tcPr>
          <w:p w:rsidR="00113E45" w:rsidRPr="00D51A68" w:rsidRDefault="008136B4" w:rsidP="00E60B53">
            <w:pPr>
              <w:spacing w:beforeLines="60" w:before="144" w:afterLines="60" w:after="144"/>
              <w:rPr>
                <w:rFonts w:ascii="Times New Roman" w:hAnsi="Times New Roman"/>
                <w:sz w:val="24"/>
              </w:rPr>
            </w:pPr>
            <w:r w:rsidRPr="00D51A68">
              <w:rPr>
                <w:rFonts w:ascii="Times New Roman" w:hAnsi="Times New Roman"/>
                <w:sz w:val="24"/>
              </w:rPr>
              <w:t>0090 -0100</w:t>
            </w:r>
          </w:p>
        </w:tc>
        <w:tc>
          <w:tcPr>
            <w:tcW w:w="8221" w:type="dxa"/>
          </w:tcPr>
          <w:p w:rsidR="00113E45" w:rsidRPr="00D51A68" w:rsidRDefault="00113E45" w:rsidP="00E60B53">
            <w:pPr>
              <w:spacing w:beforeLines="60" w:before="144" w:afterLines="60" w:after="144"/>
              <w:rPr>
                <w:rStyle w:val="InstructionsTabelleberschrift"/>
                <w:rFonts w:ascii="Times New Roman" w:hAnsi="Times New Roman"/>
                <w:sz w:val="24"/>
              </w:rPr>
            </w:pPr>
            <w:r w:rsidRPr="00D51A68">
              <w:rPr>
                <w:rStyle w:val="InstructionsTabelleberschrift"/>
                <w:rFonts w:ascii="Times New Roman" w:hAnsi="Times New Roman"/>
                <w:sz w:val="24"/>
              </w:rPr>
              <w:t>ATTIVITÀ E PASSIVITÀ VALUTATE AL FAIR VALUE (VALORE EQUO)</w:t>
            </w:r>
          </w:p>
          <w:p w:rsidR="00113E45" w:rsidRPr="00D51A68" w:rsidRDefault="00113E45" w:rsidP="00E60B53">
            <w:pPr>
              <w:spacing w:beforeLines="60" w:before="144" w:afterLines="60" w:after="144"/>
              <w:rPr>
                <w:rStyle w:val="InstructionsTabelleberschrift"/>
                <w:rFonts w:ascii="Times New Roman" w:hAnsi="Times New Roman"/>
                <w:sz w:val="24"/>
              </w:rPr>
            </w:pPr>
            <w:r w:rsidRPr="00D51A68">
              <w:rPr>
                <w:rFonts w:ascii="Times New Roman" w:hAnsi="Times New Roman"/>
                <w:sz w:val="24"/>
              </w:rPr>
              <w:t xml:space="preserve">Il valore assoluto delle attività e delle passività valutate al fair value (valore equo) utilizzando il modello di cui alla colonna 0010 rilevato a bilancio ai sensi della disciplina contabile applicabile. </w:t>
            </w:r>
          </w:p>
        </w:tc>
      </w:tr>
      <w:tr w:rsidR="00113E45" w:rsidRPr="00D51A68" w:rsidTr="00672D2A">
        <w:tc>
          <w:tcPr>
            <w:tcW w:w="1101" w:type="dxa"/>
          </w:tcPr>
          <w:p w:rsidR="00113E45" w:rsidRPr="00D51A68" w:rsidRDefault="008136B4" w:rsidP="00E60B53">
            <w:pPr>
              <w:spacing w:beforeLines="60" w:before="144" w:afterLines="60" w:after="144"/>
              <w:rPr>
                <w:rFonts w:ascii="Times New Roman" w:hAnsi="Times New Roman"/>
                <w:sz w:val="24"/>
              </w:rPr>
            </w:pPr>
            <w:r w:rsidRPr="00D51A68">
              <w:rPr>
                <w:rFonts w:ascii="Times New Roman" w:hAnsi="Times New Roman"/>
                <w:sz w:val="24"/>
              </w:rPr>
              <w:t>0090</w:t>
            </w:r>
          </w:p>
        </w:tc>
        <w:tc>
          <w:tcPr>
            <w:tcW w:w="8221" w:type="dxa"/>
          </w:tcPr>
          <w:p w:rsidR="00113E45" w:rsidRPr="00D51A68" w:rsidRDefault="00113E45" w:rsidP="00E60B53">
            <w:pPr>
              <w:spacing w:beforeLines="60" w:before="144" w:afterLines="60" w:after="144"/>
              <w:rPr>
                <w:rStyle w:val="InstructionsTabelleberschrift"/>
                <w:rFonts w:ascii="Times New Roman" w:hAnsi="Times New Roman"/>
                <w:sz w:val="24"/>
              </w:rPr>
            </w:pPr>
            <w:r w:rsidRPr="00D51A68">
              <w:rPr>
                <w:rStyle w:val="InstructionsTabelleberschrift"/>
                <w:rFonts w:ascii="Times New Roman" w:hAnsi="Times New Roman"/>
                <w:sz w:val="24"/>
              </w:rPr>
              <w:t>ATTIVITÀ VALUTATE AL FAIR VALUE (VALORE EQUO)</w:t>
            </w:r>
          </w:p>
          <w:p w:rsidR="00113E45" w:rsidRPr="00D51A68" w:rsidRDefault="00113E45" w:rsidP="00E60B53">
            <w:pPr>
              <w:spacing w:beforeLines="60" w:before="144" w:afterLines="60" w:after="144"/>
              <w:rPr>
                <w:rStyle w:val="InstructionsTabelleberschrift"/>
                <w:rFonts w:ascii="Times New Roman" w:hAnsi="Times New Roman"/>
                <w:b w:val="0"/>
                <w:bCs w:val="0"/>
                <w:sz w:val="24"/>
                <w:u w:val="none"/>
              </w:rPr>
            </w:pPr>
            <w:r w:rsidRPr="00D51A68">
              <w:rPr>
                <w:rFonts w:ascii="Times New Roman" w:hAnsi="Times New Roman"/>
                <w:sz w:val="24"/>
              </w:rPr>
              <w:t>Il valore assoluto delle attività valutate al fair value (valore equo) utilizzando il modello di cui alla colonna 0010 rilevato a bilancio ai sensi della disciplina contabile applicabile.</w:t>
            </w:r>
          </w:p>
        </w:tc>
      </w:tr>
      <w:tr w:rsidR="00113E45" w:rsidRPr="00D51A68" w:rsidTr="00672D2A">
        <w:tc>
          <w:tcPr>
            <w:tcW w:w="1101" w:type="dxa"/>
          </w:tcPr>
          <w:p w:rsidR="00113E45" w:rsidRPr="00D51A68" w:rsidRDefault="008136B4" w:rsidP="00E60B53">
            <w:pPr>
              <w:spacing w:beforeLines="60" w:before="144" w:afterLines="60" w:after="144"/>
              <w:rPr>
                <w:rFonts w:ascii="Times New Roman" w:hAnsi="Times New Roman"/>
                <w:sz w:val="24"/>
              </w:rPr>
            </w:pPr>
            <w:r w:rsidRPr="00D51A68">
              <w:rPr>
                <w:rFonts w:ascii="Times New Roman" w:hAnsi="Times New Roman"/>
                <w:sz w:val="24"/>
              </w:rPr>
              <w:t>0100</w:t>
            </w:r>
          </w:p>
        </w:tc>
        <w:tc>
          <w:tcPr>
            <w:tcW w:w="8221" w:type="dxa"/>
          </w:tcPr>
          <w:p w:rsidR="00113E45" w:rsidRPr="00D51A68" w:rsidRDefault="00113E45" w:rsidP="00E60B53">
            <w:pPr>
              <w:spacing w:beforeLines="60" w:before="144" w:afterLines="60" w:after="144"/>
              <w:rPr>
                <w:rStyle w:val="InstructionsTabelleberschrift"/>
                <w:rFonts w:ascii="Times New Roman" w:hAnsi="Times New Roman"/>
                <w:sz w:val="24"/>
              </w:rPr>
            </w:pPr>
            <w:r w:rsidRPr="00D51A68">
              <w:rPr>
                <w:rStyle w:val="InstructionsTabelleberschrift"/>
                <w:rFonts w:ascii="Times New Roman" w:hAnsi="Times New Roman"/>
                <w:sz w:val="24"/>
              </w:rPr>
              <w:t>PASSIVITÀ VALUTATE AL FAIR VALUE (VALORE EQUO)</w:t>
            </w:r>
          </w:p>
          <w:p w:rsidR="00113E45" w:rsidRPr="00D51A68" w:rsidRDefault="00113E45" w:rsidP="00E60B53">
            <w:pPr>
              <w:spacing w:beforeLines="60" w:before="144" w:afterLines="60" w:after="144"/>
              <w:rPr>
                <w:rStyle w:val="InstructionsTabelleberschrift"/>
                <w:rFonts w:ascii="Times New Roman" w:hAnsi="Times New Roman"/>
                <w:b w:val="0"/>
                <w:bCs w:val="0"/>
                <w:sz w:val="24"/>
                <w:u w:val="none"/>
              </w:rPr>
            </w:pPr>
            <w:r w:rsidRPr="00D51A68">
              <w:rPr>
                <w:rFonts w:ascii="Times New Roman" w:hAnsi="Times New Roman"/>
                <w:sz w:val="24"/>
              </w:rPr>
              <w:t xml:space="preserve">Il valore assoluto delle passività valutate al fair value (valore equo) utilizzando il modello di cui alla colonna 0010 rilevato a bilancio ai sensi della disciplina contabile applicabile. </w:t>
            </w:r>
          </w:p>
        </w:tc>
      </w:tr>
      <w:tr w:rsidR="00113E45" w:rsidRPr="00D51A68" w:rsidTr="00672D2A">
        <w:tc>
          <w:tcPr>
            <w:tcW w:w="1101" w:type="dxa"/>
          </w:tcPr>
          <w:p w:rsidR="00113E45" w:rsidRPr="00D51A68" w:rsidRDefault="008136B4" w:rsidP="00E60B53">
            <w:pPr>
              <w:spacing w:beforeLines="60" w:before="144" w:afterLines="60" w:after="144"/>
              <w:rPr>
                <w:rFonts w:ascii="Times New Roman" w:hAnsi="Times New Roman"/>
                <w:sz w:val="24"/>
              </w:rPr>
            </w:pPr>
            <w:r w:rsidRPr="00D51A68">
              <w:rPr>
                <w:rFonts w:ascii="Times New Roman" w:hAnsi="Times New Roman"/>
                <w:sz w:val="24"/>
              </w:rPr>
              <w:t>0110</w:t>
            </w:r>
          </w:p>
        </w:tc>
        <w:tc>
          <w:tcPr>
            <w:tcW w:w="8221" w:type="dxa"/>
          </w:tcPr>
          <w:p w:rsidR="00113E45" w:rsidRPr="00D51A68" w:rsidRDefault="00113E45" w:rsidP="00E60B53">
            <w:pPr>
              <w:spacing w:beforeLines="60" w:before="144" w:afterLines="60" w:after="144"/>
              <w:rPr>
                <w:rStyle w:val="InstructionsTabelleberschrift"/>
                <w:rFonts w:ascii="Times New Roman" w:hAnsi="Times New Roman"/>
                <w:sz w:val="24"/>
              </w:rPr>
            </w:pPr>
            <w:r w:rsidRPr="00D51A68">
              <w:rPr>
                <w:rStyle w:val="InstructionsTabelleberschrift"/>
                <w:rFonts w:ascii="Times New Roman" w:hAnsi="Times New Roman"/>
                <w:sz w:val="24"/>
              </w:rPr>
              <w:t>DIFFERENZA IPV (TEST DELL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OUTPUT)</w:t>
            </w:r>
          </w:p>
          <w:p w:rsidR="00113E45" w:rsidRPr="00D51A68" w:rsidRDefault="00113E45" w:rsidP="00E60B53">
            <w:pPr>
              <w:spacing w:beforeLines="60" w:before="144" w:afterLines="60" w:after="144"/>
              <w:rPr>
                <w:rStyle w:val="InstructionsTabelleberschrift"/>
                <w:rFonts w:ascii="Times New Roman" w:hAnsi="Times New Roman"/>
                <w:b w:val="0"/>
                <w:sz w:val="24"/>
                <w:u w:val="none"/>
              </w:rPr>
            </w:pPr>
            <w:r w:rsidRPr="00D51A68">
              <w:rPr>
                <w:rStyle w:val="InstructionsTabelleberschrift"/>
                <w:rFonts w:ascii="Times New Roman" w:hAnsi="Times New Roman"/>
                <w:b w:val="0"/>
                <w:sz w:val="24"/>
                <w:u w:val="none"/>
              </w:rPr>
              <w:t>La somma dei differenziali non aggiustati (</w:t>
            </w:r>
            <w:r w:rsidR="0009277C" w:rsidRPr="00D51A68">
              <w:rPr>
                <w:rStyle w:val="InstructionsTabelleberschrift"/>
                <w:rFonts w:ascii="Times New Roman" w:hAnsi="Times New Roman"/>
                <w:b w:val="0"/>
                <w:sz w:val="24"/>
                <w:u w:val="none"/>
              </w:rPr>
              <w:t>“</w:t>
            </w:r>
            <w:r w:rsidRPr="00D51A68">
              <w:rPr>
                <w:rStyle w:val="InstructionsTabelleberschrift"/>
                <w:rFonts w:ascii="Times New Roman" w:hAnsi="Times New Roman"/>
                <w:b w:val="0"/>
                <w:sz w:val="24"/>
                <w:u w:val="none"/>
              </w:rPr>
              <w:t>differenza IPV</w:t>
            </w:r>
            <w:r w:rsidR="0009277C" w:rsidRPr="00D51A68">
              <w:rPr>
                <w:rStyle w:val="InstructionsTabelleberschrift"/>
                <w:rFonts w:ascii="Times New Roman" w:hAnsi="Times New Roman"/>
                <w:b w:val="0"/>
                <w:sz w:val="24"/>
                <w:u w:val="none"/>
              </w:rPr>
              <w:t>”</w:t>
            </w:r>
            <w:r w:rsidRPr="00D51A68">
              <w:rPr>
                <w:rStyle w:val="InstructionsTabelleberschrift"/>
                <w:rFonts w:ascii="Times New Roman" w:hAnsi="Times New Roman"/>
                <w:b w:val="0"/>
                <w:sz w:val="24"/>
                <w:u w:val="none"/>
              </w:rPr>
              <w:t>) calcolati alla fine del mese più vicina alla data di riferimento per le segnalazioni nel quadro del processo di verifica indipendente dei prezzi di cui all</w:t>
            </w:r>
            <w:r w:rsidR="0009277C" w:rsidRPr="00D51A68">
              <w:rPr>
                <w:rStyle w:val="InstructionsTabelleberschrift"/>
                <w:rFonts w:ascii="Times New Roman" w:hAnsi="Times New Roman"/>
                <w:b w:val="0"/>
                <w:sz w:val="24"/>
                <w:u w:val="none"/>
              </w:rPr>
              <w:t>’</w:t>
            </w:r>
            <w:r w:rsidRPr="00D51A68">
              <w:rPr>
                <w:rStyle w:val="InstructionsTabelleberschrift"/>
                <w:rFonts w:ascii="Times New Roman" w:hAnsi="Times New Roman"/>
                <w:b w:val="0"/>
                <w:sz w:val="24"/>
                <w:u w:val="none"/>
              </w:rPr>
              <w:t xml:space="preserve">articolo 105, paragrafo 8, del CRR, utilizzando i migliori dati indipendenti disponibili per il corrispondente prodotto o gruppo di prodotti. </w:t>
            </w:r>
          </w:p>
          <w:p w:rsidR="00113E45" w:rsidRPr="00D51A68" w:rsidRDefault="00113E45" w:rsidP="00E60B53">
            <w:pPr>
              <w:spacing w:beforeLines="60" w:before="144" w:afterLines="60" w:after="144"/>
              <w:rPr>
                <w:rStyle w:val="InstructionsTabelleberschrift"/>
                <w:rFonts w:ascii="Times New Roman" w:hAnsi="Times New Roman"/>
                <w:b w:val="0"/>
                <w:sz w:val="24"/>
                <w:u w:val="none"/>
              </w:rPr>
            </w:pPr>
            <w:r w:rsidRPr="00D51A68">
              <w:rPr>
                <w:rStyle w:val="InstructionsTabelleberschrift"/>
                <w:rFonts w:ascii="Times New Roman" w:hAnsi="Times New Roman"/>
                <w:b w:val="0"/>
                <w:sz w:val="24"/>
                <w:u w:val="none"/>
              </w:rPr>
              <w:t>Per differenziali non aggiustati si intendono le differenze non aggiustate tra le valutazioni generate dal sistema di negoziazione e le valutazioni prodotte dal processo IPV mensile</w:t>
            </w:r>
          </w:p>
          <w:p w:rsidR="00113E45" w:rsidRPr="00D51A68" w:rsidRDefault="004D2753" w:rsidP="00E60B53">
            <w:pPr>
              <w:spacing w:beforeLines="60" w:before="144" w:afterLines="60" w:after="144"/>
              <w:rPr>
                <w:rStyle w:val="InstructionsTabelleberschrift"/>
                <w:rFonts w:ascii="Times New Roman" w:hAnsi="Times New Roman"/>
                <w:b w:val="0"/>
                <w:sz w:val="24"/>
                <w:u w:val="none"/>
              </w:rPr>
            </w:pPr>
            <w:r w:rsidRPr="00D51A68">
              <w:rPr>
                <w:rStyle w:val="InstructionsTabelleberschrift"/>
                <w:rFonts w:ascii="Times New Roman" w:hAnsi="Times New Roman"/>
                <w:b w:val="0"/>
                <w:sz w:val="24"/>
                <w:u w:val="none"/>
              </w:rPr>
              <w:t>I differenziali aggiustati nei libri e nella contabilità dell</w:t>
            </w:r>
            <w:r w:rsidR="0009277C" w:rsidRPr="00D51A68">
              <w:rPr>
                <w:rStyle w:val="InstructionsTabelleberschrift"/>
                <w:rFonts w:ascii="Times New Roman" w:hAnsi="Times New Roman"/>
                <w:b w:val="0"/>
                <w:sz w:val="24"/>
                <w:u w:val="none"/>
              </w:rPr>
              <w:t>’</w:t>
            </w:r>
            <w:r w:rsidRPr="00D51A68">
              <w:rPr>
                <w:rStyle w:val="InstructionsTabelleberschrift"/>
                <w:rFonts w:ascii="Times New Roman" w:hAnsi="Times New Roman"/>
                <w:b w:val="0"/>
                <w:sz w:val="24"/>
                <w:u w:val="none"/>
              </w:rPr>
              <w:t>ente per la data di fine mese pertinente non sono inclusi ai fini del calcolo della differenza IPV.</w:t>
            </w:r>
          </w:p>
          <w:p w:rsidR="00113E45" w:rsidRPr="00D51A68" w:rsidRDefault="00113E45" w:rsidP="00E60B53">
            <w:pPr>
              <w:spacing w:beforeLines="60" w:before="144" w:afterLines="60" w:after="144"/>
              <w:rPr>
                <w:rStyle w:val="InstructionsTabelleberschrift"/>
                <w:rFonts w:ascii="Times New Roman" w:hAnsi="Times New Roman"/>
                <w:b w:val="0"/>
                <w:sz w:val="24"/>
                <w:u w:val="none"/>
              </w:rPr>
            </w:pPr>
            <w:r w:rsidRPr="00D51A68">
              <w:rPr>
                <w:rStyle w:val="InstructionsTabelleberschrift"/>
                <w:rFonts w:ascii="Times New Roman" w:hAnsi="Times New Roman"/>
                <w:b w:val="0"/>
                <w:sz w:val="24"/>
                <w:u w:val="none"/>
              </w:rPr>
              <w:t>Sono inclusi qui solo i risultati che sono stati calibrati dai prezzi degli strumenti che sarebbero attribuiti allo stesso prodotto (test dell</w:t>
            </w:r>
            <w:r w:rsidR="0009277C" w:rsidRPr="00D51A68">
              <w:rPr>
                <w:rStyle w:val="InstructionsTabelleberschrift"/>
                <w:rFonts w:ascii="Times New Roman" w:hAnsi="Times New Roman"/>
                <w:b w:val="0"/>
                <w:sz w:val="24"/>
                <w:u w:val="none"/>
              </w:rPr>
              <w:t>’</w:t>
            </w:r>
            <w:r w:rsidRPr="00D51A68">
              <w:rPr>
                <w:rStyle w:val="InstructionsTabelleberschrift"/>
                <w:rFonts w:ascii="Times New Roman" w:hAnsi="Times New Roman"/>
                <w:b w:val="0"/>
                <w:sz w:val="24"/>
                <w:u w:val="none"/>
              </w:rPr>
              <w:t>output). Non sono inclusi i risultati dei test degli input dei dati di mercato che sono testati a fronte dei livelli che sono stati calibrati da diversi prodotti.</w:t>
            </w:r>
          </w:p>
        </w:tc>
      </w:tr>
      <w:tr w:rsidR="00113E45" w:rsidRPr="00D51A68" w:rsidTr="00672D2A">
        <w:tc>
          <w:tcPr>
            <w:tcW w:w="1101" w:type="dxa"/>
          </w:tcPr>
          <w:p w:rsidR="00113E45" w:rsidRPr="00D51A68" w:rsidRDefault="008136B4" w:rsidP="00E60B53">
            <w:pPr>
              <w:spacing w:beforeLines="60" w:before="144" w:afterLines="60" w:after="144"/>
              <w:rPr>
                <w:rFonts w:ascii="Times New Roman" w:hAnsi="Times New Roman"/>
                <w:sz w:val="24"/>
              </w:rPr>
            </w:pPr>
            <w:r w:rsidRPr="00D51A68">
              <w:rPr>
                <w:rFonts w:ascii="Times New Roman" w:hAnsi="Times New Roman"/>
                <w:sz w:val="24"/>
              </w:rPr>
              <w:t>0120</w:t>
            </w:r>
          </w:p>
        </w:tc>
        <w:tc>
          <w:tcPr>
            <w:tcW w:w="8221" w:type="dxa"/>
          </w:tcPr>
          <w:p w:rsidR="00113E45" w:rsidRPr="00D51A68" w:rsidRDefault="00113E45" w:rsidP="00E60B53">
            <w:pPr>
              <w:spacing w:beforeLines="60" w:before="144" w:afterLines="60" w:after="144"/>
              <w:jc w:val="left"/>
              <w:rPr>
                <w:rStyle w:val="InstructionsTabelleberschrift"/>
                <w:rFonts w:ascii="Times New Roman" w:hAnsi="Times New Roman"/>
                <w:sz w:val="24"/>
              </w:rPr>
            </w:pPr>
            <w:r w:rsidRPr="00D51A68">
              <w:rPr>
                <w:rStyle w:val="InstructionsTabelleberschrift"/>
                <w:rFonts w:ascii="Times New Roman" w:hAnsi="Times New Roman"/>
                <w:sz w:val="24"/>
              </w:rPr>
              <w:t>COPERTURA IPV (TEST DELL</w:t>
            </w:r>
            <w:r w:rsidR="0009277C" w:rsidRPr="00D51A68">
              <w:rPr>
                <w:rStyle w:val="InstructionsTabelleberschrift"/>
                <w:rFonts w:ascii="Times New Roman" w:hAnsi="Times New Roman"/>
                <w:sz w:val="24"/>
              </w:rPr>
              <w:t>’</w:t>
            </w:r>
            <w:r w:rsidRPr="00D51A68">
              <w:rPr>
                <w:rStyle w:val="InstructionsTabelleberschrift"/>
                <w:rFonts w:ascii="Times New Roman" w:hAnsi="Times New Roman"/>
                <w:sz w:val="24"/>
              </w:rPr>
              <w:t>OUTPUT)</w:t>
            </w:r>
          </w:p>
          <w:p w:rsidR="00113E45" w:rsidRPr="00D51A68" w:rsidRDefault="00113E45" w:rsidP="00E60B53">
            <w:pPr>
              <w:spacing w:beforeLines="60" w:before="144" w:afterLines="60" w:after="144"/>
              <w:jc w:val="left"/>
              <w:rPr>
                <w:rStyle w:val="InstructionsTabelleberschrift"/>
                <w:rFonts w:ascii="Times New Roman" w:hAnsi="Times New Roman"/>
                <w:b w:val="0"/>
                <w:sz w:val="24"/>
                <w:u w:val="none"/>
              </w:rPr>
            </w:pPr>
            <w:r w:rsidRPr="00D51A68">
              <w:rPr>
                <w:rStyle w:val="InstructionsTabelleberschrift"/>
                <w:rFonts w:ascii="Times New Roman" w:hAnsi="Times New Roman"/>
                <w:b w:val="0"/>
                <w:sz w:val="24"/>
                <w:u w:val="none"/>
              </w:rPr>
              <w:t>La percentuale delle posizioni assegnate al modello ponderate per l</w:t>
            </w:r>
            <w:r w:rsidR="0009277C" w:rsidRPr="00D51A68">
              <w:rPr>
                <w:rStyle w:val="InstructionsTabelleberschrift"/>
                <w:rFonts w:ascii="Times New Roman" w:hAnsi="Times New Roman"/>
                <w:b w:val="0"/>
                <w:sz w:val="24"/>
                <w:u w:val="none"/>
              </w:rPr>
              <w:t>’</w:t>
            </w:r>
            <w:r w:rsidRPr="00D51A68">
              <w:rPr>
                <w:rStyle w:val="InstructionsTabelleberschrift"/>
                <w:rFonts w:ascii="Times New Roman" w:hAnsi="Times New Roman"/>
                <w:b w:val="0"/>
                <w:sz w:val="24"/>
                <w:u w:val="none"/>
              </w:rPr>
              <w:t>AVA per i rischi del modello che è coperta dai risultati dei test dell</w:t>
            </w:r>
            <w:r w:rsidR="0009277C" w:rsidRPr="00D51A68">
              <w:rPr>
                <w:rStyle w:val="InstructionsTabelleberschrift"/>
                <w:rFonts w:ascii="Times New Roman" w:hAnsi="Times New Roman"/>
                <w:b w:val="0"/>
                <w:sz w:val="24"/>
                <w:u w:val="none"/>
              </w:rPr>
              <w:t>’</w:t>
            </w:r>
            <w:r w:rsidRPr="00D51A68">
              <w:rPr>
                <w:rStyle w:val="InstructionsTabelleberschrift"/>
                <w:rFonts w:ascii="Times New Roman" w:hAnsi="Times New Roman"/>
                <w:b w:val="0"/>
                <w:sz w:val="24"/>
                <w:u w:val="none"/>
              </w:rPr>
              <w:t>output IPV indicati nella colonna 0110.</w:t>
            </w:r>
          </w:p>
        </w:tc>
      </w:tr>
      <w:tr w:rsidR="00113E45" w:rsidRPr="00D51A68" w:rsidTr="00672D2A">
        <w:tc>
          <w:tcPr>
            <w:tcW w:w="1101" w:type="dxa"/>
          </w:tcPr>
          <w:p w:rsidR="00113E45" w:rsidRPr="00D51A68" w:rsidRDefault="008136B4" w:rsidP="00E60B53">
            <w:pPr>
              <w:spacing w:beforeLines="60" w:before="144" w:afterLines="60" w:after="144"/>
              <w:rPr>
                <w:rFonts w:ascii="Times New Roman" w:hAnsi="Times New Roman"/>
                <w:sz w:val="24"/>
              </w:rPr>
            </w:pPr>
            <w:r w:rsidRPr="00D51A68">
              <w:rPr>
                <w:rFonts w:ascii="Times New Roman" w:hAnsi="Times New Roman"/>
                <w:sz w:val="24"/>
              </w:rPr>
              <w:t>0130 – 0140</w:t>
            </w:r>
          </w:p>
        </w:tc>
        <w:tc>
          <w:tcPr>
            <w:tcW w:w="8221" w:type="dxa"/>
          </w:tcPr>
          <w:p w:rsidR="00113E45" w:rsidRPr="00D51A68" w:rsidRDefault="00113E45" w:rsidP="00E60B53">
            <w:pPr>
              <w:spacing w:beforeLines="60" w:before="144" w:afterLines="60" w:after="144"/>
              <w:rPr>
                <w:rStyle w:val="InstructionsTabelleberschrift"/>
                <w:rFonts w:ascii="Times New Roman" w:hAnsi="Times New Roman"/>
                <w:sz w:val="24"/>
              </w:rPr>
            </w:pPr>
            <w:r w:rsidRPr="00D51A68">
              <w:rPr>
                <w:rStyle w:val="InstructionsTabelleberschrift"/>
                <w:rFonts w:ascii="Times New Roman" w:hAnsi="Times New Roman"/>
                <w:sz w:val="24"/>
              </w:rPr>
              <w:t>RETTIFICHE DEL VALORE EQUO</w:t>
            </w:r>
          </w:p>
          <w:p w:rsidR="00113E45" w:rsidRPr="00D51A68" w:rsidRDefault="00113E45" w:rsidP="00E60B53">
            <w:pPr>
              <w:spacing w:beforeLines="60" w:before="144" w:afterLines="60" w:after="144"/>
              <w:rPr>
                <w:rStyle w:val="InstructionsTabelleberschrift"/>
                <w:rFonts w:ascii="Times New Roman" w:hAnsi="Times New Roman"/>
                <w:b w:val="0"/>
                <w:sz w:val="24"/>
                <w:u w:val="none"/>
              </w:rPr>
            </w:pPr>
            <w:r w:rsidRPr="00D51A68">
              <w:rPr>
                <w:rStyle w:val="InstructionsTabelleberschrift"/>
                <w:rFonts w:ascii="Times New Roman" w:hAnsi="Times New Roman"/>
                <w:b w:val="0"/>
                <w:sz w:val="24"/>
                <w:u w:val="none"/>
              </w:rPr>
              <w:t>Le rettifiche del valore equo quali definite nelle colonne 0190 e 0240</w:t>
            </w:r>
            <w:r w:rsidR="00BE76FD" w:rsidRPr="00D51A68">
              <w:rPr>
                <w:rStyle w:val="InstructionsTabelleberschrift"/>
                <w:rFonts w:ascii="Times New Roman" w:hAnsi="Times New Roman"/>
                <w:b w:val="0"/>
                <w:sz w:val="24"/>
                <w:u w:val="none"/>
              </w:rPr>
              <w:t xml:space="preserve"> del modello </w:t>
            </w:r>
            <w:r w:rsidRPr="00D51A68">
              <w:rPr>
                <w:rStyle w:val="InstructionsTabelleberschrift"/>
                <w:rFonts w:ascii="Times New Roman" w:hAnsi="Times New Roman"/>
                <w:b w:val="0"/>
                <w:sz w:val="24"/>
                <w:u w:val="none"/>
              </w:rPr>
              <w:t>C 32.02 che sono state applicate alle posizioni assegnate al modello nella colonna 0010.</w:t>
            </w:r>
          </w:p>
        </w:tc>
      </w:tr>
      <w:tr w:rsidR="00113E45" w:rsidRPr="00D51A68" w:rsidTr="00672D2A">
        <w:tc>
          <w:tcPr>
            <w:tcW w:w="1101" w:type="dxa"/>
          </w:tcPr>
          <w:p w:rsidR="00113E45" w:rsidRPr="00D51A68" w:rsidRDefault="008136B4" w:rsidP="00E60B53">
            <w:pPr>
              <w:spacing w:beforeLines="60" w:before="144" w:afterLines="60" w:after="144"/>
              <w:rPr>
                <w:rFonts w:ascii="Times New Roman" w:hAnsi="Times New Roman"/>
                <w:sz w:val="24"/>
              </w:rPr>
            </w:pPr>
            <w:r w:rsidRPr="00D51A68">
              <w:rPr>
                <w:rFonts w:ascii="Times New Roman" w:hAnsi="Times New Roman"/>
                <w:sz w:val="24"/>
              </w:rPr>
              <w:t>0150</w:t>
            </w:r>
          </w:p>
        </w:tc>
        <w:tc>
          <w:tcPr>
            <w:tcW w:w="8221" w:type="dxa"/>
          </w:tcPr>
          <w:p w:rsidR="00113E45" w:rsidRPr="00D51A68" w:rsidRDefault="00113E45" w:rsidP="00E60B53">
            <w:pPr>
              <w:spacing w:beforeLines="60" w:before="144" w:afterLines="60" w:after="144"/>
              <w:rPr>
                <w:rStyle w:val="InstructionsTabelleberschrift"/>
                <w:rFonts w:ascii="Times New Roman" w:hAnsi="Times New Roman"/>
                <w:sz w:val="24"/>
              </w:rPr>
            </w:pPr>
            <w:r w:rsidRPr="00D51A68">
              <w:rPr>
                <w:rStyle w:val="InstructionsTabelleberschrift"/>
                <w:rFonts w:ascii="Times New Roman" w:hAnsi="Times New Roman"/>
                <w:sz w:val="24"/>
              </w:rPr>
              <w:t>P&amp;L DEL GIORNO 1</w:t>
            </w:r>
          </w:p>
          <w:p w:rsidR="00113E45" w:rsidRPr="00D51A68" w:rsidRDefault="00113E45" w:rsidP="00E60B53">
            <w:pPr>
              <w:spacing w:beforeLines="60" w:before="144" w:afterLines="60" w:after="144"/>
              <w:rPr>
                <w:rStyle w:val="InstructionsTabelleberschrift"/>
                <w:rFonts w:ascii="Times New Roman" w:hAnsi="Times New Roman"/>
                <w:sz w:val="24"/>
              </w:rPr>
            </w:pPr>
            <w:r w:rsidRPr="00D51A68">
              <w:rPr>
                <w:rStyle w:val="InstructionsTabelleberschrift"/>
                <w:rFonts w:ascii="Times New Roman" w:hAnsi="Times New Roman"/>
                <w:b w:val="0"/>
                <w:sz w:val="24"/>
                <w:u w:val="none"/>
              </w:rPr>
              <w:t>Gli aggiustamenti quali definiti nella colonna 0260 del modello C 32.02 che sono stati applicati alle posizioni assegnate al modello nella colonna 0010.</w:t>
            </w:r>
          </w:p>
        </w:tc>
      </w:tr>
    </w:tbl>
    <w:p w:rsidR="00995A7F" w:rsidRPr="00D51A68" w:rsidRDefault="00995A7F" w:rsidP="00C61FF5">
      <w:pPr>
        <w:rPr>
          <w:rStyle w:val="InstructionsTabelleText"/>
          <w:rFonts w:ascii="Times New Roman" w:hAnsi="Times New Roman"/>
          <w:sz w:val="24"/>
        </w:rPr>
      </w:pPr>
    </w:p>
    <w:p w:rsidR="00B93FA1" w:rsidRPr="00D51A68" w:rsidRDefault="00113E45" w:rsidP="00B93FA1">
      <w:pPr>
        <w:pStyle w:val="Instructionsberschrift2"/>
        <w:numPr>
          <w:ilvl w:val="0"/>
          <w:numId w:val="0"/>
        </w:numPr>
        <w:ind w:left="357" w:hanging="357"/>
        <w:rPr>
          <w:rFonts w:ascii="Times New Roman" w:hAnsi="Times New Roman"/>
          <w:sz w:val="24"/>
          <w:u w:val="none"/>
        </w:rPr>
      </w:pPr>
      <w:bookmarkStart w:id="795" w:name="_Toc516210716"/>
      <w:bookmarkStart w:id="796" w:name="_Toc524096661"/>
      <w:r w:rsidRPr="00D51A68">
        <w:rPr>
          <w:rFonts w:ascii="Times New Roman" w:hAnsi="Times New Roman"/>
          <w:sz w:val="24"/>
          <w:u w:val="none"/>
        </w:rPr>
        <w:t>6.4</w:t>
      </w:r>
      <w:r w:rsidR="004B5E3A" w:rsidRPr="00D51A68">
        <w:rPr>
          <w:rFonts w:ascii="Times New Roman" w:hAnsi="Times New Roman"/>
          <w:sz w:val="24"/>
          <w:u w:val="none"/>
        </w:rPr>
        <w:tab/>
      </w:r>
      <w:r w:rsidR="004B5E3A" w:rsidRPr="00D51A68">
        <w:rPr>
          <w:rFonts w:ascii="Times New Roman" w:hAnsi="Times New Roman"/>
          <w:sz w:val="24"/>
          <w:u w:val="none"/>
        </w:rPr>
        <w:tab/>
      </w:r>
      <w:r w:rsidRPr="00D51A68">
        <w:rPr>
          <w:rFonts w:ascii="Times New Roman" w:hAnsi="Times New Roman"/>
          <w:sz w:val="24"/>
        </w:rPr>
        <w:t>C 32.04 - Valutazione prudente: AVA per le posizioni concentrate (PruVal 4)</w:t>
      </w:r>
      <w:bookmarkEnd w:id="795"/>
      <w:bookmarkEnd w:id="796"/>
    </w:p>
    <w:p w:rsidR="00B93FA1" w:rsidRPr="00D51A68" w:rsidRDefault="00B93FA1" w:rsidP="00B93FA1">
      <w:pPr>
        <w:pStyle w:val="Instructionsberschrift2"/>
        <w:numPr>
          <w:ilvl w:val="0"/>
          <w:numId w:val="0"/>
        </w:numPr>
        <w:ind w:left="357" w:hanging="357"/>
        <w:rPr>
          <w:rFonts w:ascii="Times New Roman" w:hAnsi="Times New Roman" w:cs="Times New Roman"/>
          <w:sz w:val="24"/>
          <w:u w:val="none"/>
        </w:rPr>
      </w:pPr>
      <w:bookmarkStart w:id="797" w:name="_Toc516210717"/>
      <w:bookmarkStart w:id="798" w:name="_Toc524096662"/>
      <w:r w:rsidRPr="00D51A68">
        <w:rPr>
          <w:rFonts w:ascii="Times New Roman" w:hAnsi="Times New Roman"/>
          <w:sz w:val="24"/>
          <w:u w:val="none"/>
        </w:rPr>
        <w:t>6.4.1.</w:t>
      </w:r>
      <w:r w:rsidR="00A0772B" w:rsidRPr="00D51A68">
        <w:rPr>
          <w:u w:val="none"/>
        </w:rPr>
        <w:tab/>
      </w:r>
      <w:r w:rsidRPr="00D51A68">
        <w:rPr>
          <w:rFonts w:ascii="Times New Roman" w:hAnsi="Times New Roman"/>
          <w:sz w:val="24"/>
        </w:rPr>
        <w:t>Osservazioni di carattere generale</w:t>
      </w:r>
      <w:bookmarkEnd w:id="797"/>
      <w:bookmarkEnd w:id="798"/>
      <w:r w:rsidRPr="00D51A68">
        <w:rPr>
          <w:rFonts w:ascii="Times New Roman" w:hAnsi="Times New Roman"/>
          <w:sz w:val="24"/>
          <w:u w:val="none"/>
        </w:rPr>
        <w:t xml:space="preserve"> </w:t>
      </w:r>
    </w:p>
    <w:p w:rsidR="00113E45" w:rsidRPr="00D51A68" w:rsidRDefault="00113E45" w:rsidP="00BE76FD">
      <w:pPr>
        <w:pStyle w:val="InstructionsText2"/>
        <w:numPr>
          <w:ilvl w:val="0"/>
          <w:numId w:val="0"/>
        </w:numPr>
        <w:ind w:left="993"/>
      </w:pPr>
      <w:r w:rsidRPr="00D51A68">
        <w:t>154duodecies. Questo modello è compilato solo dagli enti che superano la soglia di cui all</w:t>
      </w:r>
      <w:r w:rsidR="0009277C" w:rsidRPr="00D51A68">
        <w:t>’</w:t>
      </w:r>
      <w:r w:rsidRPr="00D51A68">
        <w:t>articolo 4, paragrafo 1, del regolamento delegato (UE) 2016/101 sulla valutazione prudente al loro livello. Gli enti appartenenti ad un gruppo che superano la soglia su base consolidata compilano questo modello solo quando superano la soglia anche al loro livello.</w:t>
      </w:r>
    </w:p>
    <w:p w:rsidR="00113E45" w:rsidRPr="00D51A68" w:rsidRDefault="00113E45" w:rsidP="00BE76FD">
      <w:pPr>
        <w:pStyle w:val="InstructionsText2"/>
        <w:numPr>
          <w:ilvl w:val="0"/>
          <w:numId w:val="0"/>
        </w:numPr>
        <w:ind w:left="993"/>
      </w:pPr>
      <w:r w:rsidRPr="00D51A68">
        <w:t>154terdecies. Questo modello è utilizzato per fornire i dettagli dei 20 principali singoli AVA per le posizioni concentrate in termini di importo dell</w:t>
      </w:r>
      <w:r w:rsidR="0009277C" w:rsidRPr="00D51A68">
        <w:t>’</w:t>
      </w:r>
      <w:r w:rsidRPr="00D51A68">
        <w:t>AVA che contribuisce all</w:t>
      </w:r>
      <w:r w:rsidR="0009277C" w:rsidRPr="00D51A68">
        <w:t>’</w:t>
      </w:r>
      <w:r w:rsidRPr="00D51A68">
        <w:t>AVA totale a livello di categoria per le posizioni concentrate computato a norma dell</w:t>
      </w:r>
      <w:r w:rsidR="0009277C" w:rsidRPr="00D51A68">
        <w:t>’</w:t>
      </w:r>
      <w:r w:rsidRPr="00D51A68">
        <w:t xml:space="preserve">articolo 14 del regolamento delegato (UE) 2016/101 sulla valutazione prudente. Queste informazioni corrispondono a quelle riportate nella colonna 0070 del modello C 32.02. </w:t>
      </w:r>
    </w:p>
    <w:p w:rsidR="00113E45" w:rsidRPr="00D51A68" w:rsidRDefault="00113E45" w:rsidP="00BE76FD">
      <w:pPr>
        <w:pStyle w:val="InstructionsText2"/>
        <w:numPr>
          <w:ilvl w:val="0"/>
          <w:numId w:val="0"/>
        </w:numPr>
        <w:ind w:left="993"/>
      </w:pPr>
      <w:r w:rsidRPr="00D51A68">
        <w:t>154quaterdecies. I 20 principali AVA per le posizioni concentrate, e le corrispondenti informazioni sul prodotto, sono indicati in ordine discendente partendo dal maggiore.</w:t>
      </w:r>
    </w:p>
    <w:p w:rsidR="00113E45" w:rsidRPr="00D51A68" w:rsidRDefault="00113E45" w:rsidP="00BE76FD">
      <w:pPr>
        <w:pStyle w:val="InstructionsText2"/>
        <w:numPr>
          <w:ilvl w:val="0"/>
          <w:numId w:val="0"/>
        </w:numPr>
        <w:ind w:left="993"/>
      </w:pPr>
      <w:r w:rsidRPr="00D51A68">
        <w:t>154quindecies. I prodotti corrispondenti a questi principali singoli AVA per le posizioni concentrate sono indicati utilizzando l</w:t>
      </w:r>
      <w:r w:rsidR="0009277C" w:rsidRPr="00D51A68">
        <w:t>’</w:t>
      </w:r>
      <w:r w:rsidRPr="00D51A68">
        <w:t>inventario dei prodotti previsto all</w:t>
      </w:r>
      <w:r w:rsidR="0009277C" w:rsidRPr="00D51A68">
        <w:t>’</w:t>
      </w:r>
      <w:r w:rsidRPr="00D51A68">
        <w:t>articolo 19, paragrafo 3, lettera a), del regolamento delegato (UE) 2016/101 sulla valutazione prudente</w:t>
      </w:r>
    </w:p>
    <w:p w:rsidR="00113E45" w:rsidRPr="00D51A68" w:rsidRDefault="00113E45" w:rsidP="00BE76FD">
      <w:pPr>
        <w:pStyle w:val="InstructionsText2"/>
        <w:numPr>
          <w:ilvl w:val="0"/>
          <w:numId w:val="0"/>
        </w:numPr>
        <w:ind w:left="993"/>
      </w:pPr>
      <w:r w:rsidRPr="00D51A68">
        <w:t>154sexdecies. Per massimizzare la copertura del modello, le posizioni che sono omogenee in termini di metodologia di calcolo degli AVA sono aggregate.</w:t>
      </w:r>
    </w:p>
    <w:p w:rsidR="00BE76FD" w:rsidRPr="00D51A68" w:rsidRDefault="00BE76FD" w:rsidP="00BE76FD">
      <w:pPr>
        <w:pStyle w:val="InstructionsText2"/>
        <w:numPr>
          <w:ilvl w:val="0"/>
          <w:numId w:val="0"/>
        </w:numPr>
        <w:ind w:left="993"/>
      </w:pPr>
    </w:p>
    <w:p w:rsidR="00B93FA1" w:rsidRPr="00D51A68" w:rsidRDefault="00B93FA1" w:rsidP="00B93FA1">
      <w:pPr>
        <w:pStyle w:val="Instructionsberschrift2"/>
        <w:numPr>
          <w:ilvl w:val="0"/>
          <w:numId w:val="0"/>
        </w:numPr>
        <w:ind w:left="357" w:hanging="357"/>
        <w:rPr>
          <w:rFonts w:ascii="Times New Roman" w:hAnsi="Times New Roman" w:cs="Times New Roman"/>
          <w:sz w:val="24"/>
          <w:u w:val="none"/>
        </w:rPr>
      </w:pPr>
      <w:bookmarkStart w:id="799" w:name="_Toc516210718"/>
      <w:bookmarkStart w:id="800" w:name="_Toc524096663"/>
      <w:r w:rsidRPr="00D51A68">
        <w:rPr>
          <w:rFonts w:ascii="Times New Roman" w:hAnsi="Times New Roman"/>
          <w:sz w:val="24"/>
          <w:u w:val="none"/>
        </w:rPr>
        <w:t>6.4.2.</w:t>
      </w:r>
      <w:r w:rsidR="00A0772B" w:rsidRPr="00D51A68">
        <w:rPr>
          <w:rFonts w:ascii="Times New Roman" w:hAnsi="Times New Roman"/>
          <w:sz w:val="24"/>
        </w:rPr>
        <w:tab/>
      </w:r>
      <w:r w:rsidRPr="00D51A68">
        <w:rPr>
          <w:rFonts w:ascii="Times New Roman" w:hAnsi="Times New Roman"/>
          <w:sz w:val="24"/>
        </w:rPr>
        <w:t>Istruzioni relative a posizioni specifiche</w:t>
      </w:r>
      <w:bookmarkEnd w:id="799"/>
      <w:bookmarkEnd w:id="80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113E45" w:rsidRPr="00D51A68" w:rsidTr="00672D2A">
        <w:tc>
          <w:tcPr>
            <w:tcW w:w="8856" w:type="dxa"/>
            <w:gridSpan w:val="2"/>
            <w:shd w:val="clear" w:color="auto" w:fill="CCCCCC"/>
          </w:tcPr>
          <w:p w:rsidR="00113E45" w:rsidRPr="00D51A68" w:rsidRDefault="00113E45" w:rsidP="00E60B53">
            <w:pPr>
              <w:spacing w:beforeLines="60" w:before="144" w:afterLines="60" w:after="144"/>
              <w:rPr>
                <w:rFonts w:ascii="Times New Roman" w:hAnsi="Times New Roman"/>
                <w:b/>
                <w:sz w:val="24"/>
              </w:rPr>
            </w:pPr>
            <w:r w:rsidRPr="00D51A68">
              <w:rPr>
                <w:rFonts w:ascii="Times New Roman" w:hAnsi="Times New Roman"/>
                <w:b/>
                <w:sz w:val="24"/>
              </w:rPr>
              <w:t>Colonne</w:t>
            </w:r>
          </w:p>
        </w:tc>
      </w:tr>
      <w:tr w:rsidR="00113E45" w:rsidRPr="00D51A68" w:rsidTr="00672D2A">
        <w:tc>
          <w:tcPr>
            <w:tcW w:w="852" w:type="dxa"/>
          </w:tcPr>
          <w:p w:rsidR="00113E45" w:rsidRPr="00D51A68" w:rsidRDefault="0022597E" w:rsidP="00E60B53">
            <w:pPr>
              <w:spacing w:beforeLines="60" w:before="144" w:afterLines="60" w:after="144"/>
              <w:rPr>
                <w:rFonts w:ascii="Times New Roman" w:hAnsi="Times New Roman"/>
                <w:sz w:val="24"/>
              </w:rPr>
            </w:pPr>
            <w:r w:rsidRPr="00D51A68">
              <w:rPr>
                <w:rFonts w:ascii="Times New Roman" w:hAnsi="Times New Roman"/>
                <w:sz w:val="24"/>
              </w:rPr>
              <w:t>0005</w:t>
            </w:r>
          </w:p>
        </w:tc>
        <w:tc>
          <w:tcPr>
            <w:tcW w:w="8004" w:type="dxa"/>
          </w:tcPr>
          <w:p w:rsidR="00113E45" w:rsidRPr="00D51A68" w:rsidRDefault="00113E45" w:rsidP="00E60B53">
            <w:pPr>
              <w:spacing w:beforeLines="60" w:before="144" w:afterLines="60" w:after="144"/>
              <w:rPr>
                <w:rFonts w:ascii="Times New Roman" w:hAnsi="Times New Roman"/>
                <w:b/>
                <w:sz w:val="24"/>
                <w:u w:val="single"/>
              </w:rPr>
            </w:pPr>
            <w:r w:rsidRPr="00D51A68">
              <w:rPr>
                <w:rFonts w:ascii="Times New Roman" w:hAnsi="Times New Roman"/>
                <w:b/>
                <w:sz w:val="24"/>
                <w:u w:val="single"/>
              </w:rPr>
              <w:t>RANK</w:t>
            </w:r>
          </w:p>
          <w:p w:rsidR="00113E45" w:rsidRPr="00D51A68" w:rsidDel="003016B5" w:rsidRDefault="00113E45" w:rsidP="00E60B53">
            <w:pPr>
              <w:spacing w:beforeLines="60" w:before="144" w:afterLines="60" w:after="144"/>
              <w:rPr>
                <w:rFonts w:ascii="Times New Roman" w:hAnsi="Times New Roman"/>
                <w:b/>
                <w:sz w:val="24"/>
                <w:u w:val="single"/>
              </w:rPr>
            </w:pPr>
            <w:r w:rsidRPr="00D51A68">
              <w:rPr>
                <w:rFonts w:ascii="Times New Roman" w:hAnsi="Times New Roman"/>
                <w:sz w:val="24"/>
              </w:rPr>
              <w:t>Il rank è un identificatore di riga ed è unico per ciascuna riga della tabella. Segue l</w:t>
            </w:r>
            <w:r w:rsidR="0009277C" w:rsidRPr="00D51A68">
              <w:rPr>
                <w:rFonts w:ascii="Times New Roman" w:hAnsi="Times New Roman"/>
                <w:sz w:val="24"/>
              </w:rPr>
              <w:t>’</w:t>
            </w:r>
            <w:r w:rsidRPr="00D51A68">
              <w:rPr>
                <w:rFonts w:ascii="Times New Roman" w:hAnsi="Times New Roman"/>
                <w:sz w:val="24"/>
              </w:rPr>
              <w:t>ordine numerico 1, 2, 3, ecc.; 1 è assegnato al maggiore AVA per le posizioni concentrate, 2 al secondo maggiore, ecc.</w:t>
            </w:r>
          </w:p>
        </w:tc>
      </w:tr>
      <w:tr w:rsidR="00113E45" w:rsidRPr="00D51A68" w:rsidTr="00672D2A">
        <w:tc>
          <w:tcPr>
            <w:tcW w:w="852" w:type="dxa"/>
          </w:tcPr>
          <w:p w:rsidR="00113E45" w:rsidRPr="00D51A68" w:rsidRDefault="0022597E" w:rsidP="00E60B53">
            <w:pPr>
              <w:spacing w:beforeLines="60" w:before="144" w:afterLines="60" w:after="144"/>
              <w:rPr>
                <w:rFonts w:ascii="Times New Roman" w:hAnsi="Times New Roman"/>
                <w:sz w:val="24"/>
              </w:rPr>
            </w:pPr>
            <w:r w:rsidRPr="00D51A68">
              <w:rPr>
                <w:rFonts w:ascii="Times New Roman" w:hAnsi="Times New Roman"/>
                <w:sz w:val="24"/>
              </w:rPr>
              <w:t>0010</w:t>
            </w:r>
          </w:p>
        </w:tc>
        <w:tc>
          <w:tcPr>
            <w:tcW w:w="8004" w:type="dxa"/>
          </w:tcPr>
          <w:p w:rsidR="00113E45" w:rsidRPr="00D51A68" w:rsidRDefault="00113E45" w:rsidP="00E60B53">
            <w:pPr>
              <w:spacing w:beforeLines="60" w:before="144" w:afterLines="60" w:after="144"/>
              <w:rPr>
                <w:rFonts w:ascii="Times New Roman" w:hAnsi="Times New Roman"/>
                <w:b/>
                <w:sz w:val="24"/>
                <w:u w:val="single"/>
              </w:rPr>
            </w:pPr>
            <w:r w:rsidRPr="00D51A68">
              <w:rPr>
                <w:rFonts w:ascii="Times New Roman" w:hAnsi="Times New Roman"/>
                <w:b/>
                <w:sz w:val="24"/>
                <w:u w:val="single"/>
              </w:rPr>
              <w:t>CATEGORIA DI RISCHIO</w:t>
            </w:r>
          </w:p>
          <w:p w:rsidR="00113E45" w:rsidRPr="00D51A68" w:rsidRDefault="00113E45" w:rsidP="00E60B53">
            <w:pPr>
              <w:spacing w:beforeLines="60" w:before="144" w:afterLines="60" w:after="144"/>
              <w:rPr>
                <w:rFonts w:ascii="Times New Roman" w:hAnsi="Times New Roman"/>
                <w:sz w:val="24"/>
              </w:rPr>
            </w:pPr>
            <w:r w:rsidRPr="00D51A68">
              <w:rPr>
                <w:rFonts w:ascii="Times New Roman" w:hAnsi="Times New Roman"/>
                <w:sz w:val="24"/>
              </w:rPr>
              <w:t>La categoria di rischio (tassi di interesse, FX, credito, strumenti di capitale, merci) che caratterizza più adeguatamente la posizione.</w:t>
            </w:r>
          </w:p>
          <w:p w:rsidR="00113E45" w:rsidRPr="00D51A68" w:rsidRDefault="00113E45" w:rsidP="00E60B53">
            <w:pPr>
              <w:spacing w:beforeLines="60" w:before="144" w:afterLines="60" w:after="144"/>
              <w:rPr>
                <w:rFonts w:ascii="Times New Roman" w:hAnsi="Times New Roman"/>
                <w:sz w:val="24"/>
              </w:rPr>
            </w:pPr>
            <w:r w:rsidRPr="00D51A68">
              <w:rPr>
                <w:rFonts w:ascii="Times New Roman" w:hAnsi="Times New Roman"/>
                <w:sz w:val="24"/>
              </w:rPr>
              <w:t>Gli enti utilizzano i seguenti codici:</w:t>
            </w:r>
          </w:p>
          <w:p w:rsidR="00113E45" w:rsidRPr="00D51A68" w:rsidRDefault="00113E45" w:rsidP="00E60B53">
            <w:pPr>
              <w:spacing w:beforeLines="60" w:before="144" w:afterLines="60" w:after="144"/>
              <w:rPr>
                <w:rFonts w:ascii="Times New Roman" w:hAnsi="Times New Roman"/>
                <w:sz w:val="24"/>
              </w:rPr>
            </w:pPr>
            <w:r w:rsidRPr="00D51A68">
              <w:rPr>
                <w:rFonts w:ascii="Times New Roman" w:hAnsi="Times New Roman"/>
                <w:sz w:val="24"/>
              </w:rPr>
              <w:t>IR – tassi di interesse (interest rates)</w:t>
            </w:r>
          </w:p>
          <w:p w:rsidR="0022597E" w:rsidRPr="00D51A68" w:rsidRDefault="0022597E" w:rsidP="00E60B53">
            <w:pPr>
              <w:spacing w:beforeLines="60" w:before="144" w:afterLines="60" w:after="144"/>
              <w:rPr>
                <w:rFonts w:ascii="Times New Roman" w:hAnsi="Times New Roman"/>
                <w:sz w:val="24"/>
              </w:rPr>
            </w:pPr>
            <w:r w:rsidRPr="00D51A68">
              <w:rPr>
                <w:rFonts w:ascii="Times New Roman" w:hAnsi="Times New Roman"/>
                <w:sz w:val="24"/>
              </w:rPr>
              <w:t>FX – cambio (foreign exchange)</w:t>
            </w:r>
          </w:p>
          <w:p w:rsidR="00113E45" w:rsidRPr="00D51A68" w:rsidRDefault="00113E45" w:rsidP="00E60B53">
            <w:pPr>
              <w:spacing w:beforeLines="60" w:before="144" w:afterLines="60" w:after="144"/>
              <w:rPr>
                <w:rFonts w:ascii="Times New Roman" w:hAnsi="Times New Roman"/>
                <w:sz w:val="24"/>
              </w:rPr>
            </w:pPr>
            <w:r w:rsidRPr="00D51A68">
              <w:rPr>
                <w:rFonts w:ascii="Times New Roman" w:hAnsi="Times New Roman"/>
                <w:sz w:val="24"/>
              </w:rPr>
              <w:t>CR – credito (credit)</w:t>
            </w:r>
          </w:p>
          <w:p w:rsidR="00113E45" w:rsidRPr="00D51A68" w:rsidRDefault="00113E45" w:rsidP="00E60B53">
            <w:pPr>
              <w:spacing w:beforeLines="60" w:before="144" w:afterLines="60" w:after="144"/>
              <w:rPr>
                <w:rFonts w:ascii="Times New Roman" w:hAnsi="Times New Roman"/>
                <w:sz w:val="24"/>
              </w:rPr>
            </w:pPr>
            <w:r w:rsidRPr="00D51A68">
              <w:rPr>
                <w:rFonts w:ascii="Times New Roman" w:hAnsi="Times New Roman"/>
                <w:sz w:val="24"/>
              </w:rPr>
              <w:t>EQ – strumenti di capitale (equities)</w:t>
            </w:r>
          </w:p>
          <w:p w:rsidR="00113E45" w:rsidRPr="00D51A68" w:rsidRDefault="00113E45" w:rsidP="0022597E">
            <w:pPr>
              <w:spacing w:beforeLines="60" w:before="144" w:afterLines="60" w:after="144"/>
              <w:rPr>
                <w:rFonts w:ascii="Times New Roman" w:hAnsi="Times New Roman"/>
                <w:sz w:val="24"/>
              </w:rPr>
            </w:pPr>
            <w:r w:rsidRPr="00D51A68">
              <w:rPr>
                <w:rFonts w:ascii="Times New Roman" w:hAnsi="Times New Roman"/>
                <w:sz w:val="24"/>
              </w:rPr>
              <w:t>CO – merci (commodities)</w:t>
            </w:r>
          </w:p>
        </w:tc>
      </w:tr>
      <w:tr w:rsidR="00113E45" w:rsidRPr="00D51A68" w:rsidTr="00672D2A">
        <w:tc>
          <w:tcPr>
            <w:tcW w:w="852" w:type="dxa"/>
          </w:tcPr>
          <w:p w:rsidR="00113E45" w:rsidRPr="00D51A68" w:rsidRDefault="0022597E" w:rsidP="00E60B53">
            <w:pPr>
              <w:spacing w:beforeLines="60" w:before="144" w:afterLines="60" w:after="144"/>
              <w:rPr>
                <w:rFonts w:ascii="Times New Roman" w:hAnsi="Times New Roman"/>
                <w:sz w:val="24"/>
              </w:rPr>
            </w:pPr>
            <w:r w:rsidRPr="00D51A68">
              <w:rPr>
                <w:rFonts w:ascii="Times New Roman" w:hAnsi="Times New Roman"/>
                <w:sz w:val="24"/>
              </w:rPr>
              <w:t>0020</w:t>
            </w:r>
          </w:p>
        </w:tc>
        <w:tc>
          <w:tcPr>
            <w:tcW w:w="8004" w:type="dxa"/>
          </w:tcPr>
          <w:p w:rsidR="00113E45" w:rsidRPr="00D51A68" w:rsidRDefault="00113E45" w:rsidP="00E60B53">
            <w:pPr>
              <w:spacing w:beforeLines="60" w:before="144" w:afterLines="60" w:after="144"/>
              <w:rPr>
                <w:rFonts w:ascii="Times New Roman" w:hAnsi="Times New Roman"/>
                <w:b/>
                <w:sz w:val="24"/>
                <w:u w:val="single"/>
              </w:rPr>
            </w:pPr>
            <w:r w:rsidRPr="00D51A68">
              <w:rPr>
                <w:rFonts w:ascii="Times New Roman" w:hAnsi="Times New Roman"/>
                <w:b/>
                <w:sz w:val="24"/>
                <w:u w:val="single"/>
              </w:rPr>
              <w:t xml:space="preserve">PRODOTTO </w:t>
            </w:r>
          </w:p>
          <w:p w:rsidR="00113E45" w:rsidRPr="00D51A68" w:rsidRDefault="00113E45" w:rsidP="00DC09EA">
            <w:pPr>
              <w:spacing w:beforeLines="60" w:before="144" w:afterLines="60" w:after="144"/>
              <w:rPr>
                <w:rFonts w:ascii="Times New Roman" w:hAnsi="Times New Roman"/>
                <w:sz w:val="24"/>
              </w:rPr>
            </w:pPr>
            <w:r w:rsidRPr="00D51A68">
              <w:rPr>
                <w:rFonts w:ascii="Times New Roman" w:hAnsi="Times New Roman"/>
                <w:sz w:val="24"/>
              </w:rPr>
              <w:t>Il nome interno (alfanumerico) per il prodotto o il gruppo di prodotti, in linea con l</w:t>
            </w:r>
            <w:r w:rsidR="0009277C" w:rsidRPr="00D51A68">
              <w:rPr>
                <w:rFonts w:ascii="Times New Roman" w:hAnsi="Times New Roman"/>
                <w:sz w:val="24"/>
              </w:rPr>
              <w:t>’</w:t>
            </w:r>
            <w:r w:rsidRPr="00D51A68">
              <w:rPr>
                <w:rFonts w:ascii="Times New Roman" w:hAnsi="Times New Roman"/>
                <w:sz w:val="24"/>
              </w:rPr>
              <w:t>inventario dei prodotti previsto all</w:t>
            </w:r>
            <w:r w:rsidR="0009277C" w:rsidRPr="00D51A68">
              <w:rPr>
                <w:rFonts w:ascii="Times New Roman" w:hAnsi="Times New Roman"/>
                <w:sz w:val="24"/>
              </w:rPr>
              <w:t>’</w:t>
            </w:r>
            <w:r w:rsidRPr="00D51A68">
              <w:rPr>
                <w:rFonts w:ascii="Times New Roman" w:hAnsi="Times New Roman"/>
                <w:sz w:val="24"/>
              </w:rPr>
              <w:t>articolo 19, paragrafo 3, lettera a), del regolamento delegato (UE) 2016/101 sulla valutazione prudente.</w:t>
            </w:r>
          </w:p>
        </w:tc>
      </w:tr>
      <w:tr w:rsidR="00113E45" w:rsidRPr="00D51A68" w:rsidTr="00672D2A">
        <w:tc>
          <w:tcPr>
            <w:tcW w:w="852" w:type="dxa"/>
          </w:tcPr>
          <w:p w:rsidR="00113E45" w:rsidRPr="00D51A68" w:rsidRDefault="0022597E" w:rsidP="00E60B53">
            <w:pPr>
              <w:spacing w:beforeLines="60" w:before="144" w:afterLines="60" w:after="144"/>
              <w:rPr>
                <w:rFonts w:ascii="Times New Roman" w:hAnsi="Times New Roman"/>
                <w:sz w:val="24"/>
              </w:rPr>
            </w:pPr>
            <w:r w:rsidRPr="00D51A68">
              <w:rPr>
                <w:rFonts w:ascii="Times New Roman" w:hAnsi="Times New Roman"/>
                <w:sz w:val="24"/>
              </w:rPr>
              <w:t>0030</w:t>
            </w:r>
          </w:p>
        </w:tc>
        <w:tc>
          <w:tcPr>
            <w:tcW w:w="8004" w:type="dxa"/>
          </w:tcPr>
          <w:p w:rsidR="00113E45" w:rsidRPr="00D51A68" w:rsidRDefault="00113E45" w:rsidP="00E60B53">
            <w:pPr>
              <w:spacing w:beforeLines="60" w:before="144" w:afterLines="60" w:after="144"/>
              <w:rPr>
                <w:rFonts w:ascii="Times New Roman" w:hAnsi="Times New Roman"/>
                <w:b/>
                <w:sz w:val="24"/>
                <w:u w:val="single"/>
              </w:rPr>
            </w:pPr>
            <w:r w:rsidRPr="00D51A68">
              <w:rPr>
                <w:rFonts w:ascii="Times New Roman" w:hAnsi="Times New Roman"/>
                <w:b/>
                <w:sz w:val="24"/>
                <w:u w:val="single"/>
              </w:rPr>
              <w:t>SOTTOSTANTE</w:t>
            </w:r>
          </w:p>
          <w:p w:rsidR="00113E45" w:rsidRPr="00D51A68" w:rsidRDefault="00113E45" w:rsidP="00E60B53">
            <w:pPr>
              <w:spacing w:beforeLines="60" w:before="144" w:afterLines="60" w:after="144"/>
              <w:rPr>
                <w:rFonts w:ascii="Times New Roman" w:hAnsi="Times New Roman"/>
                <w:sz w:val="24"/>
              </w:rPr>
            </w:pPr>
            <w:r w:rsidRPr="00D51A68">
              <w:rPr>
                <w:rFonts w:ascii="Times New Roman" w:hAnsi="Times New Roman"/>
                <w:sz w:val="24"/>
              </w:rPr>
              <w:t>Il nome interno del sottostante o dei sottostanti, nel caso di derivati, o degli strumenti, qualora non si tratti di derivati.</w:t>
            </w:r>
          </w:p>
        </w:tc>
      </w:tr>
      <w:tr w:rsidR="00113E45" w:rsidRPr="00D51A68" w:rsidTr="00672D2A">
        <w:tc>
          <w:tcPr>
            <w:tcW w:w="852" w:type="dxa"/>
          </w:tcPr>
          <w:p w:rsidR="00113E45" w:rsidRPr="00D51A68" w:rsidRDefault="0022597E" w:rsidP="00E60B53">
            <w:pPr>
              <w:spacing w:beforeLines="60" w:before="144" w:afterLines="60" w:after="144"/>
              <w:rPr>
                <w:rFonts w:ascii="Times New Roman" w:hAnsi="Times New Roman"/>
                <w:sz w:val="24"/>
              </w:rPr>
            </w:pPr>
            <w:r w:rsidRPr="00D51A68">
              <w:rPr>
                <w:rFonts w:ascii="Times New Roman" w:hAnsi="Times New Roman"/>
                <w:sz w:val="24"/>
              </w:rPr>
              <w:t>0040</w:t>
            </w:r>
          </w:p>
        </w:tc>
        <w:tc>
          <w:tcPr>
            <w:tcW w:w="8004" w:type="dxa"/>
          </w:tcPr>
          <w:p w:rsidR="00113E45" w:rsidRPr="00D51A68" w:rsidRDefault="00113E45" w:rsidP="00E60B53">
            <w:pPr>
              <w:spacing w:beforeLines="60" w:before="144" w:afterLines="60" w:after="144"/>
              <w:rPr>
                <w:rFonts w:ascii="Times New Roman" w:hAnsi="Times New Roman"/>
                <w:b/>
                <w:sz w:val="24"/>
                <w:u w:val="single"/>
              </w:rPr>
            </w:pPr>
            <w:r w:rsidRPr="00D51A68">
              <w:rPr>
                <w:rFonts w:ascii="Times New Roman" w:hAnsi="Times New Roman"/>
                <w:b/>
                <w:sz w:val="24"/>
                <w:u w:val="single"/>
              </w:rPr>
              <w:t>DIMENSIONE DELLE POSIZIONI CONCENTRATE</w:t>
            </w:r>
          </w:p>
          <w:p w:rsidR="00113E45" w:rsidRPr="00D51A68" w:rsidRDefault="00113E45" w:rsidP="00DC09EA">
            <w:pPr>
              <w:spacing w:beforeLines="60" w:before="144" w:afterLines="60" w:after="144"/>
              <w:rPr>
                <w:rStyle w:val="InstructionsTabelleberschrift"/>
                <w:rFonts w:ascii="Times New Roman" w:hAnsi="Times New Roman"/>
                <w:sz w:val="24"/>
              </w:rPr>
            </w:pPr>
            <w:r w:rsidRPr="00D51A68">
              <w:rPr>
                <w:rFonts w:ascii="Times New Roman" w:hAnsi="Times New Roman"/>
                <w:sz w:val="24"/>
              </w:rPr>
              <w:t>Dimensione della singola posizione oggetto di valutazione concentrata individuata a norma dell</w:t>
            </w:r>
            <w:r w:rsidR="0009277C" w:rsidRPr="00D51A68">
              <w:rPr>
                <w:rFonts w:ascii="Times New Roman" w:hAnsi="Times New Roman"/>
                <w:sz w:val="24"/>
              </w:rPr>
              <w:t>’</w:t>
            </w:r>
            <w:r w:rsidRPr="00D51A68">
              <w:rPr>
                <w:rFonts w:ascii="Times New Roman" w:hAnsi="Times New Roman"/>
                <w:sz w:val="24"/>
              </w:rPr>
              <w:t>articolo 14, paragrafo 1, lettera a), del regolamento delegato (UE) 2016/101 sulla valutazione prudente, espressa nell</w:t>
            </w:r>
            <w:r w:rsidR="0009277C" w:rsidRPr="00D51A68">
              <w:rPr>
                <w:rFonts w:ascii="Times New Roman" w:hAnsi="Times New Roman"/>
                <w:sz w:val="24"/>
              </w:rPr>
              <w:t>’</w:t>
            </w:r>
            <w:r w:rsidRPr="00D51A68">
              <w:rPr>
                <w:rFonts w:ascii="Times New Roman" w:hAnsi="Times New Roman"/>
                <w:sz w:val="24"/>
              </w:rPr>
              <w:t xml:space="preserve">unità descritta nella colonna 0050. </w:t>
            </w:r>
          </w:p>
        </w:tc>
      </w:tr>
      <w:tr w:rsidR="00113E45" w:rsidRPr="00D51A68" w:rsidTr="00672D2A">
        <w:tc>
          <w:tcPr>
            <w:tcW w:w="852" w:type="dxa"/>
          </w:tcPr>
          <w:p w:rsidR="00113E45" w:rsidRPr="00D51A68" w:rsidRDefault="0022597E" w:rsidP="00E60B53">
            <w:pPr>
              <w:spacing w:beforeLines="60" w:before="144" w:afterLines="60" w:after="144"/>
              <w:rPr>
                <w:rFonts w:ascii="Times New Roman" w:hAnsi="Times New Roman"/>
                <w:sz w:val="24"/>
              </w:rPr>
            </w:pPr>
            <w:r w:rsidRPr="00D51A68">
              <w:rPr>
                <w:rFonts w:ascii="Times New Roman" w:hAnsi="Times New Roman"/>
                <w:sz w:val="24"/>
              </w:rPr>
              <w:t>0050</w:t>
            </w:r>
          </w:p>
        </w:tc>
        <w:tc>
          <w:tcPr>
            <w:tcW w:w="8004" w:type="dxa"/>
          </w:tcPr>
          <w:p w:rsidR="00113E45" w:rsidRPr="00D51A68" w:rsidRDefault="00113E45" w:rsidP="00E60B53">
            <w:pPr>
              <w:spacing w:beforeLines="60" w:before="144" w:afterLines="60" w:after="144"/>
              <w:rPr>
                <w:rFonts w:ascii="Times New Roman" w:hAnsi="Times New Roman"/>
                <w:b/>
                <w:sz w:val="24"/>
                <w:u w:val="single"/>
              </w:rPr>
            </w:pPr>
            <w:r w:rsidRPr="00D51A68">
              <w:rPr>
                <w:rFonts w:ascii="Times New Roman" w:hAnsi="Times New Roman"/>
                <w:b/>
                <w:sz w:val="24"/>
                <w:u w:val="single"/>
              </w:rPr>
              <w:t>MISURA DELLA DIMENSIONE</w:t>
            </w:r>
          </w:p>
          <w:p w:rsidR="00113E45" w:rsidRPr="00D51A68" w:rsidRDefault="00113E45" w:rsidP="00E60B53">
            <w:pPr>
              <w:spacing w:beforeLines="60" w:before="144" w:afterLines="60" w:after="144"/>
              <w:rPr>
                <w:rFonts w:ascii="Times New Roman" w:hAnsi="Times New Roman"/>
                <w:sz w:val="24"/>
              </w:rPr>
            </w:pPr>
            <w:r w:rsidRPr="00D51A68">
              <w:rPr>
                <w:rFonts w:ascii="Times New Roman" w:hAnsi="Times New Roman"/>
                <w:sz w:val="24"/>
              </w:rPr>
              <w:t>Unità di misura della dimensione utilizzata internamente nel quadro dell</w:t>
            </w:r>
            <w:r w:rsidR="0009277C" w:rsidRPr="00D51A68">
              <w:rPr>
                <w:rFonts w:ascii="Times New Roman" w:hAnsi="Times New Roman"/>
                <w:sz w:val="24"/>
              </w:rPr>
              <w:t>’</w:t>
            </w:r>
            <w:r w:rsidRPr="00D51A68">
              <w:rPr>
                <w:rFonts w:ascii="Times New Roman" w:hAnsi="Times New Roman"/>
                <w:sz w:val="24"/>
              </w:rPr>
              <w:t xml:space="preserve">identificazione della posizione oggetto di valutazione concentrata per computare la dimensione della posizione concentrata di cui alla colonna 0040. </w:t>
            </w:r>
          </w:p>
          <w:p w:rsidR="00113E45" w:rsidRPr="00D51A68" w:rsidRDefault="00113E45" w:rsidP="00E60B53">
            <w:pPr>
              <w:spacing w:beforeLines="60" w:before="144" w:afterLines="60" w:after="144"/>
              <w:rPr>
                <w:rStyle w:val="InstructionsTabelleberschrift"/>
                <w:rFonts w:ascii="Times New Roman" w:hAnsi="Times New Roman"/>
                <w:b w:val="0"/>
                <w:bCs w:val="0"/>
                <w:sz w:val="24"/>
                <w:u w:val="none"/>
              </w:rPr>
            </w:pPr>
            <w:r w:rsidRPr="00D51A68">
              <w:rPr>
                <w:rStyle w:val="InstructionsTabelleberschrift"/>
                <w:rFonts w:ascii="Times New Roman" w:hAnsi="Times New Roman"/>
                <w:b w:val="0"/>
                <w:sz w:val="24"/>
                <w:u w:val="none"/>
              </w:rPr>
              <w:t>In caso di posizioni in obbligazioni o strumenti di capitale, indicare l</w:t>
            </w:r>
            <w:r w:rsidR="0009277C" w:rsidRPr="00D51A68">
              <w:rPr>
                <w:rStyle w:val="InstructionsTabelleberschrift"/>
                <w:rFonts w:ascii="Times New Roman" w:hAnsi="Times New Roman"/>
                <w:b w:val="0"/>
                <w:sz w:val="24"/>
                <w:u w:val="none"/>
              </w:rPr>
              <w:t>’</w:t>
            </w:r>
            <w:r w:rsidRPr="00D51A68">
              <w:rPr>
                <w:rStyle w:val="InstructionsTabelleberschrift"/>
                <w:rFonts w:ascii="Times New Roman" w:hAnsi="Times New Roman"/>
                <w:b w:val="0"/>
                <w:sz w:val="24"/>
                <w:u w:val="none"/>
              </w:rPr>
              <w:t xml:space="preserve">unità utilizzata per la gestione interna del rischio, ad esempio </w:t>
            </w:r>
            <w:r w:rsidR="0009277C" w:rsidRPr="00D51A68">
              <w:rPr>
                <w:rStyle w:val="InstructionsTabelleberschrift"/>
                <w:rFonts w:ascii="Times New Roman" w:hAnsi="Times New Roman"/>
                <w:b w:val="0"/>
                <w:sz w:val="24"/>
                <w:u w:val="none"/>
              </w:rPr>
              <w:t>“</w:t>
            </w:r>
            <w:r w:rsidRPr="00D51A68">
              <w:rPr>
                <w:rStyle w:val="InstructionsTabelleberschrift"/>
                <w:rFonts w:ascii="Times New Roman" w:hAnsi="Times New Roman"/>
                <w:b w:val="0"/>
                <w:sz w:val="24"/>
                <w:u w:val="none"/>
              </w:rPr>
              <w:t>numero di obbligazioni</w:t>
            </w:r>
            <w:r w:rsidR="0009277C" w:rsidRPr="00D51A68">
              <w:rPr>
                <w:rStyle w:val="InstructionsTabelleberschrift"/>
                <w:rFonts w:ascii="Times New Roman" w:hAnsi="Times New Roman"/>
                <w:b w:val="0"/>
                <w:sz w:val="24"/>
                <w:u w:val="none"/>
              </w:rPr>
              <w:t>”</w:t>
            </w:r>
            <w:r w:rsidRPr="00D51A68">
              <w:rPr>
                <w:rStyle w:val="InstructionsTabelleberschrift"/>
                <w:rFonts w:ascii="Times New Roman" w:hAnsi="Times New Roman"/>
                <w:b w:val="0"/>
                <w:sz w:val="24"/>
                <w:u w:val="none"/>
              </w:rPr>
              <w:t xml:space="preserve">, </w:t>
            </w:r>
            <w:r w:rsidR="0009277C" w:rsidRPr="00D51A68">
              <w:rPr>
                <w:rStyle w:val="InstructionsTabelleberschrift"/>
                <w:rFonts w:ascii="Times New Roman" w:hAnsi="Times New Roman"/>
                <w:b w:val="0"/>
                <w:sz w:val="24"/>
                <w:u w:val="none"/>
              </w:rPr>
              <w:t>“</w:t>
            </w:r>
            <w:r w:rsidRPr="00D51A68">
              <w:rPr>
                <w:rStyle w:val="InstructionsTabelleberschrift"/>
                <w:rFonts w:ascii="Times New Roman" w:hAnsi="Times New Roman"/>
                <w:b w:val="0"/>
                <w:sz w:val="24"/>
                <w:u w:val="none"/>
              </w:rPr>
              <w:t>numero di azioni</w:t>
            </w:r>
            <w:r w:rsidR="0009277C" w:rsidRPr="00D51A68">
              <w:rPr>
                <w:rStyle w:val="InstructionsTabelleberschrift"/>
                <w:rFonts w:ascii="Times New Roman" w:hAnsi="Times New Roman"/>
                <w:b w:val="0"/>
                <w:sz w:val="24"/>
                <w:u w:val="none"/>
              </w:rPr>
              <w:t>”</w:t>
            </w:r>
            <w:r w:rsidRPr="00D51A68">
              <w:rPr>
                <w:rStyle w:val="InstructionsTabelleberschrift"/>
                <w:rFonts w:ascii="Times New Roman" w:hAnsi="Times New Roman"/>
                <w:b w:val="0"/>
                <w:sz w:val="24"/>
                <w:u w:val="none"/>
              </w:rPr>
              <w:t xml:space="preserve"> o </w:t>
            </w:r>
            <w:r w:rsidR="0009277C" w:rsidRPr="00D51A68">
              <w:rPr>
                <w:rStyle w:val="InstructionsTabelleberschrift"/>
                <w:rFonts w:ascii="Times New Roman" w:hAnsi="Times New Roman"/>
                <w:b w:val="0"/>
                <w:sz w:val="24"/>
                <w:u w:val="none"/>
              </w:rPr>
              <w:t>“</w:t>
            </w:r>
            <w:r w:rsidRPr="00D51A68">
              <w:rPr>
                <w:rStyle w:val="InstructionsTabelleberschrift"/>
                <w:rFonts w:ascii="Times New Roman" w:hAnsi="Times New Roman"/>
                <w:b w:val="0"/>
                <w:sz w:val="24"/>
                <w:u w:val="none"/>
              </w:rPr>
              <w:t>valore di mercato</w:t>
            </w:r>
            <w:r w:rsidR="0009277C" w:rsidRPr="00D51A68">
              <w:rPr>
                <w:rStyle w:val="InstructionsTabelleberschrift"/>
                <w:rFonts w:ascii="Times New Roman" w:hAnsi="Times New Roman"/>
                <w:b w:val="0"/>
                <w:sz w:val="24"/>
                <w:u w:val="none"/>
              </w:rPr>
              <w:t>”</w:t>
            </w:r>
            <w:r w:rsidRPr="00D51A68">
              <w:rPr>
                <w:rStyle w:val="InstructionsTabelleberschrift"/>
                <w:rFonts w:ascii="Times New Roman" w:hAnsi="Times New Roman"/>
                <w:b w:val="0"/>
                <w:sz w:val="24"/>
                <w:u w:val="none"/>
              </w:rPr>
              <w:t xml:space="preserve">. </w:t>
            </w:r>
          </w:p>
          <w:p w:rsidR="00113E45" w:rsidRPr="00D51A68" w:rsidRDefault="00113E45" w:rsidP="00E60B53">
            <w:pPr>
              <w:spacing w:beforeLines="60" w:before="144" w:afterLines="60" w:after="144"/>
              <w:rPr>
                <w:rStyle w:val="InstructionsTabelleberschrift"/>
                <w:rFonts w:ascii="Times New Roman" w:hAnsi="Times New Roman"/>
                <w:b w:val="0"/>
                <w:bCs w:val="0"/>
                <w:sz w:val="24"/>
                <w:u w:val="none"/>
              </w:rPr>
            </w:pPr>
            <w:r w:rsidRPr="00D51A68">
              <w:rPr>
                <w:rFonts w:ascii="Times New Roman" w:hAnsi="Times New Roman"/>
                <w:sz w:val="24"/>
              </w:rPr>
              <w:t>In caso di posizioni in derivati, indicare l</w:t>
            </w:r>
            <w:r w:rsidR="0009277C" w:rsidRPr="00D51A68">
              <w:rPr>
                <w:rFonts w:ascii="Times New Roman" w:hAnsi="Times New Roman"/>
                <w:sz w:val="24"/>
              </w:rPr>
              <w:t>’</w:t>
            </w:r>
            <w:r w:rsidRPr="00D51A68">
              <w:rPr>
                <w:rFonts w:ascii="Times New Roman" w:hAnsi="Times New Roman"/>
                <w:sz w:val="24"/>
              </w:rPr>
              <w:t xml:space="preserve">unità utilizzata per la gestione interna del rischio, ad esempio </w:t>
            </w:r>
            <w:r w:rsidR="0009277C" w:rsidRPr="00D51A68">
              <w:rPr>
                <w:rFonts w:ascii="Times New Roman" w:hAnsi="Times New Roman"/>
                <w:sz w:val="24"/>
              </w:rPr>
              <w:t>“</w:t>
            </w:r>
            <w:r w:rsidRPr="00D51A68">
              <w:rPr>
                <w:rFonts w:ascii="Times New Roman" w:hAnsi="Times New Roman"/>
                <w:sz w:val="24"/>
              </w:rPr>
              <w:t>PV01; EUR per spostamento parallelo della curva dei rendimenti di 1 punto base</w:t>
            </w:r>
            <w:r w:rsidR="0009277C" w:rsidRPr="00D51A68">
              <w:rPr>
                <w:rFonts w:ascii="Times New Roman" w:hAnsi="Times New Roman"/>
                <w:sz w:val="24"/>
              </w:rPr>
              <w:t>”</w:t>
            </w:r>
            <w:r w:rsidRPr="00D51A68">
              <w:rPr>
                <w:rFonts w:ascii="Times New Roman" w:hAnsi="Times New Roman"/>
                <w:sz w:val="24"/>
              </w:rPr>
              <w:t xml:space="preserve">. </w:t>
            </w:r>
          </w:p>
        </w:tc>
      </w:tr>
      <w:tr w:rsidR="00113E45" w:rsidRPr="00D51A68" w:rsidTr="00672D2A">
        <w:tc>
          <w:tcPr>
            <w:tcW w:w="852" w:type="dxa"/>
          </w:tcPr>
          <w:p w:rsidR="00113E45" w:rsidRPr="00D51A68" w:rsidRDefault="0022597E" w:rsidP="00E60B53">
            <w:pPr>
              <w:spacing w:beforeLines="60" w:before="144" w:afterLines="60" w:after="144"/>
              <w:rPr>
                <w:rFonts w:ascii="Times New Roman" w:hAnsi="Times New Roman"/>
                <w:sz w:val="24"/>
              </w:rPr>
            </w:pPr>
            <w:r w:rsidRPr="00D51A68">
              <w:rPr>
                <w:rFonts w:ascii="Times New Roman" w:hAnsi="Times New Roman"/>
                <w:sz w:val="24"/>
              </w:rPr>
              <w:t>0060</w:t>
            </w:r>
          </w:p>
        </w:tc>
        <w:tc>
          <w:tcPr>
            <w:tcW w:w="8004" w:type="dxa"/>
          </w:tcPr>
          <w:p w:rsidR="00113E45" w:rsidRPr="00D51A68" w:rsidRDefault="00113E45" w:rsidP="00E60B53">
            <w:pPr>
              <w:spacing w:beforeLines="60" w:before="144" w:afterLines="60" w:after="144"/>
              <w:rPr>
                <w:rStyle w:val="InstructionsTabelleberschrift"/>
                <w:rFonts w:ascii="Times New Roman" w:hAnsi="Times New Roman"/>
                <w:sz w:val="24"/>
              </w:rPr>
            </w:pPr>
            <w:r w:rsidRPr="00D51A68">
              <w:rPr>
                <w:rStyle w:val="InstructionsTabelleberschrift"/>
                <w:rFonts w:ascii="Times New Roman" w:hAnsi="Times New Roman"/>
                <w:sz w:val="24"/>
              </w:rPr>
              <w:t>VALORE DI MERCATO</w:t>
            </w:r>
          </w:p>
          <w:p w:rsidR="00113E45" w:rsidRPr="00D51A68" w:rsidRDefault="00113E45" w:rsidP="00E60B53">
            <w:pPr>
              <w:spacing w:beforeLines="60" w:before="144" w:afterLines="60" w:after="144"/>
              <w:rPr>
                <w:rStyle w:val="InstructionsTabelleberschrift"/>
                <w:rFonts w:ascii="Times New Roman" w:hAnsi="Times New Roman"/>
                <w:b w:val="0"/>
                <w:sz w:val="24"/>
                <w:u w:val="none"/>
              </w:rPr>
            </w:pPr>
            <w:r w:rsidRPr="00D51A68">
              <w:rPr>
                <w:rStyle w:val="InstructionsTabelleberschrift"/>
                <w:rFonts w:ascii="Times New Roman" w:hAnsi="Times New Roman"/>
                <w:b w:val="0"/>
                <w:sz w:val="24"/>
                <w:u w:val="none"/>
              </w:rPr>
              <w:t>Il valore di mercato della posizione.</w:t>
            </w:r>
          </w:p>
        </w:tc>
      </w:tr>
      <w:tr w:rsidR="00113E45" w:rsidRPr="00D51A68" w:rsidTr="00672D2A">
        <w:tc>
          <w:tcPr>
            <w:tcW w:w="852" w:type="dxa"/>
          </w:tcPr>
          <w:p w:rsidR="00113E45" w:rsidRPr="00D51A68" w:rsidRDefault="0022597E" w:rsidP="00E60B53">
            <w:pPr>
              <w:spacing w:beforeLines="60" w:before="144" w:afterLines="60" w:after="144"/>
              <w:rPr>
                <w:rFonts w:ascii="Times New Roman" w:hAnsi="Times New Roman"/>
                <w:sz w:val="24"/>
              </w:rPr>
            </w:pPr>
            <w:r w:rsidRPr="00D51A68">
              <w:rPr>
                <w:rFonts w:ascii="Times New Roman" w:hAnsi="Times New Roman"/>
                <w:sz w:val="24"/>
              </w:rPr>
              <w:t>0070</w:t>
            </w:r>
          </w:p>
        </w:tc>
        <w:tc>
          <w:tcPr>
            <w:tcW w:w="8004" w:type="dxa"/>
          </w:tcPr>
          <w:p w:rsidR="00113E45" w:rsidRPr="00D51A68" w:rsidRDefault="00113E45" w:rsidP="00E60B53">
            <w:pPr>
              <w:spacing w:beforeLines="60" w:before="144" w:afterLines="60" w:after="144"/>
              <w:rPr>
                <w:rStyle w:val="InstructionsTabelleberschrift"/>
                <w:rFonts w:ascii="Times New Roman" w:hAnsi="Times New Roman"/>
                <w:sz w:val="24"/>
              </w:rPr>
            </w:pPr>
            <w:r w:rsidRPr="00D51A68">
              <w:rPr>
                <w:rStyle w:val="InstructionsTabelleberschrift"/>
                <w:rFonts w:ascii="Times New Roman" w:hAnsi="Times New Roman"/>
                <w:sz w:val="24"/>
              </w:rPr>
              <w:t>PERIODO DI USCITA PRUDENTE</w:t>
            </w:r>
          </w:p>
          <w:p w:rsidR="00113E45" w:rsidRPr="00D51A68" w:rsidRDefault="00113E45" w:rsidP="00DC09EA">
            <w:pPr>
              <w:spacing w:beforeLines="60" w:before="144" w:afterLines="60" w:after="144"/>
              <w:rPr>
                <w:rStyle w:val="InstructionsTabelleberschrift"/>
                <w:rFonts w:ascii="Times New Roman" w:hAnsi="Times New Roman"/>
                <w:b w:val="0"/>
                <w:sz w:val="24"/>
                <w:u w:val="none"/>
              </w:rPr>
            </w:pPr>
            <w:r w:rsidRPr="00D51A68">
              <w:rPr>
                <w:rStyle w:val="InstructionsTabelleberschrift"/>
                <w:rFonts w:ascii="Times New Roman" w:hAnsi="Times New Roman"/>
                <w:b w:val="0"/>
                <w:sz w:val="24"/>
                <w:u w:val="none"/>
              </w:rPr>
              <w:t>Il periodo di uscita prudente (in numero di giorni) stimato a norma dell</w:t>
            </w:r>
            <w:r w:rsidR="0009277C" w:rsidRPr="00D51A68">
              <w:rPr>
                <w:rStyle w:val="InstructionsTabelleberschrift"/>
                <w:rFonts w:ascii="Times New Roman" w:hAnsi="Times New Roman"/>
                <w:b w:val="0"/>
                <w:sz w:val="24"/>
                <w:u w:val="none"/>
              </w:rPr>
              <w:t>’</w:t>
            </w:r>
            <w:r w:rsidR="00BE76FD" w:rsidRPr="00D51A68">
              <w:rPr>
                <w:rStyle w:val="InstructionsTabelleberschrift"/>
                <w:rFonts w:ascii="Times New Roman" w:hAnsi="Times New Roman"/>
                <w:b w:val="0"/>
                <w:sz w:val="24"/>
                <w:u w:val="none"/>
              </w:rPr>
              <w:t>articolo </w:t>
            </w:r>
            <w:r w:rsidRPr="00D51A68">
              <w:rPr>
                <w:rStyle w:val="InstructionsTabelleberschrift"/>
                <w:rFonts w:ascii="Times New Roman" w:hAnsi="Times New Roman"/>
                <w:b w:val="0"/>
                <w:sz w:val="24"/>
                <w:u w:val="none"/>
              </w:rPr>
              <w:t>14, paragrafo 1, lettera b), del regolamento delegato (UE) 2016/101 sulla valutazione prudente.</w:t>
            </w:r>
          </w:p>
        </w:tc>
      </w:tr>
      <w:tr w:rsidR="00113E45" w:rsidRPr="00D51A68" w:rsidTr="00672D2A">
        <w:tc>
          <w:tcPr>
            <w:tcW w:w="852" w:type="dxa"/>
          </w:tcPr>
          <w:p w:rsidR="00113E45" w:rsidRPr="00D51A68" w:rsidRDefault="0022597E" w:rsidP="00E60B53">
            <w:pPr>
              <w:spacing w:beforeLines="60" w:before="144" w:afterLines="60" w:after="144"/>
              <w:rPr>
                <w:rFonts w:ascii="Times New Roman" w:hAnsi="Times New Roman"/>
                <w:sz w:val="24"/>
              </w:rPr>
            </w:pPr>
            <w:r w:rsidRPr="00D51A68">
              <w:rPr>
                <w:rFonts w:ascii="Times New Roman" w:hAnsi="Times New Roman"/>
                <w:sz w:val="24"/>
              </w:rPr>
              <w:t>0080</w:t>
            </w:r>
          </w:p>
        </w:tc>
        <w:tc>
          <w:tcPr>
            <w:tcW w:w="8004" w:type="dxa"/>
          </w:tcPr>
          <w:p w:rsidR="00113E45" w:rsidRPr="00D51A68" w:rsidRDefault="00113E45" w:rsidP="00E60B53">
            <w:pPr>
              <w:spacing w:beforeLines="60" w:before="144" w:afterLines="60" w:after="144"/>
              <w:rPr>
                <w:rStyle w:val="InstructionsTabelleberschrift"/>
                <w:rFonts w:ascii="Times New Roman" w:hAnsi="Times New Roman"/>
                <w:sz w:val="24"/>
              </w:rPr>
            </w:pPr>
            <w:r w:rsidRPr="00D51A68">
              <w:rPr>
                <w:rStyle w:val="InstructionsTabelleberschrift"/>
                <w:rFonts w:ascii="Times New Roman" w:hAnsi="Times New Roman"/>
                <w:sz w:val="24"/>
              </w:rPr>
              <w:t>AVA PER LE POSIZIONI CONCENTRATE</w:t>
            </w:r>
          </w:p>
          <w:p w:rsidR="00113E45" w:rsidRPr="00D51A68" w:rsidRDefault="00113E45" w:rsidP="00E60B53">
            <w:pPr>
              <w:spacing w:beforeLines="60" w:before="144" w:afterLines="60" w:after="144"/>
              <w:rPr>
                <w:rStyle w:val="InstructionsTabelleberschrift"/>
                <w:rFonts w:ascii="Times New Roman" w:hAnsi="Times New Roman"/>
                <w:b w:val="0"/>
                <w:sz w:val="24"/>
                <w:u w:val="none"/>
              </w:rPr>
            </w:pPr>
            <w:r w:rsidRPr="00D51A68">
              <w:rPr>
                <w:rStyle w:val="InstructionsTabelleberschrift"/>
                <w:rFonts w:ascii="Times New Roman" w:hAnsi="Times New Roman"/>
                <w:b w:val="0"/>
                <w:sz w:val="24"/>
                <w:u w:val="none"/>
              </w:rPr>
              <w:t>L</w:t>
            </w:r>
            <w:r w:rsidR="0009277C" w:rsidRPr="00D51A68">
              <w:rPr>
                <w:rStyle w:val="InstructionsTabelleberschrift"/>
                <w:rFonts w:ascii="Times New Roman" w:hAnsi="Times New Roman"/>
                <w:b w:val="0"/>
                <w:sz w:val="24"/>
                <w:u w:val="none"/>
              </w:rPr>
              <w:t>’</w:t>
            </w:r>
            <w:r w:rsidRPr="00D51A68">
              <w:rPr>
                <w:rStyle w:val="InstructionsTabelleberschrift"/>
                <w:rFonts w:ascii="Times New Roman" w:hAnsi="Times New Roman"/>
                <w:b w:val="0"/>
                <w:sz w:val="24"/>
                <w:u w:val="none"/>
              </w:rPr>
              <w:t>importo dell</w:t>
            </w:r>
            <w:r w:rsidR="0009277C" w:rsidRPr="00D51A68">
              <w:rPr>
                <w:rStyle w:val="InstructionsTabelleberschrift"/>
                <w:rFonts w:ascii="Times New Roman" w:hAnsi="Times New Roman"/>
                <w:b w:val="0"/>
                <w:sz w:val="24"/>
                <w:u w:val="none"/>
              </w:rPr>
              <w:t>’</w:t>
            </w:r>
            <w:r w:rsidRPr="00D51A68">
              <w:rPr>
                <w:rStyle w:val="InstructionsTabelleberschrift"/>
                <w:rFonts w:ascii="Times New Roman" w:hAnsi="Times New Roman"/>
                <w:b w:val="0"/>
                <w:sz w:val="24"/>
                <w:u w:val="none"/>
              </w:rPr>
              <w:t>AVA per le posizioni concentrate calcolato a norma dell</w:t>
            </w:r>
            <w:r w:rsidR="0009277C" w:rsidRPr="00D51A68">
              <w:rPr>
                <w:rStyle w:val="InstructionsTabelleberschrift"/>
                <w:rFonts w:ascii="Times New Roman" w:hAnsi="Times New Roman"/>
                <w:b w:val="0"/>
                <w:sz w:val="24"/>
                <w:u w:val="none"/>
              </w:rPr>
              <w:t>’</w:t>
            </w:r>
            <w:r w:rsidR="00BE76FD" w:rsidRPr="00D51A68">
              <w:rPr>
                <w:rStyle w:val="InstructionsTabelleberschrift"/>
                <w:rFonts w:ascii="Times New Roman" w:hAnsi="Times New Roman"/>
                <w:b w:val="0"/>
                <w:sz w:val="24"/>
                <w:u w:val="none"/>
              </w:rPr>
              <w:t>articolo </w:t>
            </w:r>
            <w:r w:rsidRPr="00D51A68">
              <w:rPr>
                <w:rStyle w:val="InstructionsTabelleberschrift"/>
                <w:rFonts w:ascii="Times New Roman" w:hAnsi="Times New Roman"/>
                <w:b w:val="0"/>
                <w:sz w:val="24"/>
                <w:u w:val="none"/>
              </w:rPr>
              <w:t>14, paragrafo 1, del regolamento delegato (UE) 2016/101 sulla valutazione prudente per la singola posizione oggetto di valutazione concentrata.</w:t>
            </w:r>
          </w:p>
        </w:tc>
      </w:tr>
      <w:tr w:rsidR="00113E45" w:rsidRPr="00D51A68" w:rsidTr="00672D2A">
        <w:tc>
          <w:tcPr>
            <w:tcW w:w="852" w:type="dxa"/>
          </w:tcPr>
          <w:p w:rsidR="00113E45" w:rsidRPr="00D51A68" w:rsidRDefault="0022597E" w:rsidP="00E60B53">
            <w:pPr>
              <w:spacing w:beforeLines="60" w:before="144" w:afterLines="60" w:after="144"/>
              <w:rPr>
                <w:rFonts w:ascii="Times New Roman" w:hAnsi="Times New Roman"/>
                <w:sz w:val="24"/>
              </w:rPr>
            </w:pPr>
            <w:r w:rsidRPr="00D51A68">
              <w:rPr>
                <w:rFonts w:ascii="Times New Roman" w:hAnsi="Times New Roman"/>
                <w:sz w:val="24"/>
              </w:rPr>
              <w:t>0090</w:t>
            </w:r>
          </w:p>
        </w:tc>
        <w:tc>
          <w:tcPr>
            <w:tcW w:w="8004" w:type="dxa"/>
          </w:tcPr>
          <w:p w:rsidR="00113E45" w:rsidRPr="00D51A68" w:rsidRDefault="00113E45" w:rsidP="00E60B53">
            <w:pPr>
              <w:spacing w:beforeLines="60" w:before="144" w:afterLines="60" w:after="144"/>
              <w:rPr>
                <w:rStyle w:val="InstructionsTabelleberschrift"/>
                <w:rFonts w:ascii="Times New Roman" w:hAnsi="Times New Roman"/>
                <w:sz w:val="24"/>
              </w:rPr>
            </w:pPr>
            <w:r w:rsidRPr="00D51A68">
              <w:rPr>
                <w:rStyle w:val="InstructionsTabelleberschrift"/>
                <w:rFonts w:ascii="Times New Roman" w:hAnsi="Times New Roman"/>
                <w:sz w:val="24"/>
              </w:rPr>
              <w:t>RETTIFICA DEL FAIR VALUE (VALORE EQUO) PER LE POSIZIONI CONCENTRATE</w:t>
            </w:r>
          </w:p>
          <w:p w:rsidR="00955AA6" w:rsidRPr="00D51A68" w:rsidRDefault="00113E45" w:rsidP="00955AA6">
            <w:pPr>
              <w:spacing w:beforeLines="60" w:before="144" w:afterLines="60" w:after="144"/>
              <w:rPr>
                <w:rStyle w:val="InstructionsTabelleberschrift"/>
                <w:rFonts w:ascii="Times New Roman" w:hAnsi="Times New Roman"/>
                <w:b w:val="0"/>
                <w:sz w:val="24"/>
                <w:u w:val="none"/>
              </w:rPr>
            </w:pPr>
            <w:r w:rsidRPr="00D51A68">
              <w:rPr>
                <w:rStyle w:val="InstructionsTabelleberschrift"/>
                <w:rFonts w:ascii="Times New Roman" w:hAnsi="Times New Roman"/>
                <w:b w:val="0"/>
                <w:sz w:val="24"/>
                <w:u w:val="none"/>
              </w:rPr>
              <w:t>L</w:t>
            </w:r>
            <w:r w:rsidR="0009277C" w:rsidRPr="00D51A68">
              <w:rPr>
                <w:rStyle w:val="InstructionsTabelleberschrift"/>
                <w:rFonts w:ascii="Times New Roman" w:hAnsi="Times New Roman"/>
                <w:b w:val="0"/>
                <w:sz w:val="24"/>
                <w:u w:val="none"/>
              </w:rPr>
              <w:t>’</w:t>
            </w:r>
            <w:r w:rsidRPr="00D51A68">
              <w:rPr>
                <w:rStyle w:val="InstructionsTabelleberschrift"/>
                <w:rFonts w:ascii="Times New Roman" w:hAnsi="Times New Roman"/>
                <w:b w:val="0"/>
                <w:sz w:val="24"/>
                <w:u w:val="none"/>
              </w:rPr>
              <w:t>importo delle rettifiche del fair value (valore equo) apportate per riflettere il fatto che la posizione aggregata detenuta dall</w:t>
            </w:r>
            <w:r w:rsidR="0009277C" w:rsidRPr="00D51A68">
              <w:rPr>
                <w:rStyle w:val="InstructionsTabelleberschrift"/>
                <w:rFonts w:ascii="Times New Roman" w:hAnsi="Times New Roman"/>
                <w:b w:val="0"/>
                <w:sz w:val="24"/>
                <w:u w:val="none"/>
              </w:rPr>
              <w:t>’</w:t>
            </w:r>
            <w:r w:rsidRPr="00D51A68">
              <w:rPr>
                <w:rStyle w:val="InstructionsTabelleberschrift"/>
                <w:rFonts w:ascii="Times New Roman" w:hAnsi="Times New Roman"/>
                <w:b w:val="0"/>
                <w:sz w:val="24"/>
                <w:u w:val="none"/>
              </w:rPr>
              <w:t>ente è superiore al normale volume di negoziazione o alla dimensione delle posizioni sulle quali sono basate le quotazioni o le negoziazioni che sono servite per calibrare il prezzo o gli input utilizzati dal modello di valutazione.</w:t>
            </w:r>
          </w:p>
          <w:p w:rsidR="00113E45" w:rsidRPr="00D51A68" w:rsidRDefault="00955AA6" w:rsidP="00955AA6">
            <w:pPr>
              <w:spacing w:beforeLines="60" w:before="144" w:afterLines="60" w:after="144"/>
              <w:rPr>
                <w:rStyle w:val="InstructionsTabelleberschrift"/>
                <w:rFonts w:ascii="Times New Roman" w:hAnsi="Times New Roman"/>
                <w:b w:val="0"/>
                <w:sz w:val="24"/>
                <w:u w:val="none"/>
              </w:rPr>
            </w:pPr>
            <w:r w:rsidRPr="00D51A68">
              <w:rPr>
                <w:rStyle w:val="InstructionsTabelleberschrift"/>
                <w:rFonts w:ascii="Times New Roman" w:hAnsi="Times New Roman"/>
                <w:b w:val="0"/>
                <w:sz w:val="24"/>
                <w:u w:val="none"/>
              </w:rPr>
              <w:t>L</w:t>
            </w:r>
            <w:r w:rsidR="0009277C" w:rsidRPr="00D51A68">
              <w:rPr>
                <w:rStyle w:val="InstructionsTabelleberschrift"/>
                <w:rFonts w:ascii="Times New Roman" w:hAnsi="Times New Roman"/>
                <w:b w:val="0"/>
                <w:sz w:val="24"/>
                <w:u w:val="none"/>
              </w:rPr>
              <w:t>’</w:t>
            </w:r>
            <w:r w:rsidRPr="00D51A68">
              <w:rPr>
                <w:rStyle w:val="InstructionsTabelleberschrift"/>
                <w:rFonts w:ascii="Times New Roman" w:hAnsi="Times New Roman"/>
                <w:b w:val="0"/>
                <w:sz w:val="24"/>
                <w:u w:val="none"/>
              </w:rPr>
              <w:t>importo indicato corrisponde all</w:t>
            </w:r>
            <w:r w:rsidR="0009277C" w:rsidRPr="00D51A68">
              <w:rPr>
                <w:rStyle w:val="InstructionsTabelleberschrift"/>
                <w:rFonts w:ascii="Times New Roman" w:hAnsi="Times New Roman"/>
                <w:b w:val="0"/>
                <w:sz w:val="24"/>
                <w:u w:val="none"/>
              </w:rPr>
              <w:t>’</w:t>
            </w:r>
            <w:r w:rsidRPr="00D51A68">
              <w:rPr>
                <w:rStyle w:val="InstructionsTabelleberschrift"/>
                <w:rFonts w:ascii="Times New Roman" w:hAnsi="Times New Roman"/>
                <w:b w:val="0"/>
                <w:sz w:val="24"/>
                <w:u w:val="none"/>
              </w:rPr>
              <w:t>importo che è stato applicato alla singola posizione oggetto di valutazione concentrata.</w:t>
            </w:r>
          </w:p>
        </w:tc>
      </w:tr>
      <w:tr w:rsidR="00113E45" w:rsidRPr="00D51A68" w:rsidTr="00672D2A">
        <w:tc>
          <w:tcPr>
            <w:tcW w:w="852" w:type="dxa"/>
          </w:tcPr>
          <w:p w:rsidR="00113E45" w:rsidRPr="00D51A68" w:rsidRDefault="0022597E" w:rsidP="00E60B53">
            <w:pPr>
              <w:spacing w:beforeLines="60" w:before="144" w:afterLines="60" w:after="144"/>
              <w:rPr>
                <w:rFonts w:ascii="Times New Roman" w:hAnsi="Times New Roman"/>
                <w:sz w:val="24"/>
              </w:rPr>
            </w:pPr>
            <w:r w:rsidRPr="00D51A68">
              <w:rPr>
                <w:rFonts w:ascii="Times New Roman" w:hAnsi="Times New Roman"/>
                <w:sz w:val="24"/>
              </w:rPr>
              <w:t>0100</w:t>
            </w:r>
          </w:p>
        </w:tc>
        <w:tc>
          <w:tcPr>
            <w:tcW w:w="8004" w:type="dxa"/>
          </w:tcPr>
          <w:p w:rsidR="00113E45" w:rsidRPr="00D51A68" w:rsidRDefault="00113E45" w:rsidP="00E60B53">
            <w:pPr>
              <w:spacing w:beforeLines="60" w:before="144" w:afterLines="60" w:after="144"/>
              <w:rPr>
                <w:rStyle w:val="InstructionsTabelleberschrift"/>
                <w:rFonts w:ascii="Times New Roman" w:hAnsi="Times New Roman"/>
                <w:sz w:val="24"/>
              </w:rPr>
            </w:pPr>
            <w:r w:rsidRPr="00D51A68">
              <w:rPr>
                <w:rStyle w:val="InstructionsTabelleberschrift"/>
                <w:rFonts w:ascii="Times New Roman" w:hAnsi="Times New Roman"/>
                <w:sz w:val="24"/>
              </w:rPr>
              <w:t>DIFFERENZA IPV</w:t>
            </w:r>
          </w:p>
          <w:p w:rsidR="00113E45" w:rsidRPr="00D51A68" w:rsidRDefault="00113E45" w:rsidP="00E60B53">
            <w:pPr>
              <w:spacing w:beforeLines="60" w:before="144" w:afterLines="60" w:after="144"/>
              <w:rPr>
                <w:rStyle w:val="InstructionsTabelleberschrift"/>
                <w:rFonts w:ascii="Times New Roman" w:hAnsi="Times New Roman"/>
                <w:b w:val="0"/>
                <w:sz w:val="24"/>
                <w:u w:val="none"/>
              </w:rPr>
            </w:pPr>
            <w:r w:rsidRPr="00D51A68">
              <w:rPr>
                <w:rStyle w:val="InstructionsTabelleberschrift"/>
                <w:rFonts w:ascii="Times New Roman" w:hAnsi="Times New Roman"/>
                <w:b w:val="0"/>
                <w:sz w:val="24"/>
                <w:u w:val="none"/>
              </w:rPr>
              <w:t>La somma dei differenziali non aggiustati (</w:t>
            </w:r>
            <w:r w:rsidR="0009277C" w:rsidRPr="00D51A68">
              <w:rPr>
                <w:rStyle w:val="InstructionsTabelleberschrift"/>
                <w:rFonts w:ascii="Times New Roman" w:hAnsi="Times New Roman"/>
                <w:b w:val="0"/>
                <w:sz w:val="24"/>
                <w:u w:val="none"/>
              </w:rPr>
              <w:t>“</w:t>
            </w:r>
            <w:r w:rsidRPr="00D51A68">
              <w:rPr>
                <w:rStyle w:val="InstructionsTabelleberschrift"/>
                <w:rFonts w:ascii="Times New Roman" w:hAnsi="Times New Roman"/>
                <w:b w:val="0"/>
                <w:sz w:val="24"/>
                <w:u w:val="none"/>
              </w:rPr>
              <w:t>differenza IPV) calcolati alla fine del mese più vicina alla data di riferimento per le segnalazioni nel quadro del processo di verifica indipendente dei prezzi di cui all</w:t>
            </w:r>
            <w:r w:rsidR="0009277C" w:rsidRPr="00D51A68">
              <w:rPr>
                <w:rStyle w:val="InstructionsTabelleberschrift"/>
                <w:rFonts w:ascii="Times New Roman" w:hAnsi="Times New Roman"/>
                <w:b w:val="0"/>
                <w:sz w:val="24"/>
                <w:u w:val="none"/>
              </w:rPr>
              <w:t>’</w:t>
            </w:r>
            <w:r w:rsidRPr="00D51A68">
              <w:rPr>
                <w:rStyle w:val="InstructionsTabelleberschrift"/>
                <w:rFonts w:ascii="Times New Roman" w:hAnsi="Times New Roman"/>
                <w:b w:val="0"/>
                <w:sz w:val="24"/>
                <w:u w:val="none"/>
              </w:rPr>
              <w:t xml:space="preserve">articolo 105, paragrafo 8, del CRR, utilizzando i migliori dati indipendenti disponibili per la singola posizione oggetto di valutazione concentrata interessata. </w:t>
            </w:r>
          </w:p>
          <w:p w:rsidR="00113E45" w:rsidRPr="00D51A68" w:rsidRDefault="00113E45" w:rsidP="00E60B53">
            <w:pPr>
              <w:spacing w:beforeLines="60" w:before="144" w:afterLines="60" w:after="144"/>
              <w:rPr>
                <w:rStyle w:val="InstructionsTabelleberschrift"/>
                <w:rFonts w:ascii="Times New Roman" w:hAnsi="Times New Roman"/>
                <w:b w:val="0"/>
                <w:sz w:val="24"/>
                <w:u w:val="none"/>
              </w:rPr>
            </w:pPr>
            <w:r w:rsidRPr="00D51A68">
              <w:rPr>
                <w:rStyle w:val="InstructionsTabelleberschrift"/>
                <w:rFonts w:ascii="Times New Roman" w:hAnsi="Times New Roman"/>
                <w:b w:val="0"/>
                <w:sz w:val="24"/>
                <w:u w:val="none"/>
              </w:rPr>
              <w:t>Per differenziali non aggiustati si intendono le differenze non aggiustate tra le valutazioni generate dal sistema di negoziazione e le valutazioni prodotte dal processo IPV mensile</w:t>
            </w:r>
          </w:p>
          <w:p w:rsidR="00113E45" w:rsidRPr="00D51A68" w:rsidRDefault="00D2428D" w:rsidP="00D2428D">
            <w:pPr>
              <w:spacing w:beforeLines="60" w:before="144" w:afterLines="60" w:after="144"/>
              <w:rPr>
                <w:rStyle w:val="InstructionsTabelleberschrift"/>
                <w:rFonts w:ascii="Times New Roman" w:hAnsi="Times New Roman"/>
                <w:b w:val="0"/>
                <w:sz w:val="24"/>
                <w:u w:val="none"/>
              </w:rPr>
            </w:pPr>
            <w:r w:rsidRPr="00D51A68">
              <w:rPr>
                <w:rStyle w:val="InstructionsTabelleberschrift"/>
                <w:rFonts w:ascii="Times New Roman" w:hAnsi="Times New Roman"/>
                <w:b w:val="0"/>
                <w:sz w:val="24"/>
                <w:u w:val="none"/>
              </w:rPr>
              <w:t>I differenziali aggiustati nei libri e nella contabilità dell</w:t>
            </w:r>
            <w:r w:rsidR="0009277C" w:rsidRPr="00D51A68">
              <w:rPr>
                <w:rStyle w:val="InstructionsTabelleberschrift"/>
                <w:rFonts w:ascii="Times New Roman" w:hAnsi="Times New Roman"/>
                <w:b w:val="0"/>
                <w:sz w:val="24"/>
                <w:u w:val="none"/>
              </w:rPr>
              <w:t>’</w:t>
            </w:r>
            <w:r w:rsidRPr="00D51A68">
              <w:rPr>
                <w:rStyle w:val="InstructionsTabelleberschrift"/>
                <w:rFonts w:ascii="Times New Roman" w:hAnsi="Times New Roman"/>
                <w:b w:val="0"/>
                <w:sz w:val="24"/>
                <w:u w:val="none"/>
              </w:rPr>
              <w:t>ente per la data di fine mese pertinente non sono inclusi ai fini del calcolo della differenza IPV.</w:t>
            </w:r>
          </w:p>
        </w:tc>
      </w:tr>
    </w:tbl>
    <w:p w:rsidR="00995A7F" w:rsidRPr="00D51A68" w:rsidRDefault="00995A7F" w:rsidP="00C61FF5">
      <w:pPr>
        <w:rPr>
          <w:rStyle w:val="InstructionsTabelleText"/>
          <w:rFonts w:ascii="Times New Roman" w:hAnsi="Times New Roman"/>
          <w:sz w:val="24"/>
        </w:rPr>
      </w:pPr>
    </w:p>
    <w:p w:rsidR="00FD54FC" w:rsidRPr="00D51A68" w:rsidRDefault="00995A7F" w:rsidP="0023700C">
      <w:pPr>
        <w:pStyle w:val="Instructionsberschrift2"/>
        <w:numPr>
          <w:ilvl w:val="0"/>
          <w:numId w:val="0"/>
        </w:numPr>
        <w:ind w:left="357" w:hanging="357"/>
        <w:rPr>
          <w:rFonts w:ascii="Times New Roman" w:hAnsi="Times New Roman" w:cs="Times New Roman"/>
          <w:sz w:val="24"/>
        </w:rPr>
      </w:pPr>
      <w:bookmarkStart w:id="801" w:name="_Toc516210719"/>
      <w:bookmarkStart w:id="802" w:name="_Toc473561055"/>
      <w:bookmarkStart w:id="803" w:name="_Toc524096664"/>
      <w:r w:rsidRPr="00D51A68">
        <w:rPr>
          <w:rFonts w:ascii="Times New Roman" w:hAnsi="Times New Roman"/>
          <w:sz w:val="24"/>
          <w:u w:val="none"/>
        </w:rPr>
        <w:t>7.</w:t>
      </w:r>
      <w:r w:rsidR="00A0772B" w:rsidRPr="00D51A68">
        <w:rPr>
          <w:u w:val="none"/>
        </w:rPr>
        <w:tab/>
      </w:r>
      <w:r w:rsidRPr="00D51A68">
        <w:rPr>
          <w:rFonts w:ascii="Times New Roman" w:hAnsi="Times New Roman"/>
          <w:sz w:val="24"/>
        </w:rPr>
        <w:t>C 33.00 — Esposizioni verso amministrazioni pubbliche (GOV)</w:t>
      </w:r>
      <w:bookmarkEnd w:id="801"/>
      <w:bookmarkEnd w:id="802"/>
      <w:bookmarkEnd w:id="803"/>
    </w:p>
    <w:p w:rsidR="00FD54FC" w:rsidRPr="00D51A68" w:rsidRDefault="00995A7F" w:rsidP="0023700C">
      <w:pPr>
        <w:pStyle w:val="Instructionsberschrift2"/>
        <w:numPr>
          <w:ilvl w:val="0"/>
          <w:numId w:val="0"/>
        </w:numPr>
        <w:ind w:left="357" w:hanging="357"/>
        <w:rPr>
          <w:rFonts w:ascii="Times New Roman" w:hAnsi="Times New Roman" w:cs="Times New Roman"/>
          <w:sz w:val="24"/>
        </w:rPr>
      </w:pPr>
      <w:bookmarkStart w:id="804" w:name="_Toc367202008"/>
      <w:bookmarkStart w:id="805" w:name="_Toc516210720"/>
      <w:bookmarkStart w:id="806" w:name="_Toc473561056"/>
      <w:bookmarkStart w:id="807" w:name="_Toc524096665"/>
      <w:r w:rsidRPr="00D51A68">
        <w:rPr>
          <w:rFonts w:ascii="Times New Roman" w:hAnsi="Times New Roman"/>
          <w:sz w:val="24"/>
          <w:u w:val="none"/>
        </w:rPr>
        <w:t>7.1.</w:t>
      </w:r>
      <w:r w:rsidR="00A0772B" w:rsidRPr="00D51A68">
        <w:rPr>
          <w:u w:val="none"/>
        </w:rPr>
        <w:tab/>
      </w:r>
      <w:r w:rsidRPr="00D51A68">
        <w:rPr>
          <w:rFonts w:ascii="Times New Roman" w:hAnsi="Times New Roman"/>
          <w:sz w:val="24"/>
        </w:rPr>
        <w:t>Osservazioni di carattere generale</w:t>
      </w:r>
      <w:bookmarkEnd w:id="804"/>
      <w:bookmarkEnd w:id="805"/>
      <w:bookmarkEnd w:id="806"/>
      <w:bookmarkEnd w:id="807"/>
      <w:r w:rsidRPr="00D51A68">
        <w:rPr>
          <w:rFonts w:ascii="Times New Roman" w:hAnsi="Times New Roman"/>
          <w:sz w:val="24"/>
        </w:rPr>
        <w:t xml:space="preserve"> </w:t>
      </w:r>
    </w:p>
    <w:p w:rsidR="00FD54FC" w:rsidRPr="00D51A68" w:rsidRDefault="00125707" w:rsidP="00BE76FD">
      <w:pPr>
        <w:pStyle w:val="InstructionsText2"/>
        <w:numPr>
          <w:ilvl w:val="0"/>
          <w:numId w:val="0"/>
        </w:numPr>
        <w:ind w:left="993"/>
      </w:pPr>
      <w:r w:rsidRPr="00D51A68">
        <w:t>155.</w:t>
      </w:r>
      <w:r w:rsidR="00A0772B" w:rsidRPr="00D51A68">
        <w:tab/>
      </w:r>
      <w:r w:rsidRPr="00D51A68">
        <w:t xml:space="preserve">Le informazioni ai fini del modello C 33.00 riguardano tutte le esposizioni verso </w:t>
      </w:r>
      <w:r w:rsidR="0009277C" w:rsidRPr="00D51A68">
        <w:t>“</w:t>
      </w:r>
      <w:r w:rsidRPr="00D51A68">
        <w:t>amministrazioni pubbliche</w:t>
      </w:r>
      <w:r w:rsidR="0009277C" w:rsidRPr="00D51A68">
        <w:t>”</w:t>
      </w:r>
      <w:r w:rsidRPr="00D51A68">
        <w:t xml:space="preserve"> quali definite al paragrafo 42, lettera b), dell</w:t>
      </w:r>
      <w:r w:rsidR="0009277C" w:rsidRPr="00D51A68">
        <w:t>’</w:t>
      </w:r>
      <w:r w:rsidRPr="00D51A68">
        <w:t>allegato V.</w:t>
      </w:r>
    </w:p>
    <w:p w:rsidR="00FD54FC" w:rsidRPr="00D51A68" w:rsidRDefault="00125707" w:rsidP="00BE76FD">
      <w:pPr>
        <w:pStyle w:val="InstructionsText2"/>
        <w:numPr>
          <w:ilvl w:val="0"/>
          <w:numId w:val="0"/>
        </w:numPr>
        <w:ind w:left="993"/>
      </w:pPr>
      <w:r w:rsidRPr="00D51A68">
        <w:t>156.</w:t>
      </w:r>
      <w:r w:rsidR="00A0772B" w:rsidRPr="00D51A68">
        <w:tab/>
      </w:r>
      <w:r w:rsidRPr="00D51A68">
        <w:t xml:space="preserve">Le esposizioni verso </w:t>
      </w:r>
      <w:r w:rsidR="0009277C" w:rsidRPr="00D51A68">
        <w:t>“</w:t>
      </w:r>
      <w:r w:rsidRPr="00D51A68">
        <w:t>amministrazioni pubbliche</w:t>
      </w:r>
      <w:r w:rsidR="0009277C" w:rsidRPr="00D51A68">
        <w:t>”</w:t>
      </w:r>
      <w:r w:rsidRPr="00D51A68">
        <w:t xml:space="preserve"> sono comprese in diverse classi di esposizioni a norma degli articoli 112 e 147 del CRR, come specificato nelle istruzioni per la compilazione dei modelli C 07.00, C 08.01 e C 08.02. </w:t>
      </w:r>
    </w:p>
    <w:p w:rsidR="00FD54FC" w:rsidRPr="00D51A68" w:rsidRDefault="00125707" w:rsidP="00BE76FD">
      <w:pPr>
        <w:pStyle w:val="InstructionsText2"/>
        <w:numPr>
          <w:ilvl w:val="0"/>
          <w:numId w:val="0"/>
        </w:numPr>
        <w:ind w:left="993"/>
      </w:pPr>
      <w:r w:rsidRPr="00D51A68">
        <w:t>157.</w:t>
      </w:r>
      <w:r w:rsidR="00A0772B" w:rsidRPr="00D51A68">
        <w:tab/>
      </w:r>
      <w:r w:rsidRPr="00D51A68">
        <w:t>Per l</w:t>
      </w:r>
      <w:r w:rsidR="0009277C" w:rsidRPr="00D51A68">
        <w:t>’</w:t>
      </w:r>
      <w:r w:rsidRPr="00D51A68">
        <w:t xml:space="preserve">associazione tra classi di esposizioni usate per calcolare i requisiti patrimoniali ai sensi del CRR e il settore della controparte </w:t>
      </w:r>
      <w:r w:rsidR="0009277C" w:rsidRPr="00D51A68">
        <w:t>“</w:t>
      </w:r>
      <w:r w:rsidRPr="00D51A68">
        <w:t>amministrazioni pubbliche</w:t>
      </w:r>
      <w:r w:rsidR="0009277C" w:rsidRPr="00D51A68">
        <w:t>”</w:t>
      </w:r>
      <w:r w:rsidRPr="00D51A68">
        <w:t xml:space="preserve"> si applica quanto indicato nella tabella 2 (metodo standardizzato) e nella tabella 3 (metodo IRB) di cui alla parte 3 dell</w:t>
      </w:r>
      <w:r w:rsidR="0009277C" w:rsidRPr="00D51A68">
        <w:t>’</w:t>
      </w:r>
      <w:r w:rsidRPr="00D51A68">
        <w:t xml:space="preserve">allegato 5. </w:t>
      </w:r>
    </w:p>
    <w:p w:rsidR="00FD54FC" w:rsidRPr="00D51A68" w:rsidRDefault="00125707" w:rsidP="00BE76FD">
      <w:pPr>
        <w:pStyle w:val="InstructionsText2"/>
        <w:numPr>
          <w:ilvl w:val="0"/>
          <w:numId w:val="0"/>
        </w:numPr>
        <w:ind w:left="993"/>
      </w:pPr>
      <w:r w:rsidRPr="00D51A68">
        <w:t>158.</w:t>
      </w:r>
      <w:r w:rsidR="00A0772B" w:rsidRPr="00D51A68">
        <w:tab/>
      </w:r>
      <w:r w:rsidRPr="00D51A68">
        <w:t xml:space="preserve">Sono segnalate informazioni per le esposizioni aggregate totali (ovvero la somma di tutti i paesi in cui la banca ha esposizioni sovrane) e per ciascun paese in base alla residenza della controparte sulla base del debitore diretto. </w:t>
      </w:r>
    </w:p>
    <w:p w:rsidR="00FD54FC" w:rsidRPr="00D51A68" w:rsidRDefault="00125707" w:rsidP="00BE76FD">
      <w:pPr>
        <w:pStyle w:val="InstructionsText2"/>
        <w:numPr>
          <w:ilvl w:val="0"/>
          <w:numId w:val="0"/>
        </w:numPr>
        <w:ind w:left="993"/>
      </w:pPr>
      <w:r w:rsidRPr="00D51A68">
        <w:t>159.</w:t>
      </w:r>
      <w:r w:rsidR="00A0772B" w:rsidRPr="00D51A68">
        <w:tab/>
      </w:r>
      <w:r w:rsidRPr="00D51A68">
        <w:t>L</w:t>
      </w:r>
      <w:r w:rsidR="0009277C" w:rsidRPr="00D51A68">
        <w:t>’</w:t>
      </w:r>
      <w:r w:rsidRPr="00D51A68">
        <w:t>imputazione delle esposizioni alle classi di esposizioni o giurisdizioni è effettuata senza tener conto di tecniche di attenuazione del rischio di credito e, in particolare, senza considerare effetti di sostituzione. Tuttavia il calcolo dei valori delle esposizioni e degli importi delle esposizioni ponderati per il rischio per ciascuna classe di esposizioni e per ogni giurisdizione comprende l</w:t>
      </w:r>
      <w:r w:rsidR="0009277C" w:rsidRPr="00D51A68">
        <w:t>’</w:t>
      </w:r>
      <w:r w:rsidRPr="00D51A68">
        <w:t xml:space="preserve">incidenza delle tecniche di attenuazione del rischio di credito, compresi gli effetti di sostituzione. </w:t>
      </w:r>
    </w:p>
    <w:p w:rsidR="00FD54FC" w:rsidRPr="00D51A68" w:rsidRDefault="00125707" w:rsidP="00BE76FD">
      <w:pPr>
        <w:pStyle w:val="InstructionsText2"/>
        <w:numPr>
          <w:ilvl w:val="0"/>
          <w:numId w:val="0"/>
        </w:numPr>
        <w:ind w:left="993"/>
      </w:pPr>
      <w:r w:rsidRPr="00D51A68">
        <w:t>160.</w:t>
      </w:r>
      <w:r w:rsidR="00A0772B" w:rsidRPr="00D51A68">
        <w:tab/>
      </w:r>
      <w:r w:rsidRPr="00D51A68">
        <w:t xml:space="preserve">La segnalazione di informazioni sulle esposizioni verso </w:t>
      </w:r>
      <w:r w:rsidR="0009277C" w:rsidRPr="00D51A68">
        <w:t>“</w:t>
      </w:r>
      <w:r w:rsidRPr="00D51A68">
        <w:t>amministrazioni pubbliche</w:t>
      </w:r>
      <w:r w:rsidR="0009277C" w:rsidRPr="00D51A68">
        <w:t>”</w:t>
      </w:r>
      <w:r w:rsidRPr="00D51A68">
        <w:t xml:space="preserve"> per giurisdizione di residenza della controparte immediata diversa dalla giurisdizione nazionale dell</w:t>
      </w:r>
      <w:r w:rsidR="0009277C" w:rsidRPr="00D51A68">
        <w:t>’</w:t>
      </w:r>
      <w:r w:rsidRPr="00D51A68">
        <w:t>ente segnalante è soggetta alle soglie di cui all</w:t>
      </w:r>
      <w:r w:rsidR="0009277C" w:rsidRPr="00D51A68">
        <w:t>’</w:t>
      </w:r>
      <w:r w:rsidR="00D37280" w:rsidRPr="00D51A68">
        <w:t>articolo </w:t>
      </w:r>
      <w:r w:rsidRPr="00D51A68">
        <w:t>5, lettera b), punto 3, del presente regolamento.</w:t>
      </w:r>
    </w:p>
    <w:p w:rsidR="00FD54FC" w:rsidRPr="00D51A68" w:rsidRDefault="00995A7F" w:rsidP="0023700C">
      <w:pPr>
        <w:pStyle w:val="Instructionsberschrift2"/>
        <w:numPr>
          <w:ilvl w:val="0"/>
          <w:numId w:val="0"/>
        </w:numPr>
        <w:ind w:left="357" w:hanging="357"/>
        <w:rPr>
          <w:rFonts w:ascii="Times New Roman" w:hAnsi="Times New Roman" w:cs="Times New Roman"/>
          <w:sz w:val="24"/>
        </w:rPr>
      </w:pPr>
      <w:bookmarkStart w:id="808" w:name="_Toc367202009"/>
      <w:bookmarkStart w:id="809" w:name="_Toc516210721"/>
      <w:bookmarkStart w:id="810" w:name="_Toc473561057"/>
      <w:bookmarkStart w:id="811" w:name="_Toc524096666"/>
      <w:r w:rsidRPr="00D51A68">
        <w:rPr>
          <w:rFonts w:ascii="Times New Roman" w:hAnsi="Times New Roman"/>
          <w:sz w:val="24"/>
          <w:u w:val="none"/>
        </w:rPr>
        <w:t>7.2.</w:t>
      </w:r>
      <w:r w:rsidR="00A0772B" w:rsidRPr="00D51A68">
        <w:rPr>
          <w:u w:val="none"/>
        </w:rPr>
        <w:tab/>
      </w:r>
      <w:r w:rsidRPr="00D51A68">
        <w:rPr>
          <w:rFonts w:ascii="Times New Roman" w:hAnsi="Times New Roman"/>
          <w:sz w:val="24"/>
        </w:rPr>
        <w:t>Ambito di applicazione del modello</w:t>
      </w:r>
      <w:bookmarkEnd w:id="808"/>
      <w:r w:rsidRPr="00D51A68">
        <w:rPr>
          <w:rFonts w:ascii="Times New Roman" w:hAnsi="Times New Roman"/>
          <w:sz w:val="24"/>
        </w:rPr>
        <w:t xml:space="preserve"> sulle esposizioni verso le </w:t>
      </w:r>
      <w:r w:rsidR="0009277C" w:rsidRPr="00D51A68">
        <w:rPr>
          <w:rFonts w:ascii="Times New Roman" w:hAnsi="Times New Roman"/>
          <w:sz w:val="24"/>
        </w:rPr>
        <w:t>“</w:t>
      </w:r>
      <w:r w:rsidRPr="00D51A68">
        <w:rPr>
          <w:rFonts w:ascii="Times New Roman" w:hAnsi="Times New Roman"/>
          <w:sz w:val="24"/>
        </w:rPr>
        <w:t>amministrazioni pubbliche</w:t>
      </w:r>
      <w:r w:rsidR="0009277C" w:rsidRPr="00D51A68">
        <w:rPr>
          <w:rFonts w:ascii="Times New Roman" w:hAnsi="Times New Roman"/>
          <w:sz w:val="24"/>
        </w:rPr>
        <w:t>”</w:t>
      </w:r>
      <w:bookmarkEnd w:id="809"/>
      <w:bookmarkEnd w:id="810"/>
      <w:bookmarkEnd w:id="811"/>
    </w:p>
    <w:p w:rsidR="00FD54FC" w:rsidRPr="00D51A68" w:rsidRDefault="00125707" w:rsidP="00D37280">
      <w:pPr>
        <w:pStyle w:val="InstructionsText2"/>
        <w:numPr>
          <w:ilvl w:val="0"/>
          <w:numId w:val="0"/>
        </w:numPr>
        <w:ind w:left="993"/>
      </w:pPr>
      <w:r w:rsidRPr="00D51A68">
        <w:t>161.</w:t>
      </w:r>
      <w:r w:rsidR="00A0772B" w:rsidRPr="00D51A68">
        <w:tab/>
      </w:r>
      <w:r w:rsidRPr="00D51A68">
        <w:t>L</w:t>
      </w:r>
      <w:r w:rsidR="0009277C" w:rsidRPr="00D51A68">
        <w:t>’</w:t>
      </w:r>
      <w:r w:rsidRPr="00D51A68">
        <w:t xml:space="preserve">ambito di applicazione del modello GOV comprende le esposizioni dirette in bilancio, fuori bilancio e in derivati verso </w:t>
      </w:r>
      <w:r w:rsidR="0009277C" w:rsidRPr="00D51A68">
        <w:t>“</w:t>
      </w:r>
      <w:r w:rsidRPr="00D51A68">
        <w:t>amministrazioni pubbliche</w:t>
      </w:r>
      <w:r w:rsidR="0009277C" w:rsidRPr="00D51A68">
        <w:t>”</w:t>
      </w:r>
      <w:r w:rsidRPr="00D51A68">
        <w:t xml:space="preserve"> nel portafoglio bancario e nel portafoglio di negoziazione. Inoltre è richiesta una voce per memoria riguardo alle esposizioni indirette sotto forma di derivati su crediti venduti su esposizioni delle amministrazioni pubbliche.</w:t>
      </w:r>
    </w:p>
    <w:p w:rsidR="00FD54FC" w:rsidRPr="00D51A68" w:rsidRDefault="00125707" w:rsidP="00D37280">
      <w:pPr>
        <w:pStyle w:val="InstructionsText2"/>
        <w:numPr>
          <w:ilvl w:val="0"/>
          <w:numId w:val="0"/>
        </w:numPr>
        <w:ind w:left="993"/>
      </w:pPr>
      <w:r w:rsidRPr="00D51A68">
        <w:t>162.</w:t>
      </w:r>
      <w:r w:rsidR="00A0772B" w:rsidRPr="00D51A68">
        <w:tab/>
      </w:r>
      <w:r w:rsidRPr="00D51A68">
        <w:t>L</w:t>
      </w:r>
      <w:r w:rsidR="0009277C" w:rsidRPr="00D51A68">
        <w:t>’</w:t>
      </w:r>
      <w:r w:rsidRPr="00D51A68">
        <w:t>esposizione è un</w:t>
      </w:r>
      <w:r w:rsidR="0009277C" w:rsidRPr="00D51A68">
        <w:t>’</w:t>
      </w:r>
      <w:r w:rsidRPr="00D51A68">
        <w:t xml:space="preserve">esposizione diretta quando la controparte immediata è un soggetto che rientra nella definizione di </w:t>
      </w:r>
      <w:r w:rsidR="0009277C" w:rsidRPr="00D51A68">
        <w:t>“</w:t>
      </w:r>
      <w:r w:rsidRPr="00D51A68">
        <w:t>amministrazioni pubbliche</w:t>
      </w:r>
      <w:r w:rsidR="0009277C" w:rsidRPr="00D51A68">
        <w:t>”</w:t>
      </w:r>
      <w:r w:rsidRPr="00D51A68">
        <w:t xml:space="preserve">. </w:t>
      </w:r>
    </w:p>
    <w:p w:rsidR="00FD54FC" w:rsidRPr="00D51A68" w:rsidRDefault="00125707" w:rsidP="00D37280">
      <w:pPr>
        <w:pStyle w:val="InstructionsText2"/>
        <w:numPr>
          <w:ilvl w:val="0"/>
          <w:numId w:val="0"/>
        </w:numPr>
        <w:ind w:left="993"/>
      </w:pPr>
      <w:r w:rsidRPr="00D51A68">
        <w:t>163.</w:t>
      </w:r>
      <w:r w:rsidR="00A0772B" w:rsidRPr="00D51A68">
        <w:tab/>
      </w:r>
      <w:r w:rsidRPr="00D51A68">
        <w:t>Il modello è diviso in due sezioni: la prima si basa su una ripartizione delle esposizioni in base al rischio, al metodo regolamentare e alle classi di esposizioni, la seconda si basa su una ripartizione per durata residua.</w:t>
      </w:r>
    </w:p>
    <w:p w:rsidR="00D37280" w:rsidRPr="00D51A68" w:rsidRDefault="00D37280" w:rsidP="00D37280">
      <w:pPr>
        <w:pStyle w:val="InstructionsText2"/>
        <w:numPr>
          <w:ilvl w:val="0"/>
          <w:numId w:val="0"/>
        </w:numPr>
        <w:ind w:left="993"/>
      </w:pPr>
    </w:p>
    <w:p w:rsidR="00FD54FC" w:rsidRPr="00D51A68" w:rsidRDefault="00995A7F" w:rsidP="0023700C">
      <w:pPr>
        <w:pStyle w:val="Instructionsberschrift2"/>
        <w:numPr>
          <w:ilvl w:val="0"/>
          <w:numId w:val="0"/>
        </w:numPr>
        <w:ind w:left="357" w:hanging="357"/>
        <w:rPr>
          <w:rFonts w:ascii="Times New Roman" w:hAnsi="Times New Roman" w:cs="Times New Roman"/>
          <w:sz w:val="24"/>
        </w:rPr>
      </w:pPr>
      <w:bookmarkStart w:id="812" w:name="_Toc516210722"/>
      <w:bookmarkStart w:id="813" w:name="_Toc473561058"/>
      <w:bookmarkStart w:id="814" w:name="_Toc524096667"/>
      <w:r w:rsidRPr="00D51A68">
        <w:rPr>
          <w:rFonts w:ascii="Times New Roman" w:hAnsi="Times New Roman"/>
          <w:sz w:val="24"/>
          <w:u w:val="none"/>
        </w:rPr>
        <w:t>7.3.</w:t>
      </w:r>
      <w:r w:rsidR="00A0772B" w:rsidRPr="00D51A68">
        <w:rPr>
          <w:u w:val="none"/>
        </w:rPr>
        <w:tab/>
      </w:r>
      <w:r w:rsidRPr="00D51A68">
        <w:rPr>
          <w:rFonts w:ascii="Times New Roman" w:hAnsi="Times New Roman"/>
          <w:sz w:val="24"/>
        </w:rPr>
        <w:t>Istruzioni relative a posizioni specifiche</w:t>
      </w:r>
      <w:bookmarkEnd w:id="812"/>
      <w:bookmarkEnd w:id="813"/>
      <w:bookmarkEnd w:id="81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FD54FC" w:rsidRPr="00D51A68" w:rsidTr="00672D2A">
        <w:tc>
          <w:tcPr>
            <w:tcW w:w="1188" w:type="dxa"/>
            <w:shd w:val="pct25" w:color="auto" w:fill="auto"/>
          </w:tcPr>
          <w:p w:rsidR="00FD54FC" w:rsidRPr="00D51A68" w:rsidRDefault="00FD54FC" w:rsidP="00FD54FC">
            <w:pPr>
              <w:spacing w:before="0" w:after="0"/>
              <w:ind w:left="33"/>
              <w:rPr>
                <w:rFonts w:ascii="Times New Roman" w:hAnsi="Times New Roman"/>
                <w:bCs/>
                <w:sz w:val="24"/>
              </w:rPr>
            </w:pPr>
            <w:r w:rsidRPr="00D51A68">
              <w:rPr>
                <w:rFonts w:ascii="Times New Roman" w:hAnsi="Times New Roman"/>
                <w:sz w:val="24"/>
              </w:rPr>
              <w:t>Colonne</w:t>
            </w:r>
          </w:p>
          <w:p w:rsidR="00FD54FC" w:rsidRPr="00D51A68" w:rsidRDefault="00FD54FC" w:rsidP="00FD54FC">
            <w:pPr>
              <w:spacing w:before="0" w:after="0"/>
              <w:ind w:left="33"/>
              <w:rPr>
                <w:rFonts w:ascii="Times New Roman" w:hAnsi="Times New Roman"/>
                <w:bCs/>
                <w:sz w:val="24"/>
              </w:rPr>
            </w:pPr>
          </w:p>
        </w:tc>
        <w:tc>
          <w:tcPr>
            <w:tcW w:w="8640" w:type="dxa"/>
            <w:shd w:val="pct25" w:color="auto" w:fill="auto"/>
          </w:tcPr>
          <w:p w:rsidR="00FD54FC" w:rsidRPr="00D51A68" w:rsidRDefault="00FD54FC" w:rsidP="00FD54FC">
            <w:pPr>
              <w:spacing w:before="0" w:after="0"/>
              <w:ind w:left="33"/>
              <w:rPr>
                <w:rFonts w:ascii="Times New Roman" w:hAnsi="Times New Roman"/>
                <w:bCs/>
                <w:sz w:val="24"/>
              </w:rPr>
            </w:pPr>
            <w:r w:rsidRPr="00D51A68">
              <w:rPr>
                <w:rFonts w:ascii="Times New Roman" w:hAnsi="Times New Roman"/>
                <w:sz w:val="24"/>
              </w:rPr>
              <w:t>Istruzioni</w:t>
            </w:r>
          </w:p>
        </w:tc>
      </w:tr>
      <w:tr w:rsidR="00FD54FC" w:rsidRPr="00D51A68" w:rsidTr="00672D2A">
        <w:tc>
          <w:tcPr>
            <w:tcW w:w="1188" w:type="dxa"/>
            <w:tcBorders>
              <w:bottom w:val="single" w:sz="4" w:space="0" w:color="auto"/>
            </w:tcBorders>
          </w:tcPr>
          <w:p w:rsidR="00FD54FC" w:rsidRPr="00D51A68" w:rsidRDefault="00FD54FC" w:rsidP="00B74792">
            <w:pPr>
              <w:spacing w:before="0" w:after="0"/>
              <w:ind w:left="33"/>
              <w:rPr>
                <w:rFonts w:ascii="Times New Roman" w:hAnsi="Times New Roman"/>
                <w:bCs/>
                <w:sz w:val="24"/>
                <w:highlight w:val="yellow"/>
              </w:rPr>
            </w:pPr>
            <w:r w:rsidRPr="00D51A68">
              <w:rPr>
                <w:rFonts w:ascii="Times New Roman" w:hAnsi="Times New Roman"/>
                <w:sz w:val="24"/>
              </w:rPr>
              <w:t>010-260</w:t>
            </w:r>
          </w:p>
        </w:tc>
        <w:tc>
          <w:tcPr>
            <w:tcW w:w="8640" w:type="dxa"/>
            <w:tcBorders>
              <w:bottom w:val="single" w:sz="4" w:space="0" w:color="auto"/>
            </w:tcBorders>
          </w:tcPr>
          <w:p w:rsidR="00FD54FC" w:rsidRPr="00D51A68" w:rsidRDefault="00FD54FC" w:rsidP="00FD54FC">
            <w:pPr>
              <w:spacing w:before="0" w:after="0"/>
              <w:ind w:left="33"/>
              <w:rPr>
                <w:rFonts w:ascii="Times New Roman" w:hAnsi="Times New Roman"/>
                <w:b/>
                <w:bCs/>
                <w:sz w:val="24"/>
                <w:u w:val="single"/>
              </w:rPr>
            </w:pPr>
            <w:r w:rsidRPr="00D51A68">
              <w:rPr>
                <w:rFonts w:ascii="Times New Roman" w:hAnsi="Times New Roman"/>
                <w:b/>
                <w:sz w:val="24"/>
                <w:u w:val="single"/>
              </w:rPr>
              <w:t xml:space="preserve">ESPOSIZIONI DIRETTE </w:t>
            </w:r>
          </w:p>
        </w:tc>
      </w:tr>
      <w:tr w:rsidR="00FD54FC" w:rsidRPr="00D51A68" w:rsidTr="00672D2A">
        <w:tc>
          <w:tcPr>
            <w:tcW w:w="1188" w:type="dxa"/>
          </w:tcPr>
          <w:p w:rsidR="00FD54FC" w:rsidRPr="00D51A68" w:rsidRDefault="00FD54FC" w:rsidP="00B74792">
            <w:pPr>
              <w:spacing w:before="0" w:after="0"/>
              <w:ind w:left="33"/>
              <w:rPr>
                <w:rFonts w:ascii="Times New Roman" w:hAnsi="Times New Roman"/>
                <w:bCs/>
                <w:sz w:val="24"/>
                <w:highlight w:val="yellow"/>
              </w:rPr>
            </w:pPr>
            <w:r w:rsidRPr="00D51A68">
              <w:rPr>
                <w:rFonts w:ascii="Times New Roman" w:hAnsi="Times New Roman"/>
                <w:sz w:val="24"/>
              </w:rPr>
              <w:t>010-140</w:t>
            </w:r>
          </w:p>
        </w:tc>
        <w:tc>
          <w:tcPr>
            <w:tcW w:w="8640" w:type="dxa"/>
          </w:tcPr>
          <w:p w:rsidR="00FD54FC" w:rsidRPr="00D51A68" w:rsidRDefault="00FD54FC" w:rsidP="00FD54FC">
            <w:pPr>
              <w:spacing w:before="0" w:after="0"/>
              <w:ind w:left="33"/>
              <w:rPr>
                <w:rFonts w:ascii="Times New Roman" w:hAnsi="Times New Roman"/>
                <w:b/>
                <w:bCs/>
                <w:sz w:val="24"/>
                <w:u w:val="single"/>
              </w:rPr>
            </w:pPr>
            <w:r w:rsidRPr="00D51A68">
              <w:rPr>
                <w:rFonts w:ascii="Times New Roman" w:hAnsi="Times New Roman"/>
                <w:b/>
                <w:sz w:val="24"/>
                <w:u w:val="single"/>
              </w:rPr>
              <w:t>ESPOSIZIONI IN BILANCIO</w:t>
            </w:r>
          </w:p>
        </w:tc>
      </w:tr>
      <w:tr w:rsidR="00FD54FC" w:rsidRPr="00D51A68" w:rsidTr="00672D2A">
        <w:tc>
          <w:tcPr>
            <w:tcW w:w="1188" w:type="dxa"/>
          </w:tcPr>
          <w:p w:rsidR="00FD54FC" w:rsidRPr="00D51A68" w:rsidRDefault="00FD54FC" w:rsidP="00FD54FC">
            <w:pPr>
              <w:spacing w:before="0" w:after="0"/>
              <w:ind w:left="33"/>
              <w:rPr>
                <w:rFonts w:ascii="Times New Roman" w:hAnsi="Times New Roman"/>
                <w:bCs/>
                <w:sz w:val="24"/>
              </w:rPr>
            </w:pPr>
            <w:r w:rsidRPr="00D51A68">
              <w:rPr>
                <w:rFonts w:ascii="Times New Roman" w:hAnsi="Times New Roman"/>
                <w:sz w:val="24"/>
              </w:rPr>
              <w:t>010</w:t>
            </w:r>
          </w:p>
        </w:tc>
        <w:tc>
          <w:tcPr>
            <w:tcW w:w="8640" w:type="dxa"/>
          </w:tcPr>
          <w:p w:rsidR="00FD54FC" w:rsidRPr="00D51A68" w:rsidRDefault="00FD54FC" w:rsidP="00FD54FC">
            <w:pPr>
              <w:spacing w:before="0" w:after="0"/>
              <w:ind w:left="33"/>
              <w:rPr>
                <w:rFonts w:ascii="Times New Roman" w:hAnsi="Times New Roman"/>
                <w:b/>
                <w:bCs/>
                <w:sz w:val="24"/>
                <w:u w:val="single"/>
              </w:rPr>
            </w:pPr>
            <w:r w:rsidRPr="00D51A68">
              <w:rPr>
                <w:rFonts w:ascii="Times New Roman" w:hAnsi="Times New Roman"/>
                <w:b/>
                <w:sz w:val="24"/>
                <w:u w:val="single"/>
              </w:rPr>
              <w:t xml:space="preserve">Valore contabile lordo totale delle attività finanziarie non derivate </w:t>
            </w:r>
          </w:p>
          <w:p w:rsidR="00FD54FC" w:rsidRPr="00D51A68" w:rsidRDefault="00FD54FC" w:rsidP="00FD54FC">
            <w:pPr>
              <w:spacing w:before="0" w:after="0"/>
              <w:ind w:left="33"/>
              <w:rPr>
                <w:rFonts w:ascii="Times New Roman" w:hAnsi="Times New Roman"/>
                <w:bCs/>
                <w:sz w:val="24"/>
              </w:rPr>
            </w:pPr>
          </w:p>
          <w:p w:rsidR="00FD54FC" w:rsidRPr="00D51A68" w:rsidRDefault="00FD54FC" w:rsidP="00FD54FC">
            <w:pPr>
              <w:spacing w:before="0" w:after="0"/>
              <w:ind w:left="33"/>
              <w:rPr>
                <w:rFonts w:ascii="Times New Roman" w:hAnsi="Times New Roman"/>
                <w:bCs/>
                <w:sz w:val="24"/>
              </w:rPr>
            </w:pPr>
            <w:r w:rsidRPr="00D51A68">
              <w:rPr>
                <w:rFonts w:ascii="Times New Roman" w:hAnsi="Times New Roman"/>
                <w:sz w:val="24"/>
              </w:rPr>
              <w:t>Il valore contabile lordo aggregato determinato a norma dell</w:t>
            </w:r>
            <w:r w:rsidR="0009277C" w:rsidRPr="00D51A68">
              <w:rPr>
                <w:rFonts w:ascii="Times New Roman" w:hAnsi="Times New Roman"/>
                <w:sz w:val="24"/>
              </w:rPr>
              <w:t>’</w:t>
            </w:r>
            <w:r w:rsidRPr="00D51A68">
              <w:rPr>
                <w:rFonts w:ascii="Times New Roman" w:hAnsi="Times New Roman"/>
                <w:sz w:val="24"/>
              </w:rPr>
              <w:t xml:space="preserve">allegato V, parte 1, paragrafo 34, delle attività finanziarie non derivate verso amministrazioni pubbliche, per tutti i portafogli contabili ai sensi degli IFRS o dei GAAP nazionali basati sulla direttiva 86/635/CEE (direttiva sui conti bancari, </w:t>
            </w:r>
            <w:r w:rsidR="0009277C" w:rsidRPr="00D51A68">
              <w:rPr>
                <w:rFonts w:ascii="Times New Roman" w:hAnsi="Times New Roman"/>
                <w:sz w:val="24"/>
              </w:rPr>
              <w:t>“</w:t>
            </w:r>
            <w:r w:rsidRPr="00D51A68">
              <w:rPr>
                <w:rFonts w:ascii="Times New Roman" w:hAnsi="Times New Roman"/>
                <w:sz w:val="24"/>
              </w:rPr>
              <w:t>BAD</w:t>
            </w:r>
            <w:r w:rsidR="0009277C" w:rsidRPr="00D51A68">
              <w:rPr>
                <w:rFonts w:ascii="Times New Roman" w:hAnsi="Times New Roman"/>
                <w:sz w:val="24"/>
              </w:rPr>
              <w:t>”</w:t>
            </w:r>
            <w:r w:rsidRPr="00D51A68">
              <w:rPr>
                <w:rFonts w:ascii="Times New Roman" w:hAnsi="Times New Roman"/>
                <w:sz w:val="24"/>
              </w:rPr>
              <w:t>) di cui all</w:t>
            </w:r>
            <w:r w:rsidR="0009277C" w:rsidRPr="00D51A68">
              <w:rPr>
                <w:rFonts w:ascii="Times New Roman" w:hAnsi="Times New Roman"/>
                <w:sz w:val="24"/>
              </w:rPr>
              <w:t>’</w:t>
            </w:r>
            <w:r w:rsidRPr="00D51A68">
              <w:rPr>
                <w:rFonts w:ascii="Times New Roman" w:hAnsi="Times New Roman"/>
                <w:sz w:val="24"/>
              </w:rPr>
              <w:t xml:space="preserve">allegato V, parte 1, punti da 15 a 22, ed elencati nelle colonne da 030 a 120. </w:t>
            </w:r>
          </w:p>
          <w:p w:rsidR="00FD54FC" w:rsidRPr="00D51A68" w:rsidRDefault="00FD54FC" w:rsidP="00FD54FC">
            <w:pPr>
              <w:spacing w:before="0" w:after="0"/>
              <w:ind w:left="33"/>
              <w:rPr>
                <w:rFonts w:ascii="Times New Roman" w:hAnsi="Times New Roman"/>
                <w:bCs/>
                <w:sz w:val="24"/>
              </w:rPr>
            </w:pPr>
          </w:p>
          <w:p w:rsidR="00FD54FC" w:rsidRPr="00D51A68" w:rsidRDefault="00FD54FC" w:rsidP="00FD54FC">
            <w:pPr>
              <w:spacing w:before="0" w:after="0"/>
              <w:ind w:left="33"/>
              <w:rPr>
                <w:rFonts w:ascii="Times New Roman" w:hAnsi="Times New Roman"/>
                <w:bCs/>
                <w:sz w:val="24"/>
              </w:rPr>
            </w:pPr>
            <w:r w:rsidRPr="00D51A68">
              <w:rPr>
                <w:rFonts w:ascii="Times New Roman" w:hAnsi="Times New Roman"/>
                <w:sz w:val="24"/>
              </w:rPr>
              <w:t>Gli aggiustamenti per la valutazione prudente non riducono il valore contabile lordo di esposizioni per negoziazione e non per negoziazione misurate al fair value (valore equo).</w:t>
            </w:r>
          </w:p>
          <w:p w:rsidR="00FD54FC" w:rsidRPr="00D51A68" w:rsidRDefault="00FD54FC" w:rsidP="00FD54FC">
            <w:pPr>
              <w:spacing w:before="0" w:after="0"/>
              <w:rPr>
                <w:rFonts w:ascii="Times New Roman" w:hAnsi="Times New Roman"/>
                <w:bCs/>
                <w:sz w:val="24"/>
              </w:rPr>
            </w:pPr>
          </w:p>
        </w:tc>
      </w:tr>
      <w:tr w:rsidR="00FD54FC" w:rsidRPr="00D51A68" w:rsidTr="00672D2A">
        <w:tc>
          <w:tcPr>
            <w:tcW w:w="1188" w:type="dxa"/>
          </w:tcPr>
          <w:p w:rsidR="00FD54FC" w:rsidRPr="00D51A68" w:rsidRDefault="00FD54FC" w:rsidP="00FD54FC">
            <w:pPr>
              <w:spacing w:before="0" w:after="0"/>
              <w:ind w:left="33"/>
              <w:rPr>
                <w:rFonts w:ascii="Times New Roman" w:hAnsi="Times New Roman"/>
                <w:bCs/>
                <w:sz w:val="24"/>
              </w:rPr>
            </w:pPr>
            <w:r w:rsidRPr="00D51A68">
              <w:rPr>
                <w:rFonts w:ascii="Times New Roman" w:hAnsi="Times New Roman"/>
                <w:sz w:val="24"/>
              </w:rPr>
              <w:t>020</w:t>
            </w:r>
          </w:p>
        </w:tc>
        <w:tc>
          <w:tcPr>
            <w:tcW w:w="8640" w:type="dxa"/>
          </w:tcPr>
          <w:p w:rsidR="00FD54FC" w:rsidRPr="00D51A68" w:rsidRDefault="00FD54FC" w:rsidP="00FD54FC">
            <w:pPr>
              <w:spacing w:before="0" w:after="0"/>
              <w:ind w:left="33"/>
              <w:rPr>
                <w:rFonts w:ascii="Times New Roman" w:hAnsi="Times New Roman"/>
                <w:b/>
                <w:bCs/>
                <w:sz w:val="24"/>
                <w:u w:val="single"/>
              </w:rPr>
            </w:pPr>
            <w:r w:rsidRPr="00D51A68">
              <w:rPr>
                <w:rFonts w:ascii="Times New Roman" w:hAnsi="Times New Roman"/>
                <w:b/>
                <w:sz w:val="24"/>
                <w:u w:val="single"/>
              </w:rPr>
              <w:t>Valore contabile totale delle attività finanziarie non derivate (al netto delle posizioni corte)</w:t>
            </w:r>
          </w:p>
          <w:p w:rsidR="00FD54FC" w:rsidRPr="00D51A68" w:rsidRDefault="00FD54FC" w:rsidP="00FD54FC">
            <w:pPr>
              <w:spacing w:before="0" w:after="0"/>
              <w:ind w:left="33"/>
              <w:rPr>
                <w:rFonts w:ascii="Times New Roman" w:hAnsi="Times New Roman"/>
                <w:bCs/>
                <w:sz w:val="24"/>
              </w:rPr>
            </w:pPr>
          </w:p>
          <w:p w:rsidR="00FD54FC" w:rsidRPr="00D51A68" w:rsidRDefault="00FD54FC" w:rsidP="00FD54FC">
            <w:pPr>
              <w:spacing w:before="0" w:after="0"/>
              <w:ind w:left="33"/>
              <w:rPr>
                <w:rFonts w:ascii="Times New Roman" w:hAnsi="Times New Roman"/>
                <w:bCs/>
                <w:sz w:val="24"/>
              </w:rPr>
            </w:pPr>
            <w:r w:rsidRPr="00D51A68">
              <w:rPr>
                <w:rFonts w:ascii="Times New Roman" w:hAnsi="Times New Roman"/>
                <w:sz w:val="24"/>
              </w:rPr>
              <w:t>Il valore contabile aggregato, a norma dell</w:t>
            </w:r>
            <w:r w:rsidR="0009277C" w:rsidRPr="00D51A68">
              <w:rPr>
                <w:rFonts w:ascii="Times New Roman" w:hAnsi="Times New Roman"/>
                <w:sz w:val="24"/>
              </w:rPr>
              <w:t>’</w:t>
            </w:r>
            <w:r w:rsidRPr="00D51A68">
              <w:rPr>
                <w:rFonts w:ascii="Times New Roman" w:hAnsi="Times New Roman"/>
                <w:sz w:val="24"/>
              </w:rPr>
              <w:t>allegato V, parte 1, paragrafo 27, delle attività finanziarie non derivate verso amministrazioni pubbliche, per tutti i portafogli contabili ai sensi degli IFRS o dei GAAP nazionali basati sulla BAD di cui all</w:t>
            </w:r>
            <w:r w:rsidR="0009277C" w:rsidRPr="00D51A68">
              <w:rPr>
                <w:rFonts w:ascii="Times New Roman" w:hAnsi="Times New Roman"/>
                <w:sz w:val="24"/>
              </w:rPr>
              <w:t>’</w:t>
            </w:r>
            <w:r w:rsidR="0011279C" w:rsidRPr="00D51A68">
              <w:rPr>
                <w:rFonts w:ascii="Times New Roman" w:hAnsi="Times New Roman"/>
                <w:sz w:val="24"/>
              </w:rPr>
              <w:t>allegato </w:t>
            </w:r>
            <w:r w:rsidRPr="00D51A68">
              <w:rPr>
                <w:rFonts w:ascii="Times New Roman" w:hAnsi="Times New Roman"/>
                <w:sz w:val="24"/>
              </w:rPr>
              <w:t>V, parte 1, punti da 15 a 22, ed elencati nelle colonne da 030 a 120, al netto delle posizioni corte.</w:t>
            </w:r>
          </w:p>
          <w:p w:rsidR="00FD54FC" w:rsidRPr="00D51A68" w:rsidRDefault="00FD54FC" w:rsidP="00FD54FC">
            <w:pPr>
              <w:spacing w:before="0" w:after="0"/>
              <w:ind w:left="33"/>
              <w:rPr>
                <w:rFonts w:ascii="Times New Roman" w:hAnsi="Times New Roman"/>
                <w:bCs/>
                <w:sz w:val="24"/>
              </w:rPr>
            </w:pPr>
          </w:p>
          <w:p w:rsidR="00FD54FC" w:rsidRPr="00D51A68" w:rsidRDefault="00FD54FC" w:rsidP="00FD54FC">
            <w:pPr>
              <w:spacing w:before="0" w:after="0"/>
              <w:ind w:left="33"/>
              <w:rPr>
                <w:rFonts w:ascii="Times New Roman" w:hAnsi="Times New Roman"/>
                <w:bCs/>
                <w:sz w:val="24"/>
              </w:rPr>
            </w:pPr>
            <w:r w:rsidRPr="00D51A68">
              <w:rPr>
                <w:rFonts w:ascii="Times New Roman" w:hAnsi="Times New Roman"/>
                <w:sz w:val="24"/>
              </w:rPr>
              <w:t>Se l</w:t>
            </w:r>
            <w:r w:rsidR="0009277C" w:rsidRPr="00D51A68">
              <w:rPr>
                <w:rFonts w:ascii="Times New Roman" w:hAnsi="Times New Roman"/>
                <w:sz w:val="24"/>
              </w:rPr>
              <w:t>’</w:t>
            </w:r>
            <w:r w:rsidRPr="00D51A68">
              <w:rPr>
                <w:rFonts w:ascii="Times New Roman" w:hAnsi="Times New Roman"/>
                <w:sz w:val="24"/>
              </w:rPr>
              <w:t>ente ha una posizione corta per la stessa durata residua e la stessa controparte immediata che è denominata nella stessa valuta, il valore contabile della posizione corta è compensato a fronte del valore contabile della posizione diretta. Questo importo netto è considerato pari a zero quando si tratta di un importo negativo.</w:t>
            </w:r>
          </w:p>
          <w:p w:rsidR="00FD54FC" w:rsidRPr="00D51A68" w:rsidRDefault="00FD54FC" w:rsidP="00FD54FC">
            <w:pPr>
              <w:spacing w:before="0" w:after="0"/>
              <w:ind w:left="33"/>
              <w:rPr>
                <w:rFonts w:ascii="Times New Roman" w:hAnsi="Times New Roman"/>
                <w:bCs/>
                <w:sz w:val="24"/>
              </w:rPr>
            </w:pPr>
          </w:p>
          <w:p w:rsidR="00FD54FC" w:rsidRPr="00D51A68" w:rsidRDefault="00FD54FC" w:rsidP="00FD54FC">
            <w:pPr>
              <w:spacing w:before="0" w:after="0"/>
              <w:ind w:left="33"/>
              <w:rPr>
                <w:rFonts w:ascii="Times New Roman" w:hAnsi="Times New Roman"/>
                <w:bCs/>
                <w:sz w:val="24"/>
              </w:rPr>
            </w:pPr>
            <w:r w:rsidRPr="00D51A68">
              <w:rPr>
                <w:rFonts w:ascii="Times New Roman" w:hAnsi="Times New Roman"/>
                <w:sz w:val="24"/>
              </w:rPr>
              <w:t>È segnalata la somma delle colonne da 030 a 120 meno la colonna 130.</w:t>
            </w:r>
            <w:r w:rsidRPr="00D51A68">
              <w:rPr>
                <w:sz w:val="24"/>
              </w:rPr>
              <w:t xml:space="preserve"> </w:t>
            </w:r>
            <w:r w:rsidRPr="00D51A68">
              <w:rPr>
                <w:rFonts w:ascii="Times New Roman" w:hAnsi="Times New Roman"/>
                <w:sz w:val="24"/>
              </w:rPr>
              <w:t>Se tale importo è inferiore a zero, l</w:t>
            </w:r>
            <w:r w:rsidR="0009277C" w:rsidRPr="00D51A68">
              <w:rPr>
                <w:rFonts w:ascii="Times New Roman" w:hAnsi="Times New Roman"/>
                <w:sz w:val="24"/>
              </w:rPr>
              <w:t>’</w:t>
            </w:r>
            <w:r w:rsidRPr="00D51A68">
              <w:rPr>
                <w:rFonts w:ascii="Times New Roman" w:hAnsi="Times New Roman"/>
                <w:sz w:val="24"/>
              </w:rPr>
              <w:t>importo da segnalare è zero.</w:t>
            </w:r>
          </w:p>
          <w:p w:rsidR="00FD54FC" w:rsidRPr="00D51A68" w:rsidDel="00FB1EBF" w:rsidRDefault="00FD54FC" w:rsidP="00FD54FC">
            <w:pPr>
              <w:spacing w:before="0" w:after="0"/>
              <w:ind w:left="33"/>
              <w:rPr>
                <w:rFonts w:ascii="Times New Roman" w:hAnsi="Times New Roman"/>
                <w:bCs/>
                <w:sz w:val="24"/>
              </w:rPr>
            </w:pPr>
          </w:p>
        </w:tc>
      </w:tr>
      <w:tr w:rsidR="00FD54FC" w:rsidRPr="00D51A68" w:rsidTr="00672D2A">
        <w:tc>
          <w:tcPr>
            <w:tcW w:w="1188" w:type="dxa"/>
          </w:tcPr>
          <w:p w:rsidR="00FD54FC" w:rsidRPr="00D51A68" w:rsidRDefault="00FD54FC" w:rsidP="00FD54FC">
            <w:pPr>
              <w:spacing w:before="0" w:after="0"/>
              <w:ind w:left="33"/>
              <w:rPr>
                <w:rFonts w:ascii="Times New Roman" w:hAnsi="Times New Roman"/>
                <w:bCs/>
                <w:sz w:val="24"/>
              </w:rPr>
            </w:pPr>
            <w:r w:rsidRPr="00D51A68">
              <w:rPr>
                <w:rFonts w:ascii="Times New Roman" w:hAnsi="Times New Roman"/>
                <w:sz w:val="24"/>
              </w:rPr>
              <w:t>030-120</w:t>
            </w:r>
          </w:p>
        </w:tc>
        <w:tc>
          <w:tcPr>
            <w:tcW w:w="8640" w:type="dxa"/>
          </w:tcPr>
          <w:p w:rsidR="00FD54FC" w:rsidRPr="00D51A68" w:rsidRDefault="00FD54FC" w:rsidP="00FD54FC">
            <w:pPr>
              <w:spacing w:before="0" w:after="0"/>
              <w:ind w:left="33"/>
              <w:rPr>
                <w:rFonts w:ascii="Times New Roman" w:hAnsi="Times New Roman"/>
                <w:b/>
                <w:bCs/>
                <w:sz w:val="24"/>
                <w:u w:val="single"/>
              </w:rPr>
            </w:pPr>
            <w:r w:rsidRPr="00D51A68">
              <w:rPr>
                <w:rFonts w:ascii="Times New Roman" w:hAnsi="Times New Roman"/>
                <w:b/>
                <w:sz w:val="24"/>
                <w:u w:val="single"/>
              </w:rPr>
              <w:t>ATTIVITÀ FINANZIARIE NON DERIVATE IN BASE AI PORTAFOGLI CONTABILI</w:t>
            </w:r>
          </w:p>
          <w:p w:rsidR="00FD54FC" w:rsidRPr="00D51A68" w:rsidRDefault="00FD54FC" w:rsidP="00FD54FC">
            <w:pPr>
              <w:spacing w:before="0" w:after="0"/>
              <w:ind w:left="33"/>
              <w:rPr>
                <w:rFonts w:ascii="Times New Roman" w:hAnsi="Times New Roman"/>
                <w:bCs/>
                <w:sz w:val="24"/>
              </w:rPr>
            </w:pPr>
          </w:p>
          <w:p w:rsidR="00FD54FC" w:rsidRPr="00D51A68" w:rsidRDefault="00FD54FC" w:rsidP="00FD54FC">
            <w:pPr>
              <w:spacing w:before="0" w:after="0"/>
              <w:ind w:left="33"/>
              <w:rPr>
                <w:rFonts w:ascii="Times New Roman" w:hAnsi="Times New Roman"/>
                <w:bCs/>
                <w:sz w:val="24"/>
              </w:rPr>
            </w:pPr>
            <w:r w:rsidRPr="00D51A68">
              <w:rPr>
                <w:rFonts w:ascii="Times New Roman" w:hAnsi="Times New Roman"/>
                <w:sz w:val="24"/>
              </w:rPr>
              <w:t>Il valore contabile aggregato delle attività finanziarie non derivate, come definito sopra, verso amministrazioni pubbliche in base ai portafogli contabili ai sensi della disciplina contabile applicabile.</w:t>
            </w:r>
          </w:p>
          <w:p w:rsidR="00FD54FC" w:rsidRPr="00D51A68" w:rsidDel="00FB1EBF" w:rsidRDefault="00FD54FC" w:rsidP="00FD54FC">
            <w:pPr>
              <w:spacing w:before="0" w:after="0"/>
              <w:ind w:left="33"/>
              <w:rPr>
                <w:rFonts w:ascii="Times New Roman" w:hAnsi="Times New Roman"/>
                <w:bCs/>
                <w:sz w:val="24"/>
              </w:rPr>
            </w:pPr>
          </w:p>
        </w:tc>
      </w:tr>
      <w:tr w:rsidR="00FD54FC" w:rsidRPr="00D51A68" w:rsidTr="00672D2A">
        <w:tc>
          <w:tcPr>
            <w:tcW w:w="1188" w:type="dxa"/>
          </w:tcPr>
          <w:p w:rsidR="00FD54FC" w:rsidRPr="00D51A68" w:rsidRDefault="00FD54FC" w:rsidP="00FD54FC">
            <w:pPr>
              <w:spacing w:before="0" w:after="0"/>
              <w:ind w:left="33"/>
              <w:rPr>
                <w:rFonts w:ascii="Times New Roman" w:hAnsi="Times New Roman"/>
                <w:bCs/>
                <w:sz w:val="24"/>
              </w:rPr>
            </w:pPr>
            <w:r w:rsidRPr="00D51A68">
              <w:rPr>
                <w:rFonts w:ascii="Times New Roman" w:hAnsi="Times New Roman"/>
                <w:sz w:val="24"/>
              </w:rPr>
              <w:t>030</w:t>
            </w:r>
          </w:p>
        </w:tc>
        <w:tc>
          <w:tcPr>
            <w:tcW w:w="8640" w:type="dxa"/>
          </w:tcPr>
          <w:p w:rsidR="00FD54FC" w:rsidRPr="00D51A68" w:rsidRDefault="00FD54FC" w:rsidP="00FD54FC">
            <w:pPr>
              <w:spacing w:before="0" w:after="0"/>
              <w:ind w:left="33"/>
              <w:rPr>
                <w:rFonts w:ascii="Times New Roman" w:hAnsi="Times New Roman"/>
                <w:bCs/>
                <w:sz w:val="24"/>
              </w:rPr>
            </w:pPr>
            <w:r w:rsidRPr="00D51A68">
              <w:rPr>
                <w:rFonts w:ascii="Times New Roman" w:hAnsi="Times New Roman"/>
                <w:b/>
                <w:sz w:val="24"/>
                <w:u w:val="single"/>
              </w:rPr>
              <w:t>Attività finanziarie possedute per negoziazione</w:t>
            </w:r>
          </w:p>
          <w:p w:rsidR="00FD54FC" w:rsidRPr="00D51A68" w:rsidRDefault="00FD54FC" w:rsidP="00FD54FC">
            <w:pPr>
              <w:spacing w:before="0" w:after="0"/>
              <w:ind w:left="33"/>
              <w:rPr>
                <w:rFonts w:ascii="Times New Roman" w:hAnsi="Times New Roman"/>
                <w:bCs/>
                <w:sz w:val="24"/>
              </w:rPr>
            </w:pPr>
          </w:p>
          <w:p w:rsidR="00FD54FC" w:rsidRPr="00D51A68" w:rsidRDefault="001C79CB" w:rsidP="00FD54FC">
            <w:pPr>
              <w:spacing w:before="0" w:after="0"/>
              <w:ind w:left="33"/>
              <w:rPr>
                <w:rFonts w:ascii="Times New Roman" w:hAnsi="Times New Roman"/>
                <w:bCs/>
                <w:sz w:val="24"/>
              </w:rPr>
            </w:pPr>
            <w:r w:rsidRPr="00D51A68">
              <w:rPr>
                <w:rFonts w:ascii="Times New Roman" w:hAnsi="Times New Roman"/>
                <w:sz w:val="24"/>
              </w:rPr>
              <w:t>IFRS 7, paragrafo 8, lettera a), punto ii); IFRS 9, appendice A.</w:t>
            </w:r>
          </w:p>
          <w:p w:rsidR="00FD54FC" w:rsidRPr="00D51A68" w:rsidDel="00FB1EBF" w:rsidRDefault="00FD54FC" w:rsidP="00FD54FC">
            <w:pPr>
              <w:spacing w:before="0" w:after="0"/>
              <w:ind w:left="33"/>
              <w:rPr>
                <w:rFonts w:ascii="Times New Roman" w:hAnsi="Times New Roman"/>
                <w:bCs/>
                <w:sz w:val="24"/>
              </w:rPr>
            </w:pPr>
          </w:p>
        </w:tc>
      </w:tr>
      <w:tr w:rsidR="00FD54FC" w:rsidRPr="00D51A68" w:rsidTr="00672D2A">
        <w:tc>
          <w:tcPr>
            <w:tcW w:w="1188" w:type="dxa"/>
          </w:tcPr>
          <w:p w:rsidR="00FD54FC" w:rsidRPr="00D51A68" w:rsidRDefault="00FD54FC" w:rsidP="00FD54FC">
            <w:pPr>
              <w:spacing w:before="0" w:after="0"/>
              <w:ind w:left="33"/>
              <w:rPr>
                <w:rFonts w:ascii="Times New Roman" w:hAnsi="Times New Roman"/>
                <w:bCs/>
                <w:sz w:val="24"/>
              </w:rPr>
            </w:pPr>
            <w:r w:rsidRPr="00D51A68">
              <w:rPr>
                <w:rFonts w:ascii="Times New Roman" w:hAnsi="Times New Roman"/>
                <w:sz w:val="24"/>
              </w:rPr>
              <w:t>040</w:t>
            </w:r>
          </w:p>
        </w:tc>
        <w:tc>
          <w:tcPr>
            <w:tcW w:w="8640" w:type="dxa"/>
          </w:tcPr>
          <w:p w:rsidR="00FD54FC" w:rsidRPr="00D51A68" w:rsidRDefault="00FD54FC" w:rsidP="00FD54FC">
            <w:pPr>
              <w:spacing w:before="0" w:after="0"/>
              <w:ind w:left="33"/>
              <w:rPr>
                <w:rFonts w:ascii="Times New Roman" w:hAnsi="Times New Roman"/>
                <w:b/>
                <w:bCs/>
                <w:sz w:val="24"/>
                <w:u w:val="single"/>
              </w:rPr>
            </w:pPr>
            <w:r w:rsidRPr="00D51A68">
              <w:rPr>
                <w:rFonts w:ascii="Times New Roman" w:hAnsi="Times New Roman"/>
                <w:b/>
                <w:sz w:val="24"/>
                <w:u w:val="single"/>
              </w:rPr>
              <w:t>Attività finanziarie per negoziazione</w:t>
            </w:r>
          </w:p>
          <w:p w:rsidR="00FD54FC" w:rsidRPr="00D51A68" w:rsidRDefault="00FD54FC" w:rsidP="00FD54FC">
            <w:pPr>
              <w:spacing w:before="0" w:after="0"/>
              <w:ind w:left="33"/>
              <w:rPr>
                <w:rFonts w:ascii="Times New Roman" w:hAnsi="Times New Roman"/>
                <w:bCs/>
                <w:sz w:val="24"/>
              </w:rPr>
            </w:pPr>
          </w:p>
          <w:p w:rsidR="00FD54FC" w:rsidRPr="00D51A68" w:rsidRDefault="00FD54FC" w:rsidP="00FD54FC">
            <w:pPr>
              <w:spacing w:before="0" w:after="0"/>
              <w:ind w:left="33"/>
              <w:rPr>
                <w:rFonts w:ascii="Times New Roman" w:hAnsi="Times New Roman"/>
                <w:bCs/>
                <w:sz w:val="24"/>
              </w:rPr>
            </w:pPr>
            <w:r w:rsidRPr="00D51A68">
              <w:rPr>
                <w:rFonts w:ascii="Times New Roman" w:hAnsi="Times New Roman"/>
                <w:sz w:val="24"/>
              </w:rPr>
              <w:t>Articoli 32-33 della BAD; allegato V, parte 1, paragrafo 16; articolo 8, paragrafo 1, lettera a), della direttiva contabile.</w:t>
            </w:r>
          </w:p>
          <w:p w:rsidR="00FD54FC" w:rsidRPr="00D51A68" w:rsidRDefault="00FD54FC" w:rsidP="00FD54FC">
            <w:pPr>
              <w:spacing w:before="0" w:after="0"/>
              <w:ind w:left="33"/>
              <w:rPr>
                <w:rFonts w:ascii="Times New Roman" w:hAnsi="Times New Roman"/>
                <w:bCs/>
                <w:sz w:val="24"/>
              </w:rPr>
            </w:pPr>
            <w:r w:rsidRPr="00D51A68">
              <w:rPr>
                <w:rFonts w:ascii="Times New Roman" w:hAnsi="Times New Roman"/>
                <w:sz w:val="24"/>
              </w:rPr>
              <w:t>Da dichiarare unicamente per gli enti che applicano i principi contabili generalmente accettati nazionali (GAAP).</w:t>
            </w:r>
          </w:p>
          <w:p w:rsidR="00FD54FC" w:rsidRPr="00D51A68" w:rsidDel="00FB1EBF" w:rsidRDefault="00FD54FC" w:rsidP="00FD54FC">
            <w:pPr>
              <w:spacing w:before="0" w:after="0"/>
              <w:ind w:left="33"/>
              <w:rPr>
                <w:rFonts w:ascii="Times New Roman" w:hAnsi="Times New Roman"/>
                <w:bCs/>
                <w:sz w:val="24"/>
              </w:rPr>
            </w:pPr>
          </w:p>
        </w:tc>
      </w:tr>
      <w:tr w:rsidR="00FD54FC" w:rsidRPr="00D51A68" w:rsidTr="00672D2A">
        <w:tc>
          <w:tcPr>
            <w:tcW w:w="1188" w:type="dxa"/>
          </w:tcPr>
          <w:p w:rsidR="00FD54FC" w:rsidRPr="00D51A68" w:rsidRDefault="00FD54FC" w:rsidP="00FD54FC">
            <w:pPr>
              <w:spacing w:before="0" w:after="0"/>
              <w:ind w:left="33"/>
              <w:rPr>
                <w:rFonts w:ascii="Times New Roman" w:hAnsi="Times New Roman"/>
                <w:bCs/>
                <w:sz w:val="24"/>
              </w:rPr>
            </w:pPr>
            <w:r w:rsidRPr="00D51A68">
              <w:rPr>
                <w:rFonts w:ascii="Times New Roman" w:hAnsi="Times New Roman"/>
                <w:sz w:val="24"/>
              </w:rPr>
              <w:t>050</w:t>
            </w:r>
          </w:p>
        </w:tc>
        <w:tc>
          <w:tcPr>
            <w:tcW w:w="8640" w:type="dxa"/>
          </w:tcPr>
          <w:p w:rsidR="00FD54FC" w:rsidRPr="00D51A68" w:rsidRDefault="00FD54FC" w:rsidP="00FD54FC">
            <w:pPr>
              <w:spacing w:before="0" w:after="0"/>
              <w:ind w:left="33"/>
              <w:rPr>
                <w:rFonts w:ascii="Times New Roman" w:hAnsi="Times New Roman"/>
                <w:b/>
                <w:bCs/>
                <w:sz w:val="24"/>
                <w:u w:val="single"/>
              </w:rPr>
            </w:pPr>
            <w:r w:rsidRPr="00D51A68">
              <w:rPr>
                <w:rFonts w:ascii="Times New Roman" w:hAnsi="Times New Roman"/>
                <w:b/>
                <w:sz w:val="24"/>
                <w:u w:val="single"/>
              </w:rPr>
              <w:t>Attività finanziarie non per negoziazione obbligatoriamente al fair value (valore equo) rilevato nell</w:t>
            </w:r>
            <w:r w:rsidR="0009277C" w:rsidRPr="00D51A68">
              <w:rPr>
                <w:rFonts w:ascii="Times New Roman" w:hAnsi="Times New Roman"/>
                <w:b/>
                <w:sz w:val="24"/>
                <w:u w:val="single"/>
              </w:rPr>
              <w:t>’</w:t>
            </w:r>
            <w:r w:rsidRPr="00D51A68">
              <w:rPr>
                <w:rFonts w:ascii="Times New Roman" w:hAnsi="Times New Roman"/>
                <w:b/>
                <w:sz w:val="24"/>
                <w:u w:val="single"/>
              </w:rPr>
              <w:t>utile (perdita) d</w:t>
            </w:r>
            <w:r w:rsidR="0009277C" w:rsidRPr="00D51A68">
              <w:rPr>
                <w:rFonts w:ascii="Times New Roman" w:hAnsi="Times New Roman"/>
                <w:b/>
                <w:sz w:val="24"/>
                <w:u w:val="single"/>
              </w:rPr>
              <w:t>’</w:t>
            </w:r>
            <w:r w:rsidRPr="00D51A68">
              <w:rPr>
                <w:rFonts w:ascii="Times New Roman" w:hAnsi="Times New Roman"/>
                <w:b/>
                <w:sz w:val="24"/>
                <w:u w:val="single"/>
              </w:rPr>
              <w:t>esercizio</w:t>
            </w:r>
          </w:p>
          <w:p w:rsidR="00FD54FC" w:rsidRPr="00D51A68" w:rsidRDefault="00FD54FC" w:rsidP="00FD54FC">
            <w:pPr>
              <w:spacing w:before="0" w:after="0"/>
              <w:ind w:left="33"/>
              <w:rPr>
                <w:rFonts w:ascii="Times New Roman" w:hAnsi="Times New Roman"/>
                <w:bCs/>
                <w:sz w:val="24"/>
              </w:rPr>
            </w:pPr>
          </w:p>
          <w:p w:rsidR="00FD54FC" w:rsidRPr="00D51A68" w:rsidRDefault="00FD54FC" w:rsidP="00FD54FC">
            <w:pPr>
              <w:spacing w:before="0" w:after="0"/>
              <w:ind w:left="33"/>
              <w:rPr>
                <w:rFonts w:ascii="Times New Roman" w:hAnsi="Times New Roman"/>
                <w:bCs/>
                <w:sz w:val="24"/>
              </w:rPr>
            </w:pPr>
            <w:r w:rsidRPr="00D51A68">
              <w:rPr>
                <w:rFonts w:ascii="Times New Roman" w:hAnsi="Times New Roman"/>
                <w:sz w:val="24"/>
              </w:rPr>
              <w:t>IFRS 7, paragrafo 8, lettera a), punto ii); IFRS 9, paragrafo 4, punto 1, punto 4.</w:t>
            </w:r>
          </w:p>
          <w:p w:rsidR="00FD54FC" w:rsidRPr="00D51A68" w:rsidRDefault="00FD54FC" w:rsidP="00FD54FC">
            <w:pPr>
              <w:spacing w:before="0" w:after="0"/>
              <w:ind w:left="33"/>
              <w:rPr>
                <w:rFonts w:ascii="Times New Roman" w:hAnsi="Times New Roman"/>
                <w:bCs/>
                <w:sz w:val="24"/>
              </w:rPr>
            </w:pPr>
          </w:p>
        </w:tc>
      </w:tr>
      <w:tr w:rsidR="00FD54FC" w:rsidRPr="00D51A68" w:rsidTr="00672D2A">
        <w:tc>
          <w:tcPr>
            <w:tcW w:w="1188" w:type="dxa"/>
          </w:tcPr>
          <w:p w:rsidR="00FD54FC" w:rsidRPr="00D51A68" w:rsidRDefault="00FD54FC" w:rsidP="00FD54FC">
            <w:pPr>
              <w:spacing w:before="0" w:after="0"/>
              <w:ind w:left="33"/>
              <w:rPr>
                <w:rFonts w:ascii="Times New Roman" w:hAnsi="Times New Roman"/>
                <w:bCs/>
                <w:sz w:val="24"/>
              </w:rPr>
            </w:pPr>
            <w:r w:rsidRPr="00D51A68">
              <w:rPr>
                <w:rFonts w:ascii="Times New Roman" w:hAnsi="Times New Roman"/>
                <w:sz w:val="24"/>
              </w:rPr>
              <w:t>060</w:t>
            </w:r>
          </w:p>
        </w:tc>
        <w:tc>
          <w:tcPr>
            <w:tcW w:w="8640" w:type="dxa"/>
          </w:tcPr>
          <w:p w:rsidR="00FD54FC" w:rsidRPr="00D51A68" w:rsidRDefault="00FD54FC" w:rsidP="00FD54FC">
            <w:pPr>
              <w:spacing w:before="0" w:after="0"/>
              <w:ind w:left="33"/>
              <w:rPr>
                <w:rFonts w:ascii="Times New Roman" w:hAnsi="Times New Roman"/>
                <w:b/>
                <w:bCs/>
                <w:sz w:val="24"/>
                <w:u w:val="single"/>
              </w:rPr>
            </w:pPr>
            <w:r w:rsidRPr="00D51A68">
              <w:rPr>
                <w:rFonts w:ascii="Times New Roman" w:hAnsi="Times New Roman"/>
                <w:b/>
                <w:sz w:val="24"/>
                <w:u w:val="single"/>
              </w:rPr>
              <w:t>Attività finanziarie designate al fair value (valore equo) rilevato nell</w:t>
            </w:r>
            <w:r w:rsidR="0009277C" w:rsidRPr="00D51A68">
              <w:rPr>
                <w:rFonts w:ascii="Times New Roman" w:hAnsi="Times New Roman"/>
                <w:b/>
                <w:sz w:val="24"/>
                <w:u w:val="single"/>
              </w:rPr>
              <w:t>’</w:t>
            </w:r>
            <w:r w:rsidRPr="00D51A68">
              <w:rPr>
                <w:rFonts w:ascii="Times New Roman" w:hAnsi="Times New Roman"/>
                <w:b/>
                <w:sz w:val="24"/>
                <w:u w:val="single"/>
              </w:rPr>
              <w:t>utile (perdita) d</w:t>
            </w:r>
            <w:r w:rsidR="0009277C" w:rsidRPr="00D51A68">
              <w:rPr>
                <w:rFonts w:ascii="Times New Roman" w:hAnsi="Times New Roman"/>
                <w:b/>
                <w:sz w:val="24"/>
                <w:u w:val="single"/>
              </w:rPr>
              <w:t>’</w:t>
            </w:r>
            <w:r w:rsidRPr="00D51A68">
              <w:rPr>
                <w:rFonts w:ascii="Times New Roman" w:hAnsi="Times New Roman"/>
                <w:b/>
                <w:sz w:val="24"/>
                <w:u w:val="single"/>
              </w:rPr>
              <w:t>esercizio</w:t>
            </w:r>
          </w:p>
          <w:p w:rsidR="00FD54FC" w:rsidRPr="00D51A68" w:rsidRDefault="00FD54FC" w:rsidP="00FD54FC">
            <w:pPr>
              <w:spacing w:before="0" w:after="0"/>
              <w:ind w:left="33"/>
              <w:rPr>
                <w:rFonts w:ascii="Times New Roman" w:hAnsi="Times New Roman"/>
                <w:bCs/>
                <w:sz w:val="24"/>
              </w:rPr>
            </w:pPr>
          </w:p>
          <w:p w:rsidR="00FD54FC" w:rsidRPr="00D51A68" w:rsidRDefault="00FD54FC" w:rsidP="00FD54FC">
            <w:pPr>
              <w:spacing w:before="0" w:after="0"/>
              <w:ind w:left="33"/>
              <w:rPr>
                <w:rFonts w:ascii="Times New Roman" w:hAnsi="Times New Roman"/>
                <w:bCs/>
                <w:sz w:val="24"/>
              </w:rPr>
            </w:pPr>
            <w:r w:rsidRPr="00D51A68">
              <w:rPr>
                <w:rFonts w:ascii="Times New Roman" w:hAnsi="Times New Roman"/>
                <w:sz w:val="24"/>
              </w:rPr>
              <w:t>IFRS 7, paragrafo 8, lettera a), punto i); IFRS 9.4.1.5; articolo 8, paragrafo 1, lettera a), e paragrafo 6, della direttiva contabile.</w:t>
            </w:r>
          </w:p>
          <w:p w:rsidR="00FD54FC" w:rsidRPr="00D51A68" w:rsidRDefault="00FD54FC" w:rsidP="00FD54FC">
            <w:pPr>
              <w:spacing w:before="0" w:after="0"/>
              <w:ind w:left="33"/>
              <w:rPr>
                <w:rFonts w:ascii="Times New Roman" w:hAnsi="Times New Roman"/>
                <w:bCs/>
                <w:sz w:val="24"/>
              </w:rPr>
            </w:pPr>
          </w:p>
        </w:tc>
      </w:tr>
      <w:tr w:rsidR="00FD54FC" w:rsidRPr="00D51A68" w:rsidTr="00672D2A">
        <w:tc>
          <w:tcPr>
            <w:tcW w:w="1188" w:type="dxa"/>
          </w:tcPr>
          <w:p w:rsidR="00FD54FC" w:rsidRPr="00D51A68" w:rsidRDefault="00FD54FC" w:rsidP="00FD54FC">
            <w:pPr>
              <w:spacing w:before="0" w:after="0"/>
              <w:ind w:left="33"/>
              <w:rPr>
                <w:rFonts w:ascii="Times New Roman" w:hAnsi="Times New Roman"/>
                <w:bCs/>
                <w:sz w:val="24"/>
              </w:rPr>
            </w:pPr>
            <w:r w:rsidRPr="00D51A68">
              <w:rPr>
                <w:rFonts w:ascii="Times New Roman" w:hAnsi="Times New Roman"/>
                <w:sz w:val="24"/>
              </w:rPr>
              <w:t>070</w:t>
            </w:r>
          </w:p>
        </w:tc>
        <w:tc>
          <w:tcPr>
            <w:tcW w:w="8640" w:type="dxa"/>
          </w:tcPr>
          <w:p w:rsidR="00FD54FC" w:rsidRPr="00D51A68" w:rsidRDefault="00FD54FC" w:rsidP="00FD54FC">
            <w:pPr>
              <w:spacing w:before="0" w:after="0"/>
              <w:ind w:left="33"/>
              <w:rPr>
                <w:rFonts w:ascii="Times New Roman" w:hAnsi="Times New Roman"/>
                <w:b/>
                <w:bCs/>
                <w:sz w:val="24"/>
                <w:u w:val="single"/>
              </w:rPr>
            </w:pPr>
            <w:r w:rsidRPr="00D51A68">
              <w:rPr>
                <w:rFonts w:ascii="Times New Roman" w:hAnsi="Times New Roman"/>
                <w:b/>
                <w:sz w:val="24"/>
                <w:u w:val="single"/>
              </w:rPr>
              <w:t>Attività finanziarie non derivate e non per negoziazione valutate al fair value (valore equo) rilevato nell</w:t>
            </w:r>
            <w:r w:rsidR="0009277C" w:rsidRPr="00D51A68">
              <w:rPr>
                <w:rFonts w:ascii="Times New Roman" w:hAnsi="Times New Roman"/>
                <w:b/>
                <w:sz w:val="24"/>
                <w:u w:val="single"/>
              </w:rPr>
              <w:t>’</w:t>
            </w:r>
            <w:r w:rsidRPr="00D51A68">
              <w:rPr>
                <w:rFonts w:ascii="Times New Roman" w:hAnsi="Times New Roman"/>
                <w:b/>
                <w:sz w:val="24"/>
                <w:u w:val="single"/>
              </w:rPr>
              <w:t>utile (perdita) d</w:t>
            </w:r>
            <w:r w:rsidR="0009277C" w:rsidRPr="00D51A68">
              <w:rPr>
                <w:rFonts w:ascii="Times New Roman" w:hAnsi="Times New Roman"/>
                <w:b/>
                <w:sz w:val="24"/>
                <w:u w:val="single"/>
              </w:rPr>
              <w:t>’</w:t>
            </w:r>
            <w:r w:rsidRPr="00D51A68">
              <w:rPr>
                <w:rFonts w:ascii="Times New Roman" w:hAnsi="Times New Roman"/>
                <w:b/>
                <w:sz w:val="24"/>
                <w:u w:val="single"/>
              </w:rPr>
              <w:t>esercizio</w:t>
            </w:r>
          </w:p>
          <w:p w:rsidR="00FD54FC" w:rsidRPr="00D51A68" w:rsidRDefault="00FD54FC" w:rsidP="00FD54FC">
            <w:pPr>
              <w:spacing w:before="0" w:after="0"/>
              <w:ind w:left="33"/>
              <w:rPr>
                <w:rFonts w:ascii="Times New Roman" w:hAnsi="Times New Roman"/>
                <w:bCs/>
                <w:sz w:val="24"/>
              </w:rPr>
            </w:pPr>
          </w:p>
          <w:p w:rsidR="00FD54FC" w:rsidRPr="00D51A68" w:rsidRDefault="00FD54FC" w:rsidP="00FD54FC">
            <w:pPr>
              <w:spacing w:before="0" w:after="0"/>
              <w:ind w:left="33"/>
              <w:rPr>
                <w:rFonts w:ascii="Times New Roman" w:hAnsi="Times New Roman"/>
                <w:bCs/>
                <w:sz w:val="24"/>
              </w:rPr>
            </w:pPr>
            <w:r w:rsidRPr="00D51A68">
              <w:rPr>
                <w:rFonts w:ascii="Times New Roman" w:hAnsi="Times New Roman"/>
                <w:sz w:val="24"/>
              </w:rPr>
              <w:t>Articolo 36, paragrafo, 2 della BAD; articolo 8, paragrafo 1, lettera a), della direttiva contabile.</w:t>
            </w:r>
          </w:p>
          <w:p w:rsidR="00FD54FC" w:rsidRPr="00D51A68" w:rsidRDefault="00FD54FC" w:rsidP="00FD54FC">
            <w:pPr>
              <w:spacing w:before="0" w:after="0"/>
              <w:ind w:left="33"/>
              <w:rPr>
                <w:rFonts w:ascii="Times New Roman" w:hAnsi="Times New Roman"/>
                <w:bCs/>
                <w:sz w:val="24"/>
              </w:rPr>
            </w:pPr>
          </w:p>
          <w:p w:rsidR="00FD54FC" w:rsidRPr="00D51A68" w:rsidRDefault="00FD54FC" w:rsidP="00FD54FC">
            <w:pPr>
              <w:spacing w:before="0" w:after="0"/>
              <w:ind w:left="33"/>
              <w:rPr>
                <w:rFonts w:ascii="Times New Roman" w:hAnsi="Times New Roman"/>
                <w:bCs/>
                <w:sz w:val="24"/>
              </w:rPr>
            </w:pPr>
            <w:r w:rsidRPr="00D51A68">
              <w:rPr>
                <w:rFonts w:ascii="Times New Roman" w:hAnsi="Times New Roman"/>
                <w:sz w:val="24"/>
              </w:rPr>
              <w:t>Da dichiarare unicamente per gli enti che applicano i principi contabili generalmente accettati nazionali (GAAP).</w:t>
            </w:r>
          </w:p>
          <w:p w:rsidR="00FD54FC" w:rsidRPr="00D51A68" w:rsidRDefault="00FD54FC" w:rsidP="00FD54FC">
            <w:pPr>
              <w:spacing w:before="0" w:after="0"/>
              <w:ind w:left="33"/>
              <w:rPr>
                <w:rFonts w:ascii="Times New Roman" w:hAnsi="Times New Roman"/>
                <w:bCs/>
                <w:sz w:val="24"/>
              </w:rPr>
            </w:pPr>
          </w:p>
        </w:tc>
      </w:tr>
      <w:tr w:rsidR="00FD54FC" w:rsidRPr="00D51A68" w:rsidTr="00672D2A">
        <w:tc>
          <w:tcPr>
            <w:tcW w:w="1188" w:type="dxa"/>
          </w:tcPr>
          <w:p w:rsidR="00FD54FC" w:rsidRPr="00D51A68" w:rsidRDefault="00FD54FC" w:rsidP="00FD54FC">
            <w:pPr>
              <w:spacing w:before="0" w:after="0"/>
              <w:ind w:left="33"/>
              <w:rPr>
                <w:rFonts w:ascii="Times New Roman" w:hAnsi="Times New Roman"/>
                <w:bCs/>
                <w:sz w:val="24"/>
              </w:rPr>
            </w:pPr>
            <w:r w:rsidRPr="00D51A68">
              <w:rPr>
                <w:rFonts w:ascii="Times New Roman" w:hAnsi="Times New Roman"/>
                <w:sz w:val="24"/>
              </w:rPr>
              <w:t>080</w:t>
            </w:r>
          </w:p>
        </w:tc>
        <w:tc>
          <w:tcPr>
            <w:tcW w:w="8640" w:type="dxa"/>
          </w:tcPr>
          <w:p w:rsidR="00FD54FC" w:rsidRPr="00D51A68" w:rsidRDefault="00FD54FC" w:rsidP="00FD54FC">
            <w:pPr>
              <w:spacing w:before="0" w:after="0"/>
              <w:ind w:left="33"/>
              <w:rPr>
                <w:rFonts w:ascii="Times New Roman" w:hAnsi="Times New Roman"/>
                <w:b/>
                <w:bCs/>
                <w:sz w:val="24"/>
                <w:u w:val="single"/>
              </w:rPr>
            </w:pPr>
            <w:r w:rsidRPr="00D51A68">
              <w:rPr>
                <w:rFonts w:ascii="Times New Roman" w:hAnsi="Times New Roman"/>
                <w:b/>
                <w:sz w:val="24"/>
                <w:u w:val="single"/>
              </w:rPr>
              <w:t>Attività finanziarie al fair value (valore equo) rilevato nelle altre componenti di conto economico complessivo</w:t>
            </w:r>
          </w:p>
          <w:p w:rsidR="00FD54FC" w:rsidRPr="00D51A68" w:rsidRDefault="00FD54FC" w:rsidP="00FD54FC">
            <w:pPr>
              <w:spacing w:before="0" w:after="0"/>
              <w:ind w:left="33"/>
              <w:rPr>
                <w:rFonts w:ascii="Times New Roman" w:hAnsi="Times New Roman"/>
                <w:bCs/>
                <w:sz w:val="24"/>
              </w:rPr>
            </w:pPr>
          </w:p>
          <w:p w:rsidR="00FD54FC" w:rsidRPr="00D51A68" w:rsidRDefault="00FD54FC" w:rsidP="00FD54FC">
            <w:pPr>
              <w:spacing w:before="0" w:after="0"/>
              <w:ind w:left="33"/>
              <w:rPr>
                <w:rFonts w:ascii="Times New Roman" w:hAnsi="Times New Roman"/>
                <w:bCs/>
                <w:sz w:val="24"/>
              </w:rPr>
            </w:pPr>
            <w:r w:rsidRPr="00D51A68">
              <w:rPr>
                <w:rFonts w:ascii="Times New Roman" w:hAnsi="Times New Roman"/>
                <w:sz w:val="24"/>
              </w:rPr>
              <w:t>IFRS 7.8(d); IFRS 9.4.1.2A</w:t>
            </w:r>
          </w:p>
          <w:p w:rsidR="00FD54FC" w:rsidRPr="00D51A68" w:rsidRDefault="00FD54FC" w:rsidP="00FD54FC">
            <w:pPr>
              <w:spacing w:before="0" w:after="0"/>
              <w:ind w:left="33"/>
              <w:rPr>
                <w:rFonts w:ascii="Times New Roman" w:hAnsi="Times New Roman"/>
                <w:b/>
                <w:bCs/>
                <w:sz w:val="24"/>
              </w:rPr>
            </w:pPr>
          </w:p>
        </w:tc>
      </w:tr>
      <w:tr w:rsidR="00FD54FC" w:rsidRPr="00D51A68" w:rsidTr="00672D2A">
        <w:tc>
          <w:tcPr>
            <w:tcW w:w="1188" w:type="dxa"/>
          </w:tcPr>
          <w:p w:rsidR="00FD54FC" w:rsidRPr="00D51A68" w:rsidRDefault="00FD54FC" w:rsidP="00FD54FC">
            <w:pPr>
              <w:spacing w:before="0" w:after="0"/>
              <w:ind w:left="33"/>
              <w:rPr>
                <w:rFonts w:ascii="Times New Roman" w:hAnsi="Times New Roman"/>
                <w:bCs/>
                <w:sz w:val="24"/>
              </w:rPr>
            </w:pPr>
            <w:r w:rsidRPr="00D51A68">
              <w:rPr>
                <w:rFonts w:ascii="Times New Roman" w:hAnsi="Times New Roman"/>
                <w:sz w:val="24"/>
              </w:rPr>
              <w:t>090</w:t>
            </w:r>
          </w:p>
        </w:tc>
        <w:tc>
          <w:tcPr>
            <w:tcW w:w="8640" w:type="dxa"/>
          </w:tcPr>
          <w:p w:rsidR="00FD54FC" w:rsidRPr="00D51A68" w:rsidRDefault="00FD54FC" w:rsidP="00FD54FC">
            <w:pPr>
              <w:spacing w:before="0" w:after="0"/>
              <w:ind w:left="33"/>
              <w:rPr>
                <w:rFonts w:ascii="Times New Roman" w:hAnsi="Times New Roman"/>
                <w:b/>
                <w:bCs/>
                <w:sz w:val="24"/>
                <w:u w:val="single"/>
              </w:rPr>
            </w:pPr>
            <w:r w:rsidRPr="00D51A68">
              <w:rPr>
                <w:rFonts w:ascii="Times New Roman" w:hAnsi="Times New Roman"/>
                <w:b/>
                <w:sz w:val="24"/>
                <w:u w:val="single"/>
              </w:rPr>
              <w:t>Attività finanziarie non derivate e non per negoziazione valutate al fair value (valore equo) rilevato a patrimonio netto</w:t>
            </w:r>
          </w:p>
          <w:p w:rsidR="00FD54FC" w:rsidRPr="00D51A68" w:rsidRDefault="00FD54FC" w:rsidP="00FD54FC">
            <w:pPr>
              <w:spacing w:before="0" w:after="0"/>
              <w:ind w:left="33"/>
              <w:rPr>
                <w:rFonts w:ascii="Times New Roman" w:hAnsi="Times New Roman"/>
                <w:bCs/>
                <w:sz w:val="24"/>
              </w:rPr>
            </w:pPr>
          </w:p>
          <w:p w:rsidR="00FD54FC" w:rsidRPr="00D51A68" w:rsidRDefault="00FD54FC" w:rsidP="00FD54FC">
            <w:pPr>
              <w:spacing w:before="0" w:after="0"/>
              <w:ind w:left="33"/>
              <w:rPr>
                <w:rFonts w:ascii="Times New Roman" w:hAnsi="Times New Roman"/>
                <w:bCs/>
                <w:sz w:val="24"/>
              </w:rPr>
            </w:pPr>
            <w:r w:rsidRPr="00D51A68">
              <w:rPr>
                <w:rFonts w:ascii="Times New Roman" w:hAnsi="Times New Roman"/>
                <w:sz w:val="24"/>
              </w:rPr>
              <w:t>Articolo 8, paragrafo 1, lettera a), e paragrafo 8, della direttiva contabile.</w:t>
            </w:r>
          </w:p>
          <w:p w:rsidR="00FD54FC" w:rsidRPr="00D51A68" w:rsidRDefault="00FD54FC" w:rsidP="00FD54FC">
            <w:pPr>
              <w:spacing w:before="0" w:after="0"/>
              <w:ind w:left="33"/>
              <w:rPr>
                <w:rFonts w:ascii="Times New Roman" w:hAnsi="Times New Roman"/>
                <w:bCs/>
                <w:sz w:val="24"/>
              </w:rPr>
            </w:pPr>
          </w:p>
          <w:p w:rsidR="00FD54FC" w:rsidRPr="00D51A68" w:rsidRDefault="00FD54FC" w:rsidP="00FD54FC">
            <w:pPr>
              <w:spacing w:before="0" w:after="0"/>
              <w:ind w:left="33"/>
              <w:rPr>
                <w:rFonts w:ascii="Times New Roman" w:hAnsi="Times New Roman"/>
                <w:bCs/>
                <w:sz w:val="24"/>
              </w:rPr>
            </w:pPr>
            <w:r w:rsidRPr="00D51A68">
              <w:rPr>
                <w:rFonts w:ascii="Times New Roman" w:hAnsi="Times New Roman"/>
                <w:sz w:val="24"/>
              </w:rPr>
              <w:t>Da dichiarare unicamente per gli enti che applicano i principi contabili generalmente accettati nazionali (GAAP).</w:t>
            </w:r>
          </w:p>
          <w:p w:rsidR="00FD54FC" w:rsidRPr="00D51A68" w:rsidRDefault="00FD54FC" w:rsidP="00FD54FC">
            <w:pPr>
              <w:spacing w:before="0" w:after="0"/>
              <w:ind w:left="33"/>
              <w:rPr>
                <w:rFonts w:ascii="Times New Roman" w:hAnsi="Times New Roman"/>
                <w:bCs/>
                <w:sz w:val="24"/>
              </w:rPr>
            </w:pPr>
          </w:p>
          <w:p w:rsidR="00FD54FC" w:rsidRPr="00D51A68" w:rsidRDefault="00FD54FC" w:rsidP="00FD54FC">
            <w:pPr>
              <w:spacing w:before="0" w:after="0"/>
              <w:ind w:left="33"/>
              <w:rPr>
                <w:rFonts w:ascii="Times New Roman" w:hAnsi="Times New Roman"/>
                <w:bCs/>
                <w:sz w:val="24"/>
              </w:rPr>
            </w:pPr>
          </w:p>
        </w:tc>
      </w:tr>
      <w:tr w:rsidR="00FD54FC" w:rsidRPr="00D51A68" w:rsidTr="00672D2A">
        <w:tc>
          <w:tcPr>
            <w:tcW w:w="1188" w:type="dxa"/>
          </w:tcPr>
          <w:p w:rsidR="00FD54FC" w:rsidRPr="00D51A68" w:rsidRDefault="00FD54FC" w:rsidP="00FD54FC">
            <w:pPr>
              <w:spacing w:before="0" w:after="0"/>
              <w:ind w:left="33"/>
              <w:rPr>
                <w:rFonts w:ascii="Times New Roman" w:hAnsi="Times New Roman"/>
                <w:bCs/>
                <w:sz w:val="24"/>
              </w:rPr>
            </w:pPr>
            <w:r w:rsidRPr="00D51A68">
              <w:rPr>
                <w:rFonts w:ascii="Times New Roman" w:hAnsi="Times New Roman"/>
                <w:sz w:val="24"/>
              </w:rPr>
              <w:t>100</w:t>
            </w:r>
          </w:p>
        </w:tc>
        <w:tc>
          <w:tcPr>
            <w:tcW w:w="8640" w:type="dxa"/>
          </w:tcPr>
          <w:p w:rsidR="00FD54FC" w:rsidRPr="00D51A68" w:rsidRDefault="00FD54FC" w:rsidP="00FD54FC">
            <w:pPr>
              <w:spacing w:before="0" w:after="0"/>
              <w:ind w:left="33"/>
              <w:rPr>
                <w:rFonts w:ascii="Times New Roman" w:hAnsi="Times New Roman"/>
                <w:b/>
                <w:bCs/>
                <w:sz w:val="24"/>
                <w:u w:val="single"/>
              </w:rPr>
            </w:pPr>
            <w:r w:rsidRPr="00D51A68">
              <w:rPr>
                <w:rFonts w:ascii="Times New Roman" w:hAnsi="Times New Roman"/>
                <w:b/>
                <w:sz w:val="24"/>
                <w:u w:val="single"/>
              </w:rPr>
              <w:t>Attività finanziarie al costo ammortizzato</w:t>
            </w:r>
          </w:p>
          <w:p w:rsidR="00FD54FC" w:rsidRPr="00D51A68" w:rsidRDefault="00FD54FC" w:rsidP="00FD54FC">
            <w:pPr>
              <w:spacing w:before="0" w:after="0"/>
              <w:ind w:left="33"/>
              <w:rPr>
                <w:rFonts w:ascii="Times New Roman" w:hAnsi="Times New Roman"/>
                <w:bCs/>
                <w:sz w:val="24"/>
              </w:rPr>
            </w:pPr>
          </w:p>
          <w:p w:rsidR="00FD54FC" w:rsidRPr="00D51A68" w:rsidDel="00501397" w:rsidRDefault="00FD54FC" w:rsidP="00FD54FC">
            <w:pPr>
              <w:spacing w:before="0" w:after="0"/>
              <w:ind w:left="33"/>
              <w:rPr>
                <w:rFonts w:ascii="Times New Roman" w:hAnsi="Times New Roman"/>
                <w:b/>
                <w:bCs/>
                <w:sz w:val="24"/>
                <w:u w:val="single"/>
              </w:rPr>
            </w:pPr>
            <w:r w:rsidRPr="00D51A68">
              <w:rPr>
                <w:rFonts w:ascii="Times New Roman" w:hAnsi="Times New Roman"/>
                <w:sz w:val="24"/>
              </w:rPr>
              <w:t xml:space="preserve">IFRS 7.8(f); IFRS 9.4.1.2; allegato V, parte 1, punto 15. </w:t>
            </w:r>
          </w:p>
          <w:p w:rsidR="00FD54FC" w:rsidRPr="00D51A68" w:rsidRDefault="00FD54FC" w:rsidP="00FD54FC">
            <w:pPr>
              <w:spacing w:before="0" w:after="0"/>
              <w:ind w:left="33"/>
              <w:rPr>
                <w:rFonts w:ascii="Times New Roman" w:hAnsi="Times New Roman"/>
                <w:bCs/>
                <w:sz w:val="24"/>
              </w:rPr>
            </w:pPr>
          </w:p>
        </w:tc>
      </w:tr>
      <w:tr w:rsidR="00FD54FC" w:rsidRPr="00D51A68" w:rsidTr="00672D2A">
        <w:tc>
          <w:tcPr>
            <w:tcW w:w="1188" w:type="dxa"/>
          </w:tcPr>
          <w:p w:rsidR="00FD54FC" w:rsidRPr="00D51A68" w:rsidRDefault="00FD54FC" w:rsidP="00FD54FC">
            <w:pPr>
              <w:spacing w:before="0" w:after="0"/>
              <w:ind w:left="33"/>
              <w:rPr>
                <w:rFonts w:ascii="Times New Roman" w:hAnsi="Times New Roman"/>
                <w:bCs/>
                <w:sz w:val="24"/>
              </w:rPr>
            </w:pPr>
            <w:r w:rsidRPr="00D51A68">
              <w:rPr>
                <w:rFonts w:ascii="Times New Roman" w:hAnsi="Times New Roman"/>
                <w:sz w:val="24"/>
              </w:rPr>
              <w:t>110</w:t>
            </w:r>
          </w:p>
        </w:tc>
        <w:tc>
          <w:tcPr>
            <w:tcW w:w="8640" w:type="dxa"/>
          </w:tcPr>
          <w:p w:rsidR="00FD54FC" w:rsidRPr="00D51A68" w:rsidRDefault="00FD54FC" w:rsidP="00FD54FC">
            <w:pPr>
              <w:spacing w:before="0" w:after="0"/>
              <w:ind w:left="33"/>
              <w:rPr>
                <w:rFonts w:ascii="Times New Roman" w:hAnsi="Times New Roman"/>
                <w:b/>
                <w:bCs/>
                <w:sz w:val="24"/>
                <w:u w:val="single"/>
              </w:rPr>
            </w:pPr>
            <w:r w:rsidRPr="00D51A68">
              <w:rPr>
                <w:rFonts w:ascii="Times New Roman" w:hAnsi="Times New Roman"/>
                <w:b/>
                <w:sz w:val="24"/>
                <w:u w:val="single"/>
              </w:rPr>
              <w:t>Attività finanziarie non derivate e non per negoziazione valutate secondo un metodo basato sul costo</w:t>
            </w:r>
          </w:p>
          <w:p w:rsidR="00FD54FC" w:rsidRPr="00D51A68" w:rsidRDefault="00FD54FC" w:rsidP="00FD54FC">
            <w:pPr>
              <w:spacing w:before="0" w:after="0"/>
              <w:ind w:left="33"/>
              <w:rPr>
                <w:rFonts w:ascii="Times New Roman" w:hAnsi="Times New Roman"/>
                <w:bCs/>
                <w:sz w:val="24"/>
              </w:rPr>
            </w:pPr>
          </w:p>
          <w:p w:rsidR="00FD54FC" w:rsidRPr="00D51A68" w:rsidRDefault="00FD54FC" w:rsidP="00FD54FC">
            <w:pPr>
              <w:spacing w:before="0" w:after="0"/>
              <w:ind w:left="33"/>
              <w:rPr>
                <w:rFonts w:ascii="Times New Roman" w:hAnsi="Times New Roman"/>
                <w:bCs/>
                <w:sz w:val="24"/>
              </w:rPr>
            </w:pPr>
            <w:r w:rsidRPr="00D51A68">
              <w:rPr>
                <w:rFonts w:ascii="Times New Roman" w:hAnsi="Times New Roman"/>
                <w:sz w:val="24"/>
              </w:rPr>
              <w:t>Articolo 35 della BAD; articolo 6, paragrafo 1, punto i), e articolo 8, paragrafo 2, della direttiva contabile; allegato V, parte 1, paragrafo 16.</w:t>
            </w:r>
          </w:p>
          <w:p w:rsidR="00FD54FC" w:rsidRPr="00D51A68" w:rsidRDefault="00FD54FC" w:rsidP="00FD54FC">
            <w:pPr>
              <w:spacing w:before="0" w:after="0"/>
              <w:ind w:left="33"/>
              <w:rPr>
                <w:rFonts w:ascii="Times New Roman" w:hAnsi="Times New Roman"/>
                <w:bCs/>
                <w:sz w:val="24"/>
              </w:rPr>
            </w:pPr>
          </w:p>
          <w:p w:rsidR="00FD54FC" w:rsidRPr="00D51A68" w:rsidRDefault="00FD54FC" w:rsidP="00FD54FC">
            <w:pPr>
              <w:spacing w:before="0" w:after="0"/>
              <w:ind w:left="33"/>
              <w:rPr>
                <w:rFonts w:ascii="Times New Roman" w:hAnsi="Times New Roman"/>
                <w:bCs/>
                <w:sz w:val="24"/>
              </w:rPr>
            </w:pPr>
            <w:r w:rsidRPr="00D51A68">
              <w:rPr>
                <w:rFonts w:ascii="Times New Roman" w:hAnsi="Times New Roman"/>
                <w:sz w:val="24"/>
              </w:rPr>
              <w:t>Da dichiarare unicamente per gli enti che applicano i principi contabili generalmente accettati nazionali (GAAP).</w:t>
            </w:r>
          </w:p>
          <w:p w:rsidR="00FD54FC" w:rsidRPr="00D51A68" w:rsidRDefault="00FD54FC" w:rsidP="00FD54FC">
            <w:pPr>
              <w:spacing w:before="0" w:after="0"/>
              <w:ind w:left="33"/>
              <w:rPr>
                <w:rFonts w:ascii="Times New Roman" w:hAnsi="Times New Roman"/>
                <w:bCs/>
                <w:sz w:val="24"/>
              </w:rPr>
            </w:pPr>
          </w:p>
        </w:tc>
      </w:tr>
      <w:tr w:rsidR="00FD54FC" w:rsidRPr="00D51A68" w:rsidTr="00672D2A">
        <w:tc>
          <w:tcPr>
            <w:tcW w:w="1188" w:type="dxa"/>
          </w:tcPr>
          <w:p w:rsidR="00FD54FC" w:rsidRPr="00D51A68" w:rsidRDefault="00FD54FC" w:rsidP="00FD54FC">
            <w:pPr>
              <w:spacing w:before="0" w:after="0"/>
              <w:ind w:left="33"/>
              <w:rPr>
                <w:rFonts w:ascii="Times New Roman" w:hAnsi="Times New Roman"/>
                <w:bCs/>
                <w:sz w:val="24"/>
              </w:rPr>
            </w:pPr>
            <w:r w:rsidRPr="00D51A68">
              <w:rPr>
                <w:rFonts w:ascii="Times New Roman" w:hAnsi="Times New Roman"/>
                <w:sz w:val="24"/>
              </w:rPr>
              <w:t>120</w:t>
            </w:r>
          </w:p>
        </w:tc>
        <w:tc>
          <w:tcPr>
            <w:tcW w:w="8640" w:type="dxa"/>
          </w:tcPr>
          <w:p w:rsidR="00FD54FC" w:rsidRPr="00D51A68" w:rsidRDefault="00FD54FC" w:rsidP="00FD54FC">
            <w:pPr>
              <w:spacing w:before="0" w:after="0"/>
              <w:ind w:left="33"/>
              <w:rPr>
                <w:rFonts w:ascii="Times New Roman" w:hAnsi="Times New Roman"/>
                <w:b/>
                <w:bCs/>
                <w:sz w:val="24"/>
                <w:u w:val="single"/>
              </w:rPr>
            </w:pPr>
            <w:r w:rsidRPr="00D51A68">
              <w:rPr>
                <w:rFonts w:ascii="Times New Roman" w:hAnsi="Times New Roman"/>
                <w:b/>
                <w:sz w:val="24"/>
                <w:u w:val="single"/>
              </w:rPr>
              <w:t>Altre attività finanziarie non derivate e non per negoziazione</w:t>
            </w:r>
          </w:p>
          <w:p w:rsidR="00FD54FC" w:rsidRPr="00D51A68" w:rsidRDefault="00FD54FC" w:rsidP="00FD54FC">
            <w:pPr>
              <w:spacing w:before="0" w:after="0"/>
              <w:ind w:left="33"/>
              <w:rPr>
                <w:rFonts w:ascii="Times New Roman" w:hAnsi="Times New Roman"/>
                <w:bCs/>
                <w:sz w:val="24"/>
              </w:rPr>
            </w:pPr>
          </w:p>
          <w:p w:rsidR="00FD54FC" w:rsidRPr="00D51A68" w:rsidRDefault="00FD54FC" w:rsidP="00FD54FC">
            <w:pPr>
              <w:spacing w:before="0" w:after="0"/>
              <w:ind w:left="33"/>
              <w:rPr>
                <w:rFonts w:ascii="Times New Roman" w:hAnsi="Times New Roman"/>
                <w:bCs/>
                <w:sz w:val="24"/>
              </w:rPr>
            </w:pPr>
            <w:r w:rsidRPr="00D51A68">
              <w:rPr>
                <w:rFonts w:ascii="Times New Roman" w:hAnsi="Times New Roman"/>
                <w:sz w:val="24"/>
              </w:rPr>
              <w:t>Articolo 37 della BAD; articolo 12, paragrafo 7, della direttiva contabile; allegato V, parte 1, paragrafo 16.</w:t>
            </w:r>
          </w:p>
          <w:p w:rsidR="00FD54FC" w:rsidRPr="00D51A68" w:rsidRDefault="00FD54FC" w:rsidP="00FD54FC">
            <w:pPr>
              <w:spacing w:before="0" w:after="0"/>
              <w:ind w:left="33"/>
              <w:rPr>
                <w:rFonts w:ascii="Times New Roman" w:hAnsi="Times New Roman"/>
                <w:bCs/>
                <w:sz w:val="24"/>
              </w:rPr>
            </w:pPr>
          </w:p>
          <w:p w:rsidR="00FD54FC" w:rsidRPr="00D51A68" w:rsidRDefault="00FD54FC" w:rsidP="00FD54FC">
            <w:pPr>
              <w:spacing w:before="0" w:after="0"/>
              <w:ind w:left="33"/>
              <w:rPr>
                <w:rFonts w:ascii="Times New Roman" w:hAnsi="Times New Roman"/>
                <w:bCs/>
                <w:sz w:val="24"/>
              </w:rPr>
            </w:pPr>
            <w:r w:rsidRPr="00D51A68">
              <w:rPr>
                <w:rFonts w:ascii="Times New Roman" w:hAnsi="Times New Roman"/>
                <w:sz w:val="24"/>
              </w:rPr>
              <w:t>Da dichiarare unicamente per gli enti che applicano i principi contabili generalmente accettati nazionali (GAAP).</w:t>
            </w:r>
          </w:p>
          <w:p w:rsidR="00FD54FC" w:rsidRPr="00D51A68" w:rsidRDefault="00FD54FC" w:rsidP="00FD54FC">
            <w:pPr>
              <w:spacing w:before="0" w:after="0"/>
              <w:ind w:left="33"/>
              <w:rPr>
                <w:rFonts w:ascii="Times New Roman" w:hAnsi="Times New Roman"/>
                <w:bCs/>
                <w:sz w:val="24"/>
              </w:rPr>
            </w:pPr>
          </w:p>
          <w:p w:rsidR="00FD54FC" w:rsidRPr="00D51A68" w:rsidRDefault="00FD54FC" w:rsidP="00FD54FC">
            <w:pPr>
              <w:spacing w:before="0" w:after="0"/>
              <w:ind w:left="33"/>
              <w:rPr>
                <w:rFonts w:ascii="Times New Roman" w:hAnsi="Times New Roman"/>
                <w:bCs/>
                <w:sz w:val="24"/>
              </w:rPr>
            </w:pPr>
          </w:p>
        </w:tc>
      </w:tr>
      <w:tr w:rsidR="00FD54FC" w:rsidRPr="00D51A68" w:rsidTr="00672D2A">
        <w:tc>
          <w:tcPr>
            <w:tcW w:w="1188" w:type="dxa"/>
          </w:tcPr>
          <w:p w:rsidR="00FD54FC" w:rsidRPr="00D51A68" w:rsidRDefault="00FD54FC" w:rsidP="00FD54FC">
            <w:pPr>
              <w:spacing w:before="0" w:after="0"/>
              <w:ind w:left="33"/>
              <w:rPr>
                <w:rFonts w:ascii="Times New Roman" w:hAnsi="Times New Roman"/>
                <w:bCs/>
                <w:sz w:val="24"/>
              </w:rPr>
            </w:pPr>
            <w:r w:rsidRPr="00D51A68">
              <w:rPr>
                <w:rFonts w:ascii="Times New Roman" w:hAnsi="Times New Roman"/>
                <w:sz w:val="24"/>
              </w:rPr>
              <w:t>130</w:t>
            </w:r>
          </w:p>
        </w:tc>
        <w:tc>
          <w:tcPr>
            <w:tcW w:w="8640" w:type="dxa"/>
          </w:tcPr>
          <w:p w:rsidR="00FD54FC" w:rsidRPr="00D51A68" w:rsidRDefault="00FD54FC" w:rsidP="00FD54FC">
            <w:pPr>
              <w:spacing w:before="0" w:after="0"/>
              <w:ind w:left="33"/>
              <w:rPr>
                <w:rFonts w:ascii="Times New Roman" w:hAnsi="Times New Roman"/>
                <w:b/>
                <w:bCs/>
                <w:sz w:val="24"/>
                <w:u w:val="single"/>
              </w:rPr>
            </w:pPr>
            <w:r w:rsidRPr="00D51A68">
              <w:rPr>
                <w:rFonts w:ascii="Times New Roman" w:hAnsi="Times New Roman"/>
                <w:b/>
                <w:sz w:val="24"/>
                <w:u w:val="single"/>
              </w:rPr>
              <w:t>Posizioni corte</w:t>
            </w:r>
          </w:p>
          <w:p w:rsidR="00FD54FC" w:rsidRPr="00D51A68" w:rsidRDefault="00FD54FC" w:rsidP="00FD54FC">
            <w:pPr>
              <w:spacing w:before="0" w:after="0"/>
              <w:ind w:left="33"/>
              <w:rPr>
                <w:rFonts w:ascii="Times New Roman" w:hAnsi="Times New Roman"/>
                <w:bCs/>
                <w:sz w:val="24"/>
              </w:rPr>
            </w:pPr>
          </w:p>
          <w:p w:rsidR="00FD54FC" w:rsidRPr="00D51A68" w:rsidRDefault="00FD54FC" w:rsidP="00FD54FC">
            <w:pPr>
              <w:spacing w:before="0" w:after="0"/>
              <w:ind w:left="33"/>
              <w:rPr>
                <w:rFonts w:ascii="Times New Roman" w:hAnsi="Times New Roman"/>
                <w:bCs/>
                <w:sz w:val="24"/>
              </w:rPr>
            </w:pPr>
            <w:r w:rsidRPr="00D51A68">
              <w:rPr>
                <w:rFonts w:ascii="Times New Roman" w:hAnsi="Times New Roman"/>
                <w:sz w:val="24"/>
              </w:rPr>
              <w:t>Valore contabile delle posizioni corte, secondo quanto definito nell</w:t>
            </w:r>
            <w:r w:rsidR="0009277C" w:rsidRPr="00D51A68">
              <w:rPr>
                <w:rFonts w:ascii="Times New Roman" w:hAnsi="Times New Roman"/>
                <w:sz w:val="24"/>
              </w:rPr>
              <w:t>’</w:t>
            </w:r>
            <w:r w:rsidRPr="00D51A68">
              <w:rPr>
                <w:rFonts w:ascii="Times New Roman" w:hAnsi="Times New Roman"/>
                <w:sz w:val="24"/>
              </w:rPr>
              <w:t>IFRS 9. BA.7(b), quando la controparte diretta è una amministrazione pubblica quale definita al paragrafo 1.</w:t>
            </w:r>
          </w:p>
          <w:p w:rsidR="00FD54FC" w:rsidRPr="00D51A68" w:rsidRDefault="00FD54FC" w:rsidP="00FD54FC">
            <w:pPr>
              <w:spacing w:before="0" w:after="0"/>
              <w:ind w:left="33"/>
              <w:rPr>
                <w:rFonts w:ascii="Times New Roman" w:hAnsi="Times New Roman"/>
                <w:bCs/>
                <w:sz w:val="24"/>
              </w:rPr>
            </w:pPr>
          </w:p>
          <w:p w:rsidR="00FD54FC" w:rsidRPr="00D51A68" w:rsidRDefault="00FD54FC" w:rsidP="00FD54FC">
            <w:pPr>
              <w:spacing w:before="0" w:after="0"/>
              <w:ind w:left="33"/>
              <w:rPr>
                <w:rFonts w:ascii="Times New Roman" w:hAnsi="Times New Roman"/>
                <w:bCs/>
                <w:sz w:val="24"/>
              </w:rPr>
            </w:pPr>
            <w:r w:rsidRPr="00D51A68">
              <w:rPr>
                <w:rFonts w:ascii="Times New Roman" w:hAnsi="Times New Roman"/>
                <w:sz w:val="24"/>
              </w:rPr>
              <w:t>Le posizioni corte si verificano quando l</w:t>
            </w:r>
            <w:r w:rsidR="0009277C" w:rsidRPr="00D51A68">
              <w:rPr>
                <w:rFonts w:ascii="Times New Roman" w:hAnsi="Times New Roman"/>
                <w:sz w:val="24"/>
              </w:rPr>
              <w:t>’</w:t>
            </w:r>
            <w:r w:rsidRPr="00D51A68">
              <w:rPr>
                <w:rFonts w:ascii="Times New Roman" w:hAnsi="Times New Roman"/>
                <w:sz w:val="24"/>
              </w:rPr>
              <w:t>ente vende i titoli acquisiti nel quadro di un prestito a seguito di contratto di vendita con patto di riacquisto passivo, o presi a prestito in una operazione di concessione di titoli in prestito, in cui la controparte diretta è una amministrazione pubblica.</w:t>
            </w:r>
          </w:p>
          <w:p w:rsidR="00FD54FC" w:rsidRPr="00D51A68" w:rsidRDefault="00FD54FC" w:rsidP="00FD54FC">
            <w:pPr>
              <w:spacing w:before="0" w:after="0"/>
              <w:ind w:left="33"/>
              <w:rPr>
                <w:rFonts w:ascii="Times New Roman" w:hAnsi="Times New Roman"/>
                <w:bCs/>
                <w:sz w:val="24"/>
              </w:rPr>
            </w:pPr>
          </w:p>
          <w:p w:rsidR="00FD54FC" w:rsidRPr="00D51A68" w:rsidRDefault="00FD54FC" w:rsidP="00FD54FC">
            <w:pPr>
              <w:spacing w:before="0" w:after="0"/>
              <w:ind w:left="33"/>
              <w:rPr>
                <w:rFonts w:ascii="Times New Roman" w:hAnsi="Times New Roman"/>
                <w:bCs/>
                <w:sz w:val="24"/>
              </w:rPr>
            </w:pPr>
            <w:r w:rsidRPr="00D51A68">
              <w:rPr>
                <w:rFonts w:ascii="Times New Roman" w:hAnsi="Times New Roman"/>
                <w:sz w:val="24"/>
              </w:rPr>
              <w:t>Il valore contabile è il fair value (valore equo) delle posizioni corte.</w:t>
            </w:r>
          </w:p>
          <w:p w:rsidR="00FD54FC" w:rsidRPr="00D51A68" w:rsidRDefault="00FD54FC" w:rsidP="00FD54FC">
            <w:pPr>
              <w:spacing w:before="0" w:after="0"/>
              <w:ind w:left="33"/>
              <w:rPr>
                <w:rFonts w:ascii="Times New Roman" w:hAnsi="Times New Roman"/>
                <w:bCs/>
                <w:sz w:val="24"/>
              </w:rPr>
            </w:pPr>
          </w:p>
          <w:p w:rsidR="00FD54FC" w:rsidRPr="00D51A68" w:rsidRDefault="00FD54FC" w:rsidP="00FD54FC">
            <w:pPr>
              <w:spacing w:before="0" w:after="0"/>
              <w:ind w:left="33"/>
              <w:rPr>
                <w:rFonts w:ascii="Times New Roman" w:hAnsi="Times New Roman"/>
                <w:sz w:val="24"/>
              </w:rPr>
            </w:pPr>
            <w:r w:rsidRPr="00D51A68">
              <w:rPr>
                <w:rFonts w:ascii="Times New Roman" w:hAnsi="Times New Roman"/>
                <w:sz w:val="24"/>
              </w:rPr>
              <w:t>Le posizioni corte devono essere segnalate per categoria di durata residua, come definito alle righe da 170 a 230, e per controparte immediata. Le posizioni corte saranno poi utilizzate per compensare posizioni con la stessa durata residua e controparte immediata per il calcolo delle colonne da 030 a 120.</w:t>
            </w:r>
          </w:p>
          <w:p w:rsidR="0011279C" w:rsidRPr="00D51A68" w:rsidRDefault="0011279C" w:rsidP="00FD54FC">
            <w:pPr>
              <w:spacing w:before="0" w:after="0"/>
              <w:ind w:left="33"/>
              <w:rPr>
                <w:rFonts w:ascii="Times New Roman" w:hAnsi="Times New Roman"/>
                <w:bCs/>
                <w:sz w:val="24"/>
              </w:rPr>
            </w:pPr>
          </w:p>
        </w:tc>
      </w:tr>
      <w:tr w:rsidR="00FD54FC" w:rsidRPr="00D51A68" w:rsidTr="00672D2A">
        <w:tc>
          <w:tcPr>
            <w:tcW w:w="1188" w:type="dxa"/>
          </w:tcPr>
          <w:p w:rsidR="00FD54FC" w:rsidRPr="00D51A68" w:rsidDel="00E97A51" w:rsidRDefault="00FD54FC" w:rsidP="00FD54FC">
            <w:pPr>
              <w:spacing w:before="0" w:after="0"/>
              <w:ind w:left="33"/>
              <w:rPr>
                <w:rFonts w:ascii="Times New Roman" w:hAnsi="Times New Roman"/>
                <w:bCs/>
                <w:sz w:val="24"/>
              </w:rPr>
            </w:pPr>
            <w:r w:rsidRPr="00D51A68">
              <w:rPr>
                <w:rFonts w:ascii="Times New Roman" w:hAnsi="Times New Roman"/>
                <w:sz w:val="24"/>
              </w:rPr>
              <w:t>140</w:t>
            </w:r>
          </w:p>
        </w:tc>
        <w:tc>
          <w:tcPr>
            <w:tcW w:w="8640" w:type="dxa"/>
          </w:tcPr>
          <w:p w:rsidR="00FD54FC" w:rsidRPr="00D51A68" w:rsidRDefault="00FD54FC" w:rsidP="00FD54FC">
            <w:pPr>
              <w:spacing w:before="0" w:after="0"/>
              <w:ind w:left="33"/>
              <w:rPr>
                <w:rFonts w:ascii="Times New Roman" w:hAnsi="Times New Roman"/>
                <w:b/>
                <w:bCs/>
                <w:sz w:val="24"/>
                <w:u w:val="single"/>
              </w:rPr>
            </w:pPr>
            <w:r w:rsidRPr="00D51A68">
              <w:rPr>
                <w:rFonts w:ascii="Times New Roman" w:hAnsi="Times New Roman"/>
                <w:b/>
                <w:sz w:val="24"/>
                <w:u w:val="single"/>
              </w:rPr>
              <w:t>di cui: Posizioni corte da prestiti a seguito di contratto di vendita con patto di riacquisto passivo classificati come posseduti per negoziazione o attività finanziarie per negoziazione</w:t>
            </w:r>
          </w:p>
          <w:p w:rsidR="00FD54FC" w:rsidRPr="00D51A68" w:rsidRDefault="00FD54FC" w:rsidP="00FD54FC">
            <w:pPr>
              <w:spacing w:before="0" w:after="0"/>
              <w:ind w:left="33"/>
              <w:rPr>
                <w:rFonts w:ascii="Times New Roman" w:hAnsi="Times New Roman"/>
                <w:bCs/>
                <w:sz w:val="24"/>
              </w:rPr>
            </w:pPr>
          </w:p>
          <w:p w:rsidR="00FD54FC" w:rsidRPr="00D51A68" w:rsidRDefault="00FD54FC" w:rsidP="00FD54FC">
            <w:pPr>
              <w:spacing w:before="0" w:after="0"/>
              <w:ind w:left="33"/>
              <w:rPr>
                <w:rFonts w:ascii="Times New Roman" w:hAnsi="Times New Roman"/>
                <w:bCs/>
                <w:sz w:val="24"/>
              </w:rPr>
            </w:pPr>
            <w:r w:rsidRPr="00D51A68">
              <w:rPr>
                <w:rFonts w:ascii="Times New Roman" w:hAnsi="Times New Roman"/>
                <w:sz w:val="24"/>
              </w:rPr>
              <w:t>Valore contabile delle posizioni corte, secondo quanto definito nell</w:t>
            </w:r>
            <w:r w:rsidR="0009277C" w:rsidRPr="00D51A68">
              <w:rPr>
                <w:rFonts w:ascii="Times New Roman" w:hAnsi="Times New Roman"/>
                <w:sz w:val="24"/>
              </w:rPr>
              <w:t>’</w:t>
            </w:r>
            <w:r w:rsidRPr="00D51A68">
              <w:rPr>
                <w:rFonts w:ascii="Times New Roman" w:hAnsi="Times New Roman"/>
                <w:sz w:val="24"/>
              </w:rPr>
              <w:t>IFRS 9, paragrafo BA.7, lettera b), che si verificano quando l</w:t>
            </w:r>
            <w:r w:rsidR="0009277C" w:rsidRPr="00D51A68">
              <w:rPr>
                <w:rFonts w:ascii="Times New Roman" w:hAnsi="Times New Roman"/>
                <w:sz w:val="24"/>
              </w:rPr>
              <w:t>’</w:t>
            </w:r>
            <w:r w:rsidRPr="00D51A68">
              <w:rPr>
                <w:rFonts w:ascii="Times New Roman" w:hAnsi="Times New Roman"/>
                <w:sz w:val="24"/>
              </w:rPr>
              <w:t xml:space="preserve">ente vende i titoli acquisiti nel quadro di un prestito a seguito di contratto di vendita con patto di riacquisto passivo, in cui la controparte diretta è una amministrazione pubblica, che sono incluse nei portafogli contabili </w:t>
            </w:r>
            <w:r w:rsidR="0009277C" w:rsidRPr="00D51A68">
              <w:rPr>
                <w:rFonts w:ascii="Times New Roman" w:hAnsi="Times New Roman"/>
                <w:sz w:val="24"/>
              </w:rPr>
              <w:t>“</w:t>
            </w:r>
            <w:r w:rsidRPr="00D51A68">
              <w:rPr>
                <w:rFonts w:ascii="Times New Roman" w:hAnsi="Times New Roman"/>
                <w:sz w:val="24"/>
              </w:rPr>
              <w:t>posseduti per negoziazione</w:t>
            </w:r>
            <w:r w:rsidR="0009277C" w:rsidRPr="00D51A68">
              <w:rPr>
                <w:rFonts w:ascii="Times New Roman" w:hAnsi="Times New Roman"/>
                <w:sz w:val="24"/>
              </w:rPr>
              <w:t>”</w:t>
            </w:r>
            <w:r w:rsidRPr="00D51A68">
              <w:rPr>
                <w:rFonts w:ascii="Times New Roman" w:hAnsi="Times New Roman"/>
                <w:sz w:val="24"/>
              </w:rPr>
              <w:t xml:space="preserve"> o </w:t>
            </w:r>
            <w:r w:rsidR="0009277C" w:rsidRPr="00D51A68">
              <w:rPr>
                <w:rFonts w:ascii="Times New Roman" w:hAnsi="Times New Roman"/>
                <w:sz w:val="24"/>
              </w:rPr>
              <w:t>“</w:t>
            </w:r>
            <w:r w:rsidRPr="00D51A68">
              <w:rPr>
                <w:rFonts w:ascii="Times New Roman" w:hAnsi="Times New Roman"/>
                <w:sz w:val="24"/>
              </w:rPr>
              <w:t>attività finanziarie per negoziazione</w:t>
            </w:r>
            <w:r w:rsidR="0009277C" w:rsidRPr="00D51A68">
              <w:rPr>
                <w:rFonts w:ascii="Times New Roman" w:hAnsi="Times New Roman"/>
                <w:sz w:val="24"/>
              </w:rPr>
              <w:t>”</w:t>
            </w:r>
            <w:r w:rsidRPr="00D51A68">
              <w:rPr>
                <w:rFonts w:ascii="Times New Roman" w:hAnsi="Times New Roman"/>
                <w:sz w:val="24"/>
              </w:rPr>
              <w:t xml:space="preserve"> (colonna 030 o 040).</w:t>
            </w:r>
          </w:p>
          <w:p w:rsidR="00FD54FC" w:rsidRPr="00D51A68" w:rsidRDefault="00FD54FC" w:rsidP="00FD54FC">
            <w:pPr>
              <w:spacing w:before="0" w:after="0"/>
              <w:ind w:left="33"/>
              <w:rPr>
                <w:rFonts w:ascii="Times New Roman" w:hAnsi="Times New Roman"/>
                <w:b/>
                <w:bCs/>
                <w:sz w:val="24"/>
                <w:u w:val="single"/>
              </w:rPr>
            </w:pPr>
          </w:p>
          <w:p w:rsidR="00FD54FC" w:rsidRPr="00D51A68" w:rsidRDefault="00FD54FC" w:rsidP="00FD54FC">
            <w:pPr>
              <w:spacing w:before="0" w:after="0"/>
              <w:ind w:left="33"/>
              <w:rPr>
                <w:rFonts w:ascii="Times New Roman" w:hAnsi="Times New Roman"/>
                <w:bCs/>
                <w:sz w:val="24"/>
              </w:rPr>
            </w:pPr>
            <w:r w:rsidRPr="00D51A68">
              <w:rPr>
                <w:rFonts w:ascii="Times New Roman" w:hAnsi="Times New Roman"/>
                <w:sz w:val="24"/>
              </w:rPr>
              <w:t xml:space="preserve">In questa colonna non sono incluse le posizioni corte che si verificano quando i titoli venduti erano stati presi a prestito in una operazione di concessione di titoli in prestito. </w:t>
            </w:r>
          </w:p>
          <w:p w:rsidR="00FD54FC" w:rsidRPr="00D51A68" w:rsidDel="00E97A51" w:rsidRDefault="00FD54FC" w:rsidP="00FD54FC">
            <w:pPr>
              <w:spacing w:before="0" w:after="0"/>
              <w:ind w:left="33"/>
              <w:rPr>
                <w:rFonts w:ascii="Times New Roman" w:hAnsi="Times New Roman"/>
                <w:b/>
                <w:bCs/>
                <w:sz w:val="24"/>
                <w:u w:val="single"/>
              </w:rPr>
            </w:pPr>
          </w:p>
        </w:tc>
      </w:tr>
      <w:tr w:rsidR="00FD54FC" w:rsidRPr="00D51A68" w:rsidDel="004A25FD" w:rsidTr="00672D2A">
        <w:tc>
          <w:tcPr>
            <w:tcW w:w="1188" w:type="dxa"/>
          </w:tcPr>
          <w:p w:rsidR="00FD54FC" w:rsidRPr="00D51A68" w:rsidDel="004A25FD" w:rsidRDefault="00FD54FC" w:rsidP="00FD54FC">
            <w:pPr>
              <w:spacing w:before="0" w:after="0"/>
              <w:ind w:left="33"/>
              <w:rPr>
                <w:rFonts w:ascii="Times New Roman" w:hAnsi="Times New Roman"/>
                <w:bCs/>
                <w:sz w:val="24"/>
              </w:rPr>
            </w:pPr>
            <w:r w:rsidRPr="00D51A68">
              <w:rPr>
                <w:rFonts w:ascii="Times New Roman" w:hAnsi="Times New Roman"/>
                <w:sz w:val="24"/>
              </w:rPr>
              <w:t>150</w:t>
            </w:r>
          </w:p>
        </w:tc>
        <w:tc>
          <w:tcPr>
            <w:tcW w:w="8640" w:type="dxa"/>
          </w:tcPr>
          <w:p w:rsidR="00FD54FC" w:rsidRPr="00D51A68" w:rsidRDefault="00FD54FC" w:rsidP="00FD54FC">
            <w:pPr>
              <w:spacing w:before="0" w:after="0"/>
              <w:ind w:left="33"/>
              <w:rPr>
                <w:rFonts w:ascii="Times New Roman" w:hAnsi="Times New Roman"/>
                <w:b/>
                <w:bCs/>
                <w:sz w:val="24"/>
                <w:u w:val="single"/>
              </w:rPr>
            </w:pPr>
            <w:r w:rsidRPr="00D51A68">
              <w:rPr>
                <w:rFonts w:ascii="Times New Roman" w:hAnsi="Times New Roman"/>
                <w:b/>
                <w:sz w:val="24"/>
                <w:u w:val="single"/>
              </w:rPr>
              <w:t>Riduzione di valore accumulata</w:t>
            </w:r>
          </w:p>
          <w:p w:rsidR="00FD54FC" w:rsidRPr="00D51A68" w:rsidRDefault="00FD54FC" w:rsidP="00FD54FC">
            <w:pPr>
              <w:spacing w:before="0" w:after="0"/>
              <w:ind w:left="33"/>
              <w:rPr>
                <w:rFonts w:ascii="Times New Roman" w:hAnsi="Times New Roman"/>
                <w:b/>
                <w:bCs/>
                <w:sz w:val="24"/>
                <w:u w:val="single"/>
              </w:rPr>
            </w:pPr>
          </w:p>
          <w:p w:rsidR="00FD54FC" w:rsidRPr="00D51A68" w:rsidRDefault="00FD54FC" w:rsidP="00FD54FC">
            <w:pPr>
              <w:spacing w:before="0" w:after="0"/>
              <w:ind w:left="33"/>
              <w:rPr>
                <w:rFonts w:ascii="Times New Roman" w:hAnsi="Times New Roman"/>
                <w:bCs/>
                <w:sz w:val="24"/>
              </w:rPr>
            </w:pPr>
            <w:r w:rsidRPr="00D51A68">
              <w:rPr>
                <w:rFonts w:ascii="Times New Roman" w:hAnsi="Times New Roman"/>
                <w:sz w:val="24"/>
              </w:rPr>
              <w:t>La riduzione di valore accumulata aggregata relativa alle attività finanziarie non derivate segnalate nelle colonne da 080 a 120. [Allegato V, parte 2, punti 70 e 71]</w:t>
            </w:r>
          </w:p>
          <w:p w:rsidR="00FD54FC" w:rsidRPr="00D51A68" w:rsidDel="004A25FD" w:rsidRDefault="00FD54FC" w:rsidP="00FD54FC">
            <w:pPr>
              <w:spacing w:before="0" w:after="0"/>
              <w:ind w:left="33"/>
              <w:rPr>
                <w:rFonts w:ascii="Times New Roman" w:hAnsi="Times New Roman"/>
                <w:bCs/>
                <w:sz w:val="24"/>
              </w:rPr>
            </w:pPr>
          </w:p>
        </w:tc>
      </w:tr>
      <w:tr w:rsidR="00FD54FC" w:rsidRPr="00D51A68" w:rsidTr="00672D2A">
        <w:tc>
          <w:tcPr>
            <w:tcW w:w="1188" w:type="dxa"/>
          </w:tcPr>
          <w:p w:rsidR="00FD54FC" w:rsidRPr="00D51A68" w:rsidRDefault="00FD54FC" w:rsidP="00FD54FC">
            <w:pPr>
              <w:spacing w:before="0" w:after="0"/>
              <w:ind w:left="33"/>
              <w:rPr>
                <w:rFonts w:ascii="Times New Roman" w:hAnsi="Times New Roman"/>
                <w:bCs/>
                <w:sz w:val="24"/>
              </w:rPr>
            </w:pPr>
            <w:r w:rsidRPr="00D51A68">
              <w:rPr>
                <w:rFonts w:ascii="Times New Roman" w:hAnsi="Times New Roman"/>
                <w:sz w:val="24"/>
              </w:rPr>
              <w:t>160</w:t>
            </w:r>
          </w:p>
        </w:tc>
        <w:tc>
          <w:tcPr>
            <w:tcW w:w="8640" w:type="dxa"/>
          </w:tcPr>
          <w:p w:rsidR="00FD54FC" w:rsidRPr="00D51A68" w:rsidRDefault="00FD54FC" w:rsidP="00FD54FC">
            <w:pPr>
              <w:spacing w:before="0" w:after="0"/>
              <w:ind w:left="33"/>
              <w:rPr>
                <w:rFonts w:ascii="Times New Roman" w:hAnsi="Times New Roman"/>
                <w:b/>
                <w:bCs/>
                <w:sz w:val="24"/>
                <w:u w:val="single"/>
              </w:rPr>
            </w:pPr>
            <w:r w:rsidRPr="00D51A68">
              <w:rPr>
                <w:rFonts w:ascii="Times New Roman" w:hAnsi="Times New Roman"/>
                <w:b/>
                <w:sz w:val="24"/>
                <w:u w:val="single"/>
              </w:rPr>
              <w:t>Riduzione di valore accumulata — di cui: da attività finanziarie al fair value (valore equo) rilevato nelle altre componenti di conto economico complessivo o da attività finanziarie non derivate e non per negoziazione valutate al fair value (valore equo) rilevato a patrimonio netto</w:t>
            </w:r>
          </w:p>
          <w:p w:rsidR="00FD54FC" w:rsidRPr="00D51A68" w:rsidRDefault="00FD54FC" w:rsidP="00FD54FC">
            <w:pPr>
              <w:spacing w:before="0" w:after="0"/>
              <w:ind w:left="33"/>
              <w:rPr>
                <w:rFonts w:ascii="Times New Roman" w:hAnsi="Times New Roman"/>
                <w:b/>
                <w:bCs/>
                <w:sz w:val="24"/>
                <w:u w:val="single"/>
              </w:rPr>
            </w:pPr>
          </w:p>
          <w:p w:rsidR="00FD54FC" w:rsidRPr="00D51A68" w:rsidRDefault="00FD54FC" w:rsidP="00FD54FC">
            <w:pPr>
              <w:spacing w:before="0" w:after="0"/>
              <w:ind w:left="33"/>
              <w:rPr>
                <w:rFonts w:ascii="Times New Roman" w:hAnsi="Times New Roman"/>
                <w:bCs/>
                <w:sz w:val="24"/>
              </w:rPr>
            </w:pPr>
            <w:r w:rsidRPr="00D51A68">
              <w:rPr>
                <w:rFonts w:ascii="Times New Roman" w:hAnsi="Times New Roman"/>
                <w:sz w:val="24"/>
              </w:rPr>
              <w:t xml:space="preserve">La riduzione di valore accumulata aggregata relativa alle attività finanziarie non derivate segnalate nelle colonne 080 e 090. </w:t>
            </w:r>
          </w:p>
          <w:p w:rsidR="00FD54FC" w:rsidRPr="00D51A68" w:rsidRDefault="00FD54FC" w:rsidP="00FD54FC">
            <w:pPr>
              <w:spacing w:before="0" w:after="0"/>
              <w:ind w:left="33"/>
              <w:rPr>
                <w:rFonts w:ascii="Times New Roman" w:hAnsi="Times New Roman"/>
                <w:b/>
                <w:bCs/>
                <w:sz w:val="24"/>
                <w:u w:val="single"/>
              </w:rPr>
            </w:pPr>
          </w:p>
        </w:tc>
      </w:tr>
      <w:tr w:rsidR="00FD54FC" w:rsidRPr="00D51A68" w:rsidDel="004A25FD" w:rsidTr="00672D2A">
        <w:tc>
          <w:tcPr>
            <w:tcW w:w="1188" w:type="dxa"/>
          </w:tcPr>
          <w:p w:rsidR="00FD54FC" w:rsidRPr="00D51A68" w:rsidDel="004A25FD" w:rsidRDefault="00FD54FC" w:rsidP="00FD54FC">
            <w:pPr>
              <w:spacing w:before="0" w:after="0"/>
              <w:ind w:left="33"/>
              <w:rPr>
                <w:rFonts w:ascii="Times New Roman" w:hAnsi="Times New Roman"/>
                <w:bCs/>
                <w:sz w:val="24"/>
              </w:rPr>
            </w:pPr>
            <w:r w:rsidRPr="00D51A68">
              <w:rPr>
                <w:rFonts w:ascii="Times New Roman" w:hAnsi="Times New Roman"/>
                <w:sz w:val="24"/>
              </w:rPr>
              <w:t>170</w:t>
            </w:r>
          </w:p>
        </w:tc>
        <w:tc>
          <w:tcPr>
            <w:tcW w:w="8640" w:type="dxa"/>
          </w:tcPr>
          <w:p w:rsidR="00FD54FC" w:rsidRPr="00D51A68" w:rsidRDefault="00FD54FC" w:rsidP="00FD54FC">
            <w:pPr>
              <w:spacing w:before="0" w:after="0"/>
              <w:ind w:left="33"/>
              <w:rPr>
                <w:rFonts w:ascii="Times New Roman" w:hAnsi="Times New Roman"/>
                <w:b/>
                <w:bCs/>
                <w:sz w:val="24"/>
                <w:u w:val="single"/>
              </w:rPr>
            </w:pPr>
            <w:r w:rsidRPr="00D51A68">
              <w:rPr>
                <w:rFonts w:ascii="Times New Roman" w:hAnsi="Times New Roman"/>
                <w:b/>
                <w:sz w:val="24"/>
                <w:u w:val="single"/>
              </w:rPr>
              <w:t xml:space="preserve">Variazioni negative accumulate del fair value (valore equo) dovute al rischio di credito </w:t>
            </w:r>
          </w:p>
          <w:p w:rsidR="00FD54FC" w:rsidRPr="00D51A68" w:rsidRDefault="00FD54FC" w:rsidP="00FD54FC">
            <w:pPr>
              <w:spacing w:before="0" w:after="0"/>
              <w:ind w:left="33"/>
              <w:rPr>
                <w:rFonts w:ascii="Times New Roman" w:hAnsi="Times New Roman"/>
                <w:b/>
                <w:bCs/>
                <w:sz w:val="24"/>
                <w:u w:val="single"/>
              </w:rPr>
            </w:pPr>
          </w:p>
          <w:p w:rsidR="00FD54FC" w:rsidRPr="00D51A68" w:rsidRDefault="00FD54FC" w:rsidP="00E863C1">
            <w:pPr>
              <w:spacing w:before="0" w:after="0"/>
              <w:ind w:left="33"/>
              <w:rPr>
                <w:rFonts w:ascii="Times New Roman" w:hAnsi="Times New Roman"/>
                <w:bCs/>
                <w:sz w:val="24"/>
              </w:rPr>
            </w:pPr>
            <w:r w:rsidRPr="00D51A68">
              <w:rPr>
                <w:rFonts w:ascii="Times New Roman" w:hAnsi="Times New Roman"/>
                <w:sz w:val="24"/>
              </w:rPr>
              <w:t>Le variazioni negative accumulate del fair value (valore equo) dovute al rischio di credito aggregate relative alle posizioni indicate nelle colonne 050, 060, 070, 080</w:t>
            </w:r>
            <w:r w:rsidR="0011279C" w:rsidRPr="00D51A68">
              <w:rPr>
                <w:rFonts w:ascii="Times New Roman" w:hAnsi="Times New Roman"/>
                <w:sz w:val="24"/>
              </w:rPr>
              <w:t xml:space="preserve"> e </w:t>
            </w:r>
            <w:r w:rsidRPr="00D51A68">
              <w:rPr>
                <w:rFonts w:ascii="Times New Roman" w:hAnsi="Times New Roman"/>
                <w:sz w:val="24"/>
              </w:rPr>
              <w:t>090. [Allegato V, parte 2, punto 69]</w:t>
            </w:r>
          </w:p>
          <w:p w:rsidR="00FD54FC" w:rsidRPr="00D51A68" w:rsidDel="004A25FD" w:rsidRDefault="00FD54FC" w:rsidP="00BE47D8">
            <w:pPr>
              <w:spacing w:before="0" w:after="0"/>
              <w:ind w:left="33"/>
              <w:rPr>
                <w:rFonts w:ascii="Times New Roman" w:hAnsi="Times New Roman"/>
                <w:bCs/>
                <w:sz w:val="24"/>
              </w:rPr>
            </w:pPr>
          </w:p>
        </w:tc>
      </w:tr>
      <w:tr w:rsidR="00FD54FC" w:rsidRPr="00D51A68" w:rsidTr="00672D2A">
        <w:tc>
          <w:tcPr>
            <w:tcW w:w="1188" w:type="dxa"/>
          </w:tcPr>
          <w:p w:rsidR="00FD54FC" w:rsidRPr="00D51A68" w:rsidRDefault="00FD54FC" w:rsidP="00FD54FC">
            <w:pPr>
              <w:spacing w:before="0" w:after="0"/>
              <w:ind w:left="33"/>
              <w:rPr>
                <w:rFonts w:ascii="Times New Roman" w:hAnsi="Times New Roman"/>
                <w:bCs/>
                <w:sz w:val="24"/>
              </w:rPr>
            </w:pPr>
            <w:r w:rsidRPr="00D51A68">
              <w:rPr>
                <w:rFonts w:ascii="Times New Roman" w:hAnsi="Times New Roman"/>
                <w:sz w:val="24"/>
              </w:rPr>
              <w:t>180</w:t>
            </w:r>
          </w:p>
        </w:tc>
        <w:tc>
          <w:tcPr>
            <w:tcW w:w="8640" w:type="dxa"/>
          </w:tcPr>
          <w:p w:rsidR="00FD54FC" w:rsidRPr="00D51A68" w:rsidRDefault="00FD54FC" w:rsidP="00FD54FC">
            <w:pPr>
              <w:spacing w:before="0" w:after="0"/>
              <w:ind w:left="33"/>
              <w:rPr>
                <w:rFonts w:ascii="Times New Roman" w:hAnsi="Times New Roman"/>
                <w:b/>
                <w:bCs/>
                <w:sz w:val="24"/>
                <w:u w:val="single"/>
              </w:rPr>
            </w:pPr>
            <w:r w:rsidRPr="00D51A68">
              <w:rPr>
                <w:rFonts w:ascii="Times New Roman" w:hAnsi="Times New Roman"/>
                <w:b/>
                <w:sz w:val="24"/>
                <w:u w:val="single"/>
              </w:rPr>
              <w:t>Variazioni negative accumulate del fair value (valore equo) dovute al rischio di credito — di cui: da attività finanziarie non per negoziazione obbligatoriamente al fair value (valore equo) rilevato nell</w:t>
            </w:r>
            <w:r w:rsidR="0009277C" w:rsidRPr="00D51A68">
              <w:rPr>
                <w:rFonts w:ascii="Times New Roman" w:hAnsi="Times New Roman"/>
                <w:b/>
                <w:sz w:val="24"/>
                <w:u w:val="single"/>
              </w:rPr>
              <w:t>’</w:t>
            </w:r>
            <w:r w:rsidRPr="00D51A68">
              <w:rPr>
                <w:rFonts w:ascii="Times New Roman" w:hAnsi="Times New Roman"/>
                <w:b/>
                <w:sz w:val="24"/>
                <w:u w:val="single"/>
              </w:rPr>
              <w:t>utile (perdita) d</w:t>
            </w:r>
            <w:r w:rsidR="0009277C" w:rsidRPr="00D51A68">
              <w:rPr>
                <w:rFonts w:ascii="Times New Roman" w:hAnsi="Times New Roman"/>
                <w:b/>
                <w:sz w:val="24"/>
                <w:u w:val="single"/>
              </w:rPr>
              <w:t>’</w:t>
            </w:r>
            <w:r w:rsidRPr="00D51A68">
              <w:rPr>
                <w:rFonts w:ascii="Times New Roman" w:hAnsi="Times New Roman"/>
                <w:b/>
                <w:sz w:val="24"/>
                <w:u w:val="single"/>
              </w:rPr>
              <w:t>esercizio, attività finanziarie designate al fair value (valore equo) rilevato nell</w:t>
            </w:r>
            <w:r w:rsidR="0009277C" w:rsidRPr="00D51A68">
              <w:rPr>
                <w:rFonts w:ascii="Times New Roman" w:hAnsi="Times New Roman"/>
                <w:b/>
                <w:sz w:val="24"/>
                <w:u w:val="single"/>
              </w:rPr>
              <w:t>’</w:t>
            </w:r>
            <w:r w:rsidRPr="00D51A68">
              <w:rPr>
                <w:rFonts w:ascii="Times New Roman" w:hAnsi="Times New Roman"/>
                <w:b/>
                <w:sz w:val="24"/>
                <w:u w:val="single"/>
              </w:rPr>
              <w:t>utile (perdita) d</w:t>
            </w:r>
            <w:r w:rsidR="0009277C" w:rsidRPr="00D51A68">
              <w:rPr>
                <w:rFonts w:ascii="Times New Roman" w:hAnsi="Times New Roman"/>
                <w:b/>
                <w:sz w:val="24"/>
                <w:u w:val="single"/>
              </w:rPr>
              <w:t>’</w:t>
            </w:r>
            <w:r w:rsidRPr="00D51A68">
              <w:rPr>
                <w:rFonts w:ascii="Times New Roman" w:hAnsi="Times New Roman"/>
                <w:b/>
                <w:sz w:val="24"/>
                <w:u w:val="single"/>
              </w:rPr>
              <w:t>esercizio o da attività finanziarie non per negoziazione valutate al fair value (valore equo) rilevato nell</w:t>
            </w:r>
            <w:r w:rsidR="0009277C" w:rsidRPr="00D51A68">
              <w:rPr>
                <w:rFonts w:ascii="Times New Roman" w:hAnsi="Times New Roman"/>
                <w:b/>
                <w:sz w:val="24"/>
                <w:u w:val="single"/>
              </w:rPr>
              <w:t>’</w:t>
            </w:r>
            <w:r w:rsidRPr="00D51A68">
              <w:rPr>
                <w:rFonts w:ascii="Times New Roman" w:hAnsi="Times New Roman"/>
                <w:b/>
                <w:sz w:val="24"/>
                <w:u w:val="single"/>
              </w:rPr>
              <w:t>utile (perdita) d</w:t>
            </w:r>
            <w:r w:rsidR="0009277C" w:rsidRPr="00D51A68">
              <w:rPr>
                <w:rFonts w:ascii="Times New Roman" w:hAnsi="Times New Roman"/>
                <w:b/>
                <w:sz w:val="24"/>
                <w:u w:val="single"/>
              </w:rPr>
              <w:t>’</w:t>
            </w:r>
            <w:r w:rsidRPr="00D51A68">
              <w:rPr>
                <w:rFonts w:ascii="Times New Roman" w:hAnsi="Times New Roman"/>
                <w:b/>
                <w:sz w:val="24"/>
                <w:u w:val="single"/>
              </w:rPr>
              <w:t>esercizio</w:t>
            </w:r>
          </w:p>
          <w:p w:rsidR="00FD54FC" w:rsidRPr="00D51A68" w:rsidRDefault="00FD54FC" w:rsidP="00FD54FC">
            <w:pPr>
              <w:spacing w:before="0" w:after="0"/>
              <w:ind w:left="33"/>
              <w:rPr>
                <w:rFonts w:ascii="Times New Roman" w:hAnsi="Times New Roman"/>
                <w:bCs/>
                <w:sz w:val="24"/>
              </w:rPr>
            </w:pPr>
          </w:p>
          <w:p w:rsidR="00FD54FC" w:rsidRPr="00D51A68" w:rsidRDefault="00FD54FC" w:rsidP="00FD54FC">
            <w:pPr>
              <w:spacing w:before="0" w:after="0"/>
              <w:ind w:left="33"/>
              <w:rPr>
                <w:rFonts w:ascii="Times New Roman" w:hAnsi="Times New Roman"/>
                <w:bCs/>
                <w:sz w:val="24"/>
              </w:rPr>
            </w:pPr>
            <w:r w:rsidRPr="00D51A68">
              <w:rPr>
                <w:rFonts w:ascii="Times New Roman" w:hAnsi="Times New Roman"/>
                <w:sz w:val="24"/>
              </w:rPr>
              <w:t>Le variazioni negative accumulate del fair value (valore equo) dovute al rischio di credito aggregate relative alle posizioni indicate nelle colonne 050, 060 e 070.</w:t>
            </w:r>
          </w:p>
          <w:p w:rsidR="00FD54FC" w:rsidRPr="00D51A68" w:rsidRDefault="00FD54FC" w:rsidP="00FD54FC">
            <w:pPr>
              <w:spacing w:before="0" w:after="0"/>
              <w:ind w:left="33"/>
              <w:rPr>
                <w:rFonts w:ascii="Times New Roman" w:hAnsi="Times New Roman"/>
                <w:bCs/>
                <w:sz w:val="24"/>
              </w:rPr>
            </w:pPr>
            <w:r w:rsidRPr="00D51A68">
              <w:rPr>
                <w:rFonts w:ascii="Times New Roman" w:hAnsi="Times New Roman"/>
                <w:b/>
                <w:sz w:val="24"/>
                <w:u w:val="single"/>
              </w:rPr>
              <w:t xml:space="preserve"> </w:t>
            </w:r>
          </w:p>
        </w:tc>
      </w:tr>
      <w:tr w:rsidR="00FD54FC" w:rsidRPr="00D51A68" w:rsidTr="00672D2A">
        <w:tc>
          <w:tcPr>
            <w:tcW w:w="1188" w:type="dxa"/>
          </w:tcPr>
          <w:p w:rsidR="00FD54FC" w:rsidRPr="00D51A68" w:rsidRDefault="00FD54FC" w:rsidP="00FD54FC">
            <w:pPr>
              <w:spacing w:before="0" w:after="0"/>
              <w:ind w:left="33"/>
              <w:rPr>
                <w:rFonts w:ascii="Times New Roman" w:hAnsi="Times New Roman"/>
                <w:bCs/>
                <w:sz w:val="24"/>
              </w:rPr>
            </w:pPr>
            <w:r w:rsidRPr="00D51A68">
              <w:rPr>
                <w:rFonts w:ascii="Times New Roman" w:hAnsi="Times New Roman"/>
                <w:sz w:val="24"/>
              </w:rPr>
              <w:t>190</w:t>
            </w:r>
          </w:p>
        </w:tc>
        <w:tc>
          <w:tcPr>
            <w:tcW w:w="8640" w:type="dxa"/>
          </w:tcPr>
          <w:p w:rsidR="00FD54FC" w:rsidRPr="00D51A68" w:rsidRDefault="00FD54FC" w:rsidP="00FD54FC">
            <w:pPr>
              <w:spacing w:before="0" w:after="0"/>
              <w:ind w:left="33"/>
              <w:rPr>
                <w:rFonts w:ascii="Times New Roman" w:hAnsi="Times New Roman"/>
                <w:b/>
                <w:bCs/>
                <w:sz w:val="24"/>
                <w:u w:val="single"/>
              </w:rPr>
            </w:pPr>
            <w:r w:rsidRPr="00D51A68">
              <w:rPr>
                <w:rFonts w:ascii="Times New Roman" w:hAnsi="Times New Roman"/>
                <w:b/>
                <w:sz w:val="24"/>
                <w:u w:val="single"/>
              </w:rPr>
              <w:t>Variazioni negative accumulate del fair value (valore equo) dovute al rischio di credito — di cui: da attività finanziarie al fair value (valore equo) rilevato nelle altre componenti di conto economico complessivo o da attività finanziarie non derivate e non per negoziazione valutate al fair value (valore equo) rilevato a patrimonio netto</w:t>
            </w:r>
          </w:p>
          <w:p w:rsidR="00FD54FC" w:rsidRPr="00D51A68" w:rsidRDefault="00FD54FC" w:rsidP="00FD54FC">
            <w:pPr>
              <w:spacing w:before="0" w:after="0"/>
              <w:ind w:left="33"/>
              <w:rPr>
                <w:rFonts w:ascii="Times New Roman" w:hAnsi="Times New Roman"/>
                <w:bCs/>
                <w:sz w:val="24"/>
              </w:rPr>
            </w:pPr>
          </w:p>
          <w:p w:rsidR="00FD54FC" w:rsidRPr="00D51A68" w:rsidRDefault="00FD54FC" w:rsidP="00FD54FC">
            <w:pPr>
              <w:spacing w:before="0" w:after="0"/>
              <w:ind w:left="33"/>
              <w:rPr>
                <w:rFonts w:ascii="Times New Roman" w:hAnsi="Times New Roman"/>
                <w:bCs/>
                <w:sz w:val="24"/>
              </w:rPr>
            </w:pPr>
            <w:r w:rsidRPr="00D51A68">
              <w:rPr>
                <w:rFonts w:ascii="Times New Roman" w:hAnsi="Times New Roman"/>
                <w:sz w:val="24"/>
              </w:rPr>
              <w:t>L</w:t>
            </w:r>
            <w:r w:rsidR="0009277C" w:rsidRPr="00D51A68">
              <w:rPr>
                <w:rFonts w:ascii="Times New Roman" w:hAnsi="Times New Roman"/>
                <w:sz w:val="24"/>
              </w:rPr>
              <w:t>’</w:t>
            </w:r>
            <w:r w:rsidRPr="00D51A68">
              <w:rPr>
                <w:rFonts w:ascii="Times New Roman" w:hAnsi="Times New Roman"/>
                <w:sz w:val="24"/>
              </w:rPr>
              <w:t>aggregato delle variazioni negative accumulate del fair value (valore equo) dovute al rischio di credito relative alle posizioni indicate nelle colonne 080 e 090.</w:t>
            </w:r>
          </w:p>
          <w:p w:rsidR="00E863C1" w:rsidRPr="00D51A68" w:rsidRDefault="00E863C1" w:rsidP="00FD54FC">
            <w:pPr>
              <w:spacing w:before="0" w:after="0"/>
              <w:ind w:left="33"/>
              <w:rPr>
                <w:rFonts w:ascii="Times New Roman" w:hAnsi="Times New Roman"/>
                <w:bCs/>
                <w:sz w:val="24"/>
              </w:rPr>
            </w:pPr>
          </w:p>
        </w:tc>
      </w:tr>
      <w:tr w:rsidR="00FD54FC" w:rsidRPr="00D51A68" w:rsidTr="00672D2A">
        <w:tc>
          <w:tcPr>
            <w:tcW w:w="1188" w:type="dxa"/>
          </w:tcPr>
          <w:p w:rsidR="00FD54FC" w:rsidRPr="00D51A68" w:rsidRDefault="00FD54FC" w:rsidP="00FD54FC">
            <w:pPr>
              <w:spacing w:before="0" w:after="0"/>
              <w:ind w:left="33"/>
              <w:rPr>
                <w:rFonts w:ascii="Times New Roman" w:hAnsi="Times New Roman"/>
                <w:bCs/>
                <w:sz w:val="24"/>
              </w:rPr>
            </w:pPr>
            <w:r w:rsidRPr="00D51A68">
              <w:rPr>
                <w:rFonts w:ascii="Times New Roman" w:hAnsi="Times New Roman"/>
                <w:sz w:val="24"/>
              </w:rPr>
              <w:t>200-230</w:t>
            </w:r>
          </w:p>
        </w:tc>
        <w:tc>
          <w:tcPr>
            <w:tcW w:w="8640" w:type="dxa"/>
          </w:tcPr>
          <w:p w:rsidR="00FD54FC" w:rsidRPr="00D51A68" w:rsidRDefault="00FD54FC" w:rsidP="00FD54FC">
            <w:pPr>
              <w:spacing w:before="0" w:after="0"/>
              <w:ind w:left="33"/>
              <w:rPr>
                <w:rFonts w:ascii="Times New Roman" w:hAnsi="Times New Roman"/>
                <w:b/>
                <w:bCs/>
                <w:sz w:val="24"/>
                <w:u w:val="single"/>
              </w:rPr>
            </w:pPr>
            <w:r w:rsidRPr="00D51A68">
              <w:rPr>
                <w:rFonts w:ascii="Times New Roman" w:hAnsi="Times New Roman"/>
                <w:b/>
                <w:sz w:val="24"/>
                <w:u w:val="single"/>
              </w:rPr>
              <w:t>DERIVATI</w:t>
            </w:r>
          </w:p>
          <w:p w:rsidR="00FD54FC" w:rsidRPr="00D51A68" w:rsidRDefault="00FD54FC" w:rsidP="00FD54FC">
            <w:pPr>
              <w:spacing w:before="0" w:after="0"/>
              <w:ind w:left="33"/>
              <w:rPr>
                <w:rFonts w:ascii="Times New Roman" w:hAnsi="Times New Roman"/>
                <w:b/>
                <w:bCs/>
                <w:sz w:val="24"/>
                <w:u w:val="single"/>
              </w:rPr>
            </w:pPr>
          </w:p>
          <w:p w:rsidR="00FD54FC" w:rsidRPr="00D51A68" w:rsidRDefault="00FD54FC" w:rsidP="00FD54FC">
            <w:pPr>
              <w:spacing w:before="0" w:after="0"/>
              <w:ind w:left="33"/>
              <w:rPr>
                <w:rFonts w:ascii="Times New Roman" w:hAnsi="Times New Roman"/>
                <w:bCs/>
                <w:sz w:val="24"/>
              </w:rPr>
            </w:pPr>
            <w:r w:rsidRPr="00D51A68">
              <w:rPr>
                <w:rFonts w:ascii="Times New Roman" w:hAnsi="Times New Roman"/>
                <w:sz w:val="24"/>
              </w:rPr>
              <w:t>Le posizioni dirette su derivati sono segnalate nelle colonne da 200 a 230.</w:t>
            </w:r>
          </w:p>
          <w:p w:rsidR="00FD54FC" w:rsidRPr="00D51A68" w:rsidRDefault="00FD54FC" w:rsidP="00FD54FC">
            <w:pPr>
              <w:spacing w:before="0" w:after="0"/>
              <w:ind w:left="33"/>
              <w:rPr>
                <w:rFonts w:ascii="Times New Roman" w:hAnsi="Times New Roman"/>
                <w:b/>
                <w:bCs/>
                <w:sz w:val="24"/>
                <w:u w:val="single"/>
              </w:rPr>
            </w:pPr>
          </w:p>
          <w:p w:rsidR="00FD54FC" w:rsidRPr="00D51A68" w:rsidRDefault="00FD54FC" w:rsidP="00FD54FC">
            <w:pPr>
              <w:spacing w:before="0" w:after="0"/>
              <w:ind w:left="33"/>
              <w:rPr>
                <w:rFonts w:ascii="Times New Roman" w:hAnsi="Times New Roman"/>
                <w:bCs/>
                <w:sz w:val="24"/>
              </w:rPr>
            </w:pPr>
            <w:r w:rsidRPr="00D51A68">
              <w:rPr>
                <w:rFonts w:ascii="Times New Roman" w:hAnsi="Times New Roman"/>
                <w:sz w:val="24"/>
              </w:rPr>
              <w:t>Per la segnalazione dei derivati soggetti a coperture patrimoniali sia per il rischio di controparte che per il rischio di mercato cfr. le istruzioni relative alla ripartizione per riga.</w:t>
            </w:r>
          </w:p>
          <w:p w:rsidR="00FD54FC" w:rsidRPr="00D51A68" w:rsidRDefault="00FD54FC" w:rsidP="00FD54FC">
            <w:pPr>
              <w:spacing w:before="0" w:after="0"/>
              <w:ind w:left="33"/>
              <w:rPr>
                <w:rFonts w:ascii="Times New Roman" w:hAnsi="Times New Roman"/>
                <w:b/>
                <w:bCs/>
                <w:sz w:val="24"/>
                <w:u w:val="single"/>
              </w:rPr>
            </w:pPr>
          </w:p>
        </w:tc>
      </w:tr>
      <w:tr w:rsidR="00FD54FC" w:rsidRPr="00D51A68" w:rsidTr="00672D2A">
        <w:tc>
          <w:tcPr>
            <w:tcW w:w="1188" w:type="dxa"/>
          </w:tcPr>
          <w:p w:rsidR="00FD54FC" w:rsidRPr="00D51A68" w:rsidRDefault="00FD54FC" w:rsidP="00FD54FC">
            <w:pPr>
              <w:spacing w:before="0" w:after="0"/>
              <w:ind w:left="33"/>
              <w:rPr>
                <w:rFonts w:ascii="Times New Roman" w:hAnsi="Times New Roman"/>
                <w:bCs/>
                <w:sz w:val="24"/>
              </w:rPr>
            </w:pPr>
            <w:r w:rsidRPr="00D51A68">
              <w:rPr>
                <w:rFonts w:ascii="Times New Roman" w:hAnsi="Times New Roman"/>
                <w:sz w:val="24"/>
              </w:rPr>
              <w:t>200-210</w:t>
            </w:r>
          </w:p>
        </w:tc>
        <w:tc>
          <w:tcPr>
            <w:tcW w:w="8640" w:type="dxa"/>
          </w:tcPr>
          <w:p w:rsidR="00FD54FC" w:rsidRPr="00D51A68" w:rsidRDefault="00FD54FC" w:rsidP="00FD54FC">
            <w:pPr>
              <w:spacing w:before="0" w:after="0"/>
              <w:ind w:left="33"/>
              <w:rPr>
                <w:rFonts w:ascii="Times New Roman" w:hAnsi="Times New Roman"/>
                <w:b/>
                <w:bCs/>
                <w:sz w:val="24"/>
                <w:u w:val="single"/>
              </w:rPr>
            </w:pPr>
            <w:r w:rsidRPr="00D51A68">
              <w:rPr>
                <w:rFonts w:ascii="Times New Roman" w:hAnsi="Times New Roman"/>
                <w:b/>
                <w:sz w:val="24"/>
                <w:u w:val="single"/>
              </w:rPr>
              <w:t>Derivati con un fair value (valore equo) positivo</w:t>
            </w:r>
          </w:p>
          <w:p w:rsidR="00FD54FC" w:rsidRPr="00D51A68" w:rsidRDefault="00FD54FC" w:rsidP="00FD54FC">
            <w:pPr>
              <w:spacing w:before="0" w:after="0"/>
              <w:ind w:left="33"/>
              <w:rPr>
                <w:rFonts w:ascii="Times New Roman" w:hAnsi="Times New Roman"/>
                <w:bCs/>
                <w:sz w:val="24"/>
              </w:rPr>
            </w:pPr>
          </w:p>
          <w:p w:rsidR="00FD54FC" w:rsidRPr="00D51A68" w:rsidRDefault="00FD54FC" w:rsidP="00FD54FC">
            <w:pPr>
              <w:spacing w:before="0" w:after="0"/>
              <w:ind w:left="33"/>
              <w:rPr>
                <w:rFonts w:ascii="Times New Roman" w:hAnsi="Times New Roman"/>
                <w:bCs/>
                <w:sz w:val="24"/>
              </w:rPr>
            </w:pPr>
            <w:r w:rsidRPr="00D51A68">
              <w:rPr>
                <w:rFonts w:ascii="Times New Roman" w:hAnsi="Times New Roman"/>
                <w:sz w:val="24"/>
              </w:rPr>
              <w:t>Tutti gli strumenti derivati la cui controparte è una amministrazione pubblica con fair value (valore equo) positivo per l</w:t>
            </w:r>
            <w:r w:rsidR="0009277C" w:rsidRPr="00D51A68">
              <w:rPr>
                <w:rFonts w:ascii="Times New Roman" w:hAnsi="Times New Roman"/>
                <w:sz w:val="24"/>
              </w:rPr>
              <w:t>’</w:t>
            </w:r>
            <w:r w:rsidRPr="00D51A68">
              <w:rPr>
                <w:rFonts w:ascii="Times New Roman" w:hAnsi="Times New Roman"/>
                <w:sz w:val="24"/>
              </w:rPr>
              <w:t xml:space="preserve">ente alla data di riferimento per le segnalazioni, a prescindere dal fatto che siano utilizzati in una valida relazione di copertura, siano posseduti per negoziazione o siano inclusi nel portafoglio di negoziazione ai sensi degli IFRS e dei GAAP nazionali basati sulla BAD. </w:t>
            </w:r>
          </w:p>
          <w:p w:rsidR="00FD54FC" w:rsidRPr="00D51A68" w:rsidRDefault="00FD54FC" w:rsidP="00FD54FC">
            <w:pPr>
              <w:spacing w:before="0" w:after="0"/>
              <w:ind w:left="33"/>
              <w:rPr>
                <w:rFonts w:ascii="Times New Roman" w:hAnsi="Times New Roman"/>
                <w:bCs/>
                <w:sz w:val="24"/>
              </w:rPr>
            </w:pPr>
          </w:p>
          <w:p w:rsidR="00FD54FC" w:rsidRPr="00D51A68" w:rsidRDefault="00FD54FC" w:rsidP="00FD54FC">
            <w:pPr>
              <w:spacing w:before="0" w:after="0"/>
              <w:ind w:left="33"/>
              <w:rPr>
                <w:rFonts w:ascii="Times New Roman" w:hAnsi="Times New Roman"/>
                <w:bCs/>
                <w:sz w:val="24"/>
              </w:rPr>
            </w:pPr>
            <w:r w:rsidRPr="00D51A68">
              <w:rPr>
                <w:rFonts w:ascii="Times New Roman" w:hAnsi="Times New Roman"/>
                <w:sz w:val="24"/>
              </w:rPr>
              <w:t xml:space="preserve">I derivati utilizzati in coperture economiche sono segnalati in questa sede se sono inclusi nei portafogli contabili </w:t>
            </w:r>
            <w:r w:rsidR="0009277C" w:rsidRPr="00D51A68">
              <w:rPr>
                <w:rFonts w:ascii="Times New Roman" w:hAnsi="Times New Roman"/>
                <w:sz w:val="24"/>
              </w:rPr>
              <w:t>“</w:t>
            </w:r>
            <w:r w:rsidRPr="00D51A68">
              <w:rPr>
                <w:rFonts w:ascii="Times New Roman" w:hAnsi="Times New Roman"/>
                <w:sz w:val="24"/>
              </w:rPr>
              <w:t>di negoziazione</w:t>
            </w:r>
            <w:r w:rsidR="0009277C" w:rsidRPr="00D51A68">
              <w:rPr>
                <w:rFonts w:ascii="Times New Roman" w:hAnsi="Times New Roman"/>
                <w:sz w:val="24"/>
              </w:rPr>
              <w:t>”</w:t>
            </w:r>
            <w:r w:rsidRPr="00D51A68">
              <w:rPr>
                <w:rFonts w:ascii="Times New Roman" w:hAnsi="Times New Roman"/>
                <w:sz w:val="24"/>
              </w:rPr>
              <w:t xml:space="preserve"> o </w:t>
            </w:r>
            <w:r w:rsidR="0009277C" w:rsidRPr="00D51A68">
              <w:rPr>
                <w:rFonts w:ascii="Times New Roman" w:hAnsi="Times New Roman"/>
                <w:sz w:val="24"/>
              </w:rPr>
              <w:t>“</w:t>
            </w:r>
            <w:r w:rsidRPr="00D51A68">
              <w:rPr>
                <w:rFonts w:ascii="Times New Roman" w:hAnsi="Times New Roman"/>
                <w:sz w:val="24"/>
              </w:rPr>
              <w:t>posseduti per negoziazione</w:t>
            </w:r>
            <w:r w:rsidR="0009277C" w:rsidRPr="00D51A68">
              <w:rPr>
                <w:rFonts w:ascii="Times New Roman" w:hAnsi="Times New Roman"/>
                <w:sz w:val="24"/>
              </w:rPr>
              <w:t>”</w:t>
            </w:r>
            <w:r w:rsidRPr="00D51A68">
              <w:rPr>
                <w:rFonts w:ascii="Times New Roman" w:hAnsi="Times New Roman"/>
                <w:sz w:val="24"/>
              </w:rPr>
              <w:t xml:space="preserve"> (allegato V, parte 2, punti 120, 124, 125 e da 137 a 140).</w:t>
            </w:r>
          </w:p>
          <w:p w:rsidR="00FD54FC" w:rsidRPr="00D51A68" w:rsidRDefault="00FD54FC" w:rsidP="00FD54FC">
            <w:pPr>
              <w:spacing w:before="0" w:after="0"/>
              <w:ind w:left="33"/>
              <w:rPr>
                <w:rFonts w:ascii="Times New Roman" w:hAnsi="Times New Roman"/>
                <w:b/>
                <w:bCs/>
                <w:sz w:val="24"/>
                <w:u w:val="single"/>
              </w:rPr>
            </w:pPr>
          </w:p>
        </w:tc>
      </w:tr>
      <w:tr w:rsidR="00FD54FC" w:rsidRPr="00D51A68" w:rsidTr="00672D2A">
        <w:tc>
          <w:tcPr>
            <w:tcW w:w="1188" w:type="dxa"/>
          </w:tcPr>
          <w:p w:rsidR="00FD54FC" w:rsidRPr="00D51A68" w:rsidRDefault="00FD54FC" w:rsidP="00FD54FC">
            <w:pPr>
              <w:spacing w:before="0" w:after="0"/>
              <w:ind w:left="33"/>
              <w:rPr>
                <w:rFonts w:ascii="Times New Roman" w:hAnsi="Times New Roman"/>
                <w:bCs/>
                <w:sz w:val="24"/>
              </w:rPr>
            </w:pPr>
            <w:r w:rsidRPr="00D51A68">
              <w:rPr>
                <w:rFonts w:ascii="Times New Roman" w:hAnsi="Times New Roman"/>
                <w:sz w:val="24"/>
              </w:rPr>
              <w:t>200</w:t>
            </w:r>
          </w:p>
        </w:tc>
        <w:tc>
          <w:tcPr>
            <w:tcW w:w="8640" w:type="dxa"/>
          </w:tcPr>
          <w:p w:rsidR="00FD54FC" w:rsidRPr="00D51A68" w:rsidRDefault="00FD54FC" w:rsidP="00FD54FC">
            <w:pPr>
              <w:spacing w:before="0" w:after="0"/>
              <w:ind w:left="33"/>
              <w:rPr>
                <w:rFonts w:ascii="Times New Roman" w:hAnsi="Times New Roman"/>
                <w:b/>
                <w:bCs/>
                <w:sz w:val="24"/>
                <w:u w:val="single"/>
              </w:rPr>
            </w:pPr>
            <w:r w:rsidRPr="00D51A68">
              <w:rPr>
                <w:rFonts w:ascii="Times New Roman" w:hAnsi="Times New Roman"/>
                <w:b/>
                <w:sz w:val="24"/>
                <w:u w:val="single"/>
              </w:rPr>
              <w:t xml:space="preserve">Derivati con un fair value (valore equo) positivo: valore contabile </w:t>
            </w:r>
          </w:p>
          <w:p w:rsidR="00FD54FC" w:rsidRPr="00D51A68" w:rsidRDefault="00FD54FC" w:rsidP="00FD54FC">
            <w:pPr>
              <w:spacing w:before="0" w:after="0"/>
              <w:ind w:left="33"/>
              <w:rPr>
                <w:rFonts w:ascii="Times New Roman" w:hAnsi="Times New Roman"/>
                <w:bCs/>
                <w:sz w:val="24"/>
              </w:rPr>
            </w:pPr>
          </w:p>
          <w:p w:rsidR="00FD54FC" w:rsidRPr="00D51A68" w:rsidRDefault="00FD54FC" w:rsidP="00FD54FC">
            <w:pPr>
              <w:spacing w:before="0" w:after="0"/>
              <w:ind w:left="33"/>
              <w:rPr>
                <w:rFonts w:ascii="Times New Roman" w:hAnsi="Times New Roman"/>
                <w:bCs/>
                <w:sz w:val="24"/>
              </w:rPr>
            </w:pPr>
            <w:r w:rsidRPr="00D51A68">
              <w:rPr>
                <w:rFonts w:ascii="Times New Roman" w:hAnsi="Times New Roman"/>
                <w:sz w:val="24"/>
              </w:rPr>
              <w:t xml:space="preserve">Valore contabile dei derivati contabilizzati come attività finanziarie alla data di riferimento per le segnalazioni. </w:t>
            </w:r>
          </w:p>
          <w:p w:rsidR="00FD54FC" w:rsidRPr="00D51A68" w:rsidRDefault="00FD54FC" w:rsidP="00FD54FC">
            <w:pPr>
              <w:spacing w:before="0" w:after="0"/>
              <w:ind w:left="33"/>
              <w:rPr>
                <w:rFonts w:ascii="Times New Roman" w:hAnsi="Times New Roman"/>
                <w:bCs/>
                <w:sz w:val="24"/>
              </w:rPr>
            </w:pPr>
          </w:p>
          <w:p w:rsidR="00FD54FC" w:rsidRPr="00D51A68" w:rsidRDefault="00FD54FC" w:rsidP="00FD54FC">
            <w:pPr>
              <w:spacing w:before="0" w:after="0"/>
              <w:ind w:left="33"/>
              <w:rPr>
                <w:rFonts w:ascii="Times New Roman" w:hAnsi="Times New Roman"/>
                <w:bCs/>
                <w:sz w:val="24"/>
              </w:rPr>
            </w:pPr>
            <w:r w:rsidRPr="00D51A68">
              <w:rPr>
                <w:rFonts w:ascii="Times New Roman" w:hAnsi="Times New Roman"/>
                <w:sz w:val="24"/>
              </w:rPr>
              <w:t xml:space="preserve">Ai sensi dei GAAP basati sulla BAD, i derivati da segnalare in queste colonne comprendono gli strumenti derivati valutati al costo o al minore fra questo e il valore di mercato inclusi nel portafoglio di negoziazione o designati come strumenti di copertura. </w:t>
            </w:r>
          </w:p>
          <w:p w:rsidR="00FD54FC" w:rsidRPr="00D51A68" w:rsidRDefault="00FD54FC" w:rsidP="00FD54FC">
            <w:pPr>
              <w:spacing w:before="0" w:after="0"/>
              <w:ind w:left="33"/>
              <w:rPr>
                <w:rFonts w:ascii="Times New Roman" w:hAnsi="Times New Roman"/>
                <w:b/>
                <w:bCs/>
                <w:sz w:val="24"/>
                <w:u w:val="single"/>
              </w:rPr>
            </w:pPr>
          </w:p>
        </w:tc>
      </w:tr>
      <w:tr w:rsidR="00FD54FC" w:rsidRPr="00D51A68" w:rsidTr="00672D2A">
        <w:tc>
          <w:tcPr>
            <w:tcW w:w="1188" w:type="dxa"/>
          </w:tcPr>
          <w:p w:rsidR="00FD54FC" w:rsidRPr="00D51A68" w:rsidRDefault="00FD54FC" w:rsidP="00FD54FC">
            <w:pPr>
              <w:spacing w:before="0" w:after="0"/>
              <w:ind w:left="33"/>
              <w:rPr>
                <w:rFonts w:ascii="Times New Roman" w:hAnsi="Times New Roman"/>
                <w:bCs/>
                <w:sz w:val="24"/>
              </w:rPr>
            </w:pPr>
            <w:r w:rsidRPr="00D51A68">
              <w:rPr>
                <w:rFonts w:ascii="Times New Roman" w:hAnsi="Times New Roman"/>
                <w:sz w:val="24"/>
              </w:rPr>
              <w:t>210</w:t>
            </w:r>
          </w:p>
        </w:tc>
        <w:tc>
          <w:tcPr>
            <w:tcW w:w="8640" w:type="dxa"/>
          </w:tcPr>
          <w:p w:rsidR="00FD54FC" w:rsidRPr="00D51A68" w:rsidRDefault="00FD54FC" w:rsidP="00FD54FC">
            <w:pPr>
              <w:spacing w:before="0" w:after="0"/>
              <w:ind w:left="33"/>
              <w:rPr>
                <w:rFonts w:ascii="Times New Roman" w:hAnsi="Times New Roman"/>
                <w:b/>
                <w:bCs/>
                <w:sz w:val="24"/>
                <w:u w:val="single"/>
              </w:rPr>
            </w:pPr>
            <w:r w:rsidRPr="00D51A68">
              <w:rPr>
                <w:rFonts w:ascii="Times New Roman" w:hAnsi="Times New Roman"/>
                <w:b/>
                <w:sz w:val="24"/>
                <w:u w:val="single"/>
              </w:rPr>
              <w:t>Derivati con un fair value (valore equo) positivo: importo nozionale</w:t>
            </w:r>
          </w:p>
          <w:p w:rsidR="00FD54FC" w:rsidRPr="00D51A68" w:rsidRDefault="00FD54FC" w:rsidP="00FD54FC">
            <w:pPr>
              <w:spacing w:before="0" w:after="0"/>
              <w:ind w:left="33"/>
              <w:rPr>
                <w:rFonts w:ascii="Times New Roman" w:hAnsi="Times New Roman"/>
                <w:bCs/>
                <w:sz w:val="24"/>
              </w:rPr>
            </w:pPr>
          </w:p>
          <w:p w:rsidR="00FD54FC" w:rsidRPr="00D51A68" w:rsidRDefault="00FD54FC" w:rsidP="00FD54FC">
            <w:pPr>
              <w:spacing w:before="0" w:after="0"/>
              <w:ind w:left="33"/>
              <w:rPr>
                <w:rFonts w:ascii="Times New Roman" w:hAnsi="Times New Roman"/>
                <w:bCs/>
                <w:sz w:val="24"/>
              </w:rPr>
            </w:pPr>
            <w:r w:rsidRPr="00D51A68">
              <w:rPr>
                <w:rFonts w:ascii="Times New Roman" w:hAnsi="Times New Roman"/>
                <w:sz w:val="24"/>
              </w:rPr>
              <w:t>Ai sensi degli IFRS e dei GAAP nazionali basati sulla BAD, il valore nozionale, secondo la definizione di cui all</w:t>
            </w:r>
            <w:r w:rsidR="0009277C" w:rsidRPr="00D51A68">
              <w:rPr>
                <w:rFonts w:ascii="Times New Roman" w:hAnsi="Times New Roman"/>
                <w:sz w:val="24"/>
              </w:rPr>
              <w:t>’</w:t>
            </w:r>
            <w:r w:rsidRPr="00D51A68">
              <w:rPr>
                <w:rFonts w:ascii="Times New Roman" w:hAnsi="Times New Roman"/>
                <w:sz w:val="24"/>
              </w:rPr>
              <w:t>allegato V, parte 2, punti da 133 a 135, di tutti i contratti derivati conclusi e non ancora regolati alla data di riferimento per le segnalazioni la cui controparte è una amministrazione pubblica, come definita al precedente punto 1, se il loro fair value (valore equo) è positivo per l</w:t>
            </w:r>
            <w:r w:rsidR="0009277C" w:rsidRPr="00D51A68">
              <w:rPr>
                <w:rFonts w:ascii="Times New Roman" w:hAnsi="Times New Roman"/>
                <w:sz w:val="24"/>
              </w:rPr>
              <w:t>’</w:t>
            </w:r>
            <w:r w:rsidRPr="00D51A68">
              <w:rPr>
                <w:rFonts w:ascii="Times New Roman" w:hAnsi="Times New Roman"/>
                <w:sz w:val="24"/>
              </w:rPr>
              <w:t>ente alla data di riferimento per le segnalazioni.</w:t>
            </w:r>
          </w:p>
          <w:p w:rsidR="00FD54FC" w:rsidRPr="00D51A68" w:rsidRDefault="00FD54FC" w:rsidP="00FD54FC">
            <w:pPr>
              <w:spacing w:before="0" w:after="0"/>
              <w:ind w:left="33"/>
              <w:rPr>
                <w:rFonts w:ascii="Times New Roman" w:hAnsi="Times New Roman"/>
                <w:b/>
                <w:bCs/>
                <w:sz w:val="24"/>
                <w:u w:val="single"/>
              </w:rPr>
            </w:pPr>
          </w:p>
        </w:tc>
      </w:tr>
      <w:tr w:rsidR="00FD54FC" w:rsidRPr="00D51A68" w:rsidTr="00672D2A">
        <w:tc>
          <w:tcPr>
            <w:tcW w:w="1188" w:type="dxa"/>
          </w:tcPr>
          <w:p w:rsidR="00FD54FC" w:rsidRPr="00D51A68" w:rsidRDefault="00FD54FC" w:rsidP="00FD54FC">
            <w:pPr>
              <w:spacing w:before="0" w:after="0"/>
              <w:ind w:left="33"/>
              <w:rPr>
                <w:rFonts w:ascii="Times New Roman" w:hAnsi="Times New Roman"/>
                <w:bCs/>
                <w:sz w:val="24"/>
              </w:rPr>
            </w:pPr>
            <w:r w:rsidRPr="00D51A68">
              <w:rPr>
                <w:rFonts w:ascii="Times New Roman" w:hAnsi="Times New Roman"/>
                <w:sz w:val="24"/>
              </w:rPr>
              <w:t>220-230</w:t>
            </w:r>
          </w:p>
        </w:tc>
        <w:tc>
          <w:tcPr>
            <w:tcW w:w="8640" w:type="dxa"/>
          </w:tcPr>
          <w:p w:rsidR="00FD54FC" w:rsidRPr="00D51A68" w:rsidRDefault="00FD54FC" w:rsidP="00FD54FC">
            <w:pPr>
              <w:spacing w:before="0" w:after="0"/>
              <w:ind w:left="33"/>
              <w:rPr>
                <w:rFonts w:ascii="Times New Roman" w:hAnsi="Times New Roman"/>
                <w:b/>
                <w:bCs/>
                <w:sz w:val="24"/>
                <w:u w:val="single"/>
              </w:rPr>
            </w:pPr>
            <w:r w:rsidRPr="00D51A68">
              <w:rPr>
                <w:rFonts w:ascii="Times New Roman" w:hAnsi="Times New Roman"/>
                <w:b/>
                <w:sz w:val="24"/>
                <w:u w:val="single"/>
              </w:rPr>
              <w:t>Derivati con un fair value (valore equo) negativo</w:t>
            </w:r>
          </w:p>
          <w:p w:rsidR="00FD54FC" w:rsidRPr="00D51A68" w:rsidDel="00501397" w:rsidRDefault="00FD54FC" w:rsidP="00FD54FC">
            <w:pPr>
              <w:spacing w:before="0" w:after="0"/>
              <w:ind w:left="33"/>
              <w:rPr>
                <w:rFonts w:ascii="Times New Roman" w:hAnsi="Times New Roman"/>
                <w:bCs/>
                <w:sz w:val="24"/>
              </w:rPr>
            </w:pPr>
          </w:p>
          <w:p w:rsidR="00FD54FC" w:rsidRPr="00D51A68" w:rsidRDefault="00FD54FC" w:rsidP="00FD54FC">
            <w:pPr>
              <w:spacing w:before="0" w:after="0"/>
              <w:ind w:left="33"/>
              <w:rPr>
                <w:rFonts w:ascii="Times New Roman" w:hAnsi="Times New Roman"/>
                <w:bCs/>
                <w:sz w:val="24"/>
              </w:rPr>
            </w:pPr>
            <w:r w:rsidRPr="00D51A68">
              <w:rPr>
                <w:rFonts w:ascii="Times New Roman" w:hAnsi="Times New Roman"/>
                <w:sz w:val="24"/>
              </w:rPr>
              <w:t>Tutti gli strumenti derivati la cui controparte è una amministrazione pubblica con fair value (valore equo) negativo per l</w:t>
            </w:r>
            <w:r w:rsidR="0009277C" w:rsidRPr="00D51A68">
              <w:rPr>
                <w:rFonts w:ascii="Times New Roman" w:hAnsi="Times New Roman"/>
                <w:sz w:val="24"/>
              </w:rPr>
              <w:t>’</w:t>
            </w:r>
            <w:r w:rsidRPr="00D51A68">
              <w:rPr>
                <w:rFonts w:ascii="Times New Roman" w:hAnsi="Times New Roman"/>
                <w:sz w:val="24"/>
              </w:rPr>
              <w:t xml:space="preserve">ente alla data di riferimento per le segnalazioni, a prescindere dal fatto che siano utilizzati in una valida relazione di copertura, siano posseduti per negoziazione o siano inclusi nel portafoglio di negoziazione ai sensi degli IFRS e dei GAAP nazionali basati sulla BAD. </w:t>
            </w:r>
          </w:p>
          <w:p w:rsidR="00FD54FC" w:rsidRPr="00D51A68" w:rsidRDefault="00FD54FC" w:rsidP="00FD54FC">
            <w:pPr>
              <w:spacing w:before="0" w:after="0"/>
              <w:ind w:left="33"/>
              <w:rPr>
                <w:rFonts w:ascii="Times New Roman" w:hAnsi="Times New Roman"/>
                <w:bCs/>
                <w:sz w:val="24"/>
              </w:rPr>
            </w:pPr>
          </w:p>
          <w:p w:rsidR="00FD54FC" w:rsidRPr="00D51A68" w:rsidRDefault="00FD54FC" w:rsidP="00FD54FC">
            <w:pPr>
              <w:spacing w:before="0" w:after="0"/>
              <w:ind w:left="33"/>
              <w:rPr>
                <w:rFonts w:ascii="Times New Roman" w:hAnsi="Times New Roman"/>
                <w:bCs/>
                <w:sz w:val="24"/>
              </w:rPr>
            </w:pPr>
            <w:r w:rsidRPr="00D51A68">
              <w:rPr>
                <w:rFonts w:ascii="Times New Roman" w:hAnsi="Times New Roman"/>
                <w:sz w:val="24"/>
              </w:rPr>
              <w:t xml:space="preserve">I derivati utilizzati in coperture economiche sono segnalati in questa sede se sono inclusi nei portafogli contabili </w:t>
            </w:r>
            <w:r w:rsidR="0009277C" w:rsidRPr="00D51A68">
              <w:rPr>
                <w:rFonts w:ascii="Times New Roman" w:hAnsi="Times New Roman"/>
                <w:sz w:val="24"/>
              </w:rPr>
              <w:t>“</w:t>
            </w:r>
            <w:r w:rsidRPr="00D51A68">
              <w:rPr>
                <w:rFonts w:ascii="Times New Roman" w:hAnsi="Times New Roman"/>
                <w:sz w:val="24"/>
              </w:rPr>
              <w:t>di negoziazione</w:t>
            </w:r>
            <w:r w:rsidR="0009277C" w:rsidRPr="00D51A68">
              <w:rPr>
                <w:rFonts w:ascii="Times New Roman" w:hAnsi="Times New Roman"/>
                <w:sz w:val="24"/>
              </w:rPr>
              <w:t>”</w:t>
            </w:r>
            <w:r w:rsidRPr="00D51A68">
              <w:rPr>
                <w:rFonts w:ascii="Times New Roman" w:hAnsi="Times New Roman"/>
                <w:sz w:val="24"/>
              </w:rPr>
              <w:t xml:space="preserve"> o </w:t>
            </w:r>
            <w:r w:rsidR="0009277C" w:rsidRPr="00D51A68">
              <w:rPr>
                <w:rFonts w:ascii="Times New Roman" w:hAnsi="Times New Roman"/>
                <w:sz w:val="24"/>
              </w:rPr>
              <w:t>“</w:t>
            </w:r>
            <w:r w:rsidRPr="00D51A68">
              <w:rPr>
                <w:rFonts w:ascii="Times New Roman" w:hAnsi="Times New Roman"/>
                <w:sz w:val="24"/>
              </w:rPr>
              <w:t>posseduti per negoziazione</w:t>
            </w:r>
            <w:r w:rsidR="0009277C" w:rsidRPr="00D51A68">
              <w:rPr>
                <w:rFonts w:ascii="Times New Roman" w:hAnsi="Times New Roman"/>
                <w:sz w:val="24"/>
              </w:rPr>
              <w:t>”</w:t>
            </w:r>
            <w:r w:rsidRPr="00D51A68">
              <w:rPr>
                <w:rFonts w:ascii="Times New Roman" w:hAnsi="Times New Roman"/>
                <w:sz w:val="24"/>
              </w:rPr>
              <w:t xml:space="preserve"> (allegato V, parte 2, punti 120, 124, 125 e da 137 a 140).</w:t>
            </w:r>
          </w:p>
          <w:p w:rsidR="00FD54FC" w:rsidRPr="00D51A68" w:rsidRDefault="00FD54FC" w:rsidP="00FD54FC">
            <w:pPr>
              <w:spacing w:before="0" w:after="0"/>
              <w:ind w:left="33"/>
              <w:rPr>
                <w:rFonts w:ascii="Times New Roman" w:hAnsi="Times New Roman"/>
                <w:b/>
                <w:bCs/>
                <w:sz w:val="24"/>
                <w:u w:val="single"/>
              </w:rPr>
            </w:pPr>
          </w:p>
        </w:tc>
      </w:tr>
      <w:tr w:rsidR="00FD54FC" w:rsidRPr="00D51A68" w:rsidTr="00672D2A">
        <w:tc>
          <w:tcPr>
            <w:tcW w:w="1188" w:type="dxa"/>
          </w:tcPr>
          <w:p w:rsidR="00FD54FC" w:rsidRPr="00D51A68" w:rsidRDefault="00FD54FC" w:rsidP="00FD54FC">
            <w:pPr>
              <w:spacing w:before="0" w:after="0"/>
              <w:ind w:left="33"/>
              <w:rPr>
                <w:rFonts w:ascii="Times New Roman" w:hAnsi="Times New Roman"/>
                <w:bCs/>
                <w:sz w:val="24"/>
              </w:rPr>
            </w:pPr>
            <w:r w:rsidRPr="00D51A68">
              <w:rPr>
                <w:rFonts w:ascii="Times New Roman" w:hAnsi="Times New Roman"/>
                <w:sz w:val="24"/>
              </w:rPr>
              <w:t>220</w:t>
            </w:r>
          </w:p>
        </w:tc>
        <w:tc>
          <w:tcPr>
            <w:tcW w:w="8640" w:type="dxa"/>
          </w:tcPr>
          <w:p w:rsidR="00FD54FC" w:rsidRPr="00D51A68" w:rsidRDefault="00FD54FC" w:rsidP="00FD54FC">
            <w:pPr>
              <w:spacing w:before="0" w:after="0"/>
              <w:ind w:left="33"/>
              <w:rPr>
                <w:rFonts w:ascii="Times New Roman" w:hAnsi="Times New Roman"/>
                <w:b/>
                <w:bCs/>
                <w:sz w:val="24"/>
                <w:u w:val="single"/>
              </w:rPr>
            </w:pPr>
            <w:r w:rsidRPr="00D51A68">
              <w:rPr>
                <w:rFonts w:ascii="Times New Roman" w:hAnsi="Times New Roman"/>
                <w:b/>
                <w:sz w:val="24"/>
                <w:u w:val="single"/>
              </w:rPr>
              <w:t xml:space="preserve">Derivati con un fair value (valore equo) negativo: valore contabile </w:t>
            </w:r>
          </w:p>
          <w:p w:rsidR="00FD54FC" w:rsidRPr="00D51A68" w:rsidRDefault="00FD54FC" w:rsidP="00FD54FC">
            <w:pPr>
              <w:spacing w:before="0" w:after="0"/>
              <w:ind w:left="33"/>
              <w:rPr>
                <w:rFonts w:ascii="Times New Roman" w:hAnsi="Times New Roman"/>
                <w:bCs/>
                <w:sz w:val="24"/>
              </w:rPr>
            </w:pPr>
          </w:p>
          <w:p w:rsidR="00FD54FC" w:rsidRPr="00D51A68" w:rsidRDefault="00FD54FC" w:rsidP="00FD54FC">
            <w:pPr>
              <w:spacing w:before="0" w:after="0"/>
              <w:ind w:left="33"/>
              <w:rPr>
                <w:rFonts w:ascii="Times New Roman" w:hAnsi="Times New Roman"/>
                <w:bCs/>
                <w:sz w:val="24"/>
              </w:rPr>
            </w:pPr>
            <w:r w:rsidRPr="00D51A68">
              <w:rPr>
                <w:rFonts w:ascii="Times New Roman" w:hAnsi="Times New Roman"/>
                <w:sz w:val="24"/>
              </w:rPr>
              <w:t xml:space="preserve">Valore contabile dei derivati contabilizzati come passività finanziarie alla data di riferimento per le segnalazioni. </w:t>
            </w:r>
          </w:p>
          <w:p w:rsidR="00FD54FC" w:rsidRPr="00D51A68" w:rsidRDefault="00FD54FC" w:rsidP="00FD54FC">
            <w:pPr>
              <w:spacing w:before="0" w:after="0"/>
              <w:ind w:left="33"/>
              <w:rPr>
                <w:rFonts w:ascii="Times New Roman" w:hAnsi="Times New Roman"/>
                <w:bCs/>
                <w:sz w:val="24"/>
              </w:rPr>
            </w:pPr>
          </w:p>
          <w:p w:rsidR="00FD54FC" w:rsidRPr="00D51A68" w:rsidRDefault="00FD54FC" w:rsidP="00FD54FC">
            <w:pPr>
              <w:spacing w:before="0" w:after="0"/>
              <w:ind w:left="33"/>
              <w:rPr>
                <w:rFonts w:ascii="Times New Roman" w:hAnsi="Times New Roman"/>
                <w:bCs/>
                <w:sz w:val="24"/>
              </w:rPr>
            </w:pPr>
            <w:r w:rsidRPr="00D51A68">
              <w:rPr>
                <w:rFonts w:ascii="Times New Roman" w:hAnsi="Times New Roman"/>
                <w:sz w:val="24"/>
              </w:rPr>
              <w:t xml:space="preserve">Ai sensi dei GAAP basati sulla BAD, i derivati da segnalare in queste colonne comprendono gli strumenti derivati valutati al costo o al minore fra questo e il valore di mercato inclusi nel portafoglio di negoziazione o designati come strumenti di copertura. </w:t>
            </w:r>
          </w:p>
          <w:p w:rsidR="00FD54FC" w:rsidRPr="00D51A68" w:rsidRDefault="00FD54FC" w:rsidP="00FD54FC">
            <w:pPr>
              <w:spacing w:before="0" w:after="0"/>
              <w:ind w:left="33"/>
              <w:rPr>
                <w:rFonts w:ascii="Times New Roman" w:hAnsi="Times New Roman"/>
                <w:b/>
                <w:bCs/>
                <w:sz w:val="24"/>
                <w:u w:val="single"/>
              </w:rPr>
            </w:pPr>
          </w:p>
        </w:tc>
      </w:tr>
      <w:tr w:rsidR="00FD54FC" w:rsidRPr="00D51A68" w:rsidTr="00672D2A">
        <w:tc>
          <w:tcPr>
            <w:tcW w:w="1188" w:type="dxa"/>
          </w:tcPr>
          <w:p w:rsidR="00FD54FC" w:rsidRPr="00D51A68" w:rsidRDefault="00FD54FC" w:rsidP="00FD54FC">
            <w:pPr>
              <w:spacing w:before="0" w:after="0"/>
              <w:ind w:left="33"/>
              <w:rPr>
                <w:rFonts w:ascii="Times New Roman" w:hAnsi="Times New Roman"/>
                <w:bCs/>
                <w:sz w:val="24"/>
              </w:rPr>
            </w:pPr>
            <w:r w:rsidRPr="00D51A68">
              <w:rPr>
                <w:rFonts w:ascii="Times New Roman" w:hAnsi="Times New Roman"/>
                <w:sz w:val="24"/>
              </w:rPr>
              <w:t>230</w:t>
            </w:r>
          </w:p>
        </w:tc>
        <w:tc>
          <w:tcPr>
            <w:tcW w:w="8640" w:type="dxa"/>
          </w:tcPr>
          <w:p w:rsidR="00FD54FC" w:rsidRPr="00D51A68" w:rsidRDefault="00FD54FC" w:rsidP="00FD54FC">
            <w:pPr>
              <w:spacing w:before="0" w:after="0"/>
              <w:rPr>
                <w:rFonts w:ascii="Times New Roman" w:hAnsi="Times New Roman"/>
                <w:b/>
                <w:bCs/>
                <w:sz w:val="24"/>
                <w:u w:val="single"/>
              </w:rPr>
            </w:pPr>
            <w:r w:rsidRPr="00D51A68">
              <w:rPr>
                <w:rFonts w:ascii="Times New Roman" w:hAnsi="Times New Roman"/>
                <w:b/>
                <w:sz w:val="24"/>
                <w:u w:val="single"/>
              </w:rPr>
              <w:t>Derivati con un fair value (valore equo) negativo: importo nozionale</w:t>
            </w:r>
          </w:p>
          <w:p w:rsidR="00FD54FC" w:rsidRPr="00D51A68" w:rsidRDefault="00FD54FC" w:rsidP="00FD54FC">
            <w:pPr>
              <w:spacing w:before="0" w:after="0"/>
              <w:ind w:left="33"/>
              <w:rPr>
                <w:rFonts w:ascii="Times New Roman" w:hAnsi="Times New Roman"/>
                <w:b/>
                <w:bCs/>
                <w:sz w:val="24"/>
                <w:u w:val="single"/>
              </w:rPr>
            </w:pPr>
          </w:p>
          <w:p w:rsidR="00FD54FC" w:rsidRPr="00D51A68" w:rsidRDefault="00FD54FC" w:rsidP="00FD54FC">
            <w:pPr>
              <w:spacing w:before="0" w:after="0"/>
              <w:ind w:left="33"/>
              <w:rPr>
                <w:rFonts w:ascii="Times New Roman" w:hAnsi="Times New Roman"/>
                <w:bCs/>
                <w:sz w:val="24"/>
              </w:rPr>
            </w:pPr>
            <w:r w:rsidRPr="00D51A68">
              <w:rPr>
                <w:rFonts w:ascii="Times New Roman" w:hAnsi="Times New Roman"/>
                <w:sz w:val="24"/>
              </w:rPr>
              <w:t>Ai sensi degli IFRS e dei GAAP nazionali basati sulla BAD, il valore nozionale, secondo la definizione di cui all</w:t>
            </w:r>
            <w:r w:rsidR="0009277C" w:rsidRPr="00D51A68">
              <w:rPr>
                <w:rFonts w:ascii="Times New Roman" w:hAnsi="Times New Roman"/>
                <w:sz w:val="24"/>
              </w:rPr>
              <w:t>’</w:t>
            </w:r>
            <w:r w:rsidRPr="00D51A68">
              <w:rPr>
                <w:rFonts w:ascii="Times New Roman" w:hAnsi="Times New Roman"/>
                <w:sz w:val="24"/>
              </w:rPr>
              <w:t>allegato V, parte 2, punti da 133 a 135, di tutti i contratti derivati conclusi e non ancora regolati alla data di riferimento la cui controparte è una amministrazione pubblica, come definita al precedente punto 1, se il loro fair value (valore equo) è negativo per l</w:t>
            </w:r>
            <w:r w:rsidR="0009277C" w:rsidRPr="00D51A68">
              <w:rPr>
                <w:rFonts w:ascii="Times New Roman" w:hAnsi="Times New Roman"/>
                <w:sz w:val="24"/>
              </w:rPr>
              <w:t>’</w:t>
            </w:r>
            <w:r w:rsidRPr="00D51A68">
              <w:rPr>
                <w:rFonts w:ascii="Times New Roman" w:hAnsi="Times New Roman"/>
                <w:sz w:val="24"/>
              </w:rPr>
              <w:t>ente.</w:t>
            </w:r>
          </w:p>
          <w:p w:rsidR="00FD54FC" w:rsidRPr="00D51A68" w:rsidRDefault="00FD54FC" w:rsidP="00FD54FC">
            <w:pPr>
              <w:spacing w:before="0" w:after="0"/>
              <w:ind w:left="33"/>
              <w:rPr>
                <w:rFonts w:ascii="Times New Roman" w:hAnsi="Times New Roman"/>
                <w:b/>
                <w:bCs/>
                <w:sz w:val="24"/>
                <w:u w:val="single"/>
              </w:rPr>
            </w:pPr>
          </w:p>
        </w:tc>
      </w:tr>
      <w:tr w:rsidR="00FD54FC" w:rsidRPr="00D51A68" w:rsidTr="00672D2A">
        <w:tc>
          <w:tcPr>
            <w:tcW w:w="1188" w:type="dxa"/>
          </w:tcPr>
          <w:p w:rsidR="00FD54FC" w:rsidRPr="00D51A68" w:rsidRDefault="00FD54FC" w:rsidP="00B74792">
            <w:pPr>
              <w:spacing w:before="0" w:after="0"/>
              <w:ind w:left="33"/>
              <w:rPr>
                <w:rFonts w:ascii="Times New Roman" w:hAnsi="Times New Roman"/>
                <w:bCs/>
                <w:sz w:val="24"/>
              </w:rPr>
            </w:pPr>
            <w:r w:rsidRPr="00D51A68">
              <w:rPr>
                <w:rFonts w:ascii="Times New Roman" w:hAnsi="Times New Roman"/>
                <w:sz w:val="24"/>
              </w:rPr>
              <w:t>240-260</w:t>
            </w:r>
          </w:p>
        </w:tc>
        <w:tc>
          <w:tcPr>
            <w:tcW w:w="8640" w:type="dxa"/>
          </w:tcPr>
          <w:p w:rsidR="00FD54FC" w:rsidRPr="00D51A68" w:rsidRDefault="00FD54FC" w:rsidP="00FD54FC">
            <w:pPr>
              <w:spacing w:before="0" w:after="0"/>
              <w:ind w:left="33"/>
              <w:rPr>
                <w:rFonts w:ascii="Times New Roman" w:hAnsi="Times New Roman"/>
                <w:b/>
                <w:bCs/>
                <w:sz w:val="24"/>
                <w:u w:val="single"/>
              </w:rPr>
            </w:pPr>
            <w:r w:rsidRPr="00D51A68">
              <w:rPr>
                <w:rFonts w:ascii="Times New Roman" w:hAnsi="Times New Roman"/>
                <w:b/>
                <w:sz w:val="24"/>
                <w:u w:val="single"/>
              </w:rPr>
              <w:t>ESPOSIZIONI FUORI BILANCIO</w:t>
            </w:r>
          </w:p>
        </w:tc>
      </w:tr>
      <w:tr w:rsidR="00FD54FC" w:rsidRPr="00D51A68" w:rsidTr="00672D2A">
        <w:tc>
          <w:tcPr>
            <w:tcW w:w="1188" w:type="dxa"/>
          </w:tcPr>
          <w:p w:rsidR="00FD54FC" w:rsidRPr="00D51A68" w:rsidRDefault="00FD54FC" w:rsidP="00FD54FC">
            <w:pPr>
              <w:spacing w:before="0" w:after="0"/>
              <w:ind w:left="33"/>
              <w:rPr>
                <w:rFonts w:ascii="Times New Roman" w:hAnsi="Times New Roman"/>
                <w:bCs/>
                <w:sz w:val="24"/>
              </w:rPr>
            </w:pPr>
            <w:r w:rsidRPr="00D51A68">
              <w:rPr>
                <w:rFonts w:ascii="Times New Roman" w:hAnsi="Times New Roman"/>
                <w:sz w:val="24"/>
              </w:rPr>
              <w:t>240</w:t>
            </w:r>
          </w:p>
        </w:tc>
        <w:tc>
          <w:tcPr>
            <w:tcW w:w="8640" w:type="dxa"/>
          </w:tcPr>
          <w:p w:rsidR="00FD54FC" w:rsidRPr="00D51A68" w:rsidRDefault="00FD54FC" w:rsidP="00FD54FC">
            <w:pPr>
              <w:spacing w:before="0" w:after="0"/>
              <w:ind w:left="33"/>
              <w:rPr>
                <w:rFonts w:ascii="Times New Roman" w:hAnsi="Times New Roman"/>
                <w:b/>
                <w:bCs/>
                <w:sz w:val="24"/>
                <w:u w:val="single"/>
              </w:rPr>
            </w:pPr>
            <w:r w:rsidRPr="00D51A68">
              <w:rPr>
                <w:rFonts w:ascii="Times New Roman" w:hAnsi="Times New Roman"/>
                <w:b/>
                <w:sz w:val="24"/>
                <w:u w:val="single"/>
              </w:rPr>
              <w:t>Importo nominale</w:t>
            </w:r>
          </w:p>
          <w:p w:rsidR="00FD54FC" w:rsidRPr="00D51A68" w:rsidRDefault="00FD54FC" w:rsidP="00FD54FC">
            <w:pPr>
              <w:spacing w:before="0" w:after="0"/>
              <w:ind w:left="33"/>
              <w:rPr>
                <w:rFonts w:ascii="Times New Roman" w:hAnsi="Times New Roman"/>
                <w:bCs/>
                <w:sz w:val="24"/>
              </w:rPr>
            </w:pPr>
          </w:p>
          <w:p w:rsidR="00FD54FC" w:rsidRPr="00D51A68" w:rsidRDefault="00FD54FC" w:rsidP="00FD54FC">
            <w:pPr>
              <w:spacing w:before="0" w:after="0"/>
              <w:ind w:left="33"/>
              <w:rPr>
                <w:rFonts w:ascii="Times New Roman" w:hAnsi="Times New Roman"/>
                <w:bCs/>
                <w:sz w:val="24"/>
              </w:rPr>
            </w:pPr>
            <w:r w:rsidRPr="00D51A68">
              <w:rPr>
                <w:rFonts w:ascii="Times New Roman" w:hAnsi="Times New Roman"/>
                <w:sz w:val="24"/>
              </w:rPr>
              <w:t>Quando la controparte diretta dell</w:t>
            </w:r>
            <w:r w:rsidR="0009277C" w:rsidRPr="00D51A68">
              <w:rPr>
                <w:rFonts w:ascii="Times New Roman" w:hAnsi="Times New Roman"/>
                <w:sz w:val="24"/>
              </w:rPr>
              <w:t>’</w:t>
            </w:r>
            <w:r w:rsidRPr="00D51A68">
              <w:rPr>
                <w:rFonts w:ascii="Times New Roman" w:hAnsi="Times New Roman"/>
                <w:sz w:val="24"/>
              </w:rPr>
              <w:t>elemento fuori bilancio è una amministrazione pubblica come definita al precedente punto 1, importo nominale degli impegni e garanzie finanziarie che non sono considerati come un derivato ai sensi degli IFRS o dei GAAP nazionali basati sulla BAD (allegato V, parte 2, punti 102-119).</w:t>
            </w:r>
          </w:p>
          <w:p w:rsidR="00FD54FC" w:rsidRPr="00D51A68" w:rsidRDefault="00FD54FC" w:rsidP="00FD54FC">
            <w:pPr>
              <w:spacing w:before="0" w:after="0"/>
              <w:ind w:left="33"/>
              <w:rPr>
                <w:rFonts w:ascii="Times New Roman" w:hAnsi="Times New Roman"/>
                <w:bCs/>
                <w:sz w:val="24"/>
              </w:rPr>
            </w:pPr>
          </w:p>
          <w:p w:rsidR="00FD54FC" w:rsidRPr="00D51A68" w:rsidDel="00501397" w:rsidRDefault="00FD54FC" w:rsidP="00FD54FC">
            <w:pPr>
              <w:spacing w:before="0" w:after="0"/>
              <w:ind w:left="33"/>
              <w:rPr>
                <w:rFonts w:ascii="Times New Roman" w:hAnsi="Times New Roman"/>
                <w:b/>
                <w:bCs/>
                <w:sz w:val="24"/>
                <w:u w:val="single"/>
              </w:rPr>
            </w:pPr>
            <w:r w:rsidRPr="00D51A68">
              <w:rPr>
                <w:rFonts w:ascii="Times New Roman" w:hAnsi="Times New Roman"/>
                <w:sz w:val="24"/>
              </w:rPr>
              <w:t>Conformemente all</w:t>
            </w:r>
            <w:r w:rsidR="0009277C" w:rsidRPr="00D51A68">
              <w:rPr>
                <w:rFonts w:ascii="Times New Roman" w:hAnsi="Times New Roman"/>
                <w:sz w:val="24"/>
              </w:rPr>
              <w:t>’</w:t>
            </w:r>
            <w:r w:rsidRPr="00D51A68">
              <w:rPr>
                <w:rFonts w:ascii="Times New Roman" w:hAnsi="Times New Roman"/>
                <w:sz w:val="24"/>
              </w:rPr>
              <w:t>allegato V, parte 1, punti 43 e 44, l</w:t>
            </w:r>
            <w:r w:rsidR="0009277C" w:rsidRPr="00D51A68">
              <w:rPr>
                <w:rFonts w:ascii="Times New Roman" w:hAnsi="Times New Roman"/>
                <w:sz w:val="24"/>
              </w:rPr>
              <w:t>’</w:t>
            </w:r>
            <w:r w:rsidRPr="00D51A68">
              <w:rPr>
                <w:rFonts w:ascii="Times New Roman" w:hAnsi="Times New Roman"/>
                <w:sz w:val="24"/>
              </w:rPr>
              <w:t>amministrazione pubblica è la controparte diretta: a) di una garanzia finanziaria prestata, se essa è la controparte diretta dello strumento di debito garantito, e b) di un impegno all</w:t>
            </w:r>
            <w:r w:rsidR="0009277C" w:rsidRPr="00D51A68">
              <w:rPr>
                <w:rFonts w:ascii="Times New Roman" w:hAnsi="Times New Roman"/>
                <w:sz w:val="24"/>
              </w:rPr>
              <w:t>’</w:t>
            </w:r>
            <w:r w:rsidRPr="00D51A68">
              <w:rPr>
                <w:rFonts w:ascii="Times New Roman" w:hAnsi="Times New Roman"/>
                <w:sz w:val="24"/>
              </w:rPr>
              <w:t>erogazione di prestiti e altro impegno dato, se essa è la controparte il cui rischio di credito è assunto dall</w:t>
            </w:r>
            <w:r w:rsidR="0009277C" w:rsidRPr="00D51A68">
              <w:rPr>
                <w:rFonts w:ascii="Times New Roman" w:hAnsi="Times New Roman"/>
                <w:sz w:val="24"/>
              </w:rPr>
              <w:t>’</w:t>
            </w:r>
            <w:r w:rsidRPr="00D51A68">
              <w:rPr>
                <w:rFonts w:ascii="Times New Roman" w:hAnsi="Times New Roman"/>
                <w:sz w:val="24"/>
              </w:rPr>
              <w:t xml:space="preserve">ente segnalante. </w:t>
            </w:r>
          </w:p>
          <w:p w:rsidR="00FD54FC" w:rsidRPr="00D51A68" w:rsidRDefault="00FD54FC" w:rsidP="00FD54FC">
            <w:pPr>
              <w:spacing w:before="0" w:after="0"/>
              <w:ind w:left="33"/>
              <w:rPr>
                <w:rFonts w:ascii="Times New Roman" w:hAnsi="Times New Roman"/>
                <w:bCs/>
                <w:sz w:val="24"/>
              </w:rPr>
            </w:pPr>
          </w:p>
        </w:tc>
      </w:tr>
      <w:tr w:rsidR="00FD54FC" w:rsidRPr="00D51A68" w:rsidTr="00672D2A">
        <w:tc>
          <w:tcPr>
            <w:tcW w:w="1188" w:type="dxa"/>
          </w:tcPr>
          <w:p w:rsidR="00FD54FC" w:rsidRPr="00D51A68" w:rsidRDefault="00FD54FC" w:rsidP="00FD54FC">
            <w:pPr>
              <w:spacing w:before="0" w:after="0"/>
              <w:ind w:left="33"/>
              <w:rPr>
                <w:rFonts w:ascii="Times New Roman" w:hAnsi="Times New Roman"/>
                <w:bCs/>
                <w:sz w:val="24"/>
              </w:rPr>
            </w:pPr>
            <w:r w:rsidRPr="00D51A68">
              <w:rPr>
                <w:rFonts w:ascii="Times New Roman" w:hAnsi="Times New Roman"/>
                <w:sz w:val="24"/>
              </w:rPr>
              <w:t>250</w:t>
            </w:r>
          </w:p>
        </w:tc>
        <w:tc>
          <w:tcPr>
            <w:tcW w:w="8640" w:type="dxa"/>
          </w:tcPr>
          <w:p w:rsidR="00FD54FC" w:rsidRPr="00D51A68" w:rsidRDefault="00FD54FC" w:rsidP="00FD54FC">
            <w:pPr>
              <w:spacing w:before="0" w:after="0"/>
              <w:ind w:left="33"/>
              <w:rPr>
                <w:rFonts w:ascii="Times New Roman" w:hAnsi="Times New Roman"/>
                <w:b/>
                <w:bCs/>
                <w:sz w:val="24"/>
                <w:u w:val="single"/>
              </w:rPr>
            </w:pPr>
            <w:r w:rsidRPr="00D51A68">
              <w:rPr>
                <w:rFonts w:ascii="Times New Roman" w:hAnsi="Times New Roman"/>
                <w:b/>
                <w:sz w:val="24"/>
                <w:u w:val="single"/>
              </w:rPr>
              <w:t>Accantonamenti</w:t>
            </w:r>
          </w:p>
          <w:p w:rsidR="00FD54FC" w:rsidRPr="00D51A68" w:rsidRDefault="00FD54FC" w:rsidP="00FD54FC">
            <w:pPr>
              <w:spacing w:before="0" w:after="0"/>
              <w:ind w:left="33"/>
              <w:rPr>
                <w:rFonts w:ascii="Times New Roman" w:hAnsi="Times New Roman"/>
                <w:bCs/>
                <w:sz w:val="24"/>
              </w:rPr>
            </w:pPr>
          </w:p>
          <w:p w:rsidR="00FD54FC" w:rsidRPr="00D51A68" w:rsidRDefault="00FD54FC" w:rsidP="00FD54FC">
            <w:pPr>
              <w:spacing w:before="0" w:after="0"/>
              <w:ind w:left="33"/>
              <w:rPr>
                <w:rFonts w:ascii="Times New Roman" w:hAnsi="Times New Roman"/>
                <w:bCs/>
                <w:sz w:val="24"/>
              </w:rPr>
            </w:pPr>
            <w:r w:rsidRPr="00D51A68">
              <w:rPr>
                <w:rFonts w:ascii="Times New Roman" w:hAnsi="Times New Roman"/>
                <w:sz w:val="24"/>
              </w:rPr>
              <w:t>BAD articolo 4 Passivo, paragrafo 6, lettera c), Voci fuori bilancio, articolo 27, paragrafo 11, articolo 28, paragrafo 8, articolo 33; IFRS 9.4.2.1(c)(ii),(d)(ii), 9.5.5.20; IAS 37, IFRS 4, allegato V, parte 2, punto 11.</w:t>
            </w:r>
          </w:p>
          <w:p w:rsidR="00FD54FC" w:rsidRPr="00D51A68" w:rsidRDefault="00FD54FC" w:rsidP="00FD54FC">
            <w:pPr>
              <w:spacing w:before="0" w:after="0"/>
              <w:ind w:left="33"/>
              <w:rPr>
                <w:rFonts w:ascii="Times New Roman" w:hAnsi="Times New Roman"/>
                <w:bCs/>
                <w:sz w:val="24"/>
              </w:rPr>
            </w:pPr>
          </w:p>
          <w:p w:rsidR="00FD54FC" w:rsidRPr="00D51A68" w:rsidRDefault="00FD54FC" w:rsidP="00FD54FC">
            <w:pPr>
              <w:spacing w:before="0" w:after="0"/>
              <w:ind w:left="33"/>
              <w:rPr>
                <w:rFonts w:ascii="Times New Roman" w:hAnsi="Times New Roman"/>
                <w:bCs/>
                <w:sz w:val="24"/>
              </w:rPr>
            </w:pPr>
            <w:r w:rsidRPr="00D51A68">
              <w:rPr>
                <w:rFonts w:ascii="Times New Roman" w:hAnsi="Times New Roman"/>
                <w:sz w:val="24"/>
              </w:rPr>
              <w:t>Accantonamenti su tutte le esposizioni fuori bilancio indipendentemente dalla modalità con cui sono valutate, ad eccezione di quelle che sono valutate al fair value (valore equo) rilevato nell</w:t>
            </w:r>
            <w:r w:rsidR="0009277C" w:rsidRPr="00D51A68">
              <w:rPr>
                <w:rFonts w:ascii="Times New Roman" w:hAnsi="Times New Roman"/>
                <w:sz w:val="24"/>
              </w:rPr>
              <w:t>’</w:t>
            </w:r>
            <w:r w:rsidRPr="00D51A68">
              <w:rPr>
                <w:rFonts w:ascii="Times New Roman" w:hAnsi="Times New Roman"/>
                <w:sz w:val="24"/>
              </w:rPr>
              <w:t>utile (perdita) d</w:t>
            </w:r>
            <w:r w:rsidR="0009277C" w:rsidRPr="00D51A68">
              <w:rPr>
                <w:rFonts w:ascii="Times New Roman" w:hAnsi="Times New Roman"/>
                <w:sz w:val="24"/>
              </w:rPr>
              <w:t>’</w:t>
            </w:r>
            <w:r w:rsidRPr="00D51A68">
              <w:rPr>
                <w:rFonts w:ascii="Times New Roman" w:hAnsi="Times New Roman"/>
                <w:sz w:val="24"/>
              </w:rPr>
              <w:t>esercizio in conformità dell</w:t>
            </w:r>
            <w:r w:rsidR="0009277C" w:rsidRPr="00D51A68">
              <w:rPr>
                <w:rFonts w:ascii="Times New Roman" w:hAnsi="Times New Roman"/>
                <w:sz w:val="24"/>
              </w:rPr>
              <w:t>’</w:t>
            </w:r>
            <w:r w:rsidRPr="00D51A68">
              <w:rPr>
                <w:rFonts w:ascii="Times New Roman" w:hAnsi="Times New Roman"/>
                <w:sz w:val="24"/>
              </w:rPr>
              <w:t>IFRS 9.</w:t>
            </w:r>
          </w:p>
          <w:p w:rsidR="00FD54FC" w:rsidRPr="00D51A68" w:rsidRDefault="00730040" w:rsidP="00FD54FC">
            <w:pPr>
              <w:spacing w:before="0" w:after="0"/>
              <w:ind w:left="33"/>
              <w:rPr>
                <w:rFonts w:ascii="Times New Roman" w:hAnsi="Times New Roman"/>
                <w:bCs/>
                <w:sz w:val="24"/>
              </w:rPr>
            </w:pPr>
            <w:r w:rsidRPr="00D51A68">
              <w:rPr>
                <w:rFonts w:ascii="Times New Roman" w:hAnsi="Times New Roman"/>
                <w:sz w:val="24"/>
              </w:rPr>
              <w:t xml:space="preserve"> </w:t>
            </w:r>
          </w:p>
          <w:p w:rsidR="00FD54FC" w:rsidRPr="00D51A68" w:rsidRDefault="00FD54FC" w:rsidP="00FD54FC">
            <w:pPr>
              <w:spacing w:before="0" w:after="0"/>
              <w:ind w:left="33"/>
              <w:rPr>
                <w:rFonts w:ascii="Times New Roman" w:hAnsi="Times New Roman"/>
                <w:bCs/>
                <w:sz w:val="24"/>
              </w:rPr>
            </w:pPr>
            <w:r w:rsidRPr="00D51A68">
              <w:rPr>
                <w:rFonts w:ascii="Times New Roman" w:hAnsi="Times New Roman"/>
                <w:sz w:val="24"/>
              </w:rPr>
              <w:t>Ai sensi degli IFRS, la riduzione di valore di un impegno all</w:t>
            </w:r>
            <w:r w:rsidR="0009277C" w:rsidRPr="00D51A68">
              <w:rPr>
                <w:rFonts w:ascii="Times New Roman" w:hAnsi="Times New Roman"/>
                <w:sz w:val="24"/>
              </w:rPr>
              <w:t>’</w:t>
            </w:r>
            <w:r w:rsidRPr="00D51A68">
              <w:rPr>
                <w:rFonts w:ascii="Times New Roman" w:hAnsi="Times New Roman"/>
                <w:sz w:val="24"/>
              </w:rPr>
              <w:t>erogazione di finanziamenti dato è segnalata nella colonna 150 se l</w:t>
            </w:r>
            <w:r w:rsidR="0009277C" w:rsidRPr="00D51A68">
              <w:rPr>
                <w:rFonts w:ascii="Times New Roman" w:hAnsi="Times New Roman"/>
                <w:sz w:val="24"/>
              </w:rPr>
              <w:t>’</w:t>
            </w:r>
            <w:r w:rsidRPr="00D51A68">
              <w:rPr>
                <w:rFonts w:ascii="Times New Roman" w:hAnsi="Times New Roman"/>
                <w:sz w:val="24"/>
              </w:rPr>
              <w:t>ente non è in grado di individuare separatamente le perdite attese su crediti relative all</w:t>
            </w:r>
            <w:r w:rsidR="0009277C" w:rsidRPr="00D51A68">
              <w:rPr>
                <w:rFonts w:ascii="Times New Roman" w:hAnsi="Times New Roman"/>
                <w:sz w:val="24"/>
              </w:rPr>
              <w:t>’</w:t>
            </w:r>
            <w:r w:rsidRPr="00D51A68">
              <w:rPr>
                <w:rFonts w:ascii="Times New Roman" w:hAnsi="Times New Roman"/>
                <w:sz w:val="24"/>
              </w:rPr>
              <w:t>importo utilizzato e non utilizzato dello strumento di debito. Nel caso in cui la somma delle perdite attese su crediti per lo strumento finanziario in questione superi il valore contabile lordo della componente dei prestiti dello strumento, il saldo restante delle perdite attese su crediti è segnalato come accantonamento nella colonna 250.</w:t>
            </w:r>
          </w:p>
          <w:p w:rsidR="00FD54FC" w:rsidRPr="00D51A68" w:rsidRDefault="00FD54FC" w:rsidP="00FD54FC">
            <w:pPr>
              <w:spacing w:before="0" w:after="0"/>
              <w:ind w:left="33"/>
              <w:rPr>
                <w:rFonts w:ascii="Times New Roman" w:hAnsi="Times New Roman"/>
                <w:bCs/>
                <w:sz w:val="24"/>
              </w:rPr>
            </w:pPr>
          </w:p>
        </w:tc>
      </w:tr>
      <w:tr w:rsidR="00FD54FC" w:rsidRPr="00D51A68" w:rsidTr="00672D2A">
        <w:tc>
          <w:tcPr>
            <w:tcW w:w="1188" w:type="dxa"/>
          </w:tcPr>
          <w:p w:rsidR="00FD54FC" w:rsidRPr="00D51A68" w:rsidRDefault="00FD54FC" w:rsidP="00FD54FC">
            <w:pPr>
              <w:spacing w:before="0" w:after="0"/>
              <w:ind w:left="33"/>
              <w:rPr>
                <w:rFonts w:ascii="Times New Roman" w:hAnsi="Times New Roman"/>
                <w:bCs/>
                <w:sz w:val="24"/>
              </w:rPr>
            </w:pPr>
            <w:r w:rsidRPr="00D51A68">
              <w:rPr>
                <w:rFonts w:ascii="Times New Roman" w:hAnsi="Times New Roman"/>
                <w:sz w:val="24"/>
              </w:rPr>
              <w:t>260</w:t>
            </w:r>
          </w:p>
        </w:tc>
        <w:tc>
          <w:tcPr>
            <w:tcW w:w="8640" w:type="dxa"/>
          </w:tcPr>
          <w:p w:rsidR="00FD54FC" w:rsidRPr="00D51A68" w:rsidRDefault="00FD54FC" w:rsidP="00FD54FC">
            <w:pPr>
              <w:spacing w:before="0" w:after="0"/>
              <w:ind w:left="33"/>
              <w:rPr>
                <w:rFonts w:ascii="Times New Roman" w:hAnsi="Times New Roman"/>
                <w:b/>
                <w:bCs/>
                <w:sz w:val="24"/>
                <w:u w:val="single"/>
              </w:rPr>
            </w:pPr>
            <w:r w:rsidRPr="00D51A68">
              <w:rPr>
                <w:rFonts w:ascii="Times New Roman" w:hAnsi="Times New Roman"/>
                <w:b/>
                <w:sz w:val="24"/>
                <w:u w:val="single"/>
              </w:rPr>
              <w:t xml:space="preserve">Variazioni negative accumulate del fair value (valore equo) dovute al rischio di credito </w:t>
            </w:r>
          </w:p>
          <w:p w:rsidR="00FD54FC" w:rsidRPr="00D51A68" w:rsidRDefault="00FD54FC" w:rsidP="00FD54FC">
            <w:pPr>
              <w:spacing w:before="0" w:after="0"/>
              <w:ind w:left="33"/>
              <w:rPr>
                <w:rFonts w:ascii="Times New Roman" w:hAnsi="Times New Roman"/>
                <w:b/>
                <w:bCs/>
                <w:sz w:val="24"/>
                <w:u w:val="single"/>
              </w:rPr>
            </w:pPr>
          </w:p>
          <w:p w:rsidR="00FD54FC" w:rsidRPr="00D51A68" w:rsidRDefault="00FD54FC" w:rsidP="00FD54FC">
            <w:pPr>
              <w:spacing w:before="0" w:after="0"/>
              <w:ind w:left="33"/>
              <w:rPr>
                <w:rFonts w:ascii="Times New Roman" w:hAnsi="Times New Roman"/>
                <w:bCs/>
                <w:sz w:val="24"/>
              </w:rPr>
            </w:pPr>
            <w:r w:rsidRPr="00D51A68">
              <w:rPr>
                <w:rFonts w:ascii="Times New Roman" w:hAnsi="Times New Roman"/>
                <w:sz w:val="24"/>
              </w:rPr>
              <w:t>Per gli elementi fuori bilancio valutati al fair value (valore equo) rilevato nell</w:t>
            </w:r>
            <w:r w:rsidR="0009277C" w:rsidRPr="00D51A68">
              <w:rPr>
                <w:rFonts w:ascii="Times New Roman" w:hAnsi="Times New Roman"/>
                <w:sz w:val="24"/>
              </w:rPr>
              <w:t>’</w:t>
            </w:r>
            <w:r w:rsidRPr="00D51A68">
              <w:rPr>
                <w:rFonts w:ascii="Times New Roman" w:hAnsi="Times New Roman"/>
                <w:sz w:val="24"/>
              </w:rPr>
              <w:t>utile (perdita) d</w:t>
            </w:r>
            <w:r w:rsidR="0009277C" w:rsidRPr="00D51A68">
              <w:rPr>
                <w:rFonts w:ascii="Times New Roman" w:hAnsi="Times New Roman"/>
                <w:sz w:val="24"/>
              </w:rPr>
              <w:t>’</w:t>
            </w:r>
            <w:r w:rsidRPr="00D51A68">
              <w:rPr>
                <w:rFonts w:ascii="Times New Roman" w:hAnsi="Times New Roman"/>
                <w:sz w:val="24"/>
              </w:rPr>
              <w:t>esercizio in conformità dell</w:t>
            </w:r>
            <w:r w:rsidR="0009277C" w:rsidRPr="00D51A68">
              <w:rPr>
                <w:rFonts w:ascii="Times New Roman" w:hAnsi="Times New Roman"/>
                <w:sz w:val="24"/>
              </w:rPr>
              <w:t>’</w:t>
            </w:r>
            <w:r w:rsidRPr="00D51A68">
              <w:rPr>
                <w:rFonts w:ascii="Times New Roman" w:hAnsi="Times New Roman"/>
                <w:sz w:val="24"/>
              </w:rPr>
              <w:t>IFRS 9, variazioni negative accumulate del fair value (valore equo) dovute al rischio di credito (allegato V, parte 2, punto 110)</w:t>
            </w:r>
          </w:p>
          <w:p w:rsidR="00FD54FC" w:rsidRPr="00D51A68" w:rsidRDefault="00730040" w:rsidP="00FD54FC">
            <w:pPr>
              <w:spacing w:before="0" w:after="0"/>
              <w:ind w:left="33"/>
              <w:rPr>
                <w:rFonts w:ascii="Times New Roman" w:hAnsi="Times New Roman"/>
                <w:b/>
                <w:bCs/>
                <w:sz w:val="24"/>
                <w:u w:val="single"/>
              </w:rPr>
            </w:pPr>
            <w:r w:rsidRPr="00D51A68">
              <w:rPr>
                <w:rFonts w:ascii="Times New Roman" w:hAnsi="Times New Roman"/>
                <w:sz w:val="24"/>
                <w:u w:val="single"/>
              </w:rPr>
              <w:t xml:space="preserve"> </w:t>
            </w:r>
          </w:p>
        </w:tc>
      </w:tr>
      <w:tr w:rsidR="00FD54FC" w:rsidRPr="00D51A68"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D51A68" w:rsidDel="008D1680" w:rsidRDefault="00FD54FC" w:rsidP="00B74792">
            <w:pPr>
              <w:spacing w:before="0" w:after="0"/>
              <w:ind w:left="33"/>
              <w:rPr>
                <w:rFonts w:ascii="Times New Roman" w:hAnsi="Times New Roman"/>
                <w:bCs/>
                <w:sz w:val="24"/>
              </w:rPr>
            </w:pPr>
            <w:r w:rsidRPr="00D51A68">
              <w:rPr>
                <w:rFonts w:ascii="Times New Roman" w:hAnsi="Times New Roman"/>
                <w:sz w:val="24"/>
              </w:rPr>
              <w:t>270-280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D51A68" w:rsidRDefault="00FD54FC" w:rsidP="00FD54FC">
            <w:pPr>
              <w:spacing w:before="0" w:after="0"/>
              <w:ind w:left="33"/>
              <w:rPr>
                <w:rFonts w:ascii="Times New Roman" w:hAnsi="Times New Roman"/>
                <w:b/>
                <w:bCs/>
                <w:sz w:val="24"/>
                <w:u w:val="single"/>
              </w:rPr>
            </w:pPr>
            <w:r w:rsidRPr="00D51A68">
              <w:rPr>
                <w:rFonts w:ascii="Times New Roman" w:hAnsi="Times New Roman"/>
                <w:b/>
                <w:sz w:val="24"/>
                <w:u w:val="single"/>
              </w:rPr>
              <w:t>Voce per memoria: derivati su crediti venduti su esposizioni delle amministrazioni pubbliche</w:t>
            </w:r>
          </w:p>
          <w:p w:rsidR="00FD54FC" w:rsidRPr="00D51A68" w:rsidRDefault="00FD54FC" w:rsidP="00FD54FC">
            <w:pPr>
              <w:spacing w:before="0" w:after="0"/>
              <w:ind w:left="33"/>
              <w:rPr>
                <w:rFonts w:ascii="Times New Roman" w:hAnsi="Times New Roman"/>
                <w:b/>
                <w:bCs/>
                <w:sz w:val="24"/>
                <w:u w:val="single"/>
              </w:rPr>
            </w:pPr>
          </w:p>
          <w:p w:rsidR="00FD54FC" w:rsidRPr="00D51A68" w:rsidRDefault="00FD54FC" w:rsidP="00FD54FC">
            <w:pPr>
              <w:spacing w:before="0" w:after="0"/>
              <w:ind w:left="33"/>
              <w:rPr>
                <w:rFonts w:ascii="Times New Roman" w:hAnsi="Times New Roman"/>
                <w:bCs/>
                <w:sz w:val="24"/>
              </w:rPr>
            </w:pPr>
            <w:r w:rsidRPr="00D51A68">
              <w:rPr>
                <w:rFonts w:ascii="Times New Roman" w:hAnsi="Times New Roman"/>
                <w:sz w:val="24"/>
              </w:rPr>
              <w:t>Devono essere segnalati i derivati su crediti che non corrispondono alla definizione di garanzie finanziarie che l</w:t>
            </w:r>
            <w:r w:rsidR="0009277C" w:rsidRPr="00D51A68">
              <w:rPr>
                <w:rFonts w:ascii="Times New Roman" w:hAnsi="Times New Roman"/>
                <w:sz w:val="24"/>
              </w:rPr>
              <w:t>’</w:t>
            </w:r>
            <w:r w:rsidRPr="00D51A68">
              <w:rPr>
                <w:rFonts w:ascii="Times New Roman" w:hAnsi="Times New Roman"/>
                <w:sz w:val="24"/>
              </w:rPr>
              <w:t>ente segnalante ha sottoscritto con controparti diverse da amministrazioni pubbliche e la cui esposizione di riferimento è verso un</w:t>
            </w:r>
            <w:r w:rsidR="0009277C" w:rsidRPr="00D51A68">
              <w:rPr>
                <w:rFonts w:ascii="Times New Roman" w:hAnsi="Times New Roman"/>
                <w:sz w:val="24"/>
              </w:rPr>
              <w:t>’</w:t>
            </w:r>
            <w:r w:rsidRPr="00D51A68">
              <w:rPr>
                <w:rFonts w:ascii="Times New Roman" w:hAnsi="Times New Roman"/>
                <w:sz w:val="24"/>
              </w:rPr>
              <w:t>amministrazione pubblica.</w:t>
            </w:r>
          </w:p>
          <w:p w:rsidR="00FD54FC" w:rsidRPr="00D51A68" w:rsidRDefault="00FD54FC" w:rsidP="00FD54FC">
            <w:pPr>
              <w:spacing w:before="0" w:after="0"/>
              <w:ind w:left="33"/>
              <w:rPr>
                <w:rFonts w:ascii="Times New Roman" w:hAnsi="Times New Roman"/>
                <w:bCs/>
                <w:sz w:val="24"/>
              </w:rPr>
            </w:pPr>
          </w:p>
          <w:p w:rsidR="00FD54FC" w:rsidRPr="00D51A68" w:rsidRDefault="00FD54FC" w:rsidP="00FD54FC">
            <w:pPr>
              <w:spacing w:before="0" w:after="0"/>
              <w:ind w:left="33"/>
              <w:rPr>
                <w:rFonts w:ascii="Times New Roman" w:hAnsi="Times New Roman"/>
                <w:bCs/>
                <w:sz w:val="24"/>
              </w:rPr>
            </w:pPr>
            <w:r w:rsidRPr="00D51A68">
              <w:rPr>
                <w:rFonts w:ascii="Times New Roman" w:hAnsi="Times New Roman"/>
                <w:sz w:val="24"/>
              </w:rPr>
              <w:t>Queste colonne non sono compilate per le esposizioni ripartite per rischio, metodo regolamentare e classe di esposizioni (righe da 020 a 160).</w:t>
            </w:r>
          </w:p>
          <w:p w:rsidR="00FD54FC" w:rsidRPr="00D51A68" w:rsidRDefault="00FD54FC" w:rsidP="00FD54FC">
            <w:pPr>
              <w:spacing w:before="0" w:after="0"/>
              <w:ind w:left="33"/>
              <w:rPr>
                <w:rFonts w:ascii="Times New Roman" w:hAnsi="Times New Roman"/>
                <w:bCs/>
                <w:sz w:val="24"/>
              </w:rPr>
            </w:pPr>
          </w:p>
          <w:p w:rsidR="00FD54FC" w:rsidRPr="00D51A68" w:rsidRDefault="00FD54FC" w:rsidP="00FD54FC">
            <w:pPr>
              <w:spacing w:before="0" w:after="0"/>
              <w:ind w:left="33"/>
              <w:rPr>
                <w:rFonts w:ascii="Times New Roman" w:hAnsi="Times New Roman"/>
                <w:bCs/>
                <w:sz w:val="24"/>
              </w:rPr>
            </w:pPr>
            <w:r w:rsidRPr="00D51A68">
              <w:rPr>
                <w:rFonts w:ascii="Times New Roman" w:hAnsi="Times New Roman"/>
                <w:sz w:val="24"/>
              </w:rPr>
              <w:t>Le esposizioni segnalate nella sezione non devono essere prese in considerazione nel calcolo del valore dell</w:t>
            </w:r>
            <w:r w:rsidR="0009277C" w:rsidRPr="00D51A68">
              <w:rPr>
                <w:rFonts w:ascii="Times New Roman" w:hAnsi="Times New Roman"/>
                <w:sz w:val="24"/>
              </w:rPr>
              <w:t>’</w:t>
            </w:r>
            <w:r w:rsidRPr="00D51A68">
              <w:rPr>
                <w:rFonts w:ascii="Times New Roman" w:hAnsi="Times New Roman"/>
                <w:sz w:val="24"/>
              </w:rPr>
              <w:t>esposizione e dell</w:t>
            </w:r>
            <w:r w:rsidR="0009277C" w:rsidRPr="00D51A68">
              <w:rPr>
                <w:rFonts w:ascii="Times New Roman" w:hAnsi="Times New Roman"/>
                <w:sz w:val="24"/>
              </w:rPr>
              <w:t>’</w:t>
            </w:r>
            <w:r w:rsidRPr="00D51A68">
              <w:rPr>
                <w:rFonts w:ascii="Times New Roman" w:hAnsi="Times New Roman"/>
                <w:sz w:val="24"/>
              </w:rPr>
              <w:t xml:space="preserve">importo delle esposizioni ponderato per il rischio (colonne 290 e 300), che si basa unicamente su esposizioni dirette. </w:t>
            </w:r>
          </w:p>
          <w:p w:rsidR="00FD54FC" w:rsidRPr="00D51A68" w:rsidRDefault="00FD54FC" w:rsidP="00FD54FC">
            <w:pPr>
              <w:spacing w:before="0" w:after="0"/>
              <w:ind w:left="33"/>
              <w:rPr>
                <w:rFonts w:ascii="Times New Roman" w:hAnsi="Times New Roman"/>
                <w:b/>
                <w:bCs/>
                <w:sz w:val="24"/>
                <w:u w:val="single"/>
              </w:rPr>
            </w:pPr>
            <w:r w:rsidRPr="00D51A68">
              <w:rPr>
                <w:rFonts w:ascii="Times New Roman" w:hAnsi="Times New Roman"/>
                <w:b/>
                <w:sz w:val="24"/>
                <w:u w:val="single"/>
              </w:rPr>
              <w:t xml:space="preserve"> </w:t>
            </w:r>
          </w:p>
        </w:tc>
      </w:tr>
      <w:tr w:rsidR="00FD54FC" w:rsidRPr="00D51A68"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D51A68" w:rsidDel="008D1680" w:rsidRDefault="00FD54FC" w:rsidP="00FD54FC">
            <w:pPr>
              <w:spacing w:before="0" w:after="0"/>
              <w:ind w:left="33"/>
              <w:rPr>
                <w:rFonts w:ascii="Times New Roman" w:hAnsi="Times New Roman"/>
                <w:bCs/>
                <w:sz w:val="24"/>
              </w:rPr>
            </w:pPr>
            <w:r w:rsidRPr="00D51A68">
              <w:rPr>
                <w:rFonts w:ascii="Times New Roman" w:hAnsi="Times New Roman"/>
                <w:sz w:val="24"/>
              </w:rPr>
              <w:t>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D51A68" w:rsidRDefault="00FD54FC" w:rsidP="00FD54FC">
            <w:pPr>
              <w:spacing w:before="0" w:after="0"/>
              <w:ind w:left="33"/>
              <w:rPr>
                <w:rFonts w:ascii="Times New Roman" w:hAnsi="Times New Roman"/>
                <w:b/>
                <w:bCs/>
                <w:sz w:val="24"/>
                <w:u w:val="single"/>
              </w:rPr>
            </w:pPr>
            <w:r w:rsidRPr="00D51A68">
              <w:rPr>
                <w:rFonts w:ascii="Times New Roman" w:hAnsi="Times New Roman"/>
                <w:b/>
                <w:sz w:val="24"/>
                <w:u w:val="single"/>
              </w:rPr>
              <w:t>Derivati con fair value (valore equo) positivo - Valore contabile</w:t>
            </w:r>
          </w:p>
          <w:p w:rsidR="00FD54FC" w:rsidRPr="00D51A68" w:rsidRDefault="00FD54FC" w:rsidP="00FD54FC">
            <w:pPr>
              <w:spacing w:before="0" w:after="0"/>
              <w:ind w:left="33"/>
              <w:rPr>
                <w:rFonts w:ascii="Times New Roman" w:hAnsi="Times New Roman"/>
                <w:b/>
                <w:bCs/>
                <w:sz w:val="24"/>
                <w:u w:val="single"/>
              </w:rPr>
            </w:pPr>
          </w:p>
          <w:p w:rsidR="00FD54FC" w:rsidRPr="00D51A68" w:rsidRDefault="00FD54FC" w:rsidP="00FD54FC">
            <w:pPr>
              <w:spacing w:before="0" w:after="0"/>
              <w:ind w:left="33"/>
              <w:rPr>
                <w:rFonts w:ascii="Times New Roman" w:hAnsi="Times New Roman"/>
                <w:bCs/>
                <w:sz w:val="24"/>
              </w:rPr>
            </w:pPr>
            <w:r w:rsidRPr="00D51A68">
              <w:rPr>
                <w:rFonts w:ascii="Times New Roman" w:hAnsi="Times New Roman"/>
                <w:sz w:val="24"/>
              </w:rPr>
              <w:t>Valore contabile aggregato dei derivati su crediti venduti su esposizioni delle amministrazioni pubbliche segnalati che hanno un fair value (valore equo) positivo per l</w:t>
            </w:r>
            <w:r w:rsidR="0009277C" w:rsidRPr="00D51A68">
              <w:rPr>
                <w:rFonts w:ascii="Times New Roman" w:hAnsi="Times New Roman"/>
                <w:sz w:val="24"/>
              </w:rPr>
              <w:t>’</w:t>
            </w:r>
            <w:r w:rsidRPr="00D51A68">
              <w:rPr>
                <w:rFonts w:ascii="Times New Roman" w:hAnsi="Times New Roman"/>
                <w:sz w:val="24"/>
              </w:rPr>
              <w:t>ente alla data di riferimento per le segnalazioni, senza considerare gli aggiustamenti per la valutazione prudente.</w:t>
            </w:r>
          </w:p>
          <w:p w:rsidR="00FD54FC" w:rsidRPr="00D51A68" w:rsidRDefault="00FD54FC" w:rsidP="00FD54FC">
            <w:pPr>
              <w:spacing w:before="0" w:after="0"/>
              <w:ind w:left="33"/>
              <w:rPr>
                <w:rFonts w:ascii="Times New Roman" w:hAnsi="Times New Roman"/>
                <w:bCs/>
                <w:sz w:val="24"/>
              </w:rPr>
            </w:pPr>
          </w:p>
          <w:p w:rsidR="00FD54FC" w:rsidRPr="00D51A68" w:rsidRDefault="00FD54FC" w:rsidP="00FD54FC">
            <w:pPr>
              <w:spacing w:before="0" w:after="0"/>
              <w:ind w:left="33"/>
              <w:rPr>
                <w:rFonts w:ascii="Times New Roman" w:hAnsi="Times New Roman"/>
                <w:bCs/>
                <w:sz w:val="24"/>
              </w:rPr>
            </w:pPr>
            <w:r w:rsidRPr="00D51A68">
              <w:rPr>
                <w:rFonts w:ascii="Times New Roman" w:hAnsi="Times New Roman"/>
                <w:sz w:val="24"/>
              </w:rPr>
              <w:t>Per i derivati soggetti agli IFRS, l</w:t>
            </w:r>
            <w:r w:rsidR="0009277C" w:rsidRPr="00D51A68">
              <w:rPr>
                <w:rFonts w:ascii="Times New Roman" w:hAnsi="Times New Roman"/>
                <w:sz w:val="24"/>
              </w:rPr>
              <w:t>’</w:t>
            </w:r>
            <w:r w:rsidRPr="00D51A68">
              <w:rPr>
                <w:rFonts w:ascii="Times New Roman" w:hAnsi="Times New Roman"/>
                <w:sz w:val="24"/>
              </w:rPr>
              <w:t>importo da segnalare in questa colonna è il valore contabile dei derivati che costituiscono attività finanziarie alla data per le segnalazioni.</w:t>
            </w:r>
          </w:p>
          <w:p w:rsidR="00FD54FC" w:rsidRPr="00D51A68" w:rsidRDefault="00FD54FC" w:rsidP="00FD54FC">
            <w:pPr>
              <w:spacing w:before="0" w:after="0"/>
              <w:ind w:left="33"/>
              <w:rPr>
                <w:rFonts w:ascii="Times New Roman" w:hAnsi="Times New Roman"/>
                <w:bCs/>
                <w:sz w:val="24"/>
              </w:rPr>
            </w:pPr>
          </w:p>
          <w:p w:rsidR="00FD54FC" w:rsidRPr="00D51A68" w:rsidRDefault="00FD54FC" w:rsidP="00FD54FC">
            <w:pPr>
              <w:spacing w:before="0" w:after="0"/>
              <w:ind w:left="33"/>
              <w:rPr>
                <w:rFonts w:ascii="Times New Roman" w:hAnsi="Times New Roman"/>
                <w:bCs/>
                <w:sz w:val="24"/>
              </w:rPr>
            </w:pPr>
            <w:r w:rsidRPr="00D51A68">
              <w:rPr>
                <w:rFonts w:ascii="Times New Roman" w:hAnsi="Times New Roman"/>
                <w:sz w:val="24"/>
              </w:rPr>
              <w:t>Per i derivati soggetti ai GAAP basati sulla BAD, l</w:t>
            </w:r>
            <w:r w:rsidR="0009277C" w:rsidRPr="00D51A68">
              <w:rPr>
                <w:rFonts w:ascii="Times New Roman" w:hAnsi="Times New Roman"/>
                <w:sz w:val="24"/>
              </w:rPr>
              <w:t>’</w:t>
            </w:r>
            <w:r w:rsidRPr="00D51A68">
              <w:rPr>
                <w:rFonts w:ascii="Times New Roman" w:hAnsi="Times New Roman"/>
                <w:sz w:val="24"/>
              </w:rPr>
              <w:t>importo da segnalare in questa colonna è il fair value (valore equo) dei derivati con un fair value (valore equo) positivo alla data di riferimento per le segnalazioni, indipendentemente da come vengono contabilizzati.</w:t>
            </w:r>
          </w:p>
          <w:p w:rsidR="00FD54FC" w:rsidRPr="00D51A68" w:rsidRDefault="00FD54FC" w:rsidP="00FD54FC">
            <w:pPr>
              <w:spacing w:before="0" w:after="0"/>
              <w:ind w:left="33"/>
              <w:rPr>
                <w:rFonts w:ascii="Times New Roman" w:hAnsi="Times New Roman"/>
                <w:b/>
                <w:bCs/>
                <w:sz w:val="24"/>
                <w:u w:val="single"/>
              </w:rPr>
            </w:pPr>
          </w:p>
        </w:tc>
      </w:tr>
      <w:tr w:rsidR="00FD54FC" w:rsidRPr="00D51A68"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D51A68" w:rsidDel="008D1680" w:rsidRDefault="00FD54FC" w:rsidP="00FD54FC">
            <w:pPr>
              <w:spacing w:before="0" w:after="0"/>
              <w:ind w:left="33"/>
              <w:rPr>
                <w:rFonts w:ascii="Times New Roman" w:hAnsi="Times New Roman"/>
                <w:bCs/>
                <w:sz w:val="24"/>
              </w:rPr>
            </w:pPr>
            <w:r w:rsidRPr="00D51A68">
              <w:rPr>
                <w:rFonts w:ascii="Times New Roman" w:hAnsi="Times New Roman"/>
                <w:sz w:val="24"/>
              </w:rPr>
              <w:t>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D51A68" w:rsidRDefault="00FD54FC" w:rsidP="00FD54FC">
            <w:pPr>
              <w:spacing w:before="0" w:after="0"/>
              <w:ind w:left="33"/>
              <w:rPr>
                <w:rFonts w:ascii="Times New Roman" w:hAnsi="Times New Roman"/>
                <w:b/>
                <w:bCs/>
                <w:sz w:val="24"/>
                <w:u w:val="single"/>
              </w:rPr>
            </w:pPr>
            <w:r w:rsidRPr="00D51A68">
              <w:rPr>
                <w:rFonts w:ascii="Times New Roman" w:hAnsi="Times New Roman"/>
                <w:b/>
                <w:sz w:val="24"/>
                <w:u w:val="single"/>
              </w:rPr>
              <w:t>Derivati con fair value (valore equo) negativo - Valore contabile</w:t>
            </w:r>
          </w:p>
          <w:p w:rsidR="00FD54FC" w:rsidRPr="00D51A68" w:rsidRDefault="00FD54FC" w:rsidP="00FD54FC">
            <w:pPr>
              <w:spacing w:before="0" w:after="0"/>
              <w:ind w:left="33"/>
              <w:rPr>
                <w:rFonts w:ascii="Times New Roman" w:hAnsi="Times New Roman"/>
                <w:b/>
                <w:bCs/>
                <w:sz w:val="24"/>
                <w:u w:val="single"/>
              </w:rPr>
            </w:pPr>
          </w:p>
          <w:p w:rsidR="00FD54FC" w:rsidRPr="00D51A68" w:rsidRDefault="00FD54FC" w:rsidP="00FD54FC">
            <w:pPr>
              <w:spacing w:before="0" w:after="0"/>
              <w:ind w:left="33"/>
              <w:rPr>
                <w:rFonts w:ascii="Times New Roman" w:hAnsi="Times New Roman"/>
                <w:bCs/>
                <w:sz w:val="24"/>
              </w:rPr>
            </w:pPr>
            <w:r w:rsidRPr="00D51A68">
              <w:rPr>
                <w:rFonts w:ascii="Times New Roman" w:hAnsi="Times New Roman"/>
                <w:sz w:val="24"/>
              </w:rPr>
              <w:t>Valore contabile aggregato dei derivati su crediti venduti su esposizioni delle amministrazioni pubbliche segnalati che hanno un fair value (valore equo) negativo per l</w:t>
            </w:r>
            <w:r w:rsidR="0009277C" w:rsidRPr="00D51A68">
              <w:rPr>
                <w:rFonts w:ascii="Times New Roman" w:hAnsi="Times New Roman"/>
                <w:sz w:val="24"/>
              </w:rPr>
              <w:t>’</w:t>
            </w:r>
            <w:r w:rsidRPr="00D51A68">
              <w:rPr>
                <w:rFonts w:ascii="Times New Roman" w:hAnsi="Times New Roman"/>
                <w:sz w:val="24"/>
              </w:rPr>
              <w:t>ente alla data di riferimento per le segnalazioni, senza considerare gli aggiustamenti per la valutazione prudente.</w:t>
            </w:r>
          </w:p>
          <w:p w:rsidR="00FD54FC" w:rsidRPr="00D51A68" w:rsidRDefault="00FD54FC" w:rsidP="00FD54FC">
            <w:pPr>
              <w:spacing w:before="0" w:after="0"/>
              <w:ind w:left="33"/>
              <w:rPr>
                <w:rFonts w:ascii="Times New Roman" w:hAnsi="Times New Roman"/>
                <w:bCs/>
                <w:sz w:val="24"/>
              </w:rPr>
            </w:pPr>
          </w:p>
          <w:p w:rsidR="00FD54FC" w:rsidRPr="00D51A68" w:rsidRDefault="00FD54FC" w:rsidP="00FD54FC">
            <w:pPr>
              <w:spacing w:before="0" w:after="0"/>
              <w:ind w:left="33"/>
              <w:rPr>
                <w:rFonts w:ascii="Times New Roman" w:hAnsi="Times New Roman"/>
                <w:bCs/>
                <w:sz w:val="24"/>
              </w:rPr>
            </w:pPr>
            <w:r w:rsidRPr="00D51A68">
              <w:rPr>
                <w:rFonts w:ascii="Times New Roman" w:hAnsi="Times New Roman"/>
                <w:sz w:val="24"/>
              </w:rPr>
              <w:t>Per i derivati soggetti agli IFRS, l</w:t>
            </w:r>
            <w:r w:rsidR="0009277C" w:rsidRPr="00D51A68">
              <w:rPr>
                <w:rFonts w:ascii="Times New Roman" w:hAnsi="Times New Roman"/>
                <w:sz w:val="24"/>
              </w:rPr>
              <w:t>’</w:t>
            </w:r>
            <w:r w:rsidRPr="00D51A68">
              <w:rPr>
                <w:rFonts w:ascii="Times New Roman" w:hAnsi="Times New Roman"/>
                <w:sz w:val="24"/>
              </w:rPr>
              <w:t xml:space="preserve">importo da segnalare in questa colonna è il valore contabile dei derivati che costituiscono passività finanziarie alla data per le segnalazioni. </w:t>
            </w:r>
          </w:p>
          <w:p w:rsidR="00FD54FC" w:rsidRPr="00D51A68" w:rsidRDefault="00FD54FC" w:rsidP="00FD54FC">
            <w:pPr>
              <w:spacing w:before="0" w:after="0"/>
              <w:ind w:left="33"/>
              <w:rPr>
                <w:rFonts w:ascii="Times New Roman" w:hAnsi="Times New Roman"/>
                <w:bCs/>
                <w:sz w:val="24"/>
              </w:rPr>
            </w:pPr>
          </w:p>
          <w:p w:rsidR="00FD54FC" w:rsidRPr="00D51A68" w:rsidRDefault="00FD54FC" w:rsidP="00FD54FC">
            <w:pPr>
              <w:spacing w:before="0" w:after="0"/>
              <w:ind w:left="33"/>
              <w:rPr>
                <w:rFonts w:ascii="Times New Roman" w:hAnsi="Times New Roman"/>
                <w:b/>
                <w:bCs/>
                <w:sz w:val="24"/>
                <w:u w:val="single"/>
              </w:rPr>
            </w:pPr>
            <w:r w:rsidRPr="00D51A68">
              <w:rPr>
                <w:rFonts w:ascii="Times New Roman" w:hAnsi="Times New Roman"/>
                <w:sz w:val="24"/>
              </w:rPr>
              <w:t>Per i derivati soggetti ai GAAP basati sulla BAD, l</w:t>
            </w:r>
            <w:r w:rsidR="0009277C" w:rsidRPr="00D51A68">
              <w:rPr>
                <w:rFonts w:ascii="Times New Roman" w:hAnsi="Times New Roman"/>
                <w:sz w:val="24"/>
              </w:rPr>
              <w:t>’</w:t>
            </w:r>
            <w:r w:rsidRPr="00D51A68">
              <w:rPr>
                <w:rFonts w:ascii="Times New Roman" w:hAnsi="Times New Roman"/>
                <w:sz w:val="24"/>
              </w:rPr>
              <w:t>importo da segnalare in questa colonna è il fair value (valore equo) dei derivati con un fair value (valore equo) negativo alla data di riferimento per le segnalazioni, indipendentemente da come vengono contabilizzati.</w:t>
            </w:r>
            <w:r w:rsidRPr="00D51A68">
              <w:rPr>
                <w:rFonts w:ascii="Times New Roman" w:hAnsi="Times New Roman"/>
                <w:b/>
                <w:sz w:val="24"/>
                <w:u w:val="single"/>
              </w:rPr>
              <w:t xml:space="preserve"> </w:t>
            </w:r>
          </w:p>
          <w:p w:rsidR="00FD54FC" w:rsidRPr="00D51A68" w:rsidRDefault="00FD54FC" w:rsidP="00FD54FC">
            <w:pPr>
              <w:spacing w:before="0" w:after="0"/>
              <w:ind w:left="33"/>
              <w:rPr>
                <w:rFonts w:ascii="Times New Roman" w:hAnsi="Times New Roman"/>
                <w:b/>
                <w:bCs/>
                <w:sz w:val="24"/>
                <w:u w:val="single"/>
              </w:rPr>
            </w:pPr>
          </w:p>
        </w:tc>
      </w:tr>
      <w:tr w:rsidR="00FD54FC" w:rsidRPr="00D51A68"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D51A68" w:rsidDel="008D1680" w:rsidRDefault="00FD54FC" w:rsidP="00FD54FC">
            <w:pPr>
              <w:spacing w:before="0" w:after="0"/>
              <w:ind w:left="33"/>
              <w:rPr>
                <w:rFonts w:ascii="Times New Roman" w:hAnsi="Times New Roman"/>
                <w:bCs/>
                <w:sz w:val="24"/>
              </w:rPr>
            </w:pPr>
            <w:r w:rsidRPr="00D51A68">
              <w:rPr>
                <w:rFonts w:ascii="Times New Roman" w:hAnsi="Times New Roman"/>
                <w:sz w:val="24"/>
              </w:rPr>
              <w:t>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D51A68" w:rsidRDefault="00FD54FC" w:rsidP="00FD54FC">
            <w:pPr>
              <w:spacing w:before="0" w:after="0"/>
              <w:ind w:left="33"/>
              <w:rPr>
                <w:rFonts w:ascii="Times New Roman" w:hAnsi="Times New Roman"/>
                <w:b/>
                <w:bCs/>
                <w:sz w:val="24"/>
                <w:u w:val="single"/>
              </w:rPr>
            </w:pPr>
            <w:r w:rsidRPr="00D51A68">
              <w:rPr>
                <w:rFonts w:ascii="Times New Roman" w:hAnsi="Times New Roman"/>
                <w:b/>
                <w:sz w:val="24"/>
                <w:u w:val="single"/>
              </w:rPr>
              <w:t>Valore dell</w:t>
            </w:r>
            <w:r w:rsidR="0009277C" w:rsidRPr="00D51A68">
              <w:rPr>
                <w:rFonts w:ascii="Times New Roman" w:hAnsi="Times New Roman"/>
                <w:b/>
                <w:sz w:val="24"/>
                <w:u w:val="single"/>
              </w:rPr>
              <w:t>’</w:t>
            </w:r>
            <w:r w:rsidRPr="00D51A68">
              <w:rPr>
                <w:rFonts w:ascii="Times New Roman" w:hAnsi="Times New Roman"/>
                <w:b/>
                <w:sz w:val="24"/>
                <w:u w:val="single"/>
              </w:rPr>
              <w:t>esposizione</w:t>
            </w:r>
          </w:p>
          <w:p w:rsidR="00FD54FC" w:rsidRPr="00D51A68" w:rsidRDefault="00FD54FC" w:rsidP="00FD54FC">
            <w:pPr>
              <w:spacing w:before="0" w:after="0"/>
              <w:ind w:left="33"/>
              <w:rPr>
                <w:rFonts w:ascii="Times New Roman" w:hAnsi="Times New Roman"/>
                <w:b/>
                <w:bCs/>
                <w:sz w:val="24"/>
                <w:u w:val="single"/>
              </w:rPr>
            </w:pPr>
          </w:p>
          <w:p w:rsidR="00FD54FC" w:rsidRPr="00D51A68" w:rsidRDefault="00FD54FC" w:rsidP="00FD54FC">
            <w:pPr>
              <w:spacing w:before="0" w:after="0"/>
              <w:ind w:left="33"/>
              <w:rPr>
                <w:rFonts w:ascii="Times New Roman" w:hAnsi="Times New Roman"/>
                <w:bCs/>
                <w:sz w:val="24"/>
              </w:rPr>
            </w:pPr>
            <w:r w:rsidRPr="00D51A68">
              <w:rPr>
                <w:rFonts w:ascii="Times New Roman" w:hAnsi="Times New Roman"/>
                <w:sz w:val="24"/>
              </w:rPr>
              <w:t>Valore dell</w:t>
            </w:r>
            <w:r w:rsidR="0009277C" w:rsidRPr="00D51A68">
              <w:rPr>
                <w:rFonts w:ascii="Times New Roman" w:hAnsi="Times New Roman"/>
                <w:sz w:val="24"/>
              </w:rPr>
              <w:t>’</w:t>
            </w:r>
            <w:r w:rsidRPr="00D51A68">
              <w:rPr>
                <w:rFonts w:ascii="Times New Roman" w:hAnsi="Times New Roman"/>
                <w:sz w:val="24"/>
              </w:rPr>
              <w:t>esposizione per le esposizioni soggette al quadro relativo al rischio di credito.</w:t>
            </w:r>
          </w:p>
          <w:p w:rsidR="00FD54FC" w:rsidRPr="00D51A68" w:rsidRDefault="00FD54FC" w:rsidP="00FD54FC">
            <w:pPr>
              <w:spacing w:before="0" w:after="0"/>
              <w:ind w:left="33"/>
              <w:rPr>
                <w:rFonts w:ascii="Times New Roman" w:hAnsi="Times New Roman"/>
                <w:bCs/>
                <w:sz w:val="16"/>
                <w:szCs w:val="16"/>
              </w:rPr>
            </w:pPr>
          </w:p>
          <w:p w:rsidR="00FD54FC" w:rsidRPr="00D51A68" w:rsidRDefault="00FD54FC" w:rsidP="00FD54FC">
            <w:pPr>
              <w:spacing w:before="0" w:after="0"/>
              <w:ind w:left="33"/>
              <w:rPr>
                <w:rFonts w:ascii="Times New Roman" w:hAnsi="Times New Roman"/>
                <w:bCs/>
                <w:sz w:val="24"/>
              </w:rPr>
            </w:pPr>
            <w:r w:rsidRPr="00D51A68">
              <w:rPr>
                <w:rFonts w:ascii="Times New Roman" w:hAnsi="Times New Roman"/>
                <w:sz w:val="24"/>
              </w:rPr>
              <w:t>Per le esposizioni trattate secondo il metodo standardizzato (SA): cfr. articolo 111 del CRR. Per le esposizioni trattate secondo il metodo IRB: cfr. articolo 166</w:t>
            </w:r>
            <w:r w:rsidR="0011279C" w:rsidRPr="00D51A68">
              <w:rPr>
                <w:rFonts w:ascii="Times New Roman" w:hAnsi="Times New Roman"/>
                <w:sz w:val="24"/>
              </w:rPr>
              <w:t xml:space="preserve"> e articolo </w:t>
            </w:r>
            <w:r w:rsidRPr="00D51A68">
              <w:rPr>
                <w:rFonts w:ascii="Times New Roman" w:hAnsi="Times New Roman"/>
                <w:sz w:val="24"/>
              </w:rPr>
              <w:t>230, paragrafo 1, seconda frase, del CRR.</w:t>
            </w:r>
          </w:p>
          <w:p w:rsidR="00FD54FC" w:rsidRPr="00D51A68" w:rsidRDefault="00FD54FC" w:rsidP="00FD54FC">
            <w:pPr>
              <w:spacing w:before="0" w:after="0"/>
              <w:ind w:left="33"/>
              <w:rPr>
                <w:rFonts w:ascii="Times New Roman" w:hAnsi="Times New Roman"/>
                <w:bCs/>
                <w:sz w:val="16"/>
                <w:szCs w:val="16"/>
              </w:rPr>
            </w:pPr>
          </w:p>
          <w:p w:rsidR="00FD54FC" w:rsidRPr="00D51A68" w:rsidRDefault="00FD54FC" w:rsidP="00FD54FC">
            <w:pPr>
              <w:spacing w:before="0" w:after="0"/>
              <w:ind w:left="33"/>
              <w:rPr>
                <w:rFonts w:ascii="Times New Roman" w:hAnsi="Times New Roman"/>
                <w:bCs/>
                <w:sz w:val="24"/>
              </w:rPr>
            </w:pPr>
            <w:r w:rsidRPr="00D51A68">
              <w:rPr>
                <w:rFonts w:ascii="Times New Roman" w:hAnsi="Times New Roman"/>
                <w:sz w:val="24"/>
              </w:rPr>
              <w:t>Per la segnalazione dei derivati soggetti a coperture patrimoniali sia per il rischio di controparte che per il rischio di mercato cfr. le istruzioni relative alla ripartizione per riga.</w:t>
            </w:r>
          </w:p>
          <w:p w:rsidR="00FD54FC" w:rsidRPr="00D51A68" w:rsidRDefault="00FD54FC" w:rsidP="00FD54FC">
            <w:pPr>
              <w:spacing w:before="0" w:after="0"/>
              <w:ind w:left="33"/>
              <w:rPr>
                <w:rFonts w:ascii="Times New Roman" w:hAnsi="Times New Roman"/>
                <w:b/>
                <w:bCs/>
                <w:sz w:val="16"/>
                <w:szCs w:val="16"/>
                <w:u w:val="single"/>
              </w:rPr>
            </w:pPr>
          </w:p>
        </w:tc>
      </w:tr>
      <w:tr w:rsidR="00FD54FC" w:rsidRPr="00D51A68"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D51A68" w:rsidRDefault="00FD54FC" w:rsidP="00FD54FC">
            <w:pPr>
              <w:spacing w:before="0" w:after="0"/>
              <w:ind w:left="33"/>
              <w:rPr>
                <w:rFonts w:ascii="Times New Roman" w:hAnsi="Times New Roman"/>
                <w:bCs/>
                <w:sz w:val="24"/>
              </w:rPr>
            </w:pPr>
            <w:r w:rsidRPr="00D51A68">
              <w:rPr>
                <w:rFonts w:ascii="Times New Roman" w:hAnsi="Times New Roman"/>
                <w:sz w:val="24"/>
              </w:rPr>
              <w:t>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D51A68" w:rsidRDefault="00FD54FC" w:rsidP="00FD54FC">
            <w:pPr>
              <w:spacing w:before="0" w:after="0"/>
              <w:ind w:left="33"/>
              <w:rPr>
                <w:rFonts w:ascii="Times New Roman" w:hAnsi="Times New Roman"/>
                <w:b/>
                <w:bCs/>
                <w:sz w:val="24"/>
                <w:u w:val="single"/>
              </w:rPr>
            </w:pPr>
            <w:r w:rsidRPr="00D51A68">
              <w:rPr>
                <w:rFonts w:ascii="Times New Roman" w:hAnsi="Times New Roman"/>
                <w:b/>
                <w:sz w:val="24"/>
                <w:u w:val="single"/>
              </w:rPr>
              <w:t>Importo dell</w:t>
            </w:r>
            <w:r w:rsidR="0009277C" w:rsidRPr="00D51A68">
              <w:rPr>
                <w:rFonts w:ascii="Times New Roman" w:hAnsi="Times New Roman"/>
                <w:b/>
                <w:sz w:val="24"/>
                <w:u w:val="single"/>
              </w:rPr>
              <w:t>’</w:t>
            </w:r>
            <w:r w:rsidRPr="00D51A68">
              <w:rPr>
                <w:rFonts w:ascii="Times New Roman" w:hAnsi="Times New Roman"/>
                <w:b/>
                <w:sz w:val="24"/>
                <w:u w:val="single"/>
              </w:rPr>
              <w:t xml:space="preserve">esposizione ponderato per il rischio </w:t>
            </w:r>
          </w:p>
          <w:p w:rsidR="00FD54FC" w:rsidRPr="00D51A68" w:rsidRDefault="00FD54FC" w:rsidP="00FD54FC">
            <w:pPr>
              <w:spacing w:before="0" w:after="0"/>
              <w:ind w:left="33"/>
              <w:rPr>
                <w:rFonts w:ascii="Times New Roman" w:hAnsi="Times New Roman"/>
                <w:b/>
                <w:bCs/>
                <w:sz w:val="16"/>
                <w:szCs w:val="16"/>
                <w:u w:val="single"/>
              </w:rPr>
            </w:pPr>
          </w:p>
          <w:p w:rsidR="00FD54FC" w:rsidRPr="00D51A68" w:rsidRDefault="00FD54FC" w:rsidP="00FD54FC">
            <w:pPr>
              <w:spacing w:before="0" w:after="0"/>
              <w:ind w:left="33"/>
              <w:rPr>
                <w:rFonts w:ascii="Times New Roman" w:hAnsi="Times New Roman"/>
                <w:bCs/>
                <w:sz w:val="24"/>
              </w:rPr>
            </w:pPr>
            <w:r w:rsidRPr="00D51A68">
              <w:rPr>
                <w:rFonts w:ascii="Times New Roman" w:hAnsi="Times New Roman"/>
                <w:sz w:val="24"/>
              </w:rPr>
              <w:t>Importo dell</w:t>
            </w:r>
            <w:r w:rsidR="0009277C" w:rsidRPr="00D51A68">
              <w:rPr>
                <w:rFonts w:ascii="Times New Roman" w:hAnsi="Times New Roman"/>
                <w:sz w:val="24"/>
              </w:rPr>
              <w:t>’</w:t>
            </w:r>
            <w:r w:rsidRPr="00D51A68">
              <w:rPr>
                <w:rFonts w:ascii="Times New Roman" w:hAnsi="Times New Roman"/>
                <w:sz w:val="24"/>
              </w:rPr>
              <w:t xml:space="preserve">esposizione ponderato per il rischio per le esposizioni soggette al quadro relativo al rischio di credito. </w:t>
            </w:r>
          </w:p>
          <w:p w:rsidR="00FD54FC" w:rsidRPr="00D51A68" w:rsidRDefault="00FD54FC" w:rsidP="00FD54FC">
            <w:pPr>
              <w:spacing w:before="0" w:after="0"/>
              <w:ind w:left="33"/>
              <w:rPr>
                <w:rFonts w:ascii="Times New Roman" w:hAnsi="Times New Roman"/>
                <w:bCs/>
                <w:sz w:val="24"/>
              </w:rPr>
            </w:pPr>
          </w:p>
          <w:p w:rsidR="00FD54FC" w:rsidRPr="00D51A68" w:rsidRDefault="00FD54FC" w:rsidP="00FD54FC">
            <w:pPr>
              <w:spacing w:before="0" w:after="0"/>
              <w:ind w:left="33"/>
              <w:rPr>
                <w:rFonts w:ascii="Times New Roman" w:hAnsi="Times New Roman"/>
                <w:bCs/>
                <w:sz w:val="24"/>
              </w:rPr>
            </w:pPr>
            <w:r w:rsidRPr="00D51A68">
              <w:rPr>
                <w:rFonts w:ascii="Times New Roman" w:hAnsi="Times New Roman"/>
                <w:sz w:val="24"/>
              </w:rPr>
              <w:t>Per le esposizioni trattate secondo il metodo standardizzato (SA): cfr. articolo 113, paragrafi da 1 a 5, del CRR. Per le esposizioni trattate secondo il metodo IRB: cfr. articolo 153, paragrafi 1 e 3, del CRR</w:t>
            </w:r>
          </w:p>
          <w:p w:rsidR="00FD54FC" w:rsidRPr="00D51A68" w:rsidRDefault="00FD54FC" w:rsidP="00FD54FC">
            <w:pPr>
              <w:spacing w:before="0" w:after="0"/>
              <w:ind w:left="33"/>
              <w:rPr>
                <w:rFonts w:ascii="Times New Roman" w:hAnsi="Times New Roman"/>
                <w:bCs/>
                <w:sz w:val="24"/>
              </w:rPr>
            </w:pPr>
          </w:p>
          <w:p w:rsidR="00FD54FC" w:rsidRPr="00D51A68" w:rsidRDefault="00FD54FC" w:rsidP="00FD54FC">
            <w:pPr>
              <w:spacing w:before="0" w:after="0"/>
              <w:ind w:left="33"/>
              <w:rPr>
                <w:rFonts w:ascii="Times New Roman" w:hAnsi="Times New Roman"/>
                <w:bCs/>
                <w:sz w:val="24"/>
              </w:rPr>
            </w:pPr>
            <w:r w:rsidRPr="00D51A68">
              <w:rPr>
                <w:rFonts w:ascii="Times New Roman" w:hAnsi="Times New Roman"/>
                <w:sz w:val="24"/>
              </w:rPr>
              <w:t>Ai fini della segnalazione delle esposizioni dirette di cui all</w:t>
            </w:r>
            <w:r w:rsidR="0009277C" w:rsidRPr="00D51A68">
              <w:rPr>
                <w:rFonts w:ascii="Times New Roman" w:hAnsi="Times New Roman"/>
                <w:sz w:val="24"/>
              </w:rPr>
              <w:t>’</w:t>
            </w:r>
            <w:r w:rsidRPr="00D51A68">
              <w:rPr>
                <w:rFonts w:ascii="Times New Roman" w:hAnsi="Times New Roman"/>
                <w:sz w:val="24"/>
              </w:rPr>
              <w:t>articolo 271 del CRR soggette a requisiti di fondi propri sia per il rischio di controparte che per il rischio di mercato, cfr. le istruzioni relative alla ripartizione per riga.</w:t>
            </w:r>
          </w:p>
          <w:p w:rsidR="00FD54FC" w:rsidRPr="00D51A68" w:rsidRDefault="00FD54FC" w:rsidP="00FD54FC">
            <w:pPr>
              <w:spacing w:before="0" w:after="0"/>
              <w:ind w:left="33"/>
              <w:rPr>
                <w:rFonts w:ascii="Times New Roman" w:hAnsi="Times New Roman"/>
                <w:b/>
                <w:bCs/>
                <w:sz w:val="24"/>
                <w:u w:val="single"/>
              </w:rPr>
            </w:pPr>
          </w:p>
        </w:tc>
      </w:tr>
    </w:tbl>
    <w:p w:rsidR="00FD54FC" w:rsidRPr="00D51A68" w:rsidRDefault="00FD54FC" w:rsidP="00FD54FC">
      <w:pPr>
        <w:spacing w:before="0" w:after="0"/>
        <w:ind w:left="33"/>
        <w:rPr>
          <w:rFonts w:ascii="Times New Roman" w:hAnsi="Times New Roman"/>
          <w:bCs/>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FD54FC" w:rsidRPr="00D51A68" w:rsidTr="00672D2A">
        <w:tc>
          <w:tcPr>
            <w:tcW w:w="1188" w:type="dxa"/>
            <w:shd w:val="clear" w:color="auto" w:fill="CCCCCC"/>
          </w:tcPr>
          <w:p w:rsidR="00FD54FC" w:rsidRPr="00D51A68" w:rsidRDefault="00FD54FC" w:rsidP="00FD54FC">
            <w:pPr>
              <w:spacing w:before="0" w:after="0"/>
              <w:ind w:left="33"/>
              <w:rPr>
                <w:rFonts w:ascii="Times New Roman" w:hAnsi="Times New Roman"/>
                <w:bCs/>
                <w:sz w:val="24"/>
              </w:rPr>
            </w:pPr>
            <w:r w:rsidRPr="00D51A68">
              <w:rPr>
                <w:rFonts w:ascii="Times New Roman" w:hAnsi="Times New Roman"/>
                <w:sz w:val="24"/>
              </w:rPr>
              <w:t>Righe</w:t>
            </w:r>
          </w:p>
        </w:tc>
        <w:tc>
          <w:tcPr>
            <w:tcW w:w="8701" w:type="dxa"/>
            <w:shd w:val="clear" w:color="auto" w:fill="CCCCCC"/>
          </w:tcPr>
          <w:p w:rsidR="00FD54FC" w:rsidRPr="00D51A68" w:rsidRDefault="00FD54FC" w:rsidP="00FD54FC">
            <w:pPr>
              <w:spacing w:before="0" w:after="0"/>
              <w:ind w:left="33"/>
              <w:rPr>
                <w:rFonts w:ascii="Times New Roman" w:hAnsi="Times New Roman"/>
                <w:bCs/>
                <w:sz w:val="24"/>
              </w:rPr>
            </w:pPr>
            <w:r w:rsidRPr="00D51A68">
              <w:rPr>
                <w:rFonts w:ascii="Times New Roman" w:hAnsi="Times New Roman"/>
                <w:sz w:val="24"/>
              </w:rPr>
              <w:t>Istruzioni</w:t>
            </w:r>
          </w:p>
        </w:tc>
      </w:tr>
      <w:tr w:rsidR="00FD54FC" w:rsidRPr="00D51A68" w:rsidTr="00672D2A">
        <w:tc>
          <w:tcPr>
            <w:tcW w:w="9889" w:type="dxa"/>
            <w:gridSpan w:val="2"/>
          </w:tcPr>
          <w:p w:rsidR="00FD54FC" w:rsidRPr="00D51A68" w:rsidRDefault="00FD54FC" w:rsidP="00FD54FC">
            <w:pPr>
              <w:spacing w:before="0" w:after="0"/>
              <w:ind w:left="33"/>
              <w:rPr>
                <w:rFonts w:ascii="Times New Roman" w:hAnsi="Times New Roman"/>
                <w:b/>
                <w:bCs/>
                <w:sz w:val="24"/>
                <w:u w:val="single"/>
              </w:rPr>
            </w:pPr>
            <w:r w:rsidRPr="00D51A68">
              <w:rPr>
                <w:rFonts w:ascii="Times New Roman" w:hAnsi="Times New Roman"/>
                <w:b/>
                <w:sz w:val="24"/>
                <w:u w:val="single"/>
              </w:rPr>
              <w:t>RIPARTIZIONE DELLE ESPOSIZIONI PER METODO REGOLAMENTARE</w:t>
            </w:r>
          </w:p>
          <w:p w:rsidR="00FD54FC" w:rsidRPr="00D51A68" w:rsidRDefault="00FD54FC" w:rsidP="00FD54FC">
            <w:pPr>
              <w:spacing w:before="0" w:after="0"/>
              <w:ind w:left="33"/>
              <w:rPr>
                <w:rFonts w:ascii="Times New Roman" w:hAnsi="Times New Roman"/>
                <w:bCs/>
                <w:sz w:val="24"/>
              </w:rPr>
            </w:pPr>
          </w:p>
        </w:tc>
      </w:tr>
      <w:tr w:rsidR="00FD54FC" w:rsidRPr="00D51A68" w:rsidTr="00672D2A">
        <w:tc>
          <w:tcPr>
            <w:tcW w:w="1188" w:type="dxa"/>
            <w:shd w:val="clear" w:color="auto" w:fill="auto"/>
          </w:tcPr>
          <w:p w:rsidR="00FD54FC" w:rsidRPr="00D51A68" w:rsidRDefault="00FD54FC" w:rsidP="00FD54FC">
            <w:pPr>
              <w:spacing w:before="0" w:after="0"/>
              <w:ind w:left="33"/>
              <w:rPr>
                <w:rFonts w:ascii="Times New Roman" w:hAnsi="Times New Roman"/>
                <w:bCs/>
                <w:sz w:val="24"/>
              </w:rPr>
            </w:pPr>
            <w:r w:rsidRPr="00D51A68">
              <w:rPr>
                <w:rFonts w:ascii="Times New Roman" w:hAnsi="Times New Roman"/>
                <w:sz w:val="24"/>
              </w:rPr>
              <w:t>010</w:t>
            </w:r>
          </w:p>
        </w:tc>
        <w:tc>
          <w:tcPr>
            <w:tcW w:w="8701" w:type="dxa"/>
            <w:shd w:val="clear" w:color="auto" w:fill="auto"/>
          </w:tcPr>
          <w:p w:rsidR="00FD54FC" w:rsidRPr="00D51A68" w:rsidRDefault="00FD54FC" w:rsidP="00FD54FC">
            <w:pPr>
              <w:spacing w:before="0" w:after="0"/>
              <w:ind w:left="33"/>
              <w:rPr>
                <w:rFonts w:ascii="Times New Roman" w:hAnsi="Times New Roman"/>
                <w:b/>
                <w:bCs/>
                <w:sz w:val="24"/>
                <w:u w:val="single"/>
              </w:rPr>
            </w:pPr>
            <w:r w:rsidRPr="00D51A68">
              <w:rPr>
                <w:rFonts w:ascii="Times New Roman" w:hAnsi="Times New Roman"/>
                <w:b/>
                <w:sz w:val="24"/>
                <w:u w:val="single"/>
              </w:rPr>
              <w:t>Esposizioni totali</w:t>
            </w:r>
          </w:p>
          <w:p w:rsidR="00FD54FC" w:rsidRPr="00D51A68" w:rsidRDefault="00FD54FC" w:rsidP="00FD54FC">
            <w:pPr>
              <w:spacing w:before="0" w:after="0"/>
              <w:ind w:left="33"/>
              <w:rPr>
                <w:rFonts w:ascii="Times New Roman" w:hAnsi="Times New Roman"/>
                <w:b/>
                <w:bCs/>
                <w:sz w:val="24"/>
                <w:u w:val="single"/>
              </w:rPr>
            </w:pPr>
          </w:p>
          <w:p w:rsidR="00FD54FC" w:rsidRPr="00D51A68" w:rsidRDefault="00FD54FC" w:rsidP="00FD54FC">
            <w:pPr>
              <w:spacing w:before="0" w:after="0"/>
              <w:ind w:left="33"/>
              <w:rPr>
                <w:rFonts w:ascii="Times New Roman" w:hAnsi="Times New Roman"/>
                <w:bCs/>
                <w:sz w:val="24"/>
              </w:rPr>
            </w:pPr>
            <w:r w:rsidRPr="00D51A68">
              <w:rPr>
                <w:rFonts w:ascii="Times New Roman" w:hAnsi="Times New Roman"/>
                <w:sz w:val="24"/>
              </w:rPr>
              <w:t>L</w:t>
            </w:r>
            <w:r w:rsidR="0009277C" w:rsidRPr="00D51A68">
              <w:rPr>
                <w:rFonts w:ascii="Times New Roman" w:hAnsi="Times New Roman"/>
                <w:sz w:val="24"/>
              </w:rPr>
              <w:t>’</w:t>
            </w:r>
            <w:r w:rsidRPr="00D51A68">
              <w:rPr>
                <w:rFonts w:ascii="Times New Roman" w:hAnsi="Times New Roman"/>
                <w:sz w:val="24"/>
              </w:rPr>
              <w:t>aggregato delle esposizioni verso amministrazioni pubbliche, quali definite al paragrafo 1.</w:t>
            </w:r>
          </w:p>
          <w:p w:rsidR="00FD54FC" w:rsidRPr="00D51A68" w:rsidRDefault="00FD54FC" w:rsidP="00FD54FC">
            <w:pPr>
              <w:spacing w:before="0" w:after="0"/>
              <w:ind w:left="33"/>
              <w:rPr>
                <w:rFonts w:ascii="Times New Roman" w:hAnsi="Times New Roman"/>
                <w:b/>
                <w:bCs/>
                <w:sz w:val="24"/>
                <w:u w:val="single"/>
              </w:rPr>
            </w:pPr>
          </w:p>
        </w:tc>
      </w:tr>
      <w:tr w:rsidR="00FD54FC" w:rsidRPr="00D51A68" w:rsidTr="00672D2A">
        <w:tc>
          <w:tcPr>
            <w:tcW w:w="1188" w:type="dxa"/>
          </w:tcPr>
          <w:p w:rsidR="00FD54FC" w:rsidRPr="00D51A68" w:rsidRDefault="00FD54FC" w:rsidP="00A85E91">
            <w:pPr>
              <w:spacing w:before="0" w:after="0"/>
              <w:ind w:left="33"/>
              <w:rPr>
                <w:rFonts w:ascii="Times New Roman" w:hAnsi="Times New Roman"/>
                <w:bCs/>
                <w:sz w:val="24"/>
              </w:rPr>
            </w:pPr>
            <w:r w:rsidRPr="00D51A68">
              <w:rPr>
                <w:rFonts w:ascii="Times New Roman" w:hAnsi="Times New Roman"/>
                <w:sz w:val="24"/>
              </w:rPr>
              <w:t>020-155</w:t>
            </w:r>
          </w:p>
        </w:tc>
        <w:tc>
          <w:tcPr>
            <w:tcW w:w="8701" w:type="dxa"/>
          </w:tcPr>
          <w:p w:rsidR="00FD54FC" w:rsidRPr="00D51A68" w:rsidRDefault="00FD54FC" w:rsidP="00FD54FC">
            <w:pPr>
              <w:spacing w:before="0" w:after="0"/>
              <w:ind w:left="33"/>
              <w:rPr>
                <w:rFonts w:ascii="Times New Roman" w:hAnsi="Times New Roman"/>
                <w:bCs/>
                <w:sz w:val="24"/>
              </w:rPr>
            </w:pPr>
            <w:r w:rsidRPr="00D51A68">
              <w:rPr>
                <w:rFonts w:ascii="Times New Roman" w:hAnsi="Times New Roman"/>
                <w:b/>
                <w:sz w:val="24"/>
                <w:u w:val="single"/>
              </w:rPr>
              <w:t>Esposizioni soggette al quadro relativo al rischio di credito</w:t>
            </w:r>
          </w:p>
          <w:p w:rsidR="00FD54FC" w:rsidRPr="00D51A68" w:rsidRDefault="00FD54FC" w:rsidP="00542EAE">
            <w:pPr>
              <w:spacing w:before="0" w:after="0"/>
              <w:ind w:left="33"/>
              <w:rPr>
                <w:rFonts w:ascii="Times New Roman" w:hAnsi="Times New Roman"/>
                <w:bCs/>
                <w:sz w:val="24"/>
              </w:rPr>
            </w:pPr>
          </w:p>
          <w:p w:rsidR="00542EAE" w:rsidRPr="00D51A68" w:rsidRDefault="00FD54FC" w:rsidP="009068C9">
            <w:pPr>
              <w:spacing w:before="0" w:after="0"/>
              <w:ind w:left="33"/>
              <w:rPr>
                <w:rFonts w:ascii="Times New Roman" w:hAnsi="Times New Roman"/>
                <w:bCs/>
                <w:sz w:val="24"/>
              </w:rPr>
            </w:pPr>
            <w:r w:rsidRPr="00D51A68">
              <w:rPr>
                <w:rFonts w:ascii="Times New Roman" w:hAnsi="Times New Roman"/>
                <w:sz w:val="24"/>
              </w:rPr>
              <w:t>L</w:t>
            </w:r>
            <w:r w:rsidR="0009277C" w:rsidRPr="00D51A68">
              <w:rPr>
                <w:rFonts w:ascii="Times New Roman" w:hAnsi="Times New Roman"/>
                <w:sz w:val="24"/>
              </w:rPr>
              <w:t>’</w:t>
            </w:r>
            <w:r w:rsidRPr="00D51A68">
              <w:rPr>
                <w:rFonts w:ascii="Times New Roman" w:hAnsi="Times New Roman"/>
                <w:sz w:val="24"/>
              </w:rPr>
              <w:t>aggregato delle esposizioni verso amministrazioni pubbliche cui viene applicato un fattore di ponderazione del rischio a norma della parte tre, titolo II, del CRR. Le esposizioni soggette al quadro relativo al rischio di credito comprendono le esposizioni sia all</w:t>
            </w:r>
            <w:r w:rsidR="0009277C" w:rsidRPr="00D51A68">
              <w:rPr>
                <w:rFonts w:ascii="Times New Roman" w:hAnsi="Times New Roman"/>
                <w:sz w:val="24"/>
              </w:rPr>
              <w:t>’</w:t>
            </w:r>
            <w:r w:rsidRPr="00D51A68">
              <w:rPr>
                <w:rFonts w:ascii="Times New Roman" w:hAnsi="Times New Roman"/>
                <w:sz w:val="24"/>
              </w:rPr>
              <w:t>interno che all</w:t>
            </w:r>
            <w:r w:rsidR="0009277C" w:rsidRPr="00D51A68">
              <w:rPr>
                <w:rFonts w:ascii="Times New Roman" w:hAnsi="Times New Roman"/>
                <w:sz w:val="24"/>
              </w:rPr>
              <w:t>’</w:t>
            </w:r>
            <w:r w:rsidRPr="00D51A68">
              <w:rPr>
                <w:rFonts w:ascii="Times New Roman" w:hAnsi="Times New Roman"/>
                <w:sz w:val="24"/>
              </w:rPr>
              <w:t xml:space="preserve">esterno del portafoglio di negoziazione soggette a copertura patrimoniale per il rischio di controparte. </w:t>
            </w:r>
          </w:p>
          <w:p w:rsidR="00FD54FC" w:rsidRPr="00D51A68" w:rsidRDefault="00FD54FC" w:rsidP="009068C9">
            <w:pPr>
              <w:spacing w:before="0" w:after="0"/>
              <w:ind w:left="33"/>
              <w:rPr>
                <w:rFonts w:ascii="Times New Roman" w:hAnsi="Times New Roman"/>
                <w:bCs/>
                <w:sz w:val="24"/>
              </w:rPr>
            </w:pPr>
          </w:p>
          <w:p w:rsidR="00542EAE" w:rsidRPr="00D51A68" w:rsidRDefault="00FD54FC" w:rsidP="009068C9">
            <w:pPr>
              <w:spacing w:before="0" w:after="0"/>
              <w:ind w:left="33"/>
              <w:rPr>
                <w:rFonts w:ascii="Times New Roman" w:hAnsi="Times New Roman"/>
                <w:bCs/>
                <w:sz w:val="24"/>
              </w:rPr>
            </w:pPr>
            <w:r w:rsidRPr="00D51A68">
              <w:rPr>
                <w:rFonts w:ascii="Times New Roman" w:hAnsi="Times New Roman"/>
                <w:sz w:val="24"/>
              </w:rPr>
              <w:t>Le esposizioni dirette di cui all</w:t>
            </w:r>
            <w:r w:rsidR="0009277C" w:rsidRPr="00D51A68">
              <w:rPr>
                <w:rFonts w:ascii="Times New Roman" w:hAnsi="Times New Roman"/>
                <w:sz w:val="24"/>
              </w:rPr>
              <w:t>’</w:t>
            </w:r>
            <w:r w:rsidRPr="00D51A68">
              <w:rPr>
                <w:rFonts w:ascii="Times New Roman" w:hAnsi="Times New Roman"/>
                <w:sz w:val="24"/>
              </w:rPr>
              <w:t>articolo 271 del CRR soggette a requisiti di fondi propri sia per il rischio di controparte che per il rischio di mercato sono indicate sia nelle righe del rischio di credito (da 020 a 155) sia nella riga del rischio di mercato (riga 160): le esposizioni dovute al rischio di controparte sono segnalate nelle righe relative al rischio di credito, mentre le esposizioni dovute al rischio di mercato sono segnalate nella riga relativa al rischio di mercato.</w:t>
            </w:r>
          </w:p>
          <w:p w:rsidR="00542EAE" w:rsidRPr="00D51A68" w:rsidRDefault="00542EAE" w:rsidP="009068C9">
            <w:pPr>
              <w:spacing w:before="0" w:after="0"/>
              <w:ind w:left="33"/>
              <w:rPr>
                <w:rFonts w:ascii="Times New Roman" w:hAnsi="Times New Roman"/>
                <w:bCs/>
                <w:sz w:val="24"/>
              </w:rPr>
            </w:pPr>
          </w:p>
        </w:tc>
      </w:tr>
      <w:tr w:rsidR="00FD54FC" w:rsidRPr="00D51A68" w:rsidTr="00672D2A">
        <w:tc>
          <w:tcPr>
            <w:tcW w:w="1188" w:type="dxa"/>
          </w:tcPr>
          <w:p w:rsidR="00FD54FC" w:rsidRPr="00D51A68" w:rsidRDefault="00FD54FC" w:rsidP="00FD54FC">
            <w:pPr>
              <w:spacing w:before="0" w:after="0"/>
              <w:ind w:left="33"/>
              <w:rPr>
                <w:rFonts w:ascii="Times New Roman" w:hAnsi="Times New Roman"/>
                <w:bCs/>
                <w:sz w:val="24"/>
              </w:rPr>
            </w:pPr>
            <w:r w:rsidRPr="00D51A68">
              <w:rPr>
                <w:rFonts w:ascii="Times New Roman" w:hAnsi="Times New Roman"/>
                <w:sz w:val="24"/>
              </w:rPr>
              <w:t>030</w:t>
            </w:r>
          </w:p>
        </w:tc>
        <w:tc>
          <w:tcPr>
            <w:tcW w:w="8701" w:type="dxa"/>
          </w:tcPr>
          <w:p w:rsidR="00FD54FC" w:rsidRPr="00D51A68" w:rsidRDefault="00FD54FC" w:rsidP="00FD54FC">
            <w:pPr>
              <w:spacing w:before="0" w:after="0"/>
              <w:ind w:left="33"/>
              <w:rPr>
                <w:rFonts w:ascii="Times New Roman" w:hAnsi="Times New Roman"/>
                <w:b/>
                <w:bCs/>
                <w:sz w:val="24"/>
                <w:u w:val="single"/>
              </w:rPr>
            </w:pPr>
            <w:r w:rsidRPr="00D51A68">
              <w:rPr>
                <w:rFonts w:ascii="Times New Roman" w:hAnsi="Times New Roman"/>
                <w:b/>
                <w:sz w:val="24"/>
                <w:u w:val="single"/>
              </w:rPr>
              <w:t>Metodo standardizzato</w:t>
            </w:r>
          </w:p>
          <w:p w:rsidR="00FD54FC" w:rsidRPr="00D51A68" w:rsidRDefault="00FD54FC" w:rsidP="00FD54FC">
            <w:pPr>
              <w:spacing w:before="0" w:after="0"/>
              <w:ind w:left="33"/>
              <w:rPr>
                <w:rFonts w:ascii="Times New Roman" w:hAnsi="Times New Roman"/>
                <w:bCs/>
                <w:sz w:val="24"/>
              </w:rPr>
            </w:pPr>
          </w:p>
          <w:p w:rsidR="00FD54FC" w:rsidRPr="00D51A68" w:rsidRDefault="00FD54FC" w:rsidP="00FD54FC">
            <w:pPr>
              <w:spacing w:before="0" w:after="0"/>
              <w:ind w:left="33"/>
              <w:rPr>
                <w:rFonts w:ascii="Times New Roman" w:hAnsi="Times New Roman"/>
                <w:bCs/>
                <w:sz w:val="24"/>
              </w:rPr>
            </w:pPr>
            <w:r w:rsidRPr="00D51A68">
              <w:rPr>
                <w:rFonts w:ascii="Times New Roman" w:hAnsi="Times New Roman"/>
                <w:sz w:val="24"/>
              </w:rPr>
              <w:t>Le esposizioni verso amministrazioni pubbliche che sono ponderate per il rischio a norma della parte tre, titolo II, capo 2, del CRR, comprese le esposizioni non comprese nel portafoglio di negoziazione per le quali la ponderazione del rischio conformemente al suddetto capo concerne il rischio di controparte.</w:t>
            </w:r>
          </w:p>
          <w:p w:rsidR="00FD54FC" w:rsidRPr="00D51A68" w:rsidRDefault="00FD54FC" w:rsidP="00FD54FC">
            <w:pPr>
              <w:spacing w:before="0" w:after="0"/>
              <w:ind w:left="33"/>
              <w:rPr>
                <w:rFonts w:ascii="Times New Roman" w:hAnsi="Times New Roman"/>
                <w:bCs/>
                <w:sz w:val="24"/>
              </w:rPr>
            </w:pPr>
          </w:p>
        </w:tc>
      </w:tr>
      <w:tr w:rsidR="00FD54FC" w:rsidRPr="00D51A68" w:rsidTr="00672D2A">
        <w:tc>
          <w:tcPr>
            <w:tcW w:w="1188" w:type="dxa"/>
          </w:tcPr>
          <w:p w:rsidR="00FD54FC" w:rsidRPr="00D51A68" w:rsidRDefault="00FD54FC" w:rsidP="00FD54FC">
            <w:pPr>
              <w:spacing w:before="0" w:after="0"/>
              <w:ind w:left="33"/>
              <w:rPr>
                <w:rFonts w:ascii="Times New Roman" w:hAnsi="Times New Roman"/>
                <w:bCs/>
                <w:sz w:val="24"/>
              </w:rPr>
            </w:pPr>
            <w:r w:rsidRPr="00D51A68">
              <w:rPr>
                <w:rFonts w:ascii="Times New Roman" w:hAnsi="Times New Roman"/>
                <w:sz w:val="24"/>
              </w:rPr>
              <w:t>040</w:t>
            </w:r>
          </w:p>
        </w:tc>
        <w:tc>
          <w:tcPr>
            <w:tcW w:w="8701" w:type="dxa"/>
          </w:tcPr>
          <w:p w:rsidR="00FD54FC" w:rsidRPr="00D51A68" w:rsidRDefault="00FD54FC" w:rsidP="00FD54FC">
            <w:pPr>
              <w:spacing w:before="0" w:after="0"/>
              <w:ind w:left="33"/>
              <w:rPr>
                <w:rFonts w:ascii="Times New Roman" w:hAnsi="Times New Roman"/>
                <w:b/>
                <w:bCs/>
                <w:sz w:val="24"/>
                <w:u w:val="single"/>
              </w:rPr>
            </w:pPr>
            <w:r w:rsidRPr="00D51A68">
              <w:rPr>
                <w:rFonts w:ascii="Times New Roman" w:hAnsi="Times New Roman"/>
                <w:b/>
                <w:sz w:val="24"/>
                <w:u w:val="single"/>
              </w:rPr>
              <w:t>Amministrazioni centrali</w:t>
            </w:r>
          </w:p>
          <w:p w:rsidR="00FD54FC" w:rsidRPr="00D51A68" w:rsidRDefault="00FD54FC" w:rsidP="00FD54FC">
            <w:pPr>
              <w:spacing w:before="0" w:after="0"/>
              <w:ind w:left="33"/>
              <w:rPr>
                <w:rFonts w:ascii="Times New Roman" w:hAnsi="Times New Roman"/>
                <w:bCs/>
                <w:sz w:val="24"/>
              </w:rPr>
            </w:pPr>
          </w:p>
          <w:p w:rsidR="00FD54FC" w:rsidRPr="00D51A68" w:rsidRDefault="00FD54FC" w:rsidP="00FD54FC">
            <w:pPr>
              <w:spacing w:before="0" w:after="0"/>
              <w:ind w:left="33"/>
              <w:rPr>
                <w:rFonts w:ascii="Times New Roman" w:hAnsi="Times New Roman"/>
                <w:bCs/>
                <w:sz w:val="24"/>
              </w:rPr>
            </w:pPr>
            <w:r w:rsidRPr="00D51A68">
              <w:rPr>
                <w:rFonts w:ascii="Times New Roman" w:hAnsi="Times New Roman"/>
                <w:sz w:val="24"/>
              </w:rPr>
              <w:t xml:space="preserve">Le esposizioni verso amministrazioni pubbliche che sono amministrazioni centrali. Queste esposizioni sono assegnate alla classe di esposizioni verso </w:t>
            </w:r>
            <w:r w:rsidR="0009277C" w:rsidRPr="00D51A68">
              <w:rPr>
                <w:rFonts w:ascii="Times New Roman" w:hAnsi="Times New Roman"/>
                <w:sz w:val="24"/>
              </w:rPr>
              <w:t>“</w:t>
            </w:r>
            <w:r w:rsidRPr="00D51A68">
              <w:rPr>
                <w:rFonts w:ascii="Times New Roman" w:hAnsi="Times New Roman"/>
                <w:sz w:val="24"/>
              </w:rPr>
              <w:t>amministrazioni centrali o banche centrali</w:t>
            </w:r>
            <w:r w:rsidR="0009277C" w:rsidRPr="00D51A68">
              <w:rPr>
                <w:rFonts w:ascii="Times New Roman" w:hAnsi="Times New Roman"/>
                <w:sz w:val="24"/>
              </w:rPr>
              <w:t>”</w:t>
            </w:r>
            <w:r w:rsidRPr="00D51A68">
              <w:rPr>
                <w:rFonts w:ascii="Times New Roman" w:hAnsi="Times New Roman"/>
                <w:sz w:val="24"/>
              </w:rPr>
              <w:t xml:space="preserve"> conformemente agli articoli 112 e 114 del CRR, come specificato nelle istruzioni per il modello C 07.00, ad eccezione delle specifiche per quanto riguarda la redistribuzione delle esposizioni verso amministrazioni pubbliche ad altre classi di esposizioni a seguito dell</w:t>
            </w:r>
            <w:r w:rsidR="0009277C" w:rsidRPr="00D51A68">
              <w:rPr>
                <w:rFonts w:ascii="Times New Roman" w:hAnsi="Times New Roman"/>
                <w:sz w:val="24"/>
              </w:rPr>
              <w:t>’</w:t>
            </w:r>
            <w:r w:rsidRPr="00D51A68">
              <w:rPr>
                <w:rFonts w:ascii="Times New Roman" w:hAnsi="Times New Roman"/>
                <w:sz w:val="24"/>
              </w:rPr>
              <w:t>applicazione di tecniche di attenuazione del rischio di credito con effetti di sostituzione sull</w:t>
            </w:r>
            <w:r w:rsidR="0009277C" w:rsidRPr="00D51A68">
              <w:rPr>
                <w:rFonts w:ascii="Times New Roman" w:hAnsi="Times New Roman"/>
                <w:sz w:val="24"/>
              </w:rPr>
              <w:t>’</w:t>
            </w:r>
            <w:r w:rsidRPr="00D51A68">
              <w:rPr>
                <w:rFonts w:ascii="Times New Roman" w:hAnsi="Times New Roman"/>
                <w:sz w:val="24"/>
              </w:rPr>
              <w:t>esposizione, che non si applicano.</w:t>
            </w:r>
          </w:p>
          <w:p w:rsidR="00FD54FC" w:rsidRPr="00D51A68" w:rsidRDefault="00FD54FC" w:rsidP="00FD54FC">
            <w:pPr>
              <w:spacing w:before="0" w:after="0"/>
              <w:ind w:left="33"/>
              <w:rPr>
                <w:rFonts w:ascii="Times New Roman" w:hAnsi="Times New Roman"/>
                <w:bCs/>
                <w:sz w:val="24"/>
              </w:rPr>
            </w:pPr>
          </w:p>
        </w:tc>
      </w:tr>
      <w:tr w:rsidR="00FD54FC" w:rsidRPr="00D51A68" w:rsidTr="00672D2A">
        <w:tc>
          <w:tcPr>
            <w:tcW w:w="1188" w:type="dxa"/>
          </w:tcPr>
          <w:p w:rsidR="00FD54FC" w:rsidRPr="00D51A68" w:rsidRDefault="00FD54FC" w:rsidP="00FD54FC">
            <w:pPr>
              <w:spacing w:before="0" w:after="0"/>
              <w:ind w:left="33"/>
              <w:rPr>
                <w:rFonts w:ascii="Times New Roman" w:hAnsi="Times New Roman"/>
                <w:bCs/>
                <w:sz w:val="24"/>
              </w:rPr>
            </w:pPr>
            <w:r w:rsidRPr="00D51A68">
              <w:rPr>
                <w:rFonts w:ascii="Times New Roman" w:hAnsi="Times New Roman"/>
                <w:sz w:val="24"/>
              </w:rPr>
              <w:t>050</w:t>
            </w:r>
          </w:p>
        </w:tc>
        <w:tc>
          <w:tcPr>
            <w:tcW w:w="8701" w:type="dxa"/>
          </w:tcPr>
          <w:p w:rsidR="00FD54FC" w:rsidRPr="00D51A68" w:rsidRDefault="00FD54FC" w:rsidP="00FD54FC">
            <w:pPr>
              <w:spacing w:before="0" w:after="0"/>
              <w:ind w:left="33"/>
              <w:rPr>
                <w:rFonts w:ascii="Times New Roman" w:hAnsi="Times New Roman"/>
                <w:b/>
                <w:bCs/>
                <w:sz w:val="24"/>
                <w:u w:val="single"/>
              </w:rPr>
            </w:pPr>
            <w:r w:rsidRPr="00D51A68">
              <w:rPr>
                <w:rFonts w:ascii="Times New Roman" w:hAnsi="Times New Roman"/>
                <w:b/>
                <w:sz w:val="24"/>
                <w:u w:val="single"/>
              </w:rPr>
              <w:t>Amministrazioni regionali o autorità locali</w:t>
            </w:r>
          </w:p>
          <w:p w:rsidR="00FD54FC" w:rsidRPr="00D51A68" w:rsidRDefault="00FD54FC" w:rsidP="00FD54FC">
            <w:pPr>
              <w:spacing w:before="0" w:after="0"/>
              <w:ind w:left="33"/>
              <w:rPr>
                <w:rFonts w:ascii="Times New Roman" w:hAnsi="Times New Roman"/>
                <w:bCs/>
                <w:sz w:val="24"/>
              </w:rPr>
            </w:pPr>
          </w:p>
          <w:p w:rsidR="00FD54FC" w:rsidRPr="00D51A68" w:rsidRDefault="00FD54FC" w:rsidP="00FD54FC">
            <w:pPr>
              <w:spacing w:before="0" w:after="0"/>
              <w:ind w:left="33"/>
              <w:rPr>
                <w:rFonts w:ascii="Times New Roman" w:hAnsi="Times New Roman"/>
                <w:bCs/>
                <w:sz w:val="24"/>
              </w:rPr>
            </w:pPr>
            <w:r w:rsidRPr="00D51A68">
              <w:rPr>
                <w:rFonts w:ascii="Times New Roman" w:hAnsi="Times New Roman"/>
                <w:sz w:val="24"/>
              </w:rPr>
              <w:t xml:space="preserve">Le esposizioni verso amministrazioni pubbliche che sono amministrazioni regionali o autorità locali. Queste esposizioni sono assegnate alla classe di esposizioni verso </w:t>
            </w:r>
            <w:r w:rsidR="0009277C" w:rsidRPr="00D51A68">
              <w:rPr>
                <w:rFonts w:ascii="Times New Roman" w:hAnsi="Times New Roman"/>
                <w:sz w:val="24"/>
              </w:rPr>
              <w:t>“</w:t>
            </w:r>
            <w:r w:rsidRPr="00D51A68">
              <w:rPr>
                <w:rFonts w:ascii="Times New Roman" w:hAnsi="Times New Roman"/>
                <w:sz w:val="24"/>
              </w:rPr>
              <w:t>amministrazioni regionali o autorità locali</w:t>
            </w:r>
            <w:r w:rsidR="0009277C" w:rsidRPr="00D51A68">
              <w:rPr>
                <w:rFonts w:ascii="Times New Roman" w:hAnsi="Times New Roman"/>
                <w:sz w:val="24"/>
              </w:rPr>
              <w:t>”</w:t>
            </w:r>
            <w:r w:rsidRPr="00D51A68">
              <w:rPr>
                <w:rFonts w:ascii="Times New Roman" w:hAnsi="Times New Roman"/>
                <w:sz w:val="24"/>
              </w:rPr>
              <w:t xml:space="preserve"> conformemente agli articoli 112 e 115 del CRR, come specificato nelle istruzioni per il modello C 07.00, ad eccezione delle specifiche per quanto riguarda la redistribuzione delle esposizioni verso amministrazioni pubbliche ad altre classi di esposizioni a seguito dell</w:t>
            </w:r>
            <w:r w:rsidR="0009277C" w:rsidRPr="00D51A68">
              <w:rPr>
                <w:rFonts w:ascii="Times New Roman" w:hAnsi="Times New Roman"/>
                <w:sz w:val="24"/>
              </w:rPr>
              <w:t>’</w:t>
            </w:r>
            <w:r w:rsidRPr="00D51A68">
              <w:rPr>
                <w:rFonts w:ascii="Times New Roman" w:hAnsi="Times New Roman"/>
                <w:sz w:val="24"/>
              </w:rPr>
              <w:t>applicazione di tecniche di attenuazione del rischio di credito con effetti di sostituzione sull</w:t>
            </w:r>
            <w:r w:rsidR="0009277C" w:rsidRPr="00D51A68">
              <w:rPr>
                <w:rFonts w:ascii="Times New Roman" w:hAnsi="Times New Roman"/>
                <w:sz w:val="24"/>
              </w:rPr>
              <w:t>’</w:t>
            </w:r>
            <w:r w:rsidRPr="00D51A68">
              <w:rPr>
                <w:rFonts w:ascii="Times New Roman" w:hAnsi="Times New Roman"/>
                <w:sz w:val="24"/>
              </w:rPr>
              <w:t>esposizione, che non si applicano.</w:t>
            </w:r>
          </w:p>
          <w:p w:rsidR="00FD54FC" w:rsidRPr="00D51A68" w:rsidRDefault="00FD54FC" w:rsidP="00FD54FC">
            <w:pPr>
              <w:spacing w:before="0" w:after="0"/>
              <w:ind w:left="33"/>
              <w:rPr>
                <w:rFonts w:ascii="Times New Roman" w:hAnsi="Times New Roman"/>
                <w:bCs/>
                <w:sz w:val="24"/>
              </w:rPr>
            </w:pPr>
          </w:p>
        </w:tc>
      </w:tr>
      <w:tr w:rsidR="00FD54FC" w:rsidRPr="00D51A68" w:rsidTr="00672D2A">
        <w:tc>
          <w:tcPr>
            <w:tcW w:w="1188" w:type="dxa"/>
          </w:tcPr>
          <w:p w:rsidR="00FD54FC" w:rsidRPr="00D51A68" w:rsidRDefault="00FD54FC" w:rsidP="00FD54FC">
            <w:pPr>
              <w:spacing w:before="0" w:after="0"/>
              <w:ind w:left="33"/>
              <w:rPr>
                <w:rFonts w:ascii="Times New Roman" w:hAnsi="Times New Roman"/>
                <w:bCs/>
                <w:sz w:val="24"/>
              </w:rPr>
            </w:pPr>
            <w:r w:rsidRPr="00D51A68">
              <w:rPr>
                <w:rFonts w:ascii="Times New Roman" w:hAnsi="Times New Roman"/>
                <w:sz w:val="24"/>
              </w:rPr>
              <w:t>060</w:t>
            </w:r>
          </w:p>
        </w:tc>
        <w:tc>
          <w:tcPr>
            <w:tcW w:w="8701" w:type="dxa"/>
          </w:tcPr>
          <w:p w:rsidR="00FD54FC" w:rsidRPr="00D51A68" w:rsidRDefault="00FD54FC" w:rsidP="00FD54FC">
            <w:pPr>
              <w:spacing w:before="0" w:after="0"/>
              <w:ind w:left="33"/>
              <w:rPr>
                <w:rFonts w:ascii="Times New Roman" w:hAnsi="Times New Roman"/>
                <w:b/>
                <w:bCs/>
                <w:sz w:val="24"/>
                <w:u w:val="single"/>
              </w:rPr>
            </w:pPr>
            <w:r w:rsidRPr="00D51A68">
              <w:rPr>
                <w:rFonts w:ascii="Times New Roman" w:hAnsi="Times New Roman"/>
                <w:b/>
                <w:sz w:val="24"/>
                <w:u w:val="single"/>
              </w:rPr>
              <w:t>Organismi del settore pubblico</w:t>
            </w:r>
          </w:p>
          <w:p w:rsidR="00FD54FC" w:rsidRPr="00D51A68" w:rsidRDefault="00FD54FC" w:rsidP="00FD54FC">
            <w:pPr>
              <w:spacing w:before="0" w:after="0"/>
              <w:ind w:left="33"/>
              <w:rPr>
                <w:rFonts w:ascii="Times New Roman" w:hAnsi="Times New Roman"/>
                <w:bCs/>
                <w:sz w:val="24"/>
              </w:rPr>
            </w:pPr>
          </w:p>
          <w:p w:rsidR="00FD54FC" w:rsidRPr="00D51A68" w:rsidRDefault="00FD54FC" w:rsidP="00FD54FC">
            <w:pPr>
              <w:spacing w:before="0" w:after="0"/>
              <w:ind w:left="33"/>
              <w:rPr>
                <w:rFonts w:ascii="Times New Roman" w:hAnsi="Times New Roman"/>
                <w:bCs/>
                <w:sz w:val="24"/>
              </w:rPr>
            </w:pPr>
            <w:r w:rsidRPr="00D51A68">
              <w:rPr>
                <w:rFonts w:ascii="Times New Roman" w:hAnsi="Times New Roman"/>
                <w:sz w:val="24"/>
              </w:rPr>
              <w:t xml:space="preserve">Le esposizioni verso amministrazioni pubbliche che sono organismi del settore pubblico. Queste esposizioni sono assegnate alla classe di esposizioni verso </w:t>
            </w:r>
            <w:r w:rsidR="0009277C" w:rsidRPr="00D51A68">
              <w:rPr>
                <w:rFonts w:ascii="Times New Roman" w:hAnsi="Times New Roman"/>
                <w:sz w:val="24"/>
              </w:rPr>
              <w:t>“</w:t>
            </w:r>
            <w:r w:rsidRPr="00D51A68">
              <w:rPr>
                <w:rFonts w:ascii="Times New Roman" w:hAnsi="Times New Roman"/>
                <w:sz w:val="24"/>
              </w:rPr>
              <w:t>organismi del settore pubblico</w:t>
            </w:r>
            <w:r w:rsidR="0009277C" w:rsidRPr="00D51A68">
              <w:rPr>
                <w:rFonts w:ascii="Times New Roman" w:hAnsi="Times New Roman"/>
                <w:sz w:val="24"/>
              </w:rPr>
              <w:t>”</w:t>
            </w:r>
            <w:r w:rsidRPr="00D51A68">
              <w:rPr>
                <w:rFonts w:ascii="Times New Roman" w:hAnsi="Times New Roman"/>
                <w:sz w:val="24"/>
              </w:rPr>
              <w:t xml:space="preserve"> conformemente agli articoli 112 e 116 del CRR, come specificato nelle istruzioni per il modello C 07.00, ad eccezione delle specifiche per quanto riguarda la redistribuzione delle esposizioni verso amministrazioni pubbliche ad altre classi di esposizioni a seguito dell</w:t>
            </w:r>
            <w:r w:rsidR="0009277C" w:rsidRPr="00D51A68">
              <w:rPr>
                <w:rFonts w:ascii="Times New Roman" w:hAnsi="Times New Roman"/>
                <w:sz w:val="24"/>
              </w:rPr>
              <w:t>’</w:t>
            </w:r>
            <w:r w:rsidRPr="00D51A68">
              <w:rPr>
                <w:rFonts w:ascii="Times New Roman" w:hAnsi="Times New Roman"/>
                <w:sz w:val="24"/>
              </w:rPr>
              <w:t>applicazione di tecniche di attenuazione del rischio di credito con effetti di sostituzione sull</w:t>
            </w:r>
            <w:r w:rsidR="0009277C" w:rsidRPr="00D51A68">
              <w:rPr>
                <w:rFonts w:ascii="Times New Roman" w:hAnsi="Times New Roman"/>
                <w:sz w:val="24"/>
              </w:rPr>
              <w:t>’</w:t>
            </w:r>
            <w:r w:rsidRPr="00D51A68">
              <w:rPr>
                <w:rFonts w:ascii="Times New Roman" w:hAnsi="Times New Roman"/>
                <w:sz w:val="24"/>
              </w:rPr>
              <w:t>esposizione, che non si applicano.</w:t>
            </w:r>
          </w:p>
          <w:p w:rsidR="00FD54FC" w:rsidRPr="00D51A68" w:rsidRDefault="00FD54FC" w:rsidP="00FD54FC">
            <w:pPr>
              <w:spacing w:before="0" w:after="0"/>
              <w:ind w:left="33"/>
              <w:rPr>
                <w:rFonts w:ascii="Times New Roman" w:hAnsi="Times New Roman"/>
                <w:bCs/>
                <w:sz w:val="24"/>
              </w:rPr>
            </w:pPr>
          </w:p>
        </w:tc>
      </w:tr>
      <w:tr w:rsidR="00FD54FC" w:rsidRPr="00D51A68" w:rsidTr="00672D2A">
        <w:tc>
          <w:tcPr>
            <w:tcW w:w="1188" w:type="dxa"/>
          </w:tcPr>
          <w:p w:rsidR="00FD54FC" w:rsidRPr="00D51A68" w:rsidRDefault="00FD54FC" w:rsidP="00FD54FC">
            <w:pPr>
              <w:spacing w:before="0" w:after="0"/>
              <w:ind w:left="33"/>
              <w:rPr>
                <w:rFonts w:ascii="Times New Roman" w:hAnsi="Times New Roman"/>
                <w:bCs/>
                <w:sz w:val="24"/>
              </w:rPr>
            </w:pPr>
            <w:r w:rsidRPr="00D51A68">
              <w:rPr>
                <w:rFonts w:ascii="Times New Roman" w:hAnsi="Times New Roman"/>
                <w:sz w:val="24"/>
              </w:rPr>
              <w:t>070</w:t>
            </w:r>
          </w:p>
        </w:tc>
        <w:tc>
          <w:tcPr>
            <w:tcW w:w="8701" w:type="dxa"/>
          </w:tcPr>
          <w:p w:rsidR="00FD54FC" w:rsidRPr="00D51A68" w:rsidRDefault="00FD54FC" w:rsidP="00FD54FC">
            <w:pPr>
              <w:spacing w:before="0" w:after="0"/>
              <w:ind w:left="33"/>
              <w:rPr>
                <w:rFonts w:ascii="Times New Roman" w:hAnsi="Times New Roman"/>
                <w:b/>
                <w:bCs/>
                <w:sz w:val="24"/>
                <w:u w:val="single"/>
              </w:rPr>
            </w:pPr>
            <w:r w:rsidRPr="00D51A68">
              <w:rPr>
                <w:rFonts w:ascii="Times New Roman" w:hAnsi="Times New Roman"/>
                <w:b/>
                <w:sz w:val="24"/>
                <w:u w:val="single"/>
              </w:rPr>
              <w:t>Organizzazioni internazionali</w:t>
            </w:r>
          </w:p>
          <w:p w:rsidR="00FD54FC" w:rsidRPr="00D51A68" w:rsidRDefault="00FD54FC" w:rsidP="00FD54FC">
            <w:pPr>
              <w:spacing w:before="0" w:after="0"/>
              <w:ind w:left="33"/>
              <w:rPr>
                <w:rFonts w:ascii="Times New Roman" w:hAnsi="Times New Roman"/>
                <w:bCs/>
                <w:sz w:val="24"/>
              </w:rPr>
            </w:pPr>
          </w:p>
          <w:p w:rsidR="00FD54FC" w:rsidRPr="00D51A68" w:rsidRDefault="00530BA1" w:rsidP="00FD54FC">
            <w:pPr>
              <w:spacing w:before="0" w:after="0"/>
              <w:ind w:left="33"/>
              <w:rPr>
                <w:rFonts w:ascii="Times New Roman" w:hAnsi="Times New Roman"/>
                <w:bCs/>
                <w:sz w:val="24"/>
              </w:rPr>
            </w:pPr>
            <w:r w:rsidRPr="00D51A68">
              <w:rPr>
                <w:rFonts w:ascii="Times New Roman" w:hAnsi="Times New Roman"/>
                <w:sz w:val="24"/>
              </w:rPr>
              <w:t xml:space="preserve">Le esposizioni verso amministrazioni pubbliche che sono organizzazioni internazionali. Queste esposizioni sono assegnate alle classi di esposizioni verso </w:t>
            </w:r>
            <w:r w:rsidR="0009277C" w:rsidRPr="00D51A68">
              <w:rPr>
                <w:rFonts w:ascii="Times New Roman" w:hAnsi="Times New Roman"/>
                <w:sz w:val="24"/>
              </w:rPr>
              <w:t>“</w:t>
            </w:r>
            <w:r w:rsidRPr="00D51A68">
              <w:rPr>
                <w:rFonts w:ascii="Times New Roman" w:hAnsi="Times New Roman"/>
                <w:sz w:val="24"/>
              </w:rPr>
              <w:t>organizzazioni internazionali</w:t>
            </w:r>
            <w:r w:rsidR="0009277C" w:rsidRPr="00D51A68">
              <w:rPr>
                <w:rFonts w:ascii="Times New Roman" w:hAnsi="Times New Roman"/>
                <w:sz w:val="24"/>
              </w:rPr>
              <w:t>”</w:t>
            </w:r>
            <w:r w:rsidRPr="00D51A68">
              <w:rPr>
                <w:rFonts w:ascii="Times New Roman" w:hAnsi="Times New Roman"/>
                <w:sz w:val="24"/>
              </w:rPr>
              <w:t xml:space="preserve"> conformemente agli articoli 112 e 118 del CRR, come specificato nelle istruzioni per il modello C 07.00, ad eccezione delle specifiche per quanto riguarda la redistribuzione delle esposizioni verso amministrazioni pubbliche ad altre classi di esposizioni a seguito dell</w:t>
            </w:r>
            <w:r w:rsidR="0009277C" w:rsidRPr="00D51A68">
              <w:rPr>
                <w:rFonts w:ascii="Times New Roman" w:hAnsi="Times New Roman"/>
                <w:sz w:val="24"/>
              </w:rPr>
              <w:t>’</w:t>
            </w:r>
            <w:r w:rsidRPr="00D51A68">
              <w:rPr>
                <w:rFonts w:ascii="Times New Roman" w:hAnsi="Times New Roman"/>
                <w:sz w:val="24"/>
              </w:rPr>
              <w:t>applicazione di tecniche di attenuazione del rischio di credito con effetti di sostituzione sull</w:t>
            </w:r>
            <w:r w:rsidR="0009277C" w:rsidRPr="00D51A68">
              <w:rPr>
                <w:rFonts w:ascii="Times New Roman" w:hAnsi="Times New Roman"/>
                <w:sz w:val="24"/>
              </w:rPr>
              <w:t>’</w:t>
            </w:r>
            <w:r w:rsidRPr="00D51A68">
              <w:rPr>
                <w:rFonts w:ascii="Times New Roman" w:hAnsi="Times New Roman"/>
                <w:sz w:val="24"/>
              </w:rPr>
              <w:t>esposizione, che non si applicano.</w:t>
            </w:r>
          </w:p>
          <w:p w:rsidR="00FD54FC" w:rsidRPr="00D51A68" w:rsidRDefault="00FD54FC" w:rsidP="00FD54FC">
            <w:pPr>
              <w:spacing w:before="0" w:after="0"/>
              <w:ind w:left="33"/>
              <w:rPr>
                <w:rFonts w:ascii="Times New Roman" w:hAnsi="Times New Roman"/>
                <w:b/>
                <w:bCs/>
                <w:sz w:val="24"/>
                <w:u w:val="single"/>
              </w:rPr>
            </w:pPr>
          </w:p>
        </w:tc>
      </w:tr>
      <w:tr w:rsidR="00CE47AF" w:rsidRPr="00D51A68" w:rsidTr="00672D2A">
        <w:tc>
          <w:tcPr>
            <w:tcW w:w="1188" w:type="dxa"/>
          </w:tcPr>
          <w:p w:rsidR="00CE47AF" w:rsidRPr="00D51A68" w:rsidRDefault="00CE47AF" w:rsidP="00FD54FC">
            <w:pPr>
              <w:spacing w:before="0" w:after="0"/>
              <w:ind w:left="33"/>
              <w:rPr>
                <w:rFonts w:ascii="Times New Roman" w:hAnsi="Times New Roman"/>
                <w:bCs/>
                <w:sz w:val="24"/>
              </w:rPr>
            </w:pPr>
            <w:r w:rsidRPr="00D51A68">
              <w:rPr>
                <w:rFonts w:ascii="Times New Roman" w:hAnsi="Times New Roman"/>
                <w:sz w:val="24"/>
              </w:rPr>
              <w:t>075</w:t>
            </w:r>
          </w:p>
        </w:tc>
        <w:tc>
          <w:tcPr>
            <w:tcW w:w="8701" w:type="dxa"/>
          </w:tcPr>
          <w:p w:rsidR="00CE47AF" w:rsidRPr="00D51A68" w:rsidRDefault="00CE47AF" w:rsidP="00FD54FC">
            <w:pPr>
              <w:spacing w:before="0" w:after="0"/>
              <w:ind w:left="33"/>
              <w:rPr>
                <w:rFonts w:ascii="Times New Roman" w:hAnsi="Times New Roman"/>
                <w:b/>
                <w:bCs/>
                <w:sz w:val="24"/>
                <w:u w:val="single"/>
              </w:rPr>
            </w:pPr>
            <w:r w:rsidRPr="00D51A68">
              <w:rPr>
                <w:rFonts w:ascii="Times New Roman" w:hAnsi="Times New Roman"/>
                <w:b/>
                <w:sz w:val="24"/>
                <w:u w:val="single"/>
              </w:rPr>
              <w:t>Altre esposizioni verso amministrazioni pubbliche soggette al metodo standardizzato (SA)</w:t>
            </w:r>
          </w:p>
          <w:p w:rsidR="00CE47AF" w:rsidRPr="00D51A68" w:rsidRDefault="00CE47AF" w:rsidP="00CE47AF">
            <w:pPr>
              <w:spacing w:before="0" w:after="0"/>
              <w:ind w:left="33"/>
              <w:rPr>
                <w:rFonts w:ascii="Times New Roman" w:hAnsi="Times New Roman"/>
                <w:bCs/>
                <w:sz w:val="24"/>
              </w:rPr>
            </w:pPr>
          </w:p>
          <w:p w:rsidR="00CE47AF" w:rsidRPr="00D51A68" w:rsidRDefault="00530BA1" w:rsidP="00FD54FC">
            <w:pPr>
              <w:spacing w:before="0" w:after="0"/>
              <w:ind w:left="33"/>
              <w:rPr>
                <w:rFonts w:ascii="Times New Roman" w:hAnsi="Times New Roman"/>
                <w:bCs/>
                <w:sz w:val="24"/>
              </w:rPr>
            </w:pPr>
            <w:r w:rsidRPr="00D51A68">
              <w:rPr>
                <w:rFonts w:ascii="Times New Roman" w:hAnsi="Times New Roman"/>
                <w:sz w:val="24"/>
              </w:rPr>
              <w:t>Le esposizioni verso amministrazioni pubbliche, diverse da quel</w:t>
            </w:r>
            <w:r w:rsidR="0011279C" w:rsidRPr="00D51A68">
              <w:rPr>
                <w:rFonts w:ascii="Times New Roman" w:hAnsi="Times New Roman"/>
                <w:sz w:val="24"/>
              </w:rPr>
              <w:t>le incluse nelle righe da </w:t>
            </w:r>
            <w:r w:rsidRPr="00D51A68">
              <w:rPr>
                <w:rFonts w:ascii="Times New Roman" w:hAnsi="Times New Roman"/>
                <w:sz w:val="24"/>
              </w:rPr>
              <w:t>040 a 070 di cui sopra, che sono classificate nelle classi di esposizioni SA a norma dell</w:t>
            </w:r>
            <w:r w:rsidR="0009277C" w:rsidRPr="00D51A68">
              <w:rPr>
                <w:rFonts w:ascii="Times New Roman" w:hAnsi="Times New Roman"/>
                <w:sz w:val="24"/>
              </w:rPr>
              <w:t>’</w:t>
            </w:r>
            <w:r w:rsidRPr="00D51A68">
              <w:rPr>
                <w:rFonts w:ascii="Times New Roman" w:hAnsi="Times New Roman"/>
                <w:sz w:val="24"/>
              </w:rPr>
              <w:t>articolo 112 del CRR ai fini del calcolo dei requisiti di fondi propri.</w:t>
            </w:r>
          </w:p>
          <w:p w:rsidR="00530BA1" w:rsidRPr="00D51A68" w:rsidRDefault="00530BA1" w:rsidP="00530BA1">
            <w:pPr>
              <w:spacing w:before="0" w:after="0"/>
              <w:ind w:left="33"/>
              <w:rPr>
                <w:rFonts w:ascii="Times New Roman" w:hAnsi="Times New Roman"/>
                <w:b/>
                <w:bCs/>
                <w:sz w:val="24"/>
                <w:u w:val="single"/>
              </w:rPr>
            </w:pPr>
          </w:p>
        </w:tc>
      </w:tr>
      <w:tr w:rsidR="00FD54FC" w:rsidRPr="00D51A68" w:rsidTr="00672D2A">
        <w:tc>
          <w:tcPr>
            <w:tcW w:w="1188" w:type="dxa"/>
          </w:tcPr>
          <w:p w:rsidR="00FD54FC" w:rsidRPr="00D51A68" w:rsidRDefault="00FD54FC" w:rsidP="00FD54FC">
            <w:pPr>
              <w:spacing w:before="0" w:after="0"/>
              <w:ind w:left="33"/>
              <w:rPr>
                <w:rFonts w:ascii="Times New Roman" w:hAnsi="Times New Roman"/>
                <w:bCs/>
                <w:sz w:val="24"/>
              </w:rPr>
            </w:pPr>
            <w:r w:rsidRPr="00D51A68">
              <w:rPr>
                <w:rFonts w:ascii="Times New Roman" w:hAnsi="Times New Roman"/>
                <w:sz w:val="24"/>
              </w:rPr>
              <w:t>080</w:t>
            </w:r>
          </w:p>
        </w:tc>
        <w:tc>
          <w:tcPr>
            <w:tcW w:w="8701" w:type="dxa"/>
          </w:tcPr>
          <w:p w:rsidR="00FD54FC" w:rsidRPr="00D51A68" w:rsidRDefault="00FD54FC" w:rsidP="00FD54FC">
            <w:pPr>
              <w:spacing w:before="0" w:after="0"/>
              <w:ind w:left="33"/>
              <w:rPr>
                <w:rFonts w:ascii="Times New Roman" w:hAnsi="Times New Roman"/>
                <w:b/>
                <w:bCs/>
                <w:sz w:val="24"/>
                <w:u w:val="single"/>
              </w:rPr>
            </w:pPr>
            <w:r w:rsidRPr="00D51A68">
              <w:rPr>
                <w:rFonts w:ascii="Times New Roman" w:hAnsi="Times New Roman"/>
                <w:b/>
                <w:sz w:val="24"/>
                <w:u w:val="single"/>
              </w:rPr>
              <w:t>Metodo IRB</w:t>
            </w:r>
          </w:p>
          <w:p w:rsidR="00FD54FC" w:rsidRPr="00D51A68" w:rsidRDefault="00FD54FC" w:rsidP="00FD54FC">
            <w:pPr>
              <w:spacing w:before="0" w:after="0"/>
              <w:ind w:left="33"/>
              <w:rPr>
                <w:rFonts w:ascii="Times New Roman" w:hAnsi="Times New Roman"/>
                <w:bCs/>
                <w:sz w:val="24"/>
              </w:rPr>
            </w:pPr>
          </w:p>
          <w:p w:rsidR="00FD54FC" w:rsidRPr="00D51A68" w:rsidRDefault="00FD54FC" w:rsidP="00FD54FC">
            <w:pPr>
              <w:spacing w:before="0" w:after="0"/>
              <w:ind w:left="33"/>
              <w:rPr>
                <w:rFonts w:ascii="Times New Roman" w:hAnsi="Times New Roman"/>
                <w:bCs/>
                <w:sz w:val="24"/>
              </w:rPr>
            </w:pPr>
            <w:r w:rsidRPr="00D51A68">
              <w:rPr>
                <w:rFonts w:ascii="Times New Roman" w:hAnsi="Times New Roman"/>
                <w:sz w:val="24"/>
              </w:rPr>
              <w:t>Le esposizioni verso amministrazioni pubbliche che sono ponderate per il rischio a norma della parte tre, titolo II, capo 3, del CRR, comprese le esposizioni non comprese nel portafoglio di negoziazione per le quali la ponderazione del rischio conformemente al suddetto capo concerne il rischio di controparte.</w:t>
            </w:r>
          </w:p>
          <w:p w:rsidR="00FD54FC" w:rsidRPr="00D51A68" w:rsidRDefault="00FD54FC" w:rsidP="00FD54FC">
            <w:pPr>
              <w:spacing w:before="0" w:after="0"/>
              <w:ind w:left="33"/>
              <w:rPr>
                <w:rFonts w:ascii="Times New Roman" w:hAnsi="Times New Roman"/>
                <w:bCs/>
                <w:sz w:val="24"/>
              </w:rPr>
            </w:pPr>
          </w:p>
        </w:tc>
      </w:tr>
      <w:tr w:rsidR="00FD54FC" w:rsidRPr="00D51A68" w:rsidTr="00672D2A">
        <w:tc>
          <w:tcPr>
            <w:tcW w:w="1188" w:type="dxa"/>
          </w:tcPr>
          <w:p w:rsidR="00FD54FC" w:rsidRPr="00D51A68" w:rsidRDefault="00FD54FC" w:rsidP="00FD54FC">
            <w:pPr>
              <w:spacing w:before="0" w:after="0"/>
              <w:ind w:left="33"/>
              <w:rPr>
                <w:rFonts w:ascii="Times New Roman" w:hAnsi="Times New Roman"/>
                <w:bCs/>
                <w:sz w:val="24"/>
              </w:rPr>
            </w:pPr>
            <w:r w:rsidRPr="00D51A68">
              <w:rPr>
                <w:rFonts w:ascii="Times New Roman" w:hAnsi="Times New Roman"/>
                <w:sz w:val="24"/>
              </w:rPr>
              <w:t>090</w:t>
            </w:r>
          </w:p>
        </w:tc>
        <w:tc>
          <w:tcPr>
            <w:tcW w:w="8701" w:type="dxa"/>
          </w:tcPr>
          <w:p w:rsidR="00FD54FC" w:rsidRPr="00D51A68" w:rsidRDefault="00FD54FC" w:rsidP="00FD54FC">
            <w:pPr>
              <w:spacing w:before="0" w:after="0"/>
              <w:ind w:left="33"/>
              <w:rPr>
                <w:rFonts w:ascii="Times New Roman" w:hAnsi="Times New Roman"/>
                <w:b/>
                <w:bCs/>
                <w:sz w:val="24"/>
                <w:u w:val="single"/>
              </w:rPr>
            </w:pPr>
            <w:r w:rsidRPr="00D51A68">
              <w:rPr>
                <w:rFonts w:ascii="Times New Roman" w:hAnsi="Times New Roman"/>
                <w:b/>
                <w:sz w:val="24"/>
                <w:u w:val="single"/>
              </w:rPr>
              <w:t>Amministrazioni centrali</w:t>
            </w:r>
          </w:p>
          <w:p w:rsidR="00FD54FC" w:rsidRPr="00D51A68" w:rsidRDefault="00FD54FC" w:rsidP="00FD54FC">
            <w:pPr>
              <w:spacing w:before="0" w:after="0"/>
              <w:ind w:left="33"/>
              <w:rPr>
                <w:rFonts w:ascii="Times New Roman" w:hAnsi="Times New Roman"/>
                <w:bCs/>
                <w:sz w:val="24"/>
              </w:rPr>
            </w:pPr>
          </w:p>
          <w:p w:rsidR="00FD54FC" w:rsidRPr="00D51A68" w:rsidRDefault="00FD54FC" w:rsidP="00FD54FC">
            <w:pPr>
              <w:spacing w:before="0" w:after="0"/>
              <w:ind w:left="33"/>
              <w:rPr>
                <w:rFonts w:ascii="Times New Roman" w:hAnsi="Times New Roman"/>
                <w:bCs/>
                <w:sz w:val="24"/>
              </w:rPr>
            </w:pPr>
            <w:r w:rsidRPr="00D51A68">
              <w:rPr>
                <w:rFonts w:ascii="Times New Roman" w:hAnsi="Times New Roman"/>
                <w:sz w:val="24"/>
              </w:rPr>
              <w:t xml:space="preserve">Le esposizioni verso amministrazioni pubbliche che sono amministrazioni centrali e che sono assegnate alla classe di esposizioni verso </w:t>
            </w:r>
            <w:r w:rsidR="0009277C" w:rsidRPr="00D51A68">
              <w:rPr>
                <w:rFonts w:ascii="Times New Roman" w:hAnsi="Times New Roman"/>
                <w:sz w:val="24"/>
              </w:rPr>
              <w:t>“</w:t>
            </w:r>
            <w:r w:rsidRPr="00D51A68">
              <w:rPr>
                <w:rFonts w:ascii="Times New Roman" w:hAnsi="Times New Roman"/>
                <w:sz w:val="24"/>
              </w:rPr>
              <w:t>amministrazioni centrali e banche centrali</w:t>
            </w:r>
            <w:r w:rsidR="0009277C" w:rsidRPr="00D51A68">
              <w:rPr>
                <w:rFonts w:ascii="Times New Roman" w:hAnsi="Times New Roman"/>
                <w:sz w:val="24"/>
              </w:rPr>
              <w:t>”</w:t>
            </w:r>
            <w:r w:rsidRPr="00D51A68">
              <w:rPr>
                <w:rFonts w:ascii="Times New Roman" w:hAnsi="Times New Roman"/>
                <w:sz w:val="24"/>
              </w:rPr>
              <w:t xml:space="preserve"> conformemente all</w:t>
            </w:r>
            <w:r w:rsidR="0009277C" w:rsidRPr="00D51A68">
              <w:rPr>
                <w:rFonts w:ascii="Times New Roman" w:hAnsi="Times New Roman"/>
                <w:sz w:val="24"/>
              </w:rPr>
              <w:t>’</w:t>
            </w:r>
            <w:r w:rsidRPr="00D51A68">
              <w:rPr>
                <w:rFonts w:ascii="Times New Roman" w:hAnsi="Times New Roman"/>
                <w:sz w:val="24"/>
              </w:rPr>
              <w:t>articolo 147, paragrafo 3, lettera a), del CRR, come specificato nelle istruzioni per i modelli C 08.01 e C 08.02, ad eccezione delle specifiche per quanto riguarda la redistribuzione delle esposizioni verso amministrazioni pubbliche ad altre classi di esposizioni a seguito dell</w:t>
            </w:r>
            <w:r w:rsidR="0009277C" w:rsidRPr="00D51A68">
              <w:rPr>
                <w:rFonts w:ascii="Times New Roman" w:hAnsi="Times New Roman"/>
                <w:sz w:val="24"/>
              </w:rPr>
              <w:t>’</w:t>
            </w:r>
            <w:r w:rsidRPr="00D51A68">
              <w:rPr>
                <w:rFonts w:ascii="Times New Roman" w:hAnsi="Times New Roman"/>
                <w:sz w:val="24"/>
              </w:rPr>
              <w:t>applicazione di tecniche di attenuazione del rischio di credito con effetti di sostituzione sull</w:t>
            </w:r>
            <w:r w:rsidR="0009277C" w:rsidRPr="00D51A68">
              <w:rPr>
                <w:rFonts w:ascii="Times New Roman" w:hAnsi="Times New Roman"/>
                <w:sz w:val="24"/>
              </w:rPr>
              <w:t>’</w:t>
            </w:r>
            <w:r w:rsidRPr="00D51A68">
              <w:rPr>
                <w:rFonts w:ascii="Times New Roman" w:hAnsi="Times New Roman"/>
                <w:sz w:val="24"/>
              </w:rPr>
              <w:t>esposizione, che non si applicano.</w:t>
            </w:r>
          </w:p>
          <w:p w:rsidR="00FD54FC" w:rsidRPr="00D51A68" w:rsidRDefault="00FD54FC" w:rsidP="00FD54FC">
            <w:pPr>
              <w:spacing w:before="0" w:after="0"/>
              <w:ind w:left="33"/>
              <w:rPr>
                <w:rFonts w:ascii="Times New Roman" w:hAnsi="Times New Roman"/>
                <w:bCs/>
                <w:sz w:val="24"/>
              </w:rPr>
            </w:pPr>
          </w:p>
        </w:tc>
      </w:tr>
      <w:tr w:rsidR="00FD54FC" w:rsidRPr="00D51A68" w:rsidTr="00672D2A">
        <w:tc>
          <w:tcPr>
            <w:tcW w:w="1188" w:type="dxa"/>
          </w:tcPr>
          <w:p w:rsidR="00FD54FC" w:rsidRPr="00D51A68" w:rsidRDefault="00FD54FC" w:rsidP="00FD54FC">
            <w:pPr>
              <w:spacing w:before="0" w:after="0"/>
              <w:ind w:left="33"/>
              <w:rPr>
                <w:rFonts w:ascii="Times New Roman" w:hAnsi="Times New Roman"/>
                <w:bCs/>
                <w:sz w:val="24"/>
              </w:rPr>
            </w:pPr>
            <w:r w:rsidRPr="00D51A68">
              <w:rPr>
                <w:rFonts w:ascii="Times New Roman" w:hAnsi="Times New Roman"/>
                <w:sz w:val="24"/>
              </w:rPr>
              <w:t>100</w:t>
            </w:r>
          </w:p>
        </w:tc>
        <w:tc>
          <w:tcPr>
            <w:tcW w:w="8701" w:type="dxa"/>
          </w:tcPr>
          <w:p w:rsidR="00FD54FC" w:rsidRPr="00D51A68" w:rsidRDefault="00FD54FC" w:rsidP="00FD54FC">
            <w:pPr>
              <w:spacing w:before="0" w:after="0"/>
              <w:ind w:left="33"/>
              <w:rPr>
                <w:rFonts w:ascii="Times New Roman" w:hAnsi="Times New Roman"/>
                <w:b/>
                <w:bCs/>
                <w:sz w:val="24"/>
                <w:u w:val="single"/>
              </w:rPr>
            </w:pPr>
            <w:r w:rsidRPr="00D51A68">
              <w:rPr>
                <w:rFonts w:ascii="Times New Roman" w:hAnsi="Times New Roman"/>
                <w:b/>
                <w:sz w:val="24"/>
                <w:u w:val="single"/>
              </w:rPr>
              <w:t>Amministrazioni regionali o autorità locali [amministrazioni centrali e banche centrali]</w:t>
            </w:r>
          </w:p>
          <w:p w:rsidR="00FD54FC" w:rsidRPr="00D51A68" w:rsidRDefault="00FD54FC" w:rsidP="00FD54FC">
            <w:pPr>
              <w:spacing w:before="0" w:after="0"/>
              <w:ind w:left="33"/>
              <w:rPr>
                <w:rFonts w:ascii="Times New Roman" w:hAnsi="Times New Roman"/>
                <w:bCs/>
                <w:sz w:val="24"/>
              </w:rPr>
            </w:pPr>
          </w:p>
          <w:p w:rsidR="00FD54FC" w:rsidRPr="00D51A68" w:rsidRDefault="00FD54FC" w:rsidP="00FD54FC">
            <w:pPr>
              <w:spacing w:before="0" w:after="0"/>
              <w:ind w:left="33"/>
              <w:rPr>
                <w:rFonts w:ascii="Times New Roman" w:hAnsi="Times New Roman"/>
                <w:bCs/>
                <w:sz w:val="24"/>
              </w:rPr>
            </w:pPr>
            <w:r w:rsidRPr="00D51A68">
              <w:rPr>
                <w:rFonts w:ascii="Times New Roman" w:hAnsi="Times New Roman"/>
                <w:sz w:val="24"/>
              </w:rPr>
              <w:t xml:space="preserve">Le esposizioni verso amministrazioni pubbliche che sono amministrazioni regionali o autorità locali e che sono assegnate alla classe di esposizioni verso </w:t>
            </w:r>
            <w:r w:rsidR="0009277C" w:rsidRPr="00D51A68">
              <w:rPr>
                <w:rFonts w:ascii="Times New Roman" w:hAnsi="Times New Roman"/>
                <w:sz w:val="24"/>
              </w:rPr>
              <w:t>“</w:t>
            </w:r>
            <w:r w:rsidRPr="00D51A68">
              <w:rPr>
                <w:rFonts w:ascii="Times New Roman" w:hAnsi="Times New Roman"/>
                <w:sz w:val="24"/>
              </w:rPr>
              <w:t>amministrazioni centrali e banche centrali</w:t>
            </w:r>
            <w:r w:rsidR="0009277C" w:rsidRPr="00D51A68">
              <w:rPr>
                <w:rFonts w:ascii="Times New Roman" w:hAnsi="Times New Roman"/>
                <w:sz w:val="24"/>
              </w:rPr>
              <w:t>”</w:t>
            </w:r>
            <w:r w:rsidRPr="00D51A68">
              <w:rPr>
                <w:rFonts w:ascii="Times New Roman" w:hAnsi="Times New Roman"/>
                <w:sz w:val="24"/>
              </w:rPr>
              <w:t xml:space="preserve"> conformemente all</w:t>
            </w:r>
            <w:r w:rsidR="0009277C" w:rsidRPr="00D51A68">
              <w:rPr>
                <w:rFonts w:ascii="Times New Roman" w:hAnsi="Times New Roman"/>
                <w:sz w:val="24"/>
              </w:rPr>
              <w:t>’</w:t>
            </w:r>
            <w:r w:rsidRPr="00D51A68">
              <w:rPr>
                <w:rFonts w:ascii="Times New Roman" w:hAnsi="Times New Roman"/>
                <w:sz w:val="24"/>
              </w:rPr>
              <w:t>articolo 147, paragrafo 3, lettera a), del CRR, come specificato nelle istruzioni per i modelli C 08.01 e C 08.02, ad eccezione delle specifiche per quanto riguarda la redistribuzione delle esposizioni verso amministrazioni pubbliche ad altre classi di esposizioni a seguito dell</w:t>
            </w:r>
            <w:r w:rsidR="0009277C" w:rsidRPr="00D51A68">
              <w:rPr>
                <w:rFonts w:ascii="Times New Roman" w:hAnsi="Times New Roman"/>
                <w:sz w:val="24"/>
              </w:rPr>
              <w:t>’</w:t>
            </w:r>
            <w:r w:rsidRPr="00D51A68">
              <w:rPr>
                <w:rFonts w:ascii="Times New Roman" w:hAnsi="Times New Roman"/>
                <w:sz w:val="24"/>
              </w:rPr>
              <w:t>applicazione di tecniche di attenuazione del rischio di credito con effetti di sostituzione sull</w:t>
            </w:r>
            <w:r w:rsidR="0009277C" w:rsidRPr="00D51A68">
              <w:rPr>
                <w:rFonts w:ascii="Times New Roman" w:hAnsi="Times New Roman"/>
                <w:sz w:val="24"/>
              </w:rPr>
              <w:t>’</w:t>
            </w:r>
            <w:r w:rsidRPr="00D51A68">
              <w:rPr>
                <w:rFonts w:ascii="Times New Roman" w:hAnsi="Times New Roman"/>
                <w:sz w:val="24"/>
              </w:rPr>
              <w:t>esposizione, che non si applicano.</w:t>
            </w:r>
          </w:p>
          <w:p w:rsidR="00FD54FC" w:rsidRPr="00D51A68" w:rsidRDefault="00FD54FC" w:rsidP="00FD54FC">
            <w:pPr>
              <w:spacing w:before="0" w:after="0"/>
              <w:ind w:left="33"/>
              <w:rPr>
                <w:rFonts w:ascii="Times New Roman" w:hAnsi="Times New Roman"/>
                <w:bCs/>
                <w:sz w:val="24"/>
              </w:rPr>
            </w:pPr>
          </w:p>
        </w:tc>
      </w:tr>
      <w:tr w:rsidR="00FD54FC" w:rsidRPr="00D51A68" w:rsidTr="00672D2A">
        <w:tc>
          <w:tcPr>
            <w:tcW w:w="1188" w:type="dxa"/>
          </w:tcPr>
          <w:p w:rsidR="00FD54FC" w:rsidRPr="00D51A68" w:rsidRDefault="00FD54FC" w:rsidP="00FD54FC">
            <w:pPr>
              <w:spacing w:before="0" w:after="0"/>
              <w:ind w:left="33"/>
              <w:rPr>
                <w:rFonts w:ascii="Times New Roman" w:hAnsi="Times New Roman"/>
                <w:bCs/>
                <w:sz w:val="24"/>
              </w:rPr>
            </w:pPr>
            <w:r w:rsidRPr="00D51A68">
              <w:rPr>
                <w:rFonts w:ascii="Times New Roman" w:hAnsi="Times New Roman"/>
                <w:sz w:val="24"/>
              </w:rPr>
              <w:t>110</w:t>
            </w:r>
          </w:p>
        </w:tc>
        <w:tc>
          <w:tcPr>
            <w:tcW w:w="8701" w:type="dxa"/>
          </w:tcPr>
          <w:p w:rsidR="00FD54FC" w:rsidRPr="00D51A68" w:rsidRDefault="00FD54FC" w:rsidP="00FD54FC">
            <w:pPr>
              <w:spacing w:before="0" w:after="0"/>
              <w:ind w:left="33"/>
              <w:rPr>
                <w:rFonts w:ascii="Times New Roman" w:hAnsi="Times New Roman"/>
                <w:b/>
                <w:bCs/>
                <w:sz w:val="24"/>
                <w:u w:val="single"/>
              </w:rPr>
            </w:pPr>
            <w:r w:rsidRPr="00D51A68">
              <w:rPr>
                <w:rFonts w:ascii="Times New Roman" w:hAnsi="Times New Roman"/>
                <w:b/>
                <w:sz w:val="24"/>
                <w:u w:val="single"/>
              </w:rPr>
              <w:t>Amministrazioni regionali o autorità locali [Enti]</w:t>
            </w:r>
          </w:p>
          <w:p w:rsidR="00FD54FC" w:rsidRPr="00D51A68" w:rsidRDefault="00FD54FC" w:rsidP="00FD54FC">
            <w:pPr>
              <w:spacing w:before="0" w:after="0"/>
              <w:ind w:left="33"/>
              <w:rPr>
                <w:rFonts w:ascii="Times New Roman" w:hAnsi="Times New Roman"/>
                <w:bCs/>
                <w:sz w:val="24"/>
              </w:rPr>
            </w:pPr>
          </w:p>
          <w:p w:rsidR="00FD54FC" w:rsidRPr="00D51A68" w:rsidRDefault="00FD54FC" w:rsidP="00FD54FC">
            <w:pPr>
              <w:spacing w:before="0" w:after="0"/>
              <w:ind w:left="33"/>
              <w:rPr>
                <w:rFonts w:ascii="Times New Roman" w:hAnsi="Times New Roman"/>
                <w:bCs/>
                <w:sz w:val="24"/>
              </w:rPr>
            </w:pPr>
            <w:r w:rsidRPr="00D51A68">
              <w:rPr>
                <w:rFonts w:ascii="Times New Roman" w:hAnsi="Times New Roman"/>
                <w:sz w:val="24"/>
              </w:rPr>
              <w:t xml:space="preserve">Le esposizioni verso amministrazioni pubbliche che sono amministrazioni regionali o autorità locali e che sono assegnate alla classe di esposizioni verso </w:t>
            </w:r>
            <w:r w:rsidR="0009277C" w:rsidRPr="00D51A68">
              <w:rPr>
                <w:rFonts w:ascii="Times New Roman" w:hAnsi="Times New Roman"/>
                <w:sz w:val="24"/>
              </w:rPr>
              <w:t>“</w:t>
            </w:r>
            <w:r w:rsidRPr="00D51A68">
              <w:rPr>
                <w:rFonts w:ascii="Times New Roman" w:hAnsi="Times New Roman"/>
                <w:sz w:val="24"/>
              </w:rPr>
              <w:t>enti</w:t>
            </w:r>
            <w:r w:rsidR="0009277C" w:rsidRPr="00D51A68">
              <w:rPr>
                <w:rFonts w:ascii="Times New Roman" w:hAnsi="Times New Roman"/>
                <w:sz w:val="24"/>
              </w:rPr>
              <w:t>”</w:t>
            </w:r>
            <w:r w:rsidRPr="00D51A68">
              <w:rPr>
                <w:rFonts w:ascii="Times New Roman" w:hAnsi="Times New Roman"/>
                <w:sz w:val="24"/>
              </w:rPr>
              <w:t xml:space="preserve"> conformemente all</w:t>
            </w:r>
            <w:r w:rsidR="0009277C" w:rsidRPr="00D51A68">
              <w:rPr>
                <w:rFonts w:ascii="Times New Roman" w:hAnsi="Times New Roman"/>
                <w:sz w:val="24"/>
              </w:rPr>
              <w:t>’</w:t>
            </w:r>
            <w:r w:rsidRPr="00D51A68">
              <w:rPr>
                <w:rFonts w:ascii="Times New Roman" w:hAnsi="Times New Roman"/>
                <w:sz w:val="24"/>
              </w:rPr>
              <w:t>articolo 147, paragrafo 4, lettera a), del CRR, come specificato nelle istruzioni per i modelli C 08.01 e C 08.02, ad eccezione delle specifiche per quanto riguarda la redistribuzione delle esposizioni verso amministrazioni pubbliche ad altre classi di esposizioni a seguito dell</w:t>
            </w:r>
            <w:r w:rsidR="0009277C" w:rsidRPr="00D51A68">
              <w:rPr>
                <w:rFonts w:ascii="Times New Roman" w:hAnsi="Times New Roman"/>
                <w:sz w:val="24"/>
              </w:rPr>
              <w:t>’</w:t>
            </w:r>
            <w:r w:rsidRPr="00D51A68">
              <w:rPr>
                <w:rFonts w:ascii="Times New Roman" w:hAnsi="Times New Roman"/>
                <w:sz w:val="24"/>
              </w:rPr>
              <w:t>applicazione di tecniche di attenuazione del rischio di credito con effetti di sostituzione sull</w:t>
            </w:r>
            <w:r w:rsidR="0009277C" w:rsidRPr="00D51A68">
              <w:rPr>
                <w:rFonts w:ascii="Times New Roman" w:hAnsi="Times New Roman"/>
                <w:sz w:val="24"/>
              </w:rPr>
              <w:t>’</w:t>
            </w:r>
            <w:r w:rsidRPr="00D51A68">
              <w:rPr>
                <w:rFonts w:ascii="Times New Roman" w:hAnsi="Times New Roman"/>
                <w:sz w:val="24"/>
              </w:rPr>
              <w:t>esposizione, che non si applicano.</w:t>
            </w:r>
          </w:p>
          <w:p w:rsidR="00FD54FC" w:rsidRPr="00D51A68" w:rsidRDefault="00FD54FC" w:rsidP="00FD54FC">
            <w:pPr>
              <w:spacing w:before="0" w:after="0"/>
              <w:ind w:left="33"/>
              <w:rPr>
                <w:rFonts w:ascii="Times New Roman" w:hAnsi="Times New Roman"/>
                <w:bCs/>
                <w:sz w:val="24"/>
              </w:rPr>
            </w:pPr>
          </w:p>
        </w:tc>
      </w:tr>
      <w:tr w:rsidR="00FD54FC" w:rsidRPr="00D51A68" w:rsidTr="00672D2A">
        <w:tc>
          <w:tcPr>
            <w:tcW w:w="1188" w:type="dxa"/>
          </w:tcPr>
          <w:p w:rsidR="00FD54FC" w:rsidRPr="00D51A68" w:rsidRDefault="00FD54FC" w:rsidP="00FD54FC">
            <w:pPr>
              <w:spacing w:before="0" w:after="0"/>
              <w:ind w:left="33"/>
              <w:rPr>
                <w:rFonts w:ascii="Times New Roman" w:hAnsi="Times New Roman"/>
                <w:bCs/>
                <w:sz w:val="24"/>
              </w:rPr>
            </w:pPr>
            <w:r w:rsidRPr="00D51A68">
              <w:rPr>
                <w:rFonts w:ascii="Times New Roman" w:hAnsi="Times New Roman"/>
                <w:sz w:val="24"/>
              </w:rPr>
              <w:t>120</w:t>
            </w:r>
          </w:p>
        </w:tc>
        <w:tc>
          <w:tcPr>
            <w:tcW w:w="8701" w:type="dxa"/>
          </w:tcPr>
          <w:p w:rsidR="00FD54FC" w:rsidRPr="00D51A68" w:rsidRDefault="00FD54FC" w:rsidP="00FD54FC">
            <w:pPr>
              <w:spacing w:before="0" w:after="0"/>
              <w:ind w:left="33"/>
              <w:rPr>
                <w:rFonts w:ascii="Times New Roman" w:hAnsi="Times New Roman"/>
                <w:b/>
                <w:bCs/>
                <w:sz w:val="24"/>
                <w:u w:val="single"/>
              </w:rPr>
            </w:pPr>
            <w:r w:rsidRPr="00D51A68">
              <w:rPr>
                <w:rFonts w:ascii="Times New Roman" w:hAnsi="Times New Roman"/>
                <w:b/>
                <w:sz w:val="24"/>
                <w:u w:val="single"/>
              </w:rPr>
              <w:t>Organismi del settore pubblico [amministrazioni centrali e banche centrali]</w:t>
            </w:r>
          </w:p>
          <w:p w:rsidR="00FD54FC" w:rsidRPr="00D51A68" w:rsidRDefault="00FD54FC" w:rsidP="00FD54FC">
            <w:pPr>
              <w:spacing w:before="0" w:after="0"/>
              <w:ind w:left="33"/>
              <w:rPr>
                <w:rFonts w:ascii="Times New Roman" w:hAnsi="Times New Roman"/>
                <w:bCs/>
                <w:sz w:val="24"/>
              </w:rPr>
            </w:pPr>
          </w:p>
          <w:p w:rsidR="00FD54FC" w:rsidRPr="00D51A68" w:rsidRDefault="00FD54FC" w:rsidP="00FD54FC">
            <w:pPr>
              <w:spacing w:before="0" w:after="0"/>
              <w:ind w:left="33"/>
              <w:rPr>
                <w:rFonts w:ascii="Times New Roman" w:hAnsi="Times New Roman"/>
                <w:bCs/>
                <w:sz w:val="24"/>
              </w:rPr>
            </w:pPr>
            <w:r w:rsidRPr="00D51A68">
              <w:rPr>
                <w:rFonts w:ascii="Times New Roman" w:hAnsi="Times New Roman"/>
                <w:sz w:val="24"/>
              </w:rPr>
              <w:t>Le esposizioni verso amministrazioni pubbliche che sono organismi del settore pubblico conformemente all</w:t>
            </w:r>
            <w:r w:rsidR="0009277C" w:rsidRPr="00D51A68">
              <w:rPr>
                <w:rFonts w:ascii="Times New Roman" w:hAnsi="Times New Roman"/>
                <w:sz w:val="24"/>
              </w:rPr>
              <w:t>’</w:t>
            </w:r>
            <w:r w:rsidRPr="00D51A68">
              <w:rPr>
                <w:rFonts w:ascii="Times New Roman" w:hAnsi="Times New Roman"/>
                <w:sz w:val="24"/>
              </w:rPr>
              <w:t xml:space="preserve">articolo 4, paragrafo 8, del CRR, e che sono assegnate alla classe di esposizioni verso </w:t>
            </w:r>
            <w:r w:rsidR="0009277C" w:rsidRPr="00D51A68">
              <w:rPr>
                <w:rFonts w:ascii="Times New Roman" w:hAnsi="Times New Roman"/>
                <w:sz w:val="24"/>
              </w:rPr>
              <w:t>“</w:t>
            </w:r>
            <w:r w:rsidRPr="00D51A68">
              <w:rPr>
                <w:rFonts w:ascii="Times New Roman" w:hAnsi="Times New Roman"/>
                <w:sz w:val="24"/>
              </w:rPr>
              <w:t>amministrazioni centrali e banche centrali</w:t>
            </w:r>
            <w:r w:rsidR="0009277C" w:rsidRPr="00D51A68">
              <w:rPr>
                <w:rFonts w:ascii="Times New Roman" w:hAnsi="Times New Roman"/>
                <w:sz w:val="24"/>
              </w:rPr>
              <w:t>”</w:t>
            </w:r>
            <w:r w:rsidRPr="00D51A68">
              <w:rPr>
                <w:rFonts w:ascii="Times New Roman" w:hAnsi="Times New Roman"/>
                <w:sz w:val="24"/>
              </w:rPr>
              <w:t xml:space="preserve"> conformemente all</w:t>
            </w:r>
            <w:r w:rsidR="0009277C" w:rsidRPr="00D51A68">
              <w:rPr>
                <w:rFonts w:ascii="Times New Roman" w:hAnsi="Times New Roman"/>
                <w:sz w:val="24"/>
              </w:rPr>
              <w:t>’</w:t>
            </w:r>
            <w:r w:rsidRPr="00D51A68">
              <w:rPr>
                <w:rFonts w:ascii="Times New Roman" w:hAnsi="Times New Roman"/>
                <w:sz w:val="24"/>
              </w:rPr>
              <w:t>articolo 147, paragrafo 3, lettera a), del CRR, come specificato nelle istruzioni per i modelli C 08.01 e C 08.02, ad eccezione delle specifiche per quanto riguarda la redistribuzione delle esposizioni verso amministrazioni pubbliche ad altre classi di esposizioni a seguito dell</w:t>
            </w:r>
            <w:r w:rsidR="0009277C" w:rsidRPr="00D51A68">
              <w:rPr>
                <w:rFonts w:ascii="Times New Roman" w:hAnsi="Times New Roman"/>
                <w:sz w:val="24"/>
              </w:rPr>
              <w:t>’</w:t>
            </w:r>
            <w:r w:rsidRPr="00D51A68">
              <w:rPr>
                <w:rFonts w:ascii="Times New Roman" w:hAnsi="Times New Roman"/>
                <w:sz w:val="24"/>
              </w:rPr>
              <w:t>applicazione di tecniche di attenuazione del rischio di credito con effetti di sostituzione sull</w:t>
            </w:r>
            <w:r w:rsidR="0009277C" w:rsidRPr="00D51A68">
              <w:rPr>
                <w:rFonts w:ascii="Times New Roman" w:hAnsi="Times New Roman"/>
                <w:sz w:val="24"/>
              </w:rPr>
              <w:t>’</w:t>
            </w:r>
            <w:r w:rsidRPr="00D51A68">
              <w:rPr>
                <w:rFonts w:ascii="Times New Roman" w:hAnsi="Times New Roman"/>
                <w:sz w:val="24"/>
              </w:rPr>
              <w:t>esposizione, che non si applicano.</w:t>
            </w:r>
          </w:p>
          <w:p w:rsidR="00FD54FC" w:rsidRPr="00D51A68" w:rsidRDefault="00FD54FC" w:rsidP="00FD54FC">
            <w:pPr>
              <w:spacing w:before="0" w:after="0"/>
              <w:ind w:left="33"/>
              <w:rPr>
                <w:rFonts w:ascii="Times New Roman" w:hAnsi="Times New Roman"/>
                <w:bCs/>
                <w:sz w:val="24"/>
              </w:rPr>
            </w:pPr>
          </w:p>
        </w:tc>
      </w:tr>
      <w:tr w:rsidR="00FD54FC" w:rsidRPr="00D51A68" w:rsidTr="00672D2A">
        <w:tc>
          <w:tcPr>
            <w:tcW w:w="1188" w:type="dxa"/>
          </w:tcPr>
          <w:p w:rsidR="00FD54FC" w:rsidRPr="00D51A68" w:rsidRDefault="00FD54FC" w:rsidP="00FD54FC">
            <w:pPr>
              <w:spacing w:before="0" w:after="0"/>
              <w:ind w:left="33"/>
              <w:rPr>
                <w:rFonts w:ascii="Times New Roman" w:hAnsi="Times New Roman"/>
                <w:bCs/>
                <w:sz w:val="24"/>
              </w:rPr>
            </w:pPr>
            <w:r w:rsidRPr="00D51A68">
              <w:rPr>
                <w:rFonts w:ascii="Times New Roman" w:hAnsi="Times New Roman"/>
                <w:sz w:val="24"/>
              </w:rPr>
              <w:t>130</w:t>
            </w:r>
          </w:p>
        </w:tc>
        <w:tc>
          <w:tcPr>
            <w:tcW w:w="8701" w:type="dxa"/>
          </w:tcPr>
          <w:p w:rsidR="00FD54FC" w:rsidRPr="00D51A68" w:rsidRDefault="00FD54FC" w:rsidP="00FD54FC">
            <w:pPr>
              <w:spacing w:before="0" w:after="0"/>
              <w:ind w:left="33"/>
              <w:rPr>
                <w:rFonts w:ascii="Times New Roman" w:hAnsi="Times New Roman"/>
                <w:b/>
                <w:bCs/>
                <w:sz w:val="24"/>
                <w:u w:val="single"/>
              </w:rPr>
            </w:pPr>
            <w:r w:rsidRPr="00D51A68">
              <w:rPr>
                <w:rFonts w:ascii="Times New Roman" w:hAnsi="Times New Roman"/>
                <w:b/>
                <w:sz w:val="24"/>
                <w:u w:val="single"/>
              </w:rPr>
              <w:t>Organismi del settore pubblico [Enti]</w:t>
            </w:r>
          </w:p>
          <w:p w:rsidR="00FD54FC" w:rsidRPr="00D51A68" w:rsidRDefault="00FD54FC" w:rsidP="00FD54FC">
            <w:pPr>
              <w:spacing w:before="0" w:after="0"/>
              <w:ind w:left="33"/>
              <w:rPr>
                <w:rFonts w:ascii="Times New Roman" w:hAnsi="Times New Roman"/>
                <w:bCs/>
                <w:sz w:val="24"/>
              </w:rPr>
            </w:pPr>
          </w:p>
          <w:p w:rsidR="00FD54FC" w:rsidRPr="00D51A68" w:rsidRDefault="00FD54FC" w:rsidP="00FD54FC">
            <w:pPr>
              <w:spacing w:before="0" w:after="0"/>
              <w:ind w:left="33"/>
              <w:rPr>
                <w:rFonts w:ascii="Times New Roman" w:hAnsi="Times New Roman"/>
                <w:bCs/>
                <w:sz w:val="24"/>
              </w:rPr>
            </w:pPr>
            <w:r w:rsidRPr="00D51A68">
              <w:rPr>
                <w:rFonts w:ascii="Times New Roman" w:hAnsi="Times New Roman"/>
                <w:sz w:val="24"/>
              </w:rPr>
              <w:t>Le esposizioni verso amministrazioni pubbliche che sono organismi del settore pubblico conformemente all</w:t>
            </w:r>
            <w:r w:rsidR="0009277C" w:rsidRPr="00D51A68">
              <w:rPr>
                <w:rFonts w:ascii="Times New Roman" w:hAnsi="Times New Roman"/>
                <w:sz w:val="24"/>
              </w:rPr>
              <w:t>’</w:t>
            </w:r>
            <w:r w:rsidRPr="00D51A68">
              <w:rPr>
                <w:rFonts w:ascii="Times New Roman" w:hAnsi="Times New Roman"/>
                <w:sz w:val="24"/>
              </w:rPr>
              <w:t xml:space="preserve">articolo 4, paragrafo 8, del CRR, e che sono assegnate alla classe di esposizioni verso </w:t>
            </w:r>
            <w:r w:rsidR="0009277C" w:rsidRPr="00D51A68">
              <w:rPr>
                <w:rFonts w:ascii="Times New Roman" w:hAnsi="Times New Roman"/>
                <w:sz w:val="24"/>
              </w:rPr>
              <w:t>“</w:t>
            </w:r>
            <w:r w:rsidRPr="00D51A68">
              <w:rPr>
                <w:rFonts w:ascii="Times New Roman" w:hAnsi="Times New Roman"/>
                <w:sz w:val="24"/>
              </w:rPr>
              <w:t>enti</w:t>
            </w:r>
            <w:r w:rsidR="0009277C" w:rsidRPr="00D51A68">
              <w:rPr>
                <w:rFonts w:ascii="Times New Roman" w:hAnsi="Times New Roman"/>
                <w:sz w:val="24"/>
              </w:rPr>
              <w:t>”</w:t>
            </w:r>
            <w:r w:rsidRPr="00D51A68">
              <w:rPr>
                <w:rFonts w:ascii="Times New Roman" w:hAnsi="Times New Roman"/>
                <w:sz w:val="24"/>
              </w:rPr>
              <w:t xml:space="preserve"> conformemente all</w:t>
            </w:r>
            <w:r w:rsidR="0009277C" w:rsidRPr="00D51A68">
              <w:rPr>
                <w:rFonts w:ascii="Times New Roman" w:hAnsi="Times New Roman"/>
                <w:sz w:val="24"/>
              </w:rPr>
              <w:t>’</w:t>
            </w:r>
            <w:r w:rsidRPr="00D51A68">
              <w:rPr>
                <w:rFonts w:ascii="Times New Roman" w:hAnsi="Times New Roman"/>
                <w:sz w:val="24"/>
              </w:rPr>
              <w:t>articolo 147, paragrafo 4, lettera b), del CRR, come specificato nelle istruzioni per i modelli C 08.01 e C 08.02, ad eccezione delle specifiche per quanto riguarda la redistribuzione delle esposizioni verso amministrazioni pubbliche ad altre classi di esposizioni a seguito dell</w:t>
            </w:r>
            <w:r w:rsidR="0009277C" w:rsidRPr="00D51A68">
              <w:rPr>
                <w:rFonts w:ascii="Times New Roman" w:hAnsi="Times New Roman"/>
                <w:sz w:val="24"/>
              </w:rPr>
              <w:t>’</w:t>
            </w:r>
            <w:r w:rsidRPr="00D51A68">
              <w:rPr>
                <w:rFonts w:ascii="Times New Roman" w:hAnsi="Times New Roman"/>
                <w:sz w:val="24"/>
              </w:rPr>
              <w:t>applicazione di tecniche di attenuazione del rischio di credito con effetti di sostituzione sull</w:t>
            </w:r>
            <w:r w:rsidR="0009277C" w:rsidRPr="00D51A68">
              <w:rPr>
                <w:rFonts w:ascii="Times New Roman" w:hAnsi="Times New Roman"/>
                <w:sz w:val="24"/>
              </w:rPr>
              <w:t>’</w:t>
            </w:r>
            <w:r w:rsidRPr="00D51A68">
              <w:rPr>
                <w:rFonts w:ascii="Times New Roman" w:hAnsi="Times New Roman"/>
                <w:sz w:val="24"/>
              </w:rPr>
              <w:t>esposizione, che non si applicano.</w:t>
            </w:r>
          </w:p>
          <w:p w:rsidR="00FD54FC" w:rsidRPr="00D51A68" w:rsidRDefault="00FD54FC" w:rsidP="00FD54FC">
            <w:pPr>
              <w:spacing w:before="0" w:after="0"/>
              <w:ind w:left="33"/>
              <w:rPr>
                <w:rFonts w:ascii="Times New Roman" w:hAnsi="Times New Roman"/>
                <w:bCs/>
                <w:sz w:val="24"/>
              </w:rPr>
            </w:pPr>
          </w:p>
        </w:tc>
      </w:tr>
      <w:tr w:rsidR="00FD54FC" w:rsidRPr="00D51A68" w:rsidTr="00672D2A">
        <w:tc>
          <w:tcPr>
            <w:tcW w:w="1188" w:type="dxa"/>
          </w:tcPr>
          <w:p w:rsidR="00FD54FC" w:rsidRPr="00D51A68" w:rsidDel="00C211CB" w:rsidRDefault="00FD54FC" w:rsidP="00FD54FC">
            <w:pPr>
              <w:spacing w:before="0" w:after="0"/>
              <w:ind w:left="33"/>
              <w:rPr>
                <w:rFonts w:ascii="Times New Roman" w:hAnsi="Times New Roman"/>
                <w:bCs/>
                <w:sz w:val="24"/>
              </w:rPr>
            </w:pPr>
            <w:r w:rsidRPr="00D51A68">
              <w:rPr>
                <w:rFonts w:ascii="Times New Roman" w:hAnsi="Times New Roman"/>
                <w:sz w:val="24"/>
              </w:rPr>
              <w:t>140</w:t>
            </w:r>
          </w:p>
        </w:tc>
        <w:tc>
          <w:tcPr>
            <w:tcW w:w="8701" w:type="dxa"/>
          </w:tcPr>
          <w:p w:rsidR="00FD54FC" w:rsidRPr="00D51A68" w:rsidRDefault="00FD54FC" w:rsidP="00FD54FC">
            <w:pPr>
              <w:spacing w:before="0" w:after="0"/>
              <w:ind w:left="33"/>
              <w:rPr>
                <w:rFonts w:ascii="Times New Roman" w:hAnsi="Times New Roman"/>
                <w:b/>
                <w:bCs/>
                <w:sz w:val="24"/>
                <w:u w:val="single"/>
              </w:rPr>
            </w:pPr>
            <w:r w:rsidRPr="00D51A68">
              <w:rPr>
                <w:rFonts w:ascii="Times New Roman" w:hAnsi="Times New Roman"/>
                <w:b/>
                <w:sz w:val="24"/>
                <w:u w:val="single"/>
              </w:rPr>
              <w:t>Organizzazioni internazionali [amministrazioni centrali e banche centrali]</w:t>
            </w:r>
          </w:p>
          <w:p w:rsidR="00FD54FC" w:rsidRPr="00D51A68" w:rsidRDefault="00FD54FC" w:rsidP="00FD54FC">
            <w:pPr>
              <w:spacing w:before="0" w:after="0"/>
              <w:ind w:left="33"/>
              <w:rPr>
                <w:rFonts w:ascii="Times New Roman" w:hAnsi="Times New Roman"/>
                <w:bCs/>
                <w:sz w:val="24"/>
              </w:rPr>
            </w:pPr>
          </w:p>
          <w:p w:rsidR="00FD54FC" w:rsidRPr="00D51A68" w:rsidRDefault="00FD54FC" w:rsidP="00FD54FC">
            <w:pPr>
              <w:spacing w:before="0" w:after="0"/>
              <w:ind w:left="33"/>
              <w:rPr>
                <w:rFonts w:ascii="Times New Roman" w:hAnsi="Times New Roman"/>
                <w:bCs/>
                <w:sz w:val="24"/>
              </w:rPr>
            </w:pPr>
            <w:r w:rsidRPr="00D51A68">
              <w:rPr>
                <w:rFonts w:ascii="Times New Roman" w:hAnsi="Times New Roman"/>
                <w:sz w:val="24"/>
              </w:rPr>
              <w:t xml:space="preserve">Le esposizioni verso amministrazioni pubbliche che sono organizzazioni internazionali e che sono assegnate alla classe di esposizioni verso </w:t>
            </w:r>
            <w:r w:rsidR="0009277C" w:rsidRPr="00D51A68">
              <w:rPr>
                <w:rFonts w:ascii="Times New Roman" w:hAnsi="Times New Roman"/>
                <w:sz w:val="24"/>
              </w:rPr>
              <w:t>“</w:t>
            </w:r>
            <w:r w:rsidRPr="00D51A68">
              <w:rPr>
                <w:rFonts w:ascii="Times New Roman" w:hAnsi="Times New Roman"/>
                <w:sz w:val="24"/>
              </w:rPr>
              <w:t>amministrazioni centrali e banche centrali</w:t>
            </w:r>
            <w:r w:rsidR="0009277C" w:rsidRPr="00D51A68">
              <w:rPr>
                <w:rFonts w:ascii="Times New Roman" w:hAnsi="Times New Roman"/>
                <w:sz w:val="24"/>
              </w:rPr>
              <w:t>”</w:t>
            </w:r>
            <w:r w:rsidRPr="00D51A68">
              <w:rPr>
                <w:rFonts w:ascii="Times New Roman" w:hAnsi="Times New Roman"/>
                <w:sz w:val="24"/>
              </w:rPr>
              <w:t xml:space="preserve"> conformemente all</w:t>
            </w:r>
            <w:r w:rsidR="0009277C" w:rsidRPr="00D51A68">
              <w:rPr>
                <w:rFonts w:ascii="Times New Roman" w:hAnsi="Times New Roman"/>
                <w:sz w:val="24"/>
              </w:rPr>
              <w:t>’</w:t>
            </w:r>
            <w:r w:rsidRPr="00D51A68">
              <w:rPr>
                <w:rFonts w:ascii="Times New Roman" w:hAnsi="Times New Roman"/>
                <w:sz w:val="24"/>
              </w:rPr>
              <w:t>articolo 147, paragrafo 3, lettera c), del CRR, come specificato nelle istruzioni per i modelli C 08.01 e C 08.02, ad eccezione delle specifiche per quanto riguarda la redistribuzione delle esposizioni verso amministrazioni pubbliche ad altre classi di esposizioni a seguito dell</w:t>
            </w:r>
            <w:r w:rsidR="0009277C" w:rsidRPr="00D51A68">
              <w:rPr>
                <w:rFonts w:ascii="Times New Roman" w:hAnsi="Times New Roman"/>
                <w:sz w:val="24"/>
              </w:rPr>
              <w:t>’</w:t>
            </w:r>
            <w:r w:rsidRPr="00D51A68">
              <w:rPr>
                <w:rFonts w:ascii="Times New Roman" w:hAnsi="Times New Roman"/>
                <w:sz w:val="24"/>
              </w:rPr>
              <w:t>applicazione di tecniche di attenuazione del rischio di credito con effetti di sostituzione sull</w:t>
            </w:r>
            <w:r w:rsidR="0009277C" w:rsidRPr="00D51A68">
              <w:rPr>
                <w:rFonts w:ascii="Times New Roman" w:hAnsi="Times New Roman"/>
                <w:sz w:val="24"/>
              </w:rPr>
              <w:t>’</w:t>
            </w:r>
            <w:r w:rsidRPr="00D51A68">
              <w:rPr>
                <w:rFonts w:ascii="Times New Roman" w:hAnsi="Times New Roman"/>
                <w:sz w:val="24"/>
              </w:rPr>
              <w:t>esposizione, che non si applicano.</w:t>
            </w:r>
          </w:p>
          <w:p w:rsidR="00FD54FC" w:rsidRPr="00D51A68" w:rsidRDefault="00FD54FC" w:rsidP="00FD54FC">
            <w:pPr>
              <w:spacing w:before="0" w:after="0"/>
              <w:ind w:left="33"/>
              <w:rPr>
                <w:rFonts w:ascii="Times New Roman" w:hAnsi="Times New Roman"/>
                <w:b/>
                <w:bCs/>
                <w:sz w:val="24"/>
                <w:u w:val="single"/>
              </w:rPr>
            </w:pPr>
          </w:p>
        </w:tc>
      </w:tr>
      <w:tr w:rsidR="00530BA1" w:rsidRPr="00D51A68" w:rsidTr="00672D2A">
        <w:tc>
          <w:tcPr>
            <w:tcW w:w="1188" w:type="dxa"/>
          </w:tcPr>
          <w:p w:rsidR="00530BA1" w:rsidRPr="00D51A68" w:rsidRDefault="00530BA1" w:rsidP="00FD54FC">
            <w:pPr>
              <w:spacing w:before="0" w:after="0"/>
              <w:ind w:left="33"/>
              <w:rPr>
                <w:rFonts w:ascii="Times New Roman" w:hAnsi="Times New Roman"/>
                <w:bCs/>
                <w:sz w:val="24"/>
              </w:rPr>
            </w:pPr>
            <w:r w:rsidRPr="00D51A68">
              <w:rPr>
                <w:rFonts w:ascii="Times New Roman" w:hAnsi="Times New Roman"/>
                <w:sz w:val="24"/>
              </w:rPr>
              <w:t>155</w:t>
            </w:r>
          </w:p>
        </w:tc>
        <w:tc>
          <w:tcPr>
            <w:tcW w:w="8701" w:type="dxa"/>
          </w:tcPr>
          <w:p w:rsidR="00530BA1" w:rsidRPr="00D51A68" w:rsidRDefault="00530BA1" w:rsidP="00530BA1">
            <w:pPr>
              <w:spacing w:before="0" w:after="0"/>
              <w:ind w:left="33"/>
              <w:rPr>
                <w:rFonts w:ascii="Times New Roman" w:hAnsi="Times New Roman"/>
                <w:b/>
                <w:bCs/>
                <w:sz w:val="24"/>
                <w:u w:val="single"/>
              </w:rPr>
            </w:pPr>
            <w:r w:rsidRPr="00D51A68">
              <w:rPr>
                <w:rFonts w:ascii="Times New Roman" w:hAnsi="Times New Roman"/>
                <w:b/>
                <w:sz w:val="24"/>
                <w:u w:val="single"/>
              </w:rPr>
              <w:t>Altre esposizioni verso amministrazioni pubbliche soggette al metodo IRB</w:t>
            </w:r>
          </w:p>
          <w:p w:rsidR="00530BA1" w:rsidRPr="00D51A68" w:rsidRDefault="00530BA1" w:rsidP="00530BA1">
            <w:pPr>
              <w:spacing w:before="0" w:after="0"/>
              <w:ind w:left="33"/>
              <w:rPr>
                <w:rFonts w:ascii="Times New Roman" w:hAnsi="Times New Roman"/>
                <w:bCs/>
                <w:sz w:val="24"/>
              </w:rPr>
            </w:pPr>
          </w:p>
          <w:p w:rsidR="00530BA1" w:rsidRPr="00D51A68" w:rsidRDefault="00530BA1" w:rsidP="00530BA1">
            <w:pPr>
              <w:spacing w:before="0" w:after="0"/>
              <w:ind w:left="33"/>
              <w:rPr>
                <w:rFonts w:ascii="Times New Roman" w:hAnsi="Times New Roman"/>
                <w:bCs/>
                <w:sz w:val="24"/>
              </w:rPr>
            </w:pPr>
            <w:r w:rsidRPr="00D51A68">
              <w:rPr>
                <w:rFonts w:ascii="Times New Roman" w:hAnsi="Times New Roman"/>
                <w:sz w:val="24"/>
              </w:rPr>
              <w:t>Le esposizioni verso amministrazioni pubbliche, diverse d</w:t>
            </w:r>
            <w:r w:rsidR="0011279C" w:rsidRPr="00D51A68">
              <w:rPr>
                <w:rFonts w:ascii="Times New Roman" w:hAnsi="Times New Roman"/>
                <w:sz w:val="24"/>
              </w:rPr>
              <w:t>a quelle incluse nelle righe da </w:t>
            </w:r>
            <w:r w:rsidRPr="00D51A68">
              <w:rPr>
                <w:rFonts w:ascii="Times New Roman" w:hAnsi="Times New Roman"/>
                <w:sz w:val="24"/>
              </w:rPr>
              <w:t>090 a 140 di cui sopra, che sono classificate nelle classi di esposizioni IRB a norma dell</w:t>
            </w:r>
            <w:r w:rsidR="0009277C" w:rsidRPr="00D51A68">
              <w:rPr>
                <w:rFonts w:ascii="Times New Roman" w:hAnsi="Times New Roman"/>
                <w:sz w:val="24"/>
              </w:rPr>
              <w:t>’</w:t>
            </w:r>
            <w:r w:rsidRPr="00D51A68">
              <w:rPr>
                <w:rFonts w:ascii="Times New Roman" w:hAnsi="Times New Roman"/>
                <w:sz w:val="24"/>
              </w:rPr>
              <w:t>articolo 147 del CRR ai fini del calcolo dei requisiti di fondi propri.</w:t>
            </w:r>
          </w:p>
          <w:p w:rsidR="00530BA1" w:rsidRPr="00D51A68" w:rsidRDefault="00530BA1" w:rsidP="00FD54FC">
            <w:pPr>
              <w:spacing w:before="0" w:after="0"/>
              <w:ind w:left="33"/>
              <w:rPr>
                <w:rFonts w:ascii="Times New Roman" w:hAnsi="Times New Roman"/>
                <w:b/>
                <w:bCs/>
                <w:sz w:val="24"/>
                <w:u w:val="single"/>
              </w:rPr>
            </w:pPr>
          </w:p>
        </w:tc>
      </w:tr>
      <w:tr w:rsidR="00FD54FC" w:rsidRPr="00D51A68" w:rsidTr="00672D2A">
        <w:tc>
          <w:tcPr>
            <w:tcW w:w="1188" w:type="dxa"/>
          </w:tcPr>
          <w:p w:rsidR="00FD54FC" w:rsidRPr="00D51A68" w:rsidRDefault="00FD54FC" w:rsidP="00FD54FC">
            <w:pPr>
              <w:spacing w:before="0" w:after="0"/>
              <w:ind w:left="33"/>
              <w:rPr>
                <w:rFonts w:ascii="Times New Roman" w:hAnsi="Times New Roman"/>
                <w:bCs/>
                <w:sz w:val="24"/>
              </w:rPr>
            </w:pPr>
            <w:r w:rsidRPr="00D51A68">
              <w:rPr>
                <w:rFonts w:ascii="Times New Roman" w:hAnsi="Times New Roman"/>
                <w:sz w:val="24"/>
              </w:rPr>
              <w:t>160</w:t>
            </w:r>
          </w:p>
        </w:tc>
        <w:tc>
          <w:tcPr>
            <w:tcW w:w="8701" w:type="dxa"/>
          </w:tcPr>
          <w:p w:rsidR="00FD54FC" w:rsidRPr="00D51A68" w:rsidRDefault="00FD54FC" w:rsidP="00FD54FC">
            <w:pPr>
              <w:spacing w:before="0" w:after="0"/>
              <w:ind w:left="33"/>
              <w:rPr>
                <w:rFonts w:ascii="Times New Roman" w:hAnsi="Times New Roman"/>
                <w:b/>
                <w:bCs/>
                <w:sz w:val="24"/>
                <w:u w:val="single"/>
              </w:rPr>
            </w:pPr>
            <w:r w:rsidRPr="00D51A68">
              <w:rPr>
                <w:rFonts w:ascii="Times New Roman" w:hAnsi="Times New Roman"/>
                <w:b/>
                <w:sz w:val="24"/>
                <w:u w:val="single"/>
              </w:rPr>
              <w:t>Esposizioni soggette al rischio di mercato</w:t>
            </w:r>
          </w:p>
          <w:p w:rsidR="00FD54FC" w:rsidRPr="00D51A68" w:rsidRDefault="00FD54FC" w:rsidP="00FD54FC">
            <w:pPr>
              <w:spacing w:before="0" w:after="0"/>
              <w:ind w:left="33"/>
              <w:rPr>
                <w:rFonts w:ascii="Times New Roman" w:hAnsi="Times New Roman"/>
                <w:bCs/>
                <w:sz w:val="24"/>
              </w:rPr>
            </w:pPr>
          </w:p>
          <w:p w:rsidR="00FD54FC" w:rsidRPr="00D51A68" w:rsidRDefault="00FD54FC" w:rsidP="00FD54FC">
            <w:pPr>
              <w:spacing w:before="0" w:after="0"/>
              <w:ind w:left="33"/>
              <w:rPr>
                <w:rFonts w:ascii="Times New Roman" w:hAnsi="Times New Roman"/>
                <w:bCs/>
                <w:sz w:val="24"/>
              </w:rPr>
            </w:pPr>
            <w:r w:rsidRPr="00D51A68">
              <w:rPr>
                <w:rFonts w:ascii="Times New Roman" w:hAnsi="Times New Roman"/>
                <w:sz w:val="24"/>
              </w:rPr>
              <w:t>Le esposizioni al rischio di mercato coprono le posizioni per le quali i requisiti di fondi propri sono calcolati conformemente alla parte tre, titolo IV, del CRR.</w:t>
            </w:r>
          </w:p>
          <w:p w:rsidR="00FD54FC" w:rsidRPr="00D51A68" w:rsidRDefault="00FD54FC" w:rsidP="00FD54FC">
            <w:pPr>
              <w:spacing w:before="0" w:after="0"/>
              <w:ind w:left="33"/>
              <w:rPr>
                <w:rFonts w:ascii="Times New Roman" w:hAnsi="Times New Roman"/>
                <w:bCs/>
                <w:sz w:val="24"/>
              </w:rPr>
            </w:pPr>
          </w:p>
          <w:p w:rsidR="00FD54FC" w:rsidRPr="00D51A68" w:rsidRDefault="00FD54FC" w:rsidP="00FD54FC">
            <w:pPr>
              <w:spacing w:before="0" w:after="0"/>
              <w:ind w:left="33"/>
              <w:rPr>
                <w:rFonts w:ascii="Times New Roman" w:hAnsi="Times New Roman"/>
                <w:bCs/>
                <w:sz w:val="24"/>
              </w:rPr>
            </w:pPr>
            <w:r w:rsidRPr="00D51A68">
              <w:rPr>
                <w:rFonts w:ascii="Times New Roman" w:hAnsi="Times New Roman"/>
                <w:sz w:val="24"/>
              </w:rPr>
              <w:t>Le esposizioni dirette di cui all</w:t>
            </w:r>
            <w:r w:rsidR="0009277C" w:rsidRPr="00D51A68">
              <w:rPr>
                <w:rFonts w:ascii="Times New Roman" w:hAnsi="Times New Roman"/>
                <w:sz w:val="24"/>
              </w:rPr>
              <w:t>’</w:t>
            </w:r>
            <w:r w:rsidRPr="00D51A68">
              <w:rPr>
                <w:rFonts w:ascii="Times New Roman" w:hAnsi="Times New Roman"/>
                <w:sz w:val="24"/>
              </w:rPr>
              <w:t>articolo 271 del CRR soggette a requisiti di fondi propri sia per il rischio di controparte che per il rischio di mercato sono indicate sia nelle righe del rischio di credito (da 020 a 155) sia nella riga del rischio di mercato (riga 160): l</w:t>
            </w:r>
            <w:r w:rsidR="0009277C" w:rsidRPr="00D51A68">
              <w:rPr>
                <w:rFonts w:ascii="Times New Roman" w:hAnsi="Times New Roman"/>
                <w:sz w:val="24"/>
              </w:rPr>
              <w:t>’</w:t>
            </w:r>
            <w:r w:rsidRPr="00D51A68">
              <w:rPr>
                <w:rFonts w:ascii="Times New Roman" w:hAnsi="Times New Roman"/>
                <w:sz w:val="24"/>
              </w:rPr>
              <w:t>esposizione dovuta al rischio di controparte è segnalata nelle righe relative al rischio di credito, mentre l</w:t>
            </w:r>
            <w:r w:rsidR="0009277C" w:rsidRPr="00D51A68">
              <w:rPr>
                <w:rFonts w:ascii="Times New Roman" w:hAnsi="Times New Roman"/>
                <w:sz w:val="24"/>
              </w:rPr>
              <w:t>’</w:t>
            </w:r>
            <w:r w:rsidRPr="00D51A68">
              <w:rPr>
                <w:rFonts w:ascii="Times New Roman" w:hAnsi="Times New Roman"/>
                <w:sz w:val="24"/>
              </w:rPr>
              <w:t>esposizione dovuta al rischio di mercato è segnalata nella riga relativa al rischio di mercato.</w:t>
            </w:r>
          </w:p>
          <w:p w:rsidR="00FD54FC" w:rsidRPr="00D51A68" w:rsidRDefault="00FD54FC" w:rsidP="00FD54FC">
            <w:pPr>
              <w:spacing w:before="0" w:after="0"/>
              <w:ind w:left="33"/>
              <w:rPr>
                <w:rFonts w:ascii="Times New Roman" w:hAnsi="Times New Roman"/>
                <w:bCs/>
                <w:sz w:val="24"/>
              </w:rPr>
            </w:pPr>
          </w:p>
        </w:tc>
      </w:tr>
      <w:tr w:rsidR="00FD54FC" w:rsidRPr="00D51A68" w:rsidTr="00672D2A">
        <w:tc>
          <w:tcPr>
            <w:tcW w:w="1188" w:type="dxa"/>
          </w:tcPr>
          <w:p w:rsidR="00FD54FC" w:rsidRPr="00D51A68" w:rsidRDefault="00FD54FC" w:rsidP="00B74792">
            <w:pPr>
              <w:spacing w:before="0" w:after="0"/>
              <w:ind w:left="33"/>
              <w:rPr>
                <w:rFonts w:ascii="Times New Roman" w:hAnsi="Times New Roman"/>
                <w:bCs/>
                <w:sz w:val="24"/>
              </w:rPr>
            </w:pPr>
            <w:r w:rsidRPr="00D51A68">
              <w:rPr>
                <w:rFonts w:ascii="Times New Roman" w:hAnsi="Times New Roman"/>
                <w:sz w:val="24"/>
              </w:rPr>
              <w:t>170-230</w:t>
            </w:r>
          </w:p>
        </w:tc>
        <w:tc>
          <w:tcPr>
            <w:tcW w:w="8701" w:type="dxa"/>
          </w:tcPr>
          <w:p w:rsidR="00FD54FC" w:rsidRPr="00D51A68" w:rsidRDefault="00FD54FC" w:rsidP="00FD54FC">
            <w:pPr>
              <w:spacing w:before="0" w:after="0"/>
              <w:ind w:left="33"/>
              <w:rPr>
                <w:rFonts w:ascii="Times New Roman" w:hAnsi="Times New Roman"/>
                <w:b/>
                <w:bCs/>
                <w:sz w:val="24"/>
              </w:rPr>
            </w:pPr>
            <w:r w:rsidRPr="00D51A68">
              <w:rPr>
                <w:rFonts w:ascii="Times New Roman" w:hAnsi="Times New Roman"/>
                <w:b/>
                <w:sz w:val="24"/>
              </w:rPr>
              <w:t>RIPARTIZIONE DELLE ESPOSIZIONI PER DURATA RESIDUA</w:t>
            </w:r>
          </w:p>
          <w:p w:rsidR="00FD54FC" w:rsidRPr="00D51A68" w:rsidRDefault="00FD54FC" w:rsidP="00FD54FC">
            <w:pPr>
              <w:spacing w:before="0" w:after="0"/>
              <w:ind w:left="33"/>
              <w:rPr>
                <w:rFonts w:ascii="Times New Roman" w:hAnsi="Times New Roman"/>
                <w:bCs/>
                <w:sz w:val="24"/>
              </w:rPr>
            </w:pPr>
          </w:p>
          <w:p w:rsidR="00FD54FC" w:rsidRPr="00D51A68" w:rsidRDefault="00FD54FC" w:rsidP="00FD54FC">
            <w:pPr>
              <w:spacing w:before="0" w:after="0"/>
              <w:ind w:left="33"/>
              <w:rPr>
                <w:rFonts w:ascii="Times New Roman" w:hAnsi="Times New Roman"/>
                <w:bCs/>
                <w:sz w:val="24"/>
              </w:rPr>
            </w:pPr>
            <w:r w:rsidRPr="00D51A68">
              <w:rPr>
                <w:rFonts w:ascii="Times New Roman" w:hAnsi="Times New Roman"/>
                <w:sz w:val="24"/>
              </w:rPr>
              <w:t>La durata residua è calcolata in giorni tra la data di scadenza e la data di riferimento per le segnalazioni per tutte le posizioni.</w:t>
            </w:r>
          </w:p>
          <w:p w:rsidR="00FD54FC" w:rsidRPr="00D51A68" w:rsidRDefault="00FD54FC" w:rsidP="00FD54FC">
            <w:pPr>
              <w:spacing w:before="0" w:after="0"/>
              <w:ind w:left="33"/>
              <w:rPr>
                <w:rFonts w:ascii="Times New Roman" w:hAnsi="Times New Roman"/>
                <w:bCs/>
                <w:sz w:val="24"/>
              </w:rPr>
            </w:pPr>
          </w:p>
          <w:p w:rsidR="00FD54FC" w:rsidRPr="00D51A68" w:rsidRDefault="00FD54FC" w:rsidP="00FD54FC">
            <w:pPr>
              <w:spacing w:before="0" w:after="0"/>
              <w:ind w:left="33"/>
              <w:rPr>
                <w:rFonts w:ascii="Times New Roman" w:hAnsi="Times New Roman"/>
                <w:bCs/>
                <w:sz w:val="24"/>
              </w:rPr>
            </w:pPr>
            <w:r w:rsidRPr="00D51A68">
              <w:rPr>
                <w:rFonts w:ascii="Times New Roman" w:hAnsi="Times New Roman"/>
                <w:sz w:val="24"/>
              </w:rPr>
              <w:t>Le esposizioni verso amministrazioni pubbliche sono disaggregate per durata residua e imputate alle categorie previste secondo le seguenti modalità:</w:t>
            </w:r>
          </w:p>
          <w:p w:rsidR="00FD54FC" w:rsidRPr="00D51A68" w:rsidRDefault="00FD54FC" w:rsidP="00FD54FC">
            <w:pPr>
              <w:spacing w:before="0" w:after="0"/>
              <w:ind w:left="33"/>
              <w:rPr>
                <w:rFonts w:ascii="Times New Roman" w:hAnsi="Times New Roman"/>
                <w:bCs/>
                <w:sz w:val="24"/>
              </w:rPr>
            </w:pPr>
          </w:p>
          <w:p w:rsidR="00FD54FC" w:rsidRPr="00D51A68" w:rsidRDefault="0011279C" w:rsidP="0023700C">
            <w:pPr>
              <w:spacing w:before="0" w:after="0"/>
              <w:ind w:left="808" w:hanging="360"/>
              <w:rPr>
                <w:rFonts w:ascii="Symbol" w:hAnsi="Symbol"/>
                <w:bCs/>
                <w:sz w:val="24"/>
              </w:rPr>
            </w:pPr>
            <w:r w:rsidRPr="00D51A68">
              <w:rPr>
                <w:rFonts w:ascii="Symbol" w:hAnsi="Symbol"/>
                <w:bCs/>
                <w:sz w:val="24"/>
                <w:lang w:eastAsia="de-DE"/>
              </w:rPr>
              <w:t></w:t>
            </w:r>
            <w:r w:rsidRPr="00D51A68">
              <w:rPr>
                <w:rFonts w:ascii="Symbol" w:hAnsi="Symbol"/>
                <w:bCs/>
                <w:sz w:val="24"/>
                <w:lang w:eastAsia="de-DE"/>
              </w:rPr>
              <w:tab/>
            </w:r>
            <w:r w:rsidR="00125707" w:rsidRPr="00D51A68">
              <w:rPr>
                <w:rFonts w:ascii="Times New Roman" w:hAnsi="Times New Roman"/>
                <w:b/>
                <w:sz w:val="24"/>
              </w:rPr>
              <w:t>[ 0 - 3M [</w:t>
            </w:r>
            <w:r w:rsidR="00125707" w:rsidRPr="00D51A68">
              <w:rPr>
                <w:rFonts w:ascii="Times New Roman" w:hAnsi="Times New Roman"/>
                <w:sz w:val="24"/>
              </w:rPr>
              <w:t xml:space="preserve"> : meno di 90 giorni</w:t>
            </w:r>
          </w:p>
          <w:p w:rsidR="00FD54FC" w:rsidRPr="00D51A68" w:rsidRDefault="0011279C" w:rsidP="0023700C">
            <w:pPr>
              <w:spacing w:before="0" w:after="0"/>
              <w:ind w:left="808" w:hanging="360"/>
              <w:rPr>
                <w:rFonts w:ascii="Symbol" w:hAnsi="Symbol"/>
                <w:bCs/>
                <w:sz w:val="24"/>
              </w:rPr>
            </w:pPr>
            <w:r w:rsidRPr="00D51A68">
              <w:rPr>
                <w:rFonts w:ascii="Symbol" w:hAnsi="Symbol"/>
                <w:bCs/>
                <w:sz w:val="24"/>
                <w:lang w:eastAsia="de-DE"/>
              </w:rPr>
              <w:t></w:t>
            </w:r>
            <w:r w:rsidRPr="00D51A68">
              <w:rPr>
                <w:rFonts w:ascii="Symbol" w:hAnsi="Symbol"/>
                <w:bCs/>
                <w:sz w:val="24"/>
                <w:lang w:eastAsia="de-DE"/>
              </w:rPr>
              <w:tab/>
            </w:r>
            <w:r w:rsidR="00125707" w:rsidRPr="00D51A68">
              <w:rPr>
                <w:rFonts w:ascii="Times New Roman" w:hAnsi="Times New Roman"/>
                <w:b/>
                <w:sz w:val="24"/>
              </w:rPr>
              <w:t>[ 3M - 1Y [</w:t>
            </w:r>
            <w:r w:rsidR="00125707" w:rsidRPr="00D51A68">
              <w:rPr>
                <w:rFonts w:ascii="Times New Roman" w:hAnsi="Times New Roman"/>
                <w:sz w:val="24"/>
              </w:rPr>
              <w:t xml:space="preserve"> : pari o superiore a 90 giorni ma inferiore a 365 giorni</w:t>
            </w:r>
          </w:p>
          <w:p w:rsidR="00FD54FC" w:rsidRPr="00D51A68" w:rsidRDefault="0011279C" w:rsidP="0023700C">
            <w:pPr>
              <w:spacing w:before="0" w:after="0"/>
              <w:ind w:left="808" w:hanging="360"/>
              <w:rPr>
                <w:rFonts w:ascii="Symbol" w:hAnsi="Symbol"/>
                <w:bCs/>
                <w:sz w:val="24"/>
              </w:rPr>
            </w:pPr>
            <w:r w:rsidRPr="00D51A68">
              <w:rPr>
                <w:rFonts w:ascii="Symbol" w:hAnsi="Symbol"/>
                <w:bCs/>
                <w:sz w:val="24"/>
                <w:lang w:eastAsia="de-DE"/>
              </w:rPr>
              <w:t></w:t>
            </w:r>
            <w:r w:rsidRPr="00D51A68">
              <w:rPr>
                <w:rFonts w:ascii="Symbol" w:hAnsi="Symbol"/>
                <w:bCs/>
                <w:sz w:val="24"/>
                <w:lang w:eastAsia="de-DE"/>
              </w:rPr>
              <w:tab/>
            </w:r>
            <w:r w:rsidR="00125707" w:rsidRPr="00D51A68">
              <w:rPr>
                <w:rFonts w:ascii="Times New Roman" w:hAnsi="Times New Roman"/>
                <w:b/>
                <w:sz w:val="24"/>
              </w:rPr>
              <w:t>[ 1Y – 2Y [</w:t>
            </w:r>
            <w:r w:rsidR="00125707" w:rsidRPr="00D51A68">
              <w:rPr>
                <w:rFonts w:ascii="Times New Roman" w:hAnsi="Times New Roman"/>
                <w:sz w:val="24"/>
              </w:rPr>
              <w:t xml:space="preserve"> : pari o superiore a 365 giorni ma inferiore a 730 giorni</w:t>
            </w:r>
          </w:p>
          <w:p w:rsidR="00FD54FC" w:rsidRPr="00D51A68" w:rsidRDefault="0011279C" w:rsidP="0023700C">
            <w:pPr>
              <w:spacing w:before="0" w:after="0"/>
              <w:ind w:left="808" w:hanging="360"/>
              <w:rPr>
                <w:rFonts w:ascii="Symbol" w:hAnsi="Symbol"/>
                <w:bCs/>
                <w:sz w:val="24"/>
              </w:rPr>
            </w:pPr>
            <w:r w:rsidRPr="00D51A68">
              <w:rPr>
                <w:rFonts w:ascii="Symbol" w:hAnsi="Symbol"/>
                <w:bCs/>
                <w:sz w:val="24"/>
                <w:lang w:eastAsia="de-DE"/>
              </w:rPr>
              <w:t></w:t>
            </w:r>
            <w:r w:rsidRPr="00D51A68">
              <w:rPr>
                <w:rFonts w:ascii="Symbol" w:hAnsi="Symbol"/>
                <w:bCs/>
                <w:sz w:val="24"/>
                <w:lang w:eastAsia="de-DE"/>
              </w:rPr>
              <w:tab/>
            </w:r>
            <w:r w:rsidR="00125707" w:rsidRPr="00D51A68">
              <w:rPr>
                <w:rFonts w:ascii="Times New Roman" w:hAnsi="Times New Roman"/>
                <w:b/>
                <w:sz w:val="24"/>
              </w:rPr>
              <w:t>[ 2Y – 3Y [</w:t>
            </w:r>
            <w:r w:rsidR="00125707" w:rsidRPr="00D51A68">
              <w:rPr>
                <w:rFonts w:ascii="Times New Roman" w:hAnsi="Times New Roman"/>
                <w:sz w:val="24"/>
              </w:rPr>
              <w:t xml:space="preserve"> : pari o superiore a 730 giorni ma inferiore a 1 095 giorni</w:t>
            </w:r>
          </w:p>
          <w:p w:rsidR="00FD54FC" w:rsidRPr="00D51A68" w:rsidRDefault="0011279C" w:rsidP="0023700C">
            <w:pPr>
              <w:spacing w:before="0" w:after="0"/>
              <w:ind w:left="808" w:hanging="360"/>
              <w:rPr>
                <w:rFonts w:ascii="Symbol" w:hAnsi="Symbol"/>
                <w:bCs/>
                <w:sz w:val="24"/>
              </w:rPr>
            </w:pPr>
            <w:r w:rsidRPr="00D51A68">
              <w:rPr>
                <w:rFonts w:ascii="Symbol" w:hAnsi="Symbol"/>
                <w:bCs/>
                <w:sz w:val="24"/>
                <w:lang w:eastAsia="de-DE"/>
              </w:rPr>
              <w:t></w:t>
            </w:r>
            <w:r w:rsidRPr="00D51A68">
              <w:rPr>
                <w:rFonts w:ascii="Symbol" w:hAnsi="Symbol"/>
                <w:bCs/>
                <w:sz w:val="24"/>
                <w:lang w:eastAsia="de-DE"/>
              </w:rPr>
              <w:tab/>
            </w:r>
            <w:r w:rsidR="00125707" w:rsidRPr="00D51A68">
              <w:rPr>
                <w:rFonts w:ascii="Times New Roman" w:hAnsi="Times New Roman"/>
                <w:b/>
                <w:sz w:val="24"/>
              </w:rPr>
              <w:t>[ 3Y – 5Y [</w:t>
            </w:r>
            <w:r w:rsidR="00125707" w:rsidRPr="00D51A68">
              <w:rPr>
                <w:rFonts w:ascii="Times New Roman" w:hAnsi="Times New Roman"/>
                <w:sz w:val="24"/>
              </w:rPr>
              <w:t xml:space="preserve"> : pari o superiore a 1 095 giorni ma inferiore a 1 825 giorni</w:t>
            </w:r>
          </w:p>
          <w:p w:rsidR="00FD54FC" w:rsidRPr="00D51A68" w:rsidRDefault="0011279C" w:rsidP="0023700C">
            <w:pPr>
              <w:spacing w:before="0" w:after="0"/>
              <w:ind w:left="808" w:hanging="360"/>
              <w:rPr>
                <w:rFonts w:ascii="Symbol" w:hAnsi="Symbol"/>
                <w:bCs/>
                <w:sz w:val="24"/>
              </w:rPr>
            </w:pPr>
            <w:r w:rsidRPr="00D51A68">
              <w:rPr>
                <w:rFonts w:ascii="Symbol" w:hAnsi="Symbol"/>
                <w:bCs/>
                <w:sz w:val="24"/>
                <w:lang w:eastAsia="de-DE"/>
              </w:rPr>
              <w:t></w:t>
            </w:r>
            <w:r w:rsidRPr="00D51A68">
              <w:rPr>
                <w:rFonts w:ascii="Symbol" w:hAnsi="Symbol"/>
                <w:bCs/>
                <w:sz w:val="24"/>
                <w:lang w:eastAsia="de-DE"/>
              </w:rPr>
              <w:tab/>
            </w:r>
            <w:r w:rsidR="00125707" w:rsidRPr="00D51A68">
              <w:rPr>
                <w:rFonts w:ascii="Times New Roman" w:hAnsi="Times New Roman"/>
                <w:b/>
                <w:sz w:val="24"/>
              </w:rPr>
              <w:t>[ 5Y – 10Y [</w:t>
            </w:r>
            <w:r w:rsidR="00125707" w:rsidRPr="00D51A68">
              <w:rPr>
                <w:rFonts w:ascii="Times New Roman" w:hAnsi="Times New Roman"/>
                <w:sz w:val="24"/>
              </w:rPr>
              <w:t xml:space="preserve"> : pari o superiore a 1 825 giorni ma inferiore a 3 650 giorni</w:t>
            </w:r>
          </w:p>
          <w:p w:rsidR="00FD54FC" w:rsidRPr="00D51A68" w:rsidRDefault="0011279C" w:rsidP="0023700C">
            <w:pPr>
              <w:spacing w:before="0" w:after="0"/>
              <w:ind w:left="808" w:hanging="360"/>
              <w:rPr>
                <w:rFonts w:ascii="Symbol" w:hAnsi="Symbol"/>
                <w:bCs/>
                <w:sz w:val="24"/>
              </w:rPr>
            </w:pPr>
            <w:r w:rsidRPr="00D51A68">
              <w:rPr>
                <w:rFonts w:ascii="Symbol" w:hAnsi="Symbol"/>
                <w:bCs/>
                <w:sz w:val="24"/>
                <w:lang w:eastAsia="de-DE"/>
              </w:rPr>
              <w:t></w:t>
            </w:r>
            <w:r w:rsidRPr="00D51A68">
              <w:rPr>
                <w:rFonts w:ascii="Symbol" w:hAnsi="Symbol"/>
                <w:bCs/>
                <w:sz w:val="24"/>
                <w:lang w:eastAsia="de-DE"/>
              </w:rPr>
              <w:tab/>
            </w:r>
            <w:r w:rsidR="00125707" w:rsidRPr="00D51A68">
              <w:rPr>
                <w:rFonts w:ascii="Times New Roman" w:hAnsi="Times New Roman"/>
                <w:b/>
                <w:sz w:val="24"/>
              </w:rPr>
              <w:t>[ 10Y – more</w:t>
            </w:r>
            <w:r w:rsidR="00125707" w:rsidRPr="00D51A68">
              <w:rPr>
                <w:rFonts w:ascii="Times New Roman" w:hAnsi="Times New Roman"/>
                <w:sz w:val="24"/>
              </w:rPr>
              <w:t xml:space="preserve"> : pari o superiore a 3 650 giorni </w:t>
            </w:r>
          </w:p>
          <w:p w:rsidR="00FD54FC" w:rsidRPr="00D51A68" w:rsidRDefault="00FD54FC" w:rsidP="00FD54FC">
            <w:pPr>
              <w:spacing w:before="0" w:after="0"/>
              <w:ind w:left="33"/>
              <w:rPr>
                <w:rFonts w:ascii="Times New Roman" w:hAnsi="Times New Roman"/>
                <w:bCs/>
                <w:sz w:val="24"/>
              </w:rPr>
            </w:pPr>
          </w:p>
        </w:tc>
      </w:tr>
    </w:tbl>
    <w:p w:rsidR="00FD54FC" w:rsidRPr="00D51A68" w:rsidRDefault="00FD54FC" w:rsidP="006452A4">
      <w:pPr>
        <w:spacing w:after="0"/>
        <w:rPr>
          <w:rStyle w:val="InstructionsTabelleText"/>
          <w:rFonts w:ascii="Times New Roman" w:hAnsi="Times New Roman"/>
          <w:sz w:val="24"/>
        </w:rPr>
      </w:pPr>
    </w:p>
    <w:sectPr w:rsidR="00FD54FC" w:rsidRPr="00D51A68" w:rsidSect="00B51F42">
      <w:footerReference w:type="even" r:id="rId13"/>
      <w:footerReference w:type="default" r:id="rId14"/>
      <w:headerReference w:type="first" r:id="rId15"/>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183F" w:rsidRDefault="0073183F" w:rsidP="00D946DB">
      <w:pPr>
        <w:spacing w:before="0" w:after="0"/>
      </w:pPr>
      <w:r>
        <w:separator/>
      </w:r>
    </w:p>
  </w:endnote>
  <w:endnote w:type="continuationSeparator" w:id="0">
    <w:p w:rsidR="0073183F" w:rsidRDefault="0073183F" w:rsidP="00D946DB">
      <w:pPr>
        <w:spacing w:before="0" w:after="0"/>
      </w:pPr>
      <w:r>
        <w:continuationSeparator/>
      </w:r>
    </w:p>
  </w:endnote>
  <w:endnote w:type="continuationNotice" w:id="1">
    <w:p w:rsidR="0073183F" w:rsidRDefault="0073183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EU Albertin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183F" w:rsidRPr="00ED1956" w:rsidRDefault="0073183F">
    <w:pPr>
      <w:pStyle w:val="Footer"/>
      <w:jc w:val="right"/>
      <w:rPr>
        <w:rFonts w:ascii="Times New Roman" w:hAnsi="Times New Roman"/>
        <w:sz w:val="22"/>
        <w:szCs w:val="22"/>
      </w:rPr>
    </w:pPr>
    <w:r w:rsidRPr="00ED1956">
      <w:rPr>
        <w:rFonts w:ascii="Times New Roman" w:hAnsi="Times New Roman"/>
        <w:sz w:val="22"/>
        <w:szCs w:val="22"/>
      </w:rPr>
      <w:fldChar w:fldCharType="begin"/>
    </w:r>
    <w:r w:rsidRPr="00ED1956">
      <w:rPr>
        <w:rFonts w:ascii="Times New Roman" w:hAnsi="Times New Roman"/>
        <w:sz w:val="22"/>
        <w:szCs w:val="22"/>
      </w:rPr>
      <w:instrText xml:space="preserve"> PAGE   \* MERGEFORMAT </w:instrText>
    </w:r>
    <w:r w:rsidRPr="00ED1956">
      <w:rPr>
        <w:rFonts w:ascii="Times New Roman" w:hAnsi="Times New Roman"/>
        <w:sz w:val="22"/>
        <w:szCs w:val="22"/>
      </w:rPr>
      <w:fldChar w:fldCharType="separate"/>
    </w:r>
    <w:r w:rsidR="00DB339B">
      <w:rPr>
        <w:rFonts w:ascii="Times New Roman" w:hAnsi="Times New Roman"/>
        <w:noProof/>
        <w:sz w:val="22"/>
        <w:szCs w:val="22"/>
      </w:rPr>
      <w:t>7</w:t>
    </w:r>
    <w:r w:rsidRPr="00ED1956">
      <w:rPr>
        <w:rFonts w:ascii="Times New Roman" w:hAnsi="Times New Roman"/>
        <w:sz w:val="22"/>
        <w:szCs w:val="22"/>
      </w:rPr>
      <w:fldChar w:fldCharType="end"/>
    </w:r>
  </w:p>
  <w:p w:rsidR="0073183F" w:rsidRDefault="0073183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183F" w:rsidRPr="00E85358" w:rsidRDefault="0073183F">
    <w:pPr>
      <w:pStyle w:val="Footer"/>
      <w:jc w:val="right"/>
      <w:rPr>
        <w:sz w:val="22"/>
        <w:szCs w:val="22"/>
      </w:rPr>
    </w:pPr>
    <w:r w:rsidRPr="00E85358">
      <w:rPr>
        <w:sz w:val="22"/>
        <w:szCs w:val="22"/>
      </w:rPr>
      <w:fldChar w:fldCharType="begin"/>
    </w:r>
    <w:r w:rsidRPr="00E85358">
      <w:rPr>
        <w:sz w:val="22"/>
        <w:szCs w:val="22"/>
      </w:rPr>
      <w:instrText xml:space="preserve"> PAGE   \* MERGEFORMAT </w:instrText>
    </w:r>
    <w:r w:rsidRPr="00E85358">
      <w:rPr>
        <w:sz w:val="22"/>
        <w:szCs w:val="22"/>
      </w:rPr>
      <w:fldChar w:fldCharType="separate"/>
    </w:r>
    <w:r w:rsidR="00DB339B">
      <w:rPr>
        <w:noProof/>
        <w:sz w:val="22"/>
        <w:szCs w:val="22"/>
      </w:rPr>
      <w:t>1</w:t>
    </w:r>
    <w:r w:rsidRPr="00E85358">
      <w:rPr>
        <w:noProof/>
        <w:sz w:val="22"/>
        <w:szCs w:val="22"/>
      </w:rPr>
      <w:fldChar w:fldCharType="end"/>
    </w:r>
  </w:p>
  <w:p w:rsidR="0073183F" w:rsidRDefault="0073183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183F" w:rsidRDefault="0073183F">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noProof/>
        <w:szCs w:val="22"/>
      </w:rPr>
      <w:t>183</w:t>
    </w:r>
    <w:r>
      <w:rPr>
        <w:rStyle w:val="PageNumber"/>
        <w:szCs w:val="22"/>
      </w:rPr>
      <w:fldChar w:fldCharType="end"/>
    </w:r>
  </w:p>
  <w:p w:rsidR="0073183F" w:rsidRDefault="0073183F">
    <w:pPr>
      <w:pStyle w:val="Foote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183F" w:rsidRPr="00ED1956" w:rsidRDefault="0073183F">
    <w:pPr>
      <w:pStyle w:val="Footer"/>
      <w:jc w:val="right"/>
      <w:rPr>
        <w:rFonts w:ascii="Times New Roman" w:hAnsi="Times New Roman"/>
        <w:sz w:val="20"/>
        <w:szCs w:val="20"/>
      </w:rPr>
    </w:pPr>
    <w:r w:rsidRPr="00ED1956">
      <w:rPr>
        <w:rFonts w:ascii="Times New Roman" w:hAnsi="Times New Roman"/>
        <w:sz w:val="20"/>
        <w:szCs w:val="20"/>
      </w:rPr>
      <w:fldChar w:fldCharType="begin"/>
    </w:r>
    <w:r w:rsidRPr="00ED1956">
      <w:rPr>
        <w:rFonts w:ascii="Times New Roman" w:hAnsi="Times New Roman"/>
        <w:sz w:val="20"/>
        <w:szCs w:val="20"/>
      </w:rPr>
      <w:instrText xml:space="preserve"> PAGE   \* MERGEFORMAT </w:instrText>
    </w:r>
    <w:r w:rsidRPr="00ED1956">
      <w:rPr>
        <w:rFonts w:ascii="Times New Roman" w:hAnsi="Times New Roman"/>
        <w:sz w:val="20"/>
        <w:szCs w:val="20"/>
      </w:rPr>
      <w:fldChar w:fldCharType="separate"/>
    </w:r>
    <w:r w:rsidR="00DB339B">
      <w:rPr>
        <w:rFonts w:ascii="Times New Roman" w:hAnsi="Times New Roman"/>
        <w:noProof/>
        <w:sz w:val="20"/>
        <w:szCs w:val="20"/>
      </w:rPr>
      <w:t>30</w:t>
    </w:r>
    <w:r w:rsidRPr="00ED1956">
      <w:rPr>
        <w:rFonts w:ascii="Times New Roman" w:hAnsi="Times New Roman"/>
        <w:sz w:val="20"/>
        <w:szCs w:val="20"/>
      </w:rPr>
      <w:fldChar w:fldCharType="end"/>
    </w:r>
  </w:p>
  <w:p w:rsidR="0073183F" w:rsidRPr="00A772B4" w:rsidRDefault="0073183F" w:rsidP="00A772B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183F" w:rsidRDefault="0073183F" w:rsidP="00D946DB">
      <w:pPr>
        <w:spacing w:before="0" w:after="0"/>
      </w:pPr>
      <w:r>
        <w:separator/>
      </w:r>
    </w:p>
  </w:footnote>
  <w:footnote w:type="continuationSeparator" w:id="0">
    <w:p w:rsidR="0073183F" w:rsidRDefault="0073183F" w:rsidP="00D946DB">
      <w:pPr>
        <w:spacing w:before="0" w:after="0"/>
      </w:pPr>
      <w:r>
        <w:continuationSeparator/>
      </w:r>
    </w:p>
  </w:footnote>
  <w:footnote w:type="continuationNotice" w:id="1">
    <w:p w:rsidR="0073183F" w:rsidRDefault="0073183F">
      <w:pPr>
        <w:spacing w:before="0" w:after="0"/>
      </w:pPr>
    </w:p>
  </w:footnote>
  <w:footnote w:id="2">
    <w:p w:rsidR="0073183F" w:rsidRPr="0017440D" w:rsidRDefault="0073183F" w:rsidP="00612780">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I dati richiesti agli enti in questo modello sono segnalati su base accumulata per l’anno civile della segnalazione (ossia dal 1° gennaio dell’anno corrente).</w:t>
      </w:r>
    </w:p>
  </w:footnote>
  <w:footnote w:id="3">
    <w:p w:rsidR="0073183F" w:rsidRPr="0017440D" w:rsidRDefault="0073183F" w:rsidP="00612780">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Gli “enti autonomi” non fanno parte di un gruppo né si consolidano nello stesso paese in cui sono soggetti ai requisiti di fondi propri.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183F" w:rsidRDefault="0073183F">
    <w:pP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2">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5">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6">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8">
    <w:nsid w:val="2F7D7F02"/>
    <w:multiLevelType w:val="multilevel"/>
    <w:tmpl w:val="0407001D"/>
    <w:numStyleLink w:val="Formatvorlage3"/>
  </w:abstractNum>
  <w:abstractNum w:abstractNumId="9">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1">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2">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4">
    <w:nsid w:val="452C785C"/>
    <w:multiLevelType w:val="multilevel"/>
    <w:tmpl w:val="5D7A9F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6">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7">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9">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0">
    <w:nsid w:val="540874B6"/>
    <w:multiLevelType w:val="hybridMultilevel"/>
    <w:tmpl w:val="87D6BA38"/>
    <w:lvl w:ilvl="0" w:tplc="75941414">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2">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3">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4">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6">
    <w:nsid w:val="64BE1E33"/>
    <w:multiLevelType w:val="multilevel"/>
    <w:tmpl w:val="D29C4EFC"/>
    <w:lvl w:ilvl="0">
      <w:start w:val="1"/>
      <w:numFmt w:val="decimal"/>
      <w:lvlText w:val="%1."/>
      <w:lvlJc w:val="left"/>
      <w:pPr>
        <w:ind w:left="357" w:hanging="357"/>
      </w:pPr>
      <w:rPr>
        <w:rFonts w:cs="Times New Roman" w:hint="default"/>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7">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8">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9">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1">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2">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3">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 w:numId="2">
    <w:abstractNumId w:val="23"/>
  </w:num>
  <w:num w:numId="3">
    <w:abstractNumId w:val="32"/>
  </w:num>
  <w:num w:numId="4">
    <w:abstractNumId w:val="16"/>
  </w:num>
  <w:num w:numId="5">
    <w:abstractNumId w:val="28"/>
  </w:num>
  <w:num w:numId="6">
    <w:abstractNumId w:val="12"/>
  </w:num>
  <w:num w:numId="7">
    <w:abstractNumId w:val="31"/>
  </w:num>
  <w:num w:numId="8">
    <w:abstractNumId w:val="6"/>
  </w:num>
  <w:num w:numId="9">
    <w:abstractNumId w:val="25"/>
  </w:num>
  <w:num w:numId="10">
    <w:abstractNumId w:val="11"/>
  </w:num>
  <w:num w:numId="11">
    <w:abstractNumId w:val="18"/>
  </w:num>
  <w:num w:numId="12">
    <w:abstractNumId w:val="7"/>
  </w:num>
  <w:num w:numId="13">
    <w:abstractNumId w:val="27"/>
  </w:num>
  <w:num w:numId="14">
    <w:abstractNumId w:val="22"/>
  </w:num>
  <w:num w:numId="15">
    <w:abstractNumId w:val="9"/>
  </w:num>
  <w:num w:numId="16">
    <w:abstractNumId w:val="17"/>
  </w:num>
  <w:num w:numId="17">
    <w:abstractNumId w:val="8"/>
  </w:num>
  <w:num w:numId="18">
    <w:abstractNumId w:val="29"/>
  </w:num>
  <w:num w:numId="19">
    <w:abstractNumId w:val="1"/>
  </w:num>
  <w:num w:numId="20">
    <w:abstractNumId w:val="4"/>
  </w:num>
  <w:num w:numId="21">
    <w:abstractNumId w:val="10"/>
  </w:num>
  <w:num w:numId="22">
    <w:abstractNumId w:val="15"/>
  </w:num>
  <w:num w:numId="23">
    <w:abstractNumId w:val="21"/>
  </w:num>
  <w:num w:numId="24">
    <w:abstractNumId w:val="30"/>
  </w:num>
  <w:num w:numId="25">
    <w:abstractNumId w:val="5"/>
  </w:num>
  <w:num w:numId="26">
    <w:abstractNumId w:val="13"/>
  </w:num>
  <w:num w:numId="27">
    <w:abstractNumId w:val="19"/>
  </w:num>
  <w:num w:numId="28">
    <w:abstractNumId w:val="2"/>
  </w:num>
  <w:num w:numId="29">
    <w:abstractNumId w:val="14"/>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
  </w:num>
  <w:num w:numId="39">
    <w:abstractNumId w:val="20"/>
  </w:num>
  <w:num w:numId="40">
    <w:abstractNumId w:val="27"/>
  </w:num>
  <w:num w:numId="41">
    <w:abstractNumId w:val="26"/>
  </w:num>
  <w:num w:numId="42">
    <w:abstractNumId w:val="27"/>
  </w:num>
  <w:num w:numId="43">
    <w:abstractNumId w:val="27"/>
  </w:num>
  <w:num w:numId="44">
    <w:abstractNumId w:val="27"/>
  </w:num>
  <w:num w:numId="45">
    <w:abstractNumId w:val="9"/>
  </w:num>
  <w:num w:numId="46">
    <w:abstractNumId w:val="24"/>
  </w:num>
  <w:num w:numId="47">
    <w:abstractNumId w:val="9"/>
  </w:num>
  <w:num w:numId="48">
    <w:abstractNumId w:val="9"/>
  </w:num>
  <w:num w:numId="49">
    <w:abstractNumId w:val="9"/>
  </w:num>
  <w:num w:numId="50">
    <w:abstractNumId w:val="9"/>
  </w:num>
  <w:num w:numId="51">
    <w:abstractNumId w:val="27"/>
  </w:num>
  <w:num w:numId="52">
    <w:abstractNumId w:val="27"/>
  </w:num>
  <w:num w:numId="53">
    <w:abstractNumId w:val="9"/>
  </w:num>
  <w:num w:numId="54">
    <w:abstractNumId w:val="9"/>
  </w:num>
  <w:num w:numId="55">
    <w:abstractNumId w:val="9"/>
  </w:num>
  <w:num w:numId="56">
    <w:abstractNumId w:val="9"/>
  </w:num>
  <w:num w:numId="57">
    <w:abstractNumId w:val="33"/>
  </w:num>
  <w:num w:numId="58">
    <w:abstractNumId w:val="9"/>
  </w:num>
  <w:num w:numId="59">
    <w:abstractNumId w:val="9"/>
  </w:num>
  <w:num w:numId="60">
    <w:abstractNumId w:val="9"/>
  </w:num>
  <w:num w:numId="61">
    <w:abstractNumId w:val="9"/>
  </w:num>
  <w:num w:numId="62">
    <w:abstractNumId w:val="9"/>
  </w:num>
  <w:num w:numId="63">
    <w:abstractNumId w:val="9"/>
  </w:num>
  <w:num w:numId="64">
    <w:abstractNumId w:val="9"/>
  </w:num>
  <w:num w:numId="65">
    <w:abstractNumId w:val="9"/>
  </w:num>
  <w:num w:numId="66">
    <w:abstractNumId w:val="9"/>
  </w:num>
  <w:num w:numId="67">
    <w:abstractNumId w:val="9"/>
  </w:num>
  <w:num w:numId="68">
    <w:abstractNumId w:val="9"/>
  </w:num>
  <w:num w:numId="69">
    <w:abstractNumId w:val="9"/>
  </w:num>
  <w:num w:numId="70">
    <w:abstractNumId w:val="9"/>
  </w:num>
  <w:num w:numId="71">
    <w:abstractNumId w:val="9"/>
  </w:num>
  <w:num w:numId="72">
    <w:abstractNumId w:val="9"/>
  </w:num>
  <w:num w:numId="73">
    <w:abstractNumId w:val="9"/>
  </w:num>
  <w:num w:numId="74">
    <w:abstractNumId w:val="9"/>
  </w:num>
  <w:num w:numId="75">
    <w:abstractNumId w:val="9"/>
  </w:num>
  <w:num w:numId="76">
    <w:abstractNumId w:val="9"/>
  </w:num>
  <w:num w:numId="77">
    <w:abstractNumId w:val="9"/>
  </w:num>
  <w:num w:numId="78">
    <w:abstractNumId w:val="9"/>
  </w:num>
  <w:num w:numId="79">
    <w:abstractNumId w:val="9"/>
  </w:num>
  <w:num w:numId="80">
    <w:abstractNumId w:val="9"/>
  </w:num>
  <w:num w:numId="81">
    <w:abstractNumId w:val="9"/>
  </w:num>
  <w:num w:numId="82">
    <w:abstractNumId w:val="9"/>
  </w:num>
  <w:num w:numId="83">
    <w:abstractNumId w:val="9"/>
  </w:num>
  <w:num w:numId="84">
    <w:abstractNumId w:val="9"/>
  </w:num>
  <w:num w:numId="85">
    <w:abstractNumId w:val="9"/>
  </w:num>
  <w:num w:numId="86">
    <w:abstractNumId w:val="9"/>
  </w:num>
  <w:num w:numId="87">
    <w:abstractNumId w:val="9"/>
  </w:num>
  <w:num w:numId="88">
    <w:abstractNumId w:val="9"/>
  </w:num>
  <w:num w:numId="89">
    <w:abstractNumId w:val="9"/>
  </w:num>
  <w:num w:numId="90">
    <w:abstractNumId w:val="9"/>
  </w:num>
  <w:num w:numId="91">
    <w:abstractNumId w:val="9"/>
  </w:num>
  <w:num w:numId="92">
    <w:abstractNumId w:val="9"/>
  </w:num>
  <w:num w:numId="93">
    <w:abstractNumId w:val="9"/>
  </w:num>
  <w:num w:numId="94">
    <w:abstractNumId w:val="9"/>
  </w:num>
  <w:num w:numId="95">
    <w:abstractNumId w:val="9"/>
  </w:num>
  <w:num w:numId="96">
    <w:abstractNumId w:val="9"/>
  </w:num>
  <w:num w:numId="97">
    <w:abstractNumId w:val="9"/>
  </w:num>
  <w:num w:numId="98">
    <w:abstractNumId w:val="9"/>
  </w:num>
  <w:num w:numId="99">
    <w:abstractNumId w:val="9"/>
  </w:num>
  <w:num w:numId="100">
    <w:abstractNumId w:val="9"/>
  </w:num>
  <w:num w:numId="101">
    <w:abstractNumId w:val="9"/>
  </w:num>
  <w:num w:numId="102">
    <w:abstractNumId w:val="9"/>
  </w:num>
  <w:num w:numId="103">
    <w:abstractNumId w:val="9"/>
  </w:num>
  <w:num w:numId="104">
    <w:abstractNumId w:val="9"/>
  </w:num>
  <w:num w:numId="105">
    <w:abstractNumId w:val="9"/>
  </w:num>
  <w:num w:numId="106">
    <w:abstractNumId w:val="9"/>
  </w:num>
  <w:num w:numId="107">
    <w:abstractNumId w:val="9"/>
  </w:num>
  <w:num w:numId="108">
    <w:abstractNumId w:val="9"/>
  </w:num>
  <w:num w:numId="109">
    <w:abstractNumId w:val="9"/>
  </w:num>
  <w:num w:numId="110">
    <w:abstractNumId w:val="9"/>
  </w:num>
  <w:num w:numId="111">
    <w:abstractNumId w:val="9"/>
  </w:num>
  <w:num w:numId="112">
    <w:abstractNumId w:val="9"/>
  </w:num>
  <w:num w:numId="113">
    <w:abstractNumId w:val="9"/>
  </w:num>
  <w:num w:numId="114">
    <w:abstractNumId w:val="9"/>
  </w:num>
  <w:num w:numId="115">
    <w:abstractNumId w:val="9"/>
  </w:num>
  <w:num w:numId="116">
    <w:abstractNumId w:val="9"/>
  </w:num>
  <w:num w:numId="117">
    <w:abstractNumId w:val="9"/>
  </w:num>
  <w:num w:numId="118">
    <w:abstractNumId w:val="9"/>
  </w:num>
  <w:num w:numId="119">
    <w:abstractNumId w:val="9"/>
  </w:num>
  <w:num w:numId="120">
    <w:abstractNumId w:val="9"/>
  </w:num>
  <w:num w:numId="121">
    <w:abstractNumId w:val="9"/>
  </w:num>
  <w:num w:numId="122">
    <w:abstractNumId w:val="9"/>
  </w:num>
  <w:num w:numId="123">
    <w:abstractNumId w:val="9"/>
  </w:num>
  <w:num w:numId="124">
    <w:abstractNumId w:val="9"/>
  </w:num>
  <w:num w:numId="125">
    <w:abstractNumId w:val="9"/>
  </w:num>
  <w:num w:numId="126">
    <w:abstractNumId w:val="9"/>
  </w:num>
  <w:num w:numId="127">
    <w:abstractNumId w:val="9"/>
  </w:num>
  <w:num w:numId="128">
    <w:abstractNumId w:val="9"/>
  </w:num>
  <w:num w:numId="129">
    <w:abstractNumId w:val="9"/>
  </w:num>
  <w:num w:numId="130">
    <w:abstractNumId w:val="9"/>
  </w:num>
  <w:num w:numId="131">
    <w:abstractNumId w:val="9"/>
  </w:num>
  <w:num w:numId="132">
    <w:abstractNumId w:val="9"/>
  </w:num>
  <w:num w:numId="133">
    <w:abstractNumId w:val="9"/>
  </w:num>
  <w:num w:numId="134">
    <w:abstractNumId w:val="9"/>
  </w:num>
  <w:num w:numId="135">
    <w:abstractNumId w:val="9"/>
  </w:num>
  <w:num w:numId="136">
    <w:abstractNumId w:val="9"/>
  </w:num>
  <w:num w:numId="137">
    <w:abstractNumId w:val="9"/>
  </w:num>
  <w:num w:numId="138">
    <w:abstractNumId w:val="9"/>
  </w:num>
  <w:num w:numId="139">
    <w:abstractNumId w:val="9"/>
  </w:num>
  <w:num w:numId="140">
    <w:abstractNumId w:val="9"/>
  </w:num>
  <w:num w:numId="141">
    <w:abstractNumId w:val="9"/>
  </w:num>
  <w:num w:numId="142">
    <w:abstractNumId w:val="9"/>
  </w:num>
  <w:num w:numId="143">
    <w:abstractNumId w:val="9"/>
  </w:num>
  <w:num w:numId="144">
    <w:abstractNumId w:val="9"/>
  </w:num>
  <w:num w:numId="145">
    <w:abstractNumId w:val="9"/>
  </w:num>
  <w:num w:numId="146">
    <w:abstractNumId w:val="9"/>
  </w:num>
  <w:num w:numId="147">
    <w:abstractNumId w:val="9"/>
  </w:num>
  <w:num w:numId="148">
    <w:abstractNumId w:val="9"/>
  </w:num>
  <w:num w:numId="149">
    <w:abstractNumId w:val="9"/>
  </w:num>
  <w:num w:numId="150">
    <w:abstractNumId w:val="9"/>
  </w:num>
  <w:num w:numId="151">
    <w:abstractNumId w:val="9"/>
  </w:num>
  <w:num w:numId="152">
    <w:abstractNumId w:val="9"/>
  </w:num>
  <w:num w:numId="153">
    <w:abstractNumId w:val="9"/>
  </w:num>
  <w:num w:numId="154">
    <w:abstractNumId w:val="9"/>
  </w:num>
  <w:num w:numId="155">
    <w:abstractNumId w:val="9"/>
  </w:num>
  <w:num w:numId="156">
    <w:abstractNumId w:val="9"/>
  </w:num>
  <w:num w:numId="157">
    <w:abstractNumId w:val="9"/>
  </w:num>
  <w:num w:numId="158">
    <w:abstractNumId w:val="9"/>
  </w:num>
  <w:num w:numId="159">
    <w:abstractNumId w:val="9"/>
  </w:num>
  <w:num w:numId="160">
    <w:abstractNumId w:val="9"/>
  </w:num>
  <w:num w:numId="161">
    <w:abstractNumId w:val="9"/>
  </w:num>
  <w:num w:numId="162">
    <w:abstractNumId w:val="9"/>
  </w:num>
  <w:num w:numId="163">
    <w:abstractNumId w:val="9"/>
  </w:num>
  <w:num w:numId="164">
    <w:abstractNumId w:val="9"/>
  </w:num>
  <w:num w:numId="165">
    <w:abstractNumId w:val="9"/>
  </w:num>
  <w:num w:numId="166">
    <w:abstractNumId w:val="9"/>
  </w:num>
  <w:num w:numId="167">
    <w:abstractNumId w:val="9"/>
  </w:num>
  <w:num w:numId="168">
    <w:abstractNumId w:val="9"/>
  </w:num>
  <w:num w:numId="169">
    <w:abstractNumId w:val="9"/>
  </w:num>
  <w:num w:numId="170">
    <w:abstractNumId w:val="9"/>
  </w:num>
  <w:num w:numId="171">
    <w:abstractNumId w:val="9"/>
  </w:num>
  <w:num w:numId="172">
    <w:abstractNumId w:val="9"/>
  </w:num>
  <w:num w:numId="173">
    <w:abstractNumId w:val="9"/>
  </w:num>
  <w:num w:numId="174">
    <w:abstractNumId w:val="9"/>
  </w:num>
  <w:num w:numId="175">
    <w:abstractNumId w:val="9"/>
  </w:num>
  <w:num w:numId="176">
    <w:abstractNumId w:val="9"/>
  </w:num>
  <w:num w:numId="177">
    <w:abstractNumId w:val="9"/>
  </w:num>
  <w:num w:numId="178">
    <w:abstractNumId w:val="9"/>
  </w:num>
  <w:num w:numId="179">
    <w:abstractNumId w:val="9"/>
  </w:num>
  <w:num w:numId="180">
    <w:abstractNumId w:val="9"/>
  </w:num>
  <w:num w:numId="181">
    <w:abstractNumId w:val="9"/>
  </w:num>
  <w:num w:numId="182">
    <w:abstractNumId w:val="9"/>
  </w:num>
  <w:num w:numId="183">
    <w:abstractNumId w:val="9"/>
  </w:num>
  <w:num w:numId="184">
    <w:abstractNumId w:val="9"/>
  </w:num>
  <w:num w:numId="185">
    <w:abstractNumId w:val="9"/>
  </w:num>
  <w:num w:numId="186">
    <w:abstractNumId w:val="9"/>
  </w:num>
  <w:num w:numId="187">
    <w:abstractNumId w:val="9"/>
  </w:num>
  <w:num w:numId="188">
    <w:abstractNumId w:val="9"/>
  </w:num>
  <w:num w:numId="189">
    <w:abstractNumId w:val="9"/>
  </w:num>
  <w:num w:numId="190">
    <w:abstractNumId w:val="9"/>
  </w:num>
  <w:num w:numId="191">
    <w:abstractNumId w:val="9"/>
  </w:num>
  <w:num w:numId="192">
    <w:abstractNumId w:val="9"/>
  </w:num>
  <w:num w:numId="193">
    <w:abstractNumId w:val="9"/>
  </w:num>
  <w:num w:numId="194">
    <w:abstractNumId w:val="9"/>
  </w:num>
  <w:num w:numId="195">
    <w:abstractNumId w:val="9"/>
  </w:num>
  <w:num w:numId="196">
    <w:abstractNumId w:val="9"/>
  </w:num>
  <w:num w:numId="197">
    <w:abstractNumId w:val="9"/>
  </w:num>
  <w:num w:numId="198">
    <w:abstractNumId w:val="9"/>
  </w:num>
  <w:num w:numId="199">
    <w:abstractNumId w:val="9"/>
  </w:num>
  <w:num w:numId="200">
    <w:abstractNumId w:val="9"/>
  </w:num>
  <w:num w:numId="201">
    <w:abstractNumId w:val="9"/>
  </w:num>
  <w:num w:numId="202">
    <w:abstractNumId w:val="9"/>
  </w:num>
  <w:num w:numId="203">
    <w:abstractNumId w:val="9"/>
  </w:num>
  <w:num w:numId="204">
    <w:abstractNumId w:val="9"/>
  </w:num>
  <w:num w:numId="205">
    <w:abstractNumId w:val="9"/>
  </w:num>
  <w:num w:numId="206">
    <w:abstractNumId w:val="9"/>
  </w:num>
  <w:num w:numId="207">
    <w:abstractNumId w:val="9"/>
  </w:num>
  <w:num w:numId="208">
    <w:abstractNumId w:val="9"/>
  </w:num>
  <w:num w:numId="209">
    <w:abstractNumId w:val="9"/>
  </w:num>
  <w:num w:numId="210">
    <w:abstractNumId w:val="9"/>
  </w:num>
  <w:num w:numId="211">
    <w:abstractNumId w:val="9"/>
  </w:num>
  <w:num w:numId="212">
    <w:abstractNumId w:val="9"/>
  </w:num>
  <w:num w:numId="213">
    <w:abstractNumId w:val="9"/>
  </w:num>
  <w:num w:numId="214">
    <w:abstractNumId w:val="9"/>
  </w:num>
  <w:num w:numId="215">
    <w:abstractNumId w:val="9"/>
  </w:num>
  <w:num w:numId="216">
    <w:abstractNumId w:val="9"/>
  </w:num>
  <w:num w:numId="217">
    <w:abstractNumId w:val="9"/>
  </w:num>
  <w:num w:numId="218">
    <w:abstractNumId w:val="9"/>
  </w:num>
  <w:num w:numId="219">
    <w:abstractNumId w:val="9"/>
  </w:num>
  <w:num w:numId="220">
    <w:abstractNumId w:val="9"/>
  </w:num>
  <w:num w:numId="221">
    <w:abstractNumId w:val="9"/>
  </w:num>
  <w:num w:numId="222">
    <w:abstractNumId w:val="9"/>
  </w:num>
  <w:num w:numId="223">
    <w:abstractNumId w:val="9"/>
  </w:num>
  <w:num w:numId="224">
    <w:abstractNumId w:val="9"/>
  </w:num>
  <w:num w:numId="225">
    <w:abstractNumId w:val="9"/>
  </w:num>
  <w:num w:numId="226">
    <w:abstractNumId w:val="9"/>
  </w:num>
  <w:num w:numId="227">
    <w:abstractNumId w:val="9"/>
  </w:num>
  <w:num w:numId="228">
    <w:abstractNumId w:val="9"/>
  </w:num>
  <w:num w:numId="229">
    <w:abstractNumId w:val="9"/>
  </w:num>
  <w:num w:numId="230">
    <w:abstractNumId w:val="9"/>
  </w:num>
  <w:num w:numId="231">
    <w:abstractNumId w:val="9"/>
  </w:num>
  <w:num w:numId="232">
    <w:abstractNumId w:val="9"/>
  </w:num>
  <w:num w:numId="233">
    <w:abstractNumId w:val="9"/>
  </w:num>
  <w:num w:numId="234">
    <w:abstractNumId w:val="9"/>
  </w:num>
  <w:num w:numId="235">
    <w:abstractNumId w:val="9"/>
  </w:num>
  <w:num w:numId="236">
    <w:abstractNumId w:val="9"/>
  </w:num>
  <w:num w:numId="237">
    <w:abstractNumId w:val="9"/>
  </w:num>
  <w:num w:numId="238">
    <w:abstractNumId w:val="9"/>
  </w:num>
  <w:num w:numId="239">
    <w:abstractNumId w:val="9"/>
  </w:num>
  <w:num w:numId="240">
    <w:abstractNumId w:val="9"/>
  </w:num>
  <w:num w:numId="241">
    <w:abstractNumId w:val="9"/>
  </w:num>
  <w:num w:numId="242">
    <w:abstractNumId w:val="9"/>
  </w:num>
  <w:num w:numId="243">
    <w:abstractNumId w:val="9"/>
  </w:num>
  <w:num w:numId="244">
    <w:abstractNumId w:val="9"/>
  </w:num>
  <w:num w:numId="245">
    <w:abstractNumId w:val="9"/>
  </w:num>
  <w:num w:numId="246">
    <w:abstractNumId w:val="9"/>
  </w:num>
  <w:num w:numId="247">
    <w:abstractNumId w:val="9"/>
  </w:num>
  <w:num w:numId="248">
    <w:abstractNumId w:val="9"/>
  </w:num>
  <w:num w:numId="249">
    <w:abstractNumId w:val="9"/>
  </w:num>
  <w:num w:numId="250">
    <w:abstractNumId w:val="9"/>
  </w:num>
  <w:num w:numId="251">
    <w:abstractNumId w:val="9"/>
  </w:num>
  <w:num w:numId="252">
    <w:abstractNumId w:val="9"/>
  </w:num>
  <w:num w:numId="253">
    <w:abstractNumId w:val="9"/>
  </w:num>
  <w:num w:numId="254">
    <w:abstractNumId w:val="9"/>
  </w:num>
  <w:num w:numId="255">
    <w:abstractNumId w:val="9"/>
  </w:num>
  <w:num w:numId="256">
    <w:abstractNumId w:val="9"/>
  </w:num>
  <w:num w:numId="257">
    <w:abstractNumId w:val="9"/>
  </w:num>
  <w:num w:numId="258">
    <w:abstractNumId w:val="9"/>
  </w:num>
  <w:num w:numId="259">
    <w:abstractNumId w:val="9"/>
  </w:num>
  <w:num w:numId="260">
    <w:abstractNumId w:val="9"/>
  </w:num>
  <w:num w:numId="261">
    <w:abstractNumId w:val="9"/>
  </w:num>
  <w:num w:numId="262">
    <w:abstractNumId w:val="9"/>
  </w:num>
  <w:num w:numId="263">
    <w:abstractNumId w:val="9"/>
  </w:num>
  <w:num w:numId="264">
    <w:abstractNumId w:val="9"/>
  </w:num>
  <w:num w:numId="265">
    <w:abstractNumId w:val="9"/>
  </w:num>
  <w:num w:numId="266">
    <w:abstractNumId w:val="9"/>
  </w:num>
  <w:num w:numId="267">
    <w:abstractNumId w:val="9"/>
  </w:num>
  <w:num w:numId="268">
    <w:abstractNumId w:val="9"/>
  </w:num>
  <w:num w:numId="269">
    <w:abstractNumId w:val="9"/>
  </w:num>
  <w:num w:numId="270">
    <w:abstractNumId w:val="9"/>
  </w:num>
  <w:num w:numId="271">
    <w:abstractNumId w:val="9"/>
  </w:num>
  <w:num w:numId="272">
    <w:abstractNumId w:val="9"/>
  </w:num>
  <w:num w:numId="273">
    <w:abstractNumId w:val="9"/>
  </w:num>
  <w:num w:numId="274">
    <w:abstractNumId w:val="9"/>
  </w:num>
  <w:num w:numId="275">
    <w:abstractNumId w:val="9"/>
  </w:num>
  <w:num w:numId="276">
    <w:abstractNumId w:val="9"/>
  </w:num>
  <w:num w:numId="277">
    <w:abstractNumId w:val="9"/>
  </w:num>
  <w:num w:numId="278">
    <w:abstractNumId w:val="9"/>
  </w:num>
  <w:num w:numId="279">
    <w:abstractNumId w:val="9"/>
  </w:num>
  <w:num w:numId="280">
    <w:abstractNumId w:val="9"/>
  </w:num>
  <w:num w:numId="281">
    <w:abstractNumId w:val="9"/>
  </w:num>
  <w:num w:numId="282">
    <w:abstractNumId w:val="9"/>
  </w:num>
  <w:num w:numId="283">
    <w:abstractNumId w:val="9"/>
  </w:num>
  <w:num w:numId="284">
    <w:abstractNumId w:val="9"/>
  </w:num>
  <w:num w:numId="285">
    <w:abstractNumId w:val="9"/>
  </w:num>
  <w:num w:numId="286">
    <w:abstractNumId w:val="9"/>
  </w:num>
  <w:num w:numId="287">
    <w:abstractNumId w:val="9"/>
  </w:num>
  <w:num w:numId="288">
    <w:abstractNumId w:val="9"/>
  </w:num>
  <w:num w:numId="289">
    <w:abstractNumId w:val="9"/>
  </w:num>
  <w:num w:numId="290">
    <w:abstractNumId w:val="9"/>
  </w:num>
  <w:num w:numId="291">
    <w:abstractNumId w:val="9"/>
  </w:num>
  <w:num w:numId="292">
    <w:abstractNumId w:val="9"/>
  </w:num>
  <w:num w:numId="293">
    <w:abstractNumId w:val="9"/>
  </w:num>
  <w:num w:numId="294">
    <w:abstractNumId w:val="9"/>
  </w:num>
  <w:num w:numId="295">
    <w:abstractNumId w:val="9"/>
  </w:num>
  <w:num w:numId="296">
    <w:abstractNumId w:val="9"/>
  </w:num>
  <w:num w:numId="297">
    <w:abstractNumId w:val="9"/>
  </w:num>
  <w:num w:numId="298">
    <w:abstractNumId w:val="9"/>
  </w:num>
  <w:num w:numId="299">
    <w:abstractNumId w:val="9"/>
  </w:num>
  <w:num w:numId="300">
    <w:abstractNumId w:val="9"/>
  </w:num>
  <w:num w:numId="301">
    <w:abstractNumId w:val="9"/>
  </w:num>
  <w:num w:numId="302">
    <w:abstractNumId w:val="9"/>
  </w:num>
  <w:num w:numId="303">
    <w:abstractNumId w:val="9"/>
  </w:num>
  <w:num w:numId="304">
    <w:abstractNumId w:val="9"/>
  </w:num>
  <w:num w:numId="305">
    <w:abstractNumId w:val="9"/>
  </w:num>
  <w:num w:numId="306">
    <w:abstractNumId w:val="9"/>
  </w:num>
  <w:num w:numId="307">
    <w:abstractNumId w:val="9"/>
  </w:num>
  <w:num w:numId="308">
    <w:abstractNumId w:val="9"/>
  </w:num>
  <w:num w:numId="309">
    <w:abstractNumId w:val="9"/>
  </w:num>
  <w:num w:numId="310">
    <w:abstractNumId w:val="9"/>
  </w:num>
  <w:num w:numId="311">
    <w:abstractNumId w:val="9"/>
  </w:num>
  <w:num w:numId="312">
    <w:abstractNumId w:val="9"/>
  </w:num>
  <w:num w:numId="313">
    <w:abstractNumId w:val="9"/>
  </w:num>
  <w:num w:numId="314">
    <w:abstractNumId w:val="9"/>
  </w:num>
  <w:num w:numId="315">
    <w:abstractNumId w:val="9"/>
  </w:num>
  <w:num w:numId="316">
    <w:abstractNumId w:val="9"/>
  </w:num>
  <w:num w:numId="317">
    <w:abstractNumId w:val="9"/>
  </w:num>
  <w:num w:numId="318">
    <w:abstractNumId w:val="9"/>
  </w:num>
  <w:num w:numId="319">
    <w:abstractNumId w:val="9"/>
  </w:num>
  <w:num w:numId="320">
    <w:abstractNumId w:val="9"/>
  </w:num>
  <w:num w:numId="321">
    <w:abstractNumId w:val="9"/>
  </w:num>
  <w:num w:numId="322">
    <w:abstractNumId w:val="9"/>
  </w:num>
  <w:num w:numId="323">
    <w:abstractNumId w:val="9"/>
  </w:num>
  <w:num w:numId="324">
    <w:abstractNumId w:val="9"/>
  </w:num>
  <w:num w:numId="325">
    <w:abstractNumId w:val="9"/>
  </w:num>
  <w:num w:numId="326">
    <w:abstractNumId w:val="9"/>
  </w:num>
  <w:num w:numId="327">
    <w:abstractNumId w:val="9"/>
  </w:num>
  <w:num w:numId="328">
    <w:abstractNumId w:val="9"/>
  </w:num>
  <w:num w:numId="329">
    <w:abstractNumId w:val="9"/>
  </w:num>
  <w:num w:numId="330">
    <w:abstractNumId w:val="9"/>
  </w:num>
  <w:num w:numId="331">
    <w:abstractNumId w:val="9"/>
  </w:num>
  <w:num w:numId="332">
    <w:abstractNumId w:val="9"/>
  </w:num>
  <w:num w:numId="333">
    <w:abstractNumId w:val="9"/>
  </w:num>
  <w:num w:numId="334">
    <w:abstractNumId w:val="9"/>
  </w:num>
  <w:num w:numId="335">
    <w:abstractNumId w:val="9"/>
  </w:num>
  <w:num w:numId="336">
    <w:abstractNumId w:val="9"/>
  </w:num>
  <w:num w:numId="337">
    <w:abstractNumId w:val="9"/>
  </w:num>
  <w:num w:numId="338">
    <w:abstractNumId w:val="9"/>
  </w:num>
  <w:num w:numId="339">
    <w:abstractNumId w:val="9"/>
  </w:num>
  <w:num w:numId="340">
    <w:abstractNumId w:val="9"/>
  </w:num>
  <w:num w:numId="341">
    <w:abstractNumId w:val="9"/>
  </w:num>
  <w:num w:numId="342">
    <w:abstractNumId w:val="9"/>
  </w:num>
  <w:num w:numId="343">
    <w:abstractNumId w:val="9"/>
  </w:num>
  <w:num w:numId="344">
    <w:abstractNumId w:val="9"/>
  </w:num>
  <w:num w:numId="345">
    <w:abstractNumId w:val="9"/>
  </w:num>
  <w:num w:numId="346">
    <w:abstractNumId w:val="9"/>
  </w:num>
  <w:num w:numId="347">
    <w:abstractNumId w:val="9"/>
  </w:num>
  <w:num w:numId="348">
    <w:abstractNumId w:val="9"/>
  </w:num>
  <w:num w:numId="349">
    <w:abstractNumId w:val="9"/>
  </w:num>
  <w:num w:numId="350">
    <w:abstractNumId w:val="9"/>
  </w:num>
  <w:num w:numId="351">
    <w:abstractNumId w:val="9"/>
  </w:num>
  <w:num w:numId="352">
    <w:abstractNumId w:val="9"/>
  </w:num>
  <w:num w:numId="353">
    <w:abstractNumId w:val="9"/>
  </w:num>
  <w:num w:numId="354">
    <w:abstractNumId w:val="9"/>
  </w:num>
  <w:num w:numId="355">
    <w:abstractNumId w:val="9"/>
  </w:num>
  <w:num w:numId="356">
    <w:abstractNumId w:val="9"/>
  </w:num>
  <w:num w:numId="357">
    <w:abstractNumId w:val="9"/>
  </w:num>
  <w:num w:numId="358">
    <w:abstractNumId w:val="9"/>
  </w:num>
  <w:num w:numId="359">
    <w:abstractNumId w:val="9"/>
  </w:num>
  <w:num w:numId="360">
    <w:abstractNumId w:val="9"/>
  </w:num>
  <w:num w:numId="361">
    <w:abstractNumId w:val="9"/>
  </w:num>
  <w:num w:numId="362">
    <w:abstractNumId w:val="9"/>
  </w:num>
  <w:num w:numId="363">
    <w:abstractNumId w:val="9"/>
  </w:num>
  <w:num w:numId="364">
    <w:abstractNumId w:val="9"/>
  </w:num>
  <w:num w:numId="365">
    <w:abstractNumId w:val="9"/>
  </w:num>
  <w:num w:numId="366">
    <w:abstractNumId w:val="9"/>
  </w:num>
  <w:num w:numId="367">
    <w:abstractNumId w:val="9"/>
  </w:num>
  <w:num w:numId="368">
    <w:abstractNumId w:val="9"/>
  </w:num>
  <w:num w:numId="369">
    <w:abstractNumId w:val="9"/>
  </w:num>
  <w:num w:numId="370">
    <w:abstractNumId w:val="9"/>
  </w:num>
  <w:num w:numId="371">
    <w:abstractNumId w:val="9"/>
  </w:num>
  <w:num w:numId="372">
    <w:abstractNumId w:val="9"/>
  </w:num>
  <w:num w:numId="373">
    <w:abstractNumId w:val="9"/>
  </w:num>
  <w:num w:numId="374">
    <w:abstractNumId w:val="9"/>
  </w:num>
  <w:num w:numId="375">
    <w:abstractNumId w:val="9"/>
  </w:num>
  <w:num w:numId="376">
    <w:abstractNumId w:val="9"/>
  </w:num>
  <w:num w:numId="377">
    <w:abstractNumId w:val="9"/>
  </w:num>
  <w:num w:numId="378">
    <w:abstractNumId w:val="9"/>
  </w:num>
  <w:num w:numId="379">
    <w:abstractNumId w:val="9"/>
  </w:num>
  <w:num w:numId="380">
    <w:abstractNumId w:val="9"/>
  </w:num>
  <w:num w:numId="381">
    <w:abstractNumId w:val="9"/>
  </w:num>
  <w:num w:numId="382">
    <w:abstractNumId w:val="9"/>
  </w:num>
  <w:num w:numId="383">
    <w:abstractNumId w:val="9"/>
  </w:num>
  <w:num w:numId="384">
    <w:abstractNumId w:val="9"/>
  </w:num>
  <w:num w:numId="385">
    <w:abstractNumId w:val="9"/>
  </w:num>
  <w:num w:numId="386">
    <w:abstractNumId w:val="9"/>
  </w:num>
  <w:num w:numId="387">
    <w:abstractNumId w:val="9"/>
  </w:num>
  <w:num w:numId="388">
    <w:abstractNumId w:val="9"/>
  </w:num>
  <w:num w:numId="389">
    <w:abstractNumId w:val="9"/>
  </w:num>
  <w:num w:numId="390">
    <w:abstractNumId w:val="9"/>
  </w:num>
  <w:num w:numId="391">
    <w:abstractNumId w:val="9"/>
  </w:num>
  <w:num w:numId="392">
    <w:abstractNumId w:val="9"/>
  </w:num>
  <w:num w:numId="393">
    <w:abstractNumId w:val="9"/>
  </w:num>
  <w:num w:numId="394">
    <w:abstractNumId w:val="9"/>
  </w:num>
  <w:num w:numId="395">
    <w:abstractNumId w:val="9"/>
  </w:num>
  <w:num w:numId="396">
    <w:abstractNumId w:val="9"/>
  </w:num>
  <w:num w:numId="397">
    <w:abstractNumId w:val="9"/>
  </w:num>
  <w:num w:numId="398">
    <w:abstractNumId w:val="9"/>
  </w:num>
  <w:num w:numId="399">
    <w:abstractNumId w:val="9"/>
  </w:num>
  <w:num w:numId="400">
    <w:abstractNumId w:val="9"/>
  </w:num>
  <w:num w:numId="401">
    <w:abstractNumId w:val="9"/>
  </w:num>
  <w:num w:numId="402">
    <w:abstractNumId w:val="9"/>
  </w:num>
  <w:num w:numId="403">
    <w:abstractNumId w:val="9"/>
  </w:num>
  <w:num w:numId="404">
    <w:abstractNumId w:val="9"/>
  </w:num>
  <w:num w:numId="405">
    <w:abstractNumId w:val="9"/>
  </w:num>
  <w:num w:numId="406">
    <w:abstractNumId w:val="9"/>
  </w:num>
  <w:num w:numId="407">
    <w:abstractNumId w:val="9"/>
  </w:num>
  <w:num w:numId="408">
    <w:abstractNumId w:val="9"/>
  </w:num>
  <w:num w:numId="409">
    <w:abstractNumId w:val="9"/>
  </w:num>
  <w:num w:numId="410">
    <w:abstractNumId w:val="9"/>
  </w:num>
  <w:num w:numId="411">
    <w:abstractNumId w:val="9"/>
  </w:num>
  <w:num w:numId="412">
    <w:abstractNumId w:val="9"/>
  </w:num>
  <w:num w:numId="413">
    <w:abstractNumId w:val="9"/>
  </w:num>
  <w:num w:numId="414">
    <w:abstractNumId w:val="9"/>
  </w:num>
  <w:num w:numId="415">
    <w:abstractNumId w:val="9"/>
  </w:num>
  <w:num w:numId="416">
    <w:abstractNumId w:val="9"/>
  </w:num>
  <w:num w:numId="417">
    <w:abstractNumId w:val="9"/>
  </w:num>
  <w:num w:numId="418">
    <w:abstractNumId w:val="9"/>
  </w:num>
  <w:num w:numId="419">
    <w:abstractNumId w:val="9"/>
  </w:num>
  <w:num w:numId="420">
    <w:abstractNumId w:val="9"/>
  </w:num>
  <w:num w:numId="421">
    <w:abstractNumId w:val="9"/>
  </w:num>
  <w:num w:numId="422">
    <w:abstractNumId w:val="9"/>
  </w:num>
  <w:num w:numId="423">
    <w:abstractNumId w:val="9"/>
  </w:num>
  <w:num w:numId="424">
    <w:abstractNumId w:val="9"/>
  </w:num>
  <w:num w:numId="425">
    <w:abstractNumId w:val="9"/>
  </w:num>
  <w:num w:numId="426">
    <w:abstractNumId w:val="9"/>
  </w:num>
  <w:num w:numId="427">
    <w:abstractNumId w:val="9"/>
  </w:num>
  <w:num w:numId="428">
    <w:abstractNumId w:val="9"/>
  </w:num>
  <w:num w:numId="429">
    <w:abstractNumId w:val="9"/>
  </w:num>
  <w:num w:numId="430">
    <w:abstractNumId w:val="9"/>
  </w:num>
  <w:num w:numId="431">
    <w:abstractNumId w:val="9"/>
  </w:num>
  <w:num w:numId="432">
    <w:abstractNumId w:val="9"/>
  </w:num>
  <w:num w:numId="433">
    <w:abstractNumId w:val="9"/>
  </w:num>
  <w:num w:numId="434">
    <w:abstractNumId w:val="9"/>
  </w:num>
  <w:num w:numId="435">
    <w:abstractNumId w:val="9"/>
  </w:num>
  <w:num w:numId="436">
    <w:abstractNumId w:val="9"/>
  </w:num>
  <w:num w:numId="437">
    <w:abstractNumId w:val="9"/>
  </w:num>
  <w:num w:numId="438">
    <w:abstractNumId w:val="9"/>
  </w:num>
  <w:num w:numId="439">
    <w:abstractNumId w:val="9"/>
  </w:num>
  <w:num w:numId="440">
    <w:abstractNumId w:val="9"/>
  </w:num>
  <w:num w:numId="441">
    <w:abstractNumId w:val="9"/>
  </w:num>
  <w:num w:numId="442">
    <w:abstractNumId w:val="9"/>
  </w:num>
  <w:num w:numId="443">
    <w:abstractNumId w:val="9"/>
  </w:num>
  <w:num w:numId="444">
    <w:abstractNumId w:val="9"/>
  </w:num>
  <w:num w:numId="445">
    <w:abstractNumId w:val="9"/>
  </w:num>
  <w:num w:numId="446">
    <w:abstractNumId w:val="9"/>
  </w:num>
  <w:num w:numId="447">
    <w:abstractNumId w:val="9"/>
  </w:num>
  <w:num w:numId="448">
    <w:abstractNumId w:val="9"/>
  </w:num>
  <w:num w:numId="449">
    <w:abstractNumId w:val="9"/>
  </w:num>
  <w:num w:numId="450">
    <w:abstractNumId w:val="9"/>
  </w:num>
  <w:num w:numId="451">
    <w:abstractNumId w:val="9"/>
  </w:num>
  <w:num w:numId="452">
    <w:abstractNumId w:val="9"/>
  </w:num>
  <w:num w:numId="453">
    <w:abstractNumId w:val="9"/>
  </w:num>
  <w:num w:numId="454">
    <w:abstractNumId w:val="9"/>
  </w:num>
  <w:num w:numId="455">
    <w:abstractNumId w:val="9"/>
  </w:num>
  <w:num w:numId="456">
    <w:abstractNumId w:val="9"/>
  </w:num>
  <w:num w:numId="457">
    <w:abstractNumId w:val="9"/>
  </w:num>
  <w:num w:numId="458">
    <w:abstractNumId w:val="9"/>
  </w:num>
  <w:num w:numId="459">
    <w:abstractNumId w:val="9"/>
  </w:num>
  <w:num w:numId="460">
    <w:abstractNumId w:val="9"/>
  </w:num>
  <w:num w:numId="461">
    <w:abstractNumId w:val="9"/>
  </w:num>
  <w:num w:numId="462">
    <w:abstractNumId w:val="9"/>
  </w:num>
  <w:num w:numId="463">
    <w:abstractNumId w:val="9"/>
  </w:num>
  <w:num w:numId="464">
    <w:abstractNumId w:val="9"/>
  </w:num>
  <w:num w:numId="465">
    <w:abstractNumId w:val="9"/>
  </w:num>
  <w:num w:numId="466">
    <w:abstractNumId w:val="9"/>
  </w:num>
  <w:num w:numId="467">
    <w:abstractNumId w:val="9"/>
  </w:num>
  <w:num w:numId="468">
    <w:abstractNumId w:val="9"/>
  </w:num>
  <w:num w:numId="469">
    <w:abstractNumId w:val="9"/>
  </w:num>
  <w:num w:numId="470">
    <w:abstractNumId w:val="9"/>
  </w:num>
  <w:num w:numId="471">
    <w:abstractNumId w:val="9"/>
  </w:num>
  <w:num w:numId="472">
    <w:abstractNumId w:val="9"/>
  </w:num>
  <w:num w:numId="473">
    <w:abstractNumId w:val="9"/>
  </w:num>
  <w:num w:numId="474">
    <w:abstractNumId w:val="9"/>
  </w:num>
  <w:num w:numId="475">
    <w:abstractNumId w:val="9"/>
  </w:num>
  <w:num w:numId="476">
    <w:abstractNumId w:val="9"/>
  </w:num>
  <w:num w:numId="477">
    <w:abstractNumId w:val="9"/>
  </w:num>
  <w:num w:numId="478">
    <w:abstractNumId w:val="9"/>
  </w:num>
  <w:num w:numId="479">
    <w:abstractNumId w:val="9"/>
  </w:num>
  <w:num w:numId="480">
    <w:abstractNumId w:val="9"/>
  </w:num>
  <w:num w:numId="481">
    <w:abstractNumId w:val="9"/>
  </w:num>
  <w:num w:numId="482">
    <w:abstractNumId w:val="9"/>
  </w:num>
  <w:num w:numId="483">
    <w:abstractNumId w:val="9"/>
  </w:num>
  <w:num w:numId="484">
    <w:abstractNumId w:val="9"/>
  </w:num>
  <w:num w:numId="485">
    <w:abstractNumId w:val="9"/>
  </w:num>
  <w:num w:numId="486">
    <w:abstractNumId w:val="9"/>
  </w:num>
  <w:num w:numId="487">
    <w:abstractNumId w:val="9"/>
  </w:num>
  <w:num w:numId="488">
    <w:abstractNumId w:val="9"/>
  </w:num>
  <w:num w:numId="489">
    <w:abstractNumId w:val="9"/>
  </w:num>
  <w:num w:numId="490">
    <w:abstractNumId w:val="9"/>
  </w:num>
  <w:num w:numId="491">
    <w:abstractNumId w:val="9"/>
  </w:num>
  <w:num w:numId="492">
    <w:abstractNumId w:val="9"/>
  </w:num>
  <w:num w:numId="493">
    <w:abstractNumId w:val="9"/>
  </w:num>
  <w:num w:numId="494">
    <w:abstractNumId w:val="9"/>
  </w:num>
  <w:num w:numId="495">
    <w:abstractNumId w:val="9"/>
  </w:num>
  <w:num w:numId="496">
    <w:abstractNumId w:val="9"/>
  </w:num>
  <w:num w:numId="497">
    <w:abstractNumId w:val="9"/>
  </w:num>
  <w:num w:numId="498">
    <w:abstractNumId w:val="9"/>
  </w:num>
  <w:num w:numId="499">
    <w:abstractNumId w:val="9"/>
  </w:num>
  <w:num w:numId="500">
    <w:abstractNumId w:val="9"/>
  </w:num>
  <w:num w:numId="501">
    <w:abstractNumId w:val="9"/>
  </w:num>
  <w:num w:numId="502">
    <w:abstractNumId w:val="9"/>
  </w:num>
  <w:num w:numId="503">
    <w:abstractNumId w:val="9"/>
  </w:num>
  <w:num w:numId="504">
    <w:abstractNumId w:val="9"/>
  </w:num>
  <w:num w:numId="505">
    <w:abstractNumId w:val="9"/>
  </w:num>
  <w:num w:numId="506">
    <w:abstractNumId w:val="9"/>
  </w:num>
  <w:num w:numId="507">
    <w:abstractNumId w:val="9"/>
  </w:num>
  <w:num w:numId="508">
    <w:abstractNumId w:val="9"/>
  </w:num>
  <w:num w:numId="509">
    <w:abstractNumId w:val="9"/>
  </w:num>
  <w:num w:numId="510">
    <w:abstractNumId w:val="9"/>
  </w:num>
  <w:num w:numId="511">
    <w:abstractNumId w:val="9"/>
  </w:num>
  <w:num w:numId="512">
    <w:abstractNumId w:val="9"/>
  </w:num>
  <w:num w:numId="513">
    <w:abstractNumId w:val="9"/>
  </w:num>
  <w:num w:numId="514">
    <w:abstractNumId w:val="9"/>
  </w:num>
  <w:num w:numId="515">
    <w:abstractNumId w:val="9"/>
  </w:num>
  <w:num w:numId="516">
    <w:abstractNumId w:val="9"/>
  </w:num>
  <w:num w:numId="517">
    <w:abstractNumId w:val="9"/>
  </w:num>
  <w:num w:numId="518">
    <w:abstractNumId w:val="9"/>
  </w:num>
  <w:num w:numId="519">
    <w:abstractNumId w:val="9"/>
  </w:num>
  <w:num w:numId="520">
    <w:abstractNumId w:val="9"/>
  </w:num>
  <w:num w:numId="521">
    <w:abstractNumId w:val="9"/>
  </w:num>
  <w:num w:numId="522">
    <w:abstractNumId w:val="9"/>
  </w:num>
  <w:num w:numId="523">
    <w:abstractNumId w:val="9"/>
  </w:num>
  <w:num w:numId="524">
    <w:abstractNumId w:val="9"/>
  </w:num>
  <w:num w:numId="525">
    <w:abstractNumId w:val="9"/>
  </w:num>
  <w:num w:numId="526">
    <w:abstractNumId w:val="9"/>
  </w:num>
  <w:num w:numId="527">
    <w:abstractNumId w:val="9"/>
  </w:num>
  <w:num w:numId="528">
    <w:abstractNumId w:val="9"/>
  </w:num>
  <w:num w:numId="529">
    <w:abstractNumId w:val="9"/>
  </w:num>
  <w:num w:numId="530">
    <w:abstractNumId w:val="9"/>
  </w:num>
  <w:num w:numId="531">
    <w:abstractNumId w:val="9"/>
  </w:num>
  <w:num w:numId="532">
    <w:abstractNumId w:val="9"/>
  </w:num>
  <w:num w:numId="533">
    <w:abstractNumId w:val="9"/>
  </w:num>
  <w:num w:numId="534">
    <w:abstractNumId w:val="9"/>
  </w:num>
  <w:num w:numId="535">
    <w:abstractNumId w:val="9"/>
  </w:num>
  <w:num w:numId="536">
    <w:abstractNumId w:val="9"/>
  </w:num>
  <w:num w:numId="537">
    <w:abstractNumId w:val="9"/>
  </w:num>
  <w:num w:numId="538">
    <w:abstractNumId w:val="9"/>
  </w:num>
  <w:num w:numId="539">
    <w:abstractNumId w:val="9"/>
  </w:num>
  <w:num w:numId="540">
    <w:abstractNumId w:val="9"/>
  </w:num>
  <w:num w:numId="541">
    <w:abstractNumId w:val="9"/>
  </w:num>
  <w:num w:numId="542">
    <w:abstractNumId w:val="9"/>
  </w:num>
  <w:num w:numId="543">
    <w:abstractNumId w:val="9"/>
  </w:num>
  <w:num w:numId="544">
    <w:abstractNumId w:val="9"/>
  </w:num>
  <w:num w:numId="545">
    <w:abstractNumId w:val="9"/>
  </w:num>
  <w:num w:numId="546">
    <w:abstractNumId w:val="9"/>
  </w:num>
  <w:num w:numId="547">
    <w:abstractNumId w:val="9"/>
  </w:num>
  <w:num w:numId="548">
    <w:abstractNumId w:val="9"/>
  </w:num>
  <w:num w:numId="549">
    <w:abstractNumId w:val="9"/>
  </w:num>
  <w:num w:numId="550">
    <w:abstractNumId w:val="9"/>
  </w:num>
  <w:num w:numId="551">
    <w:abstractNumId w:val="9"/>
  </w:num>
  <w:num w:numId="552">
    <w:abstractNumId w:val="9"/>
  </w:num>
  <w:num w:numId="553">
    <w:abstractNumId w:val="9"/>
  </w:num>
  <w:num w:numId="554">
    <w:abstractNumId w:val="9"/>
  </w:num>
  <w:num w:numId="555">
    <w:abstractNumId w:val="9"/>
  </w:num>
  <w:num w:numId="556">
    <w:abstractNumId w:val="9"/>
  </w:num>
  <w:num w:numId="557">
    <w:abstractNumId w:val="9"/>
  </w:num>
  <w:num w:numId="558">
    <w:abstractNumId w:val="9"/>
  </w:num>
  <w:num w:numId="559">
    <w:abstractNumId w:val="9"/>
  </w:num>
  <w:num w:numId="560">
    <w:abstractNumId w:val="9"/>
  </w:num>
  <w:num w:numId="561">
    <w:abstractNumId w:val="9"/>
  </w:num>
  <w:num w:numId="562">
    <w:abstractNumId w:val="9"/>
  </w:num>
  <w:num w:numId="563">
    <w:abstractNumId w:val="9"/>
  </w:num>
  <w:num w:numId="564">
    <w:abstractNumId w:val="9"/>
  </w:num>
  <w:num w:numId="565">
    <w:abstractNumId w:val="9"/>
  </w:num>
  <w:num w:numId="566">
    <w:abstractNumId w:val="9"/>
  </w:num>
  <w:num w:numId="567">
    <w:abstractNumId w:val="9"/>
  </w:num>
  <w:num w:numId="568">
    <w:abstractNumId w:val="9"/>
  </w:num>
  <w:num w:numId="569">
    <w:abstractNumId w:val="9"/>
  </w:num>
  <w:num w:numId="570">
    <w:abstractNumId w:val="9"/>
  </w:num>
  <w:num w:numId="571">
    <w:abstractNumId w:val="9"/>
  </w:num>
  <w:num w:numId="572">
    <w:abstractNumId w:val="9"/>
  </w:num>
  <w:num w:numId="573">
    <w:abstractNumId w:val="9"/>
  </w:num>
  <w:num w:numId="574">
    <w:abstractNumId w:val="9"/>
  </w:num>
  <w:num w:numId="575">
    <w:abstractNumId w:val="9"/>
  </w:num>
  <w:num w:numId="576">
    <w:abstractNumId w:val="9"/>
  </w:num>
  <w:num w:numId="577">
    <w:abstractNumId w:val="9"/>
  </w:num>
  <w:num w:numId="578">
    <w:abstractNumId w:val="9"/>
  </w:num>
  <w:num w:numId="579">
    <w:abstractNumId w:val="9"/>
  </w:num>
  <w:num w:numId="580">
    <w:abstractNumId w:val="9"/>
  </w:num>
  <w:num w:numId="581">
    <w:abstractNumId w:val="9"/>
  </w:num>
  <w:num w:numId="582">
    <w:abstractNumId w:val="9"/>
  </w:num>
  <w:num w:numId="583">
    <w:abstractNumId w:val="9"/>
  </w:num>
  <w:num w:numId="584">
    <w:abstractNumId w:val="9"/>
  </w:num>
  <w:num w:numId="585">
    <w:abstractNumId w:val="9"/>
  </w:num>
  <w:num w:numId="586">
    <w:abstractNumId w:val="9"/>
  </w:num>
  <w:num w:numId="587">
    <w:abstractNumId w:val="9"/>
  </w:num>
  <w:num w:numId="588">
    <w:abstractNumId w:val="9"/>
  </w:num>
  <w:num w:numId="589">
    <w:abstractNumId w:val="9"/>
  </w:num>
  <w:num w:numId="590">
    <w:abstractNumId w:val="9"/>
  </w:num>
  <w:num w:numId="591">
    <w:abstractNumId w:val="9"/>
  </w:num>
  <w:num w:numId="592">
    <w:abstractNumId w:val="9"/>
  </w:num>
  <w:num w:numId="593">
    <w:abstractNumId w:val="9"/>
  </w:num>
  <w:num w:numId="594">
    <w:abstractNumId w:val="9"/>
  </w:num>
  <w:num w:numId="595">
    <w:abstractNumId w:val="9"/>
  </w:num>
  <w:num w:numId="596">
    <w:abstractNumId w:val="9"/>
  </w:num>
  <w:num w:numId="597">
    <w:abstractNumId w:val="9"/>
  </w:num>
  <w:num w:numId="598">
    <w:abstractNumId w:val="9"/>
  </w:num>
  <w:num w:numId="599">
    <w:abstractNumId w:val="9"/>
  </w:num>
  <w:num w:numId="600">
    <w:abstractNumId w:val="9"/>
  </w:num>
  <w:num w:numId="601">
    <w:abstractNumId w:val="9"/>
  </w:num>
  <w:num w:numId="602">
    <w:abstractNumId w:val="9"/>
  </w:num>
  <w:num w:numId="603">
    <w:abstractNumId w:val="9"/>
  </w:num>
  <w:num w:numId="604">
    <w:abstractNumId w:val="9"/>
  </w:num>
  <w:num w:numId="605">
    <w:abstractNumId w:val="9"/>
  </w:num>
  <w:num w:numId="606">
    <w:abstractNumId w:val="9"/>
  </w:num>
  <w:num w:numId="607">
    <w:abstractNumId w:val="9"/>
  </w:num>
  <w:num w:numId="608">
    <w:abstractNumId w:val="9"/>
  </w:num>
  <w:num w:numId="609">
    <w:abstractNumId w:val="9"/>
  </w:num>
  <w:num w:numId="610">
    <w:abstractNumId w:val="9"/>
  </w:num>
  <w:num w:numId="611">
    <w:abstractNumId w:val="9"/>
  </w:num>
  <w:num w:numId="612">
    <w:abstractNumId w:val="9"/>
  </w:num>
  <w:num w:numId="613">
    <w:abstractNumId w:val="9"/>
  </w:num>
  <w:num w:numId="614">
    <w:abstractNumId w:val="9"/>
  </w:num>
  <w:num w:numId="615">
    <w:abstractNumId w:val="9"/>
  </w:num>
  <w:num w:numId="616">
    <w:abstractNumId w:val="9"/>
  </w:num>
  <w:num w:numId="617">
    <w:abstractNumId w:val="9"/>
  </w:num>
  <w:num w:numId="618">
    <w:abstractNumId w:val="9"/>
  </w:num>
  <w:num w:numId="619">
    <w:abstractNumId w:val="9"/>
  </w:num>
  <w:num w:numId="620">
    <w:abstractNumId w:val="9"/>
  </w:num>
  <w:num w:numId="621">
    <w:abstractNumId w:val="9"/>
  </w:num>
  <w:num w:numId="622">
    <w:abstractNumId w:val="9"/>
  </w:num>
  <w:num w:numId="623">
    <w:abstractNumId w:val="9"/>
  </w:num>
  <w:num w:numId="624">
    <w:abstractNumId w:val="9"/>
  </w:num>
  <w:num w:numId="625">
    <w:abstractNumId w:val="9"/>
  </w:num>
  <w:num w:numId="626">
    <w:abstractNumId w:val="9"/>
  </w:num>
  <w:num w:numId="627">
    <w:abstractNumId w:val="9"/>
  </w:num>
  <w:num w:numId="628">
    <w:abstractNumId w:val="9"/>
  </w:num>
  <w:num w:numId="629">
    <w:abstractNumId w:val="9"/>
  </w:num>
  <w:num w:numId="630">
    <w:abstractNumId w:val="9"/>
  </w:num>
  <w:num w:numId="631">
    <w:abstractNumId w:val="9"/>
  </w:num>
  <w:num w:numId="632">
    <w:abstractNumId w:val="9"/>
  </w:num>
  <w:num w:numId="633">
    <w:abstractNumId w:val="9"/>
  </w:num>
  <w:num w:numId="634">
    <w:abstractNumId w:val="9"/>
  </w:num>
  <w:num w:numId="635">
    <w:abstractNumId w:val="9"/>
  </w:num>
  <w:num w:numId="636">
    <w:abstractNumId w:val="9"/>
  </w:num>
  <w:num w:numId="637">
    <w:abstractNumId w:val="9"/>
  </w:num>
  <w:num w:numId="638">
    <w:abstractNumId w:val="9"/>
  </w:num>
  <w:num w:numId="639">
    <w:abstractNumId w:val="9"/>
  </w:num>
  <w:num w:numId="640">
    <w:abstractNumId w:val="9"/>
  </w:num>
  <w:num w:numId="641">
    <w:abstractNumId w:val="9"/>
  </w:num>
  <w:num w:numId="642">
    <w:abstractNumId w:val="9"/>
  </w:num>
  <w:num w:numId="643">
    <w:abstractNumId w:val="9"/>
  </w:num>
  <w:num w:numId="644">
    <w:abstractNumId w:val="9"/>
  </w:num>
  <w:num w:numId="645">
    <w:abstractNumId w:val="9"/>
  </w:num>
  <w:num w:numId="646">
    <w:abstractNumId w:val="9"/>
  </w:num>
  <w:num w:numId="647">
    <w:abstractNumId w:val="9"/>
  </w:num>
  <w:num w:numId="648">
    <w:abstractNumId w:val="9"/>
  </w:num>
  <w:num w:numId="649">
    <w:abstractNumId w:val="9"/>
  </w:num>
  <w:num w:numId="650">
    <w:abstractNumId w:val="9"/>
  </w:num>
  <w:num w:numId="651">
    <w:abstractNumId w:val="9"/>
  </w:num>
  <w:num w:numId="652">
    <w:abstractNumId w:val="9"/>
  </w:num>
  <w:num w:numId="653">
    <w:abstractNumId w:val="9"/>
  </w:num>
  <w:num w:numId="654">
    <w:abstractNumId w:val="9"/>
  </w:num>
  <w:num w:numId="655">
    <w:abstractNumId w:val="9"/>
  </w:num>
  <w:num w:numId="656">
    <w:abstractNumId w:val="9"/>
  </w:num>
  <w:num w:numId="657">
    <w:abstractNumId w:val="9"/>
  </w:num>
  <w:numIdMacAtCleanup w:val="6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proofState w:spelling="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170"/>
  <w:drawingGridHorizontalSpacing w:val="100"/>
  <w:displayHorizontalDrawingGridEvery w:val="2"/>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gNum" w:val="1"/>
    <w:docVar w:name="LW_DocType" w:val="NORMAL"/>
  </w:docVars>
  <w:rsids>
    <w:rsidRoot w:val="00884FEB"/>
    <w:rsid w:val="000001EC"/>
    <w:rsid w:val="00000255"/>
    <w:rsid w:val="00000F70"/>
    <w:rsid w:val="000017F3"/>
    <w:rsid w:val="000020E5"/>
    <w:rsid w:val="00002933"/>
    <w:rsid w:val="00002E14"/>
    <w:rsid w:val="00004478"/>
    <w:rsid w:val="000044B7"/>
    <w:rsid w:val="00004978"/>
    <w:rsid w:val="00004FE8"/>
    <w:rsid w:val="00005078"/>
    <w:rsid w:val="00005765"/>
    <w:rsid w:val="00005FFC"/>
    <w:rsid w:val="00007605"/>
    <w:rsid w:val="00007D0D"/>
    <w:rsid w:val="00011BD0"/>
    <w:rsid w:val="000120EB"/>
    <w:rsid w:val="00014890"/>
    <w:rsid w:val="00014DC3"/>
    <w:rsid w:val="0001693F"/>
    <w:rsid w:val="00020200"/>
    <w:rsid w:val="00020516"/>
    <w:rsid w:val="00020857"/>
    <w:rsid w:val="00020AF9"/>
    <w:rsid w:val="0002157C"/>
    <w:rsid w:val="00023102"/>
    <w:rsid w:val="000232E2"/>
    <w:rsid w:val="00023383"/>
    <w:rsid w:val="000243CE"/>
    <w:rsid w:val="0002657F"/>
    <w:rsid w:val="00027235"/>
    <w:rsid w:val="000326C1"/>
    <w:rsid w:val="00033B7C"/>
    <w:rsid w:val="00033C55"/>
    <w:rsid w:val="00034834"/>
    <w:rsid w:val="000359E1"/>
    <w:rsid w:val="000364CE"/>
    <w:rsid w:val="00037093"/>
    <w:rsid w:val="000377CC"/>
    <w:rsid w:val="00041480"/>
    <w:rsid w:val="000433C4"/>
    <w:rsid w:val="00045036"/>
    <w:rsid w:val="0004590F"/>
    <w:rsid w:val="00052CAE"/>
    <w:rsid w:val="000530BC"/>
    <w:rsid w:val="0005400A"/>
    <w:rsid w:val="000548A2"/>
    <w:rsid w:val="0005609F"/>
    <w:rsid w:val="000565B6"/>
    <w:rsid w:val="00056C0F"/>
    <w:rsid w:val="00057154"/>
    <w:rsid w:val="00057362"/>
    <w:rsid w:val="0005746D"/>
    <w:rsid w:val="00061E48"/>
    <w:rsid w:val="00063085"/>
    <w:rsid w:val="00063B3F"/>
    <w:rsid w:val="00065C25"/>
    <w:rsid w:val="0006666B"/>
    <w:rsid w:val="00067DC1"/>
    <w:rsid w:val="00067EEA"/>
    <w:rsid w:val="00070AF9"/>
    <w:rsid w:val="00070E18"/>
    <w:rsid w:val="00071341"/>
    <w:rsid w:val="000716F4"/>
    <w:rsid w:val="0007398D"/>
    <w:rsid w:val="000758FE"/>
    <w:rsid w:val="00076091"/>
    <w:rsid w:val="00076880"/>
    <w:rsid w:val="00077C5F"/>
    <w:rsid w:val="0008111C"/>
    <w:rsid w:val="00082265"/>
    <w:rsid w:val="000828C6"/>
    <w:rsid w:val="000843B3"/>
    <w:rsid w:val="00084A4D"/>
    <w:rsid w:val="000858A9"/>
    <w:rsid w:val="00087700"/>
    <w:rsid w:val="00087E1A"/>
    <w:rsid w:val="000903FA"/>
    <w:rsid w:val="0009195D"/>
    <w:rsid w:val="0009277C"/>
    <w:rsid w:val="00092F67"/>
    <w:rsid w:val="00093686"/>
    <w:rsid w:val="00094D25"/>
    <w:rsid w:val="00095191"/>
    <w:rsid w:val="00096566"/>
    <w:rsid w:val="0009761E"/>
    <w:rsid w:val="00097C81"/>
    <w:rsid w:val="00097E91"/>
    <w:rsid w:val="000A1955"/>
    <w:rsid w:val="000A3B1A"/>
    <w:rsid w:val="000A4B61"/>
    <w:rsid w:val="000A4C10"/>
    <w:rsid w:val="000A57BC"/>
    <w:rsid w:val="000A7D27"/>
    <w:rsid w:val="000B0B09"/>
    <w:rsid w:val="000B0E46"/>
    <w:rsid w:val="000B0EBE"/>
    <w:rsid w:val="000B13A1"/>
    <w:rsid w:val="000B3C33"/>
    <w:rsid w:val="000B6A14"/>
    <w:rsid w:val="000B70E1"/>
    <w:rsid w:val="000C0127"/>
    <w:rsid w:val="000C0A34"/>
    <w:rsid w:val="000C24B5"/>
    <w:rsid w:val="000C30A6"/>
    <w:rsid w:val="000C4A6C"/>
    <w:rsid w:val="000C5A1A"/>
    <w:rsid w:val="000C5EA7"/>
    <w:rsid w:val="000C7632"/>
    <w:rsid w:val="000C7EAA"/>
    <w:rsid w:val="000D194E"/>
    <w:rsid w:val="000D220D"/>
    <w:rsid w:val="000D3CBC"/>
    <w:rsid w:val="000D4352"/>
    <w:rsid w:val="000D5292"/>
    <w:rsid w:val="000D5958"/>
    <w:rsid w:val="000D6B9B"/>
    <w:rsid w:val="000E093A"/>
    <w:rsid w:val="000E1572"/>
    <w:rsid w:val="000E29C9"/>
    <w:rsid w:val="000E3F99"/>
    <w:rsid w:val="000E6835"/>
    <w:rsid w:val="000E7BA8"/>
    <w:rsid w:val="000E7F08"/>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605A"/>
    <w:rsid w:val="00106FC5"/>
    <w:rsid w:val="0011279C"/>
    <w:rsid w:val="00113E45"/>
    <w:rsid w:val="00113EA5"/>
    <w:rsid w:val="001151C1"/>
    <w:rsid w:val="0011539B"/>
    <w:rsid w:val="00115685"/>
    <w:rsid w:val="0012049B"/>
    <w:rsid w:val="001219C2"/>
    <w:rsid w:val="00122D1D"/>
    <w:rsid w:val="00124A44"/>
    <w:rsid w:val="00124B85"/>
    <w:rsid w:val="001250CC"/>
    <w:rsid w:val="00125707"/>
    <w:rsid w:val="00125D44"/>
    <w:rsid w:val="001266DE"/>
    <w:rsid w:val="001273B5"/>
    <w:rsid w:val="00130EEF"/>
    <w:rsid w:val="001323BF"/>
    <w:rsid w:val="00132778"/>
    <w:rsid w:val="00133107"/>
    <w:rsid w:val="001331F5"/>
    <w:rsid w:val="00133AC1"/>
    <w:rsid w:val="00136316"/>
    <w:rsid w:val="00137AC5"/>
    <w:rsid w:val="001402DB"/>
    <w:rsid w:val="001409D9"/>
    <w:rsid w:val="00140F6E"/>
    <w:rsid w:val="00141DD1"/>
    <w:rsid w:val="00142917"/>
    <w:rsid w:val="001432EE"/>
    <w:rsid w:val="00144F03"/>
    <w:rsid w:val="00146D50"/>
    <w:rsid w:val="001474E0"/>
    <w:rsid w:val="00151071"/>
    <w:rsid w:val="00151B44"/>
    <w:rsid w:val="00151D8A"/>
    <w:rsid w:val="0015288B"/>
    <w:rsid w:val="00152B33"/>
    <w:rsid w:val="00153BEC"/>
    <w:rsid w:val="00154859"/>
    <w:rsid w:val="00155114"/>
    <w:rsid w:val="00156555"/>
    <w:rsid w:val="001570C4"/>
    <w:rsid w:val="00157B19"/>
    <w:rsid w:val="0016072E"/>
    <w:rsid w:val="001628F4"/>
    <w:rsid w:val="00162CCF"/>
    <w:rsid w:val="00163DBA"/>
    <w:rsid w:val="00164970"/>
    <w:rsid w:val="00164B62"/>
    <w:rsid w:val="00167E59"/>
    <w:rsid w:val="001721BD"/>
    <w:rsid w:val="001734AB"/>
    <w:rsid w:val="0017440D"/>
    <w:rsid w:val="00175957"/>
    <w:rsid w:val="00180763"/>
    <w:rsid w:val="00181174"/>
    <w:rsid w:val="00181888"/>
    <w:rsid w:val="001822DF"/>
    <w:rsid w:val="00183B7A"/>
    <w:rsid w:val="00184E8A"/>
    <w:rsid w:val="0018533B"/>
    <w:rsid w:val="001854F6"/>
    <w:rsid w:val="00185877"/>
    <w:rsid w:val="00187348"/>
    <w:rsid w:val="00187488"/>
    <w:rsid w:val="00190FA3"/>
    <w:rsid w:val="001919E9"/>
    <w:rsid w:val="001924F4"/>
    <w:rsid w:val="001959EF"/>
    <w:rsid w:val="0019727D"/>
    <w:rsid w:val="001A2115"/>
    <w:rsid w:val="001A3980"/>
    <w:rsid w:val="001A44B3"/>
    <w:rsid w:val="001A523B"/>
    <w:rsid w:val="001A531E"/>
    <w:rsid w:val="001A7742"/>
    <w:rsid w:val="001B140A"/>
    <w:rsid w:val="001B1531"/>
    <w:rsid w:val="001B21AE"/>
    <w:rsid w:val="001B44EE"/>
    <w:rsid w:val="001B4EA5"/>
    <w:rsid w:val="001B5499"/>
    <w:rsid w:val="001B5725"/>
    <w:rsid w:val="001B6D4D"/>
    <w:rsid w:val="001B7D0F"/>
    <w:rsid w:val="001B7F1A"/>
    <w:rsid w:val="001C1392"/>
    <w:rsid w:val="001C2BA5"/>
    <w:rsid w:val="001C3D30"/>
    <w:rsid w:val="001C5557"/>
    <w:rsid w:val="001C5CA8"/>
    <w:rsid w:val="001C6416"/>
    <w:rsid w:val="001C7897"/>
    <w:rsid w:val="001C79CB"/>
    <w:rsid w:val="001C7AB7"/>
    <w:rsid w:val="001C7F2A"/>
    <w:rsid w:val="001D1F64"/>
    <w:rsid w:val="001D2FE6"/>
    <w:rsid w:val="001D3409"/>
    <w:rsid w:val="001D4848"/>
    <w:rsid w:val="001D4B9D"/>
    <w:rsid w:val="001D5403"/>
    <w:rsid w:val="001D7382"/>
    <w:rsid w:val="001E01BA"/>
    <w:rsid w:val="001E332C"/>
    <w:rsid w:val="001E38FD"/>
    <w:rsid w:val="001E39E5"/>
    <w:rsid w:val="001E5A75"/>
    <w:rsid w:val="001E6127"/>
    <w:rsid w:val="001E6B9D"/>
    <w:rsid w:val="001E7AE4"/>
    <w:rsid w:val="001E7EA7"/>
    <w:rsid w:val="001F0111"/>
    <w:rsid w:val="001F0D60"/>
    <w:rsid w:val="001F2830"/>
    <w:rsid w:val="001F2920"/>
    <w:rsid w:val="001F3BBE"/>
    <w:rsid w:val="001F4225"/>
    <w:rsid w:val="001F5AC3"/>
    <w:rsid w:val="001F73EA"/>
    <w:rsid w:val="00200D6E"/>
    <w:rsid w:val="00201704"/>
    <w:rsid w:val="00201F3E"/>
    <w:rsid w:val="00202198"/>
    <w:rsid w:val="00202742"/>
    <w:rsid w:val="0020282E"/>
    <w:rsid w:val="00206687"/>
    <w:rsid w:val="00206D7E"/>
    <w:rsid w:val="00211293"/>
    <w:rsid w:val="00213102"/>
    <w:rsid w:val="0021389C"/>
    <w:rsid w:val="00213DC3"/>
    <w:rsid w:val="00213E0E"/>
    <w:rsid w:val="00215548"/>
    <w:rsid w:val="00216D67"/>
    <w:rsid w:val="0021767A"/>
    <w:rsid w:val="00220265"/>
    <w:rsid w:val="00221103"/>
    <w:rsid w:val="00221C2F"/>
    <w:rsid w:val="00222596"/>
    <w:rsid w:val="002229FF"/>
    <w:rsid w:val="00222AC6"/>
    <w:rsid w:val="00222CD3"/>
    <w:rsid w:val="00224016"/>
    <w:rsid w:val="00224828"/>
    <w:rsid w:val="002249DB"/>
    <w:rsid w:val="00224FE5"/>
    <w:rsid w:val="0022597E"/>
    <w:rsid w:val="00225D42"/>
    <w:rsid w:val="002301C6"/>
    <w:rsid w:val="002305D2"/>
    <w:rsid w:val="00232217"/>
    <w:rsid w:val="00232702"/>
    <w:rsid w:val="00233F01"/>
    <w:rsid w:val="0023488F"/>
    <w:rsid w:val="00234E7D"/>
    <w:rsid w:val="0023571F"/>
    <w:rsid w:val="002357EA"/>
    <w:rsid w:val="00235897"/>
    <w:rsid w:val="002367E6"/>
    <w:rsid w:val="00236E33"/>
    <w:rsid w:val="0023700C"/>
    <w:rsid w:val="00237276"/>
    <w:rsid w:val="0023738B"/>
    <w:rsid w:val="0023769E"/>
    <w:rsid w:val="002376B2"/>
    <w:rsid w:val="00241190"/>
    <w:rsid w:val="00241845"/>
    <w:rsid w:val="002423CA"/>
    <w:rsid w:val="002450B6"/>
    <w:rsid w:val="00245325"/>
    <w:rsid w:val="00245E37"/>
    <w:rsid w:val="00246BCA"/>
    <w:rsid w:val="00250176"/>
    <w:rsid w:val="002506A3"/>
    <w:rsid w:val="00251CF4"/>
    <w:rsid w:val="00251F24"/>
    <w:rsid w:val="0025267A"/>
    <w:rsid w:val="0025290C"/>
    <w:rsid w:val="00253022"/>
    <w:rsid w:val="002540B2"/>
    <w:rsid w:val="002547C1"/>
    <w:rsid w:val="00254DF6"/>
    <w:rsid w:val="00255BA9"/>
    <w:rsid w:val="0025607F"/>
    <w:rsid w:val="002562F9"/>
    <w:rsid w:val="00257FBC"/>
    <w:rsid w:val="00260AA2"/>
    <w:rsid w:val="002618F4"/>
    <w:rsid w:val="00261B63"/>
    <w:rsid w:val="002625C0"/>
    <w:rsid w:val="00262B48"/>
    <w:rsid w:val="00262C1B"/>
    <w:rsid w:val="002630FB"/>
    <w:rsid w:val="0026352F"/>
    <w:rsid w:val="002647D2"/>
    <w:rsid w:val="0026485D"/>
    <w:rsid w:val="002648B0"/>
    <w:rsid w:val="00264C8C"/>
    <w:rsid w:val="002664C7"/>
    <w:rsid w:val="002678CE"/>
    <w:rsid w:val="00267A21"/>
    <w:rsid w:val="00271C8B"/>
    <w:rsid w:val="00272F65"/>
    <w:rsid w:val="00273432"/>
    <w:rsid w:val="002735FE"/>
    <w:rsid w:val="00276720"/>
    <w:rsid w:val="00276B41"/>
    <w:rsid w:val="00277058"/>
    <w:rsid w:val="002805FD"/>
    <w:rsid w:val="0028072E"/>
    <w:rsid w:val="00280B99"/>
    <w:rsid w:val="00283B5F"/>
    <w:rsid w:val="00285E2F"/>
    <w:rsid w:val="0028628A"/>
    <w:rsid w:val="00290CAD"/>
    <w:rsid w:val="002917CA"/>
    <w:rsid w:val="002920FF"/>
    <w:rsid w:val="00292409"/>
    <w:rsid w:val="00292A20"/>
    <w:rsid w:val="00295225"/>
    <w:rsid w:val="00297074"/>
    <w:rsid w:val="002A04D3"/>
    <w:rsid w:val="002A1B49"/>
    <w:rsid w:val="002A4B85"/>
    <w:rsid w:val="002A5969"/>
    <w:rsid w:val="002A6913"/>
    <w:rsid w:val="002A7C84"/>
    <w:rsid w:val="002B15B5"/>
    <w:rsid w:val="002B1600"/>
    <w:rsid w:val="002B2BA3"/>
    <w:rsid w:val="002B3E36"/>
    <w:rsid w:val="002B5403"/>
    <w:rsid w:val="002B5492"/>
    <w:rsid w:val="002B5B50"/>
    <w:rsid w:val="002B5CD1"/>
    <w:rsid w:val="002B5F2D"/>
    <w:rsid w:val="002B66BD"/>
    <w:rsid w:val="002C0206"/>
    <w:rsid w:val="002C053E"/>
    <w:rsid w:val="002C06FD"/>
    <w:rsid w:val="002C1251"/>
    <w:rsid w:val="002C37D9"/>
    <w:rsid w:val="002C41F1"/>
    <w:rsid w:val="002C5671"/>
    <w:rsid w:val="002C6263"/>
    <w:rsid w:val="002C674A"/>
    <w:rsid w:val="002D2C75"/>
    <w:rsid w:val="002D3982"/>
    <w:rsid w:val="002D4561"/>
    <w:rsid w:val="002D4E10"/>
    <w:rsid w:val="002D4F6A"/>
    <w:rsid w:val="002D6B9E"/>
    <w:rsid w:val="002E053A"/>
    <w:rsid w:val="002E0DDB"/>
    <w:rsid w:val="002E136A"/>
    <w:rsid w:val="002E2061"/>
    <w:rsid w:val="002E2164"/>
    <w:rsid w:val="002E3720"/>
    <w:rsid w:val="002E4EB7"/>
    <w:rsid w:val="002E587F"/>
    <w:rsid w:val="002F07EA"/>
    <w:rsid w:val="002F1163"/>
    <w:rsid w:val="002F170E"/>
    <w:rsid w:val="002F1920"/>
    <w:rsid w:val="002F19BB"/>
    <w:rsid w:val="002F1E8D"/>
    <w:rsid w:val="002F2663"/>
    <w:rsid w:val="002F39A7"/>
    <w:rsid w:val="002F4A67"/>
    <w:rsid w:val="002F4A87"/>
    <w:rsid w:val="002F5571"/>
    <w:rsid w:val="002F7E28"/>
    <w:rsid w:val="00300224"/>
    <w:rsid w:val="00304CA5"/>
    <w:rsid w:val="0030572F"/>
    <w:rsid w:val="00306AD1"/>
    <w:rsid w:val="00306F71"/>
    <w:rsid w:val="00306F8E"/>
    <w:rsid w:val="003105C6"/>
    <w:rsid w:val="00310F05"/>
    <w:rsid w:val="00310F96"/>
    <w:rsid w:val="00311119"/>
    <w:rsid w:val="00311B2D"/>
    <w:rsid w:val="00312BA3"/>
    <w:rsid w:val="003132E6"/>
    <w:rsid w:val="003137B9"/>
    <w:rsid w:val="00313D20"/>
    <w:rsid w:val="003141F6"/>
    <w:rsid w:val="00320BB4"/>
    <w:rsid w:val="00321A3B"/>
    <w:rsid w:val="003220BD"/>
    <w:rsid w:val="00325654"/>
    <w:rsid w:val="003259DA"/>
    <w:rsid w:val="0032635E"/>
    <w:rsid w:val="003300FF"/>
    <w:rsid w:val="00330199"/>
    <w:rsid w:val="00331FE6"/>
    <w:rsid w:val="00333A44"/>
    <w:rsid w:val="00334093"/>
    <w:rsid w:val="003374C1"/>
    <w:rsid w:val="00337849"/>
    <w:rsid w:val="00337BEA"/>
    <w:rsid w:val="00340094"/>
    <w:rsid w:val="003400BB"/>
    <w:rsid w:val="00342B6A"/>
    <w:rsid w:val="003438E8"/>
    <w:rsid w:val="003459F8"/>
    <w:rsid w:val="00345A82"/>
    <w:rsid w:val="00345E53"/>
    <w:rsid w:val="00346C65"/>
    <w:rsid w:val="0034786E"/>
    <w:rsid w:val="00347FF9"/>
    <w:rsid w:val="00350DDB"/>
    <w:rsid w:val="00352C6E"/>
    <w:rsid w:val="00352FB3"/>
    <w:rsid w:val="00353D40"/>
    <w:rsid w:val="003556A3"/>
    <w:rsid w:val="00356773"/>
    <w:rsid w:val="00357CD1"/>
    <w:rsid w:val="00357F63"/>
    <w:rsid w:val="003616A1"/>
    <w:rsid w:val="00361D60"/>
    <w:rsid w:val="00363969"/>
    <w:rsid w:val="0036415F"/>
    <w:rsid w:val="00366794"/>
    <w:rsid w:val="00370D79"/>
    <w:rsid w:val="00371593"/>
    <w:rsid w:val="00371653"/>
    <w:rsid w:val="00372594"/>
    <w:rsid w:val="00373E3E"/>
    <w:rsid w:val="00375C47"/>
    <w:rsid w:val="00375F2C"/>
    <w:rsid w:val="00380D47"/>
    <w:rsid w:val="003812AC"/>
    <w:rsid w:val="003813DF"/>
    <w:rsid w:val="0038147E"/>
    <w:rsid w:val="003826D9"/>
    <w:rsid w:val="00383D4B"/>
    <w:rsid w:val="00383FF2"/>
    <w:rsid w:val="00386492"/>
    <w:rsid w:val="00387E40"/>
    <w:rsid w:val="003908C5"/>
    <w:rsid w:val="00390DDA"/>
    <w:rsid w:val="003927BE"/>
    <w:rsid w:val="00392C11"/>
    <w:rsid w:val="00392FFD"/>
    <w:rsid w:val="0039346B"/>
    <w:rsid w:val="00393539"/>
    <w:rsid w:val="00394410"/>
    <w:rsid w:val="00394FF1"/>
    <w:rsid w:val="003953E6"/>
    <w:rsid w:val="00397314"/>
    <w:rsid w:val="00397A77"/>
    <w:rsid w:val="003A0835"/>
    <w:rsid w:val="003A0C05"/>
    <w:rsid w:val="003A1469"/>
    <w:rsid w:val="003A1B96"/>
    <w:rsid w:val="003A200A"/>
    <w:rsid w:val="003A3877"/>
    <w:rsid w:val="003A449C"/>
    <w:rsid w:val="003A497B"/>
    <w:rsid w:val="003A4C8B"/>
    <w:rsid w:val="003A5743"/>
    <w:rsid w:val="003A5D8C"/>
    <w:rsid w:val="003A7214"/>
    <w:rsid w:val="003B00F4"/>
    <w:rsid w:val="003B06B9"/>
    <w:rsid w:val="003B20D7"/>
    <w:rsid w:val="003B25F0"/>
    <w:rsid w:val="003B3112"/>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10E9"/>
    <w:rsid w:val="003D1657"/>
    <w:rsid w:val="003D17D0"/>
    <w:rsid w:val="003D199D"/>
    <w:rsid w:val="003D3CED"/>
    <w:rsid w:val="003D431C"/>
    <w:rsid w:val="003D485B"/>
    <w:rsid w:val="003D56DE"/>
    <w:rsid w:val="003D7822"/>
    <w:rsid w:val="003D7F50"/>
    <w:rsid w:val="003E098F"/>
    <w:rsid w:val="003E3102"/>
    <w:rsid w:val="003E43C2"/>
    <w:rsid w:val="003E4EF2"/>
    <w:rsid w:val="003E5145"/>
    <w:rsid w:val="003E52DA"/>
    <w:rsid w:val="003F05A0"/>
    <w:rsid w:val="003F1103"/>
    <w:rsid w:val="003F15BB"/>
    <w:rsid w:val="003F17BB"/>
    <w:rsid w:val="003F3523"/>
    <w:rsid w:val="00401111"/>
    <w:rsid w:val="00401C06"/>
    <w:rsid w:val="0040521E"/>
    <w:rsid w:val="00405C0A"/>
    <w:rsid w:val="00407110"/>
    <w:rsid w:val="00407936"/>
    <w:rsid w:val="00410796"/>
    <w:rsid w:val="004120DF"/>
    <w:rsid w:val="004129D0"/>
    <w:rsid w:val="00412D44"/>
    <w:rsid w:val="004133D9"/>
    <w:rsid w:val="00415A1B"/>
    <w:rsid w:val="00417984"/>
    <w:rsid w:val="00422449"/>
    <w:rsid w:val="00423556"/>
    <w:rsid w:val="00423F7E"/>
    <w:rsid w:val="00425F4C"/>
    <w:rsid w:val="0042766A"/>
    <w:rsid w:val="0043001B"/>
    <w:rsid w:val="004304C0"/>
    <w:rsid w:val="00430F6F"/>
    <w:rsid w:val="0043168D"/>
    <w:rsid w:val="004317F7"/>
    <w:rsid w:val="0043231D"/>
    <w:rsid w:val="004350F2"/>
    <w:rsid w:val="004357B9"/>
    <w:rsid w:val="00436204"/>
    <w:rsid w:val="00436490"/>
    <w:rsid w:val="00436A46"/>
    <w:rsid w:val="004377DA"/>
    <w:rsid w:val="004377E2"/>
    <w:rsid w:val="004408E7"/>
    <w:rsid w:val="00443003"/>
    <w:rsid w:val="00443DD0"/>
    <w:rsid w:val="00445E06"/>
    <w:rsid w:val="0045099E"/>
    <w:rsid w:val="00450A2E"/>
    <w:rsid w:val="00451220"/>
    <w:rsid w:val="00451B63"/>
    <w:rsid w:val="00452FEF"/>
    <w:rsid w:val="00453999"/>
    <w:rsid w:val="00454082"/>
    <w:rsid w:val="00454139"/>
    <w:rsid w:val="00455364"/>
    <w:rsid w:val="004600E4"/>
    <w:rsid w:val="004603C7"/>
    <w:rsid w:val="00460A9C"/>
    <w:rsid w:val="00461A5A"/>
    <w:rsid w:val="004629A2"/>
    <w:rsid w:val="00462BAB"/>
    <w:rsid w:val="00464DCB"/>
    <w:rsid w:val="00464F34"/>
    <w:rsid w:val="00467F08"/>
    <w:rsid w:val="00471A96"/>
    <w:rsid w:val="00474C49"/>
    <w:rsid w:val="0047503C"/>
    <w:rsid w:val="0047563E"/>
    <w:rsid w:val="00475B6A"/>
    <w:rsid w:val="0047602E"/>
    <w:rsid w:val="00476209"/>
    <w:rsid w:val="00476566"/>
    <w:rsid w:val="004766D4"/>
    <w:rsid w:val="0047693D"/>
    <w:rsid w:val="00477CB6"/>
    <w:rsid w:val="00480A69"/>
    <w:rsid w:val="0048116C"/>
    <w:rsid w:val="0048143B"/>
    <w:rsid w:val="00482E39"/>
    <w:rsid w:val="00483FC9"/>
    <w:rsid w:val="00484DDA"/>
    <w:rsid w:val="00486DA5"/>
    <w:rsid w:val="00487597"/>
    <w:rsid w:val="004901BE"/>
    <w:rsid w:val="004913CE"/>
    <w:rsid w:val="00491F4D"/>
    <w:rsid w:val="00492D77"/>
    <w:rsid w:val="00493D5E"/>
    <w:rsid w:val="00496C53"/>
    <w:rsid w:val="00496F5D"/>
    <w:rsid w:val="004970FA"/>
    <w:rsid w:val="00497D60"/>
    <w:rsid w:val="004A01BF"/>
    <w:rsid w:val="004A0885"/>
    <w:rsid w:val="004A0D4A"/>
    <w:rsid w:val="004A11BD"/>
    <w:rsid w:val="004A3A58"/>
    <w:rsid w:val="004A3B3D"/>
    <w:rsid w:val="004A5880"/>
    <w:rsid w:val="004A6C52"/>
    <w:rsid w:val="004A705D"/>
    <w:rsid w:val="004A7B60"/>
    <w:rsid w:val="004B031B"/>
    <w:rsid w:val="004B135C"/>
    <w:rsid w:val="004B2A17"/>
    <w:rsid w:val="004B38D3"/>
    <w:rsid w:val="004B38D7"/>
    <w:rsid w:val="004B3B58"/>
    <w:rsid w:val="004B4DF9"/>
    <w:rsid w:val="004B5870"/>
    <w:rsid w:val="004B5E3A"/>
    <w:rsid w:val="004B67ED"/>
    <w:rsid w:val="004B7F4A"/>
    <w:rsid w:val="004C03BC"/>
    <w:rsid w:val="004C0508"/>
    <w:rsid w:val="004C15A0"/>
    <w:rsid w:val="004C1ACF"/>
    <w:rsid w:val="004C4478"/>
    <w:rsid w:val="004C6E6F"/>
    <w:rsid w:val="004C74EC"/>
    <w:rsid w:val="004D0C15"/>
    <w:rsid w:val="004D2031"/>
    <w:rsid w:val="004D2753"/>
    <w:rsid w:val="004D36B6"/>
    <w:rsid w:val="004D4419"/>
    <w:rsid w:val="004D5161"/>
    <w:rsid w:val="004D6755"/>
    <w:rsid w:val="004D6C74"/>
    <w:rsid w:val="004D780C"/>
    <w:rsid w:val="004E0244"/>
    <w:rsid w:val="004E04BF"/>
    <w:rsid w:val="004E081B"/>
    <w:rsid w:val="004E0A91"/>
    <w:rsid w:val="004E28B1"/>
    <w:rsid w:val="004E2BE7"/>
    <w:rsid w:val="004E5B02"/>
    <w:rsid w:val="004E6D5F"/>
    <w:rsid w:val="004E7936"/>
    <w:rsid w:val="004E7DF2"/>
    <w:rsid w:val="004F0D16"/>
    <w:rsid w:val="004F2B30"/>
    <w:rsid w:val="004F3766"/>
    <w:rsid w:val="004F458D"/>
    <w:rsid w:val="004F4775"/>
    <w:rsid w:val="004F4BB8"/>
    <w:rsid w:val="004F50AF"/>
    <w:rsid w:val="00502363"/>
    <w:rsid w:val="00502FC6"/>
    <w:rsid w:val="0050394C"/>
    <w:rsid w:val="0050399F"/>
    <w:rsid w:val="00503F93"/>
    <w:rsid w:val="00504A16"/>
    <w:rsid w:val="005050CE"/>
    <w:rsid w:val="00505B5C"/>
    <w:rsid w:val="005067A1"/>
    <w:rsid w:val="005130D9"/>
    <w:rsid w:val="005135D6"/>
    <w:rsid w:val="00513822"/>
    <w:rsid w:val="00514158"/>
    <w:rsid w:val="00514783"/>
    <w:rsid w:val="00521D56"/>
    <w:rsid w:val="00522F33"/>
    <w:rsid w:val="0052367C"/>
    <w:rsid w:val="00523DD6"/>
    <w:rsid w:val="0053078D"/>
    <w:rsid w:val="00530BA1"/>
    <w:rsid w:val="00530FC7"/>
    <w:rsid w:val="00531FC9"/>
    <w:rsid w:val="0053327A"/>
    <w:rsid w:val="00533D6A"/>
    <w:rsid w:val="00533E53"/>
    <w:rsid w:val="005342A5"/>
    <w:rsid w:val="00535350"/>
    <w:rsid w:val="00535A98"/>
    <w:rsid w:val="00536B6D"/>
    <w:rsid w:val="0053702D"/>
    <w:rsid w:val="005429A0"/>
    <w:rsid w:val="00542C33"/>
    <w:rsid w:val="00542EAE"/>
    <w:rsid w:val="00543CF6"/>
    <w:rsid w:val="00543DBD"/>
    <w:rsid w:val="00544DA4"/>
    <w:rsid w:val="00547047"/>
    <w:rsid w:val="00550113"/>
    <w:rsid w:val="005511AD"/>
    <w:rsid w:val="00551271"/>
    <w:rsid w:val="0055245C"/>
    <w:rsid w:val="005528C1"/>
    <w:rsid w:val="00552A83"/>
    <w:rsid w:val="00552E3E"/>
    <w:rsid w:val="00554886"/>
    <w:rsid w:val="00554A32"/>
    <w:rsid w:val="0055657F"/>
    <w:rsid w:val="0055791B"/>
    <w:rsid w:val="00557D09"/>
    <w:rsid w:val="00560A14"/>
    <w:rsid w:val="005617F7"/>
    <w:rsid w:val="00562181"/>
    <w:rsid w:val="00563313"/>
    <w:rsid w:val="005643EA"/>
    <w:rsid w:val="00564A89"/>
    <w:rsid w:val="00565031"/>
    <w:rsid w:val="005666F4"/>
    <w:rsid w:val="005723E9"/>
    <w:rsid w:val="00572C82"/>
    <w:rsid w:val="0057350E"/>
    <w:rsid w:val="00573DB4"/>
    <w:rsid w:val="00576215"/>
    <w:rsid w:val="0057632A"/>
    <w:rsid w:val="005808DE"/>
    <w:rsid w:val="00581FA5"/>
    <w:rsid w:val="00582923"/>
    <w:rsid w:val="00584165"/>
    <w:rsid w:val="00585466"/>
    <w:rsid w:val="0058617B"/>
    <w:rsid w:val="005911AC"/>
    <w:rsid w:val="00593E1F"/>
    <w:rsid w:val="0059657D"/>
    <w:rsid w:val="00597BBC"/>
    <w:rsid w:val="005A020C"/>
    <w:rsid w:val="005A18FB"/>
    <w:rsid w:val="005A2182"/>
    <w:rsid w:val="005A2363"/>
    <w:rsid w:val="005A43B1"/>
    <w:rsid w:val="005A6305"/>
    <w:rsid w:val="005A7CA9"/>
    <w:rsid w:val="005B02DE"/>
    <w:rsid w:val="005B0463"/>
    <w:rsid w:val="005B0C8D"/>
    <w:rsid w:val="005B13A0"/>
    <w:rsid w:val="005B321D"/>
    <w:rsid w:val="005B3B7C"/>
    <w:rsid w:val="005B4FE4"/>
    <w:rsid w:val="005B54BB"/>
    <w:rsid w:val="005B5D85"/>
    <w:rsid w:val="005C1BC9"/>
    <w:rsid w:val="005C287F"/>
    <w:rsid w:val="005C2A1D"/>
    <w:rsid w:val="005C517E"/>
    <w:rsid w:val="005C6CF7"/>
    <w:rsid w:val="005C6DEB"/>
    <w:rsid w:val="005C7A91"/>
    <w:rsid w:val="005D2F62"/>
    <w:rsid w:val="005D3318"/>
    <w:rsid w:val="005D35A0"/>
    <w:rsid w:val="005D3E00"/>
    <w:rsid w:val="005D40D9"/>
    <w:rsid w:val="005D5914"/>
    <w:rsid w:val="005E0301"/>
    <w:rsid w:val="005E03B8"/>
    <w:rsid w:val="005E0917"/>
    <w:rsid w:val="005E3471"/>
    <w:rsid w:val="005E4BEC"/>
    <w:rsid w:val="005E7DF2"/>
    <w:rsid w:val="005F05ED"/>
    <w:rsid w:val="005F1095"/>
    <w:rsid w:val="005F12F9"/>
    <w:rsid w:val="005F1957"/>
    <w:rsid w:val="005F3409"/>
    <w:rsid w:val="005F5B6B"/>
    <w:rsid w:val="005F5DF8"/>
    <w:rsid w:val="005F6354"/>
    <w:rsid w:val="005F6603"/>
    <w:rsid w:val="005F6FDF"/>
    <w:rsid w:val="00600733"/>
    <w:rsid w:val="00601450"/>
    <w:rsid w:val="006015FF"/>
    <w:rsid w:val="0060179C"/>
    <w:rsid w:val="006022CB"/>
    <w:rsid w:val="00602FA5"/>
    <w:rsid w:val="00605A9A"/>
    <w:rsid w:val="00605F23"/>
    <w:rsid w:val="0060673F"/>
    <w:rsid w:val="00606885"/>
    <w:rsid w:val="0060723F"/>
    <w:rsid w:val="00607523"/>
    <w:rsid w:val="006108B8"/>
    <w:rsid w:val="00610920"/>
    <w:rsid w:val="00610B56"/>
    <w:rsid w:val="00611073"/>
    <w:rsid w:val="0061222C"/>
    <w:rsid w:val="0061248F"/>
    <w:rsid w:val="00612780"/>
    <w:rsid w:val="006128D7"/>
    <w:rsid w:val="0061482E"/>
    <w:rsid w:val="0061552A"/>
    <w:rsid w:val="00616264"/>
    <w:rsid w:val="00616690"/>
    <w:rsid w:val="00616E90"/>
    <w:rsid w:val="00620AB3"/>
    <w:rsid w:val="00622B37"/>
    <w:rsid w:val="00622DF8"/>
    <w:rsid w:val="00623BD2"/>
    <w:rsid w:val="0062558D"/>
    <w:rsid w:val="006269F7"/>
    <w:rsid w:val="00627143"/>
    <w:rsid w:val="00630711"/>
    <w:rsid w:val="006317A9"/>
    <w:rsid w:val="0063337F"/>
    <w:rsid w:val="00633D3C"/>
    <w:rsid w:val="00633DEB"/>
    <w:rsid w:val="0063493E"/>
    <w:rsid w:val="006364E5"/>
    <w:rsid w:val="00640475"/>
    <w:rsid w:val="00643011"/>
    <w:rsid w:val="00643362"/>
    <w:rsid w:val="0064497A"/>
    <w:rsid w:val="006452A4"/>
    <w:rsid w:val="00645573"/>
    <w:rsid w:val="006455B0"/>
    <w:rsid w:val="00645BB0"/>
    <w:rsid w:val="00646287"/>
    <w:rsid w:val="00646D1B"/>
    <w:rsid w:val="006477B8"/>
    <w:rsid w:val="00647F9C"/>
    <w:rsid w:val="00650D5A"/>
    <w:rsid w:val="00650DB8"/>
    <w:rsid w:val="00651C18"/>
    <w:rsid w:val="00652DF7"/>
    <w:rsid w:val="00652F11"/>
    <w:rsid w:val="00656BF0"/>
    <w:rsid w:val="0066173C"/>
    <w:rsid w:val="0066186C"/>
    <w:rsid w:val="00662545"/>
    <w:rsid w:val="006646B6"/>
    <w:rsid w:val="006660B9"/>
    <w:rsid w:val="00666996"/>
    <w:rsid w:val="00672D2A"/>
    <w:rsid w:val="006746DB"/>
    <w:rsid w:val="006750B8"/>
    <w:rsid w:val="00676B42"/>
    <w:rsid w:val="00676B98"/>
    <w:rsid w:val="006771CE"/>
    <w:rsid w:val="006778A2"/>
    <w:rsid w:val="00680E39"/>
    <w:rsid w:val="00681382"/>
    <w:rsid w:val="0068462E"/>
    <w:rsid w:val="00685182"/>
    <w:rsid w:val="0068594D"/>
    <w:rsid w:val="00690D01"/>
    <w:rsid w:val="006916DC"/>
    <w:rsid w:val="00691F9C"/>
    <w:rsid w:val="00692A55"/>
    <w:rsid w:val="00692B10"/>
    <w:rsid w:val="0069572F"/>
    <w:rsid w:val="006966FF"/>
    <w:rsid w:val="00696F12"/>
    <w:rsid w:val="006972E8"/>
    <w:rsid w:val="006A01F5"/>
    <w:rsid w:val="006A14F6"/>
    <w:rsid w:val="006A20A0"/>
    <w:rsid w:val="006A3201"/>
    <w:rsid w:val="006A3A82"/>
    <w:rsid w:val="006A4B1B"/>
    <w:rsid w:val="006A6CCF"/>
    <w:rsid w:val="006A7AEE"/>
    <w:rsid w:val="006B08A5"/>
    <w:rsid w:val="006B19A0"/>
    <w:rsid w:val="006B1A77"/>
    <w:rsid w:val="006B2A31"/>
    <w:rsid w:val="006B36C2"/>
    <w:rsid w:val="006B4AC8"/>
    <w:rsid w:val="006B55D6"/>
    <w:rsid w:val="006B5A2B"/>
    <w:rsid w:val="006B5BA8"/>
    <w:rsid w:val="006B7228"/>
    <w:rsid w:val="006B72F3"/>
    <w:rsid w:val="006C0691"/>
    <w:rsid w:val="006C0915"/>
    <w:rsid w:val="006C11BB"/>
    <w:rsid w:val="006C163A"/>
    <w:rsid w:val="006C1FB5"/>
    <w:rsid w:val="006C3FF9"/>
    <w:rsid w:val="006C4136"/>
    <w:rsid w:val="006C4174"/>
    <w:rsid w:val="006C45C6"/>
    <w:rsid w:val="006C4D76"/>
    <w:rsid w:val="006C52E6"/>
    <w:rsid w:val="006C66DB"/>
    <w:rsid w:val="006C6D3F"/>
    <w:rsid w:val="006C6EE0"/>
    <w:rsid w:val="006C7201"/>
    <w:rsid w:val="006D168F"/>
    <w:rsid w:val="006D35FC"/>
    <w:rsid w:val="006D3B1A"/>
    <w:rsid w:val="006D49F3"/>
    <w:rsid w:val="006D665A"/>
    <w:rsid w:val="006D6AE0"/>
    <w:rsid w:val="006E01DA"/>
    <w:rsid w:val="006E03EE"/>
    <w:rsid w:val="006E0809"/>
    <w:rsid w:val="006E3440"/>
    <w:rsid w:val="006E52E7"/>
    <w:rsid w:val="006E5D07"/>
    <w:rsid w:val="006E6778"/>
    <w:rsid w:val="006E6AEF"/>
    <w:rsid w:val="006F2637"/>
    <w:rsid w:val="006F2989"/>
    <w:rsid w:val="006F3626"/>
    <w:rsid w:val="006F503D"/>
    <w:rsid w:val="006F53D7"/>
    <w:rsid w:val="00700DE8"/>
    <w:rsid w:val="00700DFD"/>
    <w:rsid w:val="00703C87"/>
    <w:rsid w:val="007065FE"/>
    <w:rsid w:val="00706D25"/>
    <w:rsid w:val="007106FB"/>
    <w:rsid w:val="007111B3"/>
    <w:rsid w:val="00711F3A"/>
    <w:rsid w:val="007121C9"/>
    <w:rsid w:val="00712B6C"/>
    <w:rsid w:val="0071377A"/>
    <w:rsid w:val="00713E91"/>
    <w:rsid w:val="00720ADC"/>
    <w:rsid w:val="00721A22"/>
    <w:rsid w:val="00721CEA"/>
    <w:rsid w:val="0072265E"/>
    <w:rsid w:val="00722A10"/>
    <w:rsid w:val="007233B1"/>
    <w:rsid w:val="007241D3"/>
    <w:rsid w:val="007247ED"/>
    <w:rsid w:val="007248BD"/>
    <w:rsid w:val="007260DA"/>
    <w:rsid w:val="00727756"/>
    <w:rsid w:val="00730040"/>
    <w:rsid w:val="0073183F"/>
    <w:rsid w:val="0073242B"/>
    <w:rsid w:val="00732D6D"/>
    <w:rsid w:val="00733B77"/>
    <w:rsid w:val="007345D3"/>
    <w:rsid w:val="0073473E"/>
    <w:rsid w:val="0073581C"/>
    <w:rsid w:val="00736AD5"/>
    <w:rsid w:val="00736D27"/>
    <w:rsid w:val="00736F34"/>
    <w:rsid w:val="00741BA6"/>
    <w:rsid w:val="007420C6"/>
    <w:rsid w:val="007434D0"/>
    <w:rsid w:val="00745142"/>
    <w:rsid w:val="00745369"/>
    <w:rsid w:val="007463E2"/>
    <w:rsid w:val="007466A4"/>
    <w:rsid w:val="007503D4"/>
    <w:rsid w:val="0075112B"/>
    <w:rsid w:val="00752B94"/>
    <w:rsid w:val="0075517F"/>
    <w:rsid w:val="00757C76"/>
    <w:rsid w:val="007608E4"/>
    <w:rsid w:val="007615A8"/>
    <w:rsid w:val="00761856"/>
    <w:rsid w:val="00761891"/>
    <w:rsid w:val="0076257F"/>
    <w:rsid w:val="00763A4B"/>
    <w:rsid w:val="0076470E"/>
    <w:rsid w:val="00764E61"/>
    <w:rsid w:val="00765008"/>
    <w:rsid w:val="007676ED"/>
    <w:rsid w:val="007679BF"/>
    <w:rsid w:val="00770830"/>
    <w:rsid w:val="00770EAF"/>
    <w:rsid w:val="007711E7"/>
    <w:rsid w:val="00771E97"/>
    <w:rsid w:val="0077276E"/>
    <w:rsid w:val="0077559A"/>
    <w:rsid w:val="0078015D"/>
    <w:rsid w:val="00781160"/>
    <w:rsid w:val="007827A3"/>
    <w:rsid w:val="00783881"/>
    <w:rsid w:val="00783DA7"/>
    <w:rsid w:val="00784477"/>
    <w:rsid w:val="0078506A"/>
    <w:rsid w:val="00785E60"/>
    <w:rsid w:val="00785F3E"/>
    <w:rsid w:val="007864CA"/>
    <w:rsid w:val="00787028"/>
    <w:rsid w:val="00787CDE"/>
    <w:rsid w:val="00791DA9"/>
    <w:rsid w:val="00795EC6"/>
    <w:rsid w:val="007969A4"/>
    <w:rsid w:val="00797715"/>
    <w:rsid w:val="00797C89"/>
    <w:rsid w:val="007A1067"/>
    <w:rsid w:val="007A1D61"/>
    <w:rsid w:val="007A1E2E"/>
    <w:rsid w:val="007A212A"/>
    <w:rsid w:val="007A40CB"/>
    <w:rsid w:val="007A49AC"/>
    <w:rsid w:val="007A4CFD"/>
    <w:rsid w:val="007B0068"/>
    <w:rsid w:val="007B025E"/>
    <w:rsid w:val="007B0AC3"/>
    <w:rsid w:val="007B16A3"/>
    <w:rsid w:val="007B4F0B"/>
    <w:rsid w:val="007B4FD3"/>
    <w:rsid w:val="007B5523"/>
    <w:rsid w:val="007C099C"/>
    <w:rsid w:val="007C3B71"/>
    <w:rsid w:val="007C4C33"/>
    <w:rsid w:val="007C5DF2"/>
    <w:rsid w:val="007C6E66"/>
    <w:rsid w:val="007C795D"/>
    <w:rsid w:val="007D1696"/>
    <w:rsid w:val="007D183F"/>
    <w:rsid w:val="007D2AEF"/>
    <w:rsid w:val="007D2CE6"/>
    <w:rsid w:val="007D4FF8"/>
    <w:rsid w:val="007D63B3"/>
    <w:rsid w:val="007D7D73"/>
    <w:rsid w:val="007E16E5"/>
    <w:rsid w:val="007E18BB"/>
    <w:rsid w:val="007E33D4"/>
    <w:rsid w:val="007E39E6"/>
    <w:rsid w:val="007E3DCF"/>
    <w:rsid w:val="007E475F"/>
    <w:rsid w:val="007E6F35"/>
    <w:rsid w:val="007E7340"/>
    <w:rsid w:val="007F0442"/>
    <w:rsid w:val="007F360A"/>
    <w:rsid w:val="007F4272"/>
    <w:rsid w:val="007F5225"/>
    <w:rsid w:val="007F5488"/>
    <w:rsid w:val="007F6D99"/>
    <w:rsid w:val="007F7831"/>
    <w:rsid w:val="007F7A60"/>
    <w:rsid w:val="008004DF"/>
    <w:rsid w:val="008015A0"/>
    <w:rsid w:val="00802421"/>
    <w:rsid w:val="008024B2"/>
    <w:rsid w:val="00805255"/>
    <w:rsid w:val="00810F87"/>
    <w:rsid w:val="0081176B"/>
    <w:rsid w:val="00812582"/>
    <w:rsid w:val="008136B4"/>
    <w:rsid w:val="00816B32"/>
    <w:rsid w:val="00816F2D"/>
    <w:rsid w:val="00820E23"/>
    <w:rsid w:val="0082105B"/>
    <w:rsid w:val="008248E0"/>
    <w:rsid w:val="00830F86"/>
    <w:rsid w:val="0083278B"/>
    <w:rsid w:val="0083285E"/>
    <w:rsid w:val="008343BD"/>
    <w:rsid w:val="0083444D"/>
    <w:rsid w:val="00836845"/>
    <w:rsid w:val="00841322"/>
    <w:rsid w:val="008420D9"/>
    <w:rsid w:val="008427C5"/>
    <w:rsid w:val="00842A5C"/>
    <w:rsid w:val="00844689"/>
    <w:rsid w:val="00845545"/>
    <w:rsid w:val="008503E1"/>
    <w:rsid w:val="00850C75"/>
    <w:rsid w:val="00854E5A"/>
    <w:rsid w:val="0085520E"/>
    <w:rsid w:val="00855D5F"/>
    <w:rsid w:val="00856854"/>
    <w:rsid w:val="0085692D"/>
    <w:rsid w:val="00856E42"/>
    <w:rsid w:val="0086119A"/>
    <w:rsid w:val="0086634C"/>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4B3"/>
    <w:rsid w:val="00884B2C"/>
    <w:rsid w:val="00884FEB"/>
    <w:rsid w:val="00885185"/>
    <w:rsid w:val="00885309"/>
    <w:rsid w:val="0088630E"/>
    <w:rsid w:val="00887637"/>
    <w:rsid w:val="00887A83"/>
    <w:rsid w:val="0089010B"/>
    <w:rsid w:val="00893133"/>
    <w:rsid w:val="008932B5"/>
    <w:rsid w:val="00894221"/>
    <w:rsid w:val="008968A4"/>
    <w:rsid w:val="00897812"/>
    <w:rsid w:val="008A1A1E"/>
    <w:rsid w:val="008A1C51"/>
    <w:rsid w:val="008A301C"/>
    <w:rsid w:val="008A3152"/>
    <w:rsid w:val="008A49E8"/>
    <w:rsid w:val="008A509C"/>
    <w:rsid w:val="008A5DBC"/>
    <w:rsid w:val="008A61B3"/>
    <w:rsid w:val="008A7A5D"/>
    <w:rsid w:val="008B1A0F"/>
    <w:rsid w:val="008B2119"/>
    <w:rsid w:val="008B2F5E"/>
    <w:rsid w:val="008B37B1"/>
    <w:rsid w:val="008B6066"/>
    <w:rsid w:val="008B695F"/>
    <w:rsid w:val="008B7267"/>
    <w:rsid w:val="008B73EE"/>
    <w:rsid w:val="008C017D"/>
    <w:rsid w:val="008C09FE"/>
    <w:rsid w:val="008C122C"/>
    <w:rsid w:val="008C2DC4"/>
    <w:rsid w:val="008C5233"/>
    <w:rsid w:val="008C624D"/>
    <w:rsid w:val="008C6A9B"/>
    <w:rsid w:val="008C6E0B"/>
    <w:rsid w:val="008D2210"/>
    <w:rsid w:val="008D274F"/>
    <w:rsid w:val="008D30F0"/>
    <w:rsid w:val="008D4535"/>
    <w:rsid w:val="008D53B8"/>
    <w:rsid w:val="008D6256"/>
    <w:rsid w:val="008D6581"/>
    <w:rsid w:val="008D7D83"/>
    <w:rsid w:val="008E0E86"/>
    <w:rsid w:val="008E0F08"/>
    <w:rsid w:val="008E10EF"/>
    <w:rsid w:val="008E20BD"/>
    <w:rsid w:val="008E3CA9"/>
    <w:rsid w:val="008E47D2"/>
    <w:rsid w:val="008E5ADB"/>
    <w:rsid w:val="008F1D51"/>
    <w:rsid w:val="008F2D4E"/>
    <w:rsid w:val="008F42E6"/>
    <w:rsid w:val="008F50DF"/>
    <w:rsid w:val="008F54B0"/>
    <w:rsid w:val="008F5BFE"/>
    <w:rsid w:val="00900C1D"/>
    <w:rsid w:val="00901501"/>
    <w:rsid w:val="00902EFC"/>
    <w:rsid w:val="00905EA9"/>
    <w:rsid w:val="009068C9"/>
    <w:rsid w:val="00907115"/>
    <w:rsid w:val="00907513"/>
    <w:rsid w:val="00910210"/>
    <w:rsid w:val="009118EE"/>
    <w:rsid w:val="00912441"/>
    <w:rsid w:val="00912DF5"/>
    <w:rsid w:val="00920491"/>
    <w:rsid w:val="009247A0"/>
    <w:rsid w:val="00924EEF"/>
    <w:rsid w:val="00924FE7"/>
    <w:rsid w:val="009270FE"/>
    <w:rsid w:val="00927A7A"/>
    <w:rsid w:val="00927A8B"/>
    <w:rsid w:val="0093055F"/>
    <w:rsid w:val="009308DB"/>
    <w:rsid w:val="00931528"/>
    <w:rsid w:val="009339C1"/>
    <w:rsid w:val="00934BDB"/>
    <w:rsid w:val="00934F04"/>
    <w:rsid w:val="00936395"/>
    <w:rsid w:val="00936BB3"/>
    <w:rsid w:val="00936DD1"/>
    <w:rsid w:val="009371BA"/>
    <w:rsid w:val="0094162B"/>
    <w:rsid w:val="00941843"/>
    <w:rsid w:val="00941EC3"/>
    <w:rsid w:val="00942368"/>
    <w:rsid w:val="009433BC"/>
    <w:rsid w:val="00944530"/>
    <w:rsid w:val="00947028"/>
    <w:rsid w:val="00947A01"/>
    <w:rsid w:val="00950950"/>
    <w:rsid w:val="00954485"/>
    <w:rsid w:val="00955AA6"/>
    <w:rsid w:val="00955C81"/>
    <w:rsid w:val="00955F25"/>
    <w:rsid w:val="00960B47"/>
    <w:rsid w:val="0096378F"/>
    <w:rsid w:val="00964E1D"/>
    <w:rsid w:val="00965272"/>
    <w:rsid w:val="00965D27"/>
    <w:rsid w:val="00966663"/>
    <w:rsid w:val="00967868"/>
    <w:rsid w:val="00967FAE"/>
    <w:rsid w:val="00971A2C"/>
    <w:rsid w:val="009720F9"/>
    <w:rsid w:val="00972A1C"/>
    <w:rsid w:val="00973707"/>
    <w:rsid w:val="00973B8E"/>
    <w:rsid w:val="00974150"/>
    <w:rsid w:val="00974E3F"/>
    <w:rsid w:val="00975CA2"/>
    <w:rsid w:val="00975F7F"/>
    <w:rsid w:val="009769DE"/>
    <w:rsid w:val="00981540"/>
    <w:rsid w:val="0098182F"/>
    <w:rsid w:val="0098245F"/>
    <w:rsid w:val="00984A5C"/>
    <w:rsid w:val="00985397"/>
    <w:rsid w:val="00985E17"/>
    <w:rsid w:val="00986FA9"/>
    <w:rsid w:val="0098778D"/>
    <w:rsid w:val="00991C37"/>
    <w:rsid w:val="00991D59"/>
    <w:rsid w:val="009921F0"/>
    <w:rsid w:val="0099270E"/>
    <w:rsid w:val="00995A7F"/>
    <w:rsid w:val="00995B12"/>
    <w:rsid w:val="0099694B"/>
    <w:rsid w:val="009A1317"/>
    <w:rsid w:val="009A1A9B"/>
    <w:rsid w:val="009A2864"/>
    <w:rsid w:val="009A2E43"/>
    <w:rsid w:val="009A3874"/>
    <w:rsid w:val="009A455A"/>
    <w:rsid w:val="009A47E2"/>
    <w:rsid w:val="009A4B3E"/>
    <w:rsid w:val="009A6E08"/>
    <w:rsid w:val="009A7A38"/>
    <w:rsid w:val="009B09F5"/>
    <w:rsid w:val="009B0E38"/>
    <w:rsid w:val="009B355E"/>
    <w:rsid w:val="009B511B"/>
    <w:rsid w:val="009B526D"/>
    <w:rsid w:val="009B591B"/>
    <w:rsid w:val="009B6299"/>
    <w:rsid w:val="009B6CE4"/>
    <w:rsid w:val="009C001E"/>
    <w:rsid w:val="009C083D"/>
    <w:rsid w:val="009C2C58"/>
    <w:rsid w:val="009C3801"/>
    <w:rsid w:val="009C3D16"/>
    <w:rsid w:val="009C3DD6"/>
    <w:rsid w:val="009C4291"/>
    <w:rsid w:val="009C44E7"/>
    <w:rsid w:val="009C4702"/>
    <w:rsid w:val="009C5582"/>
    <w:rsid w:val="009C7899"/>
    <w:rsid w:val="009C7D6A"/>
    <w:rsid w:val="009D3244"/>
    <w:rsid w:val="009D50E7"/>
    <w:rsid w:val="009D5501"/>
    <w:rsid w:val="009D5D1A"/>
    <w:rsid w:val="009D6EDB"/>
    <w:rsid w:val="009D7A90"/>
    <w:rsid w:val="009E283E"/>
    <w:rsid w:val="009E2BBD"/>
    <w:rsid w:val="009E4FA0"/>
    <w:rsid w:val="009E563E"/>
    <w:rsid w:val="009E5DCC"/>
    <w:rsid w:val="009E655E"/>
    <w:rsid w:val="009E718A"/>
    <w:rsid w:val="009E7D4D"/>
    <w:rsid w:val="009F1084"/>
    <w:rsid w:val="009F2B54"/>
    <w:rsid w:val="009F3AD0"/>
    <w:rsid w:val="009F3E30"/>
    <w:rsid w:val="009F5262"/>
    <w:rsid w:val="009F78B4"/>
    <w:rsid w:val="009F7C08"/>
    <w:rsid w:val="00A01C72"/>
    <w:rsid w:val="00A02850"/>
    <w:rsid w:val="00A03C89"/>
    <w:rsid w:val="00A03DC9"/>
    <w:rsid w:val="00A045D1"/>
    <w:rsid w:val="00A0483F"/>
    <w:rsid w:val="00A04CFA"/>
    <w:rsid w:val="00A0772B"/>
    <w:rsid w:val="00A10C90"/>
    <w:rsid w:val="00A12B66"/>
    <w:rsid w:val="00A136CD"/>
    <w:rsid w:val="00A232F8"/>
    <w:rsid w:val="00A24751"/>
    <w:rsid w:val="00A248E2"/>
    <w:rsid w:val="00A26662"/>
    <w:rsid w:val="00A2674E"/>
    <w:rsid w:val="00A31125"/>
    <w:rsid w:val="00A320B1"/>
    <w:rsid w:val="00A325F5"/>
    <w:rsid w:val="00A33695"/>
    <w:rsid w:val="00A33C55"/>
    <w:rsid w:val="00A34026"/>
    <w:rsid w:val="00A369B8"/>
    <w:rsid w:val="00A402A8"/>
    <w:rsid w:val="00A4281F"/>
    <w:rsid w:val="00A4309F"/>
    <w:rsid w:val="00A4319E"/>
    <w:rsid w:val="00A50EB7"/>
    <w:rsid w:val="00A51AA9"/>
    <w:rsid w:val="00A5221E"/>
    <w:rsid w:val="00A53205"/>
    <w:rsid w:val="00A53C11"/>
    <w:rsid w:val="00A60195"/>
    <w:rsid w:val="00A6394C"/>
    <w:rsid w:val="00A64421"/>
    <w:rsid w:val="00A6683C"/>
    <w:rsid w:val="00A66EC6"/>
    <w:rsid w:val="00A6706B"/>
    <w:rsid w:val="00A675D9"/>
    <w:rsid w:val="00A70159"/>
    <w:rsid w:val="00A70245"/>
    <w:rsid w:val="00A72DF3"/>
    <w:rsid w:val="00A73282"/>
    <w:rsid w:val="00A7376F"/>
    <w:rsid w:val="00A74B40"/>
    <w:rsid w:val="00A74D8D"/>
    <w:rsid w:val="00A76381"/>
    <w:rsid w:val="00A772B4"/>
    <w:rsid w:val="00A774C1"/>
    <w:rsid w:val="00A801A9"/>
    <w:rsid w:val="00A80A02"/>
    <w:rsid w:val="00A80C2E"/>
    <w:rsid w:val="00A840BE"/>
    <w:rsid w:val="00A840D5"/>
    <w:rsid w:val="00A85CE0"/>
    <w:rsid w:val="00A85E91"/>
    <w:rsid w:val="00A86139"/>
    <w:rsid w:val="00A86EB4"/>
    <w:rsid w:val="00A90BDF"/>
    <w:rsid w:val="00A92CFF"/>
    <w:rsid w:val="00A94FBC"/>
    <w:rsid w:val="00A9559C"/>
    <w:rsid w:val="00A95FD0"/>
    <w:rsid w:val="00AA02BE"/>
    <w:rsid w:val="00AA1B66"/>
    <w:rsid w:val="00AA3189"/>
    <w:rsid w:val="00AA629F"/>
    <w:rsid w:val="00AA6A66"/>
    <w:rsid w:val="00AA7658"/>
    <w:rsid w:val="00AB01A1"/>
    <w:rsid w:val="00AB0412"/>
    <w:rsid w:val="00AB1C4B"/>
    <w:rsid w:val="00AB2C97"/>
    <w:rsid w:val="00AB2F46"/>
    <w:rsid w:val="00AB393F"/>
    <w:rsid w:val="00AB3FE1"/>
    <w:rsid w:val="00AB4E51"/>
    <w:rsid w:val="00AB63E5"/>
    <w:rsid w:val="00AB67AA"/>
    <w:rsid w:val="00AB7B8D"/>
    <w:rsid w:val="00AB7EF6"/>
    <w:rsid w:val="00AC06B8"/>
    <w:rsid w:val="00AC0C9F"/>
    <w:rsid w:val="00AC0F2C"/>
    <w:rsid w:val="00AC14E2"/>
    <w:rsid w:val="00AC3054"/>
    <w:rsid w:val="00AC4299"/>
    <w:rsid w:val="00AC4C0D"/>
    <w:rsid w:val="00AC4E3A"/>
    <w:rsid w:val="00AC5975"/>
    <w:rsid w:val="00AC5D72"/>
    <w:rsid w:val="00AC5F45"/>
    <w:rsid w:val="00AC6255"/>
    <w:rsid w:val="00AC654C"/>
    <w:rsid w:val="00AC6570"/>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D7A"/>
    <w:rsid w:val="00AF4ED2"/>
    <w:rsid w:val="00AF62BC"/>
    <w:rsid w:val="00AF672F"/>
    <w:rsid w:val="00AF7FA5"/>
    <w:rsid w:val="00B006E9"/>
    <w:rsid w:val="00B01163"/>
    <w:rsid w:val="00B024AD"/>
    <w:rsid w:val="00B048F1"/>
    <w:rsid w:val="00B049B4"/>
    <w:rsid w:val="00B04D23"/>
    <w:rsid w:val="00B057CA"/>
    <w:rsid w:val="00B106C6"/>
    <w:rsid w:val="00B11505"/>
    <w:rsid w:val="00B11D0D"/>
    <w:rsid w:val="00B12EA6"/>
    <w:rsid w:val="00B145A2"/>
    <w:rsid w:val="00B15280"/>
    <w:rsid w:val="00B15DB6"/>
    <w:rsid w:val="00B17100"/>
    <w:rsid w:val="00B171C0"/>
    <w:rsid w:val="00B17999"/>
    <w:rsid w:val="00B20E5D"/>
    <w:rsid w:val="00B21DE2"/>
    <w:rsid w:val="00B21E50"/>
    <w:rsid w:val="00B22110"/>
    <w:rsid w:val="00B23005"/>
    <w:rsid w:val="00B26927"/>
    <w:rsid w:val="00B30046"/>
    <w:rsid w:val="00B31D8A"/>
    <w:rsid w:val="00B32AFB"/>
    <w:rsid w:val="00B34B0B"/>
    <w:rsid w:val="00B34B77"/>
    <w:rsid w:val="00B34DD6"/>
    <w:rsid w:val="00B35F80"/>
    <w:rsid w:val="00B36BA6"/>
    <w:rsid w:val="00B36EAA"/>
    <w:rsid w:val="00B4177D"/>
    <w:rsid w:val="00B431BD"/>
    <w:rsid w:val="00B439B1"/>
    <w:rsid w:val="00B43C2A"/>
    <w:rsid w:val="00B4423C"/>
    <w:rsid w:val="00B442BD"/>
    <w:rsid w:val="00B4512A"/>
    <w:rsid w:val="00B47F0C"/>
    <w:rsid w:val="00B50194"/>
    <w:rsid w:val="00B51CC6"/>
    <w:rsid w:val="00B51F42"/>
    <w:rsid w:val="00B522A4"/>
    <w:rsid w:val="00B52872"/>
    <w:rsid w:val="00B53030"/>
    <w:rsid w:val="00B53939"/>
    <w:rsid w:val="00B542AB"/>
    <w:rsid w:val="00B62635"/>
    <w:rsid w:val="00B71DAC"/>
    <w:rsid w:val="00B72E87"/>
    <w:rsid w:val="00B730C7"/>
    <w:rsid w:val="00B7350E"/>
    <w:rsid w:val="00B74792"/>
    <w:rsid w:val="00B74827"/>
    <w:rsid w:val="00B759BA"/>
    <w:rsid w:val="00B76702"/>
    <w:rsid w:val="00B811B0"/>
    <w:rsid w:val="00B816A3"/>
    <w:rsid w:val="00B822A4"/>
    <w:rsid w:val="00B83834"/>
    <w:rsid w:val="00B846EC"/>
    <w:rsid w:val="00B8560C"/>
    <w:rsid w:val="00B8575F"/>
    <w:rsid w:val="00B86114"/>
    <w:rsid w:val="00B86CA9"/>
    <w:rsid w:val="00B91440"/>
    <w:rsid w:val="00B93FA1"/>
    <w:rsid w:val="00B96FBD"/>
    <w:rsid w:val="00B976CF"/>
    <w:rsid w:val="00B97F1B"/>
    <w:rsid w:val="00BA1C6C"/>
    <w:rsid w:val="00BA2863"/>
    <w:rsid w:val="00BA325A"/>
    <w:rsid w:val="00BA58FE"/>
    <w:rsid w:val="00BA5C1F"/>
    <w:rsid w:val="00BA6384"/>
    <w:rsid w:val="00BA6E03"/>
    <w:rsid w:val="00BA7CE0"/>
    <w:rsid w:val="00BA7F57"/>
    <w:rsid w:val="00BB169C"/>
    <w:rsid w:val="00BB3CBE"/>
    <w:rsid w:val="00BB50BB"/>
    <w:rsid w:val="00BB5B5D"/>
    <w:rsid w:val="00BB6397"/>
    <w:rsid w:val="00BB73C8"/>
    <w:rsid w:val="00BB7E19"/>
    <w:rsid w:val="00BC068F"/>
    <w:rsid w:val="00BC0A7F"/>
    <w:rsid w:val="00BC1220"/>
    <w:rsid w:val="00BC2C58"/>
    <w:rsid w:val="00BC3F13"/>
    <w:rsid w:val="00BC47BF"/>
    <w:rsid w:val="00BC4F1C"/>
    <w:rsid w:val="00BC61CD"/>
    <w:rsid w:val="00BC6F41"/>
    <w:rsid w:val="00BC793E"/>
    <w:rsid w:val="00BD1379"/>
    <w:rsid w:val="00BD36DE"/>
    <w:rsid w:val="00BD52C3"/>
    <w:rsid w:val="00BD5485"/>
    <w:rsid w:val="00BD661B"/>
    <w:rsid w:val="00BD687C"/>
    <w:rsid w:val="00BD75D1"/>
    <w:rsid w:val="00BE0A45"/>
    <w:rsid w:val="00BE1233"/>
    <w:rsid w:val="00BE1311"/>
    <w:rsid w:val="00BE19C2"/>
    <w:rsid w:val="00BE358B"/>
    <w:rsid w:val="00BE4109"/>
    <w:rsid w:val="00BE447B"/>
    <w:rsid w:val="00BE4782"/>
    <w:rsid w:val="00BE47D8"/>
    <w:rsid w:val="00BE4FD9"/>
    <w:rsid w:val="00BE5D73"/>
    <w:rsid w:val="00BE6DFE"/>
    <w:rsid w:val="00BE76FD"/>
    <w:rsid w:val="00BF124A"/>
    <w:rsid w:val="00BF4770"/>
    <w:rsid w:val="00BF540A"/>
    <w:rsid w:val="00BF6EC1"/>
    <w:rsid w:val="00BF7257"/>
    <w:rsid w:val="00C017D1"/>
    <w:rsid w:val="00C029BC"/>
    <w:rsid w:val="00C04D37"/>
    <w:rsid w:val="00C05941"/>
    <w:rsid w:val="00C0657C"/>
    <w:rsid w:val="00C074C4"/>
    <w:rsid w:val="00C10CD4"/>
    <w:rsid w:val="00C11B8D"/>
    <w:rsid w:val="00C12AE0"/>
    <w:rsid w:val="00C12FEB"/>
    <w:rsid w:val="00C140C6"/>
    <w:rsid w:val="00C144EF"/>
    <w:rsid w:val="00C1534E"/>
    <w:rsid w:val="00C211DC"/>
    <w:rsid w:val="00C2135F"/>
    <w:rsid w:val="00C233C6"/>
    <w:rsid w:val="00C23D4E"/>
    <w:rsid w:val="00C25670"/>
    <w:rsid w:val="00C2636B"/>
    <w:rsid w:val="00C277FB"/>
    <w:rsid w:val="00C27CEA"/>
    <w:rsid w:val="00C30639"/>
    <w:rsid w:val="00C306B3"/>
    <w:rsid w:val="00C306F6"/>
    <w:rsid w:val="00C3194E"/>
    <w:rsid w:val="00C31BBB"/>
    <w:rsid w:val="00C345ED"/>
    <w:rsid w:val="00C34837"/>
    <w:rsid w:val="00C348B3"/>
    <w:rsid w:val="00C356C8"/>
    <w:rsid w:val="00C367B4"/>
    <w:rsid w:val="00C36B2D"/>
    <w:rsid w:val="00C37615"/>
    <w:rsid w:val="00C37B29"/>
    <w:rsid w:val="00C40D60"/>
    <w:rsid w:val="00C43A7D"/>
    <w:rsid w:val="00C4425F"/>
    <w:rsid w:val="00C46DB1"/>
    <w:rsid w:val="00C4706F"/>
    <w:rsid w:val="00C47BD3"/>
    <w:rsid w:val="00C504D3"/>
    <w:rsid w:val="00C53B22"/>
    <w:rsid w:val="00C542A9"/>
    <w:rsid w:val="00C54763"/>
    <w:rsid w:val="00C55649"/>
    <w:rsid w:val="00C563A1"/>
    <w:rsid w:val="00C576F8"/>
    <w:rsid w:val="00C57F07"/>
    <w:rsid w:val="00C61FF5"/>
    <w:rsid w:val="00C62CD3"/>
    <w:rsid w:val="00C635CF"/>
    <w:rsid w:val="00C635FD"/>
    <w:rsid w:val="00C64027"/>
    <w:rsid w:val="00C66473"/>
    <w:rsid w:val="00C67004"/>
    <w:rsid w:val="00C707EE"/>
    <w:rsid w:val="00C717C8"/>
    <w:rsid w:val="00C7187C"/>
    <w:rsid w:val="00C71AF2"/>
    <w:rsid w:val="00C71B86"/>
    <w:rsid w:val="00C71D62"/>
    <w:rsid w:val="00C723EA"/>
    <w:rsid w:val="00C731CE"/>
    <w:rsid w:val="00C76E4A"/>
    <w:rsid w:val="00C80731"/>
    <w:rsid w:val="00C80811"/>
    <w:rsid w:val="00C84BAF"/>
    <w:rsid w:val="00C84C64"/>
    <w:rsid w:val="00C8571F"/>
    <w:rsid w:val="00C87CEE"/>
    <w:rsid w:val="00C9009E"/>
    <w:rsid w:val="00C9052E"/>
    <w:rsid w:val="00C917B0"/>
    <w:rsid w:val="00C91DC9"/>
    <w:rsid w:val="00C93697"/>
    <w:rsid w:val="00C93FC2"/>
    <w:rsid w:val="00C941FF"/>
    <w:rsid w:val="00C94AFD"/>
    <w:rsid w:val="00C95414"/>
    <w:rsid w:val="00C95E48"/>
    <w:rsid w:val="00C960CE"/>
    <w:rsid w:val="00C9673B"/>
    <w:rsid w:val="00C973FB"/>
    <w:rsid w:val="00CA0C40"/>
    <w:rsid w:val="00CA126C"/>
    <w:rsid w:val="00CA13B9"/>
    <w:rsid w:val="00CA270D"/>
    <w:rsid w:val="00CA2E80"/>
    <w:rsid w:val="00CA2E92"/>
    <w:rsid w:val="00CA61EE"/>
    <w:rsid w:val="00CA6F54"/>
    <w:rsid w:val="00CB1F27"/>
    <w:rsid w:val="00CB256D"/>
    <w:rsid w:val="00CB484B"/>
    <w:rsid w:val="00CB4E0C"/>
    <w:rsid w:val="00CB5059"/>
    <w:rsid w:val="00CB6C8D"/>
    <w:rsid w:val="00CB7F46"/>
    <w:rsid w:val="00CC2508"/>
    <w:rsid w:val="00CC26A6"/>
    <w:rsid w:val="00CC2F2F"/>
    <w:rsid w:val="00CC47A1"/>
    <w:rsid w:val="00CC4F4F"/>
    <w:rsid w:val="00CC4F94"/>
    <w:rsid w:val="00CC6811"/>
    <w:rsid w:val="00CC7195"/>
    <w:rsid w:val="00CD1420"/>
    <w:rsid w:val="00CD1B30"/>
    <w:rsid w:val="00CD385E"/>
    <w:rsid w:val="00CD3F0E"/>
    <w:rsid w:val="00CD5A1E"/>
    <w:rsid w:val="00CD7D5B"/>
    <w:rsid w:val="00CD7ED8"/>
    <w:rsid w:val="00CE1093"/>
    <w:rsid w:val="00CE2B78"/>
    <w:rsid w:val="00CE31F7"/>
    <w:rsid w:val="00CE47AF"/>
    <w:rsid w:val="00CE4C49"/>
    <w:rsid w:val="00CE5ACF"/>
    <w:rsid w:val="00CE7F91"/>
    <w:rsid w:val="00CF0568"/>
    <w:rsid w:val="00CF2D64"/>
    <w:rsid w:val="00CF5466"/>
    <w:rsid w:val="00CF6D85"/>
    <w:rsid w:val="00D024BD"/>
    <w:rsid w:val="00D02770"/>
    <w:rsid w:val="00D02E89"/>
    <w:rsid w:val="00D054C0"/>
    <w:rsid w:val="00D05A94"/>
    <w:rsid w:val="00D06F70"/>
    <w:rsid w:val="00D10700"/>
    <w:rsid w:val="00D11D41"/>
    <w:rsid w:val="00D1223C"/>
    <w:rsid w:val="00D14A32"/>
    <w:rsid w:val="00D14EE0"/>
    <w:rsid w:val="00D15808"/>
    <w:rsid w:val="00D1690D"/>
    <w:rsid w:val="00D16FBF"/>
    <w:rsid w:val="00D1786A"/>
    <w:rsid w:val="00D2018B"/>
    <w:rsid w:val="00D20799"/>
    <w:rsid w:val="00D209AF"/>
    <w:rsid w:val="00D20C67"/>
    <w:rsid w:val="00D212FE"/>
    <w:rsid w:val="00D2428D"/>
    <w:rsid w:val="00D2506C"/>
    <w:rsid w:val="00D27F99"/>
    <w:rsid w:val="00D300D9"/>
    <w:rsid w:val="00D30A68"/>
    <w:rsid w:val="00D30BE6"/>
    <w:rsid w:val="00D30C04"/>
    <w:rsid w:val="00D314D5"/>
    <w:rsid w:val="00D31BA6"/>
    <w:rsid w:val="00D31C7A"/>
    <w:rsid w:val="00D32447"/>
    <w:rsid w:val="00D33AA1"/>
    <w:rsid w:val="00D34F75"/>
    <w:rsid w:val="00D35BD5"/>
    <w:rsid w:val="00D35C30"/>
    <w:rsid w:val="00D36501"/>
    <w:rsid w:val="00D3686E"/>
    <w:rsid w:val="00D37280"/>
    <w:rsid w:val="00D412C0"/>
    <w:rsid w:val="00D4194D"/>
    <w:rsid w:val="00D4457C"/>
    <w:rsid w:val="00D459F5"/>
    <w:rsid w:val="00D45B15"/>
    <w:rsid w:val="00D47551"/>
    <w:rsid w:val="00D51A17"/>
    <w:rsid w:val="00D51A68"/>
    <w:rsid w:val="00D52387"/>
    <w:rsid w:val="00D5285D"/>
    <w:rsid w:val="00D52FC3"/>
    <w:rsid w:val="00D52FEA"/>
    <w:rsid w:val="00D533DD"/>
    <w:rsid w:val="00D5433B"/>
    <w:rsid w:val="00D54C42"/>
    <w:rsid w:val="00D56AF5"/>
    <w:rsid w:val="00D60795"/>
    <w:rsid w:val="00D60F96"/>
    <w:rsid w:val="00D61651"/>
    <w:rsid w:val="00D634CB"/>
    <w:rsid w:val="00D6494A"/>
    <w:rsid w:val="00D64ADE"/>
    <w:rsid w:val="00D64B66"/>
    <w:rsid w:val="00D6607A"/>
    <w:rsid w:val="00D66CAA"/>
    <w:rsid w:val="00D66F87"/>
    <w:rsid w:val="00D67483"/>
    <w:rsid w:val="00D70AD1"/>
    <w:rsid w:val="00D70F07"/>
    <w:rsid w:val="00D7242F"/>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7BAB"/>
    <w:rsid w:val="00D90BFF"/>
    <w:rsid w:val="00D92396"/>
    <w:rsid w:val="00D946DB"/>
    <w:rsid w:val="00D95045"/>
    <w:rsid w:val="00D96E61"/>
    <w:rsid w:val="00DA040A"/>
    <w:rsid w:val="00DA0B84"/>
    <w:rsid w:val="00DA0DB4"/>
    <w:rsid w:val="00DA1253"/>
    <w:rsid w:val="00DA1525"/>
    <w:rsid w:val="00DA3B36"/>
    <w:rsid w:val="00DA4727"/>
    <w:rsid w:val="00DA4A2F"/>
    <w:rsid w:val="00DA4AAA"/>
    <w:rsid w:val="00DA6CB8"/>
    <w:rsid w:val="00DA77E1"/>
    <w:rsid w:val="00DB0274"/>
    <w:rsid w:val="00DB0F07"/>
    <w:rsid w:val="00DB2DD0"/>
    <w:rsid w:val="00DB339B"/>
    <w:rsid w:val="00DB3B68"/>
    <w:rsid w:val="00DB3EEA"/>
    <w:rsid w:val="00DB40CA"/>
    <w:rsid w:val="00DB5503"/>
    <w:rsid w:val="00DC03E0"/>
    <w:rsid w:val="00DC0817"/>
    <w:rsid w:val="00DC09EA"/>
    <w:rsid w:val="00DC1FD1"/>
    <w:rsid w:val="00DC2D05"/>
    <w:rsid w:val="00DC3A83"/>
    <w:rsid w:val="00DC3B38"/>
    <w:rsid w:val="00DC40DA"/>
    <w:rsid w:val="00DC4CE4"/>
    <w:rsid w:val="00DD07FF"/>
    <w:rsid w:val="00DD092D"/>
    <w:rsid w:val="00DD156E"/>
    <w:rsid w:val="00DD1906"/>
    <w:rsid w:val="00DD2C1E"/>
    <w:rsid w:val="00DD41BE"/>
    <w:rsid w:val="00DD4CFC"/>
    <w:rsid w:val="00DD5F87"/>
    <w:rsid w:val="00DD60DF"/>
    <w:rsid w:val="00DD6D54"/>
    <w:rsid w:val="00DD6F35"/>
    <w:rsid w:val="00DD72AA"/>
    <w:rsid w:val="00DE0157"/>
    <w:rsid w:val="00DE0962"/>
    <w:rsid w:val="00DE21B5"/>
    <w:rsid w:val="00DE230A"/>
    <w:rsid w:val="00DE26F2"/>
    <w:rsid w:val="00DE3389"/>
    <w:rsid w:val="00DE4001"/>
    <w:rsid w:val="00DE489B"/>
    <w:rsid w:val="00DE48EF"/>
    <w:rsid w:val="00DE4EF2"/>
    <w:rsid w:val="00DE5A31"/>
    <w:rsid w:val="00DF30EB"/>
    <w:rsid w:val="00DF65DF"/>
    <w:rsid w:val="00DF70AE"/>
    <w:rsid w:val="00E0175F"/>
    <w:rsid w:val="00E01F9D"/>
    <w:rsid w:val="00E02F76"/>
    <w:rsid w:val="00E050F3"/>
    <w:rsid w:val="00E052A9"/>
    <w:rsid w:val="00E0639C"/>
    <w:rsid w:val="00E06628"/>
    <w:rsid w:val="00E06E19"/>
    <w:rsid w:val="00E07C8E"/>
    <w:rsid w:val="00E10726"/>
    <w:rsid w:val="00E11F7B"/>
    <w:rsid w:val="00E143FD"/>
    <w:rsid w:val="00E14C4D"/>
    <w:rsid w:val="00E1696D"/>
    <w:rsid w:val="00E1750A"/>
    <w:rsid w:val="00E2178E"/>
    <w:rsid w:val="00E2447E"/>
    <w:rsid w:val="00E249EF"/>
    <w:rsid w:val="00E25862"/>
    <w:rsid w:val="00E26CB6"/>
    <w:rsid w:val="00E27969"/>
    <w:rsid w:val="00E32DA2"/>
    <w:rsid w:val="00E33BF7"/>
    <w:rsid w:val="00E340D7"/>
    <w:rsid w:val="00E41A58"/>
    <w:rsid w:val="00E41E4F"/>
    <w:rsid w:val="00E42A4D"/>
    <w:rsid w:val="00E43CD2"/>
    <w:rsid w:val="00E440D2"/>
    <w:rsid w:val="00E45F52"/>
    <w:rsid w:val="00E46936"/>
    <w:rsid w:val="00E47B54"/>
    <w:rsid w:val="00E47CCD"/>
    <w:rsid w:val="00E509EA"/>
    <w:rsid w:val="00E50E79"/>
    <w:rsid w:val="00E53E55"/>
    <w:rsid w:val="00E543B2"/>
    <w:rsid w:val="00E54B05"/>
    <w:rsid w:val="00E60B53"/>
    <w:rsid w:val="00E60C82"/>
    <w:rsid w:val="00E61840"/>
    <w:rsid w:val="00E6373B"/>
    <w:rsid w:val="00E63DC8"/>
    <w:rsid w:val="00E66040"/>
    <w:rsid w:val="00E6616A"/>
    <w:rsid w:val="00E67F16"/>
    <w:rsid w:val="00E70AB0"/>
    <w:rsid w:val="00E721D9"/>
    <w:rsid w:val="00E73F4B"/>
    <w:rsid w:val="00E74B77"/>
    <w:rsid w:val="00E74C2C"/>
    <w:rsid w:val="00E75993"/>
    <w:rsid w:val="00E80172"/>
    <w:rsid w:val="00E804CC"/>
    <w:rsid w:val="00E81DB9"/>
    <w:rsid w:val="00E81F69"/>
    <w:rsid w:val="00E822F7"/>
    <w:rsid w:val="00E8231C"/>
    <w:rsid w:val="00E8262F"/>
    <w:rsid w:val="00E84C8E"/>
    <w:rsid w:val="00E85358"/>
    <w:rsid w:val="00E863C1"/>
    <w:rsid w:val="00E86638"/>
    <w:rsid w:val="00E871FE"/>
    <w:rsid w:val="00E87B6C"/>
    <w:rsid w:val="00E92C04"/>
    <w:rsid w:val="00E93AB5"/>
    <w:rsid w:val="00E96A85"/>
    <w:rsid w:val="00E9758A"/>
    <w:rsid w:val="00E979E9"/>
    <w:rsid w:val="00E97CD2"/>
    <w:rsid w:val="00EA050A"/>
    <w:rsid w:val="00EA0BAB"/>
    <w:rsid w:val="00EA11F0"/>
    <w:rsid w:val="00EA160D"/>
    <w:rsid w:val="00EA3FEF"/>
    <w:rsid w:val="00EA4108"/>
    <w:rsid w:val="00EA419C"/>
    <w:rsid w:val="00EA56D1"/>
    <w:rsid w:val="00EB154B"/>
    <w:rsid w:val="00EB1DBE"/>
    <w:rsid w:val="00EB5013"/>
    <w:rsid w:val="00EB5804"/>
    <w:rsid w:val="00EB5C9A"/>
    <w:rsid w:val="00EB6224"/>
    <w:rsid w:val="00EB62C2"/>
    <w:rsid w:val="00EB6DEA"/>
    <w:rsid w:val="00EB6E04"/>
    <w:rsid w:val="00EC0B74"/>
    <w:rsid w:val="00EC19AE"/>
    <w:rsid w:val="00EC41AB"/>
    <w:rsid w:val="00EC5046"/>
    <w:rsid w:val="00EC53E0"/>
    <w:rsid w:val="00EC57C6"/>
    <w:rsid w:val="00EC5FA2"/>
    <w:rsid w:val="00ED1956"/>
    <w:rsid w:val="00ED4629"/>
    <w:rsid w:val="00ED52BC"/>
    <w:rsid w:val="00ED55F7"/>
    <w:rsid w:val="00ED66A4"/>
    <w:rsid w:val="00ED78AD"/>
    <w:rsid w:val="00ED7C8E"/>
    <w:rsid w:val="00EE0B9D"/>
    <w:rsid w:val="00EE2205"/>
    <w:rsid w:val="00EE2BDA"/>
    <w:rsid w:val="00EE34F2"/>
    <w:rsid w:val="00EE5691"/>
    <w:rsid w:val="00EE63B4"/>
    <w:rsid w:val="00EF0C0C"/>
    <w:rsid w:val="00EF0DA4"/>
    <w:rsid w:val="00EF36D2"/>
    <w:rsid w:val="00EF3F40"/>
    <w:rsid w:val="00F006CF"/>
    <w:rsid w:val="00F00A38"/>
    <w:rsid w:val="00F015E6"/>
    <w:rsid w:val="00F0322C"/>
    <w:rsid w:val="00F052D1"/>
    <w:rsid w:val="00F1041F"/>
    <w:rsid w:val="00F1062E"/>
    <w:rsid w:val="00F11185"/>
    <w:rsid w:val="00F117D1"/>
    <w:rsid w:val="00F12EA3"/>
    <w:rsid w:val="00F1455C"/>
    <w:rsid w:val="00F14B07"/>
    <w:rsid w:val="00F177C6"/>
    <w:rsid w:val="00F215C7"/>
    <w:rsid w:val="00F2228C"/>
    <w:rsid w:val="00F22648"/>
    <w:rsid w:val="00F249CD"/>
    <w:rsid w:val="00F26B14"/>
    <w:rsid w:val="00F271B3"/>
    <w:rsid w:val="00F30076"/>
    <w:rsid w:val="00F31236"/>
    <w:rsid w:val="00F315FD"/>
    <w:rsid w:val="00F325B9"/>
    <w:rsid w:val="00F32D09"/>
    <w:rsid w:val="00F356CE"/>
    <w:rsid w:val="00F358AF"/>
    <w:rsid w:val="00F423F0"/>
    <w:rsid w:val="00F4393C"/>
    <w:rsid w:val="00F45359"/>
    <w:rsid w:val="00F46113"/>
    <w:rsid w:val="00F463F5"/>
    <w:rsid w:val="00F47628"/>
    <w:rsid w:val="00F47A9F"/>
    <w:rsid w:val="00F50709"/>
    <w:rsid w:val="00F52DF6"/>
    <w:rsid w:val="00F52FC6"/>
    <w:rsid w:val="00F535E7"/>
    <w:rsid w:val="00F5381F"/>
    <w:rsid w:val="00F5524C"/>
    <w:rsid w:val="00F56546"/>
    <w:rsid w:val="00F56641"/>
    <w:rsid w:val="00F56956"/>
    <w:rsid w:val="00F57838"/>
    <w:rsid w:val="00F57ED1"/>
    <w:rsid w:val="00F60315"/>
    <w:rsid w:val="00F60F37"/>
    <w:rsid w:val="00F61095"/>
    <w:rsid w:val="00F620A2"/>
    <w:rsid w:val="00F63080"/>
    <w:rsid w:val="00F63BA7"/>
    <w:rsid w:val="00F65282"/>
    <w:rsid w:val="00F66294"/>
    <w:rsid w:val="00F66830"/>
    <w:rsid w:val="00F67634"/>
    <w:rsid w:val="00F71DF2"/>
    <w:rsid w:val="00F75FD2"/>
    <w:rsid w:val="00F777C7"/>
    <w:rsid w:val="00F800B6"/>
    <w:rsid w:val="00F8071F"/>
    <w:rsid w:val="00F811F8"/>
    <w:rsid w:val="00F84B2D"/>
    <w:rsid w:val="00F85D06"/>
    <w:rsid w:val="00F87E46"/>
    <w:rsid w:val="00F913DC"/>
    <w:rsid w:val="00F9145F"/>
    <w:rsid w:val="00F91E30"/>
    <w:rsid w:val="00F93400"/>
    <w:rsid w:val="00F93B5F"/>
    <w:rsid w:val="00F9591C"/>
    <w:rsid w:val="00FA3858"/>
    <w:rsid w:val="00FA3865"/>
    <w:rsid w:val="00FA46C8"/>
    <w:rsid w:val="00FA4E19"/>
    <w:rsid w:val="00FA610E"/>
    <w:rsid w:val="00FA6E69"/>
    <w:rsid w:val="00FA77E4"/>
    <w:rsid w:val="00FB1578"/>
    <w:rsid w:val="00FB199D"/>
    <w:rsid w:val="00FB1C26"/>
    <w:rsid w:val="00FB1D44"/>
    <w:rsid w:val="00FB25EE"/>
    <w:rsid w:val="00FB2CD7"/>
    <w:rsid w:val="00FB2E7B"/>
    <w:rsid w:val="00FB4960"/>
    <w:rsid w:val="00FB5258"/>
    <w:rsid w:val="00FB5985"/>
    <w:rsid w:val="00FC019F"/>
    <w:rsid w:val="00FC0624"/>
    <w:rsid w:val="00FC0B81"/>
    <w:rsid w:val="00FC1030"/>
    <w:rsid w:val="00FC1715"/>
    <w:rsid w:val="00FC1A76"/>
    <w:rsid w:val="00FC20DD"/>
    <w:rsid w:val="00FC371D"/>
    <w:rsid w:val="00FC41EC"/>
    <w:rsid w:val="00FC4D06"/>
    <w:rsid w:val="00FC6D7A"/>
    <w:rsid w:val="00FD0193"/>
    <w:rsid w:val="00FD0FAA"/>
    <w:rsid w:val="00FD130F"/>
    <w:rsid w:val="00FD16F5"/>
    <w:rsid w:val="00FD239F"/>
    <w:rsid w:val="00FD380B"/>
    <w:rsid w:val="00FD3883"/>
    <w:rsid w:val="00FD457C"/>
    <w:rsid w:val="00FD54FC"/>
    <w:rsid w:val="00FD5ABD"/>
    <w:rsid w:val="00FD6CCB"/>
    <w:rsid w:val="00FD6D27"/>
    <w:rsid w:val="00FD7524"/>
    <w:rsid w:val="00FD7960"/>
    <w:rsid w:val="00FD7E66"/>
    <w:rsid w:val="00FD7FB3"/>
    <w:rsid w:val="00FE052A"/>
    <w:rsid w:val="00FE219F"/>
    <w:rsid w:val="00FE21F5"/>
    <w:rsid w:val="00FE30C1"/>
    <w:rsid w:val="00FE3BD8"/>
    <w:rsid w:val="00FE3E1C"/>
    <w:rsid w:val="00FE43D5"/>
    <w:rsid w:val="00FE4AE0"/>
    <w:rsid w:val="00FE4D22"/>
    <w:rsid w:val="00FE6995"/>
    <w:rsid w:val="00FE69AC"/>
    <w:rsid w:val="00FE6CFB"/>
    <w:rsid w:val="00FF0040"/>
    <w:rsid w:val="00FF1422"/>
    <w:rsid w:val="00FF177E"/>
    <w:rsid w:val="00FF208F"/>
    <w:rsid w:val="00FF265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Times New Roman"/>
        <w:lang w:val="it-IT" w:eastAsia="it-IT" w:bidi="it-IT"/>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1"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able of figures" w:uiPriority="0"/>
    <w:lsdException w:name="footnote reference" w:uiPriority="0"/>
    <w:lsdException w:name="endnote reference" w:uiPriority="1"/>
    <w:lsdException w:name="endnote text" w:uiPriority="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884FEB"/>
    <w:pPr>
      <w:spacing w:before="120" w:after="120"/>
      <w:jc w:val="both"/>
    </w:pPr>
    <w:rPr>
      <w:rFonts w:ascii="Verdana" w:eastAsia="Times New Roman" w:hAnsi="Verdana"/>
      <w:szCs w:val="24"/>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it-IT"/>
    </w:rPr>
  </w:style>
  <w:style w:type="character" w:customStyle="1" w:styleId="Heading2Char">
    <w:name w:val="Heading 2 Char"/>
    <w:link w:val="Heading2"/>
    <w:uiPriority w:val="99"/>
    <w:locked/>
    <w:rsid w:val="00EC5046"/>
    <w:rPr>
      <w:rFonts w:ascii="Verdana" w:hAnsi="Verdana" w:cs="Times New Roman"/>
      <w:b/>
      <w:sz w:val="24"/>
      <w:szCs w:val="24"/>
      <w:u w:val="single"/>
      <w:lang w:val="it-IT"/>
    </w:rPr>
  </w:style>
  <w:style w:type="character" w:customStyle="1" w:styleId="Heading3Char">
    <w:name w:val="Heading 3 Char"/>
    <w:uiPriority w:val="99"/>
    <w:locked/>
    <w:rsid w:val="00884FEB"/>
    <w:rPr>
      <w:rFonts w:cs="Times New Roman"/>
      <w:sz w:val="24"/>
      <w:szCs w:val="24"/>
      <w:lang w:val="it-IT" w:eastAsia="it-IT"/>
    </w:rPr>
  </w:style>
  <w:style w:type="character" w:customStyle="1" w:styleId="Heading4Char">
    <w:name w:val="Heading 4 Char"/>
    <w:link w:val="Heading4"/>
    <w:uiPriority w:val="99"/>
    <w:locked/>
    <w:rsid w:val="00DE0962"/>
    <w:rPr>
      <w:rFonts w:ascii="Verdana" w:eastAsia="Times New Roman" w:hAnsi="Verdana"/>
      <w:b/>
      <w:szCs w:val="24"/>
      <w:u w:val="single"/>
      <w:lang w:eastAsia="it-IT" w:bidi="it-IT"/>
    </w:rPr>
  </w:style>
  <w:style w:type="character" w:customStyle="1" w:styleId="Heading5Char">
    <w:name w:val="Heading 5 Char"/>
    <w:link w:val="Heading5"/>
    <w:uiPriority w:val="1"/>
    <w:locked/>
    <w:rsid w:val="001E5A75"/>
    <w:rPr>
      <w:rFonts w:ascii="Arial" w:hAnsi="Arial" w:cs="Times New Roman"/>
      <w:b/>
      <w:i/>
      <w:sz w:val="20"/>
      <w:szCs w:val="20"/>
      <w:lang w:eastAsia="it-IT"/>
    </w:rPr>
  </w:style>
  <w:style w:type="character" w:customStyle="1" w:styleId="Heading6Char">
    <w:name w:val="Heading 6 Char"/>
    <w:link w:val="Heading6"/>
    <w:semiHidden/>
    <w:locked/>
    <w:rsid w:val="001E5A75"/>
    <w:rPr>
      <w:rFonts w:ascii="Times New Roman" w:hAnsi="Times New Roman" w:cs="Times New Roman"/>
      <w:b/>
      <w:bCs/>
      <w:lang w:eastAsia="it-IT"/>
    </w:rPr>
  </w:style>
  <w:style w:type="character" w:customStyle="1" w:styleId="Heading7Char">
    <w:name w:val="Heading 7 Char"/>
    <w:link w:val="Heading7"/>
    <w:semiHidden/>
    <w:locked/>
    <w:rsid w:val="001E5A75"/>
    <w:rPr>
      <w:rFonts w:ascii="Times New Roman" w:hAnsi="Times New Roman" w:cs="Times New Roman"/>
      <w:sz w:val="20"/>
      <w:szCs w:val="20"/>
      <w:lang w:eastAsia="it-IT"/>
    </w:rPr>
  </w:style>
  <w:style w:type="character" w:customStyle="1" w:styleId="Heading8Char">
    <w:name w:val="Heading 8 Char"/>
    <w:link w:val="Heading8"/>
    <w:semiHidden/>
    <w:locked/>
    <w:rsid w:val="001E5A75"/>
    <w:rPr>
      <w:rFonts w:ascii="Times New Roman" w:hAnsi="Times New Roman" w:cs="Times New Roman"/>
      <w:i/>
      <w:iCs/>
      <w:sz w:val="20"/>
      <w:szCs w:val="20"/>
      <w:lang w:eastAsia="it-IT"/>
    </w:rPr>
  </w:style>
  <w:style w:type="character" w:customStyle="1" w:styleId="Heading9Char">
    <w:name w:val="Heading 9 Char"/>
    <w:link w:val="Heading9"/>
    <w:semiHidden/>
    <w:locked/>
    <w:rsid w:val="001E5A75"/>
    <w:rPr>
      <w:rFonts w:ascii="Arial" w:hAnsi="Arial" w:cs="Arial"/>
      <w:lang w:eastAsia="it-IT"/>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rPr>
  </w:style>
  <w:style w:type="character" w:customStyle="1" w:styleId="FootnoteTextChar">
    <w:name w:val="Footnote Text Char"/>
    <w:link w:val="FootnoteText"/>
    <w:locked/>
    <w:rsid w:val="00C2636B"/>
    <w:rPr>
      <w:rFonts w:ascii="Arial" w:hAnsi="Arial" w:cs="Times New Roman"/>
      <w:sz w:val="16"/>
      <w:szCs w:val="16"/>
      <w:lang w:eastAsia="it-IT"/>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rPr>
  </w:style>
  <w:style w:type="character" w:customStyle="1" w:styleId="FooterChar">
    <w:name w:val="Footer Char"/>
    <w:link w:val="Footer"/>
    <w:uiPriority w:val="99"/>
    <w:locked/>
    <w:rsid w:val="001E5A75"/>
    <w:rPr>
      <w:rFonts w:ascii="Arial" w:hAnsi="Arial" w:cs="Times New Roman"/>
      <w:sz w:val="14"/>
      <w:szCs w:val="14"/>
      <w:lang w:eastAsia="it-IT"/>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rPr>
  </w:style>
  <w:style w:type="character" w:customStyle="1" w:styleId="HeaderChar">
    <w:name w:val="Header Char"/>
    <w:link w:val="Header"/>
    <w:uiPriority w:val="99"/>
    <w:locked/>
    <w:rsid w:val="001E5A75"/>
    <w:rPr>
      <w:rFonts w:ascii="Arial" w:hAnsi="Arial" w:cs="Times New Roman"/>
      <w:sz w:val="20"/>
      <w:szCs w:val="20"/>
      <w:lang w:eastAsia="it-IT"/>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it-IT"/>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it-IT"/>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rPr>
  </w:style>
  <w:style w:type="character" w:customStyle="1" w:styleId="EndnoteTextChar">
    <w:name w:val="Endnote Text Char"/>
    <w:link w:val="EndnoteText"/>
    <w:uiPriority w:val="1"/>
    <w:locked/>
    <w:rsid w:val="001E5A75"/>
    <w:rPr>
      <w:rFonts w:ascii="Arial" w:hAnsi="Arial" w:cs="Times New Roman"/>
      <w:sz w:val="20"/>
      <w:szCs w:val="20"/>
      <w:lang w:eastAsia="it-IT"/>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rPr>
  </w:style>
  <w:style w:type="character" w:customStyle="1" w:styleId="CommentTextChar">
    <w:name w:val="Comment Text Char"/>
    <w:link w:val="CommentText"/>
    <w:uiPriority w:val="99"/>
    <w:locked/>
    <w:rsid w:val="00884FEB"/>
    <w:rPr>
      <w:rFonts w:ascii="Verdana" w:hAnsi="Verdana" w:cs="Times New Roman"/>
      <w:sz w:val="20"/>
      <w:szCs w:val="20"/>
      <w:lang w:val="it-IT"/>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rPr>
  </w:style>
  <w:style w:type="character" w:customStyle="1" w:styleId="BalloonTextChar">
    <w:name w:val="Balloon Text Char"/>
    <w:link w:val="BalloonText"/>
    <w:uiPriority w:val="99"/>
    <w:locked/>
    <w:rsid w:val="00884FEB"/>
    <w:rPr>
      <w:rFonts w:ascii="Tahoma" w:hAnsi="Tahoma" w:cs="Tahoma"/>
      <w:sz w:val="16"/>
      <w:szCs w:val="16"/>
      <w:lang w:val="it-IT"/>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it-IT"/>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it-IT" w:bidi="it-IT"/>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it-IT" w:bidi="it-IT"/>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FC1A76"/>
    <w:pPr>
      <w:spacing w:before="0"/>
    </w:pPr>
    <w:rPr>
      <w:rFonts w:ascii="Times New Roman" w:hAnsi="Times New Roman"/>
      <w:sz w:val="24"/>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it-IT" w:bidi="it-IT"/>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rPr>
  </w:style>
  <w:style w:type="character" w:customStyle="1" w:styleId="PlainTextChar">
    <w:name w:val="Plain Text Char"/>
    <w:link w:val="PlainText"/>
    <w:uiPriority w:val="99"/>
    <w:locked/>
    <w:rsid w:val="00884FEB"/>
    <w:rPr>
      <w:rFonts w:ascii="Verdana" w:hAnsi="Verdana" w:cs="Times New Roman"/>
      <w:sz w:val="20"/>
      <w:szCs w:val="20"/>
      <w:lang w:val="it-IT" w:eastAsia="it-IT"/>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FC1A76"/>
    <w:rPr>
      <w:rFonts w:ascii="Times New Roman" w:eastAsia="Times New Roman" w:hAnsi="Times New Roman"/>
      <w:sz w:val="24"/>
      <w:szCs w:val="24"/>
    </w:rPr>
  </w:style>
  <w:style w:type="paragraph" w:styleId="Revision">
    <w:name w:val="Revision"/>
    <w:hidden/>
    <w:uiPriority w:val="99"/>
    <w:semiHidden/>
    <w:rsid w:val="00884FEB"/>
    <w:rPr>
      <w:rFonts w:ascii="Verdana" w:eastAsia="Times New Roman" w:hAnsi="Verdana"/>
      <w:szCs w:val="24"/>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it-IT" w:eastAsia="it-IT" w:bidi="it-IT"/>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rPr>
  </w:style>
  <w:style w:type="character" w:customStyle="1" w:styleId="DocumentMapChar">
    <w:name w:val="Document Map Char"/>
    <w:link w:val="DocumentMap"/>
    <w:uiPriority w:val="99"/>
    <w:semiHidden/>
    <w:locked/>
    <w:rsid w:val="0088630E"/>
    <w:rPr>
      <w:rFonts w:ascii="Tahoma" w:hAnsi="Tahoma" w:cs="Tahoma"/>
      <w:sz w:val="16"/>
      <w:szCs w:val="16"/>
      <w:lang w:val="it-IT"/>
    </w:rPr>
  </w:style>
  <w:style w:type="paragraph" w:customStyle="1" w:styleId="Titrearticle">
    <w:name w:val="Titre article"/>
    <w:basedOn w:val="Normal"/>
    <w:next w:val="Normal"/>
    <w:rsid w:val="00C87CEE"/>
    <w:pPr>
      <w:keepNext/>
      <w:spacing w:before="360"/>
      <w:jc w:val="center"/>
    </w:pPr>
    <w:rPr>
      <w:rFonts w:ascii="Times New Roman" w:hAnsi="Times New Roman"/>
      <w:i/>
      <w:sz w:val="24"/>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rPr>
  </w:style>
  <w:style w:type="character" w:customStyle="1" w:styleId="BaseparagraphnumberedChar">
    <w:name w:val="Base paragraph numbered Char"/>
    <w:link w:val="Baseparagraphnumbered"/>
    <w:locked/>
    <w:rsid w:val="00C87CEE"/>
    <w:rPr>
      <w:rFonts w:ascii="Times New Roman" w:hAnsi="Times New Roman"/>
      <w:sz w:val="24"/>
      <w:lang w:bidi="it-IT"/>
    </w:rPr>
  </w:style>
  <w:style w:type="character" w:customStyle="1" w:styleId="NumPar1Char">
    <w:name w:val="NumPar 1 Char"/>
    <w:link w:val="NumPar1"/>
    <w:uiPriority w:val="99"/>
    <w:locked/>
    <w:rsid w:val="00D34F75"/>
    <w:rPr>
      <w:rFonts w:cs="Times New Roman"/>
      <w:sz w:val="24"/>
      <w:szCs w:val="24"/>
      <w:lang w:val="it-IT" w:eastAsia="it-IT"/>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rPr>
  </w:style>
  <w:style w:type="character" w:customStyle="1" w:styleId="Point1letterChar">
    <w:name w:val="Point 1 (letter) Char"/>
    <w:link w:val="Point1letter"/>
    <w:uiPriority w:val="99"/>
    <w:locked/>
    <w:rsid w:val="00D34F75"/>
    <w:rPr>
      <w:rFonts w:cs="Times New Roman"/>
      <w:sz w:val="24"/>
      <w:szCs w:val="24"/>
      <w:lang w:val="it-IT" w:eastAsia="it-IT"/>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it-IT" w:eastAsia="it-IT"/>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Times New Roman"/>
        <w:lang w:val="it-IT" w:eastAsia="it-IT" w:bidi="it-IT"/>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1"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able of figures" w:uiPriority="0"/>
    <w:lsdException w:name="footnote reference" w:uiPriority="0"/>
    <w:lsdException w:name="endnote reference" w:uiPriority="1"/>
    <w:lsdException w:name="endnote text" w:uiPriority="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884FEB"/>
    <w:pPr>
      <w:spacing w:before="120" w:after="120"/>
      <w:jc w:val="both"/>
    </w:pPr>
    <w:rPr>
      <w:rFonts w:ascii="Verdana" w:eastAsia="Times New Roman" w:hAnsi="Verdana"/>
      <w:szCs w:val="24"/>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it-IT"/>
    </w:rPr>
  </w:style>
  <w:style w:type="character" w:customStyle="1" w:styleId="Heading2Char">
    <w:name w:val="Heading 2 Char"/>
    <w:link w:val="Heading2"/>
    <w:uiPriority w:val="99"/>
    <w:locked/>
    <w:rsid w:val="00EC5046"/>
    <w:rPr>
      <w:rFonts w:ascii="Verdana" w:hAnsi="Verdana" w:cs="Times New Roman"/>
      <w:b/>
      <w:sz w:val="24"/>
      <w:szCs w:val="24"/>
      <w:u w:val="single"/>
      <w:lang w:val="it-IT"/>
    </w:rPr>
  </w:style>
  <w:style w:type="character" w:customStyle="1" w:styleId="Heading3Char">
    <w:name w:val="Heading 3 Char"/>
    <w:uiPriority w:val="99"/>
    <w:locked/>
    <w:rsid w:val="00884FEB"/>
    <w:rPr>
      <w:rFonts w:cs="Times New Roman"/>
      <w:sz w:val="24"/>
      <w:szCs w:val="24"/>
      <w:lang w:val="it-IT" w:eastAsia="it-IT"/>
    </w:rPr>
  </w:style>
  <w:style w:type="character" w:customStyle="1" w:styleId="Heading4Char">
    <w:name w:val="Heading 4 Char"/>
    <w:link w:val="Heading4"/>
    <w:uiPriority w:val="99"/>
    <w:locked/>
    <w:rsid w:val="00DE0962"/>
    <w:rPr>
      <w:rFonts w:ascii="Verdana" w:eastAsia="Times New Roman" w:hAnsi="Verdana"/>
      <w:b/>
      <w:szCs w:val="24"/>
      <w:u w:val="single"/>
      <w:lang w:eastAsia="it-IT" w:bidi="it-IT"/>
    </w:rPr>
  </w:style>
  <w:style w:type="character" w:customStyle="1" w:styleId="Heading5Char">
    <w:name w:val="Heading 5 Char"/>
    <w:link w:val="Heading5"/>
    <w:uiPriority w:val="1"/>
    <w:locked/>
    <w:rsid w:val="001E5A75"/>
    <w:rPr>
      <w:rFonts w:ascii="Arial" w:hAnsi="Arial" w:cs="Times New Roman"/>
      <w:b/>
      <w:i/>
      <w:sz w:val="20"/>
      <w:szCs w:val="20"/>
      <w:lang w:eastAsia="it-IT"/>
    </w:rPr>
  </w:style>
  <w:style w:type="character" w:customStyle="1" w:styleId="Heading6Char">
    <w:name w:val="Heading 6 Char"/>
    <w:link w:val="Heading6"/>
    <w:semiHidden/>
    <w:locked/>
    <w:rsid w:val="001E5A75"/>
    <w:rPr>
      <w:rFonts w:ascii="Times New Roman" w:hAnsi="Times New Roman" w:cs="Times New Roman"/>
      <w:b/>
      <w:bCs/>
      <w:lang w:eastAsia="it-IT"/>
    </w:rPr>
  </w:style>
  <w:style w:type="character" w:customStyle="1" w:styleId="Heading7Char">
    <w:name w:val="Heading 7 Char"/>
    <w:link w:val="Heading7"/>
    <w:semiHidden/>
    <w:locked/>
    <w:rsid w:val="001E5A75"/>
    <w:rPr>
      <w:rFonts w:ascii="Times New Roman" w:hAnsi="Times New Roman" w:cs="Times New Roman"/>
      <w:sz w:val="20"/>
      <w:szCs w:val="20"/>
      <w:lang w:eastAsia="it-IT"/>
    </w:rPr>
  </w:style>
  <w:style w:type="character" w:customStyle="1" w:styleId="Heading8Char">
    <w:name w:val="Heading 8 Char"/>
    <w:link w:val="Heading8"/>
    <w:semiHidden/>
    <w:locked/>
    <w:rsid w:val="001E5A75"/>
    <w:rPr>
      <w:rFonts w:ascii="Times New Roman" w:hAnsi="Times New Roman" w:cs="Times New Roman"/>
      <w:i/>
      <w:iCs/>
      <w:sz w:val="20"/>
      <w:szCs w:val="20"/>
      <w:lang w:eastAsia="it-IT"/>
    </w:rPr>
  </w:style>
  <w:style w:type="character" w:customStyle="1" w:styleId="Heading9Char">
    <w:name w:val="Heading 9 Char"/>
    <w:link w:val="Heading9"/>
    <w:semiHidden/>
    <w:locked/>
    <w:rsid w:val="001E5A75"/>
    <w:rPr>
      <w:rFonts w:ascii="Arial" w:hAnsi="Arial" w:cs="Arial"/>
      <w:lang w:eastAsia="it-IT"/>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rPr>
  </w:style>
  <w:style w:type="character" w:customStyle="1" w:styleId="FootnoteTextChar">
    <w:name w:val="Footnote Text Char"/>
    <w:link w:val="FootnoteText"/>
    <w:locked/>
    <w:rsid w:val="00C2636B"/>
    <w:rPr>
      <w:rFonts w:ascii="Arial" w:hAnsi="Arial" w:cs="Times New Roman"/>
      <w:sz w:val="16"/>
      <w:szCs w:val="16"/>
      <w:lang w:eastAsia="it-IT"/>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rPr>
  </w:style>
  <w:style w:type="character" w:customStyle="1" w:styleId="FooterChar">
    <w:name w:val="Footer Char"/>
    <w:link w:val="Footer"/>
    <w:uiPriority w:val="99"/>
    <w:locked/>
    <w:rsid w:val="001E5A75"/>
    <w:rPr>
      <w:rFonts w:ascii="Arial" w:hAnsi="Arial" w:cs="Times New Roman"/>
      <w:sz w:val="14"/>
      <w:szCs w:val="14"/>
      <w:lang w:eastAsia="it-IT"/>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rPr>
  </w:style>
  <w:style w:type="character" w:customStyle="1" w:styleId="HeaderChar">
    <w:name w:val="Header Char"/>
    <w:link w:val="Header"/>
    <w:uiPriority w:val="99"/>
    <w:locked/>
    <w:rsid w:val="001E5A75"/>
    <w:rPr>
      <w:rFonts w:ascii="Arial" w:hAnsi="Arial" w:cs="Times New Roman"/>
      <w:sz w:val="20"/>
      <w:szCs w:val="20"/>
      <w:lang w:eastAsia="it-IT"/>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it-IT"/>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it-IT"/>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rPr>
  </w:style>
  <w:style w:type="character" w:customStyle="1" w:styleId="EndnoteTextChar">
    <w:name w:val="Endnote Text Char"/>
    <w:link w:val="EndnoteText"/>
    <w:uiPriority w:val="1"/>
    <w:locked/>
    <w:rsid w:val="001E5A75"/>
    <w:rPr>
      <w:rFonts w:ascii="Arial" w:hAnsi="Arial" w:cs="Times New Roman"/>
      <w:sz w:val="20"/>
      <w:szCs w:val="20"/>
      <w:lang w:eastAsia="it-IT"/>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rPr>
  </w:style>
  <w:style w:type="character" w:customStyle="1" w:styleId="CommentTextChar">
    <w:name w:val="Comment Text Char"/>
    <w:link w:val="CommentText"/>
    <w:uiPriority w:val="99"/>
    <w:locked/>
    <w:rsid w:val="00884FEB"/>
    <w:rPr>
      <w:rFonts w:ascii="Verdana" w:hAnsi="Verdana" w:cs="Times New Roman"/>
      <w:sz w:val="20"/>
      <w:szCs w:val="20"/>
      <w:lang w:val="it-IT"/>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rPr>
  </w:style>
  <w:style w:type="character" w:customStyle="1" w:styleId="BalloonTextChar">
    <w:name w:val="Balloon Text Char"/>
    <w:link w:val="BalloonText"/>
    <w:uiPriority w:val="99"/>
    <w:locked/>
    <w:rsid w:val="00884FEB"/>
    <w:rPr>
      <w:rFonts w:ascii="Tahoma" w:hAnsi="Tahoma" w:cs="Tahoma"/>
      <w:sz w:val="16"/>
      <w:szCs w:val="16"/>
      <w:lang w:val="it-IT"/>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it-IT"/>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it-IT" w:bidi="it-IT"/>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it-IT" w:bidi="it-IT"/>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FC1A76"/>
    <w:pPr>
      <w:spacing w:before="0"/>
    </w:pPr>
    <w:rPr>
      <w:rFonts w:ascii="Times New Roman" w:hAnsi="Times New Roman"/>
      <w:sz w:val="24"/>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it-IT" w:bidi="it-IT"/>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rPr>
  </w:style>
  <w:style w:type="character" w:customStyle="1" w:styleId="PlainTextChar">
    <w:name w:val="Plain Text Char"/>
    <w:link w:val="PlainText"/>
    <w:uiPriority w:val="99"/>
    <w:locked/>
    <w:rsid w:val="00884FEB"/>
    <w:rPr>
      <w:rFonts w:ascii="Verdana" w:hAnsi="Verdana" w:cs="Times New Roman"/>
      <w:sz w:val="20"/>
      <w:szCs w:val="20"/>
      <w:lang w:val="it-IT" w:eastAsia="it-IT"/>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FC1A76"/>
    <w:rPr>
      <w:rFonts w:ascii="Times New Roman" w:eastAsia="Times New Roman" w:hAnsi="Times New Roman"/>
      <w:sz w:val="24"/>
      <w:szCs w:val="24"/>
    </w:rPr>
  </w:style>
  <w:style w:type="paragraph" w:styleId="Revision">
    <w:name w:val="Revision"/>
    <w:hidden/>
    <w:uiPriority w:val="99"/>
    <w:semiHidden/>
    <w:rsid w:val="00884FEB"/>
    <w:rPr>
      <w:rFonts w:ascii="Verdana" w:eastAsia="Times New Roman" w:hAnsi="Verdana"/>
      <w:szCs w:val="24"/>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it-IT" w:eastAsia="it-IT" w:bidi="it-IT"/>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rPr>
  </w:style>
  <w:style w:type="character" w:customStyle="1" w:styleId="DocumentMapChar">
    <w:name w:val="Document Map Char"/>
    <w:link w:val="DocumentMap"/>
    <w:uiPriority w:val="99"/>
    <w:semiHidden/>
    <w:locked/>
    <w:rsid w:val="0088630E"/>
    <w:rPr>
      <w:rFonts w:ascii="Tahoma" w:hAnsi="Tahoma" w:cs="Tahoma"/>
      <w:sz w:val="16"/>
      <w:szCs w:val="16"/>
      <w:lang w:val="it-IT"/>
    </w:rPr>
  </w:style>
  <w:style w:type="paragraph" w:customStyle="1" w:styleId="Titrearticle">
    <w:name w:val="Titre article"/>
    <w:basedOn w:val="Normal"/>
    <w:next w:val="Normal"/>
    <w:rsid w:val="00C87CEE"/>
    <w:pPr>
      <w:keepNext/>
      <w:spacing w:before="360"/>
      <w:jc w:val="center"/>
    </w:pPr>
    <w:rPr>
      <w:rFonts w:ascii="Times New Roman" w:hAnsi="Times New Roman"/>
      <w:i/>
      <w:sz w:val="24"/>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rPr>
  </w:style>
  <w:style w:type="character" w:customStyle="1" w:styleId="BaseparagraphnumberedChar">
    <w:name w:val="Base paragraph numbered Char"/>
    <w:link w:val="Baseparagraphnumbered"/>
    <w:locked/>
    <w:rsid w:val="00C87CEE"/>
    <w:rPr>
      <w:rFonts w:ascii="Times New Roman" w:hAnsi="Times New Roman"/>
      <w:sz w:val="24"/>
      <w:lang w:bidi="it-IT"/>
    </w:rPr>
  </w:style>
  <w:style w:type="character" w:customStyle="1" w:styleId="NumPar1Char">
    <w:name w:val="NumPar 1 Char"/>
    <w:link w:val="NumPar1"/>
    <w:uiPriority w:val="99"/>
    <w:locked/>
    <w:rsid w:val="00D34F75"/>
    <w:rPr>
      <w:rFonts w:cs="Times New Roman"/>
      <w:sz w:val="24"/>
      <w:szCs w:val="24"/>
      <w:lang w:val="it-IT" w:eastAsia="it-IT"/>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rPr>
  </w:style>
  <w:style w:type="character" w:customStyle="1" w:styleId="Point1letterChar">
    <w:name w:val="Point 1 (letter) Char"/>
    <w:link w:val="Point1letter"/>
    <w:uiPriority w:val="99"/>
    <w:locked/>
    <w:rsid w:val="00D34F75"/>
    <w:rPr>
      <w:rFonts w:cs="Times New Roman"/>
      <w:sz w:val="24"/>
      <w:szCs w:val="24"/>
      <w:lang w:val="it-IT" w:eastAsia="it-IT"/>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it-IT" w:eastAsia="it-IT"/>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362623-15EE-4EC7-8F8B-FAC1ED2634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257</TotalTime>
  <Pages>239</Pages>
  <Words>82591</Words>
  <Characters>479142</Characters>
  <Application>Microsoft Office Word</Application>
  <DocSecurity>0</DocSecurity>
  <Lines>10647</Lines>
  <Paragraphs>6311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555422</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GRIKSAS Gintaras (FISMA)</dc:creator>
  <cp:lastModifiedBy>romitan</cp:lastModifiedBy>
  <cp:revision>42</cp:revision>
  <cp:lastPrinted>2018-06-07T11:13:00Z</cp:lastPrinted>
  <dcterms:created xsi:type="dcterms:W3CDTF">2018-06-28T09:52:00Z</dcterms:created>
  <dcterms:modified xsi:type="dcterms:W3CDTF">2018-09-07T15:40:00Z</dcterms:modified>
</cp:coreProperties>
</file>