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2E9" w:rsidRPr="00A77DDD" w:rsidRDefault="009502E9" w:rsidP="00A33695">
      <w:pPr>
        <w:jc w:val="center"/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r w:rsidRPr="00A77DDD">
        <w:rPr>
          <w:rFonts w:ascii="Times New Roman" w:hAnsi="Times New Roman"/>
          <w:b/>
          <w:sz w:val="24"/>
        </w:rPr>
        <w:t>RO</w:t>
      </w:r>
    </w:p>
    <w:p w:rsidR="00FF3ED5" w:rsidRPr="00A77DDD" w:rsidRDefault="00FF3ED5" w:rsidP="00A33695">
      <w:pPr>
        <w:jc w:val="center"/>
        <w:rPr>
          <w:rFonts w:ascii="Times New Roman" w:hAnsi="Times New Roman"/>
          <w:b/>
          <w:sz w:val="24"/>
        </w:rPr>
      </w:pPr>
      <w:r w:rsidRPr="00A77DDD">
        <w:rPr>
          <w:rFonts w:ascii="Times New Roman" w:hAnsi="Times New Roman"/>
          <w:b/>
          <w:sz w:val="24"/>
        </w:rPr>
        <w:t>ANEXA IV</w:t>
      </w:r>
    </w:p>
    <w:p w:rsidR="008F53AF" w:rsidRPr="00A77DDD" w:rsidRDefault="008F53AF" w:rsidP="00A33695">
      <w:pPr>
        <w:jc w:val="center"/>
        <w:rPr>
          <w:rFonts w:ascii="Times New Roman" w:hAnsi="Times New Roman"/>
          <w:b/>
          <w:sz w:val="24"/>
        </w:rPr>
      </w:pPr>
    </w:p>
    <w:p w:rsidR="00C87CEE" w:rsidRPr="00A77DDD" w:rsidRDefault="00530C90" w:rsidP="00A33695">
      <w:pPr>
        <w:jc w:val="center"/>
        <w:rPr>
          <w:rFonts w:ascii="Times New Roman" w:hAnsi="Times New Roman"/>
          <w:b/>
          <w:sz w:val="24"/>
          <w:u w:val="single"/>
        </w:rPr>
      </w:pPr>
      <w:r w:rsidRPr="00A77DDD">
        <w:rPr>
          <w:rFonts w:ascii="Times New Roman" w:hAnsi="Times New Roman"/>
          <w:b/>
          <w:sz w:val="24"/>
          <w:u w:val="single"/>
        </w:rPr>
        <w:t>„ANEXA IX</w:t>
      </w:r>
    </w:p>
    <w:p w:rsidR="00DD58A5" w:rsidRPr="00A77DDD" w:rsidRDefault="00F41B3A" w:rsidP="00C87CEE">
      <w:pPr>
        <w:jc w:val="center"/>
        <w:rPr>
          <w:rFonts w:ascii="Times New Roman" w:hAnsi="Times New Roman"/>
          <w:b/>
          <w:sz w:val="24"/>
        </w:rPr>
      </w:pPr>
      <w:r w:rsidRPr="00A77DDD">
        <w:rPr>
          <w:rFonts w:ascii="Times New Roman" w:hAnsi="Times New Roman"/>
          <w:b/>
          <w:sz w:val="24"/>
        </w:rPr>
        <w:t>INSTRUC</w:t>
      </w:r>
      <w:r w:rsidR="00675B3A">
        <w:rPr>
          <w:rFonts w:ascii="Times New Roman" w:hAnsi="Times New Roman"/>
          <w:b/>
          <w:sz w:val="24"/>
        </w:rPr>
        <w:t>Ț</w:t>
      </w:r>
      <w:r w:rsidRPr="00A77DDD">
        <w:rPr>
          <w:rFonts w:ascii="Times New Roman" w:hAnsi="Times New Roman"/>
          <w:b/>
          <w:sz w:val="24"/>
        </w:rPr>
        <w:t xml:space="preserve">IUNI PENTRU RAPORTAREA EXPUNERILOR MARI </w:t>
      </w:r>
      <w:r w:rsidR="00675B3A">
        <w:rPr>
          <w:rFonts w:ascii="Times New Roman" w:hAnsi="Times New Roman"/>
          <w:b/>
          <w:sz w:val="24"/>
        </w:rPr>
        <w:t>Ș</w:t>
      </w:r>
      <w:r w:rsidRPr="00A77DDD">
        <w:rPr>
          <w:rFonts w:ascii="Times New Roman" w:hAnsi="Times New Roman"/>
          <w:b/>
          <w:sz w:val="24"/>
        </w:rPr>
        <w:t xml:space="preserve">I </w:t>
      </w:r>
    </w:p>
    <w:p w:rsidR="00C87CEE" w:rsidRPr="00A77DDD" w:rsidRDefault="00F41B3A" w:rsidP="00C87CEE">
      <w:pPr>
        <w:jc w:val="center"/>
        <w:rPr>
          <w:rFonts w:ascii="Times New Roman" w:hAnsi="Times New Roman"/>
          <w:b/>
          <w:sz w:val="24"/>
        </w:rPr>
      </w:pPr>
      <w:r w:rsidRPr="00A77DDD">
        <w:rPr>
          <w:rFonts w:ascii="Times New Roman" w:hAnsi="Times New Roman"/>
          <w:b/>
          <w:sz w:val="24"/>
        </w:rPr>
        <w:t>A RISCULUI DE CONCENTRARE</w:t>
      </w:r>
    </w:p>
    <w:p w:rsidR="00224E73" w:rsidRPr="00A77DDD" w:rsidRDefault="00224E73" w:rsidP="00317768">
      <w:pPr>
        <w:pStyle w:val="Heading6"/>
        <w:rPr>
          <w:sz w:val="24"/>
          <w:szCs w:val="24"/>
        </w:rPr>
      </w:pPr>
    </w:p>
    <w:p w:rsidR="00224E73" w:rsidRPr="00A77DDD" w:rsidRDefault="00224E73" w:rsidP="00317768">
      <w:pPr>
        <w:pStyle w:val="Heading6"/>
        <w:rPr>
          <w:sz w:val="24"/>
          <w:szCs w:val="24"/>
        </w:rPr>
      </w:pPr>
    </w:p>
    <w:p w:rsidR="001D23F1" w:rsidRPr="00A77DDD" w:rsidRDefault="001D23F1" w:rsidP="001D23F1">
      <w:pPr>
        <w:rPr>
          <w:rFonts w:ascii="Times New Roman" w:hAnsi="Times New Roman"/>
          <w:sz w:val="24"/>
        </w:rPr>
      </w:pPr>
    </w:p>
    <w:p w:rsidR="00D64B66" w:rsidRPr="00A77DDD" w:rsidRDefault="003105C6" w:rsidP="00317768">
      <w:pPr>
        <w:pStyle w:val="Heading6"/>
        <w:rPr>
          <w:sz w:val="24"/>
          <w:szCs w:val="24"/>
        </w:rPr>
      </w:pPr>
      <w:r w:rsidRPr="00A77DDD">
        <w:rPr>
          <w:sz w:val="24"/>
        </w:rPr>
        <w:t>Cuprins</w:t>
      </w:r>
    </w:p>
    <w:p w:rsidR="00464A70" w:rsidRDefault="00A77DDD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r w:rsidRPr="00A77DDD">
        <w:rPr>
          <w:rFonts w:ascii="Times New Roman" w:hAnsi="Times New Roman"/>
          <w:noProof w:val="0"/>
          <w:sz w:val="24"/>
          <w:szCs w:val="24"/>
        </w:rPr>
        <w:fldChar w:fldCharType="begin"/>
      </w:r>
      <w:r w:rsidR="00621F98" w:rsidRPr="00A77DDD">
        <w:rPr>
          <w:rFonts w:ascii="Times New Roman" w:hAnsi="Times New Roman"/>
          <w:noProof w:val="0"/>
          <w:sz w:val="24"/>
          <w:szCs w:val="24"/>
        </w:rPr>
        <w:instrText xml:space="preserve"> TOC \o "1-3" \h \z \u </w:instrText>
      </w:r>
      <w:r w:rsidRPr="00A77DDD">
        <w:rPr>
          <w:rFonts w:ascii="Times New Roman" w:hAnsi="Times New Roman"/>
          <w:noProof w:val="0"/>
          <w:sz w:val="24"/>
          <w:szCs w:val="24"/>
        </w:rPr>
        <w:fldChar w:fldCharType="separate"/>
      </w:r>
      <w:hyperlink w:anchor="_Toc524012841" w:history="1">
        <w:r w:rsidR="00464A70" w:rsidRPr="00AB23E7">
          <w:rPr>
            <w:rStyle w:val="Hyperlink"/>
            <w:rFonts w:ascii="Times New Roman" w:hAnsi="Times New Roman"/>
          </w:rPr>
          <w:t>PARTEA I: INSTRUCȚIUNI GENERALE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_Toc524012841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2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42" w:history="1">
        <w:r w:rsidR="00464A70" w:rsidRPr="007F3773">
          <w:rPr>
            <w:rStyle w:val="Hyperlink"/>
            <w:rFonts w:ascii="Times New Roman" w:hAnsi="Times New Roman"/>
          </w:rPr>
          <w:t>1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>Structură și convenții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_Toc524012842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2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43" w:history="1">
        <w:r w:rsidR="00464A70" w:rsidRPr="007F3773">
          <w:rPr>
            <w:rStyle w:val="Hyperlink"/>
            <w:rFonts w:ascii="Times New Roman" w:hAnsi="Times New Roman"/>
          </w:rPr>
          <w:t>2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>Abrevieri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_Toc524012843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2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44" w:history="1">
        <w:r w:rsidR="00464A70" w:rsidRPr="00AB23E7">
          <w:rPr>
            <w:rStyle w:val="Hyperlink"/>
            <w:rFonts w:ascii="Times New Roman" w:hAnsi="Times New Roman"/>
          </w:rPr>
          <w:t>PARTEA a II-a: INSTRUCȚIUNI AFERENTE FORMULARELOR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_Toc524012844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3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45" w:history="1">
        <w:r w:rsidR="00464A70" w:rsidRPr="007F3773">
          <w:rPr>
            <w:rStyle w:val="Hyperlink"/>
            <w:rFonts w:ascii="Times New Roman" w:hAnsi="Times New Roman"/>
          </w:rPr>
          <w:t>1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>Domeniul de aplicare și nivelul raportării LE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_Toc524012845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3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46" w:history="1">
        <w:r w:rsidR="00464A70" w:rsidRPr="007F3773">
          <w:rPr>
            <w:rStyle w:val="Hyperlink"/>
            <w:rFonts w:ascii="Times New Roman" w:hAnsi="Times New Roman"/>
          </w:rPr>
          <w:t>2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>Structura formularului LE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_Toc524012846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4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47" w:history="1">
        <w:r w:rsidR="00464A70" w:rsidRPr="007F3773">
          <w:rPr>
            <w:rStyle w:val="Hyperlink"/>
            <w:rFonts w:ascii="Times New Roman" w:eastAsia="Arial" w:hAnsi="Times New Roman"/>
          </w:rPr>
          <w:t>3</w:t>
        </w:r>
        <w:r w:rsidR="00464A70" w:rsidRPr="00AB23E7">
          <w:rPr>
            <w:rStyle w:val="Hyperlink"/>
            <w:rFonts w:ascii="Times New Roman" w:eastAsia="Arial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>Definiții și instrucțiuni generale în scopul raportării LE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_Toc524012847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4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48" w:history="1">
        <w:r w:rsidR="00464A70" w:rsidRPr="007F3773">
          <w:rPr>
            <w:rStyle w:val="Hyperlink"/>
            <w:rFonts w:ascii="Times New Roman" w:hAnsi="Times New Roman"/>
          </w:rPr>
          <w:t>4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 xml:space="preserve">C </w:t>
        </w:r>
        <w:r w:rsidR="00464A70" w:rsidRPr="007F3773">
          <w:rPr>
            <w:rStyle w:val="Hyperlink"/>
            <w:rFonts w:ascii="Times New Roman" w:hAnsi="Times New Roman"/>
          </w:rPr>
          <w:t>26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00</w:t>
        </w:r>
        <w:r w:rsidR="00464A70" w:rsidRPr="00AB23E7">
          <w:rPr>
            <w:rStyle w:val="Hyperlink"/>
            <w:rFonts w:ascii="Times New Roman" w:hAnsi="Times New Roman"/>
          </w:rPr>
          <w:t xml:space="preserve"> – Formularul LE privind limitele aplicate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_Toc524012848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5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49" w:history="1">
        <w:r w:rsidR="00464A70" w:rsidRPr="007F3773">
          <w:rPr>
            <w:rStyle w:val="Hyperlink"/>
            <w:rFonts w:ascii="Times New Roman" w:hAnsi="Times New Roman"/>
          </w:rPr>
          <w:t>4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1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>Instrucțiuni privind anumite rânduri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_Toc524012849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5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50" w:history="1">
        <w:r w:rsidR="00464A70" w:rsidRPr="007F3773">
          <w:rPr>
            <w:rStyle w:val="Hyperlink"/>
            <w:rFonts w:ascii="Times New Roman" w:hAnsi="Times New Roman"/>
          </w:rPr>
          <w:t>5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 xml:space="preserve">C </w:t>
        </w:r>
        <w:r w:rsidR="00464A70" w:rsidRPr="007F3773">
          <w:rPr>
            <w:rStyle w:val="Hyperlink"/>
            <w:rFonts w:ascii="Times New Roman" w:hAnsi="Times New Roman"/>
          </w:rPr>
          <w:t>27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00</w:t>
        </w:r>
        <w:r w:rsidR="00464A70" w:rsidRPr="00AB23E7">
          <w:rPr>
            <w:rStyle w:val="Hyperlink"/>
            <w:rFonts w:ascii="Times New Roman" w:hAnsi="Times New Roman"/>
          </w:rPr>
          <w:t xml:space="preserve"> – Identificarea contrapărții (LE</w:t>
        </w:r>
        <w:r w:rsidR="00464A70" w:rsidRPr="007F3773">
          <w:rPr>
            <w:rStyle w:val="Hyperlink"/>
            <w:rFonts w:ascii="Times New Roman" w:hAnsi="Times New Roman"/>
          </w:rPr>
          <w:t>1</w:t>
        </w:r>
        <w:r w:rsidR="00464A70" w:rsidRPr="00AB23E7">
          <w:rPr>
            <w:rStyle w:val="Hyperlink"/>
            <w:rFonts w:ascii="Times New Roman" w:hAnsi="Times New Roman"/>
          </w:rPr>
          <w:t>)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_Toc524012850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7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51" w:history="1">
        <w:r w:rsidR="00464A70" w:rsidRPr="007F3773">
          <w:rPr>
            <w:rStyle w:val="Hyperlink"/>
            <w:rFonts w:ascii="Times New Roman" w:hAnsi="Times New Roman"/>
          </w:rPr>
          <w:t>5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1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>Instrucțiuni privind anumite coloane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_Toc524012851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7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52" w:history="1">
        <w:r w:rsidR="00464A70" w:rsidRPr="007F3773">
          <w:rPr>
            <w:rStyle w:val="Hyperlink"/>
            <w:rFonts w:ascii="Times New Roman" w:hAnsi="Times New Roman"/>
          </w:rPr>
          <w:t>6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 xml:space="preserve">C </w:t>
        </w:r>
        <w:r w:rsidR="00464A70" w:rsidRPr="007F3773">
          <w:rPr>
            <w:rStyle w:val="Hyperlink"/>
            <w:rFonts w:ascii="Times New Roman" w:hAnsi="Times New Roman"/>
          </w:rPr>
          <w:t>28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00</w:t>
        </w:r>
        <w:r w:rsidR="00464A70" w:rsidRPr="00AB23E7">
          <w:rPr>
            <w:rStyle w:val="Hyperlink"/>
            <w:rFonts w:ascii="Times New Roman" w:hAnsi="Times New Roman"/>
          </w:rPr>
          <w:t xml:space="preserve"> – Expunerile din portofoliul de tranzacționare și din afara acestuia (LE</w:t>
        </w:r>
        <w:r w:rsidR="00464A70" w:rsidRPr="007F3773">
          <w:rPr>
            <w:rStyle w:val="Hyperlink"/>
            <w:rFonts w:ascii="Times New Roman" w:hAnsi="Times New Roman"/>
          </w:rPr>
          <w:t>2</w:t>
        </w:r>
        <w:r w:rsidR="00464A70" w:rsidRPr="00AB23E7">
          <w:rPr>
            <w:rStyle w:val="Hyperlink"/>
            <w:rFonts w:ascii="Times New Roman" w:hAnsi="Times New Roman"/>
          </w:rPr>
          <w:t>)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_Toc524012852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9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53" w:history="1">
        <w:r w:rsidR="00464A70" w:rsidRPr="007F3773">
          <w:rPr>
            <w:rStyle w:val="Hyperlink"/>
            <w:rFonts w:ascii="Times New Roman" w:hAnsi="Times New Roman"/>
          </w:rPr>
          <w:t>6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1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>Instrucțiuni privind anumite coloane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_Toc524012853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9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54" w:history="1">
        <w:r w:rsidR="00464A70" w:rsidRPr="007F3773">
          <w:rPr>
            <w:rStyle w:val="Hyperlink"/>
            <w:rFonts w:ascii="Times New Roman" w:hAnsi="Times New Roman"/>
          </w:rPr>
          <w:t>7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 xml:space="preserve">C </w:t>
        </w:r>
        <w:r w:rsidR="00464A70" w:rsidRPr="007F3773">
          <w:rPr>
            <w:rStyle w:val="Hyperlink"/>
            <w:rFonts w:ascii="Times New Roman" w:hAnsi="Times New Roman"/>
          </w:rPr>
          <w:t>29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00</w:t>
        </w:r>
        <w:r w:rsidR="00464A70" w:rsidRPr="00AB23E7">
          <w:rPr>
            <w:rStyle w:val="Hyperlink"/>
            <w:rFonts w:ascii="Times New Roman" w:hAnsi="Times New Roman"/>
          </w:rPr>
          <w:t xml:space="preserve"> – Detalii privind expunerile față de clienți individuali din cadrul unui grup de clienți aflați în legătură (LE</w:t>
        </w:r>
        <w:r w:rsidR="00464A70" w:rsidRPr="007F3773">
          <w:rPr>
            <w:rStyle w:val="Hyperlink"/>
            <w:rFonts w:ascii="Times New Roman" w:hAnsi="Times New Roman"/>
          </w:rPr>
          <w:t>3</w:t>
        </w:r>
        <w:r w:rsidR="00464A70" w:rsidRPr="00AB23E7">
          <w:rPr>
            <w:rStyle w:val="Hyperlink"/>
            <w:rFonts w:ascii="Times New Roman" w:hAnsi="Times New Roman"/>
          </w:rPr>
          <w:t>)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_Toc524012854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17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55" w:history="1">
        <w:r w:rsidR="00464A70" w:rsidRPr="007F3773">
          <w:rPr>
            <w:rStyle w:val="Hyperlink"/>
            <w:rFonts w:ascii="Times New Roman" w:hAnsi="Times New Roman"/>
          </w:rPr>
          <w:t>7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1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>Instrucțiuni privind anumite coloane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_Toc524012855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17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56" w:history="1">
        <w:r w:rsidR="00464A70" w:rsidRPr="007F3773">
          <w:rPr>
            <w:rStyle w:val="Hyperlink"/>
            <w:rFonts w:ascii="Times New Roman" w:hAnsi="Times New Roman"/>
          </w:rPr>
          <w:t>8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 xml:space="preserve">C </w:t>
        </w:r>
        <w:r w:rsidR="00464A70" w:rsidRPr="007F3773">
          <w:rPr>
            <w:rStyle w:val="Hyperlink"/>
            <w:rFonts w:ascii="Times New Roman" w:hAnsi="Times New Roman"/>
          </w:rPr>
          <w:t>30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00</w:t>
        </w:r>
        <w:r w:rsidR="00464A70" w:rsidRPr="00AB23E7">
          <w:rPr>
            <w:rStyle w:val="Hyperlink"/>
            <w:rFonts w:ascii="Times New Roman" w:hAnsi="Times New Roman"/>
          </w:rPr>
          <w:t xml:space="preserve"> – Tranșe de scadență pentru cele mai mari zece expuneri față de instituții și pentru cele mai mari zece expuneri față de entități din sectorul financiar nereglementate (formularul LE</w:t>
        </w:r>
        <w:r w:rsidR="00464A70" w:rsidRPr="007F3773">
          <w:rPr>
            <w:rStyle w:val="Hyperlink"/>
            <w:rFonts w:ascii="Times New Roman" w:hAnsi="Times New Roman"/>
          </w:rPr>
          <w:t>4</w:t>
        </w:r>
        <w:r w:rsidR="00464A70" w:rsidRPr="00AB23E7">
          <w:rPr>
            <w:rStyle w:val="Hyperlink"/>
            <w:rFonts w:ascii="Times New Roman" w:hAnsi="Times New Roman"/>
          </w:rPr>
          <w:t>)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_Toc524012856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18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57" w:history="1">
        <w:r w:rsidR="00464A70" w:rsidRPr="007F3773">
          <w:rPr>
            <w:rStyle w:val="Hyperlink"/>
            <w:rFonts w:ascii="Times New Roman" w:hAnsi="Times New Roman"/>
          </w:rPr>
          <w:t>8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1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>Instrucțiuni privind anumite coloane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_Toc524012857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18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58" w:history="1">
        <w:r w:rsidR="00464A70" w:rsidRPr="007F3773">
          <w:rPr>
            <w:rStyle w:val="Hyperlink"/>
            <w:rFonts w:ascii="Times New Roman" w:hAnsi="Times New Roman"/>
          </w:rPr>
          <w:t>9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 xml:space="preserve">C </w:t>
        </w:r>
        <w:r w:rsidR="00464A70" w:rsidRPr="007F3773">
          <w:rPr>
            <w:rStyle w:val="Hyperlink"/>
            <w:rFonts w:ascii="Times New Roman" w:hAnsi="Times New Roman"/>
          </w:rPr>
          <w:t>31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00</w:t>
        </w:r>
        <w:r w:rsidR="00464A70" w:rsidRPr="00AB23E7">
          <w:rPr>
            <w:rStyle w:val="Hyperlink"/>
            <w:rFonts w:ascii="Times New Roman" w:hAnsi="Times New Roman"/>
          </w:rPr>
          <w:t xml:space="preserve"> – Tranșe de scadență pentru cele mai mari zece expuneri față de instituții și pentru cele mai mari zece expuneri față de entități din sectorul financiar nereglementate: detalii privind expunerile față de clienți individuali din cadrul unui grup de clienți aflați în legătură (formularul LE</w:t>
        </w:r>
        <w:r w:rsidR="00464A70" w:rsidRPr="007F3773">
          <w:rPr>
            <w:rStyle w:val="Hyperlink"/>
            <w:rFonts w:ascii="Times New Roman" w:hAnsi="Times New Roman"/>
          </w:rPr>
          <w:t>5</w:t>
        </w:r>
        <w:r w:rsidR="00464A70" w:rsidRPr="00AB23E7">
          <w:rPr>
            <w:rStyle w:val="Hyperlink"/>
            <w:rFonts w:ascii="Times New Roman" w:hAnsi="Times New Roman"/>
          </w:rPr>
          <w:t>)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_Toc524012858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19</w:t>
        </w:r>
        <w:r w:rsidR="00464A70">
          <w:rPr>
            <w:webHidden/>
          </w:rPr>
          <w:fldChar w:fldCharType="end"/>
        </w:r>
      </w:hyperlink>
    </w:p>
    <w:p w:rsidR="00464A70" w:rsidRDefault="00C54D1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12859" w:history="1">
        <w:r w:rsidR="00464A70" w:rsidRPr="007F3773">
          <w:rPr>
            <w:rStyle w:val="Hyperlink"/>
            <w:rFonts w:ascii="Times New Roman" w:hAnsi="Times New Roman"/>
          </w:rPr>
          <w:t>9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 w:rsidRPr="007F3773">
          <w:rPr>
            <w:rStyle w:val="Hyperlink"/>
            <w:rFonts w:ascii="Times New Roman" w:hAnsi="Times New Roman"/>
          </w:rPr>
          <w:t>1</w:t>
        </w:r>
        <w:r w:rsidR="00464A70" w:rsidRPr="00AB23E7">
          <w:rPr>
            <w:rStyle w:val="Hyperlink"/>
            <w:rFonts w:ascii="Times New Roman" w:hAnsi="Times New Roman"/>
          </w:rPr>
          <w:t>.</w:t>
        </w:r>
        <w:r w:rsidR="00464A70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464A70" w:rsidRPr="00AB23E7">
          <w:rPr>
            <w:rStyle w:val="Hyperlink"/>
            <w:rFonts w:ascii="Times New Roman" w:hAnsi="Times New Roman"/>
          </w:rPr>
          <w:t>Instrucțiuni privind anumite coloane</w:t>
        </w:r>
        <w:r w:rsidR="00464A70">
          <w:rPr>
            <w:webHidden/>
          </w:rPr>
          <w:tab/>
        </w:r>
        <w:r w:rsidR="00464A70">
          <w:rPr>
            <w:webHidden/>
          </w:rPr>
          <w:fldChar w:fldCharType="begin"/>
        </w:r>
        <w:r w:rsidR="00464A70">
          <w:rPr>
            <w:webHidden/>
          </w:rPr>
          <w:instrText xml:space="preserve"> PAGEREF _Toc524012859 \h </w:instrText>
        </w:r>
        <w:r w:rsidR="00464A70">
          <w:rPr>
            <w:webHidden/>
          </w:rPr>
        </w:r>
        <w:r w:rsidR="00464A70">
          <w:rPr>
            <w:webHidden/>
          </w:rPr>
          <w:fldChar w:fldCharType="separate"/>
        </w:r>
        <w:r w:rsidR="00464A70" w:rsidRPr="007F3773">
          <w:rPr>
            <w:webHidden/>
          </w:rPr>
          <w:t>19</w:t>
        </w:r>
        <w:r w:rsidR="00464A70">
          <w:rPr>
            <w:webHidden/>
          </w:rPr>
          <w:fldChar w:fldCharType="end"/>
        </w:r>
      </w:hyperlink>
    </w:p>
    <w:p w:rsidR="00026637" w:rsidRPr="00A77DDD" w:rsidRDefault="00A77DDD">
      <w:pPr>
        <w:rPr>
          <w:rFonts w:ascii="Times New Roman" w:eastAsia="SimSun" w:hAnsi="Times New Roman"/>
          <w:sz w:val="24"/>
        </w:rPr>
        <w:sectPr w:rsidR="00026637" w:rsidRPr="00A77DDD" w:rsidSect="00A772B4">
          <w:footerReference w:type="default" r:id="rId10"/>
          <w:footerReference w:type="first" r:id="rId11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A77DDD">
        <w:rPr>
          <w:rFonts w:ascii="Times New Roman" w:hAnsi="Times New Roman"/>
          <w:sz w:val="24"/>
        </w:rPr>
        <w:fldChar w:fldCharType="end"/>
      </w:r>
    </w:p>
    <w:p w:rsidR="009777FB" w:rsidRPr="00A77DDD" w:rsidRDefault="003105C6" w:rsidP="0093135A">
      <w:pPr>
        <w:pStyle w:val="Heading2"/>
        <w:rPr>
          <w:bCs/>
        </w:rPr>
      </w:pPr>
      <w:bookmarkStart w:id="2" w:name="_Toc264038394"/>
      <w:bookmarkStart w:id="3" w:name="_Toc393461951"/>
      <w:bookmarkStart w:id="4" w:name="_Toc524012841"/>
      <w:r w:rsidRPr="00A77DDD">
        <w:rPr>
          <w:rFonts w:ascii="Times New Roman" w:hAnsi="Times New Roman"/>
        </w:rPr>
        <w:lastRenderedPageBreak/>
        <w:t>PARTEA I:</w:t>
      </w:r>
      <w:bookmarkEnd w:id="2"/>
      <w:r w:rsidRPr="00A77DDD">
        <w:rPr>
          <w:rFonts w:ascii="Times New Roman" w:hAnsi="Times New Roman"/>
        </w:rPr>
        <w:t xml:space="preserve"> INSTRUC</w:t>
      </w:r>
      <w:r w:rsidR="00675B3A">
        <w:rPr>
          <w:rFonts w:ascii="Times New Roman" w:hAnsi="Times New Roman"/>
        </w:rPr>
        <w:t>Ț</w:t>
      </w:r>
      <w:r w:rsidRPr="00A77DDD">
        <w:rPr>
          <w:rFonts w:ascii="Times New Roman" w:hAnsi="Times New Roman"/>
        </w:rPr>
        <w:t>IUNI GENERALE</w:t>
      </w:r>
      <w:bookmarkEnd w:id="3"/>
      <w:bookmarkEnd w:id="4"/>
    </w:p>
    <w:p w:rsidR="003105C6" w:rsidRPr="00A77DDD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5" w:name="_Toc393461952"/>
      <w:bookmarkStart w:id="6" w:name="_Toc524012842"/>
      <w:r w:rsidRPr="00A77DDD">
        <w:rPr>
          <w:rFonts w:ascii="Times New Roman" w:hAnsi="Times New Roman"/>
          <w:b/>
          <w:sz w:val="24"/>
          <w:u w:val="none"/>
        </w:rPr>
        <w:t xml:space="preserve">Structură </w:t>
      </w:r>
      <w:r w:rsidR="00675B3A">
        <w:rPr>
          <w:rFonts w:ascii="Times New Roman" w:hAnsi="Times New Roman"/>
          <w:b/>
          <w:sz w:val="24"/>
          <w:u w:val="none"/>
        </w:rPr>
        <w:t>ș</w:t>
      </w:r>
      <w:r w:rsidRPr="00A77DDD">
        <w:rPr>
          <w:rFonts w:ascii="Times New Roman" w:hAnsi="Times New Roman"/>
          <w:b/>
          <w:sz w:val="24"/>
          <w:u w:val="none"/>
        </w:rPr>
        <w:t>i conven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ii</w:t>
      </w:r>
      <w:bookmarkEnd w:id="5"/>
      <w:bookmarkEnd w:id="6"/>
    </w:p>
    <w:p w:rsidR="00393539" w:rsidRPr="00A77DDD" w:rsidRDefault="00D40975" w:rsidP="005D4995">
      <w:pPr>
        <w:pStyle w:val="InstructionsText2"/>
      </w:pPr>
      <w:bookmarkStart w:id="7" w:name="_Toc264038399"/>
      <w:bookmarkStart w:id="8" w:name="_Toc294018834"/>
      <w:r w:rsidRPr="00A77DDD">
        <w:t xml:space="preserve">Cadrul de raportare pentru expunerile mari («LE») este format din </w:t>
      </w:r>
      <w:r w:rsidR="00675B3A">
        <w:t>ș</w:t>
      </w:r>
      <w:r w:rsidRPr="00A77DDD">
        <w:t>ase formulare care includ următoarele informa</w:t>
      </w:r>
      <w:r w:rsidR="00675B3A">
        <w:t>ț</w:t>
      </w:r>
      <w:r w:rsidRPr="00A77DDD">
        <w:t>ii:</w:t>
      </w:r>
    </w:p>
    <w:p w:rsidR="00DA54E3" w:rsidRPr="00A77DDD" w:rsidRDefault="00CC2429" w:rsidP="005D4995">
      <w:pPr>
        <w:pStyle w:val="InstructionsText2"/>
        <w:numPr>
          <w:ilvl w:val="1"/>
          <w:numId w:val="15"/>
        </w:numPr>
        <w:rPr>
          <w:rFonts w:eastAsia="Arial"/>
        </w:rPr>
      </w:pPr>
      <w:r w:rsidRPr="00A77DDD">
        <w:t>limitele expunerilor mari;</w:t>
      </w:r>
    </w:p>
    <w:p w:rsidR="00DA54E3" w:rsidRPr="00A77DDD" w:rsidRDefault="00CC2429" w:rsidP="005D4995">
      <w:pPr>
        <w:pStyle w:val="InstructionsText2"/>
        <w:numPr>
          <w:ilvl w:val="1"/>
          <w:numId w:val="15"/>
        </w:numPr>
        <w:rPr>
          <w:rFonts w:eastAsia="Arial"/>
        </w:rPr>
      </w:pPr>
      <w:r w:rsidRPr="00A77DDD">
        <w:t>identificarea contrapăr</w:t>
      </w:r>
      <w:r w:rsidR="00675B3A">
        <w:t>ț</w:t>
      </w:r>
      <w:r w:rsidRPr="00A77DDD">
        <w:t>ii (formularul LE</w:t>
      </w:r>
      <w:r w:rsidRPr="007F3773">
        <w:t>1</w:t>
      </w:r>
      <w:r w:rsidRPr="00A77DDD">
        <w:t>);</w:t>
      </w:r>
    </w:p>
    <w:p w:rsidR="00393539" w:rsidRPr="00A77DDD" w:rsidRDefault="00CC2429" w:rsidP="005D4995">
      <w:pPr>
        <w:pStyle w:val="InstructionsText2"/>
        <w:numPr>
          <w:ilvl w:val="1"/>
          <w:numId w:val="15"/>
        </w:numPr>
        <w:rPr>
          <w:rFonts w:eastAsia="Arial"/>
        </w:rPr>
      </w:pPr>
      <w:r w:rsidRPr="00A77DDD">
        <w:t>expunerile din portofoliul de tranzac</w:t>
      </w:r>
      <w:r w:rsidR="00675B3A">
        <w:t>ț</w:t>
      </w:r>
      <w:r w:rsidRPr="00A77DDD">
        <w:t xml:space="preserve">ionare </w:t>
      </w:r>
      <w:r w:rsidR="00675B3A">
        <w:t>ș</w:t>
      </w:r>
      <w:r w:rsidRPr="00A77DDD">
        <w:t>i din afara acestuia (formularul</w:t>
      </w:r>
      <w:r w:rsidR="00675B3A">
        <w:t> </w:t>
      </w:r>
      <w:r w:rsidRPr="00A77DDD">
        <w:t>LE</w:t>
      </w:r>
      <w:r w:rsidRPr="007F3773">
        <w:t>2</w:t>
      </w:r>
      <w:r w:rsidRPr="00A77DDD">
        <w:t xml:space="preserve">); </w:t>
      </w:r>
    </w:p>
    <w:p w:rsidR="00393539" w:rsidRPr="00A77DDD" w:rsidRDefault="00CC2429" w:rsidP="005D4995">
      <w:pPr>
        <w:pStyle w:val="InstructionsText2"/>
        <w:numPr>
          <w:ilvl w:val="1"/>
          <w:numId w:val="15"/>
        </w:numPr>
        <w:rPr>
          <w:rFonts w:eastAsia="Arial"/>
        </w:rPr>
      </w:pPr>
      <w:r w:rsidRPr="00A77DDD">
        <w:t>detalii privind expunerile fa</w:t>
      </w:r>
      <w:r w:rsidR="00675B3A">
        <w:t>ț</w:t>
      </w:r>
      <w:r w:rsidRPr="00A77DDD">
        <w:t>ă de clien</w:t>
      </w:r>
      <w:r w:rsidR="00675B3A">
        <w:t>ț</w:t>
      </w:r>
      <w:r w:rsidRPr="00A77DDD">
        <w:t>i individuali din cadrul unui grup de clien</w:t>
      </w:r>
      <w:r w:rsidR="00675B3A">
        <w:t>ț</w:t>
      </w:r>
      <w:r w:rsidRPr="00A77DDD">
        <w:t>i afla</w:t>
      </w:r>
      <w:r w:rsidR="00675B3A">
        <w:t>ț</w:t>
      </w:r>
      <w:r w:rsidRPr="00A77DDD">
        <w:t>i în legătură (formularul LE</w:t>
      </w:r>
      <w:r w:rsidRPr="007F3773">
        <w:t>3</w:t>
      </w:r>
      <w:r w:rsidRPr="00A77DDD">
        <w:t>);</w:t>
      </w:r>
    </w:p>
    <w:p w:rsidR="00627430" w:rsidRPr="00A77DDD" w:rsidRDefault="00CC2429" w:rsidP="005D4995">
      <w:pPr>
        <w:pStyle w:val="InstructionsText2"/>
        <w:numPr>
          <w:ilvl w:val="1"/>
          <w:numId w:val="15"/>
        </w:numPr>
        <w:rPr>
          <w:rFonts w:eastAsia="Arial"/>
        </w:rPr>
      </w:pPr>
      <w:r w:rsidRPr="00A77DDD">
        <w:t>tran</w:t>
      </w:r>
      <w:r w:rsidR="00675B3A">
        <w:t>ș</w:t>
      </w:r>
      <w:r w:rsidRPr="00A77DDD">
        <w:t>e de scaden</w:t>
      </w:r>
      <w:r w:rsidR="00675B3A">
        <w:t>ț</w:t>
      </w:r>
      <w:r w:rsidRPr="00A77DDD">
        <w:t>ă pentru cele mai mari zece expuneri fa</w:t>
      </w:r>
      <w:r w:rsidR="00675B3A">
        <w:t>ț</w:t>
      </w:r>
      <w:r w:rsidRPr="00A77DDD">
        <w:t>ă de institu</w:t>
      </w:r>
      <w:r w:rsidR="00675B3A">
        <w:t>ț</w:t>
      </w:r>
      <w:r w:rsidRPr="00A77DDD">
        <w:t xml:space="preserve">ii </w:t>
      </w:r>
      <w:r w:rsidR="00675B3A">
        <w:t>ș</w:t>
      </w:r>
      <w:r w:rsidRPr="00A77DDD">
        <w:t>i pentru cele mai mari zece expuneri fa</w:t>
      </w:r>
      <w:r w:rsidR="00675B3A">
        <w:t>ț</w:t>
      </w:r>
      <w:r w:rsidRPr="00A77DDD">
        <w:t>ă de entită</w:t>
      </w:r>
      <w:r w:rsidR="00675B3A">
        <w:t>ț</w:t>
      </w:r>
      <w:r w:rsidRPr="00A77DDD">
        <w:t>i din sectorul financiar nereglementate (formularul LE</w:t>
      </w:r>
      <w:r w:rsidRPr="007F3773">
        <w:t>4</w:t>
      </w:r>
      <w:r w:rsidRPr="00A77DDD">
        <w:t xml:space="preserve">); </w:t>
      </w:r>
    </w:p>
    <w:p w:rsidR="00DA54E3" w:rsidRPr="00A77DDD" w:rsidRDefault="00CC2429" w:rsidP="005D4995">
      <w:pPr>
        <w:pStyle w:val="InstructionsText2"/>
        <w:numPr>
          <w:ilvl w:val="1"/>
          <w:numId w:val="15"/>
        </w:numPr>
        <w:rPr>
          <w:rFonts w:eastAsia="Arial"/>
        </w:rPr>
      </w:pPr>
      <w:r w:rsidRPr="00A77DDD">
        <w:t>tran</w:t>
      </w:r>
      <w:r w:rsidR="00675B3A">
        <w:t>ș</w:t>
      </w:r>
      <w:r w:rsidRPr="00A77DDD">
        <w:t>e de scaden</w:t>
      </w:r>
      <w:r w:rsidR="00675B3A">
        <w:t>ț</w:t>
      </w:r>
      <w:r w:rsidRPr="00A77DDD">
        <w:t>ă pentru cele mai mari zece expuneri fa</w:t>
      </w:r>
      <w:r w:rsidR="00675B3A">
        <w:t>ț</w:t>
      </w:r>
      <w:r w:rsidRPr="00A77DDD">
        <w:t>ă de institu</w:t>
      </w:r>
      <w:r w:rsidR="00675B3A">
        <w:t>ț</w:t>
      </w:r>
      <w:r w:rsidRPr="00A77DDD">
        <w:t xml:space="preserve">ii </w:t>
      </w:r>
      <w:r w:rsidR="00675B3A">
        <w:t>ș</w:t>
      </w:r>
      <w:r w:rsidRPr="00A77DDD">
        <w:t>i pentru cele mai mari zece expuneri fa</w:t>
      </w:r>
      <w:r w:rsidR="00675B3A">
        <w:t>ț</w:t>
      </w:r>
      <w:r w:rsidRPr="00A77DDD">
        <w:t>ă de entită</w:t>
      </w:r>
      <w:r w:rsidR="00675B3A">
        <w:t>ț</w:t>
      </w:r>
      <w:r w:rsidRPr="00A77DDD">
        <w:t>i din sectorul financiar nereglementate: detalii privind expunerile fa</w:t>
      </w:r>
      <w:r w:rsidR="00675B3A">
        <w:t>ț</w:t>
      </w:r>
      <w:r w:rsidRPr="00A77DDD">
        <w:t>ă de clien</w:t>
      </w:r>
      <w:r w:rsidR="00675B3A">
        <w:t>ț</w:t>
      </w:r>
      <w:r w:rsidRPr="00A77DDD">
        <w:t>i individuali din cadrul unui grup de clien</w:t>
      </w:r>
      <w:r w:rsidR="00675B3A">
        <w:t>ț</w:t>
      </w:r>
      <w:r w:rsidRPr="00A77DDD">
        <w:t>i afla</w:t>
      </w:r>
      <w:r w:rsidR="00675B3A">
        <w:t>ț</w:t>
      </w:r>
      <w:r w:rsidRPr="00A77DDD">
        <w:t>i în legătură (formularul LE</w:t>
      </w:r>
      <w:r w:rsidRPr="007F3773">
        <w:t>5</w:t>
      </w:r>
      <w:r w:rsidRPr="00A77DDD">
        <w:t>).</w:t>
      </w:r>
    </w:p>
    <w:p w:rsidR="003D56DE" w:rsidRPr="00A77DDD" w:rsidRDefault="00756759" w:rsidP="005D4995">
      <w:pPr>
        <w:pStyle w:val="InstructionsText2"/>
      </w:pPr>
      <w:r w:rsidRPr="00A77DDD">
        <w:t>Instruc</w:t>
      </w:r>
      <w:r w:rsidR="00675B3A">
        <w:t>ț</w:t>
      </w:r>
      <w:r w:rsidRPr="00A77DDD">
        <w:t>iunile cuprind referin</w:t>
      </w:r>
      <w:r w:rsidR="00675B3A">
        <w:t>ț</w:t>
      </w:r>
      <w:r w:rsidRPr="00A77DDD">
        <w:t xml:space="preserve">e juridice, precum </w:t>
      </w:r>
      <w:r w:rsidR="00675B3A">
        <w:t>ș</w:t>
      </w:r>
      <w:r w:rsidRPr="00A77DDD">
        <w:t>i informa</w:t>
      </w:r>
      <w:r w:rsidR="00675B3A">
        <w:t>ț</w:t>
      </w:r>
      <w:r w:rsidRPr="00A77DDD">
        <w:t>ii detaliate cu privire la datele care se raportează în fiecare formular.</w:t>
      </w:r>
    </w:p>
    <w:p w:rsidR="00B0191A" w:rsidRPr="00A77DDD" w:rsidRDefault="003105C6" w:rsidP="005D4995">
      <w:pPr>
        <w:pStyle w:val="InstructionsText2"/>
      </w:pPr>
      <w:r w:rsidRPr="00A77DDD">
        <w:t>Instruc</w:t>
      </w:r>
      <w:r w:rsidR="00675B3A">
        <w:t>ț</w:t>
      </w:r>
      <w:r w:rsidRPr="00A77DDD">
        <w:t xml:space="preserve">iunile </w:t>
      </w:r>
      <w:r w:rsidR="00675B3A">
        <w:t>ș</w:t>
      </w:r>
      <w:r w:rsidRPr="00A77DDD">
        <w:t>i normele de validare urmăresc conven</w:t>
      </w:r>
      <w:r w:rsidR="00675B3A">
        <w:t>ț</w:t>
      </w:r>
      <w:r w:rsidRPr="00A77DDD">
        <w:t xml:space="preserve">ia de denumire prezentată la punctele de mai jos, atunci când se face referire la coloanele, rândurile </w:t>
      </w:r>
      <w:r w:rsidR="00675B3A">
        <w:t>ș</w:t>
      </w:r>
      <w:r w:rsidRPr="00A77DDD">
        <w:t xml:space="preserve">i celulele din formular. </w:t>
      </w:r>
    </w:p>
    <w:p w:rsidR="00B0191A" w:rsidRPr="00A77DDD" w:rsidRDefault="00F36707" w:rsidP="005D4995">
      <w:pPr>
        <w:pStyle w:val="InstructionsText2"/>
      </w:pPr>
      <w:r w:rsidRPr="00A77DDD">
        <w:t>Următoarea conven</w:t>
      </w:r>
      <w:r w:rsidR="00675B3A">
        <w:t>ț</w:t>
      </w:r>
      <w:r w:rsidRPr="00A77DDD">
        <w:t>ie este, în general, utilizată în instruc</w:t>
      </w:r>
      <w:r w:rsidR="00675B3A">
        <w:t>ț</w:t>
      </w:r>
      <w:r w:rsidRPr="00A77DDD">
        <w:t xml:space="preserve">iunile </w:t>
      </w:r>
      <w:r w:rsidR="00675B3A">
        <w:t>ș</w:t>
      </w:r>
      <w:r w:rsidRPr="00A77DDD">
        <w:t>i normele de validare: {Formular;Rând;Coloană}. Se utilizează semnul de asterisc pentru a exprima faptul că validarea se realizează pentru toate rândurile raportate.</w:t>
      </w:r>
    </w:p>
    <w:p w:rsidR="00B0191A" w:rsidRPr="00A77DDD" w:rsidRDefault="003105C6" w:rsidP="005D4995">
      <w:pPr>
        <w:pStyle w:val="InstructionsText2"/>
        <w:rPr>
          <w:rFonts w:eastAsia="Arial"/>
        </w:rPr>
      </w:pPr>
      <w:r w:rsidRPr="00A77DDD">
        <w:t>În cazul validărilor din cadrul unui formular, în care se utilizează doar puncte de date din formularul respectiv, notele de trimitere nu se referă la un anumit formular: {Rând;Coloană}.</w:t>
      </w:r>
    </w:p>
    <w:p w:rsidR="00B0191A" w:rsidRPr="00A77DDD" w:rsidRDefault="006217F1" w:rsidP="005D4995">
      <w:pPr>
        <w:pStyle w:val="InstructionsText2"/>
      </w:pPr>
      <w:r w:rsidRPr="00A77DDD">
        <w:t xml:space="preserve">(Valoarea) ABS: valoarea absolută fără semn. </w:t>
      </w:r>
      <w:bookmarkEnd w:id="7"/>
      <w:bookmarkEnd w:id="8"/>
      <w:r w:rsidRPr="00A77DDD">
        <w:t>Orice cuantum care măre</w:t>
      </w:r>
      <w:r w:rsidR="00675B3A">
        <w:t>ș</w:t>
      </w:r>
      <w:r w:rsidRPr="00A77DDD">
        <w:t xml:space="preserve">te expunerile </w:t>
      </w:r>
      <w:r w:rsidR="00C7348B">
        <w:br/>
      </w:r>
      <w:r w:rsidRPr="00A77DDD">
        <w:t xml:space="preserve">se înregistrează ca valoare pozitivă. În schimb, orice cuantum care reduce expunerile </w:t>
      </w:r>
      <w:r w:rsidR="00C7348B">
        <w:br/>
      </w:r>
      <w:r w:rsidRPr="00A77DDD">
        <w:t xml:space="preserve">se înregistrează ca valoare negativă. În cazul în care există un semn negativ </w:t>
      </w:r>
      <w:r w:rsidRPr="00C7348B">
        <w:t>(</w:t>
      </w:r>
      <w:r w:rsidR="006D4E1C" w:rsidRPr="00C7348B">
        <w:rPr>
          <w:rStyle w:val="InstructionsTabelleberschrift"/>
          <w:rFonts w:ascii="Times New Roman" w:hAnsi="Times New Roman"/>
          <w:sz w:val="24"/>
          <w:u w:val="none"/>
        </w:rPr>
        <w:t>-</w:t>
      </w:r>
      <w:r w:rsidRPr="00C7348B">
        <w:t>)</w:t>
      </w:r>
      <w:r w:rsidRPr="00A77DDD">
        <w:t xml:space="preserve"> înainte de denumirea unui element, nu se raportează nicio valoare pozitivă pentru </w:t>
      </w:r>
      <w:r w:rsidR="00C7348B">
        <w:br/>
      </w:r>
      <w:r w:rsidRPr="00A77DDD">
        <w:t>elementul respectiv.</w:t>
      </w:r>
    </w:p>
    <w:p w:rsidR="0093135A" w:rsidRPr="00A77DDD" w:rsidRDefault="0078562D" w:rsidP="0078562D">
      <w:pPr>
        <w:pStyle w:val="Instructionsberschrift2"/>
        <w:numPr>
          <w:ilvl w:val="0"/>
          <w:numId w:val="20"/>
        </w:numPr>
        <w:rPr>
          <w:b/>
        </w:rPr>
      </w:pPr>
      <w:bookmarkStart w:id="9" w:name="_Toc524012843"/>
      <w:r w:rsidRPr="00A77DDD">
        <w:rPr>
          <w:rFonts w:ascii="Times New Roman" w:hAnsi="Times New Roman"/>
          <w:b/>
          <w:sz w:val="24"/>
          <w:u w:val="none"/>
        </w:rPr>
        <w:t>Abrevieri</w:t>
      </w:r>
      <w:bookmarkEnd w:id="9"/>
    </w:p>
    <w:p w:rsidR="0093135A" w:rsidRPr="00A77DDD" w:rsidRDefault="0093135A" w:rsidP="005D4995">
      <w:pPr>
        <w:pStyle w:val="InstructionsText2"/>
      </w:pPr>
      <w:r w:rsidRPr="00A77DDD">
        <w:t xml:space="preserve">În sensul prezentei anexe, la Regulamentul (UE) nr. </w:t>
      </w:r>
      <w:r w:rsidRPr="007F3773">
        <w:t>575</w:t>
      </w:r>
      <w:r w:rsidRPr="00A77DDD">
        <w:t>/</w:t>
      </w:r>
      <w:r w:rsidRPr="007F3773">
        <w:t>2013</w:t>
      </w:r>
      <w:r w:rsidRPr="00A77DDD">
        <w:t xml:space="preserve"> se face trimitere folosind abrevierea «CRR».</w:t>
      </w:r>
    </w:p>
    <w:p w:rsidR="00A801A9" w:rsidRPr="00A77DDD" w:rsidRDefault="00A801A9" w:rsidP="00005FFC">
      <w:pPr>
        <w:rPr>
          <w:rFonts w:ascii="Times New Roman" w:hAnsi="Times New Roman"/>
          <w:sz w:val="24"/>
        </w:rPr>
        <w:sectPr w:rsidR="00A801A9" w:rsidRPr="00A77DDD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10" w:name="_Toc264033192"/>
      <w:bookmarkEnd w:id="10"/>
    </w:p>
    <w:p w:rsidR="00A801A9" w:rsidRPr="00A77DDD" w:rsidRDefault="003105C6" w:rsidP="00D64B66">
      <w:pPr>
        <w:pStyle w:val="Heading2"/>
        <w:rPr>
          <w:rFonts w:ascii="Times New Roman" w:hAnsi="Times New Roman"/>
        </w:rPr>
      </w:pPr>
      <w:bookmarkStart w:id="11" w:name="_Toc393461953"/>
      <w:bookmarkStart w:id="12" w:name="_Toc524012844"/>
      <w:r w:rsidRPr="00A77DDD">
        <w:rPr>
          <w:rFonts w:ascii="Times New Roman" w:hAnsi="Times New Roman"/>
        </w:rPr>
        <w:lastRenderedPageBreak/>
        <w:t>PARTEA a II-a: INSTRUC</w:t>
      </w:r>
      <w:r w:rsidR="00675B3A">
        <w:rPr>
          <w:rFonts w:ascii="Times New Roman" w:hAnsi="Times New Roman"/>
        </w:rPr>
        <w:t>Ț</w:t>
      </w:r>
      <w:r w:rsidRPr="00A77DDD">
        <w:rPr>
          <w:rFonts w:ascii="Times New Roman" w:hAnsi="Times New Roman"/>
        </w:rPr>
        <w:t>IUNI AFERENTE FORMULARELOR</w:t>
      </w:r>
      <w:bookmarkEnd w:id="11"/>
      <w:bookmarkEnd w:id="12"/>
    </w:p>
    <w:p w:rsidR="00F41B3A" w:rsidRPr="00A77DDD" w:rsidRDefault="00F41B3A" w:rsidP="00EA549E">
      <w:pPr>
        <w:rPr>
          <w:rFonts w:ascii="Times New Roman" w:hAnsi="Times New Roman"/>
          <w:sz w:val="24"/>
        </w:rPr>
      </w:pPr>
      <w:r w:rsidRPr="00A77DDD">
        <w:rPr>
          <w:rFonts w:ascii="Times New Roman" w:hAnsi="Times New Roman"/>
          <w:sz w:val="24"/>
        </w:rPr>
        <w:t>În prezenta anexă, instruc</w:t>
      </w:r>
      <w:r w:rsidR="00675B3A">
        <w:rPr>
          <w:rFonts w:ascii="Times New Roman" w:hAnsi="Times New Roman"/>
          <w:sz w:val="24"/>
        </w:rPr>
        <w:t>ț</w:t>
      </w:r>
      <w:r w:rsidRPr="00A77DDD">
        <w:rPr>
          <w:rFonts w:ascii="Times New Roman" w:hAnsi="Times New Roman"/>
          <w:sz w:val="24"/>
        </w:rPr>
        <w:t xml:space="preserve">iunile privind raportarea expunerilor mari se aplică </w:t>
      </w:r>
      <w:r w:rsidR="00675B3A">
        <w:rPr>
          <w:rFonts w:ascii="Times New Roman" w:hAnsi="Times New Roman"/>
          <w:sz w:val="24"/>
        </w:rPr>
        <w:t>ș</w:t>
      </w:r>
      <w:r w:rsidRPr="00A77DDD">
        <w:rPr>
          <w:rFonts w:ascii="Times New Roman" w:hAnsi="Times New Roman"/>
          <w:sz w:val="24"/>
        </w:rPr>
        <w:t xml:space="preserve">i în cazul raportării expunerilor semnificative prevăzute la articolele </w:t>
      </w:r>
      <w:r w:rsidRPr="007F3773">
        <w:rPr>
          <w:rFonts w:ascii="Times New Roman" w:hAnsi="Times New Roman"/>
          <w:sz w:val="24"/>
        </w:rPr>
        <w:t>9</w:t>
      </w:r>
      <w:r w:rsidRPr="00A77DDD">
        <w:rPr>
          <w:rFonts w:ascii="Times New Roman" w:hAnsi="Times New Roman"/>
          <w:sz w:val="24"/>
        </w:rPr>
        <w:t xml:space="preserve"> </w:t>
      </w:r>
      <w:r w:rsidR="00675B3A">
        <w:rPr>
          <w:rFonts w:ascii="Times New Roman" w:hAnsi="Times New Roman"/>
          <w:sz w:val="24"/>
        </w:rPr>
        <w:t>ș</w:t>
      </w:r>
      <w:r w:rsidRPr="00A77DDD">
        <w:rPr>
          <w:rFonts w:ascii="Times New Roman" w:hAnsi="Times New Roman"/>
          <w:sz w:val="24"/>
        </w:rPr>
        <w:t xml:space="preserve">i </w:t>
      </w:r>
      <w:r w:rsidRPr="007F3773">
        <w:rPr>
          <w:rFonts w:ascii="Times New Roman" w:hAnsi="Times New Roman"/>
          <w:sz w:val="24"/>
        </w:rPr>
        <w:t>11</w:t>
      </w:r>
      <w:r w:rsidRPr="00A77DDD">
        <w:rPr>
          <w:rFonts w:ascii="Times New Roman" w:hAnsi="Times New Roman"/>
          <w:sz w:val="24"/>
        </w:rPr>
        <w:t>, în conformitate cu domeniul de aplicare definit la articolele respective.</w:t>
      </w:r>
    </w:p>
    <w:p w:rsidR="003105C6" w:rsidRPr="00A77DDD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3" w:name="_Toc393461954"/>
      <w:bookmarkStart w:id="14" w:name="_Toc524012845"/>
      <w:r w:rsidRPr="00A77DDD">
        <w:rPr>
          <w:rFonts w:ascii="Times New Roman" w:hAnsi="Times New Roman"/>
          <w:b/>
          <w:sz w:val="24"/>
          <w:u w:val="none"/>
        </w:rPr>
        <w:t xml:space="preserve">Domeniul de aplicare </w:t>
      </w:r>
      <w:r w:rsidR="00675B3A">
        <w:rPr>
          <w:rFonts w:ascii="Times New Roman" w:hAnsi="Times New Roman"/>
          <w:b/>
          <w:sz w:val="24"/>
          <w:u w:val="none"/>
        </w:rPr>
        <w:t>ș</w:t>
      </w:r>
      <w:r w:rsidRPr="00A77DDD">
        <w:rPr>
          <w:rFonts w:ascii="Times New Roman" w:hAnsi="Times New Roman"/>
          <w:b/>
          <w:sz w:val="24"/>
          <w:u w:val="none"/>
        </w:rPr>
        <w:t>i nivelul raportării LE</w:t>
      </w:r>
      <w:bookmarkEnd w:id="13"/>
      <w:bookmarkEnd w:id="14"/>
    </w:p>
    <w:p w:rsidR="000F13EA" w:rsidRPr="005D4995" w:rsidRDefault="000F13EA" w:rsidP="005D4995">
      <w:pPr>
        <w:pStyle w:val="InstructionsText2"/>
        <w:numPr>
          <w:ilvl w:val="0"/>
          <w:numId w:val="27"/>
        </w:numPr>
        <w:rPr>
          <w:rFonts w:eastAsia="Arial"/>
        </w:rPr>
      </w:pPr>
      <w:r w:rsidRPr="00A77DDD">
        <w:t>Pentru a raporta, pe bază individuală, informa</w:t>
      </w:r>
      <w:r w:rsidR="00675B3A">
        <w:t>ț</w:t>
      </w:r>
      <w:r w:rsidRPr="00A77DDD">
        <w:t>ii privind expunerile mari fa</w:t>
      </w:r>
      <w:r w:rsidR="00675B3A">
        <w:t>ț</w:t>
      </w:r>
      <w:r w:rsidRPr="00A77DDD">
        <w:t>ă de clien</w:t>
      </w:r>
      <w:r w:rsidR="00675B3A">
        <w:t>ț</w:t>
      </w:r>
      <w:r w:rsidRPr="00A77DDD">
        <w:t>i sau grupuri de clien</w:t>
      </w:r>
      <w:r w:rsidR="00675B3A">
        <w:t>ț</w:t>
      </w:r>
      <w:r w:rsidRPr="00A77DDD">
        <w:t>i afla</w:t>
      </w:r>
      <w:r w:rsidR="00675B3A">
        <w:t>ț</w:t>
      </w:r>
      <w:r w:rsidRPr="00A77DDD">
        <w:t xml:space="preserve">i în legătură, în conformitate cu articolul </w:t>
      </w:r>
      <w:r w:rsidRPr="007F3773">
        <w:t>394</w:t>
      </w:r>
      <w:r w:rsidRPr="00A77DDD">
        <w:t xml:space="preserve"> alineatul (</w:t>
      </w:r>
      <w:r w:rsidRPr="007F3773">
        <w:t>1</w:t>
      </w:r>
      <w:r w:rsidRPr="00A77DDD">
        <w:t xml:space="preserve">) din Regulamentul (UE) nr. </w:t>
      </w:r>
      <w:r w:rsidRPr="007F3773">
        <w:t>575</w:t>
      </w:r>
      <w:r w:rsidRPr="00A77DDD">
        <w:t>/</w:t>
      </w:r>
      <w:r w:rsidRPr="007F3773">
        <w:t>2013</w:t>
      </w:r>
      <w:r w:rsidRPr="00A77DDD">
        <w:t xml:space="preserve"> («CRR»), institu</w:t>
      </w:r>
      <w:r w:rsidR="00675B3A">
        <w:t>ț</w:t>
      </w:r>
      <w:r w:rsidRPr="00A77DDD">
        <w:t>iile utilizează formularele LE</w:t>
      </w:r>
      <w:r w:rsidRPr="007F3773">
        <w:t>1</w:t>
      </w:r>
      <w:r w:rsidRPr="00A77DDD">
        <w:t>, LE</w:t>
      </w:r>
      <w:r w:rsidRPr="007F3773">
        <w:t>2</w:t>
      </w:r>
      <w:r w:rsidRPr="00A77DDD">
        <w:t xml:space="preserve"> </w:t>
      </w:r>
      <w:r w:rsidR="00675B3A">
        <w:t>ș</w:t>
      </w:r>
      <w:r w:rsidRPr="00A77DDD">
        <w:t>i LE</w:t>
      </w:r>
      <w:r w:rsidRPr="007F3773">
        <w:t>3</w:t>
      </w:r>
      <w:r w:rsidRPr="00A77DDD">
        <w:t xml:space="preserve">. </w:t>
      </w:r>
    </w:p>
    <w:p w:rsidR="00B0191A" w:rsidRPr="00A77DDD" w:rsidRDefault="000F13EA" w:rsidP="005D4995">
      <w:pPr>
        <w:pStyle w:val="InstructionsText2"/>
        <w:rPr>
          <w:rFonts w:eastAsia="Arial"/>
        </w:rPr>
      </w:pPr>
      <w:r w:rsidRPr="00A77DDD">
        <w:t>Pentru a raporta, pe bază consolidată, informa</w:t>
      </w:r>
      <w:r w:rsidR="00675B3A">
        <w:t>ț</w:t>
      </w:r>
      <w:r w:rsidRPr="00A77DDD">
        <w:t>ii privind expunerile mari fa</w:t>
      </w:r>
      <w:r w:rsidR="00675B3A">
        <w:t>ț</w:t>
      </w:r>
      <w:r w:rsidRPr="00A77DDD">
        <w:t>ă de clien</w:t>
      </w:r>
      <w:r w:rsidR="00675B3A">
        <w:t>ț</w:t>
      </w:r>
      <w:r w:rsidRPr="00A77DDD">
        <w:t>i sau grupuri de clien</w:t>
      </w:r>
      <w:r w:rsidR="00675B3A">
        <w:t>ț</w:t>
      </w:r>
      <w:r w:rsidRPr="00A77DDD">
        <w:t>i afla</w:t>
      </w:r>
      <w:r w:rsidR="00675B3A">
        <w:t>ț</w:t>
      </w:r>
      <w:r w:rsidRPr="00A77DDD">
        <w:t xml:space="preserve">i în legătură, în conformitate cu articolul </w:t>
      </w:r>
      <w:r w:rsidRPr="007F3773">
        <w:t>394</w:t>
      </w:r>
      <w:r w:rsidRPr="00A77DDD">
        <w:t xml:space="preserve"> alineatul (</w:t>
      </w:r>
      <w:r w:rsidRPr="007F3773">
        <w:t>1</w:t>
      </w:r>
      <w:r w:rsidRPr="00A77DDD">
        <w:t>) din CRR, institu</w:t>
      </w:r>
      <w:r w:rsidR="00675B3A">
        <w:t>ț</w:t>
      </w:r>
      <w:r w:rsidRPr="00A77DDD">
        <w:t>iile-mamă dintr-un stat membru utilizează formularele LE</w:t>
      </w:r>
      <w:r w:rsidRPr="007F3773">
        <w:t>1</w:t>
      </w:r>
      <w:r w:rsidRPr="00A77DDD">
        <w:t>, LE</w:t>
      </w:r>
      <w:r w:rsidRPr="007F3773">
        <w:t>2</w:t>
      </w:r>
      <w:r w:rsidRPr="00A77DDD">
        <w:t xml:space="preserve"> </w:t>
      </w:r>
      <w:r w:rsidR="00675B3A">
        <w:t>ș</w:t>
      </w:r>
      <w:r w:rsidRPr="00A77DDD">
        <w:t>i LE</w:t>
      </w:r>
      <w:r w:rsidRPr="007F3773">
        <w:t>3</w:t>
      </w:r>
      <w:r w:rsidRPr="00A77DDD">
        <w:t xml:space="preserve">. </w:t>
      </w:r>
    </w:p>
    <w:p w:rsidR="00B0191A" w:rsidRPr="00A77DDD" w:rsidRDefault="00A11FB0" w:rsidP="005D4995">
      <w:pPr>
        <w:pStyle w:val="InstructionsText2"/>
        <w:rPr>
          <w:rFonts w:eastAsia="Arial"/>
        </w:rPr>
      </w:pPr>
      <w:r w:rsidRPr="00A77DDD">
        <w:t xml:space="preserve">Trebuie raportate toate expunerile mari definite în conformitate cu articolul </w:t>
      </w:r>
      <w:r w:rsidRPr="007F3773">
        <w:t>392</w:t>
      </w:r>
      <w:r w:rsidRPr="00A77DDD">
        <w:t xml:space="preserve"> din CRR, inclusiv expunerile mari care nu sunt luate în considerare pentru respectarea limitelor expunerilor mari stabilite la articolul </w:t>
      </w:r>
      <w:r w:rsidRPr="007F3773">
        <w:t>395</w:t>
      </w:r>
      <w:r w:rsidRPr="00A77DDD">
        <w:t xml:space="preserve"> din CRR. </w:t>
      </w:r>
    </w:p>
    <w:p w:rsidR="00B0191A" w:rsidRPr="00A77DDD" w:rsidRDefault="001C7BF0" w:rsidP="005D4995">
      <w:pPr>
        <w:pStyle w:val="InstructionsText2"/>
        <w:rPr>
          <w:rFonts w:eastAsia="Arial"/>
        </w:rPr>
      </w:pPr>
      <w:r w:rsidRPr="00A77DDD">
        <w:t>Pentru a raporta, pe bază consolidată, informa</w:t>
      </w:r>
      <w:r w:rsidR="00675B3A">
        <w:t>ț</w:t>
      </w:r>
      <w:r w:rsidRPr="00A77DDD">
        <w:t xml:space="preserve">ii privind cele mai mari </w:t>
      </w:r>
      <w:r w:rsidRPr="007F3773">
        <w:t>20</w:t>
      </w:r>
      <w:r w:rsidRPr="00A77DDD">
        <w:t xml:space="preserve"> de expuneri fa</w:t>
      </w:r>
      <w:r w:rsidR="00675B3A">
        <w:t>ț</w:t>
      </w:r>
      <w:r w:rsidRPr="00A77DDD">
        <w:t>ă de clien</w:t>
      </w:r>
      <w:r w:rsidR="00675B3A">
        <w:t>ț</w:t>
      </w:r>
      <w:r w:rsidRPr="00A77DDD">
        <w:t>i sau grupuri de clien</w:t>
      </w:r>
      <w:r w:rsidR="00675B3A">
        <w:t>ț</w:t>
      </w:r>
      <w:r w:rsidRPr="00A77DDD">
        <w:t>i afla</w:t>
      </w:r>
      <w:r w:rsidR="00675B3A">
        <w:t>ț</w:t>
      </w:r>
      <w:r w:rsidRPr="00A77DDD">
        <w:t xml:space="preserve">i în legătură, în conformitate cu articolul </w:t>
      </w:r>
      <w:r w:rsidRPr="007F3773">
        <w:t>394</w:t>
      </w:r>
      <w:r w:rsidRPr="00A77DDD">
        <w:t xml:space="preserve"> alineatul (</w:t>
      </w:r>
      <w:r w:rsidRPr="007F3773">
        <w:t>1</w:t>
      </w:r>
      <w:r w:rsidRPr="00A77DDD">
        <w:t>) ultima teză din CRR, institu</w:t>
      </w:r>
      <w:r w:rsidR="00675B3A">
        <w:t>ț</w:t>
      </w:r>
      <w:r w:rsidRPr="00A77DDD">
        <w:t>iile-mamă dintr-un stat membru care fac obiectul păr</w:t>
      </w:r>
      <w:r w:rsidR="00675B3A">
        <w:t>ț</w:t>
      </w:r>
      <w:r w:rsidRPr="00A77DDD">
        <w:t xml:space="preserve">ii a treia titlul II capitolul </w:t>
      </w:r>
      <w:r w:rsidRPr="007F3773">
        <w:t>3</w:t>
      </w:r>
      <w:r w:rsidRPr="00A77DDD">
        <w:t xml:space="preserve"> din CRR trebuie să utilizeze formularele LE</w:t>
      </w:r>
      <w:r w:rsidRPr="007F3773">
        <w:t>1</w:t>
      </w:r>
      <w:r w:rsidRPr="00A77DDD">
        <w:t>, LE</w:t>
      </w:r>
      <w:r w:rsidRPr="007F3773">
        <w:t>2</w:t>
      </w:r>
      <w:r w:rsidRPr="00A77DDD">
        <w:t xml:space="preserve"> </w:t>
      </w:r>
      <w:r w:rsidR="00675B3A">
        <w:t>ș</w:t>
      </w:r>
      <w:r w:rsidRPr="00A77DDD">
        <w:t>i LE</w:t>
      </w:r>
      <w:r w:rsidRPr="007F3773">
        <w:t>3</w:t>
      </w:r>
      <w:r w:rsidRPr="00A77DDD">
        <w:t xml:space="preserve">. Valoarea expunerii care este rezultatul scăderii sumei înscrise în </w:t>
      </w:r>
      <w:r w:rsidR="00675B3A">
        <w:br/>
      </w:r>
      <w:r w:rsidRPr="00A77DDD">
        <w:t xml:space="preserve">coloana </w:t>
      </w:r>
      <w:r w:rsidRPr="007F3773">
        <w:t>320</w:t>
      </w:r>
      <w:r w:rsidRPr="00A77DDD">
        <w:t xml:space="preserve"> («Cuantumuri exceptate») din formularul LE</w:t>
      </w:r>
      <w:r w:rsidRPr="007F3773">
        <w:t>2</w:t>
      </w:r>
      <w:r w:rsidRPr="00A77DDD">
        <w:t xml:space="preserve"> din suma de la coloana </w:t>
      </w:r>
      <w:r w:rsidRPr="007F3773">
        <w:t>210</w:t>
      </w:r>
      <w:r w:rsidRPr="00A77DDD">
        <w:t xml:space="preserve"> («Total») din acela</w:t>
      </w:r>
      <w:r w:rsidR="00675B3A">
        <w:t>ș</w:t>
      </w:r>
      <w:r w:rsidRPr="00A77DDD">
        <w:t xml:space="preserve">i formular reprezintă cuantumul care se utilizează pentru determinarea acestor cele mai mari </w:t>
      </w:r>
      <w:r w:rsidRPr="007F3773">
        <w:t>20</w:t>
      </w:r>
      <w:r w:rsidRPr="00A77DDD">
        <w:t xml:space="preserve"> de expuneri. </w:t>
      </w:r>
    </w:p>
    <w:p w:rsidR="00B0191A" w:rsidRPr="00A77DDD" w:rsidRDefault="00C1644D" w:rsidP="005D4995">
      <w:pPr>
        <w:pStyle w:val="InstructionsText2"/>
        <w:rPr>
          <w:rFonts w:eastAsia="Arial"/>
        </w:rPr>
      </w:pPr>
      <w:r w:rsidRPr="00A77DDD">
        <w:t>Pentru a raporta, pe bază consolidată, informa</w:t>
      </w:r>
      <w:r w:rsidR="00675B3A">
        <w:t>ț</w:t>
      </w:r>
      <w:r w:rsidRPr="00A77DDD">
        <w:t>ii privind cele mai mari zece expuneri fa</w:t>
      </w:r>
      <w:r w:rsidR="00675B3A">
        <w:t>ț</w:t>
      </w:r>
      <w:r w:rsidRPr="00A77DDD">
        <w:t>ă de institu</w:t>
      </w:r>
      <w:r w:rsidR="00675B3A">
        <w:t>ț</w:t>
      </w:r>
      <w:r w:rsidRPr="00A77DDD">
        <w:t xml:space="preserve">ii </w:t>
      </w:r>
      <w:r w:rsidR="00675B3A">
        <w:t>ș</w:t>
      </w:r>
      <w:r w:rsidRPr="00A77DDD">
        <w:t>i cele mai mari zece expuneri fa</w:t>
      </w:r>
      <w:r w:rsidR="00675B3A">
        <w:t>ț</w:t>
      </w:r>
      <w:r w:rsidRPr="00A77DDD">
        <w:t>ă de entită</w:t>
      </w:r>
      <w:r w:rsidR="00675B3A">
        <w:t>ț</w:t>
      </w:r>
      <w:r w:rsidRPr="00A77DDD">
        <w:t xml:space="preserve">i din sectorul financiar nereglementate, în conformitate cu articolul </w:t>
      </w:r>
      <w:r w:rsidRPr="007F3773">
        <w:t>394</w:t>
      </w:r>
      <w:r w:rsidRPr="00A77DDD">
        <w:t xml:space="preserve"> alineatul (</w:t>
      </w:r>
      <w:r w:rsidRPr="007F3773">
        <w:t>2</w:t>
      </w:r>
      <w:r w:rsidRPr="00A77DDD">
        <w:t>) literele (a)-(d) din CRR, institu</w:t>
      </w:r>
      <w:r w:rsidR="00675B3A">
        <w:t>ț</w:t>
      </w:r>
      <w:r w:rsidRPr="00A77DDD">
        <w:t>iile-mamă dintr-un stat membru trebuie să utilizeze formularele LE</w:t>
      </w:r>
      <w:r w:rsidRPr="007F3773">
        <w:t>1</w:t>
      </w:r>
      <w:r w:rsidRPr="00A77DDD">
        <w:t>, LE</w:t>
      </w:r>
      <w:r w:rsidRPr="007F3773">
        <w:t>2</w:t>
      </w:r>
      <w:r w:rsidRPr="00A77DDD">
        <w:t xml:space="preserve"> </w:t>
      </w:r>
      <w:r w:rsidR="00675B3A">
        <w:t>ș</w:t>
      </w:r>
      <w:r w:rsidRPr="00A77DDD">
        <w:t>i LE</w:t>
      </w:r>
      <w:r w:rsidRPr="007F3773">
        <w:t>3</w:t>
      </w:r>
      <w:r w:rsidRPr="00A77DDD">
        <w:t>. Pentru raportarea structurii scaden</w:t>
      </w:r>
      <w:r w:rsidR="00675B3A">
        <w:t>ț</w:t>
      </w:r>
      <w:r w:rsidRPr="00A77DDD">
        <w:t xml:space="preserve">elor pentru aceste expuneri în conformitate cu articolul </w:t>
      </w:r>
      <w:r w:rsidRPr="007F3773">
        <w:t>394</w:t>
      </w:r>
      <w:r w:rsidRPr="00A77DDD">
        <w:t xml:space="preserve"> alineatul (</w:t>
      </w:r>
      <w:r w:rsidRPr="007F3773">
        <w:t>2</w:t>
      </w:r>
      <w:r w:rsidRPr="00A77DDD">
        <w:t>) litera (e) din CRR, institu</w:t>
      </w:r>
      <w:r w:rsidR="00675B3A">
        <w:t>ț</w:t>
      </w:r>
      <w:r w:rsidRPr="00A77DDD">
        <w:t>iile-mamă dintr-un stat membru trebuie să utilizeze formularele LE</w:t>
      </w:r>
      <w:r w:rsidRPr="007F3773">
        <w:t>4</w:t>
      </w:r>
      <w:r w:rsidRPr="00A77DDD">
        <w:t xml:space="preserve"> </w:t>
      </w:r>
      <w:r w:rsidR="00675B3A">
        <w:t>ș</w:t>
      </w:r>
      <w:r w:rsidRPr="00A77DDD">
        <w:t>i LE</w:t>
      </w:r>
      <w:r w:rsidRPr="007F3773">
        <w:t>5</w:t>
      </w:r>
      <w:r w:rsidRPr="00A77DDD">
        <w:t>. Valoarea expunerii calculată în coloana</w:t>
      </w:r>
      <w:r w:rsidR="00675B3A">
        <w:t> </w:t>
      </w:r>
      <w:r w:rsidRPr="007F3773">
        <w:t>210</w:t>
      </w:r>
      <w:r w:rsidRPr="00A77DDD">
        <w:t xml:space="preserve"> («Total») din formularul LE</w:t>
      </w:r>
      <w:r w:rsidRPr="007F3773">
        <w:t>2</w:t>
      </w:r>
      <w:r w:rsidRPr="00A77DDD">
        <w:t xml:space="preserve"> reprezintă cuantumul care se utilizează pentru a determina cele mai mari </w:t>
      </w:r>
      <w:r w:rsidRPr="007F3773">
        <w:t>20</w:t>
      </w:r>
      <w:r w:rsidRPr="00A77DDD">
        <w:t xml:space="preserve"> de expuneri.</w:t>
      </w:r>
    </w:p>
    <w:p w:rsidR="00B0191A" w:rsidRPr="00A77DDD" w:rsidRDefault="001E0F83" w:rsidP="005D4995">
      <w:pPr>
        <w:pStyle w:val="InstructionsText2"/>
        <w:rPr>
          <w:rFonts w:eastAsia="Arial"/>
        </w:rPr>
      </w:pPr>
      <w:r w:rsidRPr="00A77DDD">
        <w:t xml:space="preserve">Datele referitoare la expunerile mari </w:t>
      </w:r>
      <w:r w:rsidR="00675B3A">
        <w:t>ș</w:t>
      </w:r>
      <w:r w:rsidRPr="00A77DDD">
        <w:t>i la cele mai mari expuneri relevante fa</w:t>
      </w:r>
      <w:r w:rsidR="00675B3A">
        <w:t>ț</w:t>
      </w:r>
      <w:r w:rsidRPr="00A77DDD">
        <w:t>ă de grupurile de clien</w:t>
      </w:r>
      <w:r w:rsidR="00675B3A">
        <w:t>ț</w:t>
      </w:r>
      <w:r w:rsidRPr="00A77DDD">
        <w:t>i afla</w:t>
      </w:r>
      <w:r w:rsidR="00675B3A">
        <w:t>ț</w:t>
      </w:r>
      <w:r w:rsidRPr="00A77DDD">
        <w:t xml:space="preserve">i în legătură </w:t>
      </w:r>
      <w:r w:rsidR="00675B3A">
        <w:t>ș</w:t>
      </w:r>
      <w:r w:rsidRPr="00A77DDD">
        <w:t>i de clien</w:t>
      </w:r>
      <w:r w:rsidR="00675B3A">
        <w:t>ț</w:t>
      </w:r>
      <w:r w:rsidRPr="00A77DDD">
        <w:t>i individuali care nu apar</w:t>
      </w:r>
      <w:r w:rsidR="00675B3A">
        <w:t>ț</w:t>
      </w:r>
      <w:r w:rsidRPr="00A77DDD">
        <w:t>in unui grup de clien</w:t>
      </w:r>
      <w:r w:rsidR="00675B3A">
        <w:t>ț</w:t>
      </w:r>
      <w:r w:rsidRPr="00A77DDD">
        <w:t>i afla</w:t>
      </w:r>
      <w:r w:rsidR="00675B3A">
        <w:t>ț</w:t>
      </w:r>
      <w:r w:rsidRPr="00A77DDD">
        <w:t>i în legătură sunt raportate în formularul LE</w:t>
      </w:r>
      <w:r w:rsidRPr="007F3773">
        <w:t>2</w:t>
      </w:r>
      <w:r w:rsidRPr="00A77DDD">
        <w:t xml:space="preserve"> (în care expunerea fa</w:t>
      </w:r>
      <w:r w:rsidR="00675B3A">
        <w:t>ț</w:t>
      </w:r>
      <w:r w:rsidRPr="00A77DDD">
        <w:t>ă de un grup de clien</w:t>
      </w:r>
      <w:r w:rsidR="00675B3A">
        <w:t>ț</w:t>
      </w:r>
      <w:r w:rsidRPr="00A77DDD">
        <w:t>i afla</w:t>
      </w:r>
      <w:r w:rsidR="00675B3A">
        <w:t>ț</w:t>
      </w:r>
      <w:r w:rsidRPr="00A77DDD">
        <w:t xml:space="preserve">i în legătură se raportează ca o singură expunere). </w:t>
      </w:r>
    </w:p>
    <w:p w:rsidR="00B0191A" w:rsidRPr="00A77DDD" w:rsidRDefault="008A4511" w:rsidP="005D4995">
      <w:pPr>
        <w:pStyle w:val="InstructionsText2"/>
        <w:rPr>
          <w:rFonts w:eastAsia="Arial"/>
        </w:rPr>
      </w:pPr>
      <w:r w:rsidRPr="00A77DDD">
        <w:t>Institu</w:t>
      </w:r>
      <w:r w:rsidR="00675B3A">
        <w:t>ț</w:t>
      </w:r>
      <w:r w:rsidRPr="00A77DDD">
        <w:t>iile trebuie să raporteze în formularul LE</w:t>
      </w:r>
      <w:r w:rsidRPr="007F3773">
        <w:t>3</w:t>
      </w:r>
      <w:r w:rsidRPr="00A77DDD">
        <w:t xml:space="preserve"> datele referitoare la expunerile fa</w:t>
      </w:r>
      <w:r w:rsidR="00675B3A">
        <w:t>ț</w:t>
      </w:r>
      <w:r w:rsidRPr="00A77DDD">
        <w:t>ă de clien</w:t>
      </w:r>
      <w:r w:rsidR="00675B3A">
        <w:t>ț</w:t>
      </w:r>
      <w:r w:rsidRPr="00A77DDD">
        <w:t>ii individuali apar</w:t>
      </w:r>
      <w:r w:rsidR="00675B3A">
        <w:t>ț</w:t>
      </w:r>
      <w:r w:rsidRPr="00A77DDD">
        <w:t>inând grupurilor de clien</w:t>
      </w:r>
      <w:r w:rsidR="00675B3A">
        <w:t>ț</w:t>
      </w:r>
      <w:r w:rsidRPr="00A77DDD">
        <w:t>i afla</w:t>
      </w:r>
      <w:r w:rsidR="00675B3A">
        <w:t>ț</w:t>
      </w:r>
      <w:r w:rsidRPr="00A77DDD">
        <w:t>i în legătură care sunt raportate în formularul LE</w:t>
      </w:r>
      <w:r w:rsidRPr="007F3773">
        <w:t>2</w:t>
      </w:r>
      <w:r w:rsidRPr="00A77DDD">
        <w:t>. Raportarea unei expuneri fa</w:t>
      </w:r>
      <w:r w:rsidR="00675B3A">
        <w:t>ț</w:t>
      </w:r>
      <w:r w:rsidRPr="00A77DDD">
        <w:t>ă de un client individual în formularul LE</w:t>
      </w:r>
      <w:r w:rsidRPr="007F3773">
        <w:t>2</w:t>
      </w:r>
      <w:r w:rsidRPr="00A77DDD">
        <w:t xml:space="preserve"> nu trebuie repetată în formularul LE</w:t>
      </w:r>
      <w:r w:rsidRPr="007F3773">
        <w:t>3</w:t>
      </w:r>
      <w:r w:rsidRPr="00A77DDD">
        <w:t xml:space="preserve">. </w:t>
      </w:r>
    </w:p>
    <w:p w:rsidR="00DA54E3" w:rsidRPr="00A77DDD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5" w:name="_Toc393461955"/>
      <w:bookmarkStart w:id="16" w:name="_Toc524012846"/>
      <w:r w:rsidRPr="00A77DDD">
        <w:rPr>
          <w:rFonts w:ascii="Times New Roman" w:hAnsi="Times New Roman"/>
          <w:b/>
          <w:sz w:val="24"/>
          <w:u w:val="none"/>
        </w:rPr>
        <w:t>Structura formularului LE</w:t>
      </w:r>
      <w:bookmarkEnd w:id="15"/>
      <w:bookmarkEnd w:id="16"/>
    </w:p>
    <w:p w:rsidR="00A11EC0" w:rsidRPr="00A77DDD" w:rsidRDefault="00B945FE" w:rsidP="005D4995">
      <w:pPr>
        <w:pStyle w:val="InstructionsText2"/>
        <w:rPr>
          <w:rFonts w:eastAsia="Arial"/>
        </w:rPr>
      </w:pPr>
      <w:r w:rsidRPr="00A77DDD">
        <w:t>Coloanele din formularul LE</w:t>
      </w:r>
      <w:r w:rsidRPr="007F3773">
        <w:t>1</w:t>
      </w:r>
      <w:r w:rsidRPr="00A77DDD">
        <w:t xml:space="preserve"> prezintă informa</w:t>
      </w:r>
      <w:r w:rsidR="00675B3A">
        <w:t>ț</w:t>
      </w:r>
      <w:r w:rsidRPr="00A77DDD">
        <w:t>iile privind identificarea clien</w:t>
      </w:r>
      <w:r w:rsidR="00675B3A">
        <w:t>ț</w:t>
      </w:r>
      <w:r w:rsidRPr="00A77DDD">
        <w:t>ilor individuali sau a grupurilor de clien</w:t>
      </w:r>
      <w:r w:rsidR="00675B3A">
        <w:t>ț</w:t>
      </w:r>
      <w:r w:rsidRPr="00A77DDD">
        <w:t>i afla</w:t>
      </w:r>
      <w:r w:rsidR="00675B3A">
        <w:t>ț</w:t>
      </w:r>
      <w:r w:rsidRPr="00A77DDD">
        <w:t>i în legătură fa</w:t>
      </w:r>
      <w:r w:rsidR="00675B3A">
        <w:t>ț</w:t>
      </w:r>
      <w:r w:rsidRPr="00A77DDD">
        <w:t>ă de care o institu</w:t>
      </w:r>
      <w:r w:rsidR="00675B3A">
        <w:t>ț</w:t>
      </w:r>
      <w:r w:rsidRPr="00A77DDD">
        <w:t>ie are o expunere.</w:t>
      </w:r>
    </w:p>
    <w:p w:rsidR="00B0191A" w:rsidRPr="00A77DDD" w:rsidRDefault="009362E7" w:rsidP="005D4995">
      <w:pPr>
        <w:pStyle w:val="InstructionsText2"/>
        <w:rPr>
          <w:rFonts w:eastAsia="Arial"/>
        </w:rPr>
      </w:pPr>
      <w:r w:rsidRPr="00A77DDD">
        <w:t>Coloanele din formularele LE</w:t>
      </w:r>
      <w:r w:rsidRPr="007F3773">
        <w:t>2</w:t>
      </w:r>
      <w:r w:rsidRPr="00A77DDD">
        <w:t xml:space="preserve"> </w:t>
      </w:r>
      <w:r w:rsidR="00675B3A">
        <w:t>ș</w:t>
      </w:r>
      <w:r w:rsidRPr="00A77DDD">
        <w:t>i LE</w:t>
      </w:r>
      <w:r w:rsidRPr="007F3773">
        <w:t>3</w:t>
      </w:r>
      <w:r w:rsidRPr="00A77DDD">
        <w:t xml:space="preserve"> prezintă următoarele seturi de informa</w:t>
      </w:r>
      <w:r w:rsidR="00675B3A">
        <w:t>ț</w:t>
      </w:r>
      <w:r w:rsidRPr="00A77DDD">
        <w:t xml:space="preserve">ii:   </w:t>
      </w:r>
    </w:p>
    <w:p w:rsidR="00B0191A" w:rsidRPr="00A77DDD" w:rsidRDefault="001E0F83" w:rsidP="005D4995">
      <w:pPr>
        <w:pStyle w:val="InstructionsText2"/>
        <w:numPr>
          <w:ilvl w:val="1"/>
          <w:numId w:val="15"/>
        </w:numPr>
        <w:rPr>
          <w:rFonts w:eastAsia="Arial"/>
        </w:rPr>
      </w:pPr>
      <w:r w:rsidRPr="00A77DDD">
        <w:t xml:space="preserve">valoarea expunerii înainte de aplicarea exceptărilor </w:t>
      </w:r>
      <w:r w:rsidR="00675B3A">
        <w:t>ș</w:t>
      </w:r>
      <w:r w:rsidRPr="00A77DDD">
        <w:t xml:space="preserve">i înainte de a se lua în considerare efectul diminuării riscului de credit, inclusiv expuneri directe, expuneri indirecte </w:t>
      </w:r>
      <w:r w:rsidR="00675B3A">
        <w:t>ș</w:t>
      </w:r>
      <w:r w:rsidRPr="00A77DDD">
        <w:t>i expuneri suplimentare care decurg din tranzac</w:t>
      </w:r>
      <w:r w:rsidR="00675B3A">
        <w:t>ț</w:t>
      </w:r>
      <w:r w:rsidRPr="00A77DDD">
        <w:t>ii care implică o expunere fa</w:t>
      </w:r>
      <w:r w:rsidR="00675B3A">
        <w:t>ț</w:t>
      </w:r>
      <w:r w:rsidRPr="00A77DDD">
        <w:t>ă de active-suport;</w:t>
      </w:r>
    </w:p>
    <w:p w:rsidR="00B0191A" w:rsidRPr="00A77DDD" w:rsidRDefault="001E0F83" w:rsidP="005D4995">
      <w:pPr>
        <w:pStyle w:val="InstructionsText2"/>
        <w:numPr>
          <w:ilvl w:val="1"/>
          <w:numId w:val="15"/>
        </w:numPr>
        <w:rPr>
          <w:rFonts w:eastAsia="Arial"/>
        </w:rPr>
      </w:pPr>
      <w:r w:rsidRPr="00A77DDD">
        <w:t xml:space="preserve">efectul exceptărilor </w:t>
      </w:r>
      <w:r w:rsidR="00675B3A">
        <w:t>ș</w:t>
      </w:r>
      <w:r w:rsidRPr="00A77DDD">
        <w:t>i al tehnicilor de diminuare a riscului de credit;</w:t>
      </w:r>
    </w:p>
    <w:p w:rsidR="00B0191A" w:rsidRPr="00A77DDD" w:rsidRDefault="001E0F83" w:rsidP="005D4995">
      <w:pPr>
        <w:pStyle w:val="InstructionsText2"/>
        <w:numPr>
          <w:ilvl w:val="1"/>
          <w:numId w:val="15"/>
        </w:numPr>
        <w:rPr>
          <w:rFonts w:eastAsia="Arial"/>
        </w:rPr>
      </w:pPr>
      <w:r w:rsidRPr="00A77DDD">
        <w:t xml:space="preserve">valoarea expunerii după aplicarea exceptărilor </w:t>
      </w:r>
      <w:r w:rsidR="00675B3A">
        <w:t>ș</w:t>
      </w:r>
      <w:r w:rsidRPr="00A77DDD">
        <w:t>i după ce a fost luat în considerare efectul diminuării riscului de credit, calculat în sensul articolului</w:t>
      </w:r>
      <w:r w:rsidR="00675B3A">
        <w:t> </w:t>
      </w:r>
      <w:r w:rsidRPr="007F3773">
        <w:t>395</w:t>
      </w:r>
      <w:r w:rsidRPr="00A77DDD">
        <w:t xml:space="preserve"> alineatul (</w:t>
      </w:r>
      <w:r w:rsidRPr="007F3773">
        <w:t>1</w:t>
      </w:r>
      <w:r w:rsidRPr="00A77DDD">
        <w:t xml:space="preserve">) din CRR. </w:t>
      </w:r>
    </w:p>
    <w:p w:rsidR="00B0191A" w:rsidRPr="00A77DDD" w:rsidRDefault="00B4530A" w:rsidP="005D4995">
      <w:pPr>
        <w:pStyle w:val="InstructionsText2"/>
        <w:rPr>
          <w:rFonts w:eastAsia="Arial"/>
        </w:rPr>
      </w:pPr>
      <w:r w:rsidRPr="00A77DDD">
        <w:t>Coloanele din formularele LE</w:t>
      </w:r>
      <w:r w:rsidRPr="007F3773">
        <w:t>4</w:t>
      </w:r>
      <w:r w:rsidRPr="00A77DDD">
        <w:t xml:space="preserve"> </w:t>
      </w:r>
      <w:r w:rsidR="00675B3A">
        <w:t>ș</w:t>
      </w:r>
      <w:r w:rsidRPr="00A77DDD">
        <w:t>i LE</w:t>
      </w:r>
      <w:r w:rsidRPr="007F3773">
        <w:t>5</w:t>
      </w:r>
      <w:r w:rsidRPr="00A77DDD">
        <w:t xml:space="preserve"> prezintă informa</w:t>
      </w:r>
      <w:r w:rsidR="00675B3A">
        <w:t>ț</w:t>
      </w:r>
      <w:r w:rsidRPr="00A77DDD">
        <w:t>ii cu privire la tran</w:t>
      </w:r>
      <w:r w:rsidR="00675B3A">
        <w:t>ș</w:t>
      </w:r>
      <w:r w:rsidRPr="00A77DDD">
        <w:t>a de scaden</w:t>
      </w:r>
      <w:r w:rsidR="00675B3A">
        <w:t>ț</w:t>
      </w:r>
      <w:r w:rsidRPr="00A77DDD">
        <w:t>ă în care sunt alocate cuantumurile care se preconizează că vor deveni scadente pentru cele mai mari zece expuneri fa</w:t>
      </w:r>
      <w:r w:rsidR="00675B3A">
        <w:t>ț</w:t>
      </w:r>
      <w:r w:rsidRPr="00A77DDD">
        <w:t>ă de institu</w:t>
      </w:r>
      <w:r w:rsidR="00675B3A">
        <w:t>ț</w:t>
      </w:r>
      <w:r w:rsidRPr="00A77DDD">
        <w:t xml:space="preserve">ii, precum </w:t>
      </w:r>
      <w:r w:rsidR="00675B3A">
        <w:t>ș</w:t>
      </w:r>
      <w:r w:rsidRPr="00A77DDD">
        <w:t xml:space="preserve">i pentru cele mai mari </w:t>
      </w:r>
      <w:r w:rsidR="007F30AB">
        <w:br/>
      </w:r>
      <w:r w:rsidRPr="00A77DDD">
        <w:t>zece expuneri fa</w:t>
      </w:r>
      <w:r w:rsidR="00675B3A">
        <w:t>ț</w:t>
      </w:r>
      <w:r w:rsidRPr="00A77DDD">
        <w:t>ă de entită</w:t>
      </w:r>
      <w:r w:rsidR="00675B3A">
        <w:t>ț</w:t>
      </w:r>
      <w:r w:rsidRPr="00A77DDD">
        <w:t xml:space="preserve">i din sectorul financiar nereglementate. </w:t>
      </w:r>
    </w:p>
    <w:p w:rsidR="006443CC" w:rsidRPr="00A77DDD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7" w:name="_Toc393461956"/>
      <w:bookmarkStart w:id="18" w:name="_Toc524012847"/>
      <w:r w:rsidRPr="00A77DDD">
        <w:rPr>
          <w:rFonts w:ascii="Times New Roman" w:hAnsi="Times New Roman"/>
          <w:b/>
          <w:sz w:val="24"/>
          <w:u w:val="none"/>
        </w:rPr>
        <w:t>Defini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 xml:space="preserve">ii </w:t>
      </w:r>
      <w:r w:rsidR="00675B3A">
        <w:rPr>
          <w:rFonts w:ascii="Times New Roman" w:hAnsi="Times New Roman"/>
          <w:b/>
          <w:sz w:val="24"/>
          <w:u w:val="none"/>
        </w:rPr>
        <w:t>ș</w:t>
      </w:r>
      <w:r w:rsidRPr="00A77DDD">
        <w:rPr>
          <w:rFonts w:ascii="Times New Roman" w:hAnsi="Times New Roman"/>
          <w:b/>
          <w:sz w:val="24"/>
          <w:u w:val="none"/>
        </w:rPr>
        <w:t>i instruc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iuni generale în scopul raportării LE</w:t>
      </w:r>
      <w:bookmarkEnd w:id="17"/>
      <w:bookmarkEnd w:id="18"/>
    </w:p>
    <w:p w:rsidR="001E0F83" w:rsidRPr="00A77DDD" w:rsidRDefault="00B945FE" w:rsidP="005D4995">
      <w:pPr>
        <w:pStyle w:val="InstructionsText2"/>
        <w:rPr>
          <w:rFonts w:eastAsia="Arial"/>
        </w:rPr>
      </w:pPr>
      <w:r w:rsidRPr="00A77DDD">
        <w:t>Termenul «grup de clien</w:t>
      </w:r>
      <w:r w:rsidR="00675B3A">
        <w:t>ț</w:t>
      </w:r>
      <w:r w:rsidRPr="00A77DDD">
        <w:t>i afla</w:t>
      </w:r>
      <w:r w:rsidR="00675B3A">
        <w:t>ț</w:t>
      </w:r>
      <w:r w:rsidRPr="00A77DDD">
        <w:t xml:space="preserve">i în legătură» este definit la articolul </w:t>
      </w:r>
      <w:r w:rsidRPr="007F3773">
        <w:t>4</w:t>
      </w:r>
      <w:r w:rsidRPr="00A77DDD">
        <w:t xml:space="preserve"> alineatul (</w:t>
      </w:r>
      <w:r w:rsidRPr="007F3773">
        <w:t>1</w:t>
      </w:r>
      <w:r w:rsidRPr="00A77DDD">
        <w:t xml:space="preserve">) punctul </w:t>
      </w:r>
      <w:r w:rsidRPr="007F3773">
        <w:t>39</w:t>
      </w:r>
      <w:r w:rsidRPr="00A77DDD">
        <w:t xml:space="preserve"> din CRR.</w:t>
      </w:r>
    </w:p>
    <w:p w:rsidR="00B0191A" w:rsidRPr="00A77DDD" w:rsidRDefault="00915A9C" w:rsidP="005D4995">
      <w:pPr>
        <w:pStyle w:val="InstructionsText2"/>
        <w:rPr>
          <w:rFonts w:eastAsia="Arial"/>
        </w:rPr>
      </w:pPr>
      <w:r w:rsidRPr="00A77DDD">
        <w:t>«Entită</w:t>
      </w:r>
      <w:r w:rsidR="00675B3A">
        <w:t>ț</w:t>
      </w:r>
      <w:r w:rsidRPr="00A77DDD">
        <w:t xml:space="preserve">ile din sectorul financiar nereglementate» sunt definite la articolul </w:t>
      </w:r>
      <w:r w:rsidRPr="007F3773">
        <w:t>142</w:t>
      </w:r>
      <w:r w:rsidRPr="00A77DDD">
        <w:t xml:space="preserve"> </w:t>
      </w:r>
      <w:r w:rsidR="007F30AB">
        <w:br/>
      </w:r>
      <w:r w:rsidRPr="00A77DDD">
        <w:t>alineatul (</w:t>
      </w:r>
      <w:r w:rsidRPr="007F3773">
        <w:t>1</w:t>
      </w:r>
      <w:r w:rsidRPr="00A77DDD">
        <w:t xml:space="preserve">) punctul </w:t>
      </w:r>
      <w:r w:rsidRPr="007F3773">
        <w:t>5</w:t>
      </w:r>
      <w:r w:rsidRPr="00A77DDD">
        <w:t xml:space="preserve"> din CRR.  </w:t>
      </w:r>
    </w:p>
    <w:p w:rsidR="00B0191A" w:rsidRPr="00A77DDD" w:rsidRDefault="00D441A7" w:rsidP="005D4995">
      <w:pPr>
        <w:pStyle w:val="InstructionsText2"/>
        <w:rPr>
          <w:rFonts w:eastAsia="Arial"/>
        </w:rPr>
      </w:pPr>
      <w:r w:rsidRPr="00A77DDD">
        <w:t>«Institu</w:t>
      </w:r>
      <w:r w:rsidR="00675B3A">
        <w:t>ț</w:t>
      </w:r>
      <w:r w:rsidRPr="00A77DDD">
        <w:t xml:space="preserve">iile» sunt definite la articolul </w:t>
      </w:r>
      <w:r w:rsidRPr="007F3773">
        <w:t>4</w:t>
      </w:r>
      <w:r w:rsidRPr="00A77DDD">
        <w:t xml:space="preserve"> alineatul (</w:t>
      </w:r>
      <w:r w:rsidRPr="007F3773">
        <w:t>1</w:t>
      </w:r>
      <w:r w:rsidRPr="00A77DDD">
        <w:t xml:space="preserve">) punctul </w:t>
      </w:r>
      <w:r w:rsidRPr="007F3773">
        <w:t>3</w:t>
      </w:r>
      <w:r w:rsidRPr="00A77DDD">
        <w:t xml:space="preserve"> din CRR.  </w:t>
      </w:r>
    </w:p>
    <w:p w:rsidR="00B0191A" w:rsidRPr="00A77DDD" w:rsidRDefault="009B34D1" w:rsidP="005D4995">
      <w:pPr>
        <w:pStyle w:val="InstructionsText2"/>
        <w:rPr>
          <w:rFonts w:eastAsia="Arial"/>
        </w:rPr>
      </w:pPr>
      <w:r w:rsidRPr="00A77DDD">
        <w:t>Trebuie raportate expunerile fa</w:t>
      </w:r>
      <w:r w:rsidR="00675B3A">
        <w:t>ț</w:t>
      </w:r>
      <w:r w:rsidRPr="00A77DDD">
        <w:t>ă de «asocia</w:t>
      </w:r>
      <w:r w:rsidR="00675B3A">
        <w:t>ț</w:t>
      </w:r>
      <w:r w:rsidRPr="00A77DDD">
        <w:t>iile de drept civil». În plus, institu</w:t>
      </w:r>
      <w:r w:rsidR="00675B3A">
        <w:t>ț</w:t>
      </w:r>
      <w:r w:rsidRPr="00A77DDD">
        <w:t>iile trebuie să adauge cuantumurile creditelor asocia</w:t>
      </w:r>
      <w:r w:rsidR="00675B3A">
        <w:t>ț</w:t>
      </w:r>
      <w:r w:rsidRPr="00A77DDD">
        <w:t>iei de drept civil la gradul de îndatorare al fiecărui partener. Expunerile fa</w:t>
      </w:r>
      <w:r w:rsidR="00675B3A">
        <w:t>ț</w:t>
      </w:r>
      <w:r w:rsidRPr="00A77DDD">
        <w:t>ă de asocia</w:t>
      </w:r>
      <w:r w:rsidR="00675B3A">
        <w:t>ț</w:t>
      </w:r>
      <w:r w:rsidRPr="00A77DDD">
        <w:t>iile de drept civil care prezintă cote sunt împăr</w:t>
      </w:r>
      <w:r w:rsidR="00675B3A">
        <w:t>ț</w:t>
      </w:r>
      <w:r w:rsidRPr="00A77DDD">
        <w:t>ite sau alocate partenerilor în func</w:t>
      </w:r>
      <w:r w:rsidR="00675B3A">
        <w:t>ț</w:t>
      </w:r>
      <w:r w:rsidRPr="00A77DDD">
        <w:t>ie de cotele lor respective. Anumite construc</w:t>
      </w:r>
      <w:r w:rsidR="00675B3A">
        <w:t>ț</w:t>
      </w:r>
      <w:r w:rsidRPr="00A77DDD">
        <w:t>ii (de exemplu, conturile comune, comunită</w:t>
      </w:r>
      <w:r w:rsidR="00675B3A">
        <w:t>ț</w:t>
      </w:r>
      <w:r w:rsidRPr="00A77DDD">
        <w:t>ile de mo</w:t>
      </w:r>
      <w:r w:rsidR="00675B3A">
        <w:t>ș</w:t>
      </w:r>
      <w:r w:rsidRPr="00A77DDD">
        <w:t>tenitori, împrumuturile în numele unui ter</w:t>
      </w:r>
      <w:r w:rsidR="00675B3A">
        <w:t>ț</w:t>
      </w:r>
      <w:r w:rsidRPr="00A77DDD">
        <w:t>) care func</w:t>
      </w:r>
      <w:r w:rsidR="00675B3A">
        <w:t>ț</w:t>
      </w:r>
      <w:r w:rsidRPr="00A77DDD">
        <w:t>ionează de fapt ca asocia</w:t>
      </w:r>
      <w:r w:rsidR="00675B3A">
        <w:t>ț</w:t>
      </w:r>
      <w:r w:rsidRPr="00A77DDD">
        <w:t xml:space="preserve">ii de drept civil trebuie să fie raportate la fel ca </w:t>
      </w:r>
      <w:r w:rsidR="00675B3A">
        <w:t>ș</w:t>
      </w:r>
      <w:r w:rsidRPr="00A77DDD">
        <w:t xml:space="preserve">i acestea. </w:t>
      </w:r>
    </w:p>
    <w:p w:rsidR="00910E26" w:rsidRPr="00A77DDD" w:rsidRDefault="00D441A7" w:rsidP="005D4995">
      <w:pPr>
        <w:pStyle w:val="InstructionsText2"/>
        <w:rPr>
          <w:rFonts w:eastAsia="Arial"/>
        </w:rPr>
      </w:pPr>
      <w:r w:rsidRPr="00A77DDD">
        <w:t xml:space="preserve">Activele </w:t>
      </w:r>
      <w:r w:rsidR="00675B3A">
        <w:t>ș</w:t>
      </w:r>
      <w:r w:rsidRPr="00A77DDD">
        <w:t>i elementele extrabilan</w:t>
      </w:r>
      <w:r w:rsidR="00675B3A">
        <w:t>ț</w:t>
      </w:r>
      <w:r w:rsidRPr="00A77DDD">
        <w:t xml:space="preserve">iere sunt utilizate fără aplicarea ponderilor de risc sau a gradelor de risc, în conformitate cu articolul </w:t>
      </w:r>
      <w:r w:rsidRPr="007F3773">
        <w:t>389</w:t>
      </w:r>
      <w:r w:rsidRPr="00A77DDD">
        <w:t xml:space="preserve"> din CRR. În mod specific, factorii de conversie a creditului nu se aplică elementelor extrabilan</w:t>
      </w:r>
      <w:r w:rsidR="00675B3A">
        <w:t>ț</w:t>
      </w:r>
      <w:r w:rsidRPr="00A77DDD">
        <w:t>iere.</w:t>
      </w:r>
    </w:p>
    <w:p w:rsidR="00B0191A" w:rsidRPr="00A77DDD" w:rsidRDefault="0039317F" w:rsidP="005D4995">
      <w:pPr>
        <w:pStyle w:val="InstructionsText2"/>
        <w:rPr>
          <w:rFonts w:eastAsia="Arial"/>
        </w:rPr>
      </w:pPr>
      <w:r w:rsidRPr="00A77DDD">
        <w:t xml:space="preserve"> «Expunerile» sunt definite la articolul </w:t>
      </w:r>
      <w:r w:rsidRPr="007F3773">
        <w:t>389</w:t>
      </w:r>
      <w:r w:rsidRPr="00A77DDD">
        <w:t xml:space="preserve"> din CRR: </w:t>
      </w:r>
    </w:p>
    <w:p w:rsidR="00B0191A" w:rsidRPr="00A77DDD" w:rsidRDefault="001243C8" w:rsidP="005D4995">
      <w:pPr>
        <w:pStyle w:val="InstructionsText2"/>
        <w:numPr>
          <w:ilvl w:val="1"/>
          <w:numId w:val="15"/>
        </w:numPr>
        <w:rPr>
          <w:rFonts w:eastAsia="Arial"/>
        </w:rPr>
      </w:pPr>
      <w:r w:rsidRPr="00A77DDD">
        <w:t>orice activ sau element extrabilan</w:t>
      </w:r>
      <w:r w:rsidR="00675B3A">
        <w:t>ț</w:t>
      </w:r>
      <w:r w:rsidRPr="00A77DDD">
        <w:t>ier din portofoliul de tranzac</w:t>
      </w:r>
      <w:r w:rsidR="00675B3A">
        <w:t>ț</w:t>
      </w:r>
      <w:r w:rsidRPr="00A77DDD">
        <w:t xml:space="preserve">ionare </w:t>
      </w:r>
      <w:r w:rsidR="007F30AB">
        <w:br/>
      </w:r>
      <w:r w:rsidR="00675B3A">
        <w:t>ș</w:t>
      </w:r>
      <w:r w:rsidRPr="00A77DDD">
        <w:t>i din afara acestuia, inclusiv elementele men</w:t>
      </w:r>
      <w:r w:rsidR="00675B3A">
        <w:t>ț</w:t>
      </w:r>
      <w:r w:rsidRPr="00A77DDD">
        <w:t xml:space="preserve">ionate la articolul </w:t>
      </w:r>
      <w:r w:rsidRPr="007F3773">
        <w:t>400</w:t>
      </w:r>
      <w:r w:rsidRPr="00A77DDD">
        <w:t xml:space="preserve"> din CRR, dar cu excep</w:t>
      </w:r>
      <w:r w:rsidR="00675B3A">
        <w:t>ț</w:t>
      </w:r>
      <w:r w:rsidRPr="00A77DDD">
        <w:t>ia elementelor care intră sub inciden</w:t>
      </w:r>
      <w:r w:rsidR="00675B3A">
        <w:t>ț</w:t>
      </w:r>
      <w:r w:rsidRPr="00A77DDD">
        <w:t xml:space="preserve">a articolului </w:t>
      </w:r>
      <w:r w:rsidRPr="007F3773">
        <w:t>390</w:t>
      </w:r>
      <w:r w:rsidRPr="00A77DDD">
        <w:t xml:space="preserve"> alineatul (</w:t>
      </w:r>
      <w:r w:rsidRPr="007F3773">
        <w:t>6</w:t>
      </w:r>
      <w:r w:rsidRPr="00A77DDD">
        <w:t xml:space="preserve">) literele (a)-(d) din CRR; </w:t>
      </w:r>
    </w:p>
    <w:p w:rsidR="00B0191A" w:rsidRPr="00A77DDD" w:rsidRDefault="00AB5AE4" w:rsidP="005D4995">
      <w:pPr>
        <w:pStyle w:val="InstructionsText2"/>
        <w:numPr>
          <w:ilvl w:val="1"/>
          <w:numId w:val="15"/>
        </w:numPr>
        <w:rPr>
          <w:rFonts w:eastAsia="Arial"/>
        </w:rPr>
      </w:pPr>
      <w:r w:rsidRPr="00A77DDD">
        <w:t xml:space="preserve">«expunerile indirecte» sunt expunerile alocate mai degrabă garantului </w:t>
      </w:r>
      <w:r w:rsidR="009826DB">
        <w:br/>
      </w:r>
      <w:r w:rsidRPr="00A77DDD">
        <w:t>sau emitentului garan</w:t>
      </w:r>
      <w:r w:rsidR="00675B3A">
        <w:t>ț</w:t>
      </w:r>
      <w:r w:rsidRPr="00A77DDD">
        <w:t xml:space="preserve">iei reale decât debitorului imediat în conformitate cu articolul </w:t>
      </w:r>
      <w:r w:rsidRPr="007F3773">
        <w:t>403</w:t>
      </w:r>
      <w:r w:rsidRPr="00A77DDD">
        <w:t xml:space="preserve"> din CRR. [</w:t>
      </w:r>
      <w:r w:rsidRPr="00A77DDD">
        <w:rPr>
          <w:i/>
        </w:rPr>
        <w:t>Defini</w:t>
      </w:r>
      <w:r w:rsidR="00675B3A">
        <w:rPr>
          <w:i/>
        </w:rPr>
        <w:t>ț</w:t>
      </w:r>
      <w:r w:rsidRPr="00A77DDD">
        <w:rPr>
          <w:i/>
        </w:rPr>
        <w:t>iile furnizate în prezenta anexă nu se pot abate sub niciun aspect de la defini</w:t>
      </w:r>
      <w:r w:rsidR="00675B3A">
        <w:rPr>
          <w:i/>
        </w:rPr>
        <w:t>ț</w:t>
      </w:r>
      <w:r w:rsidRPr="00A77DDD">
        <w:rPr>
          <w:i/>
        </w:rPr>
        <w:t>iile prevăzute în actul de bază</w:t>
      </w:r>
      <w:r w:rsidRPr="00A77DDD">
        <w:t>.]</w:t>
      </w:r>
    </w:p>
    <w:p w:rsidR="00B0191A" w:rsidRPr="00A77DDD" w:rsidRDefault="00F40CD9" w:rsidP="005D4995">
      <w:pPr>
        <w:pStyle w:val="InstructionsText2"/>
        <w:rPr>
          <w:rFonts w:eastAsia="Arial"/>
        </w:rPr>
      </w:pPr>
      <w:r w:rsidRPr="00A77DDD">
        <w:t>Expunerile fa</w:t>
      </w:r>
      <w:r w:rsidR="00675B3A">
        <w:t>ț</w:t>
      </w:r>
      <w:r w:rsidRPr="00A77DDD">
        <w:t>ă de grupuri de clien</w:t>
      </w:r>
      <w:r w:rsidR="00675B3A">
        <w:t>ț</w:t>
      </w:r>
      <w:r w:rsidRPr="00A77DDD">
        <w:t>i afla</w:t>
      </w:r>
      <w:r w:rsidR="00675B3A">
        <w:t>ț</w:t>
      </w:r>
      <w:r w:rsidRPr="00A77DDD">
        <w:t xml:space="preserve">i în legătură se calculează în conformitate cu articolul </w:t>
      </w:r>
      <w:r w:rsidRPr="007F3773">
        <w:t>390</w:t>
      </w:r>
      <w:r w:rsidRPr="00A77DDD">
        <w:t xml:space="preserve"> alineatul (</w:t>
      </w:r>
      <w:r w:rsidRPr="007F3773">
        <w:t>5</w:t>
      </w:r>
      <w:r w:rsidRPr="00A77DDD">
        <w:t>).</w:t>
      </w:r>
    </w:p>
    <w:p w:rsidR="0008722B" w:rsidRPr="00A77DDD" w:rsidRDefault="008645CF" w:rsidP="005D4995">
      <w:pPr>
        <w:pStyle w:val="InstructionsText2"/>
        <w:rPr>
          <w:rFonts w:eastAsia="Arial"/>
        </w:rPr>
      </w:pPr>
      <w:r w:rsidRPr="00A77DDD">
        <w:t xml:space="preserve">Se permite luarea în considerare a «acordurilor de compensare» în scopul calculării valorii expunerii aferente expunerilor mari, astfel cum se prevede la articolul </w:t>
      </w:r>
      <w:r w:rsidRPr="007F3773">
        <w:t>390</w:t>
      </w:r>
      <w:r w:rsidRPr="00A77DDD">
        <w:t xml:space="preserve"> alineatele (</w:t>
      </w:r>
      <w:r w:rsidRPr="007F3773">
        <w:t>1</w:t>
      </w:r>
      <w:r w:rsidRPr="00A77DDD">
        <w:t>), (</w:t>
      </w:r>
      <w:r w:rsidRPr="007F3773">
        <w:t>2</w:t>
      </w:r>
      <w:r w:rsidRPr="00A77DDD">
        <w:t xml:space="preserve">) </w:t>
      </w:r>
      <w:r w:rsidR="00675B3A">
        <w:t>ș</w:t>
      </w:r>
      <w:r w:rsidRPr="00A77DDD">
        <w:t>i (</w:t>
      </w:r>
      <w:r w:rsidRPr="007F3773">
        <w:t>3</w:t>
      </w:r>
      <w:r w:rsidRPr="00A77DDD">
        <w:t>) din CRR. Valoarea expunerii unui instrument financiar derivat enumerat în anexa II la CRR se stabile</w:t>
      </w:r>
      <w:r w:rsidR="00675B3A">
        <w:t>ș</w:t>
      </w:r>
      <w:r w:rsidRPr="00A77DDD">
        <w:t xml:space="preserve">te în conformitate cu partea a treia titlul II capitolul </w:t>
      </w:r>
      <w:r w:rsidRPr="007F3773">
        <w:t>6</w:t>
      </w:r>
      <w:r w:rsidRPr="00A77DDD">
        <w:t xml:space="preserve"> din CRR, luându-se în considerare efectele contractelor de nova</w:t>
      </w:r>
      <w:r w:rsidR="00675B3A">
        <w:t>ț</w:t>
      </w:r>
      <w:r w:rsidRPr="00A77DDD">
        <w:t xml:space="preserve">ie </w:t>
      </w:r>
      <w:r w:rsidR="00675B3A">
        <w:t>ș</w:t>
      </w:r>
      <w:r w:rsidRPr="00A77DDD">
        <w:t xml:space="preserve">i ale altor acorduri de compensare în scopul aplicării metodelor respective în conformitate cu partea a treia titlul II capitolul </w:t>
      </w:r>
      <w:r w:rsidRPr="007F3773">
        <w:t>6</w:t>
      </w:r>
      <w:r w:rsidRPr="00A77DDD">
        <w:t xml:space="preserve"> din CRR. În cazul tranzac</w:t>
      </w:r>
      <w:r w:rsidR="00675B3A">
        <w:t>ț</w:t>
      </w:r>
      <w:r w:rsidRPr="00A77DDD">
        <w:t>iilor de răscumpărare, al tranzac</w:t>
      </w:r>
      <w:r w:rsidR="00675B3A">
        <w:t>ț</w:t>
      </w:r>
      <w:r w:rsidRPr="00A77DDD">
        <w:t>iilor de dare sau luare de titluri de valoare sau mărfuri cu împrumut, al tranzac</w:t>
      </w:r>
      <w:r w:rsidR="00675B3A">
        <w:t>ț</w:t>
      </w:r>
      <w:r w:rsidRPr="00A77DDD">
        <w:t xml:space="preserve">iilor cu termen lung de decontare </w:t>
      </w:r>
      <w:r w:rsidR="00675B3A">
        <w:t>ș</w:t>
      </w:r>
      <w:r w:rsidRPr="00A77DDD">
        <w:t>i al tranzac</w:t>
      </w:r>
      <w:r w:rsidR="00675B3A">
        <w:t>ț</w:t>
      </w:r>
      <w:r w:rsidRPr="00A77DDD">
        <w:t xml:space="preserve">iilor de creditare în marjă, valoarea expunerii se poate determina fie în conformitate cu partea a treia titlul II capitolul </w:t>
      </w:r>
      <w:r w:rsidRPr="007F3773">
        <w:t>4</w:t>
      </w:r>
      <w:r w:rsidRPr="00A77DDD">
        <w:t xml:space="preserve">, fie în conformitate cu partea a treia titlul II capitolul </w:t>
      </w:r>
      <w:r w:rsidRPr="007F3773">
        <w:t>6</w:t>
      </w:r>
      <w:r w:rsidRPr="00A77DDD">
        <w:t xml:space="preserve"> din CRR. În conformitate cu articolul </w:t>
      </w:r>
      <w:r w:rsidRPr="007F3773">
        <w:t>296</w:t>
      </w:r>
      <w:r w:rsidRPr="00A77DDD">
        <w:t xml:space="preserve"> din CRR, valoarea expunerii unei singure obliga</w:t>
      </w:r>
      <w:r w:rsidR="00675B3A">
        <w:t>ț</w:t>
      </w:r>
      <w:r w:rsidRPr="00A77DDD">
        <w:t>ii juridice care decurge din acorduri de compensare contractuală între produse diferite cu o contraparte a institu</w:t>
      </w:r>
      <w:r w:rsidR="00675B3A">
        <w:t>ț</w:t>
      </w:r>
      <w:r w:rsidRPr="00A77DDD">
        <w:t xml:space="preserve">iei raportoare se raportează ca «alte angajamente» în </w:t>
      </w:r>
      <w:r w:rsidR="00F163EA">
        <w:br/>
      </w:r>
      <w:r w:rsidRPr="00A77DDD">
        <w:t>formularele LE.</w:t>
      </w:r>
    </w:p>
    <w:p w:rsidR="00AB28E2" w:rsidRPr="00A77DDD" w:rsidRDefault="001E0F83" w:rsidP="005D4995">
      <w:pPr>
        <w:pStyle w:val="InstructionsText2"/>
        <w:rPr>
          <w:rFonts w:eastAsia="Arial"/>
        </w:rPr>
      </w:pPr>
      <w:r w:rsidRPr="00A77DDD">
        <w:t xml:space="preserve">«Valoarea expunerii» se calculează în conformitate cu articolul </w:t>
      </w:r>
      <w:r w:rsidRPr="007F3773">
        <w:t>390</w:t>
      </w:r>
      <w:r w:rsidRPr="00A77DDD">
        <w:t xml:space="preserve"> din CRR.</w:t>
      </w:r>
    </w:p>
    <w:p w:rsidR="00B0191A" w:rsidRPr="00A77DDD" w:rsidRDefault="001E0F83" w:rsidP="005D4995">
      <w:pPr>
        <w:pStyle w:val="InstructionsText2"/>
        <w:rPr>
          <w:rFonts w:eastAsia="Arial"/>
        </w:rPr>
      </w:pPr>
      <w:r w:rsidRPr="00A77DDD">
        <w:t>Efectul aplicării totale sau par</w:t>
      </w:r>
      <w:r w:rsidR="00675B3A">
        <w:t>ț</w:t>
      </w:r>
      <w:r w:rsidRPr="00A77DDD">
        <w:t xml:space="preserve">iale a exceptărilor </w:t>
      </w:r>
      <w:r w:rsidR="00675B3A">
        <w:t>ș</w:t>
      </w:r>
      <w:r w:rsidRPr="00A77DDD">
        <w:t xml:space="preserve">i a tehnicilor eligibile de </w:t>
      </w:r>
      <w:r w:rsidR="00675B3A">
        <w:br/>
      </w:r>
      <w:r w:rsidRPr="00A77DDD">
        <w:t xml:space="preserve">diminuare a riscului de credit în vederea calculării expunerilor în sensul </w:t>
      </w:r>
      <w:r w:rsidR="00675B3A">
        <w:br/>
      </w:r>
      <w:r w:rsidRPr="00A77DDD">
        <w:t xml:space="preserve">articolului </w:t>
      </w:r>
      <w:r w:rsidRPr="007F3773">
        <w:t>395</w:t>
      </w:r>
      <w:r w:rsidRPr="00A77DDD">
        <w:t xml:space="preserve"> alineatul (</w:t>
      </w:r>
      <w:r w:rsidRPr="007F3773">
        <w:t>1</w:t>
      </w:r>
      <w:r w:rsidRPr="00A77DDD">
        <w:t xml:space="preserve">) din CRR este descris la articolele </w:t>
      </w:r>
      <w:r w:rsidRPr="007F3773">
        <w:t>399</w:t>
      </w:r>
      <w:r w:rsidRPr="00A77DDD">
        <w:t>-</w:t>
      </w:r>
      <w:r w:rsidRPr="007F3773">
        <w:t>403</w:t>
      </w:r>
      <w:r w:rsidRPr="00A77DDD">
        <w:t xml:space="preserve"> din CRR. </w:t>
      </w:r>
    </w:p>
    <w:p w:rsidR="00AB28E2" w:rsidRPr="00A77DDD" w:rsidRDefault="0017740A" w:rsidP="005D4995">
      <w:pPr>
        <w:pStyle w:val="InstructionsText2"/>
        <w:rPr>
          <w:rFonts w:eastAsia="Arial"/>
        </w:rPr>
      </w:pPr>
      <w:r w:rsidRPr="00A77DDD">
        <w:t xml:space="preserve">Acordurile reverse repo care fac obiectul raportării pentru expunerile mari sunt raportate în conformitate cu articolul </w:t>
      </w:r>
      <w:r w:rsidRPr="007F3773">
        <w:t>402</w:t>
      </w:r>
      <w:r w:rsidRPr="00A77DDD">
        <w:t xml:space="preserve"> alineatul (</w:t>
      </w:r>
      <w:r w:rsidRPr="007F3773">
        <w:t>3</w:t>
      </w:r>
      <w:r w:rsidRPr="00A77DDD">
        <w:t>) din CRR. Cu condi</w:t>
      </w:r>
      <w:r w:rsidR="00675B3A">
        <w:t>ț</w:t>
      </w:r>
      <w:r w:rsidRPr="00A77DDD">
        <w:t xml:space="preserve">ia respectării criteriilor prevăzute la articolul </w:t>
      </w:r>
      <w:r w:rsidRPr="007F3773">
        <w:t>402</w:t>
      </w:r>
      <w:r w:rsidRPr="00A77DDD">
        <w:t xml:space="preserve"> alineatul (</w:t>
      </w:r>
      <w:r w:rsidRPr="007F3773">
        <w:t>3</w:t>
      </w:r>
      <w:r w:rsidRPr="00A77DDD">
        <w:t>) din CRR, institu</w:t>
      </w:r>
      <w:r w:rsidR="00675B3A">
        <w:t>ț</w:t>
      </w:r>
      <w:r w:rsidRPr="00A77DDD">
        <w:t>ia raportează expunerile mari fa</w:t>
      </w:r>
      <w:r w:rsidR="00675B3A">
        <w:t>ț</w:t>
      </w:r>
      <w:r w:rsidRPr="00A77DDD">
        <w:t>ă de fiecare ter</w:t>
      </w:r>
      <w:r w:rsidR="00675B3A">
        <w:t>ț</w:t>
      </w:r>
      <w:r w:rsidRPr="00A77DDD">
        <w:t xml:space="preserve"> drept cuantum al crean</w:t>
      </w:r>
      <w:r w:rsidR="00675B3A">
        <w:t>ț</w:t>
      </w:r>
      <w:r w:rsidRPr="00A77DDD">
        <w:t>ei pe care contrapartea la tranzac</w:t>
      </w:r>
      <w:r w:rsidR="00675B3A">
        <w:t>ț</w:t>
      </w:r>
      <w:r w:rsidRPr="00A77DDD">
        <w:t>ie o de</w:t>
      </w:r>
      <w:r w:rsidR="00675B3A">
        <w:t>ț</w:t>
      </w:r>
      <w:r w:rsidRPr="00A77DDD">
        <w:t>ine asupra păr</w:t>
      </w:r>
      <w:r w:rsidR="00675B3A">
        <w:t>ț</w:t>
      </w:r>
      <w:r w:rsidRPr="00A77DDD">
        <w:t>ii ter</w:t>
      </w:r>
      <w:r w:rsidR="00675B3A">
        <w:t>ț</w:t>
      </w:r>
      <w:r w:rsidRPr="00A77DDD">
        <w:t xml:space="preserve">e, </w:t>
      </w:r>
      <w:r w:rsidR="00675B3A">
        <w:t>ș</w:t>
      </w:r>
      <w:r w:rsidRPr="00A77DDD">
        <w:t>i nu drept cuantum al expunerii fa</w:t>
      </w:r>
      <w:r w:rsidR="00675B3A">
        <w:t>ț</w:t>
      </w:r>
      <w:r w:rsidRPr="00A77DDD">
        <w:t>ă de contraparte.</w:t>
      </w:r>
    </w:p>
    <w:p w:rsidR="00B0191A" w:rsidRPr="00A77DDD" w:rsidRDefault="00B0191A" w:rsidP="00FD4656">
      <w:pPr>
        <w:rPr>
          <w:rFonts w:eastAsia="Arial"/>
        </w:rPr>
      </w:pPr>
    </w:p>
    <w:p w:rsidR="00C83135" w:rsidRPr="00A77DDD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9" w:name="_Toc393461957"/>
      <w:bookmarkStart w:id="20" w:name="_Toc524012848"/>
      <w:r w:rsidRPr="00A77DDD">
        <w:rPr>
          <w:rFonts w:ascii="Times New Roman" w:hAnsi="Times New Roman"/>
          <w:b/>
          <w:sz w:val="24"/>
          <w:u w:val="none"/>
        </w:rPr>
        <w:t xml:space="preserve">C </w:t>
      </w:r>
      <w:r w:rsidRPr="007F3773">
        <w:rPr>
          <w:rFonts w:ascii="Times New Roman" w:hAnsi="Times New Roman"/>
          <w:b/>
          <w:sz w:val="24"/>
          <w:u w:val="none"/>
        </w:rPr>
        <w:t>26</w:t>
      </w:r>
      <w:r w:rsidRPr="00A77DDD">
        <w:rPr>
          <w:rFonts w:ascii="Times New Roman" w:hAnsi="Times New Roman"/>
          <w:b/>
          <w:sz w:val="24"/>
          <w:u w:val="none"/>
        </w:rPr>
        <w:t>.</w:t>
      </w:r>
      <w:r w:rsidRPr="007F3773">
        <w:rPr>
          <w:rFonts w:ascii="Times New Roman" w:hAnsi="Times New Roman"/>
          <w:b/>
          <w:sz w:val="24"/>
          <w:u w:val="none"/>
        </w:rPr>
        <w:t>00</w:t>
      </w:r>
      <w:r w:rsidRPr="00A77DDD">
        <w:rPr>
          <w:rFonts w:ascii="Times New Roman" w:hAnsi="Times New Roman"/>
          <w:b/>
          <w:sz w:val="24"/>
          <w:u w:val="none"/>
        </w:rPr>
        <w:t xml:space="preserve"> – Formularul LE privind limitele aplicate</w:t>
      </w:r>
      <w:bookmarkEnd w:id="19"/>
      <w:bookmarkEnd w:id="20"/>
    </w:p>
    <w:p w:rsidR="00C83135" w:rsidRPr="00A77DDD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1" w:name="_Toc393461958"/>
      <w:bookmarkStart w:id="22" w:name="_Toc524012849"/>
      <w:r w:rsidRPr="00A77DDD">
        <w:rPr>
          <w:rFonts w:ascii="Times New Roman" w:hAnsi="Times New Roman"/>
          <w:sz w:val="24"/>
        </w:rPr>
        <w:t>Instruc</w:t>
      </w:r>
      <w:r w:rsidR="00675B3A">
        <w:rPr>
          <w:rFonts w:ascii="Times New Roman" w:hAnsi="Times New Roman"/>
          <w:sz w:val="24"/>
        </w:rPr>
        <w:t>ț</w:t>
      </w:r>
      <w:r w:rsidRPr="00A77DDD">
        <w:rPr>
          <w:rFonts w:ascii="Times New Roman" w:hAnsi="Times New Roman"/>
          <w:sz w:val="24"/>
        </w:rPr>
        <w:t>iuni privind anumite rânduri</w:t>
      </w:r>
      <w:bookmarkEnd w:id="21"/>
      <w:bookmarkEnd w:id="22"/>
    </w:p>
    <w:p w:rsidR="00C83135" w:rsidRPr="00A77DDD" w:rsidRDefault="00C83135" w:rsidP="005D4995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A77DDD" w:rsidTr="00C83135">
        <w:tc>
          <w:tcPr>
            <w:tcW w:w="1418" w:type="dxa"/>
            <w:shd w:val="clear" w:color="auto" w:fill="D9D9D9"/>
          </w:tcPr>
          <w:p w:rsidR="00C83135" w:rsidRPr="00A77DDD" w:rsidRDefault="00C83135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Rânduri</w:t>
            </w:r>
          </w:p>
        </w:tc>
        <w:tc>
          <w:tcPr>
            <w:tcW w:w="7620" w:type="dxa"/>
            <w:shd w:val="clear" w:color="auto" w:fill="D9D9D9"/>
          </w:tcPr>
          <w:p w:rsidR="00B0191A" w:rsidRPr="00A77DDD" w:rsidRDefault="00C83135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Referin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 xml:space="preserve">e juridice 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ș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 instruc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iuni</w:t>
            </w:r>
          </w:p>
        </w:tc>
      </w:tr>
      <w:tr w:rsidR="00C83135" w:rsidRPr="00A77DDD" w:rsidTr="00C83135">
        <w:tc>
          <w:tcPr>
            <w:tcW w:w="1418" w:type="dxa"/>
          </w:tcPr>
          <w:p w:rsidR="00C83135" w:rsidRPr="00A77DDD" w:rsidRDefault="00C83135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702E1B" w:rsidRPr="00A77DDD" w:rsidRDefault="00702E1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Non-institu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ii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A77DDD" w:rsidRDefault="002F1033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),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litera (d) punctul (ii),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litera (b) din CRR.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702E1B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Se raportează cuantumul limitei aplicabile pentru alte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decât 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iile. Acest cuantum reprezintă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 % din capitalul eligibil, care este raportat la rândul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226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formularul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anexa I, cu excep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ia cazului în care se aplică un procentaj mai restrictiv în urma aplicării unor măsuri na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ionale în conformitate cu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CRR sau cu actele europene delegate adoptate în conformitate cu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litera (b) din CRR. </w:t>
            </w:r>
          </w:p>
          <w:p w:rsidR="00B0191A" w:rsidRPr="00A77DDD" w:rsidRDefault="002F4A3D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83135" w:rsidRPr="00A77DDD" w:rsidTr="00C83135">
        <w:tc>
          <w:tcPr>
            <w:tcW w:w="1418" w:type="dxa"/>
          </w:tcPr>
          <w:p w:rsidR="00C83135" w:rsidRPr="00A77DDD" w:rsidRDefault="00C83135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C83135" w:rsidRPr="00A77DDD" w:rsidRDefault="001A4F56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Institu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ii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A77DDD" w:rsidRDefault="001A4F56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),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litera (d) punctul (ii),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litera (b) din CRR.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1A4F56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Se raportează cuantumul limitei aplicabile pentru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ile care sunt 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ii. În conformitate cu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) din CRR, acest cuantum trebuie să fie următorul: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F7508F" w:rsidP="005D4995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în cazul în care procentajul de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 % din capitalul eligibil reprezintă mai mult de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150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de milioane EUR [sau o limită mai mică decât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150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de milioane EUR stabilită de autoritatea competentă în conformitate cu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paragraful al treilea din CRR], se raportează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 % din capitalul eligibil;</w:t>
            </w:r>
          </w:p>
          <w:p w:rsidR="00704405" w:rsidRPr="00A77DDD" w:rsidRDefault="00704405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F7508F" w:rsidP="005D4995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în cazul în care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150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de milioane EUR [sau o limită mai mică stabilită de autoritatea competentă în conformitate cu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paragraful al treilea din CRR] reprezintă mai mult de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 % din capitalul eligibil al 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iei, se raportează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150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de milioane EUR (sau limita mai mică, dacă autoritatea competentă a stabilit o astfel de limită). În cazul în care 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ia a stabilit o limită mai mică în ceea ce prive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te capitalul său eligibil, impusă prin dispozi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iile de la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al doilea paragraf din CRR, se raportează limita respectivă. </w:t>
            </w:r>
          </w:p>
          <w:p w:rsidR="007F3F93" w:rsidRPr="00A77DDD" w:rsidRDefault="007F3F93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F3F93" w:rsidRPr="00A77DDD" w:rsidRDefault="002F4A3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Aceste limite pot fi mai stricte în cazul aplicării unor măsuri na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ionale în conformitate cu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6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sau cu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CRR ori cu actele delegate adoptate în conformitate cu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litera (b) din CRR.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C83135" w:rsidRPr="00A77DDD" w:rsidTr="00C83135">
        <w:tc>
          <w:tcPr>
            <w:tcW w:w="1418" w:type="dxa"/>
          </w:tcPr>
          <w:p w:rsidR="00C83135" w:rsidRPr="00A77DDD" w:rsidRDefault="00C83135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702E1B" w:rsidRPr="00A77DDD" w:rsidRDefault="001A4F56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Institu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ii în %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A77DDD" w:rsidRDefault="001A4F56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litera (a) din CRR.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586D84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Cuantumul care trebuie raportat este limita absolută (raportată la rândul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020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) exprimată ca procentaj din capitalul eligibil.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</w:tbl>
    <w:p w:rsidR="00C83135" w:rsidRPr="00A77DDD" w:rsidRDefault="00C83135" w:rsidP="005D4995">
      <w:pPr>
        <w:pStyle w:val="InstructionsText"/>
      </w:pPr>
    </w:p>
    <w:p w:rsidR="00634B45" w:rsidRPr="00A77DDD" w:rsidRDefault="00296D72" w:rsidP="00675B3A">
      <w:pPr>
        <w:pStyle w:val="Instructionsberschrift2"/>
        <w:pageBreakBefore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3" w:name="_Toc393461959"/>
      <w:bookmarkStart w:id="24" w:name="_Toc524012850"/>
      <w:r w:rsidRPr="00A77DDD">
        <w:rPr>
          <w:rFonts w:ascii="Times New Roman" w:hAnsi="Times New Roman"/>
          <w:b/>
          <w:sz w:val="24"/>
          <w:u w:val="none"/>
        </w:rPr>
        <w:t xml:space="preserve">C </w:t>
      </w:r>
      <w:r w:rsidRPr="007F3773">
        <w:rPr>
          <w:rFonts w:ascii="Times New Roman" w:hAnsi="Times New Roman"/>
          <w:b/>
          <w:sz w:val="24"/>
          <w:u w:val="none"/>
        </w:rPr>
        <w:t>27</w:t>
      </w:r>
      <w:r w:rsidRPr="00A77DDD">
        <w:rPr>
          <w:rFonts w:ascii="Times New Roman" w:hAnsi="Times New Roman"/>
          <w:b/>
          <w:sz w:val="24"/>
          <w:u w:val="none"/>
        </w:rPr>
        <w:t>.</w:t>
      </w:r>
      <w:r w:rsidRPr="007F3773">
        <w:rPr>
          <w:rFonts w:ascii="Times New Roman" w:hAnsi="Times New Roman"/>
          <w:b/>
          <w:sz w:val="24"/>
          <w:u w:val="none"/>
        </w:rPr>
        <w:t>00</w:t>
      </w:r>
      <w:r w:rsidRPr="00A77DDD">
        <w:rPr>
          <w:rFonts w:ascii="Times New Roman" w:hAnsi="Times New Roman"/>
          <w:b/>
          <w:sz w:val="24"/>
          <w:u w:val="none"/>
        </w:rPr>
        <w:t xml:space="preserve"> – Identificarea contrapăr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ii (LE</w:t>
      </w:r>
      <w:r w:rsidRPr="007F3773">
        <w:rPr>
          <w:rFonts w:ascii="Times New Roman" w:hAnsi="Times New Roman"/>
          <w:b/>
          <w:sz w:val="24"/>
          <w:u w:val="none"/>
        </w:rPr>
        <w:t>1</w:t>
      </w:r>
      <w:r w:rsidRPr="00A77DDD">
        <w:rPr>
          <w:rFonts w:ascii="Times New Roman" w:hAnsi="Times New Roman"/>
          <w:b/>
          <w:sz w:val="24"/>
          <w:u w:val="none"/>
        </w:rPr>
        <w:t>)</w:t>
      </w:r>
      <w:bookmarkEnd w:id="23"/>
      <w:bookmarkEnd w:id="24"/>
    </w:p>
    <w:p w:rsidR="00634B45" w:rsidRPr="00A77DDD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5" w:name="_Toc393461960"/>
      <w:bookmarkStart w:id="26" w:name="_Toc524012851"/>
      <w:r w:rsidRPr="00A77DDD">
        <w:rPr>
          <w:rFonts w:ascii="Times New Roman" w:hAnsi="Times New Roman"/>
          <w:sz w:val="24"/>
        </w:rPr>
        <w:t>Instruc</w:t>
      </w:r>
      <w:r w:rsidR="00675B3A">
        <w:rPr>
          <w:rFonts w:ascii="Times New Roman" w:hAnsi="Times New Roman"/>
          <w:sz w:val="24"/>
        </w:rPr>
        <w:t>ț</w:t>
      </w:r>
      <w:r w:rsidRPr="00A77DDD">
        <w:rPr>
          <w:rFonts w:ascii="Times New Roman" w:hAnsi="Times New Roman"/>
          <w:sz w:val="24"/>
        </w:rPr>
        <w:t>iuni privind anumite coloane</w:t>
      </w:r>
      <w:bookmarkEnd w:id="25"/>
      <w:bookmarkEnd w:id="26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A77DDD" w:rsidTr="00634B45">
        <w:tc>
          <w:tcPr>
            <w:tcW w:w="1418" w:type="dxa"/>
            <w:shd w:val="clear" w:color="auto" w:fill="D9D9D9"/>
          </w:tcPr>
          <w:p w:rsidR="00634B45" w:rsidRPr="00A77DDD" w:rsidRDefault="00634B45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Coloană</w:t>
            </w:r>
          </w:p>
        </w:tc>
        <w:tc>
          <w:tcPr>
            <w:tcW w:w="7620" w:type="dxa"/>
            <w:shd w:val="clear" w:color="auto" w:fill="D9D9D9"/>
          </w:tcPr>
          <w:p w:rsidR="00634B45" w:rsidRPr="00A77DDD" w:rsidRDefault="00634B45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Referin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 xml:space="preserve">e juridice 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ș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 instruc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iuni</w:t>
            </w:r>
          </w:p>
        </w:tc>
      </w:tr>
      <w:tr w:rsidR="00634B45" w:rsidRPr="00A77DDD" w:rsidTr="00634B45">
        <w:tc>
          <w:tcPr>
            <w:tcW w:w="1418" w:type="dxa"/>
          </w:tcPr>
          <w:p w:rsidR="00634B45" w:rsidRPr="00A77DDD" w:rsidRDefault="00634B45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:rsidR="00634B45" w:rsidRPr="00A77DDD" w:rsidRDefault="00634B45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Identificarea contrapăr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ii: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290EFB" w:rsidRPr="00A77DDD" w:rsidRDefault="0031054B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iile raportează elementele de identificare privind orice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contraparte pentru care sunt prezentate informa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ii în oricare din formularele </w:t>
            </w:r>
            <w:r w:rsidR="007F30AB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C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28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-C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 Identificarea grupului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 nu se raportează, cu excep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ia cazului în care sistemul na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ional de raportare oferă un cod unic pentru un grup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634B45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În conformitate cu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394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) litera (a) din CRR, 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iile raportează elementele de identificare a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fa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ă de care de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in o expunere mare, astfel cum este definită la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392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CRR.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634B45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În conformitate cu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394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) litera (a) din CRR, 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iile raportează elementele de identificare a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fa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ă de care de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in cele mai mari expuneri (în cazurile în care contrapartea este o 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ie sau o entitate din sectorul financiar nereglementată).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CA42A9" w:rsidRPr="00A77DDD" w:rsidTr="00186D4E">
        <w:trPr>
          <w:trHeight w:val="992"/>
        </w:trPr>
        <w:tc>
          <w:tcPr>
            <w:tcW w:w="1418" w:type="dxa"/>
          </w:tcPr>
          <w:p w:rsidR="00CA42A9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CA42A9" w:rsidRPr="00A77DDD" w:rsidRDefault="00CA42A9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Cod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296D72" w:rsidRPr="00A77DDD" w:rsidRDefault="00296D72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Codul este un număr de identificare a rândului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trebuie să fie unic pentru fiecare rând din tabel.</w:t>
            </w:r>
          </w:p>
          <w:p w:rsidR="00296D72" w:rsidRPr="00A77DDD" w:rsidRDefault="00296D72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290EFB" w:rsidRPr="00A77DDD" w:rsidRDefault="00290EFB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Codul trebuie să fie utilizat pentru identificarea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ii individuale. Cu toate acestea, scopul acestei coloane este de a conexa detaliile privind contrapartea din C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27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cu expunerile raportate în C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28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-C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 Codul de grupul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 nu se raportează, cu excep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ia cazului în care sistemul na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ional de raportare oferă un cod unic pentru un grup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legătură. Codurile trebuie utilizate în mod consecvent de-a lungul timpului.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Componen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a codului depinde de sistemul de raportare na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ional, cu excep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ia cazului în care un sistem uniform de codificare este disponibil în Uniune.</w:t>
            </w:r>
          </w:p>
          <w:p w:rsidR="00264B52" w:rsidRPr="00A77DDD" w:rsidRDefault="00264B52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34B45" w:rsidRPr="00A77DDD" w:rsidTr="0039317F">
        <w:trPr>
          <w:trHeight w:val="60"/>
        </w:trPr>
        <w:tc>
          <w:tcPr>
            <w:tcW w:w="1418" w:type="dxa"/>
          </w:tcPr>
          <w:p w:rsidR="00634B45" w:rsidRPr="00A77DDD" w:rsidRDefault="00634B45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634B45" w:rsidRPr="00A77DDD" w:rsidRDefault="00634B45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Denumire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A77DDD" w:rsidRDefault="00634B45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Denumirea corespunde denumirii grupului ori de câte ori se raportează un grup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legătură. În orice alt caz, denumirea corespunde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individuale.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634B45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Pentru un grup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legătură, denumirea care trebuie raportată este denumirea întreprinderii-mamă sau, în cazul în care grupul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 nu are o întreprindere-mamă, trebuie raportată denumirea comercială a grupului.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A77DDD" w:rsidTr="00634B45">
        <w:tc>
          <w:tcPr>
            <w:tcW w:w="1418" w:type="dxa"/>
          </w:tcPr>
          <w:p w:rsidR="00965DED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965DED" w:rsidRPr="00A77DDD" w:rsidRDefault="00965DED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Codul LEI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0191A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Codul de identificare a entită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juridice corespunzător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ii. 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965DED" w:rsidRPr="00A77DDD" w:rsidTr="00634B45">
        <w:tc>
          <w:tcPr>
            <w:tcW w:w="1418" w:type="dxa"/>
          </w:tcPr>
          <w:p w:rsidR="00965DED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:rsidR="00965DED" w:rsidRPr="00A77DDD" w:rsidRDefault="00965DED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Re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edin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a contrapăr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ii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A77DDD" w:rsidRDefault="008927C3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Se utilizează codul ISO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3166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-alpha-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ării de înregistrare a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[inclusiv codurile pseudo-ISO pentru organiza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interna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ionale disponibile în ultima edi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ie a «Vademecumului balan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ei de plă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i» (Balance of Payments Vademecum) publicat de Eurostat)].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Pentru grupurile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legătură, nu se raportează nicio re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edin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ă.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A77DDD" w:rsidTr="00634B45">
        <w:tc>
          <w:tcPr>
            <w:tcW w:w="1418" w:type="dxa"/>
          </w:tcPr>
          <w:p w:rsidR="00965DED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:rsidR="00965DED" w:rsidRPr="00A77DDD" w:rsidRDefault="00965DED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Sectorul contrapăr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ii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Se alocă un sector fiecărei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pe baza claselor din sectorul economic din cadrul FINREP: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470630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(i) bănci centrale;</w:t>
            </w:r>
          </w:p>
          <w:p w:rsidR="00470630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(ii)</w:t>
            </w:r>
            <w:r w:rsidRPr="00A77DDD">
              <w:tab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administra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publice;</w:t>
            </w:r>
          </w:p>
          <w:p w:rsidR="00470630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(iii)</w:t>
            </w:r>
            <w:r w:rsidRPr="00A77DDD">
              <w:tab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de credit;</w:t>
            </w:r>
          </w:p>
          <w:p w:rsidR="00470630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(iv)</w:t>
            </w:r>
            <w:r w:rsidRPr="00A77DDD">
              <w:tab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firme de investi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ii, astfel cum sunt definite la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punctul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CRR;</w:t>
            </w:r>
          </w:p>
          <w:p w:rsidR="00470630" w:rsidRPr="00A77DDD" w:rsidRDefault="00470630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(v)</w:t>
            </w:r>
            <w:r w:rsidRPr="00A77DDD">
              <w:tab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alte societă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financiare (excluzând firmele de investi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ii);</w:t>
            </w:r>
          </w:p>
          <w:p w:rsidR="00470630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(vi)</w:t>
            </w:r>
            <w:r w:rsidRPr="00A77DDD">
              <w:tab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societă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nefinanciare;</w:t>
            </w:r>
          </w:p>
          <w:p w:rsidR="00B0191A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(vii)</w:t>
            </w:r>
            <w:r w:rsidRPr="00A77DDD">
              <w:tab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gospodării.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Pentru grupurile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 nu se raportează niciun sector.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A77DDD" w:rsidTr="00634B45">
        <w:tc>
          <w:tcPr>
            <w:tcW w:w="1418" w:type="dxa"/>
          </w:tcPr>
          <w:p w:rsidR="00965DED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:rsidR="00965DED" w:rsidRPr="00A77DDD" w:rsidRDefault="00965DED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Codul NACE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Pentru sectorul economic, se utilizează codurile NACE (Nomenclature statistique des activités économiques dans l’Union européenne = clasificarea statistică a activită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ilor economice în Uniunea Europeană).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Această coloană se aplică numai pentru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ile care </w:t>
            </w:r>
            <w:r w:rsidR="00864294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sunt «Alte societă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financiare»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«Societă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nefinanciare».  Codurile </w:t>
            </w:r>
            <w:r w:rsidR="00864294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NACE trebuie utilizate pentru «Societă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nefinanciare» cu un singur </w:t>
            </w:r>
            <w:r w:rsidR="00864294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nivel de detaliu (de exemplu «F – Construc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ii”)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pentru «Alte societă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financiare»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cu două niveluri de detaliu, ceea ce oferă informa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separate privind activită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ile de asigurări (de exemplu «K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65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– Asigurări, reasigurări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fonduri de pensii, cu excep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ia asigurărilor sociale obligatorii»). ”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Sectoarele economice pentru «Alte societă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financiare»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«Societă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nefinanciare» sunt clasificate pe baza clasificării FINREP a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Pentru grupurile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în legătură, nu se raportează niciun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cod NACE.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A77DDD" w:rsidTr="00634B45">
        <w:tc>
          <w:tcPr>
            <w:tcW w:w="1418" w:type="dxa"/>
          </w:tcPr>
          <w:p w:rsidR="00965DED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:rsidR="00965DED" w:rsidRPr="00A77DDD" w:rsidRDefault="00965DED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 xml:space="preserve">Tipul de contraparte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965DED" w:rsidP="005D4995">
            <w:pPr>
              <w:pStyle w:val="InstructionsText"/>
              <w:rPr>
                <w:rFonts w:eastAsia="Arial"/>
              </w:rPr>
            </w:pPr>
            <w:r w:rsidRPr="00A77DDD">
              <w:t xml:space="preserve">Articolul </w:t>
            </w:r>
            <w:r w:rsidRPr="007F3773">
              <w:t>394</w:t>
            </w:r>
            <w:r w:rsidRPr="00A77DDD">
              <w:t xml:space="preserve"> alineatul (</w:t>
            </w:r>
            <w:r w:rsidRPr="007F3773">
              <w:t>2</w:t>
            </w:r>
            <w:r w:rsidRPr="00A77DDD">
              <w:t xml:space="preserve">) din CRR. </w:t>
            </w:r>
            <w:r w:rsidRPr="00A77DDD">
              <w:rPr>
                <w:i/>
              </w:rPr>
              <w:t xml:space="preserve"> </w:t>
            </w:r>
          </w:p>
          <w:p w:rsidR="00B0191A" w:rsidRPr="00A77DDD" w:rsidRDefault="00B0191A" w:rsidP="005D4995">
            <w:pPr>
              <w:pStyle w:val="InstructionsText"/>
              <w:rPr>
                <w:rFonts w:eastAsia="Arial"/>
              </w:rPr>
            </w:pPr>
          </w:p>
          <w:p w:rsidR="00B0191A" w:rsidRPr="00A77DDD" w:rsidRDefault="00965DE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Se precizează tipul de contraparte pentru cele mai mari zece expuneri fa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ă de 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ii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cele mai mari zece expuneri fa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ă de entită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din sectorul financiar nereglementate utilizând litera «I» pentru 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sau «U» pentru entită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din sectorul financiar nereglementate. 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634B45" w:rsidRPr="00A77DDD" w:rsidRDefault="00634B45" w:rsidP="0039317F"/>
    <w:p w:rsidR="003105C6" w:rsidRPr="00A77DDD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27" w:name="_Toc393461961"/>
      <w:bookmarkStart w:id="28" w:name="_Toc524012852"/>
      <w:r w:rsidRPr="00A77DDD">
        <w:rPr>
          <w:rFonts w:ascii="Times New Roman" w:hAnsi="Times New Roman"/>
          <w:b/>
          <w:sz w:val="24"/>
          <w:u w:val="none"/>
        </w:rPr>
        <w:t xml:space="preserve">C </w:t>
      </w:r>
      <w:r w:rsidRPr="007F3773">
        <w:rPr>
          <w:rFonts w:ascii="Times New Roman" w:hAnsi="Times New Roman"/>
          <w:b/>
          <w:sz w:val="24"/>
          <w:u w:val="none"/>
        </w:rPr>
        <w:t>28</w:t>
      </w:r>
      <w:r w:rsidRPr="00A77DDD">
        <w:rPr>
          <w:rFonts w:ascii="Times New Roman" w:hAnsi="Times New Roman"/>
          <w:b/>
          <w:sz w:val="24"/>
          <w:u w:val="none"/>
        </w:rPr>
        <w:t>.</w:t>
      </w:r>
      <w:r w:rsidRPr="007F3773">
        <w:rPr>
          <w:rFonts w:ascii="Times New Roman" w:hAnsi="Times New Roman"/>
          <w:b/>
          <w:sz w:val="24"/>
          <w:u w:val="none"/>
        </w:rPr>
        <w:t>00</w:t>
      </w:r>
      <w:r w:rsidRPr="00A77DDD">
        <w:rPr>
          <w:rFonts w:ascii="Times New Roman" w:hAnsi="Times New Roman"/>
          <w:b/>
          <w:sz w:val="24"/>
          <w:u w:val="none"/>
        </w:rPr>
        <w:t xml:space="preserve"> – Expunerile din portofoliul de tranzac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 xml:space="preserve">ionare </w:t>
      </w:r>
      <w:r w:rsidR="00675B3A">
        <w:rPr>
          <w:rFonts w:ascii="Times New Roman" w:hAnsi="Times New Roman"/>
          <w:b/>
          <w:sz w:val="24"/>
          <w:u w:val="none"/>
        </w:rPr>
        <w:t>ș</w:t>
      </w:r>
      <w:r w:rsidRPr="00A77DDD">
        <w:rPr>
          <w:rFonts w:ascii="Times New Roman" w:hAnsi="Times New Roman"/>
          <w:b/>
          <w:sz w:val="24"/>
          <w:u w:val="none"/>
        </w:rPr>
        <w:t>i din afara acestuia (LE</w:t>
      </w:r>
      <w:r w:rsidRPr="007F3773">
        <w:rPr>
          <w:rFonts w:ascii="Times New Roman" w:hAnsi="Times New Roman"/>
          <w:b/>
          <w:sz w:val="24"/>
          <w:u w:val="none"/>
        </w:rPr>
        <w:t>2</w:t>
      </w:r>
      <w:r w:rsidRPr="00A77DDD">
        <w:rPr>
          <w:rFonts w:ascii="Times New Roman" w:hAnsi="Times New Roman"/>
          <w:b/>
          <w:sz w:val="24"/>
          <w:u w:val="none"/>
        </w:rPr>
        <w:t>)</w:t>
      </w:r>
      <w:bookmarkEnd w:id="27"/>
      <w:bookmarkEnd w:id="28"/>
    </w:p>
    <w:p w:rsidR="003105C6" w:rsidRPr="00A77DDD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9" w:name="_Toc308175821"/>
      <w:bookmarkStart w:id="30" w:name="_Toc310414968"/>
      <w:bookmarkStart w:id="31" w:name="_Toc393461962"/>
      <w:bookmarkStart w:id="32" w:name="_Toc524012853"/>
      <w:r w:rsidRPr="00A77DDD">
        <w:rPr>
          <w:rFonts w:ascii="Times New Roman" w:hAnsi="Times New Roman"/>
          <w:sz w:val="24"/>
        </w:rPr>
        <w:t>Instruc</w:t>
      </w:r>
      <w:r w:rsidR="00675B3A">
        <w:rPr>
          <w:rFonts w:ascii="Times New Roman" w:hAnsi="Times New Roman"/>
          <w:sz w:val="24"/>
        </w:rPr>
        <w:t>ț</w:t>
      </w:r>
      <w:r w:rsidRPr="00A77DDD">
        <w:rPr>
          <w:rFonts w:ascii="Times New Roman" w:hAnsi="Times New Roman"/>
          <w:sz w:val="24"/>
        </w:rPr>
        <w:t>iuni privind anumite</w:t>
      </w:r>
      <w:bookmarkEnd w:id="29"/>
      <w:bookmarkEnd w:id="30"/>
      <w:r w:rsidRPr="00A77DDD">
        <w:rPr>
          <w:rFonts w:ascii="Times New Roman" w:hAnsi="Times New Roman"/>
          <w:sz w:val="24"/>
        </w:rPr>
        <w:t xml:space="preserve"> coloane</w:t>
      </w:r>
      <w:bookmarkEnd w:id="31"/>
      <w:bookmarkEnd w:id="32"/>
    </w:p>
    <w:p w:rsidR="00D946DB" w:rsidRPr="00A77DDD" w:rsidRDefault="00D946DB" w:rsidP="005D4995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A77DDD" w:rsidTr="00E17043">
        <w:tc>
          <w:tcPr>
            <w:tcW w:w="1418" w:type="dxa"/>
            <w:shd w:val="clear" w:color="auto" w:fill="D9D9D9"/>
          </w:tcPr>
          <w:p w:rsidR="00D946DB" w:rsidRPr="00A77DDD" w:rsidRDefault="005E7263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Coloană</w:t>
            </w:r>
          </w:p>
        </w:tc>
        <w:tc>
          <w:tcPr>
            <w:tcW w:w="7620" w:type="dxa"/>
            <w:shd w:val="clear" w:color="auto" w:fill="D9D9D9"/>
          </w:tcPr>
          <w:p w:rsidR="00B0191A" w:rsidRPr="00A77DDD" w:rsidRDefault="003105C6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Referin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 xml:space="preserve">e juridice 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ș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 instruc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iuni</w:t>
            </w:r>
          </w:p>
        </w:tc>
      </w:tr>
      <w:tr w:rsidR="00D946DB" w:rsidRPr="00A77DDD" w:rsidTr="00E17043">
        <w:tc>
          <w:tcPr>
            <w:tcW w:w="1418" w:type="dxa"/>
          </w:tcPr>
          <w:p w:rsidR="00D946DB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:rsidR="00CA42A9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:rsidR="00B0191A" w:rsidRPr="00A77DDD" w:rsidRDefault="00394753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Cod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7449CB" w:rsidRPr="00A77DDD" w:rsidRDefault="007449CB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Pentru un grup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legătură, în cazul în care este disponibil un cod unic la nivel na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ional, se raportează acest cod ca fiind codul grupului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legătură. În cazul în care nu există un cod unic la nivel na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ional, codul care se raportează este cel utilizat pentru raportarea expunerilor fa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ă de grupul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în legătură în C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27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7449CB" w:rsidRPr="00A77DDD" w:rsidRDefault="007449CB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Pr="00A77DDD" w:rsidRDefault="007449CB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În cazul în care grupul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în legătură nu are o </w:t>
            </w:r>
            <w:r w:rsidR="007F30AB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întreprindere-mamă, codul care trebuie raportat este codul entită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individuale pe care 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ia o consideră cea mai importantă în cadrul grupului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legătură. În orice alt caz, codul corespunde contrapăr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individuale.</w:t>
            </w:r>
          </w:p>
          <w:p w:rsidR="007449CB" w:rsidRPr="00A77DDD" w:rsidRDefault="007449CB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Pr="00A77DDD" w:rsidRDefault="007449CB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Codurile trebuie utilizate în mod consecvent de-a lungul timpului. </w:t>
            </w:r>
          </w:p>
          <w:p w:rsidR="007449CB" w:rsidRPr="00A77DDD" w:rsidRDefault="007449CB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Pr="00A77DDD" w:rsidRDefault="007449CB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Componen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a codului depinde de sistemul de raportare na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ional, cu excep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ia cazului în care un sistem uniform de codificare este disponibil în UE.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Grup sau individual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ia completează «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» pentru raportarea expunerilor fa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ă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individuali sau «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» pentru raportarea expunerilor fa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ă de grupurile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Tranzac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 xml:space="preserve">ii în care există o expunere la active-suport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7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) din CRR.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5D4995">
              <w:rPr>
                <w:rStyle w:val="FormatvorlageInstructionsTabelleText"/>
                <w:rFonts w:ascii="Times New Roman" w:hAnsi="Times New Roman"/>
                <w:sz w:val="24"/>
              </w:rPr>
              <w:t>În conformitate cu specifica</w:t>
            </w:r>
            <w:r w:rsidR="00675B3A" w:rsidRPr="005D4995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5D4995">
              <w:rPr>
                <w:rStyle w:val="FormatvorlageInstructionsTabelleText"/>
                <w:rFonts w:ascii="Times New Roman" w:hAnsi="Times New Roman"/>
                <w:sz w:val="24"/>
              </w:rPr>
              <w:t>iile tehnice suplimentare ale autorită</w:t>
            </w:r>
            <w:r w:rsidR="00675B3A" w:rsidRPr="005D4995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5D4995">
              <w:rPr>
                <w:rStyle w:val="FormatvorlageInstructionsTabelleText"/>
                <w:rFonts w:ascii="Times New Roman" w:hAnsi="Times New Roman"/>
                <w:sz w:val="24"/>
              </w:rPr>
              <w:t>ilor na</w:t>
            </w:r>
            <w:r w:rsidR="00675B3A" w:rsidRPr="005D4995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5D4995">
              <w:rPr>
                <w:rStyle w:val="FormatvorlageInstructionsTabelleText"/>
                <w:rFonts w:ascii="Times New Roman" w:hAnsi="Times New Roman"/>
                <w:sz w:val="24"/>
              </w:rPr>
              <w:t>ionale competente, în cazul în care institu</w:t>
            </w:r>
            <w:r w:rsidR="00675B3A" w:rsidRPr="005D4995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5D4995">
              <w:rPr>
                <w:rStyle w:val="FormatvorlageInstructionsTabelleText"/>
                <w:rFonts w:ascii="Times New Roman" w:hAnsi="Times New Roman"/>
                <w:sz w:val="24"/>
              </w:rPr>
              <w:t xml:space="preserve">ia are expuneri </w:t>
            </w:r>
            <w:r w:rsidR="005D4995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5D4995">
              <w:rPr>
                <w:rStyle w:val="FormatvorlageInstructionsTabelleText"/>
                <w:rFonts w:ascii="Times New Roman" w:hAnsi="Times New Roman"/>
                <w:sz w:val="24"/>
              </w:rPr>
              <w:t>fa</w:t>
            </w:r>
            <w:r w:rsidR="00675B3A" w:rsidRPr="005D4995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5D4995">
              <w:rPr>
                <w:rStyle w:val="FormatvorlageInstructionsTabelleText"/>
                <w:rFonts w:ascii="Times New Roman" w:hAnsi="Times New Roman"/>
                <w:sz w:val="24"/>
              </w:rPr>
              <w:t>ă de contrapartea raportată prin intermediul unei tranzac</w:t>
            </w:r>
            <w:r w:rsidR="00675B3A" w:rsidRPr="005D4995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5D4995">
              <w:rPr>
                <w:rStyle w:val="FormatvorlageInstructionsTabelleText"/>
                <w:rFonts w:ascii="Times New Roman" w:hAnsi="Times New Roman"/>
                <w:sz w:val="24"/>
              </w:rPr>
              <w:t xml:space="preserve">ii în care </w:t>
            </w:r>
            <w:r w:rsidR="005D4995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5D4995">
              <w:rPr>
                <w:rStyle w:val="FormatvorlageInstructionsTabelleText"/>
                <w:rFonts w:ascii="Times New Roman" w:hAnsi="Times New Roman"/>
                <w:sz w:val="24"/>
              </w:rPr>
              <w:t xml:space="preserve">există o expunere la active-suport, se raportează «Da»; în caz contrar, </w:t>
            </w:r>
            <w:r w:rsidR="005D4995">
              <w:rPr>
                <w:rStyle w:val="FormatvorlageInstructionsTabelleText"/>
                <w:rFonts w:ascii="Times New Roman" w:hAnsi="Times New Roman"/>
                <w:sz w:val="24"/>
              </w:rPr>
              <w:br/>
            </w:r>
            <w:r w:rsidRPr="005D4995">
              <w:rPr>
                <w:rStyle w:val="FormatvorlageInstructionsTabelleText"/>
                <w:rFonts w:ascii="Times New Roman" w:hAnsi="Times New Roman"/>
                <w:sz w:val="24"/>
              </w:rPr>
              <w:t xml:space="preserve">e raportează «Nu». </w:t>
            </w:r>
          </w:p>
          <w:p w:rsidR="005D4995" w:rsidRPr="005D4995" w:rsidRDefault="005D4995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Expuneri ini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iale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Articolele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24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389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392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din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C92E09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 raportează în acest set de coloane expunerile ini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iale corespunzătoare expunerilor directe, expunerilor indirecte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expunerilor suplimentare care decurg din tranzac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 în care există o expunere la active-suport.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t xml:space="preserve">Conform articolului </w:t>
            </w:r>
            <w:r w:rsidRPr="007F3773">
              <w:t>389</w:t>
            </w:r>
            <w:r w:rsidRPr="00A77DDD">
              <w:t xml:space="preserve">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 xml:space="preserve">, activele </w:t>
            </w:r>
            <w:r w:rsidR="00675B3A">
              <w:t>ș</w:t>
            </w:r>
            <w:r w:rsidRPr="00A77DDD">
              <w:t>i elementele extrabilan</w:t>
            </w:r>
            <w:r w:rsidR="00675B3A">
              <w:t>ț</w:t>
            </w:r>
            <w:r w:rsidRPr="00A77DDD">
              <w:t>iere se folosesc fără aplicarea ponderilor de risc sau a gradelor de risc. În mod specific, factorii de conversie a creditului nu se aplică elementelor extrabilan</w:t>
            </w:r>
            <w:r w:rsidR="00675B3A">
              <w:t>ț</w:t>
            </w:r>
            <w:r w:rsidRPr="00A77DDD">
              <w:t xml:space="preserve">iere.  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t>Aceste coloane con</w:t>
            </w:r>
            <w:r w:rsidR="00675B3A">
              <w:t>ț</w:t>
            </w:r>
            <w:r w:rsidRPr="00A77DDD">
              <w:t>in expunerea ini</w:t>
            </w:r>
            <w:r w:rsidR="00675B3A">
              <w:t>ț</w:t>
            </w:r>
            <w:r w:rsidRPr="00A77DDD">
              <w:t xml:space="preserve">ială, </w:t>
            </w:r>
            <w:r w:rsidR="00675B3A">
              <w:t>ș</w:t>
            </w:r>
            <w:r w:rsidRPr="00A77DDD">
              <w:t xml:space="preserve">i anume valoarea expunerii fără a se </w:t>
            </w:r>
            <w:r w:rsidR="00675B3A">
              <w:t>ț</w:t>
            </w:r>
            <w:r w:rsidRPr="00A77DDD">
              <w:t xml:space="preserve">ine seama de ajustările de valoare </w:t>
            </w:r>
            <w:r w:rsidR="00675B3A">
              <w:t>ș</w:t>
            </w:r>
            <w:r w:rsidRPr="00A77DDD">
              <w:t xml:space="preserve">i de provizioane, care se deduc în coloana </w:t>
            </w:r>
            <w:r w:rsidRPr="007F3773">
              <w:t>210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C92E09" w:rsidP="005D4995">
            <w:pPr>
              <w:pStyle w:val="InstructionsText"/>
            </w:pPr>
            <w:r w:rsidRPr="00A77DDD">
              <w:t>Defini</w:t>
            </w:r>
            <w:r w:rsidR="00675B3A">
              <w:t>ț</w:t>
            </w:r>
            <w:r w:rsidRPr="00A77DDD">
              <w:t xml:space="preserve">ia valorii expunerii </w:t>
            </w:r>
            <w:r w:rsidR="00675B3A">
              <w:t>ș</w:t>
            </w:r>
            <w:r w:rsidRPr="00A77DDD">
              <w:t xml:space="preserve">i calculul acesteia sunt prevăzute la articolele </w:t>
            </w:r>
            <w:r w:rsidRPr="007F3773">
              <w:t>389</w:t>
            </w:r>
            <w:r w:rsidRPr="00A77DDD">
              <w:t xml:space="preserve"> </w:t>
            </w:r>
            <w:r w:rsidR="00675B3A">
              <w:t>ș</w:t>
            </w:r>
            <w:r w:rsidRPr="00A77DDD">
              <w:t xml:space="preserve">i </w:t>
            </w:r>
            <w:r w:rsidRPr="007F3773">
              <w:t>390</w:t>
            </w:r>
            <w:r w:rsidRPr="00A77DDD">
              <w:t xml:space="preserve">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 xml:space="preserve">. Evaluarea activelor </w:t>
            </w:r>
            <w:r w:rsidR="00675B3A">
              <w:t>ș</w:t>
            </w:r>
            <w:r w:rsidRPr="00A77DDD">
              <w:t>i a elementelor extrabilan</w:t>
            </w:r>
            <w:r w:rsidR="00675B3A">
              <w:t>ț</w:t>
            </w:r>
            <w:r w:rsidRPr="00A77DDD">
              <w:t>iere se efectuează în conformitate cu cadrul contabil care reglementează institu</w:t>
            </w:r>
            <w:r w:rsidR="00675B3A">
              <w:t>ț</w:t>
            </w:r>
            <w:r w:rsidRPr="00A77DDD">
              <w:t xml:space="preserve">ia, conform articolului </w:t>
            </w:r>
            <w:r w:rsidRPr="007F3773">
              <w:t>24</w:t>
            </w:r>
            <w:r w:rsidRPr="00A77DDD">
              <w:t xml:space="preserve">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t xml:space="preserve">Expunerile deduse din fondurile proprii, care nu reprezintă expuneri în conformitate cu articolul </w:t>
            </w:r>
            <w:r w:rsidRPr="007F3773">
              <w:t>390</w:t>
            </w:r>
            <w:r w:rsidRPr="00A77DDD">
              <w:t xml:space="preserve"> alineatul (</w:t>
            </w:r>
            <w:r w:rsidRPr="007F3773">
              <w:t>6</w:t>
            </w:r>
            <w:r w:rsidRPr="00A77DDD">
              <w:t xml:space="preserve">) litera (e), sunt incluse în aceste coloane. Aceste expuneri se deduc în coloana </w:t>
            </w:r>
            <w:r w:rsidRPr="007F3773">
              <w:t>200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t>Expunerile men</w:t>
            </w:r>
            <w:r w:rsidR="00675B3A">
              <w:t>ț</w:t>
            </w:r>
            <w:r w:rsidRPr="00A77DDD">
              <w:t xml:space="preserve">ionate la articolul </w:t>
            </w:r>
            <w:r w:rsidRPr="007F3773">
              <w:t>390</w:t>
            </w:r>
            <w:r w:rsidRPr="00A77DDD">
              <w:t xml:space="preserve"> alineatul (</w:t>
            </w:r>
            <w:r w:rsidRPr="007F3773">
              <w:t>6</w:t>
            </w:r>
            <w:r w:rsidRPr="00A77DDD">
              <w:t xml:space="preserve">) literele (a)-(d)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 xml:space="preserve"> nu sunt incluse în aceste coloane. 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BB3751" w:rsidP="005D4995">
            <w:pPr>
              <w:pStyle w:val="InstructionsText"/>
              <w:rPr>
                <w:rFonts w:eastAsia="Arial"/>
              </w:rPr>
            </w:pPr>
            <w:r w:rsidRPr="00A77DDD">
              <w:t>Expunerile ini</w:t>
            </w:r>
            <w:r w:rsidR="00675B3A">
              <w:t>ț</w:t>
            </w:r>
            <w:r w:rsidRPr="00A77DDD">
              <w:t xml:space="preserve">iale includ orice activ </w:t>
            </w:r>
            <w:r w:rsidR="00675B3A">
              <w:t>ș</w:t>
            </w:r>
            <w:r w:rsidRPr="00A77DDD">
              <w:t>i element extrabilan</w:t>
            </w:r>
            <w:r w:rsidR="00675B3A">
              <w:t>ț</w:t>
            </w:r>
            <w:r w:rsidRPr="00A77DDD">
              <w:t xml:space="preserve">ier în conformitate cu articolul </w:t>
            </w:r>
            <w:r w:rsidRPr="007F3773">
              <w:t>400</w:t>
            </w:r>
            <w:r w:rsidRPr="00A77DDD">
              <w:t xml:space="preserve">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 xml:space="preserve">. Exceptările sunt deduse în coloana </w:t>
            </w:r>
            <w:r w:rsidRPr="007F3773">
              <w:t>320</w:t>
            </w:r>
            <w:r w:rsidRPr="00A77DDD">
              <w:t xml:space="preserve"> în sensul articolului </w:t>
            </w:r>
            <w:r w:rsidRPr="007F3773">
              <w:t>395</w:t>
            </w:r>
            <w:r w:rsidRPr="00A77DDD">
              <w:t xml:space="preserve"> alineatul (</w:t>
            </w:r>
            <w:r w:rsidRPr="007F3773">
              <w:t>1</w:t>
            </w:r>
            <w:r w:rsidRPr="00A77DDD">
              <w:t xml:space="preserve">)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  <w:rPr>
                <w:rFonts w:eastAsia="Arial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Sunt incluse atât expunerile din portofoliul de tranzac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ionare, cât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cele din afara acestuia.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Pentru defalcarea expunerilor pe instrumente financiare, în cazul în care diferite expuneri care decurg din acorduri de compensare constituie o singură expunere, aceasta din urmă este alocată instrumentului financiar care corespunde activului principal inclus în acordul de compensare (a se vedea, de asemenea, sec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iunea introductivă).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Total expunere ini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ială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ia raportează suma expunerilor directe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indirecte, precum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expunerile suplimentare care rezultă din expunerea la tranzac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în care există o expunere la active-suport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Din care: în stare de nerambursare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178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CRR.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A77DDD" w:rsidRDefault="009B2EE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 raportează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partea din totalul expunerii ini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iale care corespunde expunerilor în stare de nerambursare.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Expuneri directe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Expunerile directe înseamnă expunerile pe baza unui «debitor imediat».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Instrumente de datorie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193DDC" w:rsidP="005D4995">
            <w:pPr>
              <w:pStyle w:val="InstructionsText"/>
            </w:pPr>
            <w:r w:rsidRPr="00A77DDD">
              <w:t xml:space="preserve">Regulamentul (UE) nr. </w:t>
            </w:r>
            <w:r w:rsidRPr="007F3773">
              <w:t>1071</w:t>
            </w:r>
            <w:r w:rsidRPr="00A77DDD">
              <w:t>/</w:t>
            </w:r>
            <w:r w:rsidRPr="007F3773">
              <w:t>2013</w:t>
            </w:r>
            <w:r w:rsidRPr="00A77DDD">
              <w:t xml:space="preserve"> («Regulamentul BCE/</w:t>
            </w:r>
            <w:r w:rsidRPr="007F3773">
              <w:t>2013</w:t>
            </w:r>
            <w:r w:rsidRPr="00A77DDD">
              <w:t>/</w:t>
            </w:r>
            <w:r w:rsidRPr="007F3773">
              <w:t>33</w:t>
            </w:r>
            <w:r w:rsidRPr="00A77DDD">
              <w:t xml:space="preserve">»), anexa II partea </w:t>
            </w:r>
            <w:r w:rsidRPr="007F3773">
              <w:t>2</w:t>
            </w:r>
            <w:r w:rsidRPr="00A77DDD">
              <w:t xml:space="preserve">, tabel, categoriile </w:t>
            </w:r>
            <w:r w:rsidRPr="007F3773">
              <w:t>2</w:t>
            </w:r>
            <w:r w:rsidRPr="00A77DDD">
              <w:t xml:space="preserve"> </w:t>
            </w:r>
            <w:r w:rsidR="00675B3A">
              <w:t>ș</w:t>
            </w:r>
            <w:r w:rsidRPr="00A77DDD">
              <w:t xml:space="preserve">i </w:t>
            </w:r>
            <w:r w:rsidRPr="007F3773">
              <w:t>3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Instrumentele de datorie cuprind titlurile de datorie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creditele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crean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ele.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Instrumentele incluse în această coloană sunt cele calificate drept «</w:t>
            </w:r>
            <w:r w:rsidRPr="00A77DDD">
              <w:t xml:space="preserve">împrumuturi de până la un an inclusiv/de peste un an </w:t>
            </w:r>
            <w:r w:rsidR="00675B3A">
              <w:t>ș</w:t>
            </w:r>
            <w:r w:rsidRPr="00A77DDD">
              <w:t>i împrumuturi cu scaden</w:t>
            </w:r>
            <w:r w:rsidR="00675B3A">
              <w:t>ț</w:t>
            </w:r>
            <w:r w:rsidRPr="00A77DDD">
              <w:t>a ini</w:t>
            </w:r>
            <w:r w:rsidR="00675B3A">
              <w:t>ț</w:t>
            </w:r>
            <w:r w:rsidRPr="00A77DDD">
              <w:t>ială de până la cinci ani inclusiv/de peste cinci ani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» sau drept «titluri de natura</w:t>
            </w:r>
            <w:r w:rsidRPr="00A77DDD">
              <w:t xml:space="preserve"> datoriei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», în conformitate cu</w:t>
            </w:r>
            <w:r w:rsidRPr="00A77DDD">
              <w:t xml:space="preserve"> Regulamentul BCE/</w:t>
            </w:r>
            <w:r w:rsidRPr="007F3773">
              <w:t>2013</w:t>
            </w:r>
            <w:r w:rsidRPr="00A77DDD">
              <w:t>/</w:t>
            </w:r>
            <w:r w:rsidRPr="007F3773">
              <w:t>33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D95A62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În</w:t>
            </w:r>
            <w:r w:rsidRPr="00A77DDD">
              <w:t xml:space="preserve"> această coloană sunt incluse tranzac</w:t>
            </w:r>
            <w:r w:rsidR="00675B3A">
              <w:t>ț</w:t>
            </w:r>
            <w:r w:rsidRPr="00A77DDD">
              <w:t>iile de răscumpărare, opera</w:t>
            </w:r>
            <w:r w:rsidR="00675B3A">
              <w:t>ț</w:t>
            </w:r>
            <w:r w:rsidRPr="00A77DDD">
              <w:t>iunile de dare sau luare de titluri sau mărfuri cu împrumut (tranzac</w:t>
            </w:r>
            <w:r w:rsidR="00675B3A">
              <w:t>ț</w:t>
            </w:r>
            <w:r w:rsidRPr="00A77DDD">
              <w:t>ii de finan</w:t>
            </w:r>
            <w:r w:rsidR="00675B3A">
              <w:t>ț</w:t>
            </w:r>
            <w:r w:rsidRPr="00A77DDD">
              <w:t xml:space="preserve">are cu titluri de valoare) </w:t>
            </w:r>
            <w:r w:rsidR="00675B3A">
              <w:t>ș</w:t>
            </w:r>
            <w:r w:rsidRPr="00A77DDD">
              <w:t>i tranzac</w:t>
            </w:r>
            <w:r w:rsidR="00675B3A">
              <w:t>ț</w:t>
            </w:r>
            <w:r w:rsidRPr="00A77DDD">
              <w:t>iile de creditare în marjă.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Instrumente de capital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A77DDD" w:rsidRDefault="00DF008D" w:rsidP="005D4995">
            <w:pPr>
              <w:pStyle w:val="InstructionsText"/>
            </w:pPr>
            <w:r w:rsidRPr="00A77DDD">
              <w:t>BCE/</w:t>
            </w:r>
            <w:r w:rsidRPr="007F3773">
              <w:t>2013</w:t>
            </w:r>
            <w:r w:rsidRPr="00A77DDD">
              <w:t>/</w:t>
            </w:r>
            <w:r w:rsidRPr="007F3773">
              <w:t>33</w:t>
            </w:r>
            <w:r w:rsidRPr="00A77DDD">
              <w:t xml:space="preserve">, anexa II partea a </w:t>
            </w:r>
            <w:r w:rsidRPr="007F3773">
              <w:t>2</w:t>
            </w:r>
            <w:r w:rsidRPr="00A77DDD">
              <w:t xml:space="preserve">-a, tabel, categoriile </w:t>
            </w:r>
            <w:r w:rsidRPr="007F3773">
              <w:t>4</w:t>
            </w:r>
            <w:r w:rsidRPr="00A77DDD">
              <w:t xml:space="preserve"> </w:t>
            </w:r>
            <w:r w:rsidR="00675B3A">
              <w:t>ș</w:t>
            </w:r>
            <w:r w:rsidRPr="00A77DDD">
              <w:t xml:space="preserve">i </w:t>
            </w:r>
            <w:r w:rsidRPr="007F3773">
              <w:t>5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Instrumentele incluse în această coloană sunt cele calificate drept «Participa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ii» sau drept «Ac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iuni/unită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de fond ale fondurilor de investi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ii» conform Regulamentului</w:t>
            </w:r>
            <w:r w:rsidRPr="00A77DDD">
              <w:t xml:space="preserve"> BCE/</w:t>
            </w:r>
            <w:r w:rsidRPr="007F3773">
              <w:t>2013</w:t>
            </w:r>
            <w:r w:rsidRPr="00A77DDD">
              <w:t>/</w:t>
            </w:r>
            <w:r w:rsidRPr="007F3773">
              <w:t>33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080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 xml:space="preserve">Instrumente financiare derivate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t xml:space="preserve">Articolul </w:t>
            </w:r>
            <w:r w:rsidRPr="007F3773">
              <w:t>272</w:t>
            </w:r>
            <w:r w:rsidRPr="00A77DDD">
              <w:t xml:space="preserve"> alineatul (</w:t>
            </w:r>
            <w:r w:rsidRPr="007F3773">
              <w:t>2</w:t>
            </w:r>
            <w:r w:rsidRPr="00A77DDD">
              <w:t xml:space="preserve">) din CRR </w:t>
            </w:r>
            <w:r w:rsidR="00675B3A">
              <w:t>ș</w:t>
            </w:r>
            <w:r w:rsidRPr="00A77DDD">
              <w:t xml:space="preserve">i anexa II la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9E58B0" w:rsidP="005D4995">
            <w:pPr>
              <w:pStyle w:val="InstructionsText"/>
            </w:pPr>
            <w:r w:rsidRPr="00A77DDD">
              <w:t xml:space="preserve">Instrumentele care se raportează în această coloană includ instrumentele financiare derivate enumerate în anexa II la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 xml:space="preserve"> </w:t>
            </w:r>
            <w:r w:rsidR="00675B3A">
              <w:t>ș</w:t>
            </w:r>
            <w:r w:rsidRPr="00A77DDD">
              <w:t>i tranzac</w:t>
            </w:r>
            <w:r w:rsidR="00675B3A">
              <w:t>ț</w:t>
            </w:r>
            <w:r w:rsidRPr="00A77DDD">
              <w:t xml:space="preserve">iile cu termen lung de decontare, astfel cum sunt definite la articolul </w:t>
            </w:r>
            <w:r w:rsidRPr="007F3773">
              <w:t>272</w:t>
            </w:r>
            <w:r w:rsidRPr="00A77DDD">
              <w:t xml:space="preserve"> punctul </w:t>
            </w:r>
            <w:r w:rsidRPr="007F3773">
              <w:t>2</w:t>
            </w:r>
            <w:r w:rsidRPr="00A77DDD">
              <w:t xml:space="preserve">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 xml:space="preserve">. 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t>Instrumentele financiare derivate de credit care sunt supuse riscului de credit al contrapăr</w:t>
            </w:r>
            <w:r w:rsidR="00675B3A">
              <w:t>ț</w:t>
            </w:r>
            <w:r w:rsidRPr="00A77DDD">
              <w:t>ii sunt incluse în această coloană.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Elemente extrabilan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iere</w:t>
            </w:r>
          </w:p>
          <w:p w:rsidR="00BB3751" w:rsidRPr="00A77DDD" w:rsidRDefault="00BB3751" w:rsidP="004675B7">
            <w:pPr>
              <w:spacing w:before="0" w:after="0"/>
              <w:rPr>
                <w:rFonts w:ascii="Times New Roman" w:hAnsi="Times New Roman"/>
                <w:b/>
                <w:bCs/>
                <w:sz w:val="24"/>
              </w:rPr>
            </w:pPr>
          </w:p>
          <w:p w:rsidR="00BB3751" w:rsidRPr="00A77DDD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 w:rsidRPr="00A77DDD">
              <w:rPr>
                <w:rFonts w:ascii="Times New Roman" w:hAnsi="Times New Roman"/>
                <w:sz w:val="24"/>
              </w:rPr>
              <w:t xml:space="preserve">Anexa I la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rPr>
                <w:rFonts w:ascii="Times New Roman" w:hAnsi="Times New Roman"/>
                <w:sz w:val="24"/>
              </w:rPr>
              <w:t>.</w:t>
            </w:r>
          </w:p>
          <w:p w:rsidR="00BB3751" w:rsidRPr="00A77DDD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:rsidR="00BB3751" w:rsidRPr="00A77DDD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A77DDD">
              <w:rPr>
                <w:rFonts w:ascii="Times New Roman" w:hAnsi="Times New Roman"/>
                <w:sz w:val="24"/>
              </w:rPr>
              <w:t xml:space="preserve">Valoarea care este raportată în aceste coloane trebuie să fie valoarea nominală înainte de orice reducere a ajustărilor specifice pentru riscul de credit </w:t>
            </w:r>
            <w:r w:rsidR="00675B3A">
              <w:rPr>
                <w:rFonts w:ascii="Times New Roman" w:hAnsi="Times New Roman"/>
                <w:sz w:val="24"/>
              </w:rPr>
              <w:t>ș</w:t>
            </w:r>
            <w:r w:rsidRPr="00A77DDD">
              <w:rPr>
                <w:rFonts w:ascii="Times New Roman" w:hAnsi="Times New Roman"/>
                <w:sz w:val="24"/>
              </w:rPr>
              <w:t>i fără aplicarea factorilor de conversie.</w:t>
            </w:r>
          </w:p>
          <w:p w:rsidR="00BB3751" w:rsidRPr="00A77DDD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Angajamente de creditare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9A7666" w:rsidRPr="00A77DDD" w:rsidRDefault="0045752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Punctul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literele (c)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(h), punctul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litera (b) subpunctul (ii), punctul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litera</w:t>
            </w:r>
            <w:r w:rsidR="00147272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(b) subpunctul (i)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litera (a) din anexa I la CRR. 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t xml:space="preserve">Angajamentele de creditare sunt angajamente ferme de a acorda un credit în conformitate cu termeni </w:t>
            </w:r>
            <w:r w:rsidR="00675B3A">
              <w:t>ș</w:t>
            </w:r>
            <w:r w:rsidRPr="00A77DDD">
              <w:t>i condi</w:t>
            </w:r>
            <w:r w:rsidR="00675B3A">
              <w:t>ț</w:t>
            </w:r>
            <w:r w:rsidRPr="00A77DDD">
              <w:t>ii prestabilite, cu excep</w:t>
            </w:r>
            <w:r w:rsidR="00675B3A">
              <w:t>ț</w:t>
            </w:r>
            <w:r w:rsidRPr="00A77DDD">
              <w:t xml:space="preserve">ia celor care sunt instrumente financiare derivate deoarece acestea pot fi decontate net în numerar sau prin furnizarea sau emiterea altui instrument financiar.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100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Garan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ii financiare</w:t>
            </w:r>
          </w:p>
          <w:p w:rsidR="009A7666" w:rsidRPr="00A77DDD" w:rsidRDefault="009A7666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965D5D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Punctul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literele (a), (b)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(f) din anexa I la CRR.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Garan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iile financiare sunt contracte care solicită emitentului să efectueze plă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specificate pentru a rambursa titularului o pierdere pe care acesta o suportă, deoarece un anumit debitor nu efectuează plata atunci când aceasta este scadentă în conformitate cu termenii ini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iali sau modifica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ai unui instrument de datorie. Instrumentele financiare derivate de credit care nu sunt incluse în coloana «Instrumente financiare derivate» sunt raportate în această coloană.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Alte angajamente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70440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Alte angajamente sunt elementele din anexa I la CRR care nu sunt incluse în categoriile precedente. Valoarea</w:t>
            </w:r>
            <w:r w:rsidRPr="00A77DDD">
              <w:t xml:space="preserve"> </w:t>
            </w:r>
            <w:r w:rsidRPr="00A77DDD">
              <w:rPr>
                <w:rFonts w:ascii="Times New Roman" w:hAnsi="Times New Roman"/>
                <w:sz w:val="24"/>
              </w:rPr>
              <w:t>expunerii unei singure obliga</w:t>
            </w:r>
            <w:r w:rsidR="00675B3A">
              <w:rPr>
                <w:rFonts w:ascii="Times New Roman" w:hAnsi="Times New Roman"/>
                <w:sz w:val="24"/>
              </w:rPr>
              <w:t>ț</w:t>
            </w:r>
            <w:r w:rsidRPr="00A77DDD">
              <w:rPr>
                <w:rFonts w:ascii="Times New Roman" w:hAnsi="Times New Roman"/>
                <w:sz w:val="24"/>
              </w:rPr>
              <w:t>ii juridice care decurge din acorduri de compensare contractuală între produse diferite cu o contraparte a institu</w:t>
            </w:r>
            <w:r w:rsidR="00675B3A">
              <w:rPr>
                <w:rFonts w:ascii="Times New Roman" w:hAnsi="Times New Roman"/>
                <w:sz w:val="24"/>
              </w:rPr>
              <w:t>ț</w:t>
            </w:r>
            <w:r w:rsidRPr="00A77DDD">
              <w:rPr>
                <w:rFonts w:ascii="Times New Roman" w:hAnsi="Times New Roman"/>
                <w:sz w:val="24"/>
              </w:rPr>
              <w:t>iei este raportată în această coloană.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Expuneri indirecte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t xml:space="preserve">Articolul </w:t>
            </w:r>
            <w:r w:rsidRPr="007F3773">
              <w:t>403</w:t>
            </w:r>
            <w:r w:rsidRPr="00A77DDD">
              <w:t xml:space="preserve">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În conformitate cu 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403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din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o 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 de credit poate utiliza metoda substitu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iei în cazul în care o expunere fa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de un client este garantată de o ter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parte sau printr-o garan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 reală emisă de o ter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ă parte. 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 raportează în acest set de coloane cuantumurile expunerilor directe care sunt reatribuite garantului sau emitentului de garan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 reale, cu condi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 ca acestuia din urmă să i se atribuie o pondere de risc egală sau mai mică decât ponderea de risc care ar fi aplicată ter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ei păr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în temeiul păr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ii a treia titlul II capitolul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din CRR. Expunerea ini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ială protejată de referin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</w:t>
            </w:r>
            <w:r w:rsidRPr="00A77DDD">
              <w:t xml:space="preserve"> 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(expunerea directă) se deduce din expunerea fa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de debitorul ini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ial în coloanele «Tehnici eligibile de diminuare a riscului de credit». Expunerea indirectă va mări expunerea fa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de garant sau de emitentul de garan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 reale prin efectul de substitu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ie. Acest lucru este valabil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în cazul garan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iilor acordate în cadrul unui grup de clien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afla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în legătură.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 raportează cuantumul ini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ial al expunerilor indirecte în coloana care corespunde tipului de expunere directă garantată printr-o garan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 sau printr-o garan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 reală, de exemplu atunci când expunerea directă garantată este un instrument de datorie, cuantumul «Expunerii indirecte» atribuit garantului trebuie raportat în coloana «Instrumente de datorie».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Expunerile care decurg din titluri de valoare asociate unui risc de credit (credit-linked notes) sunt, de asemenea, raportate în acest set de coloane, în conformitate cu dispozi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iile de la 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399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din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Instrumente de datorie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AE2F75">
        <w:tc>
          <w:tcPr>
            <w:tcW w:w="1418" w:type="dxa"/>
            <w:shd w:val="clear" w:color="auto" w:fill="FFFFFF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130</w:t>
            </w:r>
          </w:p>
        </w:tc>
        <w:tc>
          <w:tcPr>
            <w:tcW w:w="7620" w:type="dxa"/>
            <w:shd w:val="clear" w:color="auto" w:fill="FFFFFF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Instrumente de capital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 se vedea coloana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140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Instrumente financiare derivate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Elemente extrabilan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iere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B3751" w:rsidRPr="00A77DDD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A77DDD">
              <w:rPr>
                <w:rFonts w:ascii="Times New Roman" w:hAnsi="Times New Roman"/>
                <w:sz w:val="24"/>
              </w:rPr>
              <w:t xml:space="preserve">Valoarea de la aceste coloane trebuie să fie valoarea nominală înainte de orice reducere a ajustărilor specifice pentru riscul de credit </w:t>
            </w:r>
            <w:r w:rsidR="00675B3A">
              <w:rPr>
                <w:rFonts w:ascii="Times New Roman" w:hAnsi="Times New Roman"/>
                <w:sz w:val="24"/>
              </w:rPr>
              <w:t>ș</w:t>
            </w:r>
            <w:r w:rsidRPr="00A77DDD">
              <w:rPr>
                <w:rFonts w:ascii="Times New Roman" w:hAnsi="Times New Roman"/>
                <w:sz w:val="24"/>
              </w:rPr>
              <w:t>i înainte de aplicarea factorilor de conversie.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Angajamente de creditare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Garan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ii financiare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Alte angajamente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Expuneri suplimentare din tranzac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ii în care există o expunere la active-suport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7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) din CRR.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Expuneri suplimentare care decurg din tranzac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ii în care există o expunere la active-suport.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190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 xml:space="preserve">Ajustări de valoare 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ș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i provizioane</w:t>
            </w:r>
          </w:p>
          <w:p w:rsidR="00BB3751" w:rsidRPr="00A77DDD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b/>
                <w:color w:val="auto"/>
                <w:sz w:val="24"/>
              </w:rPr>
            </w:pPr>
          </w:p>
          <w:p w:rsidR="00BB3751" w:rsidRPr="00A77DDD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Articolele </w:t>
            </w:r>
            <w:r w:rsidRPr="007F3773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34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, </w:t>
            </w:r>
            <w:r w:rsidRPr="007F3773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24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, </w:t>
            </w:r>
            <w:r w:rsidRPr="007F3773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110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</w:t>
            </w:r>
            <w:r w:rsidR="00675B3A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i </w:t>
            </w:r>
            <w:r w:rsidRPr="007F3773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111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din CRR.</w:t>
            </w:r>
          </w:p>
          <w:p w:rsidR="00BB3751" w:rsidRPr="00A77DDD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</w:p>
          <w:p w:rsidR="00BB3751" w:rsidRPr="00A77DDD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Ajustări de valoare </w:t>
            </w:r>
            <w:r w:rsidR="00675B3A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i provizioane incluse în cadrul contabil corespunzător [Directiva </w:t>
            </w:r>
            <w:r w:rsidRPr="007F3773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86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/</w:t>
            </w:r>
            <w:r w:rsidRPr="007F3773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635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/CEE sau Regulamentul (CE) nr. </w:t>
            </w:r>
            <w:r w:rsidRPr="007F3773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1606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/</w:t>
            </w:r>
            <w:r w:rsidRPr="007F3773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2002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] care afectează evaluarea expunerilor în conformitate cu articolele </w:t>
            </w:r>
            <w:r w:rsidRPr="007F3773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24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</w:t>
            </w:r>
            <w:r w:rsidR="00675B3A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i </w:t>
            </w:r>
            <w:r w:rsidRPr="007F3773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110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din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.</w:t>
            </w:r>
            <w:r w:rsidRPr="00A77DDD">
              <w:rPr>
                <w:rFonts w:ascii="Times New Roman" w:hAnsi="Times New Roman"/>
              </w:rPr>
              <w:t xml:space="preserve"> </w:t>
            </w:r>
          </w:p>
          <w:p w:rsidR="00BB3751" w:rsidRPr="00A77DDD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</w:p>
          <w:p w:rsidR="00BB3751" w:rsidRPr="00A77DDD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Ajustările de valoare </w:t>
            </w:r>
            <w:r w:rsidR="00675B3A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i provizioanele pentru expunerea brută înscrisă în coloana </w:t>
            </w:r>
            <w:r w:rsidRPr="007F3773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040</w:t>
            </w:r>
            <w:r w:rsidRPr="00A77DDD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sunt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raportate în această coloană. </w:t>
            </w:r>
          </w:p>
          <w:p w:rsidR="00BB3751" w:rsidRPr="00A77DDD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200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Expuneri deduse din fondurile proprii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alineatul (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6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litera (e) din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CRR. 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</w:rPr>
            </w:pPr>
          </w:p>
          <w:p w:rsidR="00B0191A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Se raportează expunerile deduse din fondurile proprii, care trebuie incluse în diferitele coloane din «Total expunere ini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ială». </w:t>
            </w:r>
          </w:p>
          <w:p w:rsidR="00BB3751" w:rsidRPr="00A77DDD" w:rsidRDefault="00BB3751" w:rsidP="001E6FAF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  <w:vAlign w:val="center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  <w:vAlign w:val="center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 xml:space="preserve">Valoarea expunerii înainte de aplicarea scutirilor 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 de diminuarea riscului de credit</w:t>
            </w:r>
          </w:p>
          <w:p w:rsidR="00BB3751" w:rsidRPr="00A77DDD" w:rsidRDefault="00BB3751" w:rsidP="005149C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BB3751" w:rsidRPr="00A77DDD" w:rsidRDefault="00BB3751" w:rsidP="005D4995">
            <w:pPr>
              <w:pStyle w:val="InstructionsText"/>
            </w:pPr>
            <w:r w:rsidRPr="00A77DDD">
              <w:t xml:space="preserve">Articolul </w:t>
            </w:r>
            <w:r w:rsidRPr="007F3773">
              <w:t>394</w:t>
            </w:r>
            <w:r w:rsidRPr="00A77DDD">
              <w:t xml:space="preserve"> alineatul (</w:t>
            </w:r>
            <w:r w:rsidRPr="007F3773">
              <w:t>1</w:t>
            </w:r>
            <w:r w:rsidRPr="00A77DDD">
              <w:t xml:space="preserve">) litera (b)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>.</w:t>
            </w:r>
          </w:p>
          <w:p w:rsidR="00BB3751" w:rsidRPr="00A77DDD" w:rsidRDefault="00BB3751" w:rsidP="005D4995">
            <w:pPr>
              <w:pStyle w:val="InstructionsText"/>
            </w:pPr>
          </w:p>
          <w:p w:rsidR="00BB3751" w:rsidRPr="00A77DDD" w:rsidRDefault="008A4511" w:rsidP="005D4995">
            <w:pPr>
              <w:pStyle w:val="InstructionsText"/>
            </w:pPr>
            <w:r w:rsidRPr="00A77DDD">
              <w:t>Institu</w:t>
            </w:r>
            <w:r w:rsidR="00675B3A">
              <w:t>ț</w:t>
            </w:r>
            <w:r w:rsidRPr="00A77DDD">
              <w:t>iile raportează valoarea expunerii înainte de a se lua în considerare efectul diminuării riscului de credit, dacă este cazul.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:rsidR="00BB3751" w:rsidRPr="00A77DDD" w:rsidRDefault="00BB3751" w:rsidP="005D4995">
            <w:pPr>
              <w:pStyle w:val="InstructionsText"/>
            </w:pPr>
          </w:p>
          <w:p w:rsidR="00BB3751" w:rsidRPr="00A77DDD" w:rsidRDefault="00BB3751" w:rsidP="005D4995">
            <w:pPr>
              <w:pStyle w:val="InstructionsText"/>
            </w:pPr>
            <w:r w:rsidRPr="00A77DDD">
              <w:t>Valoarea expunerii care este raportată în această coloană trebuie să fie cuantumul utilizat pentru a stabili dacă o expunere reprezintă o expunere mare în conformitate cu defini</w:t>
            </w:r>
            <w:r w:rsidR="00675B3A">
              <w:t>ț</w:t>
            </w:r>
            <w:r w:rsidRPr="00A77DDD">
              <w:t xml:space="preserve">ia de la articolul </w:t>
            </w:r>
            <w:r w:rsidRPr="007F3773">
              <w:t>392</w:t>
            </w:r>
            <w:r w:rsidRPr="00A77DDD">
              <w:t xml:space="preserve">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t>Aceasta include expunerea ini</w:t>
            </w:r>
            <w:r w:rsidR="00675B3A">
              <w:t>ț</w:t>
            </w:r>
            <w:r w:rsidRPr="00A77DDD">
              <w:t xml:space="preserve">ială după deducerea ajustărilor de valoare </w:t>
            </w:r>
            <w:r w:rsidR="00675B3A">
              <w:t>ș</w:t>
            </w:r>
            <w:r w:rsidRPr="00A77DDD">
              <w:t xml:space="preserve">i a provizioanelor </w:t>
            </w:r>
            <w:r w:rsidR="00675B3A">
              <w:t>ș</w:t>
            </w:r>
            <w:r w:rsidRPr="00A77DDD">
              <w:t>i cuantumul expunerilor deduse din fondurile proprii.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220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Din care: în afara portofoliului de tranzac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ionare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Cuantumul expunerii totale corespunzătoare elementelor din afara portofoliului de tranzac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ionare înainte de aplicarea exceptărilor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a tehnicilor de diminuare a riscului de credit. 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% din capitalul eligibil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alineatul (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) punctul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71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litera (b)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395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din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A77DDD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B3751" w:rsidRPr="00A77DDD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Cuantumul care este raportat este procentajul din valoarea expunerii înainte de aplicarea exceptărilor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a tehnicilor de diminuare a riscului de credit legate de capitalul eligibil al 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iei, astfel cum este definit la 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alineatul (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) punctul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71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litera (b) din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A77DDD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310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Tehnici eligibile de diminuare a riscului de credit (CRM)</w:t>
            </w:r>
          </w:p>
          <w:p w:rsidR="00BB3751" w:rsidRPr="00A77DDD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B3751" w:rsidRPr="00A77DDD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399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articolele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401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403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din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A77DDD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B3751" w:rsidRPr="00A77DDD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Tehnicile CRM sunt definite la articolul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punctul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57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CRR.</w:t>
            </w:r>
          </w:p>
          <w:p w:rsidR="00BB3751" w:rsidRPr="00A77DDD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A77DDD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În scopul prezentei raportări, tehnicile de diminuare a riscului de credit recunoscute în partea a treia titlul II capitolele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CRR sunt utilizate</w:t>
            </w:r>
            <w:r w:rsidRPr="00A77DDD">
              <w:t xml:space="preserve"> 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în conformitate cu articolele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401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403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din 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:rsidR="00BB3751" w:rsidRPr="00A77DDD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A77DDD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Tehnicile de diminuare a riscului de credit pot avea trei efecte în cadrul aplicabil expunerilor mari: efectul de substitu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ie; protec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 finan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ată a creditului, alta decât efectul de substitu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ie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tratamentul bunurilor imobile.</w:t>
            </w:r>
          </w:p>
          <w:p w:rsidR="00BB3751" w:rsidRPr="00A77DDD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Efectul de substitu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ie al tehnicilor eligibile de diminuare a riscului de credit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403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din 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BB3751" w:rsidP="005D4995">
            <w:pPr>
              <w:pStyle w:val="InstructionsText"/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Cuantumul corespunzător protec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iei finan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ate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nefinan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ate a creditului care se raportează în aceste coloane trebuie să corespundă cu cel al expunerilor garantate</w:t>
            </w:r>
            <w:r w:rsidRPr="00A77DDD">
              <w:t xml:space="preserve"> de o ter</w:t>
            </w:r>
            <w:r w:rsidR="00675B3A">
              <w:t>ț</w:t>
            </w:r>
            <w:r w:rsidRPr="00A77DDD">
              <w:t>ă parte sau printr-o garan</w:t>
            </w:r>
            <w:r w:rsidR="00675B3A">
              <w:t>ț</w:t>
            </w:r>
            <w:r w:rsidRPr="00A77DDD">
              <w:t>ie reală emisă de o ter</w:t>
            </w:r>
            <w:r w:rsidR="00675B3A">
              <w:t>ț</w:t>
            </w:r>
            <w:r w:rsidRPr="00A77DDD">
              <w:t>ă parte în cazul în care institu</w:t>
            </w:r>
            <w:r w:rsidR="00675B3A">
              <w:t>ț</w:t>
            </w:r>
            <w:r w:rsidRPr="00A77DDD">
              <w:t xml:space="preserve">ia decide să trateze expunerea ca </w:t>
            </w:r>
            <w:r w:rsidR="00675B3A">
              <w:t>ș</w:t>
            </w:r>
            <w:r w:rsidRPr="00A77DDD">
              <w:t>i când ar fi suportată de garant sau de emitentul de garan</w:t>
            </w:r>
            <w:r w:rsidR="00675B3A">
              <w:t>ț</w:t>
            </w:r>
            <w:r w:rsidRPr="00A77DDD">
              <w:t>ii reale.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Instrumente de datorie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Instrumente de capital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 se vedea coloana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Instrumente financiare derivate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Elemente extrabilan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iere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</w:p>
          <w:p w:rsidR="00BB3751" w:rsidRPr="00A77DDD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A77DDD">
              <w:rPr>
                <w:rFonts w:ascii="Times New Roman" w:hAnsi="Times New Roman"/>
                <w:sz w:val="24"/>
              </w:rPr>
              <w:t>Valoarea de la aceste coloane trebuie să fie valoarea fără aplicarea factorilor de conversie.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Angajamente de creditare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Garan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ii financiare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Alte angajamente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Protec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ia finan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ată a creditului, alta decât efectul de substitu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ie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401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din 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54768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 raportează cuantumurile aferente protec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iei finan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ate a creditului, astfel cum este definită la 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alineatul (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) punctul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58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din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care sunt deduse din valoarea expunerii ca urmare a aplicării articolului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401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din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310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Bunuri imobile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402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din 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54768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ia raportează cuantumurile deduse din valoarea expunerii ca urmare a aplicării articolului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402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din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320</w:t>
            </w:r>
          </w:p>
        </w:tc>
        <w:tc>
          <w:tcPr>
            <w:tcW w:w="7620" w:type="dxa"/>
          </w:tcPr>
          <w:p w:rsidR="00BB3751" w:rsidRPr="00A77DDD" w:rsidRDefault="007F30A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F30AB"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r w:rsidR="00BB3751" w:rsidRPr="00A77DDD">
              <w:rPr>
                <w:rStyle w:val="InstructionsTabelleberschrift"/>
                <w:rFonts w:ascii="Times New Roman" w:hAnsi="Times New Roman"/>
                <w:sz w:val="24"/>
              </w:rPr>
              <w:t>Cuantumuri exceptate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400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din 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A77DDD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A77DDD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 raportează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cuantumurile exceptate din regimul aplicabil expunerilor mari.</w:t>
            </w:r>
          </w:p>
          <w:p w:rsidR="00BB3751" w:rsidRPr="00A77DDD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 xml:space="preserve">Valoarea expunerii după aplicarea scutirilor 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 diminuarea riscului de credit</w:t>
            </w:r>
          </w:p>
          <w:p w:rsidR="00BB3751" w:rsidRPr="00A77DDD" w:rsidRDefault="00BB3751" w:rsidP="005D4995">
            <w:pPr>
              <w:pStyle w:val="InstructionsText"/>
            </w:pPr>
          </w:p>
          <w:p w:rsidR="00BB3751" w:rsidRPr="00A77DDD" w:rsidRDefault="00BB3751" w:rsidP="005D4995">
            <w:pPr>
              <w:pStyle w:val="InstructionsText"/>
            </w:pPr>
            <w:r w:rsidRPr="00A77DDD">
              <w:t xml:space="preserve">Articolul </w:t>
            </w:r>
            <w:r w:rsidRPr="007F3773">
              <w:t>394</w:t>
            </w:r>
            <w:r w:rsidRPr="00A77DDD">
              <w:t xml:space="preserve"> alineatul (</w:t>
            </w:r>
            <w:r w:rsidRPr="007F3773">
              <w:t>1</w:t>
            </w:r>
            <w:r w:rsidRPr="00A77DDD">
              <w:t xml:space="preserve">) litera (d)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</w:pPr>
          </w:p>
          <w:p w:rsidR="00B0191A" w:rsidRPr="00A77DDD" w:rsidRDefault="0054768B" w:rsidP="005D4995">
            <w:pPr>
              <w:pStyle w:val="InstructionsText"/>
            </w:pPr>
            <w:r w:rsidRPr="00A77DDD">
              <w:t>Institu</w:t>
            </w:r>
            <w:r w:rsidR="00675B3A">
              <w:t>ț</w:t>
            </w:r>
            <w:r w:rsidRPr="00A77DDD">
              <w:t xml:space="preserve">ia raportează valoarea expunerii după luarea în considerare a efectului exceptărilor </w:t>
            </w:r>
            <w:r w:rsidR="00675B3A">
              <w:t>ș</w:t>
            </w:r>
            <w:r w:rsidRPr="00A77DDD">
              <w:t xml:space="preserve">i al diminuării riscului de credit, calculat în sensul articolului </w:t>
            </w:r>
            <w:r w:rsidRPr="007F3773">
              <w:t>395</w:t>
            </w:r>
            <w:r w:rsidRPr="00A77DDD">
              <w:t xml:space="preserve"> alineatul (</w:t>
            </w:r>
            <w:r w:rsidRPr="007F3773">
              <w:t>1</w:t>
            </w:r>
            <w:r w:rsidRPr="00A77DDD">
              <w:t xml:space="preserve">) din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:rsidR="00BB3751" w:rsidRPr="00A77DDD" w:rsidRDefault="00BB3751" w:rsidP="005D4995">
            <w:pPr>
              <w:pStyle w:val="InstructionsText"/>
            </w:pPr>
          </w:p>
          <w:p w:rsidR="00BB3751" w:rsidRPr="00A77DDD" w:rsidRDefault="00BB3751" w:rsidP="005D4995">
            <w:pPr>
              <w:pStyle w:val="InstructionsText"/>
            </w:pPr>
            <w:r w:rsidRPr="00A77DDD">
              <w:t xml:space="preserve">Această coloană include cuantumul care trebuie luat în considerare în vederea respectării limitei expunerilor mari stabilite la articolul </w:t>
            </w:r>
            <w:r w:rsidRPr="007F3773">
              <w:t>395</w:t>
            </w:r>
            <w:r w:rsidRPr="00A77DDD">
              <w:t xml:space="preserve"> din CRR.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340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Din care: în afara portofoliului de tranzac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ionare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54768B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ia raportează expunerea totală după aplicarea exceptărilor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după luarea în considerare a efectului tehnicilor de diminuare a riscului de credit în legătură cu elementele din afara portofoliului de tranzac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ionare.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A77DDD" w:rsidTr="00E17043">
        <w:tc>
          <w:tcPr>
            <w:tcW w:w="1418" w:type="dxa"/>
          </w:tcPr>
          <w:p w:rsidR="00BB3751" w:rsidRPr="00A77DDD" w:rsidRDefault="00CA42A9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% din capitalul eligibil</w:t>
            </w:r>
          </w:p>
          <w:p w:rsidR="00BB3751" w:rsidRPr="00A77DDD" w:rsidRDefault="00BB375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A77DDD" w:rsidRDefault="0054768B" w:rsidP="00BE2D91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Institu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ia raportează</w:t>
            </w:r>
            <w:r w:rsidRPr="00A77DDD">
              <w:t xml:space="preserve"> 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procentajul din valoarea expunerii după aplicarea exceptărilor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a tehnicilor de diminuare a riscului de credit legate de capitalul eligibil al 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iei, astfel cum este definit la 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14727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br/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alineatul (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) punctul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71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litera (b) din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A77DDD" w:rsidRDefault="00BB375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3105C6" w:rsidRPr="00A77DDD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33" w:name="_Toc358305157"/>
      <w:bookmarkStart w:id="34" w:name="_Toc393461963"/>
      <w:bookmarkStart w:id="35" w:name="_Toc524012854"/>
      <w:r w:rsidRPr="00A77DDD">
        <w:rPr>
          <w:rFonts w:ascii="Times New Roman" w:hAnsi="Times New Roman"/>
          <w:b/>
          <w:sz w:val="24"/>
          <w:u w:val="none"/>
        </w:rPr>
        <w:t xml:space="preserve">C </w:t>
      </w:r>
      <w:r w:rsidRPr="007F3773">
        <w:rPr>
          <w:rFonts w:ascii="Times New Roman" w:hAnsi="Times New Roman"/>
          <w:b/>
          <w:sz w:val="24"/>
          <w:u w:val="none"/>
        </w:rPr>
        <w:t>29</w:t>
      </w:r>
      <w:r w:rsidRPr="00A77DDD">
        <w:rPr>
          <w:rFonts w:ascii="Times New Roman" w:hAnsi="Times New Roman"/>
          <w:b/>
          <w:sz w:val="24"/>
          <w:u w:val="none"/>
        </w:rPr>
        <w:t>.</w:t>
      </w:r>
      <w:r w:rsidRPr="007F3773">
        <w:rPr>
          <w:rFonts w:ascii="Times New Roman" w:hAnsi="Times New Roman"/>
          <w:b/>
          <w:sz w:val="24"/>
          <w:u w:val="none"/>
        </w:rPr>
        <w:t>00</w:t>
      </w:r>
      <w:r w:rsidRPr="00A77DDD">
        <w:rPr>
          <w:rFonts w:ascii="Times New Roman" w:hAnsi="Times New Roman"/>
          <w:b/>
          <w:sz w:val="24"/>
          <w:u w:val="none"/>
        </w:rPr>
        <w:t xml:space="preserve"> – Detalii privind expunerile fa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ă de clien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i individuali din cadrul unui grup de clien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i afla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i în legătură</w:t>
      </w:r>
      <w:bookmarkEnd w:id="33"/>
      <w:r w:rsidRPr="00A77DDD">
        <w:rPr>
          <w:rFonts w:ascii="Times New Roman" w:hAnsi="Times New Roman"/>
          <w:b/>
          <w:sz w:val="24"/>
          <w:u w:val="none"/>
        </w:rPr>
        <w:t xml:space="preserve"> (LE</w:t>
      </w:r>
      <w:r w:rsidRPr="007F3773">
        <w:rPr>
          <w:rFonts w:ascii="Times New Roman" w:hAnsi="Times New Roman"/>
          <w:b/>
          <w:sz w:val="24"/>
          <w:u w:val="none"/>
        </w:rPr>
        <w:t>3</w:t>
      </w:r>
      <w:r w:rsidRPr="00A77DDD">
        <w:rPr>
          <w:rFonts w:ascii="Times New Roman" w:hAnsi="Times New Roman"/>
          <w:b/>
          <w:sz w:val="24"/>
          <w:u w:val="none"/>
        </w:rPr>
        <w:t>)</w:t>
      </w:r>
      <w:bookmarkEnd w:id="34"/>
      <w:bookmarkEnd w:id="35"/>
    </w:p>
    <w:p w:rsidR="003105C6" w:rsidRPr="00A77DDD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36" w:name="_Toc308175824"/>
      <w:bookmarkStart w:id="37" w:name="_Toc310414970"/>
      <w:bookmarkStart w:id="38" w:name="_Toc358305158"/>
      <w:bookmarkStart w:id="39" w:name="_Toc393461964"/>
      <w:bookmarkStart w:id="40" w:name="_Toc524012855"/>
      <w:r w:rsidRPr="00A77DDD">
        <w:rPr>
          <w:rFonts w:ascii="Times New Roman" w:hAnsi="Times New Roman"/>
          <w:sz w:val="24"/>
        </w:rPr>
        <w:t>Instruc</w:t>
      </w:r>
      <w:r w:rsidR="00675B3A">
        <w:rPr>
          <w:rFonts w:ascii="Times New Roman" w:hAnsi="Times New Roman"/>
          <w:sz w:val="24"/>
        </w:rPr>
        <w:t>ț</w:t>
      </w:r>
      <w:r w:rsidRPr="00A77DDD">
        <w:rPr>
          <w:rFonts w:ascii="Times New Roman" w:hAnsi="Times New Roman"/>
          <w:sz w:val="24"/>
        </w:rPr>
        <w:t>iuni privind anumite</w:t>
      </w:r>
      <w:bookmarkEnd w:id="36"/>
      <w:bookmarkEnd w:id="37"/>
      <w:r w:rsidRPr="00A77DDD">
        <w:rPr>
          <w:rFonts w:ascii="Times New Roman" w:hAnsi="Times New Roman"/>
          <w:sz w:val="24"/>
        </w:rPr>
        <w:t xml:space="preserve"> coloane</w:t>
      </w:r>
      <w:bookmarkEnd w:id="38"/>
      <w:bookmarkEnd w:id="39"/>
      <w:bookmarkEnd w:id="40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A77DDD" w:rsidTr="00E17043">
        <w:tc>
          <w:tcPr>
            <w:tcW w:w="1418" w:type="dxa"/>
            <w:shd w:val="clear" w:color="auto" w:fill="D9D9D9"/>
          </w:tcPr>
          <w:p w:rsidR="005514AF" w:rsidRPr="00A77DDD" w:rsidRDefault="005514AF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Coloană</w:t>
            </w:r>
          </w:p>
        </w:tc>
        <w:tc>
          <w:tcPr>
            <w:tcW w:w="7620" w:type="dxa"/>
            <w:shd w:val="clear" w:color="auto" w:fill="D9D9D9"/>
          </w:tcPr>
          <w:p w:rsidR="005514AF" w:rsidRPr="00A77DDD" w:rsidRDefault="005514AF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Referin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 xml:space="preserve">e juridice 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ș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 instruc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iuni</w:t>
            </w:r>
          </w:p>
        </w:tc>
      </w:tr>
      <w:tr w:rsidR="005514AF" w:rsidRPr="00A77DDD" w:rsidTr="00E17043">
        <w:tc>
          <w:tcPr>
            <w:tcW w:w="1418" w:type="dxa"/>
          </w:tcPr>
          <w:p w:rsidR="005514AF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360</w:t>
            </w:r>
          </w:p>
        </w:tc>
        <w:tc>
          <w:tcPr>
            <w:tcW w:w="7620" w:type="dxa"/>
          </w:tcPr>
          <w:p w:rsidR="00704405" w:rsidRPr="00A77DDD" w:rsidRDefault="00704405" w:rsidP="005D4995">
            <w:pPr>
              <w:pStyle w:val="InstructionsText"/>
            </w:pPr>
          </w:p>
          <w:p w:rsidR="005514AF" w:rsidRPr="00A77DDD" w:rsidRDefault="00BA7374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t>Institu</w:t>
            </w:r>
            <w:r w:rsidR="00675B3A">
              <w:t>ț</w:t>
            </w:r>
            <w:r w:rsidRPr="00A77DDD">
              <w:t>iile trebuie să raporteze în formularul LE</w:t>
            </w:r>
            <w:r w:rsidRPr="007F3773">
              <w:t>3</w:t>
            </w:r>
            <w:r w:rsidRPr="00A77DDD">
              <w:t xml:space="preserve"> datele referitoare la expunerile fa</w:t>
            </w:r>
            <w:r w:rsidR="00675B3A">
              <w:t>ț</w:t>
            </w:r>
            <w:r w:rsidRPr="00A77DDD">
              <w:t>ă de clien</w:t>
            </w:r>
            <w:r w:rsidR="00675B3A">
              <w:t>ț</w:t>
            </w:r>
            <w:r w:rsidRPr="00A77DDD">
              <w:t>ii individuali apar</w:t>
            </w:r>
            <w:r w:rsidR="00675B3A">
              <w:t>ț</w:t>
            </w:r>
            <w:r w:rsidRPr="00A77DDD">
              <w:t>inând grupurilor de clien</w:t>
            </w:r>
            <w:r w:rsidR="00675B3A">
              <w:t>ț</w:t>
            </w:r>
            <w:r w:rsidRPr="00A77DDD">
              <w:t>i afla</w:t>
            </w:r>
            <w:r w:rsidR="00675B3A">
              <w:t>ț</w:t>
            </w:r>
            <w:r w:rsidRPr="00A77DDD">
              <w:t>i în legătură care sunt incluse în rândurile din formularul LE</w:t>
            </w:r>
            <w:r w:rsidRPr="007F3773">
              <w:t>2</w:t>
            </w:r>
            <w:r w:rsidRPr="00A77DDD">
              <w:t xml:space="preserve">. </w:t>
            </w:r>
          </w:p>
          <w:p w:rsidR="009F75EC" w:rsidRPr="00A77DDD" w:rsidRDefault="009F75EC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6E7C46" w:rsidRPr="00A77DDD" w:rsidTr="00383747">
        <w:trPr>
          <w:trHeight w:val="1203"/>
        </w:trPr>
        <w:tc>
          <w:tcPr>
            <w:tcW w:w="1418" w:type="dxa"/>
          </w:tcPr>
          <w:p w:rsidR="006E7C46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6E7C46" w:rsidRPr="00A77DDD" w:rsidRDefault="006E7C46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Cod</w:t>
            </w:r>
          </w:p>
          <w:p w:rsidR="006E7C46" w:rsidRPr="00A77DDD" w:rsidRDefault="006E7C46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D0674" w:rsidRPr="00A77DDD" w:rsidRDefault="00BD0674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Coloanele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reprezintă un număr compozit de identificare a rândului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împreună trebuie să fie unice pentru fiecare rând din tabel.</w:t>
            </w:r>
          </w:p>
          <w:p w:rsidR="00C53963" w:rsidRPr="00A77DDD" w:rsidRDefault="00C53963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 raportează codul contrapăr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 individuale apar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inând grupurilor de clien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afla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în legătură.</w:t>
            </w:r>
          </w:p>
          <w:p w:rsidR="00C53963" w:rsidRPr="00A77DDD" w:rsidRDefault="00C53963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FC221F" w:rsidRPr="00A77DDD" w:rsidTr="00383747">
        <w:trPr>
          <w:trHeight w:val="1203"/>
        </w:trPr>
        <w:tc>
          <w:tcPr>
            <w:tcW w:w="1418" w:type="dxa"/>
          </w:tcPr>
          <w:p w:rsidR="00FC221F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FC221F" w:rsidRPr="00A77DDD" w:rsidRDefault="00FC221F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Codul grupului</w:t>
            </w:r>
          </w:p>
          <w:p w:rsidR="00FC221F" w:rsidRPr="00A77DDD" w:rsidRDefault="00FC221F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D0674" w:rsidRPr="00A77DDD" w:rsidRDefault="00BD0674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Coloanele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reprezintă un număr compozit de identificare a rândului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împreună trebuie să fie unice pentru fiecare rând din tabel.</w:t>
            </w:r>
          </w:p>
          <w:p w:rsidR="007449CB" w:rsidRPr="00A77DDD" w:rsidRDefault="007449C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În cazul în care există un cod unic la nivel na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ional pentru un grup de clien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afla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în legătură, se raportează acest cod. În cazul în care nu există un cod unic la nivel na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ional, codul care trebuie raportat este cel utilizat pentru raportarea expunerilor fa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de grupul de clien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afla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în legătură în C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28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(LE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).</w:t>
            </w:r>
          </w:p>
          <w:p w:rsidR="00B0191A" w:rsidRPr="00A77DDD" w:rsidRDefault="00D46F08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t>În cazul în care un client apar</w:t>
            </w:r>
            <w:r w:rsidR="00675B3A">
              <w:t>ț</w:t>
            </w:r>
            <w:r w:rsidRPr="00A77DDD">
              <w:t>ine mai multor grupuri de clien</w:t>
            </w:r>
            <w:r w:rsidR="00675B3A">
              <w:t>ț</w:t>
            </w:r>
            <w:r w:rsidRPr="00A77DDD">
              <w:t>i afla</w:t>
            </w:r>
            <w:r w:rsidR="00675B3A">
              <w:t>ț</w:t>
            </w:r>
            <w:r w:rsidRPr="00A77DDD">
              <w:t>i în legătură, acesta trebuie raportat ca fiind membru al tuturor grupurilor de clien</w:t>
            </w:r>
            <w:r w:rsidR="00675B3A">
              <w:t>ț</w:t>
            </w:r>
            <w:r w:rsidRPr="00A77DDD">
              <w:t>i afla</w:t>
            </w:r>
            <w:r w:rsidR="00675B3A">
              <w:t>ț</w:t>
            </w:r>
            <w:r w:rsidRPr="00A77DDD">
              <w:t>i în legătură.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0191A" w:rsidRPr="00C54D14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16"/>
                <w:szCs w:val="16"/>
              </w:rPr>
            </w:pPr>
          </w:p>
        </w:tc>
      </w:tr>
      <w:tr w:rsidR="006E7C46" w:rsidRPr="00A77DDD" w:rsidTr="00E17043">
        <w:tc>
          <w:tcPr>
            <w:tcW w:w="1418" w:type="dxa"/>
          </w:tcPr>
          <w:p w:rsidR="006E7C46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6E7C46" w:rsidRPr="00A77DDD" w:rsidRDefault="006E7C46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Tranzac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 xml:space="preserve">ii în care există o expunere la active-suport </w:t>
            </w:r>
          </w:p>
          <w:p w:rsidR="006E7C46" w:rsidRPr="00A77DDD" w:rsidRDefault="006E7C46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3D3140" w:rsidRPr="00A77DDD" w:rsidRDefault="003D3140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030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formularul LE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C54D14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16"/>
                <w:szCs w:val="16"/>
              </w:rPr>
            </w:pPr>
            <w:bookmarkStart w:id="41" w:name="_GoBack"/>
            <w:bookmarkEnd w:id="41"/>
          </w:p>
        </w:tc>
      </w:tr>
      <w:tr w:rsidR="005514AF" w:rsidRPr="00A77DDD" w:rsidTr="00E17043">
        <w:tc>
          <w:tcPr>
            <w:tcW w:w="1418" w:type="dxa"/>
          </w:tcPr>
          <w:p w:rsidR="005514AF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:rsidR="005514AF" w:rsidRPr="00A77DDD" w:rsidRDefault="00FC221F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Tip de legătură</w:t>
            </w:r>
          </w:p>
          <w:p w:rsidR="005514AF" w:rsidRPr="00A77DDD" w:rsidRDefault="005514AF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5254" w:rsidRPr="00A77DDD" w:rsidRDefault="00D46F08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Tipul de legătură care există între entită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individuale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grupul de clien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afla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în legătură se specifică folosind: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A77DDD" w:rsidRDefault="00B05254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«a» legătură în sensul articolului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punctul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litera (a) din CRR (control) sau</w:t>
            </w:r>
          </w:p>
          <w:p w:rsidR="00B0191A" w:rsidRPr="00A77DDD" w:rsidRDefault="00B05254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«b» legătură în sensul articolului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alineatul (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) punctul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39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litera (b) din CRR (interconectare).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F75EC" w:rsidRPr="00A77DDD" w:rsidTr="009F75EC">
        <w:tc>
          <w:tcPr>
            <w:tcW w:w="1418" w:type="dxa"/>
          </w:tcPr>
          <w:p w:rsidR="009F75EC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360</w:t>
            </w:r>
          </w:p>
        </w:tc>
        <w:tc>
          <w:tcPr>
            <w:tcW w:w="7620" w:type="dxa"/>
          </w:tcPr>
          <w:p w:rsidR="00464111" w:rsidRPr="00A77DDD" w:rsidRDefault="0046411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464111" w:rsidRPr="00A77DDD" w:rsidRDefault="00464111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Atunci când instrumentele financiare din formularul LE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sunt furnizate întregului grup de clien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afla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în legătură, acestea trebuie să fie alocate fiecărei contrapăr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în formularul LE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în conformitate cu criteriile de afaceri ale 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iei. </w:t>
            </w:r>
          </w:p>
          <w:p w:rsidR="00667F2D" w:rsidRPr="00A77DDD" w:rsidRDefault="00667F2D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0191A" w:rsidRPr="00A77DDD" w:rsidRDefault="00667F2D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Restul instruc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iunilor sunt identice cu cele pentru formularul LE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915A9C" w:rsidRPr="00A77DDD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42" w:name="_Toc358305159"/>
      <w:bookmarkStart w:id="43" w:name="_Toc393461965"/>
      <w:bookmarkStart w:id="44" w:name="_Toc524012856"/>
      <w:bookmarkEnd w:id="0"/>
      <w:bookmarkEnd w:id="1"/>
      <w:r w:rsidRPr="00A77DDD">
        <w:rPr>
          <w:rFonts w:ascii="Times New Roman" w:hAnsi="Times New Roman"/>
          <w:b/>
          <w:sz w:val="24"/>
          <w:u w:val="none"/>
        </w:rPr>
        <w:t xml:space="preserve">C </w:t>
      </w:r>
      <w:r w:rsidRPr="007F3773">
        <w:rPr>
          <w:rFonts w:ascii="Times New Roman" w:hAnsi="Times New Roman"/>
          <w:b/>
          <w:sz w:val="24"/>
          <w:u w:val="none"/>
        </w:rPr>
        <w:t>30</w:t>
      </w:r>
      <w:r w:rsidRPr="00A77DDD">
        <w:rPr>
          <w:rFonts w:ascii="Times New Roman" w:hAnsi="Times New Roman"/>
          <w:b/>
          <w:sz w:val="24"/>
          <w:u w:val="none"/>
        </w:rPr>
        <w:t>.</w:t>
      </w:r>
      <w:r w:rsidRPr="007F3773">
        <w:rPr>
          <w:rFonts w:ascii="Times New Roman" w:hAnsi="Times New Roman"/>
          <w:b/>
          <w:sz w:val="24"/>
          <w:u w:val="none"/>
        </w:rPr>
        <w:t>00</w:t>
      </w:r>
      <w:r w:rsidRPr="00A77DDD">
        <w:rPr>
          <w:rFonts w:ascii="Times New Roman" w:hAnsi="Times New Roman"/>
          <w:b/>
          <w:sz w:val="24"/>
          <w:u w:val="none"/>
        </w:rPr>
        <w:t xml:space="preserve"> – Tran</w:t>
      </w:r>
      <w:r w:rsidR="00675B3A">
        <w:rPr>
          <w:rFonts w:ascii="Times New Roman" w:hAnsi="Times New Roman"/>
          <w:b/>
          <w:sz w:val="24"/>
          <w:u w:val="none"/>
        </w:rPr>
        <w:t>ș</w:t>
      </w:r>
      <w:r w:rsidRPr="00A77DDD">
        <w:rPr>
          <w:rFonts w:ascii="Times New Roman" w:hAnsi="Times New Roman"/>
          <w:b/>
          <w:sz w:val="24"/>
          <w:u w:val="none"/>
        </w:rPr>
        <w:t>e de scaden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ă pentru cele mai mari zece expuneri fa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ă de institu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 xml:space="preserve">ii </w:t>
      </w:r>
      <w:r w:rsidR="00675B3A">
        <w:rPr>
          <w:rFonts w:ascii="Times New Roman" w:hAnsi="Times New Roman"/>
          <w:b/>
          <w:sz w:val="24"/>
          <w:u w:val="none"/>
        </w:rPr>
        <w:t>ș</w:t>
      </w:r>
      <w:r w:rsidRPr="00A77DDD">
        <w:rPr>
          <w:rFonts w:ascii="Times New Roman" w:hAnsi="Times New Roman"/>
          <w:b/>
          <w:sz w:val="24"/>
          <w:u w:val="none"/>
        </w:rPr>
        <w:t>i pentru cele mai mari zece expuneri fa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ă de entită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i din sectorul financiar nereglementate</w:t>
      </w:r>
      <w:bookmarkEnd w:id="42"/>
      <w:r w:rsidRPr="00A77DDD">
        <w:rPr>
          <w:rFonts w:ascii="Times New Roman" w:hAnsi="Times New Roman"/>
          <w:b/>
          <w:sz w:val="24"/>
          <w:u w:val="none"/>
        </w:rPr>
        <w:t xml:space="preserve"> (formularul LE</w:t>
      </w:r>
      <w:r w:rsidRPr="007F3773">
        <w:rPr>
          <w:rFonts w:ascii="Times New Roman" w:hAnsi="Times New Roman"/>
          <w:b/>
          <w:sz w:val="24"/>
          <w:u w:val="none"/>
        </w:rPr>
        <w:t>4</w:t>
      </w:r>
      <w:r w:rsidRPr="00A77DDD">
        <w:rPr>
          <w:rFonts w:ascii="Times New Roman" w:hAnsi="Times New Roman"/>
          <w:b/>
          <w:sz w:val="24"/>
          <w:u w:val="none"/>
        </w:rPr>
        <w:t>)</w:t>
      </w:r>
      <w:bookmarkEnd w:id="43"/>
      <w:bookmarkEnd w:id="44"/>
    </w:p>
    <w:p w:rsidR="00915A9C" w:rsidRPr="00A77DDD" w:rsidRDefault="00915A9C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45" w:name="_Toc358305160"/>
      <w:bookmarkStart w:id="46" w:name="_Toc393461966"/>
      <w:bookmarkStart w:id="47" w:name="_Toc524012857"/>
      <w:r w:rsidRPr="00A77DDD">
        <w:rPr>
          <w:rFonts w:ascii="Times New Roman" w:hAnsi="Times New Roman"/>
          <w:sz w:val="24"/>
        </w:rPr>
        <w:t>Instruc</w:t>
      </w:r>
      <w:r w:rsidR="00675B3A">
        <w:rPr>
          <w:rFonts w:ascii="Times New Roman" w:hAnsi="Times New Roman"/>
          <w:sz w:val="24"/>
        </w:rPr>
        <w:t>ț</w:t>
      </w:r>
      <w:r w:rsidRPr="00A77DDD">
        <w:rPr>
          <w:rFonts w:ascii="Times New Roman" w:hAnsi="Times New Roman"/>
          <w:sz w:val="24"/>
        </w:rPr>
        <w:t>iuni privind anumite coloane</w:t>
      </w:r>
      <w:bookmarkEnd w:id="45"/>
      <w:bookmarkEnd w:id="46"/>
      <w:bookmarkEnd w:id="47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915A9C" w:rsidRPr="00A77DDD" w:rsidTr="00915A9C">
        <w:tc>
          <w:tcPr>
            <w:tcW w:w="1418" w:type="dxa"/>
            <w:shd w:val="clear" w:color="auto" w:fill="D9D9D9"/>
          </w:tcPr>
          <w:p w:rsidR="00915A9C" w:rsidRPr="00A77DDD" w:rsidRDefault="00915A9C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Coloană</w:t>
            </w:r>
          </w:p>
        </w:tc>
        <w:tc>
          <w:tcPr>
            <w:tcW w:w="7620" w:type="dxa"/>
            <w:shd w:val="clear" w:color="auto" w:fill="D9D9D9"/>
          </w:tcPr>
          <w:p w:rsidR="00915A9C" w:rsidRPr="00A77DDD" w:rsidRDefault="00915A9C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Referin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 xml:space="preserve">e juridice 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ș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 instruc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iuni</w:t>
            </w:r>
          </w:p>
        </w:tc>
      </w:tr>
      <w:tr w:rsidR="00915A9C" w:rsidRPr="00A77DDD" w:rsidTr="00915A9C">
        <w:tc>
          <w:tcPr>
            <w:tcW w:w="1418" w:type="dxa"/>
          </w:tcPr>
          <w:p w:rsidR="00915A9C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915A9C" w:rsidRPr="00A77DDD" w:rsidRDefault="00915A9C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Cod</w:t>
            </w:r>
          </w:p>
          <w:p w:rsidR="00915A9C" w:rsidRPr="00A77DDD" w:rsidRDefault="00915A9C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A77DDD" w:rsidRDefault="00BD0674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Codul este un număr de identificare a rândului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trebuie să fie unic pentru fiecare rând din tabel.</w:t>
            </w:r>
          </w:p>
          <w:p w:rsidR="00B0191A" w:rsidRPr="00A77DDD" w:rsidRDefault="00915A9C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010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formularul LE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15A9C" w:rsidRPr="00A77DDD" w:rsidTr="00915A9C">
        <w:tc>
          <w:tcPr>
            <w:tcW w:w="1418" w:type="dxa"/>
          </w:tcPr>
          <w:p w:rsidR="00915A9C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:rsidR="00915A9C" w:rsidRPr="00A77DDD" w:rsidRDefault="00915A9C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Tran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ele de scaden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ă ale expunerii</w:t>
            </w:r>
          </w:p>
          <w:p w:rsidR="00915A9C" w:rsidRPr="00A77DDD" w:rsidRDefault="00915A9C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ED1EF3" w:rsidRPr="00A77DDD" w:rsidRDefault="00915A9C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394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alineatul (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litera (e) din</w:t>
            </w:r>
            <w:r w:rsidRPr="00A77DDD">
              <w:t xml:space="preserve"> 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A77DDD"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9E6A9F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 raportează aceste informa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 pentru cele mai mari zece expuneri fa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de institu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ii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pentru cele mai mari zece expuneri fa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de entită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din sectorul financiar nereglementate.  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ED1EF3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ele de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sunt definite în tran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 lunare până la un an, în tran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trimestriale între un an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trei ani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în tran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mai mari după trei ani. 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7449CB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Fiecare valoare a expunerii înainte de aplicarea exceptărilor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a tehnicilor de diminuare a riscului de credit (coloana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210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din formularul LE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trebuie raportată cu întreaga sumă restantă din fiecare tran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de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preconizată a fi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 reziduală. În cazul mai multor rela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 separate care constituie o expunere fa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de un client, se raportează fiecare dintre aceste păr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ale expunerii cu întreaga sumă restantă din fiecare tran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de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preconizată a fi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 reziduală.  Instrumentele care nu au o dată fixă de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ă, precum capitalurile proprii, sunt incluse în coloana «Scaden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nedefinită».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915A9C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 preconizată a expunerii trebuie să fie raportată atât pentru expunerile directe, cât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pentru expunerile indirecte.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915A9C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Pentru expunerile directe, în momentul alocării cuantumurilor preconizate ale instrumentelor de datorie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ale instrumentelor financiare derivate în diferitele tran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 de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din acest formular, se utilizează instruc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iunile din tabelul de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al indicatorilor complementari privind lichiditatea (a se vedea anexa</w:t>
            </w:r>
            <w:r w:rsidR="007F30A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XXIII la prezentul regulament). 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915A9C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În cazul elementelor extrabilan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iere, se utilizează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 riscului-suport pentru alocarea cuantumurilor preconizate în tran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ele de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ă. Mai exact, pentru depozite forward se utilizează structura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elor aferentă depozitului; pentru garan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iile financiare, structura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elor aferentă activelor financiare suport; pentru facilită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ile angajamentelor de creditare neutilizate, structura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elor aferentă împrumutului; pentru alte angajamente, structura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elor aferentă angajamentului.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A77DDD" w:rsidRDefault="00915A9C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În cazul expunerilor indirecte, alocarea în tran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 de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se bazează pe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 opera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iunile garantate care generează expunerea directă.</w:t>
            </w:r>
          </w:p>
          <w:p w:rsidR="001D319A" w:rsidRPr="00A77DDD" w:rsidRDefault="001D319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1D319A" w:rsidRPr="00A77DDD" w:rsidRDefault="001D319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În cazul în care o expunere sau o parte a unei expuneri urmează să </w:t>
            </w:r>
            <w:r w:rsidR="0014727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br/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fie considerată în stare de nerambursare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este raportată ca atare în formularele C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28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(LE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coloana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) 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C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29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(LE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coloana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060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), retragerea 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teptată a expunerii aflate în stare de nerambursare trebuie alocată în respectivele tran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 de 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ă, după cum urmează:</w:t>
            </w:r>
          </w:p>
          <w:p w:rsidR="001D319A" w:rsidRPr="00A77DDD" w:rsidRDefault="00CF609C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</w:t>
            </w:r>
            <w:r w:rsidR="001D319A"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acă entitatea raportoare, în ciuda stării de nerambursare, are un calendar clar de rambursări a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="001D319A"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teptate ale expunerii, le alocă în tran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ș</w:t>
            </w:r>
            <w:r w:rsidR="001D319A"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ele respective, în consecin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="001D319A"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;</w:t>
            </w:r>
          </w:p>
          <w:p w:rsidR="001D319A" w:rsidRPr="00A77DDD" w:rsidRDefault="00CF609C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î</w:t>
            </w:r>
            <w:r w:rsidR="001D319A"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 cazul în care entitatea raportoare nu are o imagine justificată asupra momentelor în care vor fi restituite sumele aflate în stare de nerambursare (dacă acest lucru se va întâmpla vreodată), aceasta le alocă în categoria «Scaden</w:t>
            </w:r>
            <w:r w:rsidR="00675B3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ț</w:t>
            </w:r>
            <w:r w:rsidR="001D319A"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ă nedefinită».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915A9C" w:rsidRPr="00A77DDD" w:rsidRDefault="00915A9C" w:rsidP="009A77CD">
      <w:pPr>
        <w:spacing w:after="0"/>
        <w:rPr>
          <w:rFonts w:ascii="Times New Roman" w:hAnsi="Times New Roman"/>
          <w:b/>
          <w:sz w:val="24"/>
        </w:rPr>
      </w:pPr>
    </w:p>
    <w:p w:rsidR="003D3140" w:rsidRPr="00A77DDD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48" w:name="_Toc393461967"/>
      <w:bookmarkStart w:id="49" w:name="_Toc524012858"/>
      <w:r w:rsidRPr="00A77DDD">
        <w:rPr>
          <w:rFonts w:ascii="Times New Roman" w:hAnsi="Times New Roman"/>
          <w:b/>
          <w:sz w:val="24"/>
          <w:u w:val="none"/>
        </w:rPr>
        <w:t xml:space="preserve">C </w:t>
      </w:r>
      <w:r w:rsidRPr="007F3773">
        <w:rPr>
          <w:rFonts w:ascii="Times New Roman" w:hAnsi="Times New Roman"/>
          <w:b/>
          <w:sz w:val="24"/>
          <w:u w:val="none"/>
        </w:rPr>
        <w:t>31</w:t>
      </w:r>
      <w:r w:rsidRPr="00A77DDD">
        <w:rPr>
          <w:rFonts w:ascii="Times New Roman" w:hAnsi="Times New Roman"/>
          <w:b/>
          <w:sz w:val="24"/>
          <w:u w:val="none"/>
        </w:rPr>
        <w:t>.</w:t>
      </w:r>
      <w:r w:rsidRPr="007F3773">
        <w:rPr>
          <w:rFonts w:ascii="Times New Roman" w:hAnsi="Times New Roman"/>
          <w:b/>
          <w:sz w:val="24"/>
          <w:u w:val="none"/>
        </w:rPr>
        <w:t>00</w:t>
      </w:r>
      <w:r w:rsidRPr="00A77DDD">
        <w:rPr>
          <w:rFonts w:ascii="Times New Roman" w:hAnsi="Times New Roman"/>
          <w:b/>
          <w:sz w:val="24"/>
          <w:u w:val="none"/>
        </w:rPr>
        <w:t xml:space="preserve"> – Tran</w:t>
      </w:r>
      <w:r w:rsidR="00675B3A">
        <w:rPr>
          <w:rFonts w:ascii="Times New Roman" w:hAnsi="Times New Roman"/>
          <w:b/>
          <w:sz w:val="24"/>
          <w:u w:val="none"/>
        </w:rPr>
        <w:t>ș</w:t>
      </w:r>
      <w:r w:rsidRPr="00A77DDD">
        <w:rPr>
          <w:rFonts w:ascii="Times New Roman" w:hAnsi="Times New Roman"/>
          <w:b/>
          <w:sz w:val="24"/>
          <w:u w:val="none"/>
        </w:rPr>
        <w:t>e de scaden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ă pentru cele mai mari zece expuneri fa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ă de institu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 xml:space="preserve">ii </w:t>
      </w:r>
      <w:r w:rsidR="00675B3A">
        <w:rPr>
          <w:rFonts w:ascii="Times New Roman" w:hAnsi="Times New Roman"/>
          <w:b/>
          <w:sz w:val="24"/>
          <w:u w:val="none"/>
        </w:rPr>
        <w:t>ș</w:t>
      </w:r>
      <w:r w:rsidRPr="00A77DDD">
        <w:rPr>
          <w:rFonts w:ascii="Times New Roman" w:hAnsi="Times New Roman"/>
          <w:b/>
          <w:sz w:val="24"/>
          <w:u w:val="none"/>
        </w:rPr>
        <w:t>i pentru cele mai mari zece expuneri fa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ă de entită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i din sectorul financiar nereglementate: detalii privind expunerile fa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ă de clien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i individuali din cadrul unui grup de clien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i afla</w:t>
      </w:r>
      <w:r w:rsidR="00675B3A">
        <w:rPr>
          <w:rFonts w:ascii="Times New Roman" w:hAnsi="Times New Roman"/>
          <w:b/>
          <w:sz w:val="24"/>
          <w:u w:val="none"/>
        </w:rPr>
        <w:t>ț</w:t>
      </w:r>
      <w:r w:rsidRPr="00A77DDD">
        <w:rPr>
          <w:rFonts w:ascii="Times New Roman" w:hAnsi="Times New Roman"/>
          <w:b/>
          <w:sz w:val="24"/>
          <w:u w:val="none"/>
        </w:rPr>
        <w:t>i în legătură (formularul LE</w:t>
      </w:r>
      <w:r w:rsidRPr="007F3773">
        <w:rPr>
          <w:rFonts w:ascii="Times New Roman" w:hAnsi="Times New Roman"/>
          <w:b/>
          <w:sz w:val="24"/>
          <w:u w:val="none"/>
        </w:rPr>
        <w:t>5</w:t>
      </w:r>
      <w:r w:rsidRPr="00A77DDD">
        <w:rPr>
          <w:rFonts w:ascii="Times New Roman" w:hAnsi="Times New Roman"/>
          <w:b/>
          <w:sz w:val="24"/>
          <w:u w:val="none"/>
        </w:rPr>
        <w:t>)</w:t>
      </w:r>
      <w:bookmarkEnd w:id="48"/>
      <w:bookmarkEnd w:id="49"/>
    </w:p>
    <w:p w:rsidR="003D3140" w:rsidRPr="00A77DDD" w:rsidRDefault="003D3140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50" w:name="_Toc393461968"/>
      <w:bookmarkStart w:id="51" w:name="_Toc524012859"/>
      <w:r w:rsidRPr="00A77DDD">
        <w:rPr>
          <w:rFonts w:ascii="Times New Roman" w:hAnsi="Times New Roman"/>
          <w:sz w:val="24"/>
        </w:rPr>
        <w:t>Instruc</w:t>
      </w:r>
      <w:r w:rsidR="00675B3A">
        <w:rPr>
          <w:rFonts w:ascii="Times New Roman" w:hAnsi="Times New Roman"/>
          <w:sz w:val="24"/>
        </w:rPr>
        <w:t>ț</w:t>
      </w:r>
      <w:r w:rsidRPr="00A77DDD">
        <w:rPr>
          <w:rFonts w:ascii="Times New Roman" w:hAnsi="Times New Roman"/>
          <w:sz w:val="24"/>
        </w:rPr>
        <w:t>iuni privind anumite coloane</w:t>
      </w:r>
      <w:bookmarkEnd w:id="50"/>
      <w:bookmarkEnd w:id="51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3D3140" w:rsidRPr="00A77DDD" w:rsidTr="00AF0271">
        <w:tc>
          <w:tcPr>
            <w:tcW w:w="1418" w:type="dxa"/>
            <w:shd w:val="clear" w:color="auto" w:fill="D9D9D9"/>
          </w:tcPr>
          <w:p w:rsidR="003D3140" w:rsidRPr="00A77DDD" w:rsidRDefault="003D3140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Coloană</w:t>
            </w:r>
          </w:p>
        </w:tc>
        <w:tc>
          <w:tcPr>
            <w:tcW w:w="7620" w:type="dxa"/>
            <w:shd w:val="clear" w:color="auto" w:fill="D9D9D9"/>
          </w:tcPr>
          <w:p w:rsidR="003D3140" w:rsidRPr="00A77DDD" w:rsidRDefault="003D3140" w:rsidP="005D499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Referin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 xml:space="preserve">e juridice 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ș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 instruc</w:t>
            </w:r>
            <w:r w:rsidR="00675B3A">
              <w:rPr>
                <w:rStyle w:val="InstructionsTabelleText"/>
                <w:rFonts w:ascii="Times New Roman" w:hAnsi="Times New Roman"/>
                <w:b/>
                <w:sz w:val="24"/>
              </w:rPr>
              <w:t>ț</w:t>
            </w:r>
            <w:r w:rsidRPr="00A77DDD">
              <w:rPr>
                <w:rStyle w:val="InstructionsTabelleText"/>
                <w:rFonts w:ascii="Times New Roman" w:hAnsi="Times New Roman"/>
                <w:b/>
                <w:sz w:val="24"/>
              </w:rPr>
              <w:t>iuni</w:t>
            </w:r>
          </w:p>
        </w:tc>
      </w:tr>
      <w:tr w:rsidR="00B80B0E" w:rsidRPr="00A77DDD" w:rsidTr="00AF0271">
        <w:tc>
          <w:tcPr>
            <w:tcW w:w="1418" w:type="dxa"/>
          </w:tcPr>
          <w:p w:rsidR="00B80B0E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:rsidR="00B80B0E" w:rsidRPr="00A77DDD" w:rsidRDefault="00B80B0E" w:rsidP="005D4995">
            <w:pPr>
              <w:pStyle w:val="InstructionsText"/>
            </w:pPr>
          </w:p>
          <w:p w:rsidR="00B80B0E" w:rsidRPr="00A77DDD" w:rsidRDefault="00186D4E" w:rsidP="005D4995">
            <w:pPr>
              <w:pStyle w:val="InstructionsText"/>
            </w:pPr>
            <w:r w:rsidRPr="00A77DDD">
              <w:t>Institu</w:t>
            </w:r>
            <w:r w:rsidR="00675B3A">
              <w:t>ț</w:t>
            </w:r>
            <w:r w:rsidRPr="00A77DDD">
              <w:t>iile trebuie să raporteze în formularul LE</w:t>
            </w:r>
            <w:r w:rsidRPr="007F3773">
              <w:t>5</w:t>
            </w:r>
            <w:r w:rsidRPr="00A77DDD">
              <w:t xml:space="preserve"> datele referitoare la expunerile fa</w:t>
            </w:r>
            <w:r w:rsidR="00675B3A">
              <w:t>ț</w:t>
            </w:r>
            <w:r w:rsidRPr="00A77DDD">
              <w:t>ă de contrapăr</w:t>
            </w:r>
            <w:r w:rsidR="00675B3A">
              <w:t>ț</w:t>
            </w:r>
            <w:r w:rsidRPr="00A77DDD">
              <w:t>ile individuale apar</w:t>
            </w:r>
            <w:r w:rsidR="00675B3A">
              <w:t>ț</w:t>
            </w:r>
            <w:r w:rsidRPr="00A77DDD">
              <w:t>inând grupurilor de clien</w:t>
            </w:r>
            <w:r w:rsidR="00675B3A">
              <w:t>ț</w:t>
            </w:r>
            <w:r w:rsidRPr="00A77DDD">
              <w:t>i afla</w:t>
            </w:r>
            <w:r w:rsidR="00675B3A">
              <w:t>ț</w:t>
            </w:r>
            <w:r w:rsidRPr="00A77DDD">
              <w:t>i în legătură care sunt incluse în rândurile din formularul LE</w:t>
            </w:r>
            <w:r w:rsidRPr="007F3773">
              <w:t>4</w:t>
            </w:r>
            <w:r w:rsidRPr="00A77DDD">
              <w:t>.</w:t>
            </w:r>
          </w:p>
          <w:p w:rsidR="00B80B0E" w:rsidRPr="00A77DDD" w:rsidRDefault="00B80B0E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A77DDD" w:rsidTr="00AF0271">
        <w:tc>
          <w:tcPr>
            <w:tcW w:w="1418" w:type="dxa"/>
          </w:tcPr>
          <w:p w:rsidR="003D3140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3D3140" w:rsidRPr="00A77DDD" w:rsidRDefault="003D3140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Cod</w:t>
            </w:r>
          </w:p>
          <w:p w:rsidR="003D3140" w:rsidRPr="00A77DDD" w:rsidRDefault="003D3140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A77DDD" w:rsidRDefault="00BD0674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Coloanele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010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020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reprezintă un număr compozit de identificare a rândului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împreună trebuie să fie unice pentru fiecare rând din tabel.</w:t>
            </w:r>
          </w:p>
          <w:p w:rsidR="003D3140" w:rsidRPr="00A77DDD" w:rsidRDefault="003D3140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010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formularul LE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3D3140" w:rsidRPr="00A77DDD" w:rsidTr="00AF0271">
        <w:tc>
          <w:tcPr>
            <w:tcW w:w="1418" w:type="dxa"/>
          </w:tcPr>
          <w:p w:rsidR="003D3140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B80B0E" w:rsidRPr="00A77DDD" w:rsidRDefault="00B80B0E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Codul grupului</w:t>
            </w:r>
          </w:p>
          <w:p w:rsidR="00BD0674" w:rsidRPr="00A77DDD" w:rsidRDefault="00BD0674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A77DDD" w:rsidRDefault="00BD0674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Coloanele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010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i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020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reprezintă un număr compozit de identificare a rândului </w:t>
            </w:r>
            <w:r w:rsidR="00675B3A">
              <w:rPr>
                <w:rStyle w:val="FormatvorlageInstructionsTabelleTex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i împreună trebuie să fie unice pentru fiecare rând din tabel.</w:t>
            </w:r>
          </w:p>
          <w:p w:rsidR="00B80B0E" w:rsidRPr="00A77DDD" w:rsidRDefault="00B80B0E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A se vedea coloana 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020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 xml:space="preserve"> din formularul LE</w:t>
            </w:r>
            <w:r w:rsidRPr="007F3773">
              <w:rPr>
                <w:rStyle w:val="FormatvorlageInstructionsTabelleText"/>
                <w:rFonts w:ascii="Times New Roman" w:hAnsi="Times New Roman"/>
                <w:sz w:val="24"/>
              </w:rPr>
              <w:t>3</w:t>
            </w:r>
            <w:r w:rsidRPr="00A77DDD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B0191A" w:rsidRPr="00A77DDD" w:rsidRDefault="00B0191A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A77DDD" w:rsidTr="00AF0271">
        <w:tc>
          <w:tcPr>
            <w:tcW w:w="1418" w:type="dxa"/>
          </w:tcPr>
          <w:p w:rsidR="003D3140" w:rsidRPr="00A77DDD" w:rsidRDefault="008A4511" w:rsidP="005D49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  <w:r w:rsidRPr="00A77DDD">
              <w:rPr>
                <w:rStyle w:val="FormatvorlageInstructionsTabelleText"/>
                <w:rFonts w:ascii="Times New Roman" w:hAnsi="Times New Roman"/>
                <w:b/>
                <w:sz w:val="24"/>
              </w:rPr>
              <w:t>-</w:t>
            </w:r>
            <w:r w:rsidRPr="007F3773"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:rsidR="003D3140" w:rsidRPr="00A77DDD" w:rsidRDefault="003D3140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Tran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ș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ele de scaden</w:t>
            </w:r>
            <w:r w:rsidR="00675B3A">
              <w:rPr>
                <w:rStyle w:val="InstructionsTabelleberschrift"/>
                <w:rFonts w:ascii="Times New Roman" w:hAnsi="Times New Roman"/>
                <w:sz w:val="24"/>
              </w:rPr>
              <w:t>ț</w:t>
            </w:r>
            <w:r w:rsidRPr="00A77DDD">
              <w:rPr>
                <w:rStyle w:val="InstructionsTabelleberschrift"/>
                <w:rFonts w:ascii="Times New Roman" w:hAnsi="Times New Roman"/>
                <w:sz w:val="24"/>
              </w:rPr>
              <w:t>ă ale expunerilor</w:t>
            </w:r>
          </w:p>
          <w:p w:rsidR="003D3140" w:rsidRPr="00A77DDD" w:rsidRDefault="003D3140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3D3140" w:rsidRPr="00A77DDD" w:rsidRDefault="00B80B0E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 se vedea coloanele 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250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din formularul LE</w:t>
            </w:r>
            <w:r w:rsidRPr="007F377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</w:t>
            </w:r>
            <w:r w:rsidRPr="00A77D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264B52" w:rsidRPr="00A77DDD" w:rsidRDefault="00264B52" w:rsidP="005D49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3D3140" w:rsidRPr="00A77DDD" w:rsidRDefault="00CF609C" w:rsidP="0078562D">
      <w:pPr>
        <w:spacing w:after="0"/>
        <w:rPr>
          <w:rFonts w:ascii="Times New Roman" w:hAnsi="Times New Roman"/>
          <w:sz w:val="24"/>
        </w:rPr>
      </w:pPr>
      <w:r w:rsidRPr="00A77DDD">
        <w:rPr>
          <w:rFonts w:ascii="Times New Roman" w:hAnsi="Times New Roman"/>
          <w:sz w:val="24"/>
        </w:rPr>
        <w:t>”</w:t>
      </w:r>
    </w:p>
    <w:sectPr w:rsidR="003D3140" w:rsidRPr="00A77DDD" w:rsidSect="00B51F42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6DB" w:rsidRDefault="009826DB" w:rsidP="00D946DB">
      <w:pPr>
        <w:spacing w:before="0" w:after="0"/>
      </w:pPr>
      <w:r>
        <w:separator/>
      </w:r>
    </w:p>
  </w:endnote>
  <w:endnote w:type="continuationSeparator" w:id="0">
    <w:p w:rsidR="009826DB" w:rsidRDefault="009826DB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6DB" w:rsidRPr="00A772B4" w:rsidRDefault="009826DB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C54D14"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:rsidR="009826DB" w:rsidRDefault="009826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6DB" w:rsidRDefault="009826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54D14">
      <w:rPr>
        <w:noProof/>
      </w:rPr>
      <w:t>1</w:t>
    </w:r>
    <w:r>
      <w:rPr>
        <w:noProof/>
      </w:rPr>
      <w:fldChar w:fldCharType="end"/>
    </w:r>
  </w:p>
  <w:p w:rsidR="009826DB" w:rsidRDefault="009826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6DB" w:rsidRDefault="009826D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26DB" w:rsidRDefault="009826DB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6DB" w:rsidRPr="00A772B4" w:rsidRDefault="009826DB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C54D14">
      <w:rPr>
        <w:rFonts w:ascii="Times New Roman" w:hAnsi="Times New Roman"/>
        <w:noProof/>
      </w:rPr>
      <w:t>20</w:t>
    </w:r>
    <w:r w:rsidRPr="00A772B4">
      <w:rPr>
        <w:rFonts w:ascii="Times New Roman" w:hAnsi="Times New Roman"/>
      </w:rPr>
      <w:fldChar w:fldCharType="end"/>
    </w:r>
  </w:p>
  <w:p w:rsidR="009826DB" w:rsidRPr="00A772B4" w:rsidRDefault="009826DB" w:rsidP="00A77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6DB" w:rsidRDefault="009826DB" w:rsidP="00D946DB">
      <w:pPr>
        <w:spacing w:before="0" w:after="0"/>
      </w:pPr>
      <w:r>
        <w:separator/>
      </w:r>
    </w:p>
  </w:footnote>
  <w:footnote w:type="continuationSeparator" w:id="0">
    <w:p w:rsidR="009826DB" w:rsidRDefault="009826DB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6DB" w:rsidRDefault="009826DB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298D3E43"/>
    <w:multiLevelType w:val="multilevel"/>
    <w:tmpl w:val="F168D468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F7D7F02"/>
    <w:multiLevelType w:val="multilevel"/>
    <w:tmpl w:val="0407001D"/>
    <w:numStyleLink w:val="Formatvorlage3"/>
  </w:abstractNum>
  <w:abstractNum w:abstractNumId="8">
    <w:nsid w:val="33057CB8"/>
    <w:multiLevelType w:val="hybridMultilevel"/>
    <w:tmpl w:val="4824077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2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F553D7"/>
    <w:multiLevelType w:val="hybridMultilevel"/>
    <w:tmpl w:val="73867754"/>
    <w:lvl w:ilvl="0" w:tplc="9A2AD4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11"/>
  </w:num>
  <w:num w:numId="5">
    <w:abstractNumId w:val="20"/>
  </w:num>
  <w:num w:numId="6">
    <w:abstractNumId w:val="10"/>
  </w:num>
  <w:num w:numId="7">
    <w:abstractNumId w:val="22"/>
  </w:num>
  <w:num w:numId="8">
    <w:abstractNumId w:val="2"/>
  </w:num>
  <w:num w:numId="9">
    <w:abstractNumId w:val="17"/>
  </w:num>
  <w:num w:numId="10">
    <w:abstractNumId w:val="9"/>
  </w:num>
  <w:num w:numId="11">
    <w:abstractNumId w:val="13"/>
  </w:num>
  <w:num w:numId="12">
    <w:abstractNumId w:val="4"/>
  </w:num>
  <w:num w:numId="13">
    <w:abstractNumId w:val="19"/>
  </w:num>
  <w:num w:numId="14">
    <w:abstractNumId w:val="15"/>
  </w:num>
  <w:num w:numId="15">
    <w:abstractNumId w:val="8"/>
  </w:num>
  <w:num w:numId="16">
    <w:abstractNumId w:val="12"/>
  </w:num>
  <w:num w:numId="17">
    <w:abstractNumId w:val="7"/>
  </w:num>
  <w:num w:numId="18">
    <w:abstractNumId w:val="21"/>
  </w:num>
  <w:num w:numId="19">
    <w:abstractNumId w:val="1"/>
  </w:num>
  <w:num w:numId="20">
    <w:abstractNumId w:val="3"/>
  </w:num>
  <w:num w:numId="21">
    <w:abstractNumId w:val="6"/>
  </w:num>
  <w:num w:numId="22">
    <w:abstractNumId w:val="5"/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14"/>
  </w:num>
  <w:num w:numId="26">
    <w:abstractNumId w:val="18"/>
  </w:num>
  <w:num w:numId="27">
    <w:abstractNumId w:val="8"/>
    <w:lvlOverride w:ilvl="0">
      <w:startOverride w:val="1"/>
    </w:lvlOverride>
  </w:num>
  <w:num w:numId="28">
    <w:abstractNumId w:val="8"/>
  </w:num>
  <w:num w:numId="29">
    <w:abstractNumId w:val="8"/>
  </w:num>
  <w:num w:numId="30">
    <w:abstractNumId w:val="25"/>
  </w:num>
  <w:num w:numId="31">
    <w:abstractNumId w:val="24"/>
  </w:num>
  <w:num w:numId="32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84FEB"/>
    <w:rsid w:val="00000989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A25"/>
    <w:rsid w:val="00020516"/>
    <w:rsid w:val="00021AFC"/>
    <w:rsid w:val="00022B30"/>
    <w:rsid w:val="000232E2"/>
    <w:rsid w:val="000243CE"/>
    <w:rsid w:val="0002657F"/>
    <w:rsid w:val="00026637"/>
    <w:rsid w:val="00026A0E"/>
    <w:rsid w:val="000326C1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60493"/>
    <w:rsid w:val="00060C8F"/>
    <w:rsid w:val="00061E48"/>
    <w:rsid w:val="00062C41"/>
    <w:rsid w:val="00063085"/>
    <w:rsid w:val="00076091"/>
    <w:rsid w:val="00076880"/>
    <w:rsid w:val="000828C6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7E9F"/>
    <w:rsid w:val="000D220D"/>
    <w:rsid w:val="000D44E0"/>
    <w:rsid w:val="000D65D1"/>
    <w:rsid w:val="000D702E"/>
    <w:rsid w:val="000D735D"/>
    <w:rsid w:val="000E1572"/>
    <w:rsid w:val="000E29C9"/>
    <w:rsid w:val="000E657C"/>
    <w:rsid w:val="000E7BA8"/>
    <w:rsid w:val="000F0519"/>
    <w:rsid w:val="000F0ADE"/>
    <w:rsid w:val="000F13EA"/>
    <w:rsid w:val="000F2F09"/>
    <w:rsid w:val="000F4702"/>
    <w:rsid w:val="000F6A80"/>
    <w:rsid w:val="000F6B25"/>
    <w:rsid w:val="000F7A95"/>
    <w:rsid w:val="001047F8"/>
    <w:rsid w:val="00106801"/>
    <w:rsid w:val="00107B30"/>
    <w:rsid w:val="00111654"/>
    <w:rsid w:val="00117214"/>
    <w:rsid w:val="0012049B"/>
    <w:rsid w:val="001243C8"/>
    <w:rsid w:val="00124B85"/>
    <w:rsid w:val="001273B5"/>
    <w:rsid w:val="00127E0D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272"/>
    <w:rsid w:val="00147FA5"/>
    <w:rsid w:val="00151B6A"/>
    <w:rsid w:val="001557FE"/>
    <w:rsid w:val="001570C4"/>
    <w:rsid w:val="0015766F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F56"/>
    <w:rsid w:val="001A6BFD"/>
    <w:rsid w:val="001B195A"/>
    <w:rsid w:val="001B4EA5"/>
    <w:rsid w:val="001B58FB"/>
    <w:rsid w:val="001C1392"/>
    <w:rsid w:val="001C653B"/>
    <w:rsid w:val="001C787E"/>
    <w:rsid w:val="001C7BF0"/>
    <w:rsid w:val="001D018B"/>
    <w:rsid w:val="001D23F1"/>
    <w:rsid w:val="001D319A"/>
    <w:rsid w:val="001D47C6"/>
    <w:rsid w:val="001D65B8"/>
    <w:rsid w:val="001E01BA"/>
    <w:rsid w:val="001E0F83"/>
    <w:rsid w:val="001E14F3"/>
    <w:rsid w:val="001E3351"/>
    <w:rsid w:val="001E5519"/>
    <w:rsid w:val="001E5A75"/>
    <w:rsid w:val="001E6B9D"/>
    <w:rsid w:val="001E6FAF"/>
    <w:rsid w:val="001F2920"/>
    <w:rsid w:val="001F488E"/>
    <w:rsid w:val="001F5AC3"/>
    <w:rsid w:val="002021E2"/>
    <w:rsid w:val="00206E56"/>
    <w:rsid w:val="0021104F"/>
    <w:rsid w:val="0021389C"/>
    <w:rsid w:val="00213DC3"/>
    <w:rsid w:val="00215C5A"/>
    <w:rsid w:val="0021767A"/>
    <w:rsid w:val="00221103"/>
    <w:rsid w:val="0022244D"/>
    <w:rsid w:val="00222596"/>
    <w:rsid w:val="00222AC6"/>
    <w:rsid w:val="00223787"/>
    <w:rsid w:val="00223CA3"/>
    <w:rsid w:val="00224E73"/>
    <w:rsid w:val="00225D42"/>
    <w:rsid w:val="002273C8"/>
    <w:rsid w:val="0023488F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DF6"/>
    <w:rsid w:val="00260DC0"/>
    <w:rsid w:val="00262C1B"/>
    <w:rsid w:val="00264B52"/>
    <w:rsid w:val="00266178"/>
    <w:rsid w:val="002664C7"/>
    <w:rsid w:val="00271C8B"/>
    <w:rsid w:val="00276B41"/>
    <w:rsid w:val="002775CC"/>
    <w:rsid w:val="00280FC6"/>
    <w:rsid w:val="00285E2F"/>
    <w:rsid w:val="00290AA2"/>
    <w:rsid w:val="00290EFB"/>
    <w:rsid w:val="00291346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729"/>
    <w:rsid w:val="00311B2D"/>
    <w:rsid w:val="003137B9"/>
    <w:rsid w:val="003154FF"/>
    <w:rsid w:val="00317768"/>
    <w:rsid w:val="003209F9"/>
    <w:rsid w:val="00331FE6"/>
    <w:rsid w:val="00333A44"/>
    <w:rsid w:val="00335A13"/>
    <w:rsid w:val="00337738"/>
    <w:rsid w:val="00340901"/>
    <w:rsid w:val="003455BC"/>
    <w:rsid w:val="00345E53"/>
    <w:rsid w:val="003462BE"/>
    <w:rsid w:val="003472A8"/>
    <w:rsid w:val="00347FF9"/>
    <w:rsid w:val="00350F29"/>
    <w:rsid w:val="0035181B"/>
    <w:rsid w:val="00352D3A"/>
    <w:rsid w:val="00353D6B"/>
    <w:rsid w:val="00353F4C"/>
    <w:rsid w:val="003572D8"/>
    <w:rsid w:val="00357F63"/>
    <w:rsid w:val="0036045A"/>
    <w:rsid w:val="00361699"/>
    <w:rsid w:val="003616A1"/>
    <w:rsid w:val="003618E5"/>
    <w:rsid w:val="00363E1B"/>
    <w:rsid w:val="00364B2F"/>
    <w:rsid w:val="00371593"/>
    <w:rsid w:val="00382DA8"/>
    <w:rsid w:val="00383747"/>
    <w:rsid w:val="00383FF2"/>
    <w:rsid w:val="00384ADB"/>
    <w:rsid w:val="00387E40"/>
    <w:rsid w:val="00390A6B"/>
    <w:rsid w:val="00390DDA"/>
    <w:rsid w:val="003912BF"/>
    <w:rsid w:val="0039317F"/>
    <w:rsid w:val="00393539"/>
    <w:rsid w:val="00394753"/>
    <w:rsid w:val="00394FF1"/>
    <w:rsid w:val="00395EED"/>
    <w:rsid w:val="003A0C05"/>
    <w:rsid w:val="003A200A"/>
    <w:rsid w:val="003A449C"/>
    <w:rsid w:val="003A5D8C"/>
    <w:rsid w:val="003A67FF"/>
    <w:rsid w:val="003B09B9"/>
    <w:rsid w:val="003B28ED"/>
    <w:rsid w:val="003B3DBB"/>
    <w:rsid w:val="003C0FB5"/>
    <w:rsid w:val="003C227A"/>
    <w:rsid w:val="003C2566"/>
    <w:rsid w:val="003C4D23"/>
    <w:rsid w:val="003C60B9"/>
    <w:rsid w:val="003D10E9"/>
    <w:rsid w:val="003D24A1"/>
    <w:rsid w:val="003D2721"/>
    <w:rsid w:val="003D3140"/>
    <w:rsid w:val="003D431C"/>
    <w:rsid w:val="003D56DE"/>
    <w:rsid w:val="003D6268"/>
    <w:rsid w:val="003E1667"/>
    <w:rsid w:val="003E5145"/>
    <w:rsid w:val="003E6D37"/>
    <w:rsid w:val="003E79B9"/>
    <w:rsid w:val="003F0D24"/>
    <w:rsid w:val="003F15BB"/>
    <w:rsid w:val="003F1C2D"/>
    <w:rsid w:val="003F2734"/>
    <w:rsid w:val="00401111"/>
    <w:rsid w:val="004012D1"/>
    <w:rsid w:val="00402F1D"/>
    <w:rsid w:val="00412D44"/>
    <w:rsid w:val="00414FB3"/>
    <w:rsid w:val="00415A1B"/>
    <w:rsid w:val="004201CB"/>
    <w:rsid w:val="00420322"/>
    <w:rsid w:val="00423ADC"/>
    <w:rsid w:val="00424AD4"/>
    <w:rsid w:val="00426E6A"/>
    <w:rsid w:val="0043001B"/>
    <w:rsid w:val="00433DC8"/>
    <w:rsid w:val="00434B3C"/>
    <w:rsid w:val="004351CC"/>
    <w:rsid w:val="004377DA"/>
    <w:rsid w:val="004377E2"/>
    <w:rsid w:val="004408E7"/>
    <w:rsid w:val="00443003"/>
    <w:rsid w:val="00444394"/>
    <w:rsid w:val="00445B97"/>
    <w:rsid w:val="00445E06"/>
    <w:rsid w:val="00446CDE"/>
    <w:rsid w:val="00450232"/>
    <w:rsid w:val="0045025C"/>
    <w:rsid w:val="00452FEF"/>
    <w:rsid w:val="00453169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4A70"/>
    <w:rsid w:val="004675B7"/>
    <w:rsid w:val="00470630"/>
    <w:rsid w:val="0047209E"/>
    <w:rsid w:val="0047503C"/>
    <w:rsid w:val="004760FD"/>
    <w:rsid w:val="00476C53"/>
    <w:rsid w:val="0048116C"/>
    <w:rsid w:val="0048284E"/>
    <w:rsid w:val="00484A6F"/>
    <w:rsid w:val="00484DDA"/>
    <w:rsid w:val="00484EDB"/>
    <w:rsid w:val="004867E5"/>
    <w:rsid w:val="004901BE"/>
    <w:rsid w:val="00490746"/>
    <w:rsid w:val="004969CB"/>
    <w:rsid w:val="00496F5D"/>
    <w:rsid w:val="004A2728"/>
    <w:rsid w:val="004A4555"/>
    <w:rsid w:val="004A5880"/>
    <w:rsid w:val="004A6C52"/>
    <w:rsid w:val="004B2A17"/>
    <w:rsid w:val="004B4DF9"/>
    <w:rsid w:val="004C285B"/>
    <w:rsid w:val="004D2F50"/>
    <w:rsid w:val="004D3678"/>
    <w:rsid w:val="004D71FD"/>
    <w:rsid w:val="004E04BF"/>
    <w:rsid w:val="004E156E"/>
    <w:rsid w:val="004E4FFB"/>
    <w:rsid w:val="004E672C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57B"/>
    <w:rsid w:val="00553F7B"/>
    <w:rsid w:val="0055791B"/>
    <w:rsid w:val="00563313"/>
    <w:rsid w:val="00564A89"/>
    <w:rsid w:val="00565031"/>
    <w:rsid w:val="005666F4"/>
    <w:rsid w:val="00570953"/>
    <w:rsid w:val="00571BF6"/>
    <w:rsid w:val="00574DEE"/>
    <w:rsid w:val="00583AD3"/>
    <w:rsid w:val="00585466"/>
    <w:rsid w:val="00586D84"/>
    <w:rsid w:val="00590D39"/>
    <w:rsid w:val="005911AC"/>
    <w:rsid w:val="00593E1F"/>
    <w:rsid w:val="005A18FB"/>
    <w:rsid w:val="005A2363"/>
    <w:rsid w:val="005A2E40"/>
    <w:rsid w:val="005A6305"/>
    <w:rsid w:val="005A682F"/>
    <w:rsid w:val="005B02DE"/>
    <w:rsid w:val="005B0C8D"/>
    <w:rsid w:val="005B13A0"/>
    <w:rsid w:val="005C1BC9"/>
    <w:rsid w:val="005C287F"/>
    <w:rsid w:val="005C2A35"/>
    <w:rsid w:val="005C2ADF"/>
    <w:rsid w:val="005C6DEB"/>
    <w:rsid w:val="005C7A91"/>
    <w:rsid w:val="005D4995"/>
    <w:rsid w:val="005D4CF2"/>
    <w:rsid w:val="005E456E"/>
    <w:rsid w:val="005E6669"/>
    <w:rsid w:val="005E7263"/>
    <w:rsid w:val="005E7B06"/>
    <w:rsid w:val="005F2B02"/>
    <w:rsid w:val="005F5B6B"/>
    <w:rsid w:val="005F6C23"/>
    <w:rsid w:val="005F6FDF"/>
    <w:rsid w:val="00600198"/>
    <w:rsid w:val="00601450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23E"/>
    <w:rsid w:val="00617700"/>
    <w:rsid w:val="006204A8"/>
    <w:rsid w:val="006217F1"/>
    <w:rsid w:val="00621F98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6173C"/>
    <w:rsid w:val="00662957"/>
    <w:rsid w:val="006644E6"/>
    <w:rsid w:val="00667F2D"/>
    <w:rsid w:val="006746DB"/>
    <w:rsid w:val="00675B3A"/>
    <w:rsid w:val="00675DA2"/>
    <w:rsid w:val="006771CE"/>
    <w:rsid w:val="006778A2"/>
    <w:rsid w:val="00677A1D"/>
    <w:rsid w:val="006834A9"/>
    <w:rsid w:val="006916CC"/>
    <w:rsid w:val="006916DC"/>
    <w:rsid w:val="00695E99"/>
    <w:rsid w:val="00696F12"/>
    <w:rsid w:val="006A01F5"/>
    <w:rsid w:val="006A0C55"/>
    <w:rsid w:val="006A210B"/>
    <w:rsid w:val="006A3382"/>
    <w:rsid w:val="006A483F"/>
    <w:rsid w:val="006A5132"/>
    <w:rsid w:val="006A5184"/>
    <w:rsid w:val="006B0FE2"/>
    <w:rsid w:val="006B19A0"/>
    <w:rsid w:val="006B2A31"/>
    <w:rsid w:val="006B55D6"/>
    <w:rsid w:val="006B5BA8"/>
    <w:rsid w:val="006B68BC"/>
    <w:rsid w:val="006B6945"/>
    <w:rsid w:val="006B7228"/>
    <w:rsid w:val="006B72EF"/>
    <w:rsid w:val="006C0915"/>
    <w:rsid w:val="006C11BB"/>
    <w:rsid w:val="006C399A"/>
    <w:rsid w:val="006C3FF9"/>
    <w:rsid w:val="006C4174"/>
    <w:rsid w:val="006C45C6"/>
    <w:rsid w:val="006D49F3"/>
    <w:rsid w:val="006D4E1C"/>
    <w:rsid w:val="006D6677"/>
    <w:rsid w:val="006E3FCC"/>
    <w:rsid w:val="006E52E7"/>
    <w:rsid w:val="006E7C46"/>
    <w:rsid w:val="006F1806"/>
    <w:rsid w:val="006F4E86"/>
    <w:rsid w:val="006F50E2"/>
    <w:rsid w:val="006F773D"/>
    <w:rsid w:val="00702E1B"/>
    <w:rsid w:val="00704405"/>
    <w:rsid w:val="00704B2D"/>
    <w:rsid w:val="0070633D"/>
    <w:rsid w:val="007063C4"/>
    <w:rsid w:val="0070714B"/>
    <w:rsid w:val="00707659"/>
    <w:rsid w:val="007111B3"/>
    <w:rsid w:val="00711E1C"/>
    <w:rsid w:val="00711F3A"/>
    <w:rsid w:val="00712B6C"/>
    <w:rsid w:val="00721227"/>
    <w:rsid w:val="00721A22"/>
    <w:rsid w:val="00721C5C"/>
    <w:rsid w:val="00721CEA"/>
    <w:rsid w:val="007247ED"/>
    <w:rsid w:val="00727756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57F"/>
    <w:rsid w:val="00763360"/>
    <w:rsid w:val="00763A4B"/>
    <w:rsid w:val="00764E61"/>
    <w:rsid w:val="00767423"/>
    <w:rsid w:val="0077061D"/>
    <w:rsid w:val="00775951"/>
    <w:rsid w:val="00775AA6"/>
    <w:rsid w:val="0078015D"/>
    <w:rsid w:val="00781160"/>
    <w:rsid w:val="007827A3"/>
    <w:rsid w:val="007846BD"/>
    <w:rsid w:val="0078562D"/>
    <w:rsid w:val="00785E60"/>
    <w:rsid w:val="00785E90"/>
    <w:rsid w:val="007864CA"/>
    <w:rsid w:val="00787CDE"/>
    <w:rsid w:val="007A1D61"/>
    <w:rsid w:val="007A4CFD"/>
    <w:rsid w:val="007A6B64"/>
    <w:rsid w:val="007B0068"/>
    <w:rsid w:val="007B025E"/>
    <w:rsid w:val="007B0AC3"/>
    <w:rsid w:val="007B0B53"/>
    <w:rsid w:val="007B5523"/>
    <w:rsid w:val="007B693F"/>
    <w:rsid w:val="007B7F68"/>
    <w:rsid w:val="007C1912"/>
    <w:rsid w:val="007C4C33"/>
    <w:rsid w:val="007C796B"/>
    <w:rsid w:val="007D0244"/>
    <w:rsid w:val="007D0BDE"/>
    <w:rsid w:val="007D1FD8"/>
    <w:rsid w:val="007D2AEF"/>
    <w:rsid w:val="007D2CE6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0AB"/>
    <w:rsid w:val="007F3773"/>
    <w:rsid w:val="007F3F93"/>
    <w:rsid w:val="007F41EE"/>
    <w:rsid w:val="007F6D99"/>
    <w:rsid w:val="007F7A60"/>
    <w:rsid w:val="008004DF"/>
    <w:rsid w:val="008010EA"/>
    <w:rsid w:val="008023F4"/>
    <w:rsid w:val="008024B2"/>
    <w:rsid w:val="00803A7B"/>
    <w:rsid w:val="00804EE8"/>
    <w:rsid w:val="00816B32"/>
    <w:rsid w:val="00820E23"/>
    <w:rsid w:val="0082105B"/>
    <w:rsid w:val="00822FDF"/>
    <w:rsid w:val="00823FC1"/>
    <w:rsid w:val="00826F85"/>
    <w:rsid w:val="0083444D"/>
    <w:rsid w:val="008420D9"/>
    <w:rsid w:val="008427C5"/>
    <w:rsid w:val="0084379F"/>
    <w:rsid w:val="00845545"/>
    <w:rsid w:val="008551B9"/>
    <w:rsid w:val="00855342"/>
    <w:rsid w:val="0085621E"/>
    <w:rsid w:val="00856854"/>
    <w:rsid w:val="00860094"/>
    <w:rsid w:val="00861ECE"/>
    <w:rsid w:val="00864294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2F5E"/>
    <w:rsid w:val="008B6066"/>
    <w:rsid w:val="008B7267"/>
    <w:rsid w:val="008C11CD"/>
    <w:rsid w:val="008C122C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3CA9"/>
    <w:rsid w:val="008E416F"/>
    <w:rsid w:val="008E47D2"/>
    <w:rsid w:val="008E6B72"/>
    <w:rsid w:val="008F024A"/>
    <w:rsid w:val="008F1D51"/>
    <w:rsid w:val="008F53AF"/>
    <w:rsid w:val="008F5876"/>
    <w:rsid w:val="009007C6"/>
    <w:rsid w:val="00900C1D"/>
    <w:rsid w:val="00903390"/>
    <w:rsid w:val="00906D99"/>
    <w:rsid w:val="009079AD"/>
    <w:rsid w:val="00910E26"/>
    <w:rsid w:val="00915A15"/>
    <w:rsid w:val="00915A9C"/>
    <w:rsid w:val="00917FAE"/>
    <w:rsid w:val="00920EBF"/>
    <w:rsid w:val="00924EEF"/>
    <w:rsid w:val="0093135A"/>
    <w:rsid w:val="00931490"/>
    <w:rsid w:val="00934B81"/>
    <w:rsid w:val="009362E7"/>
    <w:rsid w:val="009371BA"/>
    <w:rsid w:val="00942368"/>
    <w:rsid w:val="00945316"/>
    <w:rsid w:val="00946F8D"/>
    <w:rsid w:val="009502E9"/>
    <w:rsid w:val="00950950"/>
    <w:rsid w:val="0095231B"/>
    <w:rsid w:val="00955F25"/>
    <w:rsid w:val="009637EA"/>
    <w:rsid w:val="009641EA"/>
    <w:rsid w:val="00965272"/>
    <w:rsid w:val="00965D5D"/>
    <w:rsid w:val="00965DED"/>
    <w:rsid w:val="009660C0"/>
    <w:rsid w:val="00971A2C"/>
    <w:rsid w:val="0097361F"/>
    <w:rsid w:val="00974222"/>
    <w:rsid w:val="0097529F"/>
    <w:rsid w:val="009770DD"/>
    <w:rsid w:val="009777FB"/>
    <w:rsid w:val="00981993"/>
    <w:rsid w:val="0098245F"/>
    <w:rsid w:val="009826DB"/>
    <w:rsid w:val="00983EE0"/>
    <w:rsid w:val="00985397"/>
    <w:rsid w:val="0098778D"/>
    <w:rsid w:val="009900AD"/>
    <w:rsid w:val="00991C37"/>
    <w:rsid w:val="0099328D"/>
    <w:rsid w:val="00994ECA"/>
    <w:rsid w:val="00995730"/>
    <w:rsid w:val="00995EC9"/>
    <w:rsid w:val="0099694B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6CE4"/>
    <w:rsid w:val="009C0018"/>
    <w:rsid w:val="009C001E"/>
    <w:rsid w:val="009C0800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44AD"/>
    <w:rsid w:val="009E58B0"/>
    <w:rsid w:val="009E6A9F"/>
    <w:rsid w:val="009F3AD0"/>
    <w:rsid w:val="009F75EC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21A2C"/>
    <w:rsid w:val="00A24751"/>
    <w:rsid w:val="00A27BA8"/>
    <w:rsid w:val="00A320B1"/>
    <w:rsid w:val="00A32542"/>
    <w:rsid w:val="00A33695"/>
    <w:rsid w:val="00A35C0D"/>
    <w:rsid w:val="00A36D27"/>
    <w:rsid w:val="00A36D70"/>
    <w:rsid w:val="00A4309F"/>
    <w:rsid w:val="00A431AF"/>
    <w:rsid w:val="00A449A6"/>
    <w:rsid w:val="00A45C17"/>
    <w:rsid w:val="00A469C9"/>
    <w:rsid w:val="00A46B32"/>
    <w:rsid w:val="00A51E27"/>
    <w:rsid w:val="00A60BA6"/>
    <w:rsid w:val="00A61994"/>
    <w:rsid w:val="00A64421"/>
    <w:rsid w:val="00A72569"/>
    <w:rsid w:val="00A72DF3"/>
    <w:rsid w:val="00A76A5D"/>
    <w:rsid w:val="00A772B4"/>
    <w:rsid w:val="00A77DDD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DBC"/>
    <w:rsid w:val="00A921D0"/>
    <w:rsid w:val="00A9707B"/>
    <w:rsid w:val="00A97B12"/>
    <w:rsid w:val="00AA02BE"/>
    <w:rsid w:val="00AA0B7E"/>
    <w:rsid w:val="00AA21F3"/>
    <w:rsid w:val="00AA2AD2"/>
    <w:rsid w:val="00AA40D1"/>
    <w:rsid w:val="00AB233A"/>
    <w:rsid w:val="00AB28E2"/>
    <w:rsid w:val="00AB2F46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CD7"/>
    <w:rsid w:val="00AE2F75"/>
    <w:rsid w:val="00AE34DF"/>
    <w:rsid w:val="00AE5923"/>
    <w:rsid w:val="00AF0271"/>
    <w:rsid w:val="00AF06DB"/>
    <w:rsid w:val="00AF172A"/>
    <w:rsid w:val="00AF62BC"/>
    <w:rsid w:val="00AF672F"/>
    <w:rsid w:val="00AF7FA5"/>
    <w:rsid w:val="00B01163"/>
    <w:rsid w:val="00B0191A"/>
    <w:rsid w:val="00B0468D"/>
    <w:rsid w:val="00B05254"/>
    <w:rsid w:val="00B057CA"/>
    <w:rsid w:val="00B063D0"/>
    <w:rsid w:val="00B12EA6"/>
    <w:rsid w:val="00B141BC"/>
    <w:rsid w:val="00B15280"/>
    <w:rsid w:val="00B1595E"/>
    <w:rsid w:val="00B17100"/>
    <w:rsid w:val="00B200D4"/>
    <w:rsid w:val="00B207F4"/>
    <w:rsid w:val="00B22A44"/>
    <w:rsid w:val="00B244CF"/>
    <w:rsid w:val="00B2596F"/>
    <w:rsid w:val="00B27616"/>
    <w:rsid w:val="00B27865"/>
    <w:rsid w:val="00B27962"/>
    <w:rsid w:val="00B33244"/>
    <w:rsid w:val="00B35C1A"/>
    <w:rsid w:val="00B36BA6"/>
    <w:rsid w:val="00B414D0"/>
    <w:rsid w:val="00B42ABA"/>
    <w:rsid w:val="00B439B1"/>
    <w:rsid w:val="00B4530A"/>
    <w:rsid w:val="00B50194"/>
    <w:rsid w:val="00B51F42"/>
    <w:rsid w:val="00B53030"/>
    <w:rsid w:val="00B65F23"/>
    <w:rsid w:val="00B679C2"/>
    <w:rsid w:val="00B7024C"/>
    <w:rsid w:val="00B70632"/>
    <w:rsid w:val="00B80B0E"/>
    <w:rsid w:val="00B822A4"/>
    <w:rsid w:val="00B82A3A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D0674"/>
    <w:rsid w:val="00BD26B2"/>
    <w:rsid w:val="00BD2B86"/>
    <w:rsid w:val="00BE0698"/>
    <w:rsid w:val="00BE1311"/>
    <w:rsid w:val="00BE2D91"/>
    <w:rsid w:val="00BE3226"/>
    <w:rsid w:val="00BE358B"/>
    <w:rsid w:val="00BE6DFE"/>
    <w:rsid w:val="00BF27C4"/>
    <w:rsid w:val="00BF3C7F"/>
    <w:rsid w:val="00BF4825"/>
    <w:rsid w:val="00BF4DBA"/>
    <w:rsid w:val="00BF640E"/>
    <w:rsid w:val="00BF666D"/>
    <w:rsid w:val="00BF67A2"/>
    <w:rsid w:val="00C000FD"/>
    <w:rsid w:val="00C01264"/>
    <w:rsid w:val="00C02143"/>
    <w:rsid w:val="00C029BC"/>
    <w:rsid w:val="00C04D37"/>
    <w:rsid w:val="00C0662F"/>
    <w:rsid w:val="00C066B8"/>
    <w:rsid w:val="00C07304"/>
    <w:rsid w:val="00C074C4"/>
    <w:rsid w:val="00C101C6"/>
    <w:rsid w:val="00C12FEB"/>
    <w:rsid w:val="00C15B08"/>
    <w:rsid w:val="00C1644D"/>
    <w:rsid w:val="00C16AD7"/>
    <w:rsid w:val="00C2230F"/>
    <w:rsid w:val="00C25670"/>
    <w:rsid w:val="00C2609F"/>
    <w:rsid w:val="00C2636B"/>
    <w:rsid w:val="00C277FB"/>
    <w:rsid w:val="00C3194E"/>
    <w:rsid w:val="00C338A5"/>
    <w:rsid w:val="00C356C8"/>
    <w:rsid w:val="00C367B4"/>
    <w:rsid w:val="00C368A1"/>
    <w:rsid w:val="00C36B2D"/>
    <w:rsid w:val="00C4072C"/>
    <w:rsid w:val="00C40D60"/>
    <w:rsid w:val="00C41ABD"/>
    <w:rsid w:val="00C43339"/>
    <w:rsid w:val="00C43A7D"/>
    <w:rsid w:val="00C46DB1"/>
    <w:rsid w:val="00C47BD3"/>
    <w:rsid w:val="00C50300"/>
    <w:rsid w:val="00C521E5"/>
    <w:rsid w:val="00C52B89"/>
    <w:rsid w:val="00C52CE2"/>
    <w:rsid w:val="00C53963"/>
    <w:rsid w:val="00C54763"/>
    <w:rsid w:val="00C54D14"/>
    <w:rsid w:val="00C563A1"/>
    <w:rsid w:val="00C569F8"/>
    <w:rsid w:val="00C57601"/>
    <w:rsid w:val="00C57B68"/>
    <w:rsid w:val="00C624CC"/>
    <w:rsid w:val="00C635CF"/>
    <w:rsid w:val="00C65806"/>
    <w:rsid w:val="00C707EE"/>
    <w:rsid w:val="00C71A90"/>
    <w:rsid w:val="00C7348B"/>
    <w:rsid w:val="00C8129D"/>
    <w:rsid w:val="00C81874"/>
    <w:rsid w:val="00C81D53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604B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CF609C"/>
    <w:rsid w:val="00D02770"/>
    <w:rsid w:val="00D03C12"/>
    <w:rsid w:val="00D054C0"/>
    <w:rsid w:val="00D06F70"/>
    <w:rsid w:val="00D07BD7"/>
    <w:rsid w:val="00D10700"/>
    <w:rsid w:val="00D10C3F"/>
    <w:rsid w:val="00D115F3"/>
    <w:rsid w:val="00D12FB2"/>
    <w:rsid w:val="00D14A32"/>
    <w:rsid w:val="00D2018B"/>
    <w:rsid w:val="00D20309"/>
    <w:rsid w:val="00D204FD"/>
    <w:rsid w:val="00D207BF"/>
    <w:rsid w:val="00D209F9"/>
    <w:rsid w:val="00D20C67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2D05"/>
    <w:rsid w:val="00DC40DA"/>
    <w:rsid w:val="00DD12B7"/>
    <w:rsid w:val="00DD1906"/>
    <w:rsid w:val="00DD2C19"/>
    <w:rsid w:val="00DD58A5"/>
    <w:rsid w:val="00DD72AA"/>
    <w:rsid w:val="00DE0962"/>
    <w:rsid w:val="00DE230A"/>
    <w:rsid w:val="00DE35BA"/>
    <w:rsid w:val="00DE4035"/>
    <w:rsid w:val="00DE4821"/>
    <w:rsid w:val="00DE4EF2"/>
    <w:rsid w:val="00DE55EC"/>
    <w:rsid w:val="00DE5729"/>
    <w:rsid w:val="00DE6063"/>
    <w:rsid w:val="00DF008D"/>
    <w:rsid w:val="00DF6633"/>
    <w:rsid w:val="00DF7226"/>
    <w:rsid w:val="00E02226"/>
    <w:rsid w:val="00E02A1B"/>
    <w:rsid w:val="00E02C8A"/>
    <w:rsid w:val="00E050F3"/>
    <w:rsid w:val="00E052A9"/>
    <w:rsid w:val="00E07C8E"/>
    <w:rsid w:val="00E108C2"/>
    <w:rsid w:val="00E11F7B"/>
    <w:rsid w:val="00E12946"/>
    <w:rsid w:val="00E143FD"/>
    <w:rsid w:val="00E15492"/>
    <w:rsid w:val="00E1696D"/>
    <w:rsid w:val="00E17043"/>
    <w:rsid w:val="00E1750A"/>
    <w:rsid w:val="00E2063E"/>
    <w:rsid w:val="00E21328"/>
    <w:rsid w:val="00E25528"/>
    <w:rsid w:val="00E27969"/>
    <w:rsid w:val="00E27CC9"/>
    <w:rsid w:val="00E32DA2"/>
    <w:rsid w:val="00E33B0C"/>
    <w:rsid w:val="00E33BF7"/>
    <w:rsid w:val="00E41415"/>
    <w:rsid w:val="00E417A7"/>
    <w:rsid w:val="00E41A58"/>
    <w:rsid w:val="00E42511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43B2"/>
    <w:rsid w:val="00E54B05"/>
    <w:rsid w:val="00E5608A"/>
    <w:rsid w:val="00E56E29"/>
    <w:rsid w:val="00E57916"/>
    <w:rsid w:val="00E60049"/>
    <w:rsid w:val="00E60B50"/>
    <w:rsid w:val="00E63DC8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3D25"/>
    <w:rsid w:val="00E83F90"/>
    <w:rsid w:val="00E84465"/>
    <w:rsid w:val="00E93275"/>
    <w:rsid w:val="00E9580A"/>
    <w:rsid w:val="00E96FFE"/>
    <w:rsid w:val="00EA3219"/>
    <w:rsid w:val="00EA3FEF"/>
    <w:rsid w:val="00EA419C"/>
    <w:rsid w:val="00EA549E"/>
    <w:rsid w:val="00EB154B"/>
    <w:rsid w:val="00EB24B3"/>
    <w:rsid w:val="00EB3D2B"/>
    <w:rsid w:val="00EB5804"/>
    <w:rsid w:val="00EB6AF6"/>
    <w:rsid w:val="00EB6B66"/>
    <w:rsid w:val="00EB7B94"/>
    <w:rsid w:val="00EC0D9E"/>
    <w:rsid w:val="00EC43A5"/>
    <w:rsid w:val="00EC5046"/>
    <w:rsid w:val="00EC5298"/>
    <w:rsid w:val="00EC69A1"/>
    <w:rsid w:val="00ED1EF3"/>
    <w:rsid w:val="00ED55F7"/>
    <w:rsid w:val="00ED7234"/>
    <w:rsid w:val="00ED7C8E"/>
    <w:rsid w:val="00EE2205"/>
    <w:rsid w:val="00EE2934"/>
    <w:rsid w:val="00EE385F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322C"/>
    <w:rsid w:val="00F04906"/>
    <w:rsid w:val="00F04F29"/>
    <w:rsid w:val="00F12EA3"/>
    <w:rsid w:val="00F1455C"/>
    <w:rsid w:val="00F150E9"/>
    <w:rsid w:val="00F163EA"/>
    <w:rsid w:val="00F174C5"/>
    <w:rsid w:val="00F20C92"/>
    <w:rsid w:val="00F21A1B"/>
    <w:rsid w:val="00F24AD1"/>
    <w:rsid w:val="00F276A6"/>
    <w:rsid w:val="00F30076"/>
    <w:rsid w:val="00F30757"/>
    <w:rsid w:val="00F325B9"/>
    <w:rsid w:val="00F33A0C"/>
    <w:rsid w:val="00F33AD3"/>
    <w:rsid w:val="00F356CE"/>
    <w:rsid w:val="00F35FFD"/>
    <w:rsid w:val="00F360BF"/>
    <w:rsid w:val="00F36707"/>
    <w:rsid w:val="00F40CD9"/>
    <w:rsid w:val="00F41952"/>
    <w:rsid w:val="00F41B3A"/>
    <w:rsid w:val="00F423F0"/>
    <w:rsid w:val="00F44F8A"/>
    <w:rsid w:val="00F4557F"/>
    <w:rsid w:val="00F463F5"/>
    <w:rsid w:val="00F51302"/>
    <w:rsid w:val="00F5381F"/>
    <w:rsid w:val="00F5524C"/>
    <w:rsid w:val="00F56926"/>
    <w:rsid w:val="00F60F37"/>
    <w:rsid w:val="00F61095"/>
    <w:rsid w:val="00F620A2"/>
    <w:rsid w:val="00F63BA7"/>
    <w:rsid w:val="00F7508F"/>
    <w:rsid w:val="00F7650D"/>
    <w:rsid w:val="00F777C7"/>
    <w:rsid w:val="00F800B6"/>
    <w:rsid w:val="00F84B2D"/>
    <w:rsid w:val="00F91572"/>
    <w:rsid w:val="00F93B5F"/>
    <w:rsid w:val="00F940AE"/>
    <w:rsid w:val="00F94F7D"/>
    <w:rsid w:val="00F94FFF"/>
    <w:rsid w:val="00F966F4"/>
    <w:rsid w:val="00FB199D"/>
    <w:rsid w:val="00FB1C26"/>
    <w:rsid w:val="00FB1D44"/>
    <w:rsid w:val="00FB2C3F"/>
    <w:rsid w:val="00FB3348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B2D"/>
    <w:rsid w:val="00FE4AE0"/>
    <w:rsid w:val="00FE4D22"/>
    <w:rsid w:val="00FF0EEE"/>
    <w:rsid w:val="00FF28DF"/>
    <w:rsid w:val="00FF3A9F"/>
    <w:rsid w:val="00FF3ED5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endnote reference" w:semiHidden="0" w:uiPriority="1" w:unhideWhenUsed="0"/>
    <w:lsdException w:name="endnote text" w:semiHidden="0" w:uiPriority="1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ro-RO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ro-RO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ro-RO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ro-RO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ro-RO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ro-RO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ro-RO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ro-RO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ro-RO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ro-RO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ro-RO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ro-RO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ro-RO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ro-RO" w:eastAsia="ro-RO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ro-RO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ro-RO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ro-RO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ro-RO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D4995"/>
    <w:pPr>
      <w:tabs>
        <w:tab w:val="left" w:pos="477"/>
      </w:tabs>
      <w:spacing w:before="0" w:after="0"/>
    </w:pPr>
    <w:rPr>
      <w:rFonts w:ascii="Times New Roman" w:hAnsi="Times New Roman"/>
      <w:spacing w:val="-2"/>
      <w:sz w:val="24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ro-RO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ro-RO" w:eastAsia="ro-RO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D4995"/>
    <w:rPr>
      <w:rFonts w:ascii="Times New Roman" w:eastAsia="Times New Roman" w:hAnsi="Times New Roman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ro-RO" w:eastAsia="ro-RO" w:bidi="ro-RO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ro-RO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endnote reference" w:semiHidden="0" w:uiPriority="1" w:unhideWhenUsed="0"/>
    <w:lsdException w:name="endnote text" w:semiHidden="0" w:uiPriority="1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ro-RO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ro-RO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ro-RO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ro-RO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ro-RO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ro-RO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ro-RO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ro-RO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ro-RO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ro-RO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ro-RO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ro-RO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ro-RO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ro-RO" w:eastAsia="ro-RO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ro-RO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ro-RO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ro-RO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ro-RO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D4995"/>
    <w:pPr>
      <w:tabs>
        <w:tab w:val="left" w:pos="477"/>
      </w:tabs>
      <w:spacing w:before="0" w:after="0"/>
    </w:pPr>
    <w:rPr>
      <w:rFonts w:ascii="Times New Roman" w:hAnsi="Times New Roman"/>
      <w:spacing w:val="-2"/>
      <w:sz w:val="24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ro-RO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ro-RO" w:eastAsia="ro-RO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D4995"/>
    <w:rPr>
      <w:rFonts w:ascii="Times New Roman" w:eastAsia="Times New Roman" w:hAnsi="Times New Roman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ro-RO" w:eastAsia="ro-RO" w:bidi="ro-RO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ro-RO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4E79A-3B29-4235-93EC-0B82A81EF2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EC8DAA-E638-4350-A917-A8628474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20</Pages>
  <Words>6168</Words>
  <Characters>35164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41250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 staff</dc:creator>
  <cp:lastModifiedBy>CIOCLEI Carmen (MARKT)</cp:lastModifiedBy>
  <cp:revision>18</cp:revision>
  <dcterms:created xsi:type="dcterms:W3CDTF">2018-06-13T13:34:00Z</dcterms:created>
  <dcterms:modified xsi:type="dcterms:W3CDTF">2018-09-07T08:36:00Z</dcterms:modified>
</cp:coreProperties>
</file>