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SL</w:t>
      </w:r>
    </w:p>
    <w:p w:rsidR="008934A4" w:rsidRDefault="008934A4" w:rsidP="00A15D28">
      <w:pPr>
        <w:jc w:val="center"/>
        <w:rPr>
          <w:rFonts w:ascii="Times New Roman" w:hAnsi="Times New Roman"/>
          <w:b/>
          <w:sz w:val="24"/>
          <w:szCs w:val="24"/>
        </w:rPr>
      </w:pPr>
      <w:r>
        <w:rPr>
          <w:rFonts w:ascii="Times New Roman" w:hAnsi="Times New Roman"/>
          <w:b/>
          <w:sz w:val="24"/>
        </w:rPr>
        <w:t>PRILOGA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D869F0" w:rsidP="00A15D28">
      <w:pPr>
        <w:jc w:val="center"/>
        <w:rPr>
          <w:rFonts w:ascii="Times New Roman" w:hAnsi="Times New Roman"/>
          <w:sz w:val="28"/>
          <w:szCs w:val="28"/>
          <w:u w:val="single"/>
        </w:rPr>
      </w:pPr>
      <w:r>
        <w:rPr>
          <w:rFonts w:ascii="Times New Roman" w:hAnsi="Times New Roman"/>
          <w:b/>
          <w:sz w:val="24"/>
          <w:u w:val="single"/>
        </w:rPr>
        <w:t>„</w:t>
      </w:r>
      <w:r w:rsidR="00A15D28">
        <w:rPr>
          <w:rFonts w:ascii="Times New Roman" w:hAnsi="Times New Roman"/>
          <w:b/>
          <w:sz w:val="24"/>
          <w:u w:val="single"/>
        </w:rPr>
        <w:t>PRILOGA XI</w:t>
      </w:r>
    </w:p>
    <w:p w:rsidR="00A15D28" w:rsidRPr="00E94154" w:rsidRDefault="00A15D28" w:rsidP="00A15D28">
      <w:pPr>
        <w:jc w:val="center"/>
        <w:rPr>
          <w:rFonts w:ascii="Times New Roman" w:hAnsi="Times New Roman"/>
        </w:rPr>
      </w:pPr>
      <w:r>
        <w:rPr>
          <w:rFonts w:ascii="Times New Roman" w:hAnsi="Times New Roman"/>
          <w:b/>
          <w:sz w:val="24"/>
        </w:rPr>
        <w:t>POROČANJE O FINANČNEM VZVODU</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869F0" w:rsidRPr="00E27161" w:rsidRDefault="00E27161">
      <w:pPr>
        <w:pStyle w:val="TOC1"/>
        <w:rPr>
          <w:rFonts w:ascii="Times New Roman" w:eastAsiaTheme="minorEastAsia" w:hAnsi="Times New Roman"/>
          <w:color w:val="auto"/>
          <w:sz w:val="22"/>
          <w:szCs w:val="22"/>
          <w:lang w:bidi="ar-SA"/>
        </w:rPr>
      </w:pPr>
      <w:r w:rsidRPr="00E27161">
        <w:rPr>
          <w:rFonts w:ascii="Times New Roman" w:hAnsi="Times New Roman"/>
          <w:b/>
        </w:rPr>
        <w:fldChar w:fldCharType="begin"/>
      </w:r>
      <w:r w:rsidR="00391EF9" w:rsidRPr="00E27161">
        <w:rPr>
          <w:rFonts w:ascii="Times New Roman" w:hAnsi="Times New Roman"/>
          <w:b/>
        </w:rPr>
        <w:instrText xml:space="preserve"> TOC \o "1-3" \h \z \u </w:instrText>
      </w:r>
      <w:r w:rsidRPr="00E27161">
        <w:rPr>
          <w:rFonts w:ascii="Times New Roman" w:hAnsi="Times New Roman"/>
          <w:b/>
        </w:rPr>
        <w:fldChar w:fldCharType="separate"/>
      </w:r>
      <w:hyperlink w:anchor="_Toc523237387" w:history="1">
        <w:r w:rsidR="00D869F0" w:rsidRPr="00E27161">
          <w:rPr>
            <w:rStyle w:val="Hyperlink"/>
            <w:rFonts w:ascii="Times New Roman" w:hAnsi="Times New Roman"/>
            <w:b/>
          </w:rPr>
          <w:t>DEL I: SPLOŠNA NAVODILA</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_Toc523237387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88" w:history="1">
        <w:r w:rsidR="00D869F0" w:rsidRPr="00E27161">
          <w:rPr>
            <w:rStyle w:val="Hyperlink"/>
            <w:rFonts w:ascii="Times New Roman" w:hAnsi="Times New Roman"/>
          </w:rPr>
          <w:t>1.</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Označevanje predlog in drugi dogovori</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_Toc523237388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w:t>
        </w:r>
        <w:r w:rsidR="00D869F0" w:rsidRPr="00E27161">
          <w:rPr>
            <w:rFonts w:ascii="Times New Roman" w:hAnsi="Times New Roman"/>
            <w:webHidden/>
          </w:rPr>
          <w:fldChar w:fldCharType="end"/>
        </w:r>
      </w:hyperlink>
    </w:p>
    <w:p w:rsidR="00D869F0" w:rsidRPr="00E27161" w:rsidRDefault="00297706">
      <w:pPr>
        <w:pStyle w:val="TOC3"/>
        <w:rPr>
          <w:rFonts w:ascii="Times New Roman" w:eastAsiaTheme="minorEastAsia" w:hAnsi="Times New Roman"/>
          <w:smallCaps w:val="0"/>
          <w:sz w:val="22"/>
          <w:szCs w:val="22"/>
          <w:lang w:bidi="ar-SA"/>
        </w:rPr>
      </w:pPr>
      <w:hyperlink w:anchor="_Toc523237389" w:history="1">
        <w:r w:rsidR="00D869F0" w:rsidRPr="00E27161">
          <w:rPr>
            <w:rStyle w:val="Hyperlink"/>
            <w:rFonts w:ascii="Times New Roman" w:hAnsi="Times New Roman"/>
            <w:b/>
          </w:rPr>
          <w:t>1.1.</w:t>
        </w:r>
        <w:r w:rsidR="00D869F0" w:rsidRPr="00E27161">
          <w:rPr>
            <w:rFonts w:ascii="Times New Roman" w:eastAsiaTheme="minorEastAsia" w:hAnsi="Times New Roman"/>
            <w:smallCaps w:val="0"/>
            <w:sz w:val="22"/>
            <w:szCs w:val="22"/>
            <w:lang w:bidi="ar-SA"/>
          </w:rPr>
          <w:tab/>
        </w:r>
        <w:r w:rsidR="00D869F0" w:rsidRPr="00E27161">
          <w:rPr>
            <w:rStyle w:val="Hyperlink"/>
            <w:rFonts w:ascii="Times New Roman" w:hAnsi="Times New Roman"/>
            <w:b/>
          </w:rPr>
          <w:t>Označevanje predlog</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_Toc523237389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w:t>
        </w:r>
        <w:r w:rsidR="00D869F0" w:rsidRPr="00E27161">
          <w:rPr>
            <w:rFonts w:ascii="Times New Roman" w:hAnsi="Times New Roman"/>
            <w:webHidden/>
          </w:rPr>
          <w:fldChar w:fldCharType="end"/>
        </w:r>
      </w:hyperlink>
    </w:p>
    <w:p w:rsidR="00D869F0" w:rsidRPr="00E27161" w:rsidRDefault="00297706">
      <w:pPr>
        <w:pStyle w:val="TOC3"/>
        <w:rPr>
          <w:rFonts w:ascii="Times New Roman" w:eastAsiaTheme="minorEastAsia" w:hAnsi="Times New Roman"/>
          <w:smallCaps w:val="0"/>
          <w:sz w:val="22"/>
          <w:szCs w:val="22"/>
          <w:lang w:bidi="ar-SA"/>
        </w:rPr>
      </w:pPr>
      <w:hyperlink w:anchor="_Toc523237390" w:history="1">
        <w:r w:rsidR="00D869F0" w:rsidRPr="00E27161">
          <w:rPr>
            <w:rStyle w:val="Hyperlink"/>
            <w:rFonts w:ascii="Times New Roman" w:hAnsi="Times New Roman"/>
            <w:b/>
          </w:rPr>
          <w:t>1.2.</w:t>
        </w:r>
        <w:r w:rsidR="00D869F0" w:rsidRPr="00E27161">
          <w:rPr>
            <w:rFonts w:ascii="Times New Roman" w:eastAsiaTheme="minorEastAsia" w:hAnsi="Times New Roman"/>
            <w:smallCaps w:val="0"/>
            <w:sz w:val="22"/>
            <w:szCs w:val="22"/>
            <w:lang w:bidi="ar-SA"/>
          </w:rPr>
          <w:tab/>
        </w:r>
        <w:r w:rsidR="00D869F0" w:rsidRPr="00E27161">
          <w:rPr>
            <w:rStyle w:val="Hyperlink"/>
            <w:rFonts w:ascii="Times New Roman" w:hAnsi="Times New Roman"/>
            <w:b/>
          </w:rPr>
          <w:t>Dogovor glede oštevilčenja</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_Toc523237390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w:t>
        </w:r>
        <w:r w:rsidR="00D869F0" w:rsidRPr="00E27161">
          <w:rPr>
            <w:rFonts w:ascii="Times New Roman" w:hAnsi="Times New Roman"/>
            <w:webHidden/>
          </w:rPr>
          <w:fldChar w:fldCharType="end"/>
        </w:r>
      </w:hyperlink>
    </w:p>
    <w:p w:rsidR="00D869F0" w:rsidRPr="00E27161" w:rsidRDefault="00297706">
      <w:pPr>
        <w:pStyle w:val="TOC3"/>
        <w:rPr>
          <w:rFonts w:ascii="Times New Roman" w:eastAsiaTheme="minorEastAsia" w:hAnsi="Times New Roman"/>
          <w:smallCaps w:val="0"/>
          <w:sz w:val="22"/>
          <w:szCs w:val="22"/>
          <w:lang w:bidi="ar-SA"/>
        </w:rPr>
      </w:pPr>
      <w:hyperlink w:anchor="_Toc523237391" w:history="1">
        <w:r w:rsidR="00D869F0" w:rsidRPr="00E27161">
          <w:rPr>
            <w:rStyle w:val="Hyperlink"/>
            <w:rFonts w:ascii="Times New Roman" w:hAnsi="Times New Roman"/>
            <w:b/>
          </w:rPr>
          <w:t>1.3.</w:t>
        </w:r>
        <w:r w:rsidR="00D869F0" w:rsidRPr="00E27161">
          <w:rPr>
            <w:rFonts w:ascii="Times New Roman" w:eastAsiaTheme="minorEastAsia" w:hAnsi="Times New Roman"/>
            <w:smallCaps w:val="0"/>
            <w:sz w:val="22"/>
            <w:szCs w:val="22"/>
            <w:lang w:bidi="ar-SA"/>
          </w:rPr>
          <w:tab/>
        </w:r>
        <w:r w:rsidR="00D869F0" w:rsidRPr="00E27161">
          <w:rPr>
            <w:rStyle w:val="Hyperlink"/>
            <w:rFonts w:ascii="Times New Roman" w:hAnsi="Times New Roman"/>
            <w:b/>
          </w:rPr>
          <w:t>Okrajšave</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_Toc523237391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w:t>
        </w:r>
        <w:r w:rsidR="00D869F0" w:rsidRPr="00E27161">
          <w:rPr>
            <w:rFonts w:ascii="Times New Roman" w:hAnsi="Times New Roman"/>
            <w:webHidden/>
          </w:rPr>
          <w:fldChar w:fldCharType="end"/>
        </w:r>
      </w:hyperlink>
    </w:p>
    <w:p w:rsidR="00D869F0" w:rsidRPr="00E27161" w:rsidRDefault="00297706">
      <w:pPr>
        <w:pStyle w:val="TOC3"/>
        <w:rPr>
          <w:rFonts w:ascii="Times New Roman" w:eastAsiaTheme="minorEastAsia" w:hAnsi="Times New Roman"/>
          <w:smallCaps w:val="0"/>
          <w:sz w:val="22"/>
          <w:szCs w:val="22"/>
          <w:lang w:bidi="ar-SA"/>
        </w:rPr>
      </w:pPr>
      <w:hyperlink w:anchor="_Toc523237392" w:history="1">
        <w:r w:rsidR="00D869F0" w:rsidRPr="00E27161">
          <w:rPr>
            <w:rStyle w:val="Hyperlink"/>
            <w:rFonts w:ascii="Times New Roman" w:hAnsi="Times New Roman"/>
            <w:b/>
          </w:rPr>
          <w:t>1.4.</w:t>
        </w:r>
        <w:r w:rsidR="00D869F0" w:rsidRPr="00E27161">
          <w:rPr>
            <w:rFonts w:ascii="Times New Roman" w:eastAsiaTheme="minorEastAsia" w:hAnsi="Times New Roman"/>
            <w:smallCaps w:val="0"/>
            <w:sz w:val="22"/>
            <w:szCs w:val="22"/>
            <w:lang w:bidi="ar-SA"/>
          </w:rPr>
          <w:tab/>
        </w:r>
        <w:r w:rsidR="00D869F0" w:rsidRPr="00E27161">
          <w:rPr>
            <w:rStyle w:val="Hyperlink"/>
            <w:rFonts w:ascii="Times New Roman" w:hAnsi="Times New Roman"/>
            <w:b/>
          </w:rPr>
          <w:t>Dogovor glede predznaka</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_Toc523237392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3</w:t>
        </w:r>
        <w:r w:rsidR="00D869F0" w:rsidRPr="00E27161">
          <w:rPr>
            <w:rFonts w:ascii="Times New Roman" w:hAnsi="Times New Roman"/>
            <w:webHidden/>
          </w:rPr>
          <w:fldChar w:fldCharType="end"/>
        </w:r>
      </w:hyperlink>
    </w:p>
    <w:p w:rsidR="00D869F0" w:rsidRPr="00E27161" w:rsidRDefault="00297706">
      <w:pPr>
        <w:pStyle w:val="TOC1"/>
        <w:rPr>
          <w:rFonts w:ascii="Times New Roman" w:eastAsiaTheme="minorEastAsia" w:hAnsi="Times New Roman"/>
          <w:color w:val="auto"/>
          <w:sz w:val="22"/>
          <w:szCs w:val="22"/>
          <w:lang w:bidi="ar-SA"/>
        </w:rPr>
      </w:pPr>
      <w:hyperlink w:anchor="_Toc523237393" w:history="1">
        <w:r w:rsidR="00D869F0" w:rsidRPr="00E27161">
          <w:rPr>
            <w:rStyle w:val="Hyperlink"/>
            <w:rFonts w:ascii="Times New Roman" w:hAnsi="Times New Roman"/>
            <w:b/>
          </w:rPr>
          <w:t>DEL II: NAVODILA V ZVEZI S PREDLOGAMI</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_Toc523237393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4</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94" w:history="1">
        <w:r w:rsidR="00D869F0" w:rsidRPr="00E27161">
          <w:rPr>
            <w:rStyle w:val="Hyperlink"/>
            <w:rFonts w:ascii="Times New Roman" w:hAnsi="Times New Roman"/>
          </w:rPr>
          <w:t>1.</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Struktura in pogostost</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_Toc523237394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4</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95" w:history="1">
        <w:r w:rsidR="00D869F0" w:rsidRPr="00E27161">
          <w:rPr>
            <w:rStyle w:val="Hyperlink"/>
            <w:rFonts w:ascii="Times New Roman" w:hAnsi="Times New Roman"/>
          </w:rPr>
          <w:t>2.</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Formule za izračun količnika finančnega vzvoda</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_Toc523237395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4</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96" w:history="1">
        <w:r w:rsidR="00D869F0" w:rsidRPr="00E27161">
          <w:rPr>
            <w:rStyle w:val="Hyperlink"/>
            <w:rFonts w:ascii="Times New Roman" w:hAnsi="Times New Roman"/>
          </w:rPr>
          <w:t>3.</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Pragovi pomembnosti za izvedene finančne instrumente</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_Toc523237396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4</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97" w:history="1">
        <w:r w:rsidR="00D869F0" w:rsidRPr="00E27161">
          <w:rPr>
            <w:rStyle w:val="Hyperlink"/>
            <w:rFonts w:ascii="Times New Roman" w:hAnsi="Times New Roman"/>
          </w:rPr>
          <w:t>4.</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C 47.00 – Izračun količnika finančnega vzvoda (LRCalc)</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_Toc523237397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5</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98" w:history="1">
        <w:r w:rsidR="00D869F0" w:rsidRPr="00E27161">
          <w:rPr>
            <w:rStyle w:val="Hyperlink"/>
            <w:rFonts w:ascii="Times New Roman" w:hAnsi="Times New Roman"/>
          </w:rPr>
          <w:t>5.</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C 40.00 – Alternativna obravnava mere izpostavljenosti (LR1)</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_Toc523237398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14</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399" w:history="1">
        <w:r w:rsidR="00D869F0" w:rsidRPr="00E27161">
          <w:rPr>
            <w:rStyle w:val="Hyperlink"/>
            <w:rFonts w:ascii="Times New Roman" w:hAnsi="Times New Roman"/>
          </w:rPr>
          <w:t>6.</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C 41.00 – Bilančne in zunajbilančne postavke – dodatna razčlenitev izpostavljenosti (LR2)</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_Toc523237399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24</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400" w:history="1">
        <w:r w:rsidR="00D869F0" w:rsidRPr="00E27161">
          <w:rPr>
            <w:rStyle w:val="Hyperlink"/>
            <w:rFonts w:ascii="Times New Roman" w:hAnsi="Times New Roman"/>
          </w:rPr>
          <w:t>7.</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C 42.00 – Alternativna opredelitev kapitala (LR3)</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_Toc523237400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26</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401" w:history="1">
        <w:r w:rsidR="00D869F0" w:rsidRPr="00E27161">
          <w:rPr>
            <w:rStyle w:val="Hyperlink"/>
            <w:rFonts w:ascii="Times New Roman" w:hAnsi="Times New Roman"/>
          </w:rPr>
          <w:t>8.</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C 43.00 – Alternativna razčlenitev komponent mere izpostavljenosti količnika finančnega vzvoda (LR4)</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_Toc523237401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28</w:t>
        </w:r>
        <w:r w:rsidR="00D869F0" w:rsidRPr="00E27161">
          <w:rPr>
            <w:rFonts w:ascii="Times New Roman" w:hAnsi="Times New Roman"/>
            <w:webHidden/>
          </w:rPr>
          <w:fldChar w:fldCharType="end"/>
        </w:r>
      </w:hyperlink>
    </w:p>
    <w:p w:rsidR="00D869F0" w:rsidRPr="00E27161" w:rsidRDefault="00297706">
      <w:pPr>
        <w:pStyle w:val="TOC2"/>
        <w:rPr>
          <w:rFonts w:ascii="Times New Roman" w:eastAsiaTheme="minorEastAsia" w:hAnsi="Times New Roman"/>
          <w:b w:val="0"/>
          <w:smallCaps w:val="0"/>
          <w:sz w:val="22"/>
          <w:lang w:bidi="ar-SA"/>
        </w:rPr>
      </w:pPr>
      <w:hyperlink w:anchor="_Toc523237402" w:history="1">
        <w:r w:rsidR="00D869F0" w:rsidRPr="00E27161">
          <w:rPr>
            <w:rStyle w:val="Hyperlink"/>
            <w:rFonts w:ascii="Times New Roman" w:hAnsi="Times New Roman"/>
          </w:rPr>
          <w:t>9.</w:t>
        </w:r>
        <w:r w:rsidR="00D869F0" w:rsidRPr="00E27161">
          <w:rPr>
            <w:rFonts w:ascii="Times New Roman" w:eastAsiaTheme="minorEastAsia" w:hAnsi="Times New Roman"/>
            <w:b w:val="0"/>
            <w:smallCaps w:val="0"/>
            <w:sz w:val="22"/>
            <w:lang w:bidi="ar-SA"/>
          </w:rPr>
          <w:tab/>
        </w:r>
        <w:r w:rsidR="00D869F0" w:rsidRPr="00E27161">
          <w:rPr>
            <w:rStyle w:val="Hyperlink"/>
            <w:rFonts w:ascii="Times New Roman" w:hAnsi="Times New Roman"/>
          </w:rPr>
          <w:t>C 44.00 – Splošne informacije (LR5)</w:t>
        </w:r>
        <w:r w:rsidR="00D869F0" w:rsidRPr="00E27161">
          <w:rPr>
            <w:rFonts w:ascii="Times New Roman" w:hAnsi="Times New Roman"/>
            <w:webHidden/>
          </w:rPr>
          <w:tab/>
        </w:r>
        <w:r w:rsidR="00D869F0" w:rsidRPr="00E27161">
          <w:rPr>
            <w:rFonts w:ascii="Times New Roman" w:hAnsi="Times New Roman"/>
            <w:webHidden/>
          </w:rPr>
          <w:fldChar w:fldCharType="begin"/>
        </w:r>
        <w:r w:rsidR="00D869F0" w:rsidRPr="00E27161">
          <w:rPr>
            <w:rFonts w:ascii="Times New Roman" w:hAnsi="Times New Roman"/>
            <w:webHidden/>
          </w:rPr>
          <w:instrText xml:space="preserve"> PAGEREF _Toc523237402 \h </w:instrText>
        </w:r>
        <w:r w:rsidR="00D869F0" w:rsidRPr="00E27161">
          <w:rPr>
            <w:rFonts w:ascii="Times New Roman" w:hAnsi="Times New Roman"/>
            <w:webHidden/>
          </w:rPr>
        </w:r>
        <w:r w:rsidR="00D869F0" w:rsidRPr="00E27161">
          <w:rPr>
            <w:rFonts w:ascii="Times New Roman" w:hAnsi="Times New Roman"/>
            <w:webHidden/>
          </w:rPr>
          <w:fldChar w:fldCharType="separate"/>
        </w:r>
        <w:r w:rsidR="00D869F0" w:rsidRPr="00E27161">
          <w:rPr>
            <w:rFonts w:ascii="Times New Roman" w:hAnsi="Times New Roman"/>
            <w:webHidden/>
          </w:rPr>
          <w:t>47</w:t>
        </w:r>
        <w:r w:rsidR="00D869F0" w:rsidRPr="00E27161">
          <w:rPr>
            <w:rFonts w:ascii="Times New Roman" w:hAnsi="Times New Roman"/>
            <w:webHidden/>
          </w:rPr>
          <w:fldChar w:fldCharType="end"/>
        </w:r>
      </w:hyperlink>
    </w:p>
    <w:p w:rsidR="00651937" w:rsidRDefault="00E27161">
      <w:pPr>
        <w:pStyle w:val="BodyText1"/>
        <w:rPr>
          <w:rFonts w:ascii="Times New Roman" w:eastAsiaTheme="minorEastAsia" w:hAnsi="Times New Roman"/>
          <w:color w:val="auto"/>
          <w:sz w:val="22"/>
          <w:szCs w:val="22"/>
        </w:rPr>
        <w:sectPr w:rsidR="00651937"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27161">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237387"/>
      <w:r>
        <w:rPr>
          <w:rFonts w:ascii="Times New Roman" w:hAnsi="Times New Roman"/>
          <w:b/>
          <w:sz w:val="24"/>
        </w:rPr>
        <w:t>DEL I:</w:t>
      </w:r>
      <w:bookmarkEnd w:id="0"/>
      <w:r>
        <w:rPr>
          <w:rFonts w:ascii="Times New Roman" w:hAnsi="Times New Roman"/>
          <w:b/>
          <w:sz w:val="24"/>
        </w:rPr>
        <w:t xml:space="preserve"> SPLOŠNA NAVODILA</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237388"/>
      <w:r>
        <w:rPr>
          <w:rFonts w:ascii="Times New Roman" w:hAnsi="Times New Roman"/>
          <w:b/>
        </w:rPr>
        <w:t>1.</w:t>
      </w:r>
      <w:r>
        <w:tab/>
      </w:r>
      <w:r>
        <w:rPr>
          <w:rFonts w:ascii="Times New Roman" w:hAnsi="Times New Roman"/>
          <w:b/>
        </w:rPr>
        <w:t>Označevanje predlog in drugi dogovori</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3237389"/>
      <w:bookmarkStart w:id="15" w:name="_Toc264038399"/>
      <w:bookmarkStart w:id="16" w:name="_Toc294018834"/>
      <w:r>
        <w:rPr>
          <w:rFonts w:ascii="Times New Roman" w:hAnsi="Times New Roman"/>
          <w:b/>
        </w:rPr>
        <w:t>1.1.</w:t>
      </w:r>
      <w:r>
        <w:tab/>
      </w:r>
      <w:r>
        <w:rPr>
          <w:rFonts w:ascii="Times New Roman" w:hAnsi="Times New Roman"/>
          <w:b/>
        </w:rPr>
        <w:t xml:space="preserve">Označevanje </w:t>
      </w:r>
      <w:bookmarkEnd w:id="11"/>
      <w:r>
        <w:rPr>
          <w:rFonts w:ascii="Times New Roman" w:hAnsi="Times New Roman"/>
          <w:b/>
        </w:rPr>
        <w:t>predlog</w:t>
      </w:r>
      <w:bookmarkEnd w:id="12"/>
      <w:bookmarkEnd w:id="13"/>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Ta priloga vsebuje dodatna navodila v zvezi s predlogami za količnik finančnega vzvoda (v nadaljnjem besedilu: LR) iz Priloge X k tej uredbi.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Okvir skupaj zajema šest predlog:</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C47.00: Izračun količnika finančnega vzvoda (</w:t>
      </w:r>
      <w:proofErr w:type="spellStart"/>
      <w:r w:rsidR="00500508">
        <w:t>LRCalc</w:t>
      </w:r>
      <w:proofErr w:type="spellEnd"/>
      <w:r w:rsidR="00500508">
        <w:t>): izračun količnika finančnega vzvoda</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C40.00: Predloga količnika finančnega vzvoda 1 (LR1): alternativna obravnava mere izpostavljenosti;</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C41.00: Predloga količnika finančnega vzvoda 2 (LR2): bilančne in zunajbilančne postavke – dodatna razčlenitev izpostavljenosti</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C42.00: Predloga količnika finančnega vzvoda 3 (LR3): alternativna opredelitev kapitala</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C43.00: Predloga količnika finančnega vzvoda 4 (LR4): razčlenitev komponent za mere izpostavljenosti količnika finančnega vzvoda; in</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C44.00: Predloga količnika finančnega vzvoda 5 (LR5): splošne informacije.</w:t>
      </w:r>
    </w:p>
    <w:p w:rsidR="00F4754B" w:rsidRPr="00FE002E" w:rsidRDefault="00500508" w:rsidP="00500508">
      <w:pPr>
        <w:pStyle w:val="InstructionsText2"/>
        <w:numPr>
          <w:ilvl w:val="0"/>
          <w:numId w:val="0"/>
        </w:numPr>
        <w:ind w:left="720" w:hanging="360"/>
        <w:rPr>
          <w:rFonts w:eastAsia="Times New Roman"/>
          <w:bCs/>
          <w:szCs w:val="17"/>
        </w:rPr>
      </w:pPr>
      <w:r>
        <w:t>3.</w:t>
      </w:r>
      <w:r>
        <w:tab/>
        <w:t>Za vsako predlogo so navedeni pravna podlaga in dodatne podrobne informacije v zvezi s splošnejšimi vidiki poročanja.</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3237390"/>
      <w:bookmarkEnd w:id="17"/>
      <w:r>
        <w:rPr>
          <w:rFonts w:ascii="Times New Roman" w:hAnsi="Times New Roman"/>
          <w:b/>
        </w:rPr>
        <w:t>1.2.</w:t>
      </w:r>
      <w:r>
        <w:tab/>
      </w:r>
      <w:r>
        <w:rPr>
          <w:rFonts w:ascii="Times New Roman" w:hAnsi="Times New Roman"/>
          <w:b/>
        </w:rPr>
        <w:t>Dogovor glede oštevilčenja</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Pri sklicevanju na stolpce, vrstice in celice predlog se v dokumentu upošteva dogovor glede označevanja iz naslednjih odstavkov. Te številčne kode se obsežno uporabljajo v validacijskih pravilih.</w:t>
      </w:r>
    </w:p>
    <w:p w:rsidR="00F4754B" w:rsidRPr="00FE002E" w:rsidRDefault="00500508" w:rsidP="00500508">
      <w:pPr>
        <w:pStyle w:val="InstructionsText2"/>
        <w:numPr>
          <w:ilvl w:val="0"/>
          <w:numId w:val="0"/>
        </w:numPr>
        <w:ind w:left="720" w:hanging="360"/>
        <w:rPr>
          <w:rFonts w:eastAsia="Times New Roman"/>
          <w:bCs/>
          <w:szCs w:val="17"/>
        </w:rPr>
      </w:pPr>
      <w:r>
        <w:t>5.</w:t>
      </w:r>
      <w:r>
        <w:tab/>
        <w:t>V navodilih se uporablja naslednji splošni zapis: {predloga;vrstica;stolpec}. Pri sklicevanju na celotno vrstico ali stolpec se bo uporabila zvezdica.</w:t>
      </w:r>
    </w:p>
    <w:p w:rsidR="00F4754B" w:rsidRPr="00FE002E" w:rsidRDefault="00500508" w:rsidP="00500508">
      <w:pPr>
        <w:pStyle w:val="InstructionsText2"/>
        <w:numPr>
          <w:ilvl w:val="0"/>
          <w:numId w:val="0"/>
        </w:numPr>
        <w:ind w:left="720" w:hanging="360"/>
        <w:rPr>
          <w:rFonts w:eastAsia="Times New Roman"/>
          <w:bCs/>
          <w:szCs w:val="17"/>
        </w:rPr>
      </w:pPr>
      <w:r>
        <w:t>6.</w:t>
      </w:r>
      <w:r>
        <w:tab/>
        <w:t xml:space="preserve">V primeru </w:t>
      </w:r>
      <w:proofErr w:type="spellStart"/>
      <w:r>
        <w:t>validacij</w:t>
      </w:r>
      <w:proofErr w:type="spellEnd"/>
      <w:r>
        <w:t xml:space="preserve"> znotraj predloge, pri katerih se uporabijo samo podatkovne točke zadevne predloge, v zapisih predloga ni navedena: {vrstica;stolpec}.</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Za namene poročanja o finančnem vzvodu se besedna zveza „od tega“ nanaša na postavko, ki je podskupina višje ravni kategorije izpostavljenosti, medtem ko se „pojasnjevalna postavka“ nanaša na ločeno postavko, ki ni podskupina kategorije izpostavljenosti. Poročanje v okviru obeh vrst celic je obvezno, razen če ni določeno drugače. </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3237391"/>
      <w:r>
        <w:rPr>
          <w:rFonts w:ascii="Times New Roman" w:hAnsi="Times New Roman"/>
          <w:b/>
        </w:rPr>
        <w:t>1.3.</w:t>
      </w:r>
      <w:r>
        <w:tab/>
      </w:r>
      <w:r>
        <w:rPr>
          <w:rFonts w:ascii="Times New Roman" w:hAnsi="Times New Roman"/>
          <w:b/>
        </w:rPr>
        <w:t>Okrajšave</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t>8.</w:t>
      </w:r>
      <w:r>
        <w:tab/>
        <w:t>Za namene te priloge in povezanih predlog se uporabljajo naslednje okrajšave:</w:t>
      </w:r>
    </w:p>
    <w:p w:rsidR="00627E07" w:rsidRDefault="00500508" w:rsidP="00500508">
      <w:pPr>
        <w:pStyle w:val="InstructionsText2"/>
        <w:numPr>
          <w:ilvl w:val="0"/>
          <w:numId w:val="0"/>
        </w:numPr>
        <w:ind w:left="1440" w:hanging="360"/>
        <w:rPr>
          <w:rFonts w:eastAsia="Times New Roman"/>
          <w:bCs/>
          <w:szCs w:val="17"/>
        </w:rPr>
      </w:pPr>
      <w:r>
        <w:t>a.</w:t>
      </w:r>
      <w:r>
        <w:tab/>
        <w:t>CRR, ki je okrajšava za uredbo o kapitalskih zahtevah in pomeni Uredbo (EU) št. 575/2013;</w:t>
      </w:r>
    </w:p>
    <w:p w:rsidR="00627E07" w:rsidRDefault="00500508" w:rsidP="00500508">
      <w:pPr>
        <w:pStyle w:val="InstructionsText2"/>
        <w:numPr>
          <w:ilvl w:val="0"/>
          <w:numId w:val="0"/>
        </w:numPr>
        <w:ind w:left="1440" w:hanging="360"/>
        <w:rPr>
          <w:rFonts w:eastAsia="Times New Roman"/>
          <w:bCs/>
          <w:szCs w:val="17"/>
        </w:rPr>
      </w:pPr>
      <w:r>
        <w:lastRenderedPageBreak/>
        <w:t>b.</w:t>
      </w:r>
      <w:r>
        <w:tab/>
        <w:t>SFT, ki je okrajšava za posel financiranja z vrednostnimi papirji (</w:t>
      </w:r>
      <w:proofErr w:type="spellStart"/>
      <w:r>
        <w:rPr>
          <w:i/>
        </w:rPr>
        <w:t>Securities</w:t>
      </w:r>
      <w:proofErr w:type="spellEnd"/>
      <w:r>
        <w:rPr>
          <w:i/>
        </w:rPr>
        <w:t xml:space="preserve"> </w:t>
      </w:r>
      <w:proofErr w:type="spellStart"/>
      <w:r>
        <w:rPr>
          <w:i/>
        </w:rPr>
        <w:t>Financing</w:t>
      </w:r>
      <w:proofErr w:type="spellEnd"/>
      <w:r>
        <w:rPr>
          <w:i/>
        </w:rPr>
        <w:t xml:space="preserve"> </w:t>
      </w:r>
      <w:proofErr w:type="spellStart"/>
      <w:r>
        <w:rPr>
          <w:i/>
        </w:rPr>
        <w:t>Transaction</w:t>
      </w:r>
      <w:proofErr w:type="spellEnd"/>
      <w:r>
        <w:t xml:space="preserve">) in pomeni „repo posel, posel </w:t>
      </w:r>
      <w:proofErr w:type="spellStart"/>
      <w:r>
        <w:t>posoje</w:t>
      </w:r>
      <w:proofErr w:type="spellEnd"/>
      <w:r>
        <w:t>/izposoje vrednostnih papirjev ali blaga, posel z dolgim rokom poravnave in posel kreditiranja za povečanje trgovalnega portfelja“ iz Uredbe (EU) št. 575/2013;</w:t>
      </w:r>
    </w:p>
    <w:p w:rsidR="008E7068" w:rsidRPr="00627E07" w:rsidRDefault="00500508" w:rsidP="00500508">
      <w:pPr>
        <w:pStyle w:val="InstructionsText2"/>
        <w:numPr>
          <w:ilvl w:val="0"/>
          <w:numId w:val="0"/>
        </w:numPr>
        <w:ind w:left="1440" w:hanging="360"/>
        <w:rPr>
          <w:rFonts w:eastAsia="Times New Roman"/>
          <w:bCs/>
          <w:szCs w:val="17"/>
        </w:rPr>
      </w:pPr>
      <w:r>
        <w:t>c.</w:t>
      </w:r>
      <w:r>
        <w:tab/>
        <w:t>CRM, ki je okrajšava za zmanjševanje kreditnega tveganja (</w:t>
      </w:r>
      <w:proofErr w:type="spellStart"/>
      <w:r>
        <w:rPr>
          <w:i/>
        </w:rPr>
        <w:t>Credit</w:t>
      </w:r>
      <w:proofErr w:type="spellEnd"/>
      <w:r>
        <w:rPr>
          <w:i/>
        </w:rPr>
        <w:t xml:space="preserve"> </w:t>
      </w:r>
      <w:proofErr w:type="spellStart"/>
      <w:r>
        <w:rPr>
          <w:i/>
        </w:rPr>
        <w:t>Risk</w:t>
      </w:r>
      <w:proofErr w:type="spellEnd"/>
      <w:r>
        <w:rPr>
          <w:i/>
        </w:rPr>
        <w:t xml:space="preserve"> </w:t>
      </w:r>
      <w:proofErr w:type="spellStart"/>
      <w:r>
        <w:rPr>
          <w:i/>
        </w:rPr>
        <w:t>Mitigation</w:t>
      </w:r>
      <w:proofErr w:type="spellEnd"/>
      <w:r>
        <w:t>).</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3237392"/>
      <w:r>
        <w:rPr>
          <w:rFonts w:ascii="Times New Roman" w:hAnsi="Times New Roman"/>
          <w:b/>
        </w:rPr>
        <w:t>1.4.</w:t>
      </w:r>
      <w:r>
        <w:tab/>
      </w:r>
      <w:r>
        <w:rPr>
          <w:rFonts w:ascii="Times New Roman" w:hAnsi="Times New Roman"/>
          <w:b/>
        </w:rPr>
        <w:t>Dogovor glede predznaka</w:t>
      </w:r>
      <w:bookmarkEnd w:id="15"/>
      <w:bookmarkEnd w:id="16"/>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t>9.</w:t>
      </w:r>
      <w:r>
        <w:tab/>
        <w:t>Vsi zneski se sporočijo kot pozitivne vrednosti.</w:t>
      </w:r>
      <w:bookmarkStart w:id="32" w:name="_Toc264033192"/>
      <w:bookmarkEnd w:id="32"/>
      <w:r>
        <w:t xml:space="preserve"> Izjema so zneski, sporočeni v {</w:t>
      </w:r>
      <w:proofErr w:type="spellStart"/>
      <w:r>
        <w:t>LRCalc</w:t>
      </w:r>
      <w:proofErr w:type="spellEnd"/>
      <w:r>
        <w:t>;050;010}, {</w:t>
      </w:r>
      <w:proofErr w:type="spellStart"/>
      <w:r>
        <w:t>LRCalc</w:t>
      </w:r>
      <w:proofErr w:type="spellEnd"/>
      <w:r>
        <w:t>;070;010}, {</w:t>
      </w:r>
      <w:proofErr w:type="spellStart"/>
      <w:r>
        <w:t>LRCalc</w:t>
      </w:r>
      <w:proofErr w:type="spellEnd"/>
      <w:r>
        <w:t>;080;010}, {</w:t>
      </w:r>
      <w:proofErr w:type="spellStart"/>
      <w:r>
        <w:t>LRCalc</w:t>
      </w:r>
      <w:proofErr w:type="spellEnd"/>
      <w:r>
        <w:t>;100;010}, {</w:t>
      </w:r>
      <w:proofErr w:type="spellStart"/>
      <w:r>
        <w:t>LRCalc</w:t>
      </w:r>
      <w:proofErr w:type="spellEnd"/>
      <w:r>
        <w:t>;120;010}, {</w:t>
      </w:r>
      <w:proofErr w:type="spellStart"/>
      <w:r>
        <w:t>LRCalc</w:t>
      </w:r>
      <w:proofErr w:type="spellEnd"/>
      <w:r>
        <w:t>;140;010}, {</w:t>
      </w:r>
      <w:proofErr w:type="spellStart"/>
      <w:r>
        <w:t>LRCalc</w:t>
      </w:r>
      <w:proofErr w:type="spellEnd"/>
      <w:r>
        <w:t>;210;010}, {</w:t>
      </w:r>
      <w:proofErr w:type="spellStart"/>
      <w:r>
        <w:t>LRCalc</w:t>
      </w:r>
      <w:proofErr w:type="spellEnd"/>
      <w:r>
        <w:t>;220;010}, {</w:t>
      </w:r>
      <w:proofErr w:type="spellStart"/>
      <w:r>
        <w:t>LRCalc</w:t>
      </w:r>
      <w:proofErr w:type="spellEnd"/>
      <w:r>
        <w:t>;240;010}, {</w:t>
      </w:r>
      <w:proofErr w:type="spellStart"/>
      <w:r>
        <w:t>LRCalc</w:t>
      </w:r>
      <w:proofErr w:type="spellEnd"/>
      <w:r>
        <w:t>;250;010}, {</w:t>
      </w:r>
      <w:proofErr w:type="spellStart"/>
      <w:r>
        <w:t>LRCalc</w:t>
      </w:r>
      <w:proofErr w:type="spellEnd"/>
      <w:r>
        <w:t>;260;010}, {</w:t>
      </w:r>
      <w:proofErr w:type="spellStart"/>
      <w:r>
        <w:t>LRCalc</w:t>
      </w:r>
      <w:proofErr w:type="spellEnd"/>
      <w:r>
        <w:t>;310;010}, {</w:t>
      </w:r>
      <w:proofErr w:type="spellStart"/>
      <w:r>
        <w:t>LRCalc</w:t>
      </w:r>
      <w:proofErr w:type="spellEnd"/>
      <w:r>
        <w:t>;320;010}, {</w:t>
      </w:r>
      <w:proofErr w:type="spellStart"/>
      <w:r>
        <w:t>LRCalc</w:t>
      </w:r>
      <w:proofErr w:type="spellEnd"/>
      <w:r>
        <w:t>;270;010}, {</w:t>
      </w:r>
      <w:proofErr w:type="spellStart"/>
      <w:r>
        <w:t>LRCalc</w:t>
      </w:r>
      <w:proofErr w:type="spellEnd"/>
      <w:r>
        <w:t>;280;010}, {</w:t>
      </w:r>
      <w:proofErr w:type="spellStart"/>
      <w:r>
        <w:t>LRCalc</w:t>
      </w:r>
      <w:proofErr w:type="spellEnd"/>
      <w:r>
        <w:t>;330;010}, {</w:t>
      </w:r>
      <w:proofErr w:type="spellStart"/>
      <w:r>
        <w:t>LRCalc</w:t>
      </w:r>
      <w:proofErr w:type="spellEnd"/>
      <w:r>
        <w:t>;340;010}, {LR3;010;010}, {LR3;020;010}, {LR3;030;010}, {LR3;040;010}, {LR3;055;010}, {LR3;065;010}, {LR3;075;010} in {LR3;085;010}. Pri tem upoštevajte, da so vrednosti v {</w:t>
      </w:r>
      <w:proofErr w:type="spellStart"/>
      <w:r>
        <w:t>LRCalc</w:t>
      </w:r>
      <w:proofErr w:type="spellEnd"/>
      <w:r>
        <w:t>;050;010}, {</w:t>
      </w:r>
      <w:proofErr w:type="spellStart"/>
      <w:r>
        <w:t>LRCalc</w:t>
      </w:r>
      <w:proofErr w:type="spellEnd"/>
      <w:r>
        <w:t>;070;010}, {</w:t>
      </w:r>
      <w:proofErr w:type="spellStart"/>
      <w:r>
        <w:t>LRCalc</w:t>
      </w:r>
      <w:proofErr w:type="spellEnd"/>
      <w:r>
        <w:t>;080;010}, {</w:t>
      </w:r>
      <w:proofErr w:type="spellStart"/>
      <w:r>
        <w:t>LRCalc</w:t>
      </w:r>
      <w:proofErr w:type="spellEnd"/>
      <w:r>
        <w:t>;100;010}, {</w:t>
      </w:r>
      <w:proofErr w:type="spellStart"/>
      <w:r>
        <w:t>LRCalc</w:t>
      </w:r>
      <w:proofErr w:type="spellEnd"/>
      <w:r>
        <w:t>;120;010}, {</w:t>
      </w:r>
      <w:proofErr w:type="spellStart"/>
      <w:r>
        <w:t>LRCalc</w:t>
      </w:r>
      <w:proofErr w:type="spellEnd"/>
      <w:r>
        <w:t>;140;010}, {</w:t>
      </w:r>
      <w:proofErr w:type="spellStart"/>
      <w:r>
        <w:t>LRCalc</w:t>
      </w:r>
      <w:proofErr w:type="spellEnd"/>
      <w:r>
        <w:t>;210;010}, {</w:t>
      </w:r>
      <w:proofErr w:type="spellStart"/>
      <w:r>
        <w:t>LRCalc</w:t>
      </w:r>
      <w:proofErr w:type="spellEnd"/>
      <w:r>
        <w:t>;220;010}, {</w:t>
      </w:r>
      <w:proofErr w:type="spellStart"/>
      <w:r>
        <w:t>LRCalc</w:t>
      </w:r>
      <w:proofErr w:type="spellEnd"/>
      <w:r>
        <w:t>;240;010}, {</w:t>
      </w:r>
      <w:proofErr w:type="spellStart"/>
      <w:r>
        <w:t>LRCalc</w:t>
      </w:r>
      <w:proofErr w:type="spellEnd"/>
      <w:r>
        <w:t>;250;010}, {</w:t>
      </w:r>
      <w:proofErr w:type="spellStart"/>
      <w:r>
        <w:t>LRCalc</w:t>
      </w:r>
      <w:proofErr w:type="spellEnd"/>
      <w:r>
        <w:t>;260;010}, {</w:t>
      </w:r>
      <w:proofErr w:type="spellStart"/>
      <w:r>
        <w:t>LRCalc</w:t>
      </w:r>
      <w:proofErr w:type="spellEnd"/>
      <w:r>
        <w:t>;270;010}, {</w:t>
      </w:r>
      <w:proofErr w:type="spellStart"/>
      <w:r>
        <w:t>LRCalc</w:t>
      </w:r>
      <w:proofErr w:type="spellEnd"/>
      <w:r>
        <w:t>;280;010}, {LR3;055;010}, {LR3;065;010}, {LR3;075;010} in {LR3;085;010} lahko samo negativne vrednosti. Opozoriti je treba tudi, da so, razen v izjemnih primerih, vrednosti v {</w:t>
      </w:r>
      <w:proofErr w:type="spellStart"/>
      <w:r>
        <w:t>LRCalc</w:t>
      </w:r>
      <w:proofErr w:type="spellEnd"/>
      <w:r>
        <w:t>;310;010}, {</w:t>
      </w:r>
      <w:proofErr w:type="spellStart"/>
      <w:r>
        <w:t>LRCalc</w:t>
      </w:r>
      <w:proofErr w:type="spellEnd"/>
      <w:r>
        <w:t>;320;010}, {</w:t>
      </w:r>
      <w:proofErr w:type="spellStart"/>
      <w:r>
        <w:t>LRCalc</w:t>
      </w:r>
      <w:proofErr w:type="spellEnd"/>
      <w:r>
        <w:t>;330;010}, {</w:t>
      </w:r>
      <w:proofErr w:type="spellStart"/>
      <w:r>
        <w:t>LRCalc</w:t>
      </w:r>
      <w:proofErr w:type="spellEnd"/>
      <w:r>
        <w:t>;340;010}, {LR3;010;010}, {LR3;020;010}, {LR3;030;010} in {LR3;040;010} lahko samo pozitivne.</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3237393"/>
      <w:r>
        <w:rPr>
          <w:rFonts w:ascii="Times New Roman" w:hAnsi="Times New Roman"/>
          <w:b/>
          <w:sz w:val="24"/>
        </w:rPr>
        <w:lastRenderedPageBreak/>
        <w:t>DEL II: NAVODILA V ZVEZI S PREDLOGAMI</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3237394"/>
      <w:bookmarkStart w:id="40" w:name="_Toc322631544"/>
      <w:bookmarkStart w:id="41" w:name="_Toc322687870"/>
      <w:r>
        <w:rPr>
          <w:rFonts w:ascii="Times New Roman" w:hAnsi="Times New Roman"/>
          <w:b/>
        </w:rPr>
        <w:t>1.</w:t>
      </w:r>
      <w:r>
        <w:tab/>
      </w:r>
      <w:r>
        <w:rPr>
          <w:rFonts w:ascii="Times New Roman" w:hAnsi="Times New Roman"/>
          <w:b/>
        </w:rPr>
        <w:t>Struktura in pogostost</w:t>
      </w:r>
      <w:bookmarkEnd w:id="37"/>
      <w:bookmarkEnd w:id="38"/>
      <w:bookmarkEnd w:id="39"/>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Pr>
          <w:rFonts w:ascii="Times New Roman" w:hAnsi="Times New Roman"/>
        </w:rPr>
        <w:t>1.</w:t>
      </w:r>
      <w:r>
        <w:tab/>
      </w:r>
      <w:r>
        <w:rPr>
          <w:rFonts w:ascii="Times New Roman" w:hAnsi="Times New Roman"/>
        </w:rPr>
        <w:t>Predloga količnika finančnega vzvoda je razdeljena na dva dela. Del A zajema vse podatke, vključene v izračun količnika finančnega vzvoda, ki jih institucije predložijo pristojnim organom v skladu s prvim pododstavkom člena 430(1) CRR, del B pa zajema vse podatke, ki jih institucije predložijo v skladu z drugim pododstavkom člena 430(1) CRR (tj. za namene poročila iz člena 511 CRR).</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Pri pripravi podatkov za ta ITS institucije proučijo možnost obravnave fiduciarnih sredstev v skladu s členom 429(13)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3237395"/>
      <w:r>
        <w:rPr>
          <w:rFonts w:ascii="Times New Roman" w:hAnsi="Times New Roman"/>
          <w:b/>
        </w:rPr>
        <w:t>2.</w:t>
      </w:r>
      <w:r>
        <w:tab/>
      </w:r>
      <w:r>
        <w:rPr>
          <w:rFonts w:ascii="Times New Roman" w:hAnsi="Times New Roman"/>
          <w:b/>
        </w:rPr>
        <w:t>Formule za izračun količnika finančnega vzvoda</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Količnik finančnega vzvoda temelji na meri kapitala in meri skupne izpostavljenosti, ki ju je mogoče izračunati na podlagi celic iz dela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Količnik finančnega vzvoda – opredelitev, ki ne zajema prehodnih ureditev = {</w:t>
      </w:r>
      <w:proofErr w:type="spellStart"/>
      <w:r>
        <w:rPr>
          <w:rFonts w:ascii="Times New Roman" w:hAnsi="Times New Roman"/>
        </w:rPr>
        <w:t>LRCalc</w:t>
      </w:r>
      <w:proofErr w:type="spellEnd"/>
      <w:r>
        <w:rPr>
          <w:rFonts w:ascii="Times New Roman" w:hAnsi="Times New Roman"/>
        </w:rPr>
        <w:t>;310;010} / {</w:t>
      </w:r>
      <w:proofErr w:type="spellStart"/>
      <w:r>
        <w:rPr>
          <w:rFonts w:ascii="Times New Roman" w:hAnsi="Times New Roman"/>
        </w:rPr>
        <w:t>LRCalc</w:t>
      </w:r>
      <w:proofErr w:type="spellEnd"/>
      <w:r>
        <w:rPr>
          <w:rFonts w:ascii="Times New Roman" w:hAnsi="Times New Roman"/>
        </w:rPr>
        <w:t>;290;010}.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Količnik finančnega vzvoda – opredelitev s prehodnimi ureditvami = {</w:t>
      </w:r>
      <w:proofErr w:type="spellStart"/>
      <w:r>
        <w:rPr>
          <w:rFonts w:ascii="Times New Roman" w:hAnsi="Times New Roman"/>
        </w:rPr>
        <w:t>LRCalc</w:t>
      </w:r>
      <w:proofErr w:type="spellEnd"/>
      <w:r>
        <w:rPr>
          <w:rFonts w:ascii="Times New Roman" w:hAnsi="Times New Roman"/>
        </w:rPr>
        <w:t>;320;010} / {</w:t>
      </w:r>
      <w:proofErr w:type="spellStart"/>
      <w:r>
        <w:rPr>
          <w:rFonts w:ascii="Times New Roman" w:hAnsi="Times New Roman"/>
        </w:rPr>
        <w:t>LRCalc</w:t>
      </w:r>
      <w:proofErr w:type="spellEnd"/>
      <w:r>
        <w:rPr>
          <w:rFonts w:ascii="Times New Roman" w:hAnsi="Times New Roman"/>
        </w:rPr>
        <w:t>;300;010}.</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3237396"/>
      <w:r>
        <w:rPr>
          <w:rFonts w:ascii="Times New Roman" w:hAnsi="Times New Roman"/>
          <w:b/>
        </w:rPr>
        <w:t>3.</w:t>
      </w:r>
      <w:r>
        <w:tab/>
      </w:r>
      <w:r>
        <w:rPr>
          <w:rFonts w:ascii="Times New Roman" w:hAnsi="Times New Roman"/>
          <w:b/>
        </w:rPr>
        <w:t>Pragovi pomembnosti za izvedene finančne instrumente</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Da bi se zmanjšalo breme poročanja za institucije z omejenimi izpostavljenostmi iz naslova izvedenih finančnih instrumentov, se na podlagi naslednjih mer oceni sorazmerna pomembnost izpostavljenosti iz naslova izvedenih finančnih instrumentov glede na skupno izpostavljenost količnika finančnega vzvoda. Institucije izračunajo te mere na naslednji način</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Pr>
          <w:rFonts w:ascii="Times New Roman" w:hAnsi="Times New Roman"/>
        </w:rPr>
        <w:t>7.</w:t>
      </w:r>
      <w:r>
        <w:tab/>
      </w:r>
      <w:r>
        <w:rPr>
          <w:rFonts w:ascii="Times New Roman" w:hAnsi="Times New Roman"/>
        </w:rPr>
        <w:t xml:space="preserve">Delež izvedenih finančnih instrumentov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Pri čemer je mera skupne izpostavljenosti (</w:t>
      </w:r>
      <w:proofErr w:type="spellStart"/>
      <w:r>
        <w:rPr>
          <w:rFonts w:ascii="Times New Roman" w:hAnsi="Times New Roman"/>
          <w:i/>
        </w:rPr>
        <w:t>Total</w:t>
      </w:r>
      <w:proofErr w:type="spellEnd"/>
      <w:r>
        <w:rPr>
          <w:rFonts w:ascii="Times New Roman" w:hAnsi="Times New Roman"/>
          <w:i/>
        </w:rPr>
        <w:t xml:space="preserve"> </w:t>
      </w:r>
      <w:proofErr w:type="spellStart"/>
      <w:r>
        <w:rPr>
          <w:rFonts w:ascii="Times New Roman" w:hAnsi="Times New Roman"/>
          <w:i/>
        </w:rPr>
        <w:t>exposure</w:t>
      </w:r>
      <w:proofErr w:type="spellEnd"/>
      <w:r>
        <w:rPr>
          <w:rFonts w:ascii="Times New Roman" w:hAnsi="Times New Roman"/>
          <w:i/>
        </w:rPr>
        <w:t xml:space="preserve"> </w:t>
      </w:r>
      <w:proofErr w:type="spellStart"/>
      <w:r>
        <w:rPr>
          <w:rFonts w:ascii="Times New Roman" w:hAnsi="Times New Roman"/>
          <w:i/>
        </w:rPr>
        <w:t>measure</w:t>
      </w:r>
      <w:proofErr w:type="spellEnd"/>
      <w:r>
        <w:rPr>
          <w:rFonts w:ascii="Times New Roman" w:hAnsi="Times New Roman"/>
        </w:rPr>
        <w:t>) enaka: {</w:t>
      </w:r>
      <w:proofErr w:type="spellStart"/>
      <w:r>
        <w:rPr>
          <w:rFonts w:ascii="Times New Roman" w:hAnsi="Times New Roman"/>
        </w:rPr>
        <w:t>LRCalc</w:t>
      </w:r>
      <w:proofErr w:type="spellEnd"/>
      <w:r>
        <w:rPr>
          <w:rFonts w:ascii="Times New Roman" w:hAnsi="Times New Roman"/>
        </w:rPr>
        <w:t>;290;010}.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Skupna hipotetična vrednost v zvezi z izvedenimi finančnimi instrumenti = {LR1; 010;070}. Institucije morajo vedno sporočiti vrednost te celice.</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Obseg kreditnih izvedenih finančnih instrumentov = {LR1;020;070} + {LR1;050;070}. Institucije morajo te celice vedno poročati.</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Institucije morajo v naslednjem poročevalskem obdobju poročati celice iz odstavka 14, če je izpolnjen kateri koli od naslednjih pogojev:</w:t>
      </w:r>
    </w:p>
    <w:p w:rsidR="00607A1B" w:rsidRPr="00FE002E" w:rsidRDefault="00607A1B" w:rsidP="00607A1B">
      <w:pPr>
        <w:pStyle w:val="BodyText1"/>
        <w:spacing w:line="240" w:lineRule="auto"/>
        <w:ind w:left="720"/>
        <w:rPr>
          <w:rFonts w:ascii="Times New Roman" w:hAnsi="Times New Roman"/>
        </w:rPr>
      </w:pPr>
    </w:p>
    <w:p w:rsidR="00F4754B"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delež izvedenih finančnih instrumentov iz odstavka 7 je večji od 1,5 % na dva zaporedna referenčna datuma poročanja;</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delež izvedenih finančnih instrumentov iz odstavka 7 je večji od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12.</w:t>
      </w:r>
      <w:r>
        <w:tab/>
      </w:r>
      <w:r>
        <w:rPr>
          <w:rFonts w:ascii="Times New Roman" w:hAnsi="Times New Roman"/>
        </w:rPr>
        <w:t>Institucije, za katere skupna hipotetična vrednost v zvezi z izvedenimi finančnimi instrumenti, kot je opredeljena v odstavku 9, presega 10 milijard EUR, poročajo celice iz odstavka 14, čeprav njihov delež izvedenih finančnih instrumentov ne izpolnjuje pogojev iz odstavka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Institucije morajo poročati celice iz odstavka 15, če je izpolnjen kateri koli od naslednjih pogojev:</w:t>
      </w:r>
    </w:p>
    <w:p w:rsidR="00607A1B" w:rsidRPr="00FE002E" w:rsidRDefault="00607A1B" w:rsidP="00607A1B">
      <w:pPr>
        <w:pStyle w:val="BodyText1"/>
        <w:spacing w:line="240" w:lineRule="auto"/>
        <w:rPr>
          <w:rFonts w:ascii="Times New Roman" w:hAnsi="Times New Roman"/>
        </w:rPr>
      </w:pPr>
    </w:p>
    <w:p w:rsidR="00F4754B"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obseg kreditnih izvedenih finančnih instrumentov iz odstavka 10 znaša več kot 300 milijonov EUR na dva zaporedna referenčna datuma poročanja;</w:t>
      </w:r>
    </w:p>
    <w:p w:rsidR="00675587" w:rsidRPr="00FE002E" w:rsidRDefault="00297706"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obseg kreditnih izvedenih finančnih instrumentov iz odstavka 10 znaša več kot 500 milijonov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Celice, ki jih morajo institucije poročati v skladu z odstavkom 11, so naslednje: {LR1;010;010}, {LR1;010;020}, {LR1;010;050}, {LR1;020;010}, {LR1;020;020}, {LR1;020;050}, {LR1;030;050}, {LR1;030;070}, {LR1;040;050}, {LR1;040;070}, {LR1;050;010}, {LR1;050;020}, {LR1;050;050}, {LR1;060;010}, {LR1;060;020}, {LR1;060;050} in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Celice, ki jih morajo institucije poročati v skladu z odstavkom 13, so naslednje: {LR1;020;075}, {LR1;050;075} in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2" w:name="_Toc351048506"/>
      <w:bookmarkStart w:id="53" w:name="_Toc322687879"/>
      <w:bookmarkStart w:id="54" w:name="_Toc315961853"/>
      <w:bookmarkEnd w:id="51"/>
    </w:p>
    <w:p w:rsidR="00217D1F" w:rsidRPr="00FE002E" w:rsidRDefault="00500508" w:rsidP="00500508">
      <w:pPr>
        <w:pStyle w:val="BodyText1"/>
        <w:ind w:left="357" w:hanging="357"/>
        <w:outlineLvl w:val="1"/>
        <w:rPr>
          <w:rFonts w:ascii="Times New Roman" w:hAnsi="Times New Roman"/>
          <w:b/>
        </w:rPr>
      </w:pPr>
      <w:bookmarkStart w:id="55" w:name="_Toc359414285"/>
      <w:bookmarkStart w:id="56" w:name="_Toc423089070"/>
      <w:bookmarkStart w:id="57" w:name="_Toc523237397"/>
      <w:r>
        <w:rPr>
          <w:rFonts w:ascii="Times New Roman" w:hAnsi="Times New Roman"/>
          <w:b/>
        </w:rPr>
        <w:t>4.</w:t>
      </w:r>
      <w:r>
        <w:tab/>
      </w:r>
      <w:r>
        <w:rPr>
          <w:rFonts w:ascii="Times New Roman" w:hAnsi="Times New Roman"/>
          <w:b/>
        </w:rPr>
        <w:t>C 47.00 – Izračun količnika finančnega vzvoda</w:t>
      </w:r>
      <w:bookmarkEnd w:id="52"/>
      <w:bookmarkEnd w:id="55"/>
      <w:r>
        <w:rPr>
          <w:rFonts w:ascii="Times New Roman" w:hAnsi="Times New Roman"/>
          <w:b/>
        </w:rPr>
        <w:t xml:space="preserve"> (</w:t>
      </w:r>
      <w:proofErr w:type="spellStart"/>
      <w:r>
        <w:rPr>
          <w:rFonts w:ascii="Times New Roman" w:hAnsi="Times New Roman"/>
          <w:b/>
        </w:rPr>
        <w:t>LRCalc</w:t>
      </w:r>
      <w:proofErr w:type="spellEnd"/>
      <w:r>
        <w:rPr>
          <w:rFonts w:ascii="Times New Roman" w:hAnsi="Times New Roman"/>
          <w:b/>
        </w:rPr>
        <w:t>)</w:t>
      </w:r>
      <w:bookmarkEnd w:id="56"/>
      <w:bookmarkEnd w:id="5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V tem delu predloge za poročanje so zbrani podatki, potrebni za izračun količnika finančnega vzvoda iz členov 429, 429a in 429b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Institucije poročajo o količniku finančnega vzvoda vsako četrtletje. V vsakem četrtletju je vrednost „na referenčni datum poročanja“ vrednost na zadnji koledarski dan tretjega meseca v zadevnem četrtletju.</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Institucije poročajo {010;010} do {030;010}, {060;010}, {090;010}, {110;010} in {150;010} do {190;010}, kot da se izvzetja iz {050;010}, {080;010}, {100;010}, {120;010} in {220;010} ne uporabljajo.</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Institucije poročajo {010;010} do {240;010}, kot da se izvzetja iz {250;010} in{260;010} ne uporabljajo.</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Vsak znesek, ki povečuje kapital ali izpostavljenost za količnik kapitalskega vzvoda, se poroča kot pozitivna vrednost. Nasprotno se vsak znesek, ki zmanjšuje skupni kapital ali izpostavljenost za količnik kapitalskega vzvoda, poroča kot negativna vrednost. Če je pred postavko negativni predznak (-), se za zadevno postavko ne poroča noben pozitivni znesek.</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Pravna sklicevanja in navodila</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Vrstica in stolpec</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Vrednosti izpostavljenosti</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SFT: izpostavljenost v skladu s členom 429(5) in (8)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429(5)(d) in člen 429(8)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Izpostavljenost za posle financiranja z vrednostnimi papirji, izračunana v skladu s členom 429(5)(d) in členom 429(8) CRR.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tej celici upoštevajo posle v skladu s členom 429b(6)(c).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te postavke vključijo v celico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Institucije v to celico ne vključijo poslov financiranja z vrednostnimi papirji,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429b(6)(a)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SFT: pribitek za kreditno tveganje nasprotne stranke</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429b(1)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Pribitek za kreditno tveganje nasprotne stranke pri poslih financiranja z vrednostnimi papirji, vključno z </w:t>
            </w:r>
            <w:proofErr w:type="spellStart"/>
            <w:r>
              <w:rPr>
                <w:rFonts w:ascii="Times New Roman" w:hAnsi="Times New Roman"/>
              </w:rPr>
              <w:t>zunajbilančnimi</w:t>
            </w:r>
            <w:proofErr w:type="spellEnd"/>
            <w:r>
              <w:rPr>
                <w:rFonts w:ascii="Times New Roman" w:hAnsi="Times New Roman"/>
              </w:rPr>
              <w:t>, določen v skladu s členom 429b(2) ali (3) CRR, kot je ustrezno.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tej celici upoštevajo posle v skladu s členom 429b(6)(c).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to celico ne vključijo poslov financiranja z vrednostnimi papirji,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429b(6)(a) CRR. Namesto tega te postavke vključijo v celico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Odstopanje za SFT: pribitek v skladu s členom 429b(4) in členom 222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429b(4) in člen 222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Vrednost izpostavljenosti za posle financiranja z vrednostnimi papirji, vključno z </w:t>
            </w:r>
            <w:proofErr w:type="spellStart"/>
            <w:r>
              <w:rPr>
                <w:rFonts w:ascii="Times New Roman" w:hAnsi="Times New Roman"/>
              </w:rPr>
              <w:t>zunajbilančnimi</w:t>
            </w:r>
            <w:proofErr w:type="spellEnd"/>
            <w:r>
              <w:rPr>
                <w:rFonts w:ascii="Times New Roman" w:hAnsi="Times New Roman"/>
              </w:rPr>
              <w:t xml:space="preserve">, izračunana v skladu s členom 222 CRR, za katero se uporablja 20-odstotni spodnji prag za ustrezno utež tveganja.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tej celici upoštevajo posle v skladu s členom 429b(6)(c)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tej celici ne upoštevajo poslov, za katere se del s pribitkom vrednosti izpostavljenosti količnika finančnega vzvoda določi v skladu z metodo iz člena 429b(1) CRR.</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Kreditno tveganje nasprotne stranke v SFT, pri katerih institucija deluje kot agent, v skladu s členom 429b(6)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429b(6)(a) ter člen 429b(2) in (3)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Vrednost izpostavljenosti za posle financiranja z vrednostnimi papirji, pri katerih institucija deluje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429b(6)(a) CRR, je sestavljena samo iz pribitka, določenega v skladu s členom 429b(2) ali (3) CRR, kot je ustrezno.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to celico ne vključijo poslov v skladu s členom 429b(6)(c). Namesto tega te postavke vključijo v celice {010;010} in {020;010} oziroma {010;010} in {030;010}, kot je ustrezno.</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Posli s CNS, izključeni iz izpostavljenosti v zvezi s SFT, za katere je izveden kliring prek CNS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429(11) in člen 306(1)(c)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Posli s CNS, izključeni iz trgovalnih izpostavljenosti v zvezi s posli financiranja z vrednostnimi papirji, za katere je izveden kliring prek CNS, če navedene postavke izpolnjujejo pogoje iz člena 306(1)(c)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Če je v odnosu do centralne nasprotne stranke izključena stran vrednostni papir, se ne poroča v tej celici, razen če gre za ponovno zastavljen vrednostni papir, ki je na podlagi veljavnega računovodskega okvira (tj. v skladu s prvim stavkom člena 111(1) CRR) vključen s polno vrednostjo.</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Institucije prav tako vključijo znesek, sporočen v tej celici, v celice {010;010}, {020;010} in {030;010} in, če je izpolnjen pogoj iz druge polovice prejšnjega stavka, v celico {190;010}, kot da se ne uporablja nobeno izvzetje.</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Kadar je institucija zagotovila začetno kritje za izključeno stran posla financiranja z vrednostnimi papirji, ki se sporoči v celici {190;010} in ne v celici {020;010} ali {030;010}, ga lahko sporoči v tej celici.</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Izvedeni finančni instrumenti: tekoči nadomestitveni stroški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Členi 429a, 274, 295, 296, 297 in 298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Tekoči nadomestitveni stroški iz člena 274(1) CRR pri pogodbah iz Priloge II k CRR in kreditni izvedeni finančni instrumenti, vključno z </w:t>
            </w:r>
            <w:proofErr w:type="spellStart"/>
            <w:r>
              <w:rPr>
                <w:rFonts w:ascii="Times New Roman" w:hAnsi="Times New Roman"/>
              </w:rPr>
              <w:t>zunajbilančnimi</w:t>
            </w:r>
            <w:proofErr w:type="spellEnd"/>
            <w:r>
              <w:rPr>
                <w:rFonts w:ascii="Times New Roman" w:hAnsi="Times New Roman"/>
              </w:rPr>
              <w:t>, sporočeni skupaj s prejetim gibljivim kritjem.</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Kot je določeno v členu 429a(1) CRR, lahko institucije upoštevajo učinke pogodb o </w:t>
            </w:r>
            <w:proofErr w:type="spellStart"/>
            <w:r>
              <w:rPr>
                <w:rFonts w:ascii="Times New Roman" w:hAnsi="Times New Roman"/>
              </w:rPr>
              <w:t>novaciji</w:t>
            </w:r>
            <w:proofErr w:type="spellEnd"/>
            <w:r>
              <w:rPr>
                <w:rFonts w:ascii="Times New Roman" w:hAnsi="Times New Roman"/>
              </w:rPr>
              <w:t xml:space="preserve"> in drugih pogodb o pobotu v skladu s členom 295 CRR. Pobot med različnimi kategorijami produktov se ne uporablja. Vendar lahko institucije izvedejo pobot znotraj kategorije produktov iz točke (25)(c) člena 272 CRR in kreditnih izvedenih finančnih instrumentov, kadar morajo upoštevati pogodbe o pobotu med različnimi kategorijami produktov iz člena 295(c)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Institucije v to celico ne vključijo pogodb, merjenih na podlagi metode originalne izpostavljenosti v skladu s členom 429a(8) in členom 275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Prejeto primerno gibljivo kritje v obliki denarnih sredstev, izravnano s tržno vrednostjo izvedenih finančnih instrumentov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429a(3)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Gibljivo kritje, prejeto od nasprotne stranke v obliki denarnih sredstev, ki je v skladu s členom 429a(3) CRR priznano kot primerno za izravnavo z delom izpostavljenosti izvedenih finančnih instrumentov, ki ga predstavljajo nadomestitveni stroški.</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Gibljivo kritje v obliki denarnih sredstev, prejeto v okviru delov poslov s CNS, izključenih v skladu s členom 429(11) CRR, se ne poroča.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Posli s CNS, izključeni iz trgovalnih izpostavljenosti (nadomestitveni stroški), za katere je izveden kliring prek CNS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Del izključenih trgovalnih izpostavljenosti do kvalificirane CNS iz poslov z izvedenimi finančnimi instrumenti, za katere je izveden kliring prek CNS, ki ga predstavljajo </w:t>
            </w:r>
            <w:r>
              <w:rPr>
                <w:rFonts w:ascii="Times New Roman" w:hAnsi="Times New Roman"/>
              </w:rPr>
              <w:lastRenderedPageBreak/>
              <w:t>nadomestitveni stroški, če navedene postavke izpolnjujejo pogoje iz člena 306(1)(c) CRR. Sporočeni znesek vključuje gibljivo kritje v obliki denarnih sredstev, prejeto na tej strani posla.</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Institucije vključijo znesek, sporočen v tej celici, tudi v celico {060;010}, kot da se ne uporablja nobeno izvzetje.</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Izvedeni finančni instrumenti: pribitek na podlagi metode tekoče izpostavljenosti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Členi 429a, 274, 295, 296, 297, 298 in člen 299(2)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 tej celici se navede pribitek za potencialno prihodnjo izpostavljenost pogodb iz Priloge II k CRR ter kreditnih izvedenih finančnih instrumentov, vključno z </w:t>
            </w:r>
            <w:proofErr w:type="spellStart"/>
            <w:r>
              <w:rPr>
                <w:rFonts w:ascii="Times New Roman" w:hAnsi="Times New Roman"/>
              </w:rPr>
              <w:t>zunajbilančnimi</w:t>
            </w:r>
            <w:proofErr w:type="spellEnd"/>
            <w:r>
              <w:rPr>
                <w:rFonts w:ascii="Times New Roman" w:hAnsi="Times New Roman"/>
              </w:rPr>
              <w:t xml:space="preserve">, izračunan na podlagi metode tekoče izpostavljenosti (člen 274 CRR za pogodbe iz Priloge II k CRR in člen 299(2) CRR za kreditne izvedene finančne instrumente) in z uporabo pravil za pobot v skladu s členom 429a(1) CRR. Institucije lahko pri določanju vrednosti izpostavljenosti navedenih pogodb upoštevajo učinke pogodb o </w:t>
            </w:r>
            <w:proofErr w:type="spellStart"/>
            <w:r>
              <w:rPr>
                <w:rFonts w:ascii="Times New Roman" w:hAnsi="Times New Roman"/>
              </w:rPr>
              <w:t>novaciji</w:t>
            </w:r>
            <w:proofErr w:type="spellEnd"/>
            <w:r>
              <w:rPr>
                <w:rFonts w:ascii="Times New Roman" w:hAnsi="Times New Roman"/>
              </w:rPr>
              <w:t xml:space="preserve"> in drugih pogodb o pobotu v skladu s členom 295 CRR. Pobot med različnimi kategorijami produktov se ne uporablja. Vendar lahko institucije izvedejo pobot znotraj kategorije produktov iz točke (25)(c) člena 272 CRR in kreditnih izvedenih finančnih instrumentov, kadar morajo upoštevati pogodbe o pobotu med različnimi kategorijami produktov iz člena 295(c) CRR.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 skladu z drugim pododstavkom člena 429a(1) CRR institucije pri določanju potencialne prihodnje kreditne izpostavljenosti kreditnih izvedenih finančnih instrumentov uporabljajo načela iz člena 299(2)(a) CRR za vse svoje kreditne izvedene finančne instrumente, ne samo za tiste, ki so razporejeni v trgovalno knjigo.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Institucije v to celico ne vključijo pogodb, merjenih na podlagi metode originalne izpostavljenosti v skladu s členom 429a(8) in členom 275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Posli s CNS, izključeni iz trgovalnih izpostavljenosti (potencialna prihodnja izpostavljenost), za katere je izveden kliring prek CNS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Potencialna prihodnja izpostavljenost izključenih trgovalnih izpostavljenosti do kvalificirane CNS iz poslov z izvedenimi finančnimi instrumenti, za katere je izveden kliring prek CNS, če navedene postavke izpolnjujejo pogoje iz člena 306(1)(c)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Institucije vključijo znesek, sporočen v tej celici, tudi v celico {090;010}, kot da se ne uporablja nobeno izvzetje.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Odstopanje za izvedene finančne instrumente: metoda originalne izpostavljenosti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429a(8) in člen 275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 tej celici se navede mera izpostavljenosti pogodb iz točk 1 in 2 Priloge II k CRR, izračunana v skladu z metodo originalne izpostavljenosti iz člena 275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Institucije, ki uporabljajo metodo originalne izpostavljenosti, mere izpostavljenosti ne zmanjšajo za znesek gibljivega kritja, prejetega v denarnih sredstvih, v skladu s členom 429a(8)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Institucije, ki ne uporabljajo metode originalne izpostavljenosti, te celice ne poročajo.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Institucije v tej celici ne upoštevajo pogodb, merjenih na podlagi metode tekoče izpostavljenosti v skladu s členom 429a(1) in členom 274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Posli s CNS, izključeni iz trgovalnih izpostavljenosti (metoda originalne izpostavljenosti), za katere je izveden kliring prek CNS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Posli s CNS, izključeni iz trgovalnih izpostavljenosti, za katere je izveden kliring prek CNS, kadar se uporablja metoda originalne izpostavljenosti, kot je določena v členu 275 CRR, če navedene postavke izpolnjujejo pogoje iz člena 306(1)(c)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Institucije vključijo znesek, sporočen v tej celici, tudi v celico {110;010}, kot da se ne uporablja nobeno izvzetje.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Omejeni hipotetični znesek prodanih kreditnih izvedenih finančnih instrumentov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429a(5) do (7)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Omejena hipotetična vrednost prodanih kreditnih izvedenih finančnih instrumentov (tj. kadar institucija nasprotni stranki zagotovi kreditno zavarovanje), kot je določeno v členu 429a(5) do (7)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Primerni kupljeni kreditni izvedeni finančni instrumenti, izravnani s prodanimi kreditnimi izvedenimi finančnimi instrumenti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429a(5) do (7)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Omejena hipotetična vrednost kupljenih kreditnih izvedenih finančnih instrumentov (kadar institucija kupi kreditno zavarovanje od nasprotne stranke) z isto referenčno osnovo, kot jo imajo kreditni izvedeni finančni instrumenti, ki jih institucija proda, pri čemer je preostala zapadlost kupljenega kreditnega zavarovanja enaka ali daljša od zapadlosti prodanega zavarovanja. Zato vrednost ne sme biti višja od vrednosti, navedene v celici {130;010} za posamezne referenčne osnove.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Zunajbilančne postavke s kreditnim </w:t>
            </w:r>
            <w:proofErr w:type="spellStart"/>
            <w:r>
              <w:rPr>
                <w:rFonts w:ascii="Times New Roman" w:hAnsi="Times New Roman"/>
                <w:b/>
              </w:rPr>
              <w:t>konverzijskim</w:t>
            </w:r>
            <w:proofErr w:type="spellEnd"/>
            <w:r>
              <w:rPr>
                <w:rFonts w:ascii="Times New Roman" w:hAnsi="Times New Roman"/>
                <w:b/>
              </w:rPr>
              <w:t xml:space="preserve"> faktorjem v višini 10 % v skladu s členom 429(10)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429(10), člen 111(1)(d) in člen 166(9)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Vrednost izpostavljenosti v skladu s členom 429(10) in členom 111(1)(d) CRR za zunajbilančne postavke z nizkim tveganjem, ki bi se jim pripisal kreditni </w:t>
            </w:r>
            <w:proofErr w:type="spellStart"/>
            <w:r>
              <w:rPr>
                <w:rFonts w:ascii="Times New Roman" w:hAnsi="Times New Roman"/>
              </w:rPr>
              <w:t>konverzijski</w:t>
            </w:r>
            <w:proofErr w:type="spellEnd"/>
            <w:r>
              <w:rPr>
                <w:rFonts w:ascii="Times New Roman" w:hAnsi="Times New Roman"/>
              </w:rPr>
              <w:t xml:space="preserve"> faktor v višini 0 %, iz točk 4(a) do (c) Priloge I k CRR (opozoriti je treba, da je vrednost izpostavljenosti v tem primeru 10 % nominalne vrednosti). To so obveznosti, ki se jih lahko kadar koli brezpogojno prekliče brez predhodnega obvestila ali ki se samodejno prekličejo v primeru poslabšanja kreditne sposobnosti dolžnika.</w:t>
            </w:r>
            <w:r>
              <w:t xml:space="preserve"> </w:t>
            </w:r>
            <w:r>
              <w:rPr>
                <w:rFonts w:ascii="Times New Roman" w:hAnsi="Times New Roman"/>
              </w:rPr>
              <w:t>Opozoriti je treba, da se nominalna vrednost ne zmanjša za posebne popravke zaradi kreditnega tveganja.</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Če se prevzeta obveznost nanaša na podaljšanje druge obveznosti, se v skladu s členom 166(9) CRR uporablja nižji od dveh konverzijskih faktorjev, povezanih s posamezno obveznostjo.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Zunajbilančne postavke s kreditnim </w:t>
            </w:r>
            <w:proofErr w:type="spellStart"/>
            <w:r>
              <w:rPr>
                <w:rFonts w:ascii="Times New Roman" w:hAnsi="Times New Roman"/>
                <w:b/>
              </w:rPr>
              <w:t>konverzijskim</w:t>
            </w:r>
            <w:proofErr w:type="spellEnd"/>
            <w:r>
              <w:rPr>
                <w:rFonts w:ascii="Times New Roman" w:hAnsi="Times New Roman"/>
                <w:b/>
              </w:rPr>
              <w:t xml:space="preserve"> faktorjem v višini 20 % v skladu s členom 429(10)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429(10), člen 111(1)(c) in člen 166(9)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Vrednost izpostavljenosti v skladu s členom 429(10) in členom 111(1)(c) CRR za </w:t>
            </w:r>
            <w:r>
              <w:rPr>
                <w:rFonts w:ascii="Times New Roman" w:hAnsi="Times New Roman"/>
              </w:rPr>
              <w:lastRenderedPageBreak/>
              <w:t xml:space="preserve">zunajbilančne postavke s srednjim/nizkim tveganjem, ki bi se jim pripisal kreditni </w:t>
            </w:r>
            <w:proofErr w:type="spellStart"/>
            <w:r>
              <w:rPr>
                <w:rFonts w:ascii="Times New Roman" w:hAnsi="Times New Roman"/>
              </w:rPr>
              <w:t>konverzijski</w:t>
            </w:r>
            <w:proofErr w:type="spellEnd"/>
            <w:r>
              <w:rPr>
                <w:rFonts w:ascii="Times New Roman" w:hAnsi="Times New Roman"/>
              </w:rPr>
              <w:t xml:space="preserve"> faktor v višini 20 %, iz točk 3(a) in (b) Priloge I k CRR (opozoriti je treba, da je vrednost izpostavljenosti v tem primeru 20 % nominalne vrednosti).</w:t>
            </w:r>
            <w:r>
              <w:t xml:space="preserve"> </w:t>
            </w:r>
            <w:r>
              <w:rPr>
                <w:rFonts w:ascii="Times New Roman" w:hAnsi="Times New Roman"/>
              </w:rPr>
              <w:t>Opozoriti je treba, da se nominalna vrednost ne zmanjša za posebne popravke zaradi kreditnega tveganja.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Če se prevzeta obveznost nanaša na podaljšanje druge obveznosti, se v skladu s členom 166(9) CRR uporablja nižji od dveh konverzijskih faktorjev, povezanih s posamezno obveznostjo.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Institucije v tej celici v skladu s členom 429(10) CRR ne upoštevajo pogodb iz Priloge II k CRR, kreditnih izvedenih finančnih instrumentov in poslov financiranja z vrednostnimi papirji.</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Zunajbilančne postavke s kreditnim </w:t>
            </w:r>
            <w:proofErr w:type="spellStart"/>
            <w:r>
              <w:rPr>
                <w:rFonts w:ascii="Times New Roman" w:hAnsi="Times New Roman"/>
                <w:b/>
              </w:rPr>
              <w:t>konverzijskim</w:t>
            </w:r>
            <w:proofErr w:type="spellEnd"/>
            <w:r>
              <w:rPr>
                <w:rFonts w:ascii="Times New Roman" w:hAnsi="Times New Roman"/>
                <w:b/>
              </w:rPr>
              <w:t xml:space="preserve"> faktorjem v višini 50 % v skladu s členom 429(10)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429(10), člen 111(1)(b) in člen 166(9)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Vrednost izpostavljenosti v skladu s členom 429(10) in členom 111(1)(b) CRR za zunajbilančne postavke s srednjim tveganjem, ki bi se jim pripisal kreditni </w:t>
            </w:r>
            <w:proofErr w:type="spellStart"/>
            <w:r>
              <w:rPr>
                <w:rFonts w:ascii="Times New Roman" w:hAnsi="Times New Roman"/>
              </w:rPr>
              <w:t>konverzijski</w:t>
            </w:r>
            <w:proofErr w:type="spellEnd"/>
            <w:r>
              <w:rPr>
                <w:rFonts w:ascii="Times New Roman" w:hAnsi="Times New Roman"/>
              </w:rPr>
              <w:t xml:space="preserve"> faktor v višini 50 %, kot je določeno v standardiziranem pristopu h kreditnemu tveganju, iz točk 2(a) in (b) Priloge I k CRR (opozoriti je treba, da je vrednost izpostavljenosti v tem primeru 50 % nominalne vrednosti). Opozoriti je treba, da se nominalna vrednost ne zmanjša za posebne popravke zaradi kreditnega tveganja.</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Ta celica vključuje okvirne likvidnostne kredite in druge obveznosti do listinjenja. Povedano drugače, kreditni </w:t>
            </w:r>
            <w:proofErr w:type="spellStart"/>
            <w:r>
              <w:rPr>
                <w:rFonts w:ascii="Times New Roman" w:hAnsi="Times New Roman"/>
              </w:rPr>
              <w:t>konverzijski</w:t>
            </w:r>
            <w:proofErr w:type="spellEnd"/>
            <w:r>
              <w:rPr>
                <w:rFonts w:ascii="Times New Roman" w:hAnsi="Times New Roman"/>
              </w:rPr>
              <w:t xml:space="preserve"> faktor za vse okvirne likvidnostne kredite je v skladu s členom 255 CRR 50 % ne glede na zapadlost.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Če se prevzeta obveznost nanaša na podaljšanje druge obveznosti, se v skladu s členom 166(9) CRR uporablja nižji od dveh konverzijskih faktorjev, povezanih s posamezno obveznostjo.</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Zunajbilančne postavke s kreditnim </w:t>
            </w:r>
            <w:proofErr w:type="spellStart"/>
            <w:r>
              <w:rPr>
                <w:rFonts w:ascii="Times New Roman" w:hAnsi="Times New Roman"/>
                <w:b/>
              </w:rPr>
              <w:t>konverzijskim</w:t>
            </w:r>
            <w:proofErr w:type="spellEnd"/>
            <w:r>
              <w:rPr>
                <w:rFonts w:ascii="Times New Roman" w:hAnsi="Times New Roman"/>
                <w:b/>
              </w:rPr>
              <w:t xml:space="preserve"> faktorjem v višini 100 % v skladu s členom 429(10)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Člen 429(10), člen 111(1)(a) in člen 166(9)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Vrednost izpostavljenosti v skladu s členom 429(10) in členom 111(1)(a) CRR za zunajbilančne postavke z visokim tveganjem, ki bi se jim pripisal kreditni </w:t>
            </w:r>
            <w:proofErr w:type="spellStart"/>
            <w:r>
              <w:rPr>
                <w:rFonts w:ascii="Times New Roman" w:hAnsi="Times New Roman"/>
              </w:rPr>
              <w:t>konverzijski</w:t>
            </w:r>
            <w:proofErr w:type="spellEnd"/>
            <w:r>
              <w:rPr>
                <w:rFonts w:ascii="Times New Roman" w:hAnsi="Times New Roman"/>
              </w:rPr>
              <w:t xml:space="preserve"> faktor v višini 100 %, iz točk 1(a) do (k) Priloge I k CRR (opozoriti je treba, da je vrednost izpostavljenosti v tem primeru 100 % nominalne vrednosti). Opozoriti je treba, da se nominalna vrednost ne zmanjša za posebne popravke zaradi kreditnega tveganja.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Ta celica vključuje okvirne likvidnostne kredite in druge obveznosti do listinjenja.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Če se prevzeta obveznost nanaša na podaljšanje druge obveznosti, se v skladu s členom 166(9) CRR uporablja nižji od dveh konverzijskih faktorjev, povezanih s posamezno obveznostjo.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lastRenderedPageBreak/>
              <w:t xml:space="preserve">Druga sredstva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Člen 429(5)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Vsa sredstva razen pogodb iz Priloge II k CRR, kreditnih izvedenih finančnih instrumentov in poslov financiranja z vrednostnimi papirji (npr. med druga sredstva, ki se sporočijo v tej celici, spadajo računovodske terjatve za gibljivo kritje, zagotovljeno v denarnih sredstvih, če so pripoznane v skladu z uporabljenim računovodskim okvirom, likvidna sredstva, kot so opredeljena v okviru količnika likvidnostnega kritja, neuspeli in neporavnani posli). Institucije pri vrednotenju upoštevajo načela iz člena 429(5)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Institucije v to celico vključijo prejeta denarna sredstva ali vse vrednostne papirje, ki se nasprotni stranki zagotovijo prek poslov financiranja z vrednostnimi papirji in se obdržijo v bilanci stanja (tj. računovodska merila glede odprave pripoznanja niso izpolnjena). Poleg tega institucije tukaj pripoznajo postavke, ki se odbijejo od navadnega lastniškega temeljnega kapitala, in postavke dodatnega temeljnega kapitala (npr. neopredmetena sredstva, odložene terjatve za davek itd.).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Prištetje zneska zavarovanja s premoženjem, zagotovljenega v zvezi z izvedenimi finančnimi instrumenti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429a(2)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Znesek vsega zavarovanja s premoženjem, zagotovljenega v zvezi z izvedenimi finančnimi instrumenti, če zagotovitev tega zavarovanja zmanjša znesek sredstev na podlagi veljavnega računovodskega okvira, kot je določeno v členu 429a(2)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Institucije v to celico ne vključijo začetnega kritja za posle z izvedenimi finančnimi instrumenti, za katere je izveden kliring prek kvalificirane CNS, ali primerno gibljivo kritje v skladu s členom 429a(3)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Terjatve za gibljivo kritje v obliki denarnih sredstev, zagotovljeno v poslih z izvedenimi finančnimi instrumenti</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Tretji pododstavek člena 429a(3)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Terjatve za gibljivo kritje, plačano nasprotni stranki z denarnimi sredstvi, v poslih z izvedenimi finančnimi instrumenti, če mora institucija v skladu z veljavnim računovodskim okvirom te terjatve pripoznati kot sredstvo, kadar so izpolnjeni pogoji iz točk (a) do (e) člena 429a(3)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Sporočeni znesek se vključi tudi v druga sredstva, sporočena v celici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Posli s CNS, izključeni iz trgovalnih izpostavljenosti (začetno kritje), za katere je izveden kliring prek CNS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Del izključenih trgovalnih izpostavljenosti do kvalificirane CNS iz poslov z izvedenimi finančnimi instrumenti, za katere je izveden kliring prek CNS, ki ga predstavlja začetno kritje (dano), če navedene postavke izpolnjujejo pogoje iz člena 306(1)(c)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Sporočeni znesek se vključi tudi v druga sredstva, sporočena v celici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Prilagoditve za posle SFT, pri katerih se odpravi pripoznanje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429b(5)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Vrednost posojenih vrednostnih papirjev v repo poslu, za katere se odpravi pripoznanje zaradi </w:t>
            </w:r>
            <w:proofErr w:type="spellStart"/>
            <w:r>
              <w:rPr>
                <w:rFonts w:ascii="Times New Roman" w:hAnsi="Times New Roman"/>
              </w:rPr>
              <w:t>računovodenja</w:t>
            </w:r>
            <w:proofErr w:type="spellEnd"/>
            <w:r>
              <w:rPr>
                <w:rFonts w:ascii="Times New Roman" w:hAnsi="Times New Roman"/>
              </w:rPr>
              <w:t xml:space="preserve"> po pravilu prodaje na podlagi veljavnega računovodskega okvira.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Fiduciarna sredstva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 429(13)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Vrednost fiduciarnih sredstev, ki izpolnjujejo merila MRS 39 za odpravo pripoznanja in, kjer je relevantno, merila MSRP 10 za </w:t>
            </w:r>
            <w:proofErr w:type="spellStart"/>
            <w:r>
              <w:rPr>
                <w:rFonts w:ascii="Times New Roman" w:hAnsi="Times New Roman"/>
              </w:rPr>
              <w:t>dekonsolidacijo</w:t>
            </w:r>
            <w:proofErr w:type="spellEnd"/>
            <w:r>
              <w:rPr>
                <w:rFonts w:ascii="Times New Roman" w:hAnsi="Times New Roman"/>
              </w:rPr>
              <w:t xml:space="preserve"> (razdružitev) v skladu s členom 429(13) CRR, brez upoštevanja kakršnega koli računovodskega pobota ali učinka drugega zmanjševanja kreditnega tveganja (tj. vsi učinki računovodskega pobota ali zmanjševanja kreditnega tveganja, ki so vplivali na knjigovodsko vrednost, se razveljavijo).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Sporočeni znesek se vključi tudi v druga sredstva, sporočena v celici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Izpostavljenosti znotraj skupine (posamična podlaga), izključene v skladu s členom 429(7)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Člena 429(7) in 113(6)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Izpostavljenosti, ki niso bile konsolidirane na ravni konsolidacije, ki se uporablja, in ki so lahko deležne ugodnejše obravnave iz člena 113(6) CRR, če so izpolnjeni vsi pogoji iz točk (a) do (e) člena 113(6) CRR in če so pristojni organi to odobrili.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Sporočeni znesek se vključi tudi v relevantne celice zgoraj, kot da se ne uporablja nobeno izvzetje.</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Izpostavljenosti, izključene v skladu s členom 429(14)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Člen 429(14)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Izpostavljenosti, izključene v skladu s členom 429(14) CRR, če so izpolnjeni pogoji iz tega člena in če so pristojni organi to odobrili.</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Sporočeni znesek se vključi tudi v relevantne celice zgoraj, kot da se ne uporablja nobeno izvzetje.</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Znesek sredstev, odštetih od postavk temeljnega kapitala – opredelitev brez prehodnih ureditev</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Člen 429(4)(a) in člen 499(1)(a)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Znesek vključuje vse prilagoditve, ki so namenjene vrednosti sredstva in ki jih zahtevajo:</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členi 32 do 35 CRR ali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členi 36 do 47 CRR ali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členi 56 do 60 CRR,</w:t>
            </w:r>
          </w:p>
          <w:p w:rsidR="006D3F98" w:rsidRDefault="006D3F98" w:rsidP="002573FC">
            <w:pPr>
              <w:pStyle w:val="BodyText1"/>
              <w:spacing w:line="240" w:lineRule="auto"/>
              <w:rPr>
                <w:rFonts w:ascii="Times New Roman" w:hAnsi="Times New Roman"/>
                <w:bCs/>
              </w:rPr>
            </w:pPr>
            <w:r>
              <w:rPr>
                <w:rFonts w:ascii="Times New Roman" w:hAnsi="Times New Roman"/>
              </w:rPr>
              <w:t>kot je ustrezno.</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Institucije upoštevajo izvzetja, druge možnosti in opustitve teh odbitkov iz členov 48, 49 in 79 CRR, vendar brez upoštevanja odstopanja iz poglavij 1 in 2 naslova I dela 10 CRR. Da bi se preprečilo dvojno štetje, institucije pri izračunu vrednosti izpostavljenosti v celicah {010;010} do {260;010} ne sporočijo prilagoditev, ki so se že uporabile v skladu s členom 111 CRR, prav tako pa ne sporočijo nobenih prilagoditev, ki ne zmanjšajo vrednosti določenega sredstva.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Ker se ti zneski odštejejo že od mere kapitala, zmanjšajo izpostavljenost količnika finančnega vzvoda in se sporočijo kot negativna vrednost.</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Znesek sredstev, odštetih od postavk temeljnega kapitala – opredelitev s prehodnimi ureditvami</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Člen 429(4)(a) in člen 499(1)(b)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Znesek vključuje vse prilagoditve, ki prilagodijo vrednost sredstva in ki jih zahtevajo:</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členi 32 do 35 CRR ali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členi 36 do 47 CRR ali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členi 56 do 60 CRR,</w:t>
            </w:r>
          </w:p>
          <w:p w:rsidR="009264ED" w:rsidRDefault="00316050" w:rsidP="002573FC">
            <w:pPr>
              <w:pStyle w:val="BodyText1"/>
              <w:spacing w:line="240" w:lineRule="auto"/>
              <w:rPr>
                <w:rFonts w:ascii="Times New Roman" w:hAnsi="Times New Roman"/>
                <w:bCs/>
              </w:rPr>
            </w:pPr>
            <w:r>
              <w:rPr>
                <w:rFonts w:ascii="Times New Roman" w:hAnsi="Times New Roman"/>
              </w:rPr>
              <w:t>kot je ustrezno.</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Institucije poleg že upoštevanih odstopanj iz poglavij 1 in 2 naslova I dela 10 CRR upoštevajo izvzetja, druge možnosti in opustitve teh odbitkov iz členov 48, 49 in 79 CRR. Da bi se preprečilo dvojno štetje, institucije pri izračunu vrednosti izpostavljenosti v celicah {010;010} do {260;010} ne sporočijo prilagoditev, ki so se že uporabile v skladu s členom 111 CRR, prav tako pa ne sporočijo nobenih prilagoditev, ki ne zmanjšajo vrednosti določenega sredstva.</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Ker se ti zneski odštejejo že od mere kapitala, zmanjšajo izpostavljenost količnika finančnega vzvoda in se sporočijo kot negativna vrednost.</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Skupna izpostavljenost za količnik finančnega vzvoda – ob uporabi opredelitve temeljnega kapitala brez prehodnih ureditev</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Institucije sporočijo naslednji znesek:</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w:t>
            </w:r>
            <w:proofErr w:type="spellStart"/>
            <w:r>
              <w:rPr>
                <w:rFonts w:ascii="Times New Roman" w:hAnsi="Times New Roman"/>
              </w:rPr>
              <w:t>LRCalc</w:t>
            </w:r>
            <w:proofErr w:type="spellEnd"/>
            <w:r>
              <w:rPr>
                <w:rFonts w:ascii="Times New Roman" w:hAnsi="Times New Roman"/>
              </w:rPr>
              <w:t>;010;010} + {</w:t>
            </w:r>
            <w:proofErr w:type="spellStart"/>
            <w:r>
              <w:rPr>
                <w:rFonts w:ascii="Times New Roman" w:hAnsi="Times New Roman"/>
              </w:rPr>
              <w:t>LRCalc</w:t>
            </w:r>
            <w:proofErr w:type="spellEnd"/>
            <w:r>
              <w:rPr>
                <w:rFonts w:ascii="Times New Roman" w:hAnsi="Times New Roman"/>
              </w:rPr>
              <w:t>;020;010} + {</w:t>
            </w:r>
            <w:proofErr w:type="spellStart"/>
            <w:r>
              <w:rPr>
                <w:rFonts w:ascii="Times New Roman" w:hAnsi="Times New Roman"/>
              </w:rPr>
              <w:t>LRCalc</w:t>
            </w:r>
            <w:proofErr w:type="spellEnd"/>
            <w:r>
              <w:rPr>
                <w:rFonts w:ascii="Times New Roman" w:hAnsi="Times New Roman"/>
              </w:rPr>
              <w:t>;030;010} + {</w:t>
            </w:r>
            <w:proofErr w:type="spellStart"/>
            <w:r>
              <w:rPr>
                <w:rFonts w:ascii="Times New Roman" w:hAnsi="Times New Roman"/>
              </w:rPr>
              <w:t>LRCalc</w:t>
            </w:r>
            <w:proofErr w:type="spellEnd"/>
            <w:r>
              <w:rPr>
                <w:rFonts w:ascii="Times New Roman" w:hAnsi="Times New Roman"/>
              </w:rPr>
              <w:t>;040;010} + {</w:t>
            </w:r>
            <w:proofErr w:type="spellStart"/>
            <w:r>
              <w:rPr>
                <w:rFonts w:ascii="Times New Roman" w:hAnsi="Times New Roman"/>
              </w:rPr>
              <w:t>LRCalc</w:t>
            </w:r>
            <w:proofErr w:type="spellEnd"/>
            <w:r>
              <w:rPr>
                <w:rFonts w:ascii="Times New Roman" w:hAnsi="Times New Roman"/>
              </w:rPr>
              <w:t>;050;010} + {</w:t>
            </w:r>
            <w:proofErr w:type="spellStart"/>
            <w:r>
              <w:rPr>
                <w:rFonts w:ascii="Times New Roman" w:hAnsi="Times New Roman"/>
              </w:rPr>
              <w:t>LRCalc</w:t>
            </w:r>
            <w:proofErr w:type="spellEnd"/>
            <w:r>
              <w:rPr>
                <w:rFonts w:ascii="Times New Roman" w:hAnsi="Times New Roman"/>
              </w:rPr>
              <w:t>;060;010} + {</w:t>
            </w:r>
            <w:proofErr w:type="spellStart"/>
            <w:r>
              <w:rPr>
                <w:rFonts w:ascii="Times New Roman" w:hAnsi="Times New Roman"/>
              </w:rPr>
              <w:t>LRCalc</w:t>
            </w:r>
            <w:proofErr w:type="spellEnd"/>
            <w:r>
              <w:rPr>
                <w:rFonts w:ascii="Times New Roman" w:hAnsi="Times New Roman"/>
              </w:rPr>
              <w:t>;070;010} + {</w:t>
            </w:r>
            <w:proofErr w:type="spellStart"/>
            <w:r>
              <w:rPr>
                <w:rFonts w:ascii="Times New Roman" w:hAnsi="Times New Roman"/>
              </w:rPr>
              <w:t>LRCalc</w:t>
            </w:r>
            <w:proofErr w:type="spellEnd"/>
            <w:r>
              <w:rPr>
                <w:rFonts w:ascii="Times New Roman" w:hAnsi="Times New Roman"/>
              </w:rPr>
              <w:t>;080;010} + {</w:t>
            </w:r>
            <w:proofErr w:type="spellStart"/>
            <w:r>
              <w:rPr>
                <w:rFonts w:ascii="Times New Roman" w:hAnsi="Times New Roman"/>
              </w:rPr>
              <w:t>LRCalc</w:t>
            </w:r>
            <w:proofErr w:type="spellEnd"/>
            <w:r>
              <w:rPr>
                <w:rFonts w:ascii="Times New Roman" w:hAnsi="Times New Roman"/>
              </w:rPr>
              <w:t>;090;010} + {</w:t>
            </w:r>
            <w:proofErr w:type="spellStart"/>
            <w:r>
              <w:rPr>
                <w:rFonts w:ascii="Times New Roman" w:hAnsi="Times New Roman"/>
              </w:rPr>
              <w:t>LRCalc</w:t>
            </w:r>
            <w:proofErr w:type="spellEnd"/>
            <w:r>
              <w:rPr>
                <w:rFonts w:ascii="Times New Roman" w:hAnsi="Times New Roman"/>
              </w:rPr>
              <w:t>;100;010} + {</w:t>
            </w:r>
            <w:proofErr w:type="spellStart"/>
            <w:r>
              <w:rPr>
                <w:rFonts w:ascii="Times New Roman" w:hAnsi="Times New Roman"/>
              </w:rPr>
              <w:t>LRCalc</w:t>
            </w:r>
            <w:proofErr w:type="spellEnd"/>
            <w:r>
              <w:rPr>
                <w:rFonts w:ascii="Times New Roman" w:hAnsi="Times New Roman"/>
              </w:rPr>
              <w:t>;110;010} + {</w:t>
            </w:r>
            <w:proofErr w:type="spellStart"/>
            <w:r>
              <w:rPr>
                <w:rFonts w:ascii="Times New Roman" w:hAnsi="Times New Roman"/>
              </w:rPr>
              <w:t>LRCalc</w:t>
            </w:r>
            <w:proofErr w:type="spellEnd"/>
            <w:r>
              <w:rPr>
                <w:rFonts w:ascii="Times New Roman" w:hAnsi="Times New Roman"/>
              </w:rPr>
              <w:t>;120;010} + {</w:t>
            </w:r>
            <w:proofErr w:type="spellStart"/>
            <w:r>
              <w:rPr>
                <w:rFonts w:ascii="Times New Roman" w:hAnsi="Times New Roman"/>
              </w:rPr>
              <w:t>LRCalc</w:t>
            </w:r>
            <w:proofErr w:type="spellEnd"/>
            <w:r>
              <w:rPr>
                <w:rFonts w:ascii="Times New Roman" w:hAnsi="Times New Roman"/>
              </w:rPr>
              <w:t>;130;010} + {</w:t>
            </w:r>
            <w:proofErr w:type="spellStart"/>
            <w:r>
              <w:rPr>
                <w:rFonts w:ascii="Times New Roman" w:hAnsi="Times New Roman"/>
              </w:rPr>
              <w:t>LRCalc</w:t>
            </w:r>
            <w:proofErr w:type="spellEnd"/>
            <w:r>
              <w:rPr>
                <w:rFonts w:ascii="Times New Roman" w:hAnsi="Times New Roman"/>
              </w:rPr>
              <w:t>;140;010} + {</w:t>
            </w:r>
            <w:proofErr w:type="spellStart"/>
            <w:r>
              <w:rPr>
                <w:rFonts w:ascii="Times New Roman" w:hAnsi="Times New Roman"/>
              </w:rPr>
              <w:t>LRCalc</w:t>
            </w:r>
            <w:proofErr w:type="spellEnd"/>
            <w:r>
              <w:rPr>
                <w:rFonts w:ascii="Times New Roman" w:hAnsi="Times New Roman"/>
              </w:rPr>
              <w:t>;150;010} + {</w:t>
            </w:r>
            <w:proofErr w:type="spellStart"/>
            <w:r>
              <w:rPr>
                <w:rFonts w:ascii="Times New Roman" w:hAnsi="Times New Roman"/>
              </w:rPr>
              <w:t>LRCalc</w:t>
            </w:r>
            <w:proofErr w:type="spellEnd"/>
            <w:r>
              <w:rPr>
                <w:rFonts w:ascii="Times New Roman" w:hAnsi="Times New Roman"/>
              </w:rPr>
              <w:t>;160;010} + {</w:t>
            </w:r>
            <w:proofErr w:type="spellStart"/>
            <w:r>
              <w:rPr>
                <w:rFonts w:ascii="Times New Roman" w:hAnsi="Times New Roman"/>
              </w:rPr>
              <w:t>LRCalc</w:t>
            </w:r>
            <w:proofErr w:type="spellEnd"/>
            <w:r>
              <w:rPr>
                <w:rFonts w:ascii="Times New Roman" w:hAnsi="Times New Roman"/>
              </w:rPr>
              <w:t>;170;010} + {</w:t>
            </w:r>
            <w:proofErr w:type="spellStart"/>
            <w:r>
              <w:rPr>
                <w:rFonts w:ascii="Times New Roman" w:hAnsi="Times New Roman"/>
              </w:rPr>
              <w:t>LRCalc</w:t>
            </w:r>
            <w:proofErr w:type="spellEnd"/>
            <w:r>
              <w:rPr>
                <w:rFonts w:ascii="Times New Roman" w:hAnsi="Times New Roman"/>
              </w:rPr>
              <w:t>;180;010} + {</w:t>
            </w:r>
            <w:proofErr w:type="spellStart"/>
            <w:r>
              <w:rPr>
                <w:rFonts w:ascii="Times New Roman" w:hAnsi="Times New Roman"/>
              </w:rPr>
              <w:t>LRCalc</w:t>
            </w:r>
            <w:proofErr w:type="spellEnd"/>
            <w:r>
              <w:rPr>
                <w:rFonts w:ascii="Times New Roman" w:hAnsi="Times New Roman"/>
              </w:rPr>
              <w:t>;190;010} + {</w:t>
            </w:r>
            <w:proofErr w:type="spellStart"/>
            <w:r>
              <w:rPr>
                <w:rFonts w:ascii="Times New Roman" w:hAnsi="Times New Roman"/>
              </w:rPr>
              <w:t>LRCalc</w:t>
            </w:r>
            <w:proofErr w:type="spellEnd"/>
            <w:r>
              <w:rPr>
                <w:rFonts w:ascii="Times New Roman" w:hAnsi="Times New Roman"/>
              </w:rPr>
              <w:t>;200;010} + {</w:t>
            </w:r>
            <w:proofErr w:type="spellStart"/>
            <w:r>
              <w:rPr>
                <w:rFonts w:ascii="Times New Roman" w:hAnsi="Times New Roman"/>
              </w:rPr>
              <w:t>LRCalc</w:t>
            </w:r>
            <w:proofErr w:type="spellEnd"/>
            <w:r>
              <w:rPr>
                <w:rFonts w:ascii="Times New Roman" w:hAnsi="Times New Roman"/>
              </w:rPr>
              <w:t>;210;010} + {</w:t>
            </w:r>
            <w:proofErr w:type="spellStart"/>
            <w:r>
              <w:rPr>
                <w:rFonts w:ascii="Times New Roman" w:hAnsi="Times New Roman"/>
              </w:rPr>
              <w:t>LRCalc</w:t>
            </w:r>
            <w:proofErr w:type="spellEnd"/>
            <w:r>
              <w:rPr>
                <w:rFonts w:ascii="Times New Roman" w:hAnsi="Times New Roman"/>
              </w:rPr>
              <w:t>;220;010} + {</w:t>
            </w:r>
            <w:proofErr w:type="spellStart"/>
            <w:r>
              <w:rPr>
                <w:rFonts w:ascii="Times New Roman" w:hAnsi="Times New Roman"/>
              </w:rPr>
              <w:t>LRCalc</w:t>
            </w:r>
            <w:proofErr w:type="spellEnd"/>
            <w:r>
              <w:rPr>
                <w:rFonts w:ascii="Times New Roman" w:hAnsi="Times New Roman"/>
              </w:rPr>
              <w:t>;230;010} + {</w:t>
            </w:r>
            <w:proofErr w:type="spellStart"/>
            <w:r>
              <w:rPr>
                <w:rFonts w:ascii="Times New Roman" w:hAnsi="Times New Roman"/>
              </w:rPr>
              <w:t>LRCalc</w:t>
            </w:r>
            <w:proofErr w:type="spellEnd"/>
            <w:r>
              <w:rPr>
                <w:rFonts w:ascii="Times New Roman" w:hAnsi="Times New Roman"/>
              </w:rPr>
              <w:t>;240;010} + {</w:t>
            </w:r>
            <w:proofErr w:type="spellStart"/>
            <w:r>
              <w:rPr>
                <w:rFonts w:ascii="Times New Roman" w:hAnsi="Times New Roman"/>
              </w:rPr>
              <w:t>LRCalc</w:t>
            </w:r>
            <w:proofErr w:type="spellEnd"/>
            <w:r>
              <w:rPr>
                <w:rFonts w:ascii="Times New Roman" w:hAnsi="Times New Roman"/>
              </w:rPr>
              <w:t>;250;010} + {</w:t>
            </w:r>
            <w:proofErr w:type="spellStart"/>
            <w:r>
              <w:rPr>
                <w:rFonts w:ascii="Times New Roman" w:hAnsi="Times New Roman"/>
              </w:rPr>
              <w:t>LRCalc</w:t>
            </w:r>
            <w:proofErr w:type="spellEnd"/>
            <w:r>
              <w:rPr>
                <w:rFonts w:ascii="Times New Roman" w:hAnsi="Times New Roman"/>
              </w:rPr>
              <w:t>;260;010} + {</w:t>
            </w:r>
            <w:proofErr w:type="spellStart"/>
            <w:r>
              <w:rPr>
                <w:rFonts w:ascii="Times New Roman" w:hAnsi="Times New Roman"/>
              </w:rPr>
              <w:t>LRCalc</w:t>
            </w:r>
            <w:proofErr w:type="spellEnd"/>
            <w:r>
              <w:rPr>
                <w:rFonts w:ascii="Times New Roman" w:hAnsi="Times New Roman"/>
              </w:rPr>
              <w:t>;270;010}.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Skupna izpostavljenost za količnik finančnega vzvoda – ob uporabi opredelitve temeljnega kapitala s prehodnimi ureditvami</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Institucije sporočijo naslednji znesek:</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w:t>
            </w:r>
            <w:proofErr w:type="spellStart"/>
            <w:r>
              <w:rPr>
                <w:rFonts w:ascii="Times New Roman" w:hAnsi="Times New Roman"/>
              </w:rPr>
              <w:t>LRCalc</w:t>
            </w:r>
            <w:proofErr w:type="spellEnd"/>
            <w:r>
              <w:rPr>
                <w:rFonts w:ascii="Times New Roman" w:hAnsi="Times New Roman"/>
              </w:rPr>
              <w:t>;010;010} + {</w:t>
            </w:r>
            <w:proofErr w:type="spellStart"/>
            <w:r>
              <w:rPr>
                <w:rFonts w:ascii="Times New Roman" w:hAnsi="Times New Roman"/>
              </w:rPr>
              <w:t>LRCalc</w:t>
            </w:r>
            <w:proofErr w:type="spellEnd"/>
            <w:r>
              <w:rPr>
                <w:rFonts w:ascii="Times New Roman" w:hAnsi="Times New Roman"/>
              </w:rPr>
              <w:t>;020;010} + {</w:t>
            </w:r>
            <w:proofErr w:type="spellStart"/>
            <w:r>
              <w:rPr>
                <w:rFonts w:ascii="Times New Roman" w:hAnsi="Times New Roman"/>
              </w:rPr>
              <w:t>LRCalc</w:t>
            </w:r>
            <w:proofErr w:type="spellEnd"/>
            <w:r>
              <w:rPr>
                <w:rFonts w:ascii="Times New Roman" w:hAnsi="Times New Roman"/>
              </w:rPr>
              <w:t>;030;010} + {</w:t>
            </w:r>
            <w:proofErr w:type="spellStart"/>
            <w:r>
              <w:rPr>
                <w:rFonts w:ascii="Times New Roman" w:hAnsi="Times New Roman"/>
              </w:rPr>
              <w:t>LRCalc</w:t>
            </w:r>
            <w:proofErr w:type="spellEnd"/>
            <w:r>
              <w:rPr>
                <w:rFonts w:ascii="Times New Roman" w:hAnsi="Times New Roman"/>
              </w:rPr>
              <w:t>;040;010} + {</w:t>
            </w:r>
            <w:proofErr w:type="spellStart"/>
            <w:r>
              <w:rPr>
                <w:rFonts w:ascii="Times New Roman" w:hAnsi="Times New Roman"/>
              </w:rPr>
              <w:t>LRCalc</w:t>
            </w:r>
            <w:proofErr w:type="spellEnd"/>
            <w:r>
              <w:rPr>
                <w:rFonts w:ascii="Times New Roman" w:hAnsi="Times New Roman"/>
              </w:rPr>
              <w:t>;050;010} + {</w:t>
            </w:r>
            <w:proofErr w:type="spellStart"/>
            <w:r>
              <w:rPr>
                <w:rFonts w:ascii="Times New Roman" w:hAnsi="Times New Roman"/>
              </w:rPr>
              <w:t>LRCalc</w:t>
            </w:r>
            <w:proofErr w:type="spellEnd"/>
            <w:r>
              <w:rPr>
                <w:rFonts w:ascii="Times New Roman" w:hAnsi="Times New Roman"/>
              </w:rPr>
              <w:t>;060;010} + {</w:t>
            </w:r>
            <w:proofErr w:type="spellStart"/>
            <w:r>
              <w:rPr>
                <w:rFonts w:ascii="Times New Roman" w:hAnsi="Times New Roman"/>
              </w:rPr>
              <w:t>LRCalc</w:t>
            </w:r>
            <w:proofErr w:type="spellEnd"/>
            <w:r>
              <w:rPr>
                <w:rFonts w:ascii="Times New Roman" w:hAnsi="Times New Roman"/>
              </w:rPr>
              <w:t>;070;010} + {</w:t>
            </w:r>
            <w:proofErr w:type="spellStart"/>
            <w:r>
              <w:rPr>
                <w:rFonts w:ascii="Times New Roman" w:hAnsi="Times New Roman"/>
              </w:rPr>
              <w:t>LRCalc</w:t>
            </w:r>
            <w:proofErr w:type="spellEnd"/>
            <w:r>
              <w:rPr>
                <w:rFonts w:ascii="Times New Roman" w:hAnsi="Times New Roman"/>
              </w:rPr>
              <w:t>;080;010} + {</w:t>
            </w:r>
            <w:proofErr w:type="spellStart"/>
            <w:r>
              <w:rPr>
                <w:rFonts w:ascii="Times New Roman" w:hAnsi="Times New Roman"/>
              </w:rPr>
              <w:t>LRCalc</w:t>
            </w:r>
            <w:proofErr w:type="spellEnd"/>
            <w:r>
              <w:rPr>
                <w:rFonts w:ascii="Times New Roman" w:hAnsi="Times New Roman"/>
              </w:rPr>
              <w:t>;090;010} + {</w:t>
            </w:r>
            <w:proofErr w:type="spellStart"/>
            <w:r>
              <w:rPr>
                <w:rFonts w:ascii="Times New Roman" w:hAnsi="Times New Roman"/>
              </w:rPr>
              <w:t>LRCalc</w:t>
            </w:r>
            <w:proofErr w:type="spellEnd"/>
            <w:r>
              <w:rPr>
                <w:rFonts w:ascii="Times New Roman" w:hAnsi="Times New Roman"/>
              </w:rPr>
              <w:t>;100;010} + {</w:t>
            </w:r>
            <w:proofErr w:type="spellStart"/>
            <w:r>
              <w:rPr>
                <w:rFonts w:ascii="Times New Roman" w:hAnsi="Times New Roman"/>
              </w:rPr>
              <w:t>LRCalc</w:t>
            </w:r>
            <w:proofErr w:type="spellEnd"/>
            <w:r>
              <w:rPr>
                <w:rFonts w:ascii="Times New Roman" w:hAnsi="Times New Roman"/>
              </w:rPr>
              <w:t>;110;010} + {</w:t>
            </w:r>
            <w:proofErr w:type="spellStart"/>
            <w:r>
              <w:rPr>
                <w:rFonts w:ascii="Times New Roman" w:hAnsi="Times New Roman"/>
              </w:rPr>
              <w:t>LRCalc</w:t>
            </w:r>
            <w:proofErr w:type="spellEnd"/>
            <w:r>
              <w:rPr>
                <w:rFonts w:ascii="Times New Roman" w:hAnsi="Times New Roman"/>
              </w:rPr>
              <w:t>;120;010} + {</w:t>
            </w:r>
            <w:proofErr w:type="spellStart"/>
            <w:r>
              <w:rPr>
                <w:rFonts w:ascii="Times New Roman" w:hAnsi="Times New Roman"/>
              </w:rPr>
              <w:t>LRCalc</w:t>
            </w:r>
            <w:proofErr w:type="spellEnd"/>
            <w:r>
              <w:rPr>
                <w:rFonts w:ascii="Times New Roman" w:hAnsi="Times New Roman"/>
              </w:rPr>
              <w:t>;130;010} – {</w:t>
            </w:r>
            <w:proofErr w:type="spellStart"/>
            <w:r>
              <w:rPr>
                <w:rFonts w:ascii="Times New Roman" w:hAnsi="Times New Roman"/>
              </w:rPr>
              <w:t>LRCalc</w:t>
            </w:r>
            <w:proofErr w:type="spellEnd"/>
            <w:r>
              <w:rPr>
                <w:rFonts w:ascii="Times New Roman" w:hAnsi="Times New Roman"/>
              </w:rPr>
              <w:t>;140;010} + {</w:t>
            </w:r>
            <w:proofErr w:type="spellStart"/>
            <w:r>
              <w:rPr>
                <w:rFonts w:ascii="Times New Roman" w:hAnsi="Times New Roman"/>
              </w:rPr>
              <w:t>LRCalc</w:t>
            </w:r>
            <w:proofErr w:type="spellEnd"/>
            <w:r>
              <w:rPr>
                <w:rFonts w:ascii="Times New Roman" w:hAnsi="Times New Roman"/>
              </w:rPr>
              <w:t>;150;010} + {</w:t>
            </w:r>
            <w:proofErr w:type="spellStart"/>
            <w:r>
              <w:rPr>
                <w:rFonts w:ascii="Times New Roman" w:hAnsi="Times New Roman"/>
              </w:rPr>
              <w:t>LRCalc</w:t>
            </w:r>
            <w:proofErr w:type="spellEnd"/>
            <w:r>
              <w:rPr>
                <w:rFonts w:ascii="Times New Roman" w:hAnsi="Times New Roman"/>
              </w:rPr>
              <w:t>;160;010} + {</w:t>
            </w:r>
            <w:proofErr w:type="spellStart"/>
            <w:r>
              <w:rPr>
                <w:rFonts w:ascii="Times New Roman" w:hAnsi="Times New Roman"/>
              </w:rPr>
              <w:t>LRCalc</w:t>
            </w:r>
            <w:proofErr w:type="spellEnd"/>
            <w:r>
              <w:rPr>
                <w:rFonts w:ascii="Times New Roman" w:hAnsi="Times New Roman"/>
              </w:rPr>
              <w:t>;170;010} + {</w:t>
            </w:r>
            <w:proofErr w:type="spellStart"/>
            <w:r>
              <w:rPr>
                <w:rFonts w:ascii="Times New Roman" w:hAnsi="Times New Roman"/>
              </w:rPr>
              <w:t>LRCalc</w:t>
            </w:r>
            <w:proofErr w:type="spellEnd"/>
            <w:r>
              <w:rPr>
                <w:rFonts w:ascii="Times New Roman" w:hAnsi="Times New Roman"/>
              </w:rPr>
              <w:t>;180;010} + {</w:t>
            </w:r>
            <w:proofErr w:type="spellStart"/>
            <w:r>
              <w:rPr>
                <w:rFonts w:ascii="Times New Roman" w:hAnsi="Times New Roman"/>
              </w:rPr>
              <w:t>LRCalc</w:t>
            </w:r>
            <w:proofErr w:type="spellEnd"/>
            <w:r>
              <w:rPr>
                <w:rFonts w:ascii="Times New Roman" w:hAnsi="Times New Roman"/>
              </w:rPr>
              <w:t>;190;010} + {</w:t>
            </w:r>
            <w:proofErr w:type="spellStart"/>
            <w:r>
              <w:rPr>
                <w:rFonts w:ascii="Times New Roman" w:hAnsi="Times New Roman"/>
              </w:rPr>
              <w:t>LRCalc</w:t>
            </w:r>
            <w:proofErr w:type="spellEnd"/>
            <w:r>
              <w:rPr>
                <w:rFonts w:ascii="Times New Roman" w:hAnsi="Times New Roman"/>
              </w:rPr>
              <w:t>;200;010} + {</w:t>
            </w:r>
            <w:proofErr w:type="spellStart"/>
            <w:r>
              <w:rPr>
                <w:rFonts w:ascii="Times New Roman" w:hAnsi="Times New Roman"/>
              </w:rPr>
              <w:t>LRCalc</w:t>
            </w:r>
            <w:proofErr w:type="spellEnd"/>
            <w:r>
              <w:rPr>
                <w:rFonts w:ascii="Times New Roman" w:hAnsi="Times New Roman"/>
              </w:rPr>
              <w:t>;210;010} + {</w:t>
            </w:r>
            <w:proofErr w:type="spellStart"/>
            <w:r>
              <w:rPr>
                <w:rFonts w:ascii="Times New Roman" w:hAnsi="Times New Roman"/>
              </w:rPr>
              <w:t>LRCalc</w:t>
            </w:r>
            <w:proofErr w:type="spellEnd"/>
            <w:r>
              <w:rPr>
                <w:rFonts w:ascii="Times New Roman" w:hAnsi="Times New Roman"/>
              </w:rPr>
              <w:t>;220;010} + {</w:t>
            </w:r>
            <w:proofErr w:type="spellStart"/>
            <w:r>
              <w:rPr>
                <w:rFonts w:ascii="Times New Roman" w:hAnsi="Times New Roman"/>
              </w:rPr>
              <w:t>LRCalc</w:t>
            </w:r>
            <w:proofErr w:type="spellEnd"/>
            <w:r>
              <w:rPr>
                <w:rFonts w:ascii="Times New Roman" w:hAnsi="Times New Roman"/>
              </w:rPr>
              <w:t>;230;010} + {</w:t>
            </w:r>
            <w:proofErr w:type="spellStart"/>
            <w:r>
              <w:rPr>
                <w:rFonts w:ascii="Times New Roman" w:hAnsi="Times New Roman"/>
              </w:rPr>
              <w:t>LRCalc</w:t>
            </w:r>
            <w:proofErr w:type="spellEnd"/>
            <w:r>
              <w:rPr>
                <w:rFonts w:ascii="Times New Roman" w:hAnsi="Times New Roman"/>
              </w:rPr>
              <w:t>;240;010} + {</w:t>
            </w:r>
            <w:proofErr w:type="spellStart"/>
            <w:r>
              <w:rPr>
                <w:rFonts w:ascii="Times New Roman" w:hAnsi="Times New Roman"/>
              </w:rPr>
              <w:t>LRCalc</w:t>
            </w:r>
            <w:proofErr w:type="spellEnd"/>
            <w:r>
              <w:rPr>
                <w:rFonts w:ascii="Times New Roman" w:hAnsi="Times New Roman"/>
              </w:rPr>
              <w:t>;250;010} + {</w:t>
            </w:r>
            <w:proofErr w:type="spellStart"/>
            <w:r>
              <w:rPr>
                <w:rFonts w:ascii="Times New Roman" w:hAnsi="Times New Roman"/>
              </w:rPr>
              <w:t>LRCalc</w:t>
            </w:r>
            <w:proofErr w:type="spellEnd"/>
            <w:r>
              <w:rPr>
                <w:rFonts w:ascii="Times New Roman" w:hAnsi="Times New Roman"/>
              </w:rPr>
              <w:t>;260;010} + {</w:t>
            </w:r>
            <w:proofErr w:type="spellStart"/>
            <w:r>
              <w:rPr>
                <w:rFonts w:ascii="Times New Roman" w:hAnsi="Times New Roman"/>
              </w:rPr>
              <w:t>LRCalc</w:t>
            </w:r>
            <w:proofErr w:type="spellEnd"/>
            <w:r>
              <w:rPr>
                <w:rFonts w:ascii="Times New Roman" w:hAnsi="Times New Roman"/>
              </w:rPr>
              <w:t>;280;010}.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Vrstica </w:t>
            </w:r>
          </w:p>
          <w:p w:rsidR="009264ED" w:rsidRPr="00FE002E" w:rsidRDefault="009264ED" w:rsidP="00FE0FF1">
            <w:pPr>
              <w:pStyle w:val="BodyText1"/>
              <w:rPr>
                <w:rFonts w:ascii="Times New Roman" w:hAnsi="Times New Roman"/>
                <w:b/>
                <w:bCs/>
              </w:rPr>
            </w:pPr>
            <w:r>
              <w:rPr>
                <w:rFonts w:ascii="Times New Roman" w:hAnsi="Times New Roman"/>
                <w:b/>
              </w:rPr>
              <w:t>in stolpec</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Temeljni kapital – opredelitev, ki ne zajema prehodnih ureditev</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Člena 429(3) in 499(1)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To je znesek temeljnega kapitala, izračunan v skladu s členom 25 CRR, pri čemer se ne upošteva odstopanje iz poglavij 1 in 2 naslova I dela 10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Temeljni kapital – opredelitev, ki zajema prehodne ureditve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Člena 429(3) in 499(1)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To je znesek temeljnega kapitala, izračunan v skladu s členom 25 CRR, potem ko se je upoštevalo odstopanje iz poglavij 1 in 2 naslova I dela 10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lastRenderedPageBreak/>
              <w:t xml:space="preserve">Vrstica </w:t>
            </w:r>
          </w:p>
          <w:p w:rsidR="009264ED" w:rsidRPr="00FE002E" w:rsidRDefault="009264ED" w:rsidP="00FE0FF1">
            <w:pPr>
              <w:pStyle w:val="BodyText1"/>
              <w:rPr>
                <w:rFonts w:ascii="Times New Roman" w:hAnsi="Times New Roman"/>
                <w:b/>
                <w:bCs/>
              </w:rPr>
            </w:pPr>
            <w:r>
              <w:rPr>
                <w:rFonts w:ascii="Times New Roman" w:hAnsi="Times New Roman"/>
                <w:b/>
              </w:rPr>
              <w:t>in stolpec</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Količnik finančnega vzvoda</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Količnik finančnega vzvoda – ob uporabi opredelitve temeljnega kapitala brez prehodnih ureditev</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Člena 429(2) in 499(1)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Ta količnik finančnega vzvoda je izračunan v skladu z odstavkom 4 dela II te priloge.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Količnik finančnega vzvoda – ob uporabi opredelitve temeljnega kapitala s prehodnimi ureditvami</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Člena 429(2) in 499(1)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Ta količnik finančnega vzvoda je izračunan v skladu z odstavkom 5 dela II te priloge.</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8" w:name="_Toc351048507"/>
      <w:bookmarkStart w:id="59" w:name="_Toc359414286"/>
      <w:bookmarkStart w:id="60" w:name="_Toc423089071"/>
      <w:bookmarkStart w:id="61" w:name="_Toc523237398"/>
      <w:r>
        <w:rPr>
          <w:rFonts w:ascii="Times New Roman" w:hAnsi="Times New Roman"/>
          <w:b/>
        </w:rPr>
        <w:t>5.</w:t>
      </w:r>
      <w:r>
        <w:tab/>
      </w:r>
      <w:r>
        <w:rPr>
          <w:rFonts w:ascii="Times New Roman" w:hAnsi="Times New Roman"/>
          <w:b/>
        </w:rPr>
        <w:t>C 40.00 – Alternativna obravnava mere izpostavljenosti</w:t>
      </w:r>
      <w:bookmarkEnd w:id="53"/>
      <w:bookmarkEnd w:id="58"/>
      <w:bookmarkEnd w:id="59"/>
      <w:r>
        <w:rPr>
          <w:rFonts w:ascii="Times New Roman" w:hAnsi="Times New Roman"/>
          <w:b/>
        </w:rPr>
        <w:t xml:space="preserve"> (LR1)</w:t>
      </w:r>
      <w:bookmarkEnd w:id="60"/>
      <w:bookmarkEnd w:id="61"/>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Ta del poročanja zajema podatke o alternativni obravnavi izvedenih finančnih instrumentov, poslov financiranja z vrednostnimi papirji ter zunajbilančnih postavk.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Institucije v LR1 določijo „knjigovodske vrednosti iz bilance stanja“ na podlagi veljavnega računovodskega okvira v skladu s členom 4(1)(77) CRR. „Knjigovodska vrednost, pri kateri ni upoštevan pobot ali drugo zmanjševanje kreditnega tveganja,“ se nanaša na knjigovodsko vrednost iz bilance stanja, pri kateri se ne upoštevajo nobeni učinki pobotov ali drugega zmanjševanja kreditnega tveganja.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 xml:space="preserve">Razen v celicah {250;120} in {260;120} institucije LR1 poročajo, kot da se izvzetja iz celic </w:t>
      </w:r>
      <w:proofErr w:type="spellStart"/>
      <w:r>
        <w:rPr>
          <w:rFonts w:ascii="Times New Roman" w:hAnsi="Times New Roman"/>
        </w:rPr>
        <w:t>LRCalc</w:t>
      </w:r>
      <w:proofErr w:type="spellEnd"/>
      <w:r>
        <w:rPr>
          <w:rFonts w:ascii="Times New Roman" w:hAnsi="Times New Roman"/>
        </w:rPr>
        <w:t xml:space="preserve"> {050;010}, {080;010}, {100;010}, {120;010}, {220;010}, {250;010} in {260;010} ne uporabljajo.</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Vrstica </w:t>
            </w:r>
          </w:p>
          <w:p w:rsidR="00F4754B" w:rsidRPr="00FE002E" w:rsidRDefault="00F4754B" w:rsidP="00F4754B">
            <w:pPr>
              <w:pStyle w:val="BodyText1"/>
              <w:rPr>
                <w:rFonts w:ascii="Times New Roman" w:hAnsi="Times New Roman"/>
                <w:b/>
              </w:rPr>
            </w:pPr>
            <w:r>
              <w:rPr>
                <w:rFonts w:ascii="Times New Roman" w:hAnsi="Times New Roman"/>
                <w:b/>
              </w:rPr>
              <w:t>in stolpec</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Pravna sklicevanja in navodila</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Izvedeni finančni instrumenti – knjigovodska vrednost iz bilance stanja</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{020;010}, {050;010} in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 knjigovodska vrednost, pri kateri ni upoštevan pobot ali drugo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celic {020;020}, {050;020} in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 pribitek po metodi tekoče izpostavljenosti (brez upoštevanja pobota ali drugega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celic {020;050}, {050;050} in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 hipotetični znesek</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celic {020;070}, {050;070} in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 knjigovodska vrednost iz bilance stanja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Člen 4(1)(77)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kreditne izvedene finančnih instrumente, kadar institucija proda kreditno zavarovanje nasprotni stranki in je pogodba pripoznana kot sredstvo v bilanci stanja.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 knjigovodska vrednost, pri kateri ni upoštevan pobot ali drugo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Člen 4(1)(77)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kreditne izvedene finančne instrumente, kadar institucija proda kreditno zavarovanje nasprotni stranki in je pogodba pripoznana kot sredstvo v bilanci stanja, brez upoštevanja kakršnega koli bonitetnega ali računovodskega pobota ali učinkov drugega zmanjševanja kreditnega tveganja (tj. vsi učinki računovodskega pobota ali zmanjševanja kreditnega tveganja, ki so vplivali na knjigovodsko vrednost, se razveljavijo).</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 pribitek po metodi tekoče izpostavljenosti (brez upoštevanja pobota ali drugega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celic {030;050} in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 hipotetični znesek</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celic {030;070} in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Kreditni izvedeni finančni instrumenti (zavarovanje prodano) – omejeni hipotetični znesek</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V tej celici se navede hipotetični znesek v zvezi z izvedenimi finančnimi instrumenti (zavarovanje prodano), kot je naveden v celici {020; 070}, po zmanjšanju za vse negativne spremembe poštene vrednosti, ki so bile vključene v temeljni kapital v zvezi s prodanim kreditnim izvedenim finančnim instrumentom.</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za katere se uporablja klavzula o predčasnem prenehanju veljavnosti – pribitek po metodi tekoče izpostavljenosti (brez upoštevanja pobota ali drugega CRM)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299(2)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V tej celici se navede potencialna prihodnja izpostavljenost kreditnih izvedenih finančnih instrumentov, za katere se uporablja klavzula o predčasnem prenehanju veljavnosti in pri katerih ni upoštevan pobot ali drugo zmanjševanje kreditnega tveganja, kadar institucija proda kreditno zavarovanje nasprotni stranki. Institucije v to celico ne vključijo pribitka za kreditne izvedene finančne instrumente, za katere se ne uporablja klavzula o predčasnem prenehanju veljavnosti, kadar institucija proda kreditno zavarovanje nasprotni stranki. Namesto tega ta pribitek vključijo v celico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Institucije upoštevajo vse kreditne izvedene finančne instrumente, ne le tistih iz trgovalne knjige.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za katere se uporablja klavzula o predčasnem prenehanju veljavnosti – hipotetični znesek</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 tej celici je naveden hipotetični znesek v zvezi z izvedenimi finančnimi instrumenti, za katere se uporablja klavzula o predčasnem prenehanju veljavnosti, kadar institucija proda kreditno zavarovanje nasprotni stranki.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Institucije upoštevajo vse kreditne izvedene finančne instrumente, ne le tistih iz trgovalne knjige.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za katere se ne uporablja klavzula o predčasnem prenehanju veljavnosti – pribitek po metodi tekoče izpostavljenosti (brez upoštevanja pobota ali drugega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299(2)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V tej celici se navede potencialna prihodnja izpostavljenost kreditnih izvedenih finančnih instrumentov, za katere se </w:t>
            </w:r>
            <w:r>
              <w:rPr>
                <w:rFonts w:ascii="Times New Roman" w:hAnsi="Times New Roman"/>
                <w:b/>
                <w:u w:val="single"/>
              </w:rPr>
              <w:t>ne</w:t>
            </w:r>
            <w:r>
              <w:rPr>
                <w:rFonts w:ascii="Times New Roman" w:hAnsi="Times New Roman"/>
              </w:rPr>
              <w:t xml:space="preserve"> uporablja klavzula o predčasnem prenehanju veljavnosti in pri katerih ni upoštevan pobot ali drugo zmanjševanje kreditnega tveganja, kadar institucija proda kreditno zavarovanje nasprotni stranki.</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Institucije upoštevajo vse kreditne izvedene finančne instrumente, ne le tistih iz trgovalne knjige.</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prodano), za katere se ne uporablja klavzula o predčasnem prenehanju veljavnosti – hipotetični znesek</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V tej celici je naveden hipotetični znesek v zvezi z izvedenimi finančnimi instrumenti, za katere se </w:t>
            </w:r>
            <w:r>
              <w:rPr>
                <w:rFonts w:ascii="Times New Roman" w:hAnsi="Times New Roman"/>
                <w:b/>
                <w:u w:val="single"/>
              </w:rPr>
              <w:t>ne</w:t>
            </w:r>
            <w:r>
              <w:rPr>
                <w:rFonts w:ascii="Times New Roman" w:hAnsi="Times New Roman"/>
              </w:rPr>
              <w:t xml:space="preserve"> uporablja klavzula o predčasnem prenehanju veljavnosti, kadar institucija proda kreditno zavarovanje nasprotni stranki.</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upoštevajo vse kreditne izvedene finančne instrumente, ne le tistih iz trgovalne knjige.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kupljeno) – knjigovodska vrednost iz bilance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kreditne izvedene finančne instrumente, kadar institucija kupi kreditno zavarovanje od nasprotne stranke in je pogodba pripoznana kot sredstvo v bilanci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Institucije upoštevajo vse kreditne izvedene finančne instrumente, ne le tistih iz trgovalne knjige.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kupljeno) – knjigovodska vrednost, pri kateri ni upoštevan pobot ali drugo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kreditne izvedene finančne instrumente, kadar institucija kupi kreditno zavarovanje od nasprotne stranke in je pogodba pripoznana kot sredstvo v bilanci stanja, brez upoštevanja kakršnega koli bonitetnega ali računovodskega pobota ali učinkov zmanjševanja kreditnega tveganja (tj. vsi učinki računovodskega pobota ali zmanjševanja kreditnega tveganja, ki so vplivali na knjigovodsko vrednost, se razveljavijo).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upoštevajo vse kreditne izvedene finančne instrumente, ne le tistih iz trgovalne knjige.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kupljeno) – pribitek po metodi tekoče izpostavljenosti (brez upoštevanja pobota ali drugega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299(2)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tej celici se navede potencialna prihodnja izpostavljenost kreditnih izvedenih finančnih instrumentov, pri katerih ni upoštevan pobot ali drugo zmanjševanje kreditnega tveganja, kadar institucija kupi kreditno zavarovanje od nasprotne stranke.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upoštevajo vse kreditne izvedene finančne instrumente, ne le tistih iz trgovalne knjige.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kupljeno) – hipotetični znesek</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 tej celici se navede hipotetični znesek v zvezi z izvedenimi finančnimi instrumenti, kadar institucija kupi kreditno zavarovanje od nasprotne stranke.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upoštevajo vse kreditne izvedene finančne instrumente, ne le tistih iz trgovalne knjige.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Kreditni izvedeni finančni instrumenti (zavarovanje kupljeno) – omejeni hipotetični znesek</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V tej celici se navede referenčni hipotetični znesek v zvezi z izvedenimi finančnimi instrumenti (zavarovanje kupljeno), kot je naveden v celici {050;050}, po zmanjšanju za vse pozitivne spremembe poštene vrednosti, ki so bile vključene v temeljni kapital v zvezi s kupljenim kreditnim izvedenim finančnim instrumentom.</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Kreditni izvedeni finančni instrumenti (zavarovanje kupljeno) – omejeni hipotetični znesek (enaka referenčna osnova)</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Hipotetični znesek v zvezi z izvedenimi finančnimi instrumenti, kadar institucija kupi kreditno zavarovanje za isto referenčno osnovo, na kateri temeljijo instrumenti, kot pri tistih kreditnih izvedenih finančnih instrumentih, ki jih proda institucija poročevalka.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Za namene sporočanja vrednosti te celice se referenčne osnove, na katerih temeljijo instrumenti, štejejo za enake, če se nanašajo na isti pravni subjekt in stopnjo nadrejenosti.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Kreditno zavarovanje, kupljeno za skupino referenčnih subjektov, se šteje za enako, če je to zavarovanje z ekonomskega vidika enakovredno ločenemu nakupu zavarovanja za vsako posamezno referenčno osnovo v skupini.</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Če institucija kupuje kreditno zavarovanje za skupino referenčnih osnov, se to kreditno zavarovanje šteje za enako le, če kupljeno kreditno zavarovanje zajema vse podskupine skupine, za katero je bilo kreditno zavarovanje prodano. To pomeni, da je mogoče izravnavo pripoznati samo, če sta skupina referenčnih subjektov in stopnja podrejenosti pri obeh poslih enaki.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Hipotetični zneski kupljenega kreditnega zavarovanja, ki se upoštevajo v tej celici, za posamezno referenčno osnovo ne smejo presegati zneskov, sporočenih v celicah {020;075} in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Izvedeni finančni instrumenti, razen kreditnih – knjigovodska vrednost iz bilance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pogodbe iz Priloge II k CRR, kadar so pogodbe pripoznane kot sredstva v bilanci stanja.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Izvedeni finančni instrumenti, razen kreditnih – knjigovodska vrednost, pri kateri ni upoštevan pobot ali drugo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pogodbe iz Priloge II k CRR, kadar so pogodbe pripoznane kot sredstva v bilanci stanja, ne da bi se upošteval kakršen koli bonitetni ali računovodski pobot ali učinki drugega zmanjševanja kreditnega tveganja (tj. vsi učinki računovodskega pobota ali zmanjševanja kreditnega tveganja, ki so vplivali na knjigovodsko vrednost, se razveljavijo).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Izvedeni finančni instrumenti, razen kreditnih – pribitek po metodi tekoče izpostavljenosti (brez upoštevanja pobota ali drugega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274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tej celici se navede regulativna potencialna prihodnja izpostavljenost pogodb iz Priloge II k CRR brez upoštevanega pobota ali drugega zmanjševanja kreditnega tveganja.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Izvedeni finančni instrumenti, razen kreditnih – hipotetični znesek</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tej celici se navede hipotetični znesek v zvezi s pogodbami iz Priloge II k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SFT, ki jih zajemajo okvirne pogodbe o pobotu – knjigovodska vrednost iz bilance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w:t>
            </w:r>
            <w:r>
              <w:rPr>
                <w:rFonts w:ascii="Times New Roman" w:hAnsi="Times New Roman"/>
                <w:b/>
              </w:rPr>
              <w:t xml:space="preserve"> </w:t>
            </w:r>
            <w:r>
              <w:rPr>
                <w:rFonts w:ascii="Times New Roman" w:hAnsi="Times New Roman"/>
              </w:rPr>
              <w:t>in člen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za posle financiranja z vrednostnimi papirji na podlagi veljavnega računovodskega okvira, ki jih zajema okvirna pogodba o pobotu iz člena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SFT, ki jih zajemajo okvirne pogodbe o pobotu – Knjigovodska vrednost, pri kateri ni upoštevan pobot ali drugo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Člen 4(77) in člen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posle financiranja z vrednostnimi papirji, ki jih zajemajo okvirne pogodbe o pobotu iz člena 206 CRR, kadar so pogodbe pripoznane kot sredstva v bilanci stanja, brez upoštevanja kakršnega koli bonitetnega ali računovodskega pobota ali učinkov drugega zmanjševanja kreditnega tveganja (tj. vsi učinki računovodskega pobota ali zmanjševanja kreditnega tveganja, ki so vplivali na knjigovodsko vrednost, se razveljavijo). Če se poleg tega za posel financiranja z vrednostnimi papirji na podlagi veljavnega računovodskega okvira uporabi odprava pripoznanja (računovodenje po pravilu prodaje), institucija razveljavi vse računovodske vknjižbe, povezane s prodajo.</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SFT, ki jih zajemajo okvirne pogodbe o pobotu – pribitek za SFT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Institucije oblikujejo nize pobotov za posle financiranja z vrednostnimi papirji, vključno z </w:t>
            </w:r>
            <w:proofErr w:type="spellStart"/>
            <w:r>
              <w:rPr>
                <w:rFonts w:ascii="Times New Roman" w:hAnsi="Times New Roman"/>
              </w:rPr>
              <w:t>zunajbilančnimi</w:t>
            </w:r>
            <w:proofErr w:type="spellEnd"/>
            <w:r>
              <w:rPr>
                <w:rFonts w:ascii="Times New Roman" w:hAnsi="Times New Roman"/>
              </w:rPr>
              <w:t>, zajete s pogodbo o pobotu, ki izpolnjuje zahteve iz člena 206 CRR. Institucije za vsak niz pobotov izračunajo pribitek za tekočo izpostavljenost nasprotne stranke z naslednjo formulo: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pri čemer velja:</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posamezen posel v nizu pobotov;</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xml:space="preserve"> = vrednost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kot je opredeljena v členu 220(3) CRR, za posel i;</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t>C</w:t>
            </w:r>
            <w:r>
              <w:rPr>
                <w:rFonts w:ascii="Times New Roman" w:hAnsi="Times New Roman"/>
                <w:vertAlign w:val="subscript"/>
              </w:rPr>
              <w:t>i</w:t>
            </w:r>
            <w:proofErr w:type="spellEnd"/>
            <w:r>
              <w:rPr>
                <w:rFonts w:ascii="Times New Roman" w:hAnsi="Times New Roman"/>
              </w:rPr>
              <w:t xml:space="preserve"> = vrednost </w:t>
            </w:r>
            <w:proofErr w:type="spellStart"/>
            <w:r>
              <w:rPr>
                <w:rFonts w:ascii="Times New Roman" w:hAnsi="Times New Roman"/>
              </w:rPr>
              <w:t>C</w:t>
            </w:r>
            <w:r>
              <w:rPr>
                <w:rFonts w:ascii="Times New Roman" w:hAnsi="Times New Roman"/>
                <w:vertAlign w:val="subscript"/>
              </w:rPr>
              <w:t>i</w:t>
            </w:r>
            <w:proofErr w:type="spellEnd"/>
            <w:r>
              <w:rPr>
                <w:rFonts w:ascii="Times New Roman" w:hAnsi="Times New Roman"/>
              </w:rPr>
              <w:t>, kot je opredeljena v členu 220(3) CRR, za posel i;</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Institucije združijo rezultate te formule za vse nize pobotov in dobljeno vrednost sporočijo v tej celici.</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 ki jih ne zajemajo okvirne pogodbe o pobotu – knjigovodska vrednost iz bilance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Knjigovodska vrednost iz bilance stanja na podlagi veljavnega računovodskega okvira za posle financiranja z vrednostnimi papirji, ki jih </w:t>
            </w:r>
            <w:r>
              <w:rPr>
                <w:rFonts w:ascii="Times New Roman" w:hAnsi="Times New Roman"/>
                <w:b/>
                <w:u w:val="single"/>
              </w:rPr>
              <w:t>ne</w:t>
            </w:r>
            <w:r>
              <w:rPr>
                <w:rFonts w:ascii="Times New Roman" w:hAnsi="Times New Roman"/>
              </w:rPr>
              <w:t xml:space="preserve"> zajemajo okvirne pogodbe o pobotu iz člena 206 CRR, kadar so pogodbe pripoznane kot sredstva v bilanci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 ki jih ne zajemajo okvirne pogodbe o pobotu – Knjigovodska vrednost, pri kateri ni upoštevan pobot ali drugo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Knjigovodska vrednost iz bilance stanja na podlagi veljavnega računovodskega okvira za posle financiranja z vrednostnimi papirji, ki jih </w:t>
            </w:r>
            <w:r>
              <w:rPr>
                <w:rFonts w:ascii="Times New Roman" w:hAnsi="Times New Roman"/>
                <w:b/>
                <w:u w:val="single"/>
              </w:rPr>
              <w:t>ne</w:t>
            </w:r>
            <w:r>
              <w:rPr>
                <w:rFonts w:ascii="Times New Roman" w:hAnsi="Times New Roman"/>
              </w:rPr>
              <w:t xml:space="preserve"> zajemajo okvirne pogodbe o pobotu iz člena 206 CRR, kadar so pogodbe pripoznane kot sredstva v bilanci stanja, brez upoštevanja kakršnega koli računovodskega pobota ali učinkov drugega zmanjševanja kreditnega tveganja (tj. vsi učinki računovodskega pobota ali zmanjševanja kreditnega tveganja, ki so </w:t>
            </w:r>
            <w:r>
              <w:rPr>
                <w:rFonts w:ascii="Times New Roman" w:hAnsi="Times New Roman"/>
              </w:rPr>
              <w:lastRenderedPageBreak/>
              <w:t>vplivali na knjigovodsko vrednost, se razveljavijo). Če se poleg tega za posel financiranja z vrednostnimi papirji na podlagi veljavnega računovodskega okvira uporabi odprava pripoznanja (računovodenje po pravilu prodaje), institucija razveljavi vse računovodske vknjižbe, povezane s prodajo.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 ki jih ne zajemajo okvirne pogodbe o pobotu – pribitek za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Za posle financiranja z vrednostnimi papirji, vključno z </w:t>
            </w:r>
            <w:proofErr w:type="spellStart"/>
            <w:r>
              <w:rPr>
                <w:rFonts w:ascii="Times New Roman" w:hAnsi="Times New Roman"/>
              </w:rPr>
              <w:t>zunajbilančnimi</w:t>
            </w:r>
            <w:proofErr w:type="spellEnd"/>
            <w:r>
              <w:rPr>
                <w:rFonts w:ascii="Times New Roman" w:hAnsi="Times New Roman"/>
              </w:rPr>
              <w:t xml:space="preserve">, ki jih </w:t>
            </w:r>
            <w:r>
              <w:rPr>
                <w:rFonts w:ascii="Times New Roman" w:hAnsi="Times New Roman"/>
                <w:b/>
                <w:u w:val="single"/>
              </w:rPr>
              <w:t>ne</w:t>
            </w:r>
            <w:r>
              <w:rPr>
                <w:rFonts w:ascii="Times New Roman" w:hAnsi="Times New Roman"/>
              </w:rPr>
              <w:t xml:space="preserve"> zajemajo okvirne pogodbe o pobotu v skladu s členom 206 CRR, institucije oblikujejo nize, ki zajemajo vsa sredstva, vključena v poslu (tj. vsak posel financiranja z vrednostnimi papirji se obravnava kot ločen niz), in za vsak niz določijo pribitek za tekočo izpostavljenost nasprotne stranke (CCE) z naslednjo formulo: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w:t>
            </w:r>
            <w:proofErr w:type="spellStart"/>
            <w:r>
              <w:rPr>
                <w:rFonts w:ascii="Times New Roman" w:hAnsi="Times New Roman"/>
              </w:rPr>
              <w:t>max</w:t>
            </w:r>
            <w:proofErr w:type="spellEnd"/>
            <w:r>
              <w:rPr>
                <w:rFonts w:ascii="Times New Roman" w:hAnsi="Times New Roman"/>
              </w:rPr>
              <w:t xml:space="preserve">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pri čemer velja:</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 = vrednost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kot je opredeljena v členu 220(3)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 = vrednost </w:t>
            </w:r>
            <w:proofErr w:type="spellStart"/>
            <w:r>
              <w:rPr>
                <w:rFonts w:ascii="Times New Roman" w:hAnsi="Times New Roman"/>
              </w:rPr>
              <w:t>C</w:t>
            </w:r>
            <w:r>
              <w:rPr>
                <w:rFonts w:ascii="Times New Roman" w:hAnsi="Times New Roman"/>
                <w:vertAlign w:val="subscript"/>
              </w:rPr>
              <w:t>i</w:t>
            </w:r>
            <w:proofErr w:type="spellEnd"/>
            <w:r>
              <w:rPr>
                <w:rFonts w:ascii="Times New Roman" w:hAnsi="Times New Roman"/>
              </w:rPr>
              <w:t>, kot je opredeljena v členu 220(3)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Institucije združijo rezultate te formule za vse navedene nize in dobljeno vrednost sporočijo v tej celici.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Druga sredstva – knjigovodska vrednost iz bilance stanja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v okviru veljavnega računovodskega okvira za vsa sredstva razen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Druga sredstva – knjigovodska vrednost, pri kateri ni upoštevan pobot ali drugo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4(1)(77)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vsa sredstva razen pogodb iz Priloge II k CRR, kreditnih izvedenih finančnih instrumentov in poslov financiranja z vrednostnimi papirji, brez upoštevanja kakršnega koli računovodskega pobota ali učinkov drugega zmanjševanja kreditnega tveganja (tj. vsi učinki računovodskega pobota ali zmanjševanja kreditnega tveganja, ki so vplivali na knjigovodsko vrednost, se razveljavijo).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Zunajbilančne postavke z nizkim tveganjem v okviru standardiziranega pristopa; od tega – nominalna vrednost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V tej celici se navede nominalna vrednost zunajbilančnih postavk, ki bi se jim v okviru standardiziranega pristopa h kreditnemu tveganju pripisal kreditni </w:t>
            </w:r>
            <w:proofErr w:type="spellStart"/>
            <w:r>
              <w:rPr>
                <w:rFonts w:ascii="Times New Roman" w:hAnsi="Times New Roman"/>
              </w:rPr>
              <w:t>konverzijski</w:t>
            </w:r>
            <w:proofErr w:type="spellEnd"/>
            <w:r>
              <w:rPr>
                <w:rFonts w:ascii="Times New Roman" w:hAnsi="Times New Roman"/>
              </w:rPr>
              <w:t xml:space="preserve"> faktor v višini 0 %.</w:t>
            </w:r>
            <w:r>
              <w:t xml:space="preserve"> </w:t>
            </w:r>
            <w:r>
              <w:rPr>
                <w:rFonts w:ascii="Times New Roman" w:hAnsi="Times New Roman"/>
              </w:rPr>
              <w:t>Ta vrednost se ne zmanjša za posebne popravke zaradi kreditnega tveganja.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Institucije v tej celici v skladu s členom 429(10) CRR ne upoštevajo pogodb iz Priloge II k CRR, kreditnih izvedenih finančnih instrumentov in poslov financiranja z vrednostnimi </w:t>
            </w:r>
            <w:r>
              <w:rPr>
                <w:rFonts w:ascii="Times New Roman" w:hAnsi="Times New Roman"/>
              </w:rPr>
              <w:lastRenderedPageBreak/>
              <w:t>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Obnavljajoče se izpostavljenosti na drobno; od tega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in člen 154(4)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V tej celici se navede nominalna vrednost zunajbilančnih kvalificiranih obnavljajočih se izpostavljenosti na drobno, ki izpolnjujejo pogoje iz točk (a) do (c) člena 154(4) CRR. Ta vrednost se ne zmanjša za posebne popravke zaradi kreditnega tveganja.</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Zajete so vse izpostavljenosti do fizičnih oseb, ki se obnavljajo in so brezpogojno preklicne, kot je določeno v točki (b) člena 149 CRR, ter so v celoti omejene na 100 000 EUR na dolžnika.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Brezpogojno preklicne obveznosti iz naslova kreditnih kartic – nominalna vrednost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in člen 154(4)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 xml:space="preserve">V tej celici se navede nominalna vrednost obveznosti iz naslova kreditnih kartic, ki jih lahko institucija kadar koli brezpogojno prekliče brez predhodnega obvestila in ki se jim v okviru standardiziranega pristopa h kreditnemu tveganju pripiše kreditni </w:t>
            </w:r>
            <w:proofErr w:type="spellStart"/>
            <w:r>
              <w:rPr>
                <w:rFonts w:ascii="Times New Roman" w:hAnsi="Times New Roman"/>
              </w:rPr>
              <w:t>konverzijski</w:t>
            </w:r>
            <w:proofErr w:type="spellEnd"/>
            <w:r>
              <w:rPr>
                <w:rFonts w:ascii="Times New Roman" w:hAnsi="Times New Roman"/>
              </w:rPr>
              <w:t xml:space="preserve"> faktor v višini 0 %.</w:t>
            </w:r>
            <w:r>
              <w:t xml:space="preserve"> </w:t>
            </w:r>
            <w:r>
              <w:rPr>
                <w:rFonts w:ascii="Times New Roman" w:hAnsi="Times New Roman"/>
              </w:rPr>
              <w:t>Ta vrednost se ne zmanjša za posebne popravke zaradi kreditnega tveganja.</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Institucije v to celico ne vključijo kreditnih obveznosti, ki določajo samodejen preklic zaradi poslabšanja kreditne sposobnosti dolžnika, vendar niso brezpogojno preklicne obveznosti.</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Neobnavljajoče</w:t>
            </w:r>
            <w:proofErr w:type="spellEnd"/>
            <w:r>
              <w:rPr>
                <w:rFonts w:ascii="Times New Roman" w:hAnsi="Times New Roman"/>
                <w:b/>
              </w:rPr>
              <w:t xml:space="preserve"> se brezpogojno preklicne obveznosti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in člen 154(4)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 xml:space="preserve">Navede se nominalna vrednost drugih obveznosti, ki jih lahko institucija kadar koli brezpogojno prekliče brez predhodnega obvestila in ki se jim v okviru standardiziranega pristopa h kreditnemu tveganju pripiše kreditni </w:t>
            </w:r>
            <w:proofErr w:type="spellStart"/>
            <w:r>
              <w:rPr>
                <w:rFonts w:ascii="Times New Roman" w:hAnsi="Times New Roman"/>
              </w:rPr>
              <w:t>konverzijski</w:t>
            </w:r>
            <w:proofErr w:type="spellEnd"/>
            <w:r>
              <w:rPr>
                <w:rFonts w:ascii="Times New Roman" w:hAnsi="Times New Roman"/>
              </w:rPr>
              <w:t xml:space="preserve"> faktor v višini 0 %. Ta vrednost se ne zmanjša za posebne popravke zaradi kreditnega tveganja.</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Institucije v to celico ne vključijo kreditnih obveznosti, ki določajo samodejen preklic zaradi poslabšanja kreditne sposobnosti dolžnika, vendar niso brezpogojno preklicne obveznosti.</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Zunajbilančne postavke s srednjim/nizkim tveganjem v okviru standardiziranega pristopa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V tej celici se navede nominalna vrednost zunajbilančnih postavk, ki bi se jim v okviru standardiziranega pristopa h kreditnemu tveganju pripisal kreditni </w:t>
            </w:r>
            <w:proofErr w:type="spellStart"/>
            <w:r>
              <w:rPr>
                <w:rFonts w:ascii="Times New Roman" w:hAnsi="Times New Roman"/>
              </w:rPr>
              <w:t>konverzijski</w:t>
            </w:r>
            <w:proofErr w:type="spellEnd"/>
            <w:r>
              <w:rPr>
                <w:rFonts w:ascii="Times New Roman" w:hAnsi="Times New Roman"/>
              </w:rPr>
              <w:t xml:space="preserve"> faktor v </w:t>
            </w:r>
            <w:r>
              <w:rPr>
                <w:rFonts w:ascii="Times New Roman" w:hAnsi="Times New Roman"/>
              </w:rPr>
              <w:lastRenderedPageBreak/>
              <w:t>višini 20 %.</w:t>
            </w:r>
            <w:r>
              <w:t xml:space="preserve"> </w:t>
            </w:r>
            <w:r>
              <w:rPr>
                <w:rFonts w:ascii="Times New Roman" w:hAnsi="Times New Roman"/>
              </w:rPr>
              <w:t>Ta vrednost se ne zmanjša za posebne popravke zaradi kreditnega tveganja.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Zunajbilančne postavke s srednjim tveganjem v okviru standardiziranega pristopa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V tej celici se navede nominalna vrednost zunajbilančnih postavk, ki bi se jim v okviru standardiziranega pristopa h kreditnemu tveganju pripisal kreditni </w:t>
            </w:r>
            <w:proofErr w:type="spellStart"/>
            <w:r>
              <w:rPr>
                <w:rFonts w:ascii="Times New Roman" w:hAnsi="Times New Roman"/>
              </w:rPr>
              <w:t>konverzijski</w:t>
            </w:r>
            <w:proofErr w:type="spellEnd"/>
            <w:r>
              <w:rPr>
                <w:rFonts w:ascii="Times New Roman" w:hAnsi="Times New Roman"/>
              </w:rPr>
              <w:t xml:space="preserve"> faktor v višini 50 %.</w:t>
            </w:r>
            <w:r>
              <w:t xml:space="preserve"> </w:t>
            </w:r>
            <w:r>
              <w:rPr>
                <w:rFonts w:ascii="Times New Roman" w:hAnsi="Times New Roman"/>
              </w:rPr>
              <w:t>Ta vrednost se ne zmanjša za posebne popravke zaradi kreditnega tveganja.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Zunajbilančne postavke z visokim tveganjem v okviru standardiziranega pristopa – nominalna vrednost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 xml:space="preserve">V tej celici se navede nominalna vrednost zunajbilančnih postavk, ki bi se jim v okviru standardiziranega pristopa h kreditnemu tveganju pripisal kreditni </w:t>
            </w:r>
            <w:proofErr w:type="spellStart"/>
            <w:r>
              <w:rPr>
                <w:rFonts w:ascii="Times New Roman" w:hAnsi="Times New Roman"/>
              </w:rPr>
              <w:t>konverzijski</w:t>
            </w:r>
            <w:proofErr w:type="spellEnd"/>
            <w:r>
              <w:rPr>
                <w:rFonts w:ascii="Times New Roman" w:hAnsi="Times New Roman"/>
              </w:rPr>
              <w:t xml:space="preserve"> faktor v višini 100 %. Ta vrednost se ne zmanjša za posebne popravke zaradi kreditnega tveganja.</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Institucije v tej celici v skladu s členom 429(10) CRR ne upoštevajo pogodb iz Priloge II k CRR, kreditnih izvedenih finančnih instrumentov in poslov financiranja z vrednostnimi papirji.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(pojasnjevalna postavka) Črpani zneski obnavljajočih se izpostavljenosti na drobno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154(4)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tej celici se navede nominalna vrednost črpanih zneskov zunajbilančnih obnavljajočih se izpostavljenosti na drobno.</w:t>
            </w:r>
            <w:r>
              <w:t xml:space="preserve"> </w:t>
            </w:r>
            <w:r>
              <w:rPr>
                <w:rFonts w:ascii="Times New Roman" w:hAnsi="Times New Roman"/>
              </w:rPr>
              <w:t>Ta vrednost se ne zmanjša za posebne popravke zaradi kreditnega tveganja.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(pojasnjevalna postavka) Črpani zneski brezpogojno preklicnih obveznosti iz naslova kreditnih kartic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in člen 154(4)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tej celici se navede nominalna vrednost črpanih zneskov brezpogojno preklicnih obveznosti iz naslova kreditnih kartic. Ta vrednost se ne zmanjša za posebne popravke zaradi kreditnega tveganja.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(pojasnjevalna postavka) Črpani zneski </w:t>
            </w:r>
            <w:proofErr w:type="spellStart"/>
            <w:r>
              <w:rPr>
                <w:rFonts w:ascii="Times New Roman" w:hAnsi="Times New Roman"/>
                <w:b/>
              </w:rPr>
              <w:t>neobnavljajočih</w:t>
            </w:r>
            <w:proofErr w:type="spellEnd"/>
            <w:r>
              <w:rPr>
                <w:rFonts w:ascii="Times New Roman" w:hAnsi="Times New Roman"/>
                <w:b/>
              </w:rPr>
              <w:t xml:space="preserve"> se brezpogojno preklicnih obveznosti – nominalna vrednost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Člen 111 in člen 154(4)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 tej celici se navede nominalna vrednost črpanih zneskov </w:t>
            </w:r>
            <w:proofErr w:type="spellStart"/>
            <w:r>
              <w:rPr>
                <w:rFonts w:ascii="Times New Roman" w:hAnsi="Times New Roman"/>
              </w:rPr>
              <w:t>neobnavljajočih</w:t>
            </w:r>
            <w:proofErr w:type="spellEnd"/>
            <w:r>
              <w:rPr>
                <w:rFonts w:ascii="Times New Roman" w:hAnsi="Times New Roman"/>
              </w:rPr>
              <w:t xml:space="preserve"> se brezpogojno preklicnih obveznosti iz naslova kreditnih kartic.</w:t>
            </w:r>
            <w:r>
              <w:t xml:space="preserve"> </w:t>
            </w:r>
            <w:r>
              <w:rPr>
                <w:rFonts w:ascii="Times New Roman" w:hAnsi="Times New Roman"/>
              </w:rPr>
              <w:t>Ta vrednost se ne zmanjša za posebne popravke zaradi kreditnega tveganja.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Zavarovanje z denarnimi sredstvi, prejeto v poslih z izvedenimi finančnimi instrumenti – knjigovodska vrednost, pri kateri ni upoštevan pobot ali drugo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Knjigovodska vrednost iz bilance stanja na podlagi veljavnega računovodskega okvira za zavarovanje z denarnimi sredstvi, prejeto v poslih z izvedenimi finančnimi instrumenti, brez upoštevanja kakršnega koli računovodskega pobota ali učinkov drugega zmanjševanja kreditnega tveganja (tj. vsi učinki računovodskega pobota ali zmanjševanja kreditnega tveganja, ki so vplivali na knjigovodsko vrednost, se razveljavijo).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Za namene te celice so denarna sredstva opredeljena kot skupni znesek denarnih sredstev, vključno s kovanci in bankovci/valuto. Skupni znesek vlog pri centralnih bankah se vključi v obsegu, v katerem je te vloge mogoče dvigniti v stresnih razmerah. Institucije v tej celici ne sporočijo bančnih vlog pri drugih institucijah.</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Terjatve za zavarovanje z denarnimi sredstvi, zagotovljeno v poslih z izvedenimi finančnimi instrumenti – knjigovodska vrednost, pri kateri ni upoštevan pobot ali drugo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Knjigovodska vrednost iz bilance stanja na podlagi veljavnega računovodskega okvira za terjatve za zavarovanje z denarnimi sredstvi, zagotovljeno v poslih z izvedenimi finančnimi instrumenti, brez upoštevanja kakršnega koli računovodskega pobota ali učinkov zmanjševanja kreditnega tveganja (tj. vsi učinki računovodskega pobota ali zmanjševanja kreditnega tveganja, ki so vplivali na knjigovodsko vrednost, se razveljavijo). Institucije, ki jim je na podlagi veljavnega računovodskega okvira dovoljeno, da terjatev za dano zavarovanje z denarnimi sredstvi pobotajo s povezano obveznostjo iz izvedenega finančnega instrumenta (negativna poštena vrednost), in ki to storijo, razveljavijo pobot in sporočijo neto denarno terjatev.</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Vrednostni papirji, prejeti v okviru SFT, ki so pripoznani kot sredstvo – knjigovodska vrednost, pri kateri ni upoštevan pobot ali drugo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Knjigovodska vrednost iz bilance stanja na podlagi veljavnega računovodskega okvira za vrednostne papirje, prejete v poslih financiranja z vrednostnimi papirji, ki so pripoznani kot sredstvo na podlagi veljavnega računovodskega okvira, brez upoštevanja kakršnega koli računovodskega pobota ali učinkov drugega zmanjševanja kreditnega tveganja (tj. vsi učinki računovodskega pobota ali drugega zmanjševanja kreditnega tveganja, ki so vplivali na knjigovodsko vrednost, se razveljavijo).</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Posredovana denarna posojila pri SFT (denarne terjatve) – knjigovodska vrednost, pri kateri ni upoštevan pobot ali drugo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Knjigovodska vrednost iz bilance stanja na podlagi veljavnega računovodskega okvira za denarne terjatve za denarna sredstva v obliki nadaljnjih posojil imetniku vrednostnih papirjev pri kvalificiranem poslu denarnih posojil v okviru pravnega subjekta s posebnim namenom, brez upoštevanja kakršnega koli računovodskega pobota ali učinkov drugega zmanjševanja kreditnega tveganja (tj. vsi učinki računovodskega pobota ali zmanjševanja kreditnega tveganja, ki so vplivali na knjigovodsko vrednost, se razveljavijo).</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Za namene te celice so denarna sredstva opredeljena kot skupni znesek denarnih sredstev, vključno s kovanci in bankovci/valuto. Skupni znesek vlog pri centralnih bankah se vključi v obsegu, v katerem je te vloge mogoče dvigniti v stresnih razmerah. Institucije v tej celici ne navedejo bančnih vlog pri drugih institucijah.</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Posel denarnih posojil v okviru subjekta s posebnim namenom je opredeljen kot kombinacija dveh poslov, pri katerih si institucija pri imetniku vrednostnih papirjev izposodi vrednostne papirje in jih nato posodi posojilojemalcu vrednostnih papirjev. Istočasno institucija od posojilojemalca vrednostnih papirjev prejme zavarovanje z denarnimi sredstvi in nato prejeta denarna sredstva posodi imetniku vrednostnih papirjev. Kvalificirani posel denarnih posojil v okviru subjekta s posebnim namenom izpolnjuje vse </w:t>
            </w:r>
            <w:r>
              <w:rPr>
                <w:rFonts w:ascii="Times New Roman" w:hAnsi="Times New Roman"/>
              </w:rPr>
              <w:lastRenderedPageBreak/>
              <w:t>naslednje pogoje:</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oba posamezna posla, ki ju zajema kvalificirani posel denarnih posojil v okviru subjekta s posebnim namenom, sta sklenjena na isti dan, v primeru mednarodnih poslov pa na zaporedna delovna dneva;</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če zapadlost posameznih poslov ni določena, ima institucija zakonsko pravico, da kadar koli in brez predhodnega obvestila zaključi katero koli stran posla denarnih posojil v okviru subjekta s posebnim namenom, torej katerega koli od posameznih poslov;</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če je zapadlost posameznih poslov določena, posel denarnih posojil v okviru subjekta s posebnim namenom ne sme povzročiti neusklajenosti zapadlosti za institucijo; institucija ima zakonsko pravico, da kadar koli in brez predhodnega obvestila zaključi katero koli stran posla denarnih posojil v okviru subjekta s posebnim namenom, torej katerega koli od posameznih poslov;</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ne povzroči nobene druge presežne izpostavljenosti.</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2" w:name="_Toc322687882"/>
            <w:bookmarkEnd w:id="54"/>
            <w:r>
              <w:rPr>
                <w:rFonts w:ascii="Times New Roman" w:hAnsi="Times New Roman"/>
              </w:rPr>
              <w:lastRenderedPageBreak/>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Izpostavljenosti, ki so lahko deležne ugodnejše obravnave na podlagi člena 113(6) CRR – hipotetično izključen znesek izpostavljenosti količnika finančnega vzvoda</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Znesek skupne izpostavljenosti količnika finančnega vzvoda, ki bi bil izključen, če bi pristojni organi v polnem obsegu dovolili izključitev izpostavljenosti, za katere so izpolnjeni vsi pogoji iz točk (a) do (e) člena 113(6) CRR in za katere je bila dana odobritev iz člena 113(6) CRR. Če pristojni organ že dovoljuje izvzetje v polnem obsegu, je vrednost v tej celici enaka vrednosti v celici {</w:t>
            </w:r>
            <w:proofErr w:type="spellStart"/>
            <w:r>
              <w:rPr>
                <w:rFonts w:ascii="Times New Roman" w:hAnsi="Times New Roman"/>
              </w:rPr>
              <w:t>LRCalc</w:t>
            </w:r>
            <w:proofErr w:type="spellEnd"/>
            <w:r>
              <w:rPr>
                <w:rFonts w:ascii="Times New Roman" w:hAnsi="Times New Roman"/>
              </w:rPr>
              <w:t>;250;010}.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Izpostavljenosti, ki izpolnjujejo pogoje iz točk (a) do (c) člena 429(14) CRR – hipotetično izključen znesek izpostavljenosti količnika finančnega vzvoda</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Znesek skupne izpostavljenosti količnika finančnega vzvoda, ki bi bil izključen, če bi pristojni organi v polnem obsegu dovolili izključitev izpostavljenosti, ki izpolnjujejo pogoje iz točk (a) do (c) člena 429(14) CRR. Če pristojni organ že dovoljuje izvzetje v polnem obsegu, je vrednost v tej celici enaka vrednosti v celici {</w:t>
            </w:r>
            <w:proofErr w:type="spellStart"/>
            <w:r>
              <w:rPr>
                <w:rFonts w:ascii="Times New Roman" w:hAnsi="Times New Roman"/>
              </w:rPr>
              <w:t>LRCalc</w:t>
            </w:r>
            <w:proofErr w:type="spellEnd"/>
            <w:r>
              <w:rPr>
                <w:rFonts w:ascii="Times New Roman" w:hAnsi="Times New Roman"/>
              </w:rPr>
              <w:t>;260;010}.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3" w:name="_Toc338669914"/>
      <w:bookmarkStart w:id="64" w:name="_Toc338669915"/>
      <w:bookmarkStart w:id="65" w:name="_Toc338669918"/>
      <w:bookmarkStart w:id="66" w:name="_Toc351048508"/>
      <w:bookmarkStart w:id="67" w:name="_Toc359414287"/>
      <w:bookmarkStart w:id="68" w:name="_Toc423089072"/>
      <w:bookmarkStart w:id="69" w:name="_Toc523237399"/>
      <w:bookmarkEnd w:id="63"/>
      <w:bookmarkEnd w:id="64"/>
      <w:bookmarkEnd w:id="65"/>
      <w:r>
        <w:rPr>
          <w:rFonts w:ascii="Times New Roman" w:hAnsi="Times New Roman"/>
          <w:b/>
        </w:rPr>
        <w:t>6.</w:t>
      </w:r>
      <w:r>
        <w:tab/>
      </w:r>
      <w:r>
        <w:rPr>
          <w:rFonts w:ascii="Times New Roman" w:hAnsi="Times New Roman"/>
          <w:b/>
        </w:rPr>
        <w:t>C 41.00 – Bilančne in zunajbilančne postavke – dodatna razčlenitev izpostavljenosti</w:t>
      </w:r>
      <w:bookmarkEnd w:id="66"/>
      <w:bookmarkEnd w:id="67"/>
      <w:r>
        <w:rPr>
          <w:rFonts w:ascii="Times New Roman" w:hAnsi="Times New Roman"/>
          <w:b/>
        </w:rPr>
        <w:t xml:space="preserve"> (LR2)</w:t>
      </w:r>
      <w:bookmarkEnd w:id="68"/>
      <w:bookmarkEnd w:id="69"/>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V predlogi LR2 so navedene informacije o dodatni razčlenitvi vseh bilančnih in zunajbilančnih izpostavljenosti</w:t>
      </w:r>
      <w:r>
        <w:rPr>
          <w:rFonts w:ascii="Times New Roman" w:hAnsi="Times New Roman"/>
          <w:vertAlign w:val="superscript"/>
        </w:rPr>
        <w:footnoteReference w:id="2"/>
      </w:r>
      <w:r>
        <w:rPr>
          <w:rFonts w:ascii="Times New Roman" w:hAnsi="Times New Roman"/>
        </w:rPr>
        <w:t xml:space="preserve"> v netrgovalni knjigi in vseh izpostavljenosti v trgovalni knjigi v zvezi s kreditnim tveganjem nasprotne stranke. Razčlenitev temelji na utežeh tveganja, ki se uporabljajo v okviru oddelka o kreditnem tveganju iz CRR. Informacije o izpostavljenostih se pridobivajo različno, in sicer na podlagi standardiziranega pristopa oziroma pristopa IRB.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 xml:space="preserve">Pri izpostavljenostih, podprtih s tehnikami za zmanjševanje kreditnega tveganja, ki pomenijo substitucijo tehtanja tveganja nasprotne stranke s tehtanjem tveganja poroštva, se institucije sklicujejo na utež tveganja po upoštevanju učinka substitucije. Pri pristopu IRB institucije izvedejo naslednji izračun: za izpostavljenosti (razen tiste, za katere so predvidene posebne regulativne uteži tveganja) posameznih bonitetnih razredov dolžnika se utež tveganja izračuna tako, da se tveganju prilagojena izpostavljenost, dobljena s formulo za utež tveganja (za kreditno tveganje) ali nadzorniško formulo (za izpostavljenosti v listinjenju), deli z vrednostjo izpostavljenosti po upoštevanju prilivov in odlivov zaradi tehnik za zmanjševanje kreditnega tveganja z učinkom substitucije na izpostavljenost. Izpostavljenosti, ki so razvrščene kot neplačane, se v okviru pristopa IRB izključijo iz vrstic {020;010} do {090;010} in vključijo v vrstico {100;010}. Izpostavljenosti, zajete s členom 112(j) CRR, se v </w:t>
      </w:r>
      <w:r>
        <w:rPr>
          <w:rFonts w:ascii="Times New Roman" w:hAnsi="Times New Roman"/>
        </w:rPr>
        <w:lastRenderedPageBreak/>
        <w:t>okviru standardiziranega pristopa izključijo iz vrstic {020;020} do {090;020} in vključijo v vrstico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V okviru obeh pristopov institucije obravnavajo izpostavljenosti, ki se odbijejo od regulativnega kapitala, kot izpostavljenosti, za katere se uporablja utež tveganja 1250 %.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Vrstica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Pravna sklicevanja in navodila</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Skupni znesek bilančnih in zunajbilančnih izpostavljenosti v netrgovalni knjigi ter izpostavljenosti v trgovalni knjigi, ki so predmet kreditnega tveganja nasprotne stranke (razčlenitev glede na utež tveganja):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vrstic {020;*} do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in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v razponu uteži tveganja, ki so večje od 0 % in manjše ali enake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in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Izpostavljenosti z utežjo tveganja v razponu uteži tveganja, ki so večje od 12 % in manjše ali enake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in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v razponu uteži tveganja, ki so večje od 20 % in manjše ali enake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in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v razponu uteži tveganja, ki so večje od 50 % in manjše ali enake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in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v razponu uteži tveganja, ki so večje od 75 % in manjše ali enake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in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v razponu uteži tveganja, ki so večje od 100 % in manjše ali enake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in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Izpostavljenosti z utežjo tveganja v razponu uteži tveganja, ki so večje od 425 % in manjše ali enake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Neplačane izpostavljenosti</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 okviru standardiziranega pristopa so to izpostavljenosti, zajete v členu 112(j)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 okviru pristopa IRB so neplačane izpostavljenosti vse izpostavljenosti s 100-odstotno </w:t>
            </w:r>
            <w:r>
              <w:rPr>
                <w:rFonts w:ascii="Times New Roman" w:hAnsi="Times New Roman"/>
              </w:rPr>
              <w:lastRenderedPageBreak/>
              <w:t xml:space="preserve">verjetnostjo neplačila.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 xml:space="preserve">(pojasnjevalna postavka) Zunajbilančne postavke z nizkim tveganjem in zunajbilančne postavke, za katere se uporablja </w:t>
            </w:r>
            <w:proofErr w:type="spellStart"/>
            <w:r>
              <w:rPr>
                <w:rFonts w:ascii="Times New Roman" w:hAnsi="Times New Roman"/>
                <w:b/>
              </w:rPr>
              <w:t>konverzijski</w:t>
            </w:r>
            <w:proofErr w:type="spellEnd"/>
            <w:r>
              <w:rPr>
                <w:rFonts w:ascii="Times New Roman" w:hAnsi="Times New Roman"/>
                <w:b/>
              </w:rPr>
              <w:t xml:space="preserve"> faktor 0 % na podlagi količnika kapitalske ustreznosti</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Zunajbilančne postavke z nizkim tveganjem v skladu s členom 111 CRR in zunajbilančne postavke, za katere se uporablja </w:t>
            </w:r>
            <w:proofErr w:type="spellStart"/>
            <w:r>
              <w:rPr>
                <w:rFonts w:ascii="Times New Roman" w:hAnsi="Times New Roman"/>
              </w:rPr>
              <w:t>konverzijski</w:t>
            </w:r>
            <w:proofErr w:type="spellEnd"/>
            <w:r>
              <w:rPr>
                <w:rFonts w:ascii="Times New Roman" w:hAnsi="Times New Roman"/>
              </w:rPr>
              <w:t xml:space="preserve"> faktor 0 % v skladu s členom 166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Stolpec</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Pravna sklicevanja in navodila</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Bilančne in zunajbilančne izpostavljenosti (na podlagi standardiziranega pristopa)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Vrednosti bilančnih in zunajbilančnih izpostavljenosti po upoštevanju prilagoditev vrednosti, vseh zmanjšanj kreditnega tveganja in kreditnih konverzijskih faktorjev, kot so izračunane v skladu z naslovom II poglavja 2 dela 3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Bilančne in zunajbilančne izpostavljenosti (na podlagi pristopa IRB)</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Vrednosti bilančnih in zunajbilančnih izpostavljenosti v skladu s členom 166 in prvim stavkom drugega pododstavka člena 230(1) CRR po upoštevanju odlivov in prilivov zaradi tehnik za zmanjševanje kreditnega tveganja z učinkom substitucije na izpostavljenost.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Institucije za zunajbilančne postavke uporabijo </w:t>
            </w:r>
            <w:proofErr w:type="spellStart"/>
            <w:r>
              <w:rPr>
                <w:rFonts w:ascii="Times New Roman" w:hAnsi="Times New Roman"/>
              </w:rPr>
              <w:t>konverzijske</w:t>
            </w:r>
            <w:proofErr w:type="spellEnd"/>
            <w:r>
              <w:rPr>
                <w:rFonts w:ascii="Times New Roman" w:hAnsi="Times New Roman"/>
              </w:rPr>
              <w:t xml:space="preserve"> faktorje iz člena 166(8) do (10) CRR.</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Nominalna vrednost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Vrednosti izpostavljenosti zunajbilančnih postavk iz členov 111 in 166 CRR, za katere se ne uporabijo </w:t>
            </w:r>
            <w:proofErr w:type="spellStart"/>
            <w:r>
              <w:rPr>
                <w:rFonts w:ascii="Times New Roman" w:hAnsi="Times New Roman"/>
              </w:rPr>
              <w:t>konverzijski</w:t>
            </w:r>
            <w:proofErr w:type="spellEnd"/>
            <w:r>
              <w:rPr>
                <w:rFonts w:ascii="Times New Roman" w:hAnsi="Times New Roman"/>
              </w:rPr>
              <w:t xml:space="preserve"> faktorji.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0" w:name="_Toc338669922"/>
      <w:bookmarkStart w:id="71" w:name="_Toc338669923"/>
      <w:bookmarkStart w:id="72" w:name="_Toc338669924"/>
      <w:bookmarkStart w:id="73" w:name="_Toc338669925"/>
      <w:bookmarkStart w:id="74" w:name="_Toc338669926"/>
      <w:bookmarkStart w:id="75" w:name="_Toc338669927"/>
      <w:bookmarkStart w:id="76" w:name="_Toc338669928"/>
      <w:bookmarkStart w:id="77" w:name="_Toc351048509"/>
      <w:bookmarkStart w:id="78" w:name="_Toc359414288"/>
      <w:bookmarkStart w:id="79" w:name="_Toc423089073"/>
      <w:bookmarkStart w:id="80" w:name="_Toc523237400"/>
      <w:bookmarkStart w:id="81" w:name="_Toc322687894"/>
      <w:bookmarkEnd w:id="62"/>
      <w:bookmarkEnd w:id="70"/>
      <w:bookmarkEnd w:id="71"/>
      <w:bookmarkEnd w:id="72"/>
      <w:bookmarkEnd w:id="73"/>
      <w:bookmarkEnd w:id="74"/>
      <w:bookmarkEnd w:id="75"/>
      <w:bookmarkEnd w:id="76"/>
      <w:r>
        <w:rPr>
          <w:rFonts w:ascii="Times New Roman" w:hAnsi="Times New Roman"/>
          <w:b/>
        </w:rPr>
        <w:t>7.</w:t>
      </w:r>
      <w:r>
        <w:tab/>
      </w:r>
      <w:r>
        <w:rPr>
          <w:rFonts w:ascii="Times New Roman" w:hAnsi="Times New Roman"/>
          <w:b/>
        </w:rPr>
        <w:t>C 42.00 – Alternativna opredelitev kapitala</w:t>
      </w:r>
      <w:bookmarkEnd w:id="77"/>
      <w:bookmarkEnd w:id="78"/>
      <w:r>
        <w:rPr>
          <w:rFonts w:ascii="Times New Roman" w:hAnsi="Times New Roman"/>
          <w:b/>
        </w:rPr>
        <w:t xml:space="preserve"> (LR3)</w:t>
      </w:r>
      <w:bookmarkEnd w:id="79"/>
      <w:bookmarkEnd w:id="80"/>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V predlogi LR3 so navedene informacije o merah kapitala, potrebne za revizijo iz člena 511 CRR.</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Vrstica </w:t>
            </w:r>
          </w:p>
          <w:p w:rsidR="00F4754B" w:rsidRPr="00FE002E" w:rsidRDefault="00F4754B" w:rsidP="00F4754B">
            <w:pPr>
              <w:pStyle w:val="BodyText1"/>
              <w:rPr>
                <w:rFonts w:ascii="Times New Roman" w:hAnsi="Times New Roman"/>
                <w:b/>
                <w:bCs/>
                <w:u w:val="single"/>
              </w:rPr>
            </w:pPr>
            <w:r>
              <w:rPr>
                <w:rFonts w:ascii="Times New Roman" w:hAnsi="Times New Roman"/>
                <w:b/>
              </w:rPr>
              <w:t>in stolpec</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Pravna sklicevanja in navodila</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Navadni lastniški temeljni kapital – opredelitev brez prehodnih ureditev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Člen 50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Znesek navadnega lastniškega temeljnega kapitala, kot je opredeljen v členu 50 CRR, brez upoštevanja odstopanja iz poglavij 1 in 2 dela 10 CRR.</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Navadni lastniški temeljni kapital – opredelitev s prehodnimi ureditvami</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Člen 50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Znesek navadnega lastniškega temeljnega kapitala, kot je opredeljen v členu 50 CRR, po upoštevanju odstopanja iz poglavij 1 in 2 dela 10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Skupni kapital – opredelitev brez prehodnih ureditev</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Člen 72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Znesek kapitala, kot je opredeljen v členu 72 CRR, brez upoštevanja odstopanja iz poglavij </w:t>
            </w:r>
            <w:r>
              <w:rPr>
                <w:rFonts w:ascii="Times New Roman" w:hAnsi="Times New Roman"/>
              </w:rPr>
              <w:lastRenderedPageBreak/>
              <w:t>1 in 2 dela 10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Skupni kapital – opredelitev s prehodnimi ureditvami</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Člen 72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Znesek kapitala, kot je opredeljen v členu 72 CRR, po upoštevanju odstopanja iz poglavij 1 in 2 dela 10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Znesek sredstev, odštetih od postavk navadnega lastniškega temeljnega kapitala – opredelitev brez prehodnih ureditev</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Znesek vključuje znesek regulativnih prilagoditev postavk navadnega lastniškega temeljnega kapitala, ki prilagodijo vrednost sredstva in ki jih zahtevajo:</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32 do 35 CRR ali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36 do 47 CRR,</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kot je ustrezno.</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Institucije upoštevajo izvzetja, druge možnosti in opustitve teh odbitkov iz členov 48, 49 in 79 CRR, vendar brez upoštevanja odstopanja iz poglavij 1 in 2 dela 10 CRR. Da bi se preprečilo dvojno štetje, institucije pri izračunu vrednosti izpostavljenosti v celicah {</w:t>
            </w:r>
            <w:proofErr w:type="spellStart"/>
            <w:r>
              <w:rPr>
                <w:rFonts w:ascii="Times New Roman" w:hAnsi="Times New Roman"/>
              </w:rPr>
              <w:t>LRCalc</w:t>
            </w:r>
            <w:proofErr w:type="spellEnd"/>
            <w:r>
              <w:rPr>
                <w:rFonts w:ascii="Times New Roman" w:hAnsi="Times New Roman"/>
              </w:rPr>
              <w:t>;10;10} do {</w:t>
            </w:r>
            <w:proofErr w:type="spellStart"/>
            <w:r>
              <w:rPr>
                <w:rFonts w:ascii="Times New Roman" w:hAnsi="Times New Roman"/>
              </w:rPr>
              <w:t>LRCalc</w:t>
            </w:r>
            <w:proofErr w:type="spellEnd"/>
            <w:r>
              <w:rPr>
                <w:rFonts w:ascii="Times New Roman" w:hAnsi="Times New Roman"/>
              </w:rPr>
              <w:t>;260;10} ne sporočijo prilagoditev, ki so se že uporabile v skladu s členom 111 CRR, prav tako pa ne sporočijo nobenih prilagoditev, ki ne zmanjšajo vrednosti določenega sredstva.</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Ker se zaradi teh prilagoditev zmanjša skupni kapital, se sporočijo kot negativna vrednost.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Znesek sredstev, odštetih od postavk navadnega lastniškega temeljnega kapitala – opredelitev s prehodnimi ureditvami</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Znesek vključuje znesek regulativnih prilagoditev iz navadnega lastniškega temeljnega kapitala, ki prilagodijo vrednost sredstva in ki jih zahtevajo: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32 do 35 CRR ali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36 do 47 CRR,</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kot je ustrezno.</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Institucije upoštevajo izvzetja, druge možnosti in opustitve teh odbitkov iz členov 48, 49 in 79 CRR, pri čemer upoštevajo tudi odstopanje iz poglavij 1 in 2 dela 10 CRR. Da bi se preprečilo dvojno štetje, institucije pri izračunu vrednosti izpostavljenosti v celicah {</w:t>
            </w:r>
            <w:proofErr w:type="spellStart"/>
            <w:r>
              <w:rPr>
                <w:rFonts w:ascii="Times New Roman" w:hAnsi="Times New Roman"/>
              </w:rPr>
              <w:t>LRCalc</w:t>
            </w:r>
            <w:proofErr w:type="spellEnd"/>
            <w:r>
              <w:rPr>
                <w:rFonts w:ascii="Times New Roman" w:hAnsi="Times New Roman"/>
              </w:rPr>
              <w:t>;10;10} do {</w:t>
            </w:r>
            <w:proofErr w:type="spellStart"/>
            <w:r>
              <w:rPr>
                <w:rFonts w:ascii="Times New Roman" w:hAnsi="Times New Roman"/>
              </w:rPr>
              <w:t>LRCalc</w:t>
            </w:r>
            <w:proofErr w:type="spellEnd"/>
            <w:r>
              <w:rPr>
                <w:rFonts w:ascii="Times New Roman" w:hAnsi="Times New Roman"/>
              </w:rPr>
              <w:t>;260;10} ne sporočijo prilagoditev, ki so se že uporabile v skladu s členom 111 CRR, prav tako pa ne sporočijo nobenih prilagoditev, ki ne zmanjšajo vrednosti določenega sredstva.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Ker se zaradi teh prilagoditev zmanjša skupni kapital, se sporočijo kot negativna vrednost.</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Znesek sredstev, odštetih od postavk kapitala – opredelitev brez prehodnih ureditev</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Znesek vključuje znesek regulativnih prilagoditev iz postavk kapitala, ki prilagodijo vrednost sredstva in ki jih zahtevajo: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32 do 35 CRR ali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36 do 47 CRR ali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56 do 60 CRR ali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66 do 70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kot je ustrezno.</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Institucije upoštevajo izvzetja, druge možnosti in opustitve teh odbitkov iz členov 48, 49 in 79 CRR, vendar brez upoštevanja odstopanja iz poglavij 1 in 2 dela 10 CRR. Da bi se preprečilo dvojno štetje, institucije pri izračunu vrednosti izpostavljenosti v vrsticah {</w:t>
            </w:r>
            <w:proofErr w:type="spellStart"/>
            <w:r>
              <w:rPr>
                <w:rFonts w:ascii="Times New Roman" w:hAnsi="Times New Roman"/>
              </w:rPr>
              <w:t>LRCalc</w:t>
            </w:r>
            <w:proofErr w:type="spellEnd"/>
            <w:r>
              <w:rPr>
                <w:rFonts w:ascii="Times New Roman" w:hAnsi="Times New Roman"/>
              </w:rPr>
              <w:t>;10;10} do {</w:t>
            </w:r>
            <w:proofErr w:type="spellStart"/>
            <w:r>
              <w:rPr>
                <w:rFonts w:ascii="Times New Roman" w:hAnsi="Times New Roman"/>
              </w:rPr>
              <w:t>LRCalc</w:t>
            </w:r>
            <w:proofErr w:type="spellEnd"/>
            <w:r>
              <w:rPr>
                <w:rFonts w:ascii="Times New Roman" w:hAnsi="Times New Roman"/>
              </w:rPr>
              <w:t xml:space="preserve">;260;10} ne sporočijo prilagoditev, ki so se že uporabile v skladu s členom 111 CRR, prav tako pa ne sporočijo nobenih prilagoditev, ki ne zmanjšajo </w:t>
            </w:r>
            <w:r>
              <w:rPr>
                <w:rFonts w:ascii="Times New Roman" w:hAnsi="Times New Roman"/>
              </w:rPr>
              <w:lastRenderedPageBreak/>
              <w:t>vrednosti določenega sredstva.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Ker se zaradi teh prilagoditev zmanjša skupni kapital, se sporočijo kot negativna vrednost.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Znesek sredstev, odštetih od postavk kapitala – opredelitev s prehodnimi ureditvami</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Znesek vključuje znesek regulativnih prilagoditev iz postavk kapitala, ki prilagodijo vrednost sredstva in ki jih zahtevajo: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32 do 35 CRR ali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36 do 47 CRR ali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56 do 60 CRR ali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členi 66 do 70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kot je ustrezno.</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Institucije upoštevajo izvzetja, druge možnosti in opustitve teh odbitkov iz členov 48, 49 in 79 CRR, pri čemer upoštevajo tudi odstopanje iz poglavij 1 in 2 dela 10 CRR. Da bi se preprečilo dvojno štetje, institucije pri izračunu vrednosti izpostavljenosti v celicah {</w:t>
            </w:r>
            <w:proofErr w:type="spellStart"/>
            <w:r>
              <w:rPr>
                <w:rFonts w:ascii="Times New Roman" w:hAnsi="Times New Roman"/>
              </w:rPr>
              <w:t>LRCalc</w:t>
            </w:r>
            <w:proofErr w:type="spellEnd"/>
            <w:r>
              <w:rPr>
                <w:rFonts w:ascii="Times New Roman" w:hAnsi="Times New Roman"/>
              </w:rPr>
              <w:t>;10;10} do {</w:t>
            </w:r>
            <w:proofErr w:type="spellStart"/>
            <w:r>
              <w:rPr>
                <w:rFonts w:ascii="Times New Roman" w:hAnsi="Times New Roman"/>
              </w:rPr>
              <w:t>LRCalc</w:t>
            </w:r>
            <w:proofErr w:type="spellEnd"/>
            <w:r>
              <w:rPr>
                <w:rFonts w:ascii="Times New Roman" w:hAnsi="Times New Roman"/>
              </w:rPr>
              <w:t>;260;10} ne sporočijo prilagoditev, ki so se že uporabile v skladu s členom 111 CRR, prav tako pa ne sporočijo nobenih prilagoditev, ki ne zmanjšajo vrednosti določenega sredstva.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Ker se zaradi teh prilagoditev zmanjša skupni kapital, se sporočijo kot negativna vrednost.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2" w:name="_Toc322687900"/>
      <w:bookmarkStart w:id="83" w:name="_Toc322533879"/>
    </w:p>
    <w:p w:rsidR="00217D1F" w:rsidRPr="00FE002E" w:rsidRDefault="00500508" w:rsidP="00500508">
      <w:pPr>
        <w:pStyle w:val="BodyText1"/>
        <w:ind w:left="357" w:hanging="357"/>
        <w:outlineLvl w:val="1"/>
        <w:rPr>
          <w:rFonts w:ascii="Times New Roman" w:hAnsi="Times New Roman"/>
          <w:b/>
        </w:rPr>
      </w:pPr>
      <w:bookmarkStart w:id="84" w:name="_Toc351048510"/>
      <w:bookmarkStart w:id="85" w:name="_Toc359414289"/>
      <w:bookmarkStart w:id="86" w:name="_Toc423089074"/>
      <w:bookmarkStart w:id="87" w:name="_Toc523237401"/>
      <w:r>
        <w:rPr>
          <w:rFonts w:ascii="Times New Roman" w:hAnsi="Times New Roman"/>
          <w:b/>
        </w:rPr>
        <w:t>8.</w:t>
      </w:r>
      <w:r>
        <w:tab/>
      </w:r>
      <w:r>
        <w:rPr>
          <w:rFonts w:ascii="Times New Roman" w:hAnsi="Times New Roman"/>
          <w:b/>
        </w:rPr>
        <w:t>C 43.00 – Alternativna razčlenitev komponent mere izpostavljenosti količnika finančnega vzvoda</w:t>
      </w:r>
      <w:bookmarkEnd w:id="82"/>
      <w:bookmarkEnd w:id="84"/>
      <w:bookmarkEnd w:id="85"/>
      <w:r>
        <w:rPr>
          <w:rFonts w:ascii="Times New Roman" w:hAnsi="Times New Roman"/>
          <w:b/>
        </w:rPr>
        <w:t xml:space="preserve"> (LR4)</w:t>
      </w:r>
      <w:bookmarkEnd w:id="86"/>
      <w:bookmarkEnd w:id="87"/>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 xml:space="preserve">Institucije sporočijo vrednosti izpostavljenosti količnika finančnega vzvoda v LR4 po uporabi izvzetij, kot je ustrezno, iz naslednjih celic </w:t>
      </w:r>
      <w:proofErr w:type="spellStart"/>
      <w:r>
        <w:rPr>
          <w:rFonts w:ascii="Times New Roman" w:hAnsi="Times New Roman"/>
        </w:rPr>
        <w:t>LRCalc</w:t>
      </w:r>
      <w:proofErr w:type="spellEnd"/>
      <w:r>
        <w:rPr>
          <w:rFonts w:ascii="Times New Roman" w:hAnsi="Times New Roman"/>
        </w:rPr>
        <w:t>: {050;010}, {080;010}, {100;010}, {120;010}, {220; 010}, {250;010} in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Da bi se preprečilo dvojno štetje, se institucije držijo enačbe iz naslednjega odstavka: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Enačba, ki se je držijo institucije v skladu z odstavkom 29, je: [{</w:t>
      </w:r>
      <w:proofErr w:type="spellStart"/>
      <w:r>
        <w:rPr>
          <w:rFonts w:ascii="Times New Roman" w:hAnsi="Times New Roman"/>
        </w:rPr>
        <w:t>LRCalc</w:t>
      </w:r>
      <w:proofErr w:type="spellEnd"/>
      <w:r>
        <w:rPr>
          <w:rFonts w:ascii="Times New Roman" w:hAnsi="Times New Roman"/>
        </w:rPr>
        <w:t>;010;010} + {</w:t>
      </w:r>
      <w:proofErr w:type="spellStart"/>
      <w:r>
        <w:rPr>
          <w:rFonts w:ascii="Times New Roman" w:hAnsi="Times New Roman"/>
        </w:rPr>
        <w:t>LRCalc</w:t>
      </w:r>
      <w:proofErr w:type="spellEnd"/>
      <w:r>
        <w:rPr>
          <w:rFonts w:ascii="Times New Roman" w:hAnsi="Times New Roman"/>
        </w:rPr>
        <w:t>;020;010} + {</w:t>
      </w:r>
      <w:proofErr w:type="spellStart"/>
      <w:r>
        <w:rPr>
          <w:rFonts w:ascii="Times New Roman" w:hAnsi="Times New Roman"/>
        </w:rPr>
        <w:t>LRCalc</w:t>
      </w:r>
      <w:proofErr w:type="spellEnd"/>
      <w:r>
        <w:rPr>
          <w:rFonts w:ascii="Times New Roman" w:hAnsi="Times New Roman"/>
        </w:rPr>
        <w:t>;030;010} + {</w:t>
      </w:r>
      <w:proofErr w:type="spellStart"/>
      <w:r>
        <w:rPr>
          <w:rFonts w:ascii="Times New Roman" w:hAnsi="Times New Roman"/>
        </w:rPr>
        <w:t>LRCalc</w:t>
      </w:r>
      <w:proofErr w:type="spellEnd"/>
      <w:r>
        <w:rPr>
          <w:rFonts w:ascii="Times New Roman" w:hAnsi="Times New Roman"/>
        </w:rPr>
        <w:t>;040;010} + {</w:t>
      </w:r>
      <w:proofErr w:type="spellStart"/>
      <w:r>
        <w:rPr>
          <w:rFonts w:ascii="Times New Roman" w:hAnsi="Times New Roman"/>
        </w:rPr>
        <w:t>LRCalc</w:t>
      </w:r>
      <w:proofErr w:type="spellEnd"/>
      <w:r>
        <w:rPr>
          <w:rFonts w:ascii="Times New Roman" w:hAnsi="Times New Roman"/>
        </w:rPr>
        <w:t>;050;010} + {</w:t>
      </w:r>
      <w:proofErr w:type="spellStart"/>
      <w:r>
        <w:rPr>
          <w:rFonts w:ascii="Times New Roman" w:hAnsi="Times New Roman"/>
        </w:rPr>
        <w:t>LRCalc</w:t>
      </w:r>
      <w:proofErr w:type="spellEnd"/>
      <w:r>
        <w:rPr>
          <w:rFonts w:ascii="Times New Roman" w:hAnsi="Times New Roman"/>
        </w:rPr>
        <w:t>;060;010} + {</w:t>
      </w:r>
      <w:proofErr w:type="spellStart"/>
      <w:r>
        <w:rPr>
          <w:rFonts w:ascii="Times New Roman" w:hAnsi="Times New Roman"/>
        </w:rPr>
        <w:t>LRCalc</w:t>
      </w:r>
      <w:proofErr w:type="spellEnd"/>
      <w:r>
        <w:rPr>
          <w:rFonts w:ascii="Times New Roman" w:hAnsi="Times New Roman"/>
        </w:rPr>
        <w:t>;070;010} + {</w:t>
      </w:r>
      <w:proofErr w:type="spellStart"/>
      <w:r>
        <w:rPr>
          <w:rFonts w:ascii="Times New Roman" w:hAnsi="Times New Roman"/>
        </w:rPr>
        <w:t>LRCalc</w:t>
      </w:r>
      <w:proofErr w:type="spellEnd"/>
      <w:r>
        <w:rPr>
          <w:rFonts w:ascii="Times New Roman" w:hAnsi="Times New Roman"/>
        </w:rPr>
        <w:t>;080;010} + {</w:t>
      </w:r>
      <w:proofErr w:type="spellStart"/>
      <w:r>
        <w:rPr>
          <w:rFonts w:ascii="Times New Roman" w:hAnsi="Times New Roman"/>
        </w:rPr>
        <w:t>LRCalc</w:t>
      </w:r>
      <w:proofErr w:type="spellEnd"/>
      <w:r>
        <w:rPr>
          <w:rFonts w:ascii="Times New Roman" w:hAnsi="Times New Roman"/>
        </w:rPr>
        <w:t>;090;010} + {</w:t>
      </w:r>
      <w:proofErr w:type="spellStart"/>
      <w:r>
        <w:rPr>
          <w:rFonts w:ascii="Times New Roman" w:hAnsi="Times New Roman"/>
        </w:rPr>
        <w:t>LRCalc</w:t>
      </w:r>
      <w:proofErr w:type="spellEnd"/>
      <w:r>
        <w:rPr>
          <w:rFonts w:ascii="Times New Roman" w:hAnsi="Times New Roman"/>
        </w:rPr>
        <w:t>;100;010} + {</w:t>
      </w:r>
      <w:proofErr w:type="spellStart"/>
      <w:r>
        <w:rPr>
          <w:rFonts w:ascii="Times New Roman" w:hAnsi="Times New Roman"/>
        </w:rPr>
        <w:t>LRCalc</w:t>
      </w:r>
      <w:proofErr w:type="spellEnd"/>
      <w:r>
        <w:rPr>
          <w:rFonts w:ascii="Times New Roman" w:hAnsi="Times New Roman"/>
        </w:rPr>
        <w:t>;110;010} + {</w:t>
      </w:r>
      <w:proofErr w:type="spellStart"/>
      <w:r>
        <w:rPr>
          <w:rFonts w:ascii="Times New Roman" w:hAnsi="Times New Roman"/>
        </w:rPr>
        <w:t>LRCalc</w:t>
      </w:r>
      <w:proofErr w:type="spellEnd"/>
      <w:r>
        <w:rPr>
          <w:rFonts w:ascii="Times New Roman" w:hAnsi="Times New Roman"/>
        </w:rPr>
        <w:t>;120;010} + {</w:t>
      </w:r>
      <w:proofErr w:type="spellStart"/>
      <w:r>
        <w:rPr>
          <w:rFonts w:ascii="Times New Roman" w:hAnsi="Times New Roman"/>
        </w:rPr>
        <w:t>LRCalc</w:t>
      </w:r>
      <w:proofErr w:type="spellEnd"/>
      <w:r>
        <w:rPr>
          <w:rFonts w:ascii="Times New Roman" w:hAnsi="Times New Roman"/>
        </w:rPr>
        <w:t>;130;010} + {</w:t>
      </w:r>
      <w:proofErr w:type="spellStart"/>
      <w:r>
        <w:rPr>
          <w:rFonts w:ascii="Times New Roman" w:hAnsi="Times New Roman"/>
        </w:rPr>
        <w:t>LRCalc</w:t>
      </w:r>
      <w:proofErr w:type="spellEnd"/>
      <w:r>
        <w:rPr>
          <w:rFonts w:ascii="Times New Roman" w:hAnsi="Times New Roman"/>
        </w:rPr>
        <w:t>;140;010} + {</w:t>
      </w:r>
      <w:proofErr w:type="spellStart"/>
      <w:r>
        <w:rPr>
          <w:rFonts w:ascii="Times New Roman" w:hAnsi="Times New Roman"/>
        </w:rPr>
        <w:t>LRCalc</w:t>
      </w:r>
      <w:proofErr w:type="spellEnd"/>
      <w:r>
        <w:rPr>
          <w:rFonts w:ascii="Times New Roman" w:hAnsi="Times New Roman"/>
        </w:rPr>
        <w:t>;150;010} + {</w:t>
      </w:r>
      <w:proofErr w:type="spellStart"/>
      <w:r>
        <w:rPr>
          <w:rFonts w:ascii="Times New Roman" w:hAnsi="Times New Roman"/>
        </w:rPr>
        <w:t>LRCalc</w:t>
      </w:r>
      <w:proofErr w:type="spellEnd"/>
      <w:r>
        <w:rPr>
          <w:rFonts w:ascii="Times New Roman" w:hAnsi="Times New Roman"/>
        </w:rPr>
        <w:t>;160;010} + {</w:t>
      </w:r>
      <w:proofErr w:type="spellStart"/>
      <w:r>
        <w:rPr>
          <w:rFonts w:ascii="Times New Roman" w:hAnsi="Times New Roman"/>
        </w:rPr>
        <w:t>LRCalc</w:t>
      </w:r>
      <w:proofErr w:type="spellEnd"/>
      <w:r>
        <w:rPr>
          <w:rFonts w:ascii="Times New Roman" w:hAnsi="Times New Roman"/>
        </w:rPr>
        <w:t>;170;010} + {</w:t>
      </w:r>
      <w:proofErr w:type="spellStart"/>
      <w:r>
        <w:rPr>
          <w:rFonts w:ascii="Times New Roman" w:hAnsi="Times New Roman"/>
        </w:rPr>
        <w:t>LRCalc</w:t>
      </w:r>
      <w:proofErr w:type="spellEnd"/>
      <w:r>
        <w:rPr>
          <w:rFonts w:ascii="Times New Roman" w:hAnsi="Times New Roman"/>
        </w:rPr>
        <w:t>;180;010} + {</w:t>
      </w:r>
      <w:proofErr w:type="spellStart"/>
      <w:r>
        <w:rPr>
          <w:rFonts w:ascii="Times New Roman" w:hAnsi="Times New Roman"/>
        </w:rPr>
        <w:t>LRCalc</w:t>
      </w:r>
      <w:proofErr w:type="spellEnd"/>
      <w:r>
        <w:rPr>
          <w:rFonts w:ascii="Times New Roman" w:hAnsi="Times New Roman"/>
        </w:rPr>
        <w:t>;190;010} + {</w:t>
      </w:r>
      <w:proofErr w:type="spellStart"/>
      <w:r>
        <w:rPr>
          <w:rFonts w:ascii="Times New Roman" w:hAnsi="Times New Roman"/>
        </w:rPr>
        <w:t>LRCalc</w:t>
      </w:r>
      <w:proofErr w:type="spellEnd"/>
      <w:r>
        <w:rPr>
          <w:rFonts w:ascii="Times New Roman" w:hAnsi="Times New Roman"/>
        </w:rPr>
        <w:t>;200;010} + {</w:t>
      </w:r>
      <w:proofErr w:type="spellStart"/>
      <w:r>
        <w:rPr>
          <w:rFonts w:ascii="Times New Roman" w:hAnsi="Times New Roman"/>
        </w:rPr>
        <w:t>LRCalc</w:t>
      </w:r>
      <w:proofErr w:type="spellEnd"/>
      <w:r>
        <w:rPr>
          <w:rFonts w:ascii="Times New Roman" w:hAnsi="Times New Roman"/>
        </w:rPr>
        <w:t>;210;010} + {</w:t>
      </w:r>
      <w:proofErr w:type="spellStart"/>
      <w:r>
        <w:rPr>
          <w:rFonts w:ascii="Times New Roman" w:hAnsi="Times New Roman"/>
        </w:rPr>
        <w:t>LRCalc</w:t>
      </w:r>
      <w:proofErr w:type="spellEnd"/>
      <w:r>
        <w:rPr>
          <w:rFonts w:ascii="Times New Roman" w:hAnsi="Times New Roman"/>
        </w:rPr>
        <w:t>;220;010} + {</w:t>
      </w:r>
      <w:proofErr w:type="spellStart"/>
      <w:r>
        <w:rPr>
          <w:rFonts w:ascii="Times New Roman" w:hAnsi="Times New Roman"/>
        </w:rPr>
        <w:t>LRCalc</w:t>
      </w:r>
      <w:proofErr w:type="spellEnd"/>
      <w:r>
        <w:rPr>
          <w:rFonts w:ascii="Times New Roman" w:hAnsi="Times New Roman"/>
        </w:rPr>
        <w:t>;230;010} + {</w:t>
      </w:r>
      <w:proofErr w:type="spellStart"/>
      <w:r>
        <w:rPr>
          <w:rFonts w:ascii="Times New Roman" w:hAnsi="Times New Roman"/>
        </w:rPr>
        <w:t>LRCalc</w:t>
      </w:r>
      <w:proofErr w:type="spellEnd"/>
      <w:r>
        <w:rPr>
          <w:rFonts w:ascii="Times New Roman" w:hAnsi="Times New Roman"/>
        </w:rPr>
        <w:t>;240;010} + {</w:t>
      </w:r>
      <w:proofErr w:type="spellStart"/>
      <w:r>
        <w:rPr>
          <w:rFonts w:ascii="Times New Roman" w:hAnsi="Times New Roman"/>
        </w:rPr>
        <w:t>LRCalc</w:t>
      </w:r>
      <w:proofErr w:type="spellEnd"/>
      <w:r>
        <w:rPr>
          <w:rFonts w:ascii="Times New Roman" w:hAnsi="Times New Roman"/>
        </w:rPr>
        <w:t>;250;010} + {</w:t>
      </w:r>
      <w:proofErr w:type="spellStart"/>
      <w:r>
        <w:rPr>
          <w:rFonts w:ascii="Times New Roman" w:hAnsi="Times New Roman"/>
        </w:rPr>
        <w:t>LRCalc</w:t>
      </w:r>
      <w:proofErr w:type="spellEnd"/>
      <w:r>
        <w:rPr>
          <w:rFonts w:ascii="Times New Roman" w:hAnsi="Times New Roman"/>
        </w:rPr>
        <w:t>;260;010}]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Vrstica in stolpec</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Pravna sklicevanja in navodila</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Zunajbilančne postavke; od tega – vrednost izpostavljenosti količnika finančnega vzvoda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izračunana kot vsota {</w:t>
            </w:r>
            <w:proofErr w:type="spellStart"/>
            <w:r>
              <w:rPr>
                <w:rFonts w:ascii="Times New Roman" w:hAnsi="Times New Roman"/>
              </w:rPr>
              <w:t>LRCalc</w:t>
            </w:r>
            <w:proofErr w:type="spellEnd"/>
            <w:r>
              <w:rPr>
                <w:rFonts w:ascii="Times New Roman" w:hAnsi="Times New Roman"/>
              </w:rPr>
              <w:t>;150;010}, {</w:t>
            </w:r>
            <w:proofErr w:type="spellStart"/>
            <w:r>
              <w:rPr>
                <w:rFonts w:ascii="Times New Roman" w:hAnsi="Times New Roman"/>
              </w:rPr>
              <w:t>LRCalc</w:t>
            </w:r>
            <w:proofErr w:type="spellEnd"/>
            <w:r>
              <w:rPr>
                <w:rFonts w:ascii="Times New Roman" w:hAnsi="Times New Roman"/>
              </w:rPr>
              <w:t>;160;010}, {</w:t>
            </w:r>
            <w:proofErr w:type="spellStart"/>
            <w:r>
              <w:rPr>
                <w:rFonts w:ascii="Times New Roman" w:hAnsi="Times New Roman"/>
              </w:rPr>
              <w:t>LRCalc</w:t>
            </w:r>
            <w:proofErr w:type="spellEnd"/>
            <w:r>
              <w:rPr>
                <w:rFonts w:ascii="Times New Roman" w:hAnsi="Times New Roman"/>
              </w:rPr>
              <w:t>;170;010} in {</w:t>
            </w:r>
            <w:proofErr w:type="spellStart"/>
            <w:r>
              <w:rPr>
                <w:rFonts w:ascii="Times New Roman" w:hAnsi="Times New Roman"/>
              </w:rPr>
              <w:t>LRCalc</w:t>
            </w:r>
            <w:proofErr w:type="spellEnd"/>
            <w:r>
              <w:rPr>
                <w:rFonts w:ascii="Times New Roman" w:hAnsi="Times New Roman"/>
              </w:rPr>
              <w:t>;180;010}, brez zadevnih izpostavljenosti znotraj skupine (posamična podlaga), izključenih v skladu s členom 429(7) CRR.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Zunajbilančne postavke; od tega – tveganju prilagojena sredstva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zunajbilančnih postavk – razen poslov financiranja z vrednostnimi papirji in izvedenih finančnih instrumentov – v skladu s standardiziranim pristopom in pristopom IRB. Za izpostavljenosti v okviru standardiziranega pristopa institucije določijo znesek tveganju prilagojene izpostavljenosti v skladu s poglavjem 2 naslova II dela 3 CRR. Za izpostavljenosti v okviru pristopa IRB institucije določijo znesek tveganju prilagojene izpostavljenosti v skladu s poglavjem 3 naslova II dela 3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Trgovinsko financiranje; od tega – vrednost izpostavljenosti količnika finančnega vzvoda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zunajbilančnih postavk iz naslova trgovinskega financiranja. Za namene poročanja po predlogi LR4 se zunajbilančne postavke iz naslova trgovinskega financiranja nanašajo na izdane in potrjene uvozne in izvozne akreditive, ki so kratkoročni in pri katerih obstaja možnost </w:t>
            </w:r>
            <w:proofErr w:type="spellStart"/>
            <w:r>
              <w:rPr>
                <w:rFonts w:ascii="Times New Roman" w:hAnsi="Times New Roman"/>
              </w:rPr>
              <w:t>samoporavnave</w:t>
            </w:r>
            <w:proofErr w:type="spellEnd"/>
            <w:r>
              <w:rPr>
                <w:rFonts w:ascii="Times New Roman" w:hAnsi="Times New Roman"/>
              </w:rPr>
              <w:t>, ter na podobne posle.</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Trgovinsko financiranje; od tega – tveganju prilagojena sredstva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tveganju prilagojenih izpostavljenosti zunajbilančnih postavk – razen poslov financiranja z vrednostnimi papirji in izvedenih finančnih instrumentov – iz naslova trgovinskega financiranja. Za namene poročanja po predlogi LR4 se zunajbilančne postavke iz naslova trgovinskega financiranja nanašajo na izdane in potrjene uvozne in izvozne akreditive, ki so kratkoročni in pri katerih obstaja možnost </w:t>
            </w:r>
            <w:proofErr w:type="spellStart"/>
            <w:r>
              <w:rPr>
                <w:rFonts w:ascii="Times New Roman" w:hAnsi="Times New Roman"/>
              </w:rPr>
              <w:t>samoporavnave</w:t>
            </w:r>
            <w:proofErr w:type="spellEnd"/>
            <w:r>
              <w:rPr>
                <w:rFonts w:ascii="Times New Roman" w:hAnsi="Times New Roman"/>
              </w:rPr>
              <w:t>, ter na podobne posle.</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okviru uradne sheme za zavarovanje izvoznih kreditov – vrednost izpostavljenosti količnika finančnega vzvoda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Vrednost izpostavljenosti</w:t>
            </w:r>
            <w:r>
              <w:rPr>
                <w:rFonts w:ascii="Times New Roman" w:hAnsi="Times New Roman"/>
                <w:b/>
              </w:rPr>
              <w:t xml:space="preserve"> </w:t>
            </w:r>
            <w:r>
              <w:rPr>
                <w:rFonts w:ascii="Times New Roman" w:hAnsi="Times New Roman"/>
              </w:rPr>
              <w:t>količnika finančnega vzvoda zunajbilančnih postavk iz naslova trgovinskega financiranja v okviru uradne sheme za zavarovanje izvoznih kreditov.</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okviru uradne sheme za zavarovanje izvoznih kreditov – tveganju prilagojena sredstva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Znesek tveganju prilagojenih izpostavljenosti zunajbilančnih postavk – brez poslov financiranja z vrednostnimi papirji in izvedenih finančnih instrumentov – iz naslova trgovinskega financiranja v okviru uradne sheme za zavarovanje izvoznih kreditov.</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in SFT, za katere se uporablja pogodba o pobotu med različnimi kategorijami produktov – vrednost izpostavljenosti količnika finančnega vzvoda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izvedenih finančnih instrumentov in poslov financiranja z vrednostnimi papirji, če se zanje uporablja pogodba o pobotu med različnimi kategorijami produktov iz člena 272(25)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in SFT, za katere se uporablja pogodba o pobotu med različnimi kategorijami produktov – tveganju prilagojena sredstva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 xml:space="preserve">Zneski tveganju prilagojenih izpostavljenosti za kreditno tveganje in kreditno tveganje nasprotne </w:t>
            </w:r>
            <w:r>
              <w:rPr>
                <w:rFonts w:ascii="Times New Roman" w:hAnsi="Times New Roman"/>
              </w:rPr>
              <w:lastRenderedPageBreak/>
              <w:t xml:space="preserve">stranke, izračunani v skladu z naslovom II dela 3 CRR, za izvedene finančne instrumente in posle financiranja z vrednostnimi papirji, vključno z </w:t>
            </w:r>
            <w:proofErr w:type="spellStart"/>
            <w:r>
              <w:rPr>
                <w:rFonts w:ascii="Times New Roman" w:hAnsi="Times New Roman"/>
              </w:rPr>
              <w:t>zunajbilančnimi</w:t>
            </w:r>
            <w:proofErr w:type="spellEnd"/>
            <w:r>
              <w:rPr>
                <w:rFonts w:ascii="Times New Roman" w:hAnsi="Times New Roman"/>
              </w:rPr>
              <w:t>, če se zanje uporablja pogodba o pobotu med različnimi kategorijami produktov iz člena 272(25)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za katere se ne uporablja pogodba o pobotu med različnimi kategorijami produktov – vrednost izpostavljenosti količnika finančnega vzvoda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izvedenih finančnih instrumentov, če se zanje </w:t>
            </w:r>
            <w:r>
              <w:rPr>
                <w:rFonts w:ascii="Times New Roman" w:hAnsi="Times New Roman"/>
                <w:b/>
                <w:u w:val="single"/>
              </w:rPr>
              <w:t>ne</w:t>
            </w:r>
            <w:r>
              <w:rPr>
                <w:rFonts w:ascii="Times New Roman" w:hAnsi="Times New Roman"/>
              </w:rPr>
              <w:t xml:space="preserve"> uporablja pogodba o pobotu med različnimi kategorijami produktov iz člena 272(25)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Izvedeni finančni instrumenti, za katere se ne uporablja pogodba o pobotu med različnimi kategorijami produktov – tveganju prilagojena sredstva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Zneski tveganju prilagojenih izpostavljenosti za kreditno tveganje in kreditno tveganje nasprotne stranke pri izvedenih finančnih instrumentih, izračunani v skladu z naslovom II dela 3 CRR, vključno z </w:t>
            </w:r>
            <w:proofErr w:type="spellStart"/>
            <w:r>
              <w:rPr>
                <w:rFonts w:ascii="Times New Roman" w:hAnsi="Times New Roman"/>
              </w:rPr>
              <w:t>zunajbilančnimi</w:t>
            </w:r>
            <w:proofErr w:type="spellEnd"/>
            <w:r>
              <w:rPr>
                <w:rFonts w:ascii="Times New Roman" w:hAnsi="Times New Roman"/>
              </w:rPr>
              <w:t xml:space="preserve">, če se zanje ne uporablja pogodba o pobotu med različnimi kategorijami produktov iz člena 272(25)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 za katere se ne uporablja pogodba o pobotu med različnimi kategorijami produktov – vrednost izpostavljenosti količnika finančnega vzvoda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izpostavljenosti pri poslih financiranja z vrednostnimi papirji, če se zanje </w:t>
            </w:r>
            <w:r>
              <w:rPr>
                <w:rFonts w:ascii="Times New Roman" w:hAnsi="Times New Roman"/>
                <w:b/>
                <w:u w:val="single"/>
              </w:rPr>
              <w:t>ne</w:t>
            </w:r>
            <w:r>
              <w:rPr>
                <w:rFonts w:ascii="Times New Roman" w:hAnsi="Times New Roman"/>
              </w:rPr>
              <w:t xml:space="preserve"> uporablja pogodba o pobotu med različnimi kategorijami produktov iz člena 272(25)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 za katere se ne uporablja pogodba o pobotu med različnimi kategorijami produktov – tveganju prilagojena sredstva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Zneski tveganju prilagojenih izpostavljenosti za kreditno tveganje in kreditno tveganje nasprotne stranke pri poslih financiranja z vrednostnimi papirji, izračunani v skladu z naslovom II dela 3 CRR, vključno z </w:t>
            </w:r>
            <w:proofErr w:type="spellStart"/>
            <w:r>
              <w:rPr>
                <w:rFonts w:ascii="Times New Roman" w:hAnsi="Times New Roman"/>
              </w:rPr>
              <w:t>zunajbilančnimi</w:t>
            </w:r>
            <w:proofErr w:type="spellEnd"/>
            <w:r>
              <w:rPr>
                <w:rFonts w:ascii="Times New Roman" w:hAnsi="Times New Roman"/>
              </w:rPr>
              <w:t xml:space="preserve">, če se zanje </w:t>
            </w:r>
            <w:r>
              <w:rPr>
                <w:rFonts w:ascii="Times New Roman" w:hAnsi="Times New Roman"/>
                <w:b/>
                <w:u w:val="single"/>
              </w:rPr>
              <w:t>ne</w:t>
            </w:r>
            <w:r>
              <w:rPr>
                <w:rFonts w:ascii="Times New Roman" w:hAnsi="Times New Roman"/>
              </w:rPr>
              <w:t xml:space="preserve"> uporablja pogodba o pobotu med različnimi kategorijami produktov iz člena 272(25)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Zneski izpostavljenosti, ki izhajajo iz dodatne obravnave za kreditne izvedene finančne instrumente – vrednost izpostavljenosti količnika finančnega vzvoda</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Ta celica je enaka razliki med {</w:t>
            </w:r>
            <w:proofErr w:type="spellStart"/>
            <w:r>
              <w:rPr>
                <w:rFonts w:ascii="Times New Roman" w:hAnsi="Times New Roman"/>
              </w:rPr>
              <w:t>LRCalc</w:t>
            </w:r>
            <w:proofErr w:type="spellEnd"/>
            <w:r>
              <w:rPr>
                <w:rFonts w:ascii="Times New Roman" w:hAnsi="Times New Roman"/>
              </w:rPr>
              <w:t>;130;010} in {</w:t>
            </w:r>
            <w:proofErr w:type="spellStart"/>
            <w:r>
              <w:rPr>
                <w:rFonts w:ascii="Times New Roman" w:hAnsi="Times New Roman"/>
              </w:rPr>
              <w:t>LRCalc</w:t>
            </w:r>
            <w:proofErr w:type="spellEnd"/>
            <w:r>
              <w:rPr>
                <w:rFonts w:ascii="Times New Roman" w:hAnsi="Times New Roman"/>
              </w:rPr>
              <w:t>;140;010} brez zadevnih izpostavljenosti znotraj skupine (posamična podlaga), izključenih v skladu s členom 429(7) CRR.</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Druga sredstva v trgovalni knjigi – vrednost izpostavljenosti količnika finančnega vzvoda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postavke, sporočene v celici {</w:t>
            </w:r>
            <w:proofErr w:type="spellStart"/>
            <w:r>
              <w:rPr>
                <w:rFonts w:ascii="Times New Roman" w:hAnsi="Times New Roman"/>
              </w:rPr>
              <w:t>LRCalc</w:t>
            </w:r>
            <w:proofErr w:type="spellEnd"/>
            <w:r>
              <w:rPr>
                <w:rFonts w:ascii="Times New Roman" w:hAnsi="Times New Roman"/>
              </w:rPr>
              <w:t xml:space="preserve">;190;010}, razen postavk iz </w:t>
            </w:r>
            <w:proofErr w:type="spellStart"/>
            <w:r>
              <w:rPr>
                <w:rFonts w:ascii="Times New Roman" w:hAnsi="Times New Roman"/>
              </w:rPr>
              <w:t>netrgovalne</w:t>
            </w:r>
            <w:proofErr w:type="spellEnd"/>
            <w:r>
              <w:rPr>
                <w:rFonts w:ascii="Times New Roman" w:hAnsi="Times New Roman"/>
              </w:rPr>
              <w:t xml:space="preserve"> knjige.</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Druga sredstva v trgovalni knjigi – tveganju prilagojena sredstva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Kapitalske zahteve, pomnožene z 12.5 postavke v skladu z naslovom IV dela 3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Krite obveznice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v obliki kritih obveznic v skladu s členom 129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Krite obveznice – vrednost izpostavljenosti količnika finančnega vzvoda – izpostavljenosti na </w:t>
            </w:r>
            <w:r>
              <w:rPr>
                <w:rFonts w:ascii="Times New Roman" w:hAnsi="Times New Roman"/>
                <w:b/>
              </w:rPr>
              <w:lastRenderedPageBreak/>
              <w:t>podlagi pristopa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pomenijo izpostavljenosti v obliki kritih obveznic v skladu s členom 161(1)(d)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Krite obveznice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v obliki kritih obveznic v skladu s členom 129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Institucije pri poročanju odštejejo neplačane izpostavljenosti.</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Krite obveznice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v obliki kritih obveznic v skladu s členom 161(1)(d) CRR.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ki se obravnavajo kot izpostavljenosti do enot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{100;010} do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ki se obravnavajo kot izpostavljenosti do enot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{100;020} do {130;020}.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ki se obravnavajo kot izpostavljenosti do enot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{100;030} do {130;030}.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ki se obravnavajo kot izpostavljenosti do enot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{100;040} do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Enote centralne ravni države in centralne banke</w:t>
            </w:r>
            <w:r>
              <w:rPr>
                <w:rFonts w:ascii="Times New Roman" w:hAnsi="Times New Roman"/>
              </w:rPr>
              <w:t xml:space="preserve"> </w:t>
            </w:r>
            <w:r>
              <w:rPr>
                <w:rFonts w:ascii="Times New Roman" w:hAnsi="Times New Roman"/>
                <w:b/>
              </w:rPr>
              <w:t>–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enot centralne ravni države ali centralnih bank v skladu s členom 114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Enote centralne ravni države in centralne banke</w:t>
            </w:r>
            <w:r>
              <w:rPr>
                <w:rFonts w:ascii="Times New Roman" w:hAnsi="Times New Roman"/>
              </w:rPr>
              <w:t xml:space="preserve"> </w:t>
            </w:r>
            <w:r>
              <w:rPr>
                <w:rFonts w:ascii="Times New Roman" w:hAnsi="Times New Roman"/>
                <w:b/>
              </w:rPr>
              <w:t>–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enot centralne ravni države ali centralnih bank v skladu s členom 147(2)(a)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Enote centralne ravni države in centralne banke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enot centralne ravni države ali centralnih bank v skladu s členom 114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Enote centralne ravni države in centralne banke – tveganju prilagojena sredstva – izpostavljenosti na podlagi pristopa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enot centralne ravni države ali centralnih bank v skladu s členom 147(2)(a)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Enote regionalne in lokalne ravni države, ki se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enot regionalne in lokalne ravni države, ki se obravnavajo kot enote centralne ravni države, iz člena 115(2) in (4)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Enote regionalne in lokalne ravni države, ki se obravnavajo kot enote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enot regionalne in lokalne ravni države iz člena 147(3)(a)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Enote regionalne in lokalne ravni države, ki se obravnavajo kot enote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za sredstva, ki predstavljajo izpostavljenosti do enot regionalne in lokalne ravni države, ki se obravnavajo kot enote centralne ravni države, iz člena 115(2) in (4)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Enote regionalne in lokalne ravni države, ki se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enot regionalne in lokalne ravni države iz člena 147(3)(a)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Multilateralne razvojne banke in mednarodne organizacije, ki se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multilateralnih razvojnih bank in mednarodnih organizacij iz člena 117(2) in člena 118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Multilateralne razvojne banke in mednarodne organizacije, ki se obravnavajo kot enote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pomenijo izpostavljenosti do multilateralnih razvojnih bank in mednarodnih organizacij iz člena 147(3)(b) in (c)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Multilateralne razvojne banke in mednarodne organizacije, ki se obravnavajo kot enote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multilateralnih razvojnih bank in mednarodnih organizacij iz člena 117(2) in člena 118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Multilateralne razvojne banke in mednarodne organizacije, ki se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pomenijo izpostavljenosti do multilateralnih razvojnih bank in mednarodnih organizacij iz člena 147(3)(b) in (c)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Subjekti javnega sektorja, ki se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subjektov javnega sektorja iz člena 116(4)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Subjekti javnega sektorja, ki se obravnavajo kot enote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sredstva, ki predstavljajo izpostavljenosti do subjektov javnega sektorja iz člena 147(3)(a)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Subjekti javnega sektorja, ki se obravnavajo kot enote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subjektov javnega sektorja iz člena 116(4)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Subjekti javnega sektorja, ki se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subjektov javnega sektorja iz člena 147(3)(a)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Izpostavljenosti do enot regionalne ravni države, multilateralnih razvojnih bank, mednarodnih organizacij in subjektov javnega sektorja,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{150;010} do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Izpostavljenosti do enot regionalne ravni države, multilateralnih razvojnih bank, mednarodnih organizacij in subjektov javnega sektorja,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{150;020} do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Izpostavljenosti do enot regionalne ravni države, multilateralnih razvojnih bank, mednarodnih organizacij in subjektov javnega sektorja,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{150;030} do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Izpostavljenosti do enot regionalne ravni države, multilateralnih razvojnih bank, mednarodnih organizacij in subjektov javnega sektorja,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{150;040} do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Enote regionalne in lokalne ravni države,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enot regionalne in lokalne ravni države, ki se ne obravnavajo kot enote centralne ravni države, iz člena 115(1), (3) in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Enote regionalne in lokalne ravni države,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pristopa IRB</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enot regionalne in lokalne ravni držav, ki se ne obravnavajo kot enote centralne ravni držav, iz člena 147(4)(a)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Enote regionalne in lokalne ravni države,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standardiziranega pristopa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enot regionalne in lokalne ravni države, ki se ne obravnavajo kot enote centralne ravni države, iz člena 115(1), (3) in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Enote regionalne in lokalne ravni države,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za sredstva, ki predstavljajo izpostavljenosti do enot regionalne in lokalne ravni držav, ki se ne obravnavajo kot enote centralne ravni države, iz člena 147(4)(a)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Multilateralne razvojne banke,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pomenijo izpostavljenosti do multilateralnih razvojnih bank iz člena 117(1) in (3)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Multilateralne razvojne banke,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multilateralnih razvojnih bank, ki se ne obravnavajo kot enote centralne ravni države, iz člena 147(4)(c)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Multilateralne razvojne banke,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za sredstva, ki predstavljajo izpostavljenosti do multilateralnih razvojnih bank iz člena 117(1) in (3)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Multilateralne razvojne banke,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multilateralnih razvojnih bank, ki se ne obravnavajo kot enote centralne ravni države, iz člena 147(4)(c)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Subjekti javnega sektorja,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subjektov javnega sektorja iz člena 116(1), (2), (3) in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Subjekti javnega sektorja, ki se </w:t>
            </w:r>
            <w:r>
              <w:rPr>
                <w:rFonts w:ascii="Times New Roman" w:hAnsi="Times New Roman"/>
                <w:b/>
                <w:u w:val="single"/>
              </w:rPr>
              <w:t>ne</w:t>
            </w:r>
            <w:r>
              <w:rPr>
                <w:rFonts w:ascii="Times New Roman" w:hAnsi="Times New Roman"/>
                <w:b/>
              </w:rPr>
              <w:t xml:space="preserve"> obravnavajo kot enote centralne ravni države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subjektov javnega sektorja, ki se ne obravnavajo kot enote centralne ravni držav, iz člena 147(4)(b)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Subjekti javnega sektorja,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subjektov javnega sektorja iz člena 116(1), (2), (3) in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Subjekti javnega sektorja, ki se </w:t>
            </w:r>
            <w:r>
              <w:rPr>
                <w:rFonts w:ascii="Times New Roman" w:hAnsi="Times New Roman"/>
                <w:b/>
                <w:u w:val="single"/>
              </w:rPr>
              <w:t>ne</w:t>
            </w:r>
            <w:r>
              <w:rPr>
                <w:rFonts w:ascii="Times New Roman" w:hAnsi="Times New Roman"/>
                <w:b/>
              </w:rPr>
              <w:t xml:space="preserve"> obravnavajo kot enote centralne ravni države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prilagojene izpostavljenosti za sredstva, ki predstavljajo izpostavljenosti do subjektov javnega sektorja, ki se ne obravnavajo kot enote centralne ravni držav, iz člena 147(4)(b)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Institucije – vrednost izpostavljenosti količnika finančnega vzvoda – izpostavljenosti na podlagi standardiziranega pristopa</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institucij iz členov 119 do 121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Institucije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institucij iz člena 147(2)(b) CRR in ki </w:t>
            </w:r>
            <w:r>
              <w:rPr>
                <w:rFonts w:ascii="Times New Roman" w:hAnsi="Times New Roman"/>
                <w:b/>
                <w:u w:val="single"/>
              </w:rPr>
              <w:t>ne</w:t>
            </w:r>
            <w:r>
              <w:rPr>
                <w:rFonts w:ascii="Times New Roman" w:hAnsi="Times New Roman"/>
              </w:rPr>
              <w:t xml:space="preserve"> pomenijo izpostavljenosti v obliki kritih obveznic iz člena 161(1)(d) CRR ter </w:t>
            </w:r>
            <w:r>
              <w:rPr>
                <w:rFonts w:ascii="Times New Roman" w:hAnsi="Times New Roman"/>
                <w:b/>
                <w:u w:val="single"/>
              </w:rPr>
              <w:t>niso</w:t>
            </w:r>
            <w:r>
              <w:rPr>
                <w:rFonts w:ascii="Times New Roman" w:hAnsi="Times New Roman"/>
              </w:rPr>
              <w:t xml:space="preserve"> zajete s členom 147(4)(a) do (c)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Institucije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institucij iz členov 119 do 121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Institucije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institucij iz člena 147(2)(b) CRR in ki </w:t>
            </w:r>
            <w:r>
              <w:rPr>
                <w:rFonts w:ascii="Times New Roman" w:hAnsi="Times New Roman"/>
                <w:b/>
                <w:u w:val="single"/>
              </w:rPr>
              <w:t>ne</w:t>
            </w:r>
            <w:r>
              <w:rPr>
                <w:rFonts w:ascii="Times New Roman" w:hAnsi="Times New Roman"/>
              </w:rPr>
              <w:t xml:space="preserve"> pomenijo izpostavljenosti v obliki kritih obveznic iz člena 161(1)(d) CRR ter </w:t>
            </w:r>
            <w:r>
              <w:rPr>
                <w:rFonts w:ascii="Times New Roman" w:hAnsi="Times New Roman"/>
                <w:b/>
                <w:u w:val="single"/>
              </w:rPr>
              <w:t>niso</w:t>
            </w:r>
            <w:r>
              <w:rPr>
                <w:rFonts w:ascii="Times New Roman" w:hAnsi="Times New Roman"/>
              </w:rPr>
              <w:t xml:space="preserve"> zajete s členom 147(4)(a) do (c)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Zavarovane s hipotekami na nepremičnine; od tega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sredstva, ki predstavljajo izpostavljenosti, zavarovane s hipotekami na nepremičnine, iz člena 124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Zavarovane s hipotekami na nepremičnine; od tega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sredstva, ki predstavljajo izpostavljenosti do podjetij iz člena 147(2)(c) ali izpostavljenosti na drobno iz člena 147(2)(d) CRR, če so te izpostavljenosti zavarovane s hipotekami na nepremičnine v skladu s členom 199(1)(a)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Zavarovane s hipotekami na nepremičnine; od tega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za sredstva, ki predstavljajo izpostavljenosti, zavarovane s hipotekami na nepremičnine, iz člena 124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Zavarovane s hipotekami na nepremičnine; od tega – tveganju prilagojena sredstva – izpostavljenosti na podlagi pristopa IRB</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za sredstva, ki predstavljajo izpostavljenosti do podjetij iz člena 147(2)(c) ali izpostavljenosti na drobno iz člena 147(2)(d) CRR, če so te izpostavljenosti zavarovane s hipotekami na nepremičnine v skladu s členom 199(1)(a)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Zavarovane s hipotekami na stanovanjske nepremičnine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sredstva, ki predstavljajo izpostavljenosti, v celoti in popolnoma zavarovane s hipotekami na stanovanjske nepremičnine, iz člena 125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Zavarovane s hipotekami na stanovanjske nepremičnine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sredstva, ki predstavljajo izpostavljenosti do podjetij iz člena 147(2)(c) ali izpostavljenosti na drobno iz člena 147(2)(d) CRR, če so te izpostavljenosti zavarovane s hipotekami na stanovanjske nepremičnine v skladu s členom 199(1)(a)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Institucije pri poročanju odštejejo neplačane izpostavljenosti.</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Zavarovane s hipotekami na stanovanjske nepremičnine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Znesek tveganju prilagojenih izpostavljenosti za sredstva, ki predstavljajo izpostavljenosti, v celoti in popolnoma zavarovane s hipotekami na stanovanjske nepremičnine, iz člena 125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Zavarovane s hipotekami na stanovanjske nepremičnine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podjetij iz člena 147(2)(c) ali izpostavljenosti na drobno iz člena 147(2)(d) CRR, če so te izpostavljenosti zavarovane s hipotekami na stanovanjske nepremičnine v skladu s členom 199(1)(a)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Institucije pri poročanju odštejejo neplačane izpostavljenosti.</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Izpostavljenosti na drobno; od tega – vrednost izpostavljenosti količnika finančnega vzvoda – izpostavljenosti na podlagi standardiziranega pristopa</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na drobno iz člena 123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na drobno; od tega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na drobno iz člena 147(2)(d)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Izpostavljenosti na drobno; od tega – tveganju prilagojena sredstva – izpostavljenosti na podlagi standardiziranega pristopa</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na drobno iz člena 123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na drobno; od tega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na drobno iz člena 147(2)(d)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lastRenderedPageBreak/>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Izpostavljenosti na drobno do MSP – vrednost izpostavljenosti količnika finančnega vzvoda – izpostavljenosti na podlagi standardiziranega pristopa</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na drobno do malih in srednjih podjetij iz člena 123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Za namene te celice je „malo in srednje podjetje“ opredeljeno v skladu s členom 501(2)(b)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na drobno do MSP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na drobno iz člena 147(2)(d) CRR, če so to izpostavljenosti do malih in srednjih podjetij ter </w:t>
            </w:r>
            <w:r>
              <w:rPr>
                <w:rFonts w:ascii="Times New Roman" w:hAnsi="Times New Roman"/>
                <w:b/>
                <w:u w:val="single"/>
              </w:rPr>
              <w:t>niso</w:t>
            </w:r>
            <w:r>
              <w:rPr>
                <w:rFonts w:ascii="Times New Roman" w:hAnsi="Times New Roman"/>
              </w:rPr>
              <w:t xml:space="preserve"> zavarovane s hipotekami na nepremičnine v skladu s členom 199(1)(a) CRR.</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Za namene te celice je „malo in srednje podjetje“ opredeljeno v skladu s členom 501(2)(b) CRR.</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Izpostavljenosti na drobno do MSP – tveganju prilagojena sredstva – izpostavljenosti na podlagi standardiziranega pristopa</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na drobno do malih in srednjih podjetij iz člena 123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Za namene te celice je „malo in srednje podjetje“ opredeljeno v skladu s členom 501(2)(b)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na drobno do MSP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pomenijo izpostavljenosti na drobno iz člena 147(2)(d) CRR, če so to izpostavljenosti do malih in srednjih podjetij ter </w:t>
            </w:r>
            <w:r>
              <w:rPr>
                <w:rFonts w:ascii="Times New Roman" w:hAnsi="Times New Roman"/>
                <w:b/>
                <w:u w:val="single"/>
              </w:rPr>
              <w:t>niso</w:t>
            </w:r>
            <w:r>
              <w:rPr>
                <w:rFonts w:ascii="Times New Roman" w:hAnsi="Times New Roman"/>
              </w:rPr>
              <w:t xml:space="preserve"> zavarovane s hipotekami na nepremičnine v skladu s členom 199(1)(a)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Za namene te celice je „malo in srednje podjetje“ opredeljeno v skladu s členom 501(2)(b)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Podjetja; od tega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To je vsota celic {240;010} in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Podjetja; od tega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{240;020} in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Podjetja; od tega – tveganju prilagojena sredstva – izpostavljenosti na podlagi standardiziranega pristopa</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{240;030} in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Podjetja; od tega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{240;040} in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Finančna podjetja – vrednost izpostavljenosti količnika finančnega vzvoda – izpostavljenosti na podlagi standardiziranega pristopa</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finančnih podjetij iz člena 122 CRR. Za namene poročanja po predlogi LR4 finančna podjetja pomenijo regulirana in </w:t>
            </w:r>
            <w:proofErr w:type="spellStart"/>
            <w:r>
              <w:rPr>
                <w:rFonts w:ascii="Times New Roman" w:hAnsi="Times New Roman"/>
              </w:rPr>
              <w:t>neregulirana</w:t>
            </w:r>
            <w:proofErr w:type="spellEnd"/>
            <w:r>
              <w:rPr>
                <w:rFonts w:ascii="Times New Roman" w:hAnsi="Times New Roman"/>
              </w:rPr>
              <w:t xml:space="preserve"> podjetja, razen institucij iz celice {180;10}, katerih osnovna dejavnost je pridobivanje deležev ali opravljanje ene ali več dejavnosti iz Priloge I k Direktivi 2013/36/EU, ter subjekte iz člena 4(1)(27) CRR, razen institucij iz celice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Finančna podjetja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finančnih podjetij iz člena 147(2)(c)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Za namene poročanja po predlogi LR4 finančna podjetja pomenijo regulirana in </w:t>
            </w:r>
            <w:proofErr w:type="spellStart"/>
            <w:r>
              <w:rPr>
                <w:rFonts w:ascii="Times New Roman" w:hAnsi="Times New Roman"/>
              </w:rPr>
              <w:t>neregulirana</w:t>
            </w:r>
            <w:proofErr w:type="spellEnd"/>
            <w:r>
              <w:rPr>
                <w:rFonts w:ascii="Times New Roman" w:hAnsi="Times New Roman"/>
              </w:rPr>
              <w:t xml:space="preserve"> podjetja, razen institucij iz celice {180;10}, katerih osnovna dejavnost je pridobivanje deležev ali opravljanje ene ali več dejavnosti iz Priloge I k Direktivi 2013/36/EU, ter subjekte iz člena 4(1)(27) CRR, razen institucij iz celice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Finančna podjetja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pomenijo izpostavljenosti do finančnih podjetij iz člena 122 CRR. Za namene poročanja po predlogi LR4 finančna podjetja pomenijo regulirana in </w:t>
            </w:r>
            <w:proofErr w:type="spellStart"/>
            <w:r>
              <w:rPr>
                <w:rFonts w:ascii="Times New Roman" w:hAnsi="Times New Roman"/>
              </w:rPr>
              <w:t>neregulirana</w:t>
            </w:r>
            <w:proofErr w:type="spellEnd"/>
            <w:r>
              <w:rPr>
                <w:rFonts w:ascii="Times New Roman" w:hAnsi="Times New Roman"/>
              </w:rPr>
              <w:t xml:space="preserve"> podjetja, razen institucij iz celice {180;10}, katerih osnovna dejavnost je pridobivanje deležev ali opravljanje ene ali več dejavnosti iz Priloge I k Direktivi 2013/36/EU, ter subjekte iz člena 4(1)(27) CRR, razen institucij iz celice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Finančna podjetja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finančnih podjetij iz člena 147(2)(c)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Za namene poročanja po predlogi LR4 finančna podjetja pomenijo regulirana in </w:t>
            </w:r>
            <w:proofErr w:type="spellStart"/>
            <w:r>
              <w:rPr>
                <w:rFonts w:ascii="Times New Roman" w:hAnsi="Times New Roman"/>
              </w:rPr>
              <w:t>neregulirana</w:t>
            </w:r>
            <w:proofErr w:type="spellEnd"/>
            <w:r>
              <w:rPr>
                <w:rFonts w:ascii="Times New Roman" w:hAnsi="Times New Roman"/>
              </w:rPr>
              <w:t xml:space="preserve"> podjetja, razen institucij iz celice {180;10}, katerih osnovna dejavnost je pridobivanje deležev ali opravljanje ene ali več dejavnosti iz Priloge I k Direktivi 2013/36/EU, ter subjekte iz člena 4(1)(27) CRR, razen institucij iz celice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Nefinančna podjetja; od tega – vrednost izpostavljenosti količnika finančnega vzvoda – izpostavljenosti na podlagi standardiziranega pristopa</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w:t>
            </w:r>
            <w:r>
              <w:rPr>
                <w:rFonts w:ascii="Times New Roman" w:hAnsi="Times New Roman"/>
                <w:b/>
              </w:rPr>
              <w:t>ne</w:t>
            </w:r>
            <w:r>
              <w:rPr>
                <w:rFonts w:ascii="Times New Roman" w:hAnsi="Times New Roman"/>
              </w:rPr>
              <w:t xml:space="preserve">finančnih podjetij iz člena 122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{260;010} in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Nefinančna podjetja; od tega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w:t>
            </w:r>
            <w:r>
              <w:rPr>
                <w:rFonts w:ascii="Times New Roman" w:hAnsi="Times New Roman"/>
                <w:b/>
              </w:rPr>
              <w:t>ne</w:t>
            </w:r>
            <w:r>
              <w:rPr>
                <w:rFonts w:ascii="Times New Roman" w:hAnsi="Times New Roman"/>
              </w:rPr>
              <w:t xml:space="preserve">finančnih podjetij iz člena 147(2)(c)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je vsota celic {260;020} in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Nefinančna podjetja; od tega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pomenijo izpostavljenosti do </w:t>
            </w:r>
            <w:r>
              <w:rPr>
                <w:rFonts w:ascii="Times New Roman" w:hAnsi="Times New Roman"/>
                <w:b/>
              </w:rPr>
              <w:t>ne</w:t>
            </w:r>
            <w:r>
              <w:rPr>
                <w:rFonts w:ascii="Times New Roman" w:hAnsi="Times New Roman"/>
              </w:rPr>
              <w:t xml:space="preserve">finančnih podjetij iz člena 122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{260;030} in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Nefinančna podjetja; od tega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w:t>
            </w:r>
            <w:r>
              <w:rPr>
                <w:rFonts w:ascii="Times New Roman" w:hAnsi="Times New Roman"/>
                <w:b/>
              </w:rPr>
              <w:t>ne</w:t>
            </w:r>
            <w:r>
              <w:rPr>
                <w:rFonts w:ascii="Times New Roman" w:hAnsi="Times New Roman"/>
              </w:rPr>
              <w:t xml:space="preserve">finančnih podjetij iz člena 147(2)(c)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To je vsota celic {260;040} in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Izpostavljenosti do MSP – vrednost izpostavljenosti količnika finančnega vzvoda – izpostavljenosti na podlagi standardiziranega pristopa</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podjetij, in sicer malih in srednjih podjetij, iz člena 122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Za namene te celice malo in srednje podjetje ustreza opredelitvi iz člena 501(2)(b)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do MSP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podjetij iz člena 147(2)(c) CRR, če so to izpostavljenosti do malih in srednjih podjetij ter </w:t>
            </w:r>
            <w:r>
              <w:rPr>
                <w:rFonts w:ascii="Times New Roman" w:hAnsi="Times New Roman"/>
                <w:b/>
                <w:u w:val="single"/>
              </w:rPr>
              <w:t>niso</w:t>
            </w:r>
            <w:r>
              <w:rPr>
                <w:rFonts w:ascii="Times New Roman" w:hAnsi="Times New Roman"/>
              </w:rPr>
              <w:t xml:space="preserve"> zavarovane s hipotekami na nepremičnine v skladu s členom 199(1)(a)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Za namene te celice je „malo in srednje podjetje“ opredeljeno v skladu s členom 501(2)(b)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do MSP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podjetij, in sicer malih in srednjih podjetij, iz člena 122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Za namene te celice je „malo in srednje podjetje“ opredeljeno v skladu s členom 501(2)(b)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do MSP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podjetij v skladu s členom 147(2)(c) CRR, če so to izpostavljenosti do malih in srednjih podjetij ter </w:t>
            </w:r>
            <w:r>
              <w:rPr>
                <w:rFonts w:ascii="Times New Roman" w:hAnsi="Times New Roman"/>
                <w:b/>
                <w:u w:val="single"/>
              </w:rPr>
              <w:t>niso</w:t>
            </w:r>
            <w:r>
              <w:rPr>
                <w:rFonts w:ascii="Times New Roman" w:hAnsi="Times New Roman"/>
              </w:rPr>
              <w:t xml:space="preserve"> zavarovane s hipotekami na nepremičnine v skladu s členom 199(1)(a)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Za namene te celice je „malo in srednje podjetje“ opredeljeno v skladu s členom 501(2)(b)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Izpostavljenosti, ki niso izpostavljenosti do MSP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izpostavljenosti do podjetij iz člena 122 CRR ter ki niso sporočena v celicah {230;040} in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Izpostavljenosti, ki niso izpostavljenosti do MSP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Vrednost izpostavljenosti količnika finančnega vzvoda za sredstva, ki predstavljajo izpostavljenosti do podjetij iz člena 147(2)(c)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ter</w:t>
            </w:r>
            <w:bookmarkStart w:id="88" w:name="_GoBack"/>
            <w:bookmarkEnd w:id="88"/>
            <w:r>
              <w:rPr>
                <w:rFonts w:ascii="Times New Roman" w:hAnsi="Times New Roman"/>
              </w:rPr>
              <w:t xml:space="preserve"> ki niso sporočena v celicah {230;040} in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Izpostavljenosti, ki niso izpostavljenosti do MSP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podjetij iz člena 122 CRR ter niso sporočena v celicah {230;040} in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Izpostavljenosti, ki niso izpostavljenosti do MSP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izpostavljenosti do podjetij iz člena 147(2)(c) CRR, če te izpostavljenosti </w:t>
            </w:r>
            <w:r>
              <w:rPr>
                <w:rFonts w:ascii="Times New Roman" w:hAnsi="Times New Roman"/>
                <w:b/>
                <w:u w:val="single"/>
              </w:rPr>
              <w:t>niso</w:t>
            </w:r>
            <w:r>
              <w:rPr>
                <w:rFonts w:ascii="Times New Roman" w:hAnsi="Times New Roman"/>
              </w:rPr>
              <w:t xml:space="preserve"> zavarovane s hipotekami na nepremičnine v skladu s členom 199(1)(a) CRR ter niso sporočene v celicah {230;040} in </w:t>
            </w:r>
            <w:r>
              <w:rPr>
                <w:rFonts w:ascii="Times New Roman" w:hAnsi="Times New Roman"/>
              </w:rPr>
              <w:lastRenderedPageBreak/>
              <w:t xml:space="preserve">{250;040}.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Neplačane izpostavljenosti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predstavljajo neplačane izpostavljenosti iz člena 127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Neplačane izpostavljenosti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razvrščena v kategorije izpostavljenosti iz člena 147(2) CRR, če nastopi neplačilo v skladu s členom 178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Neplačane izpostavljenosti – tveganju prilagojena sredstva – izpostavljenosti na podlagi standardiziranega pristopa</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predstavljajo neplačane izpostavljenosti iz člena 127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Neplačane izpostavljenosti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razvrščena v kategorije izpostavljenosti iz člena 147(2) CRR, če nastopi neplačilo v skladu s členom 178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Druge izpostavljenosti; od tega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razvrščena v kategorije izpostavljenosti iz člena 112(k), (m), (n), (o), (p) in (q)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Institucije tukaj sporočijo sredstva, ki se odštejejo od kapitala (npr. neopredmetena sredstva), vendar se ne morejo razvrstiti drugam, tudi če taka razvrstitev ni potrebna za določitev kapitalskih zahtev na podlagi tveganja v stolpcih {*; 030} in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Druge izpostavljenosti; od tega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razvrščena v kategorije izpostavljenosti iz člena 147(2)(e), (f) in (g)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Institucije tukaj sporočijo sredstva, ki se odštejejo od kapitala (npr. neopredmetena sredstva), vendar se ne morejo razvrstiti drugam, tudi če taka razvrstitev ni potrebna za določitev kapitalskih zahtev na podlagi tveganja v stolpcih {*; 030} in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Druge izpostavljenosti; od tega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Vrednost tveganju prilagojenih izpostavljenosti za sredstva, razvrščena v kategorije izpostavljenosti iz člena 112(k), (m), (n), (o), (p) in (q)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Druge izpostavljenosti; od tega – tveganju prilagojena sredstva – izpostavljenosti na podlagi pristopa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tveganju prilagojenih izpostavljenosti za sredstva, razvrščena v kategorije izpostavljenosti iz člena 147(2)(e), (f) in (g)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Izpostavljenosti v listinjenju – vrednost izpostavljenosti količnika finančnega vzvoda – izpostavljenosti na podlagi standardiziranega pristopa</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Vrednost izpostavljenosti količnika finančnega vzvoda za sredstva, ki pomenijo izpostavljenosti v listinjenju iz člena 112(m) CRR.</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v listinjenju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za sredstva, ki pomenijo izpostavljenosti v listinjenju v skladu s členom 147(2)(f)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Izpostavljenosti v listinjenju – tveganju prilagojena sredstva – izpostavljenosti na podlagi standardiziranega pristopa</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pomenijo izpostavljenosti v listinjenju iz člena 112(m)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Izpostavljenosti v listinjenju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za sredstva, ki pomenijo izpostavljenosti v listinjenju v skladu s členom 147(2)(f)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Trgovinsko financiranje (pojasnjevalna postavka); od tega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Vrednost izpostavljenosti količnika finančnega vzvoda bilančnih postavk v zvezi s </w:t>
            </w:r>
            <w:proofErr w:type="spellStart"/>
            <w:r>
              <w:rPr>
                <w:rFonts w:ascii="Times New Roman" w:hAnsi="Times New Roman"/>
              </w:rPr>
              <w:t>posojo</w:t>
            </w:r>
            <w:proofErr w:type="spellEnd"/>
            <w:r>
              <w:rPr>
                <w:rFonts w:ascii="Times New Roman" w:hAnsi="Times New Roman"/>
              </w:rPr>
              <w:t xml:space="preserve"> blaga ali storitev izvozniku ali uvozniku prek uvoznih in izvoznih kreditov ter podobnih poslov.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Trgovinsko financiranje (pojasnjevalna postavka); od tega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Vrednost izpostavljenosti količnika finančnega vzvoda bilančnih postavk v zvezi s </w:t>
            </w:r>
            <w:proofErr w:type="spellStart"/>
            <w:r>
              <w:rPr>
                <w:rFonts w:ascii="Times New Roman" w:hAnsi="Times New Roman"/>
              </w:rPr>
              <w:t>posojo</w:t>
            </w:r>
            <w:proofErr w:type="spellEnd"/>
            <w:r>
              <w:rPr>
                <w:rFonts w:ascii="Times New Roman" w:hAnsi="Times New Roman"/>
              </w:rPr>
              <w:t xml:space="preserve"> blaga ali storitev izvozniku ali uvozniku prek uvoznih in izvoznih kreditov ter podobnih poslov.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Trgovinsko financiranje (pojasnjevalna postavka); od tega – tveganju prilagojena sredstva – </w:t>
            </w:r>
            <w:r>
              <w:rPr>
                <w:rFonts w:ascii="Times New Roman" w:hAnsi="Times New Roman"/>
                <w:b/>
              </w:rPr>
              <w:lastRenderedPageBreak/>
              <w:t>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bilančnih postavk v zvezi s </w:t>
            </w:r>
            <w:proofErr w:type="spellStart"/>
            <w:r>
              <w:rPr>
                <w:rFonts w:ascii="Times New Roman" w:hAnsi="Times New Roman"/>
              </w:rPr>
              <w:t>posojo</w:t>
            </w:r>
            <w:proofErr w:type="spellEnd"/>
            <w:r>
              <w:rPr>
                <w:rFonts w:ascii="Times New Roman" w:hAnsi="Times New Roman"/>
              </w:rPr>
              <w:t xml:space="preserve"> blaga ali storitev izvozniku ali uvozniku prek uvoznih in izvoznih kreditov ter podobnih poslov.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Trgovinsko financiranje (pojasnjevalna postavka); od tega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Znesek tveganju prilagojenih izpostavljenosti bilančnih postavk v zvezi s </w:t>
            </w:r>
            <w:proofErr w:type="spellStart"/>
            <w:r>
              <w:rPr>
                <w:rFonts w:ascii="Times New Roman" w:hAnsi="Times New Roman"/>
              </w:rPr>
              <w:t>posojo</w:t>
            </w:r>
            <w:proofErr w:type="spellEnd"/>
            <w:r>
              <w:rPr>
                <w:rFonts w:ascii="Times New Roman" w:hAnsi="Times New Roman"/>
              </w:rPr>
              <w:t xml:space="preserve"> blaga ali storitev izvozniku ali uvozniku prek uvoznih in izvoznih kreditov ter podobnih poslov.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Institucije pri poročanju odštejejo neplačane izpostavljenosti.</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okviru uradne sheme za zavarovanje izvoznih kreditov – vrednost izpostavljenosti količnika finančnega vzvoda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Vrednost izpostavljenosti količnika finančnega vzvoda bilančnih postavk iz naslova trgovinskega financiranja v okviru uradne sheme za zavarovanje izvoznih kreditov. 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okviru uradne sheme za zavarovanje izvoznih kreditov – vrednost izpostavljenosti količnika finančnega vzvoda – izpostavljenosti na podlagi pristopa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Vrednost izpostavljenosti količnika finančnega vzvoda bilančnih postavk iz naslova trgovinskega financiranja v okviru uradne sheme za zavarovanje izvoznih kreditov. 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Institucije pri poročanju odštejejo neplačane izpostavljenosti.</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okviru uradne sheme za zavarovanje izvoznih kreditov – tveganju prilagojena sredstva – izpostavljenosti na podlagi standardiziranega pristopa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Znesek tveganju prilagojenih izpostavljenosti bilančnih postavk iz naslova trgovinskega financiranja v okviru uradne sheme za zavarovanje izvoznih kreditov. 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okviru uradne sheme za zavarovanje izvoznih kreditov – tveganju prilagojena sredstva – izpostavljenosti na podlagi pristopa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Znesek tveganju prilagojenih izpostavljenosti bilančnih postavk iz naslova trgovinskega financiranja v okviru uradne sheme za zavarovanje izvoznih kreditov. Za namene poročanja po </w:t>
            </w:r>
            <w:r>
              <w:rPr>
                <w:rFonts w:ascii="Times New Roman" w:hAnsi="Times New Roman"/>
              </w:rPr>
              <w:lastRenderedPageBreak/>
              <w:t xml:space="preserve">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Institucije pri poročanju odštejejo neplačane izpostavljenosti.</w:t>
            </w:r>
          </w:p>
          <w:p w:rsidR="002509B1" w:rsidRPr="00FE002E" w:rsidRDefault="002509B1" w:rsidP="007E2A41">
            <w:pPr>
              <w:pStyle w:val="BodyText1"/>
              <w:spacing w:line="240" w:lineRule="auto"/>
              <w:rPr>
                <w:rFonts w:ascii="Times New Roman" w:hAnsi="Times New Roman"/>
                <w:b/>
                <w:bCs/>
                <w:u w:val="single"/>
              </w:rPr>
            </w:pPr>
          </w:p>
        </w:tc>
      </w:tr>
      <w:bookmarkEnd w:id="83"/>
    </w:tbl>
    <w:p w:rsidR="00217D1F" w:rsidRPr="00FE002E" w:rsidRDefault="00F4754B" w:rsidP="00500508">
      <w:pPr>
        <w:pStyle w:val="BodyText1"/>
        <w:ind w:left="357" w:hanging="357"/>
        <w:outlineLvl w:val="1"/>
        <w:rPr>
          <w:rFonts w:ascii="Times New Roman" w:hAnsi="Times New Roman"/>
          <w:b/>
        </w:rPr>
      </w:pPr>
      <w:r>
        <w:lastRenderedPageBreak/>
        <w:br w:type="page"/>
      </w:r>
      <w:bookmarkStart w:id="89" w:name="_Toc351048511"/>
      <w:bookmarkStart w:id="90" w:name="_Toc359414290"/>
      <w:bookmarkStart w:id="91" w:name="_Toc423089075"/>
      <w:bookmarkStart w:id="92" w:name="_Toc523237402"/>
      <w:r>
        <w:rPr>
          <w:rFonts w:ascii="Times New Roman" w:hAnsi="Times New Roman"/>
          <w:b/>
        </w:rPr>
        <w:lastRenderedPageBreak/>
        <w:t>9.</w:t>
      </w:r>
      <w:r>
        <w:tab/>
      </w:r>
      <w:r>
        <w:rPr>
          <w:rFonts w:ascii="Times New Roman" w:hAnsi="Times New Roman"/>
          <w:b/>
        </w:rPr>
        <w:t>C 44.00 – Splošne informacije</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V okviru te predloge se zbirajo dodatne informacije za namene razvrščanja dejavnosti institucij in regulativnih opcij, ki jih izberejo institucije.</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Vrstica </w:t>
            </w:r>
          </w:p>
          <w:p w:rsidR="00F4754B" w:rsidRPr="00FE002E" w:rsidRDefault="00F4754B" w:rsidP="00F4754B">
            <w:pPr>
              <w:pStyle w:val="BodyText1"/>
              <w:rPr>
                <w:rFonts w:ascii="Times New Roman" w:hAnsi="Times New Roman"/>
                <w:b/>
                <w:bCs/>
              </w:rPr>
            </w:pPr>
            <w:r>
              <w:rPr>
                <w:rFonts w:ascii="Times New Roman" w:hAnsi="Times New Roman"/>
                <w:b/>
              </w:rPr>
              <w:t>in stolpec</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Navodila</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Podjetniška struktura institucije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Institucija razvrsti svojo podjetniško strukturo na podlagi naslednjih kategorij:</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delniška družba,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vzajemna/zadružna institucija,</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 xml:space="preserve">druga </w:t>
            </w:r>
            <w:proofErr w:type="spellStart"/>
            <w:r>
              <w:rPr>
                <w:rFonts w:ascii="Times New Roman" w:hAnsi="Times New Roman"/>
              </w:rPr>
              <w:t>nedelniška</w:t>
            </w:r>
            <w:proofErr w:type="spellEnd"/>
            <w:r>
              <w:rPr>
                <w:rFonts w:ascii="Times New Roman" w:hAnsi="Times New Roman"/>
              </w:rPr>
              <w:t xml:space="preserve"> družba.</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Obravnava izvedenih finančnih instrumentov</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Institucija določi regulativno obravnavo izvedenih finančnih instrumentov na podlagi naslednjih kategorij:</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metoda originalne izpostavljenosti,</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metoda tekoče izpostavljenosti.</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Vrsta institucije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Institucija opredeli svojo vrsto institucije v skladu z naslednjimi kategorijami:</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univerzalno bančništvo (bančništvo na drobno/komercialno bančništvo in investicijsko bančništvo),</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bančništvo na drobno/komercialno bančništvo,</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investicijsko bančništvo,</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kreditodajalec posebnih kreditnih aranžmajev,</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drug poslovni model.</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297706">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297706">
          <w:rPr>
            <w:rFonts w:ascii="Times New Roman" w:hAnsi="Times New Roman"/>
            <w:noProof/>
            <w:sz w:val="20"/>
          </w:rPr>
          <w:t>42</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To vključuje listinjenje in izpostavljenosti iz naslova lastniških instrumentov, ki so predmet kreditnega tveganja.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97706"/>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1937"/>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9F0"/>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27161"/>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sl-S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sl-SI"/>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sl-SI"/>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sl-SI"/>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sl-SI"/>
    </w:rPr>
  </w:style>
  <w:style w:type="character" w:customStyle="1" w:styleId="Heading6Char">
    <w:name w:val="Heading 6 Char"/>
    <w:basedOn w:val="DefaultParagraphFont"/>
    <w:link w:val="Heading6"/>
    <w:rsid w:val="00F4754B"/>
    <w:rPr>
      <w:b/>
      <w:bCs/>
      <w:szCs w:val="22"/>
      <w:lang w:eastAsia="sl-SI"/>
    </w:rPr>
  </w:style>
  <w:style w:type="character" w:customStyle="1" w:styleId="Heading7Char">
    <w:name w:val="Heading 7 Char"/>
    <w:basedOn w:val="DefaultParagraphFont"/>
    <w:link w:val="Heading7"/>
    <w:rsid w:val="00F4754B"/>
    <w:rPr>
      <w:sz w:val="24"/>
      <w:szCs w:val="24"/>
      <w:lang w:eastAsia="sl-SI"/>
    </w:rPr>
  </w:style>
  <w:style w:type="character" w:customStyle="1" w:styleId="Heading8Char">
    <w:name w:val="Heading 8 Char"/>
    <w:basedOn w:val="DefaultParagraphFont"/>
    <w:link w:val="Heading8"/>
    <w:rsid w:val="00F4754B"/>
    <w:rPr>
      <w:i/>
      <w:iCs/>
      <w:sz w:val="24"/>
      <w:szCs w:val="24"/>
      <w:lang w:eastAsia="sl-SI"/>
    </w:rPr>
  </w:style>
  <w:style w:type="character" w:customStyle="1" w:styleId="Heading9Char">
    <w:name w:val="Heading 9 Char"/>
    <w:basedOn w:val="DefaultParagraphFont"/>
    <w:link w:val="Heading9"/>
    <w:rsid w:val="00F4754B"/>
    <w:rPr>
      <w:rFonts w:ascii="Verdana" w:hAnsi="Verdana" w:cs="Arial"/>
      <w:szCs w:val="22"/>
      <w:lang w:eastAsia="sl-SI"/>
    </w:rPr>
  </w:style>
  <w:style w:type="character" w:customStyle="1" w:styleId="Heading1Char">
    <w:name w:val="Heading 1 Char"/>
    <w:basedOn w:val="DefaultParagraphFont"/>
    <w:link w:val="Heading1"/>
    <w:rsid w:val="00F4754B"/>
    <w:rPr>
      <w:rFonts w:ascii="Arial" w:hAnsi="Arial"/>
      <w:color w:val="48748F" w:themeColor="accent1"/>
      <w:sz w:val="36"/>
      <w:lang w:eastAsia="sl-SI"/>
    </w:rPr>
  </w:style>
  <w:style w:type="character" w:customStyle="1" w:styleId="Heading2Char">
    <w:name w:val="Heading 2 Char"/>
    <w:basedOn w:val="DefaultParagraphFont"/>
    <w:link w:val="Heading2"/>
    <w:rsid w:val="00F4754B"/>
    <w:rPr>
      <w:rFonts w:ascii="Arial" w:hAnsi="Arial"/>
      <w:color w:val="48748F" w:themeColor="accent1"/>
      <w:sz w:val="24"/>
      <w:lang w:eastAsia="sl-SI"/>
    </w:rPr>
  </w:style>
  <w:style w:type="character" w:customStyle="1" w:styleId="Heading3Char">
    <w:name w:val="Heading 3 Char"/>
    <w:basedOn w:val="DefaultParagraphFont"/>
    <w:link w:val="Heading3"/>
    <w:rsid w:val="00F4754B"/>
    <w:rPr>
      <w:rFonts w:ascii="Arial" w:hAnsi="Arial"/>
      <w:b/>
      <w:color w:val="48748F" w:themeColor="accent1"/>
      <w:szCs w:val="22"/>
      <w:lang w:eastAsia="sl-SI"/>
    </w:rPr>
  </w:style>
  <w:style w:type="character" w:customStyle="1" w:styleId="Heading4Char">
    <w:name w:val="Heading 4 Char"/>
    <w:basedOn w:val="DefaultParagraphFont"/>
    <w:link w:val="Heading4"/>
    <w:rsid w:val="00F4754B"/>
    <w:rPr>
      <w:rFonts w:ascii="Arial" w:hAnsi="Arial"/>
      <w:color w:val="48748F" w:themeColor="accent1"/>
      <w:lang w:eastAsia="sl-SI"/>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sl-SI"/>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sl-SI"/>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sl-SI"/>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sl-SI"/>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sl-SI"/>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sl-SI"/>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sl-SI"/>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sl-SI"/>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sl-SI"/>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sl-SI" w:eastAsia="sl-SI"/>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sl-SI"/>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sl-SI" w:bidi="sl-SI"/>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sl-SI"/>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sl-SI"/>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sl-SI"/>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sl-SI"/>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sl-SI"/>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sl-S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sl-SI"/>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sl-SI"/>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sl-SI"/>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sl-SI"/>
    </w:rPr>
  </w:style>
  <w:style w:type="character" w:customStyle="1" w:styleId="Heading6Char">
    <w:name w:val="Heading 6 Char"/>
    <w:basedOn w:val="DefaultParagraphFont"/>
    <w:link w:val="Heading6"/>
    <w:rsid w:val="00F4754B"/>
    <w:rPr>
      <w:b/>
      <w:bCs/>
      <w:szCs w:val="22"/>
      <w:lang w:eastAsia="sl-SI"/>
    </w:rPr>
  </w:style>
  <w:style w:type="character" w:customStyle="1" w:styleId="Heading7Char">
    <w:name w:val="Heading 7 Char"/>
    <w:basedOn w:val="DefaultParagraphFont"/>
    <w:link w:val="Heading7"/>
    <w:rsid w:val="00F4754B"/>
    <w:rPr>
      <w:sz w:val="24"/>
      <w:szCs w:val="24"/>
      <w:lang w:eastAsia="sl-SI"/>
    </w:rPr>
  </w:style>
  <w:style w:type="character" w:customStyle="1" w:styleId="Heading8Char">
    <w:name w:val="Heading 8 Char"/>
    <w:basedOn w:val="DefaultParagraphFont"/>
    <w:link w:val="Heading8"/>
    <w:rsid w:val="00F4754B"/>
    <w:rPr>
      <w:i/>
      <w:iCs/>
      <w:sz w:val="24"/>
      <w:szCs w:val="24"/>
      <w:lang w:eastAsia="sl-SI"/>
    </w:rPr>
  </w:style>
  <w:style w:type="character" w:customStyle="1" w:styleId="Heading9Char">
    <w:name w:val="Heading 9 Char"/>
    <w:basedOn w:val="DefaultParagraphFont"/>
    <w:link w:val="Heading9"/>
    <w:rsid w:val="00F4754B"/>
    <w:rPr>
      <w:rFonts w:ascii="Verdana" w:hAnsi="Verdana" w:cs="Arial"/>
      <w:szCs w:val="22"/>
      <w:lang w:eastAsia="sl-SI"/>
    </w:rPr>
  </w:style>
  <w:style w:type="character" w:customStyle="1" w:styleId="Heading1Char">
    <w:name w:val="Heading 1 Char"/>
    <w:basedOn w:val="DefaultParagraphFont"/>
    <w:link w:val="Heading1"/>
    <w:rsid w:val="00F4754B"/>
    <w:rPr>
      <w:rFonts w:ascii="Arial" w:hAnsi="Arial"/>
      <w:color w:val="48748F" w:themeColor="accent1"/>
      <w:sz w:val="36"/>
      <w:lang w:eastAsia="sl-SI"/>
    </w:rPr>
  </w:style>
  <w:style w:type="character" w:customStyle="1" w:styleId="Heading2Char">
    <w:name w:val="Heading 2 Char"/>
    <w:basedOn w:val="DefaultParagraphFont"/>
    <w:link w:val="Heading2"/>
    <w:rsid w:val="00F4754B"/>
    <w:rPr>
      <w:rFonts w:ascii="Arial" w:hAnsi="Arial"/>
      <w:color w:val="48748F" w:themeColor="accent1"/>
      <w:sz w:val="24"/>
      <w:lang w:eastAsia="sl-SI"/>
    </w:rPr>
  </w:style>
  <w:style w:type="character" w:customStyle="1" w:styleId="Heading3Char">
    <w:name w:val="Heading 3 Char"/>
    <w:basedOn w:val="DefaultParagraphFont"/>
    <w:link w:val="Heading3"/>
    <w:rsid w:val="00F4754B"/>
    <w:rPr>
      <w:rFonts w:ascii="Arial" w:hAnsi="Arial"/>
      <w:b/>
      <w:color w:val="48748F" w:themeColor="accent1"/>
      <w:szCs w:val="22"/>
      <w:lang w:eastAsia="sl-SI"/>
    </w:rPr>
  </w:style>
  <w:style w:type="character" w:customStyle="1" w:styleId="Heading4Char">
    <w:name w:val="Heading 4 Char"/>
    <w:basedOn w:val="DefaultParagraphFont"/>
    <w:link w:val="Heading4"/>
    <w:rsid w:val="00F4754B"/>
    <w:rPr>
      <w:rFonts w:ascii="Arial" w:hAnsi="Arial"/>
      <w:color w:val="48748F" w:themeColor="accent1"/>
      <w:lang w:eastAsia="sl-SI"/>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sl-SI"/>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sl-SI"/>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sl-SI"/>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sl-SI"/>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sl-SI"/>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sl-SI"/>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sl-SI"/>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sl-SI"/>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sl-SI"/>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sl-SI" w:eastAsia="sl-SI"/>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sl-SI"/>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sl-SI" w:bidi="sl-SI"/>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sl-SI"/>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sl-SI"/>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sl-SI"/>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sl-SI"/>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sl-SI"/>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7A4D2-4C8F-48A8-AA96-729F38EACD4B}">
  <ds:schemaRefs>
    <ds:schemaRef ds:uri="http://schemas.openxmlformats.org/officeDocument/2006/bibliography"/>
  </ds:schemaRefs>
</ds:datastoreItem>
</file>

<file path=customXml/itemProps2.xml><?xml version="1.0" encoding="utf-8"?>
<ds:datastoreItem xmlns:ds="http://schemas.openxmlformats.org/officeDocument/2006/customXml" ds:itemID="{5F320F60-2878-4C01-99F4-65443E57F66D}">
  <ds:schemaRefs>
    <ds:schemaRef ds:uri="http://schemas.openxmlformats.org/officeDocument/2006/bibliography"/>
  </ds:schemaRefs>
</ds:datastoreItem>
</file>

<file path=customXml/itemProps3.xml><?xml version="1.0" encoding="utf-8"?>
<ds:datastoreItem xmlns:ds="http://schemas.openxmlformats.org/officeDocument/2006/customXml" ds:itemID="{1738812A-B871-445D-B41D-7ACE1E0BF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47</Pages>
  <Words>16348</Words>
  <Characters>110868</Characters>
  <Application>Microsoft Office Word</Application>
  <DocSecurity>0</DocSecurity>
  <Lines>923</Lines>
  <Paragraphs>253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126963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VOLAVSEK Andrej (DGT)</cp:lastModifiedBy>
  <cp:revision>15</cp:revision>
  <cp:lastPrinted>2015-04-10T08:05:00Z</cp:lastPrinted>
  <dcterms:created xsi:type="dcterms:W3CDTF">2018-02-06T16:20:00Z</dcterms:created>
  <dcterms:modified xsi:type="dcterms:W3CDTF">2018-09-03T09:26:00Z</dcterms:modified>
</cp:coreProperties>
</file>