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Pr="003E36FB" w:rsidRDefault="008934A4" w:rsidP="00A15D28">
      <w:pPr>
        <w:jc w:val="center"/>
        <w:rPr>
          <w:rFonts w:ascii="Times New Roman" w:hAnsi="Times New Roman"/>
          <w:b/>
          <w:sz w:val="24"/>
          <w:szCs w:val="24"/>
        </w:rPr>
      </w:pPr>
      <w:r w:rsidRPr="003E36FB">
        <w:rPr>
          <w:rFonts w:ascii="Times New Roman" w:hAnsi="Times New Roman"/>
          <w:b/>
          <w:sz w:val="24"/>
        </w:rPr>
        <w:t>DA</w:t>
      </w:r>
    </w:p>
    <w:p w:rsidR="008934A4" w:rsidRPr="003E36FB" w:rsidRDefault="008934A4" w:rsidP="00A15D28">
      <w:pPr>
        <w:jc w:val="center"/>
        <w:rPr>
          <w:rFonts w:ascii="Times New Roman" w:hAnsi="Times New Roman"/>
          <w:b/>
          <w:sz w:val="24"/>
          <w:szCs w:val="24"/>
        </w:rPr>
      </w:pPr>
      <w:r w:rsidRPr="003E36FB">
        <w:rPr>
          <w:rFonts w:ascii="Times New Roman" w:hAnsi="Times New Roman"/>
          <w:b/>
          <w:sz w:val="24"/>
        </w:rPr>
        <w:t>BILAG V</w:t>
      </w:r>
    </w:p>
    <w:p w:rsidR="001F0676" w:rsidRPr="003E36FB" w:rsidRDefault="001F0676" w:rsidP="00A15D28">
      <w:pPr>
        <w:jc w:val="center"/>
        <w:rPr>
          <w:rFonts w:ascii="Times New Roman" w:hAnsi="Times New Roman"/>
          <w:sz w:val="24"/>
          <w:szCs w:val="24"/>
        </w:rPr>
      </w:pPr>
    </w:p>
    <w:p w:rsidR="00BB7DB0" w:rsidRPr="003E36FB" w:rsidRDefault="00BB7DB0" w:rsidP="00A15D28">
      <w:pPr>
        <w:jc w:val="center"/>
        <w:rPr>
          <w:rFonts w:ascii="Times New Roman" w:hAnsi="Times New Roman"/>
          <w:sz w:val="24"/>
          <w:szCs w:val="24"/>
        </w:rPr>
      </w:pPr>
    </w:p>
    <w:p w:rsidR="001807E9" w:rsidRPr="003E36FB" w:rsidRDefault="001807E9" w:rsidP="00A15D28">
      <w:pPr>
        <w:jc w:val="center"/>
        <w:rPr>
          <w:rFonts w:ascii="Times New Roman" w:hAnsi="Times New Roman"/>
          <w:sz w:val="24"/>
          <w:szCs w:val="24"/>
        </w:rPr>
      </w:pPr>
    </w:p>
    <w:p w:rsidR="00A15D28" w:rsidRPr="003E36FB" w:rsidRDefault="00A15D28" w:rsidP="00A15D28">
      <w:pPr>
        <w:jc w:val="center"/>
        <w:rPr>
          <w:rFonts w:ascii="Times New Roman" w:hAnsi="Times New Roman"/>
          <w:sz w:val="28"/>
          <w:szCs w:val="28"/>
          <w:u w:val="single"/>
        </w:rPr>
      </w:pPr>
      <w:r w:rsidRPr="003E36FB">
        <w:rPr>
          <w:rFonts w:ascii="Times New Roman" w:hAnsi="Times New Roman"/>
          <w:b/>
          <w:sz w:val="24"/>
          <w:u w:val="single"/>
        </w:rPr>
        <w:t>BILAG XI</w:t>
      </w:r>
    </w:p>
    <w:p w:rsidR="00A15D28" w:rsidRPr="003E36FB" w:rsidRDefault="00A15D28" w:rsidP="00A15D28">
      <w:pPr>
        <w:jc w:val="center"/>
        <w:rPr>
          <w:rFonts w:ascii="Times New Roman" w:hAnsi="Times New Roman"/>
        </w:rPr>
      </w:pPr>
      <w:r w:rsidRPr="003E36FB">
        <w:rPr>
          <w:rFonts w:ascii="Times New Roman" w:hAnsi="Times New Roman"/>
          <w:b/>
          <w:sz w:val="24"/>
        </w:rPr>
        <w:t>INDBERETNING OM GEARING</w:t>
      </w:r>
    </w:p>
    <w:p w:rsidR="00F4754B" w:rsidRPr="003E36FB" w:rsidRDefault="00F4754B" w:rsidP="00F4754B">
      <w:pPr>
        <w:pStyle w:val="BodyText1"/>
        <w:rPr>
          <w:rFonts w:ascii="Times New Roman" w:hAnsi="Times New Roman"/>
        </w:rPr>
      </w:pPr>
    </w:p>
    <w:p w:rsidR="00A15D28" w:rsidRPr="003E36FB" w:rsidRDefault="00A15D28" w:rsidP="00F4754B">
      <w:pPr>
        <w:pStyle w:val="BodyText1"/>
        <w:rPr>
          <w:rFonts w:ascii="Times New Roman" w:hAnsi="Times New Roman"/>
        </w:rPr>
      </w:pPr>
    </w:p>
    <w:p w:rsidR="00F4754B" w:rsidRPr="003E36FB" w:rsidRDefault="00F4754B" w:rsidP="00F4754B">
      <w:pPr>
        <w:pStyle w:val="BodyText1"/>
        <w:rPr>
          <w:rFonts w:ascii="Times New Roman" w:hAnsi="Times New Roman"/>
        </w:rPr>
      </w:pPr>
    </w:p>
    <w:p w:rsidR="009112BB" w:rsidRPr="003E36FB" w:rsidRDefault="009112BB" w:rsidP="009112BB">
      <w:pPr>
        <w:pStyle w:val="BodyText1"/>
        <w:ind w:left="720"/>
        <w:rPr>
          <w:rFonts w:ascii="Times New Roman" w:hAnsi="Times New Roman"/>
        </w:rPr>
      </w:pPr>
    </w:p>
    <w:p w:rsidR="007030E2" w:rsidRDefault="007030E2">
      <w:pPr>
        <w:pStyle w:val="TOC1"/>
        <w:rPr>
          <w:rFonts w:asciiTheme="minorHAnsi" w:eastAsiaTheme="minorEastAsia" w:hAnsiTheme="minorHAnsi" w:cstheme="minorBidi"/>
          <w:color w:val="auto"/>
          <w:sz w:val="22"/>
          <w:szCs w:val="22"/>
          <w:lang w:val="en-GB" w:eastAsia="en-GB" w:bidi="ar-SA"/>
        </w:rPr>
      </w:pPr>
      <w:r w:rsidRPr="003E36FB">
        <w:rPr>
          <w:rFonts w:ascii="Times New Roman" w:hAnsi="Times New Roman"/>
          <w:b/>
        </w:rPr>
        <w:fldChar w:fldCharType="begin"/>
      </w:r>
      <w:r w:rsidR="00391EF9" w:rsidRPr="003E36FB">
        <w:rPr>
          <w:rFonts w:ascii="Times New Roman" w:hAnsi="Times New Roman"/>
          <w:b/>
        </w:rPr>
        <w:instrText xml:space="preserve"> TOC \o "1-3" \h \z \u </w:instrText>
      </w:r>
      <w:r w:rsidRPr="003E36FB">
        <w:rPr>
          <w:rFonts w:ascii="Times New Roman" w:hAnsi="Times New Roman"/>
          <w:b/>
        </w:rPr>
        <w:fldChar w:fldCharType="separate"/>
      </w:r>
      <w:hyperlink w:anchor="_Toc523918766" w:history="1">
        <w:r w:rsidRPr="008E1ACB">
          <w:rPr>
            <w:rStyle w:val="Hyperlink"/>
            <w:rFonts w:ascii="Times New Roman" w:hAnsi="Times New Roman"/>
            <w:b/>
          </w:rPr>
          <w:t>DEL I: GENERELLE INSTRUKSER</w:t>
        </w:r>
        <w:r>
          <w:rPr>
            <w:webHidden/>
          </w:rPr>
          <w:tab/>
        </w:r>
        <w:r>
          <w:rPr>
            <w:webHidden/>
          </w:rPr>
          <w:fldChar w:fldCharType="begin"/>
        </w:r>
        <w:r>
          <w:rPr>
            <w:webHidden/>
          </w:rPr>
          <w:instrText xml:space="preserve"> PAGEREF _Toc523918766 \h </w:instrText>
        </w:r>
        <w:r>
          <w:rPr>
            <w:webHidden/>
          </w:rPr>
        </w:r>
        <w:r>
          <w:rPr>
            <w:webHidden/>
          </w:rPr>
          <w:fldChar w:fldCharType="separate"/>
        </w:r>
        <w:r w:rsidR="006246CC">
          <w:rPr>
            <w:webHidden/>
          </w:rPr>
          <w:t>2</w:t>
        </w:r>
        <w:r>
          <w:rPr>
            <w:webHidden/>
          </w:rPr>
          <w:fldChar w:fldCharType="end"/>
        </w:r>
      </w:hyperlink>
    </w:p>
    <w:p w:rsidR="007030E2" w:rsidRDefault="006246CC">
      <w:pPr>
        <w:pStyle w:val="TOC2"/>
        <w:rPr>
          <w:rFonts w:asciiTheme="minorHAnsi" w:eastAsiaTheme="minorEastAsia" w:hAnsiTheme="minorHAnsi" w:cstheme="minorBidi"/>
          <w:b w:val="0"/>
          <w:smallCaps w:val="0"/>
          <w:sz w:val="22"/>
          <w:lang w:val="en-GB" w:eastAsia="en-GB" w:bidi="ar-SA"/>
        </w:rPr>
      </w:pPr>
      <w:hyperlink w:anchor="_Toc523918767" w:history="1">
        <w:r w:rsidR="007030E2" w:rsidRPr="008E1ACB">
          <w:rPr>
            <w:rStyle w:val="Hyperlink"/>
            <w:rFonts w:ascii="Times New Roman" w:hAnsi="Times New Roman"/>
          </w:rPr>
          <w:t>1.</w:t>
        </w:r>
        <w:r w:rsidR="007030E2">
          <w:rPr>
            <w:rFonts w:asciiTheme="minorHAnsi" w:eastAsiaTheme="minorEastAsia" w:hAnsiTheme="minorHAnsi" w:cstheme="minorBidi"/>
            <w:b w:val="0"/>
            <w:smallCaps w:val="0"/>
            <w:sz w:val="22"/>
            <w:lang w:val="en-GB" w:eastAsia="en-GB" w:bidi="ar-SA"/>
          </w:rPr>
          <w:tab/>
        </w:r>
        <w:r w:rsidR="007030E2" w:rsidRPr="008E1ACB">
          <w:rPr>
            <w:rStyle w:val="Hyperlink"/>
            <w:rFonts w:ascii="Times New Roman" w:hAnsi="Times New Roman"/>
          </w:rPr>
          <w:t>Skematekster og andre konventioner</w:t>
        </w:r>
        <w:r w:rsidR="007030E2">
          <w:rPr>
            <w:webHidden/>
          </w:rPr>
          <w:tab/>
        </w:r>
        <w:r w:rsidR="007030E2">
          <w:rPr>
            <w:webHidden/>
          </w:rPr>
          <w:fldChar w:fldCharType="begin"/>
        </w:r>
        <w:r w:rsidR="007030E2">
          <w:rPr>
            <w:webHidden/>
          </w:rPr>
          <w:instrText xml:space="preserve"> PAGEREF _Toc523918767 \h </w:instrText>
        </w:r>
        <w:r w:rsidR="007030E2">
          <w:rPr>
            <w:webHidden/>
          </w:rPr>
        </w:r>
        <w:r w:rsidR="007030E2">
          <w:rPr>
            <w:webHidden/>
          </w:rPr>
          <w:fldChar w:fldCharType="separate"/>
        </w:r>
        <w:r>
          <w:rPr>
            <w:webHidden/>
          </w:rPr>
          <w:t>2</w:t>
        </w:r>
        <w:r w:rsidR="007030E2">
          <w:rPr>
            <w:webHidden/>
          </w:rPr>
          <w:fldChar w:fldCharType="end"/>
        </w:r>
      </w:hyperlink>
    </w:p>
    <w:p w:rsidR="007030E2" w:rsidRDefault="006246CC">
      <w:pPr>
        <w:pStyle w:val="TOC3"/>
        <w:rPr>
          <w:rFonts w:asciiTheme="minorHAnsi" w:eastAsiaTheme="minorEastAsia" w:hAnsiTheme="minorHAnsi" w:cstheme="minorBidi"/>
          <w:smallCaps w:val="0"/>
          <w:sz w:val="22"/>
          <w:szCs w:val="22"/>
          <w:lang w:val="en-GB" w:eastAsia="en-GB" w:bidi="ar-SA"/>
        </w:rPr>
      </w:pPr>
      <w:hyperlink w:anchor="_Toc523918768" w:history="1">
        <w:r w:rsidR="007030E2" w:rsidRPr="008E1ACB">
          <w:rPr>
            <w:rStyle w:val="Hyperlink"/>
            <w:rFonts w:ascii="Times New Roman" w:hAnsi="Times New Roman"/>
            <w:b/>
          </w:rPr>
          <w:t>1.1.</w:t>
        </w:r>
        <w:r w:rsidR="007030E2">
          <w:rPr>
            <w:rFonts w:asciiTheme="minorHAnsi" w:eastAsiaTheme="minorEastAsia" w:hAnsiTheme="minorHAnsi" w:cstheme="minorBidi"/>
            <w:smallCaps w:val="0"/>
            <w:sz w:val="22"/>
            <w:szCs w:val="22"/>
            <w:lang w:val="en-GB" w:eastAsia="en-GB" w:bidi="ar-SA"/>
          </w:rPr>
          <w:tab/>
        </w:r>
        <w:r w:rsidR="007030E2" w:rsidRPr="008E1ACB">
          <w:rPr>
            <w:rStyle w:val="Hyperlink"/>
            <w:rFonts w:ascii="Times New Roman" w:hAnsi="Times New Roman"/>
            <w:b/>
          </w:rPr>
          <w:t>Skematekster</w:t>
        </w:r>
        <w:r w:rsidR="007030E2">
          <w:rPr>
            <w:webHidden/>
          </w:rPr>
          <w:tab/>
        </w:r>
        <w:r w:rsidR="007030E2">
          <w:rPr>
            <w:webHidden/>
          </w:rPr>
          <w:fldChar w:fldCharType="begin"/>
        </w:r>
        <w:r w:rsidR="007030E2">
          <w:rPr>
            <w:webHidden/>
          </w:rPr>
          <w:instrText xml:space="preserve"> PAGEREF _Toc523918768 \h </w:instrText>
        </w:r>
        <w:r w:rsidR="007030E2">
          <w:rPr>
            <w:webHidden/>
          </w:rPr>
        </w:r>
        <w:r w:rsidR="007030E2">
          <w:rPr>
            <w:webHidden/>
          </w:rPr>
          <w:fldChar w:fldCharType="separate"/>
        </w:r>
        <w:r>
          <w:rPr>
            <w:webHidden/>
          </w:rPr>
          <w:t>2</w:t>
        </w:r>
        <w:r w:rsidR="007030E2">
          <w:rPr>
            <w:webHidden/>
          </w:rPr>
          <w:fldChar w:fldCharType="end"/>
        </w:r>
      </w:hyperlink>
    </w:p>
    <w:p w:rsidR="007030E2" w:rsidRDefault="006246CC">
      <w:pPr>
        <w:pStyle w:val="TOC3"/>
        <w:rPr>
          <w:rFonts w:asciiTheme="minorHAnsi" w:eastAsiaTheme="minorEastAsia" w:hAnsiTheme="minorHAnsi" w:cstheme="minorBidi"/>
          <w:smallCaps w:val="0"/>
          <w:sz w:val="22"/>
          <w:szCs w:val="22"/>
          <w:lang w:val="en-GB" w:eastAsia="en-GB" w:bidi="ar-SA"/>
        </w:rPr>
      </w:pPr>
      <w:hyperlink w:anchor="_Toc523918769" w:history="1">
        <w:r w:rsidR="007030E2" w:rsidRPr="008E1ACB">
          <w:rPr>
            <w:rStyle w:val="Hyperlink"/>
            <w:rFonts w:ascii="Times New Roman" w:hAnsi="Times New Roman"/>
            <w:b/>
          </w:rPr>
          <w:t>1.2.</w:t>
        </w:r>
        <w:r w:rsidR="007030E2">
          <w:rPr>
            <w:rFonts w:asciiTheme="minorHAnsi" w:eastAsiaTheme="minorEastAsia" w:hAnsiTheme="minorHAnsi" w:cstheme="minorBidi"/>
            <w:smallCaps w:val="0"/>
            <w:sz w:val="22"/>
            <w:szCs w:val="22"/>
            <w:lang w:val="en-GB" w:eastAsia="en-GB" w:bidi="ar-SA"/>
          </w:rPr>
          <w:tab/>
        </w:r>
        <w:r w:rsidR="007030E2" w:rsidRPr="008E1ACB">
          <w:rPr>
            <w:rStyle w:val="Hyperlink"/>
            <w:rFonts w:ascii="Times New Roman" w:hAnsi="Times New Roman"/>
            <w:b/>
          </w:rPr>
          <w:t>Konvention for nummerering</w:t>
        </w:r>
        <w:r w:rsidR="007030E2">
          <w:rPr>
            <w:webHidden/>
          </w:rPr>
          <w:tab/>
        </w:r>
        <w:r w:rsidR="007030E2">
          <w:rPr>
            <w:webHidden/>
          </w:rPr>
          <w:fldChar w:fldCharType="begin"/>
        </w:r>
        <w:r w:rsidR="007030E2">
          <w:rPr>
            <w:webHidden/>
          </w:rPr>
          <w:instrText xml:space="preserve"> PAGEREF _Toc523918769 \h </w:instrText>
        </w:r>
        <w:r w:rsidR="007030E2">
          <w:rPr>
            <w:webHidden/>
          </w:rPr>
        </w:r>
        <w:r w:rsidR="007030E2">
          <w:rPr>
            <w:webHidden/>
          </w:rPr>
          <w:fldChar w:fldCharType="separate"/>
        </w:r>
        <w:r>
          <w:rPr>
            <w:webHidden/>
          </w:rPr>
          <w:t>2</w:t>
        </w:r>
        <w:r w:rsidR="007030E2">
          <w:rPr>
            <w:webHidden/>
          </w:rPr>
          <w:fldChar w:fldCharType="end"/>
        </w:r>
      </w:hyperlink>
    </w:p>
    <w:p w:rsidR="007030E2" w:rsidRDefault="006246CC">
      <w:pPr>
        <w:pStyle w:val="TOC3"/>
        <w:rPr>
          <w:rFonts w:asciiTheme="minorHAnsi" w:eastAsiaTheme="minorEastAsia" w:hAnsiTheme="minorHAnsi" w:cstheme="minorBidi"/>
          <w:smallCaps w:val="0"/>
          <w:sz w:val="22"/>
          <w:szCs w:val="22"/>
          <w:lang w:val="en-GB" w:eastAsia="en-GB" w:bidi="ar-SA"/>
        </w:rPr>
      </w:pPr>
      <w:hyperlink w:anchor="_Toc523918770" w:history="1">
        <w:r w:rsidR="007030E2" w:rsidRPr="008E1ACB">
          <w:rPr>
            <w:rStyle w:val="Hyperlink"/>
            <w:rFonts w:ascii="Times New Roman" w:hAnsi="Times New Roman"/>
            <w:b/>
          </w:rPr>
          <w:t>1.3.</w:t>
        </w:r>
        <w:r w:rsidR="007030E2">
          <w:rPr>
            <w:rFonts w:asciiTheme="minorHAnsi" w:eastAsiaTheme="minorEastAsia" w:hAnsiTheme="minorHAnsi" w:cstheme="minorBidi"/>
            <w:smallCaps w:val="0"/>
            <w:sz w:val="22"/>
            <w:szCs w:val="22"/>
            <w:lang w:val="en-GB" w:eastAsia="en-GB" w:bidi="ar-SA"/>
          </w:rPr>
          <w:tab/>
        </w:r>
        <w:r w:rsidR="007030E2" w:rsidRPr="008E1ACB">
          <w:rPr>
            <w:rStyle w:val="Hyperlink"/>
            <w:rFonts w:ascii="Times New Roman" w:hAnsi="Times New Roman"/>
            <w:b/>
          </w:rPr>
          <w:t>Forkortelser</w:t>
        </w:r>
        <w:r w:rsidR="007030E2">
          <w:rPr>
            <w:webHidden/>
          </w:rPr>
          <w:tab/>
        </w:r>
        <w:r w:rsidR="007030E2">
          <w:rPr>
            <w:webHidden/>
          </w:rPr>
          <w:fldChar w:fldCharType="begin"/>
        </w:r>
        <w:r w:rsidR="007030E2">
          <w:rPr>
            <w:webHidden/>
          </w:rPr>
          <w:instrText xml:space="preserve"> PAGEREF _Toc523918770 \h </w:instrText>
        </w:r>
        <w:r w:rsidR="007030E2">
          <w:rPr>
            <w:webHidden/>
          </w:rPr>
        </w:r>
        <w:r w:rsidR="007030E2">
          <w:rPr>
            <w:webHidden/>
          </w:rPr>
          <w:fldChar w:fldCharType="separate"/>
        </w:r>
        <w:r>
          <w:rPr>
            <w:webHidden/>
          </w:rPr>
          <w:t>2</w:t>
        </w:r>
        <w:r w:rsidR="007030E2">
          <w:rPr>
            <w:webHidden/>
          </w:rPr>
          <w:fldChar w:fldCharType="end"/>
        </w:r>
      </w:hyperlink>
    </w:p>
    <w:p w:rsidR="007030E2" w:rsidRDefault="006246CC">
      <w:pPr>
        <w:pStyle w:val="TOC3"/>
        <w:rPr>
          <w:rFonts w:asciiTheme="minorHAnsi" w:eastAsiaTheme="minorEastAsia" w:hAnsiTheme="minorHAnsi" w:cstheme="minorBidi"/>
          <w:smallCaps w:val="0"/>
          <w:sz w:val="22"/>
          <w:szCs w:val="22"/>
          <w:lang w:val="en-GB" w:eastAsia="en-GB" w:bidi="ar-SA"/>
        </w:rPr>
      </w:pPr>
      <w:hyperlink w:anchor="_Toc523918771" w:history="1">
        <w:r w:rsidR="007030E2" w:rsidRPr="008E1ACB">
          <w:rPr>
            <w:rStyle w:val="Hyperlink"/>
            <w:rFonts w:ascii="Times New Roman" w:hAnsi="Times New Roman"/>
            <w:b/>
          </w:rPr>
          <w:t>1.4.</w:t>
        </w:r>
        <w:r w:rsidR="007030E2">
          <w:rPr>
            <w:rFonts w:asciiTheme="minorHAnsi" w:eastAsiaTheme="minorEastAsia" w:hAnsiTheme="minorHAnsi" w:cstheme="minorBidi"/>
            <w:smallCaps w:val="0"/>
            <w:sz w:val="22"/>
            <w:szCs w:val="22"/>
            <w:lang w:val="en-GB" w:eastAsia="en-GB" w:bidi="ar-SA"/>
          </w:rPr>
          <w:tab/>
        </w:r>
        <w:r w:rsidR="007030E2" w:rsidRPr="008E1ACB">
          <w:rPr>
            <w:rStyle w:val="Hyperlink"/>
            <w:rFonts w:ascii="Times New Roman" w:hAnsi="Times New Roman"/>
            <w:b/>
          </w:rPr>
          <w:t>Konvention for tegn</w:t>
        </w:r>
        <w:r w:rsidR="007030E2">
          <w:rPr>
            <w:webHidden/>
          </w:rPr>
          <w:tab/>
        </w:r>
        <w:r w:rsidR="007030E2">
          <w:rPr>
            <w:webHidden/>
          </w:rPr>
          <w:fldChar w:fldCharType="begin"/>
        </w:r>
        <w:r w:rsidR="007030E2">
          <w:rPr>
            <w:webHidden/>
          </w:rPr>
          <w:instrText xml:space="preserve"> PAGEREF _Toc523918771 \h </w:instrText>
        </w:r>
        <w:r w:rsidR="007030E2">
          <w:rPr>
            <w:webHidden/>
          </w:rPr>
        </w:r>
        <w:r w:rsidR="007030E2">
          <w:rPr>
            <w:webHidden/>
          </w:rPr>
          <w:fldChar w:fldCharType="separate"/>
        </w:r>
        <w:r>
          <w:rPr>
            <w:webHidden/>
          </w:rPr>
          <w:t>3</w:t>
        </w:r>
        <w:r w:rsidR="007030E2">
          <w:rPr>
            <w:webHidden/>
          </w:rPr>
          <w:fldChar w:fldCharType="end"/>
        </w:r>
      </w:hyperlink>
    </w:p>
    <w:p w:rsidR="007030E2" w:rsidRDefault="006246CC">
      <w:pPr>
        <w:pStyle w:val="TOC1"/>
        <w:rPr>
          <w:rFonts w:asciiTheme="minorHAnsi" w:eastAsiaTheme="minorEastAsia" w:hAnsiTheme="minorHAnsi" w:cstheme="minorBidi"/>
          <w:color w:val="auto"/>
          <w:sz w:val="22"/>
          <w:szCs w:val="22"/>
          <w:lang w:val="en-GB" w:eastAsia="en-GB" w:bidi="ar-SA"/>
        </w:rPr>
      </w:pPr>
      <w:hyperlink w:anchor="_Toc523918772" w:history="1">
        <w:r w:rsidR="007030E2" w:rsidRPr="008E1ACB">
          <w:rPr>
            <w:rStyle w:val="Hyperlink"/>
            <w:rFonts w:ascii="Times New Roman" w:hAnsi="Times New Roman"/>
            <w:b/>
          </w:rPr>
          <w:t>DEL II: INSTRUKSER VEDRØRENDE SKEMAER</w:t>
        </w:r>
        <w:r w:rsidR="007030E2">
          <w:rPr>
            <w:webHidden/>
          </w:rPr>
          <w:tab/>
        </w:r>
        <w:r w:rsidR="007030E2">
          <w:rPr>
            <w:webHidden/>
          </w:rPr>
          <w:fldChar w:fldCharType="begin"/>
        </w:r>
        <w:r w:rsidR="007030E2">
          <w:rPr>
            <w:webHidden/>
          </w:rPr>
          <w:instrText xml:space="preserve"> PAGEREF _Toc523918772 \h </w:instrText>
        </w:r>
        <w:r w:rsidR="007030E2">
          <w:rPr>
            <w:webHidden/>
          </w:rPr>
        </w:r>
        <w:r w:rsidR="007030E2">
          <w:rPr>
            <w:webHidden/>
          </w:rPr>
          <w:fldChar w:fldCharType="separate"/>
        </w:r>
        <w:r>
          <w:rPr>
            <w:webHidden/>
          </w:rPr>
          <w:t>4</w:t>
        </w:r>
        <w:r w:rsidR="007030E2">
          <w:rPr>
            <w:webHidden/>
          </w:rPr>
          <w:fldChar w:fldCharType="end"/>
        </w:r>
      </w:hyperlink>
    </w:p>
    <w:p w:rsidR="007030E2" w:rsidRDefault="006246CC">
      <w:pPr>
        <w:pStyle w:val="TOC2"/>
        <w:rPr>
          <w:rFonts w:asciiTheme="minorHAnsi" w:eastAsiaTheme="minorEastAsia" w:hAnsiTheme="minorHAnsi" w:cstheme="minorBidi"/>
          <w:b w:val="0"/>
          <w:smallCaps w:val="0"/>
          <w:sz w:val="22"/>
          <w:lang w:val="en-GB" w:eastAsia="en-GB" w:bidi="ar-SA"/>
        </w:rPr>
      </w:pPr>
      <w:hyperlink w:anchor="_Toc523918773" w:history="1">
        <w:r w:rsidR="007030E2" w:rsidRPr="008E1ACB">
          <w:rPr>
            <w:rStyle w:val="Hyperlink"/>
            <w:rFonts w:ascii="Times New Roman" w:hAnsi="Times New Roman"/>
          </w:rPr>
          <w:t>1.</w:t>
        </w:r>
        <w:r w:rsidR="007030E2">
          <w:rPr>
            <w:rFonts w:asciiTheme="minorHAnsi" w:eastAsiaTheme="minorEastAsia" w:hAnsiTheme="minorHAnsi" w:cstheme="minorBidi"/>
            <w:b w:val="0"/>
            <w:smallCaps w:val="0"/>
            <w:sz w:val="22"/>
            <w:lang w:val="en-GB" w:eastAsia="en-GB" w:bidi="ar-SA"/>
          </w:rPr>
          <w:tab/>
        </w:r>
        <w:r w:rsidR="007030E2" w:rsidRPr="008E1ACB">
          <w:rPr>
            <w:rStyle w:val="Hyperlink"/>
            <w:rFonts w:ascii="Times New Roman" w:hAnsi="Times New Roman"/>
          </w:rPr>
          <w:t>Opbygning og hyppighed</w:t>
        </w:r>
        <w:r w:rsidR="007030E2">
          <w:rPr>
            <w:webHidden/>
          </w:rPr>
          <w:tab/>
        </w:r>
        <w:r w:rsidR="007030E2">
          <w:rPr>
            <w:webHidden/>
          </w:rPr>
          <w:fldChar w:fldCharType="begin"/>
        </w:r>
        <w:r w:rsidR="007030E2">
          <w:rPr>
            <w:webHidden/>
          </w:rPr>
          <w:instrText xml:space="preserve"> PAGEREF _Toc523918773 \h </w:instrText>
        </w:r>
        <w:r w:rsidR="007030E2">
          <w:rPr>
            <w:webHidden/>
          </w:rPr>
        </w:r>
        <w:r w:rsidR="007030E2">
          <w:rPr>
            <w:webHidden/>
          </w:rPr>
          <w:fldChar w:fldCharType="separate"/>
        </w:r>
        <w:r>
          <w:rPr>
            <w:webHidden/>
          </w:rPr>
          <w:t>4</w:t>
        </w:r>
        <w:r w:rsidR="007030E2">
          <w:rPr>
            <w:webHidden/>
          </w:rPr>
          <w:fldChar w:fldCharType="end"/>
        </w:r>
      </w:hyperlink>
    </w:p>
    <w:p w:rsidR="007030E2" w:rsidRDefault="006246CC">
      <w:pPr>
        <w:pStyle w:val="TOC2"/>
        <w:rPr>
          <w:rFonts w:asciiTheme="minorHAnsi" w:eastAsiaTheme="minorEastAsia" w:hAnsiTheme="minorHAnsi" w:cstheme="minorBidi"/>
          <w:b w:val="0"/>
          <w:smallCaps w:val="0"/>
          <w:sz w:val="22"/>
          <w:lang w:val="en-GB" w:eastAsia="en-GB" w:bidi="ar-SA"/>
        </w:rPr>
      </w:pPr>
      <w:hyperlink w:anchor="_Toc523918774" w:history="1">
        <w:r w:rsidR="007030E2" w:rsidRPr="008E1ACB">
          <w:rPr>
            <w:rStyle w:val="Hyperlink"/>
            <w:rFonts w:ascii="Times New Roman" w:hAnsi="Times New Roman"/>
          </w:rPr>
          <w:t>2.</w:t>
        </w:r>
        <w:r w:rsidR="007030E2">
          <w:rPr>
            <w:rFonts w:asciiTheme="minorHAnsi" w:eastAsiaTheme="minorEastAsia" w:hAnsiTheme="minorHAnsi" w:cstheme="minorBidi"/>
            <w:b w:val="0"/>
            <w:smallCaps w:val="0"/>
            <w:sz w:val="22"/>
            <w:lang w:val="en-GB" w:eastAsia="en-GB" w:bidi="ar-SA"/>
          </w:rPr>
          <w:tab/>
        </w:r>
        <w:r w:rsidR="007030E2" w:rsidRPr="008E1ACB">
          <w:rPr>
            <w:rStyle w:val="Hyperlink"/>
            <w:rFonts w:ascii="Times New Roman" w:hAnsi="Times New Roman"/>
          </w:rPr>
          <w:t>Formler til beregning af gearingsgrad</w:t>
        </w:r>
        <w:r w:rsidR="007030E2">
          <w:rPr>
            <w:webHidden/>
          </w:rPr>
          <w:tab/>
        </w:r>
        <w:r w:rsidR="007030E2">
          <w:rPr>
            <w:webHidden/>
          </w:rPr>
          <w:fldChar w:fldCharType="begin"/>
        </w:r>
        <w:r w:rsidR="007030E2">
          <w:rPr>
            <w:webHidden/>
          </w:rPr>
          <w:instrText xml:space="preserve"> PAGEREF _Toc523918774 \h </w:instrText>
        </w:r>
        <w:r w:rsidR="007030E2">
          <w:rPr>
            <w:webHidden/>
          </w:rPr>
        </w:r>
        <w:r w:rsidR="007030E2">
          <w:rPr>
            <w:webHidden/>
          </w:rPr>
          <w:fldChar w:fldCharType="separate"/>
        </w:r>
        <w:r>
          <w:rPr>
            <w:webHidden/>
          </w:rPr>
          <w:t>4</w:t>
        </w:r>
        <w:r w:rsidR="007030E2">
          <w:rPr>
            <w:webHidden/>
          </w:rPr>
          <w:fldChar w:fldCharType="end"/>
        </w:r>
      </w:hyperlink>
    </w:p>
    <w:p w:rsidR="007030E2" w:rsidRDefault="006246CC">
      <w:pPr>
        <w:pStyle w:val="TOC2"/>
        <w:rPr>
          <w:rFonts w:asciiTheme="minorHAnsi" w:eastAsiaTheme="minorEastAsia" w:hAnsiTheme="minorHAnsi" w:cstheme="minorBidi"/>
          <w:b w:val="0"/>
          <w:smallCaps w:val="0"/>
          <w:sz w:val="22"/>
          <w:lang w:val="en-GB" w:eastAsia="en-GB" w:bidi="ar-SA"/>
        </w:rPr>
      </w:pPr>
      <w:hyperlink w:anchor="_Toc523918775" w:history="1">
        <w:r w:rsidR="007030E2" w:rsidRPr="008E1ACB">
          <w:rPr>
            <w:rStyle w:val="Hyperlink"/>
            <w:rFonts w:ascii="Times New Roman" w:hAnsi="Times New Roman"/>
          </w:rPr>
          <w:t>3.</w:t>
        </w:r>
        <w:r w:rsidR="007030E2">
          <w:rPr>
            <w:rFonts w:asciiTheme="minorHAnsi" w:eastAsiaTheme="minorEastAsia" w:hAnsiTheme="minorHAnsi" w:cstheme="minorBidi"/>
            <w:b w:val="0"/>
            <w:smallCaps w:val="0"/>
            <w:sz w:val="22"/>
            <w:lang w:val="en-GB" w:eastAsia="en-GB" w:bidi="ar-SA"/>
          </w:rPr>
          <w:tab/>
        </w:r>
        <w:r w:rsidR="007030E2" w:rsidRPr="008E1ACB">
          <w:rPr>
            <w:rStyle w:val="Hyperlink"/>
            <w:rFonts w:ascii="Times New Roman" w:hAnsi="Times New Roman"/>
          </w:rPr>
          <w:t>Tærskelværdier for derivater</w:t>
        </w:r>
        <w:r w:rsidR="007030E2">
          <w:rPr>
            <w:webHidden/>
          </w:rPr>
          <w:tab/>
        </w:r>
        <w:r w:rsidR="007030E2">
          <w:rPr>
            <w:webHidden/>
          </w:rPr>
          <w:fldChar w:fldCharType="begin"/>
        </w:r>
        <w:r w:rsidR="007030E2">
          <w:rPr>
            <w:webHidden/>
          </w:rPr>
          <w:instrText xml:space="preserve"> PAGEREF _Toc523918775 \h </w:instrText>
        </w:r>
        <w:r w:rsidR="007030E2">
          <w:rPr>
            <w:webHidden/>
          </w:rPr>
        </w:r>
        <w:r w:rsidR="007030E2">
          <w:rPr>
            <w:webHidden/>
          </w:rPr>
          <w:fldChar w:fldCharType="separate"/>
        </w:r>
        <w:r>
          <w:rPr>
            <w:webHidden/>
          </w:rPr>
          <w:t>4</w:t>
        </w:r>
        <w:r w:rsidR="007030E2">
          <w:rPr>
            <w:webHidden/>
          </w:rPr>
          <w:fldChar w:fldCharType="end"/>
        </w:r>
      </w:hyperlink>
    </w:p>
    <w:p w:rsidR="007030E2" w:rsidRDefault="006246CC">
      <w:pPr>
        <w:pStyle w:val="TOC2"/>
        <w:rPr>
          <w:rFonts w:asciiTheme="minorHAnsi" w:eastAsiaTheme="minorEastAsia" w:hAnsiTheme="minorHAnsi" w:cstheme="minorBidi"/>
          <w:b w:val="0"/>
          <w:smallCaps w:val="0"/>
          <w:sz w:val="22"/>
          <w:lang w:val="en-GB" w:eastAsia="en-GB" w:bidi="ar-SA"/>
        </w:rPr>
      </w:pPr>
      <w:hyperlink w:anchor="_Toc523918776" w:history="1">
        <w:r w:rsidR="007030E2" w:rsidRPr="008E1ACB">
          <w:rPr>
            <w:rStyle w:val="Hyperlink"/>
            <w:rFonts w:ascii="Times New Roman" w:hAnsi="Times New Roman"/>
          </w:rPr>
          <w:t>4.</w:t>
        </w:r>
        <w:r w:rsidR="007030E2">
          <w:rPr>
            <w:rFonts w:asciiTheme="minorHAnsi" w:eastAsiaTheme="minorEastAsia" w:hAnsiTheme="minorHAnsi" w:cstheme="minorBidi"/>
            <w:b w:val="0"/>
            <w:smallCaps w:val="0"/>
            <w:sz w:val="22"/>
            <w:lang w:val="en-GB" w:eastAsia="en-GB" w:bidi="ar-SA"/>
          </w:rPr>
          <w:tab/>
        </w:r>
        <w:r w:rsidR="007030E2" w:rsidRPr="008E1ACB">
          <w:rPr>
            <w:rStyle w:val="Hyperlink"/>
            <w:rFonts w:ascii="Times New Roman" w:hAnsi="Times New Roman"/>
          </w:rPr>
          <w:t>C 47.00 — Beregning af gearingsgrad (LRCalc)</w:t>
        </w:r>
        <w:r w:rsidR="007030E2">
          <w:rPr>
            <w:webHidden/>
          </w:rPr>
          <w:tab/>
        </w:r>
        <w:r w:rsidR="007030E2">
          <w:rPr>
            <w:webHidden/>
          </w:rPr>
          <w:fldChar w:fldCharType="begin"/>
        </w:r>
        <w:r w:rsidR="007030E2">
          <w:rPr>
            <w:webHidden/>
          </w:rPr>
          <w:instrText xml:space="preserve"> PAGEREF _Toc523918776 \h </w:instrText>
        </w:r>
        <w:r w:rsidR="007030E2">
          <w:rPr>
            <w:webHidden/>
          </w:rPr>
        </w:r>
        <w:r w:rsidR="007030E2">
          <w:rPr>
            <w:webHidden/>
          </w:rPr>
          <w:fldChar w:fldCharType="separate"/>
        </w:r>
        <w:r>
          <w:rPr>
            <w:webHidden/>
          </w:rPr>
          <w:t>5</w:t>
        </w:r>
        <w:r w:rsidR="007030E2">
          <w:rPr>
            <w:webHidden/>
          </w:rPr>
          <w:fldChar w:fldCharType="end"/>
        </w:r>
      </w:hyperlink>
    </w:p>
    <w:p w:rsidR="007030E2" w:rsidRDefault="006246CC">
      <w:pPr>
        <w:pStyle w:val="TOC2"/>
        <w:rPr>
          <w:rFonts w:asciiTheme="minorHAnsi" w:eastAsiaTheme="minorEastAsia" w:hAnsiTheme="minorHAnsi" w:cstheme="minorBidi"/>
          <w:b w:val="0"/>
          <w:smallCaps w:val="0"/>
          <w:sz w:val="22"/>
          <w:lang w:val="en-GB" w:eastAsia="en-GB" w:bidi="ar-SA"/>
        </w:rPr>
      </w:pPr>
      <w:hyperlink w:anchor="_Toc523918777" w:history="1">
        <w:r w:rsidR="007030E2" w:rsidRPr="008E1ACB">
          <w:rPr>
            <w:rStyle w:val="Hyperlink"/>
            <w:rFonts w:ascii="Times New Roman" w:hAnsi="Times New Roman"/>
          </w:rPr>
          <w:t>5.</w:t>
        </w:r>
        <w:r w:rsidR="007030E2">
          <w:rPr>
            <w:rFonts w:asciiTheme="minorHAnsi" w:eastAsiaTheme="minorEastAsia" w:hAnsiTheme="minorHAnsi" w:cstheme="minorBidi"/>
            <w:b w:val="0"/>
            <w:smallCaps w:val="0"/>
            <w:sz w:val="22"/>
            <w:lang w:val="en-GB" w:eastAsia="en-GB" w:bidi="ar-SA"/>
          </w:rPr>
          <w:tab/>
        </w:r>
        <w:r w:rsidR="007030E2" w:rsidRPr="008E1ACB">
          <w:rPr>
            <w:rStyle w:val="Hyperlink"/>
            <w:rFonts w:ascii="Times New Roman" w:hAnsi="Times New Roman"/>
          </w:rPr>
          <w:t>C 40.00 — Alternativ behandling af eksponeringsmålet (LR1)</w:t>
        </w:r>
        <w:r w:rsidR="007030E2">
          <w:rPr>
            <w:webHidden/>
          </w:rPr>
          <w:tab/>
        </w:r>
        <w:r w:rsidR="007030E2">
          <w:rPr>
            <w:webHidden/>
          </w:rPr>
          <w:fldChar w:fldCharType="begin"/>
        </w:r>
        <w:r w:rsidR="007030E2">
          <w:rPr>
            <w:webHidden/>
          </w:rPr>
          <w:instrText xml:space="preserve"> PAGEREF _Toc523918777 \h </w:instrText>
        </w:r>
        <w:r w:rsidR="007030E2">
          <w:rPr>
            <w:webHidden/>
          </w:rPr>
        </w:r>
        <w:r w:rsidR="007030E2">
          <w:rPr>
            <w:webHidden/>
          </w:rPr>
          <w:fldChar w:fldCharType="separate"/>
        </w:r>
        <w:r>
          <w:rPr>
            <w:webHidden/>
          </w:rPr>
          <w:t>14</w:t>
        </w:r>
        <w:r w:rsidR="007030E2">
          <w:rPr>
            <w:webHidden/>
          </w:rPr>
          <w:fldChar w:fldCharType="end"/>
        </w:r>
      </w:hyperlink>
    </w:p>
    <w:p w:rsidR="007030E2" w:rsidRDefault="006246CC">
      <w:pPr>
        <w:pStyle w:val="TOC2"/>
        <w:rPr>
          <w:rFonts w:asciiTheme="minorHAnsi" w:eastAsiaTheme="minorEastAsia" w:hAnsiTheme="minorHAnsi" w:cstheme="minorBidi"/>
          <w:b w:val="0"/>
          <w:smallCaps w:val="0"/>
          <w:sz w:val="22"/>
          <w:lang w:val="en-GB" w:eastAsia="en-GB" w:bidi="ar-SA"/>
        </w:rPr>
      </w:pPr>
      <w:hyperlink w:anchor="_Toc523918778" w:history="1">
        <w:r w:rsidR="007030E2" w:rsidRPr="008E1ACB">
          <w:rPr>
            <w:rStyle w:val="Hyperlink"/>
            <w:rFonts w:ascii="Times New Roman" w:hAnsi="Times New Roman"/>
          </w:rPr>
          <w:t>6.</w:t>
        </w:r>
        <w:r w:rsidR="007030E2">
          <w:rPr>
            <w:rFonts w:asciiTheme="minorHAnsi" w:eastAsiaTheme="minorEastAsia" w:hAnsiTheme="minorHAnsi" w:cstheme="minorBidi"/>
            <w:b w:val="0"/>
            <w:smallCaps w:val="0"/>
            <w:sz w:val="22"/>
            <w:lang w:val="en-GB" w:eastAsia="en-GB" w:bidi="ar-SA"/>
          </w:rPr>
          <w:tab/>
        </w:r>
        <w:r w:rsidR="007030E2" w:rsidRPr="008E1ACB">
          <w:rPr>
            <w:rStyle w:val="Hyperlink"/>
            <w:rFonts w:ascii="Times New Roman" w:hAnsi="Times New Roman"/>
          </w:rPr>
          <w:t>C 41.00 — Balanceførte og ikkebalanceførte poster - yderligere opdeling af eksponeringer (LR2)</w:t>
        </w:r>
        <w:r w:rsidR="007030E2">
          <w:rPr>
            <w:webHidden/>
          </w:rPr>
          <w:tab/>
        </w:r>
        <w:r w:rsidR="007030E2">
          <w:rPr>
            <w:webHidden/>
          </w:rPr>
          <w:fldChar w:fldCharType="begin"/>
        </w:r>
        <w:r w:rsidR="007030E2">
          <w:rPr>
            <w:webHidden/>
          </w:rPr>
          <w:instrText xml:space="preserve"> PAGEREF _Toc523918778 \h </w:instrText>
        </w:r>
        <w:r w:rsidR="007030E2">
          <w:rPr>
            <w:webHidden/>
          </w:rPr>
        </w:r>
        <w:r w:rsidR="007030E2">
          <w:rPr>
            <w:webHidden/>
          </w:rPr>
          <w:fldChar w:fldCharType="separate"/>
        </w:r>
        <w:r>
          <w:rPr>
            <w:webHidden/>
          </w:rPr>
          <w:t>23</w:t>
        </w:r>
        <w:r w:rsidR="007030E2">
          <w:rPr>
            <w:webHidden/>
          </w:rPr>
          <w:fldChar w:fldCharType="end"/>
        </w:r>
      </w:hyperlink>
    </w:p>
    <w:p w:rsidR="007030E2" w:rsidRDefault="006246CC">
      <w:pPr>
        <w:pStyle w:val="TOC2"/>
        <w:rPr>
          <w:rFonts w:asciiTheme="minorHAnsi" w:eastAsiaTheme="minorEastAsia" w:hAnsiTheme="minorHAnsi" w:cstheme="minorBidi"/>
          <w:b w:val="0"/>
          <w:smallCaps w:val="0"/>
          <w:sz w:val="22"/>
          <w:lang w:val="en-GB" w:eastAsia="en-GB" w:bidi="ar-SA"/>
        </w:rPr>
      </w:pPr>
      <w:hyperlink w:anchor="_Toc523918779" w:history="1">
        <w:r w:rsidR="007030E2" w:rsidRPr="008E1ACB">
          <w:rPr>
            <w:rStyle w:val="Hyperlink"/>
            <w:rFonts w:ascii="Times New Roman" w:hAnsi="Times New Roman"/>
          </w:rPr>
          <w:t>7.</w:t>
        </w:r>
        <w:r w:rsidR="007030E2">
          <w:rPr>
            <w:rFonts w:asciiTheme="minorHAnsi" w:eastAsiaTheme="minorEastAsia" w:hAnsiTheme="minorHAnsi" w:cstheme="minorBidi"/>
            <w:b w:val="0"/>
            <w:smallCaps w:val="0"/>
            <w:sz w:val="22"/>
            <w:lang w:val="en-GB" w:eastAsia="en-GB" w:bidi="ar-SA"/>
          </w:rPr>
          <w:tab/>
        </w:r>
        <w:r w:rsidR="007030E2" w:rsidRPr="008E1ACB">
          <w:rPr>
            <w:rStyle w:val="Hyperlink"/>
            <w:rFonts w:ascii="Times New Roman" w:hAnsi="Times New Roman"/>
          </w:rPr>
          <w:t>C 42.00 — Alternativ definition af kapital (LR3)</w:t>
        </w:r>
        <w:r w:rsidR="007030E2">
          <w:rPr>
            <w:webHidden/>
          </w:rPr>
          <w:tab/>
        </w:r>
        <w:r w:rsidR="007030E2">
          <w:rPr>
            <w:webHidden/>
          </w:rPr>
          <w:fldChar w:fldCharType="begin"/>
        </w:r>
        <w:r w:rsidR="007030E2">
          <w:rPr>
            <w:webHidden/>
          </w:rPr>
          <w:instrText xml:space="preserve"> PAGEREF _Toc523918779 \h </w:instrText>
        </w:r>
        <w:r w:rsidR="007030E2">
          <w:rPr>
            <w:webHidden/>
          </w:rPr>
        </w:r>
        <w:r w:rsidR="007030E2">
          <w:rPr>
            <w:webHidden/>
          </w:rPr>
          <w:fldChar w:fldCharType="separate"/>
        </w:r>
        <w:r>
          <w:rPr>
            <w:webHidden/>
          </w:rPr>
          <w:t>25</w:t>
        </w:r>
        <w:r w:rsidR="007030E2">
          <w:rPr>
            <w:webHidden/>
          </w:rPr>
          <w:fldChar w:fldCharType="end"/>
        </w:r>
      </w:hyperlink>
    </w:p>
    <w:p w:rsidR="007030E2" w:rsidRDefault="006246CC">
      <w:pPr>
        <w:pStyle w:val="TOC2"/>
        <w:rPr>
          <w:rFonts w:asciiTheme="minorHAnsi" w:eastAsiaTheme="minorEastAsia" w:hAnsiTheme="minorHAnsi" w:cstheme="minorBidi"/>
          <w:b w:val="0"/>
          <w:smallCaps w:val="0"/>
          <w:sz w:val="22"/>
          <w:lang w:val="en-GB" w:eastAsia="en-GB" w:bidi="ar-SA"/>
        </w:rPr>
      </w:pPr>
      <w:hyperlink w:anchor="_Toc523918780" w:history="1">
        <w:r w:rsidR="007030E2" w:rsidRPr="008E1ACB">
          <w:rPr>
            <w:rStyle w:val="Hyperlink"/>
            <w:rFonts w:ascii="Times New Roman" w:hAnsi="Times New Roman"/>
          </w:rPr>
          <w:t>8.</w:t>
        </w:r>
        <w:r w:rsidR="007030E2">
          <w:rPr>
            <w:rFonts w:asciiTheme="minorHAnsi" w:eastAsiaTheme="minorEastAsia" w:hAnsiTheme="minorHAnsi" w:cstheme="minorBidi"/>
            <w:b w:val="0"/>
            <w:smallCaps w:val="0"/>
            <w:sz w:val="22"/>
            <w:lang w:val="en-GB" w:eastAsia="en-GB" w:bidi="ar-SA"/>
          </w:rPr>
          <w:tab/>
        </w:r>
        <w:r w:rsidR="007030E2" w:rsidRPr="008E1ACB">
          <w:rPr>
            <w:rStyle w:val="Hyperlink"/>
            <w:rFonts w:ascii="Times New Roman" w:hAnsi="Times New Roman"/>
          </w:rPr>
          <w:t>C 43.00 — Alternativ opdeling af komponenter af eksponeringsmålet bag gearingsgraden (LR4)</w:t>
        </w:r>
        <w:r w:rsidR="007030E2">
          <w:rPr>
            <w:webHidden/>
          </w:rPr>
          <w:tab/>
        </w:r>
        <w:r w:rsidR="007030E2">
          <w:rPr>
            <w:webHidden/>
          </w:rPr>
          <w:fldChar w:fldCharType="begin"/>
        </w:r>
        <w:r w:rsidR="007030E2">
          <w:rPr>
            <w:webHidden/>
          </w:rPr>
          <w:instrText xml:space="preserve"> PAGEREF _Toc523918780 \h </w:instrText>
        </w:r>
        <w:r w:rsidR="007030E2">
          <w:rPr>
            <w:webHidden/>
          </w:rPr>
        </w:r>
        <w:r w:rsidR="007030E2">
          <w:rPr>
            <w:webHidden/>
          </w:rPr>
          <w:fldChar w:fldCharType="separate"/>
        </w:r>
        <w:r>
          <w:rPr>
            <w:webHidden/>
          </w:rPr>
          <w:t>27</w:t>
        </w:r>
        <w:r w:rsidR="007030E2">
          <w:rPr>
            <w:webHidden/>
          </w:rPr>
          <w:fldChar w:fldCharType="end"/>
        </w:r>
      </w:hyperlink>
    </w:p>
    <w:p w:rsidR="007030E2" w:rsidRDefault="006246CC">
      <w:pPr>
        <w:pStyle w:val="TOC2"/>
        <w:rPr>
          <w:rFonts w:asciiTheme="minorHAnsi" w:eastAsiaTheme="minorEastAsia" w:hAnsiTheme="minorHAnsi" w:cstheme="minorBidi"/>
          <w:b w:val="0"/>
          <w:smallCaps w:val="0"/>
          <w:sz w:val="22"/>
          <w:lang w:val="en-GB" w:eastAsia="en-GB" w:bidi="ar-SA"/>
        </w:rPr>
      </w:pPr>
      <w:hyperlink w:anchor="_Toc523918781" w:history="1">
        <w:r w:rsidR="007030E2" w:rsidRPr="008E1ACB">
          <w:rPr>
            <w:rStyle w:val="Hyperlink"/>
            <w:rFonts w:ascii="Times New Roman" w:hAnsi="Times New Roman"/>
          </w:rPr>
          <w:t>9.</w:t>
        </w:r>
        <w:r w:rsidR="007030E2">
          <w:rPr>
            <w:rFonts w:asciiTheme="minorHAnsi" w:eastAsiaTheme="minorEastAsia" w:hAnsiTheme="minorHAnsi" w:cstheme="minorBidi"/>
            <w:b w:val="0"/>
            <w:smallCaps w:val="0"/>
            <w:sz w:val="22"/>
            <w:lang w:val="en-GB" w:eastAsia="en-GB" w:bidi="ar-SA"/>
          </w:rPr>
          <w:tab/>
        </w:r>
        <w:r w:rsidR="007030E2" w:rsidRPr="008E1ACB">
          <w:rPr>
            <w:rStyle w:val="Hyperlink"/>
            <w:rFonts w:ascii="Times New Roman" w:hAnsi="Times New Roman"/>
          </w:rPr>
          <w:t>C 44.00 — Generelle oplysninger (LR5)</w:t>
        </w:r>
        <w:r w:rsidR="007030E2">
          <w:rPr>
            <w:webHidden/>
          </w:rPr>
          <w:tab/>
        </w:r>
        <w:r w:rsidR="007030E2">
          <w:rPr>
            <w:webHidden/>
          </w:rPr>
          <w:fldChar w:fldCharType="begin"/>
        </w:r>
        <w:r w:rsidR="007030E2">
          <w:rPr>
            <w:webHidden/>
          </w:rPr>
          <w:instrText xml:space="preserve"> PAGEREF _Toc523918781 \h </w:instrText>
        </w:r>
        <w:r w:rsidR="007030E2">
          <w:rPr>
            <w:webHidden/>
          </w:rPr>
        </w:r>
        <w:r w:rsidR="007030E2">
          <w:rPr>
            <w:webHidden/>
          </w:rPr>
          <w:fldChar w:fldCharType="separate"/>
        </w:r>
        <w:r>
          <w:rPr>
            <w:webHidden/>
          </w:rPr>
          <w:t>45</w:t>
        </w:r>
        <w:r w:rsidR="007030E2">
          <w:rPr>
            <w:webHidden/>
          </w:rPr>
          <w:fldChar w:fldCharType="end"/>
        </w:r>
      </w:hyperlink>
    </w:p>
    <w:p w:rsidR="00E32D73" w:rsidRPr="003E36FB" w:rsidRDefault="007030E2">
      <w:pPr>
        <w:pStyle w:val="BodyText1"/>
        <w:rPr>
          <w:rFonts w:ascii="Times New Roman" w:eastAsiaTheme="minorEastAsia" w:hAnsi="Times New Roman"/>
          <w:color w:val="auto"/>
          <w:sz w:val="22"/>
          <w:szCs w:val="22"/>
        </w:rPr>
        <w:sectPr w:rsidR="00E32D73" w:rsidRPr="003E36FB" w:rsidSect="00DC2C28">
          <w:footerReference w:type="default" r:id="rId11"/>
          <w:headerReference w:type="first" r:id="rId12"/>
          <w:footerReference w:type="first" r:id="rId13"/>
          <w:endnotePr>
            <w:numFmt w:val="decimal"/>
          </w:endnotePr>
          <w:pgSz w:w="11906" w:h="16838" w:code="9"/>
          <w:pgMar w:top="1417" w:right="1417" w:bottom="1134" w:left="1417" w:header="720" w:footer="720" w:gutter="0"/>
          <w:cols w:space="720"/>
          <w:titlePg/>
          <w:docGrid w:linePitch="360"/>
        </w:sectPr>
      </w:pPr>
      <w:r w:rsidRPr="003E36FB">
        <w:rPr>
          <w:rFonts w:ascii="Times New Roman" w:hAnsi="Times New Roman"/>
        </w:rPr>
        <w:fldChar w:fldCharType="end"/>
      </w:r>
      <w:bookmarkStart w:id="0" w:name="_GoBack"/>
      <w:bookmarkEnd w:id="0"/>
    </w:p>
    <w:p w:rsidR="00F4754B" w:rsidRPr="003E36FB" w:rsidRDefault="00F4754B" w:rsidP="00F4754B">
      <w:pPr>
        <w:pStyle w:val="BodyText1"/>
        <w:rPr>
          <w:rFonts w:ascii="Times New Roman" w:hAnsi="Times New Roman"/>
        </w:rPr>
      </w:pPr>
    </w:p>
    <w:p w:rsidR="00217D1F" w:rsidRPr="003E36FB"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23089060"/>
      <w:bookmarkStart w:id="6" w:name="_Toc523918766"/>
      <w:r w:rsidRPr="003E36FB">
        <w:rPr>
          <w:rFonts w:ascii="Times New Roman" w:hAnsi="Times New Roman"/>
          <w:b/>
          <w:sz w:val="24"/>
        </w:rPr>
        <w:t>DEL I:</w:t>
      </w:r>
      <w:bookmarkEnd w:id="1"/>
      <w:r w:rsidRPr="003E36FB">
        <w:rPr>
          <w:rFonts w:ascii="Times New Roman" w:hAnsi="Times New Roman"/>
          <w:b/>
          <w:sz w:val="24"/>
        </w:rPr>
        <w:t xml:space="preserve"> GENERELLE INSTRUKSER</w:t>
      </w:r>
      <w:bookmarkEnd w:id="2"/>
      <w:bookmarkEnd w:id="3"/>
      <w:bookmarkEnd w:id="4"/>
      <w:bookmarkEnd w:id="5"/>
      <w:bookmarkEnd w:id="6"/>
    </w:p>
    <w:p w:rsidR="00FF2091" w:rsidRPr="003E36FB" w:rsidRDefault="00FF2091" w:rsidP="00A860E1">
      <w:pPr>
        <w:pStyle w:val="BodyText1"/>
      </w:pPr>
      <w:bookmarkStart w:id="7" w:name="_Toc351048500"/>
    </w:p>
    <w:p w:rsidR="00217D1F" w:rsidRPr="003E36FB" w:rsidRDefault="00500508" w:rsidP="00500508">
      <w:pPr>
        <w:pStyle w:val="BodyText1"/>
        <w:ind w:left="357" w:hanging="357"/>
        <w:outlineLvl w:val="1"/>
        <w:rPr>
          <w:rFonts w:ascii="Times New Roman" w:hAnsi="Times New Roman"/>
          <w:b/>
        </w:rPr>
      </w:pPr>
      <w:bookmarkStart w:id="8" w:name="_Toc322687865"/>
      <w:bookmarkStart w:id="9" w:name="_Toc359414274"/>
      <w:bookmarkStart w:id="10" w:name="_Toc423089061"/>
      <w:bookmarkStart w:id="11" w:name="_Toc523918767"/>
      <w:r w:rsidRPr="003E36FB">
        <w:rPr>
          <w:rFonts w:ascii="Times New Roman" w:hAnsi="Times New Roman"/>
          <w:b/>
        </w:rPr>
        <w:t>1.</w:t>
      </w:r>
      <w:r w:rsidRPr="003E36FB">
        <w:tab/>
      </w:r>
      <w:r w:rsidRPr="003E36FB">
        <w:rPr>
          <w:rFonts w:ascii="Times New Roman" w:hAnsi="Times New Roman"/>
          <w:b/>
        </w:rPr>
        <w:t>Skematekster og andre konventioner</w:t>
      </w:r>
      <w:bookmarkEnd w:id="7"/>
      <w:bookmarkEnd w:id="8"/>
      <w:bookmarkEnd w:id="9"/>
      <w:bookmarkEnd w:id="10"/>
      <w:bookmarkEnd w:id="11"/>
    </w:p>
    <w:p w:rsidR="00FF2091" w:rsidRPr="003E36FB" w:rsidRDefault="00FF2091" w:rsidP="00A860E1">
      <w:pPr>
        <w:pStyle w:val="BodyText1"/>
      </w:pPr>
    </w:p>
    <w:p w:rsidR="00217D1F" w:rsidRPr="003E36FB" w:rsidRDefault="00500508" w:rsidP="00500508">
      <w:pPr>
        <w:pStyle w:val="BodyText1"/>
        <w:ind w:left="357" w:hanging="357"/>
        <w:outlineLvl w:val="2"/>
        <w:rPr>
          <w:rFonts w:ascii="Times New Roman" w:hAnsi="Times New Roman"/>
          <w:b/>
        </w:rPr>
      </w:pPr>
      <w:bookmarkStart w:id="12" w:name="_Toc322687866"/>
      <w:bookmarkStart w:id="13" w:name="_Toc359414275"/>
      <w:bookmarkStart w:id="14" w:name="_Toc423089062"/>
      <w:bookmarkStart w:id="15" w:name="_Toc523918768"/>
      <w:bookmarkStart w:id="16" w:name="_Toc264038399"/>
      <w:bookmarkStart w:id="17" w:name="_Toc294018834"/>
      <w:r w:rsidRPr="003E36FB">
        <w:rPr>
          <w:rFonts w:ascii="Times New Roman" w:hAnsi="Times New Roman"/>
          <w:b/>
        </w:rPr>
        <w:t>1.1.</w:t>
      </w:r>
      <w:r w:rsidRPr="003E36FB">
        <w:tab/>
      </w:r>
      <w:r w:rsidRPr="003E36FB">
        <w:rPr>
          <w:rFonts w:ascii="Times New Roman" w:hAnsi="Times New Roman"/>
          <w:b/>
        </w:rPr>
        <w:t>Skematekster</w:t>
      </w:r>
      <w:bookmarkEnd w:id="12"/>
      <w:bookmarkEnd w:id="13"/>
      <w:bookmarkEnd w:id="14"/>
      <w:bookmarkEnd w:id="15"/>
    </w:p>
    <w:p w:rsidR="00FF2091" w:rsidRPr="003E36FB" w:rsidRDefault="00FF2091" w:rsidP="00A860E1">
      <w:pPr>
        <w:pStyle w:val="BodyText1"/>
      </w:pPr>
    </w:p>
    <w:p w:rsidR="00E22856" w:rsidRPr="003E36FB" w:rsidRDefault="00500508" w:rsidP="00500508">
      <w:pPr>
        <w:pStyle w:val="BodyText1"/>
        <w:ind w:left="720" w:hanging="360"/>
        <w:rPr>
          <w:rFonts w:ascii="Times New Roman" w:hAnsi="Times New Roman"/>
        </w:rPr>
      </w:pPr>
      <w:r w:rsidRPr="003E36FB">
        <w:rPr>
          <w:rFonts w:ascii="Times New Roman" w:hAnsi="Times New Roman"/>
        </w:rPr>
        <w:t>1.</w:t>
      </w:r>
      <w:r w:rsidRPr="003E36FB">
        <w:tab/>
      </w:r>
      <w:r w:rsidRPr="003E36FB">
        <w:rPr>
          <w:rFonts w:ascii="Times New Roman" w:hAnsi="Times New Roman"/>
        </w:rPr>
        <w:t xml:space="preserve">Dette bilag indeholder yderligere instrukser vedrørende skemaerne for gearingsgraden (herefter "LR" – </w:t>
      </w:r>
      <w:proofErr w:type="spellStart"/>
      <w:r w:rsidRPr="003E36FB">
        <w:rPr>
          <w:rFonts w:ascii="Times New Roman" w:hAnsi="Times New Roman"/>
        </w:rPr>
        <w:t>Leverage</w:t>
      </w:r>
      <w:proofErr w:type="spellEnd"/>
      <w:r w:rsidRPr="003E36FB">
        <w:rPr>
          <w:rFonts w:ascii="Times New Roman" w:hAnsi="Times New Roman"/>
        </w:rPr>
        <w:t xml:space="preserve"> Ratio) i bilag X til denne forordning. </w:t>
      </w:r>
    </w:p>
    <w:p w:rsidR="00E22856" w:rsidRPr="003E36FB" w:rsidRDefault="00E22856" w:rsidP="00E22856">
      <w:pPr>
        <w:pStyle w:val="BodyText1"/>
        <w:ind w:left="720"/>
        <w:rPr>
          <w:rFonts w:ascii="Times New Roman" w:hAnsi="Times New Roman"/>
        </w:rPr>
      </w:pPr>
    </w:p>
    <w:p w:rsidR="00F4754B" w:rsidRPr="003E36FB" w:rsidRDefault="00500508" w:rsidP="00500508">
      <w:pPr>
        <w:pStyle w:val="InstructionsText2"/>
        <w:numPr>
          <w:ilvl w:val="0"/>
          <w:numId w:val="0"/>
        </w:numPr>
        <w:ind w:left="720" w:hanging="360"/>
        <w:rPr>
          <w:rFonts w:eastAsia="Times New Roman"/>
          <w:bCs/>
          <w:szCs w:val="17"/>
        </w:rPr>
      </w:pPr>
      <w:r w:rsidRPr="003E36FB">
        <w:t>2.</w:t>
      </w:r>
      <w:r w:rsidRPr="003E36FB">
        <w:tab/>
        <w:t>Generelt består systemet af seks skemaer:</w:t>
      </w:r>
    </w:p>
    <w:p w:rsidR="00675587" w:rsidRPr="003E36FB" w:rsidRDefault="00500508" w:rsidP="00500508">
      <w:pPr>
        <w:pStyle w:val="InstructionsText2"/>
        <w:numPr>
          <w:ilvl w:val="0"/>
          <w:numId w:val="0"/>
        </w:numPr>
        <w:ind w:left="1080" w:hanging="360"/>
        <w:rPr>
          <w:rFonts w:ascii="Symbol" w:eastAsia="Times New Roman" w:hAnsi="Symbol"/>
          <w:bCs/>
          <w:szCs w:val="17"/>
        </w:rPr>
      </w:pPr>
      <w:r w:rsidRPr="003E36FB">
        <w:tab/>
        <w:t>C47.00: Beregning af gearingsgrad (</w:t>
      </w:r>
      <w:proofErr w:type="spellStart"/>
      <w:r w:rsidRPr="003E36FB">
        <w:t>LRCalc</w:t>
      </w:r>
      <w:proofErr w:type="spellEnd"/>
      <w:r w:rsidRPr="003E36FB">
        <w:t>): Beregning af gearingsgrad</w:t>
      </w:r>
    </w:p>
    <w:p w:rsidR="00675587" w:rsidRPr="003E36FB" w:rsidRDefault="00500508" w:rsidP="00500508">
      <w:pPr>
        <w:pStyle w:val="InstructionsText2"/>
        <w:numPr>
          <w:ilvl w:val="0"/>
          <w:numId w:val="0"/>
        </w:numPr>
        <w:ind w:left="1080" w:hanging="360"/>
        <w:rPr>
          <w:rFonts w:ascii="Symbol" w:eastAsia="Times New Roman" w:hAnsi="Symbol"/>
          <w:bCs/>
          <w:szCs w:val="17"/>
        </w:rPr>
      </w:pPr>
      <w:r w:rsidRPr="003E36FB">
        <w:tab/>
        <w:t>C40.00: Skema for gearingsgrad 1 (LR1): Alternativ behandling af eksponeringsmålet</w:t>
      </w:r>
    </w:p>
    <w:p w:rsidR="00675587" w:rsidRPr="003E36FB" w:rsidRDefault="00500508" w:rsidP="00500508">
      <w:pPr>
        <w:pStyle w:val="InstructionsText2"/>
        <w:numPr>
          <w:ilvl w:val="0"/>
          <w:numId w:val="0"/>
        </w:numPr>
        <w:ind w:left="1080" w:hanging="360"/>
        <w:rPr>
          <w:rFonts w:ascii="Symbol" w:eastAsia="Times New Roman" w:hAnsi="Symbol"/>
          <w:bCs/>
          <w:szCs w:val="17"/>
        </w:rPr>
      </w:pPr>
      <w:r w:rsidRPr="003E36FB">
        <w:tab/>
        <w:t>C41.00: Skema for gearingsgrad 2 (LR2): Balanceførte og ikkebalanceførte poster - yderligere opdeling af eksponeringer</w:t>
      </w:r>
    </w:p>
    <w:p w:rsidR="00675587" w:rsidRPr="003E36FB" w:rsidRDefault="00500508" w:rsidP="00500508">
      <w:pPr>
        <w:pStyle w:val="InstructionsText2"/>
        <w:numPr>
          <w:ilvl w:val="0"/>
          <w:numId w:val="0"/>
        </w:numPr>
        <w:ind w:left="1080" w:hanging="360"/>
        <w:rPr>
          <w:rFonts w:ascii="Symbol" w:eastAsia="Times New Roman" w:hAnsi="Symbol"/>
          <w:bCs/>
          <w:szCs w:val="17"/>
        </w:rPr>
      </w:pPr>
      <w:r w:rsidRPr="003E36FB">
        <w:tab/>
        <w:t>C42.00: Skema for gearingsgrad 3 (LR3): Alternativ definition af kapital</w:t>
      </w:r>
    </w:p>
    <w:p w:rsidR="00675587" w:rsidRPr="003E36FB" w:rsidRDefault="00500508" w:rsidP="00500508">
      <w:pPr>
        <w:pStyle w:val="InstructionsText2"/>
        <w:numPr>
          <w:ilvl w:val="0"/>
          <w:numId w:val="0"/>
        </w:numPr>
        <w:ind w:left="1080" w:hanging="360"/>
        <w:rPr>
          <w:rFonts w:ascii="Symbol" w:eastAsia="Times New Roman" w:hAnsi="Symbol"/>
          <w:bCs/>
          <w:szCs w:val="17"/>
        </w:rPr>
      </w:pPr>
      <w:r w:rsidRPr="003E36FB">
        <w:tab/>
        <w:t xml:space="preserve">C43.00: Skema for gearingsgrad 4 (LR4): Opdeling af komponenter af eksponeringsmålet bag gearingsgraden </w:t>
      </w:r>
    </w:p>
    <w:p w:rsidR="00675587" w:rsidRPr="003E36FB" w:rsidRDefault="00500508" w:rsidP="00500508">
      <w:pPr>
        <w:pStyle w:val="InstructionsText2"/>
        <w:numPr>
          <w:ilvl w:val="0"/>
          <w:numId w:val="0"/>
        </w:numPr>
        <w:ind w:left="1080" w:hanging="360"/>
        <w:rPr>
          <w:rFonts w:ascii="Symbol" w:eastAsia="Times New Roman" w:hAnsi="Symbol"/>
          <w:bCs/>
          <w:szCs w:val="17"/>
        </w:rPr>
      </w:pPr>
      <w:r w:rsidRPr="003E36FB">
        <w:tab/>
        <w:t>C44.00: Skema for gearingsgrad 5 (LR5): Generelle oplysninger.</w:t>
      </w:r>
    </w:p>
    <w:p w:rsidR="00F4754B" w:rsidRPr="003E36FB" w:rsidRDefault="00500508" w:rsidP="00500508">
      <w:pPr>
        <w:pStyle w:val="InstructionsText2"/>
        <w:numPr>
          <w:ilvl w:val="0"/>
          <w:numId w:val="0"/>
        </w:numPr>
        <w:ind w:left="720" w:hanging="360"/>
        <w:rPr>
          <w:rFonts w:eastAsia="Times New Roman"/>
          <w:bCs/>
          <w:szCs w:val="17"/>
        </w:rPr>
      </w:pPr>
      <w:r w:rsidRPr="003E36FB">
        <w:t>3.</w:t>
      </w:r>
      <w:r w:rsidRPr="003E36FB">
        <w:tab/>
        <w:t>For hvert skema gives der henvisninger til retsakter og yderligere detaljerede oplysninger om de mere generelle aspekter af indberetningen.</w:t>
      </w:r>
    </w:p>
    <w:p w:rsidR="00FC2664" w:rsidRPr="003E36FB" w:rsidRDefault="00FC2664" w:rsidP="007E2A41">
      <w:pPr>
        <w:pStyle w:val="BodyText1"/>
        <w:spacing w:line="240" w:lineRule="auto"/>
        <w:ind w:left="720"/>
        <w:rPr>
          <w:rFonts w:ascii="Times New Roman" w:hAnsi="Times New Roman"/>
        </w:rPr>
      </w:pPr>
    </w:p>
    <w:p w:rsidR="00217D1F" w:rsidRPr="003E36FB" w:rsidRDefault="00500508" w:rsidP="00500508">
      <w:pPr>
        <w:pStyle w:val="BodyText1"/>
        <w:ind w:left="357" w:hanging="357"/>
        <w:outlineLvl w:val="2"/>
        <w:rPr>
          <w:rFonts w:ascii="Times New Roman" w:hAnsi="Times New Roman"/>
          <w:b/>
        </w:rPr>
      </w:pPr>
      <w:bookmarkStart w:id="18" w:name="_Toc359414277"/>
      <w:bookmarkStart w:id="19" w:name="_Toc322687867"/>
      <w:bookmarkStart w:id="20" w:name="_Toc351048502"/>
      <w:bookmarkStart w:id="21" w:name="_Toc359414278"/>
      <w:bookmarkStart w:id="22" w:name="_Toc423089063"/>
      <w:bookmarkStart w:id="23" w:name="_Toc523918769"/>
      <w:bookmarkEnd w:id="18"/>
      <w:r w:rsidRPr="003E36FB">
        <w:rPr>
          <w:rFonts w:ascii="Times New Roman" w:hAnsi="Times New Roman"/>
          <w:b/>
        </w:rPr>
        <w:t>1.2.</w:t>
      </w:r>
      <w:r w:rsidRPr="003E36FB">
        <w:tab/>
      </w:r>
      <w:r w:rsidRPr="003E36FB">
        <w:rPr>
          <w:rFonts w:ascii="Times New Roman" w:hAnsi="Times New Roman"/>
          <w:b/>
        </w:rPr>
        <w:t>Konvention for nummerering</w:t>
      </w:r>
      <w:bookmarkEnd w:id="19"/>
      <w:bookmarkEnd w:id="20"/>
      <w:bookmarkEnd w:id="21"/>
      <w:bookmarkEnd w:id="22"/>
      <w:bookmarkEnd w:id="23"/>
    </w:p>
    <w:p w:rsidR="007E2A41" w:rsidRPr="003E36FB" w:rsidRDefault="007E2A41" w:rsidP="00217B44">
      <w:pPr>
        <w:pStyle w:val="BodyText1"/>
      </w:pPr>
    </w:p>
    <w:p w:rsidR="00F4754B" w:rsidRPr="003E36FB" w:rsidRDefault="00500508" w:rsidP="00500508">
      <w:pPr>
        <w:pStyle w:val="InstructionsText2"/>
        <w:numPr>
          <w:ilvl w:val="0"/>
          <w:numId w:val="0"/>
        </w:numPr>
        <w:ind w:left="720" w:hanging="360"/>
        <w:rPr>
          <w:rFonts w:eastAsia="Times New Roman"/>
          <w:bCs/>
          <w:szCs w:val="17"/>
        </w:rPr>
      </w:pPr>
      <w:r w:rsidRPr="003E36FB">
        <w:t>4.</w:t>
      </w:r>
      <w:r w:rsidRPr="003E36FB">
        <w:tab/>
        <w:t>Dokumentet følger de konventioner for tekst, der er beskrevet i de følgende afsnit, når der henvises til kolonner, rækker og celler i skemaerne. Disse numeriske koder anvendes generelt i valideringsreglerne.</w:t>
      </w:r>
    </w:p>
    <w:p w:rsidR="00F4754B" w:rsidRPr="003E36FB" w:rsidRDefault="00500508" w:rsidP="00500508">
      <w:pPr>
        <w:pStyle w:val="InstructionsText2"/>
        <w:numPr>
          <w:ilvl w:val="0"/>
          <w:numId w:val="0"/>
        </w:numPr>
        <w:ind w:left="720" w:hanging="360"/>
        <w:rPr>
          <w:rFonts w:eastAsia="Times New Roman"/>
          <w:bCs/>
          <w:szCs w:val="17"/>
        </w:rPr>
      </w:pPr>
      <w:r w:rsidRPr="003E36FB">
        <w:t>5.</w:t>
      </w:r>
      <w:r w:rsidRPr="003E36FB">
        <w:tab/>
        <w:t>Følgende generelle notation anvendes i instrukserne: {</w:t>
      </w:r>
      <w:proofErr w:type="spellStart"/>
      <w:r w:rsidRPr="003E36FB">
        <w:t>Skema;Række;Kolonne</w:t>
      </w:r>
      <w:proofErr w:type="spellEnd"/>
      <w:r w:rsidRPr="003E36FB">
        <w:t>}. En asterisk henviser til hele rækken eller kolonnen.</w:t>
      </w:r>
    </w:p>
    <w:p w:rsidR="00F4754B" w:rsidRPr="003E36FB" w:rsidRDefault="00500508" w:rsidP="00500508">
      <w:pPr>
        <w:pStyle w:val="InstructionsText2"/>
        <w:numPr>
          <w:ilvl w:val="0"/>
          <w:numId w:val="0"/>
        </w:numPr>
        <w:ind w:left="720" w:hanging="360"/>
        <w:rPr>
          <w:rFonts w:eastAsia="Times New Roman"/>
          <w:bCs/>
          <w:szCs w:val="17"/>
        </w:rPr>
      </w:pPr>
      <w:r w:rsidRPr="003E36FB">
        <w:t>6.</w:t>
      </w:r>
      <w:r w:rsidRPr="003E36FB">
        <w:tab/>
        <w:t>Ved valideringer i et skema, hvor kun datapunkter fra skemaet anvendes, henviser notationer ikke til et skema: {</w:t>
      </w:r>
      <w:proofErr w:type="spellStart"/>
      <w:r w:rsidRPr="003E36FB">
        <w:t>Række;Kolonne</w:t>
      </w:r>
      <w:proofErr w:type="spellEnd"/>
      <w:r w:rsidRPr="003E36FB">
        <w:t>}.</w:t>
      </w:r>
    </w:p>
    <w:p w:rsidR="00F4754B" w:rsidRPr="003E36FB" w:rsidRDefault="00500508" w:rsidP="00500508">
      <w:pPr>
        <w:pStyle w:val="InstructionsText2"/>
        <w:numPr>
          <w:ilvl w:val="0"/>
          <w:numId w:val="0"/>
        </w:numPr>
        <w:ind w:left="720" w:hanging="360"/>
        <w:rPr>
          <w:rFonts w:eastAsia="Times New Roman"/>
          <w:bCs/>
          <w:szCs w:val="17"/>
        </w:rPr>
      </w:pPr>
      <w:r w:rsidRPr="003E36FB">
        <w:t>7.</w:t>
      </w:r>
      <w:r w:rsidRPr="003E36FB">
        <w:tab/>
        <w:t xml:space="preserve">Med henblik på indberetning af gearing henviser "heraf" til en post, der er en del af en kategori på et højere eksponeringsniveau, mens "memorandumpost" henviser til en separat post, der ikke er en del af en eksponeringsklasse. Indberetning af begge typer celler er obligatorisk, medmindre andet angives. </w:t>
      </w:r>
    </w:p>
    <w:p w:rsidR="001D6F2F" w:rsidRPr="003E36FB" w:rsidRDefault="00500508" w:rsidP="00500508">
      <w:pPr>
        <w:pStyle w:val="BodyText1"/>
        <w:ind w:left="357" w:hanging="357"/>
        <w:outlineLvl w:val="2"/>
        <w:rPr>
          <w:rFonts w:ascii="Times New Roman" w:hAnsi="Times New Roman"/>
          <w:b/>
        </w:rPr>
      </w:pPr>
      <w:bookmarkStart w:id="24" w:name="_Toc423089064"/>
      <w:bookmarkStart w:id="25" w:name="_Toc523918770"/>
      <w:r w:rsidRPr="003E36FB">
        <w:rPr>
          <w:rFonts w:ascii="Times New Roman" w:hAnsi="Times New Roman"/>
          <w:b/>
        </w:rPr>
        <w:t>1.3.</w:t>
      </w:r>
      <w:r w:rsidRPr="003E36FB">
        <w:tab/>
      </w:r>
      <w:r w:rsidRPr="003E36FB">
        <w:rPr>
          <w:rFonts w:ascii="Times New Roman" w:hAnsi="Times New Roman"/>
          <w:b/>
        </w:rPr>
        <w:t>Forkortelser</w:t>
      </w:r>
      <w:bookmarkEnd w:id="24"/>
      <w:bookmarkEnd w:id="25"/>
    </w:p>
    <w:p w:rsidR="001D6F2F" w:rsidRPr="003E36FB" w:rsidRDefault="001D6F2F" w:rsidP="001D6F2F">
      <w:pPr>
        <w:pStyle w:val="BodyText1"/>
      </w:pPr>
      <w:bookmarkStart w:id="26" w:name="_Toc359414279"/>
      <w:bookmarkStart w:id="27" w:name="_Toc322687868"/>
      <w:bookmarkStart w:id="28" w:name="_Toc351048503"/>
      <w:bookmarkStart w:id="29" w:name="_Toc359414280"/>
      <w:bookmarkEnd w:id="26"/>
    </w:p>
    <w:p w:rsidR="00627E07" w:rsidRPr="003E36FB" w:rsidRDefault="00500508" w:rsidP="00500508">
      <w:pPr>
        <w:pStyle w:val="InstructionsText2"/>
        <w:numPr>
          <w:ilvl w:val="0"/>
          <w:numId w:val="0"/>
        </w:numPr>
        <w:ind w:left="720" w:hanging="360"/>
        <w:rPr>
          <w:rFonts w:eastAsia="Times New Roman"/>
          <w:bCs/>
          <w:szCs w:val="17"/>
        </w:rPr>
      </w:pPr>
      <w:r w:rsidRPr="003E36FB">
        <w:t>8.</w:t>
      </w:r>
      <w:r w:rsidRPr="003E36FB">
        <w:tab/>
        <w:t>I dette bilag og de tilhørende skemaer anvendes følgende forkortelser:</w:t>
      </w:r>
    </w:p>
    <w:p w:rsidR="00627E07" w:rsidRPr="003E36FB" w:rsidRDefault="00500508" w:rsidP="00500508">
      <w:pPr>
        <w:pStyle w:val="InstructionsText2"/>
        <w:numPr>
          <w:ilvl w:val="0"/>
          <w:numId w:val="0"/>
        </w:numPr>
        <w:ind w:left="1440" w:hanging="360"/>
        <w:rPr>
          <w:rFonts w:eastAsia="Times New Roman"/>
          <w:bCs/>
          <w:szCs w:val="17"/>
        </w:rPr>
      </w:pPr>
      <w:r w:rsidRPr="003E36FB">
        <w:t>a.</w:t>
      </w:r>
      <w:r w:rsidRPr="003E36FB">
        <w:tab/>
        <w:t>CRR, som er forkortelsen for kapitalkravsforordningen, dvs. forordning (EU) nr. 575/2013.</w:t>
      </w:r>
    </w:p>
    <w:p w:rsidR="00627E07" w:rsidRPr="003E36FB" w:rsidRDefault="00500508" w:rsidP="00500508">
      <w:pPr>
        <w:pStyle w:val="InstructionsText2"/>
        <w:numPr>
          <w:ilvl w:val="0"/>
          <w:numId w:val="0"/>
        </w:numPr>
        <w:ind w:left="1440" w:hanging="360"/>
        <w:rPr>
          <w:rFonts w:eastAsia="Times New Roman"/>
          <w:bCs/>
          <w:szCs w:val="17"/>
        </w:rPr>
      </w:pPr>
      <w:r w:rsidRPr="003E36FB">
        <w:t>b.</w:t>
      </w:r>
      <w:r w:rsidRPr="003E36FB">
        <w:tab/>
        <w:t>SFT, som er forkortelsen for værdipapirfinansieringstransaktion og betyder "genkøbstransaktion, ud- og indlån af værdipapirer eller råvarer, terminsforretning og margenlån", jf. forordning (EU) nr. 575/2013.</w:t>
      </w:r>
    </w:p>
    <w:p w:rsidR="008E7068" w:rsidRPr="003E36FB" w:rsidRDefault="00500508" w:rsidP="00500508">
      <w:pPr>
        <w:pStyle w:val="InstructionsText2"/>
        <w:numPr>
          <w:ilvl w:val="0"/>
          <w:numId w:val="0"/>
        </w:numPr>
        <w:ind w:left="1440" w:hanging="360"/>
        <w:rPr>
          <w:rFonts w:eastAsia="Times New Roman"/>
          <w:bCs/>
          <w:szCs w:val="17"/>
        </w:rPr>
      </w:pPr>
      <w:r w:rsidRPr="003E36FB">
        <w:lastRenderedPageBreak/>
        <w:t>c.</w:t>
      </w:r>
      <w:r w:rsidRPr="003E36FB">
        <w:tab/>
        <w:t>CRM, som er forkortelsen for kreditrisikoreduktion.</w:t>
      </w:r>
    </w:p>
    <w:p w:rsidR="00217D1F" w:rsidRPr="003E36FB" w:rsidRDefault="00500508" w:rsidP="00500508">
      <w:pPr>
        <w:pStyle w:val="BodyText1"/>
        <w:ind w:left="357" w:hanging="357"/>
        <w:outlineLvl w:val="2"/>
        <w:rPr>
          <w:rFonts w:ascii="Times New Roman" w:hAnsi="Times New Roman"/>
          <w:b/>
        </w:rPr>
      </w:pPr>
      <w:bookmarkStart w:id="30" w:name="_Toc423089065"/>
      <w:bookmarkStart w:id="31" w:name="_Toc523918771"/>
      <w:r w:rsidRPr="003E36FB">
        <w:rPr>
          <w:rFonts w:ascii="Times New Roman" w:hAnsi="Times New Roman"/>
          <w:b/>
        </w:rPr>
        <w:t>1.4.</w:t>
      </w:r>
      <w:r w:rsidRPr="003E36FB">
        <w:tab/>
      </w:r>
      <w:r w:rsidRPr="003E36FB">
        <w:rPr>
          <w:rFonts w:ascii="Times New Roman" w:hAnsi="Times New Roman"/>
          <w:b/>
        </w:rPr>
        <w:t>Konvention for tegn</w:t>
      </w:r>
      <w:bookmarkEnd w:id="16"/>
      <w:bookmarkEnd w:id="17"/>
      <w:bookmarkEnd w:id="27"/>
      <w:bookmarkEnd w:id="28"/>
      <w:bookmarkEnd w:id="29"/>
      <w:bookmarkEnd w:id="30"/>
      <w:bookmarkEnd w:id="31"/>
    </w:p>
    <w:p w:rsidR="00FF2091" w:rsidRPr="003E36FB" w:rsidRDefault="00FF2091" w:rsidP="007C2D57">
      <w:pPr>
        <w:pStyle w:val="BodyText1"/>
      </w:pPr>
    </w:p>
    <w:p w:rsidR="00B90CB5" w:rsidRPr="003E36FB" w:rsidRDefault="00500508" w:rsidP="00500508">
      <w:pPr>
        <w:pStyle w:val="InstructionsText2"/>
        <w:numPr>
          <w:ilvl w:val="0"/>
          <w:numId w:val="0"/>
        </w:numPr>
        <w:ind w:left="720" w:hanging="360"/>
        <w:rPr>
          <w:rFonts w:eastAsia="Times New Roman"/>
          <w:bCs/>
          <w:szCs w:val="17"/>
        </w:rPr>
      </w:pPr>
      <w:bookmarkStart w:id="32" w:name="_Toc322687869"/>
      <w:r w:rsidRPr="003E36FB">
        <w:t>9.</w:t>
      </w:r>
      <w:r w:rsidRPr="003E36FB">
        <w:tab/>
        <w:t>Alle beløb indberettes som positive tal.</w:t>
      </w:r>
      <w:bookmarkStart w:id="33" w:name="_Toc264033192"/>
      <w:bookmarkEnd w:id="33"/>
      <w:r w:rsidRPr="003E36FB">
        <w:t xml:space="preserve"> En undtagelse er beløbene indberettet i {LRCalc;050;010}, {LRCalc;070;010}, {LRCalc;080;010}, {LRCalc;100;010}, {LRCalc;120;010}, {LRCalc;140;010}, {LRCalc;210;010}, {LRCalc;220;010}, {LRCalc;240;010}, {LRCalc;250;010}, {LRCalc;260;010}, {LRCalc;310;010}, {LRCalc;320;010}, {LRCalc;270;010}, {LRCalc;280;010}, {LRCalc;330;010}, {LRCalc;340;010}, {LR3;010;010}, {LR3;020;010}, {LR3;030;010}, {LR3;040;010}, {LR3;055;010}, {LR3;065;010}, {LR3;075;010} og {LR3;085;010}. Bemærk i den forbindelse, at {LRCalc;050;010}, {LRCalc;070;010}, {LRCalc;080;010}, {LRCalc;100;010}, {LRCalc;120;010}, {LRCalc;140;010}, {LRCalc;210;010}, {LRCalc;220;010}, {LRCalc;240;010}, {LRCalc;250;010}, {LRCalc;260;010}, {LRCalc;270;010}, {LRCalc;280;010}, {LR3;055;010}, {LR3;065;010}, {LR3;075;010} og {LR3;085;010} kun kan indeholde negative værdier. Bemærk også, at {LRCalc;310;010}, {LRCalc;320;010}, {LRCalc;330;010}, {LRCalc;340;010}, {LR3;010;010}, {LR3;020;010}, {LR3;030;010}og {LR3;040;010} kun kan indeholde positive værdier, medmindre særlige forhold gør sig gældende.</w:t>
      </w:r>
    </w:p>
    <w:p w:rsidR="001F28C3" w:rsidRPr="003E36FB" w:rsidRDefault="001F28C3" w:rsidP="00FD2C06">
      <w:pPr>
        <w:pStyle w:val="InstructionsText2"/>
        <w:numPr>
          <w:ilvl w:val="0"/>
          <w:numId w:val="0"/>
        </w:numPr>
        <w:ind w:left="720"/>
        <w:rPr>
          <w:rFonts w:eastAsia="Times New Roman"/>
          <w:bCs/>
          <w:szCs w:val="17"/>
        </w:rPr>
      </w:pPr>
    </w:p>
    <w:p w:rsidR="00217D1F" w:rsidRPr="003E36FB" w:rsidRDefault="00F4754B" w:rsidP="00217D1F">
      <w:pPr>
        <w:pStyle w:val="BodyText1"/>
        <w:outlineLvl w:val="0"/>
        <w:rPr>
          <w:rFonts w:ascii="Times New Roman" w:hAnsi="Times New Roman"/>
          <w:b/>
          <w:sz w:val="24"/>
          <w:szCs w:val="24"/>
        </w:rPr>
      </w:pPr>
      <w:r w:rsidRPr="003E36FB">
        <w:br w:type="page"/>
      </w:r>
      <w:bookmarkStart w:id="34" w:name="_Toc351048504"/>
      <w:bookmarkStart w:id="35" w:name="_Toc359414281"/>
      <w:bookmarkStart w:id="36" w:name="_Toc423089066"/>
      <w:bookmarkStart w:id="37" w:name="_Toc523918772"/>
      <w:r w:rsidRPr="003E36FB">
        <w:rPr>
          <w:rFonts w:ascii="Times New Roman" w:hAnsi="Times New Roman"/>
          <w:b/>
          <w:sz w:val="24"/>
        </w:rPr>
        <w:lastRenderedPageBreak/>
        <w:t>DEL II: INSTRUKSER VEDRØRENDE SKEMAER</w:t>
      </w:r>
      <w:bookmarkEnd w:id="32"/>
      <w:bookmarkEnd w:id="34"/>
      <w:bookmarkEnd w:id="35"/>
      <w:bookmarkEnd w:id="36"/>
      <w:bookmarkEnd w:id="37"/>
    </w:p>
    <w:p w:rsidR="00D91BC3" w:rsidRPr="003E36FB" w:rsidRDefault="00D91BC3" w:rsidP="00217B44">
      <w:pPr>
        <w:pStyle w:val="BodyText1"/>
      </w:pPr>
    </w:p>
    <w:p w:rsidR="00217D1F" w:rsidRPr="003E36FB" w:rsidRDefault="00500508" w:rsidP="00500508">
      <w:pPr>
        <w:pStyle w:val="BodyText1"/>
        <w:ind w:left="357" w:hanging="357"/>
        <w:outlineLvl w:val="1"/>
        <w:rPr>
          <w:rFonts w:ascii="Times New Roman" w:hAnsi="Times New Roman"/>
          <w:b/>
        </w:rPr>
      </w:pPr>
      <w:bookmarkStart w:id="38" w:name="_Toc359414282"/>
      <w:bookmarkStart w:id="39" w:name="_Toc423089067"/>
      <w:bookmarkStart w:id="40" w:name="_Toc523918773"/>
      <w:bookmarkStart w:id="41" w:name="_Toc322631544"/>
      <w:bookmarkStart w:id="42" w:name="_Toc322687870"/>
      <w:r w:rsidRPr="003E36FB">
        <w:rPr>
          <w:rFonts w:ascii="Times New Roman" w:hAnsi="Times New Roman"/>
          <w:b/>
        </w:rPr>
        <w:t>1.</w:t>
      </w:r>
      <w:r w:rsidRPr="003E36FB">
        <w:tab/>
      </w:r>
      <w:r w:rsidRPr="003E36FB">
        <w:rPr>
          <w:rFonts w:ascii="Times New Roman" w:hAnsi="Times New Roman"/>
          <w:b/>
        </w:rPr>
        <w:t>Opbygning og hyppighed</w:t>
      </w:r>
      <w:bookmarkEnd w:id="38"/>
      <w:bookmarkEnd w:id="39"/>
      <w:bookmarkEnd w:id="40"/>
      <w:r w:rsidRPr="003E36FB">
        <w:rPr>
          <w:rFonts w:ascii="Times New Roman" w:hAnsi="Times New Roman"/>
          <w:b/>
        </w:rPr>
        <w:t xml:space="preserve"> </w:t>
      </w:r>
      <w:bookmarkEnd w:id="41"/>
      <w:bookmarkEnd w:id="42"/>
    </w:p>
    <w:p w:rsidR="00D91BC3" w:rsidRPr="003E36FB" w:rsidRDefault="00D91BC3" w:rsidP="00217B44">
      <w:pPr>
        <w:pStyle w:val="BodyText1"/>
      </w:pPr>
    </w:p>
    <w:p w:rsidR="00F4754B" w:rsidRPr="003E36FB" w:rsidRDefault="00500508" w:rsidP="00500508">
      <w:pPr>
        <w:pStyle w:val="BodyText1"/>
        <w:spacing w:line="240" w:lineRule="auto"/>
        <w:ind w:left="720" w:hanging="360"/>
        <w:rPr>
          <w:rFonts w:ascii="Times New Roman" w:hAnsi="Times New Roman"/>
        </w:rPr>
      </w:pPr>
      <w:bookmarkStart w:id="43" w:name="_Toc322533849"/>
      <w:r w:rsidRPr="003E36FB">
        <w:rPr>
          <w:rFonts w:ascii="Times New Roman" w:hAnsi="Times New Roman"/>
        </w:rPr>
        <w:t>1.</w:t>
      </w:r>
      <w:r w:rsidRPr="003E36FB">
        <w:tab/>
      </w:r>
      <w:r w:rsidRPr="003E36FB">
        <w:rPr>
          <w:rFonts w:ascii="Times New Roman" w:hAnsi="Times New Roman"/>
        </w:rPr>
        <w:t>Skemaet for gearingsgrad er opdelt i to dele. Del A omfatter alle de oplysninger, der indgår i beregningen af gearingsgraden, som institutter skal indgive til de kompetente myndigheder i henhold til artikel 430, stk. 1, første afsnit, i CRR, mens del B omfatter alle de oplysninger, som institutter skal indgive i henhold til artikel 430, stk. 1, andet afsnit, i CRR (dvs. med henblik på den rapport, der er nævnt i artikel 511 i CRR).</w:t>
      </w:r>
    </w:p>
    <w:p w:rsidR="00FC2664" w:rsidRPr="003E36FB" w:rsidRDefault="00FC2664" w:rsidP="00F4754B">
      <w:pPr>
        <w:pStyle w:val="BodyText1"/>
        <w:rPr>
          <w:rFonts w:ascii="Times New Roman" w:hAnsi="Times New Roman"/>
        </w:rPr>
      </w:pPr>
    </w:p>
    <w:p w:rsidR="00FF2091"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2.</w:t>
      </w:r>
      <w:r w:rsidRPr="003E36FB">
        <w:tab/>
      </w:r>
      <w:r w:rsidRPr="003E36FB">
        <w:rPr>
          <w:rFonts w:ascii="Times New Roman" w:hAnsi="Times New Roman"/>
        </w:rPr>
        <w:t>Når oplysningerne til denne gennemførelsesmæssige tekniske standard indsamles, skal institutterne behandle aktiver under forvaltning (</w:t>
      </w:r>
      <w:proofErr w:type="spellStart"/>
      <w:r w:rsidRPr="003E36FB">
        <w:rPr>
          <w:rFonts w:ascii="Times New Roman" w:hAnsi="Times New Roman"/>
        </w:rPr>
        <w:t>fiduciary</w:t>
      </w:r>
      <w:proofErr w:type="spellEnd"/>
      <w:r w:rsidRPr="003E36FB">
        <w:rPr>
          <w:rFonts w:ascii="Times New Roman" w:hAnsi="Times New Roman"/>
        </w:rPr>
        <w:t xml:space="preserve"> assets) i overensstemmelse med artikel 429, stk. 13, i CRR.</w:t>
      </w:r>
    </w:p>
    <w:p w:rsidR="00FC2664" w:rsidRPr="003E36FB" w:rsidRDefault="00FC2664" w:rsidP="00F4754B">
      <w:pPr>
        <w:pStyle w:val="BodyText1"/>
        <w:rPr>
          <w:rFonts w:ascii="Times New Roman" w:hAnsi="Times New Roman"/>
        </w:rPr>
      </w:pPr>
    </w:p>
    <w:p w:rsidR="00505096" w:rsidRPr="003E36FB" w:rsidRDefault="00500508" w:rsidP="00500508">
      <w:pPr>
        <w:pStyle w:val="BodyText1"/>
        <w:ind w:left="357" w:hanging="357"/>
        <w:outlineLvl w:val="1"/>
        <w:rPr>
          <w:rFonts w:ascii="Times New Roman" w:hAnsi="Times New Roman"/>
          <w:b/>
        </w:rPr>
      </w:pPr>
      <w:bookmarkStart w:id="44" w:name="_Toc359414283"/>
      <w:bookmarkStart w:id="45" w:name="_Toc423089068"/>
      <w:bookmarkStart w:id="46" w:name="_Toc523918774"/>
      <w:r w:rsidRPr="003E36FB">
        <w:rPr>
          <w:rFonts w:ascii="Times New Roman" w:hAnsi="Times New Roman"/>
          <w:b/>
        </w:rPr>
        <w:t>2.</w:t>
      </w:r>
      <w:r w:rsidRPr="003E36FB">
        <w:tab/>
      </w:r>
      <w:r w:rsidRPr="003E36FB">
        <w:rPr>
          <w:rFonts w:ascii="Times New Roman" w:hAnsi="Times New Roman"/>
          <w:b/>
        </w:rPr>
        <w:t>Formler til beregning af gearingsgrad</w:t>
      </w:r>
      <w:bookmarkEnd w:id="44"/>
      <w:bookmarkEnd w:id="45"/>
      <w:bookmarkEnd w:id="46"/>
    </w:p>
    <w:p w:rsidR="00B9185D" w:rsidRPr="003E36FB" w:rsidRDefault="00B9185D" w:rsidP="00FF2091">
      <w:pPr>
        <w:pStyle w:val="BodyText1"/>
        <w:spacing w:line="240" w:lineRule="auto"/>
        <w:rPr>
          <w:rFonts w:ascii="Times New Roman" w:hAnsi="Times New Roman"/>
        </w:rPr>
      </w:pPr>
    </w:p>
    <w:p w:rsidR="00505096"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3.</w:t>
      </w:r>
      <w:r w:rsidRPr="003E36FB">
        <w:tab/>
      </w:r>
      <w:r w:rsidRPr="003E36FB">
        <w:rPr>
          <w:rFonts w:ascii="Times New Roman" w:hAnsi="Times New Roman"/>
        </w:rPr>
        <w:t xml:space="preserve">Gearingsgraden er baseret på et kapitalmål og et samlet eksponeringsmål, som kan beregnes ved hjælp af cellerne i del A. </w:t>
      </w:r>
    </w:p>
    <w:p w:rsidR="00FC2664" w:rsidRPr="003E36FB" w:rsidRDefault="00FC2664" w:rsidP="007E2A41">
      <w:pPr>
        <w:pStyle w:val="BodyText1"/>
        <w:spacing w:line="240" w:lineRule="auto"/>
        <w:rPr>
          <w:rFonts w:ascii="Times New Roman" w:hAnsi="Times New Roman"/>
        </w:rPr>
      </w:pPr>
    </w:p>
    <w:p w:rsidR="00F4754B"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4.</w:t>
      </w:r>
      <w:r w:rsidRPr="003E36FB">
        <w:tab/>
      </w:r>
      <w:r w:rsidRPr="003E36FB">
        <w:rPr>
          <w:rFonts w:ascii="Times New Roman" w:hAnsi="Times New Roman"/>
        </w:rPr>
        <w:t>Gearingsgrad – Definition efter fuld indfasning = {LRCalc;310;010} / {LRCalc;290;010}.</w:t>
      </w:r>
    </w:p>
    <w:p w:rsidR="00FC2664" w:rsidRPr="003E36FB" w:rsidRDefault="00FC2664" w:rsidP="007E2A41">
      <w:pPr>
        <w:pStyle w:val="BodyText1"/>
        <w:spacing w:line="240" w:lineRule="auto"/>
        <w:rPr>
          <w:rFonts w:ascii="Times New Roman" w:hAnsi="Times New Roman"/>
        </w:rPr>
      </w:pPr>
    </w:p>
    <w:p w:rsidR="00F4754B"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5.</w:t>
      </w:r>
      <w:r w:rsidRPr="003E36FB">
        <w:tab/>
      </w:r>
      <w:r w:rsidRPr="003E36FB">
        <w:rPr>
          <w:rFonts w:ascii="Times New Roman" w:hAnsi="Times New Roman"/>
        </w:rPr>
        <w:t>Gearingsgrad – Overgangsdefinition = {LRCalc;320;010} / {LRCalc;300;010}.</w:t>
      </w:r>
    </w:p>
    <w:p w:rsidR="00FC2664" w:rsidRPr="003E36FB" w:rsidRDefault="00FC2664" w:rsidP="007E2A41">
      <w:pPr>
        <w:pStyle w:val="BodyText1"/>
        <w:spacing w:line="240" w:lineRule="auto"/>
        <w:rPr>
          <w:rFonts w:ascii="Times New Roman" w:hAnsi="Times New Roman"/>
        </w:rPr>
      </w:pPr>
      <w:bookmarkStart w:id="47" w:name="_Toc322533852"/>
      <w:bookmarkEnd w:id="43"/>
    </w:p>
    <w:p w:rsidR="00FC2664" w:rsidRPr="003E36FB" w:rsidRDefault="00FC2664" w:rsidP="007E2A41">
      <w:pPr>
        <w:pStyle w:val="BodyText1"/>
        <w:spacing w:line="240" w:lineRule="auto"/>
        <w:rPr>
          <w:rFonts w:ascii="Times New Roman" w:hAnsi="Times New Roman"/>
        </w:rPr>
      </w:pPr>
    </w:p>
    <w:p w:rsidR="00505096" w:rsidRPr="003E36FB" w:rsidRDefault="00500508" w:rsidP="00500508">
      <w:pPr>
        <w:pStyle w:val="BodyText1"/>
        <w:ind w:left="357" w:hanging="357"/>
        <w:outlineLvl w:val="1"/>
        <w:rPr>
          <w:rFonts w:ascii="Times New Roman" w:hAnsi="Times New Roman"/>
          <w:b/>
        </w:rPr>
      </w:pPr>
      <w:bookmarkStart w:id="48" w:name="_Toc359414284"/>
      <w:bookmarkStart w:id="49" w:name="_Toc423089069"/>
      <w:bookmarkStart w:id="50" w:name="_Toc523918775"/>
      <w:r w:rsidRPr="003E36FB">
        <w:rPr>
          <w:rFonts w:ascii="Times New Roman" w:hAnsi="Times New Roman"/>
          <w:b/>
        </w:rPr>
        <w:t>3.</w:t>
      </w:r>
      <w:r w:rsidRPr="003E36FB">
        <w:tab/>
      </w:r>
      <w:r w:rsidRPr="003E36FB">
        <w:rPr>
          <w:rFonts w:ascii="Times New Roman" w:hAnsi="Times New Roman"/>
          <w:b/>
        </w:rPr>
        <w:t>Tærskelværdier for derivater</w:t>
      </w:r>
      <w:bookmarkEnd w:id="48"/>
      <w:bookmarkEnd w:id="49"/>
      <w:bookmarkEnd w:id="50"/>
    </w:p>
    <w:p w:rsidR="00505096" w:rsidRPr="003E36FB" w:rsidRDefault="00505096" w:rsidP="007E2A41">
      <w:pPr>
        <w:pStyle w:val="BodyText1"/>
        <w:spacing w:line="240" w:lineRule="auto"/>
        <w:rPr>
          <w:rFonts w:ascii="Times New Roman" w:hAnsi="Times New Roman"/>
        </w:rPr>
      </w:pPr>
    </w:p>
    <w:p w:rsidR="00505096" w:rsidRPr="003E36FB" w:rsidRDefault="00505096" w:rsidP="007E2A41">
      <w:pPr>
        <w:pStyle w:val="BodyText1"/>
        <w:spacing w:line="240" w:lineRule="auto"/>
        <w:rPr>
          <w:rFonts w:ascii="Times New Roman" w:hAnsi="Times New Roman"/>
        </w:rPr>
      </w:pPr>
    </w:p>
    <w:p w:rsidR="00F4754B"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6.</w:t>
      </w:r>
      <w:r w:rsidRPr="003E36FB">
        <w:tab/>
      </w:r>
      <w:r w:rsidRPr="003E36FB">
        <w:rPr>
          <w:rFonts w:ascii="Times New Roman" w:hAnsi="Times New Roman"/>
        </w:rPr>
        <w:t>For at mindske indberetningsbyrden for institutter med begrænsede eksponeringer i forbindelse med derivater anvendes følgende mål til at måle betydningen af eksponeringerne mod derivater i forhold til den samlede eksponering bag gearingsgraden. Institutter skal beregne disse mål på følgende måde</w:t>
      </w:r>
      <w:bookmarkStart w:id="51" w:name="_Toc322533853"/>
      <w:bookmarkEnd w:id="47"/>
      <w:r w:rsidRPr="003E36FB">
        <w:rPr>
          <w:rFonts w:ascii="Times New Roman" w:hAnsi="Times New Roman"/>
        </w:rPr>
        <w:t>:</w:t>
      </w:r>
    </w:p>
    <w:p w:rsidR="00A30899" w:rsidRPr="003E36FB" w:rsidRDefault="00A30899" w:rsidP="007E2A41">
      <w:pPr>
        <w:pStyle w:val="ListParagraph"/>
        <w:rPr>
          <w:rFonts w:ascii="Times New Roman" w:hAnsi="Times New Roman"/>
          <w:szCs w:val="20"/>
        </w:rPr>
      </w:pPr>
    </w:p>
    <w:p w:rsidR="00A30899" w:rsidRPr="003E36FB" w:rsidRDefault="00500508" w:rsidP="00500508">
      <w:pPr>
        <w:pStyle w:val="BodyText1"/>
        <w:spacing w:line="240" w:lineRule="auto"/>
        <w:ind w:left="720" w:hanging="360"/>
        <w:jc w:val="left"/>
        <w:rPr>
          <w:rFonts w:ascii="Times New Roman" w:hAnsi="Times New Roman"/>
        </w:rPr>
      </w:pPr>
      <w:bookmarkStart w:id="52" w:name="_Toc322533854"/>
      <w:bookmarkEnd w:id="51"/>
      <w:r w:rsidRPr="003E36FB">
        <w:rPr>
          <w:rFonts w:ascii="Times New Roman" w:hAnsi="Times New Roman"/>
        </w:rPr>
        <w:t>7.</w:t>
      </w:r>
      <w:r w:rsidRPr="003E36FB">
        <w:tab/>
      </w:r>
      <w:r w:rsidRPr="003E36FB">
        <w:rPr>
          <w:rFonts w:ascii="Times New Roman" w:hAnsi="Times New Roman"/>
        </w:rPr>
        <w:t xml:space="preserve">Andel af derivater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Total exposure measure</m:t>
            </m:r>
          </m:den>
        </m:f>
      </m:oMath>
      <w:r w:rsidRPr="003E36FB">
        <w:rPr>
          <w:rFonts w:ascii="Times New Roman" w:hAnsi="Times New Roman"/>
        </w:rPr>
        <w:t>.</w:t>
      </w:r>
    </w:p>
    <w:p w:rsidR="00FC2664" w:rsidRPr="003E36FB" w:rsidRDefault="00FC2664" w:rsidP="007E2A41">
      <w:pPr>
        <w:pStyle w:val="BodyText1"/>
        <w:spacing w:line="240" w:lineRule="auto"/>
        <w:rPr>
          <w:rFonts w:ascii="Times New Roman" w:hAnsi="Times New Roman"/>
        </w:rPr>
      </w:pPr>
    </w:p>
    <w:p w:rsidR="00EB7F64"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8.</w:t>
      </w:r>
      <w:r w:rsidRPr="003E36FB">
        <w:tab/>
      </w:r>
      <w:r w:rsidRPr="003E36FB">
        <w:rPr>
          <w:rFonts w:ascii="Times New Roman" w:hAnsi="Times New Roman"/>
        </w:rPr>
        <w:t>Hvor det samlede eksponeringsmål er lig med: {LRCalc;290;010}.</w:t>
      </w:r>
    </w:p>
    <w:p w:rsidR="00F4754B" w:rsidRPr="003E36FB" w:rsidRDefault="00F4754B" w:rsidP="00E5591F">
      <w:pPr>
        <w:pStyle w:val="BodyText1"/>
        <w:spacing w:line="240" w:lineRule="auto"/>
        <w:ind w:left="720"/>
        <w:rPr>
          <w:rFonts w:ascii="Times New Roman" w:hAnsi="Times New Roman"/>
        </w:rPr>
      </w:pPr>
    </w:p>
    <w:p w:rsidR="00F4754B"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9.</w:t>
      </w:r>
      <w:r w:rsidRPr="003E36FB">
        <w:tab/>
      </w:r>
      <w:r w:rsidRPr="003E36FB">
        <w:rPr>
          <w:rFonts w:ascii="Times New Roman" w:hAnsi="Times New Roman"/>
        </w:rPr>
        <w:t>Samlet fiktiv værdi knyttet til derivater = {LR1; 010;070}. Denne celle skal institutter altid indberette.</w:t>
      </w:r>
    </w:p>
    <w:p w:rsidR="00FC2664" w:rsidRPr="003E36FB" w:rsidRDefault="00FC2664" w:rsidP="007E2A41">
      <w:pPr>
        <w:pStyle w:val="BodyText1"/>
        <w:spacing w:line="240" w:lineRule="auto"/>
        <w:rPr>
          <w:rFonts w:ascii="Times New Roman" w:hAnsi="Times New Roman"/>
        </w:rPr>
      </w:pPr>
    </w:p>
    <w:p w:rsidR="00F4754B"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10.</w:t>
      </w:r>
      <w:r w:rsidRPr="003E36FB">
        <w:tab/>
      </w:r>
      <w:r w:rsidRPr="003E36FB">
        <w:rPr>
          <w:rFonts w:ascii="Times New Roman" w:hAnsi="Times New Roman"/>
        </w:rPr>
        <w:t>Mængde af kreditderivater = {LR1;020;070} + {LR1;050;070}. Disse celler skal institutter altid indberette.</w:t>
      </w:r>
    </w:p>
    <w:p w:rsidR="00FC2664" w:rsidRPr="003E36FB" w:rsidRDefault="00FC2664" w:rsidP="007E2A41">
      <w:pPr>
        <w:pStyle w:val="BodyText1"/>
        <w:spacing w:line="240" w:lineRule="auto"/>
        <w:rPr>
          <w:rFonts w:ascii="Times New Roman" w:hAnsi="Times New Roman"/>
        </w:rPr>
      </w:pPr>
    </w:p>
    <w:p w:rsidR="00F4754B"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11.</w:t>
      </w:r>
      <w:r w:rsidRPr="003E36FB">
        <w:tab/>
      </w:r>
      <w:r w:rsidRPr="003E36FB">
        <w:rPr>
          <w:rFonts w:ascii="Times New Roman" w:hAnsi="Times New Roman"/>
        </w:rPr>
        <w:t>Institutter skal indberette de celler, der er nævnt i punkt 14, i den næste indberetningsperiode, hvis en af følgende betingelser er opfyldt:</w:t>
      </w:r>
    </w:p>
    <w:p w:rsidR="00607A1B" w:rsidRPr="003E36FB" w:rsidRDefault="00607A1B" w:rsidP="00607A1B">
      <w:pPr>
        <w:pStyle w:val="BodyText1"/>
        <w:spacing w:line="240" w:lineRule="auto"/>
        <w:ind w:left="720"/>
        <w:rPr>
          <w:rFonts w:ascii="Times New Roman" w:hAnsi="Times New Roman"/>
        </w:rPr>
      </w:pPr>
    </w:p>
    <w:p w:rsidR="00F4754B" w:rsidRPr="003E36FB" w:rsidRDefault="00500508" w:rsidP="00500508">
      <w:pPr>
        <w:pStyle w:val="InstructionsText2"/>
        <w:numPr>
          <w:ilvl w:val="0"/>
          <w:numId w:val="0"/>
        </w:numPr>
        <w:ind w:left="1080" w:hanging="360"/>
        <w:rPr>
          <w:rFonts w:ascii="Symbol" w:eastAsia="Times New Roman" w:hAnsi="Symbol"/>
          <w:bCs/>
          <w:szCs w:val="17"/>
        </w:rPr>
      </w:pPr>
      <w:r w:rsidRPr="003E36FB">
        <w:tab/>
        <w:t>Den andel af derivater, der er nævnt i punkt 7, overstiger 1,5 % på to på hinanden følgende referencedatoer for indberetning.</w:t>
      </w:r>
    </w:p>
    <w:p w:rsidR="00675587" w:rsidRPr="003E36FB" w:rsidRDefault="00500508" w:rsidP="00500508">
      <w:pPr>
        <w:pStyle w:val="InstructionsText2"/>
        <w:numPr>
          <w:ilvl w:val="0"/>
          <w:numId w:val="0"/>
        </w:numPr>
        <w:ind w:left="1080" w:hanging="360"/>
        <w:rPr>
          <w:rFonts w:ascii="Symbol" w:eastAsia="Times New Roman" w:hAnsi="Symbol"/>
          <w:bCs/>
          <w:szCs w:val="17"/>
        </w:rPr>
      </w:pPr>
      <w:r w:rsidRPr="003E36FB">
        <w:tab/>
        <w:t>Den andel af derivater, der er nævnt i punkt 7, overstiger 2,0 %.</w:t>
      </w:r>
    </w:p>
    <w:p w:rsidR="00F4754B" w:rsidRPr="003E36FB" w:rsidRDefault="00F4754B" w:rsidP="007E2A41">
      <w:pPr>
        <w:pStyle w:val="BodyText1"/>
        <w:spacing w:line="240" w:lineRule="auto"/>
        <w:rPr>
          <w:rFonts w:ascii="Times New Roman" w:hAnsi="Times New Roman"/>
        </w:rPr>
      </w:pPr>
    </w:p>
    <w:p w:rsidR="00F4754B"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12.</w:t>
      </w:r>
      <w:r w:rsidRPr="003E36FB">
        <w:tab/>
      </w:r>
      <w:r w:rsidRPr="003E36FB">
        <w:rPr>
          <w:rFonts w:ascii="Times New Roman" w:hAnsi="Times New Roman"/>
        </w:rPr>
        <w:t>Institutter, for hvilke den samlede fiktive værdi knyttet til derivater, jf. definitionen i punkt 9, overstiger 10 mia. EUR, skal indberette de celler, der er nævnt i punkt 14, selv om deres andel af derivater ikke opfylder betingelserne i punkt 11.</w:t>
      </w:r>
    </w:p>
    <w:p w:rsidR="00FC2664" w:rsidRPr="003E36FB" w:rsidRDefault="00FC2664" w:rsidP="007E2A41">
      <w:pPr>
        <w:pStyle w:val="BodyText1"/>
        <w:spacing w:line="240" w:lineRule="auto"/>
        <w:rPr>
          <w:rFonts w:ascii="Times New Roman" w:hAnsi="Times New Roman"/>
        </w:rPr>
      </w:pPr>
    </w:p>
    <w:p w:rsidR="00F4754B"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13.</w:t>
      </w:r>
      <w:r w:rsidRPr="003E36FB">
        <w:tab/>
      </w:r>
      <w:r w:rsidRPr="003E36FB">
        <w:rPr>
          <w:rFonts w:ascii="Times New Roman" w:hAnsi="Times New Roman"/>
        </w:rPr>
        <w:t>Institutter skal indberette de celler, der er nævnt i punkt 15, hvis en af følgende betingelser er opfyldt:</w:t>
      </w:r>
    </w:p>
    <w:p w:rsidR="00607A1B" w:rsidRPr="003E36FB" w:rsidRDefault="00607A1B" w:rsidP="00607A1B">
      <w:pPr>
        <w:pStyle w:val="BodyText1"/>
        <w:spacing w:line="240" w:lineRule="auto"/>
        <w:rPr>
          <w:rFonts w:ascii="Times New Roman" w:hAnsi="Times New Roman"/>
        </w:rPr>
      </w:pPr>
    </w:p>
    <w:p w:rsidR="00F4754B" w:rsidRPr="003E36FB" w:rsidRDefault="00500508" w:rsidP="00500508">
      <w:pPr>
        <w:pStyle w:val="InstructionsText2"/>
        <w:numPr>
          <w:ilvl w:val="0"/>
          <w:numId w:val="0"/>
        </w:numPr>
        <w:ind w:left="1080" w:hanging="360"/>
        <w:rPr>
          <w:rFonts w:ascii="Symbol" w:eastAsia="Times New Roman" w:hAnsi="Symbol"/>
          <w:bCs/>
          <w:szCs w:val="17"/>
        </w:rPr>
      </w:pPr>
      <w:r w:rsidRPr="003E36FB">
        <w:tab/>
        <w:t>Den mængde af kreditderivater, der er nævnt i punkt 10, overstiger 300 mio. EUR på to på hinanden følgende referencedatoer for indberetning.</w:t>
      </w:r>
    </w:p>
    <w:p w:rsidR="00675587" w:rsidRPr="003E36FB" w:rsidRDefault="00500508" w:rsidP="00500508">
      <w:pPr>
        <w:pStyle w:val="InstructionsText2"/>
        <w:numPr>
          <w:ilvl w:val="0"/>
          <w:numId w:val="0"/>
        </w:numPr>
        <w:ind w:left="1080" w:hanging="360"/>
        <w:rPr>
          <w:rFonts w:ascii="Symbol" w:eastAsia="Times New Roman" w:hAnsi="Symbol"/>
          <w:bCs/>
          <w:szCs w:val="17"/>
        </w:rPr>
      </w:pPr>
      <w:r w:rsidRPr="003E36FB">
        <w:tab/>
        <w:t>Den mængde af kreditderivater, der er nævnt i punkt 10, overstiger 500 mio. EUR.</w:t>
      </w:r>
    </w:p>
    <w:p w:rsidR="00F4754B" w:rsidRPr="003E36FB" w:rsidRDefault="00F4754B" w:rsidP="00E5591F">
      <w:pPr>
        <w:pStyle w:val="BodyText1"/>
        <w:spacing w:line="240" w:lineRule="auto"/>
        <w:jc w:val="left"/>
        <w:rPr>
          <w:rFonts w:ascii="Times New Roman" w:hAnsi="Times New Roman"/>
        </w:rPr>
      </w:pPr>
    </w:p>
    <w:p w:rsidR="00F4754B"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14.</w:t>
      </w:r>
      <w:r w:rsidRPr="003E36FB">
        <w:tab/>
      </w:r>
      <w:r w:rsidRPr="003E36FB">
        <w:rPr>
          <w:rFonts w:ascii="Times New Roman" w:hAnsi="Times New Roman"/>
        </w:rPr>
        <w:t>De celler, som institutter skal indberette i henhold til punkt 11, er følgende: {LR1;010;010}, {LR1;010;020}, {LR1;010;050}, {LR1;020;010}, {LR1;020;020}, {LR1;020;050}, {LR1;030;050}, {LR1;030;070}, {LR1;040;050}, {LR1;040;070}, {LR1;050;010}, {LR1;050;020}, {LR1;050;050}, {LR1;060;010}, {LR1;060;020}, {LR1;060;050} og {LR1;060;070}.</w:t>
      </w:r>
    </w:p>
    <w:p w:rsidR="00FC2664" w:rsidRPr="003E36FB" w:rsidRDefault="00FC2664" w:rsidP="007E2A41">
      <w:pPr>
        <w:pStyle w:val="BodyText1"/>
        <w:spacing w:line="240" w:lineRule="auto"/>
        <w:rPr>
          <w:rFonts w:ascii="Times New Roman" w:hAnsi="Times New Roman"/>
        </w:rPr>
      </w:pPr>
    </w:p>
    <w:p w:rsidR="00F4754B"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15.</w:t>
      </w:r>
      <w:r w:rsidRPr="003E36FB">
        <w:tab/>
      </w:r>
      <w:r w:rsidRPr="003E36FB">
        <w:rPr>
          <w:rFonts w:ascii="Times New Roman" w:hAnsi="Times New Roman"/>
        </w:rPr>
        <w:t>De celler, som institutter skal indberette i henhold til punkt 13, er følgende: {LR1;020;075}, {LR1;050;075} og {LR1;050;085}.</w:t>
      </w:r>
    </w:p>
    <w:p w:rsidR="00FC2664" w:rsidRPr="003E36FB" w:rsidRDefault="00FC2664" w:rsidP="007E2A41">
      <w:pPr>
        <w:pStyle w:val="BodyText1"/>
        <w:spacing w:line="240" w:lineRule="auto"/>
        <w:rPr>
          <w:rFonts w:ascii="Times New Roman" w:hAnsi="Times New Roman"/>
        </w:rPr>
      </w:pPr>
    </w:p>
    <w:p w:rsidR="00FC2664" w:rsidRPr="003E36FB" w:rsidRDefault="00FC2664" w:rsidP="007E2A41">
      <w:pPr>
        <w:pStyle w:val="BodyText1"/>
        <w:spacing w:line="240" w:lineRule="auto"/>
        <w:rPr>
          <w:rFonts w:ascii="Times New Roman" w:hAnsi="Times New Roman"/>
          <w:b/>
        </w:rPr>
      </w:pPr>
      <w:bookmarkStart w:id="53" w:name="_Toc351048506"/>
      <w:bookmarkStart w:id="54" w:name="_Toc322687879"/>
      <w:bookmarkStart w:id="55" w:name="_Toc315961853"/>
      <w:bookmarkEnd w:id="52"/>
    </w:p>
    <w:p w:rsidR="00217D1F" w:rsidRPr="003E36FB" w:rsidRDefault="00500508" w:rsidP="00500508">
      <w:pPr>
        <w:pStyle w:val="BodyText1"/>
        <w:ind w:left="357" w:hanging="357"/>
        <w:outlineLvl w:val="1"/>
        <w:rPr>
          <w:rFonts w:ascii="Times New Roman" w:hAnsi="Times New Roman"/>
          <w:b/>
        </w:rPr>
      </w:pPr>
      <w:bookmarkStart w:id="56" w:name="_Toc359414285"/>
      <w:bookmarkStart w:id="57" w:name="_Toc423089070"/>
      <w:bookmarkStart w:id="58" w:name="_Toc523918776"/>
      <w:r w:rsidRPr="003E36FB">
        <w:rPr>
          <w:rFonts w:ascii="Times New Roman" w:hAnsi="Times New Roman"/>
          <w:b/>
        </w:rPr>
        <w:t>4.</w:t>
      </w:r>
      <w:r w:rsidRPr="003E36FB">
        <w:tab/>
      </w:r>
      <w:r w:rsidRPr="003E36FB">
        <w:rPr>
          <w:rFonts w:ascii="Times New Roman" w:hAnsi="Times New Roman"/>
          <w:b/>
        </w:rPr>
        <w:t>C 47.00 — Beregning af gearingsgrad (</w:t>
      </w:r>
      <w:proofErr w:type="spellStart"/>
      <w:r w:rsidRPr="003E36FB">
        <w:rPr>
          <w:rFonts w:ascii="Times New Roman" w:hAnsi="Times New Roman"/>
          <w:b/>
        </w:rPr>
        <w:t>LRCalc</w:t>
      </w:r>
      <w:proofErr w:type="spellEnd"/>
      <w:r w:rsidRPr="003E36FB">
        <w:rPr>
          <w:rFonts w:ascii="Times New Roman" w:hAnsi="Times New Roman"/>
          <w:b/>
        </w:rPr>
        <w:t>)</w:t>
      </w:r>
      <w:bookmarkEnd w:id="53"/>
      <w:bookmarkEnd w:id="56"/>
      <w:bookmarkEnd w:id="57"/>
      <w:bookmarkEnd w:id="58"/>
    </w:p>
    <w:p w:rsidR="00F4754B" w:rsidRPr="003E36FB" w:rsidRDefault="00F4754B" w:rsidP="00F4754B">
      <w:pPr>
        <w:pStyle w:val="BodyText1"/>
        <w:rPr>
          <w:rFonts w:ascii="Times New Roman" w:hAnsi="Times New Roman"/>
        </w:rPr>
      </w:pPr>
    </w:p>
    <w:p w:rsidR="00AE2798" w:rsidRPr="003E36FB" w:rsidRDefault="00AE2798" w:rsidP="00AE2798">
      <w:pPr>
        <w:pStyle w:val="BodyText1"/>
        <w:spacing w:line="240" w:lineRule="auto"/>
        <w:rPr>
          <w:rFonts w:ascii="Times New Roman" w:hAnsi="Times New Roman"/>
        </w:rPr>
      </w:pPr>
    </w:p>
    <w:p w:rsidR="00AE2798"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16.</w:t>
      </w:r>
      <w:r w:rsidRPr="003E36FB">
        <w:tab/>
      </w:r>
      <w:r w:rsidRPr="003E36FB">
        <w:rPr>
          <w:rFonts w:ascii="Times New Roman" w:hAnsi="Times New Roman"/>
        </w:rPr>
        <w:t xml:space="preserve">I denne del af indberetningsskemaet indsamles de data, der bruges til at beregne gearingsgraden som defineret i artikel 429, 429a og 429b i CRR. </w:t>
      </w:r>
    </w:p>
    <w:p w:rsidR="00AE2798" w:rsidRPr="003E36FB" w:rsidRDefault="00AE2798" w:rsidP="00AE2798">
      <w:pPr>
        <w:pStyle w:val="BodyText1"/>
        <w:spacing w:line="240" w:lineRule="auto"/>
        <w:rPr>
          <w:rFonts w:ascii="Times New Roman" w:hAnsi="Times New Roman"/>
        </w:rPr>
      </w:pPr>
    </w:p>
    <w:p w:rsidR="00AE2798"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17.</w:t>
      </w:r>
      <w:r w:rsidRPr="003E36FB">
        <w:tab/>
      </w:r>
      <w:r w:rsidRPr="003E36FB">
        <w:rPr>
          <w:rFonts w:ascii="Times New Roman" w:hAnsi="Times New Roman"/>
        </w:rPr>
        <w:t>Institutter skal indberette gearingsgraden hvert kvartal. I hvert kvartal er værdien på "referencedatoen for indberetning" værdien på den sidste kalenderdag i den tredje måned i det pågældende kvartal.</w:t>
      </w:r>
    </w:p>
    <w:p w:rsidR="00C151ED" w:rsidRPr="003E36FB" w:rsidRDefault="00C151ED" w:rsidP="00FD2C06">
      <w:pPr>
        <w:pStyle w:val="BodyText1"/>
        <w:spacing w:line="240" w:lineRule="auto"/>
        <w:ind w:left="720"/>
        <w:rPr>
          <w:rFonts w:ascii="Times New Roman" w:hAnsi="Times New Roman"/>
        </w:rPr>
      </w:pPr>
    </w:p>
    <w:p w:rsidR="00B011A0"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18.</w:t>
      </w:r>
      <w:r w:rsidRPr="003E36FB">
        <w:tab/>
      </w:r>
      <w:r w:rsidRPr="003E36FB">
        <w:rPr>
          <w:rFonts w:ascii="Times New Roman" w:hAnsi="Times New Roman"/>
        </w:rPr>
        <w:t>Institutter skal indberette {010;010} til {030;010}, {060;010}, {090;010}, {110;010} og {150;010} til {190;010}, som om undtagelserne i {050;010}, {080;010}, {100;010}, {120;010}og {220;010} ikke finder anvendelse.</w:t>
      </w:r>
    </w:p>
    <w:p w:rsidR="00F36D5B" w:rsidRPr="003E36FB" w:rsidRDefault="00F36D5B" w:rsidP="00FD2C06">
      <w:pPr>
        <w:pStyle w:val="BodyText1"/>
        <w:spacing w:line="240" w:lineRule="auto"/>
        <w:ind w:left="720"/>
        <w:rPr>
          <w:rFonts w:ascii="Times New Roman" w:hAnsi="Times New Roman"/>
        </w:rPr>
      </w:pPr>
    </w:p>
    <w:p w:rsidR="00F36D5B"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19.</w:t>
      </w:r>
      <w:r w:rsidRPr="003E36FB">
        <w:tab/>
      </w:r>
      <w:r w:rsidRPr="003E36FB">
        <w:rPr>
          <w:rFonts w:ascii="Times New Roman" w:hAnsi="Times New Roman"/>
        </w:rPr>
        <w:t>Institutter skal indberette {010;010} til {240;010}, som om undtagelserne i {250;010} og {260;010} ikke finder anvendelse.</w:t>
      </w:r>
    </w:p>
    <w:p w:rsidR="00720503" w:rsidRPr="003E36FB" w:rsidRDefault="00720503" w:rsidP="00FD2C06">
      <w:pPr>
        <w:pStyle w:val="ListParagraph"/>
        <w:rPr>
          <w:rFonts w:ascii="Times New Roman" w:hAnsi="Times New Roman"/>
        </w:rPr>
      </w:pPr>
    </w:p>
    <w:p w:rsidR="00720503" w:rsidRPr="003E36FB" w:rsidRDefault="00500508" w:rsidP="00500508">
      <w:pPr>
        <w:pStyle w:val="InstructionsText2"/>
        <w:numPr>
          <w:ilvl w:val="0"/>
          <w:numId w:val="0"/>
        </w:numPr>
        <w:ind w:left="720" w:hanging="360"/>
      </w:pPr>
      <w:r w:rsidRPr="003E36FB">
        <w:t>20.</w:t>
      </w:r>
      <w:r w:rsidRPr="003E36FB">
        <w:tab/>
        <w:t>Beløb, der forøger kapitalgrundlaget eller eksponeringsværdien bag gearingsgraden, indberettes som et positivt tal. Modsat indberettes beløb, der reducerer det samlede kapitalgrundlag eller eksponeringsværdien bag gearingsgraden, som et negativt tal. Hvis der er indsat et negativt fortegn (-) ved teksten ud for en post, indberettes et positivt tal ikke for den pågældende post.</w:t>
      </w:r>
    </w:p>
    <w:p w:rsidR="00720503" w:rsidRPr="003E36FB" w:rsidRDefault="00720503" w:rsidP="00FD2C06">
      <w:pPr>
        <w:pStyle w:val="BodyText1"/>
        <w:spacing w:line="240" w:lineRule="auto"/>
        <w:ind w:left="720"/>
        <w:rPr>
          <w:rFonts w:ascii="Times New Roman" w:hAnsi="Times New Roman"/>
        </w:rPr>
      </w:pPr>
    </w:p>
    <w:p w:rsidR="00AE2798" w:rsidRPr="003E36FB"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3E36FB" w:rsidTr="00FE0FF1">
        <w:trPr>
          <w:trHeight w:val="304"/>
        </w:trPr>
        <w:tc>
          <w:tcPr>
            <w:tcW w:w="1418" w:type="dxa"/>
            <w:shd w:val="clear" w:color="auto" w:fill="D9D9D9"/>
          </w:tcPr>
          <w:p w:rsidR="00AE2798" w:rsidRPr="003E36FB" w:rsidRDefault="00AE2798" w:rsidP="00FE0FF1">
            <w:pPr>
              <w:pStyle w:val="BodyText1"/>
              <w:rPr>
                <w:rFonts w:ascii="Times New Roman" w:hAnsi="Times New Roman"/>
              </w:rPr>
            </w:pPr>
          </w:p>
        </w:tc>
        <w:tc>
          <w:tcPr>
            <w:tcW w:w="7590" w:type="dxa"/>
            <w:shd w:val="clear" w:color="auto" w:fill="D9D9D9"/>
          </w:tcPr>
          <w:p w:rsidR="00AE2798" w:rsidRPr="003E36FB" w:rsidRDefault="00AE2798" w:rsidP="00FE0FF1">
            <w:pPr>
              <w:pStyle w:val="BodyText1"/>
              <w:rPr>
                <w:rFonts w:ascii="Times New Roman" w:hAnsi="Times New Roman"/>
                <w:bCs/>
                <w:u w:val="single"/>
              </w:rPr>
            </w:pPr>
            <w:r w:rsidRPr="003E36FB">
              <w:rPr>
                <w:rFonts w:ascii="Times New Roman" w:hAnsi="Times New Roman"/>
              </w:rPr>
              <w:t>Henvisninger til retsakter og instrukser</w:t>
            </w:r>
          </w:p>
        </w:tc>
      </w:tr>
      <w:tr w:rsidR="00AE2798" w:rsidRPr="003E36FB" w:rsidTr="00FE0FF1">
        <w:trPr>
          <w:trHeight w:val="304"/>
        </w:trPr>
        <w:tc>
          <w:tcPr>
            <w:tcW w:w="1418" w:type="dxa"/>
            <w:shd w:val="clear" w:color="auto" w:fill="D9D9D9"/>
          </w:tcPr>
          <w:p w:rsidR="00AE2798" w:rsidRPr="003E36FB" w:rsidRDefault="00AE2798" w:rsidP="00500508">
            <w:pPr>
              <w:pStyle w:val="BodyText1"/>
              <w:rPr>
                <w:rFonts w:ascii="Times New Roman" w:hAnsi="Times New Roman"/>
                <w:b/>
              </w:rPr>
            </w:pPr>
            <w:r w:rsidRPr="003E36FB">
              <w:rPr>
                <w:rFonts w:ascii="Times New Roman" w:hAnsi="Times New Roman"/>
                <w:b/>
              </w:rPr>
              <w:t>Række og kolonne</w:t>
            </w:r>
          </w:p>
        </w:tc>
        <w:tc>
          <w:tcPr>
            <w:tcW w:w="7590" w:type="dxa"/>
            <w:shd w:val="clear" w:color="auto" w:fill="D9D9D9"/>
          </w:tcPr>
          <w:p w:rsidR="00AE2798" w:rsidRPr="003E36FB" w:rsidRDefault="00AE2798" w:rsidP="00FE0FF1">
            <w:pPr>
              <w:pStyle w:val="BodyText1"/>
              <w:rPr>
                <w:rFonts w:ascii="Times New Roman" w:hAnsi="Times New Roman"/>
                <w:b/>
                <w:bCs/>
              </w:rPr>
            </w:pPr>
            <w:r w:rsidRPr="003E36FB">
              <w:rPr>
                <w:rFonts w:ascii="Times New Roman" w:hAnsi="Times New Roman"/>
                <w:b/>
              </w:rPr>
              <w:t>Eksponeringsværdier</w:t>
            </w:r>
          </w:p>
        </w:tc>
      </w:tr>
      <w:tr w:rsidR="00AE2798" w:rsidRPr="003E36FB" w:rsidTr="00FE0FF1">
        <w:trPr>
          <w:trHeight w:val="304"/>
        </w:trPr>
        <w:tc>
          <w:tcPr>
            <w:tcW w:w="1418" w:type="dxa"/>
          </w:tcPr>
          <w:p w:rsidR="00AE2798" w:rsidRPr="003E36FB" w:rsidRDefault="00AE2798" w:rsidP="00FE0FF1">
            <w:pPr>
              <w:pStyle w:val="BodyText1"/>
              <w:rPr>
                <w:rFonts w:ascii="Times New Roman" w:hAnsi="Times New Roman"/>
                <w:bCs/>
              </w:rPr>
            </w:pPr>
            <w:r w:rsidRPr="003E36FB">
              <w:rPr>
                <w:rFonts w:ascii="Times New Roman" w:hAnsi="Times New Roman"/>
              </w:rPr>
              <w:t>{010;010}</w:t>
            </w:r>
          </w:p>
          <w:p w:rsidR="00AE2798" w:rsidRPr="003E36FB" w:rsidRDefault="00AE2798" w:rsidP="00FE0FF1">
            <w:pPr>
              <w:pStyle w:val="BodyText1"/>
              <w:rPr>
                <w:rFonts w:ascii="Times New Roman" w:hAnsi="Times New Roman"/>
                <w:bCs/>
              </w:rPr>
            </w:pPr>
          </w:p>
        </w:tc>
        <w:tc>
          <w:tcPr>
            <w:tcW w:w="7590" w:type="dxa"/>
          </w:tcPr>
          <w:p w:rsidR="00AE2798" w:rsidRPr="003E36FB" w:rsidRDefault="00AE2798" w:rsidP="00FE0FF1">
            <w:pPr>
              <w:pStyle w:val="BodyText1"/>
              <w:spacing w:line="240" w:lineRule="auto"/>
              <w:rPr>
                <w:rFonts w:ascii="Times New Roman" w:hAnsi="Times New Roman"/>
                <w:b/>
                <w:bCs/>
                <w:u w:val="single"/>
              </w:rPr>
            </w:pPr>
            <w:proofErr w:type="spellStart"/>
            <w:r w:rsidRPr="003E36FB">
              <w:rPr>
                <w:rFonts w:ascii="Times New Roman" w:hAnsi="Times New Roman"/>
                <w:b/>
              </w:rPr>
              <w:t>SFT'er</w:t>
            </w:r>
            <w:proofErr w:type="spellEnd"/>
            <w:r w:rsidRPr="003E36FB">
              <w:rPr>
                <w:rFonts w:ascii="Times New Roman" w:hAnsi="Times New Roman"/>
                <w:b/>
              </w:rPr>
              <w:t>: Eksponering i henhold til artikel 429, stk. 5, og artikel 429, stk. 8,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 stk. 5, litra d), og artikel 429, stk. 8, i CRR</w:t>
            </w:r>
          </w:p>
          <w:p w:rsidR="00AE2798" w:rsidRPr="003E36FB" w:rsidRDefault="00AE2798" w:rsidP="00FE0FF1">
            <w:pPr>
              <w:pStyle w:val="BodyText1"/>
              <w:spacing w:line="240" w:lineRule="auto"/>
              <w:rPr>
                <w:rFonts w:ascii="Times New Roman" w:hAnsi="Times New Roman"/>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 xml:space="preserve">Eksponeringsværdien af </w:t>
            </w:r>
            <w:proofErr w:type="spellStart"/>
            <w:r w:rsidRPr="003E36FB">
              <w:rPr>
                <w:rFonts w:ascii="Times New Roman" w:hAnsi="Times New Roman"/>
              </w:rPr>
              <w:t>SFT'er</w:t>
            </w:r>
            <w:proofErr w:type="spellEnd"/>
            <w:r w:rsidRPr="003E36FB">
              <w:rPr>
                <w:rFonts w:ascii="Times New Roman" w:hAnsi="Times New Roman"/>
              </w:rPr>
              <w:t xml:space="preserve"> beregnet i overensstemmelse med artikel 429, stk. 5, litra d), og artikel 429, stk. 8, i CRR </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I denne celle skal institutter medtage transaktioner i overensstemmelse med artikel 429b, stk. 6, litra c).</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Institutter skal i denne celle ikke medtage modtagne kontantbeløb eller værdipapirer, der leveres til en modpart via ovennævnte transaktioner, og som stadig balanceføres (dvs. at regnskabskriterierne for ophør af indregning ikke opfyldes). Institutter skal i stedet angive disse poster i {190,010}.</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 xml:space="preserve">Institutter skal i denne celle ikke medtage </w:t>
            </w:r>
            <w:proofErr w:type="spellStart"/>
            <w:r w:rsidRPr="003E36FB">
              <w:rPr>
                <w:rFonts w:ascii="Times New Roman" w:hAnsi="Times New Roman"/>
              </w:rPr>
              <w:t>SFT'er</w:t>
            </w:r>
            <w:proofErr w:type="spellEnd"/>
            <w:r w:rsidRPr="003E36FB">
              <w:rPr>
                <w:rFonts w:ascii="Times New Roman" w:hAnsi="Times New Roman"/>
              </w:rPr>
              <w:t>, hvor instituttet fungerer som agent, hvis instituttet yder en kunde eller en modpart en godtgørelse eller en garanti, som er begrænset til forskellen mellem værdien af værdipapiret eller det kontante beløb, som kunden har udlånt, og værdien af den af låntager stillede sikkerhed, jf. artikel 429b, stk. 6, litra a), i CRR.</w:t>
            </w:r>
          </w:p>
          <w:p w:rsidR="00AE2798" w:rsidRPr="003E36FB" w:rsidRDefault="00AE2798" w:rsidP="00FE0FF1">
            <w:pPr>
              <w:pStyle w:val="BodyText1"/>
              <w:spacing w:line="240" w:lineRule="auto"/>
              <w:rPr>
                <w:rFonts w:ascii="Times New Roman" w:hAnsi="Times New Roman"/>
                <w:bCs/>
                <w:u w:val="single"/>
              </w:rPr>
            </w:pPr>
          </w:p>
        </w:tc>
      </w:tr>
      <w:tr w:rsidR="00AE2798" w:rsidRPr="003E36FB" w:rsidTr="00FE0FF1">
        <w:trPr>
          <w:trHeight w:val="304"/>
        </w:trPr>
        <w:tc>
          <w:tcPr>
            <w:tcW w:w="1418" w:type="dxa"/>
          </w:tcPr>
          <w:p w:rsidR="00AE2798" w:rsidRPr="003E36FB" w:rsidRDefault="00AE2798" w:rsidP="00F71081">
            <w:pPr>
              <w:pStyle w:val="BodyText1"/>
              <w:rPr>
                <w:rFonts w:ascii="Times New Roman" w:hAnsi="Times New Roman"/>
                <w:bCs/>
              </w:rPr>
            </w:pPr>
            <w:r w:rsidRPr="003E36FB">
              <w:rPr>
                <w:rFonts w:ascii="Times New Roman" w:hAnsi="Times New Roman"/>
              </w:rPr>
              <w:lastRenderedPageBreak/>
              <w:t>{020;010}</w:t>
            </w:r>
          </w:p>
        </w:tc>
        <w:tc>
          <w:tcPr>
            <w:tcW w:w="7590" w:type="dxa"/>
          </w:tcPr>
          <w:p w:rsidR="00AE2798" w:rsidRPr="003E36FB" w:rsidRDefault="00AE2798" w:rsidP="00FE0FF1">
            <w:pPr>
              <w:pStyle w:val="BodyText1"/>
              <w:spacing w:line="240" w:lineRule="auto"/>
              <w:rPr>
                <w:rFonts w:ascii="Times New Roman" w:hAnsi="Times New Roman"/>
                <w:b/>
                <w:bCs/>
              </w:rPr>
            </w:pPr>
            <w:proofErr w:type="spellStart"/>
            <w:r w:rsidRPr="003E36FB">
              <w:rPr>
                <w:rFonts w:ascii="Times New Roman" w:hAnsi="Times New Roman"/>
                <w:b/>
              </w:rPr>
              <w:t>SFT'er</w:t>
            </w:r>
            <w:proofErr w:type="spellEnd"/>
            <w:r w:rsidRPr="003E36FB">
              <w:rPr>
                <w:rFonts w:ascii="Times New Roman" w:hAnsi="Times New Roman"/>
                <w:b/>
              </w:rPr>
              <w:t>: Tillæg for modpartsrisiko</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429b, stk. 1,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 xml:space="preserve">Tillægget for modpartsrisiko for </w:t>
            </w:r>
            <w:proofErr w:type="spellStart"/>
            <w:r w:rsidRPr="003E36FB">
              <w:rPr>
                <w:rFonts w:ascii="Times New Roman" w:hAnsi="Times New Roman"/>
              </w:rPr>
              <w:t>SFT'er</w:t>
            </w:r>
            <w:proofErr w:type="spellEnd"/>
            <w:r w:rsidRPr="003E36FB">
              <w:rPr>
                <w:rFonts w:ascii="Times New Roman" w:hAnsi="Times New Roman"/>
              </w:rPr>
              <w:t xml:space="preserve">, herunder ikkebalanceførte </w:t>
            </w:r>
            <w:proofErr w:type="spellStart"/>
            <w:r w:rsidRPr="003E36FB">
              <w:rPr>
                <w:rFonts w:ascii="Times New Roman" w:hAnsi="Times New Roman"/>
              </w:rPr>
              <w:t>SFT'er</w:t>
            </w:r>
            <w:proofErr w:type="spellEnd"/>
            <w:r w:rsidRPr="003E36FB">
              <w:rPr>
                <w:rFonts w:ascii="Times New Roman" w:hAnsi="Times New Roman"/>
              </w:rPr>
              <w:t>, opgjort i overensstemmelse med artikel 429b, stk. 2 eller 3,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I denne celle skal institutter medtage transaktioner i overensstemmelse med artikel 429b, stk. 6, litra c).</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 xml:space="preserve">Institutter skal i denne celle ikke medtage </w:t>
            </w:r>
            <w:proofErr w:type="spellStart"/>
            <w:r w:rsidRPr="003E36FB">
              <w:rPr>
                <w:rFonts w:ascii="Times New Roman" w:hAnsi="Times New Roman"/>
              </w:rPr>
              <w:t>SFT'er</w:t>
            </w:r>
            <w:proofErr w:type="spellEnd"/>
            <w:r w:rsidRPr="003E36FB">
              <w:rPr>
                <w:rFonts w:ascii="Times New Roman" w:hAnsi="Times New Roman"/>
              </w:rPr>
              <w:t>, hvor instituttet fungerer som agent, hvis instituttet yder en kunde eller en modpart en godtgørelse eller en garanti, som er begrænset til forskellen mellem værdien af værdipapiret eller det kontante beløb, som kunden har udlånt, og værdien af den af låntager stillede sikkerhed, jf. artikel 429b, stk. 6, litra a), i CRR. Institutter skal i stedet angive disse poster i {040;010}.</w:t>
            </w:r>
          </w:p>
          <w:p w:rsidR="00AE2798" w:rsidRPr="003E36FB" w:rsidRDefault="00AE2798" w:rsidP="00FE0FF1">
            <w:pPr>
              <w:pStyle w:val="BodyText1"/>
              <w:spacing w:line="240" w:lineRule="auto"/>
              <w:rPr>
                <w:rFonts w:ascii="Times New Roman" w:hAnsi="Times New Roman"/>
                <w:bCs/>
              </w:rPr>
            </w:pPr>
          </w:p>
        </w:tc>
      </w:tr>
      <w:tr w:rsidR="00AE2798" w:rsidRPr="003E36FB" w:rsidTr="00FE0FF1">
        <w:trPr>
          <w:trHeight w:val="304"/>
        </w:trPr>
        <w:tc>
          <w:tcPr>
            <w:tcW w:w="1418" w:type="dxa"/>
          </w:tcPr>
          <w:p w:rsidR="00AE2798" w:rsidRPr="003E36FB" w:rsidRDefault="00AE2798" w:rsidP="00FE0FF1">
            <w:pPr>
              <w:pStyle w:val="BodyText1"/>
              <w:rPr>
                <w:rFonts w:ascii="Times New Roman" w:hAnsi="Times New Roman"/>
                <w:bCs/>
              </w:rPr>
            </w:pPr>
            <w:r w:rsidRPr="003E36FB">
              <w:rPr>
                <w:rFonts w:ascii="Times New Roman" w:hAnsi="Times New Roman"/>
              </w:rPr>
              <w:t>{030;010}</w:t>
            </w:r>
          </w:p>
          <w:p w:rsidR="00AE2798" w:rsidRPr="003E36FB" w:rsidRDefault="00AE2798" w:rsidP="00FE0FF1">
            <w:pPr>
              <w:pStyle w:val="BodyText1"/>
              <w:rPr>
                <w:rFonts w:ascii="Times New Roman" w:hAnsi="Times New Roman"/>
                <w:bCs/>
              </w:rPr>
            </w:pPr>
          </w:p>
        </w:tc>
        <w:tc>
          <w:tcPr>
            <w:tcW w:w="7590" w:type="dxa"/>
          </w:tcPr>
          <w:p w:rsidR="00AE2798" w:rsidRPr="003E36FB" w:rsidRDefault="00AE2798" w:rsidP="00FE0FF1">
            <w:pPr>
              <w:pStyle w:val="BodyText1"/>
              <w:spacing w:line="240" w:lineRule="auto"/>
              <w:rPr>
                <w:rFonts w:ascii="Times New Roman" w:hAnsi="Times New Roman"/>
                <w:b/>
                <w:bCs/>
              </w:rPr>
            </w:pPr>
            <w:r w:rsidRPr="003E36FB">
              <w:rPr>
                <w:rFonts w:ascii="Times New Roman" w:hAnsi="Times New Roman"/>
                <w:b/>
              </w:rPr>
              <w:t xml:space="preserve">Undtagelse for </w:t>
            </w:r>
            <w:proofErr w:type="spellStart"/>
            <w:r w:rsidRPr="003E36FB">
              <w:rPr>
                <w:rFonts w:ascii="Times New Roman" w:hAnsi="Times New Roman"/>
                <w:b/>
              </w:rPr>
              <w:t>SFT'er</w:t>
            </w:r>
            <w:proofErr w:type="spellEnd"/>
            <w:r w:rsidRPr="003E36FB">
              <w:rPr>
                <w:rFonts w:ascii="Times New Roman" w:hAnsi="Times New Roman"/>
                <w:b/>
              </w:rPr>
              <w:t>: Tillæg i henhold til artikel 429b, stk. 4, og artikel 222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429b, stk. 4, og artikel 222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 xml:space="preserve">Eksponeringsværdien af </w:t>
            </w:r>
            <w:proofErr w:type="spellStart"/>
            <w:r w:rsidRPr="003E36FB">
              <w:rPr>
                <w:rFonts w:ascii="Times New Roman" w:hAnsi="Times New Roman"/>
              </w:rPr>
              <w:t>SFT'er</w:t>
            </w:r>
            <w:proofErr w:type="spellEnd"/>
            <w:r w:rsidRPr="003E36FB">
              <w:rPr>
                <w:rFonts w:ascii="Times New Roman" w:hAnsi="Times New Roman"/>
              </w:rPr>
              <w:t xml:space="preserve">, herunder ikkebalanceførte </w:t>
            </w:r>
            <w:proofErr w:type="spellStart"/>
            <w:r w:rsidRPr="003E36FB">
              <w:rPr>
                <w:rFonts w:ascii="Times New Roman" w:hAnsi="Times New Roman"/>
              </w:rPr>
              <w:t>SFT'er</w:t>
            </w:r>
            <w:proofErr w:type="spellEnd"/>
            <w:r w:rsidRPr="003E36FB">
              <w:rPr>
                <w:rFonts w:ascii="Times New Roman" w:hAnsi="Times New Roman"/>
              </w:rPr>
              <w:t xml:space="preserve">, beregnet i overensstemmelse med artikel 222 CRR, med en minimumssats på 20 % for den gældende risikovægt. </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I denne celle skal institutter medtage værdien af transaktioner i overensstemmelse med artikel 429b, stk. 6, litra c),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I denne celle skal institutter ikke medtage værdien af transaktioner, for hvilke den del af eksponeringsværdien bag gearingsgraden, der udgøres af tillægget, bestemmes i overensstemmelse med den metode, der er defineret i artikel 429b, stk. 1, i CRR.</w:t>
            </w:r>
          </w:p>
          <w:p w:rsidR="00AE2798" w:rsidRPr="003E36FB" w:rsidRDefault="00AE2798" w:rsidP="00FE0FF1">
            <w:pPr>
              <w:pStyle w:val="BodyText1"/>
              <w:spacing w:line="240" w:lineRule="auto"/>
              <w:rPr>
                <w:rFonts w:ascii="Times New Roman" w:hAnsi="Times New Roman"/>
                <w:bCs/>
              </w:rPr>
            </w:pPr>
          </w:p>
        </w:tc>
      </w:tr>
      <w:tr w:rsidR="00AE2798" w:rsidRPr="003E36FB" w:rsidTr="00FE0FF1">
        <w:trPr>
          <w:trHeight w:val="304"/>
        </w:trPr>
        <w:tc>
          <w:tcPr>
            <w:tcW w:w="1418" w:type="dxa"/>
          </w:tcPr>
          <w:p w:rsidR="00AE2798" w:rsidRPr="003E36FB" w:rsidRDefault="00AE2798" w:rsidP="00F71081">
            <w:pPr>
              <w:pStyle w:val="BodyText1"/>
              <w:rPr>
                <w:rFonts w:ascii="Times New Roman" w:hAnsi="Times New Roman"/>
                <w:bCs/>
              </w:rPr>
            </w:pPr>
            <w:r w:rsidRPr="003E36FB">
              <w:rPr>
                <w:rFonts w:ascii="Times New Roman" w:hAnsi="Times New Roman"/>
              </w:rPr>
              <w:t>{040;010}</w:t>
            </w:r>
          </w:p>
        </w:tc>
        <w:tc>
          <w:tcPr>
            <w:tcW w:w="7590" w:type="dxa"/>
          </w:tcPr>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b/>
              </w:rPr>
              <w:t xml:space="preserve">Modpartsrisiko i forbindelse med </w:t>
            </w:r>
            <w:proofErr w:type="spellStart"/>
            <w:r w:rsidRPr="003E36FB">
              <w:rPr>
                <w:rFonts w:ascii="Times New Roman" w:hAnsi="Times New Roman"/>
                <w:b/>
              </w:rPr>
              <w:t>SFT'er</w:t>
            </w:r>
            <w:proofErr w:type="spellEnd"/>
            <w:r w:rsidRPr="003E36FB">
              <w:rPr>
                <w:rFonts w:ascii="Times New Roman" w:hAnsi="Times New Roman"/>
                <w:b/>
              </w:rPr>
              <w:t>, hvor instituttet fungerer som agent, i henhold til artikel 429b, stk. 6,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429b, stk. 6, litra a), og artikel 429b, stk. 2 og 3,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 xml:space="preserve">Eksponeringsværdien af </w:t>
            </w:r>
            <w:proofErr w:type="spellStart"/>
            <w:r w:rsidRPr="003E36FB">
              <w:rPr>
                <w:rFonts w:ascii="Times New Roman" w:hAnsi="Times New Roman"/>
              </w:rPr>
              <w:t>SFT'er</w:t>
            </w:r>
            <w:proofErr w:type="spellEnd"/>
            <w:r w:rsidRPr="003E36FB">
              <w:rPr>
                <w:rFonts w:ascii="Times New Roman" w:hAnsi="Times New Roman"/>
              </w:rPr>
              <w:t>, hvor instituttet fungerer som agent, hvis instituttet yder en kunde eller en modpart en godtgørelse eller en garanti, som er begrænset til forskellen mellem værdien af værdipapiret eller det kontante beløb, som kunden har udlånt, og værdien af den af låntager stillede sikkerhed, jf. artikel 429b, stk. 6, litra a), i CRR, udelukkende bestående af det i overensstemmelse med artikel 429b, stk. 2 eller 3, i CRR bestemte tillæg.</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I denne celle skal institutter ikke medtage værdien af transaktioner i overensstemmelse med artikel 429b, stk. 6, litra c). Institutter skal i stedet angive disse poster i {010;010} og {020;010} eller {010;010} og {030;010}.</w:t>
            </w:r>
          </w:p>
          <w:p w:rsidR="00AE2798" w:rsidRPr="003E36FB" w:rsidRDefault="00AE2798" w:rsidP="00FE0FF1">
            <w:pPr>
              <w:pStyle w:val="BodyText1"/>
              <w:spacing w:line="240" w:lineRule="auto"/>
              <w:rPr>
                <w:rFonts w:ascii="Times New Roman" w:hAnsi="Times New Roman"/>
                <w:bCs/>
              </w:rPr>
            </w:pPr>
          </w:p>
        </w:tc>
      </w:tr>
      <w:tr w:rsidR="00AE2798" w:rsidRPr="003E36FB" w:rsidTr="00FE0FF1">
        <w:trPr>
          <w:trHeight w:val="304"/>
        </w:trPr>
        <w:tc>
          <w:tcPr>
            <w:tcW w:w="1418" w:type="dxa"/>
          </w:tcPr>
          <w:p w:rsidR="00AE2798" w:rsidRPr="003E36FB" w:rsidRDefault="00AE2798" w:rsidP="00F71081">
            <w:pPr>
              <w:pStyle w:val="BodyText1"/>
              <w:rPr>
                <w:rFonts w:ascii="Times New Roman" w:hAnsi="Times New Roman"/>
                <w:bCs/>
              </w:rPr>
            </w:pPr>
            <w:r w:rsidRPr="003E36FB">
              <w:rPr>
                <w:rFonts w:ascii="Times New Roman" w:hAnsi="Times New Roman"/>
              </w:rPr>
              <w:t>{050;010}</w:t>
            </w:r>
          </w:p>
        </w:tc>
        <w:tc>
          <w:tcPr>
            <w:tcW w:w="7590" w:type="dxa"/>
          </w:tcPr>
          <w:p w:rsidR="00AE2798" w:rsidRPr="003E36FB" w:rsidRDefault="005556DC" w:rsidP="00FE0FF1">
            <w:pPr>
              <w:pStyle w:val="BodyText1"/>
              <w:spacing w:line="240" w:lineRule="auto"/>
              <w:rPr>
                <w:rFonts w:ascii="Times New Roman" w:hAnsi="Times New Roman"/>
                <w:bCs/>
              </w:rPr>
            </w:pPr>
            <w:r w:rsidRPr="003E36FB">
              <w:rPr>
                <w:rFonts w:ascii="Times New Roman" w:hAnsi="Times New Roman"/>
                <w:b/>
              </w:rPr>
              <w:t>(-) Ikke medregnet CCP-element af kundeclearede SFT-eksponeringer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 stk. 11, og artikel 306, stk. 1, litra c),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 xml:space="preserve">Det ikke medregnede CCP-element af kundeclearede SFT-handelseksponeringer, forudsat </w:t>
            </w:r>
            <w:r w:rsidRPr="003E36FB">
              <w:rPr>
                <w:rFonts w:ascii="Times New Roman" w:hAnsi="Times New Roman"/>
              </w:rPr>
              <w:lastRenderedPageBreak/>
              <w:t>at de pågældende elementer opfylder betingelserne i artikel 306, stk. 1, litra c), i CRR.</w:t>
            </w:r>
          </w:p>
          <w:p w:rsidR="004052F0" w:rsidRPr="003E36FB" w:rsidRDefault="004052F0" w:rsidP="00FE0FF1">
            <w:pPr>
              <w:pStyle w:val="BodyText1"/>
              <w:spacing w:line="240" w:lineRule="auto"/>
              <w:rPr>
                <w:rFonts w:ascii="Times New Roman" w:hAnsi="Times New Roman"/>
                <w:bCs/>
              </w:rPr>
            </w:pPr>
          </w:p>
          <w:p w:rsidR="004052F0" w:rsidRPr="003E36FB" w:rsidRDefault="004052F0" w:rsidP="00FE0FF1">
            <w:pPr>
              <w:pStyle w:val="BodyText1"/>
              <w:spacing w:line="240" w:lineRule="auto"/>
              <w:rPr>
                <w:rFonts w:ascii="Times New Roman" w:hAnsi="Times New Roman"/>
                <w:bCs/>
              </w:rPr>
            </w:pPr>
            <w:r w:rsidRPr="003E36FB">
              <w:rPr>
                <w:rFonts w:ascii="Times New Roman" w:hAnsi="Times New Roman"/>
              </w:rPr>
              <w:t>Hvis det ikke medregnede CCP-element er et værdipapir, skal det ikke indberettes i denne celle, medmindre der er tale om et genpantsat værdipapir, som i henhold til de gældende regnskabsregler (dvs. i henhold til artikel 111, stk. 1, første punktum, i CRR) er medtaget til fuld værdi.</w:t>
            </w:r>
          </w:p>
          <w:p w:rsidR="004052F0" w:rsidRPr="003E36FB" w:rsidRDefault="004052F0" w:rsidP="00FE0FF1">
            <w:pPr>
              <w:pStyle w:val="BodyText1"/>
              <w:spacing w:line="240" w:lineRule="auto"/>
              <w:rPr>
                <w:rFonts w:ascii="Times New Roman" w:hAnsi="Times New Roman"/>
                <w:bCs/>
              </w:rPr>
            </w:pPr>
          </w:p>
          <w:p w:rsidR="004052F0" w:rsidRPr="003E36FB" w:rsidRDefault="004052F0" w:rsidP="00FD2C06">
            <w:pPr>
              <w:pStyle w:val="BodyText1"/>
              <w:spacing w:line="240" w:lineRule="auto"/>
              <w:rPr>
                <w:rFonts w:ascii="Times New Roman" w:hAnsi="Times New Roman"/>
                <w:bCs/>
              </w:rPr>
            </w:pPr>
            <w:r w:rsidRPr="003E36FB">
              <w:rPr>
                <w:rFonts w:ascii="Times New Roman" w:hAnsi="Times New Roman"/>
              </w:rPr>
              <w:t>Institutter skal også medtage det beløb, der indberettes i denne celle, i {010;010}, {020;010} og {030;010}, som om der ikke gjaldt nogen undtagelse, og i {190;010}, hvis betingelsen i den anden halvdel af det foregående punktum er opfyldt.</w:t>
            </w:r>
          </w:p>
          <w:p w:rsidR="00AF6C6D" w:rsidRPr="003E36FB" w:rsidRDefault="00AF6C6D" w:rsidP="00FD2C06">
            <w:pPr>
              <w:pStyle w:val="BodyText1"/>
              <w:spacing w:line="240" w:lineRule="auto"/>
              <w:rPr>
                <w:rFonts w:ascii="Times New Roman" w:hAnsi="Times New Roman"/>
                <w:bCs/>
              </w:rPr>
            </w:pPr>
          </w:p>
          <w:p w:rsidR="00AF6C6D" w:rsidRPr="003E36FB" w:rsidRDefault="00AF6C6D" w:rsidP="00FD2C06">
            <w:pPr>
              <w:pStyle w:val="BodyText1"/>
              <w:spacing w:line="240" w:lineRule="auto"/>
              <w:rPr>
                <w:rFonts w:ascii="Times New Roman" w:hAnsi="Times New Roman"/>
                <w:bCs/>
              </w:rPr>
            </w:pPr>
            <w:r w:rsidRPr="003E36FB">
              <w:rPr>
                <w:rFonts w:ascii="Times New Roman" w:hAnsi="Times New Roman"/>
              </w:rPr>
              <w:t>Hvis instituttet stiller en initialmargen for et ikke medregnet CCP-element, som indberettes i {190;010}, men ikke i {020;010} eller {030;010}, kan instituttet indberette beløbet i denne celle.</w:t>
            </w:r>
          </w:p>
          <w:p w:rsidR="00AE2798" w:rsidRPr="003E36FB" w:rsidRDefault="00AE2798" w:rsidP="00C0429A">
            <w:pPr>
              <w:pStyle w:val="BodyText1"/>
              <w:spacing w:line="240" w:lineRule="auto"/>
              <w:rPr>
                <w:rFonts w:ascii="Times New Roman" w:hAnsi="Times New Roman"/>
                <w:bCs/>
              </w:rPr>
            </w:pPr>
          </w:p>
        </w:tc>
      </w:tr>
      <w:tr w:rsidR="00AE2798" w:rsidRPr="003E36FB" w:rsidTr="00FE0FF1">
        <w:trPr>
          <w:trHeight w:val="304"/>
        </w:trPr>
        <w:tc>
          <w:tcPr>
            <w:tcW w:w="1418" w:type="dxa"/>
          </w:tcPr>
          <w:p w:rsidR="00AE2798" w:rsidRPr="003E36FB" w:rsidRDefault="00AE2798" w:rsidP="00FE0FF1">
            <w:pPr>
              <w:pStyle w:val="BodyText1"/>
              <w:rPr>
                <w:rFonts w:ascii="Times New Roman" w:hAnsi="Times New Roman"/>
                <w:bCs/>
              </w:rPr>
            </w:pPr>
            <w:r w:rsidRPr="003E36FB">
              <w:rPr>
                <w:rFonts w:ascii="Times New Roman" w:hAnsi="Times New Roman"/>
              </w:rPr>
              <w:lastRenderedPageBreak/>
              <w:t>{060;010}</w:t>
            </w:r>
          </w:p>
          <w:p w:rsidR="00AE2798" w:rsidRPr="003E36FB" w:rsidRDefault="00AE2798" w:rsidP="00FE0FF1">
            <w:pPr>
              <w:pStyle w:val="BodyText1"/>
              <w:rPr>
                <w:rFonts w:ascii="Times New Roman" w:hAnsi="Times New Roman"/>
                <w:bCs/>
              </w:rPr>
            </w:pPr>
          </w:p>
        </w:tc>
        <w:tc>
          <w:tcPr>
            <w:tcW w:w="7590" w:type="dxa"/>
          </w:tcPr>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b/>
              </w:rPr>
              <w:t xml:space="preserve">Derivater: Aktuelle genanskaffelsesomkostninger </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429a, 274, 295, 296, 297 og 298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 xml:space="preserve">De aktuelle genanskaffelsesomkostninger som </w:t>
            </w:r>
            <w:proofErr w:type="gramStart"/>
            <w:r w:rsidRPr="003E36FB">
              <w:rPr>
                <w:rFonts w:ascii="Times New Roman" w:hAnsi="Times New Roman"/>
              </w:rPr>
              <w:t>nævnt</w:t>
            </w:r>
            <w:proofErr w:type="gramEnd"/>
            <w:r w:rsidRPr="003E36FB">
              <w:rPr>
                <w:rFonts w:ascii="Times New Roman" w:hAnsi="Times New Roman"/>
              </w:rPr>
              <w:t xml:space="preserve"> i artikel 274, stk. 1, i CRR for kontrakter opført i bilag II til CRR og kreditderivater, herunder ikkebalanceførte kontrakter og kreditderivater indberettet uden fradrag af den modtagne variationsmargen.</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 xml:space="preserve">Ifølge artikel 429a, stk. 1, i CRR kan institutter tage hensyn til virkningen af kontrakter om nyordning ("novation") og andre aftaler om </w:t>
            </w:r>
            <w:proofErr w:type="spellStart"/>
            <w:r w:rsidRPr="003E36FB">
              <w:rPr>
                <w:rFonts w:ascii="Times New Roman" w:hAnsi="Times New Roman"/>
              </w:rPr>
              <w:t>netting</w:t>
            </w:r>
            <w:proofErr w:type="spellEnd"/>
            <w:r w:rsidRPr="003E36FB">
              <w:rPr>
                <w:rFonts w:ascii="Times New Roman" w:hAnsi="Times New Roman"/>
              </w:rPr>
              <w:t xml:space="preserve">, jf. artikel 295 i CRR. </w:t>
            </w:r>
            <w:proofErr w:type="spellStart"/>
            <w:r w:rsidRPr="003E36FB">
              <w:rPr>
                <w:rFonts w:ascii="Times New Roman" w:hAnsi="Times New Roman"/>
              </w:rPr>
              <w:t>Netting</w:t>
            </w:r>
            <w:proofErr w:type="spellEnd"/>
            <w:r w:rsidRPr="003E36FB">
              <w:rPr>
                <w:rFonts w:ascii="Times New Roman" w:hAnsi="Times New Roman"/>
              </w:rPr>
              <w:t xml:space="preserve"> på tværs af produkter må ikke anvendes. Institutter kan imidlertid modregne inden for den i artikel 272, nr. 25), litra c), i CRR omhandlede produktkategori og inden for kreditderivater omfattet af en aftale om </w:t>
            </w:r>
            <w:proofErr w:type="spellStart"/>
            <w:r w:rsidRPr="003E36FB">
              <w:rPr>
                <w:rFonts w:ascii="Times New Roman" w:hAnsi="Times New Roman"/>
              </w:rPr>
              <w:t>netting</w:t>
            </w:r>
            <w:proofErr w:type="spellEnd"/>
            <w:r w:rsidRPr="003E36FB">
              <w:rPr>
                <w:rFonts w:ascii="Times New Roman" w:hAnsi="Times New Roman"/>
              </w:rPr>
              <w:t xml:space="preserve"> på tværs af produkter, jf. artikel 295, litra c), i CRR.</w:t>
            </w:r>
          </w:p>
          <w:p w:rsidR="00AE2798" w:rsidRPr="003E36FB" w:rsidRDefault="00AE2798" w:rsidP="00FE0FF1">
            <w:pPr>
              <w:pStyle w:val="BodyText1"/>
              <w:spacing w:line="240" w:lineRule="auto"/>
              <w:rPr>
                <w:rFonts w:ascii="Times New Roman" w:hAnsi="Times New Roman"/>
              </w:rPr>
            </w:pPr>
          </w:p>
          <w:p w:rsidR="00AE2798" w:rsidRPr="003E36FB" w:rsidRDefault="00AE2798" w:rsidP="00FE0FF1">
            <w:pPr>
              <w:pStyle w:val="BodyText1"/>
              <w:spacing w:line="240" w:lineRule="auto"/>
              <w:rPr>
                <w:rFonts w:ascii="Times New Roman" w:hAnsi="Times New Roman"/>
              </w:rPr>
            </w:pPr>
            <w:r w:rsidRPr="003E36FB">
              <w:rPr>
                <w:rFonts w:ascii="Times New Roman" w:hAnsi="Times New Roman"/>
              </w:rPr>
              <w:t>Institutter skal i denne celle ikke angive kontrakter, der måles ved anvendelse af den oprindelige eksponeringsmetode, jf. artikel 429a, stk. 8, og artikel 275 i CRR.</w:t>
            </w:r>
          </w:p>
          <w:p w:rsidR="00AE2798" w:rsidRPr="003E36FB" w:rsidRDefault="00AE2798" w:rsidP="00FE0FF1">
            <w:pPr>
              <w:pStyle w:val="BodyText1"/>
              <w:spacing w:line="240" w:lineRule="auto"/>
              <w:rPr>
                <w:rFonts w:ascii="Times New Roman" w:hAnsi="Times New Roman"/>
                <w:u w:val="single"/>
              </w:rPr>
            </w:pPr>
          </w:p>
        </w:tc>
      </w:tr>
      <w:tr w:rsidR="00AE2798" w:rsidRPr="003E36FB" w:rsidTr="00FE0FF1">
        <w:trPr>
          <w:trHeight w:val="304"/>
        </w:trPr>
        <w:tc>
          <w:tcPr>
            <w:tcW w:w="1418" w:type="dxa"/>
            <w:tcBorders>
              <w:bottom w:val="single" w:sz="4" w:space="0" w:color="auto"/>
            </w:tcBorders>
          </w:tcPr>
          <w:p w:rsidR="00AE2798" w:rsidRPr="003E36FB" w:rsidRDefault="00AE2798" w:rsidP="00F71081">
            <w:pPr>
              <w:pStyle w:val="BodyText1"/>
              <w:rPr>
                <w:rFonts w:ascii="Times New Roman" w:hAnsi="Times New Roman"/>
                <w:bCs/>
              </w:rPr>
            </w:pPr>
            <w:r w:rsidRPr="003E36FB">
              <w:rPr>
                <w:rFonts w:ascii="Times New Roman" w:hAnsi="Times New Roman"/>
              </w:rPr>
              <w:t>{070;010}</w:t>
            </w:r>
          </w:p>
        </w:tc>
        <w:tc>
          <w:tcPr>
            <w:tcW w:w="7590" w:type="dxa"/>
            <w:tcBorders>
              <w:bottom w:val="single" w:sz="4" w:space="0" w:color="auto"/>
            </w:tcBorders>
          </w:tcPr>
          <w:p w:rsidR="00AE2798" w:rsidRPr="003E36FB" w:rsidRDefault="005556DC" w:rsidP="00FE0FF1">
            <w:pPr>
              <w:pStyle w:val="BodyText1"/>
              <w:spacing w:line="240" w:lineRule="auto"/>
              <w:rPr>
                <w:rFonts w:ascii="Times New Roman" w:hAnsi="Times New Roman"/>
                <w:bCs/>
              </w:rPr>
            </w:pPr>
            <w:r w:rsidRPr="003E36FB">
              <w:rPr>
                <w:rFonts w:ascii="Times New Roman" w:hAnsi="Times New Roman"/>
                <w:b/>
              </w:rPr>
              <w:t>(-) Godkendt variationsmargen modtaget kontant modregnet i derivaters markedsværdi</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429a, stk. 3,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Variationsmargen modtaget kontant fra modparten, som kan modregnes i derivateksponeringens genanskaffelsesomkostninger i henhold til artikel 429a, stk. 3, i CRR.</w:t>
            </w:r>
          </w:p>
          <w:p w:rsidR="00291B93" w:rsidRPr="003E36FB" w:rsidRDefault="00291B93" w:rsidP="00FE0FF1">
            <w:pPr>
              <w:pStyle w:val="BodyText1"/>
              <w:spacing w:line="240" w:lineRule="auto"/>
              <w:rPr>
                <w:rFonts w:ascii="Times New Roman" w:hAnsi="Times New Roman"/>
                <w:bCs/>
              </w:rPr>
            </w:pPr>
          </w:p>
          <w:p w:rsidR="00291B93" w:rsidRPr="003E36FB" w:rsidRDefault="00291B93" w:rsidP="00FE0FF1">
            <w:pPr>
              <w:pStyle w:val="BodyText1"/>
              <w:spacing w:line="240" w:lineRule="auto"/>
              <w:rPr>
                <w:rFonts w:ascii="Times New Roman" w:hAnsi="Times New Roman"/>
                <w:bCs/>
              </w:rPr>
            </w:pPr>
            <w:r w:rsidRPr="003E36FB">
              <w:rPr>
                <w:rFonts w:ascii="Times New Roman" w:hAnsi="Times New Roman"/>
              </w:rPr>
              <w:t>En eventuel kontant variationsmargen, der måtte være modtaget for et ikke medregnet CCP-element i henhold til artikel 429, stk. 11, i CRR, indberettes ikke.</w:t>
            </w:r>
          </w:p>
          <w:p w:rsidR="00AE2798" w:rsidRPr="003E36FB" w:rsidRDefault="00AE2798" w:rsidP="00FE0FF1">
            <w:pPr>
              <w:pStyle w:val="BodyText1"/>
              <w:spacing w:line="240" w:lineRule="auto"/>
              <w:rPr>
                <w:rFonts w:ascii="Times New Roman" w:hAnsi="Times New Roman"/>
                <w:bCs/>
              </w:rPr>
            </w:pPr>
          </w:p>
        </w:tc>
      </w:tr>
      <w:tr w:rsidR="00AE2798" w:rsidRPr="003E36FB" w:rsidTr="00FE0FF1">
        <w:trPr>
          <w:trHeight w:val="304"/>
        </w:trPr>
        <w:tc>
          <w:tcPr>
            <w:tcW w:w="1418" w:type="dxa"/>
            <w:tcBorders>
              <w:bottom w:val="single" w:sz="4" w:space="0" w:color="auto"/>
            </w:tcBorders>
          </w:tcPr>
          <w:p w:rsidR="00AE2798" w:rsidRPr="003E36FB" w:rsidRDefault="00AE2798" w:rsidP="00F71081">
            <w:pPr>
              <w:pStyle w:val="BodyText1"/>
              <w:rPr>
                <w:rFonts w:ascii="Times New Roman" w:hAnsi="Times New Roman"/>
                <w:bCs/>
              </w:rPr>
            </w:pPr>
            <w:r w:rsidRPr="003E36FB">
              <w:rPr>
                <w:rFonts w:ascii="Times New Roman" w:hAnsi="Times New Roman"/>
              </w:rPr>
              <w:t>{080;010}</w:t>
            </w:r>
          </w:p>
        </w:tc>
        <w:tc>
          <w:tcPr>
            <w:tcW w:w="7590" w:type="dxa"/>
            <w:tcBorders>
              <w:bottom w:val="single" w:sz="4" w:space="0" w:color="auto"/>
            </w:tcBorders>
          </w:tcPr>
          <w:p w:rsidR="00AE2798" w:rsidRPr="003E36FB" w:rsidRDefault="005556DC" w:rsidP="00FE0FF1">
            <w:pPr>
              <w:pStyle w:val="BodyText1"/>
              <w:spacing w:line="240" w:lineRule="auto"/>
              <w:rPr>
                <w:rFonts w:ascii="Times New Roman" w:hAnsi="Times New Roman"/>
                <w:bCs/>
              </w:rPr>
            </w:pPr>
            <w:r w:rsidRPr="003E36FB">
              <w:rPr>
                <w:rFonts w:ascii="Times New Roman" w:hAnsi="Times New Roman"/>
                <w:b/>
              </w:rPr>
              <w:t>(-) Ikke medregnet CCP-element af kundeclearede handelseksponeringer (genanskaffelsesomkostninger)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 stk. 11,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Genanskaffelsesomkostningsandelen for ikke medregnede handelseksponeringer mod en QCCP fra kundeclearede derivattransaktioner, forudsat at de pågældende poster opfylder betingelserne i artikel 306, stk. 1, litra c), i CRR. Dette beløb skal indberettes uden fradrag af kontant variationsmargen modtaget for dette element.</w:t>
            </w:r>
          </w:p>
          <w:p w:rsidR="00AE2798" w:rsidRPr="003E36FB" w:rsidRDefault="00AE2798" w:rsidP="00FE0FF1">
            <w:pPr>
              <w:pStyle w:val="BodyText1"/>
              <w:spacing w:line="240" w:lineRule="auto"/>
              <w:rPr>
                <w:rFonts w:ascii="Times New Roman" w:hAnsi="Times New Roman"/>
                <w:bCs/>
              </w:rPr>
            </w:pPr>
          </w:p>
          <w:p w:rsidR="00184D76" w:rsidRPr="003E36FB" w:rsidRDefault="00184D76" w:rsidP="00184D76">
            <w:pPr>
              <w:pStyle w:val="BodyText1"/>
              <w:spacing w:line="240" w:lineRule="auto"/>
              <w:rPr>
                <w:rFonts w:ascii="Times New Roman" w:hAnsi="Times New Roman"/>
                <w:bCs/>
              </w:rPr>
            </w:pPr>
            <w:r w:rsidRPr="003E36FB">
              <w:rPr>
                <w:rFonts w:ascii="Times New Roman" w:hAnsi="Times New Roman"/>
              </w:rPr>
              <w:t>Institutter skal også medtage det beløb, der er indberettet i denne celle, i {060;010}, som om der ikke gjaldt nogen undtagelse.</w:t>
            </w:r>
          </w:p>
          <w:p w:rsidR="00184D76" w:rsidRPr="003E36FB" w:rsidRDefault="00184D76" w:rsidP="00FE0FF1">
            <w:pPr>
              <w:pStyle w:val="BodyText1"/>
              <w:spacing w:line="240" w:lineRule="auto"/>
              <w:rPr>
                <w:rFonts w:ascii="Times New Roman" w:hAnsi="Times New Roman"/>
                <w:bCs/>
              </w:rPr>
            </w:pPr>
          </w:p>
        </w:tc>
      </w:tr>
      <w:tr w:rsidR="00AE2798" w:rsidRPr="003E36FB" w:rsidTr="00FE0FF1">
        <w:trPr>
          <w:trHeight w:val="304"/>
        </w:trPr>
        <w:tc>
          <w:tcPr>
            <w:tcW w:w="1418" w:type="dxa"/>
            <w:tcBorders>
              <w:bottom w:val="single" w:sz="4" w:space="0" w:color="auto"/>
            </w:tcBorders>
          </w:tcPr>
          <w:p w:rsidR="00AE2798" w:rsidRPr="003E36FB" w:rsidRDefault="00AE2798" w:rsidP="00FE0FF1">
            <w:pPr>
              <w:pStyle w:val="BodyText1"/>
              <w:rPr>
                <w:rFonts w:ascii="Times New Roman" w:hAnsi="Times New Roman"/>
                <w:bCs/>
              </w:rPr>
            </w:pPr>
            <w:r w:rsidRPr="003E36FB">
              <w:rPr>
                <w:rFonts w:ascii="Times New Roman" w:hAnsi="Times New Roman"/>
              </w:rPr>
              <w:t>{090;010}</w:t>
            </w:r>
          </w:p>
          <w:p w:rsidR="00AE2798" w:rsidRPr="003E36FB" w:rsidRDefault="00AE2798" w:rsidP="00FE0FF1">
            <w:pPr>
              <w:pStyle w:val="BodyText1"/>
              <w:rPr>
                <w:rFonts w:ascii="Times New Roman" w:hAnsi="Times New Roman"/>
                <w:bCs/>
              </w:rPr>
            </w:pPr>
          </w:p>
        </w:tc>
        <w:tc>
          <w:tcPr>
            <w:tcW w:w="7590" w:type="dxa"/>
            <w:tcBorders>
              <w:bottom w:val="single" w:sz="4" w:space="0" w:color="auto"/>
            </w:tcBorders>
          </w:tcPr>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b/>
              </w:rPr>
              <w:lastRenderedPageBreak/>
              <w:t>Derivater: Tillæg i henhold til markedsværdimetoden</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lastRenderedPageBreak/>
              <w:t>Artikel 429a, 274, 295, 296, 297, 298 og 299, stk. 2,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 xml:space="preserve">I denne celle angives tillægget for den potentielle fremtidige eksponering for kontrakter opført i bilag II til CRR og for kreditderivater, herunder ikkebalanceførte kontrakter og kreditderivater beregnet i overensstemmelse med markedsværdimetoden (artikel 274 i CRR for kontrakter opført i bilag II til CRR og artikel 299, stk. 2, i CRR for kreditderivater) med anvendelse af reglerne om </w:t>
            </w:r>
            <w:proofErr w:type="spellStart"/>
            <w:r w:rsidRPr="003E36FB">
              <w:rPr>
                <w:rFonts w:ascii="Times New Roman" w:hAnsi="Times New Roman"/>
              </w:rPr>
              <w:t>netting</w:t>
            </w:r>
            <w:proofErr w:type="spellEnd"/>
            <w:r w:rsidRPr="003E36FB">
              <w:rPr>
                <w:rFonts w:ascii="Times New Roman" w:hAnsi="Times New Roman"/>
              </w:rPr>
              <w:t xml:space="preserve"> i overensstemmelse med artikel 429a, stk. 1, i CRR. Ved bestemmelsen af eksponeringsværdien af disse kontrakter kan institutterne tage hensyn til virkningen af kontrakter om nyordning ("novation") og andre aftaler om </w:t>
            </w:r>
            <w:proofErr w:type="spellStart"/>
            <w:r w:rsidRPr="003E36FB">
              <w:rPr>
                <w:rFonts w:ascii="Times New Roman" w:hAnsi="Times New Roman"/>
              </w:rPr>
              <w:t>netting</w:t>
            </w:r>
            <w:proofErr w:type="spellEnd"/>
            <w:r w:rsidRPr="003E36FB">
              <w:rPr>
                <w:rFonts w:ascii="Times New Roman" w:hAnsi="Times New Roman"/>
              </w:rPr>
              <w:t xml:space="preserve">, jf. artikel 295 i CRR. </w:t>
            </w:r>
            <w:proofErr w:type="spellStart"/>
            <w:r w:rsidRPr="003E36FB">
              <w:rPr>
                <w:rFonts w:ascii="Times New Roman" w:hAnsi="Times New Roman"/>
              </w:rPr>
              <w:t>Netting</w:t>
            </w:r>
            <w:proofErr w:type="spellEnd"/>
            <w:r w:rsidRPr="003E36FB">
              <w:rPr>
                <w:rFonts w:ascii="Times New Roman" w:hAnsi="Times New Roman"/>
              </w:rPr>
              <w:t xml:space="preserve"> på tværs af produkter må ikke anvendes. Institutter kan imidlertid modregne inden for den i artikel 272, nr. 25), litra c), i CRR omhandlede produktkategori og inden for kreditderivater omfattet af en aftale om </w:t>
            </w:r>
            <w:proofErr w:type="spellStart"/>
            <w:r w:rsidRPr="003E36FB">
              <w:rPr>
                <w:rFonts w:ascii="Times New Roman" w:hAnsi="Times New Roman"/>
              </w:rPr>
              <w:t>netting</w:t>
            </w:r>
            <w:proofErr w:type="spellEnd"/>
            <w:r w:rsidRPr="003E36FB">
              <w:rPr>
                <w:rFonts w:ascii="Times New Roman" w:hAnsi="Times New Roman"/>
              </w:rPr>
              <w:t xml:space="preserve"> på tværs af produkter, jf. artikel 295, litra c), i CRR. </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 xml:space="preserve">Når den potentielle fremtidige krediteksponering for kreditderivater bestemmes, skal institutterne i henhold til artikel 429a, stk. 1, andet afsnit, i CRR anvende principperne i artikel 299, stk. 2, litra a), i CRR på alle deres kreditderivater og ikke kun på dem, der er opført i handelsbeholdningen. </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rPr>
            </w:pPr>
            <w:r w:rsidRPr="003E36FB">
              <w:rPr>
                <w:rFonts w:ascii="Times New Roman" w:hAnsi="Times New Roman"/>
              </w:rPr>
              <w:t>Institutter skal i denne celle ikke angive kontrakter, der måles ved anvendelse af den oprindelige eksponeringsmetode, jf. artikel 429a, stk. 8, og artikel 275 i CRR.</w:t>
            </w:r>
          </w:p>
          <w:p w:rsidR="00AE2798" w:rsidRPr="003E36FB" w:rsidRDefault="00AE2798" w:rsidP="00FE0FF1">
            <w:pPr>
              <w:pStyle w:val="BodyText1"/>
              <w:spacing w:line="240" w:lineRule="auto"/>
              <w:rPr>
                <w:rFonts w:ascii="Times New Roman" w:hAnsi="Times New Roman"/>
                <w:bCs/>
                <w:u w:val="single"/>
              </w:rPr>
            </w:pPr>
          </w:p>
        </w:tc>
      </w:tr>
      <w:tr w:rsidR="00AE2798" w:rsidRPr="003E36FB" w:rsidTr="00FE0FF1">
        <w:trPr>
          <w:trHeight w:val="304"/>
        </w:trPr>
        <w:tc>
          <w:tcPr>
            <w:tcW w:w="1418" w:type="dxa"/>
          </w:tcPr>
          <w:p w:rsidR="00AE2798" w:rsidRPr="003E36FB" w:rsidRDefault="00AE2798" w:rsidP="00F71081">
            <w:pPr>
              <w:pStyle w:val="BodyText1"/>
              <w:rPr>
                <w:rFonts w:ascii="Times New Roman" w:hAnsi="Times New Roman"/>
                <w:bCs/>
              </w:rPr>
            </w:pPr>
            <w:r w:rsidRPr="003E36FB">
              <w:rPr>
                <w:rFonts w:ascii="Times New Roman" w:hAnsi="Times New Roman"/>
              </w:rPr>
              <w:lastRenderedPageBreak/>
              <w:t>{100;010}</w:t>
            </w:r>
          </w:p>
        </w:tc>
        <w:tc>
          <w:tcPr>
            <w:tcW w:w="7590" w:type="dxa"/>
          </w:tcPr>
          <w:p w:rsidR="00AE2798" w:rsidRPr="003E36FB" w:rsidRDefault="005556DC" w:rsidP="00FE0FF1">
            <w:pPr>
              <w:pStyle w:val="BodyText1"/>
              <w:spacing w:line="240" w:lineRule="auto"/>
              <w:rPr>
                <w:rFonts w:ascii="Times New Roman" w:hAnsi="Times New Roman"/>
                <w:bCs/>
              </w:rPr>
            </w:pPr>
            <w:r w:rsidRPr="003E36FB">
              <w:rPr>
                <w:rFonts w:ascii="Times New Roman" w:hAnsi="Times New Roman"/>
                <w:b/>
              </w:rPr>
              <w:t>(-) Ikke medregnet CCP-element af kundeclearede handelseksponeringer (potentiel fremtidig eksponering)</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 stk. 11,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Den potentielle fremtidige eksponering for ikke medregnede handelseksponeringer mod en QCCP fra kundeclearede derivattransaktioner, forudsat at de pågældende poster opfylder betingelserne i artikel 306, stk. 1, litra c), i CRR.</w:t>
            </w:r>
          </w:p>
          <w:p w:rsidR="001B3BF0" w:rsidRPr="003E36FB" w:rsidRDefault="001B3BF0" w:rsidP="00FE0FF1">
            <w:pPr>
              <w:pStyle w:val="BodyText1"/>
              <w:spacing w:line="240" w:lineRule="auto"/>
              <w:rPr>
                <w:rFonts w:ascii="Times New Roman" w:hAnsi="Times New Roman"/>
                <w:bCs/>
              </w:rPr>
            </w:pPr>
          </w:p>
          <w:p w:rsidR="001B3BF0" w:rsidRPr="003E36FB" w:rsidRDefault="001B3BF0" w:rsidP="00FE0FF1">
            <w:pPr>
              <w:pStyle w:val="BodyText1"/>
              <w:spacing w:line="240" w:lineRule="auto"/>
              <w:rPr>
                <w:rFonts w:ascii="Times New Roman" w:hAnsi="Times New Roman"/>
                <w:bCs/>
              </w:rPr>
            </w:pPr>
            <w:r w:rsidRPr="003E36FB">
              <w:rPr>
                <w:rFonts w:ascii="Times New Roman" w:hAnsi="Times New Roman"/>
              </w:rPr>
              <w:t>Institutter skal også medtage det beløb, der er indberettet i denne celle, i {090;010}, som om der ikke gjaldt nogen undtagelse.</w:t>
            </w:r>
          </w:p>
          <w:p w:rsidR="00AE2798" w:rsidRPr="003E36FB" w:rsidRDefault="00AE2798" w:rsidP="00FE0FF1">
            <w:pPr>
              <w:pStyle w:val="BodyText1"/>
              <w:spacing w:line="240" w:lineRule="auto"/>
              <w:rPr>
                <w:rFonts w:ascii="Times New Roman" w:hAnsi="Times New Roman"/>
                <w:bCs/>
              </w:rPr>
            </w:pPr>
          </w:p>
        </w:tc>
      </w:tr>
      <w:tr w:rsidR="00AE2798" w:rsidRPr="003E36FB" w:rsidTr="00FE0FF1">
        <w:trPr>
          <w:trHeight w:val="304"/>
        </w:trPr>
        <w:tc>
          <w:tcPr>
            <w:tcW w:w="1418" w:type="dxa"/>
          </w:tcPr>
          <w:p w:rsidR="00AE2798" w:rsidRPr="003E36FB" w:rsidRDefault="00AE2798" w:rsidP="00FE0FF1">
            <w:pPr>
              <w:pStyle w:val="BodyText1"/>
              <w:rPr>
                <w:rFonts w:ascii="Times New Roman" w:hAnsi="Times New Roman"/>
                <w:bCs/>
              </w:rPr>
            </w:pPr>
            <w:r w:rsidRPr="003E36FB">
              <w:rPr>
                <w:rFonts w:ascii="Times New Roman" w:hAnsi="Times New Roman"/>
              </w:rPr>
              <w:t>{110;010}</w:t>
            </w:r>
          </w:p>
          <w:p w:rsidR="00AE2798" w:rsidRPr="003E36FB" w:rsidRDefault="00AE2798" w:rsidP="00FE0FF1">
            <w:pPr>
              <w:pStyle w:val="BodyText1"/>
              <w:rPr>
                <w:rFonts w:ascii="Times New Roman" w:hAnsi="Times New Roman"/>
                <w:bCs/>
              </w:rPr>
            </w:pPr>
          </w:p>
        </w:tc>
        <w:tc>
          <w:tcPr>
            <w:tcW w:w="7590" w:type="dxa"/>
          </w:tcPr>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b/>
              </w:rPr>
              <w:t>Undtagelse for derivater: Oprindelig eksponeringsmetode</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429a, stk. 8, og artikel 275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I denne celle angives eksponeringsmålet for kontrakter opført i punkt 1 og 2 i bilag II til CRR, beregnet efter den oprindelige eksponeringsmetode som fastlagt i artikel 275 i CRR.</w:t>
            </w:r>
          </w:p>
          <w:p w:rsidR="00AE2798" w:rsidRPr="003E36FB" w:rsidRDefault="00AE2798" w:rsidP="00FE0FF1">
            <w:pPr>
              <w:pStyle w:val="BodyText1"/>
              <w:spacing w:line="240" w:lineRule="auto"/>
              <w:rPr>
                <w:rFonts w:ascii="Times New Roman" w:hAnsi="Times New Roman"/>
                <w:bCs/>
              </w:rPr>
            </w:pPr>
          </w:p>
          <w:p w:rsidR="00AE2798" w:rsidRPr="003E36FB" w:rsidRDefault="003F598C" w:rsidP="00FE0FF1">
            <w:pPr>
              <w:pStyle w:val="BodyText1"/>
              <w:spacing w:line="240" w:lineRule="auto"/>
              <w:rPr>
                <w:rFonts w:ascii="Times New Roman" w:hAnsi="Times New Roman"/>
                <w:bCs/>
              </w:rPr>
            </w:pPr>
            <w:r w:rsidRPr="003E36FB">
              <w:rPr>
                <w:rFonts w:ascii="Times New Roman" w:hAnsi="Times New Roman"/>
              </w:rPr>
              <w:t>Institutter, der anvender den oprindelige eksponeringsmetode, skal ikke reducere eksponeringsmålet med det kontant modtagne beløb for variationsmargenen, jf. artikel 429a, stk. 8,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Institutter, der ikke anvender den oprindelige eksponeringsmetode, skal ikke indberette oplysningerne i denne celle.</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rPr>
            </w:pPr>
            <w:r w:rsidRPr="003E36FB">
              <w:rPr>
                <w:rFonts w:ascii="Times New Roman" w:hAnsi="Times New Roman"/>
              </w:rPr>
              <w:t>Institutter skal i denne celle ikke angive kontrakter, der måles ved anvendelse af markedsværdimetoden, jf. artikel 429a, stk. 1, og artikel 274 i CRR.</w:t>
            </w:r>
          </w:p>
          <w:p w:rsidR="00AE2798" w:rsidRPr="003E36FB" w:rsidRDefault="00AE2798" w:rsidP="00FE0FF1">
            <w:pPr>
              <w:pStyle w:val="BodyText1"/>
              <w:spacing w:line="240" w:lineRule="auto"/>
              <w:rPr>
                <w:rFonts w:ascii="Times New Roman" w:hAnsi="Times New Roman"/>
                <w:bCs/>
                <w:u w:val="single"/>
              </w:rPr>
            </w:pPr>
          </w:p>
        </w:tc>
      </w:tr>
      <w:tr w:rsidR="00AE2798" w:rsidRPr="003E36FB" w:rsidTr="00FE0FF1">
        <w:trPr>
          <w:trHeight w:val="304"/>
        </w:trPr>
        <w:tc>
          <w:tcPr>
            <w:tcW w:w="1418" w:type="dxa"/>
          </w:tcPr>
          <w:p w:rsidR="00AE2798" w:rsidRPr="003E36FB" w:rsidRDefault="00AE2798" w:rsidP="00F71081">
            <w:pPr>
              <w:pStyle w:val="BodyText1"/>
              <w:rPr>
                <w:rFonts w:ascii="Times New Roman" w:hAnsi="Times New Roman"/>
                <w:bCs/>
              </w:rPr>
            </w:pPr>
            <w:r w:rsidRPr="003E36FB">
              <w:rPr>
                <w:rFonts w:ascii="Times New Roman" w:hAnsi="Times New Roman"/>
              </w:rPr>
              <w:t>{120;010}</w:t>
            </w:r>
          </w:p>
        </w:tc>
        <w:tc>
          <w:tcPr>
            <w:tcW w:w="7590" w:type="dxa"/>
          </w:tcPr>
          <w:p w:rsidR="00AE2798" w:rsidRPr="003E36FB" w:rsidRDefault="00422C76" w:rsidP="00FE0FF1">
            <w:pPr>
              <w:pStyle w:val="BodyText1"/>
              <w:spacing w:line="240" w:lineRule="auto"/>
              <w:rPr>
                <w:rFonts w:ascii="Times New Roman" w:hAnsi="Times New Roman"/>
                <w:bCs/>
              </w:rPr>
            </w:pPr>
            <w:r w:rsidRPr="003E36FB">
              <w:rPr>
                <w:rFonts w:ascii="Times New Roman" w:hAnsi="Times New Roman"/>
                <w:b/>
              </w:rPr>
              <w:t>(-) Ikke medregnet CCP-element af kundeclearede handelseksponeringer (oprindelig eksponeringsmetode)</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 stk. 11,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Det ikke medregnede CCP-element af kundeclearede handelseksponeringer ved anvendelse af den oprindelige eksponeringsmetode som fastsat i artikel 275 i CRR, forudsat at de pågældende poster opfylder betingelserne i artikel 306, stk. 1, litra c), i CRR.</w:t>
            </w:r>
          </w:p>
          <w:p w:rsidR="001B3BF0" w:rsidRPr="003E36FB" w:rsidRDefault="001B3BF0" w:rsidP="00FE0FF1">
            <w:pPr>
              <w:pStyle w:val="BodyText1"/>
              <w:spacing w:line="240" w:lineRule="auto"/>
              <w:rPr>
                <w:rFonts w:ascii="Times New Roman" w:hAnsi="Times New Roman"/>
                <w:bCs/>
              </w:rPr>
            </w:pPr>
          </w:p>
          <w:p w:rsidR="001B3BF0" w:rsidRPr="003E36FB" w:rsidRDefault="001B3BF0" w:rsidP="00FE0FF1">
            <w:pPr>
              <w:pStyle w:val="BodyText1"/>
              <w:spacing w:line="240" w:lineRule="auto"/>
              <w:rPr>
                <w:rFonts w:ascii="Times New Roman" w:hAnsi="Times New Roman"/>
                <w:bCs/>
              </w:rPr>
            </w:pPr>
            <w:r w:rsidRPr="003E36FB">
              <w:rPr>
                <w:rFonts w:ascii="Times New Roman" w:hAnsi="Times New Roman"/>
              </w:rPr>
              <w:t>Institutter skal også medtage det beløb, der er indberettet i denne celle, i {110;010}, som om der ikke gjaldt nogen undtagelse.</w:t>
            </w:r>
          </w:p>
          <w:p w:rsidR="00AE2798" w:rsidRPr="003E36FB" w:rsidRDefault="00AE2798" w:rsidP="00FE0FF1">
            <w:pPr>
              <w:pStyle w:val="BodyText1"/>
              <w:spacing w:line="240" w:lineRule="auto"/>
              <w:rPr>
                <w:rFonts w:ascii="Times New Roman" w:hAnsi="Times New Roman"/>
                <w:bCs/>
              </w:rPr>
            </w:pPr>
          </w:p>
        </w:tc>
      </w:tr>
      <w:tr w:rsidR="00AE2798" w:rsidRPr="003E36FB" w:rsidTr="00FE0FF1">
        <w:trPr>
          <w:trHeight w:val="304"/>
        </w:trPr>
        <w:tc>
          <w:tcPr>
            <w:tcW w:w="1418" w:type="dxa"/>
          </w:tcPr>
          <w:p w:rsidR="00AE2798" w:rsidRPr="003E36FB" w:rsidRDefault="00AE2798" w:rsidP="00FE0FF1">
            <w:pPr>
              <w:pStyle w:val="BodyText1"/>
              <w:rPr>
                <w:rFonts w:ascii="Times New Roman" w:hAnsi="Times New Roman"/>
                <w:bCs/>
              </w:rPr>
            </w:pPr>
            <w:r w:rsidRPr="003E36FB">
              <w:rPr>
                <w:rFonts w:ascii="Times New Roman" w:hAnsi="Times New Roman"/>
              </w:rPr>
              <w:lastRenderedPageBreak/>
              <w:t>{130;010}</w:t>
            </w:r>
          </w:p>
        </w:tc>
        <w:tc>
          <w:tcPr>
            <w:tcW w:w="7590" w:type="dxa"/>
          </w:tcPr>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b/>
              </w:rPr>
              <w:t>Maksimal fiktiv værdi af udstedte kreditderivater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429a, stk. 5-7,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Den maksimale fiktive værdi af udstedte kreditderivater (dvs. hvor instituttet stiller kreditrisikoafdækning til rådighed for en modpart), jf. artikel 429a, stk. 5-7, i CRR.</w:t>
            </w:r>
          </w:p>
          <w:p w:rsidR="00AE2798" w:rsidRPr="003E36FB" w:rsidRDefault="00AE2798" w:rsidP="00FE0FF1">
            <w:pPr>
              <w:pStyle w:val="BodyText1"/>
              <w:spacing w:line="240" w:lineRule="auto"/>
              <w:rPr>
                <w:rFonts w:ascii="Times New Roman" w:hAnsi="Times New Roman"/>
                <w:bCs/>
              </w:rPr>
            </w:pPr>
          </w:p>
        </w:tc>
      </w:tr>
      <w:tr w:rsidR="00AE2798" w:rsidRPr="003E36FB" w:rsidTr="00FE0FF1">
        <w:trPr>
          <w:trHeight w:val="304"/>
        </w:trPr>
        <w:tc>
          <w:tcPr>
            <w:tcW w:w="1418" w:type="dxa"/>
          </w:tcPr>
          <w:p w:rsidR="00AE2798" w:rsidRPr="003E36FB" w:rsidRDefault="00AE2798" w:rsidP="00FE0FF1">
            <w:pPr>
              <w:pStyle w:val="BodyText1"/>
              <w:rPr>
                <w:rFonts w:ascii="Times New Roman" w:hAnsi="Times New Roman"/>
                <w:bCs/>
              </w:rPr>
            </w:pPr>
            <w:r w:rsidRPr="003E36FB">
              <w:rPr>
                <w:rFonts w:ascii="Times New Roman" w:hAnsi="Times New Roman"/>
              </w:rPr>
              <w:t>{140;010}</w:t>
            </w:r>
          </w:p>
        </w:tc>
        <w:tc>
          <w:tcPr>
            <w:tcW w:w="7590" w:type="dxa"/>
          </w:tcPr>
          <w:p w:rsidR="00AE2798" w:rsidRPr="003E36FB" w:rsidRDefault="00422C76" w:rsidP="00FE0FF1">
            <w:pPr>
              <w:pStyle w:val="BodyText1"/>
              <w:spacing w:line="240" w:lineRule="auto"/>
              <w:rPr>
                <w:rFonts w:ascii="Times New Roman" w:hAnsi="Times New Roman"/>
                <w:bCs/>
              </w:rPr>
            </w:pPr>
            <w:r w:rsidRPr="003E36FB">
              <w:rPr>
                <w:rFonts w:ascii="Times New Roman" w:hAnsi="Times New Roman"/>
                <w:b/>
              </w:rPr>
              <w:t>(-) Anerkendte erhvervede kreditderivater modregnet i udstedte kreditderivater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429a, stk. 5-7,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Den maksimale fiktive værdi af erhvervede kreditderivater (dvs. hvor instituttet køber kreditrisikoafdækning fra en modpart) for de samme referencenavne som de kreditderivater, der er udstedt af instituttet, når den købte kreditrisikoafdæknings restløbetid er lig med eller længere end den solgte afdæknings restløbetid. Værdien må derfor ikke være højere end den værdi, der er angivet i {130;010} for hvert referencenavn.</w:t>
            </w:r>
          </w:p>
          <w:p w:rsidR="00AE2798" w:rsidRPr="003E36FB" w:rsidRDefault="00AE2798" w:rsidP="00FE0FF1">
            <w:pPr>
              <w:pStyle w:val="BodyText1"/>
              <w:spacing w:line="240" w:lineRule="auto"/>
              <w:rPr>
                <w:rFonts w:ascii="Times New Roman" w:hAnsi="Times New Roman"/>
                <w:bCs/>
              </w:rPr>
            </w:pPr>
          </w:p>
        </w:tc>
      </w:tr>
      <w:tr w:rsidR="00AE2798" w:rsidRPr="003E36FB" w:rsidTr="006E259E">
        <w:trPr>
          <w:trHeight w:val="983"/>
        </w:trPr>
        <w:tc>
          <w:tcPr>
            <w:tcW w:w="1418" w:type="dxa"/>
          </w:tcPr>
          <w:p w:rsidR="00AE2798" w:rsidRPr="003E36FB" w:rsidRDefault="00AE2798" w:rsidP="00FE0FF1">
            <w:pPr>
              <w:pStyle w:val="BodyText1"/>
              <w:rPr>
                <w:rFonts w:ascii="Times New Roman" w:hAnsi="Times New Roman"/>
                <w:bCs/>
              </w:rPr>
            </w:pPr>
            <w:r w:rsidRPr="003E36FB">
              <w:rPr>
                <w:rFonts w:ascii="Times New Roman" w:hAnsi="Times New Roman"/>
              </w:rPr>
              <w:t>{150;010}</w:t>
            </w:r>
          </w:p>
          <w:p w:rsidR="00AE2798" w:rsidRPr="003E36FB" w:rsidRDefault="00AE2798" w:rsidP="00FE0FF1">
            <w:pPr>
              <w:pStyle w:val="BodyText1"/>
              <w:rPr>
                <w:rFonts w:ascii="Times New Roman" w:hAnsi="Times New Roman"/>
                <w:bCs/>
              </w:rPr>
            </w:pPr>
          </w:p>
        </w:tc>
        <w:tc>
          <w:tcPr>
            <w:tcW w:w="7590" w:type="dxa"/>
          </w:tcPr>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b/>
              </w:rPr>
              <w:t>Ikkebalanceførte poster med en konverteringsfaktor på 10 % i overensstemmelse med artikel 429, stk. 10,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 stk. 10, artikel 111, stk. 1, litra d), og artikel 166, stk. 9,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Eksponeringsværdien, jf. artikel 429, stk. 10, og artikel 111, stk. 1, litra d), i CRR, af ikkebalanceførte poster med lav risiko, der tildeles en kreditkonverteringsfaktor på 0 %, jf. bilag I, punkt 4, litra a)-c), i CRR (det understreges, at eksponeringsværdien her skal være 10 % af den nominelle værdi). Dette er forpligtelser, der af instituttet kan opsiges uden betingelser når som helst uden varsel, eller som effektivt sikrer automatisk opsigelse ved en forringelse af en låntagers kreditværdighed.</w:t>
            </w:r>
            <w:r w:rsidRPr="003E36FB">
              <w:t xml:space="preserve"> </w:t>
            </w:r>
            <w:r w:rsidRPr="003E36FB">
              <w:rPr>
                <w:rFonts w:ascii="Times New Roman" w:hAnsi="Times New Roman"/>
              </w:rPr>
              <w:t>Det understreges, at justeringer af den specifikke kreditrisiko ikke må trækkes fra den nominelle værdi.</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Er en forpligtelse knyttet til udvidelsen af en anden forpligtelse, anvendes den laveste af de to konverteringsfaktorer, der gælder for det enkelte tilsagn, jf. artikel 166, stk. 9,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 xml:space="preserve">Institutter skal i denne celle ikke angive kontrakter opført i bilag II til CRR, kreditderivater og </w:t>
            </w:r>
            <w:proofErr w:type="spellStart"/>
            <w:r w:rsidRPr="003E36FB">
              <w:rPr>
                <w:rFonts w:ascii="Times New Roman" w:hAnsi="Times New Roman"/>
              </w:rPr>
              <w:t>SFT'er</w:t>
            </w:r>
            <w:proofErr w:type="spellEnd"/>
            <w:r w:rsidRPr="003E36FB">
              <w:rPr>
                <w:rFonts w:ascii="Times New Roman" w:hAnsi="Times New Roman"/>
              </w:rPr>
              <w:t>, jf. artikel 429, stk. 10, i CRR.</w:t>
            </w:r>
          </w:p>
          <w:p w:rsidR="00AE2798" w:rsidRPr="003E36FB" w:rsidRDefault="00AE2798" w:rsidP="00FE0FF1">
            <w:pPr>
              <w:pStyle w:val="BodyText1"/>
              <w:spacing w:line="240" w:lineRule="auto"/>
              <w:rPr>
                <w:rFonts w:ascii="Times New Roman" w:hAnsi="Times New Roman"/>
                <w:bCs/>
                <w:u w:val="single"/>
              </w:rPr>
            </w:pPr>
          </w:p>
        </w:tc>
      </w:tr>
      <w:tr w:rsidR="00AE2798" w:rsidRPr="003E36FB" w:rsidTr="00FD2C06">
        <w:trPr>
          <w:trHeight w:val="712"/>
        </w:trPr>
        <w:tc>
          <w:tcPr>
            <w:tcW w:w="1418" w:type="dxa"/>
          </w:tcPr>
          <w:p w:rsidR="00AE2798" w:rsidRPr="003E36FB" w:rsidRDefault="00AE2798" w:rsidP="00FE0FF1">
            <w:pPr>
              <w:pStyle w:val="BodyText1"/>
              <w:rPr>
                <w:rFonts w:ascii="Times New Roman" w:hAnsi="Times New Roman"/>
                <w:bCs/>
              </w:rPr>
            </w:pPr>
            <w:r w:rsidRPr="003E36FB">
              <w:rPr>
                <w:rFonts w:ascii="Times New Roman" w:hAnsi="Times New Roman"/>
              </w:rPr>
              <w:t>{160;010}</w:t>
            </w:r>
          </w:p>
        </w:tc>
        <w:tc>
          <w:tcPr>
            <w:tcW w:w="7590" w:type="dxa"/>
          </w:tcPr>
          <w:p w:rsidR="00AE2798" w:rsidRPr="003E36FB" w:rsidRDefault="00AE2798" w:rsidP="00FE0FF1">
            <w:pPr>
              <w:pStyle w:val="BodyText1"/>
              <w:spacing w:line="240" w:lineRule="auto"/>
              <w:rPr>
                <w:rFonts w:ascii="Times New Roman" w:hAnsi="Times New Roman"/>
                <w:b/>
                <w:bCs/>
              </w:rPr>
            </w:pPr>
            <w:r w:rsidRPr="003E36FB">
              <w:rPr>
                <w:rFonts w:ascii="Times New Roman" w:hAnsi="Times New Roman"/>
                <w:b/>
              </w:rPr>
              <w:t>Ikkebalanceførte poster med en konverteringsfaktor på 20 % i overensstemmelse med artikel 429, stk. 10, i CRR</w:t>
            </w:r>
          </w:p>
          <w:p w:rsidR="00AE2798" w:rsidRPr="003E36FB" w:rsidRDefault="00AE2798" w:rsidP="00FE0FF1">
            <w:pPr>
              <w:pStyle w:val="BodyText1"/>
              <w:spacing w:line="240" w:lineRule="auto"/>
              <w:rPr>
                <w:rFonts w:ascii="Times New Roman" w:hAnsi="Times New Roman"/>
                <w:b/>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 stk. 10, artikel 111, stk. 1, litra c), og artikel 166, stk. 9,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Eksponeringsværdien, jf. artikel 429, stk. 10, og artikel 111, stk. 1, litra c), i CRR, af ikkebalanceførte poster med middel/lav risiko, der tildeles en kreditkonverteringsfaktor på 20 %, jf. punkt 3, litra a) og b), i bilag I til CRR (det understreges, at eksponeringsværdien her skal være 20 % af den nominelle værdi).</w:t>
            </w:r>
            <w:r w:rsidRPr="003E36FB">
              <w:t xml:space="preserve"> </w:t>
            </w:r>
            <w:r w:rsidRPr="003E36FB">
              <w:rPr>
                <w:rFonts w:ascii="Times New Roman" w:hAnsi="Times New Roman"/>
              </w:rPr>
              <w:t>Det understreges, at justeringer af den specifikke kreditrisiko ikke må trækkes fra den nominelle værdi.</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Er en forpligtelse knyttet til udvidelsen af en anden forpligtelse, anvendes den laveste af de to konverteringsfaktorer, der gælder for det enkelte tilsagn, jf. artikel 166, stk. 9,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433E1A">
            <w:pPr>
              <w:pStyle w:val="BodyText1"/>
              <w:spacing w:line="240" w:lineRule="auto"/>
              <w:rPr>
                <w:rFonts w:ascii="Times New Roman" w:hAnsi="Times New Roman"/>
                <w:b/>
                <w:bCs/>
              </w:rPr>
            </w:pPr>
            <w:r w:rsidRPr="003E36FB">
              <w:rPr>
                <w:rFonts w:ascii="Times New Roman" w:hAnsi="Times New Roman"/>
              </w:rPr>
              <w:t xml:space="preserve">Institutter skal i denne celle ikke angive kontrakter opført i bilag II til CRR, kreditderivater og </w:t>
            </w:r>
            <w:proofErr w:type="spellStart"/>
            <w:r w:rsidRPr="003E36FB">
              <w:rPr>
                <w:rFonts w:ascii="Times New Roman" w:hAnsi="Times New Roman"/>
              </w:rPr>
              <w:t>SFT'er</w:t>
            </w:r>
            <w:proofErr w:type="spellEnd"/>
            <w:r w:rsidRPr="003E36FB">
              <w:rPr>
                <w:rFonts w:ascii="Times New Roman" w:hAnsi="Times New Roman"/>
              </w:rPr>
              <w:t>, jf. artikel 429, stk. 10, i CRR.</w:t>
            </w:r>
          </w:p>
        </w:tc>
      </w:tr>
      <w:tr w:rsidR="00AE2798" w:rsidRPr="003E36FB" w:rsidTr="00FE0FF1">
        <w:trPr>
          <w:trHeight w:val="304"/>
        </w:trPr>
        <w:tc>
          <w:tcPr>
            <w:tcW w:w="1418" w:type="dxa"/>
          </w:tcPr>
          <w:p w:rsidR="00AE2798" w:rsidRPr="003E36FB" w:rsidRDefault="00AE2798" w:rsidP="00FE0FF1">
            <w:pPr>
              <w:pStyle w:val="BodyText1"/>
              <w:rPr>
                <w:rFonts w:ascii="Times New Roman" w:hAnsi="Times New Roman"/>
                <w:bCs/>
              </w:rPr>
            </w:pPr>
            <w:r w:rsidRPr="003E36FB">
              <w:rPr>
                <w:rFonts w:ascii="Times New Roman" w:hAnsi="Times New Roman"/>
              </w:rPr>
              <w:t>{170;010}</w:t>
            </w:r>
          </w:p>
          <w:p w:rsidR="00AE2798" w:rsidRPr="003E36FB" w:rsidRDefault="00AE2798" w:rsidP="00FE0FF1">
            <w:pPr>
              <w:pStyle w:val="BodyText1"/>
              <w:rPr>
                <w:rFonts w:ascii="Times New Roman" w:hAnsi="Times New Roman"/>
                <w:bCs/>
              </w:rPr>
            </w:pPr>
          </w:p>
        </w:tc>
        <w:tc>
          <w:tcPr>
            <w:tcW w:w="7590" w:type="dxa"/>
          </w:tcPr>
          <w:p w:rsidR="00AE2798" w:rsidRPr="003E36FB" w:rsidRDefault="00AE2798" w:rsidP="00FE0FF1">
            <w:pPr>
              <w:pStyle w:val="BodyText1"/>
              <w:spacing w:line="240" w:lineRule="auto"/>
              <w:rPr>
                <w:rFonts w:ascii="Times New Roman" w:hAnsi="Times New Roman"/>
                <w:b/>
                <w:bCs/>
              </w:rPr>
            </w:pPr>
            <w:r w:rsidRPr="003E36FB">
              <w:rPr>
                <w:rFonts w:ascii="Times New Roman" w:hAnsi="Times New Roman"/>
                <w:b/>
              </w:rPr>
              <w:t>Ikkebalanceførte poster med en konverteringsfaktor på 50 % i overensstemmelse med artikel 429, stk. 10, i CRR</w:t>
            </w:r>
          </w:p>
          <w:p w:rsidR="00AE2798" w:rsidRPr="003E36FB" w:rsidRDefault="00AE2798" w:rsidP="00FE0FF1">
            <w:pPr>
              <w:pStyle w:val="BodyText1"/>
              <w:spacing w:line="240" w:lineRule="auto"/>
              <w:rPr>
                <w:rFonts w:ascii="Times New Roman" w:hAnsi="Times New Roman"/>
                <w:b/>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lastRenderedPageBreak/>
              <w:t>Artikel 429, stk. 10, artikel 111, stk. 1, litra b), og artikel 166, stk. 9, i CRR</w:t>
            </w:r>
          </w:p>
          <w:p w:rsidR="00AE2798" w:rsidRPr="003E36FB" w:rsidRDefault="00AE2798" w:rsidP="00FE0FF1">
            <w:pPr>
              <w:pStyle w:val="BodyText1"/>
              <w:spacing w:line="240" w:lineRule="auto"/>
              <w:rPr>
                <w:rFonts w:ascii="Times New Roman" w:hAnsi="Times New Roman"/>
                <w:bCs/>
              </w:rPr>
            </w:pPr>
          </w:p>
          <w:p w:rsidR="008C7B98" w:rsidRPr="003E36FB" w:rsidRDefault="00AE2798" w:rsidP="00FE0FF1">
            <w:pPr>
              <w:pStyle w:val="BodyText1"/>
              <w:spacing w:line="240" w:lineRule="auto"/>
              <w:rPr>
                <w:rFonts w:ascii="Times New Roman" w:hAnsi="Times New Roman"/>
                <w:bCs/>
              </w:rPr>
            </w:pPr>
            <w:r w:rsidRPr="003E36FB">
              <w:rPr>
                <w:rFonts w:ascii="Times New Roman" w:hAnsi="Times New Roman"/>
              </w:rPr>
              <w:t>Eksponeringsværdien, jf. artikel 429, stk. 10, og artikel 111, stk. 1, litra b), i CRR, af ikkebalanceførte poster med middelrisiko, der tildeles en kreditkonverteringsfaktor på 50 % i henhold til standardmetoden for kreditrisiko, jf. punkt 2, litra a) og b), i bilag I til CRR (det understreges, at eksponeringsværdien her skal være 50 % af den nominelle værdi). Det understreges, at justeringer af den specifikke kreditrisiko ikke må trækkes fra den nominelle værdi.</w:t>
            </w:r>
          </w:p>
          <w:p w:rsidR="008C7B98" w:rsidRPr="003E36FB" w:rsidRDefault="008C7B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 xml:space="preserve">I denne celle medtages likviditetsfaciliteter og andre forpligtelser vedrørende </w:t>
            </w:r>
            <w:proofErr w:type="spellStart"/>
            <w:r w:rsidRPr="003E36FB">
              <w:rPr>
                <w:rFonts w:ascii="Times New Roman" w:hAnsi="Times New Roman"/>
              </w:rPr>
              <w:t>securitiseringer</w:t>
            </w:r>
            <w:proofErr w:type="spellEnd"/>
            <w:r w:rsidRPr="003E36FB">
              <w:rPr>
                <w:rFonts w:ascii="Times New Roman" w:hAnsi="Times New Roman"/>
              </w:rPr>
              <w:t xml:space="preserve">. Det vil med andre ord sige, at konverteringsfaktoren for alle likviditetsfaciliteter i henhold til artikel 255 i CRR er 50 %, uanset løbetid. </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Er en forpligtelse knyttet til udvidelsen af en anden forpligtelse, anvendes den laveste af de to konverteringsfaktorer, der gælder for det enkelte tilsagn, jf. artikel 166, stk. 9,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 xml:space="preserve">Institutter skal i denne celle ikke angive kontrakter opført i bilag II til CRR, kreditderivater og </w:t>
            </w:r>
            <w:proofErr w:type="spellStart"/>
            <w:r w:rsidRPr="003E36FB">
              <w:rPr>
                <w:rFonts w:ascii="Times New Roman" w:hAnsi="Times New Roman"/>
              </w:rPr>
              <w:t>SFT'er</w:t>
            </w:r>
            <w:proofErr w:type="spellEnd"/>
            <w:r w:rsidRPr="003E36FB">
              <w:rPr>
                <w:rFonts w:ascii="Times New Roman" w:hAnsi="Times New Roman"/>
              </w:rPr>
              <w:t>, jf. artikel 429, stk. 10, i CRR.</w:t>
            </w:r>
          </w:p>
          <w:p w:rsidR="00AE2798" w:rsidRPr="003E36FB" w:rsidRDefault="00AE2798" w:rsidP="00FE0FF1">
            <w:pPr>
              <w:pStyle w:val="BodyText1"/>
              <w:spacing w:line="240" w:lineRule="auto"/>
              <w:rPr>
                <w:rFonts w:ascii="Times New Roman" w:hAnsi="Times New Roman"/>
                <w:b/>
                <w:bCs/>
              </w:rPr>
            </w:pPr>
          </w:p>
        </w:tc>
      </w:tr>
      <w:tr w:rsidR="00AE2798" w:rsidRPr="003E36FB" w:rsidTr="00FE0FF1">
        <w:trPr>
          <w:trHeight w:val="304"/>
        </w:trPr>
        <w:tc>
          <w:tcPr>
            <w:tcW w:w="1418" w:type="dxa"/>
            <w:tcBorders>
              <w:bottom w:val="single" w:sz="4" w:space="0" w:color="auto"/>
            </w:tcBorders>
          </w:tcPr>
          <w:p w:rsidR="00AE2798" w:rsidRPr="003E36FB" w:rsidRDefault="00AE2798" w:rsidP="00FE0FF1">
            <w:pPr>
              <w:pStyle w:val="BodyText1"/>
              <w:rPr>
                <w:rFonts w:ascii="Times New Roman" w:hAnsi="Times New Roman"/>
                <w:bCs/>
              </w:rPr>
            </w:pPr>
            <w:r w:rsidRPr="003E36FB">
              <w:rPr>
                <w:rFonts w:ascii="Times New Roman" w:hAnsi="Times New Roman"/>
              </w:rPr>
              <w:lastRenderedPageBreak/>
              <w:t>{180;010}</w:t>
            </w:r>
          </w:p>
          <w:p w:rsidR="00AE2798" w:rsidRPr="003E36FB" w:rsidRDefault="00AE2798" w:rsidP="00FE0FF1">
            <w:pPr>
              <w:pStyle w:val="BodyText1"/>
              <w:rPr>
                <w:rFonts w:ascii="Times New Roman" w:hAnsi="Times New Roman"/>
                <w:bCs/>
              </w:rPr>
            </w:pPr>
          </w:p>
        </w:tc>
        <w:tc>
          <w:tcPr>
            <w:tcW w:w="7590" w:type="dxa"/>
            <w:tcBorders>
              <w:bottom w:val="single" w:sz="4" w:space="0" w:color="auto"/>
            </w:tcBorders>
          </w:tcPr>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b/>
              </w:rPr>
              <w:t>Ikkebalanceførte poster med en konverteringsfaktor på 100 % i overensstemmelse med artikel 429, stk. 10,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 stk. 10, artikel 111, stk. 1, litra a), og artikel 166, stk. 9, i CRR</w:t>
            </w:r>
          </w:p>
          <w:p w:rsidR="00AE2798" w:rsidRPr="003E36FB" w:rsidRDefault="00AE2798" w:rsidP="00FE0FF1">
            <w:pPr>
              <w:pStyle w:val="BodyText1"/>
              <w:spacing w:line="240" w:lineRule="auto"/>
              <w:rPr>
                <w:rFonts w:ascii="Times New Roman" w:hAnsi="Times New Roman"/>
                <w:bCs/>
              </w:rPr>
            </w:pPr>
          </w:p>
          <w:p w:rsidR="008C7B98" w:rsidRPr="003E36FB" w:rsidRDefault="00AE2798" w:rsidP="00FE0FF1">
            <w:pPr>
              <w:pStyle w:val="BodyText1"/>
              <w:spacing w:line="240" w:lineRule="auto"/>
              <w:rPr>
                <w:rFonts w:ascii="Times New Roman" w:hAnsi="Times New Roman"/>
                <w:bCs/>
              </w:rPr>
            </w:pPr>
            <w:r w:rsidRPr="003E36FB">
              <w:rPr>
                <w:rFonts w:ascii="Times New Roman" w:hAnsi="Times New Roman"/>
              </w:rPr>
              <w:t xml:space="preserve">Eksponeringsværdien, jf. artikel 429, stk. 10, og artikel 111, stk. 1, litra a), i CRR, af ikkebalanceførte poster med høj risiko, der tildeles en kreditkonverteringsfaktor på 100 %, jf. punkt 1, litra a)-k), i bilag I til CRR (det understreges, at eksponeringsværdien her skal være 100 % af den nominelle værdi). Det understreges, at justeringer af den specifikke kreditrisiko ikke må trækkes fra den nominelle værdi. </w:t>
            </w:r>
          </w:p>
          <w:p w:rsidR="008C7B98" w:rsidRPr="003E36FB" w:rsidRDefault="008C7B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 xml:space="preserve">I denne celle medtages likviditetsfaciliteter og andre forpligtelser vedrørende </w:t>
            </w:r>
            <w:proofErr w:type="spellStart"/>
            <w:r w:rsidRPr="003E36FB">
              <w:rPr>
                <w:rFonts w:ascii="Times New Roman" w:hAnsi="Times New Roman"/>
              </w:rPr>
              <w:t>securitiseringer</w:t>
            </w:r>
            <w:proofErr w:type="spellEnd"/>
            <w:r w:rsidRPr="003E36FB">
              <w:rPr>
                <w:rFonts w:ascii="Times New Roman" w:hAnsi="Times New Roman"/>
              </w:rPr>
              <w:t xml:space="preserve">. </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Er en forpligtelse knyttet til udvidelsen af en anden forpligtelse, anvendes den laveste af de to konverteringsfaktorer, der gælder for det enkelte tilsagn, jf. artikel 166, stk. 9,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 xml:space="preserve">Institutter skal i denne celle ikke angive kontrakter opført i bilag II til CRR, kreditderivater og </w:t>
            </w:r>
            <w:proofErr w:type="spellStart"/>
            <w:r w:rsidRPr="003E36FB">
              <w:rPr>
                <w:rFonts w:ascii="Times New Roman" w:hAnsi="Times New Roman"/>
              </w:rPr>
              <w:t>SFT'er</w:t>
            </w:r>
            <w:proofErr w:type="spellEnd"/>
            <w:r w:rsidRPr="003E36FB">
              <w:rPr>
                <w:rFonts w:ascii="Times New Roman" w:hAnsi="Times New Roman"/>
              </w:rPr>
              <w:t>, jf. artikel 429, stk. 10, i CRR.</w:t>
            </w:r>
          </w:p>
          <w:p w:rsidR="00AE2798" w:rsidRPr="003E36FB" w:rsidRDefault="00AE2798" w:rsidP="00FE0FF1">
            <w:pPr>
              <w:pStyle w:val="BodyText1"/>
              <w:spacing w:line="240" w:lineRule="auto"/>
              <w:rPr>
                <w:rFonts w:ascii="Times New Roman" w:hAnsi="Times New Roman"/>
                <w:bCs/>
                <w:u w:val="single"/>
              </w:rPr>
            </w:pPr>
          </w:p>
        </w:tc>
      </w:tr>
      <w:tr w:rsidR="00AE2798" w:rsidRPr="003E36FB" w:rsidTr="00FE0FF1">
        <w:trPr>
          <w:trHeight w:val="304"/>
        </w:trPr>
        <w:tc>
          <w:tcPr>
            <w:tcW w:w="1418" w:type="dxa"/>
            <w:tcBorders>
              <w:bottom w:val="single" w:sz="4" w:space="0" w:color="auto"/>
            </w:tcBorders>
          </w:tcPr>
          <w:p w:rsidR="00AE2798" w:rsidRPr="003E36FB" w:rsidRDefault="00AE2798" w:rsidP="00FE0FF1">
            <w:pPr>
              <w:pStyle w:val="BodyText1"/>
              <w:rPr>
                <w:rFonts w:ascii="Times New Roman" w:hAnsi="Times New Roman"/>
                <w:bCs/>
              </w:rPr>
            </w:pPr>
            <w:r w:rsidRPr="003E36FB">
              <w:rPr>
                <w:rFonts w:ascii="Times New Roman" w:hAnsi="Times New Roman"/>
              </w:rPr>
              <w:t>{190;010}</w:t>
            </w:r>
          </w:p>
          <w:p w:rsidR="00AE2798" w:rsidRPr="003E36FB" w:rsidRDefault="00AE2798" w:rsidP="00FE0FF1">
            <w:pPr>
              <w:pStyle w:val="BodyText1"/>
              <w:rPr>
                <w:rFonts w:ascii="Times New Roman" w:hAnsi="Times New Roman"/>
                <w:bCs/>
              </w:rPr>
            </w:pPr>
          </w:p>
        </w:tc>
        <w:tc>
          <w:tcPr>
            <w:tcW w:w="7590" w:type="dxa"/>
            <w:tcBorders>
              <w:bottom w:val="single" w:sz="4" w:space="0" w:color="auto"/>
            </w:tcBorders>
          </w:tcPr>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b/>
              </w:rPr>
              <w:t xml:space="preserve">Andre aktiver </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 stk. 5,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 xml:space="preserve">Alle andre aktiver end kontrakter opført i bilag II til CRR, kreditderivater og </w:t>
            </w:r>
            <w:proofErr w:type="spellStart"/>
            <w:r w:rsidRPr="003E36FB">
              <w:rPr>
                <w:rFonts w:ascii="Times New Roman" w:hAnsi="Times New Roman"/>
              </w:rPr>
              <w:t>SFT'er</w:t>
            </w:r>
            <w:proofErr w:type="spellEnd"/>
            <w:r w:rsidRPr="003E36FB">
              <w:rPr>
                <w:rFonts w:ascii="Times New Roman" w:hAnsi="Times New Roman"/>
              </w:rPr>
              <w:t xml:space="preserve"> (blandt de andre aktiver, der skal indberettes i denne celle, er f.eks. regnskabsmæssige fordringer vedrørende kontant variationsmargen, hvis anerkendt i henhold til de gældende regnskabsregler, likvide aktiver som defineret i henhold til likviditetsdækningsgraden, fejlslagne og </w:t>
            </w:r>
            <w:proofErr w:type="spellStart"/>
            <w:r w:rsidRPr="003E36FB">
              <w:rPr>
                <w:rFonts w:ascii="Times New Roman" w:hAnsi="Times New Roman"/>
              </w:rPr>
              <w:t>uafviklede</w:t>
            </w:r>
            <w:proofErr w:type="spellEnd"/>
            <w:r w:rsidRPr="003E36FB">
              <w:rPr>
                <w:rFonts w:ascii="Times New Roman" w:hAnsi="Times New Roman"/>
              </w:rPr>
              <w:t xml:space="preserve"> transaktioner). Institutter skal fastsætte eksponeringsværdien efter principperne i artikel 429, stk. 5,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 xml:space="preserve">Institutter skal i denne celle medtage modtagne kontantbeløb eller værdipapirer, der leveres til en modpart via </w:t>
            </w:r>
            <w:proofErr w:type="spellStart"/>
            <w:r w:rsidRPr="003E36FB">
              <w:rPr>
                <w:rFonts w:ascii="Times New Roman" w:hAnsi="Times New Roman"/>
              </w:rPr>
              <w:t>SFT'er</w:t>
            </w:r>
            <w:proofErr w:type="spellEnd"/>
            <w:r w:rsidRPr="003E36FB">
              <w:rPr>
                <w:rFonts w:ascii="Times New Roman" w:hAnsi="Times New Roman"/>
              </w:rPr>
              <w:t xml:space="preserve">, og som stadig balanceføres (dvs. at regnskabskriterierne for ophør af indregning ikke opfyldes). Institutter skal endvidere medtage poster trukket fra egentlige kernekapitalposter og hybride kernekapitalsposter (f.eks. immaterielle aktiver, udskudte skatteaktiver osv.) her. </w:t>
            </w:r>
          </w:p>
          <w:p w:rsidR="00AE2798" w:rsidRPr="003E36FB" w:rsidRDefault="00AE2798" w:rsidP="00FE0FF1">
            <w:pPr>
              <w:pStyle w:val="BodyText1"/>
              <w:spacing w:line="240" w:lineRule="auto"/>
              <w:rPr>
                <w:rFonts w:ascii="Times New Roman" w:hAnsi="Times New Roman"/>
                <w:bCs/>
                <w:u w:val="single"/>
              </w:rPr>
            </w:pPr>
          </w:p>
        </w:tc>
      </w:tr>
      <w:tr w:rsidR="00AE2798" w:rsidRPr="003E36FB" w:rsidTr="00FE0FF1">
        <w:trPr>
          <w:trHeight w:val="304"/>
        </w:trPr>
        <w:tc>
          <w:tcPr>
            <w:tcW w:w="1418" w:type="dxa"/>
            <w:tcBorders>
              <w:bottom w:val="single" w:sz="4" w:space="0" w:color="auto"/>
            </w:tcBorders>
          </w:tcPr>
          <w:p w:rsidR="00AE2798" w:rsidRPr="003E36FB" w:rsidRDefault="00AE2798" w:rsidP="00FE0FF1">
            <w:pPr>
              <w:pStyle w:val="BodyText1"/>
              <w:rPr>
                <w:rFonts w:ascii="Times New Roman" w:hAnsi="Times New Roman"/>
                <w:bCs/>
              </w:rPr>
            </w:pPr>
            <w:r w:rsidRPr="003E36FB">
              <w:rPr>
                <w:rFonts w:ascii="Times New Roman" w:hAnsi="Times New Roman"/>
              </w:rPr>
              <w:t>{200;010}</w:t>
            </w:r>
          </w:p>
        </w:tc>
        <w:tc>
          <w:tcPr>
            <w:tcW w:w="7590" w:type="dxa"/>
            <w:tcBorders>
              <w:bottom w:val="single" w:sz="4" w:space="0" w:color="auto"/>
            </w:tcBorders>
          </w:tcPr>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b/>
              </w:rPr>
              <w:t>Gross-up for sikkerhedsstillelse i forbindelse med derivatkontrakter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429a, stk. 2,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Det beløb, som er stillet som sikkerhed i forbindelse med derivater, hvis sikkerhedsstillelsen i henhold til de gældende regnskabsregler reducerer summen af aktiver, jf. artikel 429a, stk. 2,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Institutter skal i denne celle ikke medtage initialmargenen for kundetransaktioner i derivater clearet gennem en kvalificerende CCP (QCCP) (kundeclearede transaktioner) eller godkendt variationsmargen modtaget kontant som defineret i artikel 429a, stk. 3, i CRR.</w:t>
            </w:r>
          </w:p>
          <w:p w:rsidR="00AE2798" w:rsidRPr="003E36FB" w:rsidRDefault="00AE2798" w:rsidP="00FE0FF1">
            <w:pPr>
              <w:pStyle w:val="BodyText1"/>
              <w:spacing w:line="240" w:lineRule="auto"/>
              <w:rPr>
                <w:rFonts w:ascii="Times New Roman" w:hAnsi="Times New Roman"/>
                <w:bCs/>
              </w:rPr>
            </w:pPr>
          </w:p>
        </w:tc>
      </w:tr>
      <w:tr w:rsidR="00AE2798" w:rsidRPr="003E36FB" w:rsidTr="00FE0FF1">
        <w:trPr>
          <w:trHeight w:val="304"/>
        </w:trPr>
        <w:tc>
          <w:tcPr>
            <w:tcW w:w="1418" w:type="dxa"/>
            <w:tcBorders>
              <w:bottom w:val="single" w:sz="4" w:space="0" w:color="auto"/>
            </w:tcBorders>
          </w:tcPr>
          <w:p w:rsidR="00AE2798" w:rsidRPr="003E36FB" w:rsidRDefault="00AE2798" w:rsidP="00FE0FF1">
            <w:pPr>
              <w:pStyle w:val="BodyText1"/>
              <w:rPr>
                <w:rFonts w:ascii="Times New Roman" w:hAnsi="Times New Roman"/>
                <w:bCs/>
              </w:rPr>
            </w:pPr>
            <w:r w:rsidRPr="003E36FB">
              <w:rPr>
                <w:rFonts w:ascii="Times New Roman" w:hAnsi="Times New Roman"/>
              </w:rPr>
              <w:lastRenderedPageBreak/>
              <w:t>{210;010}</w:t>
            </w:r>
          </w:p>
        </w:tc>
        <w:tc>
          <w:tcPr>
            <w:tcW w:w="7590" w:type="dxa"/>
            <w:tcBorders>
              <w:bottom w:val="single" w:sz="4" w:space="0" w:color="auto"/>
            </w:tcBorders>
          </w:tcPr>
          <w:p w:rsidR="00AE2798" w:rsidRPr="003E36FB" w:rsidRDefault="00422C76" w:rsidP="00FE0FF1">
            <w:pPr>
              <w:pStyle w:val="BodyText1"/>
              <w:spacing w:line="240" w:lineRule="auto"/>
              <w:rPr>
                <w:rFonts w:ascii="Times New Roman" w:hAnsi="Times New Roman"/>
                <w:bCs/>
              </w:rPr>
            </w:pPr>
            <w:r w:rsidRPr="003E36FB">
              <w:rPr>
                <w:rFonts w:ascii="Times New Roman" w:hAnsi="Times New Roman"/>
                <w:b/>
              </w:rPr>
              <w:t>(-) Fordringer vedrørende kontant variationsmargen i forbindelse med derivattransaktioner</w:t>
            </w:r>
          </w:p>
          <w:p w:rsidR="00AE2798" w:rsidRPr="003E36FB" w:rsidRDefault="00AE2798" w:rsidP="00FE0FF1">
            <w:pPr>
              <w:pStyle w:val="BodyText1"/>
              <w:spacing w:line="240" w:lineRule="auto"/>
              <w:rPr>
                <w:rFonts w:ascii="Times New Roman" w:hAnsi="Times New Roman"/>
                <w:bCs/>
              </w:rPr>
            </w:pPr>
          </w:p>
          <w:p w:rsidR="00AE2798" w:rsidRPr="003E36FB" w:rsidRDefault="006D3F98" w:rsidP="00FE0FF1">
            <w:pPr>
              <w:pStyle w:val="BodyText1"/>
              <w:spacing w:line="240" w:lineRule="auto"/>
              <w:rPr>
                <w:rFonts w:ascii="Times New Roman" w:hAnsi="Times New Roman"/>
                <w:bCs/>
              </w:rPr>
            </w:pPr>
            <w:r w:rsidRPr="003E36FB">
              <w:rPr>
                <w:rFonts w:ascii="Times New Roman" w:hAnsi="Times New Roman"/>
              </w:rPr>
              <w:t>Artikel 429a, stk. 3, tredje afsnit,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Fordringer vedrørende variationsmargen udbetalt kontant til modparten i forbindelse med derivattransaktioner, hvis instituttet i henhold til de gældende regnskabsregler har pligt til at medregne disse fordringer som et aktiv, og forudsat at betingelserne i artikel 429a, stk. 3, litra a)-e), i CRR er opfyldt.</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Det indberettede beløb skal også indgå i de andre aktiver, som indberettes i {190, 010}.</w:t>
            </w:r>
          </w:p>
          <w:p w:rsidR="00AE2798" w:rsidRPr="003E36FB" w:rsidRDefault="00AE2798" w:rsidP="00FE0FF1">
            <w:pPr>
              <w:pStyle w:val="BodyText1"/>
              <w:spacing w:line="240" w:lineRule="auto"/>
              <w:rPr>
                <w:rFonts w:ascii="Times New Roman" w:hAnsi="Times New Roman"/>
                <w:bCs/>
              </w:rPr>
            </w:pPr>
          </w:p>
        </w:tc>
      </w:tr>
      <w:tr w:rsidR="00AE2798" w:rsidRPr="003E36FB" w:rsidTr="00FE0FF1">
        <w:trPr>
          <w:trHeight w:val="304"/>
        </w:trPr>
        <w:tc>
          <w:tcPr>
            <w:tcW w:w="1418" w:type="dxa"/>
            <w:tcBorders>
              <w:bottom w:val="single" w:sz="4" w:space="0" w:color="auto"/>
            </w:tcBorders>
          </w:tcPr>
          <w:p w:rsidR="00AE2798" w:rsidRPr="003E36FB" w:rsidRDefault="00AE2798" w:rsidP="00FE0FF1">
            <w:pPr>
              <w:pStyle w:val="BodyText1"/>
              <w:rPr>
                <w:rFonts w:ascii="Times New Roman" w:hAnsi="Times New Roman"/>
                <w:bCs/>
              </w:rPr>
            </w:pPr>
            <w:r w:rsidRPr="003E36FB">
              <w:rPr>
                <w:rFonts w:ascii="Times New Roman" w:hAnsi="Times New Roman"/>
              </w:rPr>
              <w:t>{220;010}</w:t>
            </w:r>
          </w:p>
        </w:tc>
        <w:tc>
          <w:tcPr>
            <w:tcW w:w="7590" w:type="dxa"/>
            <w:tcBorders>
              <w:bottom w:val="single" w:sz="4" w:space="0" w:color="auto"/>
            </w:tcBorders>
          </w:tcPr>
          <w:p w:rsidR="00AE2798" w:rsidRPr="003E36FB" w:rsidRDefault="00422C76" w:rsidP="00FE0FF1">
            <w:pPr>
              <w:pStyle w:val="BodyText1"/>
              <w:spacing w:line="240" w:lineRule="auto"/>
              <w:rPr>
                <w:rFonts w:ascii="Times New Roman" w:hAnsi="Times New Roman"/>
                <w:bCs/>
              </w:rPr>
            </w:pPr>
            <w:r w:rsidRPr="003E36FB">
              <w:rPr>
                <w:rFonts w:ascii="Times New Roman" w:hAnsi="Times New Roman"/>
                <w:b/>
              </w:rPr>
              <w:t>(-) Ikke medregnet CCP-element af kundeclearede handelseksponeringer (initialmargen)</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 stk. 11,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Den (stillede) initialmargens andel af ikke medregnede handelseksponeringer mod en QCCP fra kundeclearede derivattransaktioner, forudsat at de pågældende poster opfylder betingelserne i artikel 306, stk. 1, litra c),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Det indberettede beløb skal også indgå i de andre aktiver, som indberettes i {190, 010}.</w:t>
            </w:r>
          </w:p>
          <w:p w:rsidR="00AE2798" w:rsidRPr="003E36FB" w:rsidRDefault="00AE2798" w:rsidP="00FE0FF1">
            <w:pPr>
              <w:pStyle w:val="BodyText1"/>
              <w:spacing w:line="240" w:lineRule="auto"/>
              <w:rPr>
                <w:rFonts w:ascii="Times New Roman" w:hAnsi="Times New Roman"/>
                <w:bCs/>
              </w:rPr>
            </w:pPr>
          </w:p>
        </w:tc>
      </w:tr>
      <w:tr w:rsidR="00AE2798" w:rsidRPr="003E36FB" w:rsidTr="00FE0FF1">
        <w:trPr>
          <w:trHeight w:val="304"/>
        </w:trPr>
        <w:tc>
          <w:tcPr>
            <w:tcW w:w="1418" w:type="dxa"/>
            <w:tcBorders>
              <w:bottom w:val="single" w:sz="4" w:space="0" w:color="auto"/>
            </w:tcBorders>
          </w:tcPr>
          <w:p w:rsidR="00AE2798" w:rsidRPr="003E36FB" w:rsidRDefault="00AE2798" w:rsidP="00FE0FF1">
            <w:pPr>
              <w:pStyle w:val="BodyText1"/>
              <w:rPr>
                <w:rFonts w:ascii="Times New Roman" w:hAnsi="Times New Roman"/>
                <w:bCs/>
              </w:rPr>
            </w:pPr>
            <w:r w:rsidRPr="003E36FB">
              <w:rPr>
                <w:rFonts w:ascii="Times New Roman" w:hAnsi="Times New Roman"/>
              </w:rPr>
              <w:t>{230;010}</w:t>
            </w:r>
          </w:p>
        </w:tc>
        <w:tc>
          <w:tcPr>
            <w:tcW w:w="7590" w:type="dxa"/>
            <w:tcBorders>
              <w:bottom w:val="single" w:sz="4" w:space="0" w:color="auto"/>
            </w:tcBorders>
          </w:tcPr>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b/>
              </w:rPr>
              <w:t>Justeringer for regnskabsmæssige transaktioner vedrørende salg af værdipapirer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429b, stk. 5,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Værdien af værdipapirer, der er udlånt i en genkøbstransaktion, og som i henhold til de gældende regnskabsregler ikke længere indregnes som følge af en transaktion, der er bogført som salg.</w:t>
            </w:r>
          </w:p>
          <w:p w:rsidR="00AE2798" w:rsidRPr="003E36FB" w:rsidRDefault="00AE2798" w:rsidP="00FE0FF1">
            <w:pPr>
              <w:pStyle w:val="BodyText1"/>
              <w:spacing w:line="240" w:lineRule="auto"/>
              <w:rPr>
                <w:rFonts w:ascii="Times New Roman" w:hAnsi="Times New Roman"/>
                <w:bCs/>
              </w:rPr>
            </w:pPr>
          </w:p>
        </w:tc>
      </w:tr>
      <w:tr w:rsidR="00AE2798" w:rsidRPr="003E36FB" w:rsidTr="00FE0FF1">
        <w:trPr>
          <w:trHeight w:val="304"/>
        </w:trPr>
        <w:tc>
          <w:tcPr>
            <w:tcW w:w="1418" w:type="dxa"/>
            <w:tcBorders>
              <w:bottom w:val="single" w:sz="4" w:space="0" w:color="auto"/>
            </w:tcBorders>
          </w:tcPr>
          <w:p w:rsidR="00AE2798" w:rsidRPr="003E36FB" w:rsidRDefault="00AE2798" w:rsidP="00FE0FF1">
            <w:pPr>
              <w:pStyle w:val="BodyText1"/>
              <w:rPr>
                <w:rFonts w:ascii="Times New Roman" w:hAnsi="Times New Roman"/>
                <w:bCs/>
              </w:rPr>
            </w:pPr>
            <w:r w:rsidRPr="003E36FB">
              <w:rPr>
                <w:rFonts w:ascii="Times New Roman" w:hAnsi="Times New Roman"/>
              </w:rPr>
              <w:t>{240;010}</w:t>
            </w:r>
          </w:p>
        </w:tc>
        <w:tc>
          <w:tcPr>
            <w:tcW w:w="7590" w:type="dxa"/>
            <w:tcBorders>
              <w:bottom w:val="single" w:sz="4" w:space="0" w:color="auto"/>
            </w:tcBorders>
          </w:tcPr>
          <w:p w:rsidR="00AE2798" w:rsidRPr="003E36FB" w:rsidRDefault="00422C76" w:rsidP="00FE0FF1">
            <w:pPr>
              <w:pStyle w:val="BodyText1"/>
              <w:spacing w:line="240" w:lineRule="auto"/>
              <w:rPr>
                <w:rFonts w:ascii="Times New Roman" w:hAnsi="Times New Roman"/>
                <w:bCs/>
              </w:rPr>
            </w:pPr>
            <w:r w:rsidRPr="003E36FB">
              <w:rPr>
                <w:rFonts w:ascii="Times New Roman" w:hAnsi="Times New Roman"/>
                <w:b/>
              </w:rPr>
              <w:t>(-) Aktiver under forvaltning (</w:t>
            </w:r>
            <w:proofErr w:type="spellStart"/>
            <w:r w:rsidRPr="003E36FB">
              <w:rPr>
                <w:rFonts w:ascii="Times New Roman" w:hAnsi="Times New Roman"/>
                <w:b/>
              </w:rPr>
              <w:t>fiduciary</w:t>
            </w:r>
            <w:proofErr w:type="spellEnd"/>
            <w:r w:rsidRPr="003E36FB">
              <w:rPr>
                <w:rFonts w:ascii="Times New Roman" w:hAnsi="Times New Roman"/>
                <w:b/>
              </w:rPr>
              <w:t xml:space="preserve"> assets)</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 stk. 13,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Værdien af aktiver under forvaltning (</w:t>
            </w:r>
            <w:proofErr w:type="spellStart"/>
            <w:r w:rsidRPr="003E36FB">
              <w:rPr>
                <w:rFonts w:ascii="Times New Roman" w:hAnsi="Times New Roman"/>
              </w:rPr>
              <w:t>fiduciary</w:t>
            </w:r>
            <w:proofErr w:type="spellEnd"/>
            <w:r w:rsidRPr="003E36FB">
              <w:rPr>
                <w:rFonts w:ascii="Times New Roman" w:hAnsi="Times New Roman"/>
              </w:rPr>
              <w:t xml:space="preserve"> assets), som opfylder kriterierne i IAS 39 for ophør af indregning og, hvis det er relevant, for </w:t>
            </w:r>
            <w:proofErr w:type="spellStart"/>
            <w:r w:rsidRPr="003E36FB">
              <w:rPr>
                <w:rFonts w:ascii="Times New Roman" w:hAnsi="Times New Roman"/>
              </w:rPr>
              <w:t>dekonsolidering</w:t>
            </w:r>
            <w:proofErr w:type="spellEnd"/>
            <w:r w:rsidRPr="003E36FB">
              <w:rPr>
                <w:rFonts w:ascii="Times New Roman" w:hAnsi="Times New Roman"/>
              </w:rPr>
              <w:t xml:space="preserve"> i IFRS 10, jf. artikel 429, stk. 13, i CRR, uden hensyntagen til virkninger af regnskabsmæssig </w:t>
            </w:r>
            <w:proofErr w:type="spellStart"/>
            <w:r w:rsidRPr="003E36FB">
              <w:rPr>
                <w:rFonts w:ascii="Times New Roman" w:hAnsi="Times New Roman"/>
              </w:rPr>
              <w:t>netting</w:t>
            </w:r>
            <w:proofErr w:type="spellEnd"/>
            <w:r w:rsidRPr="003E36FB">
              <w:rPr>
                <w:rFonts w:ascii="Times New Roman" w:hAnsi="Times New Roman"/>
              </w:rPr>
              <w:t xml:space="preserve"> eller anden risikoreduktion (dvs. at eventuelle virkninger af regnskabsmæssig </w:t>
            </w:r>
            <w:proofErr w:type="spellStart"/>
            <w:r w:rsidRPr="003E36FB">
              <w:rPr>
                <w:rFonts w:ascii="Times New Roman" w:hAnsi="Times New Roman"/>
              </w:rPr>
              <w:t>netting</w:t>
            </w:r>
            <w:proofErr w:type="spellEnd"/>
            <w:r w:rsidRPr="003E36FB">
              <w:rPr>
                <w:rFonts w:ascii="Times New Roman" w:hAnsi="Times New Roman"/>
              </w:rPr>
              <w:t xml:space="preserve"> eller risikoreduktion på den balanceførte regnskabsværdi skal tilbageføres).</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Det indberettede beløb skal også indgå i de andre aktiver, som indberettes i {190, 010}.</w:t>
            </w:r>
          </w:p>
          <w:p w:rsidR="00AE2798" w:rsidRPr="003E36FB" w:rsidRDefault="00AE2798" w:rsidP="00FE0FF1">
            <w:pPr>
              <w:pStyle w:val="BodyText1"/>
              <w:spacing w:line="240" w:lineRule="auto"/>
              <w:rPr>
                <w:rFonts w:ascii="Times New Roman" w:hAnsi="Times New Roman"/>
                <w:bCs/>
              </w:rPr>
            </w:pPr>
          </w:p>
        </w:tc>
      </w:tr>
      <w:tr w:rsidR="00AE2798" w:rsidRPr="003E36FB" w:rsidTr="00FE0FF1">
        <w:trPr>
          <w:trHeight w:val="304"/>
        </w:trPr>
        <w:tc>
          <w:tcPr>
            <w:tcW w:w="1418" w:type="dxa"/>
            <w:tcBorders>
              <w:bottom w:val="single" w:sz="4" w:space="0" w:color="auto"/>
            </w:tcBorders>
          </w:tcPr>
          <w:p w:rsidR="00AE2798" w:rsidRPr="003E36FB" w:rsidRDefault="00AE2798" w:rsidP="00FE0FF1">
            <w:pPr>
              <w:pStyle w:val="BodyText1"/>
              <w:rPr>
                <w:rFonts w:ascii="Times New Roman" w:hAnsi="Times New Roman"/>
                <w:bCs/>
              </w:rPr>
            </w:pPr>
            <w:r w:rsidRPr="003E36FB">
              <w:rPr>
                <w:rFonts w:ascii="Times New Roman" w:hAnsi="Times New Roman"/>
              </w:rPr>
              <w:t>{250;010}</w:t>
            </w:r>
          </w:p>
        </w:tc>
        <w:tc>
          <w:tcPr>
            <w:tcW w:w="7590" w:type="dxa"/>
            <w:tcBorders>
              <w:bottom w:val="single" w:sz="4" w:space="0" w:color="auto"/>
            </w:tcBorders>
          </w:tcPr>
          <w:p w:rsidR="00AE2798" w:rsidRPr="003E36FB" w:rsidRDefault="00422C76" w:rsidP="00FE0FF1">
            <w:pPr>
              <w:pStyle w:val="BodyText1"/>
              <w:spacing w:line="240" w:lineRule="auto"/>
              <w:rPr>
                <w:rFonts w:ascii="Times New Roman" w:hAnsi="Times New Roman"/>
                <w:bCs/>
              </w:rPr>
            </w:pPr>
            <w:r w:rsidRPr="003E36FB">
              <w:rPr>
                <w:rFonts w:ascii="Times New Roman" w:hAnsi="Times New Roman"/>
                <w:b/>
              </w:rPr>
              <w:t>(-) Koncerninterne eksponeringer (individuelt grundlag) ikke medregnet i henhold til artikel 429, stk. 7,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Artikel 429, stk. 7, og artikel 113, stk. 6, i CRR</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 xml:space="preserve">Eksponeringer, der ikke er konsolideret på det relevante konsolideringsniveau, og som kan omfattes af den i artikel 113, stk. 6, i CRR omhandlede behandling, under forudsætning af </w:t>
            </w:r>
            <w:r w:rsidRPr="003E36FB">
              <w:rPr>
                <w:rFonts w:ascii="Times New Roman" w:hAnsi="Times New Roman"/>
              </w:rPr>
              <w:lastRenderedPageBreak/>
              <w:t>at alle betingelserne i artikel 113, stk. 6, litra a)-e), i CRR er opfyldt og at de kompetente myndigheder har givet deres godkendelse.</w:t>
            </w:r>
          </w:p>
          <w:p w:rsidR="00AE2798" w:rsidRPr="003E36FB" w:rsidRDefault="00AE2798" w:rsidP="00FE0FF1">
            <w:pPr>
              <w:pStyle w:val="BodyText1"/>
              <w:spacing w:line="240" w:lineRule="auto"/>
              <w:rPr>
                <w:rFonts w:ascii="Times New Roman" w:hAnsi="Times New Roman"/>
                <w:bCs/>
              </w:rPr>
            </w:pPr>
          </w:p>
          <w:p w:rsidR="00AE2798" w:rsidRPr="003E36FB" w:rsidRDefault="00AE2798" w:rsidP="00FE0FF1">
            <w:pPr>
              <w:pStyle w:val="BodyText1"/>
              <w:spacing w:line="240" w:lineRule="auto"/>
              <w:rPr>
                <w:rFonts w:ascii="Times New Roman" w:hAnsi="Times New Roman"/>
                <w:bCs/>
              </w:rPr>
            </w:pPr>
            <w:r w:rsidRPr="003E36FB">
              <w:rPr>
                <w:rFonts w:ascii="Times New Roman" w:hAnsi="Times New Roman"/>
              </w:rPr>
              <w:t>Det indberettede beløb skal også medtages i de relevante celler ovenfor, som om der ikke gjaldt nogen undtagelse.</w:t>
            </w:r>
          </w:p>
          <w:p w:rsidR="00AE2798" w:rsidRPr="003E36FB" w:rsidRDefault="00AE2798" w:rsidP="00FE0FF1">
            <w:pPr>
              <w:pStyle w:val="BodyText1"/>
              <w:spacing w:line="240" w:lineRule="auto"/>
              <w:rPr>
                <w:rFonts w:ascii="Times New Roman" w:hAnsi="Times New Roman"/>
                <w:bCs/>
              </w:rPr>
            </w:pPr>
          </w:p>
        </w:tc>
      </w:tr>
      <w:tr w:rsidR="004A1A27" w:rsidRPr="003E36FB" w:rsidTr="00FE0FF1">
        <w:trPr>
          <w:trHeight w:val="304"/>
        </w:trPr>
        <w:tc>
          <w:tcPr>
            <w:tcW w:w="1418" w:type="dxa"/>
            <w:tcBorders>
              <w:bottom w:val="single" w:sz="4" w:space="0" w:color="auto"/>
            </w:tcBorders>
          </w:tcPr>
          <w:p w:rsidR="004A1A27" w:rsidRPr="003E36FB" w:rsidRDefault="004A1A27" w:rsidP="00FE0FF1">
            <w:pPr>
              <w:pStyle w:val="BodyText1"/>
              <w:rPr>
                <w:rFonts w:ascii="Times New Roman" w:hAnsi="Times New Roman"/>
                <w:bCs/>
              </w:rPr>
            </w:pPr>
            <w:r w:rsidRPr="003E36FB">
              <w:rPr>
                <w:rFonts w:ascii="Times New Roman" w:hAnsi="Times New Roman"/>
              </w:rPr>
              <w:lastRenderedPageBreak/>
              <w:t>{260;010}</w:t>
            </w:r>
          </w:p>
        </w:tc>
        <w:tc>
          <w:tcPr>
            <w:tcW w:w="7590" w:type="dxa"/>
            <w:tcBorders>
              <w:bottom w:val="single" w:sz="4" w:space="0" w:color="auto"/>
            </w:tcBorders>
          </w:tcPr>
          <w:p w:rsidR="004A1A27" w:rsidRPr="003E36FB" w:rsidRDefault="00422C76" w:rsidP="003113EE">
            <w:pPr>
              <w:pStyle w:val="BodyText1"/>
              <w:spacing w:line="240" w:lineRule="auto"/>
              <w:rPr>
                <w:rFonts w:ascii="Times New Roman" w:hAnsi="Times New Roman"/>
                <w:bCs/>
              </w:rPr>
            </w:pPr>
            <w:r w:rsidRPr="003E36FB">
              <w:rPr>
                <w:rFonts w:ascii="Times New Roman" w:hAnsi="Times New Roman"/>
                <w:b/>
              </w:rPr>
              <w:t>(-) Eksponeringer ikke medregnet i henhold til artikel 429, stk. 14, i CRR</w:t>
            </w:r>
          </w:p>
          <w:p w:rsidR="004A1A27" w:rsidRPr="003E36FB" w:rsidRDefault="004A1A27" w:rsidP="003113EE">
            <w:pPr>
              <w:pStyle w:val="BodyText1"/>
              <w:spacing w:line="240" w:lineRule="auto"/>
              <w:rPr>
                <w:rFonts w:ascii="Times New Roman" w:hAnsi="Times New Roman"/>
                <w:bCs/>
              </w:rPr>
            </w:pPr>
          </w:p>
          <w:p w:rsidR="004A1A27" w:rsidRPr="003E36FB" w:rsidRDefault="004A1A27" w:rsidP="003113EE">
            <w:pPr>
              <w:pStyle w:val="BodyText1"/>
              <w:spacing w:line="240" w:lineRule="auto"/>
              <w:rPr>
                <w:rFonts w:ascii="Times New Roman" w:hAnsi="Times New Roman"/>
                <w:bCs/>
              </w:rPr>
            </w:pPr>
            <w:r w:rsidRPr="003E36FB">
              <w:rPr>
                <w:rFonts w:ascii="Times New Roman" w:hAnsi="Times New Roman"/>
              </w:rPr>
              <w:t>Artikel 429, stk. 14, i CRR</w:t>
            </w:r>
          </w:p>
          <w:p w:rsidR="004A1A27" w:rsidRPr="003E36FB" w:rsidRDefault="004A1A27" w:rsidP="003113EE">
            <w:pPr>
              <w:pStyle w:val="BodyText1"/>
              <w:spacing w:line="240" w:lineRule="auto"/>
              <w:rPr>
                <w:rFonts w:ascii="Times New Roman" w:hAnsi="Times New Roman"/>
                <w:bCs/>
              </w:rPr>
            </w:pPr>
          </w:p>
          <w:p w:rsidR="004A1A27" w:rsidRPr="003E36FB" w:rsidRDefault="004A1A27" w:rsidP="003113EE">
            <w:pPr>
              <w:pStyle w:val="BodyText1"/>
              <w:spacing w:line="240" w:lineRule="auto"/>
              <w:rPr>
                <w:rFonts w:ascii="Times New Roman" w:hAnsi="Times New Roman"/>
                <w:bCs/>
              </w:rPr>
            </w:pPr>
            <w:r w:rsidRPr="003E36FB">
              <w:rPr>
                <w:rFonts w:ascii="Times New Roman" w:hAnsi="Times New Roman"/>
              </w:rPr>
              <w:t>Eksponeringer, som i overensstemmelse med artikel 429, stk. 14, i CRR ikke er medregnet, under forudsætning af at de i samme stykke fastsatte betingelser er opfyldt og at de kompetente myndigheder har givet deres godkendelse.</w:t>
            </w:r>
          </w:p>
          <w:p w:rsidR="004A1A27" w:rsidRPr="003E36FB" w:rsidRDefault="004A1A27" w:rsidP="003113EE">
            <w:pPr>
              <w:pStyle w:val="BodyText1"/>
              <w:spacing w:line="240" w:lineRule="auto"/>
              <w:rPr>
                <w:rFonts w:ascii="Times New Roman" w:hAnsi="Times New Roman"/>
                <w:bCs/>
              </w:rPr>
            </w:pPr>
          </w:p>
          <w:p w:rsidR="004A1A27" w:rsidRPr="003E36FB" w:rsidRDefault="004A1A27" w:rsidP="003113EE">
            <w:pPr>
              <w:pStyle w:val="BodyText1"/>
              <w:spacing w:line="240" w:lineRule="auto"/>
              <w:rPr>
                <w:rFonts w:ascii="Times New Roman" w:hAnsi="Times New Roman"/>
                <w:bCs/>
              </w:rPr>
            </w:pPr>
            <w:r w:rsidRPr="003E36FB">
              <w:rPr>
                <w:rFonts w:ascii="Times New Roman" w:hAnsi="Times New Roman"/>
              </w:rPr>
              <w:t>Det indberettede beløb skal også medtages i de relevante celler ovenfor, som om der ikke gjaldt nogen undtagelse.</w:t>
            </w:r>
          </w:p>
          <w:p w:rsidR="004A1A27" w:rsidRPr="003E36FB" w:rsidRDefault="004A1A27" w:rsidP="00FE0FF1">
            <w:pPr>
              <w:pStyle w:val="BodyText1"/>
              <w:spacing w:line="240" w:lineRule="auto"/>
              <w:rPr>
                <w:rFonts w:ascii="Times New Roman" w:hAnsi="Times New Roman"/>
                <w:b/>
                <w:bCs/>
              </w:rPr>
            </w:pPr>
          </w:p>
        </w:tc>
      </w:tr>
      <w:tr w:rsidR="009264ED" w:rsidRPr="003E36FB" w:rsidTr="00FE0FF1">
        <w:trPr>
          <w:trHeight w:val="304"/>
        </w:trPr>
        <w:tc>
          <w:tcPr>
            <w:tcW w:w="1418" w:type="dxa"/>
            <w:tcBorders>
              <w:bottom w:val="single" w:sz="4" w:space="0" w:color="auto"/>
            </w:tcBorders>
          </w:tcPr>
          <w:p w:rsidR="009264ED" w:rsidRPr="003E36FB" w:rsidRDefault="009264ED" w:rsidP="009264ED">
            <w:pPr>
              <w:pStyle w:val="BodyText1"/>
              <w:rPr>
                <w:rFonts w:ascii="Times New Roman" w:hAnsi="Times New Roman"/>
                <w:bCs/>
              </w:rPr>
            </w:pPr>
            <w:r w:rsidRPr="003E36FB">
              <w:rPr>
                <w:rFonts w:ascii="Times New Roman" w:hAnsi="Times New Roman"/>
              </w:rPr>
              <w:t>{270;010}</w:t>
            </w:r>
          </w:p>
          <w:p w:rsidR="009264ED" w:rsidRPr="003E36FB" w:rsidRDefault="009264ED" w:rsidP="00FE0FF1">
            <w:pPr>
              <w:pStyle w:val="BodyText1"/>
              <w:rPr>
                <w:rFonts w:ascii="Times New Roman" w:hAnsi="Times New Roman"/>
                <w:bCs/>
              </w:rPr>
            </w:pPr>
          </w:p>
        </w:tc>
        <w:tc>
          <w:tcPr>
            <w:tcW w:w="7590" w:type="dxa"/>
            <w:tcBorders>
              <w:bottom w:val="single" w:sz="4" w:space="0" w:color="auto"/>
            </w:tcBorders>
          </w:tcPr>
          <w:p w:rsidR="009264ED" w:rsidRPr="003E36FB" w:rsidRDefault="009264ED" w:rsidP="009264ED">
            <w:pPr>
              <w:pStyle w:val="BodyText1"/>
              <w:spacing w:line="240" w:lineRule="auto"/>
              <w:rPr>
                <w:rFonts w:ascii="Times New Roman" w:hAnsi="Times New Roman"/>
              </w:rPr>
            </w:pPr>
            <w:r w:rsidRPr="003E36FB">
              <w:rPr>
                <w:rFonts w:ascii="Times New Roman" w:hAnsi="Times New Roman"/>
                <w:b/>
              </w:rPr>
              <w:t>(-) Fratrukket aktivbeløb — Kernekapital — Definition efter fuld indfasning</w:t>
            </w:r>
          </w:p>
          <w:p w:rsidR="009264ED" w:rsidRPr="003E36FB" w:rsidRDefault="009264ED" w:rsidP="009264ED">
            <w:pPr>
              <w:pStyle w:val="BodyText1"/>
              <w:spacing w:line="240" w:lineRule="auto"/>
              <w:rPr>
                <w:rFonts w:ascii="Times New Roman" w:hAnsi="Times New Roman"/>
              </w:rPr>
            </w:pPr>
          </w:p>
          <w:p w:rsidR="009264ED" w:rsidRPr="003E36FB" w:rsidRDefault="009264ED" w:rsidP="009264ED">
            <w:pPr>
              <w:pStyle w:val="BodyText1"/>
              <w:spacing w:line="240" w:lineRule="auto"/>
              <w:rPr>
                <w:rFonts w:ascii="Times New Roman" w:hAnsi="Times New Roman"/>
              </w:rPr>
            </w:pPr>
            <w:r w:rsidRPr="003E36FB">
              <w:rPr>
                <w:rFonts w:ascii="Times New Roman" w:hAnsi="Times New Roman"/>
              </w:rPr>
              <w:t>Artikel 429, stk. 4, litra a), og artikel 499, stk. 1, litra a), i CRR</w:t>
            </w:r>
          </w:p>
          <w:p w:rsidR="009264ED" w:rsidRPr="003E36FB" w:rsidRDefault="009264ED" w:rsidP="009264ED">
            <w:pPr>
              <w:pStyle w:val="BodyText1"/>
              <w:spacing w:line="240" w:lineRule="auto"/>
              <w:rPr>
                <w:rFonts w:ascii="Times New Roman" w:hAnsi="Times New Roman"/>
              </w:rPr>
            </w:pPr>
          </w:p>
          <w:p w:rsidR="009264ED" w:rsidRPr="003E36FB" w:rsidRDefault="009264ED" w:rsidP="009264ED">
            <w:pPr>
              <w:pStyle w:val="BodyText1"/>
              <w:spacing w:line="240" w:lineRule="auto"/>
              <w:rPr>
                <w:rFonts w:ascii="Times New Roman" w:hAnsi="Times New Roman"/>
                <w:bCs/>
              </w:rPr>
            </w:pPr>
            <w:r w:rsidRPr="003E36FB">
              <w:rPr>
                <w:rFonts w:ascii="Times New Roman" w:hAnsi="Times New Roman"/>
              </w:rPr>
              <w:t>Omfatter alle justeringer, der specifikt vedrører værdien af et aktiv og kræves i henhold til:</w:t>
            </w:r>
          </w:p>
          <w:p w:rsidR="009264ED" w:rsidRPr="003E36FB" w:rsidRDefault="00500508" w:rsidP="00500508">
            <w:pPr>
              <w:pStyle w:val="BodyText1"/>
              <w:spacing w:line="240" w:lineRule="auto"/>
              <w:ind w:left="720" w:hanging="360"/>
              <w:rPr>
                <w:rFonts w:ascii="Times New Roman" w:hAnsi="Times New Roman"/>
                <w:bCs/>
              </w:rPr>
            </w:pPr>
            <w:r w:rsidRPr="003E36FB">
              <w:rPr>
                <w:rFonts w:ascii="Times New Roman" w:hAnsi="Times New Roman"/>
              </w:rPr>
              <w:t>-</w:t>
            </w:r>
            <w:r w:rsidRPr="003E36FB">
              <w:tab/>
            </w:r>
            <w:r w:rsidRPr="003E36FB">
              <w:rPr>
                <w:rFonts w:ascii="Times New Roman" w:hAnsi="Times New Roman"/>
              </w:rPr>
              <w:t xml:space="preserve">artikel 32-35 i CRR, eller </w:t>
            </w:r>
          </w:p>
          <w:p w:rsidR="009264ED" w:rsidRPr="003E36FB" w:rsidRDefault="00500508" w:rsidP="00500508">
            <w:pPr>
              <w:pStyle w:val="BodyText1"/>
              <w:spacing w:line="240" w:lineRule="auto"/>
              <w:ind w:left="720" w:hanging="360"/>
              <w:rPr>
                <w:rFonts w:ascii="Times New Roman" w:hAnsi="Times New Roman"/>
                <w:bCs/>
              </w:rPr>
            </w:pPr>
            <w:r w:rsidRPr="003E36FB">
              <w:rPr>
                <w:rFonts w:ascii="Times New Roman" w:hAnsi="Times New Roman"/>
              </w:rPr>
              <w:t>-</w:t>
            </w:r>
            <w:r w:rsidRPr="003E36FB">
              <w:tab/>
            </w:r>
            <w:r w:rsidRPr="003E36FB">
              <w:rPr>
                <w:rFonts w:ascii="Times New Roman" w:hAnsi="Times New Roman"/>
              </w:rPr>
              <w:t>artikel 36-47 i CRR, eller</w:t>
            </w:r>
          </w:p>
          <w:p w:rsidR="009264ED" w:rsidRPr="003E36FB" w:rsidRDefault="00500508" w:rsidP="00500508">
            <w:pPr>
              <w:pStyle w:val="BodyText1"/>
              <w:spacing w:line="240" w:lineRule="auto"/>
              <w:ind w:left="720" w:hanging="360"/>
              <w:rPr>
                <w:rFonts w:ascii="Times New Roman" w:hAnsi="Times New Roman"/>
                <w:bCs/>
              </w:rPr>
            </w:pPr>
            <w:r w:rsidRPr="003E36FB">
              <w:rPr>
                <w:rFonts w:ascii="Times New Roman" w:hAnsi="Times New Roman"/>
              </w:rPr>
              <w:t>-</w:t>
            </w:r>
            <w:r w:rsidRPr="003E36FB">
              <w:tab/>
            </w:r>
            <w:r w:rsidRPr="003E36FB">
              <w:rPr>
                <w:rFonts w:ascii="Times New Roman" w:hAnsi="Times New Roman"/>
              </w:rPr>
              <w:t>artikel 56-60 i CRR,</w:t>
            </w:r>
          </w:p>
          <w:p w:rsidR="006D3F98" w:rsidRPr="003E36FB" w:rsidRDefault="006D3F98" w:rsidP="002573FC">
            <w:pPr>
              <w:pStyle w:val="BodyText1"/>
              <w:spacing w:line="240" w:lineRule="auto"/>
              <w:rPr>
                <w:rFonts w:ascii="Times New Roman" w:hAnsi="Times New Roman"/>
                <w:bCs/>
              </w:rPr>
            </w:pPr>
            <w:r w:rsidRPr="003E36FB">
              <w:rPr>
                <w:rFonts w:ascii="Times New Roman" w:hAnsi="Times New Roman"/>
              </w:rPr>
              <w:t>alt efter det enkelte tilfælde.</w:t>
            </w:r>
          </w:p>
          <w:p w:rsidR="009264ED" w:rsidRPr="003E36FB" w:rsidRDefault="009264ED" w:rsidP="009264ED">
            <w:pPr>
              <w:pStyle w:val="BodyText1"/>
              <w:spacing w:line="240" w:lineRule="auto"/>
              <w:rPr>
                <w:rFonts w:ascii="Times New Roman" w:hAnsi="Times New Roman"/>
                <w:bCs/>
              </w:rPr>
            </w:pPr>
          </w:p>
          <w:p w:rsidR="009264ED" w:rsidRPr="003E36FB" w:rsidRDefault="009264ED" w:rsidP="009264ED">
            <w:pPr>
              <w:pStyle w:val="BodyText1"/>
              <w:spacing w:line="240" w:lineRule="auto"/>
              <w:rPr>
                <w:rFonts w:ascii="Times New Roman" w:hAnsi="Times New Roman"/>
                <w:bCs/>
              </w:rPr>
            </w:pPr>
            <w:r w:rsidRPr="003E36FB">
              <w:rPr>
                <w:rFonts w:ascii="Times New Roman" w:hAnsi="Times New Roman"/>
              </w:rPr>
              <w:t xml:space="preserve">Institutter skal tage hensyn til de undtagelser, alternativer og fravigelser fra sådanne fradrag, der er omhandlet i artikel 48, 49 og 79 i CRR, dog ikke til undtagelsesbestemmelserne i tiende del, afsnit I, kapitel 1 og 2, i CRR. </w:t>
            </w:r>
            <w:r w:rsidRPr="003E36FB">
              <w:t>For at undgå dobbelttælling skal institutter hverken indberette justeringer, der allerede er anvendt i henhold til artikel 111 i CRR ved beregning af eksponeringsværdien i {010;010} til {260;010}, eller eventuelle justeringer, der ikke indebærer fradrag af værdien af et bestemt aktiv.</w:t>
            </w:r>
          </w:p>
          <w:p w:rsidR="009264ED" w:rsidRPr="003E36FB" w:rsidRDefault="009264ED" w:rsidP="009264ED">
            <w:pPr>
              <w:pStyle w:val="BodyText1"/>
              <w:spacing w:line="240" w:lineRule="auto"/>
              <w:rPr>
                <w:rFonts w:ascii="Times New Roman" w:hAnsi="Times New Roman"/>
                <w:bCs/>
              </w:rPr>
            </w:pPr>
          </w:p>
          <w:p w:rsidR="009264ED" w:rsidRPr="003E36FB" w:rsidRDefault="009264ED" w:rsidP="009264ED">
            <w:pPr>
              <w:pStyle w:val="BodyText1"/>
              <w:spacing w:line="240" w:lineRule="auto"/>
              <w:rPr>
                <w:rFonts w:ascii="Times New Roman" w:hAnsi="Times New Roman"/>
                <w:bCs/>
              </w:rPr>
            </w:pPr>
            <w:r w:rsidRPr="003E36FB">
              <w:rPr>
                <w:rFonts w:ascii="Times New Roman" w:hAnsi="Times New Roman"/>
              </w:rPr>
              <w:t>Da disse beløb allerede er trukket fra kapitalmålet, reducerer de eksponeringsværdien bag gearingsgraden og skal indberettes som et negativt tal.</w:t>
            </w:r>
          </w:p>
          <w:p w:rsidR="009264ED" w:rsidRPr="003E36FB" w:rsidRDefault="009264ED" w:rsidP="003113EE">
            <w:pPr>
              <w:pStyle w:val="BodyText1"/>
              <w:spacing w:line="240" w:lineRule="auto"/>
              <w:rPr>
                <w:rFonts w:ascii="Times New Roman" w:hAnsi="Times New Roman"/>
                <w:b/>
                <w:bCs/>
              </w:rPr>
            </w:pPr>
          </w:p>
        </w:tc>
      </w:tr>
      <w:tr w:rsidR="009264ED" w:rsidRPr="003E36FB" w:rsidTr="00FE0FF1">
        <w:trPr>
          <w:trHeight w:val="304"/>
        </w:trPr>
        <w:tc>
          <w:tcPr>
            <w:tcW w:w="1418" w:type="dxa"/>
            <w:tcBorders>
              <w:bottom w:val="single" w:sz="4" w:space="0" w:color="auto"/>
            </w:tcBorders>
          </w:tcPr>
          <w:p w:rsidR="009264ED" w:rsidRPr="003E36FB" w:rsidRDefault="009264ED" w:rsidP="009264ED">
            <w:pPr>
              <w:pStyle w:val="BodyText1"/>
              <w:rPr>
                <w:rFonts w:ascii="Times New Roman" w:hAnsi="Times New Roman"/>
                <w:bCs/>
              </w:rPr>
            </w:pPr>
            <w:r w:rsidRPr="003E36FB">
              <w:rPr>
                <w:rFonts w:ascii="Times New Roman" w:hAnsi="Times New Roman"/>
              </w:rPr>
              <w:t>{280;010}</w:t>
            </w:r>
          </w:p>
          <w:p w:rsidR="009264ED" w:rsidRPr="003E36FB" w:rsidRDefault="009264ED" w:rsidP="00FE0FF1">
            <w:pPr>
              <w:pStyle w:val="BodyText1"/>
              <w:rPr>
                <w:rFonts w:ascii="Times New Roman" w:hAnsi="Times New Roman"/>
                <w:bCs/>
              </w:rPr>
            </w:pPr>
          </w:p>
        </w:tc>
        <w:tc>
          <w:tcPr>
            <w:tcW w:w="7590" w:type="dxa"/>
            <w:tcBorders>
              <w:bottom w:val="single" w:sz="4" w:space="0" w:color="auto"/>
            </w:tcBorders>
          </w:tcPr>
          <w:p w:rsidR="009264ED" w:rsidRPr="003E36FB" w:rsidRDefault="009264ED" w:rsidP="009264ED">
            <w:pPr>
              <w:pStyle w:val="BodyText1"/>
              <w:spacing w:line="240" w:lineRule="auto"/>
              <w:rPr>
                <w:rFonts w:ascii="Times New Roman" w:hAnsi="Times New Roman"/>
                <w:bCs/>
              </w:rPr>
            </w:pPr>
            <w:r w:rsidRPr="003E36FB">
              <w:rPr>
                <w:rFonts w:ascii="Times New Roman" w:hAnsi="Times New Roman"/>
                <w:b/>
              </w:rPr>
              <w:t>(-) Fratrukket aktivbeløb - Kernekapital - Overgangsdefinition</w:t>
            </w:r>
          </w:p>
          <w:p w:rsidR="009264ED" w:rsidRPr="003E36FB" w:rsidRDefault="009264ED" w:rsidP="009264ED">
            <w:pPr>
              <w:pStyle w:val="BodyText1"/>
              <w:spacing w:line="240" w:lineRule="auto"/>
              <w:rPr>
                <w:rFonts w:ascii="Times New Roman" w:hAnsi="Times New Roman"/>
                <w:bCs/>
              </w:rPr>
            </w:pPr>
          </w:p>
          <w:p w:rsidR="009264ED" w:rsidRPr="003E36FB" w:rsidRDefault="009264ED" w:rsidP="009264ED">
            <w:pPr>
              <w:pStyle w:val="BodyText1"/>
              <w:spacing w:line="240" w:lineRule="auto"/>
              <w:rPr>
                <w:rFonts w:ascii="Times New Roman" w:hAnsi="Times New Roman"/>
                <w:bCs/>
              </w:rPr>
            </w:pPr>
            <w:r w:rsidRPr="003E36FB">
              <w:rPr>
                <w:rFonts w:ascii="Times New Roman" w:hAnsi="Times New Roman"/>
              </w:rPr>
              <w:t>Artikel 429, stk. 4, litra a), og artikel 499, stk. 1, litra b), i CRR</w:t>
            </w:r>
          </w:p>
          <w:p w:rsidR="009264ED" w:rsidRPr="003E36FB" w:rsidRDefault="009264ED" w:rsidP="009264ED">
            <w:pPr>
              <w:pStyle w:val="BodyText1"/>
              <w:spacing w:line="240" w:lineRule="auto"/>
              <w:rPr>
                <w:rFonts w:ascii="Times New Roman" w:hAnsi="Times New Roman"/>
                <w:bCs/>
              </w:rPr>
            </w:pPr>
          </w:p>
          <w:p w:rsidR="009264ED" w:rsidRPr="003E36FB" w:rsidRDefault="009264ED" w:rsidP="009264ED">
            <w:pPr>
              <w:pStyle w:val="BodyText1"/>
              <w:spacing w:line="240" w:lineRule="auto"/>
              <w:rPr>
                <w:rFonts w:ascii="Times New Roman" w:hAnsi="Times New Roman"/>
                <w:bCs/>
              </w:rPr>
            </w:pPr>
            <w:r w:rsidRPr="003E36FB">
              <w:rPr>
                <w:rFonts w:ascii="Times New Roman" w:hAnsi="Times New Roman"/>
              </w:rPr>
              <w:t>Dette omfatter alle justeringer, der justerer værdien af et aktiv og kræves i henhold til:</w:t>
            </w:r>
          </w:p>
          <w:p w:rsidR="009264ED" w:rsidRPr="003E36FB" w:rsidRDefault="00500508" w:rsidP="00500508">
            <w:pPr>
              <w:pStyle w:val="BodyText1"/>
              <w:spacing w:line="240" w:lineRule="auto"/>
              <w:ind w:left="720" w:hanging="360"/>
              <w:rPr>
                <w:rFonts w:ascii="Times New Roman" w:hAnsi="Times New Roman"/>
                <w:bCs/>
              </w:rPr>
            </w:pPr>
            <w:r w:rsidRPr="003E36FB">
              <w:rPr>
                <w:rFonts w:ascii="Times New Roman" w:hAnsi="Times New Roman"/>
              </w:rPr>
              <w:t>-</w:t>
            </w:r>
            <w:r w:rsidRPr="003E36FB">
              <w:tab/>
            </w:r>
            <w:r w:rsidRPr="003E36FB">
              <w:rPr>
                <w:rFonts w:ascii="Times New Roman" w:hAnsi="Times New Roman"/>
              </w:rPr>
              <w:t xml:space="preserve">artikel 32-35 i CRR, eller </w:t>
            </w:r>
          </w:p>
          <w:p w:rsidR="009264ED" w:rsidRPr="003E36FB" w:rsidRDefault="00500508" w:rsidP="00500508">
            <w:pPr>
              <w:pStyle w:val="BodyText1"/>
              <w:spacing w:line="240" w:lineRule="auto"/>
              <w:ind w:left="720" w:hanging="360"/>
              <w:rPr>
                <w:rFonts w:ascii="Times New Roman" w:hAnsi="Times New Roman"/>
                <w:bCs/>
              </w:rPr>
            </w:pPr>
            <w:r w:rsidRPr="003E36FB">
              <w:rPr>
                <w:rFonts w:ascii="Times New Roman" w:hAnsi="Times New Roman"/>
              </w:rPr>
              <w:t>-</w:t>
            </w:r>
            <w:r w:rsidRPr="003E36FB">
              <w:tab/>
            </w:r>
            <w:r w:rsidRPr="003E36FB">
              <w:rPr>
                <w:rFonts w:ascii="Times New Roman" w:hAnsi="Times New Roman"/>
              </w:rPr>
              <w:t xml:space="preserve">artikel 36-47 i CRR, eller </w:t>
            </w:r>
          </w:p>
          <w:p w:rsidR="00316050" w:rsidRPr="003E36FB" w:rsidRDefault="00500508" w:rsidP="00500508">
            <w:pPr>
              <w:pStyle w:val="BodyText1"/>
              <w:spacing w:line="240" w:lineRule="auto"/>
              <w:ind w:left="720" w:hanging="360"/>
              <w:rPr>
                <w:rFonts w:ascii="Times New Roman" w:hAnsi="Times New Roman"/>
                <w:bCs/>
              </w:rPr>
            </w:pPr>
            <w:r w:rsidRPr="003E36FB">
              <w:rPr>
                <w:rFonts w:ascii="Times New Roman" w:hAnsi="Times New Roman"/>
              </w:rPr>
              <w:t>-</w:t>
            </w:r>
            <w:r w:rsidRPr="003E36FB">
              <w:tab/>
            </w:r>
            <w:r w:rsidRPr="003E36FB">
              <w:rPr>
                <w:rFonts w:ascii="Times New Roman" w:hAnsi="Times New Roman"/>
              </w:rPr>
              <w:t>artikel 56-60 i CRR,</w:t>
            </w:r>
          </w:p>
          <w:p w:rsidR="009264ED" w:rsidRPr="003E36FB" w:rsidRDefault="00316050" w:rsidP="002573FC">
            <w:pPr>
              <w:pStyle w:val="BodyText1"/>
              <w:spacing w:line="240" w:lineRule="auto"/>
              <w:rPr>
                <w:rFonts w:ascii="Times New Roman" w:hAnsi="Times New Roman"/>
                <w:bCs/>
              </w:rPr>
            </w:pPr>
            <w:r w:rsidRPr="003E36FB">
              <w:rPr>
                <w:rFonts w:ascii="Times New Roman" w:hAnsi="Times New Roman"/>
              </w:rPr>
              <w:t>alt efter det enkelte tilfælde.</w:t>
            </w:r>
          </w:p>
          <w:p w:rsidR="009264ED" w:rsidRPr="003E36FB" w:rsidRDefault="009264ED" w:rsidP="009264ED">
            <w:pPr>
              <w:pStyle w:val="BodyText1"/>
              <w:spacing w:line="240" w:lineRule="auto"/>
              <w:rPr>
                <w:rFonts w:ascii="Times New Roman" w:hAnsi="Times New Roman"/>
                <w:bCs/>
              </w:rPr>
            </w:pPr>
          </w:p>
          <w:p w:rsidR="009264ED" w:rsidRPr="003E36FB" w:rsidRDefault="009264ED" w:rsidP="009264ED">
            <w:pPr>
              <w:pStyle w:val="BodyText1"/>
              <w:spacing w:line="240" w:lineRule="auto"/>
              <w:rPr>
                <w:rFonts w:ascii="Times New Roman" w:hAnsi="Times New Roman"/>
                <w:bCs/>
              </w:rPr>
            </w:pPr>
            <w:r w:rsidRPr="003E36FB">
              <w:rPr>
                <w:rFonts w:ascii="Times New Roman" w:hAnsi="Times New Roman"/>
              </w:rPr>
              <w:t>Institutter skal tage hensyn til de undtagelser, alternativer og fravigelser vedrørende sådanne fradrag, der er omhandlet i artikel 48, 49 og 79 i CRR, men skal også tage hensyn til undtagelsesbestemmelserne i tiende del, afsnit I, kapitel 1 og 2, i CRR. For at undgå dobbelttælling skal institutter hverken indberette justeringer, der allerede er anvendt i henhold til artikel 111 i CRR ved beregning af eksponeringsværdien i {010;010} til {260;010}, eller eventuelle justeringer, der ikke indebærer fradrag af værdien af et bestemt aktiv.</w:t>
            </w:r>
          </w:p>
          <w:p w:rsidR="009264ED" w:rsidRPr="003E36FB" w:rsidRDefault="009264ED" w:rsidP="009264ED">
            <w:pPr>
              <w:pStyle w:val="BodyText1"/>
              <w:spacing w:line="240" w:lineRule="auto"/>
              <w:rPr>
                <w:rFonts w:ascii="Times New Roman" w:hAnsi="Times New Roman"/>
                <w:bCs/>
              </w:rPr>
            </w:pPr>
          </w:p>
          <w:p w:rsidR="00F2347A" w:rsidRPr="003E36FB" w:rsidRDefault="00F2347A" w:rsidP="00F2347A">
            <w:pPr>
              <w:pStyle w:val="BodyText1"/>
              <w:spacing w:line="240" w:lineRule="auto"/>
              <w:rPr>
                <w:rFonts w:ascii="Times New Roman" w:hAnsi="Times New Roman"/>
                <w:bCs/>
              </w:rPr>
            </w:pPr>
            <w:r w:rsidRPr="003E36FB">
              <w:rPr>
                <w:rFonts w:ascii="Times New Roman" w:hAnsi="Times New Roman"/>
              </w:rPr>
              <w:t>Da disse beløb allerede er trukket fra kapitalmålet, reducerer de eksponeringsværdien bag gearingsgraden og skal indberettes som et negativt tal.</w:t>
            </w:r>
          </w:p>
          <w:p w:rsidR="009264ED" w:rsidRPr="003E36FB" w:rsidRDefault="009264ED" w:rsidP="003113EE">
            <w:pPr>
              <w:pStyle w:val="BodyText1"/>
              <w:spacing w:line="240" w:lineRule="auto"/>
              <w:rPr>
                <w:rFonts w:ascii="Times New Roman" w:hAnsi="Times New Roman"/>
                <w:b/>
                <w:bCs/>
              </w:rPr>
            </w:pPr>
          </w:p>
        </w:tc>
      </w:tr>
      <w:tr w:rsidR="009264ED" w:rsidRPr="003E36FB" w:rsidTr="00FE0FF1">
        <w:trPr>
          <w:trHeight w:val="304"/>
        </w:trPr>
        <w:tc>
          <w:tcPr>
            <w:tcW w:w="1418" w:type="dxa"/>
            <w:tcBorders>
              <w:bottom w:val="single" w:sz="4" w:space="0" w:color="auto"/>
            </w:tcBorders>
          </w:tcPr>
          <w:p w:rsidR="009264ED" w:rsidRPr="003E36FB" w:rsidRDefault="009264ED" w:rsidP="009264ED">
            <w:pPr>
              <w:pStyle w:val="BodyText1"/>
              <w:rPr>
                <w:rFonts w:ascii="Times New Roman" w:hAnsi="Times New Roman"/>
                <w:bCs/>
              </w:rPr>
            </w:pPr>
            <w:r w:rsidRPr="003E36FB">
              <w:rPr>
                <w:rFonts w:ascii="Times New Roman" w:hAnsi="Times New Roman"/>
              </w:rPr>
              <w:lastRenderedPageBreak/>
              <w:t>{290;010}</w:t>
            </w:r>
          </w:p>
          <w:p w:rsidR="009264ED" w:rsidRPr="003E36FB" w:rsidRDefault="009264ED" w:rsidP="009264ED">
            <w:pPr>
              <w:pStyle w:val="BodyText1"/>
              <w:rPr>
                <w:rFonts w:ascii="Times New Roman" w:hAnsi="Times New Roman"/>
                <w:bCs/>
              </w:rPr>
            </w:pPr>
          </w:p>
        </w:tc>
        <w:tc>
          <w:tcPr>
            <w:tcW w:w="7590" w:type="dxa"/>
            <w:tcBorders>
              <w:bottom w:val="single" w:sz="4" w:space="0" w:color="auto"/>
            </w:tcBorders>
          </w:tcPr>
          <w:p w:rsidR="009264ED" w:rsidRPr="003E36FB" w:rsidRDefault="009264ED" w:rsidP="009264ED">
            <w:pPr>
              <w:pStyle w:val="BodyText1"/>
              <w:spacing w:line="240" w:lineRule="auto"/>
              <w:rPr>
                <w:rFonts w:ascii="Times New Roman" w:hAnsi="Times New Roman"/>
                <w:b/>
                <w:bCs/>
              </w:rPr>
            </w:pPr>
            <w:r w:rsidRPr="003E36FB">
              <w:rPr>
                <w:rFonts w:ascii="Times New Roman" w:hAnsi="Times New Roman"/>
                <w:b/>
              </w:rPr>
              <w:t>Samlet eksponering bag gearingsgraden – Definition af kernekapital efter fuld indfasning</w:t>
            </w:r>
          </w:p>
          <w:p w:rsidR="009264ED" w:rsidRPr="003E36FB" w:rsidRDefault="009264ED" w:rsidP="009264ED">
            <w:pPr>
              <w:pStyle w:val="BodyText1"/>
              <w:spacing w:line="240" w:lineRule="auto"/>
              <w:rPr>
                <w:rFonts w:ascii="Times New Roman" w:hAnsi="Times New Roman"/>
                <w:bCs/>
              </w:rPr>
            </w:pPr>
          </w:p>
          <w:p w:rsidR="009264ED" w:rsidRPr="003E36FB" w:rsidRDefault="009264ED" w:rsidP="009264ED">
            <w:pPr>
              <w:pStyle w:val="BodyText1"/>
              <w:spacing w:line="240" w:lineRule="auto"/>
              <w:rPr>
                <w:rFonts w:ascii="Times New Roman" w:hAnsi="Times New Roman"/>
                <w:bCs/>
              </w:rPr>
            </w:pPr>
            <w:r w:rsidRPr="003E36FB">
              <w:rPr>
                <w:rFonts w:ascii="Times New Roman" w:hAnsi="Times New Roman"/>
              </w:rPr>
              <w:t>Institutter skal indberette følgende beløb:</w:t>
            </w:r>
          </w:p>
          <w:p w:rsidR="009264ED" w:rsidRPr="003E36FB" w:rsidRDefault="009264ED" w:rsidP="009264ED">
            <w:pPr>
              <w:pStyle w:val="BodyText1"/>
              <w:spacing w:line="240" w:lineRule="auto"/>
              <w:rPr>
                <w:rFonts w:ascii="Times New Roman" w:hAnsi="Times New Roman"/>
                <w:bCs/>
              </w:rPr>
            </w:pPr>
          </w:p>
          <w:p w:rsidR="009264ED" w:rsidRPr="003E36FB" w:rsidRDefault="009264ED" w:rsidP="009264ED">
            <w:pPr>
              <w:pStyle w:val="BodyText1"/>
              <w:spacing w:line="240" w:lineRule="auto"/>
              <w:rPr>
                <w:rFonts w:ascii="Times New Roman" w:hAnsi="Times New Roman"/>
                <w:bCs/>
              </w:rPr>
            </w:pPr>
            <w:r w:rsidRPr="003E36FB">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{LRCalc;270;010}.</w:t>
            </w:r>
          </w:p>
          <w:p w:rsidR="009264ED" w:rsidRPr="003E36FB" w:rsidRDefault="009264ED" w:rsidP="009264ED">
            <w:pPr>
              <w:pStyle w:val="BodyText1"/>
              <w:spacing w:line="240" w:lineRule="auto"/>
              <w:rPr>
                <w:rFonts w:ascii="Times New Roman" w:hAnsi="Times New Roman"/>
                <w:b/>
                <w:bCs/>
              </w:rPr>
            </w:pPr>
          </w:p>
        </w:tc>
      </w:tr>
      <w:tr w:rsidR="009264ED" w:rsidRPr="003E36FB" w:rsidTr="00FE0FF1">
        <w:trPr>
          <w:trHeight w:val="304"/>
        </w:trPr>
        <w:tc>
          <w:tcPr>
            <w:tcW w:w="1418" w:type="dxa"/>
            <w:tcBorders>
              <w:bottom w:val="single" w:sz="4" w:space="0" w:color="auto"/>
            </w:tcBorders>
          </w:tcPr>
          <w:p w:rsidR="009264ED" w:rsidRPr="003E36FB" w:rsidRDefault="009264ED" w:rsidP="009264ED">
            <w:pPr>
              <w:pStyle w:val="BodyText1"/>
              <w:rPr>
                <w:rFonts w:ascii="Times New Roman" w:hAnsi="Times New Roman"/>
                <w:bCs/>
              </w:rPr>
            </w:pPr>
            <w:r w:rsidRPr="003E36FB">
              <w:rPr>
                <w:rFonts w:ascii="Times New Roman" w:hAnsi="Times New Roman"/>
              </w:rPr>
              <w:t>{300;010}</w:t>
            </w:r>
          </w:p>
          <w:p w:rsidR="009264ED" w:rsidRPr="003E36FB" w:rsidRDefault="009264ED" w:rsidP="009264ED">
            <w:pPr>
              <w:pStyle w:val="BodyText1"/>
              <w:rPr>
                <w:rFonts w:ascii="Times New Roman" w:hAnsi="Times New Roman"/>
                <w:bCs/>
              </w:rPr>
            </w:pPr>
          </w:p>
        </w:tc>
        <w:tc>
          <w:tcPr>
            <w:tcW w:w="7590" w:type="dxa"/>
            <w:tcBorders>
              <w:bottom w:val="single" w:sz="4" w:space="0" w:color="auto"/>
            </w:tcBorders>
          </w:tcPr>
          <w:p w:rsidR="009264ED" w:rsidRPr="003E36FB" w:rsidRDefault="009264ED" w:rsidP="009264ED">
            <w:pPr>
              <w:pStyle w:val="BodyText1"/>
              <w:spacing w:line="240" w:lineRule="auto"/>
              <w:rPr>
                <w:rFonts w:ascii="Times New Roman" w:hAnsi="Times New Roman"/>
                <w:b/>
                <w:bCs/>
              </w:rPr>
            </w:pPr>
            <w:r w:rsidRPr="003E36FB">
              <w:rPr>
                <w:rFonts w:ascii="Times New Roman" w:hAnsi="Times New Roman"/>
                <w:b/>
              </w:rPr>
              <w:t>Samlet eksponering bag gearingsgraden – Overgangsdefinition af kernekapital</w:t>
            </w:r>
          </w:p>
          <w:p w:rsidR="009264ED" w:rsidRPr="003E36FB" w:rsidRDefault="009264ED" w:rsidP="009264ED">
            <w:pPr>
              <w:pStyle w:val="BodyText1"/>
              <w:spacing w:line="240" w:lineRule="auto"/>
              <w:rPr>
                <w:rFonts w:ascii="Times New Roman" w:hAnsi="Times New Roman"/>
                <w:bCs/>
              </w:rPr>
            </w:pPr>
          </w:p>
          <w:p w:rsidR="009264ED" w:rsidRPr="003E36FB" w:rsidRDefault="009264ED" w:rsidP="009264ED">
            <w:pPr>
              <w:pStyle w:val="BodyText1"/>
              <w:spacing w:line="240" w:lineRule="auto"/>
              <w:rPr>
                <w:rFonts w:ascii="Times New Roman" w:hAnsi="Times New Roman"/>
                <w:bCs/>
              </w:rPr>
            </w:pPr>
            <w:r w:rsidRPr="003E36FB">
              <w:rPr>
                <w:rFonts w:ascii="Times New Roman" w:hAnsi="Times New Roman"/>
              </w:rPr>
              <w:t>Institutter skal indberette følgende beløb:</w:t>
            </w:r>
          </w:p>
          <w:p w:rsidR="009264ED" w:rsidRPr="003E36FB" w:rsidRDefault="009264ED" w:rsidP="009264ED">
            <w:pPr>
              <w:pStyle w:val="BodyText1"/>
              <w:spacing w:line="240" w:lineRule="auto"/>
              <w:rPr>
                <w:rFonts w:ascii="Times New Roman" w:hAnsi="Times New Roman"/>
                <w:bCs/>
              </w:rPr>
            </w:pPr>
          </w:p>
          <w:p w:rsidR="009264ED" w:rsidRPr="003E36FB" w:rsidRDefault="009264ED" w:rsidP="009264ED">
            <w:pPr>
              <w:pStyle w:val="BodyText1"/>
              <w:spacing w:line="240" w:lineRule="auto"/>
              <w:rPr>
                <w:rFonts w:ascii="Times New Roman" w:hAnsi="Times New Roman"/>
                <w:bCs/>
              </w:rPr>
            </w:pPr>
            <w:r w:rsidRPr="003E36FB">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{LRCalc;280;010}.</w:t>
            </w:r>
          </w:p>
          <w:p w:rsidR="009264ED" w:rsidRPr="003E36FB" w:rsidRDefault="009264ED" w:rsidP="009264ED">
            <w:pPr>
              <w:pStyle w:val="BodyText1"/>
              <w:spacing w:line="240" w:lineRule="auto"/>
              <w:rPr>
                <w:rFonts w:ascii="Times New Roman" w:hAnsi="Times New Roman"/>
                <w:b/>
                <w:bCs/>
              </w:rPr>
            </w:pPr>
          </w:p>
        </w:tc>
      </w:tr>
      <w:tr w:rsidR="009264ED" w:rsidRPr="003E36FB" w:rsidTr="00FE0FF1">
        <w:trPr>
          <w:trHeight w:val="304"/>
        </w:trPr>
        <w:tc>
          <w:tcPr>
            <w:tcW w:w="1418" w:type="dxa"/>
            <w:shd w:val="pct25" w:color="auto" w:fill="auto"/>
          </w:tcPr>
          <w:p w:rsidR="009264ED" w:rsidRPr="003E36FB" w:rsidRDefault="009264ED" w:rsidP="00FE0FF1">
            <w:pPr>
              <w:pStyle w:val="BodyText1"/>
              <w:rPr>
                <w:rFonts w:ascii="Times New Roman" w:hAnsi="Times New Roman"/>
                <w:b/>
              </w:rPr>
            </w:pPr>
            <w:r w:rsidRPr="003E36FB">
              <w:rPr>
                <w:rFonts w:ascii="Times New Roman" w:hAnsi="Times New Roman"/>
                <w:b/>
              </w:rPr>
              <w:t xml:space="preserve">Række </w:t>
            </w:r>
          </w:p>
          <w:p w:rsidR="009264ED" w:rsidRPr="003E36FB" w:rsidRDefault="009264ED" w:rsidP="00FE0FF1">
            <w:pPr>
              <w:pStyle w:val="BodyText1"/>
              <w:rPr>
                <w:rFonts w:ascii="Times New Roman" w:hAnsi="Times New Roman"/>
                <w:b/>
                <w:bCs/>
              </w:rPr>
            </w:pPr>
            <w:r w:rsidRPr="003E36FB">
              <w:rPr>
                <w:rFonts w:ascii="Times New Roman" w:hAnsi="Times New Roman"/>
                <w:b/>
              </w:rPr>
              <w:t>og kolonne</w:t>
            </w:r>
          </w:p>
        </w:tc>
        <w:tc>
          <w:tcPr>
            <w:tcW w:w="7590" w:type="dxa"/>
            <w:shd w:val="pct25" w:color="auto" w:fill="auto"/>
          </w:tcPr>
          <w:p w:rsidR="009264ED" w:rsidRPr="003E36FB" w:rsidRDefault="009264ED" w:rsidP="00970A0D">
            <w:pPr>
              <w:pStyle w:val="BodyText1"/>
              <w:spacing w:line="240" w:lineRule="auto"/>
              <w:rPr>
                <w:rFonts w:ascii="Times New Roman" w:hAnsi="Times New Roman"/>
                <w:b/>
                <w:bCs/>
              </w:rPr>
            </w:pPr>
            <w:r w:rsidRPr="003E36FB">
              <w:rPr>
                <w:rFonts w:ascii="Times New Roman" w:hAnsi="Times New Roman"/>
                <w:b/>
              </w:rPr>
              <w:t xml:space="preserve">Kapital </w:t>
            </w:r>
          </w:p>
        </w:tc>
      </w:tr>
      <w:tr w:rsidR="009264ED" w:rsidRPr="003E36FB" w:rsidTr="00FE0FF1">
        <w:trPr>
          <w:trHeight w:val="304"/>
        </w:trPr>
        <w:tc>
          <w:tcPr>
            <w:tcW w:w="1418" w:type="dxa"/>
          </w:tcPr>
          <w:p w:rsidR="009264ED" w:rsidRPr="003E36FB" w:rsidRDefault="009264ED" w:rsidP="00FE0FF1">
            <w:pPr>
              <w:pStyle w:val="BodyText1"/>
              <w:rPr>
                <w:rFonts w:ascii="Times New Roman" w:hAnsi="Times New Roman"/>
                <w:bCs/>
              </w:rPr>
            </w:pPr>
            <w:r w:rsidRPr="003E36FB">
              <w:rPr>
                <w:rFonts w:ascii="Times New Roman" w:hAnsi="Times New Roman"/>
              </w:rPr>
              <w:t>{310;010}</w:t>
            </w:r>
          </w:p>
          <w:p w:rsidR="009264ED" w:rsidRPr="003E36FB" w:rsidRDefault="009264ED" w:rsidP="00FE0FF1">
            <w:pPr>
              <w:pStyle w:val="BodyText1"/>
              <w:rPr>
                <w:rFonts w:ascii="Times New Roman" w:hAnsi="Times New Roman"/>
                <w:bCs/>
              </w:rPr>
            </w:pPr>
          </w:p>
        </w:tc>
        <w:tc>
          <w:tcPr>
            <w:tcW w:w="7590" w:type="dxa"/>
          </w:tcPr>
          <w:p w:rsidR="009264ED" w:rsidRPr="003E36FB" w:rsidRDefault="009264ED" w:rsidP="00FE0FF1">
            <w:pPr>
              <w:pStyle w:val="BodyText1"/>
              <w:spacing w:line="240" w:lineRule="auto"/>
              <w:rPr>
                <w:rFonts w:ascii="Times New Roman" w:hAnsi="Times New Roman"/>
                <w:bCs/>
              </w:rPr>
            </w:pPr>
            <w:r w:rsidRPr="003E36FB">
              <w:rPr>
                <w:rFonts w:ascii="Times New Roman" w:hAnsi="Times New Roman"/>
                <w:b/>
              </w:rPr>
              <w:t>Kernekapital – Definition efter fuld indfasning</w:t>
            </w:r>
          </w:p>
          <w:p w:rsidR="009264ED" w:rsidRPr="003E36FB" w:rsidRDefault="009264ED" w:rsidP="00FE0FF1">
            <w:pPr>
              <w:pStyle w:val="BodyText1"/>
              <w:spacing w:line="240" w:lineRule="auto"/>
              <w:rPr>
                <w:rFonts w:ascii="Times New Roman" w:hAnsi="Times New Roman"/>
                <w:bCs/>
              </w:rPr>
            </w:pPr>
          </w:p>
          <w:p w:rsidR="009264ED" w:rsidRPr="003E36FB" w:rsidRDefault="009264ED" w:rsidP="00FE0FF1">
            <w:pPr>
              <w:pStyle w:val="BodyText1"/>
              <w:spacing w:line="240" w:lineRule="auto"/>
              <w:rPr>
                <w:rFonts w:ascii="Times New Roman" w:hAnsi="Times New Roman"/>
                <w:bCs/>
              </w:rPr>
            </w:pPr>
            <w:r w:rsidRPr="003E36FB">
              <w:rPr>
                <w:rFonts w:ascii="Times New Roman" w:hAnsi="Times New Roman"/>
              </w:rPr>
              <w:t>Artikel 429, stk. 3, og artikel 499, stk. 1, i CRR</w:t>
            </w:r>
          </w:p>
          <w:p w:rsidR="009264ED" w:rsidRPr="003E36FB" w:rsidRDefault="009264ED" w:rsidP="00FE0FF1">
            <w:pPr>
              <w:pStyle w:val="BodyText1"/>
              <w:spacing w:line="240" w:lineRule="auto"/>
              <w:rPr>
                <w:rFonts w:ascii="Times New Roman" w:hAnsi="Times New Roman"/>
                <w:bCs/>
              </w:rPr>
            </w:pPr>
          </w:p>
          <w:p w:rsidR="009264ED" w:rsidRPr="003E36FB" w:rsidRDefault="009264ED" w:rsidP="00FE0FF1">
            <w:pPr>
              <w:pStyle w:val="BodyText1"/>
              <w:spacing w:line="240" w:lineRule="auto"/>
              <w:rPr>
                <w:rFonts w:ascii="Times New Roman" w:hAnsi="Times New Roman"/>
                <w:bCs/>
              </w:rPr>
            </w:pPr>
            <w:r w:rsidRPr="003E36FB">
              <w:rPr>
                <w:rFonts w:ascii="Times New Roman" w:hAnsi="Times New Roman"/>
              </w:rPr>
              <w:t>Dette er beløbet for kernekapitalen beregnet i overensstemmelse med artikel 25 i CRR uden hensyntagen til den undtagelse, der er omhandlet i tiende del, afsnit I, kapitel 1 og 2, i CRR.</w:t>
            </w:r>
          </w:p>
          <w:p w:rsidR="009264ED" w:rsidRPr="003E36FB" w:rsidRDefault="009264ED" w:rsidP="00FE0FF1">
            <w:pPr>
              <w:pStyle w:val="BodyText1"/>
              <w:spacing w:line="240" w:lineRule="auto"/>
              <w:rPr>
                <w:rFonts w:ascii="Times New Roman" w:hAnsi="Times New Roman"/>
                <w:bCs/>
              </w:rPr>
            </w:pPr>
          </w:p>
        </w:tc>
      </w:tr>
      <w:tr w:rsidR="009264ED" w:rsidRPr="003E36FB" w:rsidTr="00FE0FF1">
        <w:trPr>
          <w:trHeight w:val="304"/>
        </w:trPr>
        <w:tc>
          <w:tcPr>
            <w:tcW w:w="1418" w:type="dxa"/>
          </w:tcPr>
          <w:p w:rsidR="009264ED" w:rsidRPr="003E36FB" w:rsidRDefault="009264ED" w:rsidP="00FE0FF1">
            <w:pPr>
              <w:pStyle w:val="BodyText1"/>
              <w:rPr>
                <w:rFonts w:ascii="Times New Roman" w:hAnsi="Times New Roman"/>
                <w:bCs/>
              </w:rPr>
            </w:pPr>
            <w:r w:rsidRPr="003E36FB">
              <w:rPr>
                <w:rFonts w:ascii="Times New Roman" w:hAnsi="Times New Roman"/>
              </w:rPr>
              <w:t>{320;010}</w:t>
            </w:r>
          </w:p>
          <w:p w:rsidR="009264ED" w:rsidRPr="003E36FB" w:rsidRDefault="009264ED" w:rsidP="00FE0FF1">
            <w:pPr>
              <w:pStyle w:val="BodyText1"/>
              <w:rPr>
                <w:rFonts w:ascii="Times New Roman" w:hAnsi="Times New Roman"/>
                <w:bCs/>
              </w:rPr>
            </w:pPr>
          </w:p>
        </w:tc>
        <w:tc>
          <w:tcPr>
            <w:tcW w:w="7590" w:type="dxa"/>
          </w:tcPr>
          <w:p w:rsidR="009264ED" w:rsidRPr="003E36FB" w:rsidRDefault="009264ED" w:rsidP="00FE0FF1">
            <w:pPr>
              <w:pStyle w:val="BodyText1"/>
              <w:spacing w:line="240" w:lineRule="auto"/>
              <w:rPr>
                <w:rFonts w:ascii="Times New Roman" w:hAnsi="Times New Roman"/>
                <w:b/>
                <w:bCs/>
              </w:rPr>
            </w:pPr>
            <w:r w:rsidRPr="003E36FB">
              <w:rPr>
                <w:rFonts w:ascii="Times New Roman" w:hAnsi="Times New Roman"/>
                <w:b/>
              </w:rPr>
              <w:t>Kernekapital – Overgangsdefinition</w:t>
            </w:r>
          </w:p>
          <w:p w:rsidR="009264ED" w:rsidRPr="003E36FB" w:rsidRDefault="009264ED" w:rsidP="00FE0FF1">
            <w:pPr>
              <w:pStyle w:val="BodyText1"/>
              <w:spacing w:line="240" w:lineRule="auto"/>
              <w:rPr>
                <w:rFonts w:ascii="Times New Roman" w:hAnsi="Times New Roman"/>
                <w:bCs/>
              </w:rPr>
            </w:pPr>
          </w:p>
          <w:p w:rsidR="009264ED" w:rsidRPr="003E36FB" w:rsidRDefault="009264ED" w:rsidP="00FE0FF1">
            <w:pPr>
              <w:pStyle w:val="BodyText1"/>
              <w:spacing w:line="240" w:lineRule="auto"/>
              <w:rPr>
                <w:rFonts w:ascii="Times New Roman" w:hAnsi="Times New Roman"/>
                <w:bCs/>
              </w:rPr>
            </w:pPr>
            <w:r w:rsidRPr="003E36FB">
              <w:rPr>
                <w:rFonts w:ascii="Times New Roman" w:hAnsi="Times New Roman"/>
              </w:rPr>
              <w:t>Artikel 429, stk. 3, og artikel 499, stk. 1, i CRR</w:t>
            </w:r>
          </w:p>
          <w:p w:rsidR="009264ED" w:rsidRPr="003E36FB" w:rsidRDefault="009264ED" w:rsidP="00FE0FF1">
            <w:pPr>
              <w:pStyle w:val="BodyText1"/>
              <w:spacing w:line="240" w:lineRule="auto"/>
              <w:rPr>
                <w:rFonts w:ascii="Times New Roman" w:hAnsi="Times New Roman"/>
                <w:bCs/>
              </w:rPr>
            </w:pPr>
          </w:p>
          <w:p w:rsidR="009264ED" w:rsidRPr="003E36FB" w:rsidRDefault="009264ED" w:rsidP="00FE0FF1">
            <w:pPr>
              <w:pStyle w:val="BodyText1"/>
              <w:spacing w:line="240" w:lineRule="auto"/>
              <w:rPr>
                <w:rFonts w:ascii="Times New Roman" w:hAnsi="Times New Roman"/>
                <w:bCs/>
              </w:rPr>
            </w:pPr>
            <w:r w:rsidRPr="003E36FB">
              <w:rPr>
                <w:rFonts w:ascii="Times New Roman" w:hAnsi="Times New Roman"/>
              </w:rPr>
              <w:t>Dette er beløbet for kernekapitalen beregnet i overensstemmelse med artikel 25 i CRR efter hensyntagen til den undtagelse, der er omhandlet i tiende del, afsnit I, kapitel 1 og 2, i CRR.</w:t>
            </w:r>
          </w:p>
          <w:p w:rsidR="009264ED" w:rsidRPr="003E36FB" w:rsidRDefault="009264ED" w:rsidP="00FE0FF1">
            <w:pPr>
              <w:pStyle w:val="BodyText1"/>
              <w:spacing w:line="240" w:lineRule="auto"/>
              <w:rPr>
                <w:rFonts w:ascii="Times New Roman" w:hAnsi="Times New Roman"/>
                <w:bCs/>
              </w:rPr>
            </w:pPr>
          </w:p>
        </w:tc>
      </w:tr>
      <w:tr w:rsidR="009264ED" w:rsidRPr="003E36FB" w:rsidTr="00FE0FF1">
        <w:trPr>
          <w:trHeight w:val="304"/>
        </w:trPr>
        <w:tc>
          <w:tcPr>
            <w:tcW w:w="1418" w:type="dxa"/>
            <w:shd w:val="clear" w:color="auto" w:fill="A6A6A6" w:themeFill="background1" w:themeFillShade="A6"/>
          </w:tcPr>
          <w:p w:rsidR="009264ED" w:rsidRPr="003E36FB" w:rsidRDefault="009264ED" w:rsidP="00FE0FF1">
            <w:pPr>
              <w:pStyle w:val="BodyText1"/>
              <w:rPr>
                <w:rFonts w:ascii="Times New Roman" w:hAnsi="Times New Roman"/>
                <w:b/>
              </w:rPr>
            </w:pPr>
            <w:r w:rsidRPr="003E36FB">
              <w:rPr>
                <w:rFonts w:ascii="Times New Roman" w:hAnsi="Times New Roman"/>
                <w:b/>
              </w:rPr>
              <w:t xml:space="preserve">Række </w:t>
            </w:r>
          </w:p>
          <w:p w:rsidR="009264ED" w:rsidRPr="003E36FB" w:rsidRDefault="009264ED" w:rsidP="00FE0FF1">
            <w:pPr>
              <w:pStyle w:val="BodyText1"/>
              <w:rPr>
                <w:rFonts w:ascii="Times New Roman" w:hAnsi="Times New Roman"/>
                <w:b/>
                <w:bCs/>
              </w:rPr>
            </w:pPr>
            <w:r w:rsidRPr="003E36FB">
              <w:rPr>
                <w:rFonts w:ascii="Times New Roman" w:hAnsi="Times New Roman"/>
                <w:b/>
              </w:rPr>
              <w:t>og kolonne</w:t>
            </w:r>
          </w:p>
        </w:tc>
        <w:tc>
          <w:tcPr>
            <w:tcW w:w="7590" w:type="dxa"/>
            <w:shd w:val="clear" w:color="auto" w:fill="A6A6A6" w:themeFill="background1" w:themeFillShade="A6"/>
          </w:tcPr>
          <w:p w:rsidR="009264ED" w:rsidRPr="003E36FB" w:rsidRDefault="009264ED" w:rsidP="00FE0FF1">
            <w:pPr>
              <w:pStyle w:val="BodyText1"/>
              <w:spacing w:line="240" w:lineRule="auto"/>
              <w:rPr>
                <w:rFonts w:ascii="Times New Roman" w:hAnsi="Times New Roman"/>
                <w:b/>
                <w:bCs/>
              </w:rPr>
            </w:pPr>
            <w:r w:rsidRPr="003E36FB">
              <w:rPr>
                <w:rFonts w:ascii="Times New Roman" w:hAnsi="Times New Roman"/>
                <w:b/>
              </w:rPr>
              <w:t>Gearingsgrad</w:t>
            </w:r>
          </w:p>
        </w:tc>
      </w:tr>
      <w:tr w:rsidR="009264ED" w:rsidRPr="003E36FB" w:rsidTr="00FE0FF1">
        <w:trPr>
          <w:trHeight w:val="304"/>
        </w:trPr>
        <w:tc>
          <w:tcPr>
            <w:tcW w:w="1418" w:type="dxa"/>
          </w:tcPr>
          <w:p w:rsidR="009264ED" w:rsidRPr="003E36FB" w:rsidRDefault="009264ED" w:rsidP="00FF01D7">
            <w:pPr>
              <w:pStyle w:val="BodyText1"/>
              <w:rPr>
                <w:rFonts w:ascii="Times New Roman" w:hAnsi="Times New Roman"/>
                <w:bCs/>
              </w:rPr>
            </w:pPr>
            <w:r w:rsidRPr="003E36FB">
              <w:rPr>
                <w:rFonts w:ascii="Times New Roman" w:hAnsi="Times New Roman"/>
              </w:rPr>
              <w:t>{330;010}</w:t>
            </w:r>
          </w:p>
        </w:tc>
        <w:tc>
          <w:tcPr>
            <w:tcW w:w="7590" w:type="dxa"/>
          </w:tcPr>
          <w:p w:rsidR="009264ED" w:rsidRPr="003E36FB" w:rsidRDefault="009264ED" w:rsidP="00FE0FF1">
            <w:pPr>
              <w:pStyle w:val="BodyText1"/>
              <w:spacing w:line="240" w:lineRule="auto"/>
              <w:rPr>
                <w:rFonts w:ascii="Times New Roman" w:hAnsi="Times New Roman"/>
                <w:b/>
                <w:bCs/>
              </w:rPr>
            </w:pPr>
            <w:r w:rsidRPr="003E36FB">
              <w:rPr>
                <w:rFonts w:ascii="Times New Roman" w:hAnsi="Times New Roman"/>
                <w:b/>
              </w:rPr>
              <w:t>Gearingsgrad – Definition af kernekapital efter fuld indfasning</w:t>
            </w:r>
          </w:p>
          <w:p w:rsidR="009264ED" w:rsidRPr="003E36FB" w:rsidRDefault="009264ED" w:rsidP="00FE0FF1">
            <w:pPr>
              <w:pStyle w:val="BodyText1"/>
              <w:spacing w:line="240" w:lineRule="auto"/>
              <w:rPr>
                <w:rFonts w:ascii="Times New Roman" w:hAnsi="Times New Roman"/>
                <w:bCs/>
              </w:rPr>
            </w:pPr>
          </w:p>
          <w:p w:rsidR="009264ED" w:rsidRPr="003E36FB" w:rsidRDefault="009264ED" w:rsidP="00FE0FF1">
            <w:pPr>
              <w:pStyle w:val="BodyText1"/>
              <w:spacing w:line="240" w:lineRule="auto"/>
              <w:rPr>
                <w:rFonts w:ascii="Times New Roman" w:hAnsi="Times New Roman"/>
                <w:bCs/>
              </w:rPr>
            </w:pPr>
            <w:r w:rsidRPr="003E36FB">
              <w:rPr>
                <w:rFonts w:ascii="Times New Roman" w:hAnsi="Times New Roman"/>
              </w:rPr>
              <w:t>Artikel 429, stk. 2, og artikel 499, stk. 1, i CRR</w:t>
            </w:r>
          </w:p>
          <w:p w:rsidR="009264ED" w:rsidRPr="003E36FB" w:rsidRDefault="009264ED" w:rsidP="00FE0FF1">
            <w:pPr>
              <w:pStyle w:val="BodyText1"/>
              <w:spacing w:line="240" w:lineRule="auto"/>
              <w:rPr>
                <w:rFonts w:ascii="Times New Roman" w:hAnsi="Times New Roman"/>
                <w:bCs/>
              </w:rPr>
            </w:pPr>
          </w:p>
          <w:p w:rsidR="009264ED" w:rsidRPr="003E36FB" w:rsidRDefault="009264ED" w:rsidP="00FE0FF1">
            <w:pPr>
              <w:pStyle w:val="BodyText1"/>
              <w:spacing w:line="240" w:lineRule="auto"/>
              <w:rPr>
                <w:rFonts w:ascii="Times New Roman" w:hAnsi="Times New Roman"/>
                <w:bCs/>
              </w:rPr>
            </w:pPr>
            <w:r w:rsidRPr="003E36FB">
              <w:rPr>
                <w:rFonts w:ascii="Times New Roman" w:hAnsi="Times New Roman"/>
              </w:rPr>
              <w:t xml:space="preserve">Dette er gearingsgraden opgjort i henhold til dette bilags del II, punkt 4. </w:t>
            </w:r>
          </w:p>
          <w:p w:rsidR="009264ED" w:rsidRPr="003E36FB" w:rsidRDefault="009264ED" w:rsidP="00FE0FF1">
            <w:pPr>
              <w:pStyle w:val="BodyText1"/>
              <w:spacing w:line="240" w:lineRule="auto"/>
              <w:rPr>
                <w:rFonts w:ascii="Times New Roman" w:hAnsi="Times New Roman"/>
                <w:b/>
                <w:bCs/>
              </w:rPr>
            </w:pPr>
          </w:p>
        </w:tc>
      </w:tr>
      <w:tr w:rsidR="009264ED" w:rsidRPr="003E36FB" w:rsidTr="00FE0FF1">
        <w:trPr>
          <w:trHeight w:val="304"/>
        </w:trPr>
        <w:tc>
          <w:tcPr>
            <w:tcW w:w="1418" w:type="dxa"/>
          </w:tcPr>
          <w:p w:rsidR="009264ED" w:rsidRPr="003E36FB" w:rsidRDefault="009264ED" w:rsidP="009264ED">
            <w:pPr>
              <w:pStyle w:val="BodyText1"/>
              <w:rPr>
                <w:rFonts w:ascii="Times New Roman" w:hAnsi="Times New Roman"/>
                <w:bCs/>
              </w:rPr>
            </w:pPr>
            <w:r w:rsidRPr="003E36FB">
              <w:rPr>
                <w:rFonts w:ascii="Times New Roman" w:hAnsi="Times New Roman"/>
              </w:rPr>
              <w:t>{340;010}</w:t>
            </w:r>
          </w:p>
        </w:tc>
        <w:tc>
          <w:tcPr>
            <w:tcW w:w="7590" w:type="dxa"/>
          </w:tcPr>
          <w:p w:rsidR="009264ED" w:rsidRPr="003E36FB" w:rsidRDefault="009264ED" w:rsidP="00FE0FF1">
            <w:pPr>
              <w:pStyle w:val="BodyText1"/>
              <w:spacing w:line="240" w:lineRule="auto"/>
              <w:rPr>
                <w:rFonts w:ascii="Times New Roman" w:hAnsi="Times New Roman"/>
                <w:b/>
                <w:bCs/>
              </w:rPr>
            </w:pPr>
            <w:r w:rsidRPr="003E36FB">
              <w:rPr>
                <w:rFonts w:ascii="Times New Roman" w:hAnsi="Times New Roman"/>
                <w:b/>
              </w:rPr>
              <w:t>Gearingsgrad – Overgangsdefinition af kernekapital</w:t>
            </w:r>
          </w:p>
          <w:p w:rsidR="009264ED" w:rsidRPr="003E36FB" w:rsidRDefault="009264ED" w:rsidP="00FE0FF1">
            <w:pPr>
              <w:pStyle w:val="BodyText1"/>
              <w:spacing w:line="240" w:lineRule="auto"/>
              <w:rPr>
                <w:rFonts w:ascii="Times New Roman" w:hAnsi="Times New Roman"/>
                <w:bCs/>
              </w:rPr>
            </w:pPr>
          </w:p>
          <w:p w:rsidR="009264ED" w:rsidRPr="003E36FB" w:rsidRDefault="009264ED" w:rsidP="00FE0FF1">
            <w:pPr>
              <w:pStyle w:val="BodyText1"/>
              <w:spacing w:line="240" w:lineRule="auto"/>
              <w:rPr>
                <w:rFonts w:ascii="Times New Roman" w:hAnsi="Times New Roman"/>
                <w:bCs/>
              </w:rPr>
            </w:pPr>
            <w:r w:rsidRPr="003E36FB">
              <w:rPr>
                <w:rFonts w:ascii="Times New Roman" w:hAnsi="Times New Roman"/>
              </w:rPr>
              <w:t>Artikel 429, stk. 2, og artikel 499, stk. 1, i CRR</w:t>
            </w:r>
          </w:p>
          <w:p w:rsidR="009264ED" w:rsidRPr="003E36FB" w:rsidRDefault="009264ED" w:rsidP="00FE0FF1">
            <w:pPr>
              <w:pStyle w:val="BodyText1"/>
              <w:spacing w:line="240" w:lineRule="auto"/>
              <w:rPr>
                <w:rFonts w:ascii="Times New Roman" w:hAnsi="Times New Roman"/>
                <w:bCs/>
              </w:rPr>
            </w:pPr>
          </w:p>
          <w:p w:rsidR="009264ED" w:rsidRPr="003E36FB" w:rsidRDefault="009264ED" w:rsidP="00FE0FF1">
            <w:pPr>
              <w:pStyle w:val="BodyText1"/>
              <w:spacing w:line="240" w:lineRule="auto"/>
              <w:rPr>
                <w:rFonts w:ascii="Times New Roman" w:hAnsi="Times New Roman"/>
              </w:rPr>
            </w:pPr>
            <w:r w:rsidRPr="003E36FB">
              <w:rPr>
                <w:rFonts w:ascii="Times New Roman" w:hAnsi="Times New Roman"/>
              </w:rPr>
              <w:t>Dette er gearingsgraden opgjort i henhold til dette bilags del II, punkt 5.</w:t>
            </w:r>
          </w:p>
          <w:p w:rsidR="009264ED" w:rsidRPr="003E36FB" w:rsidRDefault="009264ED" w:rsidP="00FE0FF1">
            <w:pPr>
              <w:pStyle w:val="BodyText1"/>
              <w:spacing w:line="240" w:lineRule="auto"/>
              <w:rPr>
                <w:rFonts w:ascii="Times New Roman" w:hAnsi="Times New Roman"/>
                <w:b/>
                <w:bCs/>
              </w:rPr>
            </w:pPr>
          </w:p>
        </w:tc>
      </w:tr>
    </w:tbl>
    <w:p w:rsidR="00AE2798" w:rsidRPr="003E36FB" w:rsidRDefault="00AE2798" w:rsidP="00AE2798">
      <w:pPr>
        <w:pStyle w:val="BodyText1"/>
        <w:rPr>
          <w:rFonts w:ascii="Times New Roman" w:hAnsi="Times New Roman"/>
        </w:rPr>
      </w:pPr>
    </w:p>
    <w:p w:rsidR="00AE2798" w:rsidRPr="003E36FB" w:rsidRDefault="00AE2798" w:rsidP="00F4754B">
      <w:pPr>
        <w:pStyle w:val="BodyText1"/>
        <w:rPr>
          <w:rFonts w:ascii="Times New Roman" w:hAnsi="Times New Roman"/>
        </w:rPr>
      </w:pPr>
    </w:p>
    <w:p w:rsidR="00AE2798" w:rsidRPr="003E36FB" w:rsidRDefault="00AE2798" w:rsidP="00F4754B">
      <w:pPr>
        <w:pStyle w:val="BodyText1"/>
        <w:rPr>
          <w:rFonts w:ascii="Times New Roman" w:hAnsi="Times New Roman"/>
        </w:rPr>
      </w:pPr>
    </w:p>
    <w:p w:rsidR="00700DA6" w:rsidRPr="003E36FB" w:rsidRDefault="00500508" w:rsidP="00500508">
      <w:pPr>
        <w:pStyle w:val="BodyText1"/>
        <w:ind w:left="357" w:hanging="357"/>
        <w:outlineLvl w:val="1"/>
        <w:rPr>
          <w:rFonts w:ascii="Times New Roman" w:hAnsi="Times New Roman"/>
          <w:b/>
        </w:rPr>
      </w:pPr>
      <w:bookmarkStart w:id="59" w:name="_Toc351048507"/>
      <w:bookmarkStart w:id="60" w:name="_Toc359414286"/>
      <w:bookmarkStart w:id="61" w:name="_Toc423089071"/>
      <w:bookmarkStart w:id="62" w:name="_Toc523918777"/>
      <w:r w:rsidRPr="003E36FB">
        <w:rPr>
          <w:rFonts w:ascii="Times New Roman" w:hAnsi="Times New Roman"/>
          <w:b/>
        </w:rPr>
        <w:t>5.</w:t>
      </w:r>
      <w:r w:rsidRPr="003E36FB">
        <w:tab/>
      </w:r>
      <w:r w:rsidRPr="003E36FB">
        <w:rPr>
          <w:rFonts w:ascii="Times New Roman" w:hAnsi="Times New Roman"/>
          <w:b/>
        </w:rPr>
        <w:t>C 40.00 — Alternativ behandling af eksponeringsmålet</w:t>
      </w:r>
      <w:bookmarkEnd w:id="54"/>
      <w:bookmarkEnd w:id="59"/>
      <w:bookmarkEnd w:id="60"/>
      <w:r w:rsidRPr="003E36FB">
        <w:rPr>
          <w:rFonts w:ascii="Times New Roman" w:hAnsi="Times New Roman"/>
          <w:b/>
        </w:rPr>
        <w:t xml:space="preserve"> (LR1)</w:t>
      </w:r>
      <w:bookmarkEnd w:id="61"/>
      <w:bookmarkEnd w:id="62"/>
    </w:p>
    <w:p w:rsidR="006033AB" w:rsidRPr="003E36FB" w:rsidRDefault="006033AB" w:rsidP="006033AB">
      <w:pPr>
        <w:pStyle w:val="BodyText1"/>
        <w:spacing w:line="240" w:lineRule="auto"/>
        <w:ind w:left="720"/>
        <w:rPr>
          <w:rFonts w:ascii="Times New Roman" w:hAnsi="Times New Roman"/>
        </w:rPr>
      </w:pPr>
    </w:p>
    <w:p w:rsidR="00F4754B"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21.</w:t>
      </w:r>
      <w:r w:rsidRPr="003E36FB">
        <w:tab/>
      </w:r>
      <w:r w:rsidRPr="003E36FB">
        <w:rPr>
          <w:rFonts w:ascii="Times New Roman" w:hAnsi="Times New Roman"/>
        </w:rPr>
        <w:t xml:space="preserve">I denne del af indberetningen indsamles data om alternativ behandling af derivater, </w:t>
      </w:r>
      <w:proofErr w:type="spellStart"/>
      <w:r w:rsidRPr="003E36FB">
        <w:rPr>
          <w:rFonts w:ascii="Times New Roman" w:hAnsi="Times New Roman"/>
        </w:rPr>
        <w:t>SFT'er</w:t>
      </w:r>
      <w:proofErr w:type="spellEnd"/>
      <w:r w:rsidRPr="003E36FB">
        <w:rPr>
          <w:rFonts w:ascii="Times New Roman" w:hAnsi="Times New Roman"/>
        </w:rPr>
        <w:t xml:space="preserve"> og ikkebalanceførte poster. </w:t>
      </w:r>
    </w:p>
    <w:p w:rsidR="00FC2664" w:rsidRPr="003E36FB" w:rsidRDefault="00FC2664" w:rsidP="007E2A41">
      <w:pPr>
        <w:pStyle w:val="BodyText1"/>
        <w:spacing w:line="240" w:lineRule="auto"/>
        <w:rPr>
          <w:rFonts w:ascii="Times New Roman" w:hAnsi="Times New Roman"/>
        </w:rPr>
      </w:pPr>
    </w:p>
    <w:p w:rsidR="00F4754B"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22.</w:t>
      </w:r>
      <w:r w:rsidRPr="003E36FB">
        <w:tab/>
      </w:r>
      <w:r w:rsidRPr="003E36FB">
        <w:rPr>
          <w:rFonts w:ascii="Times New Roman" w:hAnsi="Times New Roman"/>
        </w:rPr>
        <w:t xml:space="preserve">Institutter skal beregne de "balanceførte regnskabsværdier" i LR1 ved hjælp af de gældende regnskabsregler, jf. artikel 4, stk. 1, nr. 77), i CRR. "Regnskabsværdi såfremt ingen </w:t>
      </w:r>
      <w:proofErr w:type="spellStart"/>
      <w:r w:rsidRPr="003E36FB">
        <w:rPr>
          <w:rFonts w:ascii="Times New Roman" w:hAnsi="Times New Roman"/>
        </w:rPr>
        <w:t>netting</w:t>
      </w:r>
      <w:proofErr w:type="spellEnd"/>
      <w:r w:rsidRPr="003E36FB">
        <w:rPr>
          <w:rFonts w:ascii="Times New Roman" w:hAnsi="Times New Roman"/>
        </w:rPr>
        <w:t xml:space="preserve"> eller anden kreditrisikoreduktion" er den balanceførte regnskabsværdi uden hensyntagen til virkningerne af </w:t>
      </w:r>
      <w:proofErr w:type="spellStart"/>
      <w:r w:rsidRPr="003E36FB">
        <w:rPr>
          <w:rFonts w:ascii="Times New Roman" w:hAnsi="Times New Roman"/>
        </w:rPr>
        <w:t>netting</w:t>
      </w:r>
      <w:proofErr w:type="spellEnd"/>
      <w:r w:rsidRPr="003E36FB">
        <w:rPr>
          <w:rFonts w:ascii="Times New Roman" w:hAnsi="Times New Roman"/>
        </w:rPr>
        <w:t xml:space="preserve"> eller anden kreditrisikoreduktion. </w:t>
      </w:r>
    </w:p>
    <w:p w:rsidR="005556DC" w:rsidRPr="003E36FB" w:rsidRDefault="005556DC" w:rsidP="00FD2C06">
      <w:pPr>
        <w:pStyle w:val="BodyText1"/>
        <w:spacing w:line="240" w:lineRule="auto"/>
        <w:rPr>
          <w:rFonts w:ascii="Times New Roman" w:hAnsi="Times New Roman"/>
        </w:rPr>
      </w:pPr>
    </w:p>
    <w:p w:rsidR="005556DC"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23.</w:t>
      </w:r>
      <w:r w:rsidRPr="003E36FB">
        <w:tab/>
      </w:r>
      <w:r w:rsidRPr="003E36FB">
        <w:rPr>
          <w:rFonts w:ascii="Times New Roman" w:hAnsi="Times New Roman"/>
        </w:rPr>
        <w:t xml:space="preserve">Bortset fra {250;120} og {260;120} skal institutter indberette LR1, som om undtagelserne i </w:t>
      </w:r>
      <w:proofErr w:type="spellStart"/>
      <w:r w:rsidRPr="003E36FB">
        <w:rPr>
          <w:rFonts w:ascii="Times New Roman" w:hAnsi="Times New Roman"/>
        </w:rPr>
        <w:t>LRCalc</w:t>
      </w:r>
      <w:proofErr w:type="spellEnd"/>
      <w:r w:rsidRPr="003E36FB">
        <w:rPr>
          <w:rFonts w:ascii="Times New Roman" w:hAnsi="Times New Roman"/>
        </w:rPr>
        <w:t>, celle {050;010}, {080;010}, {100;010}, {120;010}, {220;010}, {250;010} og {260;010} ikke finder anvendelse.</w:t>
      </w:r>
    </w:p>
    <w:p w:rsidR="005556DC" w:rsidRPr="003E36FB" w:rsidRDefault="005556DC" w:rsidP="005556DC">
      <w:pPr>
        <w:pStyle w:val="BodyText1"/>
        <w:spacing w:line="240" w:lineRule="auto"/>
        <w:ind w:left="720"/>
        <w:rPr>
          <w:rFonts w:ascii="Times New Roman" w:hAnsi="Times New Roman"/>
        </w:rPr>
      </w:pPr>
    </w:p>
    <w:p w:rsidR="00675587" w:rsidRPr="003E36FB"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3E36FB" w:rsidTr="00FC2664">
        <w:tc>
          <w:tcPr>
            <w:tcW w:w="1418" w:type="dxa"/>
            <w:shd w:val="clear" w:color="auto" w:fill="D9D9D9"/>
          </w:tcPr>
          <w:p w:rsidR="00F4754B" w:rsidRPr="003E36FB" w:rsidRDefault="00F4754B" w:rsidP="00F4754B">
            <w:pPr>
              <w:pStyle w:val="BodyText1"/>
              <w:rPr>
                <w:rFonts w:ascii="Times New Roman" w:hAnsi="Times New Roman"/>
                <w:b/>
              </w:rPr>
            </w:pPr>
            <w:r w:rsidRPr="003E36FB">
              <w:rPr>
                <w:rFonts w:ascii="Times New Roman" w:hAnsi="Times New Roman"/>
                <w:b/>
              </w:rPr>
              <w:t xml:space="preserve">Række </w:t>
            </w:r>
          </w:p>
          <w:p w:rsidR="00F4754B" w:rsidRPr="003E36FB" w:rsidRDefault="00F4754B" w:rsidP="00F4754B">
            <w:pPr>
              <w:pStyle w:val="BodyText1"/>
              <w:rPr>
                <w:rFonts w:ascii="Times New Roman" w:hAnsi="Times New Roman"/>
                <w:b/>
              </w:rPr>
            </w:pPr>
            <w:r w:rsidRPr="003E36FB">
              <w:rPr>
                <w:rFonts w:ascii="Times New Roman" w:hAnsi="Times New Roman"/>
                <w:b/>
              </w:rPr>
              <w:t>og kolonne</w:t>
            </w:r>
          </w:p>
        </w:tc>
        <w:tc>
          <w:tcPr>
            <w:tcW w:w="7620" w:type="dxa"/>
            <w:shd w:val="clear" w:color="auto" w:fill="D9D9D9"/>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Henvisninger til retsakter og instrukser</w:t>
            </w:r>
          </w:p>
        </w:tc>
      </w:tr>
      <w:tr w:rsidR="00F4754B" w:rsidRPr="003E36FB" w:rsidTr="00FC2664">
        <w:tc>
          <w:tcPr>
            <w:tcW w:w="1418" w:type="dxa"/>
          </w:tcPr>
          <w:p w:rsidR="00F4754B" w:rsidRPr="003E36FB" w:rsidRDefault="00F4754B" w:rsidP="00F4754B">
            <w:pPr>
              <w:pStyle w:val="BodyText1"/>
              <w:rPr>
                <w:rFonts w:ascii="Times New Roman" w:hAnsi="Times New Roman"/>
                <w:bCs/>
              </w:rPr>
            </w:pPr>
            <w:r w:rsidRPr="003E36FB">
              <w:rPr>
                <w:rFonts w:ascii="Times New Roman" w:hAnsi="Times New Roman"/>
              </w:rPr>
              <w:t>{010;010}</w:t>
            </w:r>
          </w:p>
        </w:tc>
        <w:tc>
          <w:tcPr>
            <w:tcW w:w="7620" w:type="dxa"/>
          </w:tcPr>
          <w:p w:rsidR="00F4754B" w:rsidRPr="003E36FB" w:rsidRDefault="00F4754B" w:rsidP="007E2A41">
            <w:pPr>
              <w:pStyle w:val="BodyText1"/>
              <w:spacing w:line="240" w:lineRule="auto"/>
              <w:rPr>
                <w:rFonts w:ascii="Times New Roman" w:hAnsi="Times New Roman"/>
                <w:bCs/>
                <w:u w:val="single"/>
              </w:rPr>
            </w:pPr>
            <w:r w:rsidRPr="003E36FB">
              <w:rPr>
                <w:rFonts w:ascii="Times New Roman" w:hAnsi="Times New Roman"/>
                <w:b/>
              </w:rPr>
              <w:t>Derivater — Balanceført regnskabsværdi</w:t>
            </w:r>
          </w:p>
          <w:p w:rsidR="00F4754B" w:rsidRPr="003E36FB" w:rsidRDefault="00F4754B"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{020;010}, {050;010} og {060;010}.</w:t>
            </w:r>
          </w:p>
          <w:p w:rsidR="000A6437" w:rsidRPr="003E36FB" w:rsidRDefault="000A6437" w:rsidP="007E2A41">
            <w:pPr>
              <w:pStyle w:val="BodyText1"/>
              <w:spacing w:line="240" w:lineRule="auto"/>
              <w:rPr>
                <w:rFonts w:ascii="Times New Roman" w:hAnsi="Times New Roman"/>
                <w:b/>
                <w:bCs/>
                <w:u w:val="single"/>
              </w:rPr>
            </w:pPr>
          </w:p>
        </w:tc>
      </w:tr>
      <w:tr w:rsidR="00F4754B" w:rsidRPr="003E36FB" w:rsidTr="00FC2664">
        <w:tc>
          <w:tcPr>
            <w:tcW w:w="1418" w:type="dxa"/>
          </w:tcPr>
          <w:p w:rsidR="00F4754B" w:rsidRPr="003E36FB" w:rsidRDefault="00F4754B" w:rsidP="00F4754B">
            <w:pPr>
              <w:pStyle w:val="BodyText1"/>
              <w:rPr>
                <w:rFonts w:ascii="Times New Roman" w:hAnsi="Times New Roman"/>
                <w:bCs/>
              </w:rPr>
            </w:pPr>
            <w:r w:rsidRPr="003E36FB">
              <w:rPr>
                <w:rFonts w:ascii="Times New Roman" w:hAnsi="Times New Roman"/>
              </w:rPr>
              <w:t>{010;020}</w:t>
            </w:r>
          </w:p>
        </w:tc>
        <w:tc>
          <w:tcPr>
            <w:tcW w:w="7620" w:type="dxa"/>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Derivater — Regnskabsværdi såfremt ingen </w:t>
            </w:r>
            <w:proofErr w:type="spellStart"/>
            <w:r w:rsidRPr="003E36FB">
              <w:rPr>
                <w:rFonts w:ascii="Times New Roman" w:hAnsi="Times New Roman"/>
                <w:b/>
              </w:rPr>
              <w:t>netting</w:t>
            </w:r>
            <w:proofErr w:type="spellEnd"/>
            <w:r w:rsidRPr="003E36FB">
              <w:rPr>
                <w:rFonts w:ascii="Times New Roman" w:hAnsi="Times New Roman"/>
                <w:b/>
              </w:rPr>
              <w:t xml:space="preserve"> eller anden kreditrisikoreduktion</w:t>
            </w:r>
          </w:p>
          <w:p w:rsidR="00F4754B" w:rsidRPr="003E36FB" w:rsidRDefault="00F4754B"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{020;020}, {050;020} og {060;020}.</w:t>
            </w:r>
          </w:p>
          <w:p w:rsidR="00FF3AC1" w:rsidRPr="003E36FB" w:rsidRDefault="00FF3AC1" w:rsidP="007E2A41">
            <w:pPr>
              <w:pStyle w:val="BodyText1"/>
              <w:spacing w:line="240" w:lineRule="auto"/>
              <w:rPr>
                <w:rFonts w:ascii="Times New Roman" w:hAnsi="Times New Roman"/>
                <w:b/>
                <w:bCs/>
                <w:u w:val="single"/>
              </w:rPr>
            </w:pPr>
          </w:p>
        </w:tc>
      </w:tr>
      <w:tr w:rsidR="00F4754B" w:rsidRPr="003E36FB" w:rsidTr="00FC2664">
        <w:tc>
          <w:tcPr>
            <w:tcW w:w="1418" w:type="dxa"/>
          </w:tcPr>
          <w:p w:rsidR="00F4754B" w:rsidRPr="003E36FB" w:rsidRDefault="00F4754B" w:rsidP="00F4754B">
            <w:pPr>
              <w:pStyle w:val="BodyText1"/>
              <w:rPr>
                <w:rFonts w:ascii="Times New Roman" w:hAnsi="Times New Roman"/>
                <w:bCs/>
              </w:rPr>
            </w:pPr>
            <w:r w:rsidRPr="003E36FB">
              <w:rPr>
                <w:rFonts w:ascii="Times New Roman" w:hAnsi="Times New Roman"/>
              </w:rPr>
              <w:t>{010;050}</w:t>
            </w:r>
          </w:p>
          <w:p w:rsidR="00F4754B" w:rsidRPr="003E36FB" w:rsidRDefault="00F4754B" w:rsidP="00F4754B">
            <w:pPr>
              <w:pStyle w:val="BodyText1"/>
              <w:rPr>
                <w:rFonts w:ascii="Times New Roman" w:hAnsi="Times New Roman"/>
                <w:bCs/>
              </w:rPr>
            </w:pPr>
          </w:p>
        </w:tc>
        <w:tc>
          <w:tcPr>
            <w:tcW w:w="7620" w:type="dxa"/>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Derivater – Tillæg i henhold til markedsværdimetoden – (såfremt ingen </w:t>
            </w:r>
            <w:proofErr w:type="spellStart"/>
            <w:r w:rsidRPr="003E36FB">
              <w:rPr>
                <w:rFonts w:ascii="Times New Roman" w:hAnsi="Times New Roman"/>
                <w:b/>
              </w:rPr>
              <w:t>netting</w:t>
            </w:r>
            <w:proofErr w:type="spellEnd"/>
            <w:r w:rsidRPr="003E36FB">
              <w:rPr>
                <w:rFonts w:ascii="Times New Roman" w:hAnsi="Times New Roman"/>
                <w:b/>
              </w:rPr>
              <w:t xml:space="preserve"> eller anden kreditrisikoreduktion)</w:t>
            </w:r>
          </w:p>
          <w:p w:rsidR="00F4754B" w:rsidRPr="003E36FB" w:rsidRDefault="00F4754B"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{020;050}, {050;050} og {060;050}.</w:t>
            </w:r>
          </w:p>
          <w:p w:rsidR="00F4754B" w:rsidRPr="003E36FB" w:rsidRDefault="00F4754B" w:rsidP="007E2A41">
            <w:pPr>
              <w:pStyle w:val="BodyText1"/>
              <w:spacing w:line="240" w:lineRule="auto"/>
              <w:rPr>
                <w:rFonts w:ascii="Times New Roman" w:hAnsi="Times New Roman"/>
                <w:b/>
                <w:bCs/>
                <w:u w:val="single"/>
              </w:rPr>
            </w:pPr>
          </w:p>
        </w:tc>
      </w:tr>
      <w:tr w:rsidR="00F4754B" w:rsidRPr="003E36FB" w:rsidTr="00FC2664">
        <w:tc>
          <w:tcPr>
            <w:tcW w:w="1418" w:type="dxa"/>
          </w:tcPr>
          <w:p w:rsidR="00F4754B" w:rsidRPr="003E36FB" w:rsidRDefault="00F4754B" w:rsidP="00F70A83">
            <w:pPr>
              <w:pStyle w:val="BodyText1"/>
              <w:rPr>
                <w:rFonts w:ascii="Times New Roman" w:hAnsi="Times New Roman"/>
                <w:bCs/>
              </w:rPr>
            </w:pPr>
            <w:r w:rsidRPr="003E36FB">
              <w:rPr>
                <w:rFonts w:ascii="Times New Roman" w:hAnsi="Times New Roman"/>
              </w:rPr>
              <w:t>{010;070}</w:t>
            </w:r>
          </w:p>
        </w:tc>
        <w:tc>
          <w:tcPr>
            <w:tcW w:w="7620" w:type="dxa"/>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Derivater – Fiktiv værdi</w:t>
            </w:r>
          </w:p>
          <w:p w:rsidR="00F4754B" w:rsidRPr="003E36FB" w:rsidRDefault="00F4754B"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{020;070}, {050;070} og {060;070}.</w:t>
            </w:r>
          </w:p>
          <w:p w:rsidR="00F4754B" w:rsidRPr="003E36FB" w:rsidRDefault="00F4754B" w:rsidP="007E2A41">
            <w:pPr>
              <w:pStyle w:val="BodyText1"/>
              <w:spacing w:line="240" w:lineRule="auto"/>
              <w:rPr>
                <w:rFonts w:ascii="Times New Roman" w:hAnsi="Times New Roman"/>
                <w:b/>
                <w:bCs/>
                <w:u w:val="single"/>
              </w:rPr>
            </w:pPr>
          </w:p>
        </w:tc>
      </w:tr>
      <w:tr w:rsidR="00F4754B" w:rsidRPr="003E36FB" w:rsidTr="00FC2664">
        <w:tc>
          <w:tcPr>
            <w:tcW w:w="1418" w:type="dxa"/>
          </w:tcPr>
          <w:p w:rsidR="00F4754B" w:rsidRPr="003E36FB" w:rsidRDefault="00F4754B" w:rsidP="00F4754B">
            <w:pPr>
              <w:pStyle w:val="BodyText1"/>
              <w:rPr>
                <w:rFonts w:ascii="Times New Roman" w:hAnsi="Times New Roman"/>
                <w:bCs/>
              </w:rPr>
            </w:pPr>
            <w:r w:rsidRPr="003E36FB">
              <w:rPr>
                <w:rFonts w:ascii="Times New Roman" w:hAnsi="Times New Roman"/>
              </w:rPr>
              <w:t>{020;010}</w:t>
            </w:r>
          </w:p>
        </w:tc>
        <w:tc>
          <w:tcPr>
            <w:tcW w:w="7620" w:type="dxa"/>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Kreditderivater (solgt afdækning) – Balanceført regnskabsværdi</w:t>
            </w:r>
          </w:p>
          <w:p w:rsidR="00F4754B" w:rsidRPr="003E36FB" w:rsidRDefault="00F4754B" w:rsidP="007E2A41">
            <w:pPr>
              <w:pStyle w:val="BodyText1"/>
              <w:spacing w:line="240" w:lineRule="auto"/>
              <w:rPr>
                <w:rFonts w:ascii="Times New Roman" w:hAnsi="Times New Roman"/>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Artikel 4, stk. 1, nr. 77), i CRR</w:t>
            </w:r>
          </w:p>
          <w:p w:rsidR="00F4754B" w:rsidRPr="003E36FB" w:rsidRDefault="00F4754B" w:rsidP="007E2A41">
            <w:pPr>
              <w:pStyle w:val="BodyText1"/>
              <w:spacing w:line="240" w:lineRule="auto"/>
              <w:rPr>
                <w:rFonts w:ascii="Times New Roman" w:hAnsi="Times New Roman"/>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Den balanceførte regnskabsværdi i henhold til de gældende regnskabsregler af kreditderivater, når instituttet sælger afdækning til en modpart, og kontrakten balanceføres som et aktiv.</w:t>
            </w:r>
          </w:p>
          <w:p w:rsidR="00F4754B" w:rsidRPr="003E36FB" w:rsidRDefault="00F4754B" w:rsidP="007E2A41">
            <w:pPr>
              <w:pStyle w:val="BodyText1"/>
              <w:spacing w:line="240" w:lineRule="auto"/>
              <w:rPr>
                <w:rFonts w:ascii="Times New Roman" w:hAnsi="Times New Roman"/>
                <w:b/>
                <w:bCs/>
                <w:u w:val="single"/>
              </w:rPr>
            </w:pPr>
          </w:p>
        </w:tc>
      </w:tr>
      <w:tr w:rsidR="00F4754B" w:rsidRPr="003E36FB" w:rsidTr="00FC2664">
        <w:tc>
          <w:tcPr>
            <w:tcW w:w="1418" w:type="dxa"/>
          </w:tcPr>
          <w:p w:rsidR="00F4754B" w:rsidRPr="003E36FB" w:rsidRDefault="00F4754B" w:rsidP="00F4754B">
            <w:pPr>
              <w:pStyle w:val="BodyText1"/>
              <w:rPr>
                <w:rFonts w:ascii="Times New Roman" w:hAnsi="Times New Roman"/>
                <w:bCs/>
              </w:rPr>
            </w:pPr>
            <w:r w:rsidRPr="003E36FB">
              <w:rPr>
                <w:rFonts w:ascii="Times New Roman" w:hAnsi="Times New Roman"/>
              </w:rPr>
              <w:t>{020;020}</w:t>
            </w:r>
          </w:p>
        </w:tc>
        <w:tc>
          <w:tcPr>
            <w:tcW w:w="7620" w:type="dxa"/>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Kreditderivater (solgt afdækning) – Regnskabsværdi såfremt ingen </w:t>
            </w:r>
            <w:proofErr w:type="spellStart"/>
            <w:r w:rsidRPr="003E36FB">
              <w:rPr>
                <w:rFonts w:ascii="Times New Roman" w:hAnsi="Times New Roman"/>
                <w:b/>
              </w:rPr>
              <w:t>netting</w:t>
            </w:r>
            <w:proofErr w:type="spellEnd"/>
            <w:r w:rsidRPr="003E36FB">
              <w:rPr>
                <w:rFonts w:ascii="Times New Roman" w:hAnsi="Times New Roman"/>
                <w:b/>
              </w:rPr>
              <w:t xml:space="preserve"> eller anden kreditrisikoreduktion</w:t>
            </w:r>
          </w:p>
          <w:p w:rsidR="00F4754B" w:rsidRPr="003E36FB" w:rsidRDefault="00F4754B" w:rsidP="007E2A41">
            <w:pPr>
              <w:pStyle w:val="BodyText1"/>
              <w:spacing w:line="240" w:lineRule="auto"/>
              <w:rPr>
                <w:rFonts w:ascii="Times New Roman" w:hAnsi="Times New Roman"/>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Artikel 4, stk. 1, nr. 77), i CRR</w:t>
            </w:r>
          </w:p>
          <w:p w:rsidR="00F4754B" w:rsidRPr="003E36FB" w:rsidRDefault="00F4754B" w:rsidP="007E2A41">
            <w:pPr>
              <w:pStyle w:val="BodyText1"/>
              <w:spacing w:line="240" w:lineRule="auto"/>
              <w:rPr>
                <w:rFonts w:ascii="Times New Roman" w:hAnsi="Times New Roman"/>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Den balanceførte regnskabsværdi i henhold til de gældende regnskabsregler af kreditderivater, når instituttet sælger afdækning til en modpart, og kontrakten balanceføres som et aktiv uden hensyntagen til virkninger af forsigtighedsjusteringer, regnskabsmæssig </w:t>
            </w:r>
            <w:proofErr w:type="spellStart"/>
            <w:r w:rsidRPr="003E36FB">
              <w:rPr>
                <w:rFonts w:ascii="Times New Roman" w:hAnsi="Times New Roman"/>
              </w:rPr>
              <w:t>netting</w:t>
            </w:r>
            <w:proofErr w:type="spellEnd"/>
            <w:r w:rsidRPr="003E36FB">
              <w:rPr>
                <w:rFonts w:ascii="Times New Roman" w:hAnsi="Times New Roman"/>
              </w:rPr>
              <w:t xml:space="preserve"> eller anden risikoreduktion (dvs. at eventuelle virkninger af regnskabsmæssig </w:t>
            </w:r>
            <w:proofErr w:type="spellStart"/>
            <w:r w:rsidRPr="003E36FB">
              <w:rPr>
                <w:rFonts w:ascii="Times New Roman" w:hAnsi="Times New Roman"/>
              </w:rPr>
              <w:t>netting</w:t>
            </w:r>
            <w:proofErr w:type="spellEnd"/>
            <w:r w:rsidRPr="003E36FB">
              <w:rPr>
                <w:rFonts w:ascii="Times New Roman" w:hAnsi="Times New Roman"/>
              </w:rPr>
              <w:t xml:space="preserve"> eller risikoreduktion på den balanceførte regnskabsværdi skal tilbageføres).</w:t>
            </w:r>
          </w:p>
          <w:p w:rsidR="00F4754B" w:rsidRPr="003E36FB" w:rsidRDefault="00F4754B" w:rsidP="007E2A41">
            <w:pPr>
              <w:pStyle w:val="BodyText1"/>
              <w:spacing w:line="240" w:lineRule="auto"/>
              <w:rPr>
                <w:rFonts w:ascii="Times New Roman" w:hAnsi="Times New Roman"/>
                <w:b/>
                <w:bCs/>
                <w:u w:val="single"/>
              </w:rPr>
            </w:pPr>
          </w:p>
        </w:tc>
      </w:tr>
      <w:tr w:rsidR="00F4754B" w:rsidRPr="003E36FB" w:rsidTr="00FC2664">
        <w:tc>
          <w:tcPr>
            <w:tcW w:w="1418" w:type="dxa"/>
          </w:tcPr>
          <w:p w:rsidR="00F4754B" w:rsidRPr="003E36FB" w:rsidRDefault="00F4754B" w:rsidP="00F70A83">
            <w:pPr>
              <w:pStyle w:val="BodyText1"/>
              <w:rPr>
                <w:rFonts w:ascii="Times New Roman" w:hAnsi="Times New Roman"/>
                <w:bCs/>
              </w:rPr>
            </w:pPr>
            <w:r w:rsidRPr="003E36FB">
              <w:rPr>
                <w:rFonts w:ascii="Times New Roman" w:hAnsi="Times New Roman"/>
              </w:rPr>
              <w:t>{020;050}</w:t>
            </w:r>
          </w:p>
        </w:tc>
        <w:tc>
          <w:tcPr>
            <w:tcW w:w="7620" w:type="dxa"/>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Kreditderivater (solgt afdækning) – Tillæg i henhold til markedsværdimetoden – (såfremt ingen </w:t>
            </w:r>
            <w:proofErr w:type="spellStart"/>
            <w:r w:rsidRPr="003E36FB">
              <w:rPr>
                <w:rFonts w:ascii="Times New Roman" w:hAnsi="Times New Roman"/>
                <w:b/>
              </w:rPr>
              <w:t>netting</w:t>
            </w:r>
            <w:proofErr w:type="spellEnd"/>
            <w:r w:rsidRPr="003E36FB">
              <w:rPr>
                <w:rFonts w:ascii="Times New Roman" w:hAnsi="Times New Roman"/>
                <w:b/>
              </w:rPr>
              <w:t xml:space="preserve"> eller anden kreditrisikoreduktion)</w:t>
            </w:r>
          </w:p>
          <w:p w:rsidR="00F4754B" w:rsidRPr="003E36FB" w:rsidRDefault="00F4754B"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lastRenderedPageBreak/>
              <w:t>Dette er summen af {030;050} og {040;050}.</w:t>
            </w:r>
          </w:p>
          <w:p w:rsidR="00F4754B" w:rsidRPr="003E36FB" w:rsidRDefault="00F4754B" w:rsidP="007E2A41">
            <w:pPr>
              <w:pStyle w:val="BodyText1"/>
              <w:spacing w:line="240" w:lineRule="auto"/>
              <w:rPr>
                <w:rFonts w:ascii="Times New Roman" w:hAnsi="Times New Roman"/>
                <w:b/>
                <w:bCs/>
                <w:u w:val="single"/>
              </w:rPr>
            </w:pPr>
          </w:p>
        </w:tc>
      </w:tr>
      <w:tr w:rsidR="00F4754B" w:rsidRPr="003E36FB" w:rsidTr="00FC2664">
        <w:tc>
          <w:tcPr>
            <w:tcW w:w="1418" w:type="dxa"/>
          </w:tcPr>
          <w:p w:rsidR="00F4754B" w:rsidRPr="003E36FB" w:rsidRDefault="00F4754B" w:rsidP="00F70A83">
            <w:pPr>
              <w:pStyle w:val="BodyText1"/>
              <w:rPr>
                <w:rFonts w:ascii="Times New Roman" w:hAnsi="Times New Roman"/>
                <w:bCs/>
              </w:rPr>
            </w:pPr>
            <w:r w:rsidRPr="003E36FB">
              <w:rPr>
                <w:rFonts w:ascii="Times New Roman" w:hAnsi="Times New Roman"/>
              </w:rPr>
              <w:lastRenderedPageBreak/>
              <w:t>{020;070}</w:t>
            </w:r>
          </w:p>
        </w:tc>
        <w:tc>
          <w:tcPr>
            <w:tcW w:w="7620" w:type="dxa"/>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Kreditderivater (solgt afdækning) – Fiktiv værdi</w:t>
            </w:r>
          </w:p>
          <w:p w:rsidR="00F4754B" w:rsidRPr="003E36FB" w:rsidRDefault="00F4754B" w:rsidP="007E2A41">
            <w:pPr>
              <w:pStyle w:val="BodyText1"/>
              <w:spacing w:line="240" w:lineRule="auto"/>
              <w:rPr>
                <w:rFonts w:ascii="Times New Roman" w:hAnsi="Times New Roman"/>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{030;070} og {040;070}.</w:t>
            </w:r>
          </w:p>
          <w:p w:rsidR="00F4754B" w:rsidRPr="003E36FB" w:rsidRDefault="00F4754B"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71081">
            <w:pPr>
              <w:pStyle w:val="BodyText1"/>
              <w:rPr>
                <w:rFonts w:ascii="Times New Roman" w:hAnsi="Times New Roman"/>
                <w:bCs/>
              </w:rPr>
            </w:pPr>
            <w:r w:rsidRPr="003E36FB">
              <w:rPr>
                <w:rFonts w:ascii="Times New Roman" w:hAnsi="Times New Roman"/>
              </w:rPr>
              <w:t>{020;075}</w:t>
            </w:r>
          </w:p>
        </w:tc>
        <w:tc>
          <w:tcPr>
            <w:tcW w:w="7620" w:type="dxa"/>
          </w:tcPr>
          <w:p w:rsidR="00410E47" w:rsidRPr="003E36FB" w:rsidRDefault="00410E47" w:rsidP="006B5E42">
            <w:pPr>
              <w:pStyle w:val="BodyText1"/>
              <w:spacing w:line="240" w:lineRule="auto"/>
              <w:rPr>
                <w:rFonts w:ascii="Times New Roman" w:hAnsi="Times New Roman"/>
                <w:b/>
                <w:bCs/>
              </w:rPr>
            </w:pPr>
            <w:r w:rsidRPr="003E36FB">
              <w:rPr>
                <w:rFonts w:ascii="Times New Roman" w:hAnsi="Times New Roman"/>
                <w:b/>
              </w:rPr>
              <w:t>Kreditderivater (solgt afdækning) – Maksimal fiktiv værdi</w:t>
            </w:r>
          </w:p>
          <w:p w:rsidR="00410E47" w:rsidRPr="003E36FB" w:rsidRDefault="00410E47" w:rsidP="006B5E42">
            <w:pPr>
              <w:pStyle w:val="BodyText1"/>
              <w:spacing w:line="240" w:lineRule="auto"/>
              <w:rPr>
                <w:rFonts w:ascii="Times New Roman" w:hAnsi="Times New Roman"/>
                <w:bCs/>
              </w:rPr>
            </w:pPr>
          </w:p>
          <w:p w:rsidR="00410E47" w:rsidRPr="003E36FB" w:rsidRDefault="00410E47" w:rsidP="006B5E42">
            <w:pPr>
              <w:pStyle w:val="BodyText1"/>
              <w:spacing w:line="240" w:lineRule="auto"/>
              <w:rPr>
                <w:rFonts w:ascii="Times New Roman" w:hAnsi="Times New Roman"/>
                <w:bCs/>
              </w:rPr>
            </w:pPr>
            <w:r w:rsidRPr="003E36FB">
              <w:rPr>
                <w:rFonts w:ascii="Times New Roman" w:hAnsi="Times New Roman"/>
              </w:rPr>
              <w:t>I denne celle angives den fiktive værdi knyttet til kreditderivaterne (solgt afdækning) som i {020;  070} efter fradrag af eventuelle ændringer af den negative dagsværdi, som er indregnet i kernekapitalen i forbindelse med det udstedte kreditderivat.</w:t>
            </w:r>
          </w:p>
          <w:p w:rsidR="00410E47" w:rsidRPr="003E36FB" w:rsidRDefault="00410E47" w:rsidP="006B5E42">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70A83">
            <w:pPr>
              <w:pStyle w:val="BodyText1"/>
              <w:rPr>
                <w:rFonts w:ascii="Times New Roman" w:hAnsi="Times New Roman"/>
                <w:bCs/>
              </w:rPr>
            </w:pPr>
            <w:r w:rsidRPr="003E36FB">
              <w:rPr>
                <w:rFonts w:ascii="Times New Roman" w:hAnsi="Times New Roman"/>
              </w:rPr>
              <w:t>{030;050}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 xml:space="preserve">Kreditderivater (solgt afdækning), som er underlagt en slutafregningsklausul – Tillæg i henhold til markedsværdimetoden (såfremt ingen </w:t>
            </w:r>
            <w:proofErr w:type="spellStart"/>
            <w:r w:rsidRPr="003E36FB">
              <w:rPr>
                <w:rFonts w:ascii="Times New Roman" w:hAnsi="Times New Roman"/>
                <w:b/>
              </w:rPr>
              <w:t>netting</w:t>
            </w:r>
            <w:proofErr w:type="spellEnd"/>
            <w:r w:rsidRPr="003E36FB">
              <w:rPr>
                <w:rFonts w:ascii="Times New Roman" w:hAnsi="Times New Roman"/>
                <w:b/>
              </w:rPr>
              <w:t xml:space="preserve"> eller anden kreditrisikoreduktion)</w:t>
            </w:r>
          </w:p>
          <w:p w:rsidR="00410E47" w:rsidRPr="003E36FB" w:rsidRDefault="00410E47" w:rsidP="00406605">
            <w:pPr>
              <w:pStyle w:val="BodyText1"/>
              <w:spacing w:line="240" w:lineRule="auto"/>
              <w:jc w:val="center"/>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299, stk. 2, i CRR</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I denne celle angives den potentielle fremtidige eksponering for kreditderivater, når instituttet sælger kreditafdækning til en modpart, der er underlagt en slutafregningsklausul, såfremt der ikke foretages </w:t>
            </w:r>
            <w:proofErr w:type="spellStart"/>
            <w:r w:rsidRPr="003E36FB">
              <w:rPr>
                <w:rFonts w:ascii="Times New Roman" w:hAnsi="Times New Roman"/>
              </w:rPr>
              <w:t>netting</w:t>
            </w:r>
            <w:proofErr w:type="spellEnd"/>
            <w:r w:rsidRPr="003E36FB">
              <w:rPr>
                <w:rFonts w:ascii="Times New Roman" w:hAnsi="Times New Roman"/>
              </w:rPr>
              <w:t xml:space="preserve"> eller anden kreditrisikoreduktion. Institutterne skal ikke angive tillægget for kreditderivater i denne celle, når de sælger afdækning til en modpart, der ikke er underlagt en slutafregningsklausul. Institutter skal i stedet angive dette i {LR1;040;050}.</w:t>
            </w:r>
          </w:p>
          <w:p w:rsidR="00994DCE" w:rsidRPr="003E36FB" w:rsidRDefault="00994DCE"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En slutafregningsklausul defineres som en klausul, der giver den ikkemisligholdende part ret til at opsige og foretage rettidig afregning af alle transaktioner, der er omfattet af aftalen, i tilfælde af misligholdelse, herunder i tilfælde af modpartens insolvens eller konkurs.</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Institutter skal tage hensyn til alle kreditderivater, ikke kun derivaterne i handelsbeholdningen. </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71081">
            <w:pPr>
              <w:pStyle w:val="BodyText1"/>
              <w:rPr>
                <w:rFonts w:ascii="Times New Roman" w:hAnsi="Times New Roman"/>
                <w:bCs/>
              </w:rPr>
            </w:pPr>
            <w:r w:rsidRPr="003E36FB">
              <w:rPr>
                <w:rFonts w:ascii="Times New Roman" w:hAnsi="Times New Roman"/>
              </w:rPr>
              <w:t>{030;070}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Kreditderivater (solgt afdækning), som er underlagt en slutafregningsklausul — Fiktiv værdi</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I denne celle angives den fiktive værdi knyttet til kreditderivater, når instituttet sælger kreditafdækning til en modpart, der er underlagt en slutafregningsklausul. </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rPr>
            </w:pPr>
            <w:r w:rsidRPr="003E36FB">
              <w:rPr>
                <w:rFonts w:ascii="Times New Roman" w:hAnsi="Times New Roman"/>
              </w:rPr>
              <w:t>En slutafregningsklausul defineres som en klausul, der giver den ikkemisligholdende part ret til at opsige og foretage rettidig afregning af alle transaktioner, der er omfattet af aftalen, i tilfælde af misligholdelse, herunder i tilfælde af modpartens insolvens eller konkurs.</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Institutter skal tage hensyn til alle kreditderivater, ikke kun derivaterne i handelsbeholdningen. </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4754B">
            <w:pPr>
              <w:pStyle w:val="BodyText1"/>
              <w:rPr>
                <w:rFonts w:ascii="Times New Roman" w:hAnsi="Times New Roman"/>
                <w:bCs/>
              </w:rPr>
            </w:pPr>
            <w:r w:rsidRPr="003E36FB">
              <w:rPr>
                <w:rFonts w:ascii="Times New Roman" w:hAnsi="Times New Roman"/>
              </w:rPr>
              <w:t>{040;050}</w:t>
            </w:r>
          </w:p>
          <w:p w:rsidR="00410E47" w:rsidRPr="003E36FB" w:rsidRDefault="00410E47" w:rsidP="00F4754B">
            <w:pPr>
              <w:pStyle w:val="BodyText1"/>
              <w:rPr>
                <w:rFonts w:ascii="Times New Roman" w:hAnsi="Times New Roman"/>
                <w:bCs/>
              </w:rPr>
            </w:pP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 xml:space="preserve">Kreditderivater (solgt afdækning), som ikke er underlagt en slutafregningsklausul – Tillæg i henhold til markedsværdimetoden (såfremt ingen </w:t>
            </w:r>
            <w:proofErr w:type="spellStart"/>
            <w:r w:rsidRPr="003E36FB">
              <w:rPr>
                <w:rFonts w:ascii="Times New Roman" w:hAnsi="Times New Roman"/>
                <w:b/>
              </w:rPr>
              <w:t>netting</w:t>
            </w:r>
            <w:proofErr w:type="spellEnd"/>
            <w:r w:rsidRPr="003E36FB">
              <w:rPr>
                <w:rFonts w:ascii="Times New Roman" w:hAnsi="Times New Roman"/>
                <w:b/>
              </w:rPr>
              <w:t xml:space="preserve"> eller anden kreditrisikoreduktion)</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299, stk. 2, i CRR</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tabs>
                <w:tab w:val="center" w:pos="4153"/>
                <w:tab w:val="right" w:pos="8306"/>
              </w:tabs>
              <w:spacing w:line="240" w:lineRule="auto"/>
              <w:rPr>
                <w:rFonts w:ascii="Times New Roman" w:hAnsi="Times New Roman"/>
                <w:bCs/>
              </w:rPr>
            </w:pPr>
            <w:r w:rsidRPr="003E36FB">
              <w:rPr>
                <w:rFonts w:ascii="Times New Roman" w:hAnsi="Times New Roman"/>
              </w:rPr>
              <w:t xml:space="preserve">I denne celle angives den potentielle fremtidige eksponering for kreditderivater, når instituttet sælger kreditafdækning til en modpart, der </w:t>
            </w:r>
            <w:r w:rsidRPr="003E36FB">
              <w:rPr>
                <w:rFonts w:ascii="Times New Roman" w:hAnsi="Times New Roman"/>
                <w:b/>
                <w:u w:val="single"/>
              </w:rPr>
              <w:t>ikke</w:t>
            </w:r>
            <w:r w:rsidRPr="003E36FB">
              <w:rPr>
                <w:rFonts w:ascii="Times New Roman" w:hAnsi="Times New Roman"/>
              </w:rPr>
              <w:t xml:space="preserve"> er underlagt en slutafregningsklausul, såfremt der ikke foretages </w:t>
            </w:r>
            <w:proofErr w:type="spellStart"/>
            <w:r w:rsidRPr="003E36FB">
              <w:rPr>
                <w:rFonts w:ascii="Times New Roman" w:hAnsi="Times New Roman"/>
              </w:rPr>
              <w:t>netting</w:t>
            </w:r>
            <w:proofErr w:type="spellEnd"/>
            <w:r w:rsidRPr="003E36FB">
              <w:rPr>
                <w:rFonts w:ascii="Times New Roman" w:hAnsi="Times New Roman"/>
              </w:rPr>
              <w:t xml:space="preserve"> eller anden kreditrisikoreduktion.</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rPr>
            </w:pPr>
            <w:r w:rsidRPr="003E36FB">
              <w:rPr>
                <w:rFonts w:ascii="Times New Roman" w:hAnsi="Times New Roman"/>
              </w:rPr>
              <w:t>En slutafregningsklausul defineres som en klausul, der giver den ikkemisligholdende part ret til at opsige og foretage rettidig afregning af alle transaktioner, der er omfattet af aftalen, i tilfælde af misligholdelse, herunder i tilfælde af modpartens insolvens eller konkurs.</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
                <w:bCs/>
                <w:u w:val="single"/>
              </w:rPr>
            </w:pPr>
            <w:r w:rsidRPr="003E36FB">
              <w:rPr>
                <w:rFonts w:ascii="Times New Roman" w:hAnsi="Times New Roman"/>
              </w:rPr>
              <w:lastRenderedPageBreak/>
              <w:t>Institutter skal tage hensyn til alle kreditderivater, ikke kun derivaterne i handelsbeholdningen.</w:t>
            </w:r>
            <w:r w:rsidRPr="003E36FB">
              <w:rPr>
                <w:rFonts w:ascii="Times New Roman" w:hAnsi="Times New Roman"/>
                <w:b/>
                <w:u w:val="single"/>
              </w:rPr>
              <w:t xml:space="preserve"> </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70A83">
            <w:pPr>
              <w:pStyle w:val="BodyText1"/>
              <w:rPr>
                <w:rFonts w:ascii="Times New Roman" w:hAnsi="Times New Roman"/>
                <w:bCs/>
              </w:rPr>
            </w:pPr>
            <w:r w:rsidRPr="003E36FB">
              <w:rPr>
                <w:rFonts w:ascii="Times New Roman" w:hAnsi="Times New Roman"/>
              </w:rPr>
              <w:lastRenderedPageBreak/>
              <w:t>{040;070}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Kreditderivater (solgt afdækning), som ikke er underlagt en slutafregningsklausul — Fiktiv værdi</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rPr>
            </w:pPr>
            <w:r w:rsidRPr="003E36FB">
              <w:rPr>
                <w:rFonts w:ascii="Times New Roman" w:hAnsi="Times New Roman"/>
              </w:rPr>
              <w:t xml:space="preserve">I denne celle angives den fiktive værdi knyttet til kreditderivater, når instituttet sælger kreditafdækning til en modpart, der </w:t>
            </w:r>
            <w:r w:rsidRPr="003E36FB">
              <w:rPr>
                <w:rFonts w:ascii="Times New Roman" w:hAnsi="Times New Roman"/>
                <w:b/>
                <w:u w:val="single"/>
              </w:rPr>
              <w:t>ikke</w:t>
            </w:r>
            <w:r w:rsidRPr="003E36FB">
              <w:rPr>
                <w:rFonts w:ascii="Times New Roman" w:hAnsi="Times New Roman"/>
              </w:rPr>
              <w:t xml:space="preserve"> er underlagt en slutafregningsklausul.</w:t>
            </w:r>
          </w:p>
          <w:p w:rsidR="00410E47" w:rsidRPr="003E36FB" w:rsidRDefault="00410E47" w:rsidP="007E2A41">
            <w:pPr>
              <w:pStyle w:val="BodyText1"/>
              <w:spacing w:line="240" w:lineRule="auto"/>
              <w:rPr>
                <w:rFonts w:ascii="Times New Roman" w:hAnsi="Times New Roman"/>
              </w:rPr>
            </w:pPr>
          </w:p>
          <w:p w:rsidR="00410E47" w:rsidRPr="003E36FB" w:rsidRDefault="00410E47" w:rsidP="007E2A41">
            <w:pPr>
              <w:pStyle w:val="BodyText1"/>
              <w:spacing w:line="240" w:lineRule="auto"/>
              <w:rPr>
                <w:rFonts w:ascii="Times New Roman" w:hAnsi="Times New Roman"/>
              </w:rPr>
            </w:pPr>
            <w:r w:rsidRPr="003E36FB">
              <w:rPr>
                <w:rFonts w:ascii="Times New Roman" w:hAnsi="Times New Roman"/>
              </w:rPr>
              <w:t>En slutafregningsklausul defineres som en klausul, der giver den ikkemisligholdende part ret til at opsige og foretage rettidig afregning af alle transaktioner, der er omfattet af aftalen, i tilfælde af misligholdelse, herunder i tilfælde af modpartens insolvens eller konkurs.</w:t>
            </w:r>
          </w:p>
          <w:p w:rsidR="00410E47" w:rsidRPr="003E36FB" w:rsidRDefault="00410E47" w:rsidP="007E2A41">
            <w:pPr>
              <w:pStyle w:val="BodyText1"/>
              <w:spacing w:line="240" w:lineRule="auto"/>
              <w:rPr>
                <w:rFonts w:ascii="Times New Roman" w:hAnsi="Times New Roman"/>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Institutter skal tage hensyn til alle kreditderivater, ikke kun derivaterne i handelsbeholdningen.</w:t>
            </w:r>
          </w:p>
          <w:p w:rsidR="00410E47" w:rsidRPr="003E36FB" w:rsidRDefault="00410E47" w:rsidP="007E2A41">
            <w:pPr>
              <w:pStyle w:val="BodyText1"/>
              <w:spacing w:line="240" w:lineRule="auto"/>
              <w:rPr>
                <w:rFonts w:ascii="Times New Roman" w:hAnsi="Times New Roman"/>
                <w:b/>
                <w:bCs/>
                <w:u w:val="single"/>
              </w:rPr>
            </w:pPr>
            <w:r w:rsidRPr="003E36FB">
              <w:rPr>
                <w:rFonts w:ascii="Times New Roman" w:hAnsi="Times New Roman"/>
                <w:b/>
                <w:u w:val="single"/>
              </w:rPr>
              <w:t xml:space="preserve"> </w:t>
            </w:r>
          </w:p>
        </w:tc>
      </w:tr>
      <w:tr w:rsidR="00410E47" w:rsidRPr="003E36FB" w:rsidTr="00FC2664">
        <w:tc>
          <w:tcPr>
            <w:tcW w:w="1418" w:type="dxa"/>
          </w:tcPr>
          <w:p w:rsidR="00410E47" w:rsidRPr="003E36FB" w:rsidRDefault="00410E47" w:rsidP="00F4754B">
            <w:pPr>
              <w:pStyle w:val="BodyText1"/>
              <w:rPr>
                <w:rFonts w:ascii="Times New Roman" w:hAnsi="Times New Roman"/>
                <w:bCs/>
              </w:rPr>
            </w:pPr>
            <w:r w:rsidRPr="003E36FB">
              <w:rPr>
                <w:rFonts w:ascii="Times New Roman" w:hAnsi="Times New Roman"/>
              </w:rPr>
              <w:t>{050;010}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Kreditderivater (købt afdækning) – Balanceført regnskabsværdi</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4, stk. 1, nr. 77), i CRR</w:t>
            </w:r>
          </w:p>
          <w:p w:rsidR="00410E47" w:rsidRPr="003E36FB" w:rsidRDefault="00410E47" w:rsidP="007E2A41">
            <w:pPr>
              <w:pStyle w:val="BodyText1"/>
              <w:spacing w:line="240" w:lineRule="auto"/>
              <w:rPr>
                <w:rFonts w:ascii="Times New Roman" w:hAnsi="Times New Roman"/>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Den balanceførte regnskabsværdi i henhold til de gældende regnskabsregler af kreditderivater, når instituttet køber afdækning af en modpart, og kontrakten balanceføres som et aktiv.</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Institutter skal tage hensyn til alle kreditderivater, ikke kun derivaterne i handelsbeholdningen.</w:t>
            </w:r>
          </w:p>
          <w:p w:rsidR="00410E47" w:rsidRPr="003E36FB" w:rsidRDefault="00410E47" w:rsidP="007E2A41">
            <w:pPr>
              <w:pStyle w:val="BodyText1"/>
              <w:spacing w:line="240" w:lineRule="auto"/>
              <w:rPr>
                <w:rFonts w:ascii="Times New Roman" w:hAnsi="Times New Roman"/>
                <w:b/>
                <w:bCs/>
                <w:u w:val="single"/>
              </w:rPr>
            </w:pPr>
            <w:r w:rsidRPr="003E36FB">
              <w:rPr>
                <w:rFonts w:ascii="Times New Roman" w:hAnsi="Times New Roman"/>
                <w:b/>
                <w:u w:val="single"/>
              </w:rPr>
              <w:t xml:space="preserve"> </w:t>
            </w:r>
          </w:p>
        </w:tc>
      </w:tr>
      <w:tr w:rsidR="00410E47" w:rsidRPr="003E36FB" w:rsidTr="00FC2664">
        <w:tc>
          <w:tcPr>
            <w:tcW w:w="1418" w:type="dxa"/>
          </w:tcPr>
          <w:p w:rsidR="00410E47" w:rsidRPr="003E36FB" w:rsidRDefault="00410E47" w:rsidP="00F4754B">
            <w:pPr>
              <w:pStyle w:val="BodyText1"/>
              <w:rPr>
                <w:rFonts w:ascii="Times New Roman" w:hAnsi="Times New Roman"/>
                <w:bCs/>
              </w:rPr>
            </w:pPr>
            <w:r w:rsidRPr="003E36FB">
              <w:rPr>
                <w:rFonts w:ascii="Times New Roman" w:hAnsi="Times New Roman"/>
              </w:rPr>
              <w:t>{050;020}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 xml:space="preserve">Kreditderivater (købt afdækning) – Regnskabsværdi såfremt ingen </w:t>
            </w:r>
            <w:proofErr w:type="spellStart"/>
            <w:r w:rsidRPr="003E36FB">
              <w:rPr>
                <w:rFonts w:ascii="Times New Roman" w:hAnsi="Times New Roman"/>
                <w:b/>
              </w:rPr>
              <w:t>netting</w:t>
            </w:r>
            <w:proofErr w:type="spellEnd"/>
            <w:r w:rsidRPr="003E36FB">
              <w:rPr>
                <w:rFonts w:ascii="Times New Roman" w:hAnsi="Times New Roman"/>
                <w:b/>
              </w:rPr>
              <w:t xml:space="preserve"> eller anden kreditrisikoreduktion</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4, stk. 1, nr. 77), i CRR</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Den balanceførte regnskabsværdi i henhold til de gældende regnskabsregler af kreditderivater, når instituttet køber afdækning af en modpart, og kontrakten balanceføres som et aktiv uden hensyntagen til virkninger af forsigtighedsjusteringer, regnskabsmæssig </w:t>
            </w:r>
            <w:proofErr w:type="spellStart"/>
            <w:r w:rsidRPr="003E36FB">
              <w:rPr>
                <w:rFonts w:ascii="Times New Roman" w:hAnsi="Times New Roman"/>
              </w:rPr>
              <w:t>netting</w:t>
            </w:r>
            <w:proofErr w:type="spellEnd"/>
            <w:r w:rsidRPr="003E36FB">
              <w:rPr>
                <w:rFonts w:ascii="Times New Roman" w:hAnsi="Times New Roman"/>
              </w:rPr>
              <w:t xml:space="preserve"> eller risikoreduktion (dvs. at eventuelle virkninger af regnskabsmæssig </w:t>
            </w:r>
            <w:proofErr w:type="spellStart"/>
            <w:r w:rsidRPr="003E36FB">
              <w:rPr>
                <w:rFonts w:ascii="Times New Roman" w:hAnsi="Times New Roman"/>
              </w:rPr>
              <w:t>netting</w:t>
            </w:r>
            <w:proofErr w:type="spellEnd"/>
            <w:r w:rsidRPr="003E36FB">
              <w:rPr>
                <w:rFonts w:ascii="Times New Roman" w:hAnsi="Times New Roman"/>
              </w:rPr>
              <w:t xml:space="preserve"> eller risikoreduktion på den balanceførte regnskabsværdi skal tilbageføres).</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Institutter skal tage hensyn til alle kreditderivater, ikke kun derivaterne i handelsbeholdningen.</w:t>
            </w:r>
          </w:p>
          <w:p w:rsidR="00410E47" w:rsidRPr="003E36FB" w:rsidRDefault="00410E47" w:rsidP="007E2A41">
            <w:pPr>
              <w:pStyle w:val="BodyText1"/>
              <w:spacing w:line="240" w:lineRule="auto"/>
              <w:rPr>
                <w:rFonts w:ascii="Times New Roman" w:hAnsi="Times New Roman"/>
                <w:b/>
                <w:bCs/>
                <w:u w:val="single"/>
              </w:rPr>
            </w:pPr>
            <w:r w:rsidRPr="003E36FB">
              <w:rPr>
                <w:rFonts w:ascii="Times New Roman" w:hAnsi="Times New Roman"/>
                <w:b/>
                <w:u w:val="single"/>
              </w:rPr>
              <w:t xml:space="preserve"> </w:t>
            </w:r>
          </w:p>
        </w:tc>
      </w:tr>
      <w:tr w:rsidR="00410E47" w:rsidRPr="003E36FB" w:rsidTr="00FC2664">
        <w:tc>
          <w:tcPr>
            <w:tcW w:w="1418" w:type="dxa"/>
          </w:tcPr>
          <w:p w:rsidR="00410E47" w:rsidRPr="003E36FB" w:rsidRDefault="00410E47" w:rsidP="00F4754B">
            <w:pPr>
              <w:pStyle w:val="BodyText1"/>
              <w:rPr>
                <w:rFonts w:ascii="Times New Roman" w:hAnsi="Times New Roman"/>
                <w:bCs/>
              </w:rPr>
            </w:pPr>
            <w:r w:rsidRPr="003E36FB">
              <w:rPr>
                <w:rFonts w:ascii="Times New Roman" w:hAnsi="Times New Roman"/>
              </w:rPr>
              <w:t>{050;050}</w:t>
            </w:r>
          </w:p>
          <w:p w:rsidR="00410E47" w:rsidRPr="003E36FB" w:rsidRDefault="00410E47" w:rsidP="00F4754B">
            <w:pPr>
              <w:pStyle w:val="BodyText1"/>
              <w:rPr>
                <w:rFonts w:ascii="Times New Roman" w:hAnsi="Times New Roman"/>
                <w:bCs/>
              </w:rPr>
            </w:pP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 xml:space="preserve">Kreditderivater (købt afdækning) – Tillæg i henhold til markedsværdimetoden (såfremt ingen </w:t>
            </w:r>
            <w:proofErr w:type="spellStart"/>
            <w:r w:rsidRPr="003E36FB">
              <w:rPr>
                <w:rFonts w:ascii="Times New Roman" w:hAnsi="Times New Roman"/>
                <w:b/>
              </w:rPr>
              <w:t>netting</w:t>
            </w:r>
            <w:proofErr w:type="spellEnd"/>
            <w:r w:rsidRPr="003E36FB">
              <w:rPr>
                <w:rFonts w:ascii="Times New Roman" w:hAnsi="Times New Roman"/>
                <w:b/>
              </w:rPr>
              <w:t xml:space="preserve"> eller anden kreditrisikoreduktion)</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299, stk. 2, i CRR</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I denne celle angives den potentielle fremtidige eksponering for kreditderivater, når instituttet køber kreditafdækning af en modpart, såfremt der ikke foretages </w:t>
            </w:r>
            <w:proofErr w:type="spellStart"/>
            <w:r w:rsidRPr="003E36FB">
              <w:rPr>
                <w:rFonts w:ascii="Times New Roman" w:hAnsi="Times New Roman"/>
              </w:rPr>
              <w:t>netting</w:t>
            </w:r>
            <w:proofErr w:type="spellEnd"/>
            <w:r w:rsidRPr="003E36FB">
              <w:rPr>
                <w:rFonts w:ascii="Times New Roman" w:hAnsi="Times New Roman"/>
              </w:rPr>
              <w:t xml:space="preserve"> eller anden kreditrisikoreduktion.</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Institutter skal tage hensyn til alle kreditderivater, ikke kun derivaterne i handelsbeholdningen.</w:t>
            </w:r>
          </w:p>
          <w:p w:rsidR="00410E47" w:rsidRPr="003E36FB" w:rsidRDefault="00410E47" w:rsidP="007E2A41">
            <w:pPr>
              <w:pStyle w:val="BodyText1"/>
              <w:spacing w:line="240" w:lineRule="auto"/>
              <w:rPr>
                <w:rFonts w:ascii="Times New Roman" w:hAnsi="Times New Roman"/>
                <w:b/>
                <w:bCs/>
                <w:u w:val="single"/>
              </w:rPr>
            </w:pPr>
            <w:r w:rsidRPr="003E36FB">
              <w:rPr>
                <w:rFonts w:ascii="Times New Roman" w:hAnsi="Times New Roman"/>
                <w:b/>
                <w:u w:val="single"/>
              </w:rPr>
              <w:t xml:space="preserve"> </w:t>
            </w:r>
          </w:p>
        </w:tc>
      </w:tr>
      <w:tr w:rsidR="00410E47" w:rsidRPr="003E36FB" w:rsidTr="00FC2664">
        <w:tc>
          <w:tcPr>
            <w:tcW w:w="1418" w:type="dxa"/>
          </w:tcPr>
          <w:p w:rsidR="00410E47" w:rsidRPr="003E36FB" w:rsidRDefault="00410E47" w:rsidP="00F4754B">
            <w:pPr>
              <w:pStyle w:val="BodyText1"/>
              <w:rPr>
                <w:rFonts w:ascii="Times New Roman" w:hAnsi="Times New Roman"/>
                <w:bCs/>
              </w:rPr>
            </w:pPr>
            <w:r w:rsidRPr="003E36FB">
              <w:rPr>
                <w:rFonts w:ascii="Times New Roman" w:hAnsi="Times New Roman"/>
              </w:rPr>
              <w:t>{050;070}</w:t>
            </w:r>
          </w:p>
          <w:p w:rsidR="00410E47" w:rsidRPr="003E36FB" w:rsidRDefault="00410E47" w:rsidP="00F4754B">
            <w:pPr>
              <w:pStyle w:val="BodyText1"/>
              <w:rPr>
                <w:rFonts w:ascii="Times New Roman" w:hAnsi="Times New Roman"/>
                <w:bCs/>
              </w:rPr>
            </w:pP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Kreditderivater (købt afdækning) – Fiktiv værdi</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I denne celle angives den fiktive værdi knyttet til kreditderivater, når instituttet køber kreditafdækning af en modpart. </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Institutter skal tage hensyn til alle kreditderivater, ikke kun derivaterne i </w:t>
            </w:r>
            <w:r w:rsidRPr="003E36FB">
              <w:rPr>
                <w:rFonts w:ascii="Times New Roman" w:hAnsi="Times New Roman"/>
              </w:rPr>
              <w:lastRenderedPageBreak/>
              <w:t>handelsbeholdningen.</w:t>
            </w:r>
          </w:p>
          <w:p w:rsidR="00410E47" w:rsidRPr="003E36FB" w:rsidRDefault="00410E47" w:rsidP="007E2A41">
            <w:pPr>
              <w:pStyle w:val="BodyText1"/>
              <w:spacing w:line="240" w:lineRule="auto"/>
              <w:rPr>
                <w:rFonts w:ascii="Times New Roman" w:hAnsi="Times New Roman"/>
                <w:b/>
                <w:bCs/>
                <w:u w:val="single"/>
              </w:rPr>
            </w:pPr>
            <w:r w:rsidRPr="003E36FB">
              <w:rPr>
                <w:rFonts w:ascii="Times New Roman" w:hAnsi="Times New Roman"/>
                <w:b/>
                <w:u w:val="single"/>
              </w:rPr>
              <w:t xml:space="preserve"> </w:t>
            </w:r>
          </w:p>
        </w:tc>
      </w:tr>
      <w:tr w:rsidR="00410E47" w:rsidRPr="003E36FB" w:rsidTr="00FC2664">
        <w:tc>
          <w:tcPr>
            <w:tcW w:w="1418" w:type="dxa"/>
          </w:tcPr>
          <w:p w:rsidR="00410E47" w:rsidRPr="003E36FB" w:rsidRDefault="00410E47" w:rsidP="00F71081">
            <w:pPr>
              <w:pStyle w:val="BodyText1"/>
              <w:rPr>
                <w:rFonts w:ascii="Times New Roman" w:hAnsi="Times New Roman"/>
                <w:bCs/>
              </w:rPr>
            </w:pPr>
            <w:r w:rsidRPr="003E36FB">
              <w:rPr>
                <w:rFonts w:ascii="Times New Roman" w:hAnsi="Times New Roman"/>
              </w:rPr>
              <w:lastRenderedPageBreak/>
              <w:t>{050;075}</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Kreditderivater (købt afdækning) – Maksimal fiktiv værdi</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410E47">
            <w:pPr>
              <w:pStyle w:val="BodyText1"/>
              <w:spacing w:line="240" w:lineRule="auto"/>
              <w:rPr>
                <w:rFonts w:ascii="Times New Roman" w:hAnsi="Times New Roman"/>
                <w:bCs/>
              </w:rPr>
            </w:pPr>
            <w:r w:rsidRPr="003E36FB">
              <w:rPr>
                <w:rFonts w:ascii="Times New Roman" w:hAnsi="Times New Roman"/>
              </w:rPr>
              <w:t>I denne celle angives den fiktive værdi knyttet til kreditderivater (købt afdækning) som i {050;050} efter fradrag af eventuelle ændringer af den positive dagsværdi, som er indregnet i kernekapitalen i forbindelse med det købte kreditderivat.</w:t>
            </w:r>
          </w:p>
          <w:p w:rsidR="00410E47" w:rsidRPr="003E36FB" w:rsidRDefault="00410E47" w:rsidP="007E2A41">
            <w:pPr>
              <w:pStyle w:val="BodyText1"/>
              <w:spacing w:line="240" w:lineRule="auto"/>
              <w:rPr>
                <w:rFonts w:ascii="Times New Roman" w:hAnsi="Times New Roman"/>
                <w:b/>
                <w:bCs/>
              </w:rPr>
            </w:pPr>
          </w:p>
        </w:tc>
      </w:tr>
      <w:tr w:rsidR="00410E47" w:rsidRPr="003E36FB" w:rsidTr="00FC2664">
        <w:tc>
          <w:tcPr>
            <w:tcW w:w="1418" w:type="dxa"/>
          </w:tcPr>
          <w:p w:rsidR="00410E47" w:rsidRPr="003E36FB" w:rsidRDefault="00410E47" w:rsidP="00F4754B">
            <w:pPr>
              <w:pStyle w:val="BodyText1"/>
              <w:rPr>
                <w:rFonts w:ascii="Times New Roman" w:hAnsi="Times New Roman"/>
                <w:bCs/>
              </w:rPr>
            </w:pPr>
            <w:r w:rsidRPr="003E36FB">
              <w:rPr>
                <w:rFonts w:ascii="Times New Roman" w:hAnsi="Times New Roman"/>
              </w:rPr>
              <w:t>{050;085}</w:t>
            </w:r>
          </w:p>
          <w:p w:rsidR="00410E47" w:rsidRPr="003E36FB" w:rsidRDefault="00410E47" w:rsidP="00F4754B">
            <w:pPr>
              <w:pStyle w:val="BodyText1"/>
              <w:rPr>
                <w:rFonts w:ascii="Times New Roman" w:hAnsi="Times New Roman"/>
                <w:bCs/>
              </w:rPr>
            </w:pPr>
          </w:p>
        </w:tc>
        <w:tc>
          <w:tcPr>
            <w:tcW w:w="7620" w:type="dxa"/>
          </w:tcPr>
          <w:p w:rsidR="00410E47" w:rsidRPr="003E36FB" w:rsidRDefault="00ED7412" w:rsidP="007E2A41">
            <w:pPr>
              <w:pStyle w:val="BodyText1"/>
              <w:spacing w:line="240" w:lineRule="auto"/>
              <w:rPr>
                <w:rFonts w:ascii="Times New Roman" w:hAnsi="Times New Roman"/>
                <w:b/>
                <w:bCs/>
              </w:rPr>
            </w:pPr>
            <w:r w:rsidRPr="003E36FB">
              <w:rPr>
                <w:rFonts w:ascii="Times New Roman" w:hAnsi="Times New Roman"/>
                <w:b/>
              </w:rPr>
              <w:t>Kreditderivater (købt afdækning) – Maksimal fiktiv værdi (samme referencenavn)</w:t>
            </w:r>
          </w:p>
          <w:p w:rsidR="00410E47" w:rsidRPr="003E36FB" w:rsidRDefault="00410E47" w:rsidP="007E2A41">
            <w:pPr>
              <w:pStyle w:val="BodyText1"/>
              <w:spacing w:line="240" w:lineRule="auto"/>
              <w:rPr>
                <w:rFonts w:ascii="Times New Roman" w:hAnsi="Times New Roman"/>
                <w:b/>
                <w:bCs/>
                <w:u w:val="single"/>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Den fiktive værdi knyttet til kreditderivater, når instituttet køber kreditafdækning for det samme underliggende referencenavn som de kreditderivater, der er udstedt af det indberettende institut.</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Ved indberetningen af denne celleværdi betragtes de underliggende referencenavne som de samme, hvis de henviser til den samme retlige enhed og det samme niveau i rangordenen. </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Kreditafdækning købt for en pulje af referenceenheder behandles som den samme, hvis denne afdækning økonomisk svarer til separat køb af afdækning for hvert af de individuelle navne i puljen.</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Hvis et institut køber kreditafdækning for en pulje af referencenavne, betragtes denne kreditafdækning kun som den samme, hvis den købte kreditafdækning dækker alle dele af puljen, for hvilken kreditafdækning er blevet solgt. Det betyder, at modregning kun anerkendes, når puljen af referenceenheder og niveauet i rangordenen er identiske. </w:t>
            </w:r>
          </w:p>
          <w:p w:rsidR="006B3B83" w:rsidRPr="003E36FB" w:rsidRDefault="006B3B83"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For hvert referencenavn må de fiktive værdier af købt kreditafdækning, der angives i denne celle, ikke overstige de beløb, der er indberettet i {020;075} og {050;075}.</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4754B">
            <w:pPr>
              <w:pStyle w:val="BodyText1"/>
              <w:rPr>
                <w:rFonts w:ascii="Times New Roman" w:hAnsi="Times New Roman"/>
                <w:bCs/>
              </w:rPr>
            </w:pPr>
            <w:r w:rsidRPr="003E36FB">
              <w:rPr>
                <w:rFonts w:ascii="Times New Roman" w:hAnsi="Times New Roman"/>
              </w:rPr>
              <w:t>{060;010}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Finansielle derivater – Balanceført regnskabsværdi</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4, stk. 1, nr. 77), i CRR</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Den balanceførte regnskabsværdi i henhold til de gældende regnskabsregler af kontrakter opført i bilag II til CRR, når kontrakterne balanceføres som aktiver.</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4754B">
            <w:pPr>
              <w:pStyle w:val="BodyText1"/>
              <w:rPr>
                <w:rFonts w:ascii="Times New Roman" w:hAnsi="Times New Roman"/>
                <w:bCs/>
              </w:rPr>
            </w:pPr>
            <w:r w:rsidRPr="003E36FB">
              <w:rPr>
                <w:rFonts w:ascii="Times New Roman" w:hAnsi="Times New Roman"/>
              </w:rPr>
              <w:t>{060;020}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 xml:space="preserve">Finansielle derivater – Regnskabsværdi såfremt ingen </w:t>
            </w:r>
            <w:proofErr w:type="spellStart"/>
            <w:r w:rsidRPr="003E36FB">
              <w:rPr>
                <w:rFonts w:ascii="Times New Roman" w:hAnsi="Times New Roman"/>
                <w:b/>
              </w:rPr>
              <w:t>netting</w:t>
            </w:r>
            <w:proofErr w:type="spellEnd"/>
            <w:r w:rsidRPr="003E36FB">
              <w:rPr>
                <w:rFonts w:ascii="Times New Roman" w:hAnsi="Times New Roman"/>
                <w:b/>
              </w:rPr>
              <w:t xml:space="preserve"> eller anden kreditrisikoreduktion</w:t>
            </w:r>
          </w:p>
          <w:p w:rsidR="00410E47" w:rsidRPr="003E36FB" w:rsidRDefault="00410E47" w:rsidP="006162F0">
            <w:pPr>
              <w:pStyle w:val="BodyText1"/>
              <w:spacing w:line="240" w:lineRule="auto"/>
              <w:ind w:firstLine="720"/>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4, stk. 1, nr. 77), i CRR</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Den balanceførte regnskabsværdi i henhold til de gældende regnskabsregler af kontrakter opført i bilag II til CRR, når kontrakterne balanceføres som aktiver uden hensyntagen til virkninger af forsigtighedsjusteringer, regnskabsmæssig </w:t>
            </w:r>
            <w:proofErr w:type="spellStart"/>
            <w:r w:rsidRPr="003E36FB">
              <w:rPr>
                <w:rFonts w:ascii="Times New Roman" w:hAnsi="Times New Roman"/>
              </w:rPr>
              <w:t>netting</w:t>
            </w:r>
            <w:proofErr w:type="spellEnd"/>
            <w:r w:rsidRPr="003E36FB">
              <w:rPr>
                <w:rFonts w:ascii="Times New Roman" w:hAnsi="Times New Roman"/>
              </w:rPr>
              <w:t xml:space="preserve"> eller anden risikoreduktion (dvs. at eventuelle virkninger af regnskabsmæssig </w:t>
            </w:r>
            <w:proofErr w:type="spellStart"/>
            <w:r w:rsidRPr="003E36FB">
              <w:rPr>
                <w:rFonts w:ascii="Times New Roman" w:hAnsi="Times New Roman"/>
              </w:rPr>
              <w:t>netting</w:t>
            </w:r>
            <w:proofErr w:type="spellEnd"/>
            <w:r w:rsidRPr="003E36FB">
              <w:rPr>
                <w:rFonts w:ascii="Times New Roman" w:hAnsi="Times New Roman"/>
              </w:rPr>
              <w:t xml:space="preserve"> eller risikoreduktion på den balanceførte regnskabsværdi skal tilbageføres).</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70A83">
            <w:pPr>
              <w:pStyle w:val="BodyText1"/>
              <w:rPr>
                <w:rFonts w:ascii="Times New Roman" w:hAnsi="Times New Roman"/>
                <w:bCs/>
              </w:rPr>
            </w:pPr>
            <w:r w:rsidRPr="003E36FB">
              <w:rPr>
                <w:rFonts w:ascii="Times New Roman" w:hAnsi="Times New Roman"/>
              </w:rPr>
              <w:t>{060;050}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 xml:space="preserve">Finansielle derivater – Tillæg i henhold til markedsværdimetoden (såfremt ingen </w:t>
            </w:r>
            <w:proofErr w:type="spellStart"/>
            <w:r w:rsidRPr="003E36FB">
              <w:rPr>
                <w:rFonts w:ascii="Times New Roman" w:hAnsi="Times New Roman"/>
                <w:b/>
              </w:rPr>
              <w:t>netting</w:t>
            </w:r>
            <w:proofErr w:type="spellEnd"/>
            <w:r w:rsidRPr="003E36FB">
              <w:rPr>
                <w:rFonts w:ascii="Times New Roman" w:hAnsi="Times New Roman"/>
                <w:b/>
              </w:rPr>
              <w:t xml:space="preserve"> eller anden kreditrisikoreduktion)</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274 i CRR</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I denne celle angives den regelomfattede potentielle fremtidige eksponering for kontrakter opført i bilag II til CRR, såfremt der ikke foretages </w:t>
            </w:r>
            <w:proofErr w:type="spellStart"/>
            <w:r w:rsidRPr="003E36FB">
              <w:rPr>
                <w:rFonts w:ascii="Times New Roman" w:hAnsi="Times New Roman"/>
              </w:rPr>
              <w:t>netting</w:t>
            </w:r>
            <w:proofErr w:type="spellEnd"/>
            <w:r w:rsidRPr="003E36FB">
              <w:rPr>
                <w:rFonts w:ascii="Times New Roman" w:hAnsi="Times New Roman"/>
              </w:rPr>
              <w:t xml:space="preserve"> eller anden kreditrisikoreduktion.</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71081">
            <w:pPr>
              <w:pStyle w:val="BodyText1"/>
              <w:rPr>
                <w:rFonts w:ascii="Times New Roman" w:hAnsi="Times New Roman"/>
                <w:bCs/>
              </w:rPr>
            </w:pPr>
            <w:r w:rsidRPr="003E36FB">
              <w:rPr>
                <w:rFonts w:ascii="Times New Roman" w:hAnsi="Times New Roman"/>
              </w:rPr>
              <w:t>{060;070}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Finansielle derivater – Fiktiv værdi</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I denne celle angives den fiktive værdi knyttet til kontrakter opført i bilag II til CRR.</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4754B">
            <w:pPr>
              <w:pStyle w:val="BodyText1"/>
              <w:rPr>
                <w:rFonts w:ascii="Times New Roman" w:hAnsi="Times New Roman"/>
                <w:bCs/>
              </w:rPr>
            </w:pPr>
            <w:r w:rsidRPr="003E36FB">
              <w:rPr>
                <w:rFonts w:ascii="Times New Roman" w:hAnsi="Times New Roman"/>
              </w:rPr>
              <w:lastRenderedPageBreak/>
              <w:t>{070;010}</w:t>
            </w:r>
          </w:p>
        </w:tc>
        <w:tc>
          <w:tcPr>
            <w:tcW w:w="7620" w:type="dxa"/>
          </w:tcPr>
          <w:p w:rsidR="00410E47" w:rsidRPr="003E36FB" w:rsidRDefault="00A36A43" w:rsidP="007E2A41">
            <w:pPr>
              <w:pStyle w:val="BodyText1"/>
              <w:spacing w:line="240" w:lineRule="auto"/>
              <w:rPr>
                <w:rFonts w:ascii="Times New Roman" w:hAnsi="Times New Roman"/>
                <w:b/>
                <w:bCs/>
              </w:rPr>
            </w:pPr>
            <w:proofErr w:type="spellStart"/>
            <w:r w:rsidRPr="003E36FB">
              <w:rPr>
                <w:rFonts w:ascii="Times New Roman" w:hAnsi="Times New Roman"/>
                <w:b/>
              </w:rPr>
              <w:t>SFT'er</w:t>
            </w:r>
            <w:proofErr w:type="spellEnd"/>
            <w:r w:rsidRPr="003E36FB">
              <w:rPr>
                <w:rFonts w:ascii="Times New Roman" w:hAnsi="Times New Roman"/>
                <w:b/>
              </w:rPr>
              <w:t xml:space="preserve"> omfattet af en rammeaftale om </w:t>
            </w:r>
            <w:proofErr w:type="spellStart"/>
            <w:r w:rsidRPr="003E36FB">
              <w:rPr>
                <w:rFonts w:ascii="Times New Roman" w:hAnsi="Times New Roman"/>
                <w:b/>
              </w:rPr>
              <w:t>netting</w:t>
            </w:r>
            <w:proofErr w:type="spellEnd"/>
            <w:r w:rsidRPr="003E36FB">
              <w:rPr>
                <w:rFonts w:ascii="Times New Roman" w:hAnsi="Times New Roman"/>
                <w:b/>
              </w:rPr>
              <w:t xml:space="preserve"> – Balanceført regnskabsværdi</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4, stk. 1, nr. 77), og artikel 206 i CRR</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Den balanceførte regnskabsværdi i henhold til de gældende regnskabsregler af </w:t>
            </w:r>
            <w:proofErr w:type="spellStart"/>
            <w:r w:rsidRPr="003E36FB">
              <w:rPr>
                <w:rFonts w:ascii="Times New Roman" w:hAnsi="Times New Roman"/>
              </w:rPr>
              <w:t>SFT'er</w:t>
            </w:r>
            <w:proofErr w:type="spellEnd"/>
            <w:r w:rsidRPr="003E36FB">
              <w:rPr>
                <w:rFonts w:ascii="Times New Roman" w:hAnsi="Times New Roman"/>
              </w:rPr>
              <w:t xml:space="preserve">, som er omfattet af en rammeaftale om </w:t>
            </w:r>
            <w:proofErr w:type="spellStart"/>
            <w:r w:rsidRPr="003E36FB">
              <w:rPr>
                <w:rFonts w:ascii="Times New Roman" w:hAnsi="Times New Roman"/>
              </w:rPr>
              <w:t>netting</w:t>
            </w:r>
            <w:proofErr w:type="spellEnd"/>
            <w:r w:rsidRPr="003E36FB">
              <w:rPr>
                <w:rFonts w:ascii="Times New Roman" w:hAnsi="Times New Roman"/>
              </w:rPr>
              <w:t xml:space="preserve"> anerkendt i henhold til artikel 206 i CRR.</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
                <w:bCs/>
                <w:u w:val="single"/>
              </w:rPr>
            </w:pPr>
            <w:r w:rsidRPr="003E36FB">
              <w:rPr>
                <w:rFonts w:ascii="Times New Roman" w:hAnsi="Times New Roman"/>
              </w:rPr>
              <w:t>Institutter skal i denne celle ikke medtage modtagne kontantbeløb eller værdipapirer, der leveres til en modpart via ovennævnte transaktioner, og som stadig balanceføres (dvs. at regnskabskriterierne for ophør af indregning ikke opfyldes). Institutter skal i stedet angive dette i {090,010}.</w:t>
            </w:r>
            <w:r w:rsidRPr="003E36FB">
              <w:rPr>
                <w:rFonts w:ascii="Times New Roman" w:hAnsi="Times New Roman"/>
                <w:b/>
                <w:u w:val="single"/>
              </w:rPr>
              <w:t xml:space="preserve"> </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4754B">
            <w:pPr>
              <w:pStyle w:val="BodyText1"/>
              <w:rPr>
                <w:rFonts w:ascii="Times New Roman" w:hAnsi="Times New Roman"/>
                <w:bCs/>
              </w:rPr>
            </w:pPr>
            <w:r w:rsidRPr="003E36FB">
              <w:rPr>
                <w:rFonts w:ascii="Times New Roman" w:hAnsi="Times New Roman"/>
              </w:rPr>
              <w:t>{070;020}</w:t>
            </w:r>
          </w:p>
        </w:tc>
        <w:tc>
          <w:tcPr>
            <w:tcW w:w="7620" w:type="dxa"/>
          </w:tcPr>
          <w:p w:rsidR="00410E47" w:rsidRPr="003E36FB" w:rsidRDefault="00A36A43" w:rsidP="007E2A41">
            <w:pPr>
              <w:pStyle w:val="BodyText1"/>
              <w:spacing w:line="240" w:lineRule="auto"/>
              <w:rPr>
                <w:rFonts w:ascii="Times New Roman" w:hAnsi="Times New Roman"/>
                <w:b/>
                <w:bCs/>
              </w:rPr>
            </w:pPr>
            <w:proofErr w:type="spellStart"/>
            <w:r w:rsidRPr="003E36FB">
              <w:rPr>
                <w:rFonts w:ascii="Times New Roman" w:hAnsi="Times New Roman"/>
                <w:b/>
              </w:rPr>
              <w:t>SFT'er</w:t>
            </w:r>
            <w:proofErr w:type="spellEnd"/>
            <w:r w:rsidRPr="003E36FB">
              <w:rPr>
                <w:rFonts w:ascii="Times New Roman" w:hAnsi="Times New Roman"/>
                <w:b/>
              </w:rPr>
              <w:t xml:space="preserve"> omfattet af en rammeaftale om </w:t>
            </w:r>
            <w:proofErr w:type="spellStart"/>
            <w:r w:rsidRPr="003E36FB">
              <w:rPr>
                <w:rFonts w:ascii="Times New Roman" w:hAnsi="Times New Roman"/>
                <w:b/>
              </w:rPr>
              <w:t>netting</w:t>
            </w:r>
            <w:proofErr w:type="spellEnd"/>
            <w:r w:rsidRPr="003E36FB">
              <w:rPr>
                <w:rFonts w:ascii="Times New Roman" w:hAnsi="Times New Roman"/>
                <w:b/>
              </w:rPr>
              <w:t xml:space="preserve"> - Regnskabsværdi såfremt ingen </w:t>
            </w:r>
            <w:proofErr w:type="spellStart"/>
            <w:r w:rsidRPr="003E36FB">
              <w:rPr>
                <w:rFonts w:ascii="Times New Roman" w:hAnsi="Times New Roman"/>
                <w:b/>
              </w:rPr>
              <w:t>netting</w:t>
            </w:r>
            <w:proofErr w:type="spellEnd"/>
            <w:r w:rsidRPr="003E36FB">
              <w:rPr>
                <w:rFonts w:ascii="Times New Roman" w:hAnsi="Times New Roman"/>
                <w:b/>
              </w:rPr>
              <w:t xml:space="preserve"> eller anden kreditrisikoreduktion</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4, nr. 77), og artikel 206 i CRR</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Den balanceførte regnskabsværdi i henhold til de gældende regnskabsregler af </w:t>
            </w:r>
            <w:proofErr w:type="spellStart"/>
            <w:r w:rsidRPr="003E36FB">
              <w:rPr>
                <w:rFonts w:ascii="Times New Roman" w:hAnsi="Times New Roman"/>
              </w:rPr>
              <w:t>SFT'er</w:t>
            </w:r>
            <w:proofErr w:type="spellEnd"/>
            <w:r w:rsidRPr="003E36FB">
              <w:rPr>
                <w:rFonts w:ascii="Times New Roman" w:hAnsi="Times New Roman"/>
              </w:rPr>
              <w:t xml:space="preserve">, som er omfattet af en rammeaftale om </w:t>
            </w:r>
            <w:proofErr w:type="spellStart"/>
            <w:r w:rsidRPr="003E36FB">
              <w:rPr>
                <w:rFonts w:ascii="Times New Roman" w:hAnsi="Times New Roman"/>
              </w:rPr>
              <w:t>netting</w:t>
            </w:r>
            <w:proofErr w:type="spellEnd"/>
            <w:r w:rsidRPr="003E36FB">
              <w:rPr>
                <w:rFonts w:ascii="Times New Roman" w:hAnsi="Times New Roman"/>
              </w:rPr>
              <w:t xml:space="preserve"> anerkendt i henhold til artikel 206 i CRR, når kontrakterne balanceføres som aktiver uden hensyntagen til virkninger af forsigtighedsjusteringer, regnskabsmæssig </w:t>
            </w:r>
            <w:proofErr w:type="spellStart"/>
            <w:r w:rsidRPr="003E36FB">
              <w:rPr>
                <w:rFonts w:ascii="Times New Roman" w:hAnsi="Times New Roman"/>
              </w:rPr>
              <w:t>netting</w:t>
            </w:r>
            <w:proofErr w:type="spellEnd"/>
            <w:r w:rsidRPr="003E36FB">
              <w:rPr>
                <w:rFonts w:ascii="Times New Roman" w:hAnsi="Times New Roman"/>
              </w:rPr>
              <w:t xml:space="preserve"> eller anden risikoreduktion (dvs. at eventuelle virkninger af regnskabsmæssig </w:t>
            </w:r>
            <w:proofErr w:type="spellStart"/>
            <w:r w:rsidRPr="003E36FB">
              <w:rPr>
                <w:rFonts w:ascii="Times New Roman" w:hAnsi="Times New Roman"/>
              </w:rPr>
              <w:t>netting</w:t>
            </w:r>
            <w:proofErr w:type="spellEnd"/>
            <w:r w:rsidRPr="003E36FB">
              <w:rPr>
                <w:rFonts w:ascii="Times New Roman" w:hAnsi="Times New Roman"/>
              </w:rPr>
              <w:t xml:space="preserve"> eller risikoreduktion på den balanceførte regnskabsværdi skal tilbageføres). Hvis en SFT bogføres som regnskabsmæssigt salg i henhold til de gældende regnskabsregler, skal institutter endvidere tilbageføre alle salgsrelaterede regnskabsposter.</w:t>
            </w:r>
          </w:p>
          <w:p w:rsidR="00410E47" w:rsidRPr="003E36FB" w:rsidRDefault="00410E47" w:rsidP="007E2A41">
            <w:pPr>
              <w:pStyle w:val="BodyText1"/>
              <w:spacing w:line="240" w:lineRule="auto"/>
              <w:rPr>
                <w:rFonts w:ascii="Times New Roman" w:hAnsi="Times New Roman"/>
                <w:b/>
                <w:bCs/>
                <w:u w:val="single"/>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Institutter skal i denne celle ikke medtage modtagne kontantbeløb eller værdipapirer, der leveres til en modpart via ovennævnte transaktioner, og som stadig balanceføres (dvs. at regnskabskriterierne for ophør af indregning ikke opfyldes). Institutter skal i stedet angive dette i {090,020}.</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71081">
            <w:pPr>
              <w:pStyle w:val="BodyText1"/>
              <w:rPr>
                <w:rFonts w:ascii="Times New Roman" w:hAnsi="Times New Roman"/>
                <w:bCs/>
              </w:rPr>
            </w:pPr>
            <w:r w:rsidRPr="003E36FB">
              <w:rPr>
                <w:rFonts w:ascii="Times New Roman" w:hAnsi="Times New Roman"/>
              </w:rPr>
              <w:t>{070;040}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 xml:space="preserve">Værdipapirfinansieringstransaktioner omfattet af en rammeaftale om </w:t>
            </w:r>
            <w:proofErr w:type="spellStart"/>
            <w:r w:rsidRPr="003E36FB">
              <w:rPr>
                <w:rFonts w:ascii="Times New Roman" w:hAnsi="Times New Roman"/>
                <w:b/>
              </w:rPr>
              <w:t>netting</w:t>
            </w:r>
            <w:proofErr w:type="spellEnd"/>
            <w:r w:rsidRPr="003E36FB">
              <w:rPr>
                <w:rFonts w:ascii="Times New Roman" w:hAnsi="Times New Roman"/>
                <w:b/>
              </w:rPr>
              <w:t xml:space="preserve"> – Tillæg for SFT</w:t>
            </w: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206 i CRR</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rPr>
              <w:t xml:space="preserve">I forbindelse med </w:t>
            </w:r>
            <w:proofErr w:type="spellStart"/>
            <w:r w:rsidRPr="003E36FB">
              <w:rPr>
                <w:rFonts w:ascii="Times New Roman" w:hAnsi="Times New Roman"/>
              </w:rPr>
              <w:t>SFT'er</w:t>
            </w:r>
            <w:proofErr w:type="spellEnd"/>
            <w:r w:rsidRPr="003E36FB">
              <w:rPr>
                <w:rFonts w:ascii="Times New Roman" w:hAnsi="Times New Roman"/>
              </w:rPr>
              <w:t xml:space="preserve">, herunder ikkebalanceførte transaktioner, der er omfattet af en </w:t>
            </w:r>
            <w:proofErr w:type="spellStart"/>
            <w:r w:rsidRPr="003E36FB">
              <w:rPr>
                <w:rFonts w:ascii="Times New Roman" w:hAnsi="Times New Roman"/>
              </w:rPr>
              <w:t>nettingaftale</w:t>
            </w:r>
            <w:proofErr w:type="spellEnd"/>
            <w:r w:rsidRPr="003E36FB">
              <w:rPr>
                <w:rFonts w:ascii="Times New Roman" w:hAnsi="Times New Roman"/>
              </w:rPr>
              <w:t xml:space="preserve">, som opfylder kravene i artikel 206 i CRR, skal institutter danne </w:t>
            </w:r>
            <w:proofErr w:type="spellStart"/>
            <w:r w:rsidRPr="003E36FB">
              <w:rPr>
                <w:rFonts w:ascii="Times New Roman" w:hAnsi="Times New Roman"/>
              </w:rPr>
              <w:t>nettinggrupper</w:t>
            </w:r>
            <w:proofErr w:type="spellEnd"/>
            <w:r w:rsidRPr="003E36FB">
              <w:rPr>
                <w:rFonts w:ascii="Times New Roman" w:hAnsi="Times New Roman"/>
              </w:rPr>
              <w:t xml:space="preserve">. For hver </w:t>
            </w:r>
            <w:proofErr w:type="spellStart"/>
            <w:r w:rsidRPr="003E36FB">
              <w:rPr>
                <w:rFonts w:ascii="Times New Roman" w:hAnsi="Times New Roman"/>
              </w:rPr>
              <w:t>nettinggruppe</w:t>
            </w:r>
            <w:proofErr w:type="spellEnd"/>
            <w:r w:rsidRPr="003E36FB">
              <w:rPr>
                <w:rFonts w:ascii="Times New Roman" w:hAnsi="Times New Roman"/>
              </w:rPr>
              <w:t xml:space="preserve"> skal institutter beregne tillægget for aktuel modpartsrisiko (</w:t>
            </w:r>
            <w:proofErr w:type="spellStart"/>
            <w:r w:rsidRPr="003E36FB">
              <w:rPr>
                <w:rFonts w:ascii="Times New Roman" w:hAnsi="Times New Roman"/>
              </w:rPr>
              <w:t>current</w:t>
            </w:r>
            <w:proofErr w:type="spellEnd"/>
            <w:r w:rsidRPr="003E36FB">
              <w:rPr>
                <w:rFonts w:ascii="Times New Roman" w:hAnsi="Times New Roman"/>
              </w:rPr>
              <w:t xml:space="preserve"> </w:t>
            </w:r>
            <w:proofErr w:type="spellStart"/>
            <w:r w:rsidRPr="003E36FB">
              <w:rPr>
                <w:rFonts w:ascii="Times New Roman" w:hAnsi="Times New Roman"/>
              </w:rPr>
              <w:t>counterparty</w:t>
            </w:r>
            <w:proofErr w:type="spellEnd"/>
            <w:r w:rsidRPr="003E36FB">
              <w:rPr>
                <w:rFonts w:ascii="Times New Roman" w:hAnsi="Times New Roman"/>
              </w:rPr>
              <w:t xml:space="preserve"> </w:t>
            </w:r>
            <w:proofErr w:type="spellStart"/>
            <w:r w:rsidRPr="003E36FB">
              <w:rPr>
                <w:rFonts w:ascii="Times New Roman" w:hAnsi="Times New Roman"/>
              </w:rPr>
              <w:t>exposure</w:t>
            </w:r>
            <w:proofErr w:type="spellEnd"/>
            <w:r w:rsidRPr="003E36FB">
              <w:rPr>
                <w:rFonts w:ascii="Times New Roman" w:hAnsi="Times New Roman"/>
              </w:rPr>
              <w:t xml:space="preserve"> — CCE) ved hjælp af følgende formel:</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sidRPr="003E36FB">
              <w:rPr>
                <w:rFonts w:ascii="Times New Roman" w:hAnsi="Times New Roman"/>
              </w:rPr>
              <w:t xml:space="preserve"> </w:t>
            </w: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 </w:t>
            </w: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Hvor:</w:t>
            </w: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i = hver transaktion i </w:t>
            </w:r>
            <w:proofErr w:type="spellStart"/>
            <w:r w:rsidRPr="003E36FB">
              <w:rPr>
                <w:rFonts w:ascii="Times New Roman" w:hAnsi="Times New Roman"/>
              </w:rPr>
              <w:t>nettinggruppen</w:t>
            </w:r>
            <w:proofErr w:type="spellEnd"/>
            <w:r w:rsidRPr="003E36FB">
              <w:rPr>
                <w:rFonts w:ascii="Times New Roman" w:hAnsi="Times New Roman"/>
              </w:rPr>
              <w:t>.</w:t>
            </w:r>
          </w:p>
          <w:p w:rsidR="00410E47" w:rsidRPr="003E36FB" w:rsidRDefault="00410E47" w:rsidP="007E2A41">
            <w:pPr>
              <w:pStyle w:val="BodyText1"/>
              <w:spacing w:line="240" w:lineRule="auto"/>
              <w:rPr>
                <w:rFonts w:ascii="Times New Roman" w:hAnsi="Times New Roman"/>
                <w:bCs/>
              </w:rPr>
            </w:pPr>
            <w:proofErr w:type="spellStart"/>
            <w:r w:rsidRPr="003E36FB">
              <w:rPr>
                <w:rFonts w:ascii="Times New Roman" w:hAnsi="Times New Roman"/>
              </w:rPr>
              <w:t>E</w:t>
            </w:r>
            <w:r w:rsidRPr="003E36FB">
              <w:rPr>
                <w:rFonts w:ascii="Times New Roman" w:hAnsi="Times New Roman"/>
                <w:vertAlign w:val="subscript"/>
              </w:rPr>
              <w:t>i</w:t>
            </w:r>
            <w:proofErr w:type="spellEnd"/>
            <w:r w:rsidRPr="003E36FB">
              <w:rPr>
                <w:rFonts w:ascii="Times New Roman" w:hAnsi="Times New Roman"/>
              </w:rPr>
              <w:t xml:space="preserve"> = for transaktion i: værdien </w:t>
            </w:r>
            <w:proofErr w:type="spellStart"/>
            <w:r w:rsidRPr="003E36FB">
              <w:rPr>
                <w:rFonts w:ascii="Times New Roman" w:hAnsi="Times New Roman"/>
              </w:rPr>
              <w:t>E</w:t>
            </w:r>
            <w:r w:rsidRPr="003E36FB">
              <w:rPr>
                <w:rFonts w:ascii="Times New Roman" w:hAnsi="Times New Roman"/>
                <w:vertAlign w:val="subscript"/>
              </w:rPr>
              <w:t>i</w:t>
            </w:r>
            <w:proofErr w:type="spellEnd"/>
            <w:r w:rsidRPr="003E36FB">
              <w:rPr>
                <w:rFonts w:ascii="Times New Roman" w:hAnsi="Times New Roman"/>
              </w:rPr>
              <w:t xml:space="preserve"> som defineret i artikel 220, stk. 3, i CRR.</w:t>
            </w:r>
          </w:p>
          <w:p w:rsidR="00410E47" w:rsidRPr="003E36FB" w:rsidRDefault="00410E47" w:rsidP="007E2A41">
            <w:pPr>
              <w:pStyle w:val="BodyText1"/>
              <w:spacing w:line="240" w:lineRule="auto"/>
              <w:rPr>
                <w:rFonts w:ascii="Times New Roman" w:hAnsi="Times New Roman"/>
                <w:bCs/>
              </w:rPr>
            </w:pPr>
            <w:proofErr w:type="spellStart"/>
            <w:r w:rsidRPr="003E36FB">
              <w:rPr>
                <w:rFonts w:ascii="Times New Roman" w:hAnsi="Times New Roman"/>
              </w:rPr>
              <w:t>C</w:t>
            </w:r>
            <w:r w:rsidRPr="003E36FB">
              <w:rPr>
                <w:rFonts w:ascii="Times New Roman" w:hAnsi="Times New Roman"/>
                <w:vertAlign w:val="subscript"/>
              </w:rPr>
              <w:t>i</w:t>
            </w:r>
            <w:proofErr w:type="spellEnd"/>
            <w:r w:rsidRPr="003E36FB">
              <w:rPr>
                <w:rFonts w:ascii="Times New Roman" w:hAnsi="Times New Roman"/>
              </w:rPr>
              <w:t xml:space="preserve"> = for transaktion i: værdien </w:t>
            </w:r>
            <w:proofErr w:type="spellStart"/>
            <w:r w:rsidRPr="003E36FB">
              <w:rPr>
                <w:rFonts w:ascii="Times New Roman" w:hAnsi="Times New Roman"/>
              </w:rPr>
              <w:t>C</w:t>
            </w:r>
            <w:r w:rsidRPr="003E36FB">
              <w:rPr>
                <w:rFonts w:ascii="Times New Roman" w:hAnsi="Times New Roman"/>
                <w:vertAlign w:val="subscript"/>
              </w:rPr>
              <w:t>i</w:t>
            </w:r>
            <w:proofErr w:type="spellEnd"/>
            <w:r w:rsidRPr="003E36FB">
              <w:rPr>
                <w:rFonts w:ascii="Times New Roman" w:hAnsi="Times New Roman"/>
              </w:rPr>
              <w:t xml:space="preserve"> som defineret i artikel 220, stk. 3, i CRR.</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rPr>
              <w:t xml:space="preserve">Institutter skal aggregere resultatet af denne formel for alle </w:t>
            </w:r>
            <w:proofErr w:type="spellStart"/>
            <w:r w:rsidRPr="003E36FB">
              <w:rPr>
                <w:rFonts w:ascii="Times New Roman" w:hAnsi="Times New Roman"/>
              </w:rPr>
              <w:t>nettinggrupper</w:t>
            </w:r>
            <w:proofErr w:type="spellEnd"/>
            <w:r w:rsidRPr="003E36FB">
              <w:rPr>
                <w:rFonts w:ascii="Times New Roman" w:hAnsi="Times New Roman"/>
              </w:rPr>
              <w:t xml:space="preserve"> og indberette resultatet i denne celle.</w:t>
            </w:r>
          </w:p>
          <w:p w:rsidR="00410E47" w:rsidRPr="003E36FB" w:rsidRDefault="00410E47" w:rsidP="007E2A41">
            <w:pPr>
              <w:pStyle w:val="BodyText1"/>
              <w:spacing w:line="240" w:lineRule="auto"/>
              <w:rPr>
                <w:rFonts w:ascii="Times New Roman" w:hAnsi="Times New Roman"/>
                <w:b/>
                <w:bCs/>
              </w:rPr>
            </w:pPr>
          </w:p>
        </w:tc>
      </w:tr>
      <w:tr w:rsidR="00410E47" w:rsidRPr="003E36FB" w:rsidTr="00FC2664">
        <w:tc>
          <w:tcPr>
            <w:tcW w:w="1418" w:type="dxa"/>
          </w:tcPr>
          <w:p w:rsidR="00410E47" w:rsidRPr="003E36FB" w:rsidRDefault="00410E47" w:rsidP="00F4754B">
            <w:pPr>
              <w:pStyle w:val="BodyText1"/>
              <w:rPr>
                <w:rFonts w:ascii="Times New Roman" w:hAnsi="Times New Roman"/>
                <w:bCs/>
              </w:rPr>
            </w:pPr>
            <w:r w:rsidRPr="003E36FB">
              <w:rPr>
                <w:rFonts w:ascii="Times New Roman" w:hAnsi="Times New Roman"/>
              </w:rPr>
              <w:t>{080;010}</w:t>
            </w:r>
          </w:p>
        </w:tc>
        <w:tc>
          <w:tcPr>
            <w:tcW w:w="7620" w:type="dxa"/>
          </w:tcPr>
          <w:p w:rsidR="00410E47" w:rsidRPr="003E36FB" w:rsidRDefault="00CF66B5" w:rsidP="007E2A41">
            <w:pPr>
              <w:pStyle w:val="BodyText1"/>
              <w:spacing w:line="240" w:lineRule="auto"/>
              <w:rPr>
                <w:rFonts w:ascii="Times New Roman" w:hAnsi="Times New Roman"/>
                <w:b/>
                <w:bCs/>
              </w:rPr>
            </w:pPr>
            <w:proofErr w:type="spellStart"/>
            <w:r w:rsidRPr="003E36FB">
              <w:rPr>
                <w:rFonts w:ascii="Times New Roman" w:hAnsi="Times New Roman"/>
                <w:b/>
              </w:rPr>
              <w:t>SFT'er</w:t>
            </w:r>
            <w:proofErr w:type="spellEnd"/>
            <w:r w:rsidRPr="003E36FB">
              <w:rPr>
                <w:rFonts w:ascii="Times New Roman" w:hAnsi="Times New Roman"/>
                <w:b/>
              </w:rPr>
              <w:t xml:space="preserve"> ikke omfattet af en rammeaftale om </w:t>
            </w:r>
            <w:proofErr w:type="spellStart"/>
            <w:r w:rsidRPr="003E36FB">
              <w:rPr>
                <w:rFonts w:ascii="Times New Roman" w:hAnsi="Times New Roman"/>
                <w:b/>
              </w:rPr>
              <w:t>netting</w:t>
            </w:r>
            <w:proofErr w:type="spellEnd"/>
            <w:r w:rsidRPr="003E36FB">
              <w:rPr>
                <w:rFonts w:ascii="Times New Roman" w:hAnsi="Times New Roman"/>
                <w:b/>
              </w:rPr>
              <w:t xml:space="preserve"> – Balanceført regnskabsværdi</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4, stk. 1, nr. 77), i CRR</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Den balanceførte regnskabsværdi i henhold til de gældende regnskabsregler af </w:t>
            </w:r>
            <w:proofErr w:type="spellStart"/>
            <w:r w:rsidRPr="003E36FB">
              <w:rPr>
                <w:rFonts w:ascii="Times New Roman" w:hAnsi="Times New Roman"/>
              </w:rPr>
              <w:t>SFT'er</w:t>
            </w:r>
            <w:proofErr w:type="spellEnd"/>
            <w:r w:rsidRPr="003E36FB">
              <w:rPr>
                <w:rFonts w:ascii="Times New Roman" w:hAnsi="Times New Roman"/>
              </w:rPr>
              <w:t xml:space="preserve">, som </w:t>
            </w:r>
            <w:r w:rsidRPr="003E36FB">
              <w:rPr>
                <w:rFonts w:ascii="Times New Roman" w:hAnsi="Times New Roman"/>
                <w:b/>
                <w:u w:val="single"/>
              </w:rPr>
              <w:t>ikke</w:t>
            </w:r>
            <w:r w:rsidRPr="003E36FB">
              <w:rPr>
                <w:rFonts w:ascii="Times New Roman" w:hAnsi="Times New Roman"/>
              </w:rPr>
              <w:t xml:space="preserve"> er omfattet af en rammeaftale om </w:t>
            </w:r>
            <w:proofErr w:type="spellStart"/>
            <w:r w:rsidRPr="003E36FB">
              <w:rPr>
                <w:rFonts w:ascii="Times New Roman" w:hAnsi="Times New Roman"/>
              </w:rPr>
              <w:t>netting</w:t>
            </w:r>
            <w:proofErr w:type="spellEnd"/>
            <w:r w:rsidRPr="003E36FB">
              <w:rPr>
                <w:rFonts w:ascii="Times New Roman" w:hAnsi="Times New Roman"/>
              </w:rPr>
              <w:t xml:space="preserve"> anerkendt i henhold til artikel 206 i CRR, når kontrakterne balanceføres som aktiver.</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Institutter skal i denne celle ikke medtage modtagne kontantbeløb eller værdipapirer, der </w:t>
            </w:r>
            <w:r w:rsidRPr="003E36FB">
              <w:rPr>
                <w:rFonts w:ascii="Times New Roman" w:hAnsi="Times New Roman"/>
              </w:rPr>
              <w:lastRenderedPageBreak/>
              <w:t>leveres til en modpart via ovennævnte transaktioner, og som stadig balanceføres (dvs. at regnskabskriterierne for ophør af indregning ikke opfyldes). Institutter skal i stedet angive dette i {090,010}.</w:t>
            </w:r>
            <w:r w:rsidRPr="003E36FB">
              <w:rPr>
                <w:rFonts w:ascii="Times New Roman" w:hAnsi="Times New Roman"/>
                <w:b/>
                <w:u w:val="single"/>
              </w:rPr>
              <w:t xml:space="preserve"> </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4754B">
            <w:pPr>
              <w:pStyle w:val="BodyText1"/>
              <w:rPr>
                <w:rFonts w:ascii="Times New Roman" w:hAnsi="Times New Roman"/>
                <w:bCs/>
              </w:rPr>
            </w:pPr>
            <w:r w:rsidRPr="003E36FB">
              <w:rPr>
                <w:rFonts w:ascii="Times New Roman" w:hAnsi="Times New Roman"/>
              </w:rPr>
              <w:lastRenderedPageBreak/>
              <w:t>{080;020}</w:t>
            </w:r>
          </w:p>
        </w:tc>
        <w:tc>
          <w:tcPr>
            <w:tcW w:w="7620" w:type="dxa"/>
          </w:tcPr>
          <w:p w:rsidR="00410E47" w:rsidRPr="003E36FB" w:rsidRDefault="00CF66B5" w:rsidP="007E2A41">
            <w:pPr>
              <w:pStyle w:val="BodyText1"/>
              <w:spacing w:line="240" w:lineRule="auto"/>
              <w:rPr>
                <w:rFonts w:ascii="Times New Roman" w:hAnsi="Times New Roman"/>
                <w:b/>
                <w:bCs/>
              </w:rPr>
            </w:pPr>
            <w:proofErr w:type="spellStart"/>
            <w:r w:rsidRPr="003E36FB">
              <w:rPr>
                <w:rFonts w:ascii="Times New Roman" w:hAnsi="Times New Roman"/>
                <w:b/>
              </w:rPr>
              <w:t>SFT'er</w:t>
            </w:r>
            <w:proofErr w:type="spellEnd"/>
            <w:r w:rsidRPr="003E36FB">
              <w:rPr>
                <w:rFonts w:ascii="Times New Roman" w:hAnsi="Times New Roman"/>
                <w:b/>
              </w:rPr>
              <w:t xml:space="preserve"> ikke omfattet af en rammeaftale om </w:t>
            </w:r>
            <w:proofErr w:type="spellStart"/>
            <w:r w:rsidRPr="003E36FB">
              <w:rPr>
                <w:rFonts w:ascii="Times New Roman" w:hAnsi="Times New Roman"/>
                <w:b/>
              </w:rPr>
              <w:t>netting</w:t>
            </w:r>
            <w:proofErr w:type="spellEnd"/>
            <w:r w:rsidRPr="003E36FB">
              <w:rPr>
                <w:rFonts w:ascii="Times New Roman" w:hAnsi="Times New Roman"/>
                <w:b/>
              </w:rPr>
              <w:t xml:space="preserve"> - Regnskabsværdi såfremt ingen </w:t>
            </w:r>
            <w:proofErr w:type="spellStart"/>
            <w:r w:rsidRPr="003E36FB">
              <w:rPr>
                <w:rFonts w:ascii="Times New Roman" w:hAnsi="Times New Roman"/>
                <w:b/>
              </w:rPr>
              <w:t>netting</w:t>
            </w:r>
            <w:proofErr w:type="spellEnd"/>
            <w:r w:rsidRPr="003E36FB">
              <w:rPr>
                <w:rFonts w:ascii="Times New Roman" w:hAnsi="Times New Roman"/>
                <w:b/>
              </w:rPr>
              <w:t xml:space="preserve"> eller anden kreditrisikoreduktion</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4, stk. 1, nr. 77), i CRR</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Den balanceførte regnskabsværdi i henhold til de gældende regnskabsregler af </w:t>
            </w:r>
            <w:proofErr w:type="spellStart"/>
            <w:r w:rsidRPr="003E36FB">
              <w:rPr>
                <w:rFonts w:ascii="Times New Roman" w:hAnsi="Times New Roman"/>
              </w:rPr>
              <w:t>SFT'er</w:t>
            </w:r>
            <w:proofErr w:type="spellEnd"/>
            <w:r w:rsidRPr="003E36FB">
              <w:rPr>
                <w:rFonts w:ascii="Times New Roman" w:hAnsi="Times New Roman"/>
              </w:rPr>
              <w:t xml:space="preserve">, som </w:t>
            </w:r>
            <w:r w:rsidRPr="003E36FB">
              <w:rPr>
                <w:rFonts w:ascii="Times New Roman" w:hAnsi="Times New Roman"/>
                <w:b/>
                <w:u w:val="single"/>
              </w:rPr>
              <w:t>ikke</w:t>
            </w:r>
            <w:r w:rsidRPr="003E36FB">
              <w:rPr>
                <w:rFonts w:ascii="Times New Roman" w:hAnsi="Times New Roman"/>
              </w:rPr>
              <w:t xml:space="preserve"> er omfattet af en rammeaftale om </w:t>
            </w:r>
            <w:proofErr w:type="spellStart"/>
            <w:r w:rsidRPr="003E36FB">
              <w:rPr>
                <w:rFonts w:ascii="Times New Roman" w:hAnsi="Times New Roman"/>
              </w:rPr>
              <w:t>netting</w:t>
            </w:r>
            <w:proofErr w:type="spellEnd"/>
            <w:r w:rsidRPr="003E36FB">
              <w:rPr>
                <w:rFonts w:ascii="Times New Roman" w:hAnsi="Times New Roman"/>
              </w:rPr>
              <w:t xml:space="preserve"> anerkendt i henhold til artikel 206 i CRR, når kontrakterne balanceføres som aktiver uden hensyntagen til virkninger af regnskabsmæssig </w:t>
            </w:r>
            <w:proofErr w:type="spellStart"/>
            <w:r w:rsidRPr="003E36FB">
              <w:rPr>
                <w:rFonts w:ascii="Times New Roman" w:hAnsi="Times New Roman"/>
              </w:rPr>
              <w:t>netting</w:t>
            </w:r>
            <w:proofErr w:type="spellEnd"/>
            <w:r w:rsidRPr="003E36FB">
              <w:rPr>
                <w:rFonts w:ascii="Times New Roman" w:hAnsi="Times New Roman"/>
              </w:rPr>
              <w:t xml:space="preserve"> eller anden risikoreduktion (dvs. at eventuelle virkninger af regnskabsmæssig </w:t>
            </w:r>
            <w:proofErr w:type="spellStart"/>
            <w:r w:rsidRPr="003E36FB">
              <w:rPr>
                <w:rFonts w:ascii="Times New Roman" w:hAnsi="Times New Roman"/>
              </w:rPr>
              <w:t>netting</w:t>
            </w:r>
            <w:proofErr w:type="spellEnd"/>
            <w:r w:rsidRPr="003E36FB">
              <w:rPr>
                <w:rFonts w:ascii="Times New Roman" w:hAnsi="Times New Roman"/>
              </w:rPr>
              <w:t xml:space="preserve"> eller risikoreduktion på den balanceførte regnskabsværdi skal tilbageføres). Hvis en SFT bogføres som regnskabsmæssigt salg i henhold til de gældende regnskabsregler, skal institutter endvidere tilbageføre alle salgsrelaterede regnskabsposter.</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Institutter skal i denne celle ikke medtage modtagne kontantbeløb eller værdipapirer, der leveres til en modpart via ovennævnte transaktioner, og som stadig balanceføres (dvs. at regnskabskriterierne for ophør af indregning ikke opfyldes). Institutter skal i stedet angive dette i {090,020}.</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70A83">
            <w:pPr>
              <w:pStyle w:val="BodyText1"/>
              <w:rPr>
                <w:rFonts w:ascii="Times New Roman" w:hAnsi="Times New Roman"/>
                <w:bCs/>
              </w:rPr>
            </w:pPr>
            <w:r w:rsidRPr="003E36FB">
              <w:rPr>
                <w:rFonts w:ascii="Times New Roman" w:hAnsi="Times New Roman"/>
              </w:rPr>
              <w:t>{080;040}</w:t>
            </w:r>
          </w:p>
        </w:tc>
        <w:tc>
          <w:tcPr>
            <w:tcW w:w="7620" w:type="dxa"/>
          </w:tcPr>
          <w:p w:rsidR="00410E47" w:rsidRPr="003E36FB" w:rsidRDefault="00CF66B5" w:rsidP="007E2A41">
            <w:pPr>
              <w:pStyle w:val="BodyText1"/>
              <w:spacing w:line="240" w:lineRule="auto"/>
              <w:rPr>
                <w:rFonts w:ascii="Times New Roman" w:hAnsi="Times New Roman"/>
                <w:b/>
                <w:bCs/>
              </w:rPr>
            </w:pPr>
            <w:proofErr w:type="spellStart"/>
            <w:r w:rsidRPr="003E36FB">
              <w:rPr>
                <w:rFonts w:ascii="Times New Roman" w:hAnsi="Times New Roman"/>
                <w:b/>
              </w:rPr>
              <w:t>SFT'er</w:t>
            </w:r>
            <w:proofErr w:type="spellEnd"/>
            <w:r w:rsidRPr="003E36FB">
              <w:rPr>
                <w:rFonts w:ascii="Times New Roman" w:hAnsi="Times New Roman"/>
                <w:b/>
              </w:rPr>
              <w:t xml:space="preserve"> ikke omfattet af en rammeaftale om </w:t>
            </w:r>
            <w:proofErr w:type="spellStart"/>
            <w:r w:rsidRPr="003E36FB">
              <w:rPr>
                <w:rFonts w:ascii="Times New Roman" w:hAnsi="Times New Roman"/>
                <w:b/>
              </w:rPr>
              <w:t>netting</w:t>
            </w:r>
            <w:proofErr w:type="spellEnd"/>
            <w:r w:rsidRPr="003E36FB">
              <w:rPr>
                <w:rFonts w:ascii="Times New Roman" w:hAnsi="Times New Roman"/>
                <w:b/>
              </w:rPr>
              <w:t xml:space="preserve"> – Tillæg for SFT</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206 i CRR</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217B44">
            <w:pPr>
              <w:pStyle w:val="BodyText1"/>
              <w:spacing w:line="240" w:lineRule="auto"/>
              <w:rPr>
                <w:color w:val="auto"/>
              </w:rPr>
            </w:pPr>
            <w:r w:rsidRPr="003E36FB">
              <w:rPr>
                <w:rFonts w:ascii="Times New Roman" w:hAnsi="Times New Roman"/>
              </w:rPr>
              <w:t xml:space="preserve">I forbindelse med </w:t>
            </w:r>
            <w:proofErr w:type="spellStart"/>
            <w:r w:rsidRPr="003E36FB">
              <w:rPr>
                <w:rFonts w:ascii="Times New Roman" w:hAnsi="Times New Roman"/>
              </w:rPr>
              <w:t>SFT'er</w:t>
            </w:r>
            <w:proofErr w:type="spellEnd"/>
            <w:r w:rsidRPr="003E36FB">
              <w:rPr>
                <w:rFonts w:ascii="Times New Roman" w:hAnsi="Times New Roman"/>
              </w:rPr>
              <w:t xml:space="preserve">, herunder ikkebalanceførte transaktioner, der </w:t>
            </w:r>
            <w:r w:rsidRPr="003E36FB">
              <w:rPr>
                <w:rFonts w:ascii="Times New Roman" w:hAnsi="Times New Roman"/>
                <w:b/>
                <w:u w:val="single"/>
              </w:rPr>
              <w:t>ikke</w:t>
            </w:r>
            <w:r w:rsidRPr="003E36FB">
              <w:rPr>
                <w:rFonts w:ascii="Times New Roman" w:hAnsi="Times New Roman"/>
              </w:rPr>
              <w:t xml:space="preserve"> er omfattet af en </w:t>
            </w:r>
            <w:proofErr w:type="spellStart"/>
            <w:r w:rsidRPr="003E36FB">
              <w:rPr>
                <w:rFonts w:ascii="Times New Roman" w:hAnsi="Times New Roman"/>
              </w:rPr>
              <w:t>nettingaftale</w:t>
            </w:r>
            <w:proofErr w:type="spellEnd"/>
            <w:r w:rsidRPr="003E36FB">
              <w:rPr>
                <w:rFonts w:ascii="Times New Roman" w:hAnsi="Times New Roman"/>
              </w:rPr>
              <w:t>, som opfylder kravene i artikel 206 i CRR, skal institutter danne grupper, der består af alle aktiver i en transaktion (dvs. hver SFT-transaktion behandles som en separat gruppe), og for hver gruppe beregne tillægget for aktuel modpartsrisiko (</w:t>
            </w:r>
            <w:proofErr w:type="spellStart"/>
            <w:r w:rsidRPr="003E36FB">
              <w:rPr>
                <w:rFonts w:ascii="Times New Roman" w:hAnsi="Times New Roman"/>
              </w:rPr>
              <w:t>current</w:t>
            </w:r>
            <w:proofErr w:type="spellEnd"/>
            <w:r w:rsidRPr="003E36FB">
              <w:rPr>
                <w:rFonts w:ascii="Times New Roman" w:hAnsi="Times New Roman"/>
              </w:rPr>
              <w:t xml:space="preserve"> </w:t>
            </w:r>
            <w:proofErr w:type="spellStart"/>
            <w:r w:rsidRPr="003E36FB">
              <w:rPr>
                <w:rFonts w:ascii="Times New Roman" w:hAnsi="Times New Roman"/>
              </w:rPr>
              <w:t>counterparty</w:t>
            </w:r>
            <w:proofErr w:type="spellEnd"/>
            <w:r w:rsidRPr="003E36FB">
              <w:rPr>
                <w:rFonts w:ascii="Times New Roman" w:hAnsi="Times New Roman"/>
              </w:rPr>
              <w:t xml:space="preserve"> </w:t>
            </w:r>
            <w:proofErr w:type="spellStart"/>
            <w:r w:rsidRPr="003E36FB">
              <w:rPr>
                <w:rFonts w:ascii="Times New Roman" w:hAnsi="Times New Roman"/>
              </w:rPr>
              <w:t>exposure</w:t>
            </w:r>
            <w:proofErr w:type="spellEnd"/>
            <w:r w:rsidRPr="003E36FB">
              <w:rPr>
                <w:rFonts w:ascii="Times New Roman" w:hAnsi="Times New Roman"/>
              </w:rPr>
              <w:t xml:space="preserve"> — CCE) i henhold til formlen: </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CCE = max {(E – C); 0}</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Hvor:</w:t>
            </w: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E = værdien </w:t>
            </w:r>
            <w:proofErr w:type="spellStart"/>
            <w:r w:rsidRPr="003E36FB">
              <w:rPr>
                <w:rFonts w:ascii="Times New Roman" w:hAnsi="Times New Roman"/>
              </w:rPr>
              <w:t>E</w:t>
            </w:r>
            <w:r w:rsidRPr="003E36FB">
              <w:rPr>
                <w:rFonts w:ascii="Times New Roman" w:hAnsi="Times New Roman"/>
                <w:vertAlign w:val="subscript"/>
              </w:rPr>
              <w:t>i</w:t>
            </w:r>
            <w:proofErr w:type="spellEnd"/>
            <w:r w:rsidRPr="003E36FB">
              <w:rPr>
                <w:rFonts w:ascii="Times New Roman" w:hAnsi="Times New Roman"/>
              </w:rPr>
              <w:t xml:space="preserve"> som defineret i artikel 220, stk. 3, i CRR.</w:t>
            </w: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C = værdien </w:t>
            </w:r>
            <w:proofErr w:type="spellStart"/>
            <w:r w:rsidRPr="003E36FB">
              <w:rPr>
                <w:rFonts w:ascii="Times New Roman" w:hAnsi="Times New Roman"/>
              </w:rPr>
              <w:t>C</w:t>
            </w:r>
            <w:r w:rsidRPr="003E36FB">
              <w:rPr>
                <w:rFonts w:ascii="Times New Roman" w:hAnsi="Times New Roman"/>
                <w:vertAlign w:val="subscript"/>
              </w:rPr>
              <w:t>i</w:t>
            </w:r>
            <w:proofErr w:type="spellEnd"/>
            <w:r w:rsidRPr="003E36FB">
              <w:rPr>
                <w:rFonts w:ascii="Times New Roman" w:hAnsi="Times New Roman"/>
              </w:rPr>
              <w:t xml:space="preserve"> som defineret i artikel 220, stk. 3, i CRR.</w:t>
            </w:r>
          </w:p>
          <w:p w:rsidR="00410E47" w:rsidRPr="003E36FB" w:rsidRDefault="00410E47" w:rsidP="007E2A41">
            <w:pPr>
              <w:pStyle w:val="BodyText1"/>
              <w:spacing w:line="240" w:lineRule="auto"/>
              <w:rPr>
                <w:rFonts w:ascii="Times New Roman" w:hAnsi="Times New Roman"/>
                <w:b/>
                <w:bCs/>
                <w:u w:val="single"/>
              </w:rPr>
            </w:pPr>
          </w:p>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rPr>
              <w:t>Institutter skal aggregere resultatet af denne formel for alle ovennævnte grupper og indberette resultatet i denne celle.</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4754B">
            <w:pPr>
              <w:pStyle w:val="BodyText1"/>
              <w:rPr>
                <w:rFonts w:ascii="Times New Roman" w:hAnsi="Times New Roman"/>
                <w:bCs/>
              </w:rPr>
            </w:pPr>
            <w:r w:rsidRPr="003E36FB">
              <w:rPr>
                <w:rFonts w:ascii="Times New Roman" w:hAnsi="Times New Roman"/>
              </w:rPr>
              <w:t>{090;010}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Andre aktiver – Balanceført regnskabsværdi</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4, stk. 1, nr. 77), i CRR</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Den balanceførte regnskabsværdi i henhold til de gældende regnskabsregler af alle andre aktiver end kontrakter opført i bilag II til CRR, kreditderivater og </w:t>
            </w:r>
            <w:proofErr w:type="spellStart"/>
            <w:r w:rsidRPr="003E36FB">
              <w:rPr>
                <w:rFonts w:ascii="Times New Roman" w:hAnsi="Times New Roman"/>
              </w:rPr>
              <w:t>SFT'er</w:t>
            </w:r>
            <w:proofErr w:type="spellEnd"/>
            <w:r w:rsidRPr="003E36FB">
              <w:rPr>
                <w:rFonts w:ascii="Times New Roman" w:hAnsi="Times New Roman"/>
              </w:rPr>
              <w:t>.</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4754B">
            <w:pPr>
              <w:pStyle w:val="BodyText1"/>
              <w:rPr>
                <w:rFonts w:ascii="Times New Roman" w:hAnsi="Times New Roman"/>
                <w:bCs/>
              </w:rPr>
            </w:pPr>
            <w:r w:rsidRPr="003E36FB">
              <w:rPr>
                <w:rFonts w:ascii="Times New Roman" w:hAnsi="Times New Roman"/>
              </w:rPr>
              <w:t>{090;020}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 xml:space="preserve">Andre aktiver: Regnskabsværdi såfremt ingen </w:t>
            </w:r>
            <w:proofErr w:type="spellStart"/>
            <w:r w:rsidRPr="003E36FB">
              <w:rPr>
                <w:rFonts w:ascii="Times New Roman" w:hAnsi="Times New Roman"/>
                <w:b/>
              </w:rPr>
              <w:t>netting</w:t>
            </w:r>
            <w:proofErr w:type="spellEnd"/>
            <w:r w:rsidRPr="003E36FB">
              <w:rPr>
                <w:rFonts w:ascii="Times New Roman" w:hAnsi="Times New Roman"/>
                <w:b/>
              </w:rPr>
              <w:t xml:space="preserve"> eller anden kreditrisikoreduktion</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4, stk. 1, nr. 77), i CRR</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Den balanceførte regnskabsværdi i henhold til de gældende regnskabsregler af alle andre aktiver end kontrakter opført i bilag II til CRR, kreditderivater og </w:t>
            </w:r>
            <w:proofErr w:type="spellStart"/>
            <w:r w:rsidRPr="003E36FB">
              <w:rPr>
                <w:rFonts w:ascii="Times New Roman" w:hAnsi="Times New Roman"/>
              </w:rPr>
              <w:t>SFT'er</w:t>
            </w:r>
            <w:proofErr w:type="spellEnd"/>
            <w:r w:rsidRPr="003E36FB">
              <w:rPr>
                <w:rFonts w:ascii="Times New Roman" w:hAnsi="Times New Roman"/>
              </w:rPr>
              <w:t xml:space="preserve"> uden hensyntagen til virkninger af regnskabsmæssig </w:t>
            </w:r>
            <w:proofErr w:type="spellStart"/>
            <w:r w:rsidRPr="003E36FB">
              <w:rPr>
                <w:rFonts w:ascii="Times New Roman" w:hAnsi="Times New Roman"/>
              </w:rPr>
              <w:t>netting</w:t>
            </w:r>
            <w:proofErr w:type="spellEnd"/>
            <w:r w:rsidRPr="003E36FB">
              <w:rPr>
                <w:rFonts w:ascii="Times New Roman" w:hAnsi="Times New Roman"/>
              </w:rPr>
              <w:t xml:space="preserve"> eller anden risikoreduktion (dvs. at eventuelle virkninger af regnskabsmæssig </w:t>
            </w:r>
            <w:proofErr w:type="spellStart"/>
            <w:r w:rsidRPr="003E36FB">
              <w:rPr>
                <w:rFonts w:ascii="Times New Roman" w:hAnsi="Times New Roman"/>
              </w:rPr>
              <w:t>netting</w:t>
            </w:r>
            <w:proofErr w:type="spellEnd"/>
            <w:r w:rsidRPr="003E36FB">
              <w:rPr>
                <w:rFonts w:ascii="Times New Roman" w:hAnsi="Times New Roman"/>
              </w:rPr>
              <w:t xml:space="preserve"> eller risikoreduktion på den balanceførte regnskabsværdi skal tilbageføres).</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70A83">
            <w:pPr>
              <w:pStyle w:val="BodyText1"/>
              <w:rPr>
                <w:rFonts w:ascii="Times New Roman" w:hAnsi="Times New Roman"/>
                <w:bCs/>
              </w:rPr>
            </w:pPr>
            <w:r w:rsidRPr="003E36FB">
              <w:rPr>
                <w:rFonts w:ascii="Times New Roman" w:hAnsi="Times New Roman"/>
              </w:rPr>
              <w:lastRenderedPageBreak/>
              <w:t>{100;070}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Ikkebalanceførte poster med lav risiko i henhold til RSA, heraf – Nominel værdi</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111 i CRR</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I denne celle angives den nominelle værdi af ikkebalanceførte poster, der tildeles en kreditkonverteringsfaktor på 0 % i henhold til standardmetoden for kreditrisiko.</w:t>
            </w:r>
            <w:r w:rsidRPr="003E36FB">
              <w:t xml:space="preserve"> </w:t>
            </w:r>
            <w:r w:rsidRPr="003E36FB">
              <w:rPr>
                <w:rFonts w:ascii="Times New Roman" w:hAnsi="Times New Roman"/>
              </w:rPr>
              <w:t>Justeringer af den specifikke kreditrisiko ikke må trækkes fra den nominelle værdi.</w:t>
            </w:r>
          </w:p>
          <w:p w:rsidR="004D36F1" w:rsidRPr="003E36FB" w:rsidRDefault="004D36F1" w:rsidP="007E2A41">
            <w:pPr>
              <w:pStyle w:val="BodyText1"/>
              <w:spacing w:line="240" w:lineRule="auto"/>
              <w:rPr>
                <w:rFonts w:ascii="Times New Roman" w:hAnsi="Times New Roman"/>
                <w:bCs/>
              </w:rPr>
            </w:pPr>
          </w:p>
          <w:p w:rsidR="004D36F1" w:rsidRPr="003E36FB" w:rsidRDefault="004D36F1" w:rsidP="007E2A41">
            <w:pPr>
              <w:pStyle w:val="BodyText1"/>
              <w:spacing w:line="240" w:lineRule="auto"/>
              <w:rPr>
                <w:rFonts w:ascii="Times New Roman" w:hAnsi="Times New Roman"/>
                <w:bCs/>
              </w:rPr>
            </w:pPr>
            <w:r w:rsidRPr="003E36FB">
              <w:rPr>
                <w:rFonts w:ascii="Times New Roman" w:hAnsi="Times New Roman"/>
              </w:rPr>
              <w:t xml:space="preserve">Institutter skal i denne celle ikke angive kontrakter opført i bilag II til CRR, kreditderivater og </w:t>
            </w:r>
            <w:proofErr w:type="spellStart"/>
            <w:r w:rsidRPr="003E36FB">
              <w:rPr>
                <w:rFonts w:ascii="Times New Roman" w:hAnsi="Times New Roman"/>
              </w:rPr>
              <w:t>SFT'er</w:t>
            </w:r>
            <w:proofErr w:type="spellEnd"/>
            <w:r w:rsidRPr="003E36FB">
              <w:rPr>
                <w:rFonts w:ascii="Times New Roman" w:hAnsi="Times New Roman"/>
              </w:rPr>
              <w:t>, jf. artikel 429, stk. 10, i CRR.</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70A83">
            <w:pPr>
              <w:pStyle w:val="BodyText1"/>
              <w:rPr>
                <w:rFonts w:ascii="Times New Roman" w:hAnsi="Times New Roman"/>
                <w:bCs/>
              </w:rPr>
            </w:pPr>
            <w:r w:rsidRPr="003E36FB">
              <w:rPr>
                <w:rFonts w:ascii="Times New Roman" w:hAnsi="Times New Roman"/>
              </w:rPr>
              <w:t>{110;070}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Revolverende detaileksponeringer, heraf – Nominel værdi</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111 og artikel 154, stk. 4, i CRR</w:t>
            </w:r>
          </w:p>
          <w:p w:rsidR="00410E47" w:rsidRPr="003E36FB" w:rsidRDefault="00410E47" w:rsidP="007E2A41">
            <w:pPr>
              <w:pStyle w:val="BodyText1"/>
              <w:spacing w:line="240" w:lineRule="auto"/>
              <w:rPr>
                <w:rFonts w:ascii="Times New Roman" w:hAnsi="Times New Roman"/>
                <w:bCs/>
              </w:rPr>
            </w:pPr>
          </w:p>
          <w:p w:rsidR="00CF66B5" w:rsidRPr="003E36FB" w:rsidRDefault="00410E47" w:rsidP="007E2A41">
            <w:pPr>
              <w:pStyle w:val="BodyText1"/>
              <w:spacing w:line="240" w:lineRule="auto"/>
              <w:rPr>
                <w:rFonts w:ascii="Times New Roman" w:hAnsi="Times New Roman"/>
                <w:bCs/>
              </w:rPr>
            </w:pPr>
            <w:r w:rsidRPr="003E36FB">
              <w:rPr>
                <w:rFonts w:ascii="Times New Roman" w:hAnsi="Times New Roman"/>
              </w:rPr>
              <w:t>I denne celle angives den nominelle værdi af ikkebalanceførte kvalificerede revolverende detaileksponeringer, der opfylder betingelserne i artikel 154, stk. 4, litra a)-c), i CRR. Justeringer af den specifikke kreditrisiko ikke må trækkes fra den nominelle værdi.</w:t>
            </w:r>
          </w:p>
          <w:p w:rsidR="00CF66B5" w:rsidRPr="003E36FB" w:rsidRDefault="00CF66B5"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Dette omfatter alle eksponeringer, der er mod privatkunder, er revolverende og kan opsiges uden betingelser som beskrevet i artikel 149, litra b), i CRR, og som i alt er begrænset til 100 000 EUR pr. låntager.</w:t>
            </w:r>
          </w:p>
          <w:p w:rsidR="004D36F1" w:rsidRPr="003E36FB" w:rsidRDefault="004D36F1" w:rsidP="007E2A41">
            <w:pPr>
              <w:pStyle w:val="BodyText1"/>
              <w:spacing w:line="240" w:lineRule="auto"/>
              <w:rPr>
                <w:rFonts w:ascii="Times New Roman" w:hAnsi="Times New Roman"/>
                <w:bCs/>
              </w:rPr>
            </w:pPr>
          </w:p>
          <w:p w:rsidR="004D36F1" w:rsidRPr="003E36FB" w:rsidRDefault="004D36F1" w:rsidP="007E2A41">
            <w:pPr>
              <w:pStyle w:val="BodyText1"/>
              <w:spacing w:line="240" w:lineRule="auto"/>
              <w:rPr>
                <w:rFonts w:ascii="Times New Roman" w:hAnsi="Times New Roman"/>
                <w:bCs/>
              </w:rPr>
            </w:pPr>
            <w:r w:rsidRPr="003E36FB">
              <w:rPr>
                <w:rFonts w:ascii="Times New Roman" w:hAnsi="Times New Roman"/>
              </w:rPr>
              <w:t xml:space="preserve">Institutter skal i denne celle ikke angive kontrakter opført i bilag II til CRR, kreditderivater og </w:t>
            </w:r>
            <w:proofErr w:type="spellStart"/>
            <w:r w:rsidRPr="003E36FB">
              <w:rPr>
                <w:rFonts w:ascii="Times New Roman" w:hAnsi="Times New Roman"/>
              </w:rPr>
              <w:t>SFT'er</w:t>
            </w:r>
            <w:proofErr w:type="spellEnd"/>
            <w:r w:rsidRPr="003E36FB">
              <w:rPr>
                <w:rFonts w:ascii="Times New Roman" w:hAnsi="Times New Roman"/>
              </w:rPr>
              <w:t>, jf. artikel 429, stk. 10, i CRR.</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70A83">
            <w:pPr>
              <w:pStyle w:val="BodyText1"/>
              <w:rPr>
                <w:rFonts w:ascii="Times New Roman" w:hAnsi="Times New Roman"/>
                <w:bCs/>
              </w:rPr>
            </w:pPr>
            <w:r w:rsidRPr="003E36FB">
              <w:rPr>
                <w:rFonts w:ascii="Times New Roman" w:hAnsi="Times New Roman"/>
              </w:rPr>
              <w:t>{120;070}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Kreditkorttilsagn, der kan opsiges uden betingelser – Nominel værdi</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111 og artikel 154, stk. 4, i CRR</w:t>
            </w:r>
          </w:p>
          <w:p w:rsidR="00410E47" w:rsidRPr="003E36FB" w:rsidRDefault="00410E47" w:rsidP="007E2A41">
            <w:pPr>
              <w:pStyle w:val="BodyText1"/>
              <w:spacing w:line="240" w:lineRule="auto"/>
              <w:rPr>
                <w:rFonts w:ascii="Times New Roman" w:hAnsi="Times New Roman"/>
                <w:bCs/>
              </w:rPr>
            </w:pPr>
          </w:p>
          <w:p w:rsidR="00A51BD1" w:rsidRPr="003E36FB" w:rsidRDefault="001005A7" w:rsidP="007E2A41">
            <w:pPr>
              <w:pStyle w:val="BodyText1"/>
              <w:spacing w:line="240" w:lineRule="auto"/>
              <w:rPr>
                <w:rFonts w:ascii="Times New Roman" w:hAnsi="Times New Roman"/>
                <w:bCs/>
              </w:rPr>
            </w:pPr>
            <w:r w:rsidRPr="003E36FB">
              <w:rPr>
                <w:rFonts w:ascii="Times New Roman" w:hAnsi="Times New Roman"/>
              </w:rPr>
              <w:t>I denne celle angives den nominelle værdi af kreditkorttilsagn, som kan opsiges uden betingelser når som helst uden varsel af instituttet, og som tildeles en kreditkonverteringsfaktor på 0 % i henhold til standardmetoden for kreditrisiko.</w:t>
            </w:r>
            <w:r w:rsidRPr="003E36FB">
              <w:t xml:space="preserve"> </w:t>
            </w:r>
            <w:r w:rsidRPr="003E36FB">
              <w:rPr>
                <w:rFonts w:ascii="Times New Roman" w:hAnsi="Times New Roman"/>
              </w:rPr>
              <w:t>Justeringer af den specifikke kreditrisiko ikke må trækkes fra den nominelle værdi.</w:t>
            </w:r>
          </w:p>
          <w:p w:rsidR="00A51BD1" w:rsidRPr="003E36FB" w:rsidRDefault="00A51BD1"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Institutter skal i denne celle ikke angive kredittilsagn, som effektivt sikrer automatisk opsigelse ved en forringelse af en låntagers kreditværdighed, men som ikke kan opsiges uden betingelser.</w:t>
            </w:r>
          </w:p>
          <w:p w:rsidR="004D36F1" w:rsidRPr="003E36FB" w:rsidRDefault="004D36F1" w:rsidP="007E2A41">
            <w:pPr>
              <w:pStyle w:val="BodyText1"/>
              <w:spacing w:line="240" w:lineRule="auto"/>
              <w:rPr>
                <w:rFonts w:ascii="Times New Roman" w:hAnsi="Times New Roman"/>
                <w:bCs/>
              </w:rPr>
            </w:pPr>
          </w:p>
          <w:p w:rsidR="004D36F1" w:rsidRPr="003E36FB" w:rsidRDefault="004D36F1" w:rsidP="007E2A41">
            <w:pPr>
              <w:pStyle w:val="BodyText1"/>
              <w:spacing w:line="240" w:lineRule="auto"/>
              <w:rPr>
                <w:rFonts w:ascii="Times New Roman" w:hAnsi="Times New Roman"/>
                <w:bCs/>
              </w:rPr>
            </w:pPr>
            <w:r w:rsidRPr="003E36FB">
              <w:rPr>
                <w:rFonts w:ascii="Times New Roman" w:hAnsi="Times New Roman"/>
              </w:rPr>
              <w:t xml:space="preserve">Institutter skal i denne celle ikke angive kontrakter opført i bilag II til CRR, kreditderivater og </w:t>
            </w:r>
            <w:proofErr w:type="spellStart"/>
            <w:r w:rsidRPr="003E36FB">
              <w:rPr>
                <w:rFonts w:ascii="Times New Roman" w:hAnsi="Times New Roman"/>
              </w:rPr>
              <w:t>SFT'er</w:t>
            </w:r>
            <w:proofErr w:type="spellEnd"/>
            <w:r w:rsidRPr="003E36FB">
              <w:rPr>
                <w:rFonts w:ascii="Times New Roman" w:hAnsi="Times New Roman"/>
              </w:rPr>
              <w:t>, jf. artikel 429, stk. 10, i CRR.</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70A83">
            <w:pPr>
              <w:pStyle w:val="BodyText1"/>
              <w:rPr>
                <w:rFonts w:ascii="Times New Roman" w:hAnsi="Times New Roman"/>
                <w:bCs/>
              </w:rPr>
            </w:pPr>
            <w:r w:rsidRPr="003E36FB">
              <w:rPr>
                <w:rFonts w:ascii="Times New Roman" w:hAnsi="Times New Roman"/>
              </w:rPr>
              <w:t>{130;070}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Ikkerevolverende tilsagn, der kan opsiges uden betingelser – Nominel værdi</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111 og artikel 154, stk. 4, i CRR</w:t>
            </w:r>
          </w:p>
          <w:p w:rsidR="00410E47" w:rsidRPr="003E36FB" w:rsidRDefault="00410E47" w:rsidP="007E2A41">
            <w:pPr>
              <w:pStyle w:val="BodyText1"/>
              <w:spacing w:line="240" w:lineRule="auto"/>
              <w:rPr>
                <w:rFonts w:ascii="Times New Roman" w:hAnsi="Times New Roman"/>
                <w:b/>
                <w:bCs/>
              </w:rPr>
            </w:pPr>
          </w:p>
          <w:p w:rsidR="00A51BD1" w:rsidRPr="003E36FB" w:rsidRDefault="00410E47" w:rsidP="007E2A41">
            <w:pPr>
              <w:pStyle w:val="BodyText1"/>
              <w:spacing w:line="240" w:lineRule="auto"/>
              <w:rPr>
                <w:rFonts w:ascii="Times New Roman" w:hAnsi="Times New Roman"/>
                <w:bCs/>
              </w:rPr>
            </w:pPr>
            <w:r w:rsidRPr="003E36FB">
              <w:rPr>
                <w:rFonts w:ascii="Times New Roman" w:hAnsi="Times New Roman"/>
              </w:rPr>
              <w:t>I denne celle angives den nominelle værdi af andre tilsagn, som kan opsiges uden betingelser når som helst uden varsel af instituttet, og som tildeles en kreditkonverteringsfaktor på 0 % i henhold til standardmetoden for kreditrisiko. Justeringer af den specifikke kreditrisiko ikke må trækkes fra den nominelle værdi.</w:t>
            </w:r>
          </w:p>
          <w:p w:rsidR="00A51BD1" w:rsidRPr="003E36FB" w:rsidRDefault="00A51BD1"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Institutter skal i denne celle ikke angive kredittilsagn, som effektivt sikrer automatisk opsigelse ved en forringelse af en låntagers kreditværdighed, men som ikke kan opsiges uden betingelser.</w:t>
            </w:r>
          </w:p>
          <w:p w:rsidR="004D36F1" w:rsidRPr="003E36FB" w:rsidRDefault="004D36F1" w:rsidP="007E2A41">
            <w:pPr>
              <w:pStyle w:val="BodyText1"/>
              <w:spacing w:line="240" w:lineRule="auto"/>
              <w:rPr>
                <w:rFonts w:ascii="Times New Roman" w:hAnsi="Times New Roman"/>
                <w:bCs/>
              </w:rPr>
            </w:pPr>
          </w:p>
          <w:p w:rsidR="004D36F1" w:rsidRPr="003E36FB" w:rsidRDefault="004D36F1" w:rsidP="007E2A41">
            <w:pPr>
              <w:pStyle w:val="BodyText1"/>
              <w:spacing w:line="240" w:lineRule="auto"/>
              <w:rPr>
                <w:rFonts w:ascii="Times New Roman" w:hAnsi="Times New Roman"/>
                <w:bCs/>
              </w:rPr>
            </w:pPr>
            <w:r w:rsidRPr="003E36FB">
              <w:rPr>
                <w:rFonts w:ascii="Times New Roman" w:hAnsi="Times New Roman"/>
              </w:rPr>
              <w:t xml:space="preserve">Institutter skal i denne celle ikke angive kontrakter opført i bilag II til CRR, kreditderivater og </w:t>
            </w:r>
            <w:proofErr w:type="spellStart"/>
            <w:r w:rsidRPr="003E36FB">
              <w:rPr>
                <w:rFonts w:ascii="Times New Roman" w:hAnsi="Times New Roman"/>
              </w:rPr>
              <w:t>SFT'er</w:t>
            </w:r>
            <w:proofErr w:type="spellEnd"/>
            <w:r w:rsidRPr="003E36FB">
              <w:rPr>
                <w:rFonts w:ascii="Times New Roman" w:hAnsi="Times New Roman"/>
              </w:rPr>
              <w:t>, jf. artikel 429, stk. 10, i CRR.</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70A83">
            <w:pPr>
              <w:pStyle w:val="BodyText1"/>
              <w:rPr>
                <w:rFonts w:ascii="Times New Roman" w:hAnsi="Times New Roman"/>
                <w:bCs/>
              </w:rPr>
            </w:pPr>
            <w:r w:rsidRPr="003E36FB">
              <w:rPr>
                <w:rFonts w:ascii="Times New Roman" w:hAnsi="Times New Roman"/>
              </w:rPr>
              <w:lastRenderedPageBreak/>
              <w:t>{140;070}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Ikkebalanceførte poster med middel/lav risiko i henhold til RSA – Nominel værdi</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111 i CRR</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I denne celle angives den nominelle værdi af ikkebalanceførte poster, der tildeles en kreditkonverteringsfaktor på 20 % i henhold til standardmetoden for kreditrisiko.</w:t>
            </w:r>
            <w:r w:rsidRPr="003E36FB">
              <w:t xml:space="preserve"> </w:t>
            </w:r>
            <w:r w:rsidRPr="003E36FB">
              <w:rPr>
                <w:rFonts w:ascii="Times New Roman" w:hAnsi="Times New Roman"/>
              </w:rPr>
              <w:t>Justeringer af den specifikke kreditrisiko ikke må trækkes fra den nominelle værdi.</w:t>
            </w:r>
          </w:p>
          <w:p w:rsidR="004D36F1" w:rsidRPr="003E36FB" w:rsidRDefault="004D36F1" w:rsidP="007E2A41">
            <w:pPr>
              <w:pStyle w:val="BodyText1"/>
              <w:spacing w:line="240" w:lineRule="auto"/>
              <w:rPr>
                <w:rFonts w:ascii="Times New Roman" w:hAnsi="Times New Roman"/>
                <w:bCs/>
              </w:rPr>
            </w:pPr>
          </w:p>
          <w:p w:rsidR="004D36F1" w:rsidRPr="003E36FB" w:rsidRDefault="004D36F1" w:rsidP="007E2A41">
            <w:pPr>
              <w:pStyle w:val="BodyText1"/>
              <w:spacing w:line="240" w:lineRule="auto"/>
              <w:rPr>
                <w:rFonts w:ascii="Times New Roman" w:hAnsi="Times New Roman"/>
                <w:bCs/>
              </w:rPr>
            </w:pPr>
            <w:r w:rsidRPr="003E36FB">
              <w:rPr>
                <w:rFonts w:ascii="Times New Roman" w:hAnsi="Times New Roman"/>
              </w:rPr>
              <w:t xml:space="preserve">Institutter skal i denne celle ikke angive kontrakter opført i bilag II til CRR, kreditderivater og </w:t>
            </w:r>
            <w:proofErr w:type="spellStart"/>
            <w:r w:rsidRPr="003E36FB">
              <w:rPr>
                <w:rFonts w:ascii="Times New Roman" w:hAnsi="Times New Roman"/>
              </w:rPr>
              <w:t>SFT'er</w:t>
            </w:r>
            <w:proofErr w:type="spellEnd"/>
            <w:r w:rsidRPr="003E36FB">
              <w:rPr>
                <w:rFonts w:ascii="Times New Roman" w:hAnsi="Times New Roman"/>
              </w:rPr>
              <w:t>, jf. artikel 429, stk. 10, i CRR.</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71081">
            <w:pPr>
              <w:pStyle w:val="BodyText1"/>
              <w:rPr>
                <w:rFonts w:ascii="Times New Roman" w:hAnsi="Times New Roman"/>
                <w:bCs/>
              </w:rPr>
            </w:pPr>
            <w:r w:rsidRPr="003E36FB">
              <w:rPr>
                <w:rFonts w:ascii="Times New Roman" w:hAnsi="Times New Roman"/>
              </w:rPr>
              <w:t>{150;070}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Ikkebalanceførte poster med middelrisiko i henhold til RSA – Nominel værdi</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111 i CRR</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I denne celle angives den nominelle værdi af ikkebalanceførte poster, der tildeles en kreditkonverteringsfaktor på 50 % i henhold til standardmetoden for kreditrisiko.</w:t>
            </w:r>
            <w:r w:rsidRPr="003E36FB">
              <w:t xml:space="preserve"> </w:t>
            </w:r>
            <w:r w:rsidRPr="003E36FB">
              <w:rPr>
                <w:rFonts w:ascii="Times New Roman" w:hAnsi="Times New Roman"/>
              </w:rPr>
              <w:t>Justeringer af den specifikke kreditrisiko ikke må trækkes fra den nominelle værdi.</w:t>
            </w:r>
          </w:p>
          <w:p w:rsidR="004D36F1" w:rsidRPr="003E36FB" w:rsidRDefault="004D36F1" w:rsidP="007E2A41">
            <w:pPr>
              <w:pStyle w:val="BodyText1"/>
              <w:spacing w:line="240" w:lineRule="auto"/>
              <w:rPr>
                <w:rFonts w:ascii="Times New Roman" w:hAnsi="Times New Roman"/>
                <w:bCs/>
              </w:rPr>
            </w:pPr>
          </w:p>
          <w:p w:rsidR="004D36F1" w:rsidRPr="003E36FB" w:rsidRDefault="004D36F1" w:rsidP="007E2A41">
            <w:pPr>
              <w:pStyle w:val="BodyText1"/>
              <w:spacing w:line="240" w:lineRule="auto"/>
              <w:rPr>
                <w:rFonts w:ascii="Times New Roman" w:hAnsi="Times New Roman"/>
                <w:bCs/>
              </w:rPr>
            </w:pPr>
            <w:r w:rsidRPr="003E36FB">
              <w:rPr>
                <w:rFonts w:ascii="Times New Roman" w:hAnsi="Times New Roman"/>
              </w:rPr>
              <w:t xml:space="preserve">Institutter skal i denne celle ikke angive kontrakter opført i bilag II til CRR, kreditderivater og </w:t>
            </w:r>
            <w:proofErr w:type="spellStart"/>
            <w:r w:rsidRPr="003E36FB">
              <w:rPr>
                <w:rFonts w:ascii="Times New Roman" w:hAnsi="Times New Roman"/>
              </w:rPr>
              <w:t>SFT'er</w:t>
            </w:r>
            <w:proofErr w:type="spellEnd"/>
            <w:r w:rsidRPr="003E36FB">
              <w:rPr>
                <w:rFonts w:ascii="Times New Roman" w:hAnsi="Times New Roman"/>
              </w:rPr>
              <w:t>, jf. artikel 429, stk. 10, i CRR.</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70A83">
            <w:pPr>
              <w:pStyle w:val="BodyText1"/>
              <w:rPr>
                <w:rFonts w:ascii="Times New Roman" w:hAnsi="Times New Roman"/>
                <w:bCs/>
              </w:rPr>
            </w:pPr>
            <w:r w:rsidRPr="003E36FB">
              <w:rPr>
                <w:rFonts w:ascii="Times New Roman" w:hAnsi="Times New Roman"/>
              </w:rPr>
              <w:t>{160;070}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Ikkebalanceførte poster med fuld risiko i henhold til RSA – Nominel værdi</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111 i CRR</w:t>
            </w:r>
          </w:p>
          <w:p w:rsidR="00410E47" w:rsidRPr="003E36FB" w:rsidRDefault="00410E47" w:rsidP="007E2A41">
            <w:pPr>
              <w:pStyle w:val="BodyText1"/>
              <w:spacing w:line="240" w:lineRule="auto"/>
              <w:rPr>
                <w:rFonts w:ascii="Times New Roman" w:hAnsi="Times New Roman"/>
                <w:b/>
                <w:bCs/>
              </w:rPr>
            </w:pPr>
          </w:p>
          <w:p w:rsidR="00A51BD1" w:rsidRPr="003E36FB" w:rsidRDefault="00410E47" w:rsidP="00A51BD1">
            <w:pPr>
              <w:pStyle w:val="BodyText1"/>
              <w:spacing w:line="240" w:lineRule="auto"/>
              <w:rPr>
                <w:rFonts w:ascii="Times New Roman" w:hAnsi="Times New Roman"/>
                <w:bCs/>
              </w:rPr>
            </w:pPr>
            <w:r w:rsidRPr="003E36FB">
              <w:rPr>
                <w:rFonts w:ascii="Times New Roman" w:hAnsi="Times New Roman"/>
              </w:rPr>
              <w:t>I denne celle angives den nominelle værdi af ikkebalanceførte poster, der tildeles en kreditkonverteringsfaktor på 100 % i henhold til standardmetoden for kreditrisiko. Justeringer af den specifikke kreditrisiko ikke må trækkes fra den nominelle værdi.</w:t>
            </w:r>
          </w:p>
          <w:p w:rsidR="00410E47" w:rsidRPr="003E36FB" w:rsidRDefault="00410E47" w:rsidP="007E2A41">
            <w:pPr>
              <w:pStyle w:val="BodyText1"/>
              <w:spacing w:line="240" w:lineRule="auto"/>
              <w:rPr>
                <w:rFonts w:ascii="Times New Roman" w:hAnsi="Times New Roman"/>
                <w:bCs/>
              </w:rPr>
            </w:pPr>
          </w:p>
          <w:p w:rsidR="00410E47" w:rsidRPr="003E36FB" w:rsidRDefault="0034348F" w:rsidP="007E2A41">
            <w:pPr>
              <w:pStyle w:val="BodyText1"/>
              <w:spacing w:line="240" w:lineRule="auto"/>
              <w:rPr>
                <w:rFonts w:ascii="Times New Roman" w:hAnsi="Times New Roman"/>
                <w:bCs/>
              </w:rPr>
            </w:pPr>
            <w:r w:rsidRPr="003E36FB">
              <w:rPr>
                <w:rFonts w:ascii="Times New Roman" w:hAnsi="Times New Roman"/>
              </w:rPr>
              <w:t xml:space="preserve">Institutter skal i denne celle ikke angive kontrakter opført i bilag II til CRR, kreditderivater og </w:t>
            </w:r>
            <w:proofErr w:type="spellStart"/>
            <w:r w:rsidRPr="003E36FB">
              <w:rPr>
                <w:rFonts w:ascii="Times New Roman" w:hAnsi="Times New Roman"/>
              </w:rPr>
              <w:t>SFT'er</w:t>
            </w:r>
            <w:proofErr w:type="spellEnd"/>
            <w:r w:rsidRPr="003E36FB">
              <w:rPr>
                <w:rFonts w:ascii="Times New Roman" w:hAnsi="Times New Roman"/>
              </w:rPr>
              <w:t>, jf. artikel 429, stk. 10, i CRR.</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70A83">
            <w:pPr>
              <w:pStyle w:val="BodyText1"/>
              <w:rPr>
                <w:rFonts w:ascii="Times New Roman" w:hAnsi="Times New Roman"/>
                <w:bCs/>
              </w:rPr>
            </w:pPr>
            <w:r w:rsidRPr="003E36FB">
              <w:rPr>
                <w:rFonts w:ascii="Times New Roman" w:hAnsi="Times New Roman"/>
              </w:rPr>
              <w:t>{170;070}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(Memorandumpost) Beløb trukket på revolverende detaileksponeringer – Nominel værdi</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154, stk. 4, i CRR</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I denne celle angives den nominelle værdi af beløb, der er trukket på ikkebalanceførte revolverende detaileksponeringer.</w:t>
            </w:r>
            <w:r w:rsidRPr="003E36FB">
              <w:t xml:space="preserve"> </w:t>
            </w:r>
            <w:r w:rsidRPr="003E36FB">
              <w:rPr>
                <w:rFonts w:ascii="Times New Roman" w:hAnsi="Times New Roman"/>
              </w:rPr>
              <w:t>Justeringer af den specifikke kreditrisiko ikke må trækkes fra den nominelle værdi.</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70A83">
            <w:pPr>
              <w:pStyle w:val="BodyText1"/>
              <w:rPr>
                <w:rFonts w:ascii="Times New Roman" w:hAnsi="Times New Roman"/>
                <w:bCs/>
              </w:rPr>
            </w:pPr>
            <w:r w:rsidRPr="003E36FB">
              <w:rPr>
                <w:rFonts w:ascii="Times New Roman" w:hAnsi="Times New Roman"/>
              </w:rPr>
              <w:t>{180;070}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(Memorandumpost) Beløb trukket på kreditkorttilsagn, der kan opsiges uden betingelser – Nominel værdi</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111 og artikel 154, stk. 4, i CRR</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I denne celle angives den nominelle værdi af beløb, der er trukket på kreditkorttilsagn, der kan opsiges uden betingelser. Justeringer af den specifikke kreditrisiko ikke må trækkes fra den nominelle værdi.</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70A83">
            <w:pPr>
              <w:pStyle w:val="BodyText1"/>
              <w:rPr>
                <w:rFonts w:ascii="Times New Roman" w:hAnsi="Times New Roman"/>
                <w:bCs/>
              </w:rPr>
            </w:pPr>
            <w:r w:rsidRPr="003E36FB">
              <w:rPr>
                <w:rFonts w:ascii="Times New Roman" w:hAnsi="Times New Roman"/>
              </w:rPr>
              <w:t>{190;070}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(Memorandumpost) Beløb trukket på ikkerevolverende tilsagn, der kan opsiges uden betingelser – Nominel værdi</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Artikel 111 og artikel 154, stk. 4, i CRR</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I denne celle angives den nominelle værdi af beløb, der er trukket på ikkerevolverende tilsagn, der kan opsiges uden betingelser.</w:t>
            </w:r>
            <w:r w:rsidRPr="003E36FB">
              <w:t xml:space="preserve"> </w:t>
            </w:r>
            <w:r w:rsidRPr="003E36FB">
              <w:rPr>
                <w:rFonts w:ascii="Times New Roman" w:hAnsi="Times New Roman"/>
              </w:rPr>
              <w:t>Justeringer af den specifikke kreditrisiko ikke må trækkes fra den nominelle værdi.</w:t>
            </w:r>
          </w:p>
          <w:p w:rsidR="00410E47" w:rsidRPr="003E36FB" w:rsidRDefault="00410E47" w:rsidP="007E2A41">
            <w:pPr>
              <w:pStyle w:val="BodyText1"/>
              <w:spacing w:line="240" w:lineRule="auto"/>
              <w:rPr>
                <w:rFonts w:ascii="Times New Roman" w:hAnsi="Times New Roman"/>
                <w:b/>
                <w:bCs/>
                <w:u w:val="single"/>
              </w:rPr>
            </w:pPr>
          </w:p>
        </w:tc>
      </w:tr>
      <w:tr w:rsidR="00410E47" w:rsidRPr="003E36FB" w:rsidTr="00FC2664">
        <w:tc>
          <w:tcPr>
            <w:tcW w:w="1418" w:type="dxa"/>
          </w:tcPr>
          <w:p w:rsidR="00410E47" w:rsidRPr="003E36FB" w:rsidRDefault="00410E47" w:rsidP="00F70A83">
            <w:pPr>
              <w:pStyle w:val="BodyText1"/>
              <w:rPr>
                <w:rFonts w:ascii="Times New Roman" w:hAnsi="Times New Roman"/>
                <w:bCs/>
              </w:rPr>
            </w:pPr>
            <w:r w:rsidRPr="003E36FB">
              <w:rPr>
                <w:rFonts w:ascii="Times New Roman" w:hAnsi="Times New Roman"/>
              </w:rPr>
              <w:lastRenderedPageBreak/>
              <w:t>{210;020}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 xml:space="preserve">Kontant sikkerhed modtaget i forbindelse med derivattransaktioner – Regnskabsværdi såfremt ingen </w:t>
            </w:r>
            <w:proofErr w:type="spellStart"/>
            <w:r w:rsidRPr="003E36FB">
              <w:rPr>
                <w:rFonts w:ascii="Times New Roman" w:hAnsi="Times New Roman"/>
                <w:b/>
              </w:rPr>
              <w:t>netting</w:t>
            </w:r>
            <w:proofErr w:type="spellEnd"/>
            <w:r w:rsidRPr="003E36FB">
              <w:rPr>
                <w:rFonts w:ascii="Times New Roman" w:hAnsi="Times New Roman"/>
                <w:b/>
              </w:rPr>
              <w:t xml:space="preserve"> eller anden kreditrisikoreduktion</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Cs/>
              </w:rPr>
            </w:pPr>
            <w:r w:rsidRPr="003E36FB">
              <w:rPr>
                <w:rFonts w:ascii="Times New Roman" w:hAnsi="Times New Roman"/>
              </w:rPr>
              <w:t xml:space="preserve">Den balanceførte regnskabsværdi i henhold til de gældende regnskabsregler af kontant sikkerhed modtaget i forbindelse med derivattransaktioner uden hensyntagen til virkninger af regnskabsmæssig </w:t>
            </w:r>
            <w:proofErr w:type="spellStart"/>
            <w:r w:rsidRPr="003E36FB">
              <w:rPr>
                <w:rFonts w:ascii="Times New Roman" w:hAnsi="Times New Roman"/>
              </w:rPr>
              <w:t>netting</w:t>
            </w:r>
            <w:proofErr w:type="spellEnd"/>
            <w:r w:rsidRPr="003E36FB">
              <w:rPr>
                <w:rFonts w:ascii="Times New Roman" w:hAnsi="Times New Roman"/>
              </w:rPr>
              <w:t xml:space="preserve"> eller anden risikoreduktion (dvs. at eventuelle virkninger af regnskabsmæssig </w:t>
            </w:r>
            <w:proofErr w:type="spellStart"/>
            <w:r w:rsidRPr="003E36FB">
              <w:rPr>
                <w:rFonts w:ascii="Times New Roman" w:hAnsi="Times New Roman"/>
              </w:rPr>
              <w:t>netting</w:t>
            </w:r>
            <w:proofErr w:type="spellEnd"/>
            <w:r w:rsidRPr="003E36FB">
              <w:rPr>
                <w:rFonts w:ascii="Times New Roman" w:hAnsi="Times New Roman"/>
              </w:rPr>
              <w:t xml:space="preserve"> eller risikoreduktion på den balanceførte regnskabsværdi skal tilbageføres).</w:t>
            </w:r>
          </w:p>
          <w:p w:rsidR="00410E47" w:rsidRPr="003E36FB" w:rsidRDefault="00410E47" w:rsidP="007E2A41">
            <w:pPr>
              <w:pStyle w:val="BodyText1"/>
              <w:spacing w:line="240" w:lineRule="auto"/>
              <w:rPr>
                <w:rFonts w:ascii="Times New Roman" w:hAnsi="Times New Roman"/>
                <w:bCs/>
              </w:rPr>
            </w:pPr>
          </w:p>
          <w:p w:rsidR="00410E47" w:rsidRPr="003E36FB" w:rsidRDefault="00410E47" w:rsidP="00217B44">
            <w:pPr>
              <w:pStyle w:val="BodyText1"/>
              <w:tabs>
                <w:tab w:val="left" w:pos="4755"/>
              </w:tabs>
              <w:spacing w:line="240" w:lineRule="auto"/>
              <w:rPr>
                <w:rFonts w:ascii="Times New Roman" w:hAnsi="Times New Roman"/>
                <w:b/>
                <w:bCs/>
              </w:rPr>
            </w:pPr>
            <w:r w:rsidRPr="003E36FB">
              <w:rPr>
                <w:rFonts w:ascii="Times New Roman" w:hAnsi="Times New Roman"/>
              </w:rPr>
              <w:t>I forbindelse med denne celle defineres kontanter som summen af alle kontanter, herunder mønter og pengesedler/valuta. Summen af alle indlån i centralbanker medtages, i det omfang disse indlån kan hæves i stresssituationer. Institutter skal ikke indberette indskud i kontanter placeret i andre institutter i denne celle.</w:t>
            </w:r>
          </w:p>
          <w:p w:rsidR="00410E47" w:rsidRPr="003E36FB" w:rsidRDefault="00410E47" w:rsidP="007E2A41">
            <w:pPr>
              <w:pStyle w:val="BodyText1"/>
              <w:spacing w:line="240" w:lineRule="auto"/>
              <w:rPr>
                <w:rFonts w:ascii="Times New Roman" w:hAnsi="Times New Roman"/>
                <w:b/>
                <w:bCs/>
              </w:rPr>
            </w:pPr>
          </w:p>
        </w:tc>
      </w:tr>
      <w:tr w:rsidR="00410E47" w:rsidRPr="003E36FB" w:rsidTr="00FC2664">
        <w:tc>
          <w:tcPr>
            <w:tcW w:w="1418" w:type="dxa"/>
          </w:tcPr>
          <w:p w:rsidR="00410E47" w:rsidRPr="003E36FB" w:rsidRDefault="00410E47" w:rsidP="00F70A83">
            <w:pPr>
              <w:pStyle w:val="BodyText1"/>
              <w:rPr>
                <w:rFonts w:ascii="Times New Roman" w:hAnsi="Times New Roman"/>
                <w:bCs/>
              </w:rPr>
            </w:pPr>
            <w:r w:rsidRPr="003E36FB">
              <w:rPr>
                <w:rFonts w:ascii="Times New Roman" w:hAnsi="Times New Roman"/>
              </w:rPr>
              <w:t>{220;020}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 xml:space="preserve">Fordringer vedrørende kontant sikkerhed stillet i forbindelse med derivattransaktioner – Regnskabsværdi såfremt ingen </w:t>
            </w:r>
            <w:proofErr w:type="spellStart"/>
            <w:r w:rsidRPr="003E36FB">
              <w:rPr>
                <w:rFonts w:ascii="Times New Roman" w:hAnsi="Times New Roman"/>
                <w:b/>
              </w:rPr>
              <w:t>netting</w:t>
            </w:r>
            <w:proofErr w:type="spellEnd"/>
            <w:r w:rsidRPr="003E36FB">
              <w:rPr>
                <w:rFonts w:ascii="Times New Roman" w:hAnsi="Times New Roman"/>
                <w:b/>
              </w:rPr>
              <w:t xml:space="preserve"> eller anden kreditrisikoreduktion</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rPr>
              <w:t xml:space="preserve">Den balanceførte regnskabsværdi i henhold til de gældende regnskabsregler af fordringer vedrørende kontant sikkerhed stillet i forbindelse med derivattransaktioner uden hensyntagen til virkninger af regnskabsmæssig </w:t>
            </w:r>
            <w:proofErr w:type="spellStart"/>
            <w:r w:rsidRPr="003E36FB">
              <w:rPr>
                <w:rFonts w:ascii="Times New Roman" w:hAnsi="Times New Roman"/>
              </w:rPr>
              <w:t>netting</w:t>
            </w:r>
            <w:proofErr w:type="spellEnd"/>
            <w:r w:rsidRPr="003E36FB">
              <w:rPr>
                <w:rFonts w:ascii="Times New Roman" w:hAnsi="Times New Roman"/>
              </w:rPr>
              <w:t xml:space="preserve"> eller risikoreduktion (dvs. at eventuelle virkninger af regnskabsmæssig </w:t>
            </w:r>
            <w:proofErr w:type="spellStart"/>
            <w:r w:rsidRPr="003E36FB">
              <w:rPr>
                <w:rFonts w:ascii="Times New Roman" w:hAnsi="Times New Roman"/>
              </w:rPr>
              <w:t>netting</w:t>
            </w:r>
            <w:proofErr w:type="spellEnd"/>
            <w:r w:rsidRPr="003E36FB">
              <w:rPr>
                <w:rFonts w:ascii="Times New Roman" w:hAnsi="Times New Roman"/>
              </w:rPr>
              <w:t xml:space="preserve"> eller risikoreduktion på den balanceførte regnskabsværdi skal tilbageføres). Institutter, der i henhold til de gældende regnskabsregler kan modregne fordringer vedrørende kontant sikkerhed stillet i forbindelse med den tilknyttede derivatforpligtelse (negativ dagsværdi), og som vælger at gøre det, skal tilbageføre denne </w:t>
            </w:r>
            <w:proofErr w:type="spellStart"/>
            <w:r w:rsidRPr="003E36FB">
              <w:rPr>
                <w:rFonts w:ascii="Times New Roman" w:hAnsi="Times New Roman"/>
              </w:rPr>
              <w:t>netting</w:t>
            </w:r>
            <w:proofErr w:type="spellEnd"/>
            <w:r w:rsidRPr="003E36FB">
              <w:rPr>
                <w:rFonts w:ascii="Times New Roman" w:hAnsi="Times New Roman"/>
              </w:rPr>
              <w:t xml:space="preserve"> og indberette nettokontantfordringen.</w:t>
            </w:r>
          </w:p>
          <w:p w:rsidR="00410E47" w:rsidRPr="003E36FB" w:rsidRDefault="00410E47" w:rsidP="007E2A41">
            <w:pPr>
              <w:pStyle w:val="BodyText1"/>
              <w:spacing w:line="240" w:lineRule="auto"/>
              <w:rPr>
                <w:rFonts w:ascii="Times New Roman" w:hAnsi="Times New Roman"/>
                <w:b/>
                <w:bCs/>
              </w:rPr>
            </w:pPr>
          </w:p>
        </w:tc>
      </w:tr>
      <w:tr w:rsidR="00410E47" w:rsidRPr="003E36FB" w:rsidTr="00FC2664">
        <w:tc>
          <w:tcPr>
            <w:tcW w:w="1418" w:type="dxa"/>
          </w:tcPr>
          <w:p w:rsidR="00410E47" w:rsidRPr="003E36FB" w:rsidRDefault="00410E47" w:rsidP="00F70A83">
            <w:pPr>
              <w:pStyle w:val="BodyText1"/>
              <w:rPr>
                <w:rFonts w:ascii="Times New Roman" w:hAnsi="Times New Roman"/>
                <w:bCs/>
              </w:rPr>
            </w:pPr>
            <w:r w:rsidRPr="003E36FB">
              <w:rPr>
                <w:rFonts w:ascii="Times New Roman" w:hAnsi="Times New Roman"/>
              </w:rPr>
              <w:t>{230;020}</w:t>
            </w:r>
          </w:p>
        </w:tc>
        <w:tc>
          <w:tcPr>
            <w:tcW w:w="7620" w:type="dxa"/>
          </w:tcPr>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b/>
              </w:rPr>
              <w:t xml:space="preserve">Værdipapirer modtaget i forbindelse med en SFT, der balanceføres som et aktiv – Regnskabsværdi såfremt ingen </w:t>
            </w:r>
            <w:proofErr w:type="spellStart"/>
            <w:r w:rsidRPr="003E36FB">
              <w:rPr>
                <w:rFonts w:ascii="Times New Roman" w:hAnsi="Times New Roman"/>
                <w:b/>
              </w:rPr>
              <w:t>netting</w:t>
            </w:r>
            <w:proofErr w:type="spellEnd"/>
            <w:r w:rsidRPr="003E36FB">
              <w:rPr>
                <w:rFonts w:ascii="Times New Roman" w:hAnsi="Times New Roman"/>
                <w:b/>
              </w:rPr>
              <w:t xml:space="preserve"> eller anden kreditrisikoreduktion</w:t>
            </w:r>
          </w:p>
          <w:p w:rsidR="00410E47" w:rsidRPr="003E36FB" w:rsidRDefault="00410E47" w:rsidP="007E2A41">
            <w:pPr>
              <w:pStyle w:val="BodyText1"/>
              <w:spacing w:line="240" w:lineRule="auto"/>
              <w:rPr>
                <w:rFonts w:ascii="Times New Roman" w:hAnsi="Times New Roman"/>
                <w:b/>
                <w:bCs/>
              </w:rPr>
            </w:pPr>
          </w:p>
          <w:p w:rsidR="00410E47" w:rsidRPr="003E36FB" w:rsidRDefault="00410E47" w:rsidP="007E2A41">
            <w:pPr>
              <w:pStyle w:val="BodyText1"/>
              <w:spacing w:line="240" w:lineRule="auto"/>
              <w:rPr>
                <w:rFonts w:ascii="Times New Roman" w:hAnsi="Times New Roman"/>
                <w:b/>
                <w:bCs/>
              </w:rPr>
            </w:pPr>
            <w:r w:rsidRPr="003E36FB">
              <w:rPr>
                <w:rFonts w:ascii="Times New Roman" w:hAnsi="Times New Roman"/>
              </w:rPr>
              <w:t xml:space="preserve">Den balanceførte regnskabsværdi i henhold til de gældende regnskabsregler af værdipapirer modtaget i forbindelse med en SFT, der i henhold til de gældende regnskabsregler balanceføres som et aktiv, uden hensyntagen til virkninger af regnskabsmæssig </w:t>
            </w:r>
            <w:proofErr w:type="spellStart"/>
            <w:r w:rsidRPr="003E36FB">
              <w:rPr>
                <w:rFonts w:ascii="Times New Roman" w:hAnsi="Times New Roman"/>
              </w:rPr>
              <w:t>netting</w:t>
            </w:r>
            <w:proofErr w:type="spellEnd"/>
            <w:r w:rsidRPr="003E36FB">
              <w:rPr>
                <w:rFonts w:ascii="Times New Roman" w:hAnsi="Times New Roman"/>
              </w:rPr>
              <w:t xml:space="preserve"> eller anden risikoreduktion (dvs. at eventuelle virkninger af regnskabsmæssig </w:t>
            </w:r>
            <w:proofErr w:type="spellStart"/>
            <w:r w:rsidRPr="003E36FB">
              <w:rPr>
                <w:rFonts w:ascii="Times New Roman" w:hAnsi="Times New Roman"/>
              </w:rPr>
              <w:t>netting</w:t>
            </w:r>
            <w:proofErr w:type="spellEnd"/>
            <w:r w:rsidRPr="003E36FB">
              <w:rPr>
                <w:rFonts w:ascii="Times New Roman" w:hAnsi="Times New Roman"/>
              </w:rPr>
              <w:t xml:space="preserve"> eller risikoreduktion på den balanceførte regnskabsværdi skal tilbageføres).</w:t>
            </w:r>
          </w:p>
          <w:p w:rsidR="00410E47" w:rsidRPr="003E36FB" w:rsidRDefault="00410E47" w:rsidP="007E2A41">
            <w:pPr>
              <w:pStyle w:val="BodyText1"/>
              <w:spacing w:line="240" w:lineRule="auto"/>
              <w:rPr>
                <w:rFonts w:ascii="Times New Roman" w:hAnsi="Times New Roman"/>
                <w:b/>
                <w:bCs/>
              </w:rPr>
            </w:pPr>
          </w:p>
        </w:tc>
      </w:tr>
      <w:tr w:rsidR="00410E47" w:rsidRPr="003E36FB" w:rsidTr="00FC2664">
        <w:tc>
          <w:tcPr>
            <w:tcW w:w="1418" w:type="dxa"/>
          </w:tcPr>
          <w:p w:rsidR="00410E47" w:rsidRPr="003E36FB" w:rsidRDefault="00410E47" w:rsidP="00F70A83">
            <w:pPr>
              <w:pStyle w:val="BodyText1"/>
              <w:rPr>
                <w:rFonts w:ascii="Times New Roman" w:hAnsi="Times New Roman"/>
                <w:bCs/>
              </w:rPr>
            </w:pPr>
            <w:r w:rsidRPr="003E36FB">
              <w:rPr>
                <w:rFonts w:ascii="Times New Roman" w:hAnsi="Times New Roman"/>
              </w:rPr>
              <w:t>{240;020}</w:t>
            </w:r>
          </w:p>
        </w:tc>
        <w:tc>
          <w:tcPr>
            <w:tcW w:w="7620" w:type="dxa"/>
          </w:tcPr>
          <w:p w:rsidR="00410E47" w:rsidRPr="003E36FB" w:rsidRDefault="00410E47" w:rsidP="007E2A41">
            <w:pPr>
              <w:pStyle w:val="BodyText1"/>
              <w:tabs>
                <w:tab w:val="left" w:pos="4755"/>
              </w:tabs>
              <w:spacing w:line="240" w:lineRule="auto"/>
              <w:rPr>
                <w:rFonts w:ascii="Times New Roman" w:hAnsi="Times New Roman"/>
                <w:b/>
                <w:bCs/>
              </w:rPr>
            </w:pPr>
            <w:r w:rsidRPr="003E36FB">
              <w:rPr>
                <w:rFonts w:ascii="Times New Roman" w:hAnsi="Times New Roman"/>
                <w:b/>
              </w:rPr>
              <w:t xml:space="preserve">SFT med kontant genudlån (kontantfordringer) – Regnskabsværdi såfremt ingen </w:t>
            </w:r>
            <w:proofErr w:type="spellStart"/>
            <w:r w:rsidRPr="003E36FB">
              <w:rPr>
                <w:rFonts w:ascii="Times New Roman" w:hAnsi="Times New Roman"/>
                <w:b/>
              </w:rPr>
              <w:t>netting</w:t>
            </w:r>
            <w:proofErr w:type="spellEnd"/>
            <w:r w:rsidRPr="003E36FB">
              <w:rPr>
                <w:rFonts w:ascii="Times New Roman" w:hAnsi="Times New Roman"/>
                <w:b/>
              </w:rPr>
              <w:t xml:space="preserve"> eller anden kreditrisikoreduktion</w:t>
            </w:r>
          </w:p>
          <w:p w:rsidR="00410E47" w:rsidRPr="003E36FB" w:rsidRDefault="00410E47" w:rsidP="007E2A41">
            <w:pPr>
              <w:pStyle w:val="BodyText1"/>
              <w:tabs>
                <w:tab w:val="left" w:pos="4755"/>
              </w:tabs>
              <w:spacing w:line="240" w:lineRule="auto"/>
              <w:rPr>
                <w:rFonts w:ascii="Times New Roman" w:hAnsi="Times New Roman"/>
                <w:b/>
                <w:bCs/>
              </w:rPr>
            </w:pPr>
          </w:p>
          <w:p w:rsidR="00410E47" w:rsidRPr="003E36FB" w:rsidRDefault="00410E47" w:rsidP="007E2A41">
            <w:pPr>
              <w:pStyle w:val="BodyText1"/>
              <w:tabs>
                <w:tab w:val="left" w:pos="4755"/>
              </w:tabs>
              <w:spacing w:line="240" w:lineRule="auto"/>
              <w:rPr>
                <w:rFonts w:ascii="Times New Roman" w:hAnsi="Times New Roman"/>
              </w:rPr>
            </w:pPr>
            <w:r w:rsidRPr="003E36FB">
              <w:rPr>
                <w:rFonts w:ascii="Times New Roman" w:hAnsi="Times New Roman"/>
              </w:rPr>
              <w:t xml:space="preserve">Den balanceførte regnskabsværdi i henhold til de gældende regnskabsregler af kontantfordringer vedrørende kontant genudlån til værdipapirejer i en kvalificeret genudlånstransaktion i kontanter uden hensyntagen til virkninger af regnskabsmæssig </w:t>
            </w:r>
            <w:proofErr w:type="spellStart"/>
            <w:r w:rsidRPr="003E36FB">
              <w:rPr>
                <w:rFonts w:ascii="Times New Roman" w:hAnsi="Times New Roman"/>
              </w:rPr>
              <w:t>netting</w:t>
            </w:r>
            <w:proofErr w:type="spellEnd"/>
            <w:r w:rsidRPr="003E36FB">
              <w:rPr>
                <w:rFonts w:ascii="Times New Roman" w:hAnsi="Times New Roman"/>
              </w:rPr>
              <w:t xml:space="preserve"> eller risikoreduktion (dvs. at eventuelle virkninger af regnskabsmæssig </w:t>
            </w:r>
            <w:proofErr w:type="spellStart"/>
            <w:r w:rsidRPr="003E36FB">
              <w:rPr>
                <w:rFonts w:ascii="Times New Roman" w:hAnsi="Times New Roman"/>
              </w:rPr>
              <w:t>netting</w:t>
            </w:r>
            <w:proofErr w:type="spellEnd"/>
            <w:r w:rsidRPr="003E36FB">
              <w:rPr>
                <w:rFonts w:ascii="Times New Roman" w:hAnsi="Times New Roman"/>
              </w:rPr>
              <w:t xml:space="preserve"> eller anden risikoreduktion på den balanceførte regnskabsværdi skal tilbageføres).</w:t>
            </w:r>
          </w:p>
          <w:p w:rsidR="00410E47" w:rsidRPr="003E36FB" w:rsidRDefault="00410E47" w:rsidP="007E2A41">
            <w:pPr>
              <w:pStyle w:val="BodyText1"/>
              <w:tabs>
                <w:tab w:val="left" w:pos="4755"/>
              </w:tabs>
              <w:spacing w:line="240" w:lineRule="auto"/>
              <w:rPr>
                <w:rFonts w:ascii="Times New Roman" w:hAnsi="Times New Roman"/>
              </w:rPr>
            </w:pPr>
          </w:p>
          <w:p w:rsidR="00410E47" w:rsidRPr="003E36FB" w:rsidRDefault="00410E47" w:rsidP="007E2A41">
            <w:pPr>
              <w:pStyle w:val="BodyText1"/>
              <w:tabs>
                <w:tab w:val="left" w:pos="4755"/>
              </w:tabs>
              <w:spacing w:line="240" w:lineRule="auto"/>
              <w:rPr>
                <w:rFonts w:ascii="Times New Roman" w:hAnsi="Times New Roman"/>
              </w:rPr>
            </w:pPr>
            <w:r w:rsidRPr="003E36FB">
              <w:rPr>
                <w:rFonts w:ascii="Times New Roman" w:hAnsi="Times New Roman"/>
              </w:rPr>
              <w:t>I forbindelse med denne celle defineres kontanter som summen af alle kontanter, herunder mønter og pengesedler/valuta. Summen af alle indlån i centralbanker medtages, i det omfang disse indlån kan hæves i stresssituationer. Institutter skal ikke indberette indskud i kontanter placeret i andre institutter i denne celle.</w:t>
            </w:r>
          </w:p>
          <w:p w:rsidR="00410E47" w:rsidRPr="003E36FB" w:rsidRDefault="00410E47" w:rsidP="007E2A41">
            <w:pPr>
              <w:pStyle w:val="BodyText1"/>
              <w:tabs>
                <w:tab w:val="left" w:pos="4755"/>
              </w:tabs>
              <w:spacing w:line="240" w:lineRule="auto"/>
              <w:rPr>
                <w:rFonts w:ascii="Times New Roman" w:hAnsi="Times New Roman"/>
              </w:rPr>
            </w:pPr>
          </w:p>
          <w:p w:rsidR="00410E47" w:rsidRPr="003E36FB" w:rsidRDefault="00410E47" w:rsidP="007E2A41">
            <w:pPr>
              <w:pStyle w:val="BodyText1"/>
              <w:tabs>
                <w:tab w:val="left" w:pos="4755"/>
              </w:tabs>
              <w:spacing w:line="240" w:lineRule="auto"/>
              <w:rPr>
                <w:rFonts w:ascii="Times New Roman" w:hAnsi="Times New Roman"/>
              </w:rPr>
            </w:pPr>
            <w:r w:rsidRPr="003E36FB">
              <w:rPr>
                <w:rFonts w:ascii="Times New Roman" w:hAnsi="Times New Roman"/>
              </w:rPr>
              <w:t>En kvalificeret genudlånstransaktion i kontanter defineres som en kombination af to transaktioner, hvor et institut låner værdipapirer fra værdipapirejeren og genudlåner værdipapirer til værdipapirlåntageren. Samtidig modtager instituttet kontant sikkerhed fra værdipapirlåntageren og genudlåner de modtagne kontanter til værdipapirejeren. En kvalificeret genudlånstransaktion i kontanter skal opfylde følgende betingelser:</w:t>
            </w:r>
          </w:p>
          <w:p w:rsidR="00410E47" w:rsidRPr="003E36FB" w:rsidRDefault="00410E47" w:rsidP="007E2A41">
            <w:pPr>
              <w:pStyle w:val="BodyText1"/>
              <w:tabs>
                <w:tab w:val="left" w:pos="4755"/>
              </w:tabs>
              <w:spacing w:line="240" w:lineRule="auto"/>
              <w:rPr>
                <w:rFonts w:ascii="Times New Roman" w:hAnsi="Times New Roman"/>
              </w:rPr>
            </w:pPr>
          </w:p>
          <w:p w:rsidR="00410E47" w:rsidRPr="003E36FB" w:rsidRDefault="00500508" w:rsidP="00500508">
            <w:pPr>
              <w:pStyle w:val="Paragraph"/>
              <w:ind w:left="794" w:hanging="794"/>
              <w:rPr>
                <w:rFonts w:ascii="Times New Roman" w:hAnsi="Times New Roman"/>
                <w:color w:val="000000"/>
              </w:rPr>
            </w:pPr>
            <w:r w:rsidRPr="003E36FB">
              <w:rPr>
                <w:rFonts w:ascii="Times New Roman" w:hAnsi="Times New Roman"/>
                <w:color w:val="000000"/>
              </w:rPr>
              <w:t>a)</w:t>
            </w:r>
            <w:r w:rsidRPr="003E36FB">
              <w:tab/>
            </w:r>
            <w:r w:rsidRPr="003E36FB">
              <w:rPr>
                <w:rFonts w:ascii="Times New Roman" w:hAnsi="Times New Roman"/>
                <w:color w:val="000000"/>
              </w:rPr>
              <w:t xml:space="preserve">Begge de individuelle transaktioner, der udgør den kvalificerede genudlånstransaktion i kontanter, skal gennemføres på den samme handelsdag </w:t>
            </w:r>
            <w:r w:rsidRPr="003E36FB">
              <w:rPr>
                <w:rFonts w:ascii="Times New Roman" w:hAnsi="Times New Roman"/>
                <w:color w:val="000000"/>
              </w:rPr>
              <w:lastRenderedPageBreak/>
              <w:t>eller på sammenhængende bankdage i tilfælde af internationale transaktioner.</w:t>
            </w:r>
          </w:p>
          <w:p w:rsidR="00410E47" w:rsidRPr="003E36FB" w:rsidRDefault="00500508" w:rsidP="00500508">
            <w:pPr>
              <w:pStyle w:val="Paragraph"/>
              <w:ind w:left="794" w:hanging="794"/>
              <w:rPr>
                <w:rFonts w:ascii="Times New Roman" w:hAnsi="Times New Roman"/>
                <w:color w:val="000000"/>
              </w:rPr>
            </w:pPr>
            <w:r w:rsidRPr="003E36FB">
              <w:rPr>
                <w:rFonts w:ascii="Times New Roman" w:hAnsi="Times New Roman"/>
                <w:color w:val="000000"/>
              </w:rPr>
              <w:t>b)</w:t>
            </w:r>
            <w:r w:rsidRPr="003E36FB">
              <w:tab/>
            </w:r>
            <w:r w:rsidRPr="003E36FB">
              <w:rPr>
                <w:rFonts w:ascii="Times New Roman" w:hAnsi="Times New Roman"/>
                <w:color w:val="000000"/>
              </w:rPr>
              <w:t>Hvis der ikke er anført en løbetid for de omfattede transaktioner, har instituttet ret til når som helst og uden varsel at lukke en af delene af transaktionen, dvs. begge de omfattede transaktioner.</w:t>
            </w:r>
          </w:p>
          <w:p w:rsidR="00410E47" w:rsidRPr="003E36FB" w:rsidRDefault="00500508" w:rsidP="00500508">
            <w:pPr>
              <w:pStyle w:val="Paragraph"/>
              <w:ind w:left="794" w:hanging="794"/>
              <w:rPr>
                <w:rFonts w:ascii="Times New Roman" w:hAnsi="Times New Roman"/>
                <w:color w:val="000000"/>
              </w:rPr>
            </w:pPr>
            <w:r w:rsidRPr="003E36FB">
              <w:rPr>
                <w:rFonts w:ascii="Times New Roman" w:hAnsi="Times New Roman"/>
                <w:color w:val="000000"/>
              </w:rPr>
              <w:t>c)</w:t>
            </w:r>
            <w:r w:rsidRPr="003E36FB">
              <w:tab/>
            </w:r>
            <w:r w:rsidRPr="003E36FB">
              <w:rPr>
                <w:rFonts w:ascii="Times New Roman" w:hAnsi="Times New Roman"/>
                <w:color w:val="000000"/>
              </w:rPr>
              <w:t>Hvis der er anført en løbetid for de omfattede transaktioner, medfører transaktionen ikke uoverensstemmende løbetider for instituttet. Instituttet har ret til når som helst og uden varsel at lukke en af delene af transaktionen, dvs. begge de omfattede transaktioner.</w:t>
            </w:r>
          </w:p>
          <w:p w:rsidR="00410E47" w:rsidRPr="003E36FB" w:rsidRDefault="00500508" w:rsidP="00500508">
            <w:pPr>
              <w:pStyle w:val="Paragraph"/>
              <w:ind w:left="794" w:hanging="794"/>
              <w:rPr>
                <w:rFonts w:ascii="Times New Roman" w:hAnsi="Times New Roman"/>
                <w:color w:val="000000"/>
              </w:rPr>
            </w:pPr>
            <w:r w:rsidRPr="003E36FB">
              <w:rPr>
                <w:rFonts w:ascii="Times New Roman" w:hAnsi="Times New Roman"/>
                <w:color w:val="000000"/>
              </w:rPr>
              <w:t>d)</w:t>
            </w:r>
            <w:r w:rsidRPr="003E36FB">
              <w:tab/>
            </w:r>
            <w:r w:rsidRPr="003E36FB">
              <w:rPr>
                <w:rFonts w:ascii="Times New Roman" w:hAnsi="Times New Roman"/>
                <w:color w:val="000000"/>
              </w:rPr>
              <w:t>Den medfører andre forøgede eksponeringer.</w:t>
            </w:r>
          </w:p>
          <w:p w:rsidR="00410E47" w:rsidRPr="003E36FB" w:rsidRDefault="00410E47" w:rsidP="007E2A41">
            <w:pPr>
              <w:pStyle w:val="BodyText1"/>
              <w:spacing w:line="240" w:lineRule="auto"/>
              <w:rPr>
                <w:rFonts w:ascii="Times New Roman" w:hAnsi="Times New Roman"/>
                <w:b/>
                <w:bCs/>
              </w:rPr>
            </w:pPr>
          </w:p>
        </w:tc>
      </w:tr>
      <w:tr w:rsidR="004B5877" w:rsidRPr="003E36FB" w:rsidTr="004B5877">
        <w:tc>
          <w:tcPr>
            <w:tcW w:w="1418" w:type="dxa"/>
          </w:tcPr>
          <w:p w:rsidR="004B5877" w:rsidRPr="003E36FB" w:rsidRDefault="004B5877" w:rsidP="004178C8">
            <w:pPr>
              <w:pStyle w:val="BodyText1"/>
              <w:rPr>
                <w:rFonts w:ascii="Times New Roman" w:hAnsi="Times New Roman"/>
                <w:bCs/>
              </w:rPr>
            </w:pPr>
            <w:bookmarkStart w:id="63" w:name="_Toc322687882"/>
            <w:bookmarkEnd w:id="55"/>
            <w:r w:rsidRPr="003E36FB">
              <w:rPr>
                <w:rFonts w:ascii="Times New Roman" w:hAnsi="Times New Roman"/>
              </w:rPr>
              <w:lastRenderedPageBreak/>
              <w:t>{250;120}</w:t>
            </w:r>
          </w:p>
        </w:tc>
        <w:tc>
          <w:tcPr>
            <w:tcW w:w="7620" w:type="dxa"/>
          </w:tcPr>
          <w:p w:rsidR="004B5877" w:rsidRPr="003E36FB" w:rsidRDefault="004B5877" w:rsidP="004B5877">
            <w:pPr>
              <w:pStyle w:val="BodyText1"/>
              <w:tabs>
                <w:tab w:val="left" w:pos="4755"/>
              </w:tabs>
              <w:spacing w:line="240" w:lineRule="auto"/>
              <w:rPr>
                <w:rFonts w:ascii="Times New Roman" w:hAnsi="Times New Roman"/>
                <w:bCs/>
              </w:rPr>
            </w:pPr>
            <w:r w:rsidRPr="003E36FB">
              <w:rPr>
                <w:rFonts w:ascii="Times New Roman" w:hAnsi="Times New Roman"/>
                <w:b/>
              </w:rPr>
              <w:t>Eksponeringer, der kan behandles i henhold til artikel 113, stk. 6, i CRR – Eksponeringsværdi bag gearingsgraden, som kan undtages</w:t>
            </w:r>
          </w:p>
          <w:p w:rsidR="00A46F6B" w:rsidRPr="003E36FB" w:rsidRDefault="00A46F6B" w:rsidP="004178C8">
            <w:pPr>
              <w:pStyle w:val="BodyText1"/>
              <w:tabs>
                <w:tab w:val="left" w:pos="4755"/>
              </w:tabs>
              <w:spacing w:line="240" w:lineRule="auto"/>
              <w:rPr>
                <w:rFonts w:ascii="Times New Roman" w:hAnsi="Times New Roman"/>
                <w:bCs/>
              </w:rPr>
            </w:pPr>
          </w:p>
          <w:p w:rsidR="004B5877" w:rsidRPr="003E36FB" w:rsidRDefault="004B5877" w:rsidP="004178C8">
            <w:pPr>
              <w:pStyle w:val="BodyText1"/>
              <w:tabs>
                <w:tab w:val="left" w:pos="4755"/>
              </w:tabs>
              <w:spacing w:line="240" w:lineRule="auto"/>
              <w:rPr>
                <w:rFonts w:ascii="Times New Roman" w:hAnsi="Times New Roman"/>
                <w:bCs/>
              </w:rPr>
            </w:pPr>
            <w:r w:rsidRPr="003E36FB">
              <w:rPr>
                <w:rFonts w:ascii="Times New Roman" w:hAnsi="Times New Roman"/>
              </w:rPr>
              <w:t>Den del af den samlede eksponering bag gearingsgraden, som ikke vil blive medregnet, hvis de kompetente myndigheder i videst muligt omfang giver tilladelse til at undtage eksponeringer, under forudsætning af at betingelserne i artikel 113, stk. 6, litra a)-e), i CRR alle er opfyldt og at godkendelsen i artikel 113, stk. 6, i CRR er givet. Hvis den kompetente myndighed allerede har givet tilladelse i videst muligt omfang, svarer værdien i denne celle til værdien i {LRCalc;250;010}.</w:t>
            </w:r>
          </w:p>
          <w:p w:rsidR="004B5877" w:rsidRPr="003E36FB" w:rsidRDefault="004B5877" w:rsidP="006A32F5">
            <w:pPr>
              <w:pStyle w:val="Paragraph"/>
              <w:ind w:firstLine="0"/>
              <w:rPr>
                <w:rFonts w:ascii="Times New Roman" w:hAnsi="Times New Roman"/>
                <w:b/>
                <w:bCs/>
              </w:rPr>
            </w:pPr>
          </w:p>
        </w:tc>
      </w:tr>
      <w:tr w:rsidR="004B5877" w:rsidRPr="003E36FB" w:rsidTr="004B5877">
        <w:tc>
          <w:tcPr>
            <w:tcW w:w="1418" w:type="dxa"/>
          </w:tcPr>
          <w:p w:rsidR="004B5877" w:rsidRPr="003E36FB" w:rsidRDefault="004B5877" w:rsidP="004178C8">
            <w:pPr>
              <w:pStyle w:val="BodyText1"/>
              <w:rPr>
                <w:rFonts w:ascii="Times New Roman" w:hAnsi="Times New Roman"/>
                <w:bCs/>
              </w:rPr>
            </w:pPr>
            <w:r w:rsidRPr="003E36FB">
              <w:rPr>
                <w:rFonts w:ascii="Times New Roman" w:hAnsi="Times New Roman"/>
              </w:rPr>
              <w:t>{260;120}</w:t>
            </w:r>
          </w:p>
        </w:tc>
        <w:tc>
          <w:tcPr>
            <w:tcW w:w="7620" w:type="dxa"/>
          </w:tcPr>
          <w:p w:rsidR="004B5877" w:rsidRPr="003E36FB" w:rsidRDefault="004B5877" w:rsidP="004B5877">
            <w:pPr>
              <w:pStyle w:val="BodyText1"/>
              <w:tabs>
                <w:tab w:val="left" w:pos="4755"/>
              </w:tabs>
              <w:spacing w:line="240" w:lineRule="auto"/>
              <w:rPr>
                <w:rFonts w:ascii="Times New Roman" w:hAnsi="Times New Roman"/>
                <w:b/>
                <w:bCs/>
              </w:rPr>
            </w:pPr>
            <w:r w:rsidRPr="003E36FB">
              <w:rPr>
                <w:rFonts w:ascii="Times New Roman" w:hAnsi="Times New Roman"/>
                <w:b/>
              </w:rPr>
              <w:t>Eksponeringer, der opfylder betingelserne i artikel 429, stk. 14, litra a)-c), i CRR – Eksponeringsværdi bag gearingsgraden, som kan undtages</w:t>
            </w:r>
          </w:p>
          <w:p w:rsidR="004B5877" w:rsidRPr="003E36FB" w:rsidRDefault="004B5877" w:rsidP="004B5877">
            <w:pPr>
              <w:pStyle w:val="BodyText1"/>
              <w:tabs>
                <w:tab w:val="left" w:pos="4755"/>
              </w:tabs>
              <w:spacing w:line="240" w:lineRule="auto"/>
              <w:rPr>
                <w:rFonts w:ascii="Times New Roman" w:hAnsi="Times New Roman"/>
                <w:bCs/>
              </w:rPr>
            </w:pPr>
          </w:p>
          <w:p w:rsidR="00214D62" w:rsidRPr="003E36FB" w:rsidRDefault="00214D62" w:rsidP="004B5877">
            <w:pPr>
              <w:pStyle w:val="BodyText1"/>
              <w:tabs>
                <w:tab w:val="left" w:pos="4755"/>
              </w:tabs>
              <w:spacing w:line="240" w:lineRule="auto"/>
              <w:rPr>
                <w:rFonts w:ascii="Times New Roman" w:hAnsi="Times New Roman"/>
                <w:bCs/>
              </w:rPr>
            </w:pPr>
            <w:r w:rsidRPr="003E36FB">
              <w:rPr>
                <w:rFonts w:ascii="Times New Roman" w:hAnsi="Times New Roman"/>
              </w:rPr>
              <w:t>Den del af den samlede eksponering bag gearingsgraden, som ikke vil blive medregnet, hvis de kompetente myndigheder i videst muligt omfang giver tilladelse til at undtage eksponeringer, der opfylder betingelserne i artikel 429, stk. 14, litra a)-c), i CRR. Hvis den kompetente myndighed allerede har givet tilladelse i videst muligt omfang, svarer værdien i denne celle til værdien i {LRCalc;260;010}.</w:t>
            </w:r>
          </w:p>
          <w:p w:rsidR="004B5877" w:rsidRPr="003E36FB" w:rsidRDefault="004B5877" w:rsidP="006A32F5">
            <w:pPr>
              <w:pStyle w:val="Paragraph"/>
              <w:ind w:left="794" w:firstLine="0"/>
              <w:rPr>
                <w:rFonts w:ascii="Times New Roman" w:hAnsi="Times New Roman"/>
                <w:b/>
                <w:bCs/>
              </w:rPr>
            </w:pPr>
          </w:p>
        </w:tc>
      </w:tr>
    </w:tbl>
    <w:p w:rsidR="00F4754B" w:rsidRPr="003E36FB" w:rsidRDefault="00F4754B" w:rsidP="00F4754B">
      <w:pPr>
        <w:pStyle w:val="BodyText1"/>
        <w:rPr>
          <w:rFonts w:ascii="Times New Roman" w:hAnsi="Times New Roman"/>
          <w:b/>
        </w:rPr>
      </w:pPr>
    </w:p>
    <w:p w:rsidR="00217D1F" w:rsidRPr="003E36FB" w:rsidRDefault="00500508" w:rsidP="00500508">
      <w:pPr>
        <w:pStyle w:val="BodyText1"/>
        <w:ind w:left="357" w:hanging="357"/>
        <w:outlineLvl w:val="1"/>
        <w:rPr>
          <w:rFonts w:ascii="Times New Roman" w:hAnsi="Times New Roman"/>
          <w:b/>
        </w:rPr>
      </w:pPr>
      <w:bookmarkStart w:id="64" w:name="_Toc338669914"/>
      <w:bookmarkStart w:id="65" w:name="_Toc338669915"/>
      <w:bookmarkStart w:id="66" w:name="_Toc338669918"/>
      <w:bookmarkStart w:id="67" w:name="_Toc351048508"/>
      <w:bookmarkStart w:id="68" w:name="_Toc359414287"/>
      <w:bookmarkStart w:id="69" w:name="_Toc423089072"/>
      <w:bookmarkStart w:id="70" w:name="_Toc523918778"/>
      <w:bookmarkEnd w:id="64"/>
      <w:bookmarkEnd w:id="65"/>
      <w:bookmarkEnd w:id="66"/>
      <w:r w:rsidRPr="003E36FB">
        <w:rPr>
          <w:rFonts w:ascii="Times New Roman" w:hAnsi="Times New Roman"/>
          <w:b/>
        </w:rPr>
        <w:t>6.</w:t>
      </w:r>
      <w:r w:rsidRPr="003E36FB">
        <w:tab/>
      </w:r>
      <w:r w:rsidRPr="003E36FB">
        <w:rPr>
          <w:rFonts w:ascii="Times New Roman" w:hAnsi="Times New Roman"/>
          <w:b/>
        </w:rPr>
        <w:t>C 41.00 — Balanceførte og ikkebalanceførte poster - yderligere opdeling af eksponeringer</w:t>
      </w:r>
      <w:bookmarkEnd w:id="67"/>
      <w:bookmarkEnd w:id="68"/>
      <w:r w:rsidRPr="003E36FB">
        <w:rPr>
          <w:rFonts w:ascii="Times New Roman" w:hAnsi="Times New Roman"/>
          <w:b/>
        </w:rPr>
        <w:t xml:space="preserve"> (LR2)</w:t>
      </w:r>
      <w:bookmarkEnd w:id="69"/>
      <w:bookmarkEnd w:id="70"/>
    </w:p>
    <w:p w:rsidR="00675587" w:rsidRPr="003E36FB" w:rsidRDefault="00675587" w:rsidP="007E2A41">
      <w:pPr>
        <w:pStyle w:val="BodyText1"/>
        <w:spacing w:line="240" w:lineRule="auto"/>
        <w:ind w:left="720"/>
        <w:rPr>
          <w:rFonts w:ascii="Times New Roman" w:hAnsi="Times New Roman"/>
          <w:bCs/>
        </w:rPr>
      </w:pPr>
    </w:p>
    <w:p w:rsidR="00F4754B" w:rsidRPr="003E36FB" w:rsidRDefault="00500508" w:rsidP="00500508">
      <w:pPr>
        <w:pStyle w:val="BodyText1"/>
        <w:spacing w:line="240" w:lineRule="auto"/>
        <w:ind w:left="720" w:hanging="360"/>
        <w:rPr>
          <w:rFonts w:ascii="Times New Roman" w:hAnsi="Times New Roman"/>
          <w:bCs/>
        </w:rPr>
      </w:pPr>
      <w:r w:rsidRPr="003E36FB">
        <w:rPr>
          <w:rFonts w:ascii="Times New Roman" w:hAnsi="Times New Roman"/>
        </w:rPr>
        <w:t>24.</w:t>
      </w:r>
      <w:r w:rsidRPr="003E36FB">
        <w:tab/>
      </w:r>
      <w:r w:rsidRPr="003E36FB">
        <w:rPr>
          <w:rFonts w:ascii="Times New Roman" w:hAnsi="Times New Roman"/>
        </w:rPr>
        <w:t>LR2-skemaet giver oplysninger om yderligere opdeling af alle de balanceførte og ikkebalanceførte poster for eksponeringer</w:t>
      </w:r>
      <w:r w:rsidRPr="003E36FB">
        <w:rPr>
          <w:rFonts w:ascii="Times New Roman" w:hAnsi="Times New Roman"/>
          <w:vertAlign w:val="superscript"/>
        </w:rPr>
        <w:footnoteReference w:id="2"/>
      </w:r>
      <w:r w:rsidRPr="003E36FB">
        <w:rPr>
          <w:rFonts w:ascii="Times New Roman" w:hAnsi="Times New Roman"/>
        </w:rPr>
        <w:t xml:space="preserve"> uden for handelsbeholdningen og alle eksponeringer i handelsbeholdningen, der er genstand for modpartsrisiko. Opdelingen er i overensstemmelse med de risikovægte, der anvendes i afsnittet om kreditrisiko i CRR. Oplysningerne varierer for eksponeringer opgjort i henhold til henholdsvis standardmetoden og IRB-metoden. </w:t>
      </w:r>
    </w:p>
    <w:p w:rsidR="00FC2664" w:rsidRPr="003E36FB" w:rsidRDefault="00FC2664" w:rsidP="007E2A41">
      <w:pPr>
        <w:pStyle w:val="BodyText1"/>
        <w:spacing w:line="240" w:lineRule="auto"/>
        <w:rPr>
          <w:rFonts w:ascii="Times New Roman" w:hAnsi="Times New Roman"/>
        </w:rPr>
      </w:pPr>
    </w:p>
    <w:p w:rsidR="00F4754B"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25.</w:t>
      </w:r>
      <w:r w:rsidRPr="003E36FB">
        <w:tab/>
      </w:r>
      <w:r w:rsidRPr="003E36FB">
        <w:rPr>
          <w:rFonts w:ascii="Times New Roman" w:hAnsi="Times New Roman"/>
        </w:rPr>
        <w:t xml:space="preserve">I forbindelse med eksponeringer, der understøttes af kreditrisikoreduktionsteknikker, som betyder, at risikovægtning af modparten substitueres med risikovægtning af garantien, skal institutter henvise til risikovægten efter substitutionsvirkningen. Når IRB-metoden anvendes, skal institutter foretage følgende beregning: I forbindelse med eksponeringer (bortset fra eksponeringer, hvor der er fastlagt specifikke risikovægte i lovgivningen), der tilhører hver låntagerrisikogruppe, beregnes risikovægten ved at dividere den risikovægtede eksponering, der beregnes ved hjælp af risikovægtningsformlen eller tilsynsformlen (for henholdsvis kreditrisiko- og </w:t>
      </w:r>
      <w:proofErr w:type="spellStart"/>
      <w:r w:rsidRPr="003E36FB">
        <w:rPr>
          <w:rFonts w:ascii="Times New Roman" w:hAnsi="Times New Roman"/>
        </w:rPr>
        <w:t>securitiseringseksponeringer</w:t>
      </w:r>
      <w:proofErr w:type="spellEnd"/>
      <w:r w:rsidRPr="003E36FB">
        <w:rPr>
          <w:rFonts w:ascii="Times New Roman" w:hAnsi="Times New Roman"/>
        </w:rPr>
        <w:t>), med eksponeringsværdien efter hensyntagen til de ind- og udgående pengestrømme, der følger af kreditrisikoreduktionsteknikker med substitutionsvirkning for eksponeringen. Når IRB-metoden anvendes, udelukkes eksponeringer, der er klassificeret som misligholdte, fra {020;010} til {090;010} og angives i {100;010}. Når standardmetoden anvendes, udelukkes eksponeringer, der er omfattet af artikel 112, litra j), i CRR, fra {020;020} til {090;020} og angives i {100;020}.</w:t>
      </w:r>
    </w:p>
    <w:p w:rsidR="00FC2664" w:rsidRPr="003E36FB" w:rsidRDefault="00FC2664" w:rsidP="007E2A41">
      <w:pPr>
        <w:pStyle w:val="BodyText1"/>
        <w:spacing w:line="240" w:lineRule="auto"/>
        <w:rPr>
          <w:rFonts w:ascii="Times New Roman" w:hAnsi="Times New Roman"/>
        </w:rPr>
      </w:pPr>
    </w:p>
    <w:p w:rsidR="00F4754B"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lastRenderedPageBreak/>
        <w:t>26.</w:t>
      </w:r>
      <w:r w:rsidRPr="003E36FB">
        <w:tab/>
      </w:r>
      <w:r w:rsidRPr="003E36FB">
        <w:rPr>
          <w:rFonts w:ascii="Times New Roman" w:hAnsi="Times New Roman"/>
        </w:rPr>
        <w:t>Ved begge metoder skal institutter tildele eksponeringer, der er fratrukket den lovpligtige kapital, en risikovægtning på 1 250 %.</w:t>
      </w:r>
    </w:p>
    <w:p w:rsidR="00675587" w:rsidRPr="003E36FB"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3E36FB" w:rsidTr="00FC2664">
        <w:tc>
          <w:tcPr>
            <w:tcW w:w="1418" w:type="dxa"/>
            <w:shd w:val="clear" w:color="auto" w:fill="D9D9D9"/>
          </w:tcPr>
          <w:p w:rsidR="00F4754B" w:rsidRPr="003E36FB" w:rsidRDefault="00F4754B" w:rsidP="00F0756A">
            <w:pPr>
              <w:pStyle w:val="BodyText1"/>
              <w:spacing w:line="240" w:lineRule="auto"/>
              <w:rPr>
                <w:rFonts w:ascii="Times New Roman" w:hAnsi="Times New Roman"/>
                <w:b/>
              </w:rPr>
            </w:pPr>
            <w:r w:rsidRPr="003E36FB">
              <w:rPr>
                <w:rFonts w:ascii="Times New Roman" w:hAnsi="Times New Roman"/>
                <w:b/>
              </w:rPr>
              <w:t xml:space="preserve">Række </w:t>
            </w:r>
          </w:p>
          <w:p w:rsidR="00F4754B" w:rsidRPr="003E36FB"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3E36FB" w:rsidRDefault="00F4754B" w:rsidP="00F0756A">
            <w:pPr>
              <w:pStyle w:val="BodyText1"/>
              <w:spacing w:line="240" w:lineRule="auto"/>
              <w:rPr>
                <w:rFonts w:ascii="Times New Roman" w:hAnsi="Times New Roman"/>
                <w:b/>
                <w:bCs/>
              </w:rPr>
            </w:pPr>
            <w:r w:rsidRPr="003E36FB">
              <w:rPr>
                <w:rFonts w:ascii="Times New Roman" w:hAnsi="Times New Roman"/>
                <w:b/>
              </w:rPr>
              <w:t>Henvisninger til retsakter og instrukser</w:t>
            </w:r>
          </w:p>
          <w:p w:rsidR="00F4754B" w:rsidRPr="003E36FB" w:rsidRDefault="00F4754B" w:rsidP="00F0756A">
            <w:pPr>
              <w:pStyle w:val="BodyText1"/>
              <w:spacing w:line="240" w:lineRule="auto"/>
              <w:rPr>
                <w:rFonts w:ascii="Times New Roman" w:hAnsi="Times New Roman"/>
                <w:b/>
                <w:bCs/>
                <w:u w:val="single"/>
              </w:rPr>
            </w:pPr>
          </w:p>
        </w:tc>
      </w:tr>
      <w:tr w:rsidR="00F4754B" w:rsidRPr="003E36FB" w:rsidTr="00FC2664">
        <w:tc>
          <w:tcPr>
            <w:tcW w:w="1418" w:type="dxa"/>
          </w:tcPr>
          <w:p w:rsidR="00F4754B" w:rsidRPr="003E36FB" w:rsidRDefault="00F4754B" w:rsidP="00F4754B">
            <w:pPr>
              <w:pStyle w:val="BodyText1"/>
              <w:rPr>
                <w:rFonts w:ascii="Times New Roman" w:hAnsi="Times New Roman"/>
                <w:bCs/>
              </w:rPr>
            </w:pPr>
            <w:r w:rsidRPr="003E36FB">
              <w:rPr>
                <w:rFonts w:ascii="Times New Roman" w:hAnsi="Times New Roman"/>
              </w:rPr>
              <w:t>010</w:t>
            </w:r>
          </w:p>
          <w:p w:rsidR="00F4754B" w:rsidRPr="003E36FB" w:rsidRDefault="00F4754B" w:rsidP="00F4754B">
            <w:pPr>
              <w:pStyle w:val="BodyText1"/>
              <w:rPr>
                <w:rFonts w:ascii="Times New Roman" w:hAnsi="Times New Roman"/>
                <w:bCs/>
              </w:rPr>
            </w:pPr>
          </w:p>
        </w:tc>
        <w:tc>
          <w:tcPr>
            <w:tcW w:w="7620" w:type="dxa"/>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Samlede balanceførte og ikkebalanceførte eksponeringer uden for handelsbeholdningen samt eksponeringer i handelsbeholdningen, der er genstand for modpartsrisiko (opdelt efter risikovægt):</w:t>
            </w:r>
          </w:p>
          <w:p w:rsidR="00F4754B" w:rsidRPr="003E36FB" w:rsidRDefault="00F4754B" w:rsidP="007E2A41">
            <w:pPr>
              <w:pStyle w:val="BodyText1"/>
              <w:spacing w:line="240" w:lineRule="auto"/>
              <w:rPr>
                <w:rFonts w:ascii="Times New Roman" w:hAnsi="Times New Roman"/>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{020:*} til {100;*}.</w:t>
            </w:r>
          </w:p>
          <w:p w:rsidR="002509B1" w:rsidRPr="003E36FB" w:rsidRDefault="002509B1" w:rsidP="007E2A41">
            <w:pPr>
              <w:pStyle w:val="BodyText1"/>
              <w:spacing w:line="240" w:lineRule="auto"/>
              <w:rPr>
                <w:rFonts w:ascii="Times New Roman" w:hAnsi="Times New Roman"/>
                <w:bCs/>
              </w:rPr>
            </w:pPr>
          </w:p>
        </w:tc>
      </w:tr>
      <w:tr w:rsidR="00F4754B" w:rsidRPr="003E36FB" w:rsidTr="00FC2664">
        <w:tc>
          <w:tcPr>
            <w:tcW w:w="1418" w:type="dxa"/>
          </w:tcPr>
          <w:p w:rsidR="00F4754B" w:rsidRPr="003E36FB" w:rsidRDefault="00F4754B" w:rsidP="00F4754B">
            <w:pPr>
              <w:pStyle w:val="BodyText1"/>
              <w:rPr>
                <w:rFonts w:ascii="Times New Roman" w:hAnsi="Times New Roman"/>
                <w:bCs/>
              </w:rPr>
            </w:pPr>
            <w:r w:rsidRPr="003E36FB">
              <w:rPr>
                <w:rFonts w:ascii="Times New Roman" w:hAnsi="Times New Roman"/>
              </w:rPr>
              <w:t>020</w:t>
            </w:r>
          </w:p>
          <w:p w:rsidR="00F4754B" w:rsidRPr="003E36FB" w:rsidRDefault="00F4754B" w:rsidP="00F4754B">
            <w:pPr>
              <w:pStyle w:val="BodyText1"/>
              <w:rPr>
                <w:rFonts w:ascii="Times New Roman" w:hAnsi="Times New Roman"/>
                <w:b/>
                <w:bCs/>
                <w:u w:val="single"/>
              </w:rPr>
            </w:pPr>
          </w:p>
        </w:tc>
        <w:tc>
          <w:tcPr>
            <w:tcW w:w="7620" w:type="dxa"/>
          </w:tcPr>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b/>
              </w:rPr>
              <w:t>= 0 %</w:t>
            </w:r>
          </w:p>
          <w:p w:rsidR="00F4754B" w:rsidRPr="003E36FB" w:rsidRDefault="00F4754B" w:rsidP="007E2A41">
            <w:pPr>
              <w:pStyle w:val="BodyText1"/>
              <w:spacing w:line="240" w:lineRule="auto"/>
              <w:rPr>
                <w:rFonts w:ascii="Times New Roman" w:hAnsi="Times New Roman"/>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Eksponeringer med en risikovægt på 0 %.</w:t>
            </w:r>
          </w:p>
          <w:p w:rsidR="002509B1" w:rsidRPr="003E36FB" w:rsidRDefault="002509B1" w:rsidP="007E2A41">
            <w:pPr>
              <w:pStyle w:val="BodyText1"/>
              <w:spacing w:line="240" w:lineRule="auto"/>
              <w:rPr>
                <w:rFonts w:ascii="Times New Roman" w:hAnsi="Times New Roman"/>
                <w:bCs/>
              </w:rPr>
            </w:pPr>
          </w:p>
        </w:tc>
      </w:tr>
      <w:tr w:rsidR="00F4754B" w:rsidRPr="003E36FB" w:rsidTr="00FC2664">
        <w:tc>
          <w:tcPr>
            <w:tcW w:w="1418" w:type="dxa"/>
          </w:tcPr>
          <w:p w:rsidR="00F4754B" w:rsidRPr="003E36FB" w:rsidRDefault="00F4754B" w:rsidP="00F4754B">
            <w:pPr>
              <w:pStyle w:val="BodyText1"/>
              <w:rPr>
                <w:rFonts w:ascii="Times New Roman" w:hAnsi="Times New Roman"/>
                <w:bCs/>
              </w:rPr>
            </w:pPr>
            <w:r w:rsidRPr="003E36FB">
              <w:rPr>
                <w:rFonts w:ascii="Times New Roman" w:hAnsi="Times New Roman"/>
              </w:rPr>
              <w:t>030</w:t>
            </w:r>
          </w:p>
        </w:tc>
        <w:tc>
          <w:tcPr>
            <w:tcW w:w="7620" w:type="dxa"/>
          </w:tcPr>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b/>
              </w:rPr>
              <w:t>&gt; 0 % og ≤ 12 %</w:t>
            </w:r>
          </w:p>
          <w:p w:rsidR="00F4754B" w:rsidRPr="003E36FB" w:rsidRDefault="00F4754B" w:rsidP="007E2A41">
            <w:pPr>
              <w:pStyle w:val="BodyText1"/>
              <w:spacing w:line="240" w:lineRule="auto"/>
              <w:rPr>
                <w:rFonts w:ascii="Times New Roman" w:hAnsi="Times New Roman"/>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Eksponeringer med en risikovægt inden for et risikovægtinterval, der konkret er større end 0 % og mindre end eller lig med 12 %.</w:t>
            </w:r>
          </w:p>
          <w:p w:rsidR="002509B1" w:rsidRPr="003E36FB" w:rsidRDefault="002509B1" w:rsidP="007E2A41">
            <w:pPr>
              <w:pStyle w:val="BodyText1"/>
              <w:spacing w:line="240" w:lineRule="auto"/>
              <w:rPr>
                <w:rFonts w:ascii="Times New Roman" w:hAnsi="Times New Roman"/>
              </w:rPr>
            </w:pPr>
          </w:p>
        </w:tc>
      </w:tr>
      <w:tr w:rsidR="00F4754B" w:rsidRPr="003E36FB" w:rsidTr="00FC2664">
        <w:tc>
          <w:tcPr>
            <w:tcW w:w="1418" w:type="dxa"/>
            <w:tcBorders>
              <w:bottom w:val="single" w:sz="4" w:space="0" w:color="auto"/>
            </w:tcBorders>
          </w:tcPr>
          <w:p w:rsidR="00F4754B" w:rsidRPr="003E36FB" w:rsidRDefault="00F4754B" w:rsidP="00F4754B">
            <w:pPr>
              <w:pStyle w:val="BodyText1"/>
              <w:rPr>
                <w:rFonts w:ascii="Times New Roman" w:hAnsi="Times New Roman"/>
                <w:bCs/>
              </w:rPr>
            </w:pPr>
            <w:r w:rsidRPr="003E36FB">
              <w:rPr>
                <w:rFonts w:ascii="Times New Roman" w:hAnsi="Times New Roman"/>
              </w:rPr>
              <w:t>040</w:t>
            </w:r>
          </w:p>
        </w:tc>
        <w:tc>
          <w:tcPr>
            <w:tcW w:w="7620" w:type="dxa"/>
            <w:tcBorders>
              <w:bottom w:val="single" w:sz="4" w:space="0" w:color="auto"/>
            </w:tcBorders>
          </w:tcPr>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b/>
              </w:rPr>
              <w:t>&gt; 12 % og ≤ 20 %</w:t>
            </w:r>
          </w:p>
          <w:p w:rsidR="00F4754B" w:rsidRPr="003E36FB" w:rsidRDefault="00F4754B" w:rsidP="007E2A41">
            <w:pPr>
              <w:pStyle w:val="BodyText1"/>
              <w:spacing w:line="240" w:lineRule="auto"/>
              <w:rPr>
                <w:rFonts w:ascii="Times New Roman" w:hAnsi="Times New Roman"/>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Eksponeringer med en risikovægt inden for et risikovægtinterval, der konkret er større end 12 % og mindre end eller lig med 20 %. </w:t>
            </w:r>
          </w:p>
          <w:p w:rsidR="002509B1" w:rsidRPr="003E36FB" w:rsidRDefault="002509B1" w:rsidP="007E2A41">
            <w:pPr>
              <w:pStyle w:val="BodyText1"/>
              <w:spacing w:line="240" w:lineRule="auto"/>
              <w:rPr>
                <w:rFonts w:ascii="Times New Roman" w:hAnsi="Times New Roman"/>
                <w:bCs/>
              </w:rPr>
            </w:pPr>
          </w:p>
        </w:tc>
      </w:tr>
      <w:tr w:rsidR="00F4754B" w:rsidRPr="003E36FB" w:rsidTr="00FC2664">
        <w:tc>
          <w:tcPr>
            <w:tcW w:w="1418" w:type="dxa"/>
          </w:tcPr>
          <w:p w:rsidR="00F4754B" w:rsidRPr="003E36FB" w:rsidRDefault="00F4754B" w:rsidP="00F4754B">
            <w:pPr>
              <w:pStyle w:val="BodyText1"/>
              <w:rPr>
                <w:rFonts w:ascii="Times New Roman" w:hAnsi="Times New Roman"/>
                <w:bCs/>
              </w:rPr>
            </w:pPr>
            <w:r w:rsidRPr="003E36FB">
              <w:rPr>
                <w:rFonts w:ascii="Times New Roman" w:hAnsi="Times New Roman"/>
              </w:rPr>
              <w:t>050</w:t>
            </w:r>
          </w:p>
        </w:tc>
        <w:tc>
          <w:tcPr>
            <w:tcW w:w="7620" w:type="dxa"/>
          </w:tcPr>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b/>
              </w:rPr>
              <w:t>&gt; 20 % og ≤ 50 %</w:t>
            </w:r>
          </w:p>
          <w:p w:rsidR="00F4754B" w:rsidRPr="003E36FB" w:rsidRDefault="00F4754B" w:rsidP="007E2A41">
            <w:pPr>
              <w:pStyle w:val="BodyText1"/>
              <w:spacing w:line="240" w:lineRule="auto"/>
              <w:rPr>
                <w:rFonts w:ascii="Times New Roman" w:hAnsi="Times New Roman"/>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Eksponeringer med en risikovægt inden for et risikovægtinterval, der konkret er større end 20 % og mindre end eller lig med 50 %.</w:t>
            </w:r>
          </w:p>
          <w:p w:rsidR="002509B1" w:rsidRPr="003E36FB" w:rsidRDefault="002509B1" w:rsidP="007E2A41">
            <w:pPr>
              <w:pStyle w:val="BodyText1"/>
              <w:spacing w:line="240" w:lineRule="auto"/>
              <w:rPr>
                <w:rFonts w:ascii="Times New Roman" w:hAnsi="Times New Roman"/>
                <w:bCs/>
              </w:rPr>
            </w:pPr>
          </w:p>
        </w:tc>
      </w:tr>
      <w:tr w:rsidR="00F4754B" w:rsidRPr="003E36FB" w:rsidTr="00FC2664">
        <w:tc>
          <w:tcPr>
            <w:tcW w:w="1418" w:type="dxa"/>
          </w:tcPr>
          <w:p w:rsidR="00F4754B" w:rsidRPr="003E36FB" w:rsidRDefault="00F4754B" w:rsidP="00F4754B">
            <w:pPr>
              <w:pStyle w:val="BodyText1"/>
              <w:rPr>
                <w:rFonts w:ascii="Times New Roman" w:hAnsi="Times New Roman"/>
                <w:bCs/>
              </w:rPr>
            </w:pPr>
            <w:r w:rsidRPr="003E36FB">
              <w:rPr>
                <w:rFonts w:ascii="Times New Roman" w:hAnsi="Times New Roman"/>
              </w:rPr>
              <w:t>060</w:t>
            </w:r>
          </w:p>
          <w:p w:rsidR="00F4754B" w:rsidRPr="003E36FB" w:rsidRDefault="00F4754B" w:rsidP="00F4754B">
            <w:pPr>
              <w:pStyle w:val="BodyText1"/>
              <w:rPr>
                <w:rFonts w:ascii="Times New Roman" w:hAnsi="Times New Roman"/>
                <w:bCs/>
              </w:rPr>
            </w:pPr>
          </w:p>
        </w:tc>
        <w:tc>
          <w:tcPr>
            <w:tcW w:w="7620" w:type="dxa"/>
          </w:tcPr>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b/>
              </w:rPr>
              <w:t>&gt; 50 % og ≤ 75 %</w:t>
            </w: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 </w:t>
            </w: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Eksponeringer med en risikovægt inden for et risikovægtinterval, der konkret er større end 50 % og mindre end eller lig med 75 %.</w:t>
            </w:r>
          </w:p>
          <w:p w:rsidR="002509B1" w:rsidRPr="003E36FB" w:rsidRDefault="002509B1" w:rsidP="007E2A41">
            <w:pPr>
              <w:pStyle w:val="BodyText1"/>
              <w:spacing w:line="240" w:lineRule="auto"/>
              <w:rPr>
                <w:rFonts w:ascii="Times New Roman" w:hAnsi="Times New Roman"/>
                <w:bCs/>
              </w:rPr>
            </w:pPr>
          </w:p>
        </w:tc>
      </w:tr>
      <w:tr w:rsidR="00F4754B" w:rsidRPr="003E36FB" w:rsidTr="00FC2664">
        <w:tc>
          <w:tcPr>
            <w:tcW w:w="1418" w:type="dxa"/>
          </w:tcPr>
          <w:p w:rsidR="00F4754B" w:rsidRPr="003E36FB" w:rsidRDefault="00F4754B" w:rsidP="00F4754B">
            <w:pPr>
              <w:pStyle w:val="BodyText1"/>
              <w:rPr>
                <w:rFonts w:ascii="Times New Roman" w:hAnsi="Times New Roman"/>
                <w:bCs/>
              </w:rPr>
            </w:pPr>
            <w:r w:rsidRPr="003E36FB">
              <w:rPr>
                <w:rFonts w:ascii="Times New Roman" w:hAnsi="Times New Roman"/>
              </w:rPr>
              <w:t>070</w:t>
            </w:r>
          </w:p>
          <w:p w:rsidR="00F4754B" w:rsidRPr="003E36FB" w:rsidRDefault="00F4754B" w:rsidP="00F4754B">
            <w:pPr>
              <w:pStyle w:val="BodyText1"/>
              <w:rPr>
                <w:rFonts w:ascii="Times New Roman" w:hAnsi="Times New Roman"/>
                <w:bCs/>
              </w:rPr>
            </w:pPr>
          </w:p>
        </w:tc>
        <w:tc>
          <w:tcPr>
            <w:tcW w:w="7620" w:type="dxa"/>
          </w:tcPr>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b/>
              </w:rPr>
              <w:t>&gt; 75 % og ≤ 100 %</w:t>
            </w: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 </w:t>
            </w: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Eksponeringer med en risikovægt inden for et risikovægtinterval, der konkret er større end 75 % og mindre end eller lig med 100 %.</w:t>
            </w:r>
          </w:p>
          <w:p w:rsidR="002509B1" w:rsidRPr="003E36FB" w:rsidRDefault="002509B1" w:rsidP="007E2A41">
            <w:pPr>
              <w:pStyle w:val="BodyText1"/>
              <w:spacing w:line="240" w:lineRule="auto"/>
              <w:rPr>
                <w:rFonts w:ascii="Times New Roman" w:hAnsi="Times New Roman"/>
                <w:bCs/>
              </w:rPr>
            </w:pPr>
          </w:p>
        </w:tc>
      </w:tr>
      <w:tr w:rsidR="00F4754B" w:rsidRPr="003E36FB" w:rsidTr="00FC2664">
        <w:tc>
          <w:tcPr>
            <w:tcW w:w="1418" w:type="dxa"/>
          </w:tcPr>
          <w:p w:rsidR="00F4754B" w:rsidRPr="003E36FB" w:rsidRDefault="00F4754B" w:rsidP="00F4754B">
            <w:pPr>
              <w:pStyle w:val="BodyText1"/>
              <w:rPr>
                <w:rFonts w:ascii="Times New Roman" w:hAnsi="Times New Roman"/>
                <w:bCs/>
              </w:rPr>
            </w:pPr>
            <w:r w:rsidRPr="003E36FB">
              <w:rPr>
                <w:rFonts w:ascii="Times New Roman" w:hAnsi="Times New Roman"/>
              </w:rPr>
              <w:t>080</w:t>
            </w:r>
          </w:p>
          <w:p w:rsidR="00F4754B" w:rsidRPr="003E36FB" w:rsidRDefault="00F4754B" w:rsidP="00F4754B">
            <w:pPr>
              <w:pStyle w:val="BodyText1"/>
              <w:rPr>
                <w:rFonts w:ascii="Times New Roman" w:hAnsi="Times New Roman"/>
                <w:bCs/>
              </w:rPr>
            </w:pPr>
          </w:p>
        </w:tc>
        <w:tc>
          <w:tcPr>
            <w:tcW w:w="7620" w:type="dxa"/>
          </w:tcPr>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b/>
              </w:rPr>
              <w:t>&gt; 100 % og ≤ 425 %</w:t>
            </w:r>
          </w:p>
          <w:p w:rsidR="00F4754B" w:rsidRPr="003E36FB" w:rsidRDefault="00F4754B" w:rsidP="007E2A41">
            <w:pPr>
              <w:pStyle w:val="BodyText1"/>
              <w:spacing w:line="240" w:lineRule="auto"/>
              <w:rPr>
                <w:rFonts w:ascii="Times New Roman" w:hAnsi="Times New Roman"/>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Eksponeringer med en risikovægt inden for et risikovægtinterval, der konkret er større end 100 % og mindre end eller lig med 425 %.</w:t>
            </w:r>
          </w:p>
          <w:p w:rsidR="002509B1" w:rsidRPr="003E36FB" w:rsidRDefault="002509B1" w:rsidP="007E2A41">
            <w:pPr>
              <w:pStyle w:val="BodyText1"/>
              <w:spacing w:line="240" w:lineRule="auto"/>
              <w:rPr>
                <w:rFonts w:ascii="Times New Roman" w:hAnsi="Times New Roman"/>
              </w:rPr>
            </w:pPr>
          </w:p>
        </w:tc>
      </w:tr>
      <w:tr w:rsidR="00F4754B" w:rsidRPr="003E36FB" w:rsidTr="00FC2664">
        <w:tc>
          <w:tcPr>
            <w:tcW w:w="1418" w:type="dxa"/>
          </w:tcPr>
          <w:p w:rsidR="00F4754B" w:rsidRPr="003E36FB" w:rsidRDefault="00F4754B" w:rsidP="00F4754B">
            <w:pPr>
              <w:pStyle w:val="BodyText1"/>
              <w:rPr>
                <w:rFonts w:ascii="Times New Roman" w:hAnsi="Times New Roman"/>
                <w:bCs/>
              </w:rPr>
            </w:pPr>
            <w:r w:rsidRPr="003E36FB">
              <w:rPr>
                <w:rFonts w:ascii="Times New Roman" w:hAnsi="Times New Roman"/>
              </w:rPr>
              <w:t>090</w:t>
            </w:r>
          </w:p>
        </w:tc>
        <w:tc>
          <w:tcPr>
            <w:tcW w:w="7620" w:type="dxa"/>
          </w:tcPr>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b/>
              </w:rPr>
              <w:t>&gt; 425 % og ≤ 1 250 %</w:t>
            </w: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 </w:t>
            </w: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Eksponeringer med en risikovægt inden for et risikovægtinterval, der konkret er større end 425 % og mindre end eller lig med 1 250 %.</w:t>
            </w:r>
          </w:p>
          <w:p w:rsidR="002509B1" w:rsidRPr="003E36FB" w:rsidRDefault="002509B1" w:rsidP="007E2A41">
            <w:pPr>
              <w:pStyle w:val="BodyText1"/>
              <w:spacing w:line="240" w:lineRule="auto"/>
              <w:rPr>
                <w:rFonts w:ascii="Times New Roman" w:hAnsi="Times New Roman"/>
              </w:rPr>
            </w:pPr>
          </w:p>
        </w:tc>
      </w:tr>
      <w:tr w:rsidR="00F4754B" w:rsidRPr="003E36FB" w:rsidTr="00FC2664">
        <w:tc>
          <w:tcPr>
            <w:tcW w:w="1418" w:type="dxa"/>
            <w:tcBorders>
              <w:top w:val="single" w:sz="4" w:space="0" w:color="auto"/>
              <w:left w:val="single" w:sz="4" w:space="0" w:color="auto"/>
              <w:bottom w:val="single" w:sz="4" w:space="0" w:color="auto"/>
              <w:right w:val="single" w:sz="4" w:space="0" w:color="auto"/>
            </w:tcBorders>
          </w:tcPr>
          <w:p w:rsidR="00F4754B" w:rsidRPr="003E36FB" w:rsidRDefault="00F4754B" w:rsidP="00F4754B">
            <w:pPr>
              <w:pStyle w:val="BodyText1"/>
              <w:rPr>
                <w:rFonts w:ascii="Times New Roman" w:hAnsi="Times New Roman"/>
                <w:bCs/>
              </w:rPr>
            </w:pPr>
            <w:r w:rsidRPr="003E36FB">
              <w:rPr>
                <w:rFonts w:ascii="Times New Roman" w:hAnsi="Times New Roman"/>
              </w:rPr>
              <w:t>100</w:t>
            </w:r>
          </w:p>
        </w:tc>
        <w:tc>
          <w:tcPr>
            <w:tcW w:w="7620" w:type="dxa"/>
            <w:tcBorders>
              <w:top w:val="single" w:sz="4" w:space="0" w:color="auto"/>
              <w:left w:val="single" w:sz="4" w:space="0" w:color="auto"/>
              <w:bottom w:val="single" w:sz="4" w:space="0" w:color="auto"/>
              <w:right w:val="single" w:sz="4" w:space="0" w:color="auto"/>
            </w:tcBorders>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Eksponeringer ved misligholdelse</w:t>
            </w:r>
          </w:p>
          <w:p w:rsidR="00F4754B" w:rsidRPr="003E36FB" w:rsidRDefault="00F4754B" w:rsidP="007E2A41">
            <w:pPr>
              <w:pStyle w:val="BodyText1"/>
              <w:spacing w:line="240" w:lineRule="auto"/>
              <w:rPr>
                <w:rFonts w:ascii="Times New Roman" w:hAnsi="Times New Roman"/>
                <w:b/>
                <w:bCs/>
                <w:u w:val="single"/>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Ved anvendelse af standardmetoden: eksponeringer, der er omfattet af artikel 112, litra j), i CRR.</w:t>
            </w:r>
          </w:p>
          <w:p w:rsidR="00F4754B" w:rsidRPr="003E36FB" w:rsidRDefault="00F4754B" w:rsidP="007E2A41">
            <w:pPr>
              <w:pStyle w:val="BodyText1"/>
              <w:spacing w:line="240" w:lineRule="auto"/>
              <w:rPr>
                <w:rFonts w:ascii="Times New Roman" w:hAnsi="Times New Roman"/>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Ved anvendelse af IRB-metoden: alle eksponeringer med en sandsynlighed for misligholdelse på 100 %. </w:t>
            </w:r>
          </w:p>
          <w:p w:rsidR="00F4754B" w:rsidRPr="003E36FB" w:rsidRDefault="00F4754B" w:rsidP="007E2A41">
            <w:pPr>
              <w:pStyle w:val="BodyText1"/>
              <w:spacing w:line="240" w:lineRule="auto"/>
              <w:rPr>
                <w:rFonts w:ascii="Times New Roman" w:hAnsi="Times New Roman"/>
                <w:bCs/>
                <w:u w:val="single"/>
              </w:rPr>
            </w:pPr>
          </w:p>
        </w:tc>
      </w:tr>
      <w:tr w:rsidR="00F4754B" w:rsidRPr="003E36FB" w:rsidTr="00FC2664">
        <w:tc>
          <w:tcPr>
            <w:tcW w:w="1418" w:type="dxa"/>
            <w:tcBorders>
              <w:top w:val="single" w:sz="4" w:space="0" w:color="auto"/>
              <w:left w:val="single" w:sz="4" w:space="0" w:color="auto"/>
              <w:bottom w:val="single" w:sz="4" w:space="0" w:color="auto"/>
              <w:right w:val="single" w:sz="4" w:space="0" w:color="auto"/>
            </w:tcBorders>
          </w:tcPr>
          <w:p w:rsidR="00F4754B" w:rsidRPr="003E36FB" w:rsidRDefault="00F4754B" w:rsidP="00F4754B">
            <w:pPr>
              <w:pStyle w:val="BodyText1"/>
              <w:rPr>
                <w:rFonts w:ascii="Times New Roman" w:hAnsi="Times New Roman"/>
                <w:bCs/>
              </w:rPr>
            </w:pPr>
            <w:r w:rsidRPr="003E36FB">
              <w:rPr>
                <w:rFonts w:ascii="Times New Roman" w:hAnsi="Times New Roman"/>
              </w:rPr>
              <w:lastRenderedPageBreak/>
              <w:t>110</w:t>
            </w:r>
          </w:p>
        </w:tc>
        <w:tc>
          <w:tcPr>
            <w:tcW w:w="7620" w:type="dxa"/>
            <w:tcBorders>
              <w:top w:val="single" w:sz="4" w:space="0" w:color="auto"/>
              <w:left w:val="single" w:sz="4" w:space="0" w:color="auto"/>
              <w:bottom w:val="single" w:sz="4" w:space="0" w:color="auto"/>
              <w:right w:val="single" w:sz="4" w:space="0" w:color="auto"/>
            </w:tcBorders>
          </w:tcPr>
          <w:p w:rsidR="00F4754B" w:rsidRPr="003E36FB" w:rsidRDefault="00F0756A" w:rsidP="007E2A41">
            <w:pPr>
              <w:pStyle w:val="BodyText1"/>
              <w:spacing w:line="240" w:lineRule="auto"/>
              <w:rPr>
                <w:rFonts w:ascii="Times New Roman" w:hAnsi="Times New Roman"/>
                <w:b/>
                <w:bCs/>
              </w:rPr>
            </w:pPr>
            <w:r w:rsidRPr="003E36FB">
              <w:rPr>
                <w:rFonts w:ascii="Times New Roman" w:hAnsi="Times New Roman"/>
                <w:b/>
              </w:rPr>
              <w:t>(Memorandumpost) Ikkebalanceførte poster med lav risiko eller ikkebalanceførte poster, der tildeles en konverteringsfaktor på 0 % i henhold til soliditetsgraden</w:t>
            </w:r>
          </w:p>
          <w:p w:rsidR="00F4754B" w:rsidRPr="003E36FB" w:rsidRDefault="00F4754B" w:rsidP="007E2A41">
            <w:pPr>
              <w:pStyle w:val="BodyText1"/>
              <w:spacing w:line="240" w:lineRule="auto"/>
              <w:rPr>
                <w:rFonts w:ascii="Times New Roman" w:hAnsi="Times New Roman"/>
                <w:b/>
                <w:bCs/>
                <w:u w:val="single"/>
              </w:rPr>
            </w:pPr>
          </w:p>
          <w:p w:rsidR="00F4754B" w:rsidRPr="003E36FB" w:rsidRDefault="00F4754B" w:rsidP="007E2A41">
            <w:pPr>
              <w:pStyle w:val="BodyText1"/>
              <w:spacing w:line="240" w:lineRule="auto"/>
              <w:rPr>
                <w:rFonts w:ascii="Times New Roman" w:hAnsi="Times New Roman"/>
              </w:rPr>
            </w:pPr>
            <w:r w:rsidRPr="003E36FB">
              <w:rPr>
                <w:rFonts w:ascii="Times New Roman" w:hAnsi="Times New Roman"/>
              </w:rPr>
              <w:t>Ikkebalanceførte poster med lav risiko, jf. artikel 111 i CRR, og ikkebalanceførte poster, der tildeles en konverteringsfaktor på 0 %, jf. artikel 166 i CRR.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3E36FB" w:rsidRDefault="00F4754B" w:rsidP="00F0756A">
            <w:pPr>
              <w:pStyle w:val="BodyText1"/>
              <w:spacing w:line="240" w:lineRule="auto"/>
              <w:rPr>
                <w:rFonts w:ascii="Times New Roman" w:hAnsi="Times New Roman"/>
                <w:b/>
                <w:bCs/>
              </w:rPr>
            </w:pPr>
            <w:r w:rsidRPr="003E36FB">
              <w:rPr>
                <w:rFonts w:ascii="Times New Roman" w:hAnsi="Times New Roman"/>
                <w:b/>
              </w:rPr>
              <w:t>Kolonne</w:t>
            </w:r>
          </w:p>
          <w:p w:rsidR="00F0756A" w:rsidRPr="003E36FB"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3E36FB" w:rsidRDefault="00F4754B" w:rsidP="00F0756A">
            <w:pPr>
              <w:pStyle w:val="BodyText1"/>
              <w:spacing w:line="240" w:lineRule="auto"/>
              <w:rPr>
                <w:rFonts w:ascii="Times New Roman" w:hAnsi="Times New Roman"/>
                <w:b/>
                <w:bCs/>
              </w:rPr>
            </w:pPr>
            <w:r w:rsidRPr="003E36FB">
              <w:rPr>
                <w:rFonts w:ascii="Times New Roman" w:hAnsi="Times New Roman"/>
                <w:b/>
              </w:rPr>
              <w:t>Henvisninger til retsakter og instrukser</w:t>
            </w:r>
          </w:p>
          <w:p w:rsidR="002509B1" w:rsidRPr="003E36FB" w:rsidRDefault="002509B1" w:rsidP="00BE6AC4">
            <w:pPr>
              <w:pStyle w:val="BodyText1"/>
              <w:spacing w:line="240" w:lineRule="auto"/>
              <w:rPr>
                <w:rFonts w:ascii="Times New Roman" w:hAnsi="Times New Roman"/>
                <w:b/>
                <w:bCs/>
              </w:rPr>
            </w:pPr>
          </w:p>
        </w:tc>
      </w:tr>
      <w:tr w:rsidR="00F4754B" w:rsidRPr="003E36FB" w:rsidTr="00FC2664">
        <w:tc>
          <w:tcPr>
            <w:tcW w:w="1418" w:type="dxa"/>
            <w:tcBorders>
              <w:top w:val="single" w:sz="4" w:space="0" w:color="auto"/>
              <w:left w:val="single" w:sz="4" w:space="0" w:color="auto"/>
              <w:bottom w:val="single" w:sz="4" w:space="0" w:color="auto"/>
              <w:right w:val="single" w:sz="4" w:space="0" w:color="auto"/>
            </w:tcBorders>
          </w:tcPr>
          <w:p w:rsidR="00F4754B" w:rsidRPr="003E36FB" w:rsidRDefault="00513244" w:rsidP="00F4754B">
            <w:pPr>
              <w:pStyle w:val="BodyText1"/>
              <w:rPr>
                <w:rFonts w:ascii="Times New Roman" w:hAnsi="Times New Roman"/>
                <w:bCs/>
              </w:rPr>
            </w:pPr>
            <w:r w:rsidRPr="003E36FB">
              <w:rPr>
                <w:rFonts w:ascii="Times New Roman" w:hAnsi="Times New Roman"/>
              </w:rPr>
              <w:t>010</w:t>
            </w:r>
          </w:p>
        </w:tc>
        <w:tc>
          <w:tcPr>
            <w:tcW w:w="7620" w:type="dxa"/>
            <w:tcBorders>
              <w:top w:val="single" w:sz="4" w:space="0" w:color="auto"/>
              <w:left w:val="single" w:sz="4" w:space="0" w:color="auto"/>
              <w:bottom w:val="single" w:sz="4" w:space="0" w:color="auto"/>
              <w:right w:val="single" w:sz="4" w:space="0" w:color="auto"/>
            </w:tcBorders>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Balanceførte og ikkebalanceførte eksponeringer (standardmetoden)</w:t>
            </w:r>
          </w:p>
          <w:p w:rsidR="00F4754B" w:rsidRPr="003E36FB" w:rsidRDefault="00F4754B"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rPr>
            </w:pPr>
            <w:r w:rsidRPr="003E36FB">
              <w:rPr>
                <w:rFonts w:ascii="Times New Roman" w:hAnsi="Times New Roman"/>
              </w:rPr>
              <w:t xml:space="preserve">Balanceførte og ikkebalanceførte eksponeringsværdier efter hensyntagen til værdijusteringer, alle foranstaltninger til kreditrisikoreduktion og kreditkonverteringsfaktorer opgjort i henhold til tredje del, afsnit II, kapitel 2, i CRR. </w:t>
            </w:r>
          </w:p>
          <w:p w:rsidR="002509B1" w:rsidRPr="003E36FB" w:rsidRDefault="002509B1" w:rsidP="007E2A41">
            <w:pPr>
              <w:pStyle w:val="BodyText1"/>
              <w:spacing w:line="240" w:lineRule="auto"/>
              <w:rPr>
                <w:rFonts w:ascii="Times New Roman" w:hAnsi="Times New Roman"/>
              </w:rPr>
            </w:pPr>
          </w:p>
        </w:tc>
      </w:tr>
      <w:tr w:rsidR="00F4754B" w:rsidRPr="003E36FB" w:rsidTr="00FC2664">
        <w:tc>
          <w:tcPr>
            <w:tcW w:w="1418" w:type="dxa"/>
            <w:tcBorders>
              <w:top w:val="single" w:sz="4" w:space="0" w:color="auto"/>
              <w:left w:val="single" w:sz="4" w:space="0" w:color="auto"/>
              <w:bottom w:val="single" w:sz="4" w:space="0" w:color="auto"/>
              <w:right w:val="single" w:sz="4" w:space="0" w:color="auto"/>
            </w:tcBorders>
          </w:tcPr>
          <w:p w:rsidR="00F4754B" w:rsidRPr="003E36FB" w:rsidRDefault="00513244" w:rsidP="00F4754B">
            <w:pPr>
              <w:pStyle w:val="BodyText1"/>
              <w:rPr>
                <w:rFonts w:ascii="Times New Roman" w:hAnsi="Times New Roman"/>
                <w:bCs/>
              </w:rPr>
            </w:pPr>
            <w:r w:rsidRPr="003E36FB">
              <w:rPr>
                <w:rFonts w:ascii="Times New Roman" w:hAnsi="Times New Roman"/>
              </w:rPr>
              <w:t>020</w:t>
            </w:r>
          </w:p>
        </w:tc>
        <w:tc>
          <w:tcPr>
            <w:tcW w:w="7620" w:type="dxa"/>
            <w:tcBorders>
              <w:top w:val="single" w:sz="4" w:space="0" w:color="auto"/>
              <w:left w:val="single" w:sz="4" w:space="0" w:color="auto"/>
              <w:bottom w:val="single" w:sz="4" w:space="0" w:color="auto"/>
              <w:right w:val="single" w:sz="4" w:space="0" w:color="auto"/>
            </w:tcBorders>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Balanceførte og ikkebalanceførte eksponeringer (IRB-metoden)</w:t>
            </w:r>
          </w:p>
          <w:p w:rsidR="00F4754B" w:rsidRPr="003E36FB" w:rsidRDefault="00F4754B" w:rsidP="007E2A41">
            <w:pPr>
              <w:pStyle w:val="BodyText1"/>
              <w:spacing w:line="240" w:lineRule="auto"/>
              <w:rPr>
                <w:rFonts w:ascii="Times New Roman" w:hAnsi="Times New Roman"/>
              </w:rPr>
            </w:pPr>
          </w:p>
          <w:p w:rsidR="00F4754B" w:rsidRPr="003E36FB" w:rsidRDefault="00F4754B" w:rsidP="007E2A41">
            <w:pPr>
              <w:pStyle w:val="BodyText1"/>
              <w:spacing w:line="240" w:lineRule="auto"/>
              <w:rPr>
                <w:rFonts w:ascii="Times New Roman" w:hAnsi="Times New Roman"/>
              </w:rPr>
            </w:pPr>
            <w:r w:rsidRPr="003E36FB">
              <w:rPr>
                <w:rFonts w:ascii="Times New Roman" w:hAnsi="Times New Roman"/>
              </w:rPr>
              <w:t>Balanceførte og ikkebalanceførte eksponeringer, jf. artikel 166 og artikel 230, stk. 1, andet afsnit, første punktum, i CRR, efter hensyntagen til de ind- og udgående pengestrømme, der følger af kreditrisikoreduktionsteknikker med substitutionsvirkning for eksponeringen.</w:t>
            </w:r>
          </w:p>
          <w:p w:rsidR="00F4754B" w:rsidRPr="003E36FB" w:rsidRDefault="00F4754B" w:rsidP="007E2A41">
            <w:pPr>
              <w:pStyle w:val="BodyText1"/>
              <w:spacing w:line="240" w:lineRule="auto"/>
              <w:rPr>
                <w:rFonts w:ascii="Times New Roman" w:hAnsi="Times New Roman"/>
              </w:rPr>
            </w:pPr>
          </w:p>
          <w:p w:rsidR="00F4754B" w:rsidRPr="003E36FB" w:rsidRDefault="00F4754B" w:rsidP="007E2A41">
            <w:pPr>
              <w:pStyle w:val="BodyText1"/>
              <w:spacing w:line="240" w:lineRule="auto"/>
              <w:rPr>
                <w:rFonts w:ascii="Times New Roman" w:hAnsi="Times New Roman"/>
              </w:rPr>
            </w:pPr>
            <w:r w:rsidRPr="003E36FB">
              <w:rPr>
                <w:rFonts w:ascii="Times New Roman" w:hAnsi="Times New Roman"/>
              </w:rPr>
              <w:t>I forbindelse med ikkebalanceførte poster skal institutter anvende de konverteringsfaktorer, der er defineret i artikel 166, stk. 8-10, i CRR.</w:t>
            </w:r>
          </w:p>
          <w:p w:rsidR="002509B1" w:rsidRPr="003E36FB" w:rsidRDefault="002509B1" w:rsidP="007E2A41">
            <w:pPr>
              <w:pStyle w:val="BodyText1"/>
              <w:spacing w:line="240" w:lineRule="auto"/>
              <w:rPr>
                <w:rFonts w:ascii="Times New Roman" w:hAnsi="Times New Roman"/>
                <w:b/>
                <w:bCs/>
              </w:rPr>
            </w:pPr>
          </w:p>
        </w:tc>
      </w:tr>
      <w:tr w:rsidR="00F4754B" w:rsidRPr="003E36FB" w:rsidTr="00FC2664">
        <w:tc>
          <w:tcPr>
            <w:tcW w:w="1418" w:type="dxa"/>
            <w:tcBorders>
              <w:top w:val="single" w:sz="4" w:space="0" w:color="auto"/>
              <w:left w:val="single" w:sz="4" w:space="0" w:color="auto"/>
              <w:bottom w:val="single" w:sz="4" w:space="0" w:color="auto"/>
              <w:right w:val="single" w:sz="4" w:space="0" w:color="auto"/>
            </w:tcBorders>
          </w:tcPr>
          <w:p w:rsidR="00F4754B" w:rsidRPr="003E36FB" w:rsidRDefault="00513244" w:rsidP="00F4754B">
            <w:pPr>
              <w:pStyle w:val="BodyText1"/>
              <w:rPr>
                <w:rFonts w:ascii="Times New Roman" w:hAnsi="Times New Roman"/>
                <w:bCs/>
              </w:rPr>
            </w:pPr>
            <w:r w:rsidRPr="003E36FB">
              <w:rPr>
                <w:rFonts w:ascii="Times New Roman" w:hAnsi="Times New Roman"/>
              </w:rPr>
              <w:t>030</w:t>
            </w:r>
          </w:p>
        </w:tc>
        <w:tc>
          <w:tcPr>
            <w:tcW w:w="7620" w:type="dxa"/>
            <w:tcBorders>
              <w:top w:val="single" w:sz="4" w:space="0" w:color="auto"/>
              <w:left w:val="single" w:sz="4" w:space="0" w:color="auto"/>
              <w:bottom w:val="single" w:sz="4" w:space="0" w:color="auto"/>
              <w:right w:val="single" w:sz="4" w:space="0" w:color="auto"/>
            </w:tcBorders>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Nominel værdi</w:t>
            </w:r>
          </w:p>
          <w:p w:rsidR="00F4754B" w:rsidRPr="003E36FB" w:rsidRDefault="00F4754B"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af ikkebalanceførte poster som defineret i artikel 111 og 166 i CRR uden anvendelse af konverteringsfaktorer. </w:t>
            </w:r>
          </w:p>
          <w:p w:rsidR="002509B1" w:rsidRPr="003E36FB" w:rsidRDefault="002509B1" w:rsidP="007E2A41">
            <w:pPr>
              <w:pStyle w:val="BodyText1"/>
              <w:spacing w:line="240" w:lineRule="auto"/>
              <w:rPr>
                <w:rFonts w:ascii="Times New Roman" w:hAnsi="Times New Roman"/>
                <w:bCs/>
              </w:rPr>
            </w:pPr>
          </w:p>
        </w:tc>
      </w:tr>
    </w:tbl>
    <w:p w:rsidR="00F4754B" w:rsidRPr="003E36FB" w:rsidRDefault="00F4754B" w:rsidP="00F4754B">
      <w:pPr>
        <w:pStyle w:val="BodyText1"/>
        <w:rPr>
          <w:rFonts w:ascii="Times New Roman" w:hAnsi="Times New Roman"/>
        </w:rPr>
      </w:pPr>
    </w:p>
    <w:p w:rsidR="00217D1F" w:rsidRPr="003E36FB" w:rsidRDefault="00500508" w:rsidP="00500508">
      <w:pPr>
        <w:pStyle w:val="BodyText1"/>
        <w:ind w:left="357" w:hanging="357"/>
        <w:outlineLvl w:val="1"/>
        <w:rPr>
          <w:rFonts w:ascii="Times New Roman" w:hAnsi="Times New Roman"/>
          <w:b/>
        </w:rPr>
      </w:pPr>
      <w:bookmarkStart w:id="71" w:name="_Toc338669922"/>
      <w:bookmarkStart w:id="72" w:name="_Toc338669923"/>
      <w:bookmarkStart w:id="73" w:name="_Toc338669924"/>
      <w:bookmarkStart w:id="74" w:name="_Toc338669925"/>
      <w:bookmarkStart w:id="75" w:name="_Toc338669926"/>
      <w:bookmarkStart w:id="76" w:name="_Toc338669927"/>
      <w:bookmarkStart w:id="77" w:name="_Toc338669928"/>
      <w:bookmarkStart w:id="78" w:name="_Toc351048509"/>
      <w:bookmarkStart w:id="79" w:name="_Toc359414288"/>
      <w:bookmarkStart w:id="80" w:name="_Toc423089073"/>
      <w:bookmarkStart w:id="81" w:name="_Toc523918779"/>
      <w:bookmarkStart w:id="82" w:name="_Toc322687894"/>
      <w:bookmarkEnd w:id="63"/>
      <w:bookmarkEnd w:id="71"/>
      <w:bookmarkEnd w:id="72"/>
      <w:bookmarkEnd w:id="73"/>
      <w:bookmarkEnd w:id="74"/>
      <w:bookmarkEnd w:id="75"/>
      <w:bookmarkEnd w:id="76"/>
      <w:bookmarkEnd w:id="77"/>
      <w:r w:rsidRPr="003E36FB">
        <w:rPr>
          <w:rFonts w:ascii="Times New Roman" w:hAnsi="Times New Roman"/>
          <w:b/>
        </w:rPr>
        <w:t>7.</w:t>
      </w:r>
      <w:r w:rsidRPr="003E36FB">
        <w:tab/>
      </w:r>
      <w:r w:rsidRPr="003E36FB">
        <w:rPr>
          <w:rFonts w:ascii="Times New Roman" w:hAnsi="Times New Roman"/>
          <w:b/>
        </w:rPr>
        <w:t>C 42.00 — Alternativ definition af kapital (LR3)</w:t>
      </w:r>
      <w:bookmarkEnd w:id="78"/>
      <w:bookmarkEnd w:id="79"/>
      <w:bookmarkEnd w:id="80"/>
      <w:bookmarkEnd w:id="81"/>
      <w:r w:rsidRPr="003E36FB">
        <w:rPr>
          <w:rFonts w:ascii="Times New Roman" w:hAnsi="Times New Roman"/>
          <w:b/>
        </w:rPr>
        <w:t xml:space="preserve"> </w:t>
      </w:r>
      <w:bookmarkEnd w:id="82"/>
    </w:p>
    <w:p w:rsidR="00675587" w:rsidRPr="003E36FB" w:rsidRDefault="00675587" w:rsidP="00675587">
      <w:pPr>
        <w:pStyle w:val="BodyText1"/>
        <w:ind w:left="720"/>
        <w:rPr>
          <w:rFonts w:ascii="Times New Roman" w:hAnsi="Times New Roman"/>
        </w:rPr>
      </w:pPr>
    </w:p>
    <w:p w:rsidR="00675587"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27.</w:t>
      </w:r>
      <w:r w:rsidRPr="003E36FB">
        <w:tab/>
      </w:r>
      <w:r w:rsidRPr="003E36FB">
        <w:rPr>
          <w:rFonts w:ascii="Times New Roman" w:hAnsi="Times New Roman"/>
        </w:rPr>
        <w:t>I skema LR3 gives der oplysninger om de kapitalmål, der skal bruges til den gennemgang, der er omhandlet i artikel 511 i CRR.</w:t>
      </w:r>
    </w:p>
    <w:p w:rsidR="00F4754B" w:rsidRPr="003E36FB" w:rsidRDefault="00F4754B" w:rsidP="007E2A41">
      <w:pPr>
        <w:pStyle w:val="BodyText1"/>
        <w:spacing w:line="240" w:lineRule="auto"/>
        <w:ind w:left="720"/>
        <w:rPr>
          <w:rFonts w:ascii="Times New Roman" w:hAnsi="Times New Roman"/>
        </w:rPr>
      </w:pPr>
      <w:r w:rsidRPr="003E36FB">
        <w:rPr>
          <w:rFonts w:ascii="Times New Roman" w:hAnsi="Times New Roman"/>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3E36FB" w:rsidTr="00FC2664">
        <w:tc>
          <w:tcPr>
            <w:tcW w:w="1418" w:type="dxa"/>
            <w:shd w:val="clear" w:color="auto" w:fill="D9D9D9"/>
          </w:tcPr>
          <w:p w:rsidR="00F4754B" w:rsidRPr="003E36FB" w:rsidRDefault="00F4754B" w:rsidP="00F4754B">
            <w:pPr>
              <w:pStyle w:val="BodyText1"/>
              <w:rPr>
                <w:rFonts w:ascii="Times New Roman" w:hAnsi="Times New Roman"/>
                <w:b/>
              </w:rPr>
            </w:pPr>
            <w:r w:rsidRPr="003E36FB">
              <w:rPr>
                <w:rFonts w:ascii="Times New Roman" w:hAnsi="Times New Roman"/>
                <w:b/>
              </w:rPr>
              <w:t xml:space="preserve">Række </w:t>
            </w:r>
          </w:p>
          <w:p w:rsidR="00F4754B" w:rsidRPr="003E36FB" w:rsidRDefault="00F4754B" w:rsidP="00F4754B">
            <w:pPr>
              <w:pStyle w:val="BodyText1"/>
              <w:rPr>
                <w:rFonts w:ascii="Times New Roman" w:hAnsi="Times New Roman"/>
                <w:b/>
                <w:bCs/>
                <w:u w:val="single"/>
              </w:rPr>
            </w:pPr>
            <w:r w:rsidRPr="003E36FB">
              <w:rPr>
                <w:rFonts w:ascii="Times New Roman" w:hAnsi="Times New Roman"/>
                <w:b/>
              </w:rPr>
              <w:t>og kolonne</w:t>
            </w:r>
          </w:p>
        </w:tc>
        <w:tc>
          <w:tcPr>
            <w:tcW w:w="7620" w:type="dxa"/>
            <w:shd w:val="clear" w:color="auto" w:fill="D9D9D9"/>
          </w:tcPr>
          <w:p w:rsidR="00F4754B" w:rsidRPr="003E36FB" w:rsidRDefault="00F4754B" w:rsidP="00F4754B">
            <w:pPr>
              <w:pStyle w:val="BodyText1"/>
              <w:rPr>
                <w:rFonts w:ascii="Times New Roman" w:hAnsi="Times New Roman"/>
                <w:b/>
                <w:bCs/>
                <w:u w:val="single"/>
              </w:rPr>
            </w:pPr>
            <w:r w:rsidRPr="003E36FB">
              <w:rPr>
                <w:rFonts w:ascii="Times New Roman" w:hAnsi="Times New Roman"/>
                <w:b/>
              </w:rPr>
              <w:t>Henvisninger til retsakter og instrukser</w:t>
            </w:r>
          </w:p>
        </w:tc>
      </w:tr>
      <w:tr w:rsidR="00F4754B" w:rsidRPr="003E36FB" w:rsidTr="00FC2664">
        <w:trPr>
          <w:trHeight w:val="1561"/>
        </w:trPr>
        <w:tc>
          <w:tcPr>
            <w:tcW w:w="1418" w:type="dxa"/>
          </w:tcPr>
          <w:p w:rsidR="00F4754B" w:rsidRPr="003E36FB" w:rsidRDefault="00F4754B" w:rsidP="00F4754B">
            <w:pPr>
              <w:pStyle w:val="BodyText1"/>
              <w:rPr>
                <w:rFonts w:ascii="Times New Roman" w:hAnsi="Times New Roman"/>
                <w:bCs/>
              </w:rPr>
            </w:pPr>
            <w:r w:rsidRPr="003E36FB">
              <w:rPr>
                <w:rFonts w:ascii="Times New Roman" w:hAnsi="Times New Roman"/>
              </w:rPr>
              <w:t>{010;010}</w:t>
            </w:r>
          </w:p>
        </w:tc>
        <w:tc>
          <w:tcPr>
            <w:tcW w:w="7620" w:type="dxa"/>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Egentlig kernekapital – Definition efter fuld indfasning </w:t>
            </w:r>
          </w:p>
          <w:p w:rsidR="00F4754B" w:rsidRPr="003E36FB" w:rsidRDefault="00F4754B"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Artikel 50 i CRR</w:t>
            </w:r>
          </w:p>
          <w:p w:rsidR="00F4754B" w:rsidRPr="003E36FB" w:rsidRDefault="00F4754B" w:rsidP="007E2A41">
            <w:pPr>
              <w:pStyle w:val="BodyText1"/>
              <w:spacing w:line="240" w:lineRule="auto"/>
              <w:rPr>
                <w:rFonts w:ascii="Times New Roman" w:hAnsi="Times New Roman"/>
              </w:rPr>
            </w:pPr>
          </w:p>
          <w:p w:rsidR="00F4754B" w:rsidRPr="003E36FB" w:rsidRDefault="00F4754B" w:rsidP="007A0E3A">
            <w:pPr>
              <w:pStyle w:val="BodyText1"/>
              <w:spacing w:line="240" w:lineRule="auto"/>
              <w:rPr>
                <w:rFonts w:ascii="Times New Roman" w:hAnsi="Times New Roman"/>
                <w:bCs/>
                <w:i/>
              </w:rPr>
            </w:pPr>
            <w:r w:rsidRPr="003E36FB">
              <w:rPr>
                <w:rFonts w:ascii="Times New Roman" w:hAnsi="Times New Roman"/>
              </w:rPr>
              <w:t>Dette er beløbet for den egentlige kernekapital defineret i artikel 50 i CRR uden hensyntagen til den undtagelse, der er omhandlet i tiende del, kapitel 1 og 2, i CRR.</w:t>
            </w:r>
            <w:r w:rsidRPr="003E36FB">
              <w:rPr>
                <w:rFonts w:ascii="Times New Roman" w:hAnsi="Times New Roman"/>
                <w:b/>
              </w:rPr>
              <w:t xml:space="preserve"> </w:t>
            </w:r>
          </w:p>
        </w:tc>
      </w:tr>
      <w:tr w:rsidR="00F4754B" w:rsidRPr="003E36FB" w:rsidTr="00FC2664">
        <w:trPr>
          <w:trHeight w:val="1561"/>
        </w:trPr>
        <w:tc>
          <w:tcPr>
            <w:tcW w:w="1418" w:type="dxa"/>
          </w:tcPr>
          <w:p w:rsidR="00F4754B" w:rsidRPr="003E36FB" w:rsidRDefault="00F4754B" w:rsidP="00F4754B">
            <w:pPr>
              <w:pStyle w:val="BodyText1"/>
              <w:rPr>
                <w:rFonts w:ascii="Times New Roman" w:hAnsi="Times New Roman"/>
                <w:bCs/>
              </w:rPr>
            </w:pPr>
            <w:r w:rsidRPr="003E36FB">
              <w:rPr>
                <w:rFonts w:ascii="Times New Roman" w:hAnsi="Times New Roman"/>
              </w:rPr>
              <w:t>{020;010}</w:t>
            </w:r>
          </w:p>
        </w:tc>
        <w:tc>
          <w:tcPr>
            <w:tcW w:w="7620" w:type="dxa"/>
          </w:tcPr>
          <w:p w:rsidR="00F4754B" w:rsidRPr="003E36FB" w:rsidRDefault="00F4754B" w:rsidP="007E2A41">
            <w:pPr>
              <w:pStyle w:val="BodyText1"/>
              <w:spacing w:line="240" w:lineRule="auto"/>
              <w:rPr>
                <w:rFonts w:ascii="Times New Roman" w:hAnsi="Times New Roman"/>
                <w:i/>
              </w:rPr>
            </w:pPr>
            <w:r w:rsidRPr="003E36FB">
              <w:rPr>
                <w:rFonts w:ascii="Times New Roman" w:hAnsi="Times New Roman"/>
                <w:b/>
              </w:rPr>
              <w:t>Egentlig kernekapital – Overgangsdefinition</w:t>
            </w:r>
          </w:p>
          <w:p w:rsidR="00F4754B" w:rsidRPr="003E36FB" w:rsidRDefault="00F4754B" w:rsidP="007E2A41">
            <w:pPr>
              <w:pStyle w:val="BodyText1"/>
              <w:spacing w:line="240" w:lineRule="auto"/>
              <w:rPr>
                <w:rFonts w:ascii="Times New Roman" w:hAnsi="Times New Roman"/>
              </w:rPr>
            </w:pPr>
          </w:p>
          <w:p w:rsidR="00F4754B" w:rsidRPr="003E36FB" w:rsidRDefault="00F4754B" w:rsidP="007E2A41">
            <w:pPr>
              <w:pStyle w:val="BodyText1"/>
              <w:spacing w:line="240" w:lineRule="auto"/>
              <w:rPr>
                <w:rFonts w:ascii="Times New Roman" w:hAnsi="Times New Roman"/>
              </w:rPr>
            </w:pPr>
            <w:r w:rsidRPr="003E36FB">
              <w:rPr>
                <w:rFonts w:ascii="Times New Roman" w:hAnsi="Times New Roman"/>
              </w:rPr>
              <w:t>Artikel 50 i CRR</w:t>
            </w:r>
          </w:p>
          <w:p w:rsidR="00F4754B" w:rsidRPr="003E36FB" w:rsidRDefault="00F4754B" w:rsidP="007E2A41">
            <w:pPr>
              <w:pStyle w:val="BodyText1"/>
              <w:spacing w:line="240" w:lineRule="auto"/>
              <w:rPr>
                <w:rFonts w:ascii="Times New Roman" w:hAnsi="Times New Roman"/>
              </w:rPr>
            </w:pPr>
          </w:p>
          <w:p w:rsidR="00F4754B" w:rsidRPr="003E36FB" w:rsidRDefault="00F4754B" w:rsidP="007A0E3A">
            <w:pPr>
              <w:pStyle w:val="BodyText1"/>
              <w:spacing w:line="240" w:lineRule="auto"/>
              <w:rPr>
                <w:rFonts w:ascii="Times New Roman" w:hAnsi="Times New Roman"/>
              </w:rPr>
            </w:pPr>
            <w:r w:rsidRPr="003E36FB">
              <w:rPr>
                <w:rFonts w:ascii="Times New Roman" w:hAnsi="Times New Roman"/>
              </w:rPr>
              <w:t>Dette er beløbet for den egentlige kernekapital defineret i artikel 50 i CRR efter hensyntagen til den undtagelse, der er omhandlet i tiende del, kapitel 1 og 2, i CRR.</w:t>
            </w:r>
          </w:p>
        </w:tc>
      </w:tr>
      <w:tr w:rsidR="00F4754B" w:rsidRPr="003E36FB" w:rsidTr="00FC2664">
        <w:tc>
          <w:tcPr>
            <w:tcW w:w="1418" w:type="dxa"/>
            <w:tcBorders>
              <w:bottom w:val="single" w:sz="4" w:space="0" w:color="auto"/>
            </w:tcBorders>
          </w:tcPr>
          <w:p w:rsidR="00F4754B" w:rsidRPr="003E36FB" w:rsidRDefault="00F4754B" w:rsidP="00F4754B">
            <w:pPr>
              <w:pStyle w:val="BodyText1"/>
              <w:rPr>
                <w:rFonts w:ascii="Times New Roman" w:hAnsi="Times New Roman"/>
                <w:bCs/>
                <w:u w:val="single"/>
              </w:rPr>
            </w:pPr>
            <w:r w:rsidRPr="003E36FB">
              <w:rPr>
                <w:rFonts w:ascii="Times New Roman" w:hAnsi="Times New Roman"/>
              </w:rPr>
              <w:t>{030;010}</w:t>
            </w:r>
          </w:p>
        </w:tc>
        <w:tc>
          <w:tcPr>
            <w:tcW w:w="7620" w:type="dxa"/>
            <w:tcBorders>
              <w:bottom w:val="single" w:sz="4" w:space="0" w:color="auto"/>
            </w:tcBorders>
          </w:tcPr>
          <w:p w:rsidR="00F4754B" w:rsidRPr="003E36FB" w:rsidRDefault="00F4754B" w:rsidP="007E2A41">
            <w:pPr>
              <w:pStyle w:val="BodyText1"/>
              <w:spacing w:line="240" w:lineRule="auto"/>
              <w:rPr>
                <w:rFonts w:ascii="Times New Roman" w:hAnsi="Times New Roman"/>
                <w:i/>
              </w:rPr>
            </w:pPr>
            <w:r w:rsidRPr="003E36FB">
              <w:rPr>
                <w:rFonts w:ascii="Times New Roman" w:hAnsi="Times New Roman"/>
                <w:b/>
              </w:rPr>
              <w:t>Samlet kapitalgrundlag – Definition efter fuld indfasning</w:t>
            </w:r>
          </w:p>
          <w:p w:rsidR="00F4754B" w:rsidRPr="003E36FB" w:rsidRDefault="00F4754B" w:rsidP="007E2A41">
            <w:pPr>
              <w:pStyle w:val="BodyText1"/>
              <w:spacing w:line="240" w:lineRule="auto"/>
              <w:rPr>
                <w:rFonts w:ascii="Times New Roman" w:hAnsi="Times New Roman"/>
                <w:i/>
                <w:u w:val="single"/>
              </w:rPr>
            </w:pPr>
          </w:p>
          <w:p w:rsidR="00F4754B" w:rsidRPr="003E36FB" w:rsidRDefault="00F4754B" w:rsidP="007E2A41">
            <w:pPr>
              <w:pStyle w:val="BodyText1"/>
              <w:spacing w:line="240" w:lineRule="auto"/>
              <w:rPr>
                <w:rFonts w:ascii="Times New Roman" w:hAnsi="Times New Roman"/>
                <w:i/>
              </w:rPr>
            </w:pPr>
            <w:r w:rsidRPr="003E36FB">
              <w:rPr>
                <w:rFonts w:ascii="Times New Roman" w:hAnsi="Times New Roman"/>
              </w:rPr>
              <w:t>Artikel 72 i CRR</w:t>
            </w:r>
          </w:p>
          <w:p w:rsidR="00F4754B" w:rsidRPr="003E36FB" w:rsidRDefault="00F4754B" w:rsidP="007E2A41">
            <w:pPr>
              <w:pStyle w:val="BodyText1"/>
              <w:spacing w:line="240" w:lineRule="auto"/>
              <w:rPr>
                <w:rFonts w:ascii="Times New Roman" w:hAnsi="Times New Roman"/>
                <w:i/>
                <w:u w:val="single"/>
              </w:rPr>
            </w:pPr>
          </w:p>
          <w:p w:rsidR="00F4754B" w:rsidRPr="003E36FB" w:rsidRDefault="00F4754B" w:rsidP="007E2A41">
            <w:pPr>
              <w:pStyle w:val="BodyText1"/>
              <w:spacing w:line="240" w:lineRule="auto"/>
              <w:rPr>
                <w:rFonts w:ascii="Times New Roman" w:hAnsi="Times New Roman"/>
                <w:i/>
              </w:rPr>
            </w:pPr>
            <w:r w:rsidRPr="003E36FB">
              <w:rPr>
                <w:rFonts w:ascii="Times New Roman" w:hAnsi="Times New Roman"/>
              </w:rPr>
              <w:t>Dette er beløbet for kapitalgrundlaget defineret i artikel 72 i CRR uden hensyntagen til den undtagelse, der er omhandlet i tiende del, kapitel 1 og 2, i CRR.</w:t>
            </w:r>
          </w:p>
          <w:p w:rsidR="00F4754B" w:rsidRPr="003E36FB" w:rsidRDefault="00F4754B" w:rsidP="007E2A41">
            <w:pPr>
              <w:pStyle w:val="BodyText1"/>
              <w:spacing w:line="240" w:lineRule="auto"/>
              <w:rPr>
                <w:rFonts w:ascii="Times New Roman" w:hAnsi="Times New Roman"/>
                <w:i/>
                <w:u w:val="single"/>
              </w:rPr>
            </w:pPr>
          </w:p>
        </w:tc>
      </w:tr>
      <w:tr w:rsidR="00F4754B" w:rsidRPr="003E36FB" w:rsidTr="00FC2664">
        <w:tc>
          <w:tcPr>
            <w:tcW w:w="1418" w:type="dxa"/>
            <w:tcBorders>
              <w:bottom w:val="single" w:sz="4" w:space="0" w:color="auto"/>
            </w:tcBorders>
          </w:tcPr>
          <w:p w:rsidR="00F4754B" w:rsidRPr="003E36FB" w:rsidRDefault="00F4754B" w:rsidP="00F4754B">
            <w:pPr>
              <w:pStyle w:val="BodyText1"/>
              <w:rPr>
                <w:rFonts w:ascii="Times New Roman" w:hAnsi="Times New Roman"/>
                <w:bCs/>
              </w:rPr>
            </w:pPr>
            <w:r w:rsidRPr="003E36FB">
              <w:rPr>
                <w:rFonts w:ascii="Times New Roman" w:hAnsi="Times New Roman"/>
              </w:rPr>
              <w:lastRenderedPageBreak/>
              <w:t>{040;010}</w:t>
            </w:r>
          </w:p>
        </w:tc>
        <w:tc>
          <w:tcPr>
            <w:tcW w:w="7620" w:type="dxa"/>
            <w:tcBorders>
              <w:bottom w:val="single" w:sz="4" w:space="0" w:color="auto"/>
            </w:tcBorders>
          </w:tcPr>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b/>
              </w:rPr>
              <w:t>Samlet kapitalgrundlag – Overgangsdefinition</w:t>
            </w:r>
          </w:p>
          <w:p w:rsidR="00F4754B" w:rsidRPr="003E36FB" w:rsidRDefault="00F4754B" w:rsidP="007E2A41">
            <w:pPr>
              <w:pStyle w:val="BodyText1"/>
              <w:spacing w:line="240" w:lineRule="auto"/>
              <w:rPr>
                <w:rFonts w:ascii="Times New Roman" w:hAnsi="Times New Roman"/>
                <w:bCs/>
                <w:u w:val="single"/>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Artikel 72 i CRR</w:t>
            </w:r>
          </w:p>
          <w:p w:rsidR="00F4754B" w:rsidRPr="003E36FB" w:rsidRDefault="00F4754B" w:rsidP="007E2A41">
            <w:pPr>
              <w:pStyle w:val="BodyText1"/>
              <w:spacing w:line="240" w:lineRule="auto"/>
              <w:rPr>
                <w:rFonts w:ascii="Times New Roman" w:hAnsi="Times New Roman"/>
                <w:bCs/>
              </w:rPr>
            </w:pPr>
          </w:p>
          <w:p w:rsidR="00F4754B" w:rsidRPr="003E36FB" w:rsidRDefault="00F4754B" w:rsidP="007E2A41">
            <w:pPr>
              <w:pStyle w:val="BodyText1"/>
              <w:spacing w:line="240" w:lineRule="auto"/>
              <w:rPr>
                <w:rFonts w:ascii="Times New Roman" w:hAnsi="Times New Roman"/>
              </w:rPr>
            </w:pPr>
            <w:r w:rsidRPr="003E36FB">
              <w:rPr>
                <w:rFonts w:ascii="Times New Roman" w:hAnsi="Times New Roman"/>
              </w:rPr>
              <w:t>Dette er beløbet for kapitalgrundlaget defineret i artikel 72 i CRR efter hensyntagen til den undtagelse, der er omhandlet i tiende del, kapitel 1 og 2, i CRR.</w:t>
            </w:r>
          </w:p>
          <w:p w:rsidR="00F4754B" w:rsidRPr="003E36FB" w:rsidRDefault="00F4754B" w:rsidP="007E2A41">
            <w:pPr>
              <w:pStyle w:val="BodyText1"/>
              <w:spacing w:line="240" w:lineRule="auto"/>
              <w:rPr>
                <w:rFonts w:ascii="Times New Roman" w:hAnsi="Times New Roman"/>
                <w:bCs/>
                <w:u w:val="single"/>
              </w:rPr>
            </w:pPr>
          </w:p>
        </w:tc>
      </w:tr>
      <w:tr w:rsidR="00F4754B" w:rsidRPr="003E36FB" w:rsidTr="00FC2664">
        <w:tc>
          <w:tcPr>
            <w:tcW w:w="1418" w:type="dxa"/>
          </w:tcPr>
          <w:p w:rsidR="00F4754B" w:rsidRPr="003E36FB" w:rsidRDefault="00F4754B" w:rsidP="00F70A83">
            <w:pPr>
              <w:pStyle w:val="BodyText1"/>
              <w:rPr>
                <w:rFonts w:ascii="Times New Roman" w:hAnsi="Times New Roman"/>
                <w:bCs/>
              </w:rPr>
            </w:pPr>
            <w:r w:rsidRPr="003E36FB">
              <w:rPr>
                <w:rFonts w:ascii="Times New Roman" w:hAnsi="Times New Roman"/>
              </w:rPr>
              <w:t>{055;010}</w:t>
            </w:r>
          </w:p>
        </w:tc>
        <w:tc>
          <w:tcPr>
            <w:tcW w:w="7620" w:type="dxa"/>
          </w:tcPr>
          <w:p w:rsidR="00F4754B" w:rsidRPr="003E36FB" w:rsidRDefault="00E818E9" w:rsidP="007E2A41">
            <w:pPr>
              <w:pStyle w:val="BodyText1"/>
              <w:spacing w:line="240" w:lineRule="auto"/>
              <w:rPr>
                <w:rFonts w:ascii="Times New Roman" w:hAnsi="Times New Roman"/>
                <w:b/>
                <w:bCs/>
              </w:rPr>
            </w:pPr>
            <w:r w:rsidRPr="003E36FB">
              <w:rPr>
                <w:rFonts w:ascii="Times New Roman" w:hAnsi="Times New Roman"/>
                <w:b/>
              </w:rPr>
              <w:t>Fratrukket aktivbeløb - fra egentlige kernekapitalposter - Definition efter fuld indfasning</w:t>
            </w:r>
          </w:p>
          <w:p w:rsidR="00F4754B" w:rsidRPr="003E36FB" w:rsidRDefault="00F4754B" w:rsidP="007E2A41">
            <w:pPr>
              <w:pStyle w:val="BodyText1"/>
              <w:spacing w:line="240" w:lineRule="auto"/>
              <w:rPr>
                <w:rFonts w:ascii="Times New Roman" w:hAnsi="Times New Roman"/>
                <w:bCs/>
                <w:u w:val="single"/>
              </w:rPr>
            </w:pPr>
          </w:p>
          <w:p w:rsidR="00C81710" w:rsidRPr="003E36FB" w:rsidRDefault="00F4754B" w:rsidP="007E2A41">
            <w:pPr>
              <w:pStyle w:val="BodyText1"/>
              <w:spacing w:line="240" w:lineRule="auto"/>
              <w:rPr>
                <w:rFonts w:ascii="Times New Roman" w:hAnsi="Times New Roman"/>
                <w:bCs/>
              </w:rPr>
            </w:pPr>
            <w:r w:rsidRPr="003E36FB">
              <w:rPr>
                <w:rFonts w:ascii="Times New Roman" w:hAnsi="Times New Roman"/>
              </w:rPr>
              <w:t>Dette omfatter lovpligtige justeringer af egentlige kernekapitalposter, der justerer værdien af et aktiv og kræves i henhold til:</w:t>
            </w:r>
          </w:p>
          <w:p w:rsidR="00C81710" w:rsidRPr="003E36FB" w:rsidRDefault="00500508" w:rsidP="00500508">
            <w:pPr>
              <w:pStyle w:val="BodyText1"/>
              <w:spacing w:line="240" w:lineRule="auto"/>
              <w:ind w:left="720" w:hanging="360"/>
              <w:rPr>
                <w:rFonts w:ascii="Times New Roman" w:hAnsi="Times New Roman"/>
                <w:b/>
                <w:bCs/>
              </w:rPr>
            </w:pPr>
            <w:r w:rsidRPr="003E36FB">
              <w:rPr>
                <w:rFonts w:ascii="Times New Roman" w:hAnsi="Times New Roman"/>
              </w:rPr>
              <w:t>-</w:t>
            </w:r>
            <w:r w:rsidRPr="003E36FB">
              <w:tab/>
            </w:r>
            <w:r w:rsidRPr="003E36FB">
              <w:rPr>
                <w:rFonts w:ascii="Times New Roman" w:hAnsi="Times New Roman"/>
              </w:rPr>
              <w:t>artikel 32-35 i CRR, eller</w:t>
            </w:r>
          </w:p>
          <w:p w:rsidR="00C81710" w:rsidRPr="003E36FB" w:rsidRDefault="00500508" w:rsidP="00500508">
            <w:pPr>
              <w:pStyle w:val="BodyText1"/>
              <w:spacing w:line="240" w:lineRule="auto"/>
              <w:ind w:left="720" w:hanging="360"/>
              <w:rPr>
                <w:rFonts w:ascii="Times New Roman" w:hAnsi="Times New Roman"/>
                <w:b/>
                <w:bCs/>
              </w:rPr>
            </w:pPr>
            <w:r w:rsidRPr="003E36FB">
              <w:rPr>
                <w:rFonts w:ascii="Times New Roman" w:hAnsi="Times New Roman"/>
              </w:rPr>
              <w:t>-</w:t>
            </w:r>
            <w:r w:rsidRPr="003E36FB">
              <w:tab/>
            </w:r>
            <w:r w:rsidRPr="003E36FB">
              <w:rPr>
                <w:rFonts w:ascii="Times New Roman" w:hAnsi="Times New Roman"/>
              </w:rPr>
              <w:t>artikel 36-47 i CRR,</w:t>
            </w:r>
          </w:p>
          <w:p w:rsidR="007A0E3A" w:rsidRPr="003E36FB" w:rsidRDefault="007A0E3A" w:rsidP="006914A2">
            <w:pPr>
              <w:pStyle w:val="BodyText1"/>
              <w:spacing w:line="240" w:lineRule="auto"/>
              <w:rPr>
                <w:rFonts w:ascii="Times New Roman" w:hAnsi="Times New Roman"/>
                <w:b/>
                <w:bCs/>
              </w:rPr>
            </w:pPr>
            <w:r w:rsidRPr="003E36FB">
              <w:rPr>
                <w:rFonts w:ascii="Times New Roman" w:hAnsi="Times New Roman"/>
              </w:rPr>
              <w:t>hvis det er relevant.</w:t>
            </w:r>
          </w:p>
          <w:p w:rsidR="00C81710" w:rsidRPr="003E36FB" w:rsidRDefault="00C81710" w:rsidP="005556DC">
            <w:pPr>
              <w:pStyle w:val="BodyText1"/>
              <w:spacing w:line="240" w:lineRule="auto"/>
              <w:rPr>
                <w:rFonts w:ascii="Times New Roman" w:hAnsi="Times New Roman"/>
                <w:bCs/>
              </w:rPr>
            </w:pPr>
          </w:p>
          <w:p w:rsidR="00F4754B" w:rsidRPr="003E36FB" w:rsidRDefault="00C81710" w:rsidP="00422C76">
            <w:pPr>
              <w:pStyle w:val="BodyText1"/>
              <w:spacing w:line="240" w:lineRule="auto"/>
              <w:rPr>
                <w:rFonts w:ascii="Times New Roman" w:hAnsi="Times New Roman"/>
                <w:b/>
                <w:bCs/>
              </w:rPr>
            </w:pPr>
            <w:r w:rsidRPr="003E36FB">
              <w:rPr>
                <w:rFonts w:ascii="Times New Roman" w:hAnsi="Times New Roman"/>
              </w:rPr>
              <w:t>Institutter skal tage hensyn til de undtagelser, alternativer og fravigelser fra sådanne fradrag, der er omhandlet i artikel 48, 49 og 79 i CRR, men skal ikke tage hensyn til undtagelsesbestemmelserne i tiende del, kapitel 1 og 2, i CRR. For at undgå dobbelttælling skal institutter hverken indberette justeringer, der allerede er anvendt i henhold til artikel 111 i CRR ved beregning af eksponeringsværdien i {LRCalc;10;10} til {LRCalc;260;10}, eller eventuelle justeringer, der ikke indebærer fradrag af værdien af et bestemt aktiv.</w:t>
            </w:r>
            <w:r w:rsidRPr="003E36FB">
              <w:rPr>
                <w:rFonts w:ascii="Times New Roman" w:hAnsi="Times New Roman"/>
                <w:b/>
              </w:rPr>
              <w:t xml:space="preserve"> </w:t>
            </w:r>
          </w:p>
          <w:p w:rsidR="00C81710" w:rsidRPr="003E36FB" w:rsidRDefault="00C81710" w:rsidP="007E2A41">
            <w:pPr>
              <w:pStyle w:val="BodyText1"/>
              <w:spacing w:line="240" w:lineRule="auto"/>
              <w:rPr>
                <w:rFonts w:ascii="Times New Roman" w:hAnsi="Times New Roman"/>
                <w:b/>
                <w:bCs/>
              </w:rPr>
            </w:pPr>
          </w:p>
          <w:p w:rsidR="00C81710" w:rsidRPr="003E36FB" w:rsidRDefault="00C81710" w:rsidP="00C81710">
            <w:pPr>
              <w:pStyle w:val="BodyText1"/>
              <w:spacing w:line="240" w:lineRule="auto"/>
              <w:rPr>
                <w:rFonts w:ascii="Times New Roman" w:hAnsi="Times New Roman"/>
                <w:bCs/>
              </w:rPr>
            </w:pPr>
            <w:r w:rsidRPr="003E36FB">
              <w:rPr>
                <w:rFonts w:ascii="Times New Roman" w:hAnsi="Times New Roman"/>
              </w:rPr>
              <w:t xml:space="preserve">Da disse justeringer reducerer det samlede kapitalgrundlag, indberettes de som et negativt tal. </w:t>
            </w:r>
          </w:p>
          <w:p w:rsidR="00F4754B" w:rsidRPr="003E36FB" w:rsidRDefault="00F4754B" w:rsidP="007E2A41">
            <w:pPr>
              <w:pStyle w:val="BodyText1"/>
              <w:spacing w:line="240" w:lineRule="auto"/>
              <w:rPr>
                <w:rFonts w:ascii="Times New Roman" w:hAnsi="Times New Roman"/>
                <w:bCs/>
              </w:rPr>
            </w:pPr>
          </w:p>
        </w:tc>
      </w:tr>
      <w:tr w:rsidR="00F4754B" w:rsidRPr="003E36FB" w:rsidTr="00FC2664">
        <w:tc>
          <w:tcPr>
            <w:tcW w:w="1418" w:type="dxa"/>
          </w:tcPr>
          <w:p w:rsidR="00F4754B" w:rsidRPr="003E36FB" w:rsidRDefault="00F4754B" w:rsidP="00F70A83">
            <w:pPr>
              <w:pStyle w:val="BodyText1"/>
              <w:rPr>
                <w:rFonts w:ascii="Times New Roman" w:hAnsi="Times New Roman"/>
                <w:bCs/>
              </w:rPr>
            </w:pPr>
            <w:r w:rsidRPr="003E36FB">
              <w:rPr>
                <w:rFonts w:ascii="Times New Roman" w:hAnsi="Times New Roman"/>
              </w:rPr>
              <w:t>{065;010}</w:t>
            </w:r>
          </w:p>
        </w:tc>
        <w:tc>
          <w:tcPr>
            <w:tcW w:w="7620" w:type="dxa"/>
          </w:tcPr>
          <w:p w:rsidR="00F4754B" w:rsidRPr="003E36FB" w:rsidRDefault="00E818E9" w:rsidP="007E2A41">
            <w:pPr>
              <w:pStyle w:val="BodyText1"/>
              <w:spacing w:line="240" w:lineRule="auto"/>
              <w:rPr>
                <w:rFonts w:ascii="Times New Roman" w:hAnsi="Times New Roman"/>
                <w:bCs/>
              </w:rPr>
            </w:pPr>
            <w:r w:rsidRPr="003E36FB">
              <w:rPr>
                <w:rFonts w:ascii="Times New Roman" w:hAnsi="Times New Roman"/>
                <w:b/>
              </w:rPr>
              <w:t>Fratrukket aktivbeløb - fra egentlige kernekapitalposter - Overgangsdefinition</w:t>
            </w:r>
          </w:p>
          <w:p w:rsidR="00F4754B" w:rsidRPr="003E36FB" w:rsidRDefault="00F4754B" w:rsidP="007E2A41">
            <w:pPr>
              <w:pStyle w:val="BodyText1"/>
              <w:spacing w:line="240" w:lineRule="auto"/>
              <w:rPr>
                <w:rFonts w:ascii="Times New Roman" w:hAnsi="Times New Roman"/>
                <w:bCs/>
              </w:rPr>
            </w:pPr>
          </w:p>
          <w:p w:rsidR="00C81710" w:rsidRPr="003E36FB" w:rsidRDefault="00C81710" w:rsidP="00C81710">
            <w:pPr>
              <w:pStyle w:val="BodyText1"/>
              <w:spacing w:line="240" w:lineRule="auto"/>
              <w:rPr>
                <w:rFonts w:ascii="Times New Roman" w:hAnsi="Times New Roman"/>
                <w:bCs/>
              </w:rPr>
            </w:pPr>
            <w:r w:rsidRPr="003E36FB">
              <w:rPr>
                <w:rFonts w:ascii="Times New Roman" w:hAnsi="Times New Roman"/>
              </w:rPr>
              <w:t>Dette omfatter lovpligtige justeringer af egentlige kernekapitalposter, der justerer værdien af et aktiv og kræves i henhold til:</w:t>
            </w:r>
          </w:p>
          <w:p w:rsidR="00C81710" w:rsidRPr="003E36FB" w:rsidRDefault="00500508" w:rsidP="00500508">
            <w:pPr>
              <w:pStyle w:val="BodyText1"/>
              <w:spacing w:line="240" w:lineRule="auto"/>
              <w:ind w:left="720" w:hanging="360"/>
              <w:rPr>
                <w:rFonts w:ascii="Times New Roman" w:hAnsi="Times New Roman"/>
                <w:b/>
                <w:bCs/>
              </w:rPr>
            </w:pPr>
            <w:r w:rsidRPr="003E36FB">
              <w:rPr>
                <w:rFonts w:ascii="Times New Roman" w:hAnsi="Times New Roman"/>
              </w:rPr>
              <w:t>-</w:t>
            </w:r>
            <w:r w:rsidRPr="003E36FB">
              <w:tab/>
            </w:r>
            <w:r w:rsidRPr="003E36FB">
              <w:rPr>
                <w:rFonts w:ascii="Times New Roman" w:hAnsi="Times New Roman"/>
              </w:rPr>
              <w:t>artikel 32-35 i CRR, eller</w:t>
            </w:r>
          </w:p>
          <w:p w:rsidR="00C81710" w:rsidRPr="003E36FB" w:rsidRDefault="00500508" w:rsidP="00500508">
            <w:pPr>
              <w:pStyle w:val="BodyText1"/>
              <w:spacing w:line="240" w:lineRule="auto"/>
              <w:ind w:left="720" w:hanging="360"/>
              <w:rPr>
                <w:rFonts w:ascii="Times New Roman" w:hAnsi="Times New Roman"/>
                <w:b/>
                <w:bCs/>
              </w:rPr>
            </w:pPr>
            <w:r w:rsidRPr="003E36FB">
              <w:rPr>
                <w:rFonts w:ascii="Times New Roman" w:hAnsi="Times New Roman"/>
              </w:rPr>
              <w:t>-</w:t>
            </w:r>
            <w:r w:rsidRPr="003E36FB">
              <w:tab/>
            </w:r>
            <w:r w:rsidRPr="003E36FB">
              <w:rPr>
                <w:rFonts w:ascii="Times New Roman" w:hAnsi="Times New Roman"/>
              </w:rPr>
              <w:t>artikel 36-47 i CRR,</w:t>
            </w:r>
          </w:p>
          <w:p w:rsidR="007A0E3A" w:rsidRPr="003E36FB" w:rsidRDefault="007A0E3A" w:rsidP="006914A2">
            <w:pPr>
              <w:pStyle w:val="BodyText1"/>
              <w:spacing w:line="240" w:lineRule="auto"/>
              <w:rPr>
                <w:rFonts w:ascii="Times New Roman" w:hAnsi="Times New Roman"/>
                <w:b/>
                <w:bCs/>
              </w:rPr>
            </w:pPr>
            <w:r w:rsidRPr="003E36FB">
              <w:rPr>
                <w:rFonts w:ascii="Times New Roman" w:hAnsi="Times New Roman"/>
              </w:rPr>
              <w:t>alt efter det enkelte tilfælde.</w:t>
            </w:r>
          </w:p>
          <w:p w:rsidR="00C81710" w:rsidRPr="003E36FB" w:rsidRDefault="00C81710" w:rsidP="007E2A41">
            <w:pPr>
              <w:pStyle w:val="BodyText1"/>
              <w:spacing w:line="240" w:lineRule="auto"/>
              <w:rPr>
                <w:rFonts w:ascii="Times New Roman" w:hAnsi="Times New Roman"/>
                <w:bCs/>
              </w:rPr>
            </w:pPr>
          </w:p>
          <w:p w:rsidR="00C81710" w:rsidRPr="003E36FB" w:rsidRDefault="00C81710" w:rsidP="00C81710">
            <w:pPr>
              <w:pStyle w:val="BodyText1"/>
              <w:spacing w:line="240" w:lineRule="auto"/>
              <w:rPr>
                <w:rFonts w:ascii="Times New Roman" w:hAnsi="Times New Roman"/>
                <w:b/>
                <w:bCs/>
              </w:rPr>
            </w:pPr>
            <w:r w:rsidRPr="003E36FB">
              <w:rPr>
                <w:rFonts w:ascii="Times New Roman" w:hAnsi="Times New Roman"/>
              </w:rPr>
              <w:t>Institutter skal tage hensyn til de undtagelser, alternativer og fravigelser fra sådanne fradrag, der er omhandlet i artikel 48, 49 og 79 i CRR, men skal også tage hensyn til undtagelsesbestemmelserne i tiende del, kapitel 1 og 2, i CRR. For at undgå dobbelttælling skal institutter hverken indberette justeringer, der allerede er anvendt i henhold til artikel 111 i CRR ved beregning af eksponeringsværdien i {LRCalc;10;10} til {LRCalc;260;10}, eller eventuelle justeringer, der ikke indebærer fradrag af værdien af et bestemt aktiv.</w:t>
            </w:r>
            <w:r w:rsidRPr="003E36FB">
              <w:rPr>
                <w:rFonts w:ascii="Times New Roman" w:hAnsi="Times New Roman"/>
                <w:b/>
              </w:rPr>
              <w:t xml:space="preserve"> </w:t>
            </w:r>
          </w:p>
          <w:p w:rsidR="00C81710" w:rsidRPr="003E36FB" w:rsidRDefault="00C81710" w:rsidP="00C81710">
            <w:pPr>
              <w:pStyle w:val="BodyText1"/>
              <w:spacing w:line="240" w:lineRule="auto"/>
              <w:rPr>
                <w:rFonts w:ascii="Times New Roman" w:hAnsi="Times New Roman"/>
                <w:b/>
                <w:bCs/>
              </w:rPr>
            </w:pPr>
          </w:p>
          <w:p w:rsidR="00C81710" w:rsidRPr="003E36FB" w:rsidRDefault="00C81710" w:rsidP="007E2A41">
            <w:pPr>
              <w:pStyle w:val="BodyText1"/>
              <w:spacing w:line="240" w:lineRule="auto"/>
              <w:rPr>
                <w:rFonts w:ascii="Times New Roman" w:hAnsi="Times New Roman"/>
                <w:bCs/>
                <w:u w:val="single"/>
              </w:rPr>
            </w:pPr>
            <w:r w:rsidRPr="003E36FB">
              <w:rPr>
                <w:rFonts w:ascii="Times New Roman" w:hAnsi="Times New Roman"/>
              </w:rPr>
              <w:t>Da disse justeringer reducerer det samlede kapitalgrundlag, indberettes de som et negativt tal.</w:t>
            </w:r>
          </w:p>
        </w:tc>
      </w:tr>
      <w:tr w:rsidR="00F4754B" w:rsidRPr="003E36FB" w:rsidTr="00FC2664">
        <w:tc>
          <w:tcPr>
            <w:tcW w:w="1418" w:type="dxa"/>
          </w:tcPr>
          <w:p w:rsidR="00F4754B" w:rsidRPr="003E36FB" w:rsidRDefault="00F4754B" w:rsidP="00F70A83">
            <w:pPr>
              <w:pStyle w:val="BodyText1"/>
              <w:rPr>
                <w:rFonts w:ascii="Times New Roman" w:hAnsi="Times New Roman"/>
                <w:bCs/>
              </w:rPr>
            </w:pPr>
            <w:r w:rsidRPr="003E36FB">
              <w:rPr>
                <w:rFonts w:ascii="Times New Roman" w:hAnsi="Times New Roman"/>
              </w:rPr>
              <w:t>{075;010}</w:t>
            </w:r>
          </w:p>
        </w:tc>
        <w:tc>
          <w:tcPr>
            <w:tcW w:w="7620" w:type="dxa"/>
          </w:tcPr>
          <w:p w:rsidR="00F4754B" w:rsidRPr="003E36FB" w:rsidRDefault="00E818E9" w:rsidP="007E2A41">
            <w:pPr>
              <w:pStyle w:val="BodyText1"/>
              <w:spacing w:line="240" w:lineRule="auto"/>
              <w:rPr>
                <w:rFonts w:ascii="Times New Roman" w:hAnsi="Times New Roman"/>
                <w:b/>
                <w:bCs/>
              </w:rPr>
            </w:pPr>
            <w:r w:rsidRPr="003E36FB">
              <w:rPr>
                <w:rFonts w:ascii="Times New Roman" w:hAnsi="Times New Roman"/>
                <w:b/>
              </w:rPr>
              <w:t>Fratrukket aktivbeløb - fra kapitalgrundlagsposter - Definition efter fuld indfasning</w:t>
            </w:r>
          </w:p>
          <w:p w:rsidR="00F4754B" w:rsidRPr="003E36FB" w:rsidRDefault="00F4754B" w:rsidP="007E2A41">
            <w:pPr>
              <w:pStyle w:val="BodyText1"/>
              <w:spacing w:line="240" w:lineRule="auto"/>
              <w:rPr>
                <w:rFonts w:ascii="Times New Roman" w:hAnsi="Times New Roman"/>
                <w:bCs/>
              </w:rPr>
            </w:pPr>
          </w:p>
          <w:p w:rsidR="00C81710" w:rsidRPr="003E36FB" w:rsidRDefault="00C81710" w:rsidP="00C81710">
            <w:pPr>
              <w:pStyle w:val="BodyText1"/>
              <w:spacing w:line="240" w:lineRule="auto"/>
              <w:rPr>
                <w:rFonts w:ascii="Times New Roman" w:hAnsi="Times New Roman"/>
                <w:bCs/>
              </w:rPr>
            </w:pPr>
            <w:r w:rsidRPr="003E36FB">
              <w:rPr>
                <w:rFonts w:ascii="Times New Roman" w:hAnsi="Times New Roman"/>
              </w:rPr>
              <w:t>Dette omfatter lovpligtige justeringer af kapitalgrundlagsposter, der justerer værdien af et aktiv og kræves i henhold til:</w:t>
            </w:r>
          </w:p>
          <w:p w:rsidR="00C81710" w:rsidRPr="003E36FB" w:rsidRDefault="00500508" w:rsidP="00500508">
            <w:pPr>
              <w:pStyle w:val="BodyText1"/>
              <w:spacing w:line="240" w:lineRule="auto"/>
              <w:ind w:left="720" w:hanging="360"/>
              <w:rPr>
                <w:rFonts w:ascii="Times New Roman" w:hAnsi="Times New Roman"/>
                <w:b/>
                <w:bCs/>
              </w:rPr>
            </w:pPr>
            <w:r w:rsidRPr="003E36FB">
              <w:rPr>
                <w:rFonts w:ascii="Times New Roman" w:hAnsi="Times New Roman"/>
              </w:rPr>
              <w:t>-</w:t>
            </w:r>
            <w:r w:rsidRPr="003E36FB">
              <w:tab/>
            </w:r>
            <w:r w:rsidRPr="003E36FB">
              <w:rPr>
                <w:rFonts w:ascii="Times New Roman" w:hAnsi="Times New Roman"/>
              </w:rPr>
              <w:t>artikel 32-35 i CRR, eller</w:t>
            </w:r>
          </w:p>
          <w:p w:rsidR="00C81710" w:rsidRPr="003E36FB" w:rsidRDefault="00500508" w:rsidP="00500508">
            <w:pPr>
              <w:pStyle w:val="BodyText1"/>
              <w:spacing w:line="240" w:lineRule="auto"/>
              <w:ind w:left="720" w:hanging="360"/>
              <w:rPr>
                <w:rFonts w:ascii="Times New Roman" w:hAnsi="Times New Roman"/>
                <w:b/>
                <w:bCs/>
              </w:rPr>
            </w:pPr>
            <w:r w:rsidRPr="003E36FB">
              <w:rPr>
                <w:rFonts w:ascii="Times New Roman" w:hAnsi="Times New Roman"/>
              </w:rPr>
              <w:t>-</w:t>
            </w:r>
            <w:r w:rsidRPr="003E36FB">
              <w:tab/>
            </w:r>
            <w:r w:rsidRPr="003E36FB">
              <w:rPr>
                <w:rFonts w:ascii="Times New Roman" w:hAnsi="Times New Roman"/>
              </w:rPr>
              <w:t>artikel 36-47 i CRR, eller</w:t>
            </w:r>
          </w:p>
          <w:p w:rsidR="00C81710" w:rsidRPr="003E36FB" w:rsidRDefault="00500508" w:rsidP="00500508">
            <w:pPr>
              <w:pStyle w:val="BodyText1"/>
              <w:spacing w:line="240" w:lineRule="auto"/>
              <w:ind w:left="720" w:hanging="360"/>
              <w:rPr>
                <w:rFonts w:ascii="Times New Roman" w:hAnsi="Times New Roman"/>
                <w:b/>
                <w:bCs/>
              </w:rPr>
            </w:pPr>
            <w:r w:rsidRPr="003E36FB">
              <w:rPr>
                <w:rFonts w:ascii="Times New Roman" w:hAnsi="Times New Roman"/>
              </w:rPr>
              <w:t>-</w:t>
            </w:r>
            <w:r w:rsidRPr="003E36FB">
              <w:tab/>
            </w:r>
            <w:r w:rsidRPr="003E36FB">
              <w:rPr>
                <w:rFonts w:ascii="Times New Roman" w:hAnsi="Times New Roman"/>
              </w:rPr>
              <w:t>artikel 56-60 i CRR, eller</w:t>
            </w:r>
          </w:p>
          <w:p w:rsidR="00C81710" w:rsidRPr="003E36FB" w:rsidRDefault="00500508" w:rsidP="00500508">
            <w:pPr>
              <w:pStyle w:val="BodyText1"/>
              <w:spacing w:line="240" w:lineRule="auto"/>
              <w:ind w:left="720" w:hanging="360"/>
              <w:rPr>
                <w:rFonts w:ascii="Times New Roman" w:hAnsi="Times New Roman"/>
                <w:b/>
                <w:bCs/>
              </w:rPr>
            </w:pPr>
            <w:r w:rsidRPr="003E36FB">
              <w:rPr>
                <w:rFonts w:ascii="Times New Roman" w:hAnsi="Times New Roman"/>
              </w:rPr>
              <w:t>-</w:t>
            </w:r>
            <w:r w:rsidRPr="003E36FB">
              <w:tab/>
            </w:r>
            <w:r w:rsidRPr="003E36FB">
              <w:rPr>
                <w:rFonts w:ascii="Times New Roman" w:hAnsi="Times New Roman"/>
              </w:rPr>
              <w:t>artikel 66-70 i CRR,</w:t>
            </w:r>
          </w:p>
          <w:p w:rsidR="007A0E3A" w:rsidRPr="003E36FB" w:rsidRDefault="007A0E3A" w:rsidP="00877186">
            <w:pPr>
              <w:pStyle w:val="BodyText1"/>
              <w:spacing w:line="240" w:lineRule="auto"/>
              <w:rPr>
                <w:rFonts w:ascii="Times New Roman" w:hAnsi="Times New Roman"/>
                <w:b/>
                <w:bCs/>
              </w:rPr>
            </w:pPr>
            <w:r w:rsidRPr="003E36FB">
              <w:rPr>
                <w:rFonts w:ascii="Times New Roman" w:hAnsi="Times New Roman"/>
              </w:rPr>
              <w:t>alt efter det enkelte tilfælde.</w:t>
            </w:r>
          </w:p>
          <w:p w:rsidR="00C81710" w:rsidRPr="003E36FB" w:rsidRDefault="00C81710" w:rsidP="00C81710">
            <w:pPr>
              <w:pStyle w:val="BodyText1"/>
              <w:spacing w:line="240" w:lineRule="auto"/>
              <w:rPr>
                <w:rFonts w:ascii="Times New Roman" w:hAnsi="Times New Roman"/>
                <w:bCs/>
              </w:rPr>
            </w:pPr>
          </w:p>
          <w:p w:rsidR="00C81710" w:rsidRPr="003E36FB" w:rsidRDefault="00C81710" w:rsidP="00C81710">
            <w:pPr>
              <w:pStyle w:val="BodyText1"/>
              <w:spacing w:line="240" w:lineRule="auto"/>
              <w:rPr>
                <w:rFonts w:ascii="Times New Roman" w:hAnsi="Times New Roman"/>
                <w:b/>
                <w:bCs/>
              </w:rPr>
            </w:pPr>
            <w:r w:rsidRPr="003E36FB">
              <w:rPr>
                <w:rFonts w:ascii="Times New Roman" w:hAnsi="Times New Roman"/>
              </w:rPr>
              <w:t>Institutter skal tage hensyn til de undtagelser, alternativer og fravigelser fra sådanne fradrag, der er omhandlet i artikel 48, 49 og 79 i CRR, men skal ikke tage hensyn til undtagelsesbestemmelserne i tiende del, kapitel 1 og 2, i CRR. For at undgå dobbelttælling skal institutter hverken indberette justeringer, der allerede er anvendt i henhold til artikel 111 i CRR ved beregning af eksponeringsværdien i {LRCalc;10;10} til {LRCalc;260;10}, eller eventuelle justeringer, der ikke indebærer fradrag af værdien af et bestemt aktiv.</w:t>
            </w:r>
            <w:r w:rsidRPr="003E36FB">
              <w:rPr>
                <w:rFonts w:ascii="Times New Roman" w:hAnsi="Times New Roman"/>
                <w:b/>
              </w:rPr>
              <w:t xml:space="preserve"> </w:t>
            </w:r>
          </w:p>
          <w:p w:rsidR="00C81710" w:rsidRPr="003E36FB" w:rsidRDefault="00C81710" w:rsidP="00C81710">
            <w:pPr>
              <w:pStyle w:val="BodyText1"/>
              <w:spacing w:line="240" w:lineRule="auto"/>
              <w:rPr>
                <w:rFonts w:ascii="Times New Roman" w:hAnsi="Times New Roman"/>
                <w:b/>
                <w:bCs/>
              </w:rPr>
            </w:pPr>
          </w:p>
          <w:p w:rsidR="00C81710" w:rsidRPr="003E36FB" w:rsidRDefault="00C81710" w:rsidP="00C81710">
            <w:pPr>
              <w:pStyle w:val="BodyText1"/>
              <w:spacing w:line="240" w:lineRule="auto"/>
              <w:rPr>
                <w:rFonts w:ascii="Times New Roman" w:hAnsi="Times New Roman"/>
                <w:bCs/>
              </w:rPr>
            </w:pPr>
            <w:r w:rsidRPr="003E36FB">
              <w:rPr>
                <w:rFonts w:ascii="Times New Roman" w:hAnsi="Times New Roman"/>
              </w:rPr>
              <w:t xml:space="preserve">Da disse justeringer reducerer det samlede kapitalgrundlag, indberettes de som et negativt tal. </w:t>
            </w:r>
          </w:p>
          <w:p w:rsidR="00F4754B" w:rsidRPr="003E36FB" w:rsidRDefault="00F4754B" w:rsidP="005556DC">
            <w:pPr>
              <w:pStyle w:val="BodyText1"/>
              <w:spacing w:line="240" w:lineRule="auto"/>
              <w:rPr>
                <w:rFonts w:ascii="Times New Roman" w:hAnsi="Times New Roman"/>
                <w:bCs/>
                <w:u w:val="single"/>
              </w:rPr>
            </w:pPr>
          </w:p>
        </w:tc>
      </w:tr>
      <w:tr w:rsidR="00F4754B" w:rsidRPr="003E36FB" w:rsidTr="00FC2664">
        <w:tc>
          <w:tcPr>
            <w:tcW w:w="1418" w:type="dxa"/>
          </w:tcPr>
          <w:p w:rsidR="00F4754B" w:rsidRPr="003E36FB" w:rsidRDefault="00F4754B" w:rsidP="00F70A83">
            <w:pPr>
              <w:pStyle w:val="BodyText1"/>
              <w:rPr>
                <w:rFonts w:ascii="Times New Roman" w:hAnsi="Times New Roman"/>
                <w:bCs/>
              </w:rPr>
            </w:pPr>
            <w:r w:rsidRPr="003E36FB">
              <w:rPr>
                <w:rFonts w:ascii="Times New Roman" w:hAnsi="Times New Roman"/>
              </w:rPr>
              <w:lastRenderedPageBreak/>
              <w:t>{085,010}</w:t>
            </w:r>
          </w:p>
        </w:tc>
        <w:tc>
          <w:tcPr>
            <w:tcW w:w="7620" w:type="dxa"/>
          </w:tcPr>
          <w:p w:rsidR="00F4754B" w:rsidRPr="003E36FB" w:rsidRDefault="00E818E9" w:rsidP="007E2A41">
            <w:pPr>
              <w:pStyle w:val="BodyText1"/>
              <w:spacing w:line="240" w:lineRule="auto"/>
              <w:rPr>
                <w:rFonts w:ascii="Times New Roman" w:hAnsi="Times New Roman"/>
                <w:bCs/>
              </w:rPr>
            </w:pPr>
            <w:r w:rsidRPr="003E36FB">
              <w:rPr>
                <w:rFonts w:ascii="Times New Roman" w:hAnsi="Times New Roman"/>
                <w:b/>
              </w:rPr>
              <w:t>Fratrukket aktivbeløb - fra kapitalgrundlagsposter - Overgangsdefinition</w:t>
            </w:r>
          </w:p>
          <w:p w:rsidR="00F4754B" w:rsidRPr="003E36FB" w:rsidRDefault="00F4754B" w:rsidP="007E2A41">
            <w:pPr>
              <w:pStyle w:val="BodyText1"/>
              <w:spacing w:line="240" w:lineRule="auto"/>
              <w:rPr>
                <w:rFonts w:ascii="Times New Roman" w:hAnsi="Times New Roman"/>
                <w:bCs/>
              </w:rPr>
            </w:pPr>
          </w:p>
          <w:p w:rsidR="00C81710" w:rsidRPr="003E36FB" w:rsidRDefault="00C81710" w:rsidP="00C81710">
            <w:pPr>
              <w:pStyle w:val="BodyText1"/>
              <w:spacing w:line="240" w:lineRule="auto"/>
              <w:rPr>
                <w:rFonts w:ascii="Times New Roman" w:hAnsi="Times New Roman"/>
                <w:bCs/>
              </w:rPr>
            </w:pPr>
            <w:r w:rsidRPr="003E36FB">
              <w:rPr>
                <w:rFonts w:ascii="Times New Roman" w:hAnsi="Times New Roman"/>
              </w:rPr>
              <w:t>Dette omfatter lovpligtige justeringer af kapitalgrundlagsposter, der justerer værdien af et aktiv og kræves i henhold til:</w:t>
            </w:r>
          </w:p>
          <w:p w:rsidR="00C81710" w:rsidRPr="003E36FB" w:rsidRDefault="00500508" w:rsidP="00500508">
            <w:pPr>
              <w:pStyle w:val="BodyText1"/>
              <w:spacing w:line="240" w:lineRule="auto"/>
              <w:ind w:left="720" w:hanging="360"/>
              <w:rPr>
                <w:rFonts w:ascii="Times New Roman" w:hAnsi="Times New Roman"/>
                <w:b/>
                <w:bCs/>
              </w:rPr>
            </w:pPr>
            <w:r w:rsidRPr="003E36FB">
              <w:rPr>
                <w:rFonts w:ascii="Times New Roman" w:hAnsi="Times New Roman"/>
              </w:rPr>
              <w:t>-</w:t>
            </w:r>
            <w:r w:rsidRPr="003E36FB">
              <w:tab/>
            </w:r>
            <w:r w:rsidRPr="003E36FB">
              <w:rPr>
                <w:rFonts w:ascii="Times New Roman" w:hAnsi="Times New Roman"/>
              </w:rPr>
              <w:t>artikel 32-35 i CRR, eller</w:t>
            </w:r>
          </w:p>
          <w:p w:rsidR="00C81710" w:rsidRPr="003E36FB" w:rsidRDefault="00500508" w:rsidP="00500508">
            <w:pPr>
              <w:pStyle w:val="BodyText1"/>
              <w:spacing w:line="240" w:lineRule="auto"/>
              <w:ind w:left="720" w:hanging="360"/>
              <w:rPr>
                <w:rFonts w:ascii="Times New Roman" w:hAnsi="Times New Roman"/>
                <w:b/>
                <w:bCs/>
              </w:rPr>
            </w:pPr>
            <w:r w:rsidRPr="003E36FB">
              <w:rPr>
                <w:rFonts w:ascii="Times New Roman" w:hAnsi="Times New Roman"/>
              </w:rPr>
              <w:t>-</w:t>
            </w:r>
            <w:r w:rsidRPr="003E36FB">
              <w:tab/>
            </w:r>
            <w:r w:rsidRPr="003E36FB">
              <w:rPr>
                <w:rFonts w:ascii="Times New Roman" w:hAnsi="Times New Roman"/>
              </w:rPr>
              <w:t>artikel 36-47 i CRR, eller</w:t>
            </w:r>
          </w:p>
          <w:p w:rsidR="00C81710" w:rsidRPr="003E36FB" w:rsidRDefault="00500508" w:rsidP="00500508">
            <w:pPr>
              <w:pStyle w:val="BodyText1"/>
              <w:spacing w:line="240" w:lineRule="auto"/>
              <w:ind w:left="720" w:hanging="360"/>
              <w:rPr>
                <w:rFonts w:ascii="Times New Roman" w:hAnsi="Times New Roman"/>
                <w:b/>
                <w:bCs/>
              </w:rPr>
            </w:pPr>
            <w:r w:rsidRPr="003E36FB">
              <w:rPr>
                <w:rFonts w:ascii="Times New Roman" w:hAnsi="Times New Roman"/>
              </w:rPr>
              <w:t>-</w:t>
            </w:r>
            <w:r w:rsidRPr="003E36FB">
              <w:tab/>
            </w:r>
            <w:r w:rsidRPr="003E36FB">
              <w:rPr>
                <w:rFonts w:ascii="Times New Roman" w:hAnsi="Times New Roman"/>
              </w:rPr>
              <w:t>artikel 56-60 i CRR, eller</w:t>
            </w:r>
          </w:p>
          <w:p w:rsidR="00C81710" w:rsidRPr="003E36FB" w:rsidRDefault="00500508" w:rsidP="00500508">
            <w:pPr>
              <w:pStyle w:val="BodyText1"/>
              <w:spacing w:line="240" w:lineRule="auto"/>
              <w:ind w:left="720" w:hanging="360"/>
              <w:rPr>
                <w:rFonts w:ascii="Times New Roman" w:hAnsi="Times New Roman"/>
                <w:b/>
                <w:bCs/>
              </w:rPr>
            </w:pPr>
            <w:r w:rsidRPr="003E36FB">
              <w:rPr>
                <w:rFonts w:ascii="Times New Roman" w:hAnsi="Times New Roman"/>
              </w:rPr>
              <w:t>-</w:t>
            </w:r>
            <w:r w:rsidRPr="003E36FB">
              <w:tab/>
            </w:r>
            <w:r w:rsidRPr="003E36FB">
              <w:rPr>
                <w:rFonts w:ascii="Times New Roman" w:hAnsi="Times New Roman"/>
              </w:rPr>
              <w:t>artikel 66-70 i CRR,</w:t>
            </w:r>
          </w:p>
          <w:p w:rsidR="007A0E3A" w:rsidRPr="003E36FB" w:rsidRDefault="007A0E3A" w:rsidP="00877186">
            <w:pPr>
              <w:pStyle w:val="BodyText1"/>
              <w:spacing w:line="240" w:lineRule="auto"/>
              <w:rPr>
                <w:rFonts w:ascii="Times New Roman" w:hAnsi="Times New Roman"/>
                <w:b/>
                <w:bCs/>
              </w:rPr>
            </w:pPr>
            <w:r w:rsidRPr="003E36FB">
              <w:rPr>
                <w:rFonts w:ascii="Times New Roman" w:hAnsi="Times New Roman"/>
              </w:rPr>
              <w:t>alt efter det enkelte tilfælde.</w:t>
            </w:r>
          </w:p>
          <w:p w:rsidR="00C81710" w:rsidRPr="003E36FB" w:rsidRDefault="00C81710" w:rsidP="00C81710">
            <w:pPr>
              <w:pStyle w:val="BodyText1"/>
              <w:spacing w:line="240" w:lineRule="auto"/>
              <w:rPr>
                <w:rFonts w:ascii="Times New Roman" w:hAnsi="Times New Roman"/>
                <w:bCs/>
              </w:rPr>
            </w:pPr>
          </w:p>
          <w:p w:rsidR="00C81710" w:rsidRPr="003E36FB" w:rsidRDefault="00C81710" w:rsidP="00C81710">
            <w:pPr>
              <w:pStyle w:val="BodyText1"/>
              <w:spacing w:line="240" w:lineRule="auto"/>
              <w:rPr>
                <w:rFonts w:ascii="Times New Roman" w:hAnsi="Times New Roman"/>
                <w:b/>
                <w:bCs/>
              </w:rPr>
            </w:pPr>
            <w:r w:rsidRPr="003E36FB">
              <w:rPr>
                <w:rFonts w:ascii="Times New Roman" w:hAnsi="Times New Roman"/>
              </w:rPr>
              <w:t>Institutter skal tage hensyn til de undtagelser, alternativer og fravigelser fra sådanne fradrag, der er omhandlet i artikel 48, 49 og 79 i CRR, men skal også tage hensyn til undtagelsesbestemmelserne i tiende del, kapitel 1 og 2, i CRR. For at undgå dobbelttælling skal institutter hverken indberette justeringer, der allerede er anvendt i henhold til artikel 111 i CRR ved beregning af eksponeringsværdien i {LRCalc;10;10} til {LRCalc;260;10}, eller eventuelle justeringer, der ikke indebærer fradrag af værdien af et bestemt aktiv.</w:t>
            </w:r>
            <w:r w:rsidRPr="003E36FB">
              <w:rPr>
                <w:rFonts w:ascii="Times New Roman" w:hAnsi="Times New Roman"/>
                <w:b/>
              </w:rPr>
              <w:t xml:space="preserve"> </w:t>
            </w:r>
          </w:p>
          <w:p w:rsidR="00C81710" w:rsidRPr="003E36FB" w:rsidRDefault="00C81710" w:rsidP="00C81710">
            <w:pPr>
              <w:pStyle w:val="BodyText1"/>
              <w:spacing w:line="240" w:lineRule="auto"/>
              <w:rPr>
                <w:rFonts w:ascii="Times New Roman" w:hAnsi="Times New Roman"/>
                <w:b/>
                <w:bCs/>
              </w:rPr>
            </w:pPr>
          </w:p>
          <w:p w:rsidR="00C81710" w:rsidRPr="003E36FB" w:rsidRDefault="00C81710" w:rsidP="00C81710">
            <w:pPr>
              <w:pStyle w:val="BodyText1"/>
              <w:spacing w:line="240" w:lineRule="auto"/>
              <w:rPr>
                <w:rFonts w:ascii="Times New Roman" w:hAnsi="Times New Roman"/>
                <w:bCs/>
              </w:rPr>
            </w:pPr>
            <w:r w:rsidRPr="003E36FB">
              <w:rPr>
                <w:rFonts w:ascii="Times New Roman" w:hAnsi="Times New Roman"/>
              </w:rPr>
              <w:t xml:space="preserve">Da disse justeringer reducerer det samlede kapitalgrundlag, indberettes de som et negativt tal. </w:t>
            </w:r>
          </w:p>
          <w:p w:rsidR="002509B1" w:rsidRPr="003E36FB" w:rsidRDefault="002509B1" w:rsidP="005556DC">
            <w:pPr>
              <w:pStyle w:val="BodyText1"/>
              <w:spacing w:line="240" w:lineRule="auto"/>
              <w:rPr>
                <w:rFonts w:ascii="Times New Roman" w:hAnsi="Times New Roman"/>
                <w:bCs/>
              </w:rPr>
            </w:pPr>
          </w:p>
        </w:tc>
      </w:tr>
    </w:tbl>
    <w:p w:rsidR="00217D1F" w:rsidRPr="003E36FB" w:rsidRDefault="00217D1F" w:rsidP="00217D1F">
      <w:pPr>
        <w:pStyle w:val="BodyText1"/>
        <w:ind w:left="567"/>
        <w:rPr>
          <w:rFonts w:ascii="Times New Roman" w:hAnsi="Times New Roman"/>
          <w:b/>
        </w:rPr>
      </w:pPr>
      <w:bookmarkStart w:id="83" w:name="_Toc322687900"/>
      <w:bookmarkStart w:id="84" w:name="_Toc322533879"/>
    </w:p>
    <w:p w:rsidR="00217D1F" w:rsidRPr="003E36FB" w:rsidRDefault="00500508" w:rsidP="00500508">
      <w:pPr>
        <w:pStyle w:val="BodyText1"/>
        <w:ind w:left="357" w:hanging="357"/>
        <w:outlineLvl w:val="1"/>
        <w:rPr>
          <w:rFonts w:ascii="Times New Roman" w:hAnsi="Times New Roman"/>
          <w:b/>
        </w:rPr>
      </w:pPr>
      <w:bookmarkStart w:id="85" w:name="_Toc351048510"/>
      <w:bookmarkStart w:id="86" w:name="_Toc359414289"/>
      <w:bookmarkStart w:id="87" w:name="_Toc423089074"/>
      <w:bookmarkStart w:id="88" w:name="_Toc523918780"/>
      <w:r w:rsidRPr="003E36FB">
        <w:rPr>
          <w:rFonts w:ascii="Times New Roman" w:hAnsi="Times New Roman"/>
          <w:b/>
        </w:rPr>
        <w:t>8.</w:t>
      </w:r>
      <w:r w:rsidRPr="003E36FB">
        <w:tab/>
      </w:r>
      <w:r w:rsidRPr="003E36FB">
        <w:rPr>
          <w:rFonts w:ascii="Times New Roman" w:hAnsi="Times New Roman"/>
          <w:b/>
        </w:rPr>
        <w:t>C 43.00 — Alternativ opdeling af komponenter af eksponeringsmålet bag gearingsgraden (LR4)</w:t>
      </w:r>
      <w:bookmarkEnd w:id="83"/>
      <w:bookmarkEnd w:id="85"/>
      <w:bookmarkEnd w:id="86"/>
      <w:bookmarkEnd w:id="87"/>
      <w:bookmarkEnd w:id="88"/>
    </w:p>
    <w:p w:rsidR="00675587" w:rsidRPr="003E36FB" w:rsidRDefault="00675587" w:rsidP="00675587">
      <w:pPr>
        <w:pStyle w:val="BodyText1"/>
        <w:ind w:left="720"/>
        <w:rPr>
          <w:rFonts w:ascii="Times New Roman" w:hAnsi="Times New Roman"/>
        </w:rPr>
      </w:pPr>
    </w:p>
    <w:p w:rsidR="004E437E" w:rsidRPr="003E36FB" w:rsidRDefault="00500508" w:rsidP="00500508">
      <w:pPr>
        <w:pStyle w:val="BodyText1"/>
        <w:ind w:left="720" w:hanging="360"/>
        <w:rPr>
          <w:rFonts w:ascii="Times New Roman" w:hAnsi="Times New Roman"/>
        </w:rPr>
      </w:pPr>
      <w:r w:rsidRPr="003E36FB">
        <w:rPr>
          <w:rFonts w:ascii="Times New Roman" w:hAnsi="Times New Roman"/>
        </w:rPr>
        <w:t>28.</w:t>
      </w:r>
      <w:r w:rsidRPr="003E36FB">
        <w:tab/>
      </w:r>
      <w:r w:rsidRPr="003E36FB">
        <w:rPr>
          <w:rFonts w:ascii="Times New Roman" w:hAnsi="Times New Roman"/>
        </w:rPr>
        <w:t xml:space="preserve">Institutter skal indberette eksponeringsværdien bag gearingsgraden i LR4 efter anvendelse, hvis det er relevant, af undtagelserne i følgende celler i </w:t>
      </w:r>
      <w:proofErr w:type="spellStart"/>
      <w:r w:rsidRPr="003E36FB">
        <w:rPr>
          <w:rFonts w:ascii="Times New Roman" w:hAnsi="Times New Roman"/>
        </w:rPr>
        <w:t>LRCalc</w:t>
      </w:r>
      <w:proofErr w:type="spellEnd"/>
      <w:r w:rsidRPr="003E36FB">
        <w:rPr>
          <w:rFonts w:ascii="Times New Roman" w:hAnsi="Times New Roman"/>
        </w:rPr>
        <w:t>: {050;010}, {080;010}, {100;010}, {120;010}, {220; 010}, {250;010} og {260;010}.</w:t>
      </w:r>
    </w:p>
    <w:p w:rsidR="004E437E" w:rsidRPr="003E36FB" w:rsidRDefault="004E437E" w:rsidP="00FD2C06">
      <w:pPr>
        <w:pStyle w:val="BodyText1"/>
        <w:ind w:left="720"/>
        <w:rPr>
          <w:rFonts w:ascii="Times New Roman" w:hAnsi="Times New Roman"/>
        </w:rPr>
      </w:pPr>
    </w:p>
    <w:p w:rsidR="00F4754B"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29.</w:t>
      </w:r>
      <w:r w:rsidRPr="003E36FB">
        <w:tab/>
      </w:r>
      <w:r w:rsidRPr="003E36FB">
        <w:rPr>
          <w:rFonts w:ascii="Times New Roman" w:hAnsi="Times New Roman"/>
        </w:rPr>
        <w:t xml:space="preserve">For at undgå dobbelttælling skal institutter iagttage ligningen i følgende punkt: </w:t>
      </w:r>
    </w:p>
    <w:p w:rsidR="00FC2664" w:rsidRPr="003E36FB" w:rsidRDefault="00FC2664" w:rsidP="007E2A41">
      <w:pPr>
        <w:pStyle w:val="BodyText1"/>
        <w:spacing w:line="240" w:lineRule="auto"/>
        <w:rPr>
          <w:rFonts w:ascii="Times New Roman" w:hAnsi="Times New Roman"/>
        </w:rPr>
      </w:pPr>
    </w:p>
    <w:p w:rsidR="00F4754B"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30.</w:t>
      </w:r>
      <w:r w:rsidRPr="003E36FB">
        <w:tab/>
      </w:r>
      <w:r w:rsidRPr="003E36FB">
        <w:rPr>
          <w:rFonts w:ascii="Times New Roman" w:hAnsi="Times New Roman"/>
        </w:rPr>
        <w:t>Den ligning, som institutter skal iagttage i henhold til punkt 29: [{LRCalc;010;010}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[{LR4;010;010} + {LR4;040;010} + {LR4;050;010} + {LR4;060;010} + {LR4;065;010} + {LR4;070;010} + {LR4;080;010} + {LR4;080;020} + {LR4;090;010} + {LR4;090;020} + {LR4;140;010} + {LR4;140;020} + {LR4;180;010} + {LR4;180;020} + {LR4;190;010} + {LR4;190;020} + {LR4;210;010} + {LR4;210;020} + {LR4;230;010} + {LR4;230;020} + {LR4;280;010} + {LR4;280;020} + {LR4;290;010} + {LR4;290;020}].</w:t>
      </w:r>
    </w:p>
    <w:p w:rsidR="00675587" w:rsidRPr="003E36FB"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3E36FB" w:rsidTr="0053335C">
        <w:trPr>
          <w:trHeight w:val="297"/>
        </w:trPr>
        <w:tc>
          <w:tcPr>
            <w:tcW w:w="1111" w:type="dxa"/>
            <w:shd w:val="clear" w:color="auto" w:fill="BFBFBF" w:themeFill="background1" w:themeFillShade="BF"/>
          </w:tcPr>
          <w:p w:rsidR="00F4754B" w:rsidRPr="003E36FB" w:rsidRDefault="00F4754B" w:rsidP="00F4754B">
            <w:pPr>
              <w:pStyle w:val="BodyText1"/>
              <w:rPr>
                <w:rFonts w:ascii="Times New Roman" w:hAnsi="Times New Roman"/>
                <w:b/>
                <w:bCs/>
                <w:i/>
              </w:rPr>
            </w:pPr>
            <w:r w:rsidRPr="003E36FB">
              <w:rPr>
                <w:rFonts w:ascii="Times New Roman" w:hAnsi="Times New Roman"/>
                <w:b/>
              </w:rPr>
              <w:t>Række og kolonne</w:t>
            </w:r>
          </w:p>
        </w:tc>
        <w:tc>
          <w:tcPr>
            <w:tcW w:w="8133" w:type="dxa"/>
            <w:shd w:val="clear" w:color="auto" w:fill="BFBFBF" w:themeFill="background1" w:themeFillShade="BF"/>
          </w:tcPr>
          <w:p w:rsidR="00F4754B" w:rsidRPr="003E36FB" w:rsidRDefault="00F4754B" w:rsidP="00F4754B">
            <w:pPr>
              <w:pStyle w:val="BodyText1"/>
              <w:rPr>
                <w:rFonts w:ascii="Times New Roman" w:hAnsi="Times New Roman"/>
                <w:b/>
                <w:bCs/>
                <w:i/>
              </w:rPr>
            </w:pPr>
            <w:r w:rsidRPr="003E36FB">
              <w:rPr>
                <w:rFonts w:ascii="Times New Roman" w:hAnsi="Times New Roman"/>
                <w:b/>
              </w:rPr>
              <w:t>Henvisninger til retsakter og instrukser</w:t>
            </w:r>
          </w:p>
        </w:tc>
      </w:tr>
      <w:tr w:rsidR="00F4754B" w:rsidRPr="003E36FB" w:rsidTr="0053335C">
        <w:trPr>
          <w:trHeight w:val="445"/>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{010;010}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rPr>
            </w:pPr>
            <w:r w:rsidRPr="003E36FB">
              <w:rPr>
                <w:rFonts w:ascii="Times New Roman" w:hAnsi="Times New Roman"/>
                <w:b/>
              </w:rPr>
              <w:t>Ikkebalanceførte poster, heraf – Eksponeringsværdi bag gearingsgraden</w:t>
            </w:r>
          </w:p>
          <w:p w:rsidR="002509B1" w:rsidRPr="003E36FB" w:rsidRDefault="002509B1" w:rsidP="007E2A41">
            <w:pPr>
              <w:pStyle w:val="BodyText1"/>
              <w:spacing w:line="240" w:lineRule="auto"/>
              <w:rPr>
                <w:rFonts w:ascii="Times New Roman" w:hAnsi="Times New Roman"/>
                <w:b/>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Eksponeringsværdien bag gearingsgraden beregnet som summen af {LRCalc;150;010}, {LRCalc;160;010}, {LRCalc;170;010} og {LRCalc;180;010} eksklusive de respektive koncerninterne eksponeringer (individuelt grundlag), som er fritaget i henhold til artikel 429, stk. 7, i CRR.</w:t>
            </w:r>
          </w:p>
          <w:p w:rsidR="002509B1" w:rsidRPr="003E36FB" w:rsidRDefault="002509B1" w:rsidP="007E2A41">
            <w:pPr>
              <w:pStyle w:val="BodyText1"/>
              <w:spacing w:line="240" w:lineRule="auto"/>
              <w:rPr>
                <w:rFonts w:ascii="Times New Roman" w:hAnsi="Times New Roman"/>
                <w:bCs/>
              </w:rPr>
            </w:pPr>
          </w:p>
        </w:tc>
      </w:tr>
      <w:tr w:rsidR="00F4754B" w:rsidRPr="003E36FB" w:rsidTr="0053335C">
        <w:trPr>
          <w:trHeight w:val="1179"/>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lastRenderedPageBreak/>
              <w:t>{010;020}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rPr>
            </w:pPr>
            <w:r w:rsidRPr="003E36FB">
              <w:rPr>
                <w:rFonts w:ascii="Times New Roman" w:hAnsi="Times New Roman"/>
                <w:b/>
              </w:rPr>
              <w:t>Ikkebalanceførte poster, heraf – Risikovægtede aktiver</w:t>
            </w:r>
          </w:p>
          <w:p w:rsidR="002509B1" w:rsidRPr="003E36FB" w:rsidRDefault="002509B1" w:rsidP="007E2A41">
            <w:pPr>
              <w:pStyle w:val="BodyText1"/>
              <w:spacing w:line="240" w:lineRule="auto"/>
              <w:rPr>
                <w:rFonts w:ascii="Times New Roman" w:hAnsi="Times New Roman"/>
                <w:b/>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ikkebalanceførte poster — ekskl. </w:t>
            </w:r>
            <w:proofErr w:type="spellStart"/>
            <w:r w:rsidRPr="003E36FB">
              <w:rPr>
                <w:rFonts w:ascii="Times New Roman" w:hAnsi="Times New Roman"/>
              </w:rPr>
              <w:t>SFT'er</w:t>
            </w:r>
            <w:proofErr w:type="spellEnd"/>
            <w:r w:rsidRPr="003E36FB">
              <w:rPr>
                <w:rFonts w:ascii="Times New Roman" w:hAnsi="Times New Roman"/>
              </w:rPr>
              <w:t xml:space="preserve"> og derivater – i overensstemmelse med standardmetoden og IRB-metoden. I forbindelse med eksponeringer opgjort i henhold til standardmetoden skal institutter beregne det risikovægtede eksponeringsbeløb i overensstemmelse med tredje del, afsnit II, kapitel 2, i CRR. I forbindelse med eksponeringer opgjort i henhold til IRB-metoden skal institutter beregne det risikovægtede eksponeringsbeløb i overensstemmelse med tredje del, afsnit II, kapitel 3, i CRR.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4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{020;010}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Handelsfinansiering, heraf – Eksponeringsværdi bag gearingsgraden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Eksponeringsværdien bag gearingsgraden af ikkebalanceførte poster vedrørende handelsfinansiering. Med henblik på indberetning i LR4 skal ikkebalanceførte poster vedrørende handelsfinansiering omhandle udstedte og bekræftede import- og eksportremburser, som er kortfristede og selvlikviderende transaktioner, samt lignende transaktioner.</w:t>
            </w:r>
          </w:p>
          <w:p w:rsidR="002509B1" w:rsidRPr="003E36FB" w:rsidRDefault="002509B1" w:rsidP="007E2A41">
            <w:pPr>
              <w:pStyle w:val="BodyText1"/>
              <w:spacing w:line="240" w:lineRule="auto"/>
              <w:rPr>
                <w:rFonts w:ascii="Times New Roman" w:hAnsi="Times New Roman"/>
                <w:bCs/>
              </w:rPr>
            </w:pPr>
          </w:p>
        </w:tc>
      </w:tr>
      <w:tr w:rsidR="00F4754B" w:rsidRPr="003E36FB" w:rsidTr="0053335C">
        <w:trPr>
          <w:trHeight w:val="1038"/>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{020;020}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Handelsfinansiering, heraf – Risikovægtede aktiver </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Den risikovægtede eksponeringsværdi af ikkebalanceførte poster – ekskl. </w:t>
            </w:r>
            <w:proofErr w:type="spellStart"/>
            <w:r w:rsidRPr="003E36FB">
              <w:rPr>
                <w:rFonts w:ascii="Times New Roman" w:hAnsi="Times New Roman"/>
              </w:rPr>
              <w:t>SFT'er</w:t>
            </w:r>
            <w:proofErr w:type="spellEnd"/>
            <w:r w:rsidRPr="003E36FB">
              <w:rPr>
                <w:rFonts w:ascii="Times New Roman" w:hAnsi="Times New Roman"/>
              </w:rPr>
              <w:t xml:space="preserve"> og derivater – vedrørende handelsfinansiering. Med henblik på indberetning i LR4 skal ikkebalanceførte poster vedrørende handelsfinansiering omhandle udstedte og bekræftede import- og eksportremburser, som er kortfristede og selvlikviderende transaktioner, samt lignende transaktioner.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1030"/>
        </w:trPr>
        <w:tc>
          <w:tcPr>
            <w:tcW w:w="1111" w:type="dxa"/>
            <w:shd w:val="clear" w:color="auto" w:fill="FFFFFF"/>
          </w:tcPr>
          <w:p w:rsidR="00F4754B" w:rsidRPr="003E36FB" w:rsidRDefault="00F4754B" w:rsidP="00F4754B">
            <w:pPr>
              <w:pStyle w:val="BodyText1"/>
              <w:rPr>
                <w:rFonts w:ascii="Times New Roman" w:hAnsi="Times New Roman"/>
                <w:bCs/>
              </w:rPr>
            </w:pPr>
            <w:r w:rsidRPr="003E36FB">
              <w:rPr>
                <w:rFonts w:ascii="Times New Roman" w:hAnsi="Times New Roman"/>
              </w:rPr>
              <w:t>{030;010}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I henhold til en officiel eksportkreditforsikringsordning – Eksponeringsværdi bag gearingsgraden</w:t>
            </w:r>
          </w:p>
          <w:p w:rsidR="002509B1" w:rsidRPr="003E36FB" w:rsidRDefault="002509B1" w:rsidP="007E2A41">
            <w:pPr>
              <w:pStyle w:val="BodyText1"/>
              <w:spacing w:line="240" w:lineRule="auto"/>
              <w:rPr>
                <w:rFonts w:ascii="Times New Roman" w:hAnsi="Times New Roman"/>
                <w:b/>
                <w:bCs/>
              </w:rPr>
            </w:pPr>
          </w:p>
          <w:p w:rsidR="001F28E7" w:rsidRPr="003E36FB" w:rsidRDefault="00F4754B" w:rsidP="007E2A41">
            <w:pPr>
              <w:pStyle w:val="BodyText1"/>
              <w:spacing w:line="240" w:lineRule="auto"/>
              <w:rPr>
                <w:rFonts w:ascii="Times New Roman" w:hAnsi="Times New Roman"/>
              </w:rPr>
            </w:pPr>
            <w:r w:rsidRPr="003E36FB">
              <w:rPr>
                <w:rFonts w:ascii="Times New Roman" w:hAnsi="Times New Roman"/>
              </w:rPr>
              <w:t>Eksponeringsværdien bag gearingsgraden af ikkebalanceførte poster vedrørende handelsfinansiering i henhold til en officiel eksportkreditforsikringsordning.</w:t>
            </w:r>
          </w:p>
          <w:p w:rsidR="001F28E7" w:rsidRPr="003E36FB" w:rsidRDefault="001F28E7" w:rsidP="007E2A41">
            <w:pPr>
              <w:pStyle w:val="BodyText1"/>
              <w:spacing w:line="240" w:lineRule="auto"/>
              <w:rPr>
                <w:rFonts w:ascii="Times New Roman" w:hAnsi="Times New Roman"/>
              </w:rPr>
            </w:pPr>
          </w:p>
          <w:p w:rsidR="00F4754B" w:rsidRPr="003E36FB" w:rsidRDefault="00F4754B" w:rsidP="007E2A41">
            <w:pPr>
              <w:pStyle w:val="BodyText1"/>
              <w:spacing w:line="240" w:lineRule="auto"/>
              <w:rPr>
                <w:rFonts w:ascii="Times New Roman" w:hAnsi="Times New Roman"/>
              </w:rPr>
            </w:pPr>
            <w:r w:rsidRPr="003E36FB">
              <w:rPr>
                <w:rFonts w:ascii="Times New Roman" w:hAnsi="Times New Roman"/>
              </w:rPr>
              <w:t xml:space="preserve">Med henblik på indberetning i LR4 skal en officiel eksportkreditforsikringsordning vedrøre officiel støtte ydet af regeringen eller en anden enhed, som f.eks. et eksportkreditagentur, i form af bl.a. direkte kredit/finansiering, refinansiering, rentestøtte (når en fast rente garanteres i kredittens løbetid), bistandsfinansiering (kreditter og tilskud), eksportkreditforsikring og garantier. </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601"/>
        </w:trPr>
        <w:tc>
          <w:tcPr>
            <w:tcW w:w="1111" w:type="dxa"/>
            <w:shd w:val="clear" w:color="auto" w:fill="FFFFFF"/>
          </w:tcPr>
          <w:p w:rsidR="00F4754B" w:rsidRPr="003E36FB" w:rsidRDefault="00F4754B" w:rsidP="00F4754B">
            <w:pPr>
              <w:pStyle w:val="BodyText1"/>
              <w:rPr>
                <w:rFonts w:ascii="Times New Roman" w:hAnsi="Times New Roman"/>
                <w:bCs/>
              </w:rPr>
            </w:pPr>
            <w:r w:rsidRPr="003E36FB">
              <w:rPr>
                <w:rFonts w:ascii="Times New Roman" w:hAnsi="Times New Roman"/>
              </w:rPr>
              <w:t>{030;020}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I henhold til officiel eksportkreditforsikringsordning</w:t>
            </w:r>
          </w:p>
          <w:p w:rsidR="002509B1" w:rsidRPr="003E36FB" w:rsidRDefault="002509B1" w:rsidP="007E2A41">
            <w:pPr>
              <w:pStyle w:val="BodyText1"/>
              <w:spacing w:line="240" w:lineRule="auto"/>
              <w:rPr>
                <w:rFonts w:ascii="Times New Roman" w:hAnsi="Times New Roman"/>
                <w:b/>
                <w:bCs/>
              </w:rPr>
            </w:pPr>
          </w:p>
          <w:p w:rsidR="001F28E7" w:rsidRPr="003E36FB" w:rsidRDefault="00F4754B" w:rsidP="007E2A41">
            <w:pPr>
              <w:pStyle w:val="BodyText1"/>
              <w:spacing w:line="240" w:lineRule="auto"/>
              <w:rPr>
                <w:rFonts w:ascii="Times New Roman" w:hAnsi="Times New Roman"/>
              </w:rPr>
            </w:pPr>
            <w:r w:rsidRPr="003E36FB">
              <w:rPr>
                <w:rFonts w:ascii="Times New Roman" w:hAnsi="Times New Roman"/>
              </w:rPr>
              <w:t xml:space="preserve">Den risikovægtede eksponeringsværdi af ikkebalanceførte poster – undtagen </w:t>
            </w:r>
            <w:proofErr w:type="spellStart"/>
            <w:r w:rsidRPr="003E36FB">
              <w:rPr>
                <w:rFonts w:ascii="Times New Roman" w:hAnsi="Times New Roman"/>
              </w:rPr>
              <w:t>SFT'er</w:t>
            </w:r>
            <w:proofErr w:type="spellEnd"/>
            <w:r w:rsidRPr="003E36FB">
              <w:rPr>
                <w:rFonts w:ascii="Times New Roman" w:hAnsi="Times New Roman"/>
              </w:rPr>
              <w:t xml:space="preserve"> og derivater – vedrørende handelsfinansiering i henhold til en officiel eksportkreditforsikringsordning.</w:t>
            </w:r>
          </w:p>
          <w:p w:rsidR="001F28E7" w:rsidRPr="003E36FB" w:rsidRDefault="001F28E7" w:rsidP="007E2A41">
            <w:pPr>
              <w:pStyle w:val="BodyText1"/>
              <w:spacing w:line="240" w:lineRule="auto"/>
              <w:rPr>
                <w:rFonts w:ascii="Times New Roman" w:hAnsi="Times New Roman"/>
              </w:rPr>
            </w:pPr>
          </w:p>
          <w:p w:rsidR="00F4754B" w:rsidRPr="003E36FB" w:rsidRDefault="00F4754B" w:rsidP="007E2A41">
            <w:pPr>
              <w:pStyle w:val="BodyText1"/>
              <w:spacing w:line="240" w:lineRule="auto"/>
              <w:rPr>
                <w:rFonts w:ascii="Times New Roman" w:hAnsi="Times New Roman"/>
              </w:rPr>
            </w:pPr>
            <w:r w:rsidRPr="003E36FB">
              <w:rPr>
                <w:rFonts w:ascii="Times New Roman" w:hAnsi="Times New Roman"/>
              </w:rPr>
              <w:t xml:space="preserve">Med henblik på indberetning i LR4 skal en officiel eksportkreditforsikringsordning vedrøre officiel støtte ydet af regeringen eller en anden enhed, som f.eks. et eksportkreditagentur, i form af bl.a. direkte kredit/finansiering, refinansiering, rentestøtte (når en fast rente garanteres i kredittens løbetid), bistandsfinansiering (kreditter og tilskud), eksportkreditforsikring og garantier. </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{040;010}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Derivater og </w:t>
            </w:r>
            <w:proofErr w:type="spellStart"/>
            <w:r w:rsidRPr="003E36FB">
              <w:rPr>
                <w:rFonts w:ascii="Times New Roman" w:hAnsi="Times New Roman"/>
                <w:b/>
              </w:rPr>
              <w:t>SFT'er</w:t>
            </w:r>
            <w:proofErr w:type="spellEnd"/>
            <w:r w:rsidRPr="003E36FB">
              <w:rPr>
                <w:rFonts w:ascii="Times New Roman" w:hAnsi="Times New Roman"/>
                <w:b/>
              </w:rPr>
              <w:t xml:space="preserve"> omfattet af en aftale om </w:t>
            </w:r>
            <w:proofErr w:type="spellStart"/>
            <w:r w:rsidRPr="003E36FB">
              <w:rPr>
                <w:rFonts w:ascii="Times New Roman" w:hAnsi="Times New Roman"/>
                <w:b/>
              </w:rPr>
              <w:t>netting</w:t>
            </w:r>
            <w:proofErr w:type="spellEnd"/>
            <w:r w:rsidRPr="003E36FB">
              <w:rPr>
                <w:rFonts w:ascii="Times New Roman" w:hAnsi="Times New Roman"/>
                <w:b/>
              </w:rPr>
              <w:t xml:space="preserve"> på tværs af produkter – Eksponeringsværdi bag gearingsgraden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derivater og </w:t>
            </w:r>
            <w:proofErr w:type="spellStart"/>
            <w:r w:rsidRPr="003E36FB">
              <w:rPr>
                <w:rFonts w:ascii="Times New Roman" w:hAnsi="Times New Roman"/>
              </w:rPr>
              <w:t>SFT'er</w:t>
            </w:r>
            <w:proofErr w:type="spellEnd"/>
            <w:r w:rsidRPr="003E36FB">
              <w:rPr>
                <w:rFonts w:ascii="Times New Roman" w:hAnsi="Times New Roman"/>
              </w:rPr>
              <w:t xml:space="preserve">, hvis de er omfattet af en aftale om </w:t>
            </w:r>
            <w:proofErr w:type="spellStart"/>
            <w:r w:rsidRPr="003E36FB">
              <w:rPr>
                <w:rFonts w:ascii="Times New Roman" w:hAnsi="Times New Roman"/>
              </w:rPr>
              <w:t>netting</w:t>
            </w:r>
            <w:proofErr w:type="spellEnd"/>
            <w:r w:rsidRPr="003E36FB">
              <w:rPr>
                <w:rFonts w:ascii="Times New Roman" w:hAnsi="Times New Roman"/>
              </w:rPr>
              <w:t xml:space="preserve"> på tværs af produkter som defineret i artikel 272, nr. 25), i CRR.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F4754B">
            <w:pPr>
              <w:pStyle w:val="BodyText1"/>
              <w:rPr>
                <w:rFonts w:ascii="Times New Roman" w:hAnsi="Times New Roman"/>
              </w:rPr>
            </w:pPr>
            <w:r w:rsidRPr="003E36FB">
              <w:rPr>
                <w:rFonts w:ascii="Times New Roman" w:hAnsi="Times New Roman"/>
              </w:rPr>
              <w:t>{040;020}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Derivater og </w:t>
            </w:r>
            <w:proofErr w:type="spellStart"/>
            <w:r w:rsidRPr="003E36FB">
              <w:rPr>
                <w:rFonts w:ascii="Times New Roman" w:hAnsi="Times New Roman"/>
                <w:b/>
              </w:rPr>
              <w:t>SFT'er</w:t>
            </w:r>
            <w:proofErr w:type="spellEnd"/>
            <w:r w:rsidRPr="003E36FB">
              <w:rPr>
                <w:rFonts w:ascii="Times New Roman" w:hAnsi="Times New Roman"/>
                <w:b/>
              </w:rPr>
              <w:t xml:space="preserve"> omfattet af en aftale om </w:t>
            </w:r>
            <w:proofErr w:type="spellStart"/>
            <w:r w:rsidRPr="003E36FB">
              <w:rPr>
                <w:rFonts w:ascii="Times New Roman" w:hAnsi="Times New Roman"/>
                <w:b/>
              </w:rPr>
              <w:t>netting</w:t>
            </w:r>
            <w:proofErr w:type="spellEnd"/>
            <w:r w:rsidRPr="003E36FB">
              <w:rPr>
                <w:rFonts w:ascii="Times New Roman" w:hAnsi="Times New Roman"/>
                <w:b/>
              </w:rPr>
              <w:t xml:space="preserve"> på tværs af produkter – Risikovægtede aktiver</w:t>
            </w:r>
          </w:p>
          <w:p w:rsidR="002509B1" w:rsidRPr="003E36FB" w:rsidRDefault="002509B1" w:rsidP="007E2A41">
            <w:pPr>
              <w:pStyle w:val="BodyText1"/>
              <w:spacing w:line="240" w:lineRule="auto"/>
              <w:rPr>
                <w:rFonts w:ascii="Times New Roman" w:hAnsi="Times New Roman"/>
                <w:b/>
                <w:bCs/>
              </w:rPr>
            </w:pPr>
          </w:p>
          <w:p w:rsidR="002509B1"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 risikovægtede eksponeringer mod kredit- og modpartsrisici opgjort i henhold til tredje del, afsnit II, i CRR for derivater og </w:t>
            </w:r>
            <w:proofErr w:type="spellStart"/>
            <w:r w:rsidRPr="003E36FB">
              <w:rPr>
                <w:rFonts w:ascii="Times New Roman" w:hAnsi="Times New Roman"/>
              </w:rPr>
              <w:t>SFT'er</w:t>
            </w:r>
            <w:proofErr w:type="spellEnd"/>
            <w:r w:rsidRPr="003E36FB">
              <w:rPr>
                <w:rFonts w:ascii="Times New Roman" w:hAnsi="Times New Roman"/>
              </w:rPr>
              <w:t xml:space="preserve">, herunder sådanne, der ikke er balanceført, hvis de er omfattet af en aftale om </w:t>
            </w:r>
            <w:proofErr w:type="spellStart"/>
            <w:r w:rsidRPr="003E36FB">
              <w:rPr>
                <w:rFonts w:ascii="Times New Roman" w:hAnsi="Times New Roman"/>
              </w:rPr>
              <w:t>netting</w:t>
            </w:r>
            <w:proofErr w:type="spellEnd"/>
            <w:r w:rsidRPr="003E36FB">
              <w:rPr>
                <w:rFonts w:ascii="Times New Roman" w:hAnsi="Times New Roman"/>
              </w:rPr>
              <w:t xml:space="preserve"> på tværs af produkter som defineret i artikel 272, nr. 25), i CRR.</w:t>
            </w:r>
          </w:p>
          <w:p w:rsidR="00F4754B" w:rsidRPr="003E36FB" w:rsidRDefault="00F4754B"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F4754B">
            <w:pPr>
              <w:pStyle w:val="BodyText1"/>
              <w:rPr>
                <w:rFonts w:ascii="Times New Roman" w:hAnsi="Times New Roman"/>
              </w:rPr>
            </w:pPr>
            <w:r w:rsidRPr="003E36FB">
              <w:rPr>
                <w:rFonts w:ascii="Times New Roman" w:hAnsi="Times New Roman"/>
              </w:rPr>
              <w:t>{050;010}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Derivater, der ikke er omfattet af en aftale om </w:t>
            </w:r>
            <w:proofErr w:type="spellStart"/>
            <w:r w:rsidRPr="003E36FB">
              <w:rPr>
                <w:rFonts w:ascii="Times New Roman" w:hAnsi="Times New Roman"/>
                <w:b/>
              </w:rPr>
              <w:t>netting</w:t>
            </w:r>
            <w:proofErr w:type="spellEnd"/>
            <w:r w:rsidRPr="003E36FB">
              <w:rPr>
                <w:rFonts w:ascii="Times New Roman" w:hAnsi="Times New Roman"/>
                <w:b/>
              </w:rPr>
              <w:t xml:space="preserve"> på tværs af produkter – Eksponeringsværdi bag gearingsgraden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derivater, hvis de </w:t>
            </w:r>
            <w:r w:rsidRPr="003E36FB">
              <w:rPr>
                <w:rFonts w:ascii="Times New Roman" w:hAnsi="Times New Roman"/>
                <w:b/>
                <w:u w:val="single"/>
              </w:rPr>
              <w:t>ikke</w:t>
            </w:r>
            <w:r w:rsidRPr="003E36FB">
              <w:rPr>
                <w:rFonts w:ascii="Times New Roman" w:hAnsi="Times New Roman"/>
              </w:rPr>
              <w:t xml:space="preserve"> er omfattet af en aftale om </w:t>
            </w:r>
            <w:proofErr w:type="spellStart"/>
            <w:r w:rsidRPr="003E36FB">
              <w:rPr>
                <w:rFonts w:ascii="Times New Roman" w:hAnsi="Times New Roman"/>
              </w:rPr>
              <w:t>netting</w:t>
            </w:r>
            <w:proofErr w:type="spellEnd"/>
            <w:r w:rsidRPr="003E36FB">
              <w:rPr>
                <w:rFonts w:ascii="Times New Roman" w:hAnsi="Times New Roman"/>
              </w:rPr>
              <w:t xml:space="preserve"> på tværs af produkter som defineret i artikel 272, nr. 25), i CRR.</w:t>
            </w:r>
          </w:p>
          <w:p w:rsidR="002509B1" w:rsidRPr="003E36FB" w:rsidRDefault="002509B1" w:rsidP="007E2A41">
            <w:pPr>
              <w:pStyle w:val="BodyText1"/>
              <w:spacing w:line="240" w:lineRule="auto"/>
              <w:rPr>
                <w:rFonts w:ascii="Times New Roman" w:hAnsi="Times New Roman"/>
                <w:b/>
                <w:bCs/>
              </w:rPr>
            </w:pPr>
          </w:p>
        </w:tc>
      </w:tr>
      <w:tr w:rsidR="00F4754B" w:rsidRPr="003E36FB" w:rsidTr="0053335C">
        <w:trPr>
          <w:trHeight w:val="71"/>
        </w:trPr>
        <w:tc>
          <w:tcPr>
            <w:tcW w:w="1111" w:type="dxa"/>
            <w:shd w:val="clear" w:color="auto" w:fill="FFFFFF"/>
          </w:tcPr>
          <w:p w:rsidR="00F4754B" w:rsidRPr="003E36FB" w:rsidRDefault="00F4754B" w:rsidP="00F4754B">
            <w:pPr>
              <w:pStyle w:val="BodyText1"/>
              <w:rPr>
                <w:rFonts w:ascii="Times New Roman" w:hAnsi="Times New Roman"/>
              </w:rPr>
            </w:pPr>
            <w:r w:rsidRPr="003E36FB">
              <w:rPr>
                <w:rFonts w:ascii="Times New Roman" w:hAnsi="Times New Roman"/>
              </w:rPr>
              <w:lastRenderedPageBreak/>
              <w:t>{050;020}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Derivater, der ikke er omfattet af en aftale om </w:t>
            </w:r>
            <w:proofErr w:type="spellStart"/>
            <w:r w:rsidRPr="003E36FB">
              <w:rPr>
                <w:rFonts w:ascii="Times New Roman" w:hAnsi="Times New Roman"/>
                <w:b/>
              </w:rPr>
              <w:t>netting</w:t>
            </w:r>
            <w:proofErr w:type="spellEnd"/>
            <w:r w:rsidRPr="003E36FB">
              <w:rPr>
                <w:rFonts w:ascii="Times New Roman" w:hAnsi="Times New Roman"/>
                <w:b/>
              </w:rPr>
              <w:t xml:space="preserve"> på tværs af produkter – Risikovægtede aktiver</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 risikovægtede eksponeringer mod kredit- og modpartsrisici for derivater opgjort i henhold til tredje del, afsnit II, i CRR, herunder sådanne, der ikke er balanceført, hvis de er omfattet af en aftale om </w:t>
            </w:r>
            <w:proofErr w:type="spellStart"/>
            <w:r w:rsidRPr="003E36FB">
              <w:rPr>
                <w:rFonts w:ascii="Times New Roman" w:hAnsi="Times New Roman"/>
              </w:rPr>
              <w:t>netting</w:t>
            </w:r>
            <w:proofErr w:type="spellEnd"/>
            <w:r w:rsidRPr="003E36FB">
              <w:rPr>
                <w:rFonts w:ascii="Times New Roman" w:hAnsi="Times New Roman"/>
              </w:rPr>
              <w:t xml:space="preserve"> på tværs af produkter som defineret i artikel 272, nr. 25), i CRR. </w:t>
            </w:r>
          </w:p>
          <w:p w:rsidR="002509B1" w:rsidRPr="003E36FB" w:rsidRDefault="002509B1" w:rsidP="007E2A41">
            <w:pPr>
              <w:pStyle w:val="BodyText1"/>
              <w:spacing w:line="240" w:lineRule="auto"/>
              <w:rPr>
                <w:rFonts w:ascii="Times New Roman" w:hAnsi="Times New Roman"/>
                <w:b/>
                <w:bCs/>
              </w:rPr>
            </w:pPr>
          </w:p>
        </w:tc>
      </w:tr>
      <w:tr w:rsidR="00F4754B" w:rsidRPr="003E36FB" w:rsidTr="0053335C">
        <w:trPr>
          <w:trHeight w:val="71"/>
        </w:trPr>
        <w:tc>
          <w:tcPr>
            <w:tcW w:w="1111" w:type="dxa"/>
            <w:shd w:val="clear" w:color="auto" w:fill="FFFFFF"/>
          </w:tcPr>
          <w:p w:rsidR="00F4754B" w:rsidRPr="003E36FB" w:rsidRDefault="00F4754B" w:rsidP="00F4754B">
            <w:pPr>
              <w:pStyle w:val="BodyText1"/>
              <w:rPr>
                <w:rFonts w:ascii="Times New Roman" w:hAnsi="Times New Roman"/>
              </w:rPr>
            </w:pPr>
            <w:r w:rsidRPr="003E36FB">
              <w:rPr>
                <w:rFonts w:ascii="Times New Roman" w:hAnsi="Times New Roman"/>
              </w:rPr>
              <w:t>{060;010}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proofErr w:type="spellStart"/>
            <w:r w:rsidRPr="003E36FB">
              <w:rPr>
                <w:rFonts w:ascii="Times New Roman" w:hAnsi="Times New Roman"/>
                <w:b/>
              </w:rPr>
              <w:t>SFT'er</w:t>
            </w:r>
            <w:proofErr w:type="spellEnd"/>
            <w:r w:rsidRPr="003E36FB">
              <w:rPr>
                <w:rFonts w:ascii="Times New Roman" w:hAnsi="Times New Roman"/>
                <w:b/>
              </w:rPr>
              <w:t xml:space="preserve">, der ikke er omfattet af en aftale om </w:t>
            </w:r>
            <w:proofErr w:type="spellStart"/>
            <w:r w:rsidRPr="003E36FB">
              <w:rPr>
                <w:rFonts w:ascii="Times New Roman" w:hAnsi="Times New Roman"/>
                <w:b/>
              </w:rPr>
              <w:t>netting</w:t>
            </w:r>
            <w:proofErr w:type="spellEnd"/>
            <w:r w:rsidRPr="003E36FB">
              <w:rPr>
                <w:rFonts w:ascii="Times New Roman" w:hAnsi="Times New Roman"/>
                <w:b/>
              </w:rPr>
              <w:t xml:space="preserve"> på tværs af produkter – Eksponeringsværdi bag gearingsgraden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eksponeringer i forbindelse med </w:t>
            </w:r>
            <w:proofErr w:type="spellStart"/>
            <w:r w:rsidRPr="003E36FB">
              <w:rPr>
                <w:rFonts w:ascii="Times New Roman" w:hAnsi="Times New Roman"/>
              </w:rPr>
              <w:t>SFT'er</w:t>
            </w:r>
            <w:proofErr w:type="spellEnd"/>
            <w:r w:rsidRPr="003E36FB">
              <w:rPr>
                <w:rFonts w:ascii="Times New Roman" w:hAnsi="Times New Roman"/>
              </w:rPr>
              <w:t xml:space="preserve">, hvis de </w:t>
            </w:r>
            <w:r w:rsidRPr="003E36FB">
              <w:rPr>
                <w:rFonts w:ascii="Times New Roman" w:hAnsi="Times New Roman"/>
                <w:b/>
                <w:u w:val="single"/>
              </w:rPr>
              <w:t>ikke</w:t>
            </w:r>
            <w:r w:rsidRPr="003E36FB">
              <w:rPr>
                <w:rFonts w:ascii="Times New Roman" w:hAnsi="Times New Roman"/>
              </w:rPr>
              <w:t xml:space="preserve"> er omfattet af en aftale om </w:t>
            </w:r>
            <w:proofErr w:type="spellStart"/>
            <w:r w:rsidRPr="003E36FB">
              <w:rPr>
                <w:rFonts w:ascii="Times New Roman" w:hAnsi="Times New Roman"/>
              </w:rPr>
              <w:t>netting</w:t>
            </w:r>
            <w:proofErr w:type="spellEnd"/>
            <w:r w:rsidRPr="003E36FB">
              <w:rPr>
                <w:rFonts w:ascii="Times New Roman" w:hAnsi="Times New Roman"/>
              </w:rPr>
              <w:t xml:space="preserve"> på tværs af produkter som defineret i artikel 272, nr. 25), i CRR.</w:t>
            </w:r>
          </w:p>
          <w:p w:rsidR="002509B1" w:rsidRPr="003E36FB" w:rsidRDefault="002509B1" w:rsidP="007E2A41">
            <w:pPr>
              <w:pStyle w:val="BodyText1"/>
              <w:spacing w:line="240" w:lineRule="auto"/>
              <w:rPr>
                <w:rFonts w:ascii="Times New Roman" w:hAnsi="Times New Roman"/>
                <w:b/>
                <w:bCs/>
              </w:rPr>
            </w:pPr>
          </w:p>
        </w:tc>
      </w:tr>
      <w:tr w:rsidR="00F4754B" w:rsidRPr="003E36FB" w:rsidTr="0053335C">
        <w:trPr>
          <w:trHeight w:val="71"/>
        </w:trPr>
        <w:tc>
          <w:tcPr>
            <w:tcW w:w="1111" w:type="dxa"/>
            <w:shd w:val="clear" w:color="auto" w:fill="FFFFFF"/>
          </w:tcPr>
          <w:p w:rsidR="00F4754B" w:rsidRPr="003E36FB" w:rsidRDefault="00F4754B" w:rsidP="00F4754B">
            <w:pPr>
              <w:pStyle w:val="BodyText1"/>
              <w:rPr>
                <w:rFonts w:ascii="Times New Roman" w:hAnsi="Times New Roman"/>
              </w:rPr>
            </w:pPr>
            <w:r w:rsidRPr="003E36FB">
              <w:rPr>
                <w:rFonts w:ascii="Times New Roman" w:hAnsi="Times New Roman"/>
              </w:rPr>
              <w:t>{060;020}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proofErr w:type="spellStart"/>
            <w:r w:rsidRPr="003E36FB">
              <w:rPr>
                <w:rFonts w:ascii="Times New Roman" w:hAnsi="Times New Roman"/>
                <w:b/>
              </w:rPr>
              <w:t>SFT'er</w:t>
            </w:r>
            <w:proofErr w:type="spellEnd"/>
            <w:r w:rsidRPr="003E36FB">
              <w:rPr>
                <w:rFonts w:ascii="Times New Roman" w:hAnsi="Times New Roman"/>
                <w:b/>
              </w:rPr>
              <w:t xml:space="preserve">, der ikke er omfattet af en aftale om </w:t>
            </w:r>
            <w:proofErr w:type="spellStart"/>
            <w:r w:rsidRPr="003E36FB">
              <w:rPr>
                <w:rFonts w:ascii="Times New Roman" w:hAnsi="Times New Roman"/>
                <w:b/>
              </w:rPr>
              <w:t>netting</w:t>
            </w:r>
            <w:proofErr w:type="spellEnd"/>
            <w:r w:rsidRPr="003E36FB">
              <w:rPr>
                <w:rFonts w:ascii="Times New Roman" w:hAnsi="Times New Roman"/>
                <w:b/>
              </w:rPr>
              <w:t xml:space="preserve"> på tværs af produkter – Risikovægtede aktiver</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 risikovægtede eksponeringer mod kredit- og modpartsrisici for </w:t>
            </w:r>
            <w:proofErr w:type="spellStart"/>
            <w:r w:rsidRPr="003E36FB">
              <w:rPr>
                <w:rFonts w:ascii="Times New Roman" w:hAnsi="Times New Roman"/>
              </w:rPr>
              <w:t>SFT'er</w:t>
            </w:r>
            <w:proofErr w:type="spellEnd"/>
            <w:r w:rsidRPr="003E36FB">
              <w:rPr>
                <w:rFonts w:ascii="Times New Roman" w:hAnsi="Times New Roman"/>
              </w:rPr>
              <w:t xml:space="preserve"> opgjort i henhold til tredje del, afsnit II, i CRR, herunder sådanne, der ikke er balanceført, hvis de </w:t>
            </w:r>
            <w:r w:rsidRPr="003E36FB">
              <w:rPr>
                <w:rFonts w:ascii="Times New Roman" w:hAnsi="Times New Roman"/>
                <w:b/>
                <w:u w:val="single"/>
              </w:rPr>
              <w:t>ikke</w:t>
            </w:r>
            <w:r w:rsidRPr="003E36FB">
              <w:rPr>
                <w:rFonts w:ascii="Times New Roman" w:hAnsi="Times New Roman"/>
              </w:rPr>
              <w:t xml:space="preserve"> er omfattet af en aftale om </w:t>
            </w:r>
            <w:proofErr w:type="spellStart"/>
            <w:r w:rsidRPr="003E36FB">
              <w:rPr>
                <w:rFonts w:ascii="Times New Roman" w:hAnsi="Times New Roman"/>
              </w:rPr>
              <w:t>netting</w:t>
            </w:r>
            <w:proofErr w:type="spellEnd"/>
            <w:r w:rsidRPr="003E36FB">
              <w:rPr>
                <w:rFonts w:ascii="Times New Roman" w:hAnsi="Times New Roman"/>
              </w:rPr>
              <w:t xml:space="preserve"> på tværs af produkter som defineret i artikel 272, nr. 25), i CRR. </w:t>
            </w:r>
          </w:p>
          <w:p w:rsidR="002509B1" w:rsidRPr="003E36FB" w:rsidRDefault="002509B1" w:rsidP="007E2A41">
            <w:pPr>
              <w:pStyle w:val="BodyText1"/>
              <w:spacing w:line="240" w:lineRule="auto"/>
              <w:rPr>
                <w:rFonts w:ascii="Times New Roman" w:hAnsi="Times New Roman"/>
                <w:b/>
                <w:bCs/>
              </w:rPr>
            </w:pPr>
          </w:p>
        </w:tc>
      </w:tr>
      <w:tr w:rsidR="00465521" w:rsidRPr="003E36FB" w:rsidTr="0053335C">
        <w:trPr>
          <w:trHeight w:val="71"/>
        </w:trPr>
        <w:tc>
          <w:tcPr>
            <w:tcW w:w="1111" w:type="dxa"/>
            <w:shd w:val="clear" w:color="auto" w:fill="FFFFFF"/>
          </w:tcPr>
          <w:p w:rsidR="00465521" w:rsidRPr="003E36FB" w:rsidRDefault="00465521" w:rsidP="00F70A83">
            <w:pPr>
              <w:pStyle w:val="BodyText1"/>
              <w:rPr>
                <w:rFonts w:ascii="Times New Roman" w:hAnsi="Times New Roman"/>
                <w:bCs/>
              </w:rPr>
            </w:pPr>
            <w:r w:rsidRPr="003E36FB">
              <w:rPr>
                <w:rFonts w:ascii="Times New Roman" w:hAnsi="Times New Roman"/>
              </w:rPr>
              <w:t>{065;010}</w:t>
            </w:r>
          </w:p>
        </w:tc>
        <w:tc>
          <w:tcPr>
            <w:tcW w:w="8133" w:type="dxa"/>
            <w:shd w:val="clear" w:color="auto" w:fill="FFFFFF"/>
          </w:tcPr>
          <w:p w:rsidR="00465521" w:rsidRPr="003E36FB" w:rsidRDefault="004968DF" w:rsidP="007E2A41">
            <w:pPr>
              <w:pStyle w:val="BodyText1"/>
              <w:spacing w:line="240" w:lineRule="auto"/>
              <w:rPr>
                <w:rFonts w:ascii="Times New Roman" w:hAnsi="Times New Roman"/>
                <w:b/>
                <w:bCs/>
              </w:rPr>
            </w:pPr>
            <w:r w:rsidRPr="003E36FB">
              <w:rPr>
                <w:rFonts w:ascii="Times New Roman" w:hAnsi="Times New Roman"/>
                <w:b/>
              </w:rPr>
              <w:t>Eksponeringer som følge af den supplerende behandling for kreditderivater – Eksponeringsværdi bag gearingsgraden</w:t>
            </w:r>
          </w:p>
          <w:p w:rsidR="004968DF" w:rsidRPr="003E36FB" w:rsidRDefault="004968DF" w:rsidP="007E2A41">
            <w:pPr>
              <w:pStyle w:val="BodyText1"/>
              <w:spacing w:line="240" w:lineRule="auto"/>
              <w:rPr>
                <w:rFonts w:ascii="Times New Roman" w:hAnsi="Times New Roman"/>
                <w:b/>
                <w:bCs/>
              </w:rPr>
            </w:pPr>
          </w:p>
          <w:p w:rsidR="004968DF" w:rsidRPr="003E36FB" w:rsidRDefault="000D3973" w:rsidP="00DB61A5">
            <w:pPr>
              <w:pStyle w:val="BodyText1"/>
              <w:spacing w:line="240" w:lineRule="auto"/>
              <w:rPr>
                <w:rFonts w:ascii="Times New Roman" w:hAnsi="Times New Roman"/>
                <w:b/>
                <w:bCs/>
              </w:rPr>
            </w:pPr>
            <w:r w:rsidRPr="003E36FB">
              <w:rPr>
                <w:rFonts w:ascii="Times New Roman" w:hAnsi="Times New Roman"/>
              </w:rPr>
              <w:t>Denne celle skal være lig med forskellen mellem {LRCalc;130;010} og {LRCalc;140;010} eksklusive de respektive koncerninterne eksponeringer (individuelt grundlag), som er fritaget i henhold til artikel 429, stk. 7, i CRR.</w:t>
            </w:r>
            <w:r w:rsidRPr="003E36FB">
              <w:rPr>
                <w:rFonts w:ascii="Times New Roman" w:hAnsi="Times New Roman"/>
                <w:b/>
              </w:rPr>
              <w:t xml:space="preserve"> </w:t>
            </w:r>
          </w:p>
          <w:p w:rsidR="00EC2C14" w:rsidRPr="003E36FB" w:rsidRDefault="00EC2C14" w:rsidP="00DB61A5">
            <w:pPr>
              <w:pStyle w:val="BodyText1"/>
              <w:spacing w:line="240" w:lineRule="auto"/>
              <w:rPr>
                <w:rFonts w:ascii="Times New Roman" w:hAnsi="Times New Roman"/>
                <w:b/>
                <w:bCs/>
              </w:rPr>
            </w:pPr>
          </w:p>
        </w:tc>
      </w:tr>
      <w:tr w:rsidR="00F4754B" w:rsidRPr="003E36FB" w:rsidTr="0053335C">
        <w:trPr>
          <w:trHeight w:val="71"/>
        </w:trPr>
        <w:tc>
          <w:tcPr>
            <w:tcW w:w="1111" w:type="dxa"/>
            <w:shd w:val="clear" w:color="auto" w:fill="FFFFFF"/>
          </w:tcPr>
          <w:p w:rsidR="00F4754B" w:rsidRPr="003E36FB" w:rsidRDefault="00F4754B" w:rsidP="00F70A83">
            <w:pPr>
              <w:pStyle w:val="BodyText1"/>
              <w:rPr>
                <w:rFonts w:ascii="Times New Roman" w:hAnsi="Times New Roman"/>
              </w:rPr>
            </w:pPr>
            <w:r w:rsidRPr="003E36FB">
              <w:rPr>
                <w:rFonts w:ascii="Times New Roman" w:hAnsi="Times New Roman"/>
              </w:rPr>
              <w:t>{070;010}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Andre aktiver i handelsbeholdningen — Eksponeringsværdi bag gearingsgraden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Eksponeringsværdien bag gearingsgraden af poster indberettet i {LRCalc;190;010}, ekskl. poster uden for handelsbeholdningen.</w:t>
            </w:r>
          </w:p>
          <w:p w:rsidR="002509B1" w:rsidRPr="003E36FB" w:rsidRDefault="002509B1"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465521">
            <w:pPr>
              <w:pStyle w:val="BodyText1"/>
              <w:rPr>
                <w:rFonts w:ascii="Times New Roman" w:hAnsi="Times New Roman"/>
                <w:bCs/>
              </w:rPr>
            </w:pPr>
            <w:r w:rsidRPr="003E36FB">
              <w:rPr>
                <w:rFonts w:ascii="Times New Roman" w:hAnsi="Times New Roman"/>
              </w:rPr>
              <w:t>{070;020}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Andre aktiver i handelsbeholdningen – Risikovægtede aktiver</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Kapitalgrundlagskrav ganget med 12,5 for poster omfattet af tredje del, afsnit IV, i CRR.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F4754B">
            <w:pPr>
              <w:pStyle w:val="BodyText1"/>
              <w:rPr>
                <w:rFonts w:ascii="Times New Roman" w:hAnsi="Times New Roman"/>
              </w:rPr>
            </w:pPr>
            <w:r w:rsidRPr="003E36FB">
              <w:rPr>
                <w:rFonts w:ascii="Times New Roman" w:hAnsi="Times New Roman"/>
              </w:rPr>
              <w:t>{080;010}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Særligt dækkede obligationer og særligt dækkede realkreditobligationer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i form af særligt dækkede obligationer og særligt dækkede realkreditobligationer som defineret i artikel 129 i CRR. </w:t>
            </w:r>
          </w:p>
          <w:p w:rsidR="002509B1" w:rsidRPr="003E36FB" w:rsidRDefault="002509B1"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086A8A" w:rsidRPr="003E36FB" w:rsidRDefault="00086A8A"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{080;020}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Særligt dækkede obligationer og særligt dækkede realkreditobligationer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bCs/>
              </w:rPr>
            </w:pPr>
          </w:p>
          <w:p w:rsidR="009C4E79"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i form af særligt dækkede obligationer og særligt dækkede realkreditobligationer som defineret i artikel 161, stk. 1, litra d), i CRR. </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lastRenderedPageBreak/>
              <w:t>{080;030}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Særligt dækkede obligationer og særligt dækkede realkreditobligationer – Risikovægtede aktiver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i form af særligt dækkede obligationer og særligt dækkede realkreditobligationer som defineret i artikel 129 i CRR. </w:t>
            </w:r>
          </w:p>
          <w:p w:rsidR="00086A8A" w:rsidRPr="003E36FB" w:rsidRDefault="00086A8A" w:rsidP="007E2A41">
            <w:pPr>
              <w:pStyle w:val="BodyText1"/>
              <w:spacing w:line="240" w:lineRule="auto"/>
              <w:rPr>
                <w:rFonts w:ascii="Times New Roman" w:hAnsi="Times New Roman"/>
                <w:bCs/>
              </w:rPr>
            </w:pPr>
          </w:p>
          <w:p w:rsidR="002509B1" w:rsidRPr="003E36FB" w:rsidRDefault="00086A8A" w:rsidP="007E2A41">
            <w:pPr>
              <w:pStyle w:val="BodyText1"/>
              <w:spacing w:line="240" w:lineRule="auto"/>
              <w:rPr>
                <w:rFonts w:ascii="Times New Roman" w:hAnsi="Times New Roman"/>
                <w:b/>
                <w:bCs/>
                <w:u w:val="single"/>
              </w:rPr>
            </w:pPr>
            <w:r w:rsidRPr="003E36FB">
              <w:rPr>
                <w:rFonts w:ascii="Times New Roman" w:hAnsi="Times New Roman"/>
              </w:rPr>
              <w:t>Institutterne skal indberette denne post fratrukket misligholdte eksponeringer.</w:t>
            </w:r>
          </w:p>
          <w:p w:rsidR="00086A8A" w:rsidRPr="003E36FB" w:rsidRDefault="00086A8A"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{080;040}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Særligt dækkede obligationer og særligt dækkede realkreditobligationer – Risikovægtede aktiver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i form af særligt dækkede obligationer og særligt dækkede realkreditobligationer som defineret i artikel 161, stk. 1, litra d), i CRR. </w:t>
            </w:r>
          </w:p>
          <w:p w:rsidR="002509B1" w:rsidRPr="003E36FB" w:rsidRDefault="002509B1" w:rsidP="007E2A41">
            <w:pPr>
              <w:pStyle w:val="BodyText1"/>
              <w:spacing w:line="240" w:lineRule="auto"/>
              <w:rPr>
                <w:rFonts w:ascii="Times New Roman" w:hAnsi="Times New Roman"/>
                <w:bCs/>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9C4E79" w:rsidRPr="003E36FB" w:rsidRDefault="009C4E79"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{090,010}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Eksponeringer, der behandles som eksponeringer mod stater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celle {100,010} til {130,010}.</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{090;020}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Eksponeringer, der behandles som eksponeringer mod stater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celle {100,020} til {130,020}.</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{090;030}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Eksponeringer, der behandles som eksponeringer mod stater – Risikovægtede aktiver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celle {100,030} til {130,030}.</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{090;040}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Eksponeringer, der behandles som eksponeringer mod stater – Risikovægtede aktiver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celle {100,040} til {130,040}.</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{100;010}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rPr>
            </w:pPr>
            <w:r w:rsidRPr="003E36FB">
              <w:rPr>
                <w:rFonts w:ascii="Times New Roman" w:hAnsi="Times New Roman"/>
                <w:b/>
              </w:rPr>
              <w:t>Centralregeringer og centralbanker</w:t>
            </w:r>
            <w:r w:rsidRPr="003E36FB">
              <w:rPr>
                <w:rFonts w:ascii="Times New Roman" w:hAnsi="Times New Roman"/>
              </w:rPr>
              <w:t xml:space="preserve"> </w:t>
            </w:r>
            <w:r w:rsidRPr="003E36FB">
              <w:rPr>
                <w:rFonts w:ascii="Times New Roman" w:hAnsi="Times New Roman"/>
                <w:b/>
              </w:rPr>
              <w:t xml:space="preserve">— </w:t>
            </w:r>
            <w:r w:rsidRPr="003E36FB">
              <w:rPr>
                <w:rFonts w:ascii="Times New Roman" w:hAnsi="Times New Roman"/>
              </w:rPr>
              <w:t>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centralregeringer eller centralbanker som defineret i artikel 114 i CRR.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{100;020}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rPr>
            </w:pPr>
            <w:r w:rsidRPr="003E36FB">
              <w:rPr>
                <w:rFonts w:ascii="Times New Roman" w:hAnsi="Times New Roman"/>
                <w:b/>
              </w:rPr>
              <w:t>Centralregeringer og centralbanker</w:t>
            </w:r>
            <w:r w:rsidRPr="003E36FB">
              <w:rPr>
                <w:rFonts w:ascii="Times New Roman" w:hAnsi="Times New Roman"/>
              </w:rPr>
              <w:t xml:space="preserve"> </w:t>
            </w:r>
            <w:r w:rsidRPr="003E36FB">
              <w:rPr>
                <w:rFonts w:ascii="Times New Roman" w:hAnsi="Times New Roman"/>
                <w:b/>
              </w:rPr>
              <w:t>— Eksponeringsværdi bag gearingsgraden — Eksponeringer opgjort efter IRB-metoden</w:t>
            </w:r>
          </w:p>
          <w:p w:rsidR="002509B1" w:rsidRPr="003E36FB" w:rsidRDefault="002509B1" w:rsidP="007E2A41">
            <w:pPr>
              <w:pStyle w:val="BodyText1"/>
              <w:spacing w:line="240" w:lineRule="auto"/>
              <w:rPr>
                <w:rFonts w:ascii="Times New Roman" w:hAnsi="Times New Roman"/>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centralregeringer eller centralbanker som defineret i artikel 147, stk. 2, litra a), i CRR. </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7E2A41">
            <w:pPr>
              <w:pStyle w:val="BodyText1"/>
              <w:spacing w:line="240" w:lineRule="auto"/>
              <w:rPr>
                <w:rFonts w:ascii="Times New Roman" w:hAnsi="Times New Roman"/>
                <w:bCs/>
              </w:rPr>
            </w:pPr>
            <w:r w:rsidRPr="003E36FB">
              <w:rPr>
                <w:rFonts w:ascii="Times New Roman" w:hAnsi="Times New Roman"/>
              </w:rPr>
              <w:lastRenderedPageBreak/>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lastRenderedPageBreak/>
              <w:t>{100;030}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rPr>
            </w:pPr>
            <w:r w:rsidRPr="003E36FB">
              <w:rPr>
                <w:rFonts w:ascii="Times New Roman" w:hAnsi="Times New Roman"/>
                <w:b/>
              </w:rPr>
              <w:t>Centralregeringer og centralbanker</w:t>
            </w:r>
            <w:r w:rsidRPr="003E36FB">
              <w:rPr>
                <w:rFonts w:ascii="Times New Roman" w:hAnsi="Times New Roman"/>
              </w:rPr>
              <w:t xml:space="preserve"> </w:t>
            </w:r>
            <w:r w:rsidRPr="003E36FB">
              <w:rPr>
                <w:rFonts w:ascii="Times New Roman" w:hAnsi="Times New Roman"/>
                <w:b/>
              </w:rPr>
              <w:t>— Risikovægtede aktiver — Eksponeringer opgjort efter standardmetoden</w:t>
            </w:r>
          </w:p>
          <w:p w:rsidR="002509B1" w:rsidRPr="003E36FB" w:rsidRDefault="002509B1" w:rsidP="007E2A41">
            <w:pPr>
              <w:pStyle w:val="BodyText1"/>
              <w:spacing w:line="240" w:lineRule="auto"/>
              <w:rPr>
                <w:rFonts w:ascii="Times New Roman" w:hAnsi="Times New Roman"/>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centralregeringer eller centralbanker som defineret i artikel 114 i CRR.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{100;040}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rPr>
            </w:pPr>
            <w:r w:rsidRPr="003E36FB">
              <w:rPr>
                <w:rFonts w:ascii="Times New Roman" w:hAnsi="Times New Roman"/>
                <w:b/>
              </w:rPr>
              <w:t>Centralregeringer og centralbanker</w:t>
            </w:r>
            <w:r w:rsidRPr="003E36FB">
              <w:rPr>
                <w:rFonts w:ascii="Times New Roman" w:hAnsi="Times New Roman"/>
              </w:rPr>
              <w:t xml:space="preserve"> </w:t>
            </w:r>
            <w:r w:rsidRPr="003E36FB">
              <w:rPr>
                <w:rFonts w:ascii="Times New Roman" w:hAnsi="Times New Roman"/>
                <w:b/>
              </w:rPr>
              <w:t>— Risikovægtede aktiver — Eksponeringer opgjort efter IRB-metoden</w:t>
            </w:r>
          </w:p>
          <w:p w:rsidR="002509B1" w:rsidRPr="003E36FB" w:rsidRDefault="002509B1" w:rsidP="007E2A41">
            <w:pPr>
              <w:pStyle w:val="BodyText1"/>
              <w:spacing w:line="240" w:lineRule="auto"/>
              <w:rPr>
                <w:rFonts w:ascii="Times New Roman" w:hAnsi="Times New Roman"/>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centralregeringer eller centralbanker som defineret i artikel 147, stk. 2, litra a), i CRR. </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{110;010}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Regionale og lokale myndigheder, der behandles som stater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regionale og lokale myndigheder, der behandles som stater, som er omfattet af artikel 115, stk. 2 og 4, i CRR.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{110;020}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Regionale og lokale myndigheder, der behandles som stater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regionale og lokale myndigheder, som er omfattet af artikel 147, stk. 3, litra a), i CRR. </w:t>
            </w:r>
          </w:p>
          <w:p w:rsidR="002509B1" w:rsidRPr="003E36FB" w:rsidRDefault="002509B1" w:rsidP="007E2A41">
            <w:pPr>
              <w:pStyle w:val="BodyText1"/>
              <w:spacing w:line="240" w:lineRule="auto"/>
              <w:rPr>
                <w:rFonts w:ascii="Times New Roman" w:hAnsi="Times New Roman"/>
                <w:b/>
                <w:bCs/>
                <w:u w:val="single"/>
              </w:rPr>
            </w:pPr>
          </w:p>
          <w:p w:rsidR="009C4E79" w:rsidRPr="003E36FB" w:rsidRDefault="009C4E79" w:rsidP="007E2A41">
            <w:pPr>
              <w:pStyle w:val="BodyText1"/>
              <w:spacing w:line="240" w:lineRule="auto"/>
              <w:rPr>
                <w:rFonts w:ascii="Times New Roman" w:hAnsi="Times New Roman"/>
                <w:b/>
                <w:bCs/>
                <w:u w:val="single"/>
              </w:rPr>
            </w:pPr>
            <w:r w:rsidRPr="003E36FB">
              <w:rPr>
                <w:rFonts w:ascii="Times New Roman" w:hAnsi="Times New Roman"/>
              </w:rPr>
              <w:t>Institutterne skal indberette denne post fratrukket misligholdte eksponeringer.</w:t>
            </w:r>
          </w:p>
          <w:p w:rsidR="009C4E79" w:rsidRPr="003E36FB" w:rsidRDefault="009C4E79"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{110;030}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Regionale og lokale myndigheder, der behandles som stater – Risikovægtede aktiver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 risikovægtede eksponeringsbeløb for aktiver, der er eksponeringer mod regionale og lokale myndigheder, der behandles som stater, som er omfattet af artikel 115, stk. 2 og 4, i CRR.</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{110;040}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Regionale og lokale myndigheder, der behandles som stater – Risikovægtede aktiver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regionale og lokale myndigheder, som er omfattet af artikel 147, stk. 3, litra a), i CRR. </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{120;010}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rPr>
            </w:pPr>
            <w:r w:rsidRPr="003E36FB">
              <w:rPr>
                <w:rFonts w:ascii="Times New Roman" w:hAnsi="Times New Roman"/>
                <w:b/>
              </w:rPr>
              <w:t>Multilaterale udviklingsbanker og internationale organisationer, der behandles som stater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multilaterale udviklingsbanker og internationale organisationer, som er omfattet af artikel 117, stk. 2, og artikel 118 i CRR.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A60C43">
            <w:pPr>
              <w:pStyle w:val="BodyText1"/>
              <w:rPr>
                <w:rFonts w:ascii="Times New Roman" w:hAnsi="Times New Roman"/>
              </w:rPr>
            </w:pPr>
            <w:r w:rsidRPr="003E36FB">
              <w:rPr>
                <w:rFonts w:ascii="Times New Roman" w:hAnsi="Times New Roman"/>
              </w:rPr>
              <w:lastRenderedPageBreak/>
              <w:t>{120;020}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rPr>
            </w:pPr>
            <w:r w:rsidRPr="003E36FB">
              <w:rPr>
                <w:rFonts w:ascii="Times New Roman" w:hAnsi="Times New Roman"/>
                <w:b/>
              </w:rPr>
              <w:t>Multilaterale udviklingsbanker og internationale organisationer, der behandles som stater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multilaterale udviklingsbanker og internationale organisationer, som er omfattet af artikel 147, stk. 3, litra b) og c), i CRR. </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{120;030}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rPr>
            </w:pPr>
            <w:r w:rsidRPr="003E36FB">
              <w:rPr>
                <w:rFonts w:ascii="Times New Roman" w:hAnsi="Times New Roman"/>
                <w:b/>
              </w:rPr>
              <w:t>Multilaterale udviklingsbanker og internationale organisationer, der behandles som stater – Risikovægtede aktiver – Eksponeringer opgjort efter standardmetoden</w:t>
            </w:r>
          </w:p>
          <w:p w:rsidR="002509B1" w:rsidRPr="003E36FB" w:rsidRDefault="002509B1" w:rsidP="007E2A41">
            <w:pPr>
              <w:pStyle w:val="BodyText1"/>
              <w:spacing w:line="240" w:lineRule="auto"/>
              <w:rPr>
                <w:rFonts w:ascii="Times New Roman" w:hAnsi="Times New Roman"/>
                <w:b/>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multilaterale udviklingsbanker og internationale organisationer, som er omfattet af artikel 117, stk. 2, og artikel 118 i CRR.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A60C43">
            <w:pPr>
              <w:pStyle w:val="BodyText1"/>
              <w:rPr>
                <w:rFonts w:ascii="Times New Roman" w:hAnsi="Times New Roman"/>
                <w:bCs/>
              </w:rPr>
            </w:pPr>
            <w:r w:rsidRPr="003E36FB">
              <w:rPr>
                <w:rFonts w:ascii="Times New Roman" w:hAnsi="Times New Roman"/>
              </w:rPr>
              <w:t>{120;040}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rPr>
            </w:pPr>
            <w:r w:rsidRPr="003E36FB">
              <w:rPr>
                <w:rFonts w:ascii="Times New Roman" w:hAnsi="Times New Roman"/>
                <w:b/>
              </w:rPr>
              <w:t>Multilaterale udviklingsbanker og internationale organisationer, der behandles som stater – Risikovægtede aktiver – Eksponeringer opgjort efter IRB-metoden</w:t>
            </w:r>
          </w:p>
          <w:p w:rsidR="002509B1" w:rsidRPr="003E36FB" w:rsidRDefault="002509B1" w:rsidP="007E2A41">
            <w:pPr>
              <w:pStyle w:val="BodyText1"/>
              <w:spacing w:line="240" w:lineRule="auto"/>
              <w:rPr>
                <w:rFonts w:ascii="Times New Roman" w:hAnsi="Times New Roman"/>
                <w:b/>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multilaterale udviklingsbanker og internationale organisationer, som er omfattet af artikel 147, stk. 3, litra b) og c), i CRR. </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rPr>
            </w:pPr>
          </w:p>
        </w:tc>
      </w:tr>
      <w:tr w:rsidR="00F4754B" w:rsidRPr="003E36FB" w:rsidTr="0053335C">
        <w:trPr>
          <w:trHeight w:val="71"/>
        </w:trPr>
        <w:tc>
          <w:tcPr>
            <w:tcW w:w="1111" w:type="dxa"/>
            <w:shd w:val="clear" w:color="auto" w:fill="FFFFFF"/>
          </w:tcPr>
          <w:p w:rsidR="00F4754B" w:rsidRPr="003E36FB" w:rsidRDefault="00F4754B" w:rsidP="00EA3F88">
            <w:pPr>
              <w:pStyle w:val="BodyText1"/>
              <w:rPr>
                <w:rFonts w:ascii="Times New Roman" w:hAnsi="Times New Roman"/>
              </w:rPr>
            </w:pPr>
            <w:r w:rsidRPr="003E36FB">
              <w:rPr>
                <w:rFonts w:ascii="Times New Roman" w:hAnsi="Times New Roman"/>
              </w:rPr>
              <w:t>{130;010}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Offentlige enheder, der behandles som stater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offentlige enheder, som er omfattet af artikel 116, stk. 4, i CRR.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rPr>
            </w:pPr>
          </w:p>
        </w:tc>
      </w:tr>
      <w:tr w:rsidR="00F4754B" w:rsidRPr="003E36FB" w:rsidTr="0053335C">
        <w:trPr>
          <w:trHeight w:val="71"/>
        </w:trPr>
        <w:tc>
          <w:tcPr>
            <w:tcW w:w="1111" w:type="dxa"/>
            <w:shd w:val="clear" w:color="auto" w:fill="FFFFFF"/>
          </w:tcPr>
          <w:p w:rsidR="00F4754B" w:rsidRPr="003E36FB" w:rsidRDefault="00F4754B" w:rsidP="00EA3F88">
            <w:pPr>
              <w:pStyle w:val="BodyText1"/>
              <w:rPr>
                <w:rFonts w:ascii="Times New Roman" w:hAnsi="Times New Roman"/>
              </w:rPr>
            </w:pPr>
            <w:r w:rsidRPr="003E36FB">
              <w:rPr>
                <w:rFonts w:ascii="Times New Roman" w:hAnsi="Times New Roman"/>
              </w:rPr>
              <w:t>{130;020}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rPr>
            </w:pPr>
            <w:r w:rsidRPr="003E36FB">
              <w:rPr>
                <w:rFonts w:ascii="Times New Roman" w:hAnsi="Times New Roman"/>
                <w:b/>
              </w:rPr>
              <w:t>Offentlige enheder, der behandles som stater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rPr>
            </w:pPr>
          </w:p>
          <w:p w:rsidR="002509B1" w:rsidRPr="003E36FB" w:rsidRDefault="00F4754B" w:rsidP="007E2A41">
            <w:pPr>
              <w:pStyle w:val="BodyText1"/>
              <w:spacing w:line="240" w:lineRule="auto"/>
              <w:rPr>
                <w:rFonts w:ascii="Times New Roman" w:hAnsi="Times New Roman"/>
                <w:bCs/>
              </w:rPr>
            </w:pPr>
            <w:r w:rsidRPr="003E36FB">
              <w:rPr>
                <w:rFonts w:ascii="Times New Roman" w:hAnsi="Times New Roman"/>
              </w:rPr>
              <w:t>Eksponeringsværdien bag gearingsgraden af aktiver, der er eksponeringer mod offentlige enheder, som er omfattet af artikel 147, stk. 3, litra a), i CRR.</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9C4E79" w:rsidRPr="003E36FB" w:rsidRDefault="009C4E79"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{130;030}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rPr>
            </w:pPr>
            <w:r w:rsidRPr="003E36FB">
              <w:rPr>
                <w:rFonts w:ascii="Times New Roman" w:hAnsi="Times New Roman"/>
                <w:b/>
              </w:rPr>
              <w:t>Offentlige enheder, der behandles som stater – Risikovægtede aktiver – Eksponeringer opgjort efter standardmetoden</w:t>
            </w:r>
          </w:p>
          <w:p w:rsidR="002509B1" w:rsidRPr="003E36FB" w:rsidRDefault="002509B1" w:rsidP="007E2A41">
            <w:pPr>
              <w:pStyle w:val="BodyText1"/>
              <w:spacing w:line="240" w:lineRule="auto"/>
              <w:rPr>
                <w:rFonts w:ascii="Times New Roman" w:hAnsi="Times New Roman"/>
                <w:b/>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offentlige enheder, som er omfattet af artikel 116, stk. 4, i CRR.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{130;040}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rPr>
            </w:pPr>
            <w:r w:rsidRPr="003E36FB">
              <w:rPr>
                <w:rFonts w:ascii="Times New Roman" w:hAnsi="Times New Roman"/>
                <w:b/>
              </w:rPr>
              <w:t>Offentlige enheder, der behandles som stater – Risikovægtede aktiver – Eksponeringer opgjort efter IRB-metoden</w:t>
            </w:r>
          </w:p>
          <w:p w:rsidR="002509B1" w:rsidRPr="003E36FB" w:rsidRDefault="002509B1" w:rsidP="007E2A41">
            <w:pPr>
              <w:pStyle w:val="BodyText1"/>
              <w:spacing w:line="240" w:lineRule="auto"/>
              <w:rPr>
                <w:rFonts w:ascii="Times New Roman" w:hAnsi="Times New Roman"/>
                <w:b/>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offentlige enheder, som er omfattet af artikel 147, stk. 3, litra a), i CRR. </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lastRenderedPageBreak/>
              <w:t>{140;010}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Eksponeringer mod regionale myndigheder, multilaterale udviklingsbanker, internationale organisationer og offentlige enheder, der </w:t>
            </w:r>
            <w:r w:rsidRPr="003E36FB">
              <w:rPr>
                <w:rFonts w:ascii="Times New Roman" w:hAnsi="Times New Roman"/>
                <w:b/>
                <w:u w:val="single"/>
              </w:rPr>
              <w:t>ikke</w:t>
            </w:r>
            <w:r w:rsidRPr="003E36FB">
              <w:rPr>
                <w:rFonts w:ascii="Times New Roman" w:hAnsi="Times New Roman"/>
                <w:b/>
              </w:rPr>
              <w:t xml:space="preserve"> behandles som stater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celle {150,010} til {170,010}.</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{140;020}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Eksponeringer mod regionale myndigheder, multilaterale udviklingsbanker, internationale organisationer og offentlige enheder, der </w:t>
            </w:r>
            <w:r w:rsidRPr="003E36FB">
              <w:rPr>
                <w:rFonts w:ascii="Times New Roman" w:hAnsi="Times New Roman"/>
                <w:b/>
                <w:u w:val="single"/>
              </w:rPr>
              <w:t>ikke</w:t>
            </w:r>
            <w:r w:rsidRPr="003E36FB">
              <w:rPr>
                <w:rFonts w:ascii="Times New Roman" w:hAnsi="Times New Roman"/>
                <w:b/>
              </w:rPr>
              <w:t xml:space="preserve"> behandles som stater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celle {150,020} til {170,020}.</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{140;030}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Eksponeringer mod regionale myndigheder, multilaterale udviklingsbanker, internationale organisationer og offentlige enheder, der </w:t>
            </w:r>
            <w:r w:rsidRPr="003E36FB">
              <w:rPr>
                <w:rFonts w:ascii="Times New Roman" w:hAnsi="Times New Roman"/>
                <w:b/>
                <w:u w:val="single"/>
              </w:rPr>
              <w:t>ikke</w:t>
            </w:r>
            <w:r w:rsidRPr="003E36FB">
              <w:rPr>
                <w:rFonts w:ascii="Times New Roman" w:hAnsi="Times New Roman"/>
                <w:b/>
              </w:rPr>
              <w:t xml:space="preserve"> behandles som stater – Risikovægtede aktiver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celle {150,030} til {170,030}.</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{140;040}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Eksponeringer mod regionale myndigheder, multilaterale udviklingsbanker, internationale organisationer og offentlige enheder, der </w:t>
            </w:r>
            <w:r w:rsidRPr="003E36FB">
              <w:rPr>
                <w:rFonts w:ascii="Times New Roman" w:hAnsi="Times New Roman"/>
                <w:b/>
                <w:u w:val="single"/>
              </w:rPr>
              <w:t>ikke</w:t>
            </w:r>
            <w:r w:rsidRPr="003E36FB">
              <w:rPr>
                <w:rFonts w:ascii="Times New Roman" w:hAnsi="Times New Roman"/>
                <w:b/>
              </w:rPr>
              <w:t xml:space="preserve"> behandles som stater – Risikovægtede aktiver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celle {150,040} til {170,040}.</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{150;010}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Regionale og lokale myndigheder, der </w:t>
            </w:r>
            <w:r w:rsidRPr="003E36FB">
              <w:rPr>
                <w:rFonts w:ascii="Times New Roman" w:hAnsi="Times New Roman"/>
                <w:b/>
                <w:u w:val="single"/>
              </w:rPr>
              <w:t>ikke</w:t>
            </w:r>
            <w:r w:rsidRPr="003E36FB">
              <w:rPr>
                <w:rFonts w:ascii="Times New Roman" w:hAnsi="Times New Roman"/>
                <w:b/>
              </w:rPr>
              <w:t xml:space="preserve"> behandles som stater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regionale og lokale myndigheder, der ikke behandles som stater, som er omfattet af artikel 115, stk. 1, 3 og 5, i CRR.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A60C43">
            <w:pPr>
              <w:pStyle w:val="BodyText1"/>
              <w:rPr>
                <w:rFonts w:ascii="Times New Roman" w:hAnsi="Times New Roman"/>
              </w:rPr>
            </w:pPr>
            <w:r w:rsidRPr="003E36FB">
              <w:rPr>
                <w:rFonts w:ascii="Times New Roman" w:hAnsi="Times New Roman"/>
              </w:rPr>
              <w:t>{150;020}</w:t>
            </w:r>
          </w:p>
        </w:tc>
        <w:tc>
          <w:tcPr>
            <w:tcW w:w="8133" w:type="dxa"/>
            <w:shd w:val="clear" w:color="auto" w:fill="FFFFFF"/>
          </w:tcPr>
          <w:p w:rsidR="002509B1"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Regionale og lokale myndigheder, der </w:t>
            </w:r>
            <w:r w:rsidRPr="003E36FB">
              <w:rPr>
                <w:rFonts w:ascii="Times New Roman" w:hAnsi="Times New Roman"/>
                <w:b/>
                <w:u w:val="single"/>
              </w:rPr>
              <w:t>ikke</w:t>
            </w:r>
            <w:r w:rsidRPr="003E36FB">
              <w:rPr>
                <w:rFonts w:ascii="Times New Roman" w:hAnsi="Times New Roman"/>
                <w:b/>
              </w:rPr>
              <w:t xml:space="preserve"> behandles som stater – Eksponeringsværdi bag gearingsgraden – Eksponeringer opgjort efter IRB-metoden</w:t>
            </w:r>
          </w:p>
          <w:p w:rsidR="00F4754B" w:rsidRPr="003E36FB" w:rsidRDefault="00F4754B" w:rsidP="007E2A41">
            <w:pPr>
              <w:pStyle w:val="BodyText1"/>
              <w:spacing w:line="240" w:lineRule="auto"/>
              <w:rPr>
                <w:rFonts w:ascii="Times New Roman" w:hAnsi="Times New Roman"/>
                <w:b/>
              </w:rPr>
            </w:pPr>
            <w:r w:rsidRPr="003E36FB">
              <w:rPr>
                <w:rFonts w:ascii="Times New Roman" w:hAnsi="Times New Roman"/>
                <w:b/>
              </w:rPr>
              <w:t xml:space="preserve"> </w:t>
            </w:r>
          </w:p>
          <w:p w:rsidR="002509B1"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regionale og lokale myndigheder, der ikke behandles som stater, som er omfattet af artikel 147, stk. 4, litra a), i CRR. </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F4754B" w:rsidRPr="003E36FB" w:rsidDel="00F559E6" w:rsidRDefault="00F4754B" w:rsidP="007E2A41">
            <w:pPr>
              <w:pStyle w:val="BodyText1"/>
              <w:spacing w:line="240" w:lineRule="auto"/>
              <w:rPr>
                <w:rFonts w:ascii="Times New Roman" w:hAnsi="Times New Roman"/>
                <w:b/>
                <w:bCs/>
                <w:u w:val="single"/>
              </w:rPr>
            </w:pPr>
            <w:r w:rsidRPr="003E36FB">
              <w:rPr>
                <w:rFonts w:ascii="Times New Roman" w:hAnsi="Times New Roman"/>
              </w:rPr>
              <w:t xml:space="preserve"> </w:t>
            </w: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{150;030}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Regionale og lokale myndigheder, der </w:t>
            </w:r>
            <w:r w:rsidRPr="003E36FB">
              <w:rPr>
                <w:rFonts w:ascii="Times New Roman" w:hAnsi="Times New Roman"/>
                <w:b/>
                <w:u w:val="single"/>
              </w:rPr>
              <w:t>ikke</w:t>
            </w:r>
            <w:r w:rsidRPr="003E36FB">
              <w:rPr>
                <w:rFonts w:ascii="Times New Roman" w:hAnsi="Times New Roman"/>
                <w:b/>
              </w:rPr>
              <w:t xml:space="preserve"> behandles som stater – Risikovægtede aktiver – Eksponeringer opgjort efter standardmetoden </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regionale og lokale myndigheder, der ikke behandles som stater, som er omfattet af artikel 115, stk. 1, 3 og 5, i CRR.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{150;040}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Regionale og lokale myndigheder, der </w:t>
            </w:r>
            <w:r w:rsidRPr="003E36FB">
              <w:rPr>
                <w:rFonts w:ascii="Times New Roman" w:hAnsi="Times New Roman"/>
                <w:b/>
                <w:u w:val="single"/>
              </w:rPr>
              <w:t>ikke</w:t>
            </w:r>
            <w:r w:rsidRPr="003E36FB">
              <w:rPr>
                <w:rFonts w:ascii="Times New Roman" w:hAnsi="Times New Roman"/>
                <w:b/>
              </w:rPr>
              <w:t xml:space="preserve"> behandles som stater – Risikovægtede aktiver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lastRenderedPageBreak/>
              <w:t>Det risikovægtede eksponeringsbeløb for aktiver, der er eksponeringer mod regionale og lokale myndigheder, der ikke behandles som stater, som er omfattet af artikel 147, stk. 4, litra a), i CRR.</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lastRenderedPageBreak/>
              <w:t>{160;010}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Multilaterale udviklingsbanker, der </w:t>
            </w:r>
            <w:r w:rsidRPr="003E36FB">
              <w:rPr>
                <w:rFonts w:ascii="Times New Roman" w:hAnsi="Times New Roman"/>
                <w:b/>
                <w:u w:val="single"/>
              </w:rPr>
              <w:t>ikke</w:t>
            </w:r>
            <w:r w:rsidRPr="003E36FB">
              <w:rPr>
                <w:rFonts w:ascii="Times New Roman" w:hAnsi="Times New Roman"/>
                <w:b/>
              </w:rPr>
              <w:t xml:space="preserve"> behandles som stater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multilaterale udviklingsbanker, som er omfattet af artikel 117, stk. 1 og 3, i CRR.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{160;020}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rPr>
            </w:pPr>
            <w:r w:rsidRPr="003E36FB">
              <w:rPr>
                <w:rFonts w:ascii="Times New Roman" w:hAnsi="Times New Roman"/>
                <w:b/>
              </w:rPr>
              <w:t xml:space="preserve">Multilaterale udviklingsbanker, der </w:t>
            </w:r>
            <w:r w:rsidRPr="003E36FB">
              <w:rPr>
                <w:rFonts w:ascii="Times New Roman" w:hAnsi="Times New Roman"/>
                <w:b/>
                <w:u w:val="single"/>
              </w:rPr>
              <w:t>ikke</w:t>
            </w:r>
            <w:r w:rsidRPr="003E36FB">
              <w:rPr>
                <w:rFonts w:ascii="Times New Roman" w:hAnsi="Times New Roman"/>
                <w:b/>
              </w:rPr>
              <w:t xml:space="preserve"> behandles som stater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rPr>
            </w:pPr>
          </w:p>
          <w:p w:rsidR="002509B1"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multilaterale udviklingsbanker, der ikke behandles som stater, som er omfattet af artikel 147, stk. 4, litra c), i CRR. </w:t>
            </w:r>
          </w:p>
          <w:p w:rsidR="00315160" w:rsidRPr="003E36FB" w:rsidRDefault="00315160" w:rsidP="007E2A41">
            <w:pPr>
              <w:pStyle w:val="BodyText1"/>
              <w:spacing w:line="240" w:lineRule="auto"/>
              <w:rPr>
                <w:rFonts w:ascii="Times New Roman" w:hAnsi="Times New Roman"/>
                <w:b/>
                <w:bCs/>
                <w:u w:val="single"/>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9C4E79" w:rsidRPr="003E36FB" w:rsidDel="009A4B38" w:rsidRDefault="009C4E79"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{160;030}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Multilaterale udviklingsbanker, der </w:t>
            </w:r>
            <w:r w:rsidRPr="003E36FB">
              <w:rPr>
                <w:rFonts w:ascii="Times New Roman" w:hAnsi="Times New Roman"/>
                <w:b/>
                <w:u w:val="single"/>
              </w:rPr>
              <w:t>ikke</w:t>
            </w:r>
            <w:r w:rsidRPr="003E36FB">
              <w:rPr>
                <w:rFonts w:ascii="Times New Roman" w:hAnsi="Times New Roman"/>
                <w:b/>
              </w:rPr>
              <w:t xml:space="preserve"> behandles som stater – Risikovægtede aktiver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 risikovægtede eksponeringsbeløb for aktiver, der er eksponeringer mod multilaterale udviklingsbanker, som er omfattet af artikel 117, stk. 1 og 3, i CRR.</w:t>
            </w:r>
          </w:p>
          <w:p w:rsidR="002509B1" w:rsidRPr="003E36FB" w:rsidRDefault="002509B1" w:rsidP="007E2A41">
            <w:pPr>
              <w:pStyle w:val="BodyText1"/>
              <w:spacing w:line="240" w:lineRule="auto"/>
              <w:rPr>
                <w:rFonts w:ascii="Times New Roman" w:hAnsi="Times New Roman"/>
                <w:b/>
                <w:bCs/>
                <w:u w:val="single"/>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086A8A" w:rsidRPr="003E36FB" w:rsidRDefault="00086A8A"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{160;040}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Multilaterale udviklingsbanker, der </w:t>
            </w:r>
            <w:r w:rsidRPr="003E36FB">
              <w:rPr>
                <w:rFonts w:ascii="Times New Roman" w:hAnsi="Times New Roman"/>
                <w:b/>
                <w:u w:val="single"/>
              </w:rPr>
              <w:t>ikke</w:t>
            </w:r>
            <w:r w:rsidRPr="003E36FB">
              <w:rPr>
                <w:rFonts w:ascii="Times New Roman" w:hAnsi="Times New Roman"/>
                <w:b/>
              </w:rPr>
              <w:t xml:space="preserve"> behandles som stater – Risikovægtede aktiver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multilaterale udviklingsbanker, der ikke behandles som stater, som er omfattet af artikel 147, stk. 4, litra c), i CRR. </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A60C43">
            <w:pPr>
              <w:pStyle w:val="BodyText1"/>
              <w:rPr>
                <w:rFonts w:ascii="Times New Roman" w:hAnsi="Times New Roman"/>
              </w:rPr>
            </w:pPr>
            <w:r w:rsidRPr="003E36FB">
              <w:rPr>
                <w:rFonts w:ascii="Times New Roman" w:hAnsi="Times New Roman"/>
              </w:rPr>
              <w:t>{170;010}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Offentlige enheder, der </w:t>
            </w:r>
            <w:r w:rsidRPr="003E36FB">
              <w:rPr>
                <w:rFonts w:ascii="Times New Roman" w:hAnsi="Times New Roman"/>
                <w:b/>
                <w:u w:val="single"/>
              </w:rPr>
              <w:t>ikke</w:t>
            </w:r>
            <w:r w:rsidRPr="003E36FB">
              <w:rPr>
                <w:rFonts w:ascii="Times New Roman" w:hAnsi="Times New Roman"/>
                <w:b/>
              </w:rPr>
              <w:t xml:space="preserve"> behandles som stater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offentlige enheder, som er omfattet af artikel 116, stk. 1, 2, 3 og 5, i CRR.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{170;020}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rPr>
            </w:pPr>
            <w:r w:rsidRPr="003E36FB">
              <w:rPr>
                <w:rFonts w:ascii="Times New Roman" w:hAnsi="Times New Roman"/>
                <w:b/>
              </w:rPr>
              <w:t xml:space="preserve">Offentlige enheder, der </w:t>
            </w:r>
            <w:r w:rsidRPr="003E36FB">
              <w:rPr>
                <w:rFonts w:ascii="Times New Roman" w:hAnsi="Times New Roman"/>
                <w:b/>
                <w:u w:val="single"/>
              </w:rPr>
              <w:t>ikke</w:t>
            </w:r>
            <w:r w:rsidRPr="003E36FB">
              <w:rPr>
                <w:rFonts w:ascii="Times New Roman" w:hAnsi="Times New Roman"/>
                <w:b/>
              </w:rPr>
              <w:t xml:space="preserve"> behandles som stater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offentlige enheder, der ikke behandles som stater, som er omfattet af artikel 147, stk. 4, litra b), i CRR. </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9C4E79" w:rsidRPr="003E36FB" w:rsidDel="00973F19" w:rsidRDefault="009C4E79"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{170;030}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Offentlige enheder, der </w:t>
            </w:r>
            <w:r w:rsidRPr="003E36FB">
              <w:rPr>
                <w:rFonts w:ascii="Times New Roman" w:hAnsi="Times New Roman"/>
                <w:b/>
                <w:u w:val="single"/>
              </w:rPr>
              <w:t>ikke</w:t>
            </w:r>
            <w:r w:rsidRPr="003E36FB">
              <w:rPr>
                <w:rFonts w:ascii="Times New Roman" w:hAnsi="Times New Roman"/>
                <w:b/>
              </w:rPr>
              <w:t xml:space="preserve"> behandles som stater – Risikovægtede aktiver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offentlige enheder, </w:t>
            </w:r>
            <w:r w:rsidRPr="003E36FB">
              <w:rPr>
                <w:rFonts w:ascii="Times New Roman" w:hAnsi="Times New Roman"/>
              </w:rPr>
              <w:lastRenderedPageBreak/>
              <w:t xml:space="preserve">som er omfattet af artikel 116, stk. 1, 2, 3 og 5, i CRR.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lastRenderedPageBreak/>
              <w:t>{170;040}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 xml:space="preserve">Offentlige enheder, der </w:t>
            </w:r>
            <w:r w:rsidRPr="003E36FB">
              <w:rPr>
                <w:rFonts w:ascii="Times New Roman" w:hAnsi="Times New Roman"/>
                <w:b/>
                <w:u w:val="single"/>
              </w:rPr>
              <w:t>ikke</w:t>
            </w:r>
            <w:r w:rsidRPr="003E36FB">
              <w:rPr>
                <w:rFonts w:ascii="Times New Roman" w:hAnsi="Times New Roman"/>
                <w:b/>
              </w:rPr>
              <w:t xml:space="preserve"> behandles som stater – Risikovægtede aktiver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offentlige enheder, der ikke behandles som stater, som er omfattet af artikel 147, stk. 4, litra b), i CRR. </w:t>
            </w:r>
          </w:p>
          <w:p w:rsidR="009C4E79" w:rsidRPr="003E36FB" w:rsidRDefault="009C4E79" w:rsidP="007E2A41">
            <w:pPr>
              <w:pStyle w:val="BodyText1"/>
              <w:spacing w:line="240" w:lineRule="auto"/>
              <w:rPr>
                <w:rFonts w:ascii="Times New Roman" w:hAnsi="Times New Roman"/>
                <w:b/>
                <w:bCs/>
                <w:u w:val="single"/>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9C4E79" w:rsidRPr="003E36FB" w:rsidRDefault="009C4E79"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{180;010}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Institutter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institutter, som er omfattet af artikel 119-121 i CRR.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{180;020}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b/>
              </w:rPr>
              <w:t>Institutter</w:t>
            </w:r>
            <w:r w:rsidRPr="003E36FB">
              <w:rPr>
                <w:rFonts w:ascii="Times New Roman" w:hAnsi="Times New Roman"/>
              </w:rPr>
              <w:t xml:space="preserve"> </w:t>
            </w:r>
            <w:r w:rsidRPr="003E36FB">
              <w:rPr>
                <w:rFonts w:ascii="Times New Roman" w:hAnsi="Times New Roman"/>
                <w:b/>
              </w:rPr>
              <w:t>— Eksponeringsværdi bag gearingsgraden — Eksponeringer opgjort efter IRB-metoden</w:t>
            </w:r>
          </w:p>
          <w:p w:rsidR="002509B1" w:rsidRPr="003E36FB" w:rsidRDefault="002509B1" w:rsidP="007E2A41">
            <w:pPr>
              <w:pStyle w:val="BodyText1"/>
              <w:spacing w:line="240" w:lineRule="auto"/>
              <w:rPr>
                <w:rFonts w:ascii="Times New Roman" w:hAnsi="Times New Roman"/>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institutter, som er omfattet af artikel 147, stk. 2, litra b), i CRR, og som </w:t>
            </w:r>
            <w:r w:rsidRPr="003E36FB">
              <w:rPr>
                <w:rFonts w:ascii="Times New Roman" w:hAnsi="Times New Roman"/>
                <w:b/>
                <w:u w:val="single"/>
              </w:rPr>
              <w:t>ikke</w:t>
            </w:r>
            <w:r w:rsidRPr="003E36FB">
              <w:rPr>
                <w:rFonts w:ascii="Times New Roman" w:hAnsi="Times New Roman"/>
              </w:rPr>
              <w:t xml:space="preserve"> er eksponeringer i form af særligt dækkede obligationer og særligt dækkede realkreditobligationer som defineret i artikel 161, stk. 1, litra d), i CRR, og som </w:t>
            </w:r>
            <w:r w:rsidRPr="003E36FB">
              <w:rPr>
                <w:rFonts w:ascii="Times New Roman" w:hAnsi="Times New Roman"/>
                <w:b/>
                <w:u w:val="single"/>
              </w:rPr>
              <w:t>ikke</w:t>
            </w:r>
            <w:r w:rsidRPr="003E36FB">
              <w:rPr>
                <w:rFonts w:ascii="Times New Roman" w:hAnsi="Times New Roman"/>
              </w:rPr>
              <w:t xml:space="preserve"> er omhandlet i artikel 147, stk. 4, litra a)-c), i CRR.</w:t>
            </w:r>
          </w:p>
          <w:p w:rsidR="002509B1" w:rsidRPr="003E36FB" w:rsidRDefault="002509B1" w:rsidP="007E2A41">
            <w:pPr>
              <w:pStyle w:val="BodyText1"/>
              <w:spacing w:line="240" w:lineRule="auto"/>
              <w:rPr>
                <w:rFonts w:ascii="Times New Roman" w:hAnsi="Times New Roman"/>
                <w:b/>
                <w:bCs/>
                <w:u w:val="single"/>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9C4E79" w:rsidRPr="003E36FB" w:rsidRDefault="009C4E79"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{180;030}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Institutter – Risikovægtede aktiver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institutter, som er omfattet af artikel 119-121 i CRR.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{180;040}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Institutter – Risikovægtede aktiver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institutter, som er omfattet af artikel 147, stk. 2, litra b), i CRR, og som </w:t>
            </w:r>
            <w:r w:rsidRPr="003E36FB">
              <w:rPr>
                <w:rFonts w:ascii="Times New Roman" w:hAnsi="Times New Roman"/>
                <w:b/>
                <w:u w:val="single"/>
              </w:rPr>
              <w:t>ikke</w:t>
            </w:r>
            <w:r w:rsidRPr="003E36FB">
              <w:rPr>
                <w:rFonts w:ascii="Times New Roman" w:hAnsi="Times New Roman"/>
              </w:rPr>
              <w:t xml:space="preserve"> er eksponeringer i form af særligt dækkede obligationer og særligt dækkede realkreditobligationer som defineret i artikel 161, stk. 1, litra d), i CRR, og som </w:t>
            </w:r>
            <w:r w:rsidRPr="003E36FB">
              <w:rPr>
                <w:rFonts w:ascii="Times New Roman" w:hAnsi="Times New Roman"/>
                <w:b/>
                <w:u w:val="single"/>
              </w:rPr>
              <w:t>ikke</w:t>
            </w:r>
            <w:r w:rsidRPr="003E36FB">
              <w:rPr>
                <w:rFonts w:ascii="Times New Roman" w:hAnsi="Times New Roman"/>
              </w:rPr>
              <w:t xml:space="preserve"> er omhandlet i artikel 147, stk. 4, litra a)-c), i CRR.</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A60C43">
            <w:pPr>
              <w:pStyle w:val="BodyText1"/>
              <w:rPr>
                <w:rFonts w:ascii="Times New Roman" w:hAnsi="Times New Roman"/>
              </w:rPr>
            </w:pPr>
            <w:r w:rsidRPr="003E36FB">
              <w:rPr>
                <w:rFonts w:ascii="Times New Roman" w:hAnsi="Times New Roman"/>
              </w:rPr>
              <w:t>{190;010}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Sikkerhed i form af pant i fast ejendom, heraf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Eksponeringsværdien bag gearingsgraden af aktiver, der er eksponeringer sikret ved pant i fast ejendom, som er omfattet af artikel 124 i CRR.</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{190;020}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Sikkerhed i form af pant i fast ejendom, heraf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selskaber i henhold til artikel 147, stk. 2, litra c), eller detaileksponeringer i henhold til artikel 147, stk. 2, litra d), i </w:t>
            </w:r>
            <w:r w:rsidRPr="003E36FB">
              <w:rPr>
                <w:rFonts w:ascii="Times New Roman" w:hAnsi="Times New Roman"/>
              </w:rPr>
              <w:lastRenderedPageBreak/>
              <w:t>CRR, hvis disse eksponeringer er sikret ved pant i fast ejendom i overensstemmelse med artikel 199, stk. 1, litra a), i CRR.</w:t>
            </w:r>
          </w:p>
          <w:p w:rsidR="002509B1" w:rsidRPr="003E36FB" w:rsidRDefault="002509B1" w:rsidP="007E2A41">
            <w:pPr>
              <w:pStyle w:val="BodyText1"/>
              <w:spacing w:line="240" w:lineRule="auto"/>
              <w:rPr>
                <w:rFonts w:ascii="Times New Roman" w:hAnsi="Times New Roman"/>
                <w:bCs/>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9C4E79" w:rsidRPr="003E36FB" w:rsidRDefault="009C4E79"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lastRenderedPageBreak/>
              <w:t>{190;030}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Sikkerhed i form af pant i fast ejendom, heraf — Risikovægtede aktiver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 risikovægtede eksponeringsbeløb for aktiver, der er eksponeringer sikret ved pant i fast ejendom, som er omfattet af artikel 124 i CRR.</w:t>
            </w:r>
          </w:p>
          <w:p w:rsidR="002509B1" w:rsidRPr="003E36FB" w:rsidRDefault="002509B1" w:rsidP="007E2A41">
            <w:pPr>
              <w:pStyle w:val="BodyText1"/>
              <w:spacing w:line="240" w:lineRule="auto"/>
              <w:rPr>
                <w:rFonts w:ascii="Times New Roman" w:hAnsi="Times New Roman"/>
                <w:b/>
                <w:bCs/>
                <w:u w:val="single"/>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086A8A" w:rsidRPr="003E36FB" w:rsidRDefault="00086A8A"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{190;040}</w:t>
            </w:r>
          </w:p>
        </w:tc>
        <w:tc>
          <w:tcPr>
            <w:tcW w:w="8133" w:type="dxa"/>
            <w:shd w:val="clear" w:color="auto" w:fill="FFFFFF"/>
          </w:tcPr>
          <w:p w:rsidR="00F4754B" w:rsidRPr="003E36FB" w:rsidRDefault="00F4754B" w:rsidP="00706750">
            <w:pPr>
              <w:pStyle w:val="BodyText1"/>
              <w:tabs>
                <w:tab w:val="left" w:pos="6382"/>
              </w:tabs>
              <w:spacing w:line="240" w:lineRule="auto"/>
              <w:rPr>
                <w:rFonts w:ascii="Times New Roman" w:hAnsi="Times New Roman"/>
                <w:b/>
                <w:bCs/>
              </w:rPr>
            </w:pPr>
            <w:r w:rsidRPr="003E36FB">
              <w:rPr>
                <w:rFonts w:ascii="Times New Roman" w:hAnsi="Times New Roman"/>
                <w:b/>
              </w:rPr>
              <w:t>Sikkerhed i form af pant i fast ejendom, heraf — Risikovægtede aktiver — Eksponeringer opgjort efter IRB-metoden</w:t>
            </w:r>
            <w:r w:rsidRPr="003E36FB">
              <w:tab/>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 risikovægtede eksponeringsbeløb for aktiver, der er eksponeringer mod selskaber i henhold til artikel 147, stk. 2, litra c), eller detaileksponeringer i henhold til artikel 147, stk. 2, litra d), i CRR, hvis disse eksponeringer er sikret ved pant i fast ejendom i overensstemmelse med artikel 199, stk. 1, litra a), i CRR.</w:t>
            </w:r>
          </w:p>
          <w:p w:rsidR="002509B1" w:rsidRPr="003E36FB" w:rsidRDefault="002509B1" w:rsidP="007E2A41">
            <w:pPr>
              <w:pStyle w:val="BodyText1"/>
              <w:spacing w:line="240" w:lineRule="auto"/>
              <w:rPr>
                <w:rFonts w:ascii="Times New Roman" w:hAnsi="Times New Roman"/>
                <w:b/>
                <w:bCs/>
                <w:u w:val="single"/>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9C4E79" w:rsidRPr="003E36FB" w:rsidRDefault="009C4E79"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EA3F88">
            <w:pPr>
              <w:pStyle w:val="BodyText1"/>
              <w:rPr>
                <w:rFonts w:ascii="Times New Roman" w:hAnsi="Times New Roman"/>
              </w:rPr>
            </w:pPr>
            <w:r w:rsidRPr="003E36FB">
              <w:rPr>
                <w:rFonts w:ascii="Times New Roman" w:hAnsi="Times New Roman"/>
              </w:rPr>
              <w:t>{200;010}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Sikkerhed i form af pant i beboelsesejendom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Eksponeringsværdien bag gearingsgraden af aktiver, der er eksponeringer fuldt og helt sikret ved pant i beboelsesejendom, som er omfattet af artikel 125 i CRR.</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{200;020}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rPr>
            </w:pPr>
            <w:r w:rsidRPr="003E36FB">
              <w:rPr>
                <w:rFonts w:ascii="Times New Roman" w:hAnsi="Times New Roman"/>
                <w:b/>
              </w:rPr>
              <w:t>Sikkerhed i form af pant i beboelsesejendom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Eksponeringsværdien bag gearingsgraden af aktiver, der er eksponeringer mod selskaber i henhold til artikel 147, stk. 2, litra c), eller detaileksponeringer i henhold til artikel 147, stk. 2, litra d), i CRR, hvis disse eksponeringer er sikret ved pant i beboelsesejendom i overensstemmelse med artikel 199, stk. 1, litra a), i CRR.</w:t>
            </w:r>
          </w:p>
          <w:p w:rsidR="009C4E79" w:rsidRPr="003E36FB" w:rsidRDefault="009C4E79" w:rsidP="007E2A41">
            <w:pPr>
              <w:pStyle w:val="BodyText1"/>
              <w:spacing w:line="240" w:lineRule="auto"/>
              <w:rPr>
                <w:rFonts w:ascii="Times New Roman" w:hAnsi="Times New Roman"/>
                <w:bCs/>
              </w:rPr>
            </w:pPr>
          </w:p>
          <w:p w:rsidR="002509B1" w:rsidRPr="003E36FB" w:rsidDel="003A59D6" w:rsidRDefault="009C4E79" w:rsidP="007E2A41">
            <w:pPr>
              <w:pStyle w:val="BodyText1"/>
              <w:spacing w:line="240" w:lineRule="auto"/>
              <w:rPr>
                <w:rFonts w:ascii="Times New Roman" w:hAnsi="Times New Roman"/>
                <w:b/>
                <w:bCs/>
                <w:u w:val="single"/>
              </w:rPr>
            </w:pPr>
            <w:r w:rsidRPr="003E36FB">
              <w:rPr>
                <w:rFonts w:ascii="Times New Roman" w:hAnsi="Times New Roman"/>
              </w:rPr>
              <w:t>Institutterne skal indberette denne post fratrukket misligholdte eksponeringer.</w:t>
            </w: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{200;030}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Sikkerhed i form af pant i beboelsesejendom – Risikovægtede aktiver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 risikovægtede eksponeringsbeløb for aktiver, der er eksponeringer fuldt og helt sikret ved pant i beboelsesejendom, som er omfattet af artikel 125 i CRR.</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F4754B">
            <w:pPr>
              <w:pStyle w:val="BodyText1"/>
              <w:rPr>
                <w:rFonts w:ascii="Times New Roman" w:hAnsi="Times New Roman"/>
              </w:rPr>
            </w:pPr>
            <w:r w:rsidRPr="003E36FB">
              <w:rPr>
                <w:rFonts w:ascii="Times New Roman" w:hAnsi="Times New Roman"/>
              </w:rPr>
              <w:t>{200;040}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Sikkerhed i form af pant i beboelsesejendom – Risikovægtede aktiver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selskaber i henhold til artikel 147, stk. 2, litra c), eller detaileksponeringer i henhold til artikel 147, stk. 2, litra d), i CRR, hvis disse eksponeringer er sikret ved pant i beboelsesejendom i overensstemmelse med artikel 199, stk. 1, litra a), i CRR. </w:t>
            </w:r>
          </w:p>
          <w:p w:rsidR="009C4E79" w:rsidRPr="003E36FB" w:rsidRDefault="009C4E79" w:rsidP="007E2A41">
            <w:pPr>
              <w:pStyle w:val="BodyText1"/>
              <w:spacing w:line="240" w:lineRule="auto"/>
              <w:rPr>
                <w:rFonts w:ascii="Times New Roman" w:hAnsi="Times New Roman"/>
                <w:bCs/>
              </w:rPr>
            </w:pPr>
          </w:p>
          <w:p w:rsidR="002509B1" w:rsidRPr="003E36FB" w:rsidRDefault="009C4E79" w:rsidP="007E2A41">
            <w:pPr>
              <w:pStyle w:val="BodyText1"/>
              <w:spacing w:line="240" w:lineRule="auto"/>
              <w:rPr>
                <w:rFonts w:ascii="Times New Roman" w:hAnsi="Times New Roman"/>
                <w:b/>
                <w:bCs/>
                <w:u w:val="single"/>
              </w:rPr>
            </w:pPr>
            <w:r w:rsidRPr="003E36FB">
              <w:rPr>
                <w:rFonts w:ascii="Times New Roman" w:hAnsi="Times New Roman"/>
              </w:rPr>
              <w:t>Institutterne skal indberette denne post fratrukket misligholdte eksponeringer.</w:t>
            </w: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{210;010}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Detaileksponeringer, heraf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detaileksponeringer, som er omfattet af artikel 123 i CRR.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lastRenderedPageBreak/>
              <w:t>{210;020}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Detaileksponeringer, heraf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detaileksponeringer i henhold til artikel 147, stk. 2, litra d), i CRR, hvis disse eksponeringer </w:t>
            </w:r>
            <w:r w:rsidRPr="003E36FB">
              <w:rPr>
                <w:rFonts w:ascii="Times New Roman" w:hAnsi="Times New Roman"/>
                <w:b/>
                <w:u w:val="single"/>
              </w:rPr>
              <w:t>ikke</w:t>
            </w:r>
            <w:r w:rsidRPr="003E36FB">
              <w:rPr>
                <w:rFonts w:ascii="Times New Roman" w:hAnsi="Times New Roman"/>
              </w:rPr>
              <w:t xml:space="preserve"> er sikret ved pant i fast ejendom i overensstemmelse med artikel 199, stk. 1, litra a), i CRR. </w:t>
            </w:r>
          </w:p>
          <w:p w:rsidR="009C4E79" w:rsidRPr="003E36FB" w:rsidRDefault="009C4E79" w:rsidP="007E2A41">
            <w:pPr>
              <w:pStyle w:val="BodyText1"/>
              <w:spacing w:line="240" w:lineRule="auto"/>
              <w:rPr>
                <w:rFonts w:ascii="Times New Roman" w:hAnsi="Times New Roman"/>
                <w:bCs/>
              </w:rPr>
            </w:pPr>
          </w:p>
          <w:p w:rsidR="00086A8A"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{210;030}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Detaileksponeringer, heraf — Risikovægtede aktiver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detaileksponeringer, som er omfattet af artikel 123 i CRR.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A60C43">
            <w:pPr>
              <w:pStyle w:val="BodyText1"/>
              <w:rPr>
                <w:rFonts w:ascii="Times New Roman" w:hAnsi="Times New Roman"/>
              </w:rPr>
            </w:pPr>
            <w:r w:rsidRPr="003E36FB">
              <w:rPr>
                <w:rFonts w:ascii="Times New Roman" w:hAnsi="Times New Roman"/>
              </w:rPr>
              <w:t>{210;040}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Detaileksponeringer, heraf – Risikovægtede aktiver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detaileksponeringer i henhold til artikel 147, stk. 2, litra d), i CRR, hvis disse eksponeringer </w:t>
            </w:r>
            <w:r w:rsidRPr="003E36FB">
              <w:rPr>
                <w:rFonts w:ascii="Times New Roman" w:hAnsi="Times New Roman"/>
                <w:b/>
                <w:u w:val="single"/>
              </w:rPr>
              <w:t>ikke</w:t>
            </w:r>
            <w:r w:rsidRPr="003E36FB">
              <w:rPr>
                <w:rFonts w:ascii="Times New Roman" w:hAnsi="Times New Roman"/>
              </w:rPr>
              <w:t xml:space="preserve"> er sikret ved pant i fast ejendom i overensstemmelse med artikel 199, stk. 1, litra a), i CRR. </w:t>
            </w:r>
          </w:p>
          <w:p w:rsidR="002509B1" w:rsidRPr="003E36FB" w:rsidRDefault="002509B1" w:rsidP="007E2A41">
            <w:pPr>
              <w:pStyle w:val="BodyText1"/>
              <w:spacing w:line="240" w:lineRule="auto"/>
              <w:rPr>
                <w:rFonts w:ascii="Times New Roman" w:hAnsi="Times New Roman"/>
                <w:b/>
                <w:bCs/>
                <w:u w:val="single"/>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9C4E79" w:rsidRPr="003E36FB" w:rsidRDefault="009C4E79"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{220;010}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proofErr w:type="spellStart"/>
            <w:r w:rsidRPr="003E36FB">
              <w:rPr>
                <w:rFonts w:ascii="Times New Roman" w:hAnsi="Times New Roman"/>
                <w:b/>
              </w:rPr>
              <w:t>Detail-SMV'er</w:t>
            </w:r>
            <w:proofErr w:type="spellEnd"/>
            <w:r w:rsidRPr="003E36FB">
              <w:rPr>
                <w:rFonts w:ascii="Times New Roman" w:hAnsi="Times New Roman"/>
                <w:b/>
              </w:rPr>
              <w:t xml:space="preserve">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detaileksponeringer mod små og mellemstore virksomheder, som er omfattet af artikel 123 i CRR. </w:t>
            </w:r>
          </w:p>
          <w:p w:rsidR="00BB5324" w:rsidRPr="003E36FB" w:rsidRDefault="00BB5324" w:rsidP="007E2A41">
            <w:pPr>
              <w:pStyle w:val="BodyText1"/>
              <w:spacing w:line="240" w:lineRule="auto"/>
              <w:rPr>
                <w:rFonts w:ascii="Times New Roman" w:hAnsi="Times New Roman"/>
                <w:bCs/>
              </w:rPr>
            </w:pPr>
          </w:p>
          <w:p w:rsidR="004B653A" w:rsidRPr="003E36FB" w:rsidRDefault="004B653A" w:rsidP="007E2A41">
            <w:pPr>
              <w:pStyle w:val="BodyText1"/>
              <w:spacing w:line="240" w:lineRule="auto"/>
              <w:rPr>
                <w:rFonts w:ascii="Times New Roman" w:hAnsi="Times New Roman"/>
                <w:bCs/>
              </w:rPr>
            </w:pPr>
            <w:r w:rsidRPr="003E36FB">
              <w:rPr>
                <w:rFonts w:ascii="Times New Roman" w:hAnsi="Times New Roman"/>
              </w:rPr>
              <w:t>For så vidt angår denne celle defineres små og mellemstore virksomheder som fastsat i artikel 501, stk. 2, litra b), i CRR.</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{220;020}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proofErr w:type="spellStart"/>
            <w:r w:rsidRPr="003E36FB">
              <w:rPr>
                <w:rFonts w:ascii="Times New Roman" w:hAnsi="Times New Roman"/>
                <w:b/>
              </w:rPr>
              <w:t>Detail-SMV'er</w:t>
            </w:r>
            <w:proofErr w:type="spellEnd"/>
            <w:r w:rsidRPr="003E36FB">
              <w:rPr>
                <w:rFonts w:ascii="Times New Roman" w:hAnsi="Times New Roman"/>
                <w:b/>
              </w:rPr>
              <w:t xml:space="preserve">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bCs/>
              </w:rPr>
            </w:pPr>
          </w:p>
          <w:p w:rsidR="00315160"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detaileksponeringer i henhold til artikel 147, stk. 2, litra d), i CRR, hvis disse eksponeringer er eksponeringer mod små og mellemstore virksomheder, som </w:t>
            </w:r>
            <w:r w:rsidRPr="003E36FB">
              <w:rPr>
                <w:rFonts w:ascii="Times New Roman" w:hAnsi="Times New Roman"/>
                <w:b/>
                <w:u w:val="single"/>
              </w:rPr>
              <w:t>ikke</w:t>
            </w:r>
            <w:r w:rsidRPr="003E36FB">
              <w:rPr>
                <w:rFonts w:ascii="Times New Roman" w:hAnsi="Times New Roman"/>
              </w:rPr>
              <w:t xml:space="preserve"> er sikret ved pant i fast ejendom i overensstemmelse med artikel 199, stk. 1, litra a), i CRR.</w:t>
            </w:r>
          </w:p>
          <w:p w:rsidR="00F4754B" w:rsidRPr="003E36FB" w:rsidRDefault="00315160" w:rsidP="007E2A41">
            <w:pPr>
              <w:pStyle w:val="BodyText1"/>
              <w:spacing w:line="240" w:lineRule="auto"/>
              <w:rPr>
                <w:rFonts w:ascii="Times New Roman" w:hAnsi="Times New Roman"/>
                <w:bCs/>
              </w:rPr>
            </w:pPr>
            <w:r w:rsidRPr="003E36FB">
              <w:rPr>
                <w:rFonts w:ascii="Times New Roman" w:hAnsi="Times New Roman"/>
              </w:rPr>
              <w:t xml:space="preserve"> </w:t>
            </w:r>
          </w:p>
          <w:p w:rsidR="004B653A" w:rsidRPr="003E36FB" w:rsidRDefault="004B653A" w:rsidP="007E2A41">
            <w:pPr>
              <w:pStyle w:val="BodyText1"/>
              <w:spacing w:line="240" w:lineRule="auto"/>
              <w:rPr>
                <w:rFonts w:ascii="Times New Roman" w:hAnsi="Times New Roman"/>
                <w:bCs/>
              </w:rPr>
            </w:pPr>
            <w:r w:rsidRPr="003E36FB">
              <w:rPr>
                <w:rFonts w:ascii="Times New Roman" w:hAnsi="Times New Roman"/>
              </w:rPr>
              <w:t>For så vidt angår denne celle defineres små og mellemstore virksomheder som fastsat i artikel 501, stk. 2, litra b), i CRR.</w:t>
            </w:r>
          </w:p>
          <w:p w:rsidR="009C4E79" w:rsidRPr="003E36FB" w:rsidRDefault="009C4E79" w:rsidP="009C4E79">
            <w:pPr>
              <w:pStyle w:val="BodyText1"/>
              <w:spacing w:line="240" w:lineRule="auto"/>
              <w:rPr>
                <w:rFonts w:ascii="Times New Roman" w:hAnsi="Times New Roman"/>
                <w:bCs/>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Del="00EC6E42"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{220;030}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proofErr w:type="spellStart"/>
            <w:r w:rsidRPr="003E36FB">
              <w:rPr>
                <w:rFonts w:ascii="Times New Roman" w:hAnsi="Times New Roman"/>
                <w:b/>
              </w:rPr>
              <w:t>Detail-SMV'er</w:t>
            </w:r>
            <w:proofErr w:type="spellEnd"/>
            <w:r w:rsidRPr="003E36FB">
              <w:rPr>
                <w:rFonts w:ascii="Times New Roman" w:hAnsi="Times New Roman"/>
                <w:b/>
              </w:rPr>
              <w:t xml:space="preserve"> — Risikovægtede aktiver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detaileksponeringer mod små og </w:t>
            </w:r>
            <w:r w:rsidRPr="003E36FB">
              <w:rPr>
                <w:rFonts w:ascii="Times New Roman" w:hAnsi="Times New Roman"/>
              </w:rPr>
              <w:lastRenderedPageBreak/>
              <w:t xml:space="preserve">mellemstore virksomheder, som er omfattet af artikel 123 i CRR. </w:t>
            </w:r>
          </w:p>
          <w:p w:rsidR="00BB5324" w:rsidRPr="003E36FB" w:rsidRDefault="00BB5324" w:rsidP="007E2A41">
            <w:pPr>
              <w:pStyle w:val="BodyText1"/>
              <w:spacing w:line="240" w:lineRule="auto"/>
              <w:rPr>
                <w:rFonts w:ascii="Times New Roman" w:hAnsi="Times New Roman"/>
                <w:bCs/>
              </w:rPr>
            </w:pPr>
          </w:p>
          <w:p w:rsidR="004B653A" w:rsidRPr="003E36FB" w:rsidRDefault="004B653A" w:rsidP="007E2A41">
            <w:pPr>
              <w:pStyle w:val="BodyText1"/>
              <w:spacing w:line="240" w:lineRule="auto"/>
              <w:rPr>
                <w:rFonts w:ascii="Times New Roman" w:hAnsi="Times New Roman"/>
                <w:bCs/>
              </w:rPr>
            </w:pPr>
            <w:r w:rsidRPr="003E36FB">
              <w:rPr>
                <w:rFonts w:ascii="Times New Roman" w:hAnsi="Times New Roman"/>
              </w:rPr>
              <w:t>For så vidt angår denne celle defineres små og mellemstore virksomheder som fastsat i artikel 501, stk. 2, litra b), i CRR.</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lastRenderedPageBreak/>
              <w:t>{220;040}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proofErr w:type="spellStart"/>
            <w:r w:rsidRPr="003E36FB">
              <w:rPr>
                <w:rFonts w:ascii="Times New Roman" w:hAnsi="Times New Roman"/>
                <w:b/>
              </w:rPr>
              <w:t>Detail-SMV'er</w:t>
            </w:r>
            <w:proofErr w:type="spellEnd"/>
            <w:r w:rsidRPr="003E36FB">
              <w:rPr>
                <w:rFonts w:ascii="Times New Roman" w:hAnsi="Times New Roman"/>
                <w:b/>
              </w:rPr>
              <w:t xml:space="preserve"> — Risikovægtede aktiver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detaileksponeringer i henhold til artikel 147, stk. 2, litra d), i CRR, hvis disse eksponeringer er eksponeringer mod små og mellemstore virksomheder, som </w:t>
            </w:r>
            <w:r w:rsidRPr="003E36FB">
              <w:rPr>
                <w:rFonts w:ascii="Times New Roman" w:hAnsi="Times New Roman"/>
                <w:b/>
                <w:u w:val="single"/>
              </w:rPr>
              <w:t>ikke</w:t>
            </w:r>
            <w:r w:rsidRPr="003E36FB">
              <w:rPr>
                <w:rFonts w:ascii="Times New Roman" w:hAnsi="Times New Roman"/>
              </w:rPr>
              <w:t xml:space="preserve"> er sikret ved pant i fast ejendom i overensstemmelse med artikel 199, stk. 1, litra a), i CRR. </w:t>
            </w:r>
          </w:p>
          <w:p w:rsidR="00BB5324" w:rsidRPr="003E36FB" w:rsidRDefault="00BB5324" w:rsidP="007E2A41">
            <w:pPr>
              <w:pStyle w:val="BodyText1"/>
              <w:spacing w:line="240" w:lineRule="auto"/>
              <w:rPr>
                <w:rFonts w:ascii="Times New Roman" w:hAnsi="Times New Roman"/>
                <w:bCs/>
              </w:rPr>
            </w:pPr>
          </w:p>
          <w:p w:rsidR="004B653A" w:rsidRPr="003E36FB" w:rsidRDefault="004B653A" w:rsidP="007E2A41">
            <w:pPr>
              <w:pStyle w:val="BodyText1"/>
              <w:spacing w:line="240" w:lineRule="auto"/>
              <w:rPr>
                <w:rFonts w:ascii="Times New Roman" w:hAnsi="Times New Roman"/>
                <w:bCs/>
              </w:rPr>
            </w:pPr>
            <w:r w:rsidRPr="003E36FB">
              <w:rPr>
                <w:rFonts w:ascii="Times New Roman" w:hAnsi="Times New Roman"/>
              </w:rPr>
              <w:t>For så vidt angår denne celle defineres små og mellemstore virksomheder som fastsat i artikel 501, stk. 2, litra b), i CRR.</w:t>
            </w:r>
          </w:p>
          <w:p w:rsidR="009C4E79" w:rsidRPr="003E36FB" w:rsidRDefault="009C4E79" w:rsidP="007E2A41">
            <w:pPr>
              <w:pStyle w:val="BodyText1"/>
              <w:spacing w:line="240" w:lineRule="auto"/>
              <w:rPr>
                <w:rFonts w:ascii="Times New Roman" w:hAnsi="Times New Roman"/>
                <w:b/>
                <w:bCs/>
                <w:u w:val="single"/>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9C4E79" w:rsidRPr="003E36FB" w:rsidRDefault="009C4E79"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{230;010}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Selskaber, heraf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rPr>
            </w:pPr>
            <w:r w:rsidRPr="003E36FB">
              <w:rPr>
                <w:rFonts w:ascii="Times New Roman" w:hAnsi="Times New Roman"/>
              </w:rPr>
              <w:t>Dette er summen af {240,010} og {250,010}</w:t>
            </w:r>
          </w:p>
          <w:p w:rsidR="00086A8A" w:rsidRPr="003E36FB" w:rsidRDefault="00086A8A" w:rsidP="007E2A41">
            <w:pPr>
              <w:pStyle w:val="BodyText1"/>
              <w:spacing w:line="240" w:lineRule="auto"/>
              <w:rPr>
                <w:rFonts w:ascii="Times New Roman" w:hAnsi="Times New Roman"/>
              </w:rPr>
            </w:pPr>
          </w:p>
          <w:p w:rsidR="00086A8A" w:rsidRPr="003E36FB" w:rsidRDefault="00086A8A" w:rsidP="007E2A41">
            <w:pPr>
              <w:pStyle w:val="BodyText1"/>
              <w:spacing w:line="240" w:lineRule="auto"/>
              <w:rPr>
                <w:rFonts w:ascii="Times New Roman" w:hAnsi="Times New Roman"/>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{230;020}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Selskaber, heraf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{240,020} og {250,020}</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{230;030}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Selskaber, heraf — Risikovægtede aktiver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{240,030} og {250,030}</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{230;040}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Selskaber, heraf – Risikovægtede aktiver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{240,040} og {250,040}</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{240;010}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Finansielle selskaber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finansielle selskaber, som er omfattet af artikel 122 i CRR. Ved indberetning i LR4 forstås ved finansielle selskaber regulerede og uregulerede virksomheder, som ikke er institutter nævnt i {180;10}, og hvis hovedvirksomhed består i at erhverve kapitalandele eller i at udøve en eller flere af aktiviteterne i bilag I til direktiv 2013/36/EU, samt virksomheder som defineret i artikel 4, stk. 1, nr. 27), i CRR, som ikke er institutter nævnt i {180;10}. </w:t>
            </w:r>
          </w:p>
          <w:p w:rsidR="00086A8A" w:rsidRPr="003E36FB" w:rsidRDefault="00BB5324" w:rsidP="007E2A41">
            <w:pPr>
              <w:pStyle w:val="BodyText1"/>
              <w:spacing w:line="240" w:lineRule="auto"/>
              <w:rPr>
                <w:rFonts w:ascii="Times New Roman" w:hAnsi="Times New Roman"/>
                <w:bCs/>
              </w:rPr>
            </w:pPr>
            <w:r w:rsidRPr="003E36FB">
              <w:rPr>
                <w:rFonts w:ascii="Times New Roman" w:hAnsi="Times New Roman"/>
              </w:rPr>
              <w:t>.</w:t>
            </w: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EA3F88">
            <w:pPr>
              <w:pStyle w:val="BodyText1"/>
              <w:rPr>
                <w:rFonts w:ascii="Times New Roman" w:hAnsi="Times New Roman"/>
              </w:rPr>
            </w:pPr>
            <w:r w:rsidRPr="003E36FB">
              <w:rPr>
                <w:rFonts w:ascii="Times New Roman" w:hAnsi="Times New Roman"/>
              </w:rPr>
              <w:t>{240;020}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Finansielle selskaber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finansielle selskaber i henhold til artikel 147, stk. 2, litra c), i CRR, hvis disse eksponeringer </w:t>
            </w:r>
            <w:r w:rsidRPr="003E36FB">
              <w:rPr>
                <w:rFonts w:ascii="Times New Roman" w:hAnsi="Times New Roman"/>
                <w:b/>
                <w:u w:val="single"/>
              </w:rPr>
              <w:t>ikke</w:t>
            </w:r>
            <w:r w:rsidRPr="003E36FB">
              <w:rPr>
                <w:rFonts w:ascii="Times New Roman" w:hAnsi="Times New Roman"/>
              </w:rPr>
              <w:t xml:space="preserve"> er sikret ved pant i fast ejendom i overensstemmelse med artikel 199, stk. 1, litra a), i CRR. Ved indberetning i LR4 forstås ved finansielle selskaber regulerede og uregulerede virksomheder, som ikke er institutter nævnt i {180;10}, og hvis hovedvirksomhed består i at erhverve kapitalandele eller i at udøve en eller flere af aktiviteterne i bilag I til direktiv 2013/36/EU, samt virksomheder som defineret i artikel 4, stk. 1, nr. 27), i CRR, som ikke er institutter nævnt i {180;10}. </w:t>
            </w:r>
          </w:p>
          <w:p w:rsidR="002509B1" w:rsidRPr="003E36FB" w:rsidRDefault="002509B1" w:rsidP="007E2A41">
            <w:pPr>
              <w:pStyle w:val="BodyText1"/>
              <w:spacing w:line="240" w:lineRule="auto"/>
              <w:rPr>
                <w:rFonts w:ascii="Times New Roman" w:hAnsi="Times New Roman"/>
                <w:b/>
                <w:bCs/>
                <w:u w:val="single"/>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9C4E79" w:rsidRPr="003E36FB" w:rsidRDefault="009C4E79"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lastRenderedPageBreak/>
              <w:t>{240;030}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Finansielle selskaber – Risikovægtede aktiver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finansielle selskaber, som er omfattet af artikel 122 i CRR. Ved indberetning i LR4 forstås ved finansielle selskaber regulerede og uregulerede virksomheder, som ikke er institutter nævnt i {180;10}, og hvis hovedvirksomhed består i at erhverve kapitalandele eller i at udøve en eller flere af aktiviteterne i bilag I til direktiv 2013/36/EU, samt virksomheder som defineret i artikel 4, stk. 1, nr. 27), i CRR, som ikke er institutter nævnt i {180;10}.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{240;040}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Finansielle selskaber – Risikovægtede aktiver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finansielle selskaber i henhold til artikel 147, stk. 2, litra c), i CRR, hvis disse eksponeringer </w:t>
            </w:r>
            <w:r w:rsidRPr="003E36FB">
              <w:rPr>
                <w:rFonts w:ascii="Times New Roman" w:hAnsi="Times New Roman"/>
                <w:b/>
                <w:u w:val="single"/>
              </w:rPr>
              <w:t>ikke</w:t>
            </w:r>
            <w:r w:rsidRPr="003E36FB">
              <w:rPr>
                <w:rFonts w:ascii="Times New Roman" w:hAnsi="Times New Roman"/>
              </w:rPr>
              <w:t xml:space="preserve"> er sikret ved pant i fast ejendom i overensstemmelse med artikel 199, stk. 1, litra a), i CRR. Ved indberetning i LR4 forstås ved finansielle selskaber regulerede og uregulerede virksomheder, som ikke er institutter nævnt i {180;10}, og hvis hovedvirksomhed består i at erhverve kapitalandele eller i at udøve en eller flere af aktiviteterne i bilag I til direktiv 2013/36/EU, samt virksomheder som defineret i artikel 4, stk. 1, nr. 27), i CRR, som ikke er institutter nævnt i {180;10}. </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{250;010}</w:t>
            </w:r>
          </w:p>
        </w:tc>
        <w:tc>
          <w:tcPr>
            <w:tcW w:w="8133" w:type="dxa"/>
            <w:shd w:val="clear" w:color="auto" w:fill="FFFFFF"/>
          </w:tcPr>
          <w:p w:rsidR="00F4754B" w:rsidRPr="003E36FB" w:rsidRDefault="00CD1DA1" w:rsidP="007E2A41">
            <w:pPr>
              <w:pStyle w:val="BodyText1"/>
              <w:spacing w:line="240" w:lineRule="auto"/>
              <w:rPr>
                <w:rFonts w:ascii="Times New Roman" w:hAnsi="Times New Roman"/>
                <w:b/>
                <w:bCs/>
              </w:rPr>
            </w:pPr>
            <w:r w:rsidRPr="003E36FB">
              <w:rPr>
                <w:rFonts w:ascii="Times New Roman" w:hAnsi="Times New Roman"/>
                <w:b/>
              </w:rPr>
              <w:t>Ikkefinansielle heraf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w:t>
            </w:r>
            <w:r w:rsidRPr="003E36FB">
              <w:rPr>
                <w:rFonts w:ascii="Times New Roman" w:hAnsi="Times New Roman"/>
                <w:b/>
              </w:rPr>
              <w:t>ikke</w:t>
            </w:r>
            <w:r w:rsidRPr="003E36FB">
              <w:rPr>
                <w:rFonts w:ascii="Times New Roman" w:hAnsi="Times New Roman"/>
              </w:rPr>
              <w:t xml:space="preserve">-finansielle selskaber, som er omfattet af artikel 122 i CRR. </w:t>
            </w:r>
          </w:p>
          <w:p w:rsidR="00FA71DB" w:rsidRPr="003E36FB" w:rsidRDefault="00FA71DB" w:rsidP="007E2A41">
            <w:pPr>
              <w:pStyle w:val="BodyText1"/>
              <w:spacing w:line="240" w:lineRule="auto"/>
              <w:rPr>
                <w:rFonts w:ascii="Times New Roman" w:hAnsi="Times New Roman"/>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{260,010} og {270,010}</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{250;020}</w:t>
            </w:r>
          </w:p>
        </w:tc>
        <w:tc>
          <w:tcPr>
            <w:tcW w:w="8133" w:type="dxa"/>
            <w:shd w:val="clear" w:color="auto" w:fill="FFFFFF"/>
          </w:tcPr>
          <w:p w:rsidR="00F4754B" w:rsidRPr="003E36FB" w:rsidRDefault="00CD1DA1" w:rsidP="007E2A41">
            <w:pPr>
              <w:pStyle w:val="BodyText1"/>
              <w:spacing w:line="240" w:lineRule="auto"/>
              <w:rPr>
                <w:rFonts w:ascii="Times New Roman" w:hAnsi="Times New Roman"/>
                <w:b/>
                <w:bCs/>
              </w:rPr>
            </w:pPr>
            <w:r w:rsidRPr="003E36FB">
              <w:rPr>
                <w:rFonts w:ascii="Times New Roman" w:hAnsi="Times New Roman"/>
                <w:b/>
              </w:rPr>
              <w:t>Ikkefinansielle heraf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bCs/>
              </w:rPr>
            </w:pPr>
          </w:p>
          <w:p w:rsidR="00FA71D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w:t>
            </w:r>
            <w:r w:rsidRPr="003E36FB">
              <w:rPr>
                <w:rFonts w:ascii="Times New Roman" w:hAnsi="Times New Roman"/>
                <w:b/>
              </w:rPr>
              <w:t>ikke</w:t>
            </w:r>
            <w:r w:rsidRPr="003E36FB">
              <w:rPr>
                <w:rFonts w:ascii="Times New Roman" w:hAnsi="Times New Roman"/>
              </w:rPr>
              <w:t xml:space="preserve">-finansielle selskaber i henhold til artikel 147, stk. 2, litra c), i CRR, hvis disse eksponeringer </w:t>
            </w:r>
            <w:r w:rsidRPr="003E36FB">
              <w:rPr>
                <w:rFonts w:ascii="Times New Roman" w:hAnsi="Times New Roman"/>
                <w:b/>
                <w:u w:val="single"/>
              </w:rPr>
              <w:t>ikke</w:t>
            </w:r>
            <w:r w:rsidRPr="003E36FB">
              <w:rPr>
                <w:rFonts w:ascii="Times New Roman" w:hAnsi="Times New Roman"/>
              </w:rPr>
              <w:t xml:space="preserve"> er sikret ved pant i fast ejendom i overensstemmelse med artikel 199, stk. 1, litra a), i CRR. </w:t>
            </w:r>
          </w:p>
          <w:p w:rsidR="00BE6AC4" w:rsidRPr="003E36FB" w:rsidRDefault="00BE6AC4" w:rsidP="007E2A41">
            <w:pPr>
              <w:pStyle w:val="BodyText1"/>
              <w:spacing w:line="240" w:lineRule="auto"/>
              <w:rPr>
                <w:rFonts w:ascii="Times New Roman" w:hAnsi="Times New Roman"/>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{260,020} og {270,020}</w:t>
            </w:r>
          </w:p>
          <w:p w:rsidR="002509B1" w:rsidRPr="003E36FB" w:rsidRDefault="002509B1" w:rsidP="007E2A41">
            <w:pPr>
              <w:pStyle w:val="BodyText1"/>
              <w:spacing w:line="240" w:lineRule="auto"/>
              <w:rPr>
                <w:rFonts w:ascii="Times New Roman" w:hAnsi="Times New Roman"/>
                <w:b/>
                <w:bCs/>
                <w:u w:val="single"/>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9C4E79" w:rsidRPr="003E36FB" w:rsidRDefault="009C4E79"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A60C43">
            <w:pPr>
              <w:pStyle w:val="BodyText1"/>
              <w:rPr>
                <w:rFonts w:ascii="Times New Roman" w:hAnsi="Times New Roman"/>
              </w:rPr>
            </w:pPr>
            <w:r w:rsidRPr="003E36FB">
              <w:rPr>
                <w:rFonts w:ascii="Times New Roman" w:hAnsi="Times New Roman"/>
              </w:rPr>
              <w:t>{250;030}</w:t>
            </w:r>
          </w:p>
        </w:tc>
        <w:tc>
          <w:tcPr>
            <w:tcW w:w="8133" w:type="dxa"/>
            <w:shd w:val="clear" w:color="auto" w:fill="FFFFFF"/>
          </w:tcPr>
          <w:p w:rsidR="00F4754B" w:rsidRPr="003E36FB" w:rsidRDefault="00CD1DA1" w:rsidP="007E2A41">
            <w:pPr>
              <w:pStyle w:val="BodyText1"/>
              <w:spacing w:line="240" w:lineRule="auto"/>
              <w:rPr>
                <w:rFonts w:ascii="Times New Roman" w:hAnsi="Times New Roman"/>
                <w:b/>
                <w:bCs/>
              </w:rPr>
            </w:pPr>
            <w:r w:rsidRPr="003E36FB">
              <w:rPr>
                <w:rFonts w:ascii="Times New Roman" w:hAnsi="Times New Roman"/>
                <w:b/>
              </w:rPr>
              <w:t>Ikkefinansielle heraf — Risikovægtede aktiver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lastRenderedPageBreak/>
              <w:t xml:space="preserve">Det risikovægtede eksponeringsbeløb for aktiver, der er eksponeringer mod </w:t>
            </w:r>
            <w:r w:rsidRPr="003E36FB">
              <w:rPr>
                <w:rFonts w:ascii="Times New Roman" w:hAnsi="Times New Roman"/>
                <w:b/>
              </w:rPr>
              <w:t>ikke</w:t>
            </w:r>
            <w:r w:rsidRPr="003E36FB">
              <w:rPr>
                <w:rFonts w:ascii="Times New Roman" w:hAnsi="Times New Roman"/>
              </w:rPr>
              <w:t xml:space="preserve">-finansielle selskaber, som er omfattet af artikel 122 i CRR. </w:t>
            </w:r>
          </w:p>
          <w:p w:rsidR="00FA71DB" w:rsidRPr="003E36FB" w:rsidRDefault="00FA71DB" w:rsidP="007E2A41">
            <w:pPr>
              <w:pStyle w:val="BodyText1"/>
              <w:spacing w:line="240" w:lineRule="auto"/>
              <w:rPr>
                <w:rFonts w:ascii="Times New Roman" w:hAnsi="Times New Roman"/>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{260,030} og {270,030}</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Del="00504CFF"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EA3F88">
            <w:pPr>
              <w:pStyle w:val="BodyText1"/>
              <w:rPr>
                <w:rFonts w:ascii="Times New Roman" w:hAnsi="Times New Roman"/>
                <w:bCs/>
              </w:rPr>
            </w:pPr>
            <w:r w:rsidRPr="003E36FB">
              <w:rPr>
                <w:rFonts w:ascii="Times New Roman" w:hAnsi="Times New Roman"/>
              </w:rPr>
              <w:lastRenderedPageBreak/>
              <w:t>{250;040}</w:t>
            </w:r>
          </w:p>
        </w:tc>
        <w:tc>
          <w:tcPr>
            <w:tcW w:w="8133" w:type="dxa"/>
            <w:shd w:val="clear" w:color="auto" w:fill="FFFFFF"/>
          </w:tcPr>
          <w:p w:rsidR="00F4754B" w:rsidRPr="003E36FB" w:rsidRDefault="00CD1DA1" w:rsidP="007E2A41">
            <w:pPr>
              <w:pStyle w:val="BodyText1"/>
              <w:spacing w:line="240" w:lineRule="auto"/>
              <w:rPr>
                <w:rFonts w:ascii="Times New Roman" w:hAnsi="Times New Roman"/>
                <w:b/>
                <w:bCs/>
              </w:rPr>
            </w:pPr>
            <w:r w:rsidRPr="003E36FB">
              <w:rPr>
                <w:rFonts w:ascii="Times New Roman" w:hAnsi="Times New Roman"/>
                <w:b/>
              </w:rPr>
              <w:t>Ikkefinansielle heraf – Risikovægtede aktiver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w:t>
            </w:r>
            <w:r w:rsidRPr="003E36FB">
              <w:rPr>
                <w:rFonts w:ascii="Times New Roman" w:hAnsi="Times New Roman"/>
                <w:b/>
              </w:rPr>
              <w:t>ikke</w:t>
            </w:r>
            <w:r w:rsidRPr="003E36FB">
              <w:rPr>
                <w:rFonts w:ascii="Times New Roman" w:hAnsi="Times New Roman"/>
              </w:rPr>
              <w:t xml:space="preserve">-finansielle selskaber i henhold til artikel 147, stk. 2, litra c), i CRR, hvis disse eksponeringer </w:t>
            </w:r>
            <w:r w:rsidRPr="003E36FB">
              <w:rPr>
                <w:rFonts w:ascii="Times New Roman" w:hAnsi="Times New Roman"/>
                <w:b/>
                <w:u w:val="single"/>
              </w:rPr>
              <w:t>ikke</w:t>
            </w:r>
            <w:r w:rsidRPr="003E36FB">
              <w:rPr>
                <w:rFonts w:ascii="Times New Roman" w:hAnsi="Times New Roman"/>
              </w:rPr>
              <w:t xml:space="preserve"> er sikret ved pant i fast ejendom i overensstemmelse med artikel 199, stk. 1, litra a), i CRR. </w:t>
            </w:r>
          </w:p>
          <w:p w:rsidR="00FA71DB" w:rsidRPr="003E36FB" w:rsidRDefault="00FA71DB" w:rsidP="007E2A41">
            <w:pPr>
              <w:pStyle w:val="BodyText1"/>
              <w:spacing w:line="240" w:lineRule="auto"/>
              <w:rPr>
                <w:rFonts w:ascii="Times New Roman" w:hAnsi="Times New Roman"/>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Dette er summen af {260,040} og {270,040}</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Del="00504CFF"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{260;010}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SMV-eksponeringer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selskaber i form af små og mellemstore virksomheder, som er omfattet af artikel 122 i CRR. </w:t>
            </w:r>
          </w:p>
          <w:p w:rsidR="00FA71DB" w:rsidRPr="003E36FB" w:rsidRDefault="00FA71DB" w:rsidP="007E2A41">
            <w:pPr>
              <w:pStyle w:val="BodyText1"/>
              <w:spacing w:line="240" w:lineRule="auto"/>
              <w:rPr>
                <w:rFonts w:ascii="Times New Roman" w:hAnsi="Times New Roman"/>
                <w:bCs/>
              </w:rPr>
            </w:pPr>
          </w:p>
          <w:p w:rsidR="004F39F5" w:rsidRPr="003E36FB" w:rsidRDefault="004F39F5" w:rsidP="007E2A41">
            <w:pPr>
              <w:pStyle w:val="BodyText1"/>
              <w:spacing w:line="240" w:lineRule="auto"/>
              <w:rPr>
                <w:rFonts w:ascii="Times New Roman" w:hAnsi="Times New Roman"/>
                <w:bCs/>
              </w:rPr>
            </w:pPr>
            <w:r w:rsidRPr="003E36FB">
              <w:rPr>
                <w:rFonts w:ascii="Times New Roman" w:hAnsi="Times New Roman"/>
              </w:rPr>
              <w:t>For så vidt angår denne celle defineres små og mellemstore virksomheder som fastsat i artikel 501, stk. 2, litra b), i CRR.</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{260;020}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SMV-eksponeringer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selskaber i henhold til artikel 147, stk. 2, litra c), i CRR, hvis disse eksponeringer er eksponeringer mod små og mellemstore virksomheder, som </w:t>
            </w:r>
            <w:r w:rsidRPr="003E36FB">
              <w:rPr>
                <w:rFonts w:ascii="Times New Roman" w:hAnsi="Times New Roman"/>
                <w:b/>
                <w:u w:val="single"/>
              </w:rPr>
              <w:t>ikke</w:t>
            </w:r>
            <w:r w:rsidRPr="003E36FB">
              <w:rPr>
                <w:rFonts w:ascii="Times New Roman" w:hAnsi="Times New Roman"/>
              </w:rPr>
              <w:t xml:space="preserve"> er sikret ved pant i fast ejendom i overensstemmelse med artikel 199, stk. 1, litra a), i CRR.</w:t>
            </w:r>
          </w:p>
          <w:p w:rsidR="00FA71DB" w:rsidRPr="003E36FB" w:rsidRDefault="00FA71DB" w:rsidP="007E2A41">
            <w:pPr>
              <w:pStyle w:val="BodyText1"/>
              <w:spacing w:line="240" w:lineRule="auto"/>
              <w:rPr>
                <w:rFonts w:ascii="Times New Roman" w:hAnsi="Times New Roman"/>
                <w:bCs/>
              </w:rPr>
            </w:pPr>
          </w:p>
          <w:p w:rsidR="002509B1" w:rsidRPr="003E36FB" w:rsidRDefault="004F39F5" w:rsidP="007E2A41">
            <w:pPr>
              <w:pStyle w:val="BodyText1"/>
              <w:spacing w:line="240" w:lineRule="auto"/>
              <w:rPr>
                <w:rFonts w:ascii="Times New Roman" w:hAnsi="Times New Roman"/>
                <w:b/>
                <w:bCs/>
                <w:u w:val="single"/>
              </w:rPr>
            </w:pPr>
            <w:r w:rsidRPr="003E36FB">
              <w:rPr>
                <w:rFonts w:ascii="Times New Roman" w:hAnsi="Times New Roman"/>
              </w:rPr>
              <w:t>For så vidt angår denne celle defineres små og mellemstore virksomheder som fastsat i artikel 501, stk. 2, litra b), i CRR.</w:t>
            </w:r>
          </w:p>
          <w:p w:rsidR="009C4E79" w:rsidRPr="003E36FB" w:rsidRDefault="009C4E79" w:rsidP="007E2A41">
            <w:pPr>
              <w:pStyle w:val="BodyText1"/>
              <w:spacing w:line="240" w:lineRule="auto"/>
              <w:rPr>
                <w:rFonts w:ascii="Times New Roman" w:hAnsi="Times New Roman"/>
                <w:b/>
                <w:bCs/>
                <w:u w:val="single"/>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9C4E79" w:rsidRPr="003E36FB" w:rsidDel="00504CFF" w:rsidRDefault="009C4E79"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{260;030}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SMV-eksponeringer – Risikovægtede aktiver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selskaber i form af små og mellemstore virksomheder, som er omfattet af artikel 122 i CRR. </w:t>
            </w:r>
          </w:p>
          <w:p w:rsidR="00FA71DB" w:rsidRPr="003E36FB" w:rsidRDefault="00FA71DB" w:rsidP="007E2A41">
            <w:pPr>
              <w:pStyle w:val="BodyText1"/>
              <w:spacing w:line="240" w:lineRule="auto"/>
              <w:rPr>
                <w:rFonts w:ascii="Times New Roman" w:hAnsi="Times New Roman"/>
                <w:bCs/>
              </w:rPr>
            </w:pPr>
          </w:p>
          <w:p w:rsidR="004F39F5" w:rsidRPr="003E36FB" w:rsidRDefault="004F39F5" w:rsidP="007E2A41">
            <w:pPr>
              <w:pStyle w:val="BodyText1"/>
              <w:spacing w:line="240" w:lineRule="auto"/>
              <w:rPr>
                <w:rFonts w:ascii="Times New Roman" w:hAnsi="Times New Roman"/>
                <w:bCs/>
              </w:rPr>
            </w:pPr>
            <w:r w:rsidRPr="003E36FB">
              <w:rPr>
                <w:rFonts w:ascii="Times New Roman" w:hAnsi="Times New Roman"/>
              </w:rPr>
              <w:t>For så vidt angår denne celle defineres små og mellemstore virksomheder som fastsat i artikel 501, stk. 2, litra b), i CRR.</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{260;040}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SMV-eksponeringer – Risikovægtede aktiver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selskaber i henhold til artikel 147, stk. 2, litra c), i CRR, hvis disse eksponeringer er eksponeringer mod små og mellemstore virksomheder, som </w:t>
            </w:r>
            <w:r w:rsidRPr="003E36FB">
              <w:rPr>
                <w:rFonts w:ascii="Times New Roman" w:hAnsi="Times New Roman"/>
                <w:b/>
                <w:u w:val="single"/>
              </w:rPr>
              <w:t>ikke</w:t>
            </w:r>
            <w:r w:rsidRPr="003E36FB">
              <w:rPr>
                <w:rFonts w:ascii="Times New Roman" w:hAnsi="Times New Roman"/>
              </w:rPr>
              <w:t xml:space="preserve"> er sikret ved pant i fast ejendom i overensstemmelse med artikel 199, stk. 1, litra a), i CRR. </w:t>
            </w:r>
          </w:p>
          <w:p w:rsidR="00FA71DB" w:rsidRPr="003E36FB" w:rsidRDefault="00FA71DB" w:rsidP="007E2A41">
            <w:pPr>
              <w:pStyle w:val="BodyText1"/>
              <w:spacing w:line="240" w:lineRule="auto"/>
              <w:rPr>
                <w:rFonts w:ascii="Times New Roman" w:hAnsi="Times New Roman"/>
                <w:bCs/>
              </w:rPr>
            </w:pPr>
          </w:p>
          <w:p w:rsidR="004F39F5" w:rsidRPr="003E36FB" w:rsidRDefault="004F39F5" w:rsidP="007E2A41">
            <w:pPr>
              <w:pStyle w:val="BodyText1"/>
              <w:spacing w:line="240" w:lineRule="auto"/>
              <w:rPr>
                <w:rFonts w:ascii="Times New Roman" w:hAnsi="Times New Roman"/>
                <w:bCs/>
              </w:rPr>
            </w:pPr>
            <w:r w:rsidRPr="003E36FB">
              <w:rPr>
                <w:rFonts w:ascii="Times New Roman" w:hAnsi="Times New Roman"/>
              </w:rPr>
              <w:lastRenderedPageBreak/>
              <w:t>For så vidt angår denne celle defineres små og mellemstore virksomheder som fastsat i artikel 501, stk. 2, litra b), i CRR.</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lastRenderedPageBreak/>
              <w:t>{270;010}</w:t>
            </w:r>
          </w:p>
        </w:tc>
        <w:tc>
          <w:tcPr>
            <w:tcW w:w="8133" w:type="dxa"/>
            <w:shd w:val="clear" w:color="auto" w:fill="FFFFFF"/>
          </w:tcPr>
          <w:p w:rsidR="00F4754B" w:rsidRPr="003E36FB" w:rsidRDefault="00BE6AC4" w:rsidP="007E2A41">
            <w:pPr>
              <w:pStyle w:val="BodyText1"/>
              <w:spacing w:line="240" w:lineRule="auto"/>
              <w:rPr>
                <w:rFonts w:ascii="Times New Roman" w:hAnsi="Times New Roman"/>
                <w:b/>
              </w:rPr>
            </w:pPr>
            <w:r w:rsidRPr="003E36FB">
              <w:rPr>
                <w:rFonts w:ascii="Times New Roman" w:hAnsi="Times New Roman"/>
                <w:b/>
              </w:rPr>
              <w:t>Andre eksponeringer end SMV-eksponeringer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selskaber, som er omfattet af artikel 122 i CRR, og som ikke er indberettet i {230;040} og {250;040}.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{270;020}</w:t>
            </w:r>
          </w:p>
        </w:tc>
        <w:tc>
          <w:tcPr>
            <w:tcW w:w="8133" w:type="dxa"/>
            <w:shd w:val="clear" w:color="auto" w:fill="FFFFFF"/>
          </w:tcPr>
          <w:p w:rsidR="00F4754B" w:rsidRPr="003E36FB" w:rsidRDefault="00BE6AC4" w:rsidP="007E2A41">
            <w:pPr>
              <w:pStyle w:val="BodyText1"/>
              <w:spacing w:line="240" w:lineRule="auto"/>
              <w:rPr>
                <w:rFonts w:ascii="Times New Roman" w:hAnsi="Times New Roman"/>
                <w:b/>
                <w:bCs/>
              </w:rPr>
            </w:pPr>
            <w:r w:rsidRPr="003E36FB">
              <w:rPr>
                <w:rFonts w:ascii="Times New Roman" w:hAnsi="Times New Roman"/>
                <w:b/>
              </w:rPr>
              <w:t>Andre eksponeringer end SMV-eksponeringer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bCs/>
              </w:rPr>
            </w:pPr>
          </w:p>
          <w:p w:rsidR="002509B1" w:rsidRPr="003E36FB" w:rsidRDefault="00F4754B" w:rsidP="007E2A41">
            <w:pPr>
              <w:pStyle w:val="BodyText1"/>
              <w:spacing w:line="240" w:lineRule="auto"/>
              <w:rPr>
                <w:rFonts w:ascii="Times New Roman" w:hAnsi="Times New Roman"/>
                <w:b/>
                <w:bCs/>
                <w:u w:val="single"/>
              </w:rPr>
            </w:pPr>
            <w:r w:rsidRPr="003E36FB">
              <w:rPr>
                <w:rFonts w:ascii="Times New Roman" w:hAnsi="Times New Roman"/>
              </w:rPr>
              <w:t xml:space="preserve">Eksponeringsværdien bag gearingsgraden af aktiver, der er eksponeringer mod selskaber i henhold til artikel 147, stk. 2, litra c), i CRR, hvis disse eksponeringer </w:t>
            </w:r>
            <w:r w:rsidRPr="003E36FB">
              <w:rPr>
                <w:rFonts w:ascii="Times New Roman" w:hAnsi="Times New Roman"/>
                <w:b/>
                <w:u w:val="single"/>
              </w:rPr>
              <w:t>ikke</w:t>
            </w:r>
            <w:r w:rsidRPr="003E36FB">
              <w:rPr>
                <w:rFonts w:ascii="Times New Roman" w:hAnsi="Times New Roman"/>
              </w:rPr>
              <w:t xml:space="preserve"> er sikret ved pant i fast ejendom i overensstemmelse med artikel 199, stk. 1, litra a), i CRR, og som ikke er indberettet i {230;040} og {250;040}. </w:t>
            </w:r>
          </w:p>
          <w:p w:rsidR="009C4E79" w:rsidRPr="003E36FB" w:rsidRDefault="009C4E79" w:rsidP="007E2A41">
            <w:pPr>
              <w:pStyle w:val="BodyText1"/>
              <w:spacing w:line="240" w:lineRule="auto"/>
              <w:rPr>
                <w:rFonts w:ascii="Times New Roman" w:hAnsi="Times New Roman"/>
                <w:b/>
                <w:bCs/>
                <w:u w:val="single"/>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9C4E79" w:rsidRPr="003E36FB" w:rsidRDefault="009C4E79"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{270;030}</w:t>
            </w:r>
          </w:p>
        </w:tc>
        <w:tc>
          <w:tcPr>
            <w:tcW w:w="8133" w:type="dxa"/>
            <w:shd w:val="clear" w:color="auto" w:fill="FFFFFF"/>
          </w:tcPr>
          <w:p w:rsidR="00F4754B" w:rsidRPr="003E36FB" w:rsidRDefault="00BE6AC4" w:rsidP="007E2A41">
            <w:pPr>
              <w:pStyle w:val="BodyText1"/>
              <w:spacing w:line="240" w:lineRule="auto"/>
              <w:rPr>
                <w:rFonts w:ascii="Times New Roman" w:hAnsi="Times New Roman"/>
                <w:b/>
                <w:bCs/>
              </w:rPr>
            </w:pPr>
            <w:r w:rsidRPr="003E36FB">
              <w:rPr>
                <w:rFonts w:ascii="Times New Roman" w:hAnsi="Times New Roman"/>
                <w:b/>
              </w:rPr>
              <w:t>Andre eksponeringer end SMV-eksponeringer – Risikovægtede aktiver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selskaber, som er omfattet af artikel 122 i CRR, og som ikke er indberettet i {230;040} og {250;040}.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A60C43">
            <w:pPr>
              <w:pStyle w:val="BodyText1"/>
              <w:rPr>
                <w:rFonts w:ascii="Times New Roman" w:hAnsi="Times New Roman"/>
              </w:rPr>
            </w:pPr>
            <w:r w:rsidRPr="003E36FB">
              <w:rPr>
                <w:rFonts w:ascii="Times New Roman" w:hAnsi="Times New Roman"/>
              </w:rPr>
              <w:t>{270;040}</w:t>
            </w:r>
          </w:p>
        </w:tc>
        <w:tc>
          <w:tcPr>
            <w:tcW w:w="8133" w:type="dxa"/>
            <w:shd w:val="clear" w:color="auto" w:fill="FFFFFF"/>
          </w:tcPr>
          <w:p w:rsidR="00F4754B" w:rsidRPr="003E36FB" w:rsidRDefault="00BE6AC4" w:rsidP="007E2A41">
            <w:pPr>
              <w:pStyle w:val="BodyText1"/>
              <w:spacing w:line="240" w:lineRule="auto"/>
              <w:rPr>
                <w:rFonts w:ascii="Times New Roman" w:hAnsi="Times New Roman"/>
                <w:b/>
                <w:bCs/>
              </w:rPr>
            </w:pPr>
            <w:r w:rsidRPr="003E36FB">
              <w:rPr>
                <w:rFonts w:ascii="Times New Roman" w:hAnsi="Times New Roman"/>
                <w:b/>
              </w:rPr>
              <w:t>Andre eksponeringer end SMV-eksponeringer – Risikovægtede aktiver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selskaber i henhold til artikel 147, stk. 2, litra c), i CRR, hvis disse eksponeringer </w:t>
            </w:r>
            <w:r w:rsidRPr="003E36FB">
              <w:rPr>
                <w:rFonts w:ascii="Times New Roman" w:hAnsi="Times New Roman"/>
                <w:b/>
                <w:u w:val="single"/>
              </w:rPr>
              <w:t>ikke</w:t>
            </w:r>
            <w:r w:rsidRPr="003E36FB">
              <w:rPr>
                <w:rFonts w:ascii="Times New Roman" w:hAnsi="Times New Roman"/>
              </w:rPr>
              <w:t xml:space="preserve"> er sikret ved pant i fast ejendom i overensstemmelse med artikel 199, stk. 1, litra a), i CRR, og som ikke er indberettet i {230;040} og {250;040}. </w:t>
            </w:r>
          </w:p>
          <w:p w:rsidR="002509B1" w:rsidRPr="003E36FB" w:rsidRDefault="002509B1" w:rsidP="007E2A41">
            <w:pPr>
              <w:pStyle w:val="BodyText1"/>
              <w:spacing w:line="240" w:lineRule="auto"/>
              <w:rPr>
                <w:rFonts w:ascii="Times New Roman" w:hAnsi="Times New Roman"/>
                <w:b/>
                <w:bCs/>
                <w:u w:val="single"/>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9C4E79" w:rsidRPr="003E36FB" w:rsidRDefault="009C4E79"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EA3F88">
            <w:pPr>
              <w:pStyle w:val="BodyText1"/>
              <w:rPr>
                <w:rFonts w:ascii="Times New Roman" w:hAnsi="Times New Roman"/>
              </w:rPr>
            </w:pPr>
            <w:r w:rsidRPr="003E36FB">
              <w:rPr>
                <w:rFonts w:ascii="Times New Roman" w:hAnsi="Times New Roman"/>
              </w:rPr>
              <w:t>{280;010}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Misligholdte eksponeringer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misligholdte eksponeringer, og som dermed er omfattet af artikel 127 i CRR. </w:t>
            </w:r>
          </w:p>
          <w:p w:rsidR="002509B1" w:rsidRPr="003E36FB" w:rsidRDefault="002509B1"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{280;020}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Misligholdte eksponeringer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kategoriseret i de eksponeringsklasser, der er opført i artikel 147, stk. 2, i CRR, hvis misligholdelse som defineret i artikel 178 i CRR har fundet sted. </w:t>
            </w:r>
          </w:p>
          <w:p w:rsidR="002509B1" w:rsidRPr="003E36FB" w:rsidRDefault="002509B1"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{280;030}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Misligholdte eksponeringer – Risikovægtede aktiver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misligholdte eksponeringer, og som dermed er omfattet af artikel 127 i CRR. </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lastRenderedPageBreak/>
              <w:t>{280;040}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Misligholdte eksponeringer – Risikovægtede aktiver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kategoriseret i de eksponeringsklasser, der er opført i artikel 147, stk. 2, i CRR, hvis misligholdelse som defineret i artikel 178 i CRR har fundet sted. </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F4754B">
            <w:pPr>
              <w:pStyle w:val="BodyText1"/>
              <w:rPr>
                <w:rFonts w:ascii="Times New Roman" w:hAnsi="Times New Roman"/>
              </w:rPr>
            </w:pPr>
            <w:r w:rsidRPr="003E36FB">
              <w:rPr>
                <w:rFonts w:ascii="Times New Roman" w:hAnsi="Times New Roman"/>
              </w:rPr>
              <w:t>{290;010}</w:t>
            </w:r>
          </w:p>
          <w:p w:rsidR="00F4754B" w:rsidRPr="003E36FB" w:rsidRDefault="00F4754B" w:rsidP="00F4754B">
            <w:pPr>
              <w:pStyle w:val="BodyText1"/>
              <w:rPr>
                <w:rFonts w:ascii="Times New Roman" w:hAnsi="Times New Roman"/>
              </w:rPr>
            </w:pP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Andre eksponeringer, heraf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kategoriseret i de eksponeringsklasser, der er opført i artikel 112, litra k) og m)-q), i CRR. </w:t>
            </w:r>
          </w:p>
          <w:p w:rsidR="00482670" w:rsidRPr="003E36FB" w:rsidRDefault="00482670" w:rsidP="007E2A41">
            <w:pPr>
              <w:pStyle w:val="BodyText1"/>
              <w:spacing w:line="240" w:lineRule="auto"/>
              <w:rPr>
                <w:rFonts w:ascii="Times New Roman" w:hAnsi="Times New Roman"/>
                <w:bCs/>
              </w:rPr>
            </w:pPr>
          </w:p>
          <w:p w:rsidR="00482670" w:rsidRPr="003E36FB" w:rsidRDefault="00482670" w:rsidP="007E2A41">
            <w:pPr>
              <w:pStyle w:val="BodyText1"/>
              <w:spacing w:line="240" w:lineRule="auto"/>
              <w:rPr>
                <w:rFonts w:ascii="Times New Roman" w:hAnsi="Times New Roman"/>
                <w:bCs/>
              </w:rPr>
            </w:pPr>
            <w:r w:rsidRPr="003E36FB">
              <w:rPr>
                <w:rFonts w:ascii="Times New Roman" w:hAnsi="Times New Roman"/>
              </w:rPr>
              <w:t>Institutterne skal indberette aktiver, der fratrækkes kapitalgrundlaget (f.eks. immaterielle aktiver), men som ikke kan kategoriseres på anden måde her, selv om en sådan kategorisering ikke kræves med henblik på at bestemme det risikobaserede kapitalgrundlagskrav i kolonne {*; 030} og {*; 040}.</w:t>
            </w:r>
          </w:p>
          <w:p w:rsidR="002509B1" w:rsidRPr="003E36FB" w:rsidRDefault="002509B1"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086A8A" w:rsidRPr="003E36FB" w:rsidRDefault="00086A8A"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{290;020}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Andre eksponeringer, heraf — Eksponeringsværdi bag gearingsgraden — Eksponeringer opgjort efter IRB-metoden</w:t>
            </w:r>
          </w:p>
          <w:p w:rsidR="002509B1" w:rsidRPr="003E36FB" w:rsidRDefault="002509B1" w:rsidP="007E2A41">
            <w:pPr>
              <w:pStyle w:val="BodyText1"/>
              <w:spacing w:line="240" w:lineRule="auto"/>
              <w:rPr>
                <w:rFonts w:ascii="Times New Roman" w:hAnsi="Times New Roman"/>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kategoriseret i de eksponeringsklasser, der er opført i artikel 147, stk. 2, litra e), f) og g), i CRR. </w:t>
            </w:r>
          </w:p>
          <w:p w:rsidR="00482670" w:rsidRPr="003E36FB" w:rsidRDefault="00482670" w:rsidP="007E2A41">
            <w:pPr>
              <w:pStyle w:val="BodyText1"/>
              <w:spacing w:line="240" w:lineRule="auto"/>
              <w:rPr>
                <w:rFonts w:ascii="Times New Roman" w:hAnsi="Times New Roman"/>
                <w:bCs/>
              </w:rPr>
            </w:pPr>
          </w:p>
          <w:p w:rsidR="00482670" w:rsidRPr="003E36FB" w:rsidRDefault="00482670" w:rsidP="007E2A41">
            <w:pPr>
              <w:pStyle w:val="BodyText1"/>
              <w:spacing w:line="240" w:lineRule="auto"/>
              <w:rPr>
                <w:rFonts w:ascii="Times New Roman" w:hAnsi="Times New Roman"/>
                <w:bCs/>
              </w:rPr>
            </w:pPr>
            <w:r w:rsidRPr="003E36FB">
              <w:rPr>
                <w:rFonts w:ascii="Times New Roman" w:hAnsi="Times New Roman"/>
              </w:rPr>
              <w:t>Institutterne skal indberette aktiver, der fratrækkes kapitalgrundlaget (f.eks. immaterielle aktiver), men som ikke kan kategoriseres på anden måde her, selv om en sådan kategorisering ikke kræves med henblik på at bestemme det risikobaserede kapitalgrundlagskrav i kolonne {*; 030} og {*; 040}.</w:t>
            </w:r>
          </w:p>
          <w:p w:rsidR="00BB388D" w:rsidRPr="003E36FB" w:rsidRDefault="00BB388D" w:rsidP="007E2A41">
            <w:pPr>
              <w:pStyle w:val="BodyText1"/>
              <w:spacing w:line="240" w:lineRule="auto"/>
              <w:rPr>
                <w:rFonts w:ascii="Times New Roman" w:hAnsi="Times New Roman"/>
                <w:bCs/>
              </w:rPr>
            </w:pPr>
          </w:p>
          <w:p w:rsidR="00BB388D" w:rsidRPr="003E36FB" w:rsidRDefault="00BB388D"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{290;030}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b/>
              </w:rPr>
              <w:t>Andre eksponeringer, heraf</w:t>
            </w:r>
            <w:r w:rsidRPr="003E36FB">
              <w:rPr>
                <w:rFonts w:ascii="Times New Roman" w:hAnsi="Times New Roman"/>
              </w:rPr>
              <w:t xml:space="preserve"> </w:t>
            </w:r>
            <w:r w:rsidRPr="003E36FB">
              <w:rPr>
                <w:rFonts w:ascii="Times New Roman" w:hAnsi="Times New Roman"/>
                <w:b/>
              </w:rPr>
              <w:t>— Risikovægtede aktiver — Eksponeringer opgjort efter standardmetoden</w:t>
            </w:r>
          </w:p>
          <w:p w:rsidR="002509B1" w:rsidRPr="003E36FB" w:rsidRDefault="002509B1" w:rsidP="007E2A41">
            <w:pPr>
              <w:pStyle w:val="BodyText1"/>
              <w:spacing w:line="240" w:lineRule="auto"/>
              <w:rPr>
                <w:rFonts w:ascii="Times New Roman" w:hAnsi="Times New Roman"/>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Den risikovægtede eksponeringsværdi af aktiver, der er kategoriseret i de eksponeringsklasser, der er opført i artikel 112, litra k) og m)-q), i CRR.</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EA3F88">
            <w:pPr>
              <w:pStyle w:val="BodyText1"/>
              <w:rPr>
                <w:rFonts w:ascii="Times New Roman" w:hAnsi="Times New Roman"/>
              </w:rPr>
            </w:pPr>
            <w:r w:rsidRPr="003E36FB">
              <w:rPr>
                <w:rFonts w:ascii="Times New Roman" w:hAnsi="Times New Roman"/>
              </w:rPr>
              <w:t>{290;040}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b/>
              </w:rPr>
              <w:t>Andre eksponeringer, heraf</w:t>
            </w:r>
            <w:r w:rsidRPr="003E36FB">
              <w:rPr>
                <w:rFonts w:ascii="Times New Roman" w:hAnsi="Times New Roman"/>
              </w:rPr>
              <w:t xml:space="preserve"> </w:t>
            </w:r>
            <w:r w:rsidRPr="003E36FB">
              <w:rPr>
                <w:rFonts w:ascii="Times New Roman" w:hAnsi="Times New Roman"/>
                <w:b/>
              </w:rPr>
              <w:t>— Risikovægtede aktiver — Eksponeringer opgjort efter IRB-metoden</w:t>
            </w:r>
          </w:p>
          <w:p w:rsidR="002509B1" w:rsidRPr="003E36FB" w:rsidRDefault="002509B1" w:rsidP="007E2A41">
            <w:pPr>
              <w:pStyle w:val="BodyText1"/>
              <w:spacing w:line="240" w:lineRule="auto"/>
              <w:rPr>
                <w:rFonts w:ascii="Times New Roman" w:hAnsi="Times New Roman"/>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Den risikovægtede eksponeringsværdi af aktiver, der er kategoriseret i de eksponeringsklasser, der er opført i artikel 147, stk. 2, litra e), f) og g), i CRR. </w:t>
            </w:r>
          </w:p>
          <w:p w:rsidR="00BB388D" w:rsidRPr="003E36FB" w:rsidRDefault="00BB388D" w:rsidP="007E2A41">
            <w:pPr>
              <w:pStyle w:val="BodyText1"/>
              <w:spacing w:line="240" w:lineRule="auto"/>
              <w:rPr>
                <w:rFonts w:ascii="Times New Roman" w:hAnsi="Times New Roman"/>
                <w:bCs/>
              </w:rPr>
            </w:pPr>
          </w:p>
          <w:p w:rsidR="00BB388D" w:rsidRPr="003E36FB" w:rsidRDefault="00BB388D"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{300;010}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proofErr w:type="spellStart"/>
            <w:r w:rsidRPr="003E36FB">
              <w:rPr>
                <w:rFonts w:ascii="Times New Roman" w:hAnsi="Times New Roman"/>
                <w:b/>
              </w:rPr>
              <w:t>Securitiseringseksponeringer</w:t>
            </w:r>
            <w:proofErr w:type="spellEnd"/>
            <w:r w:rsidRPr="003E36FB">
              <w:rPr>
                <w:rFonts w:ascii="Times New Roman" w:hAnsi="Times New Roman"/>
                <w:b/>
              </w:rPr>
              <w:t xml:space="preserve">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w:t>
            </w:r>
            <w:proofErr w:type="spellStart"/>
            <w:r w:rsidRPr="003E36FB">
              <w:rPr>
                <w:rFonts w:ascii="Times New Roman" w:hAnsi="Times New Roman"/>
              </w:rPr>
              <w:t>securitiseringer</w:t>
            </w:r>
            <w:proofErr w:type="spellEnd"/>
            <w:r w:rsidRPr="003E36FB">
              <w:rPr>
                <w:rFonts w:ascii="Times New Roman" w:hAnsi="Times New Roman"/>
              </w:rPr>
              <w:t>, som er omfattet af artikel 112, litra m), i CRR.</w:t>
            </w:r>
          </w:p>
          <w:p w:rsidR="00086A8A" w:rsidRPr="003E36FB" w:rsidRDefault="00086A8A" w:rsidP="007E2A41">
            <w:pPr>
              <w:pStyle w:val="BodyText1"/>
              <w:spacing w:line="240" w:lineRule="auto"/>
              <w:rPr>
                <w:rFonts w:ascii="Times New Roman" w:hAnsi="Times New Roman"/>
                <w:bCs/>
              </w:rPr>
            </w:pPr>
          </w:p>
          <w:p w:rsidR="002509B1"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9C4E79" w:rsidRPr="003E36FB" w:rsidRDefault="009C4E79"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lastRenderedPageBreak/>
              <w:t>{300;020}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proofErr w:type="spellStart"/>
            <w:r w:rsidRPr="003E36FB">
              <w:rPr>
                <w:rFonts w:ascii="Times New Roman" w:hAnsi="Times New Roman"/>
                <w:b/>
              </w:rPr>
              <w:t>Securitiseringseksponeringer</w:t>
            </w:r>
            <w:proofErr w:type="spellEnd"/>
            <w:r w:rsidRPr="003E36FB">
              <w:rPr>
                <w:rFonts w:ascii="Times New Roman" w:hAnsi="Times New Roman"/>
                <w:b/>
              </w:rPr>
              <w:t xml:space="preserve">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aktiver, der er eksponeringer mod </w:t>
            </w:r>
            <w:proofErr w:type="spellStart"/>
            <w:r w:rsidRPr="003E36FB">
              <w:rPr>
                <w:rFonts w:ascii="Times New Roman" w:hAnsi="Times New Roman"/>
              </w:rPr>
              <w:t>securitiseringer</w:t>
            </w:r>
            <w:proofErr w:type="spellEnd"/>
            <w:r w:rsidRPr="003E36FB">
              <w:rPr>
                <w:rFonts w:ascii="Times New Roman" w:hAnsi="Times New Roman"/>
              </w:rPr>
              <w:t xml:space="preserve">, som er omfattet af artikel 147, stk. 2, litra f), i CRR. </w:t>
            </w:r>
          </w:p>
          <w:p w:rsidR="009C4E79" w:rsidRPr="003E36FB" w:rsidRDefault="009C4E79" w:rsidP="007E2A41">
            <w:pPr>
              <w:pStyle w:val="BodyText1"/>
              <w:spacing w:line="240" w:lineRule="auto"/>
              <w:rPr>
                <w:rFonts w:ascii="Times New Roman" w:hAnsi="Times New Roman"/>
                <w:bCs/>
              </w:rPr>
            </w:pPr>
          </w:p>
          <w:p w:rsidR="009C4E79" w:rsidRPr="003E36FB" w:rsidRDefault="009C4E79"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Del="00B9734C" w:rsidRDefault="002509B1"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{300;030}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proofErr w:type="spellStart"/>
            <w:r w:rsidRPr="003E36FB">
              <w:rPr>
                <w:rFonts w:ascii="Times New Roman" w:hAnsi="Times New Roman"/>
                <w:b/>
              </w:rPr>
              <w:t>Securitiseringseksponeringer</w:t>
            </w:r>
            <w:proofErr w:type="spellEnd"/>
            <w:r w:rsidRPr="003E36FB">
              <w:rPr>
                <w:rFonts w:ascii="Times New Roman" w:hAnsi="Times New Roman"/>
                <w:b/>
              </w:rPr>
              <w:t xml:space="preserve"> — Risikovægtede aktiver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w:t>
            </w:r>
            <w:proofErr w:type="spellStart"/>
            <w:r w:rsidRPr="003E36FB">
              <w:rPr>
                <w:rFonts w:ascii="Times New Roman" w:hAnsi="Times New Roman"/>
              </w:rPr>
              <w:t>securitiseringer</w:t>
            </w:r>
            <w:proofErr w:type="spellEnd"/>
            <w:r w:rsidRPr="003E36FB">
              <w:rPr>
                <w:rFonts w:ascii="Times New Roman" w:hAnsi="Times New Roman"/>
              </w:rPr>
              <w:t xml:space="preserve">, som er omfattet af artikel 112, litra m), i CRR.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{300;040}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proofErr w:type="spellStart"/>
            <w:r w:rsidRPr="003E36FB">
              <w:rPr>
                <w:rFonts w:ascii="Times New Roman" w:hAnsi="Times New Roman"/>
                <w:b/>
              </w:rPr>
              <w:t>Securitiseringseksponeringer</w:t>
            </w:r>
            <w:proofErr w:type="spellEnd"/>
            <w:r w:rsidRPr="003E36FB">
              <w:rPr>
                <w:rFonts w:ascii="Times New Roman" w:hAnsi="Times New Roman"/>
                <w:b/>
              </w:rPr>
              <w:t xml:space="preserve"> — Risikovægtede aktiver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aktiver, der er eksponeringer mod </w:t>
            </w:r>
            <w:proofErr w:type="spellStart"/>
            <w:r w:rsidRPr="003E36FB">
              <w:rPr>
                <w:rFonts w:ascii="Times New Roman" w:hAnsi="Times New Roman"/>
              </w:rPr>
              <w:t>securitiseringer</w:t>
            </w:r>
            <w:proofErr w:type="spellEnd"/>
            <w:r w:rsidRPr="003E36FB">
              <w:rPr>
                <w:rFonts w:ascii="Times New Roman" w:hAnsi="Times New Roman"/>
              </w:rPr>
              <w:t xml:space="preserve">, som er omfattet af artikel 147, stk. 2, litra f), i CRR. </w:t>
            </w:r>
          </w:p>
          <w:p w:rsidR="002509B1" w:rsidRPr="003E36FB" w:rsidRDefault="002509B1" w:rsidP="007E2A41">
            <w:pPr>
              <w:pStyle w:val="BodyText1"/>
              <w:spacing w:line="240" w:lineRule="auto"/>
              <w:rPr>
                <w:rFonts w:ascii="Times New Roman" w:hAnsi="Times New Roman"/>
                <w:b/>
                <w:bCs/>
                <w:u w:val="single"/>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9C4E79" w:rsidRPr="003E36FB" w:rsidRDefault="009C4E79"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EA3F88">
            <w:pPr>
              <w:pStyle w:val="BodyText1"/>
              <w:rPr>
                <w:rFonts w:ascii="Times New Roman" w:hAnsi="Times New Roman"/>
              </w:rPr>
            </w:pPr>
            <w:r w:rsidRPr="003E36FB">
              <w:rPr>
                <w:rFonts w:ascii="Times New Roman" w:hAnsi="Times New Roman"/>
              </w:rPr>
              <w:t>{310;010}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Handelsfinansiering (memorandumpost), heraf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Eksponeringsværdien bag gearingsgraden af balanceførte poster vedrørende udlån til en eksportør eller importør af varer eller tjenester via import- og eksportkreditter og lignende transaktioner. </w:t>
            </w:r>
          </w:p>
          <w:p w:rsidR="002509B1" w:rsidRPr="003E36FB" w:rsidRDefault="002509B1"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086A8A" w:rsidRPr="003E36FB" w:rsidRDefault="00086A8A"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t>{310;020}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Handelsfinansiering (memorandumpost), heraf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bCs/>
              </w:rPr>
            </w:pPr>
          </w:p>
          <w:p w:rsidR="002509B1" w:rsidRPr="003E36FB" w:rsidRDefault="00F4754B" w:rsidP="007E2A41">
            <w:pPr>
              <w:pStyle w:val="BodyText1"/>
              <w:spacing w:line="240" w:lineRule="auto"/>
              <w:rPr>
                <w:rFonts w:ascii="Times New Roman" w:hAnsi="Times New Roman"/>
                <w:b/>
                <w:bCs/>
                <w:u w:val="single"/>
              </w:rPr>
            </w:pPr>
            <w:r w:rsidRPr="003E36FB">
              <w:rPr>
                <w:rFonts w:ascii="Times New Roman" w:hAnsi="Times New Roman"/>
              </w:rPr>
              <w:t xml:space="preserve">Eksponeringsværdien bag gearingsgraden af balanceførte poster vedrørende udlån til en eksportør eller importør af varer eller tjenester via import- og eksportkreditter og lignende transaktioner. </w:t>
            </w:r>
          </w:p>
          <w:p w:rsidR="00BE6AC4" w:rsidRPr="003E36FB" w:rsidRDefault="00BE6AC4" w:rsidP="009C4E79">
            <w:pPr>
              <w:pStyle w:val="BodyText1"/>
              <w:spacing w:line="240" w:lineRule="auto"/>
              <w:rPr>
                <w:rFonts w:ascii="Times New Roman" w:hAnsi="Times New Roman"/>
                <w:bCs/>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9C4E79" w:rsidRPr="003E36FB" w:rsidRDefault="009C4E79"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{310;030}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Handelsfinansiering (memorandumpost), heraf — Risikovægtede aktiver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Den risikovægtede eksponeringsværdi af balanceførte poster vedrørende udlån til en eksportør eller importør af varer eller tjenester via import- og eksportkreditter og lignende transaktioner. </w:t>
            </w:r>
          </w:p>
          <w:p w:rsidR="00086A8A" w:rsidRPr="003E36FB" w:rsidRDefault="00086A8A" w:rsidP="007E2A41">
            <w:pPr>
              <w:pStyle w:val="BodyText1"/>
              <w:spacing w:line="240" w:lineRule="auto"/>
              <w:rPr>
                <w:rFonts w:ascii="Times New Roman" w:hAnsi="Times New Roman"/>
                <w:bCs/>
              </w:rPr>
            </w:pPr>
          </w:p>
          <w:p w:rsidR="00086A8A" w:rsidRPr="003E36FB" w:rsidRDefault="00086A8A" w:rsidP="007E2A41">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{310;040}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Handelsfinansiering (memorandumpost), heraf – Risikovægtede aktiver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bCs/>
              </w:rPr>
            </w:pPr>
            <w:r w:rsidRPr="003E36FB">
              <w:rPr>
                <w:rFonts w:ascii="Times New Roman" w:hAnsi="Times New Roman"/>
              </w:rPr>
              <w:t xml:space="preserve">Det risikovægtede eksponeringsbeløb for balanceførte poster vedrørende udlån til en eksportør eller importør af varer eller tjenester via import- og eksportkreditter og lignende transaktioner. </w:t>
            </w:r>
          </w:p>
          <w:p w:rsidR="002509B1" w:rsidRPr="003E36FB" w:rsidRDefault="002509B1" w:rsidP="007E2A41">
            <w:pPr>
              <w:pStyle w:val="BodyText1"/>
              <w:spacing w:line="240" w:lineRule="auto"/>
              <w:rPr>
                <w:rFonts w:ascii="Times New Roman" w:hAnsi="Times New Roman"/>
                <w:b/>
                <w:bCs/>
                <w:u w:val="single"/>
              </w:rPr>
            </w:pPr>
          </w:p>
          <w:p w:rsidR="009C4E79" w:rsidRPr="003E36FB" w:rsidRDefault="009C4E79" w:rsidP="009C4E79">
            <w:pPr>
              <w:pStyle w:val="BodyText1"/>
              <w:spacing w:line="240" w:lineRule="auto"/>
              <w:rPr>
                <w:rFonts w:ascii="Times New Roman" w:hAnsi="Times New Roman"/>
                <w:bCs/>
              </w:rPr>
            </w:pPr>
            <w:r w:rsidRPr="003E36FB">
              <w:rPr>
                <w:rFonts w:ascii="Times New Roman" w:hAnsi="Times New Roman"/>
              </w:rPr>
              <w:t>Institutterne skal indberette denne post fratrukket misligholdte eksponeringer.</w:t>
            </w:r>
          </w:p>
          <w:p w:rsidR="009C4E79" w:rsidRPr="003E36FB" w:rsidRDefault="009C4E79"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A60C43">
            <w:pPr>
              <w:pStyle w:val="BodyText1"/>
              <w:rPr>
                <w:rFonts w:ascii="Times New Roman" w:hAnsi="Times New Roman"/>
              </w:rPr>
            </w:pPr>
            <w:r w:rsidRPr="003E36FB">
              <w:rPr>
                <w:rFonts w:ascii="Times New Roman" w:hAnsi="Times New Roman"/>
              </w:rPr>
              <w:t>{320;010}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I henhold til en officiel eksportkreditforsikringsordning – Eksponeringsværdi bag gearingsgraden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rPr>
            </w:pPr>
            <w:r w:rsidRPr="003E36FB">
              <w:rPr>
                <w:rFonts w:ascii="Times New Roman" w:hAnsi="Times New Roman"/>
              </w:rPr>
              <w:lastRenderedPageBreak/>
              <w:t xml:space="preserve">Eksponeringsværdien bag gearingsgraden af balanceførte poster vedrørende handelsfinansiering i henhold til en officiel eksportkreditforsikringsordning. Med henblik på indberetning i LR4 skal en officiel eksportkreditforsikringsordning vedrøre officiel støtte ydet af regeringen eller en anden enhed, som f.eks. et eksportkreditagentur, i form af bl.a. direkte kredit/finansiering, refinansiering, rentestøtte (når en fast rente garanteres i kredittens løbetid), bistandsfinansiering (kreditter og tilskud), eksportkreditforsikring og garantier. </w:t>
            </w:r>
          </w:p>
          <w:p w:rsidR="00086A8A" w:rsidRPr="003E36FB" w:rsidRDefault="00086A8A" w:rsidP="007E2A41">
            <w:pPr>
              <w:pStyle w:val="BodyText1"/>
              <w:spacing w:line="240" w:lineRule="auto"/>
              <w:rPr>
                <w:rFonts w:ascii="Times New Roman" w:hAnsi="Times New Roman"/>
              </w:rPr>
            </w:pPr>
          </w:p>
          <w:p w:rsidR="00086A8A" w:rsidRPr="003E36FB" w:rsidRDefault="00086A8A" w:rsidP="007E2A41">
            <w:pPr>
              <w:pStyle w:val="BodyText1"/>
              <w:spacing w:line="240" w:lineRule="auto"/>
              <w:rPr>
                <w:rFonts w:ascii="Times New Roman" w:hAnsi="Times New Roman"/>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Cs/>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bCs/>
              </w:rPr>
            </w:pPr>
            <w:r w:rsidRPr="003E36FB">
              <w:rPr>
                <w:rFonts w:ascii="Times New Roman" w:hAnsi="Times New Roman"/>
              </w:rPr>
              <w:lastRenderedPageBreak/>
              <w:t>{320;020}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I henhold til en officiel eksportkreditforsikringsordning – Eksponeringsværdi bag gearingsgraden – Eksponeringer opgjort efter IRB-metoden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rPr>
            </w:pPr>
            <w:r w:rsidRPr="003E36FB">
              <w:rPr>
                <w:rFonts w:ascii="Times New Roman" w:hAnsi="Times New Roman"/>
              </w:rPr>
              <w:t xml:space="preserve">Eksponeringsværdien bag gearingsgraden af balanceførte poster vedrørende handelsfinansiering i henhold til en officiel eksportkreditforsikringsordning. Med henblik på indberetning i LR4 skal en officiel eksportkreditforsikringsordning vedrøre officiel støtte ydet af regeringen eller en anden enhed, som f.eks. et eksportkreditagentur, i form af bl.a. direkte kredit/finansiering, refinansiering, rentestøtte (når en fast rente garanteres i kredittens løbetid), bistandsfinansiering (kreditter og tilskud), eksportkreditforsikring og garantier. </w:t>
            </w:r>
          </w:p>
          <w:p w:rsidR="009C4E79" w:rsidRPr="003E36FB" w:rsidRDefault="009C4E79" w:rsidP="007E2A41">
            <w:pPr>
              <w:pStyle w:val="BodyText1"/>
              <w:spacing w:line="240" w:lineRule="auto"/>
              <w:rPr>
                <w:rFonts w:ascii="Times New Roman" w:hAnsi="Times New Roman"/>
              </w:rPr>
            </w:pPr>
          </w:p>
          <w:p w:rsidR="009C4E79" w:rsidRPr="003E36FB" w:rsidRDefault="009C4E79" w:rsidP="007E2A41">
            <w:pPr>
              <w:pStyle w:val="BodyText1"/>
              <w:spacing w:line="240" w:lineRule="auto"/>
              <w:rPr>
                <w:rFonts w:ascii="Times New Roman" w:hAnsi="Times New Roman"/>
              </w:rPr>
            </w:pPr>
            <w:r w:rsidRPr="003E36FB">
              <w:rPr>
                <w:rFonts w:ascii="Times New Roman" w:hAnsi="Times New Roman"/>
              </w:rPr>
              <w:t>Institutterne skal indberette denne post fratrukket misligholdte eksponeringer.</w:t>
            </w:r>
          </w:p>
          <w:p w:rsidR="002509B1" w:rsidRPr="003E36FB" w:rsidDel="00600AB1"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{320;030}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I henhold til en officiel eksportkreditforsikringsordning – Risikovægtede aktiver – Eksponeringer opgjort efter standardmetoden</w:t>
            </w:r>
          </w:p>
          <w:p w:rsidR="002509B1" w:rsidRPr="003E36FB" w:rsidRDefault="002509B1" w:rsidP="007E2A41">
            <w:pPr>
              <w:pStyle w:val="BodyText1"/>
              <w:spacing w:line="240" w:lineRule="auto"/>
              <w:rPr>
                <w:rFonts w:ascii="Times New Roman" w:hAnsi="Times New Roman"/>
                <w:b/>
                <w:bCs/>
              </w:rPr>
            </w:pPr>
          </w:p>
          <w:p w:rsidR="00F4754B" w:rsidRPr="003E36FB" w:rsidRDefault="00F4754B" w:rsidP="007E2A41">
            <w:pPr>
              <w:pStyle w:val="BodyText1"/>
              <w:spacing w:line="240" w:lineRule="auto"/>
              <w:rPr>
                <w:rFonts w:ascii="Times New Roman" w:hAnsi="Times New Roman"/>
              </w:rPr>
            </w:pPr>
            <w:r w:rsidRPr="003E36FB">
              <w:rPr>
                <w:rFonts w:ascii="Times New Roman" w:hAnsi="Times New Roman"/>
              </w:rPr>
              <w:t xml:space="preserve">Den risikovægtede eksponeringsværdi af balanceførte poster vedrørende handelsfinansiering i henhold til en officiel eksportkreditforsikringsordning. Med henblik på indberetning i LR4 skal en officiel eksportkreditforsikringsordning vedrøre officiel støtte ydet af regeringen eller en anden enhed, som f.eks. et eksportkreditagentur, i form af bl.a. direkte kredit/finansiering, refinansiering, rentestøtte (når en fast rente garanteres i kredittens løbetid), bistandsfinansiering (kreditter og tilskud), eksportkreditforsikring og garantier. </w:t>
            </w:r>
          </w:p>
          <w:p w:rsidR="00086A8A" w:rsidRPr="003E36FB" w:rsidRDefault="00086A8A" w:rsidP="007E2A41">
            <w:pPr>
              <w:pStyle w:val="BodyText1"/>
              <w:spacing w:line="240" w:lineRule="auto"/>
              <w:rPr>
                <w:rFonts w:ascii="Times New Roman" w:hAnsi="Times New Roman"/>
              </w:rPr>
            </w:pPr>
          </w:p>
          <w:p w:rsidR="00086A8A" w:rsidRPr="003E36FB" w:rsidRDefault="00086A8A" w:rsidP="007E2A41">
            <w:pPr>
              <w:pStyle w:val="BodyText1"/>
              <w:spacing w:line="240" w:lineRule="auto"/>
              <w:rPr>
                <w:rFonts w:ascii="Times New Roman" w:hAnsi="Times New Roman"/>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tr w:rsidR="00F4754B" w:rsidRPr="003E36FB" w:rsidTr="0053335C">
        <w:trPr>
          <w:trHeight w:val="71"/>
        </w:trPr>
        <w:tc>
          <w:tcPr>
            <w:tcW w:w="1111" w:type="dxa"/>
            <w:shd w:val="clear" w:color="auto" w:fill="FFFFFF"/>
          </w:tcPr>
          <w:p w:rsidR="00F4754B" w:rsidRPr="003E36FB" w:rsidRDefault="00F4754B" w:rsidP="006423CC">
            <w:pPr>
              <w:pStyle w:val="BodyText1"/>
              <w:rPr>
                <w:rFonts w:ascii="Times New Roman" w:hAnsi="Times New Roman"/>
              </w:rPr>
            </w:pPr>
            <w:r w:rsidRPr="003E36FB">
              <w:rPr>
                <w:rFonts w:ascii="Times New Roman" w:hAnsi="Times New Roman"/>
              </w:rPr>
              <w:t>{320;040}</w:t>
            </w:r>
          </w:p>
        </w:tc>
        <w:tc>
          <w:tcPr>
            <w:tcW w:w="8133" w:type="dxa"/>
            <w:shd w:val="clear" w:color="auto" w:fill="FFFFFF"/>
          </w:tcPr>
          <w:p w:rsidR="00F4754B" w:rsidRPr="003E36FB" w:rsidRDefault="00F4754B" w:rsidP="007E2A41">
            <w:pPr>
              <w:pStyle w:val="BodyText1"/>
              <w:spacing w:line="240" w:lineRule="auto"/>
              <w:rPr>
                <w:rFonts w:ascii="Times New Roman" w:hAnsi="Times New Roman"/>
                <w:b/>
                <w:bCs/>
              </w:rPr>
            </w:pPr>
            <w:r w:rsidRPr="003E36FB">
              <w:rPr>
                <w:rFonts w:ascii="Times New Roman" w:hAnsi="Times New Roman"/>
                <w:b/>
              </w:rPr>
              <w:t>I henhold til en officiel eksportkreditforsikringsordning – Risikovægtede aktiver – Eksponeringer opgjort efter IRB-metoden</w:t>
            </w:r>
          </w:p>
          <w:p w:rsidR="002509B1" w:rsidRPr="003E36FB" w:rsidRDefault="002509B1" w:rsidP="007E2A41">
            <w:pPr>
              <w:pStyle w:val="BodyText1"/>
              <w:spacing w:line="240" w:lineRule="auto"/>
              <w:rPr>
                <w:rFonts w:ascii="Times New Roman" w:hAnsi="Times New Roman"/>
                <w:b/>
                <w:bCs/>
              </w:rPr>
            </w:pPr>
          </w:p>
          <w:p w:rsidR="009C4E79" w:rsidRPr="003E36FB" w:rsidRDefault="00F4754B" w:rsidP="007E2A41">
            <w:pPr>
              <w:pStyle w:val="BodyText1"/>
              <w:spacing w:line="240" w:lineRule="auto"/>
              <w:rPr>
                <w:rFonts w:ascii="Times New Roman" w:hAnsi="Times New Roman"/>
              </w:rPr>
            </w:pPr>
            <w:r w:rsidRPr="003E36FB">
              <w:rPr>
                <w:rFonts w:ascii="Times New Roman" w:hAnsi="Times New Roman"/>
              </w:rPr>
              <w:t xml:space="preserve">Det risikovægtede eksponeringsbeløb for balanceførte poster vedrørende handelsfinansiering i henhold til en officiel eksportkreditforsikringsordning. Med henblik på indberetning i LR4 skal en officiel eksportkreditforsikringsordning vedrøre officiel støtte ydet af regeringen eller en anden enhed, som f.eks. et eksportkreditagentur, i form af bl.a. direkte kredit/finansiering, refinansiering, rentestøtte (når en fast rente garanteres i kredittens løbetid), bistandsfinansiering (kreditter og tilskud), eksportkreditforsikring og garantier. </w:t>
            </w:r>
          </w:p>
          <w:p w:rsidR="009C4E79" w:rsidRPr="003E36FB" w:rsidRDefault="009C4E79" w:rsidP="007E2A41">
            <w:pPr>
              <w:pStyle w:val="BodyText1"/>
              <w:spacing w:line="240" w:lineRule="auto"/>
              <w:rPr>
                <w:rFonts w:ascii="Times New Roman" w:hAnsi="Times New Roman"/>
              </w:rPr>
            </w:pPr>
          </w:p>
          <w:p w:rsidR="00F4754B" w:rsidRPr="003E36FB" w:rsidRDefault="009C4E79" w:rsidP="007E2A41">
            <w:pPr>
              <w:pStyle w:val="BodyText1"/>
              <w:spacing w:line="240" w:lineRule="auto"/>
              <w:rPr>
                <w:rFonts w:ascii="Times New Roman" w:hAnsi="Times New Roman"/>
              </w:rPr>
            </w:pPr>
            <w:r w:rsidRPr="003E36FB">
              <w:rPr>
                <w:rFonts w:ascii="Times New Roman" w:hAnsi="Times New Roman"/>
              </w:rPr>
              <w:t>Institutterne skal indberette denne post fratrukket misligholdte eksponeringer.</w:t>
            </w:r>
          </w:p>
          <w:p w:rsidR="002509B1" w:rsidRPr="003E36FB" w:rsidRDefault="002509B1" w:rsidP="007E2A41">
            <w:pPr>
              <w:pStyle w:val="BodyText1"/>
              <w:spacing w:line="240" w:lineRule="auto"/>
              <w:rPr>
                <w:rFonts w:ascii="Times New Roman" w:hAnsi="Times New Roman"/>
                <w:b/>
                <w:bCs/>
                <w:u w:val="single"/>
              </w:rPr>
            </w:pPr>
          </w:p>
        </w:tc>
      </w:tr>
      <w:bookmarkEnd w:id="84"/>
    </w:tbl>
    <w:p w:rsidR="00217D1F" w:rsidRPr="003E36FB" w:rsidRDefault="00F4754B" w:rsidP="00500508">
      <w:pPr>
        <w:pStyle w:val="BodyText1"/>
        <w:ind w:left="357" w:hanging="357"/>
        <w:outlineLvl w:val="1"/>
        <w:rPr>
          <w:rFonts w:ascii="Times New Roman" w:hAnsi="Times New Roman"/>
          <w:b/>
        </w:rPr>
      </w:pPr>
      <w:r w:rsidRPr="003E36FB">
        <w:br w:type="page"/>
      </w:r>
      <w:bookmarkStart w:id="89" w:name="_Toc351048511"/>
      <w:bookmarkStart w:id="90" w:name="_Toc359414290"/>
      <w:bookmarkStart w:id="91" w:name="_Toc423089075"/>
      <w:bookmarkStart w:id="92" w:name="_Toc523918781"/>
      <w:r w:rsidRPr="003E36FB">
        <w:rPr>
          <w:rFonts w:ascii="Times New Roman" w:hAnsi="Times New Roman"/>
          <w:b/>
        </w:rPr>
        <w:lastRenderedPageBreak/>
        <w:t>9.</w:t>
      </w:r>
      <w:r w:rsidRPr="003E36FB">
        <w:tab/>
      </w:r>
      <w:r w:rsidRPr="003E36FB">
        <w:rPr>
          <w:rFonts w:ascii="Times New Roman" w:hAnsi="Times New Roman"/>
          <w:b/>
        </w:rPr>
        <w:t>C 44.00 — Generelle oplysninger</w:t>
      </w:r>
      <w:bookmarkEnd w:id="89"/>
      <w:bookmarkEnd w:id="90"/>
      <w:r w:rsidRPr="003E36FB">
        <w:rPr>
          <w:rFonts w:ascii="Times New Roman" w:hAnsi="Times New Roman"/>
          <w:b/>
        </w:rPr>
        <w:t xml:space="preserve"> (LR5)</w:t>
      </w:r>
      <w:bookmarkEnd w:id="91"/>
      <w:bookmarkEnd w:id="92"/>
    </w:p>
    <w:p w:rsidR="00675587" w:rsidRPr="003E36FB" w:rsidRDefault="00675587" w:rsidP="00675587">
      <w:pPr>
        <w:pStyle w:val="BodyText1"/>
        <w:ind w:left="720"/>
        <w:rPr>
          <w:rFonts w:ascii="Times New Roman" w:hAnsi="Times New Roman"/>
        </w:rPr>
      </w:pPr>
    </w:p>
    <w:p w:rsidR="00F4754B" w:rsidRPr="003E36FB" w:rsidRDefault="00500508" w:rsidP="00500508">
      <w:pPr>
        <w:pStyle w:val="BodyText1"/>
        <w:spacing w:line="240" w:lineRule="auto"/>
        <w:ind w:left="720" w:hanging="360"/>
        <w:rPr>
          <w:rFonts w:ascii="Times New Roman" w:hAnsi="Times New Roman"/>
        </w:rPr>
      </w:pPr>
      <w:r w:rsidRPr="003E36FB">
        <w:rPr>
          <w:rFonts w:ascii="Times New Roman" w:hAnsi="Times New Roman"/>
        </w:rPr>
        <w:t>31.</w:t>
      </w:r>
      <w:r w:rsidRPr="003E36FB">
        <w:tab/>
      </w:r>
      <w:r w:rsidRPr="003E36FB">
        <w:rPr>
          <w:rFonts w:ascii="Times New Roman" w:hAnsi="Times New Roman"/>
        </w:rPr>
        <w:t>Her indberettes yderligere oplysninger med henblik på at kategorisere instituttets aktiviteter og reguleringsmæssige valg.</w:t>
      </w:r>
    </w:p>
    <w:p w:rsidR="00675587" w:rsidRPr="003E36FB"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3E36FB" w:rsidTr="00FC2664">
        <w:tc>
          <w:tcPr>
            <w:tcW w:w="1418" w:type="dxa"/>
            <w:shd w:val="clear" w:color="auto" w:fill="D9D9D9"/>
          </w:tcPr>
          <w:p w:rsidR="00F4754B" w:rsidRPr="003E36FB" w:rsidRDefault="00F4754B" w:rsidP="00F4754B">
            <w:pPr>
              <w:pStyle w:val="BodyText1"/>
              <w:rPr>
                <w:rFonts w:ascii="Times New Roman" w:hAnsi="Times New Roman"/>
                <w:b/>
              </w:rPr>
            </w:pPr>
            <w:r w:rsidRPr="003E36FB">
              <w:rPr>
                <w:rFonts w:ascii="Times New Roman" w:hAnsi="Times New Roman"/>
                <w:b/>
              </w:rPr>
              <w:t xml:space="preserve">Række </w:t>
            </w:r>
          </w:p>
          <w:p w:rsidR="00F4754B" w:rsidRPr="003E36FB" w:rsidRDefault="00F4754B" w:rsidP="00F4754B">
            <w:pPr>
              <w:pStyle w:val="BodyText1"/>
              <w:rPr>
                <w:rFonts w:ascii="Times New Roman" w:hAnsi="Times New Roman"/>
                <w:b/>
                <w:bCs/>
              </w:rPr>
            </w:pPr>
            <w:r w:rsidRPr="003E36FB">
              <w:rPr>
                <w:rFonts w:ascii="Times New Roman" w:hAnsi="Times New Roman"/>
                <w:b/>
              </w:rPr>
              <w:t>og kolonne</w:t>
            </w:r>
          </w:p>
        </w:tc>
        <w:tc>
          <w:tcPr>
            <w:tcW w:w="7620" w:type="dxa"/>
            <w:shd w:val="clear" w:color="auto" w:fill="D9D9D9"/>
          </w:tcPr>
          <w:p w:rsidR="00F4754B" w:rsidRPr="003E36FB" w:rsidRDefault="00F4754B" w:rsidP="00F4754B">
            <w:pPr>
              <w:pStyle w:val="BodyText1"/>
              <w:rPr>
                <w:rFonts w:ascii="Times New Roman" w:hAnsi="Times New Roman"/>
                <w:b/>
                <w:bCs/>
              </w:rPr>
            </w:pPr>
            <w:r w:rsidRPr="003E36FB">
              <w:rPr>
                <w:rFonts w:ascii="Times New Roman" w:hAnsi="Times New Roman"/>
                <w:b/>
              </w:rPr>
              <w:t>Vejledning</w:t>
            </w:r>
          </w:p>
        </w:tc>
      </w:tr>
      <w:tr w:rsidR="00F4754B" w:rsidRPr="003E36FB" w:rsidTr="00FC2664">
        <w:tc>
          <w:tcPr>
            <w:tcW w:w="1418" w:type="dxa"/>
          </w:tcPr>
          <w:p w:rsidR="00F4754B" w:rsidRPr="003E36FB" w:rsidRDefault="00F4754B" w:rsidP="00F4754B">
            <w:pPr>
              <w:pStyle w:val="BodyText1"/>
              <w:rPr>
                <w:rFonts w:ascii="Times New Roman" w:hAnsi="Times New Roman"/>
                <w:bCs/>
              </w:rPr>
            </w:pPr>
            <w:r w:rsidRPr="003E36FB">
              <w:rPr>
                <w:rFonts w:ascii="Times New Roman" w:hAnsi="Times New Roman"/>
              </w:rPr>
              <w:t>{010;010}</w:t>
            </w:r>
          </w:p>
        </w:tc>
        <w:tc>
          <w:tcPr>
            <w:tcW w:w="7620" w:type="dxa"/>
          </w:tcPr>
          <w:p w:rsidR="00F4754B" w:rsidRPr="003E36FB" w:rsidRDefault="00F4754B" w:rsidP="002509B1">
            <w:pPr>
              <w:pStyle w:val="BodyText1"/>
              <w:spacing w:line="240" w:lineRule="auto"/>
              <w:rPr>
                <w:rFonts w:ascii="Times New Roman" w:hAnsi="Times New Roman"/>
                <w:b/>
                <w:bCs/>
              </w:rPr>
            </w:pPr>
            <w:r w:rsidRPr="003E36FB">
              <w:rPr>
                <w:rFonts w:ascii="Times New Roman" w:hAnsi="Times New Roman"/>
                <w:b/>
              </w:rPr>
              <w:t>Instituttets selskabsstruktur</w:t>
            </w:r>
          </w:p>
          <w:p w:rsidR="00F4754B" w:rsidRPr="003E36FB" w:rsidRDefault="00F4754B" w:rsidP="002509B1">
            <w:pPr>
              <w:pStyle w:val="BodyText1"/>
              <w:spacing w:line="240" w:lineRule="auto"/>
              <w:rPr>
                <w:rFonts w:ascii="Times New Roman" w:hAnsi="Times New Roman"/>
                <w:bCs/>
              </w:rPr>
            </w:pPr>
          </w:p>
          <w:p w:rsidR="00F4754B" w:rsidRPr="003E36FB" w:rsidRDefault="00F4754B" w:rsidP="002509B1">
            <w:pPr>
              <w:pStyle w:val="BodyText1"/>
              <w:spacing w:line="240" w:lineRule="auto"/>
              <w:rPr>
                <w:rFonts w:ascii="Times New Roman" w:hAnsi="Times New Roman"/>
                <w:bCs/>
              </w:rPr>
            </w:pPr>
            <w:r w:rsidRPr="003E36FB">
              <w:rPr>
                <w:rFonts w:ascii="Times New Roman" w:hAnsi="Times New Roman"/>
              </w:rPr>
              <w:t>Instituttet skal klassificere sin selskabsstruktur i en af følgende kategorier:</w:t>
            </w:r>
          </w:p>
          <w:p w:rsidR="00F4754B" w:rsidRPr="003E36FB" w:rsidRDefault="00500508" w:rsidP="0077269C">
            <w:pPr>
              <w:pStyle w:val="BodyText1"/>
              <w:spacing w:line="240" w:lineRule="auto"/>
              <w:ind w:left="360" w:hanging="360"/>
              <w:rPr>
                <w:rFonts w:ascii="Times New Roman" w:hAnsi="Times New Roman"/>
                <w:bCs/>
              </w:rPr>
            </w:pPr>
            <w:r w:rsidRPr="003E36FB">
              <w:rPr>
                <w:rFonts w:ascii="Times New Roman" w:hAnsi="Times New Roman"/>
              </w:rPr>
              <w:t>-</w:t>
            </w:r>
            <w:r w:rsidRPr="003E36FB">
              <w:tab/>
            </w:r>
            <w:r w:rsidRPr="003E36FB">
              <w:rPr>
                <w:rFonts w:ascii="Times New Roman" w:hAnsi="Times New Roman"/>
              </w:rPr>
              <w:t>Aktieselskab</w:t>
            </w:r>
          </w:p>
          <w:p w:rsidR="00F4754B" w:rsidRPr="003E36FB" w:rsidRDefault="00500508" w:rsidP="0077269C">
            <w:pPr>
              <w:pStyle w:val="BodyText1"/>
              <w:spacing w:line="240" w:lineRule="auto"/>
              <w:ind w:left="360" w:hanging="360"/>
              <w:rPr>
                <w:rFonts w:ascii="Times New Roman" w:hAnsi="Times New Roman"/>
                <w:bCs/>
              </w:rPr>
            </w:pPr>
            <w:r w:rsidRPr="003E36FB">
              <w:rPr>
                <w:rFonts w:ascii="Times New Roman" w:hAnsi="Times New Roman"/>
              </w:rPr>
              <w:t>-</w:t>
            </w:r>
            <w:r w:rsidRPr="003E36FB">
              <w:tab/>
            </w:r>
            <w:r w:rsidRPr="003E36FB">
              <w:rPr>
                <w:rFonts w:ascii="Times New Roman" w:hAnsi="Times New Roman"/>
              </w:rPr>
              <w:t>Gensidigt selskab/kooperativt selskab</w:t>
            </w:r>
          </w:p>
          <w:p w:rsidR="00F4754B" w:rsidRPr="003E36FB" w:rsidRDefault="00500508" w:rsidP="0077269C">
            <w:pPr>
              <w:pStyle w:val="BodyText1"/>
              <w:spacing w:line="240" w:lineRule="auto"/>
              <w:ind w:left="360" w:hanging="360"/>
              <w:rPr>
                <w:rFonts w:ascii="Times New Roman" w:hAnsi="Times New Roman"/>
                <w:bCs/>
              </w:rPr>
            </w:pPr>
            <w:r w:rsidRPr="003E36FB">
              <w:rPr>
                <w:rFonts w:ascii="Times New Roman" w:hAnsi="Times New Roman"/>
              </w:rPr>
              <w:t>-</w:t>
            </w:r>
            <w:r w:rsidRPr="003E36FB">
              <w:tab/>
            </w:r>
            <w:r w:rsidRPr="003E36FB">
              <w:rPr>
                <w:rFonts w:ascii="Times New Roman" w:hAnsi="Times New Roman"/>
              </w:rPr>
              <w:t>Andre ikkeaktieselskaber</w:t>
            </w:r>
          </w:p>
          <w:p w:rsidR="00BE6AC4" w:rsidRPr="003E36FB" w:rsidRDefault="00BE6AC4" w:rsidP="00BE6AC4">
            <w:pPr>
              <w:pStyle w:val="BodyText1"/>
              <w:spacing w:line="240" w:lineRule="auto"/>
              <w:rPr>
                <w:rFonts w:ascii="Times New Roman" w:hAnsi="Times New Roman"/>
                <w:bCs/>
              </w:rPr>
            </w:pPr>
          </w:p>
        </w:tc>
      </w:tr>
      <w:tr w:rsidR="00F4754B" w:rsidRPr="003E36FB" w:rsidTr="00FC2664">
        <w:tc>
          <w:tcPr>
            <w:tcW w:w="1418" w:type="dxa"/>
          </w:tcPr>
          <w:p w:rsidR="00F4754B" w:rsidRPr="003E36FB" w:rsidRDefault="00F4754B" w:rsidP="00FA1A9C">
            <w:pPr>
              <w:pStyle w:val="BodyText1"/>
              <w:rPr>
                <w:rFonts w:ascii="Times New Roman" w:hAnsi="Times New Roman"/>
                <w:bCs/>
              </w:rPr>
            </w:pPr>
            <w:r w:rsidRPr="003E36FB">
              <w:rPr>
                <w:rFonts w:ascii="Times New Roman" w:hAnsi="Times New Roman"/>
              </w:rPr>
              <w:t>{020;010}</w:t>
            </w:r>
          </w:p>
        </w:tc>
        <w:tc>
          <w:tcPr>
            <w:tcW w:w="7620" w:type="dxa"/>
          </w:tcPr>
          <w:p w:rsidR="00F4754B" w:rsidRPr="003E36FB" w:rsidRDefault="00F4754B" w:rsidP="002509B1">
            <w:pPr>
              <w:pStyle w:val="BodyText1"/>
              <w:spacing w:line="240" w:lineRule="auto"/>
              <w:rPr>
                <w:rFonts w:ascii="Times New Roman" w:hAnsi="Times New Roman"/>
                <w:b/>
                <w:bCs/>
              </w:rPr>
            </w:pPr>
            <w:r w:rsidRPr="003E36FB">
              <w:rPr>
                <w:rFonts w:ascii="Times New Roman" w:hAnsi="Times New Roman"/>
                <w:b/>
              </w:rPr>
              <w:t>Behandling af derivater</w:t>
            </w:r>
          </w:p>
          <w:p w:rsidR="00F4754B" w:rsidRPr="003E36FB" w:rsidRDefault="00F4754B" w:rsidP="002509B1">
            <w:pPr>
              <w:pStyle w:val="BodyText1"/>
              <w:spacing w:line="240" w:lineRule="auto"/>
              <w:rPr>
                <w:rFonts w:ascii="Times New Roman" w:hAnsi="Times New Roman"/>
                <w:bCs/>
              </w:rPr>
            </w:pPr>
          </w:p>
          <w:p w:rsidR="00F4754B" w:rsidRPr="003E36FB" w:rsidRDefault="00F4754B" w:rsidP="002509B1">
            <w:pPr>
              <w:pStyle w:val="BodyText1"/>
              <w:spacing w:line="240" w:lineRule="auto"/>
              <w:rPr>
                <w:rFonts w:ascii="Times New Roman" w:hAnsi="Times New Roman"/>
                <w:bCs/>
              </w:rPr>
            </w:pPr>
            <w:r w:rsidRPr="003E36FB">
              <w:rPr>
                <w:rFonts w:ascii="Times New Roman" w:hAnsi="Times New Roman"/>
              </w:rPr>
              <w:t>Instituttet skal angive den regelomfattede behandling af derivater ved hjælp af følgende kategorier:</w:t>
            </w:r>
          </w:p>
          <w:p w:rsidR="00F4754B" w:rsidRPr="003E36FB" w:rsidRDefault="00500508" w:rsidP="0077269C">
            <w:pPr>
              <w:pStyle w:val="BodyText1"/>
              <w:spacing w:line="240" w:lineRule="auto"/>
              <w:ind w:left="360" w:hanging="360"/>
              <w:rPr>
                <w:rFonts w:ascii="Times New Roman" w:hAnsi="Times New Roman"/>
                <w:bCs/>
              </w:rPr>
            </w:pPr>
            <w:r w:rsidRPr="003E36FB">
              <w:rPr>
                <w:rFonts w:ascii="Times New Roman" w:hAnsi="Times New Roman"/>
              </w:rPr>
              <w:t>-</w:t>
            </w:r>
            <w:r w:rsidRPr="003E36FB">
              <w:tab/>
            </w:r>
            <w:r w:rsidRPr="003E36FB">
              <w:rPr>
                <w:rFonts w:ascii="Times New Roman" w:hAnsi="Times New Roman"/>
              </w:rPr>
              <w:t>Den oprindelige eksponeringsmetode</w:t>
            </w:r>
          </w:p>
          <w:p w:rsidR="00F4754B" w:rsidRPr="003E36FB" w:rsidRDefault="00500508" w:rsidP="0077269C">
            <w:pPr>
              <w:pStyle w:val="BodyText1"/>
              <w:spacing w:line="240" w:lineRule="auto"/>
              <w:ind w:left="360" w:hanging="360"/>
              <w:rPr>
                <w:rFonts w:ascii="Times New Roman" w:hAnsi="Times New Roman"/>
                <w:bCs/>
              </w:rPr>
            </w:pPr>
            <w:r w:rsidRPr="003E36FB">
              <w:rPr>
                <w:rFonts w:ascii="Times New Roman" w:hAnsi="Times New Roman"/>
              </w:rPr>
              <w:t>-</w:t>
            </w:r>
            <w:r w:rsidRPr="003E36FB">
              <w:tab/>
            </w:r>
            <w:r w:rsidRPr="003E36FB">
              <w:rPr>
                <w:rFonts w:ascii="Times New Roman" w:hAnsi="Times New Roman"/>
              </w:rPr>
              <w:t>Markedsværdimetoden.</w:t>
            </w:r>
          </w:p>
          <w:p w:rsidR="00BE6AC4" w:rsidRPr="003E36FB" w:rsidRDefault="00BE6AC4" w:rsidP="00BE6AC4">
            <w:pPr>
              <w:pStyle w:val="BodyText1"/>
              <w:spacing w:line="240" w:lineRule="auto"/>
              <w:rPr>
                <w:rFonts w:ascii="Times New Roman" w:hAnsi="Times New Roman"/>
                <w:bCs/>
              </w:rPr>
            </w:pPr>
          </w:p>
        </w:tc>
      </w:tr>
      <w:tr w:rsidR="00F4754B" w:rsidRPr="003E36FB" w:rsidTr="00FC2664">
        <w:tc>
          <w:tcPr>
            <w:tcW w:w="1418" w:type="dxa"/>
          </w:tcPr>
          <w:p w:rsidR="00F4754B" w:rsidRPr="003E36FB" w:rsidRDefault="00F4754B" w:rsidP="00FA1A9C">
            <w:pPr>
              <w:pStyle w:val="BodyText1"/>
              <w:rPr>
                <w:rFonts w:ascii="Times New Roman" w:hAnsi="Times New Roman"/>
                <w:bCs/>
              </w:rPr>
            </w:pPr>
            <w:r w:rsidRPr="003E36FB">
              <w:rPr>
                <w:rFonts w:ascii="Times New Roman" w:hAnsi="Times New Roman"/>
              </w:rPr>
              <w:t>{040;010}</w:t>
            </w:r>
          </w:p>
        </w:tc>
        <w:tc>
          <w:tcPr>
            <w:tcW w:w="7620" w:type="dxa"/>
          </w:tcPr>
          <w:p w:rsidR="00F4754B" w:rsidRPr="003E36FB" w:rsidRDefault="00F4754B" w:rsidP="002509B1">
            <w:pPr>
              <w:pStyle w:val="BodyText1"/>
              <w:spacing w:line="240" w:lineRule="auto"/>
              <w:rPr>
                <w:rFonts w:ascii="Times New Roman" w:hAnsi="Times New Roman"/>
                <w:b/>
                <w:bCs/>
              </w:rPr>
            </w:pPr>
            <w:r w:rsidRPr="003E36FB">
              <w:rPr>
                <w:rFonts w:ascii="Times New Roman" w:hAnsi="Times New Roman"/>
                <w:b/>
              </w:rPr>
              <w:t>Instituttype</w:t>
            </w:r>
          </w:p>
          <w:p w:rsidR="00F4754B" w:rsidRPr="003E36FB" w:rsidRDefault="00F4754B" w:rsidP="002509B1">
            <w:pPr>
              <w:pStyle w:val="BodyText1"/>
              <w:spacing w:line="240" w:lineRule="auto"/>
              <w:rPr>
                <w:rFonts w:ascii="Times New Roman" w:hAnsi="Times New Roman"/>
                <w:bCs/>
              </w:rPr>
            </w:pPr>
          </w:p>
          <w:p w:rsidR="00F4754B" w:rsidRPr="003E36FB" w:rsidRDefault="00F4754B" w:rsidP="002509B1">
            <w:pPr>
              <w:pStyle w:val="BodyText1"/>
              <w:spacing w:line="240" w:lineRule="auto"/>
              <w:rPr>
                <w:rFonts w:ascii="Times New Roman" w:hAnsi="Times New Roman"/>
                <w:bCs/>
              </w:rPr>
            </w:pPr>
            <w:r w:rsidRPr="003E36FB">
              <w:rPr>
                <w:rFonts w:ascii="Times New Roman" w:hAnsi="Times New Roman"/>
              </w:rPr>
              <w:t>Instituttet skal klassificere sin instituttype i en af følgende kategorier:</w:t>
            </w:r>
          </w:p>
          <w:p w:rsidR="00F4754B" w:rsidRPr="003E36FB" w:rsidRDefault="00500508" w:rsidP="0077269C">
            <w:pPr>
              <w:pStyle w:val="BodyText1"/>
              <w:spacing w:line="240" w:lineRule="auto"/>
              <w:ind w:left="360" w:hanging="360"/>
              <w:rPr>
                <w:rFonts w:ascii="Times New Roman" w:hAnsi="Times New Roman"/>
                <w:bCs/>
              </w:rPr>
            </w:pPr>
            <w:r w:rsidRPr="003E36FB">
              <w:rPr>
                <w:rFonts w:ascii="Times New Roman" w:hAnsi="Times New Roman"/>
              </w:rPr>
              <w:t>-</w:t>
            </w:r>
            <w:r w:rsidRPr="003E36FB">
              <w:tab/>
            </w:r>
            <w:r w:rsidRPr="003E36FB">
              <w:rPr>
                <w:rFonts w:ascii="Times New Roman" w:hAnsi="Times New Roman"/>
              </w:rPr>
              <w:t>Almindelig bankvirksomhed (</w:t>
            </w:r>
            <w:proofErr w:type="spellStart"/>
            <w:r w:rsidRPr="003E36FB">
              <w:rPr>
                <w:rFonts w:ascii="Times New Roman" w:hAnsi="Times New Roman"/>
              </w:rPr>
              <w:t>detail</w:t>
            </w:r>
            <w:proofErr w:type="spellEnd"/>
            <w:r w:rsidRPr="003E36FB">
              <w:rPr>
                <w:rFonts w:ascii="Times New Roman" w:hAnsi="Times New Roman"/>
              </w:rPr>
              <w:t>-, forretnings- og investeringsbanker)</w:t>
            </w:r>
          </w:p>
          <w:p w:rsidR="00F4754B" w:rsidRPr="003E36FB" w:rsidRDefault="00500508" w:rsidP="0077269C">
            <w:pPr>
              <w:pStyle w:val="BodyText1"/>
              <w:spacing w:line="240" w:lineRule="auto"/>
              <w:ind w:left="360" w:hanging="360"/>
              <w:rPr>
                <w:rFonts w:ascii="Times New Roman" w:hAnsi="Times New Roman"/>
                <w:bCs/>
              </w:rPr>
            </w:pPr>
            <w:r w:rsidRPr="003E36FB">
              <w:rPr>
                <w:rFonts w:ascii="Times New Roman" w:hAnsi="Times New Roman"/>
              </w:rPr>
              <w:t>-</w:t>
            </w:r>
            <w:r w:rsidRPr="003E36FB">
              <w:tab/>
            </w:r>
            <w:r w:rsidRPr="003E36FB">
              <w:rPr>
                <w:rFonts w:ascii="Times New Roman" w:hAnsi="Times New Roman"/>
              </w:rPr>
              <w:t>Detail- og forretningsbankvirksomhed</w:t>
            </w:r>
          </w:p>
          <w:p w:rsidR="00F4754B" w:rsidRPr="003E36FB" w:rsidRDefault="00500508" w:rsidP="0077269C">
            <w:pPr>
              <w:pStyle w:val="BodyText1"/>
              <w:spacing w:line="240" w:lineRule="auto"/>
              <w:ind w:left="360" w:hanging="360"/>
              <w:rPr>
                <w:rFonts w:ascii="Times New Roman" w:hAnsi="Times New Roman"/>
                <w:bCs/>
              </w:rPr>
            </w:pPr>
            <w:r w:rsidRPr="003E36FB">
              <w:rPr>
                <w:rFonts w:ascii="Times New Roman" w:hAnsi="Times New Roman"/>
              </w:rPr>
              <w:t>-</w:t>
            </w:r>
            <w:r w:rsidRPr="003E36FB">
              <w:tab/>
            </w:r>
            <w:r w:rsidRPr="003E36FB">
              <w:rPr>
                <w:rFonts w:ascii="Times New Roman" w:hAnsi="Times New Roman"/>
              </w:rPr>
              <w:t>Investeringsbankvirksomhed</w:t>
            </w:r>
          </w:p>
          <w:p w:rsidR="00875832" w:rsidRPr="003E36FB" w:rsidRDefault="00500508" w:rsidP="0077269C">
            <w:pPr>
              <w:pStyle w:val="BodyText1"/>
              <w:spacing w:line="240" w:lineRule="auto"/>
              <w:ind w:left="360" w:hanging="360"/>
              <w:rPr>
                <w:rFonts w:ascii="Times New Roman" w:hAnsi="Times New Roman"/>
                <w:bCs/>
              </w:rPr>
            </w:pPr>
            <w:r w:rsidRPr="003E36FB">
              <w:rPr>
                <w:rFonts w:ascii="Times New Roman" w:hAnsi="Times New Roman"/>
              </w:rPr>
              <w:t>-</w:t>
            </w:r>
            <w:r w:rsidRPr="003E36FB">
              <w:tab/>
            </w:r>
            <w:r w:rsidRPr="003E36FB">
              <w:rPr>
                <w:rFonts w:ascii="Times New Roman" w:hAnsi="Times New Roman"/>
              </w:rPr>
              <w:t>Specialiseret långivning</w:t>
            </w:r>
          </w:p>
          <w:p w:rsidR="00F4754B" w:rsidRPr="003E36FB" w:rsidRDefault="00875832" w:rsidP="0077269C">
            <w:pPr>
              <w:pStyle w:val="BodyText1"/>
              <w:spacing w:line="240" w:lineRule="auto"/>
              <w:ind w:left="360" w:hanging="360"/>
              <w:rPr>
                <w:rFonts w:ascii="Times New Roman" w:hAnsi="Times New Roman"/>
                <w:bCs/>
              </w:rPr>
            </w:pPr>
            <w:r w:rsidRPr="003E36FB">
              <w:rPr>
                <w:rFonts w:ascii="Times New Roman" w:hAnsi="Times New Roman"/>
              </w:rPr>
              <w:t>-</w:t>
            </w:r>
            <w:r w:rsidRPr="003E36FB">
              <w:tab/>
            </w:r>
            <w:r w:rsidRPr="003E36FB">
              <w:rPr>
                <w:rFonts w:ascii="Times New Roman" w:hAnsi="Times New Roman"/>
              </w:rPr>
              <w:t>Anden forretningsmodel.</w:t>
            </w:r>
          </w:p>
          <w:p w:rsidR="00BE6AC4" w:rsidRPr="003E36FB" w:rsidRDefault="00BE6AC4" w:rsidP="00BE6AC4">
            <w:pPr>
              <w:pStyle w:val="BodyText1"/>
              <w:spacing w:line="240" w:lineRule="auto"/>
              <w:rPr>
                <w:rFonts w:ascii="Times New Roman" w:hAnsi="Times New Roman"/>
                <w:bCs/>
              </w:rPr>
            </w:pPr>
          </w:p>
        </w:tc>
      </w:tr>
    </w:tbl>
    <w:p w:rsidR="00565261" w:rsidRPr="003E36FB" w:rsidRDefault="006D1C09" w:rsidP="008717E3">
      <w:pPr>
        <w:pStyle w:val="BodyText1"/>
        <w:ind w:left="567"/>
        <w:rPr>
          <w:rFonts w:ascii="Times New Roman" w:hAnsi="Times New Roman"/>
        </w:rPr>
      </w:pPr>
      <w:r w:rsidRPr="003E36FB">
        <w:rPr>
          <w:rFonts w:ascii="Times New Roman" w:hAnsi="Times New Roman"/>
          <w:sz w:val="24"/>
        </w:rPr>
        <w:t>"</w:t>
      </w:r>
    </w:p>
    <w:p w:rsidR="007030E2" w:rsidRPr="003E36FB" w:rsidRDefault="007030E2">
      <w:pPr>
        <w:pStyle w:val="BodyText1"/>
        <w:ind w:left="567"/>
        <w:rPr>
          <w:rFonts w:ascii="Times New Roman" w:hAnsi="Times New Roman"/>
        </w:rPr>
      </w:pPr>
    </w:p>
    <w:sectPr w:rsidR="007030E2" w:rsidRPr="003E36FB" w:rsidSect="005315D3">
      <w:headerReference w:type="default" r:id="rId14"/>
      <w:footerReference w:type="default" r:id="rId15"/>
      <w:headerReference w:type="first" r:id="rId16"/>
      <w:footerReference w:type="first" r:id="rId17"/>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AC4" w:rsidRDefault="00BE6AC4">
      <w:r>
        <w:separator/>
      </w:r>
    </w:p>
  </w:endnote>
  <w:endnote w:type="continuationSeparator" w:id="0">
    <w:p w:rsidR="00BE6AC4" w:rsidRDefault="00BE6AC4">
      <w:r>
        <w:continuationSeparator/>
      </w:r>
    </w:p>
  </w:endnote>
  <w:endnote w:type="continuationNotice" w:id="1">
    <w:p w:rsidR="00BE6AC4" w:rsidRDefault="00BE6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Pr="00A772B4" w:rsidRDefault="00BE6AC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BE6AC4" w:rsidRDefault="00BE6A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665BBB" w:rsidRDefault="00665BBB">
        <w:pPr>
          <w:pStyle w:val="Footer"/>
          <w:jc w:val="center"/>
        </w:pPr>
        <w:r>
          <w:fldChar w:fldCharType="begin"/>
        </w:r>
        <w:r>
          <w:instrText xml:space="preserve"> PAGE   \* MERGEFORMAT </w:instrText>
        </w:r>
        <w:r>
          <w:fldChar w:fldCharType="separate"/>
        </w:r>
        <w:r w:rsidR="006246CC">
          <w:rPr>
            <w:noProof/>
          </w:rPr>
          <w:t>1</w:t>
        </w:r>
        <w:r>
          <w:rPr>
            <w:noProof/>
          </w:rPr>
          <w:fldChar w:fldCharType="end"/>
        </w:r>
      </w:p>
    </w:sdtContent>
  </w:sdt>
  <w:p w:rsidR="00665BBB" w:rsidRDefault="00665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EndPr/>
    <w:sdtContent>
      <w:p w:rsidR="00BE6AC4" w:rsidRPr="009A78F0" w:rsidRDefault="00BE6AC4"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6246CC">
          <w:rPr>
            <w:rFonts w:ascii="Times New Roman" w:hAnsi="Times New Roman"/>
            <w:noProof/>
            <w:sz w:val="20"/>
          </w:rPr>
          <w:t>2</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EndPr/>
    <w:sdtContent>
      <w:p w:rsidR="00BE6AC4" w:rsidRDefault="00BE6AC4">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BE6AC4" w:rsidRDefault="00BE6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AC4" w:rsidRPr="004D223F" w:rsidRDefault="00BE6AC4" w:rsidP="00C7701D">
      <w:r>
        <w:continuationSeparator/>
      </w:r>
    </w:p>
  </w:footnote>
  <w:footnote w:type="continuationSeparator" w:id="0">
    <w:p w:rsidR="00BE6AC4" w:rsidRDefault="00BE6AC4">
      <w:r>
        <w:continuationSeparator/>
      </w:r>
    </w:p>
  </w:footnote>
  <w:footnote w:type="continuationNotice" w:id="1">
    <w:p w:rsidR="00BE6AC4" w:rsidRDefault="00BE6AC4"/>
  </w:footnote>
  <w:footnote w:id="2">
    <w:p w:rsidR="00BE6AC4" w:rsidRPr="00AD756F" w:rsidRDefault="00BE6AC4" w:rsidP="00F4754B">
      <w:pPr>
        <w:pStyle w:val="FootnoteText"/>
        <w:rPr>
          <w:sz w:val="12"/>
          <w:szCs w:val="12"/>
          <w:lang w:val="en-US"/>
        </w:rPr>
      </w:pPr>
      <w:r>
        <w:rPr>
          <w:rStyle w:val="FootnoteReference"/>
        </w:rPr>
        <w:footnoteRef/>
      </w:r>
      <w:r>
        <w:t xml:space="preserve"> </w:t>
      </w:r>
      <w:r>
        <w:rPr>
          <w:sz w:val="12"/>
        </w:rPr>
        <w:t xml:space="preserve">Omfatter </w:t>
      </w:r>
      <w:proofErr w:type="spellStart"/>
      <w:r>
        <w:rPr>
          <w:sz w:val="12"/>
        </w:rPr>
        <w:t>securitiseringer</w:t>
      </w:r>
      <w:proofErr w:type="spellEnd"/>
      <w:r>
        <w:rPr>
          <w:sz w:val="12"/>
        </w:rPr>
        <w:t xml:space="preserve"> og aktieeksponeringer underlagt kreditrisiko.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r>
      <w:rPr>
        <w:noProof/>
        <w:lang w:val="en-GB" w:eastAsia="en-GB" w:bidi="ar-SA"/>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xmlns:o="urn:schemas-microsoft-com:office:office" xmlns:w14="http://schemas.microsoft.com/office/word/2010/wordml" xmlns:v="urn:schemas-microsoft-com:vml" w14:anchorId="4042D745" id="_x0000_t32" coordsize="21600,21600" o:spt="32" o:oned="t" path="m,l21600,21600e" filled="f">
              <v:path arrowok="t" fillok="f" o:connecttype="none"/>
              <o:lock v:ext="edit" shapetype="t"/>
            </v:shapetype>
            <v:shape xmlns:o="urn:schemas-microsoft-com:office:office" xmlns:v="urn:schemas-microsoft-com:vml"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tabs>
        <w:tab w:val="clear" w:pos="8306"/>
        <w:tab w:val="right" w:pos="9072"/>
      </w:tabs>
      <w:jc w:val="right"/>
      <w:rPr>
        <w:noProof/>
      </w:rPr>
    </w:pPr>
    <w:r>
      <w:rPr>
        <w:noProof/>
        <w:lang w:val="en-GB" w:eastAsia="en-GB" w:bidi="ar-SA"/>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xmlns:o="urn:schemas-microsoft-com:office:office" xmlns:w14="http://schemas.microsoft.com/office/word/2010/wordml" xmlns:v="urn:schemas-microsoft-com:vml" w14:anchorId="28BB0DC1" id="_x0000_t32" coordsize="21600,21600" o:spt="32" o:oned="t" path="m,l21600,21600e" filled="f">
              <v:path arrowok="t" fillok="f" o:connecttype="none"/>
              <o:lock v:ext="edit" shapetype="t"/>
            </v:shapetype>
            <v:shape xmlns:o="urn:schemas-microsoft-com:office:office" xmlns:v="urn:schemas-microsoft-com:vml"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xmlns:w10="urn:schemas-microsoft-com:office:word" anchorx="page" anchory="page"/>
              <w10:anchorlock xmlns:w10="urn:schemas-microsoft-com:office:word"/>
            </v:shape>
          </w:pict>
        </mc:Fallback>
      </mc:AlternateContent>
    </w:r>
  </w:p>
  <w:p w:rsidR="00BE6AC4" w:rsidRDefault="00BE6AC4">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75777"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1057"/>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13EE"/>
    <w:rsid w:val="00315160"/>
    <w:rsid w:val="00316050"/>
    <w:rsid w:val="003167BD"/>
    <w:rsid w:val="00316905"/>
    <w:rsid w:val="00317861"/>
    <w:rsid w:val="00321B6C"/>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36FB"/>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83DD0"/>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46CC"/>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0E2"/>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500B"/>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D73"/>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da-DK"/>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da-DK"/>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da-DK"/>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da-DK"/>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da-DK"/>
    </w:rPr>
  </w:style>
  <w:style w:type="character" w:customStyle="1" w:styleId="Heading6Char">
    <w:name w:val="Heading 6 Char"/>
    <w:basedOn w:val="DefaultParagraphFont"/>
    <w:link w:val="Heading6"/>
    <w:rsid w:val="00F4754B"/>
    <w:rPr>
      <w:b/>
      <w:bCs/>
      <w:szCs w:val="22"/>
      <w:lang w:eastAsia="da-DK"/>
    </w:rPr>
  </w:style>
  <w:style w:type="character" w:customStyle="1" w:styleId="Heading7Char">
    <w:name w:val="Heading 7 Char"/>
    <w:basedOn w:val="DefaultParagraphFont"/>
    <w:link w:val="Heading7"/>
    <w:rsid w:val="00F4754B"/>
    <w:rPr>
      <w:sz w:val="24"/>
      <w:szCs w:val="24"/>
      <w:lang w:eastAsia="da-DK"/>
    </w:rPr>
  </w:style>
  <w:style w:type="character" w:customStyle="1" w:styleId="Heading8Char">
    <w:name w:val="Heading 8 Char"/>
    <w:basedOn w:val="DefaultParagraphFont"/>
    <w:link w:val="Heading8"/>
    <w:rsid w:val="00F4754B"/>
    <w:rPr>
      <w:i/>
      <w:iCs/>
      <w:sz w:val="24"/>
      <w:szCs w:val="24"/>
      <w:lang w:eastAsia="da-DK"/>
    </w:rPr>
  </w:style>
  <w:style w:type="character" w:customStyle="1" w:styleId="Heading9Char">
    <w:name w:val="Heading 9 Char"/>
    <w:basedOn w:val="DefaultParagraphFont"/>
    <w:link w:val="Heading9"/>
    <w:rsid w:val="00F4754B"/>
    <w:rPr>
      <w:rFonts w:ascii="Verdana" w:hAnsi="Verdana" w:cs="Arial"/>
      <w:szCs w:val="22"/>
      <w:lang w:eastAsia="da-DK"/>
    </w:rPr>
  </w:style>
  <w:style w:type="character" w:customStyle="1" w:styleId="Heading1Char">
    <w:name w:val="Heading 1 Char"/>
    <w:basedOn w:val="DefaultParagraphFont"/>
    <w:link w:val="Heading1"/>
    <w:rsid w:val="00F4754B"/>
    <w:rPr>
      <w:rFonts w:ascii="Arial" w:hAnsi="Arial"/>
      <w:color w:val="48748F" w:themeColor="accent1"/>
      <w:sz w:val="36"/>
      <w:lang w:eastAsia="da-DK"/>
    </w:rPr>
  </w:style>
  <w:style w:type="character" w:customStyle="1" w:styleId="Heading2Char">
    <w:name w:val="Heading 2 Char"/>
    <w:basedOn w:val="DefaultParagraphFont"/>
    <w:link w:val="Heading2"/>
    <w:rsid w:val="00F4754B"/>
    <w:rPr>
      <w:rFonts w:ascii="Arial" w:hAnsi="Arial"/>
      <w:color w:val="48748F" w:themeColor="accent1"/>
      <w:sz w:val="24"/>
      <w:lang w:eastAsia="da-DK"/>
    </w:rPr>
  </w:style>
  <w:style w:type="character" w:customStyle="1" w:styleId="Heading3Char">
    <w:name w:val="Heading 3 Char"/>
    <w:basedOn w:val="DefaultParagraphFont"/>
    <w:link w:val="Heading3"/>
    <w:rsid w:val="00F4754B"/>
    <w:rPr>
      <w:rFonts w:ascii="Arial" w:hAnsi="Arial"/>
      <w:b/>
      <w:color w:val="48748F" w:themeColor="accent1"/>
      <w:szCs w:val="22"/>
      <w:lang w:eastAsia="da-DK"/>
    </w:rPr>
  </w:style>
  <w:style w:type="character" w:customStyle="1" w:styleId="Heading4Char">
    <w:name w:val="Heading 4 Char"/>
    <w:basedOn w:val="DefaultParagraphFont"/>
    <w:link w:val="Heading4"/>
    <w:rsid w:val="00F4754B"/>
    <w:rPr>
      <w:rFonts w:ascii="Arial" w:hAnsi="Arial"/>
      <w:color w:val="48748F" w:themeColor="accent1"/>
      <w:lang w:eastAsia="da-DK"/>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da-DK"/>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da-DK"/>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da-DK"/>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da-DK"/>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da-DK"/>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da-DK"/>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da-DK"/>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da-DK"/>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da-DK"/>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da-DK" w:eastAsia="da-DK"/>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da-DK"/>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da-DK" w:eastAsia="da-DK" w:bidi="da-DK"/>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da-DK"/>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da-DK"/>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da-DK"/>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a-DK"/>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da-DK"/>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da-DK"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da-DK"/>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da-DK"/>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da-DK"/>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da-DK"/>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da-DK"/>
    </w:rPr>
  </w:style>
  <w:style w:type="character" w:customStyle="1" w:styleId="Heading6Char">
    <w:name w:val="Heading 6 Char"/>
    <w:basedOn w:val="DefaultParagraphFont"/>
    <w:link w:val="Heading6"/>
    <w:rsid w:val="00F4754B"/>
    <w:rPr>
      <w:b/>
      <w:bCs/>
      <w:szCs w:val="22"/>
      <w:lang w:eastAsia="da-DK"/>
    </w:rPr>
  </w:style>
  <w:style w:type="character" w:customStyle="1" w:styleId="Heading7Char">
    <w:name w:val="Heading 7 Char"/>
    <w:basedOn w:val="DefaultParagraphFont"/>
    <w:link w:val="Heading7"/>
    <w:rsid w:val="00F4754B"/>
    <w:rPr>
      <w:sz w:val="24"/>
      <w:szCs w:val="24"/>
      <w:lang w:eastAsia="da-DK"/>
    </w:rPr>
  </w:style>
  <w:style w:type="character" w:customStyle="1" w:styleId="Heading8Char">
    <w:name w:val="Heading 8 Char"/>
    <w:basedOn w:val="DefaultParagraphFont"/>
    <w:link w:val="Heading8"/>
    <w:rsid w:val="00F4754B"/>
    <w:rPr>
      <w:i/>
      <w:iCs/>
      <w:sz w:val="24"/>
      <w:szCs w:val="24"/>
      <w:lang w:eastAsia="da-DK"/>
    </w:rPr>
  </w:style>
  <w:style w:type="character" w:customStyle="1" w:styleId="Heading9Char">
    <w:name w:val="Heading 9 Char"/>
    <w:basedOn w:val="DefaultParagraphFont"/>
    <w:link w:val="Heading9"/>
    <w:rsid w:val="00F4754B"/>
    <w:rPr>
      <w:rFonts w:ascii="Verdana" w:hAnsi="Verdana" w:cs="Arial"/>
      <w:szCs w:val="22"/>
      <w:lang w:eastAsia="da-DK"/>
    </w:rPr>
  </w:style>
  <w:style w:type="character" w:customStyle="1" w:styleId="Heading1Char">
    <w:name w:val="Heading 1 Char"/>
    <w:basedOn w:val="DefaultParagraphFont"/>
    <w:link w:val="Heading1"/>
    <w:rsid w:val="00F4754B"/>
    <w:rPr>
      <w:rFonts w:ascii="Arial" w:hAnsi="Arial"/>
      <w:color w:val="48748F" w:themeColor="accent1"/>
      <w:sz w:val="36"/>
      <w:lang w:eastAsia="da-DK"/>
    </w:rPr>
  </w:style>
  <w:style w:type="character" w:customStyle="1" w:styleId="Heading2Char">
    <w:name w:val="Heading 2 Char"/>
    <w:basedOn w:val="DefaultParagraphFont"/>
    <w:link w:val="Heading2"/>
    <w:rsid w:val="00F4754B"/>
    <w:rPr>
      <w:rFonts w:ascii="Arial" w:hAnsi="Arial"/>
      <w:color w:val="48748F" w:themeColor="accent1"/>
      <w:sz w:val="24"/>
      <w:lang w:eastAsia="da-DK"/>
    </w:rPr>
  </w:style>
  <w:style w:type="character" w:customStyle="1" w:styleId="Heading3Char">
    <w:name w:val="Heading 3 Char"/>
    <w:basedOn w:val="DefaultParagraphFont"/>
    <w:link w:val="Heading3"/>
    <w:rsid w:val="00F4754B"/>
    <w:rPr>
      <w:rFonts w:ascii="Arial" w:hAnsi="Arial"/>
      <w:b/>
      <w:color w:val="48748F" w:themeColor="accent1"/>
      <w:szCs w:val="22"/>
      <w:lang w:eastAsia="da-DK"/>
    </w:rPr>
  </w:style>
  <w:style w:type="character" w:customStyle="1" w:styleId="Heading4Char">
    <w:name w:val="Heading 4 Char"/>
    <w:basedOn w:val="DefaultParagraphFont"/>
    <w:link w:val="Heading4"/>
    <w:rsid w:val="00F4754B"/>
    <w:rPr>
      <w:rFonts w:ascii="Arial" w:hAnsi="Arial"/>
      <w:color w:val="48748F" w:themeColor="accent1"/>
      <w:lang w:eastAsia="da-DK"/>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da-DK"/>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da-DK"/>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da-DK"/>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da-DK"/>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da-DK"/>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da-DK"/>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da-DK"/>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da-DK"/>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da-DK"/>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da-DK" w:eastAsia="da-DK"/>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da-DK"/>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da-DK" w:eastAsia="da-DK" w:bidi="da-DK"/>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da-DK"/>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da-DK"/>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da-DK"/>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a-DK"/>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da-DK"/>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9B6D92-6605-4D07-98C9-31534E3F5E51}">
  <ds:schemaRefs>
    <ds:schemaRef ds:uri="http://schemas.openxmlformats.org/officeDocument/2006/bibliography"/>
  </ds:schemaRefs>
</ds:datastoreItem>
</file>

<file path=customXml/itemProps2.xml><?xml version="1.0" encoding="utf-8"?>
<ds:datastoreItem xmlns:ds="http://schemas.openxmlformats.org/officeDocument/2006/customXml" ds:itemID="{F7AD3667-886D-4236-A5D7-C929B52051A8}">
  <ds:schemaRefs>
    <ds:schemaRef ds:uri="http://schemas.openxmlformats.org/officeDocument/2006/bibliography"/>
  </ds:schemaRefs>
</ds:datastoreItem>
</file>

<file path=customXml/itemProps3.xml><?xml version="1.0" encoding="utf-8"?>
<ds:datastoreItem xmlns:ds="http://schemas.openxmlformats.org/officeDocument/2006/customXml" ds:itemID="{2B0A5E0F-80E7-4265-845E-AAD219306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45</Pages>
  <Words>16192</Words>
  <Characters>106989</Characters>
  <Application>Microsoft Office Word</Application>
  <DocSecurity>0</DocSecurity>
  <Lines>891</Lines>
  <Paragraphs>245</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122936</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BUNDGAARD KOCK Benthe Vase (DGT)</cp:lastModifiedBy>
  <cp:revision>15</cp:revision>
  <cp:lastPrinted>2015-04-10T08:05:00Z</cp:lastPrinted>
  <dcterms:created xsi:type="dcterms:W3CDTF">2018-02-06T16:20:00Z</dcterms:created>
  <dcterms:modified xsi:type="dcterms:W3CDTF">2018-09-06T10:35:00Z</dcterms:modified>
</cp:coreProperties>
</file>