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bookmarkStart w:id="0" w:name="_GoBack"/>
      <w:bookmarkEnd w:id="0"/>
      <w:r>
        <w:rPr>
          <w:rFonts w:ascii="Times New Roman" w:hAnsi="Times New Roman"/>
          <w:b/>
          <w:sz w:val="24"/>
        </w:rPr>
        <w:t>EL</w:t>
      </w:r>
    </w:p>
    <w:p w:rsidR="008934A4" w:rsidRDefault="008934A4" w:rsidP="00A15D28">
      <w:pPr>
        <w:jc w:val="center"/>
        <w:rPr>
          <w:rFonts w:ascii="Times New Roman" w:hAnsi="Times New Roman"/>
          <w:b/>
          <w:sz w:val="24"/>
          <w:szCs w:val="24"/>
        </w:rPr>
      </w:pPr>
      <w:r>
        <w:rPr>
          <w:rFonts w:ascii="Times New Roman" w:hAnsi="Times New Roman"/>
          <w:b/>
          <w:sz w:val="24"/>
        </w:rPr>
        <w:t>ΠΑΡΑΡΤΗΜΑ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«ΠΑΡΑΡΤΗΜΑ XI</w:t>
      </w:r>
    </w:p>
    <w:p w:rsidR="00A15D28" w:rsidRPr="00E94154" w:rsidRDefault="00A15D28" w:rsidP="00A15D28">
      <w:pPr>
        <w:jc w:val="center"/>
        <w:rPr>
          <w:rFonts w:ascii="Times New Roman" w:hAnsi="Times New Roman"/>
        </w:rPr>
      </w:pPr>
      <w:r>
        <w:rPr>
          <w:rFonts w:ascii="Times New Roman" w:hAnsi="Times New Roman"/>
          <w:b/>
          <w:sz w:val="24"/>
        </w:rPr>
        <w:t>ΥΠΟΒΟΛΗ ΑΝΑΦΟΡΩΝ ΣΧΕΤΙΚΑ ΜΕ ΤΗ ΜΟΧΛΕΥΣΗ</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BD59EA" w:rsidRDefault="007C0654">
      <w:pPr>
        <w:pStyle w:val="TOC1"/>
        <w:rPr>
          <w:rFonts w:asciiTheme="minorHAnsi" w:eastAsiaTheme="minorEastAsia" w:hAnsiTheme="minorHAnsi" w:cstheme="minorBidi"/>
          <w:color w:val="auto"/>
          <w:sz w:val="22"/>
          <w:szCs w:val="22"/>
          <w:lang w:val="en-GB" w:eastAsia="en-GB" w:bidi="ar-SA"/>
        </w:rPr>
      </w:pPr>
      <w:r>
        <w:rPr>
          <w:rFonts w:ascii="Times New Roman" w:hAnsi="Times New Roman"/>
          <w:b/>
        </w:rPr>
        <w:fldChar w:fldCharType="begin"/>
      </w:r>
      <w:r w:rsidR="00391EF9">
        <w:rPr>
          <w:rFonts w:ascii="Times New Roman" w:hAnsi="Times New Roman"/>
          <w:b/>
        </w:rPr>
        <w:instrText xml:space="preserve"> TOC \o "1-3" \h \z \u </w:instrText>
      </w:r>
      <w:r>
        <w:rPr>
          <w:rFonts w:ascii="Times New Roman" w:hAnsi="Times New Roman"/>
          <w:b/>
        </w:rPr>
        <w:fldChar w:fldCharType="separate"/>
      </w:r>
      <w:hyperlink w:anchor="_Toc523994932" w:history="1">
        <w:r w:rsidR="00BD59EA" w:rsidRPr="00EB7C7C">
          <w:rPr>
            <w:rStyle w:val="Hyperlink"/>
            <w:rFonts w:ascii="Times New Roman" w:hAnsi="Times New Roman"/>
            <w:b/>
          </w:rPr>
          <w:t>ΜΕΡΟΣ I: ΓΕΝΙΚΕΣ ΟΔΗΓΙΕΣ</w:t>
        </w:r>
        <w:r w:rsidR="00BD59EA">
          <w:rPr>
            <w:webHidden/>
          </w:rPr>
          <w:tab/>
        </w:r>
        <w:r w:rsidR="00BD59EA">
          <w:rPr>
            <w:webHidden/>
          </w:rPr>
          <w:fldChar w:fldCharType="begin"/>
        </w:r>
        <w:r w:rsidR="00BD59EA">
          <w:rPr>
            <w:webHidden/>
          </w:rPr>
          <w:instrText xml:space="preserve"> PAGEREF _Toc523994932 \h </w:instrText>
        </w:r>
        <w:r w:rsidR="00BD59EA">
          <w:rPr>
            <w:webHidden/>
          </w:rPr>
        </w:r>
        <w:r w:rsidR="00BD59EA">
          <w:rPr>
            <w:webHidden/>
          </w:rPr>
          <w:fldChar w:fldCharType="separate"/>
        </w:r>
        <w:r w:rsidR="00BD59EA">
          <w:rPr>
            <w:webHidden/>
          </w:rPr>
          <w:t>2</w:t>
        </w:r>
        <w:r w:rsidR="00BD59EA">
          <w:rPr>
            <w:webHidden/>
          </w:rPr>
          <w:fldChar w:fldCharType="end"/>
        </w:r>
      </w:hyperlink>
    </w:p>
    <w:p w:rsidR="00BD59EA" w:rsidRDefault="00BD59EA">
      <w:pPr>
        <w:pStyle w:val="TOC2"/>
        <w:rPr>
          <w:rFonts w:asciiTheme="minorHAnsi" w:eastAsiaTheme="minorEastAsia" w:hAnsiTheme="minorHAnsi" w:cstheme="minorBidi"/>
          <w:b w:val="0"/>
          <w:smallCaps w:val="0"/>
          <w:sz w:val="22"/>
          <w:lang w:val="en-GB" w:eastAsia="en-GB" w:bidi="ar-SA"/>
        </w:rPr>
      </w:pPr>
      <w:hyperlink w:anchor="_Toc523994933" w:history="1">
        <w:r w:rsidRPr="00EB7C7C">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EB7C7C">
          <w:rPr>
            <w:rStyle w:val="Hyperlink"/>
            <w:rFonts w:ascii="Times New Roman" w:hAnsi="Times New Roman"/>
          </w:rPr>
          <w:t>Σήμανση υποδείγματος και άλλες συμβάσεις</w:t>
        </w:r>
        <w:r>
          <w:rPr>
            <w:webHidden/>
          </w:rPr>
          <w:tab/>
        </w:r>
        <w:r>
          <w:rPr>
            <w:webHidden/>
          </w:rPr>
          <w:fldChar w:fldCharType="begin"/>
        </w:r>
        <w:r>
          <w:rPr>
            <w:webHidden/>
          </w:rPr>
          <w:instrText xml:space="preserve"> PAGEREF _Toc523994933 \h </w:instrText>
        </w:r>
        <w:r>
          <w:rPr>
            <w:webHidden/>
          </w:rPr>
        </w:r>
        <w:r>
          <w:rPr>
            <w:webHidden/>
          </w:rPr>
          <w:fldChar w:fldCharType="separate"/>
        </w:r>
        <w:r>
          <w:rPr>
            <w:webHidden/>
          </w:rPr>
          <w:t>2</w:t>
        </w:r>
        <w:r>
          <w:rPr>
            <w:webHidden/>
          </w:rPr>
          <w:fldChar w:fldCharType="end"/>
        </w:r>
      </w:hyperlink>
    </w:p>
    <w:p w:rsidR="00BD59EA" w:rsidRDefault="00BD59EA">
      <w:pPr>
        <w:pStyle w:val="TOC3"/>
        <w:rPr>
          <w:rFonts w:asciiTheme="minorHAnsi" w:eastAsiaTheme="minorEastAsia" w:hAnsiTheme="minorHAnsi" w:cstheme="minorBidi"/>
          <w:smallCaps w:val="0"/>
          <w:sz w:val="22"/>
          <w:szCs w:val="22"/>
          <w:lang w:val="en-GB" w:eastAsia="en-GB" w:bidi="ar-SA"/>
        </w:rPr>
      </w:pPr>
      <w:hyperlink w:anchor="_Toc523994934" w:history="1">
        <w:r w:rsidRPr="00EB7C7C">
          <w:rPr>
            <w:rStyle w:val="Hyperlink"/>
            <w:rFonts w:ascii="Times New Roman" w:hAnsi="Times New Roman"/>
            <w:b/>
          </w:rPr>
          <w:t>1.1.</w:t>
        </w:r>
        <w:r>
          <w:rPr>
            <w:rFonts w:asciiTheme="minorHAnsi" w:eastAsiaTheme="minorEastAsia" w:hAnsiTheme="minorHAnsi" w:cstheme="minorBidi"/>
            <w:smallCaps w:val="0"/>
            <w:sz w:val="22"/>
            <w:szCs w:val="22"/>
            <w:lang w:val="en-GB" w:eastAsia="en-GB" w:bidi="ar-SA"/>
          </w:rPr>
          <w:tab/>
        </w:r>
        <w:r w:rsidRPr="00EB7C7C">
          <w:rPr>
            <w:rStyle w:val="Hyperlink"/>
            <w:rFonts w:ascii="Times New Roman" w:hAnsi="Times New Roman"/>
            <w:b/>
          </w:rPr>
          <w:t>Σήμανση υποδείγματος</w:t>
        </w:r>
        <w:r>
          <w:rPr>
            <w:webHidden/>
          </w:rPr>
          <w:tab/>
        </w:r>
        <w:r>
          <w:rPr>
            <w:webHidden/>
          </w:rPr>
          <w:fldChar w:fldCharType="begin"/>
        </w:r>
        <w:r>
          <w:rPr>
            <w:webHidden/>
          </w:rPr>
          <w:instrText xml:space="preserve"> PAGEREF _Toc523994934 \h </w:instrText>
        </w:r>
        <w:r>
          <w:rPr>
            <w:webHidden/>
          </w:rPr>
        </w:r>
        <w:r>
          <w:rPr>
            <w:webHidden/>
          </w:rPr>
          <w:fldChar w:fldCharType="separate"/>
        </w:r>
        <w:r>
          <w:rPr>
            <w:webHidden/>
          </w:rPr>
          <w:t>2</w:t>
        </w:r>
        <w:r>
          <w:rPr>
            <w:webHidden/>
          </w:rPr>
          <w:fldChar w:fldCharType="end"/>
        </w:r>
      </w:hyperlink>
    </w:p>
    <w:p w:rsidR="00BD59EA" w:rsidRDefault="00BD59EA">
      <w:pPr>
        <w:pStyle w:val="TOC3"/>
        <w:rPr>
          <w:rFonts w:asciiTheme="minorHAnsi" w:eastAsiaTheme="minorEastAsia" w:hAnsiTheme="minorHAnsi" w:cstheme="minorBidi"/>
          <w:smallCaps w:val="0"/>
          <w:sz w:val="22"/>
          <w:szCs w:val="22"/>
          <w:lang w:val="en-GB" w:eastAsia="en-GB" w:bidi="ar-SA"/>
        </w:rPr>
      </w:pPr>
      <w:hyperlink w:anchor="_Toc523994935" w:history="1">
        <w:r w:rsidRPr="00EB7C7C">
          <w:rPr>
            <w:rStyle w:val="Hyperlink"/>
            <w:rFonts w:ascii="Times New Roman" w:hAnsi="Times New Roman"/>
            <w:b/>
          </w:rPr>
          <w:t>1.2.</w:t>
        </w:r>
        <w:r>
          <w:rPr>
            <w:rFonts w:asciiTheme="minorHAnsi" w:eastAsiaTheme="minorEastAsia" w:hAnsiTheme="minorHAnsi" w:cstheme="minorBidi"/>
            <w:smallCaps w:val="0"/>
            <w:sz w:val="22"/>
            <w:szCs w:val="22"/>
            <w:lang w:val="en-GB" w:eastAsia="en-GB" w:bidi="ar-SA"/>
          </w:rPr>
          <w:tab/>
        </w:r>
        <w:r w:rsidRPr="00EB7C7C">
          <w:rPr>
            <w:rStyle w:val="Hyperlink"/>
            <w:rFonts w:ascii="Times New Roman" w:hAnsi="Times New Roman"/>
            <w:b/>
          </w:rPr>
          <w:t>Κανόνες αρίθμησης</w:t>
        </w:r>
        <w:r>
          <w:rPr>
            <w:webHidden/>
          </w:rPr>
          <w:tab/>
        </w:r>
        <w:r>
          <w:rPr>
            <w:webHidden/>
          </w:rPr>
          <w:fldChar w:fldCharType="begin"/>
        </w:r>
        <w:r>
          <w:rPr>
            <w:webHidden/>
          </w:rPr>
          <w:instrText xml:space="preserve"> PAGEREF _Toc523994935 \h </w:instrText>
        </w:r>
        <w:r>
          <w:rPr>
            <w:webHidden/>
          </w:rPr>
        </w:r>
        <w:r>
          <w:rPr>
            <w:webHidden/>
          </w:rPr>
          <w:fldChar w:fldCharType="separate"/>
        </w:r>
        <w:r>
          <w:rPr>
            <w:webHidden/>
          </w:rPr>
          <w:t>2</w:t>
        </w:r>
        <w:r>
          <w:rPr>
            <w:webHidden/>
          </w:rPr>
          <w:fldChar w:fldCharType="end"/>
        </w:r>
      </w:hyperlink>
    </w:p>
    <w:p w:rsidR="00BD59EA" w:rsidRDefault="00BD59EA">
      <w:pPr>
        <w:pStyle w:val="TOC3"/>
        <w:rPr>
          <w:rFonts w:asciiTheme="minorHAnsi" w:eastAsiaTheme="minorEastAsia" w:hAnsiTheme="minorHAnsi" w:cstheme="minorBidi"/>
          <w:smallCaps w:val="0"/>
          <w:sz w:val="22"/>
          <w:szCs w:val="22"/>
          <w:lang w:val="en-GB" w:eastAsia="en-GB" w:bidi="ar-SA"/>
        </w:rPr>
      </w:pPr>
      <w:hyperlink w:anchor="_Toc523994936" w:history="1">
        <w:r w:rsidRPr="00EB7C7C">
          <w:rPr>
            <w:rStyle w:val="Hyperlink"/>
            <w:rFonts w:ascii="Times New Roman" w:hAnsi="Times New Roman"/>
            <w:b/>
          </w:rPr>
          <w:t>1.3.</w:t>
        </w:r>
        <w:r>
          <w:rPr>
            <w:rFonts w:asciiTheme="minorHAnsi" w:eastAsiaTheme="minorEastAsia" w:hAnsiTheme="minorHAnsi" w:cstheme="minorBidi"/>
            <w:smallCaps w:val="0"/>
            <w:sz w:val="22"/>
            <w:szCs w:val="22"/>
            <w:lang w:val="en-GB" w:eastAsia="en-GB" w:bidi="ar-SA"/>
          </w:rPr>
          <w:tab/>
        </w:r>
        <w:r w:rsidRPr="00EB7C7C">
          <w:rPr>
            <w:rStyle w:val="Hyperlink"/>
            <w:rFonts w:ascii="Times New Roman" w:hAnsi="Times New Roman"/>
            <w:b/>
          </w:rPr>
          <w:t>Συντομογραφίες</w:t>
        </w:r>
        <w:r>
          <w:rPr>
            <w:webHidden/>
          </w:rPr>
          <w:tab/>
        </w:r>
        <w:r>
          <w:rPr>
            <w:webHidden/>
          </w:rPr>
          <w:fldChar w:fldCharType="begin"/>
        </w:r>
        <w:r>
          <w:rPr>
            <w:webHidden/>
          </w:rPr>
          <w:instrText xml:space="preserve"> PAGEREF _Toc523994936 \h </w:instrText>
        </w:r>
        <w:r>
          <w:rPr>
            <w:webHidden/>
          </w:rPr>
        </w:r>
        <w:r>
          <w:rPr>
            <w:webHidden/>
          </w:rPr>
          <w:fldChar w:fldCharType="separate"/>
        </w:r>
        <w:r>
          <w:rPr>
            <w:webHidden/>
          </w:rPr>
          <w:t>2</w:t>
        </w:r>
        <w:r>
          <w:rPr>
            <w:webHidden/>
          </w:rPr>
          <w:fldChar w:fldCharType="end"/>
        </w:r>
      </w:hyperlink>
    </w:p>
    <w:p w:rsidR="00BD59EA" w:rsidRDefault="00BD59EA">
      <w:pPr>
        <w:pStyle w:val="TOC3"/>
        <w:rPr>
          <w:rFonts w:asciiTheme="minorHAnsi" w:eastAsiaTheme="minorEastAsia" w:hAnsiTheme="minorHAnsi" w:cstheme="minorBidi"/>
          <w:smallCaps w:val="0"/>
          <w:sz w:val="22"/>
          <w:szCs w:val="22"/>
          <w:lang w:val="en-GB" w:eastAsia="en-GB" w:bidi="ar-SA"/>
        </w:rPr>
      </w:pPr>
      <w:hyperlink w:anchor="_Toc523994937" w:history="1">
        <w:r w:rsidRPr="00EB7C7C">
          <w:rPr>
            <w:rStyle w:val="Hyperlink"/>
            <w:rFonts w:ascii="Times New Roman" w:hAnsi="Times New Roman"/>
            <w:b/>
          </w:rPr>
          <w:t>1.4.</w:t>
        </w:r>
        <w:r>
          <w:rPr>
            <w:rFonts w:asciiTheme="minorHAnsi" w:eastAsiaTheme="minorEastAsia" w:hAnsiTheme="minorHAnsi" w:cstheme="minorBidi"/>
            <w:smallCaps w:val="0"/>
            <w:sz w:val="22"/>
            <w:szCs w:val="22"/>
            <w:lang w:val="en-GB" w:eastAsia="en-GB" w:bidi="ar-SA"/>
          </w:rPr>
          <w:tab/>
        </w:r>
        <w:r w:rsidRPr="00EB7C7C">
          <w:rPr>
            <w:rStyle w:val="Hyperlink"/>
            <w:rFonts w:ascii="Times New Roman" w:hAnsi="Times New Roman"/>
            <w:b/>
          </w:rPr>
          <w:t>Κανόνες χρήσης προσήμου</w:t>
        </w:r>
        <w:r>
          <w:rPr>
            <w:webHidden/>
          </w:rPr>
          <w:tab/>
        </w:r>
        <w:r>
          <w:rPr>
            <w:webHidden/>
          </w:rPr>
          <w:fldChar w:fldCharType="begin"/>
        </w:r>
        <w:r>
          <w:rPr>
            <w:webHidden/>
          </w:rPr>
          <w:instrText xml:space="preserve"> PAGEREF _Toc523994937 \h </w:instrText>
        </w:r>
        <w:r>
          <w:rPr>
            <w:webHidden/>
          </w:rPr>
        </w:r>
        <w:r>
          <w:rPr>
            <w:webHidden/>
          </w:rPr>
          <w:fldChar w:fldCharType="separate"/>
        </w:r>
        <w:r>
          <w:rPr>
            <w:webHidden/>
          </w:rPr>
          <w:t>3</w:t>
        </w:r>
        <w:r>
          <w:rPr>
            <w:webHidden/>
          </w:rPr>
          <w:fldChar w:fldCharType="end"/>
        </w:r>
      </w:hyperlink>
    </w:p>
    <w:p w:rsidR="00BD59EA" w:rsidRDefault="00BD59EA">
      <w:pPr>
        <w:pStyle w:val="TOC1"/>
        <w:rPr>
          <w:rFonts w:asciiTheme="minorHAnsi" w:eastAsiaTheme="minorEastAsia" w:hAnsiTheme="minorHAnsi" w:cstheme="minorBidi"/>
          <w:color w:val="auto"/>
          <w:sz w:val="22"/>
          <w:szCs w:val="22"/>
          <w:lang w:val="en-GB" w:eastAsia="en-GB" w:bidi="ar-SA"/>
        </w:rPr>
      </w:pPr>
      <w:hyperlink w:anchor="_Toc523994938" w:history="1">
        <w:r w:rsidRPr="00EB7C7C">
          <w:rPr>
            <w:rStyle w:val="Hyperlink"/>
            <w:rFonts w:ascii="Times New Roman" w:hAnsi="Times New Roman"/>
            <w:b/>
          </w:rPr>
          <w:t>ΜΕΡΟΣ ΙΙ: ΟΔΗΓΙΕΣ ΣΧΕΤΙΚΑ ΜΕ ΤΑ ΥΠΟΔΕΙΓΜΑΤΑ</w:t>
        </w:r>
        <w:r>
          <w:rPr>
            <w:webHidden/>
          </w:rPr>
          <w:tab/>
        </w:r>
        <w:r>
          <w:rPr>
            <w:webHidden/>
          </w:rPr>
          <w:fldChar w:fldCharType="begin"/>
        </w:r>
        <w:r>
          <w:rPr>
            <w:webHidden/>
          </w:rPr>
          <w:instrText xml:space="preserve"> PAGEREF _Toc523994938 \h </w:instrText>
        </w:r>
        <w:r>
          <w:rPr>
            <w:webHidden/>
          </w:rPr>
        </w:r>
        <w:r>
          <w:rPr>
            <w:webHidden/>
          </w:rPr>
          <w:fldChar w:fldCharType="separate"/>
        </w:r>
        <w:r>
          <w:rPr>
            <w:webHidden/>
          </w:rPr>
          <w:t>4</w:t>
        </w:r>
        <w:r>
          <w:rPr>
            <w:webHidden/>
          </w:rPr>
          <w:fldChar w:fldCharType="end"/>
        </w:r>
      </w:hyperlink>
    </w:p>
    <w:p w:rsidR="00BD59EA" w:rsidRDefault="00BD59EA">
      <w:pPr>
        <w:pStyle w:val="TOC2"/>
        <w:rPr>
          <w:rFonts w:asciiTheme="minorHAnsi" w:eastAsiaTheme="minorEastAsia" w:hAnsiTheme="minorHAnsi" w:cstheme="minorBidi"/>
          <w:b w:val="0"/>
          <w:smallCaps w:val="0"/>
          <w:sz w:val="22"/>
          <w:lang w:val="en-GB" w:eastAsia="en-GB" w:bidi="ar-SA"/>
        </w:rPr>
      </w:pPr>
      <w:hyperlink w:anchor="_Toc523994939" w:history="1">
        <w:r w:rsidRPr="00EB7C7C">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EB7C7C">
          <w:rPr>
            <w:rStyle w:val="Hyperlink"/>
            <w:rFonts w:ascii="Times New Roman" w:hAnsi="Times New Roman"/>
          </w:rPr>
          <w:t>Δομή και συχνότητα</w:t>
        </w:r>
        <w:r>
          <w:rPr>
            <w:webHidden/>
          </w:rPr>
          <w:tab/>
        </w:r>
        <w:r>
          <w:rPr>
            <w:webHidden/>
          </w:rPr>
          <w:fldChar w:fldCharType="begin"/>
        </w:r>
        <w:r>
          <w:rPr>
            <w:webHidden/>
          </w:rPr>
          <w:instrText xml:space="preserve"> PAGEREF _Toc523994939 \h </w:instrText>
        </w:r>
        <w:r>
          <w:rPr>
            <w:webHidden/>
          </w:rPr>
        </w:r>
        <w:r>
          <w:rPr>
            <w:webHidden/>
          </w:rPr>
          <w:fldChar w:fldCharType="separate"/>
        </w:r>
        <w:r>
          <w:rPr>
            <w:webHidden/>
          </w:rPr>
          <w:t>4</w:t>
        </w:r>
        <w:r>
          <w:rPr>
            <w:webHidden/>
          </w:rPr>
          <w:fldChar w:fldCharType="end"/>
        </w:r>
      </w:hyperlink>
    </w:p>
    <w:p w:rsidR="00BD59EA" w:rsidRDefault="00BD59EA">
      <w:pPr>
        <w:pStyle w:val="TOC2"/>
        <w:rPr>
          <w:rFonts w:asciiTheme="minorHAnsi" w:eastAsiaTheme="minorEastAsia" w:hAnsiTheme="minorHAnsi" w:cstheme="minorBidi"/>
          <w:b w:val="0"/>
          <w:smallCaps w:val="0"/>
          <w:sz w:val="22"/>
          <w:lang w:val="en-GB" w:eastAsia="en-GB" w:bidi="ar-SA"/>
        </w:rPr>
      </w:pPr>
      <w:hyperlink w:anchor="_Toc523994940" w:history="1">
        <w:r w:rsidRPr="00EB7C7C">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EB7C7C">
          <w:rPr>
            <w:rStyle w:val="Hyperlink"/>
            <w:rFonts w:ascii="Times New Roman" w:hAnsi="Times New Roman"/>
          </w:rPr>
          <w:t>Μαθηματικοί τύποι για τον υπολογισμό του δείκτη μόχλευσης</w:t>
        </w:r>
        <w:r>
          <w:rPr>
            <w:webHidden/>
          </w:rPr>
          <w:tab/>
        </w:r>
        <w:r>
          <w:rPr>
            <w:webHidden/>
          </w:rPr>
          <w:fldChar w:fldCharType="begin"/>
        </w:r>
        <w:r>
          <w:rPr>
            <w:webHidden/>
          </w:rPr>
          <w:instrText xml:space="preserve"> PAGEREF _Toc523994940 \h </w:instrText>
        </w:r>
        <w:r>
          <w:rPr>
            <w:webHidden/>
          </w:rPr>
        </w:r>
        <w:r>
          <w:rPr>
            <w:webHidden/>
          </w:rPr>
          <w:fldChar w:fldCharType="separate"/>
        </w:r>
        <w:r>
          <w:rPr>
            <w:webHidden/>
          </w:rPr>
          <w:t>4</w:t>
        </w:r>
        <w:r>
          <w:rPr>
            <w:webHidden/>
          </w:rPr>
          <w:fldChar w:fldCharType="end"/>
        </w:r>
      </w:hyperlink>
    </w:p>
    <w:p w:rsidR="00BD59EA" w:rsidRDefault="00BD59EA">
      <w:pPr>
        <w:pStyle w:val="TOC2"/>
        <w:rPr>
          <w:rFonts w:asciiTheme="minorHAnsi" w:eastAsiaTheme="minorEastAsia" w:hAnsiTheme="minorHAnsi" w:cstheme="minorBidi"/>
          <w:b w:val="0"/>
          <w:smallCaps w:val="0"/>
          <w:sz w:val="22"/>
          <w:lang w:val="en-GB" w:eastAsia="en-GB" w:bidi="ar-SA"/>
        </w:rPr>
      </w:pPr>
      <w:hyperlink w:anchor="_Toc523994941" w:history="1">
        <w:r w:rsidRPr="00EB7C7C">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EB7C7C">
          <w:rPr>
            <w:rStyle w:val="Hyperlink"/>
            <w:rFonts w:ascii="Times New Roman" w:hAnsi="Times New Roman"/>
          </w:rPr>
          <w:t>Κατώτατα επίπεδα σημαντικότητας για παράγωγα</w:t>
        </w:r>
        <w:r>
          <w:rPr>
            <w:webHidden/>
          </w:rPr>
          <w:tab/>
        </w:r>
        <w:r>
          <w:rPr>
            <w:webHidden/>
          </w:rPr>
          <w:fldChar w:fldCharType="begin"/>
        </w:r>
        <w:r>
          <w:rPr>
            <w:webHidden/>
          </w:rPr>
          <w:instrText xml:space="preserve"> PAGEREF _Toc523994941 \h </w:instrText>
        </w:r>
        <w:r>
          <w:rPr>
            <w:webHidden/>
          </w:rPr>
        </w:r>
        <w:r>
          <w:rPr>
            <w:webHidden/>
          </w:rPr>
          <w:fldChar w:fldCharType="separate"/>
        </w:r>
        <w:r>
          <w:rPr>
            <w:webHidden/>
          </w:rPr>
          <w:t>4</w:t>
        </w:r>
        <w:r>
          <w:rPr>
            <w:webHidden/>
          </w:rPr>
          <w:fldChar w:fldCharType="end"/>
        </w:r>
      </w:hyperlink>
    </w:p>
    <w:p w:rsidR="00BD59EA" w:rsidRDefault="00BD59EA">
      <w:pPr>
        <w:pStyle w:val="TOC2"/>
        <w:rPr>
          <w:rFonts w:asciiTheme="minorHAnsi" w:eastAsiaTheme="minorEastAsia" w:hAnsiTheme="minorHAnsi" w:cstheme="minorBidi"/>
          <w:b w:val="0"/>
          <w:smallCaps w:val="0"/>
          <w:sz w:val="22"/>
          <w:lang w:val="en-GB" w:eastAsia="en-GB" w:bidi="ar-SA"/>
        </w:rPr>
      </w:pPr>
      <w:hyperlink w:anchor="_Toc523994942" w:history="1">
        <w:r w:rsidRPr="00EB7C7C">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EB7C7C">
          <w:rPr>
            <w:rStyle w:val="Hyperlink"/>
            <w:rFonts w:ascii="Times New Roman" w:hAnsi="Times New Roman"/>
          </w:rPr>
          <w:t>C 47.00 – Υπολογισμός του δείκτη μόχλευσης (LRCalc)</w:t>
        </w:r>
        <w:r>
          <w:rPr>
            <w:webHidden/>
          </w:rPr>
          <w:tab/>
        </w:r>
        <w:r>
          <w:rPr>
            <w:webHidden/>
          </w:rPr>
          <w:fldChar w:fldCharType="begin"/>
        </w:r>
        <w:r>
          <w:rPr>
            <w:webHidden/>
          </w:rPr>
          <w:instrText xml:space="preserve"> PAGEREF _Toc523994942 \h </w:instrText>
        </w:r>
        <w:r>
          <w:rPr>
            <w:webHidden/>
          </w:rPr>
        </w:r>
        <w:r>
          <w:rPr>
            <w:webHidden/>
          </w:rPr>
          <w:fldChar w:fldCharType="separate"/>
        </w:r>
        <w:r>
          <w:rPr>
            <w:webHidden/>
          </w:rPr>
          <w:t>5</w:t>
        </w:r>
        <w:r>
          <w:rPr>
            <w:webHidden/>
          </w:rPr>
          <w:fldChar w:fldCharType="end"/>
        </w:r>
      </w:hyperlink>
    </w:p>
    <w:p w:rsidR="00BD59EA" w:rsidRDefault="00BD59EA">
      <w:pPr>
        <w:pStyle w:val="TOC2"/>
        <w:rPr>
          <w:rFonts w:asciiTheme="minorHAnsi" w:eastAsiaTheme="minorEastAsia" w:hAnsiTheme="minorHAnsi" w:cstheme="minorBidi"/>
          <w:b w:val="0"/>
          <w:smallCaps w:val="0"/>
          <w:sz w:val="22"/>
          <w:lang w:val="en-GB" w:eastAsia="en-GB" w:bidi="ar-SA"/>
        </w:rPr>
      </w:pPr>
      <w:hyperlink w:anchor="_Toc523994943" w:history="1">
        <w:r w:rsidRPr="00EB7C7C">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EB7C7C">
          <w:rPr>
            <w:rStyle w:val="Hyperlink"/>
            <w:rFonts w:ascii="Times New Roman" w:hAnsi="Times New Roman"/>
          </w:rPr>
          <w:t>C 40.00 – Εναλλακτική αντιμετώπιση του μέτρου του ανοίγματος (LR1)</w:t>
        </w:r>
        <w:r>
          <w:rPr>
            <w:webHidden/>
          </w:rPr>
          <w:tab/>
        </w:r>
        <w:r>
          <w:rPr>
            <w:webHidden/>
          </w:rPr>
          <w:fldChar w:fldCharType="begin"/>
        </w:r>
        <w:r>
          <w:rPr>
            <w:webHidden/>
          </w:rPr>
          <w:instrText xml:space="preserve"> PAGEREF _Toc523994943 \h </w:instrText>
        </w:r>
        <w:r>
          <w:rPr>
            <w:webHidden/>
          </w:rPr>
        </w:r>
        <w:r>
          <w:rPr>
            <w:webHidden/>
          </w:rPr>
          <w:fldChar w:fldCharType="separate"/>
        </w:r>
        <w:r>
          <w:rPr>
            <w:webHidden/>
          </w:rPr>
          <w:t>15</w:t>
        </w:r>
        <w:r>
          <w:rPr>
            <w:webHidden/>
          </w:rPr>
          <w:fldChar w:fldCharType="end"/>
        </w:r>
      </w:hyperlink>
    </w:p>
    <w:p w:rsidR="00BD59EA" w:rsidRDefault="00BD59EA">
      <w:pPr>
        <w:pStyle w:val="TOC2"/>
        <w:rPr>
          <w:rFonts w:asciiTheme="minorHAnsi" w:eastAsiaTheme="minorEastAsia" w:hAnsiTheme="minorHAnsi" w:cstheme="minorBidi"/>
          <w:b w:val="0"/>
          <w:smallCaps w:val="0"/>
          <w:sz w:val="22"/>
          <w:lang w:val="en-GB" w:eastAsia="en-GB" w:bidi="ar-SA"/>
        </w:rPr>
      </w:pPr>
      <w:hyperlink w:anchor="_Toc523994944" w:history="1">
        <w:r w:rsidRPr="00EB7C7C">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EB7C7C">
          <w:rPr>
            <w:rStyle w:val="Hyperlink"/>
            <w:rFonts w:ascii="Times New Roman" w:hAnsi="Times New Roman"/>
          </w:rPr>
          <w:t>C 41.00 – Στοιχεία εντός και εκτός ισολογισμού – πρόσθετη ανάλυση των ανοιγμάτων (LR2)</w:t>
        </w:r>
        <w:r>
          <w:rPr>
            <w:webHidden/>
          </w:rPr>
          <w:tab/>
        </w:r>
        <w:r>
          <w:rPr>
            <w:webHidden/>
          </w:rPr>
          <w:fldChar w:fldCharType="begin"/>
        </w:r>
        <w:r>
          <w:rPr>
            <w:webHidden/>
          </w:rPr>
          <w:instrText xml:space="preserve"> PAGEREF _Toc523994944 \h </w:instrText>
        </w:r>
        <w:r>
          <w:rPr>
            <w:webHidden/>
          </w:rPr>
        </w:r>
        <w:r>
          <w:rPr>
            <w:webHidden/>
          </w:rPr>
          <w:fldChar w:fldCharType="separate"/>
        </w:r>
        <w:r>
          <w:rPr>
            <w:webHidden/>
          </w:rPr>
          <w:t>26</w:t>
        </w:r>
        <w:r>
          <w:rPr>
            <w:webHidden/>
          </w:rPr>
          <w:fldChar w:fldCharType="end"/>
        </w:r>
      </w:hyperlink>
    </w:p>
    <w:p w:rsidR="00BD59EA" w:rsidRDefault="00BD59EA">
      <w:pPr>
        <w:pStyle w:val="TOC2"/>
        <w:rPr>
          <w:rFonts w:asciiTheme="minorHAnsi" w:eastAsiaTheme="minorEastAsia" w:hAnsiTheme="minorHAnsi" w:cstheme="minorBidi"/>
          <w:b w:val="0"/>
          <w:smallCaps w:val="0"/>
          <w:sz w:val="22"/>
          <w:lang w:val="en-GB" w:eastAsia="en-GB" w:bidi="ar-SA"/>
        </w:rPr>
      </w:pPr>
      <w:hyperlink w:anchor="_Toc523994945" w:history="1">
        <w:r w:rsidRPr="00EB7C7C">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EB7C7C">
          <w:rPr>
            <w:rStyle w:val="Hyperlink"/>
            <w:rFonts w:ascii="Times New Roman" w:hAnsi="Times New Roman"/>
          </w:rPr>
          <w:t>C 42.00 – Εναλλακτικός ορισμός του κεφαλαίου (LR3)</w:t>
        </w:r>
        <w:r>
          <w:rPr>
            <w:webHidden/>
          </w:rPr>
          <w:tab/>
        </w:r>
        <w:r>
          <w:rPr>
            <w:webHidden/>
          </w:rPr>
          <w:fldChar w:fldCharType="begin"/>
        </w:r>
        <w:r>
          <w:rPr>
            <w:webHidden/>
          </w:rPr>
          <w:instrText xml:space="preserve"> PAGEREF _Toc523994945 \h </w:instrText>
        </w:r>
        <w:r>
          <w:rPr>
            <w:webHidden/>
          </w:rPr>
        </w:r>
        <w:r>
          <w:rPr>
            <w:webHidden/>
          </w:rPr>
          <w:fldChar w:fldCharType="separate"/>
        </w:r>
        <w:r>
          <w:rPr>
            <w:webHidden/>
          </w:rPr>
          <w:t>28</w:t>
        </w:r>
        <w:r>
          <w:rPr>
            <w:webHidden/>
          </w:rPr>
          <w:fldChar w:fldCharType="end"/>
        </w:r>
      </w:hyperlink>
    </w:p>
    <w:p w:rsidR="00BD59EA" w:rsidRDefault="00BD59EA">
      <w:pPr>
        <w:pStyle w:val="TOC2"/>
        <w:rPr>
          <w:rFonts w:asciiTheme="minorHAnsi" w:eastAsiaTheme="minorEastAsia" w:hAnsiTheme="minorHAnsi" w:cstheme="minorBidi"/>
          <w:b w:val="0"/>
          <w:smallCaps w:val="0"/>
          <w:sz w:val="22"/>
          <w:lang w:val="en-GB" w:eastAsia="en-GB" w:bidi="ar-SA"/>
        </w:rPr>
      </w:pPr>
      <w:hyperlink w:anchor="_Toc523994946" w:history="1">
        <w:r w:rsidRPr="00EB7C7C">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EB7C7C">
          <w:rPr>
            <w:rStyle w:val="Hyperlink"/>
            <w:rFonts w:ascii="Times New Roman" w:hAnsi="Times New Roman"/>
          </w:rPr>
          <w:t>C 43.00 – Εναλλακτική ανάλυση των συνιστωσών του μέτρου του ανοίγματος του δείκτη μόχλευσης (LR4)</w:t>
        </w:r>
        <w:r>
          <w:rPr>
            <w:webHidden/>
          </w:rPr>
          <w:tab/>
        </w:r>
        <w:r>
          <w:rPr>
            <w:webHidden/>
          </w:rPr>
          <w:fldChar w:fldCharType="begin"/>
        </w:r>
        <w:r>
          <w:rPr>
            <w:webHidden/>
          </w:rPr>
          <w:instrText xml:space="preserve"> PAGEREF _Toc523994946 \h </w:instrText>
        </w:r>
        <w:r>
          <w:rPr>
            <w:webHidden/>
          </w:rPr>
        </w:r>
        <w:r>
          <w:rPr>
            <w:webHidden/>
          </w:rPr>
          <w:fldChar w:fldCharType="separate"/>
        </w:r>
        <w:r>
          <w:rPr>
            <w:webHidden/>
          </w:rPr>
          <w:t>30</w:t>
        </w:r>
        <w:r>
          <w:rPr>
            <w:webHidden/>
          </w:rPr>
          <w:fldChar w:fldCharType="end"/>
        </w:r>
      </w:hyperlink>
    </w:p>
    <w:p w:rsidR="00BD59EA" w:rsidRDefault="00BD59EA">
      <w:pPr>
        <w:pStyle w:val="TOC2"/>
        <w:rPr>
          <w:rFonts w:asciiTheme="minorHAnsi" w:eastAsiaTheme="minorEastAsia" w:hAnsiTheme="minorHAnsi" w:cstheme="minorBidi"/>
          <w:b w:val="0"/>
          <w:smallCaps w:val="0"/>
          <w:sz w:val="22"/>
          <w:lang w:val="en-GB" w:eastAsia="en-GB" w:bidi="ar-SA"/>
        </w:rPr>
      </w:pPr>
      <w:hyperlink w:anchor="_Toc523994947" w:history="1">
        <w:r w:rsidRPr="00EB7C7C">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EB7C7C">
          <w:rPr>
            <w:rStyle w:val="Hyperlink"/>
            <w:rFonts w:ascii="Times New Roman" w:hAnsi="Times New Roman"/>
          </w:rPr>
          <w:t>C 44.00 – Γενικές πληροφορίες (LR5)</w:t>
        </w:r>
        <w:r>
          <w:rPr>
            <w:webHidden/>
          </w:rPr>
          <w:tab/>
        </w:r>
        <w:r>
          <w:rPr>
            <w:webHidden/>
          </w:rPr>
          <w:fldChar w:fldCharType="begin"/>
        </w:r>
        <w:r>
          <w:rPr>
            <w:webHidden/>
          </w:rPr>
          <w:instrText xml:space="preserve"> PAGEREF _Toc523994947 \h </w:instrText>
        </w:r>
        <w:r>
          <w:rPr>
            <w:webHidden/>
          </w:rPr>
        </w:r>
        <w:r>
          <w:rPr>
            <w:webHidden/>
          </w:rPr>
          <w:fldChar w:fldCharType="separate"/>
        </w:r>
        <w:r>
          <w:rPr>
            <w:webHidden/>
          </w:rPr>
          <w:t>49</w:t>
        </w:r>
        <w:r>
          <w:rPr>
            <w:webHidden/>
          </w:rPr>
          <w:fldChar w:fldCharType="end"/>
        </w:r>
      </w:hyperlink>
    </w:p>
    <w:p w:rsidR="00A43E0B" w:rsidRDefault="007C0654" w:rsidP="00BD59EA">
      <w:pPr>
        <w:pStyle w:val="TOC1"/>
        <w:rPr>
          <w:rFonts w:ascii="Times New Roman" w:eastAsiaTheme="minorEastAsia" w:hAnsi="Times New Roman"/>
          <w:color w:val="auto"/>
          <w:sz w:val="22"/>
          <w:szCs w:val="22"/>
        </w:rPr>
        <w:sectPr w:rsidR="00A43E0B"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23994932"/>
      <w:r>
        <w:rPr>
          <w:rFonts w:ascii="Times New Roman" w:hAnsi="Times New Roman"/>
          <w:b/>
          <w:sz w:val="24"/>
        </w:rPr>
        <w:t>ΜΕΡΟΣ I:</w:t>
      </w:r>
      <w:bookmarkEnd w:id="1"/>
      <w:r>
        <w:rPr>
          <w:rFonts w:ascii="Times New Roman" w:hAnsi="Times New Roman"/>
          <w:b/>
          <w:sz w:val="24"/>
        </w:rPr>
        <w:t xml:space="preserve"> ΓΕΝΙΚΕΣ ΟΔΗΓΙΕΣ</w:t>
      </w:r>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523994933"/>
      <w:r>
        <w:rPr>
          <w:rFonts w:ascii="Times New Roman" w:hAnsi="Times New Roman"/>
          <w:b/>
        </w:rPr>
        <w:t>1.</w:t>
      </w:r>
      <w:r>
        <w:tab/>
      </w:r>
      <w:r>
        <w:rPr>
          <w:rFonts w:ascii="Times New Roman" w:hAnsi="Times New Roman"/>
          <w:b/>
        </w:rPr>
        <w:t>Σήμανση υποδείγματος και άλλες συμβάσεις</w:t>
      </w:r>
      <w:bookmarkEnd w:id="6"/>
      <w:bookmarkEnd w:id="7"/>
      <w:bookmarkEnd w:id="8"/>
      <w:bookmarkEnd w:id="9"/>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0" w:name="_Toc322687866"/>
      <w:bookmarkStart w:id="11" w:name="_Toc359414275"/>
      <w:bookmarkStart w:id="12" w:name="_Toc264038399"/>
      <w:bookmarkStart w:id="13" w:name="_Toc294018834"/>
      <w:bookmarkStart w:id="14" w:name="_Toc523994934"/>
      <w:r>
        <w:rPr>
          <w:rFonts w:ascii="Times New Roman" w:hAnsi="Times New Roman"/>
          <w:b/>
        </w:rPr>
        <w:t>1.1.</w:t>
      </w:r>
      <w:r>
        <w:tab/>
      </w:r>
      <w:r>
        <w:rPr>
          <w:rFonts w:ascii="Times New Roman" w:hAnsi="Times New Roman"/>
          <w:b/>
        </w:rPr>
        <w:t xml:space="preserve">Σήμανση </w:t>
      </w:r>
      <w:bookmarkEnd w:id="10"/>
      <w:r>
        <w:rPr>
          <w:rFonts w:ascii="Times New Roman" w:hAnsi="Times New Roman"/>
          <w:b/>
        </w:rPr>
        <w:t>υποδείγματος</w:t>
      </w:r>
      <w:bookmarkEnd w:id="11"/>
      <w:bookmarkEnd w:id="14"/>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 xml:space="preserve">Το παρόν παράρτημα περιλαμβάνει συμπληρωματικές οδηγίες για τα υποδείγματα (εφεξής «LR») που περιλαμβάνονται στο Παράρτημα X του παρόντος κανονισμού.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Συνολικά, το πλαίσιο αποτελείται από έξι υποδείγματα:</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C47.00: Υπολογισμός του δείκτη μόχλευσης (LRCalc): Υπολογισμός του δείκτη μόχλευσης·</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C40.00: Υπόδειγμα 1 του δείκτη μόχλευσης (LR1): Εναλλακτική αντιμετώπιση του μέτρου του ανοίγματος·</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C41.00: Υπόδειγμα 2 του δείκτη μόχλευσης (LR2): Στοιχεία εντός και εκτός ισολογισμού – πρόσθετη κατανομή των ανοιγμάτων·</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C42.00: Υπόδειγμα 3 του δείκτη μόχλευσης (LR3): Εναλλακτικός ορισμός του κεφαλαίου·</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C43.00: Υπόδειγμα 4 του δείκτη μόχλευσης (LR4): Κατανομή των συνιστωσών του μέτρου του ανοίγματος του δείκτη μόχλευσης· και</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C44.00: Υπόδειγμα 5 του δείκτη μόχλευσης (LR5): Γενικές πληροφορίες.</w:t>
      </w:r>
    </w:p>
    <w:p w:rsidR="00F4754B" w:rsidRPr="00FE002E" w:rsidRDefault="00500508" w:rsidP="00500508">
      <w:pPr>
        <w:pStyle w:val="InstructionsText2"/>
        <w:numPr>
          <w:ilvl w:val="0"/>
          <w:numId w:val="0"/>
        </w:numPr>
        <w:ind w:left="720" w:hanging="360"/>
        <w:rPr>
          <w:rFonts w:eastAsia="Times New Roman"/>
          <w:bCs/>
          <w:szCs w:val="17"/>
        </w:rPr>
      </w:pPr>
      <w:r>
        <w:t>3.</w:t>
      </w:r>
      <w:r>
        <w:tab/>
        <w:t>Για κάθε υπόδειγμα παρέχονται νομικά κείμενα αναφοράς, καθώς και περαιτέρω λεπτομερείς πληροφορίες σχετικά με γενικότερα ζητήματα που αφορούν την υποβολή αναφορών.</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5" w:name="_Toc359414277"/>
      <w:bookmarkStart w:id="16" w:name="_Toc322687867"/>
      <w:bookmarkStart w:id="17" w:name="_Toc351048502"/>
      <w:bookmarkStart w:id="18" w:name="_Toc359414278"/>
      <w:bookmarkStart w:id="19" w:name="_Toc523994935"/>
      <w:bookmarkEnd w:id="15"/>
      <w:r>
        <w:rPr>
          <w:rFonts w:ascii="Times New Roman" w:hAnsi="Times New Roman"/>
          <w:b/>
        </w:rPr>
        <w:t>1.2.</w:t>
      </w:r>
      <w:r>
        <w:tab/>
      </w:r>
      <w:r>
        <w:rPr>
          <w:rFonts w:ascii="Times New Roman" w:hAnsi="Times New Roman"/>
          <w:b/>
        </w:rPr>
        <w:t>Κανόνες αρίθμησης</w:t>
      </w:r>
      <w:bookmarkEnd w:id="16"/>
      <w:bookmarkEnd w:id="17"/>
      <w:bookmarkEnd w:id="18"/>
      <w:bookmarkEnd w:id="19"/>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Το έγγραφο θα ακολουθεί τους κανόνες σήμανσης που ορίζονται στις ακόλουθες παραγράφους,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rsidR="00F4754B" w:rsidRPr="00FE002E" w:rsidRDefault="00500508" w:rsidP="00500508">
      <w:pPr>
        <w:pStyle w:val="InstructionsText2"/>
        <w:numPr>
          <w:ilvl w:val="0"/>
          <w:numId w:val="0"/>
        </w:numPr>
        <w:ind w:left="720" w:hanging="360"/>
        <w:rPr>
          <w:rFonts w:eastAsia="Times New Roman"/>
          <w:bCs/>
          <w:szCs w:val="17"/>
        </w:rPr>
      </w:pPr>
      <w:r>
        <w:t>5.</w:t>
      </w:r>
      <w:r>
        <w:tab/>
        <w:t>Στις οδηγίες χρησιμοποιείται το ακόλουθο γενικό σύμβολο: {Υπόδειγμα, Γραμμή, Στήλη}. Ο αστερίσκος χρησιμοποιείται για παραπομπή σε ολόκληρη γραμμή ή στήλη.</w:t>
      </w:r>
    </w:p>
    <w:p w:rsidR="00F4754B" w:rsidRPr="00FE002E" w:rsidRDefault="00500508" w:rsidP="00500508">
      <w:pPr>
        <w:pStyle w:val="InstructionsText2"/>
        <w:numPr>
          <w:ilvl w:val="0"/>
          <w:numId w:val="0"/>
        </w:numPr>
        <w:ind w:left="720" w:hanging="360"/>
        <w:rPr>
          <w:rFonts w:eastAsia="Times New Roman"/>
          <w:bCs/>
          <w:szCs w:val="17"/>
        </w:rPr>
      </w:pPr>
      <w:r>
        <w:t>6.</w:t>
      </w:r>
      <w:r>
        <w:tab/>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θα αναφέρονται σε υπόδειγμα: {Γραμμή, Στήλη}.</w:t>
      </w:r>
    </w:p>
    <w:p w:rsidR="00F4754B" w:rsidRPr="00FE002E" w:rsidRDefault="00500508" w:rsidP="00500508">
      <w:pPr>
        <w:pStyle w:val="InstructionsText2"/>
        <w:numPr>
          <w:ilvl w:val="0"/>
          <w:numId w:val="0"/>
        </w:numPr>
        <w:ind w:left="720" w:hanging="360"/>
        <w:rPr>
          <w:rFonts w:eastAsia="Times New Roman"/>
          <w:bCs/>
          <w:szCs w:val="17"/>
        </w:rPr>
      </w:pPr>
      <w:r>
        <w:t>7.</w:t>
      </w:r>
      <w:r>
        <w:tab/>
        <w:t xml:space="preserve">Για τον σκοπό της υποβολής αναφορών σχετικά με τη μόχλευση, η φράση «εκ των οποίων» αναφέρεται σε ένα στοιχείο που είναι υποσύνολο μιας ανώτερης κατηγορίας ανοίγματος, ενώ η φράση «υπομνηματικό στοιχείο» αναφέρεται σε χωριστό στοιχείο το οποίο δεν είναι υποσύνολο μιας κατηγορίας ανοίγματος. Είναι υποχρεωτική η υποβολή αναφορών και για τα δύο είδη κελιών, εκτός εάν ορίζεται διαφορετικά. </w:t>
      </w:r>
    </w:p>
    <w:p w:rsidR="001D6F2F" w:rsidRPr="00FE002E" w:rsidRDefault="00500508" w:rsidP="00500508">
      <w:pPr>
        <w:pStyle w:val="BodyText1"/>
        <w:ind w:left="357" w:hanging="357"/>
        <w:outlineLvl w:val="2"/>
        <w:rPr>
          <w:rFonts w:ascii="Times New Roman" w:hAnsi="Times New Roman"/>
          <w:b/>
        </w:rPr>
      </w:pPr>
      <w:bookmarkStart w:id="20" w:name="_Toc523994936"/>
      <w:r>
        <w:rPr>
          <w:rFonts w:ascii="Times New Roman" w:hAnsi="Times New Roman"/>
          <w:b/>
        </w:rPr>
        <w:t>1.3.</w:t>
      </w:r>
      <w:r>
        <w:tab/>
      </w:r>
      <w:r>
        <w:rPr>
          <w:rFonts w:ascii="Times New Roman" w:hAnsi="Times New Roman"/>
          <w:b/>
        </w:rPr>
        <w:t>Συντομογραφίες</w:t>
      </w:r>
      <w:bookmarkEnd w:id="20"/>
    </w:p>
    <w:p w:rsidR="001D6F2F" w:rsidRPr="00CF306A" w:rsidRDefault="001D6F2F" w:rsidP="001D6F2F">
      <w:pPr>
        <w:pStyle w:val="BodyText1"/>
      </w:pPr>
      <w:bookmarkStart w:id="21" w:name="_Toc359414279"/>
      <w:bookmarkStart w:id="22" w:name="_Toc322687868"/>
      <w:bookmarkStart w:id="23" w:name="_Toc351048503"/>
      <w:bookmarkStart w:id="24" w:name="_Toc359414280"/>
      <w:bookmarkEnd w:id="21"/>
    </w:p>
    <w:p w:rsidR="00627E07" w:rsidRDefault="00500508" w:rsidP="00500508">
      <w:pPr>
        <w:pStyle w:val="InstructionsText2"/>
        <w:numPr>
          <w:ilvl w:val="0"/>
          <w:numId w:val="0"/>
        </w:numPr>
        <w:ind w:left="720" w:hanging="360"/>
        <w:rPr>
          <w:rFonts w:eastAsia="Times New Roman"/>
          <w:bCs/>
          <w:szCs w:val="17"/>
        </w:rPr>
      </w:pPr>
      <w:r>
        <w:t>8.</w:t>
      </w:r>
      <w:r>
        <w:tab/>
        <w:t>Για τους σκοπούς του παρόντος παραρτήματος και των σχετικών υποδειγμάτων, χρησιμοποιούνται οι ακόλουθες συντομογραφίες:</w:t>
      </w:r>
    </w:p>
    <w:p w:rsidR="00627E07" w:rsidRDefault="00500508" w:rsidP="00500508">
      <w:pPr>
        <w:pStyle w:val="InstructionsText2"/>
        <w:numPr>
          <w:ilvl w:val="0"/>
          <w:numId w:val="0"/>
        </w:numPr>
        <w:ind w:left="1440" w:hanging="360"/>
        <w:rPr>
          <w:rFonts w:eastAsia="Times New Roman"/>
          <w:bCs/>
          <w:szCs w:val="17"/>
        </w:rPr>
      </w:pPr>
      <w:r>
        <w:lastRenderedPageBreak/>
        <w:t>α.</w:t>
      </w:r>
      <w:r>
        <w:tab/>
        <w:t>ΚΚΑ, που πρόκειται για συντομογραφία του Κανονισμού για τις Κεφαλαιακές Απαιτήσεις και παραπέμπει στον κανονισμό (ΕΕ) αριθ. 575/2013·</w:t>
      </w:r>
    </w:p>
    <w:p w:rsidR="00627E07" w:rsidRDefault="00500508" w:rsidP="00500508">
      <w:pPr>
        <w:pStyle w:val="InstructionsText2"/>
        <w:numPr>
          <w:ilvl w:val="0"/>
          <w:numId w:val="0"/>
        </w:numPr>
        <w:ind w:left="1440" w:hanging="360"/>
        <w:rPr>
          <w:rFonts w:eastAsia="Times New Roman"/>
          <w:bCs/>
          <w:szCs w:val="17"/>
        </w:rPr>
      </w:pPr>
      <w:r>
        <w:t>β.</w:t>
      </w:r>
      <w:r>
        <w:tab/>
        <w:t>ΣΧΤ, που πρόκειται για συντομογραφία του όρου «Συναλλαγή Χρηματοδότησης Τίτλων» και σημαίνει «πράξη επαναγοράς, συναλλαγή δανειοδοσίας ή δανειοληψίας τίτλων ή εμπορευμάτων, πράξη με μακρά προθεσμία διακανονισμού και πράξη δανεισμού περιθωρίου», όπως αναφέρεται στον κανονισμό (ΕΕ) αριθ. 575/2013.</w:t>
      </w:r>
    </w:p>
    <w:p w:rsidR="008E7068" w:rsidRPr="00627E07" w:rsidRDefault="00500508" w:rsidP="00500508">
      <w:pPr>
        <w:pStyle w:val="InstructionsText2"/>
        <w:numPr>
          <w:ilvl w:val="0"/>
          <w:numId w:val="0"/>
        </w:numPr>
        <w:ind w:left="1440" w:hanging="360"/>
        <w:rPr>
          <w:rFonts w:eastAsia="Times New Roman"/>
          <w:bCs/>
          <w:szCs w:val="17"/>
        </w:rPr>
      </w:pPr>
      <w:r>
        <w:t>γ.</w:t>
      </w:r>
      <w:r>
        <w:tab/>
        <w:t>CRM, που πρόκειται για συντομογραφία του όρου «Credit Risk Mitigation» (Μετριασμός του πιστωτικού κινδύνου).</w:t>
      </w:r>
    </w:p>
    <w:p w:rsidR="00217D1F" w:rsidRPr="00FE002E" w:rsidRDefault="00500508" w:rsidP="00500508">
      <w:pPr>
        <w:pStyle w:val="BodyText1"/>
        <w:ind w:left="357" w:hanging="357"/>
        <w:outlineLvl w:val="2"/>
        <w:rPr>
          <w:rFonts w:ascii="Times New Roman" w:hAnsi="Times New Roman"/>
          <w:b/>
        </w:rPr>
      </w:pPr>
      <w:bookmarkStart w:id="25" w:name="_Toc523994937"/>
      <w:r>
        <w:rPr>
          <w:rFonts w:ascii="Times New Roman" w:hAnsi="Times New Roman"/>
          <w:b/>
        </w:rPr>
        <w:t>1.4.</w:t>
      </w:r>
      <w:r>
        <w:tab/>
      </w:r>
      <w:r>
        <w:rPr>
          <w:rFonts w:ascii="Times New Roman" w:hAnsi="Times New Roman"/>
          <w:b/>
        </w:rPr>
        <w:t>Κανόνες χρήσης προσήμου</w:t>
      </w:r>
      <w:bookmarkEnd w:id="12"/>
      <w:bookmarkEnd w:id="13"/>
      <w:bookmarkEnd w:id="22"/>
      <w:bookmarkEnd w:id="23"/>
      <w:bookmarkEnd w:id="24"/>
      <w:bookmarkEnd w:id="25"/>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26" w:name="_Toc322687869"/>
      <w:r>
        <w:t>9.</w:t>
      </w:r>
      <w:r>
        <w:tab/>
        <w:t>Όλα τα ποσά αναφέρονται ως θετικά στοιχεία.</w:t>
      </w:r>
      <w:bookmarkStart w:id="27" w:name="_Toc264033192"/>
      <w:bookmarkEnd w:id="27"/>
      <w:r>
        <w:t xml:space="preserve"> Εξαίρεση αποτελούν τα ποσά που αναφέρονται στα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και {LR3,085,010}. Ως εκ τούτου σημειώνεται ότι τα {LRCalc,050,010}, {LRCalc,070,010}, {LRCalc,080,010}, {LRCalc,100,010}, {LRCalc,120,010}, {LRCalc,140,010}, {LRCalc,210,010}, {LRCalc,220,010}, {LRCalc,240,010}, {LRCalc,250,010}, {LRCalc,260,010}, {LRCalc,270,010}, {LRCalc,280,010}, {LR3,055,010}, {LR3,065,010}, {LR3,075,010} και {LR3,085,010} μπορούν να λάβουν μόνον αρνητικές τιμές. Σημειώνεται, επίσης, ότι, εκτός από ακραίες περιπτώσεις, τα {LRCalc,310,010}, {LRCalc,320,010}, {LRCalc,330,010}, {LRCalc,340,010}, {LR3,010,010}, {LR3,020,010}, {LR3,030,010} και {LR3,040,010} μπορούν να λάβουν μόνο θετικές τιμές.</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28" w:name="_Toc351048504"/>
      <w:bookmarkStart w:id="29" w:name="_Toc359414281"/>
      <w:bookmarkStart w:id="30" w:name="_Toc523994938"/>
      <w:r>
        <w:rPr>
          <w:rFonts w:ascii="Times New Roman" w:hAnsi="Times New Roman"/>
          <w:b/>
          <w:sz w:val="24"/>
        </w:rPr>
        <w:lastRenderedPageBreak/>
        <w:t>ΜΕΡΟΣ ΙΙ: ΟΔΗΓΙΕΣ ΣΧΕΤΙΚΑ ΜΕ ΤΑ ΥΠΟΔΕΙΓΜΑΤΑ</w:t>
      </w:r>
      <w:bookmarkEnd w:id="26"/>
      <w:bookmarkEnd w:id="28"/>
      <w:bookmarkEnd w:id="29"/>
      <w:bookmarkEnd w:id="30"/>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1" w:name="_Toc359414282"/>
      <w:bookmarkStart w:id="32" w:name="_Toc322631544"/>
      <w:bookmarkStart w:id="33" w:name="_Toc322687870"/>
      <w:bookmarkStart w:id="34" w:name="_Toc523994939"/>
      <w:r>
        <w:rPr>
          <w:rFonts w:ascii="Times New Roman" w:hAnsi="Times New Roman"/>
          <w:b/>
        </w:rPr>
        <w:t>1.</w:t>
      </w:r>
      <w:r>
        <w:tab/>
      </w:r>
      <w:r>
        <w:rPr>
          <w:rFonts w:ascii="Times New Roman" w:hAnsi="Times New Roman"/>
          <w:b/>
        </w:rPr>
        <w:t>Δομή και συχνότητα</w:t>
      </w:r>
      <w:bookmarkEnd w:id="31"/>
      <w:bookmarkEnd w:id="34"/>
      <w:r>
        <w:rPr>
          <w:rFonts w:ascii="Times New Roman" w:hAnsi="Times New Roman"/>
          <w:b/>
        </w:rPr>
        <w:t xml:space="preserve"> </w:t>
      </w:r>
      <w:bookmarkEnd w:id="32"/>
      <w:bookmarkEnd w:id="33"/>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35" w:name="_Toc322533849"/>
      <w:r>
        <w:rPr>
          <w:rFonts w:ascii="Times New Roman" w:hAnsi="Times New Roman"/>
        </w:rPr>
        <w:t>1.</w:t>
      </w:r>
      <w:r>
        <w:tab/>
      </w:r>
      <w:r>
        <w:rPr>
          <w:rFonts w:ascii="Times New Roman" w:hAnsi="Times New Roman"/>
        </w:rPr>
        <w:t>Το υπόδειγμα δείκτη μόχλευσης χωρίζεται σε δύο μέρη. Το μέρος Α περιλαμβάνει όλα τα στοιχεία δεδομένων που λαμβάνονται υπόψη στον υπολογισμό του δείκτη μόχλευσης και τα οποία υποβάλλονται από τα ιδρύματα στις αρμόδιες αρχές, σύμφωνα με το άρθρο 430 παράγραφος 1 πρώτο εδάφιο του ΚΚΑ, ενώ το μέρος Β περιλαμβάνει όλα τα στοιχεία δεδομένων τα οποία υποβάλλουν τα ιδρύματα σύμφωνα με το άρθρο 430 παράγραφος 1 δεύτερο εδάφιο του ΚΚΑ (δηλαδή, για τους σκοπούς της έκθεσης που αναφέρεται στο άρθρο 511 του ΚΚΑ).</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Κατά τη συμπίληση των δεδομένων για το παρόν εκτελεστικό τεχνικό πρότυπο (ΕΤΠ), τα ιδρύματα λαμβάνουν υπόψη την αντιμετώπιση των εμπιστευματικών στοιχείων ενεργητικού σύμφωνα με το άρθρο 429 παράγραφος 13 του ΚΚΑ.</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36" w:name="_Toc359414283"/>
      <w:bookmarkStart w:id="37" w:name="_Toc523994940"/>
      <w:r>
        <w:rPr>
          <w:rFonts w:ascii="Times New Roman" w:hAnsi="Times New Roman"/>
          <w:b/>
        </w:rPr>
        <w:t>2.</w:t>
      </w:r>
      <w:r>
        <w:tab/>
      </w:r>
      <w:r>
        <w:rPr>
          <w:rFonts w:ascii="Times New Roman" w:hAnsi="Times New Roman"/>
          <w:b/>
        </w:rPr>
        <w:t>Μαθηματικοί τύποι για τον υπολογισμό του δείκτη μόχλευσης</w:t>
      </w:r>
      <w:bookmarkEnd w:id="36"/>
      <w:bookmarkEnd w:id="37"/>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 xml:space="preserve">Ο δείκτης μόχλευσης βασίζεται σε ένα μέτρο κεφαλαίου και σε ένα μέτρο συνολικού ανοίγματος, που μπορούν να υπολογιστούν βάσει των κελιών από το μέρος Α.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Δείκτης μόχλευσης – με τη χρήση του ορισμού πλήρους εφαρμογής = {LRCalc,310,010} / {LRCalc,290,010}.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Δείκτης μόχλευσης – με τη χρήση του μεταβατικού ορισμού = {LRCalc,320,010} / {LRCalc,300,010}.</w:t>
      </w:r>
    </w:p>
    <w:p w:rsidR="00FC2664" w:rsidRPr="00FE002E" w:rsidRDefault="00FC2664" w:rsidP="007E2A41">
      <w:pPr>
        <w:pStyle w:val="BodyText1"/>
        <w:spacing w:line="240" w:lineRule="auto"/>
        <w:rPr>
          <w:rFonts w:ascii="Times New Roman" w:hAnsi="Times New Roman"/>
        </w:rPr>
      </w:pPr>
      <w:bookmarkStart w:id="38" w:name="_Toc322533852"/>
      <w:bookmarkEnd w:id="35"/>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39" w:name="_Toc359414284"/>
      <w:bookmarkStart w:id="40" w:name="_Toc523994941"/>
      <w:r>
        <w:rPr>
          <w:rFonts w:ascii="Times New Roman" w:hAnsi="Times New Roman"/>
          <w:b/>
        </w:rPr>
        <w:t>3.</w:t>
      </w:r>
      <w:r>
        <w:tab/>
      </w:r>
      <w:r>
        <w:rPr>
          <w:rFonts w:ascii="Times New Roman" w:hAnsi="Times New Roman"/>
          <w:b/>
        </w:rPr>
        <w:t>Κατώτατα επίπεδα σημαντικότητας για παράγωγα</w:t>
      </w:r>
      <w:bookmarkEnd w:id="39"/>
      <w:bookmarkEnd w:id="40"/>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Προκειμένου να μειωθεί ο φόρτος εργασίας τον οποίο συνεπάγεται η υποβολή αναφορών από ιδρύματα με περιορισμένα ανοίγματα σε παράγωγα, χρησιμοποιούνται τα ακόλουθα μέτρα για να εκτιμηθεί η σχετική σημασία των ανοιγμάτων σε παράγωγα στο συνολικό άνοιγμα του δείκτη μόχλευσης. Τα ιδρύματα υπολογίζουν τα εν λόγω μέτρα ως εξής</w:t>
      </w:r>
      <w:bookmarkStart w:id="41" w:name="_Toc322533853"/>
      <w:bookmarkEnd w:id="38"/>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42" w:name="_Toc322533854"/>
      <w:bookmarkEnd w:id="41"/>
      <w:r>
        <w:rPr>
          <w:rFonts w:ascii="Times New Roman" w:hAnsi="Times New Roman"/>
        </w:rPr>
        <w:t>7.</w:t>
      </w:r>
      <w:r>
        <w:tab/>
      </w:r>
      <w:r>
        <w:rPr>
          <w:rFonts w:ascii="Times New Roman" w:hAnsi="Times New Roman"/>
        </w:rPr>
        <w:t xml:space="preserve">Μερίδιο παραγώγων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Όταν το μέτρο του συνολικού ανοίγματος ισούται με: {LRCalc,290,010}.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Συνολική ονομαστική αξία που αναφέρεται από παράγωγα = LR1, 010,070}. Αυτό το κελί αναφέρεται πάντα από τα ιδρύματα.</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Όγκος πιστωτικών παραγώγων = {LR1,020,070} + {LR1,050,070}. Αυτά τα κελιά αναφέρονται πάντα από τα ιδρύματα.</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Τα ιδρύματα υποχρεούνται να αναφέρουν τα κελιά που απαριθμούνται στην παράγραφο 14 στην επόμενη περίοδο υποβολής αναφοράς, εφόσον πληρούται οποιαδήποτε από τις ακόλουθες προϋποθέσεις:</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το μερίδιο παραγώγων που αναφέρεται στην παράγραφο 7 είναι μεγαλύτερο από 1,5 % σε δύο διαδοχικές ημερομηνίες υποβολής αναφορών·</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το μερίδιο παραγώγων που αναφέρεται στην παράγραφο 7 υπερβαίνει το 2,0 %.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12.</w:t>
      </w:r>
      <w:r>
        <w:tab/>
      </w:r>
      <w:r>
        <w:rPr>
          <w:rFonts w:ascii="Times New Roman" w:hAnsi="Times New Roman"/>
        </w:rPr>
        <w:t>Ιδρύματα για τα οποία η συνολική ονομαστική αξία που αναφέρεται από παράγωγα, όπως ορίζεται στην παράγραφο 9, υπερβαίνει τα 10 δισεκατομμύρια EUR οφείλουν να αναφέρουν τα κελιά που αναφέρονται στην παράγραφο 14, παρά το γεγονός ότι το μερίδιο παραγώγων τους δεν πληροί τις προϋποθέσεις που περιγράφονται στην παράγραφο 11.</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13.</w:t>
      </w:r>
      <w:r>
        <w:tab/>
      </w:r>
      <w:r>
        <w:rPr>
          <w:rFonts w:ascii="Times New Roman" w:hAnsi="Times New Roman"/>
        </w:rPr>
        <w:t>Τα ιδρύματα υποχρεούνται να αναφέρουν τα κελιά που αναφέρονται στην παράγραφο 15, εφόσον πληρούται οποιαδήποτε από τις ακόλουθες προϋποθέσεις:</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ο όγκος των πιστωτικών παραγώγων που αναφέρεται στην παράγραφο 10 είναι μεγαλύτερος από 300 εκατ. EUR σε δύο διαδοχικές ημερομηνίες αναφοράς για υποβολή στοιχείων·</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ο όγκος των πιστωτικών παραγώγων που αναφέρεται στην παράγραφο 10 υπερβαίνει τα 500 εκατ. EUR.</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Τα κελιά που πρέπει να αναφέρονται από τα ιδρύματα σύμφωνα με την παράγραφο 11 είναι τα ακόλουθα: {LR1,010,010}, {LR1,010,020}, {LR1,010,050}, {LR1,020,010}, {LR1,020,020}, {LR1,020,050}, {LR1,030,050}, {LR1,030,070}, {LR1,040,050}, {LR1,040,070}, {LR1,050,010}, {LR1,050,020}, {LR1,050,050}, {LR1,060,010}, {LR1,060,020}, {LR1,060,050} και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Τα κελιά που πρέπει να αναφέρονται από τα ιδρύματα σύμφωνα με την παράγραφο 13 είναι τα ακόλουθα: {LR1,020,075}, {LR1,050,075} και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43" w:name="_Toc351048506"/>
      <w:bookmarkStart w:id="44" w:name="_Toc322687879"/>
      <w:bookmarkStart w:id="45" w:name="_Toc315961853"/>
      <w:bookmarkEnd w:id="42"/>
    </w:p>
    <w:p w:rsidR="00217D1F" w:rsidRPr="00FE002E" w:rsidRDefault="00500508" w:rsidP="00500508">
      <w:pPr>
        <w:pStyle w:val="BodyText1"/>
        <w:ind w:left="357" w:hanging="357"/>
        <w:outlineLvl w:val="1"/>
        <w:rPr>
          <w:rFonts w:ascii="Times New Roman" w:hAnsi="Times New Roman"/>
          <w:b/>
        </w:rPr>
      </w:pPr>
      <w:bookmarkStart w:id="46" w:name="_Toc359414285"/>
      <w:bookmarkStart w:id="47" w:name="_Toc523994942"/>
      <w:r>
        <w:rPr>
          <w:rFonts w:ascii="Times New Roman" w:hAnsi="Times New Roman"/>
          <w:b/>
        </w:rPr>
        <w:t>4.</w:t>
      </w:r>
      <w:r>
        <w:tab/>
      </w:r>
      <w:r>
        <w:rPr>
          <w:rFonts w:ascii="Times New Roman" w:hAnsi="Times New Roman"/>
          <w:b/>
        </w:rPr>
        <w:t>C 47.00 – Υπολογισμός του δείκτη μόχλευσης</w:t>
      </w:r>
      <w:bookmarkEnd w:id="43"/>
      <w:bookmarkEnd w:id="46"/>
      <w:r>
        <w:rPr>
          <w:rFonts w:ascii="Times New Roman" w:hAnsi="Times New Roman"/>
          <w:b/>
        </w:rPr>
        <w:t xml:space="preserve"> (LRCalc)</w:t>
      </w:r>
      <w:bookmarkEnd w:id="47"/>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 xml:space="preserve">Σε αυτό το μέρος του υποδείγματος υποβολής αναφοράς συλλέγονται τα στοιχεία που απαιτούνται για τον υπολογισμό του δείκτη μόχλευσης, όπως ορίζεται στα άρθρα 429, 429α και 429β του ΚΚΑ.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Τα ιδρύματα υποβάλλουν την αναφορά του δείκτη μόχλευσης σε τριμηνιαία βάση. Σε κάθε τρίμηνο, ως αξία «κατά την ημερομηνία αναφοράς για την υποβολή αναφορών» νοείται η αξία κατά την τελευταία ημερολογιακή ημέρα του τρίτου μήνα του αντίστοιχου τριμήνου.</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Τα ιδρύματα αναφέρουν τα {010,010} έως{030,010}, {060,010}, {090,010}, {110,010}, και {150,010} έως {190,010} ως αν να μην ίσχυαν οι εξαιρέσεις που αναφέρονται στα {050,010}, {080,010}, {100,010}, {120,010}, και {220,010}.</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Τα ιδρύματα αναφέρουν τα {010,010} έως {240,010} ως εάν να μην ίσχυαν οι εξαιρέσεις που αναφέρονται στα {250,010} και {260,010}.</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Οποιοδήποτε ποσό αυξάνει τα ίδια κεφάλαια ή το άνοιγμα του δείκτη μόχλευσης αναφέρεται ως θετικό. Αντιθέτως, οποιοδήποτε ποσό μειώνει τα συνολικά ίδια κεφάλαια ή το άνοιγμα του δείκτη μόχλευσης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Νομικά κείμενα αναφοράς και οδηγίες</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Γραμμή και στήλη</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Αξίες ανοίγματος</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ΣΧΤ: Άνοιγμα σύμφωνα με το άρθρο 429 παράγραφος 5 και το άρθρο 429 παράγραφος 8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Άρθρο 429 παράγραφος 5 στοιχείο δ) και άρθρο 429 παράγραφος 8 του ΚΚΑ</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lastRenderedPageBreak/>
              <w:t xml:space="preserve">Το άνοιγμα για τις ΣΧΤ υπολογίζεται σύμφωνα με το άρθρο 429 παράγραφος 5 στοιχείο δ) και παράγραφος 8 του ΚΚΑ.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Τα ιδρύματα λαμβάνουν υπόψη σε αυτό το κελί συναλλαγές σύμφωνα με το άρθρο 429β παράγραφος 6 στοιχείο γ).</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Τα ιδρύματα δεν περιλαμβάνουν σε αυτό το κελί ΣΧΤ αντιπροσώπου, εάν το ίδρυμα παρέχει αποζημίωση ή εγγύηση σε έναν πελάτη ή αντισυμβαλλόμενο,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429β παράγραφος 6 στοιχείο α) του ΚΚΑ.</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ΣΧΤ: Προσαύξηση για πιστωτικό κίνδυνο αντισυμβαλλομένου</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429β παράγραφος 1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Η προσαύξηση για τον πιστωτικό κίνδυνο αντισυμβαλλομένου στις ΣΧΤ, συμπεριλαμβανομένων εκείνων που είναι εκτός ισολογισμού, προσδιορίζεται σύμφωνα με το άρθρο 429β παράγραφος 2 ή 3 του ΚΚΑ, κατά περίπτωση.</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Τα ιδρύματα λαμβάνουν υπόψη σε αυτό το κελί συναλλαγές σύμφωνα με το άρθρο 429β παράγραφος 6 στοιχείο γ).</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Τα ιδρύματα δεν περιλαμβάνουν σε αυτό το κελί ΣΧΤ αντιπροσώπου, εάν το ίδρυμα παρέχει αποζημίωση ή εγγύηση σε έναν πελάτη ή αντισυμβαλλόμενο,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429β παράγραφος 6 στοιχείο α) του ΚΚΑ. Αντ’ αυτού, τα ιδρύματα περιλαμβάνουν τα στοιχεία αυτά στο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Παρέκκλιση για ΣΧΤ: Προσαύξηση σύμφωνα με το άρθρο 429β παράγραφος 4 και το άρθρο 222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Άρθρο 429β παράγραφος 4 και άρθρο 222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Η αξία ανοίγματος για ΣΧΤ, συμπεριλαμβανομένων εκείνων που είναι εκτός ισολογισμού, υπολογίζεται σύμφωνα με το άρθρο 222 του ΚΚΑ, και υπόκειται σε κατώτατο όριο 20 % για τον εφαρμοστέο συντελεστή στάθμισης κινδύνου.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Τα ιδρύματα λαμβάνουν υπόψη σε αυτό το κελί συναλλαγές σύμφωνα με το άρθρο 429β παράγραφος 6 στοιχείο γ) του ΚΚΑ.</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Τα ιδρύματα δεν λαμβάνουν υπόψη στο κελί αυτό συναλλαγές για τις οποίες το τμήμα προσαύξησης της τιμής του ανοίγματος του δείκτη μόχλευσης προσδιορίζεται σύμφωνα με τη μέθοδο που ορίζεται στο άρθρο 429β παράγραφος 1 του ΚΚΑ.</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Πιστωτικός κίνδυνος αντισυμβαλλομένου για ΣΧΤ αντιπροσώπου, σύμφωνα με το άρθρο 429β παράγραφος 6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429β παράγραφος 6 στοιχείο α), παράγραφοι 2 και 3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Η αξία ανοίγματος για ΣΧΤ αντιπροσώπου, εάν το ίδρυμα παρέχει αποζημίωση ή εγγύηση σε έναν πελάτη ή αντισυμβαλλόμενο, η οποία περιορίζεται στο ύψος οποιασδήποτε διαφοράς μεταξύ της αξίας του τίτλου ή των χρηματικών διαθεσίμων που έχει </w:t>
            </w:r>
            <w:r>
              <w:rPr>
                <w:rFonts w:ascii="Times New Roman" w:hAnsi="Times New Roman"/>
              </w:rPr>
              <w:lastRenderedPageBreak/>
              <w:t>δανειοδοτήσει ο πελάτης και της αξίας των εξασφαλίσεων που έχει παράσχει ο δανειολήπτης, σύμφωνα με το άρθρο 429β παράγραφος 6 στοιχείο α) του ΚΚΑ, αποτελείται μόνον από την προσαύξηση που προσδιορίζεται σύμφωνα με το άρθρο 429β παράγραφος 2 ή 3 του ΚΚΑ, κατά περίπτωση.</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Τα ιδρύματα δεν περιλαμβάνουν σε αυτό το κελί συναλλαγές σύμφωνα με το άρθρο 429β παράγραφος 6 στοιχείο γ). Αντ’ αυτού, τα ιδρύματα περιλαμβάνουν τα στοιχεία αυτά στα {010,010} και {020,010} ή {010,010} και {030,010}, κατά περίπτωση.</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Απαλλασσόμενο σκέλος κεντρικού αντισυμβαλλομένου (CCP) των ανοιγμάτων διαπραγμάτευσης ΣΧΤ που εκκαθαρίζονται για πελάτη</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 παράγραφος 11 και άρθρο 306 παράγραφος 1 στοιχείο γ)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Το απαλλασσόμενο σκέλος CCP εκκαθαριζόμενων για πελάτη ανοιγμάτων σε ΣΧΤ, εφόσον τα στοιχεία αυτά πληρούν τις προϋποθέσεις που προβλέπονται στο άρθρο 306 παράγραφος 1 στοιχείο γ) του ΚΚΑ.</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Όταν το απαλλασσόμενο σκέλος CCP είναι τίτλος, δεν αναφέρεται σε αυτό το κελί, εκτός εάν πρόκειται για επενεχυριασθέντα τίτλο ο οποίος, βάσει του εφαρμοστέου λογιστικού πλαισίου (δηλαδή σύμφωνα με το άρθρο 111 παράγραφος 1 πρώτη περίοδος του ΚΚΑ), συμπεριλαμβάνεται στην πλήρη αξία.</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Τα ιδρύματα περιλαμβάνουν επίσης στο {010,010}, {020,010} και {030,010}, το ποσό που αναφέρεται σε αυτό το κελί, ως εάν να μην ίσχυε καμία εξαίρεση, και στο {190,010}, εάν πληρούται η προϋπόθεση του δεύτερου μισού της προηγούμενης περιόδου.</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Όταν το ίδρυμα έχει καταθέσει αρχικό περιθώριο για ένα απαλλασσόμενο σκέλος ΣΧΤ που αναφέρεται στο {190,010} και όχι στο {020,010} ή στο {030,010}, τότε το ίδρυμα μπορεί να το αναφέρει σε αυτό το κελί.</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Παράγωγα: Τρέχον κόστος αντικατάστασης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Άρθρα 429α, 274, 295, 296, 297 και 298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Το τρέχον κόστος αντικατάστασης, όπως ορίζεται στο άρθρο 274 παράγραφος 1 του ΚΚΑ, των συμβάσεων που απαριθμούνται στο παράρτημα II του ΚΚΑ και των πιστωτικών παραγώγων, συμπεριλαμβανομένων εκείνων που είναι εκτός ισολογισμού, αναφέρεται με μικτό περιθώριο της διαφοράς αποτίμησης που έχει ληφθεί.</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Όπως προσδιορίζεται στο άρθρο 429α παράγραφος 1 του ΚΚΑ, τα ιδρύματα δύνανται να λαμβάνουν υπόψη τις επιπτώσεις των συμβάσεων ανανέωσης οφειλής και άλλων συμφωνιών συμψηφισμού, σύμφωνα με το άρθρο 295 του ΚΚΑ. Δεν εφαρμόζεται συμψηφισμός μεταξύ προϊόντων. Ωστόσο, τα ιδρύματα δύνανται να συμψηφίζουν στην κατηγορία των προϊόντων που αναφέρονται στο άρθρο 272 σημείο 25) στοιχείο γ) του ΚΚΑ και τα πιστωτικά παράγωγα, όταν υπόκεινται σε συμφωνία συμβατικού συμψηφισμού μεταξύ προϊόντων που αναφέρεται στο άρθρο 295 στοιχείο γ) του ΚΚΑ.</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Τα ιδρύματα δεν περιλαμβάνουν στο κελί αυτό συμβάσεις που επιμετρώνται με την εφαρμογή της μεθόδου αρχικού ανοίγματος, σύμφωνα με το άρθρο 429α παράγραφος 8 και το άρθρο 275 του ΚΚΑ.</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Επιλέξιμο περιθώριο διαφορών αποτίμησης που λαμβάνεται τοις μετρητοίς αντισταθμιζόμενο έναντι παραγώγων αγοραίας αξίας</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429α παράγραφος 3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Περιθώριο διαφορών αποτίμησης που εισπράττεται τοις μετρητοίς από τον αντισυμβαλλόμενο, που έχει επιλεγεί για συμψηφισμό έναντι του τμήματος κόστους </w:t>
            </w:r>
            <w:r>
              <w:rPr>
                <w:rFonts w:ascii="Times New Roman" w:hAnsi="Times New Roman"/>
              </w:rPr>
              <w:lastRenderedPageBreak/>
              <w:t>αντικατάστασης του ανοίγματος παραγώγων, σύμφωνα με το άρθρο 429α παράγραφος 3 του ΚΚΑ.</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Δεν αναφέρεται κανένα περιθώριο διαφορών αποτίμησης που έχει ληφθεί σε απαλλασσόμενο σκέλος κεντρικού αντισυμβαλλομένου, σύμφωνα με το άρθρο 429 παράγραφος 11 του ΚΚΑ.</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lastRenderedPageBreak/>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Απαλλασσόμενο σκέλος CCP των ανοιγμάτων διαπραγμάτευσης που εκκαθαρίζονται για πελάτη (κόστη αντικατάστασης)</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 παράγραφος 11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Το τμήμα του κόστους αντικατάστασης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ΚΚΑ. Το ποσό αυτό αναφέρεται μικτό με το περιθώριο διαφορών αποτίμησης που λαμβάνεται σε αυτό το σκέλος.</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Τα ιδρύματα περιλαμβάνουν το ποσό που αναφέρεται σε αυτό το κελί και στο {060,010}, ως εάν να μην εφαρμοζόταν εξαίρεση.</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Παράγωγα: Προσαύξηση σύμφωνα με τη μέθοδο βάσει τρεχουσών τιμών αγοράς</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Άρθρα 429α, 274, 295, 296, 297, 298 και άρθρο 299 παράγραφος 2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Στο κελί αυτό παρέχεται η προσαύξηση για το δυνητικό μελλοντικό άνοιγμα των συμβάσεων που απαριθμούνται στο παράρτημα II του ΚΚΑ και των πιστωτικών παραγώγων, συμπεριλαμβανομένων εκείνων που είναι εκτός ισολογισμού, υπολογιζόμενων σύμφωνα με τη μέθοδο αποτίμησης βάσει τρεχουσών τιμών αγοράς (άρθρο 274 του ΚΚΑ για τις συμβάσεις που απαριθμούνται στο παράρτημα II του ΚΚΑ και άρθρο 299 παράγραφος 2 του ΚΚΑ για τα πιστωτικά παράγωγα) και την εφαρμογή κανόνων συμψηφισμού, σύμφωνα με το άρθρο 429α παράγραφος 1 του ΚΚΑ. Κατά τον προσδιορισμό της αξίας ανοίγματος των εν λόγω συμβάσεων, τα ιδρύματα δύνανται να λαμβάνουν υπόψη τις επιπτώσεις των συμβάσεων ανανέωσης οφειλής και άλλων συμφωνιών συμψηφισμού, σύμφωνα με το άρθρο 295 του ΚΚΑ. Δεν εφαρμόζεται συμψηφισμός μεταξύ προϊόντων. Ωστόσο, τα ιδρύματα δύνανται να συμψηφίζουν στην κατηγορία των προϊόντων που αναφέρονται στο άρθρο 272 σημείο 25) στοιχείο γ) του ΚΚΑ και τα πιστωτικά παράγωγα, όταν υπόκεινται σε συμφωνία συμβατικού συμψηφισμού μεταξύ προϊόντων που αναφέρεται στο άρθρο 295 στοιχείο γ) του ΚΚΑ.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Σύμφωνα με το άρθρο 429α παράγραφος 1 δεύτερο εδάφιο του ΚΚΑ, κατά τον προσδιορισμό των δυνητικών μελλοντικών πιστωτικών ανοιγμάτων των πιστωτικών παραγώγων, τα ιδρύματα εφαρμόζουν τις αρχές του άρθρου 299 παράγραφος 2 στοιχείο α) του ΚΚΑ σε όλα τα πιστωτικά τους παράγωγα, και όχι μόνο σε εκείνα που εντάσσονται στο χαρτοφυλάκιο συναλλαγών.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Τα ιδρύματα δεν περιλαμβάνουν στο κελί αυτό συμβάσεις που επιμετρώνται με την εφαρμογή της μεθόδου αρχικού ανοίγματος, σύμφωνα με το άρθρο 429α παράγραφος 8 και το άρθρο 275 του ΚΚΑ.</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Απαλλασσόμενο σκέλος CCP των ανοιγμάτων διαπραγμάτευσης που εκκαθαρίζονται για πελάτη (δυνητικό μελλοντικό άνοιγμα)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 παράγραφος 11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Το δυνητικό μελλοντικό άνοιγμα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ΚΚΑ.</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Τα ιδρύματα περιλαμβάνουν το ποσό που αναφέρεται σε αυτό το κελί και στο {060,010}, ως εάν να μην εφαρμοζόταν εξαίρεση.</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Παρέκκλιση για παράγωγα: Μέθοδος αρχικού ανοίγματος</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Άρθρο 429α παράγραφος 8 και άρθρο 275 του ΚΚΑ</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Στο κελί αυτό παρέχεται το μέτρο ανοίγματος των συμβάσεων που παρατίθενται στα σημεία 1 και 2 του παραρτήματος II του ΚΚΑ, που υπολογίζεται σύμφωνα με τη μέθοδο αρχικού ανοίγματος, που προβλέπεται στο άρθρο 275 του ΚΚΑ.</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Τα ιδρύματα που εφαρμόζουν τη μέθοδο αρχικού ανοίγματος δεν μειώνουν το μέτρο ανοίγματος κατά το ποσό του περιθωρίου διαφοράς αποτίμησης που έχει ληφθεί σε μετρητά, σύμφωνα με το άρθρο 429α παράγραφος 8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Τα ιδρύματα που δεν χρησιμοποιούν τη μέθοδο αρχικού ανοίγματος δεν αναφέρουν το κελί αυτό.</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Τα ιδρύματα δεν λαμβάνουν υπόψη στο κελί αυτό τις συμβάσεις που επιμετρώνται με εφαρμογή της μεθόδου αποτίμησης βάσει τρεχουσών τιμών αγοράς, σύμφωνα με το άρθρο 429α παράγραφος 1 και το άρθρο 274 του ΚΚΑ.</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Απαλλασσόμενο σκέλος CCP των ανοιγμάτων διαπραγμάτευσης που εκκαθαρίζονται για πελάτη (μέθοδος αρχικού ανοίγματος)</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 παράγραφος 11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Το απαλλασσόμενο σκέλος CCP εκκαθαριζόμενων για πελάτη ανοιγμάτων διαπραγμάτευσης, όταν εφαρμόζεται η μέθοδος αρχικού ανοίγματος, όπως ορίζεται στο άρθρο 275 του ΚΚΑ, εφόσον τα στοιχεία αυτά πληρούν τις προϋποθέσεις που προβλέπονται στο άρθρο 306 παράγραφος 1 στοιχείο γ) του ΚΚΑ.</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Τα ιδρύματα περιλαμβάνουν το ποσό που αναφέρεται σε αυτό το κελί και στο {060,010}, ως εάν να μην εφαρμοζόταν εξαίρεση.</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{130,010}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Ανώτατη ονομαστική αξία πωληθέντων πιστωτικών παραγώγων</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429α παράγραφοι 5 έως 7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Η ανώτατη ονομαστική αξία πωληθέντων πιστωτικών παραγόντων (δηλαδή όταν το ίδρυμα παρέχει πιστωτική προστασία σε αντισυμβαλλόμενο), όπως καθορίζεται στο άρθρο 429α παράγραφοι 5 έως 7 του ΚΚΑ.</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Αντιστάθμιση επιλέξιμων αγορασθέντων πιστωτικών παραγόντων έναντι πωληθέντων πιστωτικών παραγόντων</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429α παράγραφοι 5 έως 7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Η ανώτατη ονομαστική αξία αγορασθέντων πιστωτικών παραγώγων (δηλαδή όταν το ίδρυμα αγοράζει πιστωτική προστασία από αντισυμβαλλόμενο) για τα ίδια ονόματα αναφοράς με των πιστωτικών παραγώγων τα οποία πωλεί το ίδρυμα, και εφόσον η εναπομένουσα ληκτότητα της αγορασθείσας προστασίας είναι ίση ή μεγαλύτερη από την εναπομένουσα ληκτότητα της πωληθείσας προστασίας. Ως εκ τούτου, η αξία δεν υπερβαίνει την αξία που αναγράφεται στο {130,010} για κάθε όνομα αναφοράς.</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Στοιχεία εκτός ισολογισμού με συντελεστή πιστωτικής μετατροπής (CCF) 10 %, σύμφωνα με το άρθρο 429 παράγραφος 10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Άρθρο 429 παράγραφος 10, άρθρο 111 παράγραφος 1 στοιχείο δ) και άρθρο 166 παράγραφος 9 του ΚΚΑ</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Η αξία ανοίγματος, σύμφωνα με το άρθρο 429 παράγραφος 10 και το άρθρο 111 παράγραφος 1 στοιχείο δ) του ΚΚΑ, των εκτός ισολογισμού στοιχείων χαμηλού κινδύνου, στα οποία θα εφαρμοζόταν συντελεστής μετατροπής πίστωσης 0 %, που αναφέρεται στο σημείο 4 στοιχεία α) έως γ) του παραρτήματος I του ΚΚΑ (υπενθυμίζεται ότι η αξία ανοίγματος εδώ είναι το 10 % της ονομαστικής αξίας). Δηλαδή, δεσμεύσεις οι οποίες μπορεί να ακυρωθούν από το ίδρυμα άνευ όρων ανά πάσα στιγμή, χωρίς προηγούμενη προειδοποίηση (UCC), ή οι οποίες παρέχουν στο ίδρυμα πραγματική δυνατότητα αυτόματης ακύρωσης, λόγω επιδείνωσης της πιστοληπτικής ικανότητας του δανειολήπτη.</w:t>
            </w:r>
            <w:r>
              <w:t xml:space="preserve"> </w:t>
            </w:r>
            <w:r>
              <w:rPr>
                <w:rFonts w:ascii="Times New Roman" w:hAnsi="Times New Roman"/>
              </w:rPr>
              <w:t>Υπενθυμίζεται ότι η ονομαστική αξία δεν μειώνεται κατά τις ειδικές προσαρμογές πιστωτικού κινδύνου.</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Εάν η πιστωτική διευκόλυνση αφορά την επέκταση άλλης πιστωτικής διευκόλυνσης, εφαρμόζεται ο μικρότερος από τους δύο συντελεστές μετατροπής που συνδέονται με τις μεμονωμένες πιστωτικές διευκολύνσεις, σύμφωνα με το άρθρο 166 παράγραφος 9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{160,010}</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Στοιχεία εκτός ισολογισμού με συντελεστή πιστωτικής μετατροπής (CCF) 20 %, σύμφωνα με το άρθρο 429 παράγραφος 10 του ΚΚΑ</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Άρθρο 429 παράγραφος 10, άρθρο 111 παράγραφος 1 στοιχείο γ) και άρθρο 166 παράγραφος 9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Η αξία ανοίγματος, σύμφωνα με το άρθρο 429 παράγραφος 10 και το άρθρο 111 παράγραφος 1 στοιχείο γ) του ΚΚΑ, των εκτός ισολογισμού στοιχείων μέτριου/χαμηλού κινδύνου, στα οποία θα εφαρμοζόταν συντελεστής μετατροπής πίστωσης 20 %, που αναφέρεται στο σημείο 3 στοιχεία α) και β) του παραρτήματος Ι του ΚΚΑ (υπενθυμίζεται ότι η αξία ανοίγματος εδώ είναι το 20 % της ονομαστικής αξίας).</w:t>
            </w:r>
            <w:r>
              <w:t xml:space="preserve"> </w:t>
            </w:r>
            <w:r>
              <w:rPr>
                <w:rFonts w:ascii="Times New Roman" w:hAnsi="Times New Roman"/>
              </w:rPr>
              <w:t>Υπενθυμίζεται ότι η ονομαστική αξία δεν μειώνεται κατά τις ειδικές προσαρμογές πιστωτικού κινδύνου.</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Εάν η πιστωτική διευκόλυνση αφορά την επέκταση άλλης πιστωτικής διευκόλυνσης, εφαρμόζεται ο μικρότερος από τους δύο συντελεστές μετατροπής που συνδέονται με τις μεμονωμένες πιστωτικές διευκολύνσεις, σύμφωνα με το άρθρο 166 παράγραφος 9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Στοιχεία εκτός ισολογισμού με συντελεστή πιστωτικής μετατροπής (CCF) 50 %, σύμφωνα με το άρθρο 429 παράγραφος 10 του ΚΚΑ</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Άρθρο 429 παράγραφος 10, άρθρο 111 παράγραφος 1 στοιχείο β) και άρθρο 166 παράγραφος 9 του ΚΚΑ</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Η αξία ανοίγματος, σύμφωνα με το άρθρο 429 παράγραφος 10 και το άρθρο 111 παράγραφος 1 στοιχείο β) του ΚΚΑ, των εκτός ισολογισμού στοιχείων μέτριου κινδύνου, στα οποία θα εφαρμοζόταν συντελεστής μετατροπής πίστωσης 50 %, όπως ορίζεται στην τυποποιημένη προσέγγιση του πιστωτικού κινδύνου που αναφέρεται στο σημείο 2 στοιχεία α) και β) του παραρτήματος Ι του ΚΚΑ (υπενθυμίζεται ότι η αξία ανοίγματος εδώ είναι το 50 % της ονομαστικής αξίας). Υπενθυμίζεται ότι η ονομαστική αξία δεν μειώνεται κατά τις </w:t>
            </w:r>
            <w:r>
              <w:rPr>
                <w:rFonts w:ascii="Times New Roman" w:hAnsi="Times New Roman"/>
              </w:rPr>
              <w:lastRenderedPageBreak/>
              <w:t>ειδικές προσαρμογές πιστωτικού κινδύνου.</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Το κελί αυτό περιλαμβάνει ταμειακές διευκολύνσεις και άλλες δεσμεύσεις για τιτλοποιήσεις. Με άλλα λόγια, ο συντελεστής πιστωτικής μετατροπής για όλες τις ταμειακές διευκολύνσεις σύμφωνα με το άρθρο 255 του ΚΚΑ είναι 50 %, ανεξάρτητα από τη ληκτότητα.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Εάν η πιστωτική διευκόλυνση αφορά την επέκταση άλλης πιστωτικής διευκόλυνσης, εφαρμόζεται ο μικρότερος από τους δύο συντελεστές μετατροπής που συνδέονται με τις μεμονωμένες πιστωτικές διευκολύνσεις, σύμφωνα με το άρθρο 166 παράγραφος 9 του ΚΚΑ.</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Στοιχεία εκτός ισολογισμού με συντελεστή πιστωτικής μετατροπής (CCF) 100 %, σύμφωνα με το άρθρο 429 παράγραφος 10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Άρθρο 429 παράγραφος 10, άρθρο 111 παράγραφος 1 στοιχείο α) και άρθρο 166 παράγραφος 9 του ΚΚΑ</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Η αξία ανοίγματος, σύμφωνα με το άρθρο 429 παράγραφος 10 και το άρθρο 111 παράγραφος 1 στοιχείο α) του ΚΚΑ, των εκτός ισολογισμού στοιχείων υψηλού κινδύνου, στα οποία θα εφαρμοζόταν ο συντελεστής μετατροπής πίστωσης 100 %, που αναφέρεται στο σημείο 1 στοιχεία α) έως ια) του παραρτήματος I του ΚΚΑ (υπενθυμίζεται ότι η αξία ανοίγματος εδώ είναι το 100 % της ονομαστικής αξίας). Υπενθυμίζεται ότι η ονομαστική αξία δεν μειώνεται κατά τις ειδικές προσαρμογές πιστωτικού κινδύνου.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Το κελί αυτό περιλαμβάνει ταμειακές διευκολύνσεις και άλλες δεσμεύσεις για τιτλοποιήσεις.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Εάν η πιστωτική διευκόλυνση αφορά την επέκταση άλλης πιστωτικής διευκόλυνσης, εφαρμόζεται ο μικρότερος από τους δύο συντελεστές μετατροπής που συνδέονται με τις μεμονωμένες πιστωτικές διευκολύνσεις, σύμφωνα με το άρθρο 166 παράγραφος 9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Άλλα στοιχεία ενεργητικού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Άρθρο 429 παράγραφος 5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Όλα τα στοιχεία ενεργητικού, εκτός από τις συμβάσεις που απαριθμούνται στο παράρτημα II του ΚΚΑ, τα πιστωτικά παράγωγα και τις ΣΧΤ (π.χ., μεταξύ άλλων, τα στοιχεία ενεργητικού που πρέπει να αναφέρονται σε αυτό το κελί είναι λογιστικές απαιτήσεις για περιθώριο διαφορών αποτίμησης που παρέχονται, όταν αναγνωρίζονται σύμφωνα με το λειτουργικό λογιστικό πλαίσιο, ρευστά διαθέσιμα, όπως ορίζονται δυνάμει του δείκτη κάλυψης ρευστότητας, αποτυχημένες και μη διακανονισθείσες συναλλαγές). Τα ιδρύματα βασίζουν την αποτίμηση στις αρχές που καθορίζονται στο άρθρο 429 παράγραφος 5 του ΚΚΑ.</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Τα ιδρύματα περιλαμβάνουν στο κελί αυτό τα εισπραχθέντα μετρητά ή οποιονδήποτε τίτλο που παρέχεται σε αντισυμβαλλόμενο μέσω ΣΧΤ, και τα οποία διατηρούνται στον ισολογισμό (δηλαδή δεν πληρούνται τα λογιστικά κριτήρια για μη αναγνώριση). Επιπλέον, τα ιδρύματα αναγνωρίζουν εδώ στοιχεία τα οποία αφαιρούνται από το CET1 και πρόσθετα στοιχεία της κατηγορίας 1 (π.χ. άυλα στοιχεία ενεργητικού, αναβαλλόμενες φορολογικές </w:t>
            </w:r>
            <w:r>
              <w:rPr>
                <w:rFonts w:ascii="Times New Roman" w:hAnsi="Times New Roman"/>
              </w:rPr>
              <w:lastRenderedPageBreak/>
              <w:t xml:space="preserve">απαιτήσεις κ.λπ.).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Εξασφάλιση καθαρής απόδοσης για παρεχόμενες εξασφαλίσεις παραγώγων</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429α παράγραφος 2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Το ποσό οποιασδήποτε παρεχόμενης εξασφάλισης παραγώγων, όταν η παροχή των εν λόγω εξασφαλίσεων μειώνει το ποσό των στοιχείων ενεργητικού σύμφωνα με το εφαρμοστέο λογιστικό πλαίσιο, όπως ορίζεται στο άρθρο 429α παράγραφος 2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Τα ιδρύματα δεν περιλαμβάνουν σε αυτό το κελί το αρχικό περιθώριο για συναλλαγές σε παράγωγα που εκκαθαρίζονται για πελάτη με αναγνωρισμένο CCP ή επιλέξιμο περιθώριο διαφορών αποτίμησης σε μετρητά, όπως ορίζεται στο άρθρο 429α παράγραφος 3 του ΚΚΑ.</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Απαιτήσεις για περιθώριο διαφορών αποτίμησης που παρέχεται στο πλαίσιο συναλλαγών σε παράγωγα</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Άρθρο 429α παράγραφος 3 τρίτο εδάφιο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Οι απαιτήσεις για περιθώριο διαφορών αποτίμησης που καταβάλλεται τοις μετρητοίς στον αντισυμβαλλόμενο σε συναλλαγές σε παράγωγα, εάν απαιτείται από το ίδρυμα, σύμφωνα με το εφαρμοστέο λογιστικό πλαίσιο, να αναγνωρίσει τις εν λόγω απαιτήσεις ως στοιχεία ενεργητικού, εφόσον πληρούνται οι προϋποθέσεις του άρθρου 429α παράγραφος 3 στοιχεία α) έως ε)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Το ποσό που αναφέρεται περιλαμβάνεται επίσης στα άλλα στοιχεία ενεργητικού που αναφέρονται στο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Απαλλασσόμενο σκέλος CCP των ανοιγμάτων διαπραγμάτευσης που εκκαθαρίζονται για πελάτη (αρχικό περιθώριο)</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 παράγραφος 11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Το (παρεχόμενο) τμήμα του αρχικού περιθωρίου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Το ποσό που αναφέρεται περιλαμβάνεται επίσης στα άλλα στοιχεία ενεργητικού που αναφέρονται στο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Προσαρμογές για συναλλαγές λογιστικής πωλήσεων ΣΧΤ</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429β παράγραφος 5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Η αξία των δανεισμένων τίτλων σε μια πράξη επαναγοράς που αποαναγνωρίζονται λόγω συναλλαγής λογιστικής πωλήσεων βάσει του εφαρμοστέου λογιστικού πλαισίου.</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Καταπιστευματικά στοιχεία ενεργητικού</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 παράγραφος 13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Η αξία των καταπιστευματικών στοιχείων ενεργητικού που πληρούν τα κριτήρια του ΔΛΠ 39 για μη αναγνώριση και, κατά περίπτωση, του ΔΠΧΑ 10 για μη ενοποίηση, σύμφωνα με το άρθρο 429 παράγραφος 13 του ΚΚΑ,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Το ποσό που αναφέρεται περιλαμβάνεται επίσης στα άλλα στοιχεία ενεργητικού που αναφέρονται στο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Ενδοομιλικά ανοίγματα (σε ατομική βάση) που εξαιρούνται σύμφωνα με το άρθρο 429 παράγραφος 7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Άρθρο 429 παράγραφος 7 και άρθρο 113 παράγραφος 6 του ΚΚΑ</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Τα ανοίγματα που δεν έχουν ενοποιηθεί στο ισχύον επίπεδο ενοποίησης, τα οποία μπορούν να τύχουν της μεταχείρισης που προβλέπεται στο άρθρο 113 παράγραφος 6 του ΚΚΑ, εφόσον πληρούνται όλες οι προϋποθέσεις που καθορίζονται στο άρθρο 113 παράγραφος 6 στοιχεία α) έως ε) του ΚΚΑ και εφόσον έχει ληφθεί έγκριση από τις αρμόδιες αρχές.</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Το αναφερόμενο ποσό περιλαμβάνεται επίσης στα εφαρμοστέα κελιά ανωτέρω, ως εάν να μην εφαρμοζόταν εξαίρεση.</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Ανοίγματα που εξαιρούνται σύμφωνα με το άρθρο 429 παράγραφος 14 του ΚΚΑ</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Άρθρο 429 παράγραφος 14 του ΚΚΑ</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Ανοίγματα που εξαιρούνται σύμφωνα με το άρθρο 429 παράγραφος 14 του ΚΚΑ και τα οποία υπόκεινται στην κάλυψη των προϋποθέσεων που αναφέρονται σε αυτό και στην έγκριση των αρμόδιων αρχών.</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Το αναφερόμενο ποσό περιλαμβάνεται επίσης στα εφαρμοστέα κελιά ανωτέρω, ως εάν να μην εφαρμοζόταν εξαίρεση.</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Ποσό στοιχείων ενεργητικού που αφαιρείται – κεφάλαιο της κατηγορίας 1 – ορισμός πλήρους εφαρμογής</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Άρθρο 429 παράγραφος 4 στοιχείο α) και άρθρο 499 παράγραφος 1 στοιχείο α) του ΚΚΑ</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Περιλαμβάνει όλες τις προσαρμογές που στοχεύουν στην αξία ενός στοιχείου ενεργητικού και οι οποίες απαιτούνται βάσει των:</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άρθρων 32 έως 35 του ΚΚΑ, ή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άρθρων 36 έως 47 του ΚΚΑ, ή</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άρθρων 56 έως 60 του ΚΚΑ,</w:t>
            </w:r>
          </w:p>
          <w:p w:rsidR="006D3F98" w:rsidRDefault="006D3F98" w:rsidP="002573FC">
            <w:pPr>
              <w:pStyle w:val="BodyText1"/>
              <w:spacing w:line="240" w:lineRule="auto"/>
              <w:rPr>
                <w:rFonts w:ascii="Times New Roman" w:hAnsi="Times New Roman"/>
                <w:bCs/>
              </w:rPr>
            </w:pPr>
            <w:r>
              <w:rPr>
                <w:rFonts w:ascii="Times New Roman" w:hAnsi="Times New Roman"/>
              </w:rPr>
              <w:t>κατά περίπτωση.</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Τα ιδρύματα λαμβάνουν υπόψη τις εξαιρέσεις, εναλλακτικές δυνατότητες και απαλλαγές από τις εν λόγω αφαιρέσεις, που προβλέπονται στα άρθρα 48, 49 και 79 του ΚΚΑ, χωρίς να λαμβάνεται υπόψη η παρέκκλιση που προβλέπεται στο δέκατο μέρος τίτλος Ι κεφάλαια 1 και 2 του ΚΚΑ. Για να αποφευχθεί διπλός υπολογισμός, τα ιδρύματα δεν αναφέρουν προσαρμογές που έχουν ήδη εφαρμοστεί σύμφωνα με το άρθρο 111 του ΚΚΑ, κατά τον υπολογισμό της αξίας ανοίγματος στα κελιά {010,010} έως {260,010}, ούτε αναφέρουν τυχόν προσαρμογές στις οποίες δεν αφαιρείται η αξία ενός συγκεκριμένου στοιχείου ενεργητικού.</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Εφόσον τα ποσά αυτά έχουν ήδη αφαιρεθεί από το μέτρο κεφαλαίου, μειώνουν το άνοιγμα του δείκτη μόχλευσης και αναφέρονται ως αρνητικό αποτέλεσμα.</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Ποσό στοιχείων ενεργητικού που αφαιρείται – κεφάλαιο της κατηγορίας 1 – μεταβατικός ορισμός</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Άρθρο 429 παράγραφος 4 στοιχείο α) και άρθρο 499 παράγραφος 1 στοιχείο β) του ΚΚΑ</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Περιλαμβάνει όλες τις προσαρμογές που προσαρμόζουν την αξία ενός στοιχείου ενεργητικού και οι οποίες απαιτούνται βάσει των:</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άρθρων 32 έως 35 του ΚΚΑ, ή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lastRenderedPageBreak/>
              <w:t>-</w:t>
            </w:r>
            <w:r>
              <w:tab/>
            </w:r>
            <w:r>
              <w:rPr>
                <w:rFonts w:ascii="Times New Roman" w:hAnsi="Times New Roman"/>
              </w:rPr>
              <w:t xml:space="preserve">άρθρων 36 έως 47 του ΚΚΑ, ή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άρθρων 56 έως 60 του ΚΚΑ,</w:t>
            </w:r>
          </w:p>
          <w:p w:rsidR="009264ED" w:rsidRDefault="00316050" w:rsidP="002573FC">
            <w:pPr>
              <w:pStyle w:val="BodyText1"/>
              <w:spacing w:line="240" w:lineRule="auto"/>
              <w:rPr>
                <w:rFonts w:ascii="Times New Roman" w:hAnsi="Times New Roman"/>
                <w:bCs/>
              </w:rPr>
            </w:pPr>
            <w:r>
              <w:rPr>
                <w:rFonts w:ascii="Times New Roman" w:hAnsi="Times New Roman"/>
              </w:rPr>
              <w:t>κατά περίπτωση.</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Τα ιδρύματα λαμβάνουν υπόψη εξαιρέσεις, εναλλακτικές δυνατότητες και απαλλαγές από τις εν λόγω αφαιρέσεις, που προβλέπονται στα άρθρα 48, 49 και 79 του ΚΚΑ, λαμβάνοντας επιπλέον υπόψη τις παρεκκλίσεις που προβλέπονται στο δέκατο μέρος τίτλος Ι κεφάλαια 1 και 2 του ΚΚΑ. Για να αποφευχθεί διπλός υπολογισμός, τα ιδρύματα δεν αναφέρουν προσαρμογές που έχουν ήδη εφαρμοστεί σύμφωνα με το άρθρο 111 του ΚΚΑ, κατά τον υπολογισμό της αξίας ανοίγματος στα κελιά {010,010} έως {260,010}, ούτε αναφέρουν τυχόν προσαρμογές στις οποίες δεν αφαιρείται η αξία ενός συγκεκριμένου στοιχείου ενεργητικού.</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Εφόσον τα ποσά αυτά έχουν ήδη αφαιρεθεί από το μέτρο κεφαλαίου, μειώνουν το άνοιγμα του δείκτη μόχλευσης και αναφέρονται ως αρνητικό αποτέλεσμα.</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Συνολικό άνοιγμα του δείκτη μόχλευσης – με χρήση ορισμού πλήρους εφαρμογής του κεφαλαίου της κατηγορίας 1</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Τα ιδρύματα αναφέρουν το ακόλουθο ποσό:</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Συνολικό άνοιγμα του δείκτη μόχλευσης – με χρήση μεταβατικού ορισμού του κεφαλαίου της κατηγορίας 1</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Τα ιδρύματα αναφέρουν το ακόλουθο ποσό:</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Γραμμή </w:t>
            </w:r>
          </w:p>
          <w:p w:rsidR="009264ED" w:rsidRPr="00FE002E" w:rsidRDefault="009264ED" w:rsidP="00FE0FF1">
            <w:pPr>
              <w:pStyle w:val="BodyText1"/>
              <w:rPr>
                <w:rFonts w:ascii="Times New Roman" w:hAnsi="Times New Roman"/>
                <w:b/>
                <w:bCs/>
              </w:rPr>
            </w:pPr>
            <w:r>
              <w:rPr>
                <w:rFonts w:ascii="Times New Roman" w:hAnsi="Times New Roman"/>
                <w:b/>
              </w:rPr>
              <w:t>και στήλη</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Κεφάλαιο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Κεφάλαιο της κατηγορίας 1 – ορισμός πλήρους εφαρμογής</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Άρθρο 429 παράγραφος 3 και άρθρο 499 παράγραφος 1 του ΚΚΑ</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Αυτό είναι το ποσό του κεφαλαίου της κατηγορίας 1, όπως υπολογίζεται σύμφωνα με το άρθρο 25 του ΚΚΑ, χωρίς να λαμβάνεται υπόψη η παρέκκλιση που προβλέπεται στο δέκατο μέρος τίτλος Ι κεφάλαια 1 και 2 του ΚΚΑ.</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Κεφάλαιο της κατηγορίας 1 – μεταβατικός ορισμός</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Άρθρο 429 παράγραφος 3 και άρθρο 499 παράγραφος 1 του ΚΚΑ</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Αυτό είναι το ποσό του κεφαλαίου της κατηγορίας 1, όπως υπολογίζεται σύμφωνα με το άρθρο 25 του ΚΚΑ, αφού ληφθεί υπόψη η παρέκκλιση που προβλέπεται στο δέκατο μέρος </w:t>
            </w:r>
            <w:r>
              <w:rPr>
                <w:rFonts w:ascii="Times New Roman" w:hAnsi="Times New Roman"/>
              </w:rPr>
              <w:lastRenderedPageBreak/>
              <w:t>τίτλος Ι κεφάλαια 1 και 2 του ΚΚΑ.</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lastRenderedPageBreak/>
              <w:t xml:space="preserve">Γραμμή </w:t>
            </w:r>
          </w:p>
          <w:p w:rsidR="009264ED" w:rsidRPr="00FE002E" w:rsidRDefault="009264ED" w:rsidP="00FE0FF1">
            <w:pPr>
              <w:pStyle w:val="BodyText1"/>
              <w:rPr>
                <w:rFonts w:ascii="Times New Roman" w:hAnsi="Times New Roman"/>
                <w:b/>
                <w:bCs/>
              </w:rPr>
            </w:pPr>
            <w:r>
              <w:rPr>
                <w:rFonts w:ascii="Times New Roman" w:hAnsi="Times New Roman"/>
                <w:b/>
              </w:rPr>
              <w:t>και στήλη</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Δείκτης μόχλευσης</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Δείκτης μόχλευσης – με χρήση ορισμού πλήρους εφαρμογής του κεφαλαίου της κατηγορίας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Άρθρο 429 παράγραφος 2 και άρθρο 499 παράγραφος 1 του ΚΚΑ</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Αυτός είναι ο δείκτης μόχλευσης, όπως υπολογίζεται σύμφωνα με το μέρος II παράγραφος 4 του παρόντος παραρτήματος.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Δείκτης μόχλευσης – με χρήση μεταβατικού ορισμού του κεφαλαίου της κατηγορίας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Άρθρο 429 παράγραφος 2 και άρθρο 499 παράγραφος 1 του ΚΚΑ</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Αυτός είναι ο δείκτης μόχλευσης, όπως υπολογίζεται σύμφωνα με το μέρος II παράγραφος 5 του παρόντος παραρτήματος.</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48" w:name="_Toc351048507"/>
      <w:bookmarkStart w:id="49" w:name="_Toc359414286"/>
      <w:bookmarkStart w:id="50" w:name="_Toc523994943"/>
      <w:r>
        <w:rPr>
          <w:rFonts w:ascii="Times New Roman" w:hAnsi="Times New Roman"/>
          <w:b/>
        </w:rPr>
        <w:t>5.</w:t>
      </w:r>
      <w:r>
        <w:tab/>
      </w:r>
      <w:r>
        <w:rPr>
          <w:rFonts w:ascii="Times New Roman" w:hAnsi="Times New Roman"/>
          <w:b/>
        </w:rPr>
        <w:t>C 40.00 – Εναλλακτική αντιμετώπιση του μέτρου του ανοίγματος</w:t>
      </w:r>
      <w:bookmarkEnd w:id="44"/>
      <w:bookmarkEnd w:id="48"/>
      <w:bookmarkEnd w:id="49"/>
      <w:r>
        <w:rPr>
          <w:rFonts w:ascii="Times New Roman" w:hAnsi="Times New Roman"/>
          <w:b/>
        </w:rPr>
        <w:t xml:space="preserve"> (LR1)</w:t>
      </w:r>
      <w:bookmarkEnd w:id="50"/>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 xml:space="preserve">Σε αυτό το μέρος της αναφοράς στοιχείων συγκεντρώνονται στοιχεία για την εναλλακτική αντιμετώπιση παραγώγων, ΣΧΤ και στοιχείων εκτός ισολογισμού.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 xml:space="preserve">Τα ιδρύματα προσδιορίζουν τις «λογιστικές αξίες ισολογισμού» στο υπόδειγμα LR1, βάσει του εφαρμοστέου λογιστικού πλαισίου, σύμφωνα με το άρθρο 4 παράγραφος 1 σημείο 77) του ΚΚΑ. Η «λογιστική αξία με την παραδοχή μη συμψηφισμού ή άλλης τεχνικής CRM» αναφέρεται στη λογιστική αξία ισολογισμού, χωρίς να λαμβάνονται υπόψη τυχόν αποτελέσματα συμψηφισμού ή άλλου μετριασμού του πιστωτικού κινδύνου.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t>23.</w:t>
      </w:r>
      <w:r>
        <w:tab/>
      </w:r>
      <w:r>
        <w:rPr>
          <w:rFonts w:ascii="Times New Roman" w:hAnsi="Times New Roman"/>
        </w:rPr>
        <w:t>Πέραν από τα {250,120} και {260,120}, τα ιδρύματα αναφέρουν το LR1 ως εάν να μην εφαρμόζονταν οι εξαιρέσεις που αναφέρονται στα κελιά LRCalc {050,010}, {080,010}, {100,010}, {120,010}, {220,010}, {250,010} και {260,010}.</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Γραμμή </w:t>
            </w:r>
          </w:p>
          <w:p w:rsidR="00F4754B" w:rsidRPr="00FE002E" w:rsidRDefault="00F4754B" w:rsidP="00F4754B">
            <w:pPr>
              <w:pStyle w:val="BodyText1"/>
              <w:rPr>
                <w:rFonts w:ascii="Times New Roman" w:hAnsi="Times New Roman"/>
                <w:b/>
              </w:rPr>
            </w:pPr>
            <w:r>
              <w:rPr>
                <w:rFonts w:ascii="Times New Roman" w:hAnsi="Times New Roman"/>
                <w:b/>
              </w:rPr>
              <w:t>και στήλη</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Νομικά κείμενα αναφοράς και οδηγίες</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Παράγωγα – Λογιστική αξία ισολογισμού</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{020,010}, {050,010} και {060,010}.</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Παράγωγα – Λογιστική αξία με την παραδοχή μη συμψηφισμού ή άλλης τεχνικής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Είναι το άθροισμα των {020,020}, {050,020} και {060,020}.</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Παράγωγα – Προσαύξηση σύμφωνα με τη μέθοδο βάσει τρεχουσών τιμών αγοράς (με την παραδοχή μη συμψηφισμού ή άλλης τεχνικής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Είναι το άθροισμα των {020,050}, {050,050} και {060,050}.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Παράγωγα – Ονομαστικό ποσό</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Είναι το άθροισμα των {020,070}, {050,070} και {060,070}.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{020,010}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Πιστωτικά παράγωγα (πωληθείσα προστασία) – Λογιστική αξία ισολογισμού</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Άρθρο 4 παράγραφος 1 σημείο 77) του ΚΚΑ</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Η λογιστική αξία ισολογισμού, σύμφωνα με το εφαρμοστέο λογιστικό πλαίσιο, των πιστωτικών παραγώγων, όταν το ίδρυμα πωλεί πιστωτική προστασία σε έναν αντισυμβαλλόμενο και η σύμβαση αναγνωρίζεται ως στοιχείο ενεργητικού στον ισολογισμό.</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Πιστωτικά παράγωγα (πωληθείσα προστασία) – Λογιστική αξία με την παραδοχή μη συμψηφισμού ή άλλης τεχνικής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Άρθρο 4 παράγραφος 1 σημείο 77) του ΚΚΑ</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Η λογιστική αξία ισολογισμού, σύμφωνα με το εφαρμοστέο λογιστικό πλαίσιο, των πιστωτικών παραγώγων, όταν το ίδρυμα πωλεί πιστωτική προστασία σε αντισυμβαλλόμενο και η σύμβαση αναγνωρίζεται ως στοιχείο ενεργητικού στον ισολογισμό, χωρίς να λαμβάνονται υπόψη τα αποτελέσματα του προληπτικού ή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Πιστωτικά παράγωγα (πωληθείσα προστασία) – Προσαύξηση σύμφωνα με τη μέθοδο βάσει τρεχουσών τιμών αγοράς (με την παραδοχή μη συμψηφισμού ή άλλης τεχνικής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Είναι το άθροισμα των {030,050} και {040,050}.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Πιστωτικά παράγωγα (πωληθείσα προστασία) – Ονομαστικό ποσό</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Είναι το άθροισμα των κελιών {030,070} και {040,070}.</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Πιστωτικά παράγωγα (πωληθείσα προστασία) – Ανώτατο ονομαστικό ποσό</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Στο κελί αυτό παρέχεται το ονομαστικό ποσό στο οποίο αναφέρονται τα πιστωτικά παράγωγα (πωληθείσα προστασία) όπως στο {020, 070} μετά την αφαίρεση από οποιεσδήποτε αλλαγές αρνητικής εύλογης αξίας που έχουν ενσωματωθεί σε κεφάλαιο της Κατηγορίας 1 σε σχέση με το πωληθέν πιστωτικό παράγωγο.</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Πιστωτικά παράγωγα (πωληθείσα προστασία) που υπόκεινται σε ρήτρα εκκαθάρισης – Προσαύξηση σύμφωνα με τη μέθοδο βάσει τρεχουσών τιμών αγοράς (με την παραδοχή μη συμψηφισμού ή άλλης τεχνικής CRM)</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299 παράγραφος 2 του ΚΚΑ</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Στο κελί αυτό παρέχεται το δυνητικό μελλοντικό άνοιγμα των πιστωτικών παραγώγων, όταν το ίδρυμα πωλεί σε αντισυμβαλλόμενο πιστωτική προστασία, η οποία υπόκειται σε ρήτρα εκκαθάρισης, με την παραδοχή μη συμψηφισμού ή άλλης τεχνικής CRM. Τα ιδρύματα δεν περιλαμβάνουν στο κελί αυτό την προσαύξηση για τα πιστωτικά παράγωγα, όταν το ίδρυμα πωλεί πιστωτική προστασία σε έναν αντισυμβαλλόμενο, η οποία δεν υπόκειται σε ρήτρα εκκαθάρισης. Αντ’ αυτού, τα ιδρύματα περιλαμβάνουν τα στοιχεία αυτά στο {LR1,040,050}.</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Ως ρήτρα εκκαθάρισης ορίζεται η ρήτρα που παρέχει στον αντισυμβαλλόμενο που δεν αθέτησε τις υποχρεώσεις του το δικαίωμα να τερματίσει και να εκκαθαρίσει εγκαίρως όλες τις συναλλαγές που υπάγονται στη σύμβαση, σε περίπτωση αθέτησης υποχρέωσης, συμπεριλαμβανομένων των περιπτώσεων αφερεγγυότητας ή πτώχευσης του αντισυμβαλλομένου.</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Τα ιδρύματα λαμβάνουν υπόψη όλα τα πιστωτικά παράγωγα, και όχι μόνον αυτά που εντάσσονται στο χαρτοφυλάκιο συναλλαγών.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Πιστωτικά παράγωγα (πωληθείσα προστασία) που υπόκεινται σε ρήτρα εκκαθάρισης – Ονομαστικό ποσό</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Στο κελί αυτό παρέχεται το ονομαστικό ποσό στο οποίο αναφέρονται τα πιστωτικά παράγωγα, όταν το ίδρυμα πωλεί σε αντισυμβαλλόμενο πιστωτική προστασία, η οποία υπόκειται σε ρήτρα εκκαθάρισης.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Ως ρήτρα εκκαθάρισης ορίζεται η ρήτρα που παρέχει στον αντισυμβαλλόμενο που δεν αθέτησε τις υποχρεώσεις του το δικαίωμα να τερματίσει και να εκκαθαρίσει εγκαίρως όλες τις συναλλαγές που υπάγονται στη σύμβαση, σε περίπτωση αθέτησης υποχρέωσης, συμπεριλαμβανομένων των περιπτώσεων αφερεγγυότητας ή πτώχευσης του αντισυμβαλλομένου.</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Τα ιδρύματα λαμβάνουν υπόψη όλα τα πιστωτικά παράγωγα, και όχι μόνον αυτά που εντάσσονται στο χαρτοφυλάκιο συναλλαγών.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Πιστωτικά παράγωγα (πωληθείσα προστασία) που δεν υπόκεινται σε ρήτρα εκκαθάρισης – Προσαύξηση σύμφωνα με τη μέθοδο βάσει τρεχουσών τιμών αγοράς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299 παράγραφος 2 του ΚΚΑ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Στο κελί αυτό παρέχεται το δυνητικό μελλοντικό άνοιγμα των πιστωτικών παραγώγων, όταν το ίδρυμα πωλεί πιστωτική προστασία σε έναν αντισυμβαλλόμενο, η οποία </w:t>
            </w:r>
            <w:r>
              <w:rPr>
                <w:rFonts w:ascii="Times New Roman" w:hAnsi="Times New Roman"/>
                <w:b/>
                <w:u w:val="single"/>
              </w:rPr>
              <w:t>δεν</w:t>
            </w:r>
            <w:r>
              <w:rPr>
                <w:rFonts w:ascii="Times New Roman" w:hAnsi="Times New Roman"/>
              </w:rPr>
              <w:t xml:space="preserve"> υπόκειται σε «ρήτρα εκκαθάρισης»,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Ως ρήτρα εκκαθάρισης ορίζεται η ρήτρα που παρέχει στον αντισυμβαλλόμενο που δεν αθέτησε τις υποχρεώσεις του το δικαίωμα να τερματίσει και να εκκαθαρίσει εγκαίρως όλες τις συναλλαγές που υπάγονται στη σύμβαση, σε περίπτωση αθέτησης υποχρέωσης, συμπεριλαμβανομένων των περιπτώσεων αφερεγγυότητας ή πτώχευσης του αντισυμβαλλομένου.</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Τα ιδρύματα λαμβάνουν υπόψη όλα τα πιστωτικά παράγωγα, και όχι μόνον αυτά που εντάσσονται στο χαρτοφυλάκιο συναλλαγών.</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Πιστωτικά παράγωγα (πωληθείσα προστασία) που δεν υπόκεινται σε ρήτρα εκκαθάρισης – Ονομαστικό ποσό</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Στο κελί αυτό παρέχεται το ονομαστικό ποσό στο οποίο αναφέρονται τα πιστωτικά παράγωγα, όταν το ίδρυμα πωλεί πιστωτική προστασία σε έναν αντισυμβαλλόμενο, η οποία </w:t>
            </w:r>
            <w:r>
              <w:rPr>
                <w:rFonts w:ascii="Times New Roman" w:hAnsi="Times New Roman"/>
                <w:b/>
                <w:u w:val="single"/>
              </w:rPr>
              <w:t>δεν</w:t>
            </w:r>
            <w:r>
              <w:rPr>
                <w:rFonts w:ascii="Times New Roman" w:hAnsi="Times New Roman"/>
              </w:rPr>
              <w:t xml:space="preserve"> υπόκειται σε «ρήτρα εκκαθάρισης».</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Ως ρήτρα εκκαθάρισης ορίζεται η ρήτρα που παρέχει στον αντισυμβαλλόμενο που δεν αθέτησε τις υποχρεώσεις του το δικαίωμα να τερματίσει και να εκκαθαρίσει εγκαίρως όλες τις συναλλαγές που υπάγονται στη σύμβαση, σε περίπτωση αθέτησης υποχρέωσης, συμπεριλαμβανομένων των περιπτώσεων αφερεγγυότητας ή πτώχευσης του αντισυμβαλλομένου.</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Τα ιδρύματα λαμβάνουν υπόψη όλα τα πιστωτικά παράγωγα, και όχι μόνον αυτά που εντάσσονται στο χαρτοφυλάκιο συναλλαγών.</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Πιστωτικά παράγωγα (αγορασθείσα προστασία) – Λογιστική αξία ισολογισμού</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4 παράγραφος 1 σημείο 77) του ΚΚΑ</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Η λογιστική αξία ισολογισμού, σύμφωνα με το εφαρμοστέο λογιστικό πλαίσιο, των πιστωτικών παραγώγων, όταν το ίδρυμα αγοράζει πιστωτική προστασία από έναν αντισυμβαλλόμενο και η σύμβαση αναγνωρίζεται ως στοιχείο ενεργητικού στον ισολογισμό.</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Τα ιδρύματα λαμβάνουν υπόψη όλα τα πιστωτικά παράγωγα, και όχι μόνον αυτά που εντάσσονται στο χαρτοφυλάκιο συναλλαγών.</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Πιστωτικά παράγωγα (αγορασθείσα προστασία) – Λογιστική αξία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4 παράγραφος 1 σημείο 77)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Η λογιστική αξία ισολογισμού, σύμφωνα με το εφαρμοστέο λογιστικό πλαίσιο, των πιστωτικών παραγώγων, όταν το ίδρυμα αγοράζει πιστωτική προστασία από αντισυμβαλλόμενο και η σύμβαση αναγνωρίζεται ως στοιχείο ενεργητικού στον ισολογισμό, χωρίς να λαμβάνονται υπόψη τα αποτελέσματα του προληπτικού ή λογιστικού συμψηφισμού ή αποτελέσματα CRM (δηλαδή αντιστρέφονται τα όποια αποτελέσματα του λογιστικού συμψηφισμού ή του CRM που έχουν επηρεάσει τη λογιστική αξία).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Τα ιδρύματα λαμβάνουν υπόψη όλα τα πιστωτικά παράγωγα, και όχι μόνον αυτά που εντάσσονται στο χαρτοφυλάκιο συναλλαγών.</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Πιστωτικά παράγωγα (αγορασθείσα προστασία) – Προσαύξηση σύμφωνα με τη μέθοδο βάσει τρεχουσών τιμών αγοράς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299 παράγραφος 2 του ΚΚΑ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Στο κελί αυτό παρέχεται το δυνητικό μελλοντικό άνοιγμα των πιστωτικών παραγώγων, όταν το ίδρυμα αγοράζει πιστωτική προστασία από αντισυμβαλλόμενο,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Τα ιδρύματα λαμβάνουν υπόψη όλα τα πιστωτικά παράγωγα, και όχι μόνον αυτά που εντάσσονται στο χαρτοφυλάκιο συναλλαγών.</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Πιστωτικά παράγωγα (αγορασθείσα προστασία) – Ονομαστικό ποσό</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Στο κελί αυτό παρέχεται το ονομαστικό ποσό στο οποίο αναφέρονται τα πιστωτικά παράγωγα, όταν το ίδρυμα αγοράζει πιστωτική προστασία από αντισυμβαλλόμενο.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Τα ιδρύματα λαμβάνουν υπόψη όλα τα πιστωτικά παράγωγα, και όχι μόνον αυτά που εντάσσονται στο χαρτοφυλάκιο συναλλαγών.</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{050,075}</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Πιστωτικά παράγωγα (αγορασθείσα προστασία) – Ανώτατο ονομαστικό ποσό</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Στο κελί αυτό παρέχεται το ονομαστικό ποσό στο οποίο αναφέρονται τα πιστωτικά παράγωγα (αγορασθείσα προστασία) όπως στο {050,050}, μετά την αφαίρεση οποιωνδήποτε αλλαγών θετικής εύλογης αξίας που έχουν ενσωματωθεί στο κεφάλαιο της κατηγορίας 1 όσον αφορά το αγορασθέν πιστωτικό παράγωγο.</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Πιστωτικά παράγωγα (αγορασθείσα προστασία) – Ανώτατο ονομαστικό ποσό (ίδιο όνομα αναφοράς)</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Το ονομαστικό ποσό στο οποίο αναφέρονται τα πιστωτικά παράγωγα, όταν το ίδρυμα αγοράζει πιστωτική προστασία επί του ιδίου υποκείμενου ονόματος αναφοράς με εκείνο των πιστωτικών παραγώγων τα οποία πωλεί το ίδρυμα που υποβάλλει αναφορά.</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 xml:space="preserve">Για τους σκοπούς αναφοράς της εν λόγω τιμής κελιού, τα υποκείμενα ονόματα αναφοράς θεωρούνται τα ίδια, εάν αναφέρονται στην ίδια νομική οντότητα και στην ίδια σειρά εξοφλητικής προτεραιότητας.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Η πιστωτική προστασία που αγοράζεται επί ομάδας οντοτήτων αναφοράς θεωρείται η ίδια, εάν η προστασία αυτή είναι οικονομικά ισοδύναμη με την αγορά προστασίας χωριστά σε καθένα από τα επιμέρους ονόματα της ομάδας.</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Εάν ένα ίδρυμα αγοράζει πιστωτική προστασία επί ομάδας ονομάτων αναφοράς, τότε αυτή η πιστωτική προστασία θεωρείται η ίδια μόνον εάν η αγορασθείσα πιστωτική προστασία καλύπτει το σύνολο των υποσυνόλων της ομάδας επί της οποίας έχει πωληθεί πιστωτική προστασία. Με άλλα λόγια, συμψηφισμός μπορεί να αναγνωριστεί μόνον όταν η ομάδα οντοτήτων αναφοράς και το επίπεδο εξοφλητικής προτεραιότητας και στις δύο συναλλαγές είναι ταυτόσημα.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Για κάθε όνομα αναφοράς, τα ονομαστικά ποσά της αγορασθείσας πιστωτικής προστασίας τα οποία λαμβάνονται υπόψη στο κελί αυτό δεν υπερβαίνουν τα ποσά που αναφέρονται στα {020,075} και {050,075}.</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Χρηματοοικονομικά παράγωγα – Λογιστική αξία ισολογισμού</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4 παράγραφος 1 σημείο 77)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Η λογιστική αξία ισολογισμού, σύμφωνα με το εφαρμοστέο λογιστικό πλαίσιο, των συμβάσεων που απαριθμούνται στο παράρτημα II του ΚΚΑ, όπου οι συμβάσεις αναγνωρίζονται ως στοιχεία ενεργητικού στον ισολογισμό.</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Χρηματοοικονομικά παράγωγα – Λογιστική αξία με την παραδοχή μη συμψηφισμού ή άλλης τεχνικής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4 παράγραφος 1 σημείο 77)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Η λογιστική αξία ισολογισμού, σύμφωνα με το εφαρμοστέο λογιστικό πλαίσιο, των συμβάσεων που απαριθμούνται στο παράρτημα II του ΚΚΑ, όπου οι συμβάσεις αναγνωρίζονται ως στοιχεία ενεργητικού στον ισολογισμό, χωρίς να λαμβάνονται υπόψη τα αποτελέσματα του προληπτικού ή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Χρηματοοικονομικά παράγωγα – Προσαύξηση σύμφωνα με τη μέθοδο βάσει τρεχουσών τιμών αγοράς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274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Στο κελί αυτό παρέχεται το κανονιστικό δυνητικό μελλοντικό άνοιγμα των συμβάσεων που απαριθμούνται στο παράρτημα II του ΚΚΑ,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Χρηματοοικονομικά παράγωγα – Ονομαστικό ποσό</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Στο κελί αυτό παρέχεται το ονομαστικό ποσό στο οποίο αναφέρονται συμβάσεις που απαριθμούνται στο παράρτημα II του ΚΚΑ.</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ΣΧΤ που καλύπτονται από σύμβαση-πλαίσιο συμψηφισμού – Λογιστική αξία ισολογισμού</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4 παράγραφος 1 σημείο 77) και άρθρο 206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Η λογιστική αξία ισολογισμού των ΣΧΤ, σύμφωνα με το εφαρμοστέο λογιστικό πλαίσιο, οι </w:t>
            </w:r>
            <w:r>
              <w:rPr>
                <w:rFonts w:ascii="Times New Roman" w:hAnsi="Times New Roman"/>
              </w:rPr>
              <w:lastRenderedPageBreak/>
              <w:t>οποίες καλύπτονται από σύμβαση-πλαίσιο συμψηφισμού επιλέξιμη βάσει του άρθρου 206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ΣΧΤ που καλύπτονται από σύμβαση-πλαίσιο συμψηφισμού – Λογιστική αξία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4 παράγραφος 1 σημείο 77) και άρθρο 206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Η λογιστική αξία ισολογισμού, σύμφωνα με το εφαρμοστέο λογιστικό πλαίσιο, των ΣΧΤ, που καλύπτονται από σύμβαση-πλαίσιο συμψηφισμού επιλέξιμη βάσει του άρθρου 206 του ΚΚΑ, όπου οι συμβάσεις αναγνωρίζονται ως στοιχείο ενεργητικού στον ισολογισμό, χωρίς να λαμβάνονται υπόψη τα αποτελέσματα του προληπτικού ή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 Επιπλέον, όταν επιτυγχάνεται λογιστική καταχώριση πώλησης για μια ΣΧΤ, σύμφωνα με το εφαρμοστέο λογιστικό πλαίσιο, τα ιδρύματα αντιστρέφουν όλες τις πωλήσεις που σχετίζονται με λογιστικές εγγραφές.</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Συναλλαγές χρηματοδότησης τίτλων που καλύπτονται από σύμβαση-πλαίσιο συμψηφισμού – Προσαύξηση για ΣΧΤ</w:t>
            </w: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206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Για τις ΣΧΤ, συμπεριλαμβανομένων των εκτός ισολογισμού, οι οποίες καλύπτονται από συμφωνία συμψηφισμού που πληροί τις απαιτήσεις του άρθρου 206 του ΚΚΑ, τα ιδρύματα διαμορφώνουν συμψηφιστικά σύνολα. Για κάθε συμψηφιστικό σύνολο, τα ιδρύματα υπολογίζουν την προσαύξηση για το τρέχον άνοιγμα αντισυμβαλλομένου (CCE), σύμφωνα με τον μαθηματικό τύπο</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Όπου</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κάθε συναλλαγή που περιλαμβάνεται στο συμψηφιστικό σύνολο.</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w:t>
            </w:r>
            <w:r>
              <w:rPr>
                <w:rFonts w:ascii="Times New Roman" w:hAnsi="Times New Roman"/>
                <w:vertAlign w:val="subscript"/>
              </w:rPr>
              <w:t>i</w:t>
            </w:r>
            <w:r>
              <w:rPr>
                <w:rFonts w:ascii="Times New Roman" w:hAnsi="Times New Roman"/>
              </w:rPr>
              <w:t xml:space="preserve"> = για τη συναλλαγή i, η αξία E</w:t>
            </w:r>
            <w:r>
              <w:rPr>
                <w:rFonts w:ascii="Times New Roman" w:hAnsi="Times New Roman"/>
                <w:vertAlign w:val="subscript"/>
              </w:rPr>
              <w:t>i</w:t>
            </w:r>
            <w:r>
              <w:rPr>
                <w:rFonts w:ascii="Times New Roman" w:hAnsi="Times New Roman"/>
              </w:rPr>
              <w:t>, όπως ορίζεται στο άρθρο 220 παράγραφος 3 του ΚΚΑ.</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xml:space="preserve"> = για τη συναλλαγή i, η αξία C</w:t>
            </w:r>
            <w:r>
              <w:rPr>
                <w:rFonts w:ascii="Times New Roman" w:hAnsi="Times New Roman"/>
                <w:vertAlign w:val="subscript"/>
              </w:rPr>
              <w:t>i</w:t>
            </w:r>
            <w:r>
              <w:rPr>
                <w:rFonts w:ascii="Times New Roman" w:hAnsi="Times New Roman"/>
              </w:rPr>
              <w:t>, όπως ορίζεται στο άρθρο 220 παράγραφος 3 του ΚΚΑ.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Τα ιδρύματα συγκεντρώνουν το αποτέλεσμα αυτού του μαθηματικού τύπου για το σύνολο των συμψηφιστικών συνόλων και αναφέρουν το αποτέλεσμα σε αυτό το κελί.</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ΣΧΤ που δεν καλύπτονται από σύμβαση-πλαίσιο συμψηφισμού – Λογιστική αξία ισολογισμού</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4 παράγραφος 1 σημείο 77)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Η λογιστική αξία ισολογισμού, σύμφωνα με το εφαρμοστέο λογιστικό πλαίσιο, των ΣΧΤ, που </w:t>
            </w:r>
            <w:r>
              <w:rPr>
                <w:rFonts w:ascii="Times New Roman" w:hAnsi="Times New Roman"/>
                <w:b/>
                <w:u w:val="single"/>
              </w:rPr>
              <w:t>δεν</w:t>
            </w:r>
            <w:r>
              <w:rPr>
                <w:rFonts w:ascii="Times New Roman" w:hAnsi="Times New Roman"/>
              </w:rPr>
              <w:t xml:space="preserve"> καλύπτονται από σύμβαση-πλαίσιο συμψηφισμού επιλέξιμη βάσει του άρθρου 206 του ΚΚΑ, όπου οι συμβάσεις αναγνωρίζονται ως στοιχεία ενεργητικού στον ισολογισμό.</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w:t>
            </w:r>
            <w:r>
              <w:rPr>
                <w:rFonts w:ascii="Times New Roman" w:hAnsi="Times New Roman"/>
              </w:rPr>
              <w:lastRenderedPageBreak/>
              <w:t>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ΣΧΤ που δεν καλύπτονται από σύμβαση-πλαίσιο συμψηφισμού – Λογιστική αξία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4 παράγραφος 1 σημείο 77)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Η λογιστική αξία ισολογισμού, σύμφωνα με το εφαρμοστέο λογιστικό πλαίσιο, των ΣΧΤ, που </w:t>
            </w:r>
            <w:r>
              <w:rPr>
                <w:rFonts w:ascii="Times New Roman" w:hAnsi="Times New Roman"/>
                <w:b/>
                <w:u w:val="single"/>
              </w:rPr>
              <w:t>δεν</w:t>
            </w:r>
            <w:r>
              <w:rPr>
                <w:rFonts w:ascii="Times New Roman" w:hAnsi="Times New Roman"/>
              </w:rPr>
              <w:t xml:space="preserve"> καλύπτονται από σύμβαση-πλαίσιο συμψηφισμού επιλέξιμη βάσει του άρθρου 206 του ΚΚΑ, όπου οι συμβάσεις αναγνωρίζονται ως στοιχεία ενεργητικού στον ισολογισμό,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 Επιπλέον, όταν επιτυγχάνεται λογιστική καταχώριση πώλησης για μια ΣΧΤ, σύμφωνα με το εφαρμοστέο λογιστικό πλαίσιο, τα ιδρύματα αντιστρέφουν όλες τις πωλήσεις που σχετίζονται με λογιστικές εγγραφές.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ΣΧΤ που δεν καλύπτονται από σύμβαση-πλαίσιο συμψηφισμού – Προσαύξηση για ΣΧΤ</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206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Για τις συναλλαγές ΣΧΤ, συμπεριλαμβανομένων εκείνων που είναι εκτός ισολογισμού, που </w:t>
            </w:r>
            <w:r>
              <w:rPr>
                <w:rFonts w:ascii="Times New Roman" w:hAnsi="Times New Roman"/>
                <w:b/>
                <w:u w:val="single"/>
              </w:rPr>
              <w:t>δεν</w:t>
            </w:r>
            <w:r>
              <w:rPr>
                <w:rFonts w:ascii="Times New Roman" w:hAnsi="Times New Roman"/>
              </w:rPr>
              <w:t xml:space="preserve"> καλύπτονται από σύμβαση-πλαίσιο συμψηφισμού επιλέξιμη βάσει του άρθρου 206 του ΚΚΑ, τα ιδρύματα διαμορφώνουν σύνολα που αποτελούνται από όλα τα στοιχεία ενεργητικού που περιλαμβάνονται σε μια συναλλαγή (δηλαδή κάθε ΣΧΤ αντιμετωπίζεται ως χωριστό σύνολο), και προσδιορίζουν για κάθε σύνολο την προσαύξηση για το τρέχον άνοιγμα του αντισυμβαλλομένου (CCE), σύμφωνα με τον μαθηματικό τύπο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Όπου</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 = , η αξία E</w:t>
            </w:r>
            <w:r>
              <w:rPr>
                <w:rFonts w:ascii="Times New Roman" w:hAnsi="Times New Roman"/>
                <w:vertAlign w:val="subscript"/>
              </w:rPr>
              <w:t>i</w:t>
            </w:r>
            <w:r>
              <w:rPr>
                <w:rFonts w:ascii="Times New Roman" w:hAnsi="Times New Roman"/>
              </w:rPr>
              <w:t>, όπως ορίζεται στο άρθρο 220 παράγραφος 3 του ΚΚΑ.</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 = , η αξία C</w:t>
            </w:r>
            <w:r>
              <w:rPr>
                <w:rFonts w:ascii="Times New Roman" w:hAnsi="Times New Roman"/>
                <w:vertAlign w:val="subscript"/>
              </w:rPr>
              <w:t>i</w:t>
            </w:r>
            <w:r>
              <w:rPr>
                <w:rFonts w:ascii="Times New Roman" w:hAnsi="Times New Roman"/>
              </w:rPr>
              <w:t>, όπως ορίζεται στο άρθρο 220 παράγραφος 3 του ΚΚΑ.</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Τα ιδρύματα συγκεντρώνουν το αποτέλεσμα αυτού του μαθηματικού τύπου για όλα τα ανωτέρω σύνολα και αναφέρουν το αποτέλεσμα σε αυτό το κελί.</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Άλλα στοιχεία ενεργητικού – Λογιστική αξία ισολογισμού</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4 παράγραφος 1 σημείο 77)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Η λογιστική αξία ισολογισμού, σύμφωνα με το εφαρμοστέο λογιστικό πλαίσιο, όλων των στοιχείων ενεργητικού, πλην των συμβάσεων που περιλαμβάνονται στο παράρτημα II του ΚΚΑ, πιστωτικών παραγώγων και ΣΧΤ.</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Άλλα στοιχεία ενεργητικού – Λογιστική αξία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4 παράγραφος 1 σημείο 77) του ΚΚΑ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Η λογιστική αξία ισολογισμού, σύμφωνα με το εφαρμοστέο λογιστικό πλαίσιο, όλων των στοιχείων ενεργητικού, πλην των συμβάσεων που περιλαμβάνονται στο παράρτημα II του </w:t>
            </w:r>
            <w:r>
              <w:rPr>
                <w:rFonts w:ascii="Times New Roman" w:hAnsi="Times New Roman"/>
              </w:rPr>
              <w:lastRenderedPageBreak/>
              <w:t>ΚΚΑ, πιστωτικών παραγώγων και ΣΧΤ,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{100,070}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Στοιχεία εκτός ισολογισμού χαμηλού κινδύνου στα στοιχεία ενεργητικού που είναι ευαίσθητα στις μεταβολές επιτοκίου (RSA)· εκ των οποίων – Ονομαστική αξία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111 του ΚΚΑ</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Στο κελί αυτό παρέχεται η ονομαστική αξία των στοιχείων εκτός ισολογισμού στα οποία θα εφαρμοζόταν συντελεστής μετατροπής πίστωσης 0 % βάσει της τυποποιημένης προσέγγισης του πιστωτικού κινδύνου.</w:t>
            </w:r>
            <w:r>
              <w:t xml:space="preserve"> </w:t>
            </w:r>
            <w:r>
              <w:rPr>
                <w:rFonts w:ascii="Times New Roman" w:hAnsi="Times New Roman"/>
              </w:rPr>
              <w:t>Η αξία αυτή δεν μειώνεται κατά τις ειδικές προσαρμογές πιστωτικού κινδύνου.</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{110,070}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Ανακυκλούμενα ανοίγματα λιανικής τραπεζικής· εκ των οποίων – Ονομαστική αξία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111 και άρθρο 154 παράγραφος 4 του ΚΚΑ</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Στο κελί αυτό παρέχεται η ονομαστική αξία των εκτός ισολογισμού αποδεκτών ανακυκλούμενων ανοιγμάτων λιανικής τραπεζικής που πληρούν τις προϋποθέσεις που καθορίζονται στο άρθρο 154 παράγραφος 4 στοιχεία α) έως γ) του ΚΚΑ. Η αξία αυτή δεν μειώνεται κατά τις ειδικές προσαρμογές πιστωτικού κινδύνου.</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Καλύπτει όλα τα ανοίγματα προς ιδιώτες, που είναι ανακυκλούμενα και άνευ όρων ακυρώσιμα, όπως περιγράφεται στο άρθρο 149 στοιχείο β) του ΚΚΑ, και περιορίζονται συνολικά στις 100 000 EUR ανά οφειλέτη.</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Άνευ όρων ακυρώσιμες δεσμεύσεις πιστωτικών καρτών – Ονομαστική αξία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111 και άρθρο 154 παράγραφος 4 του ΚΚΑ</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Στο κελί αυτό παρέχεται η ονομαστική αξία των δεσμεύσεων πιστωτικών καρτών που είναι άνευ όρων ακυρώσιμες ανά πάσα στιγμή από το ίδρυμα, χωρίς προειδοποίηση (UCC), με συντελεστή μετατροπής πίστωσης 0 % στο πλαίσιο της τυποποιημένης προσέγγισης του πιστωτικού κινδύνου.</w:t>
            </w:r>
            <w:r>
              <w:t xml:space="preserve"> </w:t>
            </w:r>
            <w:r>
              <w:rPr>
                <w:rFonts w:ascii="Times New Roman" w:hAnsi="Times New Roman"/>
              </w:rPr>
              <w:t>Η αξία αυτή δεν μειώνεται κατά τις ειδικές προσαρμογές πιστωτικού κινδύνου.</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Τα ιδρύματα δεν αναφέρουν στο κελί αυτό τις πιστωτικές δεσμεύσεις που προβλέπουν αυτόματη ακύρωση εξαιτίας της επιδείνωσης της φερεγγυότητας του δανειολήπτη, αλλά δεν είναι άνευ όρων ακυρώσιμες.</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Μη ανακυκλούμενες δεσμεύσεις ακυρώσιμες άνευ όρων – Ονομαστική αξία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111 και άρθρο 154 παράγραφος 4 του ΚΚΑ</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 xml:space="preserve">Παρέχεται η ονομαστική αξία λοιπών δεσμεύσεων που είναι άνευ όρων ακυρώσιμες ανά </w:t>
            </w:r>
            <w:r>
              <w:rPr>
                <w:rFonts w:ascii="Times New Roman" w:hAnsi="Times New Roman"/>
              </w:rPr>
              <w:lastRenderedPageBreak/>
              <w:t>πάσα στιγμή από το ίδρυμα, χωρίς προειδοποίηση (UCC), και με συντελεστή μετατροπής πίστωσης 0 % βάσει της τυποποιημένης προσέγγισης του πιστωτικού κινδύνου. Η αξία αυτή δεν μειώνεται κατά τις ειδικές προσαρμογές πιστωτικού κινδύνου.</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Τα ιδρύματα δεν αναφέρουν στο κελί αυτό τις πιστωτικές δεσμεύσεις που προβλέπουν αυτόματη ακύρωση εξαιτίας της επιδείνωσης της φερεγγυότητας του δανειολήπτη, αλλά δεν είναι άνευ όρων ακυρώσιμες.</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Στοιχεία εκτός ισολογισμού μέτριου/χαμηλού κινδύνου στα στοιχεία ενεργητικού που είναι ευαίσθητα στις RSA – Ονομαστική αξία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111 του ΚΚΑ</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Στο κελί αυτό παρέχεται η ονομαστική αξία των στοιχείων εκτός ισολογισμού στα οποία θα εφαρμοζόταν συντελεστής μετατροπής πίστωσης 20 % βάσει της τυποποιημένης προσέγγισης του πιστωτικού κινδύνου.</w:t>
            </w:r>
            <w:r>
              <w:t xml:space="preserve"> </w:t>
            </w:r>
            <w:r>
              <w:rPr>
                <w:rFonts w:ascii="Times New Roman" w:hAnsi="Times New Roman"/>
              </w:rPr>
              <w:t>Η αξία αυτή δεν μειώνεται κατά τις ειδικές προσαρμογές πιστωτικού κινδύνου.</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{150,070}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Στοιχεία εκτός ισολογισμού μέτριου κινδύνου στα στοιχεία ενεργητικού που είναι ευαίσθητα στις RSA – Ονομαστική αξία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111 του ΚΚΑ</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Στο κελί αυτό παρέχεται η ονομαστική αξία των στοιχείων εκτός ισολογισμού στα οποία θα εφαρμοζόταν συντελεστής μετατροπής πίστωσης 50 % βάσει της τυποποιημένης προσέγγισης του πιστωτικού κινδύνου.</w:t>
            </w:r>
            <w:r>
              <w:t xml:space="preserve"> </w:t>
            </w:r>
            <w:r>
              <w:rPr>
                <w:rFonts w:ascii="Times New Roman" w:hAnsi="Times New Roman"/>
              </w:rPr>
              <w:t>Η αξία αυτή δεν μειώνεται κατά τις ειδικές προσαρμογές πιστωτικού κινδύνου.</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Στοιχεία εκτός ισολογισμού πλήρους κινδύνου στα στοιχεία ενεργητικού που είναι ευαίσθητα στις RSA – Ονομαστική αξία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111 του ΚΚΑ</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Στο κελί αυτό παρέχεται η ονομαστική αξία των στοιχείων εκτός ισολογισμού στα οποία θα εφαρμοζόταν συντελεστής μετατροπής πίστωσης 100 % βάσει της τυποποιημένης προσέγγισης του πιστωτικού κινδύνου. Η αξία αυτή δεν μειώνεται κατά τις ειδικές προσαρμογές πιστωτικού κινδύνου.</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Τα ιδρύματα δεν λαμβάνουν υπόψη σε αυτό το κελί τις συμβάσεις που απαριθμούνται στο παράρτημα II του ΚΚΑ, πιστωτικά παράγωγα και ΣΧΤ, σύμφωνα με το άρθρο 429 παράγραφος 10 του ΚΚΑ.</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(υπομνηματικό στοιχείο) Αναληφθέντα ποσά από ανακυκλούμενα ανοίγματα λιανικής τραπεζικής – Ονομαστική αξία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154 παράγραφος 4 του ΚΚΑ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Στο κελί αυτό παρέχεται η ονομαστική αξία των αναληφθέντων ποσών από εκτός ισολογισμού ανακυκλούμενα ανοίγματα λιανικής τραπεζικής.</w:t>
            </w:r>
            <w:r>
              <w:t xml:space="preserve"> </w:t>
            </w:r>
            <w:r>
              <w:rPr>
                <w:rFonts w:ascii="Times New Roman" w:hAnsi="Times New Roman"/>
              </w:rPr>
              <w:t>Η αξία αυτή δεν μειώνεται κατά τις ειδικές προσαρμογές πιστωτικού κινδύνου.</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(υπομνηματικό στοιχείο) Αναληφθέντα ποσά από άνευ όρων ακυρώσιμες δεσμεύσεις πιστωτικών καρτών – Ονομαστική αξία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111 και άρθρο 154 παράγραφος 4 του ΚΚΑ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Στο κελί αυτό παρέχεται η ονομαστική αξία των αναληφθέντων ποσών από άνευ όρων ακυρώσιμες δεσμεύσεις πιστωτικών καρτών. Η αξία αυτή δεν μειώνεται κατά τις ειδικές προσαρμογές πιστωτικού κινδύνου.</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(υπομνηματικό στοιχείο) Αναληφθέντα ποσά από μη ανακυκλούμενες άνευ όρων ακυρώσιμες δεσμεύσεις – Ονομαστική αξία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Άρθρο 111 και άρθρο 154 παράγραφος 4 του ΚΚΑ</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Στο κελί αυτό παρέχεται η ονομαστική αξία των αναληφθέντων ποσών από μη ανακυκλούμενες άνευ όρων ακυρώσιμες δεσμεύσεις.</w:t>
            </w:r>
            <w:r>
              <w:t xml:space="preserve"> </w:t>
            </w:r>
            <w:r>
              <w:rPr>
                <w:rFonts w:ascii="Times New Roman" w:hAnsi="Times New Roman"/>
              </w:rPr>
              <w:t>Η αξία αυτή δεν μειώνεται κατά τις ειδικές προσαρμογές πιστωτικού κινδύνου.</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Εξασφαλίσεις με χρηματικά διαθέσιμα που λήφθηκαν σε συναλλαγές σε παράγωγα – Λογιστική αξία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Η λογιστική αξία ισολογισμού, σύμφωνα με το εφαρμοστέο λογιστικό πλαίσιο, των συμβάσεων των εξασφαλίσεων με χρηματικά διαθέσιμα που λήφθηκαν σε συναλλαγές σε παράγωγα,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Για τους σκοπούς αυτού του κελιού, τα χρηματικά διαθέσιμα ορίζονται ως το συνολικό ποσό των μετρητών, συμπεριλαμβανομένων των κερμάτων και των τραπεζογραμματίων/νομισμάτων. Το συνολικό ποσό καταθέσεων σε κεντρικές τράπεζες συμπεριλαμβάνεται στον βαθμό που οι εν λόγω καταθέσεις μπορούν να αναληφθούν σε περιόδους ακραίων συνθηκών. Τα ιδρύματα δεν αναφέρουν στο κελί αυτό τις καταθέσεις μετρητών σε άλλα ιδρύματα.</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Απαιτήσεις για εξασφαλίσεις με χρηματικά διαθέσιμα που παρέχονται στο πλαίσιο συναλλαγών σε παράγωγα – Λογιστική αξία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Η λογιστική αξία ισολογισμού, σύμφωνα με το εφαρμοστέο λογιστικό πλαίσιο, των απαιτήσεων για εξασφαλίσεις με χρηματικά διαθέσιμα που παρέχονται στο πλαίσιο συναλλαγών σε παράγωγα,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 Τα ιδρύματα στα οποία επιτρέπεται, σύμφωνα με το εφαρμοστέο λογιστικό πλαίσιο, να συμψηφίσουν τις απαιτήσεις για εξασφαλίσεις με χρηματικά διαθέσιμα, που παρέχονται έναντι της σχετικής υποχρέωσης από παράγωγα (αρνητική εύλογη αξία) και που επιλέγουν να το πράξουν, αντιστρέφουν τη συμφωνία συμψηφισμού και αναφέρουν την καθαρή απαίτηση μετρητών.</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Τίτλοι που λαμβάνονται σε ΣΧΤ που αναγνωρίζονται ως περιουσιακό στοιχείο – Λογιστική αξία με την παραδοχή μη συμψηφισμού ή άλλης τεχνικής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Η λογιστική αξία ισολογισμού, σύμφωνα με το εφαρμοστέο λογιστικό πλαίσιο, των τίτλων που λαμβάνονται σε μια ΣΧΤ, που αναγνωρίζονται ως στοιχεία ενεργητικού σύμφωνα με το εφαρμοστέο λογιστικό πλαίσιο, χωρίς να λαμβάνονται υπόψη τα αποτελέσματα του </w:t>
            </w:r>
            <w:r>
              <w:rPr>
                <w:rFonts w:ascii="Times New Roman" w:hAnsi="Times New Roman"/>
              </w:rPr>
              <w:lastRenderedPageBreak/>
              <w:t>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ΣΧΤ cash conduit lending (απαιτήσεις σε μετρητά) – Λογιστική αξία με την παραδοχή μη συμψηφισμού ή άλλης τεχνικής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Η λογιστική αξία ισολογισμού, σύμφωνα με το εφαρμοστέο λογιστικό πλαίσιο, των απαιτήσεων για χρηματικά διαθέσιμα για τον δανεισμό των χρηματικών διαθεσίμων στον ιδιοκτήτη των τίτλων σε μια αποδεκτή συναλλαγή δανεισμού χρηματικών διαθεσίμων μέσω εταιρικού μορφώματος (cash conduit lending transaction – CCLT),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Για τους σκοπούς αυτού του κελιού, τα χρηματικά διαθέσιμα ορίζονται ως το συνολικό ποσό των μετρητών, συμπεριλαμβανομένων των κερμάτων και των τραπεζογραμματίων/νομισμάτων. Το συνολικό ποσό καταθέσεων σε κεντρικές τράπεζες συμπεριλαμβάνεται στον βαθμό που οι εν λόγω καταθέσεις μπορούν να αναληφθούν σε περιόδους ακραίων συνθηκών. Τα ιδρύματα δεν αναφέρουν στο κελί αυτό τις καταθέσεις μετρητών σε άλλα ιδρύματα.</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Ως συναλλαγή δανεισμού χρηματικών διαθεσίμων μέσω εταιρικού μορφώματος (CCLT) ορίζεται ένας συνδυασμός δύο συναλλαγών, κατά τις οποίες το ίδρυμα δανείζεται τίτλους από τον ιδιοκτήτη τίτλων και δανείζει τίτλους προς τον δανειολήπτη τίτλων. Παράλληλα, το ίδρυμα λαμβάνει εξασφάλιση σε χρηματικά διαθέσιμα από τον δανειολήπτη τίτλων και δανείζει τα εισπραχθέντα μετρητά στον ιδιοκτήτη των τίτλων. Μια αποδεκτή CCLT πληροί όλες τις ακόλουθες προϋποθέσεις:</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α)</w:t>
            </w:r>
            <w:r>
              <w:tab/>
            </w:r>
            <w:r>
              <w:rPr>
                <w:rFonts w:ascii="Times New Roman" w:hAnsi="Times New Roman"/>
                <w:color w:val="000000"/>
              </w:rPr>
              <w:t>και οι δύο επιμέρους συναλλαγές που συγκροτούν την αποδεκτή συναλλαγή δανεισμού χρηματικών διαθεσίμων μέσω εταιρικού μορφώματος πραγματοποιούνται κατά την ίδια ημερομηνία συναλλαγής ή, για τις διεθνείς συναλλαγές, σε διαδοχικές εργάσιμες ημέρες·</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β)</w:t>
            </w:r>
            <w:r>
              <w:tab/>
            </w:r>
            <w:r>
              <w:rPr>
                <w:rFonts w:ascii="Times New Roman" w:hAnsi="Times New Roman"/>
                <w:color w:val="000000"/>
              </w:rPr>
              <w:t>όταν οι συναλλαγές δεν ορίζουν ληκτότητα, το ίδρυμα έχει το νομικό δικαίωμα να εκκαθαρίσει καθεμία από τις δύο πλευρές της CCLT, δηλαδή και τους δύο τύπους συναλλαγών, ανά πάσα στιγμή και χωρίς προειδοποίηση·</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γ)</w:t>
            </w:r>
            <w:r>
              <w:tab/>
            </w:r>
            <w:r>
              <w:rPr>
                <w:rFonts w:ascii="Times New Roman" w:hAnsi="Times New Roman"/>
                <w:color w:val="000000"/>
              </w:rPr>
              <w:t>όταν οι συναλλαγές ορίζουν ληκτότητα, η συναλλαγή δεν εγείρει αναντιστοιχίες ληκτότητας για το ίδρυμα· το ίδρυμα έχει το νομικό δικαίωμα να εκκαθαρίσει καθεμία από τις δύο πλευρές της CCLT, δηλαδή και τους δύο τύπους συναλλαγών, ανά πάσα στιγμή και χωρίς προειδοποίηση·</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δ)</w:t>
            </w:r>
            <w:r>
              <w:tab/>
            </w:r>
            <w:r>
              <w:rPr>
                <w:rFonts w:ascii="Times New Roman" w:hAnsi="Times New Roman"/>
                <w:color w:val="000000"/>
              </w:rPr>
              <w:t>δεν συνεπάγεται κανένα άλλο πρόσθετο άνοιγμα.</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51" w:name="_Toc322687882"/>
            <w:bookmarkEnd w:id="45"/>
            <w:r>
              <w:rPr>
                <w:rFonts w:ascii="Times New Roman" w:hAnsi="Times New Roman"/>
              </w:rPr>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Ανοίγματα που μπορούν να επωφεληθούν από την αντιμετώπιση σύμφωνα με το άρθρο 113 παράγραφος 6 του ΚΚΑ – Ποσό ανοίγματος του δείκτη μόχλευσης που εξαιρείται υποθετικά</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Το ποσό του συνολικού ανοίγματος του δείκτη μόχλευσης που θα εξαιρούνταν, εάν οι αρμόδιες αρχές παρείχαν άδεια στον μέγιστο βαθμό για την εξαίρεση ανοιγμάτων για τα οποία ισχύουν όλες οι προϋποθέσεις που καθορίζονται στο άρθρο 113 παράγραφος 6 στοιχεία α) έως ε) του ΚΚΑ και για τα οποία έχει παρασχεθεί η έγκριση που προβλέπεται στο άρθρο 113 παράγραφος 6 του ΚΚΑ. Εάν η αρμόδια αρχή έχει χορηγήσει ήδη άδεια στον μέγιστο βαθμό, τότε η τιμή σε αυτό το κελί ισοδυναμεί με αυτήν στο κελί {LRCalc,250,010}.</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Ανοίγματα που πληρούν τις προϋποθέσεις του άρθρου 429 παράγραφος 14 στοιχεία α) έως γ) του ΚΚΑ – Ποσό ανοίγματος του δείκτη μόχλευσης που εξαιρείται υποθετικά</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Το ποσό του συνολικού ανοίγματος του δείκτη μόχλευσης που θα εξαιρούνταν, εάν οι αρμόδιες αρχές παρείχαν άδεια στον μέγιστο βαθμό για την εξαίρεση ανοιγμάτων που πληρούν τις προϋποθέσεις του άρθρου 429 παράγραφος 14 στοιχεία α) έως γ) του ΚΚΑ. Εάν η αρμόδια αρχή έχει χορηγήσει ήδη άδεια στον μέγιστο βαθμό, τότε η τιμή σε αυτό το κελί ισοδυναμεί με αυτήν στο κελί {LRCalc,260,010}.</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52" w:name="_Toc338669914"/>
      <w:bookmarkStart w:id="53" w:name="_Toc338669915"/>
      <w:bookmarkStart w:id="54" w:name="_Toc338669918"/>
      <w:bookmarkStart w:id="55" w:name="_Toc351048508"/>
      <w:bookmarkStart w:id="56" w:name="_Toc359414287"/>
      <w:bookmarkStart w:id="57" w:name="_Toc523994944"/>
      <w:bookmarkEnd w:id="52"/>
      <w:bookmarkEnd w:id="53"/>
      <w:bookmarkEnd w:id="54"/>
      <w:r>
        <w:rPr>
          <w:rFonts w:ascii="Times New Roman" w:hAnsi="Times New Roman"/>
          <w:b/>
        </w:rPr>
        <w:t>6.</w:t>
      </w:r>
      <w:r>
        <w:tab/>
      </w:r>
      <w:r>
        <w:rPr>
          <w:rFonts w:ascii="Times New Roman" w:hAnsi="Times New Roman"/>
          <w:b/>
        </w:rPr>
        <w:t>C 41.00 – Στοιχεία εντός και εκτός ισολογισμού – πρόσθετη ανάλυση των ανοιγμάτων</w:t>
      </w:r>
      <w:bookmarkEnd w:id="55"/>
      <w:bookmarkEnd w:id="56"/>
      <w:r>
        <w:rPr>
          <w:rFonts w:ascii="Times New Roman" w:hAnsi="Times New Roman"/>
          <w:b/>
        </w:rPr>
        <w:t xml:space="preserve"> (LR2)</w:t>
      </w:r>
      <w:bookmarkEnd w:id="57"/>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Το υπόδειγμα LR2 παρέχει πληροφορίες σχετικά με πρόσθετα στοιχεία για το σύνολο των ανοιγμάτων εντός και εκτός ισολογισμού</w:t>
      </w:r>
      <w:r>
        <w:rPr>
          <w:rFonts w:ascii="Times New Roman" w:hAnsi="Times New Roman"/>
          <w:vertAlign w:val="superscript"/>
        </w:rPr>
        <w:footnoteReference w:id="2"/>
      </w:r>
      <w:r>
        <w:rPr>
          <w:rFonts w:ascii="Times New Roman" w:hAnsi="Times New Roman"/>
        </w:rPr>
        <w:t xml:space="preserve"> που δεν ανήκουν στο χαρτοφυλάκιο συναλλαγών και για το σύνολο των ανοιγμάτων του χαρτοφυλακίου συναλλαγών που υπόκεινται σε πιστωτικό κίνδυνο αντισυμβαλλομένου. Η ανάλυση γίνεται σύμφωνα με τις σταθμίσεις κινδύνου που εφαρμόζονται στο πλαίσιο του τμήματος του πιστωτικού κινδύνου του ΚΚΑ. Οι πληροφορίες προέρχονται από διαφορετικές πηγές για ανοίγματα στο πλαίσιο της τυποποιημένης προσέγγισης και της προσέγγισης των εσωτερικών διαβαθμίσεων (IRB), αντιστοίχως.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Για ανοίγματα που υποστηρίζονται από τεχνικές CRM που συνεπάγονται την υποκατάσταση του συντελεστή στάθμισης κινδύνου του αντισυμβαλλομένου, με τον συντελεστή στάθμισης κινδύνου του εγγυητή, τα ιδρύματα αναφέρονται στον συντελεστή στάθμισης μετά το αποτέλεσμα υποκατάστασης. Σύμφωνα με την προσέγγιση IRB, τα ιδρύματα προβαίνουν στον ακόλουθο υπολογισμό: για ανοίγματα (άλλα από εκείνα για τα οποία προβλέπονται ειδικοί κανονιστικοί συντελεστές στάθμισης), που ανήκουν σε κάθε βαθμίδα οφειλέτη, ο συντελεστής στάθμισης προκύπτει με τη διαίρεση του σταθμισμένου ως προς τον κίνδυνο ανοίγματος που προκύπτει από τον μαθηματικό τύπο στάθμισης ή τον εποπτικό τύπο (για πιστωτικό κίνδυνο και τιτλοποιήσεις ανοιγμάτων, αντιστοίχως) διά της αξίας ανοίγματος, αφού ληφθούν υπόψη οι εισροές και εκροές που οφείλονται σε CRM, με αποτέλεσμα υποκατάστασης επί του ανοίγματος. Σύμφωνα με την προσέγγιση IRB, τα χρηματοδοτικά ανοίγματα που χαρακτηρίζονται «σε αθέτηση» εξαιρούνται από τα κελιά {020,010} έως {090,010} και συμπεριλαμβάνονται στο κελί {100,010}. Στο πλαίσιο της τυποποιημένης προσέγγισης, τα ανοίγματα που εμπίπτουν στο άρθρο 112 στοιχείο ι) εξαιρούνται από τα κελιά {020,020} έως {090,020} και συμπεριλαμβάνονται στο κελί {100,020}.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Σύμφωνα και με τις δύο προσεγγίσεις, τα ιδρύματα θεωρούν ότι στα ανοίγματα που αφαιρούνται από το κανονιστικό κεφάλαιο εφαρμόζεται συντελεστής στάθμισης κινδύνου 1250 %.</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Γραμμή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Νομικά κείμενα αναφοράς και οδηγίες</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Σύνολο των ανοιγμάτων εντός και εκτός ισολογισμού που δεν ανήκουν στο χαρτοφυλάκιο συναλλαγών, καθώς και σύνολο των ανοιγμάτων του χαρτοφυλακίου συναλλαγών που υπόκεινται σε πιστωτικό κίνδυνο αντισυμβαλλομένου (ανάλυση σύμφωνα με τον συντελεστή στάθμισης κινδύνου):</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Είναι το άθροισμα των {020:*} έως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Ανοίγματα με συντελεστή στάθμισης κινδύνου 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0 % και ≤ 12 %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Ανοίγματα με συντελεστή στάθμισης κινδύνου που περιλαμβάνεται σε ένα εύρος συντελεστών στάθμισης κινδύνου αυστηρά μεγαλύτερο από 0 % και μικρότερο ή ίσο με 12 %.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lastRenderedPageBreak/>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12 % και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Ανοίγματα με συντελεστή στάθμισης κινδύνου που περιλαμβάνεται σε ένα εύρος συντελεστών στάθμισης κινδύνου αυστηρά μεγαλύτερο από 12 % και μικρότερο ή ίσο με 20 %.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20 % και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Ανοίγματα με συντελεστή στάθμισης κινδύνου που περιλαμβάνεται σε ένα εύρος συντελεστών στάθμισης κινδύνου αυστηρά μεγαλύτερο από 20 % και μικρότερο ή ίσο με 50 %.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50 % και ≤ 75 %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Ανοίγματα με συντελεστή στάθμισης κινδύνου που περιλαμβάνεται σε ένα εύρος συντελεστών στάθμισης κινδύνου αυστηρά μεγαλύτερο από 50 % και μικρότερο ή ίσο με 75 %.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75 % και ≤ 100 %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Ανοίγματα με συντελεστή στάθμισης κινδύνου που περιλαμβάνεται σε ένα εύρος συντελεστών στάθμισης κινδύνου αυστηρά μεγαλύτερο από 75 % και μικρότερο ή ίσο με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100 % και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Ανοίγματα με συντελεστή στάθμισης κινδύνου που περιλαμβάνεται σε ένα εύρος συντελεστών στάθμισης κινδύνου αυστηρά μεγαλύτερο από 100 % και μικρότερο ή ίσο με 425 %.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425 % και ≤ 1250 %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Ανοίγματα με συντελεστή στάθμισης κινδύνου που περιλαμβάνεται σε ένα εύρος συντελεστών στάθμισης κινδύνου αυστηρά μεγαλύτερο από 425 % και μικρότερο ή ίσο με 1250 %.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σε αθέτηση</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Στο πλαίσιο της τυποποιημένης προσέγγισης, τα ανοίγματα που εμπίπτουν στο άρθρο 112 στοιχείο ι) του ΚΚΑ.</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Σύμφωνα με την προσέγγιση IRB, όλα τα ανοίγματα με πιθανότητα αθέτησης 100 % είναι ανοίγματα σε αθέτηση.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(υπομνηματικό στοιχείο) Χαμηλού κινδύνου εκτός ισολογισμού στοιχεία ή εκτός ισολογισμού στοιχεία που προσελκύουν συντελεστή μετατροπής 0 % στο πλαίσιο του συντελεστή φερεγγυότητας</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Χαμηλού κινδύνου εκτός ισολογισμού στοιχεία, σύμφωνα με το άρθρο 111 του ΚΚΑ, και εκτός ισολογισμού στοιχεία που προσελκύουν συντελεστή μετατροπής 0 %, σύμφωνα με το άρθρο 166 του ΚΚΑ.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Στήλη</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Νομικά κείμενα αναφοράς και οδηγίες</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εντός και εκτός ισολογισμού (ανοίγματα SA)</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Αξίες ανοιγμάτων εντός και εκτός ισολογισμού, αφού ληφθούν υπόψη προσαρμογές της αξίας, όλοι οι παράγοντες CRM και οι συντελεστές μετατροπής πίστωσης, όπως </w:t>
            </w:r>
            <w:r>
              <w:rPr>
                <w:rFonts w:ascii="Times New Roman" w:hAnsi="Times New Roman"/>
              </w:rPr>
              <w:lastRenderedPageBreak/>
              <w:t xml:space="preserve">υπολογίζονται σύμφωνα με το τρίτο μέρος τίτλος II κεφάλαιο 2 του ΚΚΑ.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lastRenderedPageBreak/>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εντός και εκτός ισολογισμού (ανοίγματα IRB)</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Αξίες ανοιγμάτων εντός και εκτός ισολογισμού, σύμφωνα με το άρθρο 166 του ΚΚΑ και το άρθρο 230 παράγραφος 1 δεύτερο εδάφιο πρώτη περίοδος του ΚΚΑ, αφού ληφθούν υπόψη οι εκροές και εισροές που οφείλονται σε τεχνικές CRM, με αποτελέσματα υποκατάστασης επί του ανοίγματος.</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Για τα στοιχεία εκτός ισολογισμού, τα ιδρύματα εφαρμόζουν τους συντελεστές μετατροπής, όπως ορίζονται στο άρθρο 166 παράγραφοι 8 έως 10 του ΚΚΑ.</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Ονομαστική αξία</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Αξίες ανοίγματος στοιχείων εκτός ισολογισμού, όπως ορίζονται στα άρθρα 111 και 166 του ΚΚΑ, χωρίς την εφαρμογή συντελεστών μετατροπής.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Start w:id="65" w:name="_Toc351048509"/>
      <w:bookmarkStart w:id="66" w:name="_Toc359414288"/>
      <w:bookmarkStart w:id="67" w:name="_Toc322687894"/>
      <w:bookmarkStart w:id="68" w:name="_Toc523994945"/>
      <w:bookmarkEnd w:id="51"/>
      <w:bookmarkEnd w:id="58"/>
      <w:bookmarkEnd w:id="59"/>
      <w:bookmarkEnd w:id="60"/>
      <w:bookmarkEnd w:id="61"/>
      <w:bookmarkEnd w:id="62"/>
      <w:bookmarkEnd w:id="63"/>
      <w:bookmarkEnd w:id="64"/>
      <w:r>
        <w:rPr>
          <w:rFonts w:ascii="Times New Roman" w:hAnsi="Times New Roman"/>
          <w:b/>
        </w:rPr>
        <w:t>7.</w:t>
      </w:r>
      <w:r>
        <w:tab/>
      </w:r>
      <w:r>
        <w:rPr>
          <w:rFonts w:ascii="Times New Roman" w:hAnsi="Times New Roman"/>
          <w:b/>
        </w:rPr>
        <w:t>C 42.00 – Εναλλακτικός ορισμός του κεφαλαίου</w:t>
      </w:r>
      <w:bookmarkEnd w:id="65"/>
      <w:bookmarkEnd w:id="66"/>
      <w:r>
        <w:rPr>
          <w:rFonts w:ascii="Times New Roman" w:hAnsi="Times New Roman"/>
          <w:b/>
        </w:rPr>
        <w:t xml:space="preserve"> (LR3)</w:t>
      </w:r>
      <w:bookmarkEnd w:id="68"/>
      <w:r>
        <w:rPr>
          <w:rFonts w:ascii="Times New Roman" w:hAnsi="Times New Roman"/>
          <w:b/>
        </w:rPr>
        <w:t xml:space="preserve"> </w:t>
      </w:r>
      <w:bookmarkEnd w:id="67"/>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Το υπόδειγμα LR3 παρέχει πληροφορίες σχετικά με τα μέτρα του κεφαλαίου που απαιτούνται για την επανεξέταση του άρθρου 511 του ΚΚΑ.</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Γραμμή </w:t>
            </w:r>
          </w:p>
          <w:p w:rsidR="00F4754B" w:rsidRPr="00FE002E" w:rsidRDefault="00F4754B" w:rsidP="00F4754B">
            <w:pPr>
              <w:pStyle w:val="BodyText1"/>
              <w:rPr>
                <w:rFonts w:ascii="Times New Roman" w:hAnsi="Times New Roman"/>
                <w:b/>
                <w:bCs/>
                <w:u w:val="single"/>
              </w:rPr>
            </w:pPr>
            <w:r>
              <w:rPr>
                <w:rFonts w:ascii="Times New Roman" w:hAnsi="Times New Roman"/>
                <w:b/>
              </w:rPr>
              <w:t>και στήλη</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Νομικά κείμενα αναφοράς και οδηγίες</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Κεφάλαιο κοινών μετοχών της κατηγορίας 1 – ορισμός πλήρους εφαρμογής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Άρθρο 50 του ΚΚΑ</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Πρόκειται για το ποσό του κεφαλαίου CET1, όπως ορίζεται στο άρθρο 50 του ΚΚΑ, χωρίς να λαμβάνεται υπόψη η παρέκκλιση που προβλέπεται στο δέκατο μέρος κεφάλαια 1 και 2 του ΚΚΑ.</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Κεφάλαιο κοινών μετοχών της κατηγορίας 1 – μεταβατικός ορισμός</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Άρθρο 50 του ΚΚΑ</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Πρόκειται για το ποσό του κεφαλαίου CET1, όπως ορίζεται στο άρθρο 50 του ΚΚΑ, αφού ληφθεί υπόψη η παρέκκλιση που προβλέπεται στο δέκατο μέρος κεφάλαια 1 και 2 του ΚΚΑ.</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Σύνολο ιδίων κεφαλαίων – ορισμός πλήρους εφαρμογής</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Άρθρο 72 του ΚΚΑ</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Πρόκειται για το ποσό των ιδίων κεφαλαίων, όπως ορίζεται στο άρθρο 72 του ΚΚΑ, χωρίς να λαμβάνεται υπόψη η παρέκκλιση που προβλέπεται στο δέκατο μέρος κεφάλαια 1 και 2 του ΚΚΑ.</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Σύνολο ιδίων κεφαλαίων – μεταβατικός ορισμός</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Άρθρο 72 του ΚΚΑ</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Πρόκειται για το ποσό των ιδίων κεφαλαίων, όπως ορίζεται στο άρθρο 72 του ΚΚΑ, αφού ληφθεί υπόψη η παρέκκλιση που προβλέπεται στο δέκατο μέρος κεφάλαια 1 και 2 του ΚΚΑ.</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{055,010}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Ποσό στοιχείων ενεργητικού που αφαιρείται – από στοιχεία κεφαλαίου κοινών μετοχών της κατηγορίας 1 – ορισμός πλήρους εφαρμογής</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Περιλαμβάνει το ποσό των κανονιστικών προσαρμογών σε στοιχεία CET1, που προσαρμόζουν την αξία ενός στοιχείου ενεργητικού και οι οποίες απαιτούνται βάσει των:</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32 έως 35 του ΚΚΑ, ή</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36 έως 47 του ΚΚΑ,</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κατά περίπτωση.</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Τα ιδρύματα λαμβάνουν υπόψη τις εξαιρέσεις, εναλλακτικές δυνατότητες και απαλλαγές από τις εν λόγω αφαιρέσεις, που προβλέπονται στα άρθρα 48, 49 και 79 του ΚΚΑ, χωρίς να λαμβάνεται υπόψη η παρέκκλιση που προβλέπεται στο δέκατο μέρος κεφάλαια 1 και 2 του ΚΚΑ. Για να αποφευχθεί η διπλή καταμέτρηση, τα ιδρύματα δεν αναφέρουν προσαρμογές που έχουν ήδη εφαρμοστεί, σύμφωνα με το άρθρο 111 του ΚΚΑ, κατά τον υπολογισμό της αξίας ανοίγματος στα {LRCalc,10,10} έως {LRCalc,260,10}, ούτε αναφέρουν τυχόν προσαρμογές στις οποίες δεν αφαιρείται η αξία ενός συγκεκριμένου στοιχείου ενεργητικού.</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Καθώς αυτές οι προσαρμογές μειώνουν τα συνολικά ίδια κεφάλαια, αναφέρονται ως αρνητικό αποτέλεσμα.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{065,010}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Ποσό στοιχείων ενεργητικού που αφαιρείται – από στοιχεία κεφαλαίου κοινών μετοχών της κατηγορίας 1 – μεταβατικός ορισμός</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Περιλαμβάνει το ποσό των κανονιστικών προσαρμογών από CET1, που προσαρμόζουν την αξία ενός στοιχείου ενεργητικού και οι οποίες απαιτούνται βάσει των:</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32 έως 35 του ΚΚΑ, ή</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36 έως 47 του ΚΚΑ,</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κατά περίπτωση.</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Τα ιδρύματα λαμβάνουν υπόψη τις εξαιρέσεις, εναλλακτικές δυνατότητες και απαλλαγές από τις εν λόγω αφαιρέσεις, που προβλέπονται στα άρθρα 48, 49 και 79 του ΚΚΑ, λαμβάνοντας επίσης υπόψη την παρέκκλιση που προβλέπεται στο δέκατο μέρος κεφάλαια 1 και 2 του ΚΚΑ. Για να αποφευχθεί η διπλή καταμέτρηση, τα ιδρύματα δεν αναφέρουν προσαρμογές που έχουν ήδη εφαρμοστεί, σύμφωνα με το άρθρο 111 του ΚΚΑ, κατά τον υπολογισμό της αξίας ανοίγματος στα {LRCalc,10,10} έως {LRCalc,260,10}, ούτε αναφέρουν τυχόν προσαρμογές στις οποίες δεν αφαιρείται η αξία ενός συγκεκριμένου στοιχείου ενεργητικού.</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Καθώς αυτές οι προσαρμογές μειώνουν τα συνολικά ίδια κεφάλαια, αναφέρονται ως αρνητικό αποτέλεσμα.</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{075,010}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Ποσό στοιχείων ενεργητικού που αφαιρείται – από στοιχεία ιδίων κεφαλαίων – ορισμός πλήρους εφαρμογής</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Περιλαμβάνει το ποσό των κανονιστικών προσαρμογών από στοιχεία ιδίων κεφαλαίων, που προσαρμόζουν την αξία ενός στοιχείου ενεργητικού και οι οποίες απαιτούνται βάσει των:</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32 έως 35 του ΚΚΑ, ή</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36 έως 47 του ΚΚΑ, ή</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56 έως 60 του ΚΚΑ, ή</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66 έως 70 του ΚΚΑ,</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κατά περίπτωση.</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Τα ιδρύματα λαμβάνουν υπόψη τις εξαιρέσεις, εναλλακτικές δυνατότητες και απαλλαγές από τις εν λόγω αφαιρέσεις, που προβλέπονται στα άρθρα 48, 49 και 79 του ΚΚΑ, χωρίς να λαμβάνεται υπόψη η παρέκκλιση που προβλέπεται στο δέκατο μέρος κεφάλαια 1 και 2 του ΚΚΑ. Για να αποφευχθεί η διπλή καταμέτρηση, τα ιδρύματα δεν αναφέρουν προσαρμογές που έχουν ήδη εφαρμοστεί, σύμφωνα με το άρθρο 111 του ΚΚΑ, κατά τον υπολογισμό της αξίας ανοίγματος στις γραμμές {LRCalc,10,10} έως {LRCalc,260,10}, ούτε αναφέρουν τυχόν προσαρμογές στις οποίες δεν αφαιρείται η αξία ενός συγκεκριμένου στοιχείου ενεργητικού.</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Καθώς αυτές οι προσαρμογές μειώνουν τα συνολικά ίδια κεφάλαια, αναφέρονται ως </w:t>
            </w:r>
            <w:r>
              <w:rPr>
                <w:rFonts w:ascii="Times New Roman" w:hAnsi="Times New Roman"/>
              </w:rPr>
              <w:lastRenderedPageBreak/>
              <w:t xml:space="preserve">αρνητικό αποτέλεσμα.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{085,010}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Ποσό στοιχείων ενεργητικού που αφαιρείται – από στοιχεία ιδίων κεφαλαίων – μεταβατικός ορισμός</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Περιλαμβάνει το ποσό των κανονιστικών προσαρμογών από στοιχεία ιδίων κεφαλαίων, που προσαρμόζουν την αξία ενός στοιχείου ενεργητικού και οι οποίες απαιτούνται βάσει των:</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32 έως 35 του ΚΚΑ, ή</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36 έως 47 του ΚΚΑ, ή</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56 έως 60 του ΚΚΑ, ή</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άρθρων 66 έως 70 του ΚΚΑ,</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κατά περίπτωση.</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Τα ιδρύματα λαμβάνουν υπόψη τις εξαιρέσεις, εναλλακτικές δυνατότητες και απαλλαγές από τις εν λόγω αφαιρέσεις, που προβλέπονται στα άρθρα 48, 49 και 79 του ΚΚΑ, λαμβάνοντας επίσης υπόψη την παρέκκλιση που προβλέπεται στο δέκατο μέρος κεφάλαια 1 και 2 του ΚΚΑ. Για να αποφευχθεί η διπλή καταμέτρηση, τα ιδρύματα δεν αναφέρουν προσαρμογές που έχουν ήδη εφαρμοστεί, σύμφωνα με το άρθρο 111 του ΚΚΑ, κατά τον υπολογισμό της αξίας ανοίγματος στα {LRCalc,10,10} έως {LRCalc,260,10}, ούτε αναφέρουν τυχόν προσαρμογές στις οποίες δεν αφαιρείται η αξία ενός συγκεκριμένου στοιχείου ενεργητικού.</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Καθώς αυτές οι προσαρμογές μειώνουν τα συνολικά ίδια κεφάλαια, αναφέρονται ως αρνητικό αποτέλεσμα.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69" w:name="_Toc322687900"/>
      <w:bookmarkStart w:id="70" w:name="_Toc322533879"/>
    </w:p>
    <w:p w:rsidR="00217D1F" w:rsidRPr="00FE002E" w:rsidRDefault="00500508" w:rsidP="00500508">
      <w:pPr>
        <w:pStyle w:val="BodyText1"/>
        <w:ind w:left="357" w:hanging="357"/>
        <w:outlineLvl w:val="1"/>
        <w:rPr>
          <w:rFonts w:ascii="Times New Roman" w:hAnsi="Times New Roman"/>
          <w:b/>
        </w:rPr>
      </w:pPr>
      <w:bookmarkStart w:id="71" w:name="_Toc351048510"/>
      <w:bookmarkStart w:id="72" w:name="_Toc359414289"/>
      <w:bookmarkStart w:id="73" w:name="_Toc523994946"/>
      <w:r>
        <w:rPr>
          <w:rFonts w:ascii="Times New Roman" w:hAnsi="Times New Roman"/>
          <w:b/>
        </w:rPr>
        <w:t>8.</w:t>
      </w:r>
      <w:r>
        <w:tab/>
      </w:r>
      <w:r>
        <w:rPr>
          <w:rFonts w:ascii="Times New Roman" w:hAnsi="Times New Roman"/>
          <w:b/>
        </w:rPr>
        <w:t>C 43.00 – Εναλλακτική ανάλυση των συνιστωσών του μέτρου του ανοίγματος του δείκτη μόχλευσης</w:t>
      </w:r>
      <w:bookmarkEnd w:id="69"/>
      <w:bookmarkEnd w:id="71"/>
      <w:bookmarkEnd w:id="72"/>
      <w:r>
        <w:rPr>
          <w:rFonts w:ascii="Times New Roman" w:hAnsi="Times New Roman"/>
          <w:b/>
        </w:rPr>
        <w:t xml:space="preserve"> (LR4)</w:t>
      </w:r>
      <w:bookmarkEnd w:id="73"/>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tab/>
      </w:r>
      <w:r>
        <w:rPr>
          <w:rFonts w:ascii="Times New Roman" w:hAnsi="Times New Roman"/>
        </w:rPr>
        <w:t>Τα ιδρύματα αναφέρουν τις τιμές του ανοίγματος του δείκτη μόχλευσης στο LR4 μετά την εφαρμογή εξαιρέσεων, κατά περίπτωση, οι οποίες αναφέρονται στα ακόλουθα κελιά LRCalc: {050,010}, {080,010}, {100,010}, {120,010}, {220, 010}, {250,010} και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 xml:space="preserve">Προς αποφυγή διπλού υπολογισμού, τα ιδρύματα τηρούν την εξίσωση που αναφέρεται στην ακόλουθη παράγραφο: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Η εξίσωση την οποία τηρούν τα ιδρύματα σύμφωνα με την παράγραφο 29 είναι η εξής: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Γραμμή και στήλη</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Νομικά κείμενα αναφοράς και οδηγίες</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Στοιχεία εκτός ισολογισμού· εκ των οποίων – Τιμή του ανοίγματος του δείκτη μόχλευσης</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υπολογίζεται ως το άθροισμα των </w:t>
            </w:r>
            <w:r>
              <w:rPr>
                <w:rFonts w:ascii="Times New Roman" w:hAnsi="Times New Roman"/>
              </w:rPr>
              <w:lastRenderedPageBreak/>
              <w:t>{LRCalc,150,010}, {LRCalc,160,010}, {LRCalc,170,010} και {LRCalc,180,010}, εκτός των αντίστοιχων ενδοομιλικών ανοιγμάτων (σε ατομική βάση) που εξαιρούνται σύμφωνα με το άρθρο 429 παράγραφος 7 του ΚΚΑ.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Στοιχεία εκτός ισολογισμού· εκ των οποίων – RWA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Το σταθμισμένο ως προς τον κίνδυνο ποσό ανοίγματος των εκτός ισολογισμού στοιχείων —εκτός από ΣΧΤ και παράγωγα— όπως στην τυποποιημένη προσέγγιση και την προσέγγιση IRB. Για ανοίγματα στο πλαίσιο της τυποποιημένης προσέγγισης, τα ιδρύματα προσδιορίζουν το σταθμισμένο ως προς τον κίνδυνο ποσό ανοίγματος σύμφωνα με το τρίτο μέρος τίτλος II κεφάλαιο 2 του ΚΚΑ. Για ανοίγματα στο πλαίσιο της προσέγγισης IRB, τα ιδρύματα προσδιορίζουν το σταθμισμένο ως προς τον κίνδυνο ποσό ανοίγματος σύμφωνα με το τρίτο μέρος τίτλος II κεφάλαιο 3 του ΚΚΑ.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Χρηματοδότηση του εμπορίου· εκ των οποίων – Τιμή του ανοίγματος του δείκτη μόχλευσης</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Η τιμή του ανοίγματος του δείκτη μόχλευσης των στοιχείων εκτός ισολογισμού που σχετίζονται με τη χρηματοδότηση του εμπορίου. Για τους σκοπούς της υποβολής αναφορών βάσει του LR4, τα εκτός ισολογισμού στοιχεία που σχετίζονται με τη χρηματοδότηση του εμπορίου αφορούν ενέγγυες πιστώσεις εισαγωγών και εξαγωγών, οι οποίες έχουν εκδοθεί και βεβαιωθεί και οι οποίες είναι βραχυπρόθεσμες και αυτοεξοφλούμενες, καθώς και παρόμοιες πράξεις.</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Χρηματοδότηση του εμπορίου· εκ των οποίων – RWA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Η σταθμισμένη ως προς τον κίνδυνο αξία ανοίγματος των εκτός ισολογισμού στοιχείων —εκτός από ΣΧΤ και παράγωγα— που σχετίζονται με τη χρηματοδότηση του εμπορίου. Για τους σκοπούς της υποβολής αναφορών βάσει του LR4, τα εκτός ισολογισμού στοιχεία που σχετίζονται με τη χρηματοδότηση του εμπορίου αφορούν ενέγγυες πιστώσεις εισαγωγών και εξαγωγών, οι οποίες έχουν εκδοθεί και βεβαιωθεί και οι οποίες είναι βραχυπρόθεσμες και αυτοεξοφλούμενες, καθώς και παρόμοιες πράξεις.</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Σύμφωνα με το επίσημο καθεστώς ασφάλισης των εξαγωγικών πιστώσεων – Τιμή του ανοίγματος του δείκτη μόχλευσης</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Η τιμή του ανοίγματος του δείκτη μόχλευσης στοιχείων εκτός ισολογισμού που σχετίζονται με τη χρηματοδότηση του εμπορίου σύμφωνα με το επίσημο καθεστώς ασφάλισης των εξαγωγικών πιστώσεων.</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Σύμφωνα με το επίσημο καθεστώς ασφάλισης των εξαγωγικών πιστώσεων – RWA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Η σταθμισμένη ως προς τον κίνδυνο αξία ανοίγματος εκτός ισολογισμού στοιχείων —εκτός από ΣΧΤ και παράγωγα— που σχετίζονται με τη χρηματοδότηση του εμπορίου σύμφωνα με το επίσημο καθεστώς ασφάλισης των εξαγωγικών πιστώσεων.</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Παράγωγα και ΣΧΤ που υπόκεινται σε συμφωνία συμψηφισμού μεταξύ προϊόντων – Τιμή του ανοίγματος του δείκτη μόχλευσης</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Η τιμή του ανοίγματος του δείκτη μόχλευσης των παραγώγων και των ΣΧΤ, εφόσον υπόκεινται σε συμφωνίες συμψηφισμού μεταξύ προϊόντων, όπως ορίζεται στο άρθρο 272 σημείο 25) του ΚΚΑ.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Παράγωγα και ΣΧΤ που υπόκεινται σε συμφωνία συμψηφισμού μεταξύ προϊόντων – RWA</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Τα σταθμισμένα ως προς τον κίνδυνο ποσά ανοίγματος για πιστωτικό κίνδυνο και κίνδυνο αντισυμβαλλομένου, όπως υπολογίζονται βάσει του τρίτου μέρους τίτλος II του ΚΚΑ, των παραγώγων και των ΣΧΤ, συμπεριλαμβανομένων εκείνων που είναι εκτός ισολογισμού, εφόσον υπόκεινται σε συμφωνίες συμψηφισμού μεταξύ προϊόντων, όπως ορίζεται στο άρθρο 272 σημείο 25) του ΚΚΑ.</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Παράγωγα που δεν υπόκεινται σε συμφωνία συμψηφισμού μεταξύ προϊόντων – Τιμή του ανοίγματος του δείκτη μόχλευσης</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παραγώγων, εφόσον </w:t>
            </w:r>
            <w:r>
              <w:rPr>
                <w:rFonts w:ascii="Times New Roman" w:hAnsi="Times New Roman"/>
                <w:b/>
                <w:u w:val="single"/>
              </w:rPr>
              <w:t>δεν</w:t>
            </w:r>
            <w:r>
              <w:rPr>
                <w:rFonts w:ascii="Times New Roman" w:hAnsi="Times New Roman"/>
              </w:rPr>
              <w:t xml:space="preserve"> υπόκεινται σε συμφωνίες συμψηφισμού μεταξύ προϊόντων, όπως ορίζεται στο άρθρο 272 σημείο 25) του ΚΚΑ.</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Παράγωγα που δεν υπόκεινται σε συμφωνία συμψηφισμού μεταξύ προϊόντων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Τα σταθμισμένα ως προς τον κίνδυνο ποσά ανοίγματος για πιστωτικό κίνδυνο και κίνδυνο αντισυμβαλλομένου των παραγώγων, όπως υπολογίζονται βάσει του τρίτου μέρους τίτλος II του ΚΚΑ, συμπεριλαμβανομένων εκείνων που είναι εκτός ισολογισμού, εφόσον δεν υπόκεινται σε συμφωνίες συμψηφισμού μεταξύ προϊόντων, όπως ορίζεται στο άρθρο 272 σημείο 25) του ΚΚΑ.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ΣΧΤ που δεν υπόκεινται σε συμφωνία συμψηφισμού μεταξύ προϊόντων – Τιμή του ανοίγματος του δείκτη μόχλευσης</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ανοιγμάτων ΣΧΤ, εφόσον </w:t>
            </w:r>
            <w:r>
              <w:rPr>
                <w:rFonts w:ascii="Times New Roman" w:hAnsi="Times New Roman"/>
                <w:b/>
                <w:u w:val="single"/>
              </w:rPr>
              <w:t>δεν</w:t>
            </w:r>
            <w:r>
              <w:rPr>
                <w:rFonts w:ascii="Times New Roman" w:hAnsi="Times New Roman"/>
              </w:rPr>
              <w:t xml:space="preserve"> υπόκεινται σε συμφωνίες συμψηφισμού μεταξύ προϊόντων, όπως ορίζεται στο άρθρο 272 σημείο 25) του ΚΚΑ.</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ΣΧΤ που δεν υπόκεινται σε συμφωνία συμψηφισμού μεταξύ προϊόντων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Τα σταθμισμένα ως προς τον κίνδυνο ποσά ανοίγματος για πιστωτικό κίνδυνο και κίνδυνο αντισυμβαλλομένου των ΣΧΤ, όπως υπολογίζονται βάσει του τρίτου μέρους τίτλος II του ΚΚΑ, συμπεριλαμβανομένων εκείνων που είναι εκτός ισολογισμού, εφόσον </w:t>
            </w:r>
            <w:r>
              <w:rPr>
                <w:rFonts w:ascii="Times New Roman" w:hAnsi="Times New Roman"/>
                <w:b/>
                <w:u w:val="single"/>
              </w:rPr>
              <w:t>δεν</w:t>
            </w:r>
            <w:r>
              <w:rPr>
                <w:rFonts w:ascii="Times New Roman" w:hAnsi="Times New Roman"/>
              </w:rPr>
              <w:t xml:space="preserve"> υπόκεινται σε συμφωνίες συμψηφισμού μεταξύ προϊόντων, όπως ορίζεται στο άρθρο 272 σημείο 25) του ΚΚΑ.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Ποσά ανοίγματος που προκύπτουν από την επιπρόσθετη αντιμετώπιση για πιστωτικά παράγωγα – Τιμή του ανοίγματος του δείκτη μόχλευσης</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Το ποσό που αναγράφεται σε αυτό το κελί ισούται με τη διαφορά μεταξύ των {LRCalc,130,010} και {LRCalc,140,010}, εκτός των αντίστοιχων ενδοομιλικών ανοιγμάτων (σε ατομική βάση) που εξαιρούνται σύμφωνα με το άρθρο 429 παράγραφος 7 του ΚΚΑ.</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Λοιπά στοιχεία ενεργητικού που ανήκουν στο χαρτοφυλάκιο συναλλαγών – Τιμή του ανοίγματος του δείκτη μόχλευσης</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Η τιμή του ανοίγματος του δείκτη μόχλευσης στοιχείων που αναφέρονται στο {LRCalc,190,010}, εξαιρουμένων των στοιχείων εκτός χαρτοφυλακίου συναλλαγών.</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Λοιπά στοιχεία ενεργητικού που ανήκουν στο χαρτοφυλάκιο συναλλαγών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Απαιτήσεις ιδίων κεφαλαίων πολλαπλασιασμένες επί 12,5 των στοιχείων που υπόκεινται στο τρίτο μέρος τίτλος IV του ΚΚΑ.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lastRenderedPageBreak/>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Καλυμμένα ομόλογα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υπό τη μορφή καλυμμένων ομολόγων, όπως ορίζεται στο άρθρο 129 του ΚΚΑ.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Καλυμμένα ομόλογα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υπό τη μορφή καλυμμένων ομολόγων, όπως ορίζεται στο άρθρο 161 παράγραφος 1 στοιχείο δ) του ΚΚΑ.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Καλυμμένα ομόλογα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υπό τη μορφή καλυμμένων ομολόγων, σύμφωνα με το άρθρο 129 του ΚΚΑ.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Τα ιδρύματα τα αναφέρουν ως απαλλαγμένα από αθετημένα ανοίγματα.</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Καλυμμένα ομόλογα – RWA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υπό τη μορφή καλυμμένων ομολόγων, σύμφωνα με το άρθρο 161 παράγραφος 1 στοιχείο δ) του ΚΚΑ.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που αντιμετωπίζονται ως κρατικά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κελιών από {100,010} έως {130,010}.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που αντιμετωπίζονται ως κρατικά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κελιών από {100,020} έως {130,020}.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που αντιμετωπίζονται ως κρατικά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κελιών από {100,030} έως {130,030}.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που αντιμετωπίζονται ως κρατικά – RWA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κελιών από {100,040} έως {130,040}.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Κεντρικές κυβερνήσεις και κεντρικές τράπεζες</w:t>
            </w:r>
            <w:r>
              <w:rPr>
                <w:rFonts w:ascii="Times New Roman" w:hAnsi="Times New Roman"/>
              </w:rPr>
              <w:t xml:space="preserve"> </w:t>
            </w:r>
            <w:r>
              <w:rPr>
                <w:rFonts w:ascii="Times New Roman" w:hAnsi="Times New Roman"/>
                <w:b/>
              </w:rPr>
              <w:t>–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έναντι κεντρικών κυβερνήσεων ή κεντρικών τραπεζών, όπως ορίζεται στο άρθρο 114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Κεντρικές κυβερνήσεις και κεντρικές τράπεζες</w:t>
            </w:r>
            <w:r>
              <w:rPr>
                <w:rFonts w:ascii="Times New Roman" w:hAnsi="Times New Roman"/>
              </w:rPr>
              <w:t xml:space="preserve"> </w:t>
            </w:r>
            <w:r>
              <w:rPr>
                <w:rFonts w:ascii="Times New Roman" w:hAnsi="Times New Roman"/>
                <w:b/>
              </w:rPr>
              <w:t>–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έναντι κεντρικών κυβερνήσεων ή κεντρικών τραπεζών, όπως ορίζεται στο άρθρο 147 παράγραφος 2 στοιχείο α) του ΚΚΑ.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Κεντρικές κυβερνήσεις και κεντρικές τράπεζες</w:t>
            </w:r>
            <w:r>
              <w:rPr>
                <w:rFonts w:ascii="Times New Roman" w:hAnsi="Times New Roman"/>
              </w:rPr>
              <w:t xml:space="preserve"> </w:t>
            </w:r>
            <w:r>
              <w:rPr>
                <w:rFonts w:ascii="Times New Roman" w:hAnsi="Times New Roman"/>
                <w:b/>
              </w:rPr>
              <w:t>– RWA – Ανοίγματα SA</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κεντρικών κυβερνήσεων ή κεντρικών τραπεζών, όπως ορίζεται στο άρθρο 114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Κεντρικές κυβερνήσεις και κεντρικές τράπεζες</w:t>
            </w:r>
            <w:r>
              <w:rPr>
                <w:rFonts w:ascii="Times New Roman" w:hAnsi="Times New Roman"/>
              </w:rPr>
              <w:t xml:space="preserve"> </w:t>
            </w:r>
            <w:r>
              <w:rPr>
                <w:rFonts w:ascii="Times New Roman" w:hAnsi="Times New Roman"/>
                <w:b/>
              </w:rPr>
              <w:t>– RWA – Ανοίγματα</w:t>
            </w:r>
            <w:r>
              <w:rPr>
                <w:rFonts w:ascii="Times New Roman" w:hAnsi="Times New Roman"/>
              </w:rPr>
              <w:t xml:space="preserve"> </w:t>
            </w:r>
            <w:r>
              <w:rPr>
                <w:rFonts w:ascii="Times New Roman" w:hAnsi="Times New Roman"/>
                <w:b/>
              </w:rPr>
              <w:t>IRB</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κεντρικών κυβερνήσεων ή κεντρικών τραπεζών, όπως ορίζεται στο άρθρο 147 παράγραφος 2 στοιχείο α) του ΚΚΑ.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Περιφερειακές κυβερνήσεις και τοπικές αρχές που αντιμετωπίζονται ως κρατικές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περιφερειακών κυβερνήσεων και τοπικών αρχών που αντιμετωπίζονται ως κρατικές, τα οποία εμπίπτουν στο άρθρο 115 παράγραφοι 2 και 4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Περιφερειακές κυβερνήσεις και τοπικές αρχές που αντιμετωπίζονται ως κρατικές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περιφερειακών κυβερνήσεων και τοπικών αρχών, τα οποία εμπίπτουν στο άρθρο 147 παράγραφος 3 στοιχείο α) του ΚΚΑ.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Περιφερειακές κυβερνήσεις και τοπικές αρχές που αντιμετωπίζονται ως κρατικές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Το σταθμισμένο ως προς τον κίνδυνο ποσό ανοίγματος στοιχείων ενεργητικού που είναι ανοίγματα έναντι περιφερειακών κυβερνήσεων και τοπικών αρχών που αντιμετωπίζονται ως κρατικές, τα οποία εμπίπτουν στο άρθρο 115 παράγραφοι 2 και 4 του ΚΚΑ.</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Περιφερειακές κυβερνήσεις και τοπικές αρχές που αντιμετωπίζονται ως κρατικές – RWA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περιφερειακών κυβερνήσεων και τοπικών αρχών, τα οποία εμπίπτουν στο άρθρο 147 παράγραφος 3 στοιχείο α) του ΚΚΑ.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Πολυμερείς τράπεζες ανάπτυξης (ΠΤΑ) και διεθνείς οργανισμοί που αντιμετωπίζονται ως κράτη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πολυμερών τραπεζών ανάπτυξης και διεθνών οργανισμών, τα οποία εμπίπτουν στο άρθρο 117 παράγραφος 2 και στο άρθρο 118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ΠΤΑ και διεθνείς οργανισμοί που αντιμετωπίζονται ως κράτη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πολυμερών τραπεζών ανάπτυξης και διεθνών οργανισμών, τα οποία εμπίπτουν στο άρθρο 147 παράγραφος 3 στοιχεία β) και γ) του ΚΚΑ.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ΠΤΑ και διεθνείς οργανισμοί που αντιμετωπίζονται ως κράτη – RWA – Ανοίγματα SA</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πολυμερών τραπεζών ανάπτυξης και διεθνών οργανισμών, τα οποία εμπίπτουν στο άρθρο 117 παράγραφος 2 και 118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ΠΤΑ και διεθνείς οργανισμοί που αντιμετωπίζονται ως κράτη – RWA – Ανοίγματα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πολυμερών τραπεζών ανάπτυξης και διεθνών οργανισμών, τα οποία εμπίπτουν στο άρθρο 147 παράγραφος 3 στοιχεία β) και γ) του ΚΚΑ.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Οντότητες του δημοσίου τομέα (ΟΔΤ) που αντιμετωπίζονται ως κρατικές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οντοτήτων του δημοσίου τομέα, τα οποία εμπίπτουν στο πεδίο εφαρμογής του άρθρου 116 παράγραφος 4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ΟΔΤ που αντιμετωπίζονται ως κρατικές</w:t>
            </w:r>
            <w:r w:rsidR="007C0654">
              <w:rPr>
                <w:rFonts w:ascii="Times New Roman" w:hAnsi="Times New Roman"/>
                <w:b/>
              </w:rPr>
              <w:t xml:space="preserve"> </w:t>
            </w:r>
            <w:r>
              <w:rPr>
                <w:rFonts w:ascii="Times New Roman" w:hAnsi="Times New Roman"/>
                <w:b/>
              </w:rPr>
              <w:t>–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Το ποσό ανοίγματος του δείκτη μόχλευσης των στοιχείων ενεργητικού που είναι ανοίγματα έναντι οντοτήτων του δημοσίου τομέα, τα οποία εμπίπτουν στο άρθρο 147 παράγραφος 3 στοιχείο α) του ΚΚΑ.</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lastRenderedPageBreak/>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ΟΔΤ που αντιμετωπίζονται ως κρατικές – RWA – Ανοίγματα SA</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οντοτήτων του δημοσίου τομέα, τα οποία εμπίπτουν στο άρθρο 116 παράγραφος 4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ΟΔΤ που αντιμετωπίζονται ως κρατικές – RWA – Ανοίγματα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οντοτήτων του δημοσίου τομέα, τα οποία εμπίπτουν στο άρθρο 147 παράγραφος 3 στοιχείο α) του ΚΚΑ.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Ανοίγματα έναντι περιφερειακών κυβερνήσεων, ΠΤΑ, διεθνών οργανισμών και ΟΔΤ που </w:t>
            </w:r>
            <w:r>
              <w:rPr>
                <w:rFonts w:ascii="Times New Roman" w:hAnsi="Times New Roman"/>
                <w:b/>
                <w:u w:val="single"/>
              </w:rPr>
              <w:t>δεν</w:t>
            </w:r>
            <w:r>
              <w:rPr>
                <w:rFonts w:ascii="Times New Roman" w:hAnsi="Times New Roman"/>
                <w:b/>
              </w:rPr>
              <w:t xml:space="preserve"> αντιμετωπίζονται ως κρατικά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κελιών από {150,010} έως {170,010}.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Ανοίγματα έναντι περιφερειακών κυβερνήσεων, ΠΤΑ, διεθνών οργανισμών και ΟΔΤ που </w:t>
            </w:r>
            <w:r>
              <w:rPr>
                <w:rFonts w:ascii="Times New Roman" w:hAnsi="Times New Roman"/>
                <w:b/>
                <w:u w:val="single"/>
              </w:rPr>
              <w:t>δεν</w:t>
            </w:r>
            <w:r>
              <w:rPr>
                <w:rFonts w:ascii="Times New Roman" w:hAnsi="Times New Roman"/>
                <w:b/>
              </w:rPr>
              <w:t xml:space="preserve"> αντιμετωπίζονται ως κρατικά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κελιών από {150,020} έως {170,020}.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Ανοίγματα έναντι περιφερειακών κυβερνήσεων, ΠΤΑ, διεθνών οργανισμών και ΟΔΤ που </w:t>
            </w:r>
            <w:r>
              <w:rPr>
                <w:rFonts w:ascii="Times New Roman" w:hAnsi="Times New Roman"/>
                <w:b/>
                <w:u w:val="single"/>
              </w:rPr>
              <w:t>δεν</w:t>
            </w:r>
            <w:r>
              <w:rPr>
                <w:rFonts w:ascii="Times New Roman" w:hAnsi="Times New Roman"/>
                <w:b/>
              </w:rPr>
              <w:t xml:space="preserve"> αντιμετωπίζονται ως κρατικά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κελιών από {150,030} έως {170,030}.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Ανοίγματα έναντι περιφερειακών κυβερνήσεων, ΠΤΑ, διεθνών οργανισμών και ΟΔΤ που </w:t>
            </w:r>
            <w:r>
              <w:rPr>
                <w:rFonts w:ascii="Times New Roman" w:hAnsi="Times New Roman"/>
                <w:b/>
                <w:u w:val="single"/>
              </w:rPr>
              <w:t>δεν</w:t>
            </w:r>
            <w:r>
              <w:rPr>
                <w:rFonts w:ascii="Times New Roman" w:hAnsi="Times New Roman"/>
                <w:b/>
              </w:rPr>
              <w:t xml:space="preserve"> αντιμετωπίζονται ως κρατικά – RWA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κελιών από {150,040} έως {170,040}.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Περιφερειακές κυβερνήσεις και τοπικές αρχές που </w:t>
            </w:r>
            <w:r>
              <w:rPr>
                <w:rFonts w:ascii="Times New Roman" w:hAnsi="Times New Roman"/>
                <w:b/>
                <w:u w:val="single"/>
              </w:rPr>
              <w:t>δεν</w:t>
            </w:r>
            <w:r>
              <w:rPr>
                <w:rFonts w:ascii="Times New Roman" w:hAnsi="Times New Roman"/>
                <w:b/>
              </w:rPr>
              <w:t xml:space="preserve"> αντιμετωπίζονται ως κρατικές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περιφερειακών κυβερνήσεων και τοπικών αρχών που δεν αντιμετωπίζονται ως κρατικές, τα οποία εμπίπτουν στο άρθρο 115 παράγραφοι 1, 3 και 5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Περιφερειακές κυβερνήσεις και τοπικές αρχές που </w:t>
            </w:r>
            <w:r>
              <w:rPr>
                <w:rFonts w:ascii="Times New Roman" w:hAnsi="Times New Roman"/>
                <w:b/>
                <w:u w:val="single"/>
              </w:rPr>
              <w:t>δεν</w:t>
            </w:r>
            <w:r>
              <w:rPr>
                <w:rFonts w:ascii="Times New Roman" w:hAnsi="Times New Roman"/>
                <w:b/>
              </w:rPr>
              <w:t xml:space="preserve"> αντιμετωπίζονται ως κρατικές – Τιμή του ανοίγματος του δείκτη μόχλευσης – Ανοίγματα IRB</w:t>
            </w:r>
          </w:p>
          <w:p w:rsidR="00F4754B" w:rsidRPr="00FE002E" w:rsidRDefault="00F4754B" w:rsidP="007E2A41">
            <w:pPr>
              <w:pStyle w:val="BodyText1"/>
              <w:spacing w:line="240" w:lineRule="auto"/>
              <w:rPr>
                <w:rFonts w:ascii="Times New Roman" w:hAnsi="Times New Roman"/>
                <w:b/>
              </w:rPr>
            </w:pPr>
            <w:r>
              <w:rPr>
                <w:rFonts w:ascii="Times New Roman" w:hAnsi="Times New Roman"/>
                <w:b/>
              </w:rPr>
              <w:lastRenderedPageBreak/>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περιφερειακών κυβερνήσεων και τοπικών αρχών που δεν αντιμετωπίζονται ως κρατικές, τα οποία εμπίπτουν στο άρθρο 147 παράγραφος 4 στοιχείο α) του ΚΚΑ.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Περιφερειακές κυβερνήσεις και τοπικές αρχές που </w:t>
            </w:r>
            <w:r>
              <w:rPr>
                <w:rFonts w:ascii="Times New Roman" w:hAnsi="Times New Roman"/>
                <w:b/>
                <w:u w:val="single"/>
              </w:rPr>
              <w:t>δεν</w:t>
            </w:r>
            <w:r>
              <w:rPr>
                <w:rFonts w:ascii="Times New Roman" w:hAnsi="Times New Roman"/>
                <w:b/>
              </w:rPr>
              <w:t xml:space="preserve"> αντιμετωπίζονται ως κρατικές – RWA – Ανοίγματα SA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περιφερειακών κυβερνήσεων και τοπικών αρχών που δεν αντιμετωπίζονται ως κρατικές, τα οποία εμπίπτουν στο άρθρο 115 παράγραφοι 1, 3 και 5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Περιφερειακές κυβερνήσεις και τοπικές αρχές που </w:t>
            </w:r>
            <w:r>
              <w:rPr>
                <w:rFonts w:ascii="Times New Roman" w:hAnsi="Times New Roman"/>
                <w:b/>
                <w:u w:val="single"/>
              </w:rPr>
              <w:t>δεν</w:t>
            </w:r>
            <w:r>
              <w:rPr>
                <w:rFonts w:ascii="Times New Roman" w:hAnsi="Times New Roman"/>
                <w:b/>
              </w:rPr>
              <w:t xml:space="preserve"> αντιμετωπίζονται ως κρατικές – RWA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Το σταθμισμένο ως προς τον κίνδυνο ποσό ανοίγματος στοιχείων ενεργητικού που είναι ανοίγματα έναντι περιφερειακών κυβερνήσεων και τοπικών αρχών που δεν αντιμετωπίζονται ως κρατικές, τα οποία εμπίπτουν στο άρθρο 147 παράγραφος 4 στοιχείο α) του ΚΚΑ.</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ΠΤΑ που </w:t>
            </w:r>
            <w:r>
              <w:rPr>
                <w:rFonts w:ascii="Times New Roman" w:hAnsi="Times New Roman"/>
                <w:b/>
                <w:u w:val="single"/>
              </w:rPr>
              <w:t>δεν</w:t>
            </w:r>
            <w:r>
              <w:rPr>
                <w:rFonts w:ascii="Times New Roman" w:hAnsi="Times New Roman"/>
                <w:b/>
              </w:rPr>
              <w:t xml:space="preserve"> αντιμετωπίζονται ως κρατικές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πολυμερών τραπεζών ανάπτυξης, τα οποία εμπίπτουν στο άρθρο 117 παράγραφοι 1 και 3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ΠΤΑ που </w:t>
            </w:r>
            <w:r>
              <w:rPr>
                <w:rFonts w:ascii="Times New Roman" w:hAnsi="Times New Roman"/>
                <w:b/>
                <w:u w:val="single"/>
              </w:rPr>
              <w:t>δεν</w:t>
            </w:r>
            <w:r>
              <w:rPr>
                <w:rFonts w:ascii="Times New Roman" w:hAnsi="Times New Roman"/>
                <w:b/>
              </w:rPr>
              <w:t xml:space="preserve"> αντιμετωπίζονται ως κρατικές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πολυμερών τραπεζών ανάπτυξης που δεν αντιμετωπίζονται ως κρατικές, τα οποία εμπίπτουν στο άρθρο 147 παράγραφος 4 στοιχείο γ) του ΚΚΑ.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ΠΤΑ που </w:t>
            </w:r>
            <w:r>
              <w:rPr>
                <w:rFonts w:ascii="Times New Roman" w:hAnsi="Times New Roman"/>
                <w:b/>
                <w:u w:val="single"/>
              </w:rPr>
              <w:t>δεν</w:t>
            </w:r>
            <w:r>
              <w:rPr>
                <w:rFonts w:ascii="Times New Roman" w:hAnsi="Times New Roman"/>
                <w:b/>
              </w:rPr>
              <w:t xml:space="preserve"> αντιμετωπίζονται ως κρατικές – RWA – Ανοίγματα SA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Το σταθμισμένο ως προς τον κίνδυνο ποσό ανοίγματος στοιχείων ενεργητικού που είναι ανοίγματα έναντι πολυμερών τραπεζών ανάπτυξης, τα οποία εμπίπτουν στο άρθρο 117 παράγραφοι 1 και 3 του ΚΚΑ.</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ΠΤΑ που </w:t>
            </w:r>
            <w:r>
              <w:rPr>
                <w:rFonts w:ascii="Times New Roman" w:hAnsi="Times New Roman"/>
                <w:b/>
                <w:u w:val="single"/>
              </w:rPr>
              <w:t>δεν</w:t>
            </w:r>
            <w:r>
              <w:rPr>
                <w:rFonts w:ascii="Times New Roman" w:hAnsi="Times New Roman"/>
                <w:b/>
              </w:rPr>
              <w:t xml:space="preserve"> αντιμετωπίζονται ως κρατικές – RWA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πολυμερών τραπεζών ανάπτυξης που δεν αντιμετωπίζονται ως κρατικές, τα οποία εμπίπτουν στο άρθρο 147 παράγραφος 4 στοιχείο γ) του ΚΚΑ.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ΟΔΤ που </w:t>
            </w:r>
            <w:r>
              <w:rPr>
                <w:rFonts w:ascii="Times New Roman" w:hAnsi="Times New Roman"/>
                <w:b/>
                <w:u w:val="single"/>
              </w:rPr>
              <w:t>δεν</w:t>
            </w:r>
            <w:r>
              <w:rPr>
                <w:rFonts w:ascii="Times New Roman" w:hAnsi="Times New Roman"/>
                <w:b/>
              </w:rPr>
              <w:t xml:space="preserve"> αντιμετωπίζονται ως κρατικές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οντοτήτων του δημοσίου τομέα, τα οποία εμπίπτουν στο άρθρο 116 παράγραφοι 1, 2, 3 και 5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ΟΔΤ που </w:t>
            </w:r>
            <w:r>
              <w:rPr>
                <w:rFonts w:ascii="Times New Roman" w:hAnsi="Times New Roman"/>
                <w:b/>
                <w:u w:val="single"/>
              </w:rPr>
              <w:t>δεν</w:t>
            </w:r>
            <w:r>
              <w:rPr>
                <w:rFonts w:ascii="Times New Roman" w:hAnsi="Times New Roman"/>
                <w:b/>
              </w:rPr>
              <w:t xml:space="preserve"> αντιμετωπίζονται ως κρατικές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οντοτήτων του δημοσίου τομέα που δεν αντιμετωπίζονται ως κρατικές, τα οποία εμπίπτουν στο άρθρο 147 παράγραφος 4 στοιχείο β) του ΚΚΑ.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ΟΔΤ που </w:t>
            </w:r>
            <w:r>
              <w:rPr>
                <w:rFonts w:ascii="Times New Roman" w:hAnsi="Times New Roman"/>
                <w:b/>
                <w:u w:val="single"/>
              </w:rPr>
              <w:t>δεν</w:t>
            </w:r>
            <w:r>
              <w:rPr>
                <w:rFonts w:ascii="Times New Roman" w:hAnsi="Times New Roman"/>
                <w:b/>
              </w:rPr>
              <w:t xml:space="preserve"> αντιμετωπίζονται ως κρατικές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οντοτήτων του δημοσίου τομέα, τα οποία εμπίπτουν στο άρθρο 116 παράγραφοι 1, 2, 3 και 5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ΟΔΤ που </w:t>
            </w:r>
            <w:r>
              <w:rPr>
                <w:rFonts w:ascii="Times New Roman" w:hAnsi="Times New Roman"/>
                <w:b/>
                <w:u w:val="single"/>
              </w:rPr>
              <w:t>δεν</w:t>
            </w:r>
            <w:r>
              <w:rPr>
                <w:rFonts w:ascii="Times New Roman" w:hAnsi="Times New Roman"/>
                <w:b/>
              </w:rPr>
              <w:t xml:space="preserve"> αντιμετωπίζονται ως κρατικές – RWA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οντοτήτων του δημοσίου τομέα που δεν αντιμετωπίζονται ως κρατικές, τα οποία εμπίπτουν στο άρθρο 147 παράγραφος 4 στοιχείο β) του ΚΚΑ.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Ιδρύματα – Τιμή του ανοίγματος του δείκτη μόχλευσης – Ανοίγματα SA</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των στοιχείων ενεργητικού που είναι ανοίγματα έναντι ιδρυμάτων, τα οποία εμπίπτουν στο πεδίο εφαρμογής των άρθρων 119 έως 121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Ιδρύματα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έναντι ιδρυμάτων, τα οποία εμπίπτουν στο άρθρο 147 παράγραφος 2 στοιχείο β) του ΚΚΑ και </w:t>
            </w:r>
            <w:r>
              <w:rPr>
                <w:rFonts w:ascii="Times New Roman" w:hAnsi="Times New Roman"/>
                <w:b/>
                <w:u w:val="single"/>
              </w:rPr>
              <w:t>δεν</w:t>
            </w:r>
            <w:r>
              <w:rPr>
                <w:rFonts w:ascii="Times New Roman" w:hAnsi="Times New Roman"/>
              </w:rPr>
              <w:t xml:space="preserve"> είναι ανοίγματα υπό τη μορφή καλυμμένων ομολόγων, σύμφωνα με το άρθρο 161 παράγραφος 1 στοιχείο δ) του ΚΚΑ, και </w:t>
            </w:r>
            <w:r>
              <w:rPr>
                <w:rFonts w:ascii="Times New Roman" w:hAnsi="Times New Roman"/>
                <w:b/>
                <w:u w:val="single"/>
              </w:rPr>
              <w:t>δεν</w:t>
            </w:r>
            <w:r>
              <w:rPr>
                <w:rFonts w:ascii="Times New Roman" w:hAnsi="Times New Roman"/>
              </w:rPr>
              <w:t xml:space="preserve"> εμπίπτουν στο άρθρο 147 παράγραφος 4 στοιχεία α) έως γ) του ΚΚΑ.</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Ιδρύματα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ιδρυμάτων, τα οποία εμπίπτουν στα άρθρα 119 έως 121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Ιδρύματα – RWA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ιδρυμάτων, τα οποία εμπίπτουν στο άρθρο 147 παράγραφος 2 στοιχείο β) του ΚΚΑ και </w:t>
            </w:r>
            <w:r>
              <w:rPr>
                <w:rFonts w:ascii="Times New Roman" w:hAnsi="Times New Roman"/>
                <w:b/>
                <w:u w:val="single"/>
              </w:rPr>
              <w:t>δεν</w:t>
            </w:r>
            <w:r>
              <w:rPr>
                <w:rFonts w:ascii="Times New Roman" w:hAnsi="Times New Roman"/>
              </w:rPr>
              <w:t xml:space="preserve"> είναι ανοίγματα υπό τη μορφή καλυμμένων ομολόγων, σύμφωνα με το άρθρο 161 παράγραφος 1 στοιχείο δ) του ΚΚΑ, και </w:t>
            </w:r>
            <w:r>
              <w:rPr>
                <w:rFonts w:ascii="Times New Roman" w:hAnsi="Times New Roman"/>
                <w:b/>
                <w:u w:val="single"/>
              </w:rPr>
              <w:t>δεν</w:t>
            </w:r>
            <w:r>
              <w:rPr>
                <w:rFonts w:ascii="Times New Roman" w:hAnsi="Times New Roman"/>
              </w:rPr>
              <w:t xml:space="preserve"> εμπίπτουν στο άρθρο 147 παράγραφος 4 στοιχεία α) έως γ) του ΚΚΑ.</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Εξασφάλιση με υποθήκες επί ακινήτων· εκ των οποίων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Η τιμή του ανοίγματος του δείκτη μόχλευσης των στοιχείων ενεργητικού που είναι ανοίγματα εξασφαλισμένα με υποθήκες επί ακίνητης περιουσίας, τα οποία εμπίπτουν στο άρθρο 124 του ΚΚΑ.</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Εξασφάλιση με υποθήκες επί ακινήτων· εκ των οποίων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Η τιμή του ανοίγματος του δείκτη μόχλευσης των στοιχείων ενεργητικού που είναι ανοίγματα έναντι επιχειρήσεων, σύμφωνα με το άρθρο 147 παράγραφος 2 στοιχείο γ) του ΚΚΑ, ή ανοίγματα λιανικής τραπεζικής, σύμφωνα με το άρθρο 147 παράγραφος 2 στοιχείο δ), εφόσον τα ανοίγματα αυτά είναι εξασφαλισμένα με υποθήκες επί ακίνητης περιουσίας, σύμφωνα με το άρθρο 199 παράγραφος 1 στοιχείο α) του ΚΚΑ.</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Εξασφάλιση με υποθήκες επί ακινήτων· εκ των οποίων – RWA – Ανοίγματα SA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Το σταθμισμένο ως προς τον κίνδυνο ποσό ανοίγματος στοιχείων ενεργητικού που είναι ανοίγματα εξασφαλισμένα με υποθήκες επί ακίνητης περιουσίας, τα οποία εμπίπτουν στο άρθρο 124 του ΚΚΑ.</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Εξασφάλιση με υποθήκες επί ακινήτων· εκ των οποίων – RWA – Ανοίγματα IRB</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Το σταθμισμένο ως προς τον κίνδυνο ποσό ανοίγματος στοιχείων ενεργητικού που είναι ανοίγματα έναντι επιχειρήσεων, σύμφωνα με το άρθρο 147 παράγραφος 2 στοιχείο γ) του ΚΚΑ, ή ανοίγματα λιανικής τραπεζικής, σύμφωνα με το άρθρο 147 παράγραφος 2 στοιχείο δ), εφόσον τα ανοίγματα αυτά είναι εξασφαλισμένα με υποθήκες επί ακίνητης περιουσίας, σύμφωνα με το άρθρο 199 παράγραφος 1 στοιχείο α) του ΚΚΑ.</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Εξασφάλιση με υποθήκες επί ακινήτων κατοικίας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Η τιμή του ανοίγματος του δείκτη μόχλευσης των στοιχείων ενεργητικού που είναι ανοίγματα που εξασφαλίζονται πλήρως και καθ’ ολοκληρία με υποθήκες επί ακινήτων που προορίζονται για κατοικία, τα οποία εμπίπτουν στο άρθρο 125 του ΚΚΑ.</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Εξασφάλιση με υποθήκες επί ακινήτων κατοικίας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Η τιμή του ανοίγματος του δείκτη μόχλευσης των στοιχείων ενεργητικού που είναι ανοίγματα έναντι επιχειρήσεων, σύμφωνα με το άρθρο 147 παράγραφος 2 στοιχείο γ) του ΚΚΑ, ή ανοίγματα λιανικής τραπεζικής, σύμφωνα με το άρθρο 147 παράγραφος 2 στοιχείο δ), εφόσον τα ανοίγματα αυτά είναι εξασφαλισμένα με υποθήκες επί ακίνητης περιουσίας κατοικίας, σύμφωνα με το άρθρο 199 παράγραφος 1 στοιχείο α) του ΚΚΑ.</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Τα ιδρύματα τα αναφέρουν ως απαλλαγμένα από αθετημένα ανοίγματα.</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Εξασφάλιση με υποθήκες επί ακινήτων κατοικίας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Το σταθμισμένο ως προς τον κίνδυνο ποσό ανοίγματος στοιχείων ενεργητικού που είναι ανοίγματα που εξασφαλίζονται πλήρως και καθ’ ολοκληρία με υποθήκες επί ακινήτων που προορίζονται για κατοικία, τα οποία εμπίπτουν στο άρθρο 125 του ΚΚΑ.</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Εξασφάλιση με υποθήκες επί ακινήτων κατοικίας – RWA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επιχειρήσεων, σύμφωνα με το άρθρο 147 παράγραφος 2 στοιχείο γ) του ΚΚΑ, ή ανοίγματα λιανικής τραπεζικής, σύμφωνα με το άρθρο 147 παράγραφος 2 στοιχείο δ), εφόσον τα ανοίγματα αυτά είναι εξασφαλισμένα με υποθήκες επί ακίνητης περιουσίας κατοικίας, σύμφωνα με το άρθρο 199 παράγραφος 1 στοιχείο α) του ΚΚΑ.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Τα ιδρύματα τα αναφέρουν ως απαλλαγμένα από αθετημένα ανοίγματα.</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Ανοίγματα λιανικής τραπεζικής· εκ των οποίων – Τιμή του ανοίγματος του δείκτη μόχλευσης – Ανοίγματα SA</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λιανικής τραπεζικής, τα οποία εμπίπτουν στο άρθρο 123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λιανικής τραπεζικής· εκ των οποίων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λιανικής τραπεζικής, σύμφωνα με το άρθρο 147 παράγραφος 2 στοιχείο δ) του ΚΚΑ, εφόσον τα ανοίγματα αυτά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Ανοίγματα λιανικής τραπεζικής· εκ των οποίων – RWA – Ανοίγματα SA</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λιανικής τραπεζικής, τα οποία εμπίπτουν στο άρθρο 123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λιανικής τραπεζικής· εκ των οποίων – RWA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λιανικής τραπεζικής, σύμφωνα με το άρθρο 147 παράγραφος 2 στοιχείο δ) του ΚΚΑ, εφόσον τα ανοίγματα αυτά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Ανοίγματα λιανικής τραπεζικής σε ΜΜΕ – Τιμή του ανοίγματος του δείκτη μόχλευσης – Ανοίγματα SA</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λιανικής τραπεζικής έναντι μικρών και μεσαίων επιχειρήσεων, τα οποία εμπίπτουν στο άρθρο 123 του ΚΚΑ.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Για τους σκοπούς αυτού του κελιού, ο όρος «μικρή και μεσαία επιχείρηση» ορίζεται σύμφωνα με το άρθρο 501 παράγραφος 2 στοιχείο β).</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λιανικής τραπεζικής σε ΜΜΕ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λιανικής τραπεζικής, σύμφωνα με το άρθρο 147 παράγραφος 2 στοιχείο δ) του ΚΚΑ, εφόσον τα εν λόγω ανοίγματα είναι ανοίγματα έναντι μικρών και μεσαίων επιχειρήσεων και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Για τους σκοπούς αυτού του κελιού, ο όρος «μικρή και μεσαία επιχείρηση» ορίζεται σύμφωνα με το άρθρο 501 παράγραφος 2 στοιχείο β).</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Ανοίγματα λιανικής τραπεζικής σε ΜΜΕ – RWA – Ανοίγματα SA</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λιανικής τραπεζικής έναντι μικρών και μεσαίων επιχειρήσεων, τα οποία εμπίπτουν στο άρθρο 123 του ΚΚΑ.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Για τους σκοπούς αυτού του κελιού, ο όρος «μικρή και μεσαία επιχείρηση» ορίζεται σύμφωνα με το άρθρο 501 παράγραφος 2 στοιχείο β).</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λιανικής τραπεζικής σε ΜΜΕ – RWA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λιανικής τραπεζικής, σύμφωνα με το άρθρο 147 παράγραφος 2 στοιχείο δ) του ΚΚΑ, εφόσον τα εν λόγω ανοίγματα είναι ανοίγματα έναντι μικρών και μεσαίων επιχειρήσεων και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Για τους σκοπούς αυτού του κελιού, ο όρος «μικρή και μεσαία επιχείρηση» ορίζεται σύμφωνα με το άρθρο 501 παράγραφος 2 στοιχείο β).</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Επιχειρήσεις· εκ των οποίων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Είναι το άθροισμα των {240,010} και {250,010}.</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Επιχειρήσεις· εκ των οποίων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{240,020} και {250,020}.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Επιχειρήσεις· εκ των οποίων – RWA – Ανοίγματα SA</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{240,030} και {250,030}.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Επιχειρήσεις· εκ των οποίων – RWA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{240,040} και {250,040}.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Χρηματοδοτικές εταιρείες – Τιμή του ανοίγματος του δείκτη μόχλευσης – Ανοίγματα SA</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έναντι χρηματοδοτικών επιχειρήσεων, τα οποία εμπίπτουν στο άρθρο 122 του ΚΚΑ. Για τους σκοπούς της υποβολής αναφορών βάσει του LR4, ως χρηματοδοτικές εταιρείες νοούνται οι ρυθμιζόμενες και μη ρυθμιζόμενες επιχειρήσεις, πλην των ιδρυμάτων που αναφέρονται στο {180,10}, η κύρια δραστηριότητα των οποίων συνίσταται στην απόκτηση συμμετοχών ή στην άσκηση μιας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ΚΚΑ, πλην των ιδρυμάτων που αναφέρονται στο {180,10}.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Χρηματοδοτικές εταιρείες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σε χρηματοδοτικές επιχειρήσεις, σύμφωνα με το άρθρο 147 παράγραφος 2 στοιχείο γ) του ΚΚΑ, εφόσον τα ανοίγματα αυτά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 Για τους σκοπούς της υποβολής αναφορών βάσει του LR4, ως χρηματοδοτικές εταιρείες νοούνται οι ρυθμιζόμενες και μη ρυθμιζόμενες επιχειρήσεις, πλην των ιδρυμάτων που αναφέρονται στο {180,10}, η κύρια δραστηριότητα των οποίων συνίσταται στην απόκτηση συμμετοχών ή στην άσκηση μιας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ΚΚΑ, πλην των ιδρυμάτων που αναφέρονται στο {180,10}.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Χρηματοδοτικές εταιρείες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χρηματοδοτικών επιχειρήσεων, τα οποία εμπίπτουν στο άρθρο 122 του ΚΚΑ. Για τους σκοπούς της υποβολής αναφορών βάσει του LR4, ως χρηματοδοτικές εταιρείες νοούνται οι ρυθμιζόμενες και μη ρυθμιζόμενες επιχειρήσεις, πλην των ιδρυμάτων που αναφέρονται στο {180,10}, η κύρια δραστηριότητα των οποίων συνίσταται στην απόκτηση συμμετοχών ή στην άσκηση μιας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ΚΚΑ, πλην των ιδρυμάτων που αναφέρονται στο {180,10}.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Χρηματοδοτικές εταιρείες – RWA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w:t>
            </w:r>
            <w:r>
              <w:rPr>
                <w:rFonts w:ascii="Times New Roman" w:hAnsi="Times New Roman"/>
              </w:rPr>
              <w:lastRenderedPageBreak/>
              <w:t xml:space="preserve">ανοίγματα έναντι χρηματοδοτικών επιχειρήσεων, σύμφωνα με το άρθρο 147 παράγραφος 2 στοιχείο γ) του ΚΚΑ, εφόσον τα ανοίγματα αυτά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 Για τους σκοπούς της υποβολής αναφορών βάσει του LR4, ως χρηματοδοτικές εταιρείες νοούνται οι ρυθμιζόμενες και μη ρυθμιζόμενες επιχειρήσεις, πλην των ιδρυμάτων που αναφέρονται στο {180,10}, η κύρια δραστηριότητα των οποίων συνίσταται στην απόκτηση συμμετοχών ή στην άσκηση μιας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ΚΚΑ, πλην των ιδρυμάτων που αναφέρονται στο {180,10}.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Μη χρηματοδοτικές εταιρείες· εκ των οποίων – Τιμή του ανοίγματος του δείκτη μόχλευσης – Ανοίγματα SA</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έναντι </w:t>
            </w:r>
            <w:r>
              <w:rPr>
                <w:rFonts w:ascii="Times New Roman" w:hAnsi="Times New Roman"/>
                <w:b/>
              </w:rPr>
              <w:t>μη</w:t>
            </w:r>
            <w:r>
              <w:rPr>
                <w:rFonts w:ascii="Times New Roman" w:hAnsi="Times New Roman"/>
              </w:rPr>
              <w:t xml:space="preserve"> χρηματοδοτικών επιχειρήσεων, τα οποία εμπίπτουν στο άρθρο 122 του ΚΚΑ.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{260,010} και {270,010}.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Μη χρηματοδοτικές εταιρείες· εκ των οποίων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σε </w:t>
            </w:r>
            <w:r>
              <w:rPr>
                <w:rFonts w:ascii="Times New Roman" w:hAnsi="Times New Roman"/>
                <w:b/>
              </w:rPr>
              <w:t>μη</w:t>
            </w:r>
            <w:r>
              <w:rPr>
                <w:rFonts w:ascii="Times New Roman" w:hAnsi="Times New Roman"/>
              </w:rPr>
              <w:t xml:space="preserve"> χρηματοδοτικές επιχειρήσεις, σύμφωνα με το άρθρο 147 παράγραφος 2 στοιχείο γ) του ΚΚΑ, εφόσον τα ανοίγματα αυτά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Είναι το άθροισμα των {260,020} και {270,020}.</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Μη χρηματοδοτικές εταιρείες· εκ των οποίων – RWA – Ανοίγματα SA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w:t>
            </w:r>
            <w:r>
              <w:rPr>
                <w:rFonts w:ascii="Times New Roman" w:hAnsi="Times New Roman"/>
                <w:b/>
              </w:rPr>
              <w:t>μη</w:t>
            </w:r>
            <w:r>
              <w:rPr>
                <w:rFonts w:ascii="Times New Roman" w:hAnsi="Times New Roman"/>
              </w:rPr>
              <w:t xml:space="preserve"> χρηματοδοτικών επιχειρήσεων, τα οποία εμπίπτουν στο άρθρο 122 του ΚΚΑ.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{260,030} και {270,030}.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Μη χρηματοδοτικές εταιρείες· εκ των οποίων – RWA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w:t>
            </w:r>
            <w:r>
              <w:rPr>
                <w:rFonts w:ascii="Times New Roman" w:hAnsi="Times New Roman"/>
                <w:b/>
              </w:rPr>
              <w:t>μη</w:t>
            </w:r>
            <w:r>
              <w:rPr>
                <w:rFonts w:ascii="Times New Roman" w:hAnsi="Times New Roman"/>
              </w:rPr>
              <w:t xml:space="preserve"> χρηματοδοτικών επιχειρήσεων, σύμφωνα με το άρθρο 147 παράγραφος 2 στοιχείο γ) του ΚΚΑ, εφόσον τα ανοίγματα αυτά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Είναι το άθροισμα των {260,040} και {270,040}.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Ανοίγματα σε ΜΜΕ – Τιμή του ανοίγματος του δείκτη μόχλευσης – Ανοίγματα SA</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έναντι επιχειρήσεων, με τη μορφή των μικρών και μεσαίων επιχειρήσεων, τα οποία εμπίπτουν στο άρθρο </w:t>
            </w:r>
            <w:r>
              <w:rPr>
                <w:rFonts w:ascii="Times New Roman" w:hAnsi="Times New Roman"/>
              </w:rPr>
              <w:lastRenderedPageBreak/>
              <w:t xml:space="preserve">122 του ΚΚΑ.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Για τους σκοπούς αυτού του κελιού, η μικρή και μεσαία επιχείρηση ορίζεται σύμφωνα με το άρθρο 501 παράγραφος 2 στοιχείο β) του ΚΚΑ.</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σε ΜΜΕ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έναντι επιχειρήσεων, σύμφωνα με το άρθρο 147 παράγραφος 2 στοιχείο γ) του ΚΚΑ, εφόσον τα εν λόγω ανοίγματα είναι ανοίγματα έναντι μικρών και μεσαίων επιχειρήσεων και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Για τους σκοπούς αυτού του κελιού, ο όρος «μικρή και μεσαία επιχείρηση» ορίζεται σύμφωνα με το άρθρο 501 παράγραφος 2 στοιχείο β).</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σε ΜΜΕ – RWA – Ανοίγματα SA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επιχειρήσεων, με τη μορφή των μικρών και μεσαίων επιχειρήσεων, τα οποία εμπίπτουν στο άρθρο 122 του ΚΚΑ.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Για τους σκοπούς αυτού του κελιού, ο όρος «μικρή και μεσαία επιχείρηση» ορίζεται σύμφωνα με το άρθρο 501 παράγραφος 2 στοιχείο β).</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σε ΜΜΕ – RWA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επιχειρήσεων, σύμφωνα με το άρθρο 147 παράγραφος 2 στοιχείο γ) του ΚΚΑ, εφόσον τα εν λόγω ανοίγματα είναι ανοίγματα έναντι μικρών και μεσαίων επιχειρήσεων και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Για τους σκοπούς αυτού του κελιού, ο όρος «μικρή και μεσαία επιχείρηση» ορίζεται σύμφωνα με το άρθρο 501 παράγραφος 2 στοιχείο β).</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Ανοίγματα έναντι εταιρειών εκτός των ΜΜΕ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έναντι επιχειρήσεων, τα οποία εμπίπτουν στο άρθρο 122 του ΚΚΑ και τα οποία δεν αναφέρονται στα {230,040} και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Ανοίγματα έναντι εταιρειών εκτός των ΜΜΕ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Η τιμή του ανοίγματος του δείκτη μόχλευσης στοιχείων ενεργητικού που είναι ανοίγματα έναντι επιχειρήσεων, σύμφωνα με το άρθρο 147 παράγραφος 2 στοιχείο γ) του ΚΚΑ, εφόσον τα ανοίγματα αυτά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w:t>
            </w:r>
            <w:r>
              <w:rPr>
                <w:rFonts w:ascii="Times New Roman" w:hAnsi="Times New Roman"/>
              </w:rPr>
              <w:lastRenderedPageBreak/>
              <w:t xml:space="preserve">άρθρο 199 παράγραφος 1 στοιχείο α) του ΚΚΑ, και τα οποία δεν αναφέρονται στα {230,040} και {250,040}.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Ανοίγματα έναντι εταιρειών εκτός των ΜΜΕ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επιχειρήσεων, τα οποία εμπίπτουν στο άρθρο 122 του ΚΚΑ και τα οποία δεν αναφέρονται στα {230,040} και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Ανοίγματα έναντι εταιρειών εκτός των ΜΜΕ – RWA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έναντι επιχειρήσεων, σύμφωνα με το άρθρο 147 παράγραφος 2 στοιχείο γ) του ΚΚΑ, εφόσον τα ανοίγματα αυτά </w:t>
            </w:r>
            <w:r>
              <w:rPr>
                <w:rFonts w:ascii="Times New Roman" w:hAnsi="Times New Roman"/>
                <w:b/>
                <w:u w:val="single"/>
              </w:rPr>
              <w:t>δεν</w:t>
            </w:r>
            <w:r>
              <w:rPr>
                <w:rFonts w:ascii="Times New Roman" w:hAnsi="Times New Roman"/>
              </w:rPr>
              <w:t xml:space="preserve"> είναι εξασφαλισμένα με υποθήκες επί ακίνητης περιουσίας, σύμφωνα με το άρθρο 199 παράγραφος 1 στοιχείο α) του ΚΚΑ, και τα οποία δεν αναφέρονται στα {230,040} και {250,040}.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σε αθέτηση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σε αθέτηση και, επομένως, εμπίπτουν στο άρθρο 127 του ΚΚΑ.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σε αθέτηση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κατατάσσονται στις κατηγορίες ανοιγμάτων που αναφέρονται στο άρθρο 147 παράγραφος 2 του ΚΚΑ, εφόσον, σύμφωνα με το άρθρο 178 του ΚΚΑ, υπήρξε αθέτηση.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Ανοίγματα σε αθέτηση – RWA – Ανοίγματα SA</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σε αθέτηση και, επομένως, εμπίπτουν στο άρθρο 127 του ΚΚΑ.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σε αθέτηση – RWA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κατατάσσονται στις κατηγορίες ανοιγμάτων που αναφέρονται στο άρθρο 147 παράγραφος 2 του ΚΚΑ, εφόσον, σύμφωνα με το άρθρο 178 του ΚΚΑ, υπήρξε αθέτηση.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Άλλα ανοίγματα· εκ των οποίων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κατατάσσονται στις κατηγορίες ανοιγμάτων που αναφέρονται στο άρθρο 112 στοιχεία ια), ιγ), ιδ), ιε), ιστ) και ιζ) του ΚΚΑ.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Τα ιδρύματα αναφέρουν στοιχεία ενεργητικού που αφαιρούνται από τα ίδια κεφάλαια (π.χ. άυλα στοιχεία ενεργητικού), αλλά δεν μπορούν να καταταχθούν αλλού εδώ, ακόμη και αν δεν απαιτείται μια τέτοια κατάταξη για τον προσδιορισμό των απαιτήσεων ιδίων κεφαλαίων βάσει κινδύνου στις στήλες {*, 030} και {*, 040}.</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Άλλα ανοίγματα· εκ των οποίων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ποσό ανοίγματος του δείκτη μόχλευσης των στοιχείων ενεργητικού που κατατάσσονται στις κατηγορίες ανοιγμάτων που αναφέρονται στο άρθρο 147 παράγραφος 2 στοιχεία ε), στ) και ζ) του ΚΚΑ.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Τα ιδρύματα αναφέρουν στοιχεία ενεργητικού που αφαιρούνται από τα ίδια κεφάλαια (π.χ. άυλα στοιχεία ενεργητικού), αλλά δεν μπορούν να καταταχθούν αλλού εδώ, ακόμη και αν δεν απαιτείται μια τέτοια κατάταξη για τον προσδιορισμό των απαιτήσεων ιδίων κεφαλαίων βάσει κινδύνου στις στήλες {*, 030} και {*, 040}.</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Άλλα ανοίγματα· εκ των οποίων – RWA – Ανοίγματα SA</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Η σταθμισμένη ως προς τον κίνδυνο αξία ανοίγματος στοιχείων ενεργητικού που κατατάσσονται στις κατηγορίες ανοιγμάτων που αναφέρονται στο άρθρο 112 στοιχεία ια), ιγ), ιδ), ιε), ιστ) και ιζ) του ΚΚΑ.</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Άλλα ανοίγματα· εκ των οποίων – RWA – Ανοίγματα IRB</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σταθμισμένη ως προς τον κίνδυνο αξία ανοίγματος στοιχείων ενεργητικού που κατατάσσονται στις κατηγορίες ανοιγμάτων που αναφέρονται στο άρθρο 147 παράγραφος 2 στοιχεία ε), στ) και ζ) του ΚΚΑ.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Ανοίγματα τιτλοποίησης – Τιμή του ανοίγματος του δείκτη μόχλευσης – Ανοίγματα SA</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Η τιμή του ανοίγματος του δείκτη μόχλευσης στοιχείων ενεργητικού που είναι ανοίγματα σε τιτλοποιήσεις, τα οποία εμπίπτουν στο άρθρο 112 στοιχείο ιγ) του ΚΚΑ.</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τιτλοποίησης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ενεργητικού που είναι ανοίγματα σε τιτλοποιήσεις και εμπίπτουν στο άρθρο 147 παράγραφος 2 στοιχείο στ) του ΚΚΑ.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Ανοίγματα τιτλοποίησης – RWA – Ανοίγματα SA</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σε τιτλοποιήσεις, τα οποία εμπίπτουν στο άρθρο 112 στοιχείο ιγ) του ΚΚΑ.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Ανοίγματα τιτλοποίησης – RWA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ενεργητικού που είναι ανοίγματα σε τιτλοποιήσεις και εμπίπτουν στο άρθρο 147 παράγραφος 2 στοιχείο στ) του ΚΚΑ.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Χρηματοδότηση του εμπορίου (υπομνηματικό στοιχείο)· εκ των οποίων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Η τιμή του ανοίγματος του δείκτη μόχλευσης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Χρηματοδότηση του εμπορίου (υπομνηματικό στοιχείο)· εκ των οποίων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Το ποσό ανοίγματος του δείκτη μόχλευσης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Χρηματοδότηση του εμπορίου (υπομνηματικό στοιχείο)· εκ των οποίων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Η σταθμισμένη ως προς τον κίνδυνο αξία ανοίγματος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Χρηματοδότηση του εμπορίου (υπομνηματικό στοιχείο)· εκ των οποίων – RWA – Ανοίγματα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Το σταθμισμένο ως προς τον κίνδυνο ποσό ανοίγματος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Τα ιδρύματα τα αναφέρουν ως απαλλαγμένα από αθετημένα ανοίγματα.</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Σύμφωνα με το επίσημο καθεστώς ασφάλισης των εξαγωγικών πιστώσεων – Τιμή του ανοίγματος του δείκτη μόχλευσης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Η τιμή του ανοίγματος του δείκτη μόχλευσης στοιχείων εντός ισολογισμού που σχετίζονται με τη χρηματοδότηση του εμπορίου σύμφωνα με το επίσημο καθεστώς ασφάλισης των εξαγωγικών πιστώσεων. 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Σύμφωνα με το επίσημο καθεστώς ασφάλισης των εξαγωγικών πιστώσεων – Τιμή του ανοίγματος του δείκτη μόχλευσης – Ανοίγματα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Το ποσό ανοίγματος του δείκτη μόχλευσης στοιχείων εντός ισολογισμού που σχετίζονται με τη χρηματοδότηση του εμπορίου σύμφωνα με το επίσημο καθεστώς ασφάλισης των εξαγωγικών πιστώσεων. 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w:t>
            </w:r>
            <w:r>
              <w:rPr>
                <w:rFonts w:ascii="Times New Roman" w:hAnsi="Times New Roman"/>
              </w:rPr>
              <w:lastRenderedPageBreak/>
              <w:t xml:space="preserve">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Τα ιδρύματα τα αναφέρουν ως απαλλαγμένα από αθετημένα ανοίγματα.</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Σύμφωνα με το επίσημο καθεστώς ασφάλισης των εξαγωγικών πιστώσεων – RWA – Ανοίγματα SA</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Η σταθμισμένη ως προς τον κίνδυνο αξία ανοίγματος στοιχείων εντός ισολογισμού που σχετίζονται με τη χρηματοδότηση του εμπορίου σύμφωνα με το επίσημο καθεστώς ασφάλισης των εξαγωγικών πιστώσεων. 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Σύμφωνα με το επίσημο καθεστώς ασφάλισης των εξαγωγικών πιστώσεων – RWA – Ανοίγματα IRB</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 xml:space="preserve">Το σταθμισμένο ως προς τον κίνδυνο ποσό ανοίγματος στοιχείων εντός ισολογισμού που σχετίζονται με τη χρηματοδότηση του εμπορίου σύμφωνα με το επίσημο καθεστώς ασφάλισης των εξαγωγικών πιστώσεων. 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Τα ιδρύματα τα αναφέρουν ως απαλλαγμένα από αθετημένα ανοίγματα.</w:t>
            </w:r>
          </w:p>
          <w:p w:rsidR="002509B1" w:rsidRPr="00FE002E" w:rsidRDefault="002509B1" w:rsidP="007E2A41">
            <w:pPr>
              <w:pStyle w:val="BodyText1"/>
              <w:spacing w:line="240" w:lineRule="auto"/>
              <w:rPr>
                <w:rFonts w:ascii="Times New Roman" w:hAnsi="Times New Roman"/>
                <w:b/>
                <w:bCs/>
                <w:u w:val="single"/>
              </w:rPr>
            </w:pPr>
          </w:p>
        </w:tc>
      </w:tr>
      <w:bookmarkEnd w:id="70"/>
    </w:tbl>
    <w:p w:rsidR="00217D1F" w:rsidRPr="00FE002E" w:rsidRDefault="00F4754B" w:rsidP="00500508">
      <w:pPr>
        <w:pStyle w:val="BodyText1"/>
        <w:ind w:left="357" w:hanging="357"/>
        <w:outlineLvl w:val="1"/>
        <w:rPr>
          <w:rFonts w:ascii="Times New Roman" w:hAnsi="Times New Roman"/>
          <w:b/>
        </w:rPr>
      </w:pPr>
      <w:r>
        <w:br w:type="page"/>
      </w:r>
      <w:bookmarkStart w:id="74" w:name="_Toc351048511"/>
      <w:bookmarkStart w:id="75" w:name="_Toc359414290"/>
      <w:bookmarkStart w:id="76" w:name="_Toc523994947"/>
      <w:r>
        <w:rPr>
          <w:rFonts w:ascii="Times New Roman" w:hAnsi="Times New Roman"/>
          <w:b/>
        </w:rPr>
        <w:lastRenderedPageBreak/>
        <w:t>9.</w:t>
      </w:r>
      <w:r>
        <w:tab/>
      </w:r>
      <w:r>
        <w:rPr>
          <w:rFonts w:ascii="Times New Roman" w:hAnsi="Times New Roman"/>
          <w:b/>
        </w:rPr>
        <w:t>C 44.00 – Γενικές πληροφορίες</w:t>
      </w:r>
      <w:bookmarkEnd w:id="74"/>
      <w:bookmarkEnd w:id="75"/>
      <w:r>
        <w:rPr>
          <w:rFonts w:ascii="Times New Roman" w:hAnsi="Times New Roman"/>
          <w:b/>
        </w:rPr>
        <w:t xml:space="preserve"> (LR5)</w:t>
      </w:r>
      <w:bookmarkEnd w:id="76"/>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Εδώ συλλέγονται πρόσθετες πληροφορίες με σκοπό την κατηγοριοποίηση των δραστηριοτήτων του ιδρύματος και των ρυθμιστικών του επιλογών.</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Γραμμή </w:t>
            </w:r>
          </w:p>
          <w:p w:rsidR="00F4754B" w:rsidRPr="00FE002E" w:rsidRDefault="00F4754B" w:rsidP="00F4754B">
            <w:pPr>
              <w:pStyle w:val="BodyText1"/>
              <w:rPr>
                <w:rFonts w:ascii="Times New Roman" w:hAnsi="Times New Roman"/>
                <w:b/>
                <w:bCs/>
              </w:rPr>
            </w:pPr>
            <w:r>
              <w:rPr>
                <w:rFonts w:ascii="Times New Roman" w:hAnsi="Times New Roman"/>
                <w:b/>
              </w:rPr>
              <w:t>και στήλη</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Οδηγίες</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Εταιρική δομή του ιδρύματος</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Το ίδρυμα ταξινομεί την εταιρική δομή του σύμφωνα με τις κατωτέρω κατηγορίες:</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Συμμετοχική εταιρεία</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Αμοιβαία/συνεταιριστική</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Άλλη μη συμμετοχική εταιρεία</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Αντιμετώπιση παραγώγων</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Το ίδρυμα προσδιορίζει την κανονιστική αντιμετώπιση των παραγώγων σύμφωνα με τις κατωτέρω κατηγορίες:</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Μέθοδος αρχικού ανοίγματος</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Μέθοδος βάσει τρεχουσών τιμών αγοράς</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Είδος ιδρύματος</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Το ίδρυμα κατατάσσεται σε είδος ιδρύματος, σύμφωνα με τις κατωτέρω κατηγορίες:</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Υπηρεσίες γενικής τραπεζικής (λιανική/εμπορική και επενδυτική τραπεζική)</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Λιανική/εμπορική τραπεζική</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Επενδυτική τραπεζική</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Ειδικός δανειστής</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Άλλο επιχειρηματικό μοντέλο</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7C0654">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7C0654">
          <w:rPr>
            <w:rFonts w:ascii="Times New Roman" w:hAnsi="Times New Roman"/>
            <w:noProof/>
            <w:sz w:val="20"/>
          </w:rPr>
          <w:t>49</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BD59EA" w:rsidRDefault="00BE6AC4" w:rsidP="00F4754B">
      <w:pPr>
        <w:pStyle w:val="FootnoteText"/>
        <w:rPr>
          <w:sz w:val="12"/>
          <w:szCs w:val="12"/>
        </w:rPr>
      </w:pPr>
      <w:r>
        <w:rPr>
          <w:rStyle w:val="FootnoteReference"/>
        </w:rPr>
        <w:footnoteRef/>
      </w:r>
      <w:r>
        <w:t xml:space="preserve"> </w:t>
      </w:r>
      <w:r>
        <w:rPr>
          <w:sz w:val="12"/>
        </w:rPr>
        <w:t>Περιλαμβάνονται τιτλοποιήσεις και ανοίγματα σε μετοχές που υπόκεινται σε πιστωτικό κίνδυνο.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8"/>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372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654"/>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0DFF"/>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3E0B"/>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59EA"/>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l-GR"/>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l-GR"/>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l-GR"/>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l-GR"/>
    </w:rPr>
  </w:style>
  <w:style w:type="character" w:customStyle="1" w:styleId="Heading6Char">
    <w:name w:val="Heading 6 Char"/>
    <w:basedOn w:val="DefaultParagraphFont"/>
    <w:link w:val="Heading6"/>
    <w:rsid w:val="00F4754B"/>
    <w:rPr>
      <w:b/>
      <w:bCs/>
      <w:szCs w:val="22"/>
      <w:lang w:eastAsia="el-GR"/>
    </w:rPr>
  </w:style>
  <w:style w:type="character" w:customStyle="1" w:styleId="Heading7Char">
    <w:name w:val="Heading 7 Char"/>
    <w:basedOn w:val="DefaultParagraphFont"/>
    <w:link w:val="Heading7"/>
    <w:rsid w:val="00F4754B"/>
    <w:rPr>
      <w:sz w:val="24"/>
      <w:szCs w:val="24"/>
      <w:lang w:eastAsia="el-GR"/>
    </w:rPr>
  </w:style>
  <w:style w:type="character" w:customStyle="1" w:styleId="Heading8Char">
    <w:name w:val="Heading 8 Char"/>
    <w:basedOn w:val="DefaultParagraphFont"/>
    <w:link w:val="Heading8"/>
    <w:rsid w:val="00F4754B"/>
    <w:rPr>
      <w:i/>
      <w:iCs/>
      <w:sz w:val="24"/>
      <w:szCs w:val="24"/>
      <w:lang w:eastAsia="el-GR"/>
    </w:rPr>
  </w:style>
  <w:style w:type="character" w:customStyle="1" w:styleId="Heading9Char">
    <w:name w:val="Heading 9 Char"/>
    <w:basedOn w:val="DefaultParagraphFont"/>
    <w:link w:val="Heading9"/>
    <w:rsid w:val="00F4754B"/>
    <w:rPr>
      <w:rFonts w:ascii="Verdana" w:hAnsi="Verdana" w:cs="Arial"/>
      <w:szCs w:val="22"/>
      <w:lang w:eastAsia="el-GR"/>
    </w:rPr>
  </w:style>
  <w:style w:type="character" w:customStyle="1" w:styleId="Heading1Char">
    <w:name w:val="Heading 1 Char"/>
    <w:basedOn w:val="DefaultParagraphFont"/>
    <w:link w:val="Heading1"/>
    <w:rsid w:val="00F4754B"/>
    <w:rPr>
      <w:rFonts w:ascii="Arial" w:hAnsi="Arial"/>
      <w:color w:val="48748F" w:themeColor="accent1"/>
      <w:sz w:val="36"/>
      <w:lang w:eastAsia="el-GR"/>
    </w:rPr>
  </w:style>
  <w:style w:type="character" w:customStyle="1" w:styleId="Heading2Char">
    <w:name w:val="Heading 2 Char"/>
    <w:basedOn w:val="DefaultParagraphFont"/>
    <w:link w:val="Heading2"/>
    <w:rsid w:val="00F4754B"/>
    <w:rPr>
      <w:rFonts w:ascii="Arial" w:hAnsi="Arial"/>
      <w:color w:val="48748F" w:themeColor="accent1"/>
      <w:sz w:val="24"/>
      <w:lang w:eastAsia="el-GR"/>
    </w:rPr>
  </w:style>
  <w:style w:type="character" w:customStyle="1" w:styleId="Heading3Char">
    <w:name w:val="Heading 3 Char"/>
    <w:basedOn w:val="DefaultParagraphFont"/>
    <w:link w:val="Heading3"/>
    <w:rsid w:val="00F4754B"/>
    <w:rPr>
      <w:rFonts w:ascii="Arial" w:hAnsi="Arial"/>
      <w:b/>
      <w:color w:val="48748F" w:themeColor="accent1"/>
      <w:szCs w:val="22"/>
      <w:lang w:eastAsia="el-GR"/>
    </w:rPr>
  </w:style>
  <w:style w:type="character" w:customStyle="1" w:styleId="Heading4Char">
    <w:name w:val="Heading 4 Char"/>
    <w:basedOn w:val="DefaultParagraphFont"/>
    <w:link w:val="Heading4"/>
    <w:rsid w:val="00F4754B"/>
    <w:rPr>
      <w:rFonts w:ascii="Arial" w:hAnsi="Arial"/>
      <w:color w:val="48748F" w:themeColor="accent1"/>
      <w:lang w:eastAsia="el-GR"/>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l-GR"/>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l-GR"/>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l-GR"/>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l-GR"/>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l-GR"/>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l-GR"/>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l-GR"/>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l-GR"/>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l-GR"/>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el-GR" w:eastAsia="el-GR"/>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l-GR"/>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l-GR" w:eastAsia="el-GR" w:bidi="el-GR"/>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l-GR"/>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el-GR"/>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l-GR"/>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el-GR"/>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l-GR"/>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l-GR"/>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l-GR"/>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l-GR"/>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l-GR"/>
    </w:rPr>
  </w:style>
  <w:style w:type="character" w:customStyle="1" w:styleId="Heading6Char">
    <w:name w:val="Heading 6 Char"/>
    <w:basedOn w:val="DefaultParagraphFont"/>
    <w:link w:val="Heading6"/>
    <w:rsid w:val="00F4754B"/>
    <w:rPr>
      <w:b/>
      <w:bCs/>
      <w:szCs w:val="22"/>
      <w:lang w:eastAsia="el-GR"/>
    </w:rPr>
  </w:style>
  <w:style w:type="character" w:customStyle="1" w:styleId="Heading7Char">
    <w:name w:val="Heading 7 Char"/>
    <w:basedOn w:val="DefaultParagraphFont"/>
    <w:link w:val="Heading7"/>
    <w:rsid w:val="00F4754B"/>
    <w:rPr>
      <w:sz w:val="24"/>
      <w:szCs w:val="24"/>
      <w:lang w:eastAsia="el-GR"/>
    </w:rPr>
  </w:style>
  <w:style w:type="character" w:customStyle="1" w:styleId="Heading8Char">
    <w:name w:val="Heading 8 Char"/>
    <w:basedOn w:val="DefaultParagraphFont"/>
    <w:link w:val="Heading8"/>
    <w:rsid w:val="00F4754B"/>
    <w:rPr>
      <w:i/>
      <w:iCs/>
      <w:sz w:val="24"/>
      <w:szCs w:val="24"/>
      <w:lang w:eastAsia="el-GR"/>
    </w:rPr>
  </w:style>
  <w:style w:type="character" w:customStyle="1" w:styleId="Heading9Char">
    <w:name w:val="Heading 9 Char"/>
    <w:basedOn w:val="DefaultParagraphFont"/>
    <w:link w:val="Heading9"/>
    <w:rsid w:val="00F4754B"/>
    <w:rPr>
      <w:rFonts w:ascii="Verdana" w:hAnsi="Verdana" w:cs="Arial"/>
      <w:szCs w:val="22"/>
      <w:lang w:eastAsia="el-GR"/>
    </w:rPr>
  </w:style>
  <w:style w:type="character" w:customStyle="1" w:styleId="Heading1Char">
    <w:name w:val="Heading 1 Char"/>
    <w:basedOn w:val="DefaultParagraphFont"/>
    <w:link w:val="Heading1"/>
    <w:rsid w:val="00F4754B"/>
    <w:rPr>
      <w:rFonts w:ascii="Arial" w:hAnsi="Arial"/>
      <w:color w:val="48748F" w:themeColor="accent1"/>
      <w:sz w:val="36"/>
      <w:lang w:eastAsia="el-GR"/>
    </w:rPr>
  </w:style>
  <w:style w:type="character" w:customStyle="1" w:styleId="Heading2Char">
    <w:name w:val="Heading 2 Char"/>
    <w:basedOn w:val="DefaultParagraphFont"/>
    <w:link w:val="Heading2"/>
    <w:rsid w:val="00F4754B"/>
    <w:rPr>
      <w:rFonts w:ascii="Arial" w:hAnsi="Arial"/>
      <w:color w:val="48748F" w:themeColor="accent1"/>
      <w:sz w:val="24"/>
      <w:lang w:eastAsia="el-GR"/>
    </w:rPr>
  </w:style>
  <w:style w:type="character" w:customStyle="1" w:styleId="Heading3Char">
    <w:name w:val="Heading 3 Char"/>
    <w:basedOn w:val="DefaultParagraphFont"/>
    <w:link w:val="Heading3"/>
    <w:rsid w:val="00F4754B"/>
    <w:rPr>
      <w:rFonts w:ascii="Arial" w:hAnsi="Arial"/>
      <w:b/>
      <w:color w:val="48748F" w:themeColor="accent1"/>
      <w:szCs w:val="22"/>
      <w:lang w:eastAsia="el-GR"/>
    </w:rPr>
  </w:style>
  <w:style w:type="character" w:customStyle="1" w:styleId="Heading4Char">
    <w:name w:val="Heading 4 Char"/>
    <w:basedOn w:val="DefaultParagraphFont"/>
    <w:link w:val="Heading4"/>
    <w:rsid w:val="00F4754B"/>
    <w:rPr>
      <w:rFonts w:ascii="Arial" w:hAnsi="Arial"/>
      <w:color w:val="48748F" w:themeColor="accent1"/>
      <w:lang w:eastAsia="el-GR"/>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l-GR"/>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l-GR"/>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l-GR"/>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l-GR"/>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l-GR"/>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l-GR"/>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l-GR"/>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l-GR"/>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l-GR"/>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el-GR" w:eastAsia="el-GR"/>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l-GR"/>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l-GR" w:eastAsia="el-GR" w:bidi="el-GR"/>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l-GR"/>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el-GR"/>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l-GR"/>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el-GR"/>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l-GR"/>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8FF021-1C34-43D0-99F2-C9219FFE1FF3}">
  <ds:schemaRefs>
    <ds:schemaRef ds:uri="http://schemas.openxmlformats.org/officeDocument/2006/bibliography"/>
  </ds:schemaRefs>
</ds:datastoreItem>
</file>

<file path=customXml/itemProps2.xml><?xml version="1.0" encoding="utf-8"?>
<ds:datastoreItem xmlns:ds="http://schemas.openxmlformats.org/officeDocument/2006/customXml" ds:itemID="{B6CE26B7-9CAE-46EB-9B08-CC1915902796}">
  <ds:schemaRefs>
    <ds:schemaRef ds:uri="http://schemas.openxmlformats.org/officeDocument/2006/bibliography"/>
  </ds:schemaRefs>
</ds:datastoreItem>
</file>

<file path=customXml/itemProps3.xml><?xml version="1.0" encoding="utf-8"?>
<ds:datastoreItem xmlns:ds="http://schemas.openxmlformats.org/officeDocument/2006/customXml" ds:itemID="{0A56F6D9-A7C7-4CD3-AC15-CFB74A6D8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49</Pages>
  <Words>18600</Words>
  <Characters>112823</Characters>
  <Application>Microsoft Office Word</Application>
  <DocSecurity>0</DocSecurity>
  <Lines>940</Lines>
  <Paragraphs>262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131161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DQC</cp:lastModifiedBy>
  <cp:revision>15</cp:revision>
  <cp:lastPrinted>2015-04-10T08:05:00Z</cp:lastPrinted>
  <dcterms:created xsi:type="dcterms:W3CDTF">2018-02-06T16:20:00Z</dcterms:created>
  <dcterms:modified xsi:type="dcterms:W3CDTF">2018-09-06T09:03:00Z</dcterms:modified>
</cp:coreProperties>
</file>