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SV</w:t>
      </w:r>
    </w:p>
    <w:p w:rsidR="00453999" w:rsidRDefault="00453999" w:rsidP="00A33695">
      <w:pPr>
        <w:jc w:val="center"/>
        <w:rPr>
          <w:rFonts w:ascii="Times New Roman" w:hAnsi="Times New Roman"/>
          <w:b/>
          <w:sz w:val="24"/>
        </w:rPr>
      </w:pPr>
      <w:r>
        <w:rPr>
          <w:rFonts w:ascii="Times New Roman" w:hAnsi="Times New Roman"/>
          <w:b/>
          <w:sz w:val="24"/>
        </w:rPr>
        <w:t>BILAGA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”BILAGA II</w:t>
      </w:r>
    </w:p>
    <w:p w:rsidR="002648B0" w:rsidRPr="00392FFD" w:rsidRDefault="002648B0" w:rsidP="00C87CEE">
      <w:pPr>
        <w:jc w:val="center"/>
        <w:rPr>
          <w:rFonts w:ascii="Times New Roman" w:hAnsi="Times New Roman"/>
          <w:b/>
          <w:sz w:val="24"/>
        </w:rPr>
      </w:pPr>
      <w:r>
        <w:rPr>
          <w:rFonts w:ascii="Times New Roman" w:hAnsi="Times New Roman"/>
          <w:b/>
          <w:sz w:val="24"/>
        </w:rPr>
        <w:t>RAPPORTERING AV KAPITALBAS OCH KAPITALBASKRAV</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Innehåll</w:t>
      </w:r>
    </w:p>
    <w:p w:rsidR="00FF629E" w:rsidRDefault="00FF629E">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3820220" w:history="1">
        <w:r w:rsidRPr="003B3762">
          <w:rPr>
            <w:rStyle w:val="Hyperlink"/>
            <w:rFonts w:ascii="Times New Roman" w:hAnsi="Times New Roman"/>
          </w:rPr>
          <w:t>DEL I: ALLMÄNNA INSTRUKTIONER</w:t>
        </w:r>
        <w:r>
          <w:rPr>
            <w:webHidden/>
          </w:rPr>
          <w:tab/>
        </w:r>
        <w:r>
          <w:rPr>
            <w:webHidden/>
          </w:rPr>
          <w:fldChar w:fldCharType="begin"/>
        </w:r>
        <w:r>
          <w:rPr>
            <w:webHidden/>
          </w:rPr>
          <w:instrText xml:space="preserve"> PAGEREF _Toc523820220 \h </w:instrText>
        </w:r>
        <w:r>
          <w:rPr>
            <w:webHidden/>
          </w:rPr>
        </w:r>
        <w:r>
          <w:rPr>
            <w:webHidden/>
          </w:rPr>
          <w:fldChar w:fldCharType="separate"/>
        </w:r>
        <w:r>
          <w:rPr>
            <w:webHidden/>
          </w:rPr>
          <w:t>5</w:t>
        </w:r>
        <w:r>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1" w:history="1">
        <w:r w:rsidR="00FF629E" w:rsidRPr="003B3762">
          <w:rPr>
            <w:rStyle w:val="Hyperlink"/>
            <w:rFonts w:ascii="Times New Roman" w:hAnsi="Times New Roman"/>
          </w:rPr>
          <w:t>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Struktur och praxis</w:t>
        </w:r>
        <w:r w:rsidR="00FF629E">
          <w:rPr>
            <w:webHidden/>
          </w:rPr>
          <w:tab/>
        </w:r>
        <w:r w:rsidR="00FF629E">
          <w:rPr>
            <w:webHidden/>
          </w:rPr>
          <w:fldChar w:fldCharType="begin"/>
        </w:r>
        <w:r w:rsidR="00FF629E">
          <w:rPr>
            <w:webHidden/>
          </w:rPr>
          <w:instrText xml:space="preserve"> PAGEREF _Toc523820221 \h </w:instrText>
        </w:r>
        <w:r w:rsidR="00FF629E">
          <w:rPr>
            <w:webHidden/>
          </w:rPr>
        </w:r>
        <w:r w:rsidR="00FF629E">
          <w:rPr>
            <w:webHidden/>
          </w:rPr>
          <w:fldChar w:fldCharType="separate"/>
        </w:r>
        <w:r w:rsidR="00FF629E">
          <w:rPr>
            <w:webHidden/>
          </w:rPr>
          <w:t>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2" w:history="1">
        <w:r w:rsidR="00FF629E" w:rsidRPr="003B3762">
          <w:rPr>
            <w:rStyle w:val="Hyperlink"/>
            <w:rFonts w:ascii="Times New Roman" w:hAnsi="Times New Roman"/>
          </w:rPr>
          <w:t>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Struktur</w:t>
        </w:r>
        <w:r w:rsidR="00FF629E">
          <w:rPr>
            <w:webHidden/>
          </w:rPr>
          <w:tab/>
        </w:r>
        <w:r w:rsidR="00FF629E">
          <w:rPr>
            <w:webHidden/>
          </w:rPr>
          <w:fldChar w:fldCharType="begin"/>
        </w:r>
        <w:r w:rsidR="00FF629E">
          <w:rPr>
            <w:webHidden/>
          </w:rPr>
          <w:instrText xml:space="preserve"> PAGEREF _Toc523820222 \h </w:instrText>
        </w:r>
        <w:r w:rsidR="00FF629E">
          <w:rPr>
            <w:webHidden/>
          </w:rPr>
        </w:r>
        <w:r w:rsidR="00FF629E">
          <w:rPr>
            <w:webHidden/>
          </w:rPr>
          <w:fldChar w:fldCharType="separate"/>
        </w:r>
        <w:r w:rsidR="00FF629E">
          <w:rPr>
            <w:webHidden/>
          </w:rPr>
          <w:t>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3" w:history="1">
        <w:r w:rsidR="00FF629E" w:rsidRPr="003B3762">
          <w:rPr>
            <w:rStyle w:val="Hyperlink"/>
            <w:rFonts w:ascii="Times New Roman" w:hAnsi="Times New Roman"/>
          </w:rPr>
          <w:t>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Numrering</w:t>
        </w:r>
        <w:r w:rsidR="00FF629E">
          <w:rPr>
            <w:webHidden/>
          </w:rPr>
          <w:tab/>
        </w:r>
        <w:r w:rsidR="00FF629E">
          <w:rPr>
            <w:webHidden/>
          </w:rPr>
          <w:fldChar w:fldCharType="begin"/>
        </w:r>
        <w:r w:rsidR="00FF629E">
          <w:rPr>
            <w:webHidden/>
          </w:rPr>
          <w:instrText xml:space="preserve"> PAGEREF _Toc523820223 \h </w:instrText>
        </w:r>
        <w:r w:rsidR="00FF629E">
          <w:rPr>
            <w:webHidden/>
          </w:rPr>
        </w:r>
        <w:r w:rsidR="00FF629E">
          <w:rPr>
            <w:webHidden/>
          </w:rPr>
          <w:fldChar w:fldCharType="separate"/>
        </w:r>
        <w:r w:rsidR="00FF629E">
          <w:rPr>
            <w:webHidden/>
          </w:rPr>
          <w:t>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4" w:history="1">
        <w:r w:rsidR="00FF629E" w:rsidRPr="003B3762">
          <w:rPr>
            <w:rStyle w:val="Hyperlink"/>
            <w:rFonts w:ascii="Times New Roman" w:hAnsi="Times New Roman"/>
          </w:rPr>
          <w:t>1.3.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Tecken</w:t>
        </w:r>
        <w:r w:rsidR="00FF629E">
          <w:rPr>
            <w:webHidden/>
          </w:rPr>
          <w:tab/>
        </w:r>
        <w:r w:rsidR="00FF629E">
          <w:rPr>
            <w:webHidden/>
          </w:rPr>
          <w:fldChar w:fldCharType="begin"/>
        </w:r>
        <w:r w:rsidR="00FF629E">
          <w:rPr>
            <w:webHidden/>
          </w:rPr>
          <w:instrText xml:space="preserve"> PAGEREF _Toc523820224 \h </w:instrText>
        </w:r>
        <w:r w:rsidR="00FF629E">
          <w:rPr>
            <w:webHidden/>
          </w:rPr>
        </w:r>
        <w:r w:rsidR="00FF629E">
          <w:rPr>
            <w:webHidden/>
          </w:rPr>
          <w:fldChar w:fldCharType="separate"/>
        </w:r>
        <w:r w:rsidR="00FF629E">
          <w:rPr>
            <w:webHidden/>
          </w:rPr>
          <w:t>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5" w:history="1">
        <w:r w:rsidR="00FF629E" w:rsidRPr="003B3762">
          <w:rPr>
            <w:rStyle w:val="Hyperlink"/>
            <w:rFonts w:ascii="Times New Roman" w:hAnsi="Times New Roman"/>
          </w:rPr>
          <w:t>1.4.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Förkortningar</w:t>
        </w:r>
        <w:r w:rsidR="00FF629E">
          <w:rPr>
            <w:webHidden/>
          </w:rPr>
          <w:tab/>
        </w:r>
        <w:r w:rsidR="00FF629E">
          <w:rPr>
            <w:webHidden/>
          </w:rPr>
          <w:fldChar w:fldCharType="begin"/>
        </w:r>
        <w:r w:rsidR="00FF629E">
          <w:rPr>
            <w:webHidden/>
          </w:rPr>
          <w:instrText xml:space="preserve"> PAGEREF _Toc523820225 \h </w:instrText>
        </w:r>
        <w:r w:rsidR="00FF629E">
          <w:rPr>
            <w:webHidden/>
          </w:rPr>
        </w:r>
        <w:r w:rsidR="00FF629E">
          <w:rPr>
            <w:webHidden/>
          </w:rPr>
          <w:fldChar w:fldCharType="separate"/>
        </w:r>
        <w:r w:rsidR="00FF629E">
          <w:rPr>
            <w:webHidden/>
          </w:rPr>
          <w:t>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6" w:history="1">
        <w:r w:rsidR="00FF629E" w:rsidRPr="003B3762">
          <w:rPr>
            <w:rStyle w:val="Hyperlink"/>
            <w:rFonts w:ascii="Times New Roman" w:hAnsi="Times New Roman"/>
          </w:rPr>
          <w:t>DEL II: MALLRELATERADE INSTRUKTIONER</w:t>
        </w:r>
        <w:r w:rsidR="00FF629E">
          <w:rPr>
            <w:webHidden/>
          </w:rPr>
          <w:tab/>
        </w:r>
        <w:r w:rsidR="00FF629E">
          <w:rPr>
            <w:webHidden/>
          </w:rPr>
          <w:fldChar w:fldCharType="begin"/>
        </w:r>
        <w:r w:rsidR="00FF629E">
          <w:rPr>
            <w:webHidden/>
          </w:rPr>
          <w:instrText xml:space="preserve"> PAGEREF _Toc523820226 \h </w:instrText>
        </w:r>
        <w:r w:rsidR="00FF629E">
          <w:rPr>
            <w:webHidden/>
          </w:rPr>
        </w:r>
        <w:r w:rsidR="00FF629E">
          <w:rPr>
            <w:webHidden/>
          </w:rPr>
          <w:fldChar w:fldCharType="separate"/>
        </w:r>
        <w:r w:rsidR="00FF629E">
          <w:rPr>
            <w:webHidden/>
          </w:rPr>
          <w:t>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7" w:history="1">
        <w:r w:rsidR="00FF629E" w:rsidRPr="003B3762">
          <w:rPr>
            <w:rStyle w:val="Hyperlink"/>
            <w:rFonts w:ascii="Times New Roman" w:hAnsi="Times New Roman"/>
          </w:rPr>
          <w:t>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Kapitaltäckningsöversikt (CA)</w:t>
        </w:r>
        <w:r w:rsidR="00FF629E">
          <w:rPr>
            <w:webHidden/>
          </w:rPr>
          <w:tab/>
        </w:r>
        <w:r w:rsidR="00FF629E">
          <w:rPr>
            <w:webHidden/>
          </w:rPr>
          <w:fldChar w:fldCharType="begin"/>
        </w:r>
        <w:r w:rsidR="00FF629E">
          <w:rPr>
            <w:webHidden/>
          </w:rPr>
          <w:instrText xml:space="preserve"> PAGEREF _Toc523820227 \h </w:instrText>
        </w:r>
        <w:r w:rsidR="00FF629E">
          <w:rPr>
            <w:webHidden/>
          </w:rPr>
        </w:r>
        <w:r w:rsidR="00FF629E">
          <w:rPr>
            <w:webHidden/>
          </w:rPr>
          <w:fldChar w:fldCharType="separate"/>
        </w:r>
        <w:r w:rsidR="00FF629E">
          <w:rPr>
            <w:webHidden/>
          </w:rPr>
          <w:t>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8" w:history="1">
        <w:r w:rsidR="00FF629E" w:rsidRPr="003B3762">
          <w:rPr>
            <w:rStyle w:val="Hyperlink"/>
            <w:rFonts w:ascii="Times New Roman" w:hAnsi="Times New Roman"/>
          </w:rPr>
          <w:t>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_Toc523820228 \h </w:instrText>
        </w:r>
        <w:r w:rsidR="00FF629E">
          <w:rPr>
            <w:webHidden/>
          </w:rPr>
        </w:r>
        <w:r w:rsidR="00FF629E">
          <w:rPr>
            <w:webHidden/>
          </w:rPr>
          <w:fldChar w:fldCharType="separate"/>
        </w:r>
        <w:r w:rsidR="00FF629E">
          <w:rPr>
            <w:webHidden/>
          </w:rPr>
          <w:t>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29" w:history="1">
        <w:r w:rsidR="00FF629E" w:rsidRPr="003B3762">
          <w:rPr>
            <w:rStyle w:val="Hyperlink"/>
            <w:rFonts w:ascii="Times New Roman" w:hAnsi="Times New Roman"/>
          </w:rPr>
          <w:t>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01.00 – KAPITALBAS (CA1)</w:t>
        </w:r>
        <w:r w:rsidR="00FF629E">
          <w:rPr>
            <w:webHidden/>
          </w:rPr>
          <w:tab/>
        </w:r>
        <w:r w:rsidR="00FF629E">
          <w:rPr>
            <w:webHidden/>
          </w:rPr>
          <w:fldChar w:fldCharType="begin"/>
        </w:r>
        <w:r w:rsidR="00FF629E">
          <w:rPr>
            <w:webHidden/>
          </w:rPr>
          <w:instrText xml:space="preserve"> PAGEREF _Toc523820229 \h </w:instrText>
        </w:r>
        <w:r w:rsidR="00FF629E">
          <w:rPr>
            <w:webHidden/>
          </w:rPr>
        </w:r>
        <w:r w:rsidR="00FF629E">
          <w:rPr>
            <w:webHidden/>
          </w:rPr>
          <w:fldChar w:fldCharType="separate"/>
        </w:r>
        <w:r w:rsidR="00FF629E">
          <w:rPr>
            <w:webHidden/>
          </w:rPr>
          <w:t>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0" w:history="1">
        <w:r w:rsidR="00FF629E" w:rsidRPr="003B3762">
          <w:rPr>
            <w:rStyle w:val="Hyperlink"/>
            <w:rFonts w:ascii="Times New Roman" w:hAnsi="Times New Roman"/>
          </w:rPr>
          <w:t>1.2.1.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_Toc523820230 \h </w:instrText>
        </w:r>
        <w:r w:rsidR="00FF629E">
          <w:rPr>
            <w:webHidden/>
          </w:rPr>
        </w:r>
        <w:r w:rsidR="00FF629E">
          <w:rPr>
            <w:webHidden/>
          </w:rPr>
          <w:fldChar w:fldCharType="separate"/>
        </w:r>
        <w:r w:rsidR="00FF629E">
          <w:rPr>
            <w:webHidden/>
          </w:rPr>
          <w:t>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1" w:history="1">
        <w:r w:rsidR="00FF629E" w:rsidRPr="003B3762">
          <w:rPr>
            <w:rStyle w:val="Hyperlink"/>
            <w:rFonts w:ascii="Times New Roman" w:hAnsi="Times New Roman"/>
          </w:rPr>
          <w:t>1.3.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02.00 – KAPITALBASKRAV (CA2)</w:t>
        </w:r>
        <w:r w:rsidR="00FF629E">
          <w:rPr>
            <w:webHidden/>
          </w:rPr>
          <w:tab/>
        </w:r>
        <w:r w:rsidR="00FF629E">
          <w:rPr>
            <w:webHidden/>
          </w:rPr>
          <w:fldChar w:fldCharType="begin"/>
        </w:r>
        <w:r w:rsidR="00FF629E">
          <w:rPr>
            <w:webHidden/>
          </w:rPr>
          <w:instrText xml:space="preserve"> PAGEREF _Toc523820231 \h </w:instrText>
        </w:r>
        <w:r w:rsidR="00FF629E">
          <w:rPr>
            <w:webHidden/>
          </w:rPr>
        </w:r>
        <w:r w:rsidR="00FF629E">
          <w:rPr>
            <w:webHidden/>
          </w:rPr>
          <w:fldChar w:fldCharType="separate"/>
        </w:r>
        <w:r w:rsidR="00FF629E">
          <w:rPr>
            <w:webHidden/>
          </w:rPr>
          <w:t>23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2" w:history="1">
        <w:r w:rsidR="00FF629E" w:rsidRPr="003B3762">
          <w:rPr>
            <w:rStyle w:val="Hyperlink"/>
            <w:rFonts w:ascii="Times New Roman" w:hAnsi="Times New Roman"/>
          </w:rPr>
          <w:t>1.3.1.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_Toc523820232 \h </w:instrText>
        </w:r>
        <w:r w:rsidR="00FF629E">
          <w:rPr>
            <w:webHidden/>
          </w:rPr>
        </w:r>
        <w:r w:rsidR="00FF629E">
          <w:rPr>
            <w:webHidden/>
          </w:rPr>
          <w:fldChar w:fldCharType="separate"/>
        </w:r>
        <w:r w:rsidR="00FF629E">
          <w:rPr>
            <w:webHidden/>
          </w:rPr>
          <w:t>23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3" w:history="1">
        <w:r w:rsidR="00FF629E" w:rsidRPr="003B3762">
          <w:rPr>
            <w:rStyle w:val="Hyperlink"/>
            <w:rFonts w:ascii="Times New Roman" w:hAnsi="Times New Roman"/>
          </w:rPr>
          <w:t>1.4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03.00 – KAPITALRELATIONER OCH KAPITALNIVÅER (CA3)</w:t>
        </w:r>
        <w:r w:rsidR="00FF629E">
          <w:rPr>
            <w:webHidden/>
          </w:rPr>
          <w:tab/>
        </w:r>
        <w:r w:rsidR="00FF629E">
          <w:rPr>
            <w:webHidden/>
          </w:rPr>
          <w:fldChar w:fldCharType="begin"/>
        </w:r>
        <w:r w:rsidR="00FF629E">
          <w:rPr>
            <w:webHidden/>
          </w:rPr>
          <w:instrText xml:space="preserve"> PAGEREF _Toc523820233 \h </w:instrText>
        </w:r>
        <w:r w:rsidR="00FF629E">
          <w:rPr>
            <w:webHidden/>
          </w:rPr>
        </w:r>
        <w:r w:rsidR="00FF629E">
          <w:rPr>
            <w:webHidden/>
          </w:rPr>
          <w:fldChar w:fldCharType="separate"/>
        </w:r>
        <w:r w:rsidR="00FF629E">
          <w:rPr>
            <w:webHidden/>
          </w:rPr>
          <w:t>33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4" w:history="1">
        <w:r w:rsidR="00FF629E" w:rsidRPr="003B3762">
          <w:rPr>
            <w:rStyle w:val="Hyperlink"/>
            <w:rFonts w:ascii="Times New Roman" w:hAnsi="Times New Roman"/>
          </w:rPr>
          <w:t>1.4.1.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_Toc523820234 \h </w:instrText>
        </w:r>
        <w:r w:rsidR="00FF629E">
          <w:rPr>
            <w:webHidden/>
          </w:rPr>
        </w:r>
        <w:r w:rsidR="00FF629E">
          <w:rPr>
            <w:webHidden/>
          </w:rPr>
          <w:fldChar w:fldCharType="separate"/>
        </w:r>
        <w:r w:rsidR="00FF629E">
          <w:rPr>
            <w:webHidden/>
          </w:rPr>
          <w:t>33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5" w:history="1">
        <w:r w:rsidR="00FF629E" w:rsidRPr="003B3762">
          <w:rPr>
            <w:rStyle w:val="Hyperlink"/>
            <w:rFonts w:ascii="Times New Roman" w:hAnsi="Times New Roman"/>
          </w:rPr>
          <w:t>1.5.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04.00 – MEMORANDUMPOSTER (CA4)</w:t>
        </w:r>
        <w:r w:rsidR="00FF629E">
          <w:rPr>
            <w:webHidden/>
          </w:rPr>
          <w:tab/>
        </w:r>
        <w:r w:rsidR="00FF629E">
          <w:rPr>
            <w:webHidden/>
          </w:rPr>
          <w:fldChar w:fldCharType="begin"/>
        </w:r>
        <w:r w:rsidR="00FF629E">
          <w:rPr>
            <w:webHidden/>
          </w:rPr>
          <w:instrText xml:space="preserve"> PAGEREF _Toc523820235 \h </w:instrText>
        </w:r>
        <w:r w:rsidR="00FF629E">
          <w:rPr>
            <w:webHidden/>
          </w:rPr>
        </w:r>
        <w:r w:rsidR="00FF629E">
          <w:rPr>
            <w:webHidden/>
          </w:rPr>
          <w:fldChar w:fldCharType="separate"/>
        </w:r>
        <w:r w:rsidR="00FF629E">
          <w:rPr>
            <w:webHidden/>
          </w:rPr>
          <w:t>36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6" w:history="1">
        <w:r w:rsidR="00FF629E" w:rsidRPr="003B3762">
          <w:rPr>
            <w:rStyle w:val="Hyperlink"/>
            <w:rFonts w:ascii="Times New Roman" w:hAnsi="Times New Roman"/>
          </w:rPr>
          <w:t>1.5.1.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_Toc523820236 \h </w:instrText>
        </w:r>
        <w:r w:rsidR="00FF629E">
          <w:rPr>
            <w:webHidden/>
          </w:rPr>
        </w:r>
        <w:r w:rsidR="00FF629E">
          <w:rPr>
            <w:webHidden/>
          </w:rPr>
          <w:fldChar w:fldCharType="separate"/>
        </w:r>
        <w:r w:rsidR="00FF629E">
          <w:rPr>
            <w:webHidden/>
          </w:rPr>
          <w:t>36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7" w:history="1">
        <w:r w:rsidR="00FF629E" w:rsidRPr="003B3762">
          <w:rPr>
            <w:rStyle w:val="Hyperlink"/>
            <w:rFonts w:ascii="Times New Roman" w:hAnsi="Times New Roman"/>
          </w:rPr>
          <w:t>1.6</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ÖVERGÅNGSBESTÄMMELSER och INSTRUMENT FÖR VILKA ÄLDRE REGLER FÅR TILLÄMPAS: INSTRUMENT SOM INTE UTGÖR STATLIGT STÖD (CA 5)</w:t>
        </w:r>
        <w:r w:rsidR="00FF629E">
          <w:rPr>
            <w:webHidden/>
          </w:rPr>
          <w:tab/>
        </w:r>
        <w:r w:rsidR="00FF629E">
          <w:rPr>
            <w:webHidden/>
          </w:rPr>
          <w:fldChar w:fldCharType="begin"/>
        </w:r>
        <w:r w:rsidR="00FF629E">
          <w:rPr>
            <w:webHidden/>
          </w:rPr>
          <w:instrText xml:space="preserve"> PAGEREF _Toc523820237 \h </w:instrText>
        </w:r>
        <w:r w:rsidR="00FF629E">
          <w:rPr>
            <w:webHidden/>
          </w:rPr>
        </w:r>
        <w:r w:rsidR="00FF629E">
          <w:rPr>
            <w:webHidden/>
          </w:rPr>
          <w:fldChar w:fldCharType="separate"/>
        </w:r>
        <w:r w:rsidR="00FF629E">
          <w:rPr>
            <w:webHidden/>
          </w:rPr>
          <w:t>52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8" w:history="1">
        <w:r w:rsidR="00FF629E" w:rsidRPr="003B3762">
          <w:rPr>
            <w:rStyle w:val="Hyperlink"/>
            <w:rFonts w:ascii="Times New Roman" w:hAnsi="Times New Roman"/>
          </w:rPr>
          <w:t>1.6.1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_Toc523820238 \h </w:instrText>
        </w:r>
        <w:r w:rsidR="00FF629E">
          <w:rPr>
            <w:webHidden/>
          </w:rPr>
        </w:r>
        <w:r w:rsidR="00FF629E">
          <w:rPr>
            <w:webHidden/>
          </w:rPr>
          <w:fldChar w:fldCharType="separate"/>
        </w:r>
        <w:r w:rsidR="00FF629E">
          <w:rPr>
            <w:webHidden/>
          </w:rPr>
          <w:t>52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39" w:history="1">
        <w:r w:rsidR="00FF629E" w:rsidRPr="003B3762">
          <w:rPr>
            <w:rStyle w:val="Hyperlink"/>
            <w:rFonts w:ascii="Times New Roman" w:hAnsi="Times New Roman"/>
          </w:rPr>
          <w:t>1.6.2.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05.01 – ÖVERGÅNGSBESTÄMMELSER (CA5.1)</w:t>
        </w:r>
        <w:r w:rsidR="00FF629E">
          <w:rPr>
            <w:webHidden/>
          </w:rPr>
          <w:tab/>
        </w:r>
        <w:r w:rsidR="00FF629E">
          <w:rPr>
            <w:webHidden/>
          </w:rPr>
          <w:fldChar w:fldCharType="begin"/>
        </w:r>
        <w:r w:rsidR="00FF629E">
          <w:rPr>
            <w:webHidden/>
          </w:rPr>
          <w:instrText xml:space="preserve"> PAGEREF _Toc523820239 \h </w:instrText>
        </w:r>
        <w:r w:rsidR="00FF629E">
          <w:rPr>
            <w:webHidden/>
          </w:rPr>
        </w:r>
        <w:r w:rsidR="00FF629E">
          <w:rPr>
            <w:webHidden/>
          </w:rPr>
          <w:fldChar w:fldCharType="separate"/>
        </w:r>
        <w:r w:rsidR="00FF629E">
          <w:rPr>
            <w:webHidden/>
          </w:rPr>
          <w:t>53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0" w:history="1">
        <w:r w:rsidR="00FF629E" w:rsidRPr="003B3762">
          <w:rPr>
            <w:rStyle w:val="Hyperlink"/>
            <w:rFonts w:ascii="Times New Roman" w:hAnsi="Times New Roman"/>
          </w:rPr>
          <w:t>1.6.2.1.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_Toc523820240 \h </w:instrText>
        </w:r>
        <w:r w:rsidR="00FF629E">
          <w:rPr>
            <w:webHidden/>
          </w:rPr>
        </w:r>
        <w:r w:rsidR="00FF629E">
          <w:rPr>
            <w:webHidden/>
          </w:rPr>
          <w:fldChar w:fldCharType="separate"/>
        </w:r>
        <w:r w:rsidR="00FF629E">
          <w:rPr>
            <w:webHidden/>
          </w:rPr>
          <w:t>54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1" w:history="1">
        <w:r w:rsidR="00FF629E" w:rsidRPr="003B3762">
          <w:rPr>
            <w:rStyle w:val="Hyperlink"/>
            <w:rFonts w:ascii="Times New Roman" w:hAnsi="Times New Roman"/>
          </w:rPr>
          <w:t>1.6.3.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05.02 – INSTRUMENT FÖR VILKA ÄLDRE REGLER FÅR TILLÄMPAS: INSTRUMENT SOM INTE ÄR STATLIGT STÖD (CA5.2)</w:t>
        </w:r>
        <w:r w:rsidR="00FF629E">
          <w:rPr>
            <w:webHidden/>
          </w:rPr>
          <w:tab/>
        </w:r>
        <w:r w:rsidR="00FF629E">
          <w:rPr>
            <w:webHidden/>
          </w:rPr>
          <w:fldChar w:fldCharType="begin"/>
        </w:r>
        <w:r w:rsidR="00FF629E">
          <w:rPr>
            <w:webHidden/>
          </w:rPr>
          <w:instrText xml:space="preserve"> PAGEREF _Toc523820241 \h </w:instrText>
        </w:r>
        <w:r w:rsidR="00FF629E">
          <w:rPr>
            <w:webHidden/>
          </w:rPr>
        </w:r>
        <w:r w:rsidR="00FF629E">
          <w:rPr>
            <w:webHidden/>
          </w:rPr>
          <w:fldChar w:fldCharType="separate"/>
        </w:r>
        <w:r w:rsidR="00FF629E">
          <w:rPr>
            <w:webHidden/>
          </w:rPr>
          <w:t>62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2" w:history="1">
        <w:r w:rsidR="00FF629E" w:rsidRPr="003B3762">
          <w:rPr>
            <w:rStyle w:val="Hyperlink"/>
            <w:rFonts w:ascii="Times New Roman" w:hAnsi="Times New Roman"/>
          </w:rPr>
          <w:t>1.6.3.1.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_Toc523820242 \h </w:instrText>
        </w:r>
        <w:r w:rsidR="00FF629E">
          <w:rPr>
            <w:webHidden/>
          </w:rPr>
        </w:r>
        <w:r w:rsidR="00FF629E">
          <w:rPr>
            <w:webHidden/>
          </w:rPr>
          <w:fldChar w:fldCharType="separate"/>
        </w:r>
        <w:r w:rsidR="00FF629E">
          <w:rPr>
            <w:webHidden/>
          </w:rPr>
          <w:t>62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3" w:history="1">
        <w:r w:rsidR="00FF629E" w:rsidRPr="003B3762">
          <w:rPr>
            <w:rStyle w:val="Hyperlink"/>
            <w:rFonts w:ascii="Times New Roman" w:hAnsi="Times New Roman"/>
          </w:rPr>
          <w:t>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SOLVENS PÅ GRUPPNIVÅ: INFORMATION OM NÄRSTÅENDE FÖRETAG – (GS)</w:t>
        </w:r>
        <w:r w:rsidR="00FF629E">
          <w:rPr>
            <w:webHidden/>
          </w:rPr>
          <w:tab/>
        </w:r>
        <w:r w:rsidR="00FF629E">
          <w:rPr>
            <w:webHidden/>
          </w:rPr>
          <w:fldChar w:fldCharType="begin"/>
        </w:r>
        <w:r w:rsidR="00FF629E">
          <w:rPr>
            <w:webHidden/>
          </w:rPr>
          <w:instrText xml:space="preserve"> PAGEREF _Toc523820243 \h </w:instrText>
        </w:r>
        <w:r w:rsidR="00FF629E">
          <w:rPr>
            <w:webHidden/>
          </w:rPr>
        </w:r>
        <w:r w:rsidR="00FF629E">
          <w:rPr>
            <w:webHidden/>
          </w:rPr>
          <w:fldChar w:fldCharType="separate"/>
        </w:r>
        <w:r w:rsidR="00FF629E">
          <w:rPr>
            <w:webHidden/>
          </w:rPr>
          <w:t>64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4" w:history="1">
        <w:r w:rsidR="00FF629E" w:rsidRPr="003B3762">
          <w:rPr>
            <w:rStyle w:val="Hyperlink"/>
            <w:rFonts w:ascii="Times New Roman" w:hAnsi="Times New Roman"/>
          </w:rPr>
          <w:t>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_Toc523820244 \h </w:instrText>
        </w:r>
        <w:r w:rsidR="00FF629E">
          <w:rPr>
            <w:webHidden/>
          </w:rPr>
        </w:r>
        <w:r w:rsidR="00FF629E">
          <w:rPr>
            <w:webHidden/>
          </w:rPr>
          <w:fldChar w:fldCharType="separate"/>
        </w:r>
        <w:r w:rsidR="00FF629E">
          <w:rPr>
            <w:webHidden/>
          </w:rPr>
          <w:t>64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5" w:history="1">
        <w:r w:rsidR="00FF629E" w:rsidRPr="003B3762">
          <w:rPr>
            <w:rStyle w:val="Hyperlink"/>
            <w:rFonts w:ascii="Times New Roman" w:hAnsi="Times New Roman"/>
          </w:rPr>
          <w:t>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Detaljerade uppgifter om gruppens solvens</w:t>
        </w:r>
        <w:r w:rsidR="00FF629E">
          <w:rPr>
            <w:webHidden/>
          </w:rPr>
          <w:tab/>
        </w:r>
        <w:r w:rsidR="00FF629E">
          <w:rPr>
            <w:webHidden/>
          </w:rPr>
          <w:fldChar w:fldCharType="begin"/>
        </w:r>
        <w:r w:rsidR="00FF629E">
          <w:rPr>
            <w:webHidden/>
          </w:rPr>
          <w:instrText xml:space="preserve"> PAGEREF _Toc523820245 \h </w:instrText>
        </w:r>
        <w:r w:rsidR="00FF629E">
          <w:rPr>
            <w:webHidden/>
          </w:rPr>
        </w:r>
        <w:r w:rsidR="00FF629E">
          <w:rPr>
            <w:webHidden/>
          </w:rPr>
          <w:fldChar w:fldCharType="separate"/>
        </w:r>
        <w:r w:rsidR="00FF629E">
          <w:rPr>
            <w:webHidden/>
          </w:rPr>
          <w:t>65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6" w:history="1">
        <w:r w:rsidR="00FF629E" w:rsidRPr="003B3762">
          <w:rPr>
            <w:rStyle w:val="Hyperlink"/>
            <w:rFonts w:ascii="Times New Roman" w:hAnsi="Times New Roman"/>
          </w:rPr>
          <w:t>2.3.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Uppgifter om hur enskilda enheter bidrar till gruppens solvens</w:t>
        </w:r>
        <w:r w:rsidR="00FF629E">
          <w:rPr>
            <w:webHidden/>
          </w:rPr>
          <w:tab/>
        </w:r>
        <w:r w:rsidR="00FF629E">
          <w:rPr>
            <w:webHidden/>
          </w:rPr>
          <w:fldChar w:fldCharType="begin"/>
        </w:r>
        <w:r w:rsidR="00FF629E">
          <w:rPr>
            <w:webHidden/>
          </w:rPr>
          <w:instrText xml:space="preserve"> PAGEREF _Toc523820246 \h </w:instrText>
        </w:r>
        <w:r w:rsidR="00FF629E">
          <w:rPr>
            <w:webHidden/>
          </w:rPr>
        </w:r>
        <w:r w:rsidR="00FF629E">
          <w:rPr>
            <w:webHidden/>
          </w:rPr>
          <w:fldChar w:fldCharType="separate"/>
        </w:r>
        <w:r w:rsidR="00FF629E">
          <w:rPr>
            <w:webHidden/>
          </w:rPr>
          <w:t>65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7" w:history="1">
        <w:r w:rsidR="00FF629E" w:rsidRPr="003B3762">
          <w:rPr>
            <w:rStyle w:val="Hyperlink"/>
            <w:rFonts w:ascii="Times New Roman" w:hAnsi="Times New Roman"/>
          </w:rPr>
          <w:t>2.4.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06.01 – SOLVENS PÅ GRUPPNIVÅ: INFORMATION OM NÄRSTÅENDE FÖRETAG – Summa (GS Total)</w:t>
        </w:r>
        <w:r w:rsidR="00FF629E">
          <w:rPr>
            <w:webHidden/>
          </w:rPr>
          <w:tab/>
        </w:r>
        <w:r w:rsidR="00FF629E">
          <w:rPr>
            <w:webHidden/>
          </w:rPr>
          <w:fldChar w:fldCharType="begin"/>
        </w:r>
        <w:r w:rsidR="00FF629E">
          <w:rPr>
            <w:webHidden/>
          </w:rPr>
          <w:instrText xml:space="preserve"> PAGEREF _Toc523820247 \h </w:instrText>
        </w:r>
        <w:r w:rsidR="00FF629E">
          <w:rPr>
            <w:webHidden/>
          </w:rPr>
        </w:r>
        <w:r w:rsidR="00FF629E">
          <w:rPr>
            <w:webHidden/>
          </w:rPr>
          <w:fldChar w:fldCharType="separate"/>
        </w:r>
        <w:r w:rsidR="00FF629E">
          <w:rPr>
            <w:webHidden/>
          </w:rPr>
          <w:t>66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8" w:history="1">
        <w:r w:rsidR="00FF629E" w:rsidRPr="003B3762">
          <w:rPr>
            <w:rStyle w:val="Hyperlink"/>
            <w:rFonts w:ascii="Times New Roman" w:hAnsi="Times New Roman"/>
          </w:rPr>
          <w:t>2.5.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06.02 – SOLVENS PÅ GRUPPNIVÅ: INFORMATION OM NÄRSTÅENDE FÖRETAG (GS)</w:t>
        </w:r>
        <w:r w:rsidR="00FF629E">
          <w:rPr>
            <w:webHidden/>
          </w:rPr>
          <w:tab/>
        </w:r>
        <w:r w:rsidR="00FF629E">
          <w:rPr>
            <w:webHidden/>
          </w:rPr>
          <w:fldChar w:fldCharType="begin"/>
        </w:r>
        <w:r w:rsidR="00FF629E">
          <w:rPr>
            <w:webHidden/>
          </w:rPr>
          <w:instrText xml:space="preserve"> PAGEREF _Toc523820248 \h </w:instrText>
        </w:r>
        <w:r w:rsidR="00FF629E">
          <w:rPr>
            <w:webHidden/>
          </w:rPr>
        </w:r>
        <w:r w:rsidR="00FF629E">
          <w:rPr>
            <w:webHidden/>
          </w:rPr>
          <w:fldChar w:fldCharType="separate"/>
        </w:r>
        <w:r w:rsidR="00FF629E">
          <w:rPr>
            <w:webHidden/>
          </w:rPr>
          <w:t>66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49" w:history="1">
        <w:r w:rsidR="00FF629E" w:rsidRPr="003B3762">
          <w:rPr>
            <w:rStyle w:val="Hyperlink"/>
            <w:rFonts w:ascii="Times New Roman" w:hAnsi="Times New Roman"/>
          </w:rPr>
          <w:t>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Kreditriskmallar</w:t>
        </w:r>
        <w:r w:rsidR="00FF629E">
          <w:rPr>
            <w:webHidden/>
          </w:rPr>
          <w:tab/>
        </w:r>
        <w:r w:rsidR="00FF629E">
          <w:rPr>
            <w:webHidden/>
          </w:rPr>
          <w:fldChar w:fldCharType="begin"/>
        </w:r>
        <w:r w:rsidR="00FF629E">
          <w:rPr>
            <w:webHidden/>
          </w:rPr>
          <w:instrText xml:space="preserve"> PAGEREF _Toc523820249 \h </w:instrText>
        </w:r>
        <w:r w:rsidR="00FF629E">
          <w:rPr>
            <w:webHidden/>
          </w:rPr>
        </w:r>
        <w:r w:rsidR="00FF629E">
          <w:rPr>
            <w:webHidden/>
          </w:rPr>
          <w:fldChar w:fldCharType="separate"/>
        </w:r>
        <w:r w:rsidR="00FF629E">
          <w:rPr>
            <w:webHidden/>
          </w:rPr>
          <w:t>75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0" w:history="1">
        <w:r w:rsidR="00FF629E" w:rsidRPr="003B3762">
          <w:rPr>
            <w:rStyle w:val="Hyperlink"/>
            <w:rFonts w:ascii="Times New Roman" w:hAnsi="Times New Roman"/>
          </w:rPr>
          <w:t>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_Toc523820250 \h </w:instrText>
        </w:r>
        <w:r w:rsidR="00FF629E">
          <w:rPr>
            <w:webHidden/>
          </w:rPr>
        </w:r>
        <w:r w:rsidR="00FF629E">
          <w:rPr>
            <w:webHidden/>
          </w:rPr>
          <w:fldChar w:fldCharType="separate"/>
        </w:r>
        <w:r w:rsidR="00FF629E">
          <w:rPr>
            <w:webHidden/>
          </w:rPr>
          <w:t>75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1" w:history="1">
        <w:r w:rsidR="00FF629E" w:rsidRPr="003B3762">
          <w:rPr>
            <w:rStyle w:val="Hyperlink"/>
            <w:rFonts w:ascii="Times New Roman" w:hAnsi="Times New Roman"/>
          </w:rPr>
          <w:t>3.1.1.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Rapportering av metoder för kreditriskreducering (CRM) med substitutionseffekt</w:t>
        </w:r>
        <w:r w:rsidR="00FF629E">
          <w:rPr>
            <w:webHidden/>
          </w:rPr>
          <w:tab/>
        </w:r>
        <w:r w:rsidR="00FF629E">
          <w:rPr>
            <w:webHidden/>
          </w:rPr>
          <w:fldChar w:fldCharType="begin"/>
        </w:r>
        <w:r w:rsidR="00FF629E">
          <w:rPr>
            <w:webHidden/>
          </w:rPr>
          <w:instrText xml:space="preserve"> PAGEREF _Toc523820251 \h </w:instrText>
        </w:r>
        <w:r w:rsidR="00FF629E">
          <w:rPr>
            <w:webHidden/>
          </w:rPr>
        </w:r>
        <w:r w:rsidR="00FF629E">
          <w:rPr>
            <w:webHidden/>
          </w:rPr>
          <w:fldChar w:fldCharType="separate"/>
        </w:r>
        <w:r w:rsidR="00FF629E">
          <w:rPr>
            <w:webHidden/>
          </w:rPr>
          <w:t>75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2" w:history="1">
        <w:r w:rsidR="00FF629E" w:rsidRPr="003B3762">
          <w:rPr>
            <w:rStyle w:val="Hyperlink"/>
            <w:rFonts w:ascii="Times New Roman" w:hAnsi="Times New Roman"/>
          </w:rPr>
          <w:t>3.1.2.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Rapportering av motpartsrisk</w:t>
        </w:r>
        <w:r w:rsidR="00FF629E">
          <w:rPr>
            <w:webHidden/>
          </w:rPr>
          <w:tab/>
        </w:r>
        <w:r w:rsidR="00FF629E">
          <w:rPr>
            <w:webHidden/>
          </w:rPr>
          <w:fldChar w:fldCharType="begin"/>
        </w:r>
        <w:r w:rsidR="00FF629E">
          <w:rPr>
            <w:webHidden/>
          </w:rPr>
          <w:instrText xml:space="preserve"> PAGEREF _Toc523820252 \h </w:instrText>
        </w:r>
        <w:r w:rsidR="00FF629E">
          <w:rPr>
            <w:webHidden/>
          </w:rPr>
        </w:r>
        <w:r w:rsidR="00FF629E">
          <w:rPr>
            <w:webHidden/>
          </w:rPr>
          <w:fldChar w:fldCharType="separate"/>
        </w:r>
        <w:r w:rsidR="00FF629E">
          <w:rPr>
            <w:webHidden/>
          </w:rPr>
          <w:t>76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3" w:history="1">
        <w:r w:rsidR="00FF629E" w:rsidRPr="003B3762">
          <w:rPr>
            <w:rStyle w:val="Hyperlink"/>
            <w:rFonts w:ascii="Times New Roman" w:hAnsi="Times New Roman"/>
          </w:rPr>
          <w:t>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07.00 – Kreditrisk och motpartsrisk och transaktioner utan samtidig prestation:  tillämpning av schablonmetoden på kapitalkrav (CR SA)</w:t>
        </w:r>
        <w:r w:rsidR="00FF629E">
          <w:rPr>
            <w:webHidden/>
          </w:rPr>
          <w:tab/>
        </w:r>
        <w:r w:rsidR="00FF629E">
          <w:rPr>
            <w:webHidden/>
          </w:rPr>
          <w:fldChar w:fldCharType="begin"/>
        </w:r>
        <w:r w:rsidR="00FF629E">
          <w:rPr>
            <w:webHidden/>
          </w:rPr>
          <w:instrText xml:space="preserve"> PAGEREF _Toc523820253 \h </w:instrText>
        </w:r>
        <w:r w:rsidR="00FF629E">
          <w:rPr>
            <w:webHidden/>
          </w:rPr>
        </w:r>
        <w:r w:rsidR="00FF629E">
          <w:rPr>
            <w:webHidden/>
          </w:rPr>
          <w:fldChar w:fldCharType="separate"/>
        </w:r>
        <w:r w:rsidR="00FF629E">
          <w:rPr>
            <w:webHidden/>
          </w:rPr>
          <w:t>76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4" w:history="1">
        <w:r w:rsidR="00FF629E" w:rsidRPr="003B3762">
          <w:rPr>
            <w:rStyle w:val="Hyperlink"/>
            <w:rFonts w:ascii="Times New Roman" w:hAnsi="Times New Roman"/>
          </w:rPr>
          <w:t>3.2.1.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_Toc523820254 \h </w:instrText>
        </w:r>
        <w:r w:rsidR="00FF629E">
          <w:rPr>
            <w:webHidden/>
          </w:rPr>
        </w:r>
        <w:r w:rsidR="00FF629E">
          <w:rPr>
            <w:webHidden/>
          </w:rPr>
          <w:fldChar w:fldCharType="separate"/>
        </w:r>
        <w:r w:rsidR="00FF629E">
          <w:rPr>
            <w:webHidden/>
          </w:rPr>
          <w:t>76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5" w:history="1">
        <w:r w:rsidR="00FF629E" w:rsidRPr="003B3762">
          <w:rPr>
            <w:rStyle w:val="Hyperlink"/>
            <w:rFonts w:ascii="Times New Roman" w:hAnsi="Times New Roman"/>
          </w:rPr>
          <w:t>3.2.2.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CR SA-mallens räckvidd</w:t>
        </w:r>
        <w:r w:rsidR="00FF629E">
          <w:rPr>
            <w:webHidden/>
          </w:rPr>
          <w:tab/>
        </w:r>
        <w:r w:rsidR="00FF629E">
          <w:rPr>
            <w:webHidden/>
          </w:rPr>
          <w:fldChar w:fldCharType="begin"/>
        </w:r>
        <w:r w:rsidR="00FF629E">
          <w:rPr>
            <w:webHidden/>
          </w:rPr>
          <w:instrText xml:space="preserve"> PAGEREF _Toc523820255 \h </w:instrText>
        </w:r>
        <w:r w:rsidR="00FF629E">
          <w:rPr>
            <w:webHidden/>
          </w:rPr>
        </w:r>
        <w:r w:rsidR="00FF629E">
          <w:rPr>
            <w:webHidden/>
          </w:rPr>
          <w:fldChar w:fldCharType="separate"/>
        </w:r>
        <w:r w:rsidR="00FF629E">
          <w:rPr>
            <w:webHidden/>
          </w:rPr>
          <w:t>76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6" w:history="1">
        <w:r w:rsidR="00FF629E" w:rsidRPr="003B3762">
          <w:rPr>
            <w:rStyle w:val="Hyperlink"/>
            <w:rFonts w:ascii="Times New Roman" w:hAnsi="Times New Roman"/>
          </w:rPr>
          <w:t>3.2.3.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 xml:space="preserve"> Indelning av exponeringar i exponeringsklasser enligt schablonmetoden</w:t>
        </w:r>
        <w:r w:rsidR="00FF629E">
          <w:rPr>
            <w:webHidden/>
          </w:rPr>
          <w:tab/>
        </w:r>
        <w:r w:rsidR="00FF629E">
          <w:rPr>
            <w:webHidden/>
          </w:rPr>
          <w:fldChar w:fldCharType="begin"/>
        </w:r>
        <w:r w:rsidR="00FF629E">
          <w:rPr>
            <w:webHidden/>
          </w:rPr>
          <w:instrText xml:space="preserve"> PAGEREF _Toc523820256 \h </w:instrText>
        </w:r>
        <w:r w:rsidR="00FF629E">
          <w:rPr>
            <w:webHidden/>
          </w:rPr>
        </w:r>
        <w:r w:rsidR="00FF629E">
          <w:rPr>
            <w:webHidden/>
          </w:rPr>
          <w:fldChar w:fldCharType="separate"/>
        </w:r>
        <w:r w:rsidR="00FF629E">
          <w:rPr>
            <w:webHidden/>
          </w:rPr>
          <w:t>78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7" w:history="1">
        <w:r w:rsidR="00FF629E" w:rsidRPr="003B3762">
          <w:rPr>
            <w:rStyle w:val="Hyperlink"/>
            <w:rFonts w:ascii="Times New Roman" w:hAnsi="Times New Roman"/>
          </w:rPr>
          <w:t>3.2.4.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Förtydliganden om räckvidden för vissa av de exponeringsklasser som avses i artikel 112 i CRR</w:t>
        </w:r>
        <w:r w:rsidR="00FF629E">
          <w:rPr>
            <w:webHidden/>
          </w:rPr>
          <w:tab/>
        </w:r>
        <w:r w:rsidR="00FF629E">
          <w:rPr>
            <w:webHidden/>
          </w:rPr>
          <w:fldChar w:fldCharType="begin"/>
        </w:r>
        <w:r w:rsidR="00FF629E">
          <w:rPr>
            <w:webHidden/>
          </w:rPr>
          <w:instrText xml:space="preserve"> PAGEREF _Toc523820257 \h </w:instrText>
        </w:r>
        <w:r w:rsidR="00FF629E">
          <w:rPr>
            <w:webHidden/>
          </w:rPr>
        </w:r>
        <w:r w:rsidR="00FF629E">
          <w:rPr>
            <w:webHidden/>
          </w:rPr>
          <w:fldChar w:fldCharType="separate"/>
        </w:r>
        <w:r w:rsidR="00FF629E">
          <w:rPr>
            <w:webHidden/>
          </w:rPr>
          <w:t>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8" w:history="1">
        <w:r w:rsidR="00FF629E" w:rsidRPr="003B3762">
          <w:rPr>
            <w:rStyle w:val="Hyperlink"/>
            <w:rFonts w:ascii="Times New Roman" w:hAnsi="Times New Roman"/>
          </w:rPr>
          <w:t>3.2.4.1.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Exponeringsklassen ”institut”</w:t>
        </w:r>
        <w:r w:rsidR="00FF629E">
          <w:rPr>
            <w:webHidden/>
          </w:rPr>
          <w:tab/>
        </w:r>
        <w:r w:rsidR="00FF629E">
          <w:rPr>
            <w:webHidden/>
          </w:rPr>
          <w:fldChar w:fldCharType="begin"/>
        </w:r>
        <w:r w:rsidR="00FF629E">
          <w:rPr>
            <w:webHidden/>
          </w:rPr>
          <w:instrText xml:space="preserve"> PAGEREF _Toc523820258 \h </w:instrText>
        </w:r>
        <w:r w:rsidR="00FF629E">
          <w:rPr>
            <w:webHidden/>
          </w:rPr>
        </w:r>
        <w:r w:rsidR="00FF629E">
          <w:rPr>
            <w:webHidden/>
          </w:rPr>
          <w:fldChar w:fldCharType="separate"/>
        </w:r>
        <w:r w:rsidR="00FF629E">
          <w:rPr>
            <w:webHidden/>
          </w:rPr>
          <w:t>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59" w:history="1">
        <w:r w:rsidR="00FF629E" w:rsidRPr="003B3762">
          <w:rPr>
            <w:rStyle w:val="Hyperlink"/>
            <w:rFonts w:ascii="Times New Roman" w:hAnsi="Times New Roman"/>
          </w:rPr>
          <w:t>3.2.4.2.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Exponeringsklassen ”säkerställda obligationer”</w:t>
        </w:r>
        <w:r w:rsidR="00FF629E">
          <w:rPr>
            <w:webHidden/>
          </w:rPr>
          <w:tab/>
        </w:r>
        <w:r w:rsidR="00FF629E">
          <w:rPr>
            <w:webHidden/>
          </w:rPr>
          <w:fldChar w:fldCharType="begin"/>
        </w:r>
        <w:r w:rsidR="00FF629E">
          <w:rPr>
            <w:webHidden/>
          </w:rPr>
          <w:instrText xml:space="preserve"> PAGEREF _Toc523820259 \h </w:instrText>
        </w:r>
        <w:r w:rsidR="00FF629E">
          <w:rPr>
            <w:webHidden/>
          </w:rPr>
        </w:r>
        <w:r w:rsidR="00FF629E">
          <w:rPr>
            <w:webHidden/>
          </w:rPr>
          <w:fldChar w:fldCharType="separate"/>
        </w:r>
        <w:r w:rsidR="00FF629E">
          <w:rPr>
            <w:webHidden/>
          </w:rPr>
          <w:t>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0" w:history="1">
        <w:r w:rsidR="00FF629E" w:rsidRPr="003B3762">
          <w:rPr>
            <w:rStyle w:val="Hyperlink"/>
            <w:rFonts w:ascii="Times New Roman" w:hAnsi="Times New Roman"/>
          </w:rPr>
          <w:t>3.2.4.3.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Exponeringsklassen ”företag för kollektiva investeringar (fond)”</w:t>
        </w:r>
        <w:r w:rsidR="00FF629E">
          <w:rPr>
            <w:webHidden/>
          </w:rPr>
          <w:tab/>
        </w:r>
        <w:r w:rsidR="00FF629E">
          <w:rPr>
            <w:webHidden/>
          </w:rPr>
          <w:fldChar w:fldCharType="begin"/>
        </w:r>
        <w:r w:rsidR="00FF629E">
          <w:rPr>
            <w:webHidden/>
          </w:rPr>
          <w:instrText xml:space="preserve"> PAGEREF _Toc523820260 \h </w:instrText>
        </w:r>
        <w:r w:rsidR="00FF629E">
          <w:rPr>
            <w:webHidden/>
          </w:rPr>
        </w:r>
        <w:r w:rsidR="00FF629E">
          <w:rPr>
            <w:webHidden/>
          </w:rPr>
          <w:fldChar w:fldCharType="separate"/>
        </w:r>
        <w:r w:rsidR="00FF629E">
          <w:rPr>
            <w:webHidden/>
          </w:rPr>
          <w:t>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1" w:history="1">
        <w:r w:rsidR="00FF629E" w:rsidRPr="003B3762">
          <w:rPr>
            <w:rStyle w:val="Hyperlink"/>
            <w:rFonts w:ascii="Times New Roman" w:hAnsi="Times New Roman"/>
          </w:rPr>
          <w:t>3.2.5.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_Toc523820261 \h </w:instrText>
        </w:r>
        <w:r w:rsidR="00FF629E">
          <w:rPr>
            <w:webHidden/>
          </w:rPr>
        </w:r>
        <w:r w:rsidR="00FF629E">
          <w:rPr>
            <w:webHidden/>
          </w:rPr>
          <w:fldChar w:fldCharType="separate"/>
        </w:r>
        <w:r w:rsidR="00FF629E">
          <w:rPr>
            <w:webHidden/>
          </w:rPr>
          <w:t>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2" w:history="1">
        <w:r w:rsidR="00FF629E" w:rsidRPr="003B3762">
          <w:rPr>
            <w:rStyle w:val="Hyperlink"/>
            <w:rFonts w:ascii="Times New Roman" w:hAnsi="Times New Roman"/>
          </w:rPr>
          <w:t>3.3.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Kreditrisk och motpartsrisk och transaktioner utan samtidig prestation: Internmetoden för kapitalbaskrav (CR IRB)</w:t>
        </w:r>
        <w:r w:rsidR="00FF629E">
          <w:rPr>
            <w:webHidden/>
          </w:rPr>
          <w:tab/>
        </w:r>
        <w:r w:rsidR="00FF629E">
          <w:rPr>
            <w:webHidden/>
          </w:rPr>
          <w:fldChar w:fldCharType="begin"/>
        </w:r>
        <w:r w:rsidR="00FF629E">
          <w:rPr>
            <w:webHidden/>
          </w:rPr>
          <w:instrText xml:space="preserve"> PAGEREF _Toc523820262 \h </w:instrText>
        </w:r>
        <w:r w:rsidR="00FF629E">
          <w:rPr>
            <w:webHidden/>
          </w:rPr>
        </w:r>
        <w:r w:rsidR="00FF629E">
          <w:rPr>
            <w:webHidden/>
          </w:rPr>
          <w:fldChar w:fldCharType="separate"/>
        </w:r>
        <w:r w:rsidR="00FF629E">
          <w:rPr>
            <w:webHidden/>
          </w:rPr>
          <w:t>91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3" w:history="1">
        <w:r w:rsidR="00FF629E" w:rsidRPr="003B3762">
          <w:rPr>
            <w:rStyle w:val="Hyperlink"/>
            <w:rFonts w:ascii="Times New Roman" w:hAnsi="Times New Roman"/>
          </w:rPr>
          <w:t>3.3.1.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CR IRB-mallens räckvidd</w:t>
        </w:r>
        <w:r w:rsidR="00FF629E">
          <w:rPr>
            <w:webHidden/>
          </w:rPr>
          <w:tab/>
        </w:r>
        <w:r w:rsidR="00FF629E">
          <w:rPr>
            <w:webHidden/>
          </w:rPr>
          <w:fldChar w:fldCharType="begin"/>
        </w:r>
        <w:r w:rsidR="00FF629E">
          <w:rPr>
            <w:webHidden/>
          </w:rPr>
          <w:instrText xml:space="preserve"> PAGEREF _Toc523820263 \h </w:instrText>
        </w:r>
        <w:r w:rsidR="00FF629E">
          <w:rPr>
            <w:webHidden/>
          </w:rPr>
        </w:r>
        <w:r w:rsidR="00FF629E">
          <w:rPr>
            <w:webHidden/>
          </w:rPr>
          <w:fldChar w:fldCharType="separate"/>
        </w:r>
        <w:r w:rsidR="00FF629E">
          <w:rPr>
            <w:webHidden/>
          </w:rPr>
          <w:t>91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4" w:history="1">
        <w:r w:rsidR="00FF629E" w:rsidRPr="003B3762">
          <w:rPr>
            <w:rStyle w:val="Hyperlink"/>
            <w:rFonts w:ascii="Times New Roman" w:hAnsi="Times New Roman"/>
          </w:rPr>
          <w:t>3.3.2.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Uppdelning av CR IRB-mallen</w:t>
        </w:r>
        <w:r w:rsidR="00FF629E">
          <w:rPr>
            <w:webHidden/>
          </w:rPr>
          <w:tab/>
        </w:r>
        <w:r w:rsidR="00FF629E">
          <w:rPr>
            <w:webHidden/>
          </w:rPr>
          <w:fldChar w:fldCharType="begin"/>
        </w:r>
        <w:r w:rsidR="00FF629E">
          <w:rPr>
            <w:webHidden/>
          </w:rPr>
          <w:instrText xml:space="preserve"> PAGEREF _Toc523820264 \h </w:instrText>
        </w:r>
        <w:r w:rsidR="00FF629E">
          <w:rPr>
            <w:webHidden/>
          </w:rPr>
        </w:r>
        <w:r w:rsidR="00FF629E">
          <w:rPr>
            <w:webHidden/>
          </w:rPr>
          <w:fldChar w:fldCharType="separate"/>
        </w:r>
        <w:r w:rsidR="00FF629E">
          <w:rPr>
            <w:webHidden/>
          </w:rPr>
          <w:t>92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5" w:history="1">
        <w:r w:rsidR="00FF629E" w:rsidRPr="003B3762">
          <w:rPr>
            <w:rStyle w:val="Hyperlink"/>
            <w:rFonts w:ascii="Times New Roman" w:hAnsi="Times New Roman"/>
          </w:rPr>
          <w:t>3.3.3.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08.01 – Kreditrisk och motpartsrisk och transaktioner utan samtidig prestation: intermetod för kapitalkrav (CR IRB 1)</w:t>
        </w:r>
        <w:r w:rsidR="00FF629E">
          <w:rPr>
            <w:webHidden/>
          </w:rPr>
          <w:tab/>
        </w:r>
        <w:r w:rsidR="00FF629E">
          <w:rPr>
            <w:webHidden/>
          </w:rPr>
          <w:fldChar w:fldCharType="begin"/>
        </w:r>
        <w:r w:rsidR="00FF629E">
          <w:rPr>
            <w:webHidden/>
          </w:rPr>
          <w:instrText xml:space="preserve"> PAGEREF _Toc523820265 \h </w:instrText>
        </w:r>
        <w:r w:rsidR="00FF629E">
          <w:rPr>
            <w:webHidden/>
          </w:rPr>
        </w:r>
        <w:r w:rsidR="00FF629E">
          <w:rPr>
            <w:webHidden/>
          </w:rPr>
          <w:fldChar w:fldCharType="separate"/>
        </w:r>
        <w:r w:rsidR="00FF629E">
          <w:rPr>
            <w:webHidden/>
          </w:rPr>
          <w:t>93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6" w:history="1">
        <w:r w:rsidR="00FF629E" w:rsidRPr="003B3762">
          <w:rPr>
            <w:rStyle w:val="Hyperlink"/>
            <w:rFonts w:ascii="Times New Roman" w:hAnsi="Times New Roman"/>
          </w:rPr>
          <w:t>3.3.3.1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_Toc523820266 \h </w:instrText>
        </w:r>
        <w:r w:rsidR="00FF629E">
          <w:rPr>
            <w:webHidden/>
          </w:rPr>
        </w:r>
        <w:r w:rsidR="00FF629E">
          <w:rPr>
            <w:webHidden/>
          </w:rPr>
          <w:fldChar w:fldCharType="separate"/>
        </w:r>
        <w:r w:rsidR="00FF629E">
          <w:rPr>
            <w:webHidden/>
          </w:rPr>
          <w:t>93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7" w:history="1">
        <w:r w:rsidR="00FF629E" w:rsidRPr="003B3762">
          <w:rPr>
            <w:rStyle w:val="Hyperlink"/>
            <w:rFonts w:ascii="Times New Roman" w:hAnsi="Times New Roman"/>
          </w:rPr>
          <w:t>3.3.4.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08.02 – Kreditrisk och motpartsrisk och transaktioner utan samtidig prestation: Internmetoden för kapitalkrav (uppdelning per riskklass) (mall CR IRB 2)</w:t>
        </w:r>
        <w:r w:rsidR="00FF629E">
          <w:rPr>
            <w:webHidden/>
          </w:rPr>
          <w:tab/>
        </w:r>
        <w:r w:rsidR="00FF629E">
          <w:rPr>
            <w:webHidden/>
          </w:rPr>
          <w:fldChar w:fldCharType="begin"/>
        </w:r>
        <w:r w:rsidR="00FF629E">
          <w:rPr>
            <w:webHidden/>
          </w:rPr>
          <w:instrText xml:space="preserve"> PAGEREF _Toc523820267 \h </w:instrText>
        </w:r>
        <w:r w:rsidR="00FF629E">
          <w:rPr>
            <w:webHidden/>
          </w:rPr>
        </w:r>
        <w:r w:rsidR="00FF629E">
          <w:rPr>
            <w:webHidden/>
          </w:rPr>
          <w:fldChar w:fldCharType="separate"/>
        </w:r>
        <w:r w:rsidR="00FF629E">
          <w:rPr>
            <w:webHidden/>
          </w:rPr>
          <w:t>102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8" w:history="1">
        <w:r w:rsidR="00FF629E" w:rsidRPr="003B3762">
          <w:rPr>
            <w:rStyle w:val="Hyperlink"/>
            <w:rFonts w:ascii="Times New Roman" w:hAnsi="Times New Roman"/>
          </w:rPr>
          <w:t>3.4.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Kreditrisk och motpartsrisk och transaktioner utan samtidig prestation: Geografiskt uppdelad information</w:t>
        </w:r>
        <w:r w:rsidR="00FF629E">
          <w:rPr>
            <w:webHidden/>
          </w:rPr>
          <w:tab/>
        </w:r>
        <w:r w:rsidR="00FF629E">
          <w:rPr>
            <w:webHidden/>
          </w:rPr>
          <w:fldChar w:fldCharType="begin"/>
        </w:r>
        <w:r w:rsidR="00FF629E">
          <w:rPr>
            <w:webHidden/>
          </w:rPr>
          <w:instrText xml:space="preserve"> PAGEREF _Toc523820268 \h </w:instrText>
        </w:r>
        <w:r w:rsidR="00FF629E">
          <w:rPr>
            <w:webHidden/>
          </w:rPr>
        </w:r>
        <w:r w:rsidR="00FF629E">
          <w:rPr>
            <w:webHidden/>
          </w:rPr>
          <w:fldChar w:fldCharType="separate"/>
        </w:r>
        <w:r w:rsidR="00FF629E">
          <w:rPr>
            <w:webHidden/>
          </w:rPr>
          <w:t>102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69" w:history="1">
        <w:r w:rsidR="00FF629E" w:rsidRPr="003B3762">
          <w:rPr>
            <w:rStyle w:val="Hyperlink"/>
            <w:rFonts w:ascii="Times New Roman" w:hAnsi="Times New Roman"/>
          </w:rPr>
          <w:t>3.4.1.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09.01 – Geografisk uppdelning av exponering efter gäldenärens hemvist Exponeringar enligt schablonmetoden (CR GB 1)</w:t>
        </w:r>
        <w:r w:rsidR="00FF629E">
          <w:rPr>
            <w:webHidden/>
          </w:rPr>
          <w:tab/>
        </w:r>
        <w:r w:rsidR="00FF629E">
          <w:rPr>
            <w:webHidden/>
          </w:rPr>
          <w:fldChar w:fldCharType="begin"/>
        </w:r>
        <w:r w:rsidR="00FF629E">
          <w:rPr>
            <w:webHidden/>
          </w:rPr>
          <w:instrText xml:space="preserve"> PAGEREF _Toc523820269 \h </w:instrText>
        </w:r>
        <w:r w:rsidR="00FF629E">
          <w:rPr>
            <w:webHidden/>
          </w:rPr>
        </w:r>
        <w:r w:rsidR="00FF629E">
          <w:rPr>
            <w:webHidden/>
          </w:rPr>
          <w:fldChar w:fldCharType="separate"/>
        </w:r>
        <w:r w:rsidR="00FF629E">
          <w:rPr>
            <w:webHidden/>
          </w:rPr>
          <w:t>103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0" w:history="1">
        <w:r w:rsidR="00FF629E" w:rsidRPr="003B3762">
          <w:rPr>
            <w:rStyle w:val="Hyperlink"/>
            <w:rFonts w:ascii="Times New Roman" w:hAnsi="Times New Roman"/>
          </w:rPr>
          <w:t>3.4.1.1.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_Toc523820270 \h </w:instrText>
        </w:r>
        <w:r w:rsidR="00FF629E">
          <w:rPr>
            <w:webHidden/>
          </w:rPr>
        </w:r>
        <w:r w:rsidR="00FF629E">
          <w:rPr>
            <w:webHidden/>
          </w:rPr>
          <w:fldChar w:fldCharType="separate"/>
        </w:r>
        <w:r w:rsidR="00FF629E">
          <w:rPr>
            <w:webHidden/>
          </w:rPr>
          <w:t>103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1" w:history="1">
        <w:r w:rsidR="00FF629E" w:rsidRPr="003B3762">
          <w:rPr>
            <w:rStyle w:val="Hyperlink"/>
            <w:rFonts w:ascii="Times New Roman" w:hAnsi="Times New Roman"/>
          </w:rPr>
          <w:t>3.4.2.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Tabell 09.02 – Geografisk uppdelning av exponering efter gäldenärens hemvist Exponeringar enligt internmetoden (CR GB 2)</w:t>
        </w:r>
        <w:r w:rsidR="00FF629E">
          <w:rPr>
            <w:webHidden/>
          </w:rPr>
          <w:tab/>
        </w:r>
        <w:r w:rsidR="00FF629E">
          <w:rPr>
            <w:webHidden/>
          </w:rPr>
          <w:fldChar w:fldCharType="begin"/>
        </w:r>
        <w:r w:rsidR="00FF629E">
          <w:rPr>
            <w:webHidden/>
          </w:rPr>
          <w:instrText xml:space="preserve"> PAGEREF _Toc523820271 \h </w:instrText>
        </w:r>
        <w:r w:rsidR="00FF629E">
          <w:rPr>
            <w:webHidden/>
          </w:rPr>
        </w:r>
        <w:r w:rsidR="00FF629E">
          <w:rPr>
            <w:webHidden/>
          </w:rPr>
          <w:fldChar w:fldCharType="separate"/>
        </w:r>
        <w:r w:rsidR="00FF629E">
          <w:rPr>
            <w:webHidden/>
          </w:rPr>
          <w:t>105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2" w:history="1">
        <w:r w:rsidR="00FF629E" w:rsidRPr="003B3762">
          <w:rPr>
            <w:rStyle w:val="Hyperlink"/>
            <w:rFonts w:ascii="Times New Roman" w:hAnsi="Times New Roman"/>
          </w:rPr>
          <w:t>3.4.2.1.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_Toc523820272 \h </w:instrText>
        </w:r>
        <w:r w:rsidR="00FF629E">
          <w:rPr>
            <w:webHidden/>
          </w:rPr>
        </w:r>
        <w:r w:rsidR="00FF629E">
          <w:rPr>
            <w:webHidden/>
          </w:rPr>
          <w:fldChar w:fldCharType="separate"/>
        </w:r>
        <w:r w:rsidR="00FF629E">
          <w:rPr>
            <w:webHidden/>
          </w:rPr>
          <w:t>105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3" w:history="1">
        <w:r w:rsidR="00FF629E" w:rsidRPr="003B3762">
          <w:rPr>
            <w:rStyle w:val="Hyperlink"/>
            <w:rFonts w:ascii="Times New Roman" w:hAnsi="Times New Roman"/>
          </w:rPr>
          <w:t>3.4.3.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Tabell 09.04 – Uppdelning av kreditexponeringar som är relevanta för beräkningen av den kontracykliska bufferten per land och institutspecifikt kontracykliskt buffertvärde (CCB)</w:t>
        </w:r>
        <w:r w:rsidR="00FF629E">
          <w:rPr>
            <w:webHidden/>
          </w:rPr>
          <w:tab/>
        </w:r>
        <w:r w:rsidR="00FF629E">
          <w:rPr>
            <w:webHidden/>
          </w:rPr>
          <w:fldChar w:fldCharType="begin"/>
        </w:r>
        <w:r w:rsidR="00FF629E">
          <w:rPr>
            <w:webHidden/>
          </w:rPr>
          <w:instrText xml:space="preserve"> PAGEREF _Toc523820273 \h </w:instrText>
        </w:r>
        <w:r w:rsidR="00FF629E">
          <w:rPr>
            <w:webHidden/>
          </w:rPr>
        </w:r>
        <w:r w:rsidR="00FF629E">
          <w:rPr>
            <w:webHidden/>
          </w:rPr>
          <w:fldChar w:fldCharType="separate"/>
        </w:r>
        <w:r w:rsidR="00FF629E">
          <w:rPr>
            <w:webHidden/>
          </w:rPr>
          <w:t>108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4" w:history="1">
        <w:r w:rsidR="00FF629E" w:rsidRPr="003B3762">
          <w:rPr>
            <w:rStyle w:val="Hyperlink"/>
            <w:rFonts w:ascii="Times New Roman" w:hAnsi="Times New Roman"/>
          </w:rPr>
          <w:t>3.4.3.1.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_Toc523820274 \h </w:instrText>
        </w:r>
        <w:r w:rsidR="00FF629E">
          <w:rPr>
            <w:webHidden/>
          </w:rPr>
        </w:r>
        <w:r w:rsidR="00FF629E">
          <w:rPr>
            <w:webHidden/>
          </w:rPr>
          <w:fldChar w:fldCharType="separate"/>
        </w:r>
        <w:r w:rsidR="00FF629E">
          <w:rPr>
            <w:webHidden/>
          </w:rPr>
          <w:t>108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5" w:history="1">
        <w:r w:rsidR="00FF629E" w:rsidRPr="003B3762">
          <w:rPr>
            <w:rStyle w:val="Hyperlink"/>
            <w:rFonts w:ascii="Times New Roman" w:hAnsi="Times New Roman"/>
          </w:rPr>
          <w:t>3.4.3.2.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_Toc523820275 \h </w:instrText>
        </w:r>
        <w:r w:rsidR="00FF629E">
          <w:rPr>
            <w:webHidden/>
          </w:rPr>
        </w:r>
        <w:r w:rsidR="00FF629E">
          <w:rPr>
            <w:webHidden/>
          </w:rPr>
          <w:fldChar w:fldCharType="separate"/>
        </w:r>
        <w:r w:rsidR="00FF629E">
          <w:rPr>
            <w:webHidden/>
          </w:rPr>
          <w:t>109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6" w:history="1">
        <w:r w:rsidR="00FF629E" w:rsidRPr="003B3762">
          <w:rPr>
            <w:rStyle w:val="Hyperlink"/>
            <w:rFonts w:ascii="Times New Roman" w:hAnsi="Times New Roman"/>
          </w:rPr>
          <w:t>3.5.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10.01 och C 10.02 – Kreditrisk: aktier – internmetod för kapitalkrav  (CR EQU IRB 1 och CR EQU IRB 2)</w:t>
        </w:r>
        <w:r w:rsidR="00FF629E">
          <w:rPr>
            <w:webHidden/>
          </w:rPr>
          <w:tab/>
        </w:r>
        <w:r w:rsidR="00FF629E">
          <w:rPr>
            <w:webHidden/>
          </w:rPr>
          <w:fldChar w:fldCharType="begin"/>
        </w:r>
        <w:r w:rsidR="00FF629E">
          <w:rPr>
            <w:webHidden/>
          </w:rPr>
          <w:instrText xml:space="preserve"> PAGEREF _Toc523820276 \h </w:instrText>
        </w:r>
        <w:r w:rsidR="00FF629E">
          <w:rPr>
            <w:webHidden/>
          </w:rPr>
        </w:r>
        <w:r w:rsidR="00FF629E">
          <w:rPr>
            <w:webHidden/>
          </w:rPr>
          <w:fldChar w:fldCharType="separate"/>
        </w:r>
        <w:r w:rsidR="00FF629E">
          <w:rPr>
            <w:webHidden/>
          </w:rPr>
          <w:t>113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7" w:history="1">
        <w:r w:rsidR="00FF629E" w:rsidRPr="003B3762">
          <w:rPr>
            <w:rStyle w:val="Hyperlink"/>
            <w:rFonts w:ascii="Times New Roman" w:hAnsi="Times New Roman"/>
          </w:rPr>
          <w:t>3.5.1.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_Toc523820277 \h </w:instrText>
        </w:r>
        <w:r w:rsidR="00FF629E">
          <w:rPr>
            <w:webHidden/>
          </w:rPr>
        </w:r>
        <w:r w:rsidR="00FF629E">
          <w:rPr>
            <w:webHidden/>
          </w:rPr>
          <w:fldChar w:fldCharType="separate"/>
        </w:r>
        <w:r w:rsidR="00FF629E">
          <w:rPr>
            <w:webHidden/>
          </w:rPr>
          <w:t>113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8" w:history="1">
        <w:r w:rsidR="00FF629E" w:rsidRPr="003B3762">
          <w:rPr>
            <w:rStyle w:val="Hyperlink"/>
            <w:rFonts w:ascii="Times New Roman" w:hAnsi="Times New Roman"/>
          </w:rPr>
          <w:t>3.5.2.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avseende särskilda positioner (tillämpliga för både CR EQU IRB 1 och CR EQU IRB 2)</w:t>
        </w:r>
        <w:r w:rsidR="00FF629E">
          <w:rPr>
            <w:webHidden/>
          </w:rPr>
          <w:tab/>
        </w:r>
        <w:r w:rsidR="00FF629E">
          <w:rPr>
            <w:webHidden/>
          </w:rPr>
          <w:fldChar w:fldCharType="begin"/>
        </w:r>
        <w:r w:rsidR="00FF629E">
          <w:rPr>
            <w:webHidden/>
          </w:rPr>
          <w:instrText xml:space="preserve"> PAGEREF _Toc523820278 \h </w:instrText>
        </w:r>
        <w:r w:rsidR="00FF629E">
          <w:rPr>
            <w:webHidden/>
          </w:rPr>
        </w:r>
        <w:r w:rsidR="00FF629E">
          <w:rPr>
            <w:webHidden/>
          </w:rPr>
          <w:fldChar w:fldCharType="separate"/>
        </w:r>
        <w:r w:rsidR="00FF629E">
          <w:rPr>
            <w:webHidden/>
          </w:rPr>
          <w:t>114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79" w:history="1">
        <w:r w:rsidR="00FF629E" w:rsidRPr="003B3762">
          <w:rPr>
            <w:rStyle w:val="Hyperlink"/>
            <w:rFonts w:ascii="Times New Roman" w:hAnsi="Times New Roman"/>
          </w:rPr>
          <w:t>3.6.</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11.00 – Avvecklings-/leveransrisk(CR SETT)</w:t>
        </w:r>
        <w:r w:rsidR="00FF629E">
          <w:rPr>
            <w:webHidden/>
          </w:rPr>
          <w:tab/>
        </w:r>
        <w:r w:rsidR="00FF629E">
          <w:rPr>
            <w:webHidden/>
          </w:rPr>
          <w:fldChar w:fldCharType="begin"/>
        </w:r>
        <w:r w:rsidR="00FF629E">
          <w:rPr>
            <w:webHidden/>
          </w:rPr>
          <w:instrText xml:space="preserve"> PAGEREF _Toc523820279 \h </w:instrText>
        </w:r>
        <w:r w:rsidR="00FF629E">
          <w:rPr>
            <w:webHidden/>
          </w:rPr>
        </w:r>
        <w:r w:rsidR="00FF629E">
          <w:rPr>
            <w:webHidden/>
          </w:rPr>
          <w:fldChar w:fldCharType="separate"/>
        </w:r>
        <w:r w:rsidR="00FF629E">
          <w:rPr>
            <w:webHidden/>
          </w:rPr>
          <w:t>117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0" w:history="1">
        <w:r w:rsidR="00FF629E" w:rsidRPr="003B3762">
          <w:rPr>
            <w:rStyle w:val="Hyperlink"/>
            <w:rFonts w:ascii="Times New Roman" w:hAnsi="Times New Roman"/>
          </w:rPr>
          <w:t>3.6.1.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_Toc523820280 \h </w:instrText>
        </w:r>
        <w:r w:rsidR="00FF629E">
          <w:rPr>
            <w:webHidden/>
          </w:rPr>
        </w:r>
        <w:r w:rsidR="00FF629E">
          <w:rPr>
            <w:webHidden/>
          </w:rPr>
          <w:fldChar w:fldCharType="separate"/>
        </w:r>
        <w:r w:rsidR="00FF629E">
          <w:rPr>
            <w:webHidden/>
          </w:rPr>
          <w:t>117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1" w:history="1">
        <w:r w:rsidR="00FF629E" w:rsidRPr="003B3762">
          <w:rPr>
            <w:rStyle w:val="Hyperlink"/>
            <w:rFonts w:ascii="Times New Roman" w:hAnsi="Times New Roman"/>
          </w:rPr>
          <w:t>3.6.2.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_Toc523820281 \h </w:instrText>
        </w:r>
        <w:r w:rsidR="00FF629E">
          <w:rPr>
            <w:webHidden/>
          </w:rPr>
        </w:r>
        <w:r w:rsidR="00FF629E">
          <w:rPr>
            <w:webHidden/>
          </w:rPr>
          <w:fldChar w:fldCharType="separate"/>
        </w:r>
        <w:r w:rsidR="00FF629E">
          <w:rPr>
            <w:webHidden/>
          </w:rPr>
          <w:t>118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2" w:history="1">
        <w:r w:rsidR="00FF629E" w:rsidRPr="003B3762">
          <w:rPr>
            <w:rStyle w:val="Hyperlink"/>
            <w:rFonts w:ascii="Times New Roman" w:hAnsi="Times New Roman"/>
          </w:rPr>
          <w:t>3.7.</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12.00 – Kreditrisk: Värdepapperisering – schablonmetod för kapitalbaskrav (CR SEC SA)</w:t>
        </w:r>
        <w:r w:rsidR="00FF629E">
          <w:rPr>
            <w:webHidden/>
          </w:rPr>
          <w:tab/>
        </w:r>
        <w:r w:rsidR="00FF629E">
          <w:rPr>
            <w:webHidden/>
          </w:rPr>
          <w:fldChar w:fldCharType="begin"/>
        </w:r>
        <w:r w:rsidR="00FF629E">
          <w:rPr>
            <w:webHidden/>
          </w:rPr>
          <w:instrText xml:space="preserve"> PAGEREF _Toc523820282 \h </w:instrText>
        </w:r>
        <w:r w:rsidR="00FF629E">
          <w:rPr>
            <w:webHidden/>
          </w:rPr>
        </w:r>
        <w:r w:rsidR="00FF629E">
          <w:rPr>
            <w:webHidden/>
          </w:rPr>
          <w:fldChar w:fldCharType="separate"/>
        </w:r>
        <w:r w:rsidR="00FF629E">
          <w:rPr>
            <w:webHidden/>
          </w:rPr>
          <w:t>121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3" w:history="1">
        <w:r w:rsidR="00FF629E" w:rsidRPr="003B3762">
          <w:rPr>
            <w:rStyle w:val="Hyperlink"/>
            <w:rFonts w:ascii="Times New Roman" w:hAnsi="Times New Roman"/>
          </w:rPr>
          <w:t>3.7.1.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_Toc523820283 \h </w:instrText>
        </w:r>
        <w:r w:rsidR="00FF629E">
          <w:rPr>
            <w:webHidden/>
          </w:rPr>
        </w:r>
        <w:r w:rsidR="00FF629E">
          <w:rPr>
            <w:webHidden/>
          </w:rPr>
          <w:fldChar w:fldCharType="separate"/>
        </w:r>
        <w:r w:rsidR="00FF629E">
          <w:rPr>
            <w:webHidden/>
          </w:rPr>
          <w:t>121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4" w:history="1">
        <w:r w:rsidR="00FF629E" w:rsidRPr="003B3762">
          <w:rPr>
            <w:rStyle w:val="Hyperlink"/>
            <w:rFonts w:ascii="Times New Roman" w:hAnsi="Times New Roman"/>
          </w:rPr>
          <w:t>3.7.2.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_Toc523820284 \h </w:instrText>
        </w:r>
        <w:r w:rsidR="00FF629E">
          <w:rPr>
            <w:webHidden/>
          </w:rPr>
        </w:r>
        <w:r w:rsidR="00FF629E">
          <w:rPr>
            <w:webHidden/>
          </w:rPr>
          <w:fldChar w:fldCharType="separate"/>
        </w:r>
        <w:r w:rsidR="00FF629E">
          <w:rPr>
            <w:webHidden/>
          </w:rPr>
          <w:t>121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5" w:history="1">
        <w:r w:rsidR="00FF629E" w:rsidRPr="003B3762">
          <w:rPr>
            <w:rStyle w:val="Hyperlink"/>
            <w:rFonts w:ascii="Times New Roman" w:hAnsi="Times New Roman"/>
          </w:rPr>
          <w:t>3.8.</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13.00 – Kreditrisk – värdepapperisiering: internmetod för kapitalbaskrav  (CR SEC IRB)</w:t>
        </w:r>
        <w:r w:rsidR="00FF629E">
          <w:rPr>
            <w:webHidden/>
          </w:rPr>
          <w:tab/>
        </w:r>
        <w:r w:rsidR="00FF629E">
          <w:rPr>
            <w:webHidden/>
          </w:rPr>
          <w:fldChar w:fldCharType="begin"/>
        </w:r>
        <w:r w:rsidR="00FF629E">
          <w:rPr>
            <w:webHidden/>
          </w:rPr>
          <w:instrText xml:space="preserve"> PAGEREF _Toc523820285 \h </w:instrText>
        </w:r>
        <w:r w:rsidR="00FF629E">
          <w:rPr>
            <w:webHidden/>
          </w:rPr>
        </w:r>
        <w:r w:rsidR="00FF629E">
          <w:rPr>
            <w:webHidden/>
          </w:rPr>
          <w:fldChar w:fldCharType="separate"/>
        </w:r>
        <w:r w:rsidR="00FF629E">
          <w:rPr>
            <w:webHidden/>
          </w:rPr>
          <w:t>130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6" w:history="1">
        <w:r w:rsidR="00FF629E" w:rsidRPr="003B3762">
          <w:rPr>
            <w:rStyle w:val="Hyperlink"/>
            <w:rFonts w:ascii="Times New Roman" w:hAnsi="Times New Roman"/>
          </w:rPr>
          <w:t>3.8.1.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_Toc523820286 \h </w:instrText>
        </w:r>
        <w:r w:rsidR="00FF629E">
          <w:rPr>
            <w:webHidden/>
          </w:rPr>
        </w:r>
        <w:r w:rsidR="00FF629E">
          <w:rPr>
            <w:webHidden/>
          </w:rPr>
          <w:fldChar w:fldCharType="separate"/>
        </w:r>
        <w:r w:rsidR="00FF629E">
          <w:rPr>
            <w:webHidden/>
          </w:rPr>
          <w:t>130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7" w:history="1">
        <w:r w:rsidR="00FF629E" w:rsidRPr="003B3762">
          <w:rPr>
            <w:rStyle w:val="Hyperlink"/>
            <w:rFonts w:ascii="Times New Roman" w:hAnsi="Times New Roman"/>
          </w:rPr>
          <w:t>3.8.2.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_Toc523820287 \h </w:instrText>
        </w:r>
        <w:r w:rsidR="00FF629E">
          <w:rPr>
            <w:webHidden/>
          </w:rPr>
        </w:r>
        <w:r w:rsidR="00FF629E">
          <w:rPr>
            <w:webHidden/>
          </w:rPr>
          <w:fldChar w:fldCharType="separate"/>
        </w:r>
        <w:r w:rsidR="00FF629E">
          <w:rPr>
            <w:webHidden/>
          </w:rPr>
          <w:t>131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8" w:history="1">
        <w:r w:rsidR="00FF629E" w:rsidRPr="003B3762">
          <w:rPr>
            <w:rStyle w:val="Hyperlink"/>
            <w:rFonts w:ascii="Times New Roman" w:hAnsi="Times New Roman"/>
          </w:rPr>
          <w:t>3.9.</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14.00 –  Detaljerad information om värdepapperisering (SEC DETAILS)</w:t>
        </w:r>
        <w:r w:rsidR="00FF629E">
          <w:rPr>
            <w:webHidden/>
          </w:rPr>
          <w:tab/>
        </w:r>
        <w:r w:rsidR="00FF629E">
          <w:rPr>
            <w:webHidden/>
          </w:rPr>
          <w:fldChar w:fldCharType="begin"/>
        </w:r>
        <w:r w:rsidR="00FF629E">
          <w:rPr>
            <w:webHidden/>
          </w:rPr>
          <w:instrText xml:space="preserve"> PAGEREF _Toc523820288 \h </w:instrText>
        </w:r>
        <w:r w:rsidR="00FF629E">
          <w:rPr>
            <w:webHidden/>
          </w:rPr>
        </w:r>
        <w:r w:rsidR="00FF629E">
          <w:rPr>
            <w:webHidden/>
          </w:rPr>
          <w:fldChar w:fldCharType="separate"/>
        </w:r>
        <w:r w:rsidR="00FF629E">
          <w:rPr>
            <w:webHidden/>
          </w:rPr>
          <w:t>140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89" w:history="1">
        <w:r w:rsidR="00FF629E" w:rsidRPr="003B3762">
          <w:rPr>
            <w:rStyle w:val="Hyperlink"/>
            <w:rFonts w:ascii="Times New Roman" w:hAnsi="Times New Roman"/>
          </w:rPr>
          <w:t>3.9.1.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_Toc523820289 \h </w:instrText>
        </w:r>
        <w:r w:rsidR="00FF629E">
          <w:rPr>
            <w:webHidden/>
          </w:rPr>
        </w:r>
        <w:r w:rsidR="00FF629E">
          <w:rPr>
            <w:webHidden/>
          </w:rPr>
          <w:fldChar w:fldCharType="separate"/>
        </w:r>
        <w:r w:rsidR="00FF629E">
          <w:rPr>
            <w:webHidden/>
          </w:rPr>
          <w:t>140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0" w:history="1">
        <w:r w:rsidR="00FF629E" w:rsidRPr="003B3762">
          <w:rPr>
            <w:rStyle w:val="Hyperlink"/>
            <w:rFonts w:ascii="Times New Roman" w:hAnsi="Times New Roman"/>
          </w:rPr>
          <w:t>3.9.2.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_Toc523820290 \h </w:instrText>
        </w:r>
        <w:r w:rsidR="00FF629E">
          <w:rPr>
            <w:webHidden/>
          </w:rPr>
        </w:r>
        <w:r w:rsidR="00FF629E">
          <w:rPr>
            <w:webHidden/>
          </w:rPr>
          <w:fldChar w:fldCharType="separate"/>
        </w:r>
        <w:r w:rsidR="00FF629E">
          <w:rPr>
            <w:webHidden/>
          </w:rPr>
          <w:t>141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1" w:history="1">
        <w:r w:rsidR="00FF629E" w:rsidRPr="003B3762">
          <w:rPr>
            <w:rStyle w:val="Hyperlink"/>
            <w:rFonts w:ascii="Times New Roman" w:hAnsi="Times New Roman"/>
          </w:rPr>
          <w:t>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Mallar för operativ risk</w:t>
        </w:r>
        <w:r w:rsidR="00FF629E">
          <w:rPr>
            <w:webHidden/>
          </w:rPr>
          <w:tab/>
        </w:r>
        <w:r w:rsidR="00FF629E">
          <w:rPr>
            <w:webHidden/>
          </w:rPr>
          <w:fldChar w:fldCharType="begin"/>
        </w:r>
        <w:r w:rsidR="00FF629E">
          <w:rPr>
            <w:webHidden/>
          </w:rPr>
          <w:instrText xml:space="preserve"> PAGEREF _Toc523820291 \h </w:instrText>
        </w:r>
        <w:r w:rsidR="00FF629E">
          <w:rPr>
            <w:webHidden/>
          </w:rPr>
        </w:r>
        <w:r w:rsidR="00FF629E">
          <w:rPr>
            <w:webHidden/>
          </w:rPr>
          <w:fldChar w:fldCharType="separate"/>
        </w:r>
        <w:r w:rsidR="00FF629E">
          <w:rPr>
            <w:webHidden/>
          </w:rPr>
          <w:t>153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2" w:history="1">
        <w:r w:rsidR="00FF629E" w:rsidRPr="003B3762">
          <w:rPr>
            <w:rStyle w:val="Hyperlink"/>
            <w:rFonts w:ascii="Times New Roman" w:hAnsi="Times New Roman"/>
          </w:rPr>
          <w:t>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Pr>
          <w:t xml:space="preserve"> </w:t>
        </w:r>
        <w:r w:rsidR="00FF629E" w:rsidRPr="003B3762">
          <w:rPr>
            <w:rStyle w:val="Hyperlink"/>
            <w:rFonts w:ascii="Times New Roman" w:hAnsi="Times New Roman"/>
          </w:rPr>
          <w:t>C 16.00 – Operativ risk (OPR)</w:t>
        </w:r>
        <w:r w:rsidR="00FF629E">
          <w:rPr>
            <w:webHidden/>
          </w:rPr>
          <w:tab/>
        </w:r>
        <w:r w:rsidR="00FF629E">
          <w:rPr>
            <w:webHidden/>
          </w:rPr>
          <w:fldChar w:fldCharType="begin"/>
        </w:r>
        <w:r w:rsidR="00FF629E">
          <w:rPr>
            <w:webHidden/>
          </w:rPr>
          <w:instrText xml:space="preserve"> PAGEREF _Toc523820292 \h </w:instrText>
        </w:r>
        <w:r w:rsidR="00FF629E">
          <w:rPr>
            <w:webHidden/>
          </w:rPr>
        </w:r>
        <w:r w:rsidR="00FF629E">
          <w:rPr>
            <w:webHidden/>
          </w:rPr>
          <w:fldChar w:fldCharType="separate"/>
        </w:r>
        <w:r w:rsidR="00FF629E">
          <w:rPr>
            <w:webHidden/>
          </w:rPr>
          <w:t>153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3" w:history="1">
        <w:r w:rsidR="00FF629E" w:rsidRPr="003B3762">
          <w:rPr>
            <w:rStyle w:val="Hyperlink"/>
            <w:rFonts w:ascii="Times New Roman" w:hAnsi="Times New Roman"/>
          </w:rPr>
          <w:t>4.1.1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_Toc523820293 \h </w:instrText>
        </w:r>
        <w:r w:rsidR="00FF629E">
          <w:rPr>
            <w:webHidden/>
          </w:rPr>
        </w:r>
        <w:r w:rsidR="00FF629E">
          <w:rPr>
            <w:webHidden/>
          </w:rPr>
          <w:fldChar w:fldCharType="separate"/>
        </w:r>
        <w:r w:rsidR="00FF629E">
          <w:rPr>
            <w:webHidden/>
          </w:rPr>
          <w:t>153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4" w:history="1">
        <w:r w:rsidR="00FF629E" w:rsidRPr="003B3762">
          <w:rPr>
            <w:rStyle w:val="Hyperlink"/>
            <w:rFonts w:ascii="Times New Roman" w:hAnsi="Times New Roman"/>
          </w:rPr>
          <w:t>4.1.2.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_Toc523820294 \h </w:instrText>
        </w:r>
        <w:r w:rsidR="00FF629E">
          <w:rPr>
            <w:webHidden/>
          </w:rPr>
        </w:r>
        <w:r w:rsidR="00FF629E">
          <w:rPr>
            <w:webHidden/>
          </w:rPr>
          <w:fldChar w:fldCharType="separate"/>
        </w:r>
        <w:r w:rsidR="00FF629E">
          <w:rPr>
            <w:webHidden/>
          </w:rPr>
          <w:t>154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5" w:history="1">
        <w:r w:rsidR="00FF629E" w:rsidRPr="003B3762">
          <w:rPr>
            <w:rStyle w:val="Hyperlink"/>
            <w:rFonts w:ascii="Times New Roman" w:hAnsi="Times New Roman"/>
          </w:rPr>
          <w:t>4.2.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Operativ risk: Detaljerad information om förluster under det senaste året (OPR DETAILS)</w:t>
        </w:r>
        <w:r w:rsidR="00FF629E">
          <w:rPr>
            <w:webHidden/>
          </w:rPr>
          <w:tab/>
        </w:r>
        <w:r w:rsidR="00FF629E">
          <w:rPr>
            <w:webHidden/>
          </w:rPr>
          <w:fldChar w:fldCharType="begin"/>
        </w:r>
        <w:r w:rsidR="00FF629E">
          <w:rPr>
            <w:webHidden/>
          </w:rPr>
          <w:instrText xml:space="preserve"> PAGEREF _Toc523820295 \h </w:instrText>
        </w:r>
        <w:r w:rsidR="00FF629E">
          <w:rPr>
            <w:webHidden/>
          </w:rPr>
        </w:r>
        <w:r w:rsidR="00FF629E">
          <w:rPr>
            <w:webHidden/>
          </w:rPr>
          <w:fldChar w:fldCharType="separate"/>
        </w:r>
        <w:r w:rsidR="00FF629E">
          <w:rPr>
            <w:webHidden/>
          </w:rPr>
          <w:t>157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6" w:history="1">
        <w:r w:rsidR="00FF629E" w:rsidRPr="003B3762">
          <w:rPr>
            <w:rStyle w:val="Hyperlink"/>
            <w:rFonts w:ascii="Times New Roman" w:hAnsi="Times New Roman"/>
          </w:rPr>
          <w:t>4.2.1.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_Toc523820296 \h </w:instrText>
        </w:r>
        <w:r w:rsidR="00FF629E">
          <w:rPr>
            <w:webHidden/>
          </w:rPr>
        </w:r>
        <w:r w:rsidR="00FF629E">
          <w:rPr>
            <w:webHidden/>
          </w:rPr>
          <w:fldChar w:fldCharType="separate"/>
        </w:r>
        <w:r w:rsidR="00FF629E">
          <w:rPr>
            <w:webHidden/>
          </w:rPr>
          <w:t>157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7" w:history="1">
        <w:r w:rsidR="00FF629E" w:rsidRPr="003B3762">
          <w:rPr>
            <w:rStyle w:val="Hyperlink"/>
            <w:rFonts w:ascii="Times New Roman" w:hAnsi="Times New Roman"/>
          </w:rPr>
          <w:t>4.2.2.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17.01: Förluster och återvinningar per affärsområde och händelsetyp det senaste året (OPR DETAILS 1)</w:t>
        </w:r>
        <w:r w:rsidR="00FF629E">
          <w:rPr>
            <w:webHidden/>
          </w:rPr>
          <w:tab/>
        </w:r>
        <w:r w:rsidR="00FF629E">
          <w:rPr>
            <w:webHidden/>
          </w:rPr>
          <w:fldChar w:fldCharType="begin"/>
        </w:r>
        <w:r w:rsidR="00FF629E">
          <w:rPr>
            <w:webHidden/>
          </w:rPr>
          <w:instrText xml:space="preserve"> PAGEREF _Toc523820297 \h </w:instrText>
        </w:r>
        <w:r w:rsidR="00FF629E">
          <w:rPr>
            <w:webHidden/>
          </w:rPr>
        </w:r>
        <w:r w:rsidR="00FF629E">
          <w:rPr>
            <w:webHidden/>
          </w:rPr>
          <w:fldChar w:fldCharType="separate"/>
        </w:r>
        <w:r w:rsidR="00FF629E">
          <w:rPr>
            <w:webHidden/>
          </w:rPr>
          <w:t>159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8" w:history="1">
        <w:r w:rsidR="00FF629E" w:rsidRPr="003B3762">
          <w:rPr>
            <w:rStyle w:val="Hyperlink"/>
            <w:rFonts w:ascii="Times New Roman" w:hAnsi="Times New Roman"/>
          </w:rPr>
          <w:t>4.2.2.1.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_Toc523820298 \h </w:instrText>
        </w:r>
        <w:r w:rsidR="00FF629E">
          <w:rPr>
            <w:webHidden/>
          </w:rPr>
        </w:r>
        <w:r w:rsidR="00FF629E">
          <w:rPr>
            <w:webHidden/>
          </w:rPr>
          <w:fldChar w:fldCharType="separate"/>
        </w:r>
        <w:r w:rsidR="00FF629E">
          <w:rPr>
            <w:webHidden/>
          </w:rPr>
          <w:t>159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299" w:history="1">
        <w:r w:rsidR="00FF629E" w:rsidRPr="003B3762">
          <w:rPr>
            <w:rStyle w:val="Hyperlink"/>
            <w:rFonts w:ascii="Times New Roman" w:hAnsi="Times New Roman"/>
          </w:rPr>
          <w:t>4.2.2.2.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_Toc523820299 \h </w:instrText>
        </w:r>
        <w:r w:rsidR="00FF629E">
          <w:rPr>
            <w:webHidden/>
          </w:rPr>
        </w:r>
        <w:r w:rsidR="00FF629E">
          <w:rPr>
            <w:webHidden/>
          </w:rPr>
          <w:fldChar w:fldCharType="separate"/>
        </w:r>
        <w:r w:rsidR="00FF629E">
          <w:rPr>
            <w:webHidden/>
          </w:rPr>
          <w:t>159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0" w:history="1">
        <w:r w:rsidR="00FF629E" w:rsidRPr="003B3762">
          <w:rPr>
            <w:rStyle w:val="Hyperlink"/>
            <w:rFonts w:ascii="Times New Roman" w:hAnsi="Times New Roman"/>
          </w:rPr>
          <w:t>4.2.3.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17.02: Operativ risk Detaljerad information om de största förlusthändelserna under det senaste året (OPR DETAILS 2)</w:t>
        </w:r>
        <w:r w:rsidR="00FF629E">
          <w:rPr>
            <w:webHidden/>
          </w:rPr>
          <w:tab/>
        </w:r>
        <w:r w:rsidR="00FF629E">
          <w:rPr>
            <w:webHidden/>
          </w:rPr>
          <w:fldChar w:fldCharType="begin"/>
        </w:r>
        <w:r w:rsidR="00FF629E">
          <w:rPr>
            <w:webHidden/>
          </w:rPr>
          <w:instrText xml:space="preserve"> PAGEREF _Toc523820300 \h </w:instrText>
        </w:r>
        <w:r w:rsidR="00FF629E">
          <w:rPr>
            <w:webHidden/>
          </w:rPr>
        </w:r>
        <w:r w:rsidR="00FF629E">
          <w:rPr>
            <w:webHidden/>
          </w:rPr>
          <w:fldChar w:fldCharType="separate"/>
        </w:r>
        <w:r w:rsidR="00FF629E">
          <w:rPr>
            <w:webHidden/>
          </w:rPr>
          <w:t>165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1" w:history="1">
        <w:r w:rsidR="00FF629E" w:rsidRPr="003B3762">
          <w:rPr>
            <w:rStyle w:val="Hyperlink"/>
            <w:rFonts w:ascii="Times New Roman" w:hAnsi="Times New Roman"/>
          </w:rPr>
          <w:t>4.2.3.1.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_Toc523820301 \h </w:instrText>
        </w:r>
        <w:r w:rsidR="00FF629E">
          <w:rPr>
            <w:webHidden/>
          </w:rPr>
        </w:r>
        <w:r w:rsidR="00FF629E">
          <w:rPr>
            <w:webHidden/>
          </w:rPr>
          <w:fldChar w:fldCharType="separate"/>
        </w:r>
        <w:r w:rsidR="00FF629E">
          <w:rPr>
            <w:webHidden/>
          </w:rPr>
          <w:t>165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2" w:history="1">
        <w:r w:rsidR="00FF629E" w:rsidRPr="003B3762">
          <w:rPr>
            <w:rStyle w:val="Hyperlink"/>
            <w:rFonts w:ascii="Times New Roman" w:hAnsi="Times New Roman"/>
          </w:rPr>
          <w:t>4.2.3.2.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_Toc523820302 \h </w:instrText>
        </w:r>
        <w:r w:rsidR="00FF629E">
          <w:rPr>
            <w:webHidden/>
          </w:rPr>
        </w:r>
        <w:r w:rsidR="00FF629E">
          <w:rPr>
            <w:webHidden/>
          </w:rPr>
          <w:fldChar w:fldCharType="separate"/>
        </w:r>
        <w:r w:rsidR="00FF629E">
          <w:rPr>
            <w:webHidden/>
          </w:rPr>
          <w:t>166</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3" w:history="1">
        <w:r w:rsidR="00FF629E" w:rsidRPr="003B3762">
          <w:rPr>
            <w:rStyle w:val="Hyperlink"/>
            <w:rFonts w:ascii="Times New Roman" w:hAnsi="Times New Roman"/>
          </w:rPr>
          <w:t>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Mallar för marknadsrisker</w:t>
        </w:r>
        <w:r w:rsidR="00FF629E">
          <w:rPr>
            <w:webHidden/>
          </w:rPr>
          <w:tab/>
        </w:r>
        <w:r w:rsidR="00FF629E">
          <w:rPr>
            <w:webHidden/>
          </w:rPr>
          <w:fldChar w:fldCharType="begin"/>
        </w:r>
        <w:r w:rsidR="00FF629E">
          <w:rPr>
            <w:webHidden/>
          </w:rPr>
          <w:instrText xml:space="preserve"> PAGEREF _Toc523820303 \h </w:instrText>
        </w:r>
        <w:r w:rsidR="00FF629E">
          <w:rPr>
            <w:webHidden/>
          </w:rPr>
        </w:r>
        <w:r w:rsidR="00FF629E">
          <w:rPr>
            <w:webHidden/>
          </w:rPr>
          <w:fldChar w:fldCharType="separate"/>
        </w:r>
        <w:r w:rsidR="00FF629E">
          <w:rPr>
            <w:webHidden/>
          </w:rPr>
          <w:t>168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4" w:history="1">
        <w:r w:rsidR="00FF629E" w:rsidRPr="003B3762">
          <w:rPr>
            <w:rStyle w:val="Hyperlink"/>
            <w:rFonts w:ascii="Times New Roman" w:hAnsi="Times New Roman"/>
          </w:rPr>
          <w:t>5.1.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18.00 – Marknadsrisk: Schablonmetod för positionsrisker i omsatta skuldinstrument (MKR SA TDI)</w:t>
        </w:r>
        <w:r w:rsidR="00FF629E">
          <w:rPr>
            <w:webHidden/>
          </w:rPr>
          <w:tab/>
        </w:r>
        <w:r w:rsidR="00FF629E">
          <w:rPr>
            <w:webHidden/>
          </w:rPr>
          <w:fldChar w:fldCharType="begin"/>
        </w:r>
        <w:r w:rsidR="00FF629E">
          <w:rPr>
            <w:webHidden/>
          </w:rPr>
          <w:instrText xml:space="preserve"> PAGEREF _Toc523820304 \h </w:instrText>
        </w:r>
        <w:r w:rsidR="00FF629E">
          <w:rPr>
            <w:webHidden/>
          </w:rPr>
        </w:r>
        <w:r w:rsidR="00FF629E">
          <w:rPr>
            <w:webHidden/>
          </w:rPr>
          <w:fldChar w:fldCharType="separate"/>
        </w:r>
        <w:r w:rsidR="00FF629E">
          <w:rPr>
            <w:webHidden/>
          </w:rPr>
          <w:t>168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5" w:history="1">
        <w:r w:rsidR="00FF629E" w:rsidRPr="003B3762">
          <w:rPr>
            <w:rStyle w:val="Hyperlink"/>
            <w:rFonts w:ascii="Times New Roman" w:hAnsi="Times New Roman"/>
          </w:rPr>
          <w:t>5.1.1.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_Toc523820305 \h </w:instrText>
        </w:r>
        <w:r w:rsidR="00FF629E">
          <w:rPr>
            <w:webHidden/>
          </w:rPr>
        </w:r>
        <w:r w:rsidR="00FF629E">
          <w:rPr>
            <w:webHidden/>
          </w:rPr>
          <w:fldChar w:fldCharType="separate"/>
        </w:r>
        <w:r w:rsidR="00FF629E">
          <w:rPr>
            <w:webHidden/>
          </w:rPr>
          <w:t>168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6" w:history="1">
        <w:r w:rsidR="00FF629E" w:rsidRPr="003B3762">
          <w:rPr>
            <w:rStyle w:val="Hyperlink"/>
            <w:rFonts w:ascii="Times New Roman" w:hAnsi="Times New Roman"/>
          </w:rPr>
          <w:t>5.1.2.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_Toc523820306 \h </w:instrText>
        </w:r>
        <w:r w:rsidR="00FF629E">
          <w:rPr>
            <w:webHidden/>
          </w:rPr>
        </w:r>
        <w:r w:rsidR="00FF629E">
          <w:rPr>
            <w:webHidden/>
          </w:rPr>
          <w:fldChar w:fldCharType="separate"/>
        </w:r>
        <w:r w:rsidR="00FF629E">
          <w:rPr>
            <w:webHidden/>
          </w:rPr>
          <w:t>168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7" w:history="1">
        <w:r w:rsidR="00FF629E" w:rsidRPr="003B3762">
          <w:rPr>
            <w:rStyle w:val="Hyperlink"/>
            <w:rFonts w:ascii="Times New Roman" w:hAnsi="Times New Roman"/>
          </w:rPr>
          <w:t>5.2.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19.00 – MARKNADSRISK: SCHABLONMETOD FÖR SPECIFIK RISK I VÄRDEPAPPERISERING (MKR SA SEC)</w:t>
        </w:r>
        <w:r w:rsidR="00FF629E">
          <w:rPr>
            <w:webHidden/>
          </w:rPr>
          <w:tab/>
        </w:r>
        <w:r w:rsidR="00FF629E">
          <w:rPr>
            <w:webHidden/>
          </w:rPr>
          <w:fldChar w:fldCharType="begin"/>
        </w:r>
        <w:r w:rsidR="00FF629E">
          <w:rPr>
            <w:webHidden/>
          </w:rPr>
          <w:instrText xml:space="preserve"> PAGEREF _Toc523820307 \h </w:instrText>
        </w:r>
        <w:r w:rsidR="00FF629E">
          <w:rPr>
            <w:webHidden/>
          </w:rPr>
        </w:r>
        <w:r w:rsidR="00FF629E">
          <w:rPr>
            <w:webHidden/>
          </w:rPr>
          <w:fldChar w:fldCharType="separate"/>
        </w:r>
        <w:r w:rsidR="00FF629E">
          <w:rPr>
            <w:webHidden/>
          </w:rPr>
          <w:t>171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8" w:history="1">
        <w:r w:rsidR="00FF629E" w:rsidRPr="003B3762">
          <w:rPr>
            <w:rStyle w:val="Hyperlink"/>
            <w:rFonts w:ascii="Times New Roman" w:hAnsi="Times New Roman"/>
          </w:rPr>
          <w:t>5.2.1.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_Toc523820308 \h </w:instrText>
        </w:r>
        <w:r w:rsidR="00FF629E">
          <w:rPr>
            <w:webHidden/>
          </w:rPr>
        </w:r>
        <w:r w:rsidR="00FF629E">
          <w:rPr>
            <w:webHidden/>
          </w:rPr>
          <w:fldChar w:fldCharType="separate"/>
        </w:r>
        <w:r w:rsidR="00FF629E">
          <w:rPr>
            <w:webHidden/>
          </w:rPr>
          <w:t>171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09" w:history="1">
        <w:r w:rsidR="00FF629E" w:rsidRPr="003B3762">
          <w:rPr>
            <w:rStyle w:val="Hyperlink"/>
            <w:rFonts w:ascii="Times New Roman" w:hAnsi="Times New Roman"/>
          </w:rPr>
          <w:t>5.2.2.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_Toc523820309 \h </w:instrText>
        </w:r>
        <w:r w:rsidR="00FF629E">
          <w:rPr>
            <w:webHidden/>
          </w:rPr>
        </w:r>
        <w:r w:rsidR="00FF629E">
          <w:rPr>
            <w:webHidden/>
          </w:rPr>
          <w:fldChar w:fldCharType="separate"/>
        </w:r>
        <w:r w:rsidR="00FF629E">
          <w:rPr>
            <w:webHidden/>
          </w:rPr>
          <w:t>171</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0" w:history="1">
        <w:r w:rsidR="00FF629E" w:rsidRPr="003B3762">
          <w:rPr>
            <w:rStyle w:val="Hyperlink"/>
            <w:rFonts w:ascii="Times New Roman" w:hAnsi="Times New Roman"/>
          </w:rPr>
          <w:t>5.3.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20.00 – MARKNADSRISK: SCHABLONMETOD FÖR SPECIFIK RISK I KORRELATIONSHANDELSPORTFÖLJ (MKR SA CTP)</w:t>
        </w:r>
        <w:r w:rsidR="00FF629E">
          <w:rPr>
            <w:webHidden/>
          </w:rPr>
          <w:tab/>
        </w:r>
        <w:r w:rsidR="00FF629E">
          <w:rPr>
            <w:webHidden/>
          </w:rPr>
          <w:fldChar w:fldCharType="begin"/>
        </w:r>
        <w:r w:rsidR="00FF629E">
          <w:rPr>
            <w:webHidden/>
          </w:rPr>
          <w:instrText xml:space="preserve"> PAGEREF _Toc523820310 \h </w:instrText>
        </w:r>
        <w:r w:rsidR="00FF629E">
          <w:rPr>
            <w:webHidden/>
          </w:rPr>
        </w:r>
        <w:r w:rsidR="00FF629E">
          <w:rPr>
            <w:webHidden/>
          </w:rPr>
          <w:fldChar w:fldCharType="separate"/>
        </w:r>
        <w:r w:rsidR="00FF629E">
          <w:rPr>
            <w:webHidden/>
          </w:rPr>
          <w:t>174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1" w:history="1">
        <w:r w:rsidR="00FF629E" w:rsidRPr="003B3762">
          <w:rPr>
            <w:rStyle w:val="Hyperlink"/>
            <w:rFonts w:ascii="Times New Roman" w:hAnsi="Times New Roman"/>
          </w:rPr>
          <w:t>5.3.1.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_Toc523820311 \h </w:instrText>
        </w:r>
        <w:r w:rsidR="00FF629E">
          <w:rPr>
            <w:webHidden/>
          </w:rPr>
        </w:r>
        <w:r w:rsidR="00FF629E">
          <w:rPr>
            <w:webHidden/>
          </w:rPr>
          <w:fldChar w:fldCharType="separate"/>
        </w:r>
        <w:r w:rsidR="00FF629E">
          <w:rPr>
            <w:webHidden/>
          </w:rPr>
          <w:t>174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2" w:history="1">
        <w:r w:rsidR="00FF629E" w:rsidRPr="003B3762">
          <w:rPr>
            <w:rStyle w:val="Hyperlink"/>
            <w:rFonts w:ascii="Times New Roman" w:hAnsi="Times New Roman"/>
          </w:rPr>
          <w:t>5.3.2.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_Toc523820312 \h </w:instrText>
        </w:r>
        <w:r w:rsidR="00FF629E">
          <w:rPr>
            <w:webHidden/>
          </w:rPr>
        </w:r>
        <w:r w:rsidR="00FF629E">
          <w:rPr>
            <w:webHidden/>
          </w:rPr>
          <w:fldChar w:fldCharType="separate"/>
        </w:r>
        <w:r w:rsidR="00FF629E">
          <w:rPr>
            <w:webHidden/>
          </w:rPr>
          <w:t>174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3" w:history="1">
        <w:r w:rsidR="00FF629E" w:rsidRPr="003B3762">
          <w:rPr>
            <w:rStyle w:val="Hyperlink"/>
            <w:rFonts w:ascii="Times New Roman" w:hAnsi="Times New Roman"/>
          </w:rPr>
          <w:t>5.4.</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21.00 – Marknadsrisk: Schablonmetod för positionsrisker i aktier (MKR SA EQU)</w:t>
        </w:r>
        <w:r w:rsidR="00FF629E">
          <w:rPr>
            <w:webHidden/>
          </w:rPr>
          <w:tab/>
        </w:r>
        <w:r w:rsidR="00FF629E">
          <w:rPr>
            <w:webHidden/>
          </w:rPr>
          <w:fldChar w:fldCharType="begin"/>
        </w:r>
        <w:r w:rsidR="00FF629E">
          <w:rPr>
            <w:webHidden/>
          </w:rPr>
          <w:instrText xml:space="preserve"> PAGEREF _Toc523820313 \h </w:instrText>
        </w:r>
        <w:r w:rsidR="00FF629E">
          <w:rPr>
            <w:webHidden/>
          </w:rPr>
        </w:r>
        <w:r w:rsidR="00FF629E">
          <w:rPr>
            <w:webHidden/>
          </w:rPr>
          <w:fldChar w:fldCharType="separate"/>
        </w:r>
        <w:r w:rsidR="00FF629E">
          <w:rPr>
            <w:webHidden/>
          </w:rPr>
          <w:t>177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4" w:history="1">
        <w:r w:rsidR="00FF629E" w:rsidRPr="003B3762">
          <w:rPr>
            <w:rStyle w:val="Hyperlink"/>
            <w:rFonts w:ascii="Times New Roman" w:hAnsi="Times New Roman"/>
          </w:rPr>
          <w:t>5.4.1.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_Toc523820314 \h </w:instrText>
        </w:r>
        <w:r w:rsidR="00FF629E">
          <w:rPr>
            <w:webHidden/>
          </w:rPr>
        </w:r>
        <w:r w:rsidR="00FF629E">
          <w:rPr>
            <w:webHidden/>
          </w:rPr>
          <w:fldChar w:fldCharType="separate"/>
        </w:r>
        <w:r w:rsidR="00FF629E">
          <w:rPr>
            <w:webHidden/>
          </w:rPr>
          <w:t>177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5" w:history="1">
        <w:r w:rsidR="00FF629E" w:rsidRPr="003B3762">
          <w:rPr>
            <w:rStyle w:val="Hyperlink"/>
            <w:rFonts w:ascii="Times New Roman" w:hAnsi="Times New Roman"/>
          </w:rPr>
          <w:t>5.4.2.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_Toc523820315 \h </w:instrText>
        </w:r>
        <w:r w:rsidR="00FF629E">
          <w:rPr>
            <w:webHidden/>
          </w:rPr>
        </w:r>
        <w:r w:rsidR="00FF629E">
          <w:rPr>
            <w:webHidden/>
          </w:rPr>
          <w:fldChar w:fldCharType="separate"/>
        </w:r>
        <w:r w:rsidR="00FF629E">
          <w:rPr>
            <w:webHidden/>
          </w:rPr>
          <w:t>177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6" w:history="1">
        <w:r w:rsidR="00FF629E" w:rsidRPr="003B3762">
          <w:rPr>
            <w:rStyle w:val="Hyperlink"/>
            <w:rFonts w:ascii="Times New Roman" w:hAnsi="Times New Roman"/>
          </w:rPr>
          <w:t>5.5.</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22.00 – Marknadsrisk: Schablonmetoder för valutakursrisk (MKR SA FX)</w:t>
        </w:r>
        <w:r w:rsidR="00FF629E">
          <w:rPr>
            <w:webHidden/>
          </w:rPr>
          <w:tab/>
        </w:r>
        <w:r w:rsidR="00FF629E">
          <w:rPr>
            <w:webHidden/>
          </w:rPr>
          <w:fldChar w:fldCharType="begin"/>
        </w:r>
        <w:r w:rsidR="00FF629E">
          <w:rPr>
            <w:webHidden/>
          </w:rPr>
          <w:instrText xml:space="preserve"> PAGEREF _Toc523820316 \h </w:instrText>
        </w:r>
        <w:r w:rsidR="00FF629E">
          <w:rPr>
            <w:webHidden/>
          </w:rPr>
        </w:r>
        <w:r w:rsidR="00FF629E">
          <w:rPr>
            <w:webHidden/>
          </w:rPr>
          <w:fldChar w:fldCharType="separate"/>
        </w:r>
        <w:r w:rsidR="00FF629E">
          <w:rPr>
            <w:webHidden/>
          </w:rPr>
          <w:t>179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7" w:history="1">
        <w:r w:rsidR="00FF629E" w:rsidRPr="003B3762">
          <w:rPr>
            <w:rStyle w:val="Hyperlink"/>
            <w:rFonts w:ascii="Times New Roman" w:hAnsi="Times New Roman"/>
          </w:rPr>
          <w:t>5.5.1.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_Toc523820317 \h </w:instrText>
        </w:r>
        <w:r w:rsidR="00FF629E">
          <w:rPr>
            <w:webHidden/>
          </w:rPr>
        </w:r>
        <w:r w:rsidR="00FF629E">
          <w:rPr>
            <w:webHidden/>
          </w:rPr>
          <w:fldChar w:fldCharType="separate"/>
        </w:r>
        <w:r w:rsidR="00FF629E">
          <w:rPr>
            <w:webHidden/>
          </w:rPr>
          <w:t>179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8" w:history="1">
        <w:r w:rsidR="00FF629E" w:rsidRPr="003B3762">
          <w:rPr>
            <w:rStyle w:val="Hyperlink"/>
            <w:rFonts w:ascii="Times New Roman" w:hAnsi="Times New Roman"/>
          </w:rPr>
          <w:t>5.5.2.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_Toc523820318 \h </w:instrText>
        </w:r>
        <w:r w:rsidR="00FF629E">
          <w:rPr>
            <w:webHidden/>
          </w:rPr>
        </w:r>
        <w:r w:rsidR="00FF629E">
          <w:rPr>
            <w:webHidden/>
          </w:rPr>
          <w:fldChar w:fldCharType="separate"/>
        </w:r>
        <w:r w:rsidR="00FF629E">
          <w:rPr>
            <w:webHidden/>
          </w:rPr>
          <w:t>179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19" w:history="1">
        <w:r w:rsidR="00FF629E" w:rsidRPr="003B3762">
          <w:rPr>
            <w:rStyle w:val="Hyperlink"/>
            <w:rFonts w:ascii="Times New Roman" w:hAnsi="Times New Roman"/>
          </w:rPr>
          <w:t>5.6.</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23.00 – Marknadsrisk: Schablonmetoder för råvaror (MKR SA COM)</w:t>
        </w:r>
        <w:r w:rsidR="00FF629E">
          <w:rPr>
            <w:webHidden/>
          </w:rPr>
          <w:tab/>
        </w:r>
        <w:r w:rsidR="00FF629E">
          <w:rPr>
            <w:webHidden/>
          </w:rPr>
          <w:fldChar w:fldCharType="begin"/>
        </w:r>
        <w:r w:rsidR="00FF629E">
          <w:rPr>
            <w:webHidden/>
          </w:rPr>
          <w:instrText xml:space="preserve"> PAGEREF _Toc523820319 \h </w:instrText>
        </w:r>
        <w:r w:rsidR="00FF629E">
          <w:rPr>
            <w:webHidden/>
          </w:rPr>
        </w:r>
        <w:r w:rsidR="00FF629E">
          <w:rPr>
            <w:webHidden/>
          </w:rPr>
          <w:fldChar w:fldCharType="separate"/>
        </w:r>
        <w:r w:rsidR="00FF629E">
          <w:rPr>
            <w:webHidden/>
          </w:rPr>
          <w:t>182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0" w:history="1">
        <w:r w:rsidR="00FF629E" w:rsidRPr="003B3762">
          <w:rPr>
            <w:rStyle w:val="Hyperlink"/>
            <w:rFonts w:ascii="Times New Roman" w:hAnsi="Times New Roman"/>
          </w:rPr>
          <w:t>5.6.1.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_Toc523820320 \h </w:instrText>
        </w:r>
        <w:r w:rsidR="00FF629E">
          <w:rPr>
            <w:webHidden/>
          </w:rPr>
        </w:r>
        <w:r w:rsidR="00FF629E">
          <w:rPr>
            <w:webHidden/>
          </w:rPr>
          <w:fldChar w:fldCharType="separate"/>
        </w:r>
        <w:r w:rsidR="00FF629E">
          <w:rPr>
            <w:webHidden/>
          </w:rPr>
          <w:t>182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1" w:history="1">
        <w:r w:rsidR="00FF629E" w:rsidRPr="003B3762">
          <w:rPr>
            <w:rStyle w:val="Hyperlink"/>
            <w:rFonts w:ascii="Times New Roman" w:hAnsi="Times New Roman"/>
          </w:rPr>
          <w:t>5.6.2.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_Toc523820321 \h </w:instrText>
        </w:r>
        <w:r w:rsidR="00FF629E">
          <w:rPr>
            <w:webHidden/>
          </w:rPr>
        </w:r>
        <w:r w:rsidR="00FF629E">
          <w:rPr>
            <w:webHidden/>
          </w:rPr>
          <w:fldChar w:fldCharType="separate"/>
        </w:r>
        <w:r w:rsidR="00FF629E">
          <w:rPr>
            <w:webHidden/>
          </w:rPr>
          <w:t>182</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2" w:history="1">
        <w:r w:rsidR="00FF629E" w:rsidRPr="003B3762">
          <w:rPr>
            <w:rStyle w:val="Hyperlink"/>
            <w:rFonts w:ascii="Times New Roman" w:hAnsi="Times New Roman"/>
          </w:rPr>
          <w:t>5.7.</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24.00 – Marknadsrisk interna modeller (MKR IM)</w:t>
        </w:r>
        <w:r w:rsidR="00FF629E">
          <w:rPr>
            <w:webHidden/>
          </w:rPr>
          <w:tab/>
        </w:r>
        <w:r w:rsidR="00FF629E">
          <w:rPr>
            <w:webHidden/>
          </w:rPr>
          <w:fldChar w:fldCharType="begin"/>
        </w:r>
        <w:r w:rsidR="00FF629E">
          <w:rPr>
            <w:webHidden/>
          </w:rPr>
          <w:instrText xml:space="preserve"> PAGEREF _Toc523820322 \h </w:instrText>
        </w:r>
        <w:r w:rsidR="00FF629E">
          <w:rPr>
            <w:webHidden/>
          </w:rPr>
        </w:r>
        <w:r w:rsidR="00FF629E">
          <w:rPr>
            <w:webHidden/>
          </w:rPr>
          <w:fldChar w:fldCharType="separate"/>
        </w:r>
        <w:r w:rsidR="00FF629E">
          <w:rPr>
            <w:webHidden/>
          </w:rPr>
          <w:t>183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3" w:history="1">
        <w:r w:rsidR="00FF629E" w:rsidRPr="003B3762">
          <w:rPr>
            <w:rStyle w:val="Hyperlink"/>
            <w:rFonts w:ascii="Times New Roman" w:hAnsi="Times New Roman"/>
          </w:rPr>
          <w:t>5.7.1.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_Toc523820323 \h </w:instrText>
        </w:r>
        <w:r w:rsidR="00FF629E">
          <w:rPr>
            <w:webHidden/>
          </w:rPr>
        </w:r>
        <w:r w:rsidR="00FF629E">
          <w:rPr>
            <w:webHidden/>
          </w:rPr>
          <w:fldChar w:fldCharType="separate"/>
        </w:r>
        <w:r w:rsidR="00FF629E">
          <w:rPr>
            <w:webHidden/>
          </w:rPr>
          <w:t>183</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4" w:history="1">
        <w:r w:rsidR="00FF629E" w:rsidRPr="003B3762">
          <w:rPr>
            <w:rStyle w:val="Hyperlink"/>
            <w:rFonts w:ascii="Times New Roman" w:hAnsi="Times New Roman"/>
          </w:rPr>
          <w:t>5.7.2.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_Toc523820324 \h </w:instrText>
        </w:r>
        <w:r w:rsidR="00FF629E">
          <w:rPr>
            <w:webHidden/>
          </w:rPr>
        </w:r>
        <w:r w:rsidR="00FF629E">
          <w:rPr>
            <w:webHidden/>
          </w:rPr>
          <w:fldChar w:fldCharType="separate"/>
        </w:r>
        <w:r w:rsidR="00FF629E">
          <w:rPr>
            <w:webHidden/>
          </w:rPr>
          <w:t>184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5" w:history="1">
        <w:r w:rsidR="00FF629E" w:rsidRPr="003B3762">
          <w:rPr>
            <w:rStyle w:val="Hyperlink"/>
            <w:rFonts w:ascii="Times New Roman" w:hAnsi="Times New Roman"/>
          </w:rPr>
          <w:t>5.8.</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25.00 – KREDITVÄRDIGHETSJUSTERINGSRISK (CVA)</w:t>
        </w:r>
        <w:r w:rsidR="00FF629E">
          <w:rPr>
            <w:webHidden/>
          </w:rPr>
          <w:tab/>
        </w:r>
        <w:r w:rsidR="00FF629E">
          <w:rPr>
            <w:webHidden/>
          </w:rPr>
          <w:fldChar w:fldCharType="begin"/>
        </w:r>
        <w:r w:rsidR="00FF629E">
          <w:rPr>
            <w:webHidden/>
          </w:rPr>
          <w:instrText xml:space="preserve"> PAGEREF _Toc523820325 \h </w:instrText>
        </w:r>
        <w:r w:rsidR="00FF629E">
          <w:rPr>
            <w:webHidden/>
          </w:rPr>
        </w:r>
        <w:r w:rsidR="00FF629E">
          <w:rPr>
            <w:webHidden/>
          </w:rPr>
          <w:fldChar w:fldCharType="separate"/>
        </w:r>
        <w:r w:rsidR="00FF629E">
          <w:rPr>
            <w:webHidden/>
          </w:rPr>
          <w:t>187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6" w:history="1">
        <w:r w:rsidR="00FF629E" w:rsidRPr="003B3762">
          <w:rPr>
            <w:rStyle w:val="Hyperlink"/>
            <w:rFonts w:ascii="Times New Roman" w:hAnsi="Times New Roman"/>
          </w:rPr>
          <w:t>5.8.1.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_Toc523820326 \h </w:instrText>
        </w:r>
        <w:r w:rsidR="00FF629E">
          <w:rPr>
            <w:webHidden/>
          </w:rPr>
        </w:r>
        <w:r w:rsidR="00FF629E">
          <w:rPr>
            <w:webHidden/>
          </w:rPr>
          <w:fldChar w:fldCharType="separate"/>
        </w:r>
        <w:r w:rsidR="00FF629E">
          <w:rPr>
            <w:webHidden/>
          </w:rPr>
          <w:t>187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7" w:history="1">
        <w:r w:rsidR="00FF629E" w:rsidRPr="003B3762">
          <w:rPr>
            <w:rStyle w:val="Hyperlink"/>
            <w:rFonts w:ascii="Times New Roman" w:hAnsi="Times New Roman"/>
          </w:rPr>
          <w:t>6.</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Försiktig värdering (PruVal)</w:t>
        </w:r>
        <w:r w:rsidR="00FF629E">
          <w:rPr>
            <w:webHidden/>
          </w:rPr>
          <w:tab/>
        </w:r>
        <w:r w:rsidR="00FF629E">
          <w:rPr>
            <w:webHidden/>
          </w:rPr>
          <w:fldChar w:fldCharType="begin"/>
        </w:r>
        <w:r w:rsidR="00FF629E">
          <w:rPr>
            <w:webHidden/>
          </w:rPr>
          <w:instrText xml:space="preserve"> PAGEREF _Toc523820327 \h </w:instrText>
        </w:r>
        <w:r w:rsidR="00FF629E">
          <w:rPr>
            <w:webHidden/>
          </w:rPr>
        </w:r>
        <w:r w:rsidR="00FF629E">
          <w:rPr>
            <w:webHidden/>
          </w:rPr>
          <w:fldChar w:fldCharType="separate"/>
        </w:r>
        <w:r w:rsidR="00FF629E">
          <w:rPr>
            <w:webHidden/>
          </w:rPr>
          <w:t>189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8" w:history="1">
        <w:r w:rsidR="00FF629E" w:rsidRPr="003B3762">
          <w:rPr>
            <w:rStyle w:val="Hyperlink"/>
            <w:rFonts w:ascii="Times New Roman" w:hAnsi="Times New Roman"/>
          </w:rPr>
          <w:t>6.1.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32.01 - Försiktig värdering: Tillgångar och skulder redovisade till verkligt värde (PruVal 1)</w:t>
        </w:r>
        <w:r w:rsidR="00FF629E">
          <w:rPr>
            <w:webHidden/>
          </w:rPr>
          <w:tab/>
        </w:r>
        <w:r w:rsidR="00FF629E">
          <w:rPr>
            <w:webHidden/>
          </w:rPr>
          <w:fldChar w:fldCharType="begin"/>
        </w:r>
        <w:r w:rsidR="00FF629E">
          <w:rPr>
            <w:webHidden/>
          </w:rPr>
          <w:instrText xml:space="preserve"> PAGEREF _Toc523820328 \h </w:instrText>
        </w:r>
        <w:r w:rsidR="00FF629E">
          <w:rPr>
            <w:webHidden/>
          </w:rPr>
        </w:r>
        <w:r w:rsidR="00FF629E">
          <w:rPr>
            <w:webHidden/>
          </w:rPr>
          <w:fldChar w:fldCharType="separate"/>
        </w:r>
        <w:r w:rsidR="00FF629E">
          <w:rPr>
            <w:webHidden/>
          </w:rPr>
          <w:t>189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29" w:history="1">
        <w:r w:rsidR="00FF629E" w:rsidRPr="003B3762">
          <w:rPr>
            <w:rStyle w:val="Hyperlink"/>
            <w:rFonts w:ascii="Times New Roman" w:hAnsi="Times New Roman"/>
          </w:rPr>
          <w:t>6.1.1.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_Toc523820329 \h </w:instrText>
        </w:r>
        <w:r w:rsidR="00FF629E">
          <w:rPr>
            <w:webHidden/>
          </w:rPr>
        </w:r>
        <w:r w:rsidR="00FF629E">
          <w:rPr>
            <w:webHidden/>
          </w:rPr>
          <w:fldChar w:fldCharType="separate"/>
        </w:r>
        <w:r w:rsidR="00FF629E">
          <w:rPr>
            <w:webHidden/>
          </w:rPr>
          <w:t>189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0" w:history="1">
        <w:r w:rsidR="00FF629E" w:rsidRPr="003B3762">
          <w:rPr>
            <w:rStyle w:val="Hyperlink"/>
            <w:rFonts w:ascii="Times New Roman" w:hAnsi="Times New Roman"/>
          </w:rPr>
          <w:t>6.1.2.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_Toc523820330 \h </w:instrText>
        </w:r>
        <w:r w:rsidR="00FF629E">
          <w:rPr>
            <w:webHidden/>
          </w:rPr>
        </w:r>
        <w:r w:rsidR="00FF629E">
          <w:rPr>
            <w:webHidden/>
          </w:rPr>
          <w:fldChar w:fldCharType="separate"/>
        </w:r>
        <w:r w:rsidR="00FF629E">
          <w:rPr>
            <w:webHidden/>
          </w:rPr>
          <w:t>189</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1" w:history="1">
        <w:r w:rsidR="00FF629E" w:rsidRPr="003B3762">
          <w:rPr>
            <w:rStyle w:val="Hyperlink"/>
            <w:rFonts w:ascii="Times New Roman" w:hAnsi="Times New Roman"/>
          </w:rPr>
          <w:t>6.2.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32.02 - Försiktig värdering: Huvudmetoden (PruVal 2)</w:t>
        </w:r>
        <w:r w:rsidR="00FF629E">
          <w:rPr>
            <w:webHidden/>
          </w:rPr>
          <w:tab/>
        </w:r>
        <w:r w:rsidR="00FF629E">
          <w:rPr>
            <w:webHidden/>
          </w:rPr>
          <w:fldChar w:fldCharType="begin"/>
        </w:r>
        <w:r w:rsidR="00FF629E">
          <w:rPr>
            <w:webHidden/>
          </w:rPr>
          <w:instrText xml:space="preserve"> PAGEREF _Toc523820331 \h </w:instrText>
        </w:r>
        <w:r w:rsidR="00FF629E">
          <w:rPr>
            <w:webHidden/>
          </w:rPr>
        </w:r>
        <w:r w:rsidR="00FF629E">
          <w:rPr>
            <w:webHidden/>
          </w:rPr>
          <w:fldChar w:fldCharType="separate"/>
        </w:r>
        <w:r w:rsidR="00FF629E">
          <w:rPr>
            <w:webHidden/>
          </w:rPr>
          <w:t>194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2" w:history="1">
        <w:r w:rsidR="00FF629E" w:rsidRPr="003B3762">
          <w:rPr>
            <w:rStyle w:val="Hyperlink"/>
            <w:rFonts w:ascii="Times New Roman" w:hAnsi="Times New Roman"/>
          </w:rPr>
          <w:t>6.2.1.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_Toc523820332 \h </w:instrText>
        </w:r>
        <w:r w:rsidR="00FF629E">
          <w:rPr>
            <w:webHidden/>
          </w:rPr>
        </w:r>
        <w:r w:rsidR="00FF629E">
          <w:rPr>
            <w:webHidden/>
          </w:rPr>
          <w:fldChar w:fldCharType="separate"/>
        </w:r>
        <w:r w:rsidR="00FF629E">
          <w:rPr>
            <w:webHidden/>
          </w:rPr>
          <w:t>194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3" w:history="1">
        <w:r w:rsidR="00FF629E" w:rsidRPr="003B3762">
          <w:rPr>
            <w:rStyle w:val="Hyperlink"/>
            <w:rFonts w:ascii="Times New Roman" w:hAnsi="Times New Roman"/>
          </w:rPr>
          <w:t>6.2.2.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_Toc523820333 \h </w:instrText>
        </w:r>
        <w:r w:rsidR="00FF629E">
          <w:rPr>
            <w:webHidden/>
          </w:rPr>
        </w:r>
        <w:r w:rsidR="00FF629E">
          <w:rPr>
            <w:webHidden/>
          </w:rPr>
          <w:fldChar w:fldCharType="separate"/>
        </w:r>
        <w:r w:rsidR="00FF629E">
          <w:rPr>
            <w:webHidden/>
          </w:rPr>
          <w:t>195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4" w:history="1">
        <w:r w:rsidR="00FF629E" w:rsidRPr="003B3762">
          <w:rPr>
            <w:rStyle w:val="Hyperlink"/>
            <w:rFonts w:ascii="Times New Roman" w:hAnsi="Times New Roman"/>
          </w:rPr>
          <w:t>6.3. C 32.03 - Försiktig värdering: AVA för modellrisk (PruVal 3)</w:t>
        </w:r>
        <w:r w:rsidR="00FF629E">
          <w:rPr>
            <w:webHidden/>
          </w:rPr>
          <w:tab/>
        </w:r>
        <w:r w:rsidR="00FF629E">
          <w:rPr>
            <w:webHidden/>
          </w:rPr>
          <w:fldChar w:fldCharType="begin"/>
        </w:r>
        <w:r w:rsidR="00FF629E">
          <w:rPr>
            <w:webHidden/>
          </w:rPr>
          <w:instrText xml:space="preserve"> PAGEREF _Toc523820334 \h </w:instrText>
        </w:r>
        <w:r w:rsidR="00FF629E">
          <w:rPr>
            <w:webHidden/>
          </w:rPr>
        </w:r>
        <w:r w:rsidR="00FF629E">
          <w:rPr>
            <w:webHidden/>
          </w:rPr>
          <w:fldChar w:fldCharType="separate"/>
        </w:r>
        <w:r w:rsidR="00FF629E">
          <w:rPr>
            <w:webHidden/>
          </w:rPr>
          <w:t>204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5" w:history="1">
        <w:r w:rsidR="00FF629E" w:rsidRPr="003B3762">
          <w:rPr>
            <w:rStyle w:val="Hyperlink"/>
            <w:rFonts w:ascii="Times New Roman" w:hAnsi="Times New Roman"/>
          </w:rPr>
          <w:t>6.3.1.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_Toc523820335 \h </w:instrText>
        </w:r>
        <w:r w:rsidR="00FF629E">
          <w:rPr>
            <w:webHidden/>
          </w:rPr>
        </w:r>
        <w:r w:rsidR="00FF629E">
          <w:rPr>
            <w:webHidden/>
          </w:rPr>
          <w:fldChar w:fldCharType="separate"/>
        </w:r>
        <w:r w:rsidR="00FF629E">
          <w:rPr>
            <w:webHidden/>
          </w:rPr>
          <w:t>204</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6" w:history="1">
        <w:r w:rsidR="00FF629E" w:rsidRPr="003B3762">
          <w:rPr>
            <w:rStyle w:val="Hyperlink"/>
            <w:rFonts w:ascii="Times New Roman" w:hAnsi="Times New Roman"/>
          </w:rPr>
          <w:t>6.3.2.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_Toc523820336 \h </w:instrText>
        </w:r>
        <w:r w:rsidR="00FF629E">
          <w:rPr>
            <w:webHidden/>
          </w:rPr>
        </w:r>
        <w:r w:rsidR="00FF629E">
          <w:rPr>
            <w:webHidden/>
          </w:rPr>
          <w:fldChar w:fldCharType="separate"/>
        </w:r>
        <w:r w:rsidR="00FF629E">
          <w:rPr>
            <w:webHidden/>
          </w:rPr>
          <w:t>205</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7" w:history="1">
        <w:r w:rsidR="00FF629E" w:rsidRPr="003B3762">
          <w:rPr>
            <w:rStyle w:val="Hyperlink"/>
            <w:rFonts w:ascii="Times New Roman" w:hAnsi="Times New Roman"/>
          </w:rPr>
          <w:t>6.4 C 32.04 - Försiktig värdering: AVA för koncentrerade positioner (PruVal 4)</w:t>
        </w:r>
        <w:r w:rsidR="00FF629E">
          <w:rPr>
            <w:webHidden/>
          </w:rPr>
          <w:tab/>
        </w:r>
        <w:r w:rsidR="00FF629E">
          <w:rPr>
            <w:webHidden/>
          </w:rPr>
          <w:fldChar w:fldCharType="begin"/>
        </w:r>
        <w:r w:rsidR="00FF629E">
          <w:rPr>
            <w:webHidden/>
          </w:rPr>
          <w:instrText xml:space="preserve"> PAGEREF _Toc523820337 \h </w:instrText>
        </w:r>
        <w:r w:rsidR="00FF629E">
          <w:rPr>
            <w:webHidden/>
          </w:rPr>
        </w:r>
        <w:r w:rsidR="00FF629E">
          <w:rPr>
            <w:webHidden/>
          </w:rPr>
          <w:fldChar w:fldCharType="separate"/>
        </w:r>
        <w:r w:rsidR="00FF629E">
          <w:rPr>
            <w:webHidden/>
          </w:rPr>
          <w:t>207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8" w:history="1">
        <w:r w:rsidR="00FF629E" w:rsidRPr="003B3762">
          <w:rPr>
            <w:rStyle w:val="Hyperlink"/>
            <w:rFonts w:ascii="Times New Roman" w:hAnsi="Times New Roman"/>
          </w:rPr>
          <w:t>6.4.1.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_Toc523820338 \h </w:instrText>
        </w:r>
        <w:r w:rsidR="00FF629E">
          <w:rPr>
            <w:webHidden/>
          </w:rPr>
        </w:r>
        <w:r w:rsidR="00FF629E">
          <w:rPr>
            <w:webHidden/>
          </w:rPr>
          <w:fldChar w:fldCharType="separate"/>
        </w:r>
        <w:r w:rsidR="00FF629E">
          <w:rPr>
            <w:webHidden/>
          </w:rPr>
          <w:t>207</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39" w:history="1">
        <w:r w:rsidR="00FF629E" w:rsidRPr="003B3762">
          <w:rPr>
            <w:rStyle w:val="Hyperlink"/>
            <w:rFonts w:ascii="Times New Roman" w:hAnsi="Times New Roman"/>
          </w:rPr>
          <w:t>6.4.2.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_Toc523820339 \h </w:instrText>
        </w:r>
        <w:r w:rsidR="00FF629E">
          <w:rPr>
            <w:webHidden/>
          </w:rPr>
        </w:r>
        <w:r w:rsidR="00FF629E">
          <w:rPr>
            <w:webHidden/>
          </w:rPr>
          <w:fldChar w:fldCharType="separate"/>
        </w:r>
        <w:r w:rsidR="00FF629E">
          <w:rPr>
            <w:webHidden/>
          </w:rPr>
          <w:t>208</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40" w:history="1">
        <w:r w:rsidR="00FF629E" w:rsidRPr="003B3762">
          <w:rPr>
            <w:rStyle w:val="Hyperlink"/>
            <w:rFonts w:ascii="Times New Roman" w:hAnsi="Times New Roman"/>
          </w:rPr>
          <w:t>7.</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C 33.00 Exponeringar mot offentlig sektor (GOV)</w:t>
        </w:r>
        <w:r w:rsidR="00FF629E">
          <w:rPr>
            <w:webHidden/>
          </w:rPr>
          <w:tab/>
        </w:r>
        <w:r w:rsidR="00FF629E">
          <w:rPr>
            <w:webHidden/>
          </w:rPr>
          <w:fldChar w:fldCharType="begin"/>
        </w:r>
        <w:r w:rsidR="00FF629E">
          <w:rPr>
            <w:webHidden/>
          </w:rPr>
          <w:instrText xml:space="preserve"> PAGEREF _Toc523820340 \h </w:instrText>
        </w:r>
        <w:r w:rsidR="00FF629E">
          <w:rPr>
            <w:webHidden/>
          </w:rPr>
        </w:r>
        <w:r w:rsidR="00FF629E">
          <w:rPr>
            <w:webHidden/>
          </w:rPr>
          <w:fldChar w:fldCharType="separate"/>
        </w:r>
        <w:r w:rsidR="00FF629E">
          <w:rPr>
            <w:webHidden/>
          </w:rPr>
          <w:t>210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41" w:history="1">
        <w:r w:rsidR="00FF629E" w:rsidRPr="003B3762">
          <w:rPr>
            <w:rStyle w:val="Hyperlink"/>
            <w:rFonts w:ascii="Times New Roman" w:hAnsi="Times New Roman"/>
          </w:rPr>
          <w:t>7.1.</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Allmänna kommentarer</w:t>
        </w:r>
        <w:r w:rsidR="00FF629E">
          <w:rPr>
            <w:webHidden/>
          </w:rPr>
          <w:tab/>
        </w:r>
        <w:r w:rsidR="00FF629E">
          <w:rPr>
            <w:webHidden/>
          </w:rPr>
          <w:fldChar w:fldCharType="begin"/>
        </w:r>
        <w:r w:rsidR="00FF629E">
          <w:rPr>
            <w:webHidden/>
          </w:rPr>
          <w:instrText xml:space="preserve"> PAGEREF _Toc523820341 \h </w:instrText>
        </w:r>
        <w:r w:rsidR="00FF629E">
          <w:rPr>
            <w:webHidden/>
          </w:rPr>
        </w:r>
        <w:r w:rsidR="00FF629E">
          <w:rPr>
            <w:webHidden/>
          </w:rPr>
          <w:fldChar w:fldCharType="separate"/>
        </w:r>
        <w:r w:rsidR="00FF629E">
          <w:rPr>
            <w:webHidden/>
          </w:rPr>
          <w:t>210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42" w:history="1">
        <w:r w:rsidR="00FF629E" w:rsidRPr="003B3762">
          <w:rPr>
            <w:rStyle w:val="Hyperlink"/>
            <w:rFonts w:ascii="Times New Roman" w:hAnsi="Times New Roman"/>
          </w:rPr>
          <w:t>7.2.</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Tillämpningsområde för mallen om exponeringar mot ”offentlig sektor”</w:t>
        </w:r>
        <w:r w:rsidR="00FF629E">
          <w:rPr>
            <w:webHidden/>
          </w:rPr>
          <w:tab/>
        </w:r>
        <w:r w:rsidR="00FF629E">
          <w:rPr>
            <w:webHidden/>
          </w:rPr>
          <w:fldChar w:fldCharType="begin"/>
        </w:r>
        <w:r w:rsidR="00FF629E">
          <w:rPr>
            <w:webHidden/>
          </w:rPr>
          <w:instrText xml:space="preserve"> PAGEREF _Toc523820342 \h </w:instrText>
        </w:r>
        <w:r w:rsidR="00FF629E">
          <w:rPr>
            <w:webHidden/>
          </w:rPr>
        </w:r>
        <w:r w:rsidR="00FF629E">
          <w:rPr>
            <w:webHidden/>
          </w:rPr>
          <w:fldChar w:fldCharType="separate"/>
        </w:r>
        <w:r w:rsidR="00FF629E">
          <w:rPr>
            <w:webHidden/>
          </w:rPr>
          <w:t>210</w:t>
        </w:r>
        <w:r w:rsidR="00FF629E">
          <w:rPr>
            <w:webHidden/>
          </w:rPr>
          <w:fldChar w:fldCharType="end"/>
        </w:r>
      </w:hyperlink>
    </w:p>
    <w:p w:rsidR="00FF629E" w:rsidRDefault="00803B42">
      <w:pPr>
        <w:pStyle w:val="TOC2"/>
        <w:rPr>
          <w:rFonts w:asciiTheme="minorHAnsi" w:eastAsiaTheme="minorEastAsia" w:hAnsiTheme="minorHAnsi" w:cstheme="minorBidi"/>
          <w:b w:val="0"/>
          <w:smallCaps w:val="0"/>
          <w:sz w:val="22"/>
          <w:lang w:val="en-GB" w:eastAsia="en-GB" w:bidi="ar-SA"/>
        </w:rPr>
      </w:pPr>
      <w:hyperlink w:anchor="_Toc523820343" w:history="1">
        <w:r w:rsidR="00FF629E" w:rsidRPr="003B3762">
          <w:rPr>
            <w:rStyle w:val="Hyperlink"/>
            <w:rFonts w:ascii="Times New Roman" w:hAnsi="Times New Roman"/>
          </w:rPr>
          <w:t>7.3.</w:t>
        </w:r>
        <w:r w:rsidR="00FF629E">
          <w:rPr>
            <w:rFonts w:asciiTheme="minorHAnsi" w:eastAsiaTheme="minorEastAsia" w:hAnsiTheme="minorHAnsi" w:cstheme="minorBidi"/>
            <w:b w:val="0"/>
            <w:smallCaps w:val="0"/>
            <w:sz w:val="22"/>
            <w:lang w:val="en-GB" w:eastAsia="en-GB" w:bidi="ar-SA"/>
          </w:rPr>
          <w:tab/>
        </w:r>
        <w:r w:rsidR="00FF629E" w:rsidRPr="003B3762">
          <w:rPr>
            <w:rStyle w:val="Hyperlink"/>
            <w:rFonts w:ascii="Times New Roman" w:hAnsi="Times New Roman"/>
          </w:rPr>
          <w:t>Instruktioner för specifika positioner</w:t>
        </w:r>
        <w:r w:rsidR="00FF629E">
          <w:rPr>
            <w:webHidden/>
          </w:rPr>
          <w:tab/>
        </w:r>
        <w:r w:rsidR="00FF629E">
          <w:rPr>
            <w:webHidden/>
          </w:rPr>
          <w:fldChar w:fldCharType="begin"/>
        </w:r>
        <w:r w:rsidR="00FF629E">
          <w:rPr>
            <w:webHidden/>
          </w:rPr>
          <w:instrText xml:space="preserve"> PAGEREF _Toc523820343 \h </w:instrText>
        </w:r>
        <w:r w:rsidR="00FF629E">
          <w:rPr>
            <w:webHidden/>
          </w:rPr>
        </w:r>
        <w:r w:rsidR="00FF629E">
          <w:rPr>
            <w:webHidden/>
          </w:rPr>
          <w:fldChar w:fldCharType="separate"/>
        </w:r>
        <w:r w:rsidR="00FF629E">
          <w:rPr>
            <w:webHidden/>
          </w:rPr>
          <w:t>210</w:t>
        </w:r>
        <w:r w:rsidR="00FF629E">
          <w:rPr>
            <w:webHidden/>
          </w:rPr>
          <w:fldChar w:fldCharType="end"/>
        </w:r>
      </w:hyperlink>
    </w:p>
    <w:p w:rsidR="00420B8C" w:rsidRDefault="00FF629E">
      <w:pPr>
        <w:rPr>
          <w:rFonts w:asciiTheme="minorHAnsi" w:eastAsiaTheme="minorEastAsia" w:hAnsiTheme="minorHAnsi" w:cstheme="minorBidi"/>
          <w:sz w:val="22"/>
        </w:rPr>
        <w:sectPr w:rsidR="00420B8C"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820220"/>
      <w:r>
        <w:rPr>
          <w:rFonts w:ascii="Times New Roman" w:hAnsi="Times New Roman"/>
        </w:rPr>
        <w:t>DEL I:</w:t>
      </w:r>
      <w:bookmarkEnd w:id="2"/>
      <w:r>
        <w:rPr>
          <w:rFonts w:ascii="Times New Roman" w:hAnsi="Times New Roman"/>
        </w:rPr>
        <w:t xml:space="preserve"> ALLMÄNNA INSTRUKTIONER</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820221"/>
      <w:r>
        <w:rPr>
          <w:rFonts w:ascii="Times New Roman" w:hAnsi="Times New Roman"/>
          <w:sz w:val="24"/>
          <w:u w:val="none"/>
        </w:rPr>
        <w:t>1.</w:t>
      </w:r>
      <w:r w:rsidRPr="00030C22">
        <w:rPr>
          <w:u w:val="none"/>
        </w:rPr>
        <w:tab/>
      </w:r>
      <w:r>
        <w:rPr>
          <w:rFonts w:ascii="Times New Roman" w:hAnsi="Times New Roman"/>
          <w:sz w:val="24"/>
          <w:u w:val="none"/>
        </w:rPr>
        <w:t>Struktur och praxis</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3820222"/>
      <w:bookmarkStart w:id="15" w:name="_Toc264038399"/>
      <w:bookmarkStart w:id="16" w:name="_Toc294018834"/>
      <w:r>
        <w:rPr>
          <w:rFonts w:ascii="Times New Roman" w:hAnsi="Times New Roman"/>
          <w:sz w:val="24"/>
          <w:u w:val="none"/>
        </w:rPr>
        <w:t>1.1.</w:t>
      </w:r>
      <w:r w:rsidRPr="00030C22">
        <w:rPr>
          <w:u w:val="none"/>
        </w:rPr>
        <w:tab/>
      </w:r>
      <w:r>
        <w:rPr>
          <w:rFonts w:ascii="Times New Roman" w:hAnsi="Times New Roman"/>
          <w:sz w:val="24"/>
          <w:u w:val="none"/>
        </w:rPr>
        <w:t>Struktur</w:t>
      </w:r>
      <w:bookmarkEnd w:id="11"/>
      <w:bookmarkEnd w:id="12"/>
      <w:bookmarkEnd w:id="13"/>
      <w:bookmarkEnd w:id="14"/>
    </w:p>
    <w:p w:rsidR="002648B0" w:rsidRPr="00392FFD" w:rsidRDefault="00125707" w:rsidP="00C37B29">
      <w:pPr>
        <w:pStyle w:val="InstructionsText2"/>
        <w:numPr>
          <w:ilvl w:val="0"/>
          <w:numId w:val="0"/>
        </w:numPr>
        <w:ind w:left="993"/>
      </w:pPr>
      <w:r>
        <w:t>1.</w:t>
      </w:r>
      <w:r>
        <w:tab/>
        <w:t>Ramen består av följande fem grupper av mallar:</w:t>
      </w:r>
    </w:p>
    <w:p w:rsidR="002648B0" w:rsidRPr="00392FFD" w:rsidRDefault="00125707" w:rsidP="00C37B29">
      <w:pPr>
        <w:pStyle w:val="InstructionsText2"/>
        <w:numPr>
          <w:ilvl w:val="0"/>
          <w:numId w:val="0"/>
        </w:numPr>
        <w:ind w:left="993"/>
      </w:pPr>
      <w:r>
        <w:t>(a)</w:t>
      </w:r>
      <w:r>
        <w:tab/>
        <w:t>Kapitaltäckning, en översikt över lagstadgat kapital och totalt riskvägt expon</w:t>
      </w:r>
      <w:r>
        <w:t>e</w:t>
      </w:r>
      <w:r>
        <w:t>ringsbelopp.</w:t>
      </w:r>
    </w:p>
    <w:p w:rsidR="00436204" w:rsidRPr="00392FFD" w:rsidRDefault="00125707" w:rsidP="00C37B29">
      <w:pPr>
        <w:pStyle w:val="InstructionsText2"/>
        <w:numPr>
          <w:ilvl w:val="0"/>
          <w:numId w:val="0"/>
        </w:numPr>
        <w:ind w:left="993"/>
      </w:pPr>
      <w:r>
        <w:t>(b)</w:t>
      </w:r>
      <w:r>
        <w:tab/>
        <w:t>Solvens på gruppnivå, en översikt över hur solvenskraven uppfylls av samtliga enskilda enheter som ingår i konsolideringen av den rapporterande enheten.</w:t>
      </w:r>
    </w:p>
    <w:p w:rsidR="002648B0" w:rsidRPr="00392FFD" w:rsidRDefault="00125707" w:rsidP="00C37B29">
      <w:pPr>
        <w:pStyle w:val="InstructionsText2"/>
        <w:numPr>
          <w:ilvl w:val="0"/>
          <w:numId w:val="0"/>
        </w:numPr>
        <w:ind w:left="993"/>
      </w:pPr>
      <w:r>
        <w:t>(c)</w:t>
      </w:r>
      <w:r>
        <w:tab/>
        <w:t>Kreditrisk (inbegripet motpartsrisk, utspädningsrisk och avvecklingsrisk).</w:t>
      </w:r>
    </w:p>
    <w:p w:rsidR="002648B0" w:rsidRPr="00392FFD" w:rsidRDefault="00125707" w:rsidP="00C37B29">
      <w:pPr>
        <w:pStyle w:val="InstructionsText2"/>
        <w:numPr>
          <w:ilvl w:val="0"/>
          <w:numId w:val="0"/>
        </w:numPr>
        <w:ind w:left="993"/>
      </w:pPr>
      <w:r>
        <w:t>(d)</w:t>
      </w:r>
      <w:r>
        <w:tab/>
        <w:t>Marknadsrisk (inbegripet positionsrisk i handelslager, valutakursrisk, råvar</w:t>
      </w:r>
      <w:r>
        <w:t>u</w:t>
      </w:r>
      <w:r>
        <w:t>risk och kreditvärdighetsjusteringsrisk).</w:t>
      </w:r>
    </w:p>
    <w:p w:rsidR="002648B0" w:rsidRPr="00392FFD" w:rsidRDefault="00125707" w:rsidP="00C37B29">
      <w:pPr>
        <w:pStyle w:val="InstructionsText2"/>
        <w:numPr>
          <w:ilvl w:val="0"/>
          <w:numId w:val="0"/>
        </w:numPr>
        <w:ind w:left="993"/>
      </w:pPr>
      <w:r>
        <w:t>(e)</w:t>
      </w:r>
      <w:r>
        <w:tab/>
        <w:t>Operativ risk.</w:t>
      </w:r>
    </w:p>
    <w:p w:rsidR="002648B0" w:rsidRPr="00392FFD" w:rsidRDefault="00125707" w:rsidP="00C37B29">
      <w:pPr>
        <w:pStyle w:val="InstructionsText2"/>
        <w:numPr>
          <w:ilvl w:val="0"/>
          <w:numId w:val="0"/>
        </w:numPr>
        <w:ind w:left="993"/>
      </w:pPr>
      <w:r>
        <w:t>2.</w:t>
      </w:r>
      <w:r>
        <w:tab/>
        <w:t>För varje mall ges hänvisningar till lagstiftningen. Denna del av den tekniska genomförandestandarden innehåller utförligare information om de mer allmänna aspekterna på rapporteringen för varje grupp av mallar, instruktioner för särskilda positioner samt valideringsregler.</w:t>
      </w:r>
    </w:p>
    <w:p w:rsidR="005643EA" w:rsidRPr="00392FFD" w:rsidRDefault="00125707" w:rsidP="00C37B29">
      <w:pPr>
        <w:pStyle w:val="InstructionsText2"/>
        <w:numPr>
          <w:ilvl w:val="0"/>
          <w:numId w:val="0"/>
        </w:numPr>
        <w:ind w:left="993"/>
      </w:pPr>
      <w:r>
        <w:t>3.</w:t>
      </w:r>
      <w:r>
        <w:tab/>
        <w:t>Instituten ska endast rapportera de mallar som är relevanta för den metod de använder för att fastställa kapitalbaskraven.</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820223"/>
      <w:r>
        <w:rPr>
          <w:rFonts w:ascii="Times New Roman" w:hAnsi="Times New Roman"/>
          <w:sz w:val="24"/>
          <w:u w:val="none"/>
        </w:rPr>
        <w:t>1.2</w:t>
      </w:r>
      <w:r w:rsidRPr="00030C22">
        <w:rPr>
          <w:rFonts w:ascii="Times New Roman" w:hAnsi="Times New Roman"/>
          <w:sz w:val="24"/>
          <w:u w:val="none"/>
        </w:rPr>
        <w:t>.</w:t>
      </w:r>
      <w:r w:rsidRPr="00030C22">
        <w:rPr>
          <w:u w:val="none"/>
        </w:rPr>
        <w:tab/>
      </w:r>
      <w:r>
        <w:rPr>
          <w:rFonts w:ascii="Times New Roman" w:hAnsi="Times New Roman"/>
          <w:sz w:val="24"/>
          <w:u w:val="none"/>
        </w:rPr>
        <w:t>Numrering</w:t>
      </w:r>
      <w:bookmarkEnd w:id="17"/>
      <w:bookmarkEnd w:id="18"/>
      <w:bookmarkEnd w:id="19"/>
      <w:bookmarkEnd w:id="20"/>
    </w:p>
    <w:p w:rsidR="002648B0" w:rsidRPr="00392FFD" w:rsidRDefault="00125707" w:rsidP="00C37B29">
      <w:pPr>
        <w:pStyle w:val="InstructionsText2"/>
        <w:numPr>
          <w:ilvl w:val="0"/>
          <w:numId w:val="0"/>
        </w:numPr>
        <w:ind w:left="993"/>
      </w:pPr>
      <w:r>
        <w:t>4.</w:t>
      </w:r>
      <w:r>
        <w:tab/>
        <w:t>I dokumentet används den efterföljande tabellens beteckningssystem för hä</w:t>
      </w:r>
      <w:r>
        <w:t>n</w:t>
      </w:r>
      <w:r>
        <w:t>visningar till kolumner, rader och celler i mallarna. I valideringsbestämmelserna hänvisas ofta till dessa sifferkoder.</w:t>
      </w:r>
    </w:p>
    <w:p w:rsidR="005643EA" w:rsidRPr="00392FFD" w:rsidRDefault="00125707" w:rsidP="00C37B29">
      <w:pPr>
        <w:pStyle w:val="InstructionsText2"/>
        <w:numPr>
          <w:ilvl w:val="0"/>
          <w:numId w:val="0"/>
        </w:numPr>
        <w:ind w:left="993"/>
      </w:pPr>
      <w:r>
        <w:t>5.</w:t>
      </w:r>
      <w:r>
        <w:tab/>
        <w:t>Följande allmänna beteckningssystem används i anvisningarna: Mall;Rad;Kolumn.</w:t>
      </w:r>
    </w:p>
    <w:p w:rsidR="002648B0" w:rsidRPr="00392FFD" w:rsidRDefault="00125707" w:rsidP="00C37B29">
      <w:pPr>
        <w:pStyle w:val="InstructionsText2"/>
        <w:numPr>
          <w:ilvl w:val="0"/>
          <w:numId w:val="0"/>
        </w:numPr>
        <w:ind w:left="993"/>
      </w:pPr>
      <w:r>
        <w:t>6.</w:t>
      </w:r>
      <w:r>
        <w:tab/>
        <w:t>Vid validering inom en mall där man endast använder uppgiftsposter från den mallen anges inte mallen i beteckningen: Rad;Kolumn.</w:t>
      </w:r>
    </w:p>
    <w:p w:rsidR="005643EA" w:rsidRPr="00392FFD" w:rsidRDefault="00125707" w:rsidP="00C37B29">
      <w:pPr>
        <w:pStyle w:val="InstructionsText2"/>
        <w:numPr>
          <w:ilvl w:val="0"/>
          <w:numId w:val="0"/>
        </w:numPr>
        <w:ind w:left="993"/>
      </w:pPr>
      <w:r>
        <w:t>7.</w:t>
      </w:r>
      <w:r>
        <w:tab/>
        <w:t>Om mallen bara har en kolumn, anges endast rader: Mall;Rad.</w:t>
      </w:r>
    </w:p>
    <w:p w:rsidR="002648B0" w:rsidRPr="00392FFD" w:rsidRDefault="00125707" w:rsidP="00C37B29">
      <w:pPr>
        <w:pStyle w:val="InstructionsText2"/>
        <w:numPr>
          <w:ilvl w:val="0"/>
          <w:numId w:val="0"/>
        </w:numPr>
        <w:ind w:left="993"/>
      </w:pPr>
      <w:r>
        <w:t>8.</w:t>
      </w:r>
      <w:r>
        <w:tab/>
        <w:t>En asterisk betyder att valideringen avser de rader eller kolumner som anges före den.</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820224"/>
      <w:r>
        <w:rPr>
          <w:rFonts w:ascii="Times New Roman" w:hAnsi="Times New Roman"/>
          <w:sz w:val="24"/>
          <w:u w:val="none"/>
        </w:rPr>
        <w:t>1.3.</w:t>
      </w:r>
      <w:r w:rsidRPr="00030C22">
        <w:rPr>
          <w:u w:val="none"/>
        </w:rPr>
        <w:tab/>
      </w:r>
      <w:r>
        <w:rPr>
          <w:rFonts w:ascii="Times New Roman" w:hAnsi="Times New Roman"/>
          <w:sz w:val="24"/>
          <w:u w:val="none"/>
        </w:rPr>
        <w:t>Tecken</w:t>
      </w:r>
      <w:bookmarkEnd w:id="15"/>
      <w:bookmarkEnd w:id="16"/>
      <w:bookmarkEnd w:id="21"/>
      <w:bookmarkEnd w:id="22"/>
      <w:bookmarkEnd w:id="23"/>
      <w:bookmarkEnd w:id="24"/>
    </w:p>
    <w:p w:rsidR="002648B0" w:rsidRDefault="00125707" w:rsidP="00C37B29">
      <w:pPr>
        <w:pStyle w:val="InstructionsText2"/>
        <w:numPr>
          <w:ilvl w:val="0"/>
          <w:numId w:val="0"/>
        </w:numPr>
        <w:ind w:left="993"/>
      </w:pPr>
      <w:r>
        <w:t>9.</w:t>
      </w:r>
      <w:r>
        <w:tab/>
        <w:t xml:space="preserve">Ett belopp som ökar kapitalbasen eller kapitalkraven ska rapporteras som en pluspost. Ett belopp som däremot minskar den totala kapitalbasen eller de totala </w:t>
      </w:r>
      <w:r>
        <w:lastRenderedPageBreak/>
        <w:t>kapitalkraven ska rapporteras som en minuspost. Om namnet på en post föregås av ett minustecken (-) förväntas inga positiva belopp rapporteras för den ifrågavarande posten.</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820225"/>
      <w:r>
        <w:rPr>
          <w:rFonts w:ascii="Times New Roman" w:hAnsi="Times New Roman"/>
          <w:sz w:val="24"/>
          <w:u w:val="none"/>
        </w:rPr>
        <w:t>1.4.</w:t>
      </w:r>
      <w:r w:rsidRPr="00030C22">
        <w:rPr>
          <w:u w:val="none"/>
        </w:rPr>
        <w:tab/>
      </w:r>
      <w:r>
        <w:rPr>
          <w:rFonts w:ascii="Times New Roman" w:hAnsi="Times New Roman"/>
          <w:sz w:val="24"/>
          <w:u w:val="none"/>
        </w:rPr>
        <w:t>Förkortningar</w:t>
      </w:r>
      <w:bookmarkEnd w:id="25"/>
      <w:bookmarkEnd w:id="26"/>
    </w:p>
    <w:p w:rsidR="00304CA5" w:rsidRPr="001F2830" w:rsidRDefault="00304CA5" w:rsidP="00C37B29">
      <w:pPr>
        <w:pStyle w:val="InstructionsText2"/>
        <w:numPr>
          <w:ilvl w:val="0"/>
          <w:numId w:val="0"/>
        </w:numPr>
        <w:ind w:left="993"/>
      </w:pPr>
      <w:r>
        <w:t xml:space="preserve">9a. I denna bilaga används förkortningen CRR för förordning (EU) nr 575/2013 </w:t>
      </w:r>
      <w:r>
        <w:rPr>
          <w:rStyle w:val="FormatvorlageInstructionsTabelleText"/>
          <w:rFonts w:ascii="Times New Roman" w:hAnsi="Times New Roman"/>
          <w:sz w:val="24"/>
        </w:rPr>
        <w:t xml:space="preserve">och </w:t>
      </w:r>
      <w:r>
        <w:t>förkortningen CRD för Europaparlamentets och rådets direktiv 2013/36/EU.</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820226"/>
      <w:r>
        <w:rPr>
          <w:rFonts w:ascii="Times New Roman" w:hAnsi="Times New Roman"/>
        </w:rPr>
        <w:t>DEL II: MALLRELATERADE INSTRUKTIONER</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820227"/>
      <w:r>
        <w:rPr>
          <w:rFonts w:ascii="Times New Roman" w:hAnsi="Times New Roman"/>
          <w:sz w:val="24"/>
          <w:u w:val="none"/>
        </w:rPr>
        <w:t>1.</w:t>
      </w:r>
      <w:r w:rsidRPr="00CE7A6C">
        <w:rPr>
          <w:u w:val="none"/>
        </w:rPr>
        <w:tab/>
      </w:r>
      <w:r>
        <w:rPr>
          <w:rFonts w:ascii="Times New Roman" w:hAnsi="Times New Roman"/>
          <w:sz w:val="24"/>
          <w:u w:val="none"/>
        </w:rPr>
        <w:t>Kapitaltäckningsöversikt</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820228"/>
      <w:r>
        <w:rPr>
          <w:rFonts w:ascii="Times New Roman" w:hAnsi="Times New Roman"/>
          <w:sz w:val="24"/>
          <w:u w:val="none"/>
        </w:rPr>
        <w:t>1.1.</w:t>
      </w:r>
      <w:r w:rsidRPr="00CE7A6C">
        <w:rPr>
          <w:u w:val="none"/>
        </w:rPr>
        <w:tab/>
      </w:r>
      <w:r>
        <w:rPr>
          <w:rFonts w:ascii="Times New Roman" w:hAnsi="Times New Roman"/>
          <w:sz w:val="24"/>
          <w:u w:val="none"/>
        </w:rPr>
        <w:t>Allmänna kommentarer</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Kapitaltäckningsmallarna (CA-mallar) innehåller information om täljare inom första pelaren (kapitalbas, primärkapital och kärnprimärkapital), nämnare (kapita</w:t>
      </w:r>
      <w:r>
        <w:t>l</w:t>
      </w:r>
      <w:r>
        <w:t xml:space="preserve">baskrav) och övergångsbestämmelser, och består av följande fem mallar: </w:t>
      </w:r>
    </w:p>
    <w:p w:rsidR="005643EA" w:rsidRPr="00392FFD" w:rsidRDefault="00125707" w:rsidP="00C37B29">
      <w:pPr>
        <w:pStyle w:val="InstructionsText2"/>
        <w:numPr>
          <w:ilvl w:val="0"/>
          <w:numId w:val="0"/>
        </w:numPr>
        <w:ind w:left="993"/>
      </w:pPr>
      <w:r>
        <w:t>(a)</w:t>
      </w:r>
      <w:r>
        <w:tab/>
        <w:t>I mall CA1 rapporteras institutens kapitalbas, uppdelad i de poster som ligger till grund för beloppet. Kapitalbasen beräknas med hänsyn till den sammantagna e</w:t>
      </w:r>
      <w:r>
        <w:t>f</w:t>
      </w:r>
      <w:r>
        <w:t>fekten av övergångsbestämmelserna för varje typ av kapital.</w:t>
      </w:r>
    </w:p>
    <w:p w:rsidR="005643EA" w:rsidRPr="00392FFD" w:rsidRDefault="00125707" w:rsidP="00C37B29">
      <w:pPr>
        <w:pStyle w:val="InstructionsText2"/>
        <w:numPr>
          <w:ilvl w:val="0"/>
          <w:numId w:val="0"/>
        </w:numPr>
        <w:ind w:left="993"/>
      </w:pPr>
      <w:r>
        <w:t>(b)</w:t>
      </w:r>
      <w:r>
        <w:tab/>
        <w:t>I mall CA2 summeras de totala riskvägda exponeringsbeloppen i enlighet med artikel 92.3 i CRR.</w:t>
      </w:r>
    </w:p>
    <w:p w:rsidR="005643EA" w:rsidRPr="00392FFD" w:rsidRDefault="00125707" w:rsidP="00C37B29">
      <w:pPr>
        <w:pStyle w:val="InstructionsText2"/>
        <w:numPr>
          <w:ilvl w:val="0"/>
          <w:numId w:val="0"/>
        </w:numPr>
        <w:ind w:left="993"/>
      </w:pPr>
      <w:r>
        <w:t>(c)</w:t>
      </w:r>
      <w:r>
        <w:tab/>
        <w:t>Mall CA3 innehåller de kvoter för vilka en lägstanivå föreskrivs i CRR och vissa andra uppgifter i samband med detta.</w:t>
      </w:r>
    </w:p>
    <w:p w:rsidR="005643EA" w:rsidRPr="00392FFD" w:rsidRDefault="00125707" w:rsidP="00C37B29">
      <w:pPr>
        <w:pStyle w:val="InstructionsText2"/>
        <w:numPr>
          <w:ilvl w:val="0"/>
          <w:numId w:val="0"/>
        </w:numPr>
        <w:ind w:left="993"/>
      </w:pPr>
      <w:r>
        <w:t>(d)</w:t>
      </w:r>
      <w:r>
        <w:tab/>
        <w:t>Mall CA4 innehåller de memorandumposter som behövs för att beräkna po</w:t>
      </w:r>
      <w:r>
        <w:t>s</w:t>
      </w:r>
      <w:r>
        <w:t xml:space="preserve">terna i CA1 samt information avseende de kapitalbuffertar som föreskrivs i CRD. </w:t>
      </w:r>
    </w:p>
    <w:p w:rsidR="005643EA" w:rsidRPr="00392FFD" w:rsidRDefault="00125707" w:rsidP="00C37B29">
      <w:pPr>
        <w:pStyle w:val="InstructionsText2"/>
        <w:numPr>
          <w:ilvl w:val="0"/>
          <w:numId w:val="0"/>
        </w:numPr>
        <w:ind w:left="993"/>
      </w:pPr>
      <w:r>
        <w:t>(e)</w:t>
      </w:r>
      <w:r>
        <w:tab/>
        <w:t>I mall CA5 rapporteras de uppgifter som behövs för att beräkna övergångsb</w:t>
      </w:r>
      <w:r>
        <w:t>e</w:t>
      </w:r>
      <w:r>
        <w:t>stämmelsernas effekt på kapitalbasen. CA5 kommer att tas bort när övergångsb</w:t>
      </w:r>
      <w:r>
        <w:t>e</w:t>
      </w:r>
      <w:r>
        <w:t>stämmelserna upphör att gälla.</w:t>
      </w:r>
    </w:p>
    <w:p w:rsidR="00783881" w:rsidRPr="00392FFD" w:rsidRDefault="00125707" w:rsidP="00C37B29">
      <w:pPr>
        <w:pStyle w:val="InstructionsText2"/>
        <w:numPr>
          <w:ilvl w:val="0"/>
          <w:numId w:val="0"/>
        </w:numPr>
        <w:ind w:left="993"/>
      </w:pPr>
      <w:r>
        <w:t>11.</w:t>
      </w:r>
      <w:r>
        <w:tab/>
        <w:t>Mallarna ska gälla för samtliga rapporterande enheter, oavsett vilken redovi</w:t>
      </w:r>
      <w:r>
        <w:t>s</w:t>
      </w:r>
      <w:r>
        <w:t>ningsstandard de följer, även om vissa poster i täljaren särskilt avser enheter som tillämpar valideringsregler av typen IAS/IFRS. Generellt sett är informationen i nämnaren kopplad till de slutresultat som redovisats i motsvarande mall för berä</w:t>
      </w:r>
      <w:r>
        <w:t>k</w:t>
      </w:r>
      <w:r>
        <w:t>ning av det totala riskvägda exponeringsbeloppet.</w:t>
      </w:r>
    </w:p>
    <w:p w:rsidR="005643EA" w:rsidRPr="00392FFD" w:rsidRDefault="00125707" w:rsidP="00C37B29">
      <w:pPr>
        <w:pStyle w:val="InstructionsText2"/>
        <w:numPr>
          <w:ilvl w:val="0"/>
          <w:numId w:val="0"/>
        </w:numPr>
        <w:ind w:left="993"/>
      </w:pPr>
      <w:r>
        <w:t>12.</w:t>
      </w:r>
      <w:r>
        <w:tab/>
        <w:t xml:space="preserve">Den totala kapitalbasen består av följande typer av kapital: Primärkapital (T1), som är summan av kärnprimärkapital (CET1) och primärkapitaltillskott (AT1), samt supplementärkapital (T2). </w:t>
      </w:r>
    </w:p>
    <w:p w:rsidR="00783881" w:rsidRPr="00392FFD" w:rsidRDefault="00125707" w:rsidP="00C37B29">
      <w:pPr>
        <w:pStyle w:val="InstructionsText2"/>
        <w:numPr>
          <w:ilvl w:val="0"/>
          <w:numId w:val="0"/>
        </w:numPr>
        <w:ind w:left="993"/>
      </w:pPr>
      <w:r>
        <w:t>13.</w:t>
      </w:r>
      <w:r>
        <w:tab/>
        <w:t>Övergångsbestämmelserna behandlas enligt följande i CA-mallarna:</w:t>
      </w:r>
    </w:p>
    <w:p w:rsidR="00783881" w:rsidRPr="00392FFD" w:rsidRDefault="00125707" w:rsidP="00C37B29">
      <w:pPr>
        <w:pStyle w:val="InstructionsText2"/>
        <w:numPr>
          <w:ilvl w:val="0"/>
          <w:numId w:val="0"/>
        </w:numPr>
        <w:ind w:left="993"/>
      </w:pPr>
      <w:r>
        <w:t>(a)</w:t>
      </w:r>
      <w:r>
        <w:tab/>
        <w:t>Posterna i CA1 beräknas i allmänhet utan avdrag för övergångsjusteringar. Detta innebär att beloppen i CA1-posterna beräknas enligt de slutgiltiga bestä</w:t>
      </w:r>
      <w:r>
        <w:t>m</w:t>
      </w:r>
      <w:r>
        <w:t>melserna (dvs. som om det inte fanns några övergångsbestämmelser), med unda</w:t>
      </w:r>
      <w:r>
        <w:t>n</w:t>
      </w:r>
      <w:r>
        <w:t>tag för poster som summerar effekten av övergångsbestämmelserna. För varje typ av kapital (dvs. CET1, AT1 och T2) finns tre olika poster, och i dessa ingår alla j</w:t>
      </w:r>
      <w:r>
        <w:t>u</w:t>
      </w:r>
      <w:r>
        <w:t>steringar på grund av övergångsbestämmelser.</w:t>
      </w:r>
    </w:p>
    <w:p w:rsidR="00113EA5" w:rsidRPr="00392FFD" w:rsidRDefault="00125707" w:rsidP="00C37B29">
      <w:pPr>
        <w:pStyle w:val="InstructionsText2"/>
        <w:numPr>
          <w:ilvl w:val="0"/>
          <w:numId w:val="0"/>
        </w:numPr>
        <w:ind w:left="993"/>
      </w:pPr>
      <w:r>
        <w:t>(b)</w:t>
      </w:r>
      <w:r>
        <w:tab/>
        <w:t>Övergångsbestämmelserna kan även påverka bortfall av primärkapitaltillskott (AT1) och supplementärkapital (T2) (dvs. AT1 eller T2 utöver det avdrag som r</w:t>
      </w:r>
      <w:r>
        <w:t>e</w:t>
      </w:r>
      <w:r>
        <w:t>gleras i artiklarna 36.1 j respektive 56 e i CRR). Effekten av övergångsbestämme</w:t>
      </w:r>
      <w:r>
        <w:t>l</w:t>
      </w:r>
      <w:r>
        <w:t>serna kan därmed avspeglas indirekt i de poster som uppvisar sådana bortfall.</w:t>
      </w:r>
    </w:p>
    <w:p w:rsidR="005643EA" w:rsidRPr="00392FFD" w:rsidRDefault="00125707" w:rsidP="00C37B29">
      <w:pPr>
        <w:pStyle w:val="InstructionsText2"/>
        <w:numPr>
          <w:ilvl w:val="0"/>
          <w:numId w:val="0"/>
        </w:numPr>
        <w:ind w:left="993"/>
      </w:pPr>
      <w:r>
        <w:lastRenderedPageBreak/>
        <w:t>(c)</w:t>
      </w:r>
      <w:r>
        <w:tab/>
        <w:t xml:space="preserve">Mall CA5 används endast för rapportering av övergångsbestämmelserna. </w:t>
      </w:r>
    </w:p>
    <w:p w:rsidR="00783881" w:rsidRPr="00392FFD" w:rsidRDefault="00125707" w:rsidP="00C37B29">
      <w:pPr>
        <w:pStyle w:val="InstructionsText2"/>
        <w:numPr>
          <w:ilvl w:val="0"/>
          <w:numId w:val="0"/>
        </w:numPr>
        <w:ind w:left="993"/>
      </w:pPr>
      <w:r>
        <w:t>14.</w:t>
      </w:r>
      <w:r>
        <w:tab/>
        <w:t>Kraven inom andra pelaren kan hanteras på olika sätt inom unionen, eftersom artikel 104.2 i CRD måste införlivas med nationell lagstiftning. Den kapitaltäc</w:t>
      </w:r>
      <w:r>
        <w:t>k</w:t>
      </w:r>
      <w:r>
        <w:t xml:space="preserve">ningsrapportering som föreskrivs i CRR ska bara omfatta vilken effekt kraven inom andra pelaren har på kapitalrelationen eller dess målvärde. Artikel 99 i CRR medför ingen skyldighet att i detalj rapportera de krav som gäller inom andra pelaren. </w:t>
      </w:r>
    </w:p>
    <w:p w:rsidR="005643EA" w:rsidRPr="00392FFD" w:rsidRDefault="00125707" w:rsidP="00C37B29">
      <w:pPr>
        <w:pStyle w:val="InstructionsText2"/>
        <w:numPr>
          <w:ilvl w:val="0"/>
          <w:numId w:val="0"/>
        </w:numPr>
        <w:ind w:left="993"/>
      </w:pPr>
      <w:r>
        <w:t>a)</w:t>
      </w:r>
      <w:r>
        <w:tab/>
        <w:t>Mallarna CA1, CA2 och CA5 innehåller enbart uppgifter inom ramen för första pelaren.</w:t>
      </w:r>
    </w:p>
    <w:p w:rsidR="005643EA" w:rsidRPr="00392FFD" w:rsidRDefault="00125707" w:rsidP="00C37B29">
      <w:pPr>
        <w:pStyle w:val="InstructionsText2"/>
        <w:numPr>
          <w:ilvl w:val="0"/>
          <w:numId w:val="0"/>
        </w:numPr>
        <w:ind w:left="993"/>
      </w:pPr>
      <w:r>
        <w:t>b)</w:t>
      </w:r>
      <w:r>
        <w:tab/>
        <w:t xml:space="preserve">Uppgifterna i mall CA3 ska visa hur extra krav inom andra pelaren påverkar kapitalrelationen på aggregerad nivå. En grupp är inriktad på beloppens inverkan på relationerna, medan det andra blocket är inriktat på själva relationen. Ingen av de båda grupperna av kapitalrelationer har någon ytterligare anknytning till mall CA1, CA2 eller CA5. </w:t>
      </w:r>
    </w:p>
    <w:p w:rsidR="005643EA" w:rsidRPr="00392FFD" w:rsidRDefault="00125707" w:rsidP="00C37B29">
      <w:pPr>
        <w:pStyle w:val="InstructionsText2"/>
        <w:numPr>
          <w:ilvl w:val="0"/>
          <w:numId w:val="0"/>
        </w:numPr>
        <w:ind w:left="993"/>
      </w:pPr>
      <w:r>
        <w:t>c)</w:t>
      </w:r>
      <w:r>
        <w:tab/>
        <w:t>Mall CA4 innehåller en cell som avser ytterligare kapitalbaskrav enligt andra pelaren. Denna cell har ingen koppling via valideringsreglerna till kapitalrelatione</w:t>
      </w:r>
      <w:r>
        <w:t>r</w:t>
      </w:r>
      <w:r>
        <w:t>na i mall CA3 utan avspeglar artikel 104.2 i CRD, där man uttryckligen nämner möjligheten att besluta om ytterligare kapitalbaskrav inom ramen för andra pelaren.</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3820229"/>
      <w:bookmarkStart w:id="44" w:name="_Toc308175820"/>
      <w:bookmarkStart w:id="45" w:name="_Toc360188325"/>
      <w:r>
        <w:rPr>
          <w:rFonts w:ascii="Times New Roman" w:hAnsi="Times New Roman"/>
          <w:sz w:val="24"/>
          <w:u w:val="none"/>
        </w:rPr>
        <w:t>1.2</w:t>
      </w:r>
      <w:r w:rsidRPr="00CE7A6C">
        <w:rPr>
          <w:rFonts w:ascii="Times New Roman" w:hAnsi="Times New Roman"/>
          <w:sz w:val="24"/>
          <w:u w:val="none"/>
        </w:rPr>
        <w:t>.</w:t>
      </w:r>
      <w:r w:rsidRPr="00CE7A6C">
        <w:rPr>
          <w:u w:val="none"/>
        </w:rPr>
        <w:tab/>
      </w:r>
      <w:r>
        <w:rPr>
          <w:rFonts w:ascii="Times New Roman" w:hAnsi="Times New Roman"/>
          <w:sz w:val="24"/>
        </w:rPr>
        <w:t>C 01.00 – KAPITALBAS (CA1)</w:t>
      </w:r>
      <w:bookmarkEnd w:id="41"/>
      <w:bookmarkEnd w:id="42"/>
      <w:bookmarkEnd w:id="43"/>
      <w:r>
        <w:rPr>
          <w:rFonts w:ascii="Times New Roman" w:hAnsi="Times New Roman"/>
          <w:sz w:val="24"/>
        </w:rPr>
        <w:t xml:space="preserve"> </w:t>
      </w:r>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3820230"/>
      <w:r>
        <w:rPr>
          <w:rFonts w:ascii="Times New Roman" w:hAnsi="Times New Roman"/>
          <w:sz w:val="24"/>
          <w:u w:val="none"/>
        </w:rPr>
        <w:t>1.2.1.</w:t>
      </w:r>
      <w:r w:rsidRPr="00CE7A6C">
        <w:rPr>
          <w:u w:val="none"/>
        </w:rPr>
        <w:tab/>
      </w:r>
      <w:r>
        <w:rPr>
          <w:rFonts w:ascii="Times New Roman" w:hAnsi="Times New Roman"/>
          <w:sz w:val="24"/>
        </w:rPr>
        <w:t xml:space="preserve">Instruktioner för specifika </w:t>
      </w:r>
      <w:bookmarkEnd w:id="46"/>
      <w:bookmarkEnd w:id="47"/>
      <w:r>
        <w:rPr>
          <w:rFonts w:ascii="Times New Roman" w:hAnsi="Times New Roman"/>
          <w:sz w:val="24"/>
        </w:rPr>
        <w:t>positioner</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Kapitalbas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4.1.118 och 72 i 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Ett instituts kapitalbas ska utgöras av summan av primärkapital och suppl</w:t>
            </w:r>
            <w:r>
              <w:rPr>
                <w:rStyle w:val="FormatvorlageInstructionsTabelleText"/>
                <w:rFonts w:ascii="Times New Roman" w:hAnsi="Times New Roman"/>
                <w:sz w:val="24"/>
              </w:rPr>
              <w:t>e</w:t>
            </w:r>
            <w:r>
              <w:rPr>
                <w:rStyle w:val="FormatvorlageInstructionsTabelleText"/>
                <w:rFonts w:ascii="Times New Roman" w:hAnsi="Times New Roman"/>
                <w:sz w:val="24"/>
              </w:rPr>
              <w:t>mentärkapital.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Primärkapital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i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Primärkapital är summan av kärnprimärkapital och primärkapitaltillskott.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Kärnprimärkapital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Kapitalinstrument som ska räknas som kärnprimärkapital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26.1 a och b, 27–30, 36.1 f och 42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Fullt betalda kapitalinstrument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26.1 a och 27–30 i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 i ömsesidiga bolag, kooperativa sammanslutningar eller jämförbara institut (artiklarna 27 och 29 i CRR) ska inkluderas.</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inkluderas</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Kapitalinstrument som tecknats av offentliga myndigheter i nödsituationer ska inkluderas om samtliga villkor i artikel 31 är uppfyllda.</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Varav: Kapitalinstrument som tecknas av offentliga my</w:t>
            </w:r>
            <w:r>
              <w:rPr>
                <w:rStyle w:val="InstructionsTabelleberschrift"/>
                <w:rFonts w:ascii="Times New Roman" w:hAnsi="Times New Roman"/>
                <w:sz w:val="24"/>
              </w:rPr>
              <w:t>n</w:t>
            </w:r>
            <w:r>
              <w:rPr>
                <w:rStyle w:val="InstructionsTabelleberschrift"/>
                <w:rFonts w:ascii="Times New Roman" w:hAnsi="Times New Roman"/>
                <w:sz w:val="24"/>
              </w:rPr>
              <w:t>digheter i nödsituationer</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i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Kapitalinstrument som tecknats av offentliga myndigheter i nödsituationer ska inkluderas i kärnprimärkapital om samtliga villkor i artikel 31 i CRR är uppfyllda.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Memorandumpost Kapitalinstrument som inte ska räknas med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28.1 b, l och m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w:t>
            </w:r>
            <w:r>
              <w:rPr>
                <w:rStyle w:val="FormatvorlageInstructionsTabelleText"/>
                <w:rFonts w:ascii="Times New Roman" w:hAnsi="Times New Roman"/>
                <w:sz w:val="24"/>
              </w:rPr>
              <w:t>r</w:t>
            </w:r>
            <w:r>
              <w:rPr>
                <w:rStyle w:val="FormatvorlageInstructionsTabelleText"/>
                <w:rFonts w:ascii="Times New Roman" w:hAnsi="Times New Roman"/>
                <w:sz w:val="24"/>
              </w:rPr>
              <w:t>ändras, vilket innebär att det belopp som rapporteras här kan vara godtagbart under senare perioder.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Överkurs vid aktieemission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4.1.124 och 26.1 b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kap</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talinstrument”.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Egna kärnprimärkapitalinstrument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f och 42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egna kärnprimärkapital som det rapporterande institutet eller den rappo</w:t>
            </w:r>
            <w:r>
              <w:rPr>
                <w:rStyle w:val="FormatvorlageInstructionsTabelleText"/>
                <w:rFonts w:ascii="Times New Roman" w:hAnsi="Times New Roman"/>
                <w:sz w:val="24"/>
              </w:rPr>
              <w:t>r</w:t>
            </w:r>
            <w:r>
              <w:rPr>
                <w:rStyle w:val="FormatvorlageInstructionsTabelleText"/>
                <w:rFonts w:ascii="Times New Roman" w:hAnsi="Times New Roman"/>
                <w:sz w:val="24"/>
              </w:rPr>
              <w:t>terande gruppen innehar på rapporteringsdagen. Påverkas av undantagen i artikel 42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”kapitalinstrument som inte ska räknas med” ska inte rapporteras på denna rad.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1.1.1.1.4–1.1.1.1.4.3 innefattar inte faktiska eller villkorade förpli</w:t>
            </w:r>
            <w:r>
              <w:rPr>
                <w:rStyle w:val="FormatvorlageInstructionsTabelleText"/>
                <w:rFonts w:ascii="Times New Roman" w:hAnsi="Times New Roman"/>
                <w:sz w:val="24"/>
              </w:rPr>
              <w:t>k</w:t>
            </w:r>
            <w:r>
              <w:rPr>
                <w:rStyle w:val="FormatvorlageInstructionsTabelleText"/>
                <w:rFonts w:ascii="Times New Roman" w:hAnsi="Times New Roman"/>
                <w:sz w:val="24"/>
              </w:rPr>
              <w:t>telser att köpa egna kärnprimärkapitalinstrument. Faktiska eller villkorade förpliktelser att köpa egna kärnprimärkapitalinstrument redovisas separat under post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Direkta innehav av kärnprimärkapitalinstrument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f och 42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Kärnprimärkapitalinstrument som ingår i post 1.1.1.1 och som innehas av institut inom gruppen.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redovisas ska omfatta innehav i handelslagret beräknat ut</w:t>
            </w:r>
            <w:r>
              <w:rPr>
                <w:rStyle w:val="FormatvorlageInstructionsTabelleText"/>
                <w:rFonts w:ascii="Times New Roman" w:hAnsi="Times New Roman"/>
                <w:sz w:val="24"/>
              </w:rPr>
              <w:t>i</w:t>
            </w:r>
            <w:r>
              <w:rPr>
                <w:rStyle w:val="FormatvorlageInstructionsTabelleText"/>
                <w:rFonts w:ascii="Times New Roman" w:hAnsi="Times New Roman"/>
                <w:sz w:val="24"/>
              </w:rPr>
              <w:t>från nettobeloppet för långa positioner i enlighet med artikel 42 a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Indirekta innehav av kärnprimärkapitalinstrument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4.1.114, 36.1 f och 42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Syntetiska innehav av kärnprimärkapitalinstrument</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Artiklarna 4.1.126, 36.1 f och 42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Faktiska eller villkorade förpliktelser att köpa egna kärnprimärkapitalinstrument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f och 42 i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Enligt artikel 36.1 f i CRR</w:t>
            </w:r>
            <w:r>
              <w:t xml:space="preserve"> ska institutet dra av ”egna kärnprimärkapitali</w:t>
            </w:r>
            <w:r>
              <w:t>n</w:t>
            </w:r>
            <w:r>
              <w:t>strument som institutet har en faktisk eller villkorad förpliktelse att köpa e</w:t>
            </w:r>
            <w:r>
              <w:t>n</w:t>
            </w:r>
            <w:r>
              <w:t>ligt befintlig kontraktsförpliktelse”.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Balanserade vinstmedel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26.1 c och 26.2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balanserade vinstmedel ingår balanserade vinstmedel från det föregående året och godtagbara delårs- eller årsöverskott.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Balanserade vinstmedel föregående år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4.1.123 och 26.1 c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artikel 4.1.123 i CRR definieras balanserade vinstmedel som ”balanserad vinst och förlust från föregående räkenskapsår i enlighet med tillämpliga r</w:t>
            </w:r>
            <w:r>
              <w:rPr>
                <w:rStyle w:val="FormatvorlageInstructionsTabelleText"/>
                <w:rFonts w:ascii="Times New Roman" w:hAnsi="Times New Roman"/>
                <w:sz w:val="24"/>
              </w:rPr>
              <w:t>e</w:t>
            </w:r>
            <w:r>
              <w:rPr>
                <w:rStyle w:val="FormatvorlageInstructionsTabelleText"/>
                <w:rFonts w:ascii="Times New Roman" w:hAnsi="Times New Roman"/>
                <w:sz w:val="24"/>
              </w:rPr>
              <w:t>dovisningsramar”.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Vinst eller förlust som godtas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4.1.121, 26.2 och 36.1 a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Enligt artikel 26.2 i CRR får delårs- eller årsöverskott räknas in i kärnpr</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märkapitalet, efter förhandstillstånd från behörig myndighet och om vissa villkor är uppfyllda.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Förluster ska emellertid dras av från kärnprimärkapitalet i enlighet med art</w:t>
            </w:r>
            <w:r>
              <w:rPr>
                <w:rStyle w:val="FormatvorlageInstructionsTabelleText"/>
                <w:rFonts w:ascii="Times New Roman" w:hAnsi="Times New Roman"/>
                <w:sz w:val="24"/>
              </w:rPr>
              <w:t>i</w:t>
            </w:r>
            <w:r>
              <w:rPr>
                <w:rStyle w:val="FormatvorlageInstructionsTabelleText"/>
                <w:rFonts w:ascii="Times New Roman" w:hAnsi="Times New Roman"/>
                <w:sz w:val="24"/>
              </w:rPr>
              <w:t>kel 36.1 a i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Vinst eller förlust som kan hänföras till moderföretagets ägare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26.2 och 36.1 a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redovisas är den vinst eller förlust som redovisats i r</w:t>
            </w:r>
            <w:r>
              <w:rPr>
                <w:rStyle w:val="FormatvorlageInstructionsTabelleText"/>
                <w:rFonts w:ascii="Times New Roman" w:hAnsi="Times New Roman"/>
                <w:sz w:val="24"/>
              </w:rPr>
              <w:t>e</w:t>
            </w:r>
            <w:r>
              <w:rPr>
                <w:rStyle w:val="FormatvorlageInstructionsTabelleText"/>
                <w:rFonts w:ascii="Times New Roman" w:hAnsi="Times New Roman"/>
                <w:sz w:val="24"/>
              </w:rPr>
              <w:t>sultaträkningen.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Ej godtagbar del av delårs- eller årsresultat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26.2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rad ska lämnas tom om institutet har inrapporterat förlust för ref</w:t>
            </w:r>
            <w:r>
              <w:rPr>
                <w:rStyle w:val="FormatvorlageInstructionsTabelleText"/>
                <w:rFonts w:ascii="Times New Roman" w:hAnsi="Times New Roman"/>
                <w:sz w:val="24"/>
              </w:rPr>
              <w:t>e</w:t>
            </w:r>
            <w:r>
              <w:rPr>
                <w:rStyle w:val="FormatvorlageInstructionsTabelleText"/>
                <w:rFonts w:ascii="Times New Roman" w:hAnsi="Times New Roman"/>
                <w:sz w:val="24"/>
              </w:rPr>
              <w:t>rensperioden. Det beror på att förluster ska dras av helt och hållet från kär</w:t>
            </w:r>
            <w:r>
              <w:rPr>
                <w:rStyle w:val="FormatvorlageInstructionsTabelleText"/>
                <w:rFonts w:ascii="Times New Roman" w:hAnsi="Times New Roman"/>
                <w:sz w:val="24"/>
              </w:rPr>
              <w:t>n</w:t>
            </w:r>
            <w:r>
              <w:rPr>
                <w:rStyle w:val="FormatvorlageInstructionsTabelleText"/>
                <w:rFonts w:ascii="Times New Roman" w:hAnsi="Times New Roman"/>
                <w:sz w:val="24"/>
              </w:rPr>
              <w:t>primärkapitalet.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rapporterar överskott, ska det redovisa den del som inte är go</w:t>
            </w:r>
            <w:r>
              <w:rPr>
                <w:rStyle w:val="FormatvorlageInstructionsTabelleText"/>
                <w:rFonts w:ascii="Times New Roman" w:hAnsi="Times New Roman"/>
                <w:sz w:val="24"/>
              </w:rPr>
              <w:t>d</w:t>
            </w:r>
            <w:r>
              <w:rPr>
                <w:rStyle w:val="FormatvorlageInstructionsTabelleText"/>
                <w:rFonts w:ascii="Times New Roman" w:hAnsi="Times New Roman"/>
                <w:sz w:val="24"/>
              </w:rPr>
              <w:t>tagbar i enlighet med artikel 26.2 i CRR (dvs. överskott som inte är gran</w:t>
            </w:r>
            <w:r>
              <w:rPr>
                <w:rStyle w:val="FormatvorlageInstructionsTabelleText"/>
                <w:rFonts w:ascii="Times New Roman" w:hAnsi="Times New Roman"/>
                <w:sz w:val="24"/>
              </w:rPr>
              <w:t>s</w:t>
            </w:r>
            <w:r>
              <w:rPr>
                <w:rStyle w:val="FormatvorlageInstructionsTabelleText"/>
                <w:rFonts w:ascii="Times New Roman" w:hAnsi="Times New Roman"/>
                <w:sz w:val="24"/>
              </w:rPr>
              <w:t>kade och förutsebara kostnader och utdelningar).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Det belopp som ska dras av vid överskott ska minst motsvara delårsutde</w:t>
            </w:r>
            <w:r>
              <w:rPr>
                <w:rStyle w:val="FormatvorlageInstructionsTabelleText"/>
                <w:rFonts w:ascii="Times New Roman" w:hAnsi="Times New Roman"/>
                <w:sz w:val="24"/>
              </w:rPr>
              <w:t>l</w:t>
            </w:r>
            <w:r>
              <w:rPr>
                <w:rStyle w:val="FormatvorlageInstructionsTabelleText"/>
                <w:rFonts w:ascii="Times New Roman" w:hAnsi="Times New Roman"/>
                <w:sz w:val="24"/>
              </w:rPr>
              <w:t>ningarna.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Ackumulerat annat totalresultat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4.1.100 och 26.1 d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 och före avdrag för försiktighetsmargin</w:t>
            </w:r>
            <w:r>
              <w:rPr>
                <w:rStyle w:val="FormatvorlageInstructionsTabelleText"/>
                <w:rFonts w:ascii="Times New Roman" w:hAnsi="Times New Roman"/>
                <w:sz w:val="24"/>
              </w:rPr>
              <w:t>a</w:t>
            </w:r>
            <w:r>
              <w:rPr>
                <w:rStyle w:val="FormatvorlageInstructionsTabelleText"/>
                <w:rFonts w:ascii="Times New Roman" w:hAnsi="Times New Roman"/>
                <w:sz w:val="24"/>
              </w:rPr>
              <w:t>ler. Det belopp sam ska redovisas ska fastställas i enlighet med kommissio</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ens delegerade förordning (EU) nr 241/2014.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Övriga reserver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4.1.117 och 26.1 e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reserver definieras i CRR som ”reserver med den innebörd som anges i tillämpliga redovisningsramar, om vilka upplysningar ska lämnas e</w:t>
            </w:r>
            <w:r>
              <w:rPr>
                <w:rStyle w:val="FormatvorlageInstructionsTabelleText"/>
                <w:rFonts w:ascii="Times New Roman" w:hAnsi="Times New Roman"/>
                <w:sz w:val="24"/>
              </w:rPr>
              <w:t>n</w:t>
            </w:r>
            <w:r>
              <w:rPr>
                <w:rStyle w:val="FormatvorlageInstructionsTabelleText"/>
                <w:rFonts w:ascii="Times New Roman" w:hAnsi="Times New Roman"/>
                <w:sz w:val="24"/>
              </w:rPr>
              <w:t>ligt denna tillämpliga redovisningsstandard, utom sådana belopp som redan ingår i ackumulerat annat totalresultat eller balanserade vinstmedel”.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Reserveringar för allmänna risker i bankrörelse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4.1.112 och 26.1 f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Reserveringar för allmänna risker i bankrörelse definieras i artikel 38 i dire</w:t>
            </w:r>
            <w:r>
              <w:rPr>
                <w:rStyle w:val="FormatvorlageInstructionsTabelleText"/>
                <w:rFonts w:ascii="Times New Roman" w:hAnsi="Times New Roman"/>
                <w:sz w:val="24"/>
              </w:rPr>
              <w:t>k</w:t>
            </w:r>
            <w:r>
              <w:rPr>
                <w:rStyle w:val="FormatvorlageInstructionsTabelleText"/>
                <w:rFonts w:ascii="Times New Roman" w:hAnsi="Times New Roman"/>
                <w:sz w:val="24"/>
              </w:rPr>
              <w:t>tiv 86/635/EEG som ”reserveringar som kreditinstitut beslutar göra för att möta de särskilda risker som är förenade med bankrörelse”.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Övergångsjusteringar på grund av kärnprimärkapitalinstrument för vilka äldre regler får fortsätta att tillämpas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483.1–3 och 484–487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kärnprimärkapital enligt äldre regler. Det belopp som ska rapporteras hämtas direkt från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Minoritetsintressen som får ingå i kärnprimärkapital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4.1.120 och 84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samtliga dotterföretags minoritetsintressen som ingår i det ko</w:t>
            </w:r>
            <w:r>
              <w:rPr>
                <w:rStyle w:val="FormatvorlageInstructionsTabelleText"/>
                <w:rFonts w:ascii="Times New Roman" w:hAnsi="Times New Roman"/>
                <w:sz w:val="24"/>
              </w:rPr>
              <w:t>n</w:t>
            </w:r>
            <w:r>
              <w:rPr>
                <w:rStyle w:val="FormatvorlageInstructionsTabelleText"/>
                <w:rFonts w:ascii="Times New Roman" w:hAnsi="Times New Roman"/>
                <w:sz w:val="24"/>
              </w:rPr>
              <w:t>soliderade kärnprimärkapitalet.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Övergångsjusteringar på grund av ytterligare minoritetsintre</w:t>
            </w:r>
            <w:r>
              <w:rPr>
                <w:rStyle w:val="InstructionsTabelleberschrift"/>
                <w:rFonts w:ascii="Times New Roman" w:hAnsi="Times New Roman"/>
                <w:sz w:val="24"/>
              </w:rPr>
              <w:t>s</w:t>
            </w:r>
            <w:r>
              <w:rPr>
                <w:rStyle w:val="InstructionsTabelleberschrift"/>
                <w:rFonts w:ascii="Times New Roman" w:hAnsi="Times New Roman"/>
                <w:sz w:val="24"/>
              </w:rPr>
              <w:t>sen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479 och 480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minoritetsintressen på grund av övergångsbestämmelser. Denna post hämtas direkt från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Justeringar av kärnprimärkapital på grund av försiktighetsma</w:t>
            </w:r>
            <w:r>
              <w:rPr>
                <w:rStyle w:val="InstructionsTabelleberschrift"/>
                <w:rFonts w:ascii="Times New Roman" w:hAnsi="Times New Roman"/>
                <w:sz w:val="24"/>
              </w:rPr>
              <w:t>r</w:t>
            </w:r>
            <w:r>
              <w:rPr>
                <w:rStyle w:val="InstructionsTabelleberschrift"/>
                <w:rFonts w:ascii="Times New Roman" w:hAnsi="Times New Roman"/>
                <w:sz w:val="24"/>
              </w:rPr>
              <w:t>ginaler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Artiklarna 32–35 i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Ökningar av det egna kapitalet till följd av värdepa</w:t>
            </w:r>
            <w:r>
              <w:rPr>
                <w:rStyle w:val="InstructionsTabelleberschrift"/>
                <w:rFonts w:ascii="Times New Roman" w:hAnsi="Times New Roman"/>
                <w:sz w:val="24"/>
              </w:rPr>
              <w:t>p</w:t>
            </w:r>
            <w:r>
              <w:rPr>
                <w:rStyle w:val="InstructionsTabelleberschrift"/>
                <w:rFonts w:ascii="Times New Roman" w:hAnsi="Times New Roman"/>
                <w:sz w:val="24"/>
              </w:rPr>
              <w:t>periserade tillgångar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32.1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är ökningen av institutets egna kapital till följd av värdepapperiserade tillgångar i enlighet med tillämplig redovi</w:t>
            </w:r>
            <w:r>
              <w:rPr>
                <w:rStyle w:val="FormatvorlageInstructionsTabelleText"/>
                <w:rFonts w:ascii="Times New Roman" w:hAnsi="Times New Roman"/>
                <w:sz w:val="24"/>
              </w:rPr>
              <w:t>s</w:t>
            </w:r>
            <w:r>
              <w:rPr>
                <w:rStyle w:val="FormatvorlageInstructionsTabelleText"/>
                <w:rFonts w:ascii="Times New Roman" w:hAnsi="Times New Roman"/>
                <w:sz w:val="24"/>
              </w:rPr>
              <w:t>ningsstandard.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innefattar t.ex. framtida marginalintäkter som är ett resultat av institutets vinst vid försäljning eller, om institutet är originator, nettovinsten från den kapitalisering av framtida inkomster från de värdepapperiserade tillgångarna som ger kreditförstärkning till positionerna i värdepapperis</w:t>
            </w:r>
            <w:r>
              <w:rPr>
                <w:rStyle w:val="FormatvorlageInstructionsTabelleText"/>
                <w:rFonts w:ascii="Times New Roman" w:hAnsi="Times New Roman"/>
                <w:sz w:val="24"/>
              </w:rPr>
              <w:t>e</w:t>
            </w:r>
            <w:r>
              <w:rPr>
                <w:rStyle w:val="FormatvorlageInstructionsTabelleText"/>
                <w:rFonts w:ascii="Times New Roman" w:hAnsi="Times New Roman"/>
                <w:sz w:val="24"/>
              </w:rPr>
              <w:t>ringen.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 som härrör från säkring av kassaflöden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33.1 a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antingen positivt eller negativt. Det ska vara positivt om säkringen av kassaflödet resulterar i en förlust (dvs. om det minskar bokfört eget kapital) och vice versa. Man använder alltså mo</w:t>
            </w:r>
            <w:r>
              <w:rPr>
                <w:rStyle w:val="FormatvorlageInstructionsTabelleText"/>
                <w:rFonts w:ascii="Times New Roman" w:hAnsi="Times New Roman"/>
                <w:sz w:val="24"/>
              </w:rPr>
              <w:t>t</w:t>
            </w:r>
            <w:r>
              <w:rPr>
                <w:rStyle w:val="FormatvorlageInstructionsTabelleText"/>
                <w:rFonts w:ascii="Times New Roman" w:hAnsi="Times New Roman"/>
                <w:sz w:val="24"/>
              </w:rPr>
              <w:t>satt tecken (+/-) jämfört med i resultaträkningen.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Ackumulerade vinster och förluster på grund av ändrin</w:t>
            </w:r>
            <w:r>
              <w:rPr>
                <w:rStyle w:val="InstructionsTabelleberschrift"/>
                <w:rFonts w:ascii="Times New Roman" w:hAnsi="Times New Roman"/>
                <w:sz w:val="24"/>
              </w:rPr>
              <w:t>g</w:t>
            </w:r>
            <w:r>
              <w:rPr>
                <w:rStyle w:val="InstructionsTabelleberschrift"/>
                <w:rFonts w:ascii="Times New Roman" w:hAnsi="Times New Roman"/>
                <w:sz w:val="24"/>
              </w:rPr>
              <w:t>ar av institutets egen kreditrisk för skuldförbindelser som värderas till verkligt värde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33.1 b i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antingen positivt eller negativt. Det ska vara positivt om det uppstår en förlust på grund av ändringar av instit</w:t>
            </w:r>
            <w:r>
              <w:rPr>
                <w:rStyle w:val="FormatvorlageInstructionsTabelleText"/>
                <w:rFonts w:ascii="Times New Roman" w:hAnsi="Times New Roman"/>
                <w:sz w:val="24"/>
              </w:rPr>
              <w:t>u</w:t>
            </w:r>
            <w:r>
              <w:rPr>
                <w:rStyle w:val="FormatvorlageInstructionsTabelleText"/>
                <w:rFonts w:ascii="Times New Roman" w:hAnsi="Times New Roman"/>
                <w:sz w:val="24"/>
              </w:rPr>
              <w:t>tets egen kreditrisk (dvs. om det minskar bokfört eget kapital) och vice versa. Man använder alltså motsatt tecken (+/-) jämfört med i resultaträ</w:t>
            </w:r>
            <w:r>
              <w:rPr>
                <w:rStyle w:val="FormatvorlageInstructionsTabelleText"/>
                <w:rFonts w:ascii="Times New Roman" w:hAnsi="Times New Roman"/>
                <w:sz w:val="24"/>
              </w:rPr>
              <w:t>k</w:t>
            </w:r>
            <w:r>
              <w:rPr>
                <w:rStyle w:val="FormatvorlageInstructionsTabelleText"/>
                <w:rFonts w:ascii="Times New Roman" w:hAnsi="Times New Roman"/>
                <w:sz w:val="24"/>
              </w:rPr>
              <w:t>ningen.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Ogranskade vinster ska inte ingå i denna post.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Vinster och förluster i verkligt värde som härrör från i</w:t>
            </w:r>
            <w:r>
              <w:rPr>
                <w:rStyle w:val="InstructionsTabelleberschrift"/>
                <w:rFonts w:ascii="Times New Roman" w:hAnsi="Times New Roman"/>
                <w:sz w:val="24"/>
              </w:rPr>
              <w:t>n</w:t>
            </w:r>
            <w:r>
              <w:rPr>
                <w:rStyle w:val="InstructionsTabelleberschrift"/>
                <w:rFonts w:ascii="Times New Roman" w:hAnsi="Times New Roman"/>
                <w:sz w:val="24"/>
              </w:rPr>
              <w:t>stitutets egen kreditrisk avseende derivatskulder</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33.1 c och 33.2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antingen positivt eller negativt. Det ska vara positivt om det uppstått en förlust på grund av ändringar av instit</w:t>
            </w:r>
            <w:r>
              <w:rPr>
                <w:rStyle w:val="FormatvorlageInstructionsTabelleText"/>
                <w:rFonts w:ascii="Times New Roman" w:hAnsi="Times New Roman"/>
                <w:sz w:val="24"/>
              </w:rPr>
              <w:t>u</w:t>
            </w:r>
            <w:r>
              <w:rPr>
                <w:rStyle w:val="FormatvorlageInstructionsTabelleText"/>
                <w:rFonts w:ascii="Times New Roman" w:hAnsi="Times New Roman"/>
                <w:sz w:val="24"/>
              </w:rPr>
              <w:t>tets egen kreditrisk och vice versa. Man använder alltså motsatt tecken (+/-) jämfört med i resultaträkningen.</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Ogranskade vinster ska inte ingå i denna post.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Värdejusteringar på grund av krav på försiktig värd</w:t>
            </w:r>
            <w:r>
              <w:rPr>
                <w:rStyle w:val="InstructionsTabelleberschrift"/>
                <w:rFonts w:ascii="Times New Roman" w:hAnsi="Times New Roman"/>
                <w:sz w:val="24"/>
              </w:rPr>
              <w:t>e</w:t>
            </w:r>
            <w:r>
              <w:rPr>
                <w:rStyle w:val="InstructionsTabelleberschrift"/>
                <w:rFonts w:ascii="Times New Roman" w:hAnsi="Times New Roman"/>
                <w:sz w:val="24"/>
              </w:rPr>
              <w:t>ring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34 och 105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Justeringar av det verkliga värdet på exponeringar som ligger i eller utanför </w:t>
            </w:r>
            <w:r>
              <w:rPr>
                <w:rStyle w:val="FormatvorlageInstructionsTabelleText"/>
                <w:rFonts w:ascii="Times New Roman" w:hAnsi="Times New Roman"/>
                <w:sz w:val="24"/>
              </w:rPr>
              <w:lastRenderedPageBreak/>
              <w:t>handelslagret på grund av de strängare standarder för försiktig värdering som fastställs i artikel 105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4.1.113, 36.1 b och 37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som redovisats som immateriell tillgång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4.1.113 och 36.1 b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den innebörd som anges i tillämplig redovisningsstandard.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i balansräkningen.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som inräknats i värderingen av väsentligt i</w:t>
            </w:r>
            <w:r>
              <w:rPr>
                <w:rStyle w:val="InstructionsTabelleberschrift"/>
                <w:rFonts w:ascii="Times New Roman" w:hAnsi="Times New Roman"/>
                <w:sz w:val="24"/>
              </w:rPr>
              <w:t>n</w:t>
            </w:r>
            <w:r>
              <w:rPr>
                <w:rStyle w:val="InstructionsTabelleberschrift"/>
                <w:rFonts w:ascii="Times New Roman" w:hAnsi="Times New Roman"/>
                <w:sz w:val="24"/>
              </w:rPr>
              <w:t>nehav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 och 43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Uppskjutna skattskulder i samband med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a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goodwillbeloppet skrevs ned eller togs bort från balansräkningen enligt tillämplig redovisningssta</w:t>
            </w:r>
            <w:r>
              <w:rPr>
                <w:rStyle w:val="FormatvorlageInstructionsTabelleText"/>
                <w:rFonts w:ascii="Times New Roman" w:hAnsi="Times New Roman"/>
                <w:sz w:val="24"/>
              </w:rPr>
              <w:t>n</w:t>
            </w:r>
            <w:r>
              <w:rPr>
                <w:rStyle w:val="FormatvorlageInstructionsTabelleText"/>
                <w:rFonts w:ascii="Times New Roman" w:hAnsi="Times New Roman"/>
                <w:sz w:val="24"/>
              </w:rPr>
              <w:t>dard.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Övriga immateriella tillgångar</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4.1.115, 36.1 b och 37 a i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w:t>
            </w:r>
            <w:r>
              <w:rPr>
                <w:rStyle w:val="FormatvorlageInstructionsTabelleText"/>
                <w:rFonts w:ascii="Times New Roman" w:hAnsi="Times New Roman"/>
                <w:sz w:val="24"/>
              </w:rPr>
              <w:t>e</w:t>
            </w:r>
            <w:r>
              <w:rPr>
                <w:rStyle w:val="FormatvorlageInstructionsTabelleText"/>
                <w:rFonts w:ascii="Times New Roman" w:hAnsi="Times New Roman"/>
                <w:sz w:val="24"/>
              </w:rPr>
              <w:t>dovisningsstandard minus goodwill, även denna enligt tillämplig redovi</w:t>
            </w:r>
            <w:r>
              <w:rPr>
                <w:rStyle w:val="FormatvorlageInstructionsTabelleText"/>
                <w:rFonts w:ascii="Times New Roman" w:hAnsi="Times New Roman"/>
                <w:sz w:val="24"/>
              </w:rPr>
              <w:t>s</w:t>
            </w:r>
            <w:r>
              <w:rPr>
                <w:rStyle w:val="FormatvorlageInstructionsTabelleText"/>
                <w:rFonts w:ascii="Times New Roman" w:hAnsi="Times New Roman"/>
                <w:sz w:val="24"/>
              </w:rPr>
              <w:t>ningsstandard.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Övriga immateriella tillgångar före avdrag för up</w:t>
            </w:r>
            <w:r>
              <w:rPr>
                <w:rStyle w:val="InstructionsTabelleberschrift"/>
                <w:rFonts w:ascii="Times New Roman" w:hAnsi="Times New Roman"/>
                <w:sz w:val="24"/>
              </w:rPr>
              <w:t>p</w:t>
            </w:r>
            <w:r>
              <w:rPr>
                <w:rStyle w:val="InstructionsTabelleberschrift"/>
                <w:rFonts w:ascii="Times New Roman" w:hAnsi="Times New Roman"/>
                <w:sz w:val="24"/>
              </w:rPr>
              <w:t>skjutna skatteskulder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4.1.115 och 36.1 b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w:t>
            </w:r>
            <w:r>
              <w:rPr>
                <w:rStyle w:val="FormatvorlageInstructionsTabelleText"/>
                <w:rFonts w:ascii="Times New Roman" w:hAnsi="Times New Roman"/>
                <w:sz w:val="24"/>
              </w:rPr>
              <w:t>e</w:t>
            </w:r>
            <w:r>
              <w:rPr>
                <w:rStyle w:val="FormatvorlageInstructionsTabelleText"/>
                <w:rFonts w:ascii="Times New Roman" w:hAnsi="Times New Roman"/>
                <w:sz w:val="24"/>
              </w:rPr>
              <w:t>dovisningsstandard minus goodwill, även denna enligt tillämplig redovi</w:t>
            </w:r>
            <w:r>
              <w:rPr>
                <w:rStyle w:val="FormatvorlageInstructionsTabelleText"/>
                <w:rFonts w:ascii="Times New Roman" w:hAnsi="Times New Roman"/>
                <w:sz w:val="24"/>
              </w:rPr>
              <w:t>s</w:t>
            </w:r>
            <w:r>
              <w:rPr>
                <w:rStyle w:val="FormatvorlageInstructionsTabelleText"/>
                <w:rFonts w:ascii="Times New Roman" w:hAnsi="Times New Roman"/>
                <w:sz w:val="24"/>
              </w:rPr>
              <w:t>ningsstandard.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redovisas här ska motsvara det belopp som redovisats i balansräkningen för immateriella tillgångar som inte är goodwill.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Uppskjutna skattskulder i samband med övriga immat</w:t>
            </w:r>
            <w:r>
              <w:rPr>
                <w:rStyle w:val="InstructionsTabelleberschrift"/>
                <w:rFonts w:ascii="Times New Roman" w:hAnsi="Times New Roman"/>
                <w:sz w:val="24"/>
              </w:rPr>
              <w:t>e</w:t>
            </w:r>
            <w:r>
              <w:rPr>
                <w:rStyle w:val="InstructionsTabelleberschrift"/>
                <w:rFonts w:ascii="Times New Roman" w:hAnsi="Times New Roman"/>
                <w:sz w:val="24"/>
              </w:rPr>
              <w:t>riella tillgångar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a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de immateriella tillgångar som inte är goodwill skrevs ned eller togs bort från balansräkningen enligt tillämplig redovisningsstandard.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Uppskjutna skattefordringar som är beroende av framtida lönsamhet och som inte uppstår till följd av tillfälliga skilln</w:t>
            </w:r>
            <w:r>
              <w:rPr>
                <w:rStyle w:val="InstructionsTabelleberschrift"/>
                <w:rFonts w:ascii="Times New Roman" w:hAnsi="Times New Roman"/>
                <w:sz w:val="24"/>
              </w:rPr>
              <w:t>a</w:t>
            </w:r>
            <w:r>
              <w:rPr>
                <w:rStyle w:val="InstructionsTabelleberschrift"/>
                <w:rFonts w:ascii="Times New Roman" w:hAnsi="Times New Roman"/>
                <w:sz w:val="24"/>
              </w:rPr>
              <w:t>der minus tillhörande skatteskulder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c och 38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Underskott enligt internmetoden av kreditriskjust</w:t>
            </w:r>
            <w:r>
              <w:rPr>
                <w:rStyle w:val="InstructionsTabelleberschrift"/>
                <w:rFonts w:ascii="Times New Roman" w:hAnsi="Times New Roman"/>
                <w:sz w:val="24"/>
              </w:rPr>
              <w:t>e</w:t>
            </w:r>
            <w:r>
              <w:rPr>
                <w:rStyle w:val="InstructionsTabelleberschrift"/>
                <w:rFonts w:ascii="Times New Roman" w:hAnsi="Times New Roman"/>
                <w:sz w:val="24"/>
              </w:rPr>
              <w:t>ringar för förväntade förluster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d, 40, 158 och 159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rapporteras ”ska inte reduceras genom en ökning av up</w:t>
            </w:r>
            <w:r>
              <w:rPr>
                <w:rStyle w:val="FormatvorlageInstructionsTabelleText"/>
                <w:rFonts w:ascii="Times New Roman" w:hAnsi="Times New Roman"/>
                <w:sz w:val="24"/>
              </w:rPr>
              <w:t>p</w:t>
            </w:r>
            <w:r>
              <w:rPr>
                <w:rStyle w:val="FormatvorlageInstructionsTabelleText"/>
                <w:rFonts w:ascii="Times New Roman" w:hAnsi="Times New Roman"/>
                <w:sz w:val="24"/>
              </w:rPr>
              <w:t>skjutna skattefordringar som är beroende av framtida lönsamhet, eller någon annan ytterligare skatteeffekt, som skulle kunna inträffa om avsättningarna skulle öka till samma nivå som förväntade förluster” (artikel 40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Tillgångar i förmånsbestämda pensionsplaner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4.1.129, 36.1 e och 41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Tillgångar i förmånsbestämda pensionsplaner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4.1.109 och 36.1 e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Fastställda förmånsbestämda pensionsplaner definieras som ”tillgångarna i en förmånsbestämd pensionsfond eller pensionsplan, beroende på vad som är tillämpligt, beräknade efter avdrag av summan av förpliktelserna i samma fond eller plan”.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redovisats i balansräkningen (om det redovisats separat).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Uppskjutna skatteskulder tillhörande fastställda fö</w:t>
            </w:r>
            <w:r>
              <w:rPr>
                <w:rStyle w:val="InstructionsTabelleberschrift"/>
                <w:rFonts w:ascii="Times New Roman" w:hAnsi="Times New Roman"/>
                <w:sz w:val="24"/>
              </w:rPr>
              <w:t>r</w:t>
            </w:r>
            <w:r>
              <w:rPr>
                <w:rStyle w:val="InstructionsTabelleberschrift"/>
                <w:rFonts w:ascii="Times New Roman" w:hAnsi="Times New Roman"/>
                <w:sz w:val="24"/>
              </w:rPr>
              <w:t>månsbestämda pensionsplaner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4.1.108–109 och 41.1 a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de fastställda förmånsb</w:t>
            </w:r>
            <w:r>
              <w:rPr>
                <w:rStyle w:val="FormatvorlageInstructionsTabelleText"/>
                <w:rFonts w:ascii="Times New Roman" w:hAnsi="Times New Roman"/>
                <w:sz w:val="24"/>
              </w:rPr>
              <w:t>e</w:t>
            </w:r>
            <w:r>
              <w:rPr>
                <w:rStyle w:val="FormatvorlageInstructionsTabelleText"/>
                <w:rFonts w:ascii="Times New Roman" w:hAnsi="Times New Roman"/>
                <w:sz w:val="24"/>
              </w:rPr>
              <w:t>stämda pensionsplanerna skrevs ned eller togs bort från balansräkningen e</w:t>
            </w:r>
            <w:r>
              <w:rPr>
                <w:rStyle w:val="FormatvorlageInstructionsTabelleText"/>
                <w:rFonts w:ascii="Times New Roman" w:hAnsi="Times New Roman"/>
                <w:sz w:val="24"/>
              </w:rPr>
              <w:t>n</w:t>
            </w:r>
            <w:r>
              <w:rPr>
                <w:rStyle w:val="FormatvorlageInstructionsTabelleText"/>
                <w:rFonts w:ascii="Times New Roman" w:hAnsi="Times New Roman"/>
                <w:sz w:val="24"/>
              </w:rPr>
              <w:t>ligt tillämplig redovisningsstandard.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Fastställda förmånsbestämda pensionsplaner som instit</w:t>
            </w:r>
            <w:r>
              <w:rPr>
                <w:rStyle w:val="InstructionsTabelleberschrift"/>
                <w:rFonts w:ascii="Times New Roman" w:hAnsi="Times New Roman"/>
                <w:sz w:val="24"/>
              </w:rPr>
              <w:t>u</w:t>
            </w:r>
            <w:r>
              <w:rPr>
                <w:rStyle w:val="InstructionsTabelleberschrift"/>
                <w:rFonts w:ascii="Times New Roman" w:hAnsi="Times New Roman"/>
                <w:sz w:val="24"/>
              </w:rPr>
              <w:t>tet har obegränsad rätt att utnyttja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4.1.109 och 41.1 b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belopp rapporteras endast om den behöriga myndigheten på förhand har gett tillstånd att reducera det belopp som ska dras av för fas</w:t>
            </w:r>
            <w:r>
              <w:rPr>
                <w:rStyle w:val="FormatvorlageInstructionsTabelleText"/>
                <w:rFonts w:ascii="Times New Roman" w:hAnsi="Times New Roman"/>
                <w:sz w:val="24"/>
              </w:rPr>
              <w:t>t</w:t>
            </w:r>
            <w:r>
              <w:rPr>
                <w:rStyle w:val="FormatvorlageInstructionsTabelleText"/>
                <w:rFonts w:ascii="Times New Roman" w:hAnsi="Times New Roman"/>
                <w:sz w:val="24"/>
              </w:rPr>
              <w:t>ställda förmånsbestämda pensionsplaner.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tillgångar som tas upp på denna rad ska ges en riskvikt för kreditriskkr</w:t>
            </w:r>
            <w:r>
              <w:rPr>
                <w:rStyle w:val="FormatvorlageInstructionsTabelleText"/>
                <w:rFonts w:ascii="Times New Roman" w:hAnsi="Times New Roman"/>
                <w:sz w:val="24"/>
              </w:rPr>
              <w:t>a</w:t>
            </w:r>
            <w:r>
              <w:rPr>
                <w:rStyle w:val="FormatvorlageInstructionsTabelleText"/>
                <w:rFonts w:ascii="Times New Roman" w:hAnsi="Times New Roman"/>
                <w:sz w:val="24"/>
              </w:rPr>
              <w:t>ven.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Ömsesidigt korsägande av kärnprimärkapital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4.1.122, 36.1 g och 44 i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Innehav av kärnprimärkapitalinstrument i enheter i den finansiella sektorn (enligt definitionen i artikel 4.1.27 i CRR) i vilka det finns ett ömsesidigt korsägande som den behöriga myndigheten bedömer är avsett att på konstlad väg blåsa upp institutets kapitalbas.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beräknas utifrån bruttobeloppet för långa positioner och ska inkludera försäkringsposter i primärkapitalet.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Avdrag från primärkapitaltillskottsposter som överst</w:t>
            </w:r>
            <w:r>
              <w:rPr>
                <w:rStyle w:val="InstructionsTabelleberschrift"/>
                <w:rFonts w:ascii="Times New Roman" w:hAnsi="Times New Roman"/>
                <w:sz w:val="24"/>
              </w:rPr>
              <w:t>i</w:t>
            </w:r>
            <w:r>
              <w:rPr>
                <w:rStyle w:val="InstructionsTabelleberschrift"/>
                <w:rFonts w:ascii="Times New Roman" w:hAnsi="Times New Roman"/>
                <w:sz w:val="24"/>
              </w:rPr>
              <w:t xml:space="preserve">ger primärkapitaltillskottet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36.1 j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”avdrag från pr</w:t>
            </w:r>
            <w:r>
              <w:rPr>
                <w:rStyle w:val="FormatvorlageInstructionsTabelleText"/>
                <w:rFonts w:ascii="Times New Roman" w:hAnsi="Times New Roman"/>
                <w:sz w:val="24"/>
              </w:rPr>
              <w:t>i</w:t>
            </w:r>
            <w:r>
              <w:rPr>
                <w:rStyle w:val="FormatvorlageInstructionsTabelleText"/>
                <w:rFonts w:ascii="Times New Roman" w:hAnsi="Times New Roman"/>
                <w:sz w:val="24"/>
              </w:rPr>
              <w:t>märkapitaltillskottsposter som överstiger primärkapitaltillskottet”. Beloppet ska dras av från kärnprimärkapitalet.</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Kvalificerande innehav utanför den finansiella sektorn som alternativt kan ges riskvikten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4.1.36, 36.1 k i och 89–91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Kvalificerat innehav definieras som ”direkt eller indirekt ägande i ett för</w:t>
            </w:r>
            <w:r>
              <w:rPr>
                <w:rStyle w:val="FormatvorlageInstructionsTabelleText"/>
                <w:rFonts w:ascii="Times New Roman" w:hAnsi="Times New Roman"/>
                <w:sz w:val="24"/>
              </w:rPr>
              <w:t>e</w:t>
            </w:r>
            <w:r>
              <w:rPr>
                <w:rStyle w:val="FormatvorlageInstructionsTabelleText"/>
                <w:rFonts w:ascii="Times New Roman" w:hAnsi="Times New Roman"/>
                <w:sz w:val="24"/>
              </w:rPr>
              <w:t>tag, där innehavet representerar 10 % eller mer av kapitalet eller samtliga röster eller möjliggör ett väsentligt inflytande över ledningen av detta för</w:t>
            </w:r>
            <w:r>
              <w:rPr>
                <w:rStyle w:val="FormatvorlageInstructionsTabelleText"/>
                <w:rFonts w:ascii="Times New Roman" w:hAnsi="Times New Roman"/>
                <w:sz w:val="24"/>
              </w:rPr>
              <w:t>e</w:t>
            </w:r>
            <w:r>
              <w:rPr>
                <w:rStyle w:val="FormatvorlageInstructionsTabelleText"/>
                <w:rFonts w:ascii="Times New Roman" w:hAnsi="Times New Roman"/>
                <w:sz w:val="24"/>
              </w:rPr>
              <w:t>tag”.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enlighet med artikel 36.1 k i i CRR kan det antingen dras av från kärnpr</w:t>
            </w:r>
            <w:r>
              <w:rPr>
                <w:rStyle w:val="FormatvorlageInstructionsTabelleText"/>
                <w:rFonts w:ascii="Times New Roman" w:hAnsi="Times New Roman"/>
                <w:sz w:val="24"/>
              </w:rPr>
              <w:t>i</w:t>
            </w:r>
            <w:r>
              <w:rPr>
                <w:rStyle w:val="FormatvorlageInstructionsTabelleText"/>
                <w:rFonts w:ascii="Times New Roman" w:hAnsi="Times New Roman"/>
                <w:sz w:val="24"/>
              </w:rPr>
              <w:t>märkapitalposten eller ges riskvikten 1250 %.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Värdepapperiseringspositioner som alternativt kan ges riskvikten 1250 %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Artiklarna 36.1 k ii, 243.1 b, 244.1 b, 258 och 266.3 i CRR i den version som gäller den 31 december 2018, eller artiklarna 244.1 b, 245.1 b, 253.1 och 268.4 i CRR, enligt vad som är tillämpligt.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Värdepapperiseringspositioner som omfattas av riskvikten 1250 % men som alternativt får dras av från kärnprimärkapitalet (artikel 36.1 k ii i CRR) ska rapporteras här.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Transaktioner utan samtidig prestation som alternativt kan ges riskvikten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k iii och 379.3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Transaktioner utan samtidig prestation som omfattas av riskvikten 1250 % efter fem dagar efter andra avtalade betalnings- eller leveransbenet fram till det att transaktionen upphör, i enlighet med kapitalbaskraven för avveck</w:t>
            </w:r>
            <w:r>
              <w:rPr>
                <w:rStyle w:val="FormatvorlageInstructionsTabelleText"/>
                <w:rFonts w:ascii="Times New Roman" w:hAnsi="Times New Roman"/>
                <w:sz w:val="24"/>
              </w:rPr>
              <w:t>l</w:t>
            </w:r>
            <w:r>
              <w:rPr>
                <w:rStyle w:val="FormatvorlageInstructionsTabelleText"/>
                <w:rFonts w:ascii="Times New Roman" w:hAnsi="Times New Roman"/>
                <w:sz w:val="24"/>
              </w:rPr>
              <w:t>ingsrisk. Alternativt får de dras av från kärnprimärkapitalet (artikel 36.1 k iii i CRR). I så fall ska de rapporteras i denna post.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Positioner i en korg för vilka ett institut inte kan fas</w:t>
            </w:r>
            <w:r>
              <w:rPr>
                <w:rStyle w:val="InstructionsTabelleberschrift"/>
                <w:rFonts w:ascii="Times New Roman" w:hAnsi="Times New Roman"/>
                <w:sz w:val="24"/>
              </w:rPr>
              <w:t>t</w:t>
            </w:r>
            <w:r>
              <w:rPr>
                <w:rStyle w:val="InstructionsTabelleberschrift"/>
                <w:rFonts w:ascii="Times New Roman" w:hAnsi="Times New Roman"/>
                <w:sz w:val="24"/>
              </w:rPr>
              <w:t>ställa riskvikten enligt internmetoden och som alternativt kan ges ris</w:t>
            </w:r>
            <w:r>
              <w:rPr>
                <w:rStyle w:val="InstructionsTabelleberschrift"/>
                <w:rFonts w:ascii="Times New Roman" w:hAnsi="Times New Roman"/>
                <w:sz w:val="24"/>
              </w:rPr>
              <w:t>k</w:t>
            </w:r>
            <w:r>
              <w:rPr>
                <w:rStyle w:val="InstructionsTabelleberschrift"/>
                <w:rFonts w:ascii="Times New Roman" w:hAnsi="Times New Roman"/>
                <w:sz w:val="24"/>
              </w:rPr>
              <w:t>vikten 1,250 % Artiklarna 36.1 k iv och 153.8 i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36.1 k iv och 153.8 i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enlighet med artikel 36.1 k iv i CRR kan det antingen dras av från kär</w:t>
            </w:r>
            <w:r>
              <w:rPr>
                <w:rStyle w:val="FormatvorlageInstructionsTabelleText"/>
                <w:rFonts w:ascii="Times New Roman" w:hAnsi="Times New Roman"/>
                <w:sz w:val="24"/>
              </w:rPr>
              <w:t>n</w:t>
            </w:r>
            <w:r>
              <w:rPr>
                <w:rStyle w:val="FormatvorlageInstructionsTabelleText"/>
                <w:rFonts w:ascii="Times New Roman" w:hAnsi="Times New Roman"/>
                <w:sz w:val="24"/>
              </w:rPr>
              <w:t>primärkapitalposten eller ges riskvikten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Aktieexponeringar enligt en metod med interna m</w:t>
            </w:r>
            <w:r>
              <w:rPr>
                <w:rStyle w:val="InstructionsTabelleberschrift"/>
                <w:rFonts w:ascii="Times New Roman" w:hAnsi="Times New Roman"/>
                <w:sz w:val="24"/>
              </w:rPr>
              <w:t>o</w:t>
            </w:r>
            <w:r>
              <w:rPr>
                <w:rStyle w:val="InstructionsTabelleberschrift"/>
                <w:rFonts w:ascii="Times New Roman" w:hAnsi="Times New Roman"/>
                <w:sz w:val="24"/>
              </w:rPr>
              <w:t>deller vilka alternativt kan ges riskvikten 1,250 %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36.1 k v och 155.4 i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enlighet med artikel 36.1 k v i CRR får dessa antingen dras av från kär</w:t>
            </w:r>
            <w:r>
              <w:rPr>
                <w:rStyle w:val="FormatvorlageInstructionsTabelleText"/>
                <w:rFonts w:ascii="Times New Roman" w:hAnsi="Times New Roman"/>
                <w:sz w:val="24"/>
              </w:rPr>
              <w:t>n</w:t>
            </w:r>
            <w:r>
              <w:rPr>
                <w:rStyle w:val="FormatvorlageInstructionsTabelleText"/>
                <w:rFonts w:ascii="Times New Roman" w:hAnsi="Times New Roman"/>
                <w:sz w:val="24"/>
              </w:rPr>
              <w:t>primärkapitalposten eller ges riskvikten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Kärnprimärkapitalinstrument i enheter i den finans</w:t>
            </w:r>
            <w:r>
              <w:rPr>
                <w:rStyle w:val="InstructionsTabelleberschrift"/>
                <w:rFonts w:ascii="Times New Roman" w:hAnsi="Times New Roman"/>
                <w:sz w:val="24"/>
              </w:rPr>
              <w:t>i</w:t>
            </w:r>
            <w:r>
              <w:rPr>
                <w:rStyle w:val="InstructionsTabelleberschrift"/>
                <w:rFonts w:ascii="Times New Roman" w:hAnsi="Times New Roman"/>
                <w:sz w:val="24"/>
              </w:rPr>
              <w:t>ella sektorn i vilka institutet inte har ett väsentligt innehav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Artiklarna 4.1.27, 36.1 h, 43–46, 49.2, 49.3 och 79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w:t>
            </w:r>
            <w:r>
              <w:rPr>
                <w:rStyle w:val="FormatvorlageInstructionsTabelleText"/>
                <w:rFonts w:ascii="Times New Roman" w:hAnsi="Times New Roman"/>
                <w:sz w:val="24"/>
              </w:rPr>
              <w:t>ä</w:t>
            </w:r>
            <w:r>
              <w:rPr>
                <w:rStyle w:val="FormatvorlageInstructionsTabelleText"/>
                <w:rFonts w:ascii="Times New Roman" w:hAnsi="Times New Roman"/>
                <w:sz w:val="24"/>
              </w:rPr>
              <w:t>sentligt innehav som ska dras av från kärnprimärkapitalet.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 till avdrag då beräkning sker på gruppnivå (artikel 49.2 och 49.3).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Avdragsgilla uppskjutna skattefordringar som är b</w:t>
            </w:r>
            <w:r>
              <w:rPr>
                <w:rStyle w:val="InstructionsTabelleberschrift"/>
                <w:rFonts w:ascii="Times New Roman" w:hAnsi="Times New Roman"/>
                <w:sz w:val="24"/>
              </w:rPr>
              <w:t>e</w:t>
            </w:r>
            <w:r>
              <w:rPr>
                <w:rStyle w:val="InstructionsTabelleberschrift"/>
                <w:rFonts w:ascii="Times New Roman" w:hAnsi="Times New Roman"/>
                <w:sz w:val="24"/>
              </w:rPr>
              <w:t>roende av framtida lönsamhet och som uppstår till följd av temporära skillnader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36.1 c, 38 och 48.1 a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uppskjutna skattefordringar som är beroende av framtida lönsamhet och uppstår till följd av temporära skillnader (efter avdrag för tillhörande skatteskulder som hänför sig till uppskjutna skattefordringar vilka uppstår till följd av temporära skillnader i enlighet med artikel 38.5 b i CRR), och som ska dras av genom att tillämpa tröskelvärdet 10 % i artikel 48.1 a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Kärnprimärkapitalinstrument i enheter i den finans</w:t>
            </w:r>
            <w:r>
              <w:rPr>
                <w:rStyle w:val="InstructionsTabelleberschrift"/>
                <w:rFonts w:ascii="Times New Roman" w:hAnsi="Times New Roman"/>
                <w:sz w:val="24"/>
              </w:rPr>
              <w:t>i</w:t>
            </w:r>
            <w:r>
              <w:rPr>
                <w:rStyle w:val="InstructionsTabelleberschrift"/>
                <w:rFonts w:ascii="Times New Roman" w:hAnsi="Times New Roman"/>
                <w:sz w:val="24"/>
              </w:rPr>
              <w:t>ella sektorn i vilka institutet har ett väsentligt innehav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4.1.27, 36.1 i, 43, 45, 47, 48.1 b, 49.1–49.3 och 79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kärnprimärkapitalinstrument i enheter i den finansiella sektorn (enligt definitionen i artikel 4.1.27 i CRR) i vilka instit</w:t>
            </w:r>
            <w:r>
              <w:rPr>
                <w:rStyle w:val="FormatvorlageInstructionsTabelleText"/>
                <w:rFonts w:ascii="Times New Roman" w:hAnsi="Times New Roman"/>
                <w:sz w:val="24"/>
              </w:rPr>
              <w:t>u</w:t>
            </w:r>
            <w:r>
              <w:rPr>
                <w:rStyle w:val="FormatvorlageInstructionsTabelleText"/>
                <w:rFonts w:ascii="Times New Roman" w:hAnsi="Times New Roman"/>
                <w:sz w:val="24"/>
              </w:rPr>
              <w:t>tet har ett väsentligt innehav som ska dras av genom att tillämpa tröskelvä</w:t>
            </w:r>
            <w:r>
              <w:rPr>
                <w:rStyle w:val="FormatvorlageInstructionsTabelleText"/>
                <w:rFonts w:ascii="Times New Roman" w:hAnsi="Times New Roman"/>
                <w:sz w:val="24"/>
              </w:rPr>
              <w:t>r</w:t>
            </w:r>
            <w:r>
              <w:rPr>
                <w:rStyle w:val="FormatvorlageInstructionsTabelleText"/>
                <w:rFonts w:ascii="Times New Roman" w:hAnsi="Times New Roman"/>
                <w:sz w:val="24"/>
              </w:rPr>
              <w:t>det 10 % i artikel 48.1 b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 till avdrag då beräkning sker på gruppnivå (artikel 49.1–3).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Belopp som överskrider tröskelvärdet på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48.1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uppskjutna skattefordringar som är beroende av framtida lönsamhet och uppstår till följd av temporära skillnader samt institutets direkta och i</w:t>
            </w:r>
            <w:r>
              <w:rPr>
                <w:rStyle w:val="FormatvorlageInstructionsTabelleText"/>
                <w:rFonts w:ascii="Times New Roman" w:hAnsi="Times New Roman"/>
                <w:sz w:val="24"/>
              </w:rPr>
              <w:t>n</w:t>
            </w:r>
            <w:r>
              <w:rPr>
                <w:rStyle w:val="FormatvorlageInstructionsTabelleText"/>
                <w:rFonts w:ascii="Times New Roman" w:hAnsi="Times New Roman"/>
                <w:sz w:val="24"/>
              </w:rPr>
              <w:t>direkta innehav av kärnprimärkapitalinstrument i enheter i den finansiella sektorn (enligt definitionen i artikel 4.1.27 i CRR) i vilka institutet har ett väsentligt innehav, och som ska dras av genom att tillämpa tröskelvärdet 17,65 % i artikel 48.1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Övriga övergångsjusteringar av kärnprimärkapital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469–472, 478 och 481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avdrag på grund av övergångsbestämmelser. Det belopp som ska rapporteras hämtas direkt från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Övriga avdrag från kärnprimärkapitalet på grundval av artikel 3 i CRR</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Delar i eller avdrag från kärnprimärkapital – övrigt</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har endast införts för att ge flexibilitet vid rapporteringen. Den ska bara användas i de sällsynta fall när det saknas ett slutgiltigt beslut om </w:t>
            </w:r>
            <w:r>
              <w:rPr>
                <w:rStyle w:val="InstructionsTabelleberschrift"/>
                <w:rFonts w:ascii="Times New Roman" w:hAnsi="Times New Roman"/>
                <w:b w:val="0"/>
                <w:sz w:val="24"/>
                <w:u w:val="none"/>
              </w:rPr>
              <w:lastRenderedPageBreak/>
              <w:t>rapporteringen av särskilda kapitalposter/-avdrag i den befintliga CA1-mallen. Det innebär att denna rad endast ska fyllas i om en del av kärnpr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märkapitalet respektive ett avdrag från en del av kärnprimärkapitalet inte kan hänföras till någon av raderna 020–524.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cell får inte användas för att ta med kapitalposter eller -avdrag som inte omfattas av CRR i beräkningen av kapitalrelationen (t.ex. beaktande av nationella kapitalposter/-avdrag som inte omfattas av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PRIMÄRKAPITALTILLSKOTT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 som ska räknas som primärkapitaltillskott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51 a, 52–54, 56 a och 57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Fullt betalda kapitalinstrument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51 a och 52–54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Memorandumpost Kapitalinstrument som inte ska räknas med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52.1 c, e och f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w:t>
            </w:r>
            <w:r>
              <w:rPr>
                <w:rStyle w:val="FormatvorlageInstructionsTabelleText"/>
                <w:rFonts w:ascii="Times New Roman" w:hAnsi="Times New Roman"/>
                <w:sz w:val="24"/>
              </w:rPr>
              <w:t>r</w:t>
            </w:r>
            <w:r>
              <w:rPr>
                <w:rStyle w:val="FormatvorlageInstructionsTabelleText"/>
                <w:rFonts w:ascii="Times New Roman" w:hAnsi="Times New Roman"/>
                <w:sz w:val="24"/>
              </w:rPr>
              <w:t>ändras, vilket innebär att det belopp som rapporteras här kan vara godtagbart under senare perioder.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Överkurs vid aktieemission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b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kap</w:t>
            </w:r>
            <w:r>
              <w:rPr>
                <w:rStyle w:val="FormatvorlageInstructionsTabelleText"/>
                <w:rFonts w:ascii="Times New Roman" w:hAnsi="Times New Roman"/>
                <w:sz w:val="24"/>
              </w:rPr>
              <w:t>i</w:t>
            </w:r>
            <w:r>
              <w:rPr>
                <w:rStyle w:val="FormatvorlageInstructionsTabelleText"/>
                <w:rFonts w:ascii="Times New Roman" w:hAnsi="Times New Roman"/>
                <w:sz w:val="24"/>
              </w:rPr>
              <w:t>talinstrument”.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Egna primärkapitaltillskottsinstrument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52.1 b, 56 a och 57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Egna primärkapitaltillskottsinstrument som det rapporterande institutet eller den rapporterande gruppen innehar på rapporteringsdagen. Påverkas av u</w:t>
            </w:r>
            <w:r>
              <w:rPr>
                <w:rStyle w:val="FormatvorlageInstructionsTabelleText"/>
                <w:rFonts w:ascii="Times New Roman" w:hAnsi="Times New Roman"/>
                <w:sz w:val="24"/>
              </w:rPr>
              <w:t>n</w:t>
            </w:r>
            <w:r>
              <w:rPr>
                <w:rStyle w:val="FormatvorlageInstructionsTabelleText"/>
                <w:rFonts w:ascii="Times New Roman" w:hAnsi="Times New Roman"/>
                <w:sz w:val="24"/>
              </w:rPr>
              <w:t>dantagen i artikel 57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”kapitalinstrument som inte ska räknas med” ska inte rapporteras på denna rad.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1.1.2.1.4–1.1.2.1.4.3 innefattar inte faktiska eller villkorade förbi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delser att köpa egna kärnprimärkapitalinstrument. Faktiska eller villkorade förpliktelser att köpa egna primärkapitaltillskott rapporteras separat i post </w:t>
            </w:r>
            <w:r>
              <w:rPr>
                <w:rStyle w:val="FormatvorlageInstructionsTabelleText"/>
                <w:rFonts w:ascii="Times New Roman" w:hAnsi="Times New Roman"/>
                <w:sz w:val="24"/>
              </w:rPr>
              <w:lastRenderedPageBreak/>
              <w:t>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Direkta innehav av primärkapitaltillskottsinstrument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4.1.114, 52.1 b, 56 a och 57 i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Primärkapitaltillskott som ingår i post 1.1.2.1.1 och som innehas av institut inom gruppen.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Indirekta innehav av primärkapitaltillskottsinstrument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52.1 b ii, 56 a och 57 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Syntetiska innehav av primärkapitaltillskottsinstr</w:t>
            </w:r>
            <w:r>
              <w:rPr>
                <w:rStyle w:val="InstructionsTabelleberschrift"/>
                <w:rFonts w:ascii="Times New Roman" w:hAnsi="Times New Roman"/>
                <w:sz w:val="24"/>
              </w:rPr>
              <w:t>u</w:t>
            </w:r>
            <w:r>
              <w:rPr>
                <w:rStyle w:val="InstructionsTabelleberschrift"/>
                <w:rFonts w:ascii="Times New Roman" w:hAnsi="Times New Roman"/>
                <w:sz w:val="24"/>
              </w:rPr>
              <w:t>ment</w:t>
            </w:r>
          </w:p>
          <w:p w:rsidR="005643EA" w:rsidRPr="007E39E6" w:rsidRDefault="00805255" w:rsidP="00FD239F">
            <w:pPr>
              <w:pStyle w:val="InstructionsText"/>
              <w:rPr>
                <w:rStyle w:val="InstructionsTabelleberschrift"/>
                <w:rFonts w:ascii="Times New Roman" w:hAnsi="Times New Roman"/>
                <w:b w:val="0"/>
                <w:bCs w:val="0"/>
                <w:sz w:val="24"/>
                <w:u w:val="none"/>
              </w:rPr>
            </w:pPr>
            <w:r>
              <w:t>Artiklarna 4.1.126, 52.1 b, 56 a och 57 i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Faktiska eller villkorade förpliktelser att köpa egna primärkapitaltillskottsinstrument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56 a och 57 i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 enlighet med artikel 56 a i CRR</w:t>
            </w:r>
            <w:r>
              <w:t xml:space="preserve"> ska institutet dra av ”egna primärkapita</w:t>
            </w:r>
            <w:r>
              <w:t>l</w:t>
            </w:r>
            <w:r>
              <w:t>tillskott som institutet skulle kunna vara skyldigt att köpa på grund av befin</w:t>
            </w:r>
            <w:r>
              <w:t>t</w:t>
            </w:r>
            <w:r>
              <w:t>liga kontraktsförpliktelser”.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Övergångsjusteringar för primärkapitalinstrument för vilka äldre regler får tillämpas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483.4–5, 484–487, 489 och 491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primärkapitaltillskott enligt äldre regler. Det belopp som ska rapporteras hämtas direkt från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 utgivna av dotterföretag som betraktas i primärkap</w:t>
            </w:r>
            <w:r>
              <w:rPr>
                <w:rStyle w:val="InstructionsTabelleberschrift"/>
                <w:rFonts w:ascii="Times New Roman" w:hAnsi="Times New Roman"/>
                <w:sz w:val="24"/>
              </w:rPr>
              <w:t>i</w:t>
            </w:r>
            <w:r>
              <w:rPr>
                <w:rStyle w:val="InstructionsTabelleberschrift"/>
                <w:rFonts w:ascii="Times New Roman" w:hAnsi="Times New Roman"/>
                <w:sz w:val="24"/>
              </w:rPr>
              <w:t>taltillskott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83, 85 och 86 i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allt det kvalificerade primärkapital i dotterföretagen som ingår i konsoliderat primärkapitaltillskott.</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Kvalificerande primärkapitaltillskott emitterat av specialföretag (artikel 83 i CRR) ska medräknas.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Övergångsjusteringar på grund av att övriga instrument som u</w:t>
            </w:r>
            <w:r>
              <w:rPr>
                <w:rStyle w:val="InstructionsTabelleberschrift"/>
                <w:rFonts w:ascii="Times New Roman" w:hAnsi="Times New Roman"/>
                <w:sz w:val="24"/>
              </w:rPr>
              <w:t>t</w:t>
            </w:r>
            <w:r>
              <w:rPr>
                <w:rStyle w:val="InstructionsTabelleberschrift"/>
                <w:rFonts w:ascii="Times New Roman" w:hAnsi="Times New Roman"/>
                <w:sz w:val="24"/>
              </w:rPr>
              <w:t>färdats av dotterföretag räknas med i primärkapitaltillskottet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det kvalificerade primärkapital som ingår i konsoliderat pr</w:t>
            </w:r>
            <w:r>
              <w:rPr>
                <w:rStyle w:val="FormatvorlageInstructionsTabelleText"/>
                <w:rFonts w:ascii="Times New Roman" w:hAnsi="Times New Roman"/>
                <w:sz w:val="24"/>
              </w:rPr>
              <w:t>i</w:t>
            </w:r>
            <w:r>
              <w:rPr>
                <w:rStyle w:val="FormatvorlageInstructionsTabelleText"/>
                <w:rFonts w:ascii="Times New Roman" w:hAnsi="Times New Roman"/>
                <w:sz w:val="24"/>
              </w:rPr>
              <w:t>märkapitaltillskott på grund av övergångsbestämmelser. Denna post hämtas direkt från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Ömsesidigt korsägande av primärkapitaltillskott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4.1.122, 56 b och 58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Innehav av primärkapitaltillskott i enheter i den finansiella sektorn (enligt definitionen i artikel 4.1.27 i CRR) i vilka det finns ett ömsesidigt kors</w:t>
            </w:r>
            <w:r>
              <w:rPr>
                <w:rStyle w:val="FormatvorlageInstructionsTabelleText"/>
                <w:rFonts w:ascii="Times New Roman" w:hAnsi="Times New Roman"/>
                <w:sz w:val="24"/>
              </w:rPr>
              <w:t>ä</w:t>
            </w:r>
            <w:r>
              <w:rPr>
                <w:rStyle w:val="FormatvorlageInstructionsTabelleText"/>
                <w:rFonts w:ascii="Times New Roman" w:hAnsi="Times New Roman"/>
                <w:sz w:val="24"/>
              </w:rPr>
              <w:t xml:space="preserve">gande som den behöriga myndigheten bedömer är avsett att på konstlad väg </w:t>
            </w:r>
            <w:r>
              <w:rPr>
                <w:rStyle w:val="FormatvorlageInstructionsTabelleText"/>
                <w:rFonts w:ascii="Times New Roman" w:hAnsi="Times New Roman"/>
                <w:sz w:val="24"/>
              </w:rPr>
              <w:lastRenderedPageBreak/>
              <w:t>blåsa upp institutets kapitalbas.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primärkapitaltillsko</w:t>
            </w:r>
            <w:r>
              <w:rPr>
                <w:rStyle w:val="FormatvorlageInstructionsTabelleText"/>
                <w:rFonts w:ascii="Times New Roman" w:hAnsi="Times New Roman"/>
                <w:sz w:val="24"/>
              </w:rPr>
              <w:t>t</w:t>
            </w:r>
            <w:r>
              <w:rPr>
                <w:rStyle w:val="FormatvorlageInstructionsTabelleText"/>
                <w:rFonts w:ascii="Times New Roman" w:hAnsi="Times New Roman"/>
                <w:sz w:val="24"/>
              </w:rPr>
              <w:t>tet.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Primärkapitaltillskottsinstrument i enheter i den finansiella sektorn i vilka institutet inte har ett väsentligt innehav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4.1.27, 56 c, 59, 60 och 79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w:t>
            </w:r>
            <w:r>
              <w:rPr>
                <w:rStyle w:val="FormatvorlageInstructionsTabelleText"/>
                <w:rFonts w:ascii="Times New Roman" w:hAnsi="Times New Roman"/>
                <w:sz w:val="24"/>
              </w:rPr>
              <w:t>ä</w:t>
            </w:r>
            <w:r>
              <w:rPr>
                <w:rStyle w:val="FormatvorlageInstructionsTabelleText"/>
                <w:rFonts w:ascii="Times New Roman" w:hAnsi="Times New Roman"/>
                <w:sz w:val="24"/>
              </w:rPr>
              <w:t>sentligt innehav som ska dras av från primärkapitaltillskottet.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Primärkapitaltillskottsinstrument i enheter i den finansiella sektorn där institutet har ett väsentligt innehav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4.1.27, 56 d, 59 och 79 i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innehar primärkapitaltillskott i enheter i den finansiella sektorn (enligt definitionen i artikel 4.1.27 i CRR) i vilka institutet har ett väsentligt innehav, ska dessa dras av helt och hållet.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Överskott i avdrag från supplementärkapitalposter i förhå</w:t>
            </w:r>
            <w:r>
              <w:rPr>
                <w:rStyle w:val="InstructionsTabelleberschrift"/>
                <w:rFonts w:ascii="Times New Roman" w:hAnsi="Times New Roman"/>
                <w:sz w:val="24"/>
              </w:rPr>
              <w:t>l</w:t>
            </w:r>
            <w:r>
              <w:rPr>
                <w:rStyle w:val="InstructionsTabelleberschrift"/>
                <w:rFonts w:ascii="Times New Roman" w:hAnsi="Times New Roman"/>
                <w:sz w:val="24"/>
              </w:rPr>
              <w:t xml:space="preserve">lande till supplementärkapital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e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”överskott i avdrag från supplementärkapitalposter i förhållande till supplementärkapital (avdrag i primärkapitaltillskottet)”.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Övriga övergångsjusteringar av primärkapitaltillskott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474, 475, 478 och 481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w:t>
            </w:r>
            <w:r>
              <w:rPr>
                <w:rStyle w:val="FormatvorlageInstructionsTabelleText"/>
                <w:rFonts w:ascii="Times New Roman" w:hAnsi="Times New Roman"/>
                <w:sz w:val="24"/>
              </w:rPr>
              <w:t>r</w:t>
            </w:r>
            <w:r>
              <w:rPr>
                <w:rStyle w:val="FormatvorlageInstructionsTabelleText"/>
                <w:rFonts w:ascii="Times New Roman" w:hAnsi="Times New Roman"/>
                <w:sz w:val="24"/>
              </w:rPr>
              <w:t>teras hämtas direkt från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Överskott i avdrag från övriga primärkapitalposter i fö</w:t>
            </w:r>
            <w:r>
              <w:rPr>
                <w:rStyle w:val="InstructionsTabelleberschrift"/>
                <w:rFonts w:ascii="Times New Roman" w:hAnsi="Times New Roman"/>
                <w:sz w:val="24"/>
              </w:rPr>
              <w:t>r</w:t>
            </w:r>
            <w:r>
              <w:rPr>
                <w:rStyle w:val="InstructionsTabelleberschrift"/>
                <w:rFonts w:ascii="Times New Roman" w:hAnsi="Times New Roman"/>
                <w:sz w:val="24"/>
              </w:rPr>
              <w:t>hållande till primärkapitaltillskott (avdrag i kärnprimärkapitalet)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j i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Primärkapitaltillskott kan inte vara negativt men det är möjligt att avdragen från primärkapitaltillskottet är större än primärkapitaltillskottet plus tillh</w:t>
            </w:r>
            <w:r>
              <w:rPr>
                <w:rStyle w:val="FormatvorlageInstructionsTabelleText"/>
                <w:rFonts w:ascii="Times New Roman" w:hAnsi="Times New Roman"/>
                <w:sz w:val="24"/>
              </w:rPr>
              <w:t>ö</w:t>
            </w:r>
            <w:r>
              <w:rPr>
                <w:rStyle w:val="FormatvorlageInstructionsTabelleText"/>
                <w:rFonts w:ascii="Times New Roman" w:hAnsi="Times New Roman"/>
                <w:sz w:val="24"/>
              </w:rPr>
              <w:t>rande överkursfond. Om så sker ska primärkapitaltillskottet vara lika med noll, och de avdrag som överstiger primärkapitaltillskottet ska dras av från kärnprimärkapitalet.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1.1.2.1–1.1.2.12 aldrig understiger noll. Om denna post utgörs av ett positivt tal ska posten 1.1.1.16 vara mo</w:t>
            </w:r>
            <w:r>
              <w:rPr>
                <w:rStyle w:val="FormatvorlageInstructionsTabelleText"/>
                <w:rFonts w:ascii="Times New Roman" w:hAnsi="Times New Roman"/>
                <w:sz w:val="24"/>
              </w:rPr>
              <w:t>t</w:t>
            </w:r>
            <w:r>
              <w:rPr>
                <w:rStyle w:val="FormatvorlageInstructionsTabelleText"/>
                <w:rFonts w:ascii="Times New Roman" w:hAnsi="Times New Roman"/>
                <w:sz w:val="24"/>
              </w:rPr>
              <w:t>svarande negativa tal.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Övriga avdrag från primärkapitaltillskott på grund av artikel 3 i kapitaltäckningsförordningen (CRR)</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Delar i eller avdrag från primärkapitaltillskott – övrigt</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Denna rad har endast införts för att ge flexibilitet vid rapporteringen. Den ska bara användas i de sällsynta fall när det saknas ett slutgiltigt beslut om rapporteringen av särskilda kapitalposter/-avdrag i den befintliga CA1-mallen. Det innebär att denna rad endast ska fyllas i om en del av primärk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pitaltillskottet respektive ett avdrag från en del av primärkapitaltillskottet inte kan hänföras till någon av raderna 530–744.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cell får inte användas för att ta med kapitalposter eller -avdrag som inte omfattas av CRR i beräkningen av kapitalrelationen (t.ex. beaktande av nationella kapitalposter/-avdrag som inte omfattas av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SUPPLEMENTÄRKAPITAL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 och efterställda lån som ska räknas som su</w:t>
            </w:r>
            <w:r>
              <w:rPr>
                <w:rStyle w:val="InstructionsTabelleberschrift"/>
                <w:rFonts w:ascii="Times New Roman" w:hAnsi="Times New Roman"/>
                <w:sz w:val="24"/>
              </w:rPr>
              <w:t>p</w:t>
            </w:r>
            <w:r>
              <w:rPr>
                <w:rStyle w:val="InstructionsTabelleberschrift"/>
                <w:rFonts w:ascii="Times New Roman" w:hAnsi="Times New Roman"/>
                <w:sz w:val="24"/>
              </w:rPr>
              <w:t>plementärkapital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62 a, 63–65, 66 a och 67 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Fullt betalda kapitalinstrument och efterställda lån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62 a, 63 och 65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Memorandumpost Kapitalinstrument</w:t>
            </w:r>
            <w:r>
              <w:t xml:space="preserve"> </w:t>
            </w:r>
            <w:r>
              <w:rPr>
                <w:rStyle w:val="InstructionsTabelleberschrift"/>
                <w:rFonts w:ascii="Times New Roman" w:hAnsi="Times New Roman"/>
                <w:sz w:val="24"/>
              </w:rPr>
              <w:t>och efterställda lån som inte ska räknas med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c, e och f, och artikel 64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w:t>
            </w:r>
            <w:r>
              <w:rPr>
                <w:rStyle w:val="FormatvorlageInstructionsTabelleText"/>
                <w:rFonts w:ascii="Times New Roman" w:hAnsi="Times New Roman"/>
                <w:sz w:val="24"/>
              </w:rPr>
              <w:t>r</w:t>
            </w:r>
            <w:r>
              <w:rPr>
                <w:rStyle w:val="FormatvorlageInstructionsTabelleText"/>
                <w:rFonts w:ascii="Times New Roman" w:hAnsi="Times New Roman"/>
                <w:sz w:val="24"/>
              </w:rPr>
              <w:t>ändras, vilket innebär att det belopp som rapporteras här kan vara godtagbart under senare perioder.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Överkurs vid aktieemission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62 b och 65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kap</w:t>
            </w:r>
            <w:r>
              <w:rPr>
                <w:rStyle w:val="FormatvorlageInstructionsTabelleText"/>
                <w:rFonts w:ascii="Times New Roman" w:hAnsi="Times New Roman"/>
                <w:sz w:val="24"/>
              </w:rPr>
              <w:t>i</w:t>
            </w:r>
            <w:r>
              <w:rPr>
                <w:rStyle w:val="FormatvorlageInstructionsTabelleText"/>
                <w:rFonts w:ascii="Times New Roman" w:hAnsi="Times New Roman"/>
                <w:sz w:val="24"/>
              </w:rPr>
              <w:t>talinstrument”.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Egna supplementärkapitalinstrument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 i, 66 a och 67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Egna supplementärkapitalinstrument som det rapporterande institutet eller den rapporterande gruppen innehar på rapporteringsdagen. Påverkas av u</w:t>
            </w:r>
            <w:r>
              <w:rPr>
                <w:rStyle w:val="FormatvorlageInstructionsTabelleText"/>
                <w:rFonts w:ascii="Times New Roman" w:hAnsi="Times New Roman"/>
                <w:sz w:val="24"/>
              </w:rPr>
              <w:t>n</w:t>
            </w:r>
            <w:r>
              <w:rPr>
                <w:rStyle w:val="FormatvorlageInstructionsTabelleText"/>
                <w:rFonts w:ascii="Times New Roman" w:hAnsi="Times New Roman"/>
                <w:sz w:val="24"/>
              </w:rPr>
              <w:t>dantagen i artikel 67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”kapitalinstrument som inte ska räknas med” ska inte rapporteras på denna rad.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Posterna 1.2.1.4–1.2.1.4.3 innefattar inte faktiska eller villkorade förbinde</w:t>
            </w:r>
            <w:r>
              <w:rPr>
                <w:rStyle w:val="FormatvorlageInstructionsTabelleText"/>
                <w:rFonts w:ascii="Times New Roman" w:hAnsi="Times New Roman"/>
                <w:sz w:val="24"/>
              </w:rPr>
              <w:t>l</w:t>
            </w:r>
            <w:r>
              <w:rPr>
                <w:rStyle w:val="FormatvorlageInstructionsTabelleText"/>
                <w:rFonts w:ascii="Times New Roman" w:hAnsi="Times New Roman"/>
                <w:sz w:val="24"/>
              </w:rPr>
              <w:t>ser att köpa egna supplementärkapitalinstrument. (-) Faktiska eller villk</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rade förpliktelser att köpa egna </w:t>
            </w:r>
            <w:r>
              <w:rPr>
                <w:rStyle w:val="FormatvorlageInstructionsTabelleText"/>
                <w:rFonts w:ascii="Times New Roman" w:hAnsi="Times New Roman"/>
                <w:sz w:val="24"/>
              </w:rPr>
              <w:br/>
              <w:t>supplementärkapitalinstrument rapporteras separat i post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Direkta innehav av supplementärkapitalinstrument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63 b, 66 a och 67 i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Supplementärkapitalinstrument som ingår i post 1.2.1.1 och som innehas av institut inom gruppen.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Indirekta innehav av supplementärkapitalinstrument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4.1.114, 63 b, 66 a och 67 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Syntetiska innehav av supplementärkapitalinstrument</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Artiklarna 4.1.126, 63 b, 66 a och 67 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Faktiska eller villkorade förpliktelser att köpa egna suppl</w:t>
            </w:r>
            <w:r>
              <w:rPr>
                <w:rStyle w:val="InstructionsTabelleberschrift"/>
                <w:rFonts w:ascii="Times New Roman" w:hAnsi="Times New Roman"/>
                <w:sz w:val="24"/>
              </w:rPr>
              <w:t>e</w:t>
            </w:r>
            <w:r>
              <w:rPr>
                <w:rStyle w:val="InstructionsTabelleberschrift"/>
                <w:rFonts w:ascii="Times New Roman" w:hAnsi="Times New Roman"/>
                <w:sz w:val="24"/>
              </w:rPr>
              <w:t>mentärkapitalinstrument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66 a och 67 i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enlighet med artikel 66 a i CRR</w:t>
            </w:r>
            <w:r>
              <w:t xml:space="preserve"> ska institutet dra av ”egna supplementä</w:t>
            </w:r>
            <w:r>
              <w:t>r</w:t>
            </w:r>
            <w:r>
              <w:t>kapitalinstrument som ett institut kan vara skyldigt att köpa på grund av b</w:t>
            </w:r>
            <w:r>
              <w:t>e</w:t>
            </w:r>
            <w:r>
              <w:t>fintliga kontraktsförpliktelser”.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Övergångsjusteringar för supplementärkapitalinstrument för vilka äldre regler får tillämpas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483.6–7, 484, 486, 488, 490 och 491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supplementärkapital enligt äldre regler. Det belopp som ska rapporteras hämtas direkt från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 utgivna av dotterföretag som betraktas i suppl</w:t>
            </w:r>
            <w:r>
              <w:rPr>
                <w:rStyle w:val="InstructionsTabelleberschrift"/>
                <w:rFonts w:ascii="Times New Roman" w:hAnsi="Times New Roman"/>
                <w:sz w:val="24"/>
              </w:rPr>
              <w:t>e</w:t>
            </w:r>
            <w:r>
              <w:rPr>
                <w:rStyle w:val="InstructionsTabelleberschrift"/>
                <w:rFonts w:ascii="Times New Roman" w:hAnsi="Times New Roman"/>
                <w:sz w:val="24"/>
              </w:rPr>
              <w:t>mentärkapital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83, 87 och 88 i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 den kvalificerande kapitalbas i dotterföretagen som ingår i det konsoliderade supplementärkapitalet.</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Kvalificerande supplementärkapital som emitterats av specialföretag ska i</w:t>
            </w:r>
            <w:r>
              <w:rPr>
                <w:rStyle w:val="FormatvorlageInstructionsTabelleText"/>
                <w:rFonts w:ascii="Times New Roman" w:hAnsi="Times New Roman"/>
                <w:sz w:val="24"/>
              </w:rPr>
              <w:t>n</w:t>
            </w:r>
            <w:r>
              <w:rPr>
                <w:rStyle w:val="FormatvorlageInstructionsTabelleText"/>
                <w:rFonts w:ascii="Times New Roman" w:hAnsi="Times New Roman"/>
                <w:sz w:val="24"/>
              </w:rPr>
              <w:t>räknas (artikel 83 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Övergångsjusteringar på grund av att övriga instrument som u</w:t>
            </w:r>
            <w:r>
              <w:rPr>
                <w:rStyle w:val="InstructionsTabelleberschrift"/>
                <w:rFonts w:ascii="Times New Roman" w:hAnsi="Times New Roman"/>
                <w:sz w:val="24"/>
              </w:rPr>
              <w:t>t</w:t>
            </w:r>
            <w:r>
              <w:rPr>
                <w:rStyle w:val="InstructionsTabelleberschrift"/>
                <w:rFonts w:ascii="Times New Roman" w:hAnsi="Times New Roman"/>
                <w:sz w:val="24"/>
              </w:rPr>
              <w:t>färdats av dotterföretag räknas med i supplementärkapital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den kvalificerande kapitalbas som ingår i konsoliderat su</w:t>
            </w:r>
            <w:r>
              <w:rPr>
                <w:rStyle w:val="FormatvorlageInstructionsTabelleText"/>
                <w:rFonts w:ascii="Times New Roman" w:hAnsi="Times New Roman"/>
                <w:sz w:val="24"/>
              </w:rPr>
              <w:t>p</w:t>
            </w:r>
            <w:r>
              <w:rPr>
                <w:rStyle w:val="FormatvorlageInstructionsTabelleText"/>
                <w:rFonts w:ascii="Times New Roman" w:hAnsi="Times New Roman"/>
                <w:sz w:val="24"/>
              </w:rPr>
              <w:t>plementärkapital på grund av övergångsbestämmelser. Denna post hämtas direkt från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Överskott i avsättningar i förhållande till godtagbara förväntade förluster (internmetod)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d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För institut som beräknar de riskvägda exponeringsbeloppen enligt inter</w:t>
            </w:r>
            <w:r>
              <w:rPr>
                <w:rStyle w:val="FormatvorlageInstructionsTabelleText"/>
                <w:rFonts w:ascii="Times New Roman" w:hAnsi="Times New Roman"/>
                <w:sz w:val="24"/>
              </w:rPr>
              <w:t>n</w:t>
            </w:r>
            <w:r>
              <w:rPr>
                <w:rStyle w:val="FormatvorlageInstructionsTabelleText"/>
                <w:rFonts w:ascii="Times New Roman" w:hAnsi="Times New Roman"/>
                <w:sz w:val="24"/>
              </w:rPr>
              <w:t>metoden innehåller denna post de positiva belopp som är resultatet av jämf</w:t>
            </w:r>
            <w:r>
              <w:rPr>
                <w:rStyle w:val="FormatvorlageInstructionsTabelleText"/>
                <w:rFonts w:ascii="Times New Roman" w:hAnsi="Times New Roman"/>
                <w:sz w:val="24"/>
              </w:rPr>
              <w:t>ö</w:t>
            </w:r>
            <w:r>
              <w:rPr>
                <w:rStyle w:val="FormatvorlageInstructionsTabelleText"/>
                <w:rFonts w:ascii="Times New Roman" w:hAnsi="Times New Roman"/>
                <w:sz w:val="24"/>
              </w:rPr>
              <w:t>relsen av avsättningar och förväntade förluster som är godtagbara som su</w:t>
            </w:r>
            <w:r>
              <w:rPr>
                <w:rStyle w:val="FormatvorlageInstructionsTabelleText"/>
                <w:rFonts w:ascii="Times New Roman" w:hAnsi="Times New Roman"/>
                <w:sz w:val="24"/>
              </w:rPr>
              <w:t>p</w:t>
            </w:r>
            <w:r>
              <w:rPr>
                <w:rStyle w:val="FormatvorlageInstructionsTabelleText"/>
                <w:rFonts w:ascii="Times New Roman" w:hAnsi="Times New Roman"/>
                <w:sz w:val="24"/>
              </w:rPr>
              <w:t>plementärkapital.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Allmänna kreditriskjusteringar (schablonmetod)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c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institut som beräknar de riskvägda exponeringsbeloppen i enlighet med schablonmetoden innehåller denna post de allmänna kreditriskjusteringar som godtas som supplementärkapital.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Ömsesidigt korsägande av supplementärkapital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4.1.122, 66 b och 68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Innehav av supplementärkapitalinstrument i enheter i den finansiella sektorn (enligt definitionen i artikel 4.1.27 i CRR) i vilka det finns ett ömsesidigt korsägande som den behöriga myndigheten bedömer är avsett att på konstlad väg blåsa upp institutets kapitalbas.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supplementärkapitalet och den utvidgade kapitalbasen.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Supplementärkapitalinstrument i enheter i den finansiella sektorn där institutet inte har ett väsentligt innehav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4.1.27, 66 c, 68–70 och 79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w:t>
            </w:r>
            <w:r>
              <w:rPr>
                <w:rStyle w:val="FormatvorlageInstructionsTabelleText"/>
                <w:rFonts w:ascii="Times New Roman" w:hAnsi="Times New Roman"/>
                <w:sz w:val="24"/>
              </w:rPr>
              <w:t>ä</w:t>
            </w:r>
            <w:r>
              <w:rPr>
                <w:rStyle w:val="FormatvorlageInstructionsTabelleText"/>
                <w:rFonts w:ascii="Times New Roman" w:hAnsi="Times New Roman"/>
                <w:sz w:val="24"/>
              </w:rPr>
              <w:t>sentligt innehav som ska dras av från supplementärkapitalet.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Supplementärkapitalinstrument i enheter i den finansiella sektorn där institutet har ett väsentligt innehav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4.1.27, 66 d, 68, 69 och 79 i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innehar supplementärkapitalinstrument i enheter i den finans</w:t>
            </w:r>
            <w:r>
              <w:rPr>
                <w:rStyle w:val="FormatvorlageInstructionsTabelleText"/>
                <w:rFonts w:ascii="Times New Roman" w:hAnsi="Times New Roman"/>
                <w:sz w:val="24"/>
              </w:rPr>
              <w:t>i</w:t>
            </w:r>
            <w:r>
              <w:rPr>
                <w:rStyle w:val="FormatvorlageInstructionsTabelleText"/>
                <w:rFonts w:ascii="Times New Roman" w:hAnsi="Times New Roman"/>
                <w:sz w:val="24"/>
              </w:rPr>
              <w:t>ella sektorn (enligt definitionen i artikel 4.1.27 i CRR) i vilka institutet har ett väsentligt innehav, ska dessa dras av helt och hållet.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Övriga övergångsjusteringar av supplementärkapital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476–478 och 481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w:t>
            </w:r>
            <w:r>
              <w:rPr>
                <w:rStyle w:val="FormatvorlageInstructionsTabelleText"/>
                <w:rFonts w:ascii="Times New Roman" w:hAnsi="Times New Roman"/>
                <w:sz w:val="24"/>
              </w:rPr>
              <w:t>r</w:t>
            </w:r>
            <w:r>
              <w:rPr>
                <w:rStyle w:val="FormatvorlageInstructionsTabelleText"/>
                <w:rFonts w:ascii="Times New Roman" w:hAnsi="Times New Roman"/>
                <w:sz w:val="24"/>
              </w:rPr>
              <w:t>teras ska hämtas direkt från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Överskott i avdrag från supplementärkapitalposter i förhållande till supplementärkapital (avdrag i primärkapitaltillskottet)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e i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Supplementärkapital kan inte vara negativt, men det är möjligt att avdragen från supplementärkapitalet är större än supplementärkapitalet plus tillh</w:t>
            </w:r>
            <w:r>
              <w:rPr>
                <w:rStyle w:val="FormatvorlageInstructionsTabelleText"/>
                <w:rFonts w:ascii="Times New Roman" w:hAnsi="Times New Roman"/>
                <w:sz w:val="24"/>
              </w:rPr>
              <w:t>ö</w:t>
            </w:r>
            <w:r>
              <w:rPr>
                <w:rStyle w:val="FormatvorlageInstructionsTabelleText"/>
                <w:rFonts w:ascii="Times New Roman" w:hAnsi="Times New Roman"/>
                <w:sz w:val="24"/>
              </w:rPr>
              <w:t xml:space="preserve">rande överkursfond. När så sker ska supplementärkapitalet vara lika med noll, och de avdrag som överstiger supplementärkapitalet ska dras av från </w:t>
            </w:r>
            <w:r>
              <w:rPr>
                <w:rStyle w:val="FormatvorlageInstructionsTabelleText"/>
                <w:rFonts w:ascii="Times New Roman" w:hAnsi="Times New Roman"/>
                <w:sz w:val="24"/>
              </w:rPr>
              <w:lastRenderedPageBreak/>
              <w:t>primärkapitaltillskottet.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1.2.1–1.2.13 aldrig understiger noll. Om denna post utgörs av ett positivt tal ska posten 1.1.2.8 vara motsvarande negativa tal.</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Övriga avdrag från supplementärkapital på grund av artikel 3 i kapitaltäckningsförordningen (CRR)</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Delar i eller avdrag från supplementärkapital – övrigt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har endast införts för att ge flexibilitet vid rapporteringen. Den ska bara användas i de sällsynta fall när det saknas ett slutgiltigt beslut om rapporteringen av särskilda kapitalposter/-avdrag i den befintliga CA1-mallen. Det innebär att denna rad endast ska fyllas i om en del av suppl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mentärkapitalet respektive ett avdrag från en del av supplementärkapitalet inte kan hänföras till någon av raderna 750–974.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cell får inte användas för att ta med kapitalposter eller -avdrag som inte omfattas av CRR i beräkningen av kapitalrelationen (t.ex. beaktande av nationella kapitalposter/-avdrag som inte omfattas av 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523820231"/>
      <w:bookmarkStart w:id="55" w:name="_Toc308175823"/>
      <w:bookmarkStart w:id="56" w:name="_Toc360188327"/>
      <w:r>
        <w:rPr>
          <w:rFonts w:ascii="Times New Roman" w:hAnsi="Times New Roman"/>
          <w:sz w:val="24"/>
          <w:u w:val="none"/>
        </w:rPr>
        <w:t>1.3.</w:t>
      </w:r>
      <w:r w:rsidRPr="00CE7A6C">
        <w:rPr>
          <w:u w:val="none"/>
        </w:rPr>
        <w:tab/>
      </w:r>
      <w:r>
        <w:rPr>
          <w:rFonts w:ascii="Times New Roman" w:hAnsi="Times New Roman"/>
          <w:sz w:val="24"/>
        </w:rPr>
        <w:t>C 02.00 – KAPITALBASKRAV (CA2)</w:t>
      </w:r>
      <w:bookmarkEnd w:id="52"/>
      <w:bookmarkEnd w:id="53"/>
      <w:bookmarkEnd w:id="54"/>
      <w:r>
        <w:rPr>
          <w:rFonts w:ascii="Times New Roman" w:hAnsi="Times New Roman"/>
          <w:sz w:val="24"/>
        </w:rPr>
        <w:t xml:space="preserve"> </w:t>
      </w:r>
      <w:bookmarkEnd w:id="55"/>
      <w:bookmarkEnd w:id="5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3820232"/>
      <w:r>
        <w:rPr>
          <w:rFonts w:ascii="Times New Roman" w:hAnsi="Times New Roman"/>
          <w:sz w:val="24"/>
          <w:u w:val="none"/>
        </w:rPr>
        <w:t>1.3.1</w:t>
      </w:r>
      <w:r w:rsidRPr="00CE7A6C">
        <w:rPr>
          <w:rFonts w:ascii="Times New Roman" w:hAnsi="Times New Roman"/>
          <w:sz w:val="24"/>
          <w:u w:val="none"/>
        </w:rPr>
        <w:t>.</w:t>
      </w:r>
      <w:r w:rsidRPr="00CE7A6C">
        <w:rPr>
          <w:u w:val="none"/>
        </w:rPr>
        <w:tab/>
      </w:r>
      <w:r>
        <w:rPr>
          <w:rFonts w:ascii="Times New Roman" w:hAnsi="Times New Roman"/>
          <w:sz w:val="24"/>
        </w:rPr>
        <w:t xml:space="preserve">Instruktioner för specifika </w:t>
      </w:r>
      <w:bookmarkEnd w:id="57"/>
      <w:bookmarkEnd w:id="58"/>
      <w:r>
        <w:rPr>
          <w:rFonts w:ascii="Times New Roman" w:hAnsi="Times New Roman"/>
          <w:sz w:val="24"/>
        </w:rPr>
        <w:t>positioner</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Rad</w:t>
            </w:r>
          </w:p>
        </w:tc>
        <w:tc>
          <w:tcPr>
            <w:tcW w:w="7274" w:type="dxa"/>
            <w:shd w:val="clear" w:color="auto" w:fill="D9D9D9"/>
          </w:tcPr>
          <w:p w:rsidR="005643EA" w:rsidRPr="00392FFD" w:rsidRDefault="002648B0" w:rsidP="00FD239F">
            <w:pPr>
              <w:pStyle w:val="InstructionsText"/>
            </w:pPr>
            <w:r>
              <w:t>Rättsliga hänvisningar och instruktioner</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TOTALT RISKVÄGT EXPONERINGSBELOPP</w:t>
            </w:r>
          </w:p>
          <w:p w:rsidR="002648B0" w:rsidRPr="00392FFD" w:rsidRDefault="002648B0" w:rsidP="00FD239F">
            <w:pPr>
              <w:pStyle w:val="InstructionsText"/>
            </w:pPr>
            <w:r>
              <w:t>Artiklarna 92.3, 95, 96 och 98 i CRR.</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Varav: Värdepappersföretag enligt artikel 95.2 och artikel 98 i CRR</w:t>
            </w:r>
          </w:p>
          <w:p w:rsidR="005643EA" w:rsidRPr="00392FFD" w:rsidRDefault="002648B0" w:rsidP="00FD239F">
            <w:pPr>
              <w:pStyle w:val="InstructionsText"/>
            </w:pPr>
            <w:r>
              <w:t>För värdepappersföretag enligt artiklarna 95.</w:t>
            </w:r>
            <w:r>
              <w:rPr>
                <w:rStyle w:val="FormatvorlageInstructionsTabelleText"/>
                <w:rFonts w:ascii="Times New Roman" w:hAnsi="Times New Roman"/>
                <w:sz w:val="24"/>
              </w:rPr>
              <w:t>2</w:t>
            </w:r>
            <w:r>
              <w:t xml:space="preserve"> och 98 i CRR.</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Varav: Värdepappersföretag enligt artikel 96.2 och artikel 97 i CRR</w:t>
            </w:r>
          </w:p>
          <w:p w:rsidR="005643EA" w:rsidRPr="00392FFD" w:rsidRDefault="002648B0" w:rsidP="00FD239F">
            <w:pPr>
              <w:pStyle w:val="InstructionsText"/>
            </w:pPr>
            <w:r>
              <w:t>För värdepappersföretag enligt artiklarna 96.</w:t>
            </w:r>
            <w:r>
              <w:rPr>
                <w:rStyle w:val="FormatvorlageInstructionsTabelleText"/>
                <w:rFonts w:ascii="Times New Roman" w:hAnsi="Times New Roman"/>
                <w:sz w:val="24"/>
              </w:rPr>
              <w:t>2</w:t>
            </w:r>
            <w:r>
              <w:t xml:space="preserve"> och 97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RISKVÄGDA EXPONERINGSBELOPP FÖR KRED</w:t>
            </w:r>
            <w:r>
              <w:rPr>
                <w:rStyle w:val="InstructionsTabelleberschrift"/>
                <w:rFonts w:ascii="Times New Roman" w:hAnsi="Times New Roman"/>
                <w:sz w:val="24"/>
              </w:rPr>
              <w:t>I</w:t>
            </w:r>
            <w:r>
              <w:rPr>
                <w:rStyle w:val="InstructionsTabelleberschrift"/>
                <w:rFonts w:ascii="Times New Roman" w:hAnsi="Times New Roman"/>
                <w:sz w:val="24"/>
              </w:rPr>
              <w:t>TRISK, MOTPARTSRISK OCH UTSPÄDNINGSRISK SAMT TRANSAKTIONER UTAN SAMTIDIG MOTPRESTATION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92.3 a och f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Schablonmetoden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Totala exponeringar i mallen för kreditrisk enligt schablonmetoden (CR SA) och i mallen för värdepapperiseringsexponering enligt schablonm</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toden (SEC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Exponeringsklasser förutom positioner i värdepapperisering</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Totala exponeringar i mallen för kreditrisk enligt schablonmetoden (CR SA). </w:t>
            </w:r>
            <w:r>
              <w:t>De exponeringsklasser enligt schablonmetoden som avses är de som anges i artikel 112 i CRR, med undantag av värdepapperiseringsp</w:t>
            </w:r>
            <w:r>
              <w:t>o</w:t>
            </w:r>
            <w:r>
              <w:t>sitioner.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Nationella regeringar eller centralbanker</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Delstatliga eller lokala självstyrelseorgan och myndi</w:t>
            </w:r>
            <w:r>
              <w:rPr>
                <w:rStyle w:val="InstructionsTabelleberschrift"/>
                <w:rFonts w:ascii="Times New Roman" w:hAnsi="Times New Roman"/>
                <w:sz w:val="24"/>
              </w:rPr>
              <w:t>g</w:t>
            </w:r>
            <w:r>
              <w:rPr>
                <w:rStyle w:val="InstructionsTabelleberschrift"/>
                <w:rFonts w:ascii="Times New Roman" w:hAnsi="Times New Roman"/>
                <w:sz w:val="24"/>
              </w:rPr>
              <w:t>heter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Offentliga organ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Multilaterala utvecklingsbanker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schablonmetoden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Internationella organisationer</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Företag</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Hushåll</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Säkrade genom panträtt fastigheter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Fallerande exponeringar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Poster som är förenade med särskilt hög risk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Säkerställda obligationer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Fordringar på institut och företag med ett kortfristigt kreditbetyg</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Företag för kollektiva investeringar (fond)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Aktier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Övriga poster</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Positioner i värdepapperisering (schablonmetod)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Nivån alla slags värdepapperiseringar i mallen för värdepapperisering</w:t>
            </w:r>
            <w:r>
              <w:rPr>
                <w:rStyle w:val="FormatvorlageInstructionsTabelleText"/>
                <w:rFonts w:ascii="Times New Roman" w:hAnsi="Times New Roman"/>
                <w:sz w:val="24"/>
              </w:rPr>
              <w:t>s</w:t>
            </w:r>
            <w:r>
              <w:rPr>
                <w:rStyle w:val="FormatvorlageInstructionsTabelleText"/>
                <w:rFonts w:ascii="Times New Roman" w:hAnsi="Times New Roman"/>
                <w:sz w:val="24"/>
              </w:rPr>
              <w:t>exponeringar enligt schablonmetoden (CR SEC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Varav: återvärdepapperisering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Nivån alla slags värdepapperiseringar i mallen för värdepapperisering</w:t>
            </w:r>
            <w:r>
              <w:rPr>
                <w:rStyle w:val="FormatvorlageInstructionsTabelleText"/>
                <w:rFonts w:ascii="Times New Roman" w:hAnsi="Times New Roman"/>
                <w:sz w:val="24"/>
              </w:rPr>
              <w:t>s</w:t>
            </w:r>
            <w:r>
              <w:rPr>
                <w:rStyle w:val="FormatvorlageInstructionsTabelleText"/>
                <w:rFonts w:ascii="Times New Roman" w:hAnsi="Times New Roman"/>
                <w:sz w:val="24"/>
              </w:rPr>
              <w:t>exponeringar enligt schablonmetoden (CR SEC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Internmetoden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Internmetoden utan användning av egna skattningar av LGD-värden eller konverteringsfaktorer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Total kreditriskexponering i mallen för kreditrisk enligt internmetoden (CR IRB) (utan användning av egna skattningar av LGD-värden och/eller konverteringsfaktorer).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Nationella regeringar eller centralbanker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Företag – små och medelstora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Företag – specialutlåning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Företag – andra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Internmetoden med användning av egna skattningar av LGD-värden eller konverteringsfaktorer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Totala exponeringar i mallen för kreditrisk enligt internmetoden, CR IRB, (med användning av egna skattningar av LGD-värden och/eller konverteringsfaktorer).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Nationella regeringar eller centralbanker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Företag – små och medelstora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Företag – specialutlåning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Företag – andra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Hushåll – säkerhet mot fastighet (små och medelstora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Hushåll – säkerhet mot fastighet (ej små och mede</w:t>
            </w:r>
            <w:r>
              <w:rPr>
                <w:rStyle w:val="InstructionsTabelleberschrift"/>
                <w:rFonts w:ascii="Times New Roman" w:hAnsi="Times New Roman"/>
                <w:sz w:val="24"/>
              </w:rPr>
              <w:t>l</w:t>
            </w:r>
            <w:r>
              <w:rPr>
                <w:rStyle w:val="InstructionsTabelleberschrift"/>
                <w:rFonts w:ascii="Times New Roman" w:hAnsi="Times New Roman"/>
                <w:sz w:val="24"/>
              </w:rPr>
              <w:t>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Hushåll – Kvalificerad rullande exponering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Hushåll – övriga små och medelstora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Hushåll – övriga, ej små och medelstora företag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Aktier (internmetod)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aktieexponeringar enligt internmetoden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Positioner i värdepapperisering (internmetod)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Nivån alla slags värdepapperiseringar i mallen för värdepapperisering</w:t>
            </w:r>
            <w:r>
              <w:rPr>
                <w:rStyle w:val="FormatvorlageInstructionsTabelleText"/>
                <w:rFonts w:ascii="Times New Roman" w:hAnsi="Times New Roman"/>
                <w:sz w:val="24"/>
              </w:rPr>
              <w:t>s</w:t>
            </w:r>
            <w:r>
              <w:rPr>
                <w:rStyle w:val="FormatvorlageInstructionsTabelleText"/>
                <w:rFonts w:ascii="Times New Roman" w:hAnsi="Times New Roman"/>
                <w:sz w:val="24"/>
              </w:rPr>
              <w:t>exponeringar enligt internmetoden (CR SEC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Varav: återvärdepapperisering</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Nivån alla slags värdepapperiseringar i mallen för värdepapperisering</w:t>
            </w:r>
            <w:r>
              <w:rPr>
                <w:rStyle w:val="FormatvorlageInstructionsTabelleText"/>
                <w:rFonts w:ascii="Times New Roman" w:hAnsi="Times New Roman"/>
                <w:sz w:val="24"/>
              </w:rPr>
              <w:t>s</w:t>
            </w:r>
            <w:r>
              <w:rPr>
                <w:rStyle w:val="FormatvorlageInstructionsTabelleText"/>
                <w:rFonts w:ascii="Times New Roman" w:hAnsi="Times New Roman"/>
                <w:sz w:val="24"/>
              </w:rPr>
              <w:t>exponeringar enligt internmetoden (CR SEC IRB).</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Övriga motpartslösa tillgångar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Det belopp som ska rapporteras är riskvägt exponeringsbelopp beräknat i enlighet med artikel 156 i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Riskvägt exponeringsbelopp för bidrag till en centrala mo</w:t>
            </w:r>
            <w:r>
              <w:rPr>
                <w:rStyle w:val="InstructionsTabelleberschrift"/>
                <w:rFonts w:ascii="Times New Roman" w:hAnsi="Times New Roman"/>
                <w:sz w:val="24"/>
              </w:rPr>
              <w:t>t</w:t>
            </w:r>
            <w:r>
              <w:rPr>
                <w:rStyle w:val="InstructionsTabelleberschrift"/>
                <w:rFonts w:ascii="Times New Roman" w:hAnsi="Times New Roman"/>
                <w:sz w:val="24"/>
              </w:rPr>
              <w:t>parts obeståndsfond</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Artiklarna 307–309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TOTALT RISKVÄGT EXPONERINGSBELOPP FÖR A</w:t>
            </w:r>
            <w:r>
              <w:rPr>
                <w:rStyle w:val="InstructionsTabelleberschrift"/>
                <w:rFonts w:ascii="Times New Roman" w:hAnsi="Times New Roman"/>
                <w:sz w:val="24"/>
              </w:rPr>
              <w:t>V</w:t>
            </w:r>
            <w:r>
              <w:rPr>
                <w:rStyle w:val="InstructionsTabelleberschrift"/>
                <w:rFonts w:ascii="Times New Roman" w:hAnsi="Times New Roman"/>
                <w:sz w:val="24"/>
              </w:rPr>
              <w:t>VECKLINGS-/LEVERANSRISK</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Artiklarna 92.3 c ii och 92.4 b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Avvecklings-/leveransrisk utanför handelslagret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Avvecklings-/leveransrisk i handelslagret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TOTALT RISKVÄGT EXPONERINGSBELOPP FÖR P</w:t>
            </w:r>
            <w:r>
              <w:rPr>
                <w:rStyle w:val="InstructionsTabelleberschrift"/>
                <w:rFonts w:ascii="Times New Roman" w:hAnsi="Times New Roman"/>
                <w:sz w:val="24"/>
              </w:rPr>
              <w:t>O</w:t>
            </w:r>
            <w:r>
              <w:rPr>
                <w:rStyle w:val="InstructionsTabelleberschrift"/>
                <w:rFonts w:ascii="Times New Roman" w:hAnsi="Times New Roman"/>
                <w:sz w:val="24"/>
              </w:rPr>
              <w:t xml:space="preserve">SITIONSRISK, VALUTAKURSRISK OCH RÅVARURISK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Artikel 92.3 b i och 92.3 c i och iii samt artikel 92.4 b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Riskvägt exponeringsbelopp för positions-, valutakurs- och råvarurisk enligt schablonmetoder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Omsatta skuldinstrument</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Nivån samtliga valutor i mallen för positionsrisk för omsatta skuldi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strument enligt schablonmetoden (MKR SA TDI).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Aktier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Nivån samtliga nationella marknader i mallen för marknadsrisk i sa</w:t>
            </w:r>
            <w:r>
              <w:rPr>
                <w:rStyle w:val="FormatvorlageInstructionsTabelleText"/>
                <w:rFonts w:ascii="Times New Roman" w:hAnsi="Times New Roman"/>
                <w:sz w:val="24"/>
              </w:rPr>
              <w:t>m</w:t>
            </w:r>
            <w:r>
              <w:rPr>
                <w:rStyle w:val="FormatvorlageInstructionsTabelleText"/>
                <w:rFonts w:ascii="Times New Roman" w:hAnsi="Times New Roman"/>
                <w:sz w:val="24"/>
              </w:rPr>
              <w:t xml:space="preserve">band med aktieexponering enligt schablonmetoden (MKR SA EQU).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Särskild metod för positionsrisk i företag för kollektiva inv</w:t>
            </w:r>
            <w:r>
              <w:rPr>
                <w:rStyle w:val="InstructionsTabelleberschrift"/>
                <w:rFonts w:ascii="Times New Roman" w:hAnsi="Times New Roman"/>
                <w:sz w:val="24"/>
              </w:rPr>
              <w:t>e</w:t>
            </w:r>
            <w:r>
              <w:rPr>
                <w:rStyle w:val="InstructionsTabelleberschrift"/>
                <w:rFonts w:ascii="Times New Roman" w:hAnsi="Times New Roman"/>
                <w:sz w:val="24"/>
              </w:rPr>
              <w:t>steringar (fond)</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Artiklarna 348.1, 350.3 c och 364.2 a i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Totalt riskvägt exponeringsbelopp för positioner i företag för kollektiva investeringar om kapitalbaskrav beräknas enligt artikel 348.1 i CRR, a</w:t>
            </w:r>
            <w:r>
              <w:rPr>
                <w:rStyle w:val="FormatvorlageInstructionsTabelleText"/>
                <w:rFonts w:ascii="Times New Roman" w:hAnsi="Times New Roman"/>
                <w:sz w:val="24"/>
              </w:rPr>
              <w:t>n</w:t>
            </w:r>
            <w:r>
              <w:rPr>
                <w:rStyle w:val="FormatvorlageInstructionsTabelleText"/>
                <w:rFonts w:ascii="Times New Roman" w:hAnsi="Times New Roman"/>
                <w:sz w:val="24"/>
              </w:rPr>
              <w:t>tingen direkt eller som en följd av det tak som anges i artikel 350.3 c i CRR. Varken ränterisken eller aktierisken anges uttryckligen i CRR för dessa positioner.</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Om institutet tillämpar den särskilda bestämmelsen i artikel 348.1 första meningen i CRR ska det rapportera ett belopp motsvarande 32 % av ne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topositionen för fondexponeringen i fråga, multiplicerat med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Om institutet tillämpar den särskilda bestämmelsen i artikel 348.1 andra meningen i CRR ska det rapportera det lägsta beloppet av, å ena sidan, det belopp som motsvarar 32 % av nettopositionen för den relevanta fondexponeringen och, å andra sidan, det belopp som är skillnaden me</w:t>
            </w:r>
            <w:r>
              <w:rPr>
                <w:rStyle w:val="FormatvorlageInstructionsTabelleText"/>
                <w:rFonts w:ascii="Times New Roman" w:hAnsi="Times New Roman"/>
                <w:sz w:val="24"/>
              </w:rPr>
              <w:t>l</w:t>
            </w:r>
            <w:r>
              <w:rPr>
                <w:rStyle w:val="FormatvorlageInstructionsTabelleText"/>
                <w:rFonts w:ascii="Times New Roman" w:hAnsi="Times New Roman"/>
                <w:sz w:val="24"/>
              </w:rPr>
              <w:t>lan 40 % av denna nettoposition och de kapitalbaskrav som härrör från valutakursrisken i samband med denna fondexponering, multiplicerat med 12,5 i båda fallen.</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Memorandumpost: Fonder som enbart investerats i omsatta skuldinstrument</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uteslutande investeras i instrument som är föremål för ränterisker.</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Fonder som enbart investerats i egetkapitalinstrument eller i blandade instrument</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investeras antingen uteslutande i instrument som är föremål för aktierisk eller i blandade instrument eller om beståndsdelarna i fonden är okända.</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Utländsk valuta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utländsk valuta enligt sch</w:t>
            </w:r>
            <w:r>
              <w:rPr>
                <w:rStyle w:val="FormatvorlageInstructionsTabelleText"/>
                <w:rFonts w:ascii="Times New Roman" w:hAnsi="Times New Roman"/>
                <w:sz w:val="24"/>
              </w:rPr>
              <w:t>a</w:t>
            </w:r>
            <w:r>
              <w:rPr>
                <w:rStyle w:val="FormatvorlageInstructionsTabelleText"/>
                <w:rFonts w:ascii="Times New Roman" w:hAnsi="Times New Roman"/>
                <w:sz w:val="24"/>
              </w:rPr>
              <w:t>blonmetoden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Råvaror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råvaror enligt schablonmet</w:t>
            </w:r>
            <w:r>
              <w:rPr>
                <w:rStyle w:val="FormatvorlageInstructionsTabelleText"/>
                <w:rFonts w:ascii="Times New Roman" w:hAnsi="Times New Roman"/>
                <w:sz w:val="24"/>
              </w:rPr>
              <w:t>o</w:t>
            </w:r>
            <w:r>
              <w:rPr>
                <w:rStyle w:val="FormatvorlageInstructionsTabelleText"/>
                <w:rFonts w:ascii="Times New Roman" w:hAnsi="Times New Roman"/>
                <w:sz w:val="24"/>
              </w:rPr>
              <w:lastRenderedPageBreak/>
              <w:t>den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Riskvägt exponeringsbelopp för positionsrisk, valutakursrisk och råvarurisk enligt interna modeller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enligt metoden med interna modeller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TOTALT RISKVÄGT EXPONERINGSBELOPP FÖR OPERATIV RISK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92.3 e och 92.4 b i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För värdepappersföretag enligt artiklarna 95.2, 96.2 och 98 i CRR ska denna siffra vara noll.</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Operativ risk, basmetod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Operativ risk, schablonmetod (TSA)/ alternativ schablonm</w:t>
            </w:r>
            <w:r>
              <w:rPr>
                <w:rStyle w:val="InstructionsTabelleberschrift"/>
                <w:rFonts w:ascii="Times New Roman" w:hAnsi="Times New Roman"/>
                <w:sz w:val="24"/>
              </w:rPr>
              <w:t>e</w:t>
            </w:r>
            <w:r>
              <w:rPr>
                <w:rStyle w:val="InstructionsTabelleberschrift"/>
                <w:rFonts w:ascii="Times New Roman" w:hAnsi="Times New Roman"/>
                <w:sz w:val="24"/>
              </w:rPr>
              <w:t>tod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Operativ risk, avancerad mätmetod (internmätningsmetod,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YTTERLIGARE RISKVÄGT EXPONERINGSBELOPP PÅ GRUND AV FASTA OMKOSTNADER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Artiklarna 95.2, 96.2, 97 och 98.1 a i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Endast för värdepappersföretag enligt artiklarna 95.2, 96.2 och 98 i CRR. Se även artikel 97 i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Värdepappersföretag enligt artikel 96 i CRR ska rapportera det belopp som avses i artikel 97 multiplicerat med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Värdepappersföretag enligt artikel 95 i CRR ska rapportera på följande sätt:</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a i CRR är större än det belopp som avses i artikel 95.2 b i CRR ska det rapporterade beloppet vara noll.</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b i CRR är större än det belopp som avses i artikel 95.2 a i CRR ska det rapporterade beloppet utgöras av differensen av det förstnämnda beloppet och det sistnämnda beloppet.</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TOTALT RISKVÄGT EXPONERINGSBELOPP FÖR KREDITVÄRDIGHETSJUSTERING</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Artikel 92.3 d i CRR, se mallen för kreditvärdighetsjustering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Avancerad metod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Kapitalbaskrav för kreditvärdighetsjusteringsrisk enligt artikel 383 i CRR. Se mallen för kreditvärdighetsjustering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Schablonmetod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Kapitalbaskrav för kreditvärdighetsjusteringsrisk enligt artikel 384 i CRR. Se mallen för kreditvärdighetsjustering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Baserad på OEM</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Kapitalbaskrav för kreditvärdighetsjusteringsrisk enligt artikel 385 i CRR. Se mallen för kreditvärdighetsjustering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TOTALT RISKVÄGT EXPONERINGSBELOPP FÖR STORA EXPONERINGAR I HANDELSLAGRET</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Artiklarna 92.3 b ii och 395–401 i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ÖVRIGA RISKEXPONERINGSBELOPP</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Artiklarna 3, 458 och 459 i CRR samt riskvägda exponeringsbelopp som inte kan hänföras till någon av posterna 1.1–1.7.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rapportera de belopp som behövs enligt följande:</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strängare tillsynskrav som införs av kommissionen i enlighet med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tiklarna 458 och 459 i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Ytterligare riskvägda exponeringsbelopp på grundval av artikel 3 i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Denna post har ingen koppling till någon detaljerad mall.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Varav: Ytterligare striktare tillsynskrav baserade på artikel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Kapitalkrav för stora exponeringar</w:t>
            </w:r>
          </w:p>
          <w:p w:rsidR="005643EA" w:rsidRPr="00392FFD" w:rsidRDefault="002648B0" w:rsidP="00FD239F">
            <w:pPr>
              <w:pStyle w:val="InstructionsText"/>
              <w:rPr>
                <w:rStyle w:val="InstructionsTabelleberschrift"/>
                <w:rFonts w:ascii="Times New Roman" w:hAnsi="Times New Roman"/>
                <w:sz w:val="24"/>
              </w:rPr>
            </w:pPr>
            <w:r>
              <w:t>Artikel 458 i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På grund av modifierade riskvikter mot til</w:t>
            </w:r>
            <w:r>
              <w:rPr>
                <w:rStyle w:val="InstructionsTabelleberschrift"/>
                <w:rFonts w:ascii="Times New Roman" w:hAnsi="Times New Roman"/>
                <w:sz w:val="24"/>
              </w:rPr>
              <w:t>l</w:t>
            </w:r>
            <w:r>
              <w:rPr>
                <w:rStyle w:val="InstructionsTabelleberschrift"/>
                <w:rFonts w:ascii="Times New Roman" w:hAnsi="Times New Roman"/>
                <w:sz w:val="24"/>
              </w:rPr>
              <w:t>gångsbubblor i bostadsfastigheter och kommersiella fastigheter</w:t>
            </w:r>
          </w:p>
          <w:p w:rsidR="005643EA" w:rsidRPr="00392FFD" w:rsidRDefault="002648B0" w:rsidP="00FD239F">
            <w:pPr>
              <w:pStyle w:val="InstructionsText"/>
              <w:rPr>
                <w:rStyle w:val="InstructionsTabelleberschrift"/>
                <w:rFonts w:ascii="Times New Roman" w:hAnsi="Times New Roman"/>
                <w:sz w:val="24"/>
              </w:rPr>
            </w:pPr>
            <w:r>
              <w:t>Artikel 458 i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På grund av exponeringar inom den finansiella sektorn</w:t>
            </w:r>
          </w:p>
          <w:p w:rsidR="005643EA" w:rsidRPr="00392FFD" w:rsidRDefault="002648B0" w:rsidP="00FD239F">
            <w:pPr>
              <w:pStyle w:val="InstructionsText"/>
              <w:rPr>
                <w:rStyle w:val="InstructionsTabelleberschrift"/>
                <w:rFonts w:ascii="Times New Roman" w:hAnsi="Times New Roman"/>
                <w:sz w:val="24"/>
              </w:rPr>
            </w:pPr>
            <w:r>
              <w:t>Artikel 458 i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Varav: Ytterligare striktare tillsynskrav baserade på artikel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i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Varav: Ytterligare riskvägt exponeringsbelopp på grundval av artikel 3 i CRR</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i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ytterligare riskvägda exponeringsbeloppet ska rapporteras. Det ska endast omfatta tilläggsbeloppen (om exempelvis en exponering på 100 har riskvikten 20 % och instituten tillämpar riskvikten 50 % på grundval av artikel 3 i CRR, ska beloppet 30 rapporteras).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lastRenderedPageBreak/>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Varav: Riskvägda exponeringsbelopp för kreditrisk: värd</w:t>
            </w:r>
            <w:r>
              <w:rPr>
                <w:rStyle w:val="InstructionsTabelleberschrift"/>
                <w:rFonts w:ascii="Times New Roman" w:hAnsi="Times New Roman"/>
                <w:sz w:val="24"/>
              </w:rPr>
              <w:t>e</w:t>
            </w:r>
            <w:r>
              <w:rPr>
                <w:rStyle w:val="InstructionsTabelleberschrift"/>
                <w:rFonts w:ascii="Times New Roman" w:hAnsi="Times New Roman"/>
                <w:sz w:val="24"/>
              </w:rPr>
              <w:t>papperiseringspositioner (ändrade bestämmelser om värdepapper</w:t>
            </w:r>
            <w:r>
              <w:rPr>
                <w:rStyle w:val="InstructionsTabelleberschrift"/>
                <w:rFonts w:ascii="Times New Roman" w:hAnsi="Times New Roman"/>
                <w:sz w:val="24"/>
              </w:rPr>
              <w:t>i</w:t>
            </w:r>
            <w:r>
              <w:rPr>
                <w:rStyle w:val="InstructionsTabelleberschrift"/>
                <w:rFonts w:ascii="Times New Roman" w:hAnsi="Times New Roman"/>
                <w:sz w:val="24"/>
              </w:rPr>
              <w:t>sering)</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fylla i uppgifter i r</w:t>
            </w:r>
            <w:r>
              <w:t>aderna 770–900 för rapporteringsref</w:t>
            </w:r>
            <w:r>
              <w:t>e</w:t>
            </w:r>
            <w:r>
              <w:t>rensdatum efter den 1 januari 2019.</w:t>
            </w:r>
          </w:p>
          <w:p w:rsidR="00FE6995" w:rsidRPr="0085692D" w:rsidRDefault="00FE6995" w:rsidP="00FE6995">
            <w:pPr>
              <w:pStyle w:val="InstructionsText"/>
            </w:pPr>
            <w:r>
              <w:rPr>
                <w:rStyle w:val="InstructionsTabelleberschrift"/>
                <w:rFonts w:ascii="Times New Roman" w:hAnsi="Times New Roman"/>
                <w:b w:val="0"/>
                <w:sz w:val="24"/>
                <w:u w:val="none"/>
              </w:rPr>
              <w:t>R</w:t>
            </w:r>
            <w:r>
              <w:t>aderna 770–900 redovisar de riskvägda exponeringsbeloppen för kred</w:t>
            </w:r>
            <w:r>
              <w:t>i</w:t>
            </w:r>
            <w:r>
              <w:t>trisk för värdepapperiseringspositionerna, där det riskvägda expon</w:t>
            </w:r>
            <w:r>
              <w:t>e</w:t>
            </w:r>
            <w:r>
              <w:t>ringsbeloppet ska beräknas i enlighet med bestämmelserna i CRR.</w:t>
            </w:r>
          </w:p>
          <w:p w:rsidR="00FE6995" w:rsidRPr="00672D2A" w:rsidRDefault="00FE6995" w:rsidP="00FE6995">
            <w:pPr>
              <w:pStyle w:val="InstructionsText"/>
              <w:rPr>
                <w:rStyle w:val="InstructionsTabelleberschrift"/>
                <w:rFonts w:ascii="Times New Roman" w:hAnsi="Times New Roman"/>
                <w:sz w:val="24"/>
              </w:rPr>
            </w:pPr>
            <w:r>
              <w:t>De rapporterade beloppen ska motsvara det totala riskvägda expon</w:t>
            </w:r>
            <w:r>
              <w:t>e</w:t>
            </w:r>
            <w:r>
              <w:t>ringsbeloppet beräknat i enlighet med del tre avdelning II kapitel 5 i CRR, med hänsyn tagen till den totala riskvikt som åläggs i enlighet med artikel 247.6 i CRR och de tak som avses i del tre avdelning II kapitel 5 avsnitt 3 underavsnitt 4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Varav: Riskvägda exponeringsbelopp för kreditrisk: värd</w:t>
            </w:r>
            <w:r>
              <w:rPr>
                <w:rStyle w:val="InstructionsTabelleberschrift"/>
                <w:rFonts w:ascii="Times New Roman" w:hAnsi="Times New Roman"/>
                <w:sz w:val="24"/>
              </w:rPr>
              <w:t>e</w:t>
            </w:r>
            <w:r>
              <w:rPr>
                <w:rStyle w:val="InstructionsTabelleberschrift"/>
                <w:rFonts w:ascii="Times New Roman" w:hAnsi="Times New Roman"/>
                <w:sz w:val="24"/>
              </w:rPr>
              <w:t>papperiseringspositioner (ändrade bestämmelser om värdepapper</w:t>
            </w:r>
            <w:r>
              <w:rPr>
                <w:rStyle w:val="InstructionsTabelleberschrift"/>
                <w:rFonts w:ascii="Times New Roman" w:hAnsi="Times New Roman"/>
                <w:sz w:val="24"/>
              </w:rPr>
              <w:t>i</w:t>
            </w:r>
            <w:r>
              <w:rPr>
                <w:rStyle w:val="InstructionsTabelleberschrift"/>
                <w:rFonts w:ascii="Times New Roman" w:hAnsi="Times New Roman"/>
                <w:sz w:val="24"/>
              </w:rPr>
              <w:t>sering)</w:t>
            </w:r>
          </w:p>
          <w:p w:rsidR="009B591B" w:rsidRPr="00241190" w:rsidRDefault="009B591B" w:rsidP="003B20D7">
            <w:pPr>
              <w:pStyle w:val="InstructionsText"/>
              <w:rPr>
                <w:rStyle w:val="InstructionsTabelleberschrift"/>
                <w:rFonts w:ascii="Times New Roman" w:hAnsi="Times New Roman"/>
                <w:bCs w:val="0"/>
                <w:sz w:val="24"/>
              </w:rPr>
            </w:pPr>
            <w:r>
              <w:t xml:space="preserve">Artikel 92.3 a och del tre avdelning II kapitel 5 i 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Internmetoden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Artiklarna 254.1 a, 259 och 260 i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Värdepapperiseringar som inte uppfyller kraven för differentierad kapitalbehandling</w:t>
            </w:r>
          </w:p>
          <w:p w:rsidR="003D7822" w:rsidRPr="0085692D" w:rsidRDefault="00924FE7" w:rsidP="003B20D7">
            <w:pPr>
              <w:pStyle w:val="InstructionsText"/>
              <w:rPr>
                <w:rStyle w:val="InstructionsTabelleberschrift"/>
                <w:rFonts w:ascii="Times New Roman" w:hAnsi="Times New Roman"/>
                <w:b w:val="0"/>
                <w:sz w:val="24"/>
              </w:rPr>
            </w:pPr>
            <w:r>
              <w:t>Artiklarna 254.1 a och 259 i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STS-värdepapperiseringar som uppfyller kraven för differentierad kapitalbehandling</w:t>
            </w:r>
          </w:p>
          <w:p w:rsidR="00924FE7" w:rsidRPr="0085692D" w:rsidRDefault="00602FA5" w:rsidP="00FD239F">
            <w:pPr>
              <w:pStyle w:val="InstructionsText"/>
            </w:pPr>
            <w:r>
              <w:t>Artiklarna 254.1 a, 259 och 260 i CRR.</w:t>
            </w:r>
          </w:p>
          <w:p w:rsidR="008B1A0F" w:rsidRPr="00241190" w:rsidRDefault="00366794" w:rsidP="003B20D7">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Schablonmetoden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Artiklarna 254.1 b, 254.6, 261, 262 och 269 </w:t>
            </w:r>
            <w:r>
              <w:t xml:space="preserve">i </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Värdepapperiseringar som inte uppfyller kraven för differentierad kapitalbehandling</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Artiklarna 254.1 b, 254.6, 261 och 269 </w:t>
            </w:r>
            <w:r>
              <w:t xml:space="preserve">i </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STS-värdepapperiseringar som uppfyller kraven för differentierad kapitalbehandling</w:t>
            </w:r>
          </w:p>
          <w:p w:rsidR="004E6D5F" w:rsidRPr="00220265" w:rsidRDefault="004E6D5F" w:rsidP="00FD239F">
            <w:pPr>
              <w:pStyle w:val="InstructionsText"/>
            </w:pPr>
            <w:r>
              <w:t>Artiklarna 254.1 b, 261 och 262 i CRR.</w:t>
            </w:r>
          </w:p>
          <w:p w:rsidR="008B1A0F" w:rsidRPr="00241190" w:rsidRDefault="00366794" w:rsidP="003B20D7">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lastRenderedPageBreak/>
              <w:t>eras i denna rad.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Externmetoden (SEC-ERBA)</w:t>
            </w:r>
          </w:p>
          <w:p w:rsidR="009B591B" w:rsidRPr="00241190" w:rsidRDefault="009B591B" w:rsidP="003B20D7">
            <w:pPr>
              <w:pStyle w:val="InstructionsText"/>
              <w:rPr>
                <w:rStyle w:val="InstructionsTabelleberschrift"/>
                <w:rFonts w:ascii="Times New Roman" w:hAnsi="Times New Roman"/>
                <w:sz w:val="24"/>
              </w:rPr>
            </w:pPr>
            <w:r>
              <w:t>Artiklarna 254.1 c, 254.2, 254.3, 254.4, 263 och 264 i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Värdepapperiseringar som inte uppfyller kraven för differentierad kapitalbehandling</w:t>
            </w:r>
          </w:p>
          <w:p w:rsidR="009B591B" w:rsidRPr="00241190" w:rsidRDefault="009B591B" w:rsidP="003B20D7">
            <w:pPr>
              <w:pStyle w:val="InstructionsText"/>
              <w:rPr>
                <w:rStyle w:val="InstructionsTabelleberschrift"/>
                <w:rFonts w:ascii="Times New Roman" w:hAnsi="Times New Roman"/>
                <w:sz w:val="24"/>
              </w:rPr>
            </w:pPr>
            <w:r>
              <w:t>Artiklarna 254.1 c, 254.2, 254.3, 254.4 och 263 i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STS-värdepapperiseringar som uppfyller kraven för differentierad kapitalbehandling</w:t>
            </w:r>
          </w:p>
          <w:p w:rsidR="009B591B" w:rsidRPr="00220265" w:rsidRDefault="009B591B" w:rsidP="00FD239F">
            <w:pPr>
              <w:pStyle w:val="InstructionsText"/>
            </w:pPr>
            <w:r>
              <w:t>Artiklarna 254.1 c, 254.2, 254.3, 254.4, 263 och 264 i CRR.</w:t>
            </w:r>
          </w:p>
          <w:p w:rsidR="009B591B" w:rsidRPr="00241190" w:rsidRDefault="009B591B" w:rsidP="003B20D7">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Internmetoden (IAA)</w:t>
            </w:r>
          </w:p>
          <w:p w:rsidR="009B591B" w:rsidRPr="00241190" w:rsidRDefault="009B591B" w:rsidP="003B20D7">
            <w:pPr>
              <w:pStyle w:val="InstructionsText"/>
              <w:rPr>
                <w:rStyle w:val="InstructionsTabelleberschrift"/>
                <w:rFonts w:ascii="Times New Roman" w:hAnsi="Times New Roman"/>
                <w:sz w:val="24"/>
              </w:rPr>
            </w:pPr>
            <w:r>
              <w:t>Artiklarna 254.5, 265 och 266 i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Värdepapperiseringar som inte uppfyller kraven för differentierad kapitalbehandling</w:t>
            </w:r>
          </w:p>
          <w:p w:rsidR="009B591B" w:rsidRPr="00220265" w:rsidRDefault="009B591B" w:rsidP="003B20D7">
            <w:pPr>
              <w:pStyle w:val="InstructionsText"/>
              <w:rPr>
                <w:rStyle w:val="InstructionsTabelleberschrift"/>
                <w:rFonts w:ascii="Times New Roman" w:hAnsi="Times New Roman"/>
                <w:b w:val="0"/>
                <w:sz w:val="24"/>
                <w:u w:val="none"/>
              </w:rPr>
            </w:pPr>
            <w:r>
              <w:t>Artiklarna 254.5, 265 och 266 i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STS-värdepapperiseringar som uppfyller kraven för differentierad kapitalbehandling</w:t>
            </w:r>
          </w:p>
          <w:p w:rsidR="009B591B" w:rsidRPr="00220265" w:rsidRDefault="009B591B" w:rsidP="00FD239F">
            <w:pPr>
              <w:pStyle w:val="InstructionsText"/>
            </w:pPr>
            <w:r>
              <w:t>Artiklarna 254.5, 265 och 266 i CRR.</w:t>
            </w:r>
          </w:p>
          <w:p w:rsidR="009B591B" w:rsidRPr="00241190" w:rsidRDefault="009B591B" w:rsidP="003B20D7">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Övrigt (RW = 1 250%)</w:t>
            </w:r>
          </w:p>
          <w:p w:rsidR="009B591B" w:rsidRPr="00241190" w:rsidRDefault="009B591B" w:rsidP="003B20D7">
            <w:pPr>
              <w:pStyle w:val="InstructionsText"/>
              <w:rPr>
                <w:rStyle w:val="InstructionsTabelleberschrift"/>
                <w:rFonts w:ascii="Times New Roman" w:hAnsi="Times New Roman"/>
                <w:sz w:val="24"/>
              </w:rPr>
            </w:pPr>
            <w:r>
              <w:t>Artikel 254.7 i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Varav: Totalt riskvägt exponeringsbelopp för positionsrisker: Omsatta skuldinstrument – specifik risk för värdepapperiseringsi</w:t>
            </w:r>
            <w:r>
              <w:rPr>
                <w:rStyle w:val="InstructionsTabelleberschrift"/>
                <w:rFonts w:ascii="Times New Roman" w:hAnsi="Times New Roman"/>
                <w:sz w:val="24"/>
              </w:rPr>
              <w:t>n</w:t>
            </w:r>
            <w:r>
              <w:rPr>
                <w:rStyle w:val="InstructionsTabelleberschrift"/>
                <w:rFonts w:ascii="Times New Roman" w:hAnsi="Times New Roman"/>
                <w:sz w:val="24"/>
              </w:rPr>
              <w:t>strument (ändrade bestämmelser om värdepapperisering)</w:t>
            </w:r>
          </w:p>
          <w:p w:rsidR="002A6913" w:rsidRPr="002A6913" w:rsidRDefault="002A6913" w:rsidP="00FD239F">
            <w:pPr>
              <w:pStyle w:val="InstructionsText"/>
              <w:rPr>
                <w:bCs/>
              </w:rPr>
            </w:pPr>
            <w:r>
              <w:rPr>
                <w:rStyle w:val="InstructionsTabelleberschrift"/>
                <w:rFonts w:ascii="Times New Roman" w:hAnsi="Times New Roman"/>
                <w:b w:val="0"/>
                <w:sz w:val="24"/>
                <w:u w:val="none"/>
              </w:rPr>
              <w:t>Instituten ska fylla i uppgifter i r</w:t>
            </w:r>
            <w:r>
              <w:t>aderna 910–1040 för rapporteringsref</w:t>
            </w:r>
            <w:r>
              <w:t>e</w:t>
            </w:r>
            <w:r>
              <w:t>rensdatum efter den 1 januari 2019.</w:t>
            </w:r>
          </w:p>
          <w:p w:rsidR="004E2BE7" w:rsidRPr="00220265" w:rsidRDefault="004E2BE7" w:rsidP="00FD239F">
            <w:pPr>
              <w:pStyle w:val="InstructionsText"/>
            </w:pPr>
            <w:r>
              <w:t>Raderna 910–1040 redovisar de riskvägda exponeringsbeloppen för vä</w:t>
            </w:r>
            <w:r>
              <w:t>r</w:t>
            </w:r>
            <w:r>
              <w:t>depapperiseringspositioner i handelslagret, där de totala riskvägda exp</w:t>
            </w:r>
            <w:r>
              <w:t>o</w:t>
            </w:r>
            <w:r>
              <w:t>neringsbeloppen ska beräknas i enlighet med bestämmelserna i CRR. Dock ska värdepapperiseringspositioner som omfattas av kapitalbaskrav för korrelationshandelsportföljen i enlighet med artikel 338 i den ändrade CRR inte redovisas i dessa rader, utan i mall MKR SA CTP.</w:t>
            </w:r>
          </w:p>
          <w:p w:rsidR="004E2BE7" w:rsidRPr="00220265" w:rsidRDefault="004E2BE7" w:rsidP="00FD239F">
            <w:pPr>
              <w:pStyle w:val="InstructionsText"/>
            </w:pPr>
            <w:r>
              <w:t>De rapporterade beloppen ska motsvara det totala riskvägda expon</w:t>
            </w:r>
            <w:r>
              <w:t>e</w:t>
            </w:r>
            <w:r>
              <w:lastRenderedPageBreak/>
              <w:t>ringsbeloppet, som beräknas genom att multiplicera kapitalbaskraven b</w:t>
            </w:r>
            <w:r>
              <w:t>e</w:t>
            </w:r>
            <w:r>
              <w:t>räknade i enlighet med artikel 337 i CCR med 12,5. Det rapporterade b</w:t>
            </w:r>
            <w:r>
              <w:t>e</w:t>
            </w:r>
            <w:r>
              <w:t>loppet ska ta hänsyn till tillämplig total riskvikt enligt artikel 337.3 i CRR samt den övre gränsen för kapitalbaskravet för en nettoposition i enlighet med artikel 335 i CRR.</w:t>
            </w:r>
          </w:p>
          <w:p w:rsidR="007A1E2E" w:rsidRPr="00241190" w:rsidRDefault="007A1E2E" w:rsidP="002A6913">
            <w:pPr>
              <w:pStyle w:val="InstructionsText"/>
              <w:rPr>
                <w:rStyle w:val="InstructionsTabelleberschrift"/>
                <w:rFonts w:ascii="Times New Roman" w:hAnsi="Times New Roman"/>
                <w:bCs w:val="0"/>
                <w:sz w:val="24"/>
              </w:rPr>
            </w:pPr>
            <w:r>
              <w:t>I linje med fastställandet av riskvikter enligt artikel 337 i CRR ska den metod som används för beräkning av kapitalbaskravet för instrument i handelslagret som är värdepapperiseringspositioner fastställas som den metod som institutet skulle använda för positionen utanför handelslagret.</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Varav: Totalt riskvägt exponeringsbelopp för positionsrisker: Omsatta skuldinstrument – specifik risk för värdepapperiseringsi</w:t>
            </w:r>
            <w:r>
              <w:rPr>
                <w:rStyle w:val="InstructionsTabelleberschrift"/>
                <w:rFonts w:ascii="Times New Roman" w:hAnsi="Times New Roman"/>
                <w:sz w:val="24"/>
              </w:rPr>
              <w:t>n</w:t>
            </w:r>
            <w:r>
              <w:rPr>
                <w:rStyle w:val="InstructionsTabelleberschrift"/>
                <w:rFonts w:ascii="Times New Roman" w:hAnsi="Times New Roman"/>
                <w:sz w:val="24"/>
              </w:rPr>
              <w:t>strument (ändrade bestämmelser om värdepapperisering)</w:t>
            </w:r>
          </w:p>
          <w:p w:rsidR="00BB3CBE" w:rsidRPr="00241190" w:rsidRDefault="00BB3CBE" w:rsidP="002A6913">
            <w:pPr>
              <w:pStyle w:val="InstructionsText"/>
              <w:rPr>
                <w:rStyle w:val="InstructionsTabelleberschrift"/>
                <w:rFonts w:ascii="Times New Roman" w:hAnsi="Times New Roman"/>
                <w:sz w:val="24"/>
              </w:rPr>
            </w:pPr>
            <w:r>
              <w:t>Artiklarna 92.3 b i, 92.4, 335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Internmetoden (SEC-IRBA)</w:t>
            </w:r>
          </w:p>
          <w:p w:rsidR="007A1E2E" w:rsidRPr="00241190" w:rsidRDefault="007A1E2E" w:rsidP="002A6913">
            <w:pPr>
              <w:pStyle w:val="InstructionsText"/>
              <w:rPr>
                <w:rStyle w:val="InstructionsTabelleberschrift"/>
                <w:rFonts w:ascii="Times New Roman" w:hAnsi="Times New Roman"/>
                <w:sz w:val="24"/>
              </w:rPr>
            </w:pPr>
            <w:r>
              <w:t>Artiklarna 254.1 a, 259, 260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Värdepapperiseringar som inte uppfyller kraven för differentierad kapitalbehandling</w:t>
            </w:r>
          </w:p>
          <w:p w:rsidR="007A1E2E" w:rsidRPr="00241190" w:rsidRDefault="007A1E2E" w:rsidP="002A6913">
            <w:pPr>
              <w:pStyle w:val="InstructionsText"/>
              <w:rPr>
                <w:rStyle w:val="InstructionsTabelleberschrift"/>
                <w:rFonts w:ascii="Times New Roman" w:hAnsi="Times New Roman"/>
                <w:sz w:val="24"/>
              </w:rPr>
            </w:pPr>
            <w:r>
              <w:t>Artiklarna 254.1 a, 259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STS-värdepapperiseringar som uppfyller kraven för differentierad kapitalbehandling</w:t>
            </w:r>
          </w:p>
          <w:p w:rsidR="007A1E2E" w:rsidRPr="00220265" w:rsidRDefault="007A1E2E" w:rsidP="00FD239F">
            <w:pPr>
              <w:pStyle w:val="InstructionsText"/>
            </w:pPr>
            <w:r>
              <w:t>Artiklarna 254.1 a, 259, 260 och 337 i CRR.</w:t>
            </w:r>
          </w:p>
          <w:p w:rsidR="007A1E2E" w:rsidRPr="00241190" w:rsidRDefault="007A1E2E" w:rsidP="00FD239F">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Schablonmetoden (SEC-SA)</w:t>
            </w:r>
          </w:p>
          <w:p w:rsidR="007A1E2E" w:rsidRPr="00241190" w:rsidRDefault="007A1E2E" w:rsidP="002A6913">
            <w:pPr>
              <w:pStyle w:val="InstructionsText"/>
              <w:rPr>
                <w:rStyle w:val="InstructionsTabelleberschrift"/>
                <w:rFonts w:ascii="Times New Roman" w:hAnsi="Times New Roman"/>
                <w:sz w:val="24"/>
              </w:rPr>
            </w:pPr>
            <w:r>
              <w:t>Artiklarna 254.1 b, 254.6, 261, 262, 269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Värdepapperiseringar som inte uppfyller kraven för differentierad kapitalbehandling</w:t>
            </w:r>
          </w:p>
          <w:p w:rsidR="007A1E2E" w:rsidRPr="00241190" w:rsidRDefault="007A1E2E" w:rsidP="002A6913">
            <w:pPr>
              <w:pStyle w:val="InstructionsText"/>
              <w:rPr>
                <w:rStyle w:val="InstructionsTabelleberschrift"/>
                <w:rFonts w:ascii="Times New Roman" w:hAnsi="Times New Roman"/>
                <w:sz w:val="24"/>
              </w:rPr>
            </w:pPr>
            <w:r>
              <w:t>Artiklarna 254.1 b, 254.6, 261, 269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STS-värdepapperiseringar som uppfyller kraven för differentierad kapitalbehandling</w:t>
            </w:r>
          </w:p>
          <w:p w:rsidR="007A1E2E" w:rsidRPr="00220265" w:rsidRDefault="007A1E2E" w:rsidP="00FD239F">
            <w:pPr>
              <w:pStyle w:val="InstructionsText"/>
            </w:pPr>
            <w:r>
              <w:t>Artiklarna 254.1 b, 262 och 337 i CRR.</w:t>
            </w:r>
          </w:p>
          <w:p w:rsidR="007A1E2E" w:rsidRPr="00241190" w:rsidRDefault="007A1E2E" w:rsidP="00FD239F">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Externmetoden (SEC-ERBA)</w:t>
            </w:r>
          </w:p>
          <w:p w:rsidR="007A1E2E" w:rsidRPr="00241190" w:rsidRDefault="007A1E2E" w:rsidP="002A6913">
            <w:pPr>
              <w:pStyle w:val="InstructionsText"/>
              <w:rPr>
                <w:rStyle w:val="InstructionsTabelleberschrift"/>
                <w:rFonts w:ascii="Times New Roman" w:hAnsi="Times New Roman"/>
                <w:sz w:val="24"/>
              </w:rPr>
            </w:pPr>
            <w:r>
              <w:t>Artiklarna 254.1 c, 254.2, 254.3, 254.4, 263, 264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Värdepapperiseringar som inte uppfyller kraven för differentierad kapitalbehandling</w:t>
            </w:r>
          </w:p>
          <w:p w:rsidR="007A1E2E" w:rsidRPr="00241190" w:rsidRDefault="007A1E2E" w:rsidP="002A6913">
            <w:pPr>
              <w:pStyle w:val="InstructionsText"/>
              <w:rPr>
                <w:rStyle w:val="InstructionsTabelleberschrift"/>
                <w:rFonts w:ascii="Times New Roman" w:hAnsi="Times New Roman"/>
                <w:sz w:val="24"/>
              </w:rPr>
            </w:pPr>
            <w:r>
              <w:t>Artiklarna 254.1 c, 254.2, 254.3, 254.4, 263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STS-värdepapperiseringar som uppfyller kraven för differentierad kapitalbehandling</w:t>
            </w:r>
          </w:p>
          <w:p w:rsidR="007A1E2E" w:rsidRPr="00220265" w:rsidRDefault="007A1E2E" w:rsidP="00FD239F">
            <w:pPr>
              <w:pStyle w:val="InstructionsText"/>
            </w:pPr>
            <w:r>
              <w:t>Artiklarna 254.1 c, 254.2, 254.3, 254.4, 263, 264 och 337 i CRR.</w:t>
            </w:r>
          </w:p>
          <w:p w:rsidR="007A1E2E" w:rsidRPr="00241190" w:rsidRDefault="007A1E2E" w:rsidP="002A6913">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Internmetoden (IAA)</w:t>
            </w:r>
          </w:p>
          <w:p w:rsidR="007A1E2E" w:rsidRPr="00241190" w:rsidRDefault="007A1E2E" w:rsidP="002A6913">
            <w:pPr>
              <w:pStyle w:val="InstructionsText"/>
              <w:rPr>
                <w:rStyle w:val="InstructionsTabelleberschrift"/>
                <w:rFonts w:ascii="Times New Roman" w:hAnsi="Times New Roman"/>
                <w:sz w:val="24"/>
              </w:rPr>
            </w:pPr>
            <w:r>
              <w:t>Artiklarna 254.5, 265, 266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Värdepapperiseringar som inte uppfyller kraven för differentierad kapitalbehandling</w:t>
            </w:r>
          </w:p>
          <w:p w:rsidR="007A1E2E" w:rsidRPr="00241190" w:rsidRDefault="007A1E2E" w:rsidP="002A6913">
            <w:pPr>
              <w:pStyle w:val="InstructionsText"/>
              <w:rPr>
                <w:rStyle w:val="InstructionsTabelleberschrift"/>
                <w:rFonts w:ascii="Times New Roman" w:hAnsi="Times New Roman"/>
                <w:sz w:val="24"/>
              </w:rPr>
            </w:pPr>
            <w:r>
              <w:t>Artiklarna 254.5, 265, 266 och 337 i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STS-värdepapperiseringar som uppfyller kraven för differentierad kapitalbehandling</w:t>
            </w:r>
          </w:p>
          <w:p w:rsidR="007A1E2E" w:rsidRPr="00220265" w:rsidRDefault="007A1E2E" w:rsidP="00FD239F">
            <w:pPr>
              <w:pStyle w:val="InstructionsText"/>
            </w:pPr>
            <w:r>
              <w:t>Artiklarna 254.5, 265, 266 och 337 i CRR.</w:t>
            </w:r>
          </w:p>
          <w:p w:rsidR="007A1E2E" w:rsidRPr="00241190" w:rsidRDefault="007A1E2E" w:rsidP="002A6913">
            <w:pPr>
              <w:pStyle w:val="InstructionsText"/>
              <w:rPr>
                <w:rStyle w:val="InstructionsTabelleberschrift"/>
                <w:rFonts w:ascii="Times New Roman" w:hAnsi="Times New Roman"/>
                <w:sz w:val="24"/>
              </w:rPr>
            </w:pPr>
            <w:r>
              <w:t>Både STS-värdepapperisieringar som uppfyller kraven för differentierad kapitalbehandling enligt artikel 243 i CRR och prioriterade värdepapp</w:t>
            </w:r>
            <w:r>
              <w:t>e</w:t>
            </w:r>
            <w:r>
              <w:t>riseringspositioner i små och medelstora företag som uppfyller kraven för differentierad kapitalbehandling enligt artikel 270 i CRR ska rappor</w:t>
            </w:r>
            <w:r>
              <w:t>t</w:t>
            </w:r>
            <w:r>
              <w:t>eras i denna rad.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Övrigt (RW = 1 250%)</w:t>
            </w:r>
          </w:p>
          <w:p w:rsidR="007A1E2E" w:rsidRPr="00241190" w:rsidRDefault="007A1E2E" w:rsidP="002A6913">
            <w:pPr>
              <w:pStyle w:val="InstructionsText"/>
              <w:rPr>
                <w:rStyle w:val="InstructionsTabelleberschrift"/>
                <w:rFonts w:ascii="Times New Roman" w:hAnsi="Times New Roman"/>
                <w:sz w:val="24"/>
              </w:rPr>
            </w:pPr>
            <w:r>
              <w:t>Artiklarna 254.7 och 337 i 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3820233"/>
      <w:r>
        <w:rPr>
          <w:rFonts w:ascii="Times New Roman" w:hAnsi="Times New Roman"/>
          <w:sz w:val="24"/>
          <w:u w:val="none"/>
        </w:rPr>
        <w:t>1.4</w:t>
      </w:r>
      <w:r w:rsidRPr="00F41416">
        <w:rPr>
          <w:u w:val="none"/>
        </w:rPr>
        <w:tab/>
      </w:r>
      <w:r>
        <w:rPr>
          <w:rFonts w:ascii="Times New Roman" w:hAnsi="Times New Roman"/>
          <w:sz w:val="24"/>
          <w:u w:val="none"/>
        </w:rPr>
        <w:t>C 03.00 – KAPITALRELATIONER OCH KAPITALNIVÅER (CA3)</w:t>
      </w:r>
      <w:bookmarkEnd w:id="66"/>
      <w:bookmarkEnd w:id="63"/>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3820234"/>
      <w:r>
        <w:rPr>
          <w:rFonts w:ascii="Times New Roman" w:hAnsi="Times New Roman"/>
          <w:sz w:val="24"/>
          <w:u w:val="none"/>
        </w:rPr>
        <w:t>1.4.1.</w:t>
      </w:r>
      <w:r w:rsidRPr="00F41416">
        <w:rPr>
          <w:u w:val="none"/>
        </w:rPr>
        <w:tab/>
      </w:r>
      <w:r>
        <w:rPr>
          <w:rFonts w:ascii="Times New Roman" w:hAnsi="Times New Roman"/>
          <w:sz w:val="24"/>
        </w:rPr>
        <w:t xml:space="preserve">Instruktioner för specifika </w:t>
      </w:r>
      <w:bookmarkEnd w:id="68"/>
      <w:bookmarkEnd w:id="69"/>
      <w:r>
        <w:rPr>
          <w:rFonts w:ascii="Times New Roman" w:hAnsi="Times New Roman"/>
          <w:sz w:val="24"/>
        </w:rPr>
        <w:t>positioner</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Rad</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Kärnprimärkapitalrelation</w:t>
            </w:r>
          </w:p>
          <w:p w:rsidR="005643EA" w:rsidRPr="00392FFD" w:rsidRDefault="002648B0" w:rsidP="00FD239F">
            <w:pPr>
              <w:pStyle w:val="InstructionsText"/>
            </w:pPr>
            <w:r>
              <w:t>Artikel 92.2 a i CRR.</w:t>
            </w:r>
          </w:p>
          <w:p w:rsidR="005643EA" w:rsidRPr="00392FFD" w:rsidRDefault="002648B0" w:rsidP="00FD239F">
            <w:pPr>
              <w:pStyle w:val="InstructionsText"/>
            </w:pPr>
            <w:r>
              <w:t>Kärnprimärkapitalrelationen är institutets kärnprimärkapital uttryckt som en pr</w:t>
            </w:r>
            <w:r>
              <w:t>o</w:t>
            </w:r>
            <w:r>
              <w:t>centandel av det totala riskvägda exponeringsbeloppet.</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Överskott(+)/underskott(-) i kärnprimärkapital</w:t>
            </w:r>
          </w:p>
          <w:p w:rsidR="005643EA" w:rsidRPr="00392FFD" w:rsidRDefault="002648B0" w:rsidP="00FD239F">
            <w:pPr>
              <w:pStyle w:val="InstructionsText"/>
            </w:pPr>
            <w:r>
              <w:t>Denna post visar i absoluta tal hur stort kärnprimärkapitalöverskottet eller –underskottet är i förhållande till kraven enligt artikel 92.1 a i CRR (4,5 %), dvs. utan hänsyn till de kapitalbuffertar och övergångsbestämmelser som rör relatio</w:t>
            </w:r>
            <w:r>
              <w:t>n</w:t>
            </w:r>
            <w:r>
              <w:t>en.</w:t>
            </w:r>
          </w:p>
        </w:tc>
      </w:tr>
      <w:tr w:rsidR="002648B0" w:rsidRPr="00392FFD" w:rsidTr="00672D2A">
        <w:tc>
          <w:tcPr>
            <w:tcW w:w="703" w:type="dxa"/>
          </w:tcPr>
          <w:p w:rsidR="002648B0" w:rsidRPr="00392FFD" w:rsidRDefault="002648B0" w:rsidP="00FD239F">
            <w:pPr>
              <w:pStyle w:val="InstructionsText"/>
            </w:pPr>
            <w:r>
              <w:lastRenderedPageBreak/>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Primärkapitalrelation</w:t>
            </w:r>
          </w:p>
          <w:p w:rsidR="005643EA" w:rsidRPr="00392FFD" w:rsidRDefault="002648B0" w:rsidP="00FD239F">
            <w:pPr>
              <w:pStyle w:val="InstructionsText"/>
            </w:pPr>
            <w:r>
              <w:t>Artikel 92.2 b i CRR.</w:t>
            </w:r>
          </w:p>
          <w:p w:rsidR="005643EA" w:rsidRPr="00392FFD" w:rsidRDefault="002648B0" w:rsidP="00FD239F">
            <w:pPr>
              <w:pStyle w:val="InstructionsText"/>
            </w:pPr>
            <w:r>
              <w:t>Primärkapitalrelationen är institutets primärkapital uttryckt som en procentandel av det totala riskvägda exponeringsbeloppet.</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Överskott(+)/underskott(-) i primärkapital</w:t>
            </w:r>
          </w:p>
          <w:p w:rsidR="005643EA" w:rsidRPr="00392FFD" w:rsidRDefault="002648B0" w:rsidP="00FD239F">
            <w:pPr>
              <w:pStyle w:val="InstructionsText"/>
            </w:pPr>
            <w:r>
              <w:t>Denna post visar i absoluta tal hur stort primärkapitalöverskottet eller –underskottet är i förhållande till kraven enligt artikel 92.1 b i CRR (6 %), dvs. utan hänsyn till de kapitalbuffertar och övergångsbestämmelser som rör relatio</w:t>
            </w:r>
            <w:r>
              <w:t>n</w:t>
            </w:r>
            <w:r>
              <w:t>en.</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Summa kapitalrelationer</w:t>
            </w:r>
          </w:p>
          <w:p w:rsidR="005643EA" w:rsidRPr="00392FFD" w:rsidRDefault="002648B0" w:rsidP="00FD239F">
            <w:pPr>
              <w:pStyle w:val="InstructionsText"/>
            </w:pPr>
            <w:r>
              <w:t>Artikel 92.2 c i CRR.</w:t>
            </w:r>
          </w:p>
          <w:p w:rsidR="005643EA" w:rsidRPr="00392FFD" w:rsidRDefault="002648B0" w:rsidP="00FD239F">
            <w:pPr>
              <w:pStyle w:val="InstructionsText"/>
            </w:pPr>
            <w:r>
              <w:t>Summan av kapitalrelationerna är institutets kapitalbas uttryckt som en procen</w:t>
            </w:r>
            <w:r>
              <w:t>t</w:t>
            </w:r>
            <w:r>
              <w:t>andel av det totala riskvägda exponeringsbeloppet.</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Överskott (+)/underskott (-) i sammanlagt kapital</w:t>
            </w:r>
          </w:p>
          <w:p w:rsidR="005643EA" w:rsidRPr="00392FFD" w:rsidRDefault="002648B0" w:rsidP="00FD239F">
            <w:pPr>
              <w:pStyle w:val="InstructionsText"/>
            </w:pPr>
            <w:r>
              <w:t>Denna post visar i absoluta tal hur stort kapitalbasöverskottet eller –underskottet är i förhållande till kraven enligt artikel 92.1 c i CRR (8 %), dvs. utan hänsyn till de kapitalbuffertar och övergångsbestämmelser som rör kvoten.</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Total ÖUP-kapitalkravsrelation (TSCR)</w:t>
            </w:r>
          </w:p>
          <w:p w:rsidR="009C083D" w:rsidRDefault="009C083D" w:rsidP="00FD239F">
            <w:pPr>
              <w:pStyle w:val="InstructionsText"/>
            </w:pPr>
            <w:r>
              <w:t>Summan av i och ii enligt följande:</w:t>
            </w:r>
          </w:p>
          <w:p w:rsidR="009C083D" w:rsidRDefault="009C083D" w:rsidP="00FD239F">
            <w:pPr>
              <w:pStyle w:val="InstructionsText"/>
              <w:numPr>
                <w:ilvl w:val="0"/>
                <w:numId w:val="20"/>
              </w:numPr>
            </w:pPr>
            <w:r>
              <w:t xml:space="preserve">den totala kapitalrelationen (8 %) enligt artikel 92.1 c i CRR, </w:t>
            </w:r>
          </w:p>
          <w:p w:rsidR="009C083D" w:rsidRDefault="009C083D" w:rsidP="00FD239F">
            <w:pPr>
              <w:pStyle w:val="InstructionsText"/>
              <w:numPr>
                <w:ilvl w:val="0"/>
                <w:numId w:val="20"/>
              </w:numPr>
            </w:pPr>
            <w:r>
              <w:t>ytterligare kapitalbaskravrelation (krav enligt andra pelaren - P2R) fas</w:t>
            </w:r>
            <w:r>
              <w:t>t</w:t>
            </w:r>
            <w:r>
              <w:t xml:space="preserve">ställd i enlighet med kriterierna i </w:t>
            </w:r>
            <w:r>
              <w:rPr>
                <w:i/>
              </w:rPr>
              <w:t xml:space="preserve">EBA Guidelines on common procedures and methodologies for the supervisory review and evaluation process and supervisory stress testing </w:t>
            </w:r>
            <w:r>
              <w:t>(EBA SREP GL).</w:t>
            </w:r>
          </w:p>
          <w:p w:rsidR="009C083D" w:rsidRDefault="009C083D" w:rsidP="00FD239F">
            <w:pPr>
              <w:pStyle w:val="InstructionsText"/>
            </w:pPr>
            <w:r>
              <w:t>Denna post ska motsvara den totala ÖUP-kapitalkravsrelation (TSCR) som me</w:t>
            </w:r>
            <w:r>
              <w:t>d</w:t>
            </w:r>
            <w:r>
              <w:t>delas till institutet av den behöriga myndigheten. TSCR definieras i avsnitt 1.2 i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Om den behöriga myndigheten inte har meddelat några ytterligare kapitalbaskrav ska endast led i rapporteras.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som utgörs av kärnprimärkapital </w:t>
            </w:r>
          </w:p>
          <w:p w:rsidR="009C083D" w:rsidRDefault="009C083D" w:rsidP="00FD239F">
            <w:pPr>
              <w:pStyle w:val="InstructionsText"/>
            </w:pPr>
            <w:r>
              <w:t>Summan av i och ii enligt följande:</w:t>
            </w:r>
          </w:p>
          <w:p w:rsidR="009C083D" w:rsidRDefault="009C083D" w:rsidP="00FD239F">
            <w:pPr>
              <w:pStyle w:val="InstructionsText"/>
              <w:numPr>
                <w:ilvl w:val="0"/>
                <w:numId w:val="21"/>
              </w:numPr>
            </w:pPr>
            <w:r>
              <w:t>kärnprimärkapitalrelationen (4,5 %) enligt artikel 92.1 a i CRR,</w:t>
            </w:r>
          </w:p>
          <w:p w:rsidR="0002157C" w:rsidRPr="009068C9" w:rsidRDefault="009C083D" w:rsidP="00FD239F">
            <w:pPr>
              <w:pStyle w:val="InstructionsText"/>
              <w:numPr>
                <w:ilvl w:val="0"/>
                <w:numId w:val="21"/>
              </w:numPr>
              <w:rPr>
                <w:b/>
                <w:bCs/>
                <w:u w:val="single"/>
              </w:rPr>
            </w:pPr>
            <w:r>
              <w:t>den del av P2R-relationen, som avses i led ii i rad 130, som den behöriga myndigheten kräver i form av kärnprimärkapital.</w:t>
            </w:r>
          </w:p>
          <w:p w:rsidR="009C083D" w:rsidRPr="00392FFD" w:rsidRDefault="005B54BB" w:rsidP="009068C9">
            <w:pPr>
              <w:pStyle w:val="InstructionsText"/>
              <w:rPr>
                <w:rStyle w:val="InstructionsTabelleberschrift"/>
                <w:rFonts w:ascii="Times New Roman" w:hAnsi="Times New Roman"/>
                <w:sz w:val="24"/>
              </w:rPr>
            </w:pPr>
            <w:r>
              <w:t>Om den behöriga myndigheten inte har meddelat några ytterligare kapitalbaskrav i form av kärnprimärkapital ska endast led i rapporteras.</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som utgörs av primärkapital</w:t>
            </w:r>
          </w:p>
          <w:p w:rsidR="009C083D" w:rsidRDefault="009C083D" w:rsidP="00FD239F">
            <w:pPr>
              <w:pStyle w:val="InstructionsText"/>
            </w:pPr>
            <w:r>
              <w:t>Summan av i och ii enligt följande:</w:t>
            </w:r>
          </w:p>
          <w:p w:rsidR="009C083D" w:rsidRDefault="009C083D" w:rsidP="00FD239F">
            <w:pPr>
              <w:pStyle w:val="InstructionsText"/>
              <w:numPr>
                <w:ilvl w:val="0"/>
                <w:numId w:val="22"/>
              </w:numPr>
            </w:pPr>
            <w:r>
              <w:t>primärkapitalrelationen (6 %) enligt artikel 92.1 b i CRR,</w:t>
            </w:r>
          </w:p>
          <w:p w:rsidR="009C083D" w:rsidRPr="009068C9" w:rsidRDefault="009C083D" w:rsidP="00FD239F">
            <w:pPr>
              <w:pStyle w:val="InstructionsText"/>
              <w:numPr>
                <w:ilvl w:val="0"/>
                <w:numId w:val="22"/>
              </w:numPr>
              <w:rPr>
                <w:bCs/>
                <w:u w:val="single"/>
              </w:rPr>
            </w:pPr>
            <w:r>
              <w:lastRenderedPageBreak/>
              <w:t>den del av P2R-relationen, som avses i led ii i rad 130, som den behöriga myndigheten kräver i form av primärkapital.</w:t>
            </w:r>
          </w:p>
          <w:p w:rsidR="00DA6CB8" w:rsidRPr="007615A8" w:rsidRDefault="005B54BB" w:rsidP="009068C9">
            <w:pPr>
              <w:pStyle w:val="InstructionsText"/>
              <w:rPr>
                <w:rStyle w:val="InstructionsTabelleberschrift"/>
                <w:rFonts w:ascii="Times New Roman" w:hAnsi="Times New Roman"/>
                <w:b w:val="0"/>
                <w:sz w:val="24"/>
              </w:rPr>
            </w:pPr>
            <w:r>
              <w:t>Om den behöriga myndigheten inte har meddelat några ytterligare kapitalbaskrav i form av primärkapital ska endast led i rapporteras.</w:t>
            </w:r>
          </w:p>
        </w:tc>
      </w:tr>
      <w:tr w:rsidR="009C083D" w:rsidRPr="00392FFD" w:rsidTr="00672D2A">
        <w:tc>
          <w:tcPr>
            <w:tcW w:w="703" w:type="dxa"/>
          </w:tcPr>
          <w:p w:rsidR="009C083D" w:rsidRPr="00392FFD" w:rsidRDefault="009C083D" w:rsidP="00FD239F">
            <w:pPr>
              <w:pStyle w:val="InstructionsText"/>
            </w:pPr>
            <w:r>
              <w:lastRenderedPageBreak/>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Samlad kapitalkravsrelation (OCR)</w:t>
            </w:r>
          </w:p>
          <w:p w:rsidR="009C083D" w:rsidRDefault="009C083D" w:rsidP="00FD239F">
            <w:pPr>
              <w:pStyle w:val="InstructionsText"/>
            </w:pPr>
            <w:r>
              <w:t>Summan av i och ii enligt följande:</w:t>
            </w:r>
          </w:p>
          <w:p w:rsidR="009C083D" w:rsidRDefault="009C083D" w:rsidP="00FD239F">
            <w:pPr>
              <w:pStyle w:val="InstructionsText"/>
              <w:numPr>
                <w:ilvl w:val="0"/>
                <w:numId w:val="23"/>
              </w:numPr>
            </w:pPr>
            <w:r>
              <w:t>TSCR-relationen enligt rad 130,</w:t>
            </w:r>
          </w:p>
          <w:p w:rsidR="009C083D" w:rsidRDefault="009C083D" w:rsidP="00FD239F">
            <w:pPr>
              <w:pStyle w:val="InstructionsText"/>
              <w:numPr>
                <w:ilvl w:val="0"/>
                <w:numId w:val="23"/>
              </w:numPr>
            </w:pPr>
            <w:r>
              <w:t>om det är rättsligt tillämpligt, den kombinerade buffertkravrelation som avses i artikel 128.6 i CRD.</w:t>
            </w:r>
          </w:p>
          <w:p w:rsidR="005B54BB" w:rsidRDefault="009C083D" w:rsidP="00FD239F">
            <w:pPr>
              <w:pStyle w:val="InstructionsText"/>
            </w:pPr>
            <w:r>
              <w:t>Denna post ska motsvara den samlade kapitalkravsrelation (OCR) som definieras i avsnitt 1.2 i EBA SREP GL.</w:t>
            </w:r>
          </w:p>
          <w:p w:rsidR="00645573" w:rsidRPr="00392FFD" w:rsidRDefault="007260DA" w:rsidP="00FD239F">
            <w:pPr>
              <w:pStyle w:val="InstructionsText"/>
              <w:rPr>
                <w:rStyle w:val="InstructionsTabelleberschrift"/>
                <w:rFonts w:ascii="Times New Roman" w:hAnsi="Times New Roman"/>
                <w:sz w:val="24"/>
              </w:rPr>
            </w:pPr>
            <w:r>
              <w:t>Om inget buffertkrav är tillämpligt ska endast led i rapporteras.</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som utgörs av kärnprimärkapital </w:t>
            </w:r>
          </w:p>
          <w:p w:rsidR="009C083D" w:rsidRDefault="009C083D" w:rsidP="00FD239F">
            <w:pPr>
              <w:pStyle w:val="InstructionsText"/>
            </w:pPr>
            <w:r>
              <w:t>Summan av i och ii enligt följande:</w:t>
            </w:r>
          </w:p>
          <w:p w:rsidR="009C083D" w:rsidRDefault="009C083D" w:rsidP="00FD239F">
            <w:pPr>
              <w:pStyle w:val="InstructionsText"/>
              <w:numPr>
                <w:ilvl w:val="0"/>
                <w:numId w:val="24"/>
              </w:numPr>
            </w:pPr>
            <w:r>
              <w:t>TSCR-relationen som utgörs av kärnprimärkapital enligt rad 140,</w:t>
            </w:r>
          </w:p>
          <w:p w:rsidR="009C083D" w:rsidRPr="009068C9" w:rsidRDefault="009C083D" w:rsidP="00FD239F">
            <w:pPr>
              <w:pStyle w:val="InstructionsText"/>
              <w:numPr>
                <w:ilvl w:val="0"/>
                <w:numId w:val="24"/>
              </w:numPr>
              <w:rPr>
                <w:bCs/>
                <w:u w:val="single"/>
              </w:rPr>
            </w:pPr>
            <w:r>
              <w:t>om det är rättsligt tillämpligt, den kombinerade buffertkravrelation som avses i artikel 128.6 i CRD.</w:t>
            </w:r>
          </w:p>
          <w:p w:rsidR="00BA325A" w:rsidRPr="007615A8" w:rsidRDefault="00087E1A" w:rsidP="009068C9">
            <w:pPr>
              <w:pStyle w:val="InstructionsText"/>
              <w:rPr>
                <w:rStyle w:val="InstructionsTabelleberschrift"/>
                <w:rFonts w:ascii="Times New Roman" w:hAnsi="Times New Roman"/>
                <w:b w:val="0"/>
                <w:sz w:val="24"/>
              </w:rPr>
            </w:pPr>
            <w:r>
              <w:t>Om inget buffertkrav är tillämpligt ska endast led i rapporteras.</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som utgörs av primärkapital</w:t>
            </w:r>
          </w:p>
          <w:p w:rsidR="009C083D" w:rsidRDefault="009C083D" w:rsidP="00FD239F">
            <w:pPr>
              <w:pStyle w:val="InstructionsText"/>
            </w:pPr>
            <w:r>
              <w:t>Summan av i och ii enligt följande:</w:t>
            </w:r>
          </w:p>
          <w:p w:rsidR="009C083D" w:rsidRDefault="009C083D" w:rsidP="00FD239F">
            <w:pPr>
              <w:pStyle w:val="InstructionsText"/>
              <w:numPr>
                <w:ilvl w:val="0"/>
                <w:numId w:val="25"/>
              </w:numPr>
            </w:pPr>
            <w:r>
              <w:t>TSCR-relationen som utgörs av primärkapital enligt rad 150,</w:t>
            </w:r>
          </w:p>
          <w:p w:rsidR="009C083D" w:rsidRPr="009068C9" w:rsidRDefault="009C083D" w:rsidP="00FD239F">
            <w:pPr>
              <w:pStyle w:val="InstructionsText"/>
              <w:numPr>
                <w:ilvl w:val="0"/>
                <w:numId w:val="25"/>
              </w:numPr>
              <w:rPr>
                <w:bCs/>
                <w:u w:val="single"/>
              </w:rPr>
            </w:pPr>
            <w:r>
              <w:t>om det är rättsligt tillämpligt, den kombinerade buffertkravrelation som avses i artikel 128.6 i CRD.</w:t>
            </w:r>
          </w:p>
          <w:p w:rsidR="00BA325A" w:rsidRPr="007615A8" w:rsidRDefault="00087E1A" w:rsidP="009068C9">
            <w:pPr>
              <w:pStyle w:val="InstructionsText"/>
              <w:rPr>
                <w:rStyle w:val="InstructionsTabelleberschrift"/>
                <w:rFonts w:ascii="Times New Roman" w:hAnsi="Times New Roman"/>
                <w:b w:val="0"/>
                <w:sz w:val="24"/>
              </w:rPr>
            </w:pPr>
            <w:r>
              <w:t>Om inget buffertkrav är tillämpligt ska endast led i rapporteras.</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Relation - samlat kapitalkrav (OCR) och riktlinjer enligt andra pel</w:t>
            </w:r>
            <w:r>
              <w:rPr>
                <w:rStyle w:val="InstructionsTabelleberschrift"/>
                <w:rFonts w:ascii="Times New Roman" w:hAnsi="Times New Roman"/>
                <w:sz w:val="24"/>
              </w:rPr>
              <w:t>a</w:t>
            </w:r>
            <w:r>
              <w:rPr>
                <w:rStyle w:val="InstructionsTabelleberschrift"/>
                <w:rFonts w:ascii="Times New Roman" w:hAnsi="Times New Roman"/>
                <w:sz w:val="24"/>
              </w:rPr>
              <w:t>ren (P2G)</w:t>
            </w:r>
          </w:p>
          <w:p w:rsidR="009C083D" w:rsidRDefault="009C083D" w:rsidP="00FD239F">
            <w:pPr>
              <w:pStyle w:val="InstructionsText"/>
            </w:pPr>
            <w:r>
              <w:t>Summan av i och ii enligt följande:</w:t>
            </w:r>
          </w:p>
          <w:p w:rsidR="009C083D" w:rsidRDefault="009C083D" w:rsidP="00FD239F">
            <w:pPr>
              <w:pStyle w:val="InstructionsText"/>
              <w:numPr>
                <w:ilvl w:val="0"/>
                <w:numId w:val="26"/>
              </w:numPr>
            </w:pPr>
            <w:r>
              <w:t>OCR-relationen enligt rad 160,</w:t>
            </w:r>
          </w:p>
          <w:p w:rsidR="009C083D" w:rsidRPr="009068C9" w:rsidRDefault="009C083D" w:rsidP="00FD239F">
            <w:pPr>
              <w:pStyle w:val="InstructionsText"/>
              <w:numPr>
                <w:ilvl w:val="0"/>
                <w:numId w:val="26"/>
              </w:numPr>
              <w:rPr>
                <w:bCs/>
                <w:u w:val="single"/>
              </w:rPr>
            </w:pPr>
            <w:r>
              <w:t>om tillämpligt, riktlinjer enligt andra pelaren (P2G) som ges i EBA SREP GL. P2G ska endast tas med om det har meddelats till institutet av den behöriga myndigheten.</w:t>
            </w:r>
          </w:p>
          <w:p w:rsidR="0047693D" w:rsidRPr="007615A8" w:rsidRDefault="005B54BB" w:rsidP="009068C9">
            <w:pPr>
              <w:pStyle w:val="InstructionsText"/>
              <w:rPr>
                <w:rStyle w:val="InstructionsTabelleberschrift"/>
                <w:rFonts w:ascii="Times New Roman" w:hAnsi="Times New Roman"/>
                <w:b w:val="0"/>
                <w:sz w:val="24"/>
              </w:rPr>
            </w:pPr>
            <w:r>
              <w:t>Om den behöriga myndigheten inte har meddelat P2G ska endast led i rapport</w:t>
            </w:r>
            <w:r>
              <w:t>e</w:t>
            </w:r>
            <w:r>
              <w:t xml:space="preserve">ras.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och P2G: som utgörs av kärnprimärkapital </w:t>
            </w:r>
          </w:p>
          <w:p w:rsidR="009C083D" w:rsidRDefault="009C083D" w:rsidP="00FD239F">
            <w:pPr>
              <w:pStyle w:val="InstructionsText"/>
            </w:pPr>
            <w:r>
              <w:t>Summan av i och ii enligt följande:</w:t>
            </w:r>
          </w:p>
          <w:p w:rsidR="009C083D" w:rsidRDefault="009C083D" w:rsidP="00FD239F">
            <w:pPr>
              <w:pStyle w:val="InstructionsText"/>
              <w:numPr>
                <w:ilvl w:val="0"/>
                <w:numId w:val="27"/>
              </w:numPr>
            </w:pPr>
            <w:r>
              <w:t>OCR-relationen som utgörs av kärnprimärkapital enligt rad 170,</w:t>
            </w:r>
          </w:p>
          <w:p w:rsidR="009C083D" w:rsidRPr="009068C9" w:rsidRDefault="009C083D" w:rsidP="00FD239F">
            <w:pPr>
              <w:pStyle w:val="InstructionsText"/>
              <w:numPr>
                <w:ilvl w:val="0"/>
                <w:numId w:val="27"/>
              </w:numPr>
              <w:rPr>
                <w:bCs/>
                <w:u w:val="single"/>
              </w:rPr>
            </w:pPr>
            <w:r>
              <w:t>om tillämpligt, den del av P2G, som avses i led ii i rad 190, som den b</w:t>
            </w:r>
            <w:r>
              <w:t>e</w:t>
            </w:r>
            <w:r>
              <w:t xml:space="preserve">höriga myndigheten kräver i form av kärnprimärkapital. P2G ska endast </w:t>
            </w:r>
            <w:r>
              <w:lastRenderedPageBreak/>
              <w:t>tas med om det har meddelats till institutet av den behöriga myndigheten.</w:t>
            </w:r>
          </w:p>
          <w:p w:rsidR="0047693D" w:rsidRPr="007615A8" w:rsidRDefault="005B54BB" w:rsidP="009068C9">
            <w:pPr>
              <w:pStyle w:val="InstructionsText"/>
              <w:rPr>
                <w:rStyle w:val="InstructionsTabelleberschrift"/>
                <w:rFonts w:ascii="Times New Roman" w:hAnsi="Times New Roman"/>
                <w:b w:val="0"/>
                <w:sz w:val="24"/>
              </w:rPr>
            </w:pPr>
            <w:r>
              <w:t>Om den behöriga myndigheten inte har meddelat P2G ska endast led i rapport</w:t>
            </w:r>
            <w:r>
              <w:t>e</w:t>
            </w:r>
            <w:r>
              <w:t>ras.</w:t>
            </w:r>
          </w:p>
        </w:tc>
      </w:tr>
      <w:tr w:rsidR="009C083D" w:rsidRPr="00392FFD" w:rsidTr="00672D2A">
        <w:tc>
          <w:tcPr>
            <w:tcW w:w="703" w:type="dxa"/>
          </w:tcPr>
          <w:p w:rsidR="009C083D" w:rsidRPr="00392FFD" w:rsidRDefault="009C083D" w:rsidP="00FD239F">
            <w:pPr>
              <w:pStyle w:val="InstructionsText"/>
            </w:pPr>
            <w:r>
              <w:lastRenderedPageBreak/>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och P2G: som utgörs av primärkapital </w:t>
            </w:r>
          </w:p>
          <w:p w:rsidR="009C083D" w:rsidRDefault="009C083D" w:rsidP="00FD239F">
            <w:pPr>
              <w:pStyle w:val="InstructionsText"/>
            </w:pPr>
            <w:r>
              <w:t>Summan av i och ii enligt följande:</w:t>
            </w:r>
          </w:p>
          <w:p w:rsidR="009C083D" w:rsidRDefault="009C083D" w:rsidP="00FD239F">
            <w:pPr>
              <w:pStyle w:val="InstructionsText"/>
              <w:numPr>
                <w:ilvl w:val="0"/>
                <w:numId w:val="28"/>
              </w:numPr>
            </w:pPr>
            <w:r>
              <w:t>OCR-relationen som utgörs av primärkapital enligt rad 180,</w:t>
            </w:r>
          </w:p>
          <w:p w:rsidR="009C083D" w:rsidRDefault="009C083D" w:rsidP="00FD239F">
            <w:pPr>
              <w:pStyle w:val="InstructionsText"/>
              <w:numPr>
                <w:ilvl w:val="0"/>
                <w:numId w:val="28"/>
              </w:numPr>
            </w:pPr>
            <w:r>
              <w:t>om tillämpligt, den del av P2G, som avses i led ii i rad 190, som den b</w:t>
            </w:r>
            <w:r>
              <w:t>e</w:t>
            </w:r>
            <w:r>
              <w:t>höriga myndigheten kräver i form av primärkapital. P2G ska endast tas med om det har meddelats till institutet av den behöriga myndigheten.</w:t>
            </w:r>
          </w:p>
          <w:p w:rsidR="0047693D" w:rsidRPr="007615A8" w:rsidRDefault="005B54BB" w:rsidP="009068C9">
            <w:pPr>
              <w:pStyle w:val="InstructionsText"/>
              <w:rPr>
                <w:rStyle w:val="InstructionsTabelleberschrift"/>
                <w:rFonts w:ascii="Times New Roman" w:hAnsi="Times New Roman"/>
                <w:b w:val="0"/>
                <w:bCs w:val="0"/>
                <w:sz w:val="24"/>
                <w:u w:val="none"/>
              </w:rPr>
            </w:pPr>
            <w:r>
              <w:t>Om den behöriga myndigheten inte har meddelat P2G ska endast led i rapport</w:t>
            </w:r>
            <w:r>
              <w:t>e</w:t>
            </w:r>
            <w:r>
              <w:t>ras.</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523820235"/>
      <w:bookmarkStart w:id="77" w:name="_Toc308175830"/>
      <w:bookmarkStart w:id="78" w:name="_Toc360188331"/>
      <w:r>
        <w:rPr>
          <w:rFonts w:ascii="Times New Roman" w:hAnsi="Times New Roman"/>
          <w:sz w:val="24"/>
          <w:u w:val="none"/>
        </w:rPr>
        <w:t>1.5.</w:t>
      </w:r>
      <w:r w:rsidRPr="00E62258">
        <w:rPr>
          <w:u w:val="none"/>
        </w:rPr>
        <w:tab/>
      </w:r>
      <w:r>
        <w:rPr>
          <w:rFonts w:ascii="Times New Roman" w:hAnsi="Times New Roman"/>
          <w:sz w:val="24"/>
        </w:rPr>
        <w:t>C 04.00 – MEMORANDUMPOSTER (CA4)</w:t>
      </w:r>
      <w:bookmarkEnd w:id="74"/>
      <w:bookmarkEnd w:id="75"/>
      <w:bookmarkEnd w:id="76"/>
      <w:r>
        <w:rPr>
          <w:rFonts w:ascii="Times New Roman" w:hAnsi="Times New Roman"/>
          <w:sz w:val="24"/>
        </w:rPr>
        <w:t xml:space="preserve"> </w:t>
      </w:r>
      <w:bookmarkEnd w:id="77"/>
      <w:bookmarkEnd w:id="78"/>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3820236"/>
      <w:r>
        <w:rPr>
          <w:rFonts w:ascii="Times New Roman" w:hAnsi="Times New Roman"/>
          <w:sz w:val="24"/>
          <w:u w:val="none"/>
        </w:rPr>
        <w:t>1.5.1.</w:t>
      </w:r>
      <w:r w:rsidRPr="00E62258">
        <w:rPr>
          <w:u w:val="none"/>
        </w:rPr>
        <w:tab/>
      </w:r>
      <w:r>
        <w:rPr>
          <w:rFonts w:ascii="Times New Roman" w:hAnsi="Times New Roman"/>
          <w:sz w:val="24"/>
        </w:rPr>
        <w:t xml:space="preserve">Instruktioner för specifika </w:t>
      </w:r>
      <w:bookmarkEnd w:id="79"/>
      <w:bookmarkEnd w:id="80"/>
      <w:r>
        <w:rPr>
          <w:rFonts w:ascii="Times New Roman" w:hAnsi="Times New Roman"/>
          <w:sz w:val="24"/>
        </w:rPr>
        <w:t>positioner</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Rad</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Summa uppskjutna skattefordringar</w:t>
            </w:r>
          </w:p>
          <w:p w:rsidR="005643EA" w:rsidRPr="00392FFD" w:rsidRDefault="002648B0" w:rsidP="00FD239F">
            <w:pPr>
              <w:pStyle w:val="InstructionsText"/>
            </w:pPr>
            <w:r>
              <w:t>Det belopp som rapporteras i denna post ska vara lika med det belopp som rapporteras i balansräkningen.</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Uppskjutna skattefordringar som inte är beroende av fra</w:t>
            </w:r>
            <w:r>
              <w:rPr>
                <w:rStyle w:val="InstructionsTabelleberschrift"/>
                <w:rFonts w:ascii="Times New Roman" w:hAnsi="Times New Roman"/>
                <w:sz w:val="24"/>
              </w:rPr>
              <w:t>m</w:t>
            </w:r>
            <w:r>
              <w:rPr>
                <w:rStyle w:val="InstructionsTabelleberschrift"/>
                <w:rFonts w:ascii="Times New Roman" w:hAnsi="Times New Roman"/>
                <w:sz w:val="24"/>
              </w:rPr>
              <w:t>tida lönsamhet</w:t>
            </w:r>
          </w:p>
          <w:p w:rsidR="005643EA" w:rsidRPr="00392FFD" w:rsidRDefault="002648B0" w:rsidP="00FD239F">
            <w:pPr>
              <w:pStyle w:val="InstructionsText"/>
            </w:pPr>
            <w:r>
              <w:t>Artikel 39.2 i CRR.</w:t>
            </w:r>
          </w:p>
          <w:p w:rsidR="005643EA" w:rsidRPr="00392FFD" w:rsidRDefault="002648B0" w:rsidP="00FD239F">
            <w:pPr>
              <w:pStyle w:val="InstructionsText"/>
            </w:pPr>
            <w:r>
              <w:t>Uppskjutna skattefordringar som inte är beroende av framtida lönsa</w:t>
            </w:r>
            <w:r>
              <w:t>m</w:t>
            </w:r>
            <w:r>
              <w:t>het och som därmed ska ges en riskvikt.</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Uppskjutna skattefordringar som är beroende av framtida lönsamhet och som inte uppstår till följd av tillfälliga skillnader</w:t>
            </w:r>
          </w:p>
          <w:p w:rsidR="005643EA" w:rsidRPr="00392FFD" w:rsidRDefault="002648B0" w:rsidP="00FD239F">
            <w:pPr>
              <w:pStyle w:val="InstructionsText"/>
            </w:pPr>
            <w:r>
              <w:t>Artiklarna 36.1 c och 38 i CRR.</w:t>
            </w:r>
          </w:p>
          <w:p w:rsidR="005643EA" w:rsidRPr="00392FFD" w:rsidRDefault="002648B0" w:rsidP="00FD239F">
            <w:pPr>
              <w:pStyle w:val="InstructionsText"/>
            </w:pPr>
            <w:r>
              <w:t>Uppskjutna skattefordringar som är beroende av framtida lönsamhet men som inte uppstår till följd av temporära skillnader och därmed inte o</w:t>
            </w:r>
            <w:r>
              <w:t>m</w:t>
            </w:r>
            <w:r>
              <w:t>fattas av något tröskelvärde (vilket innebär att de dras av helt och hållet från kärnprimärkapitalet).</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Uppskjutna skattefordringar som är beroende av framtida lönsamhet och som uppstår till följd av tillfälliga skillnader</w:t>
            </w:r>
          </w:p>
          <w:p w:rsidR="005643EA" w:rsidRPr="00392FFD" w:rsidRDefault="002648B0" w:rsidP="00FD239F">
            <w:pPr>
              <w:pStyle w:val="InstructionsText"/>
            </w:pPr>
            <w:r>
              <w:t>Artiklarna 36.1 c, 38 och 48.1 a i CRR.</w:t>
            </w:r>
          </w:p>
          <w:p w:rsidR="005643EA" w:rsidRPr="00392FFD" w:rsidRDefault="002648B0" w:rsidP="00FD239F">
            <w:pPr>
              <w:pStyle w:val="InstructionsText"/>
            </w:pPr>
            <w:r>
              <w:t>Uppskjutna skattefordringar som är beroende av framtida lönsamhet, uppstår till följd av temporära skillnader och dras av från kärnprimärk</w:t>
            </w:r>
            <w:r>
              <w:t>a</w:t>
            </w:r>
            <w:r>
              <w:t>pitalet med tillämpning av tröskelvärdena 10 % och 17,65 % i artikel 48 i CRR.</w:t>
            </w:r>
          </w:p>
        </w:tc>
      </w:tr>
      <w:tr w:rsidR="002648B0" w:rsidRPr="00392FFD" w:rsidTr="00672D2A">
        <w:tc>
          <w:tcPr>
            <w:tcW w:w="1506" w:type="dxa"/>
          </w:tcPr>
          <w:p w:rsidR="002648B0" w:rsidRPr="00392FFD" w:rsidRDefault="002648B0" w:rsidP="00FD239F">
            <w:pPr>
              <w:pStyle w:val="InstructionsText"/>
            </w:pPr>
            <w:r>
              <w:lastRenderedPageBreak/>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Summa uppskjutna skatteskulder</w:t>
            </w:r>
          </w:p>
          <w:p w:rsidR="005643EA" w:rsidRPr="00392FFD" w:rsidRDefault="002648B0" w:rsidP="00FD239F">
            <w:pPr>
              <w:pStyle w:val="InstructionsText"/>
            </w:pPr>
            <w:r>
              <w:t>Det belopp som rapporteras i denna post ska vara lika med det belopp som rapporteras i balansräkningen.</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Uppskjutna skatteskulder som inte får dras av från up</w:t>
            </w:r>
            <w:r>
              <w:rPr>
                <w:rStyle w:val="InstructionsTabelleberschrift"/>
                <w:rFonts w:ascii="Times New Roman" w:hAnsi="Times New Roman"/>
                <w:sz w:val="24"/>
              </w:rPr>
              <w:t>p</w:t>
            </w:r>
            <w:r>
              <w:rPr>
                <w:rStyle w:val="InstructionsTabelleberschrift"/>
                <w:rFonts w:ascii="Times New Roman" w:hAnsi="Times New Roman"/>
                <w:sz w:val="24"/>
              </w:rPr>
              <w:t>skjutna skattefordringar som är beroende av framtida lönsamhet Artikel 38.3 och 38.4 i CRR.</w:t>
            </w:r>
          </w:p>
          <w:p w:rsidR="005643EA" w:rsidRPr="00392FFD" w:rsidRDefault="002648B0" w:rsidP="00FD239F">
            <w:pPr>
              <w:pStyle w:val="InstructionsText"/>
            </w:pPr>
            <w:r>
              <w:t>Artikel 38.3 och 38.4 i CRR.</w:t>
            </w:r>
          </w:p>
          <w:p w:rsidR="005643EA" w:rsidRPr="00392FFD" w:rsidRDefault="002648B0" w:rsidP="00FD239F">
            <w:pPr>
              <w:pStyle w:val="InstructionsText"/>
            </w:pPr>
            <w:r>
              <w:t>Uppskjutna skatteskulder som inte uppfyller villkoren i artikel 38.3 och 38.4 i CRR. Denna post ska därmed inkludera de uppskjutna skattesku</w:t>
            </w:r>
            <w:r>
              <w:t>l</w:t>
            </w:r>
            <w:r>
              <w:t>der som reducerar goodwillbeloppet, övriga immateriella tillgångar eller fastställda förmånsbestämda pensionsplaner som ska dras av, vilka ska rapporteras under CA1-posterna 1.1.1.10.3, 1.1.1.11.2 respektive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Uppskjutna skatteskulder som får dras av från uppskjutna skattefordringar som är beroende av framtida lönsamhet</w:t>
            </w:r>
          </w:p>
          <w:p w:rsidR="005643EA" w:rsidRPr="00392FFD" w:rsidRDefault="002648B0" w:rsidP="00FD239F">
            <w:pPr>
              <w:pStyle w:val="InstructionsText"/>
            </w:pPr>
            <w:r>
              <w:t>Artikel 38 i CRR.</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Avdragsgilla uppskjutna skatteskulder avseende uppskjutna skattefordringar som är beroende av framtida lönsamhet och som inte uppstår till följd av tillfälliga skillnader</w:t>
            </w:r>
          </w:p>
          <w:p w:rsidR="005643EA" w:rsidRPr="00392FFD" w:rsidRDefault="002648B0" w:rsidP="00FD239F">
            <w:pPr>
              <w:pStyle w:val="InstructionsText"/>
            </w:pPr>
            <w:r>
              <w:t>Artikel 38.3, 38.4 och 38.5 i CRR.</w:t>
            </w:r>
          </w:p>
          <w:p w:rsidR="005643EA" w:rsidRPr="00392FFD" w:rsidRDefault="002648B0" w:rsidP="00FD239F">
            <w:pPr>
              <w:pStyle w:val="InstructionsText"/>
            </w:pPr>
            <w:r>
              <w:t>Uppskjutna skatteskulder som kan minska de uppskjutna skattefordrin</w:t>
            </w:r>
            <w:r>
              <w:t>g</w:t>
            </w:r>
            <w:r>
              <w:t>ar som är beroende av framtida lönsamhet i enlighet med artikel 38.3 och 38.4 i CRR men som inte hänför sig till de uppskjutna skattefor</w:t>
            </w:r>
            <w:r>
              <w:t>d</w:t>
            </w:r>
            <w:r>
              <w:t>ringar som är beroende och framtida lönsamhet och uppstår till följd av temporära skillnader i enlighet med artikel 38.5 i CRR.</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Avdragsgilla uppskjutna skatteskulder avseende uppskjutna skattefordringar som är beroende av framtida lönsamhet och som uppstår till följd av tillfälliga skillnader</w:t>
            </w:r>
          </w:p>
          <w:p w:rsidR="005643EA" w:rsidRPr="00392FFD" w:rsidRDefault="002648B0" w:rsidP="00FD239F">
            <w:pPr>
              <w:pStyle w:val="InstructionsText"/>
            </w:pPr>
            <w:r>
              <w:t>Artikel 38.3, 38.4 och 38.5 i CRR.</w:t>
            </w:r>
          </w:p>
          <w:p w:rsidR="005643EA" w:rsidRPr="00392FFD" w:rsidRDefault="002648B0" w:rsidP="00FD239F">
            <w:pPr>
              <w:pStyle w:val="InstructionsText"/>
            </w:pPr>
            <w:r>
              <w:t>Uppskjutna skatteskulder som kan minska de uppskjutna skattefordrin</w:t>
            </w:r>
            <w:r>
              <w:t>g</w:t>
            </w:r>
            <w:r>
              <w:t>ar som är beroende av framtida lönsamhet i enlighet med artikel 38.3 och 38.4 i CRR och som hänför sig till de uppskjutna skattefordringar som är beroende av framtida lönsamhet och uppstår till följd av temp</w:t>
            </w:r>
            <w:r>
              <w:t>o</w:t>
            </w:r>
            <w:r>
              <w:t>rära skillnader i enlighet med artikel 38.5 i CRR.</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För mycket inbetald skatt och förlustavdrag</w:t>
            </w:r>
          </w:p>
          <w:p w:rsidR="00550113" w:rsidRPr="00392FFD" w:rsidRDefault="00201704" w:rsidP="00FD239F">
            <w:pPr>
              <w:pStyle w:val="InstructionsText"/>
            </w:pPr>
            <w:r>
              <w:t>Artikel 39.1 i CRR</w:t>
            </w:r>
          </w:p>
          <w:p w:rsidR="00550113" w:rsidRPr="00392FFD" w:rsidRDefault="00550113" w:rsidP="00FD239F">
            <w:pPr>
              <w:pStyle w:val="InstructionsText"/>
              <w:rPr>
                <w:rStyle w:val="InstructionsTabelleberschrift"/>
                <w:rFonts w:ascii="Times New Roman" w:hAnsi="Times New Roman"/>
                <w:b w:val="0"/>
                <w:bCs w:val="0"/>
                <w:sz w:val="24"/>
                <w:u w:val="none"/>
              </w:rPr>
            </w:pPr>
            <w:r>
              <w:t>Det belopp av för mycket inbetald skatt och förlustavdrag som inte dras av från kapitalbasen i enlighet med artikel 39.1 i CRR. Det rapporterade beloppet ska vara beloppet före tillämpning av riskvikter.</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Uppskjutna skattefordringar som åsatts riskvikten 250 %</w:t>
            </w:r>
          </w:p>
          <w:p w:rsidR="00DF65DF" w:rsidRPr="00392FFD" w:rsidRDefault="00201704" w:rsidP="00FD239F">
            <w:pPr>
              <w:pStyle w:val="InstructionsText"/>
            </w:pPr>
            <w:r>
              <w:t>Artikel 48.4 i CRR</w:t>
            </w:r>
          </w:p>
          <w:p w:rsidR="00DF65DF" w:rsidRPr="00201704" w:rsidRDefault="00DF65DF" w:rsidP="00FD239F">
            <w:pPr>
              <w:pStyle w:val="InstructionsText"/>
              <w:rPr>
                <w:rStyle w:val="InstructionsTabelleberschrift"/>
                <w:rFonts w:ascii="Times New Roman" w:hAnsi="Times New Roman"/>
                <w:b w:val="0"/>
                <w:bCs w:val="0"/>
                <w:sz w:val="24"/>
                <w:u w:val="none"/>
              </w:rPr>
            </w:pPr>
            <w:r>
              <w:t>Det belopp av uppskjutna skattefordringar som beror på framtida lö</w:t>
            </w:r>
            <w:r>
              <w:t>n</w:t>
            </w:r>
            <w:r>
              <w:lastRenderedPageBreak/>
              <w:t>samhet och som härrör från temporära skillnader som inte dras av i e</w:t>
            </w:r>
            <w:r>
              <w:t>n</w:t>
            </w:r>
            <w:r>
              <w:t>lighet med artikel 48.1 i CRR men som åsätts en riskvikt på 250 % i e</w:t>
            </w:r>
            <w:r>
              <w:t>n</w:t>
            </w:r>
            <w:r>
              <w:t>lighet med artikel 48.4 i CRR, med beaktande av effekten av artikel 470 i CRR. Det rapporterade beloppet ska vara beloppet av uppskjutna ska</w:t>
            </w:r>
            <w:r>
              <w:t>t</w:t>
            </w:r>
            <w:r>
              <w:t>tefordringar före tillämpning av riskvikter.</w:t>
            </w:r>
          </w:p>
        </w:tc>
      </w:tr>
      <w:tr w:rsidR="00DF65DF" w:rsidRPr="00392FFD" w:rsidTr="00672D2A">
        <w:tc>
          <w:tcPr>
            <w:tcW w:w="1506" w:type="dxa"/>
          </w:tcPr>
          <w:p w:rsidR="00DF65DF" w:rsidRPr="00392FFD" w:rsidRDefault="00DF65DF" w:rsidP="00FD239F">
            <w:pPr>
              <w:pStyle w:val="InstructionsText"/>
            </w:pPr>
            <w:r>
              <w:lastRenderedPageBreak/>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Uppskjutna skattefordringar som åsatts riskvikten 0 %</w:t>
            </w:r>
          </w:p>
          <w:p w:rsidR="00DF65DF" w:rsidRPr="00392FFD" w:rsidRDefault="00DF65DF" w:rsidP="00FD239F">
            <w:pPr>
              <w:pStyle w:val="InstructionsText"/>
            </w:pPr>
            <w:r>
              <w:t>Artiklarna 469.1 d, 470, 472.5 och 478 i CRR</w:t>
            </w:r>
          </w:p>
          <w:p w:rsidR="00DF65DF" w:rsidRPr="00201704" w:rsidRDefault="00DF65DF" w:rsidP="00FD239F">
            <w:pPr>
              <w:pStyle w:val="InstructionsText"/>
              <w:rPr>
                <w:rStyle w:val="InstructionsTabelleberschrift"/>
                <w:rFonts w:ascii="Times New Roman" w:hAnsi="Times New Roman"/>
                <w:b w:val="0"/>
                <w:bCs w:val="0"/>
                <w:sz w:val="24"/>
                <w:u w:val="none"/>
              </w:rPr>
            </w:pPr>
            <w:r>
              <w:t>Det belopp av uppskjutna skattefordringar som beror på framtida lö</w:t>
            </w:r>
            <w:r>
              <w:t>n</w:t>
            </w:r>
            <w:r>
              <w:t>samhet och som uppstår till följd av tillfälliga skillnader som inte dras av i enlighet med artiklarna 469.1 d och 470 i CRR men som åsätts en ris</w:t>
            </w:r>
            <w:r>
              <w:t>k</w:t>
            </w:r>
            <w:r>
              <w:t>vikt på 0 % i enlighet med artikel 472.5 i CRR. Det rapporterade belo</w:t>
            </w:r>
            <w:r>
              <w:t>p</w:t>
            </w:r>
            <w:r>
              <w:t>pet ska vara beloppet av uppskjutna skattefordringar före tillämpning av riskvikter.</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Överskott (+) eller underskott (-) i kreditriskjusteringar, y</w:t>
            </w:r>
            <w:r>
              <w:rPr>
                <w:rStyle w:val="InstructionsTabelleberschrift"/>
                <w:rFonts w:ascii="Times New Roman" w:hAnsi="Times New Roman"/>
                <w:sz w:val="24"/>
              </w:rPr>
              <w:t>t</w:t>
            </w:r>
            <w:r>
              <w:rPr>
                <w:rStyle w:val="InstructionsTabelleberschrift"/>
                <w:rFonts w:ascii="Times New Roman" w:hAnsi="Times New Roman"/>
                <w:sz w:val="24"/>
              </w:rPr>
              <w:t>terligare värdejusteringar samt andra reduceringar av kapitalbasen för förväntade förluster för icke fallerade exponeringar (internm</w:t>
            </w:r>
            <w:r>
              <w:rPr>
                <w:rStyle w:val="InstructionsTabelleberschrift"/>
                <w:rFonts w:ascii="Times New Roman" w:hAnsi="Times New Roman"/>
                <w:sz w:val="24"/>
              </w:rPr>
              <w:t>e</w:t>
            </w:r>
            <w:r>
              <w:rPr>
                <w:rStyle w:val="InstructionsTabelleberschrift"/>
                <w:rFonts w:ascii="Times New Roman" w:hAnsi="Times New Roman"/>
                <w:sz w:val="24"/>
              </w:rPr>
              <w:t>tod)</w:t>
            </w:r>
          </w:p>
          <w:p w:rsidR="005643EA" w:rsidRPr="00392FFD" w:rsidRDefault="002648B0" w:rsidP="00FD239F">
            <w:pPr>
              <w:pStyle w:val="InstructionsText"/>
            </w:pPr>
            <w:r>
              <w:t>Artiklarna 36.1 d, 62 d, 158 och 159 i CRR.</w:t>
            </w:r>
          </w:p>
          <w:p w:rsidR="005643EA" w:rsidRPr="00392FFD" w:rsidRDefault="002648B0" w:rsidP="00FD239F">
            <w:pPr>
              <w:pStyle w:val="InstructionsText"/>
            </w:pPr>
            <w:r>
              <w:t>Denna post ska endast rapporteras av institut som tillämpar internmet</w:t>
            </w:r>
            <w:r>
              <w:t>o</w:t>
            </w:r>
            <w:r>
              <w:t>den.</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Sammanlagda kreditriskjusteringar, ytterligare värdejust</w:t>
            </w:r>
            <w:r>
              <w:rPr>
                <w:rStyle w:val="InstructionsTabelleberschrift"/>
                <w:rFonts w:ascii="Times New Roman" w:hAnsi="Times New Roman"/>
                <w:sz w:val="24"/>
              </w:rPr>
              <w:t>e</w:t>
            </w:r>
            <w:r>
              <w:rPr>
                <w:rStyle w:val="InstructionsTabelleberschrift"/>
                <w:rFonts w:ascii="Times New Roman" w:hAnsi="Times New Roman"/>
                <w:sz w:val="24"/>
              </w:rPr>
              <w:t>ringar samt andra reduceringar av kapitalbasen som får inkluderas i beräkningen av det förväntade förlustbeloppet</w:t>
            </w:r>
          </w:p>
          <w:p w:rsidR="005643EA" w:rsidRPr="00392FFD" w:rsidRDefault="002648B0" w:rsidP="00FD239F">
            <w:pPr>
              <w:pStyle w:val="InstructionsText"/>
            </w:pPr>
            <w:r>
              <w:t>Artikel 159 i CRR.</w:t>
            </w:r>
          </w:p>
          <w:p w:rsidR="005643EA" w:rsidRPr="00392FFD" w:rsidRDefault="002648B0" w:rsidP="00FD239F">
            <w:pPr>
              <w:pStyle w:val="InstructionsText"/>
            </w:pPr>
            <w:r>
              <w:t>Denna post ska endast rapporteras av institut som tillämpar internmet</w:t>
            </w:r>
            <w:r>
              <w:t>o</w:t>
            </w:r>
            <w:r>
              <w:t>den.</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Allmänna kreditriskjusteringar</w:t>
            </w:r>
          </w:p>
          <w:p w:rsidR="005643EA" w:rsidRPr="00392FFD" w:rsidRDefault="002648B0" w:rsidP="00FD239F">
            <w:pPr>
              <w:pStyle w:val="InstructionsText"/>
            </w:pPr>
            <w:r>
              <w:t>Artikel 159 i CRR.</w:t>
            </w:r>
          </w:p>
          <w:p w:rsidR="005643EA" w:rsidRPr="00392FFD" w:rsidRDefault="002648B0" w:rsidP="00FD239F">
            <w:pPr>
              <w:pStyle w:val="InstructionsText"/>
            </w:pPr>
            <w:r>
              <w:t>Denna post ska endast rapporteras av institut som tillämpar internmet</w:t>
            </w:r>
            <w:r>
              <w:t>o</w:t>
            </w:r>
            <w:r>
              <w:t>den.</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Specifika kreditriskjusteringar</w:t>
            </w:r>
          </w:p>
          <w:p w:rsidR="005643EA" w:rsidRPr="00392FFD" w:rsidRDefault="002648B0" w:rsidP="00FD239F">
            <w:pPr>
              <w:pStyle w:val="InstructionsText"/>
            </w:pPr>
            <w:r>
              <w:t>Artikel 159 i CRR.</w:t>
            </w:r>
          </w:p>
          <w:p w:rsidR="005643EA" w:rsidRPr="00392FFD" w:rsidRDefault="002648B0" w:rsidP="00FD239F">
            <w:pPr>
              <w:pStyle w:val="InstructionsText"/>
            </w:pPr>
            <w:r>
              <w:t>Denna post ska endast rapporteras av institut som tillämpar internmet</w:t>
            </w:r>
            <w:r>
              <w:t>o</w:t>
            </w:r>
            <w:r>
              <w:t>den.</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Ytterligare värdejusteringar samt andra reduceringar av k</w:t>
            </w:r>
            <w:r>
              <w:rPr>
                <w:rStyle w:val="InstructionsTabelleberschrift"/>
                <w:rFonts w:ascii="Times New Roman" w:hAnsi="Times New Roman"/>
                <w:sz w:val="24"/>
              </w:rPr>
              <w:t>a</w:t>
            </w:r>
            <w:r>
              <w:rPr>
                <w:rStyle w:val="InstructionsTabelleberschrift"/>
                <w:rFonts w:ascii="Times New Roman" w:hAnsi="Times New Roman"/>
                <w:sz w:val="24"/>
              </w:rPr>
              <w:t>pitalbasen</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34, 110 och 159 i CRR.</w:t>
            </w:r>
          </w:p>
          <w:p w:rsidR="005643EA" w:rsidRPr="00201704" w:rsidRDefault="002648B0" w:rsidP="00FD239F">
            <w:pPr>
              <w:pStyle w:val="InstructionsText"/>
              <w:rPr>
                <w:rStyle w:val="InstructionsTabelleberschrift"/>
                <w:rFonts w:ascii="Times New Roman" w:hAnsi="Times New Roman"/>
                <w:b w:val="0"/>
                <w:bCs w:val="0"/>
                <w:sz w:val="24"/>
                <w:u w:val="none"/>
              </w:rPr>
            </w:pPr>
            <w:r>
              <w:t>Denna post ska endast rapporteras av institut som tillämpar internmet</w:t>
            </w:r>
            <w:r>
              <w:t>o</w:t>
            </w:r>
            <w:r>
              <w:t>den.</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Summa förväntade förluster som får inkluderas </w:t>
            </w:r>
          </w:p>
          <w:p w:rsidR="005643EA" w:rsidRPr="00392FFD" w:rsidRDefault="002648B0" w:rsidP="00FD239F">
            <w:pPr>
              <w:pStyle w:val="InstructionsText"/>
            </w:pPr>
            <w:r>
              <w:t>Artikel 158.5, 158.6 och 158.10 och artikel 159 i CRR.</w:t>
            </w:r>
          </w:p>
          <w:p w:rsidR="005643EA" w:rsidRPr="00392FFD" w:rsidRDefault="00F11185" w:rsidP="00FD239F">
            <w:pPr>
              <w:pStyle w:val="InstructionsText"/>
            </w:pPr>
            <w:r>
              <w:lastRenderedPageBreak/>
              <w:t>Denna post ska endast rapporteras av institut som tillämpar internmet</w:t>
            </w:r>
            <w:r>
              <w:t>o</w:t>
            </w:r>
            <w:r>
              <w:t>den. Det är bara den förväntade förlusten i samband med icke fallerade exponeringar som ska rapporteras.</w:t>
            </w:r>
          </w:p>
        </w:tc>
      </w:tr>
      <w:tr w:rsidR="00F11185" w:rsidRPr="00392FFD" w:rsidTr="00672D2A">
        <w:tc>
          <w:tcPr>
            <w:tcW w:w="1506" w:type="dxa"/>
          </w:tcPr>
          <w:p w:rsidR="00F11185" w:rsidRPr="00392FFD" w:rsidRDefault="00F11185" w:rsidP="00FD239F">
            <w:pPr>
              <w:pStyle w:val="InstructionsText"/>
            </w:pPr>
            <w:r>
              <w:lastRenderedPageBreak/>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Överskott (+) eller underskott (-) i specifika kreditriskjusteringar för förväntade förluster för fallerade exponeringar (internmetod)</w:t>
            </w:r>
          </w:p>
          <w:p w:rsidR="005643EA" w:rsidRPr="00392FFD" w:rsidRDefault="00630711" w:rsidP="00FD239F">
            <w:pPr>
              <w:pStyle w:val="InstructionsText"/>
            </w:pPr>
            <w:r>
              <w:t>Artiklarna 36.1 d, 62 d, 158 och 159 i CRR.</w:t>
            </w:r>
          </w:p>
          <w:p w:rsidR="005643EA" w:rsidRPr="00201704" w:rsidRDefault="00630711" w:rsidP="00FD239F">
            <w:pPr>
              <w:pStyle w:val="InstructionsText"/>
              <w:rPr>
                <w:rStyle w:val="InstructionsTabelleberschrift"/>
                <w:rFonts w:ascii="Times New Roman" w:hAnsi="Times New Roman"/>
                <w:b w:val="0"/>
                <w:bCs w:val="0"/>
                <w:sz w:val="24"/>
                <w:u w:val="none"/>
              </w:rPr>
            </w:pPr>
            <w:r>
              <w:t>Denna post ska endast rapporteras av institut som tillämpar internmet</w:t>
            </w:r>
            <w:r>
              <w:t>o</w:t>
            </w:r>
            <w:r>
              <w:t>den.</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Specifika kreditriskjusteringar och positioner som behandlas på motsvarande sätt</w:t>
            </w:r>
          </w:p>
          <w:p w:rsidR="005643EA" w:rsidRPr="00392FFD" w:rsidRDefault="00630711" w:rsidP="00FD239F">
            <w:pPr>
              <w:pStyle w:val="InstructionsText"/>
            </w:pPr>
            <w:r>
              <w:t>Artikel 159 i CRR.</w:t>
            </w:r>
          </w:p>
          <w:p w:rsidR="005643EA" w:rsidRPr="00201704" w:rsidRDefault="00630711" w:rsidP="00FD239F">
            <w:pPr>
              <w:pStyle w:val="InstructionsText"/>
              <w:rPr>
                <w:rStyle w:val="InstructionsTabelleberschrift"/>
                <w:rFonts w:ascii="Times New Roman" w:hAnsi="Times New Roman"/>
                <w:b w:val="0"/>
                <w:bCs w:val="0"/>
                <w:sz w:val="24"/>
                <w:u w:val="none"/>
              </w:rPr>
            </w:pPr>
            <w:r>
              <w:t>Denna post ska endast rapporteras av institut som tillämpar internmet</w:t>
            </w:r>
            <w:r>
              <w:t>o</w:t>
            </w:r>
            <w:r>
              <w:t>den.</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Summa förväntade förluster som får inkluderas</w:t>
            </w:r>
          </w:p>
          <w:p w:rsidR="005643EA" w:rsidRPr="00392FFD" w:rsidRDefault="00630711" w:rsidP="00FD239F">
            <w:pPr>
              <w:pStyle w:val="InstructionsText"/>
              <w:rPr>
                <w:rStyle w:val="InstructionsTabelleberschrift"/>
                <w:rFonts w:ascii="Times New Roman" w:hAnsi="Times New Roman"/>
                <w:sz w:val="24"/>
              </w:rPr>
            </w:pPr>
            <w:r>
              <w:t>Artikel 158.5, 158.6 och 158.10 och artikel 159 i CRR.</w:t>
            </w:r>
          </w:p>
          <w:p w:rsidR="005643EA" w:rsidRPr="00201704" w:rsidRDefault="00F11185" w:rsidP="00FD239F">
            <w:pPr>
              <w:pStyle w:val="InstructionsText"/>
              <w:rPr>
                <w:rStyle w:val="InstructionsTabelleberschrift"/>
                <w:rFonts w:ascii="Times New Roman" w:hAnsi="Times New Roman"/>
                <w:b w:val="0"/>
                <w:bCs w:val="0"/>
                <w:sz w:val="24"/>
                <w:u w:val="none"/>
              </w:rPr>
            </w:pPr>
            <w:r>
              <w:t>Denna post ska endast rapporteras av institut som tillämpar internmet</w:t>
            </w:r>
            <w:r>
              <w:t>o</w:t>
            </w:r>
            <w:r>
              <w:t>den. Det är bara den förväntade förlusten i samband med fallerade exp</w:t>
            </w:r>
            <w:r>
              <w:t>o</w:t>
            </w:r>
            <w:r>
              <w:t>neringar som ska rapporteras.</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Riskvägda exponeringsbelopp för beräkning av taket för det överskott i avsättningar som får räknas som supplementärkapital</w:t>
            </w:r>
          </w:p>
          <w:p w:rsidR="005643EA" w:rsidRPr="00392FFD" w:rsidRDefault="002648B0" w:rsidP="00FD239F">
            <w:pPr>
              <w:pStyle w:val="InstructionsText"/>
            </w:pPr>
            <w:r>
              <w:t>Artikel 62 d i CRR.</w:t>
            </w:r>
          </w:p>
          <w:p w:rsidR="005643EA" w:rsidRPr="00392FFD" w:rsidRDefault="002648B0" w:rsidP="00FD239F">
            <w:pPr>
              <w:pStyle w:val="InstructionsText"/>
            </w:pPr>
            <w:r>
              <w:t>För institut som använder internmetoden får de överskjutande avsät</w:t>
            </w:r>
            <w:r>
              <w:t>t</w:t>
            </w:r>
            <w:r>
              <w:t>ningar (till förväntade förluster) som får räknas in i supplementärkap</w:t>
            </w:r>
            <w:r>
              <w:t>i</w:t>
            </w:r>
            <w:r>
              <w:t>talet i enlighet med artikel 62 d i CRR uppgå till högst 0,6 % av de ris</w:t>
            </w:r>
            <w:r>
              <w:t>k</w:t>
            </w:r>
            <w:r>
              <w:t>vägda exponeringsbelopp som beräknats enligt internmetoden.</w:t>
            </w:r>
          </w:p>
          <w:p w:rsidR="005643EA" w:rsidRPr="00392FFD" w:rsidRDefault="002648B0" w:rsidP="00FD239F">
            <w:pPr>
              <w:pStyle w:val="InstructionsText"/>
            </w:pPr>
            <w:r>
              <w:t>Det belopp som ska rapporteras i denna post är de riskvägda expon</w:t>
            </w:r>
            <w:r>
              <w:t>e</w:t>
            </w:r>
            <w:r>
              <w:t>ringsbelopp (dvs. inte multiplicerade med 0,6 %) som ligger till grund för beräkningen av taket.</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Sammanlagda bruttoavsättningar som får räknas som su</w:t>
            </w:r>
            <w:r>
              <w:rPr>
                <w:rStyle w:val="InstructionsTabelleberschrift"/>
                <w:rFonts w:ascii="Times New Roman" w:hAnsi="Times New Roman"/>
                <w:sz w:val="24"/>
              </w:rPr>
              <w:t>p</w:t>
            </w:r>
            <w:r>
              <w:rPr>
                <w:rStyle w:val="InstructionsTabelleberschrift"/>
                <w:rFonts w:ascii="Times New Roman" w:hAnsi="Times New Roman"/>
                <w:sz w:val="24"/>
              </w:rPr>
              <w:t>plementärkapital</w:t>
            </w:r>
          </w:p>
          <w:p w:rsidR="005643EA" w:rsidRPr="00392FFD" w:rsidRDefault="002648B0" w:rsidP="00FD239F">
            <w:pPr>
              <w:pStyle w:val="InstructionsText"/>
            </w:pPr>
            <w:r>
              <w:t>Artikel 62 c i CRR.</w:t>
            </w:r>
          </w:p>
          <w:p w:rsidR="005643EA" w:rsidRPr="00392FFD" w:rsidRDefault="002648B0" w:rsidP="00FD239F">
            <w:pPr>
              <w:pStyle w:val="InstructionsText"/>
            </w:pPr>
            <w:r>
              <w:t>Denna post innefattar de allmänna kreditriskjusteringar som får inräknas i supplementärkapitalet före tillämpning av taket.</w:t>
            </w:r>
          </w:p>
          <w:p w:rsidR="005643EA" w:rsidRPr="00392FFD" w:rsidRDefault="002648B0" w:rsidP="00FD239F">
            <w:pPr>
              <w:pStyle w:val="InstructionsText"/>
            </w:pPr>
            <w:r>
              <w:t>Beloppet ska rapporteras brutto exklusive skatteeffekter.</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Riskvägda exponeringsbelopp för beräkning av taket för a</w:t>
            </w:r>
            <w:r>
              <w:rPr>
                <w:rStyle w:val="InstructionsTabelleberschrift"/>
                <w:rFonts w:ascii="Times New Roman" w:hAnsi="Times New Roman"/>
                <w:sz w:val="24"/>
              </w:rPr>
              <w:t>v</w:t>
            </w:r>
            <w:r>
              <w:rPr>
                <w:rStyle w:val="InstructionsTabelleberschrift"/>
                <w:rFonts w:ascii="Times New Roman" w:hAnsi="Times New Roman"/>
                <w:sz w:val="24"/>
              </w:rPr>
              <w:t>sättningar som får räknas som supplementärkapital</w:t>
            </w:r>
          </w:p>
          <w:p w:rsidR="005643EA" w:rsidRPr="00392FFD" w:rsidRDefault="002648B0" w:rsidP="00FD239F">
            <w:pPr>
              <w:pStyle w:val="InstructionsText"/>
            </w:pPr>
            <w:r>
              <w:t>Artikel 62 c i CRR.</w:t>
            </w:r>
          </w:p>
          <w:p w:rsidR="005643EA" w:rsidRPr="00392FFD" w:rsidRDefault="002648B0" w:rsidP="00FD239F">
            <w:pPr>
              <w:pStyle w:val="InstructionsText"/>
            </w:pPr>
            <w:r>
              <w:t>Enligt artikel 62 c i CRR får de kreditriskjusteringar som räknas in i supplementärkapitalet uppgå till högst 1,25 % av de riskvägda expon</w:t>
            </w:r>
            <w:r>
              <w:t>e</w:t>
            </w:r>
            <w:r>
              <w:t>ringsbeloppen.</w:t>
            </w:r>
          </w:p>
          <w:p w:rsidR="005643EA" w:rsidRPr="00392FFD" w:rsidRDefault="002648B0" w:rsidP="00FD239F">
            <w:pPr>
              <w:pStyle w:val="InstructionsText"/>
            </w:pPr>
            <w:r>
              <w:t>Det belopp som ska rapporteras i denna post är de riskvägda expon</w:t>
            </w:r>
            <w:r>
              <w:t>e</w:t>
            </w:r>
            <w:r>
              <w:lastRenderedPageBreak/>
              <w:t>ringsbelopp (dvs. inte multiplicerade med 1,25 %) som ligger till grund för beräkningen av taket.</w:t>
            </w:r>
          </w:p>
        </w:tc>
      </w:tr>
      <w:tr w:rsidR="002648B0" w:rsidRPr="00392FFD" w:rsidTr="00672D2A">
        <w:tc>
          <w:tcPr>
            <w:tcW w:w="1506" w:type="dxa"/>
          </w:tcPr>
          <w:p w:rsidR="002648B0" w:rsidRPr="00392FFD" w:rsidRDefault="002648B0" w:rsidP="00FD239F">
            <w:pPr>
              <w:pStyle w:val="InstructionsText"/>
            </w:pPr>
            <w:r>
              <w:lastRenderedPageBreak/>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Tröskelvärde för icke avdragsgilla innehav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pPr>
            <w:r>
              <w:t>Artikel 46.1 a i CRR.</w:t>
            </w:r>
          </w:p>
          <w:p w:rsidR="005643EA" w:rsidRPr="00392FFD" w:rsidRDefault="002648B0" w:rsidP="00FD239F">
            <w:pPr>
              <w:pStyle w:val="InstructionsText"/>
            </w:pPr>
            <w:r>
              <w:t>Denna post innehåller det tröskelvärde upp till vilket ett institut inte får dra av innehav i en enhet i den finansiella sektorn i vilken institutet inte har ett väsentligt innehav. Beloppet utgörs av summan av alla de poster som ligger till grund för tröskelvärdet multiplicerad med 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Övre gräns på 10 % av kärnprimärkapitalet </w:t>
            </w:r>
          </w:p>
          <w:p w:rsidR="005643EA" w:rsidRPr="00392FFD" w:rsidRDefault="002648B0" w:rsidP="00FD239F">
            <w:pPr>
              <w:pStyle w:val="InstructionsText"/>
            </w:pPr>
            <w:r>
              <w:t>Artikel 48.1 a och b i CRR.</w:t>
            </w:r>
          </w:p>
          <w:p w:rsidR="005643EA" w:rsidRPr="00392FFD" w:rsidRDefault="002648B0" w:rsidP="00FD239F">
            <w:pPr>
              <w:pStyle w:val="InstructionsText"/>
            </w:pPr>
            <w:r>
              <w:t>Denna post innehåller en övre gräns på 10 % för innehav i enheter i den finansiella sektorn i vilka ett institut har ett väsentligt innehav och för uppskjutna skattefordringar som är beroende av framtida lönsamhet och uppstår till följd av temporära skillnader.</w:t>
            </w:r>
          </w:p>
          <w:p w:rsidR="005643EA" w:rsidRPr="00392FFD" w:rsidRDefault="003C7853" w:rsidP="00FD239F">
            <w:pPr>
              <w:pStyle w:val="InstructionsText"/>
            </w:pPr>
            <w:r>
              <w:t>Beloppet utgörs av summan av alla de poster som ligger till grund för tröskelvärdet multiplicerad med 10 %.</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Övre gräns på 17,65 % av kärnprimärkapitalet </w:t>
            </w:r>
          </w:p>
          <w:p w:rsidR="005643EA" w:rsidRPr="00392FFD" w:rsidRDefault="002648B0" w:rsidP="00FD239F">
            <w:pPr>
              <w:pStyle w:val="InstructionsText"/>
            </w:pPr>
            <w:r>
              <w:t>Artikel 48.1 i CRR.</w:t>
            </w:r>
          </w:p>
          <w:p w:rsidR="005643EA" w:rsidRPr="00392FFD" w:rsidRDefault="002648B0" w:rsidP="00FD239F">
            <w:pPr>
              <w:pStyle w:val="InstructionsText"/>
            </w:pPr>
            <w:r>
              <w:t>Denna post innehåller en övre gräns på 17,65 % för innehav i enheter i den finansiella sektorn i vilka ett institut har ett väsentligt innehav och för uppskjutna skattefordringar som är beroende av framtida lönsamhet och uppstår till följd av temporära skillnader. Femtonprocentsgränsen ska tillämpas efter tioprocentsgränsen.</w:t>
            </w:r>
          </w:p>
          <w:p w:rsidR="005643EA" w:rsidRPr="00392FFD" w:rsidRDefault="002648B0" w:rsidP="00FD239F">
            <w:pPr>
              <w:pStyle w:val="InstructionsText"/>
            </w:pPr>
            <w:r>
              <w:t>Gränsvärdet beräknas på följande sätt: Beloppet från de två posterna godtas om det utgör högst 15 % av det slutliga kärnprimärkapitalet, dvs. kärnprimärkapitalet beräknat efter alla avdrag, exklusive justeringar på grund av övergångsbestämmelser.</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Godtagbart för kvalificerade innehav utanför finanssektorn</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Artikel 4.1.71 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Godtagbart kapital för stora exponeringar</w:t>
            </w:r>
          </w:p>
          <w:p w:rsidR="00216D67" w:rsidRPr="00201704" w:rsidRDefault="00216D67" w:rsidP="00FD239F">
            <w:pPr>
              <w:pStyle w:val="InstructionsText"/>
              <w:rPr>
                <w:rStyle w:val="InstructionsTabelleberschrift"/>
                <w:rFonts w:ascii="Times New Roman" w:hAnsi="Times New Roman"/>
                <w:b w:val="0"/>
                <w:bCs w:val="0"/>
                <w:sz w:val="24"/>
                <w:u w:val="none"/>
              </w:rPr>
            </w:pPr>
            <w:r>
              <w:t>Artikel 4.1.71 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Innehav av kärnprimärkapitalinstrument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 netto efter korta positioner</w:t>
            </w:r>
          </w:p>
          <w:p w:rsidR="005643EA" w:rsidRPr="00392FFD" w:rsidRDefault="002648B0" w:rsidP="00FD239F">
            <w:pPr>
              <w:pStyle w:val="InstructionsText"/>
            </w:pPr>
            <w:r>
              <w:t>Artiklarna 44–46 och 49 i CRR.</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Direkta innehav av kärnprimärkapital i enheter inom finan</w:t>
            </w:r>
            <w:r>
              <w:rPr>
                <w:rStyle w:val="InstructionsTabelleberschrift"/>
                <w:rFonts w:ascii="Times New Roman" w:hAnsi="Times New Roman"/>
                <w:sz w:val="24"/>
              </w:rPr>
              <w:t>s</w:t>
            </w:r>
            <w:r>
              <w:rPr>
                <w:rStyle w:val="InstructionsTabelleberschrift"/>
                <w:rFonts w:ascii="Times New Roman" w:hAnsi="Times New Roman"/>
                <w:sz w:val="24"/>
              </w:rPr>
              <w:t>sektorn där institutet inte har ett väsentligt innehav</w:t>
            </w:r>
          </w:p>
          <w:p w:rsidR="005643EA" w:rsidRPr="00392FFD" w:rsidRDefault="002648B0" w:rsidP="00FD239F">
            <w:pPr>
              <w:pStyle w:val="InstructionsText"/>
            </w:pPr>
            <w:r>
              <w:t>Artiklarna 44, 45, 46 och 49 i CRR.</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Direkta innehav brutto av kärnprimärkapital i enheter inom finanssektorn där institutet inte har ett väsentligt innehav</w:t>
            </w:r>
          </w:p>
          <w:p w:rsidR="005643EA" w:rsidRPr="00392FFD" w:rsidRDefault="002648B0" w:rsidP="00FD239F">
            <w:pPr>
              <w:pStyle w:val="InstructionsText"/>
            </w:pPr>
            <w:r>
              <w:lastRenderedPageBreak/>
              <w:t>Artiklarna 44, 46 och 49 i CRR.</w:t>
            </w:r>
          </w:p>
          <w:p w:rsidR="005643EA" w:rsidRPr="00392FFD" w:rsidRDefault="002648B0" w:rsidP="00FD239F">
            <w:pPr>
              <w:pStyle w:val="InstructionsText"/>
            </w:pPr>
            <w:r>
              <w:t>Direkta innehav av kärnprimärkapital i enheter i den finansiella sektorn i vilka institutet inte har något väsentligt innehav, med undantag av</w:t>
            </w:r>
          </w:p>
          <w:p w:rsidR="005643EA" w:rsidRPr="00392FFD" w:rsidRDefault="002648B0" w:rsidP="00FD239F">
            <w:pPr>
              <w:pStyle w:val="InstructionsText"/>
            </w:pPr>
            <w:r>
              <w:t>a)</w:t>
            </w:r>
            <w:r>
              <w:tab/>
              <w:t>emissionsgarantipositioner som innehas i fem eller färre arbet</w:t>
            </w:r>
            <w:r>
              <w:t>s</w:t>
            </w:r>
            <w:r>
              <w:t xml:space="preserve">dagar, </w:t>
            </w:r>
          </w:p>
          <w:p w:rsidR="005643EA" w:rsidRPr="00392FFD" w:rsidRDefault="002648B0" w:rsidP="00FD239F">
            <w:pPr>
              <w:pStyle w:val="InstructionsText"/>
            </w:pPr>
            <w:r>
              <w:t>b)</w:t>
            </w:r>
            <w:r>
              <w:tab/>
              <w:t xml:space="preserve">de belopp som rör innehav för vilka något av alternativen i artikel 49 är tillämpligt, och </w:t>
            </w:r>
          </w:p>
          <w:p w:rsidR="005643EA" w:rsidRPr="00392FFD" w:rsidRDefault="002648B0" w:rsidP="00FD239F">
            <w:pPr>
              <w:pStyle w:val="InstructionsText"/>
            </w:pPr>
            <w:r>
              <w:t>c)</w:t>
            </w:r>
            <w:r>
              <w:tab/>
              <w:t>innehav som behandlas som ömsesidigt korsägande i enlighet med artikel 36.1 g i CRR.</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45 i CRR.</w:t>
            </w:r>
          </w:p>
          <w:p w:rsidR="005643EA" w:rsidRPr="00392FFD" w:rsidRDefault="002648B0" w:rsidP="00FD239F">
            <w:pPr>
              <w:pStyle w:val="InstructionsText"/>
            </w:pPr>
            <w:r>
              <w:t>Artikel 45 i CRR medger motstående korta positioner i samma underli</w:t>
            </w:r>
            <w:r>
              <w:t>g</w:t>
            </w:r>
            <w:r>
              <w:t>gande värdepapper förutsatt att löptiden för de korta positionerna mot</w:t>
            </w:r>
            <w:r>
              <w:t>s</w:t>
            </w:r>
            <w:r>
              <w:t>varar löptiden för de långa positionerna eller har en återstående löptid på minst ett år.</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Indirekta innehav av kärnprimärkapital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pPr>
            <w:r>
              <w:t>Artiklarna 4.1.114, 44 och 45 i CRR.</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Indirekta innehav brutto av kärnprimärkapital i enheter inom finanssektorn där institutet inte har ett väsentligt innehav</w:t>
            </w:r>
          </w:p>
          <w:p w:rsidR="005643EA" w:rsidRPr="00392FFD" w:rsidRDefault="002648B0" w:rsidP="00FD239F">
            <w:pPr>
              <w:pStyle w:val="InstructionsText"/>
            </w:pPr>
            <w:r>
              <w:t>Artiklarna 4.1.114, 44 och 45 i CRR.</w:t>
            </w:r>
          </w:p>
          <w:p w:rsidR="005643EA" w:rsidRPr="00392FFD" w:rsidRDefault="002648B0" w:rsidP="00FD239F">
            <w:pPr>
              <w:pStyle w:val="InstructionsText"/>
            </w:pPr>
            <w:r>
              <w:t>Det belopp som ska rapporteras är de indirekta innehaven i handelsr</w:t>
            </w:r>
            <w:r>
              <w:t>e</w:t>
            </w:r>
            <w:r>
              <w:t>gistret av kapitalinstrument i form av innehav av indexvärdepapper i e</w:t>
            </w:r>
            <w:r>
              <w:t>n</w:t>
            </w:r>
            <w:r>
              <w:t>heter i den finansiella sektorn. Beloppet erhålls genom att man beräknar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36.1 g i CRR ska inte ingå.</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Tillåten avräkning av korta positioner i förhållande till de indirekta bruttoinnehav som inkluderas ovan</w:t>
            </w:r>
          </w:p>
          <w:p w:rsidR="005643EA" w:rsidRPr="00392FFD" w:rsidRDefault="002648B0" w:rsidP="00FD239F">
            <w:pPr>
              <w:pStyle w:val="InstructionsText"/>
            </w:pPr>
            <w:r>
              <w:t>Artiklarna 4.1.114 och 45 i CRR</w:t>
            </w:r>
          </w:p>
          <w:p w:rsidR="005643EA" w:rsidRPr="00392FFD" w:rsidRDefault="002648B0" w:rsidP="00FD239F">
            <w:pPr>
              <w:pStyle w:val="InstructionsText"/>
            </w:pPr>
            <w:r>
              <w:t>Artikel 45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Syntetiska innehav av kärnprimärkapital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4.1.126, 44 och 45 i CRR.</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Syntetiska innehav brutto av kärnprimärkapital i enheter inom finanssektorn där institutet inte har ett väsentligt innehav</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Artiklarna 4.1.126, 44 och 45 i CRR.</w:t>
            </w:r>
          </w:p>
        </w:tc>
      </w:tr>
      <w:tr w:rsidR="002648B0" w:rsidRPr="00392FFD" w:rsidTr="00672D2A">
        <w:tc>
          <w:tcPr>
            <w:tcW w:w="1506" w:type="dxa"/>
          </w:tcPr>
          <w:p w:rsidR="005643EA" w:rsidRPr="00392FFD" w:rsidRDefault="002648B0" w:rsidP="00FD239F">
            <w:pPr>
              <w:pStyle w:val="InstructionsText"/>
            </w:pPr>
            <w:r>
              <w:lastRenderedPageBreak/>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4.1.126 och 45 i CRR</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Innehav av primärkapital i enheter inom finanssektorn där institutet inte har ett väsentligt innehav, netto efter korta positioner</w:t>
            </w:r>
          </w:p>
          <w:p w:rsidR="005643EA" w:rsidRPr="00392FFD" w:rsidRDefault="002648B0" w:rsidP="00FD239F">
            <w:pPr>
              <w:pStyle w:val="InstructionsText"/>
            </w:pPr>
            <w:r>
              <w:t>Artiklarna 58–60 i CRR.</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Direkta innehav av primärkapitaltillskott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pPr>
            <w:r>
              <w:t>Artiklarna 58, 59 och 60.2 i CRR.</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Direkta innehav brutto av primärkapitaltillskott i enheter inom finanssektorn där institutet inte har ett väsentligt innehav</w:t>
            </w:r>
          </w:p>
          <w:p w:rsidR="005643EA" w:rsidRPr="00392FFD" w:rsidRDefault="002648B0" w:rsidP="00FD239F">
            <w:pPr>
              <w:pStyle w:val="InstructionsText"/>
            </w:pPr>
            <w:r>
              <w:t>Artiklarna 58 och 60.2 i CRR.</w:t>
            </w:r>
          </w:p>
          <w:p w:rsidR="005643EA" w:rsidRPr="00392FFD" w:rsidRDefault="002648B0" w:rsidP="00FD239F">
            <w:pPr>
              <w:pStyle w:val="InstructionsText"/>
            </w:pPr>
            <w:r>
              <w:t>Direkta innehav av primärkapitaltillskott i enheter i den finansiella se</w:t>
            </w:r>
            <w:r>
              <w:t>k</w:t>
            </w:r>
            <w:r>
              <w:t>torn i vilka institutet inte har något väsentligt innehav, med undantag av</w:t>
            </w:r>
          </w:p>
          <w:p w:rsidR="005643EA" w:rsidRPr="00392FFD" w:rsidRDefault="002648B0" w:rsidP="00FD239F">
            <w:pPr>
              <w:pStyle w:val="InstructionsText"/>
            </w:pPr>
            <w:r>
              <w:t>a)</w:t>
            </w:r>
            <w:r>
              <w:tab/>
              <w:t>emissionsgarantipositioner som innehas i fem eller färre arbet</w:t>
            </w:r>
            <w:r>
              <w:t>s</w:t>
            </w:r>
            <w:r>
              <w:t xml:space="preserve">dagar, och </w:t>
            </w:r>
          </w:p>
          <w:p w:rsidR="005643EA" w:rsidRPr="00392FFD" w:rsidRDefault="002648B0" w:rsidP="00FD239F">
            <w:pPr>
              <w:pStyle w:val="InstructionsText"/>
            </w:pPr>
            <w:r>
              <w:t>b)</w:t>
            </w:r>
            <w:r>
              <w:tab/>
              <w:t>innehav som behandlas som ömsesidigt korsägande i enlighet med artikel 56 b i CRR.</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59 i CRR.</w:t>
            </w:r>
          </w:p>
          <w:p w:rsidR="005643EA" w:rsidRPr="00392FFD" w:rsidRDefault="002648B0" w:rsidP="00FD239F">
            <w:pPr>
              <w:pStyle w:val="InstructionsText"/>
            </w:pPr>
            <w:r>
              <w:t>Artikel 59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Indirekta innehav av primärkapitaltillskott i enheter inom finanssektorn där institutet inte har ett väsentligt innehav</w:t>
            </w:r>
          </w:p>
          <w:p w:rsidR="005643EA" w:rsidRPr="00392FFD" w:rsidRDefault="002648B0" w:rsidP="00FD239F">
            <w:pPr>
              <w:pStyle w:val="InstructionsText"/>
            </w:pPr>
            <w:r>
              <w:t>Artiklarna 4.1.114, 58 och 59 i CRR.</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Indirekta innehav brutto av primärkapitaltillskott i enheter inom finanssektorn där institutet inte har ett väsentligt innehav</w:t>
            </w:r>
          </w:p>
          <w:p w:rsidR="005643EA" w:rsidRPr="00392FFD" w:rsidRDefault="002648B0" w:rsidP="00FD239F">
            <w:pPr>
              <w:pStyle w:val="InstructionsText"/>
            </w:pPr>
            <w:r>
              <w:t>Artiklarna 4.1.114, 58 och 59 i CRR.</w:t>
            </w:r>
          </w:p>
          <w:p w:rsidR="005643EA" w:rsidRPr="00392FFD" w:rsidRDefault="002648B0" w:rsidP="00FD239F">
            <w:pPr>
              <w:pStyle w:val="InstructionsText"/>
            </w:pPr>
            <w:r>
              <w:t>Det belopp som ska rapporteras är de indirekta innehaven i handelsr</w:t>
            </w:r>
            <w:r>
              <w:t>e</w:t>
            </w:r>
            <w:r>
              <w:t>gistret av kapitalinstrument i form av innehav av indexvärdepapper i e</w:t>
            </w:r>
            <w:r>
              <w:t>n</w:t>
            </w:r>
            <w:r>
              <w:t>heter i den finansiella sektorn. Beloppet erhålls genom att man beräknar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56 b i CRR ska inte ingå.</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xml:space="preserve">(-) Tillåten avräkning av korta positioner i förhållande till de </w:t>
            </w:r>
            <w:r>
              <w:rPr>
                <w:rStyle w:val="InstructionsTabelleberschrift"/>
                <w:rFonts w:ascii="Times New Roman" w:hAnsi="Times New Roman"/>
                <w:sz w:val="24"/>
              </w:rPr>
              <w:lastRenderedPageBreak/>
              <w:t>indirekta bruttoinnehav som inkluderas ovan</w:t>
            </w:r>
          </w:p>
          <w:p w:rsidR="005643EA" w:rsidRPr="00392FFD" w:rsidRDefault="002648B0" w:rsidP="00FD239F">
            <w:pPr>
              <w:pStyle w:val="InstructionsText"/>
            </w:pPr>
            <w:r>
              <w:t>Artiklarna 4.1.114 och 59 i CRR</w:t>
            </w:r>
          </w:p>
          <w:p w:rsidR="005643EA" w:rsidRPr="00392FFD" w:rsidRDefault="002648B0" w:rsidP="00FD239F">
            <w:pPr>
              <w:pStyle w:val="InstructionsText"/>
            </w:pPr>
            <w:r>
              <w:t>Artikel 59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lastRenderedPageBreak/>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Syntetiska innehav av primärkapitaltillskott i enheter inom finanssektorn där institutet inte har ett väsentligt innehav</w:t>
            </w:r>
          </w:p>
          <w:p w:rsidR="005643EA" w:rsidRPr="00201704" w:rsidRDefault="002648B0" w:rsidP="00FD239F">
            <w:pPr>
              <w:pStyle w:val="InstructionsText"/>
              <w:rPr>
                <w:rStyle w:val="InstructionsTabelleberschrift"/>
                <w:rFonts w:ascii="Times New Roman" w:hAnsi="Times New Roman"/>
                <w:b w:val="0"/>
                <w:bCs w:val="0"/>
                <w:sz w:val="24"/>
                <w:u w:val="none"/>
              </w:rPr>
            </w:pPr>
            <w:r>
              <w:t>Artiklarna 4.1.126, 58 och 59 i CRR.</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Syntetiska innehav brutto av primärkapitaltillskott i enheter inom finanssektorn där institutet inte har ett väsentligt innehav</w:t>
            </w:r>
          </w:p>
          <w:p w:rsidR="005643EA" w:rsidRPr="00201704" w:rsidRDefault="002648B0" w:rsidP="00FD239F">
            <w:pPr>
              <w:pStyle w:val="InstructionsText"/>
              <w:rPr>
                <w:rStyle w:val="InstructionsTabelleberschrift"/>
                <w:rFonts w:ascii="Times New Roman" w:hAnsi="Times New Roman"/>
                <w:b w:val="0"/>
                <w:bCs w:val="0"/>
                <w:sz w:val="24"/>
                <w:u w:val="none"/>
              </w:rPr>
            </w:pPr>
            <w:r>
              <w:t>Artiklarna 4.1.126, 58 och 59 i CRR.</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201704" w:rsidRDefault="002648B0" w:rsidP="00FD239F">
            <w:pPr>
              <w:pStyle w:val="InstructionsText"/>
              <w:rPr>
                <w:rStyle w:val="InstructionsTabelleberschrift"/>
                <w:rFonts w:ascii="Times New Roman" w:hAnsi="Times New Roman"/>
                <w:b w:val="0"/>
                <w:bCs w:val="0"/>
                <w:sz w:val="24"/>
                <w:u w:val="none"/>
              </w:rPr>
            </w:pPr>
            <w:r>
              <w:t>Artiklarna 4.1.126 och 59 i CRR</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Innehav av supplementärkapital i enheter inom finansse</w:t>
            </w:r>
            <w:r>
              <w:rPr>
                <w:rStyle w:val="InstructionsTabelleberschrift"/>
                <w:rFonts w:ascii="Times New Roman" w:hAnsi="Times New Roman"/>
                <w:sz w:val="24"/>
              </w:rPr>
              <w:t>k</w:t>
            </w:r>
            <w:r>
              <w:rPr>
                <w:rStyle w:val="InstructionsTabelleberschrift"/>
                <w:rFonts w:ascii="Times New Roman" w:hAnsi="Times New Roman"/>
                <w:sz w:val="24"/>
              </w:rPr>
              <w:t>torn där institutet inte har ett väsentligt innehav, netto efter korta positioner</w:t>
            </w:r>
          </w:p>
          <w:p w:rsidR="005643EA" w:rsidRPr="00392FFD" w:rsidRDefault="002648B0" w:rsidP="00FD239F">
            <w:pPr>
              <w:pStyle w:val="InstructionsText"/>
            </w:pPr>
            <w:r>
              <w:t>Artiklarna 68–70 i CRR.</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pPr>
            <w:r>
              <w:t>Artiklarna 68, 69 och 70.2 i CRR.</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Direkta innehav brutto av supplementärkapital i enheter inom finanssektorn där institutet inte har ett väsentligt innehav</w:t>
            </w:r>
          </w:p>
          <w:p w:rsidR="005643EA" w:rsidRPr="00392FFD" w:rsidRDefault="002648B0" w:rsidP="00FD239F">
            <w:pPr>
              <w:pStyle w:val="InstructionsText"/>
            </w:pPr>
            <w:r>
              <w:t>Artiklarna 68 och 70.2 i CRR.</w:t>
            </w:r>
          </w:p>
          <w:p w:rsidR="005643EA" w:rsidRPr="00392FFD" w:rsidRDefault="002648B0" w:rsidP="00FD239F">
            <w:pPr>
              <w:pStyle w:val="InstructionsText"/>
            </w:pPr>
            <w:r>
              <w:t>Direkta innehav av supplementärkapital i enheter i d en finansiella se</w:t>
            </w:r>
            <w:r>
              <w:t>k</w:t>
            </w:r>
            <w:r>
              <w:t>torn i vilka institutet inte har något väsentligt innehav, med undantag av</w:t>
            </w:r>
          </w:p>
          <w:p w:rsidR="005643EA" w:rsidRPr="00392FFD" w:rsidRDefault="002648B0" w:rsidP="00FD239F">
            <w:pPr>
              <w:pStyle w:val="InstructionsText"/>
            </w:pPr>
            <w:r>
              <w:t>a)</w:t>
            </w:r>
            <w:r>
              <w:tab/>
              <w:t>emissionsgarantipositioner som innehas i fem eller färre arbet</w:t>
            </w:r>
            <w:r>
              <w:t>s</w:t>
            </w:r>
            <w:r>
              <w:t xml:space="preserve">dagar, och </w:t>
            </w:r>
          </w:p>
          <w:p w:rsidR="005643EA" w:rsidRPr="00392FFD" w:rsidRDefault="002648B0" w:rsidP="00FD239F">
            <w:pPr>
              <w:pStyle w:val="InstructionsText"/>
            </w:pPr>
            <w:r>
              <w:t>b)</w:t>
            </w:r>
            <w:r>
              <w:tab/>
              <w:t>innehav som behandlas som ömsesidigt korsägande i enlighet med artikel 66 b i CRR.</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69 i CRR.</w:t>
            </w:r>
          </w:p>
          <w:p w:rsidR="005643EA" w:rsidRPr="00392FFD" w:rsidRDefault="002648B0" w:rsidP="00FD239F">
            <w:pPr>
              <w:pStyle w:val="InstructionsText"/>
            </w:pPr>
            <w:r>
              <w:t>Artikel 69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2648B0" w:rsidP="00FD239F">
            <w:pPr>
              <w:pStyle w:val="InstructionsText"/>
            </w:pPr>
            <w:r>
              <w:lastRenderedPageBreak/>
              <w:t>Artikel 4.1.114, 68 och 69 i CRR.</w:t>
            </w:r>
          </w:p>
        </w:tc>
      </w:tr>
      <w:tr w:rsidR="002648B0" w:rsidRPr="00392FFD" w:rsidTr="00672D2A">
        <w:tc>
          <w:tcPr>
            <w:tcW w:w="1506" w:type="dxa"/>
          </w:tcPr>
          <w:p w:rsidR="002648B0" w:rsidRPr="00392FFD" w:rsidRDefault="002648B0" w:rsidP="00FD239F">
            <w:pPr>
              <w:pStyle w:val="InstructionsText"/>
            </w:pPr>
            <w:r>
              <w:lastRenderedPageBreak/>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Indirekta innehav brutto av supplementärkapital i enheter inom finanssektorn där institutet inte har ett väsentligt innehav</w:t>
            </w:r>
          </w:p>
          <w:p w:rsidR="005643EA" w:rsidRPr="00392FFD" w:rsidRDefault="002648B0" w:rsidP="00FD239F">
            <w:pPr>
              <w:pStyle w:val="InstructionsText"/>
            </w:pPr>
            <w:r>
              <w:t>Artiklarna 4.1.114, 68 och 69 i CRR.</w:t>
            </w:r>
          </w:p>
          <w:p w:rsidR="005643EA" w:rsidRPr="00392FFD" w:rsidRDefault="002648B0" w:rsidP="00FD239F">
            <w:pPr>
              <w:pStyle w:val="InstructionsText"/>
            </w:pPr>
            <w:r>
              <w:t>Det belopp som ska rapporteras är de indirekta innehaven i handelsr</w:t>
            </w:r>
            <w:r>
              <w:t>e</w:t>
            </w:r>
            <w:r>
              <w:t>gistret av kapitalinstrument i form av innehav av indexvärdepapper i e</w:t>
            </w:r>
            <w:r>
              <w:t>n</w:t>
            </w:r>
            <w:r>
              <w:t>heter i den finansiella sektorn. Beloppet erhålls genom att man beräknar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66 b i CRR ska inte ingå.</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Tillåten avräkning av korta positioner i förhållande till de indirekta bruttoinnehav som inkluderas ovan</w:t>
            </w:r>
          </w:p>
          <w:p w:rsidR="005643EA" w:rsidRPr="00392FFD" w:rsidRDefault="002648B0" w:rsidP="00FD239F">
            <w:pPr>
              <w:pStyle w:val="InstructionsText"/>
            </w:pPr>
            <w:r>
              <w:t>Artiklarna 4.1.114 och 69 i CRR</w:t>
            </w:r>
          </w:p>
          <w:p w:rsidR="005643EA" w:rsidRPr="00392FFD" w:rsidRDefault="002648B0" w:rsidP="00FD239F">
            <w:pPr>
              <w:pStyle w:val="InstructionsText"/>
            </w:pPr>
            <w:r>
              <w:t>Artikel 69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w:t>
            </w:r>
          </w:p>
          <w:p w:rsidR="005643EA" w:rsidRPr="00392FFD" w:rsidRDefault="00805255" w:rsidP="00FD239F">
            <w:pPr>
              <w:pStyle w:val="InstructionsText"/>
              <w:rPr>
                <w:rStyle w:val="InstructionsTabelleberschrift"/>
                <w:rFonts w:ascii="Times New Roman" w:hAnsi="Times New Roman"/>
                <w:sz w:val="24"/>
              </w:rPr>
            </w:pPr>
            <w:r>
              <w:t>Artiklarna 4.1.126, 68 och 69 i CRR.</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Syntetiska innehav brutto av supplementärkapital i enheter inom finanssektorn där institutet inte har ett väsentligt innehav</w:t>
            </w:r>
          </w:p>
          <w:p w:rsidR="005643EA" w:rsidRPr="00201704" w:rsidRDefault="00805255" w:rsidP="00FD239F">
            <w:pPr>
              <w:pStyle w:val="InstructionsText"/>
              <w:rPr>
                <w:rStyle w:val="InstructionsTabelleberschrift"/>
                <w:rFonts w:ascii="Times New Roman" w:hAnsi="Times New Roman"/>
                <w:b w:val="0"/>
                <w:bCs w:val="0"/>
                <w:sz w:val="24"/>
                <w:u w:val="none"/>
              </w:rPr>
            </w:pPr>
            <w:r>
              <w:t>Artiklarna 4.1.126, 68 och 69 i CRR.</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201704" w:rsidRDefault="00805255" w:rsidP="00FD239F">
            <w:pPr>
              <w:pStyle w:val="InstructionsText"/>
              <w:rPr>
                <w:rStyle w:val="InstructionsTabelleberschrift"/>
                <w:rFonts w:ascii="Times New Roman" w:hAnsi="Times New Roman"/>
                <w:b w:val="0"/>
                <w:bCs w:val="0"/>
                <w:sz w:val="24"/>
                <w:u w:val="none"/>
              </w:rPr>
            </w:pPr>
            <w:r>
              <w:t>Artiklarna 4.1.126 och 69 i CRR</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Innehav av kärnprimärkapitalinstrument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 netto efter korta positioner</w:t>
            </w:r>
          </w:p>
          <w:p w:rsidR="005643EA" w:rsidRPr="00392FFD" w:rsidRDefault="002648B0" w:rsidP="00FD239F">
            <w:pPr>
              <w:pStyle w:val="InstructionsText"/>
            </w:pPr>
            <w:r>
              <w:t>Artiklarna 44, 45, 47 och 49 i CRR.</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Direkta innehav av kärnprimärkapital i enheter inom finan</w:t>
            </w:r>
            <w:r>
              <w:rPr>
                <w:rStyle w:val="InstructionsTabelleberschrift"/>
                <w:rFonts w:ascii="Times New Roman" w:hAnsi="Times New Roman"/>
                <w:sz w:val="24"/>
              </w:rPr>
              <w:t>s</w:t>
            </w:r>
            <w:r>
              <w:rPr>
                <w:rStyle w:val="InstructionsTabelleberschrift"/>
                <w:rFonts w:ascii="Times New Roman" w:hAnsi="Times New Roman"/>
                <w:sz w:val="24"/>
              </w:rPr>
              <w:t>sektorn där institutet har ett väsentligt innehav</w:t>
            </w:r>
          </w:p>
          <w:p w:rsidR="005643EA" w:rsidRPr="00392FFD" w:rsidRDefault="002648B0" w:rsidP="00FD239F">
            <w:pPr>
              <w:pStyle w:val="InstructionsText"/>
            </w:pPr>
            <w:r>
              <w:t>Artiklarna 44, 45, 47 och 49 i CRR.</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Direkta innehav brutto av kärnprimärkapital i enheter inom finanssektorn där institutet har ett väsentligt innehav</w:t>
            </w:r>
          </w:p>
          <w:p w:rsidR="005643EA" w:rsidRPr="00392FFD" w:rsidRDefault="002648B0" w:rsidP="00FD239F">
            <w:pPr>
              <w:pStyle w:val="InstructionsText"/>
            </w:pPr>
            <w:r>
              <w:t>Artiklarna 44, 45, 47 och 49 i CRR.</w:t>
            </w:r>
          </w:p>
          <w:p w:rsidR="005643EA" w:rsidRPr="00392FFD" w:rsidRDefault="002648B0" w:rsidP="00FD239F">
            <w:pPr>
              <w:pStyle w:val="InstructionsText"/>
            </w:pPr>
            <w:r>
              <w:t>Direkta innehav av kärnprimärkapital i enheter i finanssektorn i vilka i</w:t>
            </w:r>
            <w:r>
              <w:t>n</w:t>
            </w:r>
            <w:r>
              <w:t>stitutet har ett väsentligt innehav, med undantag av</w:t>
            </w:r>
          </w:p>
          <w:p w:rsidR="005643EA" w:rsidRPr="00392FFD" w:rsidRDefault="002648B0" w:rsidP="00FD239F">
            <w:pPr>
              <w:pStyle w:val="InstructionsText"/>
            </w:pPr>
            <w:r>
              <w:t>a)</w:t>
            </w:r>
            <w:r>
              <w:tab/>
              <w:t>emissionsgarantipositioner som innehas i fem eller färre arbet</w:t>
            </w:r>
            <w:r>
              <w:t>s</w:t>
            </w:r>
            <w:r>
              <w:lastRenderedPageBreak/>
              <w:t xml:space="preserve">dagar, </w:t>
            </w:r>
          </w:p>
          <w:p w:rsidR="005643EA" w:rsidRPr="00392FFD" w:rsidRDefault="002648B0" w:rsidP="00FD239F">
            <w:pPr>
              <w:pStyle w:val="InstructionsText"/>
            </w:pPr>
            <w:r>
              <w:t>b)</w:t>
            </w:r>
            <w:r>
              <w:tab/>
              <w:t xml:space="preserve">de belopp som rör innehav för vilka något av alternativen i artikel 49 är tillämpligt, och </w:t>
            </w:r>
          </w:p>
          <w:p w:rsidR="005643EA" w:rsidRPr="00392FFD" w:rsidRDefault="002648B0" w:rsidP="00FD239F">
            <w:pPr>
              <w:pStyle w:val="InstructionsText"/>
            </w:pPr>
            <w:r>
              <w:t>c)</w:t>
            </w:r>
            <w:r>
              <w:tab/>
              <w:t>innehav som behandlas som ömsesidigt korsägande i enlighet med artikel 36.1 g i CRR.</w:t>
            </w:r>
          </w:p>
        </w:tc>
      </w:tr>
      <w:tr w:rsidR="002648B0" w:rsidRPr="00392FFD" w:rsidTr="00672D2A">
        <w:tc>
          <w:tcPr>
            <w:tcW w:w="1506" w:type="dxa"/>
          </w:tcPr>
          <w:p w:rsidR="002648B0" w:rsidRPr="00392FFD" w:rsidRDefault="002648B0" w:rsidP="00FD239F">
            <w:pPr>
              <w:pStyle w:val="InstructionsText"/>
            </w:pPr>
            <w:r>
              <w:lastRenderedPageBreak/>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45 i CRR.</w:t>
            </w:r>
          </w:p>
          <w:p w:rsidR="005643EA" w:rsidRPr="00392FFD" w:rsidRDefault="002648B0" w:rsidP="00FD239F">
            <w:pPr>
              <w:pStyle w:val="InstructionsText"/>
            </w:pPr>
            <w:r>
              <w:t>Artikel 45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Indirekta innehav av kärnprimärkapital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392FFD" w:rsidRDefault="002648B0" w:rsidP="00FD239F">
            <w:pPr>
              <w:pStyle w:val="InstructionsText"/>
            </w:pPr>
            <w:r>
              <w:t>Artiklarna 4.1.114, 44 och 45 i CRR.</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Indirekta innehav brutto av kärnprimärkapital i enheter inom finanssektorn där institutet har ett väsentligt innehav</w:t>
            </w:r>
          </w:p>
          <w:p w:rsidR="005643EA" w:rsidRPr="00392FFD" w:rsidRDefault="002648B0" w:rsidP="00FD239F">
            <w:pPr>
              <w:pStyle w:val="InstructionsText"/>
            </w:pPr>
            <w:r>
              <w:t>Artiklarna 4.1.114, 44 och 45 i CRR.</w:t>
            </w:r>
          </w:p>
          <w:p w:rsidR="005643EA" w:rsidRPr="00392FFD" w:rsidRDefault="002648B0" w:rsidP="00FD239F">
            <w:pPr>
              <w:pStyle w:val="InstructionsText"/>
            </w:pPr>
            <w:r>
              <w:t>Det belopp som ska rapporteras ska vara de indirekta innehaven i ha</w:t>
            </w:r>
            <w:r>
              <w:t>n</w:t>
            </w:r>
            <w:r>
              <w:t>delsregistret av kapitalinstrument i form av innehav av indexvärdepapper i enheter i den finansiella sektorn. Beloppet erhålls genom att man b</w:t>
            </w:r>
            <w:r>
              <w:t>e</w:t>
            </w:r>
            <w:r>
              <w:t>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36.1 g i CRR ska inte ingå.</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Tillåten avräkning av korta positioner i förhållande till de indirekta bruttoinnehav som inkluderas ovan</w:t>
            </w:r>
          </w:p>
          <w:p w:rsidR="005643EA" w:rsidRPr="00392FFD" w:rsidRDefault="002648B0" w:rsidP="00FD239F">
            <w:pPr>
              <w:pStyle w:val="InstructionsText"/>
            </w:pPr>
            <w:r>
              <w:t>Artiklarna 4.1.114 och 45 i CRR</w:t>
            </w:r>
          </w:p>
          <w:p w:rsidR="005643EA" w:rsidRPr="00392FFD" w:rsidRDefault="002648B0" w:rsidP="00FD239F">
            <w:pPr>
              <w:pStyle w:val="InstructionsText"/>
            </w:pPr>
            <w:r>
              <w:t>Artikel 45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Syntetiska innehav av kärnprimärkapital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392FFD" w:rsidRDefault="00805255" w:rsidP="00FD239F">
            <w:pPr>
              <w:pStyle w:val="InstructionsText"/>
            </w:pPr>
            <w:r>
              <w:t>Artiklarna 4.1.126, 44 och 45 i CRR.</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Syntetiska innehav brutto av kärnprimärkapital i enheter inom finanssektorn där institutet har ett väsentligt innehav</w:t>
            </w:r>
          </w:p>
          <w:p w:rsidR="005643EA" w:rsidRPr="00392FFD" w:rsidRDefault="00805255" w:rsidP="00FD239F">
            <w:pPr>
              <w:pStyle w:val="InstructionsText"/>
            </w:pPr>
            <w:r>
              <w:t>Artiklarna 4.1.126, 44 och 45 i CRR.</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392FFD" w:rsidRDefault="00805255" w:rsidP="00FD239F">
            <w:pPr>
              <w:pStyle w:val="InstructionsText"/>
            </w:pPr>
            <w:r>
              <w:t>Artiklarna 4.1.126 och 45 i CRR</w:t>
            </w:r>
          </w:p>
        </w:tc>
      </w:tr>
      <w:tr w:rsidR="002648B0" w:rsidRPr="00392FFD" w:rsidTr="00672D2A">
        <w:tc>
          <w:tcPr>
            <w:tcW w:w="1506" w:type="dxa"/>
          </w:tcPr>
          <w:p w:rsidR="002648B0" w:rsidRPr="00392FFD" w:rsidRDefault="002648B0" w:rsidP="00FD239F">
            <w:pPr>
              <w:pStyle w:val="InstructionsText"/>
            </w:pPr>
            <w:r>
              <w:lastRenderedPageBreak/>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Innehav av primärkapitaltillskott i enheter i den finansiella se</w:t>
            </w:r>
            <w:r>
              <w:rPr>
                <w:rStyle w:val="InstructionsTabelleberschrift"/>
                <w:rFonts w:ascii="Times New Roman" w:hAnsi="Times New Roman"/>
                <w:sz w:val="24"/>
              </w:rPr>
              <w:t>k</w:t>
            </w:r>
            <w:r>
              <w:rPr>
                <w:rStyle w:val="InstructionsTabelleberschrift"/>
                <w:rFonts w:ascii="Times New Roman" w:hAnsi="Times New Roman"/>
                <w:sz w:val="24"/>
              </w:rPr>
              <w:t>torn i vilka institutet har ett väsentligt innehav, netto efter korta p</w:t>
            </w:r>
            <w:r>
              <w:rPr>
                <w:rStyle w:val="InstructionsTabelleberschrift"/>
                <w:rFonts w:ascii="Times New Roman" w:hAnsi="Times New Roman"/>
                <w:sz w:val="24"/>
              </w:rPr>
              <w:t>o</w:t>
            </w:r>
            <w:r>
              <w:rPr>
                <w:rStyle w:val="InstructionsTabelleberschrift"/>
                <w:rFonts w:ascii="Times New Roman" w:hAnsi="Times New Roman"/>
                <w:sz w:val="24"/>
              </w:rPr>
              <w:t>sitioner</w:t>
            </w:r>
          </w:p>
          <w:p w:rsidR="005643EA" w:rsidRPr="00392FFD" w:rsidRDefault="002648B0" w:rsidP="00FD239F">
            <w:pPr>
              <w:pStyle w:val="InstructionsText"/>
            </w:pPr>
            <w:r>
              <w:t>Artiklarna 58 och 59 i CRR.</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Direkta innehav av primärkapitaltillskott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392FFD" w:rsidRDefault="002648B0" w:rsidP="00FD239F">
            <w:pPr>
              <w:pStyle w:val="InstructionsText"/>
            </w:pPr>
            <w:r>
              <w:t>Artiklarna 58 och 59 i CRR.</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Direkta innehav brutto av primärkapitaltillskott i enheter inom finanssektorn där institutet har ett väsentligt innehav</w:t>
            </w:r>
          </w:p>
          <w:p w:rsidR="005643EA" w:rsidRPr="00392FFD" w:rsidRDefault="002648B0" w:rsidP="00FD239F">
            <w:pPr>
              <w:pStyle w:val="InstructionsText"/>
            </w:pPr>
            <w:r>
              <w:t>Artikel 58 i CRR.</w:t>
            </w:r>
          </w:p>
          <w:p w:rsidR="005643EA" w:rsidRPr="00392FFD" w:rsidRDefault="002648B0" w:rsidP="00FD239F">
            <w:pPr>
              <w:pStyle w:val="InstructionsText"/>
            </w:pPr>
            <w:r>
              <w:t>Direkta innehav av primärkapitaltillskott i enheter i den finansiella se</w:t>
            </w:r>
            <w:r>
              <w:t>k</w:t>
            </w:r>
            <w:r>
              <w:t>torn i vilka institutet har ett väsentligt innehav, med undantag av</w:t>
            </w:r>
          </w:p>
          <w:p w:rsidR="005643EA" w:rsidRPr="00392FFD" w:rsidRDefault="002648B0" w:rsidP="00FD239F">
            <w:pPr>
              <w:pStyle w:val="InstructionsText"/>
            </w:pPr>
            <w:r>
              <w:t>a)</w:t>
            </w:r>
            <w:r>
              <w:tab/>
              <w:t>emissionsgarantipositioner som innehas i fem eller färre arbet</w:t>
            </w:r>
            <w:r>
              <w:t>s</w:t>
            </w:r>
            <w:r>
              <w:t xml:space="preserve">dagar (artikel 56 d), och </w:t>
            </w:r>
          </w:p>
          <w:p w:rsidR="005643EA" w:rsidRPr="00392FFD" w:rsidRDefault="002648B0" w:rsidP="00FD239F">
            <w:pPr>
              <w:pStyle w:val="InstructionsText"/>
            </w:pPr>
            <w:r>
              <w:t>b)</w:t>
            </w:r>
            <w:r>
              <w:tab/>
              <w:t>innehav som behandlas som ömsesidigt korsägande i enlighet med artikel 56 b i CRR.</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59 i CRR.</w:t>
            </w:r>
          </w:p>
          <w:p w:rsidR="005643EA" w:rsidRPr="00392FFD" w:rsidRDefault="002648B0" w:rsidP="00FD239F">
            <w:pPr>
              <w:pStyle w:val="InstructionsText"/>
            </w:pPr>
            <w:r>
              <w:t>Artikel 59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Indirekta innehav av primärkapitaltillskott i enheter inom finanssektorn där institutet har ett väsentligt innehav</w:t>
            </w:r>
          </w:p>
          <w:p w:rsidR="005643EA" w:rsidRPr="00392FFD" w:rsidRDefault="002648B0" w:rsidP="00FD239F">
            <w:pPr>
              <w:pStyle w:val="InstructionsText"/>
            </w:pPr>
            <w:r>
              <w:t>Artiklarna 4.1.114, 58 och 59 i CRR.</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Indirekta innehav brutto av primärkapitaltillskott i enheter inom finanssektorn där institutet har ett väsentligt innehav</w:t>
            </w:r>
          </w:p>
          <w:p w:rsidR="005643EA" w:rsidRPr="00392FFD" w:rsidRDefault="002648B0" w:rsidP="00FD239F">
            <w:pPr>
              <w:pStyle w:val="InstructionsText"/>
            </w:pPr>
            <w:r>
              <w:t>Artiklarna 4.1.114, 58 och 59 i CRR.</w:t>
            </w:r>
          </w:p>
          <w:p w:rsidR="005643EA" w:rsidRPr="00392FFD" w:rsidRDefault="002648B0" w:rsidP="00FD239F">
            <w:pPr>
              <w:pStyle w:val="InstructionsText"/>
            </w:pPr>
            <w:r>
              <w:t>Det belopp som ska rapporteras ska vara de indirekta innehaven i ha</w:t>
            </w:r>
            <w:r>
              <w:t>n</w:t>
            </w:r>
            <w:r>
              <w:t>delsregistret av kapitalinstrument i form av innehav av indexvärdepapper i enheter i den finansiella sektorn. Beloppet erhålls genom att man b</w:t>
            </w:r>
            <w:r>
              <w:t>e</w:t>
            </w:r>
            <w:r>
              <w:t>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56 b i CRR ska inte ingå.</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Tillåten avräkning av korta positioner i förhållande till de indirekta bruttoinnehav som inkluderas ovan</w:t>
            </w:r>
          </w:p>
          <w:p w:rsidR="005643EA" w:rsidRPr="00392FFD" w:rsidRDefault="002648B0" w:rsidP="00FD239F">
            <w:pPr>
              <w:pStyle w:val="InstructionsText"/>
            </w:pPr>
            <w:r>
              <w:t>Artiklarna 4.1.114 och 59 i CRR.</w:t>
            </w:r>
          </w:p>
          <w:p w:rsidR="005643EA" w:rsidRPr="00392FFD" w:rsidRDefault="002648B0" w:rsidP="00FD239F">
            <w:pPr>
              <w:pStyle w:val="InstructionsText"/>
            </w:pPr>
            <w:r>
              <w:t>Artikel 59 a i CRR medger motstående korta positioner i samma unde</w:t>
            </w:r>
            <w:r>
              <w:t>r</w:t>
            </w:r>
            <w:r>
              <w:t xml:space="preserve">liggande värdepapper förutsatt att löptiden för de korta positionerna </w:t>
            </w:r>
            <w:r>
              <w:lastRenderedPageBreak/>
              <w:t>motsvarar löptiden för de långa positionerna eller har en återstående lö</w:t>
            </w:r>
            <w:r>
              <w:t>p</w:t>
            </w:r>
            <w:r>
              <w:t>tid på minst ett år.</w:t>
            </w:r>
          </w:p>
        </w:tc>
      </w:tr>
      <w:tr w:rsidR="00E81DB9" w:rsidRPr="00392FFD" w:rsidTr="00672D2A">
        <w:tc>
          <w:tcPr>
            <w:tcW w:w="1506" w:type="dxa"/>
          </w:tcPr>
          <w:p w:rsidR="00E81DB9" w:rsidRPr="00392FFD" w:rsidRDefault="00E81DB9" w:rsidP="00FD239F">
            <w:pPr>
              <w:pStyle w:val="InstructionsText"/>
            </w:pPr>
            <w:r>
              <w:lastRenderedPageBreak/>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Syntetiska innehav av primärkapitaltillskott i enheter inom finanssektorn där institutet har ett väsentligt innehav</w:t>
            </w:r>
          </w:p>
          <w:p w:rsidR="005643EA" w:rsidRPr="00201704" w:rsidRDefault="00E81DB9" w:rsidP="00FD239F">
            <w:pPr>
              <w:pStyle w:val="InstructionsText"/>
              <w:rPr>
                <w:rStyle w:val="InstructionsTabelleberschrift"/>
                <w:rFonts w:ascii="Times New Roman" w:hAnsi="Times New Roman"/>
                <w:b w:val="0"/>
                <w:bCs w:val="0"/>
                <w:sz w:val="24"/>
                <w:u w:val="none"/>
              </w:rPr>
            </w:pPr>
            <w:r>
              <w:t>Artiklarna 4.1.126, 58 och 59 i CRR.</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Syntetiska innehav brutto av primärkapitaltillskott i enheter inom finanssektorn där institutet har ett väsentligt innehav</w:t>
            </w:r>
          </w:p>
          <w:p w:rsidR="005643EA" w:rsidRPr="00201704" w:rsidRDefault="00E81DB9" w:rsidP="00FD239F">
            <w:pPr>
              <w:pStyle w:val="InstructionsText"/>
              <w:rPr>
                <w:rStyle w:val="InstructionsTabelleberschrift"/>
                <w:rFonts w:ascii="Times New Roman" w:hAnsi="Times New Roman"/>
                <w:b w:val="0"/>
                <w:bCs w:val="0"/>
                <w:sz w:val="24"/>
                <w:u w:val="none"/>
              </w:rPr>
            </w:pPr>
            <w:r>
              <w:t>Artiklarna 4.1.126, 58 och 59 i CRR.</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201704" w:rsidRDefault="00E81DB9" w:rsidP="00FD239F">
            <w:pPr>
              <w:pStyle w:val="InstructionsText"/>
              <w:rPr>
                <w:rStyle w:val="InstructionsTabelleberschrift"/>
                <w:rFonts w:ascii="Times New Roman" w:hAnsi="Times New Roman"/>
                <w:b w:val="0"/>
                <w:bCs w:val="0"/>
                <w:sz w:val="24"/>
                <w:u w:val="none"/>
              </w:rPr>
            </w:pPr>
            <w:r>
              <w:t>Artiklarna 4.1.126 och 59 i CRR</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Innehav av supplementärkapital i enheter i finanssektorn i vilka i</w:t>
            </w:r>
            <w:r>
              <w:rPr>
                <w:rStyle w:val="InstructionsTabelleberschrift"/>
                <w:rFonts w:ascii="Times New Roman" w:hAnsi="Times New Roman"/>
                <w:sz w:val="24"/>
              </w:rPr>
              <w:t>n</w:t>
            </w:r>
            <w:r>
              <w:rPr>
                <w:rStyle w:val="InstructionsTabelleberschrift"/>
                <w:rFonts w:ascii="Times New Roman" w:hAnsi="Times New Roman"/>
                <w:sz w:val="24"/>
              </w:rPr>
              <w:t>stitutet har ett väsentligt innehav, netto efter korta positioner</w:t>
            </w:r>
          </w:p>
          <w:p w:rsidR="005643EA" w:rsidRPr="00392FFD" w:rsidRDefault="002648B0" w:rsidP="00FD239F">
            <w:pPr>
              <w:pStyle w:val="InstructionsText"/>
            </w:pPr>
            <w:r>
              <w:t>Artiklarna 68 och 69 i CRR.</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392FFD" w:rsidRDefault="002648B0" w:rsidP="00FD239F">
            <w:pPr>
              <w:pStyle w:val="InstructionsText"/>
            </w:pPr>
            <w:r>
              <w:t>Artiklarna 68 och 69 i CRR.</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Direkta innehav brutto av supplementärkapital i enheter inom finanssektorn där institutet har ett väsentligt innehav</w:t>
            </w:r>
          </w:p>
          <w:p w:rsidR="005643EA" w:rsidRPr="00392FFD" w:rsidRDefault="002648B0" w:rsidP="00FD239F">
            <w:pPr>
              <w:pStyle w:val="InstructionsText"/>
            </w:pPr>
            <w:r>
              <w:t>Artikel 68 i CRR.</w:t>
            </w:r>
          </w:p>
          <w:p w:rsidR="005643EA" w:rsidRPr="00392FFD" w:rsidRDefault="002648B0" w:rsidP="00FD239F">
            <w:pPr>
              <w:pStyle w:val="InstructionsText"/>
            </w:pPr>
            <w:r>
              <w:t>Direkta innehav av supplementärkapital i enheter i den finansiella se</w:t>
            </w:r>
            <w:r>
              <w:t>k</w:t>
            </w:r>
            <w:r>
              <w:t>torn i vilka institutet har ett väsentligt innehav, med undantag av</w:t>
            </w:r>
          </w:p>
          <w:p w:rsidR="005643EA" w:rsidRPr="00392FFD" w:rsidRDefault="002648B0" w:rsidP="00FD239F">
            <w:pPr>
              <w:pStyle w:val="InstructionsText"/>
            </w:pPr>
            <w:r>
              <w:t>a)</w:t>
            </w:r>
            <w:r>
              <w:tab/>
              <w:t>emissionsgarantipositioner som innehas i fem eller färre arbet</w:t>
            </w:r>
            <w:r>
              <w:t>s</w:t>
            </w:r>
            <w:r>
              <w:t xml:space="preserve">dagar (artikel 66 d), och </w:t>
            </w:r>
          </w:p>
          <w:p w:rsidR="005643EA" w:rsidRPr="00392FFD" w:rsidRDefault="002648B0" w:rsidP="00FD239F">
            <w:pPr>
              <w:pStyle w:val="InstructionsText"/>
            </w:pPr>
            <w:r>
              <w:t>b)</w:t>
            </w:r>
            <w:r>
              <w:tab/>
              <w:t>innehav som behandlas som ömsesidigt korsägande i enlighet med artikel 66 b i CRR.</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Tillåten avräkning av korta positioner i förhållande till de direkta bruttoinnehav som inkluderas ovan</w:t>
            </w:r>
          </w:p>
          <w:p w:rsidR="005643EA" w:rsidRPr="00392FFD" w:rsidRDefault="002648B0" w:rsidP="00FD239F">
            <w:pPr>
              <w:pStyle w:val="InstructionsText"/>
            </w:pPr>
            <w:r>
              <w:t>Artikel 69 i CRR.</w:t>
            </w:r>
          </w:p>
          <w:p w:rsidR="005643EA" w:rsidRPr="00392FFD" w:rsidRDefault="002648B0" w:rsidP="00FD239F">
            <w:pPr>
              <w:pStyle w:val="InstructionsText"/>
            </w:pPr>
            <w:r>
              <w:t>Artikel 69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392FFD" w:rsidRDefault="002648B0" w:rsidP="00FD239F">
            <w:pPr>
              <w:pStyle w:val="InstructionsText"/>
            </w:pPr>
            <w:r>
              <w:t>Artiklarna 4.1.114, 68 och 69 i CRR.</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Indirekta innehav brutto av supplementärkapital i enheter inom finanssektorn där institutet har ett väsentligt innehav</w:t>
            </w:r>
          </w:p>
          <w:p w:rsidR="005643EA" w:rsidRPr="00392FFD" w:rsidRDefault="002648B0" w:rsidP="00FD239F">
            <w:pPr>
              <w:pStyle w:val="InstructionsText"/>
            </w:pPr>
            <w:r>
              <w:t>Artiklarna 4.1.114, 68 och 69 i CRR.</w:t>
            </w:r>
          </w:p>
          <w:p w:rsidR="005643EA" w:rsidRPr="00392FFD" w:rsidRDefault="002648B0" w:rsidP="00FD239F">
            <w:pPr>
              <w:pStyle w:val="InstructionsText"/>
            </w:pPr>
            <w:r>
              <w:t>Det belopp som ska rapporteras ska vara de indirekta innehaven i ha</w:t>
            </w:r>
            <w:r>
              <w:t>n</w:t>
            </w:r>
            <w:r>
              <w:lastRenderedPageBreak/>
              <w:t>delsregistret av kapitalinstrument i form av innehav av indexvärdepapper i enheter i den finansiella sektorn. Beloppet erhålls genom att man b</w:t>
            </w:r>
            <w:r>
              <w:t>e</w:t>
            </w:r>
            <w:r>
              <w:t>räknar den underliggande exponeringen mot kapitalinstrument i enheter i den finansiella sektorn i dessa index.</w:t>
            </w:r>
          </w:p>
          <w:p w:rsidR="005643EA" w:rsidRPr="00392FFD" w:rsidRDefault="002648B0" w:rsidP="00FD239F">
            <w:pPr>
              <w:pStyle w:val="InstructionsText"/>
            </w:pPr>
            <w:r>
              <w:t>Innehav som behandlas som ömsesidigt korsägande i enlighet med art</w:t>
            </w:r>
            <w:r>
              <w:t>i</w:t>
            </w:r>
            <w:r>
              <w:t>kel 66 b i CRR ska inte ingå.</w:t>
            </w:r>
          </w:p>
        </w:tc>
      </w:tr>
      <w:tr w:rsidR="002648B0" w:rsidRPr="00392FFD" w:rsidTr="00672D2A">
        <w:tc>
          <w:tcPr>
            <w:tcW w:w="1506" w:type="dxa"/>
          </w:tcPr>
          <w:p w:rsidR="002648B0" w:rsidRPr="00392FFD" w:rsidRDefault="002648B0" w:rsidP="00FD239F">
            <w:pPr>
              <w:pStyle w:val="InstructionsText"/>
            </w:pPr>
            <w:r>
              <w:lastRenderedPageBreak/>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Tillåten avräkning av korta positioner i förhållande till de indirekta bruttoinnehav som inkluderas ovan</w:t>
            </w:r>
          </w:p>
          <w:p w:rsidR="005643EA" w:rsidRPr="00392FFD" w:rsidRDefault="002648B0" w:rsidP="00FD239F">
            <w:pPr>
              <w:pStyle w:val="InstructionsText"/>
            </w:pPr>
            <w:r>
              <w:t>Artiklarna 4.1.114 och 69 i CRR.</w:t>
            </w:r>
          </w:p>
          <w:p w:rsidR="005643EA" w:rsidRPr="00392FFD" w:rsidRDefault="002648B0" w:rsidP="00FD239F">
            <w:pPr>
              <w:pStyle w:val="InstructionsText"/>
            </w:pPr>
            <w:r>
              <w:t>Artikel 69 a i CRR medger motstående korta positioner i samma unde</w:t>
            </w:r>
            <w:r>
              <w:t>r</w:t>
            </w:r>
            <w:r>
              <w:t>liggande värdepapper förutsatt att löptiden för de korta positionerna motsvarar löptiden för de långa positionerna eller har en återstående lö</w:t>
            </w:r>
            <w:r>
              <w:t>p</w:t>
            </w:r>
            <w:r>
              <w:t>tid på minst ett år.</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Syntetiska innehav av supplementärkapital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w:t>
            </w:r>
          </w:p>
          <w:p w:rsidR="005643EA" w:rsidRPr="00201704" w:rsidRDefault="00805255" w:rsidP="00FD239F">
            <w:pPr>
              <w:pStyle w:val="InstructionsText"/>
              <w:rPr>
                <w:rStyle w:val="InstructionsTabelleberschrift"/>
                <w:rFonts w:ascii="Times New Roman" w:hAnsi="Times New Roman"/>
                <w:b w:val="0"/>
                <w:bCs w:val="0"/>
                <w:sz w:val="24"/>
                <w:u w:val="none"/>
              </w:rPr>
            </w:pPr>
            <w:r>
              <w:t>Artiklarna 4.1.126, 68 och 69 i CRR.</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Syntetiska innehav brutto av supplementärkapital i enheter inom finanssektorn där institutet har ett väsentligt innehav</w:t>
            </w:r>
          </w:p>
          <w:p w:rsidR="005643EA" w:rsidRPr="00201704" w:rsidRDefault="00805255" w:rsidP="00FD239F">
            <w:pPr>
              <w:pStyle w:val="InstructionsText"/>
              <w:rPr>
                <w:rStyle w:val="InstructionsTabelleberschrift"/>
                <w:rFonts w:ascii="Times New Roman" w:hAnsi="Times New Roman"/>
                <w:b w:val="0"/>
                <w:bCs w:val="0"/>
                <w:sz w:val="24"/>
                <w:u w:val="none"/>
              </w:rPr>
            </w:pPr>
            <w:r>
              <w:t>Artiklarna 4.1.126, 68 och 69 i CRR.</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Tillåten avräkning av korta positioner i förhållande till de syntetiska bruttoinnehav som inkluderas ovan</w:t>
            </w:r>
          </w:p>
          <w:p w:rsidR="005643EA" w:rsidRPr="00201704" w:rsidRDefault="00805255" w:rsidP="00FD239F">
            <w:pPr>
              <w:pStyle w:val="InstructionsText"/>
              <w:rPr>
                <w:rStyle w:val="InstructionsTabelleberschrift"/>
                <w:rFonts w:ascii="Times New Roman" w:hAnsi="Times New Roman"/>
                <w:b w:val="0"/>
                <w:bCs w:val="0"/>
                <w:sz w:val="24"/>
                <w:u w:val="none"/>
              </w:rPr>
            </w:pPr>
            <w:r>
              <w:t>Artiklarna 4.1.126 och 69 i CRR</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Riskvägda exponeringar i innehav av kärnprimärkapital i enhe</w:t>
            </w:r>
            <w:r>
              <w:rPr>
                <w:rStyle w:val="InstructionsTabelleberschrift"/>
                <w:rFonts w:ascii="Times New Roman" w:hAnsi="Times New Roman"/>
                <w:sz w:val="24"/>
              </w:rPr>
              <w:t>t</w:t>
            </w:r>
            <w:r>
              <w:rPr>
                <w:rStyle w:val="InstructionsTabelleberschrift"/>
                <w:rFonts w:ascii="Times New Roman" w:hAnsi="Times New Roman"/>
                <w:sz w:val="24"/>
              </w:rPr>
              <w:t>er inom finanssektorn som inte dras av från institutets kärnprimä</w:t>
            </w:r>
            <w:r>
              <w:rPr>
                <w:rStyle w:val="InstructionsTabelleberschrift"/>
                <w:rFonts w:ascii="Times New Roman" w:hAnsi="Times New Roman"/>
                <w:sz w:val="24"/>
              </w:rPr>
              <w:t>r</w:t>
            </w:r>
            <w:r>
              <w:rPr>
                <w:rStyle w:val="InstructionsTabelleberschrift"/>
                <w:rFonts w:ascii="Times New Roman" w:hAnsi="Times New Roman"/>
                <w:sz w:val="24"/>
              </w:rPr>
              <w:t>kapital</w:t>
            </w:r>
          </w:p>
          <w:p w:rsidR="005643EA" w:rsidRPr="00392FFD" w:rsidRDefault="002648B0" w:rsidP="00FD239F">
            <w:pPr>
              <w:pStyle w:val="InstructionsText"/>
            </w:pPr>
            <w:r>
              <w:t>Artiklarna 46.4, 48.4 och 49.4 i CRR</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Riskvägda exponeringar i innehav av primärkapitaltillskott i e</w:t>
            </w:r>
            <w:r>
              <w:rPr>
                <w:rStyle w:val="InstructionsTabelleberschrift"/>
                <w:rFonts w:ascii="Times New Roman" w:hAnsi="Times New Roman"/>
                <w:sz w:val="24"/>
              </w:rPr>
              <w:t>n</w:t>
            </w:r>
            <w:r>
              <w:rPr>
                <w:rStyle w:val="InstructionsTabelleberschrift"/>
                <w:rFonts w:ascii="Times New Roman" w:hAnsi="Times New Roman"/>
                <w:sz w:val="24"/>
              </w:rPr>
              <w:t>heter inom finanssektorn som inte dras av från institutets övriga primärkapital</w:t>
            </w:r>
          </w:p>
          <w:p w:rsidR="005643EA" w:rsidRPr="00392FFD" w:rsidRDefault="002648B0" w:rsidP="00FD239F">
            <w:pPr>
              <w:pStyle w:val="InstructionsText"/>
            </w:pPr>
            <w:r>
              <w:t>Artikel 60.4 i CRR.</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Riskvägda exponeringar i innehav av supplementärkapital i e</w:t>
            </w:r>
            <w:r>
              <w:rPr>
                <w:rStyle w:val="InstructionsTabelleberschrift"/>
                <w:rFonts w:ascii="Times New Roman" w:hAnsi="Times New Roman"/>
                <w:sz w:val="24"/>
              </w:rPr>
              <w:t>n</w:t>
            </w:r>
            <w:r>
              <w:rPr>
                <w:rStyle w:val="InstructionsTabelleberschrift"/>
                <w:rFonts w:ascii="Times New Roman" w:hAnsi="Times New Roman"/>
                <w:sz w:val="24"/>
              </w:rPr>
              <w:t>heter inom finanssektorn som inte dras av från institutets suppl</w:t>
            </w:r>
            <w:r>
              <w:rPr>
                <w:rStyle w:val="InstructionsTabelleberschrift"/>
                <w:rFonts w:ascii="Times New Roman" w:hAnsi="Times New Roman"/>
                <w:sz w:val="24"/>
              </w:rPr>
              <w:t>e</w:t>
            </w:r>
            <w:r>
              <w:rPr>
                <w:rStyle w:val="InstructionsTabelleberschrift"/>
                <w:rFonts w:ascii="Times New Roman" w:hAnsi="Times New Roman"/>
                <w:sz w:val="24"/>
              </w:rPr>
              <w:t>mentärkapital</w:t>
            </w:r>
          </w:p>
          <w:p w:rsidR="005643EA" w:rsidRPr="00392FFD" w:rsidRDefault="002648B0" w:rsidP="00FD239F">
            <w:pPr>
              <w:pStyle w:val="InstructionsText"/>
            </w:pPr>
            <w:r>
              <w:t>Artikel 70.4 i CRR.</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Innehav av kärnprimärkapitalinstrument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 som omfa</w:t>
            </w:r>
            <w:r>
              <w:rPr>
                <w:rStyle w:val="InstructionsTabelleberschrift"/>
                <w:rFonts w:ascii="Times New Roman" w:hAnsi="Times New Roman"/>
                <w:sz w:val="24"/>
              </w:rPr>
              <w:t>t</w:t>
            </w:r>
            <w:r>
              <w:rPr>
                <w:rStyle w:val="InstructionsTabelleberschrift"/>
                <w:rFonts w:ascii="Times New Roman" w:hAnsi="Times New Roman"/>
                <w:sz w:val="24"/>
              </w:rPr>
              <w:t>tas av tillfälligt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 xml:space="preserve">serna om avdrag från kärnprimärkapitalet för innehav av instrument i en viss enhet i den finansiella sektorn, om den bedömer att dessa innehav </w:t>
            </w:r>
            <w:r>
              <w:lastRenderedPageBreak/>
              <w:t>syftar till att ge finansiellt bistånd för att rekonstruera och rädda den e</w:t>
            </w:r>
            <w:r>
              <w:t>n</w:t>
            </w:r>
            <w:r>
              <w:t>heten.</w:t>
            </w:r>
          </w:p>
          <w:p w:rsidR="005643EA" w:rsidRPr="00392FFD" w:rsidRDefault="002648B0" w:rsidP="00FD239F">
            <w:pPr>
              <w:pStyle w:val="InstructionsText"/>
            </w:pPr>
            <w:r>
              <w:t>Observera att dessa instrument även ska rapporteras under post 12.1.</w:t>
            </w:r>
          </w:p>
        </w:tc>
      </w:tr>
      <w:tr w:rsidR="002648B0" w:rsidRPr="00392FFD" w:rsidTr="00672D2A">
        <w:tc>
          <w:tcPr>
            <w:tcW w:w="1506" w:type="dxa"/>
          </w:tcPr>
          <w:p w:rsidR="002648B0" w:rsidRPr="00392FFD" w:rsidRDefault="002648B0" w:rsidP="00FD239F">
            <w:pPr>
              <w:pStyle w:val="InstructionsText"/>
            </w:pPr>
            <w:r>
              <w:lastRenderedPageBreak/>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Innehav av kärnprimärkapitalinstrument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har ett väsentligt innehav som omfattas av tillfälligt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serna om avdrag från kärnprimärkapitalet för innehav av instrument i en viss enhet i den finansiella sektorn, om den bedömer att dessa innehav syftar till att ge finansiellt bistånd för att rekonstruera och rädda den e</w:t>
            </w:r>
            <w:r>
              <w:t>n</w:t>
            </w:r>
            <w:r>
              <w:t>heten.</w:t>
            </w:r>
          </w:p>
          <w:p w:rsidR="005643EA" w:rsidRPr="00392FFD" w:rsidRDefault="002648B0" w:rsidP="00FD239F">
            <w:pPr>
              <w:pStyle w:val="InstructionsText"/>
            </w:pPr>
            <w:r>
              <w:t>Observera att dessa instrument även ska rapporteras under post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Innehav av kärnprimärkapitalinstrument i enheter inom f</w:t>
            </w:r>
            <w:r>
              <w:rPr>
                <w:rStyle w:val="InstructionsTabelleberschrift"/>
                <w:rFonts w:ascii="Times New Roman" w:hAnsi="Times New Roman"/>
                <w:sz w:val="24"/>
              </w:rPr>
              <w:t>i</w:t>
            </w:r>
            <w:r>
              <w:rPr>
                <w:rStyle w:val="InstructionsTabelleberschrift"/>
                <w:rFonts w:ascii="Times New Roman" w:hAnsi="Times New Roman"/>
                <w:sz w:val="24"/>
              </w:rPr>
              <w:t>nanssektorn där institutet inte har ett väsentligt innehav som omfa</w:t>
            </w:r>
            <w:r>
              <w:rPr>
                <w:rStyle w:val="InstructionsTabelleberschrift"/>
                <w:rFonts w:ascii="Times New Roman" w:hAnsi="Times New Roman"/>
                <w:sz w:val="24"/>
              </w:rPr>
              <w:t>t</w:t>
            </w:r>
            <w:r>
              <w:rPr>
                <w:rStyle w:val="InstructionsTabelleberschrift"/>
                <w:rFonts w:ascii="Times New Roman" w:hAnsi="Times New Roman"/>
                <w:sz w:val="24"/>
              </w:rPr>
              <w:t>tas av tillfälligt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serna om avdrag från primärkapitaltillskott för innehav av instrument i en viss enhet i den finansiella sektorn, om den bedömer att dessa inn</w:t>
            </w:r>
            <w:r>
              <w:t>e</w:t>
            </w:r>
            <w:r>
              <w:t>hav syftar till att ge finansiellt bistånd för att rekonstruera och rädda den enheten.</w:t>
            </w:r>
          </w:p>
          <w:p w:rsidR="005643EA" w:rsidRPr="00392FFD" w:rsidRDefault="002648B0" w:rsidP="00FD239F">
            <w:pPr>
              <w:pStyle w:val="InstructionsText"/>
            </w:pPr>
            <w:r>
              <w:t>Observera att dessa instrument även ska rapporteras under post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Innehav av primärkapitalinstrument i enheter inom finan</w:t>
            </w:r>
            <w:r>
              <w:rPr>
                <w:rStyle w:val="InstructionsTabelleberschrift"/>
                <w:rFonts w:ascii="Times New Roman" w:hAnsi="Times New Roman"/>
                <w:sz w:val="24"/>
              </w:rPr>
              <w:t>s</w:t>
            </w:r>
            <w:r>
              <w:rPr>
                <w:rStyle w:val="InstructionsTabelleberschrift"/>
                <w:rFonts w:ascii="Times New Roman" w:hAnsi="Times New Roman"/>
                <w:sz w:val="24"/>
              </w:rPr>
              <w:t>sektorn där institutet har ett väsentligt innehav som omfattas av til</w:t>
            </w:r>
            <w:r>
              <w:rPr>
                <w:rStyle w:val="InstructionsTabelleberschrift"/>
                <w:rFonts w:ascii="Times New Roman" w:hAnsi="Times New Roman"/>
                <w:sz w:val="24"/>
              </w:rPr>
              <w:t>l</w:t>
            </w:r>
            <w:r>
              <w:rPr>
                <w:rStyle w:val="InstructionsTabelleberschrift"/>
                <w:rFonts w:ascii="Times New Roman" w:hAnsi="Times New Roman"/>
                <w:sz w:val="24"/>
              </w:rPr>
              <w:t>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serna om avdrag från primärkapitaltillskott för innehav av instrument i en viss enhet i den finansiella sektorn, om den bedömer att dessa inn</w:t>
            </w:r>
            <w:r>
              <w:t>e</w:t>
            </w:r>
            <w:r>
              <w:t>hav syftar till att ge finansiellt bistånd för att rekonstruera och rädda den enheten.</w:t>
            </w:r>
          </w:p>
          <w:p w:rsidR="005643EA" w:rsidRPr="00392FFD" w:rsidRDefault="002648B0" w:rsidP="00FD239F">
            <w:pPr>
              <w:pStyle w:val="InstructionsText"/>
            </w:pPr>
            <w:r>
              <w:t>Observera att dessa instrument även ska rapporteras under post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Innehav av supplementärkapitalinstrument i enheter inom finanssektorn där institutet inte har ett väsentligt innehav som o</w:t>
            </w:r>
            <w:r>
              <w:rPr>
                <w:rStyle w:val="InstructionsTabelleberschrift"/>
                <w:rFonts w:ascii="Times New Roman" w:hAnsi="Times New Roman"/>
                <w:sz w:val="24"/>
              </w:rPr>
              <w:t>m</w:t>
            </w:r>
            <w:r>
              <w:rPr>
                <w:rStyle w:val="InstructionsTabelleberschrift"/>
                <w:rFonts w:ascii="Times New Roman" w:hAnsi="Times New Roman"/>
                <w:sz w:val="24"/>
              </w:rPr>
              <w:t>fattas av tillfälligt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serna om avdrag från supplementärkapitalet för innehav av instrument i en viss enhet i den finansiella sektorn, om den bedömer att dessa inn</w:t>
            </w:r>
            <w:r>
              <w:t>e</w:t>
            </w:r>
            <w:r>
              <w:t>hav syftar till att ge finansiellt bistånd för att rekonstruera och rädda den enheten.</w:t>
            </w:r>
          </w:p>
          <w:p w:rsidR="005643EA" w:rsidRPr="00392FFD" w:rsidRDefault="002648B0" w:rsidP="00FD239F">
            <w:pPr>
              <w:pStyle w:val="InstructionsText"/>
            </w:pPr>
            <w:r>
              <w:lastRenderedPageBreak/>
              <w:t>Observera att dessa instrument även ska rapporteras under post 14.1.</w:t>
            </w:r>
          </w:p>
        </w:tc>
      </w:tr>
      <w:tr w:rsidR="002648B0" w:rsidRPr="00392FFD" w:rsidTr="00672D2A">
        <w:tc>
          <w:tcPr>
            <w:tcW w:w="1506" w:type="dxa"/>
          </w:tcPr>
          <w:p w:rsidR="002648B0" w:rsidRPr="00392FFD" w:rsidRDefault="002648B0" w:rsidP="00FD239F">
            <w:pPr>
              <w:pStyle w:val="InstructionsText"/>
            </w:pPr>
            <w:r>
              <w:lastRenderedPageBreak/>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Innehav av supplementärkapitalinstrument i enheter inom finanssektorn där institutet har ett väsentligt innehav som omfattas av tillfälligt undantag</w:t>
            </w:r>
          </w:p>
          <w:p w:rsidR="005643EA" w:rsidRPr="00392FFD" w:rsidRDefault="002648B0" w:rsidP="00FD239F">
            <w:pPr>
              <w:pStyle w:val="InstructionsText"/>
            </w:pPr>
            <w:r>
              <w:t>Artikel 79 i CRR.</w:t>
            </w:r>
          </w:p>
          <w:p w:rsidR="005643EA" w:rsidRPr="00392FFD" w:rsidRDefault="002648B0" w:rsidP="00FD239F">
            <w:pPr>
              <w:pStyle w:val="InstructionsText"/>
            </w:pPr>
            <w:r>
              <w:t>En behörig myndighet får bevilja ett tillfälligt undantag från bestämme</w:t>
            </w:r>
            <w:r>
              <w:t>l</w:t>
            </w:r>
            <w:r>
              <w:t>serna om avdrag från supplementärkapitalet för innehav av instrument i en viss enhet i den finansiella sektorn, om den bedömer att dessa inn</w:t>
            </w:r>
            <w:r>
              <w:t>e</w:t>
            </w:r>
            <w:r>
              <w:t>hav syftar till att ge finansiellt bistånd för att rekonstruera och rädda den enheten.</w:t>
            </w:r>
          </w:p>
          <w:p w:rsidR="005643EA" w:rsidRPr="00392FFD" w:rsidRDefault="002648B0" w:rsidP="00FD239F">
            <w:pPr>
              <w:pStyle w:val="InstructionsText"/>
            </w:pPr>
            <w:r>
              <w:t>Observera att dessa instrument även ska rapporteras under post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Kombinerade buffertkrav</w:t>
            </w:r>
          </w:p>
          <w:p w:rsidR="005643EA" w:rsidRPr="00392FFD" w:rsidRDefault="002648B0" w:rsidP="00FD239F">
            <w:pPr>
              <w:pStyle w:val="InstructionsText"/>
            </w:pPr>
            <w:r>
              <w:t>Artikel 128.6 i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Kapitalkonserveringsbuffert</w:t>
            </w:r>
          </w:p>
          <w:p w:rsidR="005643EA" w:rsidRPr="00392FFD" w:rsidRDefault="002648B0" w:rsidP="00FD239F">
            <w:pPr>
              <w:pStyle w:val="InstructionsText"/>
            </w:pPr>
            <w:r>
              <w:t xml:space="preserve">Artiklarna 128.1 och 129 i CRD. </w:t>
            </w:r>
          </w:p>
          <w:p w:rsidR="005643EA" w:rsidRPr="00392FFD" w:rsidRDefault="002648B0" w:rsidP="00FD239F">
            <w:pPr>
              <w:pStyle w:val="InstructionsText"/>
            </w:pPr>
            <w:r>
              <w:t>I enlighet med artikel 129.1 är kapitalkonserveringsbufferten ett tillägg till kärnprimärkapitalet. Eftersom kapitalkonserveringsbufferten utgörs av en fast andel på 2,5 % ska ett belopp rapporteras i denna cell.</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Konserveringsbuffert på grund av makrotillsynsrisker eller syste</w:t>
            </w:r>
            <w:r>
              <w:rPr>
                <w:rStyle w:val="InstructionsTabelleberschrift"/>
                <w:rFonts w:ascii="Times New Roman" w:hAnsi="Times New Roman"/>
                <w:sz w:val="24"/>
              </w:rPr>
              <w:t>m</w:t>
            </w:r>
            <w:r>
              <w:rPr>
                <w:rStyle w:val="InstructionsTabelleberschrift"/>
                <w:rFonts w:ascii="Times New Roman" w:hAnsi="Times New Roman"/>
                <w:sz w:val="24"/>
              </w:rPr>
              <w:t xml:space="preserve">risker identifierade på medlemsstatsnivå </w:t>
            </w:r>
          </w:p>
          <w:p w:rsidR="005643EA" w:rsidRPr="00392FFD" w:rsidRDefault="002648B0" w:rsidP="00FD239F">
            <w:pPr>
              <w:pStyle w:val="InstructionsText"/>
            </w:pPr>
            <w:r>
              <w:t>Artikel 458.2 d iv i CRR.</w:t>
            </w:r>
          </w:p>
          <w:p w:rsidR="00DF65DF" w:rsidRPr="00392FFD" w:rsidRDefault="002648B0" w:rsidP="00FD239F">
            <w:pPr>
              <w:pStyle w:val="InstructionsText"/>
            </w:pPr>
            <w:r>
              <w:t>I denna cell ska instituten rapportera beloppet för den konserveringsbu</w:t>
            </w:r>
            <w:r>
              <w:t>f</w:t>
            </w:r>
            <w:r>
              <w:t>fert för makrotillsynsrisker eller systemrisker identifierade på medlem</w:t>
            </w:r>
            <w:r>
              <w:t>s</w:t>
            </w:r>
            <w:r>
              <w:t>statsnivå som kan krävas utöver kapitalkonserveringsbufferten i enlighet med artikel 458 i CRR.</w:t>
            </w:r>
          </w:p>
          <w:p w:rsidR="005643EA" w:rsidRPr="00392FFD" w:rsidRDefault="00DF65DF" w:rsidP="00FD239F">
            <w:pPr>
              <w:pStyle w:val="InstructionsText"/>
            </w:pPr>
            <w:r>
              <w:t>Det rapporterade beloppet ska representera det kapitalbasbelopp som b</w:t>
            </w:r>
            <w:r>
              <w:t>e</w:t>
            </w:r>
            <w:r>
              <w:t>hövs för att fylla respektive kapitalbuffertkrav på rapporteringsdatumet.</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Institutspecifik kontracyklisk kapitalbuffert </w:t>
            </w:r>
          </w:p>
          <w:p w:rsidR="00DF65DF" w:rsidRPr="00392FFD" w:rsidRDefault="002648B0" w:rsidP="00FD239F">
            <w:pPr>
              <w:pStyle w:val="InstructionsText"/>
            </w:pPr>
            <w:r>
              <w:t xml:space="preserve">Artiklarna 128.2, 130, 135–140 i CRD. </w:t>
            </w:r>
          </w:p>
          <w:p w:rsidR="005643EA" w:rsidRPr="00392FFD" w:rsidRDefault="00DF65DF" w:rsidP="00FD239F">
            <w:pPr>
              <w:pStyle w:val="InstructionsText"/>
            </w:pPr>
            <w:r>
              <w:t>Det rapporterade beloppet ska representera det kapitalbasbelopp som b</w:t>
            </w:r>
            <w:r>
              <w:t>e</w:t>
            </w:r>
            <w:r>
              <w:t>hövs för att fylla respektive kapitalbuffertkrav på rapporteringsdatumet.</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Systemriskbuffert </w:t>
            </w:r>
          </w:p>
          <w:p w:rsidR="00DF65DF" w:rsidRPr="00392FFD" w:rsidRDefault="002648B0" w:rsidP="00FD239F">
            <w:pPr>
              <w:pStyle w:val="InstructionsText"/>
            </w:pPr>
            <w:r>
              <w:t xml:space="preserve">Artiklarna 128.5, 133 och 134 i CRD. </w:t>
            </w:r>
          </w:p>
          <w:p w:rsidR="005643EA" w:rsidRPr="00392FFD" w:rsidRDefault="00DF65DF" w:rsidP="00FD239F">
            <w:pPr>
              <w:pStyle w:val="InstructionsText"/>
            </w:pPr>
            <w:r>
              <w:t>Det rapporterade beloppet ska representera det kapitalbasbelopp som b</w:t>
            </w:r>
            <w:r>
              <w:t>e</w:t>
            </w:r>
            <w:r>
              <w:t>hövs för att fylla respektive kapitalbuffertkrav på rapporteringsdatumet.</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128.3 och 131 i CRD.</w:t>
            </w:r>
          </w:p>
          <w:p w:rsidR="005643EA" w:rsidRPr="00201704" w:rsidRDefault="00DF65DF" w:rsidP="00FD239F">
            <w:pPr>
              <w:pStyle w:val="InstructionsText"/>
              <w:rPr>
                <w:rStyle w:val="InstructionsTabelleberschrift"/>
                <w:rFonts w:ascii="Times New Roman" w:hAnsi="Times New Roman"/>
                <w:b w:val="0"/>
                <w:bCs w:val="0"/>
                <w:sz w:val="24"/>
                <w:u w:val="none"/>
              </w:rPr>
            </w:pPr>
            <w:r>
              <w:t>Det rapporterade beloppet ska representera det kapitalbasbelopp som b</w:t>
            </w:r>
            <w:r>
              <w:t>e</w:t>
            </w:r>
            <w:r>
              <w:t>hövs för att fylla respektive kapitalbuffertkrav på rapporteringsdatumet.</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lastRenderedPageBreak/>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Buffert för andra systemviktiga institut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128.3 och 131 i CRD.</w:t>
            </w:r>
          </w:p>
          <w:p w:rsidR="005643EA" w:rsidRPr="00201704" w:rsidRDefault="00DF65DF" w:rsidP="00FD239F">
            <w:pPr>
              <w:pStyle w:val="InstructionsText"/>
              <w:rPr>
                <w:rStyle w:val="InstructionsTabelleberschrift"/>
                <w:rFonts w:ascii="Times New Roman" w:hAnsi="Times New Roman"/>
                <w:b w:val="0"/>
                <w:bCs w:val="0"/>
                <w:sz w:val="24"/>
                <w:u w:val="none"/>
              </w:rPr>
            </w:pPr>
            <w:r>
              <w:t>Det rapporterade beloppet ska representera det kapitalbasbelopp som b</w:t>
            </w:r>
            <w:r>
              <w:t>e</w:t>
            </w:r>
            <w:r>
              <w:t>hövs för att fylla respektive kapitalbuffertkrav på rapporteringsdatumet.</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Kapitalbaskrav avseende justeringar enligt pelare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104.2 i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behörig myndighet ålägger ett institut att beräkna extra kapita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baskrav på grundval av andra pelaren ska dessa extra kapitalbaskrav rapporteras i denna cell.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12 och 28–31 i CRD samt artikel 93 i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Kapitalbas baserad på fasta omkostnader</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96.2 b, 97 och 98.1 a i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Icke-nationella ursprungliga exponeringar</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information som behövs för att beräkna gränsvärdet för rapportering av mallen för geografisk uppdelning av kreditrisken (CR GB) i enlighet med artikel 5 a 4 i denna förordning. Beräkningen av gränsvärdet ska grunda sig på den ursprungliga exponeringen före tillämpning av 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verteringsfaktor.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exponering ska betraktas som nationell när motparten och institutet är etablerade i samma medlemsstat.</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Totala ursprungliga exponeringar</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information som behövs för att beräkna gränsvärdet för rapportering av mallen för geografisk uppdelning av kreditrisken (CR GB) i enlighet med artikel 5 a 4 i denna förordning. Beräkningen av gränsvärdet ska grunda sig på den ursprungliga exponeringen före tillämpning av 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verteringsfaktor.</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exponering ska betraktas som nationell när motparten och institutet är etablerade i samma medlemsstat.</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av total kapitalbas</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500.4 i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Skillnaden mellan det belopp som rapporteras under 880 och den totala kapitalbasen i enlighet med CRR rapporteras här.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alternativ SA (artikel 500.2 i CRR) tillämpas ska denna rad inte fy</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las i.</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fullständigt justerad för Basel I-golvet</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500.4 i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Total kapitalbas i enlighet med CRR anpassad enligt kraven i artikel 500.4 i CRR (dvs. anpassad för att fullständigt avspegla skillnaderna mellan beräkningen av kapitalbasen enligt direktiven 93/6/EEG och </w:t>
            </w:r>
            <w:r>
              <w:rPr>
                <w:rStyle w:val="InstructionsTabelleberschrift"/>
                <w:rFonts w:ascii="Times New Roman" w:hAnsi="Times New Roman"/>
                <w:b w:val="0"/>
                <w:sz w:val="24"/>
                <w:u w:val="none"/>
              </w:rPr>
              <w:lastRenderedPageBreak/>
              <w:t>2000/12/EG enligt deras lydelse före den 1 januari 2007 och beräknin</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 xml:space="preserve">en av kapitalbasen enligt CRR till följd av att förväntade och oväntade förluster behandlas separat enligt del tre avdelning II kapitel 3 i CRR) rapporteras här.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alternativ SA (artikel 500.2 i CRR) tillämpas ska denna rad inte fy</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las i.</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Kapitalbaskrav för Basel I-golvet</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500.1 b i CRR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kapitalbasbelopp som krävs enligt artikel 500.1 b i CRR (dvs. 80 % av det totala minsta kapitalbasbelopp som institutet skulle ha varit sky</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digt att ha enligt artikel 4 i direktiv 93/6/EEG och Europaparlamentets och rådets direktiv 2000/12/EG av den 20 mars 2000 om rätten att starta och driva verksamhet i kreditinstitut, enligt den lydelse som dessa dire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tiv hade före januari 2007) ska rapporteras här.</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Kapitalbaskrav för Basel I-golvet – alternativ SA</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500.2 och 500.3 i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kapitalbasbelopp som krävs enligt artikel 500.2 i CRR (dvs. 80 % av den kapitalbas som institutet skulle behöva inneha enligt artikel 92 med beräkning av riskvägda exponeringsbelopp i enlighet med del tre avde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ning II kapitel 2 och del tre avdelning III kapitel 2 eller 3 i CRR, ber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ende på vad som är tillämpligt, i stället för i enlighet med del tre avde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ning II kapitel 3 eller del tre avdelning III kapitel 4 i CRR, beroende på vad som är tillämpligt) ska rapporteras här.</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Underskott i total kapitalbas när det gäller kapitalbaskrav för Basel I-golvet eller alternativ SA</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500.1 b och 500.2 i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fylls i med:</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om artikel 500.1 b i CRR tillämpas och rad 880 &lt; rad 890: </w:t>
            </w:r>
            <w:r>
              <w:rPr>
                <w:rStyle w:val="InstructionsTabelleberschrift"/>
                <w:rFonts w:ascii="Times New Roman" w:hAnsi="Times New Roman"/>
                <w:b w:val="0"/>
                <w:sz w:val="24"/>
                <w:u w:val="none"/>
              </w:rPr>
              <w:br/>
              <w:t xml:space="preserve">skillnaden mellan rad 890 och rad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eller om artikel 500.2 i CRR tillämpas och rad 010 i C 01.00 &lt; rad 900 i C 04.00: skillnaden mellan rad 900 i C 04.00 och rad 010 i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523820237"/>
      <w:bookmarkStart w:id="89" w:name="_Toc308175834"/>
      <w:r>
        <w:rPr>
          <w:rFonts w:ascii="Times New Roman" w:hAnsi="Times New Roman"/>
          <w:sz w:val="24"/>
          <w:u w:val="none"/>
        </w:rPr>
        <w:t>1.6</w:t>
      </w:r>
      <w:r w:rsidRPr="002B63AB">
        <w:rPr>
          <w:u w:val="none"/>
        </w:rPr>
        <w:tab/>
      </w:r>
      <w:r>
        <w:rPr>
          <w:rFonts w:ascii="Times New Roman" w:hAnsi="Times New Roman"/>
          <w:sz w:val="24"/>
        </w:rPr>
        <w:t>ÖVERGÅNGSBESTÄMMELSER och INSTRUMENT FÖR VILKA ÄLDRE REGLER FÅR TILLÄMPAS: INSTRUMENT SOM INTE UTGÖR STATLIGT STÖD (CA 5</w:t>
      </w:r>
      <w:bookmarkEnd w:id="85"/>
      <w:r>
        <w:rPr>
          <w:rFonts w:ascii="Times New Roman" w:hAnsi="Times New Roman"/>
          <w:sz w:val="24"/>
        </w:rPr>
        <w:t>)</w:t>
      </w:r>
      <w:bookmarkEnd w:id="86"/>
      <w:bookmarkEnd w:id="87"/>
      <w:bookmarkEnd w:id="88"/>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3820238"/>
      <w:bookmarkEnd w:id="89"/>
      <w:r>
        <w:rPr>
          <w:rFonts w:ascii="Times New Roman" w:hAnsi="Times New Roman"/>
          <w:sz w:val="24"/>
          <w:u w:val="none"/>
        </w:rPr>
        <w:t>1.6.1</w:t>
      </w:r>
      <w:r w:rsidRPr="002B63AB">
        <w:rPr>
          <w:u w:val="none"/>
        </w:rPr>
        <w:tab/>
      </w:r>
      <w:r>
        <w:rPr>
          <w:rFonts w:ascii="Times New Roman" w:hAnsi="Times New Roman"/>
          <w:sz w:val="24"/>
        </w:rPr>
        <w:t>Allmänna kommentarer</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t xml:space="preserve">I CA5 summeras beräkningen av de kapitalbasposter och avdrag som omfattas av övergångsbestämmelserna i artiklarna 465–491 i CRR. </w:t>
      </w:r>
    </w:p>
    <w:p w:rsidR="00496C53" w:rsidRPr="00392FFD" w:rsidRDefault="00125707" w:rsidP="00C37B29">
      <w:pPr>
        <w:pStyle w:val="InstructionsText2"/>
        <w:numPr>
          <w:ilvl w:val="0"/>
          <w:numId w:val="0"/>
        </w:numPr>
        <w:ind w:left="993"/>
      </w:pPr>
      <w:r>
        <w:t>16.</w:t>
      </w:r>
      <w:r>
        <w:tab/>
        <w:t>CA5 har följande struktur:</w:t>
      </w:r>
    </w:p>
    <w:p w:rsidR="002648B0" w:rsidRPr="00392FFD" w:rsidRDefault="00125707" w:rsidP="00C37B29">
      <w:pPr>
        <w:pStyle w:val="InstructionsText2"/>
        <w:numPr>
          <w:ilvl w:val="0"/>
          <w:numId w:val="0"/>
        </w:numPr>
        <w:ind w:left="993"/>
      </w:pPr>
      <w:r>
        <w:lastRenderedPageBreak/>
        <w:t>(a)</w:t>
      </w:r>
      <w:r>
        <w:tab/>
        <w:t xml:space="preserve">I </w:t>
      </w:r>
      <w:r>
        <w:rPr>
          <w:u w:val="single"/>
        </w:rPr>
        <w:t>mall 5.1</w:t>
      </w:r>
      <w:r>
        <w:t xml:space="preserve"> summeras de totala justeringar som behövs i kapitalbasens olika d</w:t>
      </w:r>
      <w:r>
        <w:t>e</w:t>
      </w:r>
      <w:r>
        <w:t>lar (rapporteras i CA1 i enlighet med de slutgiltiga bestämmelserna) till följd av att övergångsbestämmelserna tillämpas. Posterna i denna tabell redovisas som ”just</w:t>
      </w:r>
      <w:r>
        <w:t>e</w:t>
      </w:r>
      <w:r>
        <w:t>ringar” av de olika delarna av kapitalet i CA1 för att effekterna av övergångsb</w:t>
      </w:r>
      <w:r>
        <w:t>e</w:t>
      </w:r>
      <w:r>
        <w:t>stämmelserna ska avspeglas i kapitalbasens olika delar.</w:t>
      </w:r>
    </w:p>
    <w:p w:rsidR="002648B0" w:rsidRPr="00392FFD" w:rsidRDefault="00125707" w:rsidP="00C37B29">
      <w:pPr>
        <w:pStyle w:val="InstructionsText2"/>
        <w:numPr>
          <w:ilvl w:val="0"/>
          <w:numId w:val="0"/>
        </w:numPr>
        <w:ind w:left="993"/>
      </w:pPr>
      <w:r>
        <w:t>(b)</w:t>
      </w:r>
      <w:r>
        <w:tab/>
        <w:t xml:space="preserve">I </w:t>
      </w:r>
      <w:r>
        <w:rPr>
          <w:u w:val="single"/>
        </w:rPr>
        <w:t>mall 5.2</w:t>
      </w:r>
      <w:r>
        <w:t xml:space="preserve"> tillhandahålls ytterligare detaljer om beräkningen av de instrument för vilka äldre regler får tillämpas och som inte utgör statligt stöd. </w:t>
      </w:r>
    </w:p>
    <w:p w:rsidR="005643EA" w:rsidRPr="00392FFD" w:rsidRDefault="00125707" w:rsidP="00C37B29">
      <w:pPr>
        <w:pStyle w:val="InstructionsText2"/>
        <w:numPr>
          <w:ilvl w:val="0"/>
          <w:numId w:val="0"/>
        </w:numPr>
        <w:ind w:left="993"/>
      </w:pPr>
      <w:bookmarkStart w:id="95" w:name="_Toc307386943"/>
      <w:r>
        <w:t>17.</w:t>
      </w:r>
      <w:r>
        <w:tab/>
        <w:t>Instituten ska i de första fyra kolumnerna rapportera justeringarna av kärnpr</w:t>
      </w:r>
      <w:r>
        <w:t>i</w:t>
      </w:r>
      <w:r>
        <w:t>märkapital, primärkapitaltillskott och supplementärkapital samt de belopp som ska behandlas som riskvägda tillgångar. Instituten ska också rapportera den tillämpliga procentandelen i kolumn 050 och det godtagbara beloppet utan beaktande av öve</w:t>
      </w:r>
      <w:r>
        <w:t>r</w:t>
      </w:r>
      <w:r>
        <w:t>gångsbestämmelser i kolumn 060.</w:t>
      </w:r>
    </w:p>
    <w:p w:rsidR="005643EA" w:rsidRPr="00392FFD" w:rsidRDefault="00125707" w:rsidP="00C37B29">
      <w:pPr>
        <w:pStyle w:val="InstructionsText2"/>
        <w:numPr>
          <w:ilvl w:val="0"/>
          <w:numId w:val="0"/>
        </w:numPr>
        <w:ind w:left="993"/>
      </w:pPr>
      <w:r>
        <w:t>18.</w:t>
      </w:r>
      <w:r>
        <w:tab/>
        <w:t>Instituten ska endast rapportera delar av innehållet i CA5 under giltighetsp</w:t>
      </w:r>
      <w:r>
        <w:t>e</w:t>
      </w:r>
      <w:r>
        <w:t>rioden för övergångsbestämmelserna enligt del tio i CRR.</w:t>
      </w:r>
    </w:p>
    <w:p w:rsidR="005643EA" w:rsidRPr="00392FFD" w:rsidRDefault="00125707" w:rsidP="00C37B29">
      <w:pPr>
        <w:pStyle w:val="InstructionsText2"/>
        <w:numPr>
          <w:ilvl w:val="0"/>
          <w:numId w:val="0"/>
        </w:numPr>
        <w:ind w:left="993"/>
      </w:pPr>
      <w:r>
        <w:t>19.</w:t>
      </w:r>
      <w:r>
        <w:tab/>
        <w:t>Enligt vissa av övergångsbestämmelserna krävs ett avdrag från primärkapitalet. Om så är fallet ska restvärdet av ett eller flera avdrag tillämpas på primärkapitalet, och om primärkapitaltillskottet inte räcker för att täcka detta belopp ska resterande del dras från kärnprimärkapitalet.</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523820239"/>
      <w:bookmarkStart w:id="99" w:name="_Toc360188335"/>
      <w:bookmarkStart w:id="100" w:name="_Toc308175836"/>
      <w:bookmarkEnd w:id="95"/>
      <w:r>
        <w:rPr>
          <w:rFonts w:ascii="Times New Roman" w:hAnsi="Times New Roman"/>
          <w:sz w:val="24"/>
          <w:u w:val="none"/>
        </w:rPr>
        <w:t>1.6.2.</w:t>
      </w:r>
      <w:r w:rsidRPr="006948E2">
        <w:rPr>
          <w:u w:val="none"/>
        </w:rPr>
        <w:tab/>
      </w:r>
      <w:r>
        <w:rPr>
          <w:rFonts w:ascii="Times New Roman" w:hAnsi="Times New Roman"/>
          <w:sz w:val="24"/>
        </w:rPr>
        <w:t>C 05.01 – ÖVERGÅNGSBESTÄMMELSER (CA5.1)</w:t>
      </w:r>
      <w:bookmarkEnd w:id="96"/>
      <w:bookmarkEnd w:id="97"/>
      <w:bookmarkEnd w:id="98"/>
      <w:r>
        <w:rPr>
          <w:rFonts w:ascii="Times New Roman" w:hAnsi="Times New Roman"/>
          <w:sz w:val="24"/>
        </w:rPr>
        <w:t xml:space="preserve"> </w:t>
      </w:r>
      <w:bookmarkEnd w:id="99"/>
      <w:bookmarkEnd w:id="100"/>
    </w:p>
    <w:p w:rsidR="002648B0" w:rsidRPr="00392FFD" w:rsidRDefault="00125707" w:rsidP="00C37B29">
      <w:pPr>
        <w:pStyle w:val="InstructionsText2"/>
        <w:numPr>
          <w:ilvl w:val="0"/>
          <w:numId w:val="0"/>
        </w:numPr>
        <w:ind w:left="993"/>
      </w:pPr>
      <w:r>
        <w:t>20.</w:t>
      </w:r>
      <w:r>
        <w:tab/>
        <w:t xml:space="preserve">I tabell 5.1 ska instituten rapportera hur övergångsbestämmelserna påverkar kapitalbasens komponenter i enlighet med artiklarna 465–491 i CRR i förhållande till de slutgiltiga bestämmelser som fastställs i avdelning II i del två i CRR. </w:t>
      </w:r>
    </w:p>
    <w:p w:rsidR="00783881" w:rsidRPr="00392FFD" w:rsidRDefault="00125707" w:rsidP="00C37B29">
      <w:pPr>
        <w:pStyle w:val="InstructionsText2"/>
        <w:numPr>
          <w:ilvl w:val="0"/>
          <w:numId w:val="0"/>
        </w:numPr>
        <w:ind w:left="993"/>
      </w:pPr>
      <w:r>
        <w:t>21.</w:t>
      </w:r>
      <w:r>
        <w:tab/>
        <w:t>På raderna 020–060 ska instituten rapportera uppgifter som rör övergångsb</w:t>
      </w:r>
      <w:r>
        <w:t>e</w:t>
      </w:r>
      <w:r>
        <w:t>stämmelserna för instrument för vilka äldre regler får tillämpas. De sifferuppgifter som ska rapporteras i kolumnerna 010–060 på rad 060 i CA 5.1 kan härledas från respektive sektioner i CA 5.2.</w:t>
      </w:r>
    </w:p>
    <w:p w:rsidR="00496C53" w:rsidRPr="00392FFD" w:rsidRDefault="00125707" w:rsidP="00C37B29">
      <w:pPr>
        <w:pStyle w:val="InstructionsText2"/>
        <w:numPr>
          <w:ilvl w:val="0"/>
          <w:numId w:val="0"/>
        </w:numPr>
        <w:ind w:left="993"/>
      </w:pPr>
      <w:r>
        <w:t>22.</w:t>
      </w:r>
      <w:r>
        <w:tab/>
        <w:t>På raderna 070–092 ska instituten rapportera uppgifter som rör övergångb</w:t>
      </w:r>
      <w:r>
        <w:t>e</w:t>
      </w:r>
      <w:r>
        <w:t>stämmelserna för de minoritetsinnehav, primärkapitaltillskott och övriga suppl</w:t>
      </w:r>
      <w:r>
        <w:t>e</w:t>
      </w:r>
      <w:r>
        <w:t>mentärkapitalinstrument som är utgivna av dotterföretag (i enlighet med artiklarna 479 och 480 i CRR).</w:t>
      </w:r>
    </w:p>
    <w:p w:rsidR="00783881" w:rsidRPr="00392FFD" w:rsidRDefault="00125707" w:rsidP="00C37B29">
      <w:pPr>
        <w:pStyle w:val="InstructionsText2"/>
        <w:numPr>
          <w:ilvl w:val="0"/>
          <w:numId w:val="0"/>
        </w:numPr>
        <w:ind w:left="993"/>
      </w:pPr>
      <w:r>
        <w:t>23.</w:t>
      </w:r>
      <w:r>
        <w:tab/>
        <w:t>På raderna 100 och framåt ska instituten rapportera uppgifter som rör öve</w:t>
      </w:r>
      <w:r>
        <w:t>r</w:t>
      </w:r>
      <w:r>
        <w:t>gångsbestämmelserna för orealiserade vinster och förluster, avdrag samt ytterligare filter och avdrag.</w:t>
      </w:r>
    </w:p>
    <w:p w:rsidR="005643EA" w:rsidRPr="00392FFD" w:rsidRDefault="00125707" w:rsidP="00C37B29">
      <w:pPr>
        <w:pStyle w:val="InstructionsText2"/>
        <w:numPr>
          <w:ilvl w:val="0"/>
          <w:numId w:val="0"/>
        </w:numPr>
        <w:ind w:left="993"/>
      </w:pPr>
      <w:r>
        <w:t>24.</w:t>
      </w:r>
      <w:r>
        <w:tab/>
        <w:t>Avdragen i enlighet med övergångsbestämmelserna från kärnprimärkapital, primärkapitaltillskott eller supplementärkapital kan i vissa fall vara större än instit</w:t>
      </w:r>
      <w:r>
        <w:t>u</w:t>
      </w:r>
      <w:r>
        <w:t>tets kärnprimärkapital, primärkapitaltillskott respektive supplementärkapital. Om denna effekt orsakas av övergångsbestämmelserna ska den redovisas i mall CA1 i respektive celler. Om övergångsbestämmelserna ger en sådan effekt ska denna r</w:t>
      </w:r>
      <w:r>
        <w:t>e</w:t>
      </w:r>
      <w:r>
        <w:t>dovisas i respektive celler i mall CA 1. Därför ingår inga sådana effekter av otil</w:t>
      </w:r>
      <w:r>
        <w:t>l</w:t>
      </w:r>
      <w:r>
        <w:t xml:space="preserve">räckligt kapital i justeringarna i kolumnerna i mall CA5.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3820240"/>
      <w:r>
        <w:rPr>
          <w:rFonts w:ascii="Times New Roman" w:hAnsi="Times New Roman"/>
          <w:sz w:val="24"/>
          <w:u w:val="none"/>
        </w:rPr>
        <w:lastRenderedPageBreak/>
        <w:t>1.6.2.1.</w:t>
      </w:r>
      <w:r w:rsidRPr="006948E2">
        <w:rPr>
          <w:u w:val="none"/>
        </w:rPr>
        <w:tab/>
      </w:r>
      <w:r>
        <w:rPr>
          <w:rFonts w:ascii="Times New Roman" w:hAnsi="Times New Roman"/>
          <w:sz w:val="24"/>
        </w:rPr>
        <w:t>Instruktioner för specifika positioner</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Kolumn</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kärnprimärkapital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primärkapitaltillskott</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supplementärkapital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inkluderade i riskjusterade tillgångar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 kolumn 040 ingår de relevanta belopp som justerar det totala riskvägda exponeringsbelopp som avses i artikel 92.3 i CRR till följd av övergång</w:t>
            </w:r>
            <w:r>
              <w:rPr>
                <w:rStyle w:val="InstructionsTabelleText"/>
                <w:rFonts w:ascii="Times New Roman" w:hAnsi="Times New Roman"/>
                <w:sz w:val="24"/>
              </w:rPr>
              <w:t>s</w:t>
            </w:r>
            <w:r>
              <w:rPr>
                <w:rStyle w:val="InstructionsTabelleText"/>
                <w:rFonts w:ascii="Times New Roman" w:hAnsi="Times New Roman"/>
                <w:sz w:val="24"/>
              </w:rPr>
              <w:t>bestämmelser. I de rapporterade beloppen ska hänsyn tas till tillämpningen av bestämmelser i del tre avdelning II kapitel 2 eller 3 eller del tre avde</w:t>
            </w:r>
            <w:r>
              <w:rPr>
                <w:rStyle w:val="InstructionsTabelleText"/>
                <w:rFonts w:ascii="Times New Roman" w:hAnsi="Times New Roman"/>
                <w:sz w:val="24"/>
              </w:rPr>
              <w:t>l</w:t>
            </w:r>
            <w:r>
              <w:rPr>
                <w:rStyle w:val="InstructionsTabelleText"/>
                <w:rFonts w:ascii="Times New Roman" w:hAnsi="Times New Roman"/>
                <w:sz w:val="24"/>
              </w:rPr>
              <w:t>ning IV i enlighet med artikel 92.4 i CRR. Detta innebär att övergångsb</w:t>
            </w:r>
            <w:r>
              <w:rPr>
                <w:rStyle w:val="InstructionsTabelleText"/>
                <w:rFonts w:ascii="Times New Roman" w:hAnsi="Times New Roman"/>
                <w:sz w:val="24"/>
              </w:rPr>
              <w:t>e</w:t>
            </w:r>
            <w:r>
              <w:rPr>
                <w:rStyle w:val="InstructionsTabelleText"/>
                <w:rFonts w:ascii="Times New Roman" w:hAnsi="Times New Roman"/>
                <w:sz w:val="24"/>
              </w:rPr>
              <w:t>lopp som omfattas av bestämmelserna i del tre avdelning II kapitlen 2 eller 3 ska rapporteras som riskvägda exponeringsbelopp medan övergångsb</w:t>
            </w:r>
            <w:r>
              <w:rPr>
                <w:rStyle w:val="InstructionsTabelleText"/>
                <w:rFonts w:ascii="Times New Roman" w:hAnsi="Times New Roman"/>
                <w:sz w:val="24"/>
              </w:rPr>
              <w:t>e</w:t>
            </w:r>
            <w:r>
              <w:rPr>
                <w:rStyle w:val="InstructionsTabelleText"/>
                <w:rFonts w:ascii="Times New Roman" w:hAnsi="Times New Roman"/>
                <w:sz w:val="24"/>
              </w:rPr>
              <w:t>lopp som omfattas av del tre avdelning IV ska representera kapitalbaskr</w:t>
            </w:r>
            <w:r>
              <w:rPr>
                <w:rStyle w:val="InstructionsTabelleText"/>
                <w:rFonts w:ascii="Times New Roman" w:hAnsi="Times New Roman"/>
                <w:sz w:val="24"/>
              </w:rPr>
              <w:t>a</w:t>
            </w:r>
            <w:r>
              <w:rPr>
                <w:rStyle w:val="InstructionsTabelleText"/>
                <w:rFonts w:ascii="Times New Roman" w:hAnsi="Times New Roman"/>
                <w:sz w:val="24"/>
              </w:rPr>
              <w:t>ven multiplicerat med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Kolumnerna 010–030 är direkt kopplade till CA1-mallen, och justeringarna av det totala riskvägda exponeringsbeloppet har därför ingen direkt kop</w:t>
            </w:r>
            <w:r>
              <w:rPr>
                <w:rStyle w:val="InstructionsTabelleText"/>
                <w:rFonts w:ascii="Times New Roman" w:hAnsi="Times New Roman"/>
                <w:sz w:val="24"/>
              </w:rPr>
              <w:t>p</w:t>
            </w:r>
            <w:r>
              <w:rPr>
                <w:rStyle w:val="InstructionsTabelleText"/>
                <w:rFonts w:ascii="Times New Roman" w:hAnsi="Times New Roman"/>
                <w:sz w:val="24"/>
              </w:rPr>
              <w:t>ling till de relevanta kreditriskmallarna. Justeringar som härrör från öve</w:t>
            </w:r>
            <w:r>
              <w:rPr>
                <w:rStyle w:val="InstructionsTabelleText"/>
                <w:rFonts w:ascii="Times New Roman" w:hAnsi="Times New Roman"/>
                <w:sz w:val="24"/>
              </w:rPr>
              <w:t>r</w:t>
            </w:r>
            <w:r>
              <w:rPr>
                <w:rStyle w:val="InstructionsTabelleText"/>
                <w:rFonts w:ascii="Times New Roman" w:hAnsi="Times New Roman"/>
                <w:sz w:val="24"/>
              </w:rPr>
              <w:t>gångsbestämmelserna om det totala riskvägda exponeringsbeloppet ska rapporteras direkt i någon av mallarna CR SA, CR IRB, CR EQU IRB, MKR SA TDI, MKR SA EQU eller MKR IM. Dessutom ska dessa effekter rapporteras i kolumn 040 i CA5.1. Beloppen är därför endast memora</w:t>
            </w:r>
            <w:r>
              <w:rPr>
                <w:rStyle w:val="InstructionsTabelleText"/>
                <w:rFonts w:ascii="Times New Roman" w:hAnsi="Times New Roman"/>
                <w:sz w:val="24"/>
              </w:rPr>
              <w:t>n</w:t>
            </w:r>
            <w:r>
              <w:rPr>
                <w:rStyle w:val="InstructionsTabelleText"/>
                <w:rFonts w:ascii="Times New Roman" w:hAnsi="Times New Roman"/>
                <w:sz w:val="24"/>
              </w:rPr>
              <w:t xml:space="preserve">dumposter.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Tillämplig procentandel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belopp utan övergångsbestämmelser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 kolumn 060 ingår värdet av varje instrument före tillämpning av öve</w:t>
            </w:r>
            <w:r>
              <w:rPr>
                <w:rStyle w:val="InstructionsTabelleText"/>
                <w:rFonts w:ascii="Times New Roman" w:hAnsi="Times New Roman"/>
                <w:sz w:val="24"/>
              </w:rPr>
              <w:t>r</w:t>
            </w:r>
            <w:r>
              <w:rPr>
                <w:rStyle w:val="InstructionsTabelleText"/>
                <w:rFonts w:ascii="Times New Roman" w:hAnsi="Times New Roman"/>
                <w:sz w:val="24"/>
              </w:rPr>
              <w:t>gångsbestämmelser, dvs. det värde som ligger till grund för beräkningen av justeringarna.</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Rad</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1 Summa justeringar</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Denna rad avspeglar övergångsjusteringarnas sammantagna effekt inom de olika typerna av kapital och de riskvägda belopp som härrör från dessa j</w:t>
            </w:r>
            <w:r>
              <w:rPr>
                <w:rStyle w:val="InstructionsTabelleText"/>
                <w:rFonts w:ascii="Times New Roman" w:hAnsi="Times New Roman"/>
                <w:sz w:val="24"/>
              </w:rPr>
              <w:t>u</w:t>
            </w:r>
            <w:r>
              <w:rPr>
                <w:rStyle w:val="InstructionsTabelleText"/>
                <w:rFonts w:ascii="Times New Roman" w:hAnsi="Times New Roman"/>
                <w:sz w:val="24"/>
              </w:rPr>
              <w:t>steringar.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 för vilka äldre regler får tillämpas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483–491 i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Denna rad avspeglar den sammantagna effekten av att vissa instrument u</w:t>
            </w:r>
            <w:r>
              <w:rPr>
                <w:rStyle w:val="InstructionsTabelleText"/>
                <w:rFonts w:ascii="Times New Roman" w:hAnsi="Times New Roman"/>
                <w:sz w:val="24"/>
              </w:rPr>
              <w:t>n</w:t>
            </w:r>
            <w:r>
              <w:rPr>
                <w:rStyle w:val="InstructionsTabelleText"/>
                <w:rFonts w:ascii="Times New Roman" w:hAnsi="Times New Roman"/>
                <w:sz w:val="24"/>
              </w:rPr>
              <w:t>der en övergångsperiod värderas enligt äldre regler inom de olika typerna av kapital.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 xml:space="preserve">Instrument för vilka äldre regler får tillämpas: Instrument som </w:t>
            </w:r>
            <w:r>
              <w:rPr>
                <w:rStyle w:val="InstructionsTabelleberschrift"/>
                <w:rFonts w:ascii="Times New Roman" w:hAnsi="Times New Roman"/>
                <w:sz w:val="24"/>
              </w:rPr>
              <w:lastRenderedPageBreak/>
              <w:t>utgör statligt stöd</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Artikel 483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 som var kvalificerade som kapitalbas enligt 2006/48/EG</w:t>
            </w:r>
          </w:p>
          <w:p w:rsidR="005643EA" w:rsidRPr="00201704" w:rsidRDefault="002648B0" w:rsidP="00FD239F">
            <w:pPr>
              <w:pStyle w:val="InstructionsText"/>
              <w:rPr>
                <w:bCs/>
              </w:rPr>
            </w:pPr>
            <w:r>
              <w:rPr>
                <w:rStyle w:val="InstructionsTabelleText"/>
                <w:rFonts w:ascii="Times New Roman" w:hAnsi="Times New Roman"/>
                <w:sz w:val="24"/>
              </w:rPr>
              <w:t>Artikel 483.1, 483.2, 483.4 och 483.6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 som har utfärdats av institut som är etablerade i en medlemsstat som omfattas av ett ekonomiskt anpassningsprogram</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Artikel 483.1, 483.3, 483.5, 483.7 och 483.8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 som inte är statligt stöd</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De belopp som ska rapporteras ska hämtas från kolumn 060 i tabell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1,2 Minoritetsintressen eller motsvarande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479 och 480 i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effekter på de minoritet</w:t>
            </w:r>
            <w:r>
              <w:rPr>
                <w:rStyle w:val="InstructionsTabelleText"/>
                <w:rFonts w:ascii="Times New Roman" w:hAnsi="Times New Roman"/>
                <w:sz w:val="24"/>
              </w:rPr>
              <w:t>s</w:t>
            </w:r>
            <w:r>
              <w:rPr>
                <w:rStyle w:val="InstructionsTabelleText"/>
                <w:rFonts w:ascii="Times New Roman" w:hAnsi="Times New Roman"/>
                <w:sz w:val="24"/>
              </w:rPr>
              <w:t>intressen som godtas som kärnprimärkapital, de kvalificerande primärkap</w:t>
            </w:r>
            <w:r>
              <w:rPr>
                <w:rStyle w:val="InstructionsTabelleText"/>
                <w:rFonts w:ascii="Times New Roman" w:hAnsi="Times New Roman"/>
                <w:sz w:val="24"/>
              </w:rPr>
              <w:t>i</w:t>
            </w:r>
            <w:r>
              <w:rPr>
                <w:rStyle w:val="InstructionsTabelleText"/>
                <w:rFonts w:ascii="Times New Roman" w:hAnsi="Times New Roman"/>
                <w:sz w:val="24"/>
              </w:rPr>
              <w:t>talinstrument som godtas som konsoliderat primärkapitaltillskott, och den kvalificerande kapitalbas som godtas som konsoliderat supplementärkap</w:t>
            </w:r>
            <w:r>
              <w:rPr>
                <w:rStyle w:val="InstructionsTabelleText"/>
                <w:rFonts w:ascii="Times New Roman" w:hAnsi="Times New Roman"/>
                <w:sz w:val="24"/>
              </w:rPr>
              <w:t>i</w:t>
            </w:r>
            <w:r>
              <w:rPr>
                <w:rStyle w:val="InstructionsTabelleText"/>
                <w:rFonts w:ascii="Times New Roman" w:hAnsi="Times New Roman"/>
                <w:sz w:val="24"/>
              </w:rPr>
              <w:t>tal.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 och poster som inte kvalificeras som minor</w:t>
            </w:r>
            <w:r>
              <w:rPr>
                <w:rStyle w:val="InstructionsTabelleberschrift"/>
                <w:rFonts w:ascii="Times New Roman" w:hAnsi="Times New Roman"/>
                <w:sz w:val="24"/>
              </w:rPr>
              <w:t>i</w:t>
            </w:r>
            <w:r>
              <w:rPr>
                <w:rStyle w:val="InstructionsTabelleberschrift"/>
                <w:rFonts w:ascii="Times New Roman" w:hAnsi="Times New Roman"/>
                <w:sz w:val="24"/>
              </w:rPr>
              <w:t>tetsintressen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i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Det belopp som ska rapporteras i kolumn 060 på denna rad ska vara det b</w:t>
            </w:r>
            <w:r>
              <w:rPr>
                <w:rStyle w:val="InstructionsTabelleText"/>
                <w:rFonts w:ascii="Times New Roman" w:hAnsi="Times New Roman"/>
                <w:sz w:val="24"/>
              </w:rPr>
              <w:t>e</w:t>
            </w:r>
            <w:r>
              <w:rPr>
                <w:rStyle w:val="InstructionsTabelleText"/>
                <w:rFonts w:ascii="Times New Roman" w:hAnsi="Times New Roman"/>
                <w:sz w:val="24"/>
              </w:rPr>
              <w:t xml:space="preserve">lopp som är kvalificerat som konsoliderade reserver i enlighet med tidigare lagstiftning.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Erkännande i konsoliderad kapitalbas av minoritetsintressen under en övergångsperiod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84 och 480 i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ska vara det godtagbara beloppet utan tillämpning av övergångsbestämmelser.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Erkännande i konsoliderad kapitalbas av kvalificerande pr</w:t>
            </w:r>
            <w:r>
              <w:rPr>
                <w:rStyle w:val="InstructionsTabelleberschrift"/>
                <w:rFonts w:ascii="Times New Roman" w:hAnsi="Times New Roman"/>
                <w:sz w:val="24"/>
              </w:rPr>
              <w:t>i</w:t>
            </w:r>
            <w:r>
              <w:rPr>
                <w:rStyle w:val="InstructionsTabelleberschrift"/>
                <w:rFonts w:ascii="Times New Roman" w:hAnsi="Times New Roman"/>
                <w:sz w:val="24"/>
              </w:rPr>
              <w:t>märkapitaltillskott under en övergångsperiod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85 och 480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ska vara det godtagbara beloppet utan tillämpning av övergångsbestämmelser.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Erkännande i konsoliderad kapitalbas av kvalificerande su</w:t>
            </w:r>
            <w:r>
              <w:rPr>
                <w:rStyle w:val="InstructionsTabelleberschrift"/>
                <w:rFonts w:ascii="Times New Roman" w:hAnsi="Times New Roman"/>
                <w:sz w:val="24"/>
              </w:rPr>
              <w:t>p</w:t>
            </w:r>
            <w:r>
              <w:rPr>
                <w:rStyle w:val="InstructionsTabelleberschrift"/>
                <w:rFonts w:ascii="Times New Roman" w:hAnsi="Times New Roman"/>
                <w:sz w:val="24"/>
              </w:rPr>
              <w:t>plementärkapital under en övergångsperiod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87 och 480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ska vara det godtagbara beloppet utan tillämpning av övergångsbestämmelser.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1,3 Övriga övergångsjusteringar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467–478 och 481 i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övergångsjusteringarnas sammantagna effekt på a</w:t>
            </w:r>
            <w:r>
              <w:rPr>
                <w:rStyle w:val="InstructionsTabelleText"/>
                <w:rFonts w:ascii="Times New Roman" w:hAnsi="Times New Roman"/>
                <w:sz w:val="24"/>
              </w:rPr>
              <w:t>v</w:t>
            </w:r>
            <w:r>
              <w:rPr>
                <w:rStyle w:val="InstructionsTabelleText"/>
                <w:rFonts w:ascii="Times New Roman" w:hAnsi="Times New Roman"/>
                <w:sz w:val="24"/>
              </w:rPr>
              <w:t>dragen från olika typer av kapital, orealiserade vinster och förluster, övriga filter och avdrag samt de riskvägda belopp som härrör från dessa justerin</w:t>
            </w:r>
            <w:r>
              <w:rPr>
                <w:rStyle w:val="InstructionsTabelleText"/>
                <w:rFonts w:ascii="Times New Roman" w:hAnsi="Times New Roman"/>
                <w:sz w:val="24"/>
              </w:rPr>
              <w:t>g</w:t>
            </w:r>
            <w:r>
              <w:rPr>
                <w:rStyle w:val="InstructionsTabelleText"/>
                <w:rFonts w:ascii="Times New Roman" w:hAnsi="Times New Roman"/>
                <w:sz w:val="24"/>
              </w:rPr>
              <w:t>ar.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Orealiserade vinster och förluster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467 och 468 i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de orealiserade vinster och förluster som tas upp till verkligt värde.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Orealiserade vinster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468.1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Orealiserade förluster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467.1 i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Orealiserade vinster på exponeringar mot nationella regeringar klassificerade i kategorin tillgångar ”som kan säljas” i den av EU go</w:t>
            </w:r>
            <w:r>
              <w:rPr>
                <w:rStyle w:val="InstructionsTabelleberschrift"/>
                <w:rFonts w:ascii="Times New Roman" w:hAnsi="Times New Roman"/>
                <w:sz w:val="24"/>
              </w:rPr>
              <w:t>d</w:t>
            </w:r>
            <w:r>
              <w:rPr>
                <w:rStyle w:val="InstructionsTabelleberschrift"/>
                <w:rFonts w:ascii="Times New Roman" w:hAnsi="Times New Roman"/>
                <w:sz w:val="24"/>
              </w:rPr>
              <w:t>kända IAS 39</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468 i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Orealiserade förluster på exponeringar mot nationella reg</w:t>
            </w:r>
            <w:r>
              <w:rPr>
                <w:rStyle w:val="InstructionsTabelleberschrift"/>
                <w:rFonts w:ascii="Times New Roman" w:hAnsi="Times New Roman"/>
                <w:sz w:val="24"/>
              </w:rPr>
              <w:t>e</w:t>
            </w:r>
            <w:r>
              <w:rPr>
                <w:rStyle w:val="InstructionsTabelleberschrift"/>
                <w:rFonts w:ascii="Times New Roman" w:hAnsi="Times New Roman"/>
                <w:sz w:val="24"/>
              </w:rPr>
              <w:t>ringar klassificerade i kategorin tillgångar ”som kan säljas” i den av EU godkända IAS 39</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467 i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Vinster och förluster i verkligt värde som härrör från instit</w:t>
            </w:r>
            <w:r>
              <w:rPr>
                <w:rStyle w:val="InstructionsTabelleberschrift"/>
                <w:rFonts w:ascii="Times New Roman" w:hAnsi="Times New Roman"/>
                <w:sz w:val="24"/>
              </w:rPr>
              <w:t>u</w:t>
            </w:r>
            <w:r>
              <w:rPr>
                <w:rStyle w:val="InstructionsTabelleberschrift"/>
                <w:rFonts w:ascii="Times New Roman" w:hAnsi="Times New Roman"/>
                <w:sz w:val="24"/>
              </w:rPr>
              <w:t>tets egen kreditrisk avseende derivatskulder</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468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Avdrag</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36.1, 469–478 i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avdrag.</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Förluster för innevarande räkenskapsår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Artiklarna 36.1 a, 469.1, 472.3 och 478 i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Det belopp som ska rapporteras i kolumn 060 på denna rad ska vara det u</w:t>
            </w:r>
            <w:r>
              <w:rPr>
                <w:rStyle w:val="InstructionsTabelleText"/>
                <w:rFonts w:ascii="Times New Roman" w:hAnsi="Times New Roman"/>
                <w:sz w:val="24"/>
              </w:rPr>
              <w:t>r</w:t>
            </w:r>
            <w:r>
              <w:rPr>
                <w:rStyle w:val="InstructionsTabelleText"/>
                <w:rFonts w:ascii="Times New Roman" w:hAnsi="Times New Roman"/>
                <w:sz w:val="24"/>
              </w:rPr>
              <w:t>sprungliga avdraget i enlighet med artikel 36.1 a i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Om ett företag endast är skyldigt att dra av väsentliga förluster gäller fö</w:t>
            </w:r>
            <w:r>
              <w:rPr>
                <w:rStyle w:val="InstructionsTabelleText"/>
                <w:rFonts w:ascii="Times New Roman" w:hAnsi="Times New Roman"/>
                <w:sz w:val="24"/>
              </w:rPr>
              <w:t>l</w:t>
            </w:r>
            <w:r>
              <w:rPr>
                <w:rStyle w:val="InstructionsTabelleText"/>
                <w:rFonts w:ascii="Times New Roman" w:hAnsi="Times New Roman"/>
                <w:sz w:val="24"/>
              </w:rPr>
              <w:t>jande: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Om den totala delårsnettoförlusten är ”väsentlig” ska hela restvärdet dras av från primärkapitalet.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Om den totala delårsnettoförlusten inte är ”väsentlig” ska inget restvärde dras av.</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Immateriella tillgångar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b, 469.1, 472.4 och 478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37 i CRR när de b</w:t>
            </w:r>
            <w:r>
              <w:rPr>
                <w:rStyle w:val="InstructionsTabelleText"/>
                <w:rFonts w:ascii="Times New Roman" w:hAnsi="Times New Roman"/>
                <w:sz w:val="24"/>
              </w:rPr>
              <w:t>e</w:t>
            </w:r>
            <w:r>
              <w:rPr>
                <w:rStyle w:val="InstructionsTabelleText"/>
                <w:rFonts w:ascii="Times New Roman" w:hAnsi="Times New Roman"/>
                <w:sz w:val="24"/>
              </w:rPr>
              <w:t>stämmer hur stora avdrag som ska göras för immateriella tillgångar.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är det ursprun</w:t>
            </w:r>
            <w:r>
              <w:rPr>
                <w:rStyle w:val="InstructionsTabelleText"/>
                <w:rFonts w:ascii="Times New Roman" w:hAnsi="Times New Roman"/>
                <w:sz w:val="24"/>
              </w:rPr>
              <w:t>g</w:t>
            </w:r>
            <w:r>
              <w:rPr>
                <w:rStyle w:val="InstructionsTabelleText"/>
                <w:rFonts w:ascii="Times New Roman" w:hAnsi="Times New Roman"/>
                <w:sz w:val="24"/>
              </w:rPr>
              <w:t>liga avdraget i enlighet med artikel 36.1 b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Uppskjutna skattefordringar som är beroende av fra</w:t>
            </w:r>
            <w:r>
              <w:rPr>
                <w:rStyle w:val="InstructionsTabelleberschrift"/>
                <w:rFonts w:ascii="Times New Roman" w:hAnsi="Times New Roman"/>
                <w:sz w:val="24"/>
              </w:rPr>
              <w:t>m</w:t>
            </w:r>
            <w:r>
              <w:rPr>
                <w:rStyle w:val="InstructionsTabelleberschrift"/>
                <w:rFonts w:ascii="Times New Roman" w:hAnsi="Times New Roman"/>
                <w:sz w:val="24"/>
              </w:rPr>
              <w:t>tida lönsamhet och som inte uppstår till följd av tillfälliga skillnader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c, 469.1, 472.5 och 478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När instituten bestämmer till vilket värde ovannämnda uppskjutna skatt</w:t>
            </w:r>
            <w:r>
              <w:rPr>
                <w:rStyle w:val="InstructionsTabelleText"/>
                <w:rFonts w:ascii="Times New Roman" w:hAnsi="Times New Roman"/>
                <w:sz w:val="24"/>
              </w:rPr>
              <w:t>e</w:t>
            </w:r>
            <w:r>
              <w:rPr>
                <w:rStyle w:val="InstructionsTabelleText"/>
                <w:rFonts w:ascii="Times New Roman" w:hAnsi="Times New Roman"/>
                <w:sz w:val="24"/>
              </w:rPr>
              <w:t>fordringar ska dras av ska de ta hänsyn till bestämmelserna i artikel 38 i CRR avseende hur uppskjutna skattefordringar som är beroende av fra</w:t>
            </w:r>
            <w:r>
              <w:rPr>
                <w:rStyle w:val="InstructionsTabelleText"/>
                <w:rFonts w:ascii="Times New Roman" w:hAnsi="Times New Roman"/>
                <w:sz w:val="24"/>
              </w:rPr>
              <w:t>m</w:t>
            </w:r>
            <w:r>
              <w:rPr>
                <w:rStyle w:val="InstructionsTabelleText"/>
                <w:rFonts w:ascii="Times New Roman" w:hAnsi="Times New Roman"/>
                <w:sz w:val="24"/>
              </w:rPr>
              <w:t>tida lönsamhet får minskas med uppskjutna skatteskulder.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Totalt belopp enligt artikel 469.1 i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Underskott i avsättningar i förhållande till förväntade förluster (internmetod)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d, 469.1, 472.6 och 478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40 i CRR när de b</w:t>
            </w:r>
            <w:r>
              <w:rPr>
                <w:rStyle w:val="InstructionsTabelleText"/>
                <w:rFonts w:ascii="Times New Roman" w:hAnsi="Times New Roman"/>
                <w:sz w:val="24"/>
              </w:rPr>
              <w:t>e</w:t>
            </w:r>
            <w:r>
              <w:rPr>
                <w:rStyle w:val="InstructionsTabelleText"/>
                <w:rFonts w:ascii="Times New Roman" w:hAnsi="Times New Roman"/>
                <w:sz w:val="24"/>
              </w:rPr>
              <w:t>stämmer hur stora avdrag som ska göras för ovannämnda underskott enligt internmetoden av avsättningar för förväntade förluster.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d i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Förmånsbestämda pensionsplaner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33.1 e, 469.1, 472.7, 473 och 478 i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41 i CRR när de b</w:t>
            </w:r>
            <w:r>
              <w:rPr>
                <w:rStyle w:val="InstructionsTabelleText"/>
                <w:rFonts w:ascii="Times New Roman" w:hAnsi="Times New Roman"/>
                <w:sz w:val="24"/>
              </w:rPr>
              <w:t>e</w:t>
            </w:r>
            <w:r>
              <w:rPr>
                <w:rStyle w:val="InstructionsTabelleText"/>
                <w:rFonts w:ascii="Times New Roman" w:hAnsi="Times New Roman"/>
                <w:sz w:val="24"/>
              </w:rPr>
              <w:t>stämmer hur stora avdrag som ska göras för ovannämnda fastställda fö</w:t>
            </w:r>
            <w:r>
              <w:rPr>
                <w:rStyle w:val="InstructionsTabelleText"/>
                <w:rFonts w:ascii="Times New Roman" w:hAnsi="Times New Roman"/>
                <w:sz w:val="24"/>
              </w:rPr>
              <w:t>r</w:t>
            </w:r>
            <w:r>
              <w:rPr>
                <w:rStyle w:val="InstructionsTabelleText"/>
                <w:rFonts w:ascii="Times New Roman" w:hAnsi="Times New Roman"/>
                <w:sz w:val="24"/>
              </w:rPr>
              <w:t>månsbestämda pensionsplaner.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e i CRR.</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Varav: Införande av ändringar av IAS 19 – positiv post</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Artikel 473 i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Varav: Införande av ändringar av IAS 19 – negativ post</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Artikel 473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Egna instrument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f, 469.1, 472.8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f i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1.3.2.6.1</w:t>
            </w:r>
            <w:r>
              <w:tab/>
            </w:r>
            <w:r>
              <w:rPr>
                <w:rStyle w:val="InstructionsTabelleberschrift"/>
                <w:rFonts w:ascii="Times New Roman" w:hAnsi="Times New Roman"/>
                <w:sz w:val="24"/>
              </w:rPr>
              <w:t>Egna kärnprimärkapitalinstrument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Artiklarna 36.1 f, 469.1, 472.8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42 i CRR när de b</w:t>
            </w:r>
            <w:r>
              <w:rPr>
                <w:rStyle w:val="InstructionsTabelleText"/>
                <w:rFonts w:ascii="Times New Roman" w:hAnsi="Times New Roman"/>
                <w:sz w:val="24"/>
              </w:rPr>
              <w:t>e</w:t>
            </w:r>
            <w:r>
              <w:rPr>
                <w:rStyle w:val="InstructionsTabelleText"/>
                <w:rFonts w:ascii="Times New Roman" w:hAnsi="Times New Roman"/>
                <w:sz w:val="24"/>
              </w:rPr>
              <w:t>stämmer hur stora avdrag som ska göras för ovannämnda egna kärnprimä</w:t>
            </w:r>
            <w:r>
              <w:rPr>
                <w:rStyle w:val="InstructionsTabelleText"/>
                <w:rFonts w:ascii="Times New Roman" w:hAnsi="Times New Roman"/>
                <w:sz w:val="24"/>
              </w:rPr>
              <w:t>r</w:t>
            </w:r>
            <w:r>
              <w:rPr>
                <w:rStyle w:val="InstructionsTabelleText"/>
                <w:rFonts w:ascii="Times New Roman" w:hAnsi="Times New Roman"/>
                <w:sz w:val="24"/>
              </w:rPr>
              <w:t>kapitalinstrument.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”restvärdet” behandlas olika beroende på vilken typ av instr</w:t>
            </w:r>
            <w:r>
              <w:rPr>
                <w:rStyle w:val="InstructionsTabelleText"/>
                <w:rFonts w:ascii="Times New Roman" w:hAnsi="Times New Roman"/>
                <w:sz w:val="24"/>
              </w:rPr>
              <w:t>u</w:t>
            </w:r>
            <w:r>
              <w:rPr>
                <w:rStyle w:val="InstructionsTabelleText"/>
                <w:rFonts w:ascii="Times New Roman" w:hAnsi="Times New Roman"/>
                <w:sz w:val="24"/>
              </w:rPr>
              <w:t>ment det gäller ska instituten dela upp innehav i egna kärnprimärkapitali</w:t>
            </w:r>
            <w:r>
              <w:rPr>
                <w:rStyle w:val="InstructionsTabelleText"/>
                <w:rFonts w:ascii="Times New Roman" w:hAnsi="Times New Roman"/>
                <w:sz w:val="24"/>
              </w:rPr>
              <w:t>n</w:t>
            </w:r>
            <w:r>
              <w:rPr>
                <w:rStyle w:val="InstructionsTabelleText"/>
                <w:rFonts w:ascii="Times New Roman" w:hAnsi="Times New Roman"/>
                <w:sz w:val="24"/>
              </w:rPr>
              <w:t>strument i ”direkta” och ”indirekta”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f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Varav: Direkta innehav</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469.1 b och 472.8 a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 xml:space="preserve">enlig förpliktelse.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Varav: Indirekta innehav;</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469.1 b och 472.8 b i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indirekta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enlig förpliktelse.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Egna primärkapitaltillskottsinstrument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a, 474, 475.2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57 i CRR när de b</w:t>
            </w:r>
            <w:r>
              <w:rPr>
                <w:rStyle w:val="InstructionsTabelleText"/>
                <w:rFonts w:ascii="Times New Roman" w:hAnsi="Times New Roman"/>
                <w:sz w:val="24"/>
              </w:rPr>
              <w:t>e</w:t>
            </w:r>
            <w:r>
              <w:rPr>
                <w:rStyle w:val="InstructionsTabelleText"/>
                <w:rFonts w:ascii="Times New Roman" w:hAnsi="Times New Roman"/>
                <w:sz w:val="24"/>
              </w:rPr>
              <w:t>stämmer hur stora avdrag som ska göras för ovannämnda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”restvärdet” behandlas olika beroende på vilken typ av instr</w:t>
            </w:r>
            <w:r>
              <w:rPr>
                <w:rStyle w:val="InstructionsTabelleText"/>
                <w:rFonts w:ascii="Times New Roman" w:hAnsi="Times New Roman"/>
                <w:sz w:val="24"/>
              </w:rPr>
              <w:t>u</w:t>
            </w:r>
            <w:r>
              <w:rPr>
                <w:rStyle w:val="InstructionsTabelleText"/>
                <w:rFonts w:ascii="Times New Roman" w:hAnsi="Times New Roman"/>
                <w:sz w:val="24"/>
              </w:rPr>
              <w:t>ment det gäller (artikel 475.2 i CRR) ska instituten dela upp ovannämnda innehav i ”direkt” och ”indirekt” innehav av egna primärkapitaltillskott.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56 a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Varav: Direkta innehav</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enlig förpliktelse (artiklarna 474 b och 475.2 a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Varav: Indirekta innehav;</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indirekta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enlig förpliktelse (artiklarna 474 b och 475.2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Egna supplementärkapitalinstrument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Artiklarna 66 a, 476, 477.2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Instituten ska ta hänsyn till bestämmelserna i artikel 67 i CRR när de b</w:t>
            </w:r>
            <w:r>
              <w:rPr>
                <w:rStyle w:val="InstructionsTabelleText"/>
                <w:rFonts w:ascii="Times New Roman" w:hAnsi="Times New Roman"/>
                <w:sz w:val="24"/>
              </w:rPr>
              <w:t>e</w:t>
            </w:r>
            <w:r>
              <w:rPr>
                <w:rStyle w:val="InstructionsTabelleText"/>
                <w:rFonts w:ascii="Times New Roman" w:hAnsi="Times New Roman"/>
                <w:sz w:val="24"/>
              </w:rPr>
              <w:t>stämmer hur stora innehav som ska d ras 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”restvärdet” behandlas olika beroende på vilken typ av instr</w:t>
            </w:r>
            <w:r>
              <w:rPr>
                <w:rStyle w:val="InstructionsTabelleText"/>
                <w:rFonts w:ascii="Times New Roman" w:hAnsi="Times New Roman"/>
                <w:sz w:val="24"/>
              </w:rPr>
              <w:t>u</w:t>
            </w:r>
            <w:r>
              <w:rPr>
                <w:rStyle w:val="InstructionsTabelleText"/>
                <w:rFonts w:ascii="Times New Roman" w:hAnsi="Times New Roman"/>
                <w:sz w:val="24"/>
              </w:rPr>
              <w:t>ment det gäller (artikel 477.2 i CRR) ska instituten dela upp ovannämnda innehav i ”direkt” och ”indirekt” innehav av egna supplementärkapitali</w:t>
            </w:r>
            <w:r>
              <w:rPr>
                <w:rStyle w:val="InstructionsTabelleText"/>
                <w:rFonts w:ascii="Times New Roman" w:hAnsi="Times New Roman"/>
                <w:sz w:val="24"/>
              </w:rPr>
              <w:t>n</w:t>
            </w:r>
            <w:r>
              <w:rPr>
                <w:rStyle w:val="InstructionsTabelleText"/>
                <w:rFonts w:ascii="Times New Roman" w:hAnsi="Times New Roman"/>
                <w:sz w:val="24"/>
              </w:rPr>
              <w:t>strument.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66 a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Direkta innehav</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enlig förpliktelse (artiklarna 476 b och 477.2 a i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Indirekta innehav;</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Det totala vä</w:t>
            </w:r>
            <w:r>
              <w:rPr>
                <w:rStyle w:val="InstructionsTabelleText"/>
                <w:rFonts w:ascii="Times New Roman" w:hAnsi="Times New Roman"/>
                <w:sz w:val="24"/>
              </w:rPr>
              <w:t>r</w:t>
            </w:r>
            <w:r>
              <w:rPr>
                <w:rStyle w:val="InstructionsTabelleText"/>
                <w:rFonts w:ascii="Times New Roman" w:hAnsi="Times New Roman"/>
                <w:sz w:val="24"/>
              </w:rPr>
              <w:t>det av indirekta innehav, inklusive sådana instrument som ett institut skulle kunna vara skyldigt att köpa till följd av en befintlig eller villkorad avtal</w:t>
            </w:r>
            <w:r>
              <w:rPr>
                <w:rStyle w:val="InstructionsTabelleText"/>
                <w:rFonts w:ascii="Times New Roman" w:hAnsi="Times New Roman"/>
                <w:sz w:val="24"/>
              </w:rPr>
              <w:t>s</w:t>
            </w:r>
            <w:r>
              <w:rPr>
                <w:rStyle w:val="InstructionsTabelleText"/>
                <w:rFonts w:ascii="Times New Roman" w:hAnsi="Times New Roman"/>
                <w:sz w:val="24"/>
              </w:rPr>
              <w:t>enlig förpliktelse (artiklarna 476 b och 477.2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Ömsesidigt korsägande</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Eftersom ”restvärdet” behandlas olika beroende på om innehavet av kär</w:t>
            </w:r>
            <w:r>
              <w:rPr>
                <w:rStyle w:val="InstructionsTabelleText"/>
                <w:rFonts w:ascii="Times New Roman" w:hAnsi="Times New Roman"/>
                <w:sz w:val="24"/>
              </w:rPr>
              <w:t>n</w:t>
            </w:r>
            <w:r>
              <w:rPr>
                <w:rStyle w:val="InstructionsTabelleText"/>
                <w:rFonts w:ascii="Times New Roman" w:hAnsi="Times New Roman"/>
                <w:sz w:val="24"/>
              </w:rPr>
              <w:t>primärkapital, primärkapitaltillskott eller supplementärkapital i enheten i den finansiella sektorn ska betraktas som väsentligt eller inte (artiklarna 472.9, 475.3 och 477.3 i CRR) ska instituten dela upp ömsesidigt kors</w:t>
            </w:r>
            <w:r>
              <w:rPr>
                <w:rStyle w:val="InstructionsTabelleText"/>
                <w:rFonts w:ascii="Times New Roman" w:hAnsi="Times New Roman"/>
                <w:sz w:val="24"/>
              </w:rPr>
              <w:t>ä</w:t>
            </w:r>
            <w:r>
              <w:rPr>
                <w:rStyle w:val="InstructionsTabelleText"/>
                <w:rFonts w:ascii="Times New Roman" w:hAnsi="Times New Roman"/>
                <w:sz w:val="24"/>
              </w:rPr>
              <w:t>gande i väsentliga och icke väsentliga innehav.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Ömsesidigt korsägande av kärnprimärkapital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g, 469.1, 472.9 och 478 i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060 på denna rad: Ursprungligt avdrag i enlighet med artikel 36.1 g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Ömsesidigt korsägande av kärnprimärkapital i enheter i den finansiella sektorn där institutet inte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g, 469.1, 472.9 a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469.1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Ömsesidigt korsägande av kärnprimärkapital i enheter i den finansiella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g, 469.1, 472.9 b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469.1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Ömsesidigt korsägande av primärkapitaltillskott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b, 474, 475.3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Det belopp som ska rapporteras i kolumn 060 på denna rad: Ursprungligt avdrag i enlighet med artikel 56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Ömsesidigt korsägande av primärkapitaltillskott i e</w:t>
            </w:r>
            <w:r>
              <w:rPr>
                <w:rStyle w:val="InstructionsTabelleberschrift"/>
                <w:rFonts w:ascii="Times New Roman" w:hAnsi="Times New Roman"/>
                <w:sz w:val="24"/>
              </w:rPr>
              <w:t>n</w:t>
            </w:r>
            <w:r>
              <w:rPr>
                <w:rStyle w:val="InstructionsTabelleberschrift"/>
                <w:rFonts w:ascii="Times New Roman" w:hAnsi="Times New Roman"/>
                <w:sz w:val="24"/>
              </w:rPr>
              <w:t>heter i den finansiella sektorn där institutet inte har ett väsentligt i</w:t>
            </w:r>
            <w:r>
              <w:rPr>
                <w:rStyle w:val="InstructionsTabelleberschrift"/>
                <w:rFonts w:ascii="Times New Roman" w:hAnsi="Times New Roman"/>
                <w:sz w:val="24"/>
              </w:rPr>
              <w:t>n</w:t>
            </w:r>
            <w:r>
              <w:rPr>
                <w:rStyle w:val="InstructionsTabelleberschrift"/>
                <w:rFonts w:ascii="Times New Roman" w:hAnsi="Times New Roman"/>
                <w:sz w:val="24"/>
              </w:rPr>
              <w:t>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b, 474, 475.3 a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475.3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Ömsesidigt korsägande av primärkapitaltillskott i e</w:t>
            </w:r>
            <w:r>
              <w:rPr>
                <w:rStyle w:val="InstructionsTabelleberschrift"/>
                <w:rFonts w:ascii="Times New Roman" w:hAnsi="Times New Roman"/>
                <w:sz w:val="24"/>
              </w:rPr>
              <w:t>n</w:t>
            </w:r>
            <w:r>
              <w:rPr>
                <w:rStyle w:val="InstructionsTabelleberschrift"/>
                <w:rFonts w:ascii="Times New Roman" w:hAnsi="Times New Roman"/>
                <w:sz w:val="24"/>
              </w:rPr>
              <w:t>heter i den finansiella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b, 474, 475.3 b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475.3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Ömsesidigt korsägande av supplementärkapital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66 b, 476, 477.3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w:t>
            </w:r>
            <w:r>
              <w:t xml:space="preserve"> </w:t>
            </w:r>
            <w:r>
              <w:rPr>
                <w:rStyle w:val="InstructionsTabelleText"/>
                <w:rFonts w:ascii="Times New Roman" w:hAnsi="Times New Roman"/>
                <w:sz w:val="24"/>
              </w:rPr>
              <w:t>Ursprungligt avdrag i enlighet med artikel 66 b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Ömsesidigt korsägande av supplementärkapital i enhe</w:t>
            </w:r>
            <w:r>
              <w:rPr>
                <w:rStyle w:val="InstructionsTabelleberschrift"/>
                <w:rFonts w:ascii="Times New Roman" w:hAnsi="Times New Roman"/>
                <w:sz w:val="24"/>
              </w:rPr>
              <w:t>t</w:t>
            </w:r>
            <w:r>
              <w:rPr>
                <w:rStyle w:val="InstructionsTabelleberschrift"/>
                <w:rFonts w:ascii="Times New Roman" w:hAnsi="Times New Roman"/>
                <w:sz w:val="24"/>
              </w:rPr>
              <w:t>er i den finansiella sektorn där institutet inte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66 b, 476, 477.3 a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477.3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Ömsesidigt korsägande av supplementärkapital i enhe</w:t>
            </w:r>
            <w:r>
              <w:rPr>
                <w:rStyle w:val="InstructionsTabelleberschrift"/>
                <w:rFonts w:ascii="Times New Roman" w:hAnsi="Times New Roman"/>
                <w:sz w:val="24"/>
              </w:rPr>
              <w:t>t</w:t>
            </w:r>
            <w:r>
              <w:rPr>
                <w:rStyle w:val="InstructionsTabelleberschrift"/>
                <w:rFonts w:ascii="Times New Roman" w:hAnsi="Times New Roman"/>
                <w:sz w:val="24"/>
              </w:rPr>
              <w:t>er i den finansiella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66 b, 476, 477.3 b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Restvärde e</w:t>
            </w:r>
            <w:r>
              <w:rPr>
                <w:rStyle w:val="InstructionsTabelleText"/>
                <w:rFonts w:ascii="Times New Roman" w:hAnsi="Times New Roman"/>
                <w:sz w:val="24"/>
              </w:rPr>
              <w:t>n</w:t>
            </w:r>
            <w:r>
              <w:rPr>
                <w:rStyle w:val="InstructionsTabelleText"/>
                <w:rFonts w:ascii="Times New Roman" w:hAnsi="Times New Roman"/>
                <w:sz w:val="24"/>
              </w:rPr>
              <w:t>ligt artikel 477.3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Kapitalbasinstrument i enheter i den finansiella sektorn där institutet inte har ett väsentligt innehav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Kärnprimärkapitalinstrument i enheter i den finansiella sektorn där institutet inte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h, 469.1, 472.10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h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Primärkapitaltillskottsinstrument i enheter i den fina</w:t>
            </w:r>
            <w:r>
              <w:rPr>
                <w:rStyle w:val="InstructionsTabelleberschrift"/>
                <w:rFonts w:ascii="Times New Roman" w:hAnsi="Times New Roman"/>
                <w:sz w:val="24"/>
              </w:rPr>
              <w:t>n</w:t>
            </w:r>
            <w:r>
              <w:rPr>
                <w:rStyle w:val="InstructionsTabelleberschrift"/>
                <w:rFonts w:ascii="Times New Roman" w:hAnsi="Times New Roman"/>
                <w:sz w:val="24"/>
              </w:rPr>
              <w:t>siella sektorn i vilka institutet inte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c, 474, 475.4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56 c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Supplementärkapitalinstrument i enheter i den finans</w:t>
            </w:r>
            <w:r>
              <w:rPr>
                <w:rStyle w:val="InstructionsTabelleberschrift"/>
                <w:rFonts w:ascii="Times New Roman" w:hAnsi="Times New Roman"/>
                <w:sz w:val="24"/>
              </w:rPr>
              <w:t>i</w:t>
            </w:r>
            <w:r>
              <w:rPr>
                <w:rStyle w:val="InstructionsTabelleberschrift"/>
                <w:rFonts w:ascii="Times New Roman" w:hAnsi="Times New Roman"/>
                <w:sz w:val="24"/>
              </w:rPr>
              <w:t>ella sektorn där institutet inte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66 c, 476, 477.4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66 c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Uppskjutna skattetillgångar som är beroende av framtida lö</w:t>
            </w:r>
            <w:r>
              <w:rPr>
                <w:rStyle w:val="InstructionsTabelleberschrift"/>
                <w:rFonts w:ascii="Times New Roman" w:hAnsi="Times New Roman"/>
                <w:sz w:val="24"/>
              </w:rPr>
              <w:t>n</w:t>
            </w:r>
            <w:r>
              <w:rPr>
                <w:rStyle w:val="InstructionsTabelleberschrift"/>
                <w:rFonts w:ascii="Times New Roman" w:hAnsi="Times New Roman"/>
                <w:sz w:val="24"/>
              </w:rPr>
              <w:t>samhet och som uppstår till följd av tillfälliga skillnader och kärnpr</w:t>
            </w:r>
            <w:r>
              <w:rPr>
                <w:rStyle w:val="InstructionsTabelleberschrift"/>
                <w:rFonts w:ascii="Times New Roman" w:hAnsi="Times New Roman"/>
                <w:sz w:val="24"/>
              </w:rPr>
              <w:t>i</w:t>
            </w:r>
            <w:r>
              <w:rPr>
                <w:rStyle w:val="InstructionsTabelleberschrift"/>
                <w:rFonts w:ascii="Times New Roman" w:hAnsi="Times New Roman"/>
                <w:sz w:val="24"/>
              </w:rPr>
              <w:t>märkapitalinstrument i enheter i den finansiella sektorn där institutet har ett väsentligt innehav</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470.2 och 470.3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Artikel 470.1 i CRR.</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Uppskjutna skattefordringar som är beroende av framtida lönsamhet och som uppstår till följd av tillfälliga skillnader</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Artiklarna 469.1 c, 478 och 472.5 i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Delar av uppskjutna skattefordringar som är beroende av framtida lönsa</w:t>
            </w:r>
            <w:r>
              <w:rPr>
                <w:rStyle w:val="InstructionsTabelleText"/>
                <w:rFonts w:ascii="Times New Roman" w:hAnsi="Times New Roman"/>
                <w:sz w:val="24"/>
              </w:rPr>
              <w:t>m</w:t>
            </w:r>
            <w:r>
              <w:rPr>
                <w:rStyle w:val="InstructionsTabelleText"/>
                <w:rFonts w:ascii="Times New Roman" w:hAnsi="Times New Roman"/>
                <w:sz w:val="24"/>
              </w:rPr>
              <w:t>het och uppstår till följd av tillfälliga skillnader som överstiger tröskelvä</w:t>
            </w:r>
            <w:r>
              <w:rPr>
                <w:rStyle w:val="InstructionsTabelleText"/>
                <w:rFonts w:ascii="Times New Roman" w:hAnsi="Times New Roman"/>
                <w:sz w:val="24"/>
              </w:rPr>
              <w:t>r</w:t>
            </w:r>
            <w:r>
              <w:rPr>
                <w:rStyle w:val="InstructionsTabelleText"/>
                <w:rFonts w:ascii="Times New Roman" w:hAnsi="Times New Roman"/>
                <w:sz w:val="24"/>
              </w:rPr>
              <w:t>det på 10 % i artikel 470.2 a i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Kapitalbasinstrument i enheter i den finansiella sektorn där institutet har ett väsentligt innehav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Kärnprimärkapitalinstrument i enheter i den finansiella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36.1 i, 469.1, 472.11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36.1 i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Primärkapitaltillskottsinstrument i enheter i den fina</w:t>
            </w:r>
            <w:r>
              <w:rPr>
                <w:rStyle w:val="InstructionsTabelleberschrift"/>
                <w:rFonts w:ascii="Times New Roman" w:hAnsi="Times New Roman"/>
                <w:sz w:val="24"/>
              </w:rPr>
              <w:t>n</w:t>
            </w:r>
            <w:r>
              <w:rPr>
                <w:rStyle w:val="InstructionsTabelleberschrift"/>
                <w:rFonts w:ascii="Times New Roman" w:hAnsi="Times New Roman"/>
                <w:sz w:val="24"/>
              </w:rPr>
              <w:t>siella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56 d, 474, 475.4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56 d 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Supplementärkapitalinstrument i enheter i den finans</w:t>
            </w:r>
            <w:r>
              <w:rPr>
                <w:rStyle w:val="InstructionsTabelleberschrift"/>
                <w:rFonts w:ascii="Times New Roman" w:hAnsi="Times New Roman"/>
                <w:sz w:val="24"/>
              </w:rPr>
              <w:t>i</w:t>
            </w:r>
            <w:r>
              <w:rPr>
                <w:rStyle w:val="InstructionsTabelleberschrift"/>
                <w:rFonts w:ascii="Times New Roman" w:hAnsi="Times New Roman"/>
                <w:sz w:val="24"/>
              </w:rPr>
              <w:t>ella sektorn där institutet har ett väsentligt innehav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66 d, 476, 477.4 och 478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060 på denna rad: Ursprungligt avdrag i enlighet med artikel 66 d i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Undantag från avdrag av andelar i försäkringsbolag från kärnprimärkapitalposter</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i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Ytterligare filter och avdrag</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Artikel 481 i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Denna rad avspeglar övergångsbestämmelsernas sammantagna effekt på ytterligare filter och avdrag.</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 enlighet med artikel 481 i CRR ska instituten i post 1.3.3 rapportera up</w:t>
            </w:r>
            <w:r>
              <w:rPr>
                <w:rStyle w:val="InstructionsTabelleText"/>
                <w:rFonts w:ascii="Times New Roman" w:hAnsi="Times New Roman"/>
                <w:sz w:val="24"/>
              </w:rPr>
              <w:t>p</w:t>
            </w:r>
            <w:r>
              <w:rPr>
                <w:rStyle w:val="InstructionsTabelleText"/>
                <w:rFonts w:ascii="Times New Roman" w:hAnsi="Times New Roman"/>
                <w:sz w:val="24"/>
              </w:rPr>
              <w:t>gifter om de filter och avdrag som krävs enligt de nationella övergångsb</w:t>
            </w:r>
            <w:r>
              <w:rPr>
                <w:rStyle w:val="InstructionsTabelleText"/>
                <w:rFonts w:ascii="Times New Roman" w:hAnsi="Times New Roman"/>
                <w:sz w:val="24"/>
              </w:rPr>
              <w:t>e</w:t>
            </w:r>
            <w:r>
              <w:rPr>
                <w:rStyle w:val="InstructionsTabelleText"/>
                <w:rFonts w:ascii="Times New Roman" w:hAnsi="Times New Roman"/>
                <w:sz w:val="24"/>
              </w:rPr>
              <w:t>stämmelserna för artiklarna 57 och 66 i direktiv 2006/48/EG och för arti</w:t>
            </w:r>
            <w:r>
              <w:rPr>
                <w:rStyle w:val="InstructionsTabelleText"/>
                <w:rFonts w:ascii="Times New Roman" w:hAnsi="Times New Roman"/>
                <w:sz w:val="24"/>
              </w:rPr>
              <w:t>k</w:t>
            </w:r>
            <w:r>
              <w:rPr>
                <w:rStyle w:val="InstructionsTabelleText"/>
                <w:rFonts w:ascii="Times New Roman" w:hAnsi="Times New Roman"/>
                <w:sz w:val="24"/>
              </w:rPr>
              <w:t xml:space="preserve">larna 13 och 16 i direktiv 2006/49/EG, och som inte krävs i enlighet med del två.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Justeringar på grund av övergångsordning avseende IFRS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uppgifter som rör övergångsordningen för IFRS 9 i enlighet med tillämpliga rättsliga bestämmelser.</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523820241"/>
      <w:bookmarkStart w:id="110" w:name="_Toc360188337"/>
      <w:bookmarkEnd w:id="105"/>
      <w:r>
        <w:rPr>
          <w:rFonts w:ascii="Times New Roman" w:hAnsi="Times New Roman"/>
          <w:sz w:val="24"/>
          <w:u w:val="none"/>
        </w:rPr>
        <w:t>1.6.3.</w:t>
      </w:r>
      <w:r>
        <w:tab/>
      </w:r>
      <w:r>
        <w:rPr>
          <w:rFonts w:ascii="Times New Roman" w:hAnsi="Times New Roman"/>
          <w:sz w:val="24"/>
        </w:rPr>
        <w:t>C 05.02 – INSTRUMENT FÖR VILKA ÄLDRE REGLER FÅR TILLÄMPAS: I</w:t>
      </w:r>
      <w:r>
        <w:rPr>
          <w:rFonts w:ascii="Times New Roman" w:hAnsi="Times New Roman"/>
          <w:sz w:val="24"/>
        </w:rPr>
        <w:t>N</w:t>
      </w:r>
      <w:r>
        <w:rPr>
          <w:rFonts w:ascii="Times New Roman" w:hAnsi="Times New Roman"/>
          <w:sz w:val="24"/>
        </w:rPr>
        <w:t>STRUMENT SOM INTE ÄR STATLIGT STÖD (CA5.2)</w:t>
      </w:r>
      <w:bookmarkEnd w:id="106"/>
      <w:bookmarkEnd w:id="107"/>
      <w:bookmarkEnd w:id="108"/>
      <w:bookmarkEnd w:id="109"/>
      <w:r>
        <w:rPr>
          <w:rFonts w:ascii="Times New Roman" w:hAnsi="Times New Roman"/>
          <w:sz w:val="24"/>
        </w:rPr>
        <w:t xml:space="preserve"> </w:t>
      </w:r>
      <w:bookmarkEnd w:id="110"/>
    </w:p>
    <w:p w:rsidR="00783881" w:rsidRPr="00392FFD" w:rsidRDefault="00125707" w:rsidP="00C37B29">
      <w:pPr>
        <w:pStyle w:val="InstructionsText2"/>
        <w:numPr>
          <w:ilvl w:val="0"/>
          <w:numId w:val="0"/>
        </w:numPr>
        <w:ind w:left="993"/>
      </w:pPr>
      <w:r>
        <w:t>25.</w:t>
      </w:r>
      <w:r>
        <w:tab/>
        <w:t>Instituten ska rapportera uppgifter i samband med övergångsbestämmelserna för instrument för vilka äldre regler får tillämpas och som inte utgör statligt stöd (artiklarna 484–491 i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3820242"/>
      <w:r>
        <w:rPr>
          <w:rFonts w:ascii="Times New Roman" w:hAnsi="Times New Roman"/>
          <w:sz w:val="24"/>
          <w:u w:val="none"/>
        </w:rPr>
        <w:t>1.6.3.1.</w:t>
      </w:r>
      <w:r w:rsidRPr="001A2627">
        <w:rPr>
          <w:u w:val="none"/>
        </w:rPr>
        <w:tab/>
      </w:r>
      <w:r>
        <w:rPr>
          <w:rFonts w:ascii="Times New Roman" w:hAnsi="Times New Roman"/>
          <w:sz w:val="24"/>
        </w:rPr>
        <w:t>Instruktioner för specifika positioner</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Kolumn</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Belopp för instrumenten plus tillhörande överkurs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484.3–484.5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 som är godtagbara för respektive rad, inklusive respektive til</w:t>
            </w:r>
            <w:r>
              <w:rPr>
                <w:rStyle w:val="InstructionsTabelleText"/>
                <w:rFonts w:ascii="Times New Roman" w:hAnsi="Times New Roman"/>
                <w:sz w:val="24"/>
              </w:rPr>
              <w:t>l</w:t>
            </w:r>
            <w:r>
              <w:rPr>
                <w:rStyle w:val="InstructionsTabelleText"/>
                <w:rFonts w:ascii="Times New Roman" w:hAnsi="Times New Roman"/>
                <w:sz w:val="24"/>
              </w:rPr>
              <w:t>hörande överkurser.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Bas för beräkning av gränsen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486.2–486.4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Tillämplig procentandel</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486.5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Gräns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486.2–486.5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Belopp som överskrider gränsen för när äldre regler får tillämpas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486.2–486.5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Totalt belopp för vilket äldre regler får tillämpas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vara lika med de belopp som rapport</w:t>
            </w:r>
            <w:r>
              <w:rPr>
                <w:rStyle w:val="InstructionsTabelleText"/>
                <w:rFonts w:ascii="Times New Roman" w:hAnsi="Times New Roman"/>
                <w:sz w:val="24"/>
              </w:rPr>
              <w:t>e</w:t>
            </w:r>
            <w:r>
              <w:rPr>
                <w:rStyle w:val="InstructionsTabelleText"/>
                <w:rFonts w:ascii="Times New Roman" w:hAnsi="Times New Roman"/>
                <w:sz w:val="24"/>
              </w:rPr>
              <w:t>ras i respektive kolumner på rad 060 i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lastRenderedPageBreak/>
              <w:t>Rad</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 som var kvalificerade för artikel 57 a i 2006/48/EG</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484.3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 som var kvalificerade för artikel 57 ca och artikel 154.8 och 154.9 i 2006/48/EG, förutsatt att den gräns som anges i art</w:t>
            </w:r>
            <w:r>
              <w:rPr>
                <w:rStyle w:val="InstructionsTabelleberschrift"/>
                <w:rFonts w:ascii="Times New Roman" w:hAnsi="Times New Roman"/>
                <w:sz w:val="24"/>
              </w:rPr>
              <w:t>i</w:t>
            </w:r>
            <w:r>
              <w:rPr>
                <w:rStyle w:val="InstructionsTabelleberschrift"/>
                <w:rFonts w:ascii="Times New Roman" w:hAnsi="Times New Roman"/>
                <w:sz w:val="24"/>
              </w:rPr>
              <w:t>kel 489 respekteras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484.4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Summa instrument utan köpoption eller incitament till återl</w:t>
            </w:r>
            <w:r>
              <w:rPr>
                <w:rStyle w:val="InstructionsTabelleberschrift"/>
                <w:rFonts w:ascii="Times New Roman" w:hAnsi="Times New Roman"/>
                <w:sz w:val="24"/>
              </w:rPr>
              <w:t>ö</w:t>
            </w:r>
            <w:r>
              <w:rPr>
                <w:rStyle w:val="InstructionsTabelleberschrift"/>
                <w:rFonts w:ascii="Times New Roman" w:hAnsi="Times New Roman"/>
                <w:sz w:val="24"/>
              </w:rPr>
              <w:t>sen</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Artiklarna 484.4 och 489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2,2 Instrument för vilka äldre regler får tillämpas med en k</w:t>
            </w:r>
            <w:r>
              <w:rPr>
                <w:rStyle w:val="InstructionsTabelleberschrift"/>
                <w:rFonts w:ascii="Times New Roman" w:hAnsi="Times New Roman"/>
                <w:sz w:val="24"/>
              </w:rPr>
              <w:t>ö</w:t>
            </w:r>
            <w:r>
              <w:rPr>
                <w:rStyle w:val="InstructionsTabelleberschrift"/>
                <w:rFonts w:ascii="Times New Roman" w:hAnsi="Times New Roman"/>
                <w:sz w:val="24"/>
              </w:rPr>
              <w:t>poption och incitament till återlösen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489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 med en köpoption som får utnyttjas efter rapport</w:t>
            </w:r>
            <w:r>
              <w:rPr>
                <w:rStyle w:val="InstructionsTabelleberschrift"/>
                <w:rFonts w:ascii="Times New Roman" w:hAnsi="Times New Roman"/>
                <w:sz w:val="24"/>
              </w:rPr>
              <w:t>e</w:t>
            </w:r>
            <w:r>
              <w:rPr>
                <w:rStyle w:val="InstructionsTabelleberschrift"/>
                <w:rFonts w:ascii="Times New Roman" w:hAnsi="Times New Roman"/>
                <w:sz w:val="24"/>
              </w:rPr>
              <w:t>ringsdatumet och som uppfyller de villkor som fastställts i artikel 52 i kapitaltäckningsförordningen (CRR) efter utgången av den effektiva löptiden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Artiklarna 489.3 och 491 a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 med en köpoption som får utnyttjas efter rapport</w:t>
            </w:r>
            <w:r>
              <w:rPr>
                <w:rStyle w:val="InstructionsTabelleberschrift"/>
                <w:rFonts w:ascii="Times New Roman" w:hAnsi="Times New Roman"/>
                <w:sz w:val="24"/>
              </w:rPr>
              <w:t>e</w:t>
            </w:r>
            <w:r>
              <w:rPr>
                <w:rStyle w:val="InstructionsTabelleberschrift"/>
                <w:rFonts w:ascii="Times New Roman" w:hAnsi="Times New Roman"/>
                <w:sz w:val="24"/>
              </w:rPr>
              <w:t>ringsdatumet och som inte uppfyller de villkor som fastställts i artikel 52 i kapitaltäckningsförordningen (CRR) efter utgången av den effe</w:t>
            </w:r>
            <w:r>
              <w:rPr>
                <w:rStyle w:val="InstructionsTabelleberschrift"/>
                <w:rFonts w:ascii="Times New Roman" w:hAnsi="Times New Roman"/>
                <w:sz w:val="24"/>
              </w:rPr>
              <w:t>k</w:t>
            </w:r>
            <w:r>
              <w:rPr>
                <w:rStyle w:val="InstructionsTabelleberschrift"/>
                <w:rFonts w:ascii="Times New Roman" w:hAnsi="Times New Roman"/>
                <w:sz w:val="24"/>
              </w:rPr>
              <w:t>tiva löptiden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Artiklarna 489.5 och 491 a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 med en köpoption som får utnyttjas senast den 20 juli 2011 och som inte uppfyller de villkor som fastställts i artikel 52 i kapitaltäckningsförordningen (CRR) efter utgången av den effektiva löptiden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Artiklarna 489.6 och 491 c i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2,3 Överskott utöver gränsvärdet för kärnprimärkapitali</w:t>
            </w:r>
            <w:r>
              <w:rPr>
                <w:rStyle w:val="InstructionsTabelleberschrift"/>
                <w:rFonts w:ascii="Times New Roman" w:hAnsi="Times New Roman"/>
                <w:sz w:val="24"/>
              </w:rPr>
              <w:t>n</w:t>
            </w:r>
            <w:r>
              <w:rPr>
                <w:rStyle w:val="InstructionsTabelleberschrift"/>
                <w:rFonts w:ascii="Times New Roman" w:hAnsi="Times New Roman"/>
                <w:sz w:val="24"/>
              </w:rPr>
              <w:t>strument för vilka äldre regler får tillämpas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487.1 i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 belopp som överskrider gränsen för de kärnprimärkapitaltillskottsi</w:t>
            </w:r>
            <w:r>
              <w:rPr>
                <w:rStyle w:val="InstructionsTabelleText"/>
                <w:rFonts w:ascii="Times New Roman" w:hAnsi="Times New Roman"/>
                <w:sz w:val="24"/>
              </w:rPr>
              <w:t>n</w:t>
            </w:r>
            <w:r>
              <w:rPr>
                <w:rStyle w:val="InstructionsTabelleText"/>
                <w:rFonts w:ascii="Times New Roman" w:hAnsi="Times New Roman"/>
                <w:sz w:val="24"/>
              </w:rPr>
              <w:t>strument för vilka äldre regler får tillämpas får behandlas som sådana i</w:t>
            </w:r>
            <w:r>
              <w:rPr>
                <w:rStyle w:val="InstructionsTabelleText"/>
                <w:rFonts w:ascii="Times New Roman" w:hAnsi="Times New Roman"/>
                <w:sz w:val="24"/>
              </w:rPr>
              <w:t>n</w:t>
            </w:r>
            <w:r>
              <w:rPr>
                <w:rStyle w:val="InstructionsTabelleText"/>
                <w:rFonts w:ascii="Times New Roman" w:hAnsi="Times New Roman"/>
                <w:sz w:val="24"/>
              </w:rPr>
              <w:t>strument för vilka man får tillämpa äldre regler för primärkapitaltillskott.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som kvalificeras enligt artikel 57 e, f, g eller h i 2006/48/EG, förutsatt att den gräns som anges i artikel 490 respekteras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484.5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Summa poster utan incitament till återlösen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3,2 Poster för vilka äldre regler får tillämpas och som har inc</w:t>
            </w:r>
            <w:r>
              <w:rPr>
                <w:rStyle w:val="InstructionsTabelleberschrift"/>
                <w:rFonts w:ascii="Times New Roman" w:hAnsi="Times New Roman"/>
                <w:sz w:val="24"/>
              </w:rPr>
              <w:t>i</w:t>
            </w:r>
            <w:r>
              <w:rPr>
                <w:rStyle w:val="InstructionsTabelleberschrift"/>
                <w:rFonts w:ascii="Times New Roman" w:hAnsi="Times New Roman"/>
                <w:sz w:val="24"/>
              </w:rPr>
              <w:t>tament till återlösen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Poster med en köpoption som får utnyttjas efter rapportering</w:t>
            </w:r>
            <w:r>
              <w:rPr>
                <w:rStyle w:val="InstructionsTabelleberschrift"/>
                <w:rFonts w:ascii="Times New Roman" w:hAnsi="Times New Roman"/>
                <w:sz w:val="24"/>
              </w:rPr>
              <w:t>s</w:t>
            </w:r>
            <w:r>
              <w:rPr>
                <w:rStyle w:val="InstructionsTabelleberschrift"/>
                <w:rFonts w:ascii="Times New Roman" w:hAnsi="Times New Roman"/>
                <w:sz w:val="24"/>
              </w:rPr>
              <w:t>datumet och som uppfyller de villkor som fastställts i artikel 63 i kap</w:t>
            </w:r>
            <w:r>
              <w:rPr>
                <w:rStyle w:val="InstructionsTabelleberschrift"/>
                <w:rFonts w:ascii="Times New Roman" w:hAnsi="Times New Roman"/>
                <w:sz w:val="24"/>
              </w:rPr>
              <w:t>i</w:t>
            </w:r>
            <w:r>
              <w:rPr>
                <w:rStyle w:val="InstructionsTabelleberschrift"/>
                <w:rFonts w:ascii="Times New Roman" w:hAnsi="Times New Roman"/>
                <w:sz w:val="24"/>
              </w:rPr>
              <w:t>taltäckningsförordningen efter utgången av den effektiva löptiden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Artiklarna 490.3 och 491 a i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Poster med en köpoption som får utnyttjas efter rapportering</w:t>
            </w:r>
            <w:r>
              <w:rPr>
                <w:rStyle w:val="InstructionsTabelleberschrift"/>
                <w:rFonts w:ascii="Times New Roman" w:hAnsi="Times New Roman"/>
                <w:sz w:val="24"/>
              </w:rPr>
              <w:t>s</w:t>
            </w:r>
            <w:r>
              <w:rPr>
                <w:rStyle w:val="InstructionsTabelleberschrift"/>
                <w:rFonts w:ascii="Times New Roman" w:hAnsi="Times New Roman"/>
                <w:sz w:val="24"/>
              </w:rPr>
              <w:t>datumet och som inte uppfyller de villkor som fastställts i artikel 63 i kapitaltäckningsförordningen efter utgången av den effektiva löptiden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Artiklarna 490.5 och 491 a i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Poster med en köpoption som får utnyttjas senast den 20 juli 2011 och som inte uppfyller de villkor som fastställts i artikel 63 i kap</w:t>
            </w:r>
            <w:r>
              <w:rPr>
                <w:rStyle w:val="InstructionsTabelleberschrift"/>
                <w:rFonts w:ascii="Times New Roman" w:hAnsi="Times New Roman"/>
                <w:sz w:val="24"/>
              </w:rPr>
              <w:t>i</w:t>
            </w:r>
            <w:r>
              <w:rPr>
                <w:rStyle w:val="InstructionsTabelleberschrift"/>
                <w:rFonts w:ascii="Times New Roman" w:hAnsi="Times New Roman"/>
                <w:sz w:val="24"/>
              </w:rPr>
              <w:t>taltäckningsförordningen efter utgången av den effektiva löptiden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Artiklarna 490.6 och 491 c i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Överskott utöver gränsvärdet för primärkapitalinstrument för vilka äldre regler får tillämpas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487.2 i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De belopp som överskrider gränsen för de primärkapitaltillskott för vilka äldre regler får tillämpas får behandlas som sådana instrument för vilka äldre regler för supplementärkapitalinstrument får tillämpas.</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3820243"/>
      <w:bookmarkEnd w:id="115"/>
      <w:bookmarkEnd w:id="116"/>
      <w:bookmarkEnd w:id="117"/>
      <w:r>
        <w:rPr>
          <w:rFonts w:ascii="Times New Roman" w:hAnsi="Times New Roman"/>
          <w:sz w:val="24"/>
          <w:u w:val="none"/>
        </w:rPr>
        <w:t>2.</w:t>
      </w:r>
      <w:r w:rsidRPr="00DE499B">
        <w:rPr>
          <w:u w:val="none"/>
        </w:rPr>
        <w:tab/>
      </w:r>
      <w:r>
        <w:rPr>
          <w:rFonts w:ascii="Times New Roman" w:hAnsi="Times New Roman"/>
          <w:sz w:val="24"/>
        </w:rPr>
        <w:t>SOLVENS PÅ GRUPPNIVÅ: INFORMATION OM NÄRSTÅENDE FÖRETAG – (GS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3820244"/>
      <w:r>
        <w:rPr>
          <w:rFonts w:ascii="Times New Roman" w:hAnsi="Times New Roman"/>
          <w:sz w:val="24"/>
          <w:u w:val="none"/>
        </w:rPr>
        <w:t>2.1.</w:t>
      </w:r>
      <w:r w:rsidRPr="00DE499B">
        <w:rPr>
          <w:u w:val="none"/>
        </w:rPr>
        <w:tab/>
      </w:r>
      <w:r>
        <w:rPr>
          <w:rFonts w:ascii="Times New Roman" w:hAnsi="Times New Roman"/>
          <w:sz w:val="24"/>
        </w:rPr>
        <w:t>Allmänna kommentarer</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Mallarna C 06.01 och C 06.02 ska rapporteras om kapitalbaskrav beräknas på gruppnivå. Denna mall består av följande fyra delar, för att man ska kunna samla in uppgifter om varje enskild enhet (inbegripet det rapporterande institutet) som o</w:t>
      </w:r>
      <w:r>
        <w:t>m</w:t>
      </w:r>
      <w:r>
        <w:t>fattas av konsolideringen:</w:t>
      </w:r>
    </w:p>
    <w:p w:rsidR="00C93697" w:rsidRPr="000F1CEA" w:rsidRDefault="00125707" w:rsidP="00C37B29">
      <w:pPr>
        <w:pStyle w:val="InstructionsText2"/>
        <w:numPr>
          <w:ilvl w:val="0"/>
          <w:numId w:val="0"/>
        </w:numPr>
        <w:ind w:left="993"/>
      </w:pPr>
      <w:r>
        <w:t>(a)</w:t>
      </w:r>
      <w:r>
        <w:tab/>
        <w:t>Enheter som omfattas av konsolideringen.</w:t>
      </w:r>
    </w:p>
    <w:p w:rsidR="00C93697" w:rsidRPr="000F1CEA" w:rsidRDefault="00125707" w:rsidP="00C37B29">
      <w:pPr>
        <w:pStyle w:val="InstructionsText2"/>
        <w:numPr>
          <w:ilvl w:val="0"/>
          <w:numId w:val="0"/>
        </w:numPr>
        <w:ind w:left="993"/>
      </w:pPr>
      <w:r>
        <w:t>(b)</w:t>
      </w:r>
      <w:r>
        <w:tab/>
        <w:t>Detaljerade uppgifter om gruppens solvens.</w:t>
      </w:r>
    </w:p>
    <w:p w:rsidR="00C93697" w:rsidRPr="000F1CEA" w:rsidRDefault="00125707" w:rsidP="00C37B29">
      <w:pPr>
        <w:pStyle w:val="InstructionsText2"/>
        <w:numPr>
          <w:ilvl w:val="0"/>
          <w:numId w:val="0"/>
        </w:numPr>
        <w:ind w:left="993"/>
      </w:pPr>
      <w:r>
        <w:lastRenderedPageBreak/>
        <w:t>(c)</w:t>
      </w:r>
      <w:r>
        <w:tab/>
        <w:t>Uppgifter om hur enskilda enheter bidrar till gruppens solvens.</w:t>
      </w:r>
    </w:p>
    <w:p w:rsidR="00C93697" w:rsidRPr="000F1CEA" w:rsidRDefault="00125707" w:rsidP="00C37B29">
      <w:pPr>
        <w:pStyle w:val="InstructionsText2"/>
        <w:numPr>
          <w:ilvl w:val="0"/>
          <w:numId w:val="0"/>
        </w:numPr>
        <w:ind w:left="993"/>
      </w:pPr>
      <w:r>
        <w:t>(d)</w:t>
      </w:r>
      <w:r>
        <w:tab/>
        <w:t>Uppgifter om kapitalbuffertar.</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Institut som omfattas av undantag i enlighet med artikel 7 i CRR ska bara ra</w:t>
      </w:r>
      <w:r>
        <w:t>p</w:t>
      </w:r>
      <w:r>
        <w:t>portera kolumnerna 010–060 och 250–400.</w:t>
      </w:r>
    </w:p>
    <w:p w:rsidR="004C0508" w:rsidRPr="00392FFD" w:rsidRDefault="00125707" w:rsidP="00C37B29">
      <w:pPr>
        <w:pStyle w:val="InstructionsText2"/>
        <w:numPr>
          <w:ilvl w:val="0"/>
          <w:numId w:val="0"/>
        </w:numPr>
        <w:ind w:left="993"/>
      </w:pPr>
      <w:r>
        <w:t>28.</w:t>
      </w:r>
      <w:r>
        <w:tab/>
        <w:t>I de siffror som rapporteras beaktas alla tillämpliga övergångsbestämmelser i CRR som gäller på respektive rapporteringsdatum.</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3820245"/>
      <w:r>
        <w:rPr>
          <w:rFonts w:ascii="Times New Roman" w:hAnsi="Times New Roman"/>
          <w:sz w:val="24"/>
          <w:u w:val="none"/>
        </w:rPr>
        <w:t>2.2.</w:t>
      </w:r>
      <w:r w:rsidRPr="00811F9D">
        <w:rPr>
          <w:u w:val="none"/>
        </w:rPr>
        <w:tab/>
      </w:r>
      <w:r>
        <w:rPr>
          <w:rFonts w:ascii="Times New Roman" w:hAnsi="Times New Roman"/>
          <w:sz w:val="24"/>
        </w:rPr>
        <w:t>Detaljerade uppgifter om gruppens solvens</w:t>
      </w:r>
      <w:bookmarkEnd w:id="130"/>
      <w:bookmarkEnd w:id="131"/>
      <w:bookmarkEnd w:id="132"/>
      <w:bookmarkEnd w:id="133"/>
    </w:p>
    <w:p w:rsidR="00464F34" w:rsidRPr="00392FFD" w:rsidRDefault="00125707" w:rsidP="00C37B29">
      <w:pPr>
        <w:pStyle w:val="InstructionsText2"/>
        <w:numPr>
          <w:ilvl w:val="0"/>
          <w:numId w:val="0"/>
        </w:numPr>
        <w:ind w:left="993"/>
      </w:pPr>
      <w:r>
        <w:t>29.</w:t>
      </w:r>
      <w:r>
        <w:tab/>
        <w:t>Den andra delen av denna mall (detaljerade uppgifter om solvens på grup</w:t>
      </w:r>
      <w:r>
        <w:t>p</w:t>
      </w:r>
      <w:r>
        <w:t>nivå) i kolumnerna 070–210 syftar till att samla in uppgifter om kreditinstitut och andra reglerade finansiella institut som i praktiken omfattas av särskilda solven</w:t>
      </w:r>
      <w:r>
        <w:t>s</w:t>
      </w:r>
      <w:r>
        <w:t>krav på individuell nivå. För var och en av de enheter som omfattas av rapport</w:t>
      </w:r>
      <w:r>
        <w:t>e</w:t>
      </w:r>
      <w:r>
        <w:t>ringen anges kapitalbaskraven för varje riskkategori och kapitalbasen för kap</w:t>
      </w:r>
      <w:r>
        <w:t>i</w:t>
      </w:r>
      <w:r>
        <w:t xml:space="preserve">taltäckningsändamål. </w:t>
      </w:r>
    </w:p>
    <w:p w:rsidR="00464F34" w:rsidRPr="00392FFD" w:rsidRDefault="00125707" w:rsidP="00C37B29">
      <w:pPr>
        <w:pStyle w:val="InstructionsText2"/>
        <w:numPr>
          <w:ilvl w:val="0"/>
          <w:numId w:val="0"/>
        </w:numPr>
        <w:ind w:left="993"/>
      </w:pPr>
      <w:r>
        <w:t>30.</w:t>
      </w:r>
      <w:r>
        <w:tab/>
        <w:t>Vid proportionell konsolidering av ägarintressena ska de siffror som rör kap</w:t>
      </w:r>
      <w:r>
        <w:t>i</w:t>
      </w:r>
      <w:r>
        <w:t>talbaskrav och kapitalbas avspegla respektive andel av värdet.</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3820246"/>
      <w:r>
        <w:rPr>
          <w:rFonts w:ascii="Times New Roman" w:hAnsi="Times New Roman"/>
          <w:sz w:val="24"/>
          <w:u w:val="none"/>
        </w:rPr>
        <w:t>2.3.</w:t>
      </w:r>
      <w:r w:rsidRPr="00811F9D">
        <w:rPr>
          <w:u w:val="none"/>
        </w:rPr>
        <w:tab/>
      </w:r>
      <w:r>
        <w:rPr>
          <w:rFonts w:ascii="Times New Roman" w:hAnsi="Times New Roman"/>
          <w:sz w:val="24"/>
        </w:rPr>
        <w:t>Uppgifter om hur enskilda enheter bidrar till gruppens solvens</w:t>
      </w:r>
      <w:bookmarkEnd w:id="134"/>
      <w:bookmarkEnd w:id="135"/>
      <w:bookmarkEnd w:id="136"/>
      <w:bookmarkEnd w:id="137"/>
    </w:p>
    <w:p w:rsidR="00464F34" w:rsidRPr="00392FFD" w:rsidRDefault="00125707" w:rsidP="00C37B29">
      <w:pPr>
        <w:pStyle w:val="InstructionsText2"/>
        <w:numPr>
          <w:ilvl w:val="0"/>
          <w:numId w:val="0"/>
        </w:numPr>
        <w:ind w:left="993"/>
      </w:pPr>
      <w:r>
        <w:t>31.</w:t>
      </w:r>
      <w:r>
        <w:tab/>
        <w:t>Syftet med den tredje delen av denna mall (uppgifter om hur samtliga enheter som i enlighet med CRR omfattas av konsolideringen bidrar till gruppens solvens, inbegripet enheter som inte omfattas av de särskilda solvenskraven på individuell nivå, i kolumnerna 250–400) är att fastställa vilka enheter i gruppen som ger up</w:t>
      </w:r>
      <w:r>
        <w:t>p</w:t>
      </w:r>
      <w:r>
        <w:t>hov till risker och hämtar sin kapitalbas från marknaden. Detta grundas på uppgifter som är lättillgängliga eller som enkelt kan omarbetas, utan att kapitalrelationen måste rekonstrueras på individuell nivå eller undergruppsnivå. På enhetsnivå bidrar både siffrorna för risken och siffrorna för kapitalbasen till gruppens siffror och u</w:t>
      </w:r>
      <w:r>
        <w:t>t</w:t>
      </w:r>
      <w:r>
        <w:t xml:space="preserve">gör inte sådana delar av en kapitalrelation på individuell nivå som ska jämföras med varandra. </w:t>
      </w:r>
    </w:p>
    <w:p w:rsidR="00464F34" w:rsidRPr="00392FFD" w:rsidRDefault="00125707" w:rsidP="00C37B29">
      <w:pPr>
        <w:pStyle w:val="InstructionsText2"/>
        <w:numPr>
          <w:ilvl w:val="0"/>
          <w:numId w:val="0"/>
        </w:numPr>
        <w:ind w:left="993"/>
      </w:pPr>
      <w:r>
        <w:t>32.</w:t>
      </w:r>
      <w:r>
        <w:tab/>
        <w:t>I den tredje delen tas även upp värdet av minoritetsintressen, kvalificerande primärkapitaltillskott och kvalificerande supplementärkapital som godtas i den ko</w:t>
      </w:r>
      <w:r>
        <w:t>n</w:t>
      </w:r>
      <w:r>
        <w:t>soliderade kapitalbasen.</w:t>
      </w:r>
    </w:p>
    <w:p w:rsidR="00464F34" w:rsidRPr="00392FFD" w:rsidRDefault="00125707" w:rsidP="00C37B29">
      <w:pPr>
        <w:pStyle w:val="InstructionsText2"/>
        <w:numPr>
          <w:ilvl w:val="0"/>
          <w:numId w:val="0"/>
        </w:numPr>
        <w:ind w:left="993"/>
      </w:pPr>
      <w:r>
        <w:t>33.</w:t>
      </w:r>
      <w:r>
        <w:tab/>
        <w:t>Eftersom mallens tredje del avser ”bidrag” ska de belopp som rapporteras i den delen vid behov dras av från de belopp som rapporteras i de kolumner som avser detaljerade uppgifter om gruppens solvens.</w:t>
      </w:r>
    </w:p>
    <w:p w:rsidR="00464F34" w:rsidRPr="00392FFD" w:rsidRDefault="00125707" w:rsidP="00C37B29">
      <w:pPr>
        <w:pStyle w:val="InstructionsText2"/>
        <w:numPr>
          <w:ilvl w:val="0"/>
          <w:numId w:val="0"/>
        </w:numPr>
        <w:ind w:left="993"/>
      </w:pPr>
      <w:r>
        <w:t>34.</w:t>
      </w:r>
      <w:r>
        <w:tab/>
        <w:t>Grundregeln är att man stryker de överlappande exponeringarna inom samma grupp på ett enhetligt sätt med avseende på både risker och kapitalbas, för att täcka de belopp som rapporteras i gruppens konsoliderade CA-mall genom att lägga till de belopp som rapporteras per enhet i mallen för solvens på gruppnivå. I de fall där gränsen 1 % inte överskrids går det inte att göra en direkt koppling till CA-mallen.</w:t>
      </w:r>
    </w:p>
    <w:p w:rsidR="00464F34" w:rsidRPr="00392FFD" w:rsidRDefault="00125707" w:rsidP="00C37B29">
      <w:pPr>
        <w:pStyle w:val="InstructionsText2"/>
        <w:numPr>
          <w:ilvl w:val="0"/>
          <w:numId w:val="0"/>
        </w:numPr>
        <w:ind w:left="993"/>
      </w:pPr>
      <w:r>
        <w:t>35.</w:t>
      </w:r>
      <w:r>
        <w:tab/>
        <w:t>Instituten ska ange vilken metod för uppdelning mellan enheterna som bäst tar hänsyn till de eventuella diversifieringseffekterna för marknadsrisk och operativ risk.</w:t>
      </w:r>
    </w:p>
    <w:p w:rsidR="00464F34" w:rsidRPr="00392FFD" w:rsidRDefault="00125707" w:rsidP="00C37B29">
      <w:pPr>
        <w:pStyle w:val="InstructionsText2"/>
        <w:numPr>
          <w:ilvl w:val="0"/>
          <w:numId w:val="0"/>
        </w:numPr>
        <w:ind w:left="993"/>
      </w:pPr>
      <w:r>
        <w:lastRenderedPageBreak/>
        <w:t>36.</w:t>
      </w:r>
      <w:r>
        <w:tab/>
        <w:t>En konsoliderad grupp kan ingå i en annan konsoliderad grupp. Detta innebär att enheter som ingår i en undergrupp ska rapporteras enhet för enhet i GS-mallen för hela gruppen även om undergruppen själv omfattas av rapportringskrav. Om undergruppen omfattas av rapporteringskrav ska den även rapportera GS-mallen enhetsvis, även om dessa uppgifter redovisas i GS-mallen för en överordnad kons</w:t>
      </w:r>
      <w:r>
        <w:t>o</w:t>
      </w:r>
      <w:r>
        <w:t xml:space="preserve">liderad grupp. </w:t>
      </w:r>
    </w:p>
    <w:p w:rsidR="00464F34" w:rsidRPr="00392FFD" w:rsidRDefault="00125707" w:rsidP="00C37B29">
      <w:pPr>
        <w:pStyle w:val="InstructionsText2"/>
        <w:numPr>
          <w:ilvl w:val="0"/>
          <w:numId w:val="0"/>
        </w:numPr>
        <w:ind w:left="993"/>
      </w:pPr>
      <w:r>
        <w:t>37.</w:t>
      </w:r>
      <w:r>
        <w:tab/>
        <w:t>Ett institut ska rapportera uppgifter om en enhets bidrag, om dess bidrag till det totala riskvägda exponeringsbeloppet överstiger 1 % av gruppens totala riskexpon</w:t>
      </w:r>
      <w:r>
        <w:t>e</w:t>
      </w:r>
      <w:r>
        <w:t>rade belopp eller om dess bidrag till den totala kapitalbasen överstiger 1 % av gru</w:t>
      </w:r>
      <w:r>
        <w:t>p</w:t>
      </w:r>
      <w:r>
        <w:t>pens totala kapitalbas. Denna gräns tillämpas inte för dotterföretag eller delgrupper som tillhandahåller kapitalbas till gruppen (i form av minoritetsintressen eller kval</w:t>
      </w:r>
      <w:r>
        <w:t>i</w:t>
      </w:r>
      <w:r>
        <w:t>ficerande primärkapitaltillskott eller supplementärkapitalinstrument som ingår i k</w:t>
      </w:r>
      <w:r>
        <w:t>a</w:t>
      </w:r>
      <w:r>
        <w:t>pitalbasen).</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3820247"/>
      <w:r>
        <w:rPr>
          <w:rFonts w:ascii="Times New Roman" w:hAnsi="Times New Roman"/>
          <w:sz w:val="24"/>
          <w:u w:val="none"/>
        </w:rPr>
        <w:t>2.4.</w:t>
      </w:r>
      <w:r w:rsidRPr="00811F9D">
        <w:rPr>
          <w:u w:val="none"/>
        </w:rPr>
        <w:tab/>
      </w:r>
      <w:r>
        <w:rPr>
          <w:rFonts w:ascii="Times New Roman" w:hAnsi="Times New Roman"/>
          <w:sz w:val="24"/>
        </w:rPr>
        <w:t>C 06.01 – SOLVENS PÅ GRUPPNIVÅ: INFORMATION OM NÄRSTÅENDE F</w:t>
      </w:r>
      <w:r>
        <w:rPr>
          <w:rFonts w:ascii="Times New Roman" w:hAnsi="Times New Roman"/>
          <w:sz w:val="24"/>
        </w:rPr>
        <w:t>Ö</w:t>
      </w:r>
      <w:r>
        <w:rPr>
          <w:rFonts w:ascii="Times New Roman" w:hAnsi="Times New Roman"/>
          <w:sz w:val="24"/>
        </w:rPr>
        <w:t>RETAG – Summa (GS Total)</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instruktioner för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KAPITALBUFFERTAR</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instruktioner för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Rad</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SUMMA</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Totalsumman ska utgöra summan av de värden som rapporterats i samtliga mallrader i mall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3820248"/>
      <w:r>
        <w:rPr>
          <w:rFonts w:ascii="Times New Roman" w:hAnsi="Times New Roman"/>
          <w:sz w:val="24"/>
          <w:u w:val="none"/>
        </w:rPr>
        <w:t>2.5.</w:t>
      </w:r>
      <w:r w:rsidRPr="00811F9D">
        <w:rPr>
          <w:u w:val="none"/>
        </w:rPr>
        <w:tab/>
      </w:r>
      <w:r>
        <w:rPr>
          <w:rFonts w:ascii="Times New Roman" w:hAnsi="Times New Roman"/>
          <w:sz w:val="24"/>
        </w:rPr>
        <w:t>C 06.02 – SOLVENS PÅ GRUPPNIVÅ: INFORMATION OM NÄRSTÅENDE F</w:t>
      </w:r>
      <w:r>
        <w:rPr>
          <w:rFonts w:ascii="Times New Roman" w:hAnsi="Times New Roman"/>
          <w:sz w:val="24"/>
        </w:rPr>
        <w:t>Ö</w:t>
      </w:r>
      <w:r>
        <w:rPr>
          <w:rFonts w:ascii="Times New Roman" w:hAnsi="Times New Roman"/>
          <w:sz w:val="24"/>
        </w:rPr>
        <w:t>RETAG (GS)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Instruktioner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Denna mall är utformad för insamling av uppgifter om var och en av de enheter som omfattas av konsolidering i enlighet med</w:t>
            </w:r>
            <w:r>
              <w:rPr>
                <w:rFonts w:ascii="Times New Roman" w:hAnsi="Times New Roman"/>
                <w:sz w:val="24"/>
              </w:rPr>
              <w:t xml:space="preserve"> kapitel 2 i avdelning II i del ett i CRR.</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NAMN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Namnet på den enhet som omfattas av konsolideringen.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lastRenderedPageBreak/>
              <w:t>Denna kod är en radidentifierare och ska vara unik för varje rad i tabellen.</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 kod som har tilldelats enheten inom ramen för konsolideringen.</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Kodens konstruktion beror av det nationella rapporteringssystemet.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LEI-kod (identifieringskod för juridiska personer)</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LEI står för identifieringskod för juridiska personer (”Legal Entity Identification”) som är en referenskod som föreslagits av rådet för finansiell stabilitet (FSB) och godkänts av G20 som syftar till att skapa en unik världsomspännande identifikation av parter i finansiella transaktioner.</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Intill dess LEI-systemet är fullt operationellt tilldelas motparter koder som föregick LEI-koderna av en lokal operativ enhet som godkänts av den föreskrivande tillsyn</w:t>
            </w:r>
            <w:r>
              <w:rPr>
                <w:rStyle w:val="InstructionsTabelleText"/>
                <w:rFonts w:ascii="Times New Roman" w:hAnsi="Times New Roman"/>
                <w:sz w:val="24"/>
              </w:rPr>
              <w:t>s</w:t>
            </w:r>
            <w:r>
              <w:rPr>
                <w:rStyle w:val="InstructionsTabelleText"/>
                <w:rFonts w:ascii="Times New Roman" w:hAnsi="Times New Roman"/>
                <w:sz w:val="24"/>
              </w:rPr>
              <w:t>kommittén för det globala systemet med identifieringskod för juridiska personer (ROC, närmare upplysningar finns på följande webbplats: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Om en identifieringskod för juridiska personer (LEI-kod) finns för en given motpart ska den användas för att identifiera motparten.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INSTITUT ELLER MOTSVARANDE (JA/NEJ)</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”JA” ska anges om enheten omfattas av kapitalbaskraven i enlighet med CRR och CRD eller bestämmelser som åtminstone är likvärdiga Basel-bestämmelserna.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 annat fall ska ”NEJ” anges.</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Minoritetsintressen:</w:t>
            </w:r>
          </w:p>
          <w:p w:rsidR="00464F34" w:rsidRPr="00392FFD" w:rsidRDefault="00417984" w:rsidP="00464F34">
            <w:pPr>
              <w:rPr>
                <w:rStyle w:val="InstructionsTabelleText"/>
                <w:rFonts w:ascii="Times New Roman" w:hAnsi="Times New Roman"/>
                <w:sz w:val="24"/>
              </w:rPr>
            </w:pPr>
            <w:r>
              <w:rPr>
                <w:rFonts w:ascii="Times New Roman" w:hAnsi="Times New Roman"/>
                <w:sz w:val="24"/>
              </w:rPr>
              <w:t>Artiklarna 81.1 a ii och 82.1 a ii) i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För att minoritetsintressen och primärkapitaltillskott och supplementärkapitalinstr</w:t>
            </w:r>
            <w:r>
              <w:rPr>
                <w:rFonts w:ascii="Times New Roman" w:hAnsi="Times New Roman"/>
                <w:sz w:val="24"/>
              </w:rPr>
              <w:t>u</w:t>
            </w:r>
            <w:r>
              <w:rPr>
                <w:rFonts w:ascii="Times New Roman" w:hAnsi="Times New Roman"/>
                <w:sz w:val="24"/>
              </w:rPr>
              <w:t>ment som ges ut av ett dotterföretag ska kunna vara godtagbara måste dotterföretaget vara ett institut eller företag som enligt tillämplig nationell lagstiftning omfattas av kraven i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 AV ENHET</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Typ av enhet ska rapporteras baserat på följande kategorier:</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4.1.1 i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Värdepappersföretag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4.1.2 i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Finansiellt institut (annat)</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4.1.20, 4.1.21 och 4.1.26 i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Finansiella institut i den mening som avses i artikel 4.1.26 i CRR som inte ingår i någon av kategorierna d, f eller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(Blandat) finansiellt holdingföretag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4.1.20 och 4.1.21 i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Anknutet företag</w:t>
            </w:r>
          </w:p>
          <w:p w:rsidR="0071377A" w:rsidRDefault="0071377A" w:rsidP="009B355E">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Artikel 4.1.18 i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Specialföretag för värdepapperisering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4.1.66 i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Företag för säkerställda obligationer</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Enhet som har inrättats för att utfärda säkerställda obligationer eller för att hålla s</w:t>
            </w:r>
            <w:r>
              <w:rPr>
                <w:rStyle w:val="InstructionsTabelleText"/>
                <w:rFonts w:ascii="Times New Roman" w:hAnsi="Times New Roman"/>
                <w:sz w:val="24"/>
              </w:rPr>
              <w:t>ä</w:t>
            </w:r>
            <w:r>
              <w:rPr>
                <w:rStyle w:val="InstructionsTabelleText"/>
                <w:rFonts w:ascii="Times New Roman" w:hAnsi="Times New Roman"/>
                <w:sz w:val="24"/>
              </w:rPr>
              <w:t>kerhet för en säkerställd obligation, om företaget inte ingår i någon av kategorierna a, b eller d–f ovan.</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Annan typ av enhet</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Annan enhet än de som avses i punkt a–g.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enhet inte omfattas av CRR och CRD, men omfattas av bestämmelser som är åtminstone likvärdiga med Basel-bestämmelserna ska kategorin bestämmas efter bästa förmåga.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UPPGIFTERNAS OMFATTNING: </w:t>
            </w:r>
            <w:r>
              <w:rPr>
                <w:rFonts w:ascii="Times New Roman" w:hAnsi="Times New Roman"/>
                <w:b/>
                <w:caps/>
                <w:sz w:val="24"/>
                <w:u w:val="single"/>
              </w:rPr>
              <w:t>Solo fullständigt konsolid</w:t>
            </w:r>
            <w:r>
              <w:rPr>
                <w:rFonts w:ascii="Times New Roman" w:hAnsi="Times New Roman"/>
                <w:b/>
                <w:caps/>
                <w:sz w:val="24"/>
                <w:u w:val="single"/>
              </w:rPr>
              <w:t>e</w:t>
            </w:r>
            <w:r>
              <w:rPr>
                <w:rFonts w:ascii="Times New Roman" w:hAnsi="Times New Roman"/>
                <w:b/>
                <w:caps/>
                <w:sz w:val="24"/>
                <w:u w:val="single"/>
              </w:rPr>
              <w:t>rade (SF), ELLER solo delvis konsoliderade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ska rapporteras för enskilda dotterbolag som är fullständigt konsoliderade.</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ska rapporteras för enskilda dotterföretag som är delvis konsoliderade.</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LANDKOD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Instituten ska ange den landskod som består av två bokstäver enligt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ANDEL AV INNEHAV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Det rapporterande institutets totala delägande i procent. Procentandelen avser den fa</w:t>
            </w:r>
            <w:r>
              <w:rPr>
                <w:rStyle w:val="InstructionsTabelleText"/>
                <w:rFonts w:ascii="Times New Roman" w:hAnsi="Times New Roman"/>
                <w:sz w:val="24"/>
              </w:rPr>
              <w:t>k</w:t>
            </w:r>
            <w:r>
              <w:rPr>
                <w:rStyle w:val="InstructionsTabelleText"/>
                <w:rFonts w:ascii="Times New Roman" w:hAnsi="Times New Roman"/>
                <w:sz w:val="24"/>
              </w:rPr>
              <w:t>tiska andelen av det kapital som moderföretaget innehar i dotterbolagen. Vid fullstä</w:t>
            </w:r>
            <w:r>
              <w:rPr>
                <w:rStyle w:val="InstructionsTabelleText"/>
                <w:rFonts w:ascii="Times New Roman" w:hAnsi="Times New Roman"/>
                <w:sz w:val="24"/>
              </w:rPr>
              <w:t>n</w:t>
            </w:r>
            <w:r>
              <w:rPr>
                <w:rStyle w:val="InstructionsTabelleText"/>
                <w:rFonts w:ascii="Times New Roman" w:hAnsi="Times New Roman"/>
                <w:sz w:val="24"/>
              </w:rPr>
              <w:t>dig konsolidering av ett direkt dotterbolag är den faktiska andelen t.ex. 70 %. I enlighet med artikel 4.16 i CRR beräknas den andel av ett dotterbolags innehav i ett dotterbolag som ska rapporteras genom en multiplikation av andelarna mellan de berörda dotterb</w:t>
            </w:r>
            <w:r>
              <w:rPr>
                <w:rStyle w:val="InstructionsTabelleText"/>
                <w:rFonts w:ascii="Times New Roman" w:hAnsi="Times New Roman"/>
                <w:sz w:val="24"/>
              </w:rPr>
              <w:t>o</w:t>
            </w:r>
            <w:r>
              <w:rPr>
                <w:rStyle w:val="InstructionsTabelleText"/>
                <w:rFonts w:ascii="Times New Roman" w:hAnsi="Times New Roman"/>
                <w:sz w:val="24"/>
              </w:rPr>
              <w:t>lagen.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INFORMATION OM ENHETER SOM OMFATTAS AV KAPITALBASKRAV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 avsnittet med detaljerade uppgifter (dvs. kolumnerna 070–240) ska uppgifter redov</w:t>
            </w:r>
            <w:r>
              <w:rPr>
                <w:rStyle w:val="InstructionsTabelleText"/>
                <w:rFonts w:ascii="Times New Roman" w:hAnsi="Times New Roman"/>
                <w:sz w:val="24"/>
              </w:rPr>
              <w:t>i</w:t>
            </w:r>
            <w:r>
              <w:rPr>
                <w:rStyle w:val="InstructionsTabelleText"/>
                <w:rFonts w:ascii="Times New Roman" w:hAnsi="Times New Roman"/>
                <w:sz w:val="24"/>
              </w:rPr>
              <w:t>sas enbart om de enheter och delgrupper som ingår i konsolideringen (</w:t>
            </w:r>
            <w:r>
              <w:rPr>
                <w:rFonts w:ascii="Times New Roman" w:hAnsi="Times New Roman"/>
                <w:sz w:val="24"/>
              </w:rPr>
              <w:t>kapitel 2 i a</w:t>
            </w:r>
            <w:r>
              <w:rPr>
                <w:rFonts w:ascii="Times New Roman" w:hAnsi="Times New Roman"/>
                <w:sz w:val="24"/>
              </w:rPr>
              <w:t>v</w:t>
            </w:r>
            <w:r>
              <w:rPr>
                <w:rFonts w:ascii="Times New Roman" w:hAnsi="Times New Roman"/>
                <w:sz w:val="24"/>
              </w:rPr>
              <w:t>delning II i del ett i CRR) o</w:t>
            </w:r>
            <w:r>
              <w:rPr>
                <w:rStyle w:val="InstructionsTabelleText"/>
                <w:rFonts w:ascii="Times New Roman" w:hAnsi="Times New Roman"/>
                <w:sz w:val="24"/>
              </w:rPr>
              <w:t xml:space="preserve">ch därmed i praktiken omfattas av solvenskraven i enlighet med CRR eller bestämmelser som åtminstone är likvärdiga med Basel-bestämmelserna (dvs. som har rapporterat ”JA” i kolumn 030). </w:t>
            </w:r>
          </w:p>
          <w:p w:rsidR="00464F34" w:rsidRPr="00392FFD" w:rsidRDefault="00464F34" w:rsidP="00464F34">
            <w:pPr>
              <w:rPr>
                <w:rFonts w:ascii="Times New Roman" w:hAnsi="Times New Roman"/>
                <w:sz w:val="24"/>
              </w:rPr>
            </w:pPr>
            <w:r>
              <w:rPr>
                <w:rFonts w:ascii="Times New Roman" w:hAnsi="Times New Roman"/>
                <w:sz w:val="24"/>
              </w:rPr>
              <w:t>Det ska ingå uppgifter om alla de enskilda institut i en konsoliderad grupp som omfa</w:t>
            </w:r>
            <w:r>
              <w:rPr>
                <w:rFonts w:ascii="Times New Roman" w:hAnsi="Times New Roman"/>
                <w:sz w:val="24"/>
              </w:rPr>
              <w:t>t</w:t>
            </w:r>
            <w:r>
              <w:rPr>
                <w:rFonts w:ascii="Times New Roman" w:hAnsi="Times New Roman"/>
                <w:sz w:val="24"/>
              </w:rPr>
              <w:t xml:space="preserve">tas av kapitalbaskraven, oavsett var de är etablerade. </w:t>
            </w:r>
          </w:p>
          <w:p w:rsidR="00464F34" w:rsidRPr="00392FFD" w:rsidRDefault="00464F34" w:rsidP="00464F34">
            <w:pPr>
              <w:rPr>
                <w:rFonts w:ascii="Times New Roman" w:hAnsi="Times New Roman"/>
                <w:sz w:val="24"/>
              </w:rPr>
            </w:pPr>
            <w:r>
              <w:rPr>
                <w:rFonts w:ascii="Times New Roman" w:hAnsi="Times New Roman"/>
                <w:sz w:val="24"/>
              </w:rPr>
              <w:t>De uppgifter som rapporteras i denna del ska beräknas i enlighet med de lokala so</w:t>
            </w:r>
            <w:r>
              <w:rPr>
                <w:rFonts w:ascii="Times New Roman" w:hAnsi="Times New Roman"/>
                <w:sz w:val="24"/>
              </w:rPr>
              <w:t>l</w:t>
            </w:r>
            <w:r>
              <w:rPr>
                <w:rFonts w:ascii="Times New Roman" w:hAnsi="Times New Roman"/>
                <w:sz w:val="24"/>
              </w:rPr>
              <w:t>vensregler som tillämpas där institutet har sin verksamhet (i denna mall behövs därför ingen extra beräkning på individnivå i enlighet med moderinstitutets regler). Om de l</w:t>
            </w:r>
            <w:r>
              <w:rPr>
                <w:rFonts w:ascii="Times New Roman" w:hAnsi="Times New Roman"/>
                <w:sz w:val="24"/>
              </w:rPr>
              <w:t>o</w:t>
            </w:r>
            <w:r>
              <w:rPr>
                <w:rFonts w:ascii="Times New Roman" w:hAnsi="Times New Roman"/>
                <w:sz w:val="24"/>
              </w:rPr>
              <w:t>kala solvensreglerna avviker från CRR och en jämförbar uppdelning inte tillhandahålls ska uppgifterna fyllas i där det finns uppgifter tillgängliga i respektive storlekskategori. Denna del är alltså en faktamall med en summering av de uträkningar som ska utföras av de enskilda instituten i en grupp. Man bör ha i åtanke att vissa av instituten kan o</w:t>
            </w:r>
            <w:r>
              <w:rPr>
                <w:rFonts w:ascii="Times New Roman" w:hAnsi="Times New Roman"/>
                <w:sz w:val="24"/>
              </w:rPr>
              <w:t>m</w:t>
            </w:r>
            <w:r>
              <w:rPr>
                <w:rFonts w:ascii="Times New Roman" w:hAnsi="Times New Roman"/>
                <w:sz w:val="24"/>
              </w:rPr>
              <w:lastRenderedPageBreak/>
              <w:t>fattas av andra solvensregler.</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Rapportering av fasta omkostnader för värdepappersföretag</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Värdepappersföretag ska ta med kapitalbaskrav avseende fasta omkostnader i sin b</w:t>
            </w:r>
            <w:r>
              <w:rPr>
                <w:rStyle w:val="InstructionsTabelleText"/>
                <w:rFonts w:ascii="Times New Roman" w:hAnsi="Times New Roman"/>
                <w:sz w:val="24"/>
              </w:rPr>
              <w:t>e</w:t>
            </w:r>
            <w:r>
              <w:rPr>
                <w:rStyle w:val="InstructionsTabelleText"/>
                <w:rFonts w:ascii="Times New Roman" w:hAnsi="Times New Roman"/>
                <w:sz w:val="24"/>
              </w:rPr>
              <w:t>räkning av kapitalrelationen i enlighet med artiklarna 95, 96, 97 och 98 i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av det totala riskvägda exponeringsbeloppet avseende fasta omkostnader ska rapporteras i kolumn 100 i del 2 i denna mall.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TOTALT RISKVÄGT EXPONERINGSBELOPP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Summan av kolumnerna 080–110 ska rapporteras här.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MOTPRESTATION SAMT AVVECKLINGS-/LEVERANSRISK</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motsvarar summan av de riskvägda exponeringsbelopp som är lika med eller likvärdiga med de belopp som ska rapporteras på rad 040</w:t>
            </w:r>
            <w:r>
              <w:rPr>
                <w:rStyle w:val="InstructionsTabelleberschrift"/>
                <w:rFonts w:ascii="Times New Roman" w:hAnsi="Times New Roman"/>
                <w:b w:val="0"/>
                <w:sz w:val="24"/>
                <w:u w:val="none"/>
              </w:rPr>
              <w:t xml:space="preserve"> ”RISKVÄGDA EXPONERINGSBELOPP</w:t>
            </w:r>
            <w:r>
              <w:rPr>
                <w:rStyle w:val="InstructionsTabelleText"/>
                <w:rFonts w:ascii="Times New Roman" w:hAnsi="Times New Roman"/>
                <w:sz w:val="24"/>
              </w:rPr>
              <w:t xml:space="preserve"> FÖR KREDITRISK, MO</w:t>
            </w:r>
            <w:r>
              <w:rPr>
                <w:rStyle w:val="InstructionsTabelleText"/>
                <w:rFonts w:ascii="Times New Roman" w:hAnsi="Times New Roman"/>
                <w:sz w:val="24"/>
              </w:rPr>
              <w:t>T</w:t>
            </w:r>
            <w:r>
              <w:rPr>
                <w:rStyle w:val="InstructionsTabelleText"/>
                <w:rFonts w:ascii="Times New Roman" w:hAnsi="Times New Roman"/>
                <w:sz w:val="24"/>
              </w:rPr>
              <w:t>PARTSRISK OCH UTSPÄDNINGSRISK SAMT TRANSAKTIONER UTAN SA</w:t>
            </w:r>
            <w:r>
              <w:rPr>
                <w:rStyle w:val="InstructionsTabelleText"/>
                <w:rFonts w:ascii="Times New Roman" w:hAnsi="Times New Roman"/>
                <w:sz w:val="24"/>
              </w:rPr>
              <w:t>M</w:t>
            </w:r>
            <w:r>
              <w:rPr>
                <w:rStyle w:val="InstructionsTabelleText"/>
                <w:rFonts w:ascii="Times New Roman" w:hAnsi="Times New Roman"/>
                <w:sz w:val="24"/>
              </w:rPr>
              <w:t>TIDIG MOTPRESTATION” i mall CA2 och de belopp för kapitalbaskrav som är lika med eller likvärdiga med de som rapporteras i rad 490 ”TOTALT RISKVÄGT E</w:t>
            </w:r>
            <w:r>
              <w:rPr>
                <w:rStyle w:val="InstructionsTabelleText"/>
                <w:rFonts w:ascii="Times New Roman" w:hAnsi="Times New Roman"/>
                <w:sz w:val="24"/>
              </w:rPr>
              <w:t>X</w:t>
            </w:r>
            <w:r>
              <w:rPr>
                <w:rStyle w:val="InstructionsTabelleText"/>
                <w:rFonts w:ascii="Times New Roman" w:hAnsi="Times New Roman"/>
                <w:sz w:val="24"/>
              </w:rPr>
              <w:t>PONERINGSBELOPP FÖR AVVECKLINGS-/LEVERANSRISK” i mall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motsvarar det värde på kapitalbaskr</w:t>
            </w:r>
            <w:r>
              <w:rPr>
                <w:rStyle w:val="InstructionsTabelleText"/>
                <w:rFonts w:ascii="Times New Roman" w:hAnsi="Times New Roman"/>
                <w:sz w:val="24"/>
              </w:rPr>
              <w:t>a</w:t>
            </w:r>
            <w:r>
              <w:rPr>
                <w:rStyle w:val="InstructionsTabelleText"/>
                <w:rFonts w:ascii="Times New Roman" w:hAnsi="Times New Roman"/>
                <w:sz w:val="24"/>
              </w:rPr>
              <w:t>ven som är lika med eller likvärdigt med de belopp som ska rapporteras på rad 520 ”TOTALT RISKVÄGT EXPONERINGSBELOPP FÖR POSITIONSRISK, V</w:t>
            </w:r>
            <w:r>
              <w:rPr>
                <w:rStyle w:val="InstructionsTabelleText"/>
                <w:rFonts w:ascii="Times New Roman" w:hAnsi="Times New Roman"/>
                <w:sz w:val="24"/>
              </w:rPr>
              <w:t>A</w:t>
            </w:r>
            <w:r>
              <w:rPr>
                <w:rStyle w:val="InstructionsTabelleText"/>
                <w:rFonts w:ascii="Times New Roman" w:hAnsi="Times New Roman"/>
                <w:sz w:val="24"/>
              </w:rPr>
              <w:t>LUTAKURSRISK OCH RÅVARURISK” i mall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 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motsvarar det riskvägda exponering</w:t>
            </w:r>
            <w:r>
              <w:rPr>
                <w:rStyle w:val="InstructionsTabelleText"/>
                <w:rFonts w:ascii="Times New Roman" w:hAnsi="Times New Roman"/>
                <w:sz w:val="24"/>
              </w:rPr>
              <w:t>s</w:t>
            </w:r>
            <w:r>
              <w:rPr>
                <w:rStyle w:val="InstructionsTabelleText"/>
                <w:rFonts w:ascii="Times New Roman" w:hAnsi="Times New Roman"/>
                <w:sz w:val="24"/>
              </w:rPr>
              <w:t>belopp som är lika med eller likvärdigt med det belopp som ska rapporteras på rad 590 ”TOTALT RISKVÄGT EXPONERINGSBELOPP FÖR OPERATIV RISK (OpR)” i mall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 denna kolumn ska fasta omkostnader tas upp, inbegripet rad 630 ”YTTERLIGARE RISKVÄGT EXPONERINGSBELOPP PÅ GRUND AV FASTA OMKOSTNADER” i mall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motsvarar det riskvägda exponering</w:t>
            </w:r>
            <w:r>
              <w:rPr>
                <w:rStyle w:val="InstructionsTabelleText"/>
                <w:rFonts w:ascii="Times New Roman" w:hAnsi="Times New Roman"/>
                <w:sz w:val="24"/>
              </w:rPr>
              <w:t>s</w:t>
            </w:r>
            <w:r>
              <w:rPr>
                <w:rStyle w:val="InstructionsTabelleText"/>
                <w:rFonts w:ascii="Times New Roman" w:hAnsi="Times New Roman"/>
                <w:sz w:val="24"/>
              </w:rPr>
              <w:t>belopp som inte tas upp specifikt ovan. Det är summan av beloppen på raderna 640, 680 och 690 i mall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DETALJERADE UPPGIFTER OM KAPITALBAS FÖR SOLVENS PÅ GRUPPNIVÅ</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 uppgifter som rapporteras i följande kolumner ska beräknas i enlighet med de l</w:t>
            </w:r>
            <w:r>
              <w:rPr>
                <w:rStyle w:val="InstructionsTabelleText"/>
                <w:rFonts w:ascii="Times New Roman" w:hAnsi="Times New Roman"/>
                <w:sz w:val="24"/>
              </w:rPr>
              <w:t>o</w:t>
            </w:r>
            <w:r>
              <w:rPr>
                <w:rStyle w:val="InstructionsTabelleText"/>
                <w:rFonts w:ascii="Times New Roman" w:hAnsi="Times New Roman"/>
                <w:sz w:val="24"/>
              </w:rPr>
              <w:t>kala solvensregler som tillämpas där enheten eller delgruppen har sin verksamhet.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KAPITALBAS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motsvarar det värde på kapitalbasen som är lika med eller likvärdigt med de belopp som ska rapporteras på rad 010 ”KAP</w:t>
            </w:r>
            <w:r>
              <w:rPr>
                <w:rStyle w:val="InstructionsTabelleText"/>
                <w:rFonts w:ascii="Times New Roman" w:hAnsi="Times New Roman"/>
                <w:sz w:val="24"/>
              </w:rPr>
              <w:t>I</w:t>
            </w:r>
            <w:r>
              <w:rPr>
                <w:rStyle w:val="InstructionsTabelleText"/>
                <w:rFonts w:ascii="Times New Roman" w:hAnsi="Times New Roman"/>
                <w:sz w:val="24"/>
              </w:rPr>
              <w:t>TALBAS” i mall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VARAV: KVALIFICERANDE KAPITALBAS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82 i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Denna kolumn ska endast fyllas i för de dotterföretag som rapporteras på individnivå, är fullständigt konsoliderade och är institut.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Kvalificerade innehav är för ovan angivna dotterföretag de instrument (plus tillhörande balanserade vinstmedel, överkursfonder och andra reserver) som ägs av andra personer än de företag som ingår i konsolideringen i enlighet med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w:t>
            </w:r>
            <w:r>
              <w:rPr>
                <w:rStyle w:val="InstructionsTabelleText"/>
                <w:rFonts w:ascii="Times New Roman" w:hAnsi="Times New Roman"/>
                <w:sz w:val="24"/>
              </w:rPr>
              <w:t>m</w:t>
            </w:r>
            <w:r>
              <w:rPr>
                <w:rStyle w:val="InstructionsTabelleText"/>
                <w:rFonts w:ascii="Times New Roman" w:hAnsi="Times New Roman"/>
                <w:sz w:val="24"/>
              </w:rPr>
              <w:t>melser. Det ska vara det godtagbara beloppet på rapporteringsdagen.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w:t>
            </w:r>
            <w:r>
              <w:rPr>
                <w:rStyle w:val="InstructionsTabelleberschrift"/>
                <w:rFonts w:ascii="Times New Roman" w:hAnsi="Times New Roman"/>
                <w:sz w:val="24"/>
              </w:rPr>
              <w:t>E</w:t>
            </w:r>
            <w:r>
              <w:rPr>
                <w:rStyle w:val="InstructionsTabelleberschrift"/>
                <w:rFonts w:ascii="Times New Roman" w:hAnsi="Times New Roman"/>
                <w:sz w:val="24"/>
              </w:rPr>
              <w:t>DEL, ÖVERKURSFONDER OCH ÖVRIGA RESERVER</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87.1 b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TOTALT PRIMÄRKAPITAL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Artikel 25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82 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Denna kolumn ska endast fyllas i för de dotterföretag som rapporteras på individnivå, är fullständigt konsoliderade och är institut.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Kvalificerade innehav är för ovan angivna dotterföretag de instrument (plus tillhörande balanserade vinstmedel och överkursfonder) som ägs av andra personer än de företag som ingår i konsolideringen i enlighet med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w:t>
            </w:r>
            <w:r>
              <w:rPr>
                <w:rStyle w:val="InstructionsTabelleText"/>
                <w:rFonts w:ascii="Times New Roman" w:hAnsi="Times New Roman"/>
                <w:sz w:val="24"/>
              </w:rPr>
              <w:t>m</w:t>
            </w:r>
            <w:r>
              <w:rPr>
                <w:rStyle w:val="InstructionsTabelleText"/>
                <w:rFonts w:ascii="Times New Roman" w:hAnsi="Times New Roman"/>
                <w:sz w:val="24"/>
              </w:rPr>
              <w:t>melser. Det ska vara det godtagbara beloppet på rapporteringsdagen.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TILLHÖRANDE PRIMÄRKAPITALINSTRUMENT, TILLHÖRANDE B</w:t>
            </w:r>
            <w:r>
              <w:rPr>
                <w:rStyle w:val="InstructionsTabelleberschrift"/>
                <w:rFonts w:ascii="Times New Roman" w:hAnsi="Times New Roman"/>
                <w:sz w:val="24"/>
              </w:rPr>
              <w:t>A</w:t>
            </w:r>
            <w:r>
              <w:rPr>
                <w:rStyle w:val="InstructionsTabelleberschrift"/>
                <w:rFonts w:ascii="Times New Roman" w:hAnsi="Times New Roman"/>
                <w:sz w:val="24"/>
              </w:rPr>
              <w:t>LANSERADE VINSTMEDEL OCH ÖVERKURSFONDER</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Artikel 85.1 b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KÄRNPRIMÄRKAPITAL</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Artikel 50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MINORITETSINTRESSEN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81 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Denna kolumn ska endast rapporteras för dotterföretag som är fullständigt konsolid</w:t>
            </w:r>
            <w:r>
              <w:rPr>
                <w:rStyle w:val="InstructionsTabelleText"/>
                <w:rFonts w:ascii="Times New Roman" w:hAnsi="Times New Roman"/>
                <w:sz w:val="24"/>
              </w:rPr>
              <w:t>e</w:t>
            </w:r>
            <w:r>
              <w:rPr>
                <w:rStyle w:val="InstructionsTabelleText"/>
                <w:rFonts w:ascii="Times New Roman" w:hAnsi="Times New Roman"/>
                <w:sz w:val="24"/>
              </w:rPr>
              <w:t>rade och är institut, utom de dotterföretag som avses i artikel 84.3 i CRR. Varje dotte</w:t>
            </w:r>
            <w:r>
              <w:rPr>
                <w:rStyle w:val="InstructionsTabelleText"/>
                <w:rFonts w:ascii="Times New Roman" w:hAnsi="Times New Roman"/>
                <w:sz w:val="24"/>
              </w:rPr>
              <w:t>r</w:t>
            </w:r>
            <w:r>
              <w:rPr>
                <w:rStyle w:val="InstructionsTabelleText"/>
                <w:rFonts w:ascii="Times New Roman" w:hAnsi="Times New Roman"/>
                <w:sz w:val="24"/>
              </w:rPr>
              <w:t xml:space="preserve">företag ska behandlas på undergruppsnivå med avseende på samtliga beräkningar som </w:t>
            </w:r>
            <w:r>
              <w:rPr>
                <w:rStyle w:val="InstructionsTabelleText"/>
                <w:rFonts w:ascii="Times New Roman" w:hAnsi="Times New Roman"/>
                <w:sz w:val="24"/>
              </w:rPr>
              <w:lastRenderedPageBreak/>
              <w:t>krävs i artikel 84 i CRR, i tillämpliga fall, i enlighet med artikel 84.2 och annars på i</w:t>
            </w:r>
            <w:r>
              <w:rPr>
                <w:rStyle w:val="InstructionsTabelleText"/>
                <w:rFonts w:ascii="Times New Roman" w:hAnsi="Times New Roman"/>
                <w:sz w:val="24"/>
              </w:rPr>
              <w:t>n</w:t>
            </w:r>
            <w:r>
              <w:rPr>
                <w:rStyle w:val="InstructionsTabelleText"/>
                <w:rFonts w:ascii="Times New Roman" w:hAnsi="Times New Roman"/>
                <w:sz w:val="24"/>
              </w:rPr>
              <w:t>dividnivå.</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Med avseende på CRR och denna mall är minoritetsintressen för ovan angivna dotte</w:t>
            </w:r>
            <w:r>
              <w:rPr>
                <w:rStyle w:val="InstructionsTabelleText"/>
                <w:rFonts w:ascii="Times New Roman" w:hAnsi="Times New Roman"/>
                <w:sz w:val="24"/>
              </w:rPr>
              <w:t>r</w:t>
            </w:r>
            <w:r>
              <w:rPr>
                <w:rStyle w:val="InstructionsTabelleText"/>
                <w:rFonts w:ascii="Times New Roman" w:hAnsi="Times New Roman"/>
                <w:sz w:val="24"/>
              </w:rPr>
              <w:t>företag de kärnprimärkapitalinstrument (plus tillhörande balanserade vinstmedel och överkursfonder) som ägs av andra personer än de företag som ingår i konsolideringen i enlighet med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w:t>
            </w:r>
            <w:r>
              <w:rPr>
                <w:rStyle w:val="InstructionsTabelleText"/>
                <w:rFonts w:ascii="Times New Roman" w:hAnsi="Times New Roman"/>
                <w:sz w:val="24"/>
              </w:rPr>
              <w:t>m</w:t>
            </w:r>
            <w:r>
              <w:rPr>
                <w:rStyle w:val="InstructionsTabelleText"/>
                <w:rFonts w:ascii="Times New Roman" w:hAnsi="Times New Roman"/>
                <w:sz w:val="24"/>
              </w:rPr>
              <w:t>melser. Det ska vara det godtagbara beloppet på rapporteringsdagen.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w:t>
            </w:r>
            <w:r>
              <w:rPr>
                <w:rStyle w:val="InstructionsTabelleberschrift"/>
                <w:rFonts w:ascii="Times New Roman" w:hAnsi="Times New Roman"/>
                <w:sz w:val="24"/>
              </w:rPr>
              <w:t>E</w:t>
            </w:r>
            <w:r>
              <w:rPr>
                <w:rStyle w:val="InstructionsTabelleberschrift"/>
                <w:rFonts w:ascii="Times New Roman" w:hAnsi="Times New Roman"/>
                <w:sz w:val="24"/>
              </w:rPr>
              <w:t>DEL, ÖVERKURSFONDER OCH ÖVRIGA RESERVER</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84.1 b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PRIMÄRKAPITALTILLSKOTT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Artikel 61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PRIMÄRKAPITALTILLSKOTT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Artiklarna 82 och 83 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Denna kolumn ska endast fyllas i för de dotterföretag som rapporteras på individnivå, är fullständigt konsoliderade och är institut, utom de dotterföretag som avses i artikel 85.2 i CRR. Varje dotterföretag ska behandlas på undergruppsnivå med avseende på samtliga beräkningar som krävs i artikel 85 i CRR, i tillämpliga fall, i enlighet med a</w:t>
            </w:r>
            <w:r>
              <w:rPr>
                <w:rStyle w:val="InstructionsTabelleText"/>
                <w:rFonts w:ascii="Times New Roman" w:hAnsi="Times New Roman"/>
                <w:sz w:val="24"/>
              </w:rPr>
              <w:t>r</w:t>
            </w:r>
            <w:r>
              <w:rPr>
                <w:rStyle w:val="InstructionsTabelleText"/>
                <w:rFonts w:ascii="Times New Roman" w:hAnsi="Times New Roman"/>
                <w:sz w:val="24"/>
              </w:rPr>
              <w:t>tikel 85.2 och annars på individnivå.</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Med avseende på CRR och denna mall är minoritetsintressen för ovan angivna dotte</w:t>
            </w:r>
            <w:r>
              <w:rPr>
                <w:rStyle w:val="InstructionsTabelleText"/>
                <w:rFonts w:ascii="Times New Roman" w:hAnsi="Times New Roman"/>
                <w:sz w:val="24"/>
              </w:rPr>
              <w:t>r</w:t>
            </w:r>
            <w:r>
              <w:rPr>
                <w:rStyle w:val="InstructionsTabelleText"/>
                <w:rFonts w:ascii="Times New Roman" w:hAnsi="Times New Roman"/>
                <w:sz w:val="24"/>
              </w:rPr>
              <w:t>företag de primärkapitaltillskott (plus tillhörande balanserade vinstmedel och överkur</w:t>
            </w:r>
            <w:r>
              <w:rPr>
                <w:rStyle w:val="InstructionsTabelleText"/>
                <w:rFonts w:ascii="Times New Roman" w:hAnsi="Times New Roman"/>
                <w:sz w:val="24"/>
              </w:rPr>
              <w:t>s</w:t>
            </w:r>
            <w:r>
              <w:rPr>
                <w:rStyle w:val="InstructionsTabelleText"/>
                <w:rFonts w:ascii="Times New Roman" w:hAnsi="Times New Roman"/>
                <w:sz w:val="24"/>
              </w:rPr>
              <w:t>fonder) som ägs av andra personer än de företag som ingår i konsolideringen i enlighet med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w:t>
            </w:r>
            <w:r>
              <w:rPr>
                <w:rStyle w:val="InstructionsTabelleText"/>
                <w:rFonts w:ascii="Times New Roman" w:hAnsi="Times New Roman"/>
                <w:sz w:val="24"/>
              </w:rPr>
              <w:t>m</w:t>
            </w:r>
            <w:r>
              <w:rPr>
                <w:rStyle w:val="InstructionsTabelleText"/>
                <w:rFonts w:ascii="Times New Roman" w:hAnsi="Times New Roman"/>
                <w:sz w:val="24"/>
              </w:rPr>
              <w:t>melser. Det ska vara det godtagbara beloppet på rapporteringsdagen.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SUPPLEMENTÄRKAPITAL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Artikel 71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KVALIFICERANDE SUPPLEMENTÄRKAPITAL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Artiklarna 82 och 83 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Denna kolumn ska endast fyllas i för de dotterföretag som rapporteras på individnivå, är fullständigt konsoliderade och är institut, utom de dotterföretag som avses i artikel 87.2 i CRR. Varje dotterföretag ska behandlas på undergruppsnivå med avseende på samtliga beräkningar som krävs i artikel 87 i CRR, i tillämpliga fall, i enlighet med a</w:t>
            </w:r>
            <w:r>
              <w:rPr>
                <w:rStyle w:val="InstructionsTabelleText"/>
                <w:rFonts w:ascii="Times New Roman" w:hAnsi="Times New Roman"/>
                <w:sz w:val="24"/>
              </w:rPr>
              <w:t>r</w:t>
            </w:r>
            <w:r>
              <w:rPr>
                <w:rStyle w:val="InstructionsTabelleText"/>
                <w:rFonts w:ascii="Times New Roman" w:hAnsi="Times New Roman"/>
                <w:sz w:val="24"/>
              </w:rPr>
              <w:t xml:space="preserve">tikel 87.2 och annars på individnivå.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Med avseende på CRR och denna mall är minoritetsintressen för ovan angivna dotte</w:t>
            </w:r>
            <w:r>
              <w:rPr>
                <w:rStyle w:val="InstructionsTabelleText"/>
                <w:rFonts w:ascii="Times New Roman" w:hAnsi="Times New Roman"/>
                <w:sz w:val="24"/>
              </w:rPr>
              <w:t>r</w:t>
            </w:r>
            <w:r>
              <w:rPr>
                <w:rStyle w:val="InstructionsTabelleText"/>
                <w:rFonts w:ascii="Times New Roman" w:hAnsi="Times New Roman"/>
                <w:sz w:val="24"/>
              </w:rPr>
              <w:t>företag de supplementärkapitalinstrument (plus tillhörande balanserade vinstmedel och överkursfonder) som ägs av andra personer än de företag som ingår i konsolideringen i enlighet med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 belopp som rapporteras ska inkludera effekterna av eventuella övergångsbestä</w:t>
            </w:r>
            <w:r>
              <w:rPr>
                <w:rStyle w:val="InstructionsTabelleText"/>
                <w:rFonts w:ascii="Times New Roman" w:hAnsi="Times New Roman"/>
                <w:sz w:val="24"/>
              </w:rPr>
              <w:t>m</w:t>
            </w:r>
            <w:r>
              <w:rPr>
                <w:rStyle w:val="InstructionsTabelleText"/>
                <w:rFonts w:ascii="Times New Roman" w:hAnsi="Times New Roman"/>
                <w:sz w:val="24"/>
              </w:rPr>
              <w:lastRenderedPageBreak/>
              <w:t>melser och måste vara det godtagbara beloppet på rapporteringsdagen.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INFORMATION OM ENHETERS BIDRAG TILL GRUPPENS SOLVENS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BIDRAG TILL RISKER</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De uppgifter som rapporteras i följande kolumner ska beräknas enligt de solvensregler som är tillämpliga för det rapporterande institutet.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TOTALT RISKVÄGT EXPONERINGSBELOPP</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Summan av kolumnerna 260–290 ska rapporteras här.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MOTPRESTATION SAMT AVVECKLINGS-/LEVERANSRISK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 belopp som rapporteras ska vara de riskvägda exponeringsbeloppen för kreditrisk och kapitalbaskrav för avvecklings-/leveransrisk i enlighet med CRR, exklusive alla belopp tillhörande transaktioner med andra enheter som ingår i den gruppbaserade b</w:t>
            </w:r>
            <w:r>
              <w:rPr>
                <w:rStyle w:val="InstructionsTabelleText"/>
                <w:rFonts w:ascii="Times New Roman" w:hAnsi="Times New Roman"/>
                <w:sz w:val="24"/>
              </w:rPr>
              <w:t>e</w:t>
            </w:r>
            <w:r>
              <w:rPr>
                <w:rStyle w:val="InstructionsTabelleText"/>
                <w:rFonts w:ascii="Times New Roman" w:hAnsi="Times New Roman"/>
                <w:sz w:val="24"/>
              </w:rPr>
              <w:t>räkningen av kapitalrelationen.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Riskvägda exponeringsbelopp för marknadsrisker ska beräknas på individnivå i enli</w:t>
            </w:r>
            <w:r>
              <w:rPr>
                <w:rStyle w:val="InstructionsTabelleText"/>
                <w:rFonts w:ascii="Times New Roman" w:hAnsi="Times New Roman"/>
                <w:sz w:val="24"/>
              </w:rPr>
              <w:t>g</w:t>
            </w:r>
            <w:r>
              <w:rPr>
                <w:rStyle w:val="InstructionsTabelleText"/>
                <w:rFonts w:ascii="Times New Roman" w:hAnsi="Times New Roman"/>
                <w:sz w:val="24"/>
              </w:rPr>
              <w:t>het med CRR. Enheterna ska rapportera bidraget till de totala riskvägda exponeringsb</w:t>
            </w:r>
            <w:r>
              <w:rPr>
                <w:rStyle w:val="InstructionsTabelleText"/>
                <w:rFonts w:ascii="Times New Roman" w:hAnsi="Times New Roman"/>
                <w:sz w:val="24"/>
              </w:rPr>
              <w:t>e</w:t>
            </w:r>
            <w:r>
              <w:rPr>
                <w:rStyle w:val="InstructionsTabelleText"/>
                <w:rFonts w:ascii="Times New Roman" w:hAnsi="Times New Roman"/>
                <w:sz w:val="24"/>
              </w:rPr>
              <w:t>loppen för gruppens positionsrisker, valutakursrisker och råvarurisker. Summan av de belopp som rapporteras här motsvarar det belopp som redovisas på rad 520 ”TOTALT RISKVÄGT EXPONERINGSBELOPP FÖR POSITIONSRISK, VALUTAKUR</w:t>
            </w:r>
            <w:r>
              <w:rPr>
                <w:rStyle w:val="InstructionsTabelleText"/>
                <w:rFonts w:ascii="Times New Roman" w:hAnsi="Times New Roman"/>
                <w:sz w:val="24"/>
              </w:rPr>
              <w:t>S</w:t>
            </w:r>
            <w:r>
              <w:rPr>
                <w:rStyle w:val="InstructionsTabelleText"/>
                <w:rFonts w:ascii="Times New Roman" w:hAnsi="Times New Roman"/>
                <w:sz w:val="24"/>
              </w:rPr>
              <w:t>RISK OCH RÅVARURISK” i den konsoliderade rapporten.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 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Vid tillämpning av internmätningsmetoder (AMA) ingår diversifieringsrisken i de ra</w:t>
            </w:r>
            <w:r>
              <w:rPr>
                <w:rStyle w:val="InstructionsTabelleText"/>
                <w:rFonts w:ascii="Times New Roman" w:hAnsi="Times New Roman"/>
                <w:sz w:val="24"/>
              </w:rPr>
              <w:t>p</w:t>
            </w:r>
            <w:r>
              <w:rPr>
                <w:rStyle w:val="InstructionsTabelleText"/>
                <w:rFonts w:ascii="Times New Roman" w:hAnsi="Times New Roman"/>
                <w:sz w:val="24"/>
              </w:rPr>
              <w:t>porterade riskvägda exponeringsbeloppen för operativ risk.</w:t>
            </w:r>
          </w:p>
          <w:p w:rsidR="00464F34" w:rsidRPr="00392FFD" w:rsidRDefault="00464F34" w:rsidP="00464F34">
            <w:pPr>
              <w:rPr>
                <w:rStyle w:val="InstructionsTabelleText"/>
                <w:rFonts w:ascii="Times New Roman" w:hAnsi="Times New Roman"/>
                <w:sz w:val="24"/>
              </w:rPr>
            </w:pPr>
            <w:r>
              <w:rPr>
                <w:rFonts w:ascii="Times New Roman" w:hAnsi="Times New Roman"/>
                <w:sz w:val="24"/>
              </w:rPr>
              <w:t>Fasta omkostnader ska ingå i denna kolumn.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motsvarar det riskvägda exponering</w:t>
            </w:r>
            <w:r>
              <w:rPr>
                <w:rStyle w:val="InstructionsTabelleText"/>
                <w:rFonts w:ascii="Times New Roman" w:hAnsi="Times New Roman"/>
                <w:sz w:val="24"/>
              </w:rPr>
              <w:t>s</w:t>
            </w:r>
            <w:r>
              <w:rPr>
                <w:rStyle w:val="InstructionsTabelleText"/>
                <w:rFonts w:ascii="Times New Roman" w:hAnsi="Times New Roman"/>
                <w:sz w:val="24"/>
              </w:rPr>
              <w:t>belopp som inte tas upp specifikt ovan.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BIDRAG TILL KAPITALBASEN</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I denna del av mallen behöver instituten inte göra en fullständig beräkning av den t</w:t>
            </w:r>
            <w:r>
              <w:rPr>
                <w:rStyle w:val="InstructionsTabelleText"/>
                <w:rFonts w:ascii="Times New Roman" w:hAnsi="Times New Roman"/>
                <w:sz w:val="24"/>
              </w:rPr>
              <w:t>o</w:t>
            </w:r>
            <w:r>
              <w:rPr>
                <w:rStyle w:val="InstructionsTabelleText"/>
                <w:rFonts w:ascii="Times New Roman" w:hAnsi="Times New Roman"/>
                <w:sz w:val="24"/>
              </w:rPr>
              <w:t xml:space="preserve">tala kapitalrelationen för varje enskild enhet.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Kolumnerna 300–350 ska rapporteras för de konsoliderade enheter som bidrar till kap</w:t>
            </w:r>
            <w:r>
              <w:rPr>
                <w:rFonts w:ascii="Times New Roman" w:hAnsi="Times New Roman"/>
                <w:sz w:val="24"/>
              </w:rPr>
              <w:t>i</w:t>
            </w:r>
            <w:r>
              <w:rPr>
                <w:rFonts w:ascii="Times New Roman" w:hAnsi="Times New Roman"/>
                <w:sz w:val="24"/>
              </w:rPr>
              <w:t>talbasen genom minoritetsintressen, kvalificerande primärkapital och/eller kvalific</w:t>
            </w:r>
            <w:r>
              <w:rPr>
                <w:rFonts w:ascii="Times New Roman" w:hAnsi="Times New Roman"/>
                <w:sz w:val="24"/>
              </w:rPr>
              <w:t>e</w:t>
            </w:r>
            <w:r>
              <w:rPr>
                <w:rFonts w:ascii="Times New Roman" w:hAnsi="Times New Roman"/>
                <w:sz w:val="24"/>
              </w:rPr>
              <w:t>rande kapitalbas. Med beaktande av det tröskelvärde som anges i del II kapitel 2.3 sista stycket ovan, ska kolumnerna 360–400 rapporteras för alla konsoliderade enheter som bidrar till den konsoliderade kapitalbasen.</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Medel som tillförs en enhets kapitalbas från övriga enheter som omfattas av den ra</w:t>
            </w:r>
            <w:r>
              <w:rPr>
                <w:rStyle w:val="InstructionsTabelleText"/>
                <w:rFonts w:ascii="Times New Roman" w:hAnsi="Times New Roman"/>
                <w:sz w:val="24"/>
              </w:rPr>
              <w:t>p</w:t>
            </w:r>
            <w:r>
              <w:rPr>
                <w:rStyle w:val="InstructionsTabelleText"/>
                <w:rFonts w:ascii="Times New Roman" w:hAnsi="Times New Roman"/>
                <w:sz w:val="24"/>
              </w:rPr>
              <w:t>porterande enheten ska inte beaktas, utan det är bara nettobidraget till gruppens kap</w:t>
            </w:r>
            <w:r>
              <w:rPr>
                <w:rStyle w:val="InstructionsTabelleText"/>
                <w:rFonts w:ascii="Times New Roman" w:hAnsi="Times New Roman"/>
                <w:sz w:val="24"/>
              </w:rPr>
              <w:t>i</w:t>
            </w:r>
            <w:r>
              <w:rPr>
                <w:rStyle w:val="InstructionsTabelleText"/>
                <w:rFonts w:ascii="Times New Roman" w:hAnsi="Times New Roman"/>
                <w:sz w:val="24"/>
              </w:rPr>
              <w:t xml:space="preserve">talbas som ska rapporteras i denna kolumn, vilket huvudsakligen är den kapitalbas som </w:t>
            </w:r>
            <w:r>
              <w:rPr>
                <w:rStyle w:val="InstructionsTabelleText"/>
                <w:rFonts w:ascii="Times New Roman" w:hAnsi="Times New Roman"/>
                <w:sz w:val="24"/>
              </w:rPr>
              <w:lastRenderedPageBreak/>
              <w:t xml:space="preserve">erhålls från tredje part och ackumulerade reserver.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uppgifter som rapporteras i följande kolumner ska beräknas enligt de solvensregler som är tillämpliga för det rapporterande institutet.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w:t>
            </w:r>
            <w:r>
              <w:rPr>
                <w:rStyle w:val="InstructionsTabelleberschrift"/>
                <w:rFonts w:ascii="Times New Roman" w:hAnsi="Times New Roman"/>
                <w:sz w:val="24"/>
              </w:rPr>
              <w:t>I</w:t>
            </w:r>
            <w:r>
              <w:rPr>
                <w:rStyle w:val="InstructionsTabelleberschrift"/>
                <w:rFonts w:ascii="Times New Roman" w:hAnsi="Times New Roman"/>
                <w:sz w:val="24"/>
              </w:rPr>
              <w:t>TALBAS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belopp som ska rapporteras som ”KVALIFICERANDE KAPITALBAS SOM I</w:t>
            </w:r>
            <w:r>
              <w:rPr>
                <w:rStyle w:val="InstructionsTabelleText"/>
                <w:rFonts w:ascii="Times New Roman" w:hAnsi="Times New Roman"/>
                <w:sz w:val="24"/>
              </w:rPr>
              <w:t>N</w:t>
            </w:r>
            <w:r>
              <w:rPr>
                <w:rStyle w:val="InstructionsTabelleText"/>
                <w:rFonts w:ascii="Times New Roman" w:hAnsi="Times New Roman"/>
                <w:sz w:val="24"/>
              </w:rPr>
              <w:t>GÅR I KONSOLIDERAD KAPITALBAS” beräknas i enlighet med avdelning II i del två i CRR, exklusive eventuella medel som tillförs från övriga enheter i gruppen.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w:t>
            </w:r>
            <w:r>
              <w:rPr>
                <w:rStyle w:val="InstructionsTabelleberschrift"/>
                <w:rFonts w:ascii="Times New Roman" w:hAnsi="Times New Roman"/>
                <w:sz w:val="24"/>
              </w:rPr>
              <w:t>I</w:t>
            </w:r>
            <w:r>
              <w:rPr>
                <w:rStyle w:val="InstructionsTabelleberschrift"/>
                <w:rFonts w:ascii="Times New Roman" w:hAnsi="Times New Roman"/>
                <w:sz w:val="24"/>
              </w:rPr>
              <w:t>TALBAS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87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PRIMÄRKAPITALET</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Artikel 85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MINORITETSINTRESSEN SOM INGÅR I DET KONSOLIDERADE</w:t>
            </w:r>
            <w:r>
              <w:rPr>
                <w:rStyle w:val="InstructionsTabelleberschrift"/>
                <w:rFonts w:ascii="Times New Roman" w:hAnsi="Times New Roman"/>
                <w:sz w:val="24"/>
              </w:rPr>
              <w:br/>
              <w:t>KÄRNPRIMÄRKAPITALET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84 i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Det belopp som ska rapporteras motsvarar den del av ett dotterföretags minoritetsi</w:t>
            </w:r>
            <w:r>
              <w:rPr>
                <w:rStyle w:val="InstructionsTabelleText"/>
                <w:rFonts w:ascii="Times New Roman" w:hAnsi="Times New Roman"/>
                <w:sz w:val="24"/>
              </w:rPr>
              <w:t>n</w:t>
            </w:r>
            <w:r>
              <w:rPr>
                <w:rStyle w:val="InstructionsTabelleText"/>
                <w:rFonts w:ascii="Times New Roman" w:hAnsi="Times New Roman"/>
                <w:sz w:val="24"/>
              </w:rPr>
              <w:t xml:space="preserve">tressen som ingår i det konsoliderade kärnprimärkapitalet i enlighet med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PRIMÄRKAPITALTILLSKOTTET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86 i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Det belopp som ska rapporteras motsvarar den del av ett dotterföretags kvalificerande primärkapital som ingår i konsoliderat primärkapitaltillskott i enlighet med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KVALIFICERANDE KAPITALBASINSTRUMENT SOM INGÅR I DET </w:t>
            </w:r>
            <w:r>
              <w:rPr>
                <w:rStyle w:val="InstructionsTabelleberschrift"/>
                <w:rFonts w:ascii="Times New Roman" w:hAnsi="Times New Roman"/>
                <w:sz w:val="24"/>
              </w:rPr>
              <w:br/>
              <w:t>KONSOLIDERADE SUPPLEMENTÄRKAPITALET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88 i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Det belopp som ska rapporteras motsvarar den del av ett dotterföretags kvalificerande kapitalbas som ingår i det konsoliderade supplementärkapitalet i enlighet med 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 (+) NEGATIV GOODWILL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KONSOLIDERAD KAPITALBAS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Artikel 18 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Som ”KONSOLIDERAD KAPITALBAS” rapporteras det belopp som redovisas i b</w:t>
            </w:r>
            <w:r>
              <w:rPr>
                <w:rStyle w:val="InstructionsTabelleText"/>
                <w:rFonts w:ascii="Times New Roman" w:hAnsi="Times New Roman"/>
                <w:sz w:val="24"/>
              </w:rPr>
              <w:t>a</w:t>
            </w:r>
            <w:r>
              <w:rPr>
                <w:rStyle w:val="InstructionsTabelleText"/>
                <w:rFonts w:ascii="Times New Roman" w:hAnsi="Times New Roman"/>
                <w:sz w:val="24"/>
              </w:rPr>
              <w:t>lansräkningen, exklusive eventuella medel som tillförts från övriga enheter i gruppen.</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KONSOLIDERAD KAPITALBAS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KÄRNPRIMÄRKAPITAL</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PRIMÄRKAPITALTILLSKOTT</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VARAV: BIDRAG TILL KONSOLIDERAT RESULTAT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Här rapporteras varje enhets bidrag till det konsoliderade resultatet (vinst eller förlust(-)). Det gäller även resultat som kan hänföras till minoritetsintressen.</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VARAV: (-) GOODWILL / (+) NEGATIV GOODWILL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Här rapporteras den rapporterande enhetens goodwill eller negativa goodwill gentemot dotterföretaget.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KAPITALBUFFERTAR</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Rapporteringen av kapitalbuffertar i mallen för solvens på gruppnivå (GS) har samma allmänna struktur och följer samma rapporteringsprinciper som mall CA4. De relevanta beloppen för kapitalbuffertar ska rapporteras i GS-mallen i enlighet med bestämme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serna om beräkning av kapitalbuffertkraven för en grupps konsoliderade situation. De rapporterade kapitalbuffertbeloppen representerar därför varje enhets bidrag till grup</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kapitalbuffertarna. De rapporterade beloppen ska grunda sig på de nationella införl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vandeåtgärderna av CRD och på CRR, inbegripet alla övergångsbestämmelser i dessa akter.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KOMBINERADE BUFFERTKRAV</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Artikel 128.6 i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KAPITALKONSERVERINGSBUFFERT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Artiklarna 128.1 och 129 i CRD.</w:t>
            </w:r>
          </w:p>
          <w:p w:rsidR="00464F34" w:rsidRPr="00392FFD" w:rsidRDefault="00464F34" w:rsidP="00FD239F">
            <w:pPr>
              <w:pStyle w:val="InstructionsText"/>
              <w:rPr>
                <w:rStyle w:val="InstructionsTabelleText"/>
                <w:rFonts w:ascii="Times New Roman" w:hAnsi="Times New Roman"/>
                <w:sz w:val="24"/>
              </w:rPr>
            </w:pPr>
            <w:r>
              <w:t>I enlighet med artikel 129.1 är kapitalkonserveringsbufferten ett tillägg till kärnprimä</w:t>
            </w:r>
            <w:r>
              <w:t>r</w:t>
            </w:r>
            <w:r>
              <w:t>kapitalet. Eftersom kapitalkonserveringsbufferten utgörs av en fast andel på 2,5 % ska ett belopp rapporteras i denna cell.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Artiklarna 128.2, 130 och 135–140 i CRD.</w:t>
            </w:r>
          </w:p>
          <w:p w:rsidR="00464F34" w:rsidRPr="00392FFD" w:rsidRDefault="00464F34" w:rsidP="00FD239F">
            <w:pPr>
              <w:pStyle w:val="InstructionsText"/>
              <w:rPr>
                <w:rStyle w:val="InstructionsTabelleText"/>
                <w:rFonts w:ascii="Times New Roman" w:hAnsi="Times New Roman"/>
                <w:sz w:val="24"/>
              </w:rPr>
            </w:pPr>
            <w:r>
              <w:t>I denna cell ska det konkreta värdet av den kontracykliska bufferten rapporteras.</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KONSERVERINGSBUFFERT PÅ GRUND AV MAKROTILLSYNSRISKER ELLER SYSTEMRISKER IDENTIFIERADE PÅ MEDLEMSSTATSNIVÅ</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458.2 d iv i CRR.</w:t>
            </w:r>
          </w:p>
          <w:p w:rsidR="00464F34" w:rsidRPr="00392FFD" w:rsidRDefault="00464F34" w:rsidP="00FD239F">
            <w:pPr>
              <w:pStyle w:val="InstructionsText"/>
              <w:rPr>
                <w:rStyle w:val="InstructionsTabelleberschrift"/>
                <w:rFonts w:ascii="Times New Roman" w:hAnsi="Times New Roman"/>
                <w:sz w:val="24"/>
              </w:rPr>
            </w:pPr>
            <w:r>
              <w:t>I denna cell ska instituten rapportera beloppet för den konserveringsbuffert för makr</w:t>
            </w:r>
            <w:r>
              <w:t>o</w:t>
            </w:r>
            <w:r>
              <w:t>tillsynsrisker eller systemrisker identifierade på medlemsstatsnivå som kan krävas ut</w:t>
            </w:r>
            <w:r>
              <w:t>ö</w:t>
            </w:r>
            <w:r>
              <w:t>ver kapitalkonserveringsbufferten i enlighet med artikel 458 i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SYSTEMRISKBUFFERT</w:t>
            </w:r>
          </w:p>
          <w:p w:rsidR="00464F34" w:rsidRPr="00392FFD" w:rsidRDefault="00464F34" w:rsidP="00FD239F">
            <w:pPr>
              <w:pStyle w:val="InstructionsText"/>
            </w:pPr>
            <w:r>
              <w:t xml:space="preserve">Artiklarna 128.5, 133 och 134 i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I denna cell ska systemriskbuffertens värde rapporteras.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128.3 och 131 i CRD.</w:t>
            </w:r>
          </w:p>
          <w:p w:rsidR="00483FC9" w:rsidRPr="00392FFD" w:rsidRDefault="00464F34" w:rsidP="00FD239F">
            <w:pPr>
              <w:pStyle w:val="InstructionsText"/>
              <w:rPr>
                <w:rStyle w:val="InstructionsTabelleberschrift"/>
                <w:rFonts w:ascii="Times New Roman" w:hAnsi="Times New Roman"/>
                <w:sz w:val="24"/>
              </w:rPr>
            </w:pPr>
            <w:r>
              <w:t>I denna cell ska värdet av bufferten för globala systemviktiga institut rapporteras.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BUFFERT FÖR ANDRA SYSTEMVIKTIGA INSTITUT</w:t>
            </w:r>
            <w:r>
              <w:tab/>
            </w:r>
          </w:p>
          <w:p w:rsidR="00464F34" w:rsidRPr="00392FFD" w:rsidRDefault="00464F34" w:rsidP="00FD239F">
            <w:pPr>
              <w:pStyle w:val="InstructionsText"/>
            </w:pPr>
            <w:r>
              <w:t>Artiklarna 128.3 och 131 i CRD.</w:t>
            </w:r>
          </w:p>
          <w:p w:rsidR="00464F34" w:rsidRPr="00392FFD" w:rsidRDefault="00464F34" w:rsidP="00FD239F">
            <w:pPr>
              <w:pStyle w:val="InstructionsText"/>
              <w:rPr>
                <w:rStyle w:val="InstructionsTabelleberschrift"/>
                <w:rFonts w:ascii="Times New Roman" w:hAnsi="Times New Roman"/>
                <w:sz w:val="24"/>
              </w:rPr>
            </w:pPr>
            <w:r>
              <w:t>I denna cell ska värdet av bufferten för övriga systemviktiga institut rapporteras.</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516210628"/>
      <w:bookmarkStart w:id="147" w:name="_Toc473560893"/>
      <w:bookmarkStart w:id="148" w:name="_Toc523820249"/>
      <w:r>
        <w:rPr>
          <w:rFonts w:ascii="Times New Roman" w:hAnsi="Times New Roman"/>
          <w:sz w:val="24"/>
          <w:u w:val="none"/>
        </w:rPr>
        <w:t>3.</w:t>
      </w:r>
      <w:r w:rsidRPr="001925C7">
        <w:rPr>
          <w:u w:val="none"/>
        </w:rPr>
        <w:tab/>
      </w:r>
      <w:r>
        <w:rPr>
          <w:rFonts w:ascii="Times New Roman" w:hAnsi="Times New Roman"/>
          <w:sz w:val="24"/>
        </w:rPr>
        <w:t>Kreditriskmallar</w:t>
      </w:r>
      <w:bookmarkEnd w:id="144"/>
      <w:bookmarkEnd w:id="145"/>
      <w:bookmarkEnd w:id="146"/>
      <w:bookmarkEnd w:id="147"/>
      <w:bookmarkEnd w:id="14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516210629"/>
      <w:bookmarkStart w:id="151" w:name="_Toc473560894"/>
      <w:bookmarkStart w:id="152" w:name="_Toc523820250"/>
      <w:bookmarkStart w:id="153" w:name="_Toc262568022"/>
      <w:bookmarkStart w:id="154" w:name="_Toc295829848"/>
      <w:bookmarkStart w:id="155" w:name="_Toc310415014"/>
      <w:r>
        <w:rPr>
          <w:rFonts w:ascii="Times New Roman" w:hAnsi="Times New Roman"/>
          <w:sz w:val="24"/>
          <w:u w:val="none"/>
        </w:rPr>
        <w:t>3.1.</w:t>
      </w:r>
      <w:r w:rsidRPr="001925C7">
        <w:rPr>
          <w:u w:val="none"/>
        </w:rPr>
        <w:tab/>
      </w:r>
      <w:r>
        <w:rPr>
          <w:rFonts w:ascii="Times New Roman" w:hAnsi="Times New Roman"/>
          <w:sz w:val="24"/>
        </w:rPr>
        <w:t>Allmänna kommentarer</w:t>
      </w:r>
      <w:bookmarkEnd w:id="149"/>
      <w:bookmarkEnd w:id="150"/>
      <w:bookmarkEnd w:id="151"/>
      <w:bookmarkEnd w:id="152"/>
      <w:r>
        <w:rPr>
          <w:rFonts w:ascii="Times New Roman" w:hAnsi="Times New Roman"/>
          <w:sz w:val="24"/>
        </w:rPr>
        <w:t xml:space="preserve"> </w:t>
      </w:r>
      <w:bookmarkEnd w:id="153"/>
      <w:bookmarkEnd w:id="154"/>
      <w:bookmarkEnd w:id="155"/>
    </w:p>
    <w:p w:rsidR="00464F34" w:rsidRPr="00392FFD" w:rsidRDefault="00125707" w:rsidP="00C37B29">
      <w:pPr>
        <w:pStyle w:val="InstructionsText2"/>
        <w:numPr>
          <w:ilvl w:val="0"/>
          <w:numId w:val="0"/>
        </w:numPr>
        <w:ind w:left="993"/>
      </w:pPr>
      <w:r>
        <w:t>38.</w:t>
      </w:r>
      <w:r>
        <w:tab/>
        <w:t>När det gäller kreditrisk används olika uppsättningar mallar för schablonmet</w:t>
      </w:r>
      <w:r>
        <w:t>o</w:t>
      </w:r>
      <w:r>
        <w:t>den och internmetoden. Dessutom ska rapporteringen av den geografiska uppde</w:t>
      </w:r>
      <w:r>
        <w:t>l</w:t>
      </w:r>
      <w:r>
        <w:t>ningen av positioner som omfattas av kreditrisk ske i separata mallar om den rel</w:t>
      </w:r>
      <w:r>
        <w:t>e</w:t>
      </w:r>
      <w:r>
        <w:t xml:space="preserve">vanta gräns som fastställs i artikel 5 a.4 överskrids.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516210630"/>
      <w:bookmarkStart w:id="161" w:name="_Toc473560895"/>
      <w:bookmarkStart w:id="162" w:name="_Toc523820251"/>
      <w:r>
        <w:rPr>
          <w:rFonts w:ascii="Times New Roman" w:hAnsi="Times New Roman"/>
          <w:sz w:val="24"/>
          <w:u w:val="none"/>
        </w:rPr>
        <w:t>3.1.1.</w:t>
      </w:r>
      <w:r w:rsidRPr="001925C7">
        <w:rPr>
          <w:u w:val="none"/>
        </w:rPr>
        <w:tab/>
      </w:r>
      <w:r>
        <w:rPr>
          <w:rFonts w:ascii="Times New Roman" w:hAnsi="Times New Roman"/>
          <w:sz w:val="24"/>
        </w:rPr>
        <w:t>Rapportering av metoder för kreditriskreducering (CRM) med substitutionseffekt</w:t>
      </w:r>
      <w:bookmarkEnd w:id="156"/>
      <w:bookmarkEnd w:id="157"/>
      <w:bookmarkEnd w:id="158"/>
      <w:bookmarkEnd w:id="159"/>
      <w:bookmarkEnd w:id="160"/>
      <w:bookmarkEnd w:id="161"/>
      <w:bookmarkEnd w:id="162"/>
    </w:p>
    <w:p w:rsidR="00464F34" w:rsidRPr="00392FFD" w:rsidRDefault="00125707" w:rsidP="00C37B29">
      <w:pPr>
        <w:pStyle w:val="InstructionsText2"/>
        <w:numPr>
          <w:ilvl w:val="0"/>
          <w:numId w:val="0"/>
        </w:numPr>
        <w:ind w:left="993"/>
      </w:pPr>
      <w:r>
        <w:t>39.</w:t>
      </w:r>
      <w:r>
        <w:tab/>
        <w:t>I artikel 235 i CRR beskrivs beräkningsförfarandet för ett exponeringsbelopp som är fullständigt skyddat genom obetalt kreditriskskydd.</w:t>
      </w:r>
    </w:p>
    <w:p w:rsidR="00464F34" w:rsidRPr="00392FFD" w:rsidRDefault="00125707" w:rsidP="00C37B29">
      <w:pPr>
        <w:pStyle w:val="InstructionsText2"/>
        <w:numPr>
          <w:ilvl w:val="0"/>
          <w:numId w:val="0"/>
        </w:numPr>
        <w:ind w:left="993"/>
      </w:pPr>
      <w:r>
        <w:t>40.</w:t>
      </w:r>
      <w:r>
        <w:tab/>
        <w:t>I artikel 236 i CRR beskrivs beräkningsförfarandet för ett exponeringsbelopp som är fullständigt skyddat genom obetalt kreditriskskydd vid fullständigt skydd/partiellt skydd – samma förmånsrätt.</w:t>
      </w:r>
    </w:p>
    <w:p w:rsidR="00464F34" w:rsidRPr="00392FFD" w:rsidRDefault="00125707" w:rsidP="00C37B29">
      <w:pPr>
        <w:pStyle w:val="InstructionsText2"/>
        <w:numPr>
          <w:ilvl w:val="0"/>
          <w:numId w:val="0"/>
        </w:numPr>
        <w:ind w:left="993"/>
      </w:pPr>
      <w:r>
        <w:t>41.</w:t>
      </w:r>
      <w:r>
        <w:tab/>
        <w:t>I artiklarna 196, 197 och 200 i CRR regleras förbetalt kreditriskskydd.</w:t>
      </w:r>
    </w:p>
    <w:p w:rsidR="00464F34" w:rsidRPr="00392FFD" w:rsidRDefault="00125707" w:rsidP="00C37B29">
      <w:pPr>
        <w:pStyle w:val="InstructionsText2"/>
        <w:numPr>
          <w:ilvl w:val="0"/>
          <w:numId w:val="0"/>
        </w:numPr>
        <w:ind w:left="993"/>
      </w:pPr>
      <w:r>
        <w:t>42.</w:t>
      </w:r>
      <w:r>
        <w:tab/>
        <w:t>Exponeringar mot motparter (direkta motparter) och utfärdare av kreditris</w:t>
      </w:r>
      <w:r>
        <w:t>k</w:t>
      </w:r>
      <w:r>
        <w:t>skydd som tilldelas samma exponeringsklass ska rapporteras både som ett inflöde och som ett utflöde till samma exponeringsklass.</w:t>
      </w:r>
    </w:p>
    <w:p w:rsidR="00464F34" w:rsidRPr="00392FFD" w:rsidRDefault="00125707" w:rsidP="00C37B29">
      <w:pPr>
        <w:pStyle w:val="InstructionsText2"/>
        <w:numPr>
          <w:ilvl w:val="0"/>
          <w:numId w:val="0"/>
        </w:numPr>
        <w:ind w:left="993"/>
      </w:pPr>
      <w:r>
        <w:t>43.</w:t>
      </w:r>
      <w:r>
        <w:tab/>
        <w:t>Exponeringsslaget ändras inte på grund av obetalt kreditriskskydd.</w:t>
      </w:r>
    </w:p>
    <w:p w:rsidR="00464F34" w:rsidRPr="00392FFD" w:rsidRDefault="00125707" w:rsidP="00C37B29">
      <w:pPr>
        <w:pStyle w:val="InstructionsText2"/>
        <w:numPr>
          <w:ilvl w:val="0"/>
          <w:numId w:val="0"/>
        </w:numPr>
        <w:ind w:left="993"/>
      </w:pPr>
      <w:r>
        <w:t>44.</w:t>
      </w:r>
      <w:r>
        <w:tab/>
        <w:t>Om en exponering säkras genom obetalt kreditriskskydd behandlas den säkrade delen som ett utflöde i motpartens exponeringsklass och som ett inflöde i expon</w:t>
      </w:r>
      <w:r>
        <w:t>e</w:t>
      </w:r>
      <w:r>
        <w:t>ringsklassen för utfärdaren av kreditriskskyddet. Exponeringsslaget ändras emelle</w:t>
      </w:r>
      <w:r>
        <w:t>r</w:t>
      </w:r>
      <w:r>
        <w:t>tid inte på grund av bytet av exponeringsklass.</w:t>
      </w:r>
    </w:p>
    <w:p w:rsidR="00464F34" w:rsidRPr="00392FFD" w:rsidRDefault="00125707" w:rsidP="00C37B29">
      <w:pPr>
        <w:pStyle w:val="InstructionsText2"/>
        <w:numPr>
          <w:ilvl w:val="0"/>
          <w:numId w:val="0"/>
        </w:numPr>
        <w:ind w:left="993"/>
      </w:pPr>
      <w:r>
        <w:t>45.</w:t>
      </w:r>
      <w:r>
        <w:tab/>
        <w:t>Substitutionseffekten i den gemensamma rapporteringsramen (Corep) ska visa vilken riskviktning som i grunden är tillämplig på den täckta delen av exponerin</w:t>
      </w:r>
      <w:r>
        <w:t>g</w:t>
      </w:r>
      <w:r>
        <w:t xml:space="preserve">en. Den täckta delen av exponeringen riskvägs enligt schablonmetoden och ska rapporteras i CR SA-mallen.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516210631"/>
      <w:bookmarkStart w:id="168" w:name="_Toc473560896"/>
      <w:bookmarkStart w:id="169" w:name="_Toc523820252"/>
      <w:r>
        <w:rPr>
          <w:rFonts w:ascii="Times New Roman" w:hAnsi="Times New Roman"/>
          <w:sz w:val="24"/>
          <w:u w:val="none"/>
        </w:rPr>
        <w:lastRenderedPageBreak/>
        <w:t>3.1.2.</w:t>
      </w:r>
      <w:r w:rsidRPr="001925C7">
        <w:rPr>
          <w:u w:val="none"/>
        </w:rPr>
        <w:tab/>
      </w:r>
      <w:r>
        <w:rPr>
          <w:rFonts w:ascii="Times New Roman" w:hAnsi="Times New Roman"/>
          <w:sz w:val="24"/>
        </w:rPr>
        <w:t>Rapportering av motpartsrisk</w:t>
      </w:r>
      <w:bookmarkEnd w:id="163"/>
      <w:bookmarkEnd w:id="164"/>
      <w:bookmarkEnd w:id="165"/>
      <w:bookmarkEnd w:id="166"/>
      <w:bookmarkEnd w:id="167"/>
      <w:bookmarkEnd w:id="168"/>
      <w:bookmarkEnd w:id="169"/>
    </w:p>
    <w:p w:rsidR="00464F34" w:rsidRPr="00392FFD" w:rsidRDefault="00125707" w:rsidP="00C37B29">
      <w:pPr>
        <w:pStyle w:val="InstructionsText2"/>
        <w:numPr>
          <w:ilvl w:val="0"/>
          <w:numId w:val="0"/>
        </w:numPr>
        <w:ind w:left="993"/>
      </w:pPr>
      <w:r>
        <w:t>46.</w:t>
      </w:r>
      <w:r>
        <w:tab/>
        <w:t>Exponeringar som härrör från motpartsriskpositioner ska rapporteras i mall CR SA eller CR IRB, oberoende av om det rör sig om poster utanför eller i handelsla</w:t>
      </w:r>
      <w:r>
        <w:t>g</w:t>
      </w:r>
      <w:r>
        <w:t xml:space="preserve">ret.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516210632"/>
      <w:bookmarkStart w:id="175" w:name="_Toc473560897"/>
      <w:bookmarkStart w:id="176" w:name="_Toc523820253"/>
      <w:r>
        <w:rPr>
          <w:rFonts w:ascii="Times New Roman" w:hAnsi="Times New Roman"/>
          <w:sz w:val="24"/>
          <w:u w:val="none"/>
        </w:rPr>
        <w:t>3.2.</w:t>
      </w:r>
      <w:r w:rsidRPr="001925C7">
        <w:rPr>
          <w:u w:val="none"/>
        </w:rPr>
        <w:tab/>
      </w:r>
      <w:r>
        <w:rPr>
          <w:rFonts w:ascii="Times New Roman" w:hAnsi="Times New Roman"/>
          <w:sz w:val="24"/>
        </w:rPr>
        <w:t>C 07.00 – Kreditrisk och motpartsrisk och transaktioner utan samtidig prestation:  ti</w:t>
      </w:r>
      <w:r>
        <w:rPr>
          <w:rFonts w:ascii="Times New Roman" w:hAnsi="Times New Roman"/>
          <w:sz w:val="24"/>
        </w:rPr>
        <w:t>l</w:t>
      </w:r>
      <w:r>
        <w:rPr>
          <w:rFonts w:ascii="Times New Roman" w:hAnsi="Times New Roman"/>
          <w:sz w:val="24"/>
        </w:rPr>
        <w:t>lämpning av schablonmetoden på kapitalkrav</w:t>
      </w:r>
      <w:bookmarkEnd w:id="170"/>
      <w:bookmarkEnd w:id="171"/>
      <w:bookmarkEnd w:id="172"/>
      <w:bookmarkEnd w:id="173"/>
      <w:r>
        <w:rPr>
          <w:rFonts w:ascii="Times New Roman" w:hAnsi="Times New Roman"/>
          <w:sz w:val="24"/>
        </w:rPr>
        <w:t xml:space="preserve"> (CR SA)</w:t>
      </w:r>
      <w:bookmarkEnd w:id="174"/>
      <w:bookmarkEnd w:id="175"/>
      <w:bookmarkEnd w:id="17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516210633"/>
      <w:bookmarkStart w:id="184" w:name="_Toc473560898"/>
      <w:bookmarkStart w:id="185" w:name="_Toc523820254"/>
      <w:r>
        <w:rPr>
          <w:rFonts w:ascii="Times New Roman" w:hAnsi="Times New Roman"/>
          <w:sz w:val="24"/>
          <w:u w:val="none"/>
        </w:rPr>
        <w:t>3.2.1.</w:t>
      </w:r>
      <w:r w:rsidRPr="001925C7">
        <w:rPr>
          <w:u w:val="none"/>
        </w:rPr>
        <w:tab/>
      </w:r>
      <w:r>
        <w:rPr>
          <w:rFonts w:ascii="Times New Roman" w:hAnsi="Times New Roman"/>
          <w:sz w:val="24"/>
        </w:rPr>
        <w:t>Allmänna kommentarer</w:t>
      </w:r>
      <w:bookmarkEnd w:id="177"/>
      <w:bookmarkEnd w:id="178"/>
      <w:bookmarkEnd w:id="179"/>
      <w:bookmarkEnd w:id="180"/>
      <w:bookmarkEnd w:id="181"/>
      <w:bookmarkEnd w:id="182"/>
      <w:bookmarkEnd w:id="183"/>
      <w:bookmarkEnd w:id="184"/>
      <w:bookmarkEnd w:id="185"/>
    </w:p>
    <w:p w:rsidR="00464F34" w:rsidRPr="00392FFD" w:rsidRDefault="00125707" w:rsidP="00C37B29">
      <w:pPr>
        <w:pStyle w:val="InstructionsText2"/>
        <w:numPr>
          <w:ilvl w:val="0"/>
          <w:numId w:val="0"/>
        </w:numPr>
        <w:ind w:left="993"/>
      </w:pPr>
      <w:r>
        <w:t>47.</w:t>
      </w:r>
      <w:r>
        <w:tab/>
        <w:t>CR SA-mallarna ger den information som behövs för beräkning av kapitalba</w:t>
      </w:r>
      <w:r>
        <w:t>s</w:t>
      </w:r>
      <w:r>
        <w:t>kraven för kreditrisk enligt schablonmetoden. I synnerhet ger de detaljerad infor</w:t>
      </w:r>
      <w:r>
        <w:t>m</w:t>
      </w:r>
      <w:r>
        <w:t>ation om</w:t>
      </w:r>
    </w:p>
    <w:p w:rsidR="00464F34" w:rsidRPr="00392FFD" w:rsidRDefault="00125707" w:rsidP="00C37B29">
      <w:pPr>
        <w:pStyle w:val="InstructionsText2"/>
        <w:numPr>
          <w:ilvl w:val="0"/>
          <w:numId w:val="0"/>
        </w:numPr>
        <w:ind w:left="993"/>
      </w:pPr>
      <w:r>
        <w:t>a)</w:t>
      </w:r>
      <w:r>
        <w:tab/>
        <w:t>hur exponeringsvärden tilldelas med hänsyn till de olika exponeringsslagen, riskvikterna och exponeringsklasserna, samt</w:t>
      </w:r>
    </w:p>
    <w:p w:rsidR="00464F34" w:rsidRPr="00392FFD" w:rsidRDefault="00125707" w:rsidP="00C37B29">
      <w:pPr>
        <w:pStyle w:val="InstructionsText2"/>
        <w:numPr>
          <w:ilvl w:val="0"/>
          <w:numId w:val="0"/>
        </w:numPr>
        <w:ind w:left="993"/>
      </w:pPr>
      <w:r>
        <w:t>b)</w:t>
      </w:r>
      <w:r>
        <w:tab/>
        <w:t xml:space="preserve">vilka olika typer av kreditriskreduceringsmetoder som används för att minska riskerna.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6" w:name="_Toc262568027"/>
      <w:bookmarkStart w:id="187" w:name="_Toc264038425"/>
      <w:bookmarkStart w:id="188" w:name="_Toc292456204"/>
      <w:bookmarkStart w:id="189" w:name="_Toc295829853"/>
      <w:bookmarkStart w:id="190" w:name="_Toc310415019"/>
      <w:bookmarkStart w:id="191" w:name="_Toc360188350"/>
      <w:bookmarkStart w:id="192" w:name="_Toc516210634"/>
      <w:bookmarkStart w:id="193" w:name="_Toc473560899"/>
      <w:bookmarkStart w:id="194" w:name="_Toc523820255"/>
      <w:r>
        <w:rPr>
          <w:rFonts w:ascii="Times New Roman" w:hAnsi="Times New Roman"/>
          <w:sz w:val="24"/>
          <w:u w:val="none"/>
        </w:rPr>
        <w:t>3.2.2.</w:t>
      </w:r>
      <w:r w:rsidRPr="001925C7">
        <w:rPr>
          <w:u w:val="none"/>
        </w:rPr>
        <w:tab/>
      </w:r>
      <w:r>
        <w:rPr>
          <w:rFonts w:ascii="Times New Roman" w:hAnsi="Times New Roman"/>
          <w:sz w:val="24"/>
        </w:rPr>
        <w:t>CR SA-mallens räckvidd</w:t>
      </w:r>
      <w:bookmarkEnd w:id="186"/>
      <w:bookmarkEnd w:id="187"/>
      <w:bookmarkEnd w:id="188"/>
      <w:bookmarkEnd w:id="189"/>
      <w:bookmarkEnd w:id="190"/>
      <w:bookmarkEnd w:id="191"/>
      <w:bookmarkEnd w:id="192"/>
      <w:bookmarkEnd w:id="193"/>
      <w:bookmarkEnd w:id="194"/>
    </w:p>
    <w:p w:rsidR="00464F34" w:rsidRPr="00392FFD" w:rsidRDefault="00125707" w:rsidP="00C37B29">
      <w:pPr>
        <w:pStyle w:val="InstructionsText2"/>
        <w:numPr>
          <w:ilvl w:val="0"/>
          <w:numId w:val="0"/>
        </w:numPr>
        <w:ind w:left="993"/>
      </w:pPr>
      <w:r>
        <w:t>48.</w:t>
      </w:r>
      <w:r>
        <w:tab/>
        <w:t>I enlighet med artikel 112 i CRR ska varje SA-exponering tilldelas en av de 16 exponeringsklasser som hör till schablonmetoden för beräkning av kapitalbaskr</w:t>
      </w:r>
      <w:r>
        <w:t>a</w:t>
      </w:r>
      <w:r>
        <w:t>ven.</w:t>
      </w:r>
    </w:p>
    <w:p w:rsidR="00464F34" w:rsidRPr="00392FFD" w:rsidRDefault="00125707" w:rsidP="00C37B29">
      <w:pPr>
        <w:pStyle w:val="InstructionsText2"/>
        <w:numPr>
          <w:ilvl w:val="0"/>
          <w:numId w:val="0"/>
        </w:numPr>
        <w:ind w:left="993"/>
      </w:pPr>
      <w:r>
        <w:t>49.</w:t>
      </w:r>
      <w:r>
        <w:tab/>
        <w:t>I CR SA ska uppgifter lämnas för samtliga exponeringsklasser och för var och en av exponeringsklasserna i enlighet med schablonmetoden. Såväl de totala belo</w:t>
      </w:r>
      <w:r>
        <w:t>p</w:t>
      </w:r>
      <w:r>
        <w:t xml:space="preserve">pen som uppgifterna för varje exponeringsklass rapporteras separat. </w:t>
      </w:r>
    </w:p>
    <w:p w:rsidR="00464F34" w:rsidRPr="00392FFD" w:rsidRDefault="00125707" w:rsidP="00C37B29">
      <w:pPr>
        <w:pStyle w:val="InstructionsText2"/>
        <w:numPr>
          <w:ilvl w:val="0"/>
          <w:numId w:val="0"/>
        </w:numPr>
        <w:ind w:left="993"/>
      </w:pPr>
      <w:r>
        <w:t>50.</w:t>
      </w:r>
      <w:r>
        <w:tab/>
        <w:t>Följande positioner omfattas emellertid inte av CR SA:</w:t>
      </w:r>
    </w:p>
    <w:p w:rsidR="00464F34" w:rsidRPr="00392FFD" w:rsidRDefault="00125707" w:rsidP="00C37B29">
      <w:pPr>
        <w:pStyle w:val="InstructionsText2"/>
        <w:numPr>
          <w:ilvl w:val="0"/>
          <w:numId w:val="0"/>
        </w:numPr>
        <w:ind w:left="993"/>
      </w:pPr>
      <w:r>
        <w:t>(a)</w:t>
      </w:r>
      <w:r>
        <w:tab/>
        <w:t>Exponeringar som tillhör exponeringsklassen ”poster som avser positioner i värdepapperisering” i enlighet med artikel 112 m i CRR.</w:t>
      </w:r>
    </w:p>
    <w:p w:rsidR="00464F34" w:rsidRPr="00392FFD" w:rsidRDefault="00125707" w:rsidP="00C37B29">
      <w:pPr>
        <w:pStyle w:val="InstructionsText2"/>
        <w:numPr>
          <w:ilvl w:val="0"/>
          <w:numId w:val="0"/>
        </w:numPr>
        <w:ind w:left="993"/>
      </w:pPr>
      <w:r>
        <w:t>(b)</w:t>
      </w:r>
      <w:r>
        <w:tab/>
        <w:t>Dessa ska rapporteras i CR SEC-mallarna.</w:t>
      </w:r>
    </w:p>
    <w:p w:rsidR="00464F34" w:rsidRPr="00392FFD" w:rsidRDefault="00125707" w:rsidP="00C37B29">
      <w:pPr>
        <w:pStyle w:val="InstructionsText2"/>
        <w:numPr>
          <w:ilvl w:val="0"/>
          <w:numId w:val="0"/>
        </w:numPr>
        <w:ind w:left="993"/>
      </w:pPr>
      <w:r>
        <w:t>51.</w:t>
      </w:r>
      <w:r>
        <w:tab/>
        <w:t>Exponeringar som har dragits av från kapitalbasen.</w:t>
      </w:r>
    </w:p>
    <w:p w:rsidR="00464F34" w:rsidRPr="00392FFD" w:rsidRDefault="00125707" w:rsidP="00C37B29">
      <w:pPr>
        <w:pStyle w:val="InstructionsText2"/>
        <w:numPr>
          <w:ilvl w:val="0"/>
          <w:numId w:val="0"/>
        </w:numPr>
        <w:ind w:left="993"/>
      </w:pPr>
      <w:r>
        <w:t>(a)</w:t>
      </w:r>
      <w:r>
        <w:tab/>
        <w:t>CR SA-mallen omfattar följande kapitalbaskrav: a) Kreditrisk i enlighet med del tre avdelning II kapitel 2 (schablonmetoden) i CRR utanför handelslagret, inb</w:t>
      </w:r>
      <w:r>
        <w:t>e</w:t>
      </w:r>
      <w:r>
        <w:t>gripet motpartsrisk i enlighet med del tre avdelning II kapitel 6 (motpartsrisk) i CRR utanför handelslagret.</w:t>
      </w:r>
    </w:p>
    <w:p w:rsidR="00464F34" w:rsidRPr="00392FFD" w:rsidRDefault="00125707" w:rsidP="00C37B29">
      <w:pPr>
        <w:pStyle w:val="InstructionsText2"/>
        <w:numPr>
          <w:ilvl w:val="0"/>
          <w:numId w:val="0"/>
        </w:numPr>
        <w:ind w:left="993"/>
      </w:pPr>
      <w:r>
        <w:t>(b)</w:t>
      </w:r>
      <w:r>
        <w:tab/>
        <w:t>Motpartsrisk i enlighet med del tre avdelning II kapitel 6 (motpartsrisk) i CRR i handelslagret.</w:t>
      </w:r>
    </w:p>
    <w:p w:rsidR="00464F34" w:rsidRPr="00392FFD" w:rsidRDefault="00125707" w:rsidP="00C37B29">
      <w:pPr>
        <w:pStyle w:val="InstructionsText2"/>
        <w:numPr>
          <w:ilvl w:val="0"/>
          <w:numId w:val="0"/>
        </w:numPr>
        <w:ind w:left="993"/>
      </w:pPr>
      <w:r>
        <w:t>(c)</w:t>
      </w:r>
      <w:r>
        <w:tab/>
        <w:t>Avvecklingsrisk som härrör från transaktioner utan samtidig prestation i enli</w:t>
      </w:r>
      <w:r>
        <w:t>g</w:t>
      </w:r>
      <w:r>
        <w:t>het med artikel 379 i CRR med avseende på hela affärsverksamheten.</w:t>
      </w:r>
    </w:p>
    <w:p w:rsidR="00464F34" w:rsidRPr="00392FFD" w:rsidRDefault="00125707" w:rsidP="00C37B29">
      <w:pPr>
        <w:pStyle w:val="InstructionsText2"/>
        <w:numPr>
          <w:ilvl w:val="0"/>
          <w:numId w:val="0"/>
        </w:numPr>
        <w:ind w:left="993"/>
      </w:pPr>
      <w:r>
        <w:lastRenderedPageBreak/>
        <w:t>52.</w:t>
      </w:r>
      <w:r>
        <w:tab/>
        <w:t>Mallen omfattar samtliga exponeringar för vilka kapitalbaskraven beräknas i enlighet med del tre avdelning II kapitel 2 i CRR i förbindelse med del tre avde</w:t>
      </w:r>
      <w:r>
        <w:t>l</w:t>
      </w:r>
      <w:r>
        <w:t>ning II kapitlen 4 och 6 i CRR. Institut som tillämpar artikel 94.1 i CRR ska också rapportera sina positioner i handelslagret i denna mall om de tillämpar del tre a</w:t>
      </w:r>
      <w:r>
        <w:t>v</w:t>
      </w:r>
      <w:r>
        <w:t>delning II kapitel 2 i CRR för beräkning av sina kapitalbaskrav (del tre avdelning II kapitlen 2 och 6 samt del tre avdelning V i CRR). Mallen ger därför inte bara deta</w:t>
      </w:r>
      <w:r>
        <w:t>l</w:t>
      </w:r>
      <w:r>
        <w:t>jerad information om exponeringsslag (t.ex. om poster i/utanför balansräkningen) utan ger även information om tilldelningen av riskvikter inom respektive expon</w:t>
      </w:r>
      <w:r>
        <w:t>e</w:t>
      </w:r>
      <w:r>
        <w:t>ringsklass.</w:t>
      </w:r>
    </w:p>
    <w:p w:rsidR="00464F34" w:rsidRPr="00392FFD" w:rsidRDefault="00125707" w:rsidP="00C37B29">
      <w:pPr>
        <w:pStyle w:val="InstructionsText2"/>
        <w:numPr>
          <w:ilvl w:val="0"/>
          <w:numId w:val="0"/>
        </w:numPr>
        <w:ind w:left="993"/>
      </w:pPr>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t>53.</w:t>
      </w:r>
      <w:r>
        <w:tab/>
        <w:t xml:space="preserve">CR SA omfattar dessutom memorandumposter på raderna 220–250 i syfte att samla in ytterligare uppgifter om exponeringar säkrade genom panträtt i fastigheter och fallerande exponeringar. </w:t>
      </w:r>
    </w:p>
    <w:p w:rsidR="00464F34" w:rsidRPr="00392FFD" w:rsidRDefault="00125707" w:rsidP="00C37B29">
      <w:pPr>
        <w:pStyle w:val="InstructionsText2"/>
        <w:numPr>
          <w:ilvl w:val="0"/>
          <w:numId w:val="0"/>
        </w:numPr>
        <w:ind w:left="993"/>
      </w:pPr>
      <w:r>
        <w:t>54.</w:t>
      </w:r>
      <w:r>
        <w:tab/>
        <w:t>Dessa memorandumposter ska bara rapporteras inom följande exponering</w:t>
      </w:r>
      <w:r>
        <w:t>s</w:t>
      </w:r>
      <w:r>
        <w:t xml:space="preserve">klasser: </w:t>
      </w:r>
    </w:p>
    <w:p w:rsidR="00464F34" w:rsidRPr="00392FFD" w:rsidRDefault="00125707" w:rsidP="00C37B29">
      <w:pPr>
        <w:pStyle w:val="InstructionsText2"/>
        <w:numPr>
          <w:ilvl w:val="0"/>
          <w:numId w:val="0"/>
        </w:numPr>
        <w:ind w:left="993"/>
      </w:pPr>
      <w:r>
        <w:t>(a)</w:t>
      </w:r>
      <w:r>
        <w:tab/>
        <w:t>Nationella regeringar eller centralbanker (artikel 112 a i CRR).</w:t>
      </w:r>
    </w:p>
    <w:p w:rsidR="00464F34" w:rsidRPr="00392FFD" w:rsidRDefault="00125707" w:rsidP="00C37B29">
      <w:pPr>
        <w:pStyle w:val="InstructionsText2"/>
        <w:numPr>
          <w:ilvl w:val="0"/>
          <w:numId w:val="0"/>
        </w:numPr>
        <w:ind w:left="993"/>
      </w:pPr>
      <w:r>
        <w:t>(b)</w:t>
      </w:r>
      <w:r>
        <w:tab/>
        <w:t>Delstatliga eller lokala självstyrelseorgan och myndigheter (artikel 112 b i CRR).</w:t>
      </w:r>
    </w:p>
    <w:p w:rsidR="00464F34" w:rsidRPr="00392FFD" w:rsidRDefault="00125707" w:rsidP="00C37B29">
      <w:pPr>
        <w:pStyle w:val="InstructionsText2"/>
        <w:numPr>
          <w:ilvl w:val="0"/>
          <w:numId w:val="0"/>
        </w:numPr>
        <w:ind w:left="993"/>
      </w:pPr>
      <w:r>
        <w:t>(c)</w:t>
      </w:r>
      <w:r>
        <w:tab/>
        <w:t>Offentliga organ (artikel 112 c i CRR).</w:t>
      </w:r>
    </w:p>
    <w:p w:rsidR="00464F34" w:rsidRPr="00392FFD" w:rsidRDefault="00125707" w:rsidP="00C37B29">
      <w:pPr>
        <w:pStyle w:val="InstructionsText2"/>
        <w:numPr>
          <w:ilvl w:val="0"/>
          <w:numId w:val="0"/>
        </w:numPr>
        <w:ind w:left="993"/>
      </w:pPr>
      <w:r>
        <w:t>(d)</w:t>
      </w:r>
      <w:r>
        <w:tab/>
        <w:t>Institut (artikel 112 f i CRR).</w:t>
      </w:r>
    </w:p>
    <w:p w:rsidR="00464F34" w:rsidRPr="00392FFD" w:rsidRDefault="00125707" w:rsidP="00C37B29">
      <w:pPr>
        <w:pStyle w:val="InstructionsText2"/>
        <w:numPr>
          <w:ilvl w:val="0"/>
          <w:numId w:val="0"/>
        </w:numPr>
        <w:ind w:left="993"/>
      </w:pPr>
      <w:r>
        <w:t>(e)</w:t>
      </w:r>
      <w:r>
        <w:tab/>
        <w:t>Företag (artikel 112 g i CRR).</w:t>
      </w:r>
    </w:p>
    <w:p w:rsidR="00464F34" w:rsidRPr="00392FFD" w:rsidRDefault="00125707" w:rsidP="00C37B29">
      <w:pPr>
        <w:pStyle w:val="InstructionsText2"/>
        <w:numPr>
          <w:ilvl w:val="0"/>
          <w:numId w:val="0"/>
        </w:numPr>
        <w:ind w:left="993"/>
      </w:pPr>
      <w:r>
        <w:t>(f)</w:t>
      </w:r>
      <w:r>
        <w:tab/>
        <w:t>Hushåll (artikel 112 h i CRR).</w:t>
      </w:r>
    </w:p>
    <w:p w:rsidR="00464F34" w:rsidRPr="00392FFD" w:rsidRDefault="00125707" w:rsidP="00C37B29">
      <w:pPr>
        <w:pStyle w:val="InstructionsText2"/>
        <w:numPr>
          <w:ilvl w:val="0"/>
          <w:numId w:val="0"/>
        </w:numPr>
        <w:ind w:left="993"/>
      </w:pPr>
      <w:r>
        <w:t>55.</w:t>
      </w:r>
      <w:r>
        <w:tab/>
        <w:t>Rapporteringen av memorandumposter påverkar inte beräkningen av de ris</w:t>
      </w:r>
      <w:r>
        <w:t>k</w:t>
      </w:r>
      <w:r>
        <w:t>vägda exponeringsbelopp som rapporteras i CR SA vare sig inom exponeringskla</w:t>
      </w:r>
      <w:r>
        <w:t>s</w:t>
      </w:r>
      <w:r>
        <w:t xml:space="preserve">serna enligt artikel 112 a–c och f–h i CRR eller inom exponeringsklasserna enligt artikel 112 i och 112 j i CRR. </w:t>
      </w:r>
    </w:p>
    <w:p w:rsidR="00464F34" w:rsidRPr="00392FFD" w:rsidRDefault="00125707" w:rsidP="00C37B29">
      <w:pPr>
        <w:pStyle w:val="InstructionsText2"/>
        <w:numPr>
          <w:ilvl w:val="0"/>
          <w:numId w:val="0"/>
        </w:numPr>
        <w:ind w:left="993"/>
      </w:pPr>
      <w:r>
        <w:t>56.</w:t>
      </w:r>
      <w:r>
        <w:tab/>
        <w:t>Raderna för memorandumposter ger ytterligare information om motpartsstru</w:t>
      </w:r>
      <w:r>
        <w:t>k</w:t>
      </w:r>
      <w:r>
        <w:t>turen för exponeringsklasserna ”fallerande exponeringar” eller ”exponeringar sä</w:t>
      </w:r>
      <w:r>
        <w:t>k</w:t>
      </w:r>
      <w:r>
        <w:t>rade genom panträtt i fastigheter”. Exponeringar ska rapporteras i dessa rader om gäldenärerna skulle ha rapporterats i exponeringsklasserna ”nationella regeringar eller centralbanker”, ”delstatliga eller lokala självstyrelseorgan eller myndigheter”, ”offentliga organ”, ”institut”, ”företag” och ”hushåll” i CR SA, om de exponerin</w:t>
      </w:r>
      <w:r>
        <w:t>g</w:t>
      </w:r>
      <w:r>
        <w:t>arna inte hörde till exponeringsklasserna ”fallerande exponeringar” eller ”expon</w:t>
      </w:r>
      <w:r>
        <w:t>e</w:t>
      </w:r>
      <w:r>
        <w:t>ringar säkrade genom panträtt i fastigheter”.  Men de siffror som rapporteras är de</w:t>
      </w:r>
      <w:r>
        <w:t>s</w:t>
      </w:r>
      <w:r>
        <w:t>amma som används för att beräkna de riskvägda exponeringsbeloppen i expon</w:t>
      </w:r>
      <w:r>
        <w:t>e</w:t>
      </w:r>
      <w:r>
        <w:t>ringsklasserna ”fallerande exponeringar” eller ”exponeringar säkrade genom fast egendom”.</w:t>
      </w:r>
    </w:p>
    <w:p w:rsidR="00464F34" w:rsidRPr="00392FFD" w:rsidRDefault="00125707" w:rsidP="00C37B29">
      <w:pPr>
        <w:pStyle w:val="InstructionsText2"/>
        <w:numPr>
          <w:ilvl w:val="0"/>
          <w:numId w:val="0"/>
        </w:numPr>
        <w:ind w:left="993"/>
      </w:pPr>
      <w:r>
        <w:t>57.</w:t>
      </w:r>
      <w:r>
        <w:tab/>
        <w:t>Exempel: Om den exponering vars riskvägda exponeringsbelopp beräknas i e</w:t>
      </w:r>
      <w:r>
        <w:t>n</w:t>
      </w:r>
      <w:r>
        <w:t>lighet med artikel 127 i CRR och värdejusteringarna understiger 20 % ska informa</w:t>
      </w:r>
      <w:r>
        <w:t>t</w:t>
      </w:r>
      <w:r>
        <w:t>ionen rapporteras i CR SA, rad 320, totalt, och i exponeringsklassen ”fallerande e</w:t>
      </w:r>
      <w:r>
        <w:t>x</w:t>
      </w:r>
      <w:r>
        <w:t xml:space="preserve">poneringar”. Om exponeringen, innan den fallerade, utgjordes av en exponering </w:t>
      </w:r>
      <w:r>
        <w:lastRenderedPageBreak/>
        <w:t>mot ett institut, ska denna information även rapporteras på rad 320 i exponering</w:t>
      </w:r>
      <w:r>
        <w:t>s</w:t>
      </w:r>
      <w:r>
        <w:t>klassen ”institut”.</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16210635"/>
      <w:bookmarkStart w:id="224" w:name="_Toc523820256"/>
      <w:r>
        <w:rPr>
          <w:rFonts w:ascii="Times New Roman" w:hAnsi="Times New Roman"/>
          <w:sz w:val="24"/>
          <w:u w:val="none"/>
        </w:rPr>
        <w:t>3.2.3.</w:t>
      </w:r>
      <w:r w:rsidRPr="001925C7">
        <w:rPr>
          <w:u w:val="none"/>
        </w:rPr>
        <w:tab/>
      </w:r>
      <w:r>
        <w:rPr>
          <w:rFonts w:ascii="Times New Roman" w:hAnsi="Times New Roman"/>
          <w:sz w:val="24"/>
        </w:rPr>
        <w:t xml:space="preserve"> </w:t>
      </w:r>
      <w:bookmarkStart w:id="225" w:name="_Toc310415022"/>
      <w:bookmarkStart w:id="226" w:name="_Toc360188351"/>
      <w:bookmarkStart w:id="227" w:name="_Toc473560900"/>
      <w:r>
        <w:rPr>
          <w:rFonts w:ascii="Times New Roman" w:hAnsi="Times New Roman"/>
          <w:sz w:val="24"/>
        </w:rPr>
        <w:t>Indelning av exponeringar i exponeringsklasser enligt schablonmetoden</w:t>
      </w:r>
      <w:bookmarkEnd w:id="219"/>
      <w:bookmarkEnd w:id="220"/>
      <w:bookmarkEnd w:id="221"/>
      <w:bookmarkEnd w:id="222"/>
      <w:bookmarkEnd w:id="223"/>
      <w:bookmarkEnd w:id="225"/>
      <w:bookmarkEnd w:id="226"/>
      <w:bookmarkEnd w:id="227"/>
      <w:bookmarkEnd w:id="224"/>
    </w:p>
    <w:p w:rsidR="00464F34" w:rsidRPr="00392FFD" w:rsidRDefault="00125707" w:rsidP="00C37B29">
      <w:pPr>
        <w:pStyle w:val="InstructionsText2"/>
        <w:numPr>
          <w:ilvl w:val="0"/>
          <w:numId w:val="0"/>
        </w:numPr>
        <w:ind w:left="993"/>
      </w:pPr>
      <w:r>
        <w:t>58.</w:t>
      </w:r>
      <w:r>
        <w:tab/>
        <w:t>För att exponeringarnas indelning i olika exponeringsklasser ska bli kons</w:t>
      </w:r>
      <w:r>
        <w:t>e</w:t>
      </w:r>
      <w:r>
        <w:t>kvent och ske i enlighet med artikel 112 i CRR ska följande metod tillämpas ste</w:t>
      </w:r>
      <w:r>
        <w:t>g</w:t>
      </w:r>
      <w:r>
        <w:t xml:space="preserve">vis: </w:t>
      </w:r>
    </w:p>
    <w:p w:rsidR="00464F34" w:rsidRPr="00392FFD" w:rsidRDefault="00125707" w:rsidP="00C37B29">
      <w:pPr>
        <w:pStyle w:val="InstructionsText2"/>
        <w:numPr>
          <w:ilvl w:val="0"/>
          <w:numId w:val="0"/>
        </w:numPr>
        <w:ind w:left="993"/>
      </w:pPr>
      <w:r>
        <w:t>(a)</w:t>
      </w:r>
      <w:r>
        <w:tab/>
        <w:t>I första steget ska den ursprungliga exponeringen före tillämpning av konvert</w:t>
      </w:r>
      <w:r>
        <w:t>e</w:t>
      </w:r>
      <w:r>
        <w:t>ringsfaktorer placeras i motsvarande (ursprungliga) exponeringsklass som anges i artikel 112 i CRR, utan att det påverkar den särskilda behandling (riskvikt) som varje enskild exponering ska få inom den valda exponeringsklassen.</w:t>
      </w:r>
    </w:p>
    <w:p w:rsidR="00464F34" w:rsidRPr="00392FFD" w:rsidRDefault="00125707" w:rsidP="00C37B29">
      <w:pPr>
        <w:pStyle w:val="InstructionsText2"/>
        <w:numPr>
          <w:ilvl w:val="0"/>
          <w:numId w:val="0"/>
        </w:numPr>
        <w:ind w:left="993"/>
      </w:pPr>
      <w:r>
        <w:t>(b)</w:t>
      </w:r>
      <w:r>
        <w:tab/>
        <w:t>I ett andra steg får exponeringarna omplaceras till andra exponeringsklasser på grund av tillämpningen av metoder för kreditriskreducering (CRM) med substitu</w:t>
      </w:r>
      <w:r>
        <w:t>t</w:t>
      </w:r>
      <w:r>
        <w:t>ionseffekter på exponeringen (t.ex. garantier, kreditderivat och den förenklade m</w:t>
      </w:r>
      <w:r>
        <w:t>e</w:t>
      </w:r>
      <w:r>
        <w:t>toden för finansiella säkerheter) via inflöden och utflöden.</w:t>
      </w:r>
    </w:p>
    <w:p w:rsidR="00464F34" w:rsidRPr="00392FFD" w:rsidRDefault="00125707" w:rsidP="00C37B29">
      <w:pPr>
        <w:pStyle w:val="InstructionsText2"/>
        <w:numPr>
          <w:ilvl w:val="0"/>
          <w:numId w:val="0"/>
        </w:numPr>
        <w:ind w:left="993"/>
      </w:pPr>
      <w:r>
        <w:t>59.</w:t>
      </w:r>
      <w:r>
        <w:tab/>
        <w:t>Vid indelningen av de ursprungliga exponeringarna före tillämpning av ko</w:t>
      </w:r>
      <w:r>
        <w:t>n</w:t>
      </w:r>
      <w:r>
        <w:t>verteringsfaktorer i olika exponeringsklasser (första steget) ska följande kriterier tillämpas, utan att det påverkar den efterföljande omplaceringen på grund av att man använder metoder för kreditriskreducering med substitutionseffekter på exp</w:t>
      </w:r>
      <w:r>
        <w:t>o</w:t>
      </w:r>
      <w:r>
        <w:t>neringen eller på den behandling (riskvikt) som varje enskild exponering ska få inom vald exponeringsklass.</w:t>
      </w:r>
    </w:p>
    <w:p w:rsidR="00464F34" w:rsidRPr="00392FFD" w:rsidRDefault="00125707" w:rsidP="00C37B29">
      <w:pPr>
        <w:pStyle w:val="InstructionsText2"/>
        <w:numPr>
          <w:ilvl w:val="0"/>
          <w:numId w:val="0"/>
        </w:numPr>
        <w:ind w:left="993"/>
      </w:pPr>
      <w:r>
        <w:t>60.</w:t>
      </w:r>
      <w:r>
        <w:tab/>
        <w:t>Kreditriskreduceringen i samband med exponeringen får inte beaktas i det första steget vid klassificeringen av den ursprungliga exponeringen före tillämpning av konverteringsfaktor (observera att kreditriskreducering uttryckligen ska överv</w:t>
      </w:r>
      <w:r>
        <w:t>ä</w:t>
      </w:r>
      <w:r>
        <w:t>gas i den andra fasen), såvida inte en skyddseffekt verkligen ingår i definitionen av exponeringsklassen, såsom i den exponeringsklass som nämns i artikel 112 i i CRR (exponeringar säkrade genom panträtt i fastigheter).</w:t>
      </w:r>
    </w:p>
    <w:p w:rsidR="00464F34" w:rsidRPr="00392FFD" w:rsidRDefault="00125707" w:rsidP="00C37B29">
      <w:pPr>
        <w:pStyle w:val="InstructionsText2"/>
        <w:numPr>
          <w:ilvl w:val="0"/>
          <w:numId w:val="0"/>
        </w:numPr>
        <w:ind w:left="993"/>
      </w:pPr>
      <w:r>
        <w:t>61.</w:t>
      </w:r>
      <w:r>
        <w:tab/>
        <w:t>Artikel 112 i CRR innehåller inga kriterier för uppdelning av exponeringskla</w:t>
      </w:r>
      <w:r>
        <w:t>s</w:t>
      </w:r>
      <w:r>
        <w:t>serna. Eventuellt går det därför att placera en exponering i olika exponeringsklasser om klassificeringskriterierna saknar rangordning. Det mest uppenbara exemplet är mellan exponeringar mot institut och företag med ett kortfristigt kreditbetyg (artikel 112 n i CRR) och exponeringar mot institut (artikel 112 f i CRR)/exponeringar mot företag (artikel 112 g i CRR). I detta fall framgår det tydligt att det finns en implicit rangordning i CRR, eftersom man först ska bedöma om en viss exponering lämpar sig för kategorin kortfristiga exponeringar mot institut och företag och först därefter ska göra samma bedömning i förhållande till exponeringar mot institut och expon</w:t>
      </w:r>
      <w:r>
        <w:t>e</w:t>
      </w:r>
      <w:r>
        <w:t>ringar mot företag. Annars är det uppenbart att en exponering aldrig får placeras i exponeringsklassen enligt artikel 112 n i CRR. Detta är ett av de mest uppenbara exemplen, men inte det enda. Det bör här nämnas att kriterierna för att fastställa e</w:t>
      </w:r>
      <w:r>
        <w:t>x</w:t>
      </w:r>
      <w:r>
        <w:t>poneringsklasser enligt schablonmetoden är olika (kategori av institut, tidsfrist för exponeringen, status som förfallen), och detta är det bakomliggande skälet till att grupperna inte är uppdelade.</w:t>
      </w:r>
    </w:p>
    <w:p w:rsidR="00464F34" w:rsidRPr="00392FFD" w:rsidRDefault="00125707" w:rsidP="00C37B29">
      <w:pPr>
        <w:pStyle w:val="InstructionsText2"/>
        <w:numPr>
          <w:ilvl w:val="0"/>
          <w:numId w:val="0"/>
        </w:numPr>
        <w:ind w:left="993"/>
      </w:pPr>
      <w:r>
        <w:t>62.</w:t>
      </w:r>
      <w:r>
        <w:tab/>
        <w:t>För att rapporteringen ska vara enhetlig och jämförbar måste man specificera hur kriterierna ska rangordnas vid indelningen av ursprungliga exponeringar i e</w:t>
      </w:r>
      <w:r>
        <w:t>x</w:t>
      </w:r>
      <w:r>
        <w:lastRenderedPageBreak/>
        <w:t>poneringsklasser före tillämpning av konverteringsfaktorer, utan att det påverkar den särskilda behandling (riskvikt) som varje enskild exponering ska få inom vald exponeringsklass. Den prioriteringsordning som anges i beslutsträdet nedan grundar sig dels på bedömningen av de villkor som enligt CRR ska vara uppfyllda för att en exponering ska tillhöra en viss exponeringsklass, dels (om så är fallet) på det ra</w:t>
      </w:r>
      <w:r>
        <w:t>p</w:t>
      </w:r>
      <w:r>
        <w:t>porterande institutets eller tillsynsmyndighetens eventuella beslut om hur vissa e</w:t>
      </w:r>
      <w:r>
        <w:t>x</w:t>
      </w:r>
      <w:r>
        <w:t>poneringsklasser ska tillämpas. På så vis skulle resultatet av indelningen i expon</w:t>
      </w:r>
      <w:r>
        <w:t>e</w:t>
      </w:r>
      <w:r>
        <w:t>ringsklasser för rapporteringen vara förenligt med bestämmelserna i CRR. Detta utesluter inte att instituten tillämpar andra interna bedömningssätt som också kan vara förenliga med alla relevanta bestämmelser i CRR och de tolkningar av b</w:t>
      </w:r>
      <w:r>
        <w:t>e</w:t>
      </w:r>
      <w:r>
        <w:t>stämmelserna som utfärdas av vederbörliga forum.</w:t>
      </w:r>
    </w:p>
    <w:p w:rsidR="00464F34" w:rsidRPr="00392FFD" w:rsidRDefault="00125707" w:rsidP="00C37B29">
      <w:pPr>
        <w:pStyle w:val="InstructionsText2"/>
        <w:numPr>
          <w:ilvl w:val="0"/>
          <w:numId w:val="0"/>
        </w:numPr>
        <w:ind w:left="993"/>
      </w:pPr>
      <w:r>
        <w:t>63.</w:t>
      </w:r>
      <w:r>
        <w:tab/>
        <w:t>En exponeringsklass ska prioriteras framför andra vid rangordningen i beslut</w:t>
      </w:r>
      <w:r>
        <w:t>s</w:t>
      </w:r>
      <w:r>
        <w:t>trädet (dvs. man ska först bedöma om en exponering kan tilldelas den klassen, utan att det påverkar resultatet av den bedömningen), om det i annat fall inte skulle gå att placera några exponeringar i den. Det skulle vara fallet om en prioriteringsordning saknas och en exponeringsklass skulle vara en undergrupp. På så vis skulle kriter</w:t>
      </w:r>
      <w:r>
        <w:t>i</w:t>
      </w:r>
      <w:r>
        <w:t>erna i följande beslutsträd ge en bedömningsprocess sekventiella steg.</w:t>
      </w:r>
    </w:p>
    <w:p w:rsidR="00464F34" w:rsidRPr="00392FFD" w:rsidRDefault="00125707" w:rsidP="00C37B29">
      <w:pPr>
        <w:pStyle w:val="InstructionsText2"/>
        <w:numPr>
          <w:ilvl w:val="0"/>
          <w:numId w:val="0"/>
        </w:numPr>
        <w:ind w:left="993"/>
      </w:pPr>
      <w:r>
        <w:t>64.</w:t>
      </w:r>
      <w:r>
        <w:tab/>
        <w:t>Mot bakgrund av detta skulle beslutsträdet nedan få följande prioriteringsor</w:t>
      </w:r>
      <w:r>
        <w:t>d</w:t>
      </w:r>
      <w:r>
        <w:t>ning:</w:t>
      </w:r>
    </w:p>
    <w:p w:rsidR="00464F34" w:rsidRPr="00392FFD" w:rsidRDefault="00464F34" w:rsidP="00FD239F">
      <w:pPr>
        <w:pStyle w:val="InstructionsText"/>
      </w:pPr>
      <w:r>
        <w:t>1. Positioner i värdepapperisering.</w:t>
      </w:r>
    </w:p>
    <w:p w:rsidR="00464F34" w:rsidRPr="00392FFD" w:rsidRDefault="00464F34" w:rsidP="00FD239F">
      <w:pPr>
        <w:pStyle w:val="InstructionsText"/>
      </w:pPr>
      <w:r>
        <w:t>2. Poster förknippade med särskilt hög risk.</w:t>
      </w:r>
    </w:p>
    <w:p w:rsidR="00464F34" w:rsidRPr="00392FFD" w:rsidRDefault="00464F34" w:rsidP="00FD239F">
      <w:pPr>
        <w:pStyle w:val="InstructionsText"/>
      </w:pPr>
      <w:r>
        <w:t>3. Aktieexponeringar</w:t>
      </w:r>
    </w:p>
    <w:p w:rsidR="00464F34" w:rsidRPr="00392FFD" w:rsidRDefault="00464F34" w:rsidP="00FD239F">
      <w:pPr>
        <w:pStyle w:val="InstructionsText"/>
      </w:pPr>
      <w:r>
        <w:t>4. Fallerande exponeringar.</w:t>
      </w:r>
    </w:p>
    <w:p w:rsidR="00464F34" w:rsidRPr="00392FFD" w:rsidRDefault="00464F34" w:rsidP="00FD239F">
      <w:pPr>
        <w:pStyle w:val="InstructionsText"/>
      </w:pPr>
      <w:r>
        <w:t>5. Exponeringar i form av aktier eller andelar i fondföretag (fonder)/ Exponeringar i form av säkerställda obligationer (uppdelade exponeringsklasser).</w:t>
      </w:r>
    </w:p>
    <w:p w:rsidR="00464F34" w:rsidRPr="00392FFD" w:rsidRDefault="00464F34" w:rsidP="00FD239F">
      <w:pPr>
        <w:pStyle w:val="InstructionsText"/>
      </w:pPr>
      <w:r>
        <w:t>6. Exponeringar säkrade genom panträtt i fast egendom.</w:t>
      </w:r>
    </w:p>
    <w:p w:rsidR="00464F34" w:rsidRPr="00392FFD" w:rsidRDefault="00464F34" w:rsidP="00FD239F">
      <w:pPr>
        <w:pStyle w:val="InstructionsText"/>
      </w:pPr>
      <w:r>
        <w:t>7. Övriga poster.</w:t>
      </w:r>
    </w:p>
    <w:p w:rsidR="00464F34" w:rsidRPr="00392FFD" w:rsidRDefault="00464F34" w:rsidP="00FD239F">
      <w:pPr>
        <w:pStyle w:val="InstructionsText"/>
      </w:pPr>
      <w:r>
        <w:t>8. Exponeringar mot institut och företag med kortfristig kreditvärdering.</w:t>
      </w:r>
    </w:p>
    <w:p w:rsidR="00464F34" w:rsidRPr="00392FFD" w:rsidRDefault="00464F34" w:rsidP="00FD239F">
      <w:pPr>
        <w:pStyle w:val="InstructionsText"/>
      </w:pPr>
      <w:r>
        <w:t>9. Alla övriga exponeringsklasser (uppdelade exponeringsklasser), som innefattar expon</w:t>
      </w:r>
      <w:r>
        <w:t>e</w:t>
      </w:r>
      <w:r>
        <w:t>ringar mot nationella regeringar eller centralbanker. Exponeringar mot delstatliga eller lokala självstyrelseorgan och myndigheter Exponeringar mot offentliga organ Exponeringar mot multilaterala utvecklingsbanker Exponeringar mot internationella organisationer Exponerin</w:t>
      </w:r>
      <w:r>
        <w:t>g</w:t>
      </w:r>
      <w:r>
        <w:t>ar mot institut Exponeringar mot företag och hushåll</w:t>
      </w:r>
    </w:p>
    <w:p w:rsidR="00464F34" w:rsidRPr="00392FFD" w:rsidRDefault="00125707" w:rsidP="00C37B29">
      <w:pPr>
        <w:pStyle w:val="InstructionsText2"/>
        <w:numPr>
          <w:ilvl w:val="0"/>
          <w:numId w:val="0"/>
        </w:numPr>
        <w:ind w:left="993"/>
      </w:pPr>
      <w:r>
        <w:t>65.</w:t>
      </w:r>
      <w:r>
        <w:tab/>
        <w:t>När det gäller exponeringar i form av aktier eller andelar i fondföretag för vilka genomlysningsmetoden används (artikel 132.3–132.5 i CRR), ska varje underli</w:t>
      </w:r>
      <w:r>
        <w:t>g</w:t>
      </w:r>
      <w:r>
        <w:t>gande enskild exponering beaktas och ges den riskvikt som är förenad med respe</w:t>
      </w:r>
      <w:r>
        <w:t>k</w:t>
      </w:r>
      <w:r>
        <w:t>tive behandling, men alla exponeringarna ska placeras i exponeringsklassen för e</w:t>
      </w:r>
      <w:r>
        <w:t>x</w:t>
      </w:r>
      <w:r>
        <w:t>poneringar i form av aktier eller andelar i företag för kollektiva investeringar (fond).</w:t>
      </w:r>
    </w:p>
    <w:p w:rsidR="00464F34" w:rsidRPr="00392FFD" w:rsidRDefault="00125707" w:rsidP="00C37B29">
      <w:pPr>
        <w:pStyle w:val="InstructionsText2"/>
        <w:numPr>
          <w:ilvl w:val="0"/>
          <w:numId w:val="0"/>
        </w:numPr>
        <w:ind w:left="993"/>
      </w:pPr>
      <w:r>
        <w:t>66.</w:t>
      </w:r>
      <w:r>
        <w:tab/>
        <w:t>Sådana kreditderivat som förfaller på det n:te fallissemanget som anges i art</w:t>
      </w:r>
      <w:r>
        <w:t>i</w:t>
      </w:r>
      <w:r>
        <w:t>kel 134.6 i CRR ska, om de har en kreditvärdering, direkt klassificeras som värd</w:t>
      </w:r>
      <w:r>
        <w:t>e</w:t>
      </w:r>
      <w:r>
        <w:t>papperiseringspositioner. Om de saknar kreditvärdering ska de räknas till expon</w:t>
      </w:r>
      <w:r>
        <w:t>e</w:t>
      </w:r>
      <w:r>
        <w:t xml:space="preserve">ringsklassen ”övriga poster”.  I det sistnämnda fallet ska kontraktets nominella </w:t>
      </w:r>
      <w:r>
        <w:lastRenderedPageBreak/>
        <w:t>värde rapporteras som den ursprungliga exponeringen före tillämpning av konvert</w:t>
      </w:r>
      <w:r>
        <w:t>e</w:t>
      </w:r>
      <w:r>
        <w:t xml:space="preserve">ringsfaktorer på raden för ”övriga riskvikter” (riskvikten ska vara den summa som avses i artikel 134.6 i CRR). </w:t>
      </w:r>
    </w:p>
    <w:p w:rsidR="00464F34" w:rsidRPr="00392FFD" w:rsidRDefault="00125707" w:rsidP="00C37B29">
      <w:pPr>
        <w:pStyle w:val="InstructionsText2"/>
        <w:numPr>
          <w:ilvl w:val="0"/>
          <w:numId w:val="0"/>
        </w:numPr>
        <w:ind w:left="993"/>
      </w:pPr>
      <w:r>
        <w:t>67.</w:t>
      </w:r>
      <w:r>
        <w:tab/>
        <w:t>Till följd av tillämpningen av metoder för kreditriskreducering med substitu</w:t>
      </w:r>
      <w:r>
        <w:t>t</w:t>
      </w:r>
      <w:r>
        <w:t>ionseffekter ska exponeringarna därefter omplaceras till den exponeringsklass som hör till utfärdaren av kreditriskskyddet.</w:t>
      </w:r>
    </w:p>
    <w:p w:rsidR="00464F34" w:rsidRPr="00392FFD" w:rsidRDefault="00464F34" w:rsidP="00FD239F">
      <w:pPr>
        <w:pStyle w:val="InstructionsText"/>
      </w:pPr>
      <w:r>
        <w:br w:type="page"/>
      </w:r>
      <w:r>
        <w:lastRenderedPageBreak/>
        <w:t>BESLUTSTRÄD OM HUR DE URSPRUNGLIGA EXPONERINGARNA FÖRE TI</w:t>
      </w:r>
      <w:r>
        <w:t>L</w:t>
      </w:r>
      <w:r>
        <w:t>LÄMPNING AV KONVERTERINGSFAKTORER SKA INDELAS I DE EXPONERING</w:t>
      </w:r>
      <w:r>
        <w:t>S</w:t>
      </w:r>
      <w:r>
        <w:t xml:space="preserve">KLASSER SOM HÖR TILL SCHABLONMETODEN I ENLIGHET MED 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Ursprunglig exponering före ti</w:t>
            </w:r>
            <w:r>
              <w:rPr>
                <w:rFonts w:ascii="Times New Roman" w:hAnsi="Times New Roman"/>
                <w:sz w:val="24"/>
              </w:rPr>
              <w:t>l</w:t>
            </w:r>
            <w:r>
              <w:rPr>
                <w:rFonts w:ascii="Times New Roman" w:hAnsi="Times New Roman"/>
                <w:sz w:val="24"/>
              </w:rPr>
              <w:t>lämpning av konverteringsfaktorer</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klassen i artikel 112 m?</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Positioner i värdepapperisering</w:t>
            </w:r>
          </w:p>
        </w:tc>
      </w:tr>
      <w:tr w:rsidR="005B3B7C" w:rsidRPr="00392FFD" w:rsidTr="00672D2A">
        <w:tc>
          <w:tcPr>
            <w:tcW w:w="3761" w:type="dxa"/>
            <w:shd w:val="clear" w:color="auto" w:fill="auto"/>
          </w:tcPr>
          <w:p w:rsidR="00581FA5" w:rsidRPr="00392FFD" w:rsidRDefault="00581FA5" w:rsidP="00FD239F">
            <w:pPr>
              <w:pStyle w:val="InstructionsText"/>
            </w:pPr>
            <w:r>
              <w:t xml:space="preserve">NEJ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Kan den hänföras till exponering</w:t>
            </w:r>
            <w:r>
              <w:t>s</w:t>
            </w:r>
            <w:r>
              <w:t>klassen i artikel 112 k?</w:t>
            </w:r>
          </w:p>
        </w:tc>
        <w:tc>
          <w:tcPr>
            <w:tcW w:w="1417" w:type="dxa"/>
            <w:shd w:val="clear" w:color="auto" w:fill="auto"/>
          </w:tcPr>
          <w:p w:rsidR="00AC3054" w:rsidRPr="00392FFD" w:rsidRDefault="00974E3F" w:rsidP="00FD239F">
            <w:pPr>
              <w:pStyle w:val="InstructionsText"/>
            </w:pPr>
            <w:r>
              <w:t xml:space="preserve">JA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Poster som är förenade med särskilt hög risk (se även artikel 128)</w:t>
            </w:r>
          </w:p>
        </w:tc>
      </w:tr>
      <w:tr w:rsidR="003A1B96"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Kan den hänföras till exponering</w:t>
            </w:r>
            <w:r>
              <w:t>s</w:t>
            </w:r>
            <w:r>
              <w:t>klassen i artikel 112 p?</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Aktieexponeringar (se även artikel 133)</w:t>
            </w:r>
          </w:p>
        </w:tc>
      </w:tr>
      <w:tr w:rsidR="003A1B96"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klassen i artikel 112 j?</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Fallerande exponeringar</w:t>
            </w:r>
          </w:p>
        </w:tc>
      </w:tr>
      <w:tr w:rsidR="00581FA5"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klasserna i artikel 112 l och o?</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Exponeringar i form av andelar eller aktier i fondföretag (fonder).</w:t>
            </w:r>
          </w:p>
          <w:p w:rsidR="00581FA5" w:rsidRPr="00392FFD" w:rsidRDefault="00581FA5" w:rsidP="00FD239F">
            <w:pPr>
              <w:pStyle w:val="InstructionsText"/>
            </w:pPr>
            <w:r>
              <w:t>Exponeringar i form av säkerställda o</w:t>
            </w:r>
            <w:r>
              <w:t>b</w:t>
            </w:r>
            <w:r>
              <w:t>ligationer (se även artikel 129)</w:t>
            </w:r>
          </w:p>
          <w:p w:rsidR="00581FA5" w:rsidRPr="00392FFD" w:rsidRDefault="00581FA5" w:rsidP="00FD239F">
            <w:pPr>
              <w:pStyle w:val="InstructionsText"/>
            </w:pPr>
            <w:r>
              <w:t>Dessa två exponeringsklasser är inbö</w:t>
            </w:r>
            <w:r>
              <w:t>r</w:t>
            </w:r>
            <w:r>
              <w:t>des uppdelade (se kommentaren om g</w:t>
            </w:r>
            <w:r>
              <w:t>e</w:t>
            </w:r>
            <w:r>
              <w:t>nomlysningsmetoden i svaret ovan). En exponering kan därför placeras direkt i en av de exponeringsklasserna.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NEJ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klassen i artikel 112 i?</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Exponeringar säkrade genom panträtt i fastigheter (se även artikel 124)</w:t>
            </w:r>
          </w:p>
        </w:tc>
      </w:tr>
      <w:tr w:rsidR="00581FA5"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klassen i artikel 112 q?</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Övriga poster</w:t>
            </w:r>
          </w:p>
        </w:tc>
      </w:tr>
      <w:tr w:rsidR="00581FA5"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den hänföras till exponering</w:t>
            </w:r>
            <w:r>
              <w:t>s</w:t>
            </w:r>
            <w:r>
              <w:t>klassen i artikel 112 n?</w:t>
            </w:r>
          </w:p>
        </w:tc>
        <w:tc>
          <w:tcPr>
            <w:tcW w:w="1417" w:type="dxa"/>
            <w:shd w:val="clear" w:color="auto" w:fill="auto"/>
          </w:tcPr>
          <w:p w:rsidR="0063493E" w:rsidRPr="00392FFD" w:rsidRDefault="0063493E" w:rsidP="00FD239F">
            <w:pPr>
              <w:pStyle w:val="InstructionsText"/>
            </w:pPr>
            <w:r>
              <w:t xml:space="preserve">JA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Exponeringar mot institut och företag med kortfristig kreditvärdering</w:t>
            </w:r>
          </w:p>
        </w:tc>
      </w:tr>
      <w:tr w:rsidR="00581FA5" w:rsidRPr="00392FFD" w:rsidTr="00672D2A">
        <w:tc>
          <w:tcPr>
            <w:tcW w:w="3761" w:type="dxa"/>
            <w:shd w:val="clear" w:color="auto" w:fill="auto"/>
          </w:tcPr>
          <w:p w:rsidR="007241D3" w:rsidRPr="00392FFD" w:rsidRDefault="007241D3" w:rsidP="00FD239F">
            <w:pPr>
              <w:pStyle w:val="InstructionsText"/>
            </w:pPr>
            <w:r>
              <w:t xml:space="preserve">NEJ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Nedanstående exponeringsklasser är inbördes uppdelade. En exponering kan därför placeras direkt i en av de exponeringsklasserna.</w:t>
            </w:r>
          </w:p>
          <w:p w:rsidR="00581FA5" w:rsidRPr="00392FFD" w:rsidRDefault="00581FA5" w:rsidP="00FD239F">
            <w:pPr>
              <w:pStyle w:val="InstructionsText"/>
            </w:pPr>
            <w:r>
              <w:t>Exponeringar mot nationella regeringar eller centralbanker</w:t>
            </w:r>
          </w:p>
          <w:p w:rsidR="00581FA5" w:rsidRPr="00392FFD" w:rsidRDefault="00581FA5" w:rsidP="00FD239F">
            <w:pPr>
              <w:pStyle w:val="InstructionsText"/>
            </w:pPr>
            <w:r>
              <w:t>Exponeringar mot delstatliga eller lokala självstyrelseorgan och myndigheter</w:t>
            </w:r>
          </w:p>
          <w:p w:rsidR="00581FA5" w:rsidRPr="00392FFD" w:rsidRDefault="00581FA5" w:rsidP="00FD239F">
            <w:pPr>
              <w:pStyle w:val="InstructionsText"/>
            </w:pPr>
            <w:r>
              <w:t>Exponeringar mot offentliga organ</w:t>
            </w:r>
          </w:p>
          <w:p w:rsidR="00581FA5" w:rsidRPr="00392FFD" w:rsidRDefault="00581FA5" w:rsidP="00FD239F">
            <w:pPr>
              <w:pStyle w:val="InstructionsText"/>
            </w:pPr>
            <w:r>
              <w:t>Exponeringar mot multilaterala utvecklingsbanker</w:t>
            </w:r>
          </w:p>
          <w:p w:rsidR="00581FA5" w:rsidRPr="00392FFD" w:rsidRDefault="00581FA5" w:rsidP="00FD239F">
            <w:pPr>
              <w:pStyle w:val="InstructionsText"/>
            </w:pPr>
            <w:r>
              <w:t>Exponeringar mot internationella organisationer</w:t>
            </w:r>
          </w:p>
          <w:p w:rsidR="00581FA5" w:rsidRPr="00392FFD" w:rsidRDefault="00581FA5" w:rsidP="00FD239F">
            <w:pPr>
              <w:pStyle w:val="InstructionsText"/>
            </w:pPr>
            <w:r>
              <w:t>Exponeringar mot institut</w:t>
            </w:r>
          </w:p>
          <w:p w:rsidR="00581FA5" w:rsidRPr="00392FFD" w:rsidRDefault="00581FA5" w:rsidP="00FD239F">
            <w:pPr>
              <w:pStyle w:val="InstructionsText"/>
            </w:pPr>
            <w:r>
              <w:t>Exponeringar mot företag</w:t>
            </w:r>
          </w:p>
          <w:p w:rsidR="00581FA5" w:rsidRPr="00392FFD" w:rsidRDefault="00581FA5" w:rsidP="00FD239F">
            <w:pPr>
              <w:pStyle w:val="InstructionsText"/>
            </w:pPr>
            <w:r>
              <w:t>Hushållsexponeringar</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516210636"/>
      <w:bookmarkStart w:id="235" w:name="_Toc473560901"/>
      <w:bookmarkStart w:id="236" w:name="_Toc523820257"/>
      <w:r>
        <w:rPr>
          <w:rFonts w:ascii="Times New Roman" w:hAnsi="Times New Roman"/>
          <w:sz w:val="24"/>
          <w:u w:val="none"/>
        </w:rPr>
        <w:t>3.2.4.</w:t>
      </w:r>
      <w:r w:rsidRPr="001925C7">
        <w:rPr>
          <w:u w:val="none"/>
        </w:rPr>
        <w:tab/>
      </w:r>
      <w:r>
        <w:rPr>
          <w:rFonts w:ascii="Times New Roman" w:hAnsi="Times New Roman"/>
          <w:sz w:val="24"/>
        </w:rPr>
        <w:t>Förtydliganden om räckvidden för vissa av de exponeringsklasser som avses i artikel 112 i CRR</w:t>
      </w:r>
      <w:bookmarkEnd w:id="228"/>
      <w:bookmarkEnd w:id="229"/>
      <w:bookmarkEnd w:id="230"/>
      <w:bookmarkEnd w:id="231"/>
      <w:bookmarkEnd w:id="232"/>
      <w:bookmarkEnd w:id="233"/>
      <w:bookmarkEnd w:id="234"/>
      <w:bookmarkEnd w:id="235"/>
      <w:bookmarkEnd w:id="23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516210637"/>
      <w:bookmarkStart w:id="239" w:name="_Toc473560902"/>
      <w:bookmarkStart w:id="240" w:name="_Toc523820258"/>
      <w:r>
        <w:rPr>
          <w:rFonts w:ascii="Times New Roman" w:hAnsi="Times New Roman"/>
          <w:sz w:val="24"/>
          <w:u w:val="none"/>
        </w:rPr>
        <w:t>3.2.4.1.</w:t>
      </w:r>
      <w:r w:rsidRPr="001925C7">
        <w:rPr>
          <w:u w:val="none"/>
        </w:rPr>
        <w:tab/>
      </w:r>
      <w:r>
        <w:rPr>
          <w:rFonts w:ascii="Times New Roman" w:hAnsi="Times New Roman"/>
          <w:sz w:val="24"/>
        </w:rPr>
        <w:t>Exponeringsklassen ”institut”</w:t>
      </w:r>
      <w:bookmarkEnd w:id="237"/>
      <w:bookmarkEnd w:id="238"/>
      <w:bookmarkEnd w:id="239"/>
      <w:bookmarkEnd w:id="240"/>
    </w:p>
    <w:p w:rsidR="00464F34" w:rsidRPr="00392FFD" w:rsidRDefault="00125707" w:rsidP="00C37B29">
      <w:pPr>
        <w:pStyle w:val="InstructionsText2"/>
        <w:numPr>
          <w:ilvl w:val="0"/>
          <w:numId w:val="0"/>
        </w:numPr>
        <w:ind w:left="993"/>
      </w:pPr>
      <w:r>
        <w:t>68.</w:t>
      </w:r>
      <w:r>
        <w:tab/>
        <w:t>Exponeringar mot en motpart inom gruppen i enlighet med artikel 113.6–113.7 ska rapporteras enligt följande:</w:t>
      </w:r>
    </w:p>
    <w:p w:rsidR="00464F34" w:rsidRPr="00392FFD" w:rsidRDefault="00125707" w:rsidP="00C37B29">
      <w:pPr>
        <w:pStyle w:val="InstructionsText2"/>
        <w:numPr>
          <w:ilvl w:val="0"/>
          <w:numId w:val="0"/>
        </w:numPr>
        <w:ind w:left="993"/>
      </w:pPr>
      <w:r>
        <w:t>69.</w:t>
      </w:r>
      <w:r>
        <w:tab/>
        <w:t>Exponeringar som uppfyller kraven i artikel 113.7 i CRR ska rapporteras i den exponeringsklass som de skulle ha tillhört om motparten inte fanns inom gruppen.</w:t>
      </w:r>
    </w:p>
    <w:p w:rsidR="00464F34" w:rsidRPr="00392FFD" w:rsidRDefault="00125707" w:rsidP="00C37B29">
      <w:pPr>
        <w:pStyle w:val="InstructionsText2"/>
        <w:numPr>
          <w:ilvl w:val="0"/>
          <w:numId w:val="0"/>
        </w:numPr>
        <w:ind w:left="993"/>
      </w:pPr>
      <w:r>
        <w:t>70.</w:t>
      </w:r>
      <w:r>
        <w:tab/>
        <w:t>Enligt artikel 113.6 och 113.7 i CRR ”får ett institut, efter förhandsgodkä</w:t>
      </w:r>
      <w:r>
        <w:t>n</w:t>
      </w:r>
      <w:r>
        <w:t>nande från de behöriga myndigheterna, besluta att inte tillämpa kraven i punkt 1 i denna artikel på institutets exponeringar mot en motpart som är dess moderföretag, dotterföretag, syskonföretag eller företag som står i ett sådant samband som avses i artikel 12.1 i direktiv 83/349/EEG”. Det innebär att motparter inom gruppen inte nödvändigtvis är institut utan även kan vara företag som tillhör andra exponering</w:t>
      </w:r>
      <w:r>
        <w:t>s</w:t>
      </w:r>
      <w:r>
        <w:t>klasser, t.ex. anknutna företag eller företag i den mening som avses i artikel 12.1 i direktiv 83/349/EEG. Exponeringar mot en motpart inom gruppen ska därför ra</w:t>
      </w:r>
      <w:r>
        <w:t>p</w:t>
      </w:r>
      <w:r>
        <w:t>porteras i respektive exponeringsklass.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516210638"/>
      <w:bookmarkStart w:id="243" w:name="_Toc473560903"/>
      <w:bookmarkStart w:id="244" w:name="_Toc523820259"/>
      <w:r>
        <w:rPr>
          <w:rFonts w:ascii="Times New Roman" w:hAnsi="Times New Roman"/>
          <w:sz w:val="24"/>
          <w:u w:val="none"/>
        </w:rPr>
        <w:t>3.2.4.2.</w:t>
      </w:r>
      <w:r w:rsidRPr="00830EB5">
        <w:rPr>
          <w:u w:val="none"/>
        </w:rPr>
        <w:tab/>
      </w:r>
      <w:r>
        <w:rPr>
          <w:rFonts w:ascii="Times New Roman" w:hAnsi="Times New Roman"/>
          <w:sz w:val="24"/>
        </w:rPr>
        <w:t>Exponeringsklassen ”säkerställda obligationer”</w:t>
      </w:r>
      <w:bookmarkEnd w:id="241"/>
      <w:bookmarkEnd w:id="242"/>
      <w:bookmarkEnd w:id="243"/>
      <w:bookmarkEnd w:id="244"/>
    </w:p>
    <w:p w:rsidR="00464F34" w:rsidRPr="00392FFD" w:rsidRDefault="00125707" w:rsidP="00C37B29">
      <w:pPr>
        <w:pStyle w:val="InstructionsText2"/>
        <w:numPr>
          <w:ilvl w:val="0"/>
          <w:numId w:val="0"/>
        </w:numPr>
        <w:ind w:left="993"/>
      </w:pPr>
      <w:r>
        <w:t>71.</w:t>
      </w:r>
      <w:r>
        <w:tab/>
        <w:t>Exponeringar enligt schablonmetoden ska hänföras till exponeringsklassen ”säkerställda obligationer” enligt följande:</w:t>
      </w:r>
    </w:p>
    <w:p w:rsidR="00464F34" w:rsidRPr="00392FFD" w:rsidRDefault="00125707" w:rsidP="00C37B29">
      <w:pPr>
        <w:pStyle w:val="InstructionsText2"/>
        <w:numPr>
          <w:ilvl w:val="0"/>
          <w:numId w:val="0"/>
        </w:numPr>
        <w:ind w:left="993"/>
      </w:pPr>
      <w:r>
        <w:t>72.</w:t>
      </w:r>
      <w:r>
        <w:tab/>
        <w:t>Obligationer enligt definitionen i artikel 52.4 i direktiv 2009/65/EG ska up</w:t>
      </w:r>
      <w:r>
        <w:t>p</w:t>
      </w:r>
      <w:r>
        <w:t>fylla kraven i artikel 129.1–129.2 i CRR för att hänföras till exponeringsklassen ”säkerställda obligationer”. Att exponeringarna uppfyller dessa krav ska kontroll</w:t>
      </w:r>
      <w:r>
        <w:t>e</w:t>
      </w:r>
      <w:r>
        <w:t>ras i varje enskilt fall. Obligationer i enlighet med artikel 52.4 i direktiv 2009/65/EG och som gavs ut före den 31 december 2007 ska också hänföras till e</w:t>
      </w:r>
      <w:r>
        <w:t>x</w:t>
      </w:r>
      <w:r>
        <w:t>poneringsklassen ”säkerställda obligationer” på grund av artikel 129.6 i 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516210639"/>
      <w:bookmarkStart w:id="247" w:name="_Toc473560904"/>
      <w:bookmarkStart w:id="248" w:name="_Toc523820260"/>
      <w:r>
        <w:rPr>
          <w:rFonts w:ascii="Times New Roman" w:hAnsi="Times New Roman"/>
          <w:sz w:val="24"/>
          <w:u w:val="none"/>
        </w:rPr>
        <w:t>3.2.4.3.</w:t>
      </w:r>
      <w:r w:rsidRPr="00830EB5">
        <w:rPr>
          <w:u w:val="none"/>
        </w:rPr>
        <w:tab/>
      </w:r>
      <w:r>
        <w:rPr>
          <w:rFonts w:ascii="Times New Roman" w:hAnsi="Times New Roman"/>
          <w:sz w:val="24"/>
        </w:rPr>
        <w:t>Exponeringsklassen ”företag för kollektiva investeringar (fond)”</w:t>
      </w:r>
      <w:bookmarkEnd w:id="245"/>
      <w:bookmarkEnd w:id="246"/>
      <w:bookmarkEnd w:id="247"/>
      <w:bookmarkEnd w:id="248"/>
    </w:p>
    <w:p w:rsidR="00464F34" w:rsidRPr="00392FFD" w:rsidRDefault="00125707" w:rsidP="00C37B29">
      <w:pPr>
        <w:pStyle w:val="InstructionsText2"/>
        <w:numPr>
          <w:ilvl w:val="0"/>
          <w:numId w:val="0"/>
        </w:numPr>
        <w:ind w:left="993"/>
      </w:pPr>
      <w:r>
        <w:t>73.</w:t>
      </w:r>
      <w:r>
        <w:tab/>
        <w:t>Vid utnyttjandet av den möjlighet som beskrivs i artikel 132.5 i CRR ska exp</w:t>
      </w:r>
      <w:r>
        <w:t>o</w:t>
      </w:r>
      <w:r>
        <w:t>neringar i form av aktier eller andelar i fondföretag rapporteras som posterna i b</w:t>
      </w:r>
      <w:r>
        <w:t>a</w:t>
      </w:r>
      <w:r>
        <w:t xml:space="preserve">lansräkningen i enlighet med artikel 111.1 första meningen i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516210640"/>
      <w:bookmarkStart w:id="256" w:name="_Toc473560905"/>
      <w:bookmarkStart w:id="257" w:name="_Toc523820261"/>
      <w:r>
        <w:rPr>
          <w:rFonts w:ascii="Times New Roman" w:hAnsi="Times New Roman"/>
          <w:sz w:val="24"/>
          <w:u w:val="none"/>
        </w:rPr>
        <w:t>3.2.5.</w:t>
      </w:r>
      <w:r w:rsidRPr="00830EB5">
        <w:rPr>
          <w:u w:val="none"/>
        </w:rPr>
        <w:tab/>
      </w:r>
      <w:r>
        <w:rPr>
          <w:rFonts w:ascii="Times New Roman" w:hAnsi="Times New Roman"/>
          <w:sz w:val="24"/>
        </w:rPr>
        <w:t>Instruktioner för specifika positioner</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Kolumn</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464F34" w:rsidRPr="00392FFD" w:rsidRDefault="00464F34" w:rsidP="00FD239F">
            <w:pPr>
              <w:pStyle w:val="InstructionsText"/>
            </w:pPr>
            <w:r>
              <w:t>Exponeringsvärdet enligt artikel 111 i CRR utan hänsyn till värdejusteringar och a</w:t>
            </w:r>
            <w:r>
              <w:t>v</w:t>
            </w:r>
            <w:r>
              <w:t>sättningar, konverteringsfaktorer och effekten av metoder för kreditriskreducering med följande kvalifikationer som härrör från artikel 111.2 i CRR:</w:t>
            </w:r>
          </w:p>
          <w:p w:rsidR="00464F34" w:rsidRPr="00392FFD" w:rsidRDefault="00464F34" w:rsidP="00FD239F">
            <w:pPr>
              <w:pStyle w:val="InstructionsText"/>
            </w:pPr>
            <w:r>
              <w:t>För derivatinstrument, repor, värdepappers- eller råvarulån, transaktioner med lång a</w:t>
            </w:r>
            <w:r>
              <w:t>v</w:t>
            </w:r>
            <w:r>
              <w:t>vecklingscykel och marginallånetransaktioner som omfattas av del tre avdelning II k</w:t>
            </w:r>
            <w:r>
              <w:t>a</w:t>
            </w:r>
            <w:r>
              <w:lastRenderedPageBreak/>
              <w:t>pitel 6 i CRR eller som omfattas av artikel 92.3 f i CRR ska den ursprungliga expon</w:t>
            </w:r>
            <w:r>
              <w:t>e</w:t>
            </w:r>
            <w:r>
              <w:t>ringen motsvara exponeringsvärdet för motpartsrisk beräknat i enlighet med de met</w:t>
            </w:r>
            <w:r>
              <w:t>o</w:t>
            </w:r>
            <w:r>
              <w:t>der som fastställs i del tre avdelning II kapitel 6 i CRR.</w:t>
            </w:r>
          </w:p>
          <w:p w:rsidR="00464F34" w:rsidRPr="00392FFD" w:rsidRDefault="00464F34" w:rsidP="00FD239F">
            <w:pPr>
              <w:pStyle w:val="InstructionsText"/>
            </w:pPr>
            <w:r>
              <w:t xml:space="preserve">Exponeringsvärden för leasingavtal omfattas av artikel 134.7 i CRR. </w:t>
            </w:r>
          </w:p>
          <w:p w:rsidR="00464F34" w:rsidRPr="00392FFD" w:rsidRDefault="00464F34" w:rsidP="00FD239F">
            <w:pPr>
              <w:pStyle w:val="InstructionsText"/>
            </w:pPr>
          </w:p>
          <w:p w:rsidR="00464F34" w:rsidRPr="00392FFD" w:rsidRDefault="00464F34" w:rsidP="00FD239F">
            <w:pPr>
              <w:pStyle w:val="InstructionsText"/>
            </w:pPr>
            <w:r>
              <w:t>Vid sådana avtal om nettning av poster i balansräkningen som avses i artikel 219 i CRR ska exponeringsvärdena rapporteras i förhållande till mottagen kontant säkerhet.</w:t>
            </w:r>
          </w:p>
          <w:p w:rsidR="00464F34" w:rsidRPr="00392FFD" w:rsidRDefault="00464F34" w:rsidP="00FD239F">
            <w:pPr>
              <w:pStyle w:val="InstructionsText"/>
            </w:pPr>
          </w:p>
          <w:p w:rsidR="00464F34" w:rsidRPr="00392FFD" w:rsidRDefault="00464F34" w:rsidP="00FD239F">
            <w:pPr>
              <w:pStyle w:val="InstructionsText"/>
            </w:pPr>
            <w:r>
              <w:t>Vid ramavtal om nettning som täcker repor och/eller värdepappers- eller råvarulån eller andra kapitalmarknadsdrivna transaktioner som omfattas av del tre avdelning II kapitel 6 i CRR ska effekten av förbetalt kreditriskskydd i form av ramavtal om nettning enligt artikel 220.4 i CRR tas med i kolumn 010. Vid ramavtal om nettning som täcker repor vilka omfattas av bestämmelserna i del tre avdelning II kapitel 6 i CRR ska E* berä</w:t>
            </w:r>
            <w:r>
              <w:t>k</w:t>
            </w:r>
            <w:r>
              <w:t>nat i enlighet med artiklarna 220 och 221 i CRR därför rapporteras i kolumn 010 i CR SA-mallen.</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 avseende den ursprungliga exponeringen</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Artiklarna 24 och 111 i CRR.</w:t>
            </w:r>
          </w:p>
          <w:p w:rsidR="00464F34" w:rsidRPr="00392FFD" w:rsidRDefault="00464F34" w:rsidP="00FD239F">
            <w:pPr>
              <w:pStyle w:val="InstructionsText"/>
            </w:pPr>
          </w:p>
          <w:p w:rsidR="00464F34" w:rsidRPr="00392FFD" w:rsidRDefault="00464F34" w:rsidP="00FD239F">
            <w:pPr>
              <w:pStyle w:val="InstructionsText"/>
            </w:pPr>
            <w:r>
              <w:t>Värdejusteringar och avsättningar för kreditförluster förknippade med den redovi</w:t>
            </w:r>
            <w:r>
              <w:t>s</w:t>
            </w:r>
            <w:r>
              <w:t xml:space="preserve">ningsram som tillämpas för den rapporterande enheten.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Exponering netto efter värdejusteringar och avsättningar</w:t>
            </w:r>
          </w:p>
          <w:p w:rsidR="00464F34" w:rsidRPr="00392FFD" w:rsidRDefault="00464F34" w:rsidP="00FD239F">
            <w:pPr>
              <w:pStyle w:val="InstructionsText"/>
            </w:pPr>
            <w:r>
              <w:t>Summan av kolumnerna 010 och 030.</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w:t>
            </w:r>
            <w:r>
              <w:rPr>
                <w:rStyle w:val="InstructionsTabelleberschrift"/>
                <w:rFonts w:ascii="Times New Roman" w:hAnsi="Times New Roman"/>
                <w:sz w:val="24"/>
              </w:rPr>
              <w:t>F</w:t>
            </w:r>
            <w:r>
              <w:rPr>
                <w:rStyle w:val="InstructionsTabelleberschrift"/>
                <w:rFonts w:ascii="Times New Roman" w:hAnsi="Times New Roman"/>
                <w:sz w:val="24"/>
              </w:rPr>
              <w:t>FEKTER PÅ ÅTAGANDET</w:t>
            </w:r>
          </w:p>
          <w:p w:rsidR="00464F34" w:rsidRPr="00392FFD" w:rsidRDefault="00464F34" w:rsidP="00FD239F">
            <w:pPr>
              <w:pStyle w:val="InstructionsText"/>
            </w:pPr>
            <w:r>
              <w:t>Metoder för kreditriskreducering enligt definitionen i artikel 4.1.57 i CRR vilka min</w:t>
            </w:r>
            <w:r>
              <w:t>s</w:t>
            </w:r>
            <w:r>
              <w:t>kar kreditrisken för en exponering eller exponeringar genom substitution av expon</w:t>
            </w:r>
            <w:r>
              <w:t>e</w:t>
            </w:r>
            <w:r>
              <w:t>ringarna i enlighet med vad som anges nedan under substitution av exponering på grund av metoder för kreditriskreducering.</w:t>
            </w:r>
          </w:p>
          <w:p w:rsidR="00464F34" w:rsidRPr="00392FFD" w:rsidRDefault="00464F34" w:rsidP="00FD239F">
            <w:pPr>
              <w:pStyle w:val="InstructionsText"/>
            </w:pPr>
            <w:r>
              <w:t>Om en säkerhet påverkar exponeringsvärdet (t.ex. om den används för kreditriskred</w:t>
            </w:r>
            <w:r>
              <w:t>u</w:t>
            </w:r>
            <w:r>
              <w:t>cering med substitutionseffekter på exponeringen) ska den begränsas till exponering</w:t>
            </w:r>
            <w:r>
              <w:t>s</w:t>
            </w:r>
            <w:r>
              <w:t>värdet.</w:t>
            </w:r>
          </w:p>
          <w:p w:rsidR="00464F34" w:rsidRPr="00392FFD" w:rsidRDefault="00464F34" w:rsidP="00FD239F">
            <w:pPr>
              <w:pStyle w:val="InstructionsText"/>
            </w:pPr>
            <w:r>
              <w:t>Följande poster ska rapporteras här:</w:t>
            </w:r>
          </w:p>
          <w:p w:rsidR="00464F34" w:rsidRPr="00392FFD" w:rsidRDefault="00125707" w:rsidP="00FD239F">
            <w:pPr>
              <w:pStyle w:val="InstructionsText"/>
            </w:pPr>
            <w:r>
              <w:rPr>
                <w:rFonts w:ascii="Arial" w:hAnsi="Arial"/>
              </w:rPr>
              <w:t>-</w:t>
            </w:r>
            <w:r>
              <w:tab/>
              <w:t>Säkerheter som inkluderas enligt den förenklade metoden för finansiella säke</w:t>
            </w:r>
            <w:r>
              <w:t>r</w:t>
            </w:r>
            <w:r>
              <w:t>heter.</w:t>
            </w:r>
          </w:p>
          <w:p w:rsidR="00464F34" w:rsidRPr="00392FFD" w:rsidRDefault="00125707" w:rsidP="00FD239F">
            <w:pPr>
              <w:pStyle w:val="InstructionsText"/>
            </w:pPr>
            <w:r>
              <w:rPr>
                <w:rFonts w:ascii="Arial" w:hAnsi="Arial"/>
              </w:rPr>
              <w:t>-</w:t>
            </w:r>
            <w:r>
              <w:tab/>
              <w:t>Godtagbart obetalt kreditriskskydd.</w:t>
            </w:r>
          </w:p>
          <w:p w:rsidR="00464F34" w:rsidRPr="00392FFD" w:rsidRDefault="00464F34" w:rsidP="00FD239F">
            <w:pPr>
              <w:pStyle w:val="InstructionsText"/>
            </w:pPr>
            <w:r>
              <w:t xml:space="preserve">Se även instruktionerna till punkt 4.1.1. </w:t>
            </w:r>
          </w:p>
        </w:tc>
      </w:tr>
      <w:tr w:rsidR="00464F34" w:rsidRPr="00392FFD" w:rsidTr="00672D2A">
        <w:tc>
          <w:tcPr>
            <w:tcW w:w="1188" w:type="dxa"/>
          </w:tcPr>
          <w:p w:rsidR="00464F34" w:rsidRPr="00392FFD" w:rsidRDefault="00464F34" w:rsidP="00FD239F">
            <w:pPr>
              <w:pStyle w:val="InstructionsText"/>
            </w:pPr>
            <w:r>
              <w:t>050 - 060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Obetalt kreditriskskydd: justerade värden (Ga)</w:t>
            </w:r>
          </w:p>
          <w:p w:rsidR="00464F34" w:rsidRPr="00392FFD" w:rsidRDefault="00464F34" w:rsidP="00FD239F">
            <w:pPr>
              <w:pStyle w:val="InstructionsText"/>
            </w:pPr>
            <w:r>
              <w:t>Artikel 235 i CRR.</w:t>
            </w:r>
          </w:p>
          <w:p w:rsidR="00464F34" w:rsidRPr="00392FFD" w:rsidRDefault="00464F34" w:rsidP="00FD239F">
            <w:pPr>
              <w:pStyle w:val="InstructionsText"/>
            </w:pPr>
            <w:r>
              <w:t>I artikel 239.3 i CRR definieras det justerade värdet Ga av ett obetalt kreditriskskydd.</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rsidR="00464F34" w:rsidRPr="00392FFD" w:rsidRDefault="00464F34" w:rsidP="00FD239F">
            <w:pPr>
              <w:pStyle w:val="InstructionsText"/>
            </w:pPr>
            <w:r>
              <w:lastRenderedPageBreak/>
              <w:t>Artikel 203 i CRR.</w:t>
            </w:r>
          </w:p>
          <w:p w:rsidR="00464F34" w:rsidRPr="00392FFD" w:rsidRDefault="00464F34" w:rsidP="00FD239F">
            <w:pPr>
              <w:pStyle w:val="InstructionsText"/>
              <w:rPr>
                <w:b/>
                <w:u w:val="single"/>
              </w:rPr>
            </w:pPr>
            <w:r>
              <w:t>Obetalt kreditriskskydd enligt definitionen i artikel 4.1.59 i CRR som inte är kreditd</w:t>
            </w:r>
            <w:r>
              <w:t>e</w:t>
            </w:r>
            <w:r>
              <w:t>rivat.</w:t>
            </w:r>
          </w:p>
        </w:tc>
      </w:tr>
      <w:tr w:rsidR="00464F34" w:rsidRPr="00392FFD" w:rsidTr="00672D2A">
        <w:tc>
          <w:tcPr>
            <w:tcW w:w="1188" w:type="dxa"/>
          </w:tcPr>
          <w:p w:rsidR="00464F34" w:rsidRPr="00392FFD" w:rsidRDefault="00464F34" w:rsidP="00FD239F">
            <w:pPr>
              <w:pStyle w:val="InstructionsText"/>
            </w:pPr>
            <w:r>
              <w:lastRenderedPageBreak/>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w:t>
            </w:r>
          </w:p>
          <w:p w:rsidR="00464F34" w:rsidRPr="00392FFD" w:rsidRDefault="00464F34" w:rsidP="00FD239F">
            <w:pPr>
              <w:pStyle w:val="InstructionsText"/>
              <w:rPr>
                <w:b/>
                <w:u w:val="single"/>
              </w:rPr>
            </w:pPr>
            <w:r>
              <w:t>Artikel 204 i CRR.</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Förbetalt kreditriskskydd</w:t>
            </w:r>
          </w:p>
          <w:p w:rsidR="00464F34" w:rsidRPr="00392FFD" w:rsidRDefault="009C44E7" w:rsidP="00FD239F">
            <w:pPr>
              <w:pStyle w:val="InstructionsText"/>
            </w:pPr>
            <w:r>
              <w:t xml:space="preserve">Dessa kolumner avser förbetalt kreditriskskydd i enlighet med artikel 4.1.58 i CRR och artiklarna 196, 197 och 200 i CRR. Beloppen ska inte inkludera ramavtal om nettning (som redan ingår i ursprunglig exponering före tillämpning av konverteringsfaktorer). </w:t>
            </w:r>
          </w:p>
          <w:p w:rsidR="00464F34" w:rsidRPr="00392FFD" w:rsidRDefault="00464F34" w:rsidP="00FD239F">
            <w:pPr>
              <w:pStyle w:val="InstructionsText"/>
            </w:pPr>
            <w:r>
              <w:t>Kreditlänkade obligationer och positioner som är föremål för nettning inom balansrä</w:t>
            </w:r>
            <w:r>
              <w:t>k</w:t>
            </w:r>
            <w:r>
              <w:t>ningen och som följer av godtagbara avtal om nettning inom balansräkningen i enlighet med artiklarna 218 och 219 i CRR ska behandlas som kontant säkerhet.</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Finansiell säkerhet: förenklad metod</w:t>
            </w:r>
          </w:p>
          <w:p w:rsidR="00464F34" w:rsidRPr="00392FFD" w:rsidRDefault="00464F34" w:rsidP="00FD239F">
            <w:pPr>
              <w:pStyle w:val="InstructionsText"/>
            </w:pPr>
            <w:r>
              <w:t>Artikel 222.1–222.2 i CRR.</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 förbetalt kreditriskskydd</w:t>
            </w:r>
          </w:p>
          <w:p w:rsidR="00464F34" w:rsidRPr="00392FFD" w:rsidRDefault="00464F34" w:rsidP="00FD239F">
            <w:pPr>
              <w:pStyle w:val="InstructionsText"/>
            </w:pPr>
            <w:r>
              <w:t>Artikel 232 i CRR.</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AV ÅTAGANDET TILL FÖLJD AV KREDITRISK-REDUCERING</w:t>
            </w:r>
          </w:p>
          <w:p w:rsidR="00464F34" w:rsidRPr="00392FFD" w:rsidRDefault="00464F34" w:rsidP="00FD239F">
            <w:pPr>
              <w:pStyle w:val="InstructionsText"/>
            </w:pPr>
            <w:r>
              <w:t>Artiklarna 222.3, 235.1–235.2 och 236 i CRR.</w:t>
            </w:r>
          </w:p>
          <w:p w:rsidR="00464F34" w:rsidRPr="00392FFD" w:rsidRDefault="00464F34" w:rsidP="00FD239F">
            <w:pPr>
              <w:pStyle w:val="InstructionsText"/>
            </w:pPr>
            <w:r>
              <w:t>Utflöden som motsvarar den täckta delen av den ursprungliga exponeringen före ti</w:t>
            </w:r>
            <w:r>
              <w:t>l</w:t>
            </w:r>
            <w:r>
              <w:t>lämpning av konverteringsfaktorer, vilka dras av från gäldenärens exponeringsklass och sedan hänförs till exponeringsklassen för utfärdaren av kreditriskskydd. Detta b</w:t>
            </w:r>
            <w:r>
              <w:t>e</w:t>
            </w:r>
            <w:r>
              <w:t>lopp räknas som ett inflöde till exponeringsklassen för utfärdaren av kreditriskskydd.</w:t>
            </w:r>
          </w:p>
          <w:p w:rsidR="00464F34" w:rsidRPr="00392FFD" w:rsidRDefault="00464F34" w:rsidP="00FD239F">
            <w:pPr>
              <w:pStyle w:val="InstructionsText"/>
              <w:rPr>
                <w:b/>
              </w:rPr>
            </w:pPr>
            <w:r>
              <w:t>Inflöden och utflöden inom samma exponeringsklass ska också rapporteras.</w:t>
            </w:r>
          </w:p>
          <w:p w:rsidR="00464F34" w:rsidRPr="00392FFD" w:rsidRDefault="00464F34" w:rsidP="00FD239F">
            <w:pPr>
              <w:pStyle w:val="InstructionsText"/>
            </w:pPr>
            <w:r>
              <w:t>Exponeringar som härrör från eventuella inflöden och utflöden från och till andra ma</w:t>
            </w:r>
            <w:r>
              <w:t>l</w:t>
            </w:r>
            <w:r>
              <w:t>lar ska beaktas.</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ÅTAGANDE NETTO EFTER KREDITRISKREDUCERING MED SUBST</w:t>
            </w:r>
            <w:r>
              <w:rPr>
                <w:rStyle w:val="InstructionsTabelleberschrift"/>
                <w:rFonts w:ascii="Times New Roman" w:hAnsi="Times New Roman"/>
                <w:sz w:val="24"/>
              </w:rPr>
              <w:t>I</w:t>
            </w:r>
            <w:r>
              <w:rPr>
                <w:rStyle w:val="InstructionsTabelleberschrift"/>
                <w:rFonts w:ascii="Times New Roman" w:hAnsi="Times New Roman"/>
                <w:sz w:val="24"/>
              </w:rPr>
              <w:t>TUTIONSEFFEKTER FÖRE KONVERTERINGSFAKTORER</w:t>
            </w:r>
          </w:p>
          <w:p w:rsidR="00464F34" w:rsidRPr="00392FFD" w:rsidRDefault="00464F34" w:rsidP="00FD239F">
            <w:pPr>
              <w:pStyle w:val="InstructionsText"/>
            </w:pPr>
            <w:r>
              <w:t>Exponeringsbeloppet efter värdejusteringar efter beaktande av utflöden och inflöden på grund av METODER FÖR KREDITRISKREDUCERING MED SUBSTITUTION</w:t>
            </w:r>
            <w:r>
              <w:t>S</w:t>
            </w:r>
            <w:r>
              <w:t>EFFEKTER PÅ EXPONERINGEN</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METODER FÖR KREDITRISKREDUCERING SOM PÅVERKAR EXPON</w:t>
            </w:r>
            <w:r>
              <w:rPr>
                <w:rStyle w:val="InstructionsTabelleberschrift"/>
                <w:rFonts w:ascii="Times New Roman" w:hAnsi="Times New Roman"/>
                <w:sz w:val="24"/>
              </w:rPr>
              <w:t>E</w:t>
            </w:r>
            <w:r>
              <w:rPr>
                <w:rStyle w:val="InstructionsTabelleberschrift"/>
                <w:rFonts w:ascii="Times New Roman" w:hAnsi="Times New Roman"/>
                <w:sz w:val="24"/>
              </w:rPr>
              <w:t>RINGSBELOPPET: FÖRBETALT KREDITRISKSKYDD, FULLSTÄNDIG METOD FÖR FINANSIELLA SÄKERHETER</w:t>
            </w:r>
          </w:p>
          <w:p w:rsidR="00464F34" w:rsidRPr="00392FFD" w:rsidRDefault="00464F34" w:rsidP="00FD239F">
            <w:pPr>
              <w:pStyle w:val="InstructionsText"/>
            </w:pPr>
            <w:r>
              <w:t>Artiklarna 223–228 i CRR. Även kreditlänkade obligationer ingår (artikel 218 i CRR).</w:t>
            </w:r>
          </w:p>
          <w:p w:rsidR="00464F34" w:rsidRPr="00392FFD" w:rsidRDefault="00464F34" w:rsidP="00FD239F">
            <w:pPr>
              <w:pStyle w:val="InstructionsText"/>
            </w:pPr>
            <w:r>
              <w:t>Kreditlänkade obligationer och positioner som är föremål för nettning inom balansrä</w:t>
            </w:r>
            <w:r>
              <w:t>k</w:t>
            </w:r>
            <w:r>
              <w:t>ningen och som följer av godtagbara avtal om nettning inom balansräkningen i enlighet med artiklarna 218 och 219 i CRR behandlas som kontant säkerhet.</w:t>
            </w:r>
          </w:p>
          <w:p w:rsidR="00464F34" w:rsidRPr="00392FFD" w:rsidRDefault="00464F34" w:rsidP="00FD239F">
            <w:pPr>
              <w:pStyle w:val="InstructionsText"/>
            </w:pPr>
            <w:r>
              <w:t>Vid tillämpning av den fullständiga metoden för finansiella säkerheter på en expon</w:t>
            </w:r>
            <w:r>
              <w:t>e</w:t>
            </w:r>
            <w:r>
              <w:t xml:space="preserve">ring som är säkrad genom godtagbara finansiella säkerheter, beräknas effekten av de </w:t>
            </w:r>
            <w:r>
              <w:lastRenderedPageBreak/>
              <w:t xml:space="preserve">ställda säkerheterna i enlighet med artiklarna 223–228 i CRR. </w:t>
            </w:r>
          </w:p>
        </w:tc>
      </w:tr>
      <w:tr w:rsidR="00464F34" w:rsidRPr="00392FFD" w:rsidTr="00672D2A">
        <w:tc>
          <w:tcPr>
            <w:tcW w:w="1188" w:type="dxa"/>
          </w:tcPr>
          <w:p w:rsidR="00464F34" w:rsidRPr="00392FFD" w:rsidRDefault="00464F34" w:rsidP="00FD239F">
            <w:pPr>
              <w:pStyle w:val="InstructionsText"/>
            </w:pPr>
            <w:r>
              <w:lastRenderedPageBreak/>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av exponeringen</w:t>
            </w:r>
          </w:p>
          <w:p w:rsidR="00464F34" w:rsidRPr="00392FFD" w:rsidRDefault="00464F34" w:rsidP="00FD239F">
            <w:pPr>
              <w:pStyle w:val="InstructionsText"/>
            </w:pPr>
            <w:r>
              <w:t xml:space="preserve">Artikel 223.2–223.3 i CRR. </w:t>
            </w:r>
          </w:p>
          <w:p w:rsidR="00464F34" w:rsidRPr="00392FFD" w:rsidRDefault="00464F34" w:rsidP="00FD239F">
            <w:pPr>
              <w:pStyle w:val="InstructionsText"/>
            </w:pPr>
            <w:r>
              <w:t>Det belopp som ska rapporteras erhålls genom volatilitetsjusteringens inverkan på e</w:t>
            </w:r>
            <w:r>
              <w:t>x</w:t>
            </w:r>
            <w:r>
              <w:t>poneringen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 säkerhet: justerat värde (Cvam)</w:t>
            </w:r>
          </w:p>
          <w:p w:rsidR="00464F34" w:rsidRPr="00392FFD" w:rsidRDefault="00464F34" w:rsidP="00FD239F">
            <w:pPr>
              <w:pStyle w:val="InstructionsText"/>
            </w:pPr>
            <w:r>
              <w:t>Artikel 239.2 i CRR.</w:t>
            </w:r>
          </w:p>
          <w:p w:rsidR="00464F34" w:rsidRPr="00392FFD" w:rsidRDefault="00464F34" w:rsidP="00FD239F">
            <w:pPr>
              <w:pStyle w:val="InstructionsText"/>
            </w:pPr>
            <w:r>
              <w:t xml:space="preserve">För transaktioner inom handelslagret som omfattar finansiella säkerheter och råvaror vilka är godtagbara som exponeringar i handelslagret i enlighet med artikel 299.2 c–f i CRR. </w:t>
            </w:r>
          </w:p>
          <w:p w:rsidR="00464F34" w:rsidRPr="00392FFD" w:rsidRDefault="00464F34" w:rsidP="00FD239F">
            <w:pPr>
              <w:pStyle w:val="InstructionsText"/>
            </w:pPr>
            <w:r>
              <w:t>Det värde som ska rapporteras beräknas enligt formeln Cvam = C*(1-Hc-Hfx)*(t-t*)/(T-t*). C, Hc, Hfx, t, T och t* definieras i del tre avdelning II kapitel 4 avsnitten 4 och 5 i CRR.</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Varav: Volatilitets- och löptidsjusteringar</w:t>
            </w:r>
          </w:p>
          <w:p w:rsidR="00464F34" w:rsidRPr="00392FFD" w:rsidRDefault="00464F34" w:rsidP="00FD239F">
            <w:pPr>
              <w:pStyle w:val="InstructionsText"/>
            </w:pPr>
            <w:r>
              <w:t xml:space="preserve">Artiklarna 223.1 och 239.2 i CRR. </w:t>
            </w:r>
          </w:p>
          <w:p w:rsidR="00464F34" w:rsidRPr="00392FFD" w:rsidRDefault="00464F34" w:rsidP="00FD239F">
            <w:pPr>
              <w:pStyle w:val="InstructionsText"/>
            </w:pPr>
            <w:r>
              <w:t>Det belopp som ska rapporteras är den sammantagna effekten av volatilitets- och lö</w:t>
            </w:r>
            <w:r>
              <w:t>p</w:t>
            </w:r>
            <w:r>
              <w:t>tidsjusteringar (Cvam-C) = C*[(1-Hc-fx)*(t-t*)/(T-t*)-1], där effekten av volatilitetsj</w:t>
            </w:r>
            <w:r>
              <w:t>u</w:t>
            </w:r>
            <w:r>
              <w:t>steringarna är (Cva-C) = C*[(1-Hc-Hfx)-1] och effekten av löptidsjusteringar är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Fullständigt justerat exponeringsvärde (E*)</w:t>
            </w:r>
          </w:p>
          <w:p w:rsidR="00464F34" w:rsidRPr="00392FFD" w:rsidRDefault="00464F34" w:rsidP="00FD239F">
            <w:pPr>
              <w:pStyle w:val="InstructionsText"/>
              <w:rPr>
                <w:b/>
                <w:u w:val="single"/>
              </w:rPr>
            </w:pPr>
            <w:r>
              <w:t>Artiklarna 220.4, 223.2–223.5 och 228.1 i CRR.</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den fullständigt justerade exponeringen i poster utanför balan</w:t>
            </w:r>
            <w:r>
              <w:rPr>
                <w:rStyle w:val="InstructionsTabelleberschrift"/>
                <w:rFonts w:ascii="Times New Roman" w:hAnsi="Times New Roman"/>
                <w:sz w:val="24"/>
              </w:rPr>
              <w:t>s</w:t>
            </w:r>
            <w:r>
              <w:rPr>
                <w:rStyle w:val="InstructionsTabelleberschrift"/>
                <w:rFonts w:ascii="Times New Roman" w:hAnsi="Times New Roman"/>
                <w:sz w:val="24"/>
              </w:rPr>
              <w:t>räkningen per konverteringsfaktor</w:t>
            </w:r>
          </w:p>
          <w:p w:rsidR="00464F34" w:rsidRPr="00392FFD" w:rsidRDefault="00464F34" w:rsidP="00FD239F">
            <w:pPr>
              <w:pStyle w:val="InstructionsText"/>
            </w:pPr>
            <w:r>
              <w:t>Artiklarna 111.1 och 4.1.56 i CRR. Se även artiklarna 222.3 och 228.1 i CRR.</w:t>
            </w:r>
          </w:p>
          <w:p w:rsidR="000A4C10" w:rsidRPr="00392FFD" w:rsidRDefault="000A4C10" w:rsidP="00FD239F">
            <w:pPr>
              <w:pStyle w:val="InstructionsText"/>
              <w:rPr>
                <w:b/>
                <w:u w:val="single"/>
              </w:rPr>
            </w:pPr>
            <w:r>
              <w:t>De siffror som rapporteras ska vara de fullständigt justerade exponeringsvärdena före tillämpning av konverteringsfaktorn.</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Exponeringsvärde</w:t>
            </w:r>
          </w:p>
          <w:p w:rsidR="00464F34" w:rsidRPr="00392FFD" w:rsidRDefault="00531FC9" w:rsidP="00FD239F">
            <w:pPr>
              <w:pStyle w:val="InstructionsText"/>
            </w:pPr>
            <w:r>
              <w:t>Artikel 111 i CRR och del tre avdelning II kapitel 4 avsnitt 4 i CRR.</w:t>
            </w:r>
          </w:p>
          <w:p w:rsidR="00464F34" w:rsidRPr="00392FFD" w:rsidRDefault="00464F34" w:rsidP="00FD239F">
            <w:pPr>
              <w:pStyle w:val="InstructionsText"/>
            </w:pPr>
            <w:r>
              <w:t>Exponeringsvärdet efter beaktande av värdejusteringar, all kreditriskreducering och alla kreditkonverteringsfaktorer som ska ges riskvikter i enlighet med artikel 113 och del tre avdelning II kapitel 2 avsnitt 2 i CRR.</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w:t>
            </w:r>
          </w:p>
          <w:p w:rsidR="00464F34" w:rsidRPr="00392FFD" w:rsidRDefault="00464F34" w:rsidP="00FD239F">
            <w:pPr>
              <w:pStyle w:val="InstructionsText"/>
              <w:rPr>
                <w:b/>
                <w:u w:val="single"/>
              </w:rPr>
            </w:pPr>
            <w:r>
              <w:t>För derivatinstrument, repor, värdepappers- eller råvarulån, transaktioner med lång a</w:t>
            </w:r>
            <w:r>
              <w:t>v</w:t>
            </w:r>
            <w:r>
              <w:t>vecklingscykel och marginallånetransaktioner som omfattas av del tre avdelning II k</w:t>
            </w:r>
            <w:r>
              <w:t>a</w:t>
            </w:r>
            <w:r>
              <w:t>pitel 6 i CRR ska exponeringsvärdet för motpartsrisken beräknas enligt de metoder som fastställs i del tre avdelning II kapitel 6 avsnitten 2, 3, 4 och 5 i CRR.</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före tillämpning av stödfaktorn för små och mede</w:t>
            </w:r>
            <w:r>
              <w:rPr>
                <w:rStyle w:val="InstructionsTabelleberschrift"/>
                <w:rFonts w:ascii="Times New Roman" w:hAnsi="Times New Roman"/>
                <w:sz w:val="24"/>
              </w:rPr>
              <w:t>l</w:t>
            </w:r>
            <w:r>
              <w:rPr>
                <w:rStyle w:val="InstructionsTabelleberschrift"/>
                <w:rFonts w:ascii="Times New Roman" w:hAnsi="Times New Roman"/>
                <w:sz w:val="24"/>
              </w:rPr>
              <w:t>stora företag</w:t>
            </w:r>
          </w:p>
          <w:p w:rsidR="00464F34" w:rsidRPr="00392FFD" w:rsidRDefault="00464F34" w:rsidP="00FD239F">
            <w:pPr>
              <w:pStyle w:val="InstructionsText"/>
              <w:rPr>
                <w:b/>
                <w:u w:val="single"/>
              </w:rPr>
            </w:pPr>
            <w:r>
              <w:t>Artikel 113.1–113.5 i CRR utan hänsyn till stödfaktorn för små och medelstora företag i enlighet med artikel 501 i CRR.</w:t>
            </w:r>
          </w:p>
        </w:tc>
      </w:tr>
      <w:tr w:rsidR="00464F34" w:rsidRPr="00392FFD" w:rsidTr="00672D2A">
        <w:tc>
          <w:tcPr>
            <w:tcW w:w="1188" w:type="dxa"/>
          </w:tcPr>
          <w:p w:rsidR="00464F34" w:rsidRPr="00392FFD" w:rsidRDefault="00464F34" w:rsidP="00FD239F">
            <w:pPr>
              <w:pStyle w:val="InstructionsText"/>
            </w:pPr>
            <w:r>
              <w:lastRenderedPageBreak/>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efter stödfaktorn för små och medelstora företag</w:t>
            </w:r>
          </w:p>
          <w:p w:rsidR="00464F34" w:rsidRPr="00392FFD" w:rsidRDefault="00464F34" w:rsidP="00FD239F">
            <w:pPr>
              <w:pStyle w:val="InstructionsText"/>
              <w:rPr>
                <w:b/>
                <w:u w:val="single"/>
              </w:rPr>
            </w:pPr>
            <w:r>
              <w:t>Artikel 113.1–113.5 i CRR med beaktande av stödfaktorn för små och medelstora för</w:t>
            </w:r>
            <w:r>
              <w:t>e</w:t>
            </w:r>
            <w:r>
              <w:t>tag i enlighet med artikel 501 i CRR.</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av ett utsett externt kreditvärderingsinstitut</w:t>
            </w:r>
          </w:p>
          <w:p w:rsidR="003812AC" w:rsidRPr="00392FFD" w:rsidRDefault="003812AC" w:rsidP="00FD239F">
            <w:pPr>
              <w:pStyle w:val="InstructionsText"/>
            </w:pPr>
            <w:r>
              <w:t>Artikel 112 a–d, f, g, l, n, o och q i CRR.</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som härrör från staten</w:t>
            </w:r>
          </w:p>
          <w:p w:rsidR="003812AC" w:rsidRPr="00392FFD" w:rsidRDefault="003812AC" w:rsidP="00FD239F">
            <w:pPr>
              <w:pStyle w:val="InstructionsText"/>
            </w:pPr>
            <w:r>
              <w:t>Artikel 112 b–d, f, g, l och o i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Rad</w:t>
            </w:r>
          </w:p>
        </w:tc>
        <w:tc>
          <w:tcPr>
            <w:tcW w:w="8701" w:type="dxa"/>
            <w:shd w:val="clear" w:color="auto" w:fill="CCCCCC"/>
          </w:tcPr>
          <w:p w:rsidR="00464F34" w:rsidRPr="00392FFD" w:rsidRDefault="00464F34" w:rsidP="00FD239F">
            <w:pPr>
              <w:pStyle w:val="InstructionsText"/>
            </w:pPr>
            <w:r>
              <w:t>Instruktioner</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Summa exponeringar</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 exponeringar</w:t>
            </w:r>
          </w:p>
          <w:p w:rsidR="00610B56" w:rsidRPr="00392FFD" w:rsidRDefault="00610B56" w:rsidP="00FD239F">
            <w:pPr>
              <w:pStyle w:val="InstructionsText"/>
            </w:pPr>
            <w:r>
              <w:t>Artikel 127 i CRR.</w:t>
            </w:r>
          </w:p>
          <w:p w:rsidR="00610B56" w:rsidRPr="00392FFD" w:rsidRDefault="00610B56" w:rsidP="00FD239F">
            <w:pPr>
              <w:pStyle w:val="InstructionsText"/>
            </w:pPr>
            <w:r>
              <w:t>Denna rad ska endast rapporteras för exponeringsklasserna ”Poster förknippade med särskilt hög risk” och ”Aktieexponeringar”.</w:t>
            </w:r>
          </w:p>
          <w:p w:rsidR="00761891" w:rsidRPr="00392FFD" w:rsidRDefault="00761891" w:rsidP="00A04CFA">
            <w:pPr>
              <w:pStyle w:val="InstructionsText"/>
            </w:pPr>
            <w:r>
              <w:t>Om en exponering antingen förtecknas i artikel 128.2 i CRR eller uppfyller de kriterier som anges i artiklarna 128.3 eller 133 i CRR ska den hänföras till exponeringsklassen ”Poster förknippade med särskilt hög risk” eller ”Aktieexponeringar”. Följaktligen ska ingen annan allokering göras även om exponeringen har fallerat i enlighet med artikel 127 i CRR.</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64F34" w:rsidRPr="00392FFD" w:rsidRDefault="00464F34" w:rsidP="00FD239F">
            <w:pPr>
              <w:pStyle w:val="InstructionsText"/>
            </w:pPr>
            <w:r>
              <w:t xml:space="preserve">Alla exponeringar mot små och medelstora företag ska rapporteras här.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små och medelstora företag</w:t>
            </w:r>
          </w:p>
          <w:p w:rsidR="00464F34" w:rsidRPr="00392FFD" w:rsidRDefault="00464F34" w:rsidP="00FD239F">
            <w:pPr>
              <w:pStyle w:val="InstructionsText"/>
            </w:pPr>
            <w:r>
              <w:t xml:space="preserve">Instituten ska här endast rapportera exponeringar som uppfyller villkoren i artikel 501 i CRR.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Säkrade genom panträtt i fast egendom – bostadsfastigheter</w:t>
            </w:r>
          </w:p>
          <w:p w:rsidR="00464F34" w:rsidRPr="00392FFD" w:rsidRDefault="00464F34" w:rsidP="00FD239F">
            <w:pPr>
              <w:pStyle w:val="InstructionsText"/>
            </w:pPr>
            <w:r>
              <w:t>Artikel 125 i CRR.</w:t>
            </w:r>
          </w:p>
          <w:p w:rsidR="00464F34" w:rsidRPr="00392FFD" w:rsidRDefault="00464F34" w:rsidP="00FD239F">
            <w:pPr>
              <w:pStyle w:val="InstructionsText"/>
              <w:rPr>
                <w:b/>
                <w:u w:val="single"/>
              </w:rPr>
            </w:pPr>
            <w:r>
              <w:t>Rapporteringen avser endast exponeringsklassen ”säkrade genom panträtt i fastigheter”.</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permanent partiell användning av schablonmetoden</w:t>
            </w:r>
          </w:p>
          <w:p w:rsidR="00464F34" w:rsidRPr="00392FFD" w:rsidRDefault="00464F34" w:rsidP="00255BA9">
            <w:pPr>
              <w:pStyle w:val="InstructionsText"/>
            </w:pPr>
            <w:r>
              <w:t>Exponeringar som behandlas i enlighet med artikel 150.1 i CRR.</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schablonmetoden med förhandstillstånd från til</w:t>
            </w:r>
            <w:r>
              <w:rPr>
                <w:rStyle w:val="InstructionsTabelleberschrift"/>
                <w:rFonts w:ascii="Times New Roman" w:hAnsi="Times New Roman"/>
                <w:sz w:val="24"/>
              </w:rPr>
              <w:t>l</w:t>
            </w:r>
            <w:r>
              <w:rPr>
                <w:rStyle w:val="InstructionsTabelleberschrift"/>
                <w:rFonts w:ascii="Times New Roman" w:hAnsi="Times New Roman"/>
                <w:sz w:val="24"/>
              </w:rPr>
              <w:t>synsmyndigheten för att stegvis införa en internmetod</w:t>
            </w:r>
          </w:p>
          <w:p w:rsidR="00464F34" w:rsidRPr="00392FFD" w:rsidRDefault="00464F34" w:rsidP="00255BA9">
            <w:pPr>
              <w:pStyle w:val="InstructionsText"/>
            </w:pPr>
            <w:r>
              <w:t>Exponeringar som behandlas i enlighet med artikel 148.1 i CRR.</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EXPONERIN</w:t>
            </w:r>
            <w:r>
              <w:rPr>
                <w:rStyle w:val="InstructionsTabelleberschrift"/>
                <w:rFonts w:ascii="Times New Roman" w:hAnsi="Times New Roman"/>
                <w:sz w:val="24"/>
              </w:rPr>
              <w:t>G</w:t>
            </w:r>
            <w:r>
              <w:rPr>
                <w:rStyle w:val="InstructionsTabelleberschrift"/>
                <w:rFonts w:ascii="Times New Roman" w:hAnsi="Times New Roman"/>
                <w:sz w:val="24"/>
              </w:rPr>
              <w:t>TYP</w:t>
            </w:r>
          </w:p>
          <w:p w:rsidR="00464F34" w:rsidRPr="00392FFD" w:rsidRDefault="00464F34" w:rsidP="00FD239F">
            <w:pPr>
              <w:pStyle w:val="InstructionsText"/>
            </w:pPr>
            <w:r>
              <w:t xml:space="preserve">Det rapporterande institutets positioner utanför handelslagret ska delas upp enligt nedan angivna kriterier i exponeringar inom balansräkningen som är förenade med kreditrisk, exponeringar utanför balansräkningen som är förenade med kreditrisk och exponeringar som är förenade med motpartsrisk. </w:t>
            </w:r>
          </w:p>
          <w:p w:rsidR="00464F34" w:rsidRPr="00392FFD" w:rsidRDefault="00464F34" w:rsidP="00FD239F">
            <w:pPr>
              <w:pStyle w:val="InstructionsText"/>
            </w:pPr>
            <w:r>
              <w:lastRenderedPageBreak/>
              <w:t>Det rapporterande institutets motpartsrisker för positioner i handelslagret i enlighet med artiklarna 92.3 f och 299.2 i CRR hör till de exponeringar som är förenade med mo</w:t>
            </w:r>
            <w:r>
              <w:t>t</w:t>
            </w:r>
            <w:r>
              <w:t>partsrisk. Institut som tillämpar artikel 89.1 i CRR ska även dela upp sina positioner i handelslagret enligt nedan angivna kriterier i exponeringar inom balansräkningen som är förenade med kreditrisk, exponeringar utanför balansräkningen som är förenade med kreditrisk och exponeringar som är förenade med motpartsrisk.</w:t>
            </w:r>
          </w:p>
        </w:tc>
      </w:tr>
      <w:tr w:rsidR="00464F34" w:rsidRPr="00392FFD" w:rsidTr="00672D2A">
        <w:tc>
          <w:tcPr>
            <w:tcW w:w="1188" w:type="dxa"/>
          </w:tcPr>
          <w:p w:rsidR="00464F34" w:rsidRPr="00392FFD" w:rsidRDefault="00462BAB" w:rsidP="00FD239F">
            <w:pPr>
              <w:pStyle w:val="InstructionsText"/>
            </w:pPr>
            <w:r>
              <w:lastRenderedPageBreak/>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i balansräkningen som omfattas av kreditrisk </w:t>
            </w:r>
          </w:p>
          <w:p w:rsidR="00464F34" w:rsidRPr="00392FFD" w:rsidRDefault="00464F34" w:rsidP="00FD239F">
            <w:pPr>
              <w:pStyle w:val="InstructionsText"/>
            </w:pPr>
            <w:r>
              <w:t>De tillgångar som avses i artikel 24 i CRR och som inte ingår i någon annan kategori.</w:t>
            </w:r>
          </w:p>
          <w:p w:rsidR="00464F34" w:rsidRPr="00392FFD" w:rsidRDefault="00464F34" w:rsidP="00FD239F">
            <w:pPr>
              <w:pStyle w:val="InstructionsText"/>
            </w:pPr>
            <w:r>
              <w:t>Exponeringar som är poster i balansräkningen och som tas upp som transaktioner för värdepapperisering, derivat eller transaktioner med långfristig avveckling eller som hä</w:t>
            </w:r>
            <w:r>
              <w:t>r</w:t>
            </w:r>
            <w:r>
              <w:t>rör från avtal om produktövergripande nettning ska rapporteras på raderna 090, 110 och 130. De ska därför inte rapporteras på denna rad.</w:t>
            </w:r>
          </w:p>
          <w:p w:rsidR="00464F34" w:rsidRPr="00392FFD" w:rsidRDefault="00464F34" w:rsidP="00FD239F">
            <w:pPr>
              <w:pStyle w:val="InstructionsText"/>
            </w:pPr>
            <w:r>
              <w:t>Transaktioner utan samtidig prestation i enlighet med artikel 379.1 i CRR utgör inte en post utanför balansräkningen (om de inte har dragits av), men ska ändå rapporteras på denna rad.</w:t>
            </w:r>
          </w:p>
          <w:p w:rsidR="00464F34" w:rsidRPr="00392FFD" w:rsidRDefault="00464F34" w:rsidP="00FD239F">
            <w:pPr>
              <w:pStyle w:val="InstructionsText"/>
              <w:rPr>
                <w:b/>
                <w:u w:val="single"/>
              </w:rPr>
            </w:pPr>
            <w:r>
              <w:t xml:space="preserve">Exponeringar som härrör från tillgångar som ställts som säkerhet till en central motpart i enlighet med artikel 4.1.90 i CRR och exponeringar med obeståndsfond i enlighet med artikel 4.1.89 i CRR ska ingå om de inte rapporteras på rad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utanför balansräkningen som omfattas av kreditrisk</w:t>
            </w:r>
          </w:p>
          <w:p w:rsidR="00464F34" w:rsidRPr="00392FFD" w:rsidRDefault="00464F34" w:rsidP="00FD239F">
            <w:pPr>
              <w:pStyle w:val="InstructionsText"/>
            </w:pPr>
            <w:r>
              <w:t>Poster utanför balansräkningen som omfattas av kreditrisk Positioner utanför balansrä</w:t>
            </w:r>
            <w:r>
              <w:t>k</w:t>
            </w:r>
            <w:r>
              <w:t>ningen omfattar de poster som räknas upp i bilaga I till CRR.</w:t>
            </w:r>
          </w:p>
          <w:p w:rsidR="00464F34" w:rsidRPr="00392FFD" w:rsidRDefault="00464F34" w:rsidP="00FD239F">
            <w:pPr>
              <w:pStyle w:val="InstructionsText"/>
            </w:pPr>
            <w:r>
              <w:t>Exponeringar som är poster utanför balansräkningen och som tas upp som transaktioner för värdepapperisering, derivat eller transaktioner med långfristig avveckling eller som härrör från avtal om produktövergripande nettning ska rapporteras på raderna 040 och 060. De ska därför inte rapporteras på denna rad.</w:t>
            </w:r>
          </w:p>
          <w:p w:rsidR="00464F34" w:rsidRPr="00392FFD" w:rsidRDefault="00464F34" w:rsidP="00FD239F">
            <w:pPr>
              <w:pStyle w:val="InstructionsText"/>
              <w:rPr>
                <w:b/>
                <w:u w:val="single"/>
              </w:rPr>
            </w:pPr>
            <w:r>
              <w:t>Exponeringar som härrör från tillgångar som ställts som säkerhet till en central motpart i enlighet med artikel 4.1.90 i CRR och exponeringar med obeståndsfond i enlighet med artikel 4.1.89 i CRR ska ingå, om de räknas som poster utanför balansräkningen.</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Exponeringar/transaktioner som omfattas av motpartsrisk</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Transaktioner för värdepappersfinansiering </w:t>
            </w:r>
          </w:p>
          <w:p w:rsidR="00464F34" w:rsidRPr="00392FFD" w:rsidRDefault="00464F34" w:rsidP="00FD239F">
            <w:pPr>
              <w:pStyle w:val="InstructionsText"/>
            </w:pPr>
            <w:r>
              <w:t>Transaktioner för värdepapperisering med den innebörd som anges i punkt 17 i Base</w:t>
            </w:r>
            <w:r>
              <w:t>l</w:t>
            </w:r>
            <w:r>
              <w:t>kommitténs dokument ”The Application of Basel II to Trading Activities and the Treatment of Double Default Effects” omfattar i) repor och omvända repor enligt def</w:t>
            </w:r>
            <w:r>
              <w:t>i</w:t>
            </w:r>
            <w:r>
              <w:t>nitionen i artikel 4.82 i CRR och värdepappers- eller råvarulån, och  ii) marginallån</w:t>
            </w:r>
            <w:r>
              <w:t>e</w:t>
            </w:r>
            <w:r>
              <w:t>transaktioner enligt definitionen i artikel 272.3 i CRR.</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Clearade genom en kvalificerad central motpart</w:t>
            </w:r>
          </w:p>
          <w:p w:rsidR="00464F34" w:rsidRPr="00392FFD" w:rsidRDefault="00464F34" w:rsidP="00FD239F">
            <w:pPr>
              <w:pStyle w:val="InstructionsText"/>
            </w:pPr>
            <w:r>
              <w:t>Artikel 306 i CRR för kvalificerade centrala motparter i enlighet med artikel 4.1.88 jämförd med artikel 301.2 i CRR.</w:t>
            </w:r>
          </w:p>
          <w:p w:rsidR="00464F34" w:rsidRPr="00392FFD" w:rsidRDefault="00D02E89" w:rsidP="00FD239F">
            <w:pPr>
              <w:pStyle w:val="InstructionsText"/>
            </w:pPr>
            <w:r>
              <w:t>Exponeringar mot en central motpart i enlighet med artikel 4.1.91 i CRR.</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 och transaktioner med lång avvecklingscykel </w:t>
            </w:r>
          </w:p>
          <w:p w:rsidR="00464F34" w:rsidRPr="00392FFD" w:rsidRDefault="00464F34" w:rsidP="00FD239F">
            <w:pPr>
              <w:pStyle w:val="InstructionsText"/>
            </w:pPr>
            <w:r>
              <w:t>Derivat omfattar de kontrakt som räknas upp i bilaga II till CRR.</w:t>
            </w:r>
          </w:p>
          <w:p w:rsidR="00464F34" w:rsidRPr="00392FFD" w:rsidRDefault="00464F34" w:rsidP="00FD239F">
            <w:pPr>
              <w:pStyle w:val="InstructionsText"/>
            </w:pPr>
            <w:r>
              <w:t xml:space="preserve">Med transaktioner med lång avvecklingscykel avses transaktioner enligt definitionen i </w:t>
            </w:r>
            <w:r>
              <w:lastRenderedPageBreak/>
              <w:t>artikel 272.2 i CRR.</w:t>
            </w:r>
          </w:p>
          <w:p w:rsidR="00464F34" w:rsidRPr="00392FFD" w:rsidRDefault="00464F34" w:rsidP="00FD239F">
            <w:pPr>
              <w:pStyle w:val="InstructionsText"/>
            </w:pPr>
            <w:r>
              <w:t>Derivat och transaktioner med lång avvecklingscykel som ingår i en produktövergr</w:t>
            </w:r>
            <w:r>
              <w:t>i</w:t>
            </w:r>
            <w:r>
              <w:t>pande nettning ska inte rapporteras på denna rad utan på rad 080</w:t>
            </w:r>
          </w:p>
        </w:tc>
      </w:tr>
      <w:tr w:rsidR="00464F34" w:rsidRPr="00392FFD" w:rsidTr="00672D2A">
        <w:tc>
          <w:tcPr>
            <w:tcW w:w="1188" w:type="dxa"/>
          </w:tcPr>
          <w:p w:rsidR="00464F34" w:rsidRPr="00392FFD" w:rsidRDefault="00462BAB" w:rsidP="00FD239F">
            <w:pPr>
              <w:pStyle w:val="InstructionsText"/>
            </w:pPr>
            <w:r>
              <w:lastRenderedPageBreak/>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Varav: Clearade genom en kvalificerad central motpart</w:t>
            </w:r>
          </w:p>
          <w:p w:rsidR="00464F34" w:rsidRPr="00392FFD" w:rsidRDefault="00464F34" w:rsidP="00FD239F">
            <w:pPr>
              <w:pStyle w:val="InstructionsText"/>
            </w:pPr>
            <w:r>
              <w:t>Artikel 306 i CRR för kvalificerade centrala motparter i enlighet med artikel 4.1.88 jämförd med artikel 301.2 i CRR.</w:t>
            </w:r>
          </w:p>
          <w:p w:rsidR="00464F34" w:rsidRPr="00392FFD" w:rsidRDefault="00770830" w:rsidP="00FD239F">
            <w:pPr>
              <w:pStyle w:val="InstructionsText"/>
              <w:rPr>
                <w:b/>
                <w:u w:val="single"/>
              </w:rPr>
            </w:pPr>
            <w:r>
              <w:t>Exponeringar mot en central motpart i enlighet med artikel 4.1.91 i CRR.</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Från avtal om produktövergripande nettning</w:t>
            </w:r>
          </w:p>
          <w:p w:rsidR="00464F34" w:rsidRPr="00392FFD" w:rsidRDefault="00464F34" w:rsidP="00FD239F">
            <w:pPr>
              <w:pStyle w:val="InstructionsText"/>
            </w:pPr>
            <w:r>
              <w:t>Exponeringar som på grund av att det finns ett avtal om produktövergripande nettning (enligt definitionen i artikel 272.11 i CRR) varken hör till derivat och transaktioner med lång avvecklingscykel eller till transaktioner för värdepapperisering ska rapporteras på denna rad.</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EXPONERINGAR EFTER RISKVIKTER</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Artikel 306.1 i CRR.</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Artikel 305.3 i CRR.</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p>
          <w:p w:rsidR="00462BAB" w:rsidRPr="00392FFD" w:rsidRDefault="00462BAB" w:rsidP="00FD239F">
            <w:pPr>
              <w:pStyle w:val="InstructionsText"/>
            </w:pPr>
            <w:r>
              <w:t>Artikel 232.3 c i CRR.</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lastRenderedPageBreak/>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Artiklarna 133.2 och 48.4 i CRR.</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Artikel 471 i CRR.</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Artiklarna 133.2 och 379 i CRR.</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riskvikter</w:t>
            </w:r>
          </w:p>
          <w:p w:rsidR="00462BAB" w:rsidRPr="00392FFD" w:rsidRDefault="00462BAB" w:rsidP="00FD239F">
            <w:pPr>
              <w:pStyle w:val="InstructionsText"/>
            </w:pPr>
            <w:r>
              <w:t>Exponeringsklasserna regering, företag, institut och hushåll får inte tas upp på denna rad.</w:t>
            </w:r>
          </w:p>
          <w:p w:rsidR="00462BAB" w:rsidRPr="00392FFD" w:rsidRDefault="00462BAB" w:rsidP="00FD239F">
            <w:pPr>
              <w:pStyle w:val="InstructionsText"/>
            </w:pPr>
          </w:p>
          <w:p w:rsidR="00462BAB" w:rsidRPr="00392FFD" w:rsidRDefault="00462BAB" w:rsidP="00FD239F">
            <w:pPr>
              <w:pStyle w:val="InstructionsText"/>
            </w:pPr>
            <w:r>
              <w:t>För rapportering av de exponeringar som inte kan åsättas de riskvikter som räknas upp i mallen.</w:t>
            </w:r>
          </w:p>
          <w:p w:rsidR="00462BAB" w:rsidRPr="00392FFD" w:rsidRDefault="00462BAB" w:rsidP="00FD239F">
            <w:pPr>
              <w:pStyle w:val="InstructionsText"/>
            </w:pPr>
            <w:r>
              <w:t xml:space="preserve">Artikel 113.1–113.5 i CRR. </w:t>
            </w:r>
          </w:p>
          <w:p w:rsidR="00462BAB" w:rsidRPr="00392FFD" w:rsidRDefault="00462BAB" w:rsidP="00FD239F">
            <w:pPr>
              <w:pStyle w:val="InstructionsText"/>
            </w:pPr>
          </w:p>
          <w:p w:rsidR="00462BAB" w:rsidRPr="00392FFD" w:rsidRDefault="00462BAB" w:rsidP="00FD239F">
            <w:pPr>
              <w:pStyle w:val="InstructionsText"/>
            </w:pPr>
            <w:r>
              <w:t>Kreditderivat på n:te förfall som saknar kreditvärdering och för vilka schablonmetoden tillämpas (artikel 134.6 i CRR) ska rapporteras på denna rad i exponeringsklassen ”ö</w:t>
            </w:r>
            <w:r>
              <w:t>v</w:t>
            </w:r>
            <w:r>
              <w:t>riga poster”.</w:t>
            </w:r>
          </w:p>
          <w:p w:rsidR="00462BAB" w:rsidRPr="00392FFD" w:rsidRDefault="00462BAB" w:rsidP="00FD239F">
            <w:pPr>
              <w:pStyle w:val="InstructionsText"/>
            </w:pPr>
            <w:r>
              <w:t xml:space="preserve">Se även artiklarna 124.2 och 152.2 b i CRR.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rsidR="00462BAB" w:rsidRPr="00392FFD" w:rsidRDefault="00462BAB" w:rsidP="00FD239F">
            <w:pPr>
              <w:pStyle w:val="InstructionsText"/>
              <w:rPr>
                <w:b/>
                <w:u w:val="single"/>
              </w:rPr>
            </w:pPr>
            <w:r>
              <w:t>Se även förklaringen om syftet med memorandumposter i det allmänna avsnittet i CR SA-mallen.</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säkrade genom panträtt i kommersiella fastigheter</w:t>
            </w:r>
          </w:p>
          <w:p w:rsidR="00462BAB" w:rsidRPr="00392FFD" w:rsidRDefault="00462BAB" w:rsidP="00FD239F">
            <w:pPr>
              <w:pStyle w:val="InstructionsText"/>
            </w:pPr>
            <w:r>
              <w:t>Artikel 112 i i CRR.</w:t>
            </w:r>
          </w:p>
          <w:p w:rsidR="00462BAB" w:rsidRPr="00392FFD" w:rsidRDefault="00462BAB" w:rsidP="00FD239F">
            <w:pPr>
              <w:pStyle w:val="InstructionsText"/>
            </w:pPr>
            <w:r>
              <w:t>Detta är endast en memorandumpost. Oberoende av beräkningen av riskvägda expon</w:t>
            </w:r>
            <w:r>
              <w:t>e</w:t>
            </w:r>
            <w:r>
              <w:t>ringsbelopp för exponeringar säkrade genom kommersiella fastigheter i enlighet med artiklarna 124 och 126 i CRR ska exponeringarna delas upp och rapporteras på denna rad utifrån kriteriet att de är säkrade genom kommersiella fastigheter.</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Fallerande exponeringar som åsatts riskvikten 100 %</w:t>
            </w:r>
          </w:p>
          <w:p w:rsidR="00462BAB" w:rsidRPr="00392FFD" w:rsidRDefault="00462BAB" w:rsidP="00FD239F">
            <w:pPr>
              <w:pStyle w:val="InstructionsText"/>
            </w:pPr>
            <w:r>
              <w:t>Artikel 112 j i CRR.</w:t>
            </w:r>
          </w:p>
          <w:p w:rsidR="00462BAB" w:rsidRPr="00392FFD" w:rsidRDefault="00462BAB" w:rsidP="00FD239F">
            <w:pPr>
              <w:pStyle w:val="InstructionsText"/>
            </w:pPr>
            <w:r>
              <w:t>Exponeringar inom exponeringsklassen ”fallerande exponeringar”, vilka hade ingått i denna exponeringsklass om de inte var fallerande.</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säkrade genom panträtt i bostadsfastigheter </w:t>
            </w:r>
          </w:p>
          <w:p w:rsidR="00462BAB" w:rsidRPr="00392FFD" w:rsidRDefault="00462BAB" w:rsidP="00FD239F">
            <w:pPr>
              <w:pStyle w:val="InstructionsText"/>
            </w:pPr>
            <w:r>
              <w:t>Artikel 112 i i CRR.</w:t>
            </w:r>
          </w:p>
          <w:p w:rsidR="00462BAB" w:rsidRPr="00392FFD" w:rsidRDefault="00462BAB" w:rsidP="00FD239F">
            <w:pPr>
              <w:pStyle w:val="InstructionsText"/>
              <w:rPr>
                <w:b/>
                <w:u w:val="single"/>
              </w:rPr>
            </w:pPr>
            <w:r>
              <w:t>Detta är endast en memorandumpost. Oberoende av beräkningen av riskvägda expon</w:t>
            </w:r>
            <w:r>
              <w:t>e</w:t>
            </w:r>
            <w:r>
              <w:t>ringsbelopp för exponeringar säkrade genom bostadsfastigheter i enlighet med artikla</w:t>
            </w:r>
            <w:r>
              <w:t>r</w:t>
            </w:r>
            <w:r>
              <w:t>na 124 och 125 i CRR ska exponeringarna delas upp och rapporteras på denna rad ut</w:t>
            </w:r>
            <w:r>
              <w:t>i</w:t>
            </w:r>
            <w:r>
              <w:t>från kriteriet att de är säkrade genom fastigheter.</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Fallerande exponeringar som åsatts riskvikten 150 % </w:t>
            </w:r>
          </w:p>
          <w:p w:rsidR="00462BAB" w:rsidRPr="00392FFD" w:rsidRDefault="00462BAB" w:rsidP="00FD239F">
            <w:pPr>
              <w:pStyle w:val="InstructionsText"/>
            </w:pPr>
            <w:r>
              <w:lastRenderedPageBreak/>
              <w:t>Artikel 112 j i CRR.</w:t>
            </w:r>
          </w:p>
          <w:p w:rsidR="00462BAB" w:rsidRPr="00392FFD" w:rsidRDefault="00462BAB" w:rsidP="00FD239F">
            <w:pPr>
              <w:pStyle w:val="InstructionsText"/>
            </w:pPr>
            <w:r>
              <w:t>Exponeringar inom exponeringsklassen ”fallerande exponeringar”, vilka hade ingått i denna exponeringsklass om de inte var fallerande.</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516210641"/>
      <w:bookmarkStart w:id="260" w:name="_Toc473560906"/>
      <w:bookmarkStart w:id="261" w:name="_Toc523820262"/>
      <w:r>
        <w:rPr>
          <w:rFonts w:ascii="Times New Roman" w:hAnsi="Times New Roman"/>
          <w:sz w:val="24"/>
          <w:u w:val="none"/>
        </w:rPr>
        <w:t>3.3.</w:t>
      </w:r>
      <w:r w:rsidRPr="00403168">
        <w:rPr>
          <w:u w:val="none"/>
        </w:rPr>
        <w:tab/>
      </w:r>
      <w:r>
        <w:rPr>
          <w:rFonts w:ascii="Times New Roman" w:hAnsi="Times New Roman"/>
          <w:sz w:val="24"/>
        </w:rPr>
        <w:t>Kreditrisk och motpartsrisk och transaktioner utan samtidig prestation: Internmetoden för kapitalbaskrav</w:t>
      </w:r>
      <w:bookmarkEnd w:id="258"/>
      <w:r>
        <w:rPr>
          <w:rFonts w:ascii="Times New Roman" w:hAnsi="Times New Roman"/>
          <w:sz w:val="24"/>
        </w:rPr>
        <w:t xml:space="preserve"> (CR IRB)</w:t>
      </w:r>
      <w:bookmarkEnd w:id="259"/>
      <w:bookmarkEnd w:id="260"/>
      <w:bookmarkEnd w:id="261"/>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516210642"/>
      <w:bookmarkStart w:id="264" w:name="_Toc473560907"/>
      <w:bookmarkStart w:id="265" w:name="_Toc523820263"/>
      <w:r>
        <w:rPr>
          <w:rFonts w:ascii="Times New Roman" w:hAnsi="Times New Roman"/>
          <w:sz w:val="24"/>
          <w:u w:val="none"/>
        </w:rPr>
        <w:t>3.3.1.</w:t>
      </w:r>
      <w:r w:rsidRPr="00403168">
        <w:rPr>
          <w:u w:val="none"/>
        </w:rPr>
        <w:tab/>
      </w:r>
      <w:r>
        <w:rPr>
          <w:rFonts w:ascii="Times New Roman" w:hAnsi="Times New Roman"/>
          <w:sz w:val="24"/>
        </w:rPr>
        <w:t>CR IRB-mallens räckvidd</w:t>
      </w:r>
      <w:bookmarkEnd w:id="262"/>
      <w:bookmarkEnd w:id="263"/>
      <w:bookmarkEnd w:id="264"/>
      <w:bookmarkEnd w:id="265"/>
    </w:p>
    <w:p w:rsidR="001C7AB7" w:rsidRPr="00392FFD" w:rsidRDefault="00125707" w:rsidP="00C37B29">
      <w:pPr>
        <w:pStyle w:val="InstructionsText2"/>
        <w:numPr>
          <w:ilvl w:val="0"/>
          <w:numId w:val="0"/>
        </w:numPr>
        <w:ind w:left="993"/>
      </w:pPr>
      <w:r>
        <w:t>74.</w:t>
      </w:r>
      <w:r>
        <w:tab/>
        <w:t>CR IRB-mallen omfattar följande kapitalbaskrav:</w:t>
      </w:r>
    </w:p>
    <w:p w:rsidR="001C7AB7" w:rsidRPr="00392FFD" w:rsidRDefault="00125707" w:rsidP="00C37B29">
      <w:pPr>
        <w:pStyle w:val="InstructionsText2"/>
        <w:numPr>
          <w:ilvl w:val="0"/>
          <w:numId w:val="0"/>
        </w:numPr>
        <w:ind w:left="993"/>
      </w:pPr>
      <w:r>
        <w:t>i.</w:t>
      </w:r>
      <w:r>
        <w:tab/>
        <w:t>Kreditrisk utanför handelslagret, inbegripet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motpartsrisk utanför handelslagret,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utspädningsrisk för förvärvade fordringar.</w:t>
      </w:r>
    </w:p>
    <w:p w:rsidR="001C7AB7" w:rsidRPr="00392FFD" w:rsidRDefault="00125707" w:rsidP="00C37B29">
      <w:pPr>
        <w:pStyle w:val="InstructionsText2"/>
        <w:numPr>
          <w:ilvl w:val="0"/>
          <w:numId w:val="0"/>
        </w:numPr>
        <w:ind w:left="993"/>
      </w:pPr>
      <w:r>
        <w:t>ii.</w:t>
      </w:r>
      <w:r>
        <w:tab/>
        <w:t>Motpartsrisk i handelslagret.</w:t>
      </w:r>
    </w:p>
    <w:p w:rsidR="001C7AB7" w:rsidRPr="00392FFD" w:rsidRDefault="00125707" w:rsidP="00C37B29">
      <w:pPr>
        <w:pStyle w:val="InstructionsText2"/>
        <w:numPr>
          <w:ilvl w:val="0"/>
          <w:numId w:val="0"/>
        </w:numPr>
        <w:ind w:left="993"/>
      </w:pPr>
      <w:r>
        <w:t>iii.</w:t>
      </w:r>
      <w:r>
        <w:tab/>
        <w:t>Transaktioner utan samtidig prestation i samband med all affärsverksamhet.</w:t>
      </w:r>
    </w:p>
    <w:p w:rsidR="001C7AB7" w:rsidRPr="00392FFD" w:rsidRDefault="00125707" w:rsidP="00C37B29">
      <w:pPr>
        <w:pStyle w:val="InstructionsText2"/>
        <w:numPr>
          <w:ilvl w:val="0"/>
          <w:numId w:val="0"/>
        </w:numPr>
        <w:ind w:left="993"/>
      </w:pPr>
      <w:r>
        <w:t>75.</w:t>
      </w:r>
      <w:r>
        <w:tab/>
        <w:t>Mallen avser exponeringar för vilka de riskvägda exponeringsbeloppen berä</w:t>
      </w:r>
      <w:r>
        <w:t>k</w:t>
      </w:r>
      <w:r>
        <w:t>nas i enlighet med artiklarna 151–157 i del tre avdelning II kapitel 3 i CRR (i</w:t>
      </w:r>
      <w:r>
        <w:t>n</w:t>
      </w:r>
      <w:r>
        <w:t xml:space="preserve">ternmetoden). </w:t>
      </w:r>
    </w:p>
    <w:p w:rsidR="001C7AB7" w:rsidRPr="00392FFD" w:rsidRDefault="00125707" w:rsidP="00C37B29">
      <w:pPr>
        <w:pStyle w:val="InstructionsText2"/>
        <w:numPr>
          <w:ilvl w:val="0"/>
          <w:numId w:val="0"/>
        </w:numPr>
        <w:ind w:left="993"/>
      </w:pPr>
      <w:r>
        <w:t>76.</w:t>
      </w:r>
      <w:r>
        <w:tab/>
        <w:t xml:space="preserve">Följande uppgifter rapporteras inte i CR IRB-mallen: </w:t>
      </w:r>
    </w:p>
    <w:p w:rsidR="001C7AB7" w:rsidRPr="00392FFD" w:rsidRDefault="00125707" w:rsidP="00C37B29">
      <w:pPr>
        <w:pStyle w:val="InstructionsText2"/>
        <w:numPr>
          <w:ilvl w:val="0"/>
          <w:numId w:val="0"/>
        </w:numPr>
        <w:ind w:left="993"/>
      </w:pPr>
      <w:r>
        <w:t>i.</w:t>
      </w:r>
      <w:r>
        <w:tab/>
        <w:t xml:space="preserve">Aktieexponeringar, som rapporteras i CR EQU IRB-mallen. </w:t>
      </w:r>
    </w:p>
    <w:p w:rsidR="001C7AB7" w:rsidRPr="00392FFD" w:rsidRDefault="00125707" w:rsidP="00C37B29">
      <w:pPr>
        <w:pStyle w:val="InstructionsText2"/>
        <w:numPr>
          <w:ilvl w:val="0"/>
          <w:numId w:val="0"/>
        </w:numPr>
        <w:ind w:left="993"/>
      </w:pPr>
      <w:r>
        <w:t>ii.</w:t>
      </w:r>
      <w:r>
        <w:tab/>
        <w:t>Värdepapperiseringspositioner, som rapporteras i mallarna CR SEC SA, CR SEC IRB och/eller de detaljerade CR SEC-mallarna.</w:t>
      </w:r>
    </w:p>
    <w:p w:rsidR="001C7AB7" w:rsidRPr="00392FFD" w:rsidRDefault="00125707" w:rsidP="00C37B29">
      <w:pPr>
        <w:pStyle w:val="InstructionsText2"/>
        <w:numPr>
          <w:ilvl w:val="0"/>
          <w:numId w:val="0"/>
        </w:numPr>
        <w:ind w:left="993"/>
      </w:pPr>
      <w:r>
        <w:t>iii.</w:t>
      </w:r>
      <w:r>
        <w:tab/>
        <w:t xml:space="preserve"> ”Övriga motpartslösa tillgångar”, som rapporteras i enlighet med artikel 147.2 g i CRR. Denna exponeringsklass måste alltid åsättas riskvikten 100 % utom för kassabehållning, likvärdiga poster och exponeringar som restvärden av leasade til</w:t>
      </w:r>
      <w:r>
        <w:t>l</w:t>
      </w:r>
      <w:r>
        <w:t>gångar i enlighet med artikel 156 i CRR. De riskvägda exponeringsbeloppen för denna exponeringsklass rapporteras direkt i CA-mallen.</w:t>
      </w:r>
    </w:p>
    <w:p w:rsidR="001C7AB7" w:rsidRPr="00392FFD" w:rsidRDefault="00125707" w:rsidP="00C37B29">
      <w:pPr>
        <w:pStyle w:val="InstructionsText2"/>
        <w:numPr>
          <w:ilvl w:val="0"/>
          <w:numId w:val="0"/>
        </w:numPr>
        <w:ind w:left="993"/>
      </w:pPr>
      <w:r>
        <w:t>iv.</w:t>
      </w:r>
      <w:r>
        <w:tab/>
        <w:t>Risker i samband med kreditvärdighetsjustering, som rapporteras i mallen för kreditvärdighetsjusteringsrisk (CVA).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I CR IRB-mallen behöver exponeringar som beräknats enligt internmetoden inte delas upp geografiskt efter motpartens säte. Denna uppdelning rapporteras i CR GB-mallen. </w:t>
      </w:r>
    </w:p>
    <w:p w:rsidR="001C7AB7" w:rsidRPr="00392FFD" w:rsidRDefault="00125707" w:rsidP="00C37B29">
      <w:pPr>
        <w:pStyle w:val="InstructionsText2"/>
        <w:numPr>
          <w:ilvl w:val="0"/>
          <w:numId w:val="0"/>
        </w:numPr>
        <w:ind w:left="993"/>
      </w:pPr>
      <w:r>
        <w:t>77.</w:t>
      </w:r>
      <w:r>
        <w:tab/>
        <w:t>För att klargöra om institutet använder sina egna skattningar av LGD-värden och/eller kreditkonverteringsfaktorer ska följande uppgifter lämnas för varje ra</w:t>
      </w:r>
      <w:r>
        <w:t>p</w:t>
      </w:r>
      <w:r>
        <w:t>porterad exponeringsklass:</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lastRenderedPageBreak/>
        <w:t>”NEJ” = om man använder tillsynsmyndighetens skattning av LGD-värden och kredi</w:t>
      </w:r>
      <w:r>
        <w:rPr>
          <w:rFonts w:ascii="Times New Roman" w:hAnsi="Times New Roman"/>
          <w:sz w:val="24"/>
        </w:rPr>
        <w:t>t</w:t>
      </w:r>
      <w:r>
        <w:rPr>
          <w:rFonts w:ascii="Times New Roman" w:hAnsi="Times New Roman"/>
          <w:sz w:val="24"/>
        </w:rPr>
        <w:t>konverteringsfaktorer (grundläggande internmetod).</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”JA” = om man använder egna skattningar av LGD-värden och kreditkonvertering</w:t>
      </w:r>
      <w:r>
        <w:rPr>
          <w:rFonts w:ascii="Times New Roman" w:hAnsi="Times New Roman"/>
          <w:sz w:val="24"/>
        </w:rPr>
        <w:t>s</w:t>
      </w:r>
      <w:r>
        <w:rPr>
          <w:rFonts w:ascii="Times New Roman" w:hAnsi="Times New Roman"/>
          <w:sz w:val="24"/>
        </w:rPr>
        <w:t xml:space="preserve">faktorer (avancerad internmetod).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”JA” ska alltid anges för portföljer med hushållsexponeringar.</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Om ett institut använder egna skattningar av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en del av sina exponeringar enligt internmetoden samt anvä</w:t>
      </w:r>
      <w:r>
        <w:rPr>
          <w:rFonts w:ascii="Times New Roman" w:hAnsi="Times New Roman"/>
          <w:sz w:val="24"/>
        </w:rPr>
        <w:t>n</w:t>
      </w:r>
      <w:r>
        <w:rPr>
          <w:rFonts w:ascii="Times New Roman" w:hAnsi="Times New Roman"/>
          <w:sz w:val="24"/>
        </w:rPr>
        <w:t xml:space="preserve">der tillsynsmyndighetens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den andra delen av sina exponeringar enligt internmetoden, ska institutet rapportera den totala kreditrisken enligt internmetoden (CR IRB) för positioner som behandlas enligt den grundläggande internmetoden (F-IRB) och den totala kreditrisken enligt i</w:t>
      </w:r>
      <w:r>
        <w:rPr>
          <w:rFonts w:ascii="Times New Roman" w:hAnsi="Times New Roman"/>
          <w:sz w:val="24"/>
        </w:rPr>
        <w:t>n</w:t>
      </w:r>
      <w:r>
        <w:rPr>
          <w:rFonts w:ascii="Times New Roman" w:hAnsi="Times New Roman"/>
          <w:sz w:val="24"/>
        </w:rPr>
        <w:t>ternmetoden för positioner som behandlas enligt den avancerade internmetoden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516210643"/>
      <w:bookmarkStart w:id="273" w:name="_Toc473560908"/>
      <w:bookmarkStart w:id="274" w:name="_Toc523820264"/>
      <w:r>
        <w:rPr>
          <w:rFonts w:ascii="Times New Roman" w:hAnsi="Times New Roman"/>
          <w:sz w:val="24"/>
          <w:u w:val="none"/>
        </w:rPr>
        <w:t>3.3.2.</w:t>
      </w:r>
      <w:r w:rsidRPr="00403168">
        <w:rPr>
          <w:u w:val="none"/>
        </w:rPr>
        <w:tab/>
      </w:r>
      <w:r>
        <w:rPr>
          <w:rFonts w:ascii="Times New Roman" w:hAnsi="Times New Roman"/>
          <w:sz w:val="24"/>
        </w:rPr>
        <w:t>Uppdelning av CR IRB-mallen</w:t>
      </w:r>
      <w:bookmarkEnd w:id="266"/>
      <w:bookmarkEnd w:id="267"/>
      <w:bookmarkEnd w:id="268"/>
      <w:bookmarkEnd w:id="269"/>
      <w:bookmarkEnd w:id="270"/>
      <w:bookmarkEnd w:id="271"/>
      <w:bookmarkEnd w:id="272"/>
      <w:bookmarkEnd w:id="273"/>
      <w:bookmarkEnd w:id="274"/>
    </w:p>
    <w:p w:rsidR="001C7AB7" w:rsidRPr="00392FFD" w:rsidRDefault="00125707" w:rsidP="00C37B29">
      <w:pPr>
        <w:pStyle w:val="InstructionsText2"/>
        <w:numPr>
          <w:ilvl w:val="0"/>
          <w:numId w:val="0"/>
        </w:numPr>
        <w:ind w:left="993"/>
      </w:pPr>
      <w:r>
        <w:t>78.</w:t>
      </w:r>
      <w:r>
        <w:tab/>
        <w:t>CR IRB-mallen är uppdelad i två undermallar. CR IRB 1 ger en allmän öve</w:t>
      </w:r>
      <w:r>
        <w:t>r</w:t>
      </w:r>
      <w:r>
        <w:t>sikt över exponeringar enligt internmetoden och de olika metoderna för beräkning av totala riskvägda exponeringsbelopp samt en uppdelning av de totala exponerin</w:t>
      </w:r>
      <w:r>
        <w:t>g</w:t>
      </w:r>
      <w:r>
        <w:t>arna efter exponeringsslag. CR IRB 2 innehåller en indelning av de totala expon</w:t>
      </w:r>
      <w:r>
        <w:t>e</w:t>
      </w:r>
      <w:r>
        <w:t>ringarna i motpartsriskklasser. Mallarna CR IRB 1 och CR IRB 2 ska rapporteras separat för följande exponeringsklasser och underordnade exponeringsklasser:</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Totala exponeringar</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(Mallen för total kreditrisk ska rapporteras vid tillämpning av den grundlä</w:t>
      </w:r>
      <w:r>
        <w:rPr>
          <w:rFonts w:ascii="Times New Roman" w:hAnsi="Times New Roman"/>
          <w:sz w:val="24"/>
        </w:rPr>
        <w:t>g</w:t>
      </w:r>
      <w:r>
        <w:rPr>
          <w:rFonts w:ascii="Times New Roman" w:hAnsi="Times New Roman"/>
          <w:sz w:val="24"/>
        </w:rPr>
        <w:t>gande internmetoden och separat vid tillämpning av den avancerade internm</w:t>
      </w:r>
      <w:r>
        <w:rPr>
          <w:rFonts w:ascii="Times New Roman" w:hAnsi="Times New Roman"/>
          <w:sz w:val="24"/>
        </w:rPr>
        <w:t>e</w:t>
      </w:r>
      <w:r>
        <w:rPr>
          <w:rFonts w:ascii="Times New Roman" w:hAnsi="Times New Roman"/>
          <w:sz w:val="24"/>
        </w:rPr>
        <w:t>toden.)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Nationella regeringar eller centralbanker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147.2 a i CRR)</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147.2 b i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Företag – små och medelstora företag</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147.2 c i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Företag – specialutlåning</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147.8 i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Företag – övrigt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(alla de exponeringar mot företag i enlighet med artikel 147.2 c som inte ra</w:t>
      </w:r>
      <w:r>
        <w:rPr>
          <w:rFonts w:ascii="Times New Roman" w:hAnsi="Times New Roman"/>
          <w:sz w:val="24"/>
        </w:rPr>
        <w:t>p</w:t>
      </w:r>
      <w:r>
        <w:rPr>
          <w:rFonts w:ascii="Times New Roman" w:hAnsi="Times New Roman"/>
          <w:sz w:val="24"/>
        </w:rPr>
        <w:t>porteras enligt 4.1 och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Hushåll – säkrade genom små och medelstora företags fasta egendom.</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 exponeringar som avses i artikel 147.2 d jämförd med artikel 154.3 i CRR och som är säkrade genom fast egendom)</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Hushåll – säkrade genom större företags fasta egendom.</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 exponeringar som avses i artikel 147.2 d i CRR och som är säkrade genom fast egendom men som inte rapporteras enligt led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Hushåll – Kvalificerad rullande exponering</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147.2 d jämförd med artikel 154.4 i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Hushåll – övriga små och medelstora företag</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(de exponeringar som avses i artikel 147.2 d men som inte rapporteras enligt 5.1 och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Hushåll – övriga större företag</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 exponeringar som avses i artikel 147.2 d men som inte rapporteras enligt 5.2 och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5" w:name="_Toc516210644"/>
      <w:bookmarkStart w:id="276" w:name="_Toc473560909"/>
      <w:bookmarkStart w:id="277" w:name="_Toc523820265"/>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r>
        <w:rPr>
          <w:rFonts w:ascii="Times New Roman" w:hAnsi="Times New Roman"/>
          <w:sz w:val="24"/>
          <w:u w:val="none"/>
        </w:rPr>
        <w:t>3.3.3.</w:t>
      </w:r>
      <w:r w:rsidRPr="007658AF">
        <w:rPr>
          <w:u w:val="none"/>
        </w:rPr>
        <w:tab/>
      </w:r>
      <w:r>
        <w:rPr>
          <w:rFonts w:ascii="Times New Roman" w:hAnsi="Times New Roman"/>
          <w:sz w:val="24"/>
        </w:rPr>
        <w:t>C 08.01 – Kreditrisk och motpartsrisk och transaktioner utan samtidig prestation: i</w:t>
      </w:r>
      <w:r>
        <w:rPr>
          <w:rFonts w:ascii="Times New Roman" w:hAnsi="Times New Roman"/>
          <w:sz w:val="24"/>
        </w:rPr>
        <w:t>n</w:t>
      </w:r>
      <w:r>
        <w:rPr>
          <w:rFonts w:ascii="Times New Roman" w:hAnsi="Times New Roman"/>
          <w:sz w:val="24"/>
        </w:rPr>
        <w:t>termetod för kapitalkrav (CR IRB 1)</w:t>
      </w:r>
      <w:bookmarkEnd w:id="275"/>
      <w:bookmarkEnd w:id="276"/>
      <w:bookmarkEnd w:id="277"/>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5" w:name="_Toc516210645"/>
      <w:bookmarkStart w:id="286" w:name="_Toc473560910"/>
      <w:bookmarkStart w:id="287" w:name="_Toc523820266"/>
      <w:r>
        <w:rPr>
          <w:rFonts w:ascii="Times New Roman" w:hAnsi="Times New Roman"/>
          <w:sz w:val="24"/>
          <w:u w:val="none"/>
        </w:rPr>
        <w:t>3.3.3.1</w:t>
      </w:r>
      <w:r>
        <w:tab/>
      </w:r>
      <w:r>
        <w:rPr>
          <w:rFonts w:ascii="Times New Roman" w:hAnsi="Times New Roman"/>
          <w:sz w:val="24"/>
        </w:rPr>
        <w:t>Instruktioner för specifika positioner</w:t>
      </w:r>
      <w:bookmarkEnd w:id="278"/>
      <w:bookmarkEnd w:id="279"/>
      <w:bookmarkEnd w:id="280"/>
      <w:bookmarkEnd w:id="281"/>
      <w:bookmarkEnd w:id="282"/>
      <w:bookmarkEnd w:id="283"/>
      <w:bookmarkEnd w:id="284"/>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Kolumn</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Instruktioner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INTERNT RISKKLASSIFICERINGSSYSTEM/PD SOM ÅSATTS RISKKLA</w:t>
            </w:r>
            <w:r>
              <w:rPr>
                <w:rStyle w:val="InstructionsTabelleberschrift"/>
                <w:rFonts w:ascii="Times New Roman" w:hAnsi="Times New Roman"/>
                <w:sz w:val="24"/>
              </w:rPr>
              <w:t>S</w:t>
            </w:r>
            <w:r>
              <w:rPr>
                <w:rStyle w:val="InstructionsTabelleberschrift"/>
                <w:rFonts w:ascii="Times New Roman" w:hAnsi="Times New Roman"/>
                <w:sz w:val="24"/>
              </w:rPr>
              <w:t>SEN (%)</w:t>
            </w:r>
          </w:p>
          <w:p w:rsidR="001C7AB7" w:rsidRPr="00392FFD" w:rsidRDefault="001C7AB7" w:rsidP="001C7AB7">
            <w:pPr>
              <w:rPr>
                <w:rFonts w:ascii="Times New Roman" w:hAnsi="Times New Roman"/>
                <w:sz w:val="24"/>
              </w:rPr>
            </w:pPr>
            <w:r>
              <w:rPr>
                <w:rStyle w:val="InstructionsTabelleText"/>
                <w:rFonts w:ascii="Times New Roman" w:hAnsi="Times New Roman"/>
                <w:sz w:val="24"/>
              </w:rPr>
              <w:t>Den sannolikhet för obestånd (PD) som åsätts motpartsklassen och som ska rapporteras ska grunda sig på bestämmelserna i artikel 180 i CRR. Instituten ska rapportera det PD-värde som åsätts varje motpartsriskklass. När det gäller värden som avser sammanlagda motpartsriskklasser (t.ex. totala exponeringar) ska instituten ange det exponeringsvägda genomsnittliga PD-värdet för de motpartsriskklasser som ingår i summeringen. Det e</w:t>
            </w:r>
            <w:r>
              <w:rPr>
                <w:rStyle w:val="InstructionsTabelleText"/>
                <w:rFonts w:ascii="Times New Roman" w:hAnsi="Times New Roman"/>
                <w:sz w:val="24"/>
              </w:rPr>
              <w:t>x</w:t>
            </w:r>
            <w:r>
              <w:rPr>
                <w:rStyle w:val="InstructionsTabelleText"/>
                <w:rFonts w:ascii="Times New Roman" w:hAnsi="Times New Roman"/>
                <w:sz w:val="24"/>
              </w:rPr>
              <w:t>poneringsvägda genomsnittliga PD-värdet ska beräknas utifrån exponeringsvärdet (k</w:t>
            </w:r>
            <w:r>
              <w:rPr>
                <w:rStyle w:val="InstructionsTabelleText"/>
                <w:rFonts w:ascii="Times New Roman" w:hAnsi="Times New Roman"/>
                <w:sz w:val="24"/>
              </w:rPr>
              <w:t>o</w:t>
            </w:r>
            <w:r>
              <w:rPr>
                <w:rStyle w:val="InstructionsTabelleText"/>
                <w:rFonts w:ascii="Times New Roman" w:hAnsi="Times New Roman"/>
                <w:sz w:val="24"/>
              </w:rPr>
              <w:t>lumn 110).</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rapportera det PD-värde som åsätts varje motpartsriskklass. Alla rapport</w:t>
            </w:r>
            <w:r>
              <w:rPr>
                <w:rStyle w:val="InstructionsTabelleText"/>
                <w:rFonts w:ascii="Times New Roman" w:hAnsi="Times New Roman"/>
                <w:sz w:val="24"/>
              </w:rPr>
              <w:t>e</w:t>
            </w:r>
            <w:r>
              <w:rPr>
                <w:rStyle w:val="InstructionsTabelleText"/>
                <w:rFonts w:ascii="Times New Roman" w:hAnsi="Times New Roman"/>
                <w:sz w:val="24"/>
              </w:rPr>
              <w:t>rade riskparametrar ska härröra från de riskparametrar som används i det interna riskkla</w:t>
            </w:r>
            <w:r>
              <w:rPr>
                <w:rStyle w:val="InstructionsTabelleText"/>
                <w:rFonts w:ascii="Times New Roman" w:hAnsi="Times New Roman"/>
                <w:sz w:val="24"/>
              </w:rPr>
              <w:t>s</w:t>
            </w:r>
            <w:r>
              <w:rPr>
                <w:rStyle w:val="InstructionsTabelleText"/>
                <w:rFonts w:ascii="Times New Roman" w:hAnsi="Times New Roman"/>
                <w:sz w:val="24"/>
              </w:rPr>
              <w:t>sificeringssystem som godkänts av respektive behörig myndighet.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Avsikten är dock inte att tillsynsmyndigheten ska tillhandahålla en huvudindelning, och detta är inte heller önskvärt. Om det rapporterande institutet tillämpar ett eget riskklass</w:t>
            </w:r>
            <w:r>
              <w:rPr>
                <w:rStyle w:val="InstructionsTabelleText"/>
                <w:rFonts w:ascii="Times New Roman" w:hAnsi="Times New Roman"/>
                <w:sz w:val="24"/>
              </w:rPr>
              <w:t>i</w:t>
            </w:r>
            <w:r>
              <w:rPr>
                <w:rStyle w:val="InstructionsTabelleText"/>
                <w:rFonts w:ascii="Times New Roman" w:hAnsi="Times New Roman"/>
                <w:sz w:val="24"/>
              </w:rPr>
              <w:t xml:space="preserve">ficeringssystem eller kan rapportera i enlighet med en intern huvudindelning, ska denna indelning användas.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 annat fall ska de olika riskklassificeringssystemen slås ihop och ordnas enligt följande kriterier: Motpartsriskklasserna i de olika riskklassificeringssystemen ska grupperas och ordnas från det lägsta PD-värdet för varje motpartsriskklass till det högsta. Om institutet använder många motpartsriskklasser kan det komma överens med den behöriga myndi</w:t>
            </w:r>
            <w:r>
              <w:rPr>
                <w:rStyle w:val="InstructionsTabelleText"/>
                <w:rFonts w:ascii="Times New Roman" w:hAnsi="Times New Roman"/>
                <w:sz w:val="24"/>
              </w:rPr>
              <w:t>g</w:t>
            </w:r>
            <w:r>
              <w:rPr>
                <w:rStyle w:val="InstructionsTabelleText"/>
                <w:rFonts w:ascii="Times New Roman" w:hAnsi="Times New Roman"/>
                <w:sz w:val="24"/>
              </w:rPr>
              <w:t>heten om att rapportera ett mindre antal klasser.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kontakta sina respektive behöriga myndigheter i förväg om de vill rappo</w:t>
            </w:r>
            <w:r>
              <w:rPr>
                <w:rStyle w:val="InstructionsTabelleText"/>
                <w:rFonts w:ascii="Times New Roman" w:hAnsi="Times New Roman"/>
                <w:sz w:val="24"/>
              </w:rPr>
              <w:t>r</w:t>
            </w:r>
            <w:r>
              <w:rPr>
                <w:rStyle w:val="InstructionsTabelleText"/>
                <w:rFonts w:ascii="Times New Roman" w:hAnsi="Times New Roman"/>
                <w:sz w:val="24"/>
              </w:rPr>
              <w:t>tera ett annat antal klasser än det interna antalet klasser.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Det exponeringsvägda genomsnittliga PD-värdet beräknas utifrån exponeringsvärdet i kolumn 110. Alla exponeringar, inbegripet fallerade exponeringar, ska ingå i beräkningen av det exponeringsvägda genomsnittliga PD-värdet (t.ex. för ”totala exponeringar”). Fa</w:t>
            </w:r>
            <w:r>
              <w:rPr>
                <w:rStyle w:val="InstructionsTabelleText"/>
                <w:rFonts w:ascii="Times New Roman" w:hAnsi="Times New Roman"/>
                <w:sz w:val="24"/>
              </w:rPr>
              <w:t>l</w:t>
            </w:r>
            <w:r>
              <w:rPr>
                <w:rStyle w:val="InstructionsTabelleText"/>
                <w:rFonts w:ascii="Times New Roman" w:hAnsi="Times New Roman"/>
                <w:sz w:val="24"/>
              </w:rPr>
              <w:t>lerade exponeringar är sådana exponeringar som placeras i den sista riskklassen/de sista risklasserna med PD-värdet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URSPRUNGLIG EXPONERING FÖRE KONVERTERINGSFAKTORER</w:t>
            </w:r>
          </w:p>
          <w:p w:rsidR="001C7AB7" w:rsidRPr="00392FFD" w:rsidRDefault="001C7AB7" w:rsidP="001C7AB7">
            <w:pPr>
              <w:rPr>
                <w:rFonts w:ascii="Times New Roman" w:hAnsi="Times New Roman"/>
                <w:sz w:val="24"/>
              </w:rPr>
            </w:pPr>
            <w:r>
              <w:rPr>
                <w:rFonts w:ascii="Times New Roman" w:hAnsi="Times New Roman"/>
                <w:sz w:val="24"/>
              </w:rPr>
              <w:t xml:space="preserve">Instituten ska rapportera exponeringsvärdet före eventuella värdejusteringar, avsättningar </w:t>
            </w:r>
            <w:r>
              <w:rPr>
                <w:rFonts w:ascii="Times New Roman" w:hAnsi="Times New Roman"/>
                <w:sz w:val="24"/>
              </w:rPr>
              <w:lastRenderedPageBreak/>
              <w:t xml:space="preserve">och effekter av kreditriskreducering eller kreditkonverteringsfaktorer. </w:t>
            </w:r>
          </w:p>
          <w:p w:rsidR="001C7AB7" w:rsidRPr="00392FFD" w:rsidRDefault="001C7AB7" w:rsidP="001C7AB7">
            <w:pPr>
              <w:rPr>
                <w:rFonts w:ascii="Times New Roman" w:hAnsi="Times New Roman"/>
                <w:sz w:val="24"/>
              </w:rPr>
            </w:pPr>
            <w:r>
              <w:rPr>
                <w:rFonts w:ascii="Times New Roman" w:hAnsi="Times New Roman"/>
                <w:sz w:val="24"/>
              </w:rPr>
              <w:t>Det ursprungliga exponeringsvärdet ska rapporteras i enlighet med artiklarna 24, 166.1, 166.2, 166.4 och 166.7 i CRR.</w:t>
            </w:r>
          </w:p>
          <w:p w:rsidR="001C7AB7" w:rsidRPr="00392FFD" w:rsidRDefault="001C7AB7" w:rsidP="001C7AB7">
            <w:pPr>
              <w:rPr>
                <w:rFonts w:ascii="Times New Roman" w:hAnsi="Times New Roman"/>
                <w:sz w:val="24"/>
              </w:rPr>
            </w:pPr>
            <w:r>
              <w:rPr>
                <w:rFonts w:ascii="Times New Roman" w:hAnsi="Times New Roman"/>
                <w:sz w:val="24"/>
              </w:rPr>
              <w:t>Effekten av artikel 166.3 i CRR (effekten av nettning i balansräkningen av lån och insät</w:t>
            </w:r>
            <w:r>
              <w:rPr>
                <w:rFonts w:ascii="Times New Roman" w:hAnsi="Times New Roman"/>
                <w:sz w:val="24"/>
              </w:rPr>
              <w:t>t</w:t>
            </w:r>
            <w:r>
              <w:rPr>
                <w:rFonts w:ascii="Times New Roman" w:hAnsi="Times New Roman"/>
                <w:sz w:val="24"/>
              </w:rPr>
              <w:t xml:space="preserve">ningar) rapporteras separat som förbetalt kreditriskskydd och ska därför inte minska de ursprungliga exponeringarna.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VARAV: STORA ENHETER INOM FINANSSEKTORN OCH ICKE REGL</w:t>
            </w:r>
            <w:r>
              <w:rPr>
                <w:rFonts w:ascii="Times New Roman" w:hAnsi="Times New Roman"/>
                <w:b/>
                <w:sz w:val="24"/>
                <w:u w:val="single"/>
              </w:rPr>
              <w:t>E</w:t>
            </w:r>
            <w:r>
              <w:rPr>
                <w:rFonts w:ascii="Times New Roman" w:hAnsi="Times New Roman"/>
                <w:b/>
                <w:sz w:val="24"/>
                <w:u w:val="single"/>
              </w:rPr>
              <w:t>RADE FINANSIELLA ENHETER</w:t>
            </w:r>
          </w:p>
          <w:p w:rsidR="001C7AB7" w:rsidRPr="00392FFD" w:rsidRDefault="001C7AB7" w:rsidP="001C7AB7">
            <w:pPr>
              <w:rPr>
                <w:rFonts w:ascii="Times New Roman" w:hAnsi="Times New Roman"/>
                <w:b/>
                <w:sz w:val="24"/>
                <w:u w:val="single"/>
              </w:rPr>
            </w:pPr>
            <w:r>
              <w:rPr>
                <w:rFonts w:ascii="Times New Roman" w:hAnsi="Times New Roman"/>
                <w:sz w:val="24"/>
              </w:rPr>
              <w:t>Uppdelning av de ursprungliga exponeringarna före tillämpning av konverteringsfaktorer för samtliga exponeringar avseende enheter som omfattas av definitionerna i artikel 142.1.4 och 142.1.5 i CRR samt som är föremål för den högre korrelationsfaktorn i e</w:t>
            </w:r>
            <w:r>
              <w:rPr>
                <w:rFonts w:ascii="Times New Roman" w:hAnsi="Times New Roman"/>
                <w:sz w:val="24"/>
              </w:rPr>
              <w:t>n</w:t>
            </w:r>
            <w:r>
              <w:rPr>
                <w:rFonts w:ascii="Times New Roman" w:hAnsi="Times New Roman"/>
                <w:sz w:val="24"/>
              </w:rPr>
              <w:t>lighet med artikel 153.2 i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METODER FÖR KREDITRISKREDUCERING MED SUBSTITUTIONSEFFE</w:t>
            </w:r>
            <w:r>
              <w:rPr>
                <w:rFonts w:ascii="Times New Roman" w:hAnsi="Times New Roman"/>
                <w:b/>
                <w:sz w:val="24"/>
                <w:u w:val="single"/>
              </w:rPr>
              <w:t>K</w:t>
            </w:r>
            <w:r>
              <w:rPr>
                <w:rFonts w:ascii="Times New Roman" w:hAnsi="Times New Roman"/>
                <w:b/>
                <w:sz w:val="24"/>
                <w:u w:val="single"/>
              </w:rPr>
              <w:t>TER PÅ ÅTAGANDET</w:t>
            </w:r>
          </w:p>
          <w:p w:rsidR="001C7AB7" w:rsidRPr="00392FFD" w:rsidRDefault="001C7AB7" w:rsidP="001C7AB7">
            <w:pPr>
              <w:rPr>
                <w:rFonts w:ascii="Times New Roman" w:hAnsi="Times New Roman"/>
                <w:sz w:val="24"/>
              </w:rPr>
            </w:pPr>
            <w:r>
              <w:rPr>
                <w:rFonts w:ascii="Times New Roman" w:hAnsi="Times New Roman"/>
                <w:sz w:val="24"/>
              </w:rPr>
              <w:t>Metoder för kreditriskreducering enligt definitionen i artikel 4.1.57 i CRR vilka minskar kreditrisken för en exponering eller exponeringar genom substitution av exponeringarna i enlighet med vad som anges nedan under ”substitution av exponering på grund av met</w:t>
            </w:r>
            <w:r>
              <w:rPr>
                <w:rFonts w:ascii="Times New Roman" w:hAnsi="Times New Roman"/>
                <w:sz w:val="24"/>
              </w:rPr>
              <w:t>o</w:t>
            </w:r>
            <w:r>
              <w:rPr>
                <w:rFonts w:ascii="Times New Roman" w:hAnsi="Times New Roman"/>
                <w:sz w:val="24"/>
              </w:rPr>
              <w:t>der för kreditriskreducering”.</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OBETALT KREDITRISKSKYDD</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Obetalt kreditriskskydd: de värden som avses i definitionen i artikel 4.1.59 i CRR.</w:t>
            </w:r>
          </w:p>
          <w:p w:rsidR="001C7AB7" w:rsidRPr="00392FFD" w:rsidRDefault="001C7AB7" w:rsidP="001C7AB7">
            <w:pPr>
              <w:rPr>
                <w:rFonts w:ascii="Times New Roman" w:hAnsi="Times New Roman"/>
                <w:sz w:val="24"/>
              </w:rPr>
            </w:pPr>
            <w:r>
              <w:rPr>
                <w:rFonts w:ascii="Times New Roman" w:hAnsi="Times New Roman"/>
                <w:sz w:val="24"/>
              </w:rPr>
              <w:t>Om en säkerhet påverkar exponeringen (t.ex. om den används för kreditriskreducering med substitutionseffekter på exponeringen) ska den begränsas till exponeringsvärdet.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rsidR="001C7AB7" w:rsidRPr="00392FFD" w:rsidRDefault="001C7AB7" w:rsidP="001C7AB7">
            <w:pPr>
              <w:jc w:val="left"/>
              <w:rPr>
                <w:rFonts w:ascii="Times New Roman" w:hAnsi="Times New Roman"/>
                <w:sz w:val="24"/>
              </w:rPr>
            </w:pPr>
            <w:r>
              <w:rPr>
                <w:rFonts w:ascii="Times New Roman" w:hAnsi="Times New Roman"/>
                <w:sz w:val="24"/>
              </w:rPr>
              <w:t>Institut som inte använder egna skattningar av LGD-värden ska ange det justerade värdet (Ga) i enlighet med artikel 236 i CRR.</w:t>
            </w:r>
          </w:p>
          <w:p w:rsidR="001C7AB7" w:rsidRPr="00392FFD" w:rsidRDefault="001C7AB7" w:rsidP="001C7AB7">
            <w:pPr>
              <w:jc w:val="left"/>
              <w:rPr>
                <w:rFonts w:ascii="Times New Roman" w:hAnsi="Times New Roman"/>
                <w:sz w:val="24"/>
              </w:rPr>
            </w:pPr>
            <w:r>
              <w:rPr>
                <w:rFonts w:ascii="Times New Roman" w:hAnsi="Times New Roman"/>
                <w:sz w:val="24"/>
              </w:rPr>
              <w:t>Institut som använder egna skattningar av LGD-värden (se artikel 183 i CRR, med u</w:t>
            </w:r>
            <w:r>
              <w:rPr>
                <w:rFonts w:ascii="Times New Roman" w:hAnsi="Times New Roman"/>
                <w:sz w:val="24"/>
              </w:rPr>
              <w:t>n</w:t>
            </w:r>
            <w:r>
              <w:rPr>
                <w:rFonts w:ascii="Times New Roman" w:hAnsi="Times New Roman"/>
                <w:sz w:val="24"/>
              </w:rPr>
              <w:t>dantag för punkt 3) ska ange det relevanta värde som används i institutets interna m</w:t>
            </w:r>
            <w:r>
              <w:rPr>
                <w:rFonts w:ascii="Times New Roman" w:hAnsi="Times New Roman"/>
                <w:sz w:val="24"/>
              </w:rPr>
              <w:t>o</w:t>
            </w:r>
            <w:r>
              <w:rPr>
                <w:rFonts w:ascii="Times New Roman" w:hAnsi="Times New Roman"/>
                <w:sz w:val="24"/>
              </w:rPr>
              <w:t xml:space="preserve">deller rapporteras. </w:t>
            </w:r>
          </w:p>
          <w:p w:rsidR="001C7AB7" w:rsidRPr="00392FFD" w:rsidRDefault="001C7AB7" w:rsidP="001C7AB7">
            <w:pPr>
              <w:jc w:val="left"/>
              <w:rPr>
                <w:rFonts w:ascii="Times New Roman" w:hAnsi="Times New Roman"/>
                <w:sz w:val="24"/>
              </w:rPr>
            </w:pPr>
            <w:r>
              <w:rPr>
                <w:rFonts w:ascii="Times New Roman" w:hAnsi="Times New Roman"/>
                <w:sz w:val="24"/>
              </w:rPr>
              <w:t>Garantierna ska rapporteras i kolumn 040 om justeringen inte har gjorts i LGD-värdet. Om LGD-värdet har justerats ska garantibeloppet rapporteras i kolumn 150.</w:t>
            </w:r>
          </w:p>
          <w:p w:rsidR="00785F3E" w:rsidRPr="00392FFD" w:rsidRDefault="00785F3E" w:rsidP="001C7AB7">
            <w:pPr>
              <w:jc w:val="left"/>
              <w:rPr>
                <w:rFonts w:ascii="Times New Roman" w:hAnsi="Times New Roman"/>
                <w:sz w:val="24"/>
              </w:rPr>
            </w:pPr>
            <w:r>
              <w:rPr>
                <w:rFonts w:ascii="Times New Roman" w:hAnsi="Times New Roman"/>
                <w:sz w:val="24"/>
              </w:rPr>
              <w:t>När det gäller exponeringar som är föremål för behandling av dubbelt obestånd ska vä</w:t>
            </w:r>
            <w:r>
              <w:rPr>
                <w:rFonts w:ascii="Times New Roman" w:hAnsi="Times New Roman"/>
                <w:sz w:val="24"/>
              </w:rPr>
              <w:t>r</w:t>
            </w:r>
            <w:r>
              <w:rPr>
                <w:rFonts w:ascii="Times New Roman" w:hAnsi="Times New Roman"/>
                <w:sz w:val="24"/>
              </w:rPr>
              <w:t>det på obetalt kreditriskskydd rapporteras i kolumn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KREDITDERIVAT</w:t>
            </w:r>
          </w:p>
          <w:p w:rsidR="001C7AB7" w:rsidRPr="00392FFD" w:rsidRDefault="001C7AB7" w:rsidP="001C7AB7">
            <w:pPr>
              <w:rPr>
                <w:rFonts w:ascii="Times New Roman" w:hAnsi="Times New Roman"/>
                <w:sz w:val="24"/>
              </w:rPr>
            </w:pPr>
            <w:r>
              <w:rPr>
                <w:rFonts w:ascii="Times New Roman" w:hAnsi="Times New Roman"/>
                <w:sz w:val="24"/>
              </w:rPr>
              <w:t>Institut som inte använder egna skattningar av LGD-värden ska ange det justerade värdet (Ga) i enlighet med artikel 216 i CRR.</w:t>
            </w:r>
          </w:p>
          <w:p w:rsidR="00785F3E" w:rsidRPr="00392FFD" w:rsidRDefault="00785F3E" w:rsidP="001C7AB7">
            <w:pPr>
              <w:rPr>
                <w:rFonts w:ascii="Times New Roman" w:hAnsi="Times New Roman"/>
                <w:sz w:val="24"/>
              </w:rPr>
            </w:pPr>
            <w:r>
              <w:rPr>
                <w:rFonts w:ascii="Times New Roman" w:hAnsi="Times New Roman"/>
                <w:sz w:val="24"/>
              </w:rPr>
              <w:t xml:space="preserve">Institut som använder egna skattningar av LGD-värden (se artikel 183 i CRR) ska ange </w:t>
            </w:r>
            <w:r>
              <w:rPr>
                <w:rFonts w:ascii="Times New Roman" w:hAnsi="Times New Roman"/>
                <w:sz w:val="24"/>
              </w:rPr>
              <w:lastRenderedPageBreak/>
              <w:t>det relevanta värde som används i institutets interna modeller rapporteras.</w:t>
            </w:r>
          </w:p>
          <w:p w:rsidR="001C7AB7" w:rsidRPr="00392FFD" w:rsidRDefault="001C7AB7" w:rsidP="001C7AB7">
            <w:pPr>
              <w:rPr>
                <w:rFonts w:ascii="Times New Roman" w:hAnsi="Times New Roman"/>
                <w:sz w:val="24"/>
              </w:rPr>
            </w:pPr>
            <w:r>
              <w:rPr>
                <w:rFonts w:ascii="Times New Roman" w:hAnsi="Times New Roman"/>
                <w:sz w:val="24"/>
              </w:rPr>
              <w:t>Om justeringen har gjorts i LGD-värdet ska kreditderivatens nominella belopp rapport</w:t>
            </w:r>
            <w:r>
              <w:rPr>
                <w:rFonts w:ascii="Times New Roman" w:hAnsi="Times New Roman"/>
                <w:sz w:val="24"/>
              </w:rPr>
              <w:t>e</w:t>
            </w:r>
            <w:r>
              <w:rPr>
                <w:rFonts w:ascii="Times New Roman" w:hAnsi="Times New Roman"/>
                <w:sz w:val="24"/>
              </w:rPr>
              <w:t>ras i kolumn 160.</w:t>
            </w:r>
          </w:p>
          <w:p w:rsidR="001C7AB7" w:rsidRPr="00392FFD" w:rsidRDefault="001C7AB7" w:rsidP="00785F3E">
            <w:pPr>
              <w:jc w:val="left"/>
              <w:rPr>
                <w:rFonts w:ascii="Times New Roman" w:hAnsi="Times New Roman"/>
                <w:sz w:val="24"/>
              </w:rPr>
            </w:pPr>
            <w:r>
              <w:rPr>
                <w:rFonts w:ascii="Times New Roman" w:hAnsi="Times New Roman"/>
                <w:sz w:val="24"/>
              </w:rPr>
              <w:t>När det gäller exponeringar som är föremål för behandling av dubbelt obestånd ska vä</w:t>
            </w:r>
            <w:r>
              <w:rPr>
                <w:rFonts w:ascii="Times New Roman" w:hAnsi="Times New Roman"/>
                <w:sz w:val="24"/>
              </w:rPr>
              <w:t>r</w:t>
            </w:r>
            <w:r>
              <w:rPr>
                <w:rFonts w:ascii="Times New Roman" w:hAnsi="Times New Roman"/>
                <w:sz w:val="24"/>
              </w:rPr>
              <w:t>det på obetalt kreditriskskydd rapporteras i kolumn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ÖVRIGT FÖRBETALT KREDITRISKSKYDD</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Om en säkerhet påverkar exponeringen (t.ex. om den används för kreditriskreducering med substitutionseffekter av exponeringen) ska den begränsas till exponeringsvärdet.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Institut som inte använder egna skattningar av LGD-värden ska tillämpa artikel 232 i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Institut som använder egna skattningar av LGD-värden ska rapportera de metoder för kreditriskreducering som uppfyller kriterierna i artikel 212 i CRR. Det relevanta värde som används i institutets interna modeller ska rapporteras.</w:t>
            </w:r>
          </w:p>
          <w:p w:rsidR="001C7AB7" w:rsidRPr="00392FFD" w:rsidRDefault="001C7AB7" w:rsidP="001C7AB7">
            <w:pPr>
              <w:rPr>
                <w:rFonts w:ascii="Times New Roman" w:hAnsi="Times New Roman"/>
                <w:sz w:val="24"/>
              </w:rPr>
            </w:pPr>
            <w:r>
              <w:rPr>
                <w:rStyle w:val="InstructionsTabelleText"/>
                <w:rFonts w:ascii="Times New Roman" w:hAnsi="Times New Roman"/>
                <w:sz w:val="24"/>
              </w:rPr>
              <w:t>Rapporteras i kolumn 060 om justeringen inte har gjorts i LGD-värdet. Om LGD-värdet har justerats ska beloppet rapporteras i kolumn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SUBSTITUTION AV ÅTAGANDET TILL FÖLJD AV KREDITRISK-REDUCERING</w:t>
            </w:r>
          </w:p>
          <w:p w:rsidR="001C7AB7" w:rsidRPr="00392FFD" w:rsidRDefault="001C7AB7" w:rsidP="001C7AB7">
            <w:pPr>
              <w:rPr>
                <w:rFonts w:ascii="Times New Roman" w:hAnsi="Times New Roman"/>
                <w:sz w:val="24"/>
              </w:rPr>
            </w:pPr>
            <w:r>
              <w:rPr>
                <w:rFonts w:ascii="Times New Roman" w:hAnsi="Times New Roman"/>
                <w:sz w:val="24"/>
              </w:rPr>
              <w:t>Utflöden som motsvarar den täckta delen av den ursprungliga exponeringen före tilläm</w:t>
            </w:r>
            <w:r>
              <w:rPr>
                <w:rFonts w:ascii="Times New Roman" w:hAnsi="Times New Roman"/>
                <w:sz w:val="24"/>
              </w:rPr>
              <w:t>p</w:t>
            </w:r>
            <w:r>
              <w:rPr>
                <w:rFonts w:ascii="Times New Roman" w:hAnsi="Times New Roman"/>
                <w:sz w:val="24"/>
              </w:rPr>
              <w:t>ning av konverteringsfaktorer, vilken dras av från gäldenärens exponeringsklass, och i f</w:t>
            </w:r>
            <w:r>
              <w:rPr>
                <w:rFonts w:ascii="Times New Roman" w:hAnsi="Times New Roman"/>
                <w:sz w:val="24"/>
              </w:rPr>
              <w:t>ö</w:t>
            </w:r>
            <w:r>
              <w:rPr>
                <w:rFonts w:ascii="Times New Roman" w:hAnsi="Times New Roman"/>
                <w:sz w:val="24"/>
              </w:rPr>
              <w:t>rekommande fall från motpartsriskklassen, och sedan hänförs till exponeringsklassen för utfärdaren av kreditriskskydd, och i förekommande fall till motpartsriskklassen. Detta b</w:t>
            </w:r>
            <w:r>
              <w:rPr>
                <w:rFonts w:ascii="Times New Roman" w:hAnsi="Times New Roman"/>
                <w:sz w:val="24"/>
              </w:rPr>
              <w:t>e</w:t>
            </w:r>
            <w:r>
              <w:rPr>
                <w:rFonts w:ascii="Times New Roman" w:hAnsi="Times New Roman"/>
                <w:sz w:val="24"/>
              </w:rPr>
              <w:t>lopp räknas som ett inflöde till exponeringsklassen för utfärdaren av kreditriskskydd, och i förekommande fall till motpartsriskklassen.</w:t>
            </w:r>
          </w:p>
          <w:p w:rsidR="001C7AB7" w:rsidRPr="00392FFD" w:rsidRDefault="001C7AB7" w:rsidP="001C7AB7">
            <w:pPr>
              <w:rPr>
                <w:rFonts w:ascii="Times New Roman" w:hAnsi="Times New Roman"/>
                <w:b/>
                <w:sz w:val="24"/>
              </w:rPr>
            </w:pPr>
            <w:r>
              <w:rPr>
                <w:rFonts w:ascii="Times New Roman" w:hAnsi="Times New Roman"/>
                <w:sz w:val="24"/>
              </w:rPr>
              <w:t>Inflöden och utflöden inom samma exponeringsklass, och i förekommande fall motpart</w:t>
            </w:r>
            <w:r>
              <w:rPr>
                <w:rFonts w:ascii="Times New Roman" w:hAnsi="Times New Roman"/>
                <w:sz w:val="24"/>
              </w:rPr>
              <w:t>s</w:t>
            </w:r>
            <w:r>
              <w:rPr>
                <w:rFonts w:ascii="Times New Roman" w:hAnsi="Times New Roman"/>
                <w:sz w:val="24"/>
              </w:rPr>
              <w:t>riskklass, ska också rapporteras.</w:t>
            </w:r>
          </w:p>
          <w:p w:rsidR="001C7AB7" w:rsidRPr="00392FFD" w:rsidRDefault="001C7AB7" w:rsidP="001C7AB7">
            <w:pPr>
              <w:rPr>
                <w:rFonts w:ascii="Times New Roman" w:hAnsi="Times New Roman"/>
                <w:sz w:val="24"/>
              </w:rPr>
            </w:pPr>
            <w:r>
              <w:rPr>
                <w:rFonts w:ascii="Times New Roman" w:hAnsi="Times New Roman"/>
                <w:sz w:val="24"/>
              </w:rPr>
              <w:t>Exponeringar som härrör från eventuella inflöden och utflöden från och till andra mallar ska beaktas.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ÅTAGANDE EFTER KREDITRISKREDUCERING MED SUBSTITUTIONSE</w:t>
            </w:r>
            <w:r>
              <w:rPr>
                <w:rFonts w:ascii="Times New Roman" w:hAnsi="Times New Roman"/>
                <w:b/>
                <w:sz w:val="24"/>
                <w:u w:val="single"/>
              </w:rPr>
              <w:t>F</w:t>
            </w:r>
            <w:r>
              <w:rPr>
                <w:rFonts w:ascii="Times New Roman" w:hAnsi="Times New Roman"/>
                <w:b/>
                <w:sz w:val="24"/>
                <w:u w:val="single"/>
              </w:rPr>
              <w:t>FEKTER FÖRE KONVERTERINGSFAKTORER</w:t>
            </w:r>
          </w:p>
          <w:p w:rsidR="001C7AB7" w:rsidRPr="00392FFD" w:rsidRDefault="001C7AB7" w:rsidP="001C7AB7">
            <w:pPr>
              <w:rPr>
                <w:rFonts w:ascii="Times New Roman" w:hAnsi="Times New Roman"/>
                <w:sz w:val="24"/>
              </w:rPr>
            </w:pPr>
            <w:r>
              <w:rPr>
                <w:rFonts w:ascii="Times New Roman" w:hAnsi="Times New Roman"/>
                <w:sz w:val="24"/>
              </w:rPr>
              <w:t>Den exponering som placerats i respektive motpartsriskklass och exponeringsklass efter beaktande av utflöden och inflöden på grund av kreditriskreducering med substitutionse</w:t>
            </w:r>
            <w:r>
              <w:rPr>
                <w:rFonts w:ascii="Times New Roman" w:hAnsi="Times New Roman"/>
                <w:sz w:val="24"/>
              </w:rPr>
              <w:t>f</w:t>
            </w:r>
            <w:r>
              <w:rPr>
                <w:rFonts w:ascii="Times New Roman" w:hAnsi="Times New Roman"/>
                <w:sz w:val="24"/>
              </w:rPr>
              <w:t>fekter på exponeringen.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Poster utanför balansräkningen </w:t>
            </w:r>
          </w:p>
          <w:p w:rsidR="001C7AB7" w:rsidRPr="00392FFD" w:rsidRDefault="001C7AB7" w:rsidP="001C7AB7">
            <w:pPr>
              <w:rPr>
                <w:rFonts w:ascii="Times New Roman" w:hAnsi="Times New Roman"/>
                <w:sz w:val="24"/>
              </w:rPr>
            </w:pPr>
            <w:r>
              <w:rPr>
                <w:rFonts w:ascii="Times New Roman" w:hAnsi="Times New Roman"/>
                <w:sz w:val="24"/>
              </w:rPr>
              <w:t>Se instruktionerna till CR SA-mallen.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EXPONERINGSVÄRDE</w:t>
            </w:r>
          </w:p>
          <w:p w:rsidR="001C7AB7" w:rsidRPr="00392FFD" w:rsidRDefault="001C7AB7" w:rsidP="001C7AB7">
            <w:pPr>
              <w:rPr>
                <w:rFonts w:ascii="Times New Roman" w:hAnsi="Times New Roman"/>
                <w:sz w:val="24"/>
              </w:rPr>
            </w:pPr>
            <w:r>
              <w:rPr>
                <w:rFonts w:ascii="Times New Roman" w:hAnsi="Times New Roman"/>
                <w:sz w:val="24"/>
              </w:rPr>
              <w:t>Här rapporteras beloppet i enlighet med artikel 166 och artikel 230.1 andra meningen i CRR.</w:t>
            </w:r>
          </w:p>
          <w:p w:rsidR="001C7AB7" w:rsidRPr="00392FFD" w:rsidRDefault="001C7AB7" w:rsidP="001C7AB7">
            <w:pPr>
              <w:rPr>
                <w:rFonts w:ascii="Times New Roman" w:hAnsi="Times New Roman"/>
                <w:sz w:val="24"/>
              </w:rPr>
            </w:pPr>
            <w:r>
              <w:rPr>
                <w:rFonts w:ascii="Times New Roman" w:hAnsi="Times New Roman"/>
                <w:sz w:val="24"/>
              </w:rPr>
              <w:t xml:space="preserve">För de instrument som anges i bilaga I tillämpas de kreditkonverteringsfaktorer (artikel 166.8–166.10 i CRR) respektive den metod som institutet valt. </w:t>
            </w:r>
          </w:p>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På raderna 040–060 (transaktioner för värdepapperisering, derivat eller transaktioner med långfristig avveckling eller som härrör från avtal om produktövergripande nettning) ra</w:t>
            </w:r>
            <w:r>
              <w:rPr>
                <w:rStyle w:val="InstructionsTabelleText"/>
                <w:rFonts w:ascii="Times New Roman" w:hAnsi="Times New Roman"/>
                <w:sz w:val="24"/>
              </w:rPr>
              <w:t>p</w:t>
            </w:r>
            <w:r>
              <w:rPr>
                <w:rStyle w:val="InstructionsTabelleText"/>
                <w:rFonts w:ascii="Times New Roman" w:hAnsi="Times New Roman"/>
                <w:sz w:val="24"/>
              </w:rPr>
              <w:t>porteras, om inget annat följer av del tre avdelning II kapitel 6 i CRR, samma expon</w:t>
            </w:r>
            <w:r>
              <w:rPr>
                <w:rStyle w:val="InstructionsTabelleText"/>
                <w:rFonts w:ascii="Times New Roman" w:hAnsi="Times New Roman"/>
                <w:sz w:val="24"/>
              </w:rPr>
              <w:t>e</w:t>
            </w:r>
            <w:r>
              <w:rPr>
                <w:rStyle w:val="InstructionsTabelleText"/>
                <w:rFonts w:ascii="Times New Roman" w:hAnsi="Times New Roman"/>
                <w:sz w:val="24"/>
              </w:rPr>
              <w:t>ringsvärde som för motpartsrisken beräknad enligt de metoder som fastställs i del tre a</w:t>
            </w:r>
            <w:r>
              <w:rPr>
                <w:rStyle w:val="InstructionsTabelleText"/>
                <w:rFonts w:ascii="Times New Roman" w:hAnsi="Times New Roman"/>
                <w:sz w:val="24"/>
              </w:rPr>
              <w:t>v</w:t>
            </w:r>
            <w:r>
              <w:rPr>
                <w:rStyle w:val="InstructionsTabelleText"/>
                <w:rFonts w:ascii="Times New Roman" w:hAnsi="Times New Roman"/>
                <w:sz w:val="24"/>
              </w:rPr>
              <w:t>delning II kapitel 7 avsnitten 3–7 i CRR. Dessa värden rapporteras i denna kolumn och inte i kolumn 130 ”Varav: Till följd av motpartsrisk”.</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Till följd av motpartsrisk </w:t>
            </w:r>
          </w:p>
          <w:p w:rsidR="001C7AB7" w:rsidRPr="00392FFD" w:rsidRDefault="001C7AB7" w:rsidP="00FD6CCB">
            <w:pPr>
              <w:rPr>
                <w:rFonts w:ascii="Times New Roman" w:hAnsi="Times New Roman"/>
                <w:sz w:val="24"/>
              </w:rPr>
            </w:pPr>
            <w:r>
              <w:rPr>
                <w:rFonts w:ascii="Times New Roman" w:hAnsi="Times New Roman"/>
                <w:sz w:val="24"/>
              </w:rPr>
              <w:t>Se instruktionerna till CR SA-mallen.</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VARAV: STORA ENHETER INOM FINANSSEKTORN OCH ICKE REGL</w:t>
            </w:r>
            <w:r>
              <w:rPr>
                <w:rFonts w:ascii="Times New Roman" w:hAnsi="Times New Roman"/>
                <w:b/>
                <w:sz w:val="24"/>
                <w:u w:val="single"/>
              </w:rPr>
              <w:t>E</w:t>
            </w:r>
            <w:r>
              <w:rPr>
                <w:rFonts w:ascii="Times New Roman" w:hAnsi="Times New Roman"/>
                <w:b/>
                <w:sz w:val="24"/>
                <w:u w:val="single"/>
              </w:rPr>
              <w:t>RADE FINANSIELLA ENHETER</w:t>
            </w:r>
          </w:p>
          <w:p w:rsidR="001C7AB7" w:rsidRPr="00392FFD" w:rsidRDefault="001C7AB7" w:rsidP="001C7AB7">
            <w:pPr>
              <w:rPr>
                <w:rFonts w:ascii="Times New Roman" w:hAnsi="Times New Roman"/>
                <w:b/>
                <w:sz w:val="24"/>
                <w:u w:val="single"/>
              </w:rPr>
            </w:pPr>
            <w:r>
              <w:rPr>
                <w:rFonts w:ascii="Times New Roman" w:hAnsi="Times New Roman"/>
                <w:sz w:val="24"/>
              </w:rPr>
              <w:t>Uppdelning av exponeringsvärdet för samtliga exponeringar avseende enheter som o</w:t>
            </w:r>
            <w:r>
              <w:rPr>
                <w:rFonts w:ascii="Times New Roman" w:hAnsi="Times New Roman"/>
                <w:sz w:val="24"/>
              </w:rPr>
              <w:t>m</w:t>
            </w:r>
            <w:r>
              <w:rPr>
                <w:rFonts w:ascii="Times New Roman" w:hAnsi="Times New Roman"/>
                <w:sz w:val="24"/>
              </w:rPr>
              <w:t>fattas av definitionerna i artikel 142.1.4 och 142.1.5 i CRR samt som är föremål för den högre korrelationsfaktorn i enlighet med artikel 153.2 i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METODER FÖR KREDITRISKREDUCERING SOM BEAKTATS I LGD-SKATTNINGAR EXKLUSIVE HANTERING AV DUBBLA FALLISSEMANG</w:t>
            </w:r>
          </w:p>
          <w:p w:rsidR="001C7AB7" w:rsidRPr="00392FFD" w:rsidRDefault="001C7AB7" w:rsidP="001C7AB7">
            <w:pPr>
              <w:rPr>
                <w:rFonts w:ascii="Times New Roman" w:hAnsi="Times New Roman"/>
                <w:sz w:val="24"/>
              </w:rPr>
            </w:pPr>
            <w:r>
              <w:rPr>
                <w:rFonts w:ascii="Times New Roman" w:hAnsi="Times New Roman"/>
                <w:sz w:val="24"/>
              </w:rPr>
              <w:t>Metoder för kreditriskreducering som påverkar LGD-värdena till följd av att kreditriskr</w:t>
            </w:r>
            <w:r>
              <w:rPr>
                <w:rFonts w:ascii="Times New Roman" w:hAnsi="Times New Roman"/>
                <w:sz w:val="24"/>
              </w:rPr>
              <w:t>e</w:t>
            </w:r>
            <w:r>
              <w:rPr>
                <w:rFonts w:ascii="Times New Roman" w:hAnsi="Times New Roman"/>
                <w:sz w:val="24"/>
              </w:rPr>
              <w:t xml:space="preserve">duceringens substitutionseffekt tillämpas ska inte tas upp i dessa kolumner. </w:t>
            </w:r>
          </w:p>
          <w:p w:rsidR="001C7AB7" w:rsidRPr="00392FFD" w:rsidRDefault="00C61FF5" w:rsidP="001C7AB7">
            <w:pPr>
              <w:rPr>
                <w:rFonts w:ascii="Times New Roman" w:hAnsi="Times New Roman"/>
                <w:sz w:val="24"/>
              </w:rPr>
            </w:pPr>
            <w:r>
              <w:rPr>
                <w:rFonts w:ascii="Times New Roman" w:hAnsi="Times New Roman"/>
                <w:sz w:val="24"/>
              </w:rPr>
              <w:t>Institut som inte använder egna skattningar av LGD-värden ska tillämpa artiklarna 228.2, 230.1 och 230.2 samt artikel 231 i CRR.</w:t>
            </w:r>
          </w:p>
          <w:p w:rsidR="001C7AB7" w:rsidRPr="00392FFD" w:rsidRDefault="00C61FF5" w:rsidP="001C7AB7">
            <w:pPr>
              <w:rPr>
                <w:rFonts w:ascii="Times New Roman" w:hAnsi="Times New Roman"/>
                <w:sz w:val="24"/>
              </w:rPr>
            </w:pPr>
            <w:r>
              <w:rPr>
                <w:rFonts w:ascii="Times New Roman" w:hAnsi="Times New Roman"/>
                <w:sz w:val="24"/>
              </w:rPr>
              <w:t xml:space="preserve">Institut som använder egna skattningar av LGD-värden </w:t>
            </w:r>
          </w:p>
          <w:p w:rsidR="001C7AB7" w:rsidRPr="00392FFD" w:rsidRDefault="001C7AB7" w:rsidP="001C7AB7">
            <w:pPr>
              <w:rPr>
                <w:rFonts w:ascii="Times New Roman" w:hAnsi="Times New Roman"/>
                <w:sz w:val="24"/>
              </w:rPr>
            </w:pPr>
            <w:r>
              <w:rPr>
                <w:rFonts w:ascii="Times New Roman" w:hAnsi="Times New Roman"/>
                <w:sz w:val="24"/>
              </w:rPr>
              <w:t>ska tillämpa följande: För obetalt kreditriskskydd för exponeringar mot nationella reg</w:t>
            </w:r>
            <w:r>
              <w:rPr>
                <w:rFonts w:ascii="Times New Roman" w:hAnsi="Times New Roman"/>
                <w:sz w:val="24"/>
              </w:rPr>
              <w:t>e</w:t>
            </w:r>
            <w:r>
              <w:rPr>
                <w:rFonts w:ascii="Times New Roman" w:hAnsi="Times New Roman"/>
                <w:sz w:val="24"/>
              </w:rPr>
              <w:t>ringar eller centralbanker, institut och företag:  Artikel 161.3 i CRR. För hushållsexpon</w:t>
            </w:r>
            <w:r>
              <w:rPr>
                <w:rFonts w:ascii="Times New Roman" w:hAnsi="Times New Roman"/>
                <w:sz w:val="24"/>
              </w:rPr>
              <w:t>e</w:t>
            </w:r>
            <w:r>
              <w:rPr>
                <w:rFonts w:ascii="Times New Roman" w:hAnsi="Times New Roman"/>
                <w:sz w:val="24"/>
              </w:rPr>
              <w:t xml:space="preserve">ringar tillämpas artikel 164.2 i CRR. </w:t>
            </w:r>
          </w:p>
          <w:p w:rsidR="001C7AB7" w:rsidRPr="00392FFD" w:rsidRDefault="001C7AB7" w:rsidP="00255BA9">
            <w:pPr>
              <w:rPr>
                <w:rFonts w:ascii="Times New Roman" w:hAnsi="Times New Roman"/>
                <w:b/>
                <w:sz w:val="24"/>
                <w:u w:val="single"/>
              </w:rPr>
            </w:pPr>
            <w:r>
              <w:rPr>
                <w:rFonts w:ascii="Times New Roman" w:hAnsi="Times New Roman"/>
                <w:sz w:val="24"/>
              </w:rPr>
              <w:t>För förbetalt kreditriskskydd ska LGD-skattningarna ta hänsyn till säkerhet i enlighet med artikel 181.1 e och f i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GARANTIER </w:t>
            </w:r>
          </w:p>
          <w:p w:rsidR="001C7AB7" w:rsidRPr="00392FFD" w:rsidRDefault="001C7AB7" w:rsidP="001C7AB7">
            <w:pPr>
              <w:jc w:val="left"/>
              <w:rPr>
                <w:rFonts w:ascii="Times New Roman" w:hAnsi="Times New Roman"/>
                <w:b/>
                <w:sz w:val="24"/>
                <w:u w:val="single"/>
              </w:rPr>
            </w:pPr>
            <w:r>
              <w:rPr>
                <w:rFonts w:ascii="Times New Roman" w:hAnsi="Times New Roman"/>
                <w:sz w:val="24"/>
              </w:rPr>
              <w:t>Se instruktionerna till kolumn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KREDITDERIVAT </w:t>
            </w:r>
          </w:p>
          <w:p w:rsidR="001C7AB7" w:rsidRPr="00392FFD" w:rsidRDefault="001C7AB7" w:rsidP="001C7AB7">
            <w:pPr>
              <w:rPr>
                <w:rFonts w:ascii="Times New Roman" w:hAnsi="Times New Roman"/>
                <w:sz w:val="24"/>
              </w:rPr>
            </w:pPr>
            <w:r>
              <w:rPr>
                <w:rFonts w:ascii="Times New Roman" w:hAnsi="Times New Roman"/>
                <w:sz w:val="24"/>
              </w:rPr>
              <w:t>Se instruktionerna till kolumn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EGNA SKATTNINGAR AV LGD ANVÄNDS: ÖVRIGT FÖRBETALT KRED</w:t>
            </w:r>
            <w:r>
              <w:rPr>
                <w:rFonts w:ascii="Times New Roman" w:hAnsi="Times New Roman"/>
                <w:b/>
                <w:sz w:val="24"/>
                <w:u w:val="single"/>
              </w:rPr>
              <w:t>I</w:t>
            </w:r>
            <w:r>
              <w:rPr>
                <w:rFonts w:ascii="Times New Roman" w:hAnsi="Times New Roman"/>
                <w:b/>
                <w:sz w:val="24"/>
                <w:u w:val="single"/>
              </w:rPr>
              <w:t xml:space="preserve">TRISKSKYDD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Det relevanta värde som används i institutets interna modeller.</w:t>
            </w:r>
          </w:p>
          <w:p w:rsidR="001C7AB7" w:rsidRPr="00392FFD" w:rsidRDefault="001C7AB7" w:rsidP="00255BA9">
            <w:pPr>
              <w:rPr>
                <w:rFonts w:ascii="Times New Roman" w:hAnsi="Times New Roman"/>
                <w:sz w:val="24"/>
              </w:rPr>
            </w:pPr>
            <w:r>
              <w:rPr>
                <w:rFonts w:ascii="Times New Roman" w:hAnsi="Times New Roman"/>
                <w:sz w:val="24"/>
              </w:rPr>
              <w:t xml:space="preserve">De metoder för kreditriskreducering som uppfyller kriterierna i artikel 212 i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GODTAGBAR FINANSIELL SÄKERHET</w:t>
            </w:r>
          </w:p>
          <w:p w:rsidR="001C7AB7" w:rsidRPr="00392FFD" w:rsidRDefault="001C7AB7" w:rsidP="001C7AB7">
            <w:pPr>
              <w:rPr>
                <w:rFonts w:ascii="Times New Roman" w:hAnsi="Times New Roman"/>
                <w:sz w:val="24"/>
              </w:rPr>
            </w:pPr>
            <w:r>
              <w:rPr>
                <w:rFonts w:ascii="Times New Roman" w:hAnsi="Times New Roman"/>
                <w:sz w:val="24"/>
              </w:rPr>
              <w:t>För transaktioner inom handelslagret omfattas finansiella instrument och råvaror vilka är godtagbara för exponeringar i handelslagret i enlighet med artikel 299.2 c–f i CRR. Kr</w:t>
            </w:r>
            <w:r>
              <w:rPr>
                <w:rFonts w:ascii="Times New Roman" w:hAnsi="Times New Roman"/>
                <w:sz w:val="24"/>
              </w:rPr>
              <w:t>e</w:t>
            </w:r>
            <w:r>
              <w:rPr>
                <w:rFonts w:ascii="Times New Roman" w:hAnsi="Times New Roman"/>
                <w:sz w:val="24"/>
              </w:rPr>
              <w:t>ditlänkade obligationer och nettning inom balansräkningen i enlighet med del 3 avde</w:t>
            </w:r>
            <w:r>
              <w:rPr>
                <w:rFonts w:ascii="Times New Roman" w:hAnsi="Times New Roman"/>
                <w:sz w:val="24"/>
              </w:rPr>
              <w:t>l</w:t>
            </w:r>
            <w:r>
              <w:rPr>
                <w:rFonts w:ascii="Times New Roman" w:hAnsi="Times New Roman"/>
                <w:sz w:val="24"/>
              </w:rPr>
              <w:t>ning II kapitel 4 avsnitt 4 i CRR behandlas som kontant säkerhet.</w:t>
            </w:r>
          </w:p>
          <w:p w:rsidR="001C7AB7" w:rsidRPr="00392FFD" w:rsidRDefault="001C7AB7" w:rsidP="001C7AB7">
            <w:pPr>
              <w:rPr>
                <w:rFonts w:ascii="Times New Roman" w:hAnsi="Times New Roman"/>
                <w:sz w:val="24"/>
              </w:rPr>
            </w:pPr>
            <w:r>
              <w:rPr>
                <w:rFonts w:ascii="Times New Roman" w:hAnsi="Times New Roman"/>
                <w:sz w:val="24"/>
              </w:rPr>
              <w:lastRenderedPageBreak/>
              <w:t>Om egna skattningar av LGD-värden inte används: värden i enlighet med artiklarna 193.1–193.4 och artikel 194.1 i CRR. Det justerade värdet (Cvam) rapporteras i enlighet med artikel 223.2 i CRR.</w:t>
            </w:r>
          </w:p>
          <w:p w:rsidR="001C7AB7" w:rsidRPr="00392FFD" w:rsidRDefault="001C7AB7" w:rsidP="00902EFC">
            <w:pPr>
              <w:rPr>
                <w:rFonts w:ascii="Times New Roman" w:hAnsi="Times New Roman"/>
                <w:b/>
                <w:sz w:val="24"/>
                <w:u w:val="single"/>
              </w:rPr>
            </w:pPr>
            <w:r>
              <w:rPr>
                <w:rFonts w:ascii="Times New Roman" w:hAnsi="Times New Roman"/>
                <w:sz w:val="24"/>
              </w:rPr>
              <w:t>Om egna skattningar av LGD-värden används: Finansiell säkerhet som beaktas för LGD-skattningarna i enlighet med artikel 181.1 e och f i CRR. Beloppet som rapporteras ska vara säkerheternas uppskattade marknadsvärde.</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ÖVRIGA GODTAGBARA SÄKERHETER</w:t>
            </w:r>
          </w:p>
          <w:p w:rsidR="001C7AB7" w:rsidRPr="00392FFD" w:rsidRDefault="00C61FF5" w:rsidP="001C7AB7">
            <w:pPr>
              <w:rPr>
                <w:rFonts w:ascii="Times New Roman" w:hAnsi="Times New Roman"/>
                <w:sz w:val="24"/>
              </w:rPr>
            </w:pPr>
            <w:r>
              <w:rPr>
                <w:rFonts w:ascii="Times New Roman" w:hAnsi="Times New Roman"/>
                <w:sz w:val="24"/>
              </w:rPr>
              <w:t>Institut som inte använder egna skattningar av LGD-värden Artiklarna 199.1–199.8 och 229 i CRR.</w:t>
            </w:r>
          </w:p>
          <w:p w:rsidR="001C7AB7" w:rsidRPr="00392FFD" w:rsidRDefault="00C61FF5" w:rsidP="00C61FF5">
            <w:pPr>
              <w:rPr>
                <w:rFonts w:ascii="Times New Roman" w:hAnsi="Times New Roman"/>
                <w:b/>
                <w:sz w:val="24"/>
                <w:u w:val="single"/>
              </w:rPr>
            </w:pPr>
            <w:r>
              <w:rPr>
                <w:rFonts w:ascii="Times New Roman" w:hAnsi="Times New Roman"/>
                <w:sz w:val="24"/>
              </w:rPr>
              <w:t>Institut som använder egna skattningar av LGD-värden Övrig säkerhet som beaktas för LGD-skattningarna i enlighet med artikel 181.1 e och f i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FAST EGENDOM</w:t>
            </w:r>
          </w:p>
          <w:p w:rsidR="001C7AB7" w:rsidRPr="00392FFD" w:rsidRDefault="00C61FF5" w:rsidP="00C61FF5">
            <w:pPr>
              <w:spacing w:line="240" w:lineRule="exact"/>
              <w:rPr>
                <w:rFonts w:ascii="Times New Roman" w:hAnsi="Times New Roman"/>
                <w:sz w:val="24"/>
              </w:rPr>
            </w:pPr>
            <w:r>
              <w:rPr>
                <w:rFonts w:ascii="Times New Roman" w:hAnsi="Times New Roman"/>
                <w:sz w:val="24"/>
              </w:rPr>
              <w:t>Institut som inte använder egna skattningar av LGD-värden ska rapportera värden i e</w:t>
            </w:r>
            <w:r>
              <w:rPr>
                <w:rFonts w:ascii="Times New Roman" w:hAnsi="Times New Roman"/>
                <w:sz w:val="24"/>
              </w:rPr>
              <w:t>n</w:t>
            </w:r>
            <w:r>
              <w:rPr>
                <w:rFonts w:ascii="Times New Roman" w:hAnsi="Times New Roman"/>
                <w:sz w:val="24"/>
              </w:rPr>
              <w:t>lighet med artikel 199.2–199.4 i CRR. Leasing av fastigheter omfattas också (se artikel 199.7 i CRR). Se även artikel 229 i CRR.</w:t>
            </w:r>
          </w:p>
          <w:p w:rsidR="001C7AB7" w:rsidRPr="00392FFD" w:rsidRDefault="001C7AB7" w:rsidP="00C61FF5">
            <w:pPr>
              <w:spacing w:line="240" w:lineRule="exact"/>
              <w:rPr>
                <w:rFonts w:ascii="Times New Roman" w:hAnsi="Times New Roman"/>
                <w:sz w:val="24"/>
              </w:rPr>
            </w:pPr>
            <w:r>
              <w:rPr>
                <w:rFonts w:ascii="Times New Roman" w:hAnsi="Times New Roman"/>
                <w:sz w:val="24"/>
              </w:rPr>
              <w:t>Institut som använder egna skattningar av LGD-värden ska rapportera det belopp som motsvarar det estimerade marknadsvärdet.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ÖVRIGA FYSISKA SÄKERHETER</w:t>
            </w:r>
          </w:p>
          <w:p w:rsidR="001C7AB7" w:rsidRPr="00392FFD" w:rsidRDefault="00C61FF5" w:rsidP="001C7AB7">
            <w:pPr>
              <w:rPr>
                <w:rFonts w:ascii="Times New Roman" w:hAnsi="Times New Roman"/>
                <w:sz w:val="24"/>
              </w:rPr>
            </w:pPr>
            <w:r>
              <w:rPr>
                <w:rFonts w:ascii="Times New Roman" w:hAnsi="Times New Roman"/>
                <w:sz w:val="24"/>
              </w:rPr>
              <w:t>Institut som inte använder egna skattningar av LGD-värden ska rapportera värden i e</w:t>
            </w:r>
            <w:r>
              <w:rPr>
                <w:rFonts w:ascii="Times New Roman" w:hAnsi="Times New Roman"/>
                <w:sz w:val="24"/>
              </w:rPr>
              <w:t>n</w:t>
            </w:r>
            <w:r>
              <w:rPr>
                <w:rFonts w:ascii="Times New Roman" w:hAnsi="Times New Roman"/>
                <w:sz w:val="24"/>
              </w:rPr>
              <w:t xml:space="preserve">lighet med artikel 199.6–199.8 i CRR. Leasing av annan egendom än fastigheter omfattas också (se artikel 199.7 i CRR). Se även artikel 229.3 i CRR. </w:t>
            </w:r>
          </w:p>
          <w:p w:rsidR="001C7AB7" w:rsidRPr="00392FFD" w:rsidRDefault="00C61FF5" w:rsidP="00C61FF5">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FORDRINGAR</w:t>
            </w:r>
          </w:p>
          <w:p w:rsidR="001C7AB7" w:rsidRPr="00392FFD" w:rsidRDefault="001C7AB7" w:rsidP="001C7AB7">
            <w:pPr>
              <w:rPr>
                <w:rFonts w:ascii="Times New Roman" w:hAnsi="Times New Roman"/>
                <w:sz w:val="24"/>
              </w:rPr>
            </w:pPr>
            <w:r>
              <w:rPr>
                <w:rFonts w:ascii="Times New Roman" w:hAnsi="Times New Roman"/>
                <w:sz w:val="24"/>
              </w:rPr>
              <w:t>Institut som inte använder egna skattningar av LGD-värden ska rapportera värden i e</w:t>
            </w:r>
            <w:r>
              <w:rPr>
                <w:rFonts w:ascii="Times New Roman" w:hAnsi="Times New Roman"/>
                <w:sz w:val="24"/>
              </w:rPr>
              <w:t>n</w:t>
            </w:r>
            <w:r>
              <w:rPr>
                <w:rFonts w:ascii="Times New Roman" w:hAnsi="Times New Roman"/>
                <w:sz w:val="24"/>
              </w:rPr>
              <w:t>lighet med artikel 199.5 och 229.2 i CRR.</w:t>
            </w:r>
          </w:p>
          <w:p w:rsidR="001C7AB7" w:rsidRPr="00392FFD" w:rsidRDefault="001C7AB7" w:rsidP="001C7AB7">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OMFATTAS AV HANTERING AV DUBBLA FALLISSEMANG OBETALT KREDITRISKSKYDD</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Garantier och kreditderivat som täcker exponeringar som är föremål för behandling av dubbelt obestånd i enlighet med artiklarna 202 och 217.1 i CRR. Se även kolumnerna 040 ”garantier” och 050 ”kreditderivat”.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EXPONERINGSVÄGT GENOMSNITTLIGT LGD (%)</w:t>
            </w:r>
          </w:p>
          <w:p w:rsidR="001C7AB7" w:rsidRPr="00392FFD" w:rsidRDefault="001C7AB7" w:rsidP="001C7AB7">
            <w:pPr>
              <w:rPr>
                <w:rFonts w:ascii="Times New Roman" w:hAnsi="Times New Roman"/>
                <w:sz w:val="24"/>
              </w:rPr>
            </w:pPr>
            <w:r>
              <w:rPr>
                <w:rFonts w:ascii="Times New Roman" w:hAnsi="Times New Roman"/>
                <w:sz w:val="24"/>
              </w:rPr>
              <w:t>All inverkan av kreditriskreducering på de LGD-värden som anges i del tre avdelning II kapitlen 3 och 4 i CRR ska beaktas. Om det finns exponeringar som är föremål för b</w:t>
            </w:r>
            <w:r>
              <w:rPr>
                <w:rFonts w:ascii="Times New Roman" w:hAnsi="Times New Roman"/>
                <w:sz w:val="24"/>
              </w:rPr>
              <w:t>e</w:t>
            </w:r>
            <w:r>
              <w:rPr>
                <w:rFonts w:ascii="Times New Roman" w:hAnsi="Times New Roman"/>
                <w:sz w:val="24"/>
              </w:rPr>
              <w:t>handling av dubbelt obestånd ska institutet rapportera det LGD-värde som valdes i enli</w:t>
            </w:r>
            <w:r>
              <w:rPr>
                <w:rFonts w:ascii="Times New Roman" w:hAnsi="Times New Roman"/>
                <w:sz w:val="24"/>
              </w:rPr>
              <w:t>g</w:t>
            </w:r>
            <w:r>
              <w:rPr>
                <w:rFonts w:ascii="Times New Roman" w:hAnsi="Times New Roman"/>
                <w:sz w:val="24"/>
              </w:rPr>
              <w:t>het med artikel 161.4 i CRR.</w:t>
            </w:r>
          </w:p>
          <w:p w:rsidR="001C7AB7" w:rsidRPr="00392FFD" w:rsidRDefault="001C7AB7" w:rsidP="001C7AB7">
            <w:pPr>
              <w:rPr>
                <w:rFonts w:ascii="Times New Roman" w:hAnsi="Times New Roman"/>
                <w:sz w:val="24"/>
              </w:rPr>
            </w:pPr>
            <w:r>
              <w:rPr>
                <w:rFonts w:ascii="Times New Roman" w:hAnsi="Times New Roman"/>
                <w:sz w:val="24"/>
              </w:rPr>
              <w:t>Fallerade exponeringar ska rapporteras i enlighet med bestämmelserna i artikel 181.1 h i CRR.</w:t>
            </w:r>
          </w:p>
          <w:p w:rsidR="001C7AB7" w:rsidRPr="00392FFD" w:rsidRDefault="001C7AB7" w:rsidP="001C7AB7">
            <w:pPr>
              <w:rPr>
                <w:rFonts w:ascii="Times New Roman" w:hAnsi="Times New Roman"/>
                <w:sz w:val="24"/>
              </w:rPr>
            </w:pPr>
            <w:r>
              <w:rPr>
                <w:rFonts w:ascii="Times New Roman" w:hAnsi="Times New Roman"/>
                <w:sz w:val="24"/>
              </w:rPr>
              <w:lastRenderedPageBreak/>
              <w:t>Definitionen av exponeringsvärde i kolumn 110 ska ligga till grund för beräkningen av de exponeringsvägda genomsnittliga värdena.</w:t>
            </w:r>
          </w:p>
          <w:p w:rsidR="001C7AB7" w:rsidRPr="00392FFD" w:rsidRDefault="001C7AB7" w:rsidP="001C7AB7">
            <w:pPr>
              <w:rPr>
                <w:rFonts w:ascii="Times New Roman" w:hAnsi="Times New Roman"/>
                <w:sz w:val="24"/>
              </w:rPr>
            </w:pPr>
            <w:r>
              <w:rPr>
                <w:rFonts w:ascii="Times New Roman" w:hAnsi="Times New Roman"/>
                <w:sz w:val="24"/>
              </w:rPr>
              <w:t>Alla effekter ska beaktas (det golv som är tillämpligt för panträtter ska alltså ingå i ra</w:t>
            </w:r>
            <w:r>
              <w:rPr>
                <w:rFonts w:ascii="Times New Roman" w:hAnsi="Times New Roman"/>
                <w:sz w:val="24"/>
              </w:rPr>
              <w:t>p</w:t>
            </w:r>
            <w:r>
              <w:rPr>
                <w:rFonts w:ascii="Times New Roman" w:hAnsi="Times New Roman"/>
                <w:sz w:val="24"/>
              </w:rPr>
              <w:t>porteringen).</w:t>
            </w:r>
          </w:p>
          <w:p w:rsidR="001C7AB7" w:rsidRPr="00392FFD" w:rsidRDefault="001C7AB7" w:rsidP="001C7AB7">
            <w:pPr>
              <w:rPr>
                <w:rFonts w:ascii="Times New Roman" w:hAnsi="Times New Roman"/>
                <w:sz w:val="24"/>
              </w:rPr>
            </w:pPr>
            <w:r>
              <w:rPr>
                <w:rFonts w:ascii="Times New Roman" w:hAnsi="Times New Roman"/>
                <w:sz w:val="24"/>
              </w:rPr>
              <w:t>För institut som tillämpar internmetoden men som inte använder egna skattningar av LGD-värden speglas de finansiella säkerheternas kreditriskreduceringseffekter i E*, e</w:t>
            </w:r>
            <w:r>
              <w:rPr>
                <w:rFonts w:ascii="Times New Roman" w:hAnsi="Times New Roman"/>
                <w:sz w:val="24"/>
              </w:rPr>
              <w:t>x</w:t>
            </w:r>
            <w:r>
              <w:rPr>
                <w:rFonts w:ascii="Times New Roman" w:hAnsi="Times New Roman"/>
                <w:sz w:val="24"/>
              </w:rPr>
              <w:t>poneringens fullständigt justerade värde, och sedan i LGD* i enlighet med artikel 228.2 i CRR.</w:t>
            </w:r>
          </w:p>
          <w:p w:rsidR="001C7AB7" w:rsidRPr="00392FFD" w:rsidRDefault="001C7AB7" w:rsidP="001C7AB7">
            <w:pPr>
              <w:rPr>
                <w:rFonts w:ascii="Times New Roman" w:hAnsi="Times New Roman"/>
                <w:sz w:val="24"/>
              </w:rPr>
            </w:pPr>
            <w:r>
              <w:rPr>
                <w:rFonts w:ascii="Times New Roman" w:hAnsi="Times New Roman"/>
                <w:sz w:val="24"/>
              </w:rPr>
              <w:t>Det exponeringsvägda genomsnittliga LGD-värdet för varje ”motpartsriskklass” med sannolikhet för obestånd ska härröra från genomsnittet av de rimliga LGD-värden som åsatts exponeringarna i den PD-klassen, riskvägda med respektive exponeringsvärde i k</w:t>
            </w:r>
            <w:r>
              <w:rPr>
                <w:rFonts w:ascii="Times New Roman" w:hAnsi="Times New Roman"/>
                <w:sz w:val="24"/>
              </w:rPr>
              <w:t>o</w:t>
            </w:r>
            <w:r>
              <w:rPr>
                <w:rFonts w:ascii="Times New Roman" w:hAnsi="Times New Roman"/>
                <w:sz w:val="24"/>
              </w:rPr>
              <w:t>lumn 110.</w:t>
            </w:r>
          </w:p>
          <w:p w:rsidR="001C7AB7" w:rsidRPr="00392FFD" w:rsidRDefault="001C7AB7" w:rsidP="001C7AB7">
            <w:pPr>
              <w:rPr>
                <w:rFonts w:ascii="Times New Roman" w:hAnsi="Times New Roman"/>
                <w:sz w:val="24"/>
              </w:rPr>
            </w:pPr>
            <w:r>
              <w:rPr>
                <w:rFonts w:ascii="Times New Roman" w:hAnsi="Times New Roman"/>
                <w:sz w:val="24"/>
              </w:rPr>
              <w:t>Institut som använder egna skattningar av LGD-värden ska tillämpa artiklarna 175, 181.1 och 181.2.</w:t>
            </w:r>
          </w:p>
          <w:p w:rsidR="001C7AB7" w:rsidRPr="00392FFD" w:rsidRDefault="001C7AB7" w:rsidP="001C7AB7">
            <w:pPr>
              <w:rPr>
                <w:rFonts w:ascii="Times New Roman" w:hAnsi="Times New Roman"/>
                <w:sz w:val="24"/>
              </w:rPr>
            </w:pPr>
            <w:r>
              <w:rPr>
                <w:rFonts w:ascii="Times New Roman" w:hAnsi="Times New Roman"/>
                <w:sz w:val="24"/>
              </w:rPr>
              <w:t>Om det finns exponeringar som är föremål för behandling av dubbelt obestånd ska inst</w:t>
            </w:r>
            <w:r>
              <w:rPr>
                <w:rFonts w:ascii="Times New Roman" w:hAnsi="Times New Roman"/>
                <w:sz w:val="24"/>
              </w:rPr>
              <w:t>i</w:t>
            </w:r>
            <w:r>
              <w:rPr>
                <w:rFonts w:ascii="Times New Roman" w:hAnsi="Times New Roman"/>
                <w:sz w:val="24"/>
              </w:rPr>
              <w:t>tutet rapportera det LGD-värde som valdes i enlighet med artikel 161.4 i CRR.</w:t>
            </w:r>
          </w:p>
          <w:p w:rsidR="001C7AB7" w:rsidRPr="00392FFD" w:rsidRDefault="001C7AB7" w:rsidP="001C7AB7">
            <w:pPr>
              <w:rPr>
                <w:rFonts w:ascii="Times New Roman" w:hAnsi="Times New Roman"/>
                <w:sz w:val="24"/>
              </w:rPr>
            </w:pPr>
            <w:r>
              <w:rPr>
                <w:rFonts w:ascii="Times New Roman" w:hAnsi="Times New Roman"/>
                <w:sz w:val="24"/>
              </w:rPr>
              <w:t>Beräkningen av det exponeringsvägda genomsnittliga LGD-värdet ska härröra från de riskparametrar som faktiskt används i det interna riskklassificeringssystem som godkänts av respektive behöriga myndighet.</w:t>
            </w:r>
          </w:p>
          <w:p w:rsidR="001C7AB7" w:rsidRPr="00392FFD" w:rsidRDefault="00224FE5" w:rsidP="001C7AB7">
            <w:pPr>
              <w:rPr>
                <w:rFonts w:ascii="Times New Roman" w:hAnsi="Times New Roman"/>
                <w:sz w:val="24"/>
              </w:rPr>
            </w:pPr>
            <w:r>
              <w:rPr>
                <w:rFonts w:ascii="Times New Roman" w:hAnsi="Times New Roman"/>
                <w:sz w:val="24"/>
              </w:rPr>
              <w:t>Inga uppgifter ska rapporteras för de exponeringar avseende specialutlåning som avses i artikel 153.5.</w:t>
            </w:r>
          </w:p>
          <w:p w:rsidR="001C7AB7" w:rsidRPr="00392FFD" w:rsidRDefault="001C7AB7" w:rsidP="001C7AB7">
            <w:pPr>
              <w:rPr>
                <w:rFonts w:ascii="Times New Roman" w:hAnsi="Times New Roman"/>
                <w:sz w:val="24"/>
              </w:rPr>
            </w:pPr>
            <w:r>
              <w:rPr>
                <w:rFonts w:ascii="Times New Roman" w:hAnsi="Times New Roman"/>
                <w:sz w:val="24"/>
              </w:rPr>
              <w:t>Exponering och respektive LGD-värden för stora reglerade enheter i den finansiella se</w:t>
            </w:r>
            <w:r>
              <w:rPr>
                <w:rFonts w:ascii="Times New Roman" w:hAnsi="Times New Roman"/>
                <w:sz w:val="24"/>
              </w:rPr>
              <w:t>k</w:t>
            </w:r>
            <w:r>
              <w:rPr>
                <w:rFonts w:ascii="Times New Roman" w:hAnsi="Times New Roman"/>
                <w:sz w:val="24"/>
              </w:rPr>
              <w:t xml:space="preserve">torn och oreglerade finansiella enheter ska inte tas med i beräkningen för kolumn 230, utan ska bara ingå i beräkningen för kolumn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EXPONERINGSVÄGT GENOMSNITTLIGT LGD (%) FÖR STORA ENHETER INOM FINANSSEKTORN OCH ICKE REGLERADE FINANSIELLA ENHETER</w:t>
            </w:r>
          </w:p>
          <w:p w:rsidR="001C7AB7" w:rsidRPr="00392FFD" w:rsidRDefault="001C7AB7" w:rsidP="001C7AB7">
            <w:pPr>
              <w:rPr>
                <w:rFonts w:ascii="Times New Roman" w:hAnsi="Times New Roman"/>
                <w:sz w:val="24"/>
              </w:rPr>
            </w:pPr>
            <w:r>
              <w:rPr>
                <w:rFonts w:ascii="Times New Roman" w:hAnsi="Times New Roman"/>
                <w:sz w:val="24"/>
              </w:rPr>
              <w:t>Det exponeringsvägda genomsnittliga LGD-värdet (%) för samtliga exponeringar avs</w:t>
            </w:r>
            <w:r>
              <w:rPr>
                <w:rFonts w:ascii="Times New Roman" w:hAnsi="Times New Roman"/>
                <w:sz w:val="24"/>
              </w:rPr>
              <w:t>e</w:t>
            </w:r>
            <w:r>
              <w:rPr>
                <w:rFonts w:ascii="Times New Roman" w:hAnsi="Times New Roman"/>
                <w:sz w:val="24"/>
              </w:rPr>
              <w:t>ende enheter som omfattas av definitionerna i artikel 142.1.4 och 142.1.5 i CRR samt som är föremål för den högre korrelationsfaktorn i enlighet med artikel 153.2 i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EXPONERINGSVÄGD GENOMSNITTLIG LÖPTID (DAGAR)</w:t>
            </w:r>
          </w:p>
          <w:p w:rsidR="001C7AB7" w:rsidRPr="00392FFD" w:rsidRDefault="001C7AB7" w:rsidP="001C7AB7">
            <w:pPr>
              <w:rPr>
                <w:rFonts w:ascii="Times New Roman" w:hAnsi="Times New Roman"/>
                <w:sz w:val="24"/>
              </w:rPr>
            </w:pPr>
            <w:r>
              <w:rPr>
                <w:rFonts w:ascii="Times New Roman" w:hAnsi="Times New Roman"/>
                <w:sz w:val="24"/>
              </w:rPr>
              <w:t>Värdet ska rapporteras i enlighet med artikel 162 i CRR. De exponeringsvägda geno</w:t>
            </w:r>
            <w:r>
              <w:rPr>
                <w:rFonts w:ascii="Times New Roman" w:hAnsi="Times New Roman"/>
                <w:sz w:val="24"/>
              </w:rPr>
              <w:t>m</w:t>
            </w:r>
            <w:r>
              <w:rPr>
                <w:rFonts w:ascii="Times New Roman" w:hAnsi="Times New Roman"/>
                <w:sz w:val="24"/>
              </w:rPr>
              <w:t>snittliga värdena ska beräknas utifrån exponeringsvärdet (kolumn 110). Genomsnittlig löptid rapporteras i dagar.</w:t>
            </w:r>
          </w:p>
          <w:p w:rsidR="001C7AB7" w:rsidRPr="00392FFD" w:rsidRDefault="001C7AB7" w:rsidP="00FD6CCB">
            <w:pPr>
              <w:rPr>
                <w:rFonts w:ascii="Times New Roman" w:hAnsi="Times New Roman"/>
                <w:sz w:val="24"/>
              </w:rPr>
            </w:pPr>
            <w:r>
              <w:rPr>
                <w:rFonts w:ascii="Times New Roman" w:hAnsi="Times New Roman"/>
                <w:sz w:val="24"/>
              </w:rPr>
              <w:t>Denna uppgift ska inte rapporteras för de exponeringsvärden vars löptid inte ingår i b</w:t>
            </w:r>
            <w:r>
              <w:rPr>
                <w:rFonts w:ascii="Times New Roman" w:hAnsi="Times New Roman"/>
                <w:sz w:val="24"/>
              </w:rPr>
              <w:t>e</w:t>
            </w:r>
            <w:r>
              <w:rPr>
                <w:rFonts w:ascii="Times New Roman" w:hAnsi="Times New Roman"/>
                <w:sz w:val="24"/>
              </w:rPr>
              <w:t>räkningen av riskvägda exponeringsbelopp. Detta innebär att denna kolumn inte ska fy</w:t>
            </w:r>
            <w:r>
              <w:rPr>
                <w:rFonts w:ascii="Times New Roman" w:hAnsi="Times New Roman"/>
                <w:sz w:val="24"/>
              </w:rPr>
              <w:t>l</w:t>
            </w:r>
            <w:r>
              <w:rPr>
                <w:rFonts w:ascii="Times New Roman" w:hAnsi="Times New Roman"/>
                <w:sz w:val="24"/>
              </w:rPr>
              <w:t>las i för exponeringsklassen ”hushåll”.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RISKVÄGT EXPONERINGSBELOPP FÖRE STÖDFAKTORN FÖR SMÅ OCH MEDELSTORA FÖRETAG</w:t>
            </w:r>
          </w:p>
          <w:p w:rsidR="001C7AB7" w:rsidRPr="00392FFD" w:rsidRDefault="001C7AB7" w:rsidP="001C7AB7">
            <w:pPr>
              <w:rPr>
                <w:rFonts w:ascii="Times New Roman" w:hAnsi="Times New Roman"/>
                <w:sz w:val="24"/>
              </w:rPr>
            </w:pPr>
            <w:r>
              <w:rPr>
                <w:rFonts w:ascii="Times New Roman" w:hAnsi="Times New Roman"/>
                <w:sz w:val="24"/>
              </w:rPr>
              <w:t xml:space="preserve">För nationella regeringar eller centralbanker, företag och institut tillämpas artikel 153.1 och 153.3 i CRR. För hushåll tillämpas artikel 154.1 i CRR. </w:t>
            </w:r>
          </w:p>
          <w:p w:rsidR="001C7AB7" w:rsidRPr="00392FFD" w:rsidRDefault="001C7AB7" w:rsidP="00FD6CCB">
            <w:pPr>
              <w:rPr>
                <w:rFonts w:ascii="Times New Roman" w:hAnsi="Times New Roman"/>
                <w:b/>
                <w:sz w:val="24"/>
                <w:u w:val="single"/>
              </w:rPr>
            </w:pPr>
            <w:r>
              <w:rPr>
                <w:rFonts w:ascii="Times New Roman" w:hAnsi="Times New Roman"/>
                <w:sz w:val="24"/>
              </w:rPr>
              <w:t>Stödfaktorn för små och medelstora företag i enlighet med artikel 501 i CRR ska inte b</w:t>
            </w:r>
            <w:r>
              <w:rPr>
                <w:rFonts w:ascii="Times New Roman" w:hAnsi="Times New Roman"/>
                <w:sz w:val="24"/>
              </w:rPr>
              <w:t>e</w:t>
            </w:r>
            <w:r>
              <w:rPr>
                <w:rFonts w:ascii="Times New Roman" w:hAnsi="Times New Roman"/>
                <w:sz w:val="24"/>
              </w:rPr>
              <w:lastRenderedPageBreak/>
              <w:t>aktas.</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lastRenderedPageBreak/>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RISKVÄGT EXPONERINGSBELOPP EFTER STÖDFAKTORN FÖR SMÅ OCH MEDELSTORA FÖRETAG</w:t>
            </w:r>
          </w:p>
          <w:p w:rsidR="001C7AB7" w:rsidRPr="00392FFD" w:rsidRDefault="001C7AB7" w:rsidP="001C7AB7">
            <w:pPr>
              <w:rPr>
                <w:rFonts w:ascii="Times New Roman" w:hAnsi="Times New Roman"/>
                <w:sz w:val="24"/>
              </w:rPr>
            </w:pPr>
            <w:r>
              <w:rPr>
                <w:rFonts w:ascii="Times New Roman" w:hAnsi="Times New Roman"/>
                <w:sz w:val="24"/>
              </w:rPr>
              <w:t>För nationella regeringar eller centralbanker, företag och institut tillämpas artikel 153.1 och 153.3 i CRR. För hushåll tillämpas artikel 154.1 i CRR.</w:t>
            </w:r>
          </w:p>
          <w:p w:rsidR="001C7AB7" w:rsidRPr="00392FFD" w:rsidRDefault="001C7AB7" w:rsidP="00FD6CCB">
            <w:pPr>
              <w:rPr>
                <w:rFonts w:ascii="Times New Roman" w:hAnsi="Times New Roman"/>
                <w:b/>
                <w:sz w:val="24"/>
                <w:u w:val="single"/>
              </w:rPr>
            </w:pPr>
            <w:r>
              <w:rPr>
                <w:rFonts w:ascii="Times New Roman" w:hAnsi="Times New Roman"/>
                <w:sz w:val="24"/>
              </w:rPr>
              <w:t>Stödfaktorn för små och medelstora företag i enlighet med artikel 501 i CRR ska beaktas.</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VARAV: STORA ENHETER INOM FINANSSEKTORN OCH ICKE REGL</w:t>
            </w:r>
            <w:r>
              <w:rPr>
                <w:rFonts w:ascii="Times New Roman" w:hAnsi="Times New Roman"/>
                <w:b/>
                <w:sz w:val="24"/>
                <w:u w:val="single"/>
              </w:rPr>
              <w:t>E</w:t>
            </w:r>
            <w:r>
              <w:rPr>
                <w:rFonts w:ascii="Times New Roman" w:hAnsi="Times New Roman"/>
                <w:b/>
                <w:sz w:val="24"/>
                <w:u w:val="single"/>
              </w:rPr>
              <w:t>RADE FINANSIELLA ENHETER</w:t>
            </w:r>
          </w:p>
          <w:p w:rsidR="001C7AB7" w:rsidRPr="00392FFD" w:rsidDel="005A2363" w:rsidRDefault="001C7AB7" w:rsidP="00FD6CCB">
            <w:pPr>
              <w:rPr>
                <w:rFonts w:ascii="Times New Roman" w:hAnsi="Times New Roman"/>
                <w:sz w:val="24"/>
              </w:rPr>
            </w:pPr>
            <w:r>
              <w:rPr>
                <w:rFonts w:ascii="Times New Roman" w:hAnsi="Times New Roman"/>
                <w:sz w:val="24"/>
              </w:rPr>
              <w:t>Uppdelning av de riskvägda exponeringsbeloppen efter tillämpning av stödfaktorn för små och medelstora företag på samtliga exponeringar mot enheter som omfattas av def</w:t>
            </w:r>
            <w:r>
              <w:rPr>
                <w:rFonts w:ascii="Times New Roman" w:hAnsi="Times New Roman"/>
                <w:sz w:val="24"/>
              </w:rPr>
              <w:t>i</w:t>
            </w:r>
            <w:r>
              <w:rPr>
                <w:rFonts w:ascii="Times New Roman" w:hAnsi="Times New Roman"/>
                <w:sz w:val="24"/>
              </w:rPr>
              <w:t>nitionerna i artikel 142.1.4 och 142.1.5 i CRR och som är föremål för den högre korrela</w:t>
            </w:r>
            <w:r>
              <w:rPr>
                <w:rFonts w:ascii="Times New Roman" w:hAnsi="Times New Roman"/>
                <w:sz w:val="24"/>
              </w:rPr>
              <w:t>t</w:t>
            </w:r>
            <w:r>
              <w:rPr>
                <w:rFonts w:ascii="Times New Roman" w:hAnsi="Times New Roman"/>
                <w:sz w:val="24"/>
              </w:rPr>
              <w:t>ionsfaktorn i enlighet med artikel 153.2 i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FÖRVÄNTAD FÖRLUST</w:t>
            </w:r>
          </w:p>
          <w:p w:rsidR="001C7AB7" w:rsidRPr="00392FFD" w:rsidRDefault="001C7AB7" w:rsidP="00FD6CCB">
            <w:pPr>
              <w:jc w:val="left"/>
              <w:rPr>
                <w:rFonts w:ascii="Times New Roman" w:hAnsi="Times New Roman"/>
                <w:sz w:val="24"/>
              </w:rPr>
            </w:pPr>
            <w:r>
              <w:rPr>
                <w:rFonts w:ascii="Times New Roman" w:hAnsi="Times New Roman"/>
                <w:sz w:val="24"/>
              </w:rPr>
              <w:t>Förväntad förlust definieras i artikel 5.3 i CRR och beräknas i enlighet med artikel 158 i CRR. Det förväntade förlustbelopp som ska rapporteras ska grunda sig på de riskpar</w:t>
            </w:r>
            <w:r>
              <w:rPr>
                <w:rFonts w:ascii="Times New Roman" w:hAnsi="Times New Roman"/>
                <w:sz w:val="24"/>
              </w:rPr>
              <w:t>a</w:t>
            </w:r>
            <w:r>
              <w:rPr>
                <w:rFonts w:ascii="Times New Roman" w:hAnsi="Times New Roman"/>
                <w:sz w:val="24"/>
              </w:rPr>
              <w:t>metrar som faktiskt används i det interna riskklassificeringssystem som godkänts av r</w:t>
            </w:r>
            <w:r>
              <w:rPr>
                <w:rFonts w:ascii="Times New Roman" w:hAnsi="Times New Roman"/>
                <w:sz w:val="24"/>
              </w:rPr>
              <w:t>e</w:t>
            </w:r>
            <w:r>
              <w:rPr>
                <w:rFonts w:ascii="Times New Roman" w:hAnsi="Times New Roman"/>
                <w:sz w:val="24"/>
              </w:rPr>
              <w:t>spektive behörig myndighet.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VÄRDEJUSTERINGAR OCH AVSÄTTNINGAR</w:t>
            </w:r>
          </w:p>
          <w:p w:rsidR="001C7AB7" w:rsidRPr="00392FFD" w:rsidRDefault="001C7AB7" w:rsidP="00FD6CCB">
            <w:pPr>
              <w:rPr>
                <w:rFonts w:ascii="Times New Roman" w:hAnsi="Times New Roman"/>
                <w:sz w:val="24"/>
              </w:rPr>
            </w:pPr>
            <w:r>
              <w:rPr>
                <w:rFonts w:ascii="Times New Roman" w:hAnsi="Times New Roman"/>
                <w:sz w:val="24"/>
              </w:rPr>
              <w:t>Här rapporteras värdejusteringar och specifika och allmänna avsättningar i enlighet med artikel 159 i CRR. Som</w:t>
            </w:r>
            <w:r>
              <w:rPr>
                <w:rFonts w:ascii="Times New Roman" w:hAnsi="Times New Roman"/>
                <w:b/>
                <w:i/>
                <w:sz w:val="24"/>
              </w:rPr>
              <w:t xml:space="preserve"> </w:t>
            </w:r>
            <w:r>
              <w:rPr>
                <w:rFonts w:ascii="Times New Roman" w:hAnsi="Times New Roman"/>
                <w:sz w:val="24"/>
              </w:rPr>
              <w:t>allmänna avsättningar ska det belopp anges som står i proportion till de förväntade förlusterna i de olika motpartsriskklasserna.</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ANTAL GÄLDENÄRER</w:t>
            </w:r>
          </w:p>
          <w:p w:rsidR="001C7AB7" w:rsidRPr="00392FFD" w:rsidRDefault="001C7AB7" w:rsidP="001C7AB7">
            <w:pPr>
              <w:rPr>
                <w:rFonts w:ascii="Times New Roman" w:hAnsi="Times New Roman"/>
                <w:sz w:val="24"/>
              </w:rPr>
            </w:pPr>
            <w:r>
              <w:rPr>
                <w:rFonts w:ascii="Times New Roman" w:hAnsi="Times New Roman"/>
                <w:sz w:val="24"/>
              </w:rPr>
              <w:t>Artikel 172.1 och 172.2 i CRR.</w:t>
            </w:r>
          </w:p>
          <w:p w:rsidR="001C7AB7" w:rsidRPr="00392FFD" w:rsidRDefault="001C7AB7" w:rsidP="001C7AB7">
            <w:pPr>
              <w:rPr>
                <w:rFonts w:ascii="Times New Roman" w:hAnsi="Times New Roman"/>
                <w:sz w:val="24"/>
              </w:rPr>
            </w:pPr>
            <w:r>
              <w:rPr>
                <w:rFonts w:ascii="Times New Roman" w:hAnsi="Times New Roman"/>
                <w:sz w:val="24"/>
              </w:rPr>
              <w:t>För alla exponeringsklasser utom hushåll och de fall som avses i artikel 172.1 e andra meningen i CRR ska institutet rapportera antalet juridiska personer/gäldenärer som b</w:t>
            </w:r>
            <w:r>
              <w:rPr>
                <w:rFonts w:ascii="Times New Roman" w:hAnsi="Times New Roman"/>
                <w:sz w:val="24"/>
              </w:rPr>
              <w:t>e</w:t>
            </w:r>
            <w:r>
              <w:rPr>
                <w:rFonts w:ascii="Times New Roman" w:hAnsi="Times New Roman"/>
                <w:sz w:val="24"/>
              </w:rPr>
              <w:t xml:space="preserve">dömts individuellt, oavsett hur många olika lån eller exponeringar som beviljats. </w:t>
            </w:r>
          </w:p>
          <w:p w:rsidR="001C7AB7" w:rsidRPr="00392FFD" w:rsidRDefault="001C7AB7" w:rsidP="001C7AB7">
            <w:pPr>
              <w:rPr>
                <w:rFonts w:ascii="Times New Roman" w:hAnsi="Times New Roman"/>
                <w:sz w:val="24"/>
              </w:rPr>
            </w:pPr>
            <w:r>
              <w:rPr>
                <w:rFonts w:ascii="Times New Roman" w:hAnsi="Times New Roman"/>
                <w:sz w:val="24"/>
              </w:rPr>
              <w:t>Inom exponeringsklassen hushåll eller om separata exponeringar mot samma gäldenär hänförs till olika klasser i enlighet med artikel 172.1 e andra meningen i CRR i andra e</w:t>
            </w:r>
            <w:r>
              <w:rPr>
                <w:rFonts w:ascii="Times New Roman" w:hAnsi="Times New Roman"/>
                <w:sz w:val="24"/>
              </w:rPr>
              <w:t>x</w:t>
            </w:r>
            <w:r>
              <w:rPr>
                <w:rFonts w:ascii="Times New Roman" w:hAnsi="Times New Roman"/>
                <w:sz w:val="24"/>
              </w:rPr>
              <w:t xml:space="preserve">poneringsklasser ska institutet rapportera antalet exponeringar som var för sig placerades i en viss riskklass. Om artikel 172.2 i CRR är tillämplig kan en gäldenär placeras i mer än en klass. </w:t>
            </w:r>
          </w:p>
          <w:p w:rsidR="001C7AB7" w:rsidRPr="00392FFD" w:rsidRDefault="001C7AB7" w:rsidP="00241845">
            <w:pPr>
              <w:rPr>
                <w:rFonts w:ascii="Times New Roman" w:hAnsi="Times New Roman"/>
                <w:sz w:val="24"/>
              </w:rPr>
            </w:pPr>
            <w:r>
              <w:rPr>
                <w:rStyle w:val="InstructionsTabelleText"/>
                <w:rFonts w:ascii="Times New Roman" w:hAnsi="Times New Roman"/>
                <w:sz w:val="24"/>
              </w:rPr>
              <w:t>Denna kolumn rör en del av riskklassificeringssystemets struktur, och därmed beaktas de ursprungliga exponeringar före tillämpning av konverteringsfaktorer som placeras i varje motpartsriskklass utan hänsyn till effekten av kreditriskreducering (särskilt omplac</w:t>
            </w:r>
            <w:r>
              <w:rPr>
                <w:rStyle w:val="InstructionsTabelleText"/>
                <w:rFonts w:ascii="Times New Roman" w:hAnsi="Times New Roman"/>
                <w:sz w:val="24"/>
              </w:rPr>
              <w:t>e</w:t>
            </w:r>
            <w:r>
              <w:rPr>
                <w:rStyle w:val="InstructionsTabelleText"/>
                <w:rFonts w:ascii="Times New Roman" w:hAnsi="Times New Roman"/>
                <w:sz w:val="24"/>
              </w:rPr>
              <w:t>ringseffekter).</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Rad</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Instruktioner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SUMMA EXPONERINGAR</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lastRenderedPageBreak/>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Varav: Exponeringar som omfattas av stödfaktorn för små och medelstora företag</w:t>
            </w:r>
          </w:p>
          <w:p w:rsidR="00785F3E" w:rsidRPr="00392FFD" w:rsidRDefault="00785F3E" w:rsidP="00785F3E">
            <w:pPr>
              <w:rPr>
                <w:rFonts w:ascii="Times New Roman" w:hAnsi="Times New Roman"/>
                <w:sz w:val="24"/>
              </w:rPr>
            </w:pPr>
            <w:r>
              <w:rPr>
                <w:rFonts w:ascii="Times New Roman" w:hAnsi="Times New Roman"/>
                <w:sz w:val="24"/>
              </w:rPr>
              <w:t>Instituten ska här endast rapportera exponeringar som uppfyller villkoren i artikel 501 i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UPPDELNING AV SAMMANLAGDA EXPONERINGAR PER EXPONERINGSTYP:</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Poster i balansräkningen som omfattas av kreditrisk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De tillgångar som avses i artikel 24 i CRR och som inte ingår i någon annan kategori.</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Exponeringar som är poster i balansräkningen och som tas upp som transaktioner för värdepapperisering, derivat eller transaktioner med långfristig avveckling eller som hä</w:t>
            </w:r>
            <w:r>
              <w:rPr>
                <w:rStyle w:val="InstructionsTabelleText"/>
                <w:rFonts w:ascii="Times New Roman" w:hAnsi="Times New Roman"/>
                <w:sz w:val="24"/>
              </w:rPr>
              <w:t>r</w:t>
            </w:r>
            <w:r>
              <w:rPr>
                <w:rStyle w:val="InstructionsTabelleText"/>
                <w:rFonts w:ascii="Times New Roman" w:hAnsi="Times New Roman"/>
                <w:sz w:val="24"/>
              </w:rPr>
              <w:t>rör från avtal om produktövergripande nettning ska rapporteras på raderna 040–060. De ska därför inte rapporteras på denna rad.</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Transaktioner utan samtidig prestation i enlighet med artikel 379.1 i CRR utgör inte en post utanför balansräkningen (om de inte har dragits av), men ska ändå rapporteras på denna rad.</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Exponeringar som härrör från tillgångar som ställts som säkerhet till en central motpart i enlighet med artikel 4.1.91 i CRR och exponeringar med obeståndsfond i enlighet med artikel 4.1.89 i CRR ska ingå om de inte rapporteras på rad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Poster utanför balansräkningen som omfattas av kreditrisk</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Poster utanför balansräkningen som omfattas av kreditrisk Positioner utanför balansrä</w:t>
            </w:r>
            <w:r>
              <w:rPr>
                <w:rStyle w:val="InstructionsTabelleText"/>
                <w:rFonts w:ascii="Times New Roman" w:hAnsi="Times New Roman"/>
                <w:sz w:val="24"/>
              </w:rPr>
              <w:t>k</w:t>
            </w:r>
            <w:r>
              <w:rPr>
                <w:rStyle w:val="InstructionsTabelleText"/>
                <w:rFonts w:ascii="Times New Roman" w:hAnsi="Times New Roman"/>
                <w:sz w:val="24"/>
              </w:rPr>
              <w:t>ningen omfattar de poster som räknas upp i bilaga I till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Exponeringar som är poster utanför balansräkningen och som tas upp som transaktioner för värdepapperisering, derivat eller transaktioner med långfristig avveckling eller som härrör från avtal om produktövergripande nettning ska rapporteras på raderna 040–060. De ska därför inte rapporteras på denna rad.</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Exponeringar som härrör från tillgångar som ställts som säkerhet till en central motpart i enlighet med artikel 4.1.91 i CRR och exponeringar med obeståndsfond i enlighet med artikel 4.1.89 i CRR ska ingå, om de räknas som poster utanför balansräkningen.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Exponeringar/transaktioner som omfattas av motpartsrisk</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Transaktioner för värdepappersfinansiering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Transaktioner för värdepapperisering med den innebörd som anges i punkt 17 i Base</w:t>
            </w:r>
            <w:r>
              <w:rPr>
                <w:rStyle w:val="InstructionsTabelleText"/>
                <w:rFonts w:ascii="Times New Roman" w:hAnsi="Times New Roman"/>
                <w:sz w:val="24"/>
              </w:rPr>
              <w:t>l</w:t>
            </w:r>
            <w:r>
              <w:rPr>
                <w:rStyle w:val="InstructionsTabelleText"/>
                <w:rFonts w:ascii="Times New Roman" w:hAnsi="Times New Roman"/>
                <w:sz w:val="24"/>
              </w:rPr>
              <w:t>kommitténs dokument ”The Application of Basel II to Trading Activities and the Treatment of Double Default Effects” omfattar i) repor och omvända repor enligt def</w:t>
            </w:r>
            <w:r>
              <w:rPr>
                <w:rStyle w:val="InstructionsTabelleText"/>
                <w:rFonts w:ascii="Times New Roman" w:hAnsi="Times New Roman"/>
                <w:sz w:val="24"/>
              </w:rPr>
              <w:t>i</w:t>
            </w:r>
            <w:r>
              <w:rPr>
                <w:rStyle w:val="InstructionsTabelleText"/>
                <w:rFonts w:ascii="Times New Roman" w:hAnsi="Times New Roman"/>
                <w:sz w:val="24"/>
              </w:rPr>
              <w:t>nitionen i artikel 4.82 i CRR och värdepappers- eller råvarulån, och ii) marginallån</w:t>
            </w:r>
            <w:r>
              <w:rPr>
                <w:rStyle w:val="InstructionsTabelleText"/>
                <w:rFonts w:ascii="Times New Roman" w:hAnsi="Times New Roman"/>
                <w:sz w:val="24"/>
              </w:rPr>
              <w:t>e</w:t>
            </w:r>
            <w:r>
              <w:rPr>
                <w:rStyle w:val="InstructionsTabelleText"/>
                <w:rFonts w:ascii="Times New Roman" w:hAnsi="Times New Roman"/>
                <w:sz w:val="24"/>
              </w:rPr>
              <w:t>transaktioner enligt definitionen i artikel 272.3 i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Transaktioner för värdepapperisering som ingår i en produktövergripande nettning ska inte rapporteras på denna rad utan på rad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Derivat och transaktioner med lång avvecklingscykel</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Derivat omfattar de kontrakt som räknas upp i bilaga II till CRR. Derivat och transak</w:t>
            </w:r>
            <w:r>
              <w:rPr>
                <w:rStyle w:val="InstructionsTabelleText"/>
                <w:rFonts w:ascii="Times New Roman" w:hAnsi="Times New Roman"/>
                <w:sz w:val="24"/>
              </w:rPr>
              <w:t>t</w:t>
            </w:r>
            <w:r>
              <w:rPr>
                <w:rStyle w:val="InstructionsTabelleText"/>
                <w:rFonts w:ascii="Times New Roman" w:hAnsi="Times New Roman"/>
                <w:sz w:val="24"/>
              </w:rPr>
              <w:t>ioner med lång avvecklingscykel som ingår i en produktövergripande nettning ska inte rapporteras på denna rad utan på rad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Från avtal om produktövergripande nettning</w:t>
            </w:r>
          </w:p>
          <w:p w:rsidR="001C7AB7" w:rsidRPr="00392FFD" w:rsidRDefault="00FD6CCB" w:rsidP="001C7AB7">
            <w:pPr>
              <w:rPr>
                <w:rFonts w:ascii="Times New Roman" w:hAnsi="Times New Roman"/>
                <w:sz w:val="24"/>
              </w:rPr>
            </w:pPr>
            <w:r>
              <w:rPr>
                <w:rFonts w:ascii="Times New Roman" w:hAnsi="Times New Roman"/>
                <w:sz w:val="24"/>
              </w:rPr>
              <w:t>Se instruktionerna till CR SA-mallen.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EXPONERINGAR SOM ÅSATTS RISKKLASSER: SUMMA</w:t>
            </w:r>
          </w:p>
          <w:p w:rsidR="001C7AB7" w:rsidRPr="00392FFD" w:rsidRDefault="001C7AB7" w:rsidP="001C7AB7">
            <w:pPr>
              <w:rPr>
                <w:rFonts w:ascii="Times New Roman" w:hAnsi="Times New Roman"/>
                <w:sz w:val="24"/>
              </w:rPr>
            </w:pPr>
            <w:r>
              <w:rPr>
                <w:rFonts w:ascii="Times New Roman" w:hAnsi="Times New Roman"/>
                <w:sz w:val="24"/>
              </w:rPr>
              <w:t>För exponeringar mot företag, institut och nationella regeringar eller centralbanker ti</w:t>
            </w:r>
            <w:r>
              <w:rPr>
                <w:rFonts w:ascii="Times New Roman" w:hAnsi="Times New Roman"/>
                <w:sz w:val="24"/>
              </w:rPr>
              <w:t>l</w:t>
            </w:r>
            <w:r>
              <w:rPr>
                <w:rFonts w:ascii="Times New Roman" w:hAnsi="Times New Roman"/>
                <w:sz w:val="24"/>
              </w:rPr>
              <w:t xml:space="preserve">lämpas artiklarna 142.1.6 och 170.1 c i CRR. </w:t>
            </w:r>
          </w:p>
          <w:p w:rsidR="001C7AB7" w:rsidRPr="00392FFD" w:rsidRDefault="001C7AB7" w:rsidP="001C7AB7">
            <w:pPr>
              <w:rPr>
                <w:rFonts w:ascii="Times New Roman" w:hAnsi="Times New Roman"/>
                <w:sz w:val="24"/>
              </w:rPr>
            </w:pPr>
            <w:r>
              <w:rPr>
                <w:rFonts w:ascii="Times New Roman" w:hAnsi="Times New Roman"/>
                <w:sz w:val="24"/>
              </w:rPr>
              <w:t xml:space="preserve">För hushållsexponeringar tillämpas artikel 170.3 b i CRR. För exponeringar som härrör från förvärvade fordringar tillämpas artikel 166.6 i CRR. </w:t>
            </w:r>
          </w:p>
          <w:p w:rsidR="001C7AB7" w:rsidRPr="00392FFD" w:rsidRDefault="001C7AB7" w:rsidP="001C7AB7">
            <w:pPr>
              <w:rPr>
                <w:rFonts w:ascii="Times New Roman" w:hAnsi="Times New Roman"/>
                <w:sz w:val="24"/>
              </w:rPr>
            </w:pPr>
            <w:r>
              <w:rPr>
                <w:rFonts w:ascii="Times New Roman" w:hAnsi="Times New Roman"/>
                <w:sz w:val="24"/>
              </w:rPr>
              <w:t>Exponeringar på grund av utspädningsrisken för förvärvade fordringar ska rapporteras på rad 180 och ska inte rapporteras för varje motpartsriskklass.</w:t>
            </w:r>
          </w:p>
          <w:p w:rsidR="001C7AB7" w:rsidRPr="00392FFD" w:rsidRDefault="001C7AB7" w:rsidP="001C7AB7">
            <w:pPr>
              <w:rPr>
                <w:rFonts w:ascii="Times New Roman" w:hAnsi="Times New Roman"/>
                <w:sz w:val="24"/>
              </w:rPr>
            </w:pPr>
            <w:r>
              <w:rPr>
                <w:rFonts w:ascii="Times New Roman" w:hAnsi="Times New Roman"/>
                <w:sz w:val="24"/>
              </w:rPr>
              <w:t>Om institutet använder många motpartsriskklasser kan det komma överens med den b</w:t>
            </w:r>
            <w:r>
              <w:rPr>
                <w:rFonts w:ascii="Times New Roman" w:hAnsi="Times New Roman"/>
                <w:sz w:val="24"/>
              </w:rPr>
              <w:t>e</w:t>
            </w:r>
            <w:r>
              <w:rPr>
                <w:rFonts w:ascii="Times New Roman" w:hAnsi="Times New Roman"/>
                <w:sz w:val="24"/>
              </w:rPr>
              <w:t xml:space="preserve">höriga myndigheten om att rapportera ett mindre antal klasser. </w:t>
            </w:r>
          </w:p>
          <w:p w:rsidR="001C7AB7" w:rsidRPr="00392FFD" w:rsidRDefault="00C93697" w:rsidP="00FD6CCB">
            <w:pPr>
              <w:rPr>
                <w:rFonts w:ascii="Times New Roman" w:hAnsi="Times New Roman"/>
                <w:sz w:val="24"/>
              </w:rPr>
            </w:pPr>
            <w:r>
              <w:rPr>
                <w:rFonts w:ascii="Times New Roman" w:hAnsi="Times New Roman"/>
                <w:sz w:val="24"/>
              </w:rPr>
              <w:t xml:space="preserve">Ingen huvudindelning används. I stället ska instituten själva bestämma indelningen.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KLASSIFICERINGSKRITERIER FÖR SPECIALUTLÅNING: SUMMA</w:t>
            </w:r>
          </w:p>
          <w:p w:rsidR="001C7AB7" w:rsidRPr="00392FFD" w:rsidRDefault="001C7AB7" w:rsidP="00FD6CCB">
            <w:pPr>
              <w:rPr>
                <w:rFonts w:ascii="Times New Roman" w:hAnsi="Times New Roman"/>
                <w:sz w:val="24"/>
              </w:rPr>
            </w:pPr>
            <w:r>
              <w:rPr>
                <w:rFonts w:ascii="Times New Roman" w:hAnsi="Times New Roman"/>
                <w:sz w:val="24"/>
              </w:rPr>
              <w:t>Artikel 153.5 i CRR. Detta gäller bara exponeringsklasserna företag, institut och natio</w:t>
            </w:r>
            <w:r>
              <w:rPr>
                <w:rFonts w:ascii="Times New Roman" w:hAnsi="Times New Roman"/>
                <w:sz w:val="24"/>
              </w:rPr>
              <w:t>n</w:t>
            </w:r>
            <w:r>
              <w:rPr>
                <w:rFonts w:ascii="Times New Roman" w:hAnsi="Times New Roman"/>
                <w:sz w:val="24"/>
              </w:rPr>
              <w:t xml:space="preserve">ella regeringar eller centralbanker.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UPPDELNING PER RISKVIKT AV TOTALA EXPONERINGAR SOM O</w:t>
            </w:r>
            <w:r>
              <w:rPr>
                <w:rStyle w:val="InstructionsTabelleberschrift"/>
                <w:rFonts w:ascii="Times New Roman" w:hAnsi="Times New Roman"/>
                <w:sz w:val="24"/>
              </w:rPr>
              <w:t>M</w:t>
            </w:r>
            <w:r>
              <w:rPr>
                <w:rStyle w:val="InstructionsTabelleberschrift"/>
                <w:rFonts w:ascii="Times New Roman" w:hAnsi="Times New Roman"/>
                <w:sz w:val="24"/>
              </w:rPr>
              <w:t>FATTAS AV KLASSIFICERINGSKRITERIER FÖR SPECIALUTLÅNING:</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Tillhörande kategori 1 </w:t>
            </w:r>
          </w:p>
          <w:p w:rsidR="001C7AB7" w:rsidRPr="00392FFD" w:rsidRDefault="001C7AB7" w:rsidP="001C7AB7">
            <w:pPr>
              <w:rPr>
                <w:rFonts w:ascii="Times New Roman" w:hAnsi="Times New Roman"/>
                <w:sz w:val="24"/>
              </w:rPr>
            </w:pPr>
            <w:r>
              <w:rPr>
                <w:rFonts w:ascii="Times New Roman" w:hAnsi="Times New Roman"/>
                <w:sz w:val="24"/>
              </w:rPr>
              <w:t>Artikel 153.5 tabell 1 i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ALTERNATIVT TILLVÄGAGÅNGSSÄTT:  SÄKERHET I FASTIGHET</w:t>
            </w:r>
          </w:p>
          <w:p w:rsidR="001C7AB7" w:rsidRPr="00392FFD" w:rsidRDefault="001C7AB7" w:rsidP="001C7AB7">
            <w:pPr>
              <w:rPr>
                <w:rFonts w:ascii="Times New Roman" w:hAnsi="Times New Roman"/>
                <w:sz w:val="24"/>
              </w:rPr>
            </w:pPr>
            <w:r>
              <w:rPr>
                <w:rFonts w:ascii="Times New Roman" w:hAnsi="Times New Roman"/>
                <w:sz w:val="24"/>
              </w:rPr>
              <w:t>Artiklarna 193.1 och 193.2, 194.1–194.7 och 230.3 i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EXPONERINGAR FRÅN TRANSAKTIONER UTAN SAMTIDIG MOT PR</w:t>
            </w:r>
            <w:r>
              <w:rPr>
                <w:rStyle w:val="InstructionsTabelleberschrift"/>
                <w:rFonts w:ascii="Times New Roman" w:hAnsi="Times New Roman"/>
                <w:sz w:val="24"/>
              </w:rPr>
              <w:t>E</w:t>
            </w:r>
            <w:r>
              <w:rPr>
                <w:rStyle w:val="InstructionsTabelleberschrift"/>
                <w:rFonts w:ascii="Times New Roman" w:hAnsi="Times New Roman"/>
                <w:sz w:val="24"/>
              </w:rPr>
              <w:t>STATION MED TILLÄMPNING AV RISKVIKTER ENLIGT DET ALTERN</w:t>
            </w:r>
            <w:r>
              <w:rPr>
                <w:rStyle w:val="InstructionsTabelleberschrift"/>
                <w:rFonts w:ascii="Times New Roman" w:hAnsi="Times New Roman"/>
                <w:sz w:val="24"/>
              </w:rPr>
              <w:t>A</w:t>
            </w:r>
            <w:r>
              <w:rPr>
                <w:rStyle w:val="InstructionsTabelleberschrift"/>
                <w:rFonts w:ascii="Times New Roman" w:hAnsi="Times New Roman"/>
                <w:sz w:val="24"/>
              </w:rPr>
              <w:t>TIVA TILLVÄGAGÅNGSSÄTTET ELLER 100 % SAMT ÖVRIGA EXPON</w:t>
            </w:r>
            <w:r>
              <w:rPr>
                <w:rStyle w:val="InstructionsTabelleberschrift"/>
                <w:rFonts w:ascii="Times New Roman" w:hAnsi="Times New Roman"/>
                <w:sz w:val="24"/>
              </w:rPr>
              <w:t>E</w:t>
            </w:r>
            <w:r>
              <w:rPr>
                <w:rStyle w:val="InstructionsTabelleberschrift"/>
                <w:rFonts w:ascii="Times New Roman" w:hAnsi="Times New Roman"/>
                <w:sz w:val="24"/>
              </w:rPr>
              <w:t>RINGAR SOM OMFATTAS AV RISKVIKTER</w:t>
            </w:r>
          </w:p>
          <w:p w:rsidR="001C7AB7" w:rsidRPr="00392FFD" w:rsidRDefault="001C7AB7" w:rsidP="00417984">
            <w:pPr>
              <w:rPr>
                <w:rFonts w:ascii="Times New Roman" w:hAnsi="Times New Roman"/>
                <w:sz w:val="24"/>
              </w:rPr>
            </w:pPr>
            <w:r>
              <w:rPr>
                <w:rFonts w:ascii="Times New Roman" w:hAnsi="Times New Roman"/>
                <w:sz w:val="24"/>
              </w:rPr>
              <w:t>Exponeringar som härrör från transaktioner för vilka man använder den alternativa b</w:t>
            </w:r>
            <w:r>
              <w:rPr>
                <w:rFonts w:ascii="Times New Roman" w:hAnsi="Times New Roman"/>
                <w:sz w:val="24"/>
              </w:rPr>
              <w:t>e</w:t>
            </w:r>
            <w:r>
              <w:rPr>
                <w:rFonts w:ascii="Times New Roman" w:hAnsi="Times New Roman"/>
                <w:sz w:val="24"/>
              </w:rPr>
              <w:t>handling som avses i artikel 379.2 första stycket sista meningen i CRR eller vilka har fått riskvikten 100 % i enlighet med artikel 379.2 sista stycket i CRR. På denna rad ska inst</w:t>
            </w:r>
            <w:r>
              <w:rPr>
                <w:rFonts w:ascii="Times New Roman" w:hAnsi="Times New Roman"/>
                <w:sz w:val="24"/>
              </w:rPr>
              <w:t>i</w:t>
            </w:r>
            <w:r>
              <w:rPr>
                <w:rFonts w:ascii="Times New Roman" w:hAnsi="Times New Roman"/>
                <w:sz w:val="24"/>
              </w:rPr>
              <w:t>tuten rapportera kreditderivat på n:te förfall som saknar kreditvärdering i enlighet med artikel 153.8 i CRR samt alla övriga exponeringar som fått riskvikter men som inte ingår på någon annan rad.</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UTSPÄDNINGSRISK: SUMMA FÖRVÄRVADE FORDRINGAR</w:t>
            </w:r>
          </w:p>
          <w:p w:rsidR="001C7AB7" w:rsidRPr="00392FFD" w:rsidRDefault="001C7AB7" w:rsidP="001C7AB7">
            <w:pPr>
              <w:rPr>
                <w:rFonts w:ascii="Times New Roman" w:hAnsi="Times New Roman"/>
                <w:sz w:val="24"/>
              </w:rPr>
            </w:pPr>
            <w:r>
              <w:rPr>
                <w:rFonts w:ascii="Times New Roman" w:hAnsi="Times New Roman"/>
                <w:sz w:val="24"/>
              </w:rPr>
              <w:t>Utspädningsrisk definieras i artikel 4.1.53 i CRR. Hur riskvikten beräknas för utspä</w:t>
            </w:r>
            <w:r>
              <w:rPr>
                <w:rFonts w:ascii="Times New Roman" w:hAnsi="Times New Roman"/>
                <w:sz w:val="24"/>
              </w:rPr>
              <w:t>d</w:t>
            </w:r>
            <w:r>
              <w:rPr>
                <w:rFonts w:ascii="Times New Roman" w:hAnsi="Times New Roman"/>
                <w:sz w:val="24"/>
              </w:rPr>
              <w:t>ningsrisk beskrivs i artikel 157.1 i CRR.</w:t>
            </w:r>
          </w:p>
          <w:p w:rsidR="001C7AB7" w:rsidRPr="00392FFD" w:rsidRDefault="001C7AB7" w:rsidP="00FD6CCB">
            <w:pPr>
              <w:rPr>
                <w:rFonts w:ascii="Times New Roman" w:hAnsi="Times New Roman"/>
                <w:sz w:val="24"/>
              </w:rPr>
            </w:pPr>
            <w:r>
              <w:rPr>
                <w:rFonts w:ascii="Times New Roman" w:hAnsi="Times New Roman"/>
                <w:sz w:val="24"/>
              </w:rPr>
              <w:t xml:space="preserve">I enlighet med artikel 166.6 i CRR ska exponeringsvärdet för förvärvade fordringar vara det återstående beloppet minus </w:t>
            </w:r>
            <w:r>
              <w:rPr>
                <w:rStyle w:val="InstructionsTabelleText"/>
                <w:rFonts w:ascii="Times New Roman" w:hAnsi="Times New Roman"/>
                <w:sz w:val="24"/>
              </w:rPr>
              <w:t>riskvägda exponeringsbelopp</w:t>
            </w:r>
            <w:r>
              <w:rPr>
                <w:rFonts w:ascii="Times New Roman" w:hAnsi="Times New Roman"/>
                <w:sz w:val="24"/>
              </w:rPr>
              <w:t xml:space="preserve"> för utspädningsrisken före kreditriskreducering.</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8" w:name="_Toc516210646"/>
      <w:bookmarkStart w:id="369" w:name="_Toc473560911"/>
      <w:bookmarkStart w:id="370" w:name="_Toc523820267"/>
      <w:r>
        <w:rPr>
          <w:rFonts w:ascii="Times New Roman" w:hAnsi="Times New Roman"/>
          <w:sz w:val="24"/>
          <w:u w:val="none"/>
        </w:rPr>
        <w:lastRenderedPageBreak/>
        <w:t>3.3.4.</w:t>
      </w:r>
      <w:r>
        <w:tab/>
      </w:r>
      <w:r>
        <w:rPr>
          <w:rFonts w:ascii="Times New Roman" w:hAnsi="Times New Roman"/>
          <w:sz w:val="24"/>
        </w:rPr>
        <w:t>C 08.02 – Kreditrisk och motpartsrisk och transaktioner utan samtidig prestation: I</w:t>
      </w:r>
      <w:r>
        <w:rPr>
          <w:rFonts w:ascii="Times New Roman" w:hAnsi="Times New Roman"/>
          <w:sz w:val="24"/>
        </w:rPr>
        <w:t>n</w:t>
      </w:r>
      <w:r>
        <w:rPr>
          <w:rFonts w:ascii="Times New Roman" w:hAnsi="Times New Roman"/>
          <w:sz w:val="24"/>
        </w:rPr>
        <w:t>ternmetoden för kapitalkrav (uppdelning per riskklass) (mall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Kolumn</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Instruktioner</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Riskklass (radidentifierare)</w:t>
            </w:r>
          </w:p>
          <w:p w:rsidR="00E97CD2" w:rsidRPr="00392FFD" w:rsidRDefault="00E97CD2" w:rsidP="003F05A0">
            <w:pPr>
              <w:rPr>
                <w:rFonts w:ascii="Times New Roman" w:hAnsi="Times New Roman"/>
                <w:sz w:val="24"/>
              </w:rPr>
            </w:pPr>
            <w:r>
              <w:rPr>
                <w:rFonts w:ascii="Times New Roman" w:hAnsi="Times New Roman"/>
                <w:sz w:val="24"/>
              </w:rPr>
              <w:t>Detta är en radidentifierare och ska vara unik för varje rad på ett särskilt t</w:t>
            </w:r>
            <w:r>
              <w:rPr>
                <w:rFonts w:ascii="Times New Roman" w:hAnsi="Times New Roman"/>
                <w:sz w:val="24"/>
              </w:rPr>
              <w:t>a</w:t>
            </w:r>
            <w:r>
              <w:rPr>
                <w:rFonts w:ascii="Times New Roman" w:hAnsi="Times New Roman"/>
                <w:sz w:val="24"/>
              </w:rPr>
              <w:t>bellblad. Det ska följa en numerisk ordning 1, 2, 3 osv.</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För dessa kolumner gäller samma instruktioner som för kolumnerna med mo</w:t>
            </w:r>
            <w:r>
              <w:rPr>
                <w:rFonts w:ascii="Times New Roman" w:hAnsi="Times New Roman"/>
                <w:sz w:val="24"/>
              </w:rPr>
              <w:t>t</w:t>
            </w:r>
            <w:r>
              <w:rPr>
                <w:rFonts w:ascii="Times New Roman" w:hAnsi="Times New Roman"/>
                <w:sz w:val="24"/>
              </w:rPr>
              <w:t>svarande nummer i tabell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Rad</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Instruktioner</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De värden som rapporteras på dessa rader ska ordnas från det lägsta PD-värdet för motpartsriskklassen till det högsta. PD-värdet för motparter på obestånd ska vara 100 %. Exponeringar som är föremål för alternativ behandling för s</w:t>
            </w:r>
            <w:r>
              <w:rPr>
                <w:rFonts w:ascii="Times New Roman" w:hAnsi="Times New Roman"/>
                <w:sz w:val="24"/>
              </w:rPr>
              <w:t>ä</w:t>
            </w:r>
            <w:r>
              <w:rPr>
                <w:rFonts w:ascii="Times New Roman" w:hAnsi="Times New Roman"/>
                <w:sz w:val="24"/>
              </w:rPr>
              <w:t>kerheter i form av fastigheter (endast möjligt om institutet inte använder egna skattningar av LGD-värden) ska inte ordnas efter gäldenärens PD-värde och inte rapporteras i denna mall.</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1"/>
      <w:bookmarkStart w:id="372" w:name="_Toc516210647"/>
      <w:bookmarkStart w:id="373" w:name="_Toc473560912"/>
      <w:bookmarkStart w:id="374" w:name="_Toc523820268"/>
      <w:r>
        <w:rPr>
          <w:rFonts w:ascii="Times New Roman" w:hAnsi="Times New Roman"/>
          <w:sz w:val="24"/>
          <w:u w:val="none"/>
        </w:rPr>
        <w:t>3.4.</w:t>
      </w:r>
      <w:r w:rsidRPr="00980CEB">
        <w:rPr>
          <w:u w:val="none"/>
        </w:rPr>
        <w:tab/>
      </w:r>
      <w:r>
        <w:rPr>
          <w:rFonts w:ascii="Times New Roman" w:hAnsi="Times New Roman"/>
          <w:sz w:val="24"/>
        </w:rPr>
        <w:t>Kreditrisk och motpartsrisk och transaktioner utan samtidig prestation: Geografiskt uppdelad information</w:t>
      </w:r>
      <w:bookmarkEnd w:id="371"/>
      <w:bookmarkEnd w:id="372"/>
      <w:bookmarkEnd w:id="373"/>
      <w:bookmarkEnd w:id="374"/>
    </w:p>
    <w:p w:rsidR="004357B9" w:rsidRPr="00392FFD" w:rsidRDefault="00125707" w:rsidP="00C37B29">
      <w:pPr>
        <w:pStyle w:val="InstructionsText2"/>
        <w:numPr>
          <w:ilvl w:val="0"/>
          <w:numId w:val="0"/>
        </w:numPr>
        <w:ind w:left="993"/>
      </w:pPr>
      <w:r>
        <w:t>79.</w:t>
      </w:r>
      <w:r>
        <w:tab/>
        <w:t>Alla institut ska lämna information som är aggregerad på total nivå. Dessutom ska institut som når den gräns som anges i artikel 5 a.4 lämna uppdelade uppgifter avseende såväl det egna landet som eventuella andra länder. Gränsvärdet är bara tillämpligt för tabell 1 och tabell 2. Exponeringar mot överstatliga organisationer ska hänföras till det geografiska området ”övriga länder”.</w:t>
      </w:r>
    </w:p>
    <w:p w:rsidR="004357B9" w:rsidRPr="00392FFD" w:rsidRDefault="00125707" w:rsidP="00C37B29">
      <w:pPr>
        <w:pStyle w:val="InstructionsText2"/>
        <w:numPr>
          <w:ilvl w:val="0"/>
          <w:numId w:val="0"/>
        </w:numPr>
        <w:ind w:left="993"/>
      </w:pPr>
      <w:r>
        <w:t>80.</w:t>
      </w:r>
      <w:r>
        <w:tab/>
        <w:t>Termen ”motpartens säte” avser det land där motparten är etablerad. Tilläm</w:t>
      </w:r>
      <w:r>
        <w:t>p</w:t>
      </w:r>
      <w:r>
        <w:t>ningen av detta koncept kan grunda sig på direkt motpart och på slutlig risk. CRM-metoder med substitutionseffekt kan alltså ändra allokeringen av en exponering mot ett land. Exponeringar mot överstatliga organisationer ska inte hänföras till det land där organisationen har sitt säte utan till det geografiska området ”övriga länder” oberoende av den exponeringsklass till vilken exponeringen mot överstatliga org</w:t>
      </w:r>
      <w:r>
        <w:t>a</w:t>
      </w:r>
      <w:r>
        <w:t>nisationer är hänförlig.</w:t>
      </w:r>
    </w:p>
    <w:p w:rsidR="0096378F" w:rsidRPr="00392FFD" w:rsidRDefault="00125707" w:rsidP="00C37B29">
      <w:pPr>
        <w:pStyle w:val="InstructionsText2"/>
        <w:numPr>
          <w:ilvl w:val="0"/>
          <w:numId w:val="0"/>
        </w:numPr>
        <w:ind w:left="993"/>
      </w:pPr>
      <w:r>
        <w:t>81.</w:t>
      </w:r>
      <w:r>
        <w:tab/>
        <w:t>Uppgifter om ”ursprunglig exponering före tillämpning av konverteringsfa</w:t>
      </w:r>
      <w:r>
        <w:t>k</w:t>
      </w:r>
      <w:r>
        <w:t>torer” ska rapporteras avseende det land där den direkta motparten har sitt säte. Uppgifter om ”exponeringsvärde” och ”riskvägda exponeringsbelopp” ska rappor</w:t>
      </w:r>
      <w:r>
        <w:t>t</w:t>
      </w:r>
      <w:r>
        <w:t>eras avseende det land där den slutliga motparten har sitt säte.</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2"/>
      <w:bookmarkStart w:id="376" w:name="_Toc516210648"/>
      <w:bookmarkStart w:id="377" w:name="_Toc473560913"/>
      <w:bookmarkStart w:id="378" w:name="_Toc523820269"/>
      <w:r>
        <w:rPr>
          <w:rFonts w:ascii="Times New Roman" w:hAnsi="Times New Roman"/>
          <w:sz w:val="24"/>
          <w:u w:val="none"/>
        </w:rPr>
        <w:lastRenderedPageBreak/>
        <w:t>3.4.1.</w:t>
      </w:r>
      <w:r w:rsidRPr="00980CEB">
        <w:rPr>
          <w:u w:val="none"/>
        </w:rPr>
        <w:tab/>
      </w:r>
      <w:r>
        <w:rPr>
          <w:rFonts w:ascii="Times New Roman" w:hAnsi="Times New Roman"/>
          <w:sz w:val="24"/>
        </w:rPr>
        <w:t>C 09.01 – Geografisk uppdelning av exponering efter gäldenärens hemvist Expon</w:t>
      </w:r>
      <w:r>
        <w:rPr>
          <w:rFonts w:ascii="Times New Roman" w:hAnsi="Times New Roman"/>
          <w:sz w:val="24"/>
        </w:rPr>
        <w:t>e</w:t>
      </w:r>
      <w:r>
        <w:rPr>
          <w:rFonts w:ascii="Times New Roman" w:hAnsi="Times New Roman"/>
          <w:sz w:val="24"/>
        </w:rPr>
        <w:t>ringar enligt schablonmetoden (CR GB 1)</w:t>
      </w:r>
      <w:bookmarkEnd w:id="375"/>
      <w:bookmarkEnd w:id="376"/>
      <w:bookmarkEnd w:id="377"/>
      <w:bookmarkEnd w:id="37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3"/>
      <w:bookmarkStart w:id="380" w:name="_Toc516210649"/>
      <w:bookmarkStart w:id="381" w:name="_Toc473560914"/>
      <w:bookmarkStart w:id="382" w:name="_Toc523820270"/>
      <w:r>
        <w:rPr>
          <w:rFonts w:ascii="Times New Roman" w:hAnsi="Times New Roman"/>
          <w:sz w:val="24"/>
          <w:u w:val="none"/>
        </w:rPr>
        <w:t>3.4.1.1.</w:t>
      </w:r>
      <w:r w:rsidRPr="00980CEB">
        <w:rPr>
          <w:u w:val="none"/>
        </w:rPr>
        <w:tab/>
      </w:r>
      <w:r>
        <w:rPr>
          <w:rFonts w:ascii="Times New Roman" w:hAnsi="Times New Roman"/>
          <w:sz w:val="24"/>
        </w:rPr>
        <w:t>Instruktioner för specifika positioner</w:t>
      </w:r>
      <w:bookmarkEnd w:id="379"/>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Kolumn</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URSPRUNGLIG EXPONERING FÖRE KONVERTERINGSFAKTORER</w:t>
            </w:r>
          </w:p>
          <w:p w:rsidR="004357B9" w:rsidRPr="00392FFD" w:rsidRDefault="004357B9" w:rsidP="004357B9">
            <w:pPr>
              <w:rPr>
                <w:rFonts w:ascii="Times New Roman" w:hAnsi="Times New Roman"/>
                <w:sz w:val="24"/>
              </w:rPr>
            </w:pPr>
            <w:r>
              <w:rPr>
                <w:rFonts w:ascii="Times New Roman" w:hAnsi="Times New Roman"/>
                <w:sz w:val="24"/>
              </w:rPr>
              <w:t>Samma definition som för kolumn 010 i CR SA-mallen.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Fallerade exponeringar</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Ursprungliga exponeringar före tillämpning av konverteringsfaktorer för de expon</w:t>
            </w:r>
            <w:r>
              <w:rPr>
                <w:rStyle w:val="InstructionsTabelleText"/>
                <w:rFonts w:ascii="Times New Roman" w:hAnsi="Times New Roman"/>
                <w:sz w:val="24"/>
              </w:rPr>
              <w:t>e</w:t>
            </w:r>
            <w:r>
              <w:rPr>
                <w:rStyle w:val="InstructionsTabelleText"/>
                <w:rFonts w:ascii="Times New Roman" w:hAnsi="Times New Roman"/>
                <w:sz w:val="24"/>
              </w:rPr>
              <w:t>ringar som har klassificerats som ”fallerande exponeringar, och för fallerade expon</w:t>
            </w:r>
            <w:r>
              <w:rPr>
                <w:rStyle w:val="InstructionsTabelleText"/>
                <w:rFonts w:ascii="Times New Roman" w:hAnsi="Times New Roman"/>
                <w:sz w:val="24"/>
              </w:rPr>
              <w:t>e</w:t>
            </w:r>
            <w:r>
              <w:rPr>
                <w:rStyle w:val="InstructionsTabelleText"/>
                <w:rFonts w:ascii="Times New Roman" w:hAnsi="Times New Roman"/>
                <w:sz w:val="24"/>
              </w:rPr>
              <w:t>ringar som hör till exponeringsklasserna ”exponeringar förknippade med särskilt hög risk eller ”aktieexponeringar”.</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Denna ”memorandumpost” ger ytterligare information om motpartsstrukturen för fall</w:t>
            </w:r>
            <w:r>
              <w:rPr>
                <w:rStyle w:val="InstructionsTabelleText"/>
                <w:rFonts w:ascii="Times New Roman" w:hAnsi="Times New Roman"/>
                <w:sz w:val="24"/>
              </w:rPr>
              <w:t>e</w:t>
            </w:r>
            <w:r>
              <w:rPr>
                <w:rStyle w:val="InstructionsTabelleText"/>
                <w:rFonts w:ascii="Times New Roman" w:hAnsi="Times New Roman"/>
                <w:sz w:val="24"/>
              </w:rPr>
              <w:t>rade exponeringar. Exponeringar som klassificeras som ”fallerande exponeringar” e</w:t>
            </w:r>
            <w:r>
              <w:rPr>
                <w:rStyle w:val="InstructionsTabelleText"/>
                <w:rFonts w:ascii="Times New Roman" w:hAnsi="Times New Roman"/>
                <w:sz w:val="24"/>
              </w:rPr>
              <w:t>n</w:t>
            </w:r>
            <w:r>
              <w:rPr>
                <w:rStyle w:val="InstructionsTabelleText"/>
                <w:rFonts w:ascii="Times New Roman" w:hAnsi="Times New Roman"/>
                <w:sz w:val="24"/>
              </w:rPr>
              <w:t xml:space="preserve">ligt artikel 112 j i CRR ska rapporteras där motparterna skulle ha </w:t>
            </w:r>
            <w:r>
              <w:rPr>
                <w:rStyle w:val="InstructionsTabelleText"/>
                <w:rFonts w:ascii="Times New Roman" w:hAnsi="Times New Roman"/>
                <w:sz w:val="24"/>
              </w:rPr>
              <w:br/>
              <w:t>rapporterats om dessa exponeringar inte hade klassificerats som ”fallerande expon</w:t>
            </w:r>
            <w:r>
              <w:rPr>
                <w:rStyle w:val="InstructionsTabelleText"/>
                <w:rFonts w:ascii="Times New Roman" w:hAnsi="Times New Roman"/>
                <w:sz w:val="24"/>
              </w:rPr>
              <w:t>e</w:t>
            </w:r>
            <w:r>
              <w:rPr>
                <w:rStyle w:val="InstructionsTabelleText"/>
                <w:rFonts w:ascii="Times New Roman" w:hAnsi="Times New Roman"/>
                <w:sz w:val="24"/>
              </w:rPr>
              <w:t xml:space="preserve">ringar”. </w:t>
            </w:r>
          </w:p>
          <w:p w:rsidR="004357B9" w:rsidRPr="00392FFD" w:rsidRDefault="004357B9" w:rsidP="004357B9">
            <w:pPr>
              <w:rPr>
                <w:rFonts w:ascii="Times New Roman" w:hAnsi="Times New Roman"/>
                <w:sz w:val="24"/>
              </w:rPr>
            </w:pPr>
            <w:r>
              <w:rPr>
                <w:rStyle w:val="InstructionsTabelleText"/>
                <w:rFonts w:ascii="Times New Roman" w:hAnsi="Times New Roman"/>
                <w:sz w:val="24"/>
              </w:rPr>
              <w:t>Denna uppgift är en ”memorandumpost” och påverkar alltså inte beräkningen av ris</w:t>
            </w:r>
            <w:r>
              <w:rPr>
                <w:rStyle w:val="InstructionsTabelleText"/>
                <w:rFonts w:ascii="Times New Roman" w:hAnsi="Times New Roman"/>
                <w:sz w:val="24"/>
              </w:rPr>
              <w:t>k</w:t>
            </w:r>
            <w:r>
              <w:rPr>
                <w:rStyle w:val="InstructionsTabelleText"/>
                <w:rFonts w:ascii="Times New Roman" w:hAnsi="Times New Roman"/>
                <w:sz w:val="24"/>
              </w:rPr>
              <w:t>vägda exponeringsbelopp för exponeringsklasserna ”fallerande exponeringar”, ”exp</w:t>
            </w:r>
            <w:r>
              <w:rPr>
                <w:rStyle w:val="InstructionsTabelleText"/>
                <w:rFonts w:ascii="Times New Roman" w:hAnsi="Times New Roman"/>
                <w:sz w:val="24"/>
              </w:rPr>
              <w:t>o</w:t>
            </w:r>
            <w:r>
              <w:rPr>
                <w:rStyle w:val="InstructionsTabelleText"/>
                <w:rFonts w:ascii="Times New Roman" w:hAnsi="Times New Roman"/>
                <w:sz w:val="24"/>
              </w:rPr>
              <w:t>neringar som är förenade med särskilt hög risk” eller ”aktieexponeringar” enligt artikel 112 j, k respektive p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Det belopp för ursprungliga exponeringar som har flyttats till exponeringsklassen ”fa</w:t>
            </w:r>
            <w:r>
              <w:rPr>
                <w:rStyle w:val="InstructionsTabelleText"/>
                <w:rFonts w:ascii="Times New Roman" w:hAnsi="Times New Roman"/>
                <w:sz w:val="24"/>
              </w:rPr>
              <w:t>l</w:t>
            </w:r>
            <w:r>
              <w:rPr>
                <w:rStyle w:val="InstructionsTabelleText"/>
                <w:rFonts w:ascii="Times New Roman" w:hAnsi="Times New Roman"/>
                <w:sz w:val="24"/>
              </w:rPr>
              <w:t>lerande exponeringar” under tremånadersperioden efter den senaste rapporteringen av referensuppgifter ska rapporteras mot motpartens ursprungliga exponeringsklass.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Allmänna kreditriskjusteringar</w:t>
            </w:r>
          </w:p>
          <w:p w:rsidR="004357B9" w:rsidRDefault="004357B9" w:rsidP="004357B9">
            <w:pPr>
              <w:rPr>
                <w:rFonts w:ascii="Times New Roman" w:hAnsi="Times New Roman"/>
                <w:sz w:val="24"/>
              </w:rPr>
            </w:pPr>
            <w:r>
              <w:rPr>
                <w:rFonts w:ascii="Times New Roman" w:hAnsi="Times New Roman"/>
                <w:sz w:val="24"/>
              </w:rPr>
              <w:t xml:space="preserve">Kreditriskjusteringar i enlighet med artikel 110 i CRR. </w:t>
            </w:r>
          </w:p>
          <w:p w:rsidR="00D95045" w:rsidRPr="00AE7CD3" w:rsidRDefault="00D95045" w:rsidP="00D95045">
            <w:pPr>
              <w:rPr>
                <w:rFonts w:ascii="Times New Roman" w:hAnsi="Times New Roman"/>
                <w:sz w:val="24"/>
              </w:rPr>
            </w:pPr>
            <w:r>
              <w:rPr>
                <w:rFonts w:ascii="Times New Roman" w:hAnsi="Times New Roman"/>
                <w:sz w:val="24"/>
              </w:rPr>
              <w:t>Denna post ska innefatta de allmänna kreditriskjusteringar som får inräknas i suppl</w:t>
            </w:r>
            <w:r>
              <w:rPr>
                <w:rFonts w:ascii="Times New Roman" w:hAnsi="Times New Roman"/>
                <w:sz w:val="24"/>
              </w:rPr>
              <w:t>e</w:t>
            </w:r>
            <w:r>
              <w:rPr>
                <w:rFonts w:ascii="Times New Roman" w:hAnsi="Times New Roman"/>
                <w:sz w:val="24"/>
              </w:rPr>
              <w:t>mentärkapitalet före tillämpning av det tak som avses i artikel 62 c i CRR.</w:t>
            </w:r>
          </w:p>
          <w:p w:rsidR="00D95045" w:rsidRPr="00392FFD" w:rsidRDefault="00D95045" w:rsidP="00D95045">
            <w:pPr>
              <w:rPr>
                <w:rFonts w:ascii="Times New Roman" w:hAnsi="Times New Roman"/>
                <w:b/>
                <w:sz w:val="24"/>
                <w:u w:val="single"/>
              </w:rPr>
            </w:pPr>
            <w:r>
              <w:rPr>
                <w:rFonts w:ascii="Times New Roman" w:hAnsi="Times New Roman"/>
                <w:sz w:val="24"/>
              </w:rPr>
              <w:t>Beloppet ska rapporteras brutto exklusive skatteeffekter.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Specifika kreditriskjusteringar</w:t>
            </w:r>
          </w:p>
          <w:p w:rsidR="004357B9" w:rsidRPr="00392FFD" w:rsidRDefault="004357B9" w:rsidP="004357B9">
            <w:pPr>
              <w:rPr>
                <w:rFonts w:ascii="Times New Roman" w:hAnsi="Times New Roman"/>
                <w:b/>
                <w:sz w:val="24"/>
                <w:u w:val="single"/>
              </w:rPr>
            </w:pPr>
            <w:r>
              <w:rPr>
                <w:rFonts w:ascii="Times New Roman" w:hAnsi="Times New Roman"/>
                <w:sz w:val="24"/>
              </w:rPr>
              <w:t>Kreditriskjusteringar i enlighet med artikel 110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Nedskrivningar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Nedskrivningar innefattar både minskningar av bokförda osäkra finansiella tillgångar som har direkt inverkan på resultatet [IFRS 7 B5 d i] och minskningar av belopp på a</w:t>
            </w:r>
            <w:r>
              <w:rPr>
                <w:rStyle w:val="InstructionsTabelleText"/>
                <w:rFonts w:ascii="Times New Roman" w:hAnsi="Times New Roman"/>
                <w:sz w:val="24"/>
              </w:rPr>
              <w:t>v</w:t>
            </w:r>
            <w:r>
              <w:rPr>
                <w:rStyle w:val="InstructionsTabelleText"/>
                <w:rFonts w:ascii="Times New Roman" w:hAnsi="Times New Roman"/>
                <w:sz w:val="24"/>
              </w:rPr>
              <w:t>sättningskonton som bokats mot de osäkra finansiella tillgångarna [IFRS 7 B5 d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Kreditriskjusteringar/nedskrivningar för observerade nya fallissemang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Summan av kreditriskjusteringar och nedskrivningar för de exponeringar som klassif</w:t>
            </w:r>
            <w:r>
              <w:rPr>
                <w:rStyle w:val="InstructionsTabelleText"/>
                <w:rFonts w:ascii="Times New Roman" w:hAnsi="Times New Roman"/>
                <w:sz w:val="24"/>
              </w:rPr>
              <w:t>i</w:t>
            </w:r>
            <w:r>
              <w:rPr>
                <w:rStyle w:val="InstructionsTabelleText"/>
                <w:rFonts w:ascii="Times New Roman" w:hAnsi="Times New Roman"/>
                <w:sz w:val="24"/>
              </w:rPr>
              <w:t>cerats som ”fallerade exponeringar” under tremånadersperioden efter den senaste up</w:t>
            </w:r>
            <w:r>
              <w:rPr>
                <w:rStyle w:val="InstructionsTabelleText"/>
                <w:rFonts w:ascii="Times New Roman" w:hAnsi="Times New Roman"/>
                <w:sz w:val="24"/>
              </w:rPr>
              <w:t>p</w:t>
            </w:r>
            <w:r>
              <w:rPr>
                <w:rStyle w:val="InstructionsTabelleText"/>
                <w:rFonts w:ascii="Times New Roman" w:hAnsi="Times New Roman"/>
                <w:sz w:val="24"/>
              </w:rPr>
              <w:t>giftsrapporteringen.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Exponeringsvärde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200 i CR SA-mallen.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RISKVÄGT EXPONERINGSBELOPP FÖRE STÖDFAKTORN FÖR SMÅ OCH MEDELSTORA FÖRETAG</w:t>
            </w:r>
          </w:p>
          <w:p w:rsidR="004357B9" w:rsidRPr="00392FFD" w:rsidRDefault="004357B9" w:rsidP="004357B9">
            <w:pPr>
              <w:rPr>
                <w:rFonts w:ascii="Times New Roman" w:hAnsi="Times New Roman"/>
                <w:b/>
                <w:sz w:val="24"/>
                <w:u w:val="single"/>
              </w:rPr>
            </w:pPr>
            <w:r>
              <w:rPr>
                <w:rFonts w:ascii="Times New Roman" w:hAnsi="Times New Roman"/>
                <w:sz w:val="24"/>
              </w:rPr>
              <w:t>Samma definition som för kolumn 215 i CR SA-mallen.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RISKVÄGT EXPONERINGSBELOPP EFTER STÖDFAKTORN FÖR SMÅ OCH MEDELSTORA FÖRETAG</w:t>
            </w:r>
          </w:p>
          <w:p w:rsidR="004357B9" w:rsidRPr="00392FFD" w:rsidRDefault="004357B9" w:rsidP="004357B9">
            <w:pPr>
              <w:rPr>
                <w:rFonts w:ascii="Times New Roman" w:hAnsi="Times New Roman"/>
                <w:b/>
                <w:sz w:val="24"/>
                <w:u w:val="single"/>
              </w:rPr>
            </w:pPr>
            <w:r>
              <w:rPr>
                <w:rFonts w:ascii="Times New Roman" w:hAnsi="Times New Roman"/>
                <w:sz w:val="24"/>
              </w:rPr>
              <w:t>Samma definition som för kolumn 220 i CR SA-mallen.</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Rad</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Nationella regeringar eller centralbanker</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Artikel 112 a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Delstatliga eller lokala självstyrelseorgan och myndigheter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b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Offentliga organ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c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Multilaterala utvecklingsbanker</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Artikel 112 d i CRR</w:t>
            </w:r>
            <w:r>
              <w:rPr>
                <w:rFonts w:ascii="Times New Roman" w:hAnsi="Times New Roman"/>
                <w:sz w:val="24"/>
              </w:rPr>
              <w:t>.</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Internationella organisationer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e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f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Företag</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g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020 i CR SA-mallen.</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Hushåll</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h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020 i CR SA-mallen.</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Säkrade genom panträtt fastigheter</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Artikel 112 i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020 i CR SA-mallen.</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Fallerande exponeringar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j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Poster förknippade med särskilt hög risk</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k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Säkerställda obligationer</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Artikel 112 l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Fordringar på institut och företag med kortfristigt kreditbetyg</w:t>
            </w:r>
          </w:p>
          <w:p w:rsidR="004357B9" w:rsidRPr="00392FFD" w:rsidRDefault="004357B9" w:rsidP="004357B9">
            <w:pPr>
              <w:ind w:left="72"/>
              <w:rPr>
                <w:rFonts w:ascii="Times New Roman" w:hAnsi="Times New Roman"/>
                <w:sz w:val="24"/>
              </w:rPr>
            </w:pPr>
            <w:r>
              <w:rPr>
                <w:rFonts w:ascii="Times New Roman" w:hAnsi="Times New Roman"/>
                <w:sz w:val="24"/>
              </w:rPr>
              <w:t>Artikel 112 n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Företag för kollektiva investeringar (fond)</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Artikel 112 o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Aktieexponeringar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p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Övriga exponeringar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Artikel 112 q i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Summa exponeringar</w:t>
            </w:r>
          </w:p>
        </w:tc>
      </w:tr>
    </w:tbl>
    <w:p w:rsidR="004357B9" w:rsidRPr="00392FFD" w:rsidRDefault="004357B9" w:rsidP="004357B9">
      <w:pPr>
        <w:spacing w:before="0" w:after="200" w:line="312" w:lineRule="auto"/>
        <w:jc w:val="left"/>
        <w:rPr>
          <w:rFonts w:ascii="Times New Roman" w:hAnsi="Times New Roman"/>
          <w:sz w:val="24"/>
        </w:rPr>
      </w:pPr>
      <w:bookmarkStart w:id="383"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4" w:name="_Toc360188364"/>
      <w:bookmarkStart w:id="385" w:name="_Toc516210650"/>
      <w:bookmarkStart w:id="386" w:name="_Toc473560915"/>
      <w:bookmarkStart w:id="387" w:name="_Toc523820271"/>
      <w:r>
        <w:rPr>
          <w:rFonts w:ascii="Times New Roman" w:hAnsi="Times New Roman"/>
          <w:sz w:val="24"/>
          <w:u w:val="none"/>
        </w:rPr>
        <w:t>3.4.2.</w:t>
      </w:r>
      <w:r w:rsidRPr="00980CEB">
        <w:rPr>
          <w:u w:val="none"/>
        </w:rPr>
        <w:tab/>
      </w:r>
      <w:r>
        <w:rPr>
          <w:rFonts w:ascii="Times New Roman" w:hAnsi="Times New Roman"/>
          <w:sz w:val="24"/>
        </w:rPr>
        <w:t>Tabell 09.02 – Geografisk uppdelning av exponering efter gäldenärens hemvist Exp</w:t>
      </w:r>
      <w:r>
        <w:rPr>
          <w:rFonts w:ascii="Times New Roman" w:hAnsi="Times New Roman"/>
          <w:sz w:val="24"/>
        </w:rPr>
        <w:t>o</w:t>
      </w:r>
      <w:r>
        <w:rPr>
          <w:rFonts w:ascii="Times New Roman" w:hAnsi="Times New Roman"/>
          <w:sz w:val="24"/>
        </w:rPr>
        <w:t>neringar enligt internmetoden</w:t>
      </w:r>
      <w:bookmarkEnd w:id="384"/>
      <w:r>
        <w:rPr>
          <w:rFonts w:ascii="Times New Roman" w:hAnsi="Times New Roman"/>
          <w:sz w:val="24"/>
        </w:rPr>
        <w:t xml:space="preserve"> (CR GB 2)</w:t>
      </w:r>
      <w:bookmarkEnd w:id="385"/>
      <w:bookmarkEnd w:id="386"/>
      <w:bookmarkEnd w:id="387"/>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8" w:name="_Toc360188365"/>
      <w:bookmarkStart w:id="389" w:name="_Toc516210651"/>
      <w:bookmarkStart w:id="390" w:name="_Toc473560916"/>
      <w:bookmarkStart w:id="391" w:name="_Toc523820272"/>
      <w:r>
        <w:rPr>
          <w:rFonts w:ascii="Times New Roman" w:hAnsi="Times New Roman"/>
          <w:sz w:val="24"/>
          <w:u w:val="none"/>
        </w:rPr>
        <w:t>3.4.2.1.</w:t>
      </w:r>
      <w:r w:rsidRPr="00980CEB">
        <w:rPr>
          <w:u w:val="none"/>
        </w:rPr>
        <w:tab/>
      </w:r>
      <w:r>
        <w:rPr>
          <w:rFonts w:ascii="Times New Roman" w:hAnsi="Times New Roman"/>
          <w:sz w:val="24"/>
        </w:rPr>
        <w:t>Instruktioner för specifika positioner</w:t>
      </w:r>
      <w:bookmarkEnd w:id="388"/>
      <w:bookmarkEnd w:id="389"/>
      <w:bookmarkEnd w:id="390"/>
      <w:bookmarkEnd w:id="39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Kolumn</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Samma definition som för kolumn 020 i CR IRB-mallen.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Varav fallerade exponeringar</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Ursprungligt exponeringsvärde för de exponeringar som har klassificerats som ”fall</w:t>
            </w:r>
            <w:r>
              <w:rPr>
                <w:rStyle w:val="InstructionsTabelleText"/>
                <w:rFonts w:ascii="Times New Roman" w:hAnsi="Times New Roman"/>
                <w:sz w:val="24"/>
              </w:rPr>
              <w:t>e</w:t>
            </w:r>
            <w:r>
              <w:rPr>
                <w:rStyle w:val="InstructionsTabelleText"/>
                <w:rFonts w:ascii="Times New Roman" w:hAnsi="Times New Roman"/>
                <w:sz w:val="24"/>
              </w:rPr>
              <w:t>rade exponeringar” i enlighet med artikel 178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Det belopp för ursprungliga exponeringar som har flyttats till exponeringsklassen ”fa</w:t>
            </w:r>
            <w:r>
              <w:rPr>
                <w:rStyle w:val="InstructionsTabelleText"/>
                <w:rFonts w:ascii="Times New Roman" w:hAnsi="Times New Roman"/>
                <w:sz w:val="24"/>
              </w:rPr>
              <w:t>l</w:t>
            </w:r>
            <w:r>
              <w:rPr>
                <w:rStyle w:val="InstructionsTabelleText"/>
                <w:rFonts w:ascii="Times New Roman" w:hAnsi="Times New Roman"/>
                <w:sz w:val="24"/>
              </w:rPr>
              <w:t>lerande exponeringar” under tremånadersperioden efter den senaste rapporteringen av referensuppgifter ska rapporteras mot motpartens ursprungliga exponeringsklass.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Allmänna kreditriskjusteringar</w:t>
            </w:r>
          </w:p>
          <w:p w:rsidR="004357B9" w:rsidRPr="00392FFD" w:rsidRDefault="004357B9" w:rsidP="00D82B60">
            <w:pPr>
              <w:rPr>
                <w:rFonts w:ascii="Times New Roman" w:hAnsi="Times New Roman"/>
                <w:b/>
                <w:sz w:val="24"/>
                <w:u w:val="single"/>
              </w:rPr>
            </w:pPr>
            <w:r>
              <w:rPr>
                <w:rFonts w:ascii="Times New Roman" w:hAnsi="Times New Roman"/>
                <w:sz w:val="24"/>
              </w:rPr>
              <w:t xml:space="preserve">Kreditriskjusteringar i enlighet med artikel 110 i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Specifika kreditriskjusteringar</w:t>
            </w:r>
          </w:p>
          <w:p w:rsidR="004357B9" w:rsidRPr="00392FFD" w:rsidRDefault="004357B9" w:rsidP="004357B9">
            <w:pPr>
              <w:rPr>
                <w:rFonts w:ascii="Times New Roman" w:hAnsi="Times New Roman"/>
                <w:b/>
                <w:sz w:val="24"/>
                <w:u w:val="single"/>
              </w:rPr>
            </w:pPr>
            <w:r>
              <w:rPr>
                <w:rFonts w:ascii="Times New Roman" w:hAnsi="Times New Roman"/>
                <w:sz w:val="24"/>
              </w:rPr>
              <w:t>Kreditriskjusteringar i enlighet med artikel 110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Nedskrivningar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Nedskrivningar innefattar både minskningar av bokförda osäkra finansiella tillgångar som har direkt inverkan på resultatet [IFRS 7 B5 d i] och minskningar av belopp på a</w:t>
            </w:r>
            <w:r>
              <w:rPr>
                <w:rStyle w:val="InstructionsTabelleText"/>
                <w:rFonts w:ascii="Times New Roman" w:hAnsi="Times New Roman"/>
                <w:sz w:val="24"/>
              </w:rPr>
              <w:t>v</w:t>
            </w:r>
            <w:r>
              <w:rPr>
                <w:rStyle w:val="InstructionsTabelleText"/>
                <w:rFonts w:ascii="Times New Roman" w:hAnsi="Times New Roman"/>
                <w:sz w:val="24"/>
              </w:rPr>
              <w:t>sättningskonton som bokats mot de osäkra finansiella tillgångarna [IFRS 7 B5 d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Kreditriskjusteringar/nedskrivningar för observerade nya fallissemang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Summan av kreditriskjusteringar och nedskrivningar för de exponeringar som klassif</w:t>
            </w:r>
            <w:r>
              <w:rPr>
                <w:rStyle w:val="InstructionsTabelleText"/>
                <w:rFonts w:ascii="Times New Roman" w:hAnsi="Times New Roman"/>
                <w:sz w:val="24"/>
              </w:rPr>
              <w:t>i</w:t>
            </w:r>
            <w:r>
              <w:rPr>
                <w:rStyle w:val="InstructionsTabelleText"/>
                <w:rFonts w:ascii="Times New Roman" w:hAnsi="Times New Roman"/>
                <w:sz w:val="24"/>
              </w:rPr>
              <w:t>cerats som ”fallerade exponeringar” under tremånadersperioden efter den senaste up</w:t>
            </w:r>
            <w:r>
              <w:rPr>
                <w:rStyle w:val="InstructionsTabelleText"/>
                <w:rFonts w:ascii="Times New Roman" w:hAnsi="Times New Roman"/>
                <w:sz w:val="24"/>
              </w:rPr>
              <w:t>p</w:t>
            </w:r>
            <w:r>
              <w:rPr>
                <w:rStyle w:val="InstructionsTabelleText"/>
                <w:rFonts w:ascii="Times New Roman" w:hAnsi="Times New Roman"/>
                <w:sz w:val="24"/>
              </w:rPr>
              <w:t>giftsrapporteringen.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INTERNT RISKKLASSIFICERINGSSYSTEM/PD SOM ÅSATTS RISKKLA</w:t>
            </w:r>
            <w:r>
              <w:rPr>
                <w:rStyle w:val="InstructionsTabelleberschrift"/>
                <w:rFonts w:ascii="Times New Roman" w:hAnsi="Times New Roman"/>
                <w:sz w:val="24"/>
              </w:rPr>
              <w:t>S</w:t>
            </w:r>
            <w:r>
              <w:rPr>
                <w:rStyle w:val="InstructionsTabelleberschrift"/>
                <w:rFonts w:ascii="Times New Roman" w:hAnsi="Times New Roman"/>
                <w:sz w:val="24"/>
              </w:rPr>
              <w:t>SEN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010 i CR IRB-mallen.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EXPONERINGSVÄGT GENOMSNITTLIGT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Samma definition som för kolumnerna 230 och 240 i CR IRB-mallen. Exponeringsvägt genomsnittligt LGD (%) avser alla exponeringar, inklusive exponeringar mot stora e</w:t>
            </w:r>
            <w:r>
              <w:rPr>
                <w:rStyle w:val="InstructionsTabelleText"/>
                <w:rFonts w:ascii="Times New Roman" w:hAnsi="Times New Roman"/>
                <w:sz w:val="24"/>
              </w:rPr>
              <w:t>n</w:t>
            </w:r>
            <w:r>
              <w:rPr>
                <w:rStyle w:val="InstructionsTabelleText"/>
                <w:rFonts w:ascii="Times New Roman" w:hAnsi="Times New Roman"/>
                <w:sz w:val="24"/>
              </w:rPr>
              <w:t>heter inom finanssektorn och icke reglerade finansiella enheter. Bestämmelserna i art</w:t>
            </w:r>
            <w:r>
              <w:rPr>
                <w:rStyle w:val="InstructionsTabelleText"/>
                <w:rFonts w:ascii="Times New Roman" w:hAnsi="Times New Roman"/>
                <w:sz w:val="24"/>
              </w:rPr>
              <w:t>i</w:t>
            </w:r>
            <w:r>
              <w:rPr>
                <w:rStyle w:val="InstructionsTabelleText"/>
                <w:rFonts w:ascii="Times New Roman" w:hAnsi="Times New Roman"/>
                <w:sz w:val="24"/>
              </w:rPr>
              <w:t>kel 181.1 h i CRR ska tillämpas.</w:t>
            </w:r>
          </w:p>
          <w:p w:rsidR="0042766A" w:rsidRPr="00392FFD" w:rsidRDefault="0042766A" w:rsidP="0042766A">
            <w:pPr>
              <w:rPr>
                <w:rFonts w:ascii="Times New Roman" w:hAnsi="Times New Roman"/>
                <w:b/>
                <w:sz w:val="24"/>
                <w:u w:val="single"/>
              </w:rPr>
            </w:pPr>
            <w:r>
              <w:rPr>
                <w:rFonts w:ascii="Times New Roman" w:hAnsi="Times New Roman"/>
                <w:sz w:val="24"/>
              </w:rPr>
              <w:t>Inga uppgifter ska rapporteras för de exponeringar avseende specialutlåning som avses i artikel 153.5.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Varav: fallerade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Exponeringsvägt LGD-värde för de exponeringar som har klassificerats som ”fallerade exponeringar” i enlighet med artikel 178 i CRR.</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Exponeringsvärde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110 i CR IRB-mallen.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RISKVÄGT EXPONERINGSBELOPP FÖRE STÖDFAKTORN FÖR SMÅ OCH MEDELSTORA FÖRETAG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255 i CR IRB-mallen.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Varav fallerade exponeringar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Riskvägt exponeringsbelopp för de exponeringar som har klassificerats som ”fallerade exponeringar” i enlighet med artikel 178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RISKVÄGT EXPONERINGSBELOPP EFTER STÖDFAKTORN FÖR SMÅ OCH MEDELSTORA FÖRETAG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260 i CR IRB-mallen.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FÖRVÄNTAD FÖRLUST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280 i CR IRB-mallen.</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Rad</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Nationella regeringar eller centralbanker </w:t>
            </w:r>
          </w:p>
          <w:p w:rsidR="004357B9" w:rsidRPr="00392FFD" w:rsidRDefault="004357B9" w:rsidP="004357B9">
            <w:pPr>
              <w:rPr>
                <w:rFonts w:ascii="Times New Roman" w:hAnsi="Times New Roman"/>
                <w:sz w:val="24"/>
              </w:rPr>
            </w:pPr>
            <w:r>
              <w:rPr>
                <w:rFonts w:ascii="Times New Roman" w:hAnsi="Times New Roman"/>
                <w:sz w:val="24"/>
              </w:rPr>
              <w:t>(artikel 147.2 a i CRR)</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Institut</w:t>
            </w:r>
          </w:p>
          <w:p w:rsidR="004357B9" w:rsidRPr="0023700C" w:rsidRDefault="004357B9" w:rsidP="004357B9">
            <w:pPr>
              <w:rPr>
                <w:rFonts w:ascii="Times New Roman" w:hAnsi="Times New Roman"/>
                <w:sz w:val="24"/>
              </w:rPr>
            </w:pPr>
            <w:r>
              <w:rPr>
                <w:rFonts w:ascii="Times New Roman" w:hAnsi="Times New Roman"/>
                <w:sz w:val="24"/>
              </w:rPr>
              <w:t>(artikel 147.2 b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Företag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Alla företag i enlighet med artikel 147.2 c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Varav: Specialutlåning (exklusive specialutlåning som omfattas av klassific</w:t>
            </w:r>
            <w:r>
              <w:rPr>
                <w:rFonts w:ascii="Times New Roman" w:hAnsi="Times New Roman"/>
                <w:b/>
                <w:sz w:val="24"/>
                <w:u w:val="single"/>
              </w:rPr>
              <w:t>e</w:t>
            </w:r>
            <w:r>
              <w:rPr>
                <w:rFonts w:ascii="Times New Roman" w:hAnsi="Times New Roman"/>
                <w:b/>
                <w:sz w:val="24"/>
                <w:u w:val="single"/>
              </w:rPr>
              <w:t>ringskriterier)</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Artikel 147.8 a i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Inga uppgifter ska rapporteras för de exponeringar avseende specialutlåning som avses i artikel 153.5.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Varav: Specialutlåning som omfattas av klassificeringskriterier</w:t>
            </w:r>
          </w:p>
          <w:p w:rsidR="000E093A" w:rsidRPr="00392FFD" w:rsidRDefault="000E093A" w:rsidP="00FD54FC">
            <w:pPr>
              <w:rPr>
                <w:rFonts w:ascii="Times New Roman" w:hAnsi="Times New Roman"/>
                <w:b/>
                <w:sz w:val="24"/>
                <w:u w:val="single"/>
              </w:rPr>
            </w:pPr>
            <w:r>
              <w:rPr>
                <w:rFonts w:ascii="Times New Roman" w:hAnsi="Times New Roman"/>
                <w:sz w:val="24"/>
              </w:rPr>
              <w:t>Artiklarna 147.8 a och 153.5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Varav: Små och medelstora företag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(artikel 147.2 c i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Hushåll</w:t>
            </w:r>
          </w:p>
          <w:p w:rsidR="004357B9" w:rsidRPr="00392FFD" w:rsidRDefault="004357B9" w:rsidP="004357B9">
            <w:pPr>
              <w:rPr>
                <w:rFonts w:ascii="Times New Roman" w:hAnsi="Times New Roman"/>
                <w:sz w:val="24"/>
              </w:rPr>
            </w:pPr>
            <w:r>
              <w:rPr>
                <w:rFonts w:ascii="Times New Roman" w:hAnsi="Times New Roman"/>
                <w:sz w:val="24"/>
              </w:rPr>
              <w:t>Alla hushållsexponeringar i enlighet med artikel 147.2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Hushåll – säkerhet i fastighet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Hushållsexponeringar i enlighet med artikel 147.2 d i CRR, vilka är säkrade genom fastigheter.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Små och medelstora företag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Hushållsexponeringar i enlighet med artikel 147.2 d jämförd med artikel 153.3 i CRR, vilka är säkrade genom fastigheter.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Ej små och medelstora företag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Hushållsexponeringar i enlighet med artikel 147.2 d i CRR, vilka är säkrade genom fastigheter.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Hushåll – Kvalificerad rullande exponering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(artikel 147.2 d jämförd med artikel 154.4 i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Övrigt hushåll</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De övriga hushållsexponeringar i enlighet med artikel 147.2 d i CRR som inte rappor</w:t>
            </w:r>
            <w:r>
              <w:rPr>
                <w:rFonts w:ascii="Times New Roman" w:hAnsi="Times New Roman"/>
                <w:sz w:val="24"/>
              </w:rPr>
              <w:t>t</w:t>
            </w:r>
            <w:r>
              <w:rPr>
                <w:rFonts w:ascii="Times New Roman" w:hAnsi="Times New Roman"/>
                <w:sz w:val="24"/>
              </w:rPr>
              <w:t>eras på raderna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Små och medelstora företag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Övriga hushållsexponeringar i enlighet med artikel 147.2 d jämförd med artikel 153.3 i CRR, vilka är säkrade genom fastigheter.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Ej små och medelstora företag</w:t>
            </w:r>
          </w:p>
          <w:p w:rsidR="004357B9" w:rsidRPr="00392FFD" w:rsidRDefault="004357B9" w:rsidP="004357B9">
            <w:pPr>
              <w:rPr>
                <w:rFonts w:ascii="Times New Roman" w:hAnsi="Times New Roman"/>
                <w:sz w:val="24"/>
              </w:rPr>
            </w:pPr>
            <w:r>
              <w:rPr>
                <w:rFonts w:ascii="Times New Roman" w:hAnsi="Times New Roman"/>
                <w:sz w:val="24"/>
              </w:rPr>
              <w:t>Övriga hushållsexponeringar i enlighet med artikel 147.2 d i CRR.</w:t>
            </w:r>
          </w:p>
        </w:tc>
      </w:tr>
      <w:bookmarkEnd w:id="383"/>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Aktier</w:t>
            </w:r>
          </w:p>
          <w:p w:rsidR="004357B9" w:rsidRPr="00392FFD" w:rsidRDefault="004357B9" w:rsidP="004357B9">
            <w:pPr>
              <w:rPr>
                <w:rFonts w:ascii="Times New Roman" w:hAnsi="Times New Roman"/>
                <w:b/>
                <w:sz w:val="24"/>
                <w:u w:val="single"/>
              </w:rPr>
            </w:pPr>
            <w:r>
              <w:rPr>
                <w:rFonts w:ascii="Times New Roman" w:hAnsi="Times New Roman"/>
                <w:sz w:val="24"/>
              </w:rPr>
              <w:t>Aktieexponeringar i enlighet med artikel 147.2 e i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Summa exponeringar</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2" w:name="_Toc360188366"/>
      <w:bookmarkStart w:id="393" w:name="_Toc516210652"/>
      <w:bookmarkStart w:id="394" w:name="_Toc473560917"/>
      <w:bookmarkStart w:id="395" w:name="_Toc523820273"/>
      <w:r>
        <w:rPr>
          <w:rFonts w:ascii="Times New Roman" w:hAnsi="Times New Roman"/>
          <w:sz w:val="24"/>
          <w:u w:val="none"/>
        </w:rPr>
        <w:t>3.4.3</w:t>
      </w:r>
      <w:r w:rsidRPr="002A5DE9">
        <w:rPr>
          <w:rFonts w:ascii="Times New Roman" w:hAnsi="Times New Roman"/>
          <w:sz w:val="24"/>
          <w:u w:val="none"/>
        </w:rPr>
        <w:t>.</w:t>
      </w:r>
      <w:r w:rsidRPr="002A5DE9">
        <w:rPr>
          <w:u w:val="none"/>
        </w:rPr>
        <w:tab/>
      </w:r>
      <w:r>
        <w:rPr>
          <w:rFonts w:ascii="Times New Roman" w:hAnsi="Times New Roman"/>
          <w:sz w:val="24"/>
        </w:rPr>
        <w:t xml:space="preserve">Tabell 09.04 – Uppdelning av kreditexponeringar som är relevanta för beräkningen av den kontracykliska bufferten per land och institutspecifikt kontracykliskt buffertvärde </w:t>
      </w:r>
      <w:bookmarkEnd w:id="392"/>
      <w:r>
        <w:rPr>
          <w:rFonts w:ascii="Times New Roman" w:hAnsi="Times New Roman"/>
          <w:sz w:val="24"/>
        </w:rPr>
        <w:t>(CCB)</w:t>
      </w:r>
      <w:bookmarkEnd w:id="393"/>
      <w:bookmarkEnd w:id="394"/>
      <w:bookmarkEnd w:id="39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6" w:name="_Toc360188367"/>
      <w:bookmarkStart w:id="397" w:name="_Toc516210653"/>
      <w:bookmarkStart w:id="398" w:name="_Toc473560918"/>
      <w:bookmarkStart w:id="399" w:name="_Toc523820274"/>
      <w:r>
        <w:rPr>
          <w:rFonts w:ascii="Times New Roman" w:hAnsi="Times New Roman"/>
          <w:sz w:val="24"/>
          <w:u w:val="none"/>
        </w:rPr>
        <w:t>3.4.3.1.</w:t>
      </w:r>
      <w:r w:rsidRPr="002A5DE9">
        <w:rPr>
          <w:u w:val="none"/>
        </w:rPr>
        <w:tab/>
      </w:r>
      <w:r>
        <w:rPr>
          <w:rFonts w:ascii="Times New Roman" w:hAnsi="Times New Roman"/>
          <w:sz w:val="24"/>
        </w:rPr>
        <w:t>Allmänna kommentarer</w:t>
      </w:r>
      <w:bookmarkEnd w:id="396"/>
      <w:bookmarkEnd w:id="397"/>
      <w:bookmarkEnd w:id="398"/>
      <w:bookmarkEnd w:id="399"/>
    </w:p>
    <w:p w:rsidR="00430F6F" w:rsidRPr="00392FFD" w:rsidRDefault="00125707" w:rsidP="00C37B29">
      <w:pPr>
        <w:pStyle w:val="InstructionsText2"/>
        <w:numPr>
          <w:ilvl w:val="0"/>
          <w:numId w:val="0"/>
        </w:numPr>
        <w:ind w:left="993"/>
      </w:pPr>
      <w:r>
        <w:t>82.</w:t>
      </w:r>
      <w:r>
        <w:tab/>
        <w:t>Syftet med denna tabell är att få mer information om de olika delarna av den institutspecifika kontracykliska kapitalbufferten. De nödvändiga uppgifterna rör kapitalbaskrav fastställda i enlighet med del tre avdelningarna II och IV i CRR och det geografiska området för kreditexponeringar, värdepapperiseringsexponeringar och exponeringar i handelslager som är relevanta för beräkningen av den institu</w:t>
      </w:r>
      <w:r>
        <w:t>t</w:t>
      </w:r>
      <w:r>
        <w:t xml:space="preserve">specifika kontracykliska kapitalbufferten (CCB) i enlighet med artikel 140 i CRD (berörda kreditexponeringar). </w:t>
      </w:r>
    </w:p>
    <w:p w:rsidR="00430F6F" w:rsidRPr="00392FFD" w:rsidRDefault="00125707" w:rsidP="00C37B29">
      <w:pPr>
        <w:pStyle w:val="InstructionsText2"/>
        <w:numPr>
          <w:ilvl w:val="0"/>
          <w:numId w:val="0"/>
        </w:numPr>
        <w:ind w:left="993"/>
      </w:pPr>
      <w:r>
        <w:t>83.</w:t>
      </w:r>
      <w:r>
        <w:tab/>
        <w:t>Uppgifterna i mall C 09.04 ska rapporteras för totala berörda kreditexponerin</w:t>
      </w:r>
      <w:r>
        <w:t>g</w:t>
      </w:r>
      <w:r>
        <w:t>ar inom alla jurisdiktioner där dessa exponeringar finns och individuellt för var och en av de jurisdiktioner i vilka berörda kreditexponeringar finns. Såväl de totala b</w:t>
      </w:r>
      <w:r>
        <w:t>e</w:t>
      </w:r>
      <w:r>
        <w:t xml:space="preserve">loppen som uppgifterna för varje jurisdiktion ska rapporteras separat. </w:t>
      </w:r>
    </w:p>
    <w:p w:rsidR="007463E2" w:rsidRPr="00392FFD" w:rsidRDefault="00125707" w:rsidP="00C37B29">
      <w:pPr>
        <w:pStyle w:val="InstructionsText2"/>
        <w:numPr>
          <w:ilvl w:val="0"/>
          <w:numId w:val="0"/>
        </w:numPr>
        <w:ind w:left="993"/>
      </w:pPr>
      <w:r>
        <w:t>84.</w:t>
      </w:r>
      <w:r>
        <w:tab/>
        <w:t>Den gräns som anges i artikel 5 a.4 är inte relevant för rapporteringen av denna uppdelning.</w:t>
      </w:r>
    </w:p>
    <w:p w:rsidR="005A7CA9" w:rsidRPr="00392FFD" w:rsidRDefault="00125707" w:rsidP="00C37B29">
      <w:pPr>
        <w:pStyle w:val="InstructionsText2"/>
        <w:numPr>
          <w:ilvl w:val="0"/>
          <w:numId w:val="0"/>
        </w:numPr>
        <w:ind w:left="993"/>
      </w:pPr>
      <w:r>
        <w:lastRenderedPageBreak/>
        <w:t>85.</w:t>
      </w:r>
      <w:r>
        <w:tab/>
        <w:t>För att fastställa det geografiska området fördelas exponeringarna på grundval av direkt gäldenär enligt kommissionens delegerade förordning (EU) nr 1152/2014 av den 4 juni 2014 avseende tekniska tillsynsstandarder för fastställande av den geografiska platsen för berörda kreditexponeringar för beräkning av institutspec</w:t>
      </w:r>
      <w:r>
        <w:t>i</w:t>
      </w:r>
      <w:r>
        <w:t>fika kontracykliska kapitalbuffertar. Metoder för kreditriskreducering ändrar därför inte allokeringen av en exponering till dess geografiska område när det gäller up</w:t>
      </w:r>
      <w:r>
        <w:t>p</w:t>
      </w:r>
      <w:r>
        <w:t>gifter som ska rapporteras i denna mall.</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0" w:name="_Toc360188368"/>
      <w:bookmarkStart w:id="401" w:name="_Toc516210654"/>
      <w:bookmarkStart w:id="402" w:name="_Toc473560919"/>
      <w:bookmarkStart w:id="403" w:name="_Toc523820275"/>
      <w:r>
        <w:rPr>
          <w:rFonts w:ascii="Times New Roman" w:hAnsi="Times New Roman"/>
          <w:sz w:val="24"/>
          <w:u w:val="none"/>
        </w:rPr>
        <w:t>3.4.3.2.</w:t>
      </w:r>
      <w:r w:rsidRPr="00BE033B">
        <w:rPr>
          <w:u w:val="none"/>
        </w:rPr>
        <w:tab/>
      </w:r>
      <w:r>
        <w:rPr>
          <w:rFonts w:ascii="Times New Roman" w:hAnsi="Times New Roman"/>
          <w:sz w:val="24"/>
        </w:rPr>
        <w:t>Instruktioner för specifika positioner</w:t>
      </w:r>
      <w:bookmarkEnd w:id="400"/>
      <w:bookmarkEnd w:id="401"/>
      <w:bookmarkEnd w:id="402"/>
      <w:bookmarkEnd w:id="40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Kolumn</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Belopp</w:t>
            </w:r>
          </w:p>
          <w:p w:rsidR="00154859" w:rsidRPr="00392FFD" w:rsidRDefault="006E3440" w:rsidP="00535A98">
            <w:pPr>
              <w:rPr>
                <w:rFonts w:ascii="Times New Roman" w:hAnsi="Times New Roman"/>
                <w:b/>
                <w:sz w:val="24"/>
                <w:u w:val="single"/>
              </w:rPr>
            </w:pPr>
            <w:r>
              <w:rPr>
                <w:rFonts w:ascii="Times New Roman" w:hAnsi="Times New Roman"/>
                <w:sz w:val="24"/>
              </w:rPr>
              <w:t>Värdet av berörda kreditexponeringar och tillhörande kapitalbaskrav fastställda i enlighet med anvisningarna för de olika raderna.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Procent</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 information</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Denna information ska endast rapporteras för institutets hemviststat (den juri</w:t>
            </w:r>
            <w:r>
              <w:rPr>
                <w:rFonts w:ascii="Times New Roman" w:hAnsi="Times New Roman"/>
                <w:sz w:val="24"/>
              </w:rPr>
              <w:t>s</w:t>
            </w:r>
            <w:r>
              <w:rPr>
                <w:rFonts w:ascii="Times New Roman" w:hAnsi="Times New Roman"/>
                <w:sz w:val="24"/>
              </w:rPr>
              <w:t xml:space="preserve">diktion som motsvarar dess hemmedlemsstat) och totalt för alla länder.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Instituten ska rapportera antingen y eller n i enlighet med instruktionerna för den aktuella raden.</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Rad</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Berörda kreditexponeringar – kreditrisk</w:t>
            </w:r>
          </w:p>
          <w:p w:rsidR="00BD5485" w:rsidRPr="00392FFD" w:rsidRDefault="00BD5485" w:rsidP="00BD5485">
            <w:pPr>
              <w:rPr>
                <w:rFonts w:ascii="Times New Roman" w:hAnsi="Times New Roman"/>
                <w:b/>
                <w:sz w:val="24"/>
                <w:u w:val="single"/>
              </w:rPr>
            </w:pPr>
            <w:r>
              <w:rPr>
                <w:rFonts w:ascii="Times New Roman" w:hAnsi="Times New Roman"/>
                <w:sz w:val="24"/>
              </w:rPr>
              <w:t>Berörda kreditexponeringarna fastställda i enlighet med artikel 140.4 a i CRD.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Exponeringsvärde enligt schablonmetoden</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Exponeringsvärde fastställt i enlighet med artikel 111 i CRR för berörda kredite</w:t>
            </w:r>
            <w:r>
              <w:rPr>
                <w:rFonts w:ascii="Times New Roman" w:hAnsi="Times New Roman"/>
                <w:sz w:val="24"/>
              </w:rPr>
              <w:t>x</w:t>
            </w:r>
            <w:r>
              <w:rPr>
                <w:rFonts w:ascii="Times New Roman" w:hAnsi="Times New Roman"/>
                <w:sz w:val="24"/>
              </w:rPr>
              <w:t xml:space="preserve">poneringar fastställda i enlighet med artikel 140.4 a i CRD.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Exponeringsvärdet för positioner i värdepapperisering i handelslagret enligt sch</w:t>
            </w:r>
            <w:r>
              <w:rPr>
                <w:rFonts w:ascii="Times New Roman" w:hAnsi="Times New Roman"/>
                <w:sz w:val="24"/>
              </w:rPr>
              <w:t>a</w:t>
            </w:r>
            <w:r>
              <w:rPr>
                <w:rFonts w:ascii="Times New Roman" w:hAnsi="Times New Roman"/>
                <w:sz w:val="24"/>
              </w:rPr>
              <w:t>blonmetoden ska undantas från denna rad och rapporteras på rad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Exponeringsvärde enligt internmetoden</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Exponeringsvärde fastställt i enlighet med artikel 166 i CRR för berörda kredite</w:t>
            </w:r>
            <w:r>
              <w:rPr>
                <w:rFonts w:ascii="Times New Roman" w:hAnsi="Times New Roman"/>
                <w:sz w:val="24"/>
              </w:rPr>
              <w:t>x</w:t>
            </w:r>
            <w:r>
              <w:rPr>
                <w:rFonts w:ascii="Times New Roman" w:hAnsi="Times New Roman"/>
                <w:sz w:val="24"/>
              </w:rPr>
              <w:t xml:space="preserve">poneringar fastställda i enlighet med artikel 140.4 a i CRD. </w:t>
            </w:r>
          </w:p>
          <w:p w:rsidR="00BD5485" w:rsidRPr="00392FFD" w:rsidRDefault="00BD5485" w:rsidP="00BD5485">
            <w:pPr>
              <w:rPr>
                <w:rFonts w:ascii="Times New Roman" w:hAnsi="Times New Roman"/>
                <w:b/>
                <w:bCs/>
                <w:sz w:val="24"/>
                <w:u w:val="single"/>
              </w:rPr>
            </w:pPr>
            <w:r>
              <w:rPr>
                <w:rFonts w:ascii="Times New Roman" w:hAnsi="Times New Roman"/>
                <w:sz w:val="24"/>
              </w:rPr>
              <w:t>Exponeringsvärdet för positioner i värdepapperisering i handelslagret enligt i</w:t>
            </w:r>
            <w:r>
              <w:rPr>
                <w:rFonts w:ascii="Times New Roman" w:hAnsi="Times New Roman"/>
                <w:sz w:val="24"/>
              </w:rPr>
              <w:t>n</w:t>
            </w:r>
            <w:r>
              <w:rPr>
                <w:rFonts w:ascii="Times New Roman" w:hAnsi="Times New Roman"/>
                <w:sz w:val="24"/>
              </w:rPr>
              <w:t>ternmetoden ska undantas från denna rad och rapporteras på rad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Berörda kreditexponeringar – marknadsrisk</w:t>
            </w:r>
          </w:p>
          <w:p w:rsidR="00BD5485" w:rsidRPr="00392FFD" w:rsidRDefault="00BD5485" w:rsidP="00BD5485">
            <w:pPr>
              <w:rPr>
                <w:rFonts w:ascii="Times New Roman" w:hAnsi="Times New Roman"/>
                <w:b/>
                <w:bCs/>
                <w:sz w:val="24"/>
                <w:u w:val="single"/>
              </w:rPr>
            </w:pPr>
            <w:r>
              <w:rPr>
                <w:rFonts w:ascii="Times New Roman" w:hAnsi="Times New Roman"/>
                <w:sz w:val="24"/>
              </w:rPr>
              <w:t>Berörda kreditexponeringar fastställda i enlighet med artikel 140.4 b i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Summan av långa och korta positioner för exponeringar i handelslagret för schablonmetoder</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Summan av långa och korta nettopositioner i enlighet med artikel 327 i CRR för berörda kreditexponeringar fastställda i enlighet med artikel 140.4 b i CRD enligt del tre avdelning IV kapitel 2 i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Exponeringar mot skuldinstrument förutom värdepapperisering,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exponeringar mot positioner i värdepapperisering i handelslagret,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korrelationshandelsportföljer,</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aktierelaterade värdepapper, och</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exponeringar mot fonder om kapitalkraven beräknas i enlighet med artikel 348 i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Värde för exponeringar i handelslagret enligt interna modeller</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För berörda kreditexponeringar fastställda i enlighet med artikel 140.4 b i CRD enligt del tre avdelning IV kapitlen 2 och 5 i CRR ska summan av följande ra</w:t>
            </w:r>
            <w:r>
              <w:rPr>
                <w:rFonts w:ascii="Times New Roman" w:hAnsi="Times New Roman"/>
                <w:sz w:val="24"/>
              </w:rPr>
              <w:t>p</w:t>
            </w:r>
            <w:r>
              <w:rPr>
                <w:rFonts w:ascii="Times New Roman" w:hAnsi="Times New Roman"/>
                <w:sz w:val="24"/>
              </w:rPr>
              <w:t>porteras:</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Verkligt värde av andra positioner än derivat som utgör berörda kreditexpon</w:t>
            </w:r>
            <w:r>
              <w:rPr>
                <w:rFonts w:ascii="Times New Roman" w:hAnsi="Times New Roman"/>
                <w:sz w:val="24"/>
              </w:rPr>
              <w:t>e</w:t>
            </w:r>
            <w:r>
              <w:rPr>
                <w:rFonts w:ascii="Times New Roman" w:hAnsi="Times New Roman"/>
                <w:sz w:val="24"/>
              </w:rPr>
              <w:t>ringar enligt artikel 140.4 b i CRD, fastställt i enlighet med artikel 104 i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Nominellt värde av derivat som utgör berörda kreditexponeringar enligt art</w:t>
            </w:r>
            <w:r>
              <w:rPr>
                <w:rFonts w:ascii="Times New Roman" w:hAnsi="Times New Roman"/>
                <w:sz w:val="24"/>
              </w:rPr>
              <w:t>i</w:t>
            </w:r>
            <w:r>
              <w:rPr>
                <w:rFonts w:ascii="Times New Roman" w:hAnsi="Times New Roman"/>
                <w:sz w:val="24"/>
              </w:rPr>
              <w:t>kel 140.4 b i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Berörda kreditexponeringar – positioner i värdepapperisering i handelsla</w:t>
            </w:r>
            <w:r>
              <w:rPr>
                <w:rFonts w:ascii="Times New Roman" w:hAnsi="Times New Roman"/>
                <w:b/>
                <w:sz w:val="24"/>
                <w:u w:val="single"/>
              </w:rPr>
              <w:t>g</w:t>
            </w:r>
            <w:r>
              <w:rPr>
                <w:rFonts w:ascii="Times New Roman" w:hAnsi="Times New Roman"/>
                <w:b/>
                <w:sz w:val="24"/>
                <w:u w:val="single"/>
              </w:rPr>
              <w:t>ret</w:t>
            </w:r>
          </w:p>
          <w:p w:rsidR="00BD5485" w:rsidRPr="00392FFD" w:rsidRDefault="00BD5485" w:rsidP="00BD5485">
            <w:pPr>
              <w:rPr>
                <w:rFonts w:ascii="Times New Roman" w:hAnsi="Times New Roman"/>
                <w:b/>
                <w:bCs/>
                <w:sz w:val="24"/>
                <w:u w:val="single"/>
              </w:rPr>
            </w:pPr>
            <w:r>
              <w:rPr>
                <w:rFonts w:ascii="Times New Roman" w:hAnsi="Times New Roman"/>
                <w:sz w:val="24"/>
              </w:rPr>
              <w:t>Berörda kreditexponeringar fastställda i enlighet med artikel 140.4 c i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Exponeringsvärdet för positioner i värdepapperisering i handelslagret enligt schablonmetoden</w:t>
            </w:r>
          </w:p>
          <w:p w:rsidR="00BD5485" w:rsidRPr="00392FFD" w:rsidRDefault="00BD5485" w:rsidP="00BD5485">
            <w:pPr>
              <w:rPr>
                <w:rFonts w:ascii="Times New Roman" w:hAnsi="Times New Roman"/>
                <w:b/>
                <w:bCs/>
                <w:sz w:val="24"/>
                <w:u w:val="single"/>
              </w:rPr>
            </w:pPr>
            <w:r>
              <w:rPr>
                <w:rFonts w:ascii="Times New Roman" w:hAnsi="Times New Roman"/>
                <w:sz w:val="24"/>
              </w:rPr>
              <w:t>Exponeringsvärde fastställt i enlighet med artikel 246 i CRR för berörda kredite</w:t>
            </w:r>
            <w:r>
              <w:rPr>
                <w:rFonts w:ascii="Times New Roman" w:hAnsi="Times New Roman"/>
                <w:sz w:val="24"/>
              </w:rPr>
              <w:t>x</w:t>
            </w:r>
            <w:r>
              <w:rPr>
                <w:rFonts w:ascii="Times New Roman" w:hAnsi="Times New Roman"/>
                <w:sz w:val="24"/>
              </w:rPr>
              <w:t xml:space="preserve">poneringar fastställda i enlighet med artikel 140.4 c i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Exponeringsvärdet för positioner i värdepapperisering i handelslagret enligt internmetoden</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Exponeringsvärde fastställt i enlighet med artikel 246 i CRR för berörda kredite</w:t>
            </w:r>
            <w:r>
              <w:rPr>
                <w:rFonts w:ascii="Times New Roman" w:hAnsi="Times New Roman"/>
                <w:sz w:val="24"/>
              </w:rPr>
              <w:t>x</w:t>
            </w:r>
            <w:r>
              <w:rPr>
                <w:rFonts w:ascii="Times New Roman" w:hAnsi="Times New Roman"/>
                <w:sz w:val="24"/>
              </w:rPr>
              <w:t xml:space="preserve">poneringar fastställda i enlighet med artikel 140.4 c i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Kapitalbaskrav och vikter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Sammanlagda kapitalbaskrav för CCB</w:t>
            </w:r>
          </w:p>
          <w:p w:rsidR="00BD5485" w:rsidRPr="00392FFD" w:rsidRDefault="00BD5485" w:rsidP="00BD5485">
            <w:pPr>
              <w:rPr>
                <w:rFonts w:ascii="Times New Roman" w:hAnsi="Times New Roman"/>
                <w:b/>
                <w:bCs/>
                <w:sz w:val="24"/>
                <w:u w:val="single"/>
              </w:rPr>
            </w:pPr>
            <w:r>
              <w:rPr>
                <w:rFonts w:ascii="Times New Roman" w:hAnsi="Times New Roman"/>
                <w:sz w:val="24"/>
              </w:rPr>
              <w:t>Summan av raderna 080, 090 och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Kapitalbaskrav </w:t>
            </w:r>
            <w:r>
              <w:rPr>
                <w:rFonts w:ascii="Times New Roman" w:hAnsi="Times New Roman"/>
                <w:b/>
                <w:sz w:val="24"/>
                <w:u w:val="single"/>
              </w:rPr>
              <w:t xml:space="preserve">för berörda kreditexponeringar – kreditrisk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fastställda i enlighet med del tre avdelning II kapitlen 1–4 och 6 i CRR för berörda kreditexponeringar, fastställda i enlighet med artikel 140.4 a i CRD, för landet i fråga.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Kapitalbaskrav för positioner i värdepapperisering i handelslagret ska undantas från denna rad och rapporteras på rad 100.</w:t>
            </w:r>
          </w:p>
          <w:p w:rsidR="00BD5485" w:rsidRPr="00392FFD" w:rsidRDefault="00BD5485" w:rsidP="00255BA9">
            <w:pPr>
              <w:rPr>
                <w:rFonts w:ascii="Times New Roman" w:hAnsi="Times New Roman"/>
                <w:b/>
                <w:bCs/>
                <w:sz w:val="24"/>
                <w:u w:val="single"/>
              </w:rPr>
            </w:pPr>
            <w:r>
              <w:rPr>
                <w:rFonts w:ascii="Times New Roman" w:hAnsi="Times New Roman"/>
                <w:sz w:val="24"/>
              </w:rPr>
              <w:lastRenderedPageBreak/>
              <w:t>Kapitalbaskraven är 8 % av det riskvägda exponeringsbeloppet fastställt enligt bestämmelserna i del tre avdelning II kapitlen 1–4 och 6 i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Kapitalbaskrav </w:t>
            </w:r>
            <w:r>
              <w:rPr>
                <w:rFonts w:ascii="Times New Roman" w:hAnsi="Times New Roman"/>
                <w:b/>
                <w:sz w:val="24"/>
                <w:u w:val="single"/>
              </w:rPr>
              <w:t xml:space="preserve">för berörda kreditexponeringar – marknadsrisk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Kapitalbaskrav fastställda i enlighet med del tre avdelning IV kapitel 2 i CRR för specifik risk, eller i enlighet med del tre avdelning IV kapitel 5 i CRR för falli</w:t>
            </w:r>
            <w:r>
              <w:rPr>
                <w:rFonts w:ascii="Times New Roman" w:hAnsi="Times New Roman"/>
                <w:sz w:val="24"/>
              </w:rPr>
              <w:t>s</w:t>
            </w:r>
            <w:r>
              <w:rPr>
                <w:rFonts w:ascii="Times New Roman" w:hAnsi="Times New Roman"/>
                <w:sz w:val="24"/>
              </w:rPr>
              <w:t>semangs- och migrationsrisker för berörda kreditexponeringar, fastställda i enli</w:t>
            </w:r>
            <w:r>
              <w:rPr>
                <w:rFonts w:ascii="Times New Roman" w:hAnsi="Times New Roman"/>
                <w:sz w:val="24"/>
              </w:rPr>
              <w:t>g</w:t>
            </w:r>
            <w:r>
              <w:rPr>
                <w:rFonts w:ascii="Times New Roman" w:hAnsi="Times New Roman"/>
                <w:sz w:val="24"/>
              </w:rPr>
              <w:t xml:space="preserve">het med artikel 140.4 b i CRD, för landet i fråga.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Kapitalbaskrav för berörda kreditexponeringar inom ramen för marknadsrisker är bland annat kapitalbaskrav för positioner i värdepapperisering enligt del tre a</w:t>
            </w:r>
            <w:r>
              <w:rPr>
                <w:rFonts w:ascii="Times New Roman" w:hAnsi="Times New Roman"/>
                <w:sz w:val="24"/>
              </w:rPr>
              <w:t>v</w:t>
            </w:r>
            <w:r>
              <w:rPr>
                <w:rFonts w:ascii="Times New Roman" w:hAnsi="Times New Roman"/>
                <w:sz w:val="24"/>
              </w:rPr>
              <w:t>delning IV kapitel 2 i CRR och kapitalbaskrav för exponeringar mot företag för kollektiva investeringar fastställda i enlighet med artikel 348 i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Kapitalbaskrav för berörda kreditexponeringar – positioner i värdepapper</w:t>
            </w:r>
            <w:r>
              <w:rPr>
                <w:rFonts w:ascii="Times New Roman" w:hAnsi="Times New Roman"/>
                <w:b/>
                <w:sz w:val="24"/>
              </w:rPr>
              <w:t>i</w:t>
            </w:r>
            <w:r>
              <w:rPr>
                <w:rFonts w:ascii="Times New Roman" w:hAnsi="Times New Roman"/>
                <w:b/>
                <w:sz w:val="24"/>
              </w:rPr>
              <w:t>sering i handelslagret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Kapitalbaskrav fastställda i enlighet med del tre avdelning II kapitel 5 i CRR för berörda kreditexponeringar, fastställda i enlighet med artikel 140.4 c i CRD, för landet i fråga.</w:t>
            </w:r>
          </w:p>
          <w:p w:rsidR="00BD5485" w:rsidRPr="00392FFD" w:rsidRDefault="00BD5485" w:rsidP="00BD5485">
            <w:pPr>
              <w:rPr>
                <w:rFonts w:ascii="Times New Roman" w:hAnsi="Times New Roman"/>
                <w:b/>
                <w:bCs/>
                <w:sz w:val="24"/>
                <w:u w:val="single"/>
              </w:rPr>
            </w:pPr>
            <w:r>
              <w:rPr>
                <w:rFonts w:ascii="Times New Roman" w:hAnsi="Times New Roman"/>
                <w:sz w:val="24"/>
              </w:rPr>
              <w:t>Kapitalbaskraven är 8 % av det riskvägda exponeringsbeloppet fastställt enligt bestämmelserna i del tre avdelning II kapitel 5 i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Kapitalbaskravsvikter</w:t>
            </w:r>
          </w:p>
          <w:p w:rsidR="00966663" w:rsidRPr="00392FFD" w:rsidRDefault="00966663" w:rsidP="00966663">
            <w:pPr>
              <w:rPr>
                <w:rFonts w:ascii="Times New Roman" w:hAnsi="Times New Roman"/>
                <w:sz w:val="24"/>
              </w:rPr>
            </w:pPr>
            <w:r>
              <w:rPr>
                <w:rFonts w:ascii="Times New Roman" w:hAnsi="Times New Roman"/>
                <w:sz w:val="24"/>
              </w:rPr>
              <w:t>Den vikt som tillämpas på det kontracykliska buffertvärdet i varje land beräknas som en andel av kapitalbaskraven, fastställd enligt följande:</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Täljare: De totala kapitalbaskrav som avser de berörda kreditexponerin</w:t>
            </w:r>
            <w:r>
              <w:rPr>
                <w:rFonts w:ascii="Times New Roman" w:hAnsi="Times New Roman"/>
                <w:sz w:val="24"/>
              </w:rPr>
              <w:t>g</w:t>
            </w:r>
            <w:r>
              <w:rPr>
                <w:rFonts w:ascii="Times New Roman" w:hAnsi="Times New Roman"/>
                <w:sz w:val="24"/>
              </w:rPr>
              <w:t xml:space="preserve">arna i landet i fråga [r070; c010; rapporteringsblad per land].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Nämnare: De totala kapitalbaskrav som avser alla kreditexponeringar som är relevanta för beräkningen av den kontracykliska bufferten i enlighet med art</w:t>
            </w:r>
            <w:r>
              <w:rPr>
                <w:rFonts w:ascii="Times New Roman" w:hAnsi="Times New Roman"/>
                <w:sz w:val="24"/>
              </w:rPr>
              <w:t>i</w:t>
            </w:r>
            <w:r>
              <w:rPr>
                <w:rFonts w:ascii="Times New Roman" w:hAnsi="Times New Roman"/>
                <w:sz w:val="24"/>
              </w:rPr>
              <w:t>kel 140.4 i CRD [r070; c010; totalt]</w:t>
            </w:r>
          </w:p>
          <w:p w:rsidR="003B00F4" w:rsidRPr="00392FFD" w:rsidRDefault="003B00F4" w:rsidP="003B00F4">
            <w:pPr>
              <w:rPr>
                <w:rFonts w:ascii="Times New Roman" w:hAnsi="Times New Roman"/>
                <w:b/>
                <w:bCs/>
                <w:sz w:val="24"/>
                <w:u w:val="single"/>
              </w:rPr>
            </w:pPr>
            <w:r>
              <w:rPr>
                <w:rFonts w:ascii="Times New Roman" w:hAnsi="Times New Roman"/>
                <w:sz w:val="24"/>
              </w:rPr>
              <w:t>Uppgifter om kapitalbaskravsvikter ska inte rapporteras totalt för alla länder.</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Kontracykliskt kapitalbuffertvärde</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Kontracykliskt kapitalbuffertvärde som fastställts av den utsedda myndi</w:t>
            </w:r>
            <w:r>
              <w:rPr>
                <w:rFonts w:ascii="Times New Roman" w:hAnsi="Times New Roman"/>
                <w:b/>
                <w:sz w:val="24"/>
                <w:u w:val="single"/>
              </w:rPr>
              <w:t>g</w:t>
            </w:r>
            <w:r>
              <w:rPr>
                <w:rFonts w:ascii="Times New Roman" w:hAnsi="Times New Roman"/>
                <w:b/>
                <w:sz w:val="24"/>
                <w:u w:val="single"/>
              </w:rPr>
              <w:t>heten</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Kontracykliskt kapitalbuffertvärde som fastställts för landet i fråga av den utsedda myndigheten i det landet i enlighet med artikel 136, 137, 138 och 139 i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Denna rad ska lämnas tom om inget kontracykliskt buffertvärde har fastställts för landet i fråga av den utsedda myndigheten i det landet.</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Kontracykliska kapitalbuffertvärden som fastställts av den utsedda myndigheten, men som ännu inte är tillämpliga i landet i fråga vid rapporteringsreferensdatum, ska inte rapporteras.</w:t>
            </w:r>
          </w:p>
          <w:p w:rsidR="00966663" w:rsidRPr="00392FFD" w:rsidRDefault="00966663" w:rsidP="000E6835">
            <w:pPr>
              <w:rPr>
                <w:rFonts w:ascii="Times New Roman" w:hAnsi="Times New Roman"/>
                <w:b/>
                <w:bCs/>
                <w:sz w:val="24"/>
                <w:u w:val="single"/>
              </w:rPr>
            </w:pPr>
            <w:r>
              <w:rPr>
                <w:rFonts w:ascii="Times New Roman" w:hAnsi="Times New Roman"/>
                <w:sz w:val="24"/>
              </w:rPr>
              <w:t>Uppgifter om det kontracykliska kapitalbuffertvärde som fastställts av den u</w:t>
            </w:r>
            <w:r>
              <w:rPr>
                <w:rFonts w:ascii="Times New Roman" w:hAnsi="Times New Roman"/>
                <w:sz w:val="24"/>
              </w:rPr>
              <w:t>t</w:t>
            </w:r>
            <w:r>
              <w:rPr>
                <w:rFonts w:ascii="Times New Roman" w:hAnsi="Times New Roman"/>
                <w:sz w:val="24"/>
              </w:rPr>
              <w:t xml:space="preserve">sedda myndigheten ska inte rapporteras totalt för alla länder.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Kontracykliskt kapitalbuffertvärde som gäller för landet där institutet har sitt säte</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Kontracykliskt kapitalbuffertvärde som gäller för landet i fråga och som fastställts av den utsedda myndigheten i det land där institutet har sitt säte, i enlighet med artiklarna 137, 138, 139,140.1, 140.2 och 140.3 i CRD. Kontracykliska kapita</w:t>
            </w:r>
            <w:r>
              <w:rPr>
                <w:rFonts w:ascii="Times New Roman" w:hAnsi="Times New Roman"/>
                <w:sz w:val="24"/>
              </w:rPr>
              <w:t>l</w:t>
            </w:r>
            <w:r>
              <w:rPr>
                <w:rFonts w:ascii="Times New Roman" w:hAnsi="Times New Roman"/>
                <w:sz w:val="24"/>
              </w:rPr>
              <w:t>buffertvärden som ännu inte är tillämpliga vid rapporteringsreferensdatum ska inte rapporteras.</w:t>
            </w:r>
          </w:p>
          <w:p w:rsidR="00966663" w:rsidRPr="00392FFD" w:rsidRDefault="00966663" w:rsidP="00133107">
            <w:pPr>
              <w:rPr>
                <w:rFonts w:ascii="Times New Roman" w:hAnsi="Times New Roman"/>
                <w:b/>
                <w:bCs/>
                <w:sz w:val="24"/>
                <w:u w:val="single"/>
              </w:rPr>
            </w:pPr>
            <w:r>
              <w:rPr>
                <w:rFonts w:ascii="Times New Roman" w:hAnsi="Times New Roman"/>
                <w:sz w:val="24"/>
              </w:rPr>
              <w:t>Uppgifter om det kontracykliska kapitalbuffertvärde som gäller i det land där i</w:t>
            </w:r>
            <w:r>
              <w:rPr>
                <w:rFonts w:ascii="Times New Roman" w:hAnsi="Times New Roman"/>
                <w:sz w:val="24"/>
              </w:rPr>
              <w:t>n</w:t>
            </w:r>
            <w:r>
              <w:rPr>
                <w:rFonts w:ascii="Times New Roman" w:hAnsi="Times New Roman"/>
                <w:sz w:val="24"/>
              </w:rPr>
              <w:t>stitutet har sitt säte ska inte rapporteras totalt för alla länder.</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Institutspecifikt kontracykliskt kapitalbuffertvärde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Institutspecifikt kontracykliskt kapitalbuffertvärde fastställt i enlighet med artikel 140.1 i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Det institutspecifika kontracykliska kapitalbuffertvärdet beräknas som det viktade genomsnittet av de kontracykliska buffertvärden som gäller i de jurisdiktioner där institutets berörda kreditexponeringar finns, eller som gäller vid tillämpningen av artikel 140 i enlighet med artikel 139.2 eller 139.3 i CRD. Det aktuella kontr</w:t>
            </w:r>
            <w:r>
              <w:rPr>
                <w:rFonts w:ascii="Times New Roman" w:hAnsi="Times New Roman"/>
                <w:sz w:val="24"/>
              </w:rPr>
              <w:t>a</w:t>
            </w:r>
            <w:r>
              <w:rPr>
                <w:rFonts w:ascii="Times New Roman" w:hAnsi="Times New Roman"/>
                <w:sz w:val="24"/>
              </w:rPr>
              <w:t>cykliska buffertvärdet rapporteras i [r120; c020; rapporteringsblad per land], eller [r130; c020; rapporteringsblad per land] i tillämpliga fall.</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vikt som gäller för det kontracykliska buffertvärdet i varje land är andelen kapitalbaskrav av de totala kapitalbaskraven, och ska rapporteras i [r110; c020; rapporteringsblad per land]. </w:t>
            </w:r>
          </w:p>
          <w:p w:rsidR="00966663" w:rsidRPr="00392FFD" w:rsidRDefault="00966663" w:rsidP="00B816A3">
            <w:pPr>
              <w:rPr>
                <w:rFonts w:ascii="Times New Roman" w:hAnsi="Times New Roman"/>
                <w:b/>
                <w:bCs/>
                <w:sz w:val="24"/>
                <w:u w:val="single"/>
              </w:rPr>
            </w:pPr>
            <w:r>
              <w:rPr>
                <w:rFonts w:ascii="Times New Roman" w:hAnsi="Times New Roman"/>
                <w:sz w:val="24"/>
              </w:rPr>
              <w:t>Uppgifter om det institutspecifika kontracykliska kapitalbuffertvärdet ska endast rapporteras totalt för alla länder och inte för varje land separat.</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Användning av tröskelvärdet på 2 %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Användning av tröskelvärdet på 2 % för allmänna kreditexponeringar</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I enlighet med artikel 2.5 b i kommissionens delegerade förordning (EU) nr 1152/2014 kan allmänna kreditexponeringar mot utlandet, som tillsammans inte överstiger 2 % av den sammanlagda allmänna kreditexponeringen, exponeringen i handelslager och värdepapperiseringsexponeringen i institutet, fördelas till instit</w:t>
            </w:r>
            <w:r>
              <w:rPr>
                <w:rFonts w:ascii="Times New Roman" w:hAnsi="Times New Roman"/>
                <w:sz w:val="24"/>
              </w:rPr>
              <w:t>u</w:t>
            </w:r>
            <w:r>
              <w:rPr>
                <w:rFonts w:ascii="Times New Roman" w:hAnsi="Times New Roman"/>
                <w:sz w:val="24"/>
              </w:rPr>
              <w:t>tets hemmedlemsstat. Den sammanlagda allmänna kreditexponeringen, expon</w:t>
            </w:r>
            <w:r>
              <w:rPr>
                <w:rFonts w:ascii="Times New Roman" w:hAnsi="Times New Roman"/>
                <w:sz w:val="24"/>
              </w:rPr>
              <w:t>e</w:t>
            </w:r>
            <w:r>
              <w:rPr>
                <w:rFonts w:ascii="Times New Roman" w:hAnsi="Times New Roman"/>
                <w:sz w:val="24"/>
              </w:rPr>
              <w:t>ringen i handelslager och värdepapperiseringsexponeringen beräknas genom att man undantar allmänna kreditexponeringar lokaliserade i enlighet med artikel 2.5 a och artikel 2.4 i kommissionens delegerade förordning (EU) nr 1152/2014.</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Om institutet tillämpar detta undantag ska ”y” anges i tabellen för den jurisdiktion som utgör dess hemmedlemsstat och totalt för alla länder.</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Om ett institut inte utnyttjar detta undantag ska ”n” anges i respektive cell.</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Användning av tröskelvärdet på 2 % för exponeringar i handelslagret</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I enlighet med artikel 3.3 i kommissionens delegerade förordning (EU) nr 1152/2014 får institut fördela exponeringar i handelslager till sin hemmedlemsstat om totala exponeringar i handelslagret inte överstiger 2 % av deras totala al</w:t>
            </w:r>
            <w:r>
              <w:rPr>
                <w:rFonts w:ascii="Times New Roman" w:hAnsi="Times New Roman"/>
                <w:sz w:val="24"/>
              </w:rPr>
              <w:t>l</w:t>
            </w:r>
            <w:r>
              <w:rPr>
                <w:rFonts w:ascii="Times New Roman" w:hAnsi="Times New Roman"/>
                <w:sz w:val="24"/>
              </w:rPr>
              <w:t>männa kreditexponeringar, exponeringar i handelslager och värdepapperisering</w:t>
            </w:r>
            <w:r>
              <w:rPr>
                <w:rFonts w:ascii="Times New Roman" w:hAnsi="Times New Roman"/>
                <w:sz w:val="24"/>
              </w:rPr>
              <w:t>s</w:t>
            </w:r>
            <w:r>
              <w:rPr>
                <w:rFonts w:ascii="Times New Roman" w:hAnsi="Times New Roman"/>
                <w:sz w:val="24"/>
              </w:rPr>
              <w:lastRenderedPageBreak/>
              <w:t>exponeringar.</w:t>
            </w:r>
          </w:p>
          <w:p w:rsidR="006A3A82" w:rsidRPr="00392FFD" w:rsidRDefault="006A3A82" w:rsidP="006A3A82">
            <w:pPr>
              <w:rPr>
                <w:rFonts w:ascii="Times New Roman" w:hAnsi="Times New Roman"/>
                <w:sz w:val="24"/>
              </w:rPr>
            </w:pPr>
            <w:r>
              <w:rPr>
                <w:rFonts w:ascii="Times New Roman" w:hAnsi="Times New Roman"/>
                <w:sz w:val="24"/>
              </w:rPr>
              <w:t>Om institutet tillämpar detta undantag ska ”y” anges i tabellen för den jurisdiktion som utgör dess hemmedlemsstat och totalt för alla länder.</w:t>
            </w:r>
          </w:p>
          <w:p w:rsidR="00966663" w:rsidRPr="00392FFD" w:rsidRDefault="006A3A82" w:rsidP="006A3A82">
            <w:pPr>
              <w:rPr>
                <w:rFonts w:ascii="Times New Roman" w:hAnsi="Times New Roman"/>
                <w:b/>
                <w:bCs/>
                <w:sz w:val="24"/>
                <w:u w:val="single"/>
              </w:rPr>
            </w:pPr>
            <w:r>
              <w:rPr>
                <w:rFonts w:ascii="Times New Roman" w:hAnsi="Times New Roman"/>
                <w:sz w:val="24"/>
              </w:rPr>
              <w:t>Om ett institut inte utnyttjar detta undantag ska ”n” anges i respektive cell.</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4" w:name="_Toc295829919"/>
      <w:bookmarkStart w:id="405" w:name="_Toc310415031"/>
      <w:bookmarkStart w:id="406" w:name="_Toc360188369"/>
      <w:bookmarkStart w:id="407" w:name="_Toc516210655"/>
      <w:bookmarkStart w:id="408" w:name="_Toc473560920"/>
      <w:bookmarkStart w:id="409" w:name="_Toc523820276"/>
      <w:r>
        <w:rPr>
          <w:rFonts w:ascii="Times New Roman" w:hAnsi="Times New Roman"/>
          <w:sz w:val="24"/>
          <w:u w:val="none"/>
        </w:rPr>
        <w:t>3.5.</w:t>
      </w:r>
      <w:r w:rsidRPr="00BE033B">
        <w:rPr>
          <w:u w:val="none"/>
        </w:rPr>
        <w:tab/>
      </w:r>
      <w:r>
        <w:rPr>
          <w:rFonts w:ascii="Times New Roman" w:hAnsi="Times New Roman"/>
          <w:sz w:val="24"/>
        </w:rPr>
        <w:t>C 10.01 och C 10.02 – Kreditrisk: aktier – internmetod för kapitalkrav</w:t>
      </w:r>
      <w:bookmarkEnd w:id="404"/>
      <w:r>
        <w:rPr>
          <w:rFonts w:ascii="Times New Roman" w:hAnsi="Times New Roman"/>
          <w:sz w:val="24"/>
        </w:rPr>
        <w:t xml:space="preserve"> </w:t>
      </w:r>
      <w:bookmarkEnd w:id="405"/>
      <w:r>
        <w:rPr>
          <w:rFonts w:ascii="Times New Roman" w:hAnsi="Times New Roman"/>
          <w:sz w:val="24"/>
        </w:rPr>
        <w:t xml:space="preserve"> </w:t>
      </w:r>
      <w:bookmarkEnd w:id="406"/>
      <w:r>
        <w:rPr>
          <w:rFonts w:ascii="Times New Roman" w:hAnsi="Times New Roman"/>
          <w:sz w:val="24"/>
        </w:rPr>
        <w:t>(CR EQU IRB 1 och CR EQU IRB 2)</w:t>
      </w:r>
      <w:bookmarkEnd w:id="407"/>
      <w:bookmarkEnd w:id="408"/>
      <w:bookmarkEnd w:id="409"/>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0" w:name="_Toc239157382"/>
      <w:bookmarkStart w:id="411" w:name="_Toc295829920"/>
      <w:bookmarkStart w:id="412" w:name="_Toc310415032"/>
      <w:bookmarkStart w:id="413" w:name="_Toc360188370"/>
      <w:bookmarkStart w:id="414" w:name="_Toc516210656"/>
      <w:bookmarkStart w:id="415" w:name="_Toc473560921"/>
      <w:bookmarkStart w:id="416" w:name="_Toc523820277"/>
      <w:r>
        <w:rPr>
          <w:rFonts w:ascii="Times New Roman" w:hAnsi="Times New Roman"/>
          <w:sz w:val="24"/>
          <w:u w:val="none"/>
        </w:rPr>
        <w:t>3.5.1.</w:t>
      </w:r>
      <w:r w:rsidRPr="00BE033B">
        <w:rPr>
          <w:u w:val="none"/>
        </w:rPr>
        <w:tab/>
      </w:r>
      <w:r>
        <w:rPr>
          <w:rFonts w:ascii="Times New Roman" w:hAnsi="Times New Roman"/>
          <w:sz w:val="24"/>
        </w:rPr>
        <w:t>Allmänna kommentarer</w:t>
      </w:r>
      <w:bookmarkEnd w:id="410"/>
      <w:bookmarkEnd w:id="411"/>
      <w:bookmarkEnd w:id="412"/>
      <w:bookmarkEnd w:id="413"/>
      <w:bookmarkEnd w:id="414"/>
      <w:bookmarkEnd w:id="415"/>
      <w:bookmarkEnd w:id="416"/>
    </w:p>
    <w:p w:rsidR="00C61FF5" w:rsidRPr="00392FFD" w:rsidRDefault="00125707" w:rsidP="00C37B29">
      <w:pPr>
        <w:pStyle w:val="InstructionsText2"/>
        <w:numPr>
          <w:ilvl w:val="0"/>
          <w:numId w:val="0"/>
        </w:numPr>
        <w:ind w:left="993"/>
      </w:pPr>
      <w:r>
        <w:t>86.</w:t>
      </w:r>
      <w:r>
        <w:tab/>
        <w:t>CR EQU IRB-mallen är uppdelad i två undermallar. CR EQU IRB 1 ger en allmän översikt över exponeringar enligt internmetoden i exponeringsklassen aktier och över de olika metoderna för beräkning av totala riskvägda exponeringsbelopp. CR EQU IRB 2 innehåller en indelning av de totala exponeringarna i motpartsris</w:t>
      </w:r>
      <w:r>
        <w:t>k</w:t>
      </w:r>
      <w:r>
        <w:t>klasser i samband med PD/LGD-metoden. I följande instruktioner avser ”CR EQU IRB” både mallen ”CR EQU IRB 1” och mallen ”CR EQU IRB 2”, beroende på vad som är tillämpligt.</w:t>
      </w:r>
    </w:p>
    <w:p w:rsidR="00C61FF5" w:rsidRPr="00392FFD" w:rsidRDefault="00125707" w:rsidP="00C37B29">
      <w:pPr>
        <w:pStyle w:val="InstructionsText2"/>
        <w:numPr>
          <w:ilvl w:val="0"/>
          <w:numId w:val="0"/>
        </w:numPr>
        <w:ind w:left="993"/>
      </w:pPr>
      <w:r>
        <w:t>87.</w:t>
      </w:r>
      <w:r>
        <w:tab/>
        <w:t>CR EQU IRB-mallen ger information om beräkningen av riskvägda expon</w:t>
      </w:r>
      <w:r>
        <w:t>e</w:t>
      </w:r>
      <w:r>
        <w:t>ringsbelopp för kreditrisk (artikel 92.3 a i CRR) enligt internmetoden (del tre a</w:t>
      </w:r>
      <w:r>
        <w:t>v</w:t>
      </w:r>
      <w:r>
        <w:t>delning II kapitel 3 i CRR) för de aktieexponeringar som avses i artikel 147.2 e i CRR.</w:t>
      </w:r>
    </w:p>
    <w:p w:rsidR="00C61FF5" w:rsidRPr="00392FFD" w:rsidRDefault="00125707" w:rsidP="00C37B29">
      <w:pPr>
        <w:pStyle w:val="InstructionsText2"/>
        <w:numPr>
          <w:ilvl w:val="0"/>
          <w:numId w:val="0"/>
        </w:numPr>
        <w:ind w:left="993"/>
      </w:pPr>
      <w:r>
        <w:t>88.</w:t>
      </w:r>
      <w:r>
        <w:tab/>
        <w:t>I enlighet med artikel 147.6 i CRR består klassen aktieexponeringar av följande exponeringar:</w:t>
      </w:r>
    </w:p>
    <w:p w:rsidR="00C61FF5" w:rsidRPr="00392FFD" w:rsidRDefault="00125707" w:rsidP="00C37B29">
      <w:pPr>
        <w:pStyle w:val="InstructionsText2"/>
        <w:numPr>
          <w:ilvl w:val="0"/>
          <w:numId w:val="0"/>
        </w:numPr>
        <w:ind w:left="993"/>
      </w:pPr>
      <w:r>
        <w:t>(a)</w:t>
      </w:r>
      <w:r>
        <w:tab/>
        <w:t xml:space="preserve">Icke-räntebärande exponeringar som medför en efterställd återstående fordran på emittentens tillgångar eller intäkter. </w:t>
      </w:r>
    </w:p>
    <w:p w:rsidR="00C61FF5" w:rsidRPr="00392FFD" w:rsidRDefault="00125707" w:rsidP="00C37B29">
      <w:pPr>
        <w:pStyle w:val="InstructionsText2"/>
        <w:numPr>
          <w:ilvl w:val="0"/>
          <w:numId w:val="0"/>
        </w:numPr>
        <w:ind w:left="993"/>
      </w:pPr>
      <w:r>
        <w:t>(b)</w:t>
      </w:r>
      <w:r>
        <w:tab/>
        <w:t>Räntebärande exponeringar och andra värdepapper, partnerskap, derivat eller andra instrument som till sin ekonomiska substans är likartade med de exponeringar som avses i led a.</w:t>
      </w:r>
    </w:p>
    <w:p w:rsidR="00C61FF5" w:rsidRPr="00392FFD" w:rsidRDefault="00125707" w:rsidP="00C37B29">
      <w:pPr>
        <w:pStyle w:val="InstructionsText2"/>
        <w:numPr>
          <w:ilvl w:val="0"/>
          <w:numId w:val="0"/>
        </w:numPr>
        <w:ind w:left="993"/>
      </w:pPr>
      <w:r>
        <w:t>89.</w:t>
      </w:r>
      <w:r>
        <w:tab/>
        <w:t>Fondföretag som behandlas enligt den förenklade riskviktmetoden i artikel 152 i CRR ska även rapporteras i CR EQU IRB-mallen.</w:t>
      </w:r>
    </w:p>
    <w:p w:rsidR="00C61FF5" w:rsidRPr="00392FFD" w:rsidRDefault="00125707" w:rsidP="00C37B29">
      <w:pPr>
        <w:pStyle w:val="InstructionsText2"/>
        <w:numPr>
          <w:ilvl w:val="0"/>
          <w:numId w:val="0"/>
        </w:numPr>
        <w:ind w:left="993"/>
      </w:pPr>
      <w:r>
        <w:t>90.</w:t>
      </w:r>
      <w:r>
        <w:tab/>
        <w:t xml:space="preserve">I enlighet med artikel 151.1 i CRR ska instituten lämna in CR EQU IRB-mallen om de tillämpar en av de tre metoder som avses i artikel 155 i CRR: </w:t>
      </w:r>
    </w:p>
    <w:p w:rsidR="00C61FF5" w:rsidRPr="00392FFD" w:rsidRDefault="00C61FF5" w:rsidP="00FD239F">
      <w:pPr>
        <w:pStyle w:val="InstructionsText"/>
      </w:pPr>
      <w:r>
        <w:t xml:space="preserve">– Den förenklade riskviktmetoden. </w:t>
      </w:r>
    </w:p>
    <w:p w:rsidR="00C61FF5" w:rsidRPr="00392FFD" w:rsidRDefault="00C61FF5" w:rsidP="00FD239F">
      <w:pPr>
        <w:pStyle w:val="InstructionsText"/>
      </w:pPr>
      <w:r>
        <w:t xml:space="preserve">– PD/LGD-metoden. </w:t>
      </w:r>
    </w:p>
    <w:p w:rsidR="00C61FF5" w:rsidRPr="00392FFD" w:rsidRDefault="00C61FF5" w:rsidP="00FD239F">
      <w:pPr>
        <w:pStyle w:val="InstructionsText"/>
      </w:pPr>
      <w:r>
        <w:t>– Metoden med interna modeller.</w:t>
      </w:r>
    </w:p>
    <w:p w:rsidR="00C61FF5" w:rsidRPr="00392FFD" w:rsidRDefault="00C61FF5" w:rsidP="00FD239F">
      <w:pPr>
        <w:pStyle w:val="InstructionsText"/>
      </w:pPr>
      <w:r>
        <w:t>Institut som tillämpar internmetoden ska i CR EQU IRB-mallen dessutom rapportera de ris</w:t>
      </w:r>
      <w:r>
        <w:t>k</w:t>
      </w:r>
      <w:r>
        <w:t>vägda exponeringsbeloppen för de aktieexponeringar som behandlas med fast riskvikt (dock utan att de uttryckligen behandlas enligt den förenklade riskviktmetoden eller med (tillfällig eller permanent) partiell användning av schablonmetoden för kreditrisk (dvs. aktieexpon</w:t>
      </w:r>
      <w:r>
        <w:t>e</w:t>
      </w:r>
      <w:r>
        <w:t>ringar med riskvikten 250 % i enlighet med artikel 48.4 i CRR, respektive riskvikten 370 % i enlighet med artikel 471.2 i CRR)).</w:t>
      </w:r>
    </w:p>
    <w:p w:rsidR="00C61FF5" w:rsidRPr="00392FFD" w:rsidRDefault="00125707" w:rsidP="00C37B29">
      <w:pPr>
        <w:pStyle w:val="InstructionsText2"/>
        <w:numPr>
          <w:ilvl w:val="0"/>
          <w:numId w:val="0"/>
        </w:numPr>
        <w:ind w:left="993"/>
      </w:pPr>
      <w:r>
        <w:lastRenderedPageBreak/>
        <w:t>91.</w:t>
      </w:r>
      <w:r>
        <w:tab/>
        <w:t>Följande aktiefordringar ska inte rapporteras i CR EQU IRB-mallen:</w:t>
      </w:r>
    </w:p>
    <w:p w:rsidR="00C61FF5" w:rsidRPr="00392FFD" w:rsidRDefault="00C61FF5" w:rsidP="00FD239F">
      <w:pPr>
        <w:pStyle w:val="InstructionsText"/>
      </w:pPr>
      <w:r>
        <w:t xml:space="preserve">Aktieexponeringar i handelslagret (i det fall instituten inte är undantagna från beräkning av kapitalbaskrav för positioner i handelslagret i enlighet med artikel 94 i CRR). </w:t>
      </w:r>
    </w:p>
    <w:p w:rsidR="00C61FF5" w:rsidRPr="00392FFD" w:rsidRDefault="00C61FF5" w:rsidP="00FD239F">
      <w:pPr>
        <w:pStyle w:val="InstructionsText"/>
      </w:pPr>
      <w:r>
        <w:t>Aktieexponeringar som är föremål för partiell användning av schablonmetoden (artikel 150 i CRR), bl.a.</w:t>
      </w:r>
    </w:p>
    <w:p w:rsidR="00C61FF5" w:rsidRPr="00392FFD" w:rsidRDefault="00C61FF5" w:rsidP="00FD239F">
      <w:pPr>
        <w:pStyle w:val="InstructionsText"/>
      </w:pPr>
      <w:r>
        <w:t>– aktieexponeringar för vilka äldre regler får tillämpas i enlighet med artikel 495.1 i CRR,</w:t>
      </w:r>
    </w:p>
    <w:p w:rsidR="00C61FF5" w:rsidRPr="00392FFD" w:rsidRDefault="00C61FF5" w:rsidP="00FD239F">
      <w:pPr>
        <w:pStyle w:val="InstructionsText"/>
      </w:pPr>
      <w:r>
        <w:t>– aktieexponeringar mot juridiska personer vilkas kreditåtaganden åsätts riskvikten 0 % enligt schablonmetoden, inbegripet offentligt stödda enheter på vilka riskvikten 0 % kan tillämpas (artikel 150.1 g i CRR),</w:t>
      </w:r>
    </w:p>
    <w:p w:rsidR="00C61FF5" w:rsidRPr="00392FFD" w:rsidRDefault="00C61FF5" w:rsidP="00FD239F">
      <w:pPr>
        <w:pStyle w:val="InstructionsText"/>
      </w:pPr>
      <w:r>
        <w:t>– aktieexponeringar som uppstår inom ramen för lagstiftningsprogram för främjande av sä</w:t>
      </w:r>
      <w:r>
        <w:t>r</w:t>
      </w:r>
      <w:r>
        <w:t>skilda sektorer av näringslivet som i betydande grad subventionerar institutets investering och som är förenade med någon form av offentlig tillsyn och begränsningar av investeringarna i värdepapper (artikel 150.1 h i CRR),</w:t>
      </w:r>
    </w:p>
    <w:p w:rsidR="00C61FF5" w:rsidRPr="00392FFD" w:rsidRDefault="00C61FF5" w:rsidP="00FD239F">
      <w:pPr>
        <w:pStyle w:val="InstructionsText"/>
      </w:pPr>
      <w:r>
        <w:t>– aktieexponeringar mot anknutna företag där de riskvägda exponeringsbeloppen kan berä</w:t>
      </w:r>
      <w:r>
        <w:t>k</w:t>
      </w:r>
      <w:r>
        <w:t xml:space="preserve">nas i enlighet med behandlingen av ”övriga motpartslösa tillgångar” (i enlighet med artikel 155.1 i CRR), och </w:t>
      </w:r>
    </w:p>
    <w:p w:rsidR="00C61FF5" w:rsidRPr="00392FFD" w:rsidRDefault="00C61FF5" w:rsidP="00FD239F">
      <w:pPr>
        <w:pStyle w:val="InstructionsText"/>
      </w:pPr>
      <w:r>
        <w:t>– aktiefordringar som har dragits av från kapitalbasen i enlighet med artiklarna 46 och 48 i CRR.</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7" w:name="_Toc295829921"/>
      <w:bookmarkStart w:id="418" w:name="_Toc310415033"/>
      <w:bookmarkStart w:id="419" w:name="_Toc360188371"/>
      <w:bookmarkStart w:id="420" w:name="_Toc516210657"/>
      <w:bookmarkStart w:id="421" w:name="_Toc473560922"/>
      <w:bookmarkStart w:id="422" w:name="_Toc523820278"/>
      <w:r>
        <w:rPr>
          <w:rFonts w:ascii="Times New Roman" w:hAnsi="Times New Roman"/>
          <w:sz w:val="24"/>
          <w:u w:val="none"/>
        </w:rPr>
        <w:t>3.5.2.</w:t>
      </w:r>
      <w:r w:rsidRPr="00BE033B">
        <w:rPr>
          <w:u w:val="none"/>
        </w:rPr>
        <w:tab/>
      </w:r>
      <w:r>
        <w:rPr>
          <w:rFonts w:ascii="Times New Roman" w:hAnsi="Times New Roman"/>
          <w:sz w:val="24"/>
        </w:rPr>
        <w:t>Instruktioner avseende särskilda positioner</w:t>
      </w:r>
      <w:bookmarkEnd w:id="417"/>
      <w:bookmarkEnd w:id="418"/>
      <w:r>
        <w:rPr>
          <w:rFonts w:ascii="Times New Roman" w:hAnsi="Times New Roman"/>
          <w:sz w:val="24"/>
        </w:rPr>
        <w:t xml:space="preserve"> (tillämpliga för både CR EQU IRB 1 och CR EQU IRB 2)</w:t>
      </w:r>
      <w:bookmarkEnd w:id="419"/>
      <w:bookmarkEnd w:id="420"/>
      <w:bookmarkEnd w:id="421"/>
      <w:bookmarkEnd w:id="422"/>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Kolumn</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MOTPARTSRISKKLASS (RADIDENTIFIERARE)</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Motpartsrisken är en radidentifierare och ska vara unik för varje rad i tabellen. </w:t>
            </w:r>
            <w:r>
              <w:rPr>
                <w:rFonts w:ascii="Times New Roman" w:hAnsi="Times New Roman"/>
                <w:sz w:val="24"/>
              </w:rPr>
              <w:t>Det ska följa en numerisk ordning 1, 2, 3 osv.</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INTERNT KLASSIFICERINGS-SYSTEM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SOM ÅSATTS RISKKLASSEN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som tillämpar PD/LGD-metoden ska i kolumn 010 rapportera sannoli</w:t>
            </w:r>
            <w:r>
              <w:rPr>
                <w:rStyle w:val="InstructionsTabelleText"/>
                <w:rFonts w:ascii="Times New Roman" w:hAnsi="Times New Roman"/>
                <w:sz w:val="24"/>
              </w:rPr>
              <w:t>k</w:t>
            </w:r>
            <w:r>
              <w:rPr>
                <w:rStyle w:val="InstructionsTabelleText"/>
                <w:rFonts w:ascii="Times New Roman" w:hAnsi="Times New Roman"/>
                <w:sz w:val="24"/>
              </w:rPr>
              <w:t>heten för obestånd (PD) beräknad i enlighet med de bestämmelser som avses i artikel 165.1 i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PD-värdet för den motpartsriskklass som ska rapporteras ska uppfylla de min</w:t>
            </w:r>
            <w:r>
              <w:rPr>
                <w:rStyle w:val="InstructionsTabelleText"/>
                <w:rFonts w:ascii="Times New Roman" w:hAnsi="Times New Roman"/>
                <w:sz w:val="24"/>
              </w:rPr>
              <w:t>i</w:t>
            </w:r>
            <w:r>
              <w:rPr>
                <w:rStyle w:val="InstructionsTabelleText"/>
                <w:rFonts w:ascii="Times New Roman" w:hAnsi="Times New Roman"/>
                <w:sz w:val="24"/>
              </w:rPr>
              <w:t>mikrav som fastställs i del tre avdelning II kapitel 3 avsnitt 6 i CRR. Instituten ska rapportera det PD-värde som åsätts varje motpartsriskklass. Alla rapport</w:t>
            </w:r>
            <w:r>
              <w:rPr>
                <w:rStyle w:val="InstructionsTabelleText"/>
                <w:rFonts w:ascii="Times New Roman" w:hAnsi="Times New Roman"/>
                <w:sz w:val="24"/>
              </w:rPr>
              <w:t>e</w:t>
            </w:r>
            <w:r>
              <w:rPr>
                <w:rStyle w:val="InstructionsTabelleText"/>
                <w:rFonts w:ascii="Times New Roman" w:hAnsi="Times New Roman"/>
                <w:sz w:val="24"/>
              </w:rPr>
              <w:t>rade riskparametrar ska härröra från de riskparametrar som används i det interna riskklassificeringssystem som godkänts av respektive behörig myndighet.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När det gäller värden som avser sammanlagda motpartsriskklasser (t.ex. totala exponeringar) ska instituten ange det exponeringsvägda genomsnittliga PD-värdet för de motpartsriskklasser som ingår i summeringen. Alla exponeringar, inbegripet fallerade exponeringar, ska ingå i beräkningen av det exponering</w:t>
            </w:r>
            <w:r>
              <w:rPr>
                <w:rStyle w:val="InstructionsTabelleText"/>
                <w:rFonts w:ascii="Times New Roman" w:hAnsi="Times New Roman"/>
                <w:sz w:val="24"/>
              </w:rPr>
              <w:t>s</w:t>
            </w:r>
            <w:r>
              <w:rPr>
                <w:rStyle w:val="InstructionsTabelleText"/>
                <w:rFonts w:ascii="Times New Roman" w:hAnsi="Times New Roman"/>
                <w:sz w:val="24"/>
              </w:rPr>
              <w:lastRenderedPageBreak/>
              <w:t>vägda genomsnittliga PD-värdet. Vid beräkning av det exponeringsvägda g</w:t>
            </w:r>
            <w:r>
              <w:rPr>
                <w:rStyle w:val="InstructionsTabelleText"/>
                <w:rFonts w:ascii="Times New Roman" w:hAnsi="Times New Roman"/>
                <w:sz w:val="24"/>
              </w:rPr>
              <w:t>e</w:t>
            </w:r>
            <w:r>
              <w:rPr>
                <w:rStyle w:val="InstructionsTabelleText"/>
                <w:rFonts w:ascii="Times New Roman" w:hAnsi="Times New Roman"/>
                <w:sz w:val="24"/>
              </w:rPr>
              <w:t>nomsnittliga PD-värdet ska vikterna för exponeringsvärdet fastställas med bea</w:t>
            </w:r>
            <w:r>
              <w:rPr>
                <w:rStyle w:val="InstructionsTabelleText"/>
                <w:rFonts w:ascii="Times New Roman" w:hAnsi="Times New Roman"/>
                <w:sz w:val="24"/>
              </w:rPr>
              <w:t>k</w:t>
            </w:r>
            <w:r>
              <w:rPr>
                <w:rStyle w:val="InstructionsTabelleText"/>
                <w:rFonts w:ascii="Times New Roman" w:hAnsi="Times New Roman"/>
                <w:sz w:val="24"/>
              </w:rPr>
              <w:t xml:space="preserve">tande av obetalt kreditriskskydd (kolumn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 kolumn 020 ska instituten rapportera det ursprungliga exponeringsvärdet (före tillämpning av konverteringsfaktorer). I enlighet med bestämmelserna i artikel 167 i CRR ska exponeringsvärdet för aktieexponeringar vara det bokförda värdet efter specifika kreditriskjusteringar. Exponeringsvärdet</w:t>
            </w:r>
            <w:r>
              <w:rPr>
                <w:rFonts w:ascii="Times New Roman" w:hAnsi="Times New Roman"/>
                <w:sz w:val="24"/>
              </w:rPr>
              <w:t xml:space="preserve"> för aktieexponeringar utanför balansräkningen ska vara det nominella värdet efter specifika kreditris</w:t>
            </w:r>
            <w:r>
              <w:rPr>
                <w:rFonts w:ascii="Times New Roman" w:hAnsi="Times New Roman"/>
                <w:sz w:val="24"/>
              </w:rPr>
              <w:t>k</w:t>
            </w:r>
            <w:r>
              <w:rPr>
                <w:rFonts w:ascii="Times New Roman" w:hAnsi="Times New Roman"/>
                <w:sz w:val="24"/>
              </w:rPr>
              <w:t>justeringar.</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020 ska instituten också ta upp de poster utanför balansräkningen som avses i bilaga I till CRR och som hör till klassen aktieexponeringar (t.ex. ”ob</w:t>
            </w:r>
            <w:r>
              <w:rPr>
                <w:rStyle w:val="InstructionsTabelleText"/>
                <w:rFonts w:ascii="Times New Roman" w:hAnsi="Times New Roman"/>
                <w:sz w:val="24"/>
              </w:rPr>
              <w:t>e</w:t>
            </w:r>
            <w:r>
              <w:rPr>
                <w:rStyle w:val="InstructionsTabelleText"/>
                <w:rFonts w:ascii="Times New Roman" w:hAnsi="Times New Roman"/>
                <w:sz w:val="24"/>
              </w:rPr>
              <w:t>tald del av betalning för aktier och andra värdepapper”).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den förenklade riskviktmetoden eller PD/LGD-metoden (i enlighet med artikel 165.1) ska även beakta de bestämmelser om balansering som avses i artikel 155.2 i 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w:t>
            </w:r>
            <w:r>
              <w:rPr>
                <w:rStyle w:val="InstructionsTabelleberschrift"/>
                <w:rFonts w:ascii="Times New Roman" w:hAnsi="Times New Roman"/>
                <w:sz w:val="24"/>
              </w:rPr>
              <w:t>T</w:t>
            </w:r>
            <w:r>
              <w:rPr>
                <w:rStyle w:val="InstructionsTabelleberschrift"/>
                <w:rFonts w:ascii="Times New Roman" w:hAnsi="Times New Roman"/>
                <w:sz w:val="24"/>
              </w:rPr>
              <w:t>IONSEFFEKTER PÅ ÅTAGANDET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OBETALT KREDITRISKSKYDD</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Oavsett vilken metod som tillämpas för beräkningen av riskvägda exponering</w:t>
            </w:r>
            <w:r>
              <w:rPr>
                <w:rStyle w:val="InstructionsTabelleText"/>
                <w:rFonts w:ascii="Times New Roman" w:hAnsi="Times New Roman"/>
                <w:sz w:val="24"/>
              </w:rPr>
              <w:t>s</w:t>
            </w:r>
            <w:r>
              <w:rPr>
                <w:rStyle w:val="InstructionsTabelleText"/>
                <w:rFonts w:ascii="Times New Roman" w:hAnsi="Times New Roman"/>
                <w:sz w:val="24"/>
              </w:rPr>
              <w:t>belopp för aktieexponeringar får instituten erkänna obetalt kreditriskskydd som godtagbart för aktieexponeringar (artiklarna 155.2–155.4 i CRR). Institut som tillämpar den förenklade riskviktmetoden eller PD/LGD-metoden ska i kolu</w:t>
            </w:r>
            <w:r>
              <w:rPr>
                <w:rStyle w:val="InstructionsTabelleText"/>
                <w:rFonts w:ascii="Times New Roman" w:hAnsi="Times New Roman"/>
                <w:sz w:val="24"/>
              </w:rPr>
              <w:t>m</w:t>
            </w:r>
            <w:r>
              <w:rPr>
                <w:rStyle w:val="InstructionsTabelleText"/>
                <w:rFonts w:ascii="Times New Roman" w:hAnsi="Times New Roman"/>
                <w:sz w:val="24"/>
              </w:rPr>
              <w:t>nerna 030 och 040 rapportera beloppet för obetalt kreditriskskydd enligt den g</w:t>
            </w:r>
            <w:r>
              <w:rPr>
                <w:rStyle w:val="InstructionsTabelleText"/>
                <w:rFonts w:ascii="Times New Roman" w:hAnsi="Times New Roman"/>
                <w:sz w:val="24"/>
              </w:rPr>
              <w:t>a</w:t>
            </w:r>
            <w:r>
              <w:rPr>
                <w:rStyle w:val="InstructionsTabelleText"/>
                <w:rFonts w:ascii="Times New Roman" w:hAnsi="Times New Roman"/>
                <w:sz w:val="24"/>
              </w:rPr>
              <w:t>rantiform (kolumn 030) eller de kreditderivat (kolumn 040) som erkänns i enli</w:t>
            </w:r>
            <w:r>
              <w:rPr>
                <w:rStyle w:val="InstructionsTabelleText"/>
                <w:rFonts w:ascii="Times New Roman" w:hAnsi="Times New Roman"/>
                <w:sz w:val="24"/>
              </w:rPr>
              <w:t>g</w:t>
            </w:r>
            <w:r>
              <w:rPr>
                <w:rStyle w:val="InstructionsTabelleText"/>
                <w:rFonts w:ascii="Times New Roman" w:hAnsi="Times New Roman"/>
                <w:sz w:val="24"/>
              </w:rPr>
              <w:t>het med de metoder som anges i del tre avdelning II kapitel 4 i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w:t>
            </w:r>
            <w:r>
              <w:rPr>
                <w:rStyle w:val="InstructionsTabelleberschrift"/>
                <w:rFonts w:ascii="Times New Roman" w:hAnsi="Times New Roman"/>
                <w:sz w:val="24"/>
              </w:rPr>
              <w:t>T</w:t>
            </w:r>
            <w:r>
              <w:rPr>
                <w:rStyle w:val="InstructionsTabelleberschrift"/>
                <w:rFonts w:ascii="Times New Roman" w:hAnsi="Times New Roman"/>
                <w:sz w:val="24"/>
              </w:rPr>
              <w:t>IONSEFFEKTER PÅ ÅTAGANDET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AV ÅTAGANDET TILL FÖLJD AV KREDITRISK-REDUCERING</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SUMMA UTFLÖDEN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050 ska instituten rapportera den del av de ursprungliga exponeringa</w:t>
            </w:r>
            <w:r>
              <w:rPr>
                <w:rStyle w:val="InstructionsTabelleText"/>
                <w:rFonts w:ascii="Times New Roman" w:hAnsi="Times New Roman"/>
                <w:sz w:val="24"/>
              </w:rPr>
              <w:t>r</w:t>
            </w:r>
            <w:r>
              <w:rPr>
                <w:rStyle w:val="InstructionsTabelleText"/>
                <w:rFonts w:ascii="Times New Roman" w:hAnsi="Times New Roman"/>
                <w:sz w:val="24"/>
              </w:rPr>
              <w:t>na före tillämpning av konverteringsfaktorer som täcks av godtagbart obetalt kreditriskskydd i enlighet med de metoder som anges i del tre avdelning II kap</w:t>
            </w:r>
            <w:r>
              <w:rPr>
                <w:rStyle w:val="InstructionsTabelleText"/>
                <w:rFonts w:ascii="Times New Roman" w:hAnsi="Times New Roman"/>
                <w:sz w:val="24"/>
              </w:rPr>
              <w:t>i</w:t>
            </w:r>
            <w:r>
              <w:rPr>
                <w:rStyle w:val="InstructionsTabelleText"/>
                <w:rFonts w:ascii="Times New Roman" w:hAnsi="Times New Roman"/>
                <w:sz w:val="24"/>
              </w:rPr>
              <w:t>tel 4 i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EXPONERINGSVÄRDE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som tillämpar den förenklade riskviktmetoden eller PD/LGD-metoden ska i kolumn 060 rapportera exponeringsvärdet med beaktande av substitution</w:t>
            </w:r>
            <w:r>
              <w:rPr>
                <w:rStyle w:val="InstructionsTabelleText"/>
                <w:rFonts w:ascii="Times New Roman" w:hAnsi="Times New Roman"/>
                <w:sz w:val="24"/>
              </w:rPr>
              <w:t>s</w:t>
            </w:r>
            <w:r>
              <w:rPr>
                <w:rStyle w:val="InstructionsTabelleText"/>
                <w:rFonts w:ascii="Times New Roman" w:hAnsi="Times New Roman"/>
                <w:sz w:val="24"/>
              </w:rPr>
              <w:lastRenderedPageBreak/>
              <w:t xml:space="preserve">effekter som härrör från obetalt kreditriskskydd (artiklarna 155.2, 155.3 och 167 i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Observera återigen att exponeringsvärdet för aktieexponeringar utanför balan</w:t>
            </w:r>
            <w:r>
              <w:rPr>
                <w:rStyle w:val="InstructionsTabelleText"/>
                <w:rFonts w:ascii="Times New Roman" w:hAnsi="Times New Roman"/>
                <w:sz w:val="24"/>
              </w:rPr>
              <w:t>s</w:t>
            </w:r>
            <w:r>
              <w:rPr>
                <w:rStyle w:val="InstructionsTabelleText"/>
                <w:rFonts w:ascii="Times New Roman" w:hAnsi="Times New Roman"/>
                <w:sz w:val="24"/>
              </w:rPr>
              <w:t>räkningen ska vara det nominella värdet efter specifika kreditriskjusteringar (a</w:t>
            </w:r>
            <w:r>
              <w:rPr>
                <w:rStyle w:val="InstructionsTabelleText"/>
                <w:rFonts w:ascii="Times New Roman" w:hAnsi="Times New Roman"/>
                <w:sz w:val="24"/>
              </w:rPr>
              <w:t>r</w:t>
            </w:r>
            <w:r>
              <w:rPr>
                <w:rStyle w:val="InstructionsTabelleText"/>
                <w:rFonts w:ascii="Times New Roman" w:hAnsi="Times New Roman"/>
                <w:sz w:val="24"/>
              </w:rPr>
              <w:t>tikel 167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EXPONERINGSVÄGT GENOMSNITTLIGT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070 i CR EQU IRB 2-mallen ska de institut som tillämpar PD/LGD-metoden rapportera det exponeringsvägda genomsnittet av LGD-värdena för de motpartsriskklasser som ingår i summeringen. Detsamma gäller för rad 020 i CR EQU IRB-mallen. Det exponeringsvägda genomsnittliga LGD-värdet ska berä</w:t>
            </w:r>
            <w:r>
              <w:rPr>
                <w:rStyle w:val="InstructionsTabelleText"/>
                <w:rFonts w:ascii="Times New Roman" w:hAnsi="Times New Roman"/>
                <w:sz w:val="24"/>
              </w:rPr>
              <w:t>k</w:t>
            </w:r>
            <w:r>
              <w:rPr>
                <w:rStyle w:val="InstructionsTabelleText"/>
                <w:rFonts w:ascii="Times New Roman" w:hAnsi="Times New Roman"/>
                <w:sz w:val="24"/>
              </w:rPr>
              <w:t>nas utifrån exponeringsvärdet med beaktande av obetalt kreditriskskydd (kolumn 060). Instituten ska ta hänsyn till bestämmelserna i artikel 165.2 i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RISKVÄGT EXPONERINGSBELOPP</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080 ska instituten rapportera riskvägda exponeringsbelopp för aktiee</w:t>
            </w:r>
            <w:r>
              <w:rPr>
                <w:rStyle w:val="InstructionsTabelleText"/>
                <w:rFonts w:ascii="Times New Roman" w:hAnsi="Times New Roman"/>
                <w:sz w:val="24"/>
              </w:rPr>
              <w:t>x</w:t>
            </w:r>
            <w:r>
              <w:rPr>
                <w:rStyle w:val="InstructionsTabelleText"/>
                <w:rFonts w:ascii="Times New Roman" w:hAnsi="Times New Roman"/>
                <w:sz w:val="24"/>
              </w:rPr>
              <w:t>poneringar, beräknade i enlighet med bestämmelserna i artikel 155 i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Om institut som tillämpar PD/LGD-metoden inte har tillräckligt med informa</w:t>
            </w:r>
            <w:r>
              <w:rPr>
                <w:rStyle w:val="InstructionsTabelleText"/>
                <w:rFonts w:ascii="Times New Roman" w:hAnsi="Times New Roman"/>
                <w:sz w:val="24"/>
              </w:rPr>
              <w:t>t</w:t>
            </w:r>
            <w:r>
              <w:rPr>
                <w:rStyle w:val="InstructionsTabelleText"/>
                <w:rFonts w:ascii="Times New Roman" w:hAnsi="Times New Roman"/>
                <w:sz w:val="24"/>
              </w:rPr>
              <w:t>ion för att kunna använda definitionen av obestånd i artikel 178 i CRR, ska ris</w:t>
            </w:r>
            <w:r>
              <w:rPr>
                <w:rStyle w:val="InstructionsTabelleText"/>
                <w:rFonts w:ascii="Times New Roman" w:hAnsi="Times New Roman"/>
                <w:sz w:val="24"/>
              </w:rPr>
              <w:t>k</w:t>
            </w:r>
            <w:r>
              <w:rPr>
                <w:rStyle w:val="InstructionsTabelleText"/>
                <w:rFonts w:ascii="Times New Roman" w:hAnsi="Times New Roman"/>
                <w:sz w:val="24"/>
              </w:rPr>
              <w:t>vikterna räknas upp med faktorn 1,5 vid beräkningen av riskvägda exponering</w:t>
            </w:r>
            <w:r>
              <w:rPr>
                <w:rStyle w:val="InstructionsTabelleText"/>
                <w:rFonts w:ascii="Times New Roman" w:hAnsi="Times New Roman"/>
                <w:sz w:val="24"/>
              </w:rPr>
              <w:t>s</w:t>
            </w:r>
            <w:r>
              <w:rPr>
                <w:rStyle w:val="InstructionsTabelleText"/>
                <w:rFonts w:ascii="Times New Roman" w:hAnsi="Times New Roman"/>
                <w:sz w:val="24"/>
              </w:rPr>
              <w:t xml:space="preserve">belopp (artikel 155.3 i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När det gäller parametern M (löptid) för riskviktfunktionen ska löptiden för akt</w:t>
            </w:r>
            <w:r>
              <w:rPr>
                <w:rStyle w:val="InstructionsTabelleText"/>
                <w:rFonts w:ascii="Times New Roman" w:hAnsi="Times New Roman"/>
                <w:sz w:val="24"/>
              </w:rPr>
              <w:t>i</w:t>
            </w:r>
            <w:r>
              <w:rPr>
                <w:rStyle w:val="InstructionsTabelleText"/>
                <w:rFonts w:ascii="Times New Roman" w:hAnsi="Times New Roman"/>
                <w:sz w:val="24"/>
              </w:rPr>
              <w:t>eexponeringar vara fem år (artikel 165.3 i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FÖRVÄNTAD FÖRLUST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090 ska instituten rapportera det förväntade förlustbeloppet för akti</w:t>
            </w:r>
            <w:r>
              <w:rPr>
                <w:rStyle w:val="InstructionsTabelleText"/>
                <w:rFonts w:ascii="Times New Roman" w:hAnsi="Times New Roman"/>
                <w:sz w:val="24"/>
              </w:rPr>
              <w:t>e</w:t>
            </w:r>
            <w:r>
              <w:rPr>
                <w:rStyle w:val="InstructionsTabelleText"/>
                <w:rFonts w:ascii="Times New Roman" w:hAnsi="Times New Roman"/>
                <w:sz w:val="24"/>
              </w:rPr>
              <w:t xml:space="preserve">exponeringar beräknat i enlighet med artikel 158.4 och 158.7–158.9 i CRR.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I enlighet med artikel 155 i CRR får instituten tillämpa olika metoder (den fö</w:t>
      </w:r>
      <w:r>
        <w:t>r</w:t>
      </w:r>
      <w:r>
        <w:t>enklade riskviktmetoden, PD/LGD-metoden eller metoden med interna modeller) för olika portföljer om de använder olika metoder internt. I CR EQU IRB 1-mallen ska instituten dessutom rapportera de riskvägda exponeringsbeloppen för de akti</w:t>
      </w:r>
      <w:r>
        <w:t>e</w:t>
      </w:r>
      <w:r>
        <w:t>exponeringar som behandlas med fast riskvikt (dock utan dock utan att de uttryckl</w:t>
      </w:r>
      <w:r>
        <w:t>i</w:t>
      </w:r>
      <w:r>
        <w:t>gen behandlas enligt den förenklade riskviktmetoden eller med (tillfällig eller pe</w:t>
      </w:r>
      <w:r>
        <w:t>r</w:t>
      </w:r>
      <w:r>
        <w:t>manent) partiell användning av schablonmetoden för kreditrisk).</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Rad</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 SUMMA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som tillämpar PD/LGD-metoden (artikel 155.3 i CRR) ska rapportera de nödvändiga uppgifterna på rad 020 i CR EQU IRB 1-mallen.</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1 – raderna </w:t>
            </w:r>
            <w:r>
              <w:rPr>
                <w:rStyle w:val="InstructionsTabelleText"/>
                <w:rFonts w:ascii="Times New Roman" w:hAnsi="Times New Roman"/>
                <w:sz w:val="24"/>
              </w:rPr>
              <w:lastRenderedPageBreak/>
              <w:t>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lastRenderedPageBreak/>
              <w:t>FÖRENKLAD RISKVIKTMETOD: SUMMA</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 xml:space="preserve">UPPDELNING AV SAMMANLAGDA EXPONERINGAR ENLIGT DEN </w:t>
            </w:r>
            <w:r>
              <w:rPr>
                <w:rStyle w:val="InstructionsTabelleText"/>
                <w:rFonts w:ascii="Times New Roman" w:hAnsi="Times New Roman"/>
                <w:b/>
                <w:sz w:val="24"/>
                <w:u w:val="single"/>
              </w:rPr>
              <w:lastRenderedPageBreak/>
              <w:t>FÖRENKLADE RISKVIKTMETODEN PER RISKKLASS:</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På raderna 050–090 ska institut som tillämpar den förenklade riskviktmetoden (artikel 155.2 i CRR) rapportera de nödvändiga uppgifterna i enlighet med de underliggande exponeringarnas egenskaper.</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rad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 MED INTERNA MODELLER</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Institut som tillämpar metoden med interna modeller (artikel 155.4. i CRR) ska rapportera de nödvändiga uppgifterna på rad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rad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AKTIEEXPONERINGAR SOM OMFATTAS AV RISKVIKTER</w:t>
            </w:r>
          </w:p>
          <w:p w:rsidR="00C61FF5" w:rsidRPr="00392FFD" w:rsidRDefault="00C61FF5" w:rsidP="00C61FF5">
            <w:pPr>
              <w:rPr>
                <w:rFonts w:ascii="Times New Roman" w:hAnsi="Times New Roman"/>
                <w:sz w:val="24"/>
              </w:rPr>
            </w:pPr>
            <w:r>
              <w:rPr>
                <w:rFonts w:ascii="Times New Roman" w:hAnsi="Times New Roman"/>
                <w:sz w:val="24"/>
              </w:rPr>
              <w:t>Institut som tillämpar internmetoden ska rapportera de riskvägda exponering</w:t>
            </w:r>
            <w:r>
              <w:rPr>
                <w:rFonts w:ascii="Times New Roman" w:hAnsi="Times New Roman"/>
                <w:sz w:val="24"/>
              </w:rPr>
              <w:t>s</w:t>
            </w:r>
            <w:r>
              <w:rPr>
                <w:rFonts w:ascii="Times New Roman" w:hAnsi="Times New Roman"/>
                <w:sz w:val="24"/>
              </w:rPr>
              <w:t xml:space="preserve">beloppen för de aktieexponeringar som behandlas med fast riskvikt (dock utan dock utan att de uttryckligen behandlas enligt den förenklade riskviktmetoden eller med (tillfällig eller permanent) partiell användning av schablonmetoden för kreditrisk). På rad 110 ska instituten exempelvis rapportera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riskvägda exponeringsbelopp för sådana aktiepositioner i enheter i den finans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ella sektorn som behandlas i enlighet med artikel 48.4 i CRR, och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aktiepositioner med riskvikten 370 % i enlighet med artikel 471.2 i CRR. </w:t>
            </w:r>
          </w:p>
          <w:p w:rsidR="00C61FF5" w:rsidRPr="00392FFD" w:rsidRDefault="00C61FF5" w:rsidP="00C61FF5">
            <w:pPr>
              <w:rPr>
                <w:rStyle w:val="FormatvorlageInstructionsTabelleText"/>
                <w:rFonts w:ascii="Times New Roman" w:hAnsi="Times New Roman"/>
                <w:sz w:val="24"/>
              </w:rPr>
            </w:pP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ENLIGT PD/LGD-METODEN PER RISKKLASS</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som tillämpar PD/LGD-metoden (artikel 155.3 i CRR) ska rapportera de nödvändiga uppgifterna i CR EQU IRB 2-mallen.</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 som använder PD/LGD-metoden och tillämpar ett eget riskklassific</w:t>
            </w:r>
            <w:r>
              <w:rPr>
                <w:rStyle w:val="InstructionsTabelleText"/>
                <w:rFonts w:ascii="Times New Roman" w:hAnsi="Times New Roman"/>
                <w:sz w:val="24"/>
              </w:rPr>
              <w:t>e</w:t>
            </w:r>
            <w:r>
              <w:rPr>
                <w:rStyle w:val="InstructionsTabelleText"/>
                <w:rFonts w:ascii="Times New Roman" w:hAnsi="Times New Roman"/>
                <w:sz w:val="24"/>
              </w:rPr>
              <w:t>ringssystem eller kan rapportera i enlighet med en intern huvudindelning ska i CR EQU IRB 2-mallen rapportera de riskklasser som hör till det egna riskkla</w:t>
            </w:r>
            <w:r>
              <w:rPr>
                <w:rStyle w:val="InstructionsTabelleText"/>
                <w:rFonts w:ascii="Times New Roman" w:hAnsi="Times New Roman"/>
                <w:sz w:val="24"/>
              </w:rPr>
              <w:t>s</w:t>
            </w:r>
            <w:r>
              <w:rPr>
                <w:rStyle w:val="InstructionsTabelleText"/>
                <w:rFonts w:ascii="Times New Roman" w:hAnsi="Times New Roman"/>
                <w:sz w:val="24"/>
              </w:rPr>
              <w:t>sificeringssystemet/den interna huvudindelningen. I alla andra fall ska de olika riskklassificeringssystemen slås ihop och ordnas enligt följande kriterier: Mo</w:t>
            </w:r>
            <w:r>
              <w:rPr>
                <w:rStyle w:val="InstructionsTabelleText"/>
                <w:rFonts w:ascii="Times New Roman" w:hAnsi="Times New Roman"/>
                <w:sz w:val="24"/>
              </w:rPr>
              <w:t>t</w:t>
            </w:r>
            <w:r>
              <w:rPr>
                <w:rStyle w:val="InstructionsTabelleText"/>
                <w:rFonts w:ascii="Times New Roman" w:hAnsi="Times New Roman"/>
                <w:sz w:val="24"/>
              </w:rPr>
              <w:t>partsriskklasserna i de olika riskklassificeringssystemen ska grupperas och or</w:t>
            </w:r>
            <w:r>
              <w:rPr>
                <w:rStyle w:val="InstructionsTabelleText"/>
                <w:rFonts w:ascii="Times New Roman" w:hAnsi="Times New Roman"/>
                <w:sz w:val="24"/>
              </w:rPr>
              <w:t>d</w:t>
            </w:r>
            <w:r>
              <w:rPr>
                <w:rStyle w:val="InstructionsTabelleText"/>
                <w:rFonts w:ascii="Times New Roman" w:hAnsi="Times New Roman"/>
                <w:sz w:val="24"/>
              </w:rPr>
              <w:t>nas från det lägsta PD-värdet för varje motpartsriskklass till det högsta.</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3" w:name="_Toc310415035"/>
      <w:bookmarkStart w:id="424" w:name="_Toc360188372"/>
      <w:bookmarkStart w:id="425" w:name="_Toc516210658"/>
      <w:bookmarkStart w:id="426" w:name="_Toc473560923"/>
      <w:bookmarkStart w:id="427" w:name="_Toc523820279"/>
      <w:r>
        <w:rPr>
          <w:rFonts w:ascii="Times New Roman" w:hAnsi="Times New Roman"/>
          <w:sz w:val="24"/>
          <w:u w:val="none"/>
        </w:rPr>
        <w:t>3.6.</w:t>
      </w:r>
      <w:r w:rsidRPr="00BE033B">
        <w:rPr>
          <w:u w:val="none"/>
        </w:rPr>
        <w:tab/>
      </w:r>
      <w:r>
        <w:rPr>
          <w:rFonts w:ascii="Times New Roman" w:hAnsi="Times New Roman"/>
          <w:sz w:val="24"/>
        </w:rPr>
        <w:t>C 11.00 – Avvecklings-/leveransrisk</w:t>
      </w:r>
      <w:bookmarkEnd w:id="423"/>
      <w:bookmarkEnd w:id="424"/>
      <w:r>
        <w:rPr>
          <w:rFonts w:ascii="Times New Roman" w:hAnsi="Times New Roman"/>
          <w:sz w:val="24"/>
        </w:rPr>
        <w:t>(CR SETT)</w:t>
      </w:r>
      <w:bookmarkEnd w:id="425"/>
      <w:bookmarkEnd w:id="426"/>
      <w:bookmarkEnd w:id="42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8" w:name="_Toc262568045"/>
      <w:bookmarkStart w:id="429" w:name="_Toc295829924"/>
      <w:bookmarkStart w:id="430" w:name="_Toc310415036"/>
      <w:bookmarkStart w:id="431" w:name="_Toc360188373"/>
      <w:bookmarkStart w:id="432" w:name="_Toc516210659"/>
      <w:bookmarkStart w:id="433" w:name="_Toc473560924"/>
      <w:bookmarkStart w:id="434" w:name="_Toc523820280"/>
      <w:r>
        <w:rPr>
          <w:rFonts w:ascii="Times New Roman" w:hAnsi="Times New Roman"/>
          <w:sz w:val="24"/>
          <w:u w:val="none"/>
        </w:rPr>
        <w:t>3.6.1.</w:t>
      </w:r>
      <w:r w:rsidRPr="00BE033B">
        <w:rPr>
          <w:u w:val="none"/>
        </w:rPr>
        <w:tab/>
      </w:r>
      <w:r>
        <w:rPr>
          <w:rFonts w:ascii="Times New Roman" w:hAnsi="Times New Roman"/>
          <w:sz w:val="24"/>
        </w:rPr>
        <w:t>Allmänna kommentarer</w:t>
      </w:r>
      <w:bookmarkEnd w:id="428"/>
      <w:bookmarkEnd w:id="429"/>
      <w:bookmarkEnd w:id="430"/>
      <w:bookmarkEnd w:id="431"/>
      <w:bookmarkEnd w:id="432"/>
      <w:bookmarkEnd w:id="433"/>
      <w:bookmarkEnd w:id="434"/>
    </w:p>
    <w:p w:rsidR="00612780" w:rsidRPr="00392FFD" w:rsidRDefault="00125707" w:rsidP="00C37B29">
      <w:pPr>
        <w:pStyle w:val="InstructionsText2"/>
        <w:numPr>
          <w:ilvl w:val="0"/>
          <w:numId w:val="0"/>
        </w:numPr>
        <w:ind w:left="993"/>
      </w:pPr>
      <w:r>
        <w:t>93.</w:t>
      </w:r>
      <w:r>
        <w:tab/>
        <w:t>I denna mall ska instituten lämna uppgifter om de transaktioner, både inom och utanför handelslagret, som inte är avvecklade efter den överenskomna leveransd</w:t>
      </w:r>
      <w:r>
        <w:t>a</w:t>
      </w:r>
      <w:r>
        <w:t xml:space="preserve">gen och respektive kapitalbaskrav för avvecklingsrisk i enlighet med artiklarna 92.3 c ii och 378 i CRR. </w:t>
      </w:r>
    </w:p>
    <w:p w:rsidR="00612780" w:rsidRPr="00392FFD" w:rsidRDefault="00125707" w:rsidP="00C37B29">
      <w:pPr>
        <w:pStyle w:val="InstructionsText2"/>
        <w:numPr>
          <w:ilvl w:val="0"/>
          <w:numId w:val="0"/>
        </w:numPr>
        <w:ind w:left="993"/>
      </w:pPr>
      <w:r>
        <w:t>94.</w:t>
      </w:r>
      <w:r>
        <w:tab/>
        <w:t xml:space="preserve">I CR SETT–mallen ska instituten rapportera uppgifter om avvecklings-/leveransrisken i samband med skuldinstrument, aktier, utländsk valuta och råvaror inom eller utanför handelslagret. </w:t>
      </w:r>
    </w:p>
    <w:p w:rsidR="00612780" w:rsidRPr="00392FFD" w:rsidRDefault="00125707" w:rsidP="00C37B29">
      <w:pPr>
        <w:pStyle w:val="InstructionsText2"/>
        <w:numPr>
          <w:ilvl w:val="0"/>
          <w:numId w:val="0"/>
        </w:numPr>
        <w:ind w:left="993"/>
      </w:pPr>
      <w:r>
        <w:lastRenderedPageBreak/>
        <w:t>95.</w:t>
      </w:r>
      <w:r>
        <w:tab/>
        <w:t>Repor, värdepappers- eller råvarulån i samband med skuldinstrument, aktier, utländsk valuta och råvaror omfattas inte av avvecklings-/leveransrisk i enlighet med artikel 378 i CRR. Observera dock att de derivat och de transaktioner med lång avvecklingscykel som inte är avvecklade efter den överenskomna leveransdagen ändå omfattas av kapitalbaskraven för avvecklings-/leveransrisk i enlighet med a</w:t>
      </w:r>
      <w:r>
        <w:t>r</w:t>
      </w:r>
      <w:r>
        <w:t>tikel 378 i CRR.</w:t>
      </w:r>
    </w:p>
    <w:p w:rsidR="00612780" w:rsidRPr="00392FFD" w:rsidRDefault="00125707" w:rsidP="00C37B29">
      <w:pPr>
        <w:pStyle w:val="InstructionsText2"/>
        <w:numPr>
          <w:ilvl w:val="0"/>
          <w:numId w:val="0"/>
        </w:numPr>
        <w:ind w:left="993"/>
      </w:pPr>
      <w:r>
        <w:t>96.</w:t>
      </w:r>
      <w:r>
        <w:tab/>
        <w:t>Om det finns transaktioner som inte är avvecklade efter den överenskomna l</w:t>
      </w:r>
      <w:r>
        <w:t>e</w:t>
      </w:r>
      <w:r>
        <w:t xml:space="preserve">veransdagen ska instituten beräkna vilken prisskillnad de riskerar. Prisskillnaden är skillnaden mellan överenskommet pris för det räntebärande instrumentet, aktien, den utländska valutan eller råvaran i fråga och dess aktuella marknadsvärde, om skillnaden skulle kunna medföra en förlust för institutet. </w:t>
      </w:r>
    </w:p>
    <w:p w:rsidR="00612780" w:rsidRPr="00392FFD" w:rsidRDefault="00125707" w:rsidP="00C37B29">
      <w:pPr>
        <w:pStyle w:val="InstructionsText2"/>
        <w:numPr>
          <w:ilvl w:val="0"/>
          <w:numId w:val="0"/>
        </w:numPr>
        <w:ind w:left="993"/>
      </w:pPr>
      <w:r>
        <w:t>97.</w:t>
      </w:r>
      <w:r>
        <w:tab/>
        <w:t>Instituten ska multiplicera denna skillnad med tillämplig faktor i artikel 378 t</w:t>
      </w:r>
      <w:r>
        <w:t>a</w:t>
      </w:r>
      <w:r>
        <w:t>bell 1 i CRR för att beräkna respektive kapitalbaskrav.</w:t>
      </w:r>
    </w:p>
    <w:p w:rsidR="00612780" w:rsidRPr="00392FFD" w:rsidRDefault="00125707" w:rsidP="00C37B29">
      <w:pPr>
        <w:pStyle w:val="InstructionsText2"/>
        <w:numPr>
          <w:ilvl w:val="0"/>
          <w:numId w:val="0"/>
        </w:numPr>
        <w:ind w:left="993"/>
      </w:pPr>
      <w:r>
        <w:t>98.</w:t>
      </w:r>
      <w:r>
        <w:tab/>
        <w:t>I enlighet med artikel 92.4 b beräknas det riskvägda exponeringsbeloppet g</w:t>
      </w:r>
      <w:r>
        <w:t>e</w:t>
      </w:r>
      <w:r>
        <w:t>nom att kapitalbaskraven för avvecklings-/leveransrisk multipliceras med 12,5.</w:t>
      </w:r>
    </w:p>
    <w:p w:rsidR="00612780" w:rsidRPr="00392FFD" w:rsidRDefault="00125707" w:rsidP="00C37B29">
      <w:pPr>
        <w:pStyle w:val="InstructionsText2"/>
        <w:numPr>
          <w:ilvl w:val="0"/>
          <w:numId w:val="0"/>
        </w:numPr>
        <w:ind w:left="993"/>
      </w:pPr>
      <w:r>
        <w:t>99.</w:t>
      </w:r>
      <w:r>
        <w:tab/>
        <w:t>Observera att CR SETT-mallen inte omfattar kapitalbaskrav för transaktioner utan samtidig prestation i enlighet med artikel 379 i CRR. För detta används ma</w:t>
      </w:r>
      <w:r>
        <w:t>l</w:t>
      </w:r>
      <w:r>
        <w:t>larna för kreditrisk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5" w:name="_Toc310415037"/>
      <w:bookmarkStart w:id="436" w:name="_Toc360188374"/>
      <w:bookmarkStart w:id="437" w:name="_Toc516210660"/>
      <w:bookmarkStart w:id="438" w:name="_Toc473560925"/>
      <w:bookmarkStart w:id="439" w:name="_Toc523820281"/>
      <w:r>
        <w:rPr>
          <w:rFonts w:ascii="Times New Roman" w:hAnsi="Times New Roman"/>
          <w:sz w:val="24"/>
          <w:u w:val="none"/>
        </w:rPr>
        <w:t>3.6.2.</w:t>
      </w:r>
      <w:r w:rsidRPr="000615BF">
        <w:rPr>
          <w:u w:val="none"/>
        </w:rPr>
        <w:tab/>
      </w:r>
      <w:r>
        <w:rPr>
          <w:rFonts w:ascii="Times New Roman" w:hAnsi="Times New Roman"/>
          <w:sz w:val="24"/>
        </w:rPr>
        <w:t>Instruktioner för specifika positioner</w:t>
      </w:r>
      <w:bookmarkEnd w:id="435"/>
      <w:bookmarkEnd w:id="436"/>
      <w:bookmarkEnd w:id="437"/>
      <w:bookmarkEnd w:id="438"/>
      <w:bookmarkEnd w:id="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Kolumn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TILL AVVECKLINGSPRIS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 kolumn 010 ska instituten i enlighet med artikel 378 i CRR rapportera de tran</w:t>
            </w:r>
            <w:r>
              <w:rPr>
                <w:rFonts w:ascii="Times New Roman" w:hAnsi="Times New Roman"/>
                <w:sz w:val="24"/>
              </w:rPr>
              <w:t>s</w:t>
            </w:r>
            <w:r>
              <w:rPr>
                <w:rFonts w:ascii="Times New Roman" w:hAnsi="Times New Roman"/>
                <w:sz w:val="24"/>
              </w:rPr>
              <w:t>aktioner som inte är avvecklade efter den överenskomna leveransdagen till r</w:t>
            </w:r>
            <w:r>
              <w:rPr>
                <w:rFonts w:ascii="Times New Roman" w:hAnsi="Times New Roman"/>
                <w:sz w:val="24"/>
              </w:rPr>
              <w:t>e</w:t>
            </w:r>
            <w:r>
              <w:rPr>
                <w:rFonts w:ascii="Times New Roman" w:hAnsi="Times New Roman"/>
                <w:sz w:val="24"/>
              </w:rPr>
              <w:t xml:space="preserve">spektive överenskomna priser.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Alla transaktioner som inte är avvecklade ska tas upp i kolumn 010, oavsett om de innebär vinst eller förlust efter den överenskomna avvecklingsdagen.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 FÖR PRISSKILLNADER TILL FÖLJD AV EJ A</w:t>
            </w:r>
            <w:r>
              <w:rPr>
                <w:rStyle w:val="InstructionsTabelleberschrift"/>
                <w:rFonts w:ascii="Times New Roman" w:hAnsi="Times New Roman"/>
                <w:sz w:val="24"/>
              </w:rPr>
              <w:t>V</w:t>
            </w:r>
            <w:r>
              <w:rPr>
                <w:rStyle w:val="InstructionsTabelleberschrift"/>
                <w:rFonts w:ascii="Times New Roman" w:hAnsi="Times New Roman"/>
                <w:sz w:val="24"/>
              </w:rPr>
              <w:t>VECKLADE TRANSAKTIONER</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I kolumn 020 ska instituten i enlighet med artikel 378 i CRR rapportera skilln</w:t>
            </w:r>
            <w:r>
              <w:rPr>
                <w:rFonts w:ascii="Times New Roman" w:hAnsi="Times New Roman"/>
                <w:sz w:val="24"/>
              </w:rPr>
              <w:t>a</w:t>
            </w:r>
            <w:r>
              <w:rPr>
                <w:rFonts w:ascii="Times New Roman" w:hAnsi="Times New Roman"/>
                <w:sz w:val="24"/>
              </w:rPr>
              <w:t>den mellan överenskommet pris för skuldinstrumentet, aktien, den utländska v</w:t>
            </w:r>
            <w:r>
              <w:rPr>
                <w:rFonts w:ascii="Times New Roman" w:hAnsi="Times New Roman"/>
                <w:sz w:val="24"/>
              </w:rPr>
              <w:t>a</w:t>
            </w:r>
            <w:r>
              <w:rPr>
                <w:rFonts w:ascii="Times New Roman" w:hAnsi="Times New Roman"/>
                <w:sz w:val="24"/>
              </w:rPr>
              <w:t xml:space="preserve">lutan eller råvaran i fråga och dess aktuella marknadsvärde, om skillnaden skulle kunna innebära en förlust för institutet.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Det är bara ej avvecklade transaktioner som innebär en förlust efter den öve</w:t>
            </w:r>
            <w:r>
              <w:rPr>
                <w:rFonts w:ascii="Times New Roman" w:hAnsi="Times New Roman"/>
                <w:sz w:val="24"/>
              </w:rPr>
              <w:t>r</w:t>
            </w:r>
            <w:r>
              <w:rPr>
                <w:rFonts w:ascii="Times New Roman" w:hAnsi="Times New Roman"/>
                <w:sz w:val="24"/>
              </w:rPr>
              <w:t>enskomna avvecklingsdagen som ska rapporteras i kolumn 020.</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KAPITALBASKRAV</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 kolumn 030 ska instituten rapportera de kapitalbaskrav som beräknas i enlighet med artikel 378 i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EXPONERINGSBELOPP FÖR AVVECKLINGSRISK</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 enlighet med artikel 92.4 b i CRR ska instituten multiplicera de kapitalbaskrav som rapporteras i kolumn 030 med 12,5 för att beräkna det riskvägda expon</w:t>
            </w:r>
            <w:r>
              <w:rPr>
                <w:rFonts w:ascii="Times New Roman" w:hAnsi="Times New Roman"/>
                <w:sz w:val="24"/>
              </w:rPr>
              <w:t>e</w:t>
            </w:r>
            <w:r>
              <w:rPr>
                <w:rFonts w:ascii="Times New Roman" w:hAnsi="Times New Roman"/>
                <w:sz w:val="24"/>
              </w:rPr>
              <w:t>ringsbeloppet för avvecklingsrisken.</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Rad</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ej avvecklade transaktioner utanför handelslagret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På rad 010 ska instituten rapportera den sammantagna informationen om a</w:t>
            </w:r>
            <w:r>
              <w:rPr>
                <w:rFonts w:ascii="Times New Roman" w:hAnsi="Times New Roman"/>
                <w:sz w:val="24"/>
              </w:rPr>
              <w:t>v</w:t>
            </w:r>
            <w:r>
              <w:rPr>
                <w:rFonts w:ascii="Times New Roman" w:hAnsi="Times New Roman"/>
                <w:sz w:val="24"/>
              </w:rPr>
              <w:t>vecklings-/leveransrisk för positioner utanför handelslagret (i enlighet med arti</w:t>
            </w:r>
            <w:r>
              <w:rPr>
                <w:rFonts w:ascii="Times New Roman" w:hAnsi="Times New Roman"/>
                <w:sz w:val="24"/>
              </w:rPr>
              <w:t>k</w:t>
            </w:r>
            <w:r>
              <w:rPr>
                <w:rFonts w:ascii="Times New Roman" w:hAnsi="Times New Roman"/>
                <w:sz w:val="24"/>
              </w:rPr>
              <w:t>larna 92.3 c ii och 378 i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t>På rad 010/010 ska instituten rapportera totalsumman av transaktioner som inte avvecklats efter respektive överenskommen leveransdag till respektive överen</w:t>
            </w:r>
            <w:r>
              <w:rPr>
                <w:rFonts w:ascii="Times New Roman" w:hAnsi="Times New Roman"/>
                <w:sz w:val="24"/>
              </w:rPr>
              <w:t>s</w:t>
            </w:r>
            <w:r>
              <w:rPr>
                <w:rFonts w:ascii="Times New Roman" w:hAnsi="Times New Roman"/>
                <w:sz w:val="24"/>
              </w:rPr>
              <w:t>kommet pris.</w:t>
            </w:r>
          </w:p>
          <w:p w:rsidR="00745369" w:rsidRPr="00392FFD" w:rsidRDefault="00612780" w:rsidP="00450A2E">
            <w:pPr>
              <w:spacing w:beforeLines="60" w:before="144"/>
              <w:rPr>
                <w:rFonts w:ascii="Times New Roman" w:hAnsi="Times New Roman"/>
                <w:sz w:val="24"/>
              </w:rPr>
            </w:pPr>
            <w:r>
              <w:rPr>
                <w:rFonts w:ascii="Times New Roman" w:hAnsi="Times New Roman"/>
                <w:sz w:val="24"/>
              </w:rPr>
              <w:t>På raderna 010/020 ska instituten rapportera den sammantagna informationen om prisskillnadsexponering på grund av ej avvecklade transaktioner som innebär en förlust.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På raderna 010/030 ska instituten rapportera sammantagna kapitalbaskrav som härrör från summeringen av kapitalbaskrav för ej avvecklade transaktioner g</w:t>
            </w:r>
            <w:r>
              <w:rPr>
                <w:rFonts w:ascii="Times New Roman" w:hAnsi="Times New Roman"/>
                <w:sz w:val="24"/>
              </w:rPr>
              <w:t>e</w:t>
            </w:r>
            <w:r>
              <w:rPr>
                <w:rFonts w:ascii="Times New Roman" w:hAnsi="Times New Roman"/>
                <w:sz w:val="24"/>
              </w:rPr>
              <w:t>nom att multiplicera prisskillnaden från kolumn 020 med tillämplig faktor bas</w:t>
            </w:r>
            <w:r>
              <w:rPr>
                <w:rFonts w:ascii="Times New Roman" w:hAnsi="Times New Roman"/>
                <w:sz w:val="24"/>
              </w:rPr>
              <w:t>e</w:t>
            </w:r>
            <w:r>
              <w:rPr>
                <w:rFonts w:ascii="Times New Roman" w:hAnsi="Times New Roman"/>
                <w:sz w:val="24"/>
              </w:rPr>
              <w:t>rat på antalet arbetsdagar efter överenskommen avvecklingsdag (enligt de kat</w:t>
            </w:r>
            <w:r>
              <w:rPr>
                <w:rFonts w:ascii="Times New Roman" w:hAnsi="Times New Roman"/>
                <w:sz w:val="24"/>
              </w:rPr>
              <w:t>e</w:t>
            </w:r>
            <w:r>
              <w:rPr>
                <w:rFonts w:ascii="Times New Roman" w:hAnsi="Times New Roman"/>
                <w:sz w:val="24"/>
              </w:rPr>
              <w:t>gorier som anges i artikel 378 tabell 1 i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 –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Ej avvecklade transaktioner upp till 4 dagar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avveckladetransaktioner 5–15 dagar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16–30 dagar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31–45 dagar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46 dagar eller mer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020–060 ska instituten rapportera information om avvecklings-/leveransrisk för positioner utanför handelslagret enligt de kategorier som anges i artikel 378 tabell 1 i CRR.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Kapitalbaskrav för avvecklings-/leveransrisk tillämpas inte för transaktioner som avvecklas tidigare än 5 arbetsdagar efter överenskommen avvecklingsdag.</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ej avvecklade transaktioner i handelslagret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På rad 070 ska instituten rapportera den sammanlagda informationen om a</w:t>
            </w:r>
            <w:r>
              <w:rPr>
                <w:rFonts w:ascii="Times New Roman" w:hAnsi="Times New Roman"/>
                <w:sz w:val="24"/>
              </w:rPr>
              <w:t>v</w:t>
            </w:r>
            <w:r>
              <w:rPr>
                <w:rFonts w:ascii="Times New Roman" w:hAnsi="Times New Roman"/>
                <w:sz w:val="24"/>
              </w:rPr>
              <w:t>vecklings-/leveransrisk för positioner i handelslagret (i enlighet med artiklarna 92.3 c ii och 378 i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På rad 070/010 ska instituten rapportera totalsumman av transaktioner som inte avvecklats efter respektive överenskommen leveransdag till respektive överen</w:t>
            </w:r>
            <w:r>
              <w:rPr>
                <w:rFonts w:ascii="Times New Roman" w:hAnsi="Times New Roman"/>
                <w:sz w:val="24"/>
              </w:rPr>
              <w:t>s</w:t>
            </w:r>
            <w:r>
              <w:rPr>
                <w:rFonts w:ascii="Times New Roman" w:hAnsi="Times New Roman"/>
                <w:sz w:val="24"/>
              </w:rPr>
              <w:lastRenderedPageBreak/>
              <w:t>kommet pris.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På raderna 070/020 ska instituten rapportera den sammantagna informationen om prisskillnadsexponering på grund av ej avvecklade transaktioner som innebär en förlust.</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På raderna 070/030 ska instituten rapportera sammantagna kapitalbaskrav som härrör från summeringen av kapitalbaskrav för ej avvecklade transaktioner g</w:t>
            </w:r>
            <w:r>
              <w:rPr>
                <w:rFonts w:ascii="Times New Roman" w:hAnsi="Times New Roman"/>
                <w:sz w:val="24"/>
              </w:rPr>
              <w:t>e</w:t>
            </w:r>
            <w:r>
              <w:rPr>
                <w:rFonts w:ascii="Times New Roman" w:hAnsi="Times New Roman"/>
                <w:sz w:val="24"/>
              </w:rPr>
              <w:t>nom att multiplicera prisskillnaden från kolumn 020 med en tillämplig faktor b</w:t>
            </w:r>
            <w:r>
              <w:rPr>
                <w:rFonts w:ascii="Times New Roman" w:hAnsi="Times New Roman"/>
                <w:sz w:val="24"/>
              </w:rPr>
              <w:t>a</w:t>
            </w:r>
            <w:r>
              <w:rPr>
                <w:rFonts w:ascii="Times New Roman" w:hAnsi="Times New Roman"/>
                <w:sz w:val="24"/>
              </w:rPr>
              <w:t>serat på antalet arbetsdagar efter överenskommen avvecklingsdag (enligt de k</w:t>
            </w:r>
            <w:r>
              <w:rPr>
                <w:rFonts w:ascii="Times New Roman" w:hAnsi="Times New Roman"/>
                <w:sz w:val="24"/>
              </w:rPr>
              <w:t>a</w:t>
            </w:r>
            <w:r>
              <w:rPr>
                <w:rFonts w:ascii="Times New Roman" w:hAnsi="Times New Roman"/>
                <w:sz w:val="24"/>
              </w:rPr>
              <w:t>tegorier som anges i artikel 378 tabell 1 i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080 –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Ej avvecklade transaktioner upp till 4 dagar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avveckladetransaktioner 5–15 dagar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16–30 dagar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31–45 dagar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46 dagar eller mer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080–120 ska instituten rapportera information om avvecklings-/leveransrisk för positioner utanför handelslagret enligt de kategorier som anges i artikel 378 tabell 1 i CRR.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Kapitalbaskrav för avvecklings-/leveransrisk tillämpas inte för transaktioner som avvecklas tidigare än 5 arbetsdagar efter överenskommen avvecklingsdag.</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0" w:name="_Toc310415038"/>
      <w:bookmarkStart w:id="441" w:name="_Toc360188375"/>
      <w:bookmarkStart w:id="442" w:name="_Toc516210661"/>
      <w:bookmarkStart w:id="443" w:name="_Toc473560926"/>
      <w:bookmarkStart w:id="444" w:name="_Toc523820282"/>
      <w:r>
        <w:rPr>
          <w:rFonts w:ascii="Times New Roman" w:hAnsi="Times New Roman"/>
          <w:sz w:val="24"/>
          <w:u w:val="none"/>
        </w:rPr>
        <w:lastRenderedPageBreak/>
        <w:t>3.7.</w:t>
      </w:r>
      <w:r w:rsidRPr="000615BF">
        <w:rPr>
          <w:u w:val="none"/>
        </w:rPr>
        <w:tab/>
      </w:r>
      <w:r>
        <w:rPr>
          <w:rFonts w:ascii="Times New Roman" w:hAnsi="Times New Roman"/>
          <w:sz w:val="24"/>
        </w:rPr>
        <w:t xml:space="preserve">C 12.00 – Kreditrisk: Värdepapperisering – schablonmetod för kapitalbaskrav </w:t>
      </w:r>
      <w:bookmarkEnd w:id="440"/>
      <w:bookmarkEnd w:id="441"/>
      <w:r>
        <w:rPr>
          <w:rFonts w:ascii="Times New Roman" w:hAnsi="Times New Roman"/>
          <w:sz w:val="24"/>
        </w:rPr>
        <w:t>(CR SEC SA)</w:t>
      </w:r>
      <w:bookmarkEnd w:id="442"/>
      <w:bookmarkEnd w:id="443"/>
      <w:bookmarkEnd w:id="44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5" w:name="_Toc239157385"/>
      <w:bookmarkStart w:id="446" w:name="_Toc310415039"/>
      <w:bookmarkStart w:id="447" w:name="_Toc360188376"/>
      <w:bookmarkStart w:id="448" w:name="_Toc516210662"/>
      <w:bookmarkStart w:id="449" w:name="_Toc473560927"/>
      <w:bookmarkStart w:id="450" w:name="_Toc523820283"/>
      <w:r>
        <w:rPr>
          <w:rFonts w:ascii="Times New Roman" w:hAnsi="Times New Roman"/>
          <w:sz w:val="24"/>
          <w:u w:val="none"/>
        </w:rPr>
        <w:t>3.7.1.</w:t>
      </w:r>
      <w:r w:rsidRPr="000615BF">
        <w:rPr>
          <w:u w:val="none"/>
        </w:rPr>
        <w:tab/>
      </w:r>
      <w:r>
        <w:rPr>
          <w:rFonts w:ascii="Times New Roman" w:hAnsi="Times New Roman"/>
          <w:sz w:val="24"/>
        </w:rPr>
        <w:t>Allmänna kommentarer</w:t>
      </w:r>
      <w:bookmarkEnd w:id="445"/>
      <w:bookmarkEnd w:id="446"/>
      <w:bookmarkEnd w:id="447"/>
      <w:bookmarkEnd w:id="448"/>
      <w:bookmarkEnd w:id="449"/>
      <w:bookmarkEnd w:id="450"/>
    </w:p>
    <w:p w:rsidR="00C67004" w:rsidRDefault="00125707" w:rsidP="00C37B29">
      <w:pPr>
        <w:pStyle w:val="InstructionsText2"/>
        <w:numPr>
          <w:ilvl w:val="0"/>
          <w:numId w:val="0"/>
        </w:numPr>
        <w:ind w:left="993"/>
      </w:pPr>
      <w:r>
        <w:t>100.</w:t>
      </w:r>
      <w:r>
        <w:tab/>
        <w:t>I denna mall ska uppgifter lämnas om alla värdepapperiseringar för vilka en b</w:t>
      </w:r>
      <w:r>
        <w:t>e</w:t>
      </w:r>
      <w:r>
        <w:t>tydande risköverföring konstaterats och i vilka det rapporterande institutet deltar i en värdepapperisering som behandlas med schablonmetoden. Vid rapporteringsr</w:t>
      </w:r>
      <w:r>
        <w:t>e</w:t>
      </w:r>
      <w:r>
        <w:t>ferensdatum efter den 1 januari 2019 ska värdepapperisieringar för vilka det ris</w:t>
      </w:r>
      <w:r>
        <w:t>k</w:t>
      </w:r>
      <w:r>
        <w:t>vägda exponeringsbeloppet bestäms enligt de ändrade bestämmelserna om värd</w:t>
      </w:r>
      <w:r>
        <w:t>e</w:t>
      </w:r>
      <w:r>
        <w:t>papperisering inte rapporteras i denna mall, utan endast i mall C 02.00. Vid rappo</w:t>
      </w:r>
      <w:r>
        <w:t>r</w:t>
      </w:r>
      <w:r>
        <w:t>teringsreferensdatum efter den 1 januari 2019 ska även värdepapperiseringsposi</w:t>
      </w:r>
      <w:r>
        <w:t>t</w:t>
      </w:r>
      <w:r>
        <w:t>ioner som omfattas av en riskvikt på 1250 % i enlighet med de ändrade bestämme</w:t>
      </w:r>
      <w:r>
        <w:t>l</w:t>
      </w:r>
      <w:r>
        <w:t>serna om värdepapperisiering och som dras av från kärnprimärkapitalet i enlighet med artikel 36.1 k ii i CRR inte rapporteras i denna mall, utan endast i mall C 01.00.</w:t>
      </w:r>
    </w:p>
    <w:p w:rsidR="00C67004" w:rsidRDefault="00C67004" w:rsidP="00C37B29">
      <w:pPr>
        <w:pStyle w:val="InstructionsText2"/>
        <w:numPr>
          <w:ilvl w:val="0"/>
          <w:numId w:val="0"/>
        </w:numPr>
        <w:ind w:left="993"/>
      </w:pPr>
      <w:r>
        <w:t>100a. Vid användningen av denna mall ska alla hänvisningar till artiklarna i del tre avdelning II kapitel 5 i CRR läsas som hänvisningar till CRR i den version som gä</w:t>
      </w:r>
      <w:r>
        <w:t>l</w:t>
      </w:r>
      <w:r>
        <w:t>ler den 31 december 2018.</w:t>
      </w:r>
    </w:p>
    <w:p w:rsidR="00612780" w:rsidRPr="00392FFD" w:rsidRDefault="00C67004" w:rsidP="00C37B29">
      <w:pPr>
        <w:pStyle w:val="InstructionsText2"/>
        <w:numPr>
          <w:ilvl w:val="0"/>
          <w:numId w:val="0"/>
        </w:numPr>
        <w:ind w:left="993"/>
      </w:pPr>
      <w:r>
        <w:t>100b. Vilka uppgifter som ska rapporteras beror på institutets roll i samband med en värdepapperisering. Det innebär att specifika rapporteringsposter är tillämpliga för originatorer, medverkande institut och investerare.</w:t>
      </w:r>
    </w:p>
    <w:p w:rsidR="00612780" w:rsidRPr="00392FFD" w:rsidRDefault="00125707" w:rsidP="00C37B29">
      <w:pPr>
        <w:pStyle w:val="InstructionsText2"/>
        <w:numPr>
          <w:ilvl w:val="0"/>
          <w:numId w:val="0"/>
        </w:numPr>
        <w:ind w:left="993"/>
      </w:pPr>
      <w:r>
        <w:t>101.</w:t>
      </w:r>
      <w:r>
        <w:tab/>
        <w:t>I CR SEC SA-mallen lämnas gemensam information om både traditionella och syntetiska värdepapperiseringar som ligger utanför handelslagret, i enlighet med d</w:t>
      </w:r>
      <w:r>
        <w:t>e</w:t>
      </w:r>
      <w:r>
        <w:t>finitionerna i artikel 242.10 respektive 242.11 i CRR.</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1" w:name="_Toc239157386"/>
      <w:bookmarkStart w:id="452" w:name="_Toc310415040"/>
      <w:bookmarkStart w:id="453" w:name="_Toc360188377"/>
      <w:bookmarkStart w:id="454" w:name="_Toc516210663"/>
      <w:bookmarkStart w:id="455" w:name="_Toc473560928"/>
      <w:bookmarkStart w:id="456" w:name="_Toc523820284"/>
      <w:r>
        <w:rPr>
          <w:rFonts w:ascii="Times New Roman" w:hAnsi="Times New Roman"/>
          <w:sz w:val="24"/>
          <w:u w:val="none"/>
        </w:rPr>
        <w:t>3.7.2.</w:t>
      </w:r>
      <w:r w:rsidRPr="008648B9">
        <w:rPr>
          <w:u w:val="none"/>
        </w:rPr>
        <w:tab/>
      </w:r>
      <w:r>
        <w:rPr>
          <w:rFonts w:ascii="Times New Roman" w:hAnsi="Times New Roman"/>
          <w:sz w:val="24"/>
        </w:rPr>
        <w:t>Instruktioner för specifika positioner</w:t>
      </w:r>
      <w:bookmarkEnd w:id="451"/>
      <w:bookmarkEnd w:id="452"/>
      <w:bookmarkEnd w:id="453"/>
      <w:bookmarkEnd w:id="454"/>
      <w:bookmarkEnd w:id="455"/>
      <w:bookmarkEnd w:id="456"/>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BELOPP FÖR UPPKOMNA VÄRDEPAPPERISERADE E</w:t>
            </w:r>
            <w:r>
              <w:rPr>
                <w:rFonts w:ascii="Times New Roman" w:hAnsi="Times New Roman"/>
                <w:b/>
                <w:sz w:val="24"/>
                <w:u w:val="single"/>
              </w:rPr>
              <w:t>X</w:t>
            </w:r>
            <w:r>
              <w:rPr>
                <w:rFonts w:ascii="Times New Roman" w:hAnsi="Times New Roman"/>
                <w:b/>
                <w:sz w:val="24"/>
                <w:u w:val="single"/>
              </w:rPr>
              <w:t>PONERINGAR</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Ett institut som är originator ska rapportera det utestående beloppet på rappo</w:t>
            </w:r>
            <w:r>
              <w:rPr>
                <w:rFonts w:ascii="Times New Roman" w:hAnsi="Times New Roman"/>
                <w:sz w:val="24"/>
              </w:rPr>
              <w:t>r</w:t>
            </w:r>
            <w:r>
              <w:rPr>
                <w:rFonts w:ascii="Times New Roman" w:hAnsi="Times New Roman"/>
                <w:sz w:val="24"/>
              </w:rPr>
              <w:t>teringsdagen för alla aktuella värdepapperiseringsexponeringar som härrör från värdepapperiseringstransaktionen, oavsett vem som innehar positionerna. Detta innebär att instituten även ska rapportera värdepapperiseringsexponeringar i balansräkningen (t.ex. obligationer och efterställda lån) och likaså de expon</w:t>
            </w:r>
            <w:r>
              <w:rPr>
                <w:rFonts w:ascii="Times New Roman" w:hAnsi="Times New Roman"/>
                <w:sz w:val="24"/>
              </w:rPr>
              <w:t>e</w:t>
            </w:r>
            <w:r>
              <w:rPr>
                <w:rFonts w:ascii="Times New Roman" w:hAnsi="Times New Roman"/>
                <w:sz w:val="24"/>
              </w:rPr>
              <w:t>ringar och derivat utanför balansräkningen (t.ex. efterställda låneramar, likvid</w:t>
            </w:r>
            <w:r>
              <w:rPr>
                <w:rFonts w:ascii="Times New Roman" w:hAnsi="Times New Roman"/>
                <w:sz w:val="24"/>
              </w:rPr>
              <w:t>i</w:t>
            </w:r>
            <w:r>
              <w:rPr>
                <w:rFonts w:ascii="Times New Roman" w:hAnsi="Times New Roman"/>
                <w:sz w:val="24"/>
              </w:rPr>
              <w:t>tetsfaciliteter, ränteswappar, kreditswappar etc.) som härrör från värdepapper</w:t>
            </w:r>
            <w:r>
              <w:rPr>
                <w:rFonts w:ascii="Times New Roman" w:hAnsi="Times New Roman"/>
                <w:sz w:val="24"/>
              </w:rPr>
              <w:t>i</w:t>
            </w:r>
            <w:r>
              <w:rPr>
                <w:rFonts w:ascii="Times New Roman" w:hAnsi="Times New Roman"/>
                <w:sz w:val="24"/>
              </w:rPr>
              <w:t xml:space="preserve">seringen.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originator ska inte beakta sådana traditionella värdepapperiseringar i vilka originatorn inte innehar någon position vid rapporteringen i CR SEC SA-mallen eller CR SEC IRB-mallen. För detta ändamål innefattar de värdepapp</w:t>
            </w:r>
            <w:r>
              <w:rPr>
                <w:rFonts w:ascii="Times New Roman" w:hAnsi="Times New Roman"/>
                <w:sz w:val="24"/>
              </w:rPr>
              <w:t>e</w:t>
            </w:r>
            <w:r>
              <w:rPr>
                <w:rFonts w:ascii="Times New Roman" w:hAnsi="Times New Roman"/>
                <w:sz w:val="24"/>
              </w:rPr>
              <w:t>riseringspositioner som innehas av originatorn bestämmelser om förtida amo</w:t>
            </w:r>
            <w:r>
              <w:rPr>
                <w:rFonts w:ascii="Times New Roman" w:hAnsi="Times New Roman"/>
                <w:sz w:val="24"/>
              </w:rPr>
              <w:t>r</w:t>
            </w:r>
            <w:r>
              <w:rPr>
                <w:rFonts w:ascii="Times New Roman" w:hAnsi="Times New Roman"/>
                <w:sz w:val="24"/>
              </w:rPr>
              <w:t>tering i en värdepapperisering av rullande exponeringar enligt definitionen i a</w:t>
            </w:r>
            <w:r>
              <w:rPr>
                <w:rFonts w:ascii="Times New Roman" w:hAnsi="Times New Roman"/>
                <w:sz w:val="24"/>
              </w:rPr>
              <w:t>r</w:t>
            </w:r>
            <w:r>
              <w:rPr>
                <w:rFonts w:ascii="Times New Roman" w:hAnsi="Times New Roman"/>
                <w:sz w:val="24"/>
              </w:rPr>
              <w:lastRenderedPageBreak/>
              <w:t>tikel 242.12 i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SYNTETISK VÄRDEPAPPERISERING: KREDITRISKSKYDD FÖR VÄRDEPAPPERISERADE EXPONERINGAR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Enligt bestämmelserna i artiklarna 249 och 250 i CRR ska kreditriskskyddet för de värdepapperiserade exponeringarna vara utformat som om det inte f</w:t>
            </w:r>
            <w:r>
              <w:rPr>
                <w:rFonts w:ascii="Times New Roman" w:hAnsi="Times New Roman"/>
                <w:sz w:val="24"/>
              </w:rPr>
              <w:t>ö</w:t>
            </w:r>
            <w:r>
              <w:rPr>
                <w:rFonts w:ascii="Times New Roman" w:hAnsi="Times New Roman"/>
                <w:sz w:val="24"/>
              </w:rPr>
              <w:t>relåg någon löptidsobalans.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FÖRBETALT KREDITRISKSKYDD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 detaljerade förfarandet för beräkning av säkerhetens volatilitetsjusterade värde (C</w:t>
            </w:r>
            <w:r>
              <w:rPr>
                <w:rFonts w:ascii="Times New Roman" w:hAnsi="Times New Roman"/>
                <w:sz w:val="24"/>
                <w:vertAlign w:val="subscript"/>
              </w:rPr>
              <w:t>VA</w:t>
            </w:r>
            <w:r>
              <w:rPr>
                <w:rFonts w:ascii="Times New Roman" w:hAnsi="Times New Roman"/>
                <w:sz w:val="24"/>
              </w:rPr>
              <w:t>) som ska rapporteras i denna kolumn fastställs i artikel 223.2 i CCR.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SUMMA UTFLÖDEN OBETALT KREDITRISKSKYDD, JUST</w:t>
            </w:r>
            <w:r>
              <w:rPr>
                <w:rFonts w:ascii="Times New Roman" w:hAnsi="Times New Roman"/>
                <w:b/>
                <w:sz w:val="24"/>
                <w:u w:val="single"/>
              </w:rPr>
              <w:t>E</w:t>
            </w:r>
            <w:r>
              <w:rPr>
                <w:rFonts w:ascii="Times New Roman" w:hAnsi="Times New Roman"/>
                <w:b/>
                <w:sz w:val="24"/>
                <w:u w:val="single"/>
              </w:rPr>
              <w:t xml:space="preserve">RADE VÄRDEN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Enligt den allmänna regeln för ”inflöden” och ”utflöden” ska de belopp som rapporteras i denna kolumn anges som ”inflöden” i motsvarande kreditriskmall (CR SA eller CR IRB) och exponeringsklass som är relevant för utfärdaren av kreditriskskyddet (dvs. den tredje part till vilken tranchen överförs genom ob</w:t>
            </w:r>
            <w:r>
              <w:rPr>
                <w:rFonts w:ascii="Times New Roman" w:hAnsi="Times New Roman"/>
                <w:sz w:val="24"/>
              </w:rPr>
              <w:t>e</w:t>
            </w:r>
            <w:r>
              <w:rPr>
                <w:rFonts w:ascii="Times New Roman" w:hAnsi="Times New Roman"/>
                <w:sz w:val="24"/>
              </w:rPr>
              <w:t>talt kreditriskskydd).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Förfarandet för beräkning av kreditriskskyddets nominella värde efter justering för valutakursrisk (G*) fastställs i artikel 233.3 i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TEORETISKT BELOPP SOM BEHÅLLS ELLER ÅTERKÖPS AV KREDITRISKSKYDD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 alla trancher som har behållits eller återköpts, t.ex. innehållna förstafö</w:t>
            </w:r>
            <w:r>
              <w:rPr>
                <w:rFonts w:ascii="Times New Roman" w:hAnsi="Times New Roman"/>
                <w:sz w:val="24"/>
              </w:rPr>
              <w:t>r</w:t>
            </w:r>
            <w:r>
              <w:rPr>
                <w:rFonts w:ascii="Times New Roman" w:hAnsi="Times New Roman"/>
                <w:sz w:val="24"/>
              </w:rPr>
              <w:t>lustpositioner, ska det nominella beloppet rapporteras.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Effekten av schabloniserade nedsättningar av kreditriskskyddet ska inte bea</w:t>
            </w:r>
            <w:r>
              <w:rPr>
                <w:rFonts w:ascii="Times New Roman" w:hAnsi="Times New Roman"/>
                <w:sz w:val="24"/>
              </w:rPr>
              <w:t>k</w:t>
            </w:r>
            <w:r>
              <w:rPr>
                <w:rFonts w:ascii="Times New Roman" w:hAnsi="Times New Roman"/>
                <w:sz w:val="24"/>
              </w:rPr>
              <w:t>tas vid beräkningen av det kreditriskskyddsbelopp som behålls eller återköps.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POSITIONER I VÄRDEPAPPERISERING: URSPRUNGLIG EXP</w:t>
            </w:r>
            <w:r>
              <w:rPr>
                <w:rFonts w:ascii="Times New Roman" w:hAnsi="Times New Roman"/>
                <w:b/>
                <w:sz w:val="24"/>
                <w:u w:val="single"/>
              </w:rPr>
              <w:t>O</w:t>
            </w:r>
            <w:r>
              <w:rPr>
                <w:rFonts w:ascii="Times New Roman" w:hAnsi="Times New Roman"/>
                <w:b/>
                <w:sz w:val="24"/>
                <w:u w:val="single"/>
              </w:rPr>
              <w:t>NERING FÖRE KONVERTERINGSFAKTORER</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som innehas av det rapporterande institutet, b</w:t>
            </w:r>
            <w:r>
              <w:rPr>
                <w:rFonts w:ascii="Times New Roman" w:hAnsi="Times New Roman"/>
                <w:sz w:val="24"/>
              </w:rPr>
              <w:t>e</w:t>
            </w:r>
            <w:r>
              <w:rPr>
                <w:rFonts w:ascii="Times New Roman" w:hAnsi="Times New Roman"/>
                <w:sz w:val="24"/>
              </w:rPr>
              <w:t>räknade enligt artikel 246.1 och 246.2 i CRR utan tillämpning av kreditkonve</w:t>
            </w:r>
            <w:r>
              <w:rPr>
                <w:rFonts w:ascii="Times New Roman" w:hAnsi="Times New Roman"/>
                <w:sz w:val="24"/>
              </w:rPr>
              <w:t>r</w:t>
            </w:r>
            <w:r>
              <w:rPr>
                <w:rFonts w:ascii="Times New Roman" w:hAnsi="Times New Roman"/>
                <w:sz w:val="24"/>
              </w:rPr>
              <w:t>teringsfaktorer och eventuella kreditriskjusteringar och avsättningar. Nettning är endast relevant om flera derivatkontrakt tillhandahålls till samma specialf</w:t>
            </w:r>
            <w:r>
              <w:rPr>
                <w:rFonts w:ascii="Times New Roman" w:hAnsi="Times New Roman"/>
                <w:sz w:val="24"/>
              </w:rPr>
              <w:t>ö</w:t>
            </w:r>
            <w:r>
              <w:rPr>
                <w:rFonts w:ascii="Times New Roman" w:hAnsi="Times New Roman"/>
                <w:sz w:val="24"/>
              </w:rPr>
              <w:t>retag för värdepapperisering och omfattas av ett godtagbart nettningsavtal.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värdejusteringar och avsättningar som rapporteras i denna kolumn ska en</w:t>
            </w:r>
            <w:r>
              <w:rPr>
                <w:rFonts w:ascii="Times New Roman" w:hAnsi="Times New Roman"/>
                <w:sz w:val="24"/>
              </w:rPr>
              <w:t>d</w:t>
            </w:r>
            <w:r>
              <w:rPr>
                <w:rFonts w:ascii="Times New Roman" w:hAnsi="Times New Roman"/>
                <w:sz w:val="24"/>
              </w:rPr>
              <w:t>ast avse värdepapperiseringspositioner. Värdejusteringar av värdepapperis</w:t>
            </w:r>
            <w:r>
              <w:rPr>
                <w:rFonts w:ascii="Times New Roman" w:hAnsi="Times New Roman"/>
                <w:sz w:val="24"/>
              </w:rPr>
              <w:t>e</w:t>
            </w:r>
            <w:r>
              <w:rPr>
                <w:rFonts w:ascii="Times New Roman" w:hAnsi="Times New Roman"/>
                <w:sz w:val="24"/>
              </w:rPr>
              <w:t>rade positioner ska inte beaktas.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Om det finns avtalsklausuler om förtida amortering, ska instituten ange belo</w:t>
            </w:r>
            <w:r>
              <w:rPr>
                <w:rFonts w:ascii="Times New Roman" w:hAnsi="Times New Roman"/>
                <w:sz w:val="24"/>
              </w:rPr>
              <w:t>p</w:t>
            </w:r>
            <w:r>
              <w:rPr>
                <w:rFonts w:ascii="Times New Roman" w:hAnsi="Times New Roman"/>
                <w:sz w:val="24"/>
              </w:rPr>
              <w:t xml:space="preserve">pet för ”originatorns andel” i enlighet med artikel 256.2 i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syntetiska värdepapperiseringar ska de positioner som innehas av originatorn i form av poster i balansräkningen och/eller investerarens andel (förtida amo</w:t>
            </w:r>
            <w:r>
              <w:rPr>
                <w:rFonts w:ascii="Times New Roman" w:hAnsi="Times New Roman"/>
                <w:sz w:val="24"/>
              </w:rPr>
              <w:t>r</w:t>
            </w:r>
            <w:r>
              <w:rPr>
                <w:rFonts w:ascii="Times New Roman" w:hAnsi="Times New Roman"/>
                <w:sz w:val="24"/>
              </w:rPr>
              <w:t>tering) vara summan av kolumnerna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VÄRDEJUSTERINGAR OCH AVSÄTTNINGAR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Värdejusteringar och avsättningar (artikel 159 i CRR) för kreditförluster fö</w:t>
            </w:r>
            <w:r>
              <w:rPr>
                <w:rFonts w:ascii="Times New Roman" w:hAnsi="Times New Roman"/>
                <w:sz w:val="24"/>
              </w:rPr>
              <w:t>r</w:t>
            </w:r>
            <w:r>
              <w:rPr>
                <w:rFonts w:ascii="Times New Roman" w:hAnsi="Times New Roman"/>
                <w:sz w:val="24"/>
              </w:rPr>
              <w:t>knippade med den redovisningsram som tillämpas för den rapporterande e</w:t>
            </w:r>
            <w:r>
              <w:rPr>
                <w:rFonts w:ascii="Times New Roman" w:hAnsi="Times New Roman"/>
                <w:sz w:val="24"/>
              </w:rPr>
              <w:t>n</w:t>
            </w:r>
            <w:r>
              <w:rPr>
                <w:rFonts w:ascii="Times New Roman" w:hAnsi="Times New Roman"/>
                <w:sz w:val="24"/>
              </w:rPr>
              <w:t>heten. I värdejusteringar ingår alla belopp som inverkar på resultatet för kredi</w:t>
            </w:r>
            <w:r>
              <w:rPr>
                <w:rFonts w:ascii="Times New Roman" w:hAnsi="Times New Roman"/>
                <w:sz w:val="24"/>
              </w:rPr>
              <w:t>t</w:t>
            </w:r>
            <w:r>
              <w:rPr>
                <w:rFonts w:ascii="Times New Roman" w:hAnsi="Times New Roman"/>
                <w:sz w:val="24"/>
              </w:rPr>
              <w:t>förluster inom finansiella tillgångar sedan de först togs upp i balansräkningen (inbegripet förluster på grund av kreditrisk för finansiella tillgångar till verkligt värde som inte ska dras av från exponeringsvärdet) plus de underkursbelopp på exponeringar som förvärvats i samband med obestånd i enlighet med artikel 166.1 i CRR. I avsättningar ingår ackumulerade kreditförluster i poster utanför balansräkningen.</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ÅTAGANDE NETTO EFTER VÄRDEJUSTERINGAR OCH AVSÄT</w:t>
            </w:r>
            <w:r>
              <w:rPr>
                <w:rFonts w:ascii="Times New Roman" w:hAnsi="Times New Roman"/>
                <w:b/>
                <w:sz w:val="24"/>
                <w:u w:val="single"/>
              </w:rPr>
              <w:t>T</w:t>
            </w:r>
            <w:r>
              <w:rPr>
                <w:rFonts w:ascii="Times New Roman" w:hAnsi="Times New Roman"/>
                <w:b/>
                <w:sz w:val="24"/>
                <w:u w:val="single"/>
              </w:rPr>
              <w:t>NINGAR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i enlighet med artikel 246.1 och 246.2 i CRR utan tillämpning av konverteringsfaktorer.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Denna uppgift har anknytning till kolumn 040 i den övergripande CR SA-mallen.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METODER FÖR KREDITRISKREDUCERING MED SUBSTITU</w:t>
            </w:r>
            <w:r>
              <w:rPr>
                <w:rFonts w:ascii="Times New Roman" w:hAnsi="Times New Roman"/>
                <w:b/>
                <w:sz w:val="24"/>
                <w:u w:val="single"/>
              </w:rPr>
              <w:t>T</w:t>
            </w:r>
            <w:r>
              <w:rPr>
                <w:rFonts w:ascii="Times New Roman" w:hAnsi="Times New Roman"/>
                <w:b/>
                <w:sz w:val="24"/>
                <w:u w:val="single"/>
              </w:rPr>
              <w:t>IONSEFFEKTER PÅ ÅTAGANDET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Artikel 4.1.57 och del tre avdelning II kapitel 4 i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kolumngrupp rapporteras uppgifter om metoder för kreditriskreduc</w:t>
            </w:r>
            <w:r>
              <w:rPr>
                <w:rFonts w:ascii="Times New Roman" w:hAnsi="Times New Roman"/>
                <w:sz w:val="24"/>
              </w:rPr>
              <w:t>e</w:t>
            </w:r>
            <w:r>
              <w:rPr>
                <w:rFonts w:ascii="Times New Roman" w:hAnsi="Times New Roman"/>
                <w:sz w:val="24"/>
              </w:rPr>
              <w:t>ring som minskar kreditrisken för en eller flera exponeringar genom substitu</w:t>
            </w:r>
            <w:r>
              <w:rPr>
                <w:rFonts w:ascii="Times New Roman" w:hAnsi="Times New Roman"/>
                <w:sz w:val="24"/>
              </w:rPr>
              <w:t>t</w:t>
            </w:r>
            <w:r>
              <w:rPr>
                <w:rFonts w:ascii="Times New Roman" w:hAnsi="Times New Roman"/>
                <w:sz w:val="24"/>
              </w:rPr>
              <w:t>ion av exponeringarna (som beskrivs nedan för inflöden och utflöden).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7" w:name="_Toc262228334"/>
            <w:r>
              <w:rPr>
                <w:rFonts w:ascii="Times New Roman" w:hAnsi="Times New Roman"/>
                <w:sz w:val="24"/>
              </w:rPr>
              <w:t>Se instruktionerna till CR SA-mallen (Rapportering av metoder för kreditris</w:t>
            </w:r>
            <w:r>
              <w:rPr>
                <w:rFonts w:ascii="Times New Roman" w:hAnsi="Times New Roman"/>
                <w:sz w:val="24"/>
              </w:rPr>
              <w:t>k</w:t>
            </w:r>
            <w:r>
              <w:rPr>
                <w:rFonts w:ascii="Times New Roman" w:hAnsi="Times New Roman"/>
                <w:sz w:val="24"/>
              </w:rPr>
              <w:t>reducering (CRM) med substitutionseffekt</w:t>
            </w:r>
            <w:bookmarkEnd w:id="457"/>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OBETALT KREDITRISKSKYDD JUSTERADE VÄRDEN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Obetalt kreditriskskydd definieras i artikel 4.1.59 och regleras i artikel 235 i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instruktionerna till CR SA-mallen (Rapportering av metoder för kreditris</w:t>
            </w:r>
            <w:r>
              <w:rPr>
                <w:rFonts w:ascii="Times New Roman" w:hAnsi="Times New Roman"/>
                <w:sz w:val="24"/>
              </w:rPr>
              <w:t>k</w:t>
            </w:r>
            <w:r>
              <w:rPr>
                <w:rFonts w:ascii="Times New Roman" w:hAnsi="Times New Roman"/>
                <w:sz w:val="24"/>
              </w:rPr>
              <w:t>reducering (CRM) med substitutionseffekt).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FÖRBETALT KREDITRISKSKYDD</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Förbetalt kreditriskskydd definieras i artikel 4.1.58 och regleras i artiklarna 195, 197 och 200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Kreditlänkade obligationer och nettning inom balansräkningen i enlighet med artiklarna 218–236 i CRR behandlas som kontant säkerhet.</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 instruktionerna till CR SA-mallen (Rapportering av metoder för kreditris</w:t>
            </w:r>
            <w:r>
              <w:rPr>
                <w:rFonts w:ascii="Times New Roman" w:hAnsi="Times New Roman"/>
                <w:sz w:val="24"/>
              </w:rPr>
              <w:t>k</w:t>
            </w:r>
            <w:r>
              <w:rPr>
                <w:rFonts w:ascii="Times New Roman" w:hAnsi="Times New Roman"/>
                <w:sz w:val="24"/>
              </w:rPr>
              <w:t>reducering (CRM) med substitutionseffekt).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SUBSTITUTION AV EXPONERINGEN TILL FÖLJD AV KRED</w:t>
            </w:r>
            <w:r>
              <w:rPr>
                <w:rFonts w:ascii="Times New Roman" w:hAnsi="Times New Roman"/>
                <w:b/>
                <w:sz w:val="24"/>
                <w:u w:val="single"/>
              </w:rPr>
              <w:t>I</w:t>
            </w:r>
            <w:r>
              <w:rPr>
                <w:rFonts w:ascii="Times New Roman" w:hAnsi="Times New Roman"/>
                <w:b/>
                <w:sz w:val="24"/>
                <w:u w:val="single"/>
              </w:rPr>
              <w:t xml:space="preserve">TRISKREDUCERING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Inflöden och utflöden inom samma exponeringsklass, och i förekommande fall riskvikt eller motpartsriskklass, ska också rapporteras.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SUMMA UTFLÖDEN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Artiklarna 222.3, 235.1 och 235.2.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Utflöden som motsvarar den täckta delen av ”exponeringen före tillämpning av värdejusteringar och avsättningar”, vilken dras av från gäldenärens expon</w:t>
            </w:r>
            <w:r>
              <w:rPr>
                <w:rFonts w:ascii="Times New Roman" w:hAnsi="Times New Roman"/>
                <w:sz w:val="24"/>
              </w:rPr>
              <w:t>e</w:t>
            </w:r>
            <w:r>
              <w:rPr>
                <w:rFonts w:ascii="Times New Roman" w:hAnsi="Times New Roman"/>
                <w:sz w:val="24"/>
              </w:rPr>
              <w:t xml:space="preserve">ringsklass, och i tillämpliga fall från riskvikten eller motpartsriskklassen, och sedan hänförs till exponeringsklassen för utfärdaren av kreditriskskydd, och i tillämpliga fall till riskvikten eller motpartsriskklassen.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Detta belopp räknas som ett inflöde till exponeringsklassen för utfärdaren av kreditriskskydd, och i tillämpliga fall till riskvikten eller motpartsriskklassen.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har anknytning till kolumn 090 [(-) Totala utflöden] i den öve</w:t>
            </w:r>
            <w:r>
              <w:rPr>
                <w:rFonts w:ascii="Times New Roman" w:hAnsi="Times New Roman"/>
                <w:sz w:val="24"/>
              </w:rPr>
              <w:t>r</w:t>
            </w:r>
            <w:r>
              <w:rPr>
                <w:rFonts w:ascii="Times New Roman" w:hAnsi="Times New Roman"/>
                <w:sz w:val="24"/>
              </w:rPr>
              <w:t>gripande CR SA-mallen.</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 INFLÖDEN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Värdepapperiseringspositioner som är räntebärande värdepapper och utgör en godtagbar finansiell säkerhet i enlighet med artikel 197.1 i CRR och för vilka man tillämpar den förenklade metoden för finansiella säkerheter ska rapport</w:t>
            </w:r>
            <w:r>
              <w:rPr>
                <w:rFonts w:ascii="Times New Roman" w:hAnsi="Times New Roman"/>
                <w:sz w:val="24"/>
              </w:rPr>
              <w:t>e</w:t>
            </w:r>
            <w:r>
              <w:rPr>
                <w:rFonts w:ascii="Times New Roman" w:hAnsi="Times New Roman"/>
                <w:sz w:val="24"/>
              </w:rPr>
              <w:t>ras som inflöden i denna kolumn.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har anknytning till kolumn 100 [Totala inflöden] i den övergr</w:t>
            </w:r>
            <w:r>
              <w:rPr>
                <w:rFonts w:ascii="Times New Roman" w:hAnsi="Times New Roman"/>
                <w:sz w:val="24"/>
              </w:rPr>
              <w:t>i</w:t>
            </w:r>
            <w:r>
              <w:rPr>
                <w:rFonts w:ascii="Times New Roman" w:hAnsi="Times New Roman"/>
                <w:sz w:val="24"/>
              </w:rPr>
              <w:t xml:space="preserve">pande CR SA-mallen.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ÅTAGANDE NETTO EFTER KREDITRISKREDUCERING MED SUBSTITUTIONSEFFEKTER FÖRE KONVERTERINGSFAKTORER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Den exponering som åsatts respektive riskvikt och exponeringsklass efter b</w:t>
            </w:r>
            <w:r>
              <w:rPr>
                <w:rFonts w:ascii="Times New Roman" w:hAnsi="Times New Roman"/>
                <w:sz w:val="24"/>
              </w:rPr>
              <w:t>e</w:t>
            </w:r>
            <w:r>
              <w:rPr>
                <w:rFonts w:ascii="Times New Roman" w:hAnsi="Times New Roman"/>
                <w:sz w:val="24"/>
              </w:rPr>
              <w:t>aktande av utflöden och inflöden på grund av ”metoder för kreditriskreduc</w:t>
            </w:r>
            <w:r>
              <w:rPr>
                <w:rFonts w:ascii="Times New Roman" w:hAnsi="Times New Roman"/>
                <w:sz w:val="24"/>
              </w:rPr>
              <w:t>e</w:t>
            </w:r>
            <w:r>
              <w:rPr>
                <w:rFonts w:ascii="Times New Roman" w:hAnsi="Times New Roman"/>
                <w:sz w:val="24"/>
              </w:rPr>
              <w:t>ring med substitutionseffekter på exponeringen”.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har anknytning till kolumn 110 i den övergripande CR SA-mallen.</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METODER FÖR KREDITRISKREDUCERING SOM PÅVERKAR EXPONERINGSBELOPPET: FÖRBETALT KREDITRISKSKYDD, FULLSTÄNDIG METOD FÖR FINANSIELLA SÄKERHETER J</w:t>
            </w:r>
            <w:r>
              <w:rPr>
                <w:rFonts w:ascii="Times New Roman" w:hAnsi="Times New Roman"/>
                <w:b/>
                <w:sz w:val="24"/>
                <w:u w:val="single"/>
              </w:rPr>
              <w:t>U</w:t>
            </w:r>
            <w:r>
              <w:rPr>
                <w:rFonts w:ascii="Times New Roman" w:hAnsi="Times New Roman"/>
                <w:b/>
                <w:sz w:val="24"/>
                <w:u w:val="single"/>
              </w:rPr>
              <w:t>STERAT VÄRDE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post omfattar även kreditlänkade obligationer (artikel 218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Denna uppgift har anknytning till kolumnerna 120 och 130 i den övergripande CR SA-mallen.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FULLSTÄNDIGT JUSTERAT EXPONERINGSVÄRDE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i enlighet med artikel 246 i CRR, således utan tillämpning av de konverteringsfaktorer som fastställs i artikel 246.1 c i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Denna uppgift har anknytning till kolumn 150 i den övergripande CR SA-mallen.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UPPDELNING AV DET FULLSTÄNDIGT JUSTERADE VÄRDET (E*) FÖR POSTER UTANFÖR BALANSRÄKNINGEN PER KONVERT</w:t>
            </w:r>
            <w:r>
              <w:rPr>
                <w:rFonts w:ascii="Times New Roman" w:hAnsi="Times New Roman"/>
                <w:b/>
                <w:sz w:val="24"/>
                <w:u w:val="single"/>
              </w:rPr>
              <w:t>E</w:t>
            </w:r>
            <w:r>
              <w:rPr>
                <w:rFonts w:ascii="Times New Roman" w:hAnsi="Times New Roman"/>
                <w:b/>
                <w:sz w:val="24"/>
                <w:u w:val="single"/>
              </w:rPr>
              <w:t>RINGSFAKTOR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artikel 246.1 c i CRR föreskrivs att exponeringsvärdet för en värdepapperis</w:t>
            </w:r>
            <w:r>
              <w:rPr>
                <w:rFonts w:ascii="Times New Roman" w:hAnsi="Times New Roman"/>
                <w:sz w:val="24"/>
              </w:rPr>
              <w:t>e</w:t>
            </w:r>
            <w:r>
              <w:rPr>
                <w:rFonts w:ascii="Times New Roman" w:hAnsi="Times New Roman"/>
                <w:sz w:val="24"/>
              </w:rPr>
              <w:t>ringsposition utanför balansräkningen ska vara dess nominella värde multipl</w:t>
            </w:r>
            <w:r>
              <w:rPr>
                <w:rFonts w:ascii="Times New Roman" w:hAnsi="Times New Roman"/>
                <w:sz w:val="24"/>
              </w:rPr>
              <w:t>i</w:t>
            </w:r>
            <w:r>
              <w:rPr>
                <w:rFonts w:ascii="Times New Roman" w:hAnsi="Times New Roman"/>
                <w:sz w:val="24"/>
              </w:rPr>
              <w:t>cerat med en konverteringsfaktor. Konverteringsfaktorn ska vara 100 %, såvida inget annat anges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kolumnerna 160–190 i den övergripande CR SA-mallen.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fullständigt justerade exponeringsvärdena (E*) ska rapporteras enligt fö</w:t>
            </w:r>
            <w:r>
              <w:rPr>
                <w:rFonts w:ascii="Times New Roman" w:hAnsi="Times New Roman"/>
                <w:sz w:val="24"/>
              </w:rPr>
              <w:t>l</w:t>
            </w:r>
            <w:r>
              <w:rPr>
                <w:rFonts w:ascii="Times New Roman" w:hAnsi="Times New Roman"/>
                <w:sz w:val="24"/>
              </w:rPr>
              <w:t>jande fyra intervall av konverteringsfaktorer utan överlappning: 0%, [0%, 20%], [20%, 50%] och [50%, 100%].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EXPONERINGSVÄRDE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i enlighet med artikel 246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Denna uppgift har anknytning till kolumn 200 i den övergripande CR SA-mallen.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AVDRAGET FRÅN KAPITALBASEN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enlighet med artikel 258 får institut, när det gäller en värdepapperiseringsp</w:t>
            </w:r>
            <w:r>
              <w:rPr>
                <w:rFonts w:ascii="Times New Roman" w:hAnsi="Times New Roman"/>
                <w:sz w:val="24"/>
              </w:rPr>
              <w:t>o</w:t>
            </w:r>
            <w:r>
              <w:rPr>
                <w:rFonts w:ascii="Times New Roman" w:hAnsi="Times New Roman"/>
                <w:sz w:val="24"/>
              </w:rPr>
              <w:t>sition med riskvikten 1250 %, dra av positionens exponeringsvärde från kap</w:t>
            </w:r>
            <w:r>
              <w:rPr>
                <w:rFonts w:ascii="Times New Roman" w:hAnsi="Times New Roman"/>
                <w:sz w:val="24"/>
              </w:rPr>
              <w:t>i</w:t>
            </w:r>
            <w:r>
              <w:rPr>
                <w:rFonts w:ascii="Times New Roman" w:hAnsi="Times New Roman"/>
                <w:sz w:val="24"/>
              </w:rPr>
              <w:t>talbasen i stället för att ta med positionen i sin beräkning av riskvägda expon</w:t>
            </w:r>
            <w:r>
              <w:rPr>
                <w:rFonts w:ascii="Times New Roman" w:hAnsi="Times New Roman"/>
                <w:sz w:val="24"/>
              </w:rPr>
              <w:t>e</w:t>
            </w:r>
            <w:r>
              <w:rPr>
                <w:rFonts w:ascii="Times New Roman" w:hAnsi="Times New Roman"/>
                <w:sz w:val="24"/>
              </w:rPr>
              <w:t>ringsbelopp.</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OMFATTAS AV RISKVIKTER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Exponeringsvärdet minus det exponeringsvärde som dras av från kapitalbasen.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UPPDELNING AV EXPONERINGSVÄRDE SOM OMFATTAS AV RISKVIKTER PER RISKVIKT</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KREDITVÄRDERADE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Positioner med kreditvärdering definieras i artikel 242.8 i CRR.</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Exponeringsvärden som omfattas av riskvikter delas upp enligt de kreditkval</w:t>
            </w:r>
            <w:r>
              <w:rPr>
                <w:rFonts w:ascii="Times New Roman" w:hAnsi="Times New Roman"/>
                <w:sz w:val="24"/>
              </w:rPr>
              <w:t>i</w:t>
            </w:r>
            <w:r>
              <w:rPr>
                <w:rFonts w:ascii="Times New Roman" w:hAnsi="Times New Roman"/>
                <w:sz w:val="24"/>
              </w:rPr>
              <w:t>tetssteg (CQS) som föreskrivs för schablonmetoden i artikel 251 tabell 1 i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(ICKE KREDITVÄRDERADE)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Positioner utan kreditvärdering definieras i artikel 242.7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GENOMLYSNING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Artiklarna 253, 254 och 256.5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Genomlysningskolumnerna omfattar samtliga exponeringar utan kreditvärd</w:t>
            </w:r>
            <w:r>
              <w:rPr>
                <w:rFonts w:ascii="Times New Roman" w:hAnsi="Times New Roman"/>
                <w:sz w:val="24"/>
              </w:rPr>
              <w:t>e</w:t>
            </w:r>
            <w:r>
              <w:rPr>
                <w:rFonts w:ascii="Times New Roman" w:hAnsi="Times New Roman"/>
                <w:sz w:val="24"/>
              </w:rPr>
              <w:t>ring för vilka riskvikten baseras på den underliggande portföljen med expon</w:t>
            </w:r>
            <w:r>
              <w:rPr>
                <w:rFonts w:ascii="Times New Roman" w:hAnsi="Times New Roman"/>
                <w:sz w:val="24"/>
              </w:rPr>
              <w:t>e</w:t>
            </w:r>
            <w:r>
              <w:rPr>
                <w:rFonts w:ascii="Times New Roman" w:hAnsi="Times New Roman"/>
                <w:sz w:val="24"/>
              </w:rPr>
              <w:t>ringar (genomsnittlig riskvikt för gruppen, högsta riskvikt i gruppen eller ti</w:t>
            </w:r>
            <w:r>
              <w:rPr>
                <w:rFonts w:ascii="Times New Roman" w:hAnsi="Times New Roman"/>
                <w:sz w:val="24"/>
              </w:rPr>
              <w:t>l</w:t>
            </w:r>
            <w:r>
              <w:rPr>
                <w:rFonts w:ascii="Times New Roman" w:hAnsi="Times New Roman"/>
                <w:sz w:val="24"/>
              </w:rPr>
              <w:t>lämpning av en koncentrationsfaktor).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GENOMLYSNING – VARAV: ANDRA FÖRLUST I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 exponeringsvärde som är föremål för behandling av värdepapperisering</w:t>
            </w:r>
            <w:r>
              <w:rPr>
                <w:rFonts w:ascii="Times New Roman" w:hAnsi="Times New Roman"/>
                <w:sz w:val="24"/>
              </w:rPr>
              <w:t>s</w:t>
            </w:r>
            <w:r>
              <w:rPr>
                <w:rFonts w:ascii="Times New Roman" w:hAnsi="Times New Roman"/>
                <w:sz w:val="24"/>
              </w:rPr>
              <w:t>positioner i trancher i andra-förlustläge eller bättre i ett program för tillgång</w:t>
            </w:r>
            <w:r>
              <w:rPr>
                <w:rFonts w:ascii="Times New Roman" w:hAnsi="Times New Roman"/>
                <w:sz w:val="24"/>
              </w:rPr>
              <w:t>s</w:t>
            </w:r>
            <w:r>
              <w:rPr>
                <w:rFonts w:ascii="Times New Roman" w:hAnsi="Times New Roman"/>
                <w:sz w:val="24"/>
              </w:rPr>
              <w:t>baserade certifikat (ABCP) regleras i artikel 254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Program för tillgångsbaserade certifikat (ACBP) definieras i artikel 242.9 i CRR.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GENOMLYSNING – VARAV: GENOMSNITTLIG RISKVIKT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Exponeringsvägd genomsnittlig riskvikt ska rapporteras.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INTERNMETODEN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Artiklarna 109.1 och 259.3 i CRR. </w:t>
            </w:r>
            <w:r>
              <w:rPr>
                <w:rFonts w:ascii="Times New Roman" w:hAnsi="Times New Roman"/>
                <w:sz w:val="24"/>
                <w:u w:val="single"/>
              </w:rPr>
              <w:t>Exponeringsvärdet</w:t>
            </w:r>
            <w:r>
              <w:rPr>
                <w:rFonts w:ascii="Times New Roman" w:hAnsi="Times New Roman"/>
                <w:sz w:val="24"/>
              </w:rPr>
              <w:t xml:space="preserve"> för </w:t>
            </w:r>
            <w:r>
              <w:rPr>
                <w:rFonts w:ascii="Times New Roman" w:hAnsi="Times New Roman"/>
                <w:sz w:val="24"/>
                <w:u w:val="single"/>
              </w:rPr>
              <w:t>värdepapperis</w:t>
            </w:r>
            <w:r>
              <w:rPr>
                <w:rFonts w:ascii="Times New Roman" w:hAnsi="Times New Roman"/>
                <w:sz w:val="24"/>
                <w:u w:val="single"/>
              </w:rPr>
              <w:t>e</w:t>
            </w:r>
            <w:r>
              <w:rPr>
                <w:rFonts w:ascii="Times New Roman" w:hAnsi="Times New Roman"/>
                <w:sz w:val="24"/>
                <w:u w:val="single"/>
              </w:rPr>
              <w:t>ringspositioner enligt internmetoden</w:t>
            </w:r>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GENOMSNITTLIG RISKVIKT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Exponeringsvägd genomsnittlig riskvikt ska rapporteras.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RISKVÄGT EXPONERINGSBELOPP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Det totala riskvägda exponeringsbeloppet beräknas i enlighet med del tre a</w:t>
            </w:r>
            <w:r>
              <w:rPr>
                <w:rFonts w:ascii="Times New Roman" w:hAnsi="Times New Roman"/>
                <w:sz w:val="24"/>
              </w:rPr>
              <w:t>v</w:t>
            </w:r>
            <w:r>
              <w:rPr>
                <w:rFonts w:ascii="Times New Roman" w:hAnsi="Times New Roman"/>
                <w:sz w:val="24"/>
              </w:rPr>
              <w:lastRenderedPageBreak/>
              <w:t>delning II kapitel 5 avsnitt 3 i CRR, före justeringar på grund av löptidsobalans eller överträdelser av bestämmelserna om tillbörlig aktsamhet, och utan bea</w:t>
            </w:r>
            <w:r>
              <w:rPr>
                <w:rFonts w:ascii="Times New Roman" w:hAnsi="Times New Roman"/>
                <w:sz w:val="24"/>
              </w:rPr>
              <w:t>k</w:t>
            </w:r>
            <w:r>
              <w:rPr>
                <w:rFonts w:ascii="Times New Roman" w:hAnsi="Times New Roman"/>
                <w:sz w:val="24"/>
              </w:rPr>
              <w:t>tande av eventuella riskvägda exponeringsbelopp för exponeringar som via u</w:t>
            </w:r>
            <w:r>
              <w:rPr>
                <w:rFonts w:ascii="Times New Roman" w:hAnsi="Times New Roman"/>
                <w:sz w:val="24"/>
              </w:rPr>
              <w:t>t</w:t>
            </w:r>
            <w:r>
              <w:rPr>
                <w:rFonts w:ascii="Times New Roman" w:hAnsi="Times New Roman"/>
                <w:sz w:val="24"/>
              </w:rPr>
              <w:t xml:space="preserve">flöden har omplacerats till en annan mall.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VARAV: SYNTETISK VÄRDEPAPPERISERING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Eventuell löptidsobalans ska inte beaktas i det belopp som rapporteras för sy</w:t>
            </w:r>
            <w:r>
              <w:rPr>
                <w:rFonts w:ascii="Times New Roman" w:hAnsi="Times New Roman"/>
                <w:sz w:val="24"/>
              </w:rPr>
              <w:t>n</w:t>
            </w:r>
            <w:r>
              <w:rPr>
                <w:rFonts w:ascii="Times New Roman" w:hAnsi="Times New Roman"/>
                <w:sz w:val="24"/>
              </w:rPr>
              <w:t>tetiska värdepapperiseringar i denna kolumn.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ÖVERGRIPANDE EFFEKT (JUSTERING) PÅ GRUND AV ÖVE</w:t>
            </w:r>
            <w:r>
              <w:rPr>
                <w:rFonts w:ascii="Times New Roman" w:hAnsi="Times New Roman"/>
                <w:b/>
                <w:sz w:val="24"/>
                <w:u w:val="single"/>
              </w:rPr>
              <w:t>R</w:t>
            </w:r>
            <w:r>
              <w:rPr>
                <w:rFonts w:ascii="Times New Roman" w:hAnsi="Times New Roman"/>
                <w:b/>
                <w:sz w:val="24"/>
                <w:u w:val="single"/>
              </w:rPr>
              <w:t>TRÄDELSE AV BESTÄMMELSERNA OM TILLBÖRLIG AKTSA</w:t>
            </w:r>
            <w:r>
              <w:rPr>
                <w:rFonts w:ascii="Times New Roman" w:hAnsi="Times New Roman"/>
                <w:b/>
                <w:sz w:val="24"/>
                <w:u w:val="single"/>
              </w:rPr>
              <w:t>M</w:t>
            </w:r>
            <w:r>
              <w:rPr>
                <w:rFonts w:ascii="Times New Roman" w:hAnsi="Times New Roman"/>
                <w:b/>
                <w:sz w:val="24"/>
                <w:u w:val="single"/>
              </w:rPr>
              <w:t>HET</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Genom artiklarna 14.2, 406.2 och 407 i CRR föreskrivs att, om ett institut inte uppfyller vissa krav i artiklarna 405, 406 och 409 i CRR, ska medlemsstaterna se till att de behöriga myndigheterna fastställa en proportionell extra riskvikt på minst 250 % av den riskvikt (maximerad till 1250 %) som skulle tillämpas för de relevanta värdepapperiseringspositionerna i enlighet med del tre avde</w:t>
            </w:r>
            <w:r>
              <w:rPr>
                <w:rStyle w:val="InstructionsTabelleText"/>
                <w:rFonts w:ascii="Times New Roman" w:hAnsi="Times New Roman"/>
                <w:sz w:val="24"/>
              </w:rPr>
              <w:t>l</w:t>
            </w:r>
            <w:r>
              <w:rPr>
                <w:rStyle w:val="InstructionsTabelleText"/>
                <w:rFonts w:ascii="Times New Roman" w:hAnsi="Times New Roman"/>
                <w:sz w:val="24"/>
              </w:rPr>
              <w:t>ning II kapitel 5 avsnitt 3 i CRR. Sådana extra riskvikter får inte enbart åläggas investerande institut, utan också motparter, sponsorer och ursprungliga lång</w:t>
            </w:r>
            <w:r>
              <w:rPr>
                <w:rStyle w:val="InstructionsTabelleText"/>
                <w:rFonts w:ascii="Times New Roman" w:hAnsi="Times New Roman"/>
                <w:sz w:val="24"/>
              </w:rPr>
              <w:t>i</w:t>
            </w:r>
            <w:r>
              <w:rPr>
                <w:rStyle w:val="InstructionsTabelleText"/>
                <w:rFonts w:ascii="Times New Roman" w:hAnsi="Times New Roman"/>
                <w:sz w:val="24"/>
              </w:rPr>
              <w:t>vare.</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JUSTERING AV DET RISKVÄGDA EXPONERINGSBELOPPET PÅ GRUND AV LÖPTIDSOBALANSER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För löptidsobalanser i syntetiska värdepapperiseringar ska instituten inkludera RW*-RW(SP) i enlighet med artikel 250 i CRR, utom när det gäller trancher med riskvikten 1250 % då beloppet noll ska rapporteras. Observera att RW(SP) inte bara omfattar de riskvägda exponeringsbelopp som rapporteras enligt k</w:t>
            </w:r>
            <w:r>
              <w:rPr>
                <w:rStyle w:val="InstructionsTabelleText"/>
                <w:rFonts w:ascii="Times New Roman" w:hAnsi="Times New Roman"/>
                <w:sz w:val="24"/>
              </w:rPr>
              <w:t>o</w:t>
            </w:r>
            <w:r>
              <w:rPr>
                <w:rStyle w:val="InstructionsTabelleText"/>
                <w:rFonts w:ascii="Times New Roman" w:hAnsi="Times New Roman"/>
                <w:sz w:val="24"/>
              </w:rPr>
              <w:t>lumn 330 utan även de riskvägda exponeringsbeloppen för exponeringar som via utflöden omplacerats till andra mallar.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SUMMA RISKVÄGDA EXPONERINGSBELOPP FÖRE T</w:t>
            </w:r>
            <w:r>
              <w:rPr>
                <w:rFonts w:ascii="Times New Roman" w:hAnsi="Times New Roman"/>
                <w:b/>
                <w:sz w:val="24"/>
                <w:u w:val="single"/>
              </w:rPr>
              <w:t>A</w:t>
            </w:r>
            <w:r>
              <w:rPr>
                <w:rFonts w:ascii="Times New Roman" w:hAnsi="Times New Roman"/>
                <w:b/>
                <w:sz w:val="24"/>
                <w:u w:val="single"/>
              </w:rPr>
              <w:t>KET/EFTER TAKET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Det totala riskvägda exponeringsbeloppet beräknas i enlighet med del tre a</w:t>
            </w:r>
            <w:r>
              <w:rPr>
                <w:rFonts w:ascii="Times New Roman" w:hAnsi="Times New Roman"/>
                <w:sz w:val="24"/>
              </w:rPr>
              <w:t>v</w:t>
            </w:r>
            <w:r>
              <w:rPr>
                <w:rFonts w:ascii="Times New Roman" w:hAnsi="Times New Roman"/>
                <w:sz w:val="24"/>
              </w:rPr>
              <w:t>delning II kapitel 5 avsnitt 3 i CRR, före (kolumn 370)/efter (kolumn 380) ti</w:t>
            </w:r>
            <w:r>
              <w:rPr>
                <w:rFonts w:ascii="Times New Roman" w:hAnsi="Times New Roman"/>
                <w:sz w:val="24"/>
              </w:rPr>
              <w:t>l</w:t>
            </w:r>
            <w:r>
              <w:rPr>
                <w:rFonts w:ascii="Times New Roman" w:hAnsi="Times New Roman"/>
                <w:sz w:val="24"/>
              </w:rPr>
              <w:t>lämpning av de gränser som anges i artikel 252 – värdepapperisering av akt</w:t>
            </w:r>
            <w:r>
              <w:rPr>
                <w:rFonts w:ascii="Times New Roman" w:hAnsi="Times New Roman"/>
                <w:sz w:val="24"/>
              </w:rPr>
              <w:t>u</w:t>
            </w:r>
            <w:r>
              <w:rPr>
                <w:rFonts w:ascii="Times New Roman" w:hAnsi="Times New Roman"/>
                <w:sz w:val="24"/>
              </w:rPr>
              <w:t>ella fallerande poster eller poster som är förenade med särskilt hög risk – eller 256.4 – ytterligare kapitalbaskrav för värdepapperiseringar av rullande expon</w:t>
            </w:r>
            <w:r>
              <w:rPr>
                <w:rFonts w:ascii="Times New Roman" w:hAnsi="Times New Roman"/>
                <w:sz w:val="24"/>
              </w:rPr>
              <w:t>e</w:t>
            </w:r>
            <w:r>
              <w:rPr>
                <w:rFonts w:ascii="Times New Roman" w:hAnsi="Times New Roman"/>
                <w:sz w:val="24"/>
              </w:rPr>
              <w:t>ringar med bestämmelser om förtida amortering – i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MEMORANDUMPOST: RISKVÄGT EXPONERINGSBELOPP SOM MOTSVARAR UTFLÖDENA FRÅN VÄRDEPAPPERISERING (SCHABLONMETOD) TILL ÖVRIGA EXPONERINGSKLASSER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Riskvägt exponeringsbelopp som härrör från exponeringar som omplacerats till utfärdaren av riskreducering och som därför beräknas i motsvarande mall och beaktas vid beräkningen av taket för värdepapperiseringspositioner.</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 xml:space="preserve">CR SEC SA-mallens rader är indelade i tre huvudgrupper, där uppgifter lämnas om de exponeringar som originatorer, investerare och medverkande institut har gett upphov till, medverkat i, behållit eller förvärvat. Informationen i varje grupp är uppdelad i poster inom balansräkningen, poster utanför balansräkningen och derivat samt i värdepapperiseringar och återvärdepapperiseringar. </w:t>
      </w:r>
    </w:p>
    <w:p w:rsidR="00612780" w:rsidRPr="00392FFD" w:rsidRDefault="00125707" w:rsidP="00C37B29">
      <w:pPr>
        <w:pStyle w:val="InstructionsText2"/>
        <w:numPr>
          <w:ilvl w:val="0"/>
          <w:numId w:val="0"/>
        </w:numPr>
        <w:ind w:left="993"/>
      </w:pPr>
      <w:r>
        <w:t>103.</w:t>
      </w:r>
      <w:r>
        <w:tab/>
        <w:t>Positioner som behandlas enligt externkreditvärderingsmetoden och positioner utan kreditvärdering (exponeringar på rapporteringsdagen) ska också delas upp e</w:t>
      </w:r>
      <w:r>
        <w:t>n</w:t>
      </w:r>
      <w:r>
        <w:t>ligt de kreditkvalitetssteg som tillämpas i inledningen (sista radgruppen). Såväl or</w:t>
      </w:r>
      <w:r>
        <w:t>i</w:t>
      </w:r>
      <w:r>
        <w:t>ginatorer och medverkande institut som investerare ska rapportera denna informa</w:t>
      </w:r>
      <w:r>
        <w:t>t</w:t>
      </w:r>
      <w:r>
        <w: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Rad</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Totala exponeringar avser det totala beloppet för utestående värdepapperis</w:t>
            </w:r>
            <w:r>
              <w:rPr>
                <w:rFonts w:ascii="Times New Roman" w:hAnsi="Times New Roman"/>
                <w:sz w:val="24"/>
              </w:rPr>
              <w:t>e</w:t>
            </w:r>
            <w:r>
              <w:rPr>
                <w:rFonts w:ascii="Times New Roman" w:hAnsi="Times New Roman"/>
                <w:sz w:val="24"/>
              </w:rPr>
              <w:t>ringar. På denna rad summeras alla uppgifter som rapporteras av originatorer, medverkande institut och investerare på de rader som följer.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VARAV: ÅTERVÄRDEPAPPERISERING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Totalbeloppet för utestående återvärdepapperiseringar i enlighet med defini</w:t>
            </w:r>
            <w:r>
              <w:rPr>
                <w:rFonts w:ascii="Times New Roman" w:hAnsi="Times New Roman"/>
                <w:sz w:val="24"/>
              </w:rPr>
              <w:t>t</w:t>
            </w:r>
            <w:r>
              <w:rPr>
                <w:rFonts w:ascii="Times New Roman" w:hAnsi="Times New Roman"/>
                <w:sz w:val="24"/>
              </w:rPr>
              <w:t>ionerna i artikel 4.1.63 och 4.1.64 i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inom och utanför balansräknin</w:t>
            </w:r>
            <w:r>
              <w:rPr>
                <w:rFonts w:ascii="Times New Roman" w:hAnsi="Times New Roman"/>
                <w:sz w:val="24"/>
              </w:rPr>
              <w:t>g</w:t>
            </w:r>
            <w:r>
              <w:rPr>
                <w:rFonts w:ascii="Times New Roman" w:hAnsi="Times New Roman"/>
                <w:sz w:val="24"/>
              </w:rPr>
              <w:t>en, derivat och förtida amortering avseende de värdepapperiseringspositioner för vilka institutet är originator enligt definitionen i artikel 4.1.13 i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Enligt artikel 246.1 a i CRR ska de institut som beräknar riskvägda expon</w:t>
            </w:r>
            <w:r>
              <w:rPr>
                <w:rFonts w:ascii="Times New Roman" w:hAnsi="Times New Roman"/>
                <w:sz w:val="24"/>
              </w:rPr>
              <w:t>e</w:t>
            </w:r>
            <w:r>
              <w:rPr>
                <w:rFonts w:ascii="Times New Roman" w:hAnsi="Times New Roman"/>
                <w:sz w:val="24"/>
              </w:rPr>
              <w:t>ringsbelopp enligt schablonmetoden ange exponeringsvärdet för en värdepa</w:t>
            </w:r>
            <w:r>
              <w:rPr>
                <w:rFonts w:ascii="Times New Roman" w:hAnsi="Times New Roman"/>
                <w:sz w:val="24"/>
              </w:rPr>
              <w:t>p</w:t>
            </w:r>
            <w:r>
              <w:rPr>
                <w:rFonts w:ascii="Times New Roman" w:hAnsi="Times New Roman"/>
                <w:sz w:val="24"/>
              </w:rPr>
              <w:t>periseringsposition i balansräkningen som dess bokförda värde efter tilläm</w:t>
            </w:r>
            <w:r>
              <w:rPr>
                <w:rFonts w:ascii="Times New Roman" w:hAnsi="Times New Roman"/>
                <w:sz w:val="24"/>
              </w:rPr>
              <w:t>p</w:t>
            </w:r>
            <w:r>
              <w:rPr>
                <w:rFonts w:ascii="Times New Roman" w:hAnsi="Times New Roman"/>
                <w:sz w:val="24"/>
              </w:rPr>
              <w:t>ning av specifika kreditriskjusteringar.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Posterna i balansräkningen är uppdelade i värdepapperiseringar (rad 050) och återvärdepapperiseringar (rad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På dessa rader lämnas uppgift om poster utanför balansräkningen, derivat och värdepapperiseringspositioner för vilka en konverteringsfaktor tillämpas i e</w:t>
            </w:r>
            <w:r>
              <w:rPr>
                <w:rFonts w:ascii="Times New Roman" w:hAnsi="Times New Roman"/>
                <w:sz w:val="24"/>
              </w:rPr>
              <w:t>n</w:t>
            </w:r>
            <w:r>
              <w:rPr>
                <w:rFonts w:ascii="Times New Roman" w:hAnsi="Times New Roman"/>
                <w:sz w:val="24"/>
              </w:rPr>
              <w:t>lighet med bestämmelserna om värdepapperisering. Exponeringsvärdet för en värdepapperiseringsposition utanför balansräkningen ska vara dess nominella värde, minus eventuella specifika kreditriskjusteringar för denna värdepapper</w:t>
            </w:r>
            <w:r>
              <w:rPr>
                <w:rFonts w:ascii="Times New Roman" w:hAnsi="Times New Roman"/>
                <w:sz w:val="24"/>
              </w:rPr>
              <w:t>i</w:t>
            </w:r>
            <w:r>
              <w:rPr>
                <w:rFonts w:ascii="Times New Roman" w:hAnsi="Times New Roman"/>
                <w:sz w:val="24"/>
              </w:rPr>
              <w:t xml:space="preserve">seringsposition, multiplicerat med konverteringsfaktorn 100 % om inget annat </w:t>
            </w:r>
            <w:r>
              <w:rPr>
                <w:rFonts w:ascii="Times New Roman" w:hAnsi="Times New Roman"/>
                <w:sz w:val="24"/>
              </w:rPr>
              <w:lastRenderedPageBreak/>
              <w:t>anges.</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Exponeringsbeloppet för motpartsrisken i samband med ett derivatinstrument som förtecknas i bilaga II till CRR ska fastställas i enlighet med del tre avde</w:t>
            </w:r>
            <w:r>
              <w:rPr>
                <w:rFonts w:ascii="Times New Roman" w:hAnsi="Times New Roman"/>
                <w:sz w:val="24"/>
              </w:rPr>
              <w:t>l</w:t>
            </w:r>
            <w:r>
              <w:rPr>
                <w:rFonts w:ascii="Times New Roman" w:hAnsi="Times New Roman"/>
                <w:sz w:val="24"/>
              </w:rPr>
              <w:t xml:space="preserve">ning II kapitel 6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 likviditetsfaciliteter, kreditfaciliteter och förskottsbetalningar från servic</w:t>
            </w:r>
            <w:r>
              <w:rPr>
                <w:rFonts w:ascii="Times New Roman" w:hAnsi="Times New Roman"/>
                <w:sz w:val="24"/>
              </w:rPr>
              <w:t>e</w:t>
            </w:r>
            <w:r>
              <w:rPr>
                <w:rFonts w:ascii="Times New Roman" w:hAnsi="Times New Roman"/>
                <w:sz w:val="24"/>
              </w:rPr>
              <w:t xml:space="preserve">företag ska instituten rapportera det outnyttjade beloppet.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 räntor och valutaswappar ska de rapportera exponeringsvärdet (i enlighet med artikel 246.1 i CRR) enligt vad som anges i den övergripande CR SA-mallen.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Poster utanför balansräkningen och derivat är uppdelade i värdepapperiseringar (rad 080) och återvärdepapperiseringar (rad 090) som i artikel 251 tabell 1 i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FÖRTIDA AMORTERING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rad gäller bara för originatorer med värdepapperiseringar av rullande exponeringar med bestämmelser om förtida amortering i enlighet med artikel 242.13 och 242.14 i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INVESTERARE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 och utanför balansräkningen och derivat av de värdepapperiseringspositioner för vilka institutet är invest</w:t>
            </w:r>
            <w:r>
              <w:rPr>
                <w:rFonts w:ascii="Times New Roman" w:hAnsi="Times New Roman"/>
                <w:sz w:val="24"/>
              </w:rPr>
              <w:t>e</w:t>
            </w:r>
            <w:r>
              <w:rPr>
                <w:rFonts w:ascii="Times New Roman" w:hAnsi="Times New Roman"/>
                <w:sz w:val="24"/>
              </w:rPr>
              <w:t xml:space="preserve">rare.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CRR innehåller ingen uttrycklig definition av investerare. Med investerare a</w:t>
            </w:r>
            <w:r>
              <w:rPr>
                <w:rFonts w:ascii="Times New Roman" w:hAnsi="Times New Roman"/>
                <w:sz w:val="24"/>
              </w:rPr>
              <w:t>v</w:t>
            </w:r>
            <w:r>
              <w:rPr>
                <w:rFonts w:ascii="Times New Roman" w:hAnsi="Times New Roman"/>
                <w:sz w:val="24"/>
              </w:rPr>
              <w:t>ses i detta sammanhang ett institut som innehar en värdepapperiseringsposition i en värdepapperiseringstransaktion för vilken det varken är originator eller medverkande institut.</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I BALANSRÄKNINGEN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värdepapperiseringar och återvä</w:t>
            </w:r>
            <w:r>
              <w:rPr>
                <w:rFonts w:ascii="Times New Roman" w:hAnsi="Times New Roman"/>
                <w:sz w:val="24"/>
              </w:rPr>
              <w:t>r</w:t>
            </w:r>
            <w:r>
              <w:rPr>
                <w:rFonts w:ascii="Times New Roman" w:hAnsi="Times New Roman"/>
                <w:sz w:val="24"/>
              </w:rPr>
              <w:t>depapperiseringar som för poster i balansräkningen för originatorer.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värdepapperiseringar och återvä</w:t>
            </w:r>
            <w:r>
              <w:rPr>
                <w:rFonts w:ascii="Times New Roman" w:hAnsi="Times New Roman"/>
                <w:sz w:val="24"/>
              </w:rPr>
              <w:t>r</w:t>
            </w:r>
            <w:r>
              <w:rPr>
                <w:rFonts w:ascii="Times New Roman" w:hAnsi="Times New Roman"/>
                <w:sz w:val="24"/>
              </w:rPr>
              <w:t>depapperiseringar som för poster utanför balansräkningen och derivat för orig</w:t>
            </w:r>
            <w:r>
              <w:rPr>
                <w:rFonts w:ascii="Times New Roman" w:hAnsi="Times New Roman"/>
                <w:sz w:val="24"/>
              </w:rPr>
              <w:t>i</w:t>
            </w:r>
            <w:r>
              <w:rPr>
                <w:rFonts w:ascii="Times New Roman" w:hAnsi="Times New Roman"/>
                <w:sz w:val="24"/>
              </w:rPr>
              <w:t>natorer.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MEDVERKANDE INSTITUT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På denna rad summeras uppgifterna om poster inom och utanför balansräknin</w:t>
            </w:r>
            <w:r>
              <w:rPr>
                <w:rFonts w:ascii="Times New Roman" w:hAnsi="Times New Roman"/>
                <w:sz w:val="24"/>
              </w:rPr>
              <w:t>g</w:t>
            </w:r>
            <w:r>
              <w:rPr>
                <w:rFonts w:ascii="Times New Roman" w:hAnsi="Times New Roman"/>
                <w:sz w:val="24"/>
              </w:rPr>
              <w:t>en samt derivat avseende de värdepapperiseringspositioner för vilka institutet är medverkande institut enligt definitionen i artikel 4.1.14 i CRR. Om ett medve</w:t>
            </w:r>
            <w:r>
              <w:rPr>
                <w:rFonts w:ascii="Times New Roman" w:hAnsi="Times New Roman"/>
                <w:sz w:val="24"/>
              </w:rPr>
              <w:t>r</w:t>
            </w:r>
            <w:r>
              <w:rPr>
                <w:rFonts w:ascii="Times New Roman" w:hAnsi="Times New Roman"/>
                <w:sz w:val="24"/>
              </w:rPr>
              <w:lastRenderedPageBreak/>
              <w:t>kande institut också värdepapperiserar sina egna tillgångar ska det institutet fylla i uppgifterna om de egna värdepapperiserade tillgångarna på originatorr</w:t>
            </w:r>
            <w:r>
              <w:rPr>
                <w:rFonts w:ascii="Times New Roman" w:hAnsi="Times New Roman"/>
                <w:sz w:val="24"/>
              </w:rPr>
              <w:t>a</w:t>
            </w:r>
            <w:r>
              <w:rPr>
                <w:rFonts w:ascii="Times New Roman" w:hAnsi="Times New Roman"/>
                <w:sz w:val="24"/>
              </w:rPr>
              <w:t>derna.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värdepapperiseringar och återvä</w:t>
            </w:r>
            <w:r>
              <w:rPr>
                <w:rFonts w:ascii="Times New Roman" w:hAnsi="Times New Roman"/>
                <w:sz w:val="24"/>
              </w:rPr>
              <w:t>r</w:t>
            </w:r>
            <w:r>
              <w:rPr>
                <w:rFonts w:ascii="Times New Roman" w:hAnsi="Times New Roman"/>
                <w:sz w:val="24"/>
              </w:rPr>
              <w:t>depapperiseringar som för poster i balansräkningen för originatorer.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värdepapperiseringar och återvä</w:t>
            </w:r>
            <w:r>
              <w:rPr>
                <w:rFonts w:ascii="Times New Roman" w:hAnsi="Times New Roman"/>
                <w:sz w:val="24"/>
              </w:rPr>
              <w:t>r</w:t>
            </w:r>
            <w:r>
              <w:rPr>
                <w:rFonts w:ascii="Times New Roman" w:hAnsi="Times New Roman"/>
                <w:sz w:val="24"/>
              </w:rPr>
              <w:t>depapperiseringar som för poster utanför balansräkningen och derivat för orig</w:t>
            </w:r>
            <w:r>
              <w:rPr>
                <w:rFonts w:ascii="Times New Roman" w:hAnsi="Times New Roman"/>
                <w:sz w:val="24"/>
              </w:rPr>
              <w:t>i</w:t>
            </w:r>
            <w:r>
              <w:rPr>
                <w:rFonts w:ascii="Times New Roman" w:hAnsi="Times New Roman"/>
                <w:sz w:val="24"/>
              </w:rPr>
              <w:t>natorer.</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UPPDELNING AV UTESTÅENDE POSITIONER PER CQS VID I</w:t>
            </w:r>
            <w:r>
              <w:rPr>
                <w:rFonts w:ascii="Times New Roman" w:hAnsi="Times New Roman"/>
                <w:b/>
                <w:sz w:val="24"/>
                <w:u w:val="single"/>
              </w:rPr>
              <w:t>N</w:t>
            </w:r>
            <w:r>
              <w:rPr>
                <w:rFonts w:ascii="Times New Roman" w:hAnsi="Times New Roman"/>
                <w:b/>
                <w:sz w:val="24"/>
                <w:u w:val="single"/>
              </w:rPr>
              <w:t>GÅENDE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dessa rader lämnas uppgifter om utestående positioner som behandlas enligt externkreditvärderingsmetoden och positioner utan kreditvärdering (på rappo</w:t>
            </w:r>
            <w:r>
              <w:rPr>
                <w:rFonts w:ascii="Times New Roman" w:hAnsi="Times New Roman"/>
                <w:sz w:val="24"/>
              </w:rPr>
              <w:t>r</w:t>
            </w:r>
            <w:r>
              <w:rPr>
                <w:rFonts w:ascii="Times New Roman" w:hAnsi="Times New Roman"/>
                <w:sz w:val="24"/>
              </w:rPr>
              <w:t>teringsdagen) enligt de kreditkvalitetssteg (som föreskrivs för schablonmetoden i artikel 251 (tabell 1) i CRR) som tillämpades vid ursprungstidpunkten (up</w:t>
            </w:r>
            <w:r>
              <w:rPr>
                <w:rFonts w:ascii="Times New Roman" w:hAnsi="Times New Roman"/>
                <w:sz w:val="24"/>
              </w:rPr>
              <w:t>p</w:t>
            </w:r>
            <w:r>
              <w:rPr>
                <w:rFonts w:ascii="Times New Roman" w:hAnsi="Times New Roman"/>
                <w:sz w:val="24"/>
              </w:rPr>
              <w:t>komstdatumet). Om dessa uppgifter saknas ska instituten rapportera den tidi</w:t>
            </w:r>
            <w:r>
              <w:rPr>
                <w:rFonts w:ascii="Times New Roman" w:hAnsi="Times New Roman"/>
                <w:sz w:val="24"/>
              </w:rPr>
              <w:t>g</w:t>
            </w:r>
            <w:r>
              <w:rPr>
                <w:rFonts w:ascii="Times New Roman" w:hAnsi="Times New Roman"/>
                <w:sz w:val="24"/>
              </w:rPr>
              <w:t>aste uppgift man har som är likvärdig kreditkvalitetsstegen.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Dessa rader ska endast rapporteras i kolumnerna 190, 210–270 och kolumnerna 330–340.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8" w:name="_Toc239157387"/>
      <w:bookmarkStart w:id="459" w:name="_Toc310415042"/>
      <w:bookmarkStart w:id="460" w:name="_Toc360188378"/>
      <w:bookmarkStart w:id="461" w:name="_Toc516210664"/>
      <w:bookmarkStart w:id="462" w:name="_Toc473560929"/>
      <w:bookmarkStart w:id="463" w:name="_Toc523820285"/>
      <w:r>
        <w:rPr>
          <w:rFonts w:ascii="Times New Roman" w:hAnsi="Times New Roman"/>
          <w:sz w:val="24"/>
          <w:u w:val="none"/>
        </w:rPr>
        <w:t>3.8.</w:t>
      </w:r>
      <w:r w:rsidRPr="008648B9">
        <w:rPr>
          <w:u w:val="none"/>
        </w:rPr>
        <w:tab/>
      </w:r>
      <w:r>
        <w:rPr>
          <w:rFonts w:ascii="Times New Roman" w:hAnsi="Times New Roman"/>
          <w:sz w:val="24"/>
        </w:rPr>
        <w:t xml:space="preserve">C 13.00 – Kreditrisk – värdepapperisiering: internmetod för kapitalbaskrav </w:t>
      </w:r>
      <w:bookmarkEnd w:id="458"/>
      <w:bookmarkEnd w:id="459"/>
      <w:bookmarkEnd w:id="460"/>
      <w:r>
        <w:rPr>
          <w:rFonts w:ascii="Times New Roman" w:hAnsi="Times New Roman"/>
          <w:sz w:val="24"/>
        </w:rPr>
        <w:t xml:space="preserve"> (CR SEC IRB)</w:t>
      </w:r>
      <w:bookmarkEnd w:id="461"/>
      <w:bookmarkEnd w:id="462"/>
      <w:bookmarkEnd w:id="463"/>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4" w:name="_Toc239157388"/>
      <w:bookmarkStart w:id="465" w:name="_Toc310415043"/>
      <w:bookmarkStart w:id="466" w:name="_Toc360188379"/>
      <w:bookmarkStart w:id="467" w:name="_Toc516210665"/>
      <w:bookmarkStart w:id="468" w:name="_Toc473560930"/>
      <w:bookmarkStart w:id="469" w:name="_Toc523820286"/>
      <w:r>
        <w:rPr>
          <w:rFonts w:ascii="Times New Roman" w:hAnsi="Times New Roman"/>
          <w:sz w:val="24"/>
          <w:u w:val="none"/>
        </w:rPr>
        <w:t>3.8.1.</w:t>
      </w:r>
      <w:r w:rsidRPr="008648B9">
        <w:rPr>
          <w:u w:val="none"/>
        </w:rPr>
        <w:tab/>
      </w:r>
      <w:r>
        <w:rPr>
          <w:rFonts w:ascii="Times New Roman" w:hAnsi="Times New Roman"/>
          <w:sz w:val="24"/>
        </w:rPr>
        <w:t>Allmänna kommentarer</w:t>
      </w:r>
      <w:bookmarkEnd w:id="464"/>
      <w:bookmarkEnd w:id="465"/>
      <w:bookmarkEnd w:id="466"/>
      <w:bookmarkEnd w:id="467"/>
      <w:bookmarkEnd w:id="468"/>
      <w:bookmarkEnd w:id="469"/>
    </w:p>
    <w:p w:rsidR="00612780" w:rsidRDefault="00125707" w:rsidP="00C37B29">
      <w:pPr>
        <w:pStyle w:val="InstructionsText2"/>
        <w:numPr>
          <w:ilvl w:val="0"/>
          <w:numId w:val="0"/>
        </w:numPr>
        <w:ind w:left="993"/>
      </w:pPr>
      <w:r>
        <w:t>104.</w:t>
      </w:r>
      <w:r>
        <w:tab/>
        <w:t>I denna mall ska uppgifter anges om alla värdepapperiseringar för vilka en b</w:t>
      </w:r>
      <w:r>
        <w:t>e</w:t>
      </w:r>
      <w:r>
        <w:t>tydande risköverföring konstaterats och i vilka det rapporterande institutet deltar i en värdepapperisering som behandlas med internmetoden. Vid rapporteringsref</w:t>
      </w:r>
      <w:r>
        <w:t>e</w:t>
      </w:r>
      <w:r>
        <w:t>rensdatum efter den 1 januari 2019 ska värdepapperisieringar för vilka de riskvägda exponeringsbeloppen bestäms enligt de ändrade bestämmelserna om värdepapper</w:t>
      </w:r>
      <w:r>
        <w:t>i</w:t>
      </w:r>
      <w:r>
        <w:t>sering inte rapporteras i denna mall, utan endast i mall C 02.00. Vid rapportering</w:t>
      </w:r>
      <w:r>
        <w:t>s</w:t>
      </w:r>
      <w:r>
        <w:t>referensdatum efter den 1 januari 2019 ska även värdepapperiseringspositioner som omfattas av en riskvikt på 1250 % i enlighet med de ändrade bestämmelserna om värdepapperisiering och som dras av från kärnprimärkapitalet i enlighet med artikel 36.1 k ii i CRR inte rapporteras i denna mall, utan endast i mall C 01.00.</w:t>
      </w:r>
    </w:p>
    <w:p w:rsidR="001D5403" w:rsidRDefault="00C67004" w:rsidP="00C37B29">
      <w:pPr>
        <w:pStyle w:val="InstructionsText2"/>
        <w:numPr>
          <w:ilvl w:val="0"/>
          <w:numId w:val="0"/>
        </w:numPr>
        <w:ind w:left="993"/>
      </w:pPr>
      <w:r>
        <w:t>104a. Vid användningen av denna mall ska alla hänvisningar till artiklarna i del tre avdelning II kapitel 5 i CRR läsas som hänvisningar till CRR i den version som gä</w:t>
      </w:r>
      <w:r>
        <w:t>l</w:t>
      </w:r>
      <w:r>
        <w:t>ler den 31 december 2018.</w:t>
      </w:r>
    </w:p>
    <w:p w:rsidR="00612780" w:rsidRPr="00392FFD" w:rsidRDefault="00125707" w:rsidP="00C37B29">
      <w:pPr>
        <w:pStyle w:val="InstructionsText2"/>
        <w:numPr>
          <w:ilvl w:val="0"/>
          <w:numId w:val="0"/>
        </w:numPr>
        <w:ind w:left="993"/>
      </w:pPr>
      <w:r>
        <w:lastRenderedPageBreak/>
        <w:t>105.</w:t>
      </w:r>
      <w:r>
        <w:tab/>
        <w:t>Vilka uppgifter som ska rapporteras beror på institutets roll när det gäller vä</w:t>
      </w:r>
      <w:r>
        <w:t>r</w:t>
      </w:r>
      <w:r>
        <w:t>depapperiseringen. Det innebär att specifika rapporteringsposter är tillämpliga för originatorer, medverkande institut och investerare.</w:t>
      </w:r>
    </w:p>
    <w:p w:rsidR="00612780" w:rsidRPr="00392FFD" w:rsidRDefault="00125707" w:rsidP="00C37B29">
      <w:pPr>
        <w:pStyle w:val="InstructionsText2"/>
        <w:numPr>
          <w:ilvl w:val="0"/>
          <w:numId w:val="0"/>
        </w:numPr>
        <w:ind w:left="993"/>
      </w:pPr>
      <w:r>
        <w:t>106.</w:t>
      </w:r>
      <w:r>
        <w:tab/>
        <w:t xml:space="preserve">CR SEC IRB-mallen har samma räckvidd som CR SEC SA-mallen och ska alltså innehålla uppgifter om både traditionella och syntetiska värdepapperiseringar utanför handelslagret.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0" w:name="_Toc239157389"/>
      <w:bookmarkStart w:id="471" w:name="_Toc310415044"/>
      <w:bookmarkStart w:id="472" w:name="_Toc360188380"/>
      <w:bookmarkStart w:id="473" w:name="_Toc516210666"/>
      <w:bookmarkStart w:id="474" w:name="_Toc473560931"/>
      <w:bookmarkStart w:id="475" w:name="_Toc523820287"/>
      <w:r>
        <w:rPr>
          <w:rFonts w:ascii="Times New Roman" w:hAnsi="Times New Roman"/>
          <w:sz w:val="24"/>
          <w:u w:val="none"/>
        </w:rPr>
        <w:t>3.8.2.</w:t>
      </w:r>
      <w:r w:rsidRPr="0092482C">
        <w:rPr>
          <w:u w:val="none"/>
        </w:rPr>
        <w:tab/>
      </w:r>
      <w:r>
        <w:rPr>
          <w:rFonts w:ascii="Times New Roman" w:hAnsi="Times New Roman"/>
          <w:sz w:val="24"/>
        </w:rPr>
        <w:t>Instruktioner för specifika positioner</w:t>
      </w:r>
      <w:bookmarkEnd w:id="470"/>
      <w:bookmarkEnd w:id="471"/>
      <w:bookmarkEnd w:id="472"/>
      <w:bookmarkEnd w:id="473"/>
      <w:bookmarkEnd w:id="474"/>
      <w:bookmarkEnd w:id="47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TOTALT BELOPP FÖR UPPKOMNA VÄRDEPAPPERISERADE E</w:t>
            </w:r>
            <w:r>
              <w:rPr>
                <w:rFonts w:ascii="Times New Roman" w:hAnsi="Times New Roman"/>
                <w:b/>
                <w:sz w:val="24"/>
                <w:u w:val="single"/>
              </w:rPr>
              <w:t>X</w:t>
            </w:r>
            <w:r>
              <w:rPr>
                <w:rFonts w:ascii="Times New Roman" w:hAnsi="Times New Roman"/>
                <w:b/>
                <w:sz w:val="24"/>
                <w:u w:val="single"/>
              </w:rPr>
              <w:t>PONERINGAR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raden för totala poster i balansräkningen ska det belopp som rapporteras i denna kolumn motsvara det utestående beloppet för värdepapperiserade exp</w:t>
            </w:r>
            <w:r>
              <w:rPr>
                <w:rFonts w:ascii="Times New Roman" w:hAnsi="Times New Roman"/>
                <w:sz w:val="24"/>
              </w:rPr>
              <w:t>o</w:t>
            </w:r>
            <w:r>
              <w:rPr>
                <w:rFonts w:ascii="Times New Roman" w:hAnsi="Times New Roman"/>
                <w:sz w:val="24"/>
              </w:rPr>
              <w:t>neringar på rapporteringsdagen.</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kolumn 010 i CR SEC SA-mallen.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SYNTETISK VÄRDEPAPPERISERING: KREDITRISKSKYDD FÖR VÄRDEPAPPERISERADE EXPONERINGAR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Artiklarna 249 och 250 i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Löptidsobalanser ska inte beaktas i det justerade värdet för kreditriskreduc</w:t>
            </w:r>
            <w:r>
              <w:rPr>
                <w:rFonts w:ascii="Times New Roman" w:hAnsi="Times New Roman"/>
                <w:sz w:val="24"/>
              </w:rPr>
              <w:t>e</w:t>
            </w:r>
            <w:r>
              <w:rPr>
                <w:rFonts w:ascii="Times New Roman" w:hAnsi="Times New Roman"/>
                <w:sz w:val="24"/>
              </w:rPr>
              <w:t xml:space="preserve">ringen i samband med värdepapperiseringsstrukturen.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FÖRBETALT KREDITRISKSKYDD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 detaljerade förfarandet för beräkning av säkerhetens volatilitetsjusterade värde (C</w:t>
            </w:r>
            <w:r>
              <w:rPr>
                <w:rFonts w:ascii="Times New Roman" w:hAnsi="Times New Roman"/>
                <w:sz w:val="24"/>
                <w:vertAlign w:val="subscript"/>
              </w:rPr>
              <w:t>VA</w:t>
            </w:r>
            <w:r>
              <w:rPr>
                <w:rFonts w:ascii="Times New Roman" w:hAnsi="Times New Roman"/>
                <w:sz w:val="24"/>
              </w:rPr>
              <w:t>) som ska rapporteras i denna kolumn fastställs i artikel 223.2 i CCR.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SUMMA UTFLÖDEN OBETALT KREDITRISKSKYDD, JUST</w:t>
            </w:r>
            <w:r>
              <w:rPr>
                <w:rFonts w:ascii="Times New Roman" w:hAnsi="Times New Roman"/>
                <w:b/>
                <w:sz w:val="24"/>
                <w:u w:val="single"/>
              </w:rPr>
              <w:t>E</w:t>
            </w:r>
            <w:r>
              <w:rPr>
                <w:rFonts w:ascii="Times New Roman" w:hAnsi="Times New Roman"/>
                <w:b/>
                <w:sz w:val="24"/>
                <w:u w:val="single"/>
              </w:rPr>
              <w:t xml:space="preserve">RADE VÄRDEN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Enligt den allmänna regeln för ”inflöden” och ”utflöden” ska de belopp som rapporteras i kolumn 030 i CR SEC IRB-mallen anges som ”inflöden” i mo</w:t>
            </w:r>
            <w:r>
              <w:rPr>
                <w:rFonts w:ascii="Times New Roman" w:hAnsi="Times New Roman"/>
                <w:sz w:val="24"/>
              </w:rPr>
              <w:t>t</w:t>
            </w:r>
            <w:r>
              <w:rPr>
                <w:rFonts w:ascii="Times New Roman" w:hAnsi="Times New Roman"/>
                <w:sz w:val="24"/>
              </w:rPr>
              <w:t>svarande kreditriskmall (CR SA eller CR IRB) och exponeringsklass som är r</w:t>
            </w:r>
            <w:r>
              <w:rPr>
                <w:rFonts w:ascii="Times New Roman" w:hAnsi="Times New Roman"/>
                <w:sz w:val="24"/>
              </w:rPr>
              <w:t>e</w:t>
            </w:r>
            <w:r>
              <w:rPr>
                <w:rFonts w:ascii="Times New Roman" w:hAnsi="Times New Roman"/>
                <w:sz w:val="24"/>
              </w:rPr>
              <w:t>levant för utfärdaren av kreditriskskyddet (dvs. den tredje part till vilken tra</w:t>
            </w:r>
            <w:r>
              <w:rPr>
                <w:rFonts w:ascii="Times New Roman" w:hAnsi="Times New Roman"/>
                <w:sz w:val="24"/>
              </w:rPr>
              <w:t>n</w:t>
            </w:r>
            <w:r>
              <w:rPr>
                <w:rFonts w:ascii="Times New Roman" w:hAnsi="Times New Roman"/>
                <w:sz w:val="24"/>
              </w:rPr>
              <w:t>chen överförs genom obetalt kreditriskskydd)</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Förfarandet för beräkning av kreditriskskyddets nominella värde efter justering för valutakursrisk (G*) fastställs i artikel 233.3 i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TEORETISKT BELOPP SOM BEHÅLLS ELLER ÅTERKÖPS AV KREDITRISKSKYDD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För alla trancher som har behållits eller återköpts, t.ex. innehållna förstaförlus</w:t>
            </w:r>
            <w:r>
              <w:rPr>
                <w:rFonts w:ascii="Times New Roman" w:hAnsi="Times New Roman"/>
                <w:sz w:val="24"/>
              </w:rPr>
              <w:t>t</w:t>
            </w:r>
            <w:r>
              <w:rPr>
                <w:rFonts w:ascii="Times New Roman" w:hAnsi="Times New Roman"/>
                <w:sz w:val="24"/>
              </w:rPr>
              <w:t>positioner, ska det nominella beloppet rapporteras.</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Effekten av schabloniserade nedsättningar av kreditriskskyddet ska inte beaktas vid beräkningen av det kreditriskskyddsbelopp som behålls eller återköps.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POSITIONER I VÄRDEPAPPERISERING: URSPRUNGLIG EXPON</w:t>
            </w:r>
            <w:r>
              <w:rPr>
                <w:rFonts w:ascii="Times New Roman" w:hAnsi="Times New Roman"/>
                <w:b/>
                <w:sz w:val="24"/>
                <w:u w:val="single"/>
              </w:rPr>
              <w:t>E</w:t>
            </w:r>
            <w:r>
              <w:rPr>
                <w:rFonts w:ascii="Times New Roman" w:hAnsi="Times New Roman"/>
                <w:b/>
                <w:sz w:val="24"/>
                <w:u w:val="single"/>
              </w:rPr>
              <w:t xml:space="preserve">RING FÖRE KONVERTERINGSFAKTORER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som innehas av det rapporterande institutet, b</w:t>
            </w:r>
            <w:r>
              <w:rPr>
                <w:rFonts w:ascii="Times New Roman" w:hAnsi="Times New Roman"/>
                <w:sz w:val="24"/>
              </w:rPr>
              <w:t>e</w:t>
            </w:r>
            <w:r>
              <w:rPr>
                <w:rFonts w:ascii="Times New Roman" w:hAnsi="Times New Roman"/>
                <w:sz w:val="24"/>
              </w:rPr>
              <w:t>räknade enligt artikel 246.1 och 246.2 i CRR, utan tillämpning av kreditkonve</w:t>
            </w:r>
            <w:r>
              <w:rPr>
                <w:rFonts w:ascii="Times New Roman" w:hAnsi="Times New Roman"/>
                <w:sz w:val="24"/>
              </w:rPr>
              <w:t>r</w:t>
            </w:r>
            <w:r>
              <w:rPr>
                <w:rFonts w:ascii="Times New Roman" w:hAnsi="Times New Roman"/>
                <w:sz w:val="24"/>
              </w:rPr>
              <w:t>teringsfaktorer och före kreditriskjusteringar och avsättningar. Nettning är en</w:t>
            </w:r>
            <w:r>
              <w:rPr>
                <w:rFonts w:ascii="Times New Roman" w:hAnsi="Times New Roman"/>
                <w:sz w:val="24"/>
              </w:rPr>
              <w:t>d</w:t>
            </w:r>
            <w:r>
              <w:rPr>
                <w:rFonts w:ascii="Times New Roman" w:hAnsi="Times New Roman"/>
                <w:sz w:val="24"/>
              </w:rPr>
              <w:t xml:space="preserve">ast relevant om flera derivatkontrakt tillhandahålls till samma specialföretag för värdepapperisering och omfattas av ett godtagbart nettningsavtal.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värdejusteringar och avsättningar som rapporteras i denna kolumn ska en</w:t>
            </w:r>
            <w:r>
              <w:rPr>
                <w:rFonts w:ascii="Times New Roman" w:hAnsi="Times New Roman"/>
                <w:sz w:val="24"/>
              </w:rPr>
              <w:t>d</w:t>
            </w:r>
            <w:r>
              <w:rPr>
                <w:rFonts w:ascii="Times New Roman" w:hAnsi="Times New Roman"/>
                <w:sz w:val="24"/>
              </w:rPr>
              <w:t>ast avse värdepapperiseringspositioner. Värdejusteringar av värdepapperiserade positioner ska inte beaktas.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det finns avtalsklausuler om förtida amortering, ska instituten ange belo</w:t>
            </w:r>
            <w:r>
              <w:rPr>
                <w:rFonts w:ascii="Times New Roman" w:hAnsi="Times New Roman"/>
                <w:sz w:val="24"/>
              </w:rPr>
              <w:t>p</w:t>
            </w:r>
            <w:r>
              <w:rPr>
                <w:rFonts w:ascii="Times New Roman" w:hAnsi="Times New Roman"/>
                <w:sz w:val="24"/>
              </w:rPr>
              <w:t xml:space="preserve">pet för ”originatorns andel” i enlighet med artikel 256.2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syntetiska värdepapperiseringar ska de positioner som innehas av originatorn i form av poster i balansräkningen och/eller investerarens andel (förtida amort</w:t>
            </w:r>
            <w:r>
              <w:rPr>
                <w:rFonts w:ascii="Times New Roman" w:hAnsi="Times New Roman"/>
                <w:sz w:val="24"/>
              </w:rPr>
              <w:t>e</w:t>
            </w:r>
            <w:r>
              <w:rPr>
                <w:rFonts w:ascii="Times New Roman" w:hAnsi="Times New Roman"/>
                <w:sz w:val="24"/>
              </w:rPr>
              <w:t>ring) vara summan av kolumnerna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METODER FÖR KREDITRISKREDUCERING MED SUBSTITU</w:t>
            </w:r>
            <w:r>
              <w:rPr>
                <w:rFonts w:ascii="Times New Roman" w:hAnsi="Times New Roman"/>
                <w:b/>
                <w:sz w:val="24"/>
                <w:u w:val="single"/>
              </w:rPr>
              <w:t>T</w:t>
            </w:r>
            <w:r>
              <w:rPr>
                <w:rFonts w:ascii="Times New Roman" w:hAnsi="Times New Roman"/>
                <w:b/>
                <w:sz w:val="24"/>
                <w:u w:val="single"/>
              </w:rPr>
              <w:t>IONSEFFEKTER PÅ ÅTAGANDET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 artikel 4.1.57 och del tre avdelning II kapitel 4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kolumngrupp rapporteras uppgifter om metoder för kreditriskreduc</w:t>
            </w:r>
            <w:r>
              <w:rPr>
                <w:rFonts w:ascii="Times New Roman" w:hAnsi="Times New Roman"/>
                <w:sz w:val="24"/>
              </w:rPr>
              <w:t>e</w:t>
            </w:r>
            <w:r>
              <w:rPr>
                <w:rFonts w:ascii="Times New Roman" w:hAnsi="Times New Roman"/>
                <w:sz w:val="24"/>
              </w:rPr>
              <w:t>ring som minskar kreditrisken för en eller flera exponeringar genom substitu</w:t>
            </w:r>
            <w:r>
              <w:rPr>
                <w:rFonts w:ascii="Times New Roman" w:hAnsi="Times New Roman"/>
                <w:sz w:val="24"/>
              </w:rPr>
              <w:t>t</w:t>
            </w:r>
            <w:r>
              <w:rPr>
                <w:rFonts w:ascii="Times New Roman" w:hAnsi="Times New Roman"/>
                <w:sz w:val="24"/>
              </w:rPr>
              <w:t>ion av exponeringarna (som beskrivs nedan för inflöden och utflöden).</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OBETALT KREDITRISKSKYDD JUSTERADE VÄRDEN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Obetalt kreditriskskydd definieras i artikel 4.1.59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artikel 236 i CRR beskrivs hur G</w:t>
            </w:r>
            <w:r>
              <w:rPr>
                <w:rFonts w:ascii="Times New Roman" w:hAnsi="Times New Roman"/>
                <w:sz w:val="24"/>
                <w:vertAlign w:val="subscript"/>
              </w:rPr>
              <w:t>A</w:t>
            </w:r>
            <w:r>
              <w:rPr>
                <w:rFonts w:ascii="Times New Roman" w:hAnsi="Times New Roman"/>
                <w:sz w:val="24"/>
              </w:rPr>
              <w:t xml:space="preserve"> beräknas vid fullständigt skydd/partiellt skydd – samma förmånsrätt.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Denna uppgift har anknytning till kolumnerna 040 och 050 i den övergripande CR IRB-mallen.</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FÖRBETALT KREDITRISKSKYDD</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Förbetalt kreditriskskydd definieras i artikel 4.1.58 i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Eftersom den förenklade metoden för finansiella säkerheter inte tillämpas, ska </w:t>
            </w:r>
            <w:r>
              <w:rPr>
                <w:rFonts w:ascii="Times New Roman" w:hAnsi="Times New Roman"/>
                <w:sz w:val="24"/>
              </w:rPr>
              <w:lastRenderedPageBreak/>
              <w:t>instituten bara rapportera förbetalt kreditriskskydd i enlighet med artikel 200 i CRR i denna kolumn.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har anknytning till kolumn 060 i den övergripande CR IRB-mallen.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AV EXPONERINGEN TILL FÖLJD AV KRED</w:t>
            </w:r>
            <w:r>
              <w:rPr>
                <w:rFonts w:ascii="Times New Roman" w:hAnsi="Times New Roman"/>
                <w:b/>
                <w:sz w:val="24"/>
                <w:u w:val="single"/>
              </w:rPr>
              <w:t>I</w:t>
            </w:r>
            <w:r>
              <w:rPr>
                <w:rFonts w:ascii="Times New Roman" w:hAnsi="Times New Roman"/>
                <w:b/>
                <w:sz w:val="24"/>
                <w:u w:val="single"/>
              </w:rPr>
              <w:t>TRISKREDUCERING</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Inflöden och utflöden inom samma exponeringsklass, och i förekommande fall riskvikt eller motpartsriskklass, ska också rapporteras.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SUMMA UTFLÖDEN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236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Utflöden som motsvarar den täckta delen av ”exponeringen före tillämpning av värdejusteringar och avsättningar”, vilken dras av från gäldenärens expon</w:t>
            </w:r>
            <w:r>
              <w:rPr>
                <w:rFonts w:ascii="Times New Roman" w:hAnsi="Times New Roman"/>
                <w:sz w:val="24"/>
              </w:rPr>
              <w:t>e</w:t>
            </w:r>
            <w:r>
              <w:rPr>
                <w:rFonts w:ascii="Times New Roman" w:hAnsi="Times New Roman"/>
                <w:sz w:val="24"/>
              </w:rPr>
              <w:t xml:space="preserve">ringsklass, och i tillämpliga fall från riskvikten eller motpartsriskklassen, och sedan hänförs till exponeringsklassen för utfärdaren av kreditriskskydd, och i tillämpliga fall till riskvikten eller motpartsriskklassen.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Detta belopp räknas som ett inflöde till exponeringsklassen för utfärdaren av kreditriskskydd, och i tillämpliga fall till riskvikten eller motpartsriskklassen.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har anknytning till kolumn 070 i den övergripande CR IRB-mallen.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INFLÖDEN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Denna uppgift har anknytning till kolumn 080 i den övergripande CR IRB-mallen.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ÅTAGANDE EFTER KREDITRISKREDUCERING MED SUBSTITU</w:t>
            </w:r>
            <w:r>
              <w:rPr>
                <w:rStyle w:val="InstructionsTabelleberschrift"/>
                <w:rFonts w:ascii="Times New Roman" w:hAnsi="Times New Roman"/>
                <w:sz w:val="24"/>
              </w:rPr>
              <w:t>T</w:t>
            </w:r>
            <w:r>
              <w:rPr>
                <w:rStyle w:val="InstructionsTabelleberschrift"/>
                <w:rFonts w:ascii="Times New Roman" w:hAnsi="Times New Roman"/>
                <w:sz w:val="24"/>
              </w:rPr>
              <w:t>IONSEFFEKTER FÖRE KONVERTERINGSFAKTORER</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Den exponering som åsatts respektive riskvikt och exponeringsklass efter bea</w:t>
            </w:r>
            <w:r>
              <w:rPr>
                <w:rStyle w:val="FormatvorlageInstructionsTabelleText"/>
                <w:rFonts w:ascii="Times New Roman" w:hAnsi="Times New Roman"/>
                <w:sz w:val="24"/>
              </w:rPr>
              <w:t>k</w:t>
            </w:r>
            <w:r>
              <w:rPr>
                <w:rStyle w:val="FormatvorlageInstructionsTabelleText"/>
                <w:rFonts w:ascii="Times New Roman" w:hAnsi="Times New Roman"/>
                <w:sz w:val="24"/>
              </w:rPr>
              <w:t>tande av utflöden och inflöden på grund av ”metoder för kreditriskreducering med substitutionseffekter på exponeringen”.</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Denna uppgift har anknytning till kolumn 090 i den övergripande CR IRB-mallen.</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METODER FÖR KREDITRISKREDUCERING SOM PÅVERKAR EXPONERINGSBELOPPET: FÖRBETALT KREDITRISKSKYDD, FULLSTÄNDIG METOD FÖR FINANSIELLA SÄKERHETER JUST</w:t>
            </w:r>
            <w:r>
              <w:rPr>
                <w:rStyle w:val="InstructionsTabelleberschrift"/>
                <w:rFonts w:ascii="Times New Roman" w:hAnsi="Times New Roman"/>
                <w:sz w:val="24"/>
              </w:rPr>
              <w:t>E</w:t>
            </w:r>
            <w:r>
              <w:rPr>
                <w:rStyle w:val="InstructionsTabelleberschrift"/>
                <w:rFonts w:ascii="Times New Roman" w:hAnsi="Times New Roman"/>
                <w:sz w:val="24"/>
              </w:rPr>
              <w:t>RAT VÄRDE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Artiklarna 218–222 i CRR. Denna post omfattar även kreditlänkade obligatio</w:t>
            </w:r>
            <w:r>
              <w:rPr>
                <w:rStyle w:val="FormatvorlageInstructionsTabelleText"/>
                <w:rFonts w:ascii="Times New Roman" w:hAnsi="Times New Roman"/>
                <w:sz w:val="24"/>
              </w:rPr>
              <w:t>n</w:t>
            </w:r>
            <w:r>
              <w:rPr>
                <w:rStyle w:val="FormatvorlageInstructionsTabelleText"/>
                <w:rFonts w:ascii="Times New Roman" w:hAnsi="Times New Roman"/>
                <w:sz w:val="24"/>
              </w:rPr>
              <w:t>er (artikel 218 i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FULLSTÄNDIGT JUSTERAT EXPONERINGSVÄRDE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Värdepapperiseringspositioner i enlighet med artikel 246 i CRR, således utan tillämpning av de konverteringsfaktorer som fastställs i artikel 246.1 c i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UPPDELNING AV DET FULLSTÄNDIGT JUSTERADE VÄRDET (E*) FÖR POSTER UTANFÖR BALANSRÄKNINGEN PER KONVERT</w:t>
            </w:r>
            <w:r>
              <w:rPr>
                <w:rFonts w:ascii="Times New Roman" w:hAnsi="Times New Roman"/>
                <w:b/>
                <w:sz w:val="24"/>
                <w:u w:val="single"/>
              </w:rPr>
              <w:t>E</w:t>
            </w:r>
            <w:r>
              <w:rPr>
                <w:rFonts w:ascii="Times New Roman" w:hAnsi="Times New Roman"/>
                <w:b/>
                <w:sz w:val="24"/>
                <w:u w:val="single"/>
              </w:rPr>
              <w:t>RINGSFAKTOR</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artikel 246.1 c i CRR föreskrivs att exponeringsvärdet för en värdepapperis</w:t>
            </w:r>
            <w:r>
              <w:rPr>
                <w:rFonts w:ascii="Times New Roman" w:hAnsi="Times New Roman"/>
                <w:sz w:val="24"/>
              </w:rPr>
              <w:t>e</w:t>
            </w:r>
            <w:r>
              <w:rPr>
                <w:rFonts w:ascii="Times New Roman" w:hAnsi="Times New Roman"/>
                <w:sz w:val="24"/>
              </w:rPr>
              <w:t>ringsposition utanför balansräkningen ska vara dess nominella värde multipl</w:t>
            </w:r>
            <w:r>
              <w:rPr>
                <w:rFonts w:ascii="Times New Roman" w:hAnsi="Times New Roman"/>
                <w:sz w:val="24"/>
              </w:rPr>
              <w:t>i</w:t>
            </w:r>
            <w:r>
              <w:rPr>
                <w:rFonts w:ascii="Times New Roman" w:hAnsi="Times New Roman"/>
                <w:sz w:val="24"/>
              </w:rPr>
              <w:t>cerat med en konverteringsfaktor. Konverteringsfaktorn ska vara 100 %, om inte annat anges.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detta avseende definieras konverteringsfaktor i artikel 4.1.56 i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fullständigt justerade exponeringsvärdena (E*) ska rapporteras enligt fö</w:t>
            </w:r>
            <w:r>
              <w:rPr>
                <w:rFonts w:ascii="Times New Roman" w:hAnsi="Times New Roman"/>
                <w:sz w:val="24"/>
              </w:rPr>
              <w:t>l</w:t>
            </w:r>
            <w:r>
              <w:rPr>
                <w:rFonts w:ascii="Times New Roman" w:hAnsi="Times New Roman"/>
                <w:sz w:val="24"/>
              </w:rPr>
              <w:t>jande fyra intervall av konverteringsfaktorer utan överlappning: 0%, [0%, 20%], [20%, 50%] och [50%, 100%].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EXPONERINGSVÄRDE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Värdepapperiseringspositioner i enlighet med artikel 246 i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Denna uppgift har anknytning till kolumn 110 i den övergripande CR IRB-mallen.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AVDRAGET FRÅN KAPITALBASEN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enlighet med artikel 266.3 får institut, när det gäller en värdepapperisering</w:t>
            </w:r>
            <w:r>
              <w:rPr>
                <w:rFonts w:ascii="Times New Roman" w:hAnsi="Times New Roman"/>
                <w:sz w:val="24"/>
              </w:rPr>
              <w:t>s</w:t>
            </w:r>
            <w:r>
              <w:rPr>
                <w:rFonts w:ascii="Times New Roman" w:hAnsi="Times New Roman"/>
                <w:sz w:val="24"/>
              </w:rPr>
              <w:t>position med riskvikten 1250 %, dra av positionens exponeringsvärde från k</w:t>
            </w:r>
            <w:r>
              <w:rPr>
                <w:rFonts w:ascii="Times New Roman" w:hAnsi="Times New Roman"/>
                <w:sz w:val="24"/>
              </w:rPr>
              <w:t>a</w:t>
            </w:r>
            <w:r>
              <w:rPr>
                <w:rFonts w:ascii="Times New Roman" w:hAnsi="Times New Roman"/>
                <w:sz w:val="24"/>
              </w:rPr>
              <w:t>pitalbasen i stället för att ta med positionen i sin beräkning av riskvägda exp</w:t>
            </w:r>
            <w:r>
              <w:rPr>
                <w:rFonts w:ascii="Times New Roman" w:hAnsi="Times New Roman"/>
                <w:sz w:val="24"/>
              </w:rPr>
              <w:t>o</w:t>
            </w:r>
            <w:r>
              <w:rPr>
                <w:rFonts w:ascii="Times New Roman" w:hAnsi="Times New Roman"/>
                <w:sz w:val="24"/>
              </w:rPr>
              <w:t>neringsbelopp.</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OMFATTAS AV RISKVIKTER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EXTERNKREDITVÄRDERINGSMETODEN (KREDITKVALITET</w:t>
            </w:r>
            <w:r>
              <w:rPr>
                <w:rFonts w:ascii="Times New Roman" w:hAnsi="Times New Roman"/>
                <w:b/>
                <w:sz w:val="24"/>
                <w:u w:val="single"/>
              </w:rPr>
              <w:t>S</w:t>
            </w:r>
            <w:r>
              <w:rPr>
                <w:rFonts w:ascii="Times New Roman" w:hAnsi="Times New Roman"/>
                <w:b/>
                <w:sz w:val="24"/>
                <w:u w:val="single"/>
              </w:rPr>
              <w:t>STEG)</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Artikel 261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Värdepapperiseringspositioner enligt internmetoden med en härledd kreditvä</w:t>
            </w:r>
            <w:r>
              <w:rPr>
                <w:rFonts w:ascii="Times New Roman" w:hAnsi="Times New Roman"/>
                <w:sz w:val="24"/>
              </w:rPr>
              <w:t>r</w:t>
            </w:r>
            <w:r>
              <w:rPr>
                <w:rFonts w:ascii="Times New Roman" w:hAnsi="Times New Roman"/>
                <w:sz w:val="24"/>
              </w:rPr>
              <w:t>dering enligt artikel 259.2 i CRR ska rapporteras som positioner med kreditvä</w:t>
            </w:r>
            <w:r>
              <w:rPr>
                <w:rFonts w:ascii="Times New Roman" w:hAnsi="Times New Roman"/>
                <w:sz w:val="24"/>
              </w:rPr>
              <w:t>r</w:t>
            </w:r>
            <w:r>
              <w:rPr>
                <w:rFonts w:ascii="Times New Roman" w:hAnsi="Times New Roman"/>
                <w:sz w:val="24"/>
              </w:rPr>
              <w:t>dering.</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Exponeringsvärden som omfattas av riskvikter delas upp enligt de kreditkval</w:t>
            </w:r>
            <w:r>
              <w:rPr>
                <w:rFonts w:ascii="Times New Roman" w:hAnsi="Times New Roman"/>
                <w:sz w:val="24"/>
              </w:rPr>
              <w:t>i</w:t>
            </w:r>
            <w:r>
              <w:rPr>
                <w:rFonts w:ascii="Times New Roman" w:hAnsi="Times New Roman"/>
                <w:sz w:val="24"/>
              </w:rPr>
              <w:t xml:space="preserve">tetssteg (CQS) som föreskrivs för internmetoden i artikel 261.1 tabell 4 i CRR.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FORMELBASERAD METOD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Den formelbaserade metoden (SFM) beskrivs i artikel 262 i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Riskvikten för en värdepapperiseringsposition ska vara det värde som är störst </w:t>
            </w:r>
            <w:r>
              <w:rPr>
                <w:rFonts w:ascii="Times New Roman" w:hAnsi="Times New Roman"/>
                <w:sz w:val="24"/>
              </w:rPr>
              <w:lastRenderedPageBreak/>
              <w:t xml:space="preserve">av 7 % och den riskvikt som ska tillämpas i enlighet med de formler som anges.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FORMELBASERAD METOD GENOMSNITTLIG RISKVIKT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Kreditriskreducering för värdepapperiseringspositioner får erkännas i enlighet med artikel 264 i CRR. I detta fall ska institutet fastställa positionens ”effektiva riskvikt” när fullständigt kreditriskskydd har erhållits i enlighet med artikel 264.2 i CRR (den effektiva riskvikten är lika med positionens riskvägda exp</w:t>
            </w:r>
            <w:r>
              <w:rPr>
                <w:rFonts w:ascii="Times New Roman" w:hAnsi="Times New Roman"/>
                <w:sz w:val="24"/>
              </w:rPr>
              <w:t>o</w:t>
            </w:r>
            <w:r>
              <w:rPr>
                <w:rFonts w:ascii="Times New Roman" w:hAnsi="Times New Roman"/>
                <w:sz w:val="24"/>
              </w:rPr>
              <w:t>neringsbelopp dividerat med positionens exponeringsvärde och multiplicerat med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När positionen har partiellt kreditriskskydd, ska institutet tillämpa den forme</w:t>
            </w:r>
            <w:r>
              <w:rPr>
                <w:rFonts w:ascii="Times New Roman" w:hAnsi="Times New Roman"/>
                <w:sz w:val="24"/>
              </w:rPr>
              <w:t>l</w:t>
            </w:r>
            <w:r>
              <w:rPr>
                <w:rFonts w:ascii="Times New Roman" w:hAnsi="Times New Roman"/>
                <w:sz w:val="24"/>
              </w:rPr>
              <w:t>baserade metoden med ”T” ändrat i enlighet med artikel 264.3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 ska vägda genomsnittliga riskvikter rapporteras.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GENOMLYSNING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Genomlysningskolumnerna omfattar samtliga exponeringar utan kreditvärd</w:t>
            </w:r>
            <w:r>
              <w:rPr>
                <w:rFonts w:ascii="Times New Roman" w:hAnsi="Times New Roman"/>
                <w:sz w:val="24"/>
              </w:rPr>
              <w:t>e</w:t>
            </w:r>
            <w:r>
              <w:rPr>
                <w:rFonts w:ascii="Times New Roman" w:hAnsi="Times New Roman"/>
                <w:sz w:val="24"/>
              </w:rPr>
              <w:t>ring för vilka riskvikten erhålls från den underliggande portföljen med expon</w:t>
            </w:r>
            <w:r>
              <w:rPr>
                <w:rFonts w:ascii="Times New Roman" w:hAnsi="Times New Roman"/>
                <w:sz w:val="24"/>
              </w:rPr>
              <w:t>e</w:t>
            </w:r>
            <w:r>
              <w:rPr>
                <w:rFonts w:ascii="Times New Roman" w:hAnsi="Times New Roman"/>
                <w:sz w:val="24"/>
              </w:rPr>
              <w:t>ringar (den högsta riskvikten i gruppen).</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artikel 263.2 och 263.3 i CRR föreskrivs en undantagsbehandling i de fall K</w:t>
            </w:r>
            <w:r>
              <w:rPr>
                <w:rFonts w:ascii="Times New Roman" w:hAnsi="Times New Roman"/>
                <w:sz w:val="24"/>
                <w:vertAlign w:val="subscript"/>
              </w:rPr>
              <w:t>irb</w:t>
            </w:r>
            <w:r>
              <w:rPr>
                <w:rFonts w:ascii="Times New Roman" w:hAnsi="Times New Roman"/>
                <w:sz w:val="24"/>
              </w:rPr>
              <w:t xml:space="preserve"> inte kan beräknas.</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Det outnyttjade beloppet för likviditetsfaciliteter ska rapporteras under ”Poster utanför balansräkningen och derivat”.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Så länge en originator omfattas av undantagsbehandlingen när K</w:t>
            </w:r>
            <w:r>
              <w:rPr>
                <w:rFonts w:ascii="Times New Roman" w:hAnsi="Times New Roman"/>
                <w:sz w:val="24"/>
                <w:vertAlign w:val="subscript"/>
              </w:rPr>
              <w:t>irb</w:t>
            </w:r>
            <w:r>
              <w:rPr>
                <w:rFonts w:ascii="Times New Roman" w:hAnsi="Times New Roman"/>
                <w:sz w:val="24"/>
              </w:rPr>
              <w:t xml:space="preserve"> inte kan b</w:t>
            </w:r>
            <w:r>
              <w:rPr>
                <w:rFonts w:ascii="Times New Roman" w:hAnsi="Times New Roman"/>
                <w:sz w:val="24"/>
              </w:rPr>
              <w:t>e</w:t>
            </w:r>
            <w:r>
              <w:rPr>
                <w:rFonts w:ascii="Times New Roman" w:hAnsi="Times New Roman"/>
                <w:sz w:val="24"/>
              </w:rPr>
              <w:t>räknas, ska den riskviktning av exponeringsvärdet för en likviditetsfacilitet som behandlas i enlighet med artikel 263 i CRR rapporteras i kolumn 350.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För förtida amortering, se artiklarna 256.5 och 265 i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GENOMLYSNING GENOMSNITTLIG RISKVIKT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Exponeringsvägd genomsnittlig riskvikt ska rapporteras.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INTERNMETOD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artikel 259.3 och 259.4 i CRR föreskrivs internmetoden (IAA) för positioner i program för tillgångsbaserade certifikat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GENOMSNITTLIG RISKVIKT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 denna kolumn ska vägda genomsnittliga riskvikter rapporteras.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MINSKNING AV RISKVÄGDA EXPONERINGSBELOPP PÅ GRUND AV VÄRDEJUSTERINGAR OCH AVSÄTTNINGAR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Institut som tillämpar internmetoden ska följa bestämmelserna i artikel 266.1 (gäller endast originatorer, då exponeringen inte har dragits av från kapitalb</w:t>
            </w:r>
            <w:r>
              <w:rPr>
                <w:rFonts w:ascii="Times New Roman" w:hAnsi="Times New Roman"/>
                <w:sz w:val="24"/>
              </w:rPr>
              <w:t>a</w:t>
            </w:r>
            <w:r>
              <w:rPr>
                <w:rFonts w:ascii="Times New Roman" w:hAnsi="Times New Roman"/>
                <w:sz w:val="24"/>
              </w:rPr>
              <w:t>sen) och 266.2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Värdejusteringar och avsättningar (artikel 159 i CRR) för kreditförluster fö</w:t>
            </w:r>
            <w:r>
              <w:rPr>
                <w:rFonts w:ascii="Times New Roman" w:hAnsi="Times New Roman"/>
                <w:sz w:val="24"/>
              </w:rPr>
              <w:t>r</w:t>
            </w:r>
            <w:r>
              <w:rPr>
                <w:rFonts w:ascii="Times New Roman" w:hAnsi="Times New Roman"/>
                <w:sz w:val="24"/>
              </w:rPr>
              <w:t>knippade med den redovisningsram som tillämpas för den rapporterande enhe</w:t>
            </w:r>
            <w:r>
              <w:rPr>
                <w:rFonts w:ascii="Times New Roman" w:hAnsi="Times New Roman"/>
                <w:sz w:val="24"/>
              </w:rPr>
              <w:t>t</w:t>
            </w:r>
            <w:r>
              <w:rPr>
                <w:rFonts w:ascii="Times New Roman" w:hAnsi="Times New Roman"/>
                <w:sz w:val="24"/>
              </w:rPr>
              <w:t>en. I värdejusteringar ingår alla belopp som inverkar på resultatet för kreditfö</w:t>
            </w:r>
            <w:r>
              <w:rPr>
                <w:rFonts w:ascii="Times New Roman" w:hAnsi="Times New Roman"/>
                <w:sz w:val="24"/>
              </w:rPr>
              <w:t>r</w:t>
            </w:r>
            <w:r>
              <w:rPr>
                <w:rFonts w:ascii="Times New Roman" w:hAnsi="Times New Roman"/>
                <w:sz w:val="24"/>
              </w:rPr>
              <w:t>luster inom finansiella tillgångar sedan de först togs upp i balansräkningen (i</w:t>
            </w:r>
            <w:r>
              <w:rPr>
                <w:rFonts w:ascii="Times New Roman" w:hAnsi="Times New Roman"/>
                <w:sz w:val="24"/>
              </w:rPr>
              <w:t>n</w:t>
            </w:r>
            <w:r>
              <w:rPr>
                <w:rFonts w:ascii="Times New Roman" w:hAnsi="Times New Roman"/>
                <w:sz w:val="24"/>
              </w:rPr>
              <w:t>begripet förluster på grund av kreditrisk för finansiella tillgångar till verkligt värde som inte ska dras av från exponeringsvärdet) plus de underkursbelopp på exponeringar som förvärvats i samband med obestånd i enlighet med artikel 166.1 i CRR. I avsättningar ingår ackumulerade kreditförluster i poster utanför balansräkningen.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RISKVÄGT EXPONERINGSBELOPP</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Totalt riskvägt exponeringsbelopp beräknat i enlighet med del tre avdelning II kapitel 5 avsnitt 3 i CRR, före justeringar på grund av löptidsobalans eller öve</w:t>
            </w:r>
            <w:r>
              <w:rPr>
                <w:rFonts w:ascii="Times New Roman" w:hAnsi="Times New Roman"/>
                <w:sz w:val="24"/>
              </w:rPr>
              <w:t>r</w:t>
            </w:r>
            <w:r>
              <w:rPr>
                <w:rFonts w:ascii="Times New Roman" w:hAnsi="Times New Roman"/>
                <w:sz w:val="24"/>
              </w:rPr>
              <w:t xml:space="preserve">trädelser av bestämmelserna om tillbörlig aktsamhet, och utan beaktande av eventuella riskvägda exponeringsbelopp för exponeringar som via utflöden har flyttats till en annan mall.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VARAV: SYNTETISK VÄRDEPAPPERISERING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När det gäller syntetiska värdepapperiseringar med löptidsobalans ska lö</w:t>
            </w:r>
            <w:r>
              <w:rPr>
                <w:rFonts w:ascii="Times New Roman" w:hAnsi="Times New Roman"/>
                <w:sz w:val="24"/>
              </w:rPr>
              <w:t>p</w:t>
            </w:r>
            <w:r>
              <w:rPr>
                <w:rFonts w:ascii="Times New Roman" w:hAnsi="Times New Roman"/>
                <w:sz w:val="24"/>
              </w:rPr>
              <w:t>tidsobalansen inte beaktas i det belopp som rapporteras i denna kolumn.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ÖVERGRIPANDE EFFEKT (JUSTERING) PÅ GRUND AV ÖVE</w:t>
            </w:r>
            <w:r>
              <w:rPr>
                <w:rFonts w:ascii="Times New Roman" w:hAnsi="Times New Roman"/>
                <w:b/>
                <w:sz w:val="24"/>
                <w:u w:val="single"/>
              </w:rPr>
              <w:t>R</w:t>
            </w:r>
            <w:r>
              <w:rPr>
                <w:rFonts w:ascii="Times New Roman" w:hAnsi="Times New Roman"/>
                <w:b/>
                <w:sz w:val="24"/>
                <w:u w:val="single"/>
              </w:rPr>
              <w:t>TRÄDELSE AV BESTÄMMELSERNA OM TILLBÖRLIG AKTSA</w:t>
            </w:r>
            <w:r>
              <w:rPr>
                <w:rFonts w:ascii="Times New Roman" w:hAnsi="Times New Roman"/>
                <w:b/>
                <w:sz w:val="24"/>
                <w:u w:val="single"/>
              </w:rPr>
              <w:t>M</w:t>
            </w:r>
            <w:r>
              <w:rPr>
                <w:rFonts w:ascii="Times New Roman" w:hAnsi="Times New Roman"/>
                <w:b/>
                <w:sz w:val="24"/>
                <w:u w:val="single"/>
              </w:rPr>
              <w:t>HET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Genom artiklarna 14.2, 406.2 och 407 i CRR föreskrivs att medlemsstaterna, om ett institut inte uppfyller vissa krav, ska se till att de behöriga myndighete</w:t>
            </w:r>
            <w:r>
              <w:rPr>
                <w:rFonts w:ascii="Times New Roman" w:hAnsi="Times New Roman"/>
                <w:sz w:val="24"/>
              </w:rPr>
              <w:t>r</w:t>
            </w:r>
            <w:r>
              <w:rPr>
                <w:rFonts w:ascii="Times New Roman" w:hAnsi="Times New Roman"/>
                <w:sz w:val="24"/>
              </w:rPr>
              <w:t>na fastställer en proportionell extra riskvikt på minst 250 % av den riskvikt (maximerad till 1250 %) som skulle tillämpas för de relevanta värdepapperis</w:t>
            </w:r>
            <w:r>
              <w:rPr>
                <w:rFonts w:ascii="Times New Roman" w:hAnsi="Times New Roman"/>
                <w:sz w:val="24"/>
              </w:rPr>
              <w:t>e</w:t>
            </w:r>
            <w:r>
              <w:rPr>
                <w:rFonts w:ascii="Times New Roman" w:hAnsi="Times New Roman"/>
                <w:sz w:val="24"/>
              </w:rPr>
              <w:t>ringspositionerna i enlighet med del tre avdelning II kapitel 5 avsnitt 3 i 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JUSTERING AV DET RISKVÄGDA EXPONERINGSBELOPPET PÅ GRUND AV LÖPTIDSOBALANSER</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För löptidsobalanser i syntetiska värdepapperiseringar ska instituten inkludera RW*-RW(SP) i enlighet med artikel 250 i CRR, utom när det gäller trancher med riskvikten 1250 % då beloppet noll ska rapporteras. Observera att RW(SP) inte bara omfattar de riskvägda exponeringsbelopp som rapporteras enligt k</w:t>
            </w:r>
            <w:r>
              <w:rPr>
                <w:rFonts w:ascii="Times New Roman" w:hAnsi="Times New Roman"/>
                <w:sz w:val="24"/>
              </w:rPr>
              <w:t>o</w:t>
            </w:r>
            <w:r>
              <w:rPr>
                <w:rFonts w:ascii="Times New Roman" w:hAnsi="Times New Roman"/>
                <w:sz w:val="24"/>
              </w:rPr>
              <w:t>lumn 400 utan även de riskvägda exponeringsbeloppen för exponeringar som via utflöden omplacerats till andra mallar.</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SUMMA RISKVÄGDA EXPONERINGSBELOPP FÖRE T</w:t>
            </w:r>
            <w:r>
              <w:rPr>
                <w:rFonts w:ascii="Times New Roman" w:hAnsi="Times New Roman"/>
                <w:b/>
                <w:sz w:val="24"/>
                <w:u w:val="single"/>
              </w:rPr>
              <w:t>A</w:t>
            </w:r>
            <w:r>
              <w:rPr>
                <w:rFonts w:ascii="Times New Roman" w:hAnsi="Times New Roman"/>
                <w:b/>
                <w:sz w:val="24"/>
                <w:u w:val="single"/>
              </w:rPr>
              <w:t>KET/EFTER TAKET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Det totala riskvägda exponeringsbeloppet beräknas i enlighet med del tre a</w:t>
            </w:r>
            <w:r>
              <w:rPr>
                <w:rFonts w:ascii="Times New Roman" w:hAnsi="Times New Roman"/>
                <w:sz w:val="24"/>
              </w:rPr>
              <w:t>v</w:t>
            </w:r>
            <w:r>
              <w:rPr>
                <w:rFonts w:ascii="Times New Roman" w:hAnsi="Times New Roman"/>
                <w:sz w:val="24"/>
              </w:rPr>
              <w:t>delning II kapitel 5 avsnitt 3 i CRR, före (kolumn 440)/efter (kolumn 450) med tillämpning av de gränser som anges i artikel 260 i CRR. Dessutom ska artikel 265 i CRR beaktas (ytterligare kapitalbaskrav för värdepapperiseringar av ru</w:t>
            </w:r>
            <w:r>
              <w:rPr>
                <w:rFonts w:ascii="Times New Roman" w:hAnsi="Times New Roman"/>
                <w:sz w:val="24"/>
              </w:rPr>
              <w:t>l</w:t>
            </w:r>
            <w:r>
              <w:rPr>
                <w:rFonts w:ascii="Times New Roman" w:hAnsi="Times New Roman"/>
                <w:sz w:val="24"/>
              </w:rPr>
              <w:t>lande exponeringar med bestämmelser om förtida amortering).</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MEMORANDUMPOST: RISKVÄGT EXPONERINGSBELOPP SOM MOTSVARAR UTFLÖDENA FRÅN VÄRDEPAPPERISERING (I</w:t>
            </w:r>
            <w:r>
              <w:rPr>
                <w:rFonts w:ascii="Times New Roman" w:hAnsi="Times New Roman"/>
                <w:b/>
                <w:sz w:val="24"/>
                <w:u w:val="single"/>
              </w:rPr>
              <w:t>N</w:t>
            </w:r>
            <w:r>
              <w:rPr>
                <w:rFonts w:ascii="Times New Roman" w:hAnsi="Times New Roman"/>
                <w:b/>
                <w:sz w:val="24"/>
                <w:u w:val="single"/>
              </w:rPr>
              <w:t>TERNMETOD) TILL ÖVRIGA EXPONERINGSKLASSER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Riskvägt exponeringsbelopp som härrör från exponeringar som omplacerats till utfärdaren av riskreducering och som därför beräknas i motsvarande mall och beaktas vid beräkningen av taket för värdepapperiseringspositioner.</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CR SEC IRB-mallens rader är indelade i tre huvudgrupper, där uppgifter lä</w:t>
      </w:r>
      <w:r>
        <w:t>m</w:t>
      </w:r>
      <w:r>
        <w:t xml:space="preserve">nas om de exponeringar som originatorer, investerare och medverkande institut har gett upphov till, medverkat i, behållit eller förvärvat. Informationen i varje grupp är uppdelad i poster i balansräkningen, poster utanför balansräkningen och derivat samt i riskviktgrupper för värdepapperiseringar och återvärdepapperiseringar. </w:t>
      </w:r>
    </w:p>
    <w:p w:rsidR="00612780" w:rsidRPr="00392FFD" w:rsidRDefault="00125707" w:rsidP="00C37B29">
      <w:pPr>
        <w:pStyle w:val="InstructionsText2"/>
        <w:numPr>
          <w:ilvl w:val="0"/>
          <w:numId w:val="0"/>
        </w:numPr>
        <w:ind w:left="993"/>
      </w:pPr>
      <w:r>
        <w:t>108.</w:t>
      </w:r>
      <w:r>
        <w:tab/>
        <w:t>Positioner som behandlas enligt externkreditvärderingsmetoden och positioner utan kreditvärdering (exponeringar på rapporteringsdagen) är också uppdelade e</w:t>
      </w:r>
      <w:r>
        <w:t>n</w:t>
      </w:r>
      <w:r>
        <w:t>ligt de kreditkvalitetssteg som tillämpas i inledningen (sista radgruppen). Såväl or</w:t>
      </w:r>
      <w:r>
        <w:t>i</w:t>
      </w:r>
      <w:r>
        <w:t>ginatorer och medverkande institut som investerare ska rapportera denna informa</w:t>
      </w:r>
      <w:r>
        <w:t>t</w:t>
      </w:r>
      <w:r>
        <w:t>ion.</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Rad</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Totala exponeringar avser det totala beloppet för utestående värdepapperis</w:t>
            </w:r>
            <w:r>
              <w:rPr>
                <w:rFonts w:ascii="Times New Roman" w:hAnsi="Times New Roman"/>
                <w:sz w:val="24"/>
              </w:rPr>
              <w:t>e</w:t>
            </w:r>
            <w:r>
              <w:rPr>
                <w:rFonts w:ascii="Times New Roman" w:hAnsi="Times New Roman"/>
                <w:sz w:val="24"/>
              </w:rPr>
              <w:t>ringar. På denna rad summeras alla uppgifter som rapporteras av originatorer, medverkande institut och investerare på de rader som följer.</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VARAV: ÅTERVÄRDEPAPPERISERING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Totalbeloppet för utestående återvärdepapperiseringar i enlighet med defini</w:t>
            </w:r>
            <w:r>
              <w:rPr>
                <w:rFonts w:ascii="Times New Roman" w:hAnsi="Times New Roman"/>
                <w:sz w:val="24"/>
              </w:rPr>
              <w:t>t</w:t>
            </w:r>
            <w:r>
              <w:rPr>
                <w:rFonts w:ascii="Times New Roman" w:hAnsi="Times New Roman"/>
                <w:sz w:val="24"/>
              </w:rPr>
              <w:t>ionerna i artikel 4.1.63 och 4.1.64 i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inom och utanför balansräknin</w:t>
            </w:r>
            <w:r>
              <w:rPr>
                <w:rFonts w:ascii="Times New Roman" w:hAnsi="Times New Roman"/>
                <w:sz w:val="24"/>
              </w:rPr>
              <w:t>g</w:t>
            </w:r>
            <w:r>
              <w:rPr>
                <w:rFonts w:ascii="Times New Roman" w:hAnsi="Times New Roman"/>
                <w:sz w:val="24"/>
              </w:rPr>
              <w:t>en, derivat och förtida amortering avseende de värdepapperiseringspositioner för vilka institutet är originator enligt definitionen i artikel 4.1.13 i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Enligt artikel 246.1 b i CRR ska de institut som beräknar riskvägda expon</w:t>
            </w:r>
            <w:r>
              <w:rPr>
                <w:rFonts w:ascii="Times New Roman" w:hAnsi="Times New Roman"/>
                <w:sz w:val="24"/>
              </w:rPr>
              <w:t>e</w:t>
            </w:r>
            <w:r>
              <w:rPr>
                <w:rFonts w:ascii="Times New Roman" w:hAnsi="Times New Roman"/>
                <w:sz w:val="24"/>
              </w:rPr>
              <w:t>ringsbelopp enligt internmetoden ange exponeringsvärdet för en värdepapper</w:t>
            </w:r>
            <w:r>
              <w:rPr>
                <w:rFonts w:ascii="Times New Roman" w:hAnsi="Times New Roman"/>
                <w:sz w:val="24"/>
              </w:rPr>
              <w:t>i</w:t>
            </w:r>
            <w:r>
              <w:rPr>
                <w:rFonts w:ascii="Times New Roman" w:hAnsi="Times New Roman"/>
                <w:sz w:val="24"/>
              </w:rPr>
              <w:t>seringsposition i balansräkningen som dess bokförda värde utan hänsyn till de eventuella specifika kreditriskjusteringar som gjorts.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Poster i balansräkningen är uppdelade efter riskviktgrupperna för positioner i värdepapperisering (A–B–C), på raderna 050–070, och för positioner i återvä</w:t>
            </w:r>
            <w:r>
              <w:rPr>
                <w:rFonts w:ascii="Times New Roman" w:hAnsi="Times New Roman"/>
                <w:sz w:val="24"/>
              </w:rPr>
              <w:t>r</w:t>
            </w:r>
            <w:r>
              <w:rPr>
                <w:rFonts w:ascii="Times New Roman" w:hAnsi="Times New Roman"/>
                <w:sz w:val="24"/>
              </w:rPr>
              <w:t xml:space="preserve">depapperisering (D–E), på raderna 080–090, i enlighet med artikel 261.1 tabell 4 i CRR.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På dessa rader lämnas uppgift om poster utanför balansräkningen, derivat och värdepapperiseringspositioner för vilka en konverteringsfaktor tillämpas i e</w:t>
            </w:r>
            <w:r>
              <w:rPr>
                <w:rFonts w:ascii="Times New Roman" w:hAnsi="Times New Roman"/>
                <w:sz w:val="24"/>
              </w:rPr>
              <w:t>n</w:t>
            </w:r>
            <w:r>
              <w:rPr>
                <w:rFonts w:ascii="Times New Roman" w:hAnsi="Times New Roman"/>
                <w:sz w:val="24"/>
              </w:rPr>
              <w:t>lighet med bestämmelserna om värdepapperisering. Exponeringsvärdet för en värdepapperiseringsposition utanför balansräkningen ska vara dess nominella värde, minus eventuella specifika kreditriskjusteringar för denna värdepapper</w:t>
            </w:r>
            <w:r>
              <w:rPr>
                <w:rFonts w:ascii="Times New Roman" w:hAnsi="Times New Roman"/>
                <w:sz w:val="24"/>
              </w:rPr>
              <w:t>i</w:t>
            </w:r>
            <w:r>
              <w:rPr>
                <w:rFonts w:ascii="Times New Roman" w:hAnsi="Times New Roman"/>
                <w:sz w:val="24"/>
              </w:rPr>
              <w:t>seringsposition, multiplicerat med konverteringsfaktorn 100 % om inget annat anges.</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värdepapperiseringspositioner utanför balansräkningen som härrör från ett derivatinstrument som förtecknas i bilaga II ska fastställas i enlighet med del tre avdelning II kapitel 6 i CRR. Exponeringsbeloppet för motpartsrisken i samband med ett derivatinstrument som förtecknas i bilaga II till CRR ska fas</w:t>
            </w:r>
            <w:r>
              <w:rPr>
                <w:rFonts w:ascii="Times New Roman" w:hAnsi="Times New Roman"/>
                <w:sz w:val="24"/>
              </w:rPr>
              <w:t>t</w:t>
            </w:r>
            <w:r>
              <w:rPr>
                <w:rFonts w:ascii="Times New Roman" w:hAnsi="Times New Roman"/>
                <w:sz w:val="24"/>
              </w:rPr>
              <w:t xml:space="preserve">ställas i enlighet med del tre avdelning II kapitel 6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 likviditetsfaciliteter, kreditfaciliteter och förskottsbetalningar från servic</w:t>
            </w:r>
            <w:r>
              <w:rPr>
                <w:rFonts w:ascii="Times New Roman" w:hAnsi="Times New Roman"/>
                <w:sz w:val="24"/>
              </w:rPr>
              <w:t>e</w:t>
            </w:r>
            <w:r>
              <w:rPr>
                <w:rFonts w:ascii="Times New Roman" w:hAnsi="Times New Roman"/>
                <w:sz w:val="24"/>
              </w:rPr>
              <w:t xml:space="preserve">företag ska instituten rapportera det outnyttjade beloppet.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För räntor och valutaswappar ska de rapportera exponeringsvärdet (i enlighet med artikel 246.1 i CRR) enligt vad som anges i den övergripande CR SA-mallen.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Poster utanför balansräkningen är uppdelade efter riskviktgrupperna för posi</w:t>
            </w:r>
            <w:r>
              <w:rPr>
                <w:rFonts w:ascii="Times New Roman" w:hAnsi="Times New Roman"/>
                <w:sz w:val="24"/>
              </w:rPr>
              <w:t>t</w:t>
            </w:r>
            <w:r>
              <w:rPr>
                <w:rFonts w:ascii="Times New Roman" w:hAnsi="Times New Roman"/>
                <w:sz w:val="24"/>
              </w:rPr>
              <w:t>ioner i värdepapperisering (A–B–C), på raderna 110–130, och för positioner i återvärdepapperisering (D–E), på raderna 140–150, i enlighet med artikel 261.1 tabell 4 i CRR.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FÖRTIDA AMORTERING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rad gäller bara för originatorer med värdepapperiseringar av rullande exponeringar med bestämmelser om förtida amortering i enlighet med artikel 242.13 och 242.14 i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INVESTERARE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På denna rad summeras uppgifterna om poster i och utanför balansräkningen och derivat av de värdepapperiseringspositioner för vilka institutet är invest</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rare.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CRR innehåller ingen uttrycklig definition av investerare. Med investerare a</w:t>
            </w:r>
            <w:r>
              <w:rPr>
                <w:rStyle w:val="FormatvorlageInstructionsTabelleText"/>
                <w:rFonts w:ascii="Times New Roman" w:hAnsi="Times New Roman"/>
                <w:sz w:val="24"/>
              </w:rPr>
              <w:t>v</w:t>
            </w:r>
            <w:r>
              <w:rPr>
                <w:rStyle w:val="FormatvorlageInstructionsTabelleText"/>
                <w:rFonts w:ascii="Times New Roman" w:hAnsi="Times New Roman"/>
                <w:sz w:val="24"/>
              </w:rPr>
              <w:t>ses i detta sammanhang ett institut som innehar en värdepapperiseringsposition i en värdepapperiseringstransaktion för vilken det varken är originator eller medverkande institut.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positioner i värdepapperisering (A–B–C) och positioner i återvärdepapperisering (D–E) som för poster i b</w:t>
            </w:r>
            <w:r>
              <w:rPr>
                <w:rFonts w:ascii="Times New Roman" w:hAnsi="Times New Roman"/>
                <w:sz w:val="24"/>
              </w:rPr>
              <w:t>a</w:t>
            </w:r>
            <w:r>
              <w:rPr>
                <w:rFonts w:ascii="Times New Roman" w:hAnsi="Times New Roman"/>
                <w:sz w:val="24"/>
              </w:rPr>
              <w:t>lansräkningen för originatorer.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positioner i värdepapperisering (A–B–C) och positioner i återvärdepapperisering (D–E) som för poster i b</w:t>
            </w:r>
            <w:r>
              <w:rPr>
                <w:rFonts w:ascii="Times New Roman" w:hAnsi="Times New Roman"/>
                <w:sz w:val="24"/>
              </w:rPr>
              <w:t>a</w:t>
            </w:r>
            <w:r>
              <w:rPr>
                <w:rFonts w:ascii="Times New Roman" w:hAnsi="Times New Roman"/>
                <w:sz w:val="24"/>
              </w:rPr>
              <w:t>lansräkningen och derivat för originatorer.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MEDVERKANDE INSTITUT SUMMA EXPONERINGAR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inom och utanför balansräknin</w:t>
            </w:r>
            <w:r>
              <w:rPr>
                <w:rFonts w:ascii="Times New Roman" w:hAnsi="Times New Roman"/>
                <w:sz w:val="24"/>
              </w:rPr>
              <w:t>g</w:t>
            </w:r>
            <w:r>
              <w:rPr>
                <w:rFonts w:ascii="Times New Roman" w:hAnsi="Times New Roman"/>
                <w:sz w:val="24"/>
              </w:rPr>
              <w:t>en samt derivat avseende de värdepapperiseringspositioner för vilka institutet är medverkande institut enligt definitionen i artikel 4.1.14 i CRR. Om ett medve</w:t>
            </w:r>
            <w:r>
              <w:rPr>
                <w:rFonts w:ascii="Times New Roman" w:hAnsi="Times New Roman"/>
                <w:sz w:val="24"/>
              </w:rPr>
              <w:t>r</w:t>
            </w:r>
            <w:r>
              <w:rPr>
                <w:rFonts w:ascii="Times New Roman" w:hAnsi="Times New Roman"/>
                <w:sz w:val="24"/>
              </w:rPr>
              <w:t>kande institut också värdepapperiserar sina egna tillgångar ska det institutet fylla i den information som avser de egna värdepapperiserade tillgångarna på originatorraderna.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Här tillämpas samma kriterier för indelning i positioner i värdepapperisering (A–B–C) och positioner i återvärdepapperisering (D–E) som för poster i b</w:t>
            </w:r>
            <w:r>
              <w:rPr>
                <w:rFonts w:ascii="Times New Roman" w:hAnsi="Times New Roman"/>
                <w:sz w:val="24"/>
              </w:rPr>
              <w:t>a</w:t>
            </w:r>
            <w:r>
              <w:rPr>
                <w:rFonts w:ascii="Times New Roman" w:hAnsi="Times New Roman"/>
                <w:sz w:val="24"/>
              </w:rPr>
              <w:t>lansräkningen och derivat för originatorer.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Här tillämpas samma kriterier för indelning i positioner i värdepapperisering (A–B–C) och positioner i återvärdepapperisering (D–E) som för poster i b</w:t>
            </w:r>
            <w:r>
              <w:rPr>
                <w:rFonts w:ascii="Times New Roman" w:hAnsi="Times New Roman"/>
                <w:sz w:val="24"/>
              </w:rPr>
              <w:t>a</w:t>
            </w:r>
            <w:r>
              <w:rPr>
                <w:rFonts w:ascii="Times New Roman" w:hAnsi="Times New Roman"/>
                <w:sz w:val="24"/>
              </w:rPr>
              <w:t>lansräkningen och derivat för originatorer.</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UPPDELNING AV UTESTÅENDE POSITIONER PER CQS VID I</w:t>
            </w:r>
            <w:r>
              <w:rPr>
                <w:rFonts w:ascii="Times New Roman" w:hAnsi="Times New Roman"/>
                <w:b/>
                <w:sz w:val="24"/>
                <w:u w:val="single"/>
              </w:rPr>
              <w:t>N</w:t>
            </w:r>
            <w:r>
              <w:rPr>
                <w:rFonts w:ascii="Times New Roman" w:hAnsi="Times New Roman"/>
                <w:b/>
                <w:sz w:val="24"/>
                <w:u w:val="single"/>
              </w:rPr>
              <w:t>GÅENDE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dessa rader lämnas uppgifter om utestående positioner som behandlas enligt externkreditvärderingsmetoden och positioner utan kreditvärdering (på rappo</w:t>
            </w:r>
            <w:r>
              <w:rPr>
                <w:rFonts w:ascii="Times New Roman" w:hAnsi="Times New Roman"/>
                <w:sz w:val="24"/>
              </w:rPr>
              <w:t>r</w:t>
            </w:r>
            <w:r>
              <w:rPr>
                <w:rFonts w:ascii="Times New Roman" w:hAnsi="Times New Roman"/>
                <w:sz w:val="24"/>
              </w:rPr>
              <w:t>teringsdagen) enligt de kreditkvalitetssteg (som föreskrivs för internmetoden i artikel 261 (tabell 4) i CRR) som tillämpades vid ursprungstidpunkten (up</w:t>
            </w:r>
            <w:r>
              <w:rPr>
                <w:rFonts w:ascii="Times New Roman" w:hAnsi="Times New Roman"/>
                <w:sz w:val="24"/>
              </w:rPr>
              <w:t>p</w:t>
            </w:r>
            <w:r>
              <w:rPr>
                <w:rFonts w:ascii="Times New Roman" w:hAnsi="Times New Roman"/>
                <w:sz w:val="24"/>
              </w:rPr>
              <w:t>komstdatumet). Om dessa uppgifter saknas ska instituten rapportera den tidi</w:t>
            </w:r>
            <w:r>
              <w:rPr>
                <w:rFonts w:ascii="Times New Roman" w:hAnsi="Times New Roman"/>
                <w:sz w:val="24"/>
              </w:rPr>
              <w:t>g</w:t>
            </w:r>
            <w:r>
              <w:rPr>
                <w:rFonts w:ascii="Times New Roman" w:hAnsi="Times New Roman"/>
                <w:sz w:val="24"/>
              </w:rPr>
              <w:t>aste uppgift man har som är likvärdig kreditkvalitetsstegen.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Dessa rader ska endast rapporteras i kolumnerna 170, 190–320 och kolumne</w:t>
            </w:r>
            <w:r>
              <w:rPr>
                <w:rFonts w:ascii="Times New Roman" w:hAnsi="Times New Roman"/>
                <w:sz w:val="24"/>
              </w:rPr>
              <w:t>r</w:t>
            </w:r>
            <w:r>
              <w:rPr>
                <w:rFonts w:ascii="Times New Roman" w:hAnsi="Times New Roman"/>
                <w:sz w:val="24"/>
              </w:rPr>
              <w:t xml:space="preserve">na </w:t>
            </w:r>
            <w:r>
              <w:rPr>
                <w:rFonts w:ascii="Times New Roman" w:hAnsi="Times New Roman"/>
                <w:sz w:val="24"/>
              </w:rPr>
              <w:lastRenderedPageBreak/>
              <w:t>400–410.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6" w:name="_Toc239157390"/>
      <w:bookmarkStart w:id="477" w:name="_Toc310415046"/>
      <w:bookmarkStart w:id="478" w:name="_Toc360188381"/>
      <w:bookmarkStart w:id="479" w:name="_Toc516210667"/>
      <w:bookmarkStart w:id="480" w:name="_Toc473560932"/>
      <w:bookmarkStart w:id="481" w:name="_Toc523820288"/>
      <w:r>
        <w:rPr>
          <w:rFonts w:ascii="Times New Roman" w:hAnsi="Times New Roman"/>
          <w:sz w:val="24"/>
          <w:u w:val="none"/>
        </w:rPr>
        <w:t>3.9.</w:t>
      </w:r>
      <w:r w:rsidRPr="0092482C">
        <w:rPr>
          <w:u w:val="none"/>
        </w:rPr>
        <w:tab/>
      </w:r>
      <w:r>
        <w:rPr>
          <w:rFonts w:ascii="Times New Roman" w:hAnsi="Times New Roman"/>
          <w:sz w:val="24"/>
        </w:rPr>
        <w:t xml:space="preserve">C 14.00 –  </w:t>
      </w:r>
      <w:bookmarkEnd w:id="476"/>
      <w:r>
        <w:rPr>
          <w:rFonts w:ascii="Times New Roman" w:hAnsi="Times New Roman"/>
          <w:sz w:val="24"/>
        </w:rPr>
        <w:t>Detaljerad information om värdepapperisering</w:t>
      </w:r>
      <w:bookmarkEnd w:id="477"/>
      <w:bookmarkEnd w:id="478"/>
      <w:r>
        <w:rPr>
          <w:rFonts w:ascii="Times New Roman" w:hAnsi="Times New Roman"/>
          <w:sz w:val="24"/>
        </w:rPr>
        <w:t xml:space="preserve"> (SEC DETAILS)</w:t>
      </w:r>
      <w:bookmarkEnd w:id="479"/>
      <w:bookmarkEnd w:id="480"/>
      <w:bookmarkEnd w:id="48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2" w:name="_Toc310415047"/>
      <w:bookmarkStart w:id="483" w:name="_Toc360188382"/>
      <w:bookmarkStart w:id="484" w:name="_Toc516210668"/>
      <w:bookmarkStart w:id="485" w:name="_Toc473560933"/>
      <w:bookmarkStart w:id="486" w:name="_Toc523820289"/>
      <w:r>
        <w:rPr>
          <w:rFonts w:ascii="Times New Roman" w:hAnsi="Times New Roman"/>
          <w:sz w:val="24"/>
          <w:u w:val="none"/>
        </w:rPr>
        <w:t>3.9.1.</w:t>
      </w:r>
      <w:r w:rsidRPr="0092482C">
        <w:rPr>
          <w:u w:val="none"/>
        </w:rPr>
        <w:tab/>
      </w:r>
      <w:r>
        <w:rPr>
          <w:rFonts w:ascii="Times New Roman" w:hAnsi="Times New Roman"/>
          <w:sz w:val="24"/>
        </w:rPr>
        <w:t>Allmänna kommentarer</w:t>
      </w:r>
      <w:bookmarkEnd w:id="482"/>
      <w:bookmarkEnd w:id="483"/>
      <w:bookmarkEnd w:id="484"/>
      <w:bookmarkEnd w:id="485"/>
      <w:bookmarkEnd w:id="486"/>
    </w:p>
    <w:p w:rsidR="00612780" w:rsidRPr="00392FFD" w:rsidRDefault="00125707" w:rsidP="00C37B29">
      <w:pPr>
        <w:pStyle w:val="InstructionsText2"/>
        <w:numPr>
          <w:ilvl w:val="0"/>
          <w:numId w:val="0"/>
        </w:numPr>
        <w:ind w:left="993"/>
      </w:pPr>
      <w:r>
        <w:t>109.</w:t>
      </w:r>
      <w:r>
        <w:tab/>
        <w:t>I denna mall samlas uppgifter baserade på transaktioner (i motsats till den sammantagna information som rapporteras i mallarna CR SEC SA, CR SEC IRB, MKR SA SEC, MKR SA CTP, CA1 och CA2) för alla värdepapperiseringar i vilka det rapporterande institutet medverkar. Här rapporteras de huvudsakliga egenska</w:t>
      </w:r>
      <w:r>
        <w:t>p</w:t>
      </w:r>
      <w:r>
        <w:t>erna hos varje värdepapperisering, såsom hur den underliggande poolen och kap</w:t>
      </w:r>
      <w:r>
        <w:t>i</w:t>
      </w:r>
      <w:r>
        <w:t xml:space="preserve">talbaskraven är beskaffade. </w:t>
      </w:r>
    </w:p>
    <w:p w:rsidR="00612780" w:rsidRPr="00392FFD" w:rsidRDefault="00125707" w:rsidP="00C37B29">
      <w:pPr>
        <w:pStyle w:val="InstructionsText2"/>
        <w:numPr>
          <w:ilvl w:val="0"/>
          <w:numId w:val="0"/>
        </w:numPr>
        <w:ind w:left="993"/>
      </w:pPr>
      <w:r>
        <w:t>110.</w:t>
      </w:r>
      <w:r>
        <w:tab/>
        <w:t>Denna mall ska rapporteras för följande transaktioner:</w:t>
      </w:r>
    </w:p>
    <w:p w:rsidR="00612780" w:rsidRPr="00392FFD" w:rsidRDefault="00125707" w:rsidP="00C37B29">
      <w:pPr>
        <w:pStyle w:val="InstructionsText2"/>
        <w:numPr>
          <w:ilvl w:val="0"/>
          <w:numId w:val="0"/>
        </w:numPr>
        <w:ind w:left="993"/>
      </w:pPr>
      <w:r>
        <w:t>a.</w:t>
      </w:r>
      <w:r>
        <w:tab/>
        <w:t>Värdepapperiseringar som det rapporterande institutet har gett upphov till eller medverkar i, om det innehar minst en position i värdepapperiseringen. Det innebär att oavsett om det har funnits en betydande risköverföring eller inte ska instituten rapportera information om alla positioner som de innehar (såväl utanför som inom handelslagret). De positioner som innehas inbegriper de positioner som behålls på grund av artikel 405 i CRR.</w:t>
      </w:r>
    </w:p>
    <w:p w:rsidR="00612780" w:rsidRPr="00392FFD" w:rsidRDefault="00125707" w:rsidP="00C37B29">
      <w:pPr>
        <w:pStyle w:val="InstructionsText2"/>
        <w:numPr>
          <w:ilvl w:val="0"/>
          <w:numId w:val="0"/>
        </w:numPr>
        <w:ind w:left="993"/>
      </w:pPr>
      <w:r>
        <w:t>b.</w:t>
      </w:r>
      <w:r>
        <w:tab/>
        <w:t>Värdepapperiseringar som det rapporterande institutet har gett upphov till eller medverkat i under rapporteringsåret</w:t>
      </w:r>
      <w:r>
        <w:rPr>
          <w:vertAlign w:val="superscript"/>
        </w:rPr>
        <w:footnoteReference w:id="2"/>
      </w:r>
      <w:r>
        <w:t>, om det inte innehar någon position.</w:t>
      </w:r>
    </w:p>
    <w:p w:rsidR="00612780" w:rsidRPr="00125707" w:rsidRDefault="00125707" w:rsidP="00C37B29">
      <w:pPr>
        <w:pStyle w:val="InstructionsText2"/>
        <w:numPr>
          <w:ilvl w:val="0"/>
          <w:numId w:val="0"/>
        </w:numPr>
        <w:ind w:left="993"/>
      </w:pPr>
      <w:r>
        <w:t>c.</w:t>
      </w:r>
      <w:r>
        <w:tab/>
        <w:t>Värdepapperiseringar vars yttersta underliggande tillgång är finansiella skul</w:t>
      </w:r>
      <w:r>
        <w:t>d</w:t>
      </w:r>
      <w:r>
        <w:t>förpliktelser som ursprungligen emitterats av det rapporterande institutet och (de</w:t>
      </w:r>
      <w:r>
        <w:t>l</w:t>
      </w:r>
      <w:r>
        <w:t>vis) förvärvats av ett specialföretag för värdepapperiseringar. Denna underliggande tillgång skulle kunna inkludera säkerställda obligationer eller andra skuldförplikte</w:t>
      </w:r>
      <w:r>
        <w:t>l</w:t>
      </w:r>
      <w:r>
        <w:t>ser och ska identifieras som sådan i kolumn 160.</w:t>
      </w:r>
    </w:p>
    <w:p w:rsidR="00E50E79" w:rsidRPr="00392FFD" w:rsidRDefault="00125707" w:rsidP="00C37B29">
      <w:pPr>
        <w:pStyle w:val="InstructionsText2"/>
        <w:numPr>
          <w:ilvl w:val="0"/>
          <w:numId w:val="0"/>
        </w:numPr>
        <w:ind w:left="993"/>
      </w:pPr>
      <w:r>
        <w:t>d.</w:t>
      </w:r>
      <w:r>
        <w:tab/>
        <w:t>Positioner som innehas i värdepapperiseringar där det rapporterande institutet varken är originator eller medverkande institut (dvs. investerare och ursprungliga långivare).</w:t>
      </w:r>
    </w:p>
    <w:p w:rsidR="00612780" w:rsidRPr="00392FFD" w:rsidRDefault="00125707" w:rsidP="00C37B29">
      <w:pPr>
        <w:pStyle w:val="InstructionsText2"/>
        <w:numPr>
          <w:ilvl w:val="0"/>
          <w:numId w:val="0"/>
        </w:numPr>
        <w:ind w:left="993"/>
      </w:pPr>
      <w:r>
        <w:t>111.</w:t>
      </w:r>
      <w:r>
        <w:tab/>
        <w:t>Denna mall ska rapporteras av konsoliderade grupper och självständiga inst</w:t>
      </w:r>
      <w:r>
        <w:t>i</w:t>
      </w:r>
      <w:r>
        <w:t>tut</w:t>
      </w:r>
      <w:r>
        <w:rPr>
          <w:vertAlign w:val="superscript"/>
        </w:rPr>
        <w:footnoteReference w:id="3"/>
      </w:r>
      <w:r>
        <w:t xml:space="preserve"> som är etablerade i samma land där de omfattas av kapitalbaskraven. Om mer än en enhet i samma konsoliderade grupp medverkar i en värdepapperisering ska de tillhandahålla den detaljerade uppdelningen enhet för enhet. </w:t>
      </w:r>
    </w:p>
    <w:p w:rsidR="00612780" w:rsidRPr="00392FFD" w:rsidRDefault="00125707" w:rsidP="00C37B29">
      <w:pPr>
        <w:pStyle w:val="InstructionsText2"/>
        <w:numPr>
          <w:ilvl w:val="0"/>
          <w:numId w:val="0"/>
        </w:numPr>
        <w:ind w:left="993"/>
      </w:pPr>
      <w:r>
        <w:t>112.</w:t>
      </w:r>
      <w:r>
        <w:tab/>
        <w:t>När det gäller artikel 406.1 i CRR, enligt vilken institut som investerar i värd</w:t>
      </w:r>
      <w:r>
        <w:t>e</w:t>
      </w:r>
      <w:r>
        <w:t xml:space="preserve">papperiseringspositioner ska skaffa tillräcklig information om dessa för att kunna uppfylla kraven om tillbörlig aktsamhet, ska rapporteringen av mallen tillämpas i </w:t>
      </w:r>
      <w:r>
        <w:lastRenderedPageBreak/>
        <w:t>begränsad omfattning för investerarna. De ska särskilt rapportera kolumnerna 010–040. 070-110; 160; 190; 290-400; 420-470.</w:t>
      </w:r>
    </w:p>
    <w:p w:rsidR="00612780" w:rsidRPr="00392FFD" w:rsidRDefault="00125707" w:rsidP="00C37B29">
      <w:pPr>
        <w:pStyle w:val="InstructionsText2"/>
        <w:numPr>
          <w:ilvl w:val="0"/>
          <w:numId w:val="0"/>
        </w:numPr>
        <w:ind w:left="993"/>
      </w:pPr>
      <w:r>
        <w:t>113.</w:t>
      </w:r>
      <w:r>
        <w:tab/>
        <w:t>Institut som är ursprungliga långivare (och inte samtidigt är originatorer eller medverkande institut i samma värdepapperisering) ska generellt sett rapportera samma delar av mallen som investerare.</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7" w:name="_Toc310415048"/>
      <w:bookmarkStart w:id="488" w:name="_Toc360188383"/>
      <w:bookmarkStart w:id="489" w:name="_Toc516210669"/>
      <w:bookmarkStart w:id="490" w:name="_Toc473560934"/>
      <w:bookmarkStart w:id="491" w:name="_Toc523820290"/>
      <w:r>
        <w:rPr>
          <w:rFonts w:ascii="Times New Roman" w:hAnsi="Times New Roman"/>
          <w:sz w:val="24"/>
          <w:u w:val="none"/>
        </w:rPr>
        <w:t>3.9.2.</w:t>
      </w:r>
      <w:r w:rsidRPr="00C039D2">
        <w:rPr>
          <w:u w:val="none"/>
        </w:rPr>
        <w:tab/>
      </w:r>
      <w:r>
        <w:rPr>
          <w:rFonts w:ascii="Times New Roman" w:hAnsi="Times New Roman"/>
          <w:sz w:val="24"/>
        </w:rPr>
        <w:t>Instruktioner för specifika positioner</w:t>
      </w:r>
      <w:bookmarkEnd w:id="487"/>
      <w:bookmarkEnd w:id="488"/>
      <w:bookmarkEnd w:id="489"/>
      <w:bookmarkEnd w:id="490"/>
      <w:bookmarkEnd w:id="491"/>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RADNUMMER</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Detta radnummer är en radidentifierare och ska vara unik för varje rad i tabe</w:t>
            </w:r>
            <w:r>
              <w:rPr>
                <w:rFonts w:ascii="Times New Roman" w:hAnsi="Times New Roman"/>
                <w:sz w:val="24"/>
              </w:rPr>
              <w:t>l</w:t>
            </w:r>
            <w:r>
              <w:rPr>
                <w:rFonts w:ascii="Times New Roman" w:hAnsi="Times New Roman"/>
                <w:sz w:val="24"/>
              </w:rPr>
              <w:t>len. Det ska följa en numerisk ordning 1, 2, 3 osv.</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 KOD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 interna (alfanumeriska) kod som institutet använder för att identifiera vä</w:t>
            </w:r>
            <w:r>
              <w:rPr>
                <w:rFonts w:ascii="Times New Roman" w:hAnsi="Times New Roman"/>
                <w:sz w:val="24"/>
              </w:rPr>
              <w:t>r</w:t>
            </w:r>
            <w:r>
              <w:rPr>
                <w:rFonts w:ascii="Times New Roman" w:hAnsi="Times New Roman"/>
                <w:sz w:val="24"/>
              </w:rPr>
              <w:t>depapperiseringen. Den interna koden ska vara anknuten till värdepapperis</w:t>
            </w:r>
            <w:r>
              <w:rPr>
                <w:rFonts w:ascii="Times New Roman" w:hAnsi="Times New Roman"/>
                <w:sz w:val="24"/>
              </w:rPr>
              <w:t>e</w:t>
            </w:r>
            <w:r>
              <w:rPr>
                <w:rFonts w:ascii="Times New Roman" w:hAnsi="Times New Roman"/>
                <w:sz w:val="24"/>
              </w:rPr>
              <w:t>ringens benämning.</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VÄRDEPAPPERISERING</w:t>
            </w:r>
            <w:r>
              <w:t xml:space="preserve"> </w:t>
            </w:r>
            <w:r>
              <w:rPr>
                <w:rFonts w:ascii="Times New Roman" w:hAnsi="Times New Roman"/>
                <w:b/>
                <w:sz w:val="24"/>
              </w:rPr>
              <w:t>(kod/namn)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 kod som används för registrering av värdepapperiseringen eller, om det inte finns en sådan kod, det namn som värdepapperiseringen har på marknaden. När det finns ett internationellt standardnummer för värdepapper (ISIN) (dvs. för offentliga transaktioner) ska de tecken som är gemensamma för alla tra</w:t>
            </w:r>
            <w:r>
              <w:rPr>
                <w:rFonts w:ascii="Times New Roman" w:hAnsi="Times New Roman"/>
                <w:sz w:val="24"/>
              </w:rPr>
              <w:t>n</w:t>
            </w:r>
            <w:r>
              <w:rPr>
                <w:rFonts w:ascii="Times New Roman" w:hAnsi="Times New Roman"/>
                <w:sz w:val="24"/>
              </w:rPr>
              <w:t>cher i värdepapperiseringen rapporteras i denna kolumn.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030C22" w:rsidRDefault="00612780" w:rsidP="00612780">
            <w:pPr>
              <w:autoSpaceDE w:val="0"/>
              <w:autoSpaceDN w:val="0"/>
              <w:adjustRightInd w:val="0"/>
              <w:spacing w:before="0" w:after="0"/>
              <w:jc w:val="left"/>
              <w:rPr>
                <w:rFonts w:ascii="Times New Roman" w:hAnsi="Times New Roman"/>
                <w:b/>
                <w:sz w:val="24"/>
                <w:u w:val="single"/>
                <w:lang w:val="nn-NO"/>
              </w:rPr>
            </w:pPr>
            <w:r w:rsidRPr="00030C22">
              <w:rPr>
                <w:rFonts w:ascii="Times New Roman" w:hAnsi="Times New Roman"/>
                <w:b/>
                <w:sz w:val="24"/>
                <w:u w:val="single"/>
                <w:lang w:val="nn-NO"/>
              </w:rPr>
              <w:t>IDENTIFIERINGSKOD FÖR ORIGINATOR</w:t>
            </w:r>
            <w:r w:rsidRPr="00030C22">
              <w:rPr>
                <w:lang w:val="nn-NO"/>
              </w:rPr>
              <w:t xml:space="preserve"> </w:t>
            </w:r>
            <w:r w:rsidRPr="00030C22">
              <w:rPr>
                <w:rFonts w:ascii="Times New Roman" w:hAnsi="Times New Roman"/>
                <w:b/>
                <w:sz w:val="24"/>
                <w:lang w:val="nn-NO"/>
              </w:rPr>
              <w:t>(kod/namn)</w:t>
            </w:r>
          </w:p>
          <w:p w:rsidR="00612780" w:rsidRPr="00030C22" w:rsidRDefault="00612780" w:rsidP="00612780">
            <w:pPr>
              <w:autoSpaceDE w:val="0"/>
              <w:autoSpaceDN w:val="0"/>
              <w:adjustRightInd w:val="0"/>
              <w:spacing w:before="0" w:after="0"/>
              <w:jc w:val="left"/>
              <w:rPr>
                <w:rFonts w:ascii="Times New Roman" w:hAnsi="Times New Roman"/>
                <w:sz w:val="24"/>
                <w:lang w:val="nn-NO"/>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rapporteras den kod som originatorn har fått från tillsynsmy</w:t>
            </w:r>
            <w:r>
              <w:rPr>
                <w:rFonts w:ascii="Times New Roman" w:hAnsi="Times New Roman"/>
                <w:sz w:val="24"/>
              </w:rPr>
              <w:t>n</w:t>
            </w:r>
            <w:r>
              <w:rPr>
                <w:rFonts w:ascii="Times New Roman" w:hAnsi="Times New Roman"/>
                <w:sz w:val="24"/>
              </w:rPr>
              <w:t>digheten eller, om det inte finns en sådan kod, institutets namn.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Vid värdepapperiseringar med flera partner ska den rapporterande enheten ange benämningen på alla de enheter inom dess konsoliderade grupp som medverkar i transaktionen (originatorn, det medverkande institutet eller den ursprungliga långivaren). Om den rapporterande enheten inte känner till koden eller om det inte finns någon kod, ska institutets namn rapporteras.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TYP AV VÄRDEPAPPERISERING: (TRADITIONELL/ SYNTETISK)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Följande förkortningar rapporteras:</w:t>
            </w:r>
            <w:r>
              <w:rPr>
                <w:rFonts w:ascii="Times New Roman" w:hAnsi="Times New Roman"/>
                <w:sz w:val="24"/>
              </w:rPr>
              <w:br/>
              <w:t>– ”T” för traditionell.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för syntetisk.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Definitionerna av ”traditionell värdepapperisering” och ”syntetisk värdepapp</w:t>
            </w:r>
            <w:r>
              <w:rPr>
                <w:rFonts w:ascii="Times New Roman" w:hAnsi="Times New Roman"/>
                <w:sz w:val="24"/>
              </w:rPr>
              <w:t>e</w:t>
            </w:r>
            <w:r>
              <w:rPr>
                <w:rFonts w:ascii="Times New Roman" w:hAnsi="Times New Roman"/>
                <w:sz w:val="24"/>
              </w:rPr>
              <w:lastRenderedPageBreak/>
              <w:t>risering” återges i artikel 242.10 och 242.11 i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REDOVISNINGSBEHANDLING:  Värdepapperiserade exponeringar b</w:t>
            </w:r>
            <w:r>
              <w:rPr>
                <w:rFonts w:ascii="Times New Roman" w:hAnsi="Times New Roman"/>
                <w:b/>
                <w:sz w:val="24"/>
                <w:u w:val="single"/>
              </w:rPr>
              <w:t>e</w:t>
            </w:r>
            <w:r>
              <w:rPr>
                <w:rFonts w:ascii="Times New Roman" w:hAnsi="Times New Roman"/>
                <w:b/>
                <w:sz w:val="24"/>
                <w:u w:val="single"/>
              </w:rPr>
              <w:t>hålls i eller tas bort från balansräkningen?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Originatorer, medverkande institut och ursprungliga långivare ska rapportera en av följande förkortningar:</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om de beaktas fullständigt.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om de är delvis borttagna.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om de är helt och hållet borttagna.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om ej tillämpligt.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summeras hur transaktionen behandlas i redovisningen.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Vid syntetiska värdepapperiseringar ska originatorer rapportera de värdepapp</w:t>
            </w:r>
            <w:r>
              <w:rPr>
                <w:rFonts w:ascii="Times New Roman" w:hAnsi="Times New Roman"/>
                <w:sz w:val="24"/>
              </w:rPr>
              <w:t>e</w:t>
            </w:r>
            <w:r>
              <w:rPr>
                <w:rFonts w:ascii="Times New Roman" w:hAnsi="Times New Roman"/>
                <w:sz w:val="24"/>
              </w:rPr>
              <w:t>riserade exponeringar som tagits bort från balansräkningen.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Vid värdepapperiseringar av skulder ska originatorerna inte rapportera i denna kolumn.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Alternativet ”P” (delvis borttagna) ska rapporteras om de värdepapperiserade tillgångarna beaktas i balansräkningen i en omfattning motsvarande den rappo</w:t>
            </w:r>
            <w:r>
              <w:rPr>
                <w:rFonts w:ascii="Times New Roman" w:hAnsi="Times New Roman"/>
                <w:sz w:val="24"/>
              </w:rPr>
              <w:t>r</w:t>
            </w:r>
            <w:r>
              <w:rPr>
                <w:rFonts w:ascii="Times New Roman" w:hAnsi="Times New Roman"/>
                <w:sz w:val="24"/>
              </w:rPr>
              <w:t xml:space="preserve">terande enhetens fortsatta medverkan i enlighet med bestämmelserna i IFRS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SOLVENSBEHANDLING: VÄRDEPAPPERISERINGSPOSITIONE</w:t>
            </w:r>
            <w:r>
              <w:rPr>
                <w:rFonts w:ascii="Times New Roman" w:hAnsi="Times New Roman"/>
                <w:b/>
                <w:sz w:val="24"/>
                <w:u w:val="single"/>
              </w:rPr>
              <w:t>R</w:t>
            </w:r>
            <w:r>
              <w:rPr>
                <w:rFonts w:ascii="Times New Roman" w:hAnsi="Times New Roman"/>
                <w:b/>
                <w:sz w:val="24"/>
                <w:u w:val="single"/>
              </w:rPr>
              <w:t>NA OMFATTAS AV KAPITALBASKRAVEN?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Endast originatorer ska rapportera följande förkortningar: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för poster som inte omfattas av kapitalbaskraven.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för poster utanför handelslagret.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för poster i handelslagret.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för poster delvis inom och delvis utanför handelslagret.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Artiklarna 109, 243 och 244 i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summeras originatorns solvenshantering i värdepapperisering</w:t>
            </w:r>
            <w:r>
              <w:rPr>
                <w:rFonts w:ascii="Times New Roman" w:hAnsi="Times New Roman"/>
                <w:sz w:val="24"/>
              </w:rPr>
              <w:t>s</w:t>
            </w:r>
            <w:r>
              <w:rPr>
                <w:rFonts w:ascii="Times New Roman" w:hAnsi="Times New Roman"/>
                <w:sz w:val="24"/>
              </w:rPr>
              <w:t>programmet. Den visar huruvida kapitalbaskraven beräknats utifrån värdepa</w:t>
            </w:r>
            <w:r>
              <w:rPr>
                <w:rFonts w:ascii="Times New Roman" w:hAnsi="Times New Roman"/>
                <w:sz w:val="24"/>
              </w:rPr>
              <w:t>p</w:t>
            </w:r>
            <w:r>
              <w:rPr>
                <w:rFonts w:ascii="Times New Roman" w:hAnsi="Times New Roman"/>
                <w:sz w:val="24"/>
              </w:rPr>
              <w:t xml:space="preserve">periserade exponeringar eller värdepapperiserade positioner (inom eller utanför handelslagret).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Om kapitalbaskraven baseras på </w:t>
            </w:r>
            <w:r>
              <w:rPr>
                <w:rFonts w:ascii="Times New Roman" w:hAnsi="Times New Roman"/>
                <w:i/>
                <w:sz w:val="24"/>
              </w:rPr>
              <w:t>värdepapperiserade exponeringar</w:t>
            </w:r>
            <w:r>
              <w:rPr>
                <w:rFonts w:ascii="Times New Roman" w:hAnsi="Times New Roman"/>
                <w:sz w:val="24"/>
              </w:rPr>
              <w:t xml:space="preserve"> (utan bet</w:t>
            </w:r>
            <w:r>
              <w:rPr>
                <w:rFonts w:ascii="Times New Roman" w:hAnsi="Times New Roman"/>
                <w:sz w:val="24"/>
              </w:rPr>
              <w:t>y</w:t>
            </w:r>
            <w:r>
              <w:rPr>
                <w:rFonts w:ascii="Times New Roman" w:hAnsi="Times New Roman"/>
                <w:sz w:val="24"/>
              </w:rPr>
              <w:t>dande risköverföring) ska beräkningen av kapitalbaskraven för kreditrisken rapporteras i mall CR SA om institutet använder schablonmetoden respektive i mall CR IRB om man använder internmetoden.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Om kapitalbaskraven däremot baseras på </w:t>
            </w:r>
            <w:r>
              <w:rPr>
                <w:rFonts w:ascii="Times New Roman" w:hAnsi="Times New Roman"/>
                <w:i/>
                <w:sz w:val="24"/>
              </w:rPr>
              <w:t>värdepapperiseringspositioner uta</w:t>
            </w:r>
            <w:r>
              <w:rPr>
                <w:rFonts w:ascii="Times New Roman" w:hAnsi="Times New Roman"/>
                <w:i/>
                <w:sz w:val="24"/>
              </w:rPr>
              <w:t>n</w:t>
            </w:r>
            <w:r>
              <w:rPr>
                <w:rFonts w:ascii="Times New Roman" w:hAnsi="Times New Roman"/>
                <w:i/>
                <w:sz w:val="24"/>
              </w:rPr>
              <w:t>för handelslagret</w:t>
            </w:r>
            <w:r>
              <w:rPr>
                <w:rFonts w:ascii="Times New Roman" w:hAnsi="Times New Roman"/>
                <w:sz w:val="24"/>
              </w:rPr>
              <w:t xml:space="preserve"> (med betydande risköverföring) ska beräkningen av kapita</w:t>
            </w:r>
            <w:r>
              <w:rPr>
                <w:rFonts w:ascii="Times New Roman" w:hAnsi="Times New Roman"/>
                <w:sz w:val="24"/>
              </w:rPr>
              <w:t>l</w:t>
            </w:r>
            <w:r>
              <w:rPr>
                <w:rFonts w:ascii="Times New Roman" w:hAnsi="Times New Roman"/>
                <w:sz w:val="24"/>
              </w:rPr>
              <w:t xml:space="preserve">baskrav för kreditrisken rapporteras i mall CR SEC SA eller i mall CR SEC IRB. Vid </w:t>
            </w:r>
            <w:r>
              <w:rPr>
                <w:rFonts w:ascii="Times New Roman" w:hAnsi="Times New Roman"/>
                <w:i/>
                <w:sz w:val="24"/>
              </w:rPr>
              <w:t>värdepapperiseringspositioner i handelslagret</w:t>
            </w:r>
            <w:r>
              <w:rPr>
                <w:rFonts w:ascii="Times New Roman" w:hAnsi="Times New Roman"/>
                <w:sz w:val="24"/>
              </w:rPr>
              <w:t xml:space="preserve"> ska beräkningen av kapitalbaskrav för marknadsrisken rapporteras i mall MKR SA TDI (generell positionsrisk enligt schablonmetoden) och i mall MKR SA SEC eller mall MKR SA CTP (specifik positionsrisk enligt schablonmetoden) eller i mallarna </w:t>
            </w:r>
            <w:r>
              <w:rPr>
                <w:rFonts w:ascii="Times New Roman" w:hAnsi="Times New Roman"/>
                <w:sz w:val="24"/>
              </w:rPr>
              <w:lastRenderedPageBreak/>
              <w:t>MKR IM (interna modeller).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Vid värdepapperiseringar av skulder ska originatorerna inte rapportera i denna kolumn.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 ELLER ÅTERVÄRDEPAPPERISERING?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Utifrån de definitioner av ”värdepapperisering” och ”återvärdepapperisering” som står i artikel 4.1.61 och 4.1.62–4.1.64 i CRR ska instituten rapportera den underliggande typen med följande förkortningar: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för värdepapperisering.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för återvärdepapperisering.</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STS-VÄRDEPAPPERISERINGAR</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Artikel 18 i förordning (EU)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En av följande förkortningar rapporteras:</w:t>
            </w:r>
          </w:p>
          <w:p w:rsidR="006B4AC8" w:rsidRDefault="006B4AC8" w:rsidP="00CE4C49">
            <w:pPr>
              <w:spacing w:before="0" w:after="0"/>
              <w:jc w:val="left"/>
              <w:rPr>
                <w:rFonts w:ascii="Times New Roman" w:hAnsi="Times New Roman"/>
                <w:sz w:val="24"/>
              </w:rPr>
            </w:pPr>
            <w:r>
              <w:rPr>
                <w:rFonts w:ascii="Times New Roman" w:hAnsi="Times New Roman"/>
                <w:sz w:val="24"/>
              </w:rPr>
              <w:t>Y = ja.</w:t>
            </w:r>
          </w:p>
          <w:p w:rsidR="006B4AC8" w:rsidRDefault="006B4AC8" w:rsidP="00CE4C49">
            <w:pPr>
              <w:spacing w:before="0" w:after="0"/>
              <w:jc w:val="left"/>
              <w:rPr>
                <w:rFonts w:ascii="Times New Roman" w:hAnsi="Times New Roman"/>
                <w:sz w:val="24"/>
              </w:rPr>
            </w:pPr>
            <w:r>
              <w:rPr>
                <w:rFonts w:ascii="Times New Roman" w:hAnsi="Times New Roman"/>
                <w:sz w:val="24"/>
              </w:rPr>
              <w:t>N = nej.</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BIBEHÅLLANDE</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Artiklarna 404–410 i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TYP AV BIBEHÅLLANDE SOM TILLÄMPAS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För varje värdepapperiseringsprogram där institutet agerar som originator ska det rapportera den relevanta typen av ekonomiskt intresse netto som bibehålls i enlighet med artikel 405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Vertikal andel (värdepapperiseringspositioner): </w:t>
            </w:r>
            <w:r>
              <w:rPr>
                <w:rFonts w:ascii="Times New Roman" w:hAnsi="Times New Roman"/>
                <w:i/>
                <w:sz w:val="24"/>
              </w:rPr>
              <w:t>”bibehållande av minst 5 % av det nominella värdet av varje tranch som sålts eller överförts till inv</w:t>
            </w:r>
            <w:r>
              <w:rPr>
                <w:rFonts w:ascii="Times New Roman" w:hAnsi="Times New Roman"/>
                <w:i/>
                <w:sz w:val="24"/>
              </w:rPr>
              <w:t>e</w:t>
            </w:r>
            <w:r>
              <w:rPr>
                <w:rFonts w:ascii="Times New Roman" w:hAnsi="Times New Roman"/>
                <w:i/>
                <w:sz w:val="24"/>
              </w:rPr>
              <w:t xml:space="preserve">sterarna”.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Vertikal andel (värdepapperiserade exponeringar): bibehållande av minst</w:t>
            </w:r>
            <w:r>
              <w:rPr>
                <w:rFonts w:ascii="Times New Roman" w:hAnsi="Times New Roman"/>
                <w:i/>
                <w:sz w:val="24"/>
              </w:rPr>
              <w:t xml:space="preserve"> </w:t>
            </w:r>
            <w:r>
              <w:rPr>
                <w:rFonts w:ascii="Times New Roman" w:hAnsi="Times New Roman"/>
                <w:sz w:val="24"/>
              </w:rPr>
              <w:t>5 % av kreditrisken för var och en av de värdepapperiserade exponeringarna, om den bibehållna kreditrisken avseende sådana värdepapperiserade expon</w:t>
            </w:r>
            <w:r>
              <w:rPr>
                <w:rFonts w:ascii="Times New Roman" w:hAnsi="Times New Roman"/>
                <w:sz w:val="24"/>
              </w:rPr>
              <w:t>e</w:t>
            </w:r>
            <w:r>
              <w:rPr>
                <w:rFonts w:ascii="Times New Roman" w:hAnsi="Times New Roman"/>
                <w:sz w:val="24"/>
              </w:rPr>
              <w:t>ringar alltid likställs med eller efterställs den kreditrisk som har värdepapper</w:t>
            </w:r>
            <w:r>
              <w:rPr>
                <w:rFonts w:ascii="Times New Roman" w:hAnsi="Times New Roman"/>
                <w:sz w:val="24"/>
              </w:rPr>
              <w:t>i</w:t>
            </w:r>
            <w:r>
              <w:rPr>
                <w:rFonts w:ascii="Times New Roman" w:hAnsi="Times New Roman"/>
                <w:sz w:val="24"/>
              </w:rPr>
              <w:t>serats för samma exponeringar</w:t>
            </w:r>
            <w:r>
              <w:rPr>
                <w:rFonts w:ascii="Times New Roman" w:hAnsi="Times New Roman"/>
                <w:i/>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Rullande exponeringar: </w:t>
            </w:r>
            <w:r>
              <w:rPr>
                <w:rFonts w:ascii="Times New Roman" w:hAnsi="Times New Roman"/>
                <w:i/>
                <w:sz w:val="24"/>
              </w:rPr>
              <w:t>”bibehållande av originatorns andel på minst 5 % av det nominella värdet av de värdepapperiserade exponeringarna”.</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Inom balansräkningen: </w:t>
            </w:r>
            <w:r>
              <w:rPr>
                <w:rFonts w:ascii="Times New Roman" w:hAnsi="Times New Roman"/>
                <w:i/>
                <w:sz w:val="24"/>
              </w:rPr>
              <w:t>”bibehållande av slumpvis utvalda exponeringar som motsvarar minst 5 % av det nominella värdet av de värdepapperiserade exponeringarna, vilka annars skulle ha värdepapperiserats i den aktuella transaktionen, förutsatt att antalet potentiella värdepapperiserade exponerin</w:t>
            </w:r>
            <w:r>
              <w:rPr>
                <w:rFonts w:ascii="Times New Roman" w:hAnsi="Times New Roman"/>
                <w:i/>
                <w:sz w:val="24"/>
              </w:rPr>
              <w:t>g</w:t>
            </w:r>
            <w:r>
              <w:rPr>
                <w:rFonts w:ascii="Times New Roman" w:hAnsi="Times New Roman"/>
                <w:i/>
                <w:sz w:val="24"/>
              </w:rPr>
              <w:t>ar ursprungligen inte understiger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Förstaförlustläge: </w:t>
            </w:r>
            <w:r>
              <w:rPr>
                <w:rFonts w:ascii="Times New Roman" w:hAnsi="Times New Roman"/>
                <w:i/>
                <w:sz w:val="24"/>
              </w:rPr>
              <w:t xml:space="preserve">”bibehållande av den tranch som är i första-förlustläge och vid behov andra trancher med samma eller högre riskprofil än de som </w:t>
            </w:r>
            <w:r>
              <w:rPr>
                <w:rFonts w:ascii="Times New Roman" w:hAnsi="Times New Roman"/>
                <w:i/>
                <w:sz w:val="24"/>
              </w:rPr>
              <w:lastRenderedPageBreak/>
              <w:t>överförts eller sålts till investerare, vilka inte har kortare löptid än de som överförts eller sålts till investerare, så att bibehållandet totalt motsvarar minst 5 % av det nominella värdet av de värdepapperiserade exponeringarna”.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Undantagna: Denna kod ska rapporteras för de värdepapperiseringar som avses med bestämmelserna i artikel 405.3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ej tillämpligt. Denna kod ska rapporteras för de värdepapperiseringar som berörs av bestämmelserna i artikel 404 i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Föremål för överträdelse eller okänt: Denna kod ska rapporteras om man vid rapporteringen är osäker på vilken typ av bibehållande det gäller, eller om någon bestämmelse har överträtts.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BIBEHÅLLANDE (%) PÅ RAPPORTERINGSDATUMET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Originatorn, det medverkande institutet eller den ursprungliga långivaren ska behålla ett väsentligt ekonomiskt intresse netto</w:t>
            </w:r>
            <w:r>
              <w:rPr>
                <w:rFonts w:ascii="Times New Roman" w:hAnsi="Times New Roman"/>
                <w:sz w:val="24"/>
              </w:rPr>
              <w:t xml:space="preserve"> på minst 5 % av värdepapper</w:t>
            </w:r>
            <w:r>
              <w:rPr>
                <w:rFonts w:ascii="Times New Roman" w:hAnsi="Times New Roman"/>
                <w:sz w:val="24"/>
              </w:rPr>
              <w:t>i</w:t>
            </w:r>
            <w:r>
              <w:rPr>
                <w:rFonts w:ascii="Times New Roman" w:hAnsi="Times New Roman"/>
                <w:sz w:val="24"/>
              </w:rPr>
              <w:t>seringen (vid ursprungstidpunkten).</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Utan att det påverkar artikel 405.1 i CRR tolkas mätning av bibehållandet vid ursprungstidpunkten vanligen som den tidpunkt när exponeringarna värdepa</w:t>
            </w:r>
            <w:r>
              <w:rPr>
                <w:rFonts w:ascii="Times New Roman" w:hAnsi="Times New Roman"/>
                <w:sz w:val="24"/>
              </w:rPr>
              <w:t>p</w:t>
            </w:r>
            <w:r>
              <w:rPr>
                <w:rFonts w:ascii="Times New Roman" w:hAnsi="Times New Roman"/>
                <w:sz w:val="24"/>
              </w:rPr>
              <w:t>periserades och inte när exponeringarna skapades (t.ex. inte när de underli</w:t>
            </w:r>
            <w:r>
              <w:rPr>
                <w:rFonts w:ascii="Times New Roman" w:hAnsi="Times New Roman"/>
                <w:sz w:val="24"/>
              </w:rPr>
              <w:t>g</w:t>
            </w:r>
            <w:r>
              <w:rPr>
                <w:rFonts w:ascii="Times New Roman" w:hAnsi="Times New Roman"/>
                <w:sz w:val="24"/>
              </w:rPr>
              <w:t>gande lånen utfärdades för första gången). Mätning av bibehållande vid u</w:t>
            </w:r>
            <w:r>
              <w:rPr>
                <w:rFonts w:ascii="Times New Roman" w:hAnsi="Times New Roman"/>
                <w:sz w:val="24"/>
              </w:rPr>
              <w:t>r</w:t>
            </w:r>
            <w:r>
              <w:rPr>
                <w:rFonts w:ascii="Times New Roman" w:hAnsi="Times New Roman"/>
                <w:sz w:val="24"/>
              </w:rPr>
              <w:t>sprungstidpunkten innebär att 5 % är den bibehållna andel som krävs vid den tidpunkt när denna bibehållandenivå uppmättes och kravet uppfylldes (t.ex. när exponeringarna värdepapperiserades). Det är inte nödvändigt med en dynamisk återangivelse och återjustering av bibehållen andel under transaktionens hela livscykel.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(ej ti</w:t>
            </w:r>
            <w:r>
              <w:rPr>
                <w:rFonts w:ascii="Times New Roman" w:hAnsi="Times New Roman"/>
                <w:sz w:val="24"/>
              </w:rPr>
              <w:t>l</w:t>
            </w:r>
            <w:r>
              <w:rPr>
                <w:rFonts w:ascii="Times New Roman" w:hAnsi="Times New Roman"/>
                <w:sz w:val="24"/>
              </w:rPr>
              <w:t>lämpligt) rapporteras i kolumn 080 (typ av bibehållande som tillämpas).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UPPFYLLS BIBEHÅLLANDEKRAVET?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Artikel 405.1 i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Följande förkortningar rapporteras:</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(ej ti</w:t>
            </w:r>
            <w:r>
              <w:rPr>
                <w:rFonts w:ascii="Times New Roman" w:hAnsi="Times New Roman"/>
                <w:sz w:val="24"/>
              </w:rPr>
              <w:t>l</w:t>
            </w:r>
            <w:r>
              <w:rPr>
                <w:rFonts w:ascii="Times New Roman" w:hAnsi="Times New Roman"/>
                <w:sz w:val="24"/>
              </w:rPr>
              <w:t>lämpligt) rapporteras i kolumn 080 (typ av bibehållande som tillämpas).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INSTITUTETS ROLL: (ORIGINATOR/ MEDVERKANDE INSTITUT/ URSPRUNGLIG LÅNGIVARE/ INVESTERARE)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Följande förkortningar rapporteras: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för originator.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för medverkande institut.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”L” för ursprunglig långivare.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för investerare.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definitionerna i artikel 4.1.13 (originator) och 4.1.14 (medverkande institut) i CRR. Investerare antas vara de institut som omfattas av bestämmelserna i a</w:t>
            </w:r>
            <w:r>
              <w:rPr>
                <w:rFonts w:ascii="Times New Roman" w:hAnsi="Times New Roman"/>
                <w:sz w:val="24"/>
              </w:rPr>
              <w:t>r</w:t>
            </w:r>
            <w:r>
              <w:rPr>
                <w:rFonts w:ascii="Times New Roman" w:hAnsi="Times New Roman"/>
                <w:sz w:val="24"/>
              </w:rPr>
              <w:t>tiklarna 406 och 407 i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GÄLLER INTE PROGRAM FÖR TILLGÅNGSBASERADE CERTIF</w:t>
            </w:r>
            <w:r>
              <w:rPr>
                <w:rFonts w:ascii="Times New Roman" w:hAnsi="Times New Roman"/>
                <w:b/>
                <w:sz w:val="24"/>
              </w:rPr>
              <w:t>I</w:t>
            </w:r>
            <w:r>
              <w:rPr>
                <w:rFonts w:ascii="Times New Roman" w:hAnsi="Times New Roman"/>
                <w:b/>
                <w:sz w:val="24"/>
              </w:rPr>
              <w:t>KAT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På grund av att de består av flera enskilda värdepapperiseringspositioner är program för tillgångsbaserade certifikat (ABCP) (definieras i artikel 242.9 i CRR) undantagna från rapporteringen i kolumnerna 120 och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URSPRUNGSTIDPUNKT (mån/år)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Månad och år för värdepapperiseringens uppkomst (dvs. tidpunkten för avsl</w:t>
            </w:r>
            <w:r>
              <w:rPr>
                <w:rFonts w:ascii="Times New Roman" w:hAnsi="Times New Roman"/>
                <w:sz w:val="24"/>
              </w:rPr>
              <w:t>u</w:t>
            </w:r>
            <w:r>
              <w:rPr>
                <w:rFonts w:ascii="Times New Roman" w:hAnsi="Times New Roman"/>
                <w:sz w:val="24"/>
              </w:rPr>
              <w:t>tande eller stängning av gruppen) ska rapporteras i följande format: ”mm/yyyy” (mån/år).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Ursprungstidpunkten för respektive värdepapperiseringsprogram kan inte än</w:t>
            </w:r>
            <w:r>
              <w:rPr>
                <w:rFonts w:ascii="Times New Roman" w:hAnsi="Times New Roman"/>
                <w:sz w:val="24"/>
              </w:rPr>
              <w:t>d</w:t>
            </w:r>
            <w:r>
              <w:rPr>
                <w:rFonts w:ascii="Times New Roman" w:hAnsi="Times New Roman"/>
                <w:sz w:val="24"/>
              </w:rPr>
              <w:t>ras mellan rapporteringsdagarna. I det särskilda fall då värdepapperiseringspr</w:t>
            </w:r>
            <w:r>
              <w:rPr>
                <w:rFonts w:ascii="Times New Roman" w:hAnsi="Times New Roman"/>
                <w:sz w:val="24"/>
              </w:rPr>
              <w:t>o</w:t>
            </w:r>
            <w:r>
              <w:rPr>
                <w:rFonts w:ascii="Times New Roman" w:hAnsi="Times New Roman"/>
                <w:sz w:val="24"/>
              </w:rPr>
              <w:t xml:space="preserve">gram baseras på öppna grupper ska ursprungstidpunkten vara första dagen för utgivning av värdepapper.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TOTALT BELOPP FÖR VÄRDEPAPPERISERADE EXPONERINGAR VID URSPRUNGSTIDPUNKTEN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anges beloppet (enligt ursprungliga exponeringar före tilläm</w:t>
            </w:r>
            <w:r>
              <w:rPr>
                <w:rFonts w:ascii="Times New Roman" w:hAnsi="Times New Roman"/>
                <w:sz w:val="24"/>
              </w:rPr>
              <w:t>p</w:t>
            </w:r>
            <w:r>
              <w:rPr>
                <w:rFonts w:ascii="Times New Roman" w:hAnsi="Times New Roman"/>
                <w:sz w:val="24"/>
              </w:rPr>
              <w:t>ning av konverteringsfaktorer) för den värdepapperiserade portföljen vid u</w:t>
            </w:r>
            <w:r>
              <w:rPr>
                <w:rFonts w:ascii="Times New Roman" w:hAnsi="Times New Roman"/>
                <w:sz w:val="24"/>
              </w:rPr>
              <w:t>r</w:t>
            </w:r>
            <w:r>
              <w:rPr>
                <w:rFonts w:ascii="Times New Roman" w:hAnsi="Times New Roman"/>
                <w:sz w:val="24"/>
              </w:rPr>
              <w:t xml:space="preserve">sprungstidpunkten.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värdepapperiseringsprogrammen baseras på öppna grupper ska institutet rapportera det belopp som avser ursprungstidpunkten för första utgivning av värdepapper. Om det gäller traditionella värdepapperiseringar ska inga andra tillgångar i värdepapperiseringsgruppen medräknas. När det gäller värdepapp</w:t>
            </w:r>
            <w:r>
              <w:rPr>
                <w:rFonts w:ascii="Times New Roman" w:hAnsi="Times New Roman"/>
                <w:sz w:val="24"/>
              </w:rPr>
              <w:t>e</w:t>
            </w:r>
            <w:r>
              <w:rPr>
                <w:rFonts w:ascii="Times New Roman" w:hAnsi="Times New Roman"/>
                <w:sz w:val="24"/>
              </w:rPr>
              <w:t>riseringsprogram med flera partner (dvs. med fler än en originator) ska bara det belopp rapporteras som utgör den rapporterande enhetens bidrag till den värd</w:t>
            </w:r>
            <w:r>
              <w:rPr>
                <w:rFonts w:ascii="Times New Roman" w:hAnsi="Times New Roman"/>
                <w:sz w:val="24"/>
              </w:rPr>
              <w:t>e</w:t>
            </w:r>
            <w:r>
              <w:rPr>
                <w:rFonts w:ascii="Times New Roman" w:hAnsi="Times New Roman"/>
                <w:sz w:val="24"/>
              </w:rPr>
              <w:t>papperiserade portföljen. Vid värdepapperisering av skulder ska endast de b</w:t>
            </w:r>
            <w:r>
              <w:rPr>
                <w:rFonts w:ascii="Times New Roman" w:hAnsi="Times New Roman"/>
                <w:sz w:val="24"/>
              </w:rPr>
              <w:t>e</w:t>
            </w:r>
            <w:r>
              <w:rPr>
                <w:rFonts w:ascii="Times New Roman" w:hAnsi="Times New Roman"/>
                <w:sz w:val="24"/>
              </w:rPr>
              <w:t>lopp rapporteras som är utgivna av den rapporterande enheten.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VÄRDEPAPPERISERADE EXPONERINGAR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 kolumnerna 140–220 ska den rapporterande enheten ange information om </w:t>
            </w:r>
            <w:r>
              <w:rPr>
                <w:rFonts w:ascii="Times New Roman" w:hAnsi="Times New Roman"/>
                <w:sz w:val="24"/>
              </w:rPr>
              <w:lastRenderedPageBreak/>
              <w:t>flera egenskaper hos den värdepapperiserade portföljen.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TOTALT BELOPP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Instituten ska rapportera den värdepapperiserade portföljens värde på rapport</w:t>
            </w:r>
            <w:r>
              <w:rPr>
                <w:rFonts w:ascii="Times New Roman" w:hAnsi="Times New Roman"/>
                <w:sz w:val="24"/>
              </w:rPr>
              <w:t>e</w:t>
            </w:r>
            <w:r>
              <w:rPr>
                <w:rFonts w:ascii="Times New Roman" w:hAnsi="Times New Roman"/>
                <w:sz w:val="24"/>
              </w:rPr>
              <w:t>ringsdagen, dvs. det utestående beloppet för de värdepapperiserade exponerin</w:t>
            </w:r>
            <w:r>
              <w:rPr>
                <w:rFonts w:ascii="Times New Roman" w:hAnsi="Times New Roman"/>
                <w:sz w:val="24"/>
              </w:rPr>
              <w:t>g</w:t>
            </w:r>
            <w:r>
              <w:rPr>
                <w:rFonts w:ascii="Times New Roman" w:hAnsi="Times New Roman"/>
                <w:sz w:val="24"/>
              </w:rPr>
              <w:t>arna. Om det gäller traditionella värdepapperiseringar ska inga andra tillgångar i värdepapperiseringsgruppen medräknas. När det gäller värdepapperisering</w:t>
            </w:r>
            <w:r>
              <w:rPr>
                <w:rFonts w:ascii="Times New Roman" w:hAnsi="Times New Roman"/>
                <w:sz w:val="24"/>
              </w:rPr>
              <w:t>s</w:t>
            </w:r>
            <w:r>
              <w:rPr>
                <w:rFonts w:ascii="Times New Roman" w:hAnsi="Times New Roman"/>
                <w:sz w:val="24"/>
              </w:rPr>
              <w:t>program med flera partner (dvs. med fler än en originator) ska bara det belopp rapporteras som utgör den rapporterande enhetens bidrag till den värdepapper</w:t>
            </w:r>
            <w:r>
              <w:rPr>
                <w:rFonts w:ascii="Times New Roman" w:hAnsi="Times New Roman"/>
                <w:sz w:val="24"/>
              </w:rPr>
              <w:t>i</w:t>
            </w:r>
            <w:r>
              <w:rPr>
                <w:rFonts w:ascii="Times New Roman" w:hAnsi="Times New Roman"/>
                <w:sz w:val="24"/>
              </w:rPr>
              <w:t>serade portföljen. Om värdepapperiseringsprogrammen baseras på stängda grupper (dvs. att portföljen med värdepapperiserade tillgångar inte kan utökas efter ursprungstidpunkten) minskar beloppet stegvis.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INSTITUTENS ANDEL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Ett institut ska rapportera sin andel (i procent med två decimaler) i den värd</w:t>
            </w:r>
            <w:r>
              <w:rPr>
                <w:rFonts w:ascii="Times New Roman" w:hAnsi="Times New Roman"/>
                <w:sz w:val="24"/>
              </w:rPr>
              <w:t>e</w:t>
            </w:r>
            <w:r>
              <w:rPr>
                <w:rFonts w:ascii="Times New Roman" w:hAnsi="Times New Roman"/>
                <w:sz w:val="24"/>
              </w:rPr>
              <w:t>papperiserade portföljen på rapporteringsdagen. Den siffra som ska rapporteras i denna kolumn är om inget annat föreskrivs 100 %, utom för värdepapperis</w:t>
            </w:r>
            <w:r>
              <w:rPr>
                <w:rFonts w:ascii="Times New Roman" w:hAnsi="Times New Roman"/>
                <w:sz w:val="24"/>
              </w:rPr>
              <w:t>e</w:t>
            </w:r>
            <w:r>
              <w:rPr>
                <w:rFonts w:ascii="Times New Roman" w:hAnsi="Times New Roman"/>
                <w:sz w:val="24"/>
              </w:rPr>
              <w:t>ringsprogram med flera partner. Den rapporterande enheten ska i så fall rappo</w:t>
            </w:r>
            <w:r>
              <w:rPr>
                <w:rFonts w:ascii="Times New Roman" w:hAnsi="Times New Roman"/>
                <w:sz w:val="24"/>
              </w:rPr>
              <w:t>r</w:t>
            </w:r>
            <w:r>
              <w:rPr>
                <w:rFonts w:ascii="Times New Roman" w:hAnsi="Times New Roman"/>
                <w:sz w:val="24"/>
              </w:rPr>
              <w:t>tera sitt aktuella bidrag till den värdepapperiserade portföljen (som i kolumn 140, relativt sett).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TYP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anges information om vilka typer av tillgångar (1–8) eller sku</w:t>
            </w:r>
            <w:r>
              <w:rPr>
                <w:rFonts w:ascii="Times New Roman" w:hAnsi="Times New Roman"/>
                <w:sz w:val="24"/>
              </w:rPr>
              <w:t>l</w:t>
            </w:r>
            <w:r>
              <w:rPr>
                <w:rFonts w:ascii="Times New Roman" w:hAnsi="Times New Roman"/>
                <w:sz w:val="24"/>
              </w:rPr>
              <w:t>der (9 och 10) som ingår i den värdepapperiserade portföljen. Institutet ska ra</w:t>
            </w:r>
            <w:r>
              <w:rPr>
                <w:rFonts w:ascii="Times New Roman" w:hAnsi="Times New Roman"/>
                <w:sz w:val="24"/>
              </w:rPr>
              <w:t>p</w:t>
            </w:r>
            <w:r>
              <w:rPr>
                <w:rFonts w:ascii="Times New Roman" w:hAnsi="Times New Roman"/>
                <w:sz w:val="24"/>
              </w:rPr>
              <w:t>portera en av följande sifferkoder:</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Panträtter i bostadsfastigheter.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Panträtter i kommersiella fastigheter.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Kreditkortsfordringar.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Leasing.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Krediter till företag, inbegripet små och medelstora företag (behandlas som företag).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Konsumentkrediter.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Handelsfordringar.</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Övriga tillgångar.</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Säkerställda obligationer.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Övriga skulder.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gruppen av värdepapperiserade exponeringar är en blandning av ovanst</w:t>
            </w:r>
            <w:r>
              <w:rPr>
                <w:rFonts w:ascii="Times New Roman" w:hAnsi="Times New Roman"/>
                <w:sz w:val="24"/>
              </w:rPr>
              <w:t>å</w:t>
            </w:r>
            <w:r>
              <w:rPr>
                <w:rFonts w:ascii="Times New Roman" w:hAnsi="Times New Roman"/>
                <w:sz w:val="24"/>
              </w:rPr>
              <w:t>ende typer ska institutet ange mest relevanta typen. Vid återvärdepapperis</w:t>
            </w:r>
            <w:r>
              <w:rPr>
                <w:rFonts w:ascii="Times New Roman" w:hAnsi="Times New Roman"/>
                <w:sz w:val="24"/>
              </w:rPr>
              <w:t>e</w:t>
            </w:r>
            <w:r>
              <w:rPr>
                <w:rFonts w:ascii="Times New Roman" w:hAnsi="Times New Roman"/>
                <w:sz w:val="24"/>
              </w:rPr>
              <w:t>ringar ska institutet hänvisa till den slutliga underliggande gruppen av til</w:t>
            </w:r>
            <w:r>
              <w:rPr>
                <w:rFonts w:ascii="Times New Roman" w:hAnsi="Times New Roman"/>
                <w:sz w:val="24"/>
              </w:rPr>
              <w:t>l</w:t>
            </w:r>
            <w:r>
              <w:rPr>
                <w:rFonts w:ascii="Times New Roman" w:hAnsi="Times New Roman"/>
                <w:sz w:val="24"/>
              </w:rPr>
              <w:lastRenderedPageBreak/>
              <w:t>gångar. I typ 10 (övriga skulder) ingår statsobligationer och kreditlänkade obl</w:t>
            </w:r>
            <w:r>
              <w:rPr>
                <w:rFonts w:ascii="Times New Roman" w:hAnsi="Times New Roman"/>
                <w:sz w:val="24"/>
              </w:rPr>
              <w:t>i</w:t>
            </w:r>
            <w:r>
              <w:rPr>
                <w:rFonts w:ascii="Times New Roman" w:hAnsi="Times New Roman"/>
                <w:sz w:val="24"/>
              </w:rPr>
              <w:t>gationer.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När det gäller värdepapperiseringsprogram som baseras på stängda grupper kan typen av tillgångar och skulder inte ändras mellan rapporteringstillfällena.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TILLÄMPAD METOD (SCHABLONMETOD/ INTERNMETOD/ BLANDAD METOD)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anges vilken metod som institutet skulle tillämpa för de värd</w:t>
            </w:r>
            <w:r>
              <w:rPr>
                <w:rFonts w:ascii="Times New Roman" w:hAnsi="Times New Roman"/>
                <w:sz w:val="24"/>
              </w:rPr>
              <w:t>e</w:t>
            </w:r>
            <w:r>
              <w:rPr>
                <w:rFonts w:ascii="Times New Roman" w:hAnsi="Times New Roman"/>
                <w:sz w:val="24"/>
              </w:rPr>
              <w:t>papperiserade exponeringarna på rapporteringsdagen.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Följande förkortningar rapporteras: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för schablonmetoden.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för internmetoden.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för en kombination av de båda metoderna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schablonmetoden tillämpas och ”P” rapporteras i kolumn 050 ska berä</w:t>
            </w:r>
            <w:r>
              <w:rPr>
                <w:rFonts w:ascii="Times New Roman" w:hAnsi="Times New Roman"/>
                <w:sz w:val="24"/>
              </w:rPr>
              <w:t>k</w:t>
            </w:r>
            <w:r>
              <w:rPr>
                <w:rFonts w:ascii="Times New Roman" w:hAnsi="Times New Roman"/>
                <w:sz w:val="24"/>
              </w:rPr>
              <w:t>ningen av kapitalbaskrav rapporteras i mall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internmetoden tillämpas och ”P” rapporteras i kolumn 050 ska beräkningen av kapitalbaskrav rapporteras i mall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Om en kombination av schablonmetoden och internmetoden tillämpas och ”P” rapporteras i kolumn 050 ska beräkningen av kapitalbaskrav rapporteras både i mall CR SEC SA och i mall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 Denna kolumn gäller dock inte för värdepapperisering av skulder. Medverkande institut ska inte fylla i denna k</w:t>
            </w:r>
            <w:r>
              <w:rPr>
                <w:rFonts w:ascii="Times New Roman" w:hAnsi="Times New Roman"/>
                <w:sz w:val="24"/>
              </w:rPr>
              <w:t>o</w:t>
            </w:r>
            <w:r>
              <w:rPr>
                <w:rFonts w:ascii="Times New Roman" w:hAnsi="Times New Roman"/>
                <w:sz w:val="24"/>
              </w:rPr>
              <w:t>lumn.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ANTAL EXPONERINGAR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Artikel 261.1 i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Denna kolumn är obligatorisk endast för de institutioner som använder inter</w:t>
            </w:r>
            <w:r>
              <w:rPr>
                <w:rFonts w:ascii="Times New Roman" w:hAnsi="Times New Roman"/>
                <w:sz w:val="24"/>
              </w:rPr>
              <w:t>n</w:t>
            </w:r>
            <w:r>
              <w:rPr>
                <w:rFonts w:ascii="Times New Roman" w:hAnsi="Times New Roman"/>
                <w:sz w:val="24"/>
              </w:rPr>
              <w:t>metoden för värdepapperiserade positioner (och därmed rapporterar ”I” i k</w:t>
            </w:r>
            <w:r>
              <w:rPr>
                <w:rFonts w:ascii="Times New Roman" w:hAnsi="Times New Roman"/>
                <w:sz w:val="24"/>
              </w:rPr>
              <w:t>o</w:t>
            </w:r>
            <w:r>
              <w:rPr>
                <w:rFonts w:ascii="Times New Roman" w:hAnsi="Times New Roman"/>
                <w:sz w:val="24"/>
              </w:rPr>
              <w:t xml:space="preserve">lumn 170). Institutet ska rapportera det faktiska antalet exponeringar.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kolumn ska inte fyllas i vid värdepapperiseringar av skulder eller om kapitalbaskraven grundar sig på de värdepapperiserade exponeringarna (vid värdepapperisering av tillgångar). Denna kolumn ska inte heller fyllas i om den rapporterande enheten inte innehar några positioner i värdepapperiseringen. I</w:t>
            </w:r>
            <w:r>
              <w:rPr>
                <w:rFonts w:ascii="Times New Roman" w:hAnsi="Times New Roman"/>
                <w:sz w:val="24"/>
              </w:rPr>
              <w:t>n</w:t>
            </w:r>
            <w:r>
              <w:rPr>
                <w:rFonts w:ascii="Times New Roman" w:hAnsi="Times New Roman"/>
                <w:sz w:val="24"/>
              </w:rPr>
              <w:t>vesterare ska inte fylla i denna kolumn.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LAND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Här rapporteras koden (ISO 3166–1 alpha-2) för ursprungslandet för det slu</w:t>
            </w:r>
            <w:r>
              <w:rPr>
                <w:rFonts w:ascii="Times New Roman" w:hAnsi="Times New Roman"/>
                <w:sz w:val="24"/>
              </w:rPr>
              <w:t>t</w:t>
            </w:r>
            <w:r>
              <w:rPr>
                <w:rFonts w:ascii="Times New Roman" w:hAnsi="Times New Roman"/>
                <w:sz w:val="24"/>
              </w:rPr>
              <w:t>liga underlaget för transaktionen, dvs. det land i vilket den direkta motparten till de ursprungliga värdepapperiserade exponeringarna är etablerad (genomly</w:t>
            </w:r>
            <w:r>
              <w:rPr>
                <w:rFonts w:ascii="Times New Roman" w:hAnsi="Times New Roman"/>
                <w:sz w:val="24"/>
              </w:rPr>
              <w:t>s</w:t>
            </w:r>
            <w:r>
              <w:rPr>
                <w:rFonts w:ascii="Times New Roman" w:hAnsi="Times New Roman"/>
                <w:sz w:val="24"/>
              </w:rPr>
              <w:t>ning). Om värdepapperiseringsgruppen består av olika länder ska institutet ange det mest relevanta landet. Om inget land har en större andel än 20 % av belo</w:t>
            </w:r>
            <w:r>
              <w:rPr>
                <w:rFonts w:ascii="Times New Roman" w:hAnsi="Times New Roman"/>
                <w:sz w:val="24"/>
              </w:rPr>
              <w:t>p</w:t>
            </w:r>
            <w:r>
              <w:rPr>
                <w:rFonts w:ascii="Times New Roman" w:hAnsi="Times New Roman"/>
                <w:sz w:val="24"/>
              </w:rPr>
              <w:lastRenderedPageBreak/>
              <w:t>pet för tillgångar/skulder ska ”övriga länder” rapporteras.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Exponeringsvägd genomsnittlig förlust vid obestånd (ELGD) ska bara rapport</w:t>
            </w:r>
            <w:r>
              <w:rPr>
                <w:rFonts w:ascii="Times New Roman" w:hAnsi="Times New Roman"/>
                <w:sz w:val="24"/>
              </w:rPr>
              <w:t>e</w:t>
            </w:r>
            <w:r>
              <w:rPr>
                <w:rFonts w:ascii="Times New Roman" w:hAnsi="Times New Roman"/>
                <w:sz w:val="24"/>
              </w:rPr>
              <w:t>ras av de institut som tillämpar den formelbaserade metoden (och därmed ra</w:t>
            </w:r>
            <w:r>
              <w:rPr>
                <w:rFonts w:ascii="Times New Roman" w:hAnsi="Times New Roman"/>
                <w:sz w:val="24"/>
              </w:rPr>
              <w:t>p</w:t>
            </w:r>
            <w:r>
              <w:rPr>
                <w:rFonts w:ascii="Times New Roman" w:hAnsi="Times New Roman"/>
                <w:sz w:val="24"/>
              </w:rPr>
              <w:t xml:space="preserve">porterar ”I” i kolumn 170). ELGD beräknas i enlighet med artikel 262.1 i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kolumn ska inte fyllas i vid värdepapperiseringar av skulder eller om kapitalbaskraven grundar sig på de värdepapperiserade exponeringarna (vid värdepapperisering av tillgångar). Denna kolumn ska inte heller fyllas i om den rapporterande enheten inte innehar några positioner i värdepapperiseringen. Medverkande institut ska inte fylla i denna kolumn.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VÄRDEJUSTERINGAR OCH AVSÄTTNINGAR</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Värdejusteringar och avsättningar (artikel 159 i CRR) för kreditförluster fö</w:t>
            </w:r>
            <w:r>
              <w:rPr>
                <w:rFonts w:ascii="Times New Roman" w:hAnsi="Times New Roman"/>
                <w:sz w:val="24"/>
              </w:rPr>
              <w:t>r</w:t>
            </w:r>
            <w:r>
              <w:rPr>
                <w:rFonts w:ascii="Times New Roman" w:hAnsi="Times New Roman"/>
                <w:sz w:val="24"/>
              </w:rPr>
              <w:t>knippade med den redovisningsram som tillämpas för den rapporterande enhe</w:t>
            </w:r>
            <w:r>
              <w:rPr>
                <w:rFonts w:ascii="Times New Roman" w:hAnsi="Times New Roman"/>
                <w:sz w:val="24"/>
              </w:rPr>
              <w:t>t</w:t>
            </w:r>
            <w:r>
              <w:rPr>
                <w:rFonts w:ascii="Times New Roman" w:hAnsi="Times New Roman"/>
                <w:sz w:val="24"/>
              </w:rPr>
              <w:t>en. I värdejusteringar ingår alla belopp som inverkar på resultatet för kreditfö</w:t>
            </w:r>
            <w:r>
              <w:rPr>
                <w:rFonts w:ascii="Times New Roman" w:hAnsi="Times New Roman"/>
                <w:sz w:val="24"/>
              </w:rPr>
              <w:t>r</w:t>
            </w:r>
            <w:r>
              <w:rPr>
                <w:rFonts w:ascii="Times New Roman" w:hAnsi="Times New Roman"/>
                <w:sz w:val="24"/>
              </w:rPr>
              <w:t>luster inom finansiella tillgångar sedan de först togs upp i balansräkningen (i</w:t>
            </w:r>
            <w:r>
              <w:rPr>
                <w:rFonts w:ascii="Times New Roman" w:hAnsi="Times New Roman"/>
                <w:sz w:val="24"/>
              </w:rPr>
              <w:t>n</w:t>
            </w:r>
            <w:r>
              <w:rPr>
                <w:rFonts w:ascii="Times New Roman" w:hAnsi="Times New Roman"/>
                <w:sz w:val="24"/>
              </w:rPr>
              <w:t>begripet förluster på grund av kreditrisk för finansiella tillgångar till verkligt värde som inte ska dras av från exponeringsvärdet) plus de underkursbelopp på exponeringar som förvärvats i samband med obestånd i enlighet med artikel 166.1 i CRR. I avsättningar ingår ackumulerade kreditförluster i poster utanför balansräkningen.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anges information om de värdejusteringar och avsättningar som tillämpas på de värdepapperiserade exponeringarna. Denna kolumn ska inte fy</w:t>
            </w:r>
            <w:r>
              <w:rPr>
                <w:rFonts w:ascii="Times New Roman" w:hAnsi="Times New Roman"/>
                <w:sz w:val="24"/>
              </w:rPr>
              <w:t>l</w:t>
            </w:r>
            <w:r>
              <w:rPr>
                <w:rFonts w:ascii="Times New Roman" w:hAnsi="Times New Roman"/>
                <w:sz w:val="24"/>
              </w:rPr>
              <w:t>las i vid värdepapperiseringar av skulder.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värdepapperiseringen.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Medverkande institut ska inte fylla i denna kolumn.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KAPITALBASKRAV FÖRE VÄRDEPAPPERISERING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 lämnas information om kapitalbaskraven för den värdepapper</w:t>
            </w:r>
            <w:r>
              <w:rPr>
                <w:rFonts w:ascii="Times New Roman" w:hAnsi="Times New Roman"/>
                <w:sz w:val="24"/>
              </w:rPr>
              <w:t>i</w:t>
            </w:r>
            <w:r>
              <w:rPr>
                <w:rFonts w:ascii="Times New Roman" w:hAnsi="Times New Roman"/>
                <w:sz w:val="24"/>
              </w:rPr>
              <w:t>serade portföljen om det inte hade skett någon värdepapperisering plus förvä</w:t>
            </w:r>
            <w:r>
              <w:rPr>
                <w:rFonts w:ascii="Times New Roman" w:hAnsi="Times New Roman"/>
                <w:sz w:val="24"/>
              </w:rPr>
              <w:t>n</w:t>
            </w:r>
            <w:r>
              <w:rPr>
                <w:rFonts w:ascii="Times New Roman" w:hAnsi="Times New Roman"/>
                <w:sz w:val="24"/>
              </w:rPr>
              <w:t>tade förluster i samband med dessa risker (K</w:t>
            </w:r>
            <w:r>
              <w:rPr>
                <w:rFonts w:ascii="Times New Roman" w:hAnsi="Times New Roman"/>
                <w:sz w:val="24"/>
                <w:vertAlign w:val="subscript"/>
              </w:rPr>
              <w:t>irb</w:t>
            </w:r>
            <w:r>
              <w:rPr>
                <w:rFonts w:ascii="Times New Roman" w:hAnsi="Times New Roman"/>
                <w:sz w:val="24"/>
              </w:rPr>
              <w:t>) som en procentandel (med två decimaler) av de totala värdepapperiserade exponeringarna vid ursprungstil</w:t>
            </w:r>
            <w:r>
              <w:rPr>
                <w:rFonts w:ascii="Times New Roman" w:hAnsi="Times New Roman"/>
                <w:sz w:val="24"/>
              </w:rPr>
              <w:t>l</w:t>
            </w:r>
            <w:r>
              <w:rPr>
                <w:rFonts w:ascii="Times New Roman" w:hAnsi="Times New Roman"/>
                <w:sz w:val="24"/>
              </w:rPr>
              <w:t>fället. K</w:t>
            </w:r>
            <w:r>
              <w:rPr>
                <w:rFonts w:ascii="Times New Roman" w:hAnsi="Times New Roman"/>
                <w:sz w:val="24"/>
                <w:vertAlign w:val="subscript"/>
              </w:rPr>
              <w:t>irb</w:t>
            </w:r>
            <w:r>
              <w:rPr>
                <w:rFonts w:ascii="Times New Roman" w:hAnsi="Times New Roman"/>
                <w:sz w:val="24"/>
              </w:rPr>
              <w:t xml:space="preserve"> definieras i artikel 242.4 i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Denna kolumn ska inte fyllas i vid värdepapperiseringar av skulder. Vid värd</w:t>
            </w:r>
            <w:r>
              <w:rPr>
                <w:rFonts w:ascii="Times New Roman" w:hAnsi="Times New Roman"/>
                <w:sz w:val="24"/>
              </w:rPr>
              <w:t>e</w:t>
            </w:r>
            <w:r>
              <w:rPr>
                <w:rFonts w:ascii="Times New Roman" w:hAnsi="Times New Roman"/>
                <w:sz w:val="24"/>
              </w:rPr>
              <w:t>papperisering av tillgångar ska denna uppgift rapporteras även om den rappo</w:t>
            </w:r>
            <w:r>
              <w:rPr>
                <w:rFonts w:ascii="Times New Roman" w:hAnsi="Times New Roman"/>
                <w:sz w:val="24"/>
              </w:rPr>
              <w:t>r</w:t>
            </w:r>
            <w:r>
              <w:rPr>
                <w:rFonts w:ascii="Times New Roman" w:hAnsi="Times New Roman"/>
                <w:sz w:val="24"/>
              </w:rPr>
              <w:t xml:space="preserve">terande enheten inte innehar några positioner i värdepapperiseringen.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Medverkande institut ska inte fylla i denna kolumn.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VÄRDEPAPPERISERINGSSTRUKTUR</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 dessa sex kolumner lämnas information om värdepapperiseringens struktur avseende positioner inom och utanför balansräkningen, trancher (prioriterade, mellanliggande och i första-förlustläge) och löptid.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Vid värdepapperiseringar med flera partner ska institutet för första-förlusttranchen endast rapportera det belopp som motsvarar eller kan hänföras till det rapporterande institutet.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I BALANSRÄKNINGEN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 denna grupp av kolumner lämnas information om poster i balansräkningen med uppdelning i trancher (prioriterade, mellanliggande och i första-förlustläge).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PRIORITERADE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Vid rapporteringsreferensdatum efter den 1 januari 2019 gäller för värdepapp</w:t>
            </w:r>
            <w:r>
              <w:rPr>
                <w:rFonts w:ascii="Times New Roman" w:hAnsi="Times New Roman"/>
                <w:sz w:val="24"/>
              </w:rPr>
              <w:t>e</w:t>
            </w:r>
            <w:r>
              <w:rPr>
                <w:rFonts w:ascii="Times New Roman" w:hAnsi="Times New Roman"/>
                <w:sz w:val="24"/>
              </w:rPr>
              <w:t>riseringspositioner vars exponeringsvärden beräknas i enlighet med CRR: En värdepapperiseringsposition enligt definitionen i artikel 242.6 i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För alla andra värdepapperiseringspositioner gäller: Alla trancher som inte rä</w:t>
            </w:r>
            <w:r>
              <w:rPr>
                <w:rFonts w:ascii="Times New Roman" w:hAnsi="Times New Roman"/>
                <w:sz w:val="24"/>
              </w:rPr>
              <w:t>k</w:t>
            </w:r>
            <w:r>
              <w:rPr>
                <w:rFonts w:ascii="Times New Roman" w:hAnsi="Times New Roman"/>
                <w:sz w:val="24"/>
              </w:rPr>
              <w:t>nas som mellanliggande trancher eller trancher i första-förlustläge i enlighet med CRR i den version som gäller den 31 december 2018 ska tillhöra denna kategori.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MELLANLIGGANDE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Vid rapporteringsreferensdatum efter den 1 januari 2019 gäller för värdepapp</w:t>
            </w:r>
            <w:r>
              <w:rPr>
                <w:rFonts w:ascii="Times New Roman" w:hAnsi="Times New Roman"/>
                <w:sz w:val="24"/>
              </w:rPr>
              <w:t>e</w:t>
            </w:r>
            <w:r>
              <w:rPr>
                <w:rFonts w:ascii="Times New Roman" w:hAnsi="Times New Roman"/>
                <w:sz w:val="24"/>
              </w:rPr>
              <w:t>riseringspositioner vars exponeringsvärden beräknas i enlighet med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Alla positioner enligt definitionen i artikel 242.18 i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Alla positioner som inte omfattas av artikel 242.6 eller 242.17 i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För alla andra värdepapperiseringspositioner gäller: Se artiklarna 243.3 (tradi</w:t>
            </w:r>
            <w:r>
              <w:rPr>
                <w:rFonts w:ascii="Times New Roman" w:hAnsi="Times New Roman"/>
                <w:sz w:val="24"/>
              </w:rPr>
              <w:t>t</w:t>
            </w:r>
            <w:r>
              <w:rPr>
                <w:rFonts w:ascii="Times New Roman" w:hAnsi="Times New Roman"/>
                <w:sz w:val="24"/>
              </w:rPr>
              <w:t>ionella värdepapperiseringar) och 244.3 (syntetiska värdepapperiseringar) i CRR i den version som gäller den 31 december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FÖRSTAFÖRLUST</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Vid rapporteringsreferensdatum efter den 1 januari 2019 gäller för värdepapp</w:t>
            </w:r>
            <w:r>
              <w:rPr>
                <w:rFonts w:ascii="Times New Roman" w:hAnsi="Times New Roman"/>
                <w:sz w:val="24"/>
              </w:rPr>
              <w:t>e</w:t>
            </w:r>
            <w:r>
              <w:rPr>
                <w:rFonts w:ascii="Times New Roman" w:hAnsi="Times New Roman"/>
                <w:sz w:val="24"/>
              </w:rPr>
              <w:t>riseringspositioner vars exponeringsvärden beräknas i enlighet med CRR: En värdepapperiseringsposition enligt definitionen i artikel 242.17 i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För alla andra värdepapperiseringspositioner gäller: Tranch i första-förlustläge definierad i artikel 242.15 i CRR i den version som gäller den 31 december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denna grupp av kolumner lämnas information om poster i balansräkningen och derivat med uppdelning i trancher (högt rangordnade, mellanliggande och i </w:t>
            </w:r>
            <w:r>
              <w:rPr>
                <w:rFonts w:ascii="Times New Roman" w:hAnsi="Times New Roman"/>
                <w:sz w:val="24"/>
              </w:rPr>
              <w:lastRenderedPageBreak/>
              <w:t>första-förlustläge).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Trancherna ska här delas upp enligt samma kriterier som för poster i balansrä</w:t>
            </w:r>
            <w:r>
              <w:rPr>
                <w:rFonts w:ascii="Times New Roman" w:hAnsi="Times New Roman"/>
                <w:sz w:val="24"/>
              </w:rPr>
              <w:t>k</w:t>
            </w:r>
            <w:r>
              <w:rPr>
                <w:rFonts w:ascii="Times New Roman" w:hAnsi="Times New Roman"/>
                <w:sz w:val="24"/>
              </w:rPr>
              <w:t>ningen.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FÖRSTA FÖRUTSÄGBARA AVSLUTSDATUM</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Det slutdatum som är sannolikt för hela värdepapperiseringen mot bakgrund av avtalsbestämmelserna och de finansiella förhållanden som kan väntas för til</w:t>
            </w:r>
            <w:r>
              <w:rPr>
                <w:rFonts w:ascii="Times New Roman" w:hAnsi="Times New Roman"/>
                <w:sz w:val="24"/>
              </w:rPr>
              <w:t>l</w:t>
            </w:r>
            <w:r>
              <w:rPr>
                <w:rFonts w:ascii="Times New Roman" w:hAnsi="Times New Roman"/>
                <w:sz w:val="24"/>
              </w:rPr>
              <w:t xml:space="preserve">fället. Generellt sett rör det sig om det tidigaste av följande datum: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det tidigaste datum då en städoption (definieras i artikel 242.2 i CRR) kan utnyttjas med hänsyn till löptiden för underliggande exponering(ar) och till förväntad förbetalningsgrad eller till potentiella omförhandlingar avseende dessa exponeringar.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det tidigaste datum då originatorn kan utnyttja någon annan städoption som ingår i avtalsbestämmelserna om värdepapperisering och som leda till att värdepapperiseringen löstes in helt och hållet.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Dag, månad och år för tidigast väntade slutdatum ska rapporteras.</w:t>
            </w:r>
            <w:r>
              <w:rPr>
                <w:rFonts w:ascii="Times New Roman" w:hAnsi="Times New Roman"/>
              </w:rPr>
              <w:t xml:space="preserve"> </w:t>
            </w:r>
            <w:r>
              <w:rPr>
                <w:rFonts w:ascii="Times New Roman" w:hAnsi="Times New Roman"/>
                <w:sz w:val="24"/>
              </w:rPr>
              <w:t>Exakt datum ska rapporteras om dessa uppgifter finns tillgängliga. I annat fall ska första d</w:t>
            </w:r>
            <w:r>
              <w:rPr>
                <w:rFonts w:ascii="Times New Roman" w:hAnsi="Times New Roman"/>
                <w:sz w:val="24"/>
              </w:rPr>
              <w:t>a</w:t>
            </w:r>
            <w:r>
              <w:rPr>
                <w:rFonts w:ascii="Times New Roman" w:hAnsi="Times New Roman"/>
                <w:sz w:val="24"/>
              </w:rPr>
              <w:t>gen i månaden anges.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RÄTTSLIGT GILTIG SLUTLIG FÖRFALLODAG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Det datum då alla kapitalbelopp och räntor i värdepapperiseringen enligt lag ska återbetalas (baserat på transaktionens dokumentation).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Dag, månad och år för rättsligt giltig slutlig förfallodag ska rapporteras.</w:t>
            </w:r>
            <w:r>
              <w:rPr>
                <w:rFonts w:ascii="Times New Roman" w:hAnsi="Times New Roman"/>
              </w:rPr>
              <w:t xml:space="preserve"> </w:t>
            </w:r>
            <w:r>
              <w:rPr>
                <w:rFonts w:ascii="Times New Roman" w:hAnsi="Times New Roman"/>
                <w:sz w:val="24"/>
              </w:rPr>
              <w:t>Exakt datum ska rapporteras om dessa uppgifter finns tillgängliga. I annat fall ska första dagen i månaden anges.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POSITIONER I VÄRDEPAPPERISERING: URSPRUNGLIG EXPON</w:t>
            </w:r>
            <w:r>
              <w:rPr>
                <w:rFonts w:ascii="Times New Roman" w:hAnsi="Times New Roman"/>
                <w:b/>
                <w:sz w:val="24"/>
                <w:u w:val="single"/>
              </w:rPr>
              <w:t>E</w:t>
            </w:r>
            <w:r>
              <w:rPr>
                <w:rFonts w:ascii="Times New Roman" w:hAnsi="Times New Roman"/>
                <w:b/>
                <w:sz w:val="24"/>
                <w:u w:val="single"/>
              </w:rPr>
              <w:t>RING FÖRE KONVERTERINGSFAKTORER</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kolumngrupp lämnas information om värdepapperiseringspositionerna avseende positioner inom och utanför balansräkningen och trancher (priorit</w:t>
            </w:r>
            <w:r>
              <w:rPr>
                <w:rFonts w:ascii="Times New Roman" w:hAnsi="Times New Roman"/>
                <w:sz w:val="24"/>
              </w:rPr>
              <w:t>e</w:t>
            </w:r>
            <w:r>
              <w:rPr>
                <w:rFonts w:ascii="Times New Roman" w:hAnsi="Times New Roman"/>
                <w:sz w:val="24"/>
              </w:rPr>
              <w:t xml:space="preserve">rade, mellanliggande, i första-förlustläge).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Trancherna ska här delas upp enligt samma kriterier som för kolumnerna 230–250.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Trancherna ska här delas upp enligt samma kriterier som för kolumnerna 260–280.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POSTER UTANFÖR BALANSRÄKNIN</w:t>
            </w:r>
            <w:r>
              <w:rPr>
                <w:rFonts w:ascii="Times New Roman" w:hAnsi="Times New Roman"/>
                <w:b/>
                <w:sz w:val="24"/>
                <w:u w:val="single"/>
              </w:rPr>
              <w:t>G</w:t>
            </w:r>
            <w:r>
              <w:rPr>
                <w:rFonts w:ascii="Times New Roman" w:hAnsi="Times New Roman"/>
                <w:b/>
                <w:sz w:val="24"/>
                <w:u w:val="single"/>
              </w:rPr>
              <w:lastRenderedPageBreak/>
              <w:t>EN OCH DERIVAT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 denna kolumngrupp lämnas ytterligare information om samtliga poster utanför balansräkningen och derivat (som redan har rapporterats enligt en annan up</w:t>
            </w:r>
            <w:r>
              <w:rPr>
                <w:rFonts w:ascii="Times New Roman" w:hAnsi="Times New Roman"/>
                <w:sz w:val="24"/>
              </w:rPr>
              <w:t>p</w:t>
            </w:r>
            <w:r>
              <w:rPr>
                <w:rFonts w:ascii="Times New Roman" w:hAnsi="Times New Roman"/>
                <w:sz w:val="24"/>
              </w:rPr>
              <w:t>delning i kolumnerna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DIREKTA KREDITSUBSTITUT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Denna kolumn är avsedd för de värdepapperiseringspositioner som innehas av originatorn och garanteras genom direkta kreditsubstitut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enlighet med bilaga I till CRR ska följande fullständiga risk för poster utanför balansräkningen betraktas som direkta kreditsubstitut: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Garantier knutna till kreditgivning.</w:t>
            </w:r>
          </w:p>
          <w:p w:rsidR="00612780" w:rsidRPr="00392FFD" w:rsidRDefault="00612780" w:rsidP="00612780">
            <w:pPr>
              <w:spacing w:before="0" w:after="0"/>
              <w:rPr>
                <w:rFonts w:ascii="Times New Roman" w:hAnsi="Times New Roman"/>
                <w:i/>
                <w:sz w:val="24"/>
              </w:rPr>
            </w:pPr>
            <w:r>
              <w:rPr>
                <w:rFonts w:ascii="Times New Roman" w:hAnsi="Times New Roman"/>
                <w:i/>
                <w:sz w:val="24"/>
              </w:rPr>
              <w:t>– Oåterkalleliga kreditlöften med karaktär av kreditsubstitut.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Ränteswappar (IRS) och valutaswappar (CRS). Dessa derivat ingår i bilaga II till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GODTAGBARA LIKVIDITETSFACILITETER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Likviditetsfaciliteter (LF) definieras i artikel 242.3 i CRR. De ska uppfylla de sex villkor som fastställs i artikel 255.1 i CRR för att betraktas som godtagbara (oavsett om institutet tillämpar schablonmetoden eller internmetoden).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ÖVRIGA (INKLUSIVE ICKE GODTAGBARA LIKVIDITETSFACIL</w:t>
            </w:r>
            <w:r>
              <w:rPr>
                <w:rFonts w:ascii="Times New Roman" w:hAnsi="Times New Roman"/>
                <w:b/>
                <w:sz w:val="24"/>
                <w:u w:val="single"/>
              </w:rPr>
              <w:t>I</w:t>
            </w:r>
            <w:r>
              <w:rPr>
                <w:rFonts w:ascii="Times New Roman" w:hAnsi="Times New Roman"/>
                <w:b/>
                <w:sz w:val="24"/>
                <w:u w:val="single"/>
              </w:rPr>
              <w:t>TETER)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Denna kolumn är avsedd för resterande poster utanför balansräkningen, såsom icke godtagbara likviditetsfaciliteter (dvs. de likviditetsfaciliteter som inte up</w:t>
            </w:r>
            <w:r>
              <w:rPr>
                <w:rFonts w:ascii="Times New Roman" w:hAnsi="Times New Roman"/>
                <w:sz w:val="24"/>
              </w:rPr>
              <w:t>p</w:t>
            </w:r>
            <w:r>
              <w:rPr>
                <w:rFonts w:ascii="Times New Roman" w:hAnsi="Times New Roman"/>
                <w:sz w:val="24"/>
              </w:rPr>
              <w:t>fyller villkoren i artikel 255.1 i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FÖRTIDA AMORTERING TILLÄMPAD KONVERTERINGSFAKTOR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I artiklarna 242.12 och 256.5 (schablonmetoden) och i artikel 265.1 (internm</w:t>
            </w:r>
            <w:r>
              <w:rPr>
                <w:rFonts w:ascii="Times New Roman" w:hAnsi="Times New Roman"/>
                <w:sz w:val="24"/>
              </w:rPr>
              <w:t>e</w:t>
            </w:r>
            <w:r>
              <w:rPr>
                <w:rFonts w:ascii="Times New Roman" w:hAnsi="Times New Roman"/>
                <w:sz w:val="24"/>
              </w:rPr>
              <w:t>toden) i CRR föreskrivs ett antal konverteringsfaktorer som ska tillämpas på investerarnas andelar (i syfte att beräkna de riskvägda exponeringsbeloppen).</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Denna kolumn gäller värdepapperiseringsprogram med avtalsklausuler om fö</w:t>
            </w:r>
            <w:r>
              <w:rPr>
                <w:rFonts w:ascii="Times New Roman" w:hAnsi="Times New Roman"/>
                <w:sz w:val="24"/>
              </w:rPr>
              <w:t>r</w:t>
            </w:r>
            <w:r>
              <w:rPr>
                <w:rFonts w:ascii="Times New Roman" w:hAnsi="Times New Roman"/>
                <w:sz w:val="24"/>
              </w:rPr>
              <w:t>tida amortering (dvs. rullande värdepapperiseringar).</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I enlighet med artikel 256.6 i CRR ska överskottsmarginalens faktiska trem</w:t>
            </w:r>
            <w:r>
              <w:rPr>
                <w:rFonts w:ascii="Times New Roman" w:hAnsi="Times New Roman"/>
                <w:sz w:val="24"/>
              </w:rPr>
              <w:t>å</w:t>
            </w:r>
            <w:r>
              <w:rPr>
                <w:rFonts w:ascii="Times New Roman" w:hAnsi="Times New Roman"/>
                <w:sz w:val="24"/>
              </w:rPr>
              <w:t>nadersgenomsnitt avgöra vilken konverteringsfaktor som ska tillämpas.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Denna kolumn ska inte fyllas i när det gäller värdepapperiseringar av skulder. POSITIONER I VÄRDEPAPPERISERING – HANDELSLAGRET Denna i</w:t>
            </w:r>
            <w:r>
              <w:rPr>
                <w:rFonts w:ascii="Times New Roman" w:hAnsi="Times New Roman"/>
                <w:sz w:val="24"/>
              </w:rPr>
              <w:t>n</w:t>
            </w:r>
            <w:r>
              <w:rPr>
                <w:rFonts w:ascii="Times New Roman" w:hAnsi="Times New Roman"/>
                <w:sz w:val="24"/>
              </w:rPr>
              <w:t xml:space="preserve">formation har anknytning till rad 100 i mall CR SEC SA och rad 160 i mall CR </w:t>
            </w:r>
            <w:r>
              <w:rPr>
                <w:rFonts w:ascii="Times New Roman" w:hAnsi="Times New Roman"/>
                <w:sz w:val="24"/>
              </w:rPr>
              <w:lastRenderedPageBreak/>
              <w:t>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AVDRAGET FRÅN KAPITALBASEN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Denna information har nära anknytning till kolumn 200 i mall CR SEC SA och till kolumn 180 i mall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 rapporteras ett negativt värde.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SUMMA EXPONERINGSBELOPP FÖRE TILLÄMPNING AV TAKET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 lämnas uppgift om det riskvägda exponeringsbeloppet före ti</w:t>
            </w:r>
            <w:r>
              <w:rPr>
                <w:rFonts w:ascii="Times New Roman" w:hAnsi="Times New Roman"/>
                <w:sz w:val="24"/>
              </w:rPr>
              <w:t>l</w:t>
            </w:r>
            <w:r>
              <w:rPr>
                <w:rFonts w:ascii="Times New Roman" w:hAnsi="Times New Roman"/>
                <w:sz w:val="24"/>
              </w:rPr>
              <w:t>lämpning av taket för värdepapperiseringspositionerna (dvs. vid värdepapper</w:t>
            </w:r>
            <w:r>
              <w:rPr>
                <w:rFonts w:ascii="Times New Roman" w:hAnsi="Times New Roman"/>
                <w:sz w:val="24"/>
              </w:rPr>
              <w:t>i</w:t>
            </w:r>
            <w:r>
              <w:rPr>
                <w:rFonts w:ascii="Times New Roman" w:hAnsi="Times New Roman"/>
                <w:sz w:val="24"/>
              </w:rPr>
              <w:t>seringsprogram med betydande risköverföring). Vid värdepapperiseringspr</w:t>
            </w:r>
            <w:r>
              <w:rPr>
                <w:rFonts w:ascii="Times New Roman" w:hAnsi="Times New Roman"/>
                <w:sz w:val="24"/>
              </w:rPr>
              <w:t>o</w:t>
            </w:r>
            <w:r>
              <w:rPr>
                <w:rFonts w:ascii="Times New Roman" w:hAnsi="Times New Roman"/>
                <w:sz w:val="24"/>
              </w:rPr>
              <w:t>gram utan betydande risköverföring (dvs. riskvägt exponeringsbelopp beräknat utifrån värdepapperiserade exponeringar) ska ingen uppgift rapporteras i denna kolumn.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Denna kolumn ska inte fyllas i när det gäller värdepapperiseringar av skulder.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SUMMA EXPONERINGSBELOPP EFTER TILLÄMPNING AV T</w:t>
            </w:r>
            <w:r>
              <w:rPr>
                <w:rFonts w:ascii="Times New Roman" w:hAnsi="Times New Roman"/>
                <w:b/>
                <w:sz w:val="24"/>
                <w:u w:val="single"/>
              </w:rPr>
              <w:t>A</w:t>
            </w:r>
            <w:r>
              <w:rPr>
                <w:rFonts w:ascii="Times New Roman" w:hAnsi="Times New Roman"/>
                <w:b/>
                <w:sz w:val="24"/>
                <w:u w:val="single"/>
              </w:rPr>
              <w:t>KET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 denna kolumn lämnas uppgift om det riskvägda exponeringsbeloppet efter ti</w:t>
            </w:r>
            <w:r>
              <w:rPr>
                <w:rFonts w:ascii="Times New Roman" w:hAnsi="Times New Roman"/>
                <w:sz w:val="24"/>
              </w:rPr>
              <w:t>l</w:t>
            </w:r>
            <w:r>
              <w:rPr>
                <w:rFonts w:ascii="Times New Roman" w:hAnsi="Times New Roman"/>
                <w:sz w:val="24"/>
              </w:rPr>
              <w:t>lämpning av taket för värdepapperiseringspositionerna (dvs. vid värdepapper</w:t>
            </w:r>
            <w:r>
              <w:rPr>
                <w:rFonts w:ascii="Times New Roman" w:hAnsi="Times New Roman"/>
                <w:sz w:val="24"/>
              </w:rPr>
              <w:t>i</w:t>
            </w:r>
            <w:r>
              <w:rPr>
                <w:rFonts w:ascii="Times New Roman" w:hAnsi="Times New Roman"/>
                <w:sz w:val="24"/>
              </w:rPr>
              <w:t>seringsprogram med betydande risköverföring). Vid värdepapperiseringspr</w:t>
            </w:r>
            <w:r>
              <w:rPr>
                <w:rFonts w:ascii="Times New Roman" w:hAnsi="Times New Roman"/>
                <w:sz w:val="24"/>
              </w:rPr>
              <w:t>o</w:t>
            </w:r>
            <w:r>
              <w:rPr>
                <w:rFonts w:ascii="Times New Roman" w:hAnsi="Times New Roman"/>
                <w:sz w:val="24"/>
              </w:rPr>
              <w:t>gram utan betydande risköverföring (dvs. kapitalbaskrav beräknade utifrån vä</w:t>
            </w:r>
            <w:r>
              <w:rPr>
                <w:rFonts w:ascii="Times New Roman" w:hAnsi="Times New Roman"/>
                <w:sz w:val="24"/>
              </w:rPr>
              <w:t>r</w:t>
            </w:r>
            <w:r>
              <w:rPr>
                <w:rFonts w:ascii="Times New Roman" w:hAnsi="Times New Roman"/>
                <w:sz w:val="24"/>
              </w:rPr>
              <w:t>depapperiserade exponeringar) ska ingen uppgift rapporteras i denna kolumn.</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Denna kolumn ska inte fyllas i när det gäller värdepapperiseringar av skulder.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METOD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I denna kolumn anges metoden för att bestämma det totala riskvägda expon</w:t>
            </w:r>
            <w:r>
              <w:rPr>
                <w:rFonts w:ascii="Times New Roman" w:hAnsi="Times New Roman"/>
                <w:sz w:val="24"/>
              </w:rPr>
              <w:t>e</w:t>
            </w:r>
            <w:r>
              <w:rPr>
                <w:rFonts w:ascii="Times New Roman" w:hAnsi="Times New Roman"/>
                <w:sz w:val="24"/>
              </w:rPr>
              <w:t>ringsbelopp som rapporteras i kolumn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Någon av följande metoder ska användas:</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För värdepapperiseringspositioner där de riskvägda exponeringsbeloppen b</w:t>
            </w:r>
            <w:r>
              <w:rPr>
                <w:rFonts w:ascii="Times New Roman" w:hAnsi="Times New Roman"/>
                <w:i/>
                <w:sz w:val="24"/>
              </w:rPr>
              <w:t>e</w:t>
            </w:r>
            <w:r>
              <w:rPr>
                <w:rFonts w:ascii="Times New Roman" w:hAnsi="Times New Roman"/>
                <w:i/>
                <w:sz w:val="24"/>
              </w:rPr>
              <w:t>räknas i enlighet med CRR i den version som gäller den 31 december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Annan (ursprungliga bestämmelser om värdepapperisering)</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Vid rapporteringsreferensdatum efter den 1 januari 2019, för värdepapperis</w:t>
            </w:r>
            <w:r>
              <w:rPr>
                <w:rFonts w:ascii="Times New Roman" w:hAnsi="Times New Roman"/>
                <w:i/>
                <w:sz w:val="24"/>
              </w:rPr>
              <w:t>e</w:t>
            </w:r>
            <w:r>
              <w:rPr>
                <w:rFonts w:ascii="Times New Roman" w:hAnsi="Times New Roman"/>
                <w:i/>
                <w:sz w:val="24"/>
              </w:rPr>
              <w:t>ringspositioner där de riskvägda exponeringsbeloppen beräknas i enlighet med 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för positioner som inte omfattas av någon metod (artikel 254.7 i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Flera metoder</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I linje med fastställandet av riskvikter enligt artikel 337 i CRR ska, för instr</w:t>
            </w:r>
            <w:r>
              <w:rPr>
                <w:rFonts w:ascii="Times New Roman" w:hAnsi="Times New Roman"/>
                <w:sz w:val="24"/>
              </w:rPr>
              <w:t>u</w:t>
            </w:r>
            <w:r>
              <w:rPr>
                <w:rFonts w:ascii="Times New Roman" w:hAnsi="Times New Roman"/>
                <w:sz w:val="24"/>
              </w:rPr>
              <w:t>ment i handelslagret som är värdepapperiseringspositioner, metoden fastställas som den metod som institutet skulle använda för positionen utanför handelsla</w:t>
            </w:r>
            <w:r>
              <w:rPr>
                <w:rFonts w:ascii="Times New Roman" w:hAnsi="Times New Roman"/>
                <w:sz w:val="24"/>
              </w:rPr>
              <w:t>g</w:t>
            </w:r>
            <w:r>
              <w:rPr>
                <w:rFonts w:ascii="Times New Roman" w:hAnsi="Times New Roman"/>
                <w:sz w:val="24"/>
              </w:rPr>
              <w:t>ret.</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”Flera metoder” ska anges om institutet är involverat i eller exponerat för vä</w:t>
            </w:r>
            <w:r>
              <w:rPr>
                <w:rFonts w:ascii="Times New Roman" w:hAnsi="Times New Roman"/>
                <w:sz w:val="24"/>
              </w:rPr>
              <w:t>r</w:t>
            </w:r>
            <w:r>
              <w:rPr>
                <w:rFonts w:ascii="Times New Roman" w:hAnsi="Times New Roman"/>
                <w:sz w:val="24"/>
              </w:rPr>
              <w:t>depapperiseringstransaktioner på flera sätt och tillämpar olika metoder för b</w:t>
            </w:r>
            <w:r>
              <w:rPr>
                <w:rFonts w:ascii="Times New Roman" w:hAnsi="Times New Roman"/>
                <w:sz w:val="24"/>
              </w:rPr>
              <w:t>e</w:t>
            </w:r>
            <w:r>
              <w:rPr>
                <w:rFonts w:ascii="Times New Roman" w:hAnsi="Times New Roman"/>
                <w:sz w:val="24"/>
              </w:rPr>
              <w:t>räkningen av kapitalbaskrav i sina olika roller eller för sina olika exponeringar.</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VÄRDEPAPPERISERINGAR SOM UPPFYLLER KRAVEN FÖR DI</w:t>
            </w:r>
            <w:r>
              <w:rPr>
                <w:rFonts w:ascii="Times New Roman" w:hAnsi="Times New Roman"/>
                <w:b/>
                <w:sz w:val="24"/>
                <w:u w:val="single"/>
              </w:rPr>
              <w:t>F</w:t>
            </w:r>
            <w:r>
              <w:rPr>
                <w:rFonts w:ascii="Times New Roman" w:hAnsi="Times New Roman"/>
                <w:b/>
                <w:sz w:val="24"/>
                <w:u w:val="single"/>
              </w:rPr>
              <w:t>FERENTIERAD KAPITALBEHANDLING</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Vid rapporteringsreferensdatum efter 1 januari 2019, artiklarna 243 och 279 i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En av följande förkortningar rapporteras:</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”Ja” ska rapporteras både för STS-värdepapperisieringar som uppfyller kraven för differentierad kapitalbehandling enligt artikel 243 i CRR och prioriterade värdepapperiseringspositioner (ej STS) i små och medelstora företag som up</w:t>
            </w:r>
            <w:r>
              <w:rPr>
                <w:rFonts w:ascii="Times New Roman" w:hAnsi="Times New Roman"/>
                <w:sz w:val="24"/>
              </w:rPr>
              <w:t>p</w:t>
            </w:r>
            <w:r>
              <w:rPr>
                <w:rFonts w:ascii="Times New Roman" w:hAnsi="Times New Roman"/>
                <w:sz w:val="24"/>
              </w:rPr>
              <w:t>fyller kraven för differentierad kapitalbehandling enligt artikel 270 i 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POSITIONER I VÄRDEPAPPERISERING – HANDELSLAGRET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KORRELATIONSHANDELSPORTFÖLJ ELLER EJ KORRELA</w:t>
            </w:r>
            <w:r>
              <w:rPr>
                <w:rFonts w:ascii="Times New Roman" w:hAnsi="Times New Roman"/>
                <w:b/>
                <w:sz w:val="24"/>
                <w:u w:val="single"/>
              </w:rPr>
              <w:t>T</w:t>
            </w:r>
            <w:r>
              <w:rPr>
                <w:rFonts w:ascii="Times New Roman" w:hAnsi="Times New Roman"/>
                <w:b/>
                <w:sz w:val="24"/>
                <w:u w:val="single"/>
              </w:rPr>
              <w:t>IONSHANDELSPORTFÖLJ?</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Följande förkortningar rapporteras:</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korrelationshandelsportfölj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ej korrelationshandelsportfölj.</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LÅNGA/KORTA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Se kolumnerna 050/060 i mall MKR SA SEC respektive mall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SAMMANLAGDA KAPITALBASKRAV ENLIGT SCHABLONMET</w:t>
            </w:r>
            <w:r>
              <w:rPr>
                <w:rStyle w:val="InstructionsTabelleberschrift"/>
                <w:rFonts w:ascii="Times New Roman" w:hAnsi="Times New Roman"/>
                <w:sz w:val="24"/>
              </w:rPr>
              <w:t>O</w:t>
            </w:r>
            <w:r>
              <w:rPr>
                <w:rStyle w:val="InstructionsTabelleberschrift"/>
                <w:rFonts w:ascii="Times New Roman" w:hAnsi="Times New Roman"/>
                <w:sz w:val="24"/>
              </w:rPr>
              <w:t>DEN – SPECIFIK RISK</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Se kolumn 610 i mall MKR SA SEC respektive kolumn 450 i mall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2" w:name="_Toc260157222"/>
      <w:bookmarkStart w:id="493" w:name="_Toc262566416"/>
      <w:bookmarkStart w:id="494" w:name="_Toc295829987"/>
      <w:bookmarkStart w:id="495" w:name="_Toc310415049"/>
      <w:bookmarkStart w:id="496" w:name="_Toc360188384"/>
      <w:bookmarkStart w:id="497" w:name="_Toc516210670"/>
      <w:bookmarkStart w:id="498" w:name="_Toc473560935"/>
      <w:bookmarkStart w:id="499" w:name="_Toc523820291"/>
      <w:bookmarkStart w:id="500" w:name="_Toc260157223"/>
      <w:bookmarkStart w:id="501" w:name="_Toc262566417"/>
      <w:bookmarkStart w:id="502" w:name="_Toc264038462"/>
      <w:bookmarkStart w:id="503" w:name="_Toc295829988"/>
      <w:bookmarkStart w:id="504" w:name="_Toc310415050"/>
      <w:r>
        <w:rPr>
          <w:rFonts w:ascii="Times New Roman" w:hAnsi="Times New Roman"/>
          <w:sz w:val="24"/>
        </w:rPr>
        <w:t>4.</w:t>
      </w:r>
      <w:r w:rsidRPr="00C039D2">
        <w:rPr>
          <w:u w:val="none"/>
        </w:rPr>
        <w:tab/>
      </w:r>
      <w:r>
        <w:rPr>
          <w:rFonts w:ascii="Times New Roman" w:hAnsi="Times New Roman"/>
          <w:sz w:val="24"/>
        </w:rPr>
        <w:t>Mallar för operativ risk</w:t>
      </w:r>
      <w:bookmarkEnd w:id="492"/>
      <w:bookmarkEnd w:id="493"/>
      <w:bookmarkEnd w:id="494"/>
      <w:bookmarkEnd w:id="495"/>
      <w:bookmarkEnd w:id="496"/>
      <w:bookmarkEnd w:id="497"/>
      <w:bookmarkEnd w:id="498"/>
      <w:bookmarkEnd w:id="499"/>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5" w:name="_Toc360188385"/>
      <w:bookmarkStart w:id="506" w:name="_Toc516210671"/>
      <w:bookmarkStart w:id="507" w:name="_Toc473560936"/>
      <w:bookmarkStart w:id="508" w:name="_Toc523820292"/>
      <w:r>
        <w:rPr>
          <w:rFonts w:ascii="Times New Roman" w:hAnsi="Times New Roman"/>
          <w:sz w:val="24"/>
        </w:rPr>
        <w:t>4.1</w:t>
      </w:r>
      <w:r w:rsidRPr="00C039D2">
        <w:rPr>
          <w:u w:val="none"/>
        </w:rPr>
        <w:tab/>
      </w:r>
      <w:r w:rsidRPr="00C039D2">
        <w:rPr>
          <w:u w:val="none"/>
        </w:rPr>
        <w:tab/>
      </w:r>
      <w:r>
        <w:rPr>
          <w:rFonts w:ascii="Times New Roman" w:hAnsi="Times New Roman"/>
          <w:sz w:val="24"/>
        </w:rPr>
        <w:t>C 16.00 – Operativ risk</w:t>
      </w:r>
      <w:bookmarkEnd w:id="500"/>
      <w:bookmarkEnd w:id="501"/>
      <w:bookmarkEnd w:id="502"/>
      <w:bookmarkEnd w:id="503"/>
      <w:bookmarkEnd w:id="504"/>
      <w:bookmarkEnd w:id="505"/>
      <w:r>
        <w:rPr>
          <w:rFonts w:ascii="Times New Roman" w:hAnsi="Times New Roman"/>
          <w:sz w:val="24"/>
        </w:rPr>
        <w:t xml:space="preserve"> (OPR)</w:t>
      </w:r>
      <w:bookmarkEnd w:id="506"/>
      <w:bookmarkEnd w:id="507"/>
      <w:bookmarkEnd w:id="508"/>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09" w:name="_Toc260157224"/>
      <w:bookmarkStart w:id="510" w:name="_Toc262566418"/>
      <w:bookmarkStart w:id="511" w:name="_Toc264038463"/>
      <w:bookmarkStart w:id="512" w:name="_Toc295829989"/>
      <w:bookmarkStart w:id="513" w:name="_Toc310415051"/>
      <w:bookmarkStart w:id="514" w:name="_Toc360188386"/>
      <w:bookmarkStart w:id="515" w:name="_Toc516210672"/>
      <w:bookmarkStart w:id="516" w:name="_Toc473560937"/>
      <w:bookmarkStart w:id="517" w:name="_Toc523820293"/>
      <w:r>
        <w:rPr>
          <w:rFonts w:ascii="Times New Roman" w:hAnsi="Times New Roman"/>
          <w:sz w:val="24"/>
          <w:u w:val="none"/>
        </w:rPr>
        <w:t>4.1.1</w:t>
      </w:r>
      <w:r w:rsidRPr="00C039D2">
        <w:rPr>
          <w:u w:val="none"/>
        </w:rPr>
        <w:tab/>
      </w:r>
      <w:r>
        <w:rPr>
          <w:rFonts w:ascii="Times New Roman" w:hAnsi="Times New Roman"/>
          <w:sz w:val="24"/>
          <w:u w:val="none"/>
        </w:rPr>
        <w:t>Allmänna</w:t>
      </w:r>
      <w:bookmarkEnd w:id="509"/>
      <w:r>
        <w:rPr>
          <w:rFonts w:ascii="Times New Roman" w:hAnsi="Times New Roman"/>
          <w:sz w:val="24"/>
          <w:u w:val="none"/>
        </w:rPr>
        <w:t xml:space="preserve"> kommentarer</w:t>
      </w:r>
      <w:bookmarkEnd w:id="510"/>
      <w:bookmarkEnd w:id="511"/>
      <w:bookmarkEnd w:id="512"/>
      <w:bookmarkEnd w:id="513"/>
      <w:bookmarkEnd w:id="514"/>
      <w:bookmarkEnd w:id="515"/>
      <w:bookmarkEnd w:id="516"/>
      <w:bookmarkEnd w:id="517"/>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Denna mall ger information om beräkningen av kapitalbaskrav i enlighet med artiklarna 312–324 i CRR för operativ risk enligt basmetoden (BIA), schablonm</w:t>
      </w:r>
      <w:r>
        <w:t>e</w:t>
      </w:r>
      <w:r>
        <w:lastRenderedPageBreak/>
        <w:t>toden (TSA), den alternativa schablonmetoden (ASA) och internmätningsmetode</w:t>
      </w:r>
      <w:r>
        <w:t>r</w:t>
      </w:r>
      <w:r>
        <w:t>na (AMA). Ett institut kan inte på individuell nivå tillämpa TSA och ASA samt</w:t>
      </w:r>
      <w:r>
        <w:t>i</w:t>
      </w:r>
      <w:r>
        <w:t>digt för affärsområdena hushållsbank och storkundsbank.</w:t>
      </w:r>
    </w:p>
    <w:p w:rsidR="00AC6255" w:rsidRPr="00392FFD" w:rsidRDefault="00125707" w:rsidP="00C37B29">
      <w:pPr>
        <w:pStyle w:val="InstructionsText2"/>
        <w:numPr>
          <w:ilvl w:val="0"/>
          <w:numId w:val="0"/>
        </w:numPr>
        <w:ind w:left="993"/>
      </w:pPr>
      <w:r>
        <w:t>115.</w:t>
      </w:r>
      <w:r>
        <w:tab/>
        <w:t>Institut som använder basmetoden (BIA), schablonmetoden (TSA) och/eller den alternativa schablonmetoden (ASA) ska beräkna kapitalbaskraven utifrån de uppgifter som finns vid räkenskapsårets slut. Om reviderade uppgifter inte är til</w:t>
      </w:r>
      <w:r>
        <w:t>l</w:t>
      </w:r>
      <w:r>
        <w:t>gängliga får instituten använda skattningar. Om instituten använder reviderade up</w:t>
      </w:r>
      <w:r>
        <w:t>p</w:t>
      </w:r>
      <w:r>
        <w:t>gifter ska de rapportera de reviderade uppgifterna, som bör förbli oförändrade. Det finns möjlighet att avvika från principen om oförändrade uppgifter, t.ex. om villk</w:t>
      </w:r>
      <w:r>
        <w:t>o</w:t>
      </w:r>
      <w:r>
        <w:t xml:space="preserve">ren för särskilda omständigheter uppfylls under perioden, t.ex. om institutet nyligen har förvärvat eller sålt enheter eller verksamheter. </w:t>
      </w:r>
    </w:p>
    <w:p w:rsidR="00AC6255" w:rsidRPr="00392FFD" w:rsidRDefault="00125707" w:rsidP="00C37B29">
      <w:pPr>
        <w:pStyle w:val="InstructionsText2"/>
        <w:numPr>
          <w:ilvl w:val="0"/>
          <w:numId w:val="0"/>
        </w:numPr>
        <w:ind w:left="993"/>
      </w:pPr>
      <w:r>
        <w:t>116.</w:t>
      </w:r>
      <w:r>
        <w:tab/>
        <w:t>Om ett institut kan visa för sin behöriga myndighet att användningen av ett treårigt genomsnitt för att beräkna den relevanta indikatorn – på grund av särskilda omständigheter såsom en fusion, ett förvärv eller en försäljning av enheter eller verksamheter – skulle leda till felskattningar av kapitalbaskraven för operativ risk, får den behöriga myndigheten tillåta institutet att ändra beräkningen på ett sätt som skulle ta hänsyn till sådana händelser. Den behöriga myndigheten får också på eget initiativ begära att ett institut ändrar beräkningen. Ett institut som har varit ver</w:t>
      </w:r>
      <w:r>
        <w:t>k</w:t>
      </w:r>
      <w:r>
        <w:t>samt i mindre än tre år får använda sina egna framåtblickande skattningar vid b</w:t>
      </w:r>
      <w:r>
        <w:t>e</w:t>
      </w:r>
      <w:r>
        <w:t>räkningen av den relevanta indikatorn, förutsatt att institutet börjar använda hist</w:t>
      </w:r>
      <w:r>
        <w:t>o</w:t>
      </w:r>
      <w:r>
        <w:t>riska uppgifter så snart sådana finns tillgängliga.</w:t>
      </w:r>
    </w:p>
    <w:p w:rsidR="00AC6255" w:rsidRPr="00392FFD" w:rsidRDefault="00125707" w:rsidP="00C37B29">
      <w:pPr>
        <w:pStyle w:val="InstructionsText2"/>
        <w:numPr>
          <w:ilvl w:val="0"/>
          <w:numId w:val="0"/>
        </w:numPr>
        <w:ind w:left="993"/>
      </w:pPr>
      <w:r>
        <w:t>117.</w:t>
      </w:r>
      <w:r>
        <w:tab/>
        <w:t>I kolumnerna i denna mall anges de tre senaste årens belopp dels för den rel</w:t>
      </w:r>
      <w:r>
        <w:t>e</w:t>
      </w:r>
      <w:r>
        <w:t>vanta indikatorn för den bankverksamhet som är förenad med operativ risk, dels för lån och förskott (det sistnämnda är endast tillämpligt om institutet använder ASA). Därefter rapporteras uppgifter om beloppet enligt kapitalbaskraven för operativ risk. I förekommande fall ska institutet ange utförligare vilken del av beloppet som härrör från en mekanism för allokering. Institut som tillämpar AMA ska lägga till memorandumposter för att ge utförligare information om hur förväntad förlust, d</w:t>
      </w:r>
      <w:r>
        <w:t>i</w:t>
      </w:r>
      <w:r>
        <w:t>versifiering och riskreducering inverkar på kapitalbaskraven för operativ risk.</w:t>
      </w:r>
    </w:p>
    <w:p w:rsidR="00AC6255" w:rsidRPr="00392FFD" w:rsidRDefault="00125707" w:rsidP="00C37B29">
      <w:pPr>
        <w:pStyle w:val="InstructionsText2"/>
        <w:numPr>
          <w:ilvl w:val="0"/>
          <w:numId w:val="0"/>
        </w:numPr>
        <w:ind w:left="993"/>
      </w:pPr>
      <w:r>
        <w:t>118.</w:t>
      </w:r>
      <w:r>
        <w:tab/>
        <w:t>Institut som tillämpar TSA eller ASA ska på raderna i denna kolumn ange i</w:t>
      </w:r>
      <w:r>
        <w:t>n</w:t>
      </w:r>
      <w:r>
        <w:t>formation uppdelad efter metod för beräkning av kapitalbaskraven för operativ risk med utförligare uppgifter om affärsområdena.</w:t>
      </w:r>
    </w:p>
    <w:p w:rsidR="00AC6255" w:rsidRPr="00392FFD" w:rsidRDefault="00125707" w:rsidP="00C37B29">
      <w:pPr>
        <w:pStyle w:val="InstructionsText2"/>
        <w:numPr>
          <w:ilvl w:val="0"/>
          <w:numId w:val="0"/>
        </w:numPr>
        <w:ind w:left="993"/>
      </w:pPr>
      <w:r>
        <w:t>119.</w:t>
      </w:r>
      <w:r>
        <w:tab/>
        <w:t>Denna mall ska rapporteras av alla institut som omfattas av kapitalbaskraven för operativ risk.</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8" w:name="_Toc260157225"/>
      <w:bookmarkStart w:id="519" w:name="_Toc262566419"/>
      <w:bookmarkStart w:id="520" w:name="_Toc264038464"/>
      <w:bookmarkStart w:id="521" w:name="_Toc295829990"/>
      <w:bookmarkStart w:id="522" w:name="_Toc310415052"/>
      <w:bookmarkStart w:id="523" w:name="_Toc360188387"/>
      <w:bookmarkStart w:id="524" w:name="_Toc516210673"/>
      <w:bookmarkStart w:id="525" w:name="_Toc473560938"/>
      <w:bookmarkStart w:id="526" w:name="_Toc523820294"/>
      <w:r>
        <w:rPr>
          <w:rFonts w:ascii="Times New Roman" w:hAnsi="Times New Roman"/>
          <w:sz w:val="24"/>
          <w:u w:val="none"/>
        </w:rPr>
        <w:t>4.1.2.</w:t>
      </w:r>
      <w:r w:rsidRPr="00203FDD">
        <w:rPr>
          <w:u w:val="none"/>
        </w:rPr>
        <w:tab/>
      </w:r>
      <w:r>
        <w:rPr>
          <w:rFonts w:ascii="Times New Roman" w:hAnsi="Times New Roman"/>
          <w:sz w:val="24"/>
        </w:rPr>
        <w:t>Instruktioner för specifika positioner</w:t>
      </w:r>
      <w:bookmarkEnd w:id="518"/>
      <w:bookmarkEnd w:id="519"/>
      <w:bookmarkEnd w:id="520"/>
      <w:bookmarkEnd w:id="521"/>
      <w:bookmarkEnd w:id="522"/>
      <w:bookmarkEnd w:id="523"/>
      <w:bookmarkEnd w:id="524"/>
      <w:bookmarkEnd w:id="525"/>
      <w:bookmarkEnd w:id="526"/>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Kolumn</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 som beräknar kapitalbaskraven för operativ risk utifrån den relevanta indikatorn (BIA, TSA och ASA) ska rapportera den relevanta indikatorn för r</w:t>
            </w:r>
            <w:r>
              <w:rPr>
                <w:rFonts w:ascii="Times New Roman" w:hAnsi="Times New Roman"/>
                <w:sz w:val="24"/>
              </w:rPr>
              <w:t>e</w:t>
            </w:r>
            <w:r>
              <w:rPr>
                <w:rFonts w:ascii="Times New Roman" w:hAnsi="Times New Roman"/>
                <w:sz w:val="24"/>
              </w:rPr>
              <w:t>spektive år i kolumnerna 010–030. Institut som kombinerar flera metoder i e</w:t>
            </w:r>
            <w:r>
              <w:rPr>
                <w:rFonts w:ascii="Times New Roman" w:hAnsi="Times New Roman"/>
                <w:sz w:val="24"/>
              </w:rPr>
              <w:t>n</w:t>
            </w:r>
            <w:r>
              <w:rPr>
                <w:rFonts w:ascii="Times New Roman" w:hAnsi="Times New Roman"/>
                <w:sz w:val="24"/>
              </w:rPr>
              <w:t xml:space="preserve">lighet med artikel 314 i CRR ska i informationssyfte dessutom rapportera den </w:t>
            </w:r>
            <w:r>
              <w:rPr>
                <w:rFonts w:ascii="Times New Roman" w:hAnsi="Times New Roman"/>
                <w:sz w:val="24"/>
              </w:rPr>
              <w:lastRenderedPageBreak/>
              <w:t>relevanta indikatorn för den verksamhet som omfattas av AMA. Detta gäller också alla övriga banker som tillämpar AMA.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Med ”relevant indikator” avses nedan ”summan av posterna” i slutet av räke</w:t>
            </w:r>
            <w:r>
              <w:rPr>
                <w:rFonts w:ascii="Times New Roman" w:hAnsi="Times New Roman"/>
                <w:sz w:val="24"/>
              </w:rPr>
              <w:t>n</w:t>
            </w:r>
            <w:r>
              <w:rPr>
                <w:rFonts w:ascii="Times New Roman" w:hAnsi="Times New Roman"/>
                <w:sz w:val="24"/>
              </w:rPr>
              <w:t xml:space="preserve">skapsåret i enlighet med artikel 316.1 tabell 1 i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Om institutets uppgifter om ”relevant indikator” avser en kortare period än tre år ska de historiska uppgifter (reviderade siffror) som finns tillgängliga rappo</w:t>
            </w:r>
            <w:r>
              <w:rPr>
                <w:rFonts w:ascii="Times New Roman" w:hAnsi="Times New Roman"/>
                <w:sz w:val="24"/>
              </w:rPr>
              <w:t>r</w:t>
            </w:r>
            <w:r>
              <w:rPr>
                <w:rFonts w:ascii="Times New Roman" w:hAnsi="Times New Roman"/>
                <w:sz w:val="24"/>
              </w:rPr>
              <w:t>teras efter vad som är mest relevant i respektive kolumner i tabellen. Om det t.ex. finns historiska uppgifter bara för ett år ska dessa rapporteras i kolumn 030. Om de framåtblickande skattningarna framstår som rimliga ska dessa s</w:t>
            </w:r>
            <w:r>
              <w:rPr>
                <w:rFonts w:ascii="Times New Roman" w:hAnsi="Times New Roman"/>
                <w:sz w:val="24"/>
              </w:rPr>
              <w:t>e</w:t>
            </w:r>
            <w:r>
              <w:rPr>
                <w:rFonts w:ascii="Times New Roman" w:hAnsi="Times New Roman"/>
                <w:sz w:val="24"/>
              </w:rPr>
              <w:t>dan anges i kolumn 020 (skattning för nästa år) och i kolumn 010 (skattning för år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Om det helt saknas historiska uppgifter om ”relevant indikator” får institutet använda sina egna framåtblickande skattningar.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OCH FÖRSKOTT (VID TILLÄMPNING AV 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dessa kolumner rapporteras beloppen för lån och förskott avseende affärso</w:t>
            </w:r>
            <w:r>
              <w:rPr>
                <w:rFonts w:ascii="Times New Roman" w:hAnsi="Times New Roman"/>
                <w:sz w:val="24"/>
              </w:rPr>
              <w:t>m</w:t>
            </w:r>
            <w:r>
              <w:rPr>
                <w:rFonts w:ascii="Times New Roman" w:hAnsi="Times New Roman"/>
                <w:sz w:val="24"/>
              </w:rPr>
              <w:t xml:space="preserve">rådena ”storkundsbank” och ”hushållsbank” i enlighet med artikel 319.1 b i CRR.  Dessa belopp ska ligga till grund för beräkningen av alternativ relevant indikator som leder till kapitalbaskraven för den verksamhet som omfattas av ASA (artikel 319.1 a i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För affärsområdet ”storkundsbank” ska även värdepapper utanför handelslagret tas med.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Kapitalbaskravet beräknas enligt den metod som används och i enlighet med artiklarna 312–324 i CRR. Det belopp som beräkningen resulterar i ska rappo</w:t>
            </w:r>
            <w:r>
              <w:rPr>
                <w:rFonts w:ascii="Times New Roman" w:hAnsi="Times New Roman"/>
                <w:sz w:val="24"/>
              </w:rPr>
              <w:t>r</w:t>
            </w:r>
            <w:r>
              <w:rPr>
                <w:rFonts w:ascii="Times New Roman" w:hAnsi="Times New Roman"/>
                <w:sz w:val="24"/>
              </w:rPr>
              <w:t>teras i kolumn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RISKVÄGT EXPONERINGSBELOPP FÖR OPERATIVA RISKER</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Artikel 92.4 i CRR. Kapitalbaskraven i kolumn 070 multiplicerade med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VARAV: PÅ GRUND AV EN ALLOKERINGSMEKANISM</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Artikel 18.1 i CRR avseende inkludering av den tillämpning som avses i artikel 312.2 i CRR i den metod som används för att allokera operativt riskkapital mellan de olika enheterna i gruppen och om huruvida och hur diversifieringse</w:t>
            </w:r>
            <w:r>
              <w:rPr>
                <w:rFonts w:ascii="Times New Roman" w:hAnsi="Times New Roman"/>
                <w:sz w:val="24"/>
              </w:rPr>
              <w:t>f</w:t>
            </w:r>
            <w:r>
              <w:rPr>
                <w:rFonts w:ascii="Times New Roman" w:hAnsi="Times New Roman"/>
                <w:sz w:val="24"/>
              </w:rPr>
              <w:t>fekter är avsedda att beaktas i det riskmätningssystem som används av ett m</w:t>
            </w:r>
            <w:r>
              <w:rPr>
                <w:rFonts w:ascii="Times New Roman" w:hAnsi="Times New Roman"/>
                <w:sz w:val="24"/>
              </w:rPr>
              <w:t>o</w:t>
            </w:r>
            <w:r>
              <w:rPr>
                <w:rFonts w:ascii="Times New Roman" w:hAnsi="Times New Roman"/>
                <w:sz w:val="24"/>
              </w:rPr>
              <w:t>derinstitut inom EU och dess dotterföretag eller gemensamt av dotterföretagen till ett finansiellt moderholdingföretag inom EU eller ett blandat finansiellt moderholdingföretag inom EU.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MEMORANDUMPOSTER SOM SKA RAPPORTERAS I FÖREKO</w:t>
            </w:r>
            <w:r>
              <w:rPr>
                <w:rStyle w:val="InstructionsTabelleberschrift"/>
                <w:rFonts w:ascii="Times New Roman" w:hAnsi="Times New Roman"/>
                <w:sz w:val="24"/>
              </w:rPr>
              <w:t>M</w:t>
            </w:r>
            <w:r>
              <w:rPr>
                <w:rStyle w:val="InstructionsTabelleberschrift"/>
                <w:rFonts w:ascii="Times New Roman" w:hAnsi="Times New Roman"/>
                <w:sz w:val="24"/>
              </w:rPr>
              <w:t>MANDE FALL (AVANCERAD MÄTMETOD)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 FÖRE MINSKNING PÅ GRUND AV FÖRVÄ</w:t>
            </w:r>
            <w:r>
              <w:rPr>
                <w:rStyle w:val="InstructionsTabelleberschrift"/>
                <w:rFonts w:ascii="Times New Roman" w:hAnsi="Times New Roman"/>
                <w:sz w:val="24"/>
              </w:rPr>
              <w:t>N</w:t>
            </w:r>
            <w:r>
              <w:rPr>
                <w:rStyle w:val="InstructionsTabelleberschrift"/>
                <w:rFonts w:ascii="Times New Roman" w:hAnsi="Times New Roman"/>
                <w:sz w:val="24"/>
              </w:rPr>
              <w:lastRenderedPageBreak/>
              <w:t>TAD FÖRLUST, DIVERSIFIERING OCH METODER FÖR RISKR</w:t>
            </w:r>
            <w:r>
              <w:rPr>
                <w:rStyle w:val="InstructionsTabelleberschrift"/>
                <w:rFonts w:ascii="Times New Roman" w:hAnsi="Times New Roman"/>
                <w:sz w:val="24"/>
              </w:rPr>
              <w:t>E</w:t>
            </w:r>
            <w:r>
              <w:rPr>
                <w:rStyle w:val="InstructionsTabelleberschrift"/>
                <w:rFonts w:ascii="Times New Roman" w:hAnsi="Times New Roman"/>
                <w:sz w:val="24"/>
              </w:rPr>
              <w:t>DUCERING</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 kapitalbaskrav som rapporteras i kolumn 090 är samma som de i kolumn 070 men beräknade innan man har beaktat minskningar på grund av förväntad förlust, diversifiering och riskreducering (se nedan).</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 PÅ GRUND AV FÖRVÄ</w:t>
            </w:r>
            <w:r>
              <w:rPr>
                <w:rStyle w:val="InstructionsTabelleberschrift"/>
                <w:rFonts w:ascii="Times New Roman" w:hAnsi="Times New Roman"/>
                <w:sz w:val="24"/>
              </w:rPr>
              <w:t>N</w:t>
            </w:r>
            <w:r>
              <w:rPr>
                <w:rStyle w:val="InstructionsTabelleberschrift"/>
                <w:rFonts w:ascii="Times New Roman" w:hAnsi="Times New Roman"/>
                <w:sz w:val="24"/>
              </w:rPr>
              <w:t>TAD FÖRLUST SOM FÅNGAS UPP I AFFÄRSPRAXIS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kolumn 100 rapporteras den reducering av kapitalbaskraven som beror på förväntad förlust som fångas upp i företagets interna affärspraxis (i enlighet med artikel 322.2 a i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KAPITALBASKRAVEN PÅ GRUND AV DIVE</w:t>
            </w:r>
            <w:r>
              <w:rPr>
                <w:rStyle w:val="InstructionsTabelleberschrift"/>
                <w:rFonts w:ascii="Times New Roman" w:hAnsi="Times New Roman"/>
                <w:sz w:val="24"/>
              </w:rPr>
              <w:t>R</w:t>
            </w:r>
            <w:r>
              <w:rPr>
                <w:rStyle w:val="InstructionsTabelleberschrift"/>
                <w:rFonts w:ascii="Times New Roman" w:hAnsi="Times New Roman"/>
                <w:sz w:val="24"/>
              </w:rPr>
              <w:t>SIFIERING</w:t>
            </w:r>
          </w:p>
          <w:p w:rsidR="00AC6255" w:rsidRPr="00392FFD" w:rsidRDefault="00AC6255" w:rsidP="000B0B09">
            <w:pPr>
              <w:rPr>
                <w:rFonts w:ascii="Times New Roman" w:hAnsi="Times New Roman"/>
                <w:sz w:val="24"/>
              </w:rPr>
            </w:pPr>
            <w:r>
              <w:rPr>
                <w:rFonts w:ascii="Times New Roman" w:hAnsi="Times New Roman"/>
                <w:sz w:val="24"/>
              </w:rPr>
              <w:t>Diversifieringseffekten i kolumn 110 är skillnaden mellan summan av kapita</w:t>
            </w:r>
            <w:r>
              <w:rPr>
                <w:rFonts w:ascii="Times New Roman" w:hAnsi="Times New Roman"/>
                <w:sz w:val="24"/>
              </w:rPr>
              <w:t>l</w:t>
            </w:r>
            <w:r>
              <w:rPr>
                <w:rFonts w:ascii="Times New Roman" w:hAnsi="Times New Roman"/>
                <w:sz w:val="24"/>
              </w:rPr>
              <w:t>baskraven beräknade separat för varje operativriskklass (dvs. ett förhållande med ”perfekt samband”) och de diversifierade kapitalbaskraven beräknades genom att beakta korrelationer och beroendefaktorer (dvs. antagandet att det inte råder något ”perfekt samband” mellan riskklasserna). Förhållandet med ”perfekt samband” inträffar i ”utgångsläget”, dvs. när institutet inte tillämpar en uttrycklig korrelationsstruktur mellan riskklasserna, då kapitalet enligt AMA beräknas som summan av de olika måtten på operativ risk i de valda riskkla</w:t>
            </w:r>
            <w:r>
              <w:rPr>
                <w:rFonts w:ascii="Times New Roman" w:hAnsi="Times New Roman"/>
                <w:sz w:val="24"/>
              </w:rPr>
              <w:t>s</w:t>
            </w:r>
            <w:r>
              <w:rPr>
                <w:rFonts w:ascii="Times New Roman" w:hAnsi="Times New Roman"/>
                <w:sz w:val="24"/>
              </w:rPr>
              <w:t>serna.  I det fallet antas korrelationen mellan riskklasserna vara 100 %, och värdet i kolumnen ska vara noll.  Om institutet däremot beräknar en uttrycklig korrelationsstruktur mellan riskklasserna, ska det i denna kolumn anges skil</w:t>
            </w:r>
            <w:r>
              <w:rPr>
                <w:rFonts w:ascii="Times New Roman" w:hAnsi="Times New Roman"/>
                <w:sz w:val="24"/>
              </w:rPr>
              <w:t>l</w:t>
            </w:r>
            <w:r>
              <w:rPr>
                <w:rFonts w:ascii="Times New Roman" w:hAnsi="Times New Roman"/>
                <w:sz w:val="24"/>
              </w:rPr>
              <w:t>naden mellan å ena sidan kapitalet enligt AMA, som grundar sig på ”utgång</w:t>
            </w:r>
            <w:r>
              <w:rPr>
                <w:rFonts w:ascii="Times New Roman" w:hAnsi="Times New Roman"/>
                <w:sz w:val="24"/>
              </w:rPr>
              <w:t>s</w:t>
            </w:r>
            <w:r>
              <w:rPr>
                <w:rFonts w:ascii="Times New Roman" w:hAnsi="Times New Roman"/>
                <w:sz w:val="24"/>
              </w:rPr>
              <w:t>läget”, och å andra sidan kapitalet efter tillämpning av korrelationsstrukturen mellan riskklasserna.  Värdet visar ”diversifieringskapaciteten” i AMA-modellen, dvs. modellens förmåga att fånga upp icke samtidiga förekomster av allvarliga händelser avseende operativ risk vilka kan leda till betydande förlu</w:t>
            </w:r>
            <w:r>
              <w:rPr>
                <w:rFonts w:ascii="Times New Roman" w:hAnsi="Times New Roman"/>
                <w:sz w:val="24"/>
              </w:rPr>
              <w:t>s</w:t>
            </w:r>
            <w:r>
              <w:rPr>
                <w:rFonts w:ascii="Times New Roman" w:hAnsi="Times New Roman"/>
                <w:sz w:val="24"/>
              </w:rPr>
              <w:t>ter. I kolumn 110 ska instituten rapportera det belopp med vilket den antagna korrelationsstrukturen minskar kapitalet enligt AMA i förhållande till antaga</w:t>
            </w:r>
            <w:r>
              <w:rPr>
                <w:rFonts w:ascii="Times New Roman" w:hAnsi="Times New Roman"/>
                <w:sz w:val="24"/>
              </w:rPr>
              <w:t>n</w:t>
            </w:r>
            <w:r>
              <w:rPr>
                <w:rFonts w:ascii="Times New Roman" w:hAnsi="Times New Roman"/>
                <w:sz w:val="24"/>
              </w:rPr>
              <w:t>det av en korrelation på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MINSKNING AV KAPITALBASKRAV PÅ GRUND AV METODER FÖR RISKREDUCERING (FÖRSÄKRING OCH ANDRA MEKA</w:t>
            </w:r>
            <w:r>
              <w:rPr>
                <w:rStyle w:val="InstructionsTabelleberschrift"/>
                <w:rFonts w:ascii="Times New Roman" w:hAnsi="Times New Roman"/>
                <w:sz w:val="24"/>
              </w:rPr>
              <w:t>N</w:t>
            </w:r>
            <w:r>
              <w:rPr>
                <w:rStyle w:val="InstructionsTabelleberschrift"/>
                <w:rFonts w:ascii="Times New Roman" w:hAnsi="Times New Roman"/>
                <w:sz w:val="24"/>
              </w:rPr>
              <w:t>ISMER FÖR RISKÖVERFÖRING)</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I kolumn 120 rapporteras effekten av försäkringar och andra former av ris</w:t>
            </w:r>
            <w:r>
              <w:rPr>
                <w:rFonts w:ascii="Times New Roman" w:hAnsi="Times New Roman"/>
                <w:sz w:val="24"/>
              </w:rPr>
              <w:t>k</w:t>
            </w:r>
            <w:r>
              <w:rPr>
                <w:rFonts w:ascii="Times New Roman" w:hAnsi="Times New Roman"/>
                <w:sz w:val="24"/>
              </w:rPr>
              <w:t>överföring i enlighet med artikel 323.1–323.5 i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Rad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BASMETODEN (BIA) TILLÄ</w:t>
            </w:r>
            <w:r>
              <w:rPr>
                <w:rStyle w:val="InstructionsTabelleberschrift"/>
                <w:rFonts w:ascii="Times New Roman" w:hAnsi="Times New Roman"/>
                <w:sz w:val="24"/>
              </w:rPr>
              <w:t>M</w:t>
            </w:r>
            <w:r>
              <w:rPr>
                <w:rStyle w:val="InstructionsTabelleberschrift"/>
                <w:rFonts w:ascii="Times New Roman" w:hAnsi="Times New Roman"/>
                <w:sz w:val="24"/>
              </w:rPr>
              <w:lastRenderedPageBreak/>
              <w:t>PAS</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På denna rad anges beloppen för den verksamhet i vilken kapitalbaskraven för operativ risk beräknas enligt basmetoden (artiklarna 315 och 316 i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SCHABLONMETODEN (TSA) ELLER DEN ALTERNATIVA SCHABLONMETODEN (ASA) TI</w:t>
            </w:r>
            <w:r>
              <w:rPr>
                <w:rStyle w:val="InstructionsTabelleberschrift"/>
                <w:rFonts w:ascii="Times New Roman" w:hAnsi="Times New Roman"/>
                <w:sz w:val="24"/>
              </w:rPr>
              <w:t>L</w:t>
            </w:r>
            <w:r>
              <w:rPr>
                <w:rStyle w:val="InstructionsTabelleberschrift"/>
                <w:rFonts w:ascii="Times New Roman" w:hAnsi="Times New Roman"/>
                <w:sz w:val="24"/>
              </w:rPr>
              <w:t>LÄMPAS</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Kapitalbaskraven beräknade i enlighet med TSA och ASA (artiklarna 317–319 i CRR) ska rapporteras.</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BANKVERKSAMHET FÖR VILKEN TSA TILLÄMPAS</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Institut som tillämpar TSA ska fylla i relevant indikator för varje år på raderna 030–100 avseende de affärsområden som anges i artikel 317 tabell 2 i CRR. Fördelningen av verksamheten i olika affärsområden ska följa de principer som beskrivs i artikel 318 i 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BANKVERKSAMHET FÖR VILKEN ASA TILLÄMPAS</w:t>
            </w:r>
          </w:p>
          <w:p w:rsidR="00AC6255" w:rsidRPr="00392FFD" w:rsidRDefault="00AC6255" w:rsidP="000B0B09">
            <w:pPr>
              <w:rPr>
                <w:rFonts w:ascii="Times New Roman" w:hAnsi="Times New Roman"/>
                <w:sz w:val="24"/>
              </w:rPr>
            </w:pPr>
            <w:r>
              <w:rPr>
                <w:rFonts w:ascii="Times New Roman" w:hAnsi="Times New Roman"/>
                <w:sz w:val="24"/>
              </w:rPr>
              <w:t xml:space="preserve">Institut som tillämpar ASA (artikel 319 i CRR) ska för respektive år rapportera relevant indikator separat för varje affärsområde på raderna 030–050 och 080–100 samt på raderna 110 och 120 för affärsområdena ”storkundsbank” och ”hushållsbank”.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Raderna 110 och 120 ska visa beloppet för</w:t>
            </w:r>
            <w:r>
              <w:t xml:space="preserve"> </w:t>
            </w:r>
            <w:r>
              <w:rPr>
                <w:rFonts w:ascii="Times New Roman" w:hAnsi="Times New Roman"/>
                <w:sz w:val="24"/>
              </w:rPr>
              <w:t xml:space="preserve">den relevanta indikatorn i </w:t>
            </w:r>
            <w:r>
              <w:rPr>
                <w:rStyle w:val="InstructionsTabelleText"/>
                <w:rFonts w:ascii="Times New Roman" w:hAnsi="Times New Roman"/>
                <w:sz w:val="24"/>
              </w:rPr>
              <w:t>verksa</w:t>
            </w:r>
            <w:r>
              <w:rPr>
                <w:rStyle w:val="InstructionsTabelleText"/>
                <w:rFonts w:ascii="Times New Roman" w:hAnsi="Times New Roman"/>
                <w:sz w:val="24"/>
              </w:rPr>
              <w:t>m</w:t>
            </w:r>
            <w:r>
              <w:rPr>
                <w:rStyle w:val="InstructionsTabelleText"/>
                <w:rFonts w:ascii="Times New Roman" w:hAnsi="Times New Roman"/>
                <w:sz w:val="24"/>
              </w:rPr>
              <w:t>het enligt ASA, och verksamheten ska vara uppdelad i affärsområdena ”sto</w:t>
            </w:r>
            <w:r>
              <w:rPr>
                <w:rStyle w:val="InstructionsTabelleText"/>
                <w:rFonts w:ascii="Times New Roman" w:hAnsi="Times New Roman"/>
                <w:sz w:val="24"/>
              </w:rPr>
              <w:t>r</w:t>
            </w:r>
            <w:r>
              <w:rPr>
                <w:rStyle w:val="InstructionsTabelleText"/>
                <w:rFonts w:ascii="Times New Roman" w:hAnsi="Times New Roman"/>
                <w:sz w:val="24"/>
              </w:rPr>
              <w:t>kundsbank” och ”hushållsbank” (artikel 319</w:t>
            </w:r>
            <w:r>
              <w:rPr>
                <w:rFonts w:ascii="Times New Roman" w:hAnsi="Times New Roman"/>
                <w:sz w:val="24"/>
              </w:rPr>
              <w:t xml:space="preserve"> </w:t>
            </w:r>
            <w:r>
              <w:rPr>
                <w:rStyle w:val="InstructionsTabelleText"/>
                <w:rFonts w:ascii="Times New Roman" w:hAnsi="Times New Roman"/>
                <w:sz w:val="24"/>
              </w:rPr>
              <w:t>i CRR). Raderna kan innehålla b</w:t>
            </w:r>
            <w:r>
              <w:rPr>
                <w:rStyle w:val="InstructionsTabelleText"/>
                <w:rFonts w:ascii="Times New Roman" w:hAnsi="Times New Roman"/>
                <w:sz w:val="24"/>
              </w:rPr>
              <w:t>e</w:t>
            </w:r>
            <w:r>
              <w:rPr>
                <w:rStyle w:val="InstructionsTabelleText"/>
                <w:rFonts w:ascii="Times New Roman" w:hAnsi="Times New Roman"/>
                <w:sz w:val="24"/>
              </w:rPr>
              <w:t>lopp som motsvarar ”storkundsbank” och ”hushållsbank” såväl enligt TSA (r</w:t>
            </w:r>
            <w:r>
              <w:rPr>
                <w:rStyle w:val="InstructionsTabelleText"/>
                <w:rFonts w:ascii="Times New Roman" w:hAnsi="Times New Roman"/>
                <w:sz w:val="24"/>
              </w:rPr>
              <w:t>a</w:t>
            </w:r>
            <w:r>
              <w:rPr>
                <w:rStyle w:val="InstructionsTabelleText"/>
                <w:rFonts w:ascii="Times New Roman" w:hAnsi="Times New Roman"/>
                <w:sz w:val="24"/>
              </w:rPr>
              <w:t>derna 060 och 070) som enligt ASA (raderna 110 och 120), t.ex. om TSA ti</w:t>
            </w:r>
            <w:r>
              <w:rPr>
                <w:rStyle w:val="InstructionsTabelleText"/>
                <w:rFonts w:ascii="Times New Roman" w:hAnsi="Times New Roman"/>
                <w:sz w:val="24"/>
              </w:rPr>
              <w:t>l</w:t>
            </w:r>
            <w:r>
              <w:rPr>
                <w:rStyle w:val="InstructionsTabelleText"/>
                <w:rFonts w:ascii="Times New Roman" w:hAnsi="Times New Roman"/>
                <w:sz w:val="24"/>
              </w:rPr>
              <w:t>lämpas för ett dotterföretag medan ASA tillämpas för moderföretaget.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INTERNMÄTNINGSMETODER (AMA) TILLÄMPAS</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Här rapporteras de relevanta uppgifterna för institut som tillämpar AMA (art</w:t>
            </w:r>
            <w:r>
              <w:rPr>
                <w:rFonts w:ascii="Times New Roman" w:hAnsi="Times New Roman"/>
                <w:sz w:val="24"/>
              </w:rPr>
              <w:t>i</w:t>
            </w:r>
            <w:r>
              <w:rPr>
                <w:rFonts w:ascii="Times New Roman" w:hAnsi="Times New Roman"/>
                <w:sz w:val="24"/>
              </w:rPr>
              <w:t xml:space="preserve">kel 312.2 och artiklarna 321–323 i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 som kombinerar olika metoder i enlighet med artikel 314 i CRR ska rapportera uppgifter om relevant indikator för de verksamheter för vilka AMA tillämpas. Detta gäller också alla övriga banker som tillämpar AMA.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7" w:name="_Toc473560939"/>
      <w:bookmarkStart w:id="528" w:name="_Toc473560940"/>
      <w:bookmarkStart w:id="529" w:name="_Toc473560941"/>
      <w:bookmarkStart w:id="530" w:name="_Toc473560942"/>
      <w:bookmarkStart w:id="531" w:name="_Toc473560943"/>
      <w:bookmarkStart w:id="532" w:name="_Toc473560944"/>
      <w:bookmarkStart w:id="533" w:name="_Toc473560945"/>
      <w:bookmarkStart w:id="534" w:name="_Toc473560946"/>
      <w:bookmarkStart w:id="535" w:name="_Toc473560947"/>
      <w:bookmarkStart w:id="536" w:name="_Toc473560948"/>
      <w:bookmarkStart w:id="537" w:name="_Toc473560949"/>
      <w:bookmarkStart w:id="538" w:name="_Toc473560950"/>
      <w:bookmarkStart w:id="539" w:name="_Toc473560951"/>
      <w:bookmarkStart w:id="540" w:name="_Toc473560952"/>
      <w:bookmarkStart w:id="541" w:name="_Toc473560953"/>
      <w:bookmarkStart w:id="542" w:name="_Toc473560954"/>
      <w:bookmarkStart w:id="543" w:name="_Toc473560955"/>
      <w:bookmarkStart w:id="544" w:name="_Toc473560956"/>
      <w:bookmarkStart w:id="545" w:name="_Toc473560957"/>
      <w:bookmarkStart w:id="546" w:name="_Toc473560958"/>
      <w:bookmarkStart w:id="547" w:name="_Toc473560959"/>
      <w:bookmarkStart w:id="548" w:name="_Toc473560960"/>
      <w:bookmarkStart w:id="549" w:name="_Toc473560961"/>
      <w:bookmarkStart w:id="550" w:name="_Toc473560962"/>
      <w:bookmarkStart w:id="551" w:name="_Toc473560963"/>
      <w:bookmarkStart w:id="552" w:name="_Toc473560964"/>
      <w:bookmarkStart w:id="553" w:name="_Toc473560965"/>
      <w:bookmarkStart w:id="554" w:name="_Toc473560966"/>
      <w:bookmarkStart w:id="555" w:name="_Toc473560967"/>
      <w:bookmarkStart w:id="556" w:name="_Toc473560968"/>
      <w:bookmarkStart w:id="557" w:name="_Toc473560969"/>
      <w:bookmarkStart w:id="558" w:name="_Toc473560970"/>
      <w:bookmarkStart w:id="559" w:name="_Toc473560989"/>
      <w:bookmarkStart w:id="560" w:name="_Toc473560990"/>
      <w:bookmarkStart w:id="561" w:name="_Toc473561022"/>
      <w:bookmarkStart w:id="562" w:name="_Toc516210674"/>
      <w:bookmarkStart w:id="563" w:name="_Toc473561023"/>
      <w:bookmarkStart w:id="564" w:name="_Toc523820295"/>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ascii="Times New Roman" w:hAnsi="Times New Roman"/>
          <w:sz w:val="24"/>
          <w:u w:val="none"/>
        </w:rPr>
        <w:t>4.2.</w:t>
      </w:r>
      <w:r w:rsidRPr="00DD3F62">
        <w:rPr>
          <w:u w:val="none"/>
        </w:rPr>
        <w:tab/>
      </w:r>
      <w:r>
        <w:rPr>
          <w:rFonts w:ascii="Times New Roman" w:hAnsi="Times New Roman"/>
          <w:sz w:val="24"/>
        </w:rPr>
        <w:t>Operativ risk: Detaljerad information om förluster under det senaste året (OPR D</w:t>
      </w:r>
      <w:r>
        <w:rPr>
          <w:rFonts w:ascii="Times New Roman" w:hAnsi="Times New Roman"/>
          <w:sz w:val="24"/>
        </w:rPr>
        <w:t>E</w:t>
      </w:r>
      <w:r>
        <w:rPr>
          <w:rFonts w:ascii="Times New Roman" w:hAnsi="Times New Roman"/>
          <w:sz w:val="24"/>
        </w:rPr>
        <w:t>TAILS)</w:t>
      </w:r>
      <w:bookmarkEnd w:id="562"/>
      <w:bookmarkEnd w:id="563"/>
      <w:bookmarkEnd w:id="564"/>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5" w:name="_Toc516210675"/>
      <w:bookmarkStart w:id="566" w:name="_Toc473561024"/>
      <w:bookmarkStart w:id="567" w:name="_Toc523820296"/>
      <w:r>
        <w:rPr>
          <w:rFonts w:ascii="Times New Roman" w:hAnsi="Times New Roman"/>
          <w:sz w:val="24"/>
          <w:u w:val="none"/>
        </w:rPr>
        <w:t>4.2.1.</w:t>
      </w:r>
      <w:r w:rsidRPr="00DD3F62">
        <w:rPr>
          <w:u w:val="none"/>
        </w:rPr>
        <w:tab/>
      </w:r>
      <w:r>
        <w:rPr>
          <w:rFonts w:ascii="Times New Roman" w:hAnsi="Times New Roman"/>
          <w:sz w:val="24"/>
        </w:rPr>
        <w:t>Allmänna kommentarer</w:t>
      </w:r>
      <w:bookmarkEnd w:id="565"/>
      <w:bookmarkEnd w:id="566"/>
      <w:bookmarkEnd w:id="567"/>
    </w:p>
    <w:p w:rsidR="00FD54FC" w:rsidRPr="00392FFD" w:rsidRDefault="00125707" w:rsidP="00C37B29">
      <w:pPr>
        <w:pStyle w:val="InstructionsText2"/>
        <w:numPr>
          <w:ilvl w:val="0"/>
          <w:numId w:val="0"/>
        </w:numPr>
        <w:ind w:left="993"/>
      </w:pPr>
      <w:r>
        <w:t>120.</w:t>
      </w:r>
      <w:r>
        <w:tab/>
        <w:t>I mall C 17.01 (OPR DETAILS 1) summeras uppgifter om ett instituts redov</w:t>
      </w:r>
      <w:r>
        <w:t>i</w:t>
      </w:r>
      <w:r>
        <w:t xml:space="preserve">sade bruttoförluster och återvinningar av förluster under det senaste året uppdelade </w:t>
      </w:r>
      <w:r>
        <w:lastRenderedPageBreak/>
        <w:t>i händelsetyper och affärsområden. I mall C 17.02 (OPR DETAILS 2) ges detalj</w:t>
      </w:r>
      <w:r>
        <w:t>e</w:t>
      </w:r>
      <w:r>
        <w:t xml:space="preserve">rad information om de största förlusthändelserna under året. </w:t>
      </w:r>
    </w:p>
    <w:p w:rsidR="00FD54FC" w:rsidRPr="00392FFD" w:rsidRDefault="00125707" w:rsidP="00C37B29">
      <w:pPr>
        <w:pStyle w:val="InstructionsText2"/>
        <w:numPr>
          <w:ilvl w:val="0"/>
          <w:numId w:val="0"/>
        </w:numPr>
        <w:ind w:left="993"/>
      </w:pPr>
      <w:r>
        <w:t>121.</w:t>
      </w:r>
      <w:r>
        <w:tab/>
        <w:t>Förluster till följd av operativa risker kopplade till kreditrisker och som omfa</w:t>
      </w:r>
      <w:r>
        <w:t>t</w:t>
      </w:r>
      <w:r>
        <w:t>tas av kapitalbaskrav för kreditrisk (kreditrelaterade operativa riskhändelser) bea</w:t>
      </w:r>
      <w:r>
        <w:t>k</w:t>
      </w:r>
      <w:r>
        <w:t>tas varken i mall C 17.01 eller i mall C 17.02.</w:t>
      </w:r>
    </w:p>
    <w:p w:rsidR="00FD54FC" w:rsidRPr="00392FFD" w:rsidRDefault="00125707" w:rsidP="00C37B29">
      <w:pPr>
        <w:pStyle w:val="InstructionsText2"/>
        <w:numPr>
          <w:ilvl w:val="0"/>
          <w:numId w:val="0"/>
        </w:numPr>
        <w:ind w:left="993"/>
      </w:pPr>
      <w:r>
        <w:t>122.</w:t>
      </w:r>
      <w:r>
        <w:tab/>
        <w:t>Vid kombinerad användning av olika metoder för beräkning av kapitalbaskrav för operativ risk enligt artikel 314 i CRR ska ett instituts redovisade förluster och återvinningar rapporteras i C 17.01 och C 17.02, oavsett vilken metod som använts för att beräkna kapitalbaskraven.</w:t>
      </w:r>
    </w:p>
    <w:p w:rsidR="00FD54FC" w:rsidRPr="00392FFD" w:rsidRDefault="00125707" w:rsidP="00C37B29">
      <w:pPr>
        <w:pStyle w:val="InstructionsText2"/>
        <w:numPr>
          <w:ilvl w:val="0"/>
          <w:numId w:val="0"/>
        </w:numPr>
        <w:ind w:left="993"/>
      </w:pPr>
      <w:r>
        <w:t>123.</w:t>
      </w:r>
      <w:r>
        <w:tab/>
        <w:t xml:space="preserve">Bruttoförlust: en förlust som har orsakats genom en operativ riskhändelse eller händelsetyp – i enlighet med artikel 322.3 b i CRR – före eventuell återvinning av något slag, utan att detta påverkar ”snabbt återvunna förlusthändelser”, som avses nedan. </w:t>
      </w:r>
    </w:p>
    <w:p w:rsidR="00FD54FC" w:rsidRPr="00392FFD" w:rsidRDefault="00125707" w:rsidP="00C37B29">
      <w:pPr>
        <w:pStyle w:val="InstructionsText2"/>
        <w:numPr>
          <w:ilvl w:val="0"/>
          <w:numId w:val="0"/>
        </w:numPr>
        <w:ind w:left="993"/>
      </w:pPr>
      <w:r>
        <w:t>124.</w:t>
      </w:r>
      <w:r>
        <w:tab/>
        <w:t>Återvinning: en oberoende händelse i samband med den ursprungliga förlusten till följd av operativa risker som är åtskild i tid, vid vilken kapital eller inflöde av ekonomiska fördelar erhålls från första eller tredje parter, till exempel försäkring</w:t>
      </w:r>
      <w:r>
        <w:t>s</w:t>
      </w:r>
      <w:r>
        <w:t>företag eller andra parter. Återvinningar delas upp i återvinning från försäkring och andra mekanismer för risköverföring.</w:t>
      </w:r>
    </w:p>
    <w:p w:rsidR="00FD54FC" w:rsidRPr="00392FFD" w:rsidRDefault="00125707" w:rsidP="00C37B29">
      <w:pPr>
        <w:pStyle w:val="InstructionsText2"/>
        <w:numPr>
          <w:ilvl w:val="0"/>
          <w:numId w:val="0"/>
        </w:numPr>
        <w:ind w:left="993"/>
      </w:pPr>
      <w:r>
        <w:t>125.</w:t>
      </w:r>
      <w:r>
        <w:tab/>
        <w:t>Snabbt återvunna förlusthändelser: händelser avseende operativa risker som l</w:t>
      </w:r>
      <w:r>
        <w:t>e</w:t>
      </w:r>
      <w:r>
        <w:t>der till förluster som helt eller delvis kan återvinnas inom fem arbetsdagar. I hä</w:t>
      </w:r>
      <w:r>
        <w:t>n</w:t>
      </w:r>
      <w:r>
        <w:t>delse av en snabbt återvunnen förlust ska endast den del av förlusten som inte är helt återvunnen (dvs. förlusten med avdrag för den partiella snabba återvinningen) ingå i den fastställda totala förlusten. Händelser som leder till förluster som ful</w:t>
      </w:r>
      <w:r>
        <w:t>l</w:t>
      </w:r>
      <w:r>
        <w:t>ständigt återvinns inom fem arbetsdagar ska därför inte alls inkluderas i det fas</w:t>
      </w:r>
      <w:r>
        <w:t>t</w:t>
      </w:r>
      <w:r>
        <w:t>ställda bruttoförlustbeloppet eller rapporteringen av OPR DETAILS.</w:t>
      </w:r>
    </w:p>
    <w:p w:rsidR="00FD54FC" w:rsidRPr="00392FFD" w:rsidRDefault="00125707" w:rsidP="00C37B29">
      <w:pPr>
        <w:pStyle w:val="InstructionsText2"/>
        <w:numPr>
          <w:ilvl w:val="0"/>
          <w:numId w:val="0"/>
        </w:numPr>
        <w:ind w:left="993"/>
      </w:pPr>
      <w:r>
        <w:t>126.</w:t>
      </w:r>
      <w:r>
        <w:tab/>
        <w:t>Redovisningsdatum: den dag då en förlust eller reserv/avsättning först redov</w:t>
      </w:r>
      <w:r>
        <w:t>i</w:t>
      </w:r>
      <w:r>
        <w:t>sas i resultaträkningen, mot en förlust till följd av operativa risker. Detta datum fö</w:t>
      </w:r>
      <w:r>
        <w:t>l</w:t>
      </w:r>
      <w:r>
        <w:t>jer logiskt på händelsedatum (dvs. den dag då den operativa riskhändelsen inträ</w:t>
      </w:r>
      <w:r>
        <w:t>f</w:t>
      </w:r>
      <w:r>
        <w:t>fade eller tog sin början) och upptäcktsdatum (dvs. den dag då institutet fick känn</w:t>
      </w:r>
      <w:r>
        <w:t>e</w:t>
      </w:r>
      <w:r>
        <w:t xml:space="preserve">dom om den operativa riskhändelsen). </w:t>
      </w:r>
    </w:p>
    <w:p w:rsidR="00FD54FC" w:rsidRPr="00392FFD" w:rsidRDefault="00125707" w:rsidP="00C37B29">
      <w:pPr>
        <w:pStyle w:val="InstructionsText2"/>
        <w:numPr>
          <w:ilvl w:val="0"/>
          <w:numId w:val="0"/>
        </w:numPr>
        <w:ind w:left="993"/>
      </w:pPr>
      <w:r>
        <w:t>127.</w:t>
      </w:r>
      <w:r>
        <w:tab/>
        <w:t>Förluster som orsakats av en gemensam operativ riskhändelse eller av flera händelser kopplade till en ursprunglig operativ riskhändelse som orsakar händelser eller förluster (huvudhändelsen) slås ihop. De hopslagna händelserna ska betraktas och rapporteras som en händelse och de hänförliga bruttoförlustbeloppen respektive förlustkorrigeringarna ska därför summeras.</w:t>
      </w:r>
    </w:p>
    <w:p w:rsidR="00FD54FC" w:rsidRPr="00392FFD" w:rsidRDefault="00125707" w:rsidP="00C37B29">
      <w:pPr>
        <w:pStyle w:val="InstructionsText2"/>
        <w:numPr>
          <w:ilvl w:val="0"/>
          <w:numId w:val="0"/>
        </w:numPr>
        <w:ind w:left="993"/>
      </w:pPr>
      <w:r>
        <w:t>128.</w:t>
      </w:r>
      <w:r>
        <w:tab/>
        <w:t>De siffror som redovisas i juni för varje enskilt år är preliminära siffror: De slutliga siffrorna rapporteras i december. Därför har siffrorna i juni en referensp</w:t>
      </w:r>
      <w:r>
        <w:t>e</w:t>
      </w:r>
      <w:r>
        <w:t>riod på sex månader (dvs. från den 1 januari till den 30 juni under det berörda k</w:t>
      </w:r>
      <w:r>
        <w:t>a</w:t>
      </w:r>
      <w:r>
        <w:t>lenderåret), medan siffrorna i december har en tolvmånaders referensperiod (dvs. från den 1 januari till den 31 december under det berörda kalenderåret). Både för uppgifter som rapporterats i juni och i december avser ”tidigare rapporteringsref</w:t>
      </w:r>
      <w:r>
        <w:t>e</w:t>
      </w:r>
      <w:r>
        <w:t>rensperiod” alla rapporteringsreferensperioder till och med den som slutar vid för</w:t>
      </w:r>
      <w:r>
        <w:t>e</w:t>
      </w:r>
      <w:r>
        <w:t>gående kalenderårs utgång.</w:t>
      </w:r>
    </w:p>
    <w:p w:rsidR="00FD54FC" w:rsidRPr="00392FFD" w:rsidRDefault="00125707" w:rsidP="00C37B29">
      <w:pPr>
        <w:pStyle w:val="InstructionsText2"/>
        <w:numPr>
          <w:ilvl w:val="0"/>
          <w:numId w:val="0"/>
        </w:numPr>
        <w:ind w:left="993"/>
      </w:pPr>
      <w:r>
        <w:lastRenderedPageBreak/>
        <w:t>129.</w:t>
      </w:r>
      <w:r>
        <w:tab/>
        <w:t>För att kontrollera de villkor som fastställs i artikel 5 b 2 b i) i denna föror</w:t>
      </w:r>
      <w:r>
        <w:t>d</w:t>
      </w:r>
      <w:r>
        <w:t>ning ska instituten använda den senaste statistik som finns tillgänglig på EBA:s webbplats för offentliggörande av tillsynsuppgifter i syfte att räkna ut ”den totala balansomslutningen för samtliga institut i samma medlemsstat”. För att kontrollera de villkor som fastställs i artikel 5 b 2 b iii ska bruttonationalprodukten till mar</w:t>
      </w:r>
      <w:r>
        <w:t>k</w:t>
      </w:r>
      <w:r>
        <w:t>nadspris – enligt definitionen i punkt 8.89 i bilaga A till Europaparlamentets och rådets förordning (EU) nr 549/2013 (ESA 2010) och publicerad av Eurostat för det föregående kalenderåret – användas.</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8" w:name="_Toc516210676"/>
      <w:bookmarkStart w:id="569" w:name="_Toc473561025"/>
      <w:bookmarkStart w:id="570" w:name="_Toc523820297"/>
      <w:r>
        <w:rPr>
          <w:rFonts w:ascii="Times New Roman" w:hAnsi="Times New Roman"/>
          <w:sz w:val="24"/>
          <w:u w:val="none"/>
        </w:rPr>
        <w:t>4.2.2.</w:t>
      </w:r>
      <w:r w:rsidRPr="00907D0A">
        <w:rPr>
          <w:u w:val="none"/>
        </w:rPr>
        <w:tab/>
      </w:r>
      <w:r>
        <w:rPr>
          <w:rFonts w:ascii="Times New Roman" w:hAnsi="Times New Roman"/>
          <w:sz w:val="24"/>
        </w:rPr>
        <w:t>C 17.01: Förluster och återvinningar per affärsområde och händelsetyp det senaste året (OPR DETAILS 1)</w:t>
      </w:r>
      <w:bookmarkEnd w:id="568"/>
      <w:bookmarkEnd w:id="569"/>
      <w:bookmarkEnd w:id="57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1" w:name="_Toc516210677"/>
      <w:bookmarkStart w:id="572" w:name="_Toc473561026"/>
      <w:bookmarkStart w:id="573" w:name="_Toc523820298"/>
      <w:r>
        <w:rPr>
          <w:rFonts w:ascii="Times New Roman" w:hAnsi="Times New Roman"/>
          <w:sz w:val="24"/>
          <w:u w:val="none"/>
        </w:rPr>
        <w:t>4.2.2.1.</w:t>
      </w:r>
      <w:r w:rsidRPr="00907D0A">
        <w:rPr>
          <w:u w:val="none"/>
        </w:rPr>
        <w:tab/>
      </w:r>
      <w:r>
        <w:rPr>
          <w:rFonts w:ascii="Times New Roman" w:hAnsi="Times New Roman"/>
          <w:sz w:val="24"/>
        </w:rPr>
        <w:t>Allmänna kommentarer</w:t>
      </w:r>
      <w:bookmarkEnd w:id="571"/>
      <w:bookmarkEnd w:id="572"/>
      <w:bookmarkEnd w:id="573"/>
    </w:p>
    <w:p w:rsidR="00FD54FC" w:rsidRPr="00392FFD" w:rsidRDefault="00125707" w:rsidP="00C37B29">
      <w:pPr>
        <w:pStyle w:val="InstructionsText2"/>
        <w:numPr>
          <w:ilvl w:val="0"/>
          <w:numId w:val="0"/>
        </w:numPr>
        <w:ind w:left="993"/>
      </w:pPr>
      <w:r>
        <w:t>130.</w:t>
      </w:r>
      <w:r>
        <w:tab/>
        <w:t>I mall C.17.01 ska uppgifterna rapporteras som en fördelning av de bruttofö</w:t>
      </w:r>
      <w:r>
        <w:t>r</w:t>
      </w:r>
      <w:r>
        <w:t>luster och återvinningar som överstiger interna gränsvärden i affärsområden (i e</w:t>
      </w:r>
      <w:r>
        <w:t>n</w:t>
      </w:r>
      <w:r>
        <w:t>lighet med artikel 317 tabell 2 i CRR, inbegripet affärsområdet ”företagsövergr</w:t>
      </w:r>
      <w:r>
        <w:t>i</w:t>
      </w:r>
      <w:r>
        <w:t>pande poster” som avses i artikel 322.3 b i CRR) och händelsetyper (i enlighet med artikel 324 i CRR), varvid det är möjligt att de förluster som härrör från en händelse är fördelade på flera affärsområden.</w:t>
      </w:r>
    </w:p>
    <w:p w:rsidR="00FD54FC" w:rsidRPr="00392FFD" w:rsidRDefault="00125707" w:rsidP="00C37B29">
      <w:pPr>
        <w:pStyle w:val="InstructionsText2"/>
        <w:numPr>
          <w:ilvl w:val="0"/>
          <w:numId w:val="0"/>
        </w:numPr>
        <w:ind w:left="993"/>
      </w:pPr>
      <w:r>
        <w:t>131.</w:t>
      </w:r>
      <w:r>
        <w:tab/>
        <w:t>Kolumnerna visar de olika händelsetyper och totalbeloppen för varje affärso</w:t>
      </w:r>
      <w:r>
        <w:t>m</w:t>
      </w:r>
      <w:r>
        <w:t>råde tillsammans med en memorandumpost avseende det interna tröskelvärde som tillämpas vid insamlingen av förlustuppgifter. Om det finns mer än en gräns anges både det lägsta och det högsta tröskelvärdet för varje affärsområde.</w:t>
      </w:r>
    </w:p>
    <w:p w:rsidR="00FD54FC" w:rsidRPr="00392FFD" w:rsidRDefault="00125707" w:rsidP="00C37B29">
      <w:pPr>
        <w:pStyle w:val="InstructionsText2"/>
        <w:numPr>
          <w:ilvl w:val="0"/>
          <w:numId w:val="0"/>
        </w:numPr>
        <w:ind w:left="993"/>
      </w:pPr>
      <w:r>
        <w:t>132.</w:t>
      </w:r>
      <w:r>
        <w:tab/>
        <w:t>Raderna visar affärsområdena och inom varje affärsområde, uppgifter om ant</w:t>
      </w:r>
      <w:r>
        <w:t>a</w:t>
      </w:r>
      <w:r>
        <w:t>let händelser (nya händelser), bruttoförlustbelopp (nya händelser), antalet händelser som är föremål för förlustkorrigeringar, de förlustkorrigeringar som avser föreg</w:t>
      </w:r>
      <w:r>
        <w:t>å</w:t>
      </w:r>
      <w:r>
        <w:t>ende rapporteringsperioder, den största enskilda förlusten, summan av de fem största förlusterna och de totala återvinningsbeloppen (direkta återvinningar såväl som återvinningar från försäkring och andra mekanismer för risköverföring).</w:t>
      </w:r>
    </w:p>
    <w:p w:rsidR="00FD54FC" w:rsidRPr="00392FFD" w:rsidRDefault="00125707" w:rsidP="00C37B29">
      <w:pPr>
        <w:pStyle w:val="InstructionsText2"/>
        <w:numPr>
          <w:ilvl w:val="0"/>
          <w:numId w:val="0"/>
        </w:numPr>
        <w:ind w:left="993"/>
      </w:pPr>
      <w:r>
        <w:t>133.</w:t>
      </w:r>
      <w:r>
        <w:tab/>
        <w:t>För affärsområdena totalt krävs även uppgifter om antal händelser och brutt</w:t>
      </w:r>
      <w:r>
        <w:t>o</w:t>
      </w:r>
      <w:r>
        <w:t>förlustbelopp för vissa intervall på grundval av fastställda tröskelvärden, 10 000, 20 000, 100 000 och 1 000 000. Tröskelvärdena anges i euro-belopp och tas med i syfte att möjliggöra jämförelser av de rapporterade förlusterna mellan instituten.  De är därför inte nödvändigtvis kopplade till de tröskelvärden för förluster som a</w:t>
      </w:r>
      <w:r>
        <w:t>n</w:t>
      </w:r>
      <w:r>
        <w:t>vänds för intern insamling av förlustuppgifter, och som ska rapporteras i ett annat avsnitt i mallen.</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4" w:name="_Toc516210678"/>
      <w:bookmarkStart w:id="575" w:name="_Toc473561027"/>
      <w:bookmarkStart w:id="576" w:name="_Toc523820299"/>
      <w:r>
        <w:rPr>
          <w:rFonts w:ascii="Times New Roman" w:hAnsi="Times New Roman"/>
          <w:sz w:val="24"/>
          <w:u w:val="none"/>
        </w:rPr>
        <w:t>4.2.2.2.</w:t>
      </w:r>
      <w:r w:rsidRPr="00080037">
        <w:rPr>
          <w:u w:val="none"/>
        </w:rPr>
        <w:tab/>
      </w:r>
      <w:r>
        <w:rPr>
          <w:rFonts w:ascii="Times New Roman" w:hAnsi="Times New Roman"/>
          <w:sz w:val="24"/>
        </w:rPr>
        <w:t>Instruktioner för specifika positioner</w:t>
      </w:r>
      <w:bookmarkEnd w:id="574"/>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Kolumn</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HÄNDELSETYP</w:t>
            </w:r>
          </w:p>
          <w:p w:rsidR="00FD54FC" w:rsidRPr="00392FFD" w:rsidRDefault="00FD54FC" w:rsidP="00FD54FC">
            <w:pPr>
              <w:rPr>
                <w:rFonts w:ascii="Times New Roman" w:hAnsi="Times New Roman"/>
                <w:sz w:val="24"/>
              </w:rPr>
            </w:pPr>
            <w:r>
              <w:rPr>
                <w:rFonts w:ascii="Times New Roman" w:hAnsi="Times New Roman"/>
                <w:sz w:val="24"/>
              </w:rPr>
              <w:t xml:space="preserve">Instituten ska rapportera en uppdelning av förlusterna i de händelsetyper som anges i artikel 324 i CRR i respektive kolumn (010–070). </w:t>
            </w:r>
          </w:p>
          <w:p w:rsidR="00FD54FC" w:rsidRPr="00392FFD" w:rsidRDefault="00FD54FC" w:rsidP="00871877">
            <w:pPr>
              <w:rPr>
                <w:rFonts w:ascii="Times New Roman" w:hAnsi="Times New Roman"/>
                <w:bCs/>
                <w:sz w:val="24"/>
              </w:rPr>
            </w:pPr>
            <w:r>
              <w:rPr>
                <w:rFonts w:ascii="Times New Roman" w:hAnsi="Times New Roman"/>
                <w:sz w:val="24"/>
              </w:rPr>
              <w:t>Institut som beräknar kapitalbaskraven enligt BIA kan endast rapportera de förlu</w:t>
            </w:r>
            <w:r>
              <w:rPr>
                <w:rFonts w:ascii="Times New Roman" w:hAnsi="Times New Roman"/>
                <w:sz w:val="24"/>
              </w:rPr>
              <w:t>s</w:t>
            </w:r>
            <w:r>
              <w:rPr>
                <w:rFonts w:ascii="Times New Roman" w:hAnsi="Times New Roman"/>
                <w:sz w:val="24"/>
              </w:rPr>
              <w:t>ter för vilka händelsetypen är okänd i kolumn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SUMMA HÄNDELSETYPER</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I kolumn 080 ska instituten för varje affärsområde rapportera totalt ”Antal hände</w:t>
            </w:r>
            <w:r>
              <w:rPr>
                <w:rStyle w:val="InstructionsTabelleText"/>
                <w:rFonts w:ascii="Times New Roman" w:hAnsi="Times New Roman"/>
                <w:sz w:val="24"/>
              </w:rPr>
              <w:t>l</w:t>
            </w:r>
            <w:r>
              <w:rPr>
                <w:rStyle w:val="InstructionsTabelleText"/>
                <w:rFonts w:ascii="Times New Roman" w:hAnsi="Times New Roman"/>
                <w:sz w:val="24"/>
              </w:rPr>
              <w:t>ser (nya händelser)”, totalt ”Bruttoförlustbelopp (nya händelser)”, totalt ”Antal händelser som är föremål för förlustkorrigeringar”, de totala ”förlustkorrigeringar som avser föregående rapporteringsperioder”, ”Största enskilda förlust”, ”Summa av de fem största förlusterna”, ”Total direkt återvinning” och ”Total återvinning från försäkring och andra mekanismer för risköverföring”.</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Förutsatt att institutet har fastställt händelsetypen för alla förluster visar kolumn 080 en summering av antalet förlusthändelser, det sammanräknade bruttoförlustb</w:t>
            </w:r>
            <w:r>
              <w:rPr>
                <w:rStyle w:val="InstructionsTabelleText"/>
                <w:rFonts w:ascii="Times New Roman" w:hAnsi="Times New Roman"/>
                <w:sz w:val="24"/>
              </w:rPr>
              <w:t>e</w:t>
            </w:r>
            <w:r>
              <w:rPr>
                <w:rStyle w:val="InstructionsTabelleText"/>
                <w:rFonts w:ascii="Times New Roman" w:hAnsi="Times New Roman"/>
                <w:sz w:val="24"/>
              </w:rPr>
              <w:t>loppen, de totala återvinningsbeloppen och de totala förlustkorrigeringar som a</w:t>
            </w:r>
            <w:r>
              <w:rPr>
                <w:rStyle w:val="InstructionsTabelleText"/>
                <w:rFonts w:ascii="Times New Roman" w:hAnsi="Times New Roman"/>
                <w:sz w:val="24"/>
              </w:rPr>
              <w:t>v</w:t>
            </w:r>
            <w:r>
              <w:rPr>
                <w:rStyle w:val="InstructionsTabelleText"/>
                <w:rFonts w:ascii="Times New Roman" w:hAnsi="Times New Roman"/>
                <w:sz w:val="24"/>
              </w:rPr>
              <w:t xml:space="preserve">ser föregående rapporteringsperioder som rapporteras i kolumnerna 010–070.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Den största enskilda förlusten som rapporteras i kolumn 080 är den största e</w:t>
            </w:r>
            <w:r>
              <w:rPr>
                <w:rStyle w:val="InstructionsTabelleText"/>
                <w:rFonts w:ascii="Times New Roman" w:hAnsi="Times New Roman"/>
                <w:sz w:val="24"/>
              </w:rPr>
              <w:t>n</w:t>
            </w:r>
            <w:r>
              <w:rPr>
                <w:rStyle w:val="InstructionsTabelleText"/>
                <w:rFonts w:ascii="Times New Roman" w:hAnsi="Times New Roman"/>
                <w:sz w:val="24"/>
              </w:rPr>
              <w:t>skilda förlusten inom ett affärsområde och identisk med det högsta beloppet av de största enskilda förluster som rapporteras i kolumnerna 010–070, förutsatt att inst</w:t>
            </w:r>
            <w:r>
              <w:rPr>
                <w:rStyle w:val="InstructionsTabelleText"/>
                <w:rFonts w:ascii="Times New Roman" w:hAnsi="Times New Roman"/>
                <w:sz w:val="24"/>
              </w:rPr>
              <w:t>i</w:t>
            </w:r>
            <w:r>
              <w:rPr>
                <w:rStyle w:val="InstructionsTabelleText"/>
                <w:rFonts w:ascii="Times New Roman" w:hAnsi="Times New Roman"/>
                <w:sz w:val="24"/>
              </w:rPr>
              <w:t xml:space="preserve">tutet har fastställt händelsetyper för alla förluster.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Summan av de fem största förlusterna i kolumn 080 avser summan av de fem största förlusterna inom ett affärsområde.</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TRÖSKELVÄRDE SOM HAR TILLÄMPATS VID UPPGIFTSINSAMLINGEN</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 kolumnerna 090 och 100 ska instituten rapportera de tröskelvärden för förluster som de använder för insamling av uppgifter om interna förluster i enlighet med a</w:t>
            </w:r>
            <w:r>
              <w:rPr>
                <w:rStyle w:val="InstructionsTabelleText"/>
                <w:rFonts w:ascii="Times New Roman" w:hAnsi="Times New Roman"/>
                <w:sz w:val="24"/>
              </w:rPr>
              <w:t>r</w:t>
            </w:r>
            <w:r>
              <w:rPr>
                <w:rStyle w:val="InstructionsTabelleText"/>
                <w:rFonts w:ascii="Times New Roman" w:hAnsi="Times New Roman"/>
                <w:sz w:val="24"/>
              </w:rPr>
              <w:t xml:space="preserve">tikel 322.3 c sista meningen i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Institut som endast tillämpar ett tröskelvärde inom varje affärsområde ska bara fylla i kolumn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Institut som tillämpar olika tröskelvärden inom samma reglerade affärsområde ska även fylla i det högsta tröskelvärde som tillämpas (kolumn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Rad</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AFFÄRSOMRÅDEN: FÖRETAGSFINANSIERING, HANDEL OCH F</w:t>
            </w:r>
            <w:r>
              <w:rPr>
                <w:rStyle w:val="InstructionsTabelleberschrift"/>
                <w:rFonts w:ascii="Times New Roman" w:hAnsi="Times New Roman"/>
                <w:sz w:val="24"/>
              </w:rPr>
              <w:t>I</w:t>
            </w:r>
            <w:r>
              <w:rPr>
                <w:rStyle w:val="InstructionsTabelleberschrift"/>
                <w:rFonts w:ascii="Times New Roman" w:hAnsi="Times New Roman"/>
                <w:sz w:val="24"/>
              </w:rPr>
              <w:t>NANSFÖRVALTNING, PRIVATKUNDSMÄKLERI, STORKUND</w:t>
            </w:r>
            <w:r>
              <w:rPr>
                <w:rStyle w:val="InstructionsTabelleberschrift"/>
                <w:rFonts w:ascii="Times New Roman" w:hAnsi="Times New Roman"/>
                <w:sz w:val="24"/>
              </w:rPr>
              <w:t>S</w:t>
            </w:r>
            <w:r>
              <w:rPr>
                <w:rStyle w:val="InstructionsTabelleberschrift"/>
                <w:rFonts w:ascii="Times New Roman" w:hAnsi="Times New Roman"/>
                <w:sz w:val="24"/>
              </w:rPr>
              <w:t>BANK, HUSHÅLLSBANK, CLEARING OCH BETALNINGSSYSTEM, ADMINISTRATIONSUPPDRAG, KAPITALFÖRVALTNING OCH F</w:t>
            </w:r>
            <w:r>
              <w:rPr>
                <w:rStyle w:val="InstructionsTabelleberschrift"/>
                <w:rFonts w:ascii="Times New Roman" w:hAnsi="Times New Roman"/>
                <w:sz w:val="24"/>
              </w:rPr>
              <w:t>Ö</w:t>
            </w:r>
            <w:r>
              <w:rPr>
                <w:rStyle w:val="InstructionsTabelleberschrift"/>
                <w:rFonts w:ascii="Times New Roman" w:hAnsi="Times New Roman"/>
                <w:sz w:val="24"/>
              </w:rPr>
              <w:t>RETAGSÖVERGRIPANDE POSTER</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Instituten ska, för varje affärsområde som definieras i artikel 317.4 tabell 2 i CRR och för det ytterligare affärsområde ”företagsövergripande poster” som anges i artikel 322.3 b i CRR, samt för varje händelsetyp och i enlighet med de interna tröskelvärdena rapportera följande uppgifter: antalet händelser (nya händelser), bruttoförlustbeloppet (nya händelser), antalet händelser som är föremål för fö</w:t>
            </w:r>
            <w:r>
              <w:rPr>
                <w:rFonts w:ascii="Times New Roman" w:hAnsi="Times New Roman"/>
                <w:sz w:val="24"/>
              </w:rPr>
              <w:t>r</w:t>
            </w:r>
            <w:r>
              <w:rPr>
                <w:rFonts w:ascii="Times New Roman" w:hAnsi="Times New Roman"/>
                <w:sz w:val="24"/>
              </w:rPr>
              <w:t>lustkorrigeringar, förlustkorrigeringar som avser tidigare rapporteringsperioder, den största enskilda förlusten, summan av de fem största förlusterna, totalt direkt återvinningsbelopp och de total återvinning från försäkring och andra meka</w:t>
            </w:r>
            <w:r>
              <w:rPr>
                <w:rFonts w:ascii="Times New Roman" w:hAnsi="Times New Roman"/>
                <w:sz w:val="24"/>
              </w:rPr>
              <w:t>n</w:t>
            </w:r>
            <w:r>
              <w:rPr>
                <w:rFonts w:ascii="Times New Roman" w:hAnsi="Times New Roman"/>
                <w:sz w:val="24"/>
              </w:rPr>
              <w:t xml:space="preserve">ismer för risköverföring. </w:t>
            </w:r>
          </w:p>
          <w:p w:rsidR="00FD54FC" w:rsidRPr="00392FFD" w:rsidRDefault="00FD54FC" w:rsidP="00FD54FC">
            <w:pPr>
              <w:rPr>
                <w:rFonts w:ascii="Times New Roman" w:hAnsi="Times New Roman"/>
                <w:sz w:val="24"/>
              </w:rPr>
            </w:pPr>
            <w:r>
              <w:rPr>
                <w:rFonts w:ascii="Times New Roman" w:hAnsi="Times New Roman"/>
                <w:sz w:val="24"/>
              </w:rPr>
              <w:t>För en förlust som berör mer än ett affärsområde ska bruttoförlustbeloppet förd</w:t>
            </w:r>
            <w:r>
              <w:rPr>
                <w:rFonts w:ascii="Times New Roman" w:hAnsi="Times New Roman"/>
                <w:sz w:val="24"/>
              </w:rPr>
              <w:t>e</w:t>
            </w:r>
            <w:r>
              <w:rPr>
                <w:rFonts w:ascii="Times New Roman" w:hAnsi="Times New Roman"/>
                <w:sz w:val="24"/>
              </w:rPr>
              <w:t>las på samtliga berörda affärsområden.</w:t>
            </w:r>
          </w:p>
          <w:p w:rsidR="00FD54FC" w:rsidRPr="00392FFD" w:rsidRDefault="00FD54FC" w:rsidP="00FD54FC">
            <w:pPr>
              <w:rPr>
                <w:rFonts w:ascii="Times New Roman" w:hAnsi="Times New Roman"/>
                <w:bCs/>
                <w:sz w:val="24"/>
              </w:rPr>
            </w:pPr>
            <w:r>
              <w:rPr>
                <w:rFonts w:ascii="Times New Roman" w:hAnsi="Times New Roman"/>
                <w:sz w:val="24"/>
              </w:rPr>
              <w:t>Institut som beräknar kapitalbaskraven enligt BIA kan endast rapportera de fö</w:t>
            </w:r>
            <w:r>
              <w:rPr>
                <w:rFonts w:ascii="Times New Roman" w:hAnsi="Times New Roman"/>
                <w:sz w:val="24"/>
              </w:rPr>
              <w:t>r</w:t>
            </w:r>
            <w:r>
              <w:rPr>
                <w:rFonts w:ascii="Times New Roman" w:hAnsi="Times New Roman"/>
                <w:sz w:val="24"/>
              </w:rPr>
              <w:lastRenderedPageBreak/>
              <w:t>luster för vilka affärsområdet är okänt i kolumn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händelser (nya händelser)</w:t>
            </w:r>
          </w:p>
          <w:p w:rsidR="00FD54FC" w:rsidRPr="00392FFD" w:rsidRDefault="00FD54FC" w:rsidP="00FD54FC">
            <w:pPr>
              <w:rPr>
                <w:rFonts w:ascii="Times New Roman" w:hAnsi="Times New Roman"/>
                <w:sz w:val="24"/>
              </w:rPr>
            </w:pPr>
            <w:r>
              <w:rPr>
                <w:rFonts w:ascii="Times New Roman" w:hAnsi="Times New Roman"/>
                <w:sz w:val="24"/>
              </w:rPr>
              <w:t>Antalet händelser är antalet operativa riskhändelser där bruttoförluster beaktats under rapporteringsreferensperioden.</w:t>
            </w:r>
          </w:p>
          <w:p w:rsidR="00FD54FC" w:rsidRPr="00392FFD" w:rsidRDefault="00FD54FC" w:rsidP="00FD54FC">
            <w:pPr>
              <w:rPr>
                <w:rFonts w:ascii="Times New Roman" w:hAnsi="Times New Roman"/>
                <w:sz w:val="24"/>
              </w:rPr>
            </w:pPr>
            <w:r>
              <w:rPr>
                <w:rFonts w:ascii="Times New Roman" w:hAnsi="Times New Roman"/>
                <w:sz w:val="24"/>
              </w:rPr>
              <w:t>Antalet händelser ska avse nya händelser, dvs. operativa riskhändelser</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”som beaktas för första gången” inom rapporteringsreferensperioden, eller</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”som beaktas för första gången” under föregående rapporteringsreferensp</w:t>
            </w:r>
            <w:r>
              <w:rPr>
                <w:rFonts w:ascii="Times New Roman" w:hAnsi="Times New Roman"/>
                <w:sz w:val="24"/>
              </w:rPr>
              <w:t>e</w:t>
            </w:r>
            <w:r>
              <w:rPr>
                <w:rFonts w:ascii="Times New Roman" w:hAnsi="Times New Roman"/>
                <w:sz w:val="24"/>
              </w:rPr>
              <w:t>riod, om händelsen inte ingått i någon tidigare tillsynsrapport, exempelvis på grund av att den fastställts som en operativ riskhändelse först under innev</w:t>
            </w:r>
            <w:r>
              <w:rPr>
                <w:rFonts w:ascii="Times New Roman" w:hAnsi="Times New Roman"/>
                <w:sz w:val="24"/>
              </w:rPr>
              <w:t>a</w:t>
            </w:r>
            <w:r>
              <w:rPr>
                <w:rFonts w:ascii="Times New Roman" w:hAnsi="Times New Roman"/>
                <w:sz w:val="24"/>
              </w:rPr>
              <w:t>rande rapporteringsreferensperiod eller på grund av att de ackumulerade fö</w:t>
            </w:r>
            <w:r>
              <w:rPr>
                <w:rFonts w:ascii="Times New Roman" w:hAnsi="Times New Roman"/>
                <w:sz w:val="24"/>
              </w:rPr>
              <w:t>r</w:t>
            </w:r>
            <w:r>
              <w:rPr>
                <w:rFonts w:ascii="Times New Roman" w:hAnsi="Times New Roman"/>
                <w:sz w:val="24"/>
              </w:rPr>
              <w:t>lusterna hänförliga till händelsen (dvs. den ursprungliga förlusten plus/minus alla förlustkorrigeringar som gjorts under tidigare rapporteringsreferensp</w:t>
            </w:r>
            <w:r>
              <w:rPr>
                <w:rFonts w:ascii="Times New Roman" w:hAnsi="Times New Roman"/>
                <w:sz w:val="24"/>
              </w:rPr>
              <w:t>e</w:t>
            </w:r>
            <w:r>
              <w:rPr>
                <w:rFonts w:ascii="Times New Roman" w:hAnsi="Times New Roman"/>
                <w:sz w:val="24"/>
              </w:rPr>
              <w:t>rioder) överstiger tröskelvärdet för intern uppgiftsinsamling först under i</w:t>
            </w:r>
            <w:r>
              <w:rPr>
                <w:rFonts w:ascii="Times New Roman" w:hAnsi="Times New Roman"/>
                <w:sz w:val="24"/>
              </w:rPr>
              <w:t>n</w:t>
            </w:r>
            <w:r>
              <w:rPr>
                <w:rFonts w:ascii="Times New Roman" w:hAnsi="Times New Roman"/>
                <w:sz w:val="24"/>
              </w:rPr>
              <w:t>nevarande rapporteringsreferensperiod.</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”Nya händelser” innefattar inte operativa riskhändelser ”som beaktas för första gången” under föregående rapporteringsreferensperiod som redan ingår i tidigare tillsynsrapporter.</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händelser)</w:t>
            </w:r>
          </w:p>
          <w:p w:rsidR="00FD54FC" w:rsidRPr="00392FFD" w:rsidRDefault="00FD54FC" w:rsidP="00FD54FC">
            <w:pPr>
              <w:rPr>
                <w:rFonts w:ascii="Times New Roman" w:hAnsi="Times New Roman"/>
                <w:sz w:val="24"/>
              </w:rPr>
            </w:pPr>
            <w:r>
              <w:rPr>
                <w:rFonts w:ascii="Times New Roman" w:hAnsi="Times New Roman"/>
                <w:sz w:val="24"/>
              </w:rPr>
              <w:t>Bruttoförlustbeloppet är de förlustbelopp som uppstår till följd av operativa ris</w:t>
            </w:r>
            <w:r>
              <w:rPr>
                <w:rFonts w:ascii="Times New Roman" w:hAnsi="Times New Roman"/>
                <w:sz w:val="24"/>
              </w:rPr>
              <w:t>k</w:t>
            </w:r>
            <w:r>
              <w:rPr>
                <w:rFonts w:ascii="Times New Roman" w:hAnsi="Times New Roman"/>
                <w:sz w:val="24"/>
              </w:rPr>
              <w:t>händelser (t.ex. direkta avgifter, provisioner, avvecklingar). Alla förluster som avser en enskild händelse som inte beaktats under rapporteringsreferensperioden räknas samman och betraktas som bruttoförlusten för den händelsen för den ra</w:t>
            </w:r>
            <w:r>
              <w:rPr>
                <w:rFonts w:ascii="Times New Roman" w:hAnsi="Times New Roman"/>
                <w:sz w:val="24"/>
              </w:rPr>
              <w:t>p</w:t>
            </w:r>
            <w:r>
              <w:rPr>
                <w:rFonts w:ascii="Times New Roman" w:hAnsi="Times New Roman"/>
                <w:sz w:val="24"/>
              </w:rPr>
              <w:t>porteringsreferensperioden.</w:t>
            </w:r>
          </w:p>
          <w:p w:rsidR="00FD54FC" w:rsidRPr="00392FFD" w:rsidRDefault="00FD54FC" w:rsidP="00FD54FC">
            <w:pPr>
              <w:rPr>
                <w:rFonts w:ascii="Times New Roman" w:hAnsi="Times New Roman"/>
                <w:sz w:val="24"/>
              </w:rPr>
            </w:pPr>
            <w:r>
              <w:rPr>
                <w:rFonts w:ascii="Times New Roman" w:hAnsi="Times New Roman"/>
                <w:sz w:val="24"/>
              </w:rPr>
              <w:t>De rapporterade bruttoförlustbeloppet ska avse ”nya händelser” enligt definitio</w:t>
            </w:r>
            <w:r>
              <w:rPr>
                <w:rFonts w:ascii="Times New Roman" w:hAnsi="Times New Roman"/>
                <w:sz w:val="24"/>
              </w:rPr>
              <w:t>n</w:t>
            </w:r>
            <w:r>
              <w:rPr>
                <w:rFonts w:ascii="Times New Roman" w:hAnsi="Times New Roman"/>
                <w:sz w:val="24"/>
              </w:rPr>
              <w:t>en i raden ovan. För händelser ”som beaktas för första gången” under en föreg</w:t>
            </w:r>
            <w:r>
              <w:rPr>
                <w:rFonts w:ascii="Times New Roman" w:hAnsi="Times New Roman"/>
                <w:sz w:val="24"/>
              </w:rPr>
              <w:t>å</w:t>
            </w:r>
            <w:r>
              <w:rPr>
                <w:rFonts w:ascii="Times New Roman" w:hAnsi="Times New Roman"/>
                <w:sz w:val="24"/>
              </w:rPr>
              <w:t>ende rapporteringsreferensperiod som inte ingått i några tidigare tillsynsrapporter ska den totala förlust som ackumulerats fram till rapporteringsreferensdatumet (dvs. den ursprungliga förlusten plus/minus alla förlustkorrigeringar som gjorts under tidigare rapporteringsreferensperioder) rapporteras som bruttoförlusten på rapporteringsreferensdatumet.</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I de belopp som ska rapporteras räknas inte erhållen återvinning.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 som är föremål för förlustkorrigeringar</w:t>
            </w:r>
          </w:p>
          <w:p w:rsidR="00FD54FC" w:rsidRPr="00392FFD" w:rsidRDefault="00FD54FC" w:rsidP="00FD54FC">
            <w:pPr>
              <w:rPr>
                <w:rFonts w:ascii="Times New Roman" w:hAnsi="Times New Roman"/>
                <w:sz w:val="24"/>
              </w:rPr>
            </w:pPr>
            <w:r>
              <w:rPr>
                <w:rFonts w:ascii="Times New Roman" w:hAnsi="Times New Roman"/>
                <w:sz w:val="24"/>
              </w:rPr>
              <w:t>Antalet förlusthändelser som är föremål för förlustkorrigeringar är antalet oper</w:t>
            </w:r>
            <w:r>
              <w:rPr>
                <w:rFonts w:ascii="Times New Roman" w:hAnsi="Times New Roman"/>
                <w:sz w:val="24"/>
              </w:rPr>
              <w:t>a</w:t>
            </w:r>
            <w:r>
              <w:rPr>
                <w:rFonts w:ascii="Times New Roman" w:hAnsi="Times New Roman"/>
                <w:sz w:val="24"/>
              </w:rPr>
              <w:t>tiva riskhändelser ”som beaktas för första gången” under tidigare rapporteringsr</w:t>
            </w:r>
            <w:r>
              <w:rPr>
                <w:rFonts w:ascii="Times New Roman" w:hAnsi="Times New Roman"/>
                <w:sz w:val="24"/>
              </w:rPr>
              <w:t>e</w:t>
            </w:r>
            <w:r>
              <w:rPr>
                <w:rFonts w:ascii="Times New Roman" w:hAnsi="Times New Roman"/>
                <w:sz w:val="24"/>
              </w:rPr>
              <w:t>ferensperioder och som redan ingår i tidigare rapporter för vilka förlustkorrig</w:t>
            </w:r>
            <w:r>
              <w:rPr>
                <w:rFonts w:ascii="Times New Roman" w:hAnsi="Times New Roman"/>
                <w:sz w:val="24"/>
              </w:rPr>
              <w:t>e</w:t>
            </w:r>
            <w:r>
              <w:rPr>
                <w:rFonts w:ascii="Times New Roman" w:hAnsi="Times New Roman"/>
                <w:sz w:val="24"/>
              </w:rPr>
              <w:t xml:space="preserve">ringar gjorts under innevarande rapporteringsreferensperiod. </w:t>
            </w:r>
          </w:p>
          <w:p w:rsidR="00FD54FC" w:rsidRPr="00392FFD" w:rsidRDefault="00FD54FC" w:rsidP="00FD54FC">
            <w:pPr>
              <w:rPr>
                <w:b/>
                <w:sz w:val="24"/>
              </w:rPr>
            </w:pPr>
            <w:r>
              <w:rPr>
                <w:rFonts w:ascii="Times New Roman" w:hAnsi="Times New Roman"/>
                <w:sz w:val="24"/>
              </w:rPr>
              <w:t>Om mer än en förlustkorrigering gjorts för en händelse under rapporteringsref</w:t>
            </w:r>
            <w:r>
              <w:rPr>
                <w:rFonts w:ascii="Times New Roman" w:hAnsi="Times New Roman"/>
                <w:sz w:val="24"/>
              </w:rPr>
              <w:t>e</w:t>
            </w:r>
            <w:r>
              <w:rPr>
                <w:rFonts w:ascii="Times New Roman" w:hAnsi="Times New Roman"/>
                <w:sz w:val="24"/>
              </w:rPr>
              <w:t>rensperioden ska summan av dessa förlustkorrigeringar räknas som en värdering under perioden.</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0040, 0140, 0240, </w:t>
            </w:r>
            <w:r>
              <w:rPr>
                <w:rFonts w:ascii="Times New Roman" w:hAnsi="Times New Roman"/>
                <w:sz w:val="24"/>
              </w:rPr>
              <w:lastRenderedPageBreak/>
              <w:t>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Förlustkorrigeringar som avser tidigare rapporteringsperioder</w:t>
            </w:r>
          </w:p>
          <w:p w:rsidR="00FD54FC" w:rsidRPr="00392FFD" w:rsidRDefault="00FD54FC" w:rsidP="00FD54FC">
            <w:pPr>
              <w:rPr>
                <w:rFonts w:ascii="Times New Roman" w:hAnsi="Times New Roman"/>
                <w:sz w:val="24"/>
              </w:rPr>
            </w:pPr>
            <w:r>
              <w:rPr>
                <w:rFonts w:ascii="Times New Roman" w:hAnsi="Times New Roman"/>
                <w:sz w:val="24"/>
              </w:rPr>
              <w:t xml:space="preserve">förlustkorrigeringar som avser tidigare rapporteringsreferensperioder är summan </w:t>
            </w:r>
            <w:r>
              <w:rPr>
                <w:rFonts w:ascii="Times New Roman" w:hAnsi="Times New Roman"/>
                <w:sz w:val="24"/>
              </w:rPr>
              <w:lastRenderedPageBreak/>
              <w:t>av följande element (positiva eller negativa):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bruttoförlustbelopp som uppstår till följd av positiva förlustkorrigeringar under rapporteringsperioden (t.ex. ökade avsättningar, sammanhörande fö</w:t>
            </w:r>
            <w:r>
              <w:rPr>
                <w:rFonts w:ascii="Times New Roman" w:hAnsi="Times New Roman"/>
                <w:sz w:val="24"/>
              </w:rPr>
              <w:t>r</w:t>
            </w:r>
            <w:r>
              <w:rPr>
                <w:rFonts w:ascii="Times New Roman" w:hAnsi="Times New Roman"/>
                <w:sz w:val="24"/>
              </w:rPr>
              <w:t>lusthändelser, ytterligare avveckling) för operativa riskhändelser ”som bea</w:t>
            </w:r>
            <w:r>
              <w:rPr>
                <w:rFonts w:ascii="Times New Roman" w:hAnsi="Times New Roman"/>
                <w:sz w:val="24"/>
              </w:rPr>
              <w:t>k</w:t>
            </w:r>
            <w:r>
              <w:rPr>
                <w:rFonts w:ascii="Times New Roman" w:hAnsi="Times New Roman"/>
                <w:sz w:val="24"/>
              </w:rPr>
              <w:t>tas för första gången” och rapporterats under tidigare rapporteringsreferen</w:t>
            </w:r>
            <w:r>
              <w:rPr>
                <w:rFonts w:ascii="Times New Roman" w:hAnsi="Times New Roman"/>
                <w:sz w:val="24"/>
              </w:rPr>
              <w:t>s</w:t>
            </w:r>
            <w:r>
              <w:rPr>
                <w:rFonts w:ascii="Times New Roman" w:hAnsi="Times New Roman"/>
                <w:sz w:val="24"/>
              </w:rPr>
              <w:t>perioder.</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bruttoförlustbelopp som uppstår till följd av negativa förlustkorrigeringar som gjorts under rapporteringsperioden (t.ex. till följd av minskad provision) för operativa riskhändelser ”som beaktas för första gången” under tidigare rapporteringsreferensperioder. </w:t>
            </w:r>
          </w:p>
          <w:p w:rsidR="00FD54FC" w:rsidRPr="00392FFD" w:rsidRDefault="00FD54FC" w:rsidP="00FD54FC">
            <w:pPr>
              <w:rPr>
                <w:rFonts w:ascii="Times New Roman" w:hAnsi="Times New Roman"/>
                <w:sz w:val="24"/>
              </w:rPr>
            </w:pPr>
            <w:r>
              <w:rPr>
                <w:rFonts w:ascii="Times New Roman" w:hAnsi="Times New Roman"/>
                <w:sz w:val="24"/>
              </w:rPr>
              <w:t>Om mer än en förlustkorrigering gjorts för en händelse under rapporteringsref</w:t>
            </w:r>
            <w:r>
              <w:rPr>
                <w:rFonts w:ascii="Times New Roman" w:hAnsi="Times New Roman"/>
                <w:sz w:val="24"/>
              </w:rPr>
              <w:t>e</w:t>
            </w:r>
            <w:r>
              <w:rPr>
                <w:rFonts w:ascii="Times New Roman" w:hAnsi="Times New Roman"/>
                <w:sz w:val="24"/>
              </w:rPr>
              <w:t>rensperioden ska alla dessa förlustkorrigeringsbelopp summeras med beaktande av tecknet för värderingen (positivt eller negativt). Denna summa betraktas som förlustkorrigeringen för den händelsen för den rapporteringsreferensperioden.</w:t>
            </w:r>
          </w:p>
          <w:p w:rsidR="00FD54FC" w:rsidRPr="00392FFD" w:rsidRDefault="00FD54FC" w:rsidP="00FD54FC">
            <w:pPr>
              <w:rPr>
                <w:rFonts w:ascii="Times New Roman" w:hAnsi="Times New Roman"/>
                <w:sz w:val="24"/>
              </w:rPr>
            </w:pPr>
            <w:r>
              <w:rPr>
                <w:rFonts w:ascii="Times New Roman" w:hAnsi="Times New Roman"/>
                <w:sz w:val="24"/>
              </w:rPr>
              <w:t>Om det till händelsen hänförliga förlustkorrigeringsbeloppet till följd av en neg</w:t>
            </w:r>
            <w:r>
              <w:rPr>
                <w:rFonts w:ascii="Times New Roman" w:hAnsi="Times New Roman"/>
                <w:sz w:val="24"/>
              </w:rPr>
              <w:t>a</w:t>
            </w:r>
            <w:r>
              <w:rPr>
                <w:rFonts w:ascii="Times New Roman" w:hAnsi="Times New Roman"/>
                <w:sz w:val="24"/>
              </w:rPr>
              <w:t>tiv förlustkorrigering hamnar under det interna tröskelvärdet för uppgiftsi</w:t>
            </w:r>
            <w:r>
              <w:rPr>
                <w:rFonts w:ascii="Times New Roman" w:hAnsi="Times New Roman"/>
                <w:sz w:val="24"/>
              </w:rPr>
              <w:t>n</w:t>
            </w:r>
            <w:r>
              <w:rPr>
                <w:rFonts w:ascii="Times New Roman" w:hAnsi="Times New Roman"/>
                <w:sz w:val="24"/>
              </w:rPr>
              <w:t>samling ska institutet rapportera det totala förlustbeloppet för den händelsen, ackumulerat fram till sista tillfället som händelsen rapporterades för ett referen</w:t>
            </w:r>
            <w:r>
              <w:rPr>
                <w:rFonts w:ascii="Times New Roman" w:hAnsi="Times New Roman"/>
                <w:sz w:val="24"/>
              </w:rPr>
              <w:t>s</w:t>
            </w:r>
            <w:r>
              <w:rPr>
                <w:rFonts w:ascii="Times New Roman" w:hAnsi="Times New Roman"/>
                <w:sz w:val="24"/>
              </w:rPr>
              <w:t>datum i december (dvs. den ursprungliga förlusten plus/minus alla förlustkorrig</w:t>
            </w:r>
            <w:r>
              <w:rPr>
                <w:rFonts w:ascii="Times New Roman" w:hAnsi="Times New Roman"/>
                <w:sz w:val="24"/>
              </w:rPr>
              <w:t>e</w:t>
            </w:r>
            <w:r>
              <w:rPr>
                <w:rFonts w:ascii="Times New Roman" w:hAnsi="Times New Roman"/>
                <w:sz w:val="24"/>
              </w:rPr>
              <w:t>ringar som gjorts under tidigare rapporteringsreferensperioder), med negativt tecken i stället för själva negativa förlustkorrigeringsbeloppet.</w:t>
            </w:r>
          </w:p>
          <w:p w:rsidR="00FD54FC" w:rsidRPr="00392FFD" w:rsidRDefault="00FD54FC" w:rsidP="00EB62C2">
            <w:pPr>
              <w:rPr>
                <w:b/>
                <w:sz w:val="24"/>
              </w:rPr>
            </w:pPr>
            <w:r>
              <w:rPr>
                <w:rFonts w:ascii="Times New Roman" w:hAnsi="Times New Roman"/>
                <w:sz w:val="24"/>
              </w:rPr>
              <w:t>I de belopp som ska rapporteras räknas inte erhållen återvinning.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rsidR="00FD54FC" w:rsidRPr="00392FFD" w:rsidRDefault="00FD54FC" w:rsidP="00FD54FC">
            <w:pPr>
              <w:rPr>
                <w:rFonts w:ascii="Times New Roman" w:hAnsi="Times New Roman"/>
                <w:sz w:val="24"/>
              </w:rPr>
            </w:pPr>
            <w:r>
              <w:rPr>
                <w:rFonts w:ascii="Times New Roman" w:hAnsi="Times New Roman"/>
                <w:sz w:val="24"/>
              </w:rPr>
              <w:t>Den största enskilda förlusten är den största av</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största bruttoförlustbeloppet som avser en händelse som rapporterats för första gången inom rapporteringsreferensperioden och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det största positiva förlustkorrigeringsbelopp (definieras ovan) som avser en händelse som rapporteras för första gången under en tidigare rapportering</w:t>
            </w:r>
            <w:r>
              <w:rPr>
                <w:rFonts w:ascii="Times New Roman" w:hAnsi="Times New Roman"/>
                <w:sz w:val="24"/>
              </w:rPr>
              <w:t>s</w:t>
            </w:r>
            <w:r>
              <w:rPr>
                <w:rFonts w:ascii="Times New Roman" w:hAnsi="Times New Roman"/>
                <w:sz w:val="24"/>
              </w:rPr>
              <w:t>referensperiod.</w:t>
            </w:r>
          </w:p>
          <w:p w:rsidR="00FD54FC" w:rsidRPr="00392FFD" w:rsidRDefault="00FD54FC" w:rsidP="00F52FC6">
            <w:pPr>
              <w:rPr>
                <w:sz w:val="24"/>
              </w:rPr>
            </w:pPr>
            <w:r>
              <w:rPr>
                <w:rFonts w:ascii="Times New Roman" w:hAnsi="Times New Roman"/>
                <w:sz w:val="24"/>
              </w:rPr>
              <w:t>I de belopp som ska rapporteras räknas inte erhållen återvinning.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rsidR="00FD54FC" w:rsidRPr="00392FFD" w:rsidRDefault="00FD54FC" w:rsidP="00FD54FC">
            <w:pPr>
              <w:rPr>
                <w:rFonts w:ascii="Times New Roman" w:hAnsi="Times New Roman"/>
                <w:sz w:val="24"/>
              </w:rPr>
            </w:pPr>
            <w:r>
              <w:rPr>
                <w:rFonts w:ascii="Times New Roman" w:hAnsi="Times New Roman"/>
                <w:sz w:val="24"/>
              </w:rPr>
              <w:t>Summan av de fem största förlusterna är summan av de fem största beloppen bland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bruttoförlustbeloppet för händelser som rapporterats för första gången inom rapporteringsreferensperioden och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positiva förlustkorrigeringsbeloppen (definieras för raderna 040, 140 ..., 840 ovan) som avser händelser som rapporteras för första gången under en tidigare rapporteringsreferensperiod. Det belopp som kan kvalificeras som ett av de fem största är själva förlustkorrigeringsbeloppet, inte den totala fö</w:t>
            </w:r>
            <w:r>
              <w:rPr>
                <w:rFonts w:ascii="Times New Roman" w:hAnsi="Times New Roman"/>
                <w:sz w:val="24"/>
              </w:rPr>
              <w:t>r</w:t>
            </w:r>
            <w:r>
              <w:rPr>
                <w:rFonts w:ascii="Times New Roman" w:hAnsi="Times New Roman"/>
                <w:sz w:val="24"/>
              </w:rPr>
              <w:t>lusten som härrör från respektive händelse före eller efter förlustkorrigerin</w:t>
            </w:r>
            <w:r>
              <w:rPr>
                <w:rFonts w:ascii="Times New Roman" w:hAnsi="Times New Roman"/>
                <w:sz w:val="24"/>
              </w:rPr>
              <w:t>g</w:t>
            </w:r>
            <w:r>
              <w:rPr>
                <w:rFonts w:ascii="Times New Roman" w:hAnsi="Times New Roman"/>
                <w:sz w:val="24"/>
              </w:rPr>
              <w:t>en.</w:t>
            </w:r>
          </w:p>
          <w:p w:rsidR="00FD54FC" w:rsidRPr="00392FFD" w:rsidRDefault="00FD54FC" w:rsidP="00F52FC6">
            <w:pPr>
              <w:rPr>
                <w:sz w:val="24"/>
              </w:rPr>
            </w:pPr>
            <w:r>
              <w:rPr>
                <w:rFonts w:ascii="Times New Roman" w:hAnsi="Times New Roman"/>
                <w:sz w:val="24"/>
              </w:rPr>
              <w:t>I de belopp som ska rapporteras räknas inte erhållen återvinning.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Total direkt återvinning</w:t>
            </w:r>
          </w:p>
          <w:p w:rsidR="00FD54FC" w:rsidRPr="00392FFD" w:rsidRDefault="00FD54FC" w:rsidP="00FD54FC">
            <w:pPr>
              <w:rPr>
                <w:rFonts w:ascii="Times New Roman" w:hAnsi="Times New Roman"/>
                <w:sz w:val="24"/>
              </w:rPr>
            </w:pPr>
            <w:r>
              <w:rPr>
                <w:rFonts w:ascii="Times New Roman" w:hAnsi="Times New Roman"/>
                <w:sz w:val="24"/>
              </w:rPr>
              <w:t xml:space="preserve">Direkta återvinningar är alla återvinningar som erhållits utom de som omfattas av artikel 323 i CRR enligt vad som rapporteras i raden nedan. </w:t>
            </w:r>
          </w:p>
          <w:p w:rsidR="00FD54FC" w:rsidRPr="00392FFD" w:rsidRDefault="00FD54FC" w:rsidP="00FD54FC">
            <w:pPr>
              <w:rPr>
                <w:b/>
                <w:sz w:val="24"/>
              </w:rPr>
            </w:pPr>
            <w:r>
              <w:rPr>
                <w:rFonts w:ascii="Times New Roman" w:hAnsi="Times New Roman"/>
                <w:sz w:val="24"/>
              </w:rPr>
              <w:t>Det totala direkta återvinningsbeloppet är summan av alla direkta återvinningar och förlustkorrigeringar som beaktas under rapporteringsperioden och som avser operativa riskhändelser som beaktats för första gången under rapporteringsref</w:t>
            </w:r>
            <w:r>
              <w:rPr>
                <w:rFonts w:ascii="Times New Roman" w:hAnsi="Times New Roman"/>
                <w:sz w:val="24"/>
              </w:rPr>
              <w:t>e</w:t>
            </w:r>
            <w:r>
              <w:rPr>
                <w:rFonts w:ascii="Times New Roman" w:hAnsi="Times New Roman"/>
                <w:sz w:val="24"/>
              </w:rPr>
              <w:t>rensperioden eller under tidigare rapporteringsreferensperioder.</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återvinning från försäkring och andra mekanismer för risköverföring</w:t>
            </w:r>
          </w:p>
          <w:p w:rsidR="00FD54FC" w:rsidRPr="00392FFD" w:rsidRDefault="00FD54FC" w:rsidP="00FD54FC">
            <w:pPr>
              <w:rPr>
                <w:rFonts w:ascii="Times New Roman" w:hAnsi="Times New Roman"/>
                <w:sz w:val="24"/>
              </w:rPr>
            </w:pPr>
            <w:r>
              <w:rPr>
                <w:rFonts w:ascii="Times New Roman" w:hAnsi="Times New Roman"/>
                <w:sz w:val="24"/>
              </w:rPr>
              <w:t xml:space="preserve">Återvinningar från försäkring och andra mekanismer för risköverföring är de återvinningar som omfattas av artikel 323 i CRR. </w:t>
            </w:r>
          </w:p>
          <w:p w:rsidR="00FD54FC" w:rsidRPr="00392FFD" w:rsidRDefault="00FD54FC" w:rsidP="00070AF9">
            <w:pPr>
              <w:rPr>
                <w:sz w:val="24"/>
              </w:rPr>
            </w:pPr>
            <w:r>
              <w:rPr>
                <w:rFonts w:ascii="Times New Roman" w:hAnsi="Times New Roman"/>
                <w:sz w:val="24"/>
              </w:rPr>
              <w:t>Den totala återvinningen från försäkring eller andra mekanismer för risköverf</w:t>
            </w:r>
            <w:r>
              <w:rPr>
                <w:rFonts w:ascii="Times New Roman" w:hAnsi="Times New Roman"/>
                <w:sz w:val="24"/>
              </w:rPr>
              <w:t>ö</w:t>
            </w:r>
            <w:r>
              <w:rPr>
                <w:rFonts w:ascii="Times New Roman" w:hAnsi="Times New Roman"/>
                <w:sz w:val="24"/>
              </w:rPr>
              <w:t>ring är summan av alla återvinningar och andra mekanismer för risköverföring och förlustkorrigeringar som beaktas under rapporteringsreferensperioden och som avser operativa riskhändelser som beaktats för första gången under rapport</w:t>
            </w:r>
            <w:r>
              <w:rPr>
                <w:rFonts w:ascii="Times New Roman" w:hAnsi="Times New Roman"/>
                <w:sz w:val="24"/>
              </w:rPr>
              <w:t>e</w:t>
            </w:r>
            <w:r>
              <w:rPr>
                <w:rFonts w:ascii="Times New Roman" w:hAnsi="Times New Roman"/>
                <w:sz w:val="24"/>
              </w:rPr>
              <w:t>ringsreferensperioden eller under tidigare rapporteringsreferensperioder.</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AFFÄRSOMRÅDEN</w:t>
            </w:r>
          </w:p>
          <w:p w:rsidR="00FD54FC" w:rsidRPr="00392FFD" w:rsidRDefault="00FD54FC" w:rsidP="00FD54FC">
            <w:pPr>
              <w:rPr>
                <w:rFonts w:ascii="Times New Roman" w:hAnsi="Times New Roman"/>
                <w:sz w:val="24"/>
              </w:rPr>
            </w:pPr>
            <w:r>
              <w:rPr>
                <w:rFonts w:ascii="Times New Roman" w:hAnsi="Times New Roman"/>
                <w:sz w:val="24"/>
              </w:rPr>
              <w:t>För varje händelsetyp (kolumnerna 010–080) ska uppgifter (artikel 322.3 b, c och e i CRR) om affärsområdena sammantaget rapporteras.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händelser</w:t>
            </w:r>
          </w:p>
          <w:p w:rsidR="00FD54FC" w:rsidRPr="00392FFD" w:rsidRDefault="00FD54FC" w:rsidP="00FD54FC">
            <w:pPr>
              <w:rPr>
                <w:rFonts w:ascii="Times New Roman" w:hAnsi="Times New Roman"/>
                <w:sz w:val="24"/>
              </w:rPr>
            </w:pPr>
            <w:r>
              <w:rPr>
                <w:rFonts w:ascii="Times New Roman" w:hAnsi="Times New Roman"/>
                <w:sz w:val="24"/>
              </w:rPr>
              <w:t>På rad 910 ska det antal händelser som överstiger det interna tröskelvärdet up</w:t>
            </w:r>
            <w:r>
              <w:rPr>
                <w:rFonts w:ascii="Times New Roman" w:hAnsi="Times New Roman"/>
                <w:sz w:val="24"/>
              </w:rPr>
              <w:t>p</w:t>
            </w:r>
            <w:r>
              <w:rPr>
                <w:rFonts w:ascii="Times New Roman" w:hAnsi="Times New Roman"/>
                <w:sz w:val="24"/>
              </w:rPr>
              <w:t>delade i händelsetyper för affärsområdena sammantaget rapporteras. Denna siffra kan vara lägre än summan av antalet händelser uppdelade i affärsområden, e</w:t>
            </w:r>
            <w:r>
              <w:rPr>
                <w:rFonts w:ascii="Times New Roman" w:hAnsi="Times New Roman"/>
                <w:sz w:val="24"/>
              </w:rPr>
              <w:t>f</w:t>
            </w:r>
            <w:r>
              <w:rPr>
                <w:rFonts w:ascii="Times New Roman" w:hAnsi="Times New Roman"/>
                <w:sz w:val="24"/>
              </w:rPr>
              <w:t>tersom händelser som berör flera affärsområden ska behandlas som en händelse. Den kan var högre om ett institut som beräknar sina kapitalbaskrav enligt BIA inte kan fastställa vilket affärsområde som påverkas av förlusten i varje fall.</w:t>
            </w:r>
          </w:p>
          <w:p w:rsidR="00FD54FC" w:rsidRPr="00392FFD" w:rsidRDefault="00FD54FC" w:rsidP="00FD54FC">
            <w:pPr>
              <w:rPr>
                <w:rFonts w:ascii="Times New Roman" w:hAnsi="Times New Roman"/>
                <w:sz w:val="24"/>
              </w:rPr>
            </w:pPr>
            <w:r>
              <w:rPr>
                <w:rFonts w:ascii="Times New Roman" w:hAnsi="Times New Roman"/>
                <w:sz w:val="24"/>
              </w:rPr>
              <w:t>På raderna 911–914 ska antalet händelser med ett bruttoförlustbelopp inom de i</w:t>
            </w:r>
            <w:r>
              <w:rPr>
                <w:rFonts w:ascii="Times New Roman" w:hAnsi="Times New Roman"/>
                <w:sz w:val="24"/>
              </w:rPr>
              <w:t>n</w:t>
            </w:r>
            <w:r>
              <w:rPr>
                <w:rFonts w:ascii="Times New Roman" w:hAnsi="Times New Roman"/>
                <w:sz w:val="24"/>
              </w:rPr>
              <w:t>tervall som anges i respektive rad rapporteras.</w:t>
            </w:r>
          </w:p>
          <w:p w:rsidR="00FD54FC" w:rsidRPr="00392FFD" w:rsidRDefault="00FD54FC" w:rsidP="00FD54FC">
            <w:pPr>
              <w:rPr>
                <w:rFonts w:ascii="Times New Roman" w:hAnsi="Times New Roman"/>
                <w:sz w:val="24"/>
              </w:rPr>
            </w:pPr>
            <w:r>
              <w:rPr>
                <w:rFonts w:ascii="Times New Roman" w:hAnsi="Times New Roman"/>
                <w:sz w:val="24"/>
              </w:rPr>
              <w:t>Förutsatt att institutet har hänfört alla sina förluster antingen till ett affärsområde som förtecknas i artikel 317.4 tabell 2 i CRR eller till affärsområdet ”företags</w:t>
            </w:r>
            <w:r>
              <w:rPr>
                <w:rFonts w:ascii="Times New Roman" w:hAnsi="Times New Roman"/>
                <w:sz w:val="24"/>
              </w:rPr>
              <w:t>ö</w:t>
            </w:r>
            <w:r>
              <w:rPr>
                <w:rFonts w:ascii="Times New Roman" w:hAnsi="Times New Roman"/>
                <w:sz w:val="24"/>
              </w:rPr>
              <w:t>vergripande poster”, som avses i artikel 322.3 b i CRR, och fastställt händelset</w:t>
            </w:r>
            <w:r>
              <w:rPr>
                <w:rFonts w:ascii="Times New Roman" w:hAnsi="Times New Roman"/>
                <w:sz w:val="24"/>
              </w:rPr>
              <w:t>y</w:t>
            </w:r>
            <w:r>
              <w:rPr>
                <w:rFonts w:ascii="Times New Roman" w:hAnsi="Times New Roman"/>
                <w:sz w:val="24"/>
              </w:rPr>
              <w:t>perna för alla förluster ska följande gälla för kolumn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Det totala antalet händelser som rapporteras i raderna 910–914 är lika med den horisontella summeringen av antalet händelser på motsvarande rad, föru</w:t>
            </w:r>
            <w:r>
              <w:rPr>
                <w:rFonts w:ascii="Times New Roman" w:hAnsi="Times New Roman"/>
                <w:sz w:val="24"/>
              </w:rPr>
              <w:t>t</w:t>
            </w:r>
            <w:r>
              <w:rPr>
                <w:rFonts w:ascii="Times New Roman" w:hAnsi="Times New Roman"/>
                <w:sz w:val="24"/>
              </w:rPr>
              <w:t>satt att man i dessa siffror redan behandlar de händelser som berör flera a</w:t>
            </w:r>
            <w:r>
              <w:rPr>
                <w:rFonts w:ascii="Times New Roman" w:hAnsi="Times New Roman"/>
                <w:sz w:val="24"/>
              </w:rPr>
              <w:t>f</w:t>
            </w:r>
            <w:r>
              <w:rPr>
                <w:rFonts w:ascii="Times New Roman" w:hAnsi="Times New Roman"/>
                <w:sz w:val="24"/>
              </w:rPr>
              <w:t>färsområden som en händelse.</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Siffran som rapporteras i kolumn 080; rad 910 behöver inte vara lika med den vertikala summeringen av antalet händelser som anges i kolumn 080, e</w:t>
            </w:r>
            <w:r>
              <w:rPr>
                <w:rFonts w:ascii="Times New Roman" w:hAnsi="Times New Roman"/>
                <w:sz w:val="24"/>
              </w:rPr>
              <w:t>f</w:t>
            </w:r>
            <w:r>
              <w:rPr>
                <w:rFonts w:ascii="Times New Roman" w:hAnsi="Times New Roman"/>
                <w:sz w:val="24"/>
              </w:rPr>
              <w:t>tersom en händelse kan beröra flera affärsområden samtidigt.</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händelser)</w:t>
            </w:r>
          </w:p>
          <w:p w:rsidR="00FD54FC" w:rsidRPr="00392FFD" w:rsidRDefault="00FD54FC" w:rsidP="00FD54FC">
            <w:pPr>
              <w:rPr>
                <w:rFonts w:ascii="Times New Roman" w:hAnsi="Times New Roman"/>
                <w:sz w:val="24"/>
              </w:rPr>
            </w:pPr>
            <w:r>
              <w:rPr>
                <w:rFonts w:ascii="Times New Roman" w:hAnsi="Times New Roman"/>
                <w:sz w:val="24"/>
              </w:rPr>
              <w:t>Om institutet har hänfört alla sina förluster antingen till ett affärsområde som fö</w:t>
            </w:r>
            <w:r>
              <w:rPr>
                <w:rFonts w:ascii="Times New Roman" w:hAnsi="Times New Roman"/>
                <w:sz w:val="24"/>
              </w:rPr>
              <w:t>r</w:t>
            </w:r>
            <w:r>
              <w:rPr>
                <w:rFonts w:ascii="Times New Roman" w:hAnsi="Times New Roman"/>
                <w:sz w:val="24"/>
              </w:rPr>
              <w:lastRenderedPageBreak/>
              <w:t>tecknas i artikel 317.4 tabell 2 i CRR eller till affärsområdet ”företagsövergr</w:t>
            </w:r>
            <w:r>
              <w:rPr>
                <w:rFonts w:ascii="Times New Roman" w:hAnsi="Times New Roman"/>
                <w:sz w:val="24"/>
              </w:rPr>
              <w:t>i</w:t>
            </w:r>
            <w:r>
              <w:rPr>
                <w:rFonts w:ascii="Times New Roman" w:hAnsi="Times New Roman"/>
                <w:sz w:val="24"/>
              </w:rPr>
              <w:t xml:space="preserve">pande poster”, som avses i artikel 322.3 b i CRR, är bruttoförlustbeloppet (nya händelser) som rapporteras i rad 920 en summering av bruttoförlustbeloppen för nya händelser för varje affärsområde.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På raderna 921–914 ska bruttoförlustbeloppet för varje händelse med ett brutt</w:t>
            </w:r>
            <w:r>
              <w:rPr>
                <w:rFonts w:ascii="Times New Roman" w:hAnsi="Times New Roman"/>
                <w:sz w:val="24"/>
              </w:rPr>
              <w:t>o</w:t>
            </w:r>
            <w:r>
              <w:rPr>
                <w:rFonts w:ascii="Times New Roman" w:hAnsi="Times New Roman"/>
                <w:sz w:val="24"/>
              </w:rPr>
              <w:t>förlustbelopp inom de intervall som anges i respektive rad rapporteras.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Antal förlusthändelser som är föremål för förlustkorrigeringar</w:t>
            </w:r>
          </w:p>
          <w:p w:rsidR="00FD54FC" w:rsidRPr="00392FFD" w:rsidRDefault="00FD54FC" w:rsidP="00FD54FC">
            <w:pPr>
              <w:rPr>
                <w:rFonts w:ascii="Times New Roman" w:hAnsi="Times New Roman"/>
                <w:sz w:val="24"/>
              </w:rPr>
            </w:pPr>
            <w:r>
              <w:rPr>
                <w:rFonts w:ascii="Times New Roman" w:hAnsi="Times New Roman"/>
                <w:sz w:val="24"/>
              </w:rPr>
              <w:t>På rad 930 ska summan av antalet händelser som är föremål för förlustkorrig</w:t>
            </w:r>
            <w:r>
              <w:rPr>
                <w:rFonts w:ascii="Times New Roman" w:hAnsi="Times New Roman"/>
                <w:sz w:val="24"/>
              </w:rPr>
              <w:t>e</w:t>
            </w:r>
            <w:r>
              <w:rPr>
                <w:rFonts w:ascii="Times New Roman" w:hAnsi="Times New Roman"/>
                <w:sz w:val="24"/>
              </w:rPr>
              <w:t>ring, i enlighet med raderna 030, 130 ..., 830, rapporteras. Denna siffra kan vara lägre än summan av antalet händelser som är föremål för förlustkorrigering up</w:t>
            </w:r>
            <w:r>
              <w:rPr>
                <w:rFonts w:ascii="Times New Roman" w:hAnsi="Times New Roman"/>
                <w:sz w:val="24"/>
              </w:rPr>
              <w:t>p</w:t>
            </w:r>
            <w:r>
              <w:rPr>
                <w:rFonts w:ascii="Times New Roman" w:hAnsi="Times New Roman"/>
                <w:sz w:val="24"/>
              </w:rPr>
              <w:t>delade i affärsområden, eftersom händelser som berör flera affärsområden ska behandlas som en händelse. Den kan var högre om ett institut som beräknar sina kapitalbaskrav enligt BIA inte kan fastställa vilket affärsområde som påverkas av förlusten i varje fall.</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Antalet förlusthändelser som är föremål för förlustkorrigering ska delas upp i a</w:t>
            </w:r>
            <w:r>
              <w:rPr>
                <w:rFonts w:ascii="Times New Roman" w:hAnsi="Times New Roman"/>
                <w:sz w:val="24"/>
              </w:rPr>
              <w:t>n</w:t>
            </w:r>
            <w:r>
              <w:rPr>
                <w:rFonts w:ascii="Times New Roman" w:hAnsi="Times New Roman"/>
                <w:sz w:val="24"/>
              </w:rPr>
              <w:t>talet händelser för vilka en positiv förlustkorrigering gjordes under rapportering</w:t>
            </w:r>
            <w:r>
              <w:rPr>
                <w:rFonts w:ascii="Times New Roman" w:hAnsi="Times New Roman"/>
                <w:sz w:val="24"/>
              </w:rPr>
              <w:t>s</w:t>
            </w:r>
            <w:r>
              <w:rPr>
                <w:rFonts w:ascii="Times New Roman" w:hAnsi="Times New Roman"/>
                <w:sz w:val="24"/>
              </w:rPr>
              <w:t>referensperioden och antalet händelser för vilka en negativ förlustkorrigering gjordes under rapporteringsperioden (alla ska rapporteras med positivt tecken).</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Förlustkorrigeringar som avser tidigare rapporteringsperioder</w:t>
            </w:r>
          </w:p>
          <w:p w:rsidR="00FD54FC" w:rsidRPr="00392FFD" w:rsidRDefault="00FD54FC" w:rsidP="00FD54FC">
            <w:pPr>
              <w:rPr>
                <w:rFonts w:ascii="Times New Roman" w:hAnsi="Times New Roman"/>
                <w:sz w:val="24"/>
              </w:rPr>
            </w:pPr>
            <w:r>
              <w:rPr>
                <w:rFonts w:ascii="Times New Roman" w:hAnsi="Times New Roman"/>
                <w:sz w:val="24"/>
              </w:rPr>
              <w:t>På rad 940 ska summan av förlustkorrigeringar som avser tidigare rapportering</w:t>
            </w:r>
            <w:r>
              <w:rPr>
                <w:rFonts w:ascii="Times New Roman" w:hAnsi="Times New Roman"/>
                <w:sz w:val="24"/>
              </w:rPr>
              <w:t>s</w:t>
            </w:r>
            <w:r>
              <w:rPr>
                <w:rFonts w:ascii="Times New Roman" w:hAnsi="Times New Roman"/>
                <w:sz w:val="24"/>
              </w:rPr>
              <w:t>perioder per affärsområde (i enlighet med raderna 040, 140 ..., 840) rapporteras. Om institutet har hänfört alla sina förluster antingen till ett affärsområde som fö</w:t>
            </w:r>
            <w:r>
              <w:rPr>
                <w:rFonts w:ascii="Times New Roman" w:hAnsi="Times New Roman"/>
                <w:sz w:val="24"/>
              </w:rPr>
              <w:t>r</w:t>
            </w:r>
            <w:r>
              <w:rPr>
                <w:rFonts w:ascii="Times New Roman" w:hAnsi="Times New Roman"/>
                <w:sz w:val="24"/>
              </w:rPr>
              <w:t>tecknas i artikel 317.4 tabell 2 i CRR eller till affärsområdet ”företagsövergr</w:t>
            </w:r>
            <w:r>
              <w:rPr>
                <w:rFonts w:ascii="Times New Roman" w:hAnsi="Times New Roman"/>
                <w:sz w:val="24"/>
              </w:rPr>
              <w:t>i</w:t>
            </w:r>
            <w:r>
              <w:rPr>
                <w:rFonts w:ascii="Times New Roman" w:hAnsi="Times New Roman"/>
                <w:sz w:val="24"/>
              </w:rPr>
              <w:t>pande poster”, som avses i artikel 322.3 b i CRR, är det belopp som rapporteras på rad 940 en summering av de förlustkorrigeringar som avser tidigare rapport</w:t>
            </w:r>
            <w:r>
              <w:rPr>
                <w:rFonts w:ascii="Times New Roman" w:hAnsi="Times New Roman"/>
                <w:sz w:val="24"/>
              </w:rPr>
              <w:t>e</w:t>
            </w:r>
            <w:r>
              <w:rPr>
                <w:rFonts w:ascii="Times New Roman" w:hAnsi="Times New Roman"/>
                <w:sz w:val="24"/>
              </w:rPr>
              <w:t>ringsperioder som rapporterats för de olika affärsområdena.</w:t>
            </w:r>
          </w:p>
          <w:p w:rsidR="00FD54FC" w:rsidRPr="00392FFD" w:rsidRDefault="00FD54FC" w:rsidP="00070AF9">
            <w:pPr>
              <w:rPr>
                <w:sz w:val="24"/>
              </w:rPr>
            </w:pPr>
            <w:r>
              <w:rPr>
                <w:rFonts w:ascii="Times New Roman" w:hAnsi="Times New Roman"/>
                <w:sz w:val="24"/>
              </w:rPr>
              <w:t>Antalet förlustkorrigeringar ska delas upp i beloppet som avser händelser för vilka en positiv förlustkorrigering gjordes under rapporteringsreferensperioden (rad 945, rapporteras som ett positivt tal) och beloppet som avser händelser för vilka en negativ förlustkorrigering gjordes under rapporteringsperioden (rad 946, rapporteras som ett negativt tal). Om det till händelsen hänförliga förlustkorrig</w:t>
            </w:r>
            <w:r>
              <w:rPr>
                <w:rFonts w:ascii="Times New Roman" w:hAnsi="Times New Roman"/>
                <w:sz w:val="24"/>
              </w:rPr>
              <w:t>e</w:t>
            </w:r>
            <w:r>
              <w:rPr>
                <w:rFonts w:ascii="Times New Roman" w:hAnsi="Times New Roman"/>
                <w:sz w:val="24"/>
              </w:rPr>
              <w:t>ringsbeloppet till följd av en negativ förlustkorrigering hamnar under det interna tröskelvärdet för uppgiftsinsamling ska institutet rapportera det totala förlustb</w:t>
            </w:r>
            <w:r>
              <w:rPr>
                <w:rFonts w:ascii="Times New Roman" w:hAnsi="Times New Roman"/>
                <w:sz w:val="24"/>
              </w:rPr>
              <w:t>e</w:t>
            </w:r>
            <w:r>
              <w:rPr>
                <w:rFonts w:ascii="Times New Roman" w:hAnsi="Times New Roman"/>
                <w:sz w:val="24"/>
              </w:rPr>
              <w:t>loppet för den händelsen, ackumulerat fram till sista tillfället som händelsen (dvs. den ursprungliga förlusten plus/minus alla förlustkorrigeringar som gjorts under tidigare rapporteringsreferensperioder), med negativt tecken på rad 946 i stället för själva negativa förlustkorrigeringsbeloppet.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rsidR="00FD54FC" w:rsidRPr="00392FFD" w:rsidRDefault="00FD54FC" w:rsidP="00FD54FC">
            <w:pPr>
              <w:rPr>
                <w:rFonts w:ascii="Times New Roman" w:hAnsi="Times New Roman"/>
                <w:sz w:val="24"/>
              </w:rPr>
            </w:pPr>
            <w:r>
              <w:rPr>
                <w:rFonts w:ascii="Times New Roman" w:hAnsi="Times New Roman"/>
                <w:sz w:val="24"/>
              </w:rPr>
              <w:t>Om institutet har hänfört alla sina förluster antingen till ett affärsområde som fö</w:t>
            </w:r>
            <w:r>
              <w:rPr>
                <w:rFonts w:ascii="Times New Roman" w:hAnsi="Times New Roman"/>
                <w:sz w:val="24"/>
              </w:rPr>
              <w:t>r</w:t>
            </w:r>
            <w:r>
              <w:rPr>
                <w:rFonts w:ascii="Times New Roman" w:hAnsi="Times New Roman"/>
                <w:sz w:val="24"/>
              </w:rPr>
              <w:t>tecknas i artikel 317.4 tabell 2 i CRR eller till affärsområdet ”företagsövergr</w:t>
            </w:r>
            <w:r>
              <w:rPr>
                <w:rFonts w:ascii="Times New Roman" w:hAnsi="Times New Roman"/>
                <w:sz w:val="24"/>
              </w:rPr>
              <w:t>i</w:t>
            </w:r>
            <w:r>
              <w:rPr>
                <w:rFonts w:ascii="Times New Roman" w:hAnsi="Times New Roman"/>
                <w:sz w:val="24"/>
              </w:rPr>
              <w:t>pande poster”, som avses i artikel 322.3 b i CRR, är den största enskilda förlusten den största förlusten över det interna tröskelvärdet för varje händelsetyp och sett till samtliga affärsområden. Dessa siffror kan vara högre än den största enskilda förlust som registrerats inom varje affärsområde, om en händelse berör flera a</w:t>
            </w:r>
            <w:r>
              <w:rPr>
                <w:rFonts w:ascii="Times New Roman" w:hAnsi="Times New Roman"/>
                <w:sz w:val="24"/>
              </w:rPr>
              <w:t>f</w:t>
            </w:r>
            <w:r>
              <w:rPr>
                <w:rFonts w:ascii="Times New Roman" w:hAnsi="Times New Roman"/>
                <w:sz w:val="24"/>
              </w:rPr>
              <w:lastRenderedPageBreak/>
              <w:t>färsområden.</w:t>
            </w:r>
          </w:p>
          <w:p w:rsidR="00FD54FC" w:rsidRPr="00392FFD" w:rsidRDefault="00FD54FC" w:rsidP="00FD54FC">
            <w:pPr>
              <w:rPr>
                <w:rFonts w:ascii="Times New Roman" w:hAnsi="Times New Roman"/>
                <w:sz w:val="24"/>
              </w:rPr>
            </w:pPr>
            <w:r>
              <w:rPr>
                <w:rFonts w:ascii="Times New Roman" w:hAnsi="Times New Roman"/>
                <w:sz w:val="24"/>
              </w:rPr>
              <w:t>Förutsatt att institutet har hänfört alla sina förluster antingen till ett affärsområde som förtecknas i artikel 317.4 tabell 2 i CRR eller till affärsområdet ”företags</w:t>
            </w:r>
            <w:r>
              <w:rPr>
                <w:rFonts w:ascii="Times New Roman" w:hAnsi="Times New Roman"/>
                <w:sz w:val="24"/>
              </w:rPr>
              <w:t>ö</w:t>
            </w:r>
            <w:r>
              <w:rPr>
                <w:rFonts w:ascii="Times New Roman" w:hAnsi="Times New Roman"/>
                <w:sz w:val="24"/>
              </w:rPr>
              <w:t>vergripande poster”, som avses i artikel 322.3 b i CRR, och fastställt händelset</w:t>
            </w:r>
            <w:r>
              <w:rPr>
                <w:rFonts w:ascii="Times New Roman" w:hAnsi="Times New Roman"/>
                <w:sz w:val="24"/>
              </w:rPr>
              <w:t>y</w:t>
            </w:r>
            <w:r>
              <w:rPr>
                <w:rFonts w:ascii="Times New Roman" w:hAnsi="Times New Roman"/>
                <w:sz w:val="24"/>
              </w:rPr>
              <w:t>perna för alla förluster ska följande gälla för kolumn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Den största enskilda förlusten som rapporteras ska vara lika med det högsta av de värden som rapporteras i kolumnerna 010–070 på denna rad.</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Om händelser påverkar olika affärsområden kan det rapporterade beloppet i {r950, c080} vara högre än beloppet av den största enskilda förlusten per a</w:t>
            </w:r>
            <w:r>
              <w:rPr>
                <w:rFonts w:ascii="Times New Roman" w:hAnsi="Times New Roman"/>
                <w:sz w:val="24"/>
              </w:rPr>
              <w:t>f</w:t>
            </w:r>
            <w:r>
              <w:rPr>
                <w:rFonts w:ascii="Times New Roman" w:hAnsi="Times New Roman"/>
                <w:sz w:val="24"/>
              </w:rPr>
              <w:t xml:space="preserve">färsområde som rapporterats på andra rader i kolumn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rsidR="00FD54FC" w:rsidRPr="00392FFD" w:rsidRDefault="00FD54FC" w:rsidP="00FD54FC">
            <w:pPr>
              <w:rPr>
                <w:rFonts w:ascii="Times New Roman" w:hAnsi="Times New Roman"/>
                <w:sz w:val="24"/>
              </w:rPr>
            </w:pPr>
            <w:r>
              <w:rPr>
                <w:rFonts w:ascii="Times New Roman" w:hAnsi="Times New Roman"/>
                <w:sz w:val="24"/>
              </w:rPr>
              <w:t xml:space="preserve">Summan av de fem största bruttoförlusterna för varje händelsetyp och sett till samtliga affärsområden. Detta belopp kan vara högre än den största summa av de fem största förlusterna som registrerats inom varje affärsområde. Denna summa ska rapporteras oavsett antalet förluster.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Förutsatt att institutet har hänfört alla sina förluster antingen till ett affärsområde som förtecknas i artikel 317.4 i tabell 2 i CRR eller till affärsområdet ”företags</w:t>
            </w:r>
            <w:r>
              <w:rPr>
                <w:rFonts w:ascii="Times New Roman" w:hAnsi="Times New Roman"/>
                <w:sz w:val="24"/>
              </w:rPr>
              <w:t>ö</w:t>
            </w:r>
            <w:r>
              <w:rPr>
                <w:rFonts w:ascii="Times New Roman" w:hAnsi="Times New Roman"/>
                <w:sz w:val="24"/>
              </w:rPr>
              <w:t>vergripande poster”, som avses i artikel 322.3 b i CRR, och om det har fastställt händelsetyperna för alla förluster ska summan av de fem största kolumnerna, för kolumn 080 vara summan av de fem största förlusterna i hela matrisen, vilket b</w:t>
            </w:r>
            <w:r>
              <w:rPr>
                <w:rFonts w:ascii="Times New Roman" w:hAnsi="Times New Roman"/>
                <w:sz w:val="24"/>
              </w:rPr>
              <w:t>e</w:t>
            </w:r>
            <w:r>
              <w:rPr>
                <w:rFonts w:ascii="Times New Roman" w:hAnsi="Times New Roman"/>
                <w:sz w:val="24"/>
              </w:rPr>
              <w:t>tyder att den inte behöver vara lika med varken det högsta värdet för ”summan av de fem största förlusterna” på rad 960 eller det högsta värdet för ”summan av de fem största förlusterna i kolumn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direkt återvinning</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Om institutet har hänfört alla sina förluster antingen till ett affärsområde som fö</w:t>
            </w:r>
            <w:r>
              <w:rPr>
                <w:rFonts w:ascii="Times New Roman" w:hAnsi="Times New Roman"/>
                <w:sz w:val="24"/>
              </w:rPr>
              <w:t>r</w:t>
            </w:r>
            <w:r>
              <w:rPr>
                <w:rFonts w:ascii="Times New Roman" w:hAnsi="Times New Roman"/>
                <w:sz w:val="24"/>
              </w:rPr>
              <w:t>tecknas i artikel 317.4 tabell 2 i CRR eller till affärsområdet ”företagsövergr</w:t>
            </w:r>
            <w:r>
              <w:rPr>
                <w:rFonts w:ascii="Times New Roman" w:hAnsi="Times New Roman"/>
                <w:sz w:val="24"/>
              </w:rPr>
              <w:t>i</w:t>
            </w:r>
            <w:r>
              <w:rPr>
                <w:rFonts w:ascii="Times New Roman" w:hAnsi="Times New Roman"/>
                <w:sz w:val="24"/>
              </w:rPr>
              <w:t>pande poster”, som avses i artikel 322.3 b i CRR, är de totala direkta återvinnin</w:t>
            </w:r>
            <w:r>
              <w:rPr>
                <w:rFonts w:ascii="Times New Roman" w:hAnsi="Times New Roman"/>
                <w:sz w:val="24"/>
              </w:rPr>
              <w:t>g</w:t>
            </w:r>
            <w:r>
              <w:rPr>
                <w:rFonts w:ascii="Times New Roman" w:hAnsi="Times New Roman"/>
                <w:sz w:val="24"/>
              </w:rPr>
              <w:t>arna summan av de direkta återvinningarna för varje affärsområde.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återvinning från försäkring och andra mekanismer för risköverföring</w:t>
            </w:r>
          </w:p>
          <w:p w:rsidR="00FD54FC" w:rsidRPr="00392FFD" w:rsidRDefault="00FD54FC" w:rsidP="00FD54FC">
            <w:pPr>
              <w:rPr>
                <w:rFonts w:ascii="Times New Roman" w:hAnsi="Times New Roman"/>
                <w:b/>
                <w:bCs/>
                <w:sz w:val="24"/>
                <w:u w:val="single"/>
              </w:rPr>
            </w:pPr>
            <w:r>
              <w:rPr>
                <w:rFonts w:ascii="Times New Roman" w:hAnsi="Times New Roman"/>
                <w:sz w:val="24"/>
              </w:rPr>
              <w:t>Om institutet har hänfört alla sina förluster antingen till ett affärsområde som fö</w:t>
            </w:r>
            <w:r>
              <w:rPr>
                <w:rFonts w:ascii="Times New Roman" w:hAnsi="Times New Roman"/>
                <w:sz w:val="24"/>
              </w:rPr>
              <w:t>r</w:t>
            </w:r>
            <w:r>
              <w:rPr>
                <w:rFonts w:ascii="Times New Roman" w:hAnsi="Times New Roman"/>
                <w:sz w:val="24"/>
              </w:rPr>
              <w:t>tecknas i artikel 317.4 tabell 2 i CRR eller till affärsområdet ”företagsövergr</w:t>
            </w:r>
            <w:r>
              <w:rPr>
                <w:rFonts w:ascii="Times New Roman" w:hAnsi="Times New Roman"/>
                <w:sz w:val="24"/>
              </w:rPr>
              <w:t>i</w:t>
            </w:r>
            <w:r>
              <w:rPr>
                <w:rFonts w:ascii="Times New Roman" w:hAnsi="Times New Roman"/>
                <w:sz w:val="24"/>
              </w:rPr>
              <w:t>pande poster”, som avses i artikel 322.3 b i CRR, är den totala återvinningen från försäkring eller andra mekanismer för risköverföring summan av den totala åte</w:t>
            </w:r>
            <w:r>
              <w:rPr>
                <w:rFonts w:ascii="Times New Roman" w:hAnsi="Times New Roman"/>
                <w:sz w:val="24"/>
              </w:rPr>
              <w:t>r</w:t>
            </w:r>
            <w:r>
              <w:rPr>
                <w:rFonts w:ascii="Times New Roman" w:hAnsi="Times New Roman"/>
                <w:sz w:val="24"/>
              </w:rPr>
              <w:t>vinningen från försäkring och andra mekanismer för risköverföring för varje a</w:t>
            </w:r>
            <w:r>
              <w:rPr>
                <w:rFonts w:ascii="Times New Roman" w:hAnsi="Times New Roman"/>
                <w:sz w:val="24"/>
              </w:rPr>
              <w:t>f</w:t>
            </w:r>
            <w:r>
              <w:rPr>
                <w:rFonts w:ascii="Times New Roman" w:hAnsi="Times New Roman"/>
                <w:sz w:val="24"/>
              </w:rPr>
              <w:t>färsområde.</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7" w:name="_Toc516210679"/>
      <w:bookmarkStart w:id="578" w:name="_Toc473561028"/>
      <w:bookmarkStart w:id="579" w:name="_Toc523820300"/>
      <w:r>
        <w:rPr>
          <w:rFonts w:ascii="Times New Roman" w:hAnsi="Times New Roman"/>
          <w:sz w:val="24"/>
          <w:u w:val="none"/>
        </w:rPr>
        <w:t>4.2.3.</w:t>
      </w:r>
      <w:r w:rsidRPr="00080037">
        <w:rPr>
          <w:u w:val="none"/>
        </w:rPr>
        <w:tab/>
      </w:r>
      <w:r>
        <w:rPr>
          <w:rFonts w:ascii="Times New Roman" w:hAnsi="Times New Roman"/>
          <w:sz w:val="24"/>
        </w:rPr>
        <w:t>C 17.02: Operativ risk Detaljerad information om de största förlusthändelserna under det senaste året (OPR DETAILS 2)</w:t>
      </w:r>
      <w:bookmarkEnd w:id="577"/>
      <w:bookmarkEnd w:id="578"/>
      <w:bookmarkEnd w:id="57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0" w:name="_Toc516210680"/>
      <w:bookmarkStart w:id="581" w:name="_Toc473561029"/>
      <w:bookmarkStart w:id="582" w:name="_Toc523820301"/>
      <w:r>
        <w:rPr>
          <w:rFonts w:ascii="Times New Roman" w:hAnsi="Times New Roman"/>
          <w:sz w:val="24"/>
          <w:u w:val="none"/>
        </w:rPr>
        <w:t>4.2.3.1.</w:t>
      </w:r>
      <w:r w:rsidRPr="00080037">
        <w:rPr>
          <w:u w:val="none"/>
        </w:rPr>
        <w:tab/>
      </w:r>
      <w:r>
        <w:rPr>
          <w:rFonts w:ascii="Times New Roman" w:hAnsi="Times New Roman"/>
          <w:sz w:val="24"/>
        </w:rPr>
        <w:t>Allmänna kommentarer</w:t>
      </w:r>
      <w:bookmarkEnd w:id="580"/>
      <w:bookmarkEnd w:id="581"/>
      <w:bookmarkEnd w:id="582"/>
    </w:p>
    <w:p w:rsidR="00FD54FC" w:rsidRPr="00392FFD" w:rsidRDefault="00125707" w:rsidP="00C37B29">
      <w:pPr>
        <w:pStyle w:val="InstructionsText2"/>
        <w:numPr>
          <w:ilvl w:val="0"/>
          <w:numId w:val="0"/>
        </w:numPr>
        <w:ind w:left="993"/>
      </w:pPr>
      <w:r>
        <w:t>134.</w:t>
      </w:r>
      <w:r>
        <w:tab/>
        <w:t>I mall C 17.02 ska uppgifter om enskilda förlusthändelser lämnas (en rad per händelse).</w:t>
      </w:r>
    </w:p>
    <w:p w:rsidR="00FD54FC" w:rsidRPr="00392FFD" w:rsidRDefault="00125707" w:rsidP="00C37B29">
      <w:pPr>
        <w:pStyle w:val="InstructionsText2"/>
        <w:numPr>
          <w:ilvl w:val="0"/>
          <w:numId w:val="0"/>
        </w:numPr>
        <w:ind w:left="993"/>
      </w:pPr>
      <w:r>
        <w:lastRenderedPageBreak/>
        <w:t>135.</w:t>
      </w:r>
      <w:r>
        <w:tab/>
        <w:t>De uppgifter som rapporteras i mallen ska avse ”nya händelser”, dvs. operativa riskhändelser</w:t>
      </w:r>
      <w:r>
        <w:tab/>
      </w:r>
    </w:p>
    <w:p w:rsidR="00FD54FC" w:rsidRPr="00392FFD" w:rsidRDefault="00125707" w:rsidP="00C37B29">
      <w:pPr>
        <w:pStyle w:val="InstructionsText2"/>
        <w:numPr>
          <w:ilvl w:val="0"/>
          <w:numId w:val="0"/>
        </w:numPr>
        <w:ind w:left="993"/>
      </w:pPr>
      <w:r>
        <w:t>(a)</w:t>
      </w:r>
      <w:r>
        <w:tab/>
        <w:t>”som beaktas för första gången” inom rapporteringsreferensperioden, eller</w:t>
      </w:r>
    </w:p>
    <w:p w:rsidR="00FD54FC" w:rsidRPr="00392FFD" w:rsidRDefault="00125707" w:rsidP="00C37B29">
      <w:pPr>
        <w:pStyle w:val="InstructionsText2"/>
        <w:numPr>
          <w:ilvl w:val="0"/>
          <w:numId w:val="0"/>
        </w:numPr>
        <w:ind w:left="993"/>
      </w:pPr>
      <w:r>
        <w:t>(b)</w:t>
      </w:r>
      <w:r>
        <w:tab/>
        <w:t>”som beaktas för första gången” under föregående rapporteringsreferensperiod, om händelsen inte ingått i någon tidigare tillsynsrapport, exempelvis på grund av att den fastställts som en operativ riskhändelse först under innevarande rapportering</w:t>
      </w:r>
      <w:r>
        <w:t>s</w:t>
      </w:r>
      <w:r>
        <w:t>referensperiod eller på grund av att de ackumulerade förlusterna hänförliga till hä</w:t>
      </w:r>
      <w:r>
        <w:t>n</w:t>
      </w:r>
      <w:r>
        <w:t>delsen (dvs. den ursprungliga förlusten plus/minus alla förlustkorrigeringar som gjorts under tidigare rapporteringsreferensperioder) överstiger tröskelvärdet för i</w:t>
      </w:r>
      <w:r>
        <w:t>n</w:t>
      </w:r>
      <w:r>
        <w:t>tern uppgiftsinsamling först under innevarande rapporteringsreferensperiod.</w:t>
      </w:r>
    </w:p>
    <w:p w:rsidR="00FD54FC" w:rsidRPr="00392FFD" w:rsidRDefault="00125707" w:rsidP="00C37B29">
      <w:pPr>
        <w:pStyle w:val="InstructionsText2"/>
        <w:numPr>
          <w:ilvl w:val="0"/>
          <w:numId w:val="0"/>
        </w:numPr>
        <w:ind w:left="993"/>
      </w:pPr>
      <w:r>
        <w:t>136.</w:t>
      </w:r>
      <w:r>
        <w:tab/>
        <w:t>Endast händelser som leder till bruttoförlustbelopp på minst 100 000 euro ska rapporteras.</w:t>
      </w:r>
      <w:r>
        <w:br/>
      </w:r>
      <w:r>
        <w:tab/>
        <w:t>Med beaktande av detta tröskelvärde ska följande ingå i mallen:</w:t>
      </w:r>
    </w:p>
    <w:p w:rsidR="00FD54FC" w:rsidRPr="00392FFD" w:rsidRDefault="00125707" w:rsidP="00C37B29">
      <w:pPr>
        <w:pStyle w:val="InstructionsText2"/>
        <w:numPr>
          <w:ilvl w:val="0"/>
          <w:numId w:val="0"/>
        </w:numPr>
        <w:ind w:left="993"/>
      </w:pPr>
      <w:r>
        <w:t>(a)</w:t>
      </w:r>
      <w:r>
        <w:tab/>
        <w:t>Den största händelsen inom varje händelsetyp, förutsatt att institutet har fas</w:t>
      </w:r>
      <w:r>
        <w:t>t</w:t>
      </w:r>
      <w:r>
        <w:t>ställt händelsetyper för förluster.</w:t>
      </w:r>
    </w:p>
    <w:p w:rsidR="00FD54FC" w:rsidRPr="00392FFD" w:rsidRDefault="00125707" w:rsidP="00C37B29">
      <w:pPr>
        <w:pStyle w:val="InstructionsText2"/>
        <w:numPr>
          <w:ilvl w:val="0"/>
          <w:numId w:val="0"/>
        </w:numPr>
        <w:ind w:left="993"/>
      </w:pPr>
      <w:r>
        <w:t>(b)</w:t>
      </w:r>
      <w:r>
        <w:tab/>
        <w:t>Minst tio av de största resterande händelserna, med eller utan fastställd hä</w:t>
      </w:r>
      <w:r>
        <w:t>n</w:t>
      </w:r>
      <w:r>
        <w:t xml:space="preserve">delsetyp, per bruttoförlustbelopp. </w:t>
      </w:r>
    </w:p>
    <w:p w:rsidR="00FD54FC" w:rsidRPr="00392FFD" w:rsidRDefault="00125707" w:rsidP="00C37B29">
      <w:pPr>
        <w:pStyle w:val="InstructionsText2"/>
        <w:numPr>
          <w:ilvl w:val="0"/>
          <w:numId w:val="0"/>
        </w:numPr>
        <w:ind w:left="993"/>
      </w:pPr>
      <w:r>
        <w:t>(c)</w:t>
      </w:r>
      <w:r>
        <w:tab/>
        <w:t xml:space="preserve">Händelserna ska rangordnas efter bruttoförlustbelopp. </w:t>
      </w:r>
    </w:p>
    <w:p w:rsidR="00FD54FC" w:rsidRPr="00392FFD" w:rsidRDefault="00125707" w:rsidP="00C37B29">
      <w:pPr>
        <w:pStyle w:val="InstructionsText2"/>
        <w:numPr>
          <w:ilvl w:val="0"/>
          <w:numId w:val="0"/>
        </w:numPr>
        <w:ind w:left="993"/>
      </w:pPr>
      <w:r>
        <w:t>(d)</w:t>
      </w:r>
      <w:r>
        <w:tab/>
        <w:t>En händelse får endast beaktas en gång.</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3" w:name="_Toc516210681"/>
      <w:bookmarkStart w:id="584" w:name="_Toc473561030"/>
      <w:bookmarkStart w:id="585" w:name="_Toc523820302"/>
      <w:r>
        <w:rPr>
          <w:rFonts w:ascii="Times New Roman" w:hAnsi="Times New Roman"/>
          <w:sz w:val="24"/>
          <w:u w:val="none"/>
        </w:rPr>
        <w:t>4.2.3.2.</w:t>
      </w:r>
      <w:r w:rsidRPr="00931878">
        <w:rPr>
          <w:u w:val="none"/>
        </w:rPr>
        <w:tab/>
      </w:r>
      <w:r>
        <w:rPr>
          <w:rFonts w:ascii="Times New Roman" w:hAnsi="Times New Roman"/>
          <w:sz w:val="24"/>
        </w:rPr>
        <w:t>Instruktioner för specifika positioner</w:t>
      </w:r>
      <w:bookmarkEnd w:id="583"/>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Kolumn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Händelse-ID</w:t>
            </w:r>
          </w:p>
          <w:p w:rsidR="00FD54FC" w:rsidRPr="00392FFD" w:rsidRDefault="00FD54FC" w:rsidP="00FD54FC">
            <w:pPr>
              <w:rPr>
                <w:rFonts w:ascii="Times New Roman" w:hAnsi="Times New Roman"/>
                <w:sz w:val="24"/>
              </w:rPr>
            </w:pPr>
            <w:r>
              <w:rPr>
                <w:rFonts w:ascii="Times New Roman" w:hAnsi="Times New Roman"/>
                <w:sz w:val="24"/>
              </w:rPr>
              <w:t xml:space="preserve">Händelse-ID är en radidentifierare och ska vara unik för varje rad i tabellen. </w:t>
            </w:r>
          </w:p>
          <w:p w:rsidR="00FD54FC" w:rsidRPr="00392FFD" w:rsidRDefault="00FD54FC" w:rsidP="00FD54FC">
            <w:pPr>
              <w:rPr>
                <w:rFonts w:ascii="Times New Roman" w:hAnsi="Times New Roman"/>
                <w:sz w:val="24"/>
              </w:rPr>
            </w:pPr>
            <w:r>
              <w:rPr>
                <w:rFonts w:ascii="Times New Roman" w:hAnsi="Times New Roman"/>
                <w:sz w:val="24"/>
              </w:rPr>
              <w:t>Om ett internt ID finns tillgängligt ska instituten ange internt ID. I annat fall ska det ID som rapporteras följa nummerordning 1, 2, 3 osv.</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Redovisningsdatum</w:t>
            </w:r>
          </w:p>
          <w:p w:rsidR="00FD54FC" w:rsidRPr="00392FFD" w:rsidRDefault="00FD54FC" w:rsidP="00FD54FC">
            <w:pPr>
              <w:rPr>
                <w:rFonts w:ascii="Times New Roman" w:hAnsi="Times New Roman"/>
                <w:sz w:val="24"/>
              </w:rPr>
            </w:pPr>
            <w:r>
              <w:rPr>
                <w:rFonts w:ascii="Times New Roman" w:hAnsi="Times New Roman"/>
                <w:sz w:val="24"/>
              </w:rPr>
              <w:t xml:space="preserve">Den dag då en förlust eller reserv/avsättning först beaktats i resultaträkningen, mot en förlust till följd av operativa risker.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inträffande</w:t>
            </w:r>
          </w:p>
          <w:p w:rsidR="00FD54FC" w:rsidRPr="00392FFD" w:rsidRDefault="00FD54FC" w:rsidP="00871877">
            <w:pPr>
              <w:rPr>
                <w:rFonts w:ascii="Times New Roman" w:hAnsi="Times New Roman"/>
                <w:sz w:val="24"/>
              </w:rPr>
            </w:pPr>
            <w:r>
              <w:rPr>
                <w:rFonts w:ascii="Times New Roman" w:hAnsi="Times New Roman"/>
                <w:sz w:val="24"/>
              </w:rPr>
              <w:t>Den dag då den operativa riskhändelsen inträffade eller tog sin början.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upptäckt</w:t>
            </w:r>
          </w:p>
          <w:p w:rsidR="00FD54FC" w:rsidRPr="00392FFD" w:rsidRDefault="00FD54FC" w:rsidP="00FD54FC">
            <w:pPr>
              <w:rPr>
                <w:rFonts w:ascii="Times New Roman" w:hAnsi="Times New Roman"/>
                <w:sz w:val="24"/>
              </w:rPr>
            </w:pPr>
            <w:r>
              <w:rPr>
                <w:rFonts w:ascii="Times New Roman" w:hAnsi="Times New Roman"/>
                <w:sz w:val="24"/>
              </w:rPr>
              <w:t>Den dag då institutet fick kännedom om den operativa riskhändelsen.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Händelsetyp</w:t>
            </w:r>
          </w:p>
          <w:p w:rsidR="00FD54FC" w:rsidRPr="00392FFD" w:rsidRDefault="00FD54FC" w:rsidP="00FD54FC">
            <w:pPr>
              <w:rPr>
                <w:rFonts w:ascii="Times New Roman" w:hAnsi="Times New Roman"/>
                <w:sz w:val="24"/>
              </w:rPr>
            </w:pPr>
            <w:r>
              <w:rPr>
                <w:rFonts w:ascii="Times New Roman" w:hAnsi="Times New Roman"/>
                <w:sz w:val="24"/>
              </w:rPr>
              <w:t>De händelsetyper som anges i artikel 324 i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w:t>
            </w:r>
          </w:p>
          <w:p w:rsidR="00FD54FC" w:rsidRPr="00392FFD" w:rsidRDefault="00FD54FC" w:rsidP="00FD54FC">
            <w:pPr>
              <w:rPr>
                <w:rFonts w:ascii="Times New Roman" w:hAnsi="Times New Roman"/>
                <w:sz w:val="24"/>
              </w:rPr>
            </w:pPr>
            <w:r>
              <w:rPr>
                <w:rFonts w:ascii="Times New Roman" w:hAnsi="Times New Roman"/>
                <w:sz w:val="24"/>
              </w:rPr>
              <w:t>Den bruttoförlust som avser de händelser som anges i raderna 020, 120 etc. i mall C 17.01 ovan.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netto efter direkta återvinningar</w:t>
            </w:r>
          </w:p>
          <w:p w:rsidR="00FD54FC" w:rsidRPr="00392FFD" w:rsidRDefault="00FD54FC" w:rsidP="00FD54FC">
            <w:pPr>
              <w:rPr>
                <w:rFonts w:ascii="Times New Roman" w:hAnsi="Times New Roman"/>
                <w:sz w:val="24"/>
              </w:rPr>
            </w:pPr>
            <w:r>
              <w:rPr>
                <w:rFonts w:ascii="Times New Roman" w:hAnsi="Times New Roman"/>
                <w:sz w:val="24"/>
              </w:rPr>
              <w:t>Den bruttoförlust som avser de händelser som anges i raderna 020, 120 etc. i mall C 17.01 ovan, netto efter direkta återvinningar till följd av förlusthändelser.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per affärsområde</w:t>
            </w:r>
          </w:p>
          <w:p w:rsidR="00FD54FC" w:rsidRPr="00392FFD" w:rsidRDefault="00FD54FC" w:rsidP="00FD54FC">
            <w:pPr>
              <w:rPr>
                <w:rFonts w:ascii="Times New Roman" w:hAnsi="Times New Roman"/>
                <w:sz w:val="24"/>
              </w:rPr>
            </w:pPr>
            <w:r>
              <w:rPr>
                <w:rFonts w:ascii="Times New Roman" w:hAnsi="Times New Roman"/>
                <w:sz w:val="24"/>
              </w:rPr>
              <w:t>Den bruttoförlust som rapporteras i kolumn 060 ska hänföras till relevant affärso</w:t>
            </w:r>
            <w:r>
              <w:rPr>
                <w:rFonts w:ascii="Times New Roman" w:hAnsi="Times New Roman"/>
                <w:sz w:val="24"/>
              </w:rPr>
              <w:t>m</w:t>
            </w:r>
            <w:r>
              <w:rPr>
                <w:rFonts w:ascii="Times New Roman" w:hAnsi="Times New Roman"/>
                <w:sz w:val="24"/>
              </w:rPr>
              <w:t>råde i enlighet med artiklarna 317 och 322.3 b i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Namn på juridisk person</w:t>
            </w:r>
          </w:p>
          <w:p w:rsidR="00FD54FC" w:rsidRPr="00392FFD" w:rsidRDefault="00FD54FC" w:rsidP="00FD54FC">
            <w:pPr>
              <w:rPr>
                <w:rFonts w:ascii="Times New Roman" w:hAnsi="Times New Roman"/>
                <w:sz w:val="24"/>
              </w:rPr>
            </w:pPr>
            <w:r>
              <w:rPr>
                <w:rFonts w:ascii="Times New Roman" w:hAnsi="Times New Roman"/>
                <w:sz w:val="24"/>
              </w:rPr>
              <w:t>Namnet på den juridiska person enligt kolumn 010 i mall C 06.02 där förlusten – e</w:t>
            </w:r>
            <w:r>
              <w:rPr>
                <w:rFonts w:ascii="Times New Roman" w:hAnsi="Times New Roman"/>
                <w:sz w:val="24"/>
              </w:rPr>
              <w:t>l</w:t>
            </w:r>
            <w:r>
              <w:rPr>
                <w:rFonts w:ascii="Times New Roman" w:hAnsi="Times New Roman"/>
                <w:sz w:val="24"/>
              </w:rPr>
              <w:t>ler den största delen av förlusten, om flera enheter påverkats – inträffar.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LEI-kod</w:t>
            </w:r>
          </w:p>
          <w:p w:rsidR="00FD54FC" w:rsidRPr="00392FFD" w:rsidRDefault="00FD54FC" w:rsidP="00FD54FC">
            <w:pPr>
              <w:rPr>
                <w:rFonts w:ascii="Times New Roman" w:hAnsi="Times New Roman"/>
                <w:sz w:val="24"/>
              </w:rPr>
            </w:pPr>
            <w:r>
              <w:rPr>
                <w:rFonts w:ascii="Times New Roman" w:hAnsi="Times New Roman"/>
                <w:sz w:val="24"/>
              </w:rPr>
              <w:t>LEI-koden enligt kolumn 025 i mall C 06.02 där förlusten – eller den största delen av förlusten, om flera enheter påverkats – inträffat.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Affärsenhet</w:t>
            </w:r>
          </w:p>
          <w:p w:rsidR="00FD54FC" w:rsidRPr="00392FFD" w:rsidRDefault="00FD54FC" w:rsidP="00FD54FC">
            <w:pPr>
              <w:rPr>
                <w:rFonts w:ascii="Times New Roman" w:hAnsi="Times New Roman"/>
                <w:sz w:val="24"/>
              </w:rPr>
            </w:pPr>
            <w:r>
              <w:rPr>
                <w:rFonts w:ascii="Times New Roman" w:hAnsi="Times New Roman"/>
                <w:sz w:val="24"/>
              </w:rPr>
              <w:t>Affärsenhet eller företagsdivision inom enheten där förlusten – eller den största d</w:t>
            </w:r>
            <w:r>
              <w:rPr>
                <w:rFonts w:ascii="Times New Roman" w:hAnsi="Times New Roman"/>
                <w:sz w:val="24"/>
              </w:rPr>
              <w:t>e</w:t>
            </w:r>
            <w:r>
              <w:rPr>
                <w:rFonts w:ascii="Times New Roman" w:hAnsi="Times New Roman"/>
                <w:sz w:val="24"/>
              </w:rPr>
              <w:t>len av förlusten, om flera affärsenheter eller företagsdivisioner påverkas – inträffat.</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Beskrivning</w:t>
            </w:r>
          </w:p>
          <w:p w:rsidR="00FD54FC" w:rsidRPr="00392FFD" w:rsidRDefault="00FD54FC" w:rsidP="00FD239F">
            <w:pPr>
              <w:rPr>
                <w:rFonts w:ascii="Times New Roman" w:hAnsi="Times New Roman"/>
                <w:sz w:val="24"/>
              </w:rPr>
            </w:pPr>
            <w:r>
              <w:rPr>
                <w:rFonts w:ascii="Times New Roman" w:hAnsi="Times New Roman"/>
                <w:sz w:val="24"/>
              </w:rPr>
              <w:t>En narrativ beskrivning av händelsen, i tillämpliga fall i generella och anonyma o</w:t>
            </w:r>
            <w:r>
              <w:rPr>
                <w:rFonts w:ascii="Times New Roman" w:hAnsi="Times New Roman"/>
                <w:sz w:val="24"/>
              </w:rPr>
              <w:t>r</w:t>
            </w:r>
            <w:r>
              <w:rPr>
                <w:rFonts w:ascii="Times New Roman" w:hAnsi="Times New Roman"/>
                <w:sz w:val="24"/>
              </w:rPr>
              <w:t>dalag, som minst ska innehålla information om själva händelsen och om vad som orsakat händelsen, om detta är känt.</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6" w:name="_Toc295829995"/>
      <w:bookmarkStart w:id="587" w:name="_Toc262566425"/>
      <w:bookmarkStart w:id="588" w:name="_Toc308426671"/>
      <w:bookmarkStart w:id="589" w:name="_Toc310415056"/>
      <w:bookmarkStart w:id="590" w:name="_Toc360188391"/>
      <w:bookmarkStart w:id="591" w:name="_Toc516210682"/>
      <w:bookmarkStart w:id="592" w:name="_Toc473561031"/>
      <w:bookmarkStart w:id="593" w:name="_Toc523820303"/>
      <w:r>
        <w:rPr>
          <w:rFonts w:ascii="Times New Roman" w:hAnsi="Times New Roman"/>
          <w:sz w:val="24"/>
          <w:u w:val="none"/>
        </w:rPr>
        <w:lastRenderedPageBreak/>
        <w:t>5.</w:t>
      </w:r>
      <w:r w:rsidRPr="00931878">
        <w:rPr>
          <w:u w:val="none"/>
        </w:rPr>
        <w:tab/>
      </w:r>
      <w:r>
        <w:rPr>
          <w:rFonts w:ascii="Times New Roman" w:hAnsi="Times New Roman"/>
          <w:sz w:val="24"/>
        </w:rPr>
        <w:t>Mallar för marknadsrisker</w:t>
      </w:r>
      <w:bookmarkEnd w:id="586"/>
      <w:bookmarkEnd w:id="587"/>
      <w:bookmarkEnd w:id="588"/>
      <w:bookmarkEnd w:id="589"/>
      <w:bookmarkEnd w:id="590"/>
      <w:bookmarkEnd w:id="591"/>
      <w:bookmarkEnd w:id="592"/>
      <w:bookmarkEnd w:id="593"/>
    </w:p>
    <w:p w:rsidR="000B0B09" w:rsidRPr="00392FFD" w:rsidRDefault="00125707" w:rsidP="00C37B29">
      <w:pPr>
        <w:pStyle w:val="InstructionsText2"/>
        <w:numPr>
          <w:ilvl w:val="0"/>
          <w:numId w:val="0"/>
        </w:numPr>
        <w:ind w:left="993"/>
      </w:pPr>
      <w:bookmarkStart w:id="594" w:name="_Toc308426672"/>
      <w:r>
        <w:t>137.</w:t>
      </w:r>
      <w:r>
        <w:tab/>
        <w:t>Dessa instruktioner avser mallarna för rapportering av beräkningen av kapita</w:t>
      </w:r>
      <w:r>
        <w:t>l</w:t>
      </w:r>
      <w:r>
        <w:t>baskrav enligt schablonmetoden för valutakursrisk (MKR SA FX), råvarurisk (MKR SA COM), ränterisk (MKR SA TDI, MKR SA SEC och MKR SA CTP) och aktierisk (MKR SA EQU). I denna del ingår också instruktioner till mallen för ra</w:t>
      </w:r>
      <w:r>
        <w:t>p</w:t>
      </w:r>
      <w:r>
        <w:t xml:space="preserve">portering av beräknade kapitalbaskrav enligt metoden med interna modeller (MKR IM). </w:t>
      </w:r>
    </w:p>
    <w:p w:rsidR="000B0B09" w:rsidRPr="00392FFD" w:rsidRDefault="00125707" w:rsidP="00C37B29">
      <w:pPr>
        <w:pStyle w:val="InstructionsText2"/>
        <w:numPr>
          <w:ilvl w:val="0"/>
          <w:numId w:val="0"/>
        </w:numPr>
        <w:ind w:left="993"/>
      </w:pPr>
      <w:r>
        <w:t>138.</w:t>
      </w:r>
      <w:r>
        <w:tab/>
        <w:t>Positionsrisken avseende ett omsatt skuldinstrument eller en omsatt aktie (eller skuld- eller aktiederivat) ska delas upp i två komponenter vid beräkningen av den kapitaltäckning som krävs för detta. Den första komponenten ska vara den specifika riskkomponenten, dvs. risken för en prisförändring för instrumentet som beror på omständigheter hänförliga till den som emitterat instrumentet eller, i fråga om ett derivatinstrument, den som emitterat det underliggande instrumentet. Den andra komponenten ska täcka den generella risken, dvs. för en prisförändring för instr</w:t>
      </w:r>
      <w:r>
        <w:t>u</w:t>
      </w:r>
      <w:r>
        <w:t xml:space="preserve">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 </w:t>
      </w:r>
      <w:bookmarkEnd w:id="594"/>
      <w:r>
        <w:t xml:space="preserve">Den allmänna behandlingen av specifika instrument och nettningsförfaranden beskrivs i artiklarna 326–333 i CRR.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5" w:name="_Toc239157393"/>
      <w:bookmarkStart w:id="596" w:name="_Toc262566426"/>
      <w:bookmarkStart w:id="597" w:name="_Toc295829996"/>
      <w:bookmarkStart w:id="598" w:name="_Toc308426673"/>
      <w:bookmarkStart w:id="599" w:name="_Toc310415057"/>
      <w:bookmarkStart w:id="600" w:name="_Toc360188392"/>
      <w:bookmarkStart w:id="601" w:name="_Toc516210683"/>
      <w:bookmarkStart w:id="602" w:name="_Toc473561032"/>
      <w:bookmarkStart w:id="603" w:name="_Toc523820304"/>
      <w:r>
        <w:rPr>
          <w:rFonts w:ascii="Times New Roman" w:hAnsi="Times New Roman"/>
          <w:sz w:val="24"/>
          <w:u w:val="none"/>
        </w:rPr>
        <w:t>5.1.</w:t>
      </w:r>
      <w:r w:rsidRPr="00931878">
        <w:rPr>
          <w:u w:val="none"/>
        </w:rPr>
        <w:tab/>
      </w:r>
      <w:r>
        <w:rPr>
          <w:rFonts w:ascii="Times New Roman" w:hAnsi="Times New Roman"/>
          <w:sz w:val="24"/>
        </w:rPr>
        <w:t>C 18.00 – Marknadsrisk: Schablonmetod för positionsrisker i omsatta skuldinstrument</w:t>
      </w:r>
      <w:bookmarkEnd w:id="595"/>
      <w:bookmarkEnd w:id="596"/>
      <w:bookmarkEnd w:id="597"/>
      <w:bookmarkEnd w:id="598"/>
      <w:bookmarkEnd w:id="599"/>
      <w:bookmarkEnd w:id="600"/>
      <w:r>
        <w:rPr>
          <w:rFonts w:ascii="Times New Roman" w:hAnsi="Times New Roman"/>
          <w:sz w:val="24"/>
        </w:rPr>
        <w:t xml:space="preserve"> (MKR SA TDI)</w:t>
      </w:r>
      <w:bookmarkEnd w:id="601"/>
      <w:bookmarkEnd w:id="602"/>
      <w:bookmarkEnd w:id="60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4" w:name="_Toc262566427"/>
      <w:bookmarkStart w:id="605" w:name="_Toc295829997"/>
      <w:bookmarkStart w:id="606" w:name="_Toc308426674"/>
      <w:bookmarkStart w:id="607" w:name="_Toc310415058"/>
      <w:bookmarkStart w:id="608" w:name="_Toc360188393"/>
      <w:bookmarkStart w:id="609" w:name="_Toc516210684"/>
      <w:bookmarkStart w:id="610" w:name="_Toc473561033"/>
      <w:bookmarkStart w:id="611" w:name="_Toc523820305"/>
      <w:r>
        <w:rPr>
          <w:rFonts w:ascii="Times New Roman" w:hAnsi="Times New Roman"/>
          <w:sz w:val="24"/>
          <w:u w:val="none"/>
        </w:rPr>
        <w:t>5.1.1.</w:t>
      </w:r>
      <w:r w:rsidRPr="00931878">
        <w:rPr>
          <w:u w:val="none"/>
        </w:rPr>
        <w:tab/>
      </w:r>
      <w:r>
        <w:rPr>
          <w:rFonts w:ascii="Times New Roman" w:hAnsi="Times New Roman"/>
          <w:sz w:val="24"/>
        </w:rPr>
        <w:t>Allmänna kommentarer</w:t>
      </w:r>
      <w:bookmarkEnd w:id="604"/>
      <w:bookmarkEnd w:id="605"/>
      <w:bookmarkEnd w:id="606"/>
      <w:bookmarkEnd w:id="607"/>
      <w:bookmarkEnd w:id="608"/>
      <w:bookmarkEnd w:id="609"/>
      <w:bookmarkEnd w:id="610"/>
      <w:bookmarkEnd w:id="611"/>
    </w:p>
    <w:p w:rsidR="000B0B09" w:rsidRPr="00392FFD" w:rsidRDefault="00125707" w:rsidP="00C37B29">
      <w:pPr>
        <w:pStyle w:val="InstructionsText2"/>
        <w:numPr>
          <w:ilvl w:val="0"/>
          <w:numId w:val="0"/>
        </w:numPr>
        <w:ind w:left="993"/>
      </w:pPr>
      <w:r>
        <w:t>139.</w:t>
      </w:r>
      <w:r>
        <w:tab/>
        <w:t>I denna mall rapporteras positioner och de relaterade kapitalbaskraven för p</w:t>
      </w:r>
      <w:r>
        <w:t>o</w:t>
      </w:r>
      <w:r>
        <w:t>sitionsrisker för omsatta skuldinstrument enligt schablonmetoden (artiklarna 102 och 105.1 i CRR). De olika risker och metoder som är tillämpliga enligt CRR b</w:t>
      </w:r>
      <w:r>
        <w:t>e</w:t>
      </w:r>
      <w:r>
        <w:t>handlas rad för rad. Den specifika risken i samband med de exponeringar som tas upp i mallarna MKR SA SEC och MKR SA CTP behöver bara rapporteras i den övergripande mallen för positionsrisker i omsatta skuldinstrument MKR SA TDI. Kapitalbaskraven som rapporteras i de mallarna ska överföras till cell {325;060} (värdepapperiseringar) respektive cell {330;060} (CTP) .</w:t>
      </w:r>
    </w:p>
    <w:p w:rsidR="000B0B09" w:rsidRPr="00392FFD" w:rsidRDefault="00125707" w:rsidP="00C37B29">
      <w:pPr>
        <w:pStyle w:val="InstructionsText2"/>
        <w:numPr>
          <w:ilvl w:val="0"/>
          <w:numId w:val="0"/>
        </w:numPr>
        <w:ind w:left="993"/>
      </w:pPr>
      <w:r>
        <w:t>140.</w:t>
      </w:r>
      <w:r>
        <w:tab/>
        <w:t>Instituten ska fylla i mallen separat när det gäller ”totalbeloppet” plus en i fö</w:t>
      </w:r>
      <w:r>
        <w:t>r</w:t>
      </w:r>
      <w:r>
        <w:t xml:space="preserve">väg angiven förteckning över följande valutor: </w:t>
      </w:r>
      <w:bookmarkStart w:id="612" w:name="OLE_LINK1"/>
      <w:r>
        <w:t xml:space="preserve">EUR, ALL, BGN, CZK, DKK, EGP, GBP, HRK, HUF, ISK, JPY, MKD, NOK, PLN, RON, RUB, RSD, SEK, CHF, TRY, UAH, USD </w:t>
      </w:r>
      <w:bookmarkEnd w:id="612"/>
      <w:r>
        <w:t xml:space="preserve">och en restmall för alla andra valutor.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3" w:name="_Toc262566428"/>
      <w:bookmarkStart w:id="614" w:name="_Toc295829998"/>
      <w:bookmarkStart w:id="615" w:name="_Toc308426675"/>
      <w:bookmarkStart w:id="616" w:name="_Toc310415059"/>
      <w:bookmarkStart w:id="617" w:name="_Toc360188394"/>
      <w:bookmarkStart w:id="618" w:name="_Toc516210685"/>
      <w:bookmarkStart w:id="619" w:name="_Toc473561034"/>
      <w:bookmarkStart w:id="620" w:name="_Toc523820306"/>
      <w:r>
        <w:rPr>
          <w:rFonts w:ascii="Times New Roman" w:hAnsi="Times New Roman"/>
          <w:sz w:val="24"/>
          <w:u w:val="none"/>
        </w:rPr>
        <w:t>5.1.2.</w:t>
      </w:r>
      <w:r w:rsidRPr="009425CC">
        <w:rPr>
          <w:u w:val="none"/>
        </w:rPr>
        <w:tab/>
      </w:r>
      <w:r>
        <w:rPr>
          <w:rFonts w:ascii="Times New Roman" w:hAnsi="Times New Roman"/>
          <w:sz w:val="24"/>
        </w:rPr>
        <w:t>Instruktioner för specifika positioner</w:t>
      </w:r>
      <w:bookmarkEnd w:id="613"/>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Artiklarna 102 och 105.1 i CRR. Detta är bruttopositioner som inte är nettade genom instrument, exklusive emissionsgarantipositioner som tecknats eller i sin tur garanterats av tredje man (artikel 345 andra meningen i CRR). När det gäller skillnaden mellan långa och korta positioner som även gäller dessa bru</w:t>
            </w:r>
            <w:r>
              <w:rPr>
                <w:rFonts w:ascii="Times New Roman" w:hAnsi="Times New Roman"/>
                <w:sz w:val="24"/>
              </w:rPr>
              <w:t>t</w:t>
            </w:r>
            <w:r>
              <w:rPr>
                <w:rFonts w:ascii="Times New Roman" w:hAnsi="Times New Roman"/>
                <w:sz w:val="24"/>
              </w:rPr>
              <w:lastRenderedPageBreak/>
              <w:t>topositioner, se artikel 328.2 i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Artiklarna 327–329 och 334 i CRR. När det gäller skillnaden mellan långa och korta positioner, se artikel 328.2 i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 nettopositioner som åsätts ett kapitalkrav i enlighet med de olika metoder som behandlas i del tre avdelning IV kapitel 2 i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Kapitalkravet för berörda positioner i enlighet med del tre avdelning IV kapitel 2 i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92.4 b i CRR. Produkten av kapitalbaskraven multiplicerade med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I HANDELSLAGRET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omsatta skuldinstrument i handelslagret och motsvarande kapita</w:t>
            </w:r>
            <w:r>
              <w:rPr>
                <w:rFonts w:ascii="Times New Roman" w:hAnsi="Times New Roman"/>
                <w:sz w:val="24"/>
              </w:rPr>
              <w:t>l</w:t>
            </w:r>
            <w:r>
              <w:rPr>
                <w:rFonts w:ascii="Times New Roman" w:hAnsi="Times New Roman"/>
                <w:sz w:val="24"/>
              </w:rPr>
              <w:t>baskrav för positionsrisken i enlighet med artikel 92.3 b led i i CRR och del tre avdelning IV kapitel 2 i CRR rapporteras beroende på riskkategori, löptid och tillämpad metod.</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GENERELL RISK: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Derivat som ingår i beräkningen av ränterisk för positioner i handelslagret med beaktande av artiklarna 328–331, i förekommande fall.</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Övriga tillgångar och skulder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 förutom derivat, vilka ingår i beräkningen av ränterisk för positio</w:t>
            </w:r>
            <w:r>
              <w:rPr>
                <w:rFonts w:ascii="Times New Roman" w:hAnsi="Times New Roman"/>
                <w:sz w:val="24"/>
              </w:rPr>
              <w:t>n</w:t>
            </w:r>
            <w:r>
              <w:rPr>
                <w:rFonts w:ascii="Times New Roman" w:hAnsi="Times New Roman"/>
                <w:sz w:val="24"/>
              </w:rPr>
              <w:t xml:space="preserve">er i handelslagret.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LÖPTIDSBASERAD METOD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Positioner i omsatta skuldinstrument för vilka institutet den löptidsbaserade metoden i enlighet med artikel 339.1–339.8 i CRR och motsvarande kapita</w:t>
            </w:r>
            <w:r>
              <w:rPr>
                <w:rFonts w:ascii="Times New Roman" w:hAnsi="Times New Roman"/>
                <w:sz w:val="24"/>
              </w:rPr>
              <w:t>l</w:t>
            </w:r>
            <w:r>
              <w:rPr>
                <w:rFonts w:ascii="Times New Roman" w:hAnsi="Times New Roman"/>
                <w:sz w:val="24"/>
              </w:rPr>
              <w:t>baskrav som fastställs i artikel 339.9 i CRR. Positionen ska delas upp i zonerna 1, 2 och 3 och dessa i sin tur efter instrumentens löptid.</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GENERELL RISK: DURATIONSBASERAD METOD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omsatta skuldinstrument för vilka institutet använder den dura</w:t>
            </w:r>
            <w:r>
              <w:rPr>
                <w:rFonts w:ascii="Times New Roman" w:hAnsi="Times New Roman"/>
                <w:sz w:val="24"/>
              </w:rPr>
              <w:t>t</w:t>
            </w:r>
            <w:r>
              <w:rPr>
                <w:rFonts w:ascii="Times New Roman" w:hAnsi="Times New Roman"/>
                <w:sz w:val="24"/>
              </w:rPr>
              <w:t>ionsbaserade metoden i enlighet med artikel 340.1–340.6 i CRR och motsv</w:t>
            </w:r>
            <w:r>
              <w:rPr>
                <w:rFonts w:ascii="Times New Roman" w:hAnsi="Times New Roman"/>
                <w:sz w:val="24"/>
              </w:rPr>
              <w:t>a</w:t>
            </w:r>
            <w:r>
              <w:rPr>
                <w:rFonts w:ascii="Times New Roman" w:hAnsi="Times New Roman"/>
                <w:sz w:val="24"/>
              </w:rPr>
              <w:t>rande kapitalbaskrav som fastställs i artikel 340.7 i CRR. Positionen ska delas upp i zonerna 1, 2 och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Summan av de belopp som rapporteras på raderna 251, 325 och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Positioner i omsatta skuldinstrument som omfattas av kapitalkravet för specifik risk och de motsvarande kapitalkraven för positionerna i enlighet med artikla</w:t>
            </w:r>
            <w:r>
              <w:rPr>
                <w:rFonts w:ascii="Times New Roman" w:hAnsi="Times New Roman"/>
                <w:sz w:val="24"/>
              </w:rPr>
              <w:t>r</w:t>
            </w:r>
            <w:r>
              <w:rPr>
                <w:rFonts w:ascii="Times New Roman" w:hAnsi="Times New Roman"/>
                <w:sz w:val="24"/>
              </w:rPr>
              <w:t>na 92.3 b, 335, 336.1–336.3, 337 och 338 i CRR. Observera även artikel 327.1 sista meningen i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skuldinstrument som inte är värdepapperiseringar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Summan av de belopp som rapporteras på raderna 260–321.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Kapitalbaskraven för de kreditderivat på n:te förfall som inte har ett externt kreditbetyg ska beräknas genom att riskvikterna för referensenheterna summ</w:t>
            </w:r>
            <w:r>
              <w:rPr>
                <w:rFonts w:ascii="Times New Roman" w:hAnsi="Times New Roman"/>
                <w:sz w:val="24"/>
              </w:rPr>
              <w:t>e</w:t>
            </w:r>
            <w:r>
              <w:rPr>
                <w:rFonts w:ascii="Times New Roman" w:hAnsi="Times New Roman"/>
                <w:sz w:val="24"/>
              </w:rPr>
              <w:t>ras (artikel 332.1 e första och andra stycket i CRR – ”genomlysning”). Kredi</w:t>
            </w:r>
            <w:r>
              <w:rPr>
                <w:rFonts w:ascii="Times New Roman" w:hAnsi="Times New Roman"/>
                <w:sz w:val="24"/>
              </w:rPr>
              <w:t>t</w:t>
            </w:r>
            <w:r>
              <w:rPr>
                <w:rFonts w:ascii="Times New Roman" w:hAnsi="Times New Roman"/>
                <w:sz w:val="24"/>
              </w:rPr>
              <w:t xml:space="preserve">derivat på n:te förfall som har ett externt kreditbetyg (artikel 332.1 e tredje stycket i CRR) ska rapporteras separat på rad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Rapportering av positioner som omfattas av artikel 336.3 i CRR</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Särskild behandling tillämpas för obligationer som uppfyller villkoren för ris</w:t>
            </w:r>
            <w:r>
              <w:rPr>
                <w:rFonts w:ascii="Times New Roman" w:hAnsi="Times New Roman"/>
                <w:sz w:val="24"/>
              </w:rPr>
              <w:t>k</w:t>
            </w:r>
            <w:r>
              <w:rPr>
                <w:rFonts w:ascii="Times New Roman" w:hAnsi="Times New Roman"/>
                <w:sz w:val="24"/>
              </w:rPr>
              <w:t>vikten 10 % utanför handelslagret i enlighet med artikel 129.3 i CRR (säke</w:t>
            </w:r>
            <w:r>
              <w:rPr>
                <w:rFonts w:ascii="Times New Roman" w:hAnsi="Times New Roman"/>
                <w:sz w:val="24"/>
              </w:rPr>
              <w:t>r</w:t>
            </w:r>
            <w:r>
              <w:rPr>
                <w:rFonts w:ascii="Times New Roman" w:hAnsi="Times New Roman"/>
                <w:sz w:val="24"/>
              </w:rPr>
              <w:t>ställda obligationer). De specifika kapitalbaskraven är halva den procentsats som anges för den andra kategorin i tabell 1 i artikel 336 i CRR. Uppgifterna ska föras till raderna 280–300 i enlighet med återstående löptid.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Om den generella risken för räntepositioner säkras genom ett kreditderivat ska artiklarna 346 och 347 tillämpas.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värdepapperiseringsinstrument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Det totala kapitalbaskrav som rapporteras i kolumn 610 i mall MKR SA SEC. Rapporteras bara på nivån ”totalt” i mall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korrelationshandelsportföljen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totala kapitalbaskrav som rapporteras i kolumn 450 i mall MKR SA CTP. Rapporteras bara på nivån ”totalt” i mall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YTTERLIGARE KRAV FÖR OPTIONER (ANDRA RISKER ÄN DE</w:t>
            </w:r>
            <w:r>
              <w:rPr>
                <w:rStyle w:val="InstructionsTabelleberschrift"/>
                <w:rFonts w:ascii="Times New Roman" w:hAnsi="Times New Roman"/>
                <w:sz w:val="24"/>
              </w:rPr>
              <w:t>L</w:t>
            </w:r>
            <w:r>
              <w:rPr>
                <w:rStyle w:val="InstructionsTabelleberschrift"/>
                <w:rFonts w:ascii="Times New Roman" w:hAnsi="Times New Roman"/>
                <w:sz w:val="24"/>
              </w:rPr>
              <w:t xml:space="preserve">TARISKER)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Artikel 329.3 i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1" w:name="_Toc294172370"/>
      <w:bookmarkStart w:id="622" w:name="_Toc295829999"/>
      <w:bookmarkStart w:id="623" w:name="_Toc308426676"/>
      <w:bookmarkStart w:id="624" w:name="_Toc310415060"/>
      <w:bookmarkStart w:id="625" w:name="_Toc360188395"/>
      <w:bookmarkStart w:id="626" w:name="_Toc516210686"/>
      <w:bookmarkStart w:id="627" w:name="_Toc473561035"/>
      <w:bookmarkStart w:id="628" w:name="_Toc523820307"/>
      <w:r>
        <w:rPr>
          <w:rFonts w:ascii="Times New Roman" w:hAnsi="Times New Roman"/>
          <w:sz w:val="24"/>
          <w:u w:val="none"/>
        </w:rPr>
        <w:lastRenderedPageBreak/>
        <w:t>5.2.</w:t>
      </w:r>
      <w:r w:rsidRPr="009425CC">
        <w:rPr>
          <w:u w:val="none"/>
        </w:rPr>
        <w:tab/>
      </w:r>
      <w:r>
        <w:rPr>
          <w:rFonts w:ascii="Times New Roman" w:hAnsi="Times New Roman"/>
          <w:sz w:val="24"/>
        </w:rPr>
        <w:t>C 19.00 – MARKNADSRISK: SCHABLONMETOD FÖR SPECIFIK RISK I VÄ</w:t>
      </w:r>
      <w:r>
        <w:rPr>
          <w:rFonts w:ascii="Times New Roman" w:hAnsi="Times New Roman"/>
          <w:sz w:val="24"/>
        </w:rPr>
        <w:t>R</w:t>
      </w:r>
      <w:r>
        <w:rPr>
          <w:rFonts w:ascii="Times New Roman" w:hAnsi="Times New Roman"/>
          <w:sz w:val="24"/>
        </w:rPr>
        <w:t>DEPAPPERISERING (MKR SA SEC)</w:t>
      </w:r>
      <w:bookmarkEnd w:id="621"/>
      <w:bookmarkEnd w:id="622"/>
      <w:bookmarkEnd w:id="623"/>
      <w:bookmarkEnd w:id="624"/>
      <w:bookmarkEnd w:id="625"/>
      <w:bookmarkEnd w:id="626"/>
      <w:bookmarkEnd w:id="627"/>
      <w:bookmarkEnd w:id="62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516210687"/>
      <w:bookmarkStart w:id="635" w:name="_Toc473561036"/>
      <w:bookmarkStart w:id="636" w:name="_Toc523820308"/>
      <w:r>
        <w:rPr>
          <w:rFonts w:ascii="Times New Roman" w:hAnsi="Times New Roman"/>
          <w:sz w:val="24"/>
          <w:u w:val="none"/>
        </w:rPr>
        <w:t>5.2.1.</w:t>
      </w:r>
      <w:r w:rsidRPr="009425CC">
        <w:rPr>
          <w:u w:val="none"/>
        </w:rPr>
        <w:tab/>
      </w:r>
      <w:r>
        <w:rPr>
          <w:rFonts w:ascii="Times New Roman" w:hAnsi="Times New Roman"/>
          <w:sz w:val="24"/>
        </w:rPr>
        <w:t>Allmänna kommentarer</w:t>
      </w:r>
      <w:bookmarkEnd w:id="629"/>
      <w:bookmarkEnd w:id="630"/>
      <w:bookmarkEnd w:id="631"/>
      <w:bookmarkEnd w:id="632"/>
      <w:bookmarkEnd w:id="633"/>
      <w:bookmarkEnd w:id="634"/>
      <w:bookmarkEnd w:id="635"/>
      <w:bookmarkEnd w:id="636"/>
    </w:p>
    <w:p w:rsidR="000B0B09" w:rsidRDefault="00125707" w:rsidP="00C37B29">
      <w:pPr>
        <w:pStyle w:val="InstructionsText2"/>
        <w:numPr>
          <w:ilvl w:val="0"/>
          <w:numId w:val="0"/>
        </w:numPr>
        <w:ind w:left="993"/>
      </w:pPr>
      <w:r>
        <w:t>141.</w:t>
      </w:r>
      <w:r>
        <w:tab/>
        <w:t>I denna mall lämnas uppgifter om positioner (samtliga positio</w:t>
      </w:r>
      <w:r>
        <w:t>n</w:t>
      </w:r>
      <w:r>
        <w:t>er/nettopositioner och långa/korta) och de relaterade kapitalbaskraven för den sp</w:t>
      </w:r>
      <w:r>
        <w:t>e</w:t>
      </w:r>
      <w:r>
        <w:t>cifika riskkomponenten i positionsrisken för värdepapperiseringar eller återvärd</w:t>
      </w:r>
      <w:r>
        <w:t>e</w:t>
      </w:r>
      <w:r>
        <w:t>papperiseringar i handelslagret (ej godtagbara för korrelationshandelsportföljen) e</w:t>
      </w:r>
      <w:r>
        <w:t>n</w:t>
      </w:r>
      <w:r>
        <w:t>ligt schablonmetoden. Vid rapporteringsreferensdatum efter den 1 januari 2019 ska värdepapperisieringar i handelslagret för vilka kapitalbaskravet för den specifika risken bestäms enligt CRR, dvs. där kapitalbaskravet beräknas enligt de ändrade bestämmelserna om värdepapperisering, inte rapporteras i denna mall, utan endast i mall C 02.00. Vid rapporteringsreferensdatum efter den 1 januari 2019 ska även värdepapperiseringspositioner som omfattas av en riskvikt på 1250 % i enlighet CRR och som dras av från kärnprimärkapitalet i enlighet med artikel 36.1 k ii i CRR inte rapporteras i denna mall, utan endast i mall C 01.00.</w:t>
      </w:r>
    </w:p>
    <w:p w:rsidR="00E50E79" w:rsidRPr="00392FFD" w:rsidRDefault="00FF1422" w:rsidP="00C37B29">
      <w:pPr>
        <w:pStyle w:val="InstructionsText2"/>
        <w:numPr>
          <w:ilvl w:val="0"/>
          <w:numId w:val="0"/>
        </w:numPr>
        <w:ind w:left="993"/>
      </w:pPr>
      <w:r>
        <w:t>141a. Vid användningen av denna mall ska alla hänvisningar till artiklarna i del tre avdelning II kapitel 5 och artikel 337 i CRR läsas som hänvisningar till CRR i den version som gäller den 31 december 2018.</w:t>
      </w:r>
    </w:p>
    <w:p w:rsidR="000B0B09" w:rsidRPr="00392FFD" w:rsidRDefault="00125707" w:rsidP="00C37B29">
      <w:pPr>
        <w:pStyle w:val="InstructionsText2"/>
        <w:numPr>
          <w:ilvl w:val="0"/>
          <w:numId w:val="0"/>
        </w:numPr>
        <w:ind w:left="993"/>
      </w:pPr>
      <w:r>
        <w:t>142.</w:t>
      </w:r>
      <w:r>
        <w:tab/>
        <w:t>I mallen MKR SA SEC fastställs kapitalbaskrav endast för den specifika risken för värdepapperiseringspositionerna i enlighet med artikel 335 jämförd med artikel 337 i CRR. Om värdepapperiseringspositionerna i handelslagret är säkrade genom kreditderivat tillämpas artiklarna 346 och 347 i CRR. Det finns bara en mall för alla positioner i handelslagret, oavsett om institutet använder schablonmetoden eller i</w:t>
      </w:r>
      <w:r>
        <w:t>n</w:t>
      </w:r>
      <w:r>
        <w:t>ternmetoden för att fastställa riskvikten för varje position i enlighet med del tre a</w:t>
      </w:r>
      <w:r>
        <w:t>v</w:t>
      </w:r>
      <w:r>
        <w:t>delning II kapitel 5 i CRR. Kapitalbaskrav för den generella risken för dessa posi</w:t>
      </w:r>
      <w:r>
        <w:t>t</w:t>
      </w:r>
      <w:r>
        <w:t>ioner rapporteras i mall MKR SA TDI eller i mall MKR IM.</w:t>
      </w:r>
    </w:p>
    <w:p w:rsidR="00606885" w:rsidRPr="00392FFD" w:rsidRDefault="00125707" w:rsidP="00C37B29">
      <w:pPr>
        <w:pStyle w:val="InstructionsText2"/>
        <w:numPr>
          <w:ilvl w:val="0"/>
          <w:numId w:val="0"/>
        </w:numPr>
        <w:ind w:left="993"/>
      </w:pPr>
      <w:r>
        <w:t>143.</w:t>
      </w:r>
      <w:r>
        <w:tab/>
        <w:t>Positioner som åsätts riskvikten 1,250 % kan alternativt dras av från kärnpr</w:t>
      </w:r>
      <w:r>
        <w:t>i</w:t>
      </w:r>
      <w:r>
        <w:t>märkapitalet (se artiklarna 243.1 b, 244.1 b och 258 i CRR). I så fall ska dessa p</w:t>
      </w:r>
      <w:r>
        <w:t>o</w:t>
      </w:r>
      <w:r>
        <w:t>sitioner rapporteras på rad 460 i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7" w:name="_Toc294172372"/>
      <w:bookmarkStart w:id="638" w:name="_Toc295830001"/>
      <w:bookmarkStart w:id="639" w:name="_Toc308426678"/>
      <w:bookmarkStart w:id="640" w:name="_Toc310415062"/>
      <w:bookmarkStart w:id="641" w:name="_Toc360188397"/>
      <w:bookmarkStart w:id="642" w:name="_Toc516210688"/>
      <w:bookmarkStart w:id="643" w:name="_Toc473561037"/>
      <w:bookmarkStart w:id="644" w:name="_Toc523820309"/>
      <w:r>
        <w:rPr>
          <w:rFonts w:ascii="Times New Roman" w:hAnsi="Times New Roman"/>
          <w:sz w:val="24"/>
          <w:u w:val="none"/>
        </w:rPr>
        <w:t>5.2.2.</w:t>
      </w:r>
      <w:r w:rsidRPr="00654E11">
        <w:rPr>
          <w:u w:val="none"/>
        </w:rPr>
        <w:tab/>
      </w:r>
      <w:r>
        <w:rPr>
          <w:rFonts w:ascii="Times New Roman" w:hAnsi="Times New Roman"/>
          <w:sz w:val="24"/>
        </w:rPr>
        <w:t>Instruktioner för specifika positioner</w:t>
      </w:r>
      <w:bookmarkEnd w:id="637"/>
      <w:bookmarkEnd w:id="638"/>
      <w:bookmarkEnd w:id="639"/>
      <w:bookmarkEnd w:id="640"/>
      <w:bookmarkEnd w:id="641"/>
      <w:bookmarkEnd w:id="642"/>
      <w:bookmarkEnd w:id="643"/>
      <w:bookmarkEnd w:id="6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Artiklarna 102 och 105.1 i CRR jämförda med artikel 337 i CRR (värdepapp</w:t>
            </w:r>
            <w:r>
              <w:rPr>
                <w:rStyle w:val="InstructionsTabelleText"/>
                <w:rFonts w:ascii="Times New Roman" w:hAnsi="Times New Roman"/>
                <w:sz w:val="24"/>
              </w:rPr>
              <w:t>e</w:t>
            </w:r>
            <w:r>
              <w:rPr>
                <w:rStyle w:val="InstructionsTabelleText"/>
                <w:rFonts w:ascii="Times New Roman" w:hAnsi="Times New Roman"/>
                <w:sz w:val="24"/>
              </w:rPr>
              <w:t xml:space="preserve">riseringspositioner). När det gäller skillnaden mellan långa och korta positioner som även gäller dessa bruttopositioner, se artikel 328.2 i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w:t>
            </w:r>
            <w:r>
              <w:t xml:space="preserve"> </w:t>
            </w:r>
            <w:r>
              <w:rPr>
                <w:rFonts w:ascii="Times New Roman" w:hAnsi="Times New Roman"/>
                <w:b/>
                <w:sz w:val="24"/>
                <w:u w:val="single"/>
              </w:rPr>
              <w:t>(LÅNGA OCH KORTA)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Artikel 258 i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NETTOPOSITIONER</w:t>
            </w:r>
            <w:r>
              <w:t xml:space="preserve"> </w:t>
            </w:r>
            <w:r>
              <w:rPr>
                <w:rFonts w:ascii="Times New Roman" w:hAnsi="Times New Roman"/>
                <w:b/>
                <w:sz w:val="24"/>
                <w:u w:val="single"/>
              </w:rPr>
              <w:t>(LÅNGA OCH KORTA)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Artiklarna 327–329 och 334 i CRR. När det gäller skillnaden mellan långa och korta positioner, se artikel 328.2 i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NETTOPOSITIONERNA EFTER RISKVIKTER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Artiklarna 251 (tabell 1) och 261.1 (tabell 4) i CRR. Uppdelningen ska ske s</w:t>
            </w:r>
            <w:r>
              <w:rPr>
                <w:rStyle w:val="InstructionsTabelleText"/>
                <w:rFonts w:ascii="Times New Roman" w:hAnsi="Times New Roman"/>
                <w:sz w:val="24"/>
              </w:rPr>
              <w:t>e</w:t>
            </w:r>
            <w:r>
              <w:rPr>
                <w:rStyle w:val="InstructionsTabelleText"/>
                <w:rFonts w:ascii="Times New Roman" w:hAnsi="Times New Roman"/>
                <w:sz w:val="24"/>
              </w:rPr>
              <w:t>parat för långa och korta positioner.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och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Artiklarna 251 (tabell 1) och 261.1 (tabell 4) i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och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FORMELBASERAD METOD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337.2 i CRR jämförd med artikel 262 i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Dessa kolumner ska rapporteras om instituten använder den alternativa forme</w:t>
            </w:r>
            <w:r>
              <w:rPr>
                <w:rStyle w:val="InstructionsTabelleText"/>
                <w:rFonts w:ascii="Times New Roman" w:hAnsi="Times New Roman"/>
                <w:sz w:val="24"/>
              </w:rPr>
              <w:t>l</w:t>
            </w:r>
            <w:r>
              <w:rPr>
                <w:rStyle w:val="InstructionsTabelleText"/>
                <w:rFonts w:ascii="Times New Roman" w:hAnsi="Times New Roman"/>
                <w:sz w:val="24"/>
              </w:rPr>
              <w:t xml:space="preserve">baserade metoden (SFA), enligt vilken kapitalbaskraven fastställs som en funktion av säkerhetsgruppens egenskaper och tranchens avtalsbestämmelser.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och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GENOMLYSNING</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Artiklarna 253, 254 och 256.5 i CRR. Genomlysningskolumnerna omfattar samtliga exponeringar utan kreditvärdering för vilka riskvikten baseras på den underliggande portföljen med exponeringar (genomsnittlig riskvikt för gru</w:t>
            </w:r>
            <w:r>
              <w:rPr>
                <w:rStyle w:val="InstructionsTabelleText"/>
                <w:rFonts w:ascii="Times New Roman" w:hAnsi="Times New Roman"/>
                <w:sz w:val="24"/>
              </w:rPr>
              <w:t>p</w:t>
            </w:r>
            <w:r>
              <w:rPr>
                <w:rStyle w:val="InstructionsTabelleText"/>
                <w:rFonts w:ascii="Times New Roman" w:hAnsi="Times New Roman"/>
                <w:sz w:val="24"/>
              </w:rPr>
              <w:t>pen, högsta riskvikt i gruppen eller tillämpning av en koncentrationsfaktor).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 Artiklarna 263.2 och 263.3 i CRR. För förtida amortering, se artiklarna 265.1 och 256.5 i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INTERNMETOD</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Artiklarna 109.1 andra meningen och artikel 259.3 och 259.4 i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Dessa kolumner ska rapporteras om institutet använder internmetoden för att fastställa kapitalkraven för likviditetsfaciliteter och kreditförstärkningar som banker (inbegripet banker som är tredje part) tillhandahåller till kanaler för til</w:t>
            </w:r>
            <w:r>
              <w:rPr>
                <w:rStyle w:val="InstructionsTabelleText"/>
                <w:rFonts w:ascii="Times New Roman" w:hAnsi="Times New Roman"/>
                <w:sz w:val="24"/>
              </w:rPr>
              <w:t>l</w:t>
            </w:r>
            <w:r>
              <w:rPr>
                <w:rStyle w:val="InstructionsTabelleText"/>
                <w:rFonts w:ascii="Times New Roman" w:hAnsi="Times New Roman"/>
                <w:sz w:val="24"/>
              </w:rPr>
              <w:t>gångssäkrade företagscertifikat. Internmetoden (IAA) baserad på kreditvärd</w:t>
            </w:r>
            <w:r>
              <w:rPr>
                <w:rStyle w:val="InstructionsTabelleText"/>
                <w:rFonts w:ascii="Times New Roman" w:hAnsi="Times New Roman"/>
                <w:sz w:val="24"/>
              </w:rPr>
              <w:t>e</w:t>
            </w:r>
            <w:r>
              <w:rPr>
                <w:rStyle w:val="InstructionsTabelleText"/>
                <w:rFonts w:ascii="Times New Roman" w:hAnsi="Times New Roman"/>
                <w:sz w:val="24"/>
              </w:rPr>
              <w:t>ringsinstitutens metoder är bara tillämplig för exponeringar mot kanaler för tillgångssäkrade företagscertifikat som har en intern kreditvärdering som är i nivå med ursprunglig ”investment grade”.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ÖVERGRIPANDE EFFEKT (JUSTERING) PÅ GRUND AV ÖVE</w:t>
            </w:r>
            <w:r>
              <w:rPr>
                <w:rFonts w:ascii="Times New Roman" w:hAnsi="Times New Roman"/>
                <w:b/>
                <w:sz w:val="24"/>
                <w:u w:val="single"/>
              </w:rPr>
              <w:t>R</w:t>
            </w:r>
            <w:r>
              <w:rPr>
                <w:rFonts w:ascii="Times New Roman" w:hAnsi="Times New Roman"/>
                <w:b/>
                <w:sz w:val="24"/>
                <w:u w:val="single"/>
              </w:rPr>
              <w:t>TRÄDELSE AV BESTÄMMELSERNA OM TILLBÖRLIG AKTSA</w:t>
            </w:r>
            <w:r>
              <w:rPr>
                <w:rFonts w:ascii="Times New Roman" w:hAnsi="Times New Roman"/>
                <w:b/>
                <w:sz w:val="24"/>
                <w:u w:val="single"/>
              </w:rPr>
              <w:t>M</w:t>
            </w:r>
            <w:r>
              <w:rPr>
                <w:rFonts w:ascii="Times New Roman" w:hAnsi="Times New Roman"/>
                <w:b/>
                <w:sz w:val="24"/>
                <w:u w:val="single"/>
              </w:rPr>
              <w:t>HET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Artikel 337.3 i CRR jämförd med artikel 407 i CRR. Artikel 14.2 i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FÖRE TILLÄMPNING AV TAKET – RISKVÄGDA LÅNGA/KORTA NETTOPOSITIONER OCH SUMMAN AV RISKVÄGDA KORTA OCH LÅNGA NETTOPOSITIONER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Artikel 337 i CRR utan utnyttjande av valmöjligheten i artikel 335 i CRR, som innebär att ett institut får sätta en övre gräns för produkten av riskvikt och ne</w:t>
            </w:r>
            <w:r>
              <w:rPr>
                <w:rFonts w:ascii="Times New Roman" w:hAnsi="Times New Roman"/>
                <w:sz w:val="24"/>
              </w:rPr>
              <w:t>t</w:t>
            </w:r>
            <w:r>
              <w:rPr>
                <w:rFonts w:ascii="Times New Roman" w:hAnsi="Times New Roman"/>
                <w:sz w:val="24"/>
              </w:rPr>
              <w:t>toposition vid den största möjliga förlusten vid obestånd.</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EFTER TILLÄMPNING AV TAKET – RISKVÄGDA LÅNGA/KORTA NETTOPOSITIONER OCH SUMMAN AV RISKVÄGDA KORTA OCH </w:t>
            </w:r>
            <w:r>
              <w:rPr>
                <w:rFonts w:ascii="Times New Roman" w:hAnsi="Times New Roman"/>
                <w:b/>
                <w:sz w:val="24"/>
                <w:u w:val="single"/>
              </w:rPr>
              <w:lastRenderedPageBreak/>
              <w:t>LÅNGA NETTOPOSITIONER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Artikel 337 i CRR med utnyttjande av valmöjligheten i artikel 335 i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KAPITALBASKRAV 450</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 enlighet med artikel 337.4 i CRR ska institutet under en övergångsperiod som löper ut den 31 december 2014 göra en separat summering av riskvägda långa nettopositioner (kolumn 580) och riskvägda korta nettopositioner. Kap</w:t>
            </w:r>
            <w:r>
              <w:rPr>
                <w:rFonts w:ascii="Times New Roman" w:hAnsi="Times New Roman"/>
                <w:sz w:val="24"/>
              </w:rPr>
              <w:t>i</w:t>
            </w:r>
            <w:r>
              <w:rPr>
                <w:rFonts w:ascii="Times New Roman" w:hAnsi="Times New Roman"/>
                <w:sz w:val="24"/>
              </w:rPr>
              <w:t>talba</w:t>
            </w:r>
            <w:r>
              <w:rPr>
                <w:rFonts w:ascii="Times New Roman" w:hAnsi="Times New Roman"/>
                <w:sz w:val="24"/>
              </w:rPr>
              <w:t>s</w:t>
            </w:r>
            <w:r>
              <w:rPr>
                <w:rFonts w:ascii="Times New Roman" w:hAnsi="Times New Roman"/>
                <w:sz w:val="24"/>
              </w:rPr>
              <w:t>kravet utgörs av den största av dessa summor (efter tillämpning av övre gräns). Från och med 2015 ska institutet i enlighet med artikel 337.4 i CRR beräkna kapitalbaskraven genom att summera de riskvägda nettopositionerna, oavsett om de är långa eller korta (kolumn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SUMMA EXPONERINGAR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Det totala beloppet för utestående värdepapperiseringar (i handelslagret) ra</w:t>
            </w:r>
            <w:r>
              <w:rPr>
                <w:rFonts w:ascii="Times New Roman" w:hAnsi="Times New Roman"/>
                <w:sz w:val="24"/>
              </w:rPr>
              <w:t>p</w:t>
            </w:r>
            <w:r>
              <w:rPr>
                <w:rFonts w:ascii="Times New Roman" w:hAnsi="Times New Roman"/>
                <w:sz w:val="24"/>
              </w:rPr>
              <w:t>porteras av de institut som agerar som originator och/eller investerare och/eller medverkande institut.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och</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VÄRDEPAPPERISERING</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Artikel 4.1.38 i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och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ÅTERVÄRDEPAPPERISERING</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Artikel 4.1.39 och 4.1.40 i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ORIGINATOR:</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Artikel 4.1.41 i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INVESTERARE</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Kreditinstitut som innehar värdepapperiseringspositioner i en värdepapperis</w:t>
            </w:r>
            <w:r>
              <w:rPr>
                <w:rFonts w:ascii="Times New Roman" w:hAnsi="Times New Roman"/>
                <w:sz w:val="24"/>
              </w:rPr>
              <w:t>e</w:t>
            </w:r>
            <w:r>
              <w:rPr>
                <w:rFonts w:ascii="Times New Roman" w:hAnsi="Times New Roman"/>
                <w:sz w:val="24"/>
              </w:rPr>
              <w:t>ringstransaktion för vilken det är varken originator eller medverkande institut.</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MEDVERKANDE INSTITUT</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Artikel 4.1.42 i CRR. Om ett medverkande institut också värdepapperiserar sina egna tillgångar ska det institutet fylla i den information som avser de egna värdepapperiserade tillgångarna på originatorraderna.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UPPDELNING AV DET TOTALA BELOPPET FÖR RISKVÄGDA LÅNGA OCH KORTA NETTOPOSITIONER PER UNDERLIGGANDE TYP</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Artikel 337.4 sista meningen i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Uppdelningen av underliggande tillgångar sker enligt den klassificering som används i mallen SEC Details (kolumn ”typ”):</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Panträtter i bostadsfastigheter.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Panträtter i kommersiella fastigheter.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Kreditkortsfordringar.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lastRenderedPageBreak/>
              <w:tab/>
            </w:r>
            <w:r>
              <w:rPr>
                <w:rStyle w:val="InstructionsTabelleText"/>
                <w:rFonts w:ascii="Times New Roman" w:hAnsi="Times New Roman"/>
                <w:sz w:val="24"/>
              </w:rPr>
              <w:t>4 – Leasing.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Krediter till företag, inbegripet små och medelstora företag (behan</w:t>
            </w:r>
            <w:r>
              <w:rPr>
                <w:rStyle w:val="InstructionsTabelleText"/>
                <w:rFonts w:ascii="Times New Roman" w:hAnsi="Times New Roman"/>
                <w:sz w:val="24"/>
              </w:rPr>
              <w:t>d</w:t>
            </w:r>
            <w:r>
              <w:rPr>
                <w:rStyle w:val="InstructionsTabelleText"/>
                <w:rFonts w:ascii="Times New Roman" w:hAnsi="Times New Roman"/>
                <w:sz w:val="24"/>
              </w:rPr>
              <w:t>las som företag).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Konsumentkrediter.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 Handelsfordringar.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Övriga tillgångar.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Säkerställda obligationer.</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Övriga skulder.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Om gruppen av värdepapperiseringar består av olika typer av tillgångar ska i</w:t>
            </w:r>
            <w:r>
              <w:rPr>
                <w:rStyle w:val="InstructionsTabelleText"/>
                <w:rFonts w:ascii="Times New Roman" w:hAnsi="Times New Roman"/>
                <w:sz w:val="24"/>
              </w:rPr>
              <w:t>n</w:t>
            </w:r>
            <w:r>
              <w:rPr>
                <w:rStyle w:val="InstructionsTabelleText"/>
                <w:rFonts w:ascii="Times New Roman" w:hAnsi="Times New Roman"/>
                <w:sz w:val="24"/>
              </w:rPr>
              <w:t>stitutet beakta den mest relevanta typen.</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5" w:name="_Toc294172373"/>
      <w:bookmarkStart w:id="646" w:name="_Toc295830002"/>
      <w:bookmarkStart w:id="647" w:name="_Toc308426679"/>
      <w:bookmarkStart w:id="648" w:name="_Toc310415063"/>
      <w:bookmarkStart w:id="649" w:name="_Toc360188398"/>
      <w:bookmarkStart w:id="650" w:name="_Toc516210689"/>
      <w:bookmarkStart w:id="651" w:name="_Toc473561038"/>
      <w:bookmarkStart w:id="652" w:name="_Toc523820310"/>
      <w:r>
        <w:rPr>
          <w:rFonts w:ascii="Times New Roman" w:hAnsi="Times New Roman"/>
          <w:sz w:val="24"/>
          <w:u w:val="none"/>
        </w:rPr>
        <w:t>5.3.</w:t>
      </w:r>
      <w:r w:rsidRPr="00654E11">
        <w:rPr>
          <w:u w:val="none"/>
        </w:rPr>
        <w:tab/>
      </w:r>
      <w:r>
        <w:rPr>
          <w:rFonts w:ascii="Times New Roman" w:hAnsi="Times New Roman"/>
          <w:sz w:val="24"/>
        </w:rPr>
        <w:t>C 20.00 – MARKNADSRISK: SCHABLONMETOD FÖR SPECIFIK RISK I KO</w:t>
      </w:r>
      <w:r>
        <w:rPr>
          <w:rFonts w:ascii="Times New Roman" w:hAnsi="Times New Roman"/>
          <w:sz w:val="24"/>
        </w:rPr>
        <w:t>R</w:t>
      </w:r>
      <w:r>
        <w:rPr>
          <w:rFonts w:ascii="Times New Roman" w:hAnsi="Times New Roman"/>
          <w:sz w:val="24"/>
        </w:rPr>
        <w:t>RELATIONSHANDELSPORTFÖLJ (MKR SA CTP</w:t>
      </w:r>
      <w:bookmarkEnd w:id="645"/>
      <w:bookmarkEnd w:id="646"/>
      <w:bookmarkEnd w:id="647"/>
      <w:bookmarkEnd w:id="648"/>
      <w:r>
        <w:rPr>
          <w:rFonts w:ascii="Times New Roman" w:hAnsi="Times New Roman"/>
          <w:sz w:val="24"/>
        </w:rPr>
        <w:t>)</w:t>
      </w:r>
      <w:bookmarkEnd w:id="649"/>
      <w:bookmarkEnd w:id="650"/>
      <w:bookmarkEnd w:id="651"/>
      <w:bookmarkEnd w:id="65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3" w:name="_Toc294172374"/>
      <w:bookmarkStart w:id="654" w:name="_Toc295830003"/>
      <w:bookmarkStart w:id="655" w:name="_Toc308426680"/>
      <w:bookmarkStart w:id="656" w:name="_Toc310415064"/>
      <w:bookmarkStart w:id="657" w:name="_Toc360188399"/>
      <w:bookmarkStart w:id="658" w:name="_Toc516210690"/>
      <w:bookmarkStart w:id="659" w:name="_Toc473561039"/>
      <w:bookmarkStart w:id="660" w:name="_Toc523820311"/>
      <w:r>
        <w:rPr>
          <w:rFonts w:ascii="Times New Roman" w:hAnsi="Times New Roman"/>
          <w:sz w:val="24"/>
          <w:u w:val="none"/>
        </w:rPr>
        <w:t>5.3.1.</w:t>
      </w:r>
      <w:r w:rsidRPr="00654E11">
        <w:rPr>
          <w:u w:val="none"/>
        </w:rPr>
        <w:tab/>
      </w:r>
      <w:r>
        <w:rPr>
          <w:rFonts w:ascii="Times New Roman" w:hAnsi="Times New Roman"/>
          <w:sz w:val="24"/>
        </w:rPr>
        <w:t>Allmänna kommentarer</w:t>
      </w:r>
      <w:bookmarkEnd w:id="653"/>
      <w:bookmarkEnd w:id="654"/>
      <w:bookmarkEnd w:id="655"/>
      <w:bookmarkEnd w:id="656"/>
      <w:bookmarkEnd w:id="657"/>
      <w:bookmarkEnd w:id="658"/>
      <w:bookmarkEnd w:id="659"/>
      <w:bookmarkEnd w:id="660"/>
    </w:p>
    <w:p w:rsidR="000B0B09" w:rsidRPr="00321A3B" w:rsidRDefault="00125707" w:rsidP="001A3980">
      <w:pPr>
        <w:pStyle w:val="InstructionsText2"/>
        <w:numPr>
          <w:ilvl w:val="0"/>
          <w:numId w:val="0"/>
        </w:numPr>
        <w:ind w:left="993"/>
      </w:pPr>
      <w:r>
        <w:t>144.</w:t>
      </w:r>
      <w:r>
        <w:tab/>
        <w:t>I denna mall lämnas information om positioner i korrelationshandelsportföljen (bestående av värdepapperiseringar, kreditderivat på n:te förfall och övriga posi</w:t>
      </w:r>
      <w:r>
        <w:t>t</w:t>
      </w:r>
      <w:r>
        <w:t>ioner i korrelationshandelsportföljen som ingår i enlighet med artikel 338.3) samt motsvarande kapitalbaskrav enligt schablonmetoden.</w:t>
      </w:r>
    </w:p>
    <w:p w:rsidR="000B0B09" w:rsidRPr="00321A3B" w:rsidRDefault="00125707" w:rsidP="001A3980">
      <w:pPr>
        <w:pStyle w:val="InstructionsText2"/>
        <w:numPr>
          <w:ilvl w:val="0"/>
          <w:numId w:val="0"/>
        </w:numPr>
        <w:ind w:left="993"/>
      </w:pPr>
      <w:r>
        <w:t>145.</w:t>
      </w:r>
      <w:r>
        <w:tab/>
        <w:t>I mall MKR SA CTP fastställs kapitalbaskraven enbart för den specifika risken för positioner som placerats i korrelationshandelsportföljen i enlighet med artikel 335 jämförd med artikel 338.2 och 338.3 i CRR. Om positionerna i korrelation</w:t>
      </w:r>
      <w:r>
        <w:t>s</w:t>
      </w:r>
      <w:r>
        <w:t>handelsportföljen (nedan kallade CTP-positioner) är säkrade genom kreditderivat tillämpas artiklarna 346 och 347 i CRR. Det finns bara en mall för alla CTP-positioner i handelslagret, oavsett om institutet använder schablonmetoden eller i</w:t>
      </w:r>
      <w:r>
        <w:t>n</w:t>
      </w:r>
      <w:r>
        <w:t>ternmetoden för att fastställa riskvikten för varje position i enlighet med del tre a</w:t>
      </w:r>
      <w:r>
        <w:t>v</w:t>
      </w:r>
      <w:r>
        <w:t>delning II kapitel 5 i CRR. Kapitalbaskrav för den generella risken för dessa posi</w:t>
      </w:r>
      <w:r>
        <w:t>t</w:t>
      </w:r>
      <w:r>
        <w:t>ioner rapporteras i mall MKR SA TDI eller i mall MKR IM.</w:t>
      </w:r>
    </w:p>
    <w:p w:rsidR="000B0B09" w:rsidRPr="00321A3B" w:rsidRDefault="00125707" w:rsidP="001A3980">
      <w:pPr>
        <w:pStyle w:val="InstructionsText2"/>
        <w:numPr>
          <w:ilvl w:val="0"/>
          <w:numId w:val="0"/>
        </w:numPr>
        <w:ind w:left="993"/>
      </w:pPr>
      <w:r>
        <w:t>146.</w:t>
      </w:r>
      <w:r>
        <w:tab/>
        <w:t>Genom att mallen har denna struktur separeras värdepapperiseringspositioner, kreditderivat på n:te förfall och övriga CTP-positioner. Det innebär att värdepapp</w:t>
      </w:r>
      <w:r>
        <w:t>e</w:t>
      </w:r>
      <w:r>
        <w:t>riseringspositioner alltid ska rapporteras på raderna 030, 060 eller 090 (beroende på institutets roll i värdepapperiseringen). Kreditderivat på n:te förfall ska alltid ra</w:t>
      </w:r>
      <w:r>
        <w:t>p</w:t>
      </w:r>
      <w:r>
        <w:t>porteras på rad 110. ”Övriga CTP-positioner” är varken värdepapperiseringsposi</w:t>
      </w:r>
      <w:r>
        <w:t>t</w:t>
      </w:r>
      <w:r>
        <w:t>ioner eller kreditderivat på n:te förfall (se definitionen i artikel 338.3 i CRR), men de är uttryckligen kopplade (på grund av säkringssyftet) till en av dessa två posi</w:t>
      </w:r>
      <w:r>
        <w:t>t</w:t>
      </w:r>
      <w:r>
        <w:t>ioner. De placeras därför under någon av underrubrikerna ”värdepapperisering” och ”kreditderivat på n:te förfall”.</w:t>
      </w:r>
    </w:p>
    <w:p w:rsidR="00606885" w:rsidRPr="00321A3B" w:rsidRDefault="00125707" w:rsidP="001A3980">
      <w:pPr>
        <w:pStyle w:val="InstructionsText2"/>
        <w:numPr>
          <w:ilvl w:val="0"/>
          <w:numId w:val="0"/>
        </w:numPr>
        <w:ind w:left="993"/>
      </w:pPr>
      <w:r>
        <w:t>147.</w:t>
      </w:r>
      <w:r>
        <w:tab/>
        <w:t>Positioner som åsätts riskvikten 1,250 % kan alternativt dras av från kärnpr</w:t>
      </w:r>
      <w:r>
        <w:t>i</w:t>
      </w:r>
      <w:r>
        <w:t>märkapitalet (se artiklarna 243.1 b, 244.1 b och 258 i CRR). I så fall ska dessa p</w:t>
      </w:r>
      <w:r>
        <w:t>o</w:t>
      </w:r>
      <w:r>
        <w:t>sitioner rapporteras på rad 460 i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1" w:name="_Toc294172375"/>
      <w:bookmarkStart w:id="662" w:name="_Toc295830004"/>
      <w:bookmarkStart w:id="663" w:name="_Toc308426681"/>
      <w:bookmarkStart w:id="664" w:name="_Toc310415065"/>
      <w:bookmarkStart w:id="665" w:name="_Toc360188400"/>
      <w:bookmarkStart w:id="666" w:name="_Toc516210691"/>
      <w:bookmarkStart w:id="667" w:name="_Toc473561040"/>
      <w:bookmarkStart w:id="668" w:name="_Toc523820312"/>
      <w:r>
        <w:rPr>
          <w:rFonts w:ascii="Times New Roman" w:hAnsi="Times New Roman"/>
          <w:sz w:val="24"/>
          <w:u w:val="none"/>
        </w:rPr>
        <w:t>5.3.2.</w:t>
      </w:r>
      <w:r w:rsidRPr="001F07A6">
        <w:rPr>
          <w:u w:val="none"/>
        </w:rPr>
        <w:tab/>
      </w:r>
      <w:r>
        <w:rPr>
          <w:rFonts w:ascii="Times New Roman" w:hAnsi="Times New Roman"/>
          <w:sz w:val="24"/>
        </w:rPr>
        <w:t>Instruktioner för specifika positioner</w:t>
      </w:r>
      <w:bookmarkEnd w:id="661"/>
      <w:bookmarkEnd w:id="662"/>
      <w:bookmarkEnd w:id="663"/>
      <w:bookmarkEnd w:id="664"/>
      <w:bookmarkEnd w:id="665"/>
      <w:bookmarkEnd w:id="666"/>
      <w:bookmarkEnd w:id="667"/>
      <w:bookmarkEnd w:id="6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ALLA POSITIONER (LÅNGA OCH KORTA)</w:t>
            </w:r>
          </w:p>
          <w:p w:rsidR="000B0B09" w:rsidRPr="00392FFD" w:rsidRDefault="000B0B09" w:rsidP="000B0B09">
            <w:pPr>
              <w:rPr>
                <w:rFonts w:ascii="Times New Roman" w:hAnsi="Times New Roman"/>
                <w:sz w:val="24"/>
              </w:rPr>
            </w:pPr>
            <w:r>
              <w:rPr>
                <w:rFonts w:ascii="Times New Roman" w:hAnsi="Times New Roman"/>
                <w:sz w:val="24"/>
              </w:rPr>
              <w:t>Artiklarna 102 och 105.1 i CRR i samband med positioner som placerats i ko</w:t>
            </w:r>
            <w:r>
              <w:rPr>
                <w:rFonts w:ascii="Times New Roman" w:hAnsi="Times New Roman"/>
                <w:sz w:val="24"/>
              </w:rPr>
              <w:t>r</w:t>
            </w:r>
            <w:r>
              <w:rPr>
                <w:rFonts w:ascii="Times New Roman" w:hAnsi="Times New Roman"/>
                <w:sz w:val="24"/>
              </w:rPr>
              <w:t>relationshandelsportföljen i enlighet med artikel 338.2 och 338.3 i CRR. När det gäller skillnaden mellan långa och korta positioner som även gäller dessa bruttopositioner, se artikel 328.2 i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 (LÅNGA OCH KORTA)</w:t>
            </w:r>
          </w:p>
          <w:p w:rsidR="000B0B09" w:rsidRPr="00392FFD" w:rsidRDefault="000B0B09" w:rsidP="000B0B09">
            <w:pPr>
              <w:rPr>
                <w:rFonts w:ascii="Times New Roman" w:hAnsi="Times New Roman"/>
                <w:sz w:val="24"/>
              </w:rPr>
            </w:pPr>
            <w:r>
              <w:rPr>
                <w:rFonts w:ascii="Times New Roman" w:hAnsi="Times New Roman"/>
                <w:sz w:val="24"/>
              </w:rPr>
              <w:t xml:space="preserve">Artikel 258 i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NETTOPOSITIONER (LÅNGA OCH KORTA)</w:t>
            </w:r>
          </w:p>
          <w:p w:rsidR="000B0B09" w:rsidRPr="00392FFD" w:rsidRDefault="000B0B09" w:rsidP="000B0B09">
            <w:pPr>
              <w:rPr>
                <w:rFonts w:ascii="Times New Roman" w:hAnsi="Times New Roman"/>
                <w:sz w:val="24"/>
              </w:rPr>
            </w:pPr>
            <w:r>
              <w:rPr>
                <w:rFonts w:ascii="Times New Roman" w:hAnsi="Times New Roman"/>
                <w:sz w:val="24"/>
              </w:rPr>
              <w:t>Artiklarna 327–329 och 334 i CRR. När det gäller skillnaden mellan långa och korta positioner, se artikel 328.2 i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UPPDELNING AV NETTOPOSITIONER PER RISKVIKT (SCH</w:t>
            </w:r>
            <w:r>
              <w:rPr>
                <w:rStyle w:val="InstructionsTabelleberschrift"/>
                <w:rFonts w:ascii="Times New Roman" w:hAnsi="Times New Roman"/>
                <w:sz w:val="24"/>
              </w:rPr>
              <w:t>A</w:t>
            </w:r>
            <w:r>
              <w:rPr>
                <w:rStyle w:val="InstructionsTabelleberschrift"/>
                <w:rFonts w:ascii="Times New Roman" w:hAnsi="Times New Roman"/>
                <w:sz w:val="24"/>
              </w:rPr>
              <w:t>BLONMETOD OCH INTERNMETOD)</w:t>
            </w:r>
          </w:p>
          <w:p w:rsidR="000B0B09" w:rsidRPr="00392FFD" w:rsidRDefault="000B0B09" w:rsidP="000B0B09">
            <w:pPr>
              <w:rPr>
                <w:rFonts w:ascii="Times New Roman" w:hAnsi="Times New Roman"/>
                <w:sz w:val="24"/>
              </w:rPr>
            </w:pPr>
            <w:r>
              <w:rPr>
                <w:rFonts w:ascii="Times New Roman" w:hAnsi="Times New Roman"/>
                <w:sz w:val="24"/>
              </w:rPr>
              <w:t xml:space="preserve">Artiklarna 251 (tabell 1) och 261.1 (tabell 4) i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och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ÖVRIGA</w:t>
            </w:r>
          </w:p>
          <w:p w:rsidR="000B0B09" w:rsidRPr="00392FFD" w:rsidRDefault="000B0B09" w:rsidP="000B0B09">
            <w:pPr>
              <w:rPr>
                <w:rFonts w:ascii="Times New Roman" w:hAnsi="Times New Roman"/>
                <w:sz w:val="24"/>
              </w:rPr>
            </w:pPr>
            <w:r>
              <w:rPr>
                <w:rFonts w:ascii="Times New Roman" w:hAnsi="Times New Roman"/>
                <w:sz w:val="24"/>
              </w:rPr>
              <w:t>Övriga riskvikter som inte uttryckligen nämns i föregående kolumner.</w:t>
            </w:r>
          </w:p>
          <w:p w:rsidR="000B0B09" w:rsidRPr="00392FFD" w:rsidRDefault="000B0B09" w:rsidP="000B0B09">
            <w:pPr>
              <w:rPr>
                <w:rFonts w:ascii="Times New Roman" w:hAnsi="Times New Roman"/>
                <w:sz w:val="24"/>
              </w:rPr>
            </w:pPr>
            <w:r>
              <w:rPr>
                <w:rFonts w:ascii="Times New Roman" w:hAnsi="Times New Roman"/>
                <w:sz w:val="24"/>
              </w:rPr>
              <w:t>Endast de kreditderivat på n:te förfall som inte har ett externt kreditbetyg. Kr</w:t>
            </w:r>
            <w:r>
              <w:rPr>
                <w:rFonts w:ascii="Times New Roman" w:hAnsi="Times New Roman"/>
                <w:sz w:val="24"/>
              </w:rPr>
              <w:t>e</w:t>
            </w:r>
            <w:r>
              <w:rPr>
                <w:rFonts w:ascii="Times New Roman" w:hAnsi="Times New Roman"/>
                <w:sz w:val="24"/>
              </w:rPr>
              <w:t>ditderivat på n:te förfall som har ett externt kreditbetyg ska antingen rapport</w:t>
            </w:r>
            <w:r>
              <w:rPr>
                <w:rFonts w:ascii="Times New Roman" w:hAnsi="Times New Roman"/>
                <w:sz w:val="24"/>
              </w:rPr>
              <w:t>e</w:t>
            </w:r>
            <w:r>
              <w:rPr>
                <w:rFonts w:ascii="Times New Roman" w:hAnsi="Times New Roman"/>
                <w:sz w:val="24"/>
              </w:rPr>
              <w:t>ras i mall MKR SA TDI (rad 321) eller – om de ingår i korrelationshandel</w:t>
            </w:r>
            <w:r>
              <w:rPr>
                <w:rFonts w:ascii="Times New Roman" w:hAnsi="Times New Roman"/>
                <w:sz w:val="24"/>
              </w:rPr>
              <w:t>s</w:t>
            </w:r>
            <w:r>
              <w:rPr>
                <w:rFonts w:ascii="Times New Roman" w:hAnsi="Times New Roman"/>
                <w:sz w:val="24"/>
              </w:rPr>
              <w:t xml:space="preserve">portföljen – placeras i kolumnen för respektive riskvikt.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och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w:t>
            </w:r>
          </w:p>
          <w:p w:rsidR="000B0B09" w:rsidRPr="00392FFD" w:rsidRDefault="000B0B09" w:rsidP="000B0B09">
            <w:pPr>
              <w:rPr>
                <w:rFonts w:ascii="Times New Roman" w:hAnsi="Times New Roman"/>
                <w:sz w:val="24"/>
              </w:rPr>
            </w:pPr>
            <w:r>
              <w:rPr>
                <w:rFonts w:ascii="Times New Roman" w:hAnsi="Times New Roman"/>
                <w:sz w:val="24"/>
              </w:rPr>
              <w:t xml:space="preserve">Artiklarna 251 (tabell 1) och 261.1 (tabell 4) i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och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FORMELBASERAD METOD</w:t>
            </w:r>
          </w:p>
          <w:p w:rsidR="000B0B09" w:rsidRPr="00392FFD" w:rsidRDefault="000B0B09" w:rsidP="000B0B09">
            <w:pPr>
              <w:rPr>
                <w:rFonts w:ascii="Times New Roman" w:hAnsi="Times New Roman"/>
                <w:sz w:val="24"/>
              </w:rPr>
            </w:pPr>
            <w:r>
              <w:rPr>
                <w:rFonts w:ascii="Times New Roman" w:hAnsi="Times New Roman"/>
                <w:sz w:val="24"/>
              </w:rPr>
              <w:t xml:space="preserve">Artikel 337.2 i CRR jämförd med artikel 262 i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GENOMLYSNING</w:t>
            </w:r>
          </w:p>
          <w:p w:rsidR="000B0B09" w:rsidRPr="00392FFD" w:rsidRDefault="000B0B09" w:rsidP="000B0B09">
            <w:pPr>
              <w:rPr>
                <w:rFonts w:ascii="Times New Roman" w:hAnsi="Times New Roman"/>
                <w:sz w:val="24"/>
              </w:rPr>
            </w:pPr>
            <w:r>
              <w:rPr>
                <w:rFonts w:ascii="Times New Roman" w:hAnsi="Times New Roman"/>
                <w:sz w:val="24"/>
              </w:rPr>
              <w:t>SA: Artiklarna 253, 254 och 256.5 i CRR. Genomlysningskolumnerna omfattar samtliga exponeringar utan kreditvärdering för vilka riskvikten baseras på den underliggande portföljen med exponeringar (genomsnittlig riskvikt för gru</w:t>
            </w:r>
            <w:r>
              <w:rPr>
                <w:rFonts w:ascii="Times New Roman" w:hAnsi="Times New Roman"/>
                <w:sz w:val="24"/>
              </w:rPr>
              <w:t>p</w:t>
            </w:r>
            <w:r>
              <w:rPr>
                <w:rFonts w:ascii="Times New Roman" w:hAnsi="Times New Roman"/>
                <w:sz w:val="24"/>
              </w:rPr>
              <w:t>pen, högsta riskvikt i gruppen eller tillämpning av en koncentrationsfaktor).</w:t>
            </w:r>
          </w:p>
          <w:p w:rsidR="000B0B09" w:rsidRPr="00392FFD" w:rsidRDefault="000B0B09" w:rsidP="000B0B09">
            <w:pPr>
              <w:rPr>
                <w:rFonts w:ascii="Times New Roman" w:hAnsi="Times New Roman"/>
                <w:sz w:val="24"/>
              </w:rPr>
            </w:pPr>
            <w:r>
              <w:rPr>
                <w:rFonts w:ascii="Times New Roman" w:hAnsi="Times New Roman"/>
                <w:sz w:val="24"/>
              </w:rPr>
              <w:t>IRB: Artiklarna 263.2 och 263.3 i CRR. För förtida amortering, se artiklarna 265.1 och 256.5 i CRR.</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220-230 och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INTERNMETOD</w:t>
            </w:r>
          </w:p>
          <w:p w:rsidR="000B0B09" w:rsidRPr="00392FFD" w:rsidRDefault="000B0B09" w:rsidP="000B0B09">
            <w:pPr>
              <w:rPr>
                <w:rFonts w:ascii="Times New Roman" w:hAnsi="Times New Roman"/>
                <w:sz w:val="24"/>
              </w:rPr>
            </w:pPr>
            <w:r>
              <w:rPr>
                <w:rFonts w:ascii="Times New Roman" w:hAnsi="Times New Roman"/>
                <w:sz w:val="24"/>
              </w:rPr>
              <w:t xml:space="preserve">Artikel 259.3 och 259.4 i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FÖRE TILLÄMPNING AV TAKET – RISKVÄGDA LÅNGA/KORTA NETTOPOSITIONER</w:t>
            </w:r>
          </w:p>
          <w:p w:rsidR="000B0B09" w:rsidRPr="00392FFD" w:rsidRDefault="000B0B09" w:rsidP="000B0B09">
            <w:pPr>
              <w:rPr>
                <w:rFonts w:ascii="Times New Roman" w:hAnsi="Times New Roman"/>
                <w:sz w:val="24"/>
              </w:rPr>
            </w:pPr>
            <w:r>
              <w:rPr>
                <w:rFonts w:ascii="Times New Roman" w:hAnsi="Times New Roman"/>
                <w:sz w:val="24"/>
              </w:rPr>
              <w:t>Artikel 338 i CRR utan utnyttjande av valmöjligheten i artikel 335 i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EFTER TILLÄMPNING AV TAKET – RISKVÄGDA LÅNGA/KORTA NETTOPOSITIONER</w:t>
            </w:r>
          </w:p>
          <w:p w:rsidR="000B0B09" w:rsidRPr="00392FFD" w:rsidRDefault="000B0B09" w:rsidP="000B0B09">
            <w:pPr>
              <w:rPr>
                <w:rFonts w:ascii="Times New Roman" w:hAnsi="Times New Roman"/>
                <w:sz w:val="24"/>
              </w:rPr>
            </w:pPr>
            <w:r>
              <w:rPr>
                <w:rFonts w:ascii="Times New Roman" w:hAnsi="Times New Roman"/>
                <w:sz w:val="24"/>
              </w:rPr>
              <w:t xml:space="preserve">Artikel 338 i CRR med utnyttjande av valmöjligheten i artikel 335 i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SUMMA KAPITALBASKRAV 450</w:t>
            </w:r>
          </w:p>
          <w:p w:rsidR="000B0B09" w:rsidRPr="00392FFD" w:rsidRDefault="000B0B09" w:rsidP="00E871FE">
            <w:pPr>
              <w:rPr>
                <w:rFonts w:ascii="Times New Roman" w:hAnsi="Times New Roman"/>
                <w:sz w:val="24"/>
              </w:rPr>
            </w:pPr>
            <w:r>
              <w:rPr>
                <w:rFonts w:ascii="Times New Roman" w:hAnsi="Times New Roman"/>
                <w:sz w:val="24"/>
              </w:rPr>
              <w:t>KAPITALBASKRAVET FASTSTÄLLS TILL DET HÖGSTA AV FÖ</w:t>
            </w:r>
            <w:r>
              <w:rPr>
                <w:rFonts w:ascii="Times New Roman" w:hAnsi="Times New Roman"/>
                <w:sz w:val="24"/>
              </w:rPr>
              <w:t>L</w:t>
            </w:r>
            <w:r>
              <w:rPr>
                <w:rFonts w:ascii="Times New Roman" w:hAnsi="Times New Roman"/>
                <w:sz w:val="24"/>
              </w:rPr>
              <w:t>JANDE VÄRDEN: den specifika risk om skulle gälla endast för de långa ne</w:t>
            </w:r>
            <w:r>
              <w:rPr>
                <w:rFonts w:ascii="Times New Roman" w:hAnsi="Times New Roman"/>
                <w:sz w:val="24"/>
              </w:rPr>
              <w:t>t</w:t>
            </w:r>
            <w:r>
              <w:rPr>
                <w:rFonts w:ascii="Times New Roman" w:hAnsi="Times New Roman"/>
                <w:sz w:val="24"/>
              </w:rPr>
              <w:t>topositionerna (kolumn 430) eller ii) den specifika risk som skulle gälla endast för de korta nettopositionerna (kolumn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SUMMA EXPONERINGAR</w:t>
            </w:r>
          </w:p>
          <w:p w:rsidR="000B0B09" w:rsidRPr="00392FFD" w:rsidRDefault="000B0B09" w:rsidP="000B0B09">
            <w:pPr>
              <w:rPr>
                <w:rFonts w:ascii="Times New Roman" w:hAnsi="Times New Roman"/>
                <w:sz w:val="24"/>
              </w:rPr>
            </w:pPr>
            <w:r>
              <w:rPr>
                <w:rFonts w:ascii="Times New Roman" w:hAnsi="Times New Roman"/>
                <w:sz w:val="24"/>
              </w:rPr>
              <w:t>Det totala beloppet för utestående positioner (i korrelationshandelsportföljen) ra</w:t>
            </w:r>
            <w:r>
              <w:rPr>
                <w:rFonts w:ascii="Times New Roman" w:hAnsi="Times New Roman"/>
                <w:sz w:val="24"/>
              </w:rPr>
              <w:t>p</w:t>
            </w:r>
            <w:r>
              <w:rPr>
                <w:rFonts w:ascii="Times New Roman" w:hAnsi="Times New Roman"/>
                <w:sz w:val="24"/>
              </w:rPr>
              <w:t>porteras av de institut som agerar som originator och/eller investerare och/eller medverkande institut.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ORIGINATOR:</w:t>
            </w:r>
          </w:p>
          <w:p w:rsidR="000B0B09" w:rsidRPr="00392FFD" w:rsidRDefault="000B0B09" w:rsidP="00104A65">
            <w:pPr>
              <w:rPr>
                <w:rFonts w:ascii="Times New Roman" w:hAnsi="Times New Roman"/>
                <w:sz w:val="24"/>
              </w:rPr>
            </w:pPr>
            <w:r>
              <w:rPr>
                <w:rFonts w:ascii="Times New Roman" w:hAnsi="Times New Roman"/>
                <w:sz w:val="24"/>
              </w:rPr>
              <w:t xml:space="preserve">Artikel 4.1.13 i CRR.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INVESTERARE</w:t>
            </w:r>
          </w:p>
          <w:p w:rsidR="000B0B09" w:rsidRPr="00392FFD" w:rsidRDefault="000B0B09" w:rsidP="00DE48EF">
            <w:pPr>
              <w:rPr>
                <w:rFonts w:ascii="Times New Roman" w:hAnsi="Times New Roman"/>
                <w:sz w:val="24"/>
              </w:rPr>
            </w:pPr>
            <w:r>
              <w:rPr>
                <w:rFonts w:ascii="Times New Roman" w:hAnsi="Times New Roman"/>
                <w:sz w:val="24"/>
              </w:rPr>
              <w:t>Kreditinstitut som innehar värdepapperiseringspositioner i en värdepapperisering</w:t>
            </w:r>
            <w:r>
              <w:rPr>
                <w:rFonts w:ascii="Times New Roman" w:hAnsi="Times New Roman"/>
                <w:sz w:val="24"/>
              </w:rPr>
              <w:t>s</w:t>
            </w:r>
            <w:r>
              <w:rPr>
                <w:rFonts w:ascii="Times New Roman" w:hAnsi="Times New Roman"/>
                <w:sz w:val="24"/>
              </w:rPr>
              <w:t>transaktion för vilken det är varken originator eller medverkande institut.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MEDVERKANDE INSTITUT</w:t>
            </w:r>
          </w:p>
          <w:p w:rsidR="000B0B09" w:rsidRPr="00392FFD" w:rsidRDefault="000B0B09" w:rsidP="00DA040A">
            <w:pPr>
              <w:rPr>
                <w:rFonts w:ascii="Times New Roman" w:hAnsi="Times New Roman"/>
                <w:sz w:val="24"/>
              </w:rPr>
            </w:pPr>
            <w:r>
              <w:rPr>
                <w:rFonts w:ascii="Times New Roman" w:hAnsi="Times New Roman"/>
                <w:sz w:val="24"/>
              </w:rPr>
              <w:t>Artikel 4.1.14 i CRR. Om ett medverkande institut också värdepapperiserar sina egna tillgångar ska det institutet fylla i den information som avser de egna värd</w:t>
            </w:r>
            <w:r>
              <w:rPr>
                <w:rFonts w:ascii="Times New Roman" w:hAnsi="Times New Roman"/>
                <w:sz w:val="24"/>
              </w:rPr>
              <w:t>e</w:t>
            </w:r>
            <w:r>
              <w:rPr>
                <w:rFonts w:ascii="Times New Roman" w:hAnsi="Times New Roman"/>
                <w:sz w:val="24"/>
              </w:rPr>
              <w:t xml:space="preserve">papperiserade tillgångarna på originatorraderna.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och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VÄRDEPAPPERISERING</w:t>
            </w:r>
          </w:p>
          <w:p w:rsidR="000B0B09" w:rsidRPr="00392FFD" w:rsidRDefault="000B0B09" w:rsidP="000B0B09">
            <w:pPr>
              <w:rPr>
                <w:rFonts w:ascii="Times New Roman" w:hAnsi="Times New Roman"/>
                <w:sz w:val="24"/>
              </w:rPr>
            </w:pPr>
            <w:r>
              <w:rPr>
                <w:rFonts w:ascii="Times New Roman" w:hAnsi="Times New Roman"/>
                <w:sz w:val="24"/>
              </w:rPr>
              <w:t>Korrelationshandelsportföljen består av värdepapperiseringar, kreditderivat på n:te förfall och eventuellt övriga positioner för säkringsändamål som uppfyller kriter</w:t>
            </w:r>
            <w:r>
              <w:rPr>
                <w:rFonts w:ascii="Times New Roman" w:hAnsi="Times New Roman"/>
                <w:sz w:val="24"/>
              </w:rPr>
              <w:t>i</w:t>
            </w:r>
            <w:r>
              <w:rPr>
                <w:rFonts w:ascii="Times New Roman" w:hAnsi="Times New Roman"/>
                <w:sz w:val="24"/>
              </w:rPr>
              <w:t>erna i artikel 338.2 och 338.3 i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Derivat av värdepapperiseringsexponeringar som ger en proportionell andel och likaså positioner som säkrar CTP-positioner ska tas med på raden ”övriga CTP-positioner”.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KREDITDERIVAT SOM FÖRFALLER PÅ DET N:TE FALLISS</w:t>
            </w:r>
            <w:r>
              <w:rPr>
                <w:rStyle w:val="InstructionsTabelleberschrift"/>
                <w:rFonts w:ascii="Times New Roman" w:hAnsi="Times New Roman"/>
                <w:sz w:val="24"/>
              </w:rPr>
              <w:t>E</w:t>
            </w:r>
            <w:r>
              <w:rPr>
                <w:rStyle w:val="InstructionsTabelleberschrift"/>
                <w:rFonts w:ascii="Times New Roman" w:hAnsi="Times New Roman"/>
                <w:sz w:val="24"/>
              </w:rPr>
              <w:t>MANGET</w:t>
            </w:r>
          </w:p>
          <w:p w:rsidR="000B0B09" w:rsidRPr="00392FFD" w:rsidRDefault="000B0B09" w:rsidP="000B0B09">
            <w:pPr>
              <w:rPr>
                <w:rFonts w:ascii="Times New Roman" w:hAnsi="Times New Roman"/>
                <w:sz w:val="24"/>
              </w:rPr>
            </w:pPr>
            <w:r>
              <w:rPr>
                <w:rFonts w:ascii="Times New Roman" w:hAnsi="Times New Roman"/>
                <w:sz w:val="24"/>
              </w:rPr>
              <w:t>När det gäller kreditderivat på n:te förfall som är säkrade genom kreditderivat på n:te förfall i enlighet med artikel 347 i CRR ska båda rapporteras här.</w:t>
            </w:r>
          </w:p>
          <w:p w:rsidR="000B0B09" w:rsidRPr="00392FFD" w:rsidRDefault="000B0B09" w:rsidP="00DE48EF">
            <w:pPr>
              <w:rPr>
                <w:rFonts w:ascii="Times New Roman" w:hAnsi="Times New Roman"/>
                <w:sz w:val="24"/>
              </w:rPr>
            </w:pPr>
            <w:r>
              <w:rPr>
                <w:rFonts w:ascii="Times New Roman" w:hAnsi="Times New Roman"/>
                <w:sz w:val="24"/>
              </w:rPr>
              <w:t>Positioners originator, investerare och medverkande institut gäller inte för kredi</w:t>
            </w:r>
            <w:r>
              <w:rPr>
                <w:rFonts w:ascii="Times New Roman" w:hAnsi="Times New Roman"/>
                <w:sz w:val="24"/>
              </w:rPr>
              <w:t>t</w:t>
            </w:r>
            <w:r>
              <w:rPr>
                <w:rFonts w:ascii="Times New Roman" w:hAnsi="Times New Roman"/>
                <w:sz w:val="24"/>
              </w:rPr>
              <w:t>derivat på n:te förfall. Detta innebär att uppdelningen av värdepapperiseringsposi</w:t>
            </w:r>
            <w:r>
              <w:rPr>
                <w:rFonts w:ascii="Times New Roman" w:hAnsi="Times New Roman"/>
                <w:sz w:val="24"/>
              </w:rPr>
              <w:t>t</w:t>
            </w:r>
            <w:r>
              <w:rPr>
                <w:rFonts w:ascii="Times New Roman" w:hAnsi="Times New Roman"/>
                <w:sz w:val="24"/>
              </w:rPr>
              <w:t>ioner inte kan göras för kreditderivat på n:te förfall.</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och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ÖVRIGA KORRELATIONSHANDELSPORTFÖLJPOSITIONER</w:t>
            </w:r>
          </w:p>
          <w:p w:rsidR="000B0B09" w:rsidRPr="00392FFD" w:rsidRDefault="000B0B09" w:rsidP="000B0B09">
            <w:pPr>
              <w:rPr>
                <w:rFonts w:ascii="Times New Roman" w:hAnsi="Times New Roman"/>
                <w:sz w:val="24"/>
              </w:rPr>
            </w:pPr>
            <w:r>
              <w:rPr>
                <w:rFonts w:ascii="Times New Roman" w:hAnsi="Times New Roman"/>
                <w:sz w:val="24"/>
              </w:rPr>
              <w:t xml:space="preserve">Positionerna i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 av värdepapperiseringsexponeringar som ger en proportionell andel och likaså positioner som säkrar CTP-positioner,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som är säkrade genom kreditderivat i enlighet med artikel 346 i CRR, och</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övriga positioner som uppfyller kriterierna i artikel 338.3 i CRR</w:t>
            </w:r>
          </w:p>
          <w:p w:rsidR="000B0B09" w:rsidRPr="00392FFD" w:rsidRDefault="000B0B09" w:rsidP="000B0B09">
            <w:pPr>
              <w:rPr>
                <w:rFonts w:ascii="Times New Roman" w:hAnsi="Times New Roman"/>
                <w:sz w:val="24"/>
              </w:rPr>
            </w:pPr>
            <w:r>
              <w:rPr>
                <w:rFonts w:ascii="Times New Roman" w:hAnsi="Times New Roman"/>
                <w:sz w:val="24"/>
              </w:rPr>
              <w:t>rapporteras här.</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9" w:name="_Toc262566429"/>
      <w:bookmarkStart w:id="670" w:name="_Toc295830005"/>
      <w:bookmarkStart w:id="671" w:name="_Toc308426682"/>
      <w:bookmarkStart w:id="672" w:name="_Toc310415066"/>
      <w:bookmarkStart w:id="673" w:name="_Toc360188401"/>
      <w:bookmarkStart w:id="674" w:name="_Toc516210692"/>
      <w:bookmarkStart w:id="675" w:name="_Toc473561041"/>
      <w:bookmarkStart w:id="676" w:name="_Toc523820313"/>
      <w:r>
        <w:rPr>
          <w:rFonts w:ascii="Times New Roman" w:hAnsi="Times New Roman"/>
          <w:sz w:val="24"/>
          <w:u w:val="none"/>
        </w:rPr>
        <w:t>5.4.</w:t>
      </w:r>
      <w:r w:rsidRPr="001F07A6">
        <w:rPr>
          <w:u w:val="none"/>
        </w:rPr>
        <w:tab/>
      </w:r>
      <w:r>
        <w:rPr>
          <w:rFonts w:ascii="Times New Roman" w:hAnsi="Times New Roman"/>
          <w:sz w:val="24"/>
        </w:rPr>
        <w:t>C 21.00 – Marknadsrisk: Schablonmetod för positionsrisker i aktier</w:t>
      </w:r>
      <w:bookmarkEnd w:id="669"/>
      <w:bookmarkEnd w:id="670"/>
      <w:bookmarkEnd w:id="671"/>
      <w:bookmarkEnd w:id="672"/>
      <w:bookmarkEnd w:id="673"/>
      <w:r>
        <w:rPr>
          <w:rFonts w:ascii="Times New Roman" w:hAnsi="Times New Roman"/>
          <w:sz w:val="24"/>
        </w:rPr>
        <w:t xml:space="preserve"> (MKR SA EQU)</w:t>
      </w:r>
      <w:bookmarkEnd w:id="674"/>
      <w:bookmarkEnd w:id="675"/>
      <w:bookmarkEnd w:id="676"/>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7" w:name="_Toc262566430"/>
      <w:bookmarkStart w:id="678" w:name="_Toc295830006"/>
      <w:bookmarkStart w:id="679" w:name="_Toc308426683"/>
      <w:bookmarkStart w:id="680" w:name="_Toc310415067"/>
      <w:bookmarkStart w:id="681" w:name="_Toc360188402"/>
      <w:bookmarkStart w:id="682" w:name="_Toc516210693"/>
      <w:bookmarkStart w:id="683" w:name="_Toc473561042"/>
      <w:bookmarkStart w:id="684" w:name="_Toc523820314"/>
      <w:r>
        <w:rPr>
          <w:rFonts w:ascii="Times New Roman" w:hAnsi="Times New Roman"/>
          <w:sz w:val="24"/>
          <w:u w:val="none"/>
        </w:rPr>
        <w:t>5.4.1.</w:t>
      </w:r>
      <w:r w:rsidRPr="001F07A6">
        <w:rPr>
          <w:u w:val="none"/>
        </w:rPr>
        <w:tab/>
      </w:r>
      <w:r>
        <w:rPr>
          <w:rFonts w:ascii="Times New Roman" w:hAnsi="Times New Roman"/>
          <w:sz w:val="24"/>
        </w:rPr>
        <w:t>Allmänna kommentarer</w:t>
      </w:r>
      <w:bookmarkEnd w:id="677"/>
      <w:bookmarkEnd w:id="678"/>
      <w:bookmarkEnd w:id="679"/>
      <w:bookmarkEnd w:id="680"/>
      <w:bookmarkEnd w:id="681"/>
      <w:bookmarkEnd w:id="682"/>
      <w:bookmarkEnd w:id="683"/>
      <w:bookmarkEnd w:id="684"/>
    </w:p>
    <w:p w:rsidR="000B0B09" w:rsidRPr="00392FFD" w:rsidRDefault="00125707" w:rsidP="001A3980">
      <w:pPr>
        <w:pStyle w:val="InstructionsText2"/>
        <w:numPr>
          <w:ilvl w:val="0"/>
          <w:numId w:val="0"/>
        </w:numPr>
        <w:ind w:left="993"/>
      </w:pPr>
      <w:r>
        <w:t>148.</w:t>
      </w:r>
      <w:r>
        <w:tab/>
        <w:t>I denna mall lämnas uppgifter om positioner och motsvarande kapitalbaskrav för positionsrisk i aktier i handelslagret med tillämpning av schablonmetoden.</w:t>
      </w:r>
    </w:p>
    <w:p w:rsidR="000B0B09" w:rsidRPr="00392FFD" w:rsidRDefault="00125707" w:rsidP="001A3980">
      <w:pPr>
        <w:pStyle w:val="InstructionsText2"/>
        <w:numPr>
          <w:ilvl w:val="0"/>
          <w:numId w:val="0"/>
        </w:numPr>
        <w:ind w:left="993"/>
      </w:pPr>
      <w:r>
        <w:t>149.</w:t>
      </w:r>
      <w:r>
        <w:tab/>
        <w:t>Instituten ska fylla i mallen separat när det gäller totalbeloppet plus en statisk i förväg angiven förteckning över följande marknader: Bulgarien, Danmark, Egy</w:t>
      </w:r>
      <w:r>
        <w:t>p</w:t>
      </w:r>
      <w:r>
        <w:t>ten, Förenade kungariket, Polen, Rumänien, Sverige, Tjeckien, Ungern, Island, Kroatien, Liechtenstein, Norge, Albanien, Japan, f.d. jugoslaviska republiken M</w:t>
      </w:r>
      <w:r>
        <w:t>a</w:t>
      </w:r>
      <w:r>
        <w:t>kedonien, Ryssland, Serbien, Schweiz, Turkiet, Ukraina, Förenta staterna, Euroo</w:t>
      </w:r>
      <w:r>
        <w:t>m</w:t>
      </w:r>
      <w:r>
        <w:t>rådet plus en restmall för alla övriga marknader.  För detta rapporteringskrav ska ”marknad” förstås som ”land” (utom för de länder som ingår i euroområdet, se kommissionens delegerade förordning (EU) nr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1"/>
      <w:bookmarkStart w:id="686" w:name="_Toc295830007"/>
      <w:bookmarkStart w:id="687" w:name="_Toc308426684"/>
      <w:bookmarkStart w:id="688" w:name="_Toc310415068"/>
      <w:bookmarkStart w:id="689" w:name="_Toc360188403"/>
      <w:bookmarkStart w:id="690" w:name="_Toc516210694"/>
      <w:bookmarkStart w:id="691" w:name="_Toc473561043"/>
      <w:bookmarkStart w:id="692" w:name="_Toc523820315"/>
      <w:r>
        <w:rPr>
          <w:rFonts w:ascii="Times New Roman" w:hAnsi="Times New Roman"/>
          <w:sz w:val="24"/>
          <w:u w:val="none"/>
        </w:rPr>
        <w:t>5.4.2.</w:t>
      </w:r>
      <w:r w:rsidRPr="001F07A6">
        <w:rPr>
          <w:u w:val="none"/>
        </w:rPr>
        <w:tab/>
      </w:r>
      <w:r>
        <w:rPr>
          <w:rFonts w:ascii="Times New Roman" w:hAnsi="Times New Roman"/>
          <w:sz w:val="24"/>
        </w:rPr>
        <w:t>Instruktioner för specifika positioner</w:t>
      </w:r>
      <w:bookmarkEnd w:id="685"/>
      <w:bookmarkEnd w:id="686"/>
      <w:bookmarkEnd w:id="687"/>
      <w:bookmarkEnd w:id="688"/>
      <w:bookmarkEnd w:id="689"/>
      <w:bookmarkEnd w:id="690"/>
      <w:bookmarkEnd w:id="691"/>
      <w:bookmarkEnd w:id="6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102 och 105.1 i CRR. Detta är bruttopositioner som inte är nettade genom instrument, exklusive emissionsgarantipositioner som tecknats eller i </w:t>
            </w:r>
            <w:r>
              <w:rPr>
                <w:rFonts w:ascii="Times New Roman" w:hAnsi="Times New Roman"/>
                <w:sz w:val="24"/>
              </w:rPr>
              <w:lastRenderedPageBreak/>
              <w:t xml:space="preserve">sin tur garanterats av tredje man (artikel 345 andra meningen i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327, 329, 332, 341 och 345 i 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2 i CRR. Kapitalkravet ska berä</w:t>
            </w:r>
            <w:r>
              <w:rPr>
                <w:rFonts w:ascii="Times New Roman" w:hAnsi="Times New Roman"/>
                <w:sz w:val="24"/>
              </w:rPr>
              <w:t>k</w:t>
            </w:r>
            <w:r>
              <w:rPr>
                <w:rFonts w:ascii="Times New Roman" w:hAnsi="Times New Roman"/>
                <w:sz w:val="24"/>
              </w:rPr>
              <w:t>nas separat för varje nationell marknad. Positioner i aktieindexterminer enligt artikel 344.4 andra meningen i CRR ska inte tas med i denna kolumn.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Kapitalkravet för berörda positioner i enlighet med del tre avdelning IV kapitel 2 i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92.4 b i CRR. Produkten av kapitalbaskraven multiplicerade med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SOM INGÅR I HANDELSLAGRET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Kapitalbaskrav för positionsrisk i enlighet med artikel 92.3 b i i CRR och del tre avdelning IV kapitel 2 avsnitt 3 i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GENERELL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aktier som omfattas av generell risk (artikel 343 i CRR) och motsv</w:t>
            </w:r>
            <w:r>
              <w:rPr>
                <w:rFonts w:ascii="Times New Roman" w:hAnsi="Times New Roman"/>
                <w:sz w:val="24"/>
              </w:rPr>
              <w:t>a</w:t>
            </w:r>
            <w:r>
              <w:rPr>
                <w:rFonts w:ascii="Times New Roman" w:hAnsi="Times New Roman"/>
                <w:sz w:val="24"/>
              </w:rPr>
              <w:t>rande kapitalbaskrav i enlighet med del tre avdelning IV kapitel 2 avsnitt 3 i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Var och en av uppdelningarna (021/022 och 030/040) är en uppdelning som rör alla positioner som omfattas av generell risk.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På raderna 021 och 022 anges uppgifter om uppdelningen efter instrument. Det är bara uppdelningen på raderna 030 och 040 som ligger till grund för beräkningen av kapitalbaskrav.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Derivat som ingår i beräkningen av aktierisk för positioner i handelslagret med b</w:t>
            </w:r>
            <w:r>
              <w:rPr>
                <w:rFonts w:ascii="Times New Roman" w:hAnsi="Times New Roman"/>
                <w:sz w:val="24"/>
              </w:rPr>
              <w:t>e</w:t>
            </w:r>
            <w:r>
              <w:rPr>
                <w:rFonts w:ascii="Times New Roman" w:hAnsi="Times New Roman"/>
                <w:sz w:val="24"/>
              </w:rPr>
              <w:t>aktande av artiklarna 329–332, i förekommande fall.</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Övriga tillgångar och skulder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Instrument, förutom derivat, vilka ingår i beräkningen av aktierisk för positioner i handelslagret.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Börshandlade aktieindexterminer som är brett diversifierade och som omfa</w:t>
            </w:r>
            <w:r>
              <w:rPr>
                <w:rFonts w:ascii="Times New Roman" w:hAnsi="Times New Roman"/>
                <w:b/>
                <w:sz w:val="24"/>
                <w:u w:val="single"/>
              </w:rPr>
              <w:t>t</w:t>
            </w:r>
            <w:r>
              <w:rPr>
                <w:rFonts w:ascii="Times New Roman" w:hAnsi="Times New Roman"/>
                <w:b/>
                <w:sz w:val="24"/>
                <w:u w:val="single"/>
              </w:rPr>
              <w:t>tas av en särskild metod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Brett diversifierade aktieindexterminer som omsätts på en börs och är föremål för särskild behandling i enlighet med artikel 344.1 och 344.4 i CRR. Dessa positioner omfattas endast av generell risk och behöver därmed inte rapporteras på rad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Andra aktier än börshandlade aktieindexterminer som är brett diversifierade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Övriga positioner i aktier som omfattas av specifik risk och de motsvarande kap</w:t>
            </w:r>
            <w:r>
              <w:rPr>
                <w:rFonts w:ascii="Times New Roman" w:hAnsi="Times New Roman"/>
                <w:sz w:val="24"/>
              </w:rPr>
              <w:t>i</w:t>
            </w:r>
            <w:r>
              <w:rPr>
                <w:rFonts w:ascii="Times New Roman" w:hAnsi="Times New Roman"/>
                <w:sz w:val="24"/>
              </w:rPr>
              <w:t xml:space="preserve">talbaskraven i enlighet med artiklarna 343 och 344.3 i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aktier som omfattas av specifik risk och de motsvarande kapitalba</w:t>
            </w:r>
            <w:r>
              <w:rPr>
                <w:rFonts w:ascii="Times New Roman" w:hAnsi="Times New Roman"/>
                <w:sz w:val="24"/>
              </w:rPr>
              <w:t>s</w:t>
            </w:r>
            <w:r>
              <w:rPr>
                <w:rFonts w:ascii="Times New Roman" w:hAnsi="Times New Roman"/>
                <w:sz w:val="24"/>
              </w:rPr>
              <w:t xml:space="preserve">kraven i enlighet med artiklarna 342 och 344.4 i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w:t>
            </w:r>
            <w:r>
              <w:rPr>
                <w:rStyle w:val="InstructionsTabelleberschrift"/>
                <w:rFonts w:ascii="Times New Roman" w:hAnsi="Times New Roman"/>
                <w:sz w:val="24"/>
              </w:rPr>
              <w:t>A</w:t>
            </w:r>
            <w:r>
              <w:rPr>
                <w:rStyle w:val="InstructionsTabelleberschrift"/>
                <w:rFonts w:ascii="Times New Roman" w:hAnsi="Times New Roman"/>
                <w:sz w:val="24"/>
              </w:rPr>
              <w:t>RISKER)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329.2 och 329.3 i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2"/>
      <w:bookmarkStart w:id="694" w:name="_Toc295830008"/>
      <w:bookmarkStart w:id="695" w:name="_Toc308426685"/>
      <w:bookmarkStart w:id="696" w:name="_Toc310415069"/>
      <w:bookmarkStart w:id="697" w:name="_Toc360188404"/>
      <w:bookmarkStart w:id="698" w:name="_Toc516210695"/>
      <w:bookmarkStart w:id="699" w:name="_Toc473561044"/>
      <w:bookmarkStart w:id="700" w:name="_Toc523820316"/>
      <w:r>
        <w:rPr>
          <w:rFonts w:ascii="Times New Roman" w:hAnsi="Times New Roman"/>
          <w:sz w:val="24"/>
          <w:u w:val="none"/>
        </w:rPr>
        <w:t>5.5.</w:t>
      </w:r>
      <w:r w:rsidRPr="00030E4F">
        <w:rPr>
          <w:u w:val="none"/>
        </w:rPr>
        <w:tab/>
      </w:r>
      <w:r>
        <w:rPr>
          <w:rFonts w:ascii="Times New Roman" w:hAnsi="Times New Roman"/>
          <w:sz w:val="24"/>
        </w:rPr>
        <w:t>C 22.00 – Marknadsrisk: Schablonmetoder för valutakursrisk</w:t>
      </w:r>
      <w:bookmarkEnd w:id="693"/>
      <w:bookmarkEnd w:id="694"/>
      <w:bookmarkEnd w:id="695"/>
      <w:bookmarkEnd w:id="696"/>
      <w:bookmarkEnd w:id="697"/>
      <w:r>
        <w:rPr>
          <w:rFonts w:ascii="Times New Roman" w:hAnsi="Times New Roman"/>
          <w:sz w:val="24"/>
        </w:rPr>
        <w:t xml:space="preserve"> (MKR SA FX)</w:t>
      </w:r>
      <w:bookmarkEnd w:id="698"/>
      <w:bookmarkEnd w:id="699"/>
      <w:bookmarkEnd w:id="700"/>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1" w:name="_Toc262566433"/>
      <w:bookmarkStart w:id="702" w:name="_Toc295830009"/>
      <w:bookmarkStart w:id="703" w:name="_Toc308426686"/>
      <w:bookmarkStart w:id="704" w:name="_Toc310415070"/>
      <w:bookmarkStart w:id="705" w:name="_Toc360188405"/>
      <w:bookmarkStart w:id="706" w:name="_Toc516210696"/>
      <w:bookmarkStart w:id="707" w:name="_Toc473561045"/>
      <w:bookmarkStart w:id="708" w:name="_Toc523820317"/>
      <w:r>
        <w:rPr>
          <w:rFonts w:ascii="Times New Roman" w:hAnsi="Times New Roman"/>
          <w:sz w:val="24"/>
          <w:u w:val="none"/>
        </w:rPr>
        <w:t>5.5.1.</w:t>
      </w:r>
      <w:r w:rsidRPr="00030E4F">
        <w:rPr>
          <w:u w:val="none"/>
        </w:rPr>
        <w:tab/>
      </w:r>
      <w:r>
        <w:rPr>
          <w:rFonts w:ascii="Times New Roman" w:hAnsi="Times New Roman"/>
          <w:sz w:val="24"/>
        </w:rPr>
        <w:t>Allmänna kommentarer</w:t>
      </w:r>
      <w:bookmarkEnd w:id="701"/>
      <w:bookmarkEnd w:id="702"/>
      <w:bookmarkEnd w:id="703"/>
      <w:bookmarkEnd w:id="704"/>
      <w:bookmarkEnd w:id="705"/>
      <w:bookmarkEnd w:id="706"/>
      <w:bookmarkEnd w:id="707"/>
      <w:bookmarkEnd w:id="708"/>
    </w:p>
    <w:p w:rsidR="00F71DF2" w:rsidRPr="00392FFD" w:rsidRDefault="00125707" w:rsidP="001A3980">
      <w:pPr>
        <w:pStyle w:val="InstructionsText2"/>
        <w:numPr>
          <w:ilvl w:val="0"/>
          <w:numId w:val="0"/>
        </w:numPr>
        <w:ind w:left="993"/>
      </w:pPr>
      <w:r>
        <w:t>150.</w:t>
      </w:r>
      <w:r>
        <w:tab/>
        <w:t>Institutet ska rapportera uppgifter om positioner i varje valuta (inbegripet ra</w:t>
      </w:r>
      <w:r>
        <w:t>p</w:t>
      </w:r>
      <w:r>
        <w:t xml:space="preserve">portvaluta) och motsvarande kapitalbaskrav för utländsk valuta med tillämpning av schablonmetoden. Positionen beräknas för varje valuta (inbegripet euro), guld och positioner i fonder. </w:t>
      </w:r>
    </w:p>
    <w:p w:rsidR="000B0B09" w:rsidRPr="00392FFD" w:rsidRDefault="00125707" w:rsidP="001A3980">
      <w:pPr>
        <w:pStyle w:val="InstructionsText2"/>
        <w:numPr>
          <w:ilvl w:val="0"/>
          <w:numId w:val="0"/>
        </w:numPr>
        <w:ind w:left="993"/>
      </w:pPr>
      <w:r>
        <w:t>151.</w:t>
      </w:r>
      <w:r>
        <w:tab/>
        <w:t>Raderna 100– 480 i denna mall ska rapporteras även om institut inte är sky</w:t>
      </w:r>
      <w:r>
        <w:t>l</w:t>
      </w:r>
      <w:r>
        <w:t>diga att beräkna kapitalbaskrav för valutarisk enligt artikel 351 i CRR. I dessa m</w:t>
      </w:r>
      <w:r>
        <w:t>e</w:t>
      </w:r>
      <w:r>
        <w:t>morandumposter ingår alla positioner i rapportvalutan, oavsett i vilken utsträckning de är avsedda för syftena i artikel 354 i CRR. Raderna 130–480 i memorandumpo</w:t>
      </w:r>
      <w:r>
        <w:t>s</w:t>
      </w:r>
      <w:r>
        <w:t>terna i mallen ska fyllas i separat för alla valutor i Europeiska unionens medlem</w:t>
      </w:r>
      <w:r>
        <w:t>s</w:t>
      </w:r>
      <w:r>
        <w:t>stater och för följande valutor: USD, CHF, JPY, RUB, TRY, AUD, CAD, RSD, ALL, UAH, MKD, EGP, ARS, BRL, MXN, HKD, ICK, TWD, NZD, NOK, SGD, KRW, CNY och alla övriga valutor.</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9" w:name="_Toc262566434"/>
      <w:bookmarkStart w:id="710" w:name="_Toc295830010"/>
      <w:bookmarkStart w:id="711" w:name="_Toc308426687"/>
      <w:bookmarkStart w:id="712" w:name="_Toc310415071"/>
      <w:bookmarkStart w:id="713" w:name="_Toc360188406"/>
      <w:bookmarkStart w:id="714" w:name="_Toc516210697"/>
      <w:bookmarkStart w:id="715" w:name="_Toc473561046"/>
      <w:bookmarkStart w:id="716" w:name="_Toc523820318"/>
      <w:r>
        <w:rPr>
          <w:rFonts w:ascii="Times New Roman" w:hAnsi="Times New Roman"/>
          <w:sz w:val="24"/>
          <w:u w:val="none"/>
        </w:rPr>
        <w:t>5.5.2.</w:t>
      </w:r>
      <w:r w:rsidRPr="00030E4F">
        <w:rPr>
          <w:u w:val="none"/>
        </w:rPr>
        <w:tab/>
      </w:r>
      <w:r>
        <w:rPr>
          <w:rFonts w:ascii="Times New Roman" w:hAnsi="Times New Roman"/>
          <w:sz w:val="24"/>
        </w:rPr>
        <w:t>Instruktioner för specifika positioner</w:t>
      </w:r>
      <w:bookmarkEnd w:id="709"/>
      <w:bookmarkEnd w:id="710"/>
      <w:bookmarkEnd w:id="711"/>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Bruttopositioner på grund av tillgångar, tillgodohavanden och liknande poster som avses i artikel 352.1 i CRR. I enlighet med artikel 352.2 och efter tillstånd </w:t>
            </w:r>
            <w:r>
              <w:rPr>
                <w:rFonts w:ascii="Times New Roman" w:hAnsi="Times New Roman"/>
                <w:sz w:val="24"/>
              </w:rPr>
              <w:lastRenderedPageBreak/>
              <w:t>från behöriga myndigheter ska inte positioner som tagits för att säkra mot vä</w:t>
            </w:r>
            <w:r>
              <w:rPr>
                <w:rFonts w:ascii="Times New Roman" w:hAnsi="Times New Roman"/>
                <w:sz w:val="24"/>
              </w:rPr>
              <w:t>x</w:t>
            </w:r>
            <w:r>
              <w:rPr>
                <w:rFonts w:ascii="Times New Roman" w:hAnsi="Times New Roman"/>
                <w:sz w:val="24"/>
              </w:rPr>
              <w:t>elkursens negativa effekter på deras relationstal i enlighet med artikel 92.1 samt positioner som hänför sig till poster som redan har frånräknats vid berä</w:t>
            </w:r>
            <w:r>
              <w:rPr>
                <w:rFonts w:ascii="Times New Roman" w:hAnsi="Times New Roman"/>
                <w:sz w:val="24"/>
              </w:rPr>
              <w:t>k</w:t>
            </w:r>
            <w:r>
              <w:rPr>
                <w:rFonts w:ascii="Times New Roman" w:hAnsi="Times New Roman"/>
                <w:sz w:val="24"/>
              </w:rPr>
              <w:t>ningen av kapitalbas rapporteras.</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Artikel 352.3 och 352.4 första och andra meningen och artikel 353 i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Nettopositioner beräknas i varje valuta. Det ka n alltså vara både långa och korta positioner samtidigt.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352.2, 352.4, 353 och 354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POSITIONER SOM OMFATTAS AV KAPITALKRAV (LÅNGA OCH KORTA)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Långa och korta nettopositioner i varje valuta beräknas genom att summan av korta positioner dras från summan av långa positioner.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Den långa nettopositionen i en valuta beräknas genom att man adderar de långa nettopositionerna för varje transaktion i den valutan.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Den korta nettopositionen i en valuta beräknas genom att man adderar de korta nettopositionerna för varje transaktion i den valutan.</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Icke avstämda positioner i andra valutor än rapportvalutor adderas till positio</w:t>
            </w:r>
            <w:r>
              <w:rPr>
                <w:rFonts w:ascii="Times New Roman" w:hAnsi="Times New Roman"/>
                <w:sz w:val="24"/>
              </w:rPr>
              <w:t>n</w:t>
            </w:r>
            <w:r>
              <w:rPr>
                <w:rFonts w:ascii="Times New Roman" w:hAnsi="Times New Roman"/>
                <w:sz w:val="24"/>
              </w:rPr>
              <w:t>er som omfattas av kapitalkrav för andra valutor (rad 030) i kolumn 040 eller 050, beroende på om de är korta eller långa.</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 (AVSTÄMDA)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Avstämda positioner för nära sammanhängande valutor.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för berörda positioner i enlighet med del tre avdelning IV kapitel 3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Artikel 92.4 b i CRR. Produkten av kapitalbaskraven multiplicerade med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Alla positioner i andra valutor än rapportvalutor och de positioner i rapportv</w:t>
            </w:r>
            <w:r>
              <w:rPr>
                <w:rFonts w:ascii="Times New Roman" w:hAnsi="Times New Roman"/>
                <w:sz w:val="24"/>
              </w:rPr>
              <w:t>a</w:t>
            </w:r>
            <w:r>
              <w:rPr>
                <w:rFonts w:ascii="Times New Roman" w:hAnsi="Times New Roman"/>
                <w:sz w:val="24"/>
              </w:rPr>
              <w:t>lutan som beaktas i enlighet med artikel 354 i CRR samt motsvarande kapita</w:t>
            </w:r>
            <w:r>
              <w:rPr>
                <w:rFonts w:ascii="Times New Roman" w:hAnsi="Times New Roman"/>
                <w:sz w:val="24"/>
              </w:rPr>
              <w:t>l</w:t>
            </w:r>
            <w:r>
              <w:rPr>
                <w:rFonts w:ascii="Times New Roman" w:hAnsi="Times New Roman"/>
                <w:sz w:val="24"/>
              </w:rPr>
              <w:t>baskrav enligt artikel 92.3 c i och artikel 352.2 och 352.4 i CRR (om omrä</w:t>
            </w:r>
            <w:r>
              <w:rPr>
                <w:rFonts w:ascii="Times New Roman" w:hAnsi="Times New Roman"/>
                <w:sz w:val="24"/>
              </w:rPr>
              <w:t>k</w:t>
            </w:r>
            <w:r>
              <w:rPr>
                <w:rFonts w:ascii="Times New Roman" w:hAnsi="Times New Roman"/>
                <w:sz w:val="24"/>
              </w:rPr>
              <w:t>ning till rapportvalutan).</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NÄRA SAMMANHÄNGANDE VALUTOR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valutor i enlighet med artikel 354 i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Nära sammanhängande valutor </w:t>
            </w:r>
            <w:r>
              <w:rPr>
                <w:rFonts w:ascii="Times New Roman" w:hAnsi="Times New Roman"/>
                <w:b/>
                <w:i/>
                <w:sz w:val="24"/>
                <w:u w:val="single"/>
              </w:rPr>
              <w:t>varav</w:t>
            </w:r>
            <w:r>
              <w:rPr>
                <w:rFonts w:ascii="Times New Roman" w:hAnsi="Times New Roman"/>
                <w:b/>
                <w:sz w:val="24"/>
                <w:u w:val="single"/>
              </w:rPr>
              <w:t>: rapportvaluta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rapportvalutan som bidrar till beräkningen av kapitalbaskraven i enlighet med artikel 354 i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ÖVRIGA VALUTOR (inklusive fonder som behandlas som olika valutor)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artiklarna 351, 352.2 och 352.4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Rapportering av fonder som behandlas som separata valutor i enlighet med a</w:t>
            </w:r>
            <w:r>
              <w:rPr>
                <w:rFonts w:ascii="Times New Roman" w:hAnsi="Times New Roman"/>
                <w:sz w:val="24"/>
                <w:u w:val="single"/>
              </w:rPr>
              <w:t>r</w:t>
            </w:r>
            <w:r>
              <w:rPr>
                <w:rFonts w:ascii="Times New Roman" w:hAnsi="Times New Roman"/>
                <w:sz w:val="24"/>
                <w:u w:val="single"/>
              </w:rPr>
              <w:t>tikel 353 i CRR: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För fonder som behandlas som separata valutor kan kapitalbaskraven beräknas enligt någon av följande två metoder:</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Den modifierade guldmetoden tillämpas om inriktningen på fondens investeringar inte är känd (en sådan fond ska adderas till institutets t</w:t>
            </w:r>
            <w:r>
              <w:rPr>
                <w:rFonts w:ascii="Times New Roman" w:hAnsi="Times New Roman"/>
                <w:sz w:val="24"/>
              </w:rPr>
              <w:t>o</w:t>
            </w:r>
            <w:r>
              <w:rPr>
                <w:rFonts w:ascii="Times New Roman" w:hAnsi="Times New Roman"/>
                <w:sz w:val="24"/>
              </w:rPr>
              <w:t>tala nettoposition i valuta).</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Om inriktningen på fondens investeringar är känd ska fonden adderas till den totala öppna valutapositionen (lång eller kort, beroende på fo</w:t>
            </w:r>
            <w:r>
              <w:rPr>
                <w:rFonts w:ascii="Times New Roman" w:hAnsi="Times New Roman"/>
                <w:sz w:val="24"/>
              </w:rPr>
              <w:t>n</w:t>
            </w:r>
            <w:r>
              <w:rPr>
                <w:rFonts w:ascii="Times New Roman" w:hAnsi="Times New Roman"/>
                <w:sz w:val="24"/>
              </w:rPr>
              <w:t>dens inriktning).</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Sådana fonder ska rapporteras i enlighet med respektive beräkning av kapita</w:t>
            </w:r>
            <w:r>
              <w:rPr>
                <w:rFonts w:ascii="Times New Roman" w:hAnsi="Times New Roman"/>
                <w:sz w:val="24"/>
              </w:rPr>
              <w:t>l</w:t>
            </w:r>
            <w:r>
              <w:rPr>
                <w:rFonts w:ascii="Times New Roman" w:hAnsi="Times New Roman"/>
                <w:sz w:val="24"/>
              </w:rPr>
              <w:t>baskraven.</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GULD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artiklarna 351, 352.2 och 352.4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w:t>
            </w:r>
            <w:r>
              <w:rPr>
                <w:rStyle w:val="InstructionsTabelleberschrift"/>
                <w:rFonts w:ascii="Times New Roman" w:hAnsi="Times New Roman"/>
                <w:sz w:val="24"/>
              </w:rPr>
              <w:t>L</w:t>
            </w:r>
            <w:r>
              <w:rPr>
                <w:rStyle w:val="InstructionsTabelleberschrift"/>
                <w:rFonts w:ascii="Times New Roman" w:hAnsi="Times New Roman"/>
                <w:sz w:val="24"/>
              </w:rPr>
              <w:t>TARISKER)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352.5 och 352.6 i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de totala positionerna (inklusive rapportvaluta) per exp</w:t>
            </w:r>
            <w:r>
              <w:rPr>
                <w:rFonts w:ascii="Times New Roman" w:hAnsi="Times New Roman"/>
                <w:b/>
                <w:sz w:val="24"/>
                <w:u w:val="single"/>
              </w:rPr>
              <w:t>o</w:t>
            </w:r>
            <w:r>
              <w:rPr>
                <w:rFonts w:ascii="Times New Roman" w:hAnsi="Times New Roman"/>
                <w:b/>
                <w:sz w:val="24"/>
                <w:u w:val="single"/>
              </w:rPr>
              <w:t>neringstyp</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totala positionerna ska delas upp i derivat, övriga tillgångar och skulder samt poster utanför balansräkningen.</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Övriga tillgångar och skulder, som inte är poster utanför balansräkningen och derivat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Här rapporteras de positioner som inte tas upp på rad 110 eller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Poster utanför balansräkningen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Poster som omfattas av artikel 352 i CRR, oberoende av vilken valuta de är d</w:t>
            </w:r>
            <w:r>
              <w:rPr>
                <w:rFonts w:ascii="Times New Roman" w:hAnsi="Times New Roman"/>
                <w:sz w:val="24"/>
              </w:rPr>
              <w:t>e</w:t>
            </w:r>
            <w:r>
              <w:rPr>
                <w:rFonts w:ascii="Times New Roman" w:hAnsi="Times New Roman"/>
                <w:sz w:val="24"/>
              </w:rPr>
              <w:t>nominerade i, som tas upp i bilaga I till CRR, utom de som tas upp som tran</w:t>
            </w:r>
            <w:r>
              <w:rPr>
                <w:rFonts w:ascii="Times New Roman" w:hAnsi="Times New Roman"/>
                <w:sz w:val="24"/>
              </w:rPr>
              <w:t>s</w:t>
            </w:r>
            <w:r>
              <w:rPr>
                <w:rFonts w:ascii="Times New Roman" w:hAnsi="Times New Roman"/>
                <w:sz w:val="24"/>
              </w:rPr>
              <w:t>aktioner för värdepapperisering och transaktioner med långfristig avveckling eller som härrör från avtal om produktövergripande nettning.</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som värderas i enlighet med artikel 352 i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MEMORANDUMPOSTER: VALUTAPOSITIONER</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Memorandumposterna i mallen ska fyllas i separat för alla valutor i Europeiska unionens medlemsstater och för följande valutor: USD, CHF, JPY, RUB, TRY, AUD, CAD, RSD, ALL, UAH, MKD, EGP, ARS, BRL, MXN, HKD, ICK, TWD, NZD, NOK, SGD, KRW, CNY och alla övriga valutor.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7" w:name="_Toc262566435"/>
      <w:bookmarkStart w:id="718" w:name="_Toc295830011"/>
      <w:bookmarkStart w:id="719" w:name="_Toc308426688"/>
      <w:bookmarkStart w:id="720" w:name="_Toc310415072"/>
      <w:bookmarkStart w:id="721" w:name="_Toc360188407"/>
      <w:bookmarkStart w:id="722" w:name="_Toc516210698"/>
      <w:bookmarkStart w:id="723" w:name="_Toc473561047"/>
      <w:bookmarkStart w:id="724" w:name="_Toc523820319"/>
      <w:r>
        <w:rPr>
          <w:rFonts w:ascii="Times New Roman" w:hAnsi="Times New Roman"/>
          <w:sz w:val="24"/>
          <w:u w:val="none"/>
        </w:rPr>
        <w:t>5.6.</w:t>
      </w:r>
      <w:r w:rsidRPr="00030E4F">
        <w:rPr>
          <w:u w:val="none"/>
        </w:rPr>
        <w:tab/>
      </w:r>
      <w:r>
        <w:rPr>
          <w:rFonts w:ascii="Times New Roman" w:hAnsi="Times New Roman"/>
          <w:sz w:val="24"/>
        </w:rPr>
        <w:t>C 23.00 – Marknadsrisk: Schablonmetoder för råvaror</w:t>
      </w:r>
      <w:bookmarkEnd w:id="717"/>
      <w:bookmarkEnd w:id="718"/>
      <w:bookmarkEnd w:id="719"/>
      <w:bookmarkEnd w:id="720"/>
      <w:bookmarkEnd w:id="721"/>
      <w:r>
        <w:rPr>
          <w:rFonts w:ascii="Times New Roman" w:hAnsi="Times New Roman"/>
          <w:sz w:val="24"/>
        </w:rPr>
        <w:t xml:space="preserve"> (MKR SA COM)</w:t>
      </w:r>
      <w:bookmarkEnd w:id="722"/>
      <w:bookmarkEnd w:id="723"/>
      <w:bookmarkEnd w:id="72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5" w:name="_Toc262566436"/>
      <w:bookmarkStart w:id="726" w:name="_Toc295830012"/>
      <w:bookmarkStart w:id="727" w:name="_Toc308426689"/>
      <w:bookmarkStart w:id="728" w:name="_Toc310415073"/>
      <w:bookmarkStart w:id="729" w:name="_Toc360188408"/>
      <w:bookmarkStart w:id="730" w:name="_Toc516210699"/>
      <w:bookmarkStart w:id="731" w:name="_Toc473561048"/>
      <w:bookmarkStart w:id="732" w:name="_Toc523820320"/>
      <w:r>
        <w:rPr>
          <w:rFonts w:ascii="Times New Roman" w:hAnsi="Times New Roman"/>
          <w:sz w:val="24"/>
          <w:u w:val="none"/>
        </w:rPr>
        <w:t>5.6.1.</w:t>
      </w:r>
      <w:r w:rsidRPr="00030E4F">
        <w:rPr>
          <w:u w:val="none"/>
        </w:rPr>
        <w:tab/>
      </w:r>
      <w:r>
        <w:rPr>
          <w:rFonts w:ascii="Times New Roman" w:hAnsi="Times New Roman"/>
          <w:sz w:val="24"/>
        </w:rPr>
        <w:t>Allmänna kommentarer</w:t>
      </w:r>
      <w:bookmarkEnd w:id="725"/>
      <w:bookmarkEnd w:id="726"/>
      <w:bookmarkEnd w:id="727"/>
      <w:bookmarkEnd w:id="728"/>
      <w:bookmarkEnd w:id="729"/>
      <w:bookmarkEnd w:id="730"/>
      <w:bookmarkEnd w:id="731"/>
      <w:bookmarkEnd w:id="732"/>
    </w:p>
    <w:p w:rsidR="000B0B09" w:rsidRPr="00392FFD" w:rsidRDefault="00125707" w:rsidP="001A3980">
      <w:pPr>
        <w:pStyle w:val="InstructionsText2"/>
        <w:numPr>
          <w:ilvl w:val="0"/>
          <w:numId w:val="0"/>
        </w:numPr>
        <w:ind w:left="993"/>
      </w:pPr>
      <w:r>
        <w:t>152.</w:t>
      </w:r>
      <w:r>
        <w:tab/>
        <w:t>I denna mall lämnas uppgifter om positionerna i råvaror och motsvarande kap</w:t>
      </w:r>
      <w:r>
        <w:t>i</w:t>
      </w:r>
      <w:r>
        <w:t>talbaskrav med tillämpning av schablonmetoden.</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3" w:name="_Toc262566437"/>
      <w:bookmarkStart w:id="734" w:name="_Toc295830013"/>
      <w:bookmarkStart w:id="735" w:name="_Toc308426690"/>
      <w:bookmarkStart w:id="736" w:name="_Toc310415074"/>
      <w:bookmarkStart w:id="737" w:name="_Toc360188409"/>
      <w:bookmarkStart w:id="738" w:name="_Toc516210700"/>
      <w:bookmarkStart w:id="739" w:name="_Toc473561049"/>
      <w:bookmarkStart w:id="740" w:name="_Toc523820321"/>
      <w:r>
        <w:rPr>
          <w:rFonts w:ascii="Times New Roman" w:hAnsi="Times New Roman"/>
          <w:sz w:val="24"/>
          <w:u w:val="none"/>
        </w:rPr>
        <w:t>5.6.2.</w:t>
      </w:r>
      <w:r w:rsidRPr="00030E4F">
        <w:rPr>
          <w:u w:val="none"/>
        </w:rPr>
        <w:tab/>
      </w:r>
      <w:r>
        <w:rPr>
          <w:rFonts w:ascii="Times New Roman" w:hAnsi="Times New Roman"/>
          <w:sz w:val="24"/>
        </w:rPr>
        <w:t>Instruktioner för specifika positioner</w:t>
      </w:r>
      <w:bookmarkEnd w:id="733"/>
      <w:bookmarkEnd w:id="734"/>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Långa/korta bruttopositioner som betraktas som positioner i samma råvara i e</w:t>
            </w:r>
            <w:r>
              <w:rPr>
                <w:rFonts w:ascii="Times New Roman" w:hAnsi="Times New Roman"/>
                <w:sz w:val="24"/>
              </w:rPr>
              <w:t>n</w:t>
            </w:r>
            <w:r>
              <w:rPr>
                <w:rFonts w:ascii="Times New Roman" w:hAnsi="Times New Roman"/>
                <w:sz w:val="24"/>
              </w:rPr>
              <w:t>lighet med artikel 357.1 och 357.4 i CRR (se även artikel 359.1 i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I enlighet med artikel 357.3 i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4 i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Kapitalkravet för berörda positioner i enlighet med del tre avdelning IV kapitel 4 i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92.4 b i CRR. Produkten av kapitalbaskraven multiplicerade med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 I RÅVAROR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råvaror och respektive kapitalbaskrav för marknadsrisk i enlighet med artikel 92.3 c iii i CRR och del tre avdelning IV kapitel 4 i 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INDELADE I RÅVARUKATEGORIER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Vid rapporteringen indelas råvarorna i de fyra huvudgrupper av råvaror som anges i artikel 361 tabell 2 i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LÖPTIDSMETOD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löptidsmetoden i enlighet med artikel 359 i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UTÖKAD LÖPTIDSMETOD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den utökade löptidsmetoden i enlighet med artikel 361 i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FÖRENKLAD METOD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den förenklade metoden i enlighet med a</w:t>
            </w:r>
            <w:r>
              <w:rPr>
                <w:rFonts w:ascii="Times New Roman" w:hAnsi="Times New Roman"/>
                <w:sz w:val="24"/>
              </w:rPr>
              <w:t>r</w:t>
            </w:r>
            <w:r>
              <w:rPr>
                <w:rFonts w:ascii="Times New Roman" w:hAnsi="Times New Roman"/>
                <w:sz w:val="24"/>
              </w:rPr>
              <w:t xml:space="preserve">tikel 360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w:t>
            </w:r>
            <w:r>
              <w:rPr>
                <w:rStyle w:val="InstructionsTabelleberschrift"/>
                <w:rFonts w:ascii="Times New Roman" w:hAnsi="Times New Roman"/>
                <w:sz w:val="24"/>
              </w:rPr>
              <w:t>L</w:t>
            </w:r>
            <w:r>
              <w:rPr>
                <w:rStyle w:val="InstructionsTabelleberschrift"/>
                <w:rFonts w:ascii="Times New Roman" w:hAnsi="Times New Roman"/>
                <w:sz w:val="24"/>
              </w:rPr>
              <w:t>TARISKER)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358.4 i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1" w:name="_Toc262566438"/>
      <w:bookmarkStart w:id="742" w:name="_Toc295830014"/>
      <w:bookmarkStart w:id="743" w:name="_Toc308426691"/>
      <w:bookmarkStart w:id="744" w:name="_Toc310415075"/>
      <w:bookmarkStart w:id="745" w:name="_Toc360188410"/>
      <w:bookmarkStart w:id="746" w:name="_Toc516210701"/>
      <w:bookmarkStart w:id="747" w:name="_Toc473561050"/>
      <w:bookmarkStart w:id="748" w:name="_Toc523820322"/>
      <w:r>
        <w:rPr>
          <w:rFonts w:ascii="Times New Roman" w:hAnsi="Times New Roman"/>
          <w:sz w:val="24"/>
          <w:u w:val="none"/>
        </w:rPr>
        <w:t>5.7.</w:t>
      </w:r>
      <w:r w:rsidRPr="00030E4F">
        <w:rPr>
          <w:u w:val="none"/>
        </w:rPr>
        <w:tab/>
      </w:r>
      <w:r>
        <w:rPr>
          <w:rFonts w:ascii="Times New Roman" w:hAnsi="Times New Roman"/>
          <w:sz w:val="24"/>
        </w:rPr>
        <w:t>C 24.00 – Marknadsrisk interna modeller</w:t>
      </w:r>
      <w:bookmarkEnd w:id="741"/>
      <w:bookmarkEnd w:id="742"/>
      <w:bookmarkEnd w:id="743"/>
      <w:bookmarkEnd w:id="744"/>
      <w:bookmarkEnd w:id="745"/>
      <w:r>
        <w:rPr>
          <w:rFonts w:ascii="Times New Roman" w:hAnsi="Times New Roman"/>
          <w:sz w:val="24"/>
        </w:rPr>
        <w:t xml:space="preserve"> (MKR IM)</w:t>
      </w:r>
      <w:bookmarkEnd w:id="746"/>
      <w:bookmarkEnd w:id="747"/>
      <w:bookmarkEnd w:id="74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49" w:name="_Toc262566439"/>
      <w:bookmarkStart w:id="750" w:name="_Toc295830015"/>
      <w:bookmarkStart w:id="751" w:name="_Toc308426692"/>
      <w:bookmarkStart w:id="752" w:name="_Toc310415076"/>
      <w:bookmarkStart w:id="753" w:name="_Toc360188411"/>
      <w:bookmarkStart w:id="754" w:name="_Toc516210702"/>
      <w:bookmarkStart w:id="755" w:name="_Toc473561051"/>
      <w:bookmarkStart w:id="756" w:name="_Toc523820323"/>
      <w:r>
        <w:rPr>
          <w:rFonts w:ascii="Times New Roman" w:hAnsi="Times New Roman"/>
          <w:sz w:val="24"/>
          <w:u w:val="none"/>
        </w:rPr>
        <w:t>5.7.1.</w:t>
      </w:r>
      <w:r w:rsidRPr="00030E4F">
        <w:rPr>
          <w:u w:val="none"/>
        </w:rPr>
        <w:tab/>
      </w:r>
      <w:r>
        <w:rPr>
          <w:rFonts w:ascii="Times New Roman" w:hAnsi="Times New Roman"/>
          <w:sz w:val="24"/>
        </w:rPr>
        <w:t>Allmänna kommentarer</w:t>
      </w:r>
      <w:bookmarkEnd w:id="749"/>
      <w:bookmarkEnd w:id="750"/>
      <w:bookmarkEnd w:id="751"/>
      <w:bookmarkEnd w:id="752"/>
      <w:bookmarkEnd w:id="753"/>
      <w:bookmarkEnd w:id="754"/>
      <w:bookmarkEnd w:id="755"/>
      <w:bookmarkEnd w:id="756"/>
    </w:p>
    <w:p w:rsidR="000B0B09" w:rsidRPr="00392FFD" w:rsidRDefault="00125707" w:rsidP="001A3980">
      <w:pPr>
        <w:pStyle w:val="InstructionsText2"/>
        <w:numPr>
          <w:ilvl w:val="0"/>
          <w:numId w:val="0"/>
        </w:numPr>
        <w:ind w:left="993"/>
      </w:pPr>
      <w:r>
        <w:t>153.</w:t>
      </w:r>
      <w:r>
        <w:tab/>
        <w:t>Denna mall ger en uppdelning av Value at Risk (VaR) och stressjusterad Value at Risk (sVaR) enligt de olika marknadsriskerna (skuld-, aktie-, valutakurs- och r</w:t>
      </w:r>
      <w:r>
        <w:t>å</w:t>
      </w:r>
      <w:r>
        <w:t>varurisk) och annan information som är relevant för beräkningen av kapitalbaskrav.</w:t>
      </w:r>
    </w:p>
    <w:p w:rsidR="000B0B09" w:rsidRPr="00321A3B" w:rsidRDefault="00125707" w:rsidP="001A3980">
      <w:pPr>
        <w:pStyle w:val="InstructionsText2"/>
        <w:numPr>
          <w:ilvl w:val="0"/>
          <w:numId w:val="0"/>
        </w:numPr>
        <w:ind w:left="993"/>
      </w:pPr>
      <w:r>
        <w:lastRenderedPageBreak/>
        <w:t>154.</w:t>
      </w:r>
      <w:r>
        <w:tab/>
        <w:t>Generellt sett beror rapporteringen på hur institutens modeller är uppbyggda och om de rapporterar värden för generell och specifik risk separat eller tillsa</w:t>
      </w:r>
      <w:r>
        <w:t>m</w:t>
      </w:r>
      <w:r>
        <w:t xml:space="preserve">mans. Detsamma gäller indelningen av Value at Risk/stressjusterad Value at Risk i riskkategorier (ränterisk, aktierisk, råvarurisk och valutakursrisk). Ett institut kan avstå från att rapportera ovanstående indelning om det kan visa att rapporteringen av dessa värden skulle vara orimligt betungande.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7" w:name="_Toc262566440"/>
      <w:bookmarkStart w:id="758" w:name="_Toc295830016"/>
      <w:bookmarkStart w:id="759" w:name="_Toc308426693"/>
      <w:bookmarkStart w:id="760" w:name="_Toc310415077"/>
      <w:bookmarkStart w:id="761" w:name="_Toc360188412"/>
      <w:bookmarkStart w:id="762" w:name="_Toc516210703"/>
      <w:bookmarkStart w:id="763" w:name="_Toc473561052"/>
      <w:bookmarkStart w:id="764" w:name="_Toc523820324"/>
      <w:r>
        <w:rPr>
          <w:rFonts w:ascii="Times New Roman" w:hAnsi="Times New Roman"/>
          <w:sz w:val="24"/>
          <w:u w:val="none"/>
        </w:rPr>
        <w:t>5.7.2.</w:t>
      </w:r>
      <w:r w:rsidRPr="00B72AC4">
        <w:rPr>
          <w:u w:val="none"/>
        </w:rPr>
        <w:tab/>
      </w:r>
      <w:r>
        <w:rPr>
          <w:rFonts w:ascii="Times New Roman" w:hAnsi="Times New Roman"/>
          <w:sz w:val="24"/>
        </w:rPr>
        <w:t>Instruktioner för specifika positioner</w:t>
      </w:r>
      <w:bookmarkEnd w:id="757"/>
      <w:bookmarkEnd w:id="758"/>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Kolumn</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Value at Risk (VaR)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Den största potentiella förlust som skulle bli resultatet av en prisförändring med en viss sannolikhet och en given tidshorisont.</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genomsnittet av Value at Risk-värdena för föregående 60 affärsdagar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Artiklarna 364.1 a ii och 365.1 i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Risk-värde för föregående dag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364.1 a i och 365.1 i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Stressjusterat Value at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Den största potentiella förlust som skulle bli resultatet av en prisförändring med viss sannolikhet och med angiven tidshorisont, beräknad med indata som kalibrerats mot historiska uppgifter från en sammanhängande tolvmånadersp</w:t>
            </w:r>
            <w:r>
              <w:rPr>
                <w:rFonts w:ascii="Times New Roman" w:hAnsi="Times New Roman"/>
                <w:sz w:val="24"/>
              </w:rPr>
              <w:t>e</w:t>
            </w:r>
            <w:r>
              <w:rPr>
                <w:rFonts w:ascii="Times New Roman" w:hAnsi="Times New Roman"/>
                <w:sz w:val="24"/>
              </w:rPr>
              <w:t>riod med finansiell stress som är relevant för institutets portfölj.</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genomsnittet av de stressjusterade Value at Risk-värdena för föregående 60 affärsdagar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Artiklarna 364.1 b ii och 365.1 i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 tillgängliga stressjusterade Value at Risk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Artiklarna 364.1 b i och 365.1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FÖR TILLKOMMANDE FALLISSEMANGS- OCH MIGRATIONSRISKER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Den största potentiella förlust som skulle bli resultatet av en prisförändring med anknytning till obeståndsrisk och migrationsrisk beräknad i enlighet med artikel 364.2 b jämförd med del tre avdelning IV kapitel 5 avsnitt 4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Artikel 364.2 b ii jämförd med del tre avdelning IV kapitel 5 avsnitt 4 i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Senaste riskvärde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Artikel 364.2 b i jämförd med del tre avdelning IV kapitel 5 avsnitt 4 i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KAPITALKRAV FÖR SPECIFIK RISK FÖR KORRELA</w:t>
            </w:r>
            <w:r>
              <w:rPr>
                <w:rFonts w:ascii="Times New Roman" w:hAnsi="Times New Roman"/>
                <w:b/>
                <w:sz w:val="24"/>
                <w:u w:val="single"/>
              </w:rPr>
              <w:t>T</w:t>
            </w:r>
            <w:r>
              <w:rPr>
                <w:rFonts w:ascii="Times New Roman" w:hAnsi="Times New Roman"/>
                <w:b/>
                <w:sz w:val="24"/>
                <w:u w:val="single"/>
              </w:rPr>
              <w:t>IONSHANDELSPORTFÖLJ</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MINIMIGRÄNS</w:t>
            </w:r>
          </w:p>
          <w:p w:rsidR="000B0B09" w:rsidRPr="00392FFD" w:rsidRDefault="000B0B09" w:rsidP="000B0B09">
            <w:pPr>
              <w:rPr>
                <w:rFonts w:ascii="Times New Roman" w:hAnsi="Times New Roman"/>
                <w:sz w:val="24"/>
              </w:rPr>
            </w:pPr>
            <w:r>
              <w:rPr>
                <w:rFonts w:ascii="Times New Roman" w:hAnsi="Times New Roman"/>
                <w:sz w:val="24"/>
              </w:rPr>
              <w:t>Artikel 364.3 c i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av det kapitalkrav som skulle beräknas i enlighet med artikel 388.1 i CRR för samtliga positioner som omfattas av kapitalkrav för ”alla prisrisker”.</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 OCH SENASTE MÅTT</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Artikel 364.3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SENASTE MÅTT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Artikel 364.3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kapitalbaskrav som avses i artikel 364 i CRR för alla riskfaktorer med b</w:t>
            </w:r>
            <w:r>
              <w:rPr>
                <w:rFonts w:ascii="Times New Roman" w:hAnsi="Times New Roman"/>
                <w:sz w:val="24"/>
              </w:rPr>
              <w:t>e</w:t>
            </w:r>
            <w:r>
              <w:rPr>
                <w:rFonts w:ascii="Times New Roman" w:hAnsi="Times New Roman"/>
                <w:sz w:val="24"/>
              </w:rPr>
              <w:t>aktande av korrelationseffekter, i förekommande fall, plus obeståndsrisk och migrationsrisk samt alla prisrisker för korrelationshandelsportföljer, men e</w:t>
            </w:r>
            <w:r>
              <w:rPr>
                <w:rFonts w:ascii="Times New Roman" w:hAnsi="Times New Roman"/>
                <w:sz w:val="24"/>
              </w:rPr>
              <w:t>x</w:t>
            </w:r>
            <w:r>
              <w:rPr>
                <w:rFonts w:ascii="Times New Roman" w:hAnsi="Times New Roman"/>
                <w:sz w:val="24"/>
              </w:rPr>
              <w:t>klusive kapitalkrav för värdepapperisering och kreditderivat på n:te förfall i e</w:t>
            </w:r>
            <w:r>
              <w:rPr>
                <w:rFonts w:ascii="Times New Roman" w:hAnsi="Times New Roman"/>
                <w:sz w:val="24"/>
              </w:rPr>
              <w:t>n</w:t>
            </w:r>
            <w:r>
              <w:rPr>
                <w:rFonts w:ascii="Times New Roman" w:hAnsi="Times New Roman"/>
                <w:sz w:val="24"/>
              </w:rPr>
              <w:t xml:space="preserve">lighet med artikel 364.2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Artikel 92.4 b i CRR. Produkten av kapitalbaskraven multiplicerade med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Antal överskridanden (under de föregående 250 bankdagarna)</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enlighet med artikel 366 i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Antalet överskridanden som ligger till grund för bestämningen av addend ska rapporteras här.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för Value at Risk (mc) och multiplikationsfaktor för stressjusterad Value at Risk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I enlighet med artikel 366 i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ANTAGET KRAV FÖR MINIMIGRÄNSEN FÖR KORRELATION</w:t>
            </w:r>
            <w:r>
              <w:rPr>
                <w:rFonts w:ascii="Times New Roman" w:hAnsi="Times New Roman"/>
                <w:b/>
                <w:sz w:val="24"/>
                <w:u w:val="single"/>
              </w:rPr>
              <w:t>S</w:t>
            </w:r>
            <w:r>
              <w:rPr>
                <w:rFonts w:ascii="Times New Roman" w:hAnsi="Times New Roman"/>
                <w:b/>
                <w:sz w:val="24"/>
                <w:u w:val="single"/>
              </w:rPr>
              <w:t>HANDELSPORTFÖLJ – VIKTADE LÅNGA/KORTA NETTOPOSI</w:t>
            </w:r>
            <w:r>
              <w:rPr>
                <w:rFonts w:ascii="Times New Roman" w:hAnsi="Times New Roman"/>
                <w:b/>
                <w:sz w:val="24"/>
                <w:u w:val="single"/>
              </w:rPr>
              <w:t>T</w:t>
            </w:r>
            <w:r>
              <w:rPr>
                <w:rFonts w:ascii="Times New Roman" w:hAnsi="Times New Roman"/>
                <w:b/>
                <w:sz w:val="24"/>
                <w:u w:val="single"/>
              </w:rPr>
              <w:t>IONER EFTER TAKET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belopp som ska rapporteras och ligga till grund för beräkningen av golvk</w:t>
            </w:r>
            <w:r>
              <w:rPr>
                <w:rFonts w:ascii="Times New Roman" w:hAnsi="Times New Roman"/>
                <w:sz w:val="24"/>
              </w:rPr>
              <w:t>a</w:t>
            </w:r>
            <w:r>
              <w:rPr>
                <w:rFonts w:ascii="Times New Roman" w:hAnsi="Times New Roman"/>
                <w:sz w:val="24"/>
              </w:rPr>
              <w:t>pitalkraven för alla prisrisker i enlighet med artikel 364.3 c i CRR med bea</w:t>
            </w:r>
            <w:r>
              <w:rPr>
                <w:rFonts w:ascii="Times New Roman" w:hAnsi="Times New Roman"/>
                <w:sz w:val="24"/>
              </w:rPr>
              <w:t>k</w:t>
            </w:r>
            <w:r>
              <w:rPr>
                <w:rFonts w:ascii="Times New Roman" w:hAnsi="Times New Roman"/>
                <w:sz w:val="24"/>
              </w:rPr>
              <w:lastRenderedPageBreak/>
              <w:t>tande av valmöjligheten i artikel 335 i CRR, som innebär att institutet får sätta en övre gräns för produkten av riskvikt och nettoposition vid den största mö</w:t>
            </w:r>
            <w:r>
              <w:rPr>
                <w:rFonts w:ascii="Times New Roman" w:hAnsi="Times New Roman"/>
                <w:sz w:val="24"/>
              </w:rPr>
              <w:t>j</w:t>
            </w:r>
            <w:r>
              <w:rPr>
                <w:rFonts w:ascii="Times New Roman" w:hAnsi="Times New Roman"/>
                <w:sz w:val="24"/>
              </w:rPr>
              <w:t xml:space="preserve">liga förlusten vid obestånd.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 valutakursrisk och råvarurisk som avses i artikel 363.1 i CRR och som är kopplade till de riskfaktorer som anges i artikel 367.2 i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När det gäller kolumnerna 030–060 (VaR och stressjusterad VaR) är värdena i totalraden inte lika med uppdelningen av värden i VaR/stressjusterad VaR för de relevanta riskkomponenterna. Uppdelningen är alltså memorandumposter.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positionsrisken som avses i artikel 363.1 i CRR och som är kopplad till de ränteriskfaktorer som anges i artikel 367.2 i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GENERELL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Generell risk i enlighet med artikel 362 i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SPECIFIK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Specifik risk i enlighet med artikel 362 i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positionsrisken som avses i artikel 363.1 i CRR och som är kopplad till de aktieriskfaktorer som anges i artikel 367.2 i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GENERELL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Generell risk i enlighet med artikel 362 i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SPECIFIK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Specifik risk i enlighet med artikel 362 i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VALUTAKURSRISK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Artiklarna 363.1 och 367.2 i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RÅVARURISK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Artiklarna 363.1 och 367.2 i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GENERELL RISK</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Marknadsrisker som orsakas av allmän rörelse på marknaden för omsatta skul</w:t>
            </w:r>
            <w:r>
              <w:rPr>
                <w:rStyle w:val="InstructionsTabelleText"/>
                <w:rFonts w:ascii="Times New Roman" w:hAnsi="Times New Roman"/>
                <w:sz w:val="24"/>
              </w:rPr>
              <w:t>d</w:t>
            </w:r>
            <w:r>
              <w:rPr>
                <w:rStyle w:val="InstructionsTabelleText"/>
                <w:rFonts w:ascii="Times New Roman" w:hAnsi="Times New Roman"/>
                <w:sz w:val="24"/>
              </w:rPr>
              <w:t>instrument, aktier, utländsk valuta och råvaror. Value at Risk för generell risk avseende alla riskfaktorer (med beaktande av korrelationseffekter i föreko</w:t>
            </w:r>
            <w:r>
              <w:rPr>
                <w:rStyle w:val="InstructionsTabelleText"/>
                <w:rFonts w:ascii="Times New Roman" w:hAnsi="Times New Roman"/>
                <w:sz w:val="24"/>
              </w:rPr>
              <w:t>m</w:t>
            </w:r>
            <w:r>
              <w:rPr>
                <w:rStyle w:val="InstructionsTabelleText"/>
                <w:rFonts w:ascii="Times New Roman" w:hAnsi="Times New Roman"/>
                <w:sz w:val="24"/>
              </w:rPr>
              <w:t xml:space="preserve">mande fall).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SPECIFIK RISK</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Den specifika riskkomponenten för omsatta skuldinstrument och aktier. Value at Risk för den specifika risken avseende aktier och omsatta skuldinstrument i handelslagret (med beaktande av korrelationseffekter i förekommande fall).</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5" w:name="_Toc360188413"/>
      <w:bookmarkStart w:id="766" w:name="_Toc516210704"/>
      <w:bookmarkStart w:id="767" w:name="_Toc473561053"/>
      <w:bookmarkStart w:id="768" w:name="_Toc523820325"/>
      <w:r>
        <w:rPr>
          <w:rFonts w:ascii="Times New Roman" w:hAnsi="Times New Roman"/>
          <w:sz w:val="24"/>
          <w:u w:val="none"/>
        </w:rPr>
        <w:t>5.8.</w:t>
      </w:r>
      <w:r w:rsidRPr="00B72AC4">
        <w:rPr>
          <w:u w:val="none"/>
        </w:rPr>
        <w:tab/>
      </w:r>
      <w:r>
        <w:rPr>
          <w:rFonts w:ascii="Times New Roman" w:hAnsi="Times New Roman"/>
          <w:sz w:val="24"/>
        </w:rPr>
        <w:t>C 25.00 – KREDITVÄRDIGHETSJUSTERINGSRISK</w:t>
      </w:r>
      <w:bookmarkEnd w:id="765"/>
      <w:r>
        <w:rPr>
          <w:rFonts w:ascii="Times New Roman" w:hAnsi="Times New Roman"/>
          <w:sz w:val="24"/>
        </w:rPr>
        <w:t xml:space="preserve"> (CVA)</w:t>
      </w:r>
      <w:bookmarkEnd w:id="766"/>
      <w:bookmarkEnd w:id="767"/>
      <w:bookmarkEnd w:id="76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9" w:name="_Toc360188414"/>
      <w:bookmarkStart w:id="770" w:name="_Toc516210705"/>
      <w:bookmarkStart w:id="771" w:name="_Toc473561054"/>
      <w:bookmarkStart w:id="772" w:name="_Toc523820326"/>
      <w:bookmarkStart w:id="773" w:name="_Toc310008820"/>
      <w:r>
        <w:rPr>
          <w:rFonts w:ascii="Times New Roman" w:hAnsi="Times New Roman"/>
          <w:sz w:val="24"/>
          <w:u w:val="none"/>
        </w:rPr>
        <w:t>5.8.1.</w:t>
      </w:r>
      <w:r w:rsidRPr="00B72AC4">
        <w:rPr>
          <w:u w:val="none"/>
        </w:rPr>
        <w:tab/>
      </w:r>
      <w:r>
        <w:rPr>
          <w:rFonts w:ascii="Times New Roman" w:hAnsi="Times New Roman"/>
          <w:sz w:val="24"/>
        </w:rPr>
        <w:t>Instruktioner för specifika positioner</w:t>
      </w:r>
      <w:bookmarkEnd w:id="769"/>
      <w:bookmarkEnd w:id="770"/>
      <w:bookmarkEnd w:id="771"/>
      <w:bookmarkEnd w:id="7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Kolumn</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Exponeringsvärde </w:t>
            </w:r>
          </w:p>
          <w:p w:rsidR="000B0B09" w:rsidRPr="00392FFD" w:rsidRDefault="000B0B09" w:rsidP="000B0B09">
            <w:pPr>
              <w:rPr>
                <w:rFonts w:ascii="Times New Roman" w:hAnsi="Times New Roman"/>
                <w:sz w:val="24"/>
              </w:rPr>
            </w:pPr>
            <w:r>
              <w:rPr>
                <w:rFonts w:ascii="Times New Roman" w:hAnsi="Times New Roman"/>
                <w:sz w:val="24"/>
              </w:rPr>
              <w:t>Artikel 271 i CRR i enlighet med artikel 382 i CRR.</w:t>
            </w:r>
          </w:p>
          <w:p w:rsidR="000B0B09" w:rsidRPr="00392FFD" w:rsidRDefault="000B0B09" w:rsidP="000B0B09">
            <w:pPr>
              <w:rPr>
                <w:rFonts w:ascii="Times New Roman" w:hAnsi="Times New Roman"/>
                <w:sz w:val="24"/>
              </w:rPr>
            </w:pPr>
            <w:r>
              <w:rPr>
                <w:rFonts w:ascii="Times New Roman" w:hAnsi="Times New Roman"/>
                <w:sz w:val="24"/>
              </w:rPr>
              <w:t>Totala fallerade exponeringar av alla transaktioner som är föremål för kreditvä</w:t>
            </w:r>
            <w:r>
              <w:rPr>
                <w:rFonts w:ascii="Times New Roman" w:hAnsi="Times New Roman"/>
                <w:sz w:val="24"/>
              </w:rPr>
              <w:t>r</w:t>
            </w:r>
            <w:r>
              <w:rPr>
                <w:rFonts w:ascii="Times New Roman" w:hAnsi="Times New Roman"/>
                <w:sz w:val="24"/>
              </w:rPr>
              <w:t xml:space="preserve">dighetsjusteringskravet.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Varav: OTC derivat </w:t>
            </w:r>
          </w:p>
          <w:p w:rsidR="000B0B09" w:rsidRPr="00392FFD" w:rsidRDefault="000B0B09" w:rsidP="000B0B09">
            <w:pPr>
              <w:rPr>
                <w:rFonts w:ascii="Times New Roman" w:hAnsi="Times New Roman"/>
                <w:sz w:val="24"/>
              </w:rPr>
            </w:pPr>
            <w:r>
              <w:rPr>
                <w:rFonts w:ascii="Times New Roman" w:hAnsi="Times New Roman"/>
                <w:sz w:val="24"/>
              </w:rPr>
              <w:t>Artikel 271 i CRR i enlighet med artikel 382.1 i CRR.</w:t>
            </w:r>
          </w:p>
          <w:p w:rsidR="000B0B09" w:rsidRPr="00392FFD" w:rsidRDefault="000B0B09" w:rsidP="000B0B09">
            <w:pPr>
              <w:rPr>
                <w:rFonts w:ascii="Times New Roman" w:hAnsi="Times New Roman"/>
                <w:sz w:val="24"/>
              </w:rPr>
            </w:pPr>
            <w:r>
              <w:rPr>
                <w:rFonts w:ascii="Times New Roman" w:hAnsi="Times New Roman"/>
                <w:sz w:val="24"/>
              </w:rPr>
              <w:t>Den del av den totala motpartsriskexponeringen som enbart härrör från OTC-derivat. Denna information behöver inte rapporteras av institut som tillämpar i</w:t>
            </w:r>
            <w:r>
              <w:rPr>
                <w:rFonts w:ascii="Times New Roman" w:hAnsi="Times New Roman"/>
                <w:sz w:val="24"/>
              </w:rPr>
              <w:t>n</w:t>
            </w:r>
            <w:r>
              <w:rPr>
                <w:rFonts w:ascii="Times New Roman" w:hAnsi="Times New Roman"/>
                <w:sz w:val="24"/>
              </w:rPr>
              <w:t>terna modeller och innehar OTC-derivat och transaktioner för värdepapperis</w:t>
            </w:r>
            <w:r>
              <w:rPr>
                <w:rFonts w:ascii="Times New Roman" w:hAnsi="Times New Roman"/>
                <w:sz w:val="24"/>
              </w:rPr>
              <w:t>e</w:t>
            </w:r>
            <w:r>
              <w:rPr>
                <w:rFonts w:ascii="Times New Roman" w:hAnsi="Times New Roman"/>
                <w:sz w:val="24"/>
              </w:rPr>
              <w:t>ring inom samma nettningsmängd.</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Varav: SFT </w:t>
            </w:r>
          </w:p>
          <w:p w:rsidR="000B0B09" w:rsidRPr="00392FFD" w:rsidRDefault="000B0B09" w:rsidP="000B0B09">
            <w:pPr>
              <w:rPr>
                <w:rFonts w:ascii="Times New Roman" w:hAnsi="Times New Roman"/>
                <w:sz w:val="24"/>
              </w:rPr>
            </w:pPr>
            <w:r>
              <w:rPr>
                <w:rFonts w:ascii="Times New Roman" w:hAnsi="Times New Roman"/>
                <w:sz w:val="24"/>
              </w:rPr>
              <w:t>Artikel 271 i CRR i enlighet med artikel 382.2 i CRR.</w:t>
            </w:r>
          </w:p>
          <w:p w:rsidR="000B0B09" w:rsidRPr="00392FFD" w:rsidRDefault="000B0B09" w:rsidP="000B0B09">
            <w:pPr>
              <w:rPr>
                <w:rFonts w:ascii="Times New Roman" w:hAnsi="Times New Roman"/>
                <w:sz w:val="24"/>
              </w:rPr>
            </w:pPr>
            <w:r>
              <w:rPr>
                <w:rFonts w:ascii="Times New Roman" w:hAnsi="Times New Roman"/>
                <w:sz w:val="24"/>
              </w:rPr>
              <w:t>Den del av den totala motpartsriskexponeringen som enbart härrör från transak</w:t>
            </w:r>
            <w:r>
              <w:rPr>
                <w:rFonts w:ascii="Times New Roman" w:hAnsi="Times New Roman"/>
                <w:sz w:val="24"/>
              </w:rPr>
              <w:t>t</w:t>
            </w:r>
            <w:r>
              <w:rPr>
                <w:rFonts w:ascii="Times New Roman" w:hAnsi="Times New Roman"/>
                <w:sz w:val="24"/>
              </w:rPr>
              <w:t>ioner för värdepapperisering. Denna information behöver inte rapporteras av i</w:t>
            </w:r>
            <w:r>
              <w:rPr>
                <w:rFonts w:ascii="Times New Roman" w:hAnsi="Times New Roman"/>
                <w:sz w:val="24"/>
              </w:rPr>
              <w:t>n</w:t>
            </w:r>
            <w:r>
              <w:rPr>
                <w:rFonts w:ascii="Times New Roman" w:hAnsi="Times New Roman"/>
                <w:sz w:val="24"/>
              </w:rPr>
              <w:t>stitut som tillämpar interna modeller och innehar OTC-derivat och transaktioner för värdepapperisering inom samma nettningsmängd.</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MULTIPLIKATIONSFAKTOR (mc) x GENOMSNITT FÖR FÖREG</w:t>
            </w:r>
            <w:r>
              <w:rPr>
                <w:rFonts w:ascii="Times New Roman" w:hAnsi="Times New Roman"/>
                <w:b/>
                <w:sz w:val="24"/>
                <w:u w:val="single"/>
              </w:rPr>
              <w:t>Å</w:t>
            </w:r>
            <w:r>
              <w:rPr>
                <w:rFonts w:ascii="Times New Roman" w:hAnsi="Times New Roman"/>
                <w:b/>
                <w:sz w:val="24"/>
                <w:u w:val="single"/>
              </w:rPr>
              <w:t>ENDE 60 ARBETSDAGAR (VaRavg)</w:t>
            </w:r>
          </w:p>
          <w:p w:rsidR="000B0B09" w:rsidRPr="00392FFD" w:rsidRDefault="000B0B09" w:rsidP="000B0B09">
            <w:pPr>
              <w:rPr>
                <w:rFonts w:ascii="Times New Roman" w:hAnsi="Times New Roman"/>
                <w:sz w:val="24"/>
              </w:rPr>
            </w:pPr>
            <w:r>
              <w:rPr>
                <w:rFonts w:ascii="Times New Roman" w:hAnsi="Times New Roman"/>
                <w:sz w:val="24"/>
              </w:rPr>
              <w:t>Artikel 383 i CRR i enlighet med artikel 363.1 d i CRR.</w:t>
            </w:r>
          </w:p>
          <w:p w:rsidR="000B0B09" w:rsidRPr="00392FFD" w:rsidRDefault="000B0B09" w:rsidP="000B0B09">
            <w:pPr>
              <w:rPr>
                <w:rFonts w:ascii="Times New Roman" w:hAnsi="Times New Roman"/>
                <w:sz w:val="24"/>
              </w:rPr>
            </w:pPr>
            <w:r>
              <w:rPr>
                <w:rFonts w:ascii="Times New Roman" w:hAnsi="Times New Roman"/>
                <w:sz w:val="24"/>
              </w:rPr>
              <w:t xml:space="preserve">Value at Risk beräknat utifrån interna modeller för marknadsrisk.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FÖREGÅENDE DAG (VaRt-1)</w:t>
            </w:r>
          </w:p>
          <w:p w:rsidR="000B0B09" w:rsidRPr="00392FFD" w:rsidRDefault="000B0B09" w:rsidP="000B0B09">
            <w:pPr>
              <w:rPr>
                <w:rFonts w:ascii="Times New Roman" w:hAnsi="Times New Roman"/>
                <w:sz w:val="24"/>
              </w:rPr>
            </w:pPr>
            <w:r>
              <w:rPr>
                <w:rFonts w:ascii="Times New Roman" w:hAnsi="Times New Roman"/>
                <w:sz w:val="24"/>
              </w:rPr>
              <w:t>Se instruktionerna till kolumn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MULTIPLIKATIONS-FAKTOR (ms) x GENOMSNITT FÖR FÖREG</w:t>
            </w:r>
            <w:r>
              <w:rPr>
                <w:rFonts w:ascii="Times New Roman" w:hAnsi="Times New Roman"/>
                <w:b/>
                <w:sz w:val="24"/>
                <w:u w:val="single"/>
              </w:rPr>
              <w:t>Å</w:t>
            </w:r>
            <w:r>
              <w:rPr>
                <w:rFonts w:ascii="Times New Roman" w:hAnsi="Times New Roman"/>
                <w:b/>
                <w:sz w:val="24"/>
                <w:u w:val="single"/>
              </w:rPr>
              <w:t>ENDE 60 ARBETSDAGAR (SVaRavg)</w:t>
            </w:r>
          </w:p>
          <w:p w:rsidR="000B0B09" w:rsidRPr="00392FFD" w:rsidRDefault="000B0B09" w:rsidP="000B0B09">
            <w:pPr>
              <w:rPr>
                <w:rFonts w:ascii="Times New Roman" w:hAnsi="Times New Roman"/>
                <w:sz w:val="24"/>
              </w:rPr>
            </w:pPr>
            <w:r>
              <w:rPr>
                <w:rFonts w:ascii="Times New Roman" w:hAnsi="Times New Roman"/>
                <w:sz w:val="24"/>
              </w:rPr>
              <w:t>Se instruktionerna till kolumn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SENAST TILLGÄNGLIG (SVaRt-1)</w:t>
            </w:r>
          </w:p>
          <w:p w:rsidR="000B0B09" w:rsidRPr="00392FFD" w:rsidRDefault="000B0B09" w:rsidP="000B0B09">
            <w:pPr>
              <w:rPr>
                <w:rFonts w:ascii="Times New Roman" w:hAnsi="Times New Roman"/>
                <w:b/>
                <w:sz w:val="24"/>
                <w:u w:val="single"/>
              </w:rPr>
            </w:pPr>
            <w:r>
              <w:rPr>
                <w:rFonts w:ascii="Times New Roman" w:hAnsi="Times New Roman"/>
                <w:sz w:val="24"/>
              </w:rPr>
              <w:lastRenderedPageBreak/>
              <w:t>Se instruktionerna till kolumn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KAPITALBASKRAV</w:t>
            </w:r>
          </w:p>
          <w:p w:rsidR="000B0B09" w:rsidRPr="00392FFD" w:rsidRDefault="000B0B09" w:rsidP="000B0B09">
            <w:pPr>
              <w:rPr>
                <w:rFonts w:ascii="Times New Roman" w:hAnsi="Times New Roman"/>
                <w:sz w:val="24"/>
              </w:rPr>
            </w:pPr>
            <w:r>
              <w:rPr>
                <w:rFonts w:ascii="Times New Roman" w:hAnsi="Times New Roman"/>
                <w:sz w:val="24"/>
              </w:rPr>
              <w:t>Artikel 92.3 d i CRR.</w:t>
            </w:r>
          </w:p>
          <w:p w:rsidR="000B0B09" w:rsidRPr="00392FFD" w:rsidRDefault="000B0B09" w:rsidP="000B0B09">
            <w:pPr>
              <w:rPr>
                <w:rFonts w:ascii="Times New Roman" w:hAnsi="Times New Roman"/>
                <w:sz w:val="24"/>
              </w:rPr>
            </w:pPr>
            <w:r>
              <w:rPr>
                <w:rFonts w:ascii="Times New Roman" w:hAnsi="Times New Roman"/>
                <w:sz w:val="24"/>
              </w:rPr>
              <w:t>Kapitalbaskrav för kreditvärdighetsjusteringsrisk beräknad med den valda met</w:t>
            </w:r>
            <w:r>
              <w:rPr>
                <w:rFonts w:ascii="Times New Roman" w:hAnsi="Times New Roman"/>
                <w:sz w:val="24"/>
              </w:rPr>
              <w:t>o</w:t>
            </w:r>
            <w:r>
              <w:rPr>
                <w:rFonts w:ascii="Times New Roman" w:hAnsi="Times New Roman"/>
                <w:sz w:val="24"/>
              </w:rPr>
              <w:t xml:space="preserve">den.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TOTALT RISKVÄGT EXPONERINGSBELOPP</w:t>
            </w:r>
          </w:p>
          <w:p w:rsidR="000B0B09" w:rsidRPr="00392FFD" w:rsidRDefault="000B0B09" w:rsidP="000B0B09">
            <w:pPr>
              <w:rPr>
                <w:rFonts w:ascii="Times New Roman" w:hAnsi="Times New Roman"/>
                <w:sz w:val="24"/>
              </w:rPr>
            </w:pPr>
            <w:r>
              <w:rPr>
                <w:rFonts w:ascii="Times New Roman" w:hAnsi="Times New Roman"/>
                <w:sz w:val="24"/>
              </w:rPr>
              <w:t>Artikel 92.4 b i CRR.</w:t>
            </w:r>
          </w:p>
          <w:p w:rsidR="000B0B09" w:rsidRPr="00392FFD" w:rsidRDefault="000B0B09" w:rsidP="000B0B09">
            <w:pPr>
              <w:rPr>
                <w:rFonts w:ascii="Times New Roman" w:hAnsi="Times New Roman"/>
                <w:sz w:val="24"/>
              </w:rPr>
            </w:pPr>
            <w:r>
              <w:rPr>
                <w:rFonts w:ascii="Times New Roman" w:hAnsi="Times New Roman"/>
                <w:sz w:val="24"/>
              </w:rPr>
              <w:t>Kapitalbaskraven multiplicerade med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Antal motparter</w:t>
            </w:r>
          </w:p>
          <w:p w:rsidR="000B0B09" w:rsidRPr="00392FFD" w:rsidRDefault="000B0B09" w:rsidP="000B0B09">
            <w:pPr>
              <w:rPr>
                <w:rFonts w:ascii="Times New Roman" w:hAnsi="Times New Roman"/>
                <w:sz w:val="24"/>
              </w:rPr>
            </w:pPr>
            <w:r>
              <w:rPr>
                <w:rFonts w:ascii="Times New Roman" w:hAnsi="Times New Roman"/>
                <w:sz w:val="24"/>
              </w:rPr>
              <w:t>Artikel 382 i CRR.</w:t>
            </w:r>
          </w:p>
          <w:p w:rsidR="000B0B09" w:rsidRPr="00392FFD" w:rsidRDefault="000B0B09" w:rsidP="000B0B09">
            <w:pPr>
              <w:rPr>
                <w:rFonts w:ascii="Times New Roman" w:hAnsi="Times New Roman"/>
                <w:sz w:val="24"/>
              </w:rPr>
            </w:pPr>
            <w:r>
              <w:rPr>
                <w:rFonts w:ascii="Times New Roman" w:hAnsi="Times New Roman"/>
                <w:sz w:val="24"/>
              </w:rPr>
              <w:t>Antal motparter som ingår i beräkningen av kapitalbasen för kreditvärdighetsj</w:t>
            </w:r>
            <w:r>
              <w:rPr>
                <w:rFonts w:ascii="Times New Roman" w:hAnsi="Times New Roman"/>
                <w:sz w:val="24"/>
              </w:rPr>
              <w:t>u</w:t>
            </w:r>
            <w:r>
              <w:rPr>
                <w:rFonts w:ascii="Times New Roman" w:hAnsi="Times New Roman"/>
                <w:sz w:val="24"/>
              </w:rPr>
              <w:t>steringsrisk.</w:t>
            </w:r>
          </w:p>
          <w:p w:rsidR="000B0B09" w:rsidRPr="00392FFD" w:rsidRDefault="000B0B09" w:rsidP="000B0B09">
            <w:pPr>
              <w:rPr>
                <w:rFonts w:ascii="Times New Roman" w:hAnsi="Times New Roman"/>
                <w:sz w:val="24"/>
              </w:rPr>
            </w:pPr>
            <w:r>
              <w:rPr>
                <w:rFonts w:ascii="Times New Roman" w:hAnsi="Times New Roman"/>
                <w:sz w:val="24"/>
              </w:rPr>
              <w:t xml:space="preserve">Motparterna är en undergrupp av gäldenärer. De existerar bara i samband med derivattransaktioner eller transaktioner för värdepapperisering, där de helt enkelt utgör den andra avtalsparten.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Varav: proxyvariabel användes för att fastställa kreditspread</w:t>
            </w:r>
          </w:p>
          <w:p w:rsidR="000B0B09" w:rsidRPr="00321A3B" w:rsidRDefault="000B0B09" w:rsidP="000B0B09">
            <w:pPr>
              <w:rPr>
                <w:rFonts w:ascii="Times New Roman" w:hAnsi="Times New Roman"/>
                <w:sz w:val="24"/>
              </w:rPr>
            </w:pPr>
            <w:r>
              <w:rPr>
                <w:rFonts w:ascii="Times New Roman" w:hAnsi="Times New Roman"/>
                <w:sz w:val="24"/>
              </w:rPr>
              <w:t>Antal motparter för vilka kreditspreaden har fastställts genom skattning i stället för genom direkt observerade marknadsuppgifter.</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UPPKOMMEN KREDITVÄRDIGHETSJUSTERING</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Avsättningar i bokföringen på grund av sänkt kreditvärdighet hos motparter för derivat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KREDITSWAPPAR SOM REFERERAR TILL ETT ENDA NAMN</w:t>
            </w:r>
          </w:p>
          <w:p w:rsidR="000B0B09" w:rsidRPr="00392FFD" w:rsidRDefault="000B0B09" w:rsidP="000B0B09">
            <w:pPr>
              <w:rPr>
                <w:rFonts w:ascii="Times New Roman" w:hAnsi="Times New Roman"/>
                <w:sz w:val="24"/>
              </w:rPr>
            </w:pPr>
            <w:r>
              <w:rPr>
                <w:rFonts w:ascii="Times New Roman" w:hAnsi="Times New Roman"/>
                <w:sz w:val="24"/>
              </w:rPr>
              <w:t xml:space="preserve">Artikel 386.1 a i CRR. </w:t>
            </w:r>
          </w:p>
          <w:p w:rsidR="000B0B09" w:rsidRPr="00392FFD" w:rsidRDefault="000B0B09" w:rsidP="000B0B09">
            <w:pPr>
              <w:rPr>
                <w:rFonts w:ascii="Times New Roman" w:hAnsi="Times New Roman"/>
                <w:sz w:val="24"/>
              </w:rPr>
            </w:pPr>
            <w:r>
              <w:rPr>
                <w:rFonts w:ascii="Times New Roman" w:hAnsi="Times New Roman"/>
                <w:sz w:val="24"/>
              </w:rPr>
              <w:t xml:space="preserve">Totalt teoretiskt belopp för kreditswappar som refererar till ett enda namn och som används som säkring för kreditvärdighetsjusteringsrisken.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INDEXERADE KREDITSWAPPAR</w:t>
            </w:r>
          </w:p>
          <w:p w:rsidR="000B0B09" w:rsidRPr="00321A3B" w:rsidRDefault="000B0B09" w:rsidP="000B0B09">
            <w:pPr>
              <w:rPr>
                <w:rFonts w:ascii="Times New Roman" w:hAnsi="Times New Roman"/>
                <w:sz w:val="24"/>
              </w:rPr>
            </w:pPr>
            <w:r>
              <w:rPr>
                <w:rFonts w:ascii="Times New Roman" w:hAnsi="Times New Roman"/>
                <w:sz w:val="24"/>
              </w:rPr>
              <w:t>Artikel 386.1 b i CRR.</w:t>
            </w:r>
          </w:p>
          <w:p w:rsidR="000B0B09" w:rsidRPr="00392FFD" w:rsidRDefault="000B0B09" w:rsidP="000B0B09">
            <w:pPr>
              <w:rPr>
                <w:rFonts w:ascii="Times New Roman" w:hAnsi="Times New Roman"/>
                <w:b/>
                <w:sz w:val="24"/>
                <w:u w:val="single"/>
              </w:rPr>
            </w:pPr>
            <w:r>
              <w:rPr>
                <w:rFonts w:ascii="Times New Roman" w:hAnsi="Times New Roman"/>
                <w:sz w:val="24"/>
              </w:rPr>
              <w:t xml:space="preserve">Totalt teoretiskt belopp för indexerade kreditswappar som används som säkring för kreditvärdighetsjusteringsrisken.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Rad</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Kreditvärdighetsjusteringsrisk, totalt</w:t>
            </w:r>
          </w:p>
          <w:p w:rsidR="000B0B09" w:rsidRPr="00392FFD" w:rsidRDefault="000B0B09" w:rsidP="000B0B09">
            <w:pPr>
              <w:rPr>
                <w:rFonts w:ascii="Times New Roman" w:hAnsi="Times New Roman"/>
                <w:bCs/>
                <w:sz w:val="24"/>
              </w:rPr>
            </w:pPr>
            <w:r>
              <w:rPr>
                <w:rFonts w:ascii="Times New Roman" w:hAnsi="Times New Roman"/>
                <w:sz w:val="24"/>
              </w:rPr>
              <w:t>Summan av raderna 020–040, beroende på vad som är tillämpligt.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Enligt avancerad metod</w:t>
            </w:r>
          </w:p>
          <w:p w:rsidR="000B0B09" w:rsidRPr="00392FFD" w:rsidRDefault="000B0B09" w:rsidP="000B0B09">
            <w:pPr>
              <w:rPr>
                <w:rFonts w:ascii="Times New Roman" w:hAnsi="Times New Roman"/>
                <w:bCs/>
                <w:sz w:val="24"/>
              </w:rPr>
            </w:pPr>
            <w:r>
              <w:rPr>
                <w:rFonts w:ascii="Times New Roman" w:hAnsi="Times New Roman"/>
                <w:sz w:val="24"/>
              </w:rPr>
              <w:t>Tillämpning av avancerad metod avseende kreditvärdighetsjusteringsrisk i e</w:t>
            </w:r>
            <w:r>
              <w:rPr>
                <w:rFonts w:ascii="Times New Roman" w:hAnsi="Times New Roman"/>
                <w:sz w:val="24"/>
              </w:rPr>
              <w:t>n</w:t>
            </w:r>
            <w:r>
              <w:rPr>
                <w:rFonts w:ascii="Times New Roman" w:hAnsi="Times New Roman"/>
                <w:sz w:val="24"/>
              </w:rPr>
              <w:t xml:space="preserve">lighet med artikel 383 i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Enligt standardiserad metod</w:t>
            </w:r>
          </w:p>
          <w:p w:rsidR="000B0B09" w:rsidRPr="00392FFD" w:rsidRDefault="000B0B09" w:rsidP="000B0B09">
            <w:pPr>
              <w:rPr>
                <w:rFonts w:ascii="Times New Roman" w:hAnsi="Times New Roman"/>
                <w:bCs/>
                <w:sz w:val="24"/>
              </w:rPr>
            </w:pPr>
            <w:r>
              <w:rPr>
                <w:rFonts w:ascii="Times New Roman" w:hAnsi="Times New Roman"/>
                <w:sz w:val="24"/>
              </w:rPr>
              <w:t>Tillämpning av schablonmetoden avseende kreditvärdighetsjusteringsrisk i e</w:t>
            </w:r>
            <w:r>
              <w:rPr>
                <w:rFonts w:ascii="Times New Roman" w:hAnsi="Times New Roman"/>
                <w:sz w:val="24"/>
              </w:rPr>
              <w:t>n</w:t>
            </w:r>
            <w:r>
              <w:rPr>
                <w:rFonts w:ascii="Times New Roman" w:hAnsi="Times New Roman"/>
                <w:sz w:val="24"/>
              </w:rPr>
              <w:t xml:space="preserve">lighet med artikel 384 i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Baserad på OEM</w:t>
            </w:r>
          </w:p>
          <w:p w:rsidR="000B0B09" w:rsidRPr="00392FFD" w:rsidRDefault="000B0B09" w:rsidP="00E871FE">
            <w:pPr>
              <w:rPr>
                <w:rFonts w:ascii="Times New Roman" w:hAnsi="Times New Roman"/>
                <w:bCs/>
                <w:sz w:val="24"/>
              </w:rPr>
            </w:pPr>
            <w:r>
              <w:rPr>
                <w:rFonts w:ascii="Times New Roman" w:hAnsi="Times New Roman"/>
                <w:sz w:val="24"/>
              </w:rPr>
              <w:t>Belopp som beräknas i enlighet med artikel 385 i CRR.</w:t>
            </w:r>
          </w:p>
        </w:tc>
      </w:tr>
      <w:bookmarkEnd w:id="773"/>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4" w:name="_Toc516210706"/>
      <w:bookmarkStart w:id="775" w:name="_Toc523820327"/>
      <w:r>
        <w:rPr>
          <w:rFonts w:ascii="Times New Roman" w:hAnsi="Times New Roman"/>
          <w:sz w:val="24"/>
          <w:u w:val="none"/>
        </w:rPr>
        <w:t>6.</w:t>
      </w:r>
      <w:r w:rsidRPr="00B72AC4">
        <w:rPr>
          <w:u w:val="none"/>
        </w:rPr>
        <w:tab/>
      </w:r>
      <w:r>
        <w:rPr>
          <w:rFonts w:ascii="Times New Roman" w:hAnsi="Times New Roman"/>
          <w:sz w:val="24"/>
        </w:rPr>
        <w:t>Försiktig värdering (PruVal)</w:t>
      </w:r>
      <w:bookmarkEnd w:id="774"/>
      <w:bookmarkEnd w:id="775"/>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6" w:name="_Toc516210707"/>
      <w:bookmarkStart w:id="777" w:name="_Toc523820328"/>
      <w:r>
        <w:rPr>
          <w:rFonts w:ascii="Times New Roman" w:hAnsi="Times New Roman"/>
          <w:sz w:val="24"/>
          <w:u w:val="none"/>
        </w:rPr>
        <w:t>6.1.</w:t>
      </w:r>
      <w:r w:rsidRPr="00B72AC4">
        <w:rPr>
          <w:u w:val="none"/>
        </w:rPr>
        <w:tab/>
      </w:r>
      <w:r>
        <w:rPr>
          <w:rFonts w:ascii="Times New Roman" w:hAnsi="Times New Roman"/>
          <w:sz w:val="24"/>
        </w:rPr>
        <w:t>C 32.01 - Försiktig värdering: Tillgångar och skulder redovisade till verkligt värde (PruVal 1)</w:t>
      </w:r>
      <w:bookmarkEnd w:id="776"/>
      <w:bookmarkEnd w:id="777"/>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8" w:name="_Toc516210708"/>
      <w:bookmarkStart w:id="779" w:name="_Toc523820329"/>
      <w:r>
        <w:rPr>
          <w:rFonts w:ascii="Times New Roman" w:hAnsi="Times New Roman"/>
          <w:sz w:val="24"/>
          <w:u w:val="none"/>
        </w:rPr>
        <w:t>6.1.1.</w:t>
      </w:r>
      <w:r w:rsidRPr="00B72AC4">
        <w:rPr>
          <w:u w:val="none"/>
        </w:rPr>
        <w:tab/>
      </w:r>
      <w:r>
        <w:rPr>
          <w:rFonts w:ascii="Times New Roman" w:hAnsi="Times New Roman"/>
          <w:sz w:val="24"/>
        </w:rPr>
        <w:t>Allmänna kommentarer</w:t>
      </w:r>
      <w:bookmarkEnd w:id="778"/>
      <w:bookmarkEnd w:id="779"/>
      <w:r>
        <w:rPr>
          <w:rFonts w:ascii="Times New Roman" w:hAnsi="Times New Roman"/>
          <w:sz w:val="24"/>
          <w:u w:val="none"/>
        </w:rPr>
        <w:t xml:space="preserve"> </w:t>
      </w:r>
    </w:p>
    <w:p w:rsidR="00B93FA1" w:rsidRDefault="00995A7F" w:rsidP="001A3980">
      <w:pPr>
        <w:pStyle w:val="InstructionsText2"/>
        <w:numPr>
          <w:ilvl w:val="0"/>
          <w:numId w:val="0"/>
        </w:numPr>
        <w:ind w:left="993"/>
      </w:pPr>
      <w:r>
        <w:t>154a. Denna mall ska fyllas i av alla institut oberoende av om de har antagit den förenklade metoden för bestämning av ytterligare värdejusteringar (AVA) eller inte. I mallen anges det absoluta värdet på tillgångar och skulder värderade till verkligt värde, som används för att avgöra om villkoren i artikel 4 i delegerad förordning (EU) 2016/101 om försiktig värdering är uppfyllda, vilket krävs för användande av den förenklade metoden för att beräkna ytterligare värdejusteringar (AVA).</w:t>
      </w:r>
    </w:p>
    <w:p w:rsidR="00995A7F" w:rsidRDefault="00B93FA1" w:rsidP="001A3980">
      <w:pPr>
        <w:pStyle w:val="InstructionsText2"/>
        <w:numPr>
          <w:ilvl w:val="0"/>
          <w:numId w:val="0"/>
        </w:numPr>
        <w:ind w:left="993"/>
      </w:pPr>
      <w:r>
        <w:t>154b. För institut som använder den förenklade metoden ska denna mall ange totala ytterligare värdejusteringar som dras av från kapitalbasen enligt artiklarna 34 och 105 i CRR, enligt vad som anges i artikel 5 i delegerad förordning (EU) 2016/101 om försiktig värdering, vilket ska rapporteras i rad 290 i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0" w:name="_Toc516210709"/>
      <w:bookmarkStart w:id="781" w:name="_Toc523820330"/>
      <w:r>
        <w:rPr>
          <w:rFonts w:ascii="Times New Roman" w:hAnsi="Times New Roman"/>
          <w:sz w:val="24"/>
          <w:u w:val="none"/>
        </w:rPr>
        <w:t>6.1.2.</w:t>
      </w:r>
      <w:r w:rsidRPr="00B72AC4">
        <w:rPr>
          <w:u w:val="none"/>
        </w:rPr>
        <w:tab/>
      </w:r>
      <w:r>
        <w:rPr>
          <w:rFonts w:ascii="Times New Roman" w:hAnsi="Times New Roman"/>
          <w:sz w:val="24"/>
        </w:rPr>
        <w:t>Instruktioner för specifika positioner</w:t>
      </w:r>
      <w:bookmarkEnd w:id="780"/>
      <w:bookmarkEnd w:id="78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Kolumn</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såsom det anges i de finansiella rapporterna enligt tillämpliga redovisningsregler, i enlighet med artikel 4.1 i delegerad förordning (EU) 2016/101 om försiktig värdering, före alla eventuella avdrag som görs i enlighet med artikel 4.2.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värde av tillgångar och skulder värderade till verkligt värde enligt vad </w:t>
            </w:r>
            <w:r>
              <w:rPr>
                <w:rFonts w:ascii="Times New Roman" w:hAnsi="Times New Roman"/>
                <w:sz w:val="24"/>
              </w:rPr>
              <w:lastRenderedPageBreak/>
              <w:t xml:space="preserve">som rapporteras i 010 som motsvarar positioner i handelslagret.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EJ MEDTAGNA TILLGÅNGAR OCH SKULDER VÄRDERADE TILL VERKLIGT VÄRDE PÅ GRUND AV PARTIELL INVERKAN PÅ KÄR</w:t>
            </w:r>
            <w:r>
              <w:rPr>
                <w:rFonts w:ascii="Times New Roman" w:hAnsi="Times New Roman"/>
                <w:b/>
                <w:caps/>
                <w:sz w:val="24"/>
                <w:u w:val="single"/>
              </w:rPr>
              <w:t>N</w:t>
            </w:r>
            <w:r>
              <w:rPr>
                <w:rFonts w:ascii="Times New Roman" w:hAnsi="Times New Roman"/>
                <w:b/>
                <w:caps/>
                <w:sz w:val="24"/>
                <w:u w:val="single"/>
              </w:rPr>
              <w:t>PRIMÄRKAPITALET</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ej är medtagna i enlighet med artikel 4.2 i delegerad förordning (EU) 2016/101 om fö</w:t>
            </w:r>
            <w:r>
              <w:rPr>
                <w:rFonts w:ascii="Times New Roman" w:hAnsi="Times New Roman"/>
                <w:sz w:val="24"/>
              </w:rPr>
              <w:t>r</w:t>
            </w:r>
            <w:r>
              <w:rPr>
                <w:rFonts w:ascii="Times New Roman" w:hAnsi="Times New Roman"/>
                <w:sz w:val="24"/>
              </w:rPr>
              <w:t>siktig värdering.</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Exakt matchande</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Exakt matchande, balanserande tillgångar och skulder värderade till verkligt värde som ej är medtagna i enlighet med artikel 4.2 i delegerad förordning (EU) 2016/101 om försiktig värdering.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Säkringsredovisning</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För positioner som omfattas av säkringsredovisning enligt tillämpliga redovi</w:t>
            </w:r>
            <w:r>
              <w:rPr>
                <w:rFonts w:ascii="Times New Roman" w:hAnsi="Times New Roman"/>
                <w:sz w:val="24"/>
              </w:rPr>
              <w:t>s</w:t>
            </w:r>
            <w:r>
              <w:rPr>
                <w:rFonts w:ascii="Times New Roman" w:hAnsi="Times New Roman"/>
                <w:sz w:val="24"/>
              </w:rPr>
              <w:t>ningsregler: absolut värde av tillgångar och skulder redovisade till verklig värde som ej är medtagna i proportion till inverkan av den relevanta värderingsförän</w:t>
            </w:r>
            <w:r>
              <w:rPr>
                <w:rFonts w:ascii="Times New Roman" w:hAnsi="Times New Roman"/>
                <w:sz w:val="24"/>
              </w:rPr>
              <w:t>d</w:t>
            </w:r>
            <w:r>
              <w:rPr>
                <w:rFonts w:ascii="Times New Roman" w:hAnsi="Times New Roman"/>
                <w:sz w:val="24"/>
              </w:rPr>
              <w:t>ringen på kärnprimärkapitalet i enlighet med artikel 4.2 i delegerad förordning (EU) 2016/101 om försiktig värdering.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Tillsynsfilter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ej är medtagna i enlighet med artikel 4.2 i delegerad förordning (EU) 2016/101 om fö</w:t>
            </w:r>
            <w:r>
              <w:rPr>
                <w:rFonts w:ascii="Times New Roman" w:hAnsi="Times New Roman"/>
                <w:sz w:val="24"/>
              </w:rPr>
              <w:t>r</w:t>
            </w:r>
            <w:r>
              <w:rPr>
                <w:rFonts w:ascii="Times New Roman" w:hAnsi="Times New Roman"/>
                <w:sz w:val="24"/>
              </w:rPr>
              <w:t>siktig värdering på grund av de övergångsfilter som avses i artiklarna 467 och 468 i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Övrigt</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Alla övriga positioner som ej är medtagna i enlighet med artikel 4.2 i delegerad förordning (EU) 2016/101 om försiktig värdering, på grund av justeringar av deras redovisningsvärde som bara har proportionell inverkan på kärnprimärkapitalet.</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Raden ska bara fyllas i för de fåtal fall där de poster som ej tas med i enlighet med artikel 4.2 i delegerad förordning (EU) 2016/101 om försiktig värdering inte kan anges i kolumnerna 0030, 0040 eller 0050.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Kommentarer för övriga</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Här anges de huvudsakliga skälen till att de positioner som rapporteras i kolumn 0060 inte är medtagna.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 som ingår i artikel 4.1-tröskelvärdet</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ingår i beräkningen av tröskelvärdet i enlighet med artikel 4.1 i delegerad förordning (EU) 2016/101 om försiktig värdering.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enligt vad som rapporteras i kolumn 0080 som motsvarar positioner i handelslagret.</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Definitionerna av dessa kategorier ska vara desamma som i motsvarande rader i Finrepmallarna 1.1 och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SUMMA TILLGÅNGAR OCH SKULDER VÄRDERADE TILL VER</w:t>
            </w:r>
            <w:r>
              <w:rPr>
                <w:rFonts w:ascii="Times New Roman" w:hAnsi="Times New Roman"/>
                <w:b/>
                <w:sz w:val="24"/>
                <w:u w:val="single"/>
              </w:rPr>
              <w:t>K</w:t>
            </w:r>
            <w:r>
              <w:rPr>
                <w:rFonts w:ascii="Times New Roman" w:hAnsi="Times New Roman"/>
                <w:b/>
                <w:sz w:val="24"/>
                <w:u w:val="single"/>
              </w:rPr>
              <w:t>LIGT VÄRDE</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Summan av tillgångar och skulder värderade till verkligt värde som rapporteras i raderna 20–210.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SUMMA TILLGÅNGAR VÄRDERADE TILL VERKLIGT VÄRDE</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Summan av tillgångar värderade till verkligt värde som rapporteras i raderna 0030–0140.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De relevanta cellerna i raderna 0030–0130 ska rapporteras i linje med Finrepmall F 01.01 i bilagorna III och IV till denna förordning, beroende på institutets ti</w:t>
            </w:r>
            <w:r>
              <w:rPr>
                <w:rFonts w:ascii="Times New Roman" w:hAnsi="Times New Roman"/>
                <w:sz w:val="24"/>
              </w:rPr>
              <w:t>l</w:t>
            </w:r>
            <w:r>
              <w:rPr>
                <w:rFonts w:ascii="Times New Roman" w:hAnsi="Times New Roman"/>
                <w:sz w:val="24"/>
              </w:rPr>
              <w:t xml:space="preserve">lämpliga standarder: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IFRS-standarder som är antagna av unionen i tillämpning av förordning (EU) 1606/2002 (EU IFRS),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nationell god redovisningssed som motsvarar EU IFRS, eller</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nationell god redovisningssed baserad på direktiv 86/635/EG - bankredovi</w:t>
            </w:r>
            <w:r>
              <w:rPr>
                <w:rFonts w:ascii="Times New Roman" w:hAnsi="Times New Roman"/>
                <w:sz w:val="24"/>
              </w:rPr>
              <w:t>s</w:t>
            </w:r>
            <w:r>
              <w:rPr>
                <w:rFonts w:ascii="Times New Roman" w:hAnsi="Times New Roman"/>
                <w:sz w:val="24"/>
              </w:rPr>
              <w:t>ningsdirektivet, BAD (FINREP nationell god redovisningssed baserad på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FINANSIELLA TILLGÅNGAR SOM INNEHAS FÖR HANDEL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bilaga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050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FINANSIELLA TILLGÅNGAR FÖRENADE MED HANDEL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artikel 32–33, bilaga V, del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091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FINANSIELLA TILLGÅNGAR SOM INTE ÄR FÖRENADE MED HANDEL OCH SOM OBLIGATORISKT VÄRDERAS TILL VERKLIGT VÄRDE VIA RESULTATET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IFRS 7.8.a ii, IFRS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096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FINANSIELLA TILLGÅNGAR SOM IDENTIFIERATS SOM VÄ</w:t>
            </w:r>
            <w:r>
              <w:rPr>
                <w:rFonts w:ascii="Times New Roman" w:hAnsi="Times New Roman"/>
                <w:b/>
                <w:sz w:val="24"/>
                <w:u w:val="single"/>
              </w:rPr>
              <w:t>R</w:t>
            </w:r>
            <w:r>
              <w:rPr>
                <w:rFonts w:ascii="Times New Roman" w:hAnsi="Times New Roman"/>
                <w:b/>
                <w:sz w:val="24"/>
                <w:u w:val="single"/>
              </w:rPr>
              <w:t>DERADE TILL VERKLIGT VÄRDE VIA RESULTATET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7.8.a i, IFRS 9.4.1.5, redovisningsdirektivet artikel 8.1 a, 8.6</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100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FINANSIELLA TILLGÅNGAR SOM VÄRDERAS TILL VERKLIGT VÄRDE VIA ÖVRIGT TOTALRESULTAT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h, IFRS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141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FINANSIELLA TILLGÅNGAR SOM VARKEN ÄR FÖRENADE MED HANDEL ELLER ÄR DERIVAT OCH SOM VÄRDERAS TILL VERKLIGT VÄRDE VIA RESULTATET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artikel 36.2.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171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FINANSIELLA TILLGÅNGAR SOM VARKEN ÄR FÖRENADE MED HANDEL ELLER ÄR DERIVAT OCH SOM VÄRDERAS TILL VERKLIGT VÄRDE I FÖRHÅLLANDE TILL EGET KAPITAL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Redovisningsdirektivet artikel 8.1 a, 8.8.</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175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ÖVRIGA FINANSIELLA TILLGÅNGAR SOM VARKEN ÄR FÖR</w:t>
            </w:r>
            <w:r>
              <w:rPr>
                <w:rFonts w:ascii="Times New Roman" w:hAnsi="Times New Roman"/>
                <w:b/>
                <w:sz w:val="24"/>
                <w:u w:val="single"/>
              </w:rPr>
              <w:t>E</w:t>
            </w:r>
            <w:r>
              <w:rPr>
                <w:rFonts w:ascii="Times New Roman" w:hAnsi="Times New Roman"/>
                <w:b/>
                <w:sz w:val="24"/>
                <w:u w:val="single"/>
              </w:rPr>
              <w:t>NADE MED HANDEL ELLER ÄR DERIVAT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BAD artikel 37, redovisningsdirektivet artikel 12.7, bilaga V, del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234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 – SÄKRINGSREDOVISNING</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bilaga V, del 1.22, redovisningsdirektivet artikel 8.1 a, 8.6, 8.8, IAS 39.9, bilaga V, del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240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FÖRÄNDRINGAR I VERKLIGT VÄRDE FÖR SÄKRADE POSTER I PORTFÖLJSÄKRING AV RÄNTERISK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 a, IFRS 9.6.5.8, redovisningsdirektivet artikel 8.5, 8.6.</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250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11 INNEHAV I DOTTERFÖRETAG, JOINT VENTURES OCH I</w:t>
            </w:r>
            <w:r>
              <w:rPr>
                <w:rFonts w:ascii="Times New Roman" w:hAnsi="Times New Roman"/>
                <w:b/>
                <w:sz w:val="24"/>
                <w:u w:val="single"/>
              </w:rPr>
              <w:t>N</w:t>
            </w:r>
            <w:r>
              <w:rPr>
                <w:rFonts w:ascii="Times New Roman" w:hAnsi="Times New Roman"/>
                <w:b/>
                <w:sz w:val="24"/>
                <w:u w:val="single"/>
              </w:rPr>
              <w:t>TRESSEFÖRETAG</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1.54 e, bilaga V, del 1.21, del 2.4, BAD artikel 4, tillgångar 7–8, redovi</w:t>
            </w:r>
            <w:r>
              <w:rPr>
                <w:rFonts w:ascii="Times New Roman" w:hAnsi="Times New Roman"/>
                <w:sz w:val="24"/>
              </w:rPr>
              <w:t>s</w:t>
            </w:r>
            <w:r>
              <w:rPr>
                <w:rFonts w:ascii="Times New Roman" w:hAnsi="Times New Roman"/>
                <w:sz w:val="24"/>
              </w:rPr>
              <w:t xml:space="preserve">ningsdirektivet artikel 2.2.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260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NEDSÄTTNINGAR FÖR TILLGÅNGAR SOM ÄR FÖRENADE MED HANDEL VÄRDERADE TILL VERKLIGT VÄRDE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Bilaga V, del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375 i mall F 01.01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SUMMA SKULDER VÄRDERADE TILL VERKLIGT VÄRDE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Summan av skulder värderade till verkligt värde som rapporteras i raderna 0160–0210.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De relevanta cellerna i raderna 0150–0190 ska rapporteras i linje med Finrepmall F 01.02 i bilagorna III och IV till denna förordning, beroende på institutets ti</w:t>
            </w:r>
            <w:r>
              <w:rPr>
                <w:rFonts w:ascii="Times New Roman" w:hAnsi="Times New Roman"/>
                <w:sz w:val="24"/>
              </w:rPr>
              <w:t>l</w:t>
            </w:r>
            <w:r>
              <w:rPr>
                <w:rFonts w:ascii="Times New Roman" w:hAnsi="Times New Roman"/>
                <w:sz w:val="24"/>
              </w:rPr>
              <w:t xml:space="preserve">lämpliga standarder: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IFRS-standarder som är antagna av unionen i tillämpning av förordning (EU) 1606/2002 (EU IFRS),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nationell god redovisningssed som motsvarar EU IFRS,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eller nationell god redovisningssed baserad på direktiv 86/635/EG - bankred</w:t>
            </w:r>
            <w:r>
              <w:rPr>
                <w:rFonts w:ascii="Times New Roman" w:hAnsi="Times New Roman"/>
                <w:sz w:val="24"/>
              </w:rPr>
              <w:t>o</w:t>
            </w:r>
            <w:r>
              <w:rPr>
                <w:rFonts w:ascii="Times New Roman" w:hAnsi="Times New Roman"/>
                <w:sz w:val="24"/>
              </w:rPr>
              <w:t>visningsdirektivet, (BAD) (FINREP nationell god redovisningssed baserad på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FINANSIELLA SKULDER SOM INNEHAS FÖR HANDEL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7.8.e ii, IFRS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010 i mall F 01.02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FINANSIELLA SKULDER FÖRENADE MED HANDEL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Redovisningsdirektivet artikel 8.1 a, 8.3, 8.6.</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061 i mall F 01.02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FINANSIELLA SKULDER SOM IDENTIFIERATS SOM VÄRD</w:t>
            </w:r>
            <w:r>
              <w:rPr>
                <w:rFonts w:ascii="Times New Roman" w:hAnsi="Times New Roman"/>
                <w:b/>
                <w:sz w:val="24"/>
                <w:u w:val="single"/>
              </w:rPr>
              <w:t>E</w:t>
            </w:r>
            <w:r>
              <w:rPr>
                <w:rFonts w:ascii="Times New Roman" w:hAnsi="Times New Roman"/>
                <w:b/>
                <w:sz w:val="24"/>
                <w:u w:val="single"/>
              </w:rPr>
              <w:t>RADE TILL VERKLIGT VÄRDE VIA RESULTATET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7.8.e i, IFRS 9.4.2.2,</w:t>
            </w:r>
            <w:r>
              <w:rPr>
                <w:sz w:val="24"/>
              </w:rPr>
              <w:t xml:space="preserve"> </w:t>
            </w:r>
            <w:r>
              <w:rPr>
                <w:rFonts w:ascii="Times New Roman" w:hAnsi="Times New Roman"/>
                <w:sz w:val="24"/>
              </w:rPr>
              <w:t xml:space="preserve">redovisningsdirektivet artikel 8.1 a, 8.6,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070 i mall F 01.02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 – SÄKRINGSREDOVISNING</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bilaga V, del 1.26, redovisningsdirektivet artikel 8.1 a, 8.6, 8.8 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150 i mall F 01.02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FÖRÄNDRINGAR I VERKLIGT VÄRDE FÖR SÄKRADE POSTER I PORTFÖLJSÄKRING AV RÄNTERISK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 b, IFRS 9.6.5.8, redovisningsdirektivet artikel 8.5, 8.6, bilaga V, del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160 i mall F 01.02 i b</w:t>
            </w:r>
            <w:r>
              <w:rPr>
                <w:rFonts w:ascii="Times New Roman" w:hAnsi="Times New Roman"/>
                <w:sz w:val="24"/>
              </w:rPr>
              <w:t>i</w:t>
            </w:r>
            <w:r>
              <w:rPr>
                <w:rFonts w:ascii="Times New Roman" w:hAnsi="Times New Roman"/>
                <w:sz w:val="24"/>
              </w:rPr>
              <w:t>lagorna III och IV till denna förordning.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NEDSÄTTNINGAR FÖR SKULDER SOM ÄR FÖRENADE MED HANDEL VÄRDERADE TILL VERKLIGT VÄRDE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Bilaga V, del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295 i mall F 01.02 i b</w:t>
            </w:r>
            <w:r>
              <w:rPr>
                <w:rFonts w:ascii="Times New Roman" w:hAnsi="Times New Roman"/>
                <w:sz w:val="24"/>
              </w:rPr>
              <w:t>i</w:t>
            </w:r>
            <w:r>
              <w:rPr>
                <w:rFonts w:ascii="Times New Roman" w:hAnsi="Times New Roman"/>
                <w:sz w:val="24"/>
              </w:rPr>
              <w:t>lagorna III och IV till denna förordning.</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2" w:name="_Toc516210710"/>
      <w:bookmarkStart w:id="783" w:name="_Toc523820331"/>
      <w:r>
        <w:rPr>
          <w:rFonts w:ascii="Times New Roman" w:hAnsi="Times New Roman"/>
          <w:sz w:val="24"/>
          <w:u w:val="none"/>
        </w:rPr>
        <w:t>6.2.</w:t>
      </w:r>
      <w:r w:rsidRPr="006213DE">
        <w:rPr>
          <w:u w:val="none"/>
        </w:rPr>
        <w:tab/>
      </w:r>
      <w:r>
        <w:rPr>
          <w:rFonts w:ascii="Times New Roman" w:hAnsi="Times New Roman"/>
          <w:sz w:val="24"/>
        </w:rPr>
        <w:t>C 32.02 - Försiktig värdering: Huvudmetoden (PruVal 2)</w:t>
      </w:r>
      <w:bookmarkEnd w:id="782"/>
      <w:bookmarkEnd w:id="783"/>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4" w:name="_Toc516210711"/>
      <w:bookmarkStart w:id="785" w:name="_Toc523820332"/>
      <w:r>
        <w:rPr>
          <w:rFonts w:ascii="Times New Roman" w:hAnsi="Times New Roman"/>
          <w:sz w:val="24"/>
          <w:u w:val="none"/>
        </w:rPr>
        <w:t>6.2.1.</w:t>
      </w:r>
      <w:r w:rsidRPr="006213DE">
        <w:rPr>
          <w:u w:val="none"/>
        </w:rPr>
        <w:tab/>
      </w:r>
      <w:r>
        <w:rPr>
          <w:rFonts w:ascii="Times New Roman" w:hAnsi="Times New Roman"/>
          <w:sz w:val="24"/>
        </w:rPr>
        <w:t>Allmänna kommentarer</w:t>
      </w:r>
      <w:bookmarkEnd w:id="784"/>
      <w:bookmarkEnd w:id="785"/>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Syftet med denna mall är att redovisa uppgifter om sammansättningen av de totala ytterligare värdejusteringar (AVA) som ska dras av från kapitalbasen enligt artiklarna 34 och 105 i CRR, tillsammans med relevant information om redovi</w:t>
      </w:r>
      <w:r>
        <w:t>s</w:t>
      </w:r>
      <w:r>
        <w:t>ningsvärderingen av de positioner som ligger till grund för bestämningen av de y</w:t>
      </w:r>
      <w:r>
        <w:t>t</w:t>
      </w:r>
      <w:r>
        <w:t>terligare värdejusteringarna.</w:t>
      </w:r>
    </w:p>
    <w:p w:rsidR="00B93FA1" w:rsidRPr="00B93FA1" w:rsidRDefault="00B93FA1" w:rsidP="001A3980">
      <w:pPr>
        <w:pStyle w:val="InstructionsText2"/>
        <w:numPr>
          <w:ilvl w:val="0"/>
          <w:numId w:val="0"/>
        </w:numPr>
        <w:ind w:left="993"/>
      </w:pPr>
      <w:r>
        <w:t xml:space="preserve">154d. Denna mall ska fyllas i av alla institut som: </w:t>
      </w:r>
    </w:p>
    <w:p w:rsidR="00B93FA1" w:rsidRPr="00B93FA1" w:rsidRDefault="00B93FA1" w:rsidP="001A3980">
      <w:pPr>
        <w:pStyle w:val="InstructionsText2"/>
        <w:numPr>
          <w:ilvl w:val="0"/>
          <w:numId w:val="0"/>
        </w:numPr>
        <w:ind w:left="993"/>
      </w:pPr>
      <w:r>
        <w:t>a) är skyldiga att använda huvudmetoden eftersom de överskrider tröskelvärdet i a</w:t>
      </w:r>
      <w:r>
        <w:t>r</w:t>
      </w:r>
      <w:r>
        <w:t>tikel 4.1 i delegerad förordning (EU) 2016/101 om försiktig värdering, antingen på enskild nivå eller gruppnivå, i enlighet med artikel 4.3 i delegerad förordning (EU) 2016/101 om försiktig värdering, eller</w:t>
      </w:r>
    </w:p>
    <w:p w:rsidR="00B93FA1" w:rsidRPr="00B93FA1" w:rsidRDefault="00973707" w:rsidP="001A3980">
      <w:pPr>
        <w:pStyle w:val="InstructionsText2"/>
        <w:numPr>
          <w:ilvl w:val="0"/>
          <w:numId w:val="0"/>
        </w:numPr>
        <w:ind w:left="993"/>
      </w:pPr>
      <w:r>
        <w:t xml:space="preserve">b) har valt att använda huvudmetoden trots att de inte överskrider tröskelvärdet. </w:t>
      </w:r>
    </w:p>
    <w:p w:rsidR="00973707" w:rsidRDefault="00973707" w:rsidP="001A3980">
      <w:pPr>
        <w:pStyle w:val="InstructionsText2"/>
        <w:numPr>
          <w:ilvl w:val="0"/>
          <w:numId w:val="0"/>
        </w:numPr>
        <w:ind w:left="993"/>
      </w:pPr>
      <w:r>
        <w:lastRenderedPageBreak/>
        <w:t>154e. För användning av denna mall avses med ”övre osäkerhet” följande: Såsom fastställs i artikel 8.2 i delegerad förordning (EU) 2016/101 om försiktig värdering beräknas ytterligare värdejusteringar som skillnaden mellan verkligt värde och en försiktig värdering som bestäms baserat på 90 % säkerhet att institutet kan gå ur exponeringen vid den punkten eller bättre inom det nominella intervallet av rimliga värden. Det övre värdet eller den ”övre osäkerheten” är den motsatta punkten i fö</w:t>
      </w:r>
      <w:r>
        <w:t>r</w:t>
      </w:r>
      <w:r>
        <w:t>delningen av rimliga värden där instituten endast med 10 % säkerhet kan gå ur p</w:t>
      </w:r>
      <w:r>
        <w:t>o</w:t>
      </w:r>
      <w:r>
        <w:t>sitionen vid den punkten eller bättre. Den övre osäkerheten ska beräknas och läggas ihop på samma grundval som summa AVA, men med en säkerhetsnivå på 10 % i stället för 90 % som används för bestämning av summa AVA.</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6" w:name="_Toc516210712"/>
      <w:bookmarkStart w:id="787" w:name="_Toc523820333"/>
      <w:r>
        <w:rPr>
          <w:rFonts w:ascii="Times New Roman" w:hAnsi="Times New Roman"/>
          <w:sz w:val="24"/>
          <w:u w:val="none"/>
        </w:rPr>
        <w:t>6.2.2</w:t>
      </w:r>
      <w:r w:rsidRPr="00645CED">
        <w:rPr>
          <w:rFonts w:ascii="Times New Roman" w:hAnsi="Times New Roman"/>
          <w:sz w:val="24"/>
          <w:u w:val="none"/>
        </w:rPr>
        <w:t>.</w:t>
      </w:r>
      <w:r w:rsidRPr="00645CED">
        <w:rPr>
          <w:u w:val="none"/>
        </w:rPr>
        <w:tab/>
      </w:r>
      <w:r>
        <w:rPr>
          <w:rFonts w:ascii="Times New Roman" w:hAnsi="Times New Roman"/>
          <w:sz w:val="24"/>
          <w:u w:val="none"/>
        </w:rPr>
        <w:t>Instruktioner för specifika positioner</w:t>
      </w:r>
      <w:bookmarkEnd w:id="786"/>
      <w:bookmarkEnd w:id="787"/>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Kolumn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KATEGORINIVÅ</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Ytterligare värdejusteringar för marknadsprisosäkerhet, slutavräkningskostnader, modellrisk, koncentrerade positioner, framtida administrativa kostnader, förtida avveckling och operativ risk beräknas enligt beskrivningarna i respektive artikla</w:t>
            </w:r>
            <w:r>
              <w:rPr>
                <w:rFonts w:ascii="Times New Roman" w:hAnsi="Times New Roman"/>
                <w:sz w:val="24"/>
              </w:rPr>
              <w:t>r</w:t>
            </w:r>
            <w:r>
              <w:rPr>
                <w:rFonts w:ascii="Times New Roman" w:hAnsi="Times New Roman"/>
                <w:sz w:val="24"/>
              </w:rPr>
              <w:t>na 9–11 och 14–17 i delegerad förordning (EU) 2016/101 om försiktig värdering.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För kategorierna marknadsprisosäkerhet, slutavräkningskostnader och modellrisk, som omfattas av diversifieringsvinst enligt vad som avses i respektive artiklarna 9.6, 10.7 och 11.7 i delegerad förordning (EU) 2016/101 om försiktig värdering, ska AVA på kategorinivå, om inget annat anges, rapporteras som den enkla su</w:t>
            </w:r>
            <w:r>
              <w:rPr>
                <w:rFonts w:ascii="Times New Roman" w:hAnsi="Times New Roman"/>
                <w:sz w:val="24"/>
              </w:rPr>
              <w:t>m</w:t>
            </w:r>
            <w:r>
              <w:rPr>
                <w:rFonts w:ascii="Times New Roman" w:hAnsi="Times New Roman"/>
                <w:sz w:val="24"/>
              </w:rPr>
              <w:t xml:space="preserve">man av enskilda AVA före diversifieringsvinst [eftersom diversifieringsvinster som beräknas med användning av metod 1 eller metod 2 i bilagan till delegerad förordning (EU) 2016/101 om försiktig värdering rapporteras i posterna 1.1.2, 1.1.2.1 och 1.1.2.2 i mallen].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För kategorierna marknadsprisosäkerhet, slutavräkningskostnader och modellrisk ska beloppen som beräknats med en expertbaserad metod enligt artiklarna 9.5 b, 10.6 b och 11.4 i delegerad förordning (EU) 2016/101 om försiktig värdering ra</w:t>
            </w:r>
            <w:r>
              <w:rPr>
                <w:rFonts w:ascii="Times New Roman" w:hAnsi="Times New Roman"/>
                <w:sz w:val="24"/>
              </w:rPr>
              <w:t>p</w:t>
            </w:r>
            <w:r>
              <w:rPr>
                <w:rFonts w:ascii="Times New Roman" w:hAnsi="Times New Roman"/>
                <w:sz w:val="24"/>
              </w:rPr>
              <w:t>porteras separat i kolumnerna 0020, 0040 och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MARKNADSPRISOSÄKERHET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105.10 i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 i delegerad fö</w:t>
            </w:r>
            <w:r>
              <w:rPr>
                <w:rFonts w:ascii="Times New Roman" w:hAnsi="Times New Roman"/>
                <w:sz w:val="24"/>
              </w:rPr>
              <w:t>r</w:t>
            </w:r>
            <w:r>
              <w:rPr>
                <w:rFonts w:ascii="Times New Roman" w:hAnsi="Times New Roman"/>
                <w:sz w:val="24"/>
              </w:rPr>
              <w:t>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9.5 b i delegerad förordning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105.10 i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slutavräkningskostnader beräknat i enlighet med artikel 10 i delegerad </w:t>
            </w:r>
            <w:r>
              <w:rPr>
                <w:rFonts w:ascii="Times New Roman" w:hAnsi="Times New Roman"/>
                <w:sz w:val="24"/>
              </w:rPr>
              <w:lastRenderedPageBreak/>
              <w:t xml:space="preserve">förordning (EU) 2016/101 om försiktig värdering.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för slutavräkningskostnader beräknat i enlighet med artikel 10.6 b i deleg</w:t>
            </w:r>
            <w:r>
              <w:rPr>
                <w:rFonts w:ascii="Times New Roman" w:hAnsi="Times New Roman"/>
                <w:sz w:val="24"/>
              </w:rPr>
              <w:t>e</w:t>
            </w:r>
            <w:r>
              <w:rPr>
                <w:rFonts w:ascii="Times New Roman" w:hAnsi="Times New Roman"/>
                <w:sz w:val="24"/>
              </w:rPr>
              <w:t>rad förordning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105.10 i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modellrisk beräknat i enlighet med artikel 11 i delegerad förordning (EU) 2016/101 om försiktig värdering.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för modellrisk beräknat i enlighet med artikel 11.4 i delegerad förordning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105.11 i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koncentrerade positioner beräknat i enlighet med artikel 14 i delegerad förordning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105.10 i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framtida administrativa kostnader beräknat i enlighet med artikel 15 i d</w:t>
            </w:r>
            <w:r>
              <w:rPr>
                <w:rFonts w:ascii="Times New Roman" w:hAnsi="Times New Roman"/>
                <w:sz w:val="24"/>
              </w:rPr>
              <w:t>e</w:t>
            </w:r>
            <w:r>
              <w:rPr>
                <w:rFonts w:ascii="Times New Roman" w:hAnsi="Times New Roman"/>
                <w:sz w:val="24"/>
              </w:rPr>
              <w:t>legerad förordning (EU) 2016/101 om försiktig värdering.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105.10 i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förtida avveckling beräknat i enlighet med artikel 16 i delegerad föror</w:t>
            </w:r>
            <w:r>
              <w:rPr>
                <w:rFonts w:ascii="Times New Roman" w:hAnsi="Times New Roman"/>
                <w:sz w:val="24"/>
              </w:rPr>
              <w:t>d</w:t>
            </w:r>
            <w:r>
              <w:rPr>
                <w:rFonts w:ascii="Times New Roman" w:hAnsi="Times New Roman"/>
                <w:sz w:val="24"/>
              </w:rPr>
              <w:t xml:space="preserve">ning (EU) 2016/101 om försiktig värdering.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105.10 i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för operativ risk beräknat i enlighet med artikel 17 i delegerad förordning (EU) 2016/101 om försiktig värdering.</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SUMMA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 0010: totala ytterligare värdejusteringar (AVA) som dras av från kapitalbasen enligt artiklarna 34 och 105 i CRR, vilket ska rapporteras i rad 290 i C 01.00. Summa AVA är summan av raderna 0030 och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Rad 0020: Del av summa AVA som rapporteras i rad 0010 som kommer från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sitioner i handelslagret (absolut värde).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Raderna 0030–0160: Summan av kolumnerna 0010, 0030, 0050 och 0070–0100.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Raderna 0180–0210: Summa AVA som härrör från portföljer enligt nödfallsme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oden.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ÖVRE OSÄKERHET</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8.2 i</w:t>
            </w:r>
            <w:r>
              <w:rPr>
                <w:rFonts w:ascii="Times New Roman" w:hAnsi="Times New Roman"/>
                <w:sz w:val="24"/>
              </w:rPr>
              <w:t xml:space="preserve"> delegerad förordning (EU) 2016/101 om försiktig värdering.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Den övre osäkerheten ska beräknas och läggas ihop på samma grundval som summa AVA beräknat i kolumn 0110, men med en säkerhetsnivå på 10 % i stället för 90 % som används för bestämning av summa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motsvarande de AVA-belopp som rapporteras i raderna 0010–0130 och rad 0180. För vissa r</w:t>
            </w:r>
            <w:r>
              <w:rPr>
                <w:rFonts w:ascii="Times New Roman" w:hAnsi="Times New Roman"/>
                <w:sz w:val="24"/>
              </w:rPr>
              <w:t>a</w:t>
            </w:r>
            <w:r>
              <w:rPr>
                <w:rFonts w:ascii="Times New Roman" w:hAnsi="Times New Roman"/>
                <w:sz w:val="24"/>
              </w:rPr>
              <w:t xml:space="preserve">der, särskilt raderna 0090–0130, kan beloppen behöva approximeras eller tilldelas baserat på expertomdöme.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Rad 0010: Summa absolut värde av tillgångar och skulder värderade till verkligt värde som ingår i beräkningen av tröskelvärdet i enlighet med artikel 4.1 i deleg</w:t>
            </w:r>
            <w:r>
              <w:rPr>
                <w:rFonts w:ascii="Times New Roman" w:hAnsi="Times New Roman"/>
                <w:sz w:val="24"/>
              </w:rPr>
              <w:t>e</w:t>
            </w:r>
            <w:r>
              <w:rPr>
                <w:rFonts w:ascii="Times New Roman" w:hAnsi="Times New Roman"/>
                <w:sz w:val="24"/>
              </w:rPr>
              <w:t>rad förordning (EU) 2016/101 om försiktig värdering. Detta inbegriper det abs</w:t>
            </w:r>
            <w:r>
              <w:rPr>
                <w:rFonts w:ascii="Times New Roman" w:hAnsi="Times New Roman"/>
                <w:sz w:val="24"/>
              </w:rPr>
              <w:t>o</w:t>
            </w:r>
            <w:r>
              <w:rPr>
                <w:rFonts w:ascii="Times New Roman" w:hAnsi="Times New Roman"/>
                <w:sz w:val="24"/>
              </w:rPr>
              <w:t xml:space="preserve">luta värdet av tillgångar och skulder värderade till verkligt värde för vilka AVA uppskattas till noll värde i enlighet med artiklarna 9.2, 10.2 eller 10.3 i delegerad förordning (EU) 2016/101 om försiktig värdering, vilka också rapporteras separat i raderna 0070 och 0080. </w:t>
            </w:r>
            <w:r>
              <w:rPr>
                <w:rFonts w:ascii="Times New Roman" w:hAnsi="Times New Roman"/>
                <w:sz w:val="24"/>
              </w:rPr>
              <w:br/>
              <w:t xml:space="preserve">Rad 0010 är summan av rad 0030 och rad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Rad 0020: Del av totalt absolut värde av tillgångar och skulder värderade till ver</w:t>
            </w:r>
            <w:r>
              <w:rPr>
                <w:rFonts w:ascii="Times New Roman" w:hAnsi="Times New Roman"/>
                <w:sz w:val="24"/>
              </w:rPr>
              <w:t>k</w:t>
            </w:r>
            <w:r>
              <w:rPr>
                <w:rFonts w:ascii="Times New Roman" w:hAnsi="Times New Roman"/>
                <w:sz w:val="24"/>
              </w:rPr>
              <w:t xml:space="preserve">ligt värde som rapporteras i rad 0010 som härrör från positioner i handelslagret (absolut värde).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Rad 0030: Absolut värde av tillgångar och skulder värderade till verkligt värde som motsvarar portföljerna enligt artiklarna 9–17 i delegerad förordning (EU) 2016/101 om försiktig värdering. Detta inbegriper det absoluta värdet av tillgångar och skulder värderade till verkligt värde för vilka AVA uppskattas till noll värde i enlighet med artiklarna 9.2, 10.2 eller 10.3 i delegerad förordning (EU) 2016/101 om försiktig värdering, vilka också rapporteras separat i raderna 0070 och 0080. Rad 0030 är summan av raderna 0090–0130.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Rad 0050: Absolut värde av tillgångar och skulder värderade till verkligt värde inom ramen för beräkning av AVA för ej intjänade kreditmarginaler. Exakt ma</w:t>
            </w:r>
            <w:r>
              <w:rPr>
                <w:rFonts w:ascii="Times New Roman" w:hAnsi="Times New Roman"/>
                <w:sz w:val="24"/>
              </w:rPr>
              <w:t>t</w:t>
            </w:r>
            <w:r>
              <w:rPr>
                <w:rFonts w:ascii="Times New Roman" w:hAnsi="Times New Roman"/>
                <w:sz w:val="24"/>
              </w:rPr>
              <w:t xml:space="preserve">chande, balanserande tillgångar och skulder värderade till verkligt värde som ej är medtagna för beräkningen av tröskelvärdet i enlighet med artikel 4.2 i delegerad förordning (EU) 2016/101 om försiktig värdering får för denna AVA-beräkning inte längre betraktas som exakt matchande balanserande.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0060: Absolut värde av tillgångar och skulder värderade till verkligt värde inom ramen för beräkning av AVA för investerings- och finansieringskostnader. Exakt matchande, balanserande tillgångar och skulder värderade till verkligt värde som ej är medtagna för beräkningen av tröskelvärdet i enlighet med artikel 4.2 i delegerad förordning (EU) 2016/101 om försiktig värdering får för denna AVA-beräkning inte längre betraktas som exakt matchande balanserande.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Rad 0070: Absolut värde av tillgångar och skulder värderade till verkligt värde som motsvarar värderingsexponeringar för vilka AVA uppskattas till noll värde enligt artikel 9.2 i delegerad förordning (EU) 2016/101 om försiktig värdering.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0080: Absolut värde av tillgångar och skulder värderade till verkligt värde som motsvarar värderingsexponeringar för vilka AVA uppskattas till noll värde enligt artikel 10.2 eller 10.3 i delegerad förordning (EU) 2016/101 om försiktig värdering.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Raderna 0090–0130: Absolut värde av tillgångar och skulder värderade till ver</w:t>
            </w:r>
            <w:r>
              <w:rPr>
                <w:rFonts w:ascii="Times New Roman" w:hAnsi="Times New Roman"/>
                <w:sz w:val="24"/>
              </w:rPr>
              <w:t>k</w:t>
            </w:r>
            <w:r>
              <w:rPr>
                <w:rFonts w:ascii="Times New Roman" w:hAnsi="Times New Roman"/>
                <w:sz w:val="24"/>
              </w:rPr>
              <w:t>ligt värde tilldelade enligt vad som anges nedan (se motsvarande radinstruktion) i enlighet med följande riskkategorier: ränterisk, valutakursrisk, kreditrisk, akti</w:t>
            </w:r>
            <w:r>
              <w:rPr>
                <w:rFonts w:ascii="Times New Roman" w:hAnsi="Times New Roman"/>
                <w:sz w:val="24"/>
              </w:rPr>
              <w:t>e</w:t>
            </w:r>
            <w:r>
              <w:rPr>
                <w:rFonts w:ascii="Times New Roman" w:hAnsi="Times New Roman"/>
                <w:sz w:val="24"/>
              </w:rPr>
              <w:t>risk, råvarurisk. Detta inbegriper det absoluta värdet av tillgångar och skulder vä</w:t>
            </w:r>
            <w:r>
              <w:rPr>
                <w:rFonts w:ascii="Times New Roman" w:hAnsi="Times New Roman"/>
                <w:sz w:val="24"/>
              </w:rPr>
              <w:t>r</w:t>
            </w:r>
            <w:r>
              <w:rPr>
                <w:rFonts w:ascii="Times New Roman" w:hAnsi="Times New Roman"/>
                <w:sz w:val="24"/>
              </w:rPr>
              <w:t>derade till verkligt värde för vilka AVA uppskattas till noll värde i enlighet med artiklarna 9.2, 10.2 eller 10.3 i delegerad förordning (EU) 2016/101 om försiktig värdering, vilka också rapporteras separat i raderna 0070 och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0180: Absolut värde av tillgångar och skulder värderade till verkligt värde som motsvarar portföljerna enligt nödfallsmetoden.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 värde av </w:t>
            </w:r>
            <w:r>
              <w:rPr>
                <w:rStyle w:val="InstructionsTabelleberschrift"/>
                <w:rFonts w:ascii="Times New Roman" w:hAnsi="Times New Roman"/>
                <w:b w:val="0"/>
                <w:sz w:val="24"/>
                <w:u w:val="none"/>
              </w:rPr>
              <w:t>tillgångar värderade till verkligt värde som motsvarar de olika rader som förklaras i instruktionerna för kolumn 0130–0140 ovan.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w:t>
            </w:r>
            <w:r>
              <w:rPr>
                <w:rStyle w:val="InstructionsTabelleberschrift"/>
                <w:rFonts w:ascii="Times New Roman" w:hAnsi="Times New Roman"/>
                <w:b w:val="0"/>
                <w:sz w:val="24"/>
                <w:u w:val="none"/>
              </w:rPr>
              <w:t>skulder värderade till verkligt värde som motsvarar de olika 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der som förklaras i instruktionerna för kolumn 0130–0140 ovan.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QTD-INTÄKTER</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Intäkter för föregående kvartal (quarter-to-date, QTD) sedan det senaste rapport</w:t>
            </w:r>
            <w:r>
              <w:rPr>
                <w:rFonts w:ascii="Times New Roman" w:hAnsi="Times New Roman"/>
                <w:sz w:val="24"/>
              </w:rPr>
              <w:t>e</w:t>
            </w:r>
            <w:r>
              <w:rPr>
                <w:rFonts w:ascii="Times New Roman" w:hAnsi="Times New Roman"/>
                <w:sz w:val="24"/>
              </w:rPr>
              <w:t xml:space="preserve">ringsdatumet som tilldelas tillgångar och skulder värderade till verkligt värde </w:t>
            </w:r>
            <w:r>
              <w:rPr>
                <w:rStyle w:val="InstructionsTabelleberschrift"/>
                <w:rFonts w:ascii="Times New Roman" w:hAnsi="Times New Roman"/>
                <w:b w:val="0"/>
                <w:sz w:val="24"/>
                <w:u w:val="none"/>
              </w:rPr>
              <w:t>som motsvarar de olika rader som förklaras i instruktionerna för kolumn 0130–0140 ovan, tilldelade eller approximerade baserat på expertomdöme, om relevant.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över alla positioner och riskfaktorer av belopp för ojusterad differens (IPV-differens) beräknad vid månadsslutet närmast före rapporteringsdatumet inom ramen för den oberoende priskontroll (IPV) som görs i enlighet med artikel 105.8 i CRR med beaktande av bästa tillgängliga oberoende data för berörda posi</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ioner eller riskfaktorer.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avser ojusterade differenser mellan de värderingar som genereras av handelssystemet och de värderingar som uppskattas vid den m</w:t>
            </w:r>
            <w:r>
              <w:rPr>
                <w:rStyle w:val="InstructionsTabelleberschrift"/>
                <w:rFonts w:ascii="Times New Roman" w:hAnsi="Times New Roman"/>
                <w:b w:val="0"/>
                <w:sz w:val="24"/>
                <w:u w:val="none"/>
              </w:rPr>
              <w:t>å</w:t>
            </w:r>
            <w:r>
              <w:rPr>
                <w:rStyle w:val="InstructionsTabelleberschrift"/>
                <w:rFonts w:ascii="Times New Roman" w:hAnsi="Times New Roman"/>
                <w:b w:val="0"/>
                <w:sz w:val="24"/>
                <w:u w:val="none"/>
              </w:rPr>
              <w:t xml:space="preserve">natliga IPV-processen.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slutet ska inkluderas i beräkningen av IPV-differens.</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 xml:space="preserve">0170 - </w:t>
            </w:r>
            <w:r>
              <w:rPr>
                <w:rFonts w:ascii="Times New Roman" w:hAnsi="Times New Roman"/>
                <w:sz w:val="24"/>
              </w:rPr>
              <w:lastRenderedPageBreak/>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JUSTERINGAR AV VERKLIGT VÄRDE</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Justeringar, ibland även kallade ”reserver”, som eventuellt tillämpas på ett instituts redovisning till verkligt värde, som görs utanför den värderingsmodell som 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vänds för att generera bokförda belopp (utom senareläggning av vinst eller förlust vid första redovisningstillfället), och där det kan visas att de beaktar samma up</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hov till värderingsosäkerhet som relevant AVA. De kan avspegla riskfaktorer som inte fångas upp inom värderingstekniken i form av riskpremier eller exitkostnader och är förenliga med definitionen av verkligt värde. De bör dock beaktas av mar</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nadsaktörerna vid prissättningen. (IFRS 13.9 och IFRS13.88)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MARKNADSPRISOSÄKERHET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den ris</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premie som beror på att det finns flera olika observerade priser för likvärdiga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strument eller, när det gäller marknadsparametrar som används som indata i en värderingsmodell, de instrument från vilka indatan har kalibrerats, och där det därmed kan visas att den beaktar samma upphov till värderingsosäkerhet som AVA för marknadsprisosäkerhet.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beakta det faktum att värderingar på positionsnivå inte återspeglar ett exitpris för positionen eller por</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följen, och särskilt om sådana värderingar kalibreras mot en marknadsmittkurs, och där det därmed kan visas att den beaktar samma upphov till värderingsosäke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het som AVA för</w:t>
            </w:r>
            <w:r>
              <w:t xml:space="preserve"> </w:t>
            </w:r>
            <w:r>
              <w:rPr>
                <w:rFonts w:ascii="Times New Roman" w:hAnsi="Times New Roman"/>
                <w:sz w:val="24"/>
              </w:rPr>
              <w:t>slutavräkningskostnader</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marknads- eller produktfaktorer som inte fångas upp av den modell som används för att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räkna dagliga positionsvärden- och risker (värderingsmodell), eller för att åte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spegla en lämplig försiktighetsnivå med tanke på osäkerhet som beror på att det finns flera olika alternativa modeller och modellkalibreringar, och där det därmed kan visas att den beaktar samma upphov till värderingsosäkerhet som AVA för</w:t>
            </w:r>
            <w:r>
              <w:rPr>
                <w:rFonts w:ascii="Times New Roman" w:hAnsi="Times New Roman"/>
                <w:sz w:val="24"/>
              </w:rPr>
              <w:t xml:space="preserve"> modellrisk</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det faktum att den aggregerade position som institutet innehar är större än en normalt handlad volym, eller större än de positioner som ligger till grund för observerbara not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ringar eller transaktioner som används för att kalibrera pris eller indata för värd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ringsmodellen, och där det därmed kan visas att den beaktar samma upphov till värderingsosäkerhet som AVA för</w:t>
            </w:r>
            <w:r>
              <w:rPr>
                <w:rFonts w:ascii="Times New Roman" w:hAnsi="Times New Roman"/>
                <w:sz w:val="24"/>
              </w:rPr>
              <w:t>koncentrerade positioner</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INTJÄNADE KREDITMARGINALER</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som tillämpas på institutets verkliga värde för att täcka förväntade fö</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luster på grund av motpartsfallisemang i derivatpositioner (dvs. total kreditvärdi</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hetsjustering (CVA) på institutnivå).</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OCH FINANSIERINGSKOSTNADER</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kompensera då värd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ringsmodeller inte fullt ut återspeglar de finansieringskostnader som marknadsa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törer skulle räkna in i exitpriset för en position eller portfölj (dvs. total finansi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ringsvärderingsjustering på institutnivå, om institutet beräknar en sådan justering, eller likvärdig justering).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administr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tiva kostnader i samband med portföljen eller positionen som inte beaktas i värd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ringsmodellen eller de priser som används för att kalibrera indata till modellen, och där det därmed kan visas att den beaktar samma upphov till värderingsosäke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het som AVA för framtida administrativa kostnader.</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förväntnin</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ar om förtida avveckling, enligt avtal eller ej, som inte beaktas i värderingsmodel</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en, och där det därmed kan visas att den beaktar samma upphov till värderingsos</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kerhet som AVA för förtida avveckling.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som tillämpas på institutets verkliga värde för att återspegla den ris</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premie som marknadsaktörer skulle kräva för att kompensera för operativ risk i samband med säkring, förvaltning och avveckling av kontrakt i portföljen, och där det därmed kan visas att den beaktar samma upphov till värderingsosäkerhet som AVA för operativ risk.</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Justeringar för de tillfällen då värderingsmodellen tillsammans med alla andra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levanta justeringar av verkligt värde som är tillämpliga på en position eller en portfölj inte avspeglar det pris som erlagts eller erhållits vid första redovisning</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tillfället, dvs. senareläggning av vinst eller förlust vid första redovisningstillfället (IFRS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FÖRKLARANDE BESKRIVNING</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Beskrivning av de positioner som behandlas enligt artikel 7.2 b i delegerad föror</w:t>
            </w:r>
            <w:r>
              <w:rPr>
                <w:rFonts w:ascii="Times New Roman" w:hAnsi="Times New Roman"/>
                <w:sz w:val="24"/>
              </w:rPr>
              <w:t>d</w:t>
            </w:r>
            <w:r>
              <w:rPr>
                <w:rFonts w:ascii="Times New Roman" w:hAnsi="Times New Roman"/>
                <w:sz w:val="24"/>
              </w:rPr>
              <w:t>ning (EU) 2016/101 om försiktig värdering och angivande av skälet till varför det inte var möjligt att tillämpa artiklarna 9–17 i samma förordning.</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Rad</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SUMMA HUVUDMETODEN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 om försiktig värdering.</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För varje relevant AVA-kategori i kolumnerna 0010–0110, summa AVA beräknat enligt huvudmetoden enligt kapitel 3 i delegerad förordning (EU) 2016/101 om försiktig värdering för tillgångar och skulder värderade till verkligt värde som är medtagna för beräkningen av tröskelvärdet i enlighet med artikel 4.1 i delegerad förordning (EU) 2016/101 om försiktig värdering. Här ingår även diversifiering</w:t>
            </w:r>
            <w:r>
              <w:rPr>
                <w:rFonts w:ascii="Times New Roman" w:hAnsi="Times New Roman"/>
                <w:sz w:val="24"/>
              </w:rPr>
              <w:t>s</w:t>
            </w:r>
            <w:r>
              <w:rPr>
                <w:rFonts w:ascii="Times New Roman" w:hAnsi="Times New Roman"/>
                <w:sz w:val="24"/>
              </w:rPr>
              <w:t xml:space="preserve">vinster som rapporteras i rad 0140 i enlighet med artiklarna 9.6, 10.7 och 11.7 i delegerad förordning (EU) 2016/101 om försiktig värdering.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HANDELSLAGER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 om försiktig värdering.</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För varje relevant AVA-kategori i kolumnerna 0010–0110, andel av summa AVA som rapporteras i rad 0010 som härrör från positioner i handelslagret (absolut värde).</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PORTFÖLJER ENLIGT ARTIKLARNA 9–17 – SUMMA EFTER D</w:t>
            </w:r>
            <w:r>
              <w:rPr>
                <w:rFonts w:ascii="Times New Roman" w:hAnsi="Times New Roman"/>
                <w:b/>
                <w:sz w:val="24"/>
                <w:u w:val="single"/>
              </w:rPr>
              <w:t>I</w:t>
            </w:r>
            <w:r>
              <w:rPr>
                <w:rFonts w:ascii="Times New Roman" w:hAnsi="Times New Roman"/>
                <w:b/>
                <w:sz w:val="24"/>
                <w:u w:val="single"/>
              </w:rPr>
              <w:t xml:space="preserve">VERSIFIERING PÅ KATEGORINIVÅ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7.2 a i delegerad förordning (EU) 2016/101 om försiktig värdering.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För varje relevant AVA-kategori i kolumnerna 0010–0110, summa AVA beräknat i enlighet med artiklarna 9–17 i delegerad förordning (EU) 2016/101 om försiktig värdering, för tillgångar och skulder värderade till verkligt värde som är medtagna för beräkningen av tröskelvärdet i enlighet med artikel 4.1 i delegerad förordning (EU) 2016/101 om försiktig värdering, utom tillgångar och skulder värderade till verkligt värde som omfattas av behandlingen enligt artikel 7.2 b i .delegerad fö</w:t>
            </w:r>
            <w:r>
              <w:rPr>
                <w:rFonts w:ascii="Times New Roman" w:hAnsi="Times New Roman"/>
                <w:sz w:val="24"/>
              </w:rPr>
              <w:t>r</w:t>
            </w:r>
            <w:r>
              <w:rPr>
                <w:rFonts w:ascii="Times New Roman" w:hAnsi="Times New Roman"/>
                <w:sz w:val="24"/>
              </w:rPr>
              <w:t xml:space="preserve">ordning (EU) 2016/101 om försiktig värdering.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Här ingår även AVA som beräknats i enlighet med artiklarna 12 och 13 i deleg</w:t>
            </w:r>
            <w:r>
              <w:rPr>
                <w:rFonts w:ascii="Times New Roman" w:hAnsi="Times New Roman"/>
                <w:sz w:val="24"/>
              </w:rPr>
              <w:t>e</w:t>
            </w:r>
            <w:r>
              <w:rPr>
                <w:rFonts w:ascii="Times New Roman" w:hAnsi="Times New Roman"/>
                <w:sz w:val="24"/>
              </w:rPr>
              <w:t>rad förordning (EU) 2016/101 om försiktig värdering som rapporteras i raderna 0050 och 0060 och som ingår i AVA för marknadsprisosäkerhet, slutavräkning</w:t>
            </w:r>
            <w:r>
              <w:rPr>
                <w:rFonts w:ascii="Times New Roman" w:hAnsi="Times New Roman"/>
                <w:sz w:val="24"/>
              </w:rPr>
              <w:t>s</w:t>
            </w:r>
            <w:r>
              <w:rPr>
                <w:rFonts w:ascii="Times New Roman" w:hAnsi="Times New Roman"/>
                <w:sz w:val="24"/>
              </w:rPr>
              <w:t xml:space="preserve">kostnader och modellrisk enligt artiklarna 12.2 och 13.2 i delegerad förordning (EU) 2016/101 om försiktig värdering.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Här ingår även diversifieringsvinster som rapporteras i rad 0140 i enlighet med a</w:t>
            </w:r>
            <w:r>
              <w:rPr>
                <w:rFonts w:ascii="Times New Roman" w:hAnsi="Times New Roman"/>
                <w:sz w:val="24"/>
              </w:rPr>
              <w:t>r</w:t>
            </w:r>
            <w:r>
              <w:rPr>
                <w:rFonts w:ascii="Times New Roman" w:hAnsi="Times New Roman"/>
                <w:sz w:val="24"/>
              </w:rPr>
              <w:t>tiklarna 9.6, 10.7 och 11.7 i delegerad förordning (EU) 2016/101 om försiktig vä</w:t>
            </w:r>
            <w:r>
              <w:rPr>
                <w:rFonts w:ascii="Times New Roman" w:hAnsi="Times New Roman"/>
                <w:sz w:val="24"/>
              </w:rPr>
              <w:t>r</w:t>
            </w:r>
            <w:r>
              <w:rPr>
                <w:rFonts w:ascii="Times New Roman" w:hAnsi="Times New Roman"/>
                <w:sz w:val="24"/>
              </w:rPr>
              <w:t xml:space="preserve">dering.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Siffran i rad 0030 bör därför motsvara skillnaden mellan raderna 0040 och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SUMMA FÖRE DIVERSIFIERING PÅ KATEGORINIVÅ</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Instituten ska i raderna 0090–0130 fördela sina tillgångar och skulder värderade till verkligt värde som är medtagna för beräkningen av tröskelvärdet i enlighet med artikel 4.1 i delegerad förordning (EU) 2016/101 om försiktig värdering (både i och utanför handelslagret) enligt följande riskkategorier: ränterisk, valutakur</w:t>
            </w:r>
            <w:r>
              <w:rPr>
                <w:rFonts w:ascii="Times New Roman" w:hAnsi="Times New Roman"/>
                <w:sz w:val="24"/>
              </w:rPr>
              <w:t>s</w:t>
            </w:r>
            <w:r>
              <w:rPr>
                <w:rFonts w:ascii="Times New Roman" w:hAnsi="Times New Roman"/>
                <w:sz w:val="24"/>
              </w:rPr>
              <w:t xml:space="preserve">risk, kreditrisk, aktierisk, råvarurisk.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 ska utgå ifrån sin interna riskhanteringsstruktur, och genom mappning som tas fram baserat på expertomdömen ska de fördela sina affärsområden eller handla</w:t>
            </w:r>
            <w:r>
              <w:rPr>
                <w:rFonts w:ascii="Times New Roman" w:hAnsi="Times New Roman"/>
                <w:sz w:val="24"/>
              </w:rPr>
              <w:t>r</w:t>
            </w:r>
            <w:r>
              <w:rPr>
                <w:rFonts w:ascii="Times New Roman" w:hAnsi="Times New Roman"/>
                <w:sz w:val="24"/>
              </w:rPr>
              <w:t>bord till den lämpligaste riskkategorin. AVA, justeringar av verkligt värde och andra nödvändiga uppgifter som hör till de fördelade affärsområdena eller han</w:t>
            </w:r>
            <w:r>
              <w:rPr>
                <w:rFonts w:ascii="Times New Roman" w:hAnsi="Times New Roman"/>
                <w:sz w:val="24"/>
              </w:rPr>
              <w:t>d</w:t>
            </w:r>
            <w:r>
              <w:rPr>
                <w:rFonts w:ascii="Times New Roman" w:hAnsi="Times New Roman"/>
                <w:sz w:val="24"/>
              </w:rPr>
              <w:t xml:space="preserve">larborden ska sedan fördelas till samma relevant riskkategori, så att man på </w:t>
            </w:r>
            <w:r>
              <w:rPr>
                <w:rFonts w:ascii="Times New Roman" w:hAnsi="Times New Roman"/>
                <w:sz w:val="24"/>
              </w:rPr>
              <w:lastRenderedPageBreak/>
              <w:t>radnivå för varje riskkategori får en konsekvent överblick över de justeringar som har gjorts både för tillsynsändamål och redovisningsändamål, samt information om de berörda positionernas storlek (i termer av tillgångar och skulder värderade till verkligt värde). Om AVA eller andra justeringar beräknas på en annan aggr</w:t>
            </w:r>
            <w:r>
              <w:rPr>
                <w:rFonts w:ascii="Times New Roman" w:hAnsi="Times New Roman"/>
                <w:sz w:val="24"/>
              </w:rPr>
              <w:t>e</w:t>
            </w:r>
            <w:r>
              <w:rPr>
                <w:rFonts w:ascii="Times New Roman" w:hAnsi="Times New Roman"/>
                <w:sz w:val="24"/>
              </w:rPr>
              <w:t>geringsnivå, särskilt företagsnivå, ska instituten ta fram en allokeringsmetod för AVA för de berörda uppsättningarna av positioner. Allokeringsmetoden ska resu</w:t>
            </w:r>
            <w:r>
              <w:rPr>
                <w:rFonts w:ascii="Times New Roman" w:hAnsi="Times New Roman"/>
                <w:sz w:val="24"/>
              </w:rPr>
              <w:t>l</w:t>
            </w:r>
            <w:r>
              <w:rPr>
                <w:rFonts w:ascii="Times New Roman" w:hAnsi="Times New Roman"/>
                <w:sz w:val="24"/>
              </w:rPr>
              <w:t xml:space="preserve">tera i att rad 0040 motsvarar summan av raderna 0050–0130 för kolumnerna 0010–0100.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Oavsett vilken metod som tillämpas ska de rapporterade uppgifterna i görligaste mån vara konsekventa på radnivå eftersom den lämnade informationen kommer att jämföras på denna nivå (AVA-belopp, övre osäkerhet, verkligt värde-belopp och eventuella justeringar av verkligt värde).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 uppdelningen i raderna 0090–0130 ingår inte AVA som beräknats i enlighet med artiklarna 12 och 13 i delegerad förordning (EU) 2016/101 om försiktig värdering som rapporteras i raderna 0050 och 0060 och som ingår i AVA för marknadspris</w:t>
            </w:r>
            <w:r>
              <w:rPr>
                <w:rFonts w:ascii="Times New Roman" w:hAnsi="Times New Roman"/>
                <w:sz w:val="24"/>
              </w:rPr>
              <w:t>o</w:t>
            </w:r>
            <w:r>
              <w:rPr>
                <w:rFonts w:ascii="Times New Roman" w:hAnsi="Times New Roman"/>
                <w:sz w:val="24"/>
              </w:rPr>
              <w:t xml:space="preserve">säkerhet, slutavräkningskostnader och modellrisk enligt artiklarna 12.2 och 13.2 i delegerad förordning (EU) 2016/101 om försiktig värdering.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Diversifieringsvinster som rapporteras i rad 0140 i enlighet med artiklarna 9.6, 10.7 och 11.7 i delegerad förordning (EU) 2016/101 om försiktig värdering ingår därför inte i raderna 0040–0130.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EJ INTJÄNADE KREDITMARGINALER (CREDIT SPR</w:t>
            </w:r>
            <w:r>
              <w:rPr>
                <w:rFonts w:ascii="Times New Roman" w:hAnsi="Times New Roman"/>
                <w:b/>
                <w:sz w:val="24"/>
                <w:u w:val="single"/>
              </w:rPr>
              <w:t>E</w:t>
            </w:r>
            <w:r>
              <w:rPr>
                <w:rFonts w:ascii="Times New Roman" w:hAnsi="Times New Roman"/>
                <w:b/>
                <w:sz w:val="24"/>
                <w:u w:val="single"/>
              </w:rPr>
              <w:t>ADS)</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Artikel 105.10 i CRR och artikel 12 i delegerad förordning (EU) 2016/101 om fö</w:t>
            </w:r>
            <w:r>
              <w:rPr>
                <w:rFonts w:ascii="Times New Roman" w:hAnsi="Times New Roman"/>
                <w:sz w:val="24"/>
              </w:rPr>
              <w:t>r</w:t>
            </w:r>
            <w:r>
              <w:rPr>
                <w:rFonts w:ascii="Times New Roman" w:hAnsi="Times New Roman"/>
                <w:sz w:val="24"/>
              </w:rPr>
              <w:t>siktig värdering.</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Summa AVA beräknat för ej intjänade kreditmarginaler (AVA för CVA) och dess allokering till AVA för marknadsprisosäkerhet, slutavräkningskostnader och m</w:t>
            </w:r>
            <w:r>
              <w:rPr>
                <w:rFonts w:ascii="Times New Roman" w:hAnsi="Times New Roman"/>
                <w:sz w:val="24"/>
              </w:rPr>
              <w:t>o</w:t>
            </w:r>
            <w:r>
              <w:rPr>
                <w:rFonts w:ascii="Times New Roman" w:hAnsi="Times New Roman"/>
                <w:sz w:val="24"/>
              </w:rPr>
              <w:t>dellrisk enligt artikel 12 i delegerad förordning (EU) 2016/101 om försiktig värd</w:t>
            </w:r>
            <w:r>
              <w:rPr>
                <w:rFonts w:ascii="Times New Roman" w:hAnsi="Times New Roman"/>
                <w:sz w:val="24"/>
              </w:rPr>
              <w:t>e</w:t>
            </w:r>
            <w:r>
              <w:rPr>
                <w:rFonts w:ascii="Times New Roman" w:hAnsi="Times New Roman"/>
                <w:sz w:val="24"/>
              </w:rPr>
              <w:t xml:space="preserve">ring.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Kolumn 0110: Summa AVA uppges endast i informationssyfte eftersom allok</w:t>
            </w:r>
            <w:r>
              <w:rPr>
                <w:rFonts w:ascii="Times New Roman" w:hAnsi="Times New Roman"/>
                <w:sz w:val="24"/>
              </w:rPr>
              <w:t>e</w:t>
            </w:r>
            <w:r>
              <w:rPr>
                <w:rFonts w:ascii="Times New Roman" w:hAnsi="Times New Roman"/>
                <w:sz w:val="24"/>
              </w:rPr>
              <w:t>ringen till AVA för marknadsprisosäkerhet, slutavräkningskostnader och model</w:t>
            </w:r>
            <w:r>
              <w:rPr>
                <w:rFonts w:ascii="Times New Roman" w:hAnsi="Times New Roman"/>
                <w:sz w:val="24"/>
              </w:rPr>
              <w:t>l</w:t>
            </w:r>
            <w:r>
              <w:rPr>
                <w:rFonts w:ascii="Times New Roman" w:hAnsi="Times New Roman"/>
                <w:sz w:val="24"/>
              </w:rPr>
              <w:t xml:space="preserve">risk leder till att informationen ingår – efter beaktande av diversifieringsvinster – i respektive AVA på kategorinivå.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Kolumnerna 0130 och 0140: Absolut värde av tillgångar och skulder värderade till verkligt värde inom ramen för beräkning av AVA för ej intjänade kreditmargin</w:t>
            </w:r>
            <w:r>
              <w:rPr>
                <w:rFonts w:ascii="Times New Roman" w:hAnsi="Times New Roman"/>
                <w:sz w:val="24"/>
              </w:rPr>
              <w:t>a</w:t>
            </w:r>
            <w:r>
              <w:rPr>
                <w:rFonts w:ascii="Times New Roman" w:hAnsi="Times New Roman"/>
                <w:sz w:val="24"/>
              </w:rPr>
              <w:t>ler. Exakt matchande, balanserande tillgångar och skulder värderade till verkligt värde som ej är medtagna för beräkningen av tröskelvärdet i enlighet med artikel 4.2 i delegerad förordning (EU) 2016/101 om försiktig värdering får för denna AVA-beräkning inte längre betraktas som exakt matchande balanserande.</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AVA INVESTERINGS- OCH FINANSIERINGSKOSTNADER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105.10 i CRR och artikel 17 i delegerad förordning (EU) 2016/101 om fö</w:t>
            </w:r>
            <w:r>
              <w:rPr>
                <w:rFonts w:ascii="Times New Roman" w:hAnsi="Times New Roman"/>
                <w:sz w:val="24"/>
              </w:rPr>
              <w:t>r</w:t>
            </w:r>
            <w:r>
              <w:rPr>
                <w:rFonts w:ascii="Times New Roman" w:hAnsi="Times New Roman"/>
                <w:sz w:val="24"/>
              </w:rPr>
              <w:t>siktig värdering.</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Summa AVA beräknat för investerings- och finansieringskostnader och dess all</w:t>
            </w:r>
            <w:r>
              <w:rPr>
                <w:rFonts w:ascii="Times New Roman" w:hAnsi="Times New Roman"/>
                <w:sz w:val="24"/>
              </w:rPr>
              <w:t>o</w:t>
            </w:r>
            <w:r>
              <w:rPr>
                <w:rFonts w:ascii="Times New Roman" w:hAnsi="Times New Roman"/>
                <w:sz w:val="24"/>
              </w:rPr>
              <w:t>kering till AVA för marknadsprisosäkerhet, slutavräkningskostnader och model</w:t>
            </w:r>
            <w:r>
              <w:rPr>
                <w:rFonts w:ascii="Times New Roman" w:hAnsi="Times New Roman"/>
                <w:sz w:val="24"/>
              </w:rPr>
              <w:t>l</w:t>
            </w:r>
            <w:r>
              <w:rPr>
                <w:rFonts w:ascii="Times New Roman" w:hAnsi="Times New Roman"/>
                <w:sz w:val="24"/>
              </w:rPr>
              <w:lastRenderedPageBreak/>
              <w:t xml:space="preserve">risk enligt artikel 13 i delegerad förordning (EU) 2016/101 om försiktig värdering.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Kolumn 0110: Summa AVA uppges endast i informationssyfte eftersom allok</w:t>
            </w:r>
            <w:r>
              <w:rPr>
                <w:rFonts w:ascii="Times New Roman" w:hAnsi="Times New Roman"/>
                <w:sz w:val="24"/>
              </w:rPr>
              <w:t>e</w:t>
            </w:r>
            <w:r>
              <w:rPr>
                <w:rFonts w:ascii="Times New Roman" w:hAnsi="Times New Roman"/>
                <w:sz w:val="24"/>
              </w:rPr>
              <w:t>ringen till AVA för marknadsprisosäkerhet, slutavräkningskostnader och model</w:t>
            </w:r>
            <w:r>
              <w:rPr>
                <w:rFonts w:ascii="Times New Roman" w:hAnsi="Times New Roman"/>
                <w:sz w:val="24"/>
              </w:rPr>
              <w:t>l</w:t>
            </w:r>
            <w:r>
              <w:rPr>
                <w:rFonts w:ascii="Times New Roman" w:hAnsi="Times New Roman"/>
                <w:sz w:val="24"/>
              </w:rPr>
              <w:t xml:space="preserve">risk leder till att informationen ingår – efter beaktande av diversifieringsvinster – i respektive AVA på kategorinivå.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Kolumnerna 0130 och 0140: Absolut värde av tillgångar och skulder värderade till verkligt värde inom ramen för beräkning av AVA för investerings- och finansi</w:t>
            </w:r>
            <w:r>
              <w:rPr>
                <w:rFonts w:ascii="Times New Roman" w:hAnsi="Times New Roman"/>
                <w:sz w:val="24"/>
              </w:rPr>
              <w:t>e</w:t>
            </w:r>
            <w:r>
              <w:rPr>
                <w:rFonts w:ascii="Times New Roman" w:hAnsi="Times New Roman"/>
                <w:sz w:val="24"/>
              </w:rPr>
              <w:t>ringskostnader. Exakt matchande, balanserande tillgångar och skulder värderade till verkligt värde som ej är medtagna för beräkningen av tröskelvärdet i enlighet med artikel 4.2 i delegerad förordning (EU) 2016/101 om försiktig värdering får för denna AVA-beräkning inte längre betraktas som exakt matchande balans</w:t>
            </w:r>
            <w:r>
              <w:rPr>
                <w:rFonts w:ascii="Times New Roman" w:hAnsi="Times New Roman"/>
                <w:sz w:val="24"/>
              </w:rPr>
              <w:t>e</w:t>
            </w:r>
            <w:r>
              <w:rPr>
                <w:rFonts w:ascii="Times New Roman" w:hAnsi="Times New Roman"/>
                <w:sz w:val="24"/>
              </w:rPr>
              <w:t>rande.</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AVA PÅ GRUND AV NOLL VÄRDE ENLIGT ARTIKEL 9.2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motsv</w:t>
            </w:r>
            <w:r>
              <w:rPr>
                <w:rFonts w:ascii="Times New Roman" w:hAnsi="Times New Roman"/>
                <w:sz w:val="24"/>
              </w:rPr>
              <w:t>a</w:t>
            </w:r>
            <w:r>
              <w:rPr>
                <w:rFonts w:ascii="Times New Roman" w:hAnsi="Times New Roman"/>
                <w:sz w:val="24"/>
              </w:rPr>
              <w:t xml:space="preserve">rar värderingsexponeringar för vilka AVA uppskattas till noll värde enligt artikel 9.2 i delegerad förordning (EU) 2016/101 om försiktig värdering.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AVA PÅ GRUND AV NOLL VÄRDE ENLIGT ARTIKEL 10.2 OCH 10.3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motsv</w:t>
            </w:r>
            <w:r>
              <w:rPr>
                <w:rFonts w:ascii="Times New Roman" w:hAnsi="Times New Roman"/>
                <w:sz w:val="24"/>
              </w:rPr>
              <w:t>a</w:t>
            </w:r>
            <w:r>
              <w:rPr>
                <w:rFonts w:ascii="Times New Roman" w:hAnsi="Times New Roman"/>
                <w:sz w:val="24"/>
              </w:rPr>
              <w:t>rar värderingsexponeringar för vilka AVA uppskattas till noll värde enligt artikel 10.2 eller 10.3 i delegerad förordning (EU) 2016/101 om försiktig värdering.</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RÄNTERISK</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VALUTAKURSRISK</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KREDITRISK</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AKTIERISK</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RÅVARURISK</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Diversifieringsvinster</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Summa diversifieringsvinster Summan av raderna 0150 och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Diversifieringsvinst beräknad med metod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För de AVA-kategorier som aggregeras enligt metod 1 i enlighet med artiklarna 9.6, 10.7 och 11.6 i delegerad förordning (EU) 2016/101 om försiktig värdering, skillnaden mellan summan av enskilda AVA och summa AVA på kategorinivå e</w:t>
            </w:r>
            <w:r>
              <w:rPr>
                <w:rFonts w:ascii="Times New Roman" w:hAnsi="Times New Roman"/>
                <w:sz w:val="24"/>
              </w:rPr>
              <w:t>f</w:t>
            </w:r>
            <w:r>
              <w:rPr>
                <w:rFonts w:ascii="Times New Roman" w:hAnsi="Times New Roman"/>
                <w:sz w:val="24"/>
              </w:rPr>
              <w:t>ter justering för aggregering.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Diversifieringsvinst beräknad med metod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För de AVA-kategorier som aggregeras enligt metod 2 i enlighet med artiklarna 9.6, 10.7 och 11.6 i delegerad förordning (EU) 2016/101 om försiktig värdering, </w:t>
            </w:r>
            <w:r>
              <w:rPr>
                <w:rFonts w:ascii="Times New Roman" w:hAnsi="Times New Roman"/>
                <w:sz w:val="24"/>
              </w:rPr>
              <w:lastRenderedPageBreak/>
              <w:t>skillnaden mellan summan av enskilda AVA och summa AVA på kategorinivå e</w:t>
            </w:r>
            <w:r>
              <w:rPr>
                <w:rFonts w:ascii="Times New Roman" w:hAnsi="Times New Roman"/>
                <w:sz w:val="24"/>
              </w:rPr>
              <w:t>f</w:t>
            </w:r>
            <w:r>
              <w:rPr>
                <w:rFonts w:ascii="Times New Roman" w:hAnsi="Times New Roman"/>
                <w:sz w:val="24"/>
              </w:rPr>
              <w:t>ter justering för aggregering.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 före diversifiering min</w:t>
            </w:r>
            <w:r>
              <w:rPr>
                <w:rFonts w:ascii="Times New Roman" w:hAnsi="Times New Roman"/>
                <w:b/>
                <w:caps/>
                <w:sz w:val="24"/>
                <w:u w:val="single"/>
              </w:rPr>
              <w:t>s</w:t>
            </w:r>
            <w:r>
              <w:rPr>
                <w:rFonts w:ascii="Times New Roman" w:hAnsi="Times New Roman"/>
                <w:b/>
                <w:caps/>
                <w:sz w:val="24"/>
                <w:u w:val="single"/>
              </w:rPr>
              <w:t>kat med mer än 90 % genom diversifiering enligt metod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Enligt den terminologi som gäller för metod 2, summan av FV – PV för alla vä</w:t>
            </w:r>
            <w:r>
              <w:rPr>
                <w:rFonts w:ascii="Times New Roman" w:hAnsi="Times New Roman"/>
                <w:sz w:val="24"/>
              </w:rPr>
              <w:t>r</w:t>
            </w:r>
            <w:r>
              <w:rPr>
                <w:rFonts w:ascii="Times New Roman" w:hAnsi="Times New Roman"/>
                <w:sz w:val="24"/>
              </w:rPr>
              <w:t>deringsexponeringar för där APVA &lt; 10%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Portföljer enligt nödfallsmetoden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Artikel 7.2 b i delegerad förordning (EU) 2016/101 om försiktig värdering.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portföljer som omfattas av nödfallsmetoden enligt artikel 7.2 b i delegerad förordning (EU) 2016/101 om försiktig värdering ska summa AVA beräknas som 0190, 0200 och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Relevant balansräkning och annan bakgrundsinformation ska ges i kolumnerna 0130–0260. Beskrivning av positionerna och angivande av skälet till varför det inte var möjligt att tillämpa artiklarna 9–17 i delegerad förordning (EU) 2016/101 om försiktig värdering ska ges i kolumn 0270.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Nödfallsmetod; 100 % orealiserad vinst</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Artikel 7.2 b i i delegerad förordning (EU) 2016/101 om försiktig värdering.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Nödfallsmetod; 10% nominellt värde</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Artikel 7.2 b ii i delegerad förordning (EU) 2016/101 om försiktig värdering.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Nödfallsmetod; 25% av inledningsvärdet</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Artikel 7.2 b iii i delegerad förordning (EU) 2016/101 om försiktig värdering.</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8" w:name="_Toc516210713"/>
      <w:bookmarkStart w:id="789" w:name="_Toc523820334"/>
      <w:r>
        <w:rPr>
          <w:rFonts w:ascii="Times New Roman" w:hAnsi="Times New Roman"/>
          <w:sz w:val="24"/>
          <w:u w:val="none"/>
        </w:rPr>
        <w:t xml:space="preserve">6.3. </w:t>
      </w:r>
      <w:r>
        <w:rPr>
          <w:rFonts w:ascii="Times New Roman" w:hAnsi="Times New Roman"/>
          <w:sz w:val="24"/>
        </w:rPr>
        <w:t>C 32.03 - Försiktig värdering: AVA för modellrisk (PruVal 3)</w:t>
      </w:r>
      <w:bookmarkEnd w:id="788"/>
      <w:bookmarkEnd w:id="789"/>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0" w:name="_Toc516210714"/>
      <w:bookmarkStart w:id="791" w:name="_Toc523820335"/>
      <w:r>
        <w:rPr>
          <w:rFonts w:ascii="Times New Roman" w:hAnsi="Times New Roman"/>
          <w:sz w:val="24"/>
          <w:u w:val="none"/>
        </w:rPr>
        <w:t>6.3.1.</w:t>
      </w:r>
      <w:r w:rsidRPr="001253A2">
        <w:rPr>
          <w:u w:val="none"/>
        </w:rPr>
        <w:tab/>
      </w:r>
      <w:r>
        <w:rPr>
          <w:rFonts w:ascii="Times New Roman" w:hAnsi="Times New Roman"/>
          <w:sz w:val="24"/>
        </w:rPr>
        <w:t>Allmänna kommentarer</w:t>
      </w:r>
      <w:bookmarkEnd w:id="790"/>
      <w:bookmarkEnd w:id="791"/>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Denna mall ska endast fyllas i av de institut som överskrider tröskelvärdet i artikel 4.1 i delegerad förordning (EU) 2016/101 om försiktig värdering på enskild nivå. Institut som ingår i en grupp som överskrider tröskelvärdet på gruppnivå måste endast fylla i denna mall om de även överskrider tröskelvärdet på enskild nivå.</w:t>
      </w:r>
    </w:p>
    <w:p w:rsidR="00AF3D7A" w:rsidRPr="00DD41BE" w:rsidRDefault="00AF3D7A" w:rsidP="001A3980">
      <w:pPr>
        <w:pStyle w:val="InstructionsText2"/>
        <w:numPr>
          <w:ilvl w:val="0"/>
          <w:numId w:val="0"/>
        </w:numPr>
        <w:ind w:left="993"/>
      </w:pPr>
      <w:r>
        <w:t>154g. Denna mall ska användas för att rapportera uppgifter om de 20 beloppmässigt största enskilda AVA för modellrisk som bidrar till summa AVA för modellrisk på kategorinivå beräknat i enlighet med artikel 11 i delegerad förordning (EU) 2016/101 om försiktig värdering. Denna information motsvarar den information som rapporteras i kolumn 0050 i mall C 32.02.</w:t>
      </w:r>
    </w:p>
    <w:p w:rsidR="00AF3D7A" w:rsidRPr="00DD41BE" w:rsidRDefault="00AF3D7A" w:rsidP="001A3980">
      <w:pPr>
        <w:pStyle w:val="InstructionsText2"/>
        <w:numPr>
          <w:ilvl w:val="0"/>
          <w:numId w:val="0"/>
        </w:numPr>
        <w:ind w:left="993"/>
      </w:pPr>
      <w:r>
        <w:lastRenderedPageBreak/>
        <w:t>154h. De 20 största enskilda AVA för modellrisk ska, tillsammans med motsv</w:t>
      </w:r>
      <w:r>
        <w:t>a</w:t>
      </w:r>
      <w:r>
        <w:t xml:space="preserve">rande produktinformation, rapporteras i sjunkande ordning och börja med den största enskilda AVA för modellrisk. </w:t>
      </w:r>
    </w:p>
    <w:p w:rsidR="00AF3D7A" w:rsidRDefault="00AF3D7A" w:rsidP="001A3980">
      <w:pPr>
        <w:pStyle w:val="InstructionsText2"/>
        <w:numPr>
          <w:ilvl w:val="0"/>
          <w:numId w:val="0"/>
        </w:numPr>
        <w:ind w:left="993"/>
      </w:pPr>
      <w:r>
        <w:t>154i. Produkter som motsvarar dessa största enskilda AVA för modellrisk ska ra</w:t>
      </w:r>
      <w:r>
        <w:t>p</w:t>
      </w:r>
      <w:r>
        <w:t xml:space="preserve">porteras med användning av det produktinventarium som krävs enligt artikel 19.3 a i delegerad förordning (EU) 2016/101 om försiktig värdering. </w:t>
      </w:r>
    </w:p>
    <w:p w:rsidR="00AF3D7A" w:rsidRPr="004502C8" w:rsidRDefault="00113E45" w:rsidP="001A3980">
      <w:pPr>
        <w:pStyle w:val="InstructionsText2"/>
        <w:numPr>
          <w:ilvl w:val="0"/>
          <w:numId w:val="0"/>
        </w:numPr>
        <w:ind w:left="993"/>
      </w:pPr>
      <w:r>
        <w:t>154j. Om produkterna är tillräckligt likartade vad gäller värderingsmodellen och AVA för modellrisk ska de slås samman och rapporteras på en rad för att maximera mallens täckning avseende institutets totala AVA för modellrisk på kategorinivå.</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2" w:name="_Toc516210715"/>
      <w:bookmarkStart w:id="793" w:name="_Toc523820336"/>
      <w:r>
        <w:rPr>
          <w:rFonts w:ascii="Times New Roman" w:hAnsi="Times New Roman"/>
          <w:sz w:val="24"/>
          <w:u w:val="none"/>
        </w:rPr>
        <w:t>6.3.2.</w:t>
      </w:r>
      <w:r w:rsidRPr="001253A2">
        <w:rPr>
          <w:u w:val="none"/>
        </w:rPr>
        <w:tab/>
      </w:r>
      <w:r>
        <w:rPr>
          <w:rFonts w:ascii="Times New Roman" w:hAnsi="Times New Roman"/>
          <w:sz w:val="24"/>
        </w:rPr>
        <w:t>Instruktioner för specifika positioner</w:t>
      </w:r>
      <w:bookmarkEnd w:id="792"/>
      <w:bookmarkEnd w:id="79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tabellen. Den ska följa nummerordning, 1, 2, 3, osv., där 1 är AVA för största enskilda modellrisk, 2 är näst största och så vidare.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Internt namn (alfanumeriskt) på modellen som institutet använder för att identifiera den.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den produkt eller produktgrupp som ger upphov till värdering</w:t>
            </w:r>
            <w:r>
              <w:rPr>
                <w:rFonts w:ascii="Times New Roman" w:hAnsi="Times New Roman"/>
                <w:sz w:val="24"/>
              </w:rPr>
              <w:t>s</w:t>
            </w:r>
            <w:r>
              <w:rPr>
                <w:rFonts w:ascii="Times New Roman" w:hAnsi="Times New Roman"/>
                <w:sz w:val="24"/>
              </w:rPr>
              <w:t>justeringen för modellrisk.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valutakursrisk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Internt namn (alfanumeriskt) på produkten eller produktgruppen – i överensstä</w:t>
            </w:r>
            <w:r>
              <w:rPr>
                <w:rFonts w:ascii="Times New Roman" w:hAnsi="Times New Roman"/>
                <w:sz w:val="24"/>
              </w:rPr>
              <w:t>m</w:t>
            </w:r>
            <w:r>
              <w:rPr>
                <w:rFonts w:ascii="Times New Roman" w:hAnsi="Times New Roman"/>
                <w:sz w:val="24"/>
              </w:rPr>
              <w:t>melse med det produktinventarium som krävs enligt artikel 19.3 a i delegerad fö</w:t>
            </w:r>
            <w:r>
              <w:rPr>
                <w:rFonts w:ascii="Times New Roman" w:hAnsi="Times New Roman"/>
                <w:sz w:val="24"/>
              </w:rPr>
              <w:t>r</w:t>
            </w:r>
            <w:r>
              <w:rPr>
                <w:rFonts w:ascii="Times New Roman" w:hAnsi="Times New Roman"/>
                <w:sz w:val="24"/>
              </w:rPr>
              <w:t>ordning (EU) 2016/101 om försiktig värdering – som värderas med hjälp av m</w:t>
            </w:r>
            <w:r>
              <w:rPr>
                <w:rFonts w:ascii="Times New Roman" w:hAnsi="Times New Roman"/>
                <w:sz w:val="24"/>
              </w:rPr>
              <w:t>o</w:t>
            </w:r>
            <w:r>
              <w:rPr>
                <w:rFonts w:ascii="Times New Roman" w:hAnsi="Times New Roman"/>
                <w:sz w:val="24"/>
              </w:rPr>
              <w:t>dellen.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OBSERVERBARHET</w:t>
            </w:r>
          </w:p>
          <w:p w:rsidR="00113E45" w:rsidRPr="00DD41BE" w:rsidRDefault="00113E45" w:rsidP="00E60B53">
            <w:pPr>
              <w:pStyle w:val="CommentText"/>
              <w:rPr>
                <w:rFonts w:ascii="Times New Roman" w:hAnsi="Times New Roman"/>
                <w:sz w:val="24"/>
                <w:szCs w:val="24"/>
              </w:rPr>
            </w:pPr>
            <w:r>
              <w:rPr>
                <w:rFonts w:ascii="Times New Roman" w:hAnsi="Times New Roman"/>
                <w:sz w:val="24"/>
              </w:rPr>
              <w:t xml:space="preserve">Antal prisobservationer för produkten eller produktgruppen under de senaste tolv </w:t>
            </w:r>
            <w:r>
              <w:rPr>
                <w:rFonts w:ascii="Times New Roman" w:hAnsi="Times New Roman"/>
                <w:sz w:val="24"/>
              </w:rPr>
              <w:lastRenderedPageBreak/>
              <w:t>månaderna som uppfyller något av följande kriterier:</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Prisobservationen är ett pris vid vilket institutet har utfört en transaktion.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Det är ett verifierbart pris för en faktisk transaktion mellan tredje parter.</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Priset erhålls från ett fast bud.</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Instituten ska använda ett av följande värden vid rapporteringen: ”inga”,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MODELLRISK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11.1 i</w:t>
            </w:r>
            <w:r>
              <w:t xml:space="preserve"> </w:t>
            </w:r>
            <w:r>
              <w:rPr>
                <w:rFonts w:ascii="Times New Roman" w:hAnsi="Times New Roman"/>
                <w:sz w:val="24"/>
              </w:rPr>
              <w:t>delegerad förordning (EU) 2016/101 om försiktig värdering.</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Enskild AVA för modellrisk före diversifieringsvinst, men efter portföljnettning om tillämpligt.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MED EXPERTBASERAD METOD</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Beloppen i kolumn 0050 som har beräknats med expertbaserad metod enligt def</w:t>
            </w:r>
            <w:r>
              <w:rPr>
                <w:rFonts w:ascii="Times New Roman" w:hAnsi="Times New Roman"/>
                <w:sz w:val="24"/>
              </w:rPr>
              <w:t>i</w:t>
            </w:r>
            <w:r>
              <w:rPr>
                <w:rFonts w:ascii="Times New Roman" w:hAnsi="Times New Roman"/>
                <w:sz w:val="24"/>
              </w:rPr>
              <w:t>nitionen i artikel 11.4 i delegerad förordning (EU) 2016/101 om försiktig värd</w:t>
            </w:r>
            <w:r>
              <w:rPr>
                <w:rFonts w:ascii="Times New Roman" w:hAnsi="Times New Roman"/>
                <w:sz w:val="24"/>
              </w:rPr>
              <w:t>e</w:t>
            </w:r>
            <w:r>
              <w:rPr>
                <w:rFonts w:ascii="Times New Roman" w:hAnsi="Times New Roman"/>
                <w:sz w:val="24"/>
              </w:rPr>
              <w:t>ring.</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AGGREGERAD, MED METOD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Beloppen i kolumn 0050 som har aggregerats enligt metod 2 i bilagan till deleg</w:t>
            </w:r>
            <w:r>
              <w:rPr>
                <w:rFonts w:ascii="Times New Roman" w:hAnsi="Times New Roman"/>
                <w:sz w:val="24"/>
              </w:rPr>
              <w:t>e</w:t>
            </w:r>
            <w:r>
              <w:rPr>
                <w:rFonts w:ascii="Times New Roman" w:hAnsi="Times New Roman"/>
                <w:sz w:val="24"/>
              </w:rPr>
              <w:t xml:space="preserve">rad förordning (EU) 2016/101 om försiktig värdering. Detta motsvarar FV – PV enligt den terminologi som används i bilagan.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AGGREGERAD AVA BERÄKNAD ENLIGT METOD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Bidraget till summa AVA för modellrisk på kategorinivå, beräknat enligt artikel 11.7 i </w:t>
            </w:r>
            <w:r>
              <w:rPr>
                <w:rFonts w:ascii="Times New Roman" w:hAnsi="Times New Roman"/>
                <w:sz w:val="24"/>
              </w:rPr>
              <w:t>delegerad förordning (EU) 2016/101 om försiktig värdering</w:t>
            </w:r>
            <w:r>
              <w:rPr>
                <w:rStyle w:val="InstructionsTabelleberschrift"/>
                <w:rFonts w:ascii="Times New Roman" w:hAnsi="Times New Roman"/>
                <w:b w:val="0"/>
                <w:sz w:val="24"/>
                <w:u w:val="none"/>
              </w:rPr>
              <w:t xml:space="preserve">, av enskilda AVA för modellrisk som har aggregerats med användning av metod 2 i bilagan till </w:t>
            </w:r>
            <w:r>
              <w:rPr>
                <w:rFonts w:ascii="Times New Roman" w:hAnsi="Times New Roman"/>
                <w:sz w:val="24"/>
              </w:rPr>
              <w:t>delegerad förordning (EU) 2016/101 om försiktig värdering</w:t>
            </w:r>
            <w:r>
              <w:rPr>
                <w:rStyle w:val="InstructionsTabelleberschrift"/>
                <w:rFonts w:ascii="Times New Roman" w:hAnsi="Times New Roman"/>
                <w:b w:val="0"/>
                <w:sz w:val="24"/>
                <w:u w:val="none"/>
              </w:rPr>
              <w:t xml:space="preserve">. </w:t>
            </w:r>
            <w:r>
              <w:rPr>
                <w:rFonts w:ascii="Times New Roman" w:hAnsi="Times New Roman"/>
                <w:sz w:val="24"/>
              </w:rPr>
              <w:t>Detta motsvarar APVA enligt den terminologi som används i bilagan.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tillgångar och skulder värderade till verkligt värde, som värderats enligt den modell som rapporteras i kolumn 0010, såsom det anges i de finansiella rapporterna enligt tillämpliga redovisningsregler.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värde av tillgångar värderade till verkligt värde, som värderats enligt den modell som rapporteras i kolumn 0010, såsom det anges i de finansiella rapporte</w:t>
            </w:r>
            <w:r>
              <w:rPr>
                <w:rFonts w:ascii="Times New Roman" w:hAnsi="Times New Roman"/>
                <w:sz w:val="24"/>
              </w:rPr>
              <w:t>r</w:t>
            </w:r>
            <w:r>
              <w:rPr>
                <w:rFonts w:ascii="Times New Roman" w:hAnsi="Times New Roman"/>
                <w:sz w:val="24"/>
              </w:rPr>
              <w:t>na enligt tillämpliga redovisningsregler</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värde av skulder värderade till verkligt värde, som värderats enligt den modell som rapporteras i kolumn 0010, såsom det anges i de finansiella rapporte</w:t>
            </w:r>
            <w:r>
              <w:rPr>
                <w:rFonts w:ascii="Times New Roman" w:hAnsi="Times New Roman"/>
                <w:sz w:val="24"/>
              </w:rPr>
              <w:t>r</w:t>
            </w:r>
            <w:r>
              <w:rPr>
                <w:rFonts w:ascii="Times New Roman" w:hAnsi="Times New Roman"/>
                <w:sz w:val="24"/>
              </w:rPr>
              <w:t xml:space="preserve">na enligt tillämpliga redovisningsregler.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 (OUTPUT-TEST)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belopp för ojusterad differens (IPV-differens) beräknad vid månad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slutet närmast före rapporteringsdatumet inom ramen för den oberoende prisko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troll (IPV) som görs i enlighet med artikel 105.8 i CRR med beaktande av bästa tillgängliga oberoende data för motsvarande produkter eller produktgrupper.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avser ojusterade differenser mellan de värderingar som genereras av handelssystemet och de värderingar som uppskattas vid den m</w:t>
            </w:r>
            <w:r>
              <w:rPr>
                <w:rStyle w:val="InstructionsTabelleberschrift"/>
                <w:rFonts w:ascii="Times New Roman" w:hAnsi="Times New Roman"/>
                <w:b w:val="0"/>
                <w:sz w:val="24"/>
                <w:u w:val="none"/>
              </w:rPr>
              <w:t>å</w:t>
            </w:r>
            <w:r>
              <w:rPr>
                <w:rStyle w:val="InstructionsTabelleberschrift"/>
                <w:rFonts w:ascii="Times New Roman" w:hAnsi="Times New Roman"/>
                <w:b w:val="0"/>
                <w:sz w:val="24"/>
                <w:u w:val="none"/>
              </w:rPr>
              <w:t>natliga IPV-processen.</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slutet ska inkluderas i beräkningen av IPV-differens.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Här ska endast tas med resultat som har kalibrerats från priser på instrument som skulle mappas till samma produkt (output-test). Resultat från input-test med mar</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nadsindata som testas mot nivåer som har kalibrerats från skilda produkter ska inte tas med.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IPV-TÄCKNING (OUTPUT-TEST)</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Procentandel av de positioner som mappats mot modellen viktat med AVA för modellrisk som täcks av resultaten från output-test inom ramen för oberoende pri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kontroll, som anges i kolumn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JUSTERINGAR AV VERKLIGT VÄRDE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Justeringar av verkligt värde enligt definitionen i kolumnerna 0190 och 0240 i mall C 32.02 som har tillämpats på de positioner som har mappats mot </w:t>
            </w:r>
            <w:r>
              <w:rPr>
                <w:rFonts w:ascii="Times New Roman" w:hAnsi="Times New Roman"/>
                <w:sz w:val="24"/>
              </w:rPr>
              <w:t>modellen i k</w:t>
            </w:r>
            <w:r>
              <w:rPr>
                <w:rFonts w:ascii="Times New Roman" w:hAnsi="Times New Roman"/>
                <w:sz w:val="24"/>
              </w:rPr>
              <w:t>o</w:t>
            </w:r>
            <w:r>
              <w:rPr>
                <w:rFonts w:ascii="Times New Roman" w:hAnsi="Times New Roman"/>
                <w:sz w:val="24"/>
              </w:rPr>
              <w:t>lumn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Justeringar enligt definitionen i kolumn 0260 i mall C 32.02 som har tillämpats på de positioner som har mappats mot </w:t>
            </w:r>
            <w:r>
              <w:rPr>
                <w:rFonts w:ascii="Times New Roman" w:hAnsi="Times New Roman"/>
                <w:sz w:val="24"/>
              </w:rPr>
              <w:t>modellen i kolumn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4" w:name="_Toc516210716"/>
      <w:bookmarkStart w:id="795" w:name="_Toc523820337"/>
      <w:r>
        <w:rPr>
          <w:rFonts w:ascii="Times New Roman" w:hAnsi="Times New Roman"/>
          <w:sz w:val="24"/>
          <w:u w:val="none"/>
        </w:rPr>
        <w:t xml:space="preserve">6.4 </w:t>
      </w:r>
      <w:r>
        <w:rPr>
          <w:rFonts w:ascii="Times New Roman" w:hAnsi="Times New Roman"/>
          <w:sz w:val="24"/>
        </w:rPr>
        <w:t>C 32.04 - Försiktig värdering: AVA för koncentrerade positioner (PruVal 4)</w:t>
      </w:r>
      <w:bookmarkEnd w:id="794"/>
      <w:bookmarkEnd w:id="795"/>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6" w:name="_Toc516210717"/>
      <w:bookmarkStart w:id="797" w:name="_Toc523820338"/>
      <w:r>
        <w:rPr>
          <w:rFonts w:ascii="Times New Roman" w:hAnsi="Times New Roman"/>
          <w:sz w:val="24"/>
          <w:u w:val="none"/>
        </w:rPr>
        <w:t>6.4.1.</w:t>
      </w:r>
      <w:r w:rsidRPr="00803B42">
        <w:rPr>
          <w:u w:val="none"/>
        </w:rPr>
        <w:tab/>
      </w:r>
      <w:r>
        <w:rPr>
          <w:rFonts w:ascii="Times New Roman" w:hAnsi="Times New Roman"/>
          <w:sz w:val="24"/>
        </w:rPr>
        <w:t>Allmänna kommentarer</w:t>
      </w:r>
      <w:bookmarkEnd w:id="796"/>
      <w:bookmarkEnd w:id="797"/>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Denna mall ska endast fyllas i av de institut som överskrider tröskelvärdet i artikel 4.1 i delegerad förordning (EU) 2016/101 om försiktig värdering på enskild nivå. Institut som ingår i en grupp som överskrider tröskelvärdet på gruppnivå ska endast fylla i denna mall om de även överskrider tröskelvärdet på enskild nivå.</w:t>
      </w:r>
    </w:p>
    <w:p w:rsidR="00113E45" w:rsidRPr="00DD41BE" w:rsidRDefault="00113E45" w:rsidP="009068C9">
      <w:pPr>
        <w:pStyle w:val="InstructionsText2"/>
        <w:numPr>
          <w:ilvl w:val="0"/>
          <w:numId w:val="0"/>
        </w:numPr>
        <w:ind w:left="993"/>
      </w:pPr>
      <w:r>
        <w:t>154l. Denna mall ska användas för att rapportera uppgifter om de 20 beloppsmäs</w:t>
      </w:r>
      <w:r>
        <w:t>s</w:t>
      </w:r>
      <w:r>
        <w:t>igt största enskilda AVA för koncentrerade positioner som bidrar till summa AVA för koncentrerade positioner på kategorinivå beräknat i enlighet med artikel 14 i d</w:t>
      </w:r>
      <w:r>
        <w:t>e</w:t>
      </w:r>
      <w:r>
        <w:t xml:space="preserve">legerad förordning (EU) 2016/101 om försiktig värdering. Denna information ska motsvara den information som rapporteras i kolumn 0070 i mall C 32.02. </w:t>
      </w:r>
    </w:p>
    <w:p w:rsidR="00113E45" w:rsidRPr="00DD41BE" w:rsidRDefault="00113E45" w:rsidP="009068C9">
      <w:pPr>
        <w:pStyle w:val="InstructionsText2"/>
        <w:numPr>
          <w:ilvl w:val="0"/>
          <w:numId w:val="0"/>
        </w:numPr>
        <w:ind w:left="993"/>
      </w:pPr>
      <w:r>
        <w:lastRenderedPageBreak/>
        <w:t>154m. De 20 största AVA för koncentrerade positioner ska, tillsammans med mo</w:t>
      </w:r>
      <w:r>
        <w:t>t</w:t>
      </w:r>
      <w:r>
        <w:t>svarande produktinformation, rapporteras i sjunkande ordning och börja med den största enskilda AVA för koncentrerade positioner.</w:t>
      </w:r>
    </w:p>
    <w:p w:rsidR="00113E45" w:rsidRPr="00DD41BE" w:rsidRDefault="00113E45" w:rsidP="009068C9">
      <w:pPr>
        <w:pStyle w:val="InstructionsText2"/>
        <w:numPr>
          <w:ilvl w:val="0"/>
          <w:numId w:val="0"/>
        </w:numPr>
        <w:ind w:left="993"/>
      </w:pPr>
      <w:r>
        <w:t>154n. Produkter som motsvarar dessa största enskilda AVA för koncentrerade p</w:t>
      </w:r>
      <w:r>
        <w:t>o</w:t>
      </w:r>
      <w:r>
        <w:t>sitioner ska rapporteras med användning av det produktinventarium som krävs e</w:t>
      </w:r>
      <w:r>
        <w:t>n</w:t>
      </w:r>
      <w:r>
        <w:t>ligt artikel 19.3 a i delegerad förordning (EU) 2016/101 om försiktig värdering.</w:t>
      </w:r>
    </w:p>
    <w:p w:rsidR="00113E45" w:rsidRPr="004502C8" w:rsidRDefault="00113E45" w:rsidP="009068C9">
      <w:pPr>
        <w:pStyle w:val="InstructionsText2"/>
        <w:numPr>
          <w:ilvl w:val="0"/>
          <w:numId w:val="0"/>
        </w:numPr>
        <w:ind w:left="993"/>
      </w:pPr>
      <w:r>
        <w:t>154o. Positioner som är likartade vad gäller beräkningsmetoden för AVA ska om möjligt aggregeras för att maximera mallens täckning.</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8" w:name="_Toc516210718"/>
      <w:bookmarkStart w:id="799" w:name="_Toc523820339"/>
      <w:r>
        <w:rPr>
          <w:rFonts w:ascii="Times New Roman" w:hAnsi="Times New Roman"/>
          <w:sz w:val="24"/>
          <w:u w:val="none"/>
        </w:rPr>
        <w:t>6.4.2.</w:t>
      </w:r>
      <w:r w:rsidRPr="00803B42">
        <w:rPr>
          <w:u w:val="none"/>
        </w:rPr>
        <w:tab/>
      </w:r>
      <w:r>
        <w:rPr>
          <w:rFonts w:ascii="Times New Roman" w:hAnsi="Times New Roman"/>
          <w:sz w:val="24"/>
        </w:rPr>
        <w:t>Instruktioner för specifika positioner</w:t>
      </w:r>
      <w:bookmarkEnd w:id="798"/>
      <w:bookmarkEnd w:id="7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tabellen. Den ska följa nummerordning, 1, 2, 3, osv., där 1 är AVA för största koncentrerade position, 2 är näst största och så vidare.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positionen.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valutakursrisk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Internt namn på produkten eller produktgruppen, i överensstämmelse med det produktinventarium som krävs enligt artikel 19.3 a i delegerad förordning (EU) 2016/101 om försiktig värdering.</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UNDERLIGGANDE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 benämning på underliggande för derivat, eller på instrument för annat än derivat.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KONCENTRERAD POSITION - STORLEK</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Storlek på den enskilda koncentrerade värderingsposition som har identifierats i enlighet med artikel 4.1 a i delegerad förordning (EU) 2016/101 om försiktig värdering, uttryckt i den enhet som anges i kolumn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STOREKSMÅTT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Den enhet för storleksmått som används internt vid identifieringen av den ko</w:t>
            </w:r>
            <w:r>
              <w:rPr>
                <w:rFonts w:ascii="Times New Roman" w:hAnsi="Times New Roman"/>
                <w:sz w:val="24"/>
              </w:rPr>
              <w:t>n</w:t>
            </w:r>
            <w:r>
              <w:rPr>
                <w:rFonts w:ascii="Times New Roman" w:hAnsi="Times New Roman"/>
                <w:sz w:val="24"/>
              </w:rPr>
              <w:t xml:space="preserve">centrerade värderingspositionen för att beräkna den koncentrerade positionens storlek, som avses i kolumn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För obligationer och aktier ska den enhet rapporteras som används </w:t>
            </w:r>
            <w:r>
              <w:rPr>
                <w:rFonts w:ascii="Times New Roman" w:hAnsi="Times New Roman"/>
                <w:sz w:val="24"/>
              </w:rPr>
              <w:t>i den interna riskhanteringen</w:t>
            </w:r>
            <w:r>
              <w:rPr>
                <w:rStyle w:val="InstructionsTabelleberschrift"/>
                <w:rFonts w:ascii="Times New Roman" w:hAnsi="Times New Roman"/>
                <w:b w:val="0"/>
                <w:sz w:val="24"/>
                <w:u w:val="none"/>
              </w:rPr>
              <w:t>, till exempel ”antal obligationer”, ”antal aktier” eller ”mar</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nadsvärde”.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För derivatpositioner ska den enhet rapporteras som används i den interna ris</w:t>
            </w:r>
            <w:r>
              <w:rPr>
                <w:rFonts w:ascii="Times New Roman" w:hAnsi="Times New Roman"/>
                <w:sz w:val="24"/>
              </w:rPr>
              <w:t>k</w:t>
            </w:r>
            <w:r>
              <w:rPr>
                <w:rFonts w:ascii="Times New Roman" w:hAnsi="Times New Roman"/>
                <w:sz w:val="24"/>
              </w:rPr>
              <w:t>hanteringen, till exempel ”PV01, EUR per 1 räntepunkts parallellskift i avkas</w:t>
            </w:r>
            <w:r>
              <w:rPr>
                <w:rFonts w:ascii="Times New Roman" w:hAnsi="Times New Roman"/>
                <w:sz w:val="24"/>
              </w:rPr>
              <w:t>t</w:t>
            </w:r>
            <w:r>
              <w:rPr>
                <w:rFonts w:ascii="Times New Roman" w:hAnsi="Times New Roman"/>
                <w:sz w:val="24"/>
              </w:rPr>
              <w:t xml:space="preserve">ningskurvan”.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MARKNADSVÄRDE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marknadsvärde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FÖRSIKTIG EXITPERIOD</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försiktiga exitperioden, i antal dagar, som uppskattas enligt 14.1 b i </w:t>
            </w:r>
            <w:r>
              <w:rPr>
                <w:rFonts w:ascii="Times New Roman" w:hAnsi="Times New Roman"/>
                <w:sz w:val="24"/>
              </w:rPr>
              <w:t>deleg</w:t>
            </w:r>
            <w:r>
              <w:rPr>
                <w:rFonts w:ascii="Times New Roman" w:hAnsi="Times New Roman"/>
                <w:sz w:val="24"/>
              </w:rPr>
              <w:t>e</w:t>
            </w:r>
            <w:r>
              <w:rPr>
                <w:rFonts w:ascii="Times New Roman" w:hAnsi="Times New Roman"/>
                <w:sz w:val="24"/>
              </w:rPr>
              <w:t>rad förordning (EU) 2016/101 om</w:t>
            </w:r>
            <w:r>
              <w:rPr>
                <w:rStyle w:val="InstructionsTabelleberschrift"/>
                <w:rFonts w:ascii="Times New Roman" w:hAnsi="Times New Roman"/>
                <w:b w:val="0"/>
                <w:sz w:val="24"/>
                <w:u w:val="none"/>
              </w:rPr>
              <w:t xml:space="preserve"> </w:t>
            </w:r>
            <w:r>
              <w:rPr>
                <w:rFonts w:ascii="Times New Roman" w:hAnsi="Times New Roman"/>
                <w:sz w:val="24"/>
              </w:rPr>
              <w:t>försiktig värdering</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KONCENTRERADE POSITIONER</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AVA-beloppet för koncentrerade positioner, beräknat i enlighet med artikel 14.1 i </w:t>
            </w:r>
            <w:r>
              <w:rPr>
                <w:rFonts w:ascii="Times New Roman" w:hAnsi="Times New Roman"/>
                <w:sz w:val="24"/>
              </w:rPr>
              <w:t>delegerad förordning (EU) 2016/101 om</w:t>
            </w:r>
            <w:r>
              <w:rPr>
                <w:rStyle w:val="InstructionsTabelleberschrift"/>
                <w:rFonts w:ascii="Times New Roman" w:hAnsi="Times New Roman"/>
                <w:b w:val="0"/>
                <w:sz w:val="24"/>
                <w:u w:val="none"/>
              </w:rPr>
              <w:t xml:space="preserve"> </w:t>
            </w:r>
            <w:r>
              <w:rPr>
                <w:rFonts w:ascii="Times New Roman" w:hAnsi="Times New Roman"/>
                <w:sz w:val="24"/>
              </w:rPr>
              <w:t>försiktig värdering</w:t>
            </w:r>
            <w:r>
              <w:rPr>
                <w:rStyle w:val="InstructionsTabelleberschrift"/>
                <w:rFonts w:ascii="Times New Roman" w:hAnsi="Times New Roman"/>
                <w:b w:val="0"/>
                <w:sz w:val="24"/>
                <w:u w:val="none"/>
              </w:rPr>
              <w:t xml:space="preserve"> för den berörda enskilda koncentrerade positionen.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 POSITION – JUSTERING AV VERKLIGT VÄRDE</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av alla eventuella justeringar av verkligt värde som görs för att åte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spegla det faktum att den aggregerade position som institutet innehar är större än en normalt handlad volym, eller större än de positioner som ligger till grund för de noteringar eller transaktioner som används för att kalibrera pris eller indata för värderingsmodellen.</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rapporterade beloppet ska motsvara det belopp som har tillämpats på den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rörda enskilda koncentrerade värderingspositionen.</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belopp för ojusterad differens (IPV-differens) beräknad vid månad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slutet närmast före rapporteringsdatumet inom ramen för den oberoende prisko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troll (IPV) som görs i enlighet med artikel 105.8 i CRR med beaktande av bästa tillgängliga oberoende data för den berörda enskilda koncentrerade värdering</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positionen.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ska avse ojusterade differenser mellan de värd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ringar som genereras av handelssystemet och de värderingar som uppskattas vid den månatliga IPV-processen.</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w:t>
            </w:r>
            <w:r>
              <w:rPr>
                <w:rStyle w:val="InstructionsTabelleberschrift"/>
                <w:rFonts w:ascii="Times New Roman" w:hAnsi="Times New Roman"/>
                <w:b w:val="0"/>
                <w:sz w:val="24"/>
                <w:u w:val="none"/>
              </w:rPr>
              <w:t>å</w:t>
            </w:r>
            <w:r>
              <w:rPr>
                <w:rStyle w:val="InstructionsTabelleberschrift"/>
                <w:rFonts w:ascii="Times New Roman" w:hAnsi="Times New Roman"/>
                <w:b w:val="0"/>
                <w:sz w:val="24"/>
                <w:u w:val="none"/>
              </w:rPr>
              <w:t>nadsslutet ska inkluderas i beräkningen av IPV-differens.</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0" w:name="_Toc516210719"/>
      <w:bookmarkStart w:id="801" w:name="_Toc473561055"/>
      <w:bookmarkStart w:id="802" w:name="_Toc523820340"/>
      <w:r>
        <w:rPr>
          <w:rFonts w:ascii="Times New Roman" w:hAnsi="Times New Roman"/>
          <w:sz w:val="24"/>
          <w:u w:val="none"/>
        </w:rPr>
        <w:t>7.</w:t>
      </w:r>
      <w:r w:rsidRPr="00803B42">
        <w:rPr>
          <w:u w:val="none"/>
        </w:rPr>
        <w:tab/>
      </w:r>
      <w:r>
        <w:rPr>
          <w:rFonts w:ascii="Times New Roman" w:hAnsi="Times New Roman"/>
          <w:sz w:val="24"/>
        </w:rPr>
        <w:t>C 33.00 Exponeringar mot offentlig sektor (GOV)</w:t>
      </w:r>
      <w:bookmarkEnd w:id="800"/>
      <w:bookmarkEnd w:id="801"/>
      <w:bookmarkEnd w:id="802"/>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3" w:name="_Toc367202008"/>
      <w:bookmarkStart w:id="804" w:name="_Toc516210720"/>
      <w:bookmarkStart w:id="805" w:name="_Toc473561056"/>
      <w:bookmarkStart w:id="806" w:name="_Toc523820341"/>
      <w:r>
        <w:rPr>
          <w:rFonts w:ascii="Times New Roman" w:hAnsi="Times New Roman"/>
          <w:sz w:val="24"/>
          <w:u w:val="none"/>
        </w:rPr>
        <w:t>7.1.</w:t>
      </w:r>
      <w:r w:rsidRPr="00803B42">
        <w:rPr>
          <w:u w:val="none"/>
        </w:rPr>
        <w:tab/>
      </w:r>
      <w:r>
        <w:rPr>
          <w:rFonts w:ascii="Times New Roman" w:hAnsi="Times New Roman"/>
          <w:sz w:val="24"/>
        </w:rPr>
        <w:t>Allmänna kommentarer</w:t>
      </w:r>
      <w:bookmarkEnd w:id="803"/>
      <w:bookmarkEnd w:id="804"/>
      <w:bookmarkEnd w:id="805"/>
      <w:bookmarkEnd w:id="806"/>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Informationen som ska användas för mall C33.00 ska omfatta alla exponerin</w:t>
      </w:r>
      <w:r>
        <w:t>g</w:t>
      </w:r>
      <w:r>
        <w:t>ar mot ”Offentlig sektor” enligt punkt 42 b i bilaga V.</w:t>
      </w:r>
    </w:p>
    <w:p w:rsidR="00FD54FC" w:rsidRPr="00392FFD" w:rsidRDefault="00125707" w:rsidP="009068C9">
      <w:pPr>
        <w:pStyle w:val="InstructionsText2"/>
        <w:numPr>
          <w:ilvl w:val="0"/>
          <w:numId w:val="0"/>
        </w:numPr>
        <w:ind w:left="993"/>
      </w:pPr>
      <w:r>
        <w:t>156.</w:t>
      </w:r>
      <w:r>
        <w:tab/>
        <w:t>Exponeringar mot ”Offentlig sektor” inbegrips i olika exponeringsklasser i a</w:t>
      </w:r>
      <w:r>
        <w:t>r</w:t>
      </w:r>
      <w:r>
        <w:t xml:space="preserve">tiklarna 112 och 147 i CRR i enlighet med instruktionerna för hur mallarna C07, C08.01 och C08.02 ska fyllas i. </w:t>
      </w:r>
    </w:p>
    <w:p w:rsidR="00FD54FC" w:rsidRPr="00392FFD" w:rsidRDefault="00125707" w:rsidP="009068C9">
      <w:pPr>
        <w:pStyle w:val="InstructionsText2"/>
        <w:numPr>
          <w:ilvl w:val="0"/>
          <w:numId w:val="0"/>
        </w:numPr>
        <w:ind w:left="993"/>
      </w:pPr>
      <w:r>
        <w:t>157.</w:t>
      </w:r>
      <w:r>
        <w:tab/>
        <w:t>Tabell 2 (schablonmetoden) och tabell 3 (internmetoden) i del 3 i bilaga 5 ska användas för fördelning av exponeringsklasser som används för att beräkna kapita</w:t>
      </w:r>
      <w:r>
        <w:t>l</w:t>
      </w:r>
      <w:r>
        <w:t xml:space="preserve">kraven enligt CRR för motpartssektorn ”Offentlig sektor”. </w:t>
      </w:r>
    </w:p>
    <w:p w:rsidR="00FD54FC" w:rsidRPr="00392FFD" w:rsidRDefault="00125707" w:rsidP="009068C9">
      <w:pPr>
        <w:pStyle w:val="InstructionsText2"/>
        <w:numPr>
          <w:ilvl w:val="0"/>
          <w:numId w:val="0"/>
        </w:numPr>
        <w:ind w:left="993"/>
      </w:pPr>
      <w:r>
        <w:t>158.</w:t>
      </w:r>
      <w:r>
        <w:tab/>
        <w:t xml:space="preserve">Information ska rapporteras för de totala aggregerade exponeringarna (dvs. summan av alla länder där banken har exponeringar i statspapper) och för varje land baserat på motpartens hemvist på basis av direkt låntagare. </w:t>
      </w:r>
    </w:p>
    <w:p w:rsidR="00FD54FC" w:rsidRPr="00392FFD" w:rsidRDefault="00125707" w:rsidP="009068C9">
      <w:pPr>
        <w:pStyle w:val="InstructionsText2"/>
        <w:numPr>
          <w:ilvl w:val="0"/>
          <w:numId w:val="0"/>
        </w:numPr>
        <w:ind w:left="993"/>
      </w:pPr>
      <w:r>
        <w:t>159.</w:t>
      </w:r>
      <w:r>
        <w:tab/>
        <w:t>Inplaceringen av exponeringar i exponeringsklasser eller jurisdiktioner ska g</w:t>
      </w:r>
      <w:r>
        <w:t>ö</w:t>
      </w:r>
      <w:r>
        <w:t>ras utan beaktande av metoder för kreditriskreducering och i synnerhet utan bea</w:t>
      </w:r>
      <w:r>
        <w:t>k</w:t>
      </w:r>
      <w:r>
        <w:t xml:space="preserve">tande av substitutionseffekter. För beräkning av exponeringsvärden och riskvägda exponeringsbelopp för varje exponeringsklass och jurisdiktion ingår dock metoder för kreditriskreducering, inbegripet substitutionseffekter. </w:t>
      </w:r>
    </w:p>
    <w:p w:rsidR="00FD54FC" w:rsidRPr="00392FFD" w:rsidRDefault="00125707" w:rsidP="009068C9">
      <w:pPr>
        <w:pStyle w:val="InstructionsText2"/>
        <w:numPr>
          <w:ilvl w:val="0"/>
          <w:numId w:val="0"/>
        </w:numPr>
        <w:ind w:left="993"/>
      </w:pPr>
      <w:r>
        <w:t>160.</w:t>
      </w:r>
      <w:r>
        <w:tab/>
        <w:t>Rapporteringen av information om exponeringar mot ”Offentlig sektor” per hemvistjurisdiktion för den direkta motparten om denna inte är hemvistjurisdiktion för det rapporterande institutet, omfattas av tröskelvärdena i artikel 5 b 3 i denna förordning.</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7" w:name="_Toc367202009"/>
      <w:bookmarkStart w:id="808" w:name="_Toc516210721"/>
      <w:bookmarkStart w:id="809" w:name="_Toc473561057"/>
      <w:bookmarkStart w:id="810" w:name="_Toc523820342"/>
      <w:r>
        <w:rPr>
          <w:rFonts w:ascii="Times New Roman" w:hAnsi="Times New Roman"/>
          <w:sz w:val="24"/>
          <w:u w:val="none"/>
        </w:rPr>
        <w:t>7.2.</w:t>
      </w:r>
      <w:r w:rsidRPr="00803B42">
        <w:rPr>
          <w:u w:val="none"/>
        </w:rPr>
        <w:tab/>
      </w:r>
      <w:r>
        <w:rPr>
          <w:rFonts w:ascii="Times New Roman" w:hAnsi="Times New Roman"/>
          <w:sz w:val="24"/>
        </w:rPr>
        <w:t>Tillämpningsområde för mallen</w:t>
      </w:r>
      <w:bookmarkEnd w:id="807"/>
      <w:r>
        <w:rPr>
          <w:rFonts w:ascii="Times New Roman" w:hAnsi="Times New Roman"/>
          <w:sz w:val="24"/>
        </w:rPr>
        <w:t xml:space="preserve"> om exponeringar mot ”offentlig sektor”</w:t>
      </w:r>
      <w:bookmarkEnd w:id="808"/>
      <w:bookmarkEnd w:id="809"/>
      <w:bookmarkEnd w:id="810"/>
    </w:p>
    <w:p w:rsidR="00FD54FC" w:rsidRPr="00392FFD" w:rsidRDefault="00125707" w:rsidP="009068C9">
      <w:pPr>
        <w:pStyle w:val="InstructionsText2"/>
        <w:numPr>
          <w:ilvl w:val="0"/>
          <w:numId w:val="0"/>
        </w:numPr>
        <w:ind w:left="993"/>
      </w:pPr>
      <w:r>
        <w:t>161.</w:t>
      </w:r>
      <w:r>
        <w:tab/>
        <w:t>GOV-mallens tillämpningsområde omfattar direkta exponeringar i eller utanför balasräkningen och direkta derivatexponeringar mot ”Offentlig sektor” i och uta</w:t>
      </w:r>
      <w:r>
        <w:t>n</w:t>
      </w:r>
      <w:r>
        <w:t>för handelslagret. Dessutom krävs en memorandumpost för indirekta exponeringar i form av kreditderivat som avser offentlig sektors exponeringar.</w:t>
      </w:r>
    </w:p>
    <w:p w:rsidR="00FD54FC" w:rsidRPr="00392FFD" w:rsidRDefault="00125707" w:rsidP="009068C9">
      <w:pPr>
        <w:pStyle w:val="InstructionsText2"/>
        <w:numPr>
          <w:ilvl w:val="0"/>
          <w:numId w:val="0"/>
        </w:numPr>
        <w:ind w:left="993"/>
      </w:pPr>
      <w:r>
        <w:t>162.</w:t>
      </w:r>
      <w:r>
        <w:tab/>
        <w:t xml:space="preserve">En exponering är en direkt exponering om den direkta motparten är en enhet som omfattas av definitionen ”Offentlig sektor”. </w:t>
      </w:r>
    </w:p>
    <w:p w:rsidR="00FD54FC" w:rsidRPr="00392FFD" w:rsidRDefault="00125707" w:rsidP="009068C9">
      <w:pPr>
        <w:pStyle w:val="InstructionsText2"/>
        <w:numPr>
          <w:ilvl w:val="0"/>
          <w:numId w:val="0"/>
        </w:numPr>
        <w:ind w:left="993"/>
      </w:pPr>
      <w:r>
        <w:t>163.</w:t>
      </w:r>
      <w:r>
        <w:tab/>
        <w:t>Mallen är uppdelad i två sektioner. Den första bygger på uppdelning av exp</w:t>
      </w:r>
      <w:r>
        <w:t>o</w:t>
      </w:r>
      <w:r>
        <w:t>nering per risk, metod och exponeringsklass medan den andra bygger på uppde</w:t>
      </w:r>
      <w:r>
        <w:t>l</w:t>
      </w:r>
      <w:r>
        <w:t>ning efter återstående löptid</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1" w:name="_Toc516210722"/>
      <w:bookmarkStart w:id="812" w:name="_Toc473561058"/>
      <w:bookmarkStart w:id="813" w:name="_Toc523820343"/>
      <w:r>
        <w:rPr>
          <w:rFonts w:ascii="Times New Roman" w:hAnsi="Times New Roman"/>
          <w:sz w:val="24"/>
          <w:u w:val="none"/>
        </w:rPr>
        <w:t>7.3.</w:t>
      </w:r>
      <w:r w:rsidRPr="00803B42">
        <w:rPr>
          <w:u w:val="none"/>
        </w:rPr>
        <w:tab/>
      </w:r>
      <w:r>
        <w:rPr>
          <w:rFonts w:ascii="Times New Roman" w:hAnsi="Times New Roman"/>
          <w:sz w:val="24"/>
        </w:rPr>
        <w:t>Instruktioner för specifika positioner</w:t>
      </w:r>
      <w:bookmarkStart w:id="814" w:name="_GoBack"/>
      <w:bookmarkEnd w:id="811"/>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Kolumn</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Instruktioner</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DIREKTA EXPONERINGAR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I BALANSRÄKNINGEN</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Summa redovisat bruttovärde av finansiella tillgångar som inte är derivat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Det aggregerade redovisade bruttovärdet, som fastställs i enlighet med punkt 34 i del 1 i bilaga V, av exponeringar mot offentlig sektor i form av finansiella tillgångar som inte är derivat, för alla redovisningsportföljer enligt IFRS eller nationell god redovi</w:t>
            </w:r>
            <w:r>
              <w:rPr>
                <w:rFonts w:ascii="Times New Roman" w:hAnsi="Times New Roman"/>
                <w:sz w:val="24"/>
              </w:rPr>
              <w:t>s</w:t>
            </w:r>
            <w:r>
              <w:rPr>
                <w:rFonts w:ascii="Times New Roman" w:hAnsi="Times New Roman"/>
                <w:sz w:val="24"/>
              </w:rPr>
              <w:t xml:space="preserve">ningssed baserad på direktiv 86/635/EEG (Bankredovisningsdirektivet – BAD) enligt punkterna 15–22 i del 1 i bilaga V och förtecknat i kolumnerna 030–120.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Justeringar på grund av krav på försiktig värdering ska inte minska det redovisade bruttovärdet av exponeringar i eller utanför handelslagret till verkligt värde.</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Summa redovisat värde av finansiella tillgångar som inte är derivat (netto efter korta positioner)</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Det aggregerade redovisade bruttovärdet, som fastställs i enlighet med punkt 27 i del 1 i bilaga V, av exponeringar mot offentlig sektor i form av finansiella tillgångar som inte är derivat, för alla redovisningsportföljer enligt IFRS eller nationell god redovi</w:t>
            </w:r>
            <w:r>
              <w:rPr>
                <w:rFonts w:ascii="Times New Roman" w:hAnsi="Times New Roman"/>
                <w:sz w:val="24"/>
              </w:rPr>
              <w:t>s</w:t>
            </w:r>
            <w:r>
              <w:rPr>
                <w:rFonts w:ascii="Times New Roman" w:hAnsi="Times New Roman"/>
                <w:sz w:val="24"/>
              </w:rPr>
              <w:t>ningssed baserad på BAD som definieras i punkterna 15–22 i bilaga V del 1 förtecknat i kolumnerna 030–120, netto av korta positioner.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Om institutet har en kort position ska det redovisade värdet, för samma återstående löptid och för samma direkta motpart med denominering i samma valuta, nettas mot det redovisade värdet för den direkta positionen. Detta nettobelopp ska anses vara noll om det är ett negativt belopp.</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Summan av kolumnerna 030–120 minus kolumn 130 ska rapporteras här.</w:t>
            </w:r>
            <w:r>
              <w:rPr>
                <w:sz w:val="24"/>
              </w:rPr>
              <w:t xml:space="preserve"> </w:t>
            </w:r>
            <w:r>
              <w:rPr>
                <w:rFonts w:ascii="Times New Roman" w:hAnsi="Times New Roman"/>
                <w:sz w:val="24"/>
              </w:rPr>
              <w:t>Om detta b</w:t>
            </w:r>
            <w:r>
              <w:rPr>
                <w:rFonts w:ascii="Times New Roman" w:hAnsi="Times New Roman"/>
                <w:sz w:val="24"/>
              </w:rPr>
              <w:t>e</w:t>
            </w:r>
            <w:r>
              <w:rPr>
                <w:rFonts w:ascii="Times New Roman" w:hAnsi="Times New Roman"/>
                <w:sz w:val="24"/>
              </w:rPr>
              <w:t>lopp är lägre än noll ska det rapporteras som noll.</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INTE ÄR DERIVAT PER REDOVI</w:t>
            </w:r>
            <w:r>
              <w:rPr>
                <w:rFonts w:ascii="Times New Roman" w:hAnsi="Times New Roman"/>
                <w:b/>
                <w:sz w:val="24"/>
                <w:u w:val="single"/>
              </w:rPr>
              <w:t>S</w:t>
            </w:r>
            <w:r>
              <w:rPr>
                <w:rFonts w:ascii="Times New Roman" w:hAnsi="Times New Roman"/>
                <w:b/>
                <w:sz w:val="24"/>
                <w:u w:val="single"/>
              </w:rPr>
              <w:t>NINGSPORTFÖLJ</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Det aggregerade redovisade bruttovärdet för finansiella tillgångar som inte är derivat, enligt nedan, som avser exponeringar mot offentlig sektor per redovisningsportfölj e</w:t>
            </w:r>
            <w:r>
              <w:rPr>
                <w:rFonts w:ascii="Times New Roman" w:hAnsi="Times New Roman"/>
                <w:sz w:val="24"/>
              </w:rPr>
              <w:t>n</w:t>
            </w:r>
            <w:r>
              <w:rPr>
                <w:rFonts w:ascii="Times New Roman" w:hAnsi="Times New Roman"/>
                <w:sz w:val="24"/>
              </w:rPr>
              <w:t>ligt tillämplig redovisningsram.</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Finansiella tillgångar som innehas för handel</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7.8.a ii, IFRS 9 bilaga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förenade med handel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artikel 32-33, bilaga V, del 1.16, redovisningsdirektivet artikel 8.1 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Ska rapporteras av institut endast enligt nationella redovisningsstandarder</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nationell god redovisningssed.</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inte är förenade med handel och som obligatoriskt värderas till verkligt värde via resultatet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 ii, IFRS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identifierats som värderade till verkligt värde via r</w:t>
            </w:r>
            <w:r>
              <w:rPr>
                <w:rFonts w:ascii="Times New Roman" w:hAnsi="Times New Roman"/>
                <w:b/>
                <w:sz w:val="24"/>
                <w:u w:val="single"/>
              </w:rPr>
              <w:t>e</w:t>
            </w:r>
            <w:r>
              <w:rPr>
                <w:rFonts w:ascii="Times New Roman" w:hAnsi="Times New Roman"/>
                <w:b/>
                <w:sz w:val="24"/>
                <w:u w:val="single"/>
              </w:rPr>
              <w:t>sultatet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 i, IFRS 9.4.1.5 och redovisningsdirektivet artikel 8.1 a, 8.6</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till verkligt värde via resultatet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artikel 36.2, redovisningsdirektivet artikel 8.1 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Ska rapporteras av institut endast enligt nationella redovisningsstandarder</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nationell god redovisningssed.</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värderas till verkligt värde via övrigt totalresultat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 d, IFRS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till verkligt värde i förhållande till eget kapital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Redovisningsdirektivet artikel 8.1 a, 8</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Ska rapporteras av institut endast enligt nationella redovisningsstandarder</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nationell god redovisningssed.</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värderas till upplupet anskaffningsvärde</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 f, IFRS 9.4.1.2, bilaga V, del 1.15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enligt en kostnadsbaserad metod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artikel 35, redovisningsdirektivet artikel 6.1 i och artikel 8.2, bilaga V, del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Ska rapporteras av institut endast enligt nationella redovisningsstandarder</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nationell god redovisningssed.</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Övriga finansiella tillgångar som varken är förenade med handel eller är derivat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artikel 37, redovisningsdirektivet artikel 12.7, bilaga V, del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Ska rapporteras av institut endast enligt nationella redovisningsstandarder</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nationell god redovisningssed.</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Korta positioner</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Redovisat värde av korta positioner i enlighet med IFRS 9 BA.7 b om den direkta motparten är offentlig sektor enligt definitionen i punkt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Korta positioner uppstår när institutet säljer värdepapper som erhållit genom ett o</w:t>
            </w:r>
            <w:r>
              <w:rPr>
                <w:rFonts w:ascii="Times New Roman" w:hAnsi="Times New Roman"/>
                <w:sz w:val="24"/>
              </w:rPr>
              <w:t>m</w:t>
            </w:r>
            <w:r>
              <w:rPr>
                <w:rFonts w:ascii="Times New Roman" w:hAnsi="Times New Roman"/>
                <w:sz w:val="24"/>
              </w:rPr>
              <w:lastRenderedPageBreak/>
              <w:t>vänt repolån, eller som lånats i en värdepapperslånetransaktion vars direkta motpart är offentlig sektor.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Det redovisade värdet är den korta positionens verkliga värde.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Korta positioner måste rapporteras per intervall för återstående löptid, enligt raderna 170–230 och per direkt motpart. Korta positioner ska sedan användas för att netta p</w:t>
            </w:r>
            <w:r>
              <w:rPr>
                <w:rFonts w:ascii="Times New Roman" w:hAnsi="Times New Roman"/>
                <w:sz w:val="24"/>
              </w:rPr>
              <w:t>o</w:t>
            </w:r>
            <w:r>
              <w:rPr>
                <w:rFonts w:ascii="Times New Roman" w:hAnsi="Times New Roman"/>
                <w:sz w:val="24"/>
              </w:rPr>
              <w:t>sitioner med samma återstående löptid och direkta motpart vid beräkning av kolu</w:t>
            </w:r>
            <w:r>
              <w:rPr>
                <w:rFonts w:ascii="Times New Roman" w:hAnsi="Times New Roman"/>
                <w:sz w:val="24"/>
              </w:rPr>
              <w:t>m</w:t>
            </w:r>
            <w:r>
              <w:rPr>
                <w:rFonts w:ascii="Times New Roman" w:hAnsi="Times New Roman"/>
                <w:sz w:val="24"/>
              </w:rPr>
              <w:t>nerna 030–120.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Varav: Korta positioner från omvända repolån som klassificeras som att de inn</w:t>
            </w:r>
            <w:r>
              <w:rPr>
                <w:rFonts w:ascii="Times New Roman" w:hAnsi="Times New Roman"/>
                <w:b/>
                <w:sz w:val="24"/>
                <w:u w:val="single"/>
              </w:rPr>
              <w:t>e</w:t>
            </w:r>
            <w:r>
              <w:rPr>
                <w:rFonts w:ascii="Times New Roman" w:hAnsi="Times New Roman"/>
                <w:b/>
                <w:sz w:val="24"/>
                <w:u w:val="single"/>
              </w:rPr>
              <w:t>has för handel eller är förenade med handel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Redovisat värde av korta positioner i enlighet med IFRS 9 BA.7 b) som uppstår när i</w:t>
            </w:r>
            <w:r>
              <w:rPr>
                <w:rFonts w:ascii="Times New Roman" w:hAnsi="Times New Roman"/>
                <w:sz w:val="24"/>
              </w:rPr>
              <w:t>n</w:t>
            </w:r>
            <w:r>
              <w:rPr>
                <w:rFonts w:ascii="Times New Roman" w:hAnsi="Times New Roman"/>
                <w:sz w:val="24"/>
              </w:rPr>
              <w:t>stitutet säljer de värdepapper som erhållits genom omvända repolån vars direkta mo</w:t>
            </w:r>
            <w:r>
              <w:rPr>
                <w:rFonts w:ascii="Times New Roman" w:hAnsi="Times New Roman"/>
                <w:sz w:val="24"/>
              </w:rPr>
              <w:t>t</w:t>
            </w:r>
            <w:r>
              <w:rPr>
                <w:rFonts w:ascii="Times New Roman" w:hAnsi="Times New Roman"/>
                <w:sz w:val="24"/>
              </w:rPr>
              <w:t>part är offentlig sektor som klassificeras som att de innehas för handel eller är förenade med handel (kolumnerna 030 eller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Korta positioner som uppstått när de sålda värdepappren lånats i en värdepapperslån</w:t>
            </w:r>
            <w:r>
              <w:rPr>
                <w:rFonts w:ascii="Times New Roman" w:hAnsi="Times New Roman"/>
                <w:sz w:val="24"/>
              </w:rPr>
              <w:t>e</w:t>
            </w:r>
            <w:r>
              <w:rPr>
                <w:rFonts w:ascii="Times New Roman" w:hAnsi="Times New Roman"/>
                <w:sz w:val="24"/>
              </w:rPr>
              <w:t xml:space="preserve">transaktion ska inte ingå i denna kolumn.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 nedskrivning</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Aggregerade ackumulerade nedskrivningar som avser finansiella tillgångar som inte är derivat som rapporteras i kolumnerna 080–120. Bilaga V, del 2, punkterna 70 och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nedskrivningar – varav: från finansiella tillgångar som värderas till verkligt värde via övrigt totalresultat eller från finansiella tillgångar som va</w:t>
            </w:r>
            <w:r>
              <w:rPr>
                <w:rFonts w:ascii="Times New Roman" w:hAnsi="Times New Roman"/>
                <w:b/>
                <w:sz w:val="24"/>
                <w:u w:val="single"/>
              </w:rPr>
              <w:t>r</w:t>
            </w:r>
            <w:r>
              <w:rPr>
                <w:rFonts w:ascii="Times New Roman" w:hAnsi="Times New Roman"/>
                <w:b/>
                <w:sz w:val="24"/>
                <w:u w:val="single"/>
              </w:rPr>
              <w:t>ken är förenade med handel eller är derivat och som värderas till verkligt värde i förhållande till eget kapital</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Aggregerade ackumulerade nedskrivningar som avser finansiella tillgångar som inte är derivat som rapporteras i kolumnerna 080 och090.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Ackumulerade negativa förändringar i verkligt värde på grund av kreditrisk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w:t>
            </w:r>
            <w:r>
              <w:rPr>
                <w:rFonts w:ascii="Times New Roman" w:hAnsi="Times New Roman"/>
                <w:sz w:val="24"/>
              </w:rPr>
              <w:t>i</w:t>
            </w:r>
            <w:r>
              <w:rPr>
                <w:rFonts w:ascii="Times New Roman" w:hAnsi="Times New Roman"/>
                <w:sz w:val="24"/>
              </w:rPr>
              <w:t>trisk som beror på positioner angivna i kolumnerna 050, 060, 070, 080 och 090. [B</w:t>
            </w:r>
            <w:r>
              <w:rPr>
                <w:rFonts w:ascii="Times New Roman" w:hAnsi="Times New Roman"/>
                <w:sz w:val="24"/>
              </w:rPr>
              <w:t>i</w:t>
            </w:r>
            <w:r>
              <w:rPr>
                <w:rFonts w:ascii="Times New Roman" w:hAnsi="Times New Roman"/>
                <w:sz w:val="24"/>
              </w:rPr>
              <w:t>laga V, del 2, punkterna 70 och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negativa förändringar i verkligt värde på grund av kreditrisk – varav: från finansiella tillgångar som inte är förenade med handel och som obl</w:t>
            </w:r>
            <w:r>
              <w:rPr>
                <w:rFonts w:ascii="Times New Roman" w:hAnsi="Times New Roman"/>
                <w:b/>
                <w:sz w:val="24"/>
                <w:u w:val="single"/>
              </w:rPr>
              <w:t>i</w:t>
            </w:r>
            <w:r>
              <w:rPr>
                <w:rFonts w:ascii="Times New Roman" w:hAnsi="Times New Roman"/>
                <w:b/>
                <w:sz w:val="24"/>
                <w:u w:val="single"/>
              </w:rPr>
              <w:t>gatoriskt värderas till verkligt värde via resultatet, finansiella tillgångar som vä</w:t>
            </w:r>
            <w:r>
              <w:rPr>
                <w:rFonts w:ascii="Times New Roman" w:hAnsi="Times New Roman"/>
                <w:b/>
                <w:sz w:val="24"/>
                <w:u w:val="single"/>
              </w:rPr>
              <w:t>r</w:t>
            </w:r>
            <w:r>
              <w:rPr>
                <w:rFonts w:ascii="Times New Roman" w:hAnsi="Times New Roman"/>
                <w:b/>
                <w:sz w:val="24"/>
                <w:u w:val="single"/>
              </w:rPr>
              <w:t>deras till verkligt värde via resultatet eller från finansiella tillgångar som inte är förenade med handel som värderas till verkligt värde via resultatet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w:t>
            </w:r>
            <w:r>
              <w:rPr>
                <w:rFonts w:ascii="Times New Roman" w:hAnsi="Times New Roman"/>
                <w:sz w:val="24"/>
              </w:rPr>
              <w:t>i</w:t>
            </w:r>
            <w:r>
              <w:rPr>
                <w:rFonts w:ascii="Times New Roman" w:hAnsi="Times New Roman"/>
                <w:sz w:val="24"/>
              </w:rPr>
              <w:t>trisk som beror på positioner angivna i kolumnerna 050, 060 och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negativa förändringar i verkligt värde på grund av kreditrisk – varav: från finansiella tillgångar som värderas till verkligt värde via övrigt tota</w:t>
            </w:r>
            <w:r>
              <w:rPr>
                <w:rFonts w:ascii="Times New Roman" w:hAnsi="Times New Roman"/>
                <w:b/>
                <w:sz w:val="24"/>
                <w:u w:val="single"/>
              </w:rPr>
              <w:t>l</w:t>
            </w:r>
            <w:r>
              <w:rPr>
                <w:rFonts w:ascii="Times New Roman" w:hAnsi="Times New Roman"/>
                <w:b/>
                <w:sz w:val="24"/>
                <w:u w:val="single"/>
              </w:rPr>
              <w:lastRenderedPageBreak/>
              <w:t>resultat eller från finansiella tillgångar som varken är förenade med handel eller är derivat och som värderas till verkligt värde i förhållande till eget kapital</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w:t>
            </w:r>
            <w:r>
              <w:rPr>
                <w:rFonts w:ascii="Times New Roman" w:hAnsi="Times New Roman"/>
                <w:sz w:val="24"/>
              </w:rPr>
              <w:t>i</w:t>
            </w:r>
            <w:r>
              <w:rPr>
                <w:rFonts w:ascii="Times New Roman" w:hAnsi="Times New Roman"/>
                <w:sz w:val="24"/>
              </w:rPr>
              <w:t>trisk som beror på positioner angivna i kolumnerna 080 och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Direkta derivatpositioner ska rapporteras i kolumnerna 200–230.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När det gäller rapportering av derivat som omfattas av kapitalkrav både för motpart</w:t>
            </w:r>
            <w:r>
              <w:rPr>
                <w:rFonts w:ascii="Times New Roman" w:hAnsi="Times New Roman"/>
                <w:sz w:val="24"/>
              </w:rPr>
              <w:t>s</w:t>
            </w:r>
            <w:r>
              <w:rPr>
                <w:rFonts w:ascii="Times New Roman" w:hAnsi="Times New Roman"/>
                <w:sz w:val="24"/>
              </w:rPr>
              <w:t>risk och marknadsrisk, se anvisningar för raduppdelning.</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Alla derivatinstrument med en motpart som utgörs av offentlig sektor med ett positivt verkligt värde för institutet på rapporteringsdatumet, oavsett om de används i ett go</w:t>
            </w:r>
            <w:r>
              <w:rPr>
                <w:rFonts w:ascii="Times New Roman" w:hAnsi="Times New Roman"/>
                <w:sz w:val="24"/>
              </w:rPr>
              <w:t>d</w:t>
            </w:r>
            <w:r>
              <w:rPr>
                <w:rFonts w:ascii="Times New Roman" w:hAnsi="Times New Roman"/>
                <w:sz w:val="24"/>
              </w:rPr>
              <w:t xml:space="preserve">känt säkringsförhållande, innehas för handel eller ingår i en handelsportfölj enligt IFRS och nationell god redovisningssed baserad på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Derivat som används för ekonomiska säkring ska rapporteras här om de ingår handel</w:t>
            </w:r>
            <w:r>
              <w:rPr>
                <w:rFonts w:ascii="Times New Roman" w:hAnsi="Times New Roman"/>
                <w:sz w:val="24"/>
              </w:rPr>
              <w:t>s</w:t>
            </w:r>
            <w:r>
              <w:rPr>
                <w:rFonts w:ascii="Times New Roman" w:hAnsi="Times New Roman"/>
                <w:sz w:val="24"/>
              </w:rPr>
              <w:t>portföljen eller klassificeras som att de innehas för handel eller är förenade med handel (bilaga V, del 2 punkterna 120, 124, 125, 137 och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 med positivt verkligt värde: Redovisat värde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Redovisat värde för derivat som redovisas som finansiella tillgångar på referensdat</w:t>
            </w:r>
            <w:r>
              <w:rPr>
                <w:rFonts w:ascii="Times New Roman" w:hAnsi="Times New Roman"/>
                <w:sz w:val="24"/>
              </w:rPr>
              <w:t>u</w:t>
            </w:r>
            <w:r>
              <w:rPr>
                <w:rFonts w:ascii="Times New Roman" w:hAnsi="Times New Roman"/>
                <w:sz w:val="24"/>
              </w:rPr>
              <w:t xml:space="preserve">met.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Enligt nationell god redovisningssed baserad på BAD inbegriper derivat som ska ra</w:t>
            </w:r>
            <w:r>
              <w:rPr>
                <w:rFonts w:ascii="Times New Roman" w:hAnsi="Times New Roman"/>
                <w:sz w:val="24"/>
              </w:rPr>
              <w:t>p</w:t>
            </w:r>
            <w:r>
              <w:rPr>
                <w:rFonts w:ascii="Times New Roman" w:hAnsi="Times New Roman"/>
                <w:sz w:val="24"/>
              </w:rPr>
              <w:t xml:space="preserve">porteras i dessa kolumner derivatinstrument som värderas till anskaffningsvärde eller till det lägre av anskaffningsvärdet eller marknadsvärdet som ingår i handelsportföljen eller som klassas som säkringsinstrument.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 Teoretiskt värde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IFRS och nationell god redovisningssed baserad på BAD, det teoretiska värdet enligt definitionen i bilaga V, del 2 punkterna 133–135, av derivatkontrakt som ingåtts och ännu inte avvecklats på rapporteringsreferensdagen vars motpart är offentlig se</w:t>
            </w:r>
            <w:r>
              <w:rPr>
                <w:rFonts w:ascii="Times New Roman" w:hAnsi="Times New Roman"/>
                <w:sz w:val="24"/>
              </w:rPr>
              <w:t>k</w:t>
            </w:r>
            <w:r>
              <w:rPr>
                <w:rFonts w:ascii="Times New Roman" w:hAnsi="Times New Roman"/>
                <w:sz w:val="24"/>
              </w:rPr>
              <w:t>tor, enligt vad som anges ovan i punkt 1, om dess verkliga värde är positivt för instit</w:t>
            </w:r>
            <w:r>
              <w:rPr>
                <w:rFonts w:ascii="Times New Roman" w:hAnsi="Times New Roman"/>
                <w:sz w:val="24"/>
              </w:rPr>
              <w:t>u</w:t>
            </w:r>
            <w:r>
              <w:rPr>
                <w:rFonts w:ascii="Times New Roman" w:hAnsi="Times New Roman"/>
                <w:sz w:val="24"/>
              </w:rPr>
              <w:t>tet på rapporteringsreferensdatumet.</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negativt verkligt värde</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Alla derivatinstrument med en motpart som utgörs av offentlig sektor med ett negativt verkligt värde för institutet på rapporteringsreferensdagen, oavsett om de används i ett godkänt säkringsförhållande eller innehas för handel eller ingår i en handelsportfölj e</w:t>
            </w:r>
            <w:r>
              <w:rPr>
                <w:rFonts w:ascii="Times New Roman" w:hAnsi="Times New Roman"/>
                <w:sz w:val="24"/>
              </w:rPr>
              <w:t>n</w:t>
            </w:r>
            <w:r>
              <w:rPr>
                <w:rFonts w:ascii="Times New Roman" w:hAnsi="Times New Roman"/>
                <w:sz w:val="24"/>
              </w:rPr>
              <w:t xml:space="preserve">ligt IFRS och nationell god redovisningssed baserad på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Derivat som används för ekonomiska säkring ska rapporteras här om de ingår handel</w:t>
            </w:r>
            <w:r>
              <w:rPr>
                <w:rFonts w:ascii="Times New Roman" w:hAnsi="Times New Roman"/>
                <w:sz w:val="24"/>
              </w:rPr>
              <w:t>s</w:t>
            </w:r>
            <w:r>
              <w:rPr>
                <w:rFonts w:ascii="Times New Roman" w:hAnsi="Times New Roman"/>
                <w:sz w:val="24"/>
              </w:rPr>
              <w:lastRenderedPageBreak/>
              <w:t>portföljen eller klassificeras som att de innehas för handel eller är förenade med handel (bilaga V, del 2 punkterna 120, 124, 125, 137 och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 med negativt verkligt värde Redovisat värde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Redovisat värde för derivat som redovisas som finansiella tillgångar på rapportering</w:t>
            </w:r>
            <w:r>
              <w:rPr>
                <w:rFonts w:ascii="Times New Roman" w:hAnsi="Times New Roman"/>
                <w:sz w:val="24"/>
              </w:rPr>
              <w:t>s</w:t>
            </w:r>
            <w:r>
              <w:rPr>
                <w:rFonts w:ascii="Times New Roman" w:hAnsi="Times New Roman"/>
                <w:sz w:val="24"/>
              </w:rPr>
              <w:t xml:space="preserve">referensdagen.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Enligt nationell god redovisningssed baserad på BAD inbegriper derivat som ska ra</w:t>
            </w:r>
            <w:r>
              <w:rPr>
                <w:rFonts w:ascii="Times New Roman" w:hAnsi="Times New Roman"/>
                <w:sz w:val="24"/>
              </w:rPr>
              <w:t>p</w:t>
            </w:r>
            <w:r>
              <w:rPr>
                <w:rFonts w:ascii="Times New Roman" w:hAnsi="Times New Roman"/>
                <w:sz w:val="24"/>
              </w:rPr>
              <w:t xml:space="preserve">porteras i dessa kolumner derivatinstrument som värderas till anskaffningsvärde eller till det lägre av anskaffningsvärdet eller marknadsvärdet som ingår i handelsportföljen eller som klassas som säkringsinstrument.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Derivat med negativt verkligt värde Teoretiskt värde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Enligt IFRS och nationell god redovisningssed baserad på BAD, det teoretiska värdet enligt definitionen i bilaga V, del 2 punkterna 133–135, av derivatkontrakt som ingåtts och ännu inte avvecklats på referensdagen vars motpart är offentlig sektor, enligt vad som anges ovan i punkt 1, om dess verkliga värde är negativt för institutet.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UTANFÖR BALANSRÄKNINGEN</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Nominellt belopp</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Om den direkta motparten till en post utanför balansräkningen är offentlig sektor, e</w:t>
            </w:r>
            <w:r>
              <w:rPr>
                <w:rFonts w:ascii="Times New Roman" w:hAnsi="Times New Roman"/>
                <w:sz w:val="24"/>
              </w:rPr>
              <w:t>n</w:t>
            </w:r>
            <w:r>
              <w:rPr>
                <w:rFonts w:ascii="Times New Roman" w:hAnsi="Times New Roman"/>
                <w:sz w:val="24"/>
              </w:rPr>
              <w:t>ligt vad som anges i punkt 1, det teoretiska värdet av åtaganden och finansiella gara</w:t>
            </w:r>
            <w:r>
              <w:rPr>
                <w:rFonts w:ascii="Times New Roman" w:hAnsi="Times New Roman"/>
                <w:sz w:val="24"/>
              </w:rPr>
              <w:t>n</w:t>
            </w:r>
            <w:r>
              <w:rPr>
                <w:rFonts w:ascii="Times New Roman" w:hAnsi="Times New Roman"/>
                <w:sz w:val="24"/>
              </w:rPr>
              <w:t>tier som inte räknas som derivat i enlighet med IFRS eller enligt nationell god redovi</w:t>
            </w:r>
            <w:r>
              <w:rPr>
                <w:rFonts w:ascii="Times New Roman" w:hAnsi="Times New Roman"/>
                <w:sz w:val="24"/>
              </w:rPr>
              <w:t>s</w:t>
            </w:r>
            <w:r>
              <w:rPr>
                <w:rFonts w:ascii="Times New Roman" w:hAnsi="Times New Roman"/>
                <w:sz w:val="24"/>
              </w:rPr>
              <w:t>ningssed baserad på BAD (bilaga V, del 2, punkterna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I enlighet med bilaga punkterna 43 och 44 i del 1 i bilaga V är offentlig sektor en d</w:t>
            </w:r>
            <w:r>
              <w:rPr>
                <w:rFonts w:ascii="Times New Roman" w:hAnsi="Times New Roman"/>
                <w:sz w:val="24"/>
              </w:rPr>
              <w:t>i</w:t>
            </w:r>
            <w:r>
              <w:rPr>
                <w:rFonts w:ascii="Times New Roman" w:hAnsi="Times New Roman"/>
                <w:sz w:val="24"/>
              </w:rPr>
              <w:t>rekt motpart a) i en lämnad finansiell garanti, om det är direkt motpart i det ränteb</w:t>
            </w:r>
            <w:r>
              <w:rPr>
                <w:rFonts w:ascii="Times New Roman" w:hAnsi="Times New Roman"/>
                <w:sz w:val="24"/>
              </w:rPr>
              <w:t>ä</w:t>
            </w:r>
            <w:r>
              <w:rPr>
                <w:rFonts w:ascii="Times New Roman" w:hAnsi="Times New Roman"/>
                <w:sz w:val="24"/>
              </w:rPr>
              <w:t>rande instrumentet, och b) i ett låneåtagande eller annat åtagande, om det är den mo</w:t>
            </w:r>
            <w:r>
              <w:rPr>
                <w:rFonts w:ascii="Times New Roman" w:hAnsi="Times New Roman"/>
                <w:sz w:val="24"/>
              </w:rPr>
              <w:t>t</w:t>
            </w:r>
            <w:r>
              <w:rPr>
                <w:rFonts w:ascii="Times New Roman" w:hAnsi="Times New Roman"/>
                <w:sz w:val="24"/>
              </w:rPr>
              <w:t xml:space="preserve">part vars kreditrisk bärs av det rapporterade institutet.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Avsättningar</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artikel 4 skulder 6 c, poster utanför balansräkningen, artikel 27.11, artikel 28.8 och artikel 33.  IFRS 9.4.2.1 c ii, d ii, 9.5.5.20, IAS 37, IFRS 4, bilaga V del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Avsättningar för alla exponeringar utanför balansräkningen oavsett hur de värderas, förutom dem som värderas till verkligt värde via resultatet i enlighet med IFRS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Enligt IFRS ska nedskrivningen av ett låneåtagande rapporteras i kolumn 150 om inst</w:t>
            </w:r>
            <w:r>
              <w:rPr>
                <w:rFonts w:ascii="Times New Roman" w:hAnsi="Times New Roman"/>
                <w:sz w:val="24"/>
              </w:rPr>
              <w:t>i</w:t>
            </w:r>
            <w:r>
              <w:rPr>
                <w:rFonts w:ascii="Times New Roman" w:hAnsi="Times New Roman"/>
                <w:sz w:val="24"/>
              </w:rPr>
              <w:t>tutet inte separat kan fastställa de förväntade kreditförlusterna från utnyttjade eller ou</w:t>
            </w:r>
            <w:r>
              <w:rPr>
                <w:rFonts w:ascii="Times New Roman" w:hAnsi="Times New Roman"/>
                <w:sz w:val="24"/>
              </w:rPr>
              <w:t>t</w:t>
            </w:r>
            <w:r>
              <w:rPr>
                <w:rFonts w:ascii="Times New Roman" w:hAnsi="Times New Roman"/>
                <w:sz w:val="24"/>
              </w:rPr>
              <w:t>nyttjade belopp av det räntebärande instrumentet. Om de sammanlagda förväntade kreditförlusterna för det finansiella instrumentet överstiger det redovisade bruttovärdet av instrumentets lånekomponent ska det återstående saldot för de förväntade kreditfö</w:t>
            </w:r>
            <w:r>
              <w:rPr>
                <w:rFonts w:ascii="Times New Roman" w:hAnsi="Times New Roman"/>
                <w:sz w:val="24"/>
              </w:rPr>
              <w:t>r</w:t>
            </w:r>
            <w:r>
              <w:rPr>
                <w:rFonts w:ascii="Times New Roman" w:hAnsi="Times New Roman"/>
                <w:sz w:val="24"/>
              </w:rPr>
              <w:t>lusterna rapporteras som en avsättning i kolumn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Ackumulerade negativa förändringar i verkligt värde på grund av kreditrisk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När det gäller poster utanför balansräkningen som värderas till verkligt värde via resu</w:t>
            </w:r>
            <w:r>
              <w:rPr>
                <w:rFonts w:ascii="Times New Roman" w:hAnsi="Times New Roman"/>
                <w:sz w:val="24"/>
              </w:rPr>
              <w:t>l</w:t>
            </w:r>
            <w:r>
              <w:rPr>
                <w:rFonts w:ascii="Times New Roman" w:hAnsi="Times New Roman"/>
                <w:sz w:val="24"/>
              </w:rPr>
              <w:t>tatet enligt IFRS 9, ackumulerade negativa förändringar i verkligt värde på grund av kreditrisk (punkt 110 i del 2 i bilaga V).</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Memorandumpost kreditderivat kopplade till exponeringar mot offentlig sektor</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Kreditderivat som inte uppfyller definitionen av finansiella garantier som det rapport</w:t>
            </w:r>
            <w:r>
              <w:rPr>
                <w:rFonts w:ascii="Times New Roman" w:hAnsi="Times New Roman"/>
                <w:sz w:val="24"/>
              </w:rPr>
              <w:t>e</w:t>
            </w:r>
            <w:r>
              <w:rPr>
                <w:rFonts w:ascii="Times New Roman" w:hAnsi="Times New Roman"/>
                <w:sz w:val="24"/>
              </w:rPr>
              <w:t>rande institutet har ingått med andra motparter än offentlig sektor och vars referense</w:t>
            </w:r>
            <w:r>
              <w:rPr>
                <w:rFonts w:ascii="Times New Roman" w:hAnsi="Times New Roman"/>
                <w:sz w:val="24"/>
              </w:rPr>
              <w:t>x</w:t>
            </w:r>
            <w:r>
              <w:rPr>
                <w:rFonts w:ascii="Times New Roman" w:hAnsi="Times New Roman"/>
                <w:sz w:val="24"/>
              </w:rPr>
              <w:t>ponering är offentlig sektor, måste rapporteras.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Dessa kolumner ska inte rapporteras för exponeringar som delas upp efter risk, metod och exponeringsklass (raderna 020–160).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Exponeringarna som rapporteras i sektionen ska inte beaktas vid beräkning av expon</w:t>
            </w:r>
            <w:r>
              <w:rPr>
                <w:rFonts w:ascii="Times New Roman" w:hAnsi="Times New Roman"/>
                <w:sz w:val="24"/>
              </w:rPr>
              <w:t>e</w:t>
            </w:r>
            <w:r>
              <w:rPr>
                <w:rFonts w:ascii="Times New Roman" w:hAnsi="Times New Roman"/>
                <w:sz w:val="24"/>
              </w:rPr>
              <w:t xml:space="preserve">ringsvärde och riskvägt belopp (kolumnerna 290 och 300) vilka uteslutande baseras på direkta exponeringar.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 – Redovisat värde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Aggregerat verkligt värde för kreditderivat avseende offentlig sektors exponeringar som rapporteras som har ett positivt verkligt för institutet på rapporteringsreferensd</w:t>
            </w:r>
            <w:r>
              <w:rPr>
                <w:rFonts w:ascii="Times New Roman" w:hAnsi="Times New Roman"/>
                <w:sz w:val="24"/>
              </w:rPr>
              <w:t>a</w:t>
            </w:r>
            <w:r>
              <w:rPr>
                <w:rFonts w:ascii="Times New Roman" w:hAnsi="Times New Roman"/>
                <w:sz w:val="24"/>
              </w:rPr>
              <w:t>gen, utan beaktande av justeringar på grund av krav på försiktig värdering.</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För derivat i enlighet med IFRS ska beloppet som ska rapporteras i denna kolumn vara det redovisade värdet av de derivat som är finansiella tillgångar på rapportdagen.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För derivat i enlighet med god redovisningssed baserad på BAD ska det belopp som rapporteras i denna kolumn vara det verkliga värdet av derivat med ett positivt verkligt värde på rapporteringsreferensdagen, oavsett hur de redovisas.</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negativt verkligt värde – Redovisat värde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Aggregerat verkligt värde för kreditderivat avseende offentlig sektors exponeringar som rapporteras som har ett negativt verkligt för institutet på rapporteringsreferensd</w:t>
            </w:r>
            <w:r>
              <w:rPr>
                <w:rFonts w:ascii="Times New Roman" w:hAnsi="Times New Roman"/>
                <w:sz w:val="24"/>
              </w:rPr>
              <w:t>a</w:t>
            </w:r>
            <w:r>
              <w:rPr>
                <w:rFonts w:ascii="Times New Roman" w:hAnsi="Times New Roman"/>
                <w:sz w:val="24"/>
              </w:rPr>
              <w:t>gen, utan beaktande av justeringar på grund av krav på försiktig värdering.</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För derivat i enlighet med IFRS ska beloppet som ska rapporteras i denna kolumn vara det redovisade värdet av de derivat som är finansiella skulder på rapportdagen.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För derivat i enlighet med god redovisningssed baserad på BAD ska det belopp som rapporteras i denna kolumn vara det verkliga värdet av derivat med ett negativt verkligt värde på rapporetringsreferensdagen, oavsett hur de redovisas.</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Exponeringsvärde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Exponeringsvärdet för exponeringar som omfattas av kreditriskramen.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För exponeringar enligt schablonmetoden (SA): se artikel 111 i CRR. För exponerin</w:t>
            </w:r>
            <w:r>
              <w:rPr>
                <w:rFonts w:ascii="Times New Roman" w:hAnsi="Times New Roman"/>
                <w:sz w:val="24"/>
              </w:rPr>
              <w:t>g</w:t>
            </w:r>
            <w:r>
              <w:rPr>
                <w:rFonts w:ascii="Times New Roman" w:hAnsi="Times New Roman"/>
                <w:sz w:val="24"/>
              </w:rPr>
              <w:t>ar enligt internmetoden (IRB): se artiklarna 166 och 230.1 andra meningen i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När det gäller rapportering av derivat som omfattas av kapitalkrav både för motpart</w:t>
            </w:r>
            <w:r>
              <w:rPr>
                <w:rFonts w:ascii="Times New Roman" w:hAnsi="Times New Roman"/>
                <w:sz w:val="24"/>
              </w:rPr>
              <w:t>s</w:t>
            </w:r>
            <w:r>
              <w:rPr>
                <w:rFonts w:ascii="Times New Roman" w:hAnsi="Times New Roman"/>
                <w:sz w:val="24"/>
              </w:rPr>
              <w:t>risk och marknadsrisk, se anvisningar för raduppdelning.</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Riskvägt exponeringsbelopp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Riskvägt exponeringsbelopp för exponeringar som omfattas av kreditriskramen.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För exponeringar enligt schablonmetoden (SA): se artikel 113.1–113.5 i CRR. För e</w:t>
            </w:r>
            <w:r>
              <w:rPr>
                <w:rFonts w:ascii="Times New Roman" w:hAnsi="Times New Roman"/>
                <w:sz w:val="24"/>
              </w:rPr>
              <w:t>x</w:t>
            </w:r>
            <w:r>
              <w:rPr>
                <w:rFonts w:ascii="Times New Roman" w:hAnsi="Times New Roman"/>
                <w:sz w:val="24"/>
              </w:rPr>
              <w:t>poneringar enligt internmetoden (IRB): se artikel 153.1 och 153.3 i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För rapportering av direkta exponeringar som omfattas av artikel 271 i CRR och som är föremål för kapitalbaskrav både på grund av motpartsrisk och marknadsrisk – se i</w:t>
            </w:r>
            <w:r>
              <w:rPr>
                <w:rFonts w:ascii="Times New Roman" w:hAnsi="Times New Roman"/>
                <w:sz w:val="24"/>
              </w:rPr>
              <w:t>n</w:t>
            </w:r>
            <w:r>
              <w:rPr>
                <w:rFonts w:ascii="Times New Roman" w:hAnsi="Times New Roman"/>
                <w:sz w:val="24"/>
              </w:rPr>
              <w:t>struktionerna för berörda rader.</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Rad</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Instruktioner</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UPPDELNING AV EXPONERINGAR EFTER METOD</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Summa exponeringar</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Aggregerade exponeringar mot offentlig sektor, enligt punkt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Exponeringar enligt kreditriskramen</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Aggregerade exponeringar mot offentlig sektor som ska riskviktas i enlighet med del tre avdelning II i CRR. Exponeringar inom kreditriskramen innefattar exponeringar från verksamhet både i och utanför handelslagret som omfattas av ett kapitalkrav på grund av motpartsrisk.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Direkta exponeringar som omfattas av artikel 271 i CRR och som är föremål för kap</w:t>
            </w:r>
            <w:r>
              <w:rPr>
                <w:rFonts w:ascii="Times New Roman" w:hAnsi="Times New Roman"/>
                <w:sz w:val="24"/>
              </w:rPr>
              <w:t>i</w:t>
            </w:r>
            <w:r>
              <w:rPr>
                <w:rFonts w:ascii="Times New Roman" w:hAnsi="Times New Roman"/>
                <w:sz w:val="24"/>
              </w:rPr>
              <w:t>talbaskrav både på grund av motpartsrisk och marknadsrisk ska rapporteras både i kr</w:t>
            </w:r>
            <w:r>
              <w:rPr>
                <w:rFonts w:ascii="Times New Roman" w:hAnsi="Times New Roman"/>
                <w:sz w:val="24"/>
              </w:rPr>
              <w:t>e</w:t>
            </w:r>
            <w:r>
              <w:rPr>
                <w:rFonts w:ascii="Times New Roman" w:hAnsi="Times New Roman"/>
                <w:sz w:val="24"/>
              </w:rPr>
              <w:t>ditriskraderna (020–155) och marknadsriskraden (160). Exponeringsbelopp till följd av motpartsrisk ska rapporteras i kreditriskraderna medan exponeringar till följd av mar</w:t>
            </w:r>
            <w:r>
              <w:rPr>
                <w:rFonts w:ascii="Times New Roman" w:hAnsi="Times New Roman"/>
                <w:sz w:val="24"/>
              </w:rPr>
              <w:t>k</w:t>
            </w:r>
            <w:r>
              <w:rPr>
                <w:rFonts w:ascii="Times New Roman" w:hAnsi="Times New Roman"/>
                <w:sz w:val="24"/>
              </w:rPr>
              <w:t>nadsrisk rapporteras i marknadsriskraden.</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Schablonmetod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Exponeringar mot offentlig sektor som ska riskviktas i enlighet med del ter avdelning II kapitel 2 i CRR, inbegripet exponeringar utanför handelslagret där riskviktningen i e</w:t>
            </w:r>
            <w:r>
              <w:rPr>
                <w:rFonts w:ascii="Times New Roman" w:hAnsi="Times New Roman"/>
                <w:sz w:val="24"/>
              </w:rPr>
              <w:t>n</w:t>
            </w:r>
            <w:r>
              <w:rPr>
                <w:rFonts w:ascii="Times New Roman" w:hAnsi="Times New Roman"/>
                <w:sz w:val="24"/>
              </w:rPr>
              <w:t>lighet med det kapitlet beaktar motpartsrisk.</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Nationella regeringar</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nationella regeringar. Dessa expon</w:t>
            </w:r>
            <w:r>
              <w:rPr>
                <w:rFonts w:ascii="Times New Roman" w:hAnsi="Times New Roman"/>
                <w:sz w:val="24"/>
              </w:rPr>
              <w:t>e</w:t>
            </w:r>
            <w:r>
              <w:rPr>
                <w:rFonts w:ascii="Times New Roman" w:hAnsi="Times New Roman"/>
                <w:sz w:val="24"/>
              </w:rPr>
              <w:t>ringar ska hänföras till exponeringsklassen ”Nationella regeringar eller centralbanker” enligt artiklarna 112 och 114, i enlighet med instruktionerna för mall C 07.00, med u</w:t>
            </w:r>
            <w:r>
              <w:rPr>
                <w:rFonts w:ascii="Times New Roman" w:hAnsi="Times New Roman"/>
                <w:sz w:val="24"/>
              </w:rPr>
              <w:t>n</w:t>
            </w:r>
            <w:r>
              <w:rPr>
                <w:rFonts w:ascii="Times New Roman" w:hAnsi="Times New Roman"/>
                <w:sz w:val="24"/>
              </w:rPr>
              <w:t>dantag för de specifikationer som gäller omfördelning av exponeringar mot offentlig sektor till andra tillgångsklasser till följd av metoder för kreditriskreducering med su</w:t>
            </w:r>
            <w:r>
              <w:rPr>
                <w:rFonts w:ascii="Times New Roman" w:hAnsi="Times New Roman"/>
                <w:sz w:val="24"/>
              </w:rPr>
              <w:t>b</w:t>
            </w:r>
            <w:r>
              <w:rPr>
                <w:rFonts w:ascii="Times New Roman" w:hAnsi="Times New Roman"/>
                <w:sz w:val="24"/>
              </w:rPr>
              <w:t>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Delstatliga eller lokala självstyrelseorgan och myndigheter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w:t>
            </w:r>
            <w:r>
              <w:rPr>
                <w:rFonts w:ascii="Times New Roman" w:hAnsi="Times New Roman"/>
                <w:sz w:val="24"/>
              </w:rPr>
              <w:t>r</w:t>
            </w:r>
            <w:r>
              <w:rPr>
                <w:rFonts w:ascii="Times New Roman" w:hAnsi="Times New Roman"/>
                <w:sz w:val="24"/>
              </w:rPr>
              <w:t>gan och myndigheter. Dessa exponeringar ska hänföras till exponeringsklassen ”De</w:t>
            </w:r>
            <w:r>
              <w:rPr>
                <w:rFonts w:ascii="Times New Roman" w:hAnsi="Times New Roman"/>
                <w:sz w:val="24"/>
              </w:rPr>
              <w:t>l</w:t>
            </w:r>
            <w:r>
              <w:rPr>
                <w:rFonts w:ascii="Times New Roman" w:hAnsi="Times New Roman"/>
                <w:sz w:val="24"/>
              </w:rPr>
              <w:t>statliga eller självstyrelseorgan och myndigheter” enligt artiklarna 112 och 115, i enli</w:t>
            </w:r>
            <w:r>
              <w:rPr>
                <w:rFonts w:ascii="Times New Roman" w:hAnsi="Times New Roman"/>
                <w:sz w:val="24"/>
              </w:rPr>
              <w:t>g</w:t>
            </w:r>
            <w:r>
              <w:rPr>
                <w:rFonts w:ascii="Times New Roman" w:hAnsi="Times New Roman"/>
                <w:sz w:val="24"/>
              </w:rPr>
              <w:t>het med instruktionerna för mall C 07.00, med undantag för de specifikationer som gä</w:t>
            </w:r>
            <w:r>
              <w:rPr>
                <w:rFonts w:ascii="Times New Roman" w:hAnsi="Times New Roman"/>
                <w:sz w:val="24"/>
              </w:rPr>
              <w:t>l</w:t>
            </w:r>
            <w:r>
              <w:rPr>
                <w:rFonts w:ascii="Times New Roman" w:hAnsi="Times New Roman"/>
                <w:sz w:val="24"/>
              </w:rPr>
              <w:t>ler omfördelning av exponeringar mot offentlig sektor till andra tillgångsklasser till följd av metoder för kreditriskreducering med substitutionseffekter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offentliga organ. Dessa exponeringar ska hänföras till exponeringsklassen ”Offentliga organ” enligt artiklarna 112 och 116 i CRR, i enlighet med instruktionerna för mall C 07.00, med undantag för de specifika</w:t>
            </w:r>
            <w:r>
              <w:rPr>
                <w:rFonts w:ascii="Times New Roman" w:hAnsi="Times New Roman"/>
                <w:sz w:val="24"/>
              </w:rPr>
              <w:t>t</w:t>
            </w:r>
            <w:r>
              <w:rPr>
                <w:rFonts w:ascii="Times New Roman" w:hAnsi="Times New Roman"/>
                <w:sz w:val="24"/>
              </w:rPr>
              <w:t>ioner som gäller omfördelning av exponeringar mot offentlig sektor till andra tillgång</w:t>
            </w:r>
            <w:r>
              <w:rPr>
                <w:rFonts w:ascii="Times New Roman" w:hAnsi="Times New Roman"/>
                <w:sz w:val="24"/>
              </w:rPr>
              <w:t>s</w:t>
            </w:r>
            <w:r>
              <w:rPr>
                <w:rFonts w:ascii="Times New Roman" w:hAnsi="Times New Roman"/>
                <w:sz w:val="24"/>
              </w:rPr>
              <w:t>klasser till följd av metoder för kreditriskreducering med substitutionseffekter på exp</w:t>
            </w:r>
            <w:r>
              <w:rPr>
                <w:rFonts w:ascii="Times New Roman" w:hAnsi="Times New Roman"/>
                <w:sz w:val="24"/>
              </w:rPr>
              <w:t>o</w:t>
            </w:r>
            <w:r>
              <w:rPr>
                <w:rFonts w:ascii="Times New Roman" w:hAnsi="Times New Roman"/>
                <w:sz w:val="24"/>
              </w:rPr>
              <w:t>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Internationella organisationer</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Exponeringar mot offentlig sektor bestående av internationella organisationer. Dessa exponeringar ska hänföras till exponeringsklassen ”Internationella organisationer” e</w:t>
            </w:r>
            <w:r>
              <w:rPr>
                <w:rFonts w:ascii="Times New Roman" w:hAnsi="Times New Roman"/>
                <w:sz w:val="24"/>
              </w:rPr>
              <w:t>n</w:t>
            </w:r>
            <w:r>
              <w:rPr>
                <w:rFonts w:ascii="Times New Roman" w:hAnsi="Times New Roman"/>
                <w:sz w:val="24"/>
              </w:rPr>
              <w:t>ligt artiklarna 112 och 118 i CRR, i enlighet med instruktionerna för mall C 07.00, med undantag för de specifikationer som gäller omfördelning av exponeringar mot offentlig sektor till andra tillgångsklasser till följd av metoder för kreditriskreducering med su</w:t>
            </w:r>
            <w:r>
              <w:rPr>
                <w:rFonts w:ascii="Times New Roman" w:hAnsi="Times New Roman"/>
                <w:sz w:val="24"/>
              </w:rPr>
              <w:t>b</w:t>
            </w:r>
            <w:r>
              <w:rPr>
                <w:rFonts w:ascii="Times New Roman" w:hAnsi="Times New Roman"/>
                <w:sz w:val="24"/>
              </w:rPr>
              <w:t>stitutionseffekter på exponeringen, vilka inte ska gälla.</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Övriga exponeringar mot offentlig sektor som omfattas av schablonmetoden</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Andra exponeringar mot offentlig sektor än de som ingår i raderna 040-070 ovan, som hänförs till exponeringsklasser enligt schablonmetoden i enlighet med artikel 112 i CRR i syfte att beräkna kapitalbaskraven.</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Internmetod för kapitalkrav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som ska riskviktas i enlighet med del ter avdelning II kapitel 3 i CRR, inbegripet exponeringar utanför handelslagret där riskviktningen i e</w:t>
            </w:r>
            <w:r>
              <w:rPr>
                <w:rFonts w:ascii="Times New Roman" w:hAnsi="Times New Roman"/>
                <w:sz w:val="24"/>
              </w:rPr>
              <w:t>n</w:t>
            </w:r>
            <w:r>
              <w:rPr>
                <w:rFonts w:ascii="Times New Roman" w:hAnsi="Times New Roman"/>
                <w:sz w:val="24"/>
              </w:rPr>
              <w:t>lighet med det kapitlet beaktar motpartsrisk.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Nationella regeringar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nationella regeringar och som hänförs till exponeringsklassen ”Nationella regeringar eller centralbanker” i enlighet med art</w:t>
            </w:r>
            <w:r>
              <w:rPr>
                <w:rFonts w:ascii="Times New Roman" w:hAnsi="Times New Roman"/>
                <w:sz w:val="24"/>
              </w:rPr>
              <w:t>i</w:t>
            </w:r>
            <w:r>
              <w:rPr>
                <w:rFonts w:ascii="Times New Roman" w:hAnsi="Times New Roman"/>
                <w:sz w:val="24"/>
              </w:rPr>
              <w:t>kel 147.3 a i CRR, i enlighet med instruktionerna för mall C 08.01 och C 08.02, med undantag för de specifikationer som gäller omfördelning av exponeringar mot offentlig sektor till andra tillgångsklasser till följd av metoder för kreditriskreducering med su</w:t>
            </w:r>
            <w:r>
              <w:rPr>
                <w:rFonts w:ascii="Times New Roman" w:hAnsi="Times New Roman"/>
                <w:sz w:val="24"/>
              </w:rPr>
              <w:t>b</w:t>
            </w:r>
            <w:r>
              <w:rPr>
                <w:rFonts w:ascii="Times New Roman" w:hAnsi="Times New Roman"/>
                <w:sz w:val="24"/>
              </w:rPr>
              <w:t>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Delstatliga eller lokala självstyrelseorgan eller myndigheter [Nationella regeringar </w:t>
            </w:r>
            <w:r>
              <w:rPr>
                <w:rFonts w:ascii="Times New Roman" w:hAnsi="Times New Roman"/>
                <w:b/>
                <w:sz w:val="24"/>
                <w:u w:val="single"/>
              </w:rPr>
              <w:lastRenderedPageBreak/>
              <w:t>och centralbanker]</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w:t>
            </w:r>
            <w:r>
              <w:rPr>
                <w:rFonts w:ascii="Times New Roman" w:hAnsi="Times New Roman"/>
                <w:sz w:val="24"/>
              </w:rPr>
              <w:t>r</w:t>
            </w:r>
            <w:r>
              <w:rPr>
                <w:rFonts w:ascii="Times New Roman" w:hAnsi="Times New Roman"/>
                <w:sz w:val="24"/>
              </w:rPr>
              <w:t>gan eller myndigheter som hänförs till exponeringsklassen ”Nationella regeringar eller centralbanker” i enlighet med artikel 147.3 a i CRR, i enlighet med instruktionerna för mall C 08.01 och C 08.02, med undantag för de specifikationer som gäller omförde</w:t>
            </w:r>
            <w:r>
              <w:rPr>
                <w:rFonts w:ascii="Times New Roman" w:hAnsi="Times New Roman"/>
                <w:sz w:val="24"/>
              </w:rPr>
              <w:t>l</w:t>
            </w:r>
            <w:r>
              <w:rPr>
                <w:rFonts w:ascii="Times New Roman" w:hAnsi="Times New Roman"/>
                <w:sz w:val="24"/>
              </w:rPr>
              <w:t>ning av exponeringar mot offentlig sektor till andra tillgångsklasser till följd av metoder för kreditriskreducering med substitutionseffekter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Delstatliga eller lokala självstyrelseorgan eller myndigheter [Institut]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w:t>
            </w:r>
            <w:r>
              <w:rPr>
                <w:rFonts w:ascii="Times New Roman" w:hAnsi="Times New Roman"/>
                <w:sz w:val="24"/>
              </w:rPr>
              <w:t>r</w:t>
            </w:r>
            <w:r>
              <w:rPr>
                <w:rFonts w:ascii="Times New Roman" w:hAnsi="Times New Roman"/>
                <w:sz w:val="24"/>
              </w:rPr>
              <w:t>gan eller myndigheter som hänförs till exponeringsklassen ”Institut” i enlighet med a</w:t>
            </w:r>
            <w:r>
              <w:rPr>
                <w:rFonts w:ascii="Times New Roman" w:hAnsi="Times New Roman"/>
                <w:sz w:val="24"/>
              </w:rPr>
              <w:t>r</w:t>
            </w:r>
            <w:r>
              <w:rPr>
                <w:rFonts w:ascii="Times New Roman" w:hAnsi="Times New Roman"/>
                <w:sz w:val="24"/>
              </w:rPr>
              <w:t>tikel 147.3 a i CRR, i enlighet med instruktionerna för mall C 08.01 och C 08.02, med undantag för de specifikationer som gäller omfördelning av exponeringar mot offentlig sektor till andra tillgångsklasser till följd av metoder för kreditriskreducering med su</w:t>
            </w:r>
            <w:r>
              <w:rPr>
                <w:rFonts w:ascii="Times New Roman" w:hAnsi="Times New Roman"/>
                <w:sz w:val="24"/>
              </w:rPr>
              <w:t>b</w:t>
            </w:r>
            <w:r>
              <w:rPr>
                <w:rFonts w:ascii="Times New Roman" w:hAnsi="Times New Roman"/>
                <w:sz w:val="24"/>
              </w:rPr>
              <w:t>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 [Nationella regeringar och centralbanker]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offentliga organ i enlighet med artikel 4.8 i CRR som hänförs till exponeringsklassen ”Nationella regeringar eller centralba</w:t>
            </w:r>
            <w:r>
              <w:rPr>
                <w:rFonts w:ascii="Times New Roman" w:hAnsi="Times New Roman"/>
                <w:sz w:val="24"/>
              </w:rPr>
              <w:t>n</w:t>
            </w:r>
            <w:r>
              <w:rPr>
                <w:rFonts w:ascii="Times New Roman" w:hAnsi="Times New Roman"/>
                <w:sz w:val="24"/>
              </w:rPr>
              <w:t>ker” i enlighet med artikel 147.3 a i CRR, i enlighet med instruktionerna för mall C 08.01 och C 08.02, med undantag för de specifikationer som gäller omfördelning av exponeringar mot offentlig sektor till andra tillgångsklasser till följd av metoder för kreditriskreducering med substitutionseffekter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 [Institut]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offentliga organ i enlighet med artikel 4.8 i CRR som hänförs till exponeringsklassen ”Institut” i enlighet med artikel 147.3 b i CRR, i enlighet med instruktionerna för mall C 08.01 och C 08.02, med undantag för de specifikationer som gäller omfördelning av exponeringar mot offentlig sektor till andra tillgångsklasser till följd av metoder för kreditriskreducering med substitutionse</w:t>
            </w:r>
            <w:r>
              <w:rPr>
                <w:rFonts w:ascii="Times New Roman" w:hAnsi="Times New Roman"/>
                <w:sz w:val="24"/>
              </w:rPr>
              <w:t>f</w:t>
            </w:r>
            <w:r>
              <w:rPr>
                <w:rFonts w:ascii="Times New Roman" w:hAnsi="Times New Roman"/>
                <w:sz w:val="24"/>
              </w:rPr>
              <w:t>fekter på exponeringen, vilka inte ska gälla.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Internationella organisationer [Nationella regeringar och centralbanker]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internationella organisationer och som hänförs till exponeringsklassen ”Nationella regeringar eller centralbanker” i enlighet med artikel 147.3 c i CRR, i enlighet med instruktionerna för mall C 08.01 och C 08.02, med undantag för de specifikationer som gäller omfördelning av exponeringar mot offentlig sektor till andra tillgångsklasser till följd av metoder för kreditriskreduc</w:t>
            </w:r>
            <w:r>
              <w:rPr>
                <w:rFonts w:ascii="Times New Roman" w:hAnsi="Times New Roman"/>
                <w:sz w:val="24"/>
              </w:rPr>
              <w:t>e</w:t>
            </w:r>
            <w:r>
              <w:rPr>
                <w:rFonts w:ascii="Times New Roman" w:hAnsi="Times New Roman"/>
                <w:sz w:val="24"/>
              </w:rPr>
              <w:t>ring med substitutionseffekter på exponeringen, vilka inte ska gälla.</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Övriga exponeringar mot offentlig sektor som omfattas av internmetoden</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Andra exponeringar mot offentlig sektor än de som ingår i raderna 090-140 ovan, som hänförs till exponeringsklasser enligt internnmetoden i enlighet med artikel 147 i CRR i syfte att beräkna kapitalbaskraven.</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enligt marknadsriskramen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Marknadsriskexponeringar omfattar positioner för vilka kapitalbaskrav beräknas enligt del tre avdelning IV i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Direkta exponeringar som omfattas av artikel 271 i CRR och som är föremål för kap</w:t>
            </w:r>
            <w:r>
              <w:rPr>
                <w:rFonts w:ascii="Times New Roman" w:hAnsi="Times New Roman"/>
                <w:sz w:val="24"/>
              </w:rPr>
              <w:t>i</w:t>
            </w:r>
            <w:r>
              <w:rPr>
                <w:rFonts w:ascii="Times New Roman" w:hAnsi="Times New Roman"/>
                <w:sz w:val="24"/>
              </w:rPr>
              <w:t>talbaskrav både på grund av motpartsrisk och marknadsrisk ska rapporteras både i kr</w:t>
            </w:r>
            <w:r>
              <w:rPr>
                <w:rFonts w:ascii="Times New Roman" w:hAnsi="Times New Roman"/>
                <w:sz w:val="24"/>
              </w:rPr>
              <w:t>e</w:t>
            </w:r>
            <w:r>
              <w:rPr>
                <w:rFonts w:ascii="Times New Roman" w:hAnsi="Times New Roman"/>
                <w:sz w:val="24"/>
              </w:rPr>
              <w:t>ditriskraderna (020–155) och marknadsriskraden (160). Exponering till följd av mo</w:t>
            </w:r>
            <w:r>
              <w:rPr>
                <w:rFonts w:ascii="Times New Roman" w:hAnsi="Times New Roman"/>
                <w:sz w:val="24"/>
              </w:rPr>
              <w:t>t</w:t>
            </w:r>
            <w:r>
              <w:rPr>
                <w:rFonts w:ascii="Times New Roman" w:hAnsi="Times New Roman"/>
                <w:sz w:val="24"/>
              </w:rPr>
              <w:t>partsrisk ska rapporteras i kreditriskraderna medan exponering till följd av marknad</w:t>
            </w:r>
            <w:r>
              <w:rPr>
                <w:rFonts w:ascii="Times New Roman" w:hAnsi="Times New Roman"/>
                <w:sz w:val="24"/>
              </w:rPr>
              <w:t>s</w:t>
            </w:r>
            <w:r>
              <w:rPr>
                <w:rFonts w:ascii="Times New Roman" w:hAnsi="Times New Roman"/>
                <w:sz w:val="24"/>
              </w:rPr>
              <w:t>risk rapporteras i marknadsriskraden.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UPPDELNING AV EXPONERINGAR PER ÅTERSTÅENDE LÖPTID: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Återstående löptid ska beräknas i dagar mellan den avtalade förfallodagen och rappo</w:t>
            </w:r>
            <w:r>
              <w:rPr>
                <w:rFonts w:ascii="Times New Roman" w:hAnsi="Times New Roman"/>
                <w:sz w:val="24"/>
              </w:rPr>
              <w:t>r</w:t>
            </w:r>
            <w:r>
              <w:rPr>
                <w:rFonts w:ascii="Times New Roman" w:hAnsi="Times New Roman"/>
                <w:sz w:val="24"/>
              </w:rPr>
              <w:t>teringsreferensdagen för alla positioner.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Exponeringar mot offentlig sektor ska delas upp efter återstående löptid och hänföras till intervall enligt följande:</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xml:space="preserve"> : Mindre än 90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- 1Y ]</w:t>
            </w:r>
            <w:r>
              <w:rPr>
                <w:rFonts w:ascii="Times New Roman" w:hAnsi="Times New Roman"/>
                <w:sz w:val="24"/>
              </w:rPr>
              <w:t xml:space="preserve"> : Minst 90 dagar och mindre än 365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[ 1Y – 2Y ]</w:t>
            </w:r>
            <w:r>
              <w:rPr>
                <w:rFonts w:ascii="Times New Roman" w:hAnsi="Times New Roman"/>
                <w:sz w:val="24"/>
              </w:rPr>
              <w:t xml:space="preserve"> : Minst 365 dagar och mindre än 730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[ 2Y – 3Y ]</w:t>
            </w:r>
            <w:r>
              <w:rPr>
                <w:rFonts w:ascii="Times New Roman" w:hAnsi="Times New Roman"/>
                <w:sz w:val="24"/>
              </w:rPr>
              <w:t xml:space="preserve"> : Minst 730 dagar och mindre än 1 095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[ 3Y – 5Y ]</w:t>
            </w:r>
            <w:r>
              <w:rPr>
                <w:rFonts w:ascii="Times New Roman" w:hAnsi="Times New Roman"/>
                <w:sz w:val="24"/>
              </w:rPr>
              <w:t xml:space="preserve"> : Minst 1 095 dagar och mindre än 1 825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[ 5Y – 10Y ]</w:t>
            </w:r>
            <w:r>
              <w:rPr>
                <w:rFonts w:ascii="Times New Roman" w:hAnsi="Times New Roman"/>
                <w:sz w:val="24"/>
              </w:rPr>
              <w:t xml:space="preserve"> : Minst 1 825 dagar och mindre än 3 650 dagar</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[ 10Y – mer ]</w:t>
            </w:r>
            <w:r>
              <w:rPr>
                <w:rFonts w:ascii="Times New Roman" w:hAnsi="Times New Roman"/>
                <w:sz w:val="24"/>
              </w:rPr>
              <w:t xml:space="preserve"> : 3 650 dagar eller mer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A7" w:rsidRDefault="000C5EA7" w:rsidP="00D946DB">
      <w:pPr>
        <w:spacing w:before="0" w:after="0"/>
      </w:pPr>
      <w:r>
        <w:separator/>
      </w:r>
    </w:p>
  </w:endnote>
  <w:endnote w:type="continuationSeparator" w:id="0">
    <w:p w:rsidR="000C5EA7" w:rsidRDefault="000C5EA7" w:rsidP="00D946DB">
      <w:pPr>
        <w:spacing w:before="0" w:after="0"/>
      </w:pPr>
      <w:r>
        <w:continuationSeparator/>
      </w:r>
    </w:p>
  </w:endnote>
  <w:endnote w:type="continuationNotice" w:id="1">
    <w:p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CE7A6C">
      <w:rPr>
        <w:rFonts w:ascii="Times New Roman" w:hAnsi="Times New Roman"/>
        <w:noProof/>
        <w:sz w:val="22"/>
        <w:szCs w:val="22"/>
      </w:rPr>
      <w:t>6</w:t>
    </w:r>
    <w:r w:rsidRPr="00ED1956">
      <w:rPr>
        <w:rFonts w:ascii="Times New Roman" w:hAnsi="Times New Roman"/>
        <w:sz w:val="22"/>
        <w:szCs w:val="22"/>
      </w:rPr>
      <w:fldChar w:fldCharType="end"/>
    </w:r>
  </w:p>
  <w:p w:rsidR="002B5F2D" w:rsidRDefault="002B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030C22">
      <w:rPr>
        <w:noProof/>
        <w:sz w:val="22"/>
        <w:szCs w:val="22"/>
      </w:rPr>
      <w:t>1</w:t>
    </w:r>
    <w:r w:rsidRPr="00E85358">
      <w:rPr>
        <w:noProof/>
        <w:sz w:val="22"/>
        <w:szCs w:val="22"/>
      </w:rPr>
      <w:fldChar w:fldCharType="end"/>
    </w:r>
  </w:p>
  <w:p w:rsidR="002B5F2D" w:rsidRDefault="002B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2B5F2D" w:rsidRDefault="002B5F2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03B42">
      <w:rPr>
        <w:rFonts w:ascii="Times New Roman" w:hAnsi="Times New Roman"/>
        <w:noProof/>
        <w:sz w:val="20"/>
        <w:szCs w:val="20"/>
      </w:rPr>
      <w:t>210</w:t>
    </w:r>
    <w:r w:rsidRPr="00ED1956">
      <w:rPr>
        <w:rFonts w:ascii="Times New Roman" w:hAnsi="Times New Roman"/>
        <w:sz w:val="20"/>
        <w:szCs w:val="20"/>
      </w:rPr>
      <w:fldChar w:fldCharType="end"/>
    </w:r>
  </w:p>
  <w:p w:rsidR="002B5F2D" w:rsidRPr="00A772B4" w:rsidRDefault="002B5F2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A7" w:rsidRDefault="000C5EA7" w:rsidP="00D946DB">
      <w:pPr>
        <w:spacing w:before="0" w:after="0"/>
      </w:pPr>
      <w:r>
        <w:separator/>
      </w:r>
    </w:p>
  </w:footnote>
  <w:footnote w:type="continuationSeparator" w:id="0">
    <w:p w:rsidR="000C5EA7" w:rsidRDefault="000C5EA7" w:rsidP="00D946DB">
      <w:pPr>
        <w:spacing w:before="0" w:after="0"/>
      </w:pPr>
      <w:r>
        <w:continuationSeparator/>
      </w:r>
    </w:p>
  </w:footnote>
  <w:footnote w:type="continuationNotice" w:id="1">
    <w:p w:rsidR="000C5EA7" w:rsidRDefault="000C5EA7">
      <w:pPr>
        <w:spacing w:before="0" w:after="0"/>
      </w:pPr>
    </w:p>
  </w:footnote>
  <w:footnote w:id="2">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 uppgifter som begärs om instituten i denna mall ska rapporteras i ackumulerad form för kalenderåret eller rapporteringsåret (dvs. sedan den 1 januari det aktuella året).</w:t>
      </w:r>
    </w:p>
  </w:footnote>
  <w:footnote w:id="3">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”Självständiga institut” ingår inte i någon grupp och konsoliderar sig heller inte i samma land där de omfattas av kapitalbaskraven.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0C22"/>
    <w:rsid w:val="00030E4F"/>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5BF"/>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0037"/>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3A2"/>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25C7"/>
    <w:rsid w:val="001959EF"/>
    <w:rsid w:val="0019727D"/>
    <w:rsid w:val="001A2115"/>
    <w:rsid w:val="001A2627"/>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7A6"/>
    <w:rsid w:val="001F0D60"/>
    <w:rsid w:val="001F2830"/>
    <w:rsid w:val="001F2920"/>
    <w:rsid w:val="001F3BBE"/>
    <w:rsid w:val="001F4225"/>
    <w:rsid w:val="001F5AC3"/>
    <w:rsid w:val="001F73EA"/>
    <w:rsid w:val="00200D6E"/>
    <w:rsid w:val="00201704"/>
    <w:rsid w:val="00201F3E"/>
    <w:rsid w:val="00202198"/>
    <w:rsid w:val="00202742"/>
    <w:rsid w:val="0020282E"/>
    <w:rsid w:val="00203FDD"/>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5DE9"/>
    <w:rsid w:val="002A6913"/>
    <w:rsid w:val="002A7C84"/>
    <w:rsid w:val="002B15B5"/>
    <w:rsid w:val="002B1600"/>
    <w:rsid w:val="002B2BA3"/>
    <w:rsid w:val="002B3E36"/>
    <w:rsid w:val="002B5403"/>
    <w:rsid w:val="002B5492"/>
    <w:rsid w:val="002B5B50"/>
    <w:rsid w:val="002B5CD1"/>
    <w:rsid w:val="002B5F2D"/>
    <w:rsid w:val="002B63AB"/>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3168"/>
    <w:rsid w:val="0040521E"/>
    <w:rsid w:val="00405C0A"/>
    <w:rsid w:val="00407110"/>
    <w:rsid w:val="00407936"/>
    <w:rsid w:val="00410796"/>
    <w:rsid w:val="004120DF"/>
    <w:rsid w:val="004129D0"/>
    <w:rsid w:val="00412D44"/>
    <w:rsid w:val="004133D9"/>
    <w:rsid w:val="00415A1B"/>
    <w:rsid w:val="00417984"/>
    <w:rsid w:val="00420B8C"/>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13DE"/>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5CED"/>
    <w:rsid w:val="00646287"/>
    <w:rsid w:val="00646D1B"/>
    <w:rsid w:val="006477B8"/>
    <w:rsid w:val="00647F9C"/>
    <w:rsid w:val="00650D5A"/>
    <w:rsid w:val="00650DB8"/>
    <w:rsid w:val="00651C18"/>
    <w:rsid w:val="00652DF7"/>
    <w:rsid w:val="00652F11"/>
    <w:rsid w:val="00654E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48E2"/>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58AF"/>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3B42"/>
    <w:rsid w:val="00805255"/>
    <w:rsid w:val="00810F87"/>
    <w:rsid w:val="0081176B"/>
    <w:rsid w:val="00811F9D"/>
    <w:rsid w:val="00812582"/>
    <w:rsid w:val="008136B4"/>
    <w:rsid w:val="00816B32"/>
    <w:rsid w:val="00816F2D"/>
    <w:rsid w:val="00820E23"/>
    <w:rsid w:val="0082105B"/>
    <w:rsid w:val="008248E0"/>
    <w:rsid w:val="00830EB5"/>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48B9"/>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07D0A"/>
    <w:rsid w:val="00910210"/>
    <w:rsid w:val="009118EE"/>
    <w:rsid w:val="00912DF5"/>
    <w:rsid w:val="00920491"/>
    <w:rsid w:val="009247A0"/>
    <w:rsid w:val="0092482C"/>
    <w:rsid w:val="00924EEF"/>
    <w:rsid w:val="00924FE7"/>
    <w:rsid w:val="009270FE"/>
    <w:rsid w:val="00927A7A"/>
    <w:rsid w:val="00927A8B"/>
    <w:rsid w:val="0093055F"/>
    <w:rsid w:val="009308DB"/>
    <w:rsid w:val="00931528"/>
    <w:rsid w:val="00931878"/>
    <w:rsid w:val="009339C1"/>
    <w:rsid w:val="00934BDB"/>
    <w:rsid w:val="00934F04"/>
    <w:rsid w:val="00936395"/>
    <w:rsid w:val="00936BB3"/>
    <w:rsid w:val="00936DD1"/>
    <w:rsid w:val="009371BA"/>
    <w:rsid w:val="0094162B"/>
    <w:rsid w:val="00941843"/>
    <w:rsid w:val="00942368"/>
    <w:rsid w:val="009425CC"/>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0CEB"/>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AC4"/>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33B"/>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39D2"/>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A6C"/>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3F62"/>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99B"/>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2258"/>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1416"/>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629E"/>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v-SE" w:eastAsia="sv-SE" w:bidi="sv-S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uiPriority w:val="99"/>
    <w:locked/>
    <w:rsid w:val="00884FEB"/>
    <w:rPr>
      <w:rFonts w:cs="Times New Roman"/>
      <w:sz w:val="24"/>
      <w:szCs w:val="24"/>
      <w:lang w:val="sv-SE" w:eastAsia="sv-SE"/>
    </w:rPr>
  </w:style>
  <w:style w:type="character" w:customStyle="1" w:styleId="Heading4Char">
    <w:name w:val="Heading 4 Char"/>
    <w:link w:val="Heading4"/>
    <w:uiPriority w:val="99"/>
    <w:locked/>
    <w:rsid w:val="00DE0962"/>
    <w:rPr>
      <w:rFonts w:ascii="Verdana" w:eastAsia="Times New Roman" w:hAnsi="Verdana"/>
      <w:b/>
      <w:szCs w:val="24"/>
      <w:u w:val="single"/>
      <w:lang w:eastAsia="sv-SE" w:bidi="sv-SE"/>
    </w:rPr>
  </w:style>
  <w:style w:type="character" w:customStyle="1" w:styleId="Heading5Char">
    <w:name w:val="Heading 5 Char"/>
    <w:link w:val="Heading5"/>
    <w:uiPriority w:val="1"/>
    <w:locked/>
    <w:rsid w:val="001E5A75"/>
    <w:rPr>
      <w:rFonts w:ascii="Arial" w:hAnsi="Arial" w:cs="Times New Roman"/>
      <w:b/>
      <w:i/>
      <w:sz w:val="20"/>
      <w:szCs w:val="20"/>
      <w:lang w:eastAsia="sv-SE"/>
    </w:rPr>
  </w:style>
  <w:style w:type="character" w:customStyle="1" w:styleId="Heading6Char">
    <w:name w:val="Heading 6 Char"/>
    <w:link w:val="Heading6"/>
    <w:semiHidden/>
    <w:locked/>
    <w:rsid w:val="001E5A75"/>
    <w:rPr>
      <w:rFonts w:ascii="Times New Roman" w:hAnsi="Times New Roman" w:cs="Times New Roman"/>
      <w:b/>
      <w:bCs/>
      <w:lang w:eastAsia="sv-SE"/>
    </w:rPr>
  </w:style>
  <w:style w:type="character" w:customStyle="1" w:styleId="Heading7Char">
    <w:name w:val="Heading 7 Char"/>
    <w:link w:val="Heading7"/>
    <w:semiHidden/>
    <w:locked/>
    <w:rsid w:val="001E5A75"/>
    <w:rPr>
      <w:rFonts w:ascii="Times New Roman" w:hAnsi="Times New Roman" w:cs="Times New Roman"/>
      <w:sz w:val="20"/>
      <w:szCs w:val="20"/>
      <w:lang w:eastAsia="sv-SE"/>
    </w:rPr>
  </w:style>
  <w:style w:type="character" w:customStyle="1" w:styleId="Heading8Char">
    <w:name w:val="Heading 8 Char"/>
    <w:link w:val="Heading8"/>
    <w:semiHidden/>
    <w:locked/>
    <w:rsid w:val="001E5A75"/>
    <w:rPr>
      <w:rFonts w:ascii="Times New Roman" w:hAnsi="Times New Roman" w:cs="Times New Roman"/>
      <w:i/>
      <w:iCs/>
      <w:sz w:val="20"/>
      <w:szCs w:val="20"/>
      <w:lang w:eastAsia="sv-SE"/>
    </w:rPr>
  </w:style>
  <w:style w:type="character" w:customStyle="1" w:styleId="Heading9Char">
    <w:name w:val="Heading 9 Char"/>
    <w:link w:val="Heading9"/>
    <w:semiHidden/>
    <w:locked/>
    <w:rsid w:val="001E5A75"/>
    <w:rPr>
      <w:rFonts w:ascii="Arial" w:hAnsi="Arial" w:cs="Arial"/>
      <w:lang w:eastAsia="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v-S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v-S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v-S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v-S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v-S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v-S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v-SE" w:bidi="sv-S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v-SE" w:bidi="sv-S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v-SE" w:bidi="sv-S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v-SE" w:eastAsia="sv-S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sv-SE" w:bidi="sv-S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sv-SE" w:bidi="sv-S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v-SE"/>
    </w:rPr>
  </w:style>
  <w:style w:type="character" w:customStyle="1" w:styleId="NumPar1Char">
    <w:name w:val="NumPar 1 Char"/>
    <w:link w:val="NumPar1"/>
    <w:uiPriority w:val="99"/>
    <w:locked/>
    <w:rsid w:val="00D34F75"/>
    <w:rPr>
      <w:rFonts w:cs="Times New Roman"/>
      <w:sz w:val="24"/>
      <w:szCs w:val="24"/>
      <w:lang w:val="sv-SE" w:eastAsia="sv-S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v-SE" w:eastAsia="sv-S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sv-S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v-SE" w:eastAsia="sv-SE" w:bidi="sv-S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uiPriority w:val="99"/>
    <w:locked/>
    <w:rsid w:val="00884FEB"/>
    <w:rPr>
      <w:rFonts w:cs="Times New Roman"/>
      <w:sz w:val="24"/>
      <w:szCs w:val="24"/>
      <w:lang w:val="sv-SE" w:eastAsia="sv-SE"/>
    </w:rPr>
  </w:style>
  <w:style w:type="character" w:customStyle="1" w:styleId="Heading4Char">
    <w:name w:val="Heading 4 Char"/>
    <w:link w:val="Heading4"/>
    <w:uiPriority w:val="99"/>
    <w:locked/>
    <w:rsid w:val="00DE0962"/>
    <w:rPr>
      <w:rFonts w:ascii="Verdana" w:eastAsia="Times New Roman" w:hAnsi="Verdana"/>
      <w:b/>
      <w:szCs w:val="24"/>
      <w:u w:val="single"/>
      <w:lang w:eastAsia="sv-SE" w:bidi="sv-SE"/>
    </w:rPr>
  </w:style>
  <w:style w:type="character" w:customStyle="1" w:styleId="Heading5Char">
    <w:name w:val="Heading 5 Char"/>
    <w:link w:val="Heading5"/>
    <w:uiPriority w:val="1"/>
    <w:locked/>
    <w:rsid w:val="001E5A75"/>
    <w:rPr>
      <w:rFonts w:ascii="Arial" w:hAnsi="Arial" w:cs="Times New Roman"/>
      <w:b/>
      <w:i/>
      <w:sz w:val="20"/>
      <w:szCs w:val="20"/>
      <w:lang w:eastAsia="sv-SE"/>
    </w:rPr>
  </w:style>
  <w:style w:type="character" w:customStyle="1" w:styleId="Heading6Char">
    <w:name w:val="Heading 6 Char"/>
    <w:link w:val="Heading6"/>
    <w:semiHidden/>
    <w:locked/>
    <w:rsid w:val="001E5A75"/>
    <w:rPr>
      <w:rFonts w:ascii="Times New Roman" w:hAnsi="Times New Roman" w:cs="Times New Roman"/>
      <w:b/>
      <w:bCs/>
      <w:lang w:eastAsia="sv-SE"/>
    </w:rPr>
  </w:style>
  <w:style w:type="character" w:customStyle="1" w:styleId="Heading7Char">
    <w:name w:val="Heading 7 Char"/>
    <w:link w:val="Heading7"/>
    <w:semiHidden/>
    <w:locked/>
    <w:rsid w:val="001E5A75"/>
    <w:rPr>
      <w:rFonts w:ascii="Times New Roman" w:hAnsi="Times New Roman" w:cs="Times New Roman"/>
      <w:sz w:val="20"/>
      <w:szCs w:val="20"/>
      <w:lang w:eastAsia="sv-SE"/>
    </w:rPr>
  </w:style>
  <w:style w:type="character" w:customStyle="1" w:styleId="Heading8Char">
    <w:name w:val="Heading 8 Char"/>
    <w:link w:val="Heading8"/>
    <w:semiHidden/>
    <w:locked/>
    <w:rsid w:val="001E5A75"/>
    <w:rPr>
      <w:rFonts w:ascii="Times New Roman" w:hAnsi="Times New Roman" w:cs="Times New Roman"/>
      <w:i/>
      <w:iCs/>
      <w:sz w:val="20"/>
      <w:szCs w:val="20"/>
      <w:lang w:eastAsia="sv-SE"/>
    </w:rPr>
  </w:style>
  <w:style w:type="character" w:customStyle="1" w:styleId="Heading9Char">
    <w:name w:val="Heading 9 Char"/>
    <w:link w:val="Heading9"/>
    <w:semiHidden/>
    <w:locked/>
    <w:rsid w:val="001E5A75"/>
    <w:rPr>
      <w:rFonts w:ascii="Arial" w:hAnsi="Arial" w:cs="Arial"/>
      <w:lang w:eastAsia="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v-S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v-S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v-S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v-S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v-S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v-S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v-SE" w:bidi="sv-S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v-SE" w:bidi="sv-S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v-SE" w:bidi="sv-S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v-SE" w:eastAsia="sv-S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sv-SE" w:bidi="sv-S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sv-SE" w:bidi="sv-S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v-SE"/>
    </w:rPr>
  </w:style>
  <w:style w:type="character" w:customStyle="1" w:styleId="NumPar1Char">
    <w:name w:val="NumPar 1 Char"/>
    <w:link w:val="NumPar1"/>
    <w:uiPriority w:val="99"/>
    <w:locked/>
    <w:rsid w:val="00D34F75"/>
    <w:rPr>
      <w:rFonts w:cs="Times New Roman"/>
      <w:sz w:val="24"/>
      <w:szCs w:val="24"/>
      <w:lang w:val="sv-SE" w:eastAsia="sv-S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v-SE" w:eastAsia="sv-S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sv-S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61DA6-78BC-4A56-9208-E75A13705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220</Pages>
  <Words>65724</Words>
  <Characters>414930</Characters>
  <Application>Microsoft Office Word</Application>
  <DocSecurity>0</DocSecurity>
  <Lines>10919</Lines>
  <Paragraphs>6162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474492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ANETORP Lena (DGT)</cp:lastModifiedBy>
  <cp:revision>40</cp:revision>
  <cp:lastPrinted>2018-06-07T11:13:00Z</cp:lastPrinted>
  <dcterms:created xsi:type="dcterms:W3CDTF">2018-06-28T09:52:00Z</dcterms:created>
  <dcterms:modified xsi:type="dcterms:W3CDTF">2018-09-06T12:41:00Z</dcterms:modified>
</cp:coreProperties>
</file>