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r>
        <w:rPr>
          <w:rFonts w:ascii="Times New Roman" w:hAnsi="Times New Roman"/>
          <w:b/>
          <w:sz w:val="24"/>
        </w:rPr>
        <w:t>ET</w:t>
      </w:r>
    </w:p>
    <w:p w:rsidR="008934A4" w:rsidRDefault="008934A4" w:rsidP="00A15D28">
      <w:pPr>
        <w:jc w:val="center"/>
        <w:rPr>
          <w:rFonts w:ascii="Times New Roman" w:hAnsi="Times New Roman"/>
          <w:b/>
          <w:sz w:val="24"/>
          <w:szCs w:val="24"/>
        </w:rPr>
      </w:pPr>
      <w:r>
        <w:rPr>
          <w:rFonts w:ascii="Times New Roman" w:hAnsi="Times New Roman"/>
          <w:b/>
          <w:sz w:val="24"/>
        </w:rPr>
        <w:t>V LISA</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A15D28" w:rsidP="00A15D28">
      <w:pPr>
        <w:jc w:val="center"/>
        <w:rPr>
          <w:rFonts w:ascii="Times New Roman" w:hAnsi="Times New Roman"/>
          <w:sz w:val="28"/>
          <w:szCs w:val="28"/>
          <w:u w:val="single"/>
        </w:rPr>
      </w:pPr>
      <w:r>
        <w:rPr>
          <w:rFonts w:ascii="Times New Roman" w:hAnsi="Times New Roman"/>
          <w:b/>
          <w:sz w:val="24"/>
          <w:u w:val="single"/>
        </w:rPr>
        <w:t>XI LISA</w:t>
      </w:r>
    </w:p>
    <w:p w:rsidR="00A15D28" w:rsidRPr="00E94154" w:rsidRDefault="00A15D28" w:rsidP="00A15D28">
      <w:pPr>
        <w:jc w:val="center"/>
        <w:rPr>
          <w:rFonts w:ascii="Times New Roman" w:hAnsi="Times New Roman"/>
        </w:rPr>
      </w:pPr>
      <w:r>
        <w:rPr>
          <w:rFonts w:ascii="Times New Roman" w:hAnsi="Times New Roman"/>
          <w:b/>
          <w:sz w:val="24"/>
        </w:rPr>
        <w:t>FINANTSVÕIMENDUSE ARUANDLUS</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Default="00F4754B" w:rsidP="00F4754B">
      <w:pPr>
        <w:pStyle w:val="BodyText1"/>
        <w:rPr>
          <w:rFonts w:ascii="Times New Roman" w:hAnsi="Times New Roman"/>
        </w:rPr>
      </w:pPr>
    </w:p>
    <w:p w:rsidR="006F2D5C" w:rsidRPr="00E94154" w:rsidRDefault="006F2D5C" w:rsidP="006F2D5C">
      <w:pPr>
        <w:pStyle w:val="BodyText1"/>
        <w:ind w:left="720"/>
        <w:rPr>
          <w:rFonts w:ascii="Times New Roman" w:hAnsi="Times New Roman"/>
        </w:rPr>
      </w:pPr>
    </w:p>
    <w:p w:rsidR="006F2D5C" w:rsidRDefault="006F2D5C">
      <w:pPr>
        <w:pStyle w:val="TOC1"/>
        <w:rPr>
          <w:rFonts w:asciiTheme="minorHAnsi" w:eastAsiaTheme="minorEastAsia" w:hAnsiTheme="minorHAnsi" w:cstheme="minorBidi"/>
          <w:color w:val="auto"/>
          <w:sz w:val="22"/>
          <w:szCs w:val="22"/>
          <w:lang w:val="en-GB" w:eastAsia="en-GB" w:bidi="ar-SA"/>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524079940" w:history="1">
        <w:r w:rsidRPr="0090676A">
          <w:rPr>
            <w:rStyle w:val="Hyperlink"/>
            <w:rFonts w:ascii="Times New Roman" w:hAnsi="Times New Roman"/>
            <w:b/>
          </w:rPr>
          <w:t>I OSA. ÜLDISED JUHISED</w:t>
        </w:r>
        <w:r>
          <w:rPr>
            <w:webHidden/>
          </w:rPr>
          <w:tab/>
        </w:r>
        <w:r>
          <w:rPr>
            <w:webHidden/>
          </w:rPr>
          <w:fldChar w:fldCharType="begin"/>
        </w:r>
        <w:r>
          <w:rPr>
            <w:webHidden/>
          </w:rPr>
          <w:instrText xml:space="preserve"> PAGEREF _Toc524079940 \h </w:instrText>
        </w:r>
        <w:r>
          <w:rPr>
            <w:webHidden/>
          </w:rPr>
        </w:r>
        <w:r>
          <w:rPr>
            <w:webHidden/>
          </w:rPr>
          <w:fldChar w:fldCharType="separate"/>
        </w:r>
        <w:r>
          <w:rPr>
            <w:webHidden/>
          </w:rPr>
          <w:t>2</w:t>
        </w:r>
        <w:r>
          <w:rPr>
            <w:webHidden/>
          </w:rPr>
          <w:fldChar w:fldCharType="end"/>
        </w:r>
      </w:hyperlink>
    </w:p>
    <w:p w:rsidR="006F2D5C" w:rsidRDefault="006F2D5C">
      <w:pPr>
        <w:pStyle w:val="TOC2"/>
        <w:rPr>
          <w:rFonts w:asciiTheme="minorHAnsi" w:eastAsiaTheme="minorEastAsia" w:hAnsiTheme="minorHAnsi" w:cstheme="minorBidi"/>
          <w:b w:val="0"/>
          <w:smallCaps w:val="0"/>
          <w:sz w:val="22"/>
          <w:lang w:val="en-GB" w:eastAsia="en-GB" w:bidi="ar-SA"/>
        </w:rPr>
      </w:pPr>
      <w:hyperlink w:anchor="_Toc524079941" w:history="1">
        <w:r w:rsidRPr="0090676A">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90676A">
          <w:rPr>
            <w:rStyle w:val="Hyperlink"/>
            <w:rFonts w:ascii="Times New Roman" w:hAnsi="Times New Roman"/>
          </w:rPr>
          <w:t>Vormide pealkirjastamise ja muud põhimõtted</w:t>
        </w:r>
        <w:r>
          <w:rPr>
            <w:webHidden/>
          </w:rPr>
          <w:tab/>
        </w:r>
        <w:r>
          <w:rPr>
            <w:webHidden/>
          </w:rPr>
          <w:fldChar w:fldCharType="begin"/>
        </w:r>
        <w:r>
          <w:rPr>
            <w:webHidden/>
          </w:rPr>
          <w:instrText xml:space="preserve"> PAGEREF _Toc524079941 \h </w:instrText>
        </w:r>
        <w:r>
          <w:rPr>
            <w:webHidden/>
          </w:rPr>
        </w:r>
        <w:r>
          <w:rPr>
            <w:webHidden/>
          </w:rPr>
          <w:fldChar w:fldCharType="separate"/>
        </w:r>
        <w:r>
          <w:rPr>
            <w:webHidden/>
          </w:rPr>
          <w:t>2</w:t>
        </w:r>
        <w:r>
          <w:rPr>
            <w:webHidden/>
          </w:rPr>
          <w:fldChar w:fldCharType="end"/>
        </w:r>
      </w:hyperlink>
    </w:p>
    <w:p w:rsidR="006F2D5C" w:rsidRDefault="006F2D5C">
      <w:pPr>
        <w:pStyle w:val="TOC3"/>
        <w:rPr>
          <w:rFonts w:asciiTheme="minorHAnsi" w:eastAsiaTheme="minorEastAsia" w:hAnsiTheme="minorHAnsi" w:cstheme="minorBidi"/>
          <w:smallCaps w:val="0"/>
          <w:sz w:val="22"/>
          <w:szCs w:val="22"/>
          <w:lang w:val="en-GB" w:eastAsia="en-GB" w:bidi="ar-SA"/>
        </w:rPr>
      </w:pPr>
      <w:hyperlink w:anchor="_Toc524079942" w:history="1">
        <w:r w:rsidRPr="0090676A">
          <w:rPr>
            <w:rStyle w:val="Hyperlink"/>
            <w:rFonts w:ascii="Times New Roman" w:hAnsi="Times New Roman"/>
            <w:b/>
          </w:rPr>
          <w:t>1.1.</w:t>
        </w:r>
        <w:r>
          <w:rPr>
            <w:rFonts w:asciiTheme="minorHAnsi" w:eastAsiaTheme="minorEastAsia" w:hAnsiTheme="minorHAnsi" w:cstheme="minorBidi"/>
            <w:smallCaps w:val="0"/>
            <w:sz w:val="22"/>
            <w:szCs w:val="22"/>
            <w:lang w:val="en-GB" w:eastAsia="en-GB" w:bidi="ar-SA"/>
          </w:rPr>
          <w:tab/>
        </w:r>
        <w:r w:rsidRPr="0090676A">
          <w:rPr>
            <w:rStyle w:val="Hyperlink"/>
            <w:rFonts w:ascii="Times New Roman" w:hAnsi="Times New Roman"/>
            <w:b/>
          </w:rPr>
          <w:t>Vormide pealkirjastamine</w:t>
        </w:r>
        <w:r>
          <w:rPr>
            <w:webHidden/>
          </w:rPr>
          <w:tab/>
        </w:r>
        <w:r>
          <w:rPr>
            <w:webHidden/>
          </w:rPr>
          <w:fldChar w:fldCharType="begin"/>
        </w:r>
        <w:r>
          <w:rPr>
            <w:webHidden/>
          </w:rPr>
          <w:instrText xml:space="preserve"> PAGEREF _Toc524079942 \h </w:instrText>
        </w:r>
        <w:r>
          <w:rPr>
            <w:webHidden/>
          </w:rPr>
        </w:r>
        <w:r>
          <w:rPr>
            <w:webHidden/>
          </w:rPr>
          <w:fldChar w:fldCharType="separate"/>
        </w:r>
        <w:r>
          <w:rPr>
            <w:webHidden/>
          </w:rPr>
          <w:t>2</w:t>
        </w:r>
        <w:r>
          <w:rPr>
            <w:webHidden/>
          </w:rPr>
          <w:fldChar w:fldCharType="end"/>
        </w:r>
      </w:hyperlink>
    </w:p>
    <w:p w:rsidR="006F2D5C" w:rsidRDefault="006F2D5C">
      <w:pPr>
        <w:pStyle w:val="TOC3"/>
        <w:rPr>
          <w:rFonts w:asciiTheme="minorHAnsi" w:eastAsiaTheme="minorEastAsia" w:hAnsiTheme="minorHAnsi" w:cstheme="minorBidi"/>
          <w:smallCaps w:val="0"/>
          <w:sz w:val="22"/>
          <w:szCs w:val="22"/>
          <w:lang w:val="en-GB" w:eastAsia="en-GB" w:bidi="ar-SA"/>
        </w:rPr>
      </w:pPr>
      <w:hyperlink w:anchor="_Toc524079943" w:history="1">
        <w:r w:rsidRPr="0090676A">
          <w:rPr>
            <w:rStyle w:val="Hyperlink"/>
            <w:rFonts w:ascii="Times New Roman" w:hAnsi="Times New Roman"/>
            <w:b/>
          </w:rPr>
          <w:t>1.2.</w:t>
        </w:r>
        <w:r>
          <w:rPr>
            <w:rFonts w:asciiTheme="minorHAnsi" w:eastAsiaTheme="minorEastAsia" w:hAnsiTheme="minorHAnsi" w:cstheme="minorBidi"/>
            <w:smallCaps w:val="0"/>
            <w:sz w:val="22"/>
            <w:szCs w:val="22"/>
            <w:lang w:val="en-GB" w:eastAsia="en-GB" w:bidi="ar-SA"/>
          </w:rPr>
          <w:tab/>
        </w:r>
        <w:r w:rsidRPr="0090676A">
          <w:rPr>
            <w:rStyle w:val="Hyperlink"/>
            <w:rFonts w:ascii="Times New Roman" w:hAnsi="Times New Roman"/>
            <w:b/>
          </w:rPr>
          <w:t>Nummerdamise põhimõtted</w:t>
        </w:r>
        <w:r>
          <w:rPr>
            <w:webHidden/>
          </w:rPr>
          <w:tab/>
        </w:r>
        <w:r>
          <w:rPr>
            <w:webHidden/>
          </w:rPr>
          <w:fldChar w:fldCharType="begin"/>
        </w:r>
        <w:r>
          <w:rPr>
            <w:webHidden/>
          </w:rPr>
          <w:instrText xml:space="preserve"> PAGEREF _Toc524079943 \h </w:instrText>
        </w:r>
        <w:r>
          <w:rPr>
            <w:webHidden/>
          </w:rPr>
        </w:r>
        <w:r>
          <w:rPr>
            <w:webHidden/>
          </w:rPr>
          <w:fldChar w:fldCharType="separate"/>
        </w:r>
        <w:r>
          <w:rPr>
            <w:webHidden/>
          </w:rPr>
          <w:t>3</w:t>
        </w:r>
        <w:r>
          <w:rPr>
            <w:webHidden/>
          </w:rPr>
          <w:fldChar w:fldCharType="end"/>
        </w:r>
      </w:hyperlink>
    </w:p>
    <w:p w:rsidR="006F2D5C" w:rsidRDefault="006F2D5C">
      <w:pPr>
        <w:pStyle w:val="TOC3"/>
        <w:rPr>
          <w:rFonts w:asciiTheme="minorHAnsi" w:eastAsiaTheme="minorEastAsia" w:hAnsiTheme="minorHAnsi" w:cstheme="minorBidi"/>
          <w:smallCaps w:val="0"/>
          <w:sz w:val="22"/>
          <w:szCs w:val="22"/>
          <w:lang w:val="en-GB" w:eastAsia="en-GB" w:bidi="ar-SA"/>
        </w:rPr>
      </w:pPr>
      <w:hyperlink w:anchor="_Toc524079944" w:history="1">
        <w:r w:rsidRPr="0090676A">
          <w:rPr>
            <w:rStyle w:val="Hyperlink"/>
            <w:rFonts w:ascii="Times New Roman" w:hAnsi="Times New Roman"/>
            <w:b/>
          </w:rPr>
          <w:t>1.3.</w:t>
        </w:r>
        <w:r>
          <w:rPr>
            <w:rFonts w:asciiTheme="minorHAnsi" w:eastAsiaTheme="minorEastAsia" w:hAnsiTheme="minorHAnsi" w:cstheme="minorBidi"/>
            <w:smallCaps w:val="0"/>
            <w:sz w:val="22"/>
            <w:szCs w:val="22"/>
            <w:lang w:val="en-GB" w:eastAsia="en-GB" w:bidi="ar-SA"/>
          </w:rPr>
          <w:tab/>
        </w:r>
        <w:r w:rsidRPr="0090676A">
          <w:rPr>
            <w:rStyle w:val="Hyperlink"/>
            <w:rFonts w:ascii="Times New Roman" w:hAnsi="Times New Roman"/>
            <w:b/>
          </w:rPr>
          <w:t>Lühendid</w:t>
        </w:r>
        <w:r>
          <w:rPr>
            <w:webHidden/>
          </w:rPr>
          <w:tab/>
        </w:r>
        <w:r>
          <w:rPr>
            <w:webHidden/>
          </w:rPr>
          <w:fldChar w:fldCharType="begin"/>
        </w:r>
        <w:r>
          <w:rPr>
            <w:webHidden/>
          </w:rPr>
          <w:instrText xml:space="preserve"> PAGEREF _Toc524079944 \h </w:instrText>
        </w:r>
        <w:r>
          <w:rPr>
            <w:webHidden/>
          </w:rPr>
        </w:r>
        <w:r>
          <w:rPr>
            <w:webHidden/>
          </w:rPr>
          <w:fldChar w:fldCharType="separate"/>
        </w:r>
        <w:r>
          <w:rPr>
            <w:webHidden/>
          </w:rPr>
          <w:t>3</w:t>
        </w:r>
        <w:r>
          <w:rPr>
            <w:webHidden/>
          </w:rPr>
          <w:fldChar w:fldCharType="end"/>
        </w:r>
      </w:hyperlink>
    </w:p>
    <w:p w:rsidR="006F2D5C" w:rsidRDefault="006F2D5C">
      <w:pPr>
        <w:pStyle w:val="TOC3"/>
        <w:rPr>
          <w:rFonts w:asciiTheme="minorHAnsi" w:eastAsiaTheme="minorEastAsia" w:hAnsiTheme="minorHAnsi" w:cstheme="minorBidi"/>
          <w:smallCaps w:val="0"/>
          <w:sz w:val="22"/>
          <w:szCs w:val="22"/>
          <w:lang w:val="en-GB" w:eastAsia="en-GB" w:bidi="ar-SA"/>
        </w:rPr>
      </w:pPr>
      <w:hyperlink w:anchor="_Toc524079945" w:history="1">
        <w:r w:rsidRPr="0090676A">
          <w:rPr>
            <w:rStyle w:val="Hyperlink"/>
            <w:rFonts w:ascii="Times New Roman" w:hAnsi="Times New Roman"/>
            <w:b/>
          </w:rPr>
          <w:t>1.4.</w:t>
        </w:r>
        <w:r>
          <w:rPr>
            <w:rFonts w:asciiTheme="minorHAnsi" w:eastAsiaTheme="minorEastAsia" w:hAnsiTheme="minorHAnsi" w:cstheme="minorBidi"/>
            <w:smallCaps w:val="0"/>
            <w:sz w:val="22"/>
            <w:szCs w:val="22"/>
            <w:lang w:val="en-GB" w:eastAsia="en-GB" w:bidi="ar-SA"/>
          </w:rPr>
          <w:tab/>
        </w:r>
        <w:r w:rsidRPr="0090676A">
          <w:rPr>
            <w:rStyle w:val="Hyperlink"/>
            <w:rFonts w:ascii="Times New Roman" w:hAnsi="Times New Roman"/>
            <w:b/>
          </w:rPr>
          <w:t>Märgi põhimõtted</w:t>
        </w:r>
        <w:r>
          <w:rPr>
            <w:webHidden/>
          </w:rPr>
          <w:tab/>
        </w:r>
        <w:r>
          <w:rPr>
            <w:webHidden/>
          </w:rPr>
          <w:fldChar w:fldCharType="begin"/>
        </w:r>
        <w:r>
          <w:rPr>
            <w:webHidden/>
          </w:rPr>
          <w:instrText xml:space="preserve"> PAGEREF _Toc524079945 \h </w:instrText>
        </w:r>
        <w:r>
          <w:rPr>
            <w:webHidden/>
          </w:rPr>
        </w:r>
        <w:r>
          <w:rPr>
            <w:webHidden/>
          </w:rPr>
          <w:fldChar w:fldCharType="separate"/>
        </w:r>
        <w:r>
          <w:rPr>
            <w:webHidden/>
          </w:rPr>
          <w:t>3</w:t>
        </w:r>
        <w:r>
          <w:rPr>
            <w:webHidden/>
          </w:rPr>
          <w:fldChar w:fldCharType="end"/>
        </w:r>
      </w:hyperlink>
    </w:p>
    <w:p w:rsidR="006F2D5C" w:rsidRDefault="006F2D5C">
      <w:pPr>
        <w:pStyle w:val="TOC1"/>
        <w:rPr>
          <w:rFonts w:asciiTheme="minorHAnsi" w:eastAsiaTheme="minorEastAsia" w:hAnsiTheme="minorHAnsi" w:cstheme="minorBidi"/>
          <w:color w:val="auto"/>
          <w:sz w:val="22"/>
          <w:szCs w:val="22"/>
          <w:lang w:val="en-GB" w:eastAsia="en-GB" w:bidi="ar-SA"/>
        </w:rPr>
      </w:pPr>
      <w:hyperlink w:anchor="_Toc524079946" w:history="1">
        <w:r w:rsidRPr="0090676A">
          <w:rPr>
            <w:rStyle w:val="Hyperlink"/>
            <w:rFonts w:ascii="Times New Roman" w:hAnsi="Times New Roman"/>
            <w:b/>
          </w:rPr>
          <w:t>II OSA. VORMIDE TÄITMISE JUHISED</w:t>
        </w:r>
        <w:r>
          <w:rPr>
            <w:webHidden/>
          </w:rPr>
          <w:tab/>
        </w:r>
        <w:r>
          <w:rPr>
            <w:webHidden/>
          </w:rPr>
          <w:fldChar w:fldCharType="begin"/>
        </w:r>
        <w:r>
          <w:rPr>
            <w:webHidden/>
          </w:rPr>
          <w:instrText xml:space="preserve"> PAGEREF _Toc524079946 \h </w:instrText>
        </w:r>
        <w:r>
          <w:rPr>
            <w:webHidden/>
          </w:rPr>
        </w:r>
        <w:r>
          <w:rPr>
            <w:webHidden/>
          </w:rPr>
          <w:fldChar w:fldCharType="separate"/>
        </w:r>
        <w:r>
          <w:rPr>
            <w:webHidden/>
          </w:rPr>
          <w:t>4</w:t>
        </w:r>
        <w:r>
          <w:rPr>
            <w:webHidden/>
          </w:rPr>
          <w:fldChar w:fldCharType="end"/>
        </w:r>
      </w:hyperlink>
    </w:p>
    <w:p w:rsidR="006F2D5C" w:rsidRDefault="006F2D5C">
      <w:pPr>
        <w:pStyle w:val="TOC2"/>
        <w:rPr>
          <w:rFonts w:asciiTheme="minorHAnsi" w:eastAsiaTheme="minorEastAsia" w:hAnsiTheme="minorHAnsi" w:cstheme="minorBidi"/>
          <w:b w:val="0"/>
          <w:smallCaps w:val="0"/>
          <w:sz w:val="22"/>
          <w:lang w:val="en-GB" w:eastAsia="en-GB" w:bidi="ar-SA"/>
        </w:rPr>
      </w:pPr>
      <w:hyperlink w:anchor="_Toc524079947" w:history="1">
        <w:r w:rsidRPr="0090676A">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90676A">
          <w:rPr>
            <w:rStyle w:val="Hyperlink"/>
            <w:rFonts w:ascii="Times New Roman" w:hAnsi="Times New Roman"/>
          </w:rPr>
          <w:t>Struktuur ja sagedus</w:t>
        </w:r>
        <w:r>
          <w:rPr>
            <w:webHidden/>
          </w:rPr>
          <w:tab/>
        </w:r>
        <w:r>
          <w:rPr>
            <w:webHidden/>
          </w:rPr>
          <w:fldChar w:fldCharType="begin"/>
        </w:r>
        <w:r>
          <w:rPr>
            <w:webHidden/>
          </w:rPr>
          <w:instrText xml:space="preserve"> PAGEREF _Toc524079947 \h </w:instrText>
        </w:r>
        <w:r>
          <w:rPr>
            <w:webHidden/>
          </w:rPr>
        </w:r>
        <w:r>
          <w:rPr>
            <w:webHidden/>
          </w:rPr>
          <w:fldChar w:fldCharType="separate"/>
        </w:r>
        <w:r>
          <w:rPr>
            <w:webHidden/>
          </w:rPr>
          <w:t>4</w:t>
        </w:r>
        <w:r>
          <w:rPr>
            <w:webHidden/>
          </w:rPr>
          <w:fldChar w:fldCharType="end"/>
        </w:r>
      </w:hyperlink>
    </w:p>
    <w:p w:rsidR="006F2D5C" w:rsidRDefault="006F2D5C">
      <w:pPr>
        <w:pStyle w:val="TOC2"/>
        <w:rPr>
          <w:rFonts w:asciiTheme="minorHAnsi" w:eastAsiaTheme="minorEastAsia" w:hAnsiTheme="minorHAnsi" w:cstheme="minorBidi"/>
          <w:b w:val="0"/>
          <w:smallCaps w:val="0"/>
          <w:sz w:val="22"/>
          <w:lang w:val="en-GB" w:eastAsia="en-GB" w:bidi="ar-SA"/>
        </w:rPr>
      </w:pPr>
      <w:hyperlink w:anchor="_Toc524079948" w:history="1">
        <w:r w:rsidRPr="0090676A">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90676A">
          <w:rPr>
            <w:rStyle w:val="Hyperlink"/>
            <w:rFonts w:ascii="Times New Roman" w:hAnsi="Times New Roman"/>
          </w:rPr>
          <w:t>Valemid finantsvõimenduse määra arvutamiseks</w:t>
        </w:r>
        <w:r>
          <w:rPr>
            <w:webHidden/>
          </w:rPr>
          <w:tab/>
        </w:r>
        <w:r>
          <w:rPr>
            <w:webHidden/>
          </w:rPr>
          <w:fldChar w:fldCharType="begin"/>
        </w:r>
        <w:r>
          <w:rPr>
            <w:webHidden/>
          </w:rPr>
          <w:instrText xml:space="preserve"> PAGEREF _Toc524079948 \h </w:instrText>
        </w:r>
        <w:r>
          <w:rPr>
            <w:webHidden/>
          </w:rPr>
        </w:r>
        <w:r>
          <w:rPr>
            <w:webHidden/>
          </w:rPr>
          <w:fldChar w:fldCharType="separate"/>
        </w:r>
        <w:r>
          <w:rPr>
            <w:webHidden/>
          </w:rPr>
          <w:t>4</w:t>
        </w:r>
        <w:r>
          <w:rPr>
            <w:webHidden/>
          </w:rPr>
          <w:fldChar w:fldCharType="end"/>
        </w:r>
      </w:hyperlink>
    </w:p>
    <w:p w:rsidR="006F2D5C" w:rsidRDefault="006F2D5C">
      <w:pPr>
        <w:pStyle w:val="TOC2"/>
        <w:rPr>
          <w:rFonts w:asciiTheme="minorHAnsi" w:eastAsiaTheme="minorEastAsia" w:hAnsiTheme="minorHAnsi" w:cstheme="minorBidi"/>
          <w:b w:val="0"/>
          <w:smallCaps w:val="0"/>
          <w:sz w:val="22"/>
          <w:lang w:val="en-GB" w:eastAsia="en-GB" w:bidi="ar-SA"/>
        </w:rPr>
      </w:pPr>
      <w:hyperlink w:anchor="_Toc524079949" w:history="1">
        <w:r w:rsidRPr="0090676A">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90676A">
          <w:rPr>
            <w:rStyle w:val="Hyperlink"/>
            <w:rFonts w:ascii="Times New Roman" w:hAnsi="Times New Roman"/>
          </w:rPr>
          <w:t>Olulisuse piirmäärad tuletisinstrumentide puhul</w:t>
        </w:r>
        <w:r>
          <w:rPr>
            <w:webHidden/>
          </w:rPr>
          <w:tab/>
        </w:r>
        <w:r>
          <w:rPr>
            <w:webHidden/>
          </w:rPr>
          <w:fldChar w:fldCharType="begin"/>
        </w:r>
        <w:r>
          <w:rPr>
            <w:webHidden/>
          </w:rPr>
          <w:instrText xml:space="preserve"> PAGEREF _Toc524079949 \h </w:instrText>
        </w:r>
        <w:r>
          <w:rPr>
            <w:webHidden/>
          </w:rPr>
        </w:r>
        <w:r>
          <w:rPr>
            <w:webHidden/>
          </w:rPr>
          <w:fldChar w:fldCharType="separate"/>
        </w:r>
        <w:r>
          <w:rPr>
            <w:webHidden/>
          </w:rPr>
          <w:t>4</w:t>
        </w:r>
        <w:r>
          <w:rPr>
            <w:webHidden/>
          </w:rPr>
          <w:fldChar w:fldCharType="end"/>
        </w:r>
      </w:hyperlink>
    </w:p>
    <w:p w:rsidR="006F2D5C" w:rsidRDefault="006F2D5C">
      <w:pPr>
        <w:pStyle w:val="TOC2"/>
        <w:rPr>
          <w:rFonts w:asciiTheme="minorHAnsi" w:eastAsiaTheme="minorEastAsia" w:hAnsiTheme="minorHAnsi" w:cstheme="minorBidi"/>
          <w:b w:val="0"/>
          <w:smallCaps w:val="0"/>
          <w:sz w:val="22"/>
          <w:lang w:val="en-GB" w:eastAsia="en-GB" w:bidi="ar-SA"/>
        </w:rPr>
      </w:pPr>
      <w:hyperlink w:anchor="_Toc524079950" w:history="1">
        <w:r w:rsidRPr="0090676A">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90676A">
          <w:rPr>
            <w:rStyle w:val="Hyperlink"/>
            <w:rFonts w:ascii="Times New Roman" w:hAnsi="Times New Roman"/>
          </w:rPr>
          <w:t>C 47.00 – Finantsvõimenduse määra arvutamine (LRCalc)</w:t>
        </w:r>
        <w:r>
          <w:rPr>
            <w:webHidden/>
          </w:rPr>
          <w:tab/>
        </w:r>
        <w:r>
          <w:rPr>
            <w:webHidden/>
          </w:rPr>
          <w:fldChar w:fldCharType="begin"/>
        </w:r>
        <w:r>
          <w:rPr>
            <w:webHidden/>
          </w:rPr>
          <w:instrText xml:space="preserve"> PAGEREF _Toc524079950 \h </w:instrText>
        </w:r>
        <w:r>
          <w:rPr>
            <w:webHidden/>
          </w:rPr>
        </w:r>
        <w:r>
          <w:rPr>
            <w:webHidden/>
          </w:rPr>
          <w:fldChar w:fldCharType="separate"/>
        </w:r>
        <w:r>
          <w:rPr>
            <w:webHidden/>
          </w:rPr>
          <w:t>5</w:t>
        </w:r>
        <w:r>
          <w:rPr>
            <w:webHidden/>
          </w:rPr>
          <w:fldChar w:fldCharType="end"/>
        </w:r>
      </w:hyperlink>
    </w:p>
    <w:p w:rsidR="006F2D5C" w:rsidRDefault="006F2D5C">
      <w:pPr>
        <w:pStyle w:val="TOC2"/>
        <w:rPr>
          <w:rFonts w:asciiTheme="minorHAnsi" w:eastAsiaTheme="minorEastAsia" w:hAnsiTheme="minorHAnsi" w:cstheme="minorBidi"/>
          <w:b w:val="0"/>
          <w:smallCaps w:val="0"/>
          <w:sz w:val="22"/>
          <w:lang w:val="en-GB" w:eastAsia="en-GB" w:bidi="ar-SA"/>
        </w:rPr>
      </w:pPr>
      <w:hyperlink w:anchor="_Toc524079951" w:history="1">
        <w:r w:rsidRPr="0090676A">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90676A">
          <w:rPr>
            <w:rStyle w:val="Hyperlink"/>
            <w:rFonts w:ascii="Times New Roman" w:hAnsi="Times New Roman"/>
          </w:rPr>
          <w:t>C 40.00 – Riskipositsiooni näitaja alternatiivne käsitlus (LR1)</w:t>
        </w:r>
        <w:r>
          <w:rPr>
            <w:webHidden/>
          </w:rPr>
          <w:tab/>
        </w:r>
        <w:r>
          <w:rPr>
            <w:webHidden/>
          </w:rPr>
          <w:fldChar w:fldCharType="begin"/>
        </w:r>
        <w:r>
          <w:rPr>
            <w:webHidden/>
          </w:rPr>
          <w:instrText xml:space="preserve"> PAGEREF _Toc524079951 \h </w:instrText>
        </w:r>
        <w:r>
          <w:rPr>
            <w:webHidden/>
          </w:rPr>
        </w:r>
        <w:r>
          <w:rPr>
            <w:webHidden/>
          </w:rPr>
          <w:fldChar w:fldCharType="separate"/>
        </w:r>
        <w:r>
          <w:rPr>
            <w:webHidden/>
          </w:rPr>
          <w:t>15</w:t>
        </w:r>
        <w:r>
          <w:rPr>
            <w:webHidden/>
          </w:rPr>
          <w:fldChar w:fldCharType="end"/>
        </w:r>
      </w:hyperlink>
    </w:p>
    <w:p w:rsidR="006F2D5C" w:rsidRDefault="006F2D5C">
      <w:pPr>
        <w:pStyle w:val="TOC2"/>
        <w:rPr>
          <w:rFonts w:asciiTheme="minorHAnsi" w:eastAsiaTheme="minorEastAsia" w:hAnsiTheme="minorHAnsi" w:cstheme="minorBidi"/>
          <w:b w:val="0"/>
          <w:smallCaps w:val="0"/>
          <w:sz w:val="22"/>
          <w:lang w:val="en-GB" w:eastAsia="en-GB" w:bidi="ar-SA"/>
        </w:rPr>
      </w:pPr>
      <w:hyperlink w:anchor="_Toc524079952" w:history="1">
        <w:r w:rsidRPr="0090676A">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90676A">
          <w:rPr>
            <w:rStyle w:val="Hyperlink"/>
            <w:rFonts w:ascii="Times New Roman" w:hAnsi="Times New Roman"/>
          </w:rPr>
          <w:t>C 41.00 – Bilansilised ja bilansivälised kirjed – riskipositsioonide täiendav jaotus (LR2)</w:t>
        </w:r>
        <w:r>
          <w:rPr>
            <w:webHidden/>
          </w:rPr>
          <w:tab/>
        </w:r>
        <w:r>
          <w:rPr>
            <w:webHidden/>
          </w:rPr>
          <w:fldChar w:fldCharType="begin"/>
        </w:r>
        <w:r>
          <w:rPr>
            <w:webHidden/>
          </w:rPr>
          <w:instrText xml:space="preserve"> PAGEREF _Toc524079952 \h </w:instrText>
        </w:r>
        <w:r>
          <w:rPr>
            <w:webHidden/>
          </w:rPr>
        </w:r>
        <w:r>
          <w:rPr>
            <w:webHidden/>
          </w:rPr>
          <w:fldChar w:fldCharType="separate"/>
        </w:r>
        <w:r>
          <w:rPr>
            <w:webHidden/>
          </w:rPr>
          <w:t>25</w:t>
        </w:r>
        <w:r>
          <w:rPr>
            <w:webHidden/>
          </w:rPr>
          <w:fldChar w:fldCharType="end"/>
        </w:r>
      </w:hyperlink>
    </w:p>
    <w:p w:rsidR="006F2D5C" w:rsidRDefault="006F2D5C">
      <w:pPr>
        <w:pStyle w:val="TOC2"/>
        <w:rPr>
          <w:rFonts w:asciiTheme="minorHAnsi" w:eastAsiaTheme="minorEastAsia" w:hAnsiTheme="minorHAnsi" w:cstheme="minorBidi"/>
          <w:b w:val="0"/>
          <w:smallCaps w:val="0"/>
          <w:sz w:val="22"/>
          <w:lang w:val="en-GB" w:eastAsia="en-GB" w:bidi="ar-SA"/>
        </w:rPr>
      </w:pPr>
      <w:hyperlink w:anchor="_Toc524079953" w:history="1">
        <w:r w:rsidRPr="0090676A">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90676A">
          <w:rPr>
            <w:rStyle w:val="Hyperlink"/>
            <w:rFonts w:ascii="Times New Roman" w:hAnsi="Times New Roman"/>
          </w:rPr>
          <w:t>C 42.00 – Kapitali alternatiivne määratlus (LR3)</w:t>
        </w:r>
        <w:r>
          <w:rPr>
            <w:webHidden/>
          </w:rPr>
          <w:tab/>
        </w:r>
        <w:r>
          <w:rPr>
            <w:webHidden/>
          </w:rPr>
          <w:fldChar w:fldCharType="begin"/>
        </w:r>
        <w:r>
          <w:rPr>
            <w:webHidden/>
          </w:rPr>
          <w:instrText xml:space="preserve"> PAGEREF _Toc524079953 \h </w:instrText>
        </w:r>
        <w:r>
          <w:rPr>
            <w:webHidden/>
          </w:rPr>
        </w:r>
        <w:r>
          <w:rPr>
            <w:webHidden/>
          </w:rPr>
          <w:fldChar w:fldCharType="separate"/>
        </w:r>
        <w:r>
          <w:rPr>
            <w:webHidden/>
          </w:rPr>
          <w:t>27</w:t>
        </w:r>
        <w:r>
          <w:rPr>
            <w:webHidden/>
          </w:rPr>
          <w:fldChar w:fldCharType="end"/>
        </w:r>
      </w:hyperlink>
    </w:p>
    <w:p w:rsidR="006F2D5C" w:rsidRDefault="006F2D5C">
      <w:pPr>
        <w:pStyle w:val="TOC2"/>
        <w:rPr>
          <w:rFonts w:asciiTheme="minorHAnsi" w:eastAsiaTheme="minorEastAsia" w:hAnsiTheme="minorHAnsi" w:cstheme="minorBidi"/>
          <w:b w:val="0"/>
          <w:smallCaps w:val="0"/>
          <w:sz w:val="22"/>
          <w:lang w:val="en-GB" w:eastAsia="en-GB" w:bidi="ar-SA"/>
        </w:rPr>
      </w:pPr>
      <w:hyperlink w:anchor="_Toc524079954" w:history="1">
        <w:r w:rsidRPr="0090676A">
          <w:rPr>
            <w:rStyle w:val="Hyperlink"/>
            <w:rFonts w:ascii="Times New Roman" w:hAnsi="Times New Roman"/>
          </w:rPr>
          <w:t>8.</w:t>
        </w:r>
        <w:r>
          <w:rPr>
            <w:rFonts w:asciiTheme="minorHAnsi" w:eastAsiaTheme="minorEastAsia" w:hAnsiTheme="minorHAnsi" w:cstheme="minorBidi"/>
            <w:b w:val="0"/>
            <w:smallCaps w:val="0"/>
            <w:sz w:val="22"/>
            <w:lang w:val="en-GB" w:eastAsia="en-GB" w:bidi="ar-SA"/>
          </w:rPr>
          <w:tab/>
        </w:r>
        <w:r w:rsidRPr="0090676A">
          <w:rPr>
            <w:rStyle w:val="Hyperlink"/>
            <w:rFonts w:ascii="Times New Roman" w:hAnsi="Times New Roman"/>
          </w:rPr>
          <w:t>C 43.00 – Finantsvõimenduse määra riskipositsiooni näitaja komponentide alternatiivne jaotus (LR4)</w:t>
        </w:r>
        <w:r>
          <w:rPr>
            <w:webHidden/>
          </w:rPr>
          <w:tab/>
        </w:r>
        <w:r>
          <w:rPr>
            <w:webHidden/>
          </w:rPr>
          <w:fldChar w:fldCharType="begin"/>
        </w:r>
        <w:r>
          <w:rPr>
            <w:webHidden/>
          </w:rPr>
          <w:instrText xml:space="preserve"> PAGEREF _Toc524079954 \h </w:instrText>
        </w:r>
        <w:r>
          <w:rPr>
            <w:webHidden/>
          </w:rPr>
        </w:r>
        <w:r>
          <w:rPr>
            <w:webHidden/>
          </w:rPr>
          <w:fldChar w:fldCharType="separate"/>
        </w:r>
        <w:r>
          <w:rPr>
            <w:webHidden/>
          </w:rPr>
          <w:t>29</w:t>
        </w:r>
        <w:r>
          <w:rPr>
            <w:webHidden/>
          </w:rPr>
          <w:fldChar w:fldCharType="end"/>
        </w:r>
      </w:hyperlink>
    </w:p>
    <w:p w:rsidR="006F2D5C" w:rsidRDefault="006F2D5C">
      <w:pPr>
        <w:pStyle w:val="TOC2"/>
        <w:rPr>
          <w:rFonts w:asciiTheme="minorHAnsi" w:eastAsiaTheme="minorEastAsia" w:hAnsiTheme="minorHAnsi" w:cstheme="minorBidi"/>
          <w:b w:val="0"/>
          <w:smallCaps w:val="0"/>
          <w:sz w:val="22"/>
          <w:lang w:val="en-GB" w:eastAsia="en-GB" w:bidi="ar-SA"/>
        </w:rPr>
      </w:pPr>
      <w:hyperlink w:anchor="_Toc524079955" w:history="1">
        <w:r w:rsidRPr="0090676A">
          <w:rPr>
            <w:rStyle w:val="Hyperlink"/>
            <w:rFonts w:ascii="Times New Roman" w:hAnsi="Times New Roman"/>
          </w:rPr>
          <w:t>9.</w:t>
        </w:r>
        <w:r>
          <w:rPr>
            <w:rFonts w:asciiTheme="minorHAnsi" w:eastAsiaTheme="minorEastAsia" w:hAnsiTheme="minorHAnsi" w:cstheme="minorBidi"/>
            <w:b w:val="0"/>
            <w:smallCaps w:val="0"/>
            <w:sz w:val="22"/>
            <w:lang w:val="en-GB" w:eastAsia="en-GB" w:bidi="ar-SA"/>
          </w:rPr>
          <w:tab/>
        </w:r>
        <w:r w:rsidRPr="0090676A">
          <w:rPr>
            <w:rStyle w:val="Hyperlink"/>
            <w:rFonts w:ascii="Times New Roman" w:hAnsi="Times New Roman"/>
          </w:rPr>
          <w:t>C 44.00 – Üldine teave (LR5)</w:t>
        </w:r>
        <w:r>
          <w:rPr>
            <w:webHidden/>
          </w:rPr>
          <w:tab/>
        </w:r>
        <w:r>
          <w:rPr>
            <w:webHidden/>
          </w:rPr>
          <w:fldChar w:fldCharType="begin"/>
        </w:r>
        <w:r>
          <w:rPr>
            <w:webHidden/>
          </w:rPr>
          <w:instrText xml:space="preserve"> PAGEREF _Toc524079955 \h </w:instrText>
        </w:r>
        <w:r>
          <w:rPr>
            <w:webHidden/>
          </w:rPr>
        </w:r>
        <w:r>
          <w:rPr>
            <w:webHidden/>
          </w:rPr>
          <w:fldChar w:fldCharType="separate"/>
        </w:r>
        <w:r>
          <w:rPr>
            <w:webHidden/>
          </w:rPr>
          <w:t>50</w:t>
        </w:r>
        <w:r>
          <w:rPr>
            <w:webHidden/>
          </w:rPr>
          <w:fldChar w:fldCharType="end"/>
        </w:r>
      </w:hyperlink>
    </w:p>
    <w:p w:rsidR="006F2D5C" w:rsidRDefault="006F2D5C" w:rsidP="006F2D5C">
      <w:pPr>
        <w:pStyle w:val="BodyText1"/>
        <w:rPr>
          <w:rFonts w:ascii="Times New Roman" w:hAnsi="Times New Roman"/>
        </w:rPr>
      </w:pPr>
      <w:r>
        <w:rPr>
          <w:rFonts w:ascii="Times New Roman" w:hAnsi="Times New Roman"/>
        </w:rPr>
        <w:fldChar w:fldCharType="end"/>
      </w:r>
      <w:r>
        <w:rPr>
          <w:rFonts w:ascii="Times New Roman" w:hAnsi="Times New Roman"/>
        </w:rPr>
        <w:br w:type="page"/>
      </w:r>
    </w:p>
    <w:p w:rsidR="006F2D5C" w:rsidRPr="00FE002E" w:rsidRDefault="006F2D5C"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000008"/>
      <w:bookmarkStart w:id="6" w:name="_Toc524079940"/>
      <w:r>
        <w:rPr>
          <w:rFonts w:ascii="Times New Roman" w:hAnsi="Times New Roman"/>
          <w:b/>
          <w:sz w:val="24"/>
        </w:rPr>
        <w:t>I OSA.</w:t>
      </w:r>
      <w:bookmarkEnd w:id="0"/>
      <w:r>
        <w:rPr>
          <w:rFonts w:ascii="Times New Roman" w:hAnsi="Times New Roman"/>
          <w:b/>
          <w:sz w:val="24"/>
        </w:rPr>
        <w:t xml:space="preserve"> ÜLDISED JUHISED</w:t>
      </w:r>
      <w:bookmarkEnd w:id="1"/>
      <w:bookmarkEnd w:id="2"/>
      <w:bookmarkEnd w:id="3"/>
      <w:bookmarkEnd w:id="4"/>
      <w:bookmarkEnd w:id="5"/>
      <w:bookmarkEnd w:id="6"/>
    </w:p>
    <w:p w:rsidR="00FF2091" w:rsidRPr="00CF306A" w:rsidRDefault="00FF2091" w:rsidP="00A860E1">
      <w:pPr>
        <w:pStyle w:val="BodyText1"/>
      </w:pPr>
      <w:bookmarkStart w:id="7" w:name="_Toc351048500"/>
    </w:p>
    <w:p w:rsidR="00217D1F" w:rsidRPr="00FE002E" w:rsidRDefault="00500508" w:rsidP="00500508">
      <w:pPr>
        <w:pStyle w:val="BodyText1"/>
        <w:ind w:left="357" w:hanging="357"/>
        <w:outlineLvl w:val="1"/>
        <w:rPr>
          <w:rFonts w:ascii="Times New Roman" w:hAnsi="Times New Roman"/>
          <w:b/>
        </w:rPr>
      </w:pPr>
      <w:bookmarkStart w:id="8" w:name="_Toc322687865"/>
      <w:bookmarkStart w:id="9" w:name="_Toc359414274"/>
      <w:bookmarkStart w:id="10" w:name="_Toc423089061"/>
      <w:bookmarkStart w:id="11" w:name="_Toc524000009"/>
      <w:bookmarkStart w:id="12" w:name="_Toc524079941"/>
      <w:r>
        <w:rPr>
          <w:rFonts w:ascii="Times New Roman" w:hAnsi="Times New Roman"/>
          <w:b/>
        </w:rPr>
        <w:t>1.</w:t>
      </w:r>
      <w:r>
        <w:tab/>
      </w:r>
      <w:r>
        <w:rPr>
          <w:rFonts w:ascii="Times New Roman" w:hAnsi="Times New Roman"/>
          <w:b/>
        </w:rPr>
        <w:t>Vormide pealkirjastamise ja muud põhimõtted</w:t>
      </w:r>
      <w:bookmarkEnd w:id="7"/>
      <w:bookmarkEnd w:id="8"/>
      <w:bookmarkEnd w:id="9"/>
      <w:bookmarkEnd w:id="10"/>
      <w:bookmarkEnd w:id="11"/>
      <w:bookmarkEnd w:id="12"/>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3" w:name="_Toc322687866"/>
      <w:bookmarkStart w:id="14" w:name="_Toc359414275"/>
      <w:bookmarkStart w:id="15" w:name="_Toc423089062"/>
      <w:bookmarkStart w:id="16" w:name="_Toc524000010"/>
      <w:bookmarkStart w:id="17" w:name="_Toc264038399"/>
      <w:bookmarkStart w:id="18" w:name="_Toc294018834"/>
      <w:bookmarkStart w:id="19" w:name="_Toc524079942"/>
      <w:r>
        <w:rPr>
          <w:rFonts w:ascii="Times New Roman" w:hAnsi="Times New Roman"/>
          <w:b/>
        </w:rPr>
        <w:t>1.1.</w:t>
      </w:r>
      <w:r>
        <w:tab/>
      </w:r>
      <w:r>
        <w:rPr>
          <w:rFonts w:ascii="Times New Roman" w:hAnsi="Times New Roman"/>
          <w:b/>
        </w:rPr>
        <w:t xml:space="preserve">Vormide </w:t>
      </w:r>
      <w:bookmarkEnd w:id="13"/>
      <w:r>
        <w:rPr>
          <w:rFonts w:ascii="Times New Roman" w:hAnsi="Times New Roman"/>
          <w:b/>
        </w:rPr>
        <w:t>pealkirjastamine</w:t>
      </w:r>
      <w:bookmarkEnd w:id="14"/>
      <w:bookmarkEnd w:id="15"/>
      <w:bookmarkEnd w:id="16"/>
      <w:bookmarkEnd w:id="19"/>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Pr>
          <w:rFonts w:ascii="Times New Roman" w:hAnsi="Times New Roman"/>
        </w:rPr>
        <w:t>1.</w:t>
      </w:r>
      <w:r>
        <w:tab/>
      </w:r>
      <w:r>
        <w:rPr>
          <w:rFonts w:ascii="Times New Roman" w:hAnsi="Times New Roman"/>
        </w:rPr>
        <w:t xml:space="preserve">Käesolevas lisas on sätestatud täiendavad juhised käesoleva määruse X lisas sisalduvate vormide (LR – </w:t>
      </w:r>
      <w:r>
        <w:rPr>
          <w:rFonts w:ascii="Times New Roman" w:hAnsi="Times New Roman"/>
          <w:i/>
        </w:rPr>
        <w:t>leverage ratio</w:t>
      </w:r>
      <w:r>
        <w:rPr>
          <w:rFonts w:ascii="Times New Roman" w:hAnsi="Times New Roman"/>
        </w:rPr>
        <w:t xml:space="preserve">) täitmiseks.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t>2.</w:t>
      </w:r>
      <w:r>
        <w:tab/>
        <w:t>Raamistik koosneb kokku kuuest vormist:</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 47.00: Finantsvõimenduse määra arvutamine (LRCalc): Finantsvõimenduse määra arvutamine</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 40.00: Finantsvõimenduse määra vorm 1 (LR1): Riskipositsiooni näitaja alternatiivne käsitlus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 41.00: Finantsvõimenduse määra vorm 2 (LR2): Bilansilised ja bilansivälised kirjed – riskipositsioonide täiendav jaotus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 42.00: Finantsvõimenduse määra vorm 3 (LR3): Kapitali alternatiivne määratlus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 43.00: Finantsvõimenduse määra vorm 4 (LR4): Finantsvõimenduse määra riskipositsiooni näitaja komponentide jaotus ning</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 44.00: Finantsvõimenduse määra vorm 5 (LR5): Üldine teave.</w:t>
      </w:r>
    </w:p>
    <w:p w:rsidR="00F4754B" w:rsidRPr="00FE002E" w:rsidRDefault="00500508" w:rsidP="00500508">
      <w:pPr>
        <w:pStyle w:val="InstructionsText2"/>
        <w:numPr>
          <w:ilvl w:val="0"/>
          <w:numId w:val="0"/>
        </w:numPr>
        <w:ind w:left="720" w:hanging="360"/>
        <w:rPr>
          <w:rFonts w:eastAsia="Times New Roman"/>
          <w:bCs/>
          <w:szCs w:val="17"/>
        </w:rPr>
      </w:pPr>
      <w:r>
        <w:t>3.</w:t>
      </w:r>
      <w:r>
        <w:tab/>
        <w:t>Iga vormi puhul on esitatud viited õigussätetele ja täiendav üksikasjalik teave aruandluse üldisemate aspektide kohta.</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20" w:name="_Toc359414277"/>
      <w:bookmarkStart w:id="21" w:name="_Toc322687867"/>
      <w:bookmarkStart w:id="22" w:name="_Toc351048502"/>
      <w:bookmarkStart w:id="23" w:name="_Toc359414278"/>
      <w:bookmarkStart w:id="24" w:name="_Toc423089063"/>
      <w:bookmarkStart w:id="25" w:name="_Toc524000011"/>
      <w:bookmarkStart w:id="26" w:name="_Toc524079943"/>
      <w:bookmarkEnd w:id="20"/>
      <w:r>
        <w:rPr>
          <w:rFonts w:ascii="Times New Roman" w:hAnsi="Times New Roman"/>
          <w:b/>
        </w:rPr>
        <w:t>1.2.</w:t>
      </w:r>
      <w:r>
        <w:tab/>
      </w:r>
      <w:r>
        <w:rPr>
          <w:rFonts w:ascii="Times New Roman" w:hAnsi="Times New Roman"/>
          <w:b/>
        </w:rPr>
        <w:t>Nummerdamise põhimõtted</w:t>
      </w:r>
      <w:bookmarkEnd w:id="21"/>
      <w:bookmarkEnd w:id="22"/>
      <w:bookmarkEnd w:id="23"/>
      <w:bookmarkEnd w:id="24"/>
      <w:bookmarkEnd w:id="25"/>
      <w:bookmarkEnd w:id="26"/>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t>4.</w:t>
      </w:r>
      <w:r>
        <w:tab/>
        <w:t>Vormide veergudele, ridadele ja andmeväljadele viitamisel on käesolevas dokumendis aluseks võetud järgmistes punktides kirjeldatud nummerdamise põhimõtted. Need numbrilised koodid on valideerimise eeskirjades laialdaselt kasutusel.</w:t>
      </w:r>
    </w:p>
    <w:p w:rsidR="00F4754B" w:rsidRPr="00FE002E" w:rsidRDefault="00500508" w:rsidP="00500508">
      <w:pPr>
        <w:pStyle w:val="InstructionsText2"/>
        <w:numPr>
          <w:ilvl w:val="0"/>
          <w:numId w:val="0"/>
        </w:numPr>
        <w:ind w:left="720" w:hanging="360"/>
        <w:rPr>
          <w:rFonts w:eastAsia="Times New Roman"/>
          <w:bCs/>
          <w:szCs w:val="17"/>
        </w:rPr>
      </w:pPr>
      <w:r>
        <w:t>5.</w:t>
      </w:r>
      <w:r>
        <w:tab/>
        <w:t>Juhistes kasutatakse järgmisel kujul olevat üldist märget: {vorm;rida;veerg}. Tärni kasutatakse tervele reale või veerule viitamiseks.</w:t>
      </w:r>
    </w:p>
    <w:p w:rsidR="00F4754B" w:rsidRPr="00FE002E" w:rsidRDefault="00500508" w:rsidP="00500508">
      <w:pPr>
        <w:pStyle w:val="InstructionsText2"/>
        <w:numPr>
          <w:ilvl w:val="0"/>
          <w:numId w:val="0"/>
        </w:numPr>
        <w:ind w:left="720" w:hanging="360"/>
        <w:rPr>
          <w:rFonts w:eastAsia="Times New Roman"/>
          <w:bCs/>
          <w:szCs w:val="17"/>
        </w:rPr>
      </w:pPr>
      <w:r>
        <w:t>6.</w:t>
      </w:r>
      <w:r>
        <w:tab/>
        <w:t>Kui ühe vormi sees tehtavate valideerimiste korral kasutatakse ainult selles vormis sisalduvaid andmepunkte, siis vormile märkes ei viidata: {rida;veerg}.</w:t>
      </w:r>
    </w:p>
    <w:p w:rsidR="00F4754B" w:rsidRPr="00FE002E" w:rsidRDefault="00500508" w:rsidP="00500508">
      <w:pPr>
        <w:pStyle w:val="InstructionsText2"/>
        <w:numPr>
          <w:ilvl w:val="0"/>
          <w:numId w:val="0"/>
        </w:numPr>
        <w:ind w:left="720" w:hanging="360"/>
        <w:rPr>
          <w:rFonts w:eastAsia="Times New Roman"/>
          <w:bCs/>
          <w:szCs w:val="17"/>
        </w:rPr>
      </w:pPr>
      <w:r>
        <w:t>7.</w:t>
      </w:r>
      <w:r>
        <w:tab/>
        <w:t xml:space="preserve">Finantsvõimenduse aruandluses viitab „millest“ kirjele, mis on kõrgema taseme riskipositsiooni kategooria alajaotis, ning „memokirje““ eraldi kirjele, mis ei ole riskipositsiooni klassi alajaotis. Aruandluses on kohustuslik näidata mõlemat liiki andmeväljad, kui ei ole sätestatud teisiti. </w:t>
      </w:r>
    </w:p>
    <w:p w:rsidR="001D6F2F" w:rsidRPr="00FE002E" w:rsidRDefault="00500508" w:rsidP="00500508">
      <w:pPr>
        <w:pStyle w:val="BodyText1"/>
        <w:ind w:left="357" w:hanging="357"/>
        <w:outlineLvl w:val="2"/>
        <w:rPr>
          <w:rFonts w:ascii="Times New Roman" w:hAnsi="Times New Roman"/>
          <w:b/>
        </w:rPr>
      </w:pPr>
      <w:bookmarkStart w:id="27" w:name="_Toc423089064"/>
      <w:bookmarkStart w:id="28" w:name="_Toc524000012"/>
      <w:bookmarkStart w:id="29" w:name="_Toc524079944"/>
      <w:r>
        <w:rPr>
          <w:rFonts w:ascii="Times New Roman" w:hAnsi="Times New Roman"/>
          <w:b/>
        </w:rPr>
        <w:t>1.3.</w:t>
      </w:r>
      <w:r>
        <w:tab/>
      </w:r>
      <w:r>
        <w:rPr>
          <w:rFonts w:ascii="Times New Roman" w:hAnsi="Times New Roman"/>
          <w:b/>
        </w:rPr>
        <w:t>Lühendid</w:t>
      </w:r>
      <w:bookmarkEnd w:id="27"/>
      <w:bookmarkEnd w:id="28"/>
      <w:bookmarkEnd w:id="29"/>
    </w:p>
    <w:p w:rsidR="001D6F2F" w:rsidRPr="00CF306A" w:rsidRDefault="001D6F2F" w:rsidP="001D6F2F">
      <w:pPr>
        <w:pStyle w:val="BodyText1"/>
      </w:pPr>
      <w:bookmarkStart w:id="30" w:name="_Toc359414279"/>
      <w:bookmarkStart w:id="31" w:name="_Toc322687868"/>
      <w:bookmarkStart w:id="32" w:name="_Toc351048503"/>
      <w:bookmarkStart w:id="33" w:name="_Toc359414280"/>
      <w:bookmarkEnd w:id="30"/>
    </w:p>
    <w:p w:rsidR="00627E07" w:rsidRDefault="00500508" w:rsidP="00500508">
      <w:pPr>
        <w:pStyle w:val="InstructionsText2"/>
        <w:numPr>
          <w:ilvl w:val="0"/>
          <w:numId w:val="0"/>
        </w:numPr>
        <w:ind w:left="720" w:hanging="360"/>
        <w:rPr>
          <w:rFonts w:eastAsia="Times New Roman"/>
          <w:bCs/>
          <w:szCs w:val="17"/>
        </w:rPr>
      </w:pPr>
      <w:r>
        <w:t>8.</w:t>
      </w:r>
      <w:r>
        <w:tab/>
        <w:t>Käesolevas lisas ja sellega seotud vormides kasutatakse järgmisi lühendeid:</w:t>
      </w:r>
    </w:p>
    <w:p w:rsidR="00627E07" w:rsidRDefault="00500508" w:rsidP="00500508">
      <w:pPr>
        <w:pStyle w:val="InstructionsText2"/>
        <w:numPr>
          <w:ilvl w:val="0"/>
          <w:numId w:val="0"/>
        </w:numPr>
        <w:ind w:left="1440" w:hanging="360"/>
        <w:rPr>
          <w:rFonts w:eastAsia="Times New Roman"/>
          <w:bCs/>
          <w:szCs w:val="17"/>
        </w:rPr>
      </w:pPr>
      <w:r>
        <w:t>a.</w:t>
      </w:r>
      <w:r>
        <w:tab/>
        <w:t>CRR tähistab kapitalinõuete määrust ehk määrust (EL) nr 575/2013;</w:t>
      </w:r>
    </w:p>
    <w:p w:rsidR="00627E07" w:rsidRDefault="00500508" w:rsidP="00500508">
      <w:pPr>
        <w:pStyle w:val="InstructionsText2"/>
        <w:numPr>
          <w:ilvl w:val="0"/>
          <w:numId w:val="0"/>
        </w:numPr>
        <w:ind w:left="1440" w:hanging="360"/>
        <w:rPr>
          <w:rFonts w:eastAsia="Times New Roman"/>
          <w:bCs/>
          <w:szCs w:val="17"/>
        </w:rPr>
      </w:pPr>
      <w:r>
        <w:lastRenderedPageBreak/>
        <w:t>b.</w:t>
      </w:r>
      <w:r>
        <w:tab/>
        <w:t>SFT tähistab väärtpaberite kaudu finantseerimise tehingut, st repotehingut, väärtpaberite või kaupade laenuks andmise või võtmise tehingut, pika arveldustähtajaga tehingut ja võimenduslaenu tehingut määruse (EL) nr 575/2013 tähenduses;</w:t>
      </w:r>
    </w:p>
    <w:p w:rsidR="008E7068" w:rsidRPr="00627E07" w:rsidRDefault="00500508" w:rsidP="00500508">
      <w:pPr>
        <w:pStyle w:val="InstructionsText2"/>
        <w:numPr>
          <w:ilvl w:val="0"/>
          <w:numId w:val="0"/>
        </w:numPr>
        <w:ind w:left="1440" w:hanging="360"/>
        <w:rPr>
          <w:rFonts w:eastAsia="Times New Roman"/>
          <w:bCs/>
          <w:szCs w:val="17"/>
        </w:rPr>
      </w:pPr>
      <w:r>
        <w:t>c.</w:t>
      </w:r>
      <w:r>
        <w:tab/>
        <w:t>CRM tähistab krediidiriski maandamist.</w:t>
      </w:r>
    </w:p>
    <w:p w:rsidR="00217D1F" w:rsidRPr="00FE002E" w:rsidRDefault="00500508" w:rsidP="00500508">
      <w:pPr>
        <w:pStyle w:val="BodyText1"/>
        <w:ind w:left="357" w:hanging="357"/>
        <w:outlineLvl w:val="2"/>
        <w:rPr>
          <w:rFonts w:ascii="Times New Roman" w:hAnsi="Times New Roman"/>
          <w:b/>
        </w:rPr>
      </w:pPr>
      <w:bookmarkStart w:id="34" w:name="_Toc423089065"/>
      <w:bookmarkStart w:id="35" w:name="_Toc524000013"/>
      <w:bookmarkStart w:id="36" w:name="_Toc524079945"/>
      <w:r>
        <w:rPr>
          <w:rFonts w:ascii="Times New Roman" w:hAnsi="Times New Roman"/>
          <w:b/>
        </w:rPr>
        <w:t>1.4.</w:t>
      </w:r>
      <w:r>
        <w:tab/>
      </w:r>
      <w:r>
        <w:rPr>
          <w:rFonts w:ascii="Times New Roman" w:hAnsi="Times New Roman"/>
          <w:b/>
        </w:rPr>
        <w:t>Märgi põhimõtted</w:t>
      </w:r>
      <w:bookmarkEnd w:id="17"/>
      <w:bookmarkEnd w:id="18"/>
      <w:bookmarkEnd w:id="31"/>
      <w:bookmarkEnd w:id="32"/>
      <w:bookmarkEnd w:id="33"/>
      <w:bookmarkEnd w:id="34"/>
      <w:bookmarkEnd w:id="35"/>
      <w:bookmarkEnd w:id="36"/>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7" w:name="_Toc322687869"/>
      <w:r>
        <w:t>9.</w:t>
      </w:r>
      <w:r>
        <w:tab/>
        <w:t>Kõik summad esitatakse positiivsete arvudena.</w:t>
      </w:r>
      <w:bookmarkStart w:id="38" w:name="_Toc264033192"/>
      <w:bookmarkEnd w:id="38"/>
      <w:r>
        <w:t xml:space="preserve"> Erandiks on andmeväljadel {LRCalc;050;010},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ja {LR3;085;010} esitatavad summad. Seega tuleks tähele panna, et andmeväljad {LRCalc;050;010}, {LRCalc;070;010}, {LRCalc;080;010}, {LRCalc;100;010}, {LRCalc;120;010}, {LRCalc;140;010}, {LRCalc;210;010}, {LRCalc;220;010}, {LRCalc;240;010}, {LRCalc;250;010}, {LRCalc;260;010}, {LRCalc;270;010}, {LRCalc;280;010}, {LR3;055;010}, {LR3;065;010}, {LR3;075;010} ja {LR3;085;010} saavad olla vaid negatiivse väärtusega. Lisaks tuleks tähele panna, et andmeväljad {LRCalc;310;010}, {LRCalc;320;010}, {LRCalc;330;010}, {LRCalc;340;010}, {LR3;010;010}, {LR3;020;010}, {LR3;030;010} ja {LR3;040;010} saavad olla vaid positiivse väärtusega (välja arvatud äärmuslikel juhtudel).</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9" w:name="_Toc351048504"/>
      <w:bookmarkStart w:id="40" w:name="_Toc359414281"/>
      <w:bookmarkStart w:id="41" w:name="_Toc423089066"/>
      <w:bookmarkStart w:id="42" w:name="_Toc524000014"/>
      <w:bookmarkStart w:id="43" w:name="_Toc524079946"/>
      <w:r>
        <w:rPr>
          <w:rFonts w:ascii="Times New Roman" w:hAnsi="Times New Roman"/>
          <w:b/>
          <w:sz w:val="24"/>
        </w:rPr>
        <w:lastRenderedPageBreak/>
        <w:t>II OSA. VORMIDE TÄITMISE JUHISED</w:t>
      </w:r>
      <w:bookmarkEnd w:id="37"/>
      <w:bookmarkEnd w:id="39"/>
      <w:bookmarkEnd w:id="40"/>
      <w:bookmarkEnd w:id="41"/>
      <w:bookmarkEnd w:id="42"/>
      <w:bookmarkEnd w:id="43"/>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44" w:name="_Toc359414282"/>
      <w:bookmarkStart w:id="45" w:name="_Toc423089067"/>
      <w:bookmarkStart w:id="46" w:name="_Toc524000015"/>
      <w:bookmarkStart w:id="47" w:name="_Toc322631544"/>
      <w:bookmarkStart w:id="48" w:name="_Toc322687870"/>
      <w:bookmarkStart w:id="49" w:name="_Toc524079947"/>
      <w:r>
        <w:rPr>
          <w:rFonts w:ascii="Times New Roman" w:hAnsi="Times New Roman"/>
          <w:b/>
        </w:rPr>
        <w:t>1.</w:t>
      </w:r>
      <w:r>
        <w:tab/>
      </w:r>
      <w:r>
        <w:rPr>
          <w:rFonts w:ascii="Times New Roman" w:hAnsi="Times New Roman"/>
          <w:b/>
        </w:rPr>
        <w:t>Struktuur ja sagedus</w:t>
      </w:r>
      <w:bookmarkEnd w:id="44"/>
      <w:bookmarkEnd w:id="45"/>
      <w:bookmarkEnd w:id="46"/>
      <w:bookmarkEnd w:id="49"/>
      <w:bookmarkEnd w:id="47"/>
      <w:bookmarkEnd w:id="48"/>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50" w:name="_Toc322533849"/>
      <w:r>
        <w:rPr>
          <w:rFonts w:ascii="Times New Roman" w:hAnsi="Times New Roman"/>
        </w:rPr>
        <w:t>1.</w:t>
      </w:r>
      <w:r>
        <w:tab/>
      </w:r>
      <w:r>
        <w:rPr>
          <w:rFonts w:ascii="Times New Roman" w:hAnsi="Times New Roman"/>
        </w:rPr>
        <w:t>Finantsvõimenduse määra vorm koosneb kahest osast. A osa sisaldab kõiki finantsvõimenduse määra arvutamiseks kasutatavaid andmekirjeid, mille krediidiasutused ja investeerimisühingud esitavad pädevatele asutustele kapitalinõuete määruse artikli 430 lõike 1 esimese lõigu kohaselt, ning B osa sisaldab kõiki andmekirjeid, mille krediidiasutused ja investeerimisühingud esitavad kapitalinõuete määruse artikli 430 lõike 1 teise lõigu kohaselt (st mida on vaja kapitalinõuete määruse artiklis 511 osutatud aruande jaoks).</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Pr>
          <w:rFonts w:ascii="Times New Roman" w:hAnsi="Times New Roman"/>
        </w:rPr>
        <w:t>2.</w:t>
      </w:r>
      <w:r>
        <w:tab/>
      </w:r>
      <w:r>
        <w:rPr>
          <w:rFonts w:ascii="Times New Roman" w:hAnsi="Times New Roman"/>
        </w:rPr>
        <w:t>Käesoleva rakendusliku tehnilise standardi jaoks andmete koondamisel võtavad krediidiasutused ja investeerimisühingud arvesse usaldusvarade käsitlemist vastavalt kapitalinõuete määruse artikli 429 lõikele 13.</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51" w:name="_Toc359414283"/>
      <w:bookmarkStart w:id="52" w:name="_Toc423089068"/>
      <w:bookmarkStart w:id="53" w:name="_Toc524000016"/>
      <w:bookmarkStart w:id="54" w:name="_Toc524079948"/>
      <w:r>
        <w:rPr>
          <w:rFonts w:ascii="Times New Roman" w:hAnsi="Times New Roman"/>
          <w:b/>
        </w:rPr>
        <w:t>2.</w:t>
      </w:r>
      <w:r>
        <w:tab/>
      </w:r>
      <w:r>
        <w:rPr>
          <w:rFonts w:ascii="Times New Roman" w:hAnsi="Times New Roman"/>
          <w:b/>
        </w:rPr>
        <w:t>Valemid finantsvõimenduse määra arvutamiseks</w:t>
      </w:r>
      <w:bookmarkEnd w:id="51"/>
      <w:bookmarkEnd w:id="52"/>
      <w:bookmarkEnd w:id="53"/>
      <w:bookmarkEnd w:id="54"/>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Pr>
          <w:rFonts w:ascii="Times New Roman" w:hAnsi="Times New Roman"/>
        </w:rPr>
        <w:t>3.</w:t>
      </w:r>
      <w:r>
        <w:tab/>
      </w:r>
      <w:r>
        <w:rPr>
          <w:rFonts w:ascii="Times New Roman" w:hAnsi="Times New Roman"/>
        </w:rPr>
        <w:t>Finantsvõimenduse määr põhineb kapitalinäitajal ja kogu riskipositsiooni näitajal, mille saab</w:t>
      </w:r>
      <w:r w:rsidR="00BF2542">
        <w:rPr>
          <w:rFonts w:ascii="Times New Roman" w:hAnsi="Times New Roman"/>
        </w:rPr>
        <w:t xml:space="preserve"> arvutada A osa andmeväljadega.</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4.</w:t>
      </w:r>
      <w:r>
        <w:tab/>
      </w:r>
      <w:r>
        <w:rPr>
          <w:rFonts w:ascii="Times New Roman" w:hAnsi="Times New Roman"/>
        </w:rPr>
        <w:t>Finantsvõimenduse määr – täielikult rakendatud määratlus = {LRCalc;310;010} / {LRCalc;290;010}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5.</w:t>
      </w:r>
      <w:r>
        <w:tab/>
      </w:r>
      <w:r>
        <w:rPr>
          <w:rFonts w:ascii="Times New Roman" w:hAnsi="Times New Roman"/>
        </w:rPr>
        <w:t>Finantsvõimenduse määr – üleminekuperioodil rakendatav määratlus = {LRCalc;320;010} / {LRCalc;300;010}</w:t>
      </w:r>
    </w:p>
    <w:p w:rsidR="00FC2664" w:rsidRPr="00FE002E" w:rsidRDefault="00FC2664" w:rsidP="007E2A41">
      <w:pPr>
        <w:pStyle w:val="BodyText1"/>
        <w:spacing w:line="240" w:lineRule="auto"/>
        <w:rPr>
          <w:rFonts w:ascii="Times New Roman" w:hAnsi="Times New Roman"/>
        </w:rPr>
      </w:pPr>
      <w:bookmarkStart w:id="55" w:name="_Toc322533852"/>
      <w:bookmarkEnd w:id="50"/>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56" w:name="_Toc359414284"/>
      <w:bookmarkStart w:id="57" w:name="_Toc423089069"/>
      <w:bookmarkStart w:id="58" w:name="_Toc524000017"/>
      <w:bookmarkStart w:id="59" w:name="_Toc524079949"/>
      <w:r>
        <w:rPr>
          <w:rFonts w:ascii="Times New Roman" w:hAnsi="Times New Roman"/>
          <w:b/>
        </w:rPr>
        <w:t>3.</w:t>
      </w:r>
      <w:r>
        <w:tab/>
      </w:r>
      <w:r>
        <w:rPr>
          <w:rFonts w:ascii="Times New Roman" w:hAnsi="Times New Roman"/>
          <w:b/>
        </w:rPr>
        <w:t>Olulisuse piirmäärad tuletisinstrumentide puhul</w:t>
      </w:r>
      <w:bookmarkEnd w:id="56"/>
      <w:bookmarkEnd w:id="57"/>
      <w:bookmarkEnd w:id="58"/>
      <w:bookmarkEnd w:id="59"/>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6.</w:t>
      </w:r>
      <w:r>
        <w:tab/>
      </w:r>
      <w:r>
        <w:rPr>
          <w:rFonts w:ascii="Times New Roman" w:hAnsi="Times New Roman"/>
        </w:rPr>
        <w:t>Selliste krediidiasutuste ja investeerimisühingute aruandluskoormuse vähendamiseks, kelle tuletisinstrumentidest tulenevad riskid on väikesed, hinnatakse tuletisinstrumentidest tulenevate riskipositsioonide suhtelist tähtsust võrreldes finantsvõimenduse määra koguriskipositsiooniga järgmiste näitajate abil. Krediidiasutused ja investeerimisühingud arvutavad need näitajad järgmiselt</w:t>
      </w:r>
      <w:bookmarkStart w:id="60" w:name="_Toc322533853"/>
      <w:bookmarkEnd w:id="55"/>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61" w:name="_Toc322533854"/>
      <w:bookmarkEnd w:id="60"/>
      <w:r>
        <w:rPr>
          <w:rFonts w:ascii="Times New Roman" w:hAnsi="Times New Roman"/>
        </w:rPr>
        <w:t>7.</w:t>
      </w:r>
      <w:r>
        <w:tab/>
      </w:r>
      <w:r>
        <w:rPr>
          <w:rFonts w:ascii="Times New Roman" w:hAnsi="Times New Roman"/>
        </w:rPr>
        <w:t>Tuletisinstrumentide osakaal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tab/>
      </w:r>
      <w:r>
        <w:rPr>
          <w:rFonts w:ascii="Times New Roman" w:hAnsi="Times New Roman"/>
        </w:rPr>
        <w:t>Kus kogu riskipositsiooni näitaja on võrdne järgnevaga: {LRCalc;290;010}.</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9.</w:t>
      </w:r>
      <w:r>
        <w:tab/>
      </w:r>
      <w:r>
        <w:rPr>
          <w:rFonts w:ascii="Times New Roman" w:hAnsi="Times New Roman"/>
        </w:rPr>
        <w:t>Tinglik koguväärtus, millele tuletisinstrumendid viitavad = {LR1; 010;070}. Selle andmevälja peavad krediidiasutused ja investeerimisühingud aruandes alati täitma.</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10.</w:t>
      </w:r>
      <w:r>
        <w:tab/>
      </w:r>
      <w:r>
        <w:rPr>
          <w:rFonts w:ascii="Times New Roman" w:hAnsi="Times New Roman"/>
        </w:rPr>
        <w:t>Krediidituletisinstrumentide maht = {LR1;020;070} + {LR1;050;070}. Need andmeväljad peavad krediidiasutused ja investeerimisühingud aruandes alati täitma.</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11.</w:t>
      </w:r>
      <w:r>
        <w:tab/>
      </w:r>
      <w:r>
        <w:rPr>
          <w:rFonts w:ascii="Times New Roman" w:hAnsi="Times New Roman"/>
        </w:rPr>
        <w:t>Krediidiasutused ja investeerimisühingud peavad järgmisel aruandeperioodil täitma punktis 14 osutatud andmeväljad juhul, kui täidetud on üks järgmistest tingimustest:</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punktis 7 osutatud tuletisinstrumentide osakaal on kahel järjestikusel aruandekuupäeval rohkem kui 1,5 %;</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punktis 7 osutatud tuletisinstrumentide osakaal ületab 2,0 %.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lastRenderedPageBreak/>
        <w:t>12.</w:t>
      </w:r>
      <w:r>
        <w:tab/>
      </w:r>
      <w:r>
        <w:rPr>
          <w:rFonts w:ascii="Times New Roman" w:hAnsi="Times New Roman"/>
        </w:rPr>
        <w:t>Krediidiasutused ja investeerimisühingud, kelle puhul punktis 9 määratletud tinglik koguväärtus, millele tuletisinstrumendid viitavad, ületab 10 miljardit eurot, peavad täitma punktis 14 osutatud andmeväljad ka juhul, kui nende tuletisinstrumentide osakaal ei vasta punktis 11 kirjeldatud tingimustele.</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13.</w:t>
      </w:r>
      <w:r>
        <w:tab/>
      </w:r>
      <w:r>
        <w:rPr>
          <w:rFonts w:ascii="Times New Roman" w:hAnsi="Times New Roman"/>
        </w:rPr>
        <w:t>Krediidiasutused ja investeerimisühingud peavad täitma punktis 15 osutatud andmeväljad juhul, kui täidetud on vähemalt üks järgmine tingimus:</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punktis 10 osutatud krediidituletisinstrumentide maht on kahel järjestikusel aruandekuupäeval rohkem kui 300 miljonit eurot;</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punktis 10 osutatud krediidituletisinstrumentide maht ületab 500 miljonit eurot.</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14.</w:t>
      </w:r>
      <w:r>
        <w:tab/>
      </w:r>
      <w:r>
        <w:rPr>
          <w:rFonts w:ascii="Times New Roman" w:hAnsi="Times New Roman"/>
        </w:rPr>
        <w:t>Punkti 11 kohaselt peavad krediidiasutused ja investeerimisühingud täitma järgmised aruande andmeväljad: {LR1;010;010}, {LR1;010;020}, {LR1;010;050}, {LR1;020;010}, {LR1;020;020}, {LR1;020;050}, {LR1;030;050}, {LR1;030;070}, {LR1;040;050}, {LR1;040;070}, {LR1;050;010}, {LR1;050;020}, {LR1;050;050}, {LR1;060;010}, {LR1;060;020}, {LR1;060;050} ja {LR1;060;070}.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15.</w:t>
      </w:r>
      <w:r>
        <w:tab/>
      </w:r>
      <w:r>
        <w:rPr>
          <w:rFonts w:ascii="Times New Roman" w:hAnsi="Times New Roman"/>
        </w:rPr>
        <w:t>Punkti 13 kohaselt peavad krediidiasutused ja investeerimisühingud täitma järgmised aruande andmeväljad: {LR1;020;075}, {LR1;050;075} ja {LR1;050;085}.</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62" w:name="_Toc351048506"/>
      <w:bookmarkStart w:id="63" w:name="_Toc322687879"/>
      <w:bookmarkStart w:id="64" w:name="_Toc315961853"/>
      <w:bookmarkEnd w:id="61"/>
    </w:p>
    <w:p w:rsidR="00217D1F" w:rsidRPr="00FE002E" w:rsidRDefault="00500508" w:rsidP="00500508">
      <w:pPr>
        <w:pStyle w:val="BodyText1"/>
        <w:ind w:left="357" w:hanging="357"/>
        <w:outlineLvl w:val="1"/>
        <w:rPr>
          <w:rFonts w:ascii="Times New Roman" w:hAnsi="Times New Roman"/>
          <w:b/>
        </w:rPr>
      </w:pPr>
      <w:bookmarkStart w:id="65" w:name="_Toc359414285"/>
      <w:bookmarkStart w:id="66" w:name="_Toc423089070"/>
      <w:bookmarkStart w:id="67" w:name="_Toc524000018"/>
      <w:bookmarkStart w:id="68" w:name="_Toc524079950"/>
      <w:r>
        <w:rPr>
          <w:rFonts w:ascii="Times New Roman" w:hAnsi="Times New Roman"/>
          <w:b/>
        </w:rPr>
        <w:t>4.</w:t>
      </w:r>
      <w:r>
        <w:tab/>
      </w:r>
      <w:r>
        <w:rPr>
          <w:rFonts w:ascii="Times New Roman" w:hAnsi="Times New Roman"/>
          <w:b/>
        </w:rPr>
        <w:t>C 47.00 – Finantsvõimenduse määra arvutamine</w:t>
      </w:r>
      <w:bookmarkEnd w:id="62"/>
      <w:bookmarkEnd w:id="65"/>
      <w:r>
        <w:rPr>
          <w:rFonts w:ascii="Times New Roman" w:hAnsi="Times New Roman"/>
          <w:b/>
        </w:rPr>
        <w:t xml:space="preserve"> (LRCalc)</w:t>
      </w:r>
      <w:bookmarkEnd w:id="66"/>
      <w:bookmarkEnd w:id="67"/>
      <w:bookmarkEnd w:id="68"/>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Pr>
          <w:rFonts w:ascii="Times New Roman" w:hAnsi="Times New Roman"/>
        </w:rPr>
        <w:t>16.</w:t>
      </w:r>
      <w:r>
        <w:tab/>
      </w:r>
      <w:r>
        <w:rPr>
          <w:rFonts w:ascii="Times New Roman" w:hAnsi="Times New Roman"/>
        </w:rPr>
        <w:t>Aruandevormi sellesse ossa koondatakse andmed, mis on vajalikud kapitalinõuete määruse artiklites 429, 429a ja 429b määratletud finant</w:t>
      </w:r>
      <w:r w:rsidR="00BF2542">
        <w:rPr>
          <w:rFonts w:ascii="Times New Roman" w:hAnsi="Times New Roman"/>
        </w:rPr>
        <w:t>svõimenduse määra arvutamiseks.</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tab/>
      </w:r>
      <w:r>
        <w:rPr>
          <w:rFonts w:ascii="Times New Roman" w:hAnsi="Times New Roman"/>
        </w:rPr>
        <w:t>Krediidiasutused ja investeerimisühingud esitavad finantsvõimenduse määra kohta aruandeid kord kvartalis. Igas kvartalis viitab aruandekuupäeva väärtus vastava kvartali kolmanda kuu viimase kalendripäeva väärtusele.</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Pr>
          <w:rFonts w:ascii="Times New Roman" w:hAnsi="Times New Roman"/>
        </w:rPr>
        <w:t>18.</w:t>
      </w:r>
      <w:r>
        <w:tab/>
      </w:r>
      <w:r>
        <w:rPr>
          <w:rFonts w:ascii="Times New Roman" w:hAnsi="Times New Roman"/>
        </w:rPr>
        <w:t>Krediidiasutused ja investeerimisühingud esitavad andmeväljad {010;010} kuni {030;010}, {060;010}, {090;010}, {110;010} ja {150;010} kuni {190;010}, nagu andmeväljadel {050;010}, {080;010}, {100;010}, {120;010} ja {220;010} viidatud erandid ei kehtiks.</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tab/>
      </w:r>
      <w:r>
        <w:rPr>
          <w:rFonts w:ascii="Times New Roman" w:hAnsi="Times New Roman"/>
        </w:rPr>
        <w:t>Krediidiasutused ja investeerimisühingud esitavad andmeväljad {010;010} kuni {240;010}, nagu andmeväljadel {250;010} ja {260;010} viidatud erandid ei kehtiks.</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t>20.</w:t>
      </w:r>
      <w:r>
        <w:tab/>
        <w:t>Iga summa, mis suurendab omavahendite summat või finantsvõimenduse määra riskipositsiooni väärtust, kajastatakse aruandes positiivse arvuna. Seevastu iga summa, mis vähendab omavahendite kogusummat või finantsvõimenduse määra riskipositsiooni väärtust, kajastatakse aruandes negatiivse arvuna. Kui kirje nimetuse ees on miinusmärk (–), ei esitata kõnealuse kirje puhul positiivset arvu.</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Viited õigussätetele ja juhised</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Rida ja veerg</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Riskipositsiooni väärtused</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SFT-d: riskipositsioon vastavalt CRR artikli 429 lõigetele 5 ja 8</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artikli 429 lõike 5 punkt d ja artikli 429 lõige 8.</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Väärtpaberite kaudu finantseerimise tehingute riskipositsioon, mis on arvutatud vastavalt kapitalinõuete määruse artikli 429 lõike 5 punktile d ja lõik</w:t>
            </w:r>
            <w:r w:rsidR="00BF2542">
              <w:rPr>
                <w:rFonts w:ascii="Times New Roman" w:hAnsi="Times New Roman"/>
              </w:rPr>
              <w:t>ele 8.</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lastRenderedPageBreak/>
              <w:t>Krediidiasutused ja investeerimisühingud võtavad sellel andmeväljal arvesse tehinguid artikli 429b lõike 6 punkti c kohaselt.</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Krediidiasutused ja investeerimisühingud ei kajasta sellel andmeväljal raha, mis saadakse, ega mis tahes väärtpabereid, mis antakse vastaspoolele eespool nimetatud tehingute kaudu ja mille bilansis kajastamist jätkatakse (st mille puhul raamatupidamisarvestuses kajastamise lõpetamise kriteeriumid ei ole täidetud). Selle asemel kajastavad krediidiasutused ja investeerimisühingud neid kirjeid andmeväljal {190,010}.</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Krediidiasutused ja investeerimisühingud ei võta sellel andmeväljal arvesse vahendatud väärtpaberite kaudu finantseerimise tehinguid, mille puhul krediidiasutus või investeerimisühing pakub kliendile või vastaspoolele kahjuhüvitist või garantiid, mis piirdub kliendi poolt laenuksantud väärtpaberi või raha väärtuse ja laenuvõtja antud tagatise väärtuse vahelise erinevusega, nagu on sätestatud kapitalinõuete määruse artikli 429b lõike 6 punktis a.</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{020;010}</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SFT-d: vastaspoole krediidiriski lisand</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429b lõige 1</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Väärtpaberite kaudu finantseerimise tehingute, kaasa arvatud bilansivälised tehingud, vastaspoole krediidiriskist tulenev lisand, mis määratakse kindlaks kapitalinõuete määruse artikli 429b lõigete 2 või 3 kohaselt, nagu on asjakohane.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Krediidiasutused ja investeerimisühingud võtavad sellel andmeväljal arvesse tehinguid artikli 429b lõike 6 punkti c kohaselt.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Krediidiasutused ja investeerimisühingud ei võta sellel andmeväljal arvesse vahendatud väärtpaberite kaudu finantseerimise tehinguid, mille puhul krediidiasutus või investeerimisühing pakub kliendile või vastaspoolele kahjuhüvitist või garantiid, mis piirdub kliendi poolt laenuksantud väärtpaberi või raha väärtuse ja laenuvõtja antud tagatise väärtuse vahelise erinevusega, nagu on sätestatud kapitalinõuete määruse artikli 429b lõike 6 punktis a. Selle asemel kajastavad krediidiasutused ja investeerimisühingud neid kirjeid andmeväljal {040;010}.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{030;010}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SFT-de suhtes kohaldatav erand: lisand vastavalt CRR artikli 429b lõikele 4 ja artiklile 222</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artikli 429b lõige 4 ja artikkel 222</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Väärtpaberite kaudu finantseerimise tehingute, kaasa arvatud bilansivälised tehingud, riskipositsiooni väärtus, mis on arvutatud kapitalinõuete määruse artikli 222 kohaselt, tingimusel et kohaldata</w:t>
            </w:r>
            <w:r w:rsidR="00BF2542">
              <w:rPr>
                <w:rFonts w:ascii="Times New Roman" w:hAnsi="Times New Roman"/>
              </w:rPr>
              <w:t>va riskikaalu alampiir on 20 %.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Krediidiasutused ja investeerimisühingud võtavad sellel andmeväljal arvesse tehinguid kapitalinõuete määruse artikli 429b lõike 6 punkti c kohaselt.</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Krediidiasutused ja investeerimisühingud ei võta sellel andmeväljal arvesse tehinguid, mille puhul finantsvõimenduse määra riskipositsiooni väärtuse lisand määratakse kindlaks kapitalinõuete määruse artikli 429b lõikes 1 sätestatud meetodil.</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{040;010}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Vahendatud SFT-de vastaspoole krediidirisk vastavalt CRR artikli 429b lõikele 6</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429b lõike 6 punkt a ning lõiked 2 ja 3</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Selliste vahendatud väärtpaberite kaudu finantseerimise tehingute riskipositsiooni väärtus, mille puhul krediidiasutus või investeerimisühing pakub kliendile või vastaspoolele kahjuhüvitist või garantiid, mis piirdub kliendi poolt laenuksantud väärtpaberi või raha väärtuse ja laenuvõtja antud tagatise väärtuse vahelise erinevusega, nagu on sätestatud </w:t>
            </w:r>
            <w:r>
              <w:rPr>
                <w:rFonts w:ascii="Times New Roman" w:hAnsi="Times New Roman"/>
              </w:rPr>
              <w:lastRenderedPageBreak/>
              <w:t>kapitalinõuete määruse artikli 429b lõike 6 punktis a; koosneb üksnes lisandist, mis on kindlaks määratud kapitalinõuete määruse artikli 429b lõike 2 või 3 kohaselt, nagu on asjakohane.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Krediidiasutused ja investeerimisühingud ei võta sellel andmeväljal arvesse tehinguid artikli 429b lõike 6 punkti c kohaselt. Selle asemel kajastavad krediidiasutused ja investeerimisühingud neid kirjeid andmeväljadel {010;010} ja {020;010} või {010;010} ja {030;010}, nagu on asjakohane.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{050;010}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Välja jäetud keskse vastaspoole pool kliendipõhistest kliiritavatest SFT-dest tulenevate riskipositsioonide puhul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 lõige 11 ja artikli 306 lõike 1 punkt 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Välja jäetud keskse vastaspoole pool kliendipõhistest kliiritavatest väärtpaberite kaudu finantseerimise tehingutest tulenevate kauplemisriskipositsioonide puhul, tingimusel et asjaomased kirjed vastavad kapitalinõuete määruse artikli 306 lõike 1 punktis c sätestatud tingimustele.</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Kui välja jäetud keskse vastaspoole pool on väärtpaber, ei võeta seda sellel andmeväljal arvesse, välja arvatud juhul, kui see on edasipanditud väärtpaber, mida kohaldatava raamatupidamistava kohaselt (st vastavalt kapitalinõuete määruse artikli 111 lõike 1 esimesele lausele) võetakse arvesse täies väärtuses.</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Krediidiasutused ja investeerimisühingud kajastavad sellel andmeväljal esitatud summa ka andmeväljadel {010;010}, {020;010} ja {030;010}, nagu ei kohaldataks ühtegi erandit, ning kui eelmise lause teises pooles mainitud tingimus on täidetud, andmeväljal {190;010}.</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Kui krediidiasutus või investeerimisühing on väärtpaberite kaudu finantseerimise tehingu välja jäetud poolele andnud alustamise tagatise, mis on kajastatud andmeväljal {190;010}, aga ei ole kajastatud andmeväljal {020;010} ega {030;010}, võib krediidiasutus või investeerimisühing selle esitada käesoleval andmeväljal.</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{060;010}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Tuletisins</w:t>
            </w:r>
            <w:r w:rsidR="00BF2542">
              <w:rPr>
                <w:rFonts w:ascii="Times New Roman" w:hAnsi="Times New Roman"/>
                <w:b/>
              </w:rPr>
              <w:t>trumendid: praegune asenduskulu</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artiklid 429a, 274, 295, 296, 297 ja 298</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II lisas loetletud lepingute ning krediidituletisinstrumentide (kaasa arvatud bilansivälised) kapitalinõuete määruse artikli 274 lõike 1 kohane praegune asenduskulu, mis on esitatud enne saadud variatsioonitagatisi.</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artikli 429a lõike 1 kohaselt võivad krediidiasutused ja investeerimisühingud võtta vastavalt kapitalinõuete määruse artiklile 295 arvesse uuenduslepingute ja muude tasaarvestuskokkulepete mõju. Toodetevaheline tasaarvestus ei ole kohaldatav. Krediidiasutused ja investeerimisühingud võivad siiski teha tasaarvestust kapitalinõuete määruse artikli 272 punkti 25 alapunktis c osutatud tootekategooria siseselt ja krediidituletisinstrumentide puhul, kui nende suhtes kohaldatakse kapitalinõuete määruse artikli 295 punktis c osutatud lepingujärgset toodetevahelist tasaarvestuskokkulepet.</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Krediidiasutused ja investeerimisühingud ei kajasta sellel andmeväljal lepinguid, mida mõõdetakse esmase riskipositsiooni meetodil vastavalt kapitalinõuete määruse artikli 429a lõikele 8 ja artiklile 275.</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{070;010}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Tuletisinstrumentide turuväärtuse suhtes tasaarvestatud saadud aktsepteeritud rahaline variatsioonitagatis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429a lõige 3</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Selliselt vastaspoolelt saadud rahaline variatsioonitagatis, kelle puhul aktsepteeritakse </w:t>
            </w:r>
            <w:r>
              <w:rPr>
                <w:rFonts w:ascii="Times New Roman" w:hAnsi="Times New Roman"/>
              </w:rPr>
              <w:lastRenderedPageBreak/>
              <w:t>tasaarvestamist tuletisinstrumentide riskipositsiooni asenduskulu suhtes kapitalinõuete määruse artikli 429a lõike 3 kohaselt.</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t>Sellel andmeväljal ei võeta arvesse mingit rahalist variatsioonitagatist, mis on saadud seoses välja jäetud keskse vastaspoole poolega kapitalinõuete määruse artikli 429 lõike 11 kohaselt.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lastRenderedPageBreak/>
              <w:t>{080;010}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Välja jäetud keskse vastaspoole pool kliendipõhiste kliiritavate kauplemisriskipositsioonide puhul (asenduskulud)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 lõige 11</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Nõuetele vastava keskse vastaspoole kaudu kliendipõhistest kliiritavatest tuletistehingutest tulenev välja jäetud kauplemisriskipositsioonide asenduskulu osa, tingimusel et see vastab kapitalinõuete määruse artikli 306 lõike 1 punktis c sätestatud tingimustele. Käesolev summa esitatakse enne rahalist variatsioonitagatist, mis selle poolega seoses saadi.</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Krediidiasutused ja investeerimisühingud kajastavad sellel andmeväljal esitatud summa ka andmeväljal {060;010}, nagu ei oleks kohaldatud mingit väljajätmist.</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{090;010}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Tuletisinstrumendid: lisand turuväärtuse meetodi alusel</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artiklid 429a, 274, 295, 296, 297, 298 ja artikli 299 lõige 2</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Sellel andmeväljal kajastatakse lisandit (kaasa arvatud bilansiväliste) krediidituletisinstrumentide ja kapitalinõuete määruse II lisas loetletud lepingute potentsiaalse tuleviku riskipositsiooni jaoks, mis arvutatakse turuväärtuse meetodil (kapitalinõuete määruse II lisas loetletud lepingute puhul kapitalinõuete määruse artikli 274 ja krediidituletisinstrumentide puhul kapitalinõuete määruse artikli 299 lõike 2 kohaselt), kohaldades sealjuures kapitalinõuete määruse artikli 429a lõike 1 kohaseid tasaarvestamise eeskirju. Kõnealuste lepingute riskipositsiooni väärtuse kindlaksmääramisel võivad krediidiasutused ja investeerimisühingud võtta vastavalt kapitalinõuete määruse artiklile 295 arvesse uuenduslepingute ja muude tasaarvestuskokkulepete mõju. Toodetevaheline tasaarvestus ei ole kohaldatav. Krediidiasutused ja investeerimisühingud võivad siiski teha tasaarvestust kapitalinõuete määruse artikli 272 punkti 25 alapunktis c osutatud tootekategooria siseselt ja krediidituletisinstrumentide puhul, kui nende suhtes kohaldatakse kapitalinõuete määruse artikli 295 punktis c osutatud lepingujärgset toodetev</w:t>
            </w:r>
            <w:r w:rsidR="00BF2542">
              <w:rPr>
                <w:rFonts w:ascii="Times New Roman" w:hAnsi="Times New Roman"/>
              </w:rPr>
              <w:t>ahelist tasaarvestuskokkulepet.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Vastavalt kapitalinõuete määruse artikli 429a lõike 1 teisele lõigule kohaldavad krediidiasutused ja investeerimisühingud krediidituletisinstrumentide potentsiaalse tuleviku krediidiriski positsiooni kindlaksmääramisel kapitalinõuete määruse artikli 299 lõike 2 punktis a sätestatud põhimõtteid mitte ainult kauplemisportfelli kuuluvate, vaid kõigi oma kredi</w:t>
            </w:r>
            <w:r w:rsidR="00BF2542">
              <w:rPr>
                <w:rFonts w:ascii="Times New Roman" w:hAnsi="Times New Roman"/>
              </w:rPr>
              <w:t>idituletisinstrumentide suhtes.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Krediidiasutused ja investeerimisühingud ei kajasta sellel andmeväljal lepinguid, mida mõõdetakse esmase riskipositsiooni meetodil vastavalt kapitalinõuete määruse artikli 429a lõikele 8 ja artiklile 275.</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{100;010}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Välja jäetud keskse vastaspoole pool kliendipõhiste kliiritavate kauplemisriskipositsioonide puhul (potentsiaalne tuleviku riskipositsioon)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 lõige 11</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Nõuetele vastava keskse vastaspoole kaudu kliendipõhistest kliiritavatest tuletistehingutest tulenev välja jäetud kauplemisriskipositsioonide potentsiaalne tuleviku riskipositsioon, tingimusel et see vastab kapitalinõuete määruse artikli 306 lõike 1 punktis c sätestatud tingimustele.</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lastRenderedPageBreak/>
              <w:t>Krediidiasutused ja investeerimisühingud kajastavad sellel andmeväljal esitatud summa ka andmeväljal {090;010}, nagu ei oleks kohaldatud mingit väljajätmist.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{110;010}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Tuletisinstrumentide suhtes kohaldatav erand: esmase riskipositsiooni meetod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artikli 429a lõige 8 ja artikkel 275</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Sellel andmeväljal kajastatakse kapitalinõuete määruse II lisa punktides 1 ja 2 loetletud lepingute riskipositsiooni näitaja, mis on arvutatud kapitalinõuete määruse artiklis 275 sätestatud esmase riskipositsiooni meetodi kohaselt.</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Esmase riskipositsiooni meetodit kasutavad krediidiasutused ja investeerimisühingud ei vähenda riskipositsiooni näitajat saadud rahalise variatsioonitagatise summa võrra vastavalt kapitalinõuete määruse artikli 429a lõikele 8.</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Krediidiasutused ja investeerimisühingud, kes ei kasuta esmase riskipositsiooni meetodit, ei täida seda andmevälja.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Krediidiasutused ja investeerimisühingud ei võta sellel andmeväljal arvesse lepinguid, mida mõõdetakse turuväärtuse meetodil vastavalt kapitalinõuete määruse artikli 429a lõikele 1 ja artiklile 274.</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{120;010}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Välja jäetud keskse vastaspoole pool kliendipõhiste kliiritavate kauplemisriskipositsioonide puhul (esmase riskipositsiooni meetod)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 lõige 11</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Välja jäetud keskse vastaspoole pool kliendipõhiste kliiritavate kauplemisriskipositsioonide puhul, kui kohaldatakse esmase riskipositsiooni meetodit, mis on sätestatud kapitalinõuete määruse artiklis 275, tingimusel et asjaomased kirjed vastavad kapitalinõuete määruse artikli 306 lõike 1 punktis c sätestatud tingimustele.</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Krediidiasutused ja investeerimisühingud kajastavad sellel andmeväljal esitatud summa ka andmeväljal {110;010}, nagu ei oleks kohaldatud mingit väljajätmist.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{130;010}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Piiratud väljakirjutatud krediidituletisinstrumentide tinglik väärtus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429a lõiked 5 kuni 7</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Väljakirjutatud krediidituletisinstrumendi (st kui krediidiasutus või investeerimisühing pakub vastaspoolele krediidiriski kaitset) tinglik ülemväärtus, nagu on sätestatud kapitalinõuete määruse artikli 429a lõigetes 5–7.</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{140;010}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Väljakirjutatud krediidituletisinstrumentide suhtes tasaarvestatud aktsepteeritavad ostetud krediidituletisinstrumendid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429a lõiked 5 kuni 7</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Selliste ostetud krediidituletisinstrumentide tinglik ülemväärtus, kui krediidiasutus või investeerimisühing ostab vastaspoolelt krediidiriski kaitset, mille aluseks olev üksus on sama nagu krediidiasutuse või investeerimisühingu väljakirjutatud krediidituletisinstrumentidel, ning kui selle ostetud kaitse järelejäänud lõpptähtaeg on müüdud krediidiriski kaitse järelejäänud lõpptähtajaga võrdne või sellest pikem. Seega ei ole väärtus iga aluseks oleva üksuse puhul suurem kui andmeväljal {130;010} esitatud väärtus.</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{150;010}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10 % ümberhindlusteguriga bilansivälised kirjed vastavalt CRR artikli 429 lõikele 10</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artikli 429 lõige 10, artikli 111 lõike 1 punkt d ja artikli 166 lõige 9</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I lisa punkti 4 alapunktides a kuni c osutatud selliste madala riskiga bilansiväliste kirjete kapitalinõuete määruse artikli 429 lõike 10 ja artikli 111 lõike 1 punkti d kohane riskipositsiooni väärtus, millele määrataks 0 % ümberhindlustegur (meeldetuletuseks: riskipositsiooni väärtus on siin 10 % nimiväärtusest). See tähendab siduvaid kohustusi, mille krediidiasutus või investeerimisühing võib igal ajal etteteatamiseta ja tingimusteta tühistada või mille puhul on ette nähtud automaatne tühistamine laenuvõtja krediidivõimelisuse halvenemise korral.</w:t>
            </w:r>
            <w:r>
              <w:t xml:space="preserve"> </w:t>
            </w:r>
            <w:r>
              <w:rPr>
                <w:rFonts w:ascii="Times New Roman" w:hAnsi="Times New Roman"/>
              </w:rPr>
              <w:t>Meeldetuletuseks: spetsiifilised krediidiriskiga korrigeerimised ei vähenda nimiväärtust.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Kui siduv kohustus on seotud teise siduva kohustuse pikendamisega, kasutatakse kapitalinõuete määruse artikli 166 lõike 9 kohaselt nende kahe siduva kohustuse ümberhindlusteguritest väiksemat.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Krediidiasutused ja investeerimisühingud ei võta sellel andmeväljal arvesse kapitalinõuete määruse II lisas loetletud lepinguid, krediidituletisinstrumente ja väärtpaberite kaudu finantseerimise tehinguid vastavalt kapitalinõuete määruse artikli 429 lõikele 10.</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{160;010}</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20 % ümberhindlusteguriga bilansivälised kirjed vastavalt CRR artikli 429 lõikele 10</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artikli 429 lõige 10, artikli 111 lõike 1 punkt c ja artikli 166 lõige 9</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I lisa punkti 3 alapunktides a ja b osutatud selliste mõõduka riskiga bilansiväliste kirjete kapitalinõuete määruse artikli 429 lõike 10 ja artikli 111 lõike 1 punkti c kohane riskipositsiooni väärtus, millele määrataks 20 % ümberhindlustegur (meeldetuletuseks: riskipositsiooni väärtus on siin 20 % nimiväärtusest).</w:t>
            </w:r>
            <w:r>
              <w:t xml:space="preserve"> </w:t>
            </w:r>
            <w:r>
              <w:rPr>
                <w:rFonts w:ascii="Times New Roman" w:hAnsi="Times New Roman"/>
              </w:rPr>
              <w:t>Meeldetuletuseks: spetsiifilised krediidiriskiga korrigeerimised ei vähenda nimiväärtust.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Kui siduv kohustus on seotud teise siduva kohustuse pikendamisega, kasutatakse kapitalinõuete määruse artikli 166 lõike 9 kohaselt nende kahe siduva kohustuse ümberhindlusteguritest väiksemat.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Krediidiasutused ja investeerimisühingud ei võta sellel andmeväljal arvesse kapitalinõuete määruse II lisas loetletud lepinguid, krediidituletisinstrumente ja väärtpaberite kaudu finantseerimise tehinguid vastavalt kapitalinõuete määruse artikli 429 lõikele 10.</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{170;010}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50 % ümberhindlusteguriga bilansivälised kirjed vastavalt CRR artikli 429 lõikele 10</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artikli 429 lõige 10, artikli 111 lõike 1 punkt b ja artikli 166 lõige 9</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Kapitalinõuete määruse I lisa punkti 2 alapunktides a ja b osutatud selliste keskmise riskiga bilansiväliste kirjete kapitalinõuete määruse artikli 429 lõike 10 ja artikli 111 lõike 1 punkti b kohane riskipositsiooni väärtus, millele määrataks krediidiriski suhtes kohaldatava standardmeetodi määratluse kohaselt 50 % ümberhindlustegur (meeldetuletuseks: riskipositsiooni väärtus on siin 50 % nimiväärtusest). Meeldetuletuseks: spetsiifilised krediidiriskiga korrigeerimised ei vähenda nimiväärtust.</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See andmeväli hõlmab likviidsuse tagamise tehinguid ja muid väärtpaberistamisega seotud kohustusi. See tähendab, et kõigi likviidsuse tagamise tehingute ümberhindlustegur on tähtajast olenemata kapitalinõuete mää</w:t>
            </w:r>
            <w:r w:rsidR="00BF2542">
              <w:rPr>
                <w:rFonts w:ascii="Times New Roman" w:hAnsi="Times New Roman"/>
              </w:rPr>
              <w:t>ruse artikli 255 kohaselt 50 %.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Kui siduv kohustus on seotud teise siduva kohustuse pikendamisega, kasutatakse kapitalinõuete määruse artikli 166 lõike 9 kohaselt nende kahe siduva kohustuse ümberhindlusteguritest väiksemat.</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Krediidiasutused ja investeerimisühingud ei võta sellel andmeväljal arvesse kapitalinõuete määruse II lisas loetletud lepinguid, krediidituletisinstrumente ja väärtpaberite kaudu </w:t>
            </w:r>
            <w:r>
              <w:rPr>
                <w:rFonts w:ascii="Times New Roman" w:hAnsi="Times New Roman"/>
              </w:rPr>
              <w:lastRenderedPageBreak/>
              <w:t>finantseerimise tehinguid vastavalt kapitalinõuete määruse artikli 429 lõikele 10.</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{180;010}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100 % ümberhindlusteguriga bilansivälised kirjed vastavalt CRR artikli 429 lõikele 10</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artikli 429 lõige 10, artikli 111 lõike 1 punkt a ja artikli 166 lõige 9</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Kapitalinõuete määruse I lisa punkti 1 alapunktides a kuni k osutatud selliste suure riskiga bilansiväliste kirjete kapitalinõuete määruse artikli 429 lõike 10 ja artikli 111 lõike 1 punkti a kohane riskipositsiooni väärtus, millele määrataks 100 % ümberhindlustegur (meeldetuletuseks: riskipositsiooni väärtus on siin 100 % nimiväärtusest). Meeldetuletuseks: spetsiifilised krediidiriskiga korrigeerimised ei vähenda nimiväärtust.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See andmeväli hõlmab likviidsuse tagamise tehinguid ja muid väärtpaberistamisega seotud kohustusi.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Kui siduv kohustus on seotud teise siduva kohustuse pikendamisega, kasutatakse kapitalinõuete määruse artikli 166 lõike 9 kohaselt nende kahe siduva kohustuse ümberhindlusteguritest väiksemat.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Krediidiasutused ja investeerimisühingud ei võta sellel andmeväljal arvesse kapitalinõuete määruse II lisas loetletud lepinguid, krediidituletisinstrumente ja väärtpaberite kaudu finantseerimise tehinguid vastavalt kapitalinõuete määruse artikli 429 lõikele 10.</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Muud varad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Kapitalinõuete määruse artikli 429 lõige 5</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Kõik varad peale kapitalinõuete määruse II lisas loetletud lepingute, krediidituletisinstrumentide ja väärtpaberite kaudu finantseerimise tehingute (muud sellel andmeväljal kajastatavad varad on näiteks rahalise variatsioonitagatise laenujääk, kui seda tunnistatakse kasutatava raamatupidamistava kohaselt, likviidsed varad, mis on määratletud likviidsuskattekordaja kohaselt ning luhtunud ja arveldamata tehingud). Krediidiasutused ja investeerimisühingud lähtuvad hindamisel kapitalinõuete määruse artikli 429 lõikes 5 sätestatud põhimõtetest.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Krediidiasutused ja investeerimisühingud kajastavad sellel andmeväljal raha, mis saadakse, ja mis tahes väärtpabereid, mis antakse vastaspoolele väärtpaberite kaudu finantseerimise tehingute kaudu ja mille bilansis kajastamist jätkatakse (st mille puhul raamatupidamisarvestuses kajastamise lõpetamise kriteeriumid ei ole täidetud). Peale selle peavad krediidiasutused ja investeerimisühingud võtma sellel andmeväljal arvesse kirjed, mis on arvatud maha esimese taseme põhiomavahenditest ja täiendavatest esimese taseme omavahenditest (nt immateriaalsed varad, eda</w:t>
            </w:r>
            <w:r w:rsidR="00BF2542">
              <w:rPr>
                <w:rFonts w:ascii="Times New Roman" w:hAnsi="Times New Roman"/>
              </w:rPr>
              <w:t>silükkunud tulumaksu vara jne).</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{200;010}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Seoses tuletistehingutega antud mis tahes tagatiste kogunäitaja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429a lõige 2</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Seoses tuletistehingutega antud mis tahes tagatise summa, kui sellise tagatise andmine vähendab kohaldatava raamatupidamistava kohaselt varade summat, nagu on sätestatud kapitalinõuete määruse artikli 429a lõikes 2.</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Krediidiasutused ja investeerimisühingud ei kajasta sellel andmeväljal nõuetele vastava keskse vastaspoole kaudu kliendipõhiste kliiritavate tuletistehingute alustamise tagatist ega aktsepteeritud rahalist variatsioonitagatist, nagu on kindlaks määratud kapitalinõuete määruse artikli 429a lõikes 3.</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{210;010}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Tuletustehingutega antud rahalise variatsioonitagatisega seotud nõuded</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lastRenderedPageBreak/>
              <w:t>Kapitalinõuete määruse artikli 429a lõike 3 kolmas lõik</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Tuletistehingu vastaspoolele antud rahalise variatsioonitagatisega seotud nõuded, kui krediidiasutused ja investeerimisühingud peavad kohaldatava raamatupidamistava kohaselt kajastama neid nõudeid varana, tingimusel et täidetud on kapitalinõuete määruse artikli 429a lõike 3 punktides a–e sätestatud tingimused.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Esitatud summat võetakse arvesse ka andmeväljal {190, 010} kajastatud teiste varade hulgas.</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{220;010}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Välja jäetud keskse vastaspoole pool kliendipõhiste kliiritavate kauplemisriskipositsioonide puhul (alustamise tagatis)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 lõige 11</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Nõuetele vastava keskse vastaspoole kaudu kliendipõhistest kliiritavatest tuletistehingutest tulenev välja jäetud kauplemisriskipositsioonide alustamise tagatise (antud) osa, tingimusel et see vastab kapitalinõuete määruse artikli 306 lõike 1 punktis c sätestatud tingimustele.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Esitatud summat võetakse arvesse ka andmeväljal {190, 010} kajastatud teiste varade hulgas.</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{230;010}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Korrigeerimine SFT-de raamatupidamislike müügitehingute puhul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429b lõige 5</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Repotehingu käigus laenuks antud väärtpaberite väärtus, mille kajastamine lõpetatakse kohaldatava raamatupidamistava alusel raamatupidamisliku müügitehingu tõttu.</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{240;010}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Usaldusvarad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 lõige 13</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 lõike 13 kohaste selliste usaldusvarade väärtus, mis vastavad IAS 39 kajastamise lõpetamise kriteeriumidele ja asjakohasel juhul IFRS 10 dekonsolideerimise kriteeriumidele, eeldades raamatupidamisliku tasaarvestuse või muude krediidiriski maandamise mõjude puudumist (st raamatupidamisliku tasaarvestuse ja krediidiriski maandamise mis tahes mõjud bilansilisele väärtusele tühistatakse).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Esitatud summat võetakse arvesse ka andmeväljal {190, 010} kajastatud teiste varade hulgas.</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{250;010}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Välja jäetud grupisisesed riskipositsioonid (individuaalsed) vastavalt CRR artikli 429 lõikele 7</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Kapitalinõuete määruse artikli 429 lõige 7 ja artikli 113 lõige 6</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Riskipositsioonid, mida ei ole konsolideeritud kohaldataval konsolideerimistasandil ja mille suhtes võib kohaldada kapitalinõuete määruse artikli 113 lõike 6 kohast käsitlust, tingimusel et kõik kapitalinõuete määruse artikli 113 lõike 6 punktides a–e sätestatud tingimused on täidetud ja pädevad asutused on andnud oma nõusoleku.</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Esitatav summa tuleb esitada ka eespool vastavatel andmeväljadel nii, nagu ei oleks kohaldatud mingit väljajätmist.</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t>{260;010}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CRR artikli 429 lõike 14 kohaselt välja jäetud riskipositsioonid</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Kapitalinõuete määruse artikli 429 lõige 14</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lastRenderedPageBreak/>
              <w:t>Kapitalinõuete määruse artikli 429 lõike 14 kohaselt välja jäetud riskipositsioonid, tingimusel et asjaomased tingimused on täidetud ja pädevad asutused on andnud oma nõusoleku.</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Esitatav summa tuleb esitada ka eespool vastavatel andmeväljadel nii, nagu ei oleks kohaldatud mingit väljajätmist.</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{270;010}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t>(–) Maha arvatud varasumma – esimese taseme omavahendid – täielikult rakendatud määratlus</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Kapitalinõuete määruse artikli 429 lõike 4 punkt a ja artikli 499 lõike 1 punkt a</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See hõlmab kõiki selliseid korrigeerimisi, mis mõjutavad varade väärtust ja on ette nähtud järgmisega:</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kapitalinõuete </w:t>
            </w:r>
            <w:r w:rsidR="00BF2542">
              <w:rPr>
                <w:rFonts w:ascii="Times New Roman" w:hAnsi="Times New Roman"/>
              </w:rPr>
              <w:t>määruse artiklid 32 kuni 35 või</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kapitalinõuete määruse artiklid 36 kuni 47 või</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kapitalinõuete määruse artiklid 56 kuni 60,</w:t>
            </w:r>
          </w:p>
          <w:p w:rsidR="006D3F98" w:rsidRDefault="006D3F98" w:rsidP="002573FC">
            <w:pPr>
              <w:pStyle w:val="BodyText1"/>
              <w:spacing w:line="240" w:lineRule="auto"/>
              <w:rPr>
                <w:rFonts w:ascii="Times New Roman" w:hAnsi="Times New Roman"/>
                <w:bCs/>
              </w:rPr>
            </w:pPr>
            <w:r>
              <w:rPr>
                <w:rFonts w:ascii="Times New Roman" w:hAnsi="Times New Roman"/>
              </w:rPr>
              <w:t>nagu on asjakohane.</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Krediidiasutused ja investeerimisühingud võtavad arvesse mahaarvamiste suhtes tehtud erandeid, selliste mahaarvamiste alternatiive ja selliste mahaarvamiste tegemisest loobumist, mis on sätestatud kapitalinõuete määruse artiklites 48, 49 ja 79, võtmata arvesse kapitalinõuete määruse X osa I jaotise 1. ja 2. peatükis sätestatud erandeid. Topeltarvestuse vältimiseks ei esita krediidiasutused ja investeerimisühingud korrigeerimisi, mida on kapitalinõuete määruse artikli 111 kohaselt juba kohaldatud riskipositsiooni väärtuse arvutamisel andmeväljadel {010;010} kuni {260;010},</w:t>
            </w:r>
            <w:r>
              <w:t xml:space="preserve"> </w:t>
            </w:r>
            <w:r>
              <w:rPr>
                <w:rFonts w:ascii="Times New Roman" w:hAnsi="Times New Roman"/>
              </w:rPr>
              <w:t>ega korrigeerimisi, mille puhul ei arvata maha konkreetse vara väärtust.</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Kuna need summad on juba kapitalinäitajast maha arvatud, vähendavad need finantsvõimenduse määra riskipositsiooni ja esitatakse negatiivse arvuna.</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{280;010}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Maha arvatud varasumma – esimese taseme omavahendid – üleminekuperioodil rakendatav määratlus</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Kapitalinõuete määruse artikli 429 lõike 4 punkt a ja artikli 499 lõike 1 punkt b</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See hõlmab kõiki selliseid korrigeerimisi, mis korrigeerivad varade väärtust ja on ette nähtud järgmisega:</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kapitalinõuete määruse art</w:t>
            </w:r>
            <w:r w:rsidR="00BF2542">
              <w:rPr>
                <w:rFonts w:ascii="Times New Roman" w:hAnsi="Times New Roman"/>
              </w:rPr>
              <w:t>iklid 32 kuni 35 või</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kapitalinõuete </w:t>
            </w:r>
            <w:r w:rsidR="00BF2542">
              <w:rPr>
                <w:rFonts w:ascii="Times New Roman" w:hAnsi="Times New Roman"/>
              </w:rPr>
              <w:t>määruse artiklid 36 kuni 47 või</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kapitalinõuete määruse artiklid 56 kuni 60,</w:t>
            </w:r>
          </w:p>
          <w:p w:rsidR="009264ED" w:rsidRDefault="00316050" w:rsidP="002573FC">
            <w:pPr>
              <w:pStyle w:val="BodyText1"/>
              <w:spacing w:line="240" w:lineRule="auto"/>
              <w:rPr>
                <w:rFonts w:ascii="Times New Roman" w:hAnsi="Times New Roman"/>
                <w:bCs/>
              </w:rPr>
            </w:pPr>
            <w:r>
              <w:rPr>
                <w:rFonts w:ascii="Times New Roman" w:hAnsi="Times New Roman"/>
              </w:rPr>
              <w:t>nagu on asjakohane.</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Krediidiasutused ja investeerimisühingud võtavad arvesse mahaarvamiste suhtes tehtud erandeid, selliste mahaarvamiste alternatiive ja selliste mahaarvamiste tegemisest loobumist, mis on sätestatud kapitalinõuete määruse artiklites 48, 49 ja 79, võttes lisaks arvesse kapitalinõuete määruse X osa I jaotise 1. ja 2. peatükis sätestatud erandeid. Topeltarvestuse vältimiseks ei esita krediidiasutused ja investeerimisühingud korrigeerimisi, mida on kapitalinõuete määruse artikli 111 kohaselt juba kohaldatud riskipositsiooni väärtuse arvutamisel andmeväljadel {010;010} kuni {260;010}, ega korrigeerimisi, mille puhul ei arvata maha konkreetse vara väärtust.</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Kuna need summad on juba kapitalinäitajast maha arvatud, vähendavad need finantsvõimenduse määra riskipositsiooni ja esitatakse negatiivse arvuna.</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{290;010}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Finantsvõimenduse määra riskipositsiooni kogusumma – kasutades esimese taseme omavahendite täielikult rakendatud määratlust</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Krediidiasutused ja investeerimisühingud esitavad järgmise summa:</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{300;010}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Finantsvõimenduse määra riskipositsiooni kogusumma – kasutades esimese taseme omavahendite üleminekuperioodil rakendatavat määratlust</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Krediidiasutused ja investeerimisühingud esitavad järgmise summa:</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t xml:space="preserve">Rida </w:t>
            </w:r>
          </w:p>
          <w:p w:rsidR="009264ED" w:rsidRPr="00FE002E" w:rsidRDefault="009264ED" w:rsidP="00FE0FF1">
            <w:pPr>
              <w:pStyle w:val="BodyText1"/>
              <w:rPr>
                <w:rFonts w:ascii="Times New Roman" w:hAnsi="Times New Roman"/>
                <w:b/>
                <w:bCs/>
              </w:rPr>
            </w:pPr>
            <w:r>
              <w:rPr>
                <w:rFonts w:ascii="Times New Roman" w:hAnsi="Times New Roman"/>
                <w:b/>
              </w:rPr>
              <w:t>ja veerg</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t xml:space="preserve">Kapital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{310;010}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Esimese taseme omavahendid – täielikult rakendatud määratlus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Kapitalinõuete määruse artikli 429 lõige 3 ja artikli 499 lõige 1</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Siin kajastatakse esimese taseme omavahendite summat, mis on arvutatud vastavalt kapitalinõuete määruse artiklile 25, võtmata arvesse kapitalinõuete määruse X osa I jaotise 1. ja 2. peatükis sätestatud erandeid.</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{320;010}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Esimese taseme omavahendid – üleminekuperioodil rakendatav määratlus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Kapitalinõuete määruse artikli 429 lõige 3 ja artikli 499 lõige 1</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Siin kajastatakse esimese taseme omavahendite summat, mis on arvutatud vastavalt kapitalinõuete määruse artiklile 25, pärast kapitalinõuete määruse X osa I jaotise 1. ja 2. peatükis sätestatud erandite arvessevõtmist.</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t xml:space="preserve">Rida </w:t>
            </w:r>
          </w:p>
          <w:p w:rsidR="009264ED" w:rsidRPr="00FE002E" w:rsidRDefault="009264ED" w:rsidP="00FE0FF1">
            <w:pPr>
              <w:pStyle w:val="BodyText1"/>
              <w:rPr>
                <w:rFonts w:ascii="Times New Roman" w:hAnsi="Times New Roman"/>
                <w:b/>
                <w:bCs/>
              </w:rPr>
            </w:pPr>
            <w:r>
              <w:rPr>
                <w:rFonts w:ascii="Times New Roman" w:hAnsi="Times New Roman"/>
                <w:b/>
              </w:rPr>
              <w:t>ja veerg</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Finantsvõimenduse määr</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{330;010}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Finantsvõimenduse määr – kasutades esimese taseme omavahendite täielikult rakendatud määratlust</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Kapitalinõuete määruse artikli 429 lõige 2 ja artikli 499 lõige 1</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Siin kajastatakse käesoleva lisa II osa punkti 4 kohaselt arvutatud finantsvõimenduse määra.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{340;010}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Finantsvõimenduse määr – kasutades esimese taseme omavahendite üleminekuperioodil rakendatavat määratlust</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Kapitalinõuete määruse artikli 429 lõige 2 ja artikli 499 lõige 1</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Siin kajastatakse käesoleva lisa II osa punkti 5 kohaselt arvutatud finantsvõimenduse määra.</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69" w:name="_Toc351048507"/>
      <w:bookmarkStart w:id="70" w:name="_Toc359414286"/>
      <w:bookmarkStart w:id="71" w:name="_Toc423089071"/>
      <w:bookmarkStart w:id="72" w:name="_Toc524000019"/>
      <w:bookmarkStart w:id="73" w:name="_Toc524079951"/>
      <w:r>
        <w:rPr>
          <w:rFonts w:ascii="Times New Roman" w:hAnsi="Times New Roman"/>
          <w:b/>
        </w:rPr>
        <w:t>5.</w:t>
      </w:r>
      <w:r>
        <w:tab/>
      </w:r>
      <w:r>
        <w:rPr>
          <w:rFonts w:ascii="Times New Roman" w:hAnsi="Times New Roman"/>
          <w:b/>
        </w:rPr>
        <w:t>C 40.00 – Riskipositsiooni näitaja alternatiivne käsitlus</w:t>
      </w:r>
      <w:bookmarkEnd w:id="63"/>
      <w:bookmarkEnd w:id="69"/>
      <w:bookmarkEnd w:id="70"/>
      <w:r>
        <w:rPr>
          <w:rFonts w:ascii="Times New Roman" w:hAnsi="Times New Roman"/>
          <w:b/>
        </w:rPr>
        <w:t xml:space="preserve"> (LR1)</w:t>
      </w:r>
      <w:bookmarkEnd w:id="71"/>
      <w:bookmarkEnd w:id="72"/>
      <w:bookmarkEnd w:id="73"/>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21.</w:t>
      </w:r>
      <w:r>
        <w:tab/>
      </w:r>
      <w:r>
        <w:rPr>
          <w:rFonts w:ascii="Times New Roman" w:hAnsi="Times New Roman"/>
        </w:rPr>
        <w:t>Aruande käesolevasse ossa koondatakse andmed tuletisinstrumentide, väärtpaberite kaudu finantseerimise tehingute ning bilansiväliste kirjete</w:t>
      </w:r>
      <w:r w:rsidR="00BF2542">
        <w:rPr>
          <w:rFonts w:ascii="Times New Roman" w:hAnsi="Times New Roman"/>
        </w:rPr>
        <w:t xml:space="preserve"> alternatiivse käsitluse kohta.</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t>22.</w:t>
      </w:r>
      <w:r>
        <w:tab/>
      </w:r>
      <w:r>
        <w:rPr>
          <w:rFonts w:ascii="Times New Roman" w:hAnsi="Times New Roman"/>
        </w:rPr>
        <w:t>Krediidiasutused ja investeerimisühingud määravad vormis LR1 kajastatavad raamatupidamislikud bilansilised väärtused kindlaks kohaldatava raamatupidamistava alusel vastavalt kapitalinõuete määruse artikli 4 lõike 1 punktile 77. „Bilansiline väärtus, eeldades tasaarvestuse või muu CRMi puudumist“ tähendab raamatupidamislikku bilansilist väärtust, milles ei ole tasaarvestuse ega muude riskide maa</w:t>
      </w:r>
      <w:r w:rsidR="00BF2542">
        <w:rPr>
          <w:rFonts w:ascii="Times New Roman" w:hAnsi="Times New Roman"/>
        </w:rPr>
        <w:t>ndamise mõjusid arvesse võetud.</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Pr>
          <w:rFonts w:ascii="Times New Roman" w:hAnsi="Times New Roman"/>
        </w:rPr>
        <w:t>23.</w:t>
      </w:r>
      <w:r>
        <w:tab/>
      </w:r>
      <w:r>
        <w:rPr>
          <w:rFonts w:ascii="Times New Roman" w:hAnsi="Times New Roman"/>
        </w:rPr>
        <w:t>Krediidiasutused ja investeerimisühingud esitavad LR1, nagu LRCalci andmeväljadel {050;010}, {080;010}, {100;010}, {120;010}, {220;010}, {250;010} ja {260;010} viidatud erandeid ei oleks kohaldatud, välja arvatud andmeväljade {250;120} ja {260;120} puhul.</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Rida </w:t>
            </w:r>
          </w:p>
          <w:p w:rsidR="00F4754B" w:rsidRPr="00FE002E" w:rsidRDefault="00F4754B" w:rsidP="00F4754B">
            <w:pPr>
              <w:pStyle w:val="BodyText1"/>
              <w:rPr>
                <w:rFonts w:ascii="Times New Roman" w:hAnsi="Times New Roman"/>
                <w:b/>
              </w:rPr>
            </w:pPr>
            <w:r>
              <w:rPr>
                <w:rFonts w:ascii="Times New Roman" w:hAnsi="Times New Roman"/>
                <w:b/>
              </w:rPr>
              <w:t>ja veerg</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Viited õigussätetele ja juhised</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Tuletisinstrumendid – raamatupidamislik bilansiline väärtus</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{020;010}, {050;010} ja {060;010} summa.</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Tuletisinstrumendid – bilansiline väärtus, eeldades tasaarvestuse või muu CRMi puudumist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Siin esitatakse andmeväljade {020;020}, {050;020} ja {060;020} summa.</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Tuletisinstrumendid – lisand turuväärtuse meetodi korral (eeldades tasaarvestuse või muu CRMi puudumist)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Siin esitatakse andmeväljade {020;050}, {050;050} ja {060;050} summa.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{010;070}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Tuletisinstrumendid – tinglik väärtus</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Siin esitatakse andmeväljade {020;070}, {050;070} ja {060;070} summa.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Krediidituletisinstrumendid (müüdud krediidiriski kaitse) – raamatupidamislik bilansiline väärtus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Kapitalinõuete määruse artikli 4 lõike 1 punkt 77</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Krediidituletisinstrumentide kohaldatava raamatupidamistava kohane raamatupidamislik bilansiline väärtus, kui krediidiasutus või investeerimisühing müüb vastaspoolele krediidiriski kaitset ja lepingut kajastatakse bilansis varana.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Krediidituletisinstrumendid (müüdud krediidiriski kaitse) – bilansiline väärtus, eeldades tasaarvestuse või muu CRMi puudumist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Kapitalinõuete määruse artikli 4 lõike 1 punkt 77</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Krediidituletisinstrumentide kohaldatava raamatupidamistava kohane raamatupidamislik bilansiline väärtus, kui krediidiasutus või investeerimisühing müüb vastaspoolele </w:t>
            </w:r>
            <w:r>
              <w:rPr>
                <w:rFonts w:ascii="Times New Roman" w:hAnsi="Times New Roman"/>
              </w:rPr>
              <w:lastRenderedPageBreak/>
              <w:t>krediidiriski kaitset ja lepingut kajastatakse bilansis varana, eeldades usaldatavusnõuetekohase või raamatupidamisliku tasaarvestuse või muude krediidiriski maandamise mõjude puudumist (st raamatupidamisliku tasaarvestuse ja krediidiriski maandamise mis tahes mõjud bilansilisele väärtusele tühistatakse).</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{020;050}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Krediidituletisinstrumendid (müüdud krediidiriski kaitse) – lisand turuväärtuse meetodi korral (eeldades tasaarvestuse või muu CRMi puudumist)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Siin esitatakse andmeväljade {030;050} ja {040;050} summa.</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Krediidituletisinstrumendid (müüdud krediidiriski kaitse) – tinglik väärtus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Siin esitatakse andmeväljade {030;070} ja {040;070} summa.</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{020;075}</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Krediidituletisinstrumendid (müüdud krediidiriski kaitse) – tinglik ülemväärtus</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Sellel andmeväljal esitatakse tinglik väärtus, millele andmeväljal {020; 070} esitatud krediidituletisinstrumendid (müüdud krediidiriski kaitse) viitavad pärast mis tahes sellise õiglase väärtuse negatiivsete muutuste võrra vähendamist, mis on väljakirjutatud krediidituletisinstrumendiga seoses kaasatud esimese taseme omavahendite hulka.</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{030;050}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Krediidituletisinstrumendid (müüdud krediidiriski kaitse), millel on tehingu arveldamise klausel – lisand turuväärtuse meetodi korral (eeldades tasaarvestuse või muu CRMi puudumist)</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299 lõige 2</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Sellel andmeväljal kajastatakse krediidituletisinstrumentide potentsiaalset tuleviku riskipositsiooni, kui krediidiasutus või investeerimisühing müüb vastaspoolele krediidiriski kaitset tehingu arveldamise klausliga, eeldades tasaarvestuse või muu krediidiriski maandamise puudumist. Krediidiasutused ja investeerimisühingud ei kajasta sellel andmeväljal krediidituletisinstrumentide jaoks ettenähtud lisandit, kui krediidiasutus või investeerimisühing müüb vastaspoolele krediidiriski kaitset ilma tehingu arveldamise klauslita. Selle asemel kajastavad krediidiasutused ja investeerimisühingud seda andmeväljal {LR1;040;050}.</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Tehingu arveldamise klausli all mõistetakse klauslit, mis annab makseviivituses mitteolevale poolele õiguse lõpetada ja arveldada õigeaegselt kõik asjaomase lepingu raamesse kuuluvad tehingud vastaspoole makseviivituse, sealhulgas maksejõuetuse või pankroti korral.</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Krediidiasutused ja investeerimisühingud võtavad arvesse mitte ainult kauplemisportfelli kuuluvaid, vaid kõiki</w:t>
            </w:r>
            <w:r w:rsidR="00BF2542">
              <w:rPr>
                <w:rFonts w:ascii="Times New Roman" w:hAnsi="Times New Roman"/>
              </w:rPr>
              <w:t xml:space="preserve"> krediidituletisinstrumente.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Krediidituletisinstrumendid (müüdud krediidiriski kaitse), millel on tehingu arveldamise klausel – tinglik väärtus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Sellel andmeväljal kajastatakse tinglik väärtus, millele krediidituletisinstrumendid viitavad, kui krediidiasutus või investeerimisühing müüb vastaspoolele krediidiriski kaitset</w:t>
            </w:r>
            <w:r w:rsidR="00BF2542">
              <w:rPr>
                <w:rFonts w:ascii="Times New Roman" w:hAnsi="Times New Roman"/>
              </w:rPr>
              <w:t xml:space="preserve"> tehingu arveldamise klausliga.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Tehingu arveldamise klausli all mõistetakse klauslit, mis annab makseviivituses mitteolevale poolele õiguse lõpetada ja arveldada õigeaegselt kõik asjaomase lepingu raamesse kuuluvad tehingud vastaspoole makseviivituse, sealhulgas maksejõuetuse või pankroti korral.</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Krediidiasutused ja investeerimisühingud võtavad arvesse mitte ainult kauplemisportfelli kuuluvaid, vaid kõiki krediidituletisinstru</w:t>
            </w:r>
            <w:r w:rsidR="00BF2542">
              <w:rPr>
                <w:rFonts w:ascii="Times New Roman" w:hAnsi="Times New Roman"/>
              </w:rPr>
              <w:t>mente.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{040;050}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Krediidituletisinstrumendid (müüdud krediidiriski kaitse), millel ei ole tehingu arveldamise klauslit – lisand turuväärtuse meetodi korral (eeldades tasaarvestuse või muu CRMi puudumist)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299 lõige 2</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Sellel andmeväljal kajastatakse krediidituletisinstrumentide potentsiaalset tuleviku riskipositsiooni, kui krediidiasutus või investeerimisühing müüb vastaspoolele krediidiriski kaitset, millel </w:t>
            </w:r>
            <w:r>
              <w:rPr>
                <w:rFonts w:ascii="Times New Roman" w:hAnsi="Times New Roman"/>
                <w:b/>
                <w:u w:val="single"/>
              </w:rPr>
              <w:t>ei</w:t>
            </w:r>
            <w:r>
              <w:rPr>
                <w:rFonts w:ascii="Times New Roman" w:hAnsi="Times New Roman"/>
              </w:rPr>
              <w:t xml:space="preserve"> ole tehingu arveldamise klauslit, eeldades tasaarvestuse või muu krediidiriski maandamise puudumist.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Tehingu arveldamise klausli all mõistetakse klauslit, mis annab makseviivituses mitteolevale poolele õiguse lõpetada ja arveldada õigeaegselt kõik asjaomase lepingu raamesse kuuluvad tehingud vastaspoole makseviivituse, sealhulgas maksejõuetuse või pankroti korral.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Krediidiasutused ja investeerimisühingud võtavad arvesse mitte ainult kauplemisportfelli kuuluvaid, vaid kõiki krediidituletisinstrumente.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Krediidituletisinstrumendid (müüdud krediidiriski kaitse), millel ei ole tehingu arveldamise klauslit – tinglik väärtus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Sellel andmeväljal kajastatakse tinglik väärtus, millele krediidituletisinstrumendid viitavad, kui krediidiasutus või investeerimisühing müüb vastaspoolele krediidiriski kaitset, millel </w:t>
            </w:r>
            <w:r>
              <w:rPr>
                <w:rFonts w:ascii="Times New Roman" w:hAnsi="Times New Roman"/>
                <w:b/>
                <w:u w:val="single"/>
              </w:rPr>
              <w:t>ei</w:t>
            </w:r>
            <w:r>
              <w:rPr>
                <w:rFonts w:ascii="Times New Roman" w:hAnsi="Times New Roman"/>
              </w:rPr>
              <w:t xml:space="preserve"> ole tehingu arveldamise klauslit.</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Tehingu arveldamise klausli all mõistetakse klauslit, mis annab makseviivituses mitteolevale poolele õiguse lõpetada ja arveldada õigeaegselt kõik asjaomase lepingu raamesse kuuluvad tehingud vastaspoole makseviivituse, sealhulgas maksejõuetuse või pankroti korral.</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Krediidiasutused ja investeerimisühingud võtavad arvesse mitte ainult kauplemisportfelli kuuluvaid, vaid kõiki krediidituletisinstrumente.</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Krediidituletisinstrumendid (ostetud krediidiriski kaitse) – raamatupidamislik bilansiline väärtus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4 lõike 1 punkt 77</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Krediidituletisinstrumentide kohaldatava raamatupidamistava kohane raamatupidamislik bilansiline väärtus, kui krediidiasutus või investeerimisühing ostab vastaspoolelt krediidiriski kaitset ja lepingut kajastatakse bilansis varana.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Krediidiasutused ja investeerimisühingud võtavad arvesse mitte ainult kauplemisportfelli kuuluvaid, vaid kõiki krediidituletisinstrumente.</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Krediidituletisinstrumendid (ostetud krediidiriski kaitse) – bilansiline väärtus, eeldades tasaarvestuse või muu CRMi puudumist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4 lõike 1 punkt 77</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Krediidituletisinstrumentide kohaldatava raamatupidamistava kohane raamatupidamislik bilansiline väärtus, kui krediidiasutus või investeerimisühing ostab vastaspoolelt krediidiriski kaitset ja lepingut kajastatakse bilansis varana, eeldades usaldatavusnõuetekohase või raamatupidamisliku tasaarvestuse või muude krediidiriski maandamise mõjude puudumist (st raamatupidamisliku tasaarvestuse ja krediidiriski maandamise mis tahes mõjud bilansilisele väärtusele tühistatakse).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Krediidiasutused ja investeerimisühingud võtavad arvesse mitte ainult kauplemisportfelli </w:t>
            </w:r>
            <w:r>
              <w:rPr>
                <w:rFonts w:ascii="Times New Roman" w:hAnsi="Times New Roman"/>
              </w:rPr>
              <w:lastRenderedPageBreak/>
              <w:t>kuuluvaid, vaid kõiki krediidituletisinstrumente.</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{050;050}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Krediidituletisinstrumendid (ostetud krediidiriski kaitse) – lisand turuväärtuse meetodi korral (eeldades tasaarvestuse või muu CRMi puudumist)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299 lõige 2</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Sellel andmeväljal kajastatakse krediidituletisinstrumentide potentsiaalset tuleviku riskipositsiooni, kui krediidiasutus või investeerimisühing ostab vastaspoolelt krediidiriski kaitset, eeldades tasaarvestuse või muu krediidiriski maandamise puudumist.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Krediidiasutused ja investeerimisühingud võtavad arvesse mitte ainult kauplemisportfelli kuuluvaid, vaid kõiki krediidituletisinstrumente.</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{050;070}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Krediidituletisinstrumendid (ostetud krediidiriski kaitse) – tinglik väärtus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Sellel andmeväljal kajastatakse tinglik väärtus, millele krediidituletisinstrumendid viitavad, kui krediidiasutus või investeerimisühing ostab vastaspoolelt krediidiriski kaitset.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Krediidiasutused ja investeerimisühingud võtavad arvesse mitte ainult kauplemisportfelli kuuluvaid, vaid kõiki krediidituletisinstrumente.</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{050;075}</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Krediidituletisinstrumendid (ostetud krediidiriski kaitse) – tinglik ülemväärtus</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Sellel andmeväljal esitatakse tinglik väärtus, millele andmeväljal {050;050} esitatud krediidituletisinstrumendid (ostetud krediidiriski kaitse) viitavad pärast mis tahes sellise õiglase väärtuse positiivsete muutuste võrra vähendamist, mis on ostetud krediidituletisinstrumendiga seoses kaasatud esimese taseme omavahendite hulka.</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{050;085}</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Krediidituletisinstrumendid (ostetud krediidiriski kaitse) – tinglik ülemväärtus (sama aluseks olev üksus)</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Tinglik väärtus, millele krediidituletisinstrumendid viitavad, kui aruannet esitav krediidiasutus või investeerimisühing ostab krediidiriski kaitset enda välja kirjutatud krediidituletisinstrumentide aluseks oleva üksusega sama aluseks oleva üksuse krediidiriski vastu.</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Selle andmevälja väärtuse esitamisel loetakse aluseks olevaid üksusi samaks juhul, kui tegemist on sama juriidilise isi</w:t>
            </w:r>
            <w:r w:rsidR="00BF2542">
              <w:rPr>
                <w:rFonts w:ascii="Times New Roman" w:hAnsi="Times New Roman"/>
              </w:rPr>
              <w:t>ku ja sama nõudeõiguse järguga.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Aluseks olevate üksuste kogumile ostetud krediidiriski kaitset loetakse samaks, kui see krediidiriski kaitse on majanduslikult samaväärne krediidiriski kaitse ostmisega eraldi iga üksiku aluseks oleva üksuse krediidiriski vastu.</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Kui krediidiasutus või investeerimisühing ostab krediidiriski kaitset aluseks olevate üksuste kogumile, loetakse seda krediidiriski kaitset samaks üksnes juhul, kui ostetud krediidiriski kaitse katab täielikult kõik selle kogumi alajaotised, millele krediidiriski kaitse on müüdud. Teisisõnu võib tasaarvestamist arvesse võtta üksnes juhul, kui aluseks olevate üksuste kogum ja allutatuse tase on m</w:t>
            </w:r>
            <w:r w:rsidR="00BF2542">
              <w:rPr>
                <w:rFonts w:ascii="Times New Roman" w:hAnsi="Times New Roman"/>
              </w:rPr>
              <w:t>õlema tehingu puhul ühesugused.</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Sellel andmeväljal arvesse võetavad ostetud krediidiriski kaitse tinglikud väärtused ei tohi ühegi aluseks oleva üksuse puhul ületada andmeväljadel {020;075} ja {050;075} esitatud summasid.</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Finantstuletisinstrumendid – raamatupidamislik bilansiline väärtus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4 lõike 1 punkt 77</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Kapitalinõuete määruse II lisas loetletud lepingute kohaldatava raamatupidamistava kohane </w:t>
            </w:r>
            <w:r>
              <w:rPr>
                <w:rFonts w:ascii="Times New Roman" w:hAnsi="Times New Roman"/>
              </w:rPr>
              <w:lastRenderedPageBreak/>
              <w:t>raamatupidamislik bilansiline väärtus, kui lepinguid kajastatakse bilansis varana.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{060;020}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Finantstuletisinstrumendid – bilansiline väärtus, eeldades tasaarvestuse või muu CRMi puudumist</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4 lõike 1 punkt 77</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II lisas loetletud lepingute kohaldatava raamatupidamistava kohane raamatupidamislik bilansiline väärtus, kui lepinguid kajastatakse bilansis varana, eeldades usaldatavusnõuetekohase või raamatupidamisliku tasaarvestuse või muude krediidiriski maandamise mõjude puudumist (st raamatupidamisliku tasaarvestuse ja krediidiriski maandamise mis tahes mõjud bilansilisele väärtusele tühistatakse).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{060;050}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Finantstuletisinstrumendid – lisand turuväärtuse meetodi korral (eeldades tasaarvestuse või muu CRMi puudumist)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artikkel 274</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Sellel andmeväljal kajastatakse kapitalinõuete määruse II lisas loetletud lepingute regulatiivset potentsiaalset tuleviku riskipositsiooni, eeldades tasaarvestuse või muu krediidiriski maandamise puudumist.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Finantstuletisinstrumendid – tinglik väärtus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Sellel andmeväljal kajastatakse tinglik väärtus, millele viitavad kapitalinõuete määruse II lisas loetletud lepingud.</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Tasaarvestuse raamlepinguga kaetud SFT-d – raamatupidamislik bilansiline väärtus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4 lõike 1 punkt 77 ja</w:t>
            </w:r>
            <w:r>
              <w:rPr>
                <w:rFonts w:ascii="Times New Roman" w:hAnsi="Times New Roman"/>
                <w:b/>
              </w:rPr>
              <w:t xml:space="preserve"> </w:t>
            </w:r>
            <w:r>
              <w:rPr>
                <w:rFonts w:ascii="Times New Roman" w:hAnsi="Times New Roman"/>
              </w:rPr>
              <w:t>artikkel 206</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206 kohaselt aktsepteeritava tasaarvestuse raamlepinguga kaetud väärtpaberite kaudu finantseerimise tehingute kohaldatava raamatupidamistava kohane raamatupidamislik bilansiline väärtus.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Krediidiasutused ja investeerimisühingud ei kajasta sellel andmeväljal raha, mis saadakse, ega mis tahes väärtpabereid, mis antakse vastaspoolele eespool nimetatud tehingute kaudu ja mille bilansis kajastamist jätkatakse (st mille puhul raamatupidamisarvestuses kajastamise lõpetamise kriteeriumid ei ole täidetud). Selle asemel kajastavad krediidiasutused ja investeerimisühingud seda andmeväljal {090,010}.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Tasaarvestuse raamlepinguga kaetud SFT-d – bilansiline väärtus, eeldades tasaarvestuse või muu CRMi puudumist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4 lõike 1 punkt 77 ja artikkel 206</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206 kohaselt aktsepteeritava tasaarvestuse raamlepinguga kaetud väärtpaberite kaudu finantseerimise tehingute kohaldatava raamatupidamistava kohane raamatupidamislik bilansiline väärtus, kui lepinguid kajastatakse bilansis varana, eeldades usaldatavusnõuetekohase või raamatupidamisliku tasaarvestuse või muude krediidiriski maandamise mõjude puudumist (st raamatupidamisliku tasaarvestuse ja krediidiriski maandamise mis tahes mõjud bilansilisele väärtusele tühistatakse). Kui väärtpaberite kaudu finantseerimise tehingute puhul on müügi raamatupidamisarvestus toimunud kohaldatava raamatupidamistava kohaselt, tühistavad krediidiasutused ja investeerimisühingud kõik müügiga seotud raamatupidamiskanded.</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Krediidiasutused ja investeerimisühingud ei kajasta sellel andmeväljal raha, mis saadakse, ega mis tahes väärtpabereid, mis antakse vastaspoolele eespool nimetatud tehingute kaudu ja mille bilansis kajastamist jätkatakse (st mille puhul raamatupidamisarvestuses </w:t>
            </w:r>
            <w:r>
              <w:rPr>
                <w:rFonts w:ascii="Times New Roman" w:hAnsi="Times New Roman"/>
              </w:rPr>
              <w:lastRenderedPageBreak/>
              <w:t>kajastamise lõpetamise kriteeriumid ei ole täidetud). Selle asemel kajastavad krediidiasutused ja investeerimisühingud seda andmeväljal {090 020}.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{070;040}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Tasaarvestuse raamlepinguga kaetud SFT-d – SFT-de lisand</w:t>
            </w: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artikkel 206</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Kapitalinõuete määruse artiklis 206 sätestatud nõuetele vastava tasaarvestuslepinguga kaetud (sealhulgas bilansiväliste) väärtpaberite kaudu finantseerimise tehingute jaoks moodustavad krediidiasutused ja investeerimisühingud tasaarvestatavate tehingute kogumid. Iga tasaarvestatavate tehingute kogumi puhul arvutavad krediidiasutused ja investeerimisühingud praeguse vastaspoole riskipositsiooni jaoks lisandi järgmise valemi kohaselt: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kus:</w:t>
            </w:r>
          </w:p>
          <w:p w:rsidR="00410E47" w:rsidRPr="00FE002E" w:rsidRDefault="00410E47" w:rsidP="007E2A41">
            <w:pPr>
              <w:pStyle w:val="BodyText1"/>
              <w:spacing w:line="240" w:lineRule="auto"/>
              <w:rPr>
                <w:rFonts w:ascii="Times New Roman" w:hAnsi="Times New Roman"/>
                <w:bCs/>
              </w:rPr>
            </w:pPr>
            <w:r>
              <w:rPr>
                <w:rFonts w:ascii="Times New Roman" w:hAnsi="Times New Roman"/>
              </w:rPr>
              <w:t>i = iga tasaarvestatavate tehingute kogumisse kuuluv tehing;</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w:t>
            </w:r>
            <w:r>
              <w:rPr>
                <w:rFonts w:ascii="Times New Roman" w:hAnsi="Times New Roman"/>
                <w:vertAlign w:val="subscript"/>
              </w:rPr>
              <w:t>i</w:t>
            </w:r>
            <w:r>
              <w:rPr>
                <w:rFonts w:ascii="Times New Roman" w:hAnsi="Times New Roman"/>
              </w:rPr>
              <w:t xml:space="preserve"> = kapitalinõuete määruse artikli 220 lõikes 3 määratletud väärtus E</w:t>
            </w:r>
            <w:r>
              <w:rPr>
                <w:rFonts w:ascii="Times New Roman" w:hAnsi="Times New Roman"/>
                <w:vertAlign w:val="subscript"/>
              </w:rPr>
              <w:t>i</w:t>
            </w:r>
            <w:r>
              <w:rPr>
                <w:rFonts w:ascii="Times New Roman" w:hAnsi="Times New Roman"/>
              </w:rPr>
              <w:t xml:space="preserve"> tehingu i puhul.</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w:t>
            </w:r>
            <w:r>
              <w:rPr>
                <w:rFonts w:ascii="Times New Roman" w:hAnsi="Times New Roman"/>
                <w:vertAlign w:val="subscript"/>
              </w:rPr>
              <w:t>i</w:t>
            </w:r>
            <w:r>
              <w:rPr>
                <w:rFonts w:ascii="Times New Roman" w:hAnsi="Times New Roman"/>
              </w:rPr>
              <w:t xml:space="preserve"> = kapitalinõuete määruse artikli 220 lõikes 3 määratletud väärtus C</w:t>
            </w:r>
            <w:r>
              <w:rPr>
                <w:rFonts w:ascii="Times New Roman" w:hAnsi="Times New Roman"/>
                <w:vertAlign w:val="subscript"/>
              </w:rPr>
              <w:t>i</w:t>
            </w:r>
            <w:r>
              <w:rPr>
                <w:rFonts w:ascii="Times New Roman" w:hAnsi="Times New Roman"/>
              </w:rPr>
              <w:t xml:space="preserve"> tehingu i puhul.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Krediidiasutused ja investeerimisühingud agregeerivad summad, mis nad on selle valemiga kõigi tasaarvestatavate tehingute kogumite puhul saanud, ja kajastavad saadud tulemust sellel andmeväljal.</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Tasaarvestuse raamlepinguga katmata SFT-d – raamatupidamislik bilansiline väärtus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4 lõike 1 punkt 77</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Kapitalinõuete määruse artikli 206 kohaselt aktsepteeritava tasaarvestuse raamlepinguga </w:t>
            </w:r>
            <w:r>
              <w:rPr>
                <w:rFonts w:ascii="Times New Roman" w:hAnsi="Times New Roman"/>
                <w:b/>
                <w:u w:val="single"/>
              </w:rPr>
              <w:t>katmata</w:t>
            </w:r>
            <w:r>
              <w:rPr>
                <w:rFonts w:ascii="Times New Roman" w:hAnsi="Times New Roman"/>
              </w:rPr>
              <w:t xml:space="preserve"> väärtpaberite kaudu finantseerimise tehingute kohaldatava raamatupidamistava kohane raamatupidamislik bilansiline väärtus, kui lepinguid kajastatakse bilansis varana.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Krediidiasutused ja investeerimisühingud ei kajasta sellel andmeväljal raha, mis saadakse, ega mis tahes väärtpabereid, mis antakse vastaspoolele eespool nimetatud tehingute kaudu ja mille bilansis kajastamist jätkatakse (st mille puhul raamatupidamisarvestuses kajastamise lõpetamise kriteeriumid ei ole täidetud). Selle asemel kajastavad krediidiasutused ja investeerimisühingud seda andmeväljal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Tasaarvestuse raamlepinguga katmata SFT-d – bilansiline väärtus, eeldades tasaarvestuse või muu CRMi puudumist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4 lõike 1 punkt 77</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Kapitalinõuete määruse artikli 206 kohaselt aktsepteeritava tasaarvestuse raamlepinguga </w:t>
            </w:r>
            <w:r>
              <w:rPr>
                <w:rFonts w:ascii="Times New Roman" w:hAnsi="Times New Roman"/>
                <w:b/>
                <w:u w:val="single"/>
              </w:rPr>
              <w:t>katmata</w:t>
            </w:r>
            <w:r>
              <w:rPr>
                <w:rFonts w:ascii="Times New Roman" w:hAnsi="Times New Roman"/>
              </w:rPr>
              <w:t xml:space="preserve"> väärtpaberite kaudu finantseerimise tehingute kohaldatava raamatupidamistava kohane raamatupidamislik bilansiline väärtus, kui lepinguid kajastatakse bilansis varadena, eeldades raamatupidamisliku tasaarvestuse või muude krediidiriski maandamise mõjude puudumist (st raamatupidamisliku tasaarvestuse ja krediidiriski maandamise mis tahes mõjud bilansilisele väärtusele tühistatakse). Kui väärtpaberite kaudu finantseerimise tehingute puhul on müügi raamatupidamisarvestus toimunud kohaldatava raamatupidamistava kohaselt, tühistavad krediidiasutused ja investeerimisühingud kõik müügiga seotud raamatupidamiskanded.</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Krediidiasutused ja investeerimisühingud ei kajasta sellel andmeväljal raha, mis saadakse, ega mis tahes väärtpabereid, mis antakse vastaspoolele eespool nimetatud tehingute kaudu ja mille bilansis kajastamist jätkatakse (st mille puhul raamatupidamisarvestuses kajastamise lõpetamise kriteeriumid ei ole täidetud). Selle asemel kajastavad krediidiasutused ja investeerimisühingud seda andmeväljal {090 020}.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{080;040}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Tasaarvestuse raamlepinguga katmata SFT-d – SFT-de lisand</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artikkel 206</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Kapitalinõuete määruse artikli 206 kohaselt aktsepteeritava tasaarvestuse raamlepinguga </w:t>
            </w:r>
            <w:r>
              <w:rPr>
                <w:rFonts w:ascii="Times New Roman" w:hAnsi="Times New Roman"/>
                <w:b/>
                <w:u w:val="single"/>
              </w:rPr>
              <w:t>katmata</w:t>
            </w:r>
            <w:r>
              <w:rPr>
                <w:rFonts w:ascii="Times New Roman" w:hAnsi="Times New Roman"/>
              </w:rPr>
              <w:t xml:space="preserve"> (sealhulgas bilansiväliste) väärtpaberite kaudu finantseerimise tehingute jaoks moodustavad krediidiasutused ja investeerimisühingud kogumid, mis koosnevad kõigist tehinguga hõlmatud varadest (st iga väärtpaberite kaudu finantseerimise tehingut käsitatakse eraldi kogumina), ning määravad iga kogumi puhul praeguse vastaspoole riskipositsiooni jaoks lisandi kindlaks järgmise valemi kohaselt: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CCE = max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kus:</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 = kapitalinõuete määruse artikli 220 lõikes 3 määratletud väärtus E</w:t>
            </w:r>
            <w:r>
              <w:rPr>
                <w:rFonts w:ascii="Times New Roman" w:hAnsi="Times New Roman"/>
                <w:vertAlign w:val="subscript"/>
              </w:rPr>
              <w:t>i</w:t>
            </w:r>
            <w:r>
              <w:rPr>
                <w:rFonts w:ascii="Times New Roman" w:hAnsi="Times New Roman"/>
              </w:rPr>
              <w:t>;</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 = kapitalinõuete määruse artikli 220 lõikes 3 määratletud väärtus C</w:t>
            </w:r>
            <w:r>
              <w:rPr>
                <w:rFonts w:ascii="Times New Roman" w:hAnsi="Times New Roman"/>
                <w:vertAlign w:val="subscript"/>
              </w:rPr>
              <w:t>i</w:t>
            </w:r>
            <w:r>
              <w:rPr>
                <w:rFonts w:ascii="Times New Roman" w:hAnsi="Times New Roman"/>
              </w:rPr>
              <w:t>.</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Krediidiasutused ja investeerimisühingud agregeerivad summad, mis nad on selle valemiga kõigi eespool nimetatud kogumite puhul saanud, ja kajastavad saadud tulemust sellel andmeväljal.</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Muud varad – raamatupidamislik bilansiline väärtus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4 lõike 1 punkt 77</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Kõigi muude varade kui krediidituletisinstrumentide, väärtpaberite kaudu finantseerimise tehingute ja kapitalinõuete määruse II lisas loetletud lepingute kohaldatava raamatupidamistava kohane raamatupidamislik bilansiline väärtus.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Muud varad – bilansiline väärtus, eeldades tasaarvestuse või muu CRMi puudumist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4 lõike 1 punkt 77</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Kõigi muude varade kui krediidituletisinstrumentide, väärtpaberite kaudu finantseerimise tehingute ja kapitalinõuete määruse II lisas loetletud lepingute kohaldatava raamatupidamistava kohane raamatupidamislik bilansiline väärtus, eeldades raamatupidamisliku tasaarvestuse või muude krediidiriski maandamise mõjude puudumist (st raamatupidamisliku tasaarvestuse ja krediidiriski maandamise mis tahes mõjud bilansilisele väärtusele tühistatakse).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{100;070}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Krediidiriski standardmeetodi kohased madala riskiga bilansivälised kirjed, millest – nimiväärtus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artikkel 111</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Sellel andmeväljal kajastatakse selliste bilansiväliste kirjete nimiväärtust, millele krediidiriski standardmeetodi alusel määrataks krediidiriski ümberhindlustegur 0 %.</w:t>
            </w:r>
            <w:r>
              <w:t xml:space="preserve"> </w:t>
            </w:r>
            <w:r>
              <w:rPr>
                <w:rFonts w:ascii="Times New Roman" w:hAnsi="Times New Roman"/>
              </w:rPr>
              <w:t>Spetsiifilised krediidiriskiga korrigeerimised ei vähenda seda väärtust.</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Krediidiasutused ja investeerimisühingud ei võta sellel andmeväljal arvesse kapitalinõuete määruse II lisas loetletud lepinguid, krediidituletisinstrumente ja väärtpaberite kaudu finantseerimise tehinguid vastavalt kapitalinõuete määruse artikli 429 lõikele 10.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{110;070}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Uuenevad jaenõuded, millest – nimiväärtus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artikkel 111 ja artikli 154 lõige 4</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 xml:space="preserve">Sellel andmeväljal kajastatakse selliste bilansiväliste kvalifitseeruvate uuenevate jaenõuete nimiväärtust, mis vastavad kapitalinõuete määruse artikli 154 lõike 4 punktides a kuni c </w:t>
            </w:r>
            <w:r>
              <w:rPr>
                <w:rFonts w:ascii="Times New Roman" w:hAnsi="Times New Roman"/>
              </w:rPr>
              <w:lastRenderedPageBreak/>
              <w:t>sätestatud tingimustele. Spetsiifilised krediidiriskiga korrigeerimised ei vähenda seda väärtust.</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See hõlmab kõiki üksikisikute vastu olevaid nõudeid, mis on uuenevad ja tingimusteta tühistatavad, nagu on kirjeldatud kapitalinõuete määruse artikli 149 punktis b, ning mis on kokku piiratud 100 000 euroga võlgniku kohta.</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Krediidiasutused ja investeerimisühingud ei võta sellel andmeväljal arvesse kapitalinõuete määruse II lisas loetletud lepinguid, krediidituletisinstrumente ja väärtpaberite kaudu finantseerimise tehinguid vastavalt kapitalinõuete määruse artikli 429 lõikele 10.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{120;070}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Tingimusteta tühistatavad krediitkaartide krediidilimiidid – nimiväärtus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artikkel 111 ja artikli 154 lõige 4</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Sellel andmeväljal kajastatakse krediitkaartide selliste krediidilimiitide nimiväärtust, mille krediidiasutus või investeerimisühing võib igal ajal etteteatamiseta ja tingimusteta tühistada ning millele krediidiriski standardmeetodi alusel määrataks krediidiriski ümberhindlustegur 0 %.</w:t>
            </w:r>
            <w:r>
              <w:t xml:space="preserve"> </w:t>
            </w:r>
            <w:r>
              <w:rPr>
                <w:rFonts w:ascii="Times New Roman" w:hAnsi="Times New Roman"/>
              </w:rPr>
              <w:t>Spetsiifilised krediidiriskiga korrigeerimised ei vähenda seda väärtust.</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Krediidiasutused ja investeerimisühingud ei kajasta sellel andmeväljal krediidilimiite, mille puhul on ette nähtud automaatne tühistamine laenuvõtja krediidivõimelisuse halvenemise korral, ent mis ei ole krediidiasutuse või investeerimisühingu poolt igal ajal etteteatamiseta ja tingimusteta tühistavad.</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Krediidiasutused ja investeerimisühingud ei võta sellel andmeväljal arvesse kapitalinõuete määruse II lisas loetletud lepinguid, krediidituletisinstrumente ja väärtpaberite kaudu finantseerimise tehinguid vastavalt kapitalinõuete määruse artikli 429 lõikele 10.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Mitteuuenevad tingimusteta tühistatavad limiidid – nimiväärtus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artikkel 111 ja artikli 154 lõige 4</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Siin kajastatakse selliste muude limiitide nimiväärtust, mille krediidiasutus või investeerimisühing võib igal ajal etteteatamiseta ja tingimusteta tühistada ning millele krediidiriski standardmeetodi alusel määrataks krediidiriski ümberhindlustegur 0 %. Spetsiifilised krediidiriskiga korrigeerimised ei vähenda seda väärtust.</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Krediidiasutused ja investeerimisühingud ei kajasta sellel andmeväljal krediidilimiite, mille puhul on ette nähtud automaatne tühistamine laenuvõtja krediidivõimelisuse halvenemise korral, ent mis ei ole krediidiasutuse või investeerimisühingu poolt igal ajal etteteatamiseta ja tingimusteta tühistavad.</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Krediidiasutused ja investeerimisühingud ei võta sellel andmeväljal arvesse kapitalinõuete määruse II lisas loetletud lepinguid, krediidituletisinstrumente ja väärtpaberite kaudu finantseerimise tehinguid vastavalt kapitalinõuete määruse artikli 429 lõikele 10.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Krediidiriski standardmeetodi kohased mõõduka riskiga bilansivälised kirjed – nimiväärtus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artikkel 111</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Sellel andmeväljal kajastatakse selliste bilansiväliste kirjete nimiväärtust, millele krediidiriski standardmeetodi alusel määrataks krediidiriski ümberhindlustegur 20 %.</w:t>
            </w:r>
            <w:r>
              <w:t xml:space="preserve"> </w:t>
            </w:r>
            <w:r>
              <w:rPr>
                <w:rFonts w:ascii="Times New Roman" w:hAnsi="Times New Roman"/>
              </w:rPr>
              <w:t>Spetsiifilised krediidiriskiga korrigeerimised ei vähenda seda väärtust.</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Krediidiasutused ja investeerimisühingud ei võta sellel andmeväljal arvesse kapitalinõuete määruse II lisas loetletud lepinguid, krediidituletisinstrumente ja väärtpaberite kaudu finantseerimise tehinguid vastavalt kapitalinõuete määruse artikli 429 lõikele 10.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{150;070}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Krediidiriski standardmeetodi kohased keskmise riskiga bilansivälised kirjed – nimiväärtus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artikkel 111</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Sellel andmeväljal kajastatakse selliste bilansiväliste kirjete nimiväärtust, millele krediidiriski standardmeetodi alusel määrataks krediidiriski ümberhindlustegur 50 %.</w:t>
            </w:r>
            <w:r>
              <w:t xml:space="preserve"> </w:t>
            </w:r>
            <w:r>
              <w:rPr>
                <w:rFonts w:ascii="Times New Roman" w:hAnsi="Times New Roman"/>
              </w:rPr>
              <w:t>Spetsiifilised krediidiriskiga korrigeerimised ei vähenda seda väärtust.</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Krediidiasutused ja investeerimisühingud ei võta sellel andmeväljal arvesse kapitalinõuete määruse II lisas loetletud lepinguid, krediidituletisinstrumente ja väärtpaberite kaudu finantseerimise tehinguid vastavalt kapitalinõuete määruse artikli 429 lõikele 10.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Krediidiriski standardmeetodi kohased täisriskiga bilansivälised kirjed – nimiväärtus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artikkel 111</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Sellel andmeväljal kajastatakse selliste bilansiväliste kirjete nimiväärtust, millele krediidiriski standardmeetodi alusel määrataks krediidiriski ümberhindlustegur 100 %. Spetsiifilised krediidiriskiga korrigeerimised ei vähenda seda väärtust.</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Krediidiasutused ja investeerimisühingud ei võta sellel andmeväljal arvesse kapitalinõuete määruse II lisas loetletud lepinguid, krediidituletisinstrumente ja väärtpaberite kaudu finantseerimise tehinguid vastavalt kapitalinõuete määruse artikli 429 lõikele 10.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{170;070}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(Memokirje) Uuenevate jaenõuete kasutatud limiidid – nimiväärtus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artikli 154 lõige 4</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Sellel andmeväljal kajastatakse bilansiväliste uuenevate jaenõuete kasutatud limiitide nimiväärtust.</w:t>
            </w:r>
            <w:r>
              <w:t xml:space="preserve"> </w:t>
            </w:r>
            <w:r>
              <w:rPr>
                <w:rFonts w:ascii="Times New Roman" w:hAnsi="Times New Roman"/>
              </w:rPr>
              <w:t>Spetsiifilised krediidiriskiga korrigeerimised ei vähenda seda väärtust.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{180;070}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(Memokirje) Tingimusteta tühistatavad krediitkaartide kasutatud krediidilimiidid – nimiväärtus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artikkel 111 ja artikli 154 lõige 4</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Sellel andmeväljal kajastatakse tingimusteta tühistatavate krediitkaartide krediidilimiitide kasutatud osa nimiväärtust. Spetsiifilised krediidiriskiga korrigeerimised ei vähenda seda väärtust.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{190;070}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(Memokirje) Mitteuuenevate tingimusteta tühistatavate limiitide kasutatud limiidid – nimiväärtus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Kapitalinõuete määruse artikkel 111 ja artikli 154 lõige 4</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Sellel andmeväljal kajastatakse mitteuuenevate tingimusteta tühistatavate limiitide kasutatud osa nimiväärtust.</w:t>
            </w:r>
            <w:r>
              <w:t xml:space="preserve"> </w:t>
            </w:r>
            <w:r>
              <w:rPr>
                <w:rFonts w:ascii="Times New Roman" w:hAnsi="Times New Roman"/>
              </w:rPr>
              <w:t>Spetsiifilised krediidiriskiga korrigeerimised ei vähenda seda väärtust.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{210;020}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Tuletisinstrumentidega tehtud tehingute raames saadud rahaline tagatis – bilansiline väärtus, eeldades tasaarvestuse või muu CRMi puudumist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Tuletisinstrumentidega tehtud tehingute raames saadud rahalise tagatise kohaldatava raamatupidamistava kohane raamatupidamislik bilansiline väärtus, eeldades raamatupidamisliku tasaarvestuse või muude krediidiriski maandamise mõjude puudumist (st raamatupidamisliku tasaarvestuse ja krediidiriski maandamise mis tahes mõjud bilansilisele väärtusele tühistatakse).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Sellel andmeväljal tähendab rahaline tagatis raha (sealhulgas müntide ja pangatähtede/valuuta) kogusummat. Keskpankades hoitavate hoiuste kogusumma hõlmatakse selles ulatuses, milles neid hoiuseid saab stressiolukorras välja võtta. Krediidiasutused ja investeerimisühingud ei kajasta sellel andmeväljal raha, mis on hoiustatud teistes krediidiasutustes ja investeerimisühingutes.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{220;020}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Tuletisinstrumentidega tehtud tehingute raames antud rahalise tagatisega seotud nõuded – bilansiline väärtus, eeldades tasaarvestuse või muu CRMi puudumist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Tuletisinstrumentidega tehtud tehingute raames tagatiseks antud rahalise tagatisega seotud nõuete kohaldatava raamatupidamistava kohane raamatupidamislik bilansiline väärtus, eeldades raamatupidamisliku tasaarvestuse või krediidiriski maandamise mõju puudumist (st raamatupidamisliku tasaarvestuse ja krediidiriski maandamise mis tahes mõjud bilansilisele väärtusele tühistatakse). Krediidiasutused ja investeerimisühingud, kellel on kohaldatava raamatupidamistava kohaselt lubatud antud rahalise tagatisega seotud nõuded tasaarvestada seonduvate tuletisinstrumentidest tulenevate kohustustega (negatiivne õiglane väärtus) ning kes otsustavad seda võimalust kasutada, peavad tasaarvestamise tühistama ning kajastama rahalise nõude netosummas.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{230;020}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SFT raames saadud väärtpaberid, mida kajastatakse varana – bilansiline väärtus, eeldades tasaarvestuse või muu CRMi puudumist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Väärtpaberite kaudu finantseerimise tehingute raames saadud väärtpaberite kohaldatava raamatupidamistava kohane raamatupidamislik bilansiline väärtus, kui väärtpabereid kajastatakse kohaldatava raamatupidamistava kohaselt varana, eeldades raamatupidamisliku tasaarvestuse või muude krediidiriski maandamise mõjude puudumist (st raamatupidamisliku tasaarvestuse ja krediidiriski maandamise mis tahes mõjud bilansilisele väärtusele tühistatakse).</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{240;020}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SFT-d, kus toimub rahalise tagatise edasilaenamisega väärtpaberite edasilaenamine (rahalised nõuded) – bilansiline väärtus, eeldades tasaarvestuse või muu CRMi puudumist</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Kvalifitseeruvate rahalise tagatise edasilaenamisega väärtpaberite edasilaenamise tehingute raames väärtpaberite omanikule edasilaenatud rahast tulenevate rahaliste nõuete kohaldatava raamatupidamistava kohane raamatupidamislik bilansiline väärtus, eeldades raamatupidamisliku tasaarvestuse või muude krediidiriski maandamise mõjude puudumist (st raamatupidamisliku tasaarvestuse ja krediidiriski maandamise mis tahes mõjud bilansilisele väärtusele tühistatakse).</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Sellel andmeväljal tähendab rahaline tagatis raha (sealhulgas müntide ja pangatähtede/valuuta) kogusummat. Keskpankades hoitavate hoiuste kogusumma hõlmatakse selles ulatuses, milles neid hoiuseid saab stressiolukorras välja võtta. Krediidiasutused ja investeerimisühingud ei kajasta sellel andmeväljal raha, mis on hoiustatud teistes krediidiasutustes ja investeerimisühingutes.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Rahalise tagatise edasilaenamisega väärtpaberite edasilaenamise tehing tähendab kombinatsiooni kahest tehingust, kus krediidiasutus või investeerimisühing ühelt poolt laenab väärtpaberite omanikult väärtpaberid ja laenab need edasi väärtpaberite laenuksvõtjale. Teiselt poolt saab ta väärtpaberite laenuksvõtjalt rahalise tagatise ja laenab saadud raha edasi väärtpaberite omanikule. Kvalifitseeruv rahalise tagatise edasilaenamisega väärtpaberite edasilaenamise tehing peab vastama kõikidele järgmistele tingimustele:</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mõlemad kvalifitseeruvasse rahalise tagatise edasilaenamisega väärtpaberite edasilaenamise tehingusse kuuluvad üksiktehingud toimuvad kas samal tehingupäeval või rahvusvaheliste tehingute puhul kahel järjestikusel tööpäeval;</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lastRenderedPageBreak/>
              <w:t>b)</w:t>
            </w:r>
            <w:r>
              <w:tab/>
            </w:r>
            <w:r>
              <w:rPr>
                <w:rFonts w:ascii="Times New Roman" w:hAnsi="Times New Roman"/>
                <w:color w:val="000000"/>
              </w:rPr>
              <w:t>kui rahalise tagatise edasilaenamisega väärtpaberite edasilaenamise tehingusse kuuluvates üksiktehingutes ei ole lõpptähtaega täpsustatud, on krediidiasutusel või investeerimisühingul juriidiline õigus sulgeda igal ajal etteteatamiseta ükskõik kumb rahalise tagatise edasilaenamisega väärtpaberite edasilaenamise tehingu pool (st mõlemad selle raamesse kuuluvad üksiktehingud);</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c)</w:t>
            </w:r>
            <w:r>
              <w:tab/>
            </w:r>
            <w:r>
              <w:rPr>
                <w:rFonts w:ascii="Times New Roman" w:hAnsi="Times New Roman"/>
                <w:color w:val="000000"/>
              </w:rPr>
              <w:t>kui rahalise tagatise edasilaenamisega väärtpaberite edasilaenamise tehingusse kuuluvates üksiktehingutes on lõpptähtaeg täpsustatud, ei tulene rahalise tagatise edasilaenamisega väärtpaberite edasilaenamise tehingust krediidiasutuse või investeerimisühingu jaoks lõpptähtaegade mittevastavusi; samuti on krediidiasutusel või investeerimisühingul juriidiline õigus sulgeda igal ajal etteteatamiseta ükskõik kumb rahalise tagatise edasilaenamisega väärtpaberite edasilaenamise tehingu pool (st mõlemad selle raamesse kuuluvad üksiktehingud);</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d)</w:t>
            </w:r>
            <w:r>
              <w:tab/>
            </w:r>
            <w:r>
              <w:rPr>
                <w:rFonts w:ascii="Times New Roman" w:hAnsi="Times New Roman"/>
                <w:color w:val="000000"/>
              </w:rPr>
              <w:t>see ei too kaasa ühtki muud täiendavat riskipositsiooni.</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74" w:name="_Toc322687882"/>
            <w:bookmarkEnd w:id="64"/>
            <w:r>
              <w:rPr>
                <w:rFonts w:ascii="Times New Roman" w:hAnsi="Times New Roman"/>
              </w:rPr>
              <w:lastRenderedPageBreak/>
              <w:t>{250;120}</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Riskipositsioonid, mille suhtes võib kohaldada CRR artikli 113 lõike 6 kohast käsitlust – hüpoteetiliselt välja jäetud finantsvõimenduse määra riskipositsiooni summa</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Finantsvõimenduse määra riskipositsiooni kogusumma, mis jäetaks välja, kui pädevad asutused annaksid täieliku loa jätta välja riskipositsioonid, mille puhul on täidetud kõik kapitalinõuete määruse artikli 113 lõike 6 punktides a kuni e sätestatud tingimused ja mis on heaks kiidetud kapitalinõuete määruse artikli 113 lõike 6 kohaselt. Kui pädev asutus on juba andnud täieliku loa, võrdub selle andmevälja väärtus andmevälja {LRCalc;250;010} väärtusega.</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t>{260;120}</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Riskipositsioonid, mis vastavad kapitalinõuete määrus artikli 429 lõike 14 punktides a–c sätestatud tingimustele – hüpoteetiliselt välja jäetud finantsvõimenduse määra riskipositsiooni summa</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Finantsvõimenduse määra riskipositsiooni kogusumma, mis jäetaks välja, kui pädevad asutused annaksid täieliku loa jätta välja riskipositsioonid, mis vastavad kapitalinõuete määruse artikli 429 lõike 14 punktides a–c sätestatud tingimustele. Kui pädev asutus on juba andnud täieliku loa, võrdub selle andmevälja väärtus andmevälja {LRCalc;260;010} väärtusega.</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75" w:name="_Toc338669914"/>
      <w:bookmarkStart w:id="76" w:name="_Toc338669915"/>
      <w:bookmarkStart w:id="77" w:name="_Toc338669918"/>
      <w:bookmarkStart w:id="78" w:name="_Toc351048508"/>
      <w:bookmarkStart w:id="79" w:name="_Toc359414287"/>
      <w:bookmarkStart w:id="80" w:name="_Toc423089072"/>
      <w:bookmarkStart w:id="81" w:name="_Toc524000020"/>
      <w:bookmarkStart w:id="82" w:name="_Toc524079952"/>
      <w:bookmarkEnd w:id="75"/>
      <w:bookmarkEnd w:id="76"/>
      <w:bookmarkEnd w:id="77"/>
      <w:r>
        <w:rPr>
          <w:rFonts w:ascii="Times New Roman" w:hAnsi="Times New Roman"/>
          <w:b/>
        </w:rPr>
        <w:t>6.</w:t>
      </w:r>
      <w:r>
        <w:tab/>
      </w:r>
      <w:r>
        <w:rPr>
          <w:rFonts w:ascii="Times New Roman" w:hAnsi="Times New Roman"/>
          <w:b/>
        </w:rPr>
        <w:t>C 41.00 – Bilansilised ja bilansivälised kirjed – riskipositsioonide täiendav jaotus</w:t>
      </w:r>
      <w:bookmarkEnd w:id="78"/>
      <w:bookmarkEnd w:id="79"/>
      <w:r>
        <w:rPr>
          <w:rFonts w:ascii="Times New Roman" w:hAnsi="Times New Roman"/>
          <w:b/>
        </w:rPr>
        <w:t xml:space="preserve"> (LR2)</w:t>
      </w:r>
      <w:bookmarkEnd w:id="80"/>
      <w:bookmarkEnd w:id="81"/>
      <w:bookmarkEnd w:id="82"/>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Pr>
          <w:rFonts w:ascii="Times New Roman" w:hAnsi="Times New Roman"/>
        </w:rPr>
        <w:t>24.</w:t>
      </w:r>
      <w:r>
        <w:tab/>
      </w:r>
      <w:r>
        <w:rPr>
          <w:rFonts w:ascii="Times New Roman" w:hAnsi="Times New Roman"/>
        </w:rPr>
        <w:t>Vormis LR2 esitatakse teave täiendava jaotuse kohta, mida rakendatakse kõigi selliste kauplemisportfelliväliste bilansiliste ja bilansiväliste riskipositsioonide</w:t>
      </w:r>
      <w:r>
        <w:rPr>
          <w:rFonts w:ascii="Times New Roman" w:hAnsi="Times New Roman"/>
          <w:vertAlign w:val="superscript"/>
        </w:rPr>
        <w:footnoteReference w:id="2"/>
      </w:r>
      <w:r>
        <w:rPr>
          <w:rFonts w:ascii="Times New Roman" w:hAnsi="Times New Roman"/>
        </w:rPr>
        <w:t xml:space="preserve"> ja kõigi selliste kauplemisportfelli kuuluvate riskipositsioonide korral, mille puhul esineb vastaspoole krediidirisk. Jaotuse aluseks on kapitalinõuete määruse krediidiriski käsitleva jao kohaselt rakendatavad riskikaalud. Sisereitingute meetodi kohaste riskipositsioonide puhul tuletatakse teave teisiti kui standardmeetodiko</w:t>
      </w:r>
      <w:r w:rsidR="00BF2542">
        <w:rPr>
          <w:rFonts w:ascii="Times New Roman" w:hAnsi="Times New Roman"/>
        </w:rPr>
        <w:t>haste riskipositsioonide puhul.</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25.</w:t>
      </w:r>
      <w:r>
        <w:tab/>
      </w:r>
      <w:r>
        <w:rPr>
          <w:rFonts w:ascii="Times New Roman" w:hAnsi="Times New Roman"/>
        </w:rPr>
        <w:t xml:space="preserve">Riskipositsioonide puhul, mida toetavad krediidiriski maandamise tehnikad, mille raames vastaspoole riskikaal asendatakse garantii riskikaaluga, võtavad krediidiasutused ja investeerimisühingud aluseks riskikaalu pärast asendusmõju arvessevõtmist. Sisereitingute meetodi rakendamisel teevad krediidiasutused ja investeerimisühingud järgnevalt järgmise arvutuse: igasse võlgniku reitinguklassi kuuluvate riskipositsioonide puhul (v.a nende puhul, mille jaoks on ette nähtud konkreetsed regulatiivsed riskikaalud) tuletatakse riskikaal selliselt, et jagatakse riskikaalu valemist (krediidiriski positsioonide puhul) või regulatiivsest valemist (väärtpaberistamise positsioonide puhul) saadud riskiga kaalutud varad riskipositsiooni väärtusega pärast selliste krediidiriski maandamise tehnikatest tulenevate likviidsete vahendite sisse- ja väljavoolude arvessevõtmist, millel on riskipositsioonile </w:t>
      </w:r>
      <w:r>
        <w:rPr>
          <w:rFonts w:ascii="Times New Roman" w:hAnsi="Times New Roman"/>
        </w:rPr>
        <w:lastRenderedPageBreak/>
        <w:t>asendusmõju. Sisereitingute meetodi korral jäetakse riskipositsioonid, mis on klassifitseeritud makseviivituses olevaks, andmeväljadelt {020;010} kuni {090;010} välja ja kajastatakse neid andmeväljal {100;010}. Standardmeetodi korral jäetakse riskipositsioonid, mis kuuluvad kapitalinõuete määruse artikli 112 punkti j kohaldamisalasse, andmeväljadelt {020;020} kuni {090;020} välja ja kajastatakse neid andmeväljal {100;020}.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26.</w:t>
      </w:r>
      <w:r>
        <w:tab/>
      </w:r>
      <w:r>
        <w:rPr>
          <w:rFonts w:ascii="Times New Roman" w:hAnsi="Times New Roman"/>
        </w:rPr>
        <w:t>Mõlema meetodi korral käsitlevad krediidiasutused ja investeerimisühingud regulatiivsest kapitalist mahaarvatud riskipositsioone riskipositsioonidena, mille suhtes kohaldatakse riskikaalu 1250 %.</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Rida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Viited õigussätetele ja juhised</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Kõik bilansilised ja bilansivälised kauplemisportfellivälised riskipositsioonid ning kauplemisportfellist tulenevad riskipositsioonid, mille suhtes kohaldatakse vastaspoole krediidiriski (jaotumine riski kaalu kohaselt):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Siin esitatakse andmeväljade {020:*} kuni {100;*} summa.</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0</w:t>
            </w:r>
            <w:r w:rsidR="00A464C0">
              <w:rPr>
                <w:rFonts w:ascii="Times New Roman" w:hAnsi="Times New Roman"/>
                <w:b/>
              </w:rPr>
              <w:t> </w:t>
            </w:r>
            <w:r>
              <w:rPr>
                <w:rFonts w:ascii="Times New Roman" w:hAnsi="Times New Roman"/>
                <w:b/>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Riskipositsioonid, mille riskikaal on 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0 % ja ≤ 12 %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Riskipositsioonid, mille riskikaal on üle 0 %, kuid mitte üle 12 %.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12 % ja ≤ 20 %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Riskipositsioonid, mille riskikaal on üle 12 %, kuid mitte üle 20 %.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20 % ja ≤ 50 %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Riskipositsioonid, mille riskikaal on üle 20 %, kuid mitte üle 50 %.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50 % ja ≤ 75 %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Riskipositsioonid, mille riskikaal on üle 50 %, kuid mitte üle 75 %.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75 % ja ≤ 100 %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Riskipositsioonid, mille riskikaal on üle 75 %, kuid mitte üle 100 %.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100 % ja ≤ 425 %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Riskipositsioonid, mille riskikaal on üle 100 %, kuid mitte üle 425 %.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425 % ja ≤ 1250 %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Riskipositsioonid, mille riskikaal on üle 425 %, kuid mitte üle 1250 %.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Makseviivituses olevad riskipositsioonid</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Standardmeetodi korral riskipositsioonid, mis kuuluvad kapitalinõuete määruse artikli 112 punkti j reguleerimisalasse.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Sisereitingute meetodi korral on makseviivituses olevad riskipositsioonid kõik riskipositsioonid, mille makseviivituse tõenäosus on 100 %.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 xml:space="preserve">(Memokirje) Madala riskiga bilansivälised kirjed või bilansivälised kirjed, mille suhtes </w:t>
            </w:r>
            <w:r>
              <w:rPr>
                <w:rFonts w:ascii="Times New Roman" w:hAnsi="Times New Roman"/>
                <w:b/>
              </w:rPr>
              <w:lastRenderedPageBreak/>
              <w:t>kohaldatakse maksevõime suhtarvu arvutamisel ümberhindlustegurit 0 %</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Kapitalinõuete määruse artikli 111 kohased madala riskiga bilansivälised kirjed ja kapitalinõuete määruse artikli 166 kohased bilansivälised kirjed ümberhindlusteguriga 0 %.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lastRenderedPageBreak/>
              <w:t>Veerg</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Viited õigussätetele ja juhised</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Bilansilised ja bilansivälised riskipositsioonid (standardmeetodi kohased riskipositsioonid)</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Bilansiliste ja bilansiväliste riskipositsioonide väärtused pärast väärtuse korrigeerimiste, kõigi krediidiriski maandavate tegurite ja ümberhindlustegurite arvessevõtmist, mis on arvutatud kapitalinõuete määruse III osa II jaotise 2. peatüki kohaselt.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Bilansilised ja bilansivälised riskipositsioonid (sisereitingute meetodi kohased riskipositsioonid)</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Bilansiliste ja bilansiväliste riskipositsioonide väärtused kapitalinõuete määruse artikli 166 ja artikli 230 lõike 1 teise lõigu esimese lause kohaselt pärast selliste krediidiriski maandamise tehnikatest tulenevate likviidsete vahendite sisse- ja väljavoolude arvessevõtmist, millel on riskipositsioonile asendusmõjud.</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Bilansiväliste kirjete puhul kohaldavad krediidiasutused ja investeerimisühingud kapitalinõuete määruse artikli 166 lõigetes 8 kuni 10 kindlaks määratud ümberhindlustegureid.</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Nimiväärtus</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Bilansiväliste kirjete riskipositsiooni väärtused vastavalt kapitalinõuete määruse artiklitele 111 ja 166, ilma ümberhindlustegureid kohaldamata.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83" w:name="_Toc338669922"/>
      <w:bookmarkStart w:id="84" w:name="_Toc338669923"/>
      <w:bookmarkStart w:id="85" w:name="_Toc338669924"/>
      <w:bookmarkStart w:id="86" w:name="_Toc338669925"/>
      <w:bookmarkStart w:id="87" w:name="_Toc338669926"/>
      <w:bookmarkStart w:id="88" w:name="_Toc338669927"/>
      <w:bookmarkStart w:id="89" w:name="_Toc338669928"/>
      <w:bookmarkStart w:id="90" w:name="_Toc351048509"/>
      <w:bookmarkStart w:id="91" w:name="_Toc359414288"/>
      <w:bookmarkStart w:id="92" w:name="_Toc423089073"/>
      <w:bookmarkStart w:id="93" w:name="_Toc524000021"/>
      <w:bookmarkStart w:id="94" w:name="_Toc322687894"/>
      <w:bookmarkStart w:id="95" w:name="_Toc524079953"/>
      <w:bookmarkEnd w:id="74"/>
      <w:bookmarkEnd w:id="83"/>
      <w:bookmarkEnd w:id="84"/>
      <w:bookmarkEnd w:id="85"/>
      <w:bookmarkEnd w:id="86"/>
      <w:bookmarkEnd w:id="87"/>
      <w:bookmarkEnd w:id="88"/>
      <w:bookmarkEnd w:id="89"/>
      <w:r>
        <w:rPr>
          <w:rFonts w:ascii="Times New Roman" w:hAnsi="Times New Roman"/>
          <w:b/>
        </w:rPr>
        <w:t>7.</w:t>
      </w:r>
      <w:r>
        <w:tab/>
      </w:r>
      <w:r>
        <w:rPr>
          <w:rFonts w:ascii="Times New Roman" w:hAnsi="Times New Roman"/>
          <w:b/>
        </w:rPr>
        <w:t>C 42.00 – Kapitali alternatiivne määratlus</w:t>
      </w:r>
      <w:bookmarkEnd w:id="90"/>
      <w:bookmarkEnd w:id="91"/>
      <w:r>
        <w:rPr>
          <w:rFonts w:ascii="Times New Roman" w:hAnsi="Times New Roman"/>
          <w:b/>
        </w:rPr>
        <w:t xml:space="preserve"> (LR3)</w:t>
      </w:r>
      <w:bookmarkEnd w:id="92"/>
      <w:bookmarkEnd w:id="93"/>
      <w:bookmarkEnd w:id="95"/>
      <w:r>
        <w:rPr>
          <w:rFonts w:ascii="Times New Roman" w:hAnsi="Times New Roman"/>
          <w:b/>
        </w:rPr>
        <w:t xml:space="preserve"> </w:t>
      </w:r>
      <w:bookmarkEnd w:id="94"/>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Pr>
          <w:rFonts w:ascii="Times New Roman" w:hAnsi="Times New Roman"/>
        </w:rPr>
        <w:t>27.</w:t>
      </w:r>
      <w:r>
        <w:tab/>
      </w:r>
      <w:r>
        <w:rPr>
          <w:rFonts w:ascii="Times New Roman" w:hAnsi="Times New Roman"/>
        </w:rPr>
        <w:t>Vormis LR3 esitatakse teave kapitalinäitajate kohta, mis on vajalikud kapitalinõuete määruse artiklis 511 ettenähtud läbivaatamiseks.</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Rida </w:t>
            </w:r>
          </w:p>
          <w:p w:rsidR="00F4754B" w:rsidRPr="00FE002E" w:rsidRDefault="00F4754B" w:rsidP="00F4754B">
            <w:pPr>
              <w:pStyle w:val="BodyText1"/>
              <w:rPr>
                <w:rFonts w:ascii="Times New Roman" w:hAnsi="Times New Roman"/>
                <w:b/>
                <w:bCs/>
                <w:u w:val="single"/>
              </w:rPr>
            </w:pPr>
            <w:r>
              <w:rPr>
                <w:rFonts w:ascii="Times New Roman" w:hAnsi="Times New Roman"/>
                <w:b/>
              </w:rPr>
              <w:t>ja veerg</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Viited õigussätetele ja juhised</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Esimese taseme põhiomavahendid – täielikult rakendatud määratlus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Kapitalinõuete määruse artikkel 50</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Siin kajastatakse esimese taseme põhiomavahendid, millele on osutatud kapitalinõuete määruse artiklis 50, võtmata arvesse kapitalinõuete määruse X osa 1. ja 2. peatükis sätestatud erandeid.</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Esimese taseme põhiomavahendid – üleminekuperioodil rakendatav määratlus</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Kapitalinõuete määruse artikkel 50</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Siin kajastatakse esimese taseme põhiomavahendid, mis on arvutatud kapitalinõuete määruse artikli 50 kohaselt, pärast kapitalinõuete määruse X osa 1. ja 2. peatükis sätestatud erandite arvessevõtmist.</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{030;010}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Omavahendite kogusumma – täielikult rakendatud määratlus</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Kapitalinõuete määruse artikkel 72</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lastRenderedPageBreak/>
              <w:t>Siin kajastatakse omavahendid, millele on osutatud kapitalinõuete määruse artiklis 72, võtmata arvesse kapitalinõuete määruse X osa 1. ja 2. peatükis sätestatud erandeid.</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lastRenderedPageBreak/>
              <w:t>{040;010}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Omavahendite kogusumma — üleminekuperioodil rakendatav määratlus</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Kapitalinõuete määruse artikkel 72</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Siin kajastatakse omavahendid, millele on osutatud kapitalinõuete määruse artiklis 72, pärast kapitalinõuete määruse X osa 1. ja 2. peatükis sätestatud erandite arvessevõtmist.</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{055;010}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Maha arvatud varasumma – esimese taseme põhiomavahendite kirjetest – täielikult rakendatud määratlus</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See hõlmab esimese taseme põhiomavahendite kirjete regulatiivsete korrigeerimiste summat, mis korrigeerib varade väärtust ja on ette nähtud järgmisega:</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kapitalinõuete määruse artiklid 32 kuni 35 või</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kapitalinõuete määruse artiklid 36 kuni 47,</w:t>
            </w:r>
          </w:p>
          <w:p w:rsidR="007A0E3A" w:rsidRPr="00FD2C06" w:rsidRDefault="007A0E3A" w:rsidP="006914A2">
            <w:pPr>
              <w:pStyle w:val="BodyText1"/>
              <w:spacing w:line="240" w:lineRule="auto"/>
              <w:rPr>
                <w:rFonts w:ascii="Times New Roman" w:hAnsi="Times New Roman"/>
                <w:b/>
                <w:bCs/>
              </w:rPr>
            </w:pPr>
            <w:r>
              <w:rPr>
                <w:rFonts w:ascii="Times New Roman" w:hAnsi="Times New Roman"/>
              </w:rPr>
              <w:t>nagu on asjakohane.</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Krediidiasutused ja investeerimisühingud võtavad arvesse mahaarvamiste suhtes tehtud erandeid, selliste mahaarvamiste alternatiive ja selliste mahaarvamiste tegemisest loobumist, mis on sätestatud kapitalinõuete määruse artiklites 48, 49 ja 79, võtmata arvesse kapitalinõuete määruse X osa 1. ja 2. peatükis sätestatud erandeid. Topeltarvestuse vältimiseks ei esita krediidiasutused ja investeerimisühingud korrigeerimisi, mida on kapitalinõuete määruse artikli 111 kohaselt juba kohaldatud riskipositsiooni väärtuse arvutamisel andmeväljadel {LRCalc;10;10} kuni {LRCalc;260;10}, ega korrigeerimisi, mille puhul ei arvata maha konkreetse vara väärtust.</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Kuna need korrigeerimised vähendavad omavahendite kogusummat, kajastatakse need aruandes negatiivse arvuna.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{065;010}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Maha arvatud varasumma – esimese taseme põhiomavahendite kirjetest – üleminekuperioodil rakendatav määratlus</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See hõlmab esimese taseme põhiomavahendites tehtavate regulatiivsete korrigeerimiste summat, mis korrigeerib varade väärtust ja on ette nähtud järgmisega:</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kapitalinõuete määruse artiklid 32 kuni 35 või</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kapitalinõuete määruse artiklid 36 kuni 47,</w:t>
            </w:r>
          </w:p>
          <w:p w:rsidR="007A0E3A" w:rsidRPr="00D74CC1" w:rsidRDefault="007A0E3A" w:rsidP="006914A2">
            <w:pPr>
              <w:pStyle w:val="BodyText1"/>
              <w:spacing w:line="240" w:lineRule="auto"/>
              <w:rPr>
                <w:rFonts w:ascii="Times New Roman" w:hAnsi="Times New Roman"/>
                <w:b/>
                <w:bCs/>
              </w:rPr>
            </w:pPr>
            <w:r>
              <w:rPr>
                <w:rFonts w:ascii="Times New Roman" w:hAnsi="Times New Roman"/>
              </w:rPr>
              <w:t>nagu on asjakohane.</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Krediidiasutused ja investeerimisühingud võtavad arvesse mahaarvamiste suhtes tehtud erandeid, selliste mahaarvamiste alternatiive ja selliste mahaarvamiste tegemisest loobumist, mis on sätestatud kapitalinõuete määruse artiklites 48, 49 ja 79, võttes lisaks arvesse kapitalinõuete määruse X osa 1. ja 2. peatükis sätestatud erandeid. Topeltarvestuse vältimiseks ei esita krediidiasutused ja investeerimisühingud korrigeerimisi, mida on kapitalinõuete määruse artikli 111 kohaselt juba kohaldatud riskipositsiooni väärtuse arvutamisel andmeväljadel {LRCalc;10;10} kuni {LRCalc;260;10}, ega korrigeerimisi, mille puhul ei arvata maha konkreetse vara väärtust.</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Kuna need korrigeerimised vähendavad omavahendite kogusummat, kajastatakse need aruandes negatiivse arvuna.</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{075;010}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Maha arvatud varasumma – omavahendite kirjetest – täielikult rakendatud määratlus</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See hõlmab omavahendite kirjetes tehtavate regulatiivsete korrigeerimiste summat, mis korrigeerib varade väärtust ja on ette nähtud järgmisega:</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kapitalinõuete määruse artiklid 32 kuni 35 või</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kapitalinõuete määruse artiklid 36 kuni 47 või</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kapitalinõuete määruse artiklid 56 kuni 60 või</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kapitalinõuete määruse artiklid 66 kuni 70,</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lastRenderedPageBreak/>
              <w:t>nagu on asjakohane.</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Krediidiasutused ja investeerimisühingud võtavad arvesse mahaarvamiste suhtes tehtud erandeid, selliste mahaarvamiste alternatiive ja selliste mahaarvamiste tegemisest loobumist, mis on sätestatud kapitalinõuete määruse artiklites 48, 49 ja 79, võtmata arvesse kapitalinõuete määruse X osa 1. ja 2. peatükis sätestatud erandeid. Topeltarvestuse vältimiseks ei esita krediidiasutused ja investeerimisühingud korrigeerimisi, mida on kapitalinõuete määruse artikli 111 kohaselt juba kohaldatud riskipositsiooni väärtuse arvutamisel ridades {LRCalc;10;10} kuni {LRCalc;260;10}, ega korrigeerimisi, mille puhul ei arvata maha konkreetse vara väärtust.</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Kuna need korrigeerimised vähendavad omavahendite kogusummat, kajastatakse need aruandes negati</w:t>
            </w:r>
            <w:r w:rsidR="00550470">
              <w:rPr>
                <w:rFonts w:ascii="Times New Roman" w:hAnsi="Times New Roman"/>
              </w:rPr>
              <w:t>ivse arvuna.</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{085,010}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Maha arvatud varasumma – omavahendite kirjetest – üleminekuperioodil rakendatav määratlus</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See hõlmab omavahendite kirjetes tehtavate regulatiivsete korrigeerimiste summat, mis korrigeerib varade väärtust ja on ette nähtud järgmisega:</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kapitalinõuete määruse artiklid 32 kuni 35 või</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kapitalinõuete määruse artiklid 36 kuni 47 või</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kapitalinõuete määruse artiklid 56 kuni 60 või</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kapitalinõuete määruse artiklid 66 kuni 70,</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nagu on asjakohane.</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Krediidiasutused ja investeerimisühingud võtavad arvesse mahaarvamiste suhtes tehtud erandeid, selliste mahaarvamiste alternatiive ja selliste mahaarvamiste tegemisest loobumist, mis on sätestatud kapitalinõuete määruse artiklites 48, 49 ja 79, võttes lisaks arvesse kapitalinõuete määruse X osa 1. ja 2. peatükis sätestatud erandeid. Topeltarvestuse vältimiseks ei esita krediidiasutused ja investeerimisühingud korrigeerimisi, mida on kapitalinõuete määruse artikli 111 kohaselt juba kohaldatud riskipositsiooni väärtuse arvutamisel andmeväljadel {LRCalc;10;10} kuni {LRCalc;260;10}, ega korrigeerimisi, mille puhul ei arvata maha konkreetse vara väärtust.</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Kuna need korrigeerimised vähendavad omavahendite kogusummat, kajastatakse n</w:t>
            </w:r>
            <w:r w:rsidR="00550470">
              <w:rPr>
                <w:rFonts w:ascii="Times New Roman" w:hAnsi="Times New Roman"/>
              </w:rPr>
              <w:t>eed aruandes negatiivse arvuna.</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96" w:name="_Toc322687900"/>
      <w:bookmarkStart w:id="97" w:name="_Toc322533879"/>
    </w:p>
    <w:p w:rsidR="00217D1F" w:rsidRPr="00FE002E" w:rsidRDefault="00500508" w:rsidP="00500508">
      <w:pPr>
        <w:pStyle w:val="BodyText1"/>
        <w:ind w:left="357" w:hanging="357"/>
        <w:outlineLvl w:val="1"/>
        <w:rPr>
          <w:rFonts w:ascii="Times New Roman" w:hAnsi="Times New Roman"/>
          <w:b/>
        </w:rPr>
      </w:pPr>
      <w:bookmarkStart w:id="98" w:name="_Toc351048510"/>
      <w:bookmarkStart w:id="99" w:name="_Toc359414289"/>
      <w:bookmarkStart w:id="100" w:name="_Toc423089074"/>
      <w:bookmarkStart w:id="101" w:name="_Toc524000022"/>
      <w:bookmarkStart w:id="102" w:name="_Toc524079954"/>
      <w:r>
        <w:rPr>
          <w:rFonts w:ascii="Times New Roman" w:hAnsi="Times New Roman"/>
          <w:b/>
        </w:rPr>
        <w:t>8.</w:t>
      </w:r>
      <w:r>
        <w:tab/>
      </w:r>
      <w:r>
        <w:rPr>
          <w:rFonts w:ascii="Times New Roman" w:hAnsi="Times New Roman"/>
          <w:b/>
        </w:rPr>
        <w:t>C 43.00 – Finantsvõimenduse määra riskipositsiooni näitaja komponentide alternatiivne jaotus</w:t>
      </w:r>
      <w:bookmarkEnd w:id="96"/>
      <w:bookmarkEnd w:id="98"/>
      <w:bookmarkEnd w:id="99"/>
      <w:r>
        <w:rPr>
          <w:rFonts w:ascii="Times New Roman" w:hAnsi="Times New Roman"/>
          <w:b/>
        </w:rPr>
        <w:t xml:space="preserve"> (LR4)</w:t>
      </w:r>
      <w:bookmarkEnd w:id="100"/>
      <w:bookmarkEnd w:id="101"/>
      <w:bookmarkEnd w:id="102"/>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t>28.</w:t>
      </w:r>
      <w:r>
        <w:tab/>
      </w:r>
      <w:r>
        <w:rPr>
          <w:rFonts w:ascii="Times New Roman" w:hAnsi="Times New Roman"/>
        </w:rPr>
        <w:t>Krediidiasutused ja investeerimisühingud esitavad finantsvõimenduse määra riskipositsiooni väärtused vormis LR4 pärast selliste asjakohaste väljajätmiste kohaldamist, millele on viidatud järgmistel LRCalci andmeväljadel: {050;010}, {080;010}, {100;010}, {120;010}, {220; 010}, {250;010} ja {260;010}.</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29.</w:t>
      </w:r>
      <w:r>
        <w:tab/>
      </w:r>
      <w:r>
        <w:rPr>
          <w:rFonts w:ascii="Times New Roman" w:hAnsi="Times New Roman"/>
        </w:rPr>
        <w:t>Selleks et vältida topelt arvessevõtmist, tagavad krediidiasutused ja investeerimisühingud järgmises lõigus viidatud valemi järgimi</w:t>
      </w:r>
      <w:r w:rsidR="00550470">
        <w:rPr>
          <w:rFonts w:ascii="Times New Roman" w:hAnsi="Times New Roman"/>
        </w:rPr>
        <w:t>se.</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30.</w:t>
      </w:r>
      <w:r>
        <w:tab/>
      </w:r>
      <w:r>
        <w:rPr>
          <w:rFonts w:ascii="Times New Roman" w:hAnsi="Times New Roman"/>
        </w:rPr>
        <w:t xml:space="preserve">Lõigu 29 kohaselt peavad krediidiasutused ja investeerimisühingud järgima järgmist valemit: [{LRCalc;010;010}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 {LR4;040;010} + {LR4;050;010} + </w:t>
      </w:r>
      <w:r>
        <w:rPr>
          <w:rFonts w:ascii="Times New Roman" w:hAnsi="Times New Roman"/>
        </w:rPr>
        <w:lastRenderedPageBreak/>
        <w:t>{LR4;060;010} + {LR4;065;010} + {LR4;070;010} + {LR4;080;010} + {LR4;080;020} + {LR4;090;010} + {LR4;090;020} + {LR4;140;010} + {LR4;140;020} + {LR4;180;010} + {LR4;180;020} + {LR4;190;010} + {LR4;190;020} + {LR4;210;010} + {LR4;210;020} + {LR4;230;010} + {LR4;230;020} + {LR4;280;010} + {LR4;280;020} + {LR4;290;010} + {LR4;290;020}].</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Rida ja veerg</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Viited õigussätetele ja juhised</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Bilansivälised kirjed, millest – finantsvõimenduse määra riskipositsiooni väärtus</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andmeväljade {LRCalc;150;010}, {LRCalc;160;010}, {LRCalc;170;010} ja {LRCalc;180;010} summana (v.a grupisisesed riskipositsioonid (individuaalsed), mis on välja jäetud vastavalt kapitalinõuete määruse artikli 429 lõikele 7).</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Bilansivälised kirjed, millest – riskiga kaalutud varad</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Bilansiväliste kirjete (v.a väärtpaberite kaudu finantseerimise tehingute ja tuletisinstrumentide) riskiga kaalutud varad, mis on arvutatud standardmeetodi või sisereitingute meetodi kohaselt. Standardmeetodikohaste riskipositsioonide puhul määravad krediidiasutused ja investeerimisühingud riskiga kaalutud varad kindlaks vastavalt kapitalinõuete määruse III osa II jaotise 2. peatükile. Sisereitingute meetodi kohaste riskipositsioonide puhul määravad krediidiasutused ja investeerimisühingud riskiga kaalutud varad kindlaks vastavalt kapitalinõuete määruse III osa II jaotise 3. peatükile.</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Kaubanduse rahastamine, millest – finantsvõimenduse määra riskipositsiooni väärtus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kaubanduse rahastamisega seotud bilansiväliste kirjete puhul. Vormis LR4 kajastamise eesmärgil tähendavad kaubanduse rahastamisega seotud bilansivälised kirjed väljastatud ja kinnitatud impordi- ja ekspordiakreditiive, mis on lühiajalised ja automaatselt likvideeruvad, ning muid samalaadseid tehinguid.</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Kaubanduse rahastamine, millest – riskiga kaalutud varad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Riskiga kaalutud varad kaubanduse rahastamisega seotud bilansiväliste kirjete (v.a väärtpaberite kaudu finantseerimise tehingute ning tuletisinstrumentide) puhul. Vormis LR4 kajastamise eesmärgil tähendavad kaubanduse rahastamisega seotud bilansivälised kirjed väljastatud ja kinnitatud impordi- ja ekspordiakreditiive, mis on lühiajalised ja automaatselt likvideeruvad, ning muid samalaadseid tehinguid.</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Ametliku ekspordikrediidikindlustuse skeemi alusel – finantsvõimenduse määra riskipositsiooni väärtus</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Finantsvõimenduse</w:t>
            </w:r>
            <w:r>
              <w:rPr>
                <w:rFonts w:ascii="Times New Roman" w:hAnsi="Times New Roman"/>
                <w:b/>
              </w:rPr>
              <w:t xml:space="preserve"> </w:t>
            </w:r>
            <w:r>
              <w:rPr>
                <w:rFonts w:ascii="Times New Roman" w:hAnsi="Times New Roman"/>
              </w:rPr>
              <w:t>määra riskipositsiooni väärtus ametliku ekspordikrediidikindlustuse skeemi alusel kaubanduse rahastamisega seotud bilansiväliste kirjete puhul.</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Vormis LR4 kajastamise eesmärgil tähendab ametlik ekspordikrediidikindlustuse skeem ametlikku toetust, mida annab valitsemissektor või muu üksus, nagu ekspordikrediidi agentuur, muu hulgas otselaenude/finantseerimise, refinantseerimise, intressitoetuse (kus laenu kogu kestuse jooksul on garanteeritud fikseeritud intressimäär), abi finantseerimise (laenud ja toetused), ekspordikrediidiki</w:t>
            </w:r>
            <w:r w:rsidR="00550470">
              <w:rPr>
                <w:rFonts w:ascii="Times New Roman" w:hAnsi="Times New Roman"/>
              </w:rPr>
              <w:t>ndlustuse ja garantiide vormis.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Ametliku ekspordikrediidikindlustuse skeemi alusel – riskiga kaalutud varad</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Riskiga kaalutud varad ametliku ekspordikrediidikindlustuse skeemi alusel kaubanduse rahastamisega seotud bilansiväliste kirjete (v.a väärtpaberite kaudu finantseerimise tehingute ning tuletisinstrumentide) puhul.</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lastRenderedPageBreak/>
              <w:t>Vormis LR4 kajastamise eesmärgil tähendab ametlik ekspordikrediidikindlustuse skeem ametlikku toetust, mida annab valitsemissektor või muu üksus, nagu ekspordikrediidi agentuur, muu hulgas otselaenude/finantseerimise, refinantseerimise, intressitoetuse (kus laenu kogu kestuse jooksul on garanteeritud fikseeritud intressimäär), abi finantseerimise (laenud ja toetused), ekspordikrediidiki</w:t>
            </w:r>
            <w:r w:rsidR="00550470">
              <w:rPr>
                <w:rFonts w:ascii="Times New Roman" w:hAnsi="Times New Roman"/>
              </w:rPr>
              <w:t>ndlustuse ja garantiide vormis.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Tuletisinstrumendid ja SFT-d, mille suhtes kohaldatakse toodetevahelist tasaarvestuskokkulepet – finantsvõimenduse määra riskipositsiooni väärtus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sellistest tuletisinstrumentidest ja väärtpaberite kaudu finantseerimise tehingutest tulenevate riskipositsioonide korral, mille suhtes kohaldatakse kapitalinõuete määruse artikli 272 punktis 25 määratletud toodetevahelist tasaarvestuskokkulepet.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Tuletisinstrumendid ja SFT-d, mille suhtes kohaldatakse toodetevahelist tasaarvestuskokkulepet – riskiga kaalutud varad</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Kapitalinõuete määruse III osa II jaotise kohaselt arvutatud riskiga kaalutud varad krediidiriski ja vastaspoole krediidiriski puhul selliste (kaasa arvatud bilansiväliste) tuletisinstrumentide ja väärtpaberite kaudu finantseerimise tehingute korral, mille suhtes kohaldatakse kapitalinõuete määruse artikli 272 punktis 25 määratletud toodetevahelist tasaarvestuskokkulepet.</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Tuletisinstrumendid, mille suhtes ei kohaldata toodetevahelist tasaarvestuskokkulepet – finantsvõimenduse määra riskipositsiooni väärtus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tuletisinstrumentide puhul, mille suhtes </w:t>
            </w:r>
            <w:r>
              <w:rPr>
                <w:rFonts w:ascii="Times New Roman" w:hAnsi="Times New Roman"/>
                <w:b/>
                <w:u w:val="single"/>
              </w:rPr>
              <w:t>ei</w:t>
            </w:r>
            <w:r>
              <w:rPr>
                <w:rFonts w:ascii="Times New Roman" w:hAnsi="Times New Roman"/>
              </w:rPr>
              <w:t xml:space="preserve"> kohaldata kapitalinõuete määruse artikli 272 punktis 25 määratletud toodetevahelist tasaarvestuskokkulepet.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Tuletisinstrumendid, mille suhtes ei kohaldata toodetevahelist tasaarvestuskokkulepet – riskiga kaalutud varad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Kapitalinõuete määruse III osa II jaotise kohaselt arvutatud riskiga kaalutud varad krediidiriski ja vastaspoole krediidiriski puhul selliste (kaasa arvatud bilansiväliste) tuletisinstrumentide korral, mille suhtes ei kohaldata kapitalinõuete määruse artikli 272 punktis 25 määratletud toodeteva</w:t>
            </w:r>
            <w:r w:rsidR="00550470">
              <w:rPr>
                <w:rFonts w:ascii="Times New Roman" w:hAnsi="Times New Roman"/>
              </w:rPr>
              <w:t>helist tasaarvestuskokkulepet.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SFT-d, mille suhtes ei kohaldata toodetevahelist tasaarvestuskokkulepet – finantsvõimenduse määra riskipositsiooni väärtus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sellistest väärtpaberite kaudu finantseerimise tehingutest tulenevate riskipositsioonide korral, mille suhtes </w:t>
            </w:r>
            <w:r>
              <w:rPr>
                <w:rFonts w:ascii="Times New Roman" w:hAnsi="Times New Roman"/>
                <w:b/>
                <w:u w:val="single"/>
              </w:rPr>
              <w:t>ei</w:t>
            </w:r>
            <w:r>
              <w:rPr>
                <w:rFonts w:ascii="Times New Roman" w:hAnsi="Times New Roman"/>
              </w:rPr>
              <w:t xml:space="preserve"> kohaldata kapitalinõuete määruse artikli 272 punktis 25 määratletud toodetevahelist tasaarvestuskokkulepet.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SFT-d, mille suhtes ei kohaldata toodetevahelist tasaarvestuskokkulepet – riskiga kaalutud varad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Kapitalinõuete määruse III osa II jaotise kohaselt arvutatud riskiga kaalutud varad krediidiriski ja vastaspoole krediidiriski puhul selliste (kaasa arvatud bilansiväliste) väärtpaberite kaudu finantseerimise tehingute korral, mille suhtes </w:t>
            </w:r>
            <w:r>
              <w:rPr>
                <w:rFonts w:ascii="Times New Roman" w:hAnsi="Times New Roman"/>
                <w:b/>
                <w:u w:val="single"/>
              </w:rPr>
              <w:t>ei</w:t>
            </w:r>
            <w:r>
              <w:rPr>
                <w:rFonts w:ascii="Times New Roman" w:hAnsi="Times New Roman"/>
              </w:rPr>
              <w:t xml:space="preserve"> kohaldata kapitalinõuete määruse artikli 272 punktis 25 määratletud toodetev</w:t>
            </w:r>
            <w:r w:rsidR="00550470">
              <w:rPr>
                <w:rFonts w:ascii="Times New Roman" w:hAnsi="Times New Roman"/>
              </w:rPr>
              <w:t>ahelist tasaarvestuskokkulepet.</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{065;010}</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Riskipositsioonid, mis tulenevad krediidituletisinstrumentide täiendavast käsitlusest – finantsvõimenduse määra riskipositsiooni väärtus</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See andmeväli peab olema võrdne andmeväljade {LRCalc;130;010} ja {LRCalc;140;010} vahega (v.a grupisisesed riskipositsioonid (individuaalsed), mis on välja jäetud vastavalt kapitalinõuete määruse artikli 429 lõikele 7).</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lastRenderedPageBreak/>
              <w:t>{070;010}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Muud kauplemisportfelli kuuluvad varad – finantsvõimenduse määra riskipositsiooni väärtus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Andmeväljal {LRCalc;190;010} kajastatud kirjete (v.a kauplemisportfelliväliste kirjete) finantsvõimenduse määra riskipositsiooni väärtus.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t>{070;020}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Muud kauplemisportfelli kuuluvad varad – riskiga kaalutud varad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Kapitalinõuete määruse III osa IV jaotise reguleerimisalasse kuuluvate kirjete omavahendite nõuded, korrutatuna 12,5-ga.</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Pandikirjad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selliste varade puhul, mille korral on tegemist kapitalinõuete määruse artiklis 129 määratletud pandikirjadest tulenevate riskipositsioonidega.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Pandikirjad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selliste varade puhul, mille korral on tegemist kapitalinõuete määruse artikli 161 lõike 1 punktis d määratletud pandikirjadest t</w:t>
            </w:r>
            <w:r w:rsidR="00550470">
              <w:rPr>
                <w:rFonts w:ascii="Times New Roman" w:hAnsi="Times New Roman"/>
              </w:rPr>
              <w:t>ulenevate riskipositsioonidega.</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Pandikirjad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selliste varade puhul, mille korral on tegemist kapitalinõuete määruse artiklis 129 määratletud pandikirjadest t</w:t>
            </w:r>
            <w:r w:rsidR="00550470">
              <w:rPr>
                <w:rFonts w:ascii="Times New Roman" w:hAnsi="Times New Roman"/>
              </w:rPr>
              <w:t>ulenevate riskipositsioonidega.</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Krediidiasutused ja investeerimisühingud kajastavad selle pärast makseviivituses olevate riskipositsioonide mahaarvamist.</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Pandikirjad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Riskiga kaalutud varad selliste varade puhul, mille korral on tegemist kapitalinõuete määruse artikli 161 lõike 1 punktis d määratletud pandikirjadest t</w:t>
            </w:r>
            <w:r w:rsidR="00550470">
              <w:rPr>
                <w:rFonts w:ascii="Times New Roman" w:hAnsi="Times New Roman"/>
              </w:rPr>
              <w:t>ulenevate riskipositsioonidega.</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mida käsitatakse nõuetena keskvalitsuse vastu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{100,010} kuni {130,010}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mida käsitatakse nõuetena keskvalitsuse vastu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{100 020} kuni {130 020} summa.</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lastRenderedPageBreak/>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{090;030}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mida käsitatakse nõuetena keskvalitsuse vastu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{100 030} kuni {130 030}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mida käsitatakse nõuetena keskvalitsuse vastu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{100 040} kuni {130 040}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Nõuded keskvalitsuste ja keskpankade vastu</w:t>
            </w:r>
            <w:r>
              <w:rPr>
                <w:rFonts w:ascii="Times New Roman" w:hAnsi="Times New Roman"/>
              </w:rPr>
              <w:t xml:space="preserve"> </w:t>
            </w:r>
            <w:r>
              <w:rPr>
                <w:rFonts w:ascii="Times New Roman" w:hAnsi="Times New Roman"/>
                <w:b/>
              </w:rPr>
              <w:t>–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selliste varade puhul, mille korral on tegemist kapitalinõuete määruse artiklis 114 määratletud nõuetega keskva</w:t>
            </w:r>
            <w:r w:rsidR="00550470">
              <w:rPr>
                <w:rFonts w:ascii="Times New Roman" w:hAnsi="Times New Roman"/>
              </w:rPr>
              <w:t>litsuste või keskpankade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Nõuded keskvalitsuste ja keskpankade vastu</w:t>
            </w:r>
            <w:r>
              <w:rPr>
                <w:rFonts w:ascii="Times New Roman" w:hAnsi="Times New Roman"/>
              </w:rPr>
              <w:t xml:space="preserve"> </w:t>
            </w:r>
            <w:r>
              <w:rPr>
                <w:rFonts w:ascii="Times New Roman" w:hAnsi="Times New Roman"/>
                <w:b/>
              </w:rPr>
              <w:t>–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selliste varade puhul, mille korral on tegemist kapitalinõuete määruse artikli 147 lõike 2 punktis a määratletud nõuetega keskva</w:t>
            </w:r>
            <w:r w:rsidR="00550470">
              <w:rPr>
                <w:rFonts w:ascii="Times New Roman" w:hAnsi="Times New Roman"/>
              </w:rPr>
              <w:t>litsuste või keskpankade vastu.</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Nõuded keskvalitsuste ja keskpankade vastu</w:t>
            </w:r>
            <w:r>
              <w:rPr>
                <w:rFonts w:ascii="Times New Roman" w:hAnsi="Times New Roman"/>
              </w:rPr>
              <w:t xml:space="preserve"> </w:t>
            </w:r>
            <w:r>
              <w:rPr>
                <w:rFonts w:ascii="Times New Roman" w:hAnsi="Times New Roman"/>
                <w:b/>
              </w:rPr>
              <w:t>– riskiga kaalutud varad – standardmeetodi kohased riskipositsioonid</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selliste varade puhul, mille korral on tegemist kapitalinõuete määruse artiklis 114 määratletud nõuetega keskva</w:t>
            </w:r>
            <w:r w:rsidR="00550470">
              <w:rPr>
                <w:rFonts w:ascii="Times New Roman" w:hAnsi="Times New Roman"/>
              </w:rPr>
              <w:t>litsuste või keskpankade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Nõuded keskvalitsuste ja keskpankade vastu</w:t>
            </w:r>
            <w:r>
              <w:rPr>
                <w:rFonts w:ascii="Times New Roman" w:hAnsi="Times New Roman"/>
              </w:rPr>
              <w:t xml:space="preserve"> </w:t>
            </w:r>
            <w:r>
              <w:rPr>
                <w:rFonts w:ascii="Times New Roman" w:hAnsi="Times New Roman"/>
                <w:b/>
              </w:rPr>
              <w:t>– riskiga kaalutud varad – sisereitingute meetodi kohased riskipositsioonid</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selliste varade puhul, mille korral on tegemist kapitalinõuete määruse artikli 147 lõike 2 punktis a määratletud nõuetega keskva</w:t>
            </w:r>
            <w:r w:rsidR="00550470">
              <w:rPr>
                <w:rFonts w:ascii="Times New Roman" w:hAnsi="Times New Roman"/>
              </w:rPr>
              <w:t>litsuste või keskpankade vastu.</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piirkondlike valitsuste ja kohalike omavalitsuste vastu, mida käsitatakse nõuetena keskvalitsuse vastu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115 lõigete 2 ja 4 kohaste selliste nõuetega piirkondlike valitsuste ja kohalike omavalitsuste vastu, mida käsitataks</w:t>
            </w:r>
            <w:r w:rsidR="00550470">
              <w:rPr>
                <w:rFonts w:ascii="Times New Roman" w:hAnsi="Times New Roman"/>
              </w:rPr>
              <w:t>e nõuetena keskvalitsuse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piirkondlike valitsuste ja kohalike omavalitsuste vastu, mida käsitatakse nõuetena keskvalitsuse vastu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147 lõike 3 punkti a kohaste nõuetega piirkondlike valitsuste j</w:t>
            </w:r>
            <w:r w:rsidR="00550470">
              <w:rPr>
                <w:rFonts w:ascii="Times New Roman" w:hAnsi="Times New Roman"/>
              </w:rPr>
              <w:t>a kohalike omavalitsuste vastu.</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piirkondlike valitsuste ja kohalike omavalitsuste vastu, mida käsitatakse nõuetena keskvalitsuse vastu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115 lõigete 2 ja 4 kohaste selliste nõuetega piirkondlike valitsuste ja kohalike omavalitsuste vastu, mida käsitatakse nõuetena keskvalitsuse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piirkondlike valitsuste ja kohalike omavalitsuste vastu, mida käsitatakse nõuetena keskvalitsuse vastu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kapitalinõuete määruse artikli 147 lõike 3 punkti a kohaste nõuetega piirkondlike valitsuste ja kohalike omavalitsuste vastu.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Nõuded mitmepoolsete arengupankade ja rahvusvaheliste organisatsioonide vastu, mida käsitatakse nõuetena keskvalitsuse vastu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117 lõike 2 ja artikli 118 kohaste nõuetega mitmepoolsete arengupankade ja rahvusvah</w:t>
            </w:r>
            <w:r w:rsidR="00550470">
              <w:rPr>
                <w:rFonts w:ascii="Times New Roman" w:hAnsi="Times New Roman"/>
              </w:rPr>
              <w:t>eliste organisatsioonide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Nõuded mitmepoolsete arengupankade ja rahvusvaheliste organisatsioonide vastu, mida käsitatakse nõuetena keskvalitsuse vastu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147 lõike 3 punktide b ja c kohaste nõuetega mitmepoolsete arengupankade ja rahvusvah</w:t>
            </w:r>
            <w:r w:rsidR="00550470">
              <w:rPr>
                <w:rFonts w:ascii="Times New Roman" w:hAnsi="Times New Roman"/>
              </w:rPr>
              <w:t>eliste organisatsioonide vastu.</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 xml:space="preserve">Krediidiasutused ja investeerimisühingud kajastavad selle pärast makseviivituses olevate </w:t>
            </w:r>
            <w:r>
              <w:rPr>
                <w:rFonts w:ascii="Times New Roman" w:hAnsi="Times New Roman"/>
              </w:rPr>
              <w:lastRenderedPageBreak/>
              <w:t>riskipositsioonide mahaarvamist.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Nõuded mitmepoolsete arengupankade ja rahvusvaheliste organisatsioonide vastu, mida käsitatakse nõuetena keskvalitsuse vastu – riskiga kaalutud varad – standardmeetodi kohased riskipositsioonid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117 lõike 2 ja artikli 118 kohaste nõuetega mitmepoolsete arengupankade ja rahvusvah</w:t>
            </w:r>
            <w:r w:rsidR="00550470">
              <w:rPr>
                <w:rFonts w:ascii="Times New Roman" w:hAnsi="Times New Roman"/>
              </w:rPr>
              <w:t>eliste organisatsioonide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{120;040}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Nõuded mitmepoolsete arengupankade ja rahvusvaheliste organisatsioonide vastu, mida käsitatakse nõuetena keskvalitsuse vastu – riskiga kaalutud varad – sisereitingute meetodi kohased riskipositsioonid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147 lõike 3 punktide b ja c kohaste nõuetega mitmepoolsete arengupankade ja rahvusvah</w:t>
            </w:r>
            <w:r w:rsidR="00550470">
              <w:rPr>
                <w:rFonts w:ascii="Times New Roman" w:hAnsi="Times New Roman"/>
              </w:rPr>
              <w:t>eliste organisatsioonide vastu.</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avaliku sektori asutuste vastu, mida käsitatakse nõuetena keskvalitsuse vastu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varade puhul, mille korral on tegemist kapitalinõuete määruse artikli 116 lõike 4 kohaste nõuetega </w:t>
            </w:r>
            <w:r w:rsidR="00550470">
              <w:rPr>
                <w:rFonts w:ascii="Times New Roman" w:hAnsi="Times New Roman"/>
              </w:rPr>
              <w:t>avaliku sektori asutuste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Nõuded avaliku sektori asutuste vastu, mida käsitatakse nõuetena keskvalitsuse vastu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summa varade puhul, mille korral on tegemist kapitalinõuete määruse artikli 147 lõike 3 punkti a kohaste nõuetega avaliku sektori asutuste vastu.</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Nõuded avaliku sektori asutuste vastu, mida käsitatakse nõuetena keskvalitsuse vastu – riskiga kaalutud varad – standardmeetodi kohased riskipositsioonid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kapitalinõuete määruse artikli 116 lõike 4 kohaste nõuetega </w:t>
            </w:r>
            <w:r w:rsidR="00550470">
              <w:rPr>
                <w:rFonts w:ascii="Times New Roman" w:hAnsi="Times New Roman"/>
              </w:rPr>
              <w:t>avaliku sektori asutuste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Nõuded avaliku sektori asutuste vastu, mida käsitatakse nõuetena keskvalitsuse vastu – riskiga kaalutud varad – sisereitingute meetodi kohased riskipositsioonid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kapitalinõuete määruse artikli 147 lõike 3 punkti a kohaste nõuetega </w:t>
            </w:r>
            <w:r w:rsidR="00550470">
              <w:rPr>
                <w:rFonts w:ascii="Times New Roman" w:hAnsi="Times New Roman"/>
              </w:rPr>
              <w:t>avaliku sektori asutuste vastu.</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lastRenderedPageBreak/>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piirkondlike valitsuste, mitmepoolsete arengupankade, rahvusvaheliste organisatsioonide ja avaliku sektori asutuste vastu, mida </w:t>
            </w:r>
            <w:r>
              <w:rPr>
                <w:rFonts w:ascii="Times New Roman" w:hAnsi="Times New Roman"/>
                <w:b/>
                <w:u w:val="single"/>
              </w:rPr>
              <w:t>ei</w:t>
            </w:r>
            <w:r>
              <w:rPr>
                <w:rFonts w:ascii="Times New Roman" w:hAnsi="Times New Roman"/>
                <w:b/>
              </w:rPr>
              <w:t xml:space="preserve"> käsitata nõuetena keskvalitsuse vastu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{150 010} kuni {170 010}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piirkondlike valitsuste, mitmepoolsete arengupankade, rahvusvaheliste organisatsioonide ja avaliku sektori asutuste vastu, mida </w:t>
            </w:r>
            <w:r>
              <w:rPr>
                <w:rFonts w:ascii="Times New Roman" w:hAnsi="Times New Roman"/>
                <w:b/>
                <w:u w:val="single"/>
              </w:rPr>
              <w:t>ei</w:t>
            </w:r>
            <w:r>
              <w:rPr>
                <w:rFonts w:ascii="Times New Roman" w:hAnsi="Times New Roman"/>
                <w:b/>
              </w:rPr>
              <w:t xml:space="preserve"> käsitata nõuetena keskvalitsuse vastu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{150 020} kuni {170 020}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piirkondlike valitsuste, mitmepoolsete arengupankade, rahvusvaheliste organisatsioonide ja avaliku sektori asutuste vastu, mida </w:t>
            </w:r>
            <w:r>
              <w:rPr>
                <w:rFonts w:ascii="Times New Roman" w:hAnsi="Times New Roman"/>
                <w:b/>
                <w:u w:val="single"/>
              </w:rPr>
              <w:t>ei</w:t>
            </w:r>
            <w:r>
              <w:rPr>
                <w:rFonts w:ascii="Times New Roman" w:hAnsi="Times New Roman"/>
                <w:b/>
              </w:rPr>
              <w:t xml:space="preserve"> käsitata nõuetena keskvalitsuse vastu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{150 030} kuni {170 030}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piirkondlike valitsuste, mitmepoolsete arengupankade, rahvusvaheliste organisatsioonide ja avaliku sektori asutuste vastu, mida </w:t>
            </w:r>
            <w:r>
              <w:rPr>
                <w:rFonts w:ascii="Times New Roman" w:hAnsi="Times New Roman"/>
                <w:b/>
                <w:u w:val="single"/>
              </w:rPr>
              <w:t>ei</w:t>
            </w:r>
            <w:r>
              <w:rPr>
                <w:rFonts w:ascii="Times New Roman" w:hAnsi="Times New Roman"/>
                <w:b/>
              </w:rPr>
              <w:t xml:space="preserve"> käsitata nõuetena keskvalitsuse vastu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{150 040} kuni {170 040}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piirkondlike valitsuste ja kohalike omavalitsuste vastu, mida </w:t>
            </w:r>
            <w:r>
              <w:rPr>
                <w:rFonts w:ascii="Times New Roman" w:hAnsi="Times New Roman"/>
                <w:b/>
                <w:u w:val="single"/>
              </w:rPr>
              <w:t>ei</w:t>
            </w:r>
            <w:r>
              <w:rPr>
                <w:rFonts w:ascii="Times New Roman" w:hAnsi="Times New Roman"/>
                <w:b/>
              </w:rPr>
              <w:t xml:space="preserve"> käsitata nõuetena keskvalitsuse vastu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115 lõigete 1, 3 ja 5 kohaste selliste nõuetega piirkondlike valitsuste ja kohalike omavalitsuste vastu, mida ei käsitat</w:t>
            </w:r>
            <w:r w:rsidR="00550470">
              <w:rPr>
                <w:rFonts w:ascii="Times New Roman" w:hAnsi="Times New Roman"/>
              </w:rPr>
              <w:t>a nõuetena keskvalitsuse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{150;020}</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piirkondlike valitsuste ja kohalike omavalitsuste vastu, mida </w:t>
            </w:r>
            <w:r>
              <w:rPr>
                <w:rFonts w:ascii="Times New Roman" w:hAnsi="Times New Roman"/>
                <w:b/>
                <w:u w:val="single"/>
              </w:rPr>
              <w:t>ei</w:t>
            </w:r>
            <w:r>
              <w:rPr>
                <w:rFonts w:ascii="Times New Roman" w:hAnsi="Times New Roman"/>
                <w:b/>
              </w:rPr>
              <w:t xml:space="preserve"> käsitata nõuetena keskvalitsuse vastu – finantsvõimenduse määra riskipositsiooni väärtus – sisereitingute meetodi kohased riskipositsioonid</w:t>
            </w:r>
          </w:p>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147 lõike 4 punkti a kohaste selliste nõuetega piirkondlike valitsuste ja kohalike omavalitsuste vastu, mida ei käsitat</w:t>
            </w:r>
            <w:r w:rsidR="00550470">
              <w:rPr>
                <w:rFonts w:ascii="Times New Roman" w:hAnsi="Times New Roman"/>
              </w:rPr>
              <w:t>a nõuetena keskvalitsuse vastu.</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{150;030}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piirkondlike valitsuste ja kohalike omavalitsuste vastu, mida </w:t>
            </w:r>
            <w:r>
              <w:rPr>
                <w:rFonts w:ascii="Times New Roman" w:hAnsi="Times New Roman"/>
                <w:b/>
                <w:u w:val="single"/>
              </w:rPr>
              <w:t>ei</w:t>
            </w:r>
            <w:r>
              <w:rPr>
                <w:rFonts w:ascii="Times New Roman" w:hAnsi="Times New Roman"/>
                <w:b/>
              </w:rPr>
              <w:t xml:space="preserve"> käsitata nõuetena keskvalitsuse vastu – riskiga kaalutud varad – standardme</w:t>
            </w:r>
            <w:r w:rsidR="00550470">
              <w:rPr>
                <w:rFonts w:ascii="Times New Roman" w:hAnsi="Times New Roman"/>
                <w:b/>
              </w:rPr>
              <w:t>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115 lõigete 1, 3 ja 5 kohaste selliste nõuetega piirkondlike valitsuste ja kohalike omavalitsuste vastu, mida ei käsitat</w:t>
            </w:r>
            <w:r w:rsidR="00550470">
              <w:rPr>
                <w:rFonts w:ascii="Times New Roman" w:hAnsi="Times New Roman"/>
              </w:rPr>
              <w:t>a nõuetena keskvalitsuse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piirkondlike valitsuste ja kohalike omavalitsuste vastu, mida </w:t>
            </w:r>
            <w:r>
              <w:rPr>
                <w:rFonts w:ascii="Times New Roman" w:hAnsi="Times New Roman"/>
                <w:b/>
                <w:u w:val="single"/>
              </w:rPr>
              <w:t>ei</w:t>
            </w:r>
            <w:r>
              <w:rPr>
                <w:rFonts w:ascii="Times New Roman" w:hAnsi="Times New Roman"/>
                <w:b/>
              </w:rPr>
              <w:t xml:space="preserve"> käsitata nõuetena keskvalitsuse vastu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147 lõike 4 punkti a kohaste selliste nõuetega piirkondlike valitsuste ja kohalike omavalitsuste vastu, mida ei käsitata nõuetena keskvalitsuse vastu.</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mitmepoolsete arengupankade vastu, mida </w:t>
            </w:r>
            <w:r>
              <w:rPr>
                <w:rFonts w:ascii="Times New Roman" w:hAnsi="Times New Roman"/>
                <w:b/>
                <w:u w:val="single"/>
              </w:rPr>
              <w:t>ei</w:t>
            </w:r>
            <w:r>
              <w:rPr>
                <w:rFonts w:ascii="Times New Roman" w:hAnsi="Times New Roman"/>
                <w:b/>
              </w:rPr>
              <w:t xml:space="preserve"> käsitata nõuetena keskvalitsuse vastu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117 lõigete 1 ja 3 kohaste nõuetega mit</w:t>
            </w:r>
            <w:r w:rsidR="00550470">
              <w:rPr>
                <w:rFonts w:ascii="Times New Roman" w:hAnsi="Times New Roman"/>
              </w:rPr>
              <w:t>mepoolsete arengupankade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Nõuded mitmepoolsete arengupankade vastu, mida </w:t>
            </w:r>
            <w:r>
              <w:rPr>
                <w:rFonts w:ascii="Times New Roman" w:hAnsi="Times New Roman"/>
                <w:b/>
                <w:u w:val="single"/>
              </w:rPr>
              <w:t>ei</w:t>
            </w:r>
            <w:r>
              <w:rPr>
                <w:rFonts w:ascii="Times New Roman" w:hAnsi="Times New Roman"/>
                <w:b/>
              </w:rPr>
              <w:t xml:space="preserve"> käsitata nõuetena keskvalitsuse vastu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147 lõike 4 punkti c kohaste selliste nõuetega mitmepoolsete arengupankade vastu, mida ei käsitat</w:t>
            </w:r>
            <w:r w:rsidR="00550470">
              <w:rPr>
                <w:rFonts w:ascii="Times New Roman" w:hAnsi="Times New Roman"/>
              </w:rPr>
              <w:t>a nõuetena keskvalitsuse vastu.</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mitmepoolsete arengupankade vastu, mida </w:t>
            </w:r>
            <w:r>
              <w:rPr>
                <w:rFonts w:ascii="Times New Roman" w:hAnsi="Times New Roman"/>
                <w:b/>
                <w:u w:val="single"/>
              </w:rPr>
              <w:t>ei</w:t>
            </w:r>
            <w:r>
              <w:rPr>
                <w:rFonts w:ascii="Times New Roman" w:hAnsi="Times New Roman"/>
                <w:b/>
              </w:rPr>
              <w:t xml:space="preserve"> käsitata nõuetena keskvalitsuse vastu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117 lõigete 1 ja 3 kohaste nõuetega mitmepoolsete arengupankade vastu.</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mitmepoolsete arengupankade vastu, mida </w:t>
            </w:r>
            <w:r>
              <w:rPr>
                <w:rFonts w:ascii="Times New Roman" w:hAnsi="Times New Roman"/>
                <w:b/>
                <w:u w:val="single"/>
              </w:rPr>
              <w:t>ei</w:t>
            </w:r>
            <w:r>
              <w:rPr>
                <w:rFonts w:ascii="Times New Roman" w:hAnsi="Times New Roman"/>
                <w:b/>
              </w:rPr>
              <w:t xml:space="preserve"> käsitata nõuetena keskvalitsuse vastu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Riskiga kaalutud varad varade puhul, mille korral on tegemist kapitalinõuete määruse artikli 147 lõike 4 punkti c kohaste selliste nõuetega mitmepoolsete arengupankade vastu, mida ei käsitat</w:t>
            </w:r>
            <w:r w:rsidR="00550470">
              <w:rPr>
                <w:rFonts w:ascii="Times New Roman" w:hAnsi="Times New Roman"/>
              </w:rPr>
              <w:t>a nõuetena keskvalitsuse vastu.</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{170;010}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avaliku sektori asutuste vastu, mida </w:t>
            </w:r>
            <w:r>
              <w:rPr>
                <w:rFonts w:ascii="Times New Roman" w:hAnsi="Times New Roman"/>
                <w:b/>
                <w:u w:val="single"/>
              </w:rPr>
              <w:t>ei</w:t>
            </w:r>
            <w:r>
              <w:rPr>
                <w:rFonts w:ascii="Times New Roman" w:hAnsi="Times New Roman"/>
                <w:b/>
              </w:rPr>
              <w:t xml:space="preserve"> käsitata nõuetena keskvalitsuse vastu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varade puhul, mille korral on tegemist kapitalinõuete määruse artikli 116 lõigete 1, 2, 3 ja 5 kohaste nõuetega </w:t>
            </w:r>
            <w:r w:rsidR="00550470">
              <w:rPr>
                <w:rFonts w:ascii="Times New Roman" w:hAnsi="Times New Roman"/>
              </w:rPr>
              <w:t>avaliku sektori asutuste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Nõuded avaliku sektori asutuste vastu, mida </w:t>
            </w:r>
            <w:r>
              <w:rPr>
                <w:rFonts w:ascii="Times New Roman" w:hAnsi="Times New Roman"/>
                <w:b/>
                <w:u w:val="single"/>
              </w:rPr>
              <w:t>ei</w:t>
            </w:r>
            <w:r>
              <w:rPr>
                <w:rFonts w:ascii="Times New Roman" w:hAnsi="Times New Roman"/>
                <w:b/>
              </w:rPr>
              <w:t xml:space="preserve"> käsitata nõuetena keskvalitsuse vastu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147 lõike 4 punkti b kohaste selliste nõuetega avaliku sektori asutuste vastu, mida ei käsitat</w:t>
            </w:r>
            <w:r w:rsidR="00550470">
              <w:rPr>
                <w:rFonts w:ascii="Times New Roman" w:hAnsi="Times New Roman"/>
              </w:rPr>
              <w:t>a nõuetena keskvalitsuse vastu.</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avaliku sektori asutuste vastu, mida </w:t>
            </w:r>
            <w:r>
              <w:rPr>
                <w:rFonts w:ascii="Times New Roman" w:hAnsi="Times New Roman"/>
                <w:b/>
                <w:u w:val="single"/>
              </w:rPr>
              <w:t>ei</w:t>
            </w:r>
            <w:r>
              <w:rPr>
                <w:rFonts w:ascii="Times New Roman" w:hAnsi="Times New Roman"/>
                <w:b/>
              </w:rPr>
              <w:t xml:space="preserve"> käsitata nõuetena keskvalitsuse vastu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kapitalinõuete määruse artikli 116 lõigete 1, 2, 3 ja 5 kohaste nõuetega </w:t>
            </w:r>
            <w:r w:rsidR="00550470">
              <w:rPr>
                <w:rFonts w:ascii="Times New Roman" w:hAnsi="Times New Roman"/>
              </w:rPr>
              <w:t>avaliku sektori asutuste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Nõuded avaliku sektori asutuste vastu, mida </w:t>
            </w:r>
            <w:r>
              <w:rPr>
                <w:rFonts w:ascii="Times New Roman" w:hAnsi="Times New Roman"/>
                <w:b/>
                <w:u w:val="single"/>
              </w:rPr>
              <w:t>ei</w:t>
            </w:r>
            <w:r>
              <w:rPr>
                <w:rFonts w:ascii="Times New Roman" w:hAnsi="Times New Roman"/>
                <w:b/>
              </w:rPr>
              <w:t xml:space="preserve"> käsitata nõuetena keskvalitsuse vastu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147 lõike 4 punkti b kohaste selliste nõuetega avaliku sektori asutuste vastu, mida ei käsitat</w:t>
            </w:r>
            <w:r w:rsidR="00550470">
              <w:rPr>
                <w:rFonts w:ascii="Times New Roman" w:hAnsi="Times New Roman"/>
              </w:rPr>
              <w:t>a nõuetena keskvalitsuse vastu.</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Krediidiasutused ja investeerimisühingud – finantsvõimenduse määra riskipositsiooni väärtus – standardmeetodi kohased riskipositsioonid</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varade puhul, mille korral on tegemist kapitalinõuete määruse artiklite 119 kuni 121 kohaste nõuetega krediidiasutuste </w:t>
            </w:r>
            <w:r w:rsidR="00550470">
              <w:rPr>
                <w:rFonts w:ascii="Times New Roman" w:hAnsi="Times New Roman"/>
              </w:rPr>
              <w:t>ja investeerimisühingute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Krediidiasutused ja investeerimisühingud</w:t>
            </w:r>
            <w:r>
              <w:rPr>
                <w:rFonts w:ascii="Times New Roman" w:hAnsi="Times New Roman"/>
              </w:rPr>
              <w:t xml:space="preserve"> </w:t>
            </w:r>
            <w:r>
              <w:rPr>
                <w:rFonts w:ascii="Times New Roman" w:hAnsi="Times New Roman"/>
                <w:b/>
              </w:rPr>
              <w:t>–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varade puhul, mille korral on tegemist kapitalinõuete määruse artikli 147 lõike 2 punkti b kohaste nõuetega krediidiasutuste ja investeerimisühingute vastu ning mille korral </w:t>
            </w:r>
            <w:r>
              <w:rPr>
                <w:rFonts w:ascii="Times New Roman" w:hAnsi="Times New Roman"/>
                <w:b/>
                <w:u w:val="single"/>
              </w:rPr>
              <w:t>ei</w:t>
            </w:r>
            <w:r>
              <w:rPr>
                <w:rFonts w:ascii="Times New Roman" w:hAnsi="Times New Roman"/>
              </w:rPr>
              <w:t xml:space="preserve"> ole tegemist kapitalinõuete määruse artikli 161 lõike 1 punkti d kohaste pandikirjadest tulenevate riskipositsioonidega ning mis </w:t>
            </w:r>
            <w:r>
              <w:rPr>
                <w:rFonts w:ascii="Times New Roman" w:hAnsi="Times New Roman"/>
                <w:b/>
                <w:u w:val="single"/>
              </w:rPr>
              <w:t>ei</w:t>
            </w:r>
            <w:r>
              <w:rPr>
                <w:rFonts w:ascii="Times New Roman" w:hAnsi="Times New Roman"/>
              </w:rPr>
              <w:t xml:space="preserve"> kuulu kapitalinõuete määruse artikli 147 lõike 4 punktide a–c reguleerimisalasse.</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Krediidiasutused ja investeerimisühingud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artiklite 119 kuni 121 kohaste nõuetega krediidiasutuste ja investeerimisüh</w:t>
            </w:r>
            <w:r w:rsidR="00214019">
              <w:rPr>
                <w:rFonts w:ascii="Times New Roman" w:hAnsi="Times New Roman"/>
              </w:rPr>
              <w:t>ingute vastu.</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Krediidiasutused ja investeerimisühingud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kapitalinõuete määruse artikli 147 lõike 2 punkti b kohaste nõuetega krediidiasutuste ja investeerimisühingute vastu ning mille korral </w:t>
            </w:r>
            <w:r>
              <w:rPr>
                <w:rFonts w:ascii="Times New Roman" w:hAnsi="Times New Roman"/>
                <w:b/>
                <w:u w:val="single"/>
              </w:rPr>
              <w:t>ei</w:t>
            </w:r>
            <w:r>
              <w:rPr>
                <w:rFonts w:ascii="Times New Roman" w:hAnsi="Times New Roman"/>
              </w:rPr>
              <w:t xml:space="preserve"> ole tegemist kapitalinõuete määruse artikli 161 lõike 1 punkti d kohaste pandikirjadest tulenevate riskipositsioonidega ning mis </w:t>
            </w:r>
            <w:r>
              <w:rPr>
                <w:rFonts w:ascii="Times New Roman" w:hAnsi="Times New Roman"/>
                <w:b/>
                <w:u w:val="single"/>
              </w:rPr>
              <w:t>ei</w:t>
            </w:r>
            <w:r>
              <w:rPr>
                <w:rFonts w:ascii="Times New Roman" w:hAnsi="Times New Roman"/>
              </w:rPr>
              <w:t xml:space="preserve"> kuulu kapitalinõuete määruse artikli 147 lõike 4 punktide a–c reguleerimisalasse.</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Kinnisvarale seatud hüpoteegiga tagatud riskipositsioonid, millest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124 kohaste kinnisvarale seatud hüpoteegiga tagatud riskipositsioonidega.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Kinnisvarale seatud hüpoteegiga tagatud riskipositsioonid, millest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147 lõike 2 punkti c kohaste nõuetega äriühingute vastu või kapitalinõuete määruse artikli 147 lõike 2 punkti d kohaste jaenõuetega, kui need nõuded on tagatud kinnisvarale seatud hüpoteegiga vastavalt kapitalinõuete määruse artikli 199 lõike 1 punktile a.</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Kinnisvarale seatud hüpoteegiga tagatud riskipositsioonid, millest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kapitalinõuete määruse artikli 124 </w:t>
            </w:r>
            <w:r>
              <w:rPr>
                <w:rFonts w:ascii="Times New Roman" w:hAnsi="Times New Roman"/>
              </w:rPr>
              <w:lastRenderedPageBreak/>
              <w:t>kohaste kinnisvarale seatud hüpoteegiga tagatud riskipositsioonidega.</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{190;040}</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Kinnisvarale seatud hüpoteegiga tagatud riskipositsioonid, millest – riskiga kaalutud varad – sisereitingute meetodi kohased riskipositsioonid</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147 lõike 2 punkti c kohaste nõuetega äriühingute vastu või kapitalinõuete määruse artikli 147 lõike 2 punkti d kohaste jaenõuetega, kui need nõuded on tagatud kinnisvarale seatud hüpoteegiga vastavalt kapitalinõuete määruse artikli 199 lõike 1 punktile a.</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Elamukinnisvarale seatud hüpoteegiga tagatud riskipositsioonid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125 kohaste elamukinnisvarale seatud hüpoteegiga täielikult tagatud riskipositsioonidega.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Elamukinnisvarale seatud hüpoteegiga tagatud riskipositsioonid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147 lõike 2 punkti c kohaste nõuetega äriühingute vastu või kapitalinõuete määruse artikli 147 lõike 2 punkti d kohaste jaenõuetega, kui need nõuded on tagatud elamukinnisvarale seatud hüpoteegiga vastavalt kapitalinõuete määruse artikli 199 lõike 1 punktile a.</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Krediidiasutused ja investeerimisühingud kajastavad selle pärast makseviivituses olevate riskipositsioonide mahaarvamist.</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Elamukinnisvarale seatud hüpoteegiga tagatud riskipositsioonid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125 kohaste elamukinnisvarale seatud hüpoteegiga täielikult tagatud riskipositsioonidega.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Elamukinnisvarale seatud hüpoteegiga tagatud riskipositsioonid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kapitalinõuete määruse artikli 147 lõike 2 punkti c kohaste nõuetega äriühingute vastu või kapitalinõuete määruse artikli 147 lõike 2 punkti d kohaste jaenõuetega, kui need nõuded on tagatud elamukinnisvarale seatud hüpoteegiga vastavalt kapitalinõuete määruse </w:t>
            </w:r>
            <w:r w:rsidR="00214019">
              <w:rPr>
                <w:rFonts w:ascii="Times New Roman" w:hAnsi="Times New Roman"/>
              </w:rPr>
              <w:t>artikli 199 lõike 1 punktile a.</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Krediidiasutused ja investeerimisühingud kajastavad selle pärast makseviivituses olevate riskipositsioonide mahaarvamist.</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{210;010}</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Jaenõuded, millest – finantsvõimenduse määra riskipositsiooni väärtus – standardmeetodi kohased riskipositsioonid</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Finantsvõimenduse määra riskipositsiooni väärtus varade puhul, mille korral on tegemist kapitalinõuete määruse a</w:t>
            </w:r>
            <w:r w:rsidR="00214019">
              <w:rPr>
                <w:rFonts w:ascii="Times New Roman" w:hAnsi="Times New Roman"/>
              </w:rPr>
              <w:t>rtikli 123 kohaste jaenõuetega.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{210;020}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Jaenõuded, millest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varade puhul, mille korral on tegemist kapitalinõuete määruse artikli 147 lõike 2 punkti d kohaste jaenõuetega, kui need nõuded </w:t>
            </w:r>
            <w:r>
              <w:rPr>
                <w:rFonts w:ascii="Times New Roman" w:hAnsi="Times New Roman"/>
                <w:b/>
                <w:u w:val="single"/>
              </w:rPr>
              <w:t>ei</w:t>
            </w:r>
            <w:r>
              <w:rPr>
                <w:rFonts w:ascii="Times New Roman" w:hAnsi="Times New Roman"/>
              </w:rPr>
              <w:t xml:space="preserve"> ole tagatud kinnisvarale seatud hüpoteegiga vastavalt kapitalinõuete määruse </w:t>
            </w:r>
            <w:r w:rsidR="00214019">
              <w:rPr>
                <w:rFonts w:ascii="Times New Roman" w:hAnsi="Times New Roman"/>
              </w:rPr>
              <w:t>artikli 199 lõike 1 punktile a.</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Jaenõuded, millest – riskiga kaalutud varad – standardmeetodi kohased riskipositsioonid</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w:t>
            </w:r>
            <w:r w:rsidR="00214019">
              <w:rPr>
                <w:rFonts w:ascii="Times New Roman" w:hAnsi="Times New Roman"/>
              </w:rPr>
              <w:t>rtikli 123 kohaste jaenõuetega.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Jaenõuded, millest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kapitalinõuete määruse artikli 147 lõike 2 punkti d kohaste jaenõuetega, kui need nõuded </w:t>
            </w:r>
            <w:r>
              <w:rPr>
                <w:rFonts w:ascii="Times New Roman" w:hAnsi="Times New Roman"/>
                <w:b/>
                <w:u w:val="single"/>
              </w:rPr>
              <w:t>ei</w:t>
            </w:r>
            <w:r>
              <w:rPr>
                <w:rFonts w:ascii="Times New Roman" w:hAnsi="Times New Roman"/>
              </w:rPr>
              <w:t xml:space="preserve"> ole tagatud kinnisvarale seatud hüpoteegiga vastavalt kapitalinõuete määruse </w:t>
            </w:r>
            <w:r w:rsidR="00214019">
              <w:rPr>
                <w:rFonts w:ascii="Times New Roman" w:hAnsi="Times New Roman"/>
              </w:rPr>
              <w:t>artikli 199 lõike 1 punktile a.</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Jaenõuded VKEde vastu – finantsvõimenduse määra riskipositsiooni väärtus – standardmeetodi kohased riskipositsioonid</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123 kohaste jaenõuetega väikeste ja keskmise suur</w:t>
            </w:r>
            <w:r w:rsidR="00214019">
              <w:rPr>
                <w:rFonts w:ascii="Times New Roman" w:hAnsi="Times New Roman"/>
              </w:rPr>
              <w:t>usega ettevõtjate (</w:t>
            </w:r>
            <w:proofErr w:type="spellStart"/>
            <w:r w:rsidR="00214019">
              <w:rPr>
                <w:rFonts w:ascii="Times New Roman" w:hAnsi="Times New Roman"/>
              </w:rPr>
              <w:t>VKEd</w:t>
            </w:r>
            <w:proofErr w:type="spellEnd"/>
            <w:r w:rsidR="00214019">
              <w:rPr>
                <w:rFonts w:ascii="Times New Roman" w:hAnsi="Times New Roman"/>
              </w:rPr>
              <w:t>) vastu.</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Selle andmevälja täitmisel lähtutakse kapitalinõuete määruse artikli 501 lõike 2 punktis b osutatud väikese või keskmise suurusega ettevõtja määratlusest.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Jaenõuded VKEde vastu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varade puhul, mille korral on tegemist kapitalinõuete määruse artikli 147 lõike 2 punkti d kohaste jaenõuetega, kui need nõuded on väikeste ja keskmise suurusega ettevõtjate vastu </w:t>
            </w:r>
            <w:r w:rsidRPr="00214019">
              <w:rPr>
                <w:rFonts w:ascii="Times New Roman" w:hAnsi="Times New Roman"/>
                <w:b/>
                <w:u w:val="single"/>
              </w:rPr>
              <w:t>ega</w:t>
            </w:r>
            <w:r>
              <w:rPr>
                <w:rFonts w:ascii="Times New Roman" w:hAnsi="Times New Roman"/>
              </w:rPr>
              <w:t xml:space="preserve"> ole tagatud kinnisvarale seatud hüpoteegiga vastavalt kapitalinõuete määruse artikli 199 lõike 1 punktile a.</w:t>
            </w:r>
          </w:p>
          <w:p w:rsidR="00F4754B" w:rsidRPr="00FE002E" w:rsidRDefault="00F4754B"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Selle andmevälja täitmisel lähtutakse kapitalinõuete määruse artikli 501 lõike 2 punktis b osutatud väikese või keskmise suurusega ettevõtja määratlusest.</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lastRenderedPageBreak/>
              <w:t>Krediidiasutused ja investeerimisühingud kajastavad selle pärast makseviivituses olevate riskipositsioonide mahaarvamist.</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{220;030}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Jaenõuded VKEde vastu – riskiga kaalutud varad – standardmeetodi kohased riskipositsioonid</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123 kohaste jaenõuetega väikeste ja keskmise suur</w:t>
            </w:r>
            <w:r w:rsidR="00214019">
              <w:rPr>
                <w:rFonts w:ascii="Times New Roman" w:hAnsi="Times New Roman"/>
              </w:rPr>
              <w:t>usega ettevõtjate (</w:t>
            </w:r>
            <w:proofErr w:type="spellStart"/>
            <w:r w:rsidR="00214019">
              <w:rPr>
                <w:rFonts w:ascii="Times New Roman" w:hAnsi="Times New Roman"/>
              </w:rPr>
              <w:t>VKEd</w:t>
            </w:r>
            <w:proofErr w:type="spellEnd"/>
            <w:r w:rsidR="00214019">
              <w:rPr>
                <w:rFonts w:ascii="Times New Roman" w:hAnsi="Times New Roman"/>
              </w:rPr>
              <w:t>) vastu.</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Selle andmevälja täitmisel lähtutakse kapitalinõuete määruse artikli 501 lõike 2 punktis b osutatud väikese või keskmise suurusega ettevõtja määratlusest.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Jaenõuded VKEde vastu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kapitalinõuete määruse artikli 147 lõike 2 punkti d kohaste jaenõuetega, kui need nõuded on väikeste ja keskmise suurusega ettevõtjate vastu </w:t>
            </w:r>
            <w:r>
              <w:rPr>
                <w:rFonts w:ascii="Times New Roman" w:hAnsi="Times New Roman"/>
                <w:b/>
                <w:u w:val="single"/>
              </w:rPr>
              <w:t>ega</w:t>
            </w:r>
            <w:r>
              <w:rPr>
                <w:rFonts w:ascii="Times New Roman" w:hAnsi="Times New Roman"/>
              </w:rPr>
              <w:t xml:space="preserve"> ole tagatud kinnisvarale seatud hüpoteegiga vastavalt kapitalinõuete määruse artikli 199 lõike 1 punktile a.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Selle andmevälja täitmisel lähtutakse kapitalinõuete määruse artikli 501 lõike 2 punktis b osutatud väikese või keskmise suurusega ettevõtja määratlusest.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äriühingute vastu, millest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Siin esitatakse andmeväljade {240,010} ja {250,010} summa.</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äriühingute vastu, millest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{240 020} ja {250 020}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Nõuded äriühingute vastu, millest – riskiga kaalutud varad – standardmeetodi kohased riskipositsioonid</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{240 030} ja {250 030}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äriühingute vastu, millest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{240 040} ja {250 040} summa.</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 xml:space="preserve">Krediidiasutused ja investeerimisühingud kajastavad selle pärast makseviivituses olevate </w:t>
            </w:r>
            <w:r>
              <w:rPr>
                <w:rFonts w:ascii="Times New Roman" w:hAnsi="Times New Roman"/>
              </w:rPr>
              <w:lastRenderedPageBreak/>
              <w:t>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{240;010}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Nõuded finantssektori äriühingute vastu – finantsvõimenduse määra riskipositsiooni väärtus – standardmeetodi kohased riskipositsioonid</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122 kohaste nõuetega finantssektori äriühingute vastu. Vormis LR4 kajastamise eesmärgil tähendab „finantssektori äriühing“ reguleeritud ja reguleerimata ettevõtjaid (v.a andmeväljal {180;10} osutatud krediidiasutused ja investeerimisühingud), kelle põhitegevuseks on osaluste omandamine või tegelemine ühe või mitme direktiivi 2013/36/EL I lisas loetletud tegevusega, ning kapitalinõuete määruse artikli 4 lõike 1 punktis 27 määratletud ettevõtjaid (v.a andmeväljal {180;10} osutatud krediidiasutused ja investeerimisühingud).</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finantssektori äriühingute vastu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varade puhul, mille korral on tegemist kapitalinõuete määruse artikli 147 lõike 2 punkti c kohaste nõuetega finantssektori äriühingute vastu, kui need nõuded </w:t>
            </w:r>
            <w:r>
              <w:rPr>
                <w:rFonts w:ascii="Times New Roman" w:hAnsi="Times New Roman"/>
                <w:b/>
                <w:u w:val="single"/>
              </w:rPr>
              <w:t>ei</w:t>
            </w:r>
            <w:r>
              <w:rPr>
                <w:rFonts w:ascii="Times New Roman" w:hAnsi="Times New Roman"/>
              </w:rPr>
              <w:t xml:space="preserve"> ole tagatud kinnisvarale seatud hüpoteegiga vastavalt kapitalinõuete määruse artikli 199 lõike 1 punktile a. Vormis LR4 kajastamise eesmärgil tähendab „finantssektori äriühing“ reguleeritud ja reguleerimata ettevõtjaid (v.a andmeväljal {180;10} osutatud krediidiasutused ja investeerimisühingud), kelle põhitegevuseks on osaluste omandamine või tegelemine ühe või mitme direktiivi 2013/36/EL I lisas loetletud tegevusega, ning kapitalinõuete määruse artikli 4 lõike 1 punktis 27 määratletud ettevõtjaid (v.a andmeväljal {180;10} osutatud krediidiasu</w:t>
            </w:r>
            <w:r w:rsidR="00214019">
              <w:rPr>
                <w:rFonts w:ascii="Times New Roman" w:hAnsi="Times New Roman"/>
              </w:rPr>
              <w:t>tused ja investeerimisühingud).</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finantssektori äriühingute vastu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122 kohaste nõuetega finantssektori äriühingute vastu. Vormis LR4 kajastamise eesmärgil tähendab „finantssektori äriühing“ reguleeritud ja reguleerimata ettevõtjaid (v.a andmeväljal {180;10} osutatud krediidiasutused ja investeerimisühingud), kelle põhitegevuseks on osaluste omandamine või tegelemine ühe või mitme direktiivi 2013/36/EL I lisas loetletud tegevusega, ning kapitalinõuete määruse artikli 4 lõike 1 punktis 27 määratletud ettevõtjaid (v.a andmeväljal {180;10} osutatud krediidiasu</w:t>
            </w:r>
            <w:r w:rsidR="00214019">
              <w:rPr>
                <w:rFonts w:ascii="Times New Roman" w:hAnsi="Times New Roman"/>
              </w:rPr>
              <w:t>tused ja investeerimisühingud).</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finantssektori äriühingute vastu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kapitalinõuete määruse artikli 147 lõike 2 punkti c kohaste nõuetega finantssektori äriühingute vastu, kui need nõuded </w:t>
            </w:r>
            <w:r>
              <w:rPr>
                <w:rFonts w:ascii="Times New Roman" w:hAnsi="Times New Roman"/>
                <w:b/>
                <w:u w:val="single"/>
              </w:rPr>
              <w:t>ei</w:t>
            </w:r>
            <w:r>
              <w:rPr>
                <w:rFonts w:ascii="Times New Roman" w:hAnsi="Times New Roman"/>
              </w:rPr>
              <w:t xml:space="preserve"> ole tagatud kinnisvarale seatud hüpoteegiga vastavalt kapitalinõuete määruse artikli 199 lõike 1 punktile a. Vormis LR4 kajastamise eesmärgil tähendab „finantssektori äriühing“ reguleeritud ja reguleerimata ettevõtjaid (v.a andmeväljal {180;10} osutatud krediidiasutused ja investeerimisühingud), kelle põhitegevuseks on osaluste omandamine või tegelemine ühe või mitme direktiivi 2013/36/EL I lisas loetletud tegevusega, ning kapitalinõuete määruse artikli 4 lõike 1 punktis 27 määratletud ettevõtjaid (v.a andmeväljal {180;10} osutatud krediidiasu</w:t>
            </w:r>
            <w:r w:rsidR="00214019">
              <w:rPr>
                <w:rFonts w:ascii="Times New Roman" w:hAnsi="Times New Roman"/>
              </w:rPr>
              <w:t>tused ja investeerimisühingud).</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lastRenderedPageBreak/>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{250;010}</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Nõuded finantssektoriväliste äriühingute vastu, millest – finantsvõimenduse määra riskipositsiooni väärtus – standardmeetodi kohased riskipositsioonid</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122 kohaste nõuetega finantssektori</w:t>
            </w:r>
            <w:r>
              <w:rPr>
                <w:rFonts w:ascii="Times New Roman" w:hAnsi="Times New Roman"/>
                <w:b/>
              </w:rPr>
              <w:t>väliste</w:t>
            </w:r>
            <w:r w:rsidR="00214019">
              <w:rPr>
                <w:rFonts w:ascii="Times New Roman" w:hAnsi="Times New Roman"/>
              </w:rPr>
              <w:t xml:space="preserve"> äriühingute vastu.</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{260 010} ja {270 010}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{250;020}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Nõuded finantssektoriväliste äriühingute vastu, millest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147 lõike 2 punkti c kohaste nõuetega finantssektori</w:t>
            </w:r>
            <w:r>
              <w:rPr>
                <w:rFonts w:ascii="Times New Roman" w:hAnsi="Times New Roman"/>
                <w:b/>
              </w:rPr>
              <w:t>väliste</w:t>
            </w:r>
            <w:r>
              <w:rPr>
                <w:rFonts w:ascii="Times New Roman" w:hAnsi="Times New Roman"/>
              </w:rPr>
              <w:t xml:space="preserve"> äriühingute vastu, kui need nõuded </w:t>
            </w:r>
            <w:r>
              <w:rPr>
                <w:rFonts w:ascii="Times New Roman" w:hAnsi="Times New Roman"/>
                <w:b/>
                <w:u w:val="single"/>
              </w:rPr>
              <w:t>ei</w:t>
            </w:r>
            <w:r>
              <w:rPr>
                <w:rFonts w:ascii="Times New Roman" w:hAnsi="Times New Roman"/>
              </w:rPr>
              <w:t xml:space="preserve"> ole tagatud kinnisvarale seatud hüpoteegiga vastavalt kapitalinõuete määruse artikli 199 lõike 1 pun</w:t>
            </w:r>
            <w:r w:rsidR="00214019">
              <w:rPr>
                <w:rFonts w:ascii="Times New Roman" w:hAnsi="Times New Roman"/>
              </w:rPr>
              <w:t>ktile a.</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Siin esitatakse andmeväljade {260 020} ja {270 020} summa.</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{250;030}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Nõuded finantssektoriväliste äriühingute vastu, millest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122 kohaste nõuetega finantssektori</w:t>
            </w:r>
            <w:r>
              <w:rPr>
                <w:rFonts w:ascii="Times New Roman" w:hAnsi="Times New Roman"/>
                <w:b/>
              </w:rPr>
              <w:t>väliste</w:t>
            </w:r>
            <w:r w:rsidR="00214019">
              <w:rPr>
                <w:rFonts w:ascii="Times New Roman" w:hAnsi="Times New Roman"/>
              </w:rPr>
              <w:t xml:space="preserve"> äriühingute vastu.</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{260 030} ja {270 030} summa.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{250;040}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Nõuded finantssektoriväliste äriühingute vastu, millest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147 lõike 2 punkti c kohaste nõuetega finantssektori</w:t>
            </w:r>
            <w:r>
              <w:rPr>
                <w:rFonts w:ascii="Times New Roman" w:hAnsi="Times New Roman"/>
                <w:b/>
              </w:rPr>
              <w:t>väliste</w:t>
            </w:r>
            <w:r>
              <w:rPr>
                <w:rFonts w:ascii="Times New Roman" w:hAnsi="Times New Roman"/>
              </w:rPr>
              <w:t xml:space="preserve"> äriühingute vastu, kui need nõuded </w:t>
            </w:r>
            <w:r>
              <w:rPr>
                <w:rFonts w:ascii="Times New Roman" w:hAnsi="Times New Roman"/>
                <w:b/>
                <w:u w:val="single"/>
              </w:rPr>
              <w:t>ei</w:t>
            </w:r>
            <w:r>
              <w:rPr>
                <w:rFonts w:ascii="Times New Roman" w:hAnsi="Times New Roman"/>
              </w:rPr>
              <w:t xml:space="preserve"> ole tagatud kinnisvarale seatud hüpoteegiga vastavalt kapitalinõuete määruse </w:t>
            </w:r>
            <w:r w:rsidR="00214019">
              <w:rPr>
                <w:rFonts w:ascii="Times New Roman" w:hAnsi="Times New Roman"/>
              </w:rPr>
              <w:t>artikli 199 lõike 1 punktile a.</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Siin esitatakse andmeväljade {260 040} ja {270 040} summa.</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Nõuded VKEde vastu – finantsvõimenduse määra riskipositsiooni väärtus – standardmeetodi kohased riskipositsioonid</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122 kohaste nõuetega selliste äriühingute vastu, kes on väikesed ja keskmi</w:t>
            </w:r>
            <w:r w:rsidR="00214019">
              <w:rPr>
                <w:rFonts w:ascii="Times New Roman" w:hAnsi="Times New Roman"/>
              </w:rPr>
              <w:t>se suurusega ettevõtjad (</w:t>
            </w:r>
            <w:proofErr w:type="spellStart"/>
            <w:r w:rsidR="00214019">
              <w:rPr>
                <w:rFonts w:ascii="Times New Roman" w:hAnsi="Times New Roman"/>
              </w:rPr>
              <w:t>VKEd</w:t>
            </w:r>
            <w:proofErr w:type="spellEnd"/>
            <w:r w:rsidR="00214019">
              <w:rPr>
                <w:rFonts w:ascii="Times New Roman" w:hAnsi="Times New Roman"/>
              </w:rPr>
              <w:t>).</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 xml:space="preserve">Selle andmevälja täitmisel lähtutakse kapitalinõuete määruse artikli 501 lõike 2 punktis b osutatud </w:t>
            </w:r>
            <w:r>
              <w:rPr>
                <w:rFonts w:ascii="Times New Roman" w:hAnsi="Times New Roman"/>
              </w:rPr>
              <w:lastRenderedPageBreak/>
              <w:t>väikese või keskmise suurusega ettevõtja määratlusest.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{260;020}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VKEde vastu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varade puhul, mille korral on tegemist kapitalinõuete määruse artikli 147 lõike 2 punkti c kohaste nõuetega äriühingute vastu, kui need nõuded on väikeste ja keskmise suurusega ettevõtjate vastu </w:t>
            </w:r>
            <w:r>
              <w:rPr>
                <w:rFonts w:ascii="Times New Roman" w:hAnsi="Times New Roman"/>
                <w:b/>
                <w:u w:val="single"/>
              </w:rPr>
              <w:t>ega</w:t>
            </w:r>
            <w:r>
              <w:rPr>
                <w:rFonts w:ascii="Times New Roman" w:hAnsi="Times New Roman"/>
              </w:rPr>
              <w:t xml:space="preserve"> ole tagatud kinnisvarale seatud hüpoteegiga vastavalt kapitalinõuete määruse artikli 199 lõike 1 punktile a.</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Selle andmevälja täitmisel lähtutakse kapitalinõuete määruse artikli 501 lõike 2 punktis b osutatud väikese või keskmise suurusega ettevõtja määratlusest.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VKEde vastu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122 kohaste nõuetega selliste äriühingute vastu, kes on väikesed ja keskmi</w:t>
            </w:r>
            <w:r w:rsidR="00214019">
              <w:rPr>
                <w:rFonts w:ascii="Times New Roman" w:hAnsi="Times New Roman"/>
              </w:rPr>
              <w:t>se suurusega ettevõtjad (</w:t>
            </w:r>
            <w:proofErr w:type="spellStart"/>
            <w:r w:rsidR="00214019">
              <w:rPr>
                <w:rFonts w:ascii="Times New Roman" w:hAnsi="Times New Roman"/>
              </w:rPr>
              <w:t>VKEd</w:t>
            </w:r>
            <w:proofErr w:type="spellEnd"/>
            <w:r w:rsidR="00214019">
              <w:rPr>
                <w:rFonts w:ascii="Times New Roman" w:hAnsi="Times New Roman"/>
              </w:rPr>
              <w:t>).</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Selle andmevälja täitmisel lähtutakse kapitalinõuete määruse artikli 501 lõike 2 punktis b osutatud väikese või keskmise suurusega ettevõtja määratlusest.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Nõuded VKEde vastu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kapitalinõuete määruse artikli 147 lõike 2 punkti c kohaste nõuetega äriühingute vastu, kui need nõuded on väikeste ja keskmise suurusega ettevõtjate vastu </w:t>
            </w:r>
            <w:r>
              <w:rPr>
                <w:rFonts w:ascii="Times New Roman" w:hAnsi="Times New Roman"/>
                <w:b/>
                <w:u w:val="single"/>
              </w:rPr>
              <w:t>ega</w:t>
            </w:r>
            <w:r>
              <w:rPr>
                <w:rFonts w:ascii="Times New Roman" w:hAnsi="Times New Roman"/>
              </w:rPr>
              <w:t xml:space="preserve"> ole tagatud kinnisvarale seatud hüpoteegiga vastavalt kapitalinõuete määruse </w:t>
            </w:r>
            <w:r w:rsidR="00214019">
              <w:rPr>
                <w:rFonts w:ascii="Times New Roman" w:hAnsi="Times New Roman"/>
              </w:rPr>
              <w:t>artikli 199 lõike 1 punktile a.</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Selle andmevälja täitmisel lähtutakse kapitalinõuete määruse artikli 501 lõike 2 punktis b osutatud väikese või keskmise suurusega ettevõtja määratlusest.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{270;010}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Nõuded muude äriühingute kui VKEde vastu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122 kohaste selliste nõuetega äriühingute vastu, mida ei ole kajastatud andmeväljade</w:t>
            </w:r>
            <w:r w:rsidR="00214019">
              <w:rPr>
                <w:rFonts w:ascii="Times New Roman" w:hAnsi="Times New Roman"/>
              </w:rPr>
              <w:t>l {</w:t>
            </w:r>
            <w:proofErr w:type="spellStart"/>
            <w:r w:rsidR="00214019">
              <w:rPr>
                <w:rFonts w:ascii="Times New Roman" w:hAnsi="Times New Roman"/>
              </w:rPr>
              <w:t>230;040</w:t>
            </w:r>
            <w:proofErr w:type="spellEnd"/>
            <w:r w:rsidR="00214019">
              <w:rPr>
                <w:rFonts w:ascii="Times New Roman" w:hAnsi="Times New Roman"/>
              </w:rPr>
              <w:t>} ja {</w:t>
            </w:r>
            <w:proofErr w:type="spellStart"/>
            <w:r w:rsidR="00214019">
              <w:rPr>
                <w:rFonts w:ascii="Times New Roman" w:hAnsi="Times New Roman"/>
              </w:rPr>
              <w:t>250;040</w:t>
            </w:r>
            <w:proofErr w:type="spellEnd"/>
            <w:r w:rsidR="00214019">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{270;020}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Nõuded muude äriühingute kui VKEde vastu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Finantsvõimenduse määra riskipositsiooni väärtus varade puhul, mille korral on tegemist </w:t>
            </w:r>
            <w:r>
              <w:rPr>
                <w:rFonts w:ascii="Times New Roman" w:hAnsi="Times New Roman"/>
              </w:rPr>
              <w:lastRenderedPageBreak/>
              <w:t xml:space="preserve">kapitalinõuete määruse artikli 147 lõike 2 punkti c kohaste nõuetega äriühingute vastu, kui need nõuded </w:t>
            </w:r>
            <w:r>
              <w:rPr>
                <w:rFonts w:ascii="Times New Roman" w:hAnsi="Times New Roman"/>
                <w:b/>
                <w:u w:val="single"/>
              </w:rPr>
              <w:t>ei</w:t>
            </w:r>
            <w:r>
              <w:rPr>
                <w:rFonts w:ascii="Times New Roman" w:hAnsi="Times New Roman"/>
              </w:rPr>
              <w:t xml:space="preserve"> ole tagatud kinnisvarale seatud hüpoteegiga vastavalt kapitalinõuete määruse artikli 199 lõike 1 punktile a ning mida ei ole kajastatud andmev</w:t>
            </w:r>
            <w:r w:rsidR="00214019">
              <w:rPr>
                <w:rFonts w:ascii="Times New Roman" w:hAnsi="Times New Roman"/>
              </w:rPr>
              <w:t>äljadel {</w:t>
            </w:r>
            <w:proofErr w:type="spellStart"/>
            <w:r w:rsidR="00214019">
              <w:rPr>
                <w:rFonts w:ascii="Times New Roman" w:hAnsi="Times New Roman"/>
              </w:rPr>
              <w:t>230;040</w:t>
            </w:r>
            <w:proofErr w:type="spellEnd"/>
            <w:r w:rsidR="00214019">
              <w:rPr>
                <w:rFonts w:ascii="Times New Roman" w:hAnsi="Times New Roman"/>
              </w:rPr>
              <w:t>} ja {</w:t>
            </w:r>
            <w:proofErr w:type="spellStart"/>
            <w:r w:rsidR="00214019">
              <w:rPr>
                <w:rFonts w:ascii="Times New Roman" w:hAnsi="Times New Roman"/>
              </w:rPr>
              <w:t>250;040</w:t>
            </w:r>
            <w:proofErr w:type="spellEnd"/>
            <w:r w:rsidR="00214019">
              <w:rPr>
                <w:rFonts w:ascii="Times New Roman" w:hAnsi="Times New Roman"/>
              </w:rPr>
              <w: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{270;030}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Nõuded muude äriühingute kui VKEde vastu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122 kohaste selliste nõuetega äriühingute vastu, mida ei ole kajastatud andmev</w:t>
            </w:r>
            <w:r w:rsidR="00214019">
              <w:rPr>
                <w:rFonts w:ascii="Times New Roman" w:hAnsi="Times New Roman"/>
              </w:rPr>
              <w:t>äljadel {</w:t>
            </w:r>
            <w:proofErr w:type="spellStart"/>
            <w:r w:rsidR="00214019">
              <w:rPr>
                <w:rFonts w:ascii="Times New Roman" w:hAnsi="Times New Roman"/>
              </w:rPr>
              <w:t>230;040</w:t>
            </w:r>
            <w:proofErr w:type="spellEnd"/>
            <w:r w:rsidR="00214019">
              <w:rPr>
                <w:rFonts w:ascii="Times New Roman" w:hAnsi="Times New Roman"/>
              </w:rPr>
              <w:t>} ja {</w:t>
            </w:r>
            <w:proofErr w:type="spellStart"/>
            <w:r w:rsidR="00214019">
              <w:rPr>
                <w:rFonts w:ascii="Times New Roman" w:hAnsi="Times New Roman"/>
              </w:rPr>
              <w:t>250;040</w:t>
            </w:r>
            <w:proofErr w:type="spellEnd"/>
            <w:r w:rsidR="00214019">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{270;040}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Nõuded muude äriühingute kui VKEde vastu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kapitalinõuete määruse artikli 147 lõike 2 punkti c kohaste nõuetega äriühingute vastu, kui need nõuded </w:t>
            </w:r>
            <w:r>
              <w:rPr>
                <w:rFonts w:ascii="Times New Roman" w:hAnsi="Times New Roman"/>
                <w:b/>
                <w:u w:val="single"/>
              </w:rPr>
              <w:t>ei</w:t>
            </w:r>
            <w:r>
              <w:rPr>
                <w:rFonts w:ascii="Times New Roman" w:hAnsi="Times New Roman"/>
              </w:rPr>
              <w:t xml:space="preserve"> ole tagatud kinnisvarale seatud hüpoteegiga vastavalt kapitalinõuete määruse artikli 199 lõike 1 punktile a ning mida ei ole kajastatud andmev</w:t>
            </w:r>
            <w:r w:rsidR="00214019">
              <w:rPr>
                <w:rFonts w:ascii="Times New Roman" w:hAnsi="Times New Roman"/>
              </w:rPr>
              <w:t>äljadel {</w:t>
            </w:r>
            <w:proofErr w:type="spellStart"/>
            <w:r w:rsidR="00214019">
              <w:rPr>
                <w:rFonts w:ascii="Times New Roman" w:hAnsi="Times New Roman"/>
              </w:rPr>
              <w:t>230;040</w:t>
            </w:r>
            <w:proofErr w:type="spellEnd"/>
            <w:r w:rsidR="00214019">
              <w:rPr>
                <w:rFonts w:ascii="Times New Roman" w:hAnsi="Times New Roman"/>
              </w:rPr>
              <w:t>} ja {</w:t>
            </w:r>
            <w:proofErr w:type="spellStart"/>
            <w:r w:rsidR="00214019">
              <w:rPr>
                <w:rFonts w:ascii="Times New Roman" w:hAnsi="Times New Roman"/>
              </w:rPr>
              <w:t>250;040</w:t>
            </w:r>
            <w:proofErr w:type="spellEnd"/>
            <w:r w:rsidR="00214019">
              <w:rPr>
                <w:rFonts w:ascii="Times New Roman" w:hAnsi="Times New Roman"/>
              </w:rPr>
              <w:t>}.</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Makseviivituses olevad riskipositsioonid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varade puhul, mille korral on tegemist makseviivituses olevate riskipositsioonidega ja mis jäävad seega kapitalinõuete määruse </w:t>
            </w:r>
            <w:r w:rsidR="00214019">
              <w:rPr>
                <w:rFonts w:ascii="Times New Roman" w:hAnsi="Times New Roman"/>
              </w:rPr>
              <w:t>artikli 127 reguleerimisalasse.</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Makseviivituses olevad riskipositsioonid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mis on liigitatud kapitalinõuete määruse artikli 147 lõikes 2 loetletud riskipositsiooni klassidesse, kui vastavalt kapitalinõuete määruse artiklile</w:t>
            </w:r>
            <w:r w:rsidR="00214019">
              <w:rPr>
                <w:rFonts w:ascii="Times New Roman" w:hAnsi="Times New Roman"/>
              </w:rPr>
              <w:t> 178 on tekkinud makseviivitus.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{280;030}</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Makseviivituses olevad riskipositsioonid – riskiga kaalutud varad – standardmeetodi kohased riskipositsioonid</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Riskiga kaalutud varad varade puhul, mille korral on tegemist makseviivituses olevate riskipositsioonidega ja mis jäävad seega kapitalinõuete määruse </w:t>
            </w:r>
            <w:r w:rsidR="00214019">
              <w:rPr>
                <w:rFonts w:ascii="Times New Roman" w:hAnsi="Times New Roman"/>
              </w:rPr>
              <w:t>artikli 127 reguleerimisalasse.</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Makseviivituses olevad riskipositsioonid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Riskiga kaalutud varad varade puhul, mis on liigitatud kapitalinõuete määruse artikli 147 lõikes 2 loetletud riskipositsiooni klassidesse, kui vastavalt kapitalinõuete määruse artiklile</w:t>
            </w:r>
            <w:r w:rsidR="00214019">
              <w:rPr>
                <w:rFonts w:ascii="Times New Roman" w:hAnsi="Times New Roman"/>
              </w:rPr>
              <w:t> 178 on tekkinud makseviivitus.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{290;010}</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Muud kirjed, millest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Finantsvõimenduse määra riskipositsiooni väärtus varade puhul, mis on liigitatud kapitalinõuete </w:t>
            </w:r>
            <w:r>
              <w:rPr>
                <w:rFonts w:ascii="Times New Roman" w:hAnsi="Times New Roman"/>
              </w:rPr>
              <w:lastRenderedPageBreak/>
              <w:t>määruse artikli 112 punktides k, m, n, o, p ja q loetletu</w:t>
            </w:r>
            <w:r w:rsidR="00214019">
              <w:rPr>
                <w:rFonts w:ascii="Times New Roman" w:hAnsi="Times New Roman"/>
              </w:rPr>
              <w:t>d riskipositsiooni klassidesse.</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Krediidiasutused ja investeerimisühingud esitavad siinkohal varad, mis on omavahenditest maha arvatud (nt immateriaalsed varad), aga mida ei saa muul juhul selle andmevälja alla kategoriseerida, isegi kui asjakohane kategoriseerimine ei ole vajalik riskipõhiste omavahendite nõuete määramiseks veergudes {*; 030} ja {*; 040}.</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Muud kirjed, millest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summa varade puhul, mis on liigitatud kapitalinõuete määruse artikli 147 lõike 2 punktides e, f ja g loetletu</w:t>
            </w:r>
            <w:r w:rsidR="00214019">
              <w:rPr>
                <w:rFonts w:ascii="Times New Roman" w:hAnsi="Times New Roman"/>
              </w:rPr>
              <w:t>d riskipositsiooni klassidesse.</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Krediidiasutused ja investeerimisühingud esitavad siinkohal varad, mis on omavahenditest maha arvatud (nt immateriaalsed varad), aga mida ei saa muul juhul selle andmevälja alla kategoriseerida, isegi kui asjakohane kategoriseerimine ei ole vajalik riskipõhiste omavahendite nõuete määramiseks veergudes {*; 030} ja {*; 040}.</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{290;030}</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Muud kirjed, millest</w:t>
            </w:r>
            <w:r>
              <w:rPr>
                <w:rFonts w:ascii="Times New Roman" w:hAnsi="Times New Roman"/>
              </w:rPr>
              <w:t xml:space="preserve"> </w:t>
            </w:r>
            <w:r>
              <w:rPr>
                <w:rFonts w:ascii="Times New Roman" w:hAnsi="Times New Roman"/>
                <w:b/>
              </w:rPr>
              <w:t>– riskiga kaalutud varad – standardmeetodi kohased riskipositsioonid</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mis on liigitatud kapitalinõuete määruse artikli 112 punktides k, m, n, o, p ja q loetletud riskipositsiooni klassidesse.</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Muud kirjed, millest</w:t>
            </w:r>
            <w:r>
              <w:rPr>
                <w:rFonts w:ascii="Times New Roman" w:hAnsi="Times New Roman"/>
              </w:rPr>
              <w:t xml:space="preserve"> </w:t>
            </w:r>
            <w:r>
              <w:rPr>
                <w:rFonts w:ascii="Times New Roman" w:hAnsi="Times New Roman"/>
                <w:b/>
              </w:rPr>
              <w:t>– riskiga kaalutud varad – sisereitingute meetodi kohased riskipositsioonid</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mis on liigitatud kapitalinõuete määruse artikli 147 lõike 2 punktides e, f ja g loetletu</w:t>
            </w:r>
            <w:r w:rsidR="00214019">
              <w:rPr>
                <w:rFonts w:ascii="Times New Roman" w:hAnsi="Times New Roman"/>
              </w:rPr>
              <w:t>d riskipositsiooni klassidesse.</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Väärtpaberistamise positsioonid – finantsvõimenduse määra riskipositsiooni väärtus – standardmeetodi kohased riskipositsioonid</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kapitalinõuete määruse artikli 112 punkti m kohaste väärtpaberistamise positsioonidega.</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Väärtpaberistamise positsioonid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varade puhul, mille korral on tegemist väärtpaberistamise positsioonidega, mis kuuluvad kapitalinõuete määruse artikli 147 lõike</w:t>
            </w:r>
            <w:r w:rsidR="00214019">
              <w:rPr>
                <w:rFonts w:ascii="Times New Roman" w:hAnsi="Times New Roman"/>
              </w:rPr>
              <w:t> 2 punkti f reguleerimisalasse.</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{300;030}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Väärtpaberistamise positsioonid – riskiga kaalutud varad – standardmeetodi kohased riskipositsioonid</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kapitalinõuete määruse artikli 112 punkti m kohaste väär</w:t>
            </w:r>
            <w:r w:rsidR="00214019">
              <w:rPr>
                <w:rFonts w:ascii="Times New Roman" w:hAnsi="Times New Roman"/>
              </w:rPr>
              <w:t>tpaberistamise positsioonidega.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Väärtpaberistamise positsioonid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Riskiga kaalutud varad varade puhul, mille korral on tegemist väärtpaberistamise positsioonidega, mis kuuluvad kapitalinõuete määruse artikli 147 lõike 2 punkti f regulee</w:t>
            </w:r>
            <w:r w:rsidR="00214019">
              <w:rPr>
                <w:rFonts w:ascii="Times New Roman" w:hAnsi="Times New Roman"/>
              </w:rPr>
              <w:t>rimisalasse.</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{310;010}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Kaubanduse rahastamise riskipositsioonid (memokirje), millest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Finantsvõimenduse määra riskipositsiooni väärtus selliste bilansiliste kirjete puhul, mis on seotud kaupade või teenuste importijale või eksportijale impordi- või ekspordikrediidi kaudu laenuandmisega ja m</w:t>
            </w:r>
            <w:r w:rsidR="00214019">
              <w:rPr>
                <w:rFonts w:ascii="Times New Roman" w:hAnsi="Times New Roman"/>
              </w:rPr>
              <w:t>uude samalaadsete tehingutega.</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Kaubanduse rahastamise riskipositsioonid (memokirje), millest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Finantsvõimenduse määra riskipositsiooni summa selliste bilansiliste kirjete puhul, mis on seotud kaupade või teenuste importijale või eksportijale impordi- või ekspordikrediidi kaudu laenuandmisega ja </w:t>
            </w:r>
            <w:r w:rsidR="00214019">
              <w:rPr>
                <w:rFonts w:ascii="Times New Roman" w:hAnsi="Times New Roman"/>
              </w:rPr>
              <w:t>muude samalaadsete tehingutega.</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Kaubanduse rahastamise riskipositsioonid (memokirje), millest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Riskiga kaalutud varad selliste bilansiliste kirjete puhul, mis on seotud kaupade või teenuste importijale või eksportijale impordi- või ekspordikrediidi kaudu laenuandmisega ja muude samala</w:t>
            </w:r>
            <w:r w:rsidR="00214019">
              <w:rPr>
                <w:rFonts w:ascii="Times New Roman" w:hAnsi="Times New Roman"/>
              </w:rPr>
              <w:t>adsete tehingutega.</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Kaubanduse rahastamise riskipositsioonid (memokirje), millest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Riskiga kaalutud varad selliste bilansiliste kirjete puhul, mis on seotud kaupade või teenuste importijale või eksportijale impordi- või ekspordikrediidi kaudu laenuandmisega ja </w:t>
            </w:r>
            <w:r w:rsidR="00214019">
              <w:rPr>
                <w:rFonts w:ascii="Times New Roman" w:hAnsi="Times New Roman"/>
              </w:rPr>
              <w:t>muude samalaadsete tehingutega.</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Krediidiasutused ja investeerimisühingud kajastavad selle pärast makseviivituses olevate riskipositsioonide mahaarvamist.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{320;010}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Ametliku ekspordikrediidikindlustuse skeemi alusel – finantsvõimenduse määra riskipositsiooni väärtus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Finantsvõimenduse määra riskipositsiooni väärtus selliste bilansiliste kirjete puhul, mis on seotud kaubanduse rahastamisega ametliku ekspordikrediidikindlustuse skeemi alusel. Vormis LR4 kajastamise eesmärgil tähendab ametlik ekspordikrediidikindlustuse skeem ametlikku toetust, mida annab valitsemissektor või muu üksus, nagu ekspordikrediidi agentuur, muu hulgas otselaenude/finantseerimise, refinantseerimise, intressitoetuse (kus laenu kogu kestuse jooksul on garanteeritud fikseeritud intressimäär), abi finantseerimise (laenud ja toetused), ekspordikrediidiki</w:t>
            </w:r>
            <w:r w:rsidR="00214019">
              <w:rPr>
                <w:rFonts w:ascii="Times New Roman" w:hAnsi="Times New Roman"/>
              </w:rPr>
              <w:t>ndlustuse ja garantiide vormis.</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Ametliku ekspordikrediidikindlustuse skeemi alusel – finantsvõimenduse määra riskipositsiooni väärtus – sisereitingute 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Finantsvõimenduse määra riskipositsiooni summa selliste bilansiliste kirjete puhul, mis on seotud kaubanduse rahastamisega ametliku ekspordikrediidikindlustuse skeemi alusel. Vormis LR4 kajastamise eesmärgil tähendab ametlik ekspordikrediidikindlustuse skeem ametlikku toetust, mida annab valitsemissektor või muu üksus, nagu ekspordikrediidi agentuur, muu hulgas otselaenude/finantseerimise, refinantseerimise, intressitoetuse (kus laenu kogu kestuse jooksul on garanteeritud fikseeritud intressimäär), abi finantseerimise (laenud ja toetused), ekspordikrediidiki</w:t>
            </w:r>
            <w:r w:rsidR="00214019">
              <w:rPr>
                <w:rFonts w:ascii="Times New Roman" w:hAnsi="Times New Roman"/>
              </w:rPr>
              <w:t>ndlustuse ja garantiide vormis.</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Krediidiasutused ja investeerimisühingud kajastavad selle pärast makseviivituses olevate riskipositsioonide mahaarvamist.</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Ametliku ekspordikrediidikindlustuse skeemi alusel – riskiga kaalutud varad – standardmeetodi kohased riskipositsioonid</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Riskiga kaalutud varad selliste bilansiliste kirjete puhul, mis on seotud kaubanduse rahastamisega ametliku ekspordikrediidikindlustuse skeemi alusel. Vormis LR4 kajastamise eesmärgil tähendab ametlik ekspordikrediidikindlustuse skeem ametlikku toetust, mida annab valitsemissektor või muu üksus, nagu ekspordikrediidi agentuur, muu hulgas otselaenude/finantseerimise, refinantseerimise, intressitoetuse (kus laenu kogu kestuse jooksul on garanteeritud fikseeritud intressimäär), abi finantseerimise (laenud ja toetused), ekspordikrediidikindl</w:t>
            </w:r>
            <w:r w:rsidR="00214019">
              <w:rPr>
                <w:rFonts w:ascii="Times New Roman" w:hAnsi="Times New Roman"/>
              </w:rPr>
              <w:t>ustuse ja garantiide vormis.</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Ametliku ekspordikrediidikindlustuse skeemi alusel – riskiga kaalutud varad – sisereitingute meetodi kohased riskipositsioonid</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Riskiga kaalutud varad selliste bilansiliste kirjete puhul, mis on seotud kaubanduse rahastamisega ametliku ekspordikrediidikindlustuse skeemi alusel. Vormis LR4 kajastamise eesmärgil tähendab ametlik ekspordikrediidikindlustuse skeem ametlikku toetust, mida annab valitsemissektor või muu üksus, nagu ekspordikrediidi agentuur, muu hulgas otselaenude/finantseerimise, refinantseerimise, intressitoetuse (kus laenu kogu kestuse jooksul on garanteeritud fikseeritud intressimäär), abi finantseerimise (laenud ja toetused), ekspordikrediidiki</w:t>
            </w:r>
            <w:r w:rsidR="00214019">
              <w:rPr>
                <w:rFonts w:ascii="Times New Roman" w:hAnsi="Times New Roman"/>
              </w:rPr>
              <w:t>ndlustuse ja garantiide vormis.</w:t>
            </w:r>
            <w:bookmarkStart w:id="103" w:name="_GoBack"/>
            <w:bookmarkEnd w:id="103"/>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Krediidiasutused ja investeerimisühingud kajastavad selle pärast makseviivituses olevate riskipositsioonide mahaarvamist.</w:t>
            </w:r>
          </w:p>
          <w:p w:rsidR="002509B1" w:rsidRPr="00FE002E" w:rsidRDefault="002509B1" w:rsidP="007E2A41">
            <w:pPr>
              <w:pStyle w:val="BodyText1"/>
              <w:spacing w:line="240" w:lineRule="auto"/>
              <w:rPr>
                <w:rFonts w:ascii="Times New Roman" w:hAnsi="Times New Roman"/>
                <w:b/>
                <w:bCs/>
                <w:u w:val="single"/>
              </w:rPr>
            </w:pPr>
          </w:p>
        </w:tc>
      </w:tr>
      <w:bookmarkEnd w:id="97"/>
    </w:tbl>
    <w:p w:rsidR="00217D1F" w:rsidRPr="00FE002E" w:rsidRDefault="00F4754B" w:rsidP="00500508">
      <w:pPr>
        <w:pStyle w:val="BodyText1"/>
        <w:ind w:left="357" w:hanging="357"/>
        <w:outlineLvl w:val="1"/>
        <w:rPr>
          <w:rFonts w:ascii="Times New Roman" w:hAnsi="Times New Roman"/>
          <w:b/>
        </w:rPr>
      </w:pPr>
      <w:r>
        <w:br w:type="page"/>
      </w:r>
      <w:bookmarkStart w:id="104" w:name="_Toc351048511"/>
      <w:bookmarkStart w:id="105" w:name="_Toc359414290"/>
      <w:bookmarkStart w:id="106" w:name="_Toc423089075"/>
      <w:bookmarkStart w:id="107" w:name="_Toc524000023"/>
      <w:bookmarkStart w:id="108" w:name="_Toc524079955"/>
      <w:r>
        <w:rPr>
          <w:rFonts w:ascii="Times New Roman" w:hAnsi="Times New Roman"/>
          <w:b/>
        </w:rPr>
        <w:lastRenderedPageBreak/>
        <w:t>9.</w:t>
      </w:r>
      <w:r>
        <w:tab/>
      </w:r>
      <w:r>
        <w:rPr>
          <w:rFonts w:ascii="Times New Roman" w:hAnsi="Times New Roman"/>
          <w:b/>
        </w:rPr>
        <w:t>C 44.00 – Üldine teave</w:t>
      </w:r>
      <w:bookmarkEnd w:id="104"/>
      <w:bookmarkEnd w:id="105"/>
      <w:r>
        <w:rPr>
          <w:rFonts w:ascii="Times New Roman" w:hAnsi="Times New Roman"/>
          <w:b/>
        </w:rPr>
        <w:t xml:space="preserve"> (LR5)</w:t>
      </w:r>
      <w:bookmarkEnd w:id="106"/>
      <w:bookmarkEnd w:id="107"/>
      <w:bookmarkEnd w:id="108"/>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31.</w:t>
      </w:r>
      <w:r>
        <w:tab/>
      </w:r>
      <w:r>
        <w:rPr>
          <w:rFonts w:ascii="Times New Roman" w:hAnsi="Times New Roman"/>
        </w:rPr>
        <w:t>Siin esitatakse täiendav teave, mis on vajalik krediidiasutuse või investeerimisühingu tegevuse ja tema tehtud regulatiivsete valikute liigitamiseks.</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Rida </w:t>
            </w:r>
          </w:p>
          <w:p w:rsidR="00F4754B" w:rsidRPr="00FE002E" w:rsidRDefault="00F4754B" w:rsidP="00F4754B">
            <w:pPr>
              <w:pStyle w:val="BodyText1"/>
              <w:rPr>
                <w:rFonts w:ascii="Times New Roman" w:hAnsi="Times New Roman"/>
                <w:b/>
                <w:bCs/>
              </w:rPr>
            </w:pPr>
            <w:r>
              <w:rPr>
                <w:rFonts w:ascii="Times New Roman" w:hAnsi="Times New Roman"/>
                <w:b/>
              </w:rPr>
              <w:t>ja veerg</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Juhised</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Krediidiasutuse või investeerimisühingu äriühingu struktuur</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Krediidiasutus või investeerimisühing liigitab oma äriühingu struktuuri vastavalt allpool esitatud kategooriatele:</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aktsiaselts,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vastastikune selts/ühistu,</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muu äriühing kui aktsiaselts.</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Tuletisinstrumentide käsitlemine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Krediidiasutus või investeerimisühing täpsustab regulatiivse tuletisinstrumentide käsitlemise vastavalt allpool esitatud kategooriatele:</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esmase riskipositsiooni meetod,</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turuväärtuse meetod.</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{040;010}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Krediidiasutuse või investeerimisühingu liik</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Krediidiasutus või investeerimisühing täpsustab, mis liiki krediidiasutus või investeerimisühing ta on, vastavalt allpool esitatud kategooriatele:</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universaalpangandus (jaepangandus/äripangandus ja investeerimispangandus),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jaepangandus/äripangandus,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investeerimispangandus,</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eriotstarbeliste laenude andja,</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muu ärimudel.</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BF2542">
      <w:headerReference w:type="even" r:id="rId11"/>
      <w:headerReference w:type="default" r:id="rId12"/>
      <w:footerReference w:type="even" r:id="rId13"/>
      <w:footerReference w:type="default" r:id="rId14"/>
      <w:headerReference w:type="first" r:id="rId15"/>
      <w:footerReference w:type="first" r:id="rId16"/>
      <w:pgSz w:w="11906" w:h="16838" w:code="9"/>
      <w:pgMar w:top="1522" w:right="1418" w:bottom="1560" w:left="1418" w:header="851" w:footer="141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D5C" w:rsidRDefault="006F2D5C">
      <w:r>
        <w:separator/>
      </w:r>
    </w:p>
  </w:endnote>
  <w:endnote w:type="continuationSeparator" w:id="0">
    <w:p w:rsidR="006F2D5C" w:rsidRDefault="006F2D5C">
      <w:r>
        <w:continuationSeparator/>
      </w:r>
    </w:p>
  </w:endnote>
  <w:endnote w:type="continuationNotice" w:id="1">
    <w:p w:rsidR="006F2D5C" w:rsidRDefault="006F2D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4C0" w:rsidRDefault="00A464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Content>
      <w:p w:rsidR="006F2D5C" w:rsidRPr="009A78F0" w:rsidRDefault="006F2D5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214019">
          <w:rPr>
            <w:rFonts w:ascii="Times New Roman" w:hAnsi="Times New Roman"/>
            <w:noProof/>
            <w:sz w:val="20"/>
          </w:rPr>
          <w:t>50</w:t>
        </w:r>
        <w:r w:rsidRPr="009A78F0">
          <w:rPr>
            <w:rFonts w:ascii="Times New Roman" w:hAnsi="Times New Roman"/>
            <w:noProof/>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940854"/>
      <w:docPartObj>
        <w:docPartGallery w:val="Page Numbers (Bottom of Page)"/>
        <w:docPartUnique/>
      </w:docPartObj>
    </w:sdtPr>
    <w:sdtEndPr>
      <w:rPr>
        <w:noProof/>
      </w:rPr>
    </w:sdtEndPr>
    <w:sdtContent>
      <w:p w:rsidR="00BF2542" w:rsidRDefault="00BF254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6F2D5C" w:rsidRDefault="006F2D5C" w:rsidP="00BF2542">
    <w:pPr>
      <w:pStyle w:val="Footer"/>
      <w:tabs>
        <w:tab w:val="clear" w:pos="4153"/>
        <w:tab w:val="clear" w:pos="8306"/>
        <w:tab w:val="left" w:pos="198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D5C" w:rsidRPr="004D223F" w:rsidRDefault="006F2D5C" w:rsidP="00C7701D">
      <w:r>
        <w:continuationSeparator/>
      </w:r>
    </w:p>
  </w:footnote>
  <w:footnote w:type="continuationSeparator" w:id="0">
    <w:p w:rsidR="006F2D5C" w:rsidRDefault="006F2D5C">
      <w:r>
        <w:continuationSeparator/>
      </w:r>
    </w:p>
  </w:footnote>
  <w:footnote w:type="continuationNotice" w:id="1">
    <w:p w:rsidR="006F2D5C" w:rsidRDefault="006F2D5C"/>
  </w:footnote>
  <w:footnote w:id="2">
    <w:p w:rsidR="006F2D5C" w:rsidRPr="00AD756F" w:rsidRDefault="006F2D5C" w:rsidP="00F4754B">
      <w:pPr>
        <w:pStyle w:val="FootnoteText"/>
        <w:rPr>
          <w:sz w:val="12"/>
          <w:szCs w:val="12"/>
          <w:lang w:val="en-US"/>
        </w:rPr>
      </w:pPr>
      <w:r>
        <w:rPr>
          <w:rStyle w:val="FootnoteReference"/>
        </w:rPr>
        <w:footnoteRef/>
      </w:r>
      <w:r>
        <w:t xml:space="preserve"> </w:t>
      </w:r>
      <w:r>
        <w:rPr>
          <w:sz w:val="12"/>
        </w:rPr>
        <w:t>See hõlmab väärtpaberistamise tehinguid ja omakapitali investeeringuid, mille puhul esineb krediidirisk.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4C0" w:rsidRDefault="00A464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D5C" w:rsidRDefault="006F2D5C">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79B590C7" wp14:editId="4580292A">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D5C" w:rsidRPr="00BF2542" w:rsidRDefault="006F2D5C" w:rsidP="00BF2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577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37EF8"/>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019"/>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0470"/>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2D5C"/>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4C0"/>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542"/>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140"/>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et-E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t-EE"/>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t-EE"/>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t-EE"/>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t-EE"/>
    </w:rPr>
  </w:style>
  <w:style w:type="character" w:customStyle="1" w:styleId="Heading6Char">
    <w:name w:val="Heading 6 Char"/>
    <w:basedOn w:val="DefaultParagraphFont"/>
    <w:link w:val="Heading6"/>
    <w:rsid w:val="00F4754B"/>
    <w:rPr>
      <w:b/>
      <w:bCs/>
      <w:szCs w:val="22"/>
      <w:lang w:eastAsia="et-EE"/>
    </w:rPr>
  </w:style>
  <w:style w:type="character" w:customStyle="1" w:styleId="Heading7Char">
    <w:name w:val="Heading 7 Char"/>
    <w:basedOn w:val="DefaultParagraphFont"/>
    <w:link w:val="Heading7"/>
    <w:rsid w:val="00F4754B"/>
    <w:rPr>
      <w:sz w:val="24"/>
      <w:szCs w:val="24"/>
      <w:lang w:eastAsia="et-EE"/>
    </w:rPr>
  </w:style>
  <w:style w:type="character" w:customStyle="1" w:styleId="Heading8Char">
    <w:name w:val="Heading 8 Char"/>
    <w:basedOn w:val="DefaultParagraphFont"/>
    <w:link w:val="Heading8"/>
    <w:rsid w:val="00F4754B"/>
    <w:rPr>
      <w:i/>
      <w:iCs/>
      <w:sz w:val="24"/>
      <w:szCs w:val="24"/>
      <w:lang w:eastAsia="et-EE"/>
    </w:rPr>
  </w:style>
  <w:style w:type="character" w:customStyle="1" w:styleId="Heading9Char">
    <w:name w:val="Heading 9 Char"/>
    <w:basedOn w:val="DefaultParagraphFont"/>
    <w:link w:val="Heading9"/>
    <w:rsid w:val="00F4754B"/>
    <w:rPr>
      <w:rFonts w:ascii="Verdana" w:hAnsi="Verdana" w:cs="Arial"/>
      <w:szCs w:val="22"/>
      <w:lang w:eastAsia="et-EE"/>
    </w:rPr>
  </w:style>
  <w:style w:type="character" w:customStyle="1" w:styleId="Heading1Char">
    <w:name w:val="Heading 1 Char"/>
    <w:basedOn w:val="DefaultParagraphFont"/>
    <w:link w:val="Heading1"/>
    <w:rsid w:val="00F4754B"/>
    <w:rPr>
      <w:rFonts w:ascii="Arial" w:hAnsi="Arial"/>
      <w:color w:val="48748F" w:themeColor="accent1"/>
      <w:sz w:val="36"/>
      <w:lang w:eastAsia="et-EE"/>
    </w:rPr>
  </w:style>
  <w:style w:type="character" w:customStyle="1" w:styleId="Heading2Char">
    <w:name w:val="Heading 2 Char"/>
    <w:basedOn w:val="DefaultParagraphFont"/>
    <w:link w:val="Heading2"/>
    <w:rsid w:val="00F4754B"/>
    <w:rPr>
      <w:rFonts w:ascii="Arial" w:hAnsi="Arial"/>
      <w:color w:val="48748F" w:themeColor="accent1"/>
      <w:sz w:val="24"/>
      <w:lang w:eastAsia="et-EE"/>
    </w:rPr>
  </w:style>
  <w:style w:type="character" w:customStyle="1" w:styleId="Heading3Char">
    <w:name w:val="Heading 3 Char"/>
    <w:basedOn w:val="DefaultParagraphFont"/>
    <w:link w:val="Heading3"/>
    <w:rsid w:val="00F4754B"/>
    <w:rPr>
      <w:rFonts w:ascii="Arial" w:hAnsi="Arial"/>
      <w:b/>
      <w:color w:val="48748F" w:themeColor="accent1"/>
      <w:szCs w:val="22"/>
      <w:lang w:eastAsia="et-EE"/>
    </w:rPr>
  </w:style>
  <w:style w:type="character" w:customStyle="1" w:styleId="Heading4Char">
    <w:name w:val="Heading 4 Char"/>
    <w:basedOn w:val="DefaultParagraphFont"/>
    <w:link w:val="Heading4"/>
    <w:rsid w:val="00F4754B"/>
    <w:rPr>
      <w:rFonts w:ascii="Arial" w:hAnsi="Arial"/>
      <w:color w:val="48748F" w:themeColor="accent1"/>
      <w:lang w:eastAsia="et-EE"/>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t-EE"/>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t-EE"/>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t-EE"/>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t-EE"/>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t-EE"/>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t-EE"/>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t-EE"/>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t-EE"/>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t-EE"/>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et-EE" w:eastAsia="et-EE"/>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t-EE"/>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t-EE" w:eastAsia="et-EE" w:bidi="et-EE"/>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t-EE"/>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et-E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t-EE"/>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et-E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t-EE"/>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t-EE" w:eastAsia="et-EE"/>
    </w:rPr>
  </w:style>
  <w:style w:type="paragraph" w:styleId="TOCHeading">
    <w:name w:val="TOC Heading"/>
    <w:basedOn w:val="Heading1"/>
    <w:next w:val="Normal"/>
    <w:uiPriority w:val="39"/>
    <w:semiHidden/>
    <w:unhideWhenUsed/>
    <w:qFormat/>
    <w:rsid w:val="00E52140"/>
    <w:pPr>
      <w:keepNext/>
      <w:keepLines/>
      <w:spacing w:before="480" w:after="0" w:line="276" w:lineRule="auto"/>
      <w:outlineLvl w:val="9"/>
    </w:pPr>
    <w:rPr>
      <w:rFonts w:asciiTheme="majorHAnsi" w:eastAsiaTheme="majorEastAsia" w:hAnsiTheme="majorHAnsi" w:cstheme="majorBidi"/>
      <w:b/>
      <w:bCs/>
      <w:color w:val="36566B" w:themeColor="accent1" w:themeShade="BF"/>
      <w:sz w:val="28"/>
      <w:szCs w:val="28"/>
      <w:lang w:val="en-US" w:eastAsia="ja-JP"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et-E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t-EE"/>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t-EE"/>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t-EE"/>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t-EE"/>
    </w:rPr>
  </w:style>
  <w:style w:type="character" w:customStyle="1" w:styleId="Heading6Char">
    <w:name w:val="Heading 6 Char"/>
    <w:basedOn w:val="DefaultParagraphFont"/>
    <w:link w:val="Heading6"/>
    <w:rsid w:val="00F4754B"/>
    <w:rPr>
      <w:b/>
      <w:bCs/>
      <w:szCs w:val="22"/>
      <w:lang w:eastAsia="et-EE"/>
    </w:rPr>
  </w:style>
  <w:style w:type="character" w:customStyle="1" w:styleId="Heading7Char">
    <w:name w:val="Heading 7 Char"/>
    <w:basedOn w:val="DefaultParagraphFont"/>
    <w:link w:val="Heading7"/>
    <w:rsid w:val="00F4754B"/>
    <w:rPr>
      <w:sz w:val="24"/>
      <w:szCs w:val="24"/>
      <w:lang w:eastAsia="et-EE"/>
    </w:rPr>
  </w:style>
  <w:style w:type="character" w:customStyle="1" w:styleId="Heading8Char">
    <w:name w:val="Heading 8 Char"/>
    <w:basedOn w:val="DefaultParagraphFont"/>
    <w:link w:val="Heading8"/>
    <w:rsid w:val="00F4754B"/>
    <w:rPr>
      <w:i/>
      <w:iCs/>
      <w:sz w:val="24"/>
      <w:szCs w:val="24"/>
      <w:lang w:eastAsia="et-EE"/>
    </w:rPr>
  </w:style>
  <w:style w:type="character" w:customStyle="1" w:styleId="Heading9Char">
    <w:name w:val="Heading 9 Char"/>
    <w:basedOn w:val="DefaultParagraphFont"/>
    <w:link w:val="Heading9"/>
    <w:rsid w:val="00F4754B"/>
    <w:rPr>
      <w:rFonts w:ascii="Verdana" w:hAnsi="Verdana" w:cs="Arial"/>
      <w:szCs w:val="22"/>
      <w:lang w:eastAsia="et-EE"/>
    </w:rPr>
  </w:style>
  <w:style w:type="character" w:customStyle="1" w:styleId="Heading1Char">
    <w:name w:val="Heading 1 Char"/>
    <w:basedOn w:val="DefaultParagraphFont"/>
    <w:link w:val="Heading1"/>
    <w:rsid w:val="00F4754B"/>
    <w:rPr>
      <w:rFonts w:ascii="Arial" w:hAnsi="Arial"/>
      <w:color w:val="48748F" w:themeColor="accent1"/>
      <w:sz w:val="36"/>
      <w:lang w:eastAsia="et-EE"/>
    </w:rPr>
  </w:style>
  <w:style w:type="character" w:customStyle="1" w:styleId="Heading2Char">
    <w:name w:val="Heading 2 Char"/>
    <w:basedOn w:val="DefaultParagraphFont"/>
    <w:link w:val="Heading2"/>
    <w:rsid w:val="00F4754B"/>
    <w:rPr>
      <w:rFonts w:ascii="Arial" w:hAnsi="Arial"/>
      <w:color w:val="48748F" w:themeColor="accent1"/>
      <w:sz w:val="24"/>
      <w:lang w:eastAsia="et-EE"/>
    </w:rPr>
  </w:style>
  <w:style w:type="character" w:customStyle="1" w:styleId="Heading3Char">
    <w:name w:val="Heading 3 Char"/>
    <w:basedOn w:val="DefaultParagraphFont"/>
    <w:link w:val="Heading3"/>
    <w:rsid w:val="00F4754B"/>
    <w:rPr>
      <w:rFonts w:ascii="Arial" w:hAnsi="Arial"/>
      <w:b/>
      <w:color w:val="48748F" w:themeColor="accent1"/>
      <w:szCs w:val="22"/>
      <w:lang w:eastAsia="et-EE"/>
    </w:rPr>
  </w:style>
  <w:style w:type="character" w:customStyle="1" w:styleId="Heading4Char">
    <w:name w:val="Heading 4 Char"/>
    <w:basedOn w:val="DefaultParagraphFont"/>
    <w:link w:val="Heading4"/>
    <w:rsid w:val="00F4754B"/>
    <w:rPr>
      <w:rFonts w:ascii="Arial" w:hAnsi="Arial"/>
      <w:color w:val="48748F" w:themeColor="accent1"/>
      <w:lang w:eastAsia="et-EE"/>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t-EE"/>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t-EE"/>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t-EE"/>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t-EE"/>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t-EE"/>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t-EE"/>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t-EE"/>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t-EE"/>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t-EE"/>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et-EE" w:eastAsia="et-EE"/>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t-EE"/>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t-EE" w:eastAsia="et-EE" w:bidi="et-EE"/>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t-EE"/>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et-E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t-EE"/>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et-E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t-EE"/>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t-EE" w:eastAsia="et-EE"/>
    </w:rPr>
  </w:style>
  <w:style w:type="paragraph" w:styleId="TOCHeading">
    <w:name w:val="TOC Heading"/>
    <w:basedOn w:val="Heading1"/>
    <w:next w:val="Normal"/>
    <w:uiPriority w:val="39"/>
    <w:semiHidden/>
    <w:unhideWhenUsed/>
    <w:qFormat/>
    <w:rsid w:val="00E52140"/>
    <w:pPr>
      <w:keepNext/>
      <w:keepLines/>
      <w:spacing w:before="480" w:after="0" w:line="276" w:lineRule="auto"/>
      <w:outlineLvl w:val="9"/>
    </w:pPr>
    <w:rPr>
      <w:rFonts w:asciiTheme="majorHAnsi" w:eastAsiaTheme="majorEastAsia" w:hAnsiTheme="majorHAnsi" w:cstheme="majorBidi"/>
      <w:b/>
      <w:bCs/>
      <w:color w:val="36566B" w:themeColor="accent1" w:themeShade="BF"/>
      <w:sz w:val="28"/>
      <w:szCs w:val="28"/>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D9865C-14DC-4A5D-8753-0057D2955F7B}">
  <ds:schemaRefs>
    <ds:schemaRef ds:uri="http://schemas.openxmlformats.org/officeDocument/2006/bibliography"/>
  </ds:schemaRefs>
</ds:datastoreItem>
</file>

<file path=customXml/itemProps2.xml><?xml version="1.0" encoding="utf-8"?>
<ds:datastoreItem xmlns:ds="http://schemas.openxmlformats.org/officeDocument/2006/customXml" ds:itemID="{AAA95C2C-861E-4D84-B8EF-3264290745D2}">
  <ds:schemaRefs>
    <ds:schemaRef ds:uri="http://schemas.openxmlformats.org/officeDocument/2006/bibliography"/>
  </ds:schemaRefs>
</ds:datastoreItem>
</file>

<file path=customXml/itemProps3.xml><?xml version="1.0" encoding="utf-8"?>
<ds:datastoreItem xmlns:ds="http://schemas.openxmlformats.org/officeDocument/2006/customXml" ds:itemID="{6D9AF418-A40E-45D8-A25E-CE652E25F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50</Pages>
  <Words>15474</Words>
  <Characters>130919</Characters>
  <Application>Microsoft Office Word</Application>
  <DocSecurity>0</DocSecurity>
  <Lines>3117</Lines>
  <Paragraphs>1240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145153</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LWCR</cp:lastModifiedBy>
  <cp:revision>14</cp:revision>
  <cp:lastPrinted>2015-04-10T08:05:00Z</cp:lastPrinted>
  <dcterms:created xsi:type="dcterms:W3CDTF">2018-02-06T16:20:00Z</dcterms:created>
  <dcterms:modified xsi:type="dcterms:W3CDTF">2018-09-07T09:23:00Z</dcterms:modified>
</cp:coreProperties>
</file>