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ET</w:t>
      </w:r>
      <w:r>
        <w:rPr>
          <w:rFonts w:ascii="Times New Roman" w:hAnsi="Times New Roman"/>
          <w:b/>
          <w:sz w:val="24"/>
          <w:szCs w:val="24"/>
        </w:rPr>
        <w:br/>
      </w:r>
      <w:r>
        <w:rPr>
          <w:rFonts w:ascii="Times New Roman" w:hAnsi="Times New Roman"/>
          <w:b/>
          <w:sz w:val="24"/>
        </w:rPr>
        <w:t>III LISA</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V LISA</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FINANTSTEABE ARUANDLUS</w:t>
      </w:r>
    </w:p>
    <w:p w:rsidR="009569C7" w:rsidRPr="00EC4FA2" w:rsidRDefault="00A834F1">
      <w:pPr>
        <w:spacing w:after="0"/>
        <w:rPr>
          <w:rFonts w:ascii="Times New Roman" w:hAnsi="Times New Roman"/>
          <w:sz w:val="24"/>
          <w:szCs w:val="24"/>
        </w:rPr>
      </w:pPr>
      <w:r>
        <w:rPr>
          <w:rFonts w:ascii="Times New Roman" w:hAnsi="Times New Roman"/>
          <w:sz w:val="24"/>
        </w:rPr>
        <w:t>Sisukord</w:t>
      </w:r>
    </w:p>
    <w:p w:rsidR="00D452D1" w:rsidRDefault="00D452D1">
      <w:pPr>
        <w:pStyle w:val="TOC1"/>
        <w:tabs>
          <w:tab w:val="right" w:leader="dot" w:pos="8296"/>
        </w:tabs>
        <w:rPr>
          <w:rFonts w:asciiTheme="minorHAnsi" w:eastAsiaTheme="minorEastAsia" w:hAnsiTheme="minorHAnsi" w:cstheme="minorBidi"/>
          <w:b w:val="0"/>
          <w:noProof/>
          <w:sz w:val="22"/>
          <w:szCs w:val="22"/>
          <w:lang w:val="en-GB" w:eastAsia="en-GB" w:bidi="ar-SA"/>
        </w:rPr>
      </w:pPr>
      <w:r>
        <w:rPr>
          <w:b w:val="0"/>
        </w:rPr>
        <w:fldChar w:fldCharType="begin"/>
      </w:r>
      <w:r>
        <w:rPr>
          <w:b w:val="0"/>
        </w:rPr>
        <w:instrText xml:space="preserve"> TOC \o "1-3" \u </w:instrText>
      </w:r>
      <w:r>
        <w:rPr>
          <w:b w:val="0"/>
        </w:rPr>
        <w:fldChar w:fldCharType="separate"/>
      </w:r>
      <w:r>
        <w:rPr>
          <w:noProof/>
        </w:rPr>
        <w:t>Üldised juhised</w:t>
      </w:r>
      <w:r>
        <w:rPr>
          <w:noProof/>
        </w:rPr>
        <w:tab/>
      </w:r>
      <w:r>
        <w:rPr>
          <w:noProof/>
        </w:rPr>
        <w:fldChar w:fldCharType="begin"/>
      </w:r>
      <w:r>
        <w:rPr>
          <w:noProof/>
        </w:rPr>
        <w:instrText xml:space="preserve"> PAGEREF _Toc524082933 \h </w:instrText>
      </w:r>
      <w:r>
        <w:rPr>
          <w:noProof/>
        </w:rPr>
      </w:r>
      <w:r>
        <w:rPr>
          <w:noProof/>
        </w:rPr>
        <w:fldChar w:fldCharType="separate"/>
      </w:r>
      <w:r>
        <w:rPr>
          <w:noProof/>
        </w:rPr>
        <w:t>4</w:t>
      </w:r>
      <w:r>
        <w:rPr>
          <w:noProof/>
        </w:rPr>
        <w:fldChar w:fldCharType="end"/>
      </w:r>
    </w:p>
    <w:p w:rsidR="00D452D1" w:rsidRDefault="00D452D1">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Viited</w:t>
      </w:r>
      <w:r>
        <w:tab/>
      </w:r>
      <w:r>
        <w:fldChar w:fldCharType="begin"/>
      </w:r>
      <w:r>
        <w:instrText xml:space="preserve"> PAGEREF _Toc524082934 \h </w:instrText>
      </w:r>
      <w:r>
        <w:fldChar w:fldCharType="separate"/>
      </w:r>
      <w:r>
        <w:t>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Põhimõtted</w:t>
      </w:r>
      <w:r>
        <w:tab/>
      </w:r>
      <w:r>
        <w:fldChar w:fldCharType="begin"/>
      </w:r>
      <w:r>
        <w:instrText xml:space="preserve"> PAGEREF _Toc524082935 \h </w:instrText>
      </w:r>
      <w:r>
        <w:fldChar w:fldCharType="separate"/>
      </w:r>
      <w:r>
        <w:t>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Konsolideerimine</w:t>
      </w:r>
      <w:r>
        <w:tab/>
      </w:r>
      <w:r>
        <w:fldChar w:fldCharType="begin"/>
      </w:r>
      <w:r>
        <w:instrText xml:space="preserve"> PAGEREF _Toc524082936 \h </w:instrText>
      </w:r>
      <w:r>
        <w:fldChar w:fldCharType="separate"/>
      </w:r>
      <w:r>
        <w:t>7</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Finantsinstrumentide arvestusportfellid</w:t>
      </w:r>
      <w:r>
        <w:tab/>
      </w:r>
      <w:r>
        <w:fldChar w:fldCharType="begin"/>
      </w:r>
      <w:r>
        <w:instrText xml:space="preserve"> PAGEREF _Toc524082937 \h </w:instrText>
      </w:r>
      <w:r>
        <w:fldChar w:fldCharType="separate"/>
      </w:r>
      <w:r>
        <w:t>7</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Finantsvarad</w:t>
      </w:r>
      <w:r>
        <w:tab/>
      </w:r>
      <w:r>
        <w:fldChar w:fldCharType="begin"/>
      </w:r>
      <w:r>
        <w:instrText xml:space="preserve"> PAGEREF _Toc524082938 \h </w:instrText>
      </w:r>
      <w:r>
        <w:fldChar w:fldCharType="separate"/>
      </w:r>
      <w:r>
        <w:t>8</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Finantskohustused</w:t>
      </w:r>
      <w:r>
        <w:tab/>
      </w:r>
      <w:r>
        <w:fldChar w:fldCharType="begin"/>
      </w:r>
      <w:r>
        <w:instrText xml:space="preserve"> PAGEREF _Toc524082939 \h </w:instrText>
      </w:r>
      <w:r>
        <w:fldChar w:fldCharType="separate"/>
      </w:r>
      <w:r>
        <w:t>10</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Finantsinstrumendid</w:t>
      </w:r>
      <w:r>
        <w:tab/>
      </w:r>
      <w:r>
        <w:fldChar w:fldCharType="begin"/>
      </w:r>
      <w:r>
        <w:instrText xml:space="preserve"> PAGEREF _Toc524082940 \h </w:instrText>
      </w:r>
      <w:r>
        <w:fldChar w:fldCharType="separate"/>
      </w:r>
      <w:r>
        <w:t>11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Finantsvarad</w:t>
      </w:r>
      <w:r>
        <w:tab/>
      </w:r>
      <w:r>
        <w:fldChar w:fldCharType="begin"/>
      </w:r>
      <w:r>
        <w:instrText xml:space="preserve"> PAGEREF _Toc524082941 \h </w:instrText>
      </w:r>
      <w:r>
        <w:fldChar w:fldCharType="separate"/>
      </w:r>
      <w:r>
        <w:t>11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Bilansiline brutoväärtus</w:t>
      </w:r>
      <w:r>
        <w:tab/>
      </w:r>
      <w:r>
        <w:fldChar w:fldCharType="begin"/>
      </w:r>
      <w:r>
        <w:instrText xml:space="preserve"> PAGEREF _Toc524082942 \h </w:instrText>
      </w:r>
      <w:r>
        <w:fldChar w:fldCharType="separate"/>
      </w:r>
      <w:r>
        <w:t>11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Finantskohustused</w:t>
      </w:r>
      <w:r>
        <w:tab/>
      </w:r>
      <w:r>
        <w:fldChar w:fldCharType="begin"/>
      </w:r>
      <w:r>
        <w:instrText xml:space="preserve"> PAGEREF _Toc524082943 \h </w:instrText>
      </w:r>
      <w:r>
        <w:fldChar w:fldCharType="separate"/>
      </w:r>
      <w:r>
        <w:t>13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Vastaspoolte liigitus</w:t>
      </w:r>
      <w:r>
        <w:tab/>
      </w:r>
      <w:r>
        <w:fldChar w:fldCharType="begin"/>
      </w:r>
      <w:r>
        <w:instrText xml:space="preserve"> PAGEREF _Toc524082944 \h </w:instrText>
      </w:r>
      <w:r>
        <w:fldChar w:fldCharType="separate"/>
      </w:r>
      <w:r>
        <w:t>14</w:t>
      </w:r>
      <w:r>
        <w:fldChar w:fldCharType="end"/>
      </w:r>
    </w:p>
    <w:p w:rsidR="00D452D1" w:rsidRDefault="00D452D1">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Vormide täitmise juhised</w:t>
      </w:r>
      <w:r>
        <w:rPr>
          <w:noProof/>
        </w:rPr>
        <w:tab/>
      </w:r>
      <w:r>
        <w:rPr>
          <w:noProof/>
        </w:rPr>
        <w:fldChar w:fldCharType="begin"/>
      </w:r>
      <w:r>
        <w:rPr>
          <w:noProof/>
        </w:rPr>
        <w:instrText xml:space="preserve"> PAGEREF _Toc524082945 \h </w:instrText>
      </w:r>
      <w:r>
        <w:rPr>
          <w:noProof/>
        </w:rPr>
      </w:r>
      <w:r>
        <w:rPr>
          <w:noProof/>
        </w:rPr>
        <w:fldChar w:fldCharType="separate"/>
      </w:r>
      <w:r>
        <w:rPr>
          <w:noProof/>
        </w:rPr>
        <w:t>15</w:t>
      </w:r>
      <w:r>
        <w:rPr>
          <w:noProof/>
        </w:rPr>
        <w:fldChar w:fldCharType="end"/>
      </w:r>
    </w:p>
    <w:p w:rsidR="00D452D1" w:rsidRDefault="00D452D1">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Bilanss</w:t>
      </w:r>
      <w:r>
        <w:tab/>
      </w:r>
      <w:r>
        <w:fldChar w:fldCharType="begin"/>
      </w:r>
      <w:r>
        <w:instrText xml:space="preserve"> PAGEREF _Toc524082946 \h </w:instrText>
      </w:r>
      <w:r>
        <w:fldChar w:fldCharType="separate"/>
      </w:r>
      <w:r>
        <w:t>15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Varad (1.1)</w:t>
      </w:r>
      <w:r>
        <w:tab/>
      </w:r>
      <w:r>
        <w:fldChar w:fldCharType="begin"/>
      </w:r>
      <w:r>
        <w:instrText xml:space="preserve"> PAGEREF _Toc524082947 \h </w:instrText>
      </w:r>
      <w:r>
        <w:fldChar w:fldCharType="separate"/>
      </w:r>
      <w:r>
        <w:t>15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Kohustused (1.2)</w:t>
      </w:r>
      <w:r>
        <w:tab/>
      </w:r>
      <w:r>
        <w:fldChar w:fldCharType="begin"/>
      </w:r>
      <w:r>
        <w:instrText xml:space="preserve"> PAGEREF _Toc524082948 \h </w:instrText>
      </w:r>
      <w:r>
        <w:fldChar w:fldCharType="separate"/>
      </w:r>
      <w:r>
        <w:t>16</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Omakapital (1.3)</w:t>
      </w:r>
      <w:r>
        <w:tab/>
      </w:r>
      <w:r>
        <w:fldChar w:fldCharType="begin"/>
      </w:r>
      <w:r>
        <w:instrText xml:space="preserve"> PAGEREF _Toc524082949 \h </w:instrText>
      </w:r>
      <w:r>
        <w:fldChar w:fldCharType="separate"/>
      </w:r>
      <w:r>
        <w:t>17</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Kasumiaruanne (2)</w:t>
      </w:r>
      <w:r>
        <w:tab/>
      </w:r>
      <w:r>
        <w:fldChar w:fldCharType="begin"/>
      </w:r>
      <w:r>
        <w:instrText xml:space="preserve"> PAGEREF _Toc524082950 \h </w:instrText>
      </w:r>
      <w:r>
        <w:fldChar w:fldCharType="separate"/>
      </w:r>
      <w:r>
        <w:t>19</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Koondkasumiaruanne (3)</w:t>
      </w:r>
      <w:r>
        <w:tab/>
      </w:r>
      <w:r>
        <w:fldChar w:fldCharType="begin"/>
      </w:r>
      <w:r>
        <w:instrText xml:space="preserve"> PAGEREF _Toc524082951 \h </w:instrText>
      </w:r>
      <w:r>
        <w:fldChar w:fldCharType="separate"/>
      </w:r>
      <w:r>
        <w:t>25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Finantsvara jaotus instrumentide ja vastaspoole sektorite kaupa (4)</w:t>
      </w:r>
      <w:r>
        <w:tab/>
      </w:r>
      <w:r>
        <w:fldChar w:fldCharType="begin"/>
      </w:r>
      <w:r>
        <w:instrText xml:space="preserve"> PAGEREF _Toc524082952 \h </w:instrText>
      </w:r>
      <w:r>
        <w:fldChar w:fldCharType="separate"/>
      </w:r>
      <w:r>
        <w:t>26</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Selliste laenude ja ettemaksete jaotus toodete kaupa, mida ei kasutata kauplemisel (5)</w:t>
      </w:r>
      <w:r>
        <w:tab/>
      </w:r>
      <w:r>
        <w:fldChar w:fldCharType="begin"/>
      </w:r>
      <w:r>
        <w:instrText xml:space="preserve"> PAGEREF _Toc524082953 \h </w:instrText>
      </w:r>
      <w:r>
        <w:fldChar w:fldCharType="separate"/>
      </w:r>
      <w:r>
        <w:t>29</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rsidRPr="00240838">
        <w:rPr>
          <w:kern w:val="32"/>
        </w:rPr>
        <w:t>6.</w:t>
      </w:r>
      <w:r>
        <w:rPr>
          <w:rFonts w:asciiTheme="minorHAnsi" w:eastAsiaTheme="minorEastAsia" w:hAnsiTheme="minorHAnsi" w:cstheme="minorBidi"/>
          <w:sz w:val="22"/>
          <w:szCs w:val="22"/>
          <w:lang w:val="en-GB" w:eastAsia="en-GB" w:bidi="ar-SA"/>
        </w:rPr>
        <w:tab/>
      </w:r>
      <w:r>
        <w:t>Finantssektorivälistele äriühingutele antud selliste laenude ja ettemaksete jaotus NACE koodide alusel, mida ei kasutata kauplemisel (6)</w:t>
      </w:r>
      <w:r>
        <w:tab/>
      </w:r>
      <w:r>
        <w:fldChar w:fldCharType="begin"/>
      </w:r>
      <w:r>
        <w:instrText xml:space="preserve"> PAGEREF _Toc524082954 \h </w:instrText>
      </w:r>
      <w:r>
        <w:fldChar w:fldCharType="separate"/>
      </w:r>
      <w:r>
        <w:t>31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rsidRPr="00240838">
        <w:rPr>
          <w:kern w:val="32"/>
        </w:rPr>
        <w:t>7.</w:t>
      </w:r>
      <w:r>
        <w:rPr>
          <w:rFonts w:asciiTheme="minorHAnsi" w:eastAsiaTheme="minorEastAsia" w:hAnsiTheme="minorHAnsi" w:cstheme="minorBidi"/>
          <w:sz w:val="22"/>
          <w:szCs w:val="22"/>
          <w:lang w:val="en-GB" w:eastAsia="en-GB" w:bidi="ar-SA"/>
        </w:rPr>
        <w:tab/>
      </w:r>
      <w:r>
        <w:t>Tähtajaks tasumata finantsvarad, mille suhtes kohaldatakse väärtuse langust (7)</w:t>
      </w:r>
      <w:r>
        <w:tab/>
      </w:r>
      <w:r>
        <w:fldChar w:fldCharType="begin"/>
      </w:r>
      <w:r>
        <w:instrText xml:space="preserve"> PAGEREF _Toc524082955 \h </w:instrText>
      </w:r>
      <w:r>
        <w:fldChar w:fldCharType="separate"/>
      </w:r>
      <w:r>
        <w:t>31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Finantskohustuste jaotus (8)</w:t>
      </w:r>
      <w:r>
        <w:tab/>
      </w:r>
      <w:r>
        <w:fldChar w:fldCharType="begin"/>
      </w:r>
      <w:r>
        <w:instrText xml:space="preserve"> PAGEREF _Toc524082956 \h </w:instrText>
      </w:r>
      <w:r>
        <w:fldChar w:fldCharType="separate"/>
      </w:r>
      <w:r>
        <w:t>32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Siduvad laenuandmiskohustused, finantsgarantiid ja muud siduvad kohustused (9)</w:t>
      </w:r>
      <w:r>
        <w:tab/>
      </w:r>
      <w:r>
        <w:fldChar w:fldCharType="begin"/>
      </w:r>
      <w:r>
        <w:instrText xml:space="preserve"> PAGEREF _Toc524082957 \h </w:instrText>
      </w:r>
      <w:r>
        <w:fldChar w:fldCharType="separate"/>
      </w:r>
      <w:r>
        <w:t>33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Tuletisinstrumendid ja riskimaandamise arvestus (10 ja 11)</w:t>
      </w:r>
      <w:r>
        <w:tab/>
      </w:r>
      <w:r>
        <w:fldChar w:fldCharType="begin"/>
      </w:r>
      <w:r>
        <w:instrText xml:space="preserve"> PAGEREF _Toc524082958 \h </w:instrText>
      </w:r>
      <w:r>
        <w:fldChar w:fldCharType="separate"/>
      </w:r>
      <w:r>
        <w:t>36</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Tuletisinstrumentide liigitus riski liigi alusel</w:t>
      </w:r>
      <w:r>
        <w:tab/>
      </w:r>
      <w:r>
        <w:fldChar w:fldCharType="begin"/>
      </w:r>
      <w:r>
        <w:instrText xml:space="preserve"> PAGEREF _Toc524082959 \h </w:instrText>
      </w:r>
      <w:r>
        <w:fldChar w:fldCharType="separate"/>
      </w:r>
      <w:r>
        <w:t>38</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Tuletisinstrumentide puhul kajastatavad summad</w:t>
      </w:r>
      <w:r>
        <w:tab/>
      </w:r>
      <w:r>
        <w:fldChar w:fldCharType="begin"/>
      </w:r>
      <w:r>
        <w:instrText xml:space="preserve"> PAGEREF _Toc524082960 \h </w:instrText>
      </w:r>
      <w:r>
        <w:fldChar w:fldCharType="separate"/>
      </w:r>
      <w:r>
        <w:t>39</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„Majanduslikuks riskimaanduseks“ liigitatud tuletisinstrumendid</w:t>
      </w:r>
      <w:r>
        <w:tab/>
      </w:r>
      <w:r>
        <w:fldChar w:fldCharType="begin"/>
      </w:r>
      <w:r>
        <w:instrText xml:space="preserve"> PAGEREF _Toc524082961 \h </w:instrText>
      </w:r>
      <w:r>
        <w:fldChar w:fldCharType="separate"/>
      </w:r>
      <w:r>
        <w:t>41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Tuletisinstrumentide jaotus vastaspoole sektorite kaupa</w:t>
      </w:r>
      <w:r>
        <w:tab/>
      </w:r>
      <w:r>
        <w:fldChar w:fldCharType="begin"/>
      </w:r>
      <w:r>
        <w:instrText xml:space="preserve"> PAGEREF _Toc524082962 \h </w:instrText>
      </w:r>
      <w:r>
        <w:fldChar w:fldCharType="separate"/>
      </w:r>
      <w:r>
        <w:t>42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Riskimaandamise arvestus siseriikliku GAAPi kohaselt (11.2)</w:t>
      </w:r>
      <w:r>
        <w:tab/>
      </w:r>
      <w:r>
        <w:fldChar w:fldCharType="begin"/>
      </w:r>
      <w:r>
        <w:instrText xml:space="preserve"> PAGEREF _Toc524082963 \h </w:instrText>
      </w:r>
      <w:r>
        <w:fldChar w:fldCharType="separate"/>
      </w:r>
      <w:r>
        <w:t>42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lastRenderedPageBreak/>
        <w:t>10.6.</w:t>
      </w:r>
      <w:r>
        <w:rPr>
          <w:rFonts w:asciiTheme="minorHAnsi" w:eastAsiaTheme="minorEastAsia" w:hAnsiTheme="minorHAnsi" w:cstheme="minorBidi"/>
          <w:sz w:val="22"/>
          <w:szCs w:val="22"/>
          <w:lang w:val="en-GB" w:eastAsia="en-GB" w:bidi="ar-SA"/>
        </w:rPr>
        <w:tab/>
      </w:r>
      <w:r>
        <w:t>Kajastatav väärtus riskimaandamisinstrumentide puhul, mis ei ole tuletisinstrumendid (11.3 ja 11.3.1)</w:t>
      </w:r>
      <w:r>
        <w:tab/>
      </w:r>
      <w:r>
        <w:fldChar w:fldCharType="begin"/>
      </w:r>
      <w:r>
        <w:instrText xml:space="preserve"> PAGEREF _Toc524082964 \h </w:instrText>
      </w:r>
      <w:r>
        <w:fldChar w:fldCharType="separate"/>
      </w:r>
      <w:r>
        <w:t>42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Õiglase väärtuse riskimaanduse maandatavad instrumendid (11.4)</w:t>
      </w:r>
      <w:r>
        <w:tab/>
      </w:r>
      <w:r>
        <w:fldChar w:fldCharType="begin"/>
      </w:r>
      <w:r>
        <w:instrText xml:space="preserve"> PAGEREF _Toc524082965 \h </w:instrText>
      </w:r>
      <w:r>
        <w:fldChar w:fldCharType="separate"/>
      </w:r>
      <w:r>
        <w:t>42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rsidRPr="00240838">
        <w:rPr>
          <w:kern w:val="32"/>
        </w:rPr>
        <w:t>11.</w:t>
      </w:r>
      <w:r>
        <w:rPr>
          <w:rFonts w:asciiTheme="minorHAnsi" w:eastAsiaTheme="minorEastAsia" w:hAnsiTheme="minorHAnsi" w:cstheme="minorBidi"/>
          <w:sz w:val="22"/>
          <w:szCs w:val="22"/>
          <w:lang w:val="en-GB" w:eastAsia="en-GB" w:bidi="ar-SA"/>
        </w:rPr>
        <w:tab/>
      </w:r>
      <w:r>
        <w:t>Muutused krediidikahju allahindlustes ja eraldistes (12)</w:t>
      </w:r>
      <w:r>
        <w:tab/>
      </w:r>
      <w:r>
        <w:fldChar w:fldCharType="begin"/>
      </w:r>
      <w:r>
        <w:instrText xml:space="preserve"> PAGEREF _Toc524082966 \h </w:instrText>
      </w:r>
      <w:r>
        <w:fldChar w:fldCharType="separate"/>
      </w:r>
      <w:r>
        <w:t>43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11.1.</w:t>
      </w:r>
      <w:r>
        <w:rPr>
          <w:rFonts w:asciiTheme="minorHAnsi" w:eastAsiaTheme="minorEastAsia" w:hAnsiTheme="minorHAnsi" w:cstheme="minorBidi"/>
          <w:sz w:val="22"/>
          <w:szCs w:val="22"/>
          <w:lang w:val="en-GB" w:eastAsia="en-GB" w:bidi="ar-SA"/>
        </w:rPr>
        <w:tab/>
      </w:r>
      <w:r>
        <w:t>Muutused krediidikahju ja omakapitaliinstrumentide väärtuse langusega seotud allahindlustes BADil põhineva siseriikliku GAAPi kohaselt (12.0)</w:t>
      </w:r>
      <w:r>
        <w:tab/>
      </w:r>
      <w:r>
        <w:fldChar w:fldCharType="begin"/>
      </w:r>
      <w:r>
        <w:instrText xml:space="preserve"> PAGEREF _Toc524082967 \h </w:instrText>
      </w:r>
      <w:r>
        <w:fldChar w:fldCharType="separate"/>
      </w:r>
      <w:r>
        <w:t>43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Muutused krediidikahju allahindlustes ja eraldistes IFRSi kohaselt (12.1)</w:t>
      </w:r>
      <w:r>
        <w:tab/>
      </w:r>
      <w:r>
        <w:fldChar w:fldCharType="begin"/>
      </w:r>
      <w:r>
        <w:instrText xml:space="preserve"> PAGEREF _Toc524082968 \h </w:instrText>
      </w:r>
      <w:r>
        <w:fldChar w:fldCharType="separate"/>
      </w:r>
      <w:r>
        <w:t>44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Ülekandmised väärtuse languse etappide vahel (esitatakse brutosummas) (12.2)</w:t>
      </w:r>
      <w:r>
        <w:tab/>
      </w:r>
      <w:r>
        <w:fldChar w:fldCharType="begin"/>
      </w:r>
      <w:r>
        <w:instrText xml:space="preserve"> PAGEREF _Toc524082969 \h </w:instrText>
      </w:r>
      <w:r>
        <w:fldChar w:fldCharType="separate"/>
      </w:r>
      <w:r>
        <w:t>46</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Saadud tagatised ja garantiid (13)</w:t>
      </w:r>
      <w:r>
        <w:tab/>
      </w:r>
      <w:r>
        <w:fldChar w:fldCharType="begin"/>
      </w:r>
      <w:r>
        <w:instrText xml:space="preserve"> PAGEREF _Toc524082970 \h </w:instrText>
      </w:r>
      <w:r>
        <w:fldChar w:fldCharType="separate"/>
      </w:r>
      <w:r>
        <w:t>47</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Tagatiste ja garantiide jaotus laenude ja ettemaksete kaupa (muud kui kauplemiseks hoitavad) (13.1)</w:t>
      </w:r>
      <w:r>
        <w:tab/>
      </w:r>
      <w:r>
        <w:fldChar w:fldCharType="begin"/>
      </w:r>
      <w:r>
        <w:instrText xml:space="preserve"> PAGEREF _Toc524082971 \h </w:instrText>
      </w:r>
      <w:r>
        <w:fldChar w:fldCharType="separate"/>
      </w:r>
      <w:r>
        <w:t>47</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Tagatised, mis on omandatud perioodi jooksul, võttes need enda valdusse [aruande kuupäeva seisuga valduses olevad] (13.2)</w:t>
      </w:r>
      <w:r>
        <w:tab/>
      </w:r>
      <w:r>
        <w:fldChar w:fldCharType="begin"/>
      </w:r>
      <w:r>
        <w:instrText xml:space="preserve"> PAGEREF _Toc524082972 \h </w:instrText>
      </w:r>
      <w:r>
        <w:fldChar w:fldCharType="separate"/>
      </w:r>
      <w:r>
        <w:t>48</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Akumuleeritud tagatised, mis on omandatud, võttes need enda valdusse [materiaalne vara] (13.3)</w:t>
      </w:r>
      <w:r>
        <w:tab/>
      </w:r>
      <w:r>
        <w:fldChar w:fldCharType="begin"/>
      </w:r>
      <w:r>
        <w:instrText xml:space="preserve"> PAGEREF _Toc524082973 \h </w:instrText>
      </w:r>
      <w:r>
        <w:fldChar w:fldCharType="separate"/>
      </w:r>
      <w:r>
        <w:t>48</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rsidRPr="00240838">
        <w:rPr>
          <w:kern w:val="32"/>
        </w:rPr>
        <w:t>13.</w:t>
      </w:r>
      <w:r>
        <w:rPr>
          <w:rFonts w:asciiTheme="minorHAnsi" w:eastAsiaTheme="minorEastAsia" w:hAnsiTheme="minorHAnsi" w:cstheme="minorBidi"/>
          <w:sz w:val="22"/>
          <w:szCs w:val="22"/>
          <w:lang w:val="en-GB" w:eastAsia="en-GB" w:bidi="ar-SA"/>
        </w:rPr>
        <w:tab/>
      </w:r>
      <w:r>
        <w:t>Õiglase väärtuse hierarhia: õiglases väärtuses finantsinstrumendid (14)</w:t>
      </w:r>
      <w:r>
        <w:tab/>
      </w:r>
      <w:r>
        <w:fldChar w:fldCharType="begin"/>
      </w:r>
      <w:r>
        <w:instrText xml:space="preserve"> PAGEREF _Toc524082974 \h </w:instrText>
      </w:r>
      <w:r>
        <w:fldChar w:fldCharType="separate"/>
      </w:r>
      <w:r>
        <w:t>48</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rsidRPr="00240838">
        <w:rPr>
          <w:kern w:val="32"/>
        </w:rPr>
        <w:t>14.</w:t>
      </w:r>
      <w:r>
        <w:rPr>
          <w:rFonts w:asciiTheme="minorHAnsi" w:eastAsiaTheme="minorEastAsia" w:hAnsiTheme="minorHAnsi" w:cstheme="minorBidi"/>
          <w:sz w:val="22"/>
          <w:szCs w:val="22"/>
          <w:lang w:val="en-GB" w:eastAsia="en-GB" w:bidi="ar-SA"/>
        </w:rPr>
        <w:tab/>
      </w:r>
      <w:r>
        <w:t>Kajastamise lõpetamine ja ülekantud finantsvaradega seotud finantskohustused (15)</w:t>
      </w:r>
      <w:r>
        <w:tab/>
      </w:r>
      <w:r>
        <w:fldChar w:fldCharType="begin"/>
      </w:r>
      <w:r>
        <w:instrText xml:space="preserve"> PAGEREF _Toc524082975 \h </w:instrText>
      </w:r>
      <w:r>
        <w:fldChar w:fldCharType="separate"/>
      </w:r>
      <w:r>
        <w:t>49</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Kasumiaruande teatavate kirjete jaotus (16)</w:t>
      </w:r>
      <w:r>
        <w:tab/>
      </w:r>
      <w:r>
        <w:fldChar w:fldCharType="begin"/>
      </w:r>
      <w:r>
        <w:instrText xml:space="preserve"> PAGEREF _Toc524082976 \h </w:instrText>
      </w:r>
      <w:r>
        <w:fldChar w:fldCharType="separate"/>
      </w:r>
      <w:r>
        <w:t>50</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Intressitulu ja -kulu instrumentide ja vastaspoole sektorite lõikes (16.1)</w:t>
      </w:r>
      <w:r>
        <w:tab/>
      </w:r>
      <w:r>
        <w:fldChar w:fldCharType="begin"/>
      </w:r>
      <w:r>
        <w:instrText xml:space="preserve"> PAGEREF _Toc524082977 \h </w:instrText>
      </w:r>
      <w:r>
        <w:fldChar w:fldCharType="separate"/>
      </w:r>
      <w:r>
        <w:t>50</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Instrumentide lõikes kasumid või kahjumid, mis on saadud selliste finantsvarade ja -kohustuste kajastamise lõpetamisest, mida ei ole mõõdetud õiglases väärtuses muutustega läbi kasumiaruande (16.2)</w:t>
      </w:r>
      <w:r>
        <w:tab/>
      </w:r>
      <w:r>
        <w:fldChar w:fldCharType="begin"/>
      </w:r>
      <w:r>
        <w:instrText xml:space="preserve"> PAGEREF _Toc524082978 \h </w:instrText>
      </w:r>
      <w:r>
        <w:fldChar w:fldCharType="separate"/>
      </w:r>
      <w:r>
        <w:t>51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Kahjumid või kasumid, mis tulenevad kauplemiseks hoitavatest finantsvaradest ja -kohustustest ning kauplemisel kasutatavatest finantsvaradest ja -kohustustest, instrumentide kaupa (16.3)</w:t>
      </w:r>
      <w:r>
        <w:tab/>
      </w:r>
      <w:r>
        <w:fldChar w:fldCharType="begin"/>
      </w:r>
      <w:r>
        <w:instrText xml:space="preserve"> PAGEREF _Toc524082979 \h </w:instrText>
      </w:r>
      <w:r>
        <w:fldChar w:fldCharType="separate"/>
      </w:r>
      <w:r>
        <w:t>51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Kahjumid või kasumid, mis tulenevad kauplemiseks hoitavatest finantsvaradest ja -kohustustest ning kauplemisel kasutatavatest finantsvaradest ja -kohustustest, riskide kaupa (16.4)</w:t>
      </w:r>
      <w:r>
        <w:tab/>
      </w:r>
      <w:r>
        <w:fldChar w:fldCharType="begin"/>
      </w:r>
      <w:r>
        <w:instrText xml:space="preserve"> PAGEREF _Toc524082980 \h </w:instrText>
      </w:r>
      <w:r>
        <w:fldChar w:fldCharType="separate"/>
      </w:r>
      <w:r>
        <w:t>52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Kauplemisel mittekasutatavatest kohustuslikult õiglases väärtuses muutustega läbi kasumiaruande kajastatud finantsvaradest tulenev kasum või kahjum instrumentide kaupa (16.4.1)</w:t>
      </w:r>
      <w:r>
        <w:tab/>
      </w:r>
      <w:r>
        <w:fldChar w:fldCharType="begin"/>
      </w:r>
      <w:r>
        <w:instrText xml:space="preserve"> PAGEREF _Toc524082981 \h </w:instrText>
      </w:r>
      <w:r>
        <w:fldChar w:fldCharType="separate"/>
      </w:r>
      <w:r>
        <w:t>52</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Õiglases väärtuses muutustega läbi kasumiaruande kajastatud finantsvaradest ja -kohustustest tulenev kasum ja kahjum instrumentide kaupa (16.5)</w:t>
      </w:r>
      <w:r>
        <w:tab/>
      </w:r>
      <w:r>
        <w:fldChar w:fldCharType="begin"/>
      </w:r>
      <w:r>
        <w:instrText xml:space="preserve"> PAGEREF _Toc524082982 \h </w:instrText>
      </w:r>
      <w:r>
        <w:fldChar w:fldCharType="separate"/>
      </w:r>
      <w:r>
        <w:t>53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Riskimaandamise arvestusest tulenevad kasumid ja kahjumid (16.6)</w:t>
      </w:r>
      <w:r>
        <w:tab/>
      </w:r>
      <w:r>
        <w:fldChar w:fldCharType="begin"/>
      </w:r>
      <w:r>
        <w:instrText xml:space="preserve"> PAGEREF _Toc524082983 \h </w:instrText>
      </w:r>
      <w:r>
        <w:fldChar w:fldCharType="separate"/>
      </w:r>
      <w:r>
        <w:t>53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t>Mittefinantsvarade väärtuse langus (16.7)</w:t>
      </w:r>
      <w:r>
        <w:tab/>
      </w:r>
      <w:r>
        <w:fldChar w:fldCharType="begin"/>
      </w:r>
      <w:r>
        <w:instrText xml:space="preserve"> PAGEREF _Toc524082984 \h </w:instrText>
      </w:r>
      <w:r>
        <w:fldChar w:fldCharType="separate"/>
      </w:r>
      <w:r>
        <w:t>54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Raamatupidamisarvestusekohase ja kapitalinõuete määruse kohase konsolideerimise kooskõlastav võrdlemine (17)</w:t>
      </w:r>
      <w:r>
        <w:tab/>
      </w:r>
      <w:r>
        <w:fldChar w:fldCharType="begin"/>
      </w:r>
      <w:r>
        <w:instrText xml:space="preserve"> PAGEREF _Toc524082985 \h </w:instrText>
      </w:r>
      <w:r>
        <w:fldChar w:fldCharType="separate"/>
      </w:r>
      <w:r>
        <w:t>54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Viivisnõuded (18)</w:t>
      </w:r>
      <w:r>
        <w:tab/>
      </w:r>
      <w:r>
        <w:fldChar w:fldCharType="begin"/>
      </w:r>
      <w:r>
        <w:instrText xml:space="preserve"> PAGEREF _Toc524082986 \h </w:instrText>
      </w:r>
      <w:r>
        <w:fldChar w:fldCharType="separate"/>
      </w:r>
      <w:r>
        <w:t>54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Makseraskuste tõttu restruktureeritud nõuded (19)</w:t>
      </w:r>
      <w:r>
        <w:tab/>
      </w:r>
      <w:r>
        <w:fldChar w:fldCharType="begin"/>
      </w:r>
      <w:r>
        <w:instrText xml:space="preserve"> PAGEREF _Toc524082987 \h </w:instrText>
      </w:r>
      <w:r>
        <w:fldChar w:fldCharType="separate"/>
      </w:r>
      <w:r>
        <w:t>60</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Geograafiline jaotus (20)</w:t>
      </w:r>
      <w:r>
        <w:tab/>
      </w:r>
      <w:r>
        <w:fldChar w:fldCharType="begin"/>
      </w:r>
      <w:r>
        <w:instrText xml:space="preserve"> PAGEREF _Toc524082988 \h </w:instrText>
      </w:r>
      <w:r>
        <w:fldChar w:fldCharType="separate"/>
      </w:r>
      <w:r>
        <w:t>65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Geograafiline jaotus tegevuse asukoha alusel (20.1–20.3)</w:t>
      </w:r>
      <w:r>
        <w:tab/>
      </w:r>
      <w:r>
        <w:fldChar w:fldCharType="begin"/>
      </w:r>
      <w:r>
        <w:instrText xml:space="preserve"> PAGEREF _Toc524082989 \h </w:instrText>
      </w:r>
      <w:r>
        <w:fldChar w:fldCharType="separate"/>
      </w:r>
      <w:r>
        <w:t>65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Geograafiline jaotus vastaspoole residentsuse alusel (20.4–20.7)</w:t>
      </w:r>
      <w:r>
        <w:tab/>
      </w:r>
      <w:r>
        <w:fldChar w:fldCharType="begin"/>
      </w:r>
      <w:r>
        <w:instrText xml:space="preserve"> PAGEREF _Toc524082990 \h </w:instrText>
      </w:r>
      <w:r>
        <w:fldChar w:fldCharType="separate"/>
      </w:r>
      <w:r>
        <w:t>65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Materiaalne ja immateriaalne vara: kasutusrendil olevad varad (21)</w:t>
      </w:r>
      <w:r>
        <w:tab/>
      </w:r>
      <w:r>
        <w:fldChar w:fldCharType="begin"/>
      </w:r>
      <w:r>
        <w:instrText xml:space="preserve"> PAGEREF _Toc524082991 \h </w:instrText>
      </w:r>
      <w:r>
        <w:fldChar w:fldCharType="separate"/>
      </w:r>
      <w:r>
        <w:t>66</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Varade valitsemine, hoidmine ja muud teenuste osutamise funktsioonid (22)</w:t>
      </w:r>
      <w:r>
        <w:tab/>
      </w:r>
      <w:r>
        <w:fldChar w:fldCharType="begin"/>
      </w:r>
      <w:r>
        <w:instrText xml:space="preserve"> PAGEREF _Toc524082992 \h </w:instrText>
      </w:r>
      <w:r>
        <w:fldChar w:fldCharType="separate"/>
      </w:r>
      <w:r>
        <w:t>66</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Teenus- ja vahendustasude tulud ja kulud tegevuste kaupa (22.1)</w:t>
      </w:r>
      <w:r>
        <w:tab/>
      </w:r>
      <w:r>
        <w:fldChar w:fldCharType="begin"/>
      </w:r>
      <w:r>
        <w:instrText xml:space="preserve"> PAGEREF _Toc524082993 \h </w:instrText>
      </w:r>
      <w:r>
        <w:fldChar w:fldCharType="separate"/>
      </w:r>
      <w:r>
        <w:t>67</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Osutatud teenustega seotud varad (22.2)</w:t>
      </w:r>
      <w:r>
        <w:tab/>
      </w:r>
      <w:r>
        <w:fldChar w:fldCharType="begin"/>
      </w:r>
      <w:r>
        <w:instrText xml:space="preserve"> PAGEREF _Toc524082994 \h </w:instrText>
      </w:r>
      <w:r>
        <w:fldChar w:fldCharType="separate"/>
      </w:r>
      <w:r>
        <w:t>68</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lastRenderedPageBreak/>
        <w:t>22.</w:t>
      </w:r>
      <w:r>
        <w:rPr>
          <w:rFonts w:asciiTheme="minorHAnsi" w:eastAsiaTheme="minorEastAsia" w:hAnsiTheme="minorHAnsi" w:cstheme="minorBidi"/>
          <w:sz w:val="22"/>
          <w:szCs w:val="22"/>
          <w:lang w:val="en-GB" w:eastAsia="en-GB" w:bidi="ar-SA"/>
        </w:rPr>
        <w:tab/>
      </w:r>
      <w:r>
        <w:t>Osalused konsolideerimata struktureeritud üksustes (30)</w:t>
      </w:r>
      <w:r>
        <w:tab/>
      </w:r>
      <w:r>
        <w:fldChar w:fldCharType="begin"/>
      </w:r>
      <w:r>
        <w:instrText xml:space="preserve"> PAGEREF _Toc524082995 \h </w:instrText>
      </w:r>
      <w:r>
        <w:fldChar w:fldCharType="separate"/>
      </w:r>
      <w:r>
        <w:t>69</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Seotud osapooled (31)</w:t>
      </w:r>
      <w:r>
        <w:tab/>
      </w:r>
      <w:r>
        <w:fldChar w:fldCharType="begin"/>
      </w:r>
      <w:r>
        <w:instrText xml:space="preserve"> PAGEREF _Toc524082996 \h </w:instrText>
      </w:r>
      <w:r>
        <w:fldChar w:fldCharType="separate"/>
      </w:r>
      <w:r>
        <w:t>70</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23.1.</w:t>
      </w:r>
      <w:r>
        <w:rPr>
          <w:rFonts w:asciiTheme="minorHAnsi" w:eastAsiaTheme="minorEastAsia" w:hAnsiTheme="minorHAnsi" w:cstheme="minorBidi"/>
          <w:sz w:val="22"/>
          <w:szCs w:val="22"/>
          <w:lang w:val="en-GB" w:eastAsia="en-GB" w:bidi="ar-SA"/>
        </w:rPr>
        <w:tab/>
      </w:r>
      <w:r>
        <w:t>Seotud osapooled: neile tasumisele kuuluvad ja neilt saadaolevad summad (31.1)</w:t>
      </w:r>
      <w:r>
        <w:tab/>
      </w:r>
      <w:r>
        <w:fldChar w:fldCharType="begin"/>
      </w:r>
      <w:r>
        <w:instrText xml:space="preserve"> PAGEREF _Toc524082997 \h </w:instrText>
      </w:r>
      <w:r>
        <w:fldChar w:fldCharType="separate"/>
      </w:r>
      <w:r>
        <w:t>70</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Seotud osapooled: kulud ja tulud, mis tulenevad tehingutest seotud osapooltega (31.2)</w:t>
      </w:r>
      <w:r>
        <w:tab/>
      </w:r>
      <w:r>
        <w:fldChar w:fldCharType="begin"/>
      </w:r>
      <w:r>
        <w:instrText xml:space="preserve"> PAGEREF _Toc524082998 \h </w:instrText>
      </w:r>
      <w:r>
        <w:fldChar w:fldCharType="separate"/>
      </w:r>
      <w:r>
        <w:t>71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Konsolideerimisgrupi struktuur (40)</w:t>
      </w:r>
      <w:r>
        <w:tab/>
      </w:r>
      <w:r>
        <w:fldChar w:fldCharType="begin"/>
      </w:r>
      <w:r>
        <w:instrText xml:space="preserve"> PAGEREF _Toc524082999 \h </w:instrText>
      </w:r>
      <w:r>
        <w:fldChar w:fldCharType="separate"/>
      </w:r>
      <w:r>
        <w:t>71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24.1.</w:t>
      </w:r>
      <w:r>
        <w:rPr>
          <w:rFonts w:asciiTheme="minorHAnsi" w:eastAsiaTheme="minorEastAsia" w:hAnsiTheme="minorHAnsi" w:cstheme="minorBidi"/>
          <w:sz w:val="22"/>
          <w:szCs w:val="22"/>
          <w:lang w:val="en-GB" w:eastAsia="en-GB" w:bidi="ar-SA"/>
        </w:rPr>
        <w:tab/>
      </w:r>
      <w:r>
        <w:t>Konsolideerimisgrupi struktuur: üksuste kaupa (40.1)</w:t>
      </w:r>
      <w:r>
        <w:tab/>
      </w:r>
      <w:r>
        <w:fldChar w:fldCharType="begin"/>
      </w:r>
      <w:r>
        <w:instrText xml:space="preserve"> PAGEREF _Toc524083000 \h </w:instrText>
      </w:r>
      <w:r>
        <w:fldChar w:fldCharType="separate"/>
      </w:r>
      <w:r>
        <w:t>71</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Konsolideerimisgrupi struktuur: instrumentide kaupa (40.2)</w:t>
      </w:r>
      <w:r>
        <w:tab/>
      </w:r>
      <w:r>
        <w:fldChar w:fldCharType="begin"/>
      </w:r>
      <w:r>
        <w:instrText xml:space="preserve"> PAGEREF _Toc524083001 \h </w:instrText>
      </w:r>
      <w:r>
        <w:fldChar w:fldCharType="separate"/>
      </w:r>
      <w:r>
        <w:t>73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Õiglane väärtus (41)</w:t>
      </w:r>
      <w:r>
        <w:tab/>
      </w:r>
      <w:r>
        <w:fldChar w:fldCharType="begin"/>
      </w:r>
      <w:r>
        <w:instrText xml:space="preserve"> PAGEREF _Toc524083002 \h </w:instrText>
      </w:r>
      <w:r>
        <w:fldChar w:fldCharType="separate"/>
      </w:r>
      <w:r>
        <w:t>73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Õiglase väärtuse hierarhia: amortiseeritud soetusmaksumuses mõõdetud finantsinstrumendid (41.1)</w:t>
      </w:r>
      <w:r>
        <w:tab/>
      </w:r>
      <w:r>
        <w:fldChar w:fldCharType="begin"/>
      </w:r>
      <w:r>
        <w:instrText xml:space="preserve"> PAGEREF _Toc524083003 \h </w:instrText>
      </w:r>
      <w:r>
        <w:fldChar w:fldCharType="separate"/>
      </w:r>
      <w:r>
        <w:t>73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Õiglase väärtuse võimaluse kasutamine (41.2)</w:t>
      </w:r>
      <w:r>
        <w:tab/>
      </w:r>
      <w:r>
        <w:fldChar w:fldCharType="begin"/>
      </w:r>
      <w:r>
        <w:instrText xml:space="preserve"> PAGEREF _Toc524083004 \h </w:instrText>
      </w:r>
      <w:r>
        <w:fldChar w:fldCharType="separate"/>
      </w:r>
      <w:r>
        <w:t>73</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Materiaalne ja immateriaalne vara: bilansiline väärtus mõõtmismeetodi alusel (42)</w:t>
      </w:r>
      <w:r>
        <w:tab/>
      </w:r>
      <w:r>
        <w:fldChar w:fldCharType="begin"/>
      </w:r>
      <w:r>
        <w:instrText xml:space="preserve"> PAGEREF _Toc524083005 \h </w:instrText>
      </w:r>
      <w:r>
        <w:fldChar w:fldCharType="separate"/>
      </w:r>
      <w:r>
        <w:t>74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Eraldised (43)</w:t>
      </w:r>
      <w:r>
        <w:tab/>
      </w:r>
      <w:r>
        <w:fldChar w:fldCharType="begin"/>
      </w:r>
      <w:r>
        <w:instrText xml:space="preserve"> PAGEREF _Toc524083006 \h </w:instrText>
      </w:r>
      <w:r>
        <w:fldChar w:fldCharType="separate"/>
      </w:r>
      <w:r>
        <w:t>74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Kindlaksmääratud hüvitisega skeemid ja hüvitised töötajatele (44)</w:t>
      </w:r>
      <w:r>
        <w:tab/>
      </w:r>
      <w:r>
        <w:fldChar w:fldCharType="begin"/>
      </w:r>
      <w:r>
        <w:instrText xml:space="preserve"> PAGEREF _Toc524083007 \h </w:instrText>
      </w:r>
      <w:r>
        <w:fldChar w:fldCharType="separate"/>
      </w:r>
      <w:r>
        <w:t>74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Kindlaksmääratud hüvitistega skeemide netovarade ja -kohustuste komponendid (44.1)</w:t>
      </w:r>
      <w:r>
        <w:tab/>
      </w:r>
      <w:r>
        <w:fldChar w:fldCharType="begin"/>
      </w:r>
      <w:r>
        <w:instrText xml:space="preserve"> PAGEREF _Toc524083008 \h </w:instrText>
      </w:r>
      <w:r>
        <w:fldChar w:fldCharType="separate"/>
      </w:r>
      <w:r>
        <w:t>74</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Muutused kindlaksmääratud hüvitiste kohustustes (44.2)</w:t>
      </w:r>
      <w:r>
        <w:tab/>
      </w:r>
      <w:r>
        <w:fldChar w:fldCharType="begin"/>
      </w:r>
      <w:r>
        <w:instrText xml:space="preserve"> PAGEREF _Toc524083009 \h </w:instrText>
      </w:r>
      <w:r>
        <w:fldChar w:fldCharType="separate"/>
      </w:r>
      <w:r>
        <w:t>75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Memokirjed [personalikuludega seoses] (44.3)</w:t>
      </w:r>
      <w:r>
        <w:tab/>
      </w:r>
      <w:r>
        <w:fldChar w:fldCharType="begin"/>
      </w:r>
      <w:r>
        <w:instrText xml:space="preserve"> PAGEREF _Toc524083010 \h </w:instrText>
      </w:r>
      <w:r>
        <w:fldChar w:fldCharType="separate"/>
      </w:r>
      <w:r>
        <w:t>75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Kasumiaruande teatavate kirjete jaotus (45)</w:t>
      </w:r>
      <w:r>
        <w:tab/>
      </w:r>
      <w:r>
        <w:fldChar w:fldCharType="begin"/>
      </w:r>
      <w:r>
        <w:instrText xml:space="preserve"> PAGEREF _Toc524083011 \h </w:instrText>
      </w:r>
      <w:r>
        <w:fldChar w:fldCharType="separate"/>
      </w:r>
      <w:r>
        <w:t>75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Õiglases väärtuses muutustega läbi kasumiaruande kajastatud finantsvaradest ja -kohustustest tulenev kasum või kahjum arvestusportfellide kaupa (45.1)</w:t>
      </w:r>
      <w:r>
        <w:tab/>
      </w:r>
      <w:r>
        <w:fldChar w:fldCharType="begin"/>
      </w:r>
      <w:r>
        <w:instrText xml:space="preserve"> PAGEREF _Toc524083012 \h </w:instrText>
      </w:r>
      <w:r>
        <w:fldChar w:fldCharType="separate"/>
      </w:r>
      <w:r>
        <w:t>75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Kasum või kahjum, mis tuleneb mittefinantsvara kajastamise lõpetamisest (45.2)</w:t>
      </w:r>
      <w:r>
        <w:tab/>
      </w:r>
      <w:r>
        <w:fldChar w:fldCharType="begin"/>
      </w:r>
      <w:r>
        <w:instrText xml:space="preserve"> PAGEREF _Toc524083013 \h </w:instrText>
      </w:r>
      <w:r>
        <w:fldChar w:fldCharType="separate"/>
      </w:r>
      <w:r>
        <w:t>75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Muud tegevustulud ja -kulud (45.3)</w:t>
      </w:r>
      <w:r>
        <w:tab/>
      </w:r>
      <w:r>
        <w:fldChar w:fldCharType="begin"/>
      </w:r>
      <w:r>
        <w:instrText xml:space="preserve"> PAGEREF _Toc524083014 \h </w:instrText>
      </w:r>
      <w:r>
        <w:fldChar w:fldCharType="separate"/>
      </w:r>
      <w:r>
        <w:t>75</w:t>
      </w:r>
      <w:r>
        <w:fldChar w:fldCharType="end"/>
      </w:r>
    </w:p>
    <w:p w:rsidR="00D452D1" w:rsidRDefault="00D452D1">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Omakapitali muutuste aruanne (46)</w:t>
      </w:r>
      <w:r>
        <w:tab/>
      </w:r>
      <w:r>
        <w:fldChar w:fldCharType="begin"/>
      </w:r>
      <w:r>
        <w:instrText xml:space="preserve"> PAGEREF _Toc524083015 \h </w:instrText>
      </w:r>
      <w:r>
        <w:fldChar w:fldCharType="separate"/>
      </w:r>
      <w:r>
        <w:t>76</w:t>
      </w:r>
      <w:r>
        <w:fldChar w:fldCharType="end"/>
      </w:r>
    </w:p>
    <w:p w:rsidR="00D452D1" w:rsidRDefault="00D452D1">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Riskipositsiooni klasside ja vastaspoole sektorite määramine</w:t>
      </w:r>
      <w:r>
        <w:rPr>
          <w:noProof/>
        </w:rPr>
        <w:tab/>
      </w:r>
      <w:r>
        <w:rPr>
          <w:noProof/>
        </w:rPr>
        <w:fldChar w:fldCharType="begin"/>
      </w:r>
      <w:r>
        <w:rPr>
          <w:noProof/>
        </w:rPr>
        <w:instrText xml:space="preserve"> PAGEREF _Toc524083016 \h </w:instrText>
      </w:r>
      <w:r>
        <w:rPr>
          <w:noProof/>
        </w:rPr>
      </w:r>
      <w:r>
        <w:rPr>
          <w:noProof/>
        </w:rPr>
        <w:fldChar w:fldCharType="separate"/>
      </w:r>
      <w:r>
        <w:rPr>
          <w:noProof/>
        </w:rPr>
        <w:t>76</w:t>
      </w:r>
      <w:r>
        <w:rPr>
          <w:noProof/>
        </w:rPr>
        <w:fldChar w:fldCharType="end"/>
      </w:r>
    </w:p>
    <w:p w:rsidR="002A74C8" w:rsidRDefault="00D452D1">
      <w:pPr>
        <w:spacing w:after="0"/>
        <w:rPr>
          <w:rFonts w:asciiTheme="minorHAnsi" w:eastAsiaTheme="minorEastAsia" w:hAnsiTheme="minorHAnsi" w:cstheme="minorBidi"/>
          <w:noProof/>
          <w:szCs w:val="22"/>
        </w:rPr>
        <w:sectPr w:rsidR="002A74C8" w:rsidSect="009569C7">
          <w:footerReference w:type="default" r:id="rId9"/>
          <w:pgSz w:w="11906" w:h="16838"/>
          <w:pgMar w:top="1440" w:right="1800" w:bottom="1440" w:left="1800" w:header="708" w:footer="708" w:gutter="0"/>
          <w:cols w:space="708"/>
          <w:titlePg/>
          <w:docGrid w:linePitch="360"/>
        </w:sectPr>
      </w:pPr>
      <w:r>
        <w:rPr>
          <w:rFonts w:ascii="Cambria" w:hAnsi="Cambria"/>
          <w:b/>
          <w:sz w:val="24"/>
          <w:szCs w:val="24"/>
        </w:rPr>
        <w:fldChar w:fldCharType="end"/>
      </w:r>
    </w:p>
    <w:p w:rsidR="009569C7" w:rsidRPr="00EC4FA2" w:rsidRDefault="009569C7">
      <w:pPr>
        <w:spacing w:after="0"/>
      </w:pPr>
    </w:p>
    <w:p w:rsidR="009569C7" w:rsidRPr="00EC4FA2" w:rsidRDefault="009569C7">
      <w:pPr>
        <w:spacing w:after="0"/>
      </w:pPr>
    </w:p>
    <w:p w:rsidR="009569C7" w:rsidRPr="00EC4FA2" w:rsidRDefault="00A36F5D" w:rsidP="009569C7">
      <w:pPr>
        <w:jc w:val="center"/>
        <w:rPr>
          <w:rFonts w:ascii="Times New Roman" w:hAnsi="Times New Roman"/>
          <w:b/>
          <w:sz w:val="24"/>
          <w:szCs w:val="24"/>
        </w:rPr>
      </w:pPr>
      <w:bookmarkStart w:id="2" w:name="_Toc361844198"/>
      <w:r>
        <w:rPr>
          <w:rFonts w:ascii="Times New Roman" w:hAnsi="Times New Roman"/>
          <w:b/>
          <w:sz w:val="24"/>
        </w:rPr>
        <w:t xml:space="preserve">I </w:t>
      </w:r>
      <w:r w:rsidR="00A834F1">
        <w:rPr>
          <w:rFonts w:ascii="Times New Roman" w:hAnsi="Times New Roman"/>
          <w:b/>
          <w:sz w:val="24"/>
        </w:rPr>
        <w:t>OSA</w:t>
      </w:r>
      <w:bookmarkEnd w:id="2"/>
    </w:p>
    <w:p w:rsidR="009569C7" w:rsidRPr="00EC4FA2" w:rsidRDefault="00A834F1" w:rsidP="009569C7">
      <w:pPr>
        <w:pStyle w:val="Heading1"/>
      </w:pPr>
      <w:bookmarkStart w:id="3" w:name="_Toc362359270"/>
      <w:bookmarkStart w:id="4" w:name="_Toc467855193"/>
      <w:bookmarkStart w:id="5" w:name="_Toc523999795"/>
      <w:bookmarkStart w:id="6" w:name="_Toc524082933"/>
      <w:r>
        <w:t>Üldised juhised</w:t>
      </w:r>
      <w:bookmarkEnd w:id="3"/>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523999796"/>
      <w:bookmarkStart w:id="10" w:name="_Toc361844199"/>
      <w:bookmarkStart w:id="11" w:name="_Toc524082934"/>
      <w:r>
        <w:t>Viited</w:t>
      </w:r>
      <w:bookmarkEnd w:id="7"/>
      <w:bookmarkEnd w:id="8"/>
      <w:bookmarkEnd w:id="9"/>
      <w:bookmarkEnd w:id="11"/>
    </w:p>
    <w:bookmarkEnd w:id="10"/>
    <w:p w:rsidR="009569C7" w:rsidRPr="00EC4FA2" w:rsidRDefault="00A834F1" w:rsidP="009569C7">
      <w:pPr>
        <w:pStyle w:val="Baseparagraphnumbered"/>
      </w:pPr>
      <w:r>
        <w:t xml:space="preserve">Käesolevas lisas on esitatud täiendavad juhised käesoleva määruse III ja IV lisas sisalduvate finantsteabe vormide (edaspidi „FINREP“) täitmiseks. Käesolev lisa täiendab III ja IV lisa vormides viidetena esitatud juhiseid. </w:t>
      </w:r>
    </w:p>
    <w:p w:rsidR="009569C7" w:rsidRPr="00EC4FA2" w:rsidRDefault="00A834F1" w:rsidP="009569C7">
      <w:pPr>
        <w:pStyle w:val="Baseparagraphnumbered"/>
      </w:pPr>
      <w:r>
        <w:t>Krediidiasutused ja investeerimisühingud, kes kasutavad IFRSiga ühilduvaid siseriiklikke raamatupidamisstandardeid (edaspidi „ühilduv siseriiklik GAAP“), järgivad käesolevas lisas esitatud üldisi ja IFRSi juhiseid, kui ei ole ette nähtud teisiti. See ei tohi mõjutada ühilduva siseriikliku GAAPi nõuete vastavust BADi nõuetele. Krediidiasutused ja investeerimisühingud, kes kasutavad siseriiklikke raamatupidamisstandardeid, mis ei ühildu IFRSiga või mida ei ole veel viidud kooskõlla IFRS 9 nõuetega, järgivad käesolevas lisas esitatud üldisi ja BADi juhiseid, kui ei ole ette nähtud teisiti.</w:t>
      </w:r>
    </w:p>
    <w:p w:rsidR="009569C7" w:rsidRPr="00EC4FA2" w:rsidRDefault="00A834F1" w:rsidP="009569C7">
      <w:pPr>
        <w:pStyle w:val="Baseparagraphnumbered"/>
      </w:pPr>
      <w:r>
        <w:t>Vormides märgitud andmepunktid täidetakse vastavalt määruse (EL) nr 575/2013 artikli 4 lõike 1 punktis 77 määratletud kohaldatava raamatupidamistava kajastamis-, tasaarvestus- ja hindamiseeskirjadele.</w:t>
      </w:r>
    </w:p>
    <w:p w:rsidR="009569C7" w:rsidRPr="00EC4FA2" w:rsidRDefault="00A834F1" w:rsidP="009569C7">
      <w:pPr>
        <w:pStyle w:val="Baseparagraphnumbered"/>
      </w:pPr>
      <w:r>
        <w:t>Krediidiasutused ja investeerimisühingud esitavad ainult vormide need osad, mis on seotud järgmisega:</w:t>
      </w:r>
    </w:p>
    <w:p w:rsidR="009569C7" w:rsidRPr="00EC4FA2" w:rsidRDefault="00A834F1" w:rsidP="009569C7">
      <w:pPr>
        <w:pStyle w:val="Baseparagraphnumbered"/>
        <w:numPr>
          <w:ilvl w:val="0"/>
          <w:numId w:val="29"/>
        </w:numPr>
        <w:ind w:left="1134" w:hanging="426"/>
      </w:pPr>
      <w:r>
        <w:t>krediidiasutuse või investeerimisühingu kajastatavad varad, kohustused, omakapital, tulud ja kulud;</w:t>
      </w:r>
    </w:p>
    <w:p w:rsidR="009569C7" w:rsidRPr="00EC4FA2" w:rsidRDefault="00A834F1" w:rsidP="009569C7">
      <w:pPr>
        <w:pStyle w:val="Baseparagraphnumbered"/>
        <w:numPr>
          <w:ilvl w:val="0"/>
          <w:numId w:val="29"/>
        </w:numPr>
        <w:ind w:left="1134" w:hanging="426"/>
      </w:pPr>
      <w:r>
        <w:t>bilansivälised riskipositsioonid ja tegevused, milles krediidiasutus või investeerimisühing osaleb;</w:t>
      </w:r>
    </w:p>
    <w:p w:rsidR="009569C7" w:rsidRPr="00EC4FA2" w:rsidRDefault="00A834F1" w:rsidP="009569C7">
      <w:pPr>
        <w:pStyle w:val="Baseparagraphnumbered"/>
        <w:numPr>
          <w:ilvl w:val="0"/>
          <w:numId w:val="29"/>
        </w:numPr>
        <w:ind w:left="1134" w:hanging="426"/>
      </w:pPr>
      <w:r>
        <w:t>krediidiasutuse või investeerimisühingu teostatavad tehingud;</w:t>
      </w:r>
    </w:p>
    <w:p w:rsidR="009569C7" w:rsidRPr="00EC4FA2" w:rsidRDefault="00A834F1" w:rsidP="009569C7">
      <w:pPr>
        <w:pStyle w:val="Baseparagraphnumbered"/>
        <w:numPr>
          <w:ilvl w:val="0"/>
          <w:numId w:val="29"/>
        </w:numPr>
        <w:ind w:left="1134" w:hanging="425"/>
      </w:pPr>
      <w:r>
        <w:t>krediidiasutuse või investeerimisühingu kohaldatavad hindamiseeskirjad, sealhulgas krediidiriski puhul tehtavate allahindluste hindamise meetodid.</w:t>
      </w:r>
    </w:p>
    <w:p w:rsidR="009569C7" w:rsidRPr="00EC4FA2" w:rsidRDefault="00A834F1" w:rsidP="009569C7">
      <w:pPr>
        <w:pStyle w:val="Baseparagraphnumbered"/>
        <w:ind w:left="1134"/>
      </w:pPr>
      <w:r>
        <w:t>III ja IV lisa ning käesoleva lisa kohaldamisel kasutatakse järgmisi lühendeid:</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„kapitalinõuete määrus“ – määrus (EL) nr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„IAS“ või „IFRS“ – määruse nr 1606/2002</w:t>
      </w:r>
      <w:r>
        <w:rPr>
          <w:rStyle w:val="FootnoteReference"/>
          <w:rFonts w:ascii="Times New Roman" w:hAnsi="Times New Roman"/>
          <w:sz w:val="24"/>
        </w:rPr>
        <w:footnoteReference w:id="2"/>
      </w:r>
      <w:r>
        <w:rPr>
          <w:rFonts w:ascii="Times New Roman" w:hAnsi="Times New Roman"/>
          <w:sz w:val="24"/>
        </w:rPr>
        <w:t xml:space="preserve"> artiklis 2 määratletud „rahvusvahelised raamatupidamisstandardid“, mille on komisjon vastu võtnud;</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„EKP bilansikirjete määrus“ või „EKP/2013/33“ – </w:t>
      </w:r>
      <w:bookmarkStart w:id="12" w:name="OLE_LINK2"/>
      <w:r>
        <w:rPr>
          <w:rFonts w:ascii="Times New Roman" w:hAnsi="Times New Roman"/>
          <w:sz w:val="24"/>
        </w:rPr>
        <w:t>Euroopa Keskpanga määrus (EL) nr 1071/2013</w:t>
      </w:r>
      <w:r>
        <w:rPr>
          <w:rStyle w:val="FootnoteReference"/>
          <w:rFonts w:ascii="Times New Roman" w:hAnsi="Times New Roman"/>
          <w:sz w:val="24"/>
        </w:rPr>
        <w:footnoteReference w:id="3"/>
      </w:r>
      <w:r>
        <w:rPr>
          <w:rFonts w:ascii="Times New Roman" w:hAnsi="Times New Roman"/>
          <w:sz w:val="24"/>
        </w:rPr>
        <w:t xml:space="preserve">; </w:t>
      </w:r>
      <w:bookmarkEnd w:id="12"/>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määrus“ – Euroopa Parlamendi ja nõukogu määrus (EÜ) nr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koodid“ – NACE määruses sätestatud koodid;</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 nõukogu direktiiv 86/635/EMÜ</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„raamatupidamisdirektiiv“ – direktiiv 2013/34/EL</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„siseriiklik GAAP“ – BADi kohaselt väljatöötatud siseriiklik üldtunnustatud arvestustava;</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„VKE“ – komisjoni soovituses K(2003)1422</w:t>
      </w:r>
      <w:r>
        <w:rPr>
          <w:rFonts w:ascii="Times New Roman" w:hAnsi="Times New Roman"/>
          <w:sz w:val="24"/>
          <w:vertAlign w:val="superscript"/>
        </w:rPr>
        <w:footnoteReference w:id="7"/>
      </w:r>
      <w:r>
        <w:rPr>
          <w:rFonts w:ascii="Times New Roman" w:hAnsi="Times New Roman"/>
          <w:sz w:val="24"/>
        </w:rPr>
        <w:t xml:space="preserve"> määratletud mikro-, väikesed ja keskmise suurusega ettevõtjad;</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 kood“ – 12 tähtnumbrilisest märgist koosnev rahvusvaheline väärtpaberite identifitseerimisnumber, mis antakse väärtpaberitele ja mis on väärtpaberiemissiooni kordumatu tunnus;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 kood“ – üksustele antud ülemaailmne juriidilise isiku tunnus, mis on finantstehingu osapoole kordumatu tunnus;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3" w:name="_Toc361844200"/>
      <w:r>
        <w:rPr>
          <w:rFonts w:ascii="Times New Roman" w:hAnsi="Times New Roman"/>
          <w:sz w:val="24"/>
        </w:rPr>
        <w:t>„väärtuse languse etapid“: IFRS 9.5.5 määratletud väärtuse languse kategooriad. „1. etapp“ osutab IFRS 9.5.5.5 kohaselt mõõdetud väärtuse langusele. „2. etapp“ osutab IFRS 9.5.5.3 kohaselt mõõdetud väärtuse langusele. „3. etapp“ osutab IFRS 9 lisas A määratletud krediidiriski tõttu langenud vara väärtuse langusele.</w:t>
      </w:r>
    </w:p>
    <w:p w:rsidR="009569C7" w:rsidRPr="00EC4FA2" w:rsidRDefault="00A834F1" w:rsidP="009569C7">
      <w:pPr>
        <w:pStyle w:val="subtitlenumbered"/>
        <w:numPr>
          <w:ilvl w:val="0"/>
          <w:numId w:val="17"/>
        </w:numPr>
        <w:jc w:val="both"/>
      </w:pPr>
      <w:bookmarkStart w:id="14" w:name="_Toc362359272"/>
      <w:bookmarkStart w:id="15" w:name="_Toc467855195"/>
      <w:bookmarkStart w:id="16" w:name="_Toc523999797"/>
      <w:bookmarkStart w:id="17" w:name="_Toc524082935"/>
      <w:r>
        <w:t>Põhimõtted</w:t>
      </w:r>
      <w:bookmarkEnd w:id="14"/>
      <w:bookmarkEnd w:id="15"/>
      <w:bookmarkEnd w:id="16"/>
      <w:bookmarkEnd w:id="17"/>
    </w:p>
    <w:bookmarkEnd w:id="13"/>
    <w:p w:rsidR="009569C7" w:rsidRPr="00EC4FA2" w:rsidRDefault="00A834F1" w:rsidP="009569C7">
      <w:pPr>
        <w:pStyle w:val="Baseparagraphnumbered"/>
      </w:pPr>
      <w:r>
        <w:lastRenderedPageBreak/>
        <w:t>III ja IV lisa puhul tähendab halli varjundiga andmepunkt, et asjaomane andmepunkt ei ole nõutud või selle kohta ei ole võimalik andmeid esitada. IV lisas tähendab viidete must varjund teataval real või teatavas veerus, et krediidiasutused ja investeerimisühingud, kes järgivad neid viiteid kõnealusel real või kõnealuses veerus, ei pea seotud andmepunkte täitma.</w:t>
      </w:r>
    </w:p>
    <w:p w:rsidR="009569C7" w:rsidRPr="00EC4FA2" w:rsidRDefault="00A834F1" w:rsidP="009569C7">
      <w:pPr>
        <w:pStyle w:val="Baseparagraphnumbered"/>
      </w:pPr>
      <w:r>
        <w:t>III ja IV lisas esitatud vormid sisaldavad otseselt väljendamata valideerimiseeskirju, mis tulenevad vormide endi põhimõtetest.</w:t>
      </w:r>
    </w:p>
    <w:p w:rsidR="009569C7" w:rsidRPr="00EC4FA2" w:rsidRDefault="00A834F1" w:rsidP="009569C7">
      <w:pPr>
        <w:pStyle w:val="Baseparagraphnumbered"/>
      </w:pPr>
      <w:r>
        <w:t>Sulgude kasutamine vormi mis tahes kirje pealkirjas tähendab, et see kirje tuleb lõppsumma saamiseks lahutada, kuid ei tähenda, et see kirje tuleb esitada negatiivsena.</w:t>
      </w:r>
    </w:p>
    <w:p w:rsidR="009569C7" w:rsidRPr="00EC4FA2" w:rsidRDefault="00A834F1" w:rsidP="009569C7">
      <w:pPr>
        <w:pStyle w:val="Baseparagraphnumbered"/>
      </w:pPr>
      <w:r>
        <w:t>Negatiivsena esitatavad kirjed on kindlaks määratud koondvormides ning nende pealkirja algusesse on lisatud miinusmärk „(–)“, näiteks pealkirjas „(–) Omaaktsiad“.</w:t>
      </w:r>
    </w:p>
    <w:p w:rsidR="009569C7" w:rsidRPr="00EC4FA2" w:rsidRDefault="00A834F1" w:rsidP="009569C7">
      <w:pPr>
        <w:pStyle w:val="Baseparagraphnumbered"/>
      </w:pPr>
      <w:r>
        <w:t xml:space="preserve">III ja IV lisas esitatud finantsteabe aruandlusvormidega seotud „andmepunkti mudelis“ (Data Point Model, „DPM“) on igal andmepunktil (lahter) „aluskirje“ (base item), millele lisatakse „kreedit/deebet“ täiend. Sellega tagatakse, et kõik andmepunkte esitavad üksused järgivad „märgi põhimõtteid“ ning see võimaldab teada igale andmepunktile vastavat „kreedit/deebet“ täiendit. </w:t>
      </w:r>
    </w:p>
    <w:p w:rsidR="009569C7" w:rsidRPr="00EC4FA2" w:rsidRDefault="00A834F1" w:rsidP="009569C7">
      <w:pPr>
        <w:pStyle w:val="Baseparagraphnumbered"/>
      </w:pPr>
      <w:r>
        <w:t>Nende põhimõtete skeem on esitatud tabelis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 1. Kreedit/deebet põhimõtted, positiivsed ja negatiivsed märgid</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/Muutus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Esitatud arv</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vähenemine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Kohustused</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Kohustuste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Kohustuste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Kohustuste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Kohustuste vähenemine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investeeringud</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Positiivne</w:t>
            </w:r>
            <w:r w:rsidR="005579BF">
              <w:rPr>
                <w:rFonts w:ascii="Times New Roman" w:hAnsi="Times New Roman"/>
              </w:rPr>
              <w:t xml:space="preserve">                        </w:t>
            </w:r>
            <w:r w:rsidR="00A834F1">
              <w:rPr>
                <w:rFonts w:ascii="Times New Roman" w:hAnsi="Times New Roman"/>
              </w:rPr>
              <w:t xml:space="preserve"> </w:t>
            </w:r>
            <w:r w:rsidR="005579BF">
              <w:rPr>
                <w:rFonts w:ascii="Times New Roman" w:hAnsi="Times New Roman"/>
              </w:rPr>
              <w:t xml:space="preserve">              </w:t>
            </w:r>
            <w:r w:rsidR="00A834F1">
              <w:rPr>
                <w:rFonts w:ascii="Times New Roman" w:hAnsi="Times New Roman"/>
              </w:rPr>
              <w:t>(„normaalne“,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Omakapitali negatiivne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Negatiivne</w:t>
            </w:r>
            <w:r w:rsidR="00A834F1">
              <w:rPr>
                <w:rFonts w:ascii="Times New Roman" w:hAnsi="Times New Roman"/>
              </w:rPr>
              <w:t xml:space="preserve"> </w:t>
            </w:r>
            <w:r w:rsidR="005579BF">
              <w:rPr>
                <w:rFonts w:ascii="Times New Roman" w:hAnsi="Times New Roman"/>
              </w:rPr>
              <w:t xml:space="preserve">                                   </w:t>
            </w:r>
            <w:r w:rsidR="00A834F1">
              <w:rPr>
                <w:rFonts w:ascii="Times New Roman" w:hAnsi="Times New Roman"/>
              </w:rPr>
              <w:t>(vaja on miinusmärki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vähenemine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 xml:space="preserve">Negatiivne </w:t>
            </w:r>
            <w:r w:rsidR="005579BF">
              <w:rPr>
                <w:rFonts w:ascii="Times New Roman" w:hAnsi="Times New Roman"/>
              </w:rPr>
              <w:t xml:space="preserve">                                 </w:t>
            </w:r>
            <w:r>
              <w:rPr>
                <w:rFonts w:ascii="Times New Roman" w:hAnsi="Times New Roman"/>
              </w:rPr>
              <w:t>(</w:t>
            </w:r>
            <w:r w:rsidR="00A834F1">
              <w:rPr>
                <w:rFonts w:ascii="Times New Roman" w:hAnsi="Times New Roman"/>
              </w:rPr>
              <w:t>vaja on miinusmärki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Positiivne</w:t>
            </w:r>
            <w:r w:rsidR="00A834F1">
              <w:rPr>
                <w:rFonts w:ascii="Times New Roman" w:hAnsi="Times New Roman"/>
              </w:rPr>
              <w:t xml:space="preserve"> </w:t>
            </w:r>
            <w:r w:rsidR="005579BF">
              <w:rPr>
                <w:rFonts w:ascii="Times New Roman" w:hAnsi="Times New Roman"/>
              </w:rPr>
              <w:t xml:space="preserve">                 </w:t>
            </w:r>
            <w:r w:rsidR="00A834F1">
              <w:rPr>
                <w:rFonts w:ascii="Times New Roman" w:hAnsi="Times New Roman"/>
              </w:rPr>
              <w:t>(„normaalne“,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Positiivne</w:t>
            </w:r>
            <w:r w:rsidR="00A834F1">
              <w:rPr>
                <w:rFonts w:ascii="Times New Roman" w:hAnsi="Times New Roman"/>
              </w:rPr>
              <w:t xml:space="preserve"> </w:t>
            </w:r>
            <w:r w:rsidR="005579BF">
              <w:rPr>
                <w:rFonts w:ascii="Times New Roman" w:hAnsi="Times New Roman"/>
              </w:rPr>
              <w:t xml:space="preserve">                                     </w:t>
            </w:r>
            <w:r w:rsidR="00A834F1">
              <w:rPr>
                <w:rFonts w:ascii="Times New Roman" w:hAnsi="Times New Roman"/>
              </w:rPr>
              <w:t>(„normaalne“,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Negatiivne</w:t>
            </w:r>
            <w:r w:rsidR="00A834F1">
              <w:rPr>
                <w:rFonts w:ascii="Times New Roman" w:hAnsi="Times New Roman"/>
              </w:rPr>
              <w:t xml:space="preserve"> </w:t>
            </w:r>
            <w:r w:rsidR="005579BF">
              <w:rPr>
                <w:rFonts w:ascii="Times New Roman" w:hAnsi="Times New Roman"/>
              </w:rPr>
              <w:t xml:space="preserve">                                   </w:t>
            </w:r>
            <w:r w:rsidR="00A834F1">
              <w:rPr>
                <w:rFonts w:ascii="Times New Roman" w:hAnsi="Times New Roman"/>
              </w:rPr>
              <w:t>(vaja on miinusmärki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D452D1" w:rsidP="00D452D1">
            <w:pPr>
              <w:autoSpaceDE w:val="0"/>
              <w:autoSpaceDN w:val="0"/>
              <w:adjustRightInd w:val="0"/>
              <w:spacing w:after="0"/>
              <w:jc w:val="both"/>
              <w:rPr>
                <w:rFonts w:ascii="Times New Roman" w:hAnsi="Times New Roman"/>
                <w:szCs w:val="22"/>
              </w:rPr>
            </w:pPr>
            <w:r>
              <w:rPr>
                <w:rFonts w:ascii="Times New Roman" w:hAnsi="Times New Roman"/>
              </w:rPr>
              <w:t xml:space="preserve">Negatiivne </w:t>
            </w:r>
            <w:r w:rsidR="005579BF">
              <w:rPr>
                <w:rFonts w:ascii="Times New Roman" w:hAnsi="Times New Roman"/>
              </w:rPr>
              <w:t xml:space="preserve">                                 </w:t>
            </w:r>
            <w:r>
              <w:rPr>
                <w:rFonts w:ascii="Times New Roman" w:hAnsi="Times New Roman"/>
              </w:rPr>
              <w:t>(vaja</w:t>
            </w:r>
            <w:r w:rsidR="00A834F1">
              <w:rPr>
                <w:rFonts w:ascii="Times New Roman" w:hAnsi="Times New Roman"/>
              </w:rPr>
              <w:t xml:space="preserve"> on miinusmärki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8" w:name="_Toc362359273"/>
      <w:bookmarkStart w:id="19" w:name="_Toc467855196"/>
      <w:bookmarkStart w:id="20" w:name="_Toc523999798"/>
      <w:bookmarkStart w:id="21" w:name="_Toc524082936"/>
      <w:r>
        <w:t>Konsolideerimine</w:t>
      </w:r>
      <w:bookmarkEnd w:id="18"/>
      <w:bookmarkEnd w:id="19"/>
      <w:bookmarkEnd w:id="20"/>
      <w:bookmarkEnd w:id="21"/>
    </w:p>
    <w:p w:rsidR="009569C7" w:rsidRPr="00EC4FA2" w:rsidRDefault="00A834F1" w:rsidP="009569C7">
      <w:pPr>
        <w:pStyle w:val="Baseparagraphnumbered"/>
      </w:pPr>
      <w:r>
        <w:t>Kui käesolevas lisas ei ole sätestatud teisiti, kasutatakse FINREPi vormide täitmisel usaldatavusnõuetekohast konsolideerimist vastavalt kapitalinõuete määruse I osa II jaotise 2. peatüki 2. jaole. Krediidiasutused ja investeerimisühingud kasutavad oma tütarettevõtjate, ühisettevõtjate (IFRSi kohaselt „ühisettevõtmised“) ja sidusettevõtjate kohta andmete esitamisel samu meetodeid kui usaldatavusnõuetekohase konsolideerimise puhul:</w:t>
      </w:r>
    </w:p>
    <w:p w:rsidR="009569C7" w:rsidRPr="00EC4FA2" w:rsidRDefault="00A834F1" w:rsidP="009569C7">
      <w:pPr>
        <w:pStyle w:val="Baseparagraphnumbered"/>
        <w:numPr>
          <w:ilvl w:val="1"/>
          <w:numId w:val="27"/>
        </w:numPr>
        <w:ind w:left="993"/>
      </w:pPr>
      <w:r>
        <w:t>krediidiasutustel ja investeerimisühingutel võib olla lubatud rakendada või nad võivad olla kohustatud rakendama kapitaliosaluse meetodit kindlustusvaldkonna ja muu kui finantsvaldkonna tütarettevõtjatesse tehtud investeeringute suhtes vastavalt kapitalinõuete</w:t>
      </w:r>
      <w:r w:rsidR="00D452D1">
        <w:t xml:space="preserve"> määruse artikli 18 lõikele 5;</w:t>
      </w:r>
    </w:p>
    <w:p w:rsidR="009569C7" w:rsidRPr="00EC4FA2" w:rsidRDefault="00A834F1" w:rsidP="009569C7">
      <w:pPr>
        <w:pStyle w:val="Baseparagraphnumbered"/>
        <w:numPr>
          <w:ilvl w:val="1"/>
          <w:numId w:val="27"/>
        </w:numPr>
        <w:ind w:left="993"/>
      </w:pPr>
      <w:r>
        <w:t>krediidiasutustel ja investeerimisühingutel võib olla lubatud kasutada finantsvaldkonna tütarettevõtjate puhul proportsionaalset konsolideerimist vastavalt kapitalinõuete määruse artikli 18 lõikele 2;</w:t>
      </w:r>
    </w:p>
    <w:p w:rsidR="009569C7" w:rsidRPr="00EC4FA2" w:rsidRDefault="00A834F1" w:rsidP="009569C7">
      <w:pPr>
        <w:pStyle w:val="Baseparagraphnumbered"/>
        <w:numPr>
          <w:ilvl w:val="1"/>
          <w:numId w:val="27"/>
        </w:numPr>
        <w:ind w:left="993"/>
      </w:pPr>
      <w:r>
        <w:t>krediidiasutused ja investeerimisühingud võivad olla kohustatud kasutama proportsionaalset konsolideerimist ühisettevõtjatesse tehtud investeeringute puhul vastavalt kapitalinõuete määruse artikli 18 lõikele 4.</w:t>
      </w:r>
    </w:p>
    <w:p w:rsidR="009569C7" w:rsidRPr="00EC4FA2" w:rsidRDefault="00A834F1" w:rsidP="009569C7">
      <w:pPr>
        <w:pStyle w:val="subtitlenumbered"/>
        <w:numPr>
          <w:ilvl w:val="0"/>
          <w:numId w:val="17"/>
        </w:numPr>
        <w:jc w:val="both"/>
      </w:pPr>
      <w:bookmarkStart w:id="22" w:name="_Toc361844202"/>
      <w:bookmarkStart w:id="23" w:name="_Toc362359274"/>
      <w:bookmarkStart w:id="24" w:name="_Toc467855197"/>
      <w:bookmarkStart w:id="25" w:name="_Toc523999799"/>
      <w:bookmarkStart w:id="26" w:name="_Toc524082937"/>
      <w:r>
        <w:t>Finantsinstrumentide</w:t>
      </w:r>
      <w:bookmarkEnd w:id="22"/>
      <w:bookmarkEnd w:id="23"/>
      <w:r>
        <w:t xml:space="preserve"> arvestusportfellid</w:t>
      </w:r>
      <w:bookmarkEnd w:id="24"/>
      <w:bookmarkEnd w:id="25"/>
      <w:bookmarkEnd w:id="26"/>
      <w:r>
        <w:t xml:space="preserve"> </w:t>
      </w:r>
    </w:p>
    <w:p w:rsidR="009569C7" w:rsidRPr="00EC4FA2" w:rsidRDefault="00A834F1" w:rsidP="009569C7">
      <w:pPr>
        <w:pStyle w:val="Baseparagraphnumbered"/>
      </w:pPr>
      <w:r>
        <w:t xml:space="preserve">III, IV ja käesoleva lisa kohaldamisel tähendab „arvestusportfellid“ hindamiseeskirjade alusel rühmitatud finantsinstrumente. Nendel </w:t>
      </w:r>
      <w:r>
        <w:lastRenderedPageBreak/>
        <w:t>rühmitamistel ei võeta arvesse tütarettevõtjatesse, ühisettevõtjatesse ja sidusettevõtjatesse tehtud investeeringuid, kirjele „raha, nõuded keskpankadele ja muud nõudmiseni hoiused“ liigitatud nõudeid ega „müügiks hoitavaks“ liigitatud finantsinstrumente, mis on kajastatud kirjetel „müügiks hoitavad põhivarad ja müügigrupid“ ja „kohustused, mis kuuluvad müügiks hoitavaks liigitatud müügigruppidesse“.</w:t>
      </w:r>
    </w:p>
    <w:p w:rsidR="009569C7" w:rsidRPr="00EC4FA2" w:rsidRDefault="00A834F1" w:rsidP="009569C7">
      <w:pPr>
        <w:pStyle w:val="Baseparagraphnumbered"/>
      </w:pPr>
      <w:r>
        <w:t>Siseriikliku GAAPi kohaselt peavad krediidiasutused ja investeerimisühingud, kellel on lubatud kohaldada või kes on kohustatud kohaldama finantsinstrumentide suhtes teatavaid hindamiseeskirju vastavalt IFRSile, esitama asjaomased IFRSi arvestusportfellid, kohaldades kõnealuseid eeskirju. Kui finantsinstrumentide hindamise eeskirjad, mida krediidiasutused ja investeerimisühingud võivad kohaldatava BADil põhineva siseriikliku GAAPi kohaselt kohaldada või peavad kohaldama, on vastavuses IAS 39 hindamiseeskirjadega, esitavad krediidiasutused ja investeerimisühingud arvestusportfellid BADi kohaselt kõigi finantsinstrumentide puhul seni, kuni nende kohaldatavad hindamiseeskirjad on vastavuses IFRS 9 hindamiseeskirjadega.</w:t>
      </w:r>
    </w:p>
    <w:p w:rsidR="009569C7" w:rsidRPr="00EC4FA2" w:rsidRDefault="00A834F1" w:rsidP="009569C7">
      <w:pPr>
        <w:pStyle w:val="sub-subtitlenumbered"/>
      </w:pPr>
      <w:bookmarkStart w:id="27" w:name="_Toc467855198"/>
      <w:bookmarkStart w:id="28" w:name="_Toc523999800"/>
      <w:bookmarkStart w:id="29" w:name="_Toc524082938"/>
      <w:r>
        <w:t>Finantsvarad</w:t>
      </w:r>
      <w:bookmarkEnd w:id="27"/>
      <w:bookmarkEnd w:id="28"/>
      <w:bookmarkEnd w:id="29"/>
    </w:p>
    <w:p w:rsidR="009569C7" w:rsidRPr="00EC4FA2" w:rsidRDefault="00A834F1" w:rsidP="009569C7">
      <w:pPr>
        <w:pStyle w:val="Baseparagraphnumbered"/>
      </w:pPr>
      <w:r>
        <w:t>Finantsvarade puhul kasutatakse järgmisi IFRSil põhinevaid arvestusportfelle: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„kauplemiseks hoitavad finantsvarad“;</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„kohustuslikult õiglases väärtuses muutustega läbi kasumiaruande mõõdetavad finantsvarad, mida ei kasutata kauplemisel“;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„finantsvarad õiglases väärtuses muutustega läbi kasumia</w:t>
      </w:r>
      <w:r w:rsidR="00A36F5D">
        <w:rPr>
          <w:rFonts w:ascii="Times New Roman" w:hAnsi="Times New Roman"/>
          <w:sz w:val="24"/>
        </w:rPr>
        <w:t>ruande“;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„õiglases väärtuses läbi muu koondkasumi mõõdetud finantsvarad“;</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„amortiseeritud soetusväär</w:t>
      </w:r>
      <w:r w:rsidR="00A36F5D">
        <w:rPr>
          <w:rFonts w:ascii="Times New Roman" w:hAnsi="Times New Roman"/>
          <w:sz w:val="24"/>
        </w:rPr>
        <w:t>tuses kajastatud finantsvarad“.</w:t>
      </w:r>
    </w:p>
    <w:p w:rsidR="009569C7" w:rsidRPr="00EC4FA2" w:rsidRDefault="00A834F1" w:rsidP="009569C7">
      <w:pPr>
        <w:pStyle w:val="Baseparagraphnumbered"/>
      </w:pPr>
      <w:r>
        <w:t>Finantsvarade puhul kasutatakse järgmisi siseriiklikul GAAPil põhinevaid arvestusportfelle:</w:t>
      </w:r>
    </w:p>
    <w:p w:rsidR="009569C7" w:rsidRPr="00EC4FA2" w:rsidRDefault="00A834F1" w:rsidP="009569C7">
      <w:pPr>
        <w:pStyle w:val="Baseparagraphnumbered"/>
        <w:numPr>
          <w:ilvl w:val="0"/>
          <w:numId w:val="34"/>
        </w:numPr>
        <w:ind w:left="1134"/>
      </w:pPr>
      <w:r>
        <w:t>„kauplemisel kasutatavad fina</w:t>
      </w:r>
      <w:r w:rsidR="00A36F5D">
        <w:t>ntsvarad“;</w:t>
      </w:r>
    </w:p>
    <w:p w:rsidR="009569C7" w:rsidRPr="00EC4FA2" w:rsidRDefault="00A834F1" w:rsidP="009569C7">
      <w:pPr>
        <w:pStyle w:val="Baseparagraphnumbered"/>
        <w:numPr>
          <w:ilvl w:val="0"/>
          <w:numId w:val="34"/>
        </w:numPr>
        <w:ind w:left="1134"/>
      </w:pPr>
      <w:r>
        <w:t>„õiglases väärtuses muutustega läbi kasumiaruande mõõdetavad finantsvarad, mida ei kasutata kauplemisel ja m</w:t>
      </w:r>
      <w:r w:rsidR="00A36F5D">
        <w:t>is ei ole tuletisinstrumendid“;</w:t>
      </w:r>
    </w:p>
    <w:p w:rsidR="009569C7" w:rsidRPr="00EC4FA2" w:rsidRDefault="00A834F1" w:rsidP="009569C7">
      <w:pPr>
        <w:pStyle w:val="Baseparagraphnumbered"/>
        <w:numPr>
          <w:ilvl w:val="0"/>
          <w:numId w:val="0"/>
        </w:numPr>
        <w:ind w:left="1134" w:hanging="360"/>
      </w:pPr>
      <w:r>
        <w:t>c) „omakapitalis kajastatavad õiglases väärtuses mõõdetavad finantsvarad, mida ei kasutata kauplemisel ja mis ei ole tuletisinstrumendid“;</w:t>
      </w:r>
    </w:p>
    <w:p w:rsidR="009569C7" w:rsidRPr="00EC4FA2" w:rsidRDefault="00A834F1" w:rsidP="009569C7">
      <w:pPr>
        <w:pStyle w:val="Baseparagraphnumbered"/>
        <w:numPr>
          <w:ilvl w:val="0"/>
          <w:numId w:val="0"/>
        </w:numPr>
        <w:ind w:left="1134" w:hanging="360"/>
      </w:pPr>
      <w:r>
        <w:t xml:space="preserve">d) „soetusmaksumusepõhisel meetodil mõõdetud finantsvarad, mida ei kasutata kauplemisel ja mis </w:t>
      </w:r>
      <w:r w:rsidR="00A36F5D">
        <w:t>ei ole tuletisinstrumendid“; ja</w:t>
      </w:r>
    </w:p>
    <w:p w:rsidR="009569C7" w:rsidRPr="00EC4FA2" w:rsidRDefault="00A834F1" w:rsidP="009569C7">
      <w:pPr>
        <w:pStyle w:val="Baseparagraphnumbered"/>
        <w:numPr>
          <w:ilvl w:val="0"/>
          <w:numId w:val="0"/>
        </w:numPr>
        <w:ind w:left="1134" w:hanging="360"/>
      </w:pPr>
      <w:r>
        <w:t>e) „muud finantsvarad, mida ei kasutata kauplemisel ja mis ei ole tuletisinstrumendid“.</w:t>
      </w:r>
    </w:p>
    <w:p w:rsidR="009569C7" w:rsidRPr="00EC4FA2" w:rsidRDefault="00A834F1" w:rsidP="009569C7">
      <w:pPr>
        <w:pStyle w:val="Baseparagraphnumbered"/>
      </w:pPr>
      <w:r>
        <w:lastRenderedPageBreak/>
        <w:t>Kirje „kauplemisel kasutatavad finantsvarad“ hõlmab kõiki finantsvarasid, mis liigitatakse kohaldatava BADil põhineva siseriikliku GAAPi kohaselt kauplemisel kasutatavate finantsvarade alla. Olenemata sellest, millist mõõtmismeetodit kohaldatava BADil põhineva siseriikliku GAAPi alusel kasutatakse, kajastatakse kõik tuletisinstrumendid, mille puhul on aruandval krediidiasutusel või investeerimisühingul positiivne saldo ja mis ei ole liigitatud vastavalt käesoleva osa punktile 22 riskimaandamise arvestuse eesmärgil hoitavateks, kauplemisel kasutatavate finantsvaradena. Seda liigitust kohaldatakse ka selliste tuletisinstrumentide suhtes, mida BADil põhineva siseriikliku GAAPi kohaselt bilansis ei kajastata või mille puhul kajastatakse bilansis ainult nende õiglase väärtuse muutused või mida kasutatakse majandusliku riskimaandusena käesoleva lisa 2. osa punkti 137 tähenduses.</w:t>
      </w:r>
    </w:p>
    <w:p w:rsidR="009569C7" w:rsidRPr="00EC4FA2" w:rsidRDefault="00A834F1" w:rsidP="009569C7">
      <w:pPr>
        <w:pStyle w:val="Baseparagraphnumbered"/>
      </w:pPr>
      <w:r>
        <w:t>BADil põhineva siseriikliku GAAPi kohaselt hõlmavad finantsvarade puhul „soetusmaksumusepõhised meetodid“ neid hindamiseeskirju, mille alusel võlainstrumentide väärtust mõõdetakse soetusmaksumuses, millele on liidetud kogunenud intress ja milles</w:t>
      </w:r>
      <w:r w:rsidR="00A36F5D">
        <w:t>t on lahutatud väärtuse langus.</w:t>
      </w:r>
    </w:p>
    <w:p w:rsidR="009569C7" w:rsidRPr="00EC4FA2" w:rsidRDefault="00A834F1" w:rsidP="009569C7">
      <w:pPr>
        <w:pStyle w:val="Baseparagraphnumbered"/>
      </w:pPr>
      <w:r>
        <w:t xml:space="preserve">BADil põhineva siseriikliku GAAPi kohaselt hõlmavad „soetusmaksumusepõhisel meetodil mõõdetud finantsvarad, mida ei kasutata kauplemisel ja mis ei ole tuletisinstrumendid“ finantsinstrumente, mida mõõdetakse soetusmaksumusepõhisel meetodil, samuti instrumente, mida mõõdetakse kas soetusmaksumuses või turuväärtuses, olenevalt sellest, kumb on väiksem („LOCOM“), mittepidevalt („mõõdukas LOCOM“), olenemata nende tegelikust mõõtmisest aruandekuupäeva seisuga. Mõõduka LOCOMi kohaselt mõõdetud varad on varad, mille puhul LOCOMit kohaldatakse üksnes teatavate asjaolude korral. Kohaldatava raamatupidamistavaga on selliste asjaolude (nt väärtuse langus) puhul ette nähtud õiglase väärtuse pikaajaline langus võrreldes soetusmaksumusega </w:t>
      </w:r>
      <w:r w:rsidR="00A36F5D">
        <w:t>või varahalduskavatsuse muutus.</w:t>
      </w:r>
    </w:p>
    <w:p w:rsidR="009569C7" w:rsidRPr="00EC4FA2" w:rsidRDefault="00A834F1" w:rsidP="009569C7">
      <w:pPr>
        <w:pStyle w:val="Baseparagraphnumbered"/>
      </w:pPr>
      <w:r>
        <w:t>BADil põhineva siseriikliku GAAPi kohaselt sisaldab kirje „muud finantsvarad, mida ei kasutata kauplemisel ja mis ei ole tuletisinstrumendid“ finantsvarasid, mida ei saa liigitada muudesse arvestusportfellidesse. See arvestusportfell hõlmab muu hulgas finantsvarasid, mida mõõdetakse LOCOMi kohaselt pidevalt („range LOCOM“). Range LOCOMi kohaselt mõõdetud varad on varad, mille puhul on kohaldatavas raamatupidamistavas ette nähtud esmane ja järgnev mõõtmine LOCOMi kohaselt või esmane mõõtmine soetusmaksumuses ja järgnev mõõtmine LOCOMi kohaselt.</w:t>
      </w:r>
    </w:p>
    <w:p w:rsidR="009569C7" w:rsidRPr="00EC4FA2" w:rsidRDefault="00A834F1" w:rsidP="009569C7">
      <w:pPr>
        <w:pStyle w:val="Baseparagraphnumbered"/>
      </w:pPr>
      <w:r>
        <w:t>Olenemata mõõtmismeetodist kajastatakse investeeringud tütarettevõtjatesse, ühisettevõtjatesse ja sidusettevõtjatesse, kes ei ole täielikult või proportsionaalselt konsolideeritud regulatiivse konsolideerimise alusel, kirje „investeeringud tütarettevõtjatesse, ühisettevõtjatesse ja sidusettevõtjatesse“ all, välja arvatud juhul, kui need on liigitatud IFRS 5 kohaselt müügiks hoitavaks.</w:t>
      </w:r>
    </w:p>
    <w:p w:rsidR="009569C7" w:rsidRPr="00EC4FA2" w:rsidRDefault="00A834F1" w:rsidP="009569C7">
      <w:pPr>
        <w:pStyle w:val="Baseparagraphnumbered"/>
      </w:pPr>
      <w:r>
        <w:t xml:space="preserve"> „Tuletisinstrumendid – riskimaandamise arvestus“ hõlmab tuletisinstrumente, mille puhul on aruandval krediidiasutusel või </w:t>
      </w:r>
      <w:r>
        <w:lastRenderedPageBreak/>
        <w:t xml:space="preserve">investeerimisühingul positiivne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w:t>
      </w:r>
      <w:r w:rsidR="00A36F5D">
        <w:t>mittekuuluva positsiooni riski.</w:t>
      </w:r>
    </w:p>
    <w:p w:rsidR="009569C7" w:rsidRPr="00EC4FA2" w:rsidRDefault="00A834F1" w:rsidP="009569C7">
      <w:pPr>
        <w:pStyle w:val="sub-subtitlenumbered"/>
        <w:keepNext/>
        <w:ind w:left="788" w:hanging="431"/>
        <w:jc w:val="both"/>
      </w:pPr>
      <w:r>
        <w:t xml:space="preserve"> </w:t>
      </w:r>
      <w:bookmarkStart w:id="30" w:name="_Toc361844204"/>
      <w:bookmarkStart w:id="31" w:name="_Toc362359276"/>
      <w:bookmarkStart w:id="32" w:name="_Toc467855199"/>
      <w:bookmarkStart w:id="33" w:name="_Toc523999801"/>
      <w:bookmarkStart w:id="34" w:name="_Toc524082939"/>
      <w:r>
        <w:t>Finantskohustused</w:t>
      </w:r>
      <w:bookmarkEnd w:id="30"/>
      <w:bookmarkEnd w:id="31"/>
      <w:bookmarkEnd w:id="32"/>
      <w:bookmarkEnd w:id="33"/>
      <w:bookmarkEnd w:id="34"/>
    </w:p>
    <w:p w:rsidR="009569C7" w:rsidRPr="00EC4FA2" w:rsidRDefault="00A834F1" w:rsidP="009569C7">
      <w:pPr>
        <w:pStyle w:val="Baseparagraphnumbered"/>
      </w:pPr>
      <w:r>
        <w:t>Finantskohustuste puhul kasutatakse järgmisi IFRSi</w:t>
      </w:r>
      <w:r w:rsidR="00D452D1">
        <w:t>l põhinevaid arvestusportfelle:</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„kauplemise</w:t>
      </w:r>
      <w:r w:rsidR="00D452D1">
        <w:rPr>
          <w:rFonts w:ascii="Times New Roman" w:hAnsi="Times New Roman"/>
          <w:sz w:val="24"/>
        </w:rPr>
        <w:t>ks hoitavad finantskohustused“;</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„finantskohustused õiglases väärtuses m</w:t>
      </w:r>
      <w:r w:rsidR="00D452D1">
        <w:rPr>
          <w:rFonts w:ascii="Times New Roman" w:hAnsi="Times New Roman"/>
          <w:sz w:val="24"/>
        </w:rPr>
        <w:t>uutustega läbi kasumiaruande“;</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„amortiseeritud soetusmaksumuses mõõdetud finantskohustused“.</w:t>
      </w:r>
    </w:p>
    <w:p w:rsidR="009569C7" w:rsidRPr="00EC4FA2" w:rsidRDefault="00A834F1" w:rsidP="009569C7">
      <w:pPr>
        <w:pStyle w:val="Baseparagraphnumbered"/>
      </w:pPr>
      <w:r>
        <w:t>Finantskohustuste puhul kasutatakse järgmisi siseriiklikul GAAPi</w:t>
      </w:r>
      <w:r w:rsidR="00A36F5D">
        <w:t>l põhinevaid arvestusportfelle:</w:t>
      </w:r>
    </w:p>
    <w:p w:rsidR="009569C7" w:rsidRPr="00EC4FA2" w:rsidRDefault="00A834F1" w:rsidP="009569C7">
      <w:pPr>
        <w:pStyle w:val="Baseparagraphnumbered"/>
        <w:numPr>
          <w:ilvl w:val="0"/>
          <w:numId w:val="0"/>
        </w:numPr>
        <w:ind w:left="1134" w:hanging="283"/>
      </w:pPr>
      <w:r>
        <w:t xml:space="preserve">a) „kauplemisel </w:t>
      </w:r>
      <w:r w:rsidR="00A36F5D">
        <w:t>kasutatavad finantskohustused“;</w:t>
      </w:r>
    </w:p>
    <w:p w:rsidR="009569C7" w:rsidRPr="00EC4FA2" w:rsidRDefault="00A834F1" w:rsidP="009569C7">
      <w:pPr>
        <w:pStyle w:val="Baseparagraphnumbered"/>
        <w:numPr>
          <w:ilvl w:val="0"/>
          <w:numId w:val="0"/>
        </w:numPr>
        <w:ind w:left="1134" w:hanging="283"/>
      </w:pPr>
      <w:r>
        <w:t>b) „soetusmaksumusepõhisel meetodil mõõdetud finantskohustused, mida ei kasutata kauplemisel ja mis ei ole tuletisinstrumendid“.</w:t>
      </w:r>
    </w:p>
    <w:p w:rsidR="009569C7" w:rsidRPr="00EC4FA2" w:rsidRDefault="00A834F1" w:rsidP="009569C7">
      <w:pPr>
        <w:pStyle w:val="Baseparagraphnumbered"/>
      </w:pPr>
      <w:r>
        <w:t>Kirje „kauplemisel kasutatavad finantskohustused“ hõlmab kõiki finantskohustusi, mis liigitatakse kohaldatava BADil põhineva siseriikliku GAAPi kohaselt kauplemisel kasutatavate finantskohustuste alla. Olenemata sellest, millist mõõtmismeetodit kohaldatava BADil põhineva siseriikliku GAAPi alusel kasutatakse, kajastatakse kõik tuletisinstrumendid, mille puhul on aruandval krediidiasutusel või investeerimisühingul negatiivne saldo ja mis ei ole liigitatud vastavalt käesoleva osa punktile 26 riskimaandamise arvestuse eesmärgil hoitavateks, kauplemisel kasutatavate finantskohustustena. Seda liigitust kohaldatakse ka selliste tuletisinstrumentide suhtes, mida BADil põhineva siseriikliku GAAPi kohaselt bilansis ei kajastata või mille puhul kajastatakse bilansis ainult nende õiglase väärtuse muutused või mida kasutatakse majandusliku riskimaandusena käesoleva lisa 2. osa punkti 137 tähenduses.</w:t>
      </w:r>
    </w:p>
    <w:p w:rsidR="009569C7" w:rsidRPr="00EC4FA2" w:rsidRDefault="00A834F1" w:rsidP="009569C7">
      <w:pPr>
        <w:pStyle w:val="Baseparagraphnumbered"/>
      </w:pPr>
      <w:r>
        <w:t xml:space="preserve">„Tuletisinstrumendid – riskimaandamise arvestus“ hõlmab tuletisinstrumente, mille puhul on aruandval krediidiasutusel või investeerimisühingul negatiivne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w:t>
      </w:r>
      <w:r>
        <w:lastRenderedPageBreak/>
        <w:t xml:space="preserve">tuletisinstrumendid vähendavad muu kauplemisportfelli mittekuuluva positsiooni riski. </w:t>
      </w:r>
    </w:p>
    <w:p w:rsidR="009569C7" w:rsidRPr="00EC4FA2" w:rsidRDefault="00A834F1" w:rsidP="009569C7">
      <w:pPr>
        <w:pStyle w:val="subtitlenumbered"/>
        <w:numPr>
          <w:ilvl w:val="0"/>
          <w:numId w:val="17"/>
        </w:numPr>
        <w:jc w:val="both"/>
      </w:pPr>
      <w:bookmarkStart w:id="35" w:name="_Toc362359277"/>
      <w:bookmarkStart w:id="36" w:name="_Toc467855200"/>
      <w:bookmarkStart w:id="37" w:name="_Toc523999802"/>
      <w:bookmarkStart w:id="38" w:name="_Toc524082940"/>
      <w:r>
        <w:t>Finantsinstrumendid</w:t>
      </w:r>
      <w:bookmarkEnd w:id="35"/>
      <w:bookmarkEnd w:id="36"/>
      <w:bookmarkEnd w:id="37"/>
      <w:bookmarkEnd w:id="38"/>
    </w:p>
    <w:p w:rsidR="009569C7" w:rsidRPr="00EC4FA2" w:rsidRDefault="00A834F1" w:rsidP="009569C7">
      <w:pPr>
        <w:pStyle w:val="Baseparagraphnumbered"/>
      </w:pPr>
      <w:r>
        <w:t>III, IV ja käesoleva lisa kohaldamisel tähendab „bilansiline väärtus“ (IFRSi kohaselt „bilansiline (jääk)maksumus“) summat, mis kajastatakse bilansis. Finantsinstrumentide bilansiline väärtus sisaldab kogunenud intressi. Kohaldatava BADil põhineva siseriikliku GAAPi kohaselt on tuletisinstrumentide bilansiline väärtus kas siseriikliku GAAPi kohane bilansiline väärtus, mis sisaldab laekumisi, preemiat ja eraldisi, kui see on asjakohane, või null, kui tuletisinstrumente ei kajastata bilansis.</w:t>
      </w:r>
    </w:p>
    <w:p w:rsidR="009569C7" w:rsidRPr="00EC4FA2" w:rsidRDefault="00A834F1" w:rsidP="009569C7">
      <w:pPr>
        <w:pStyle w:val="Baseparagraphnumbered"/>
      </w:pPr>
      <w:r>
        <w:t xml:space="preserve">Kohaldatava BADil põhineva siseriikliku GAAPi kohaselt kajastamise korral kajastatakse finantsinstrumentidega seotud laekumised ja edasi lükkunud maksed, sealhulgas kogunenud intress, preemiad ja allahindlused või tehingukulud, koos instrumentidega ja mitte muude varadena või muude kohustustena. </w:t>
      </w:r>
    </w:p>
    <w:p w:rsidR="009569C7" w:rsidRPr="00EC4FA2" w:rsidRDefault="00A834F1" w:rsidP="009569C7">
      <w:pPr>
        <w:pStyle w:val="Baseparagraphnumbered"/>
      </w:pPr>
      <w:r>
        <w:t>Kui see on kohaldatav BADil põhineva siseriikliku GAAPi kohaselt, esitatakse „õiglases väärtuses kajastatud kauplemispositsioonide väärtuskärped“. Väärtuskärped vähendavad kauplemisel kasutatavate varade väärtust ja suurendavad kauplemisel kasutatavate kohustuste väärtust.</w:t>
      </w:r>
    </w:p>
    <w:p w:rsidR="009569C7" w:rsidRPr="00EC4FA2" w:rsidRDefault="00A834F1" w:rsidP="009569C7">
      <w:pPr>
        <w:pStyle w:val="sub-subtitlenumbered"/>
        <w:jc w:val="both"/>
      </w:pPr>
      <w:bookmarkStart w:id="39" w:name="_Toc467855201"/>
      <w:bookmarkStart w:id="40" w:name="_Toc523999803"/>
      <w:bookmarkStart w:id="41" w:name="_Toc524082941"/>
      <w:r>
        <w:t>Finantsvarad</w:t>
      </w:r>
      <w:bookmarkEnd w:id="39"/>
      <w:bookmarkEnd w:id="40"/>
      <w:bookmarkEnd w:id="41"/>
      <w:r>
        <w:t xml:space="preserve"> </w:t>
      </w:r>
    </w:p>
    <w:p w:rsidR="009569C7" w:rsidRPr="00EC4FA2" w:rsidRDefault="00A834F1" w:rsidP="009569C7">
      <w:pPr>
        <w:pStyle w:val="Baseparagraphnumbered"/>
      </w:pPr>
      <w:r>
        <w:t>Finantsvarad jaotatakse instrumentide järgmiste liikide vahel: „sularaha“, „tuletisinstrumendid“, „omakapitaliinstrumendid“, „võlaväärtpaberid“ ning „laenud ja ettemaksed“.</w:t>
      </w:r>
    </w:p>
    <w:p w:rsidR="009569C7" w:rsidRPr="00EC4FA2" w:rsidRDefault="00A834F1" w:rsidP="009569C7">
      <w:pPr>
        <w:pStyle w:val="Baseparagraphnumbered"/>
      </w:pPr>
      <w:r>
        <w:t>„Võlaväärtpaberid“ on krediidiasutuse või investeerimisühingu hoitavad võlainstrumendid, mis on emiteeritud väärtpaberitena ning ei ole EKP bilansikirjete määruse kohaselt laenud.</w:t>
      </w:r>
    </w:p>
    <w:p w:rsidR="009569C7" w:rsidRPr="00EC4FA2" w:rsidRDefault="00A834F1" w:rsidP="009569C7">
      <w:pPr>
        <w:pStyle w:val="Baseparagraphnumbered"/>
      </w:pPr>
      <w:r>
        <w:t xml:space="preserve">„Laenud ja ettemaksed“ on krediidiasutuste ja investeerimisühingute hoitavad võlainstrumendid, mis ei ole väärtpaberid; see kirje hõlmab nii EKP bilansikirjete määruse kohaseid „laene“ kui ka ettemakseid, mida ei saa EKP bilansikirjete määruse kohaselt liigitada „laenudeks“. Kirjet „ettemaksed, mis ei ole laenud“ kirjeldatakse täpsemalt käesoleva lisa 2. osa punkti 85 alapunktis g. </w:t>
      </w:r>
    </w:p>
    <w:p w:rsidR="009569C7" w:rsidRPr="00EC4FA2" w:rsidRDefault="00A834F1" w:rsidP="009569C7">
      <w:pPr>
        <w:pStyle w:val="Baseparagraphnumbered"/>
      </w:pPr>
      <w:r>
        <w:t>FINREPi puhul hõlmavad „võlainstrumendid“ „laene ja ettemakseid“ ning „võlaväärtpabereid“.</w:t>
      </w:r>
    </w:p>
    <w:p w:rsidR="009569C7" w:rsidRPr="00EC4FA2" w:rsidRDefault="00A834F1" w:rsidP="009569C7">
      <w:pPr>
        <w:pStyle w:val="sub-subtitlenumbered"/>
        <w:jc w:val="both"/>
      </w:pPr>
      <w:bookmarkStart w:id="42" w:name="_Toc467855202"/>
      <w:bookmarkStart w:id="43" w:name="_Toc523999804"/>
      <w:bookmarkStart w:id="44" w:name="_Toc524082942"/>
      <w:r>
        <w:t>Bilansiline brutoväärtus</w:t>
      </w:r>
      <w:bookmarkEnd w:id="42"/>
      <w:bookmarkEnd w:id="43"/>
      <w:bookmarkEnd w:id="44"/>
    </w:p>
    <w:p w:rsidR="009569C7" w:rsidRPr="00EC4FA2" w:rsidRDefault="00A834F1" w:rsidP="009569C7">
      <w:pPr>
        <w:pStyle w:val="Baseparagraphnumbered"/>
      </w:pPr>
      <w:r>
        <w:t>Võlainstrumentide bilansiline brutoväärtus tähendab järgmist:</w:t>
      </w:r>
    </w:p>
    <w:p w:rsidR="009569C7" w:rsidRPr="00EC4FA2" w:rsidRDefault="00A834F1" w:rsidP="00152278">
      <w:pPr>
        <w:pStyle w:val="Baseparagraphnumbered"/>
        <w:numPr>
          <w:ilvl w:val="1"/>
          <w:numId w:val="27"/>
        </w:numPr>
      </w:pPr>
      <w:r>
        <w:t xml:space="preserve"> IFRSi ja BADil põhineva siseriikliku GAAPi kohaselt sõltub õiglases väärtuses muutustega läbi kasumiaruande mõõdetud selliste võlainstrumentide bilansiline brutoväärtus, mis ei kuulu kauplemiseks hoitavate instrumentide portfelli ega kauplemisportfelli, sellest, kas </w:t>
      </w:r>
      <w:r>
        <w:lastRenderedPageBreak/>
        <w:t>need on liigitatud nõuetekohaselt teenindatavateks või viivises olevateks. Nõuetekohaselt teenindatavate võlainstrumentide bilansiline brutoväärtus on õiglane väärtus. Viivises võlainstrumentide bilansiline brutoväärtus on õiglane väärtus pärast krediidiriskist tuleneva õiglase väärtuse akumuleeritud negatiivse korrigeerimise (nagu määratletud käesoleva lisa 2. osa punktis 69) tagasi liitmist. Bilansilise brutoväärtuse mõõtmiseks hinnatakse võlainstrumentide väärtust konkreetse finantsinstrumendi tasandil;</w:t>
      </w:r>
    </w:p>
    <w:p w:rsidR="009569C7" w:rsidRPr="00EC4FA2" w:rsidRDefault="00A834F1" w:rsidP="009569C7">
      <w:pPr>
        <w:pStyle w:val="Baseparagraphnumbered"/>
        <w:numPr>
          <w:ilvl w:val="1"/>
          <w:numId w:val="27"/>
        </w:numPr>
        <w:ind w:left="1134" w:hanging="425"/>
      </w:pPr>
      <w:r>
        <w:t>IFRSi kohaselt tähendab bilansiline brutoväärtus võlainstrumentide puhul, mis on kirjendatud kas amortiseeritud soetusmaksumuses või õiglases väärtuses muu koondkasumi kaudu, bilansilist väärtust enne mis tahes kahju allahindlusega korrigeerimist;</w:t>
      </w:r>
    </w:p>
    <w:p w:rsidR="009569C7" w:rsidRPr="00EC4FA2" w:rsidRDefault="00A834F1" w:rsidP="009569C7">
      <w:pPr>
        <w:pStyle w:val="Baseparagraphnumbered"/>
        <w:numPr>
          <w:ilvl w:val="1"/>
          <w:numId w:val="27"/>
        </w:numPr>
        <w:ind w:left="1134" w:hanging="425"/>
      </w:pPr>
      <w:r>
        <w:t xml:space="preserve">BADil põhineva siseriikliku GAAPi kohaselt on kirje „soetusmaksumusepõhisel meetodil mõõdetud finantsvarad, mida ei kasutata kauplemisel ja mis ei ole tuletisinstrumendid“ alla liigitatud võlainstrumentide puhul langenud väärtusega vara bilansiline brutoväärtus bilansiline väärtus enne krediidiriskiga seotud spetsiifilise allahindlusega korrigeerimist. Langemata väärtusega vara bilansiline brutoväärtus on bilansiline väärtus enne krediidiriskiga seotud üldise allahindlusega korrigeerimist ja pangandusriskiga seotud üldise allahindlusega korrigeerimist, kui see mõjutab bilansilist väärtust; </w:t>
      </w:r>
    </w:p>
    <w:p w:rsidR="009569C7" w:rsidRPr="00EC4FA2" w:rsidRDefault="00A834F1" w:rsidP="009569C7">
      <w:pPr>
        <w:pStyle w:val="Baseparagraphnumbered"/>
        <w:numPr>
          <w:ilvl w:val="1"/>
          <w:numId w:val="27"/>
        </w:numPr>
        <w:ind w:left="1134" w:hanging="425"/>
      </w:pPr>
      <w:r>
        <w:t>BADil põhineva siseriikliku GAAPi kohaselt sõltub selliste võlainstrumentide bilansiline brutoväärtus, mis on liigitatud kirje „omakapitalis kajastatavad õiglases väärtuses mõõdetavad finantsvarad, mida ei kasutata kauplemisel ja mis ei ole tuletisinstrumendid“ alla, sellest, kas nende finantsvarade suhtes kohaldatakse väärtuse languse nõudeid. Kui nende suhtes kohaldatakse väärtuse languse nõudeid, on bilansiline brutoväärtus bilansiline brutoväärtus enne mis tahes väärtuse akumuleeritud langusega korrigeerimist, järgides eespool punktis c esitatud nõudeid langenud väärtusega ja langemata väärtusega varade puhul, või õiglase väärtuse korrigeerimise akumuleeritud summa, mida käsitatakse väärtuse langusest tuleneva kahjumina. Kui nende finantsvarade suhtes ei kohaldata väärtuse languse nõudeid, on nende finantsvarade bilansiline brutoväärtus nõuetekohaselt teenindatavate nõuete puhul õiglane väärtus ja viivisnõuete puhul õiglane väärtus pärast krediidiriskist tuleneva õiglase väärtuse akumuleeritud negatiivse korrigeerimise tagasi liitmist;</w:t>
      </w:r>
    </w:p>
    <w:p w:rsidR="009569C7" w:rsidRPr="00EC4FA2" w:rsidRDefault="00A834F1" w:rsidP="009569C7">
      <w:pPr>
        <w:pStyle w:val="Baseparagraphnumbered"/>
        <w:numPr>
          <w:ilvl w:val="1"/>
          <w:numId w:val="27"/>
        </w:numPr>
        <w:ind w:left="1134" w:hanging="425"/>
      </w:pPr>
      <w:r>
        <w:t xml:space="preserve">BADil põhineva siseriikliku GAAPi kohaselt on range või mõõduka LOCOMi kohaselt mõõdetud võlainstrumentide bilansiline brutoväärtus soetusmaksumus, kui neid on aruandeperioodi jooksul mõõdetud soetusmaksumuses. Kui neid võlainstrumente on mõõdetud turuväärtuses, on bilansiline brutoväärtus turuväärtus enne väärtuse korrigeerimist krediidiriski tõttu; </w:t>
      </w:r>
    </w:p>
    <w:p w:rsidR="009569C7" w:rsidRPr="00EC4FA2" w:rsidRDefault="00A834F1" w:rsidP="009569C7">
      <w:pPr>
        <w:pStyle w:val="Baseparagraphnumbered"/>
        <w:numPr>
          <w:ilvl w:val="1"/>
          <w:numId w:val="27"/>
        </w:numPr>
        <w:ind w:left="1134" w:hanging="425"/>
      </w:pPr>
      <w:r>
        <w:t xml:space="preserve">BADil põhineva siseriikliku GAAPi kohaselt on selliste võlainstrumentide bilansiline brutoväärtus, mida kajastatakse kirje „muud finantsvarad, mida </w:t>
      </w:r>
      <w:r>
        <w:lastRenderedPageBreak/>
        <w:t>ei kasutata kauplemisel ja mis ei ole tuletisinstrumendid“ all muu mõõtmismeetodi kui LOCOM kohaselt, bilansiline väärtus enne mis tahes sellise väärtuse korrigeerimise arvesse võtmist, mida käsitatakse vääruse langusena;</w:t>
      </w:r>
    </w:p>
    <w:p w:rsidR="009569C7" w:rsidRPr="00EC4FA2" w:rsidRDefault="00A834F1" w:rsidP="009569C7">
      <w:pPr>
        <w:pStyle w:val="Baseparagraphnumbered"/>
        <w:numPr>
          <w:ilvl w:val="1"/>
          <w:numId w:val="27"/>
        </w:numPr>
        <w:ind w:left="1134" w:hanging="425"/>
      </w:pPr>
      <w:r>
        <w:t>BADil põhineva siseriikliku GAAPi kohaste kauplemisel kasutatavate finantsvarade või IFRSi kohaste kauplemiseks hoitavate finantsvarade bilansiline brutoväärtus on õiglane väärtus. Kui BADil põhineva siseriikliku GAAPi kohaselt on ette nähtud kauplemisel kasutatavate ja õiglases väärtuses mõõdetavate instrumentide väärtuskärped, on finantsinstrumentide bilansiline väärtus õiglane väärtus enne neid väärtuskärpeid.</w:t>
      </w:r>
    </w:p>
    <w:p w:rsidR="009569C7" w:rsidRPr="00EC4FA2" w:rsidRDefault="00A834F1" w:rsidP="009569C7">
      <w:pPr>
        <w:pStyle w:val="sub-subtitlenumbered"/>
        <w:jc w:val="both"/>
      </w:pPr>
      <w:bookmarkStart w:id="45" w:name="_Toc361844207"/>
      <w:bookmarkStart w:id="46" w:name="_Toc362359279"/>
      <w:bookmarkStart w:id="47" w:name="_Toc467855203"/>
      <w:bookmarkStart w:id="48" w:name="_Toc523999805"/>
      <w:bookmarkStart w:id="49" w:name="_Toc524082943"/>
      <w:r>
        <w:t>Finantskohustused</w:t>
      </w:r>
      <w:bookmarkEnd w:id="45"/>
      <w:bookmarkEnd w:id="46"/>
      <w:bookmarkEnd w:id="47"/>
      <w:bookmarkEnd w:id="48"/>
      <w:bookmarkEnd w:id="49"/>
    </w:p>
    <w:p w:rsidR="009569C7" w:rsidRPr="00EC4FA2" w:rsidRDefault="00A834F1" w:rsidP="009569C7">
      <w:pPr>
        <w:pStyle w:val="Baseparagraphnumbered"/>
      </w:pPr>
      <w:r>
        <w:t>Finantskohustused jaotatakse instrumentide järgmiste liikide vahel: „tuletisinstrumendid“, „lühikesed positsioonid“, „hoiused“, „emiteeritud võlaväärtpaberid“ ja „muud finantskohustused“.</w:t>
      </w:r>
    </w:p>
    <w:p w:rsidR="009569C7" w:rsidRPr="00EC4FA2" w:rsidRDefault="00A834F1" w:rsidP="009569C7">
      <w:pPr>
        <w:pStyle w:val="Baseparagraphnumbered"/>
      </w:pPr>
      <w:r>
        <w:t>III, IV ja käesoleva lisa kohaldamisel kasutatakse EKP bilansikirjete määruse 2. osa II lisas</w:t>
      </w:r>
      <w:r w:rsidR="00A36F5D">
        <w:t xml:space="preserve"> esitatud „hoiuste“ määratlust.</w:t>
      </w:r>
    </w:p>
    <w:p w:rsidR="009569C7" w:rsidRPr="00EC4FA2" w:rsidRDefault="00A834F1" w:rsidP="009569C7">
      <w:pPr>
        <w:pStyle w:val="Baseparagraphnumbered"/>
      </w:pPr>
      <w:r>
        <w:t xml:space="preserve"> „Emiteeritud võlaväärtpaberid“ on võlainstrumendid, mille krediidiasutus või investeerimisühing on emiteerinud väärtpaberitena ning mis ei ole EKP bilansikirjete määruse kohaselt hoiused.</w:t>
      </w:r>
    </w:p>
    <w:p w:rsidR="009569C7" w:rsidRPr="00EC4FA2" w:rsidRDefault="00A834F1" w:rsidP="009569C7">
      <w:pPr>
        <w:pStyle w:val="Baseparagraphnumbered"/>
      </w:pPr>
      <w:r>
        <w:t>„Muud finantskohustused“ hõlmavad kõiki finantskohustusi, mis ei ole tuletisinstrumendid, lühikesed positsioonid, hoiused eg</w:t>
      </w:r>
      <w:r w:rsidR="00A36F5D">
        <w:t>a emiteeritud võlaväärtpaberid.</w:t>
      </w:r>
    </w:p>
    <w:p w:rsidR="009569C7" w:rsidRPr="00EC4FA2" w:rsidRDefault="00A834F1" w:rsidP="009569C7">
      <w:pPr>
        <w:pStyle w:val="Baseparagraphnumbered"/>
      </w:pPr>
      <w:r>
        <w:t>IFRSi kohaselt hõlmavad „muud finantskohustused“ antud finantsgarantiisid, kui need on mõõdetud kas õiglases väärtuses muutustega läbi kasumiaruande kajastamisega [IFRS 9 paragrahvi 4.2.1 punkt a] või esmaselt arvele võetud summas, millest on lahutatud kumulatiivne amortisatsioon [IFRS 9 paragrahvi 4.2.1 punkti c alapunkt ii]. Siduvad laenuandmiskohustused kajastatakse kirje „muud finantskohustused“ all juhul, kui need on määratletud õiglases väärtuses muutustega läbi kasumiaruande kajastatavate finantskohustustena [IFRS 9 paragrahvi 4.2.1 punkt a] või kui need on siduvad kohustused anda laenu turu intressimäärast madalama intressimääraga [IFRS 9 paragrahvi 2.3 punkt c, IF</w:t>
      </w:r>
      <w:r w:rsidR="00A36F5D">
        <w:t>RS 9 paragrahvi 4.2.1 punkt d].</w:t>
      </w:r>
    </w:p>
    <w:p w:rsidR="009569C7" w:rsidRPr="00EC4FA2" w:rsidRDefault="00A834F1" w:rsidP="009569C7">
      <w:pPr>
        <w:pStyle w:val="Baseparagraphnumbered"/>
      </w:pPr>
      <w:r>
        <w:t>Kui siduvaid laenuandmiskohustusi, antud finantsgarantiisid ja muid võetud siduvaid kohustusi mõõdetakse õiglases väärtuses muutustega läbi kasumiaruande, kajastatakse õiglase väärtuse muutust, sealhulgas krediidiriskist tingitud muutus, kirje „muud finantskohustused“ all ja mitte eraldisena kirje „võetud siduvad kohu</w:t>
      </w:r>
      <w:r w:rsidR="00A36F5D">
        <w:t>stused ja antud garantiid“ all.</w:t>
      </w:r>
    </w:p>
    <w:p w:rsidR="009569C7" w:rsidRPr="00EC4FA2" w:rsidRDefault="00A834F1" w:rsidP="009569C7">
      <w:pPr>
        <w:pStyle w:val="Baseparagraphnumbered"/>
      </w:pPr>
      <w:r>
        <w:t xml:space="preserve">„Muud finantskohustused“ hõlmavad ka maksmisele kuuluvaid dividende, vahekirjetega ja siirdekirjetega seoses maksmisele kuuluvaid summasid ning väärtpaberitehingute või valuutavahetustehingute tulevaste arveldustega </w:t>
      </w:r>
      <w:r>
        <w:lastRenderedPageBreak/>
        <w:t>seoses maksmisele kuuluvaid summasid, kui tehingutega seoses maksmisele kuuluvad summad kajastatakse enne makse kuupäeva.</w:t>
      </w:r>
    </w:p>
    <w:p w:rsidR="009569C7" w:rsidRPr="00EC4FA2" w:rsidRDefault="00A834F1" w:rsidP="009569C7">
      <w:pPr>
        <w:pStyle w:val="subtitlenumbered"/>
        <w:numPr>
          <w:ilvl w:val="0"/>
          <w:numId w:val="17"/>
        </w:numPr>
        <w:jc w:val="both"/>
      </w:pPr>
      <w:bookmarkStart w:id="50" w:name="_Toc361844208"/>
      <w:bookmarkStart w:id="51" w:name="_Toc362359280"/>
      <w:bookmarkStart w:id="52" w:name="_Toc467855204"/>
      <w:bookmarkStart w:id="53" w:name="_Toc523999806"/>
      <w:bookmarkStart w:id="54" w:name="_Toc524082944"/>
      <w:r>
        <w:t>Vastaspoolte liigitus</w:t>
      </w:r>
      <w:bookmarkEnd w:id="50"/>
      <w:bookmarkEnd w:id="51"/>
      <w:bookmarkEnd w:id="52"/>
      <w:bookmarkEnd w:id="53"/>
      <w:bookmarkEnd w:id="54"/>
    </w:p>
    <w:p w:rsidR="009569C7" w:rsidRPr="00EC4FA2" w:rsidRDefault="00A834F1" w:rsidP="009569C7">
      <w:pPr>
        <w:pStyle w:val="Baseparagraphnumbered"/>
      </w:pPr>
      <w:r>
        <w:t>Kui on nõutud vastaspoolte liigitamine, kasutatakse järgmisi vastaspoole sektoreid: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keskpangad;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valitsemissektor: keskvalitsus, osariikide/liidumaade või piirkondlik valitsus, kohalik omavalitsus,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ja rahvusvahelised organisatsioonid nagu Euroopa Liidu institutsioonid, Rahvusvaheline Valuutafond ja Rahvusvaheliste Arvelduste Pank;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krediidiasutused: mis tahes krediidiasutused, mis on hõlmatud kapitalinõuete määruse artikli 4 lõike 1 punktis 1 esitatud määratlusega („ettevõtja, kelle majandustegevuseks on hoiuste või muude tagasimakstavate vahendite võtmine avalikkuselt ning oma arvel ja nimel laenu andmine“) ja mitmepoolsed arengupangad;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muud finantssektori äriühingud: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finantssektorivälised äriühingud: äriühingud ja kvaasiäriühingud, kes ei tegele finantsvahendusega, vaid peamiselt turustatava kauba tootmise ja mittefinantsteenuste osutamisega vastaval</w:t>
      </w:r>
      <w:r w:rsidR="00A36F5D">
        <w:rPr>
          <w:rFonts w:ascii="Times New Roman" w:hAnsi="Times New Roman"/>
          <w:sz w:val="24"/>
        </w:rPr>
        <w:t>t EKP bilansikirjete määrusele;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kodumajapidamised: üksikisikud või üksikisikute rühmad kui tarbijad ja kui tootjad, kes toodavad kaupu ja osutavad mittefinantsteenuseid üksnes oma lõpptarbimiseks, ning kui turustatavate kaupade tootjad ja finants- ja mittefinantsteenuste osutajad, tingimusel et nende tegevusvaldkond ei vasta kvaasiäriühingute tegevusvaldkonnale. Sellesse sektorisse kuuluvad ka kodumajapidamisi teenindavad kasumitaotluseta institutsioonid, kes peamiselt tegelevad turuväliste kaupade tootmise ja teenuste osutamisega teatavate</w:t>
      </w:r>
      <w:r w:rsidR="00A36F5D">
        <w:rPr>
          <w:rFonts w:ascii="Times New Roman" w:hAnsi="Times New Roman"/>
          <w:sz w:val="24"/>
        </w:rPr>
        <w:t>le kodumajapidamiste rühmadele.</w:t>
      </w:r>
    </w:p>
    <w:p w:rsidR="009569C7" w:rsidRPr="00EC4FA2" w:rsidRDefault="00A834F1" w:rsidP="009569C7">
      <w:pPr>
        <w:pStyle w:val="Baseparagraphnumbered"/>
      </w:pPr>
      <w:r>
        <w:t xml:space="preserve">Vastaspoole sektori jaotuse aluseks on üksnes vahetu vastaspoole olemus. Rohkem kui ühel vastaspoolel ühiselt tekkinud nõuete liigitamine toimub vastaspoole selliste tunnuste alusel, mis olid krediidiasutuse või investeerimisühingu jaoks asjakohasemad või määravamad riskipositsiooni võimaldamisel. Ka muude liigituste puhul peab ühiselt tekkinud nõuete jaotus </w:t>
      </w:r>
      <w:r>
        <w:lastRenderedPageBreak/>
        <w:t>vastaspoole sektori, asukohariigi ja NACE koodide alusel toimuma olulisema või määravama vastaspoole tunnuste põhjal.</w:t>
      </w:r>
    </w:p>
    <w:p w:rsidR="009569C7" w:rsidRPr="00EC4FA2" w:rsidRDefault="00A834F1" w:rsidP="009569C7">
      <w:pPr>
        <w:pStyle w:val="Baseparagraphnumbered"/>
      </w:pPr>
      <w:r>
        <w:t>Järgmiste tehingute vahetud vastaspooled on: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laenude ja ettemaksete puhul vahetu laenuvõtja.</w:t>
      </w:r>
      <w:r>
        <w:t xml:space="preserve"> </w:t>
      </w:r>
      <w:r>
        <w:rPr>
          <w:rFonts w:ascii="Times New Roman" w:hAnsi="Times New Roman"/>
          <w:sz w:val="24"/>
        </w:rPr>
        <w:t>Klientide vastu olevate nõuete puhul on vahetu laenuvõtja vastaspool, kes peab nõude täitma, välja arvatud regressiõigusega tehingute puhul, kui vahetu laenuvõtja on nõuete ülekandja, kui aruandev krediidiasutus või investeerimisühing ei omanda oluliselt kõiki ülekantud nõuete omamisega seotud riske ja kasu;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võlaväärtpaberite ja omakapitaliinstrumentide </w:t>
      </w:r>
      <w:r w:rsidR="00D452D1">
        <w:rPr>
          <w:rFonts w:ascii="Times New Roman" w:hAnsi="Times New Roman"/>
          <w:sz w:val="24"/>
        </w:rPr>
        <w:t>puhul väärtpaberite emiteerija;</w:t>
      </w:r>
    </w:p>
    <w:p w:rsidR="009569C7" w:rsidRPr="00EC4FA2" w:rsidRDefault="00D452D1" w:rsidP="009569C7">
      <w:pPr>
        <w:numPr>
          <w:ilvl w:val="0"/>
          <w:numId w:val="53"/>
        </w:numPr>
        <w:jc w:val="both"/>
        <w:rPr>
          <w:rFonts w:ascii="Times New Roman" w:hAnsi="Times New Roman"/>
          <w:sz w:val="24"/>
          <w:szCs w:val="24"/>
        </w:rPr>
      </w:pPr>
      <w:r>
        <w:rPr>
          <w:rFonts w:ascii="Times New Roman" w:hAnsi="Times New Roman"/>
          <w:sz w:val="24"/>
        </w:rPr>
        <w:t>hoiuste puhul hoiustaja;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lühikeste positsioonide puhul väärtpaberite laenuks võtmise tehingu või pöördrepolepingu vastaspool;</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tuletisinstrumentide puhul tuletislepingute otsene vastaspool. Keskselt kliiritavate börsiväliste tuletisinstrumentide puhul on otsene vastaspool keskse vastaspoolena tegutsev kliiringukoda. Krediidiriski tuletisinstrumentide vastaspoolte jaotuses on lähtutud sektorist, kuhu lepingu vastaspool (krediidiriski kaitse ostja või müüja) kuulub;</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antud finantsgarantiide puhul on vastaspool garanteeritud võlainstrumendi otsene vastaspool;</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võetud siduvate laenuandmiskohustuste ja muude võetud siduvate kohustuste puhul vastaspool, kelle krediidiriski aruandev krediidiasutus või investeerimis</w:t>
      </w:r>
      <w:r w:rsidR="00A36F5D">
        <w:rPr>
          <w:rFonts w:ascii="Times New Roman" w:hAnsi="Times New Roman"/>
          <w:sz w:val="24"/>
        </w:rPr>
        <w:t>ühing kannab;</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saadud siduvate laenuandmiskohuste, saadud finantsgarantiide ja muude saadud siduvate kohustuste puhul garantiiandja või vastaspool, kes aruandva krediidiasutuse või investeerimisühingu suhtes siduva kohustuse võttis.</w:t>
      </w:r>
    </w:p>
    <w:p w:rsidR="009569C7" w:rsidRPr="00EC4FA2" w:rsidRDefault="009569C7" w:rsidP="009569C7"/>
    <w:p w:rsidR="009569C7" w:rsidRPr="00EC4FA2" w:rsidRDefault="00A36F5D" w:rsidP="009569C7">
      <w:pPr>
        <w:jc w:val="center"/>
        <w:rPr>
          <w:rFonts w:ascii="Times New Roman" w:hAnsi="Times New Roman"/>
          <w:b/>
          <w:sz w:val="24"/>
          <w:szCs w:val="24"/>
        </w:rPr>
      </w:pPr>
      <w:bookmarkStart w:id="55" w:name="_Toc361844209"/>
      <w:r>
        <w:rPr>
          <w:rFonts w:ascii="Times New Roman" w:hAnsi="Times New Roman"/>
          <w:b/>
          <w:sz w:val="24"/>
        </w:rPr>
        <w:t xml:space="preserve">II </w:t>
      </w:r>
      <w:r w:rsidR="00A834F1">
        <w:rPr>
          <w:rFonts w:ascii="Times New Roman" w:hAnsi="Times New Roman"/>
          <w:b/>
          <w:sz w:val="24"/>
        </w:rPr>
        <w:t>OSA</w:t>
      </w:r>
      <w:bookmarkEnd w:id="55"/>
    </w:p>
    <w:p w:rsidR="009569C7" w:rsidRPr="00EC4FA2" w:rsidRDefault="00A834F1" w:rsidP="009569C7">
      <w:pPr>
        <w:pStyle w:val="Heading1"/>
        <w:jc w:val="both"/>
      </w:pPr>
      <w:bookmarkStart w:id="56" w:name="_Toc362359281"/>
      <w:bookmarkStart w:id="57" w:name="_Toc467855205"/>
      <w:bookmarkStart w:id="58" w:name="_Toc523999807"/>
      <w:bookmarkStart w:id="59" w:name="_Toc524082945"/>
      <w:r>
        <w:t>Vormide täitmise juhised</w:t>
      </w:r>
      <w:bookmarkEnd w:id="56"/>
      <w:bookmarkEnd w:id="57"/>
      <w:bookmarkEnd w:id="58"/>
      <w:bookmarkEnd w:id="59"/>
    </w:p>
    <w:p w:rsidR="009569C7" w:rsidRPr="00EC4FA2" w:rsidRDefault="00A834F1" w:rsidP="009569C7">
      <w:pPr>
        <w:pStyle w:val="subtitlenumbered"/>
        <w:keepNext/>
        <w:numPr>
          <w:ilvl w:val="0"/>
          <w:numId w:val="36"/>
        </w:numPr>
        <w:jc w:val="both"/>
      </w:pPr>
      <w:bookmarkStart w:id="60" w:name="_Toc361844211"/>
      <w:bookmarkStart w:id="61" w:name="_Toc362359282"/>
      <w:bookmarkStart w:id="62" w:name="_Toc467855206"/>
      <w:bookmarkStart w:id="63" w:name="_Toc523999808"/>
      <w:bookmarkStart w:id="64" w:name="_Toc524082946"/>
      <w:r>
        <w:t>Bilanss</w:t>
      </w:r>
      <w:bookmarkEnd w:id="60"/>
      <w:bookmarkEnd w:id="61"/>
      <w:bookmarkEnd w:id="62"/>
      <w:bookmarkEnd w:id="63"/>
      <w:bookmarkEnd w:id="64"/>
    </w:p>
    <w:p w:rsidR="009569C7" w:rsidRPr="00EC4FA2" w:rsidRDefault="00A834F1" w:rsidP="009569C7">
      <w:pPr>
        <w:pStyle w:val="sub-subtitlenumbered"/>
        <w:jc w:val="both"/>
      </w:pPr>
      <w:bookmarkStart w:id="65" w:name="_Toc361844212"/>
      <w:bookmarkStart w:id="66" w:name="_Toc362359283"/>
      <w:bookmarkStart w:id="67" w:name="_Toc467855207"/>
      <w:bookmarkStart w:id="68" w:name="_Toc523999809"/>
      <w:bookmarkStart w:id="69" w:name="_Toc524082947"/>
      <w:r>
        <w:t>Varad (1.1)</w:t>
      </w:r>
      <w:bookmarkEnd w:id="65"/>
      <w:bookmarkEnd w:id="66"/>
      <w:bookmarkEnd w:id="67"/>
      <w:bookmarkEnd w:id="68"/>
      <w:bookmarkEnd w:id="69"/>
    </w:p>
    <w:p w:rsidR="009569C7" w:rsidRPr="00EC4FA2" w:rsidRDefault="00A834F1" w:rsidP="009569C7">
      <w:pPr>
        <w:pStyle w:val="Baseparagraphnumbered"/>
        <w:numPr>
          <w:ilvl w:val="0"/>
          <w:numId w:val="35"/>
        </w:numPr>
      </w:pPr>
      <w:bookmarkStart w:id="70" w:name="_Toc246513943"/>
      <w:bookmarkStart w:id="71" w:name="_Toc246730615"/>
      <w:bookmarkStart w:id="72" w:name="_Toc246730706"/>
      <w:bookmarkEnd w:id="70"/>
      <w:bookmarkEnd w:id="71"/>
      <w:bookmarkEnd w:id="72"/>
      <w:r>
        <w:t>„Sularaha“ hõlmab hoitavaid siseriiklikke ja välismaised ringluses olevaid pangatähti ja münte, mida üldiselt kasutatakse maksete tegemiseks.</w:t>
      </w:r>
    </w:p>
    <w:p w:rsidR="009569C7" w:rsidRPr="00EC4FA2" w:rsidRDefault="00A834F1" w:rsidP="009569C7">
      <w:pPr>
        <w:pStyle w:val="Baseparagraphnumbered"/>
      </w:pPr>
      <w:r>
        <w:t>„Nõuded keskpankadele“ hõlmavad keskpankade vastu olevaid nõudmiseni hoitavaid rahalisi nõudeid.</w:t>
      </w:r>
    </w:p>
    <w:p w:rsidR="009569C7" w:rsidRPr="00EC4FA2" w:rsidRDefault="00A834F1" w:rsidP="009569C7">
      <w:pPr>
        <w:pStyle w:val="Baseparagraphnumbered"/>
      </w:pPr>
      <w:r>
        <w:lastRenderedPageBreak/>
        <w:t>„Muud nõudmiseni hoiused“ hõlmavad krediidia</w:t>
      </w:r>
      <w:r w:rsidR="00A36F5D">
        <w:t>sutustes olevaid nõudehoiuseid.</w:t>
      </w:r>
    </w:p>
    <w:p w:rsidR="009569C7" w:rsidRPr="00EC4FA2" w:rsidRDefault="00A834F1" w:rsidP="009569C7">
      <w:pPr>
        <w:pStyle w:val="Baseparagraphnumbered"/>
      </w:pPr>
      <w:r>
        <w:t>„Investeeringud tütarettevõtjatesse, ühisettevõtjatesse ja sidusettevõtjatesse“ hõlmavad investeeringuid sellistesse sidusettevõtjatesse, ühisettevõtjatesse ja tütarettevõtjatesse, kes ei ole täielikult või proportsionaalselt konsolideeritud regulatiivse konsolideerimise alusel, välja arvatud juhul, kui need on liigitatud IFRS 5 kohaselt müügiks hoitavaks, olenemata sellest, kuidas neid mõõdetakse, sealhulgas juhul, kui raamatupidamisstandardite kohaselt võib neid kaasata erinevatesse finantsinstrumentide puhul kasutatavatesse arvestusportfellidesse. Kapitaliosaluse meetodil arvestatud investeeringute bilansiline väärtus si</w:t>
      </w:r>
      <w:r w:rsidR="00A36F5D">
        <w:t>saldab asjaomast firmaväärtust.</w:t>
      </w:r>
    </w:p>
    <w:p w:rsidR="009569C7" w:rsidRPr="00EC4FA2" w:rsidRDefault="00A834F1" w:rsidP="009569C7">
      <w:pPr>
        <w:pStyle w:val="Baseparagraphnumbered"/>
      </w:pPr>
      <w:r>
        <w:t>Varad, mis ei ole finantsvara ja mida nende olemuse tõttu ei saaks liigitada teatavatele bilansikirjetele, tuleb kajastada kirjel „muud varad“. Muud varad hõlmavad muu hulgas kulda, hõbedat ja muid kaupu, isegi kui neid</w:t>
      </w:r>
      <w:r w:rsidR="00A36F5D">
        <w:t xml:space="preserve"> hoitakse kauplemise eesmärgil.</w:t>
      </w:r>
    </w:p>
    <w:p w:rsidR="009569C7" w:rsidRPr="00EC4FA2" w:rsidRDefault="00A834F1" w:rsidP="009569C7">
      <w:pPr>
        <w:pStyle w:val="Baseparagraphnumbered"/>
      </w:pPr>
      <w:r>
        <w:t>Kohaldatava BADil põhineva siseriikliku GAAPi kohaselt kajastatakse tagasi ostetud omaaktsiate bilansilist väärtust kirje „muud varad“ all, kui kohaldatava siseriikliku GAAPi kohaselt</w:t>
      </w:r>
      <w:r w:rsidR="00A36F5D">
        <w:t xml:space="preserve"> on varana kajastamine lubatud.</w:t>
      </w:r>
    </w:p>
    <w:p w:rsidR="009569C7" w:rsidRPr="00EC4FA2" w:rsidRDefault="00A834F1" w:rsidP="009569C7">
      <w:pPr>
        <w:pStyle w:val="Baseparagraphnumbered"/>
      </w:pPr>
      <w:r>
        <w:t>Kirjel „müügiks hoitavad põhivarad ja müügigrupid“ on sama t</w:t>
      </w:r>
      <w:r w:rsidR="00A36F5D">
        <w:t>ähendus kui IFRS 5 kohaselt.</w:t>
      </w:r>
    </w:p>
    <w:p w:rsidR="009569C7" w:rsidRPr="00EC4FA2" w:rsidRDefault="00A834F1" w:rsidP="009569C7">
      <w:pPr>
        <w:pStyle w:val="sub-subtitlenumbered"/>
        <w:jc w:val="both"/>
      </w:pPr>
      <w:bookmarkStart w:id="73" w:name="_Toc361844213"/>
      <w:bookmarkStart w:id="74" w:name="_Toc362359284"/>
      <w:bookmarkStart w:id="75" w:name="_Toc467855208"/>
      <w:bookmarkStart w:id="76" w:name="_Toc523999810"/>
      <w:bookmarkStart w:id="77" w:name="_Toc524082948"/>
      <w:r>
        <w:t>Kohustused (1.2)</w:t>
      </w:r>
      <w:bookmarkEnd w:id="73"/>
      <w:bookmarkEnd w:id="74"/>
      <w:bookmarkEnd w:id="75"/>
      <w:bookmarkEnd w:id="76"/>
      <w:bookmarkEnd w:id="77"/>
    </w:p>
    <w:p w:rsidR="009569C7" w:rsidRPr="00EC4FA2" w:rsidRDefault="00A834F1" w:rsidP="009569C7">
      <w:pPr>
        <w:pStyle w:val="Baseparagraphnumbered"/>
      </w:pPr>
      <w:bookmarkStart w:id="78" w:name="_Toc246513946"/>
      <w:bookmarkStart w:id="79" w:name="_Toc246730618"/>
      <w:bookmarkStart w:id="80" w:name="_Toc246730709"/>
      <w:bookmarkEnd w:id="78"/>
      <w:bookmarkEnd w:id="79"/>
      <w:bookmarkEnd w:id="80"/>
      <w:r>
        <w:t xml:space="preserve"> BADil põhineva siseriikliku GAAPi kohaselt kajastatakse eraldised portfelli riskimaanduse ebaefektiivsest osast tuleneva võimaliku kahjumi jaoks real „Tuletisinstrumendid – riskimaandamise arvestus“, kui kahjum tuleneb riskimaanduse tuletisinstrumendi hindamisest, või real „Maandatavate instrumentide õiglase väärtuse muutused portfelli intressiriski maandamisel“, kui kahjum tuleneb maandatud positsiooni hindamisest. Kui riskimaanduse tuletisinstrumendi hindamisest tulenevat kahjumit ja maandatud positsiooni hindamisest tulenevat kahjumit ei ole võimalik eristada, kajastatakse kõik eraldised portfelli riskimaanduse ebaefektiivsest osast tuleneva võimaliku kahjumi jaoks real „Tuletisinstrumendid – riskimaandamise arvestus“.</w:t>
      </w:r>
    </w:p>
    <w:p w:rsidR="009569C7" w:rsidRPr="00EC4FA2" w:rsidRDefault="00A834F1" w:rsidP="009569C7">
      <w:pPr>
        <w:pStyle w:val="Baseparagraphnumbered"/>
      </w:pPr>
      <w:r>
        <w:t>Eraldised „pensionide ja muude töösuhtejärgsete kindlaksmääratud hüvitistega seotud kohustuste“ jaoks hõlmavad kindlaksmääratud h</w:t>
      </w:r>
      <w:r w:rsidR="00A36F5D">
        <w:t>üvitiste kohustuste netosummat.</w:t>
      </w:r>
    </w:p>
    <w:p w:rsidR="009569C7" w:rsidRPr="00EC4FA2" w:rsidRDefault="00A834F1" w:rsidP="009569C7">
      <w:pPr>
        <w:pStyle w:val="Baseparagraphnumbered"/>
      </w:pPr>
      <w:r>
        <w:t>IFRSi kohaselt hõlmavad eraldised „muud pikaajalised hüvitised töötajatele“ IAS 19 paragrahvis 153 loetletud töötajate pikaajaliste hüvitiste skeemide puudujääke. Töötajate lühiajaliste hüvitiste [IAS 19 paragrahvi 11 punkt a], kindlaksmääratud sissemaksetega skeemide [IAS 19 paragrahvi 51 punkt a] ja töösuhte lõpetamise hüvitiste viitvõlad [IAS 19 paragrahvi 169 punkt a] kajastatakse kirjel „muud kohustused“.</w:t>
      </w:r>
    </w:p>
    <w:p w:rsidR="009569C7" w:rsidRPr="00EC4FA2" w:rsidRDefault="00A36F5D" w:rsidP="009569C7">
      <w:pPr>
        <w:pStyle w:val="Baseparagraphnumbered"/>
      </w:pPr>
      <w:r>
        <w:t>IFRSi</w:t>
      </w:r>
      <w:r w:rsidR="00A834F1">
        <w:t xml:space="preserve"> kohaselt hõlmavad „võetud siduvate kohustuste ja antud garantiide“ eraldised kõigi siduvate kohustuste ja garantiidega seotud eraldisi, sõltumata </w:t>
      </w:r>
      <w:r w:rsidR="00A834F1">
        <w:lastRenderedPageBreak/>
        <w:t>sellest, kas nende väärtuse langus määratakse kindlaks IFRS 9 kohaselt või kas eraldiste tegemine toimub IAS 37 kohaselt või kas neid käsitatakse kindlustuslepingutena IFRS 4 kohaselt. Õiglases väärtuses muutustega läbi kasumiaruande mõõdetud siduvatest kohustustest ja finantsgarantiidest tulenevaid kohustusi ei kajastata eraldistena, kuigi need tulenevad krediidiriskist, vaid „muude finantskohustustena“ vastavalt käesoleva lisa 1. osa punktile 40. BADil põhineva siseriikliku GAAPi kohaselt hõlmavad „võetud siduvate kohustuste ja antud garantiide“ eraldised kõigi siduvate kohustuste ja garantiidega seotud eraldisi.</w:t>
      </w:r>
    </w:p>
    <w:p w:rsidR="009569C7" w:rsidRPr="00EC4FA2" w:rsidRDefault="00A834F1" w:rsidP="009569C7">
      <w:pPr>
        <w:pStyle w:val="Baseparagraphnumbered"/>
      </w:pPr>
      <w:r>
        <w:t>„Nõudmisel tagasimakstav aktsia- või osakapital“ hõlmab krediidiasutuse või investeerimisühingu emiteeritud kapitaliinstrumente, mis ei vasta omakapitaliks liigitamise kriteeriumidele. Krediidiasutused ja investeerimisühingud kajastavad sellel kirjel ühistuosakuid, mis ei vasta omakapitaliks liigitamise kriteeriumidele.</w:t>
      </w:r>
    </w:p>
    <w:p w:rsidR="009569C7" w:rsidRPr="00EC4FA2" w:rsidRDefault="00A834F1" w:rsidP="009569C7">
      <w:pPr>
        <w:pStyle w:val="Baseparagraphnumbered"/>
      </w:pPr>
      <w:r>
        <w:t>Kohustused, mis ei ole finantskohustused ja mida nende olemuse tõttu ei saaks liigitada teatavatele bilansikirjetele, tuleb kaja</w:t>
      </w:r>
      <w:r w:rsidR="00A36F5D">
        <w:t>stada kirjel „muud kohustused“.</w:t>
      </w:r>
    </w:p>
    <w:p w:rsidR="009569C7" w:rsidRPr="00EC4FA2" w:rsidRDefault="00A834F1" w:rsidP="009569C7">
      <w:pPr>
        <w:pStyle w:val="Baseparagraphnumbered"/>
      </w:pPr>
      <w:r>
        <w:t>Kirjel „kohustused, mis kuuluvad müügiks hoitavaks liigitatud müügigruppidesse“ on sam</w:t>
      </w:r>
      <w:r w:rsidR="00A36F5D">
        <w:t>a tähendus kui IFRS 5 kohaselt.</w:t>
      </w:r>
    </w:p>
    <w:p w:rsidR="009569C7" w:rsidRPr="00EC4FA2" w:rsidRDefault="00A834F1" w:rsidP="009569C7">
      <w:pPr>
        <w:pStyle w:val="Baseparagraphnumbered"/>
      </w:pPr>
      <w:r>
        <w:t>BADil põhineva siseriikliku GAAPi kohaselt on „Üldine pangandusreserv“ (BADi kohaselt „üldise pangandusriski fond“) summad, mis on määratud BADi artikli 38 kohaselt. Nende kajastamisel esitatakse need eraldi kas kohustustena kirjel „eraldised“ või omakapitalina kirjel „muud reservid“ vastavalt kohaldatavale siseriiklikule GAAPile.</w:t>
      </w:r>
    </w:p>
    <w:p w:rsidR="009569C7" w:rsidRPr="00EC4FA2" w:rsidRDefault="00A834F1" w:rsidP="009569C7">
      <w:pPr>
        <w:pStyle w:val="sub-subtitlenumbered"/>
        <w:jc w:val="both"/>
      </w:pPr>
      <w:bookmarkStart w:id="81" w:name="_Toc361844214"/>
      <w:bookmarkStart w:id="82" w:name="_Toc362359285"/>
      <w:bookmarkStart w:id="83" w:name="_Toc467855209"/>
      <w:bookmarkStart w:id="84" w:name="_Toc523999811"/>
      <w:bookmarkStart w:id="85" w:name="_Toc524082949"/>
      <w:r>
        <w:t>Omakapital (1.3)</w:t>
      </w:r>
      <w:bookmarkEnd w:id="81"/>
      <w:bookmarkEnd w:id="82"/>
      <w:bookmarkEnd w:id="83"/>
      <w:bookmarkEnd w:id="84"/>
      <w:bookmarkEnd w:id="85"/>
    </w:p>
    <w:p w:rsidR="009569C7" w:rsidRPr="00EC4FA2" w:rsidRDefault="00A834F1" w:rsidP="009569C7">
      <w:pPr>
        <w:pStyle w:val="Baseparagraphnumbered"/>
      </w:pPr>
      <w:r>
        <w:t>IFRSi kohaselt hõlmavad omakapitaliinstrumendid, mis on finantsinstrumendid, IAS 32 rakend</w:t>
      </w:r>
      <w:r w:rsidR="00A36F5D">
        <w:t>amisalasse kuuluvaid lepinguid.</w:t>
      </w:r>
    </w:p>
    <w:p w:rsidR="009569C7" w:rsidRPr="00EC4FA2" w:rsidRDefault="00A834F1" w:rsidP="009569C7">
      <w:pPr>
        <w:pStyle w:val="Baseparagraphnumbered"/>
      </w:pPr>
      <w:r>
        <w:t>Kohaldatava BADil põhineva siseriikliku GAAPi kohaselt hõlmab kirje „sissemaksmisele kuuluv, kuid sissemaksmata kapital“ krediidiasutuse või investeerimisühingu emiteeritud sellise kapitali bilansilist väärtust, mis on märkijatelt sissenõutud, kuid mida ei ole aruandekuupäevaks makstud. Kui kapitali suurenemist, millele vastavat summat ei ole veel sisse makstud, kajastatakse aktsia- või osakapitali suurenemisena, kajastatakse sissemaksmisele kuuluv, kuid sissemaksmata kapital vormis 1.3 real „Sissemaksmisele kuuluv, kuid sissemaksmata kapital“ ja vormis 1.1 real „Muud varad“. Kui kohaldatava BADil põhineva siseriikliku GAAPi kohaselt saab kapitali suurenemist kajastada ainult aktsionäridelt makse laekumise järel, sissemaksmata kapitali vormis 1.3 ei kajastata.</w:t>
      </w:r>
    </w:p>
    <w:p w:rsidR="009569C7" w:rsidRPr="00EC4FA2" w:rsidRDefault="00A834F1" w:rsidP="009569C7">
      <w:pPr>
        <w:pStyle w:val="Baseparagraphnumbered"/>
      </w:pPr>
      <w:r>
        <w:t xml:space="preserve">Kirje „liitfinantsinstrumentide omakapitali komponent“ hõlmab krediidiasutuse või investeerimisühingu emiteeritud liitfinantsinstrumentide (st finantsinstrumendid, mis sisaldavad nii kohustuse kui ka omakapitali komponenti) omakapitali komponenti, kui need komponendid on eraldatud vastavalt kohaldatavale raamatupidamistavale (sealhulgas sellised </w:t>
      </w:r>
      <w:r>
        <w:lastRenderedPageBreak/>
        <w:t>liitfinantsinstrumendid, mis sisaldavad mitut tuletisinstrumendi tunnustega väärtpaberit, mille väärtused on vastastikku sõltuvad).</w:t>
      </w:r>
    </w:p>
    <w:p w:rsidR="009569C7" w:rsidRPr="00EC4FA2" w:rsidRDefault="00A834F1" w:rsidP="009569C7">
      <w:pPr>
        <w:pStyle w:val="Baseparagraphnumbered"/>
      </w:pPr>
      <w:r>
        <w:t>„Muud emiteeritud omakapitaliinstrumendid“ hõlmavad omakapitaliinstrumente, mis on finantsinstrumendid, kuid mida ei kajastata kirjetel „kapital“ ega „liitfinantsinstru</w:t>
      </w:r>
      <w:r w:rsidR="00A36F5D">
        <w:t>mentide omakapitali komponent“.</w:t>
      </w:r>
    </w:p>
    <w:p w:rsidR="009569C7" w:rsidRPr="00EC4FA2" w:rsidRDefault="00A834F1" w:rsidP="009569C7">
      <w:pPr>
        <w:pStyle w:val="Baseparagraphnumbered"/>
      </w:pPr>
      <w:r>
        <w:t>„Muu omakapital“ sisaldab kõiki omakapitaliinstrumente, mis ei ole finantsinstrumendid, sealhulgas omakapitaliga arveldatavaid aktsiapõhiseid makset</w:t>
      </w:r>
      <w:r w:rsidR="00A36F5D">
        <w:t>ehinguid [IFRS 2 paragrahv 10].</w:t>
      </w:r>
    </w:p>
    <w:p w:rsidR="009569C7" w:rsidRPr="00EC4FA2" w:rsidRDefault="00A834F1" w:rsidP="009569C7">
      <w:pPr>
        <w:pStyle w:val="Baseparagraphnumbered"/>
      </w:pPr>
      <w:r>
        <w:t>„Õiglases väärtuses läbi muu koondkasumi mõõdetud omakapitaliinstrumentide õiglase väärtuse muutused“ hõlmab sellistesse omakapitaliinstrumentidesse tehtud investeeringute õiglase väärtuse muutustest tulenevat akumuleeritud kasumit ja kahjumit, mille puhul aruandev üksus on teinud tühistamatu valiku esitada muutused õiglas</w:t>
      </w:r>
      <w:r w:rsidR="00A36F5D">
        <w:t>es väärtuses muus koondkasumis.</w:t>
      </w:r>
    </w:p>
    <w:p w:rsidR="009569C7" w:rsidRPr="00EC4FA2" w:rsidRDefault="00A834F1" w:rsidP="009569C7">
      <w:pPr>
        <w:pStyle w:val="Baseparagraphnumbered"/>
      </w:pPr>
      <w:r>
        <w:t>„Õiglases väärtuses läbi muu koondkasumi mõõdetud omakapitaliinstrumentide puhul õiglase väärtuse riskimaanduste ebaefektiivsus“ hõlmab sellisel õiglase väärtuse riskimaandusel tulenevat riskimaanduse akumuleeritud ebaefektiivsust, mille puhul maandatav instrument on õiglases väärtuses läbi muu koondkasumi mõõdetud omakapitaliinstrument. Sellel real kajastatav riskimaanduse ebaefektiivsus on kirje „õiglases väärtuses läbi muu koondkasumi mõõdetud omakapitaliinstrumentide õiglase väärtuse muutused [maandatav instrument]“ all kajastatud omakapitaliinstrumendi õiglase väärtuse akumuleeritud variatsiooni ja kirje „õiglases väärtuses läbi muu koondkasumi mõõdetud omakapitaliinstrumentide õiglase väärtuse muutused [riskimaandamisinstrument]“ all kajastatud riskimaandamisinstrumendi õiglase väärtuse akumuleeritud variatsiooni vahe [IFRS 9 paragrahv 6.</w:t>
      </w:r>
      <w:r w:rsidR="00A36F5D">
        <w:t>5.3 ja IFRS 9 paragrahv 6.5.8].</w:t>
      </w:r>
    </w:p>
    <w:p w:rsidR="009569C7" w:rsidRPr="00EC4FA2" w:rsidRDefault="00A834F1" w:rsidP="009569C7">
      <w:pPr>
        <w:pStyle w:val="Baseparagraphnumbered"/>
      </w:pPr>
      <w:r>
        <w:t>„Õiglases väärtuses muutustega läbi kasumiaruande kajastatud finantskohustuste õiglase väärtuse muutused, mis tulenevad krediidiriski muutustest“ hõlmab akumuleeritud kasumit ja kahjumit, mida kajastatakse läbi muu koondkasumi ja mis on seotud enda krediidiriskiga õiglases väärtuses muutustega läbi kasumiaruande kajastatud kohustuste puhul, sõltumata sellest, kas kajastamine toimub e</w:t>
      </w:r>
      <w:r w:rsidR="00A36F5D">
        <w:t>smasel kajastamisel või hiljem.</w:t>
      </w:r>
    </w:p>
    <w:p w:rsidR="009569C7" w:rsidRPr="00EC4FA2" w:rsidRDefault="00A834F1" w:rsidP="009569C7">
      <w:pPr>
        <w:pStyle w:val="Baseparagraphnumbered"/>
      </w:pPr>
      <w:r>
        <w:t>„Välismaistesse äriüksustesse tehtud netoinvesteeringute riskimaandus [efektiivne osa]“ hõlmab nii välismaistesse äriüksustesse tehtud netoinvesteeringute kehtivate riskimaanduste kui ka välismaistesse äriüksustesse tehtud netoinvesteeringute selliste riskimaanduste efektiivse osa välisvaluuta ümberarvestamise reservi, mida enam ei kohaldata, samas kui välismaiseid äriüksuseid kajastatakse jätkuvalt bil</w:t>
      </w:r>
      <w:r w:rsidR="00A36F5D">
        <w:t>ansis.</w:t>
      </w:r>
    </w:p>
    <w:p w:rsidR="009569C7" w:rsidRPr="00EC4FA2" w:rsidRDefault="00A834F1" w:rsidP="009569C7">
      <w:pPr>
        <w:pStyle w:val="Baseparagraphnumbered"/>
      </w:pPr>
      <w:r>
        <w:t xml:space="preserve">„Riskimaanduse tuletisinstrumendid. Rahavoogude riskimaanduse reserv [efektiivne osa]“ hõlmab riskimaanduse tuletisinstrumentide õiglase väärtuse variatsiooni efektiivse osa rahavoogude riskimaanduse reservi rahavoogude </w:t>
      </w:r>
      <w:r>
        <w:lastRenderedPageBreak/>
        <w:t>riskimaanduse puhul, sealhulgas nii kehtivate kui ka lõpetatud rahavoogude riskimaanduste puhul.</w:t>
      </w:r>
    </w:p>
    <w:p w:rsidR="009569C7" w:rsidRPr="00EC4FA2" w:rsidRDefault="00A834F1" w:rsidP="009569C7">
      <w:pPr>
        <w:pStyle w:val="Baseparagraphnumbered"/>
      </w:pPr>
      <w:r>
        <w:t>„Õiglases väärtuses läbi muu koondkasumi mõõdetud võlainstrumentide õiglase väärtuse muutused“ hõlmab õiglases väärtuses läbi muu koondkasumi mõõdetud võlainstrumentide akumuleeritud kasumit või kahjumit ilma kahju allahindluseta, mida mõõdetakse aruandekuupäeval vastavalt IFRS 9 paragrahvile 5.5.</w:t>
      </w:r>
    </w:p>
    <w:p w:rsidR="009569C7" w:rsidRPr="00EC4FA2" w:rsidRDefault="00A834F1" w:rsidP="009569C7">
      <w:pPr>
        <w:pStyle w:val="Baseparagraphnumbered"/>
      </w:pPr>
      <w:r>
        <w:t>„Riskimaandamisinstrumendid [kajastamata elemendid]“ hõlmab kõigi järgmiste õiglase väärtuse akumuleeritud muutusi:</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optsiooni ajaväärtus, kui kõnealuse optsiooni ajaväärtuse ja sisemise väärtuse muutused on eraldatud ja riskimaandamisinstrumendina kajastatakse üksnes sisemise väärtuse muu</w:t>
      </w:r>
      <w:r w:rsidR="00A36F5D">
        <w:rPr>
          <w:rFonts w:ascii="Times New Roman" w:hAnsi="Times New Roman"/>
          <w:sz w:val="24"/>
        </w:rPr>
        <w:t>tust [IFRS 9 paragrahv 6.5.15];</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forvardlepingu forvardelement, kui kõnealuse forvardlepingu forvardelement ja hetkehinna element on eraldatud ja riskimaandamisinstrumendina kajastatakse üksnes forvardlepin</w:t>
      </w:r>
      <w:r w:rsidR="00A36F5D">
        <w:rPr>
          <w:rFonts w:ascii="Times New Roman" w:hAnsi="Times New Roman"/>
          <w:sz w:val="24"/>
        </w:rPr>
        <w:t>gu hetkehinna elemendi muutust;</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finantsinstrumendi valuuta baashinnavahe, kui seda hinnavahet ei võeta kõnealuse instrumendi kajastamisel riskimaandamisinstrumendina arvesse [IFRS 9 paragrahv 6.5.15, IFRS 9 paragrahv 6.5.16].</w:t>
      </w:r>
    </w:p>
    <w:p w:rsidR="009569C7" w:rsidRPr="00EC4FA2" w:rsidRDefault="00A834F1" w:rsidP="009569C7">
      <w:pPr>
        <w:pStyle w:val="Baseparagraphnumbered"/>
      </w:pPr>
      <w:r>
        <w:t>IFRSi kohaselt hõlmab „ümberhindluse reservid“ reserve, mis tulenevad IASi esmakordsest kasutuselevõtust ja mida ei ole vaba</w:t>
      </w:r>
      <w:r w:rsidR="00A36F5D">
        <w:t>statud muud liiki reservidesse.</w:t>
      </w:r>
    </w:p>
    <w:p w:rsidR="009569C7" w:rsidRPr="00EC4FA2" w:rsidRDefault="00A834F1" w:rsidP="009569C7">
      <w:pPr>
        <w:pStyle w:val="Baseparagraphnumbered"/>
      </w:pPr>
      <w:r>
        <w:t>„Muud reservid“ jagunevad kirjeteks „reservid või akumuleeritud kahjum, mis tuleneb tütarettevõtjatesse, ühisettevõtjatesse ja sidusettevõtjatesse tehtud investeeringutest, mida arvestatakse kapitaliosaluse meetodi kohaselt“ ja „muu“. „Reservid või akumuleeritud kahjum, mis tuleneb tütarettevõtjatesse, ühisettevõtjatesse ja sidusettevõtjatesse tehtud investeeringutest, mida arvestatakse kapitaliosaluse meetodi kohaselt“ hõlmab neid akumuleeritud tulusid ja kulusid, mida eespool osutatud investeeringud on eelnevate aastate jooksul kasumi või kahjumi kaudu teeninud, kui neid investeeringuid arvestatakse kapitaliosaluse meetodi kohaselt. „Muu“ hõlmab reserve, mida ei ole eraldi avalikustatud muudel kirjetel ning see võib hõlmata kohustuslikku reservi ja põhikirjaga kehtestatud reservi.</w:t>
      </w:r>
    </w:p>
    <w:p w:rsidR="009569C7" w:rsidRPr="00EC4FA2" w:rsidRDefault="00A834F1" w:rsidP="009569C7">
      <w:pPr>
        <w:pStyle w:val="Baseparagraphnumbered"/>
      </w:pPr>
      <w:r>
        <w:t>„Omaaktsiad“ hõlmavad kõiki finantsinstrumente, mille krediidiasutus või investeerimisühing on tagasi ostnud ja millel on omakapitaliinstrumendi tunnused ning mida ei ole müüdud ega amortiseeritud, välja arvatud juhul, kui kohaldatava BADil põhineva siseriikliku GAAPi kohaselt kajastatak</w:t>
      </w:r>
      <w:r w:rsidR="00A36F5D">
        <w:t>se neid kirje „muud varad“ all.</w:t>
      </w:r>
    </w:p>
    <w:p w:rsidR="009569C7" w:rsidRPr="00EC4FA2" w:rsidRDefault="00A834F1" w:rsidP="009569C7">
      <w:pPr>
        <w:pStyle w:val="subtitlenumbered"/>
        <w:jc w:val="both"/>
      </w:pPr>
      <w:bookmarkStart w:id="86" w:name="_Toc246513955"/>
      <w:bookmarkStart w:id="87" w:name="_Toc246730627"/>
      <w:bookmarkStart w:id="88" w:name="_Toc246730718"/>
      <w:bookmarkStart w:id="89" w:name="_Toc361844215"/>
      <w:bookmarkStart w:id="90" w:name="_Toc362359286"/>
      <w:bookmarkStart w:id="91" w:name="_Toc467855210"/>
      <w:bookmarkStart w:id="92" w:name="_Toc523999812"/>
      <w:bookmarkStart w:id="93" w:name="_Toc524082950"/>
      <w:bookmarkEnd w:id="86"/>
      <w:bookmarkEnd w:id="87"/>
      <w:bookmarkEnd w:id="88"/>
      <w:r>
        <w:t>Kasumiaruanne (2)</w:t>
      </w:r>
      <w:bookmarkEnd w:id="89"/>
      <w:bookmarkEnd w:id="90"/>
      <w:bookmarkEnd w:id="91"/>
      <w:bookmarkEnd w:id="92"/>
      <w:bookmarkEnd w:id="93"/>
    </w:p>
    <w:p w:rsidR="009569C7" w:rsidRPr="00EC4FA2" w:rsidRDefault="00A834F1" w:rsidP="009569C7">
      <w:pPr>
        <w:pStyle w:val="Baseparagraphnumbered"/>
      </w:pPr>
      <w:r>
        <w:t xml:space="preserve">Intressitulu ja intressikulu, mis saadakse finantsinstrumentidest, mida mõõdetakse õiglases väärtuses muutustega läbi kasumiaruande, ja </w:t>
      </w:r>
      <w:r>
        <w:lastRenderedPageBreak/>
        <w:t>kategooriasse „riskimaandamise arvestus“ liigitatud riskimaanduse tuletisinstrumentidest, kajastatakse kas eraldi muust kasumist ja kahjumist kirjetel „intressitulu“ ja „intressikulu“ (nn puhashind (clean price)) või nende instrumendikategooriate kasumi või kahjumina (nn turuhind (dirty price)). Puhas- või turuhinna meetodit kohaldatakse järjepidevalt kõigi finantsinstrumentide suhtes, mida mõõdetakse õiglases väärtuses muutustega läbi kasumiaruande, ja kategooriasse „riskimaandamise arvestus“ liigitatud riskimaanduse tuletisinstrumentide suhtes.</w:t>
      </w:r>
    </w:p>
    <w:p w:rsidR="009569C7" w:rsidRPr="00EC4FA2" w:rsidRDefault="00A834F1" w:rsidP="009569C7">
      <w:pPr>
        <w:pStyle w:val="Baseparagraphnumbered"/>
      </w:pPr>
      <w:r>
        <w:t>Krediidiasutused ja investeerimisühingud esitavad arvestusportfellide lõikes järgmised kirjed, mis hõlmavad tulu ja kulu seoses seotud osapooltega, kes ei ole täielikult või proportsionaalselt konsolideeritud regulatiivse konsolideerimise alusel:</w:t>
      </w:r>
    </w:p>
    <w:p w:rsidR="009569C7" w:rsidRPr="00EC4FA2" w:rsidRDefault="00A834F1" w:rsidP="009569C7">
      <w:pPr>
        <w:pStyle w:val="Baseparagraphnumbered"/>
        <w:numPr>
          <w:ilvl w:val="0"/>
          <w:numId w:val="30"/>
        </w:numPr>
        <w:ind w:left="1134" w:hanging="425"/>
      </w:pPr>
      <w:r>
        <w:t>„intressitulu“;</w:t>
      </w:r>
    </w:p>
    <w:p w:rsidR="009569C7" w:rsidRPr="00EC4FA2" w:rsidRDefault="00A834F1" w:rsidP="009569C7">
      <w:pPr>
        <w:pStyle w:val="Baseparagraphnumbered"/>
        <w:numPr>
          <w:ilvl w:val="0"/>
          <w:numId w:val="30"/>
        </w:numPr>
        <w:ind w:left="1134" w:hanging="425"/>
      </w:pPr>
      <w:r>
        <w:t>„intressikulu“;</w:t>
      </w:r>
    </w:p>
    <w:p w:rsidR="009569C7" w:rsidRPr="00EC4FA2" w:rsidRDefault="00A834F1" w:rsidP="009569C7">
      <w:pPr>
        <w:pStyle w:val="Baseparagraphnumbered"/>
        <w:numPr>
          <w:ilvl w:val="0"/>
          <w:numId w:val="30"/>
        </w:numPr>
        <w:ind w:left="1134" w:hanging="425"/>
      </w:pPr>
      <w:r>
        <w:t>„dividenditulu“;</w:t>
      </w:r>
    </w:p>
    <w:p w:rsidR="009569C7" w:rsidRPr="00EC4FA2" w:rsidRDefault="00A834F1" w:rsidP="009569C7">
      <w:pPr>
        <w:pStyle w:val="Baseparagraphnumbered"/>
        <w:numPr>
          <w:ilvl w:val="0"/>
          <w:numId w:val="30"/>
        </w:numPr>
        <w:ind w:left="1134" w:hanging="425"/>
      </w:pPr>
      <w:r>
        <w:t>„netokasum või -kahjum, mis on saadud selliste finantsvarade ja -kohustuste kajastamise lõpetamisest, mida ei ole mõõdetud õiglases väärtuses muutustega läbi kasumiaruande“;</w:t>
      </w:r>
    </w:p>
    <w:p w:rsidR="009569C7" w:rsidRPr="00EC4FA2" w:rsidRDefault="00A834F1" w:rsidP="009569C7">
      <w:pPr>
        <w:pStyle w:val="Baseparagraphnumbered"/>
        <w:numPr>
          <w:ilvl w:val="0"/>
          <w:numId w:val="30"/>
        </w:numPr>
        <w:ind w:left="1134" w:hanging="425"/>
      </w:pPr>
      <w:r>
        <w:t>„netokasumi või -kahjumi muudatus“;</w:t>
      </w:r>
    </w:p>
    <w:p w:rsidR="009569C7" w:rsidRPr="00EC4FA2" w:rsidRDefault="00A834F1" w:rsidP="009569C7">
      <w:pPr>
        <w:pStyle w:val="Baseparagraphnumbered"/>
        <w:numPr>
          <w:ilvl w:val="0"/>
          <w:numId w:val="30"/>
        </w:numPr>
        <w:ind w:left="1134" w:hanging="425"/>
      </w:pPr>
      <w:r>
        <w:t>„selliste finantsvarade väärtuse langus või (–) väärtuse languse tühistamine, mida ei ole mõõdetud õiglases väärtuses muutustega läbi kasumiaruande“.</w:t>
      </w:r>
    </w:p>
    <w:p w:rsidR="009569C7" w:rsidRPr="00EC4FA2" w:rsidRDefault="00A834F1" w:rsidP="009569C7">
      <w:pPr>
        <w:pStyle w:val="Baseparagraphnumbered"/>
      </w:pPr>
      <w:r>
        <w:t>„Intressitulu. Kauplemiseks hoitavad finantsvarad“ ja „Intressikulu. Kauplemiseks hoitavad finantskohustused“ hõlmavad puhashinna kasutamise korral summasid, mis on seotud kategooriasse „kauplemiseks hoitavad“ liigitatud tuletisinstrumentidega, mis on riskimaandamisinstrumendid majanduslikust, kuid mitte arvestuse seisukohast, et esitada maandatavatest finantsinstrumentidest tulenev</w:t>
      </w:r>
      <w:r w:rsidR="00A36F5D">
        <w:t xml:space="preserve"> tegelik intressitulu ja -kulu.</w:t>
      </w:r>
    </w:p>
    <w:p w:rsidR="009569C7" w:rsidRPr="00EC4FA2" w:rsidRDefault="00A834F1" w:rsidP="009569C7">
      <w:pPr>
        <w:pStyle w:val="Baseparagraphnumbered"/>
      </w:pPr>
      <w:r>
        <w:t>Puhashinna kasutamise korral hõlmavad kirjed „Intressitulu. Kauplemiseks hoitavad finantsvarad“ ja „Intressikulu. Kauplemiseks hoitavad finantskohustused“ ka ajaliselt jaotatud tasusid ja tasakaalustavaid makseid seoses õiglases väärtuses mõõdetud krediidituletisinstrumentidega, mida kasutatakse sellel juhul õiglases väärtuses muutustega kajastatud kogu finantsinstrumendi või selle osa krediidiriski juht</w:t>
      </w:r>
      <w:r w:rsidR="00A36F5D">
        <w:t>imiseks [IFRS 9 paragrahv 6.7].</w:t>
      </w:r>
    </w:p>
    <w:p w:rsidR="009569C7" w:rsidRPr="00EC4FA2" w:rsidRDefault="00A834F1" w:rsidP="009569C7">
      <w:pPr>
        <w:pStyle w:val="Baseparagraphnumbered"/>
      </w:pPr>
      <w:r>
        <w:t xml:space="preserve">Kirjed „Intressitulu. Tuletisinstrumendid – riskimaandamise arvestus, intressirisk“ ja „Intressikulu. Tuletisinstrumendid – riskimaandamise arvestus, intressirisk“ hõlmavad puhashinna kasutamise korral summasid, mis on seotud kategooriasse „riskimaandamise arvestus“ liigitatud tuletisinstrumentidega, mis katavad intressiriski, sealhulgas tasaarvestatavate riskipositsioonidega selliste kirjerühmade riskimaandus (netopositsioonide </w:t>
      </w:r>
      <w:r>
        <w:lastRenderedPageBreak/>
        <w:t>riskimaandus), mille maandatud risk mõjutab kasumiaruande erinevaid kirjeid. Puhashinna kasutamise korral tuleb need esitada brutosummas intressitulu ja -kuluna, nii et need kajastavad maandatavate instrumentidega seotud tegelikku intressitulu ja -kulu. Kui puhashinna kasutamise korral annab maandatav instrument intressitulu (-kulu), kajastatakse neid summasid intressituluna (-kuluna) isegi juhul, kui see on negatiivne (positiivne) summa.</w:t>
      </w:r>
    </w:p>
    <w:p w:rsidR="009569C7" w:rsidRPr="00EC4FA2" w:rsidRDefault="00A834F1" w:rsidP="009569C7">
      <w:pPr>
        <w:pStyle w:val="Baseparagraphnumbered"/>
      </w:pPr>
      <w:r>
        <w:t>Kirje „Intressitulu – muud varad“ hõlmab intressitulu, mida ei kajastata muude kirjete all, nt raha, nõuetega keskpankadele ja muude nõudmiseni hoiustega ning müügiks hoitavateks liigitatud põhivarade ja müügigruppidega seotud intressitulu ning netointressitulu, mis on saadud kindlaksmääratud hüvitiste netovarast.</w:t>
      </w:r>
    </w:p>
    <w:p w:rsidR="009569C7" w:rsidRPr="00EC4FA2" w:rsidRDefault="00A834F1" w:rsidP="009569C7">
      <w:pPr>
        <w:pStyle w:val="Baseparagraphnumbered"/>
      </w:pPr>
      <w:r>
        <w:t>Kui siseriikliku GAAPi kohaselt ei ole nähtud ette teisiti, kajastatakse IFRSi kohaselt negatiivse efektiivse intressimääraga finantskohustuste intressid intressitulu all real „Kohustustelt kogunenud intressitulu“. Need kohustused ja nende intressid tähendavad krediidiasutuse või investeerimisühin</w:t>
      </w:r>
      <w:r w:rsidR="00D452D1">
        <w:t>gu jaoks positiivset tootlust.</w:t>
      </w:r>
    </w:p>
    <w:p w:rsidR="009569C7" w:rsidRPr="00EC4FA2" w:rsidRDefault="00A834F1" w:rsidP="009569C7">
      <w:pPr>
        <w:pStyle w:val="Baseparagraphnumbered"/>
      </w:pPr>
      <w:r>
        <w:t xml:space="preserve"> Kirje „Intressikulu – muud kohustused“ hõlmab intressikulu, mida ei kajastata muude kirjete all, nt intressikulu, mis on seotud müügiks hoitavaks liigitatud müügigruppidesse kuuluvate kohustustega, kulu, mis tuleneb eraldise bilansilise väärtuse suurenemisest aja möödudes, või netointressikulu, mis on tekkinud kindlaksmäära</w:t>
      </w:r>
      <w:r w:rsidR="00A36F5D">
        <w:t>tud hüvitiste netokohustustest.</w:t>
      </w:r>
    </w:p>
    <w:p w:rsidR="009569C7" w:rsidRPr="00EC4FA2" w:rsidRDefault="00A834F1" w:rsidP="009569C7">
      <w:pPr>
        <w:pStyle w:val="Baseparagraphnumbered"/>
      </w:pPr>
      <w:r>
        <w:t xml:space="preserve">Kui siseriikliku GAAPi kohaselt ei ole nähtud ette teisiti, kajastatakse IFRSi kohaselt negatiivse efektiivse intressimääraga finantsvarade intressid intressitulu all real „Varadega seotud intressikulu“. Need varad ja nende intressid tähendavad krediidiasutuse või investeerimisühingu jaoks negatiivset tootlust. </w:t>
      </w:r>
    </w:p>
    <w:p w:rsidR="009569C7" w:rsidRPr="00EC4FA2" w:rsidRDefault="00A834F1" w:rsidP="009569C7">
      <w:pPr>
        <w:pStyle w:val="Baseparagraphnumbered"/>
      </w:pPr>
      <w:r>
        <w:t xml:space="preserve">Õiglases väärtuses muutustega läbi kasumiaruande mõõdetavate omakapitaliinstrumentide dividenditulu kajastatakse kas „dividendituluna“ eraldi kõnealuste instrumendiliikide muust kasumist ja kahjumist, kui kasutatakse puhashinda, või osana kõnealuste instrumendiliikide kasumist või kahjumist, kui kasutatakse turuhinda. </w:t>
      </w:r>
    </w:p>
    <w:p w:rsidR="009569C7" w:rsidRPr="00EC4FA2" w:rsidRDefault="00A834F1" w:rsidP="009569C7">
      <w:pPr>
        <w:pStyle w:val="Baseparagraphnumbered"/>
      </w:pPr>
      <w:r>
        <w:t>Õiglases väärtuses muutustega läbi muu koondkasumi kajastatavate omakapitaliinstrumentide dividenditulu hõlmab selliste instrumentidega seotud dividende, mille kajastamine perioodi jooksul lõpetati, ja selliste instrumentidega seotud dividende, mida hoiti aruandeperioodi lõpu seisuga.</w:t>
      </w:r>
    </w:p>
    <w:p w:rsidR="009569C7" w:rsidRPr="00EC4FA2" w:rsidRDefault="00A834F1" w:rsidP="009569C7">
      <w:pPr>
        <w:pStyle w:val="Baseparagraphnumbered"/>
      </w:pPr>
      <w:r>
        <w:t>Tütarettevõtjatesse, ühisettevõtjatesse ja sidusettevõtjatesse tehtud investeeringute dividenditulu hõlmab kõnealuste investeeringute dividende, kui neid investeeringuid arvestatakse muu meetodi kui kapitaliosaluse meetod kohaselt.</w:t>
      </w:r>
    </w:p>
    <w:p w:rsidR="009569C7" w:rsidRPr="00EC4FA2" w:rsidRDefault="00A834F1" w:rsidP="009569C7">
      <w:pPr>
        <w:pStyle w:val="Baseparagraphnumbered"/>
      </w:pPr>
      <w:r>
        <w:t xml:space="preserve">„Kauplemiseks hoitavatest finantsvaradest ja -kohustustest tulenev netokasum või (–) netokahjum“ hõlmab kauplemiseks hoitavateks liigitatud </w:t>
      </w:r>
      <w:r>
        <w:lastRenderedPageBreak/>
        <w:t>finantsinstrumentide uuesti mõõtmisest ja nende kajastamise lõpetamisest tulenevat kasumit ja kahjumit. See kirje hõlmab ka kasumit ja kahjumit, mida saadakse seoses krediidituletisinstrumentidega, mida mõõdetakse õiglases väärtuses muutustega läbi kasumiaruande ja kasutatakse kogu sellise finantsinstrumendi või selle osa krediidiriski juhtimiseks, mida mõõdetakse õiglases väärtuses muutustega läbi kasumiaruande, samuti kauplemiseks hoitavatest finantsvaradest ja -kohustustest tulenevat dividendi- ja intressitulu ja -k</w:t>
      </w:r>
      <w:r w:rsidR="00A36F5D">
        <w:t>ulu, kui kasutatakse turuhinda.</w:t>
      </w:r>
    </w:p>
    <w:p w:rsidR="009569C7" w:rsidRPr="00EC4FA2" w:rsidRDefault="00A834F1" w:rsidP="009569C7">
      <w:pPr>
        <w:pStyle w:val="Baseparagraphnumbered"/>
      </w:pPr>
      <w:r>
        <w:t>„Õiglases väärtuses muutustega läbi kasumiaruande kajastatud finantsvaradest ja -kohustustest tulenev kasum või kahjum“ hõlmab ka õiglases väärtuses muutustega läbi kasumiaruande kajastatud kohustuste enda krediidiriskist tulenevat summat, kui enda krediidiriski muutuste kajastamine läbi muu koondkasumi tekitaks arvestuse mittevastavuse või suurendaks seda [IFRS 9 paragrahv 5.7.8]. See kirje hõlmab ka kasumit ja kahjumit, mida saadakse seoses maandatavate instrumentidega, mida kajastatakse õiglases väärtuses muutustega läbi kasumiaruande, kui kajastamist kasutatakse krediidiriski juhtimiseks, samuti õiglases väärtuses muutustega läbi kasumiaruande kajastatud finantsvaradest ja -kohustustest tulenevat intressitulu ja -kulu, kui kasutatakse turuhinda.</w:t>
      </w:r>
    </w:p>
    <w:p w:rsidR="009569C7" w:rsidRPr="00EC4FA2" w:rsidRDefault="00A834F1" w:rsidP="009569C7">
      <w:pPr>
        <w:pStyle w:val="Baseparagraphnumbered"/>
      </w:pPr>
      <w:r>
        <w:t>„Kasum või (–) kahjum, mis on saadud selliste finantsvarade ja -kohustuste kajastamise lõpetamisest, mida ei ole mõõdetud õiglases väärtuses muutustega läbi kasumiaruande“ ei hõlma sellistest omakapitaliinstrumentidest tulenevat kasumit, mida aruandev üksus otsustas mõõta õiglases väärtuses muutustega läbi muu koondkasumi [IFRS 9 paragrahvi 5.7.1 punkt b].</w:t>
      </w:r>
    </w:p>
    <w:p w:rsidR="009569C7" w:rsidRPr="00EC4FA2" w:rsidRDefault="00A834F1" w:rsidP="009569C7">
      <w:pPr>
        <w:pStyle w:val="Baseparagraphnumbered"/>
      </w:pPr>
      <w:r>
        <w:t>Kui ärimudeli muutmise tõttu liigitatakse finantsvara ümber muusse arvestusportfelli, kajastatakse ümberliigitamisest tulenevat kasumit või kahjumit sellise arvestusportfelli asjakohasel real, kuhu finantsvara ümber l</w:t>
      </w:r>
      <w:r w:rsidR="00A36F5D">
        <w:t>iigitati, vastavalt järgmisele:</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kui finantsvara liigitatakse ümber amortiseeritud soetusväärtuses mõõtmise kategooriast õiglases väärtuses muutustega läbi kasumiaruande mõõtmise arvestusportfelli [IFRS 9 paragrahv 5.6.2], kajastatakse ümberliigitamisest tulenevat kasumit või kahjumit kirje „kauplemiseks hoitavatest finantsvaradest ja -kohustustest tulenev netokasum või (–) netokahjum“ või kirje „kauplemisel mittekasutatavatest kohustuslikult õiglases väärtuses muutustega läbi kasumiaruande kajastatud finantsvaradest tulenev netokasum või (–) netokahjum“ all, nagu see on asjakohane;</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kui finantsvara liigitatakse ümber õiglases väärtuses läbi muu koondkasumi mõõtmise kategooriast õiglases väärtuses muutustega läbi kasumiaruande mõõtmise kategooriasse [IFRS 9 paragrahv 5.6.7], kajastatakse läbi muu koondkasumi mõõtmise kategooriast läbi kasumiaruande mõõtmise kategooriasse ümber liigitatud akumuleeritud kasumit või kahjumit kirje „kauplemiseks hoitavatest finantsvaradest ja -kohustustest tulenev netokasum või (–) netokahjum“ või kirje </w:t>
      </w:r>
      <w:r>
        <w:rPr>
          <w:rFonts w:ascii="Times New Roman" w:hAnsi="Times New Roman"/>
          <w:sz w:val="24"/>
        </w:rPr>
        <w:lastRenderedPageBreak/>
        <w:t>„kauplemisel mittekasutatavatest kohustuslikult õiglases väärtuses muutustega läbi kasumiaruande kajastatud finantsvaradest tulenev netokasum või (–) netokahjum“ all, nagu see on asjakohane.</w:t>
      </w:r>
    </w:p>
    <w:p w:rsidR="009569C7" w:rsidRPr="00EC4FA2" w:rsidRDefault="00A834F1" w:rsidP="009569C7">
      <w:pPr>
        <w:pStyle w:val="Baseparagraphnumbered"/>
      </w:pPr>
      <w:r>
        <w:t>„Riskimaandamise arvestuse netokasum või (–) netokahjum“ hõlmab kasumit ja kahjumit, mis tuleneb riskimaandamisinstrumentidest ja maandatavatest instrumentidest, sealhulgas õiglases väärtuses läbi muu koondkasumi mõõdetud muudest maandatavatest instrumentidest kui omakapitaliinstrumendid, õiglase väärtuse riskimaanduse puhul vastavalt IFRS 9 paragrahvile 6.5.8. See hõlmab ka riskimaandamisinstrumentide õiglase väärtuse variatsiooni ebaefektiivsest osa rahavoogude riskimaanduse puhul. Rahavoogude riskimaanduse reservi või välismaistesse äriüksustesse tehtud netoinvesteeringu riskimaanduse reservi ümberliigitamist kajastatakse kasumiaruande ridadel, mida mõjutavad maandatavate instrumentide rahavood. „Riskimaandamise arvestuse netokasum või (–) netokahjum“ hõlmab ka välismaistesse äriüksustesse tehtud netoinvesteeringu riskimaanduse kasumit ja kahjumit. See kirje hõlmab ka netopositsioonide riskimaanduse kasumit.</w:t>
      </w:r>
    </w:p>
    <w:p w:rsidR="009569C7" w:rsidRPr="00EC4FA2" w:rsidRDefault="00A834F1" w:rsidP="009569C7">
      <w:pPr>
        <w:pStyle w:val="Baseparagraphnumbered"/>
      </w:pPr>
      <w:r>
        <w:t xml:space="preserve"> „Kasum või kahjum, mis tuleneb mittefinantsvara kajastamise lõpetamisest“ hõlmab mittefinantsvara kajastamise lõpetamisest tulenevat kasumit ja kahjumit, välja arvatud juhul, kui mittefinantsvara on liigitatud müügiks hoitavaks või tütarettevõtjatesse, ühisettevõtjatesse ja sidusettevõtjatesse tehtud investeeringuks.</w:t>
      </w:r>
    </w:p>
    <w:p w:rsidR="009569C7" w:rsidRPr="00EC4FA2" w:rsidRDefault="00A834F1" w:rsidP="009569C7">
      <w:pPr>
        <w:pStyle w:val="Baseparagraphnumbered"/>
      </w:pPr>
      <w:r>
        <w:t>„Korrigeerimisest tulenev netokasum või (–) netokahjum“ hõlmab summasid, mis tulenevad finantsvarade bilansilise brutoväärtuse korrigeerimisest, mida tehakse, et kajastada uuesti läbiräägitud või muudetud lepingulisi rahavoogusid [IFRS 9 paragrahv 5.4.3 ja lisa A]. Korrigeerimisest tulenev kasum või kahjum ei hõlma eeldatava krediidikahju korrigeerimise mõju, mis kajastatakse kirje „selliste finantsvarade väärtuse langus või (–) väärtuse languse tühistamine, mida ei ole mõõdetud õiglases väärtuses muutustega läbi kasumiaruande“ all.</w:t>
      </w:r>
    </w:p>
    <w:p w:rsidR="009569C7" w:rsidRPr="00EC4FA2" w:rsidRDefault="00A834F1" w:rsidP="009569C7">
      <w:pPr>
        <w:pStyle w:val="Baseparagraphnumbered"/>
      </w:pPr>
      <w:r>
        <w:t>„Eraldised või (–) eraldiste tühistamine. Võetud siduvad kohustused ja antud garantiid“ hõlmab kasumiaruande netomuutusi kõigi IFRS 9, IAS 37 või IFRS 4 kohaldamisalasse kuuluvate siduvate kohustuste ja garantiide eraldiste puhul vastavalt käesoleva osa punktile 11 või BADil põhineva siseriikliku GAAPi kohaselt. IFRSi kohaselt kajastatakse õiglases väärtuses mõõdetud siduvate kohustuste ja finantsgarantiide õiglase väärtuse muutus kirje „õiglases väärtuses muutustega läbi kasumiaruande kajastatud finantsvaradest ja -kohustustest tulenev netokasum või (–) -netokahjum“ all. Seepärast hõlmavad eraldised selliste siduvate kohustuste ja garantiide väärtuse languse summat, mille puhul määratakse väärtuse langus kindlaks IFRS 9 kohaselt või eraldiste tegemine IAS 37 kohaselt või neid käsitatakse kindlustuslepingutena IFRS 4 kohaselt.</w:t>
      </w:r>
    </w:p>
    <w:p w:rsidR="009569C7" w:rsidRPr="00EC4FA2" w:rsidRDefault="00A834F1" w:rsidP="009569C7">
      <w:pPr>
        <w:pStyle w:val="Baseparagraphnumbered"/>
      </w:pPr>
      <w:r>
        <w:t xml:space="preserve">IFRSi kohaselt hõlmab „selliste finantsvarade väärtuse langus või (–) väärtuse languse tühistamine, mida ei ole mõõdetud õiglases väärtuses muutustega läbi kasumiaruande“ kõiki võlainstrumentide väärtuse langusest tingitud kasumeid </w:t>
      </w:r>
      <w:r>
        <w:lastRenderedPageBreak/>
        <w:t>ja kahjumeid, mis tulenevad IFRS 9 paragrahvi 5.5 kohaste väärtuse languse eeskirjade kohaldamisest, sõltumata sellest, kas IFRS 9 paragrahvi 5.5 kohast eeldatavat krediidikahju hinnatakse 12 kuu või kehtivusaja alusel, ja sealhulgas klientide vastu olevate nõuete, lepinguliste varade ja rendinõuete väärtuse langusest tingitud kasumit või kahj</w:t>
      </w:r>
      <w:r w:rsidR="00A36F5D">
        <w:t>umit [IFRS 9 paragrahv 5.5.15].</w:t>
      </w:r>
    </w:p>
    <w:p w:rsidR="009569C7" w:rsidRPr="00EC4FA2" w:rsidRDefault="00A834F1" w:rsidP="009569C7">
      <w:pPr>
        <w:pStyle w:val="Baseparagraphnumbered"/>
      </w:pPr>
      <w:r>
        <w:t>BADil põhineva siseriikliku GAAPi kohaselt hõlmab „selliste finantsvarade väärtuse langus või väärtuse languse tühistamine, mida ei ole mõõdetud õiglases väärtuses muutustega läbi kasumiaruande“ kõiki soetusmaksumusepõhistel meetoditel mõõdetud finantsinstrumentide allahindlusi ja allahindluste tühistamisi, mis on tingitud võlgniku või emitendi krediidikvaliteedi muutusest, samuti sõltuvalt siseriikliku GAAPi sätetest selliste finantsinstrumentide allahindlusi, mida mõõdetakse õiglases väärtuses omakapitalis ja muudel mõõtmismeetodit</w:t>
      </w:r>
      <w:r w:rsidR="00A36F5D">
        <w:t>el, sealhulgas LOCOMi kohaselt.</w:t>
      </w:r>
    </w:p>
    <w:p w:rsidR="009569C7" w:rsidRPr="00EC4FA2" w:rsidRDefault="00A834F1" w:rsidP="009569C7">
      <w:pPr>
        <w:pStyle w:val="Baseparagraphnumbered"/>
      </w:pPr>
      <w:r>
        <w:t xml:space="preserve"> „Selliste finantsvarade väärtuse langus või (–) väärtuse languse tühistamine, mida ei ole mõõdetud õiglases väärtuses muutustega läbi kasumiaruande“ hõlmab ka käesoleva lisa käesoleva osa punktides 72 ja 74 ning punkti 165 alapunktis b määratletud mahakantud summasid, mis mahakandmise kuupäeval ületavad kahju allahindluse summat ja mida seepärast kajastatakse kahjumina otse kasumiaruandes, samuti selliste varem maha kantud summade tagasisaamist, mida</w:t>
      </w:r>
      <w:r w:rsidR="00A36F5D">
        <w:t xml:space="preserve"> kajastati otse kasumiaruandes.</w:t>
      </w:r>
    </w:p>
    <w:p w:rsidR="009569C7" w:rsidRPr="00EC4FA2" w:rsidRDefault="00A834F1" w:rsidP="009569C7">
      <w:pPr>
        <w:pStyle w:val="Baseparagraphnumbered"/>
      </w:pPr>
      <w:r>
        <w:t>Sellistest tütarettevõtjatest, sidusettevõtjatest ja ühisettevõtjatest tuleneva kasumi või kahjumi osa, keda arvestatakse kapitaliosaluse meetodil regulatiivse konsolideerimise alusel, kajastatakse kirje „osa kasumist või (–) kahjumist, mis tuleneb tütarettevõtjatesse, ühisettevõtjatesse ja sidusettevõtjatesse tehtud investeeringutest, mida arvestatakse kapitaliosaluse meetodi kohaselt“ all. Vastavalt IAS 28 paragrahvile 10 vähendatakse investeeringu bilansilist väärtust kõnealuste üksuste makstud dividendide summa võrra. Kõnealuste investeeringute väärtuse langust kajastatakse kirje „tütarettevõtjatesse, ühisettevõtjatesse ja sidusettevõtjatesse tehtud investeeringute väärtuse langus või (–) väärtuse languse tühistamine“ all. Kõnealuste investeeringute kajastamise lõpetamisest tulenev kasum või kahjum kajastatakse vastavalt käe</w:t>
      </w:r>
      <w:r w:rsidR="00A36F5D">
        <w:t>soleva osa punktidele 55 ja 56.</w:t>
      </w:r>
    </w:p>
    <w:p w:rsidR="009569C7" w:rsidRPr="00EC4FA2" w:rsidRDefault="00A834F1" w:rsidP="009569C7">
      <w:pPr>
        <w:pStyle w:val="Baseparagraphnumbered"/>
      </w:pPr>
      <w:r>
        <w:t>Kirje „kasum või kahjum müügiks hoitavatest põhivaradest ja müügigruppidest, mis ei vasta lõpetatud tegevuste kriteeriumidele“ hõlmab kasumit või kahjumit, mis on saadud müügiks hoitavatest põhivaradest ja müügigruppidest, mis ei vasta lõpetatud tegevuste kriteeriumidele.</w:t>
      </w:r>
    </w:p>
    <w:p w:rsidR="009569C7" w:rsidRPr="00EC4FA2" w:rsidRDefault="00A834F1" w:rsidP="009569C7">
      <w:pPr>
        <w:pStyle w:val="Baseparagraphnumbered"/>
      </w:pPr>
      <w:bookmarkStart w:id="94" w:name="_Toc246513959"/>
      <w:bookmarkStart w:id="95" w:name="_Toc246730631"/>
      <w:bookmarkStart w:id="96" w:name="_Toc246730722"/>
      <w:bookmarkEnd w:id="94"/>
      <w:bookmarkEnd w:id="95"/>
      <w:bookmarkEnd w:id="96"/>
      <w:r>
        <w:t>IFRSi kohaselt kajastatakse tütarettevõtjatesse, ühisettevõtjatesse ja sidusettevõtjatesse tehtud investeeringute kajastamise lõpetamisest tulenev kasum või kahjum kirje „lõpetatud tegevuste kasum või (–) kahjum enne tulumaksu“ all, kui neid käsitatakse IFRS 5 kohaselt lõpetatud tegevustena. BADil põhineva siseriikliku GAAPi kohaselt kajastatakse tütarettevõtjatesse, ühisettevõtjatesse ja sidusettevõtjatesse tehtud investeeringute kajastamise lõpetamisest tulenev kasum või kahjum kirje „netokasum või (–) kahjum, mis tuleneb tütarettevõtjatesse, ühisettevõtjatesse ja sidusettevõtjatesse tehtud investeeringute kajastamise lõpetamisest“ all.</w:t>
      </w:r>
    </w:p>
    <w:p w:rsidR="009569C7" w:rsidRPr="00EC4FA2" w:rsidRDefault="00A834F1" w:rsidP="009569C7">
      <w:pPr>
        <w:pStyle w:val="subtitlenumbered"/>
        <w:jc w:val="both"/>
      </w:pPr>
      <w:bookmarkStart w:id="97" w:name="_Toc246513968"/>
      <w:bookmarkStart w:id="98" w:name="_Toc246730640"/>
      <w:bookmarkStart w:id="99" w:name="_Toc246730731"/>
      <w:bookmarkStart w:id="100" w:name="_Toc246513969"/>
      <w:bookmarkStart w:id="101" w:name="_Toc246730641"/>
      <w:bookmarkStart w:id="102" w:name="_Toc246730732"/>
      <w:bookmarkStart w:id="103" w:name="_Toc246513971"/>
      <w:bookmarkStart w:id="104" w:name="_Toc246730643"/>
      <w:bookmarkStart w:id="105" w:name="_Toc246730734"/>
      <w:bookmarkStart w:id="106" w:name="_Toc246513972"/>
      <w:bookmarkStart w:id="107" w:name="_Toc246730644"/>
      <w:bookmarkStart w:id="108" w:name="_Toc246730735"/>
      <w:bookmarkStart w:id="109" w:name="_Toc361844216"/>
      <w:bookmarkStart w:id="110" w:name="_Toc362359287"/>
      <w:bookmarkStart w:id="111" w:name="_Toc467855211"/>
      <w:bookmarkStart w:id="112" w:name="_Toc523999813"/>
      <w:bookmarkStart w:id="113" w:name="_Toc246770619"/>
      <w:bookmarkStart w:id="114" w:name="_Toc524082951"/>
      <w:bookmarkEnd w:id="97"/>
      <w:bookmarkEnd w:id="98"/>
      <w:bookmarkEnd w:id="99"/>
      <w:bookmarkEnd w:id="100"/>
      <w:bookmarkEnd w:id="101"/>
      <w:bookmarkEnd w:id="102"/>
      <w:bookmarkEnd w:id="103"/>
      <w:bookmarkEnd w:id="104"/>
      <w:bookmarkEnd w:id="105"/>
      <w:bookmarkEnd w:id="106"/>
      <w:bookmarkEnd w:id="107"/>
      <w:bookmarkEnd w:id="108"/>
      <w:r>
        <w:lastRenderedPageBreak/>
        <w:t>Koondkasumiaruanne (3)</w:t>
      </w:r>
      <w:bookmarkEnd w:id="109"/>
      <w:bookmarkEnd w:id="110"/>
      <w:bookmarkEnd w:id="111"/>
      <w:bookmarkEnd w:id="112"/>
      <w:bookmarkEnd w:id="114"/>
    </w:p>
    <w:p w:rsidR="009569C7" w:rsidRPr="00EC4FA2" w:rsidRDefault="00A834F1" w:rsidP="009569C7">
      <w:pPr>
        <w:pStyle w:val="Baseparagraphnumbered"/>
      </w:pPr>
      <w:r>
        <w:t>„Õiglases väärtuses läbi muu koondkasumi mõõdetud omakapitaliinstrumentide riskimaandamise arvestuse netokasum või (–) netokahjum“ hõlmab sellisel õiglase väärtuse riskimaandusel tulenevat riskimaanduse akumuleeritud ebaefektiivsuse muutust, mille puhul maandatav instrument on õiglases väärtuses läbi muu koondkasumi mõõdetud omakapitaliinstrument. Sellel real kajastatav riskimaanduse ebaefektiivsuse muutus on kirje „õiglases väärtuses läbi muu koondkasumi mõõdetud omakapitaliinstrumentide õiglase väärtuse muutused [maandatav instrument]“ all kajastatud omakapitaliinstrumendi õiglase väärtuse variatsiooni muutuse ja kirje „õiglases väärtuses läbi muu koondkasumi mõõdetud omakapitaliinstrumentide õiglase väärtuse muutused [riskimaandamisinstrument]“ all kajastatud riskimaandamisinstrumendi õiglase väärtuse variatsiooni muutuse vahe.</w:t>
      </w:r>
    </w:p>
    <w:p w:rsidR="009569C7" w:rsidRPr="00EC4FA2" w:rsidRDefault="00A834F1" w:rsidP="009569C7">
      <w:pPr>
        <w:pStyle w:val="Baseparagraphnumbered"/>
      </w:pPr>
      <w:r>
        <w:t xml:space="preserve"> „Välismaistesse äriüksustesse tehtud netoinvesteeringute riskimaandus [efektiivne osa]“ hõlmab nii välismaistesse äriüksustesse tehtud netoinvesteeringute kehtivate kui ka lõpetatud riskimaanduste efektiivse osa välisvaluuta ümberarvestamise</w:t>
      </w:r>
      <w:r w:rsidR="00A36F5D">
        <w:t xml:space="preserve"> akumuleeritud reservi muutust.</w:t>
      </w:r>
    </w:p>
    <w:p w:rsidR="009569C7" w:rsidRPr="00EC4FA2" w:rsidRDefault="00A834F1" w:rsidP="009569C7">
      <w:pPr>
        <w:pStyle w:val="Baseparagraphnumbered"/>
      </w:pPr>
      <w:r>
        <w:t>Välismaistesse äriüksustesse tehtud netoinvesteeringu riskimaanduse ja rahavoogude riskimaanduse puhul hõlmavad kirje „kasumisse või kahjumisse üle kantud“ all kajastatud vastavad summad summasid, mis kanti üle, sest maandatud rahavood tekk</w:t>
      </w:r>
      <w:r w:rsidR="00A36F5D">
        <w:t>isid ja tulevikus enam ei teki.</w:t>
      </w:r>
    </w:p>
    <w:p w:rsidR="009569C7" w:rsidRPr="00EC4FA2" w:rsidRDefault="00A834F1" w:rsidP="009569C7">
      <w:pPr>
        <w:pStyle w:val="Baseparagraphnumbered"/>
      </w:pPr>
      <w:r>
        <w:t>„Riskimaandamisinstrumendid [kajastamata elemendid]“ hõlmab kõigi järgmiste õiglase väärtuse akumuleeritud muutuste muutust, kui neid ei kajast</w:t>
      </w:r>
      <w:r w:rsidR="00A36F5D">
        <w:t>ata riskimaanduse komponendina:</w:t>
      </w:r>
    </w:p>
    <w:p w:rsidR="009569C7" w:rsidRPr="00EC4FA2" w:rsidRDefault="00A36F5D" w:rsidP="009569C7">
      <w:pPr>
        <w:pStyle w:val="Baseparagraphnumbered"/>
        <w:numPr>
          <w:ilvl w:val="0"/>
          <w:numId w:val="57"/>
        </w:numPr>
        <w:ind w:left="1134" w:hanging="425"/>
      </w:pPr>
      <w:r>
        <w:t>optsioonide ajaväärtus;</w:t>
      </w:r>
    </w:p>
    <w:p w:rsidR="009569C7" w:rsidRPr="00EC4FA2" w:rsidRDefault="00A834F1" w:rsidP="009569C7">
      <w:pPr>
        <w:pStyle w:val="Baseparagraphnumbered"/>
        <w:numPr>
          <w:ilvl w:val="0"/>
          <w:numId w:val="57"/>
        </w:numPr>
        <w:ind w:left="1134" w:hanging="425"/>
      </w:pPr>
      <w:r>
        <w:t>for</w:t>
      </w:r>
      <w:r w:rsidR="00A36F5D">
        <w:t>vardlepingute forvardelemendid;</w:t>
      </w:r>
    </w:p>
    <w:p w:rsidR="009569C7" w:rsidRPr="00EC4FA2" w:rsidRDefault="00A834F1" w:rsidP="009569C7">
      <w:pPr>
        <w:pStyle w:val="Baseparagraphnumbered"/>
        <w:numPr>
          <w:ilvl w:val="0"/>
          <w:numId w:val="57"/>
        </w:numPr>
        <w:ind w:left="1134" w:hanging="425"/>
      </w:pPr>
      <w:r>
        <w:t>finantsinstr</w:t>
      </w:r>
      <w:r w:rsidR="00A36F5D">
        <w:t>umentide valuuta baashinnavahe.</w:t>
      </w:r>
    </w:p>
    <w:p w:rsidR="009569C7" w:rsidRPr="00EC4FA2" w:rsidRDefault="00A834F1" w:rsidP="009569C7">
      <w:pPr>
        <w:pStyle w:val="Baseparagraphnumbered"/>
      </w:pPr>
      <w:r>
        <w:t>Optsioonide puhul hõlmavad summad, mis on ümber liigitatud kasumisse või kahjumisse ja mida kajastatakse kirje „kasumisse või kahjumisse üle kantud“ all, ümberliigitamist, mis tuleneb optsioonidest, millega maandatakse tehinguga seotud maandatavat instrumenti, ja optsioonidest, millega maandatakse ajaperioodiga seotud maandatavat instrumenti.</w:t>
      </w:r>
    </w:p>
    <w:p w:rsidR="009569C7" w:rsidRPr="00EC4FA2" w:rsidRDefault="00A834F1" w:rsidP="009569C7">
      <w:pPr>
        <w:pStyle w:val="Baseparagraphnumbered"/>
      </w:pPr>
      <w:r>
        <w:t xml:space="preserve">„Õiglases väärtuses läbi muu koondkasumi mõõdetud võlainstrumendid“ hõlmab õiglases väärtuses läbi muu koondkasumi mõõdetud võlainstrumentide kasumit või kahjumit, välja arvatud väärtuse langusest tulenev kasum või kahjum ja vahetuskursikasum või -kahjum, mida kajastatakse vormis 2 vastavalt kirje „selliste finantsvarade väärtuse langus või (–) väärtuse languse tühistamine, mida ei ole mõõdetud õiglases väärtuses muutustega läbi kasumiaruande“ või kirje „vahetuskursi erinevused [kasum või (–) kahjum], neto“ all. „Kasumisse või kahjumisse üle kantud“ hõlmab eelkõige kasumisse või kahjumisse ülekandmist, mis tuleneb kajastamise </w:t>
      </w:r>
      <w:r>
        <w:lastRenderedPageBreak/>
        <w:t>lõpetamisest või õiglases väärtuses muutustega läbi kasumiaruande mõõtmise kategooriasse ümberliigitamisest.</w:t>
      </w:r>
    </w:p>
    <w:p w:rsidR="009569C7" w:rsidRPr="00EC4FA2" w:rsidRDefault="00A834F1" w:rsidP="009569C7">
      <w:pPr>
        <w:pStyle w:val="Baseparagraphnumbered"/>
      </w:pPr>
      <w:r>
        <w:t>Kui finantsvara liigitatakse amortiseeritud soetusväärtuses mõõtmise kategooriast ümber õiglases väärtuses läbi muu koondkasumi mõõtmise kategooriasse [IFRS 9 paragrahv 5.6.4], kajastatakse ümberliigitamisest tulenevat kasumit või kahjumit kirje „õiglases väärtuses läbi muu koondkasumi mõõdetud võlainstrumendid“ all.</w:t>
      </w:r>
    </w:p>
    <w:p w:rsidR="009569C7" w:rsidRPr="00EC4FA2" w:rsidRDefault="00A834F1" w:rsidP="009569C7">
      <w:pPr>
        <w:pStyle w:val="Baseparagraphnumbered"/>
      </w:pPr>
      <w:r>
        <w:t>Kui finantsvara liigitatakse õiglases väärtuses läbi muu koondkasumi mõõtmise kategooriast ümber õiglases väärtuses muutustega läbi kasumiaruande mõõtmise kategooriasse [IFRS 9 paragrahv 5.6.7] või amortiseeritud soetusväärtuses mõõtmise kategooriasse [IFRS 9 paragrahv 5.6.5], kajastatakse läbi muu koondkasumi mõõtmise kategooriast ümber liigitatud akumuleeritud kasumit või kahjumit vastavalt kirje „kasumisse või kahjumisse üle kantud“ või kirje „muud ümberliigitamised“ all, korrigeerides viimasel juhul finantsvara bilansilist väärtust.</w:t>
      </w:r>
    </w:p>
    <w:p w:rsidR="009569C7" w:rsidRPr="00EC4FA2" w:rsidRDefault="00A834F1" w:rsidP="009569C7">
      <w:pPr>
        <w:pStyle w:val="Baseparagraphnumbered"/>
      </w:pPr>
      <w:r>
        <w:t>Muu koondkasumi kõigi muude komponentide puhul hõlmab „muud ümberliigitamised“ muid ülekandmisi kui ümberliigitamised muust koondkasumist kasumisse või kahjumisse või maandatavate instrumentide algsesse bilansilisse väärtusse r</w:t>
      </w:r>
      <w:r w:rsidR="00A36F5D">
        <w:t>ahavoogude riskimaanduse puhul.</w:t>
      </w:r>
    </w:p>
    <w:p w:rsidR="009569C7" w:rsidRPr="00EC4FA2" w:rsidRDefault="00A834F1" w:rsidP="009569C7">
      <w:pPr>
        <w:pStyle w:val="Baseparagraphnumbered"/>
      </w:pPr>
      <w:r>
        <w:t>IFRSi kohaselt esitatakse „tulumaks, mis on seotud kirjetega, mida ei liigitata ümber“ ja „tulumaks, mis on seotud kirjetega, mida võib ümber liigitada kasumisse või (–) kahjumisse“ [IAS 1 paragrahvi 91 punkt b, IG6] eraldi kirjetena.</w:t>
      </w:r>
    </w:p>
    <w:p w:rsidR="009569C7" w:rsidRPr="00EC4FA2" w:rsidRDefault="00A834F1" w:rsidP="009569C7">
      <w:pPr>
        <w:pStyle w:val="subtitlenumbered"/>
        <w:jc w:val="both"/>
      </w:pPr>
      <w:bookmarkStart w:id="115" w:name="_Toc361844217"/>
      <w:bookmarkStart w:id="116" w:name="_Toc362359288"/>
      <w:bookmarkStart w:id="117" w:name="_Toc467855212"/>
      <w:bookmarkStart w:id="118" w:name="_Toc523999814"/>
      <w:bookmarkStart w:id="119" w:name="_Toc524082952"/>
      <w:r>
        <w:t>Finantsvara jaotus instrumentide ja vastaspoole sektorite kaupa (4)</w:t>
      </w:r>
      <w:bookmarkEnd w:id="115"/>
      <w:bookmarkEnd w:id="116"/>
      <w:bookmarkEnd w:id="117"/>
      <w:bookmarkEnd w:id="118"/>
      <w:bookmarkEnd w:id="119"/>
    </w:p>
    <w:p w:rsidR="009569C7" w:rsidRPr="00EC4FA2" w:rsidRDefault="00A834F1" w:rsidP="009569C7">
      <w:pPr>
        <w:pStyle w:val="Baseparagraphnumbered"/>
      </w:pPr>
      <w:r>
        <w:t>Finantsvarad esitatakse arvestusportfellide ja instrumentide kaupa, ja kui nõutud, vastaspoolte kaupa. Õiglases väärtuses läbi muu koondkasumi ja amortiseeritud soetusväärtuses mõõdetud võlainstrumentide puhul esitatakse varade ja väärtuse akumuleeritud languse bilansiline brutoväärtus väärtuse languse etappide kaupa.</w:t>
      </w:r>
    </w:p>
    <w:p w:rsidR="009569C7" w:rsidRPr="00EC4FA2" w:rsidRDefault="00A834F1" w:rsidP="009569C7">
      <w:pPr>
        <w:pStyle w:val="Baseparagraphnumbered"/>
      </w:pPr>
      <w:r>
        <w:t>BADil põhineva siseriikliku GAAPi kohaselt hõlmavad kauplemisel kasutatava finantsvarana kajastavad tuletisinstrumendid õiglases väärtuses mõõdetud instrumente ning soetusmaksumusepõhisel meetodil või LOCOMi kohaselt mõõdetud instrumente.</w:t>
      </w:r>
    </w:p>
    <w:p w:rsidR="009569C7" w:rsidRPr="00EC4FA2" w:rsidRDefault="00A834F1" w:rsidP="009569C7">
      <w:pPr>
        <w:pStyle w:val="Baseparagraphnumbered"/>
      </w:pPr>
      <w:r>
        <w:t xml:space="preserve">III, IV ja käesoleva lisa kohaldamisel tähendab „krediidiriskist tulenevad õiglase väärtuse akumuleeritud negatiivsed muutused“ viivisnõuete puhul krediidiriskist tulenevaid õiglase väärtuse akumuleeritud muutusi, kui akumuleeritud netomuutus on negatiivne. Krediidiriskist tuleneva õiglase väärtuse akumuleeritud netomuutuse arvutamiseks liidetakse kõik krediidiriskist tulenevad õiglase väärtuse negatiivsed ja positiivsed muutused, mis on toimunud alates võlainstrumendi kajastamisest. Seda summat kajastatakse üksnes juhul, kui krediidiriskist tulenevate õiglase väärtuse negatiivsete ja positiivsete muutuse summa on negatiivne. Võlainstrumentide </w:t>
      </w:r>
      <w:r>
        <w:lastRenderedPageBreak/>
        <w:t>väärtust hinnatakse konkreetse finantsinstrumendi tasandil. Krediidiriskist tulenevaid õiglase väärtuse akumuleeritud negatiivseid muutusi kajastatakse iga võlainstrumendi puhul kuni instrumendi kajastamise lõpetamiseni.</w:t>
      </w:r>
    </w:p>
    <w:p w:rsidR="009569C7" w:rsidRPr="00EC4FA2" w:rsidRDefault="00A834F1" w:rsidP="009569C7">
      <w:pPr>
        <w:pStyle w:val="Baseparagraphnumbered"/>
      </w:pPr>
      <w:r>
        <w:t>III ja IV lisa ning käesoleva lisa kohaldamisel tähendab „väärtuse akumuleeritud langus“ järgmist:</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amortiseeritud soetusväärtuses või soetusmaksumusepõhisel meetodil mõõdetud võlainstrumentide puhul on väärtuse akumuleeritud langus väärtuse langusest tuleneva kahjumi kogusumma ilma kajastatud kasutamiseta ja väärtuse languse tühistamiseta, kui see on asjakohane, iga väärtuse languse etapi puhul. Väärtuse akumuleeritud langus vähendab võlainstrumendi bilansilist väärtust allahindluse kasutamise kaudu IFRSi või BADil põhineva siseriikliku GAAPi kohaselt või otsese vähendamise kaudu, mis ei kujuta endast kajastamise lõpetamist BADil põhine</w:t>
      </w:r>
      <w:r w:rsidR="00A36F5D">
        <w:rPr>
          <w:rFonts w:ascii="Times New Roman" w:hAnsi="Times New Roman"/>
          <w:sz w:val="24"/>
        </w:rPr>
        <w:t>va siseriikliku GAAPi kohaselt;</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IFRSi kohaselt õiglases väärtuses läbi muu koondkasumi mõõdetud võlainstrumentide puhul on väärtuse akumuleeritud langus asjaomase instrumendi õiglase väärtuse vähenemisena alates esmasest kajastamisest kajastatud eeldatavate krediidikahjude ja nende variatsio</w:t>
      </w:r>
      <w:r w:rsidR="00A36F5D">
        <w:rPr>
          <w:rFonts w:ascii="Times New Roman" w:hAnsi="Times New Roman"/>
          <w:sz w:val="24"/>
        </w:rPr>
        <w:t>onide summa;</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BADil põhineva siseriikliku GAAPi kohaselt omakapitalis kajastatavate õiglases väärtuses mõõdetavate võlainstrumentide puhul, mille suhtes kohaldatakse väärtuse langust, on väärtuse akumuleeritud langus väärtuse langusest tuleneva kahjumi kogusumma ilma kajastatud kasutamiseta ja väärtuse languse tühistamiseta. Bilansilist väärtust vähendatakse kas allahindluse konto kasutamise kaudu või otsese vähendamise kaudu, mis ei kujuta endast kajastamise lõpetamist.</w:t>
      </w:r>
    </w:p>
    <w:p w:rsidR="009569C7" w:rsidRPr="00EC4FA2" w:rsidRDefault="00A834F1" w:rsidP="009569C7">
      <w:pPr>
        <w:pStyle w:val="Baseparagraphnumbered"/>
      </w:pPr>
      <w:r>
        <w:t>IFRSi kohaselt hõlmab väärtuse akumuleeritud langus igasse IFRS 9 kohasesse väärtuse languse etappi kuuluvate finantsvarade eeldatava krediidikahju allahindlust. BADil põhineva siseriikliku GAAPi kohaselt hõlmab see krediidiriskiga seotud üldist või spetsiifilist allahindlust, samuti pangandusriskidega seotud üldist allahindlust, kui see vähendab võlainstrumentide bilansilist väärtust. Samuti hõlmab väärtuse akumuleeritud langus finantsvarade väärtuse korrigeerimist krediidiriski tõttu LOCOMi kohaldamisel.</w:t>
      </w:r>
    </w:p>
    <w:p w:rsidR="009569C7" w:rsidRPr="00EC4FA2" w:rsidRDefault="00A834F1" w:rsidP="009569C7">
      <w:pPr>
        <w:pStyle w:val="Baseparagraphnumbered"/>
      </w:pPr>
      <w:r>
        <w:t>„Akumuleeritud osalised mahakandmised“ ja „akumuleeritud täielikud mahakandmised“ hõlmavad vastavalt iga sellise võlainstrumendi põhiosa ja tasumata intressi ja tasude akumuleeritud osalist ja täielikku summat aruandekuupäeva seisuga, mille kajastamise on krediidiasutus või investeerimisühing asjaomaseks kuupäevaks lõpetanud, kasutades ühte punktis 74 kirjeldatud meetoditest, sest krediidiasutusel või investeerimisühingul ei ole mõistlikku ootust lepingulisi rahavoogusid tagasi saada. Kõnealuseid summasid kajastatakse kuni aruandva krediidiasutuse või investeerimisühingu kõigi õiguste täieliku lõppemiseni seoses hagiõiguse aegumisega, kustutamisega või muul põhjusel või kuni summade tagasisaamiseni. Maha kantud summasid, mida ei ole tagasi saadud, kajastatakse seega siis, kui nende suhtes kohaldatakse täitemenetlust.</w:t>
      </w:r>
    </w:p>
    <w:p w:rsidR="009569C7" w:rsidRPr="00EC4FA2" w:rsidRDefault="00A834F1" w:rsidP="009569C7">
      <w:pPr>
        <w:pStyle w:val="Baseparagraphnumbered"/>
      </w:pPr>
      <w:r>
        <w:lastRenderedPageBreak/>
        <w:t>Kui võlainstrument on lõpuks mitmete osaliste mahakandmiste tagajärjel täielikult maha kantud, liigitatakse mahakandmise kogusumma veerust „akumuleeritud osalised mahakandmised“ veergu „akumulee</w:t>
      </w:r>
      <w:r w:rsidR="00EB47EC">
        <w:t>ritud täielikud mahakandmised“.</w:t>
      </w:r>
    </w:p>
    <w:p w:rsidR="009569C7" w:rsidRPr="00EC4FA2" w:rsidRDefault="00A834F1" w:rsidP="009569C7">
      <w:pPr>
        <w:pStyle w:val="Baseparagraphnumbered"/>
      </w:pPr>
      <w:r>
        <w:t>Mahakandmine on kajastamise lõpetamine ja on seotud kogu finantsvara või selle osaga, sealhulgas juhul, kui vara muutmise tulemusel kaotab krediidiasutus või investeerimisühing õiguse saada kogu varalt või selle osalt rahavoogusid, nagu on põhjalikult selgitatud punktis 72. Mahakandmised hõlmavad summasid, mis tulenevad nii otse kasumis või kahjumis kajastatava finantsvara bilansilise väärtuse vähendamisest kui ka finantsvarade bilansilise väärtuse allahindluse kontole seoses krediidikahjudega kantud summade vä</w:t>
      </w:r>
      <w:r w:rsidR="00EB47EC">
        <w:t>hendamisest.</w:t>
      </w:r>
    </w:p>
    <w:p w:rsidR="009569C7" w:rsidRPr="00EC4FA2" w:rsidRDefault="00A834F1" w:rsidP="009569C7">
      <w:pPr>
        <w:pStyle w:val="Baseparagraphnumbered"/>
      </w:pPr>
      <w:r>
        <w:t>Veerg „millest: väikese krediidiriskiga instrumendid“ hõlmab instrumente, millel on aruandekuupäeva seisuga väike krediidirisk ja mille puhul krediidiasutus või investeerimisühing vastavalt IFRS 9 paragrahvile 5.5.10 eeldab, et krediidirisk ei ole alates esmasest kajastamisest oluliselt suurenenud.</w:t>
      </w:r>
    </w:p>
    <w:p w:rsidR="009569C7" w:rsidRPr="00EC4FA2" w:rsidRDefault="00A834F1" w:rsidP="009569C7">
      <w:pPr>
        <w:pStyle w:val="Baseparagraphnumbered"/>
      </w:pPr>
      <w:r>
        <w:t>Nõuded klientide vastu IAS 1 paragrahvi 54 punkti h tähenduses, lepingulised varad ja rendinõuded, mille puhul kohaldatakse kahju allahindluse hindamisel IFRS 9 paragrahvi 5.5.15 kohast lihtsustatud meetodit, kajastatakse vormis 4.4.1 laenude ja ettemaksete all. Kõigi kõnealuste varade puhul kajastatakse vastavat kahju allahindlust varade väärtuse akumuleeritud languse lahtris kirje „varad, mille krediidirisk on alates esmase kajastamise kuupäevast oluliselt kasvanud, kuid mille väärtus ei ole krediidiriski tõttu langenud (2. etapp)“ või kirje „varad, mille väärtus on krediidiriski tõttu langenud (3. etapp)“ all, sõltuvalt sellest, kas nõudeid klientide vastu, lepingulisi varasid ja rendinõudeid käsitatakse lihtsustatud meetodi puhul krediidiriski tõttu langenud väärtusega varadena.</w:t>
      </w:r>
    </w:p>
    <w:p w:rsidR="009569C7" w:rsidRPr="00EC4FA2" w:rsidRDefault="00A834F1" w:rsidP="009569C7">
      <w:pPr>
        <w:pStyle w:val="Baseparagraphnumbered"/>
      </w:pPr>
      <w:r>
        <w:t>Ostetud või tekitatud finantsvara, mille väärtus on esmasel kajastamisel krediidiriski tõttu langenud, kajastatakse eraldi vormides 4.3.1 ja 4.4.1. Nende laenude puhul hõlmab väärtuse akumuleeritud langus üksnes kehtivusajal eeldatava krediidikahju kumulatiivseid muutusi alates esmasest kajastamisest [IFRS 9 paragrahv 5.5.13].</w:t>
      </w:r>
    </w:p>
    <w:p w:rsidR="009569C7" w:rsidRPr="00EC4FA2" w:rsidRDefault="00A834F1" w:rsidP="009569C7">
      <w:pPr>
        <w:pStyle w:val="Baseparagraphnumbered"/>
        <w:ind w:left="785"/>
      </w:pPr>
      <w:r>
        <w:t>Vormis 4.5 kajastavad krediidiasutused ja investeerimisühingud käesoleva osa punktis 100 esitatud „allutatud võla“ määratlusega hõlmatud „laenude ja ettemaksete“ ja „võlaväärtpaberite“ bilansilist väärtust.</w:t>
      </w:r>
      <w:bookmarkStart w:id="120" w:name="_Toc361844218"/>
      <w:bookmarkStart w:id="121" w:name="_Toc362359289"/>
      <w:bookmarkEnd w:id="113"/>
    </w:p>
    <w:p w:rsidR="009569C7" w:rsidRPr="00EC4FA2" w:rsidRDefault="00A834F1" w:rsidP="009569C7">
      <w:pPr>
        <w:pStyle w:val="Baseparagraphnumbered"/>
      </w:pPr>
      <w:r>
        <w:t xml:space="preserve">Vormis 4.8 sõltub esitatav teave sellest, kas omakapitalis kajastatavate õiglases väärtuses mõõdetavate finantsvarade suhtes, mida ei kasutata kauplemisel ja mis ei ole tuletisinstrumendid, saab BADil põhineva siseriikliku GAAPi kohaselt kohaldada väärtuse languse nõudeid. Kui nende finantsvarade suhtes kohaldatakse väärtuse langust, kajastavad krediidiasutused ja investeerimisühingud selles vormis bilansilist väärtust, langemata väärtusega varade ja langenud väärtusega varade bilansilist brutoväärtust, väärtuse akumuleeritud langust ja akumuleeritud </w:t>
      </w:r>
      <w:r>
        <w:lastRenderedPageBreak/>
        <w:t>mahakandmisi. Kui nende finantsvarade suhtes ei kohaldata väärtuse langust, kajastavad krediidiasutused ja investeerimisühingud krediidiriskist tulenevaid õiglase väärtuse akumuleeritud negatiivseid muutusi viivisnõuete puhul.</w:t>
      </w:r>
    </w:p>
    <w:p w:rsidR="009569C7" w:rsidRPr="00EC4FA2" w:rsidRDefault="00A834F1" w:rsidP="009569C7">
      <w:pPr>
        <w:pStyle w:val="Baseparagraphnumbered"/>
      </w:pPr>
      <w:r>
        <w:t>Vormis 4.9 kajastatakse mõõduka LOCOMi kohaselt mõõdetud varad ning nendega seotud väärtuse korrigeerimised eraldi muudest soetusmaksumusepõhisel meetodil mõõdetud varadest ja nendega seotud väärtuse langusest. Soetusmaksumusepõhisel meetodil mõõdetud finantsvarad, sealhulgas mõõduka LOCOMi kohaselt mõõdetud finantsvarad, kajastatakse langemata väärtusega varadena, kui nende väärtust ei ole korrigeeritud või nende väärtus ei ole sellega seoses langenud, ja langenud väärtusega varadena, kui nende väärtust on korrigeeritud ja korrigeerimist käsitatakse väärtuse langusena või sellega seotud väärtuse langusena. Väärtuse langusena käsitatavad väärtuse korrigeerimised on krediidiriskist tingitud väärtuse korrigeerimised, mis kajastavad vastaspoole krediidikvaliteedi halvenemist. Mõõduka LOCOMi kohaselt mõõdetud finantsvarasid, mille väärtust on tururiski tõttu korrigeeritud, et kajastada turutingimuste muutuse mõju vara väärtusele, ei käsitata langenud väärtusega varadena. Krediidiriskist tingitud ja tururiskist tingitud akumuleeritud väärtuse korri</w:t>
      </w:r>
      <w:r w:rsidR="00EB47EC">
        <w:t>geerimised kajastatakse eraldi.</w:t>
      </w:r>
    </w:p>
    <w:p w:rsidR="009569C7" w:rsidRPr="00EC4FA2" w:rsidRDefault="00A834F1" w:rsidP="009569C7">
      <w:pPr>
        <w:pStyle w:val="Baseparagraphnumbered"/>
      </w:pPr>
      <w:r>
        <w:t>Vormis 4.10 kajastatakse range LOCOMi kohaselt mõõdetud varad ning nendega seotud väärtuse korrigeerimised eraldi muude meetodite kohaselt mõõdetud varadest. Range LOCOMi kohaselt mõõdetud finantsvarad ja muu meetodi kohaselt mõõdetud finantsvarad kajastatakse langenud väärtusega varadena, kui nende väärtust on punkti 80 kohaselt krediidiriski tõttu korrigeeritud või nende väärtus on sellega seoses langenud. Range LOCOMi kohaselt mõõdetud finantsvarad, mille väärtust on punkti 80 kohaselt tururiski tõttu korrigeeritud, ei käsitata langenud väärtusega varana. Krediidiriskist tingitud ja tururiskist tingitud akumuleeritud väärtuse korrigeerimised kajastatakse eraldi.</w:t>
      </w:r>
    </w:p>
    <w:p w:rsidR="009569C7" w:rsidRPr="00EC4FA2" w:rsidRDefault="00A834F1" w:rsidP="009569C7">
      <w:pPr>
        <w:pStyle w:val="Baseparagraphnumbered"/>
      </w:pPr>
      <w:r>
        <w:t>BADil põhineva siseriikliku GAAPi kohaldamisel kajastatakse asjaomastes vormides pangandusriskiga seotud üldise allahindluse puhul ainult seda osa, mis mõjutab võlainstrumentide bilansilist väärtust [BADi artikkel 37.2].</w:t>
      </w:r>
    </w:p>
    <w:p w:rsidR="009569C7" w:rsidRPr="00EC4FA2" w:rsidRDefault="00A834F1" w:rsidP="009569C7">
      <w:pPr>
        <w:pStyle w:val="subtitlenumbered"/>
        <w:jc w:val="both"/>
      </w:pPr>
      <w:bookmarkStart w:id="122" w:name="_Toc467855213"/>
      <w:bookmarkStart w:id="123" w:name="_Toc523999815"/>
      <w:bookmarkStart w:id="124" w:name="_Toc524082953"/>
      <w:r>
        <w:t>Selliste laenude ja ettemaksete jaotus toodete kaupa, mida ei kasutata kauplemisel (5)</w:t>
      </w:r>
      <w:bookmarkEnd w:id="122"/>
      <w:bookmarkEnd w:id="123"/>
      <w:bookmarkEnd w:id="124"/>
    </w:p>
    <w:bookmarkEnd w:id="120"/>
    <w:p w:rsidR="009569C7" w:rsidRPr="00EC4FA2" w:rsidRDefault="00A834F1" w:rsidP="009569C7">
      <w:pPr>
        <w:pStyle w:val="Baseparagraphnumbered"/>
      </w:pPr>
      <w:r>
        <w:t xml:space="preserve">Laenud ja ettemaksed, mida ei hoita kauplemise eesmärgil või mis ei ole kauplemiseks hoitavad varad, jaotatakse toote liigi ja </w:t>
      </w:r>
      <w:bookmarkEnd w:id="121"/>
      <w:r>
        <w:t>vastaspoole sektori kaupa bilansilise väärtuse puhul ning üksnes toote liigi kaupa bilansilise brutoväärtuse puhul.</w:t>
      </w:r>
    </w:p>
    <w:p w:rsidR="009569C7" w:rsidRPr="00EC4FA2" w:rsidRDefault="00A834F1" w:rsidP="009569C7">
      <w:pPr>
        <w:pStyle w:val="Baseparagraphnumbered"/>
      </w:pPr>
      <w:r>
        <w:t>Sellel vormil esitatakse ka nõuded, mis on liigitatud kui „raha, nõuded keskpankadele ja muud nõudmiseni hoiused“, sõltumata s</w:t>
      </w:r>
      <w:r w:rsidR="00EB47EC">
        <w:t>ellest, kuidas neid mõõdetakse.</w:t>
      </w:r>
    </w:p>
    <w:p w:rsidR="009569C7" w:rsidRPr="00EC4FA2" w:rsidRDefault="00A834F1" w:rsidP="009569C7">
      <w:pPr>
        <w:pStyle w:val="Baseparagraphnumbered"/>
      </w:pPr>
      <w:r>
        <w:t>Laenud ja ettemaksed ja</w:t>
      </w:r>
      <w:r w:rsidR="00EB47EC">
        <w:t>otatakse järgmisteks toodeteks: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kirje „nõudmisel väljamakstavad (nõudmiseni) ja lühikese etteteatamisega väljamakstavad (arvelduskonto)“ hõlmab nõudmiseni hoiuseid, lühikese etteteatamisega (nõudmise esitamise päevale järgneva tööpäeva lõpuks) väljamakstavaid hoiuseid, arvelduskontosid ja muid sarnaseid hoiuseid, sealhulgas laenud, mis on laenuvõtja jaoks üleööhoiused (laenud, mis tuleb tagasi maksta nende andmise päevale järgneva tööpäeva lõpuks), sõltumata nende õiguslikust vormist. See hõlmab ka arvelduskrediiti, mis on arvelduskonto deebetjääk, ja keskpangas hoitavaid kohustuslikke reserve;</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„krediitkaardivõlg“ hõlmab määratud tagasimaksega deebetkaardi või krediitkaardi kaudu antud laenu [EK</w:t>
      </w:r>
      <w:r w:rsidR="00EB47EC">
        <w:rPr>
          <w:rFonts w:ascii="Times New Roman" w:hAnsi="Times New Roman"/>
          <w:sz w:val="24"/>
        </w:rPr>
        <w:t>P bilansikirjete määrus];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„nõuded klientide vastu“ hõlmab laene, mis on antud muudele võlgnikele vekslite või muude selliste dokumentide alusel, mis annavad õiguse saada kaupade müügi või teenuste osutamise tehingutest tulusid. Need kirjed hõlmavad kõiki faktooring- ja sarnaseid tehinguid, nt käskvekslite aktseptid, klientide vastu olevate nõuete lõppost, forfaiting, arve diskonteerimine, käskvekslid, kommertsväärtpaberid ja muud nõuded, mille puhul aruandev krediidiasutus või investeerimisühing ostab klientide vastu olevaid nõudeid (nii regress</w:t>
      </w:r>
      <w:r w:rsidR="00EB47EC">
        <w:rPr>
          <w:rFonts w:ascii="Times New Roman" w:hAnsi="Times New Roman"/>
          <w:sz w:val="24"/>
        </w:rPr>
        <w:t>iõigusega kui ka ilma selleta);</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„kapitalirent“ hõlmab kapitalirendi nõuete bilansilist väärtust. IFRSi kohaselt on kapitalirendi nõuded määratletud IAS 17-s;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„pöördrepolaenud“ hõlmavad rahastamist, mis on antud repolepingute alusel ostetud väärtpaberite või kulla vastu või võetud laenuks väärtpaberite laenuks andmise lepingute alusel, nagu on määratletud käesoleva osa paragrahvides 183 ja 184;</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„muud tähtajalised laenud“ hõlmab võlgasid, millel on lepingus kindlaksmääratud lõpptähtaeg või tingimused ning </w:t>
      </w:r>
      <w:r w:rsidR="00EB47EC">
        <w:rPr>
          <w:rFonts w:ascii="Times New Roman" w:hAnsi="Times New Roman"/>
          <w:sz w:val="24"/>
        </w:rPr>
        <w:t>mis ei sisaldu muudes kirjetes;</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„ettemaksed, mis ei ole laenud“ hõlmab ettemakseid, mida ei saa EKP bilansikirjete määruse kohaselt liigitada laenudeks. See kirje hõlmab muu hulgas vahekirjetega (nt investeerimist, ülekandmist või arveldust ootavad varad) ja siirdekirjetega (nt tšekid ja muud maksevahendid, mis on saadetud tagasivõtmiseks) seoses saadaolevaid brutosummasid.</w:t>
      </w:r>
    </w:p>
    <w:p w:rsidR="009569C7" w:rsidRPr="00EC4FA2" w:rsidRDefault="00A834F1" w:rsidP="009569C7">
      <w:pPr>
        <w:pStyle w:val="Baseparagraphnumbered"/>
      </w:pPr>
      <w:r>
        <w:t>Laenud ja ettemaksed liigitatakse saadud tagatise alusel järgmiselt:</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„kinnisvaraga tagatud laenud“ hõlmavad laene ja ettemakseid, mis on ametlikult tagatud elamu- või ärikinnisvaraga, sõltumata nende laenu/tagatise suhtest (millele tavapäraselt osutatakse kui laenusumma ja tagatise väärtuse suhtele (loan-to-value)) ja tagatise õiguslikust vormist;</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„muud tagatisega laenud“ hõlmavad laene ja ettemakseid, mis on ametlikult tagatud, sõltumata nende laenu/tagatise suhtest (millele tavapäraselt osutatakse kui laenusumma ja tagatise väärtuse suhtele (loan-to-value)) ja tagatise õiguslikust vormist, välja arvatud „kinnisvaraga tagatud laenud“. Need tagatised hõlmavad panditud väärtpabereid, sularaha ja muid tagatisi, sõltumata tagatise õiguslikust vormist.</w:t>
      </w:r>
    </w:p>
    <w:p w:rsidR="009569C7" w:rsidRPr="00EC4FA2" w:rsidRDefault="00A834F1" w:rsidP="009569C7">
      <w:pPr>
        <w:pStyle w:val="Baseparagraphnumbered"/>
      </w:pPr>
      <w:r>
        <w:lastRenderedPageBreak/>
        <w:t>Laenud ja ettemaksed liigitatakse tagatise alusel, sõltumata laenu otstarbest. Mitut liiki tagatisega tagatud laenude ja ettemaksete bilansiline väärtus liigitatakse ja kajastatakse kinnisvaraga tagatuna, kui need laenud ja ettemaksed on tagatud kinnisvaraga, olenemata sellest, kas nad on ta</w:t>
      </w:r>
      <w:r w:rsidR="00EB47EC">
        <w:t>gatud ka muud liiki tagatisega.</w:t>
      </w:r>
    </w:p>
    <w:p w:rsidR="009569C7" w:rsidRPr="00EC4FA2" w:rsidRDefault="00A834F1" w:rsidP="009569C7">
      <w:pPr>
        <w:pStyle w:val="Baseparagraphnumbered"/>
      </w:pPr>
      <w:r>
        <w:t xml:space="preserve"> Laenud ja ettemaksed liigitatakse otstarbe alusel järgmiselt: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„tarbimislaen“ hõlmab laenusid, mis on peamiselt antud isikliku tarbimise otstarbel kaupade ja teenuste ostuks [EKP bilansikirjete määrus];</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„eluasemelaen“ hõlmab kodumajapidamistele antud laenu, mille eesmärk on investeerida isiklikus kasutuses või renditud eluasemetesse, sh ehituseks ja renoveerimiseks [EKP bilansikirjete määrus].</w:t>
      </w:r>
    </w:p>
    <w:p w:rsidR="009569C7" w:rsidRPr="00EC4FA2" w:rsidRDefault="00A834F1" w:rsidP="009569C7">
      <w:pPr>
        <w:pStyle w:val="Baseparagraphnumbered"/>
      </w:pPr>
      <w:r>
        <w:t>Laenud ja ettemaksed liigitatakse selle alusel, kuidas need saab tagasi maksta. „Projekti rahastamise laenud“ hõlmavad laene, mis vastavad kapitalinõuete määruse artikli 147 lõikes 8 määratletud eriotstarbeliste nõuete omadustele.</w:t>
      </w:r>
    </w:p>
    <w:p w:rsidR="009569C7" w:rsidRPr="00EC4FA2" w:rsidRDefault="00A834F1" w:rsidP="009569C7">
      <w:pPr>
        <w:pStyle w:val="subtitlenumbered"/>
        <w:keepNext/>
        <w:numPr>
          <w:ilvl w:val="0"/>
          <w:numId w:val="17"/>
        </w:numPr>
        <w:ind w:left="357" w:hanging="357"/>
        <w:jc w:val="both"/>
        <w:rPr>
          <w:kern w:val="32"/>
        </w:rPr>
      </w:pPr>
      <w:bookmarkStart w:id="125" w:name="_Toc362359290"/>
      <w:bookmarkStart w:id="126" w:name="_Toc467855214"/>
      <w:bookmarkStart w:id="127" w:name="_Toc523999816"/>
      <w:bookmarkStart w:id="128" w:name="_Toc361844219"/>
      <w:bookmarkStart w:id="129" w:name="_Toc524082954"/>
      <w:r>
        <w:t xml:space="preserve">Finantssektorivälistele äriühingutele antud selliste laenude ja ettemaksete jaotus NACE koodide alusel, mida ei kasutata kauplemisel </w:t>
      </w:r>
      <w:bookmarkEnd w:id="125"/>
      <w:r>
        <w:t>(6)</w:t>
      </w:r>
      <w:bookmarkEnd w:id="126"/>
      <w:bookmarkEnd w:id="127"/>
      <w:bookmarkEnd w:id="129"/>
    </w:p>
    <w:bookmarkEnd w:id="128"/>
    <w:p w:rsidR="009569C7" w:rsidRPr="00EC4FA2" w:rsidRDefault="00A834F1" w:rsidP="009569C7">
      <w:pPr>
        <w:pStyle w:val="Baseparagraphnumbered"/>
      </w:pPr>
      <w:r>
        <w:t>Finantssektorivälistele äriühingutele antud laenude ja ettemaksete (välja arvatud laenud ja ettemaksed, mida ei hoita kauplemise eesmärgil või mis ei ole kauplemiseks hoitavate varade portfellis) bilansiline brutoväärtus liigitatakse majandustegevusala sektorite alusel, kasutades NACE koode, vastasp</w:t>
      </w:r>
      <w:r w:rsidR="00EB47EC">
        <w:t>oole peamise tegevusala põhjal.</w:t>
      </w:r>
    </w:p>
    <w:p w:rsidR="009569C7" w:rsidRPr="00EC4FA2" w:rsidRDefault="00A834F1" w:rsidP="009569C7">
      <w:pPr>
        <w:pStyle w:val="Baseparagraphnumbered"/>
      </w:pPr>
      <w:r>
        <w:t>Nende nõuete liigitamine, mis tekivad ühiselt rohkem kui ühe vastaspoole vastu, toimub kooskõlas käe</w:t>
      </w:r>
      <w:r w:rsidR="00EB47EC">
        <w:t>soleva lisa 1. osa punktiga 43.</w:t>
      </w:r>
    </w:p>
    <w:p w:rsidR="009569C7" w:rsidRPr="00EC4FA2" w:rsidRDefault="00A834F1" w:rsidP="009569C7">
      <w:pPr>
        <w:pStyle w:val="Baseparagraphnumbered"/>
      </w:pPr>
      <w:r>
        <w:t>NACE koodide esitamine toimub esimese eristustaseme (st jagude tase) alusel. Krediidiasutused ja investeerimisühingud kajastavad finants- või kindlustustegevusega tegelevatele finantssektorivälistele äriühingutele antud laene ja ettemakseid kirje „K – Finants- ja kindlustustegevus“ all.</w:t>
      </w:r>
    </w:p>
    <w:p w:rsidR="009569C7" w:rsidRPr="00EC4FA2" w:rsidRDefault="00A834F1" w:rsidP="009569C7">
      <w:pPr>
        <w:pStyle w:val="Baseparagraphnumbered"/>
      </w:pPr>
      <w:r>
        <w:t>IFRSi kohaselt hõlmavad finantsvarad, mille suhtes kohaldatakse väärtuse langust, i) amortiseeritud soetusväärtuses kajastatud finantsvarasid ja ii) õiglases väärtuses läbi muu koondkasumi mõõdetud finantsvarasid. BADil põhineva siseriikliku GAAPi kohaselt hõlmavad finantsvarad, mille suhtes kohaldatakse väärtuse langust, soetusmaksumusepõhisel meetodil (sealhulgas LOCOMi kohaselt) mõõdetud finantsvarasid. Sõltuvalt siseriikliku GAAPi sätetest võivad need hõlmata i) omakapitalis kajastatavaid õiglases väärtuses mõõdetavaid finantsvarasid ja ii) muu meetodi kohaselt mõõdetud finantsvarasid.</w:t>
      </w:r>
    </w:p>
    <w:p w:rsidR="009569C7" w:rsidRPr="00EC4FA2" w:rsidRDefault="00A834F1" w:rsidP="009569C7">
      <w:pPr>
        <w:pStyle w:val="subtitlenumbered"/>
        <w:keepNext/>
        <w:numPr>
          <w:ilvl w:val="0"/>
          <w:numId w:val="17"/>
        </w:numPr>
        <w:ind w:left="357" w:hanging="357"/>
        <w:jc w:val="both"/>
        <w:rPr>
          <w:kern w:val="32"/>
        </w:rPr>
      </w:pPr>
      <w:bookmarkStart w:id="130" w:name="_Toc437268742"/>
      <w:bookmarkStart w:id="131" w:name="_Toc437268743"/>
      <w:bookmarkStart w:id="132" w:name="_Toc362359291"/>
      <w:bookmarkStart w:id="133" w:name="_Toc467855215"/>
      <w:bookmarkStart w:id="134" w:name="_Toc523999817"/>
      <w:bookmarkStart w:id="135" w:name="_Toc361844220"/>
      <w:bookmarkStart w:id="136" w:name="_Toc524082955"/>
      <w:bookmarkEnd w:id="130"/>
      <w:bookmarkEnd w:id="131"/>
      <w:r>
        <w:t>Tähtajaks tasumata finantsvarad, mille suhtes kohaldatakse väärtuse langust (7)</w:t>
      </w:r>
      <w:bookmarkEnd w:id="132"/>
      <w:bookmarkEnd w:id="133"/>
      <w:bookmarkEnd w:id="134"/>
      <w:bookmarkEnd w:id="136"/>
    </w:p>
    <w:bookmarkEnd w:id="135"/>
    <w:p w:rsidR="009569C7" w:rsidRPr="00EC4FA2" w:rsidRDefault="00A834F1" w:rsidP="009569C7">
      <w:pPr>
        <w:pStyle w:val="Baseparagraphnumbered"/>
      </w:pPr>
      <w:r>
        <w:t xml:space="preserve">Selliste võlainstrumentide bilansiline väärtus, mis kuuluvad arvestusportfellidesse, mille suhtes kohaldatakse väärtuse langust, </w:t>
      </w:r>
      <w:r>
        <w:lastRenderedPageBreak/>
        <w:t>kajastatakse vormis 7.1 üksnes juhul, kui need on tähtajaks tasumata. Tähtajaks tasumata instrumendid jaotatakse vastavatesse tähtajaks tasumata klassidesse nende konkreetse olukorra alusel.</w:t>
      </w:r>
    </w:p>
    <w:p w:rsidR="009569C7" w:rsidRPr="00EC4FA2" w:rsidRDefault="00A834F1" w:rsidP="009569C7">
      <w:pPr>
        <w:pStyle w:val="Baseparagraphnumbered"/>
      </w:pPr>
      <w:r>
        <w:t xml:space="preserve"> Arvestusportfellid, mille suhtes kohaldatakse väärtuse langust, on määratletud käesoleva osa punktis 93.</w:t>
      </w:r>
    </w:p>
    <w:p w:rsidR="009569C7" w:rsidRPr="00EC4FA2" w:rsidRDefault="00A834F1" w:rsidP="009569C7">
      <w:pPr>
        <w:pStyle w:val="Baseparagraphnumbered"/>
      </w:pPr>
      <w:r>
        <w:t>Finantsvarasid loetakse tähtajaks tasumata, kui mis tahes põhisumma tagasimakset, intressi või teenustasu ei ole tähtajaks tasutud. Tähtajaks tasumata nõudeid kajastatakse nende bilansilises koguväärtuses. Selliste finantsvarade bilansiline väärtus esitatakse väärtuse languse etappide või väärtuse languse seisundi kaupa vastavalt kohaldatavatele raamatupidamisstandarditele ja selle lõikes, mitu päeva on vanim tähtajaks tasumata summa ületanud tä</w:t>
      </w:r>
      <w:r w:rsidR="00EB47EC">
        <w:t>htaega aruandekuupäeva seisuga.</w:t>
      </w:r>
    </w:p>
    <w:p w:rsidR="009569C7" w:rsidRPr="00EC4FA2" w:rsidRDefault="00A834F1" w:rsidP="009569C7">
      <w:pPr>
        <w:pStyle w:val="subtitlenumbered"/>
        <w:numPr>
          <w:ilvl w:val="0"/>
          <w:numId w:val="17"/>
        </w:numPr>
        <w:jc w:val="both"/>
      </w:pPr>
      <w:bookmarkStart w:id="137" w:name="_Toc437268745"/>
      <w:bookmarkStart w:id="138" w:name="_Toc437268746"/>
      <w:bookmarkStart w:id="139" w:name="_Toc362359292"/>
      <w:bookmarkStart w:id="140" w:name="_Toc467855216"/>
      <w:bookmarkStart w:id="141" w:name="_Toc523999818"/>
      <w:bookmarkStart w:id="142" w:name="_Toc361844221"/>
      <w:bookmarkStart w:id="143" w:name="_Toc524082956"/>
      <w:bookmarkEnd w:id="137"/>
      <w:bookmarkEnd w:id="138"/>
      <w:r>
        <w:t>Finantskohustuste jaotus (8)</w:t>
      </w:r>
      <w:bookmarkEnd w:id="139"/>
      <w:bookmarkEnd w:id="140"/>
      <w:bookmarkEnd w:id="141"/>
      <w:bookmarkEnd w:id="143"/>
    </w:p>
    <w:bookmarkEnd w:id="142"/>
    <w:p w:rsidR="009569C7" w:rsidRPr="00EC4FA2" w:rsidRDefault="00A834F1" w:rsidP="009569C7">
      <w:pPr>
        <w:pStyle w:val="Baseparagraphnumbered"/>
      </w:pPr>
      <w:r>
        <w:t>„Hoiused“ ja toodete jaotus on määratletud nii nagu EKP bilansikirjete määruses ning seepärast liigitatakse reguleeritavad säästuhoiused vastavalt EKP bilansikirjete määrusele ning jaotatakse vastaspoole alusel. Eelkõige liigitatakse mitteülekantavad arveldushoiused, mis on seaduslikult küll nõudmisel väljavõetavad, kuid mille väljavõtmise korral kohaldatakse olulisi karistusi ja piiranguid ning millel on üleööhoiustega väga sarnased tunnused, etteteatamistähtajaga lõpetatavateks hoiusteks.</w:t>
      </w:r>
    </w:p>
    <w:p w:rsidR="009569C7" w:rsidRPr="00EC4FA2" w:rsidRDefault="00A834F1" w:rsidP="009569C7">
      <w:pPr>
        <w:pStyle w:val="Baseparagraphnumbered"/>
      </w:pPr>
      <w:r>
        <w:t>„Emiteeritud võlaväärtpaberid“ liigenda</w:t>
      </w:r>
      <w:r w:rsidR="00EB47EC">
        <w:t>takse järgmist liiki toodeteks: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„hoiusesertifikaadid“ on väärtpaberid, mis võimaldavad nende omanikel arvelt välja võtta rahalisi vahendeid;</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„varaga tagatud väärtpaberid“ vastavalt kapitalinõuete määruse artikli 4 lõike 1 punktile 61;</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„pandikirjad“ vastavalt kapitalinõuete määruse artikli 129 lõikele 1;</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„hübriidlepingud“ hõlmavad lepinguid tuletisinstrumendi tunnustega väärtpaberitega;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„muud emiteeritud võlaväärtpaberid“ hõlmavad võlaväärtpabereid, mis ei ole kajastatud eelnevatel kirjetel, ning eristatakse vahetatavaid liitfinantsinstrumente ja mittevahetatavaid instrumente.</w:t>
      </w:r>
    </w:p>
    <w:p w:rsidR="009569C7" w:rsidRPr="00EC4FA2" w:rsidRDefault="00A834F1" w:rsidP="009569C7">
      <w:pPr>
        <w:pStyle w:val="Baseparagraphnumbered"/>
      </w:pPr>
      <w:r>
        <w:t>Emiteeritud „allutatud finantskohustusi“ käsitletakse samal viisil nagu muid tekkinud finantskohustusi. Väärtpaberite kujul emiteeritud allutatud kohustused liigitatakse „emiteeritud võlaväärtpaberiteks“ ning hoiuste kujul allutatud kohustused liigitatakse „hoiusteks“.</w:t>
      </w:r>
    </w:p>
    <w:p w:rsidR="009569C7" w:rsidRPr="00EC4FA2" w:rsidRDefault="00A834F1" w:rsidP="009569C7">
      <w:pPr>
        <w:pStyle w:val="Baseparagraphnumbered"/>
      </w:pPr>
      <w:r>
        <w:t>Vorm 8.2 sisaldab arvestusportfellide alusel liigitatud bilansilist väärtust „hoiuste“ ja „emiteeritud võlaväärtpaberite“ puhul, mis vastavad allutatud võla määratlusele. „Allutatud võla“ instrumendid annavad emiteeriva krediidiasutuse või investeerimisühingu vastu kõrvalnõude, mida võib kasutada alles siis, kui kõik kõrgema järgu nõuded on rahuldatud [EKP bilansikirjete määrus].</w:t>
      </w:r>
    </w:p>
    <w:p w:rsidR="009569C7" w:rsidRPr="00EC4FA2" w:rsidRDefault="00A834F1" w:rsidP="009569C7">
      <w:pPr>
        <w:pStyle w:val="Baseparagraphnumbered"/>
      </w:pPr>
      <w:r>
        <w:lastRenderedPageBreak/>
        <w:t xml:space="preserve">Kirje „Enda krediidiriski muutusest tulenevad õiglase väärtuse akumuleeritud muutused“ hõlmab kõiki kõnealuseid õiglase väärtuse akumuleeritud muutusi, olenemata sellest, kas neid kajastatakse kasumiaruandes või läbi muu koondkasumi. </w:t>
      </w:r>
    </w:p>
    <w:p w:rsidR="009569C7" w:rsidRPr="00EC4FA2" w:rsidRDefault="00A834F1" w:rsidP="009569C7">
      <w:pPr>
        <w:pStyle w:val="subtitlenumbered"/>
        <w:numPr>
          <w:ilvl w:val="0"/>
          <w:numId w:val="17"/>
        </w:numPr>
        <w:jc w:val="both"/>
      </w:pPr>
      <w:bookmarkStart w:id="144" w:name="_Toc361844222"/>
      <w:bookmarkStart w:id="145" w:name="_Toc362359293"/>
      <w:bookmarkStart w:id="146" w:name="_Toc467855217"/>
      <w:bookmarkStart w:id="147" w:name="_Toc523999819"/>
      <w:bookmarkStart w:id="148" w:name="_Toc524082957"/>
      <w:r>
        <w:t>Siduvad laenuandmiskohustused, finantsgarantiid ja muud siduvad kohustused (9)</w:t>
      </w:r>
      <w:bookmarkEnd w:id="144"/>
      <w:bookmarkEnd w:id="145"/>
      <w:bookmarkEnd w:id="146"/>
      <w:bookmarkEnd w:id="147"/>
      <w:bookmarkEnd w:id="148"/>
    </w:p>
    <w:p w:rsidR="009569C7" w:rsidRPr="00EC4FA2" w:rsidRDefault="00A834F1" w:rsidP="009569C7">
      <w:pPr>
        <w:pStyle w:val="Baseparagraphnumbered"/>
      </w:pPr>
      <w:r>
        <w:t>Bilansivälised riskipositsioonid hõlmavad kapitalinõuete määruse I lisas loetletud bilansiväliseid kirjeid. Vormides 9.1, 9.1.1 ja 9.2 jaotatakse kõik kapitalinõuete määruse I lisas loetletud bilansivälised riskipositsioonid siduvateks laenuandmiskohustusteks, finantsgarantiideks ja muudeks siduvateks kohustusteks.</w:t>
      </w:r>
    </w:p>
    <w:p w:rsidR="009569C7" w:rsidRPr="00EC4FA2" w:rsidRDefault="00A834F1" w:rsidP="009569C7">
      <w:pPr>
        <w:pStyle w:val="Baseparagraphnumbered"/>
      </w:pPr>
      <w:bookmarkStart w:id="149" w:name="_Toc246513992"/>
      <w:bookmarkStart w:id="150" w:name="_Toc246730664"/>
      <w:bookmarkStart w:id="151" w:name="_Toc246730755"/>
      <w:bookmarkStart w:id="152" w:name="_Toc246513993"/>
      <w:bookmarkStart w:id="153" w:name="_Toc246730665"/>
      <w:bookmarkStart w:id="154" w:name="_Toc246730756"/>
      <w:bookmarkEnd w:id="149"/>
      <w:bookmarkEnd w:id="150"/>
      <w:bookmarkEnd w:id="151"/>
      <w:bookmarkEnd w:id="152"/>
      <w:bookmarkEnd w:id="153"/>
      <w:bookmarkEnd w:id="154"/>
      <w:r>
        <w:t xml:space="preserve">Siduvaid laenuandmiskohustusi, finantsgarantiisid (antud ja saadud) ning muid siduvaid kohustusi (nii aruande esitaja võetud kui ka tema ees võetud) käsitlev teave sisaldab nii tühistatavaid kui ka tühistamatuid siduvaid kohustusi. </w:t>
      </w:r>
    </w:p>
    <w:p w:rsidR="009569C7" w:rsidRPr="00EC4FA2" w:rsidRDefault="00A834F1" w:rsidP="009569C7">
      <w:pPr>
        <w:pStyle w:val="Baseparagraphnumbered"/>
      </w:pPr>
      <w:r>
        <w:t xml:space="preserve">Kapitalinõuete määruse I lisas loetletud siduvad laenuandmiskohustused, finantsgarantiid ja muud võetud siduvad kohustused võivad olla IFRS 9 kohaldamisalasse kuuluvad instrumendid, kui neid mõõdetakse õiglases väärtuses muutustega läbi kasumiaruande või kui nende suhtes kohaldatakse IFRS 9 kohaseid väärtuse languse nõudeid, samuti IAS 37 või IFRS 4 kohaldamisalasse kuuluvad instrumendid. </w:t>
      </w:r>
    </w:p>
    <w:p w:rsidR="009569C7" w:rsidRPr="00EC4FA2" w:rsidRDefault="00A834F1" w:rsidP="009569C7">
      <w:pPr>
        <w:pStyle w:val="Baseparagraphnumbered"/>
      </w:pPr>
      <w:r>
        <w:t>IFRSi kohaselt kajastatakse siduvad laenuandmiskohustused, finantsgarantiid ja muud võetud siduvad kohustused vormis 9.</w:t>
      </w:r>
      <w:r w:rsidR="00EB47EC">
        <w:t>1.</w:t>
      </w:r>
      <w:r>
        <w:t>1, kui täidetud on mõni järgmistest tingimustest:</w:t>
      </w:r>
    </w:p>
    <w:p w:rsidR="009569C7" w:rsidRPr="00EC4FA2" w:rsidRDefault="00A834F1" w:rsidP="009569C7">
      <w:pPr>
        <w:pStyle w:val="Baseparagraphnumbered"/>
        <w:numPr>
          <w:ilvl w:val="0"/>
          <w:numId w:val="56"/>
        </w:numPr>
        <w:ind w:left="1134" w:hanging="425"/>
      </w:pPr>
      <w:r>
        <w:t xml:space="preserve"> nende suhtes kohaldatakse IFRS 9 kohaseid väärtuse languse nõudeid;</w:t>
      </w:r>
    </w:p>
    <w:p w:rsidR="009569C7" w:rsidRPr="00EC4FA2" w:rsidRDefault="00A834F1" w:rsidP="009569C7">
      <w:pPr>
        <w:pStyle w:val="Baseparagraphnumbered"/>
        <w:numPr>
          <w:ilvl w:val="0"/>
          <w:numId w:val="56"/>
        </w:numPr>
        <w:ind w:left="1134" w:hanging="425"/>
      </w:pPr>
      <w:r>
        <w:t>neid kajastatakse õiglases väärtuses muutustega läbi kasumiaruande IFRS 9 kohaselt;</w:t>
      </w:r>
    </w:p>
    <w:p w:rsidR="009569C7" w:rsidRPr="00EC4FA2" w:rsidRDefault="00A834F1" w:rsidP="009569C7">
      <w:pPr>
        <w:pStyle w:val="Baseparagraphnumbered"/>
        <w:numPr>
          <w:ilvl w:val="0"/>
          <w:numId w:val="56"/>
        </w:numPr>
        <w:ind w:left="1134" w:hanging="425"/>
      </w:pPr>
      <w:r>
        <w:t xml:space="preserve">nad kuuluvad IAS </w:t>
      </w:r>
      <w:r w:rsidR="00EB47EC">
        <w:t>37 või IFRS 4 kohaldamisalasse.</w:t>
      </w:r>
    </w:p>
    <w:p w:rsidR="009569C7" w:rsidRPr="00EC4FA2" w:rsidRDefault="00A834F1" w:rsidP="009569C7">
      <w:pPr>
        <w:pStyle w:val="Baseparagraphnumbered"/>
      </w:pPr>
      <w:r>
        <w:t>Kohustused, mida kajastatakse käesoleva lisa käesoleva osa punkti 105 alapunktides a ja c osutatud finantsgarantiide ja võetud siduvate kohustuste krediidikahjuna, kajastatakse sõltumata kohaldatud mõõtmiskriteeriumidest eraldistena.</w:t>
      </w:r>
    </w:p>
    <w:p w:rsidR="009569C7" w:rsidRPr="00EC4FA2" w:rsidRDefault="00A834F1" w:rsidP="009569C7">
      <w:pPr>
        <w:pStyle w:val="Baseparagraphnumbered"/>
      </w:pPr>
      <w:r>
        <w:t>IFRSi kohaldavad krediidiasutused ja investeerimisühingud kajastavad väärtuse languse etappide kaupa selliste instrumentide nimiväärtust ja eraldisi, mille suhtes kohaldatakse IFRS 9 kohaseid väärtuse languse nõudeid, sealhulgas instrumendid, mida mõõdetakse soetusmaksumuses, millest on maha arvatud</w:t>
      </w:r>
      <w:r w:rsidR="00EB47EC">
        <w:t xml:space="preserve"> kajastatud akumuleeritud tulu.</w:t>
      </w:r>
    </w:p>
    <w:p w:rsidR="009569C7" w:rsidRPr="00EC4FA2" w:rsidRDefault="00A834F1" w:rsidP="009569C7">
      <w:pPr>
        <w:pStyle w:val="Baseparagraphnumbered"/>
      </w:pPr>
      <w:r>
        <w:t xml:space="preserve">Vormis 9.1.1 kajastatakse üksnes siduva kohustuse nimiväärtus, kui võlainstrument hõlmab nii bilansilist instrumenti kui ka bilansivälist komponenti. Kui aruandev üksus ei suuda eraldi kindlaks teha bilansiliste ja </w:t>
      </w:r>
      <w:r>
        <w:lastRenderedPageBreak/>
        <w:t>bilansiväliste komponentide eeldatavat krediidikahju, kajastatakse siduva kohustuse eeldatav krediidikahju koos bilansilise komponendi väärtuse akumuleeritud langusega. Kui eeldatav krediidikahju ületab võlainstrumendi bilansilist brutoväärtust, kajastatakse ülejäänud eeldatav krediidikahju eraldisena vormi 9.1.1 asjakohases väärtuse languse etapis [IFRS 9 paragrahv 5.5.20 ja IFRS 7 paragrahv B8E].</w:t>
      </w:r>
    </w:p>
    <w:p w:rsidR="009569C7" w:rsidRPr="00EC4FA2" w:rsidRDefault="00A834F1" w:rsidP="009569C7">
      <w:pPr>
        <w:pStyle w:val="Baseparagraphnumbered"/>
      </w:pPr>
      <w:r>
        <w:t>Kui finantsgarantiid või siduvat kohustust anda laenu turu intressimäärast madalama intressimääraga mõõdetakse vastavalt IFRS 9 paragrahvi 4.2.1 punktile d ja selle kahju allahindlus määratakse kindlaks vastavalt IFRS 9 paragrahvile 5.5, kajastatakse seda asjakohases väärtuse languse etapis.</w:t>
      </w:r>
    </w:p>
    <w:p w:rsidR="009569C7" w:rsidRPr="00EC4FA2" w:rsidRDefault="00A834F1" w:rsidP="009569C7">
      <w:pPr>
        <w:pStyle w:val="Baseparagraphnumbered"/>
      </w:pPr>
      <w:r>
        <w:t>Kui siduvaid laenuandmiskohustusi, finantsgarantiisid ja muid võetud siduvaid kohustusi mõõdetakse õiglases väärtuses IFRS 9 kohaselt, kajastavad krediidiasutused ja investeerimisühingud vormi 9.1.1 vastavates veergudes kõnealuste finantsgarantiide ja siduvate kohustuste nimiväärtuse ja nende krediidiriskist tulenevad õiglase väärtuse akumuleeritud negatiivsed muutused. Kirje „krediidiriskist tulenevad õiglase väärtuse akumuleeritud negatiivsed muutused“ kajastamisel kohaldatakse käesoleva osa punkti 69 kriteeriume.</w:t>
      </w:r>
    </w:p>
    <w:p w:rsidR="009569C7" w:rsidRPr="00EC4FA2" w:rsidRDefault="00A834F1" w:rsidP="009569C7">
      <w:pPr>
        <w:pStyle w:val="Baseparagraphnumbered"/>
      </w:pPr>
      <w:r>
        <w:t>IAS 37 või IFRS 4 kohaldamisalasse kuuluvate muude siduvate kohustuste või garantiide nimiväärtust ja eraldisi kajastatakse asjakohastes veergudes.</w:t>
      </w:r>
    </w:p>
    <w:p w:rsidR="009569C7" w:rsidRPr="00EC4FA2" w:rsidRDefault="00A834F1" w:rsidP="009569C7">
      <w:pPr>
        <w:pStyle w:val="Baseparagraphnumbered"/>
      </w:pPr>
      <w:r>
        <w:t>BADil põhinevat siseriiklikku GAAPi kohaldavad krediidiasutused ja investeerimisühingud kajastavad vormis 9.1 punktides 102 ja 103 osutatud siduvate kohustuste ja finantsgarantiide nimiväärtuse, samuti eraldiste summa, mida peab kõnealuste bilansiväliste riskipositsioonide puhul hoidma.</w:t>
      </w:r>
    </w:p>
    <w:p w:rsidR="009569C7" w:rsidRPr="00EC4FA2" w:rsidRDefault="00A834F1" w:rsidP="009569C7">
      <w:pPr>
        <w:pStyle w:val="Baseparagraphnumbered"/>
      </w:pPr>
      <w:r>
        <w:t>„Siduvad laenuandmiskohustused“ on kindlad kohustused anda laenu eelnevalt kokkulepitud tingimustel. Siia ei kuulu tuletisinstrumendid, kuna neid saab tasaarveldada sularahas või andes üle või emiteerides muu finantsinstrumendi. „Siduvateks laenuandmiskohustusteks“ liigitatakse järgmised kapitalinõuete m</w:t>
      </w:r>
      <w:r w:rsidR="00EB47EC">
        <w:t>ääruse I lisas esitatud kirjed:</w:t>
      </w:r>
    </w:p>
    <w:p w:rsidR="009569C7" w:rsidRPr="00EC4FA2" w:rsidRDefault="00A834F1" w:rsidP="009569C7">
      <w:pPr>
        <w:pStyle w:val="Baseparagraphnumbered"/>
        <w:numPr>
          <w:ilvl w:val="0"/>
          <w:numId w:val="31"/>
        </w:numPr>
        <w:ind w:left="1134" w:hanging="425"/>
      </w:pPr>
      <w:r>
        <w:t>„kohustus hoiustada finantsvara kindlaksmääratud ajal tulevikus“;</w:t>
      </w:r>
    </w:p>
    <w:p w:rsidR="009569C7" w:rsidRPr="00EC4FA2" w:rsidRDefault="00A834F1" w:rsidP="009569C7">
      <w:pPr>
        <w:pStyle w:val="Baseparagraphnumbered"/>
        <w:numPr>
          <w:ilvl w:val="0"/>
          <w:numId w:val="31"/>
        </w:numPr>
        <w:ind w:left="1134" w:hanging="425"/>
      </w:pPr>
      <w:r>
        <w:t>„kasutamata krediidilimiidid“, mis hõlmavad lepinguid „anda laenu“ või pakkuda „aktseptimisvõimalusi“ eelnevalt kindlaksmääratud tingimuste alusel.</w:t>
      </w:r>
    </w:p>
    <w:p w:rsidR="009569C7" w:rsidRPr="00EC4FA2" w:rsidRDefault="00A834F1" w:rsidP="009569C7">
      <w:pPr>
        <w:pStyle w:val="Baseparagraphnumbered"/>
      </w:pPr>
      <w:r>
        <w:t xml:space="preserve">„Finantsgarantiid“ on lepingud, mis nõuavad garantiiandjalt kindlaksmääratud maksete sooritamist, et hüvitada garantii saajale tekkinud kahju, kui kindlaksmääratud võlgnik ei tee tähtaegselt makseid vastavalt võlainstrumendi algsetele või muudetud tingimustele, sealhulgas teistele finantsgarantiidele antud garantiid. IFRSi kohaselt vastavad need lepingud IFRS 9 paragrahvi 2.1 punkti e ning IFRS 4 lisas A esitatud </w:t>
      </w:r>
      <w:r>
        <w:lastRenderedPageBreak/>
        <w:t>finantsgarantiilepingu määratlusele. „Finantsgarantiideks“ liigitatakse järgmised kapitalinõuete m</w:t>
      </w:r>
      <w:r w:rsidR="00D452D1">
        <w:t>ääruse I lisas esitatud kirjed:</w:t>
      </w:r>
    </w:p>
    <w:p w:rsidR="009569C7" w:rsidRPr="00EC4FA2" w:rsidRDefault="00D452D1" w:rsidP="009569C7">
      <w:pPr>
        <w:pStyle w:val="Baseparagraphnumbered"/>
        <w:numPr>
          <w:ilvl w:val="0"/>
          <w:numId w:val="69"/>
        </w:numPr>
      </w:pPr>
      <w:r>
        <w:t>„finantsgarantiid“;</w:t>
      </w:r>
    </w:p>
    <w:p w:rsidR="009569C7" w:rsidRPr="00EC4FA2" w:rsidRDefault="00A834F1" w:rsidP="009569C7">
      <w:pPr>
        <w:pStyle w:val="Baseparagraphnumbered"/>
        <w:numPr>
          <w:ilvl w:val="0"/>
          <w:numId w:val="69"/>
        </w:numPr>
        <w:ind w:left="1134" w:hanging="425"/>
      </w:pPr>
      <w:r>
        <w:t>„krediidituletisinstrumendid“, mis vastavad finantsgarantii määratlusele;</w:t>
      </w:r>
    </w:p>
    <w:p w:rsidR="009569C7" w:rsidRPr="00EC4FA2" w:rsidRDefault="00A834F1" w:rsidP="009569C7">
      <w:pPr>
        <w:pStyle w:val="Baseparagraphnumbered"/>
        <w:numPr>
          <w:ilvl w:val="0"/>
          <w:numId w:val="69"/>
        </w:numPr>
        <w:ind w:left="1134" w:hanging="425"/>
      </w:pPr>
      <w:r>
        <w:t>„finantsiseloomuga tagasivõtmatud valmisolekuakreditiivid“.</w:t>
      </w:r>
    </w:p>
    <w:p w:rsidR="009569C7" w:rsidRPr="00EC4FA2" w:rsidRDefault="00A834F1" w:rsidP="009569C7">
      <w:pPr>
        <w:pStyle w:val="Baseparagraphnumbered"/>
      </w:pPr>
      <w:r>
        <w:t>„Muud siduvad kohustused“ hõlmab järgmisi kapitalinõuete direkt</w:t>
      </w:r>
      <w:r w:rsidR="00D452D1">
        <w:t>iivi I lisas esitatud kirjeid:</w:t>
      </w:r>
    </w:p>
    <w:p w:rsidR="009569C7" w:rsidRPr="00EC4FA2" w:rsidRDefault="00A834F1" w:rsidP="009569C7">
      <w:pPr>
        <w:pStyle w:val="Baseparagraphnumbered"/>
        <w:numPr>
          <w:ilvl w:val="0"/>
          <w:numId w:val="32"/>
        </w:numPr>
        <w:ind w:left="1134" w:hanging="425"/>
      </w:pPr>
      <w:r>
        <w:t>„osaliselt tasutud aktsiate ja osade ni</w:t>
      </w:r>
      <w:r w:rsidR="00D452D1">
        <w:t>ng väärtpaberite tasumata osa“;</w:t>
      </w:r>
    </w:p>
    <w:p w:rsidR="009569C7" w:rsidRPr="00EC4FA2" w:rsidRDefault="00A834F1" w:rsidP="009569C7">
      <w:pPr>
        <w:pStyle w:val="Baseparagraphnumbered"/>
        <w:numPr>
          <w:ilvl w:val="0"/>
          <w:numId w:val="32"/>
        </w:numPr>
        <w:ind w:left="1134" w:hanging="425"/>
      </w:pPr>
      <w:r>
        <w:t xml:space="preserve">„väljastatud ja kinnitatud dokumentaalmaksed“; </w:t>
      </w:r>
    </w:p>
    <w:p w:rsidR="009569C7" w:rsidRPr="00EC4FA2" w:rsidRDefault="00A834F1" w:rsidP="009569C7">
      <w:pPr>
        <w:pStyle w:val="Baseparagraphnumbered"/>
        <w:numPr>
          <w:ilvl w:val="0"/>
          <w:numId w:val="32"/>
        </w:numPr>
        <w:ind w:left="1134" w:hanging="425"/>
      </w:pPr>
      <w:r>
        <w:t>„kaubanduse rahastamise bilansivälised kirjed“;</w:t>
      </w:r>
    </w:p>
    <w:p w:rsidR="009569C7" w:rsidRPr="00EC4FA2" w:rsidRDefault="00A834F1" w:rsidP="009569C7">
      <w:pPr>
        <w:pStyle w:val="Baseparagraphnumbered"/>
        <w:numPr>
          <w:ilvl w:val="0"/>
          <w:numId w:val="32"/>
        </w:numPr>
        <w:ind w:left="1134" w:hanging="425"/>
      </w:pPr>
      <w:r>
        <w:t>„dokumentaalmaksed, mille puhul kaubasaadetis on tagatiseks, ja muud automa</w:t>
      </w:r>
      <w:r w:rsidR="00EB47EC">
        <w:t>atselt likvideeruvad tehingud“;</w:t>
      </w:r>
    </w:p>
    <w:p w:rsidR="009569C7" w:rsidRPr="00EC4FA2" w:rsidRDefault="00A834F1" w:rsidP="009569C7">
      <w:pPr>
        <w:pStyle w:val="Baseparagraphnumbered"/>
        <w:numPr>
          <w:ilvl w:val="0"/>
          <w:numId w:val="32"/>
        </w:numPr>
        <w:ind w:left="1134" w:hanging="425"/>
      </w:pPr>
      <w:r>
        <w:t>„tagatised ja kahjuhüvitised“ (sh pakkumus- ja täitmisgarantiid) ning „mittefinantsgarantiid“;</w:t>
      </w:r>
    </w:p>
    <w:p w:rsidR="009569C7" w:rsidRPr="00EC4FA2" w:rsidRDefault="00A834F1" w:rsidP="009569C7">
      <w:pPr>
        <w:pStyle w:val="Baseparagraphnumbered"/>
        <w:numPr>
          <w:ilvl w:val="0"/>
          <w:numId w:val="32"/>
        </w:numPr>
        <w:ind w:left="1134" w:hanging="425"/>
      </w:pPr>
      <w:r>
        <w:t>„saatelehe tagatised (shipping guarantees), tolli- ja maksugarantiid“;</w:t>
      </w:r>
    </w:p>
    <w:p w:rsidR="009569C7" w:rsidRPr="00EC4FA2" w:rsidRDefault="00A834F1" w:rsidP="009569C7">
      <w:pPr>
        <w:pStyle w:val="Baseparagraphnumbered"/>
        <w:numPr>
          <w:ilvl w:val="0"/>
          <w:numId w:val="32"/>
        </w:numPr>
        <w:ind w:left="1134" w:hanging="425"/>
      </w:pPr>
      <w:r>
        <w:t>„võlakirjade emissiooniteenused“ (NIF) ja „uueneva käenduse süsteemid“ (RUF);</w:t>
      </w:r>
    </w:p>
    <w:p w:rsidR="009569C7" w:rsidRPr="00EC4FA2" w:rsidRDefault="00A834F1" w:rsidP="009569C7">
      <w:pPr>
        <w:pStyle w:val="Baseparagraphnumbered"/>
        <w:numPr>
          <w:ilvl w:val="0"/>
          <w:numId w:val="32"/>
        </w:numPr>
        <w:ind w:left="1134" w:hanging="425"/>
      </w:pPr>
      <w:r>
        <w:t>„kasutamata krediidilimiidid“, mis hõlmavad lepinguid „anda laenu“ või pakkuda „aktseptimisvõimalusi“ juhul, kui tingimused ei o</w:t>
      </w:r>
      <w:r w:rsidR="00EB47EC">
        <w:t>le eelnevalt kindlaks määratud;</w:t>
      </w:r>
    </w:p>
    <w:p w:rsidR="009569C7" w:rsidRPr="00EC4FA2" w:rsidRDefault="00A834F1" w:rsidP="009569C7">
      <w:pPr>
        <w:pStyle w:val="Baseparagraphnumbered"/>
        <w:numPr>
          <w:ilvl w:val="0"/>
          <w:numId w:val="32"/>
        </w:numPr>
        <w:ind w:left="1134" w:hanging="425"/>
      </w:pPr>
      <w:r>
        <w:t>„kasutamata krediidilimiidid“, mis hõlmavad „väärtpaberite ostu“ või „garantiide andmist“ käsitlevaid lepinguid;</w:t>
      </w:r>
    </w:p>
    <w:p w:rsidR="009569C7" w:rsidRPr="00EC4FA2" w:rsidRDefault="00A834F1" w:rsidP="009569C7">
      <w:pPr>
        <w:pStyle w:val="Baseparagraphnumbered"/>
        <w:numPr>
          <w:ilvl w:val="0"/>
          <w:numId w:val="32"/>
        </w:numPr>
        <w:ind w:left="1134" w:hanging="425"/>
      </w:pPr>
      <w:r>
        <w:t>„pakkumus- ja täitmisgarantiide kasutamata krediidilimiidid“;</w:t>
      </w:r>
    </w:p>
    <w:p w:rsidR="009569C7" w:rsidRPr="00EC4FA2" w:rsidRDefault="00A834F1" w:rsidP="009569C7">
      <w:pPr>
        <w:pStyle w:val="Baseparagraphnumbered"/>
        <w:numPr>
          <w:ilvl w:val="0"/>
          <w:numId w:val="32"/>
        </w:numPr>
        <w:ind w:left="1134" w:hanging="425"/>
      </w:pPr>
      <w:r>
        <w:t>„muud bilansivälised kirjed“ kapitalinõuete direktiivi I lisas.</w:t>
      </w:r>
    </w:p>
    <w:p w:rsidR="009569C7" w:rsidRPr="00EC4FA2" w:rsidRDefault="00A834F1" w:rsidP="009569C7">
      <w:pPr>
        <w:pStyle w:val="Baseparagraphnumbered"/>
      </w:pPr>
      <w:r>
        <w:t>IFRSi kohaselt kajastatakse järgmised kirjed bilansis ning sellest tulenevalt ei tohiks neid kajastada bilansiväliste riskipositsioonidena:</w:t>
      </w:r>
    </w:p>
    <w:p w:rsidR="009569C7" w:rsidRPr="00EC4FA2" w:rsidRDefault="00A834F1" w:rsidP="009569C7">
      <w:pPr>
        <w:pStyle w:val="Baseparagraphnumbered"/>
        <w:numPr>
          <w:ilvl w:val="0"/>
          <w:numId w:val="33"/>
        </w:numPr>
        <w:ind w:left="1134" w:hanging="425"/>
      </w:pPr>
      <w:r>
        <w:t>„krediidituletisinstrumendid“, mis ei vasta finantsgarantii määratlusele, on IFRS 9 kohaselt „tuletisinstrumendid“;</w:t>
      </w:r>
    </w:p>
    <w:p w:rsidR="009569C7" w:rsidRPr="00EC4FA2" w:rsidRDefault="00A834F1" w:rsidP="009569C7">
      <w:pPr>
        <w:pStyle w:val="Baseparagraphnumbered"/>
        <w:numPr>
          <w:ilvl w:val="0"/>
          <w:numId w:val="33"/>
        </w:numPr>
        <w:ind w:left="1134" w:hanging="425"/>
      </w:pPr>
      <w:r>
        <w:t xml:space="preserve"> „käskvekslite aktseptid“ on krediidiasutuse või investeerimisühingu kohustused maksta lõpptähtajal tavaliselt kaupade müüki katva käskveksli nimiväärtus. Seepärast liigitatakse need bilansis kui „nõuded klientide vastu“;</w:t>
      </w:r>
    </w:p>
    <w:p w:rsidR="009569C7" w:rsidRPr="00EC4FA2" w:rsidRDefault="00A834F1" w:rsidP="009569C7">
      <w:pPr>
        <w:pStyle w:val="Baseparagraphnumbered"/>
        <w:numPr>
          <w:ilvl w:val="0"/>
          <w:numId w:val="33"/>
        </w:numPr>
        <w:ind w:left="1134" w:hanging="425"/>
      </w:pPr>
      <w:r>
        <w:lastRenderedPageBreak/>
        <w:t>„vekslite käendus“, mis ei vasta IFRS 9 kohastele kajastamise lõpetamise kriteeriumidele;</w:t>
      </w:r>
    </w:p>
    <w:p w:rsidR="009569C7" w:rsidRPr="00EC4FA2" w:rsidRDefault="00A834F1" w:rsidP="009569C7">
      <w:pPr>
        <w:pStyle w:val="Baseparagraphnumbered"/>
        <w:numPr>
          <w:ilvl w:val="0"/>
          <w:numId w:val="33"/>
        </w:numPr>
        <w:ind w:left="1134" w:hanging="425"/>
      </w:pPr>
      <w:r>
        <w:t>„regressiõigusega tehingud“, mis ei vasta IFRS 9 kohastele kajastamise lõpetamise kriteeriumidele;</w:t>
      </w:r>
    </w:p>
    <w:p w:rsidR="009569C7" w:rsidRPr="00EC4FA2" w:rsidRDefault="00A834F1" w:rsidP="009569C7">
      <w:pPr>
        <w:pStyle w:val="Baseparagraphnumbered"/>
        <w:numPr>
          <w:ilvl w:val="0"/>
          <w:numId w:val="33"/>
        </w:numPr>
        <w:ind w:left="1134" w:hanging="425"/>
      </w:pPr>
      <w:r>
        <w:t>„lihtforvardipõhised vara ostmise kohustused“ on IFRS 9 kohaselt „tuletisinstrumendid“;</w:t>
      </w:r>
    </w:p>
    <w:p w:rsidR="009569C7" w:rsidRPr="00EC4FA2" w:rsidRDefault="00A834F1" w:rsidP="009569C7">
      <w:pPr>
        <w:pStyle w:val="Baseparagraphnumbered"/>
        <w:numPr>
          <w:ilvl w:val="0"/>
          <w:numId w:val="33"/>
        </w:numPr>
        <w:ind w:left="1134" w:hanging="425"/>
      </w:pPr>
      <w:r>
        <w:t>„direktiivi 86/635/EMÜ artikli 12 lõigetes 3 ja 5 määratletud vara müügi- ja tagasiostulepingud“. Nendes lepingutes on vastuvõtjal võimalus, kuid mitte kohustus, tagastada vara eelnevalt kokkulepitud hinnaga kindlaksmääratud või kindlaksmäärataval kuupäeval. Seega vastavad need lepingud IFRS 9 A lisa kohasele tuletisinstrumentide määratlusele.</w:t>
      </w:r>
    </w:p>
    <w:p w:rsidR="009569C7" w:rsidRPr="00EC4FA2" w:rsidRDefault="00A834F1" w:rsidP="009569C7">
      <w:pPr>
        <w:pStyle w:val="Baseparagraphnumbered"/>
      </w:pPr>
      <w:r>
        <w:t>Kirje „millest: viivises“ hõlmab selliste võetud siduvate laenuandmiskohustuste, antud finantsgarantiide ja muude võetud siduvate kohustuste nimiväärtust, mida loetakse käesoleva osa punktide 213</w:t>
      </w:r>
      <w:r w:rsidR="00EB47EC">
        <w:t>–239 kohaselt viivises olevaks.</w:t>
      </w:r>
    </w:p>
    <w:p w:rsidR="009569C7" w:rsidRPr="00EC4FA2" w:rsidRDefault="00A834F1" w:rsidP="009569C7">
      <w:pPr>
        <w:pStyle w:val="Baseparagraphnumbered"/>
      </w:pPr>
      <w:r>
        <w:t>Võetud siduvate laenuandmiskohustuste, antud finantsgarantiide ja muude võetud siduvate kohustuste puhul on „nimiväärtus“ summa, mis kõige paremini kajastab krediidiasutuse või investeerimisühingu maksimaalset krediidiriski positsiooni, ilma et võetaks arvesse ühtki hoitavat tagatist või muud krediidikvaliteedi parandamist. Eelkõige antud finantsgarantiide puhul on nimiväärtus maksimaalne summa, mida üksus peaks maksma garantii sissenõudmise korral. Siduvate laenuandmiskohustuste puhul on nimiväärtus see kasutamata summa, mille krediidiasutus või investeerimisühing on lubanud laenuks anda. Nimiväärtused on riskipositsiooni väärtused enne ümberhindlustegurite ja krediidiriski maandamise tehnikate kohaldamist.</w:t>
      </w:r>
    </w:p>
    <w:p w:rsidR="009569C7" w:rsidRPr="00EC4FA2" w:rsidRDefault="00A834F1" w:rsidP="009569C7">
      <w:pPr>
        <w:pStyle w:val="Baseparagraphnumbered"/>
      </w:pPr>
      <w:r>
        <w:t>Vormis 9.2 on aruande esitaja ees võetud siduvate laenuandmiskohustuste puhul nimiväärtuseks kogu kasutamata summa, mida vastaspool on lubanud krediidiasutusele või investeerimisühingule laenata. Muude siduvate kohustuste puhul aruande esitaja ees on nimiväärtuseks see kogusumma, mille tehingu teine osapool on lubanud. Saadud finantsgarantiide puhul on „garantii maksimaalne väärtus, mida saab arvesse võtta“ maksimaalne summa, mille vastaspool peaks maksma garantii sissenõudmise korral. Kui saadud finantsgarantii on andnud rohkem kui üks garantiiandja, kajastatakse tagatud summa vormis ainult ühe korra; tagatud summa eraldatakse garantiiandjale, kes on krediidiriski maandamise seisukohalt olulisem.</w:t>
      </w:r>
    </w:p>
    <w:p w:rsidR="009569C7" w:rsidRPr="00EC4FA2" w:rsidRDefault="00A834F1" w:rsidP="009569C7">
      <w:pPr>
        <w:pStyle w:val="subtitlenumbered"/>
        <w:numPr>
          <w:ilvl w:val="0"/>
          <w:numId w:val="17"/>
        </w:numPr>
        <w:jc w:val="both"/>
      </w:pPr>
      <w:bookmarkStart w:id="155" w:name="_Toc361844223"/>
      <w:bookmarkStart w:id="156" w:name="_Toc362359294"/>
      <w:bookmarkStart w:id="157" w:name="_Toc467855218"/>
      <w:bookmarkStart w:id="158" w:name="_Toc523999820"/>
      <w:bookmarkStart w:id="159" w:name="_Toc524082958"/>
      <w:r>
        <w:t>Tuletisinstrumendid ja riskimaandamise arvestus (10 ja 11)</w:t>
      </w:r>
      <w:bookmarkEnd w:id="155"/>
      <w:bookmarkEnd w:id="156"/>
      <w:bookmarkEnd w:id="157"/>
      <w:bookmarkEnd w:id="158"/>
      <w:bookmarkEnd w:id="159"/>
    </w:p>
    <w:p w:rsidR="009569C7" w:rsidRPr="00EC4FA2" w:rsidRDefault="00A834F1" w:rsidP="009569C7">
      <w:pPr>
        <w:pStyle w:val="Baseparagraphnumbered"/>
      </w:pPr>
      <w:r>
        <w:t xml:space="preserve">Vormide 10 ja 11 puhul käsitatakse tuletisinstrumente kas riskimaanduse tuletisinstrumentidena, kui neid kasutatakse kvalifitseeruva riskimaandusena IFRSi või kohaldatava BADil põhineva siseriikliku GAAPi kohaselt, või kauplemiseks hoitavatena, kui tegemist on muude juhtudega. </w:t>
      </w:r>
    </w:p>
    <w:p w:rsidR="009569C7" w:rsidRPr="00EC4FA2" w:rsidRDefault="00A834F1" w:rsidP="009569C7">
      <w:pPr>
        <w:pStyle w:val="Baseparagraphnumbered"/>
      </w:pPr>
      <w:r>
        <w:lastRenderedPageBreak/>
        <w:t>Kauplemiseks hoitavate tuletisinstrumentide (sealhulgas majanduslik riskimaandus) ja riskimaandamisarvestuse eesmärgil hoitavate tuletisinstrumentide bilansiline väärtus ja tinglik väärtus kajastatakse vormides 10 ja 11 alusriski liikide, turu liikide ja tooteliikide kaupa. Krediidiasutused ja investeerimisühingud kajastavad riskimaandamise arvestuse eesmärgil hoitavad tuletisinstrumendid ka riskimaanduse liikide kaupa. Teave riskimaandamisinstrumentide kohta, mis ei ole tuletisinstrumendid, esitatakse eraldi ja riskimaanduse liikide kaupa.</w:t>
      </w:r>
    </w:p>
    <w:p w:rsidR="009569C7" w:rsidRPr="00EC4FA2" w:rsidRDefault="00A834F1" w:rsidP="009569C7">
      <w:pPr>
        <w:pStyle w:val="Baseparagraphnumbered"/>
      </w:pPr>
      <w:r>
        <w:t>Kohaldatava BADil põhineva siseriikliku GAAPi kohaselt esitatakse nendes vormides kõik tuletisinstrumendid, olenemata sellest, kas neid siseriikliku GAAPi kohaselt bilansis kajastatakse või mitte.</w:t>
      </w:r>
    </w:p>
    <w:p w:rsidR="009569C7" w:rsidRPr="00EC4FA2" w:rsidRDefault="00A834F1" w:rsidP="009569C7">
      <w:pPr>
        <w:pStyle w:val="Baseparagraphnumbered"/>
      </w:pPr>
      <w:r>
        <w:t>Kauplemisel kasutatavate ja riskimaanduse tuletisinstrumentide bilansilise väärtuse, õiglase väärtuse ja tingliku väärtuse esitamisel arvestusportfellide ja riskimaanduse liikide kaupa võetakse arvesse IFRSI või BADil põhineva siseriikliku GAAPi (olenevalt sellest, millist raamistikku aruandva üksuse suhtes kohaldatakse) kohaseid arvestuspo</w:t>
      </w:r>
      <w:r w:rsidR="00EB47EC">
        <w:t>rtfelle ja riskimaanduse liike.</w:t>
      </w:r>
    </w:p>
    <w:p w:rsidR="009569C7" w:rsidRPr="00EC4FA2" w:rsidRDefault="00A834F1" w:rsidP="009569C7">
      <w:pPr>
        <w:pStyle w:val="Baseparagraphnumbered"/>
      </w:pPr>
      <w:r>
        <w:t>Kauplemisel kasutatavad ja riskimaanduse tuletisinstrumendid, mida BADil põhineva siseriikliku GAAPi kohaselt mõõdetakse soetusmaksumuses või LOCOMi alusel, esitatakse eraldi.</w:t>
      </w:r>
    </w:p>
    <w:p w:rsidR="009569C7" w:rsidRPr="00EC4FA2" w:rsidRDefault="00A834F1" w:rsidP="009569C7">
      <w:pPr>
        <w:pStyle w:val="Baseparagraphnumbered"/>
      </w:pPr>
      <w:r>
        <w:t>Vorm 11 hõlmab riskimaandamisinstrumente ja maandatavaid instrumente, sõltumata kvalifitseeruva riskimaanduse kajastamiseks kasutatavast raamatupidamisstandardist, sealhulgas juhul, kui kvalifitseeruv riskimaandus on netopositsiooni suhtes. Kui krediidiasutus või investeerimisühing on otsustanud jätkata IAS 39 kohaldamist riskimaandamise arvestuse puhul [IFRS 9 paragrahv 7.2.21], käsitatakse viiteid riskimaanduse liikidele ja arvestusportfellidele ning nende nimesid asjakohaste viidetena ja nimedena IAS 39 paragrahvis 9. „Õiglases väärtuses läbi muu koondkasumi mõõdetud finantsvarad“ osutab kirjetele „müügivalmis varad“, ja „amortiseeritud soetusmaksumuses kajastatud varad“ hõlmab kirjeid „lõpptähtajani hoitavad“ ja „laenud ja nõuded“.</w:t>
      </w:r>
    </w:p>
    <w:p w:rsidR="009569C7" w:rsidRPr="00EC4FA2" w:rsidRDefault="00A834F1" w:rsidP="009569C7">
      <w:pPr>
        <w:pStyle w:val="Baseparagraphnumbered"/>
      </w:pPr>
      <w:r>
        <w:t>Hübriidinstrumentides sisalduvad tuletisinstrumendid, mis on eraldatud põhilepingust, kajastatakse vormides 10 ja 11 vastavalt tuletisinstrumendi laadile. Põhilepingu summa ei sisaldu neis vormides. Kui hübriidinstrumenti mõõdetakse õiglases väärtuses muutustega läbi kasumiaruande, kajastatakse leping tervikuna ja tuletisinstrumendi tunnustega väärtpabereid ei kajastata vormides 10 ja 11.</w:t>
      </w:r>
    </w:p>
    <w:p w:rsidR="009569C7" w:rsidRPr="00EC4FA2" w:rsidRDefault="00A834F1" w:rsidP="009569C7">
      <w:pPr>
        <w:pStyle w:val="Baseparagraphnumbered"/>
      </w:pPr>
      <w:r>
        <w:t>Siduvaid kohustusi, mida käsitatakse tuletisinstrumentidena [IFRS 9 paragrahvi 2.3 punkt b] ja krediidituletisinstrumentidena ning mis ei vasta käesoleva lisa käesoleva osa punktis 114 esitatud finantsgarantii määratlusele, kajastatakse vormides 10 ja 11 vastavalt samale jaotusele nagu muude tuletisinstrumentide puhul, k</w:t>
      </w:r>
      <w:r w:rsidR="00EB47EC">
        <w:t>uid neid ei kajastata vormis 9.</w:t>
      </w:r>
    </w:p>
    <w:p w:rsidR="009569C7" w:rsidRPr="00EC4FA2" w:rsidRDefault="00A834F1" w:rsidP="009569C7">
      <w:pPr>
        <w:pStyle w:val="Baseparagraphnumbered"/>
      </w:pPr>
      <w:r>
        <w:lastRenderedPageBreak/>
        <w:t>Selliste finantsvarade ja selliste finantskohustuste bilansiline väärtus, mis ei ole tuletisinstrumendid ja mida kajastatakse riskimaandamisinstrumendina IFRSi või BADil põhineva siseriikliku GAAPi kohaselt, k</w:t>
      </w:r>
      <w:r w:rsidR="00EB47EC">
        <w:t>ajastatakse eraldi vormis 11.3.</w:t>
      </w:r>
    </w:p>
    <w:p w:rsidR="009569C7" w:rsidRPr="00EC4FA2" w:rsidRDefault="00A834F1" w:rsidP="009569C7">
      <w:pPr>
        <w:pStyle w:val="sub-subtitlenumbered"/>
        <w:keepNext/>
        <w:ind w:left="788" w:hanging="431"/>
        <w:jc w:val="both"/>
      </w:pPr>
      <w:bookmarkStart w:id="160" w:name="_Toc361844224"/>
      <w:bookmarkStart w:id="161" w:name="_Toc362359295"/>
      <w:bookmarkStart w:id="162" w:name="_Toc467855219"/>
      <w:bookmarkStart w:id="163" w:name="_Toc523999821"/>
      <w:bookmarkStart w:id="164" w:name="_Toc524082959"/>
      <w:r>
        <w:t>Tuletisinstrumentide liigitus riski liigi alusel</w:t>
      </w:r>
      <w:bookmarkEnd w:id="160"/>
      <w:bookmarkEnd w:id="161"/>
      <w:bookmarkEnd w:id="162"/>
      <w:bookmarkEnd w:id="163"/>
      <w:bookmarkEnd w:id="164"/>
    </w:p>
    <w:p w:rsidR="009569C7" w:rsidRPr="00EC4FA2" w:rsidRDefault="00A834F1" w:rsidP="009569C7">
      <w:pPr>
        <w:pStyle w:val="Baseparagraphnumbered"/>
      </w:pPr>
      <w:r>
        <w:t>Kõik tuletisinstrumendid liigitatakse ühte järgmistest riskikategooriatest: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intressimäär: intressimäära tuletisinstrumendid on intressi kandva finantsinstrumendiga seotud lepingud, mille rahavood on kindlaks määratud viiteintressimääradega või muu intressimäära lepinguga, näiteks futuurioptsiooni leping riigivõlakirjade ostmiseks. Sellesse kategooriasse kuuluvad üksnes need tehingud, mille kõigi poolte riskipositsioon tuleneb vaid ühe valuutaga seotud intressimäärast. Sellest kategooriast jäävad välja lepingud, millega kaasneb ühe või enama välisvaluuta vahetus, näiteks eri valuutade intressimäära vahetuslepingud ja valuutaoptsioonid, ning muud lepingud, mille peamine riskitunnus on valuutarisk; need kajastatakse valuutakursside lepingutena. Ainus erand on see, kui portfelli intressiriski maandamise osana kasutatakse eri valuutade intressimäära vahetuslepinguid, kui need kajastatakse seda liiki riskimaanduste jaoks ette nähtud ridadel. Intressimäärade lepingud hõlmavad intressiforvardeid, ühe valuuta intressimäära vahetuslepinguid, intressimäärafutuure, intressimääraoptsioone (sealhulgas ülempiirid, alampiirid, intressivahemikud (collars), intressikoridorid), intressimäära vahetusoptsioone ning intressimäära ostutähti;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aktsiad: aktsiatel põhinevad tuletisinstrumendid on lepingud, mille tulu või tulu osa on seotud konkreetse aktsia hinna või aktsiaindeksiga;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välisvaluutad ja kuld: nende tuletisinstrumentide hulka kuuluvad lepingud, mis on seotud valuutade vahetusega forvardite turul ja kulla väärtusega. Seega hõlmavad need lihtforvardeid, välisvaluuta vahetustehinguid, valuuta vahetustehinguid (sh eri valuutade intressimäära vahetuslepingud), valuutafutuure, valuutaoptsioone, valuuta vahetusoptsioone ja valuuta ostutähti. Välisvaluuta tuletisinstrumendid hõlmavad kõiki kokkuleppeid, millega kaasneb riskipositsioon rohkem kui ühes valuutas, kas seoses vahetuskursside või intressimääradega, välja arvatud juhul, kui portfelli intressiriski maandamise osana kasutatakse eri valuutade intressimäära vahetuslepinguid. Kullalepingud hõlmavad kõiki lepinguid, millega kaasneb riskipositsioon selle kauba suhtes;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kreedit: krediidituletisinstrumendid on lepingud, mille väljamaksed on seotud eelkõige konkreetse aluseks oleva krediidi krediidikvaliteedi mõne mõõdikuga ja mis ei vasta finantsgarantiide määratlusele [IFRS 9]. Lepingutes määratakse kindlaks maksete vahetamine, mille puhul kahest poolest vähemalt üks määratakse kindlaks aluseks oleva krediidi tulemusnäitajate alusel. Väljamaksete tegemise võivad käivitada mitu sündmust, sealhulgas makseviivitus, reitingu langetamine või alusvara krediidiriski marginaali kindlaksmääratud muutus. Krediidituletisinstrumendid, mis vastavad käesoleva lisa käesoleva osa </w:t>
      </w:r>
      <w:r>
        <w:rPr>
          <w:rFonts w:ascii="Times New Roman" w:hAnsi="Times New Roman"/>
          <w:sz w:val="24"/>
        </w:rPr>
        <w:lastRenderedPageBreak/>
        <w:t xml:space="preserve">punktis 114 esitatud finantsgarantii määratlusele, esitatakse üksnes vormis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kaup: need tuletisinstrumendid on lepingud, mille tulu või tulu osa on seotud sellise kauba nagu väärismetalli (muu kui kuld), nafta, puidu või põllumajandustoodete hinna või hinnaindeksiga;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muu: need tuletisinstrumendid on mis tahes muud tuletislepingud, millega ei kaasne riskipositsiooni välisvaluutas, intressimääras, aktsiates, kaubas ega krediidiriskis, sealhulgas klimaatiliste muutujatega seotud tuletisinstrumendid või kindlustuse tuletisinstrumendid.</w:t>
      </w:r>
    </w:p>
    <w:p w:rsidR="009569C7" w:rsidRPr="00EC4FA2" w:rsidRDefault="00A834F1" w:rsidP="009569C7">
      <w:pPr>
        <w:pStyle w:val="Baseparagraphnumbered"/>
      </w:pPr>
      <w:r>
        <w:t>Kui tuletisinstrumendiga on seotud rohkem kui ühte liiki risk, liigitatakse instrument kõige tundlikumat liiki riski alusel. Kui mitme riskipositsiooniga tuletisinstrumentide liigitamisel tekib ebakindlus, liigitatakse lepingud järgmises tähtsuse järjekorras:</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kaubad: kõik tuletisinstrumentide tehingud, mis on seotud kaubast või kauba indeksist tuleneva riskipositsiooniga, kajastatakse selles kategoorias sõltumata sellest, kas need on seotud või mitte ühise riskipositsiooni võtmisega kaupades ja muus riskikategoorias, mis võib hõlmata välisvaluutat, intressimäära või aktsiaid;</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aktsiad: võtmata arvesse selliseid tuletislepinguid, millega kaasneb ühine riskipositsioon kaupades ja aktsiates ning mida kajastatakse kaupadena, kajastatakse aktsiate kategoorias kõiki tuletisinstrumentidega tehinguid, mis on seotud aktsiate või aktsiaindeksite tulemusnäitajatega. Aktsiatehingud, millega kaasneb riskipositsioon välisvaluutas või intressimäärades, tule</w:t>
      </w:r>
      <w:r w:rsidR="00EB47EC">
        <w:rPr>
          <w:rFonts w:ascii="Times New Roman" w:hAnsi="Times New Roman"/>
          <w:sz w:val="24"/>
        </w:rPr>
        <w:t>b kajastada selles kategoorias;</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välisvaluutad ja kuld: see kategooria hõlmab kõiki tuletisinstrumentidega tehinguid (välja arvatud need, mis on kajastatud juba kauba või aktsiate kategoorias), millega kaasneb riskipositsioon rohkemas kui ühes valuutas, olgu see siis seotud kas intressi kandvate finantsinstrumentidega või vahetuskurssidega, välja arvatud juhul, kui portfelli intressiriski maandamise osana kasutatakse eri valuutade intressimäära vahetuslepinguid.</w:t>
      </w:r>
    </w:p>
    <w:p w:rsidR="009569C7" w:rsidRPr="00EC4FA2" w:rsidRDefault="00A834F1" w:rsidP="009569C7">
      <w:pPr>
        <w:pStyle w:val="sub-subtitlenumbered"/>
        <w:jc w:val="both"/>
      </w:pPr>
      <w:bookmarkStart w:id="165" w:name="_Toc361844225"/>
      <w:bookmarkStart w:id="166" w:name="_Toc362359296"/>
      <w:bookmarkStart w:id="167" w:name="_Toc467855220"/>
      <w:bookmarkStart w:id="168" w:name="_Toc523999822"/>
      <w:bookmarkStart w:id="169" w:name="_Toc524082960"/>
      <w:r>
        <w:t>Tuletisinstrumentide puhul kajastatavad summad</w:t>
      </w:r>
      <w:bookmarkEnd w:id="165"/>
      <w:bookmarkEnd w:id="166"/>
      <w:bookmarkEnd w:id="167"/>
      <w:bookmarkEnd w:id="168"/>
      <w:bookmarkEnd w:id="169"/>
    </w:p>
    <w:p w:rsidR="009569C7" w:rsidRPr="00EC4FA2" w:rsidRDefault="00A834F1" w:rsidP="009569C7">
      <w:pPr>
        <w:pStyle w:val="Baseparagraphnumbered"/>
      </w:pPr>
      <w:r>
        <w:t xml:space="preserve">IFRSi kohaselt on kõigi tuletisinstrumentide (riskimaandamise arvestuse eesmärgil või kauplemiseks hoitavad) „bilansiline väärtus“ nende õiglane väärtus. Positiivse õiglase väärtusega (üle nulli) tuletisinstrumendid on „finantsvarad“ ja negatiivse õiglase väärtusega (alla nulli) tuletisinstrumendid on „finantskohustused“. Positiivse õiglase väärtusega tuletisinstrumentide („finantsvarad“) „bilansiline väärtus“ esitatakse eraldi negatiivse õiglase väärtusega tuletisinstrumentide („finantskohustused“) „bilansilisest väärtusest“. Esmase kajastamise kuupäeval liigitatakse tuletisinstrument kas „finantsvaraks“ või „finantskohustuseks“ vastavalt selle esialgsele õiglasele väärtusele. Pärast esialgset kirjendamist tuletisinstrumendi õiglane väärtus suureneb või väheneb ning instrumendi vahetamise tingimused võivad muutuda krediidiasutuse või investeerimisühingu jaoks kas soodsateks (ja tuletisinstrument liigitatakse </w:t>
      </w:r>
      <w:r>
        <w:lastRenderedPageBreak/>
        <w:t>„finantsvaraks“) või ebasoodsateks (ja tuletisinstrument liigitatakse „finantskohustuseks“). Riskimaanduse tuletisinstrumentide bilansiline väärtus on nende täielik õiglane väärtus, sealhulgas (kui see on asjakohane) õiglase väärtuse komponendid, mida ei kajastata riskimaandamisinstrumentidena.</w:t>
      </w:r>
    </w:p>
    <w:p w:rsidR="009569C7" w:rsidRPr="00EC4FA2" w:rsidRDefault="00A834F1" w:rsidP="009569C7">
      <w:pPr>
        <w:pStyle w:val="Baseparagraphnumbered"/>
      </w:pPr>
      <w:r>
        <w:t>Lisaks bilansilisele väärtusele, nagu määratletud käesoleva lisa 1. osa punktis 27, esitavad aruandvad krediidiasutused ja investeerimisühingud BADil põhineva siseriikliku GAAPi kohaselt kõigi tuletisinstrumentide puhul ka õiglase väärtuse, olenemata sellest, kas neid instrumente peab BADil põhineva siseriikliku GAAPi kohaselt kajastama bilansis või bilansiväliselt.</w:t>
      </w:r>
    </w:p>
    <w:p w:rsidR="009569C7" w:rsidRPr="00EC4FA2" w:rsidRDefault="00A834F1" w:rsidP="009569C7">
      <w:pPr>
        <w:pStyle w:val="Baseparagraphnumbered"/>
        <w:ind w:left="851"/>
      </w:pPr>
      <w:r>
        <w:t>„Tinglik väärtus“ (IFRSi kohaselt „nominaalsumma“) on kõigi sõlmitud, kuid veel arveldamata tehingute nimiväärtuse brutosumma aruandekuupäeval, olenemata sellest, kas kõnealustest tehingutest tulenevalt kajastatakse tuletistehingute riskipositsiooni bilansis. Tingliku väärtuse kindlaksmääramisel võetakse arvesse eelkõige järgmist: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lepingute puhul, mille põhisumma nimi- või tinglik väärtus on muutuv, on kajastamise aluseks põhisummade nimiväärtus või tinglik väärtus aruandekuupäeval;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kordajat sisaldava tuletislepingu puhul on kajastatav tinglik väärtus lepingu tegelik tinglik väärtus või nimiväärtus;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vahetuslepingud: vahetuslepingu tinglik väärtus on intressimaksete, välisvaluuta või muu tulu või kulu vahetuse aluseks olev põhisumma;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aktsiate ja kaupadega seotud lepingud: aktsia- või kaubalepingu kajastatav tinglik väärtus on lepingu kohaselt ostmiseks või müümiseks ette nähtud kauba või aktsiatoote kogus, mis on korrutatud ühiku lepingulise hinnaga. Põhimakse mitut vahetust sisaldava kaubalepingu puhul kajastatav tinglik väärtus on lepinguline summa, mis on korrutatud põhimakse järelejäänud vahetuste arvuga lepingus;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krediidituletisinstrumendid: krediidituletisinstrumentide puhul kajastatav lepinguväärtus on aluseks oleva </w:t>
      </w:r>
      <w:r w:rsidR="00EB47EC">
        <w:rPr>
          <w:rFonts w:ascii="Times New Roman" w:hAnsi="Times New Roman"/>
          <w:sz w:val="24"/>
        </w:rPr>
        <w:t>asjaomase krediidi nimiväärtus;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digitaaloptsioonidel ehk „kõik või mitte midagi“ optsioonidel on eelnevalt kindlaks määratud väljamakse, mis võib olla kas rahaline summa või alusvaraga seotud lepingute arv. Digitaaloptsioonide tinglik väärtus määratletakse kui eelnevalt kindlaks määratud rahaline summa või alusvara õiglane väärtus aruandekuupäeval.</w:t>
      </w:r>
    </w:p>
    <w:p w:rsidR="009569C7" w:rsidRPr="00EC4FA2" w:rsidRDefault="00A834F1" w:rsidP="009569C7">
      <w:pPr>
        <w:pStyle w:val="Baseparagraphnumbered"/>
      </w:pPr>
      <w:r>
        <w:t>Tuletisinstrumentide tinglikku väärtust käsitlev veerg hõlmab iga kirje puhul kõigi nende lepingute tingliku väärtuse summat, milles krediidiasutus või investeerimisühing on vastaspool, sõltumata sellest, kas tuletisinstrumente käsitatakse varade või kohustustena bilansis või neid ei kajastata bilansis. Kajastada tuleb kõik tinglikud väärtused sõltumata sellest, kas tuletisinstrumentide õiglane väärtus on positiivne, negatiivne või null. Tinglike väärtuste tasaarvestus ei ole lubatud.</w:t>
      </w:r>
    </w:p>
    <w:p w:rsidR="009569C7" w:rsidRPr="00EC4FA2" w:rsidRDefault="00A834F1" w:rsidP="009569C7">
      <w:pPr>
        <w:pStyle w:val="Baseparagraphnumbered"/>
      </w:pPr>
      <w:r>
        <w:t xml:space="preserve">„Tinglik väärtus“ kajastatakse kogusummana („kokku“) ja osadena („millest: müüdud“) järgmiste kirjete puhul: „börsivälised optsioonid“, </w:t>
      </w:r>
      <w:r>
        <w:lastRenderedPageBreak/>
        <w:t>„reguleeritud turu optsioonid“, „krediit“, „kaup“ ja „muu“. Kirje „millest müüdud“ hõlmab selliste lepingute tinglikke väärtuseid (täitmishind), mille puhul krediidiasutuse või investeerimisühingu (optsiooni kirjutaja) vastaspooltel (optsiooni valdajad) on õigus optsiooni kasutada, ning krediidiriski tuletisinstrumentidega seotud kirjete puhul selliste lepingute tinglikke väärtusi, milles krediidiasutus või investeerimisühing (krediidiriski kaitse müüja) on müünud (annab) oma vastaspooltele (krediidiriski kaitse ostjad) kaitset.</w:t>
      </w:r>
    </w:p>
    <w:p w:rsidR="009569C7" w:rsidRPr="00EC4FA2" w:rsidRDefault="00A834F1" w:rsidP="009569C7">
      <w:pPr>
        <w:pStyle w:val="Baseparagraphnumbered"/>
      </w:pPr>
      <w:r>
        <w:t>Tehingute jaotamine kirjete „börsiväline“ ja „reguleeritud turg“ alla põhineb sellise turu laadil, kus tehing tehakse, ja mitte sellel, kas selle tehingu puhul on olemas kliirimiskohustus. „Reguleeritud turg“ on reguleeritud turg kapitalinõuete määruse artikli 4 punkti 92 tähenduses. Seepärast peab aruandev üksus juhul, kui ta sõlmib tuletislepingu börsivälisel turul, kus keskne kliirimine on kohustuslik, liigitama tuletislepingu kirje „börsiväline“, mitte kirje „reguleeritud turg“ alla.</w:t>
      </w:r>
    </w:p>
    <w:p w:rsidR="009569C7" w:rsidRPr="00EC4FA2" w:rsidRDefault="00A834F1" w:rsidP="009569C7">
      <w:pPr>
        <w:pStyle w:val="sub-subtitlenumbered"/>
        <w:jc w:val="both"/>
      </w:pPr>
      <w:bookmarkStart w:id="170" w:name="_Toc361844226"/>
      <w:bookmarkStart w:id="171" w:name="_Toc362359297"/>
      <w:bookmarkStart w:id="172" w:name="_Toc467855221"/>
      <w:bookmarkStart w:id="173" w:name="_Toc523999823"/>
      <w:bookmarkStart w:id="174" w:name="_Toc524082961"/>
      <w:r>
        <w:t>„Majanduslikuks riskimaanduseks“ liigitatud tuletisinstrumendid</w:t>
      </w:r>
      <w:bookmarkEnd w:id="170"/>
      <w:bookmarkEnd w:id="171"/>
      <w:bookmarkEnd w:id="172"/>
      <w:bookmarkEnd w:id="173"/>
      <w:bookmarkEnd w:id="174"/>
    </w:p>
    <w:p w:rsidR="009569C7" w:rsidRPr="00EC4FA2" w:rsidRDefault="00A834F1" w:rsidP="009569C7">
      <w:pPr>
        <w:pStyle w:val="Baseparagraphnumbered"/>
      </w:pPr>
      <w:r>
        <w:t>Tuletisinstrumendid, mida hoitakse riskimaanduse eesmärgil, kuid mis ei vasta efektiivsete riskimaandamisinstrumentide nõuetele vastavalt IFRS 9-le, IAS 39-le, kui IAS 39-t kohaldatakse riskimaandamise arvestuse eesmärgil, või BADil põhineva siseriikliku GAAPi kohasele raamatupidamistavale, kajastatakse vormis 10 „majandusliku riskimaandusena“. Seda puudutab ka kõiki järgmisi juhte: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noteerimata omakapitaliinstrumentide riskimaanduseks kasutatavad tuletisinstrumendid, mille puhul võib soetusmaksumus olla õiglase väärtuse asjakohane hinnang;</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krediidituletisinstrumendid, mida mõõdetakse õiglases väärtuses muutustega läbi kasumiaruande ja kasutatakse kogu sellise finantsinstrumendi või selle osa krediidiriski juhtimiseks, mida mõõdetakse õiglases väärtuses muutustega läbi kasumiaruande esmasel kajastamisel või pärast seda või kajastamise lõpetamisel vastavalt IFRS 9 paragrahvile 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tuletisinstrumendid, mis on liigitatud „kauplemiseks hoitavaks“ IFRS 9 lisa A kohaselt või kauplemisel kasutatavateks varadeks BADil põhineva siseriikliku GAAPi kohaselt, kuid mis ei kuulu kapitalinõuete määruse artikli 4 lõike 1 punktis 86 </w:t>
      </w:r>
      <w:r w:rsidR="00EB47EC">
        <w:rPr>
          <w:rFonts w:ascii="Times New Roman" w:hAnsi="Times New Roman"/>
          <w:sz w:val="24"/>
        </w:rPr>
        <w:t>määratletud kauplemisportfelli.</w:t>
      </w:r>
    </w:p>
    <w:p w:rsidR="009569C7" w:rsidRPr="00EC4FA2" w:rsidRDefault="00A834F1" w:rsidP="009569C7">
      <w:pPr>
        <w:pStyle w:val="Baseparagraphnumbered"/>
      </w:pPr>
      <w:r>
        <w:t>„Majanduslik riskimaandus“ ei hõlma oma arvel kauplemise tuletisinstrumente.</w:t>
      </w:r>
    </w:p>
    <w:p w:rsidR="009569C7" w:rsidRPr="00EC4FA2" w:rsidRDefault="00A834F1" w:rsidP="009569C7">
      <w:pPr>
        <w:pStyle w:val="Baseparagraphnumbered"/>
      </w:pPr>
      <w:r>
        <w:t>Tuletisinstrumendid, mis vastavad „majandusliku riskimaanduse“ määratlusele, kajastatakse vormis 10 iga riski liigi puhul eraldi.</w:t>
      </w:r>
    </w:p>
    <w:p w:rsidR="009569C7" w:rsidRPr="00EC4FA2" w:rsidRDefault="00A834F1" w:rsidP="009569C7">
      <w:pPr>
        <w:pStyle w:val="Baseparagraphnumbered"/>
      </w:pPr>
      <w:r>
        <w:t xml:space="preserve">Krediidituletisinstrumente, mida kasutatakse kogu sellise finantsinstrumendi või selle osa krediidiriski juhtimiseks, mida mõõdetakse õiglases väärtuses muutustega läbi kasumiaruande esmasel kajastamisel või pärast seda või kajastamise lõpetamisel vastavalt IFRS 9 paragrahvile 6.7, </w:t>
      </w:r>
      <w:r>
        <w:lastRenderedPageBreak/>
        <w:t>kajastatakse vormi 10 vastaval real krediidiriski all. Muud krediidiriski majanduslikud maandused, mille suhtes aruandev üksus ei kohalda IFRS 9 paragrahvi 6.7, kajastatakse eraldi.</w:t>
      </w:r>
    </w:p>
    <w:p w:rsidR="009569C7" w:rsidRPr="00EC4FA2" w:rsidRDefault="00A834F1" w:rsidP="009569C7">
      <w:pPr>
        <w:pStyle w:val="sub-subtitlenumbered"/>
        <w:jc w:val="both"/>
      </w:pPr>
      <w:bookmarkStart w:id="175" w:name="_Toc361844227"/>
      <w:bookmarkStart w:id="176" w:name="_Toc362359298"/>
      <w:bookmarkStart w:id="177" w:name="_Toc467855222"/>
      <w:bookmarkStart w:id="178" w:name="_Toc523999824"/>
      <w:bookmarkStart w:id="179" w:name="_Toc524082962"/>
      <w:r>
        <w:t>Tuletisinstrumentide jaotus vastaspoole sektorite kaupa</w:t>
      </w:r>
      <w:bookmarkEnd w:id="175"/>
      <w:bookmarkEnd w:id="176"/>
      <w:bookmarkEnd w:id="177"/>
      <w:bookmarkEnd w:id="178"/>
      <w:bookmarkEnd w:id="179"/>
    </w:p>
    <w:p w:rsidR="009569C7" w:rsidRPr="00EC4FA2" w:rsidRDefault="00A834F1" w:rsidP="009569C7">
      <w:pPr>
        <w:pStyle w:val="Baseparagraphnumbered"/>
        <w:tabs>
          <w:tab w:val="left" w:pos="851"/>
        </w:tabs>
        <w:ind w:left="709"/>
      </w:pPr>
      <w:r>
        <w:t>Kauplemiseks hoitavate tuletisinstrumentide ja ka riskimaandamisarvestuse eesmärgil hoitavate tuletisinstrumentide puhul, millega kaubeldakse börsivälisel turul, kajastatakse bilansiline väärtus ja tinglik koguväärtus vastaspoolte lõikes, kasutades järgmisi kateg</w:t>
      </w:r>
      <w:r w:rsidR="00EB47EC">
        <w:t>ooriaid:</w:t>
      </w:r>
    </w:p>
    <w:p w:rsidR="009569C7" w:rsidRPr="00EC4FA2" w:rsidRDefault="00EB47EC"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„krediidiasutused“;</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„m</w:t>
      </w:r>
      <w:r w:rsidR="00EB47EC">
        <w:rPr>
          <w:rFonts w:ascii="Times New Roman" w:hAnsi="Times New Roman"/>
          <w:sz w:val="24"/>
        </w:rPr>
        <w:t>uud finantssektori äriühingud“;</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„ülejään</w:t>
      </w:r>
      <w:r w:rsidR="00EB47EC">
        <w:rPr>
          <w:rFonts w:ascii="Times New Roman" w:hAnsi="Times New Roman"/>
          <w:sz w:val="24"/>
        </w:rPr>
        <w:t>ud“ ehk kõik muud vastaspooled.</w:t>
      </w:r>
    </w:p>
    <w:p w:rsidR="009569C7" w:rsidRPr="00EC4FA2" w:rsidRDefault="00A834F1" w:rsidP="009569C7">
      <w:pPr>
        <w:pStyle w:val="Baseparagraphnumbered"/>
        <w:tabs>
          <w:tab w:val="left" w:pos="851"/>
        </w:tabs>
        <w:ind w:left="709"/>
      </w:pPr>
      <w:r>
        <w:t>Kõik börsivälised tuletisinstrumendid, sõltumata nendega seotud riski liigist, jaotat</w:t>
      </w:r>
      <w:r w:rsidR="00EB47EC">
        <w:t>akse nende vastaspoolte alusel.</w:t>
      </w:r>
    </w:p>
    <w:p w:rsidR="009569C7" w:rsidRPr="00EC4FA2" w:rsidRDefault="00A834F1" w:rsidP="009569C7">
      <w:pPr>
        <w:pStyle w:val="sub-subtitlenumbered"/>
        <w:jc w:val="both"/>
      </w:pPr>
      <w:bookmarkStart w:id="180" w:name="_Toc467855223"/>
      <w:bookmarkStart w:id="181" w:name="_Toc523999825"/>
      <w:bookmarkStart w:id="182" w:name="_Toc362359299"/>
      <w:bookmarkStart w:id="183" w:name="_Toc524082963"/>
      <w:r>
        <w:t>Riskimaandamise arvestus siseriikliku GAAPi kohaselt (11.2)</w:t>
      </w:r>
      <w:bookmarkEnd w:id="180"/>
      <w:bookmarkEnd w:id="181"/>
      <w:bookmarkEnd w:id="183"/>
    </w:p>
    <w:p w:rsidR="009569C7" w:rsidRPr="00EC4FA2" w:rsidRDefault="00A834F1" w:rsidP="009569C7">
      <w:pPr>
        <w:pStyle w:val="Baseparagraphnumbered"/>
      </w:pPr>
      <w:r>
        <w:t>Kui BADil põhineva siseriikliku GAAPi kohaselt on ette nähtud riskimaanduse tuletisinstrumentide jaotamine riskimaanduse kategooriate lõikes, kajastatakse riskimaanduse tuletisinstrumendid eraldi kategooriates „õiglase väärtuse riskimaandus“, „rahavoogude riskimaandus“, „soetusmaksumuse riskimaandus“ „välismaistesse äriüksustesse tehtud netoinvesteeringute riskimaandus“, „portfelli intressiriskile avatud positsiooni õiglase väärtuse riskimaandus“ ja „portfelli intressiriskile avatud positsiooni rahavoogude riskimaandus“.</w:t>
      </w:r>
    </w:p>
    <w:p w:rsidR="009569C7" w:rsidRPr="00EC4FA2" w:rsidRDefault="00A834F1" w:rsidP="009569C7">
      <w:pPr>
        <w:pStyle w:val="Baseparagraphnumbered"/>
      </w:pPr>
      <w:r>
        <w:t>Kui BADil põhineva siseriikliku GAAPi kohaselt kohaldatav, osutab „soetusmaksumuse riskimaandus“ riskimaanduse kategooriale, kus riskimaanduse tuletisinstrumenti mõõdetakse üldiselt soetusmaksumuses.</w:t>
      </w:r>
    </w:p>
    <w:p w:rsidR="009569C7" w:rsidRPr="00EC4FA2" w:rsidRDefault="00A834F1" w:rsidP="009569C7">
      <w:pPr>
        <w:pStyle w:val="sub-subtitlenumbered"/>
        <w:jc w:val="both"/>
      </w:pPr>
      <w:bookmarkStart w:id="184" w:name="_Toc467855224"/>
      <w:bookmarkStart w:id="185" w:name="_Toc523999826"/>
      <w:bookmarkStart w:id="186" w:name="_Toc524082964"/>
      <w:r>
        <w:t>Kajastatav väärtus riskimaandamisinstrumentide puhul, mis ei ole tuletisinstrumendid (11.3 ja 11.3.1)</w:t>
      </w:r>
      <w:bookmarkEnd w:id="182"/>
      <w:bookmarkEnd w:id="184"/>
      <w:bookmarkEnd w:id="185"/>
      <w:bookmarkEnd w:id="186"/>
    </w:p>
    <w:p w:rsidR="009569C7" w:rsidRPr="00EC4FA2" w:rsidRDefault="00A834F1" w:rsidP="009569C7">
      <w:pPr>
        <w:pStyle w:val="Baseparagraphnumbered"/>
      </w:pPr>
      <w:r>
        <w:t>Riskimaandamisinstrumentide puhul, mis ei ole tuletisinstrumendid, on kajastatav väärtus kohaldatavate mõõtmiseeskirjade kohane bilansiline väärtus arvestusportfellide puhul, kuhu nad IFRSi või BADil põhineva siseriikliku GAAPi kohaselt kuuluvad. Riskimaandamisinstrumentide puhul, mis ei ole tuletisinstrumendid, ei kajastata tinglikku väärtust.</w:t>
      </w:r>
    </w:p>
    <w:p w:rsidR="009569C7" w:rsidRPr="00EC4FA2" w:rsidRDefault="00A834F1" w:rsidP="009569C7">
      <w:pPr>
        <w:pStyle w:val="sub-subtitlenumbered"/>
        <w:jc w:val="both"/>
      </w:pPr>
      <w:bookmarkStart w:id="187" w:name="_Toc467855225"/>
      <w:bookmarkStart w:id="188" w:name="_Toc523999827"/>
      <w:bookmarkStart w:id="189" w:name="_Toc524082965"/>
      <w:r>
        <w:t>Õiglase väärtuse riskimaanduse maandatavad instrumendid (11.4)</w:t>
      </w:r>
      <w:bookmarkEnd w:id="187"/>
      <w:bookmarkEnd w:id="188"/>
      <w:bookmarkEnd w:id="189"/>
    </w:p>
    <w:p w:rsidR="009569C7" w:rsidRPr="00EC4FA2" w:rsidRDefault="00A834F1" w:rsidP="009569C7">
      <w:pPr>
        <w:pStyle w:val="Baseparagraphnumbered"/>
        <w:tabs>
          <w:tab w:val="left" w:pos="851"/>
        </w:tabs>
        <w:ind w:left="709"/>
      </w:pPr>
      <w:r>
        <w:t>Finantsseisundi aruandes kajastatavate õiglase väärtuse riskimaanduse maandatavate instrumentide bilansiline väärtus jaotatakse maandatavate finantsvarade ja maandatavate finantskohustuste puhul arvestusportfellide ja maandatava riski liikide kaupa. Kui finantsinstrumendi puhul on maandatud mitu riski, kajastatakse instrument riski liigi all, mille all riskimaandamisinstrument vastavalt</w:t>
      </w:r>
      <w:r w:rsidR="00D452D1">
        <w:t xml:space="preserve"> punktile 129 kajastatakse.</w:t>
      </w:r>
    </w:p>
    <w:p w:rsidR="009569C7" w:rsidRPr="00EC4FA2" w:rsidRDefault="00A834F1" w:rsidP="009569C7">
      <w:pPr>
        <w:pStyle w:val="Baseparagraphnumbered"/>
      </w:pPr>
      <w:r>
        <w:lastRenderedPageBreak/>
        <w:t>„Riski mikromaandus“ on muu riskimaandus kui portfelli intressiriski maandus vastavalt IAS 39 paragrahvile 89A. Riski mikromaandus hõlmab netopositsioonide riskimaandust vastavalt IFRS 9 paragrahvile 6.6.</w:t>
      </w:r>
    </w:p>
    <w:p w:rsidR="009569C7" w:rsidRPr="00EC4FA2" w:rsidRDefault="00A834F1" w:rsidP="009569C7">
      <w:pPr>
        <w:pStyle w:val="Baseparagraphnumbered"/>
      </w:pPr>
      <w:r>
        <w:t>„Riski mikromaanduste korrigeerimine“ hõlmab kõiki riski mikromaanduste korrigeerimisi, n</w:t>
      </w:r>
      <w:r w:rsidR="00EB47EC">
        <w:t>agu on määratletud punktis 147.</w:t>
      </w:r>
    </w:p>
    <w:p w:rsidR="009569C7" w:rsidRPr="00EC4FA2" w:rsidRDefault="00A834F1" w:rsidP="009569C7">
      <w:pPr>
        <w:pStyle w:val="Baseparagraphnumbered"/>
      </w:pPr>
      <w:r>
        <w:t xml:space="preserve"> „Varade/kohustuste bilansilises väärtuses sisalduvad riskimaanduse korrigeerimised“ on maandatavate instrumentide kasumi ja kahjumi summa, millega on korrigeeritud kõnealuste instrumentide bilansilist väärtust ja mida on kajastatud kasumiaruandes. Selliste maandatavate instrumentide riskimaanduse korrigeerimised, mis on õiglases väärtuses läbi muu koondkasumi mõõdetud omakapitaliinstrumendid, kajastatakse vormis 1.3. Kajastamata kindlate kohustuste või nende komponentide riskimaanduse korrigeerimisi ei kajastata.</w:t>
      </w:r>
    </w:p>
    <w:p w:rsidR="009569C7" w:rsidRPr="00EC4FA2" w:rsidRDefault="00A834F1" w:rsidP="009569C7">
      <w:pPr>
        <w:pStyle w:val="Baseparagraphnumbered"/>
      </w:pPr>
      <w:r>
        <w:t>„Lõpetatud riski mikromaanduste, sh netopositsioonide riskimaanduste muud korrigeerimised“ hõlmavad riskimaanduse korrigeerimisi, mis riskimaanduse lõpetamise ja maandatavate instrumentide maandamise kasumi ja kahjumiga korrigeerimise lõpetamise järel tuleb amortiseerida kasumisse või kahjumisse amortiseeritud soetusväärtuses mõõdetavate maandatavate instrumentide efektiivse intressimäära ümberarvutamise kaudu või summasse, mis kajastab õiglases väärtuses läbi muu koondkasumi mõõdetud maandatavate instrumentide varem kajastatud riskimaanduse kogukasumit või -kahjumit.</w:t>
      </w:r>
    </w:p>
    <w:p w:rsidR="009569C7" w:rsidRPr="00EC4FA2" w:rsidRDefault="00A834F1" w:rsidP="009569C7">
      <w:pPr>
        <w:pStyle w:val="Baseparagraphnumbered"/>
      </w:pPr>
      <w:r>
        <w:t>Kui finantsvarade või finantskohustuste rühma, sealhulgas netopositsiooni moodustavate finantsvarade või finantskohustuste rühm, võib käsitada maandatava instrumendina, kajastatakse sellesse rühma kuuluvaid finantsvarasid ja finantskohustusi bilansilises brutoväärtuses enne rühma kuuluvate instrumentide tasaarvestamist kirje „netopositsiooni riskimaanduses sisalduvad varad või kohustused (enne tasaarvestust)“ all.</w:t>
      </w:r>
    </w:p>
    <w:p w:rsidR="009569C7" w:rsidRPr="00EC4FA2" w:rsidRDefault="00A834F1" w:rsidP="009569C7">
      <w:pPr>
        <w:pStyle w:val="Baseparagraphnumbered"/>
      </w:pPr>
      <w:r>
        <w:t>„Portfelli intressiriski maandamisel maandatavad instrumendid“ hõlmab finantsvarade või finantskohustuste portfelli intressiriski õiglase väärtuse riskimaandusega hõlmatud finantsvarasid ja finantskohustusi. Kõnealuseid finantsinstrumente kajastatakse bilansilises brutoväärtuses enne portfelli kuuluvate instrumentide tasaarvestamist.</w:t>
      </w:r>
    </w:p>
    <w:p w:rsidR="009569C7" w:rsidRPr="00EC4FA2" w:rsidRDefault="00A834F1" w:rsidP="009569C7">
      <w:pPr>
        <w:pStyle w:val="subtitlenumbered"/>
        <w:numPr>
          <w:ilvl w:val="0"/>
          <w:numId w:val="17"/>
        </w:numPr>
        <w:jc w:val="both"/>
        <w:rPr>
          <w:kern w:val="32"/>
        </w:rPr>
      </w:pPr>
      <w:bookmarkStart w:id="190" w:name="_Toc461526818"/>
      <w:bookmarkStart w:id="191" w:name="_Toc461526819"/>
      <w:bookmarkStart w:id="192" w:name="_Toc461526820"/>
      <w:bookmarkStart w:id="193" w:name="_Toc461526821"/>
      <w:bookmarkStart w:id="194" w:name="_Toc461526822"/>
      <w:bookmarkStart w:id="195" w:name="_Toc361844228"/>
      <w:bookmarkStart w:id="196" w:name="_Toc467855226"/>
      <w:bookmarkStart w:id="197" w:name="_Toc523999828"/>
      <w:bookmarkStart w:id="198" w:name="_Toc524082966"/>
      <w:bookmarkEnd w:id="190"/>
      <w:bookmarkEnd w:id="191"/>
      <w:bookmarkEnd w:id="192"/>
      <w:bookmarkEnd w:id="193"/>
      <w:bookmarkEnd w:id="194"/>
      <w:r>
        <w:t>Muutused krediidikahju allahindlustes ja eraldistes (12)</w:t>
      </w:r>
      <w:bookmarkEnd w:id="195"/>
      <w:bookmarkEnd w:id="196"/>
      <w:bookmarkEnd w:id="197"/>
      <w:bookmarkEnd w:id="198"/>
    </w:p>
    <w:p w:rsidR="009569C7" w:rsidRPr="00EC4FA2" w:rsidRDefault="00A834F1" w:rsidP="009569C7">
      <w:pPr>
        <w:pStyle w:val="sub-subtitlenumbered"/>
      </w:pPr>
      <w:bookmarkStart w:id="199" w:name="_Toc437268758"/>
      <w:bookmarkStart w:id="200" w:name="_Toc437268759"/>
      <w:bookmarkStart w:id="201" w:name="_Toc467855227"/>
      <w:bookmarkStart w:id="202" w:name="_Toc523999829"/>
      <w:bookmarkStart w:id="203" w:name="_Toc524082967"/>
      <w:bookmarkEnd w:id="199"/>
      <w:bookmarkEnd w:id="200"/>
      <w:r>
        <w:t>Muutused krediidikahju ja omakapitaliinstrumentide väärtuse langusega seotud allahindlustes BADil põhineva siseriikliku GAAPi kohaselt (12.0)</w:t>
      </w:r>
      <w:bookmarkEnd w:id="201"/>
      <w:bookmarkEnd w:id="202"/>
      <w:bookmarkEnd w:id="203"/>
    </w:p>
    <w:p w:rsidR="009569C7" w:rsidRPr="00EC4FA2" w:rsidRDefault="00A834F1" w:rsidP="009569C7">
      <w:pPr>
        <w:pStyle w:val="Baseparagraphnumbered"/>
      </w:pPr>
      <w:r>
        <w:t xml:space="preserve">Vormis 12.0 esitatakse soetusmaksumusepõhisel meetodil mõõdetavate finantsvarade, samuti muu meetodi kohaselt mõõdetavate finantsvarade või omakapitalis kajastatavate õiglases väärtuses mõõdetavate finantsvarade allahindluse konto alg- ja lõppsaldo kooskõlastav võrdlus, kui BADil põhineva siseriikliku GAAPi kohaselt on ette nähtud kohaldada nende varade suhtes väärtuse langust. Soetusmaksumuses või turuväärtuses, olenevalt </w:t>
      </w:r>
      <w:r>
        <w:lastRenderedPageBreak/>
        <w:t>sellest, kumb on madalam, mõõdetavate varade väärtuse korrigeer</w:t>
      </w:r>
      <w:r w:rsidR="00EB47EC">
        <w:t>imisi vormis 12.0 ei kajastata.</w:t>
      </w:r>
    </w:p>
    <w:p w:rsidR="009569C7" w:rsidRPr="00EC4FA2" w:rsidRDefault="00A834F1" w:rsidP="009569C7">
      <w:pPr>
        <w:pStyle w:val="Baseparagraphnumbered"/>
      </w:pPr>
      <w:r>
        <w:t>„Suurenemised seoses summadega, mis on kõrvale pandud hinnangulise laenukahjumi jaoks perioodi jooksul“ kajastatakse siis, kui varade põhikategooria või vastaspoole puhul kajastatakse asjaomasel perioodil varade väärtuse languse hindamise tulemusena netokulu; ehk kui asjaomase kategooria või vastaspoole puhul varade väärtuse languse suurenemised perioodi jooksul ületavad vähenemisi. „Vähenemised seoses summadega, mis on hinnangulise laenukahjumi puhul perioodi jooksul tühistatud“ kajastatakse siis, kui varade põhikategooria või vastaspoole puhul kajastatakse asjaomasel perioodil varade väärtuse languse hindamise tulemusena netotulu; ehk kui asjaomase kategooria või vastaspoole puhul varade väärtuse languse vähenemised perioodi jooksul ületavad suurenemisi.</w:t>
      </w:r>
    </w:p>
    <w:p w:rsidR="009569C7" w:rsidRPr="00EC4FA2" w:rsidRDefault="00A834F1" w:rsidP="009569C7">
      <w:pPr>
        <w:pStyle w:val="Baseparagraphnumbered"/>
      </w:pPr>
      <w:r>
        <w:t>Finantsvarade tagasimaksmisest või müügist tulenevad allahindluse summade muutused kajastatakse kirje „muud korrigeerimised“ all. Mahakandmised kajastatakse vastavalt punktidele 72–74.</w:t>
      </w:r>
    </w:p>
    <w:p w:rsidR="009569C7" w:rsidRPr="00EC4FA2" w:rsidRDefault="00A834F1" w:rsidP="009569C7">
      <w:pPr>
        <w:pStyle w:val="sub-subtitlenumbered"/>
        <w:jc w:val="both"/>
      </w:pPr>
      <w:bookmarkStart w:id="204" w:name="_Toc467855228"/>
      <w:bookmarkStart w:id="205" w:name="_Toc523999830"/>
      <w:bookmarkStart w:id="206" w:name="_Toc524082968"/>
      <w:r>
        <w:t>Muutused krediidikahju allahindlustes ja eraldistes IFRSi kohaselt (12.1)</w:t>
      </w:r>
      <w:bookmarkEnd w:id="204"/>
      <w:bookmarkEnd w:id="205"/>
      <w:bookmarkEnd w:id="206"/>
    </w:p>
    <w:p w:rsidR="009569C7" w:rsidRPr="00EC4FA2" w:rsidRDefault="00A834F1" w:rsidP="009569C7">
      <w:pPr>
        <w:pStyle w:val="Baseparagraphnumbered"/>
        <w:rPr>
          <w:kern w:val="32"/>
        </w:rPr>
      </w:pPr>
      <w:r>
        <w:t xml:space="preserve"> Vormis 12.1 esitatakse amortiseeritud soetusväärtuses ja õiglases väärtuses läbi muu koondkasumi mõõdetud finantsvarade allahindluse konto alg- ja lõppsaldo kooskõlastav võrdlus jaotatuna väärtuse languse etappide, instrum</w:t>
      </w:r>
      <w:r w:rsidR="00D452D1">
        <w:t>entide ja vastaspoolte lõikes.</w:t>
      </w:r>
    </w:p>
    <w:p w:rsidR="009569C7" w:rsidRPr="00EC4FA2" w:rsidRDefault="00A834F1" w:rsidP="009569C7">
      <w:pPr>
        <w:pStyle w:val="Baseparagraphnumbered"/>
        <w:rPr>
          <w:kern w:val="32"/>
        </w:rPr>
      </w:pPr>
      <w:r>
        <w:t>Selliste bilansiväliste riskipositsioonide eraldised, mille suhtes kohaldatakse IFRS 9 kohaseid väärtuse languse nõudeid, esitatakse väärtuse languse etappide lõikes. Siduvate laenuandmiskohustuste väärtuse langus kajastatakse eraldistena üksnes juhul, kui seda ei käsitleta koos bilansiliste varade väärtuse langusega vastavalt IFRS 9 paragrahvile 7.B8E ja käesoleva osa punktile 108. Muutusi IAS 37 kohaselt mõõtetud siduvate kohustuste ja finantsgarantiide ja IFRS 4 kohaste kindlustuslepingutena käsitatavate finantsgarantiide eraldistes ei kajastata selles vormis, vaid vormis 43. IFRSI 9 kohaselt õiglases väärtuses muutustega läbi kasumiaruande mõõdetud siduvate kohustuste ja finantsgarantiide krediidiriskist tulenevaid õiglase väärtuse muutusi ei kajastata selles vormis, vaid kirje „õiglases väärtuses muutustega läbi kasumiaruande kajastatud finantsvaradest ja -kohustustest tulenev netokasum või (–) -netokahjum“ all vastavalt käesoleva osa punktile 50.</w:t>
      </w:r>
    </w:p>
    <w:p w:rsidR="009569C7" w:rsidRPr="00EC4FA2" w:rsidRDefault="00A834F1" w:rsidP="009569C7">
      <w:pPr>
        <w:pStyle w:val="Baseparagraphnumbered"/>
        <w:rPr>
          <w:kern w:val="32"/>
        </w:rPr>
      </w:pPr>
      <w:r>
        <w:t>Kirjed „millest: kogumipõhiselt mõõdetud allahindlused“ ja „millest: individuaalselt mõõdetud allahindlused“ hõlmavad finantsvarade väärtuse languse kogusumma muutusi, mida on vastavalt mõõdetud kogu</w:t>
      </w:r>
      <w:r w:rsidR="00EB47EC">
        <w:t>mipõhiselt või individuaalselt.</w:t>
      </w:r>
    </w:p>
    <w:p w:rsidR="009569C7" w:rsidRPr="00EC4FA2" w:rsidRDefault="00A834F1" w:rsidP="009569C7">
      <w:pPr>
        <w:pStyle w:val="Baseparagraphnumbered"/>
      </w:pPr>
      <w:r>
        <w:t xml:space="preserve">„Tekitamisest ja omandamisest tulenev suurenemine“ hõlmab tekitatud või omandatud finantsvarade esmasel kajastamisel kajastatud eeldatava kahju suurenemise summat. Sellist allahindluse suurenemist kajastatakse kõnealuste finantsvarade tekitamisele või omandamisele järgneva esimese </w:t>
      </w:r>
      <w:r>
        <w:lastRenderedPageBreak/>
        <w:t>aruandekuupäeva seisuga. Finantsvarade eeldatava kahju suurenemist või vähenemist pärast kõnealuste varade esmast kajastamist kajastatakse muudes veergudes, nagu see on asjakohane. Tekitatud või omandatud finantsvarad hõlmavad bilansiväliste võetud siduvate kohustuste täitmisest tulenevaid varasid.</w:t>
      </w:r>
    </w:p>
    <w:p w:rsidR="009569C7" w:rsidRPr="00EC4FA2" w:rsidRDefault="00A834F1" w:rsidP="009569C7">
      <w:pPr>
        <w:pStyle w:val="Baseparagraphnumbered"/>
      </w:pPr>
      <w:r>
        <w:t>„Kajastamise lõpetamisest tulenev vähenemine“ hõlmab selliste ootava kahju muutuste summat, mis tulenevad finantsvarade kajastamise täielikust lõpetamisest aruandeperioodil muudel põhjustel kui mahakandmine, mis hõlmavad üleandmist kolmandatele isikutele või lepinguliste õiguste lõppemist täieliku tagasimaksmise tõttu, kõnealuste finantsvarade müüki või nende ülekandmist muusse arvestusportfelli. Allahindluse muutust kajastatakse selles veerus tagasimaksmisele, müügile või ülekandmisele järgneva esimese aruandekuupäeva seisuga. Bilansiväliste riskipositsioonide puhul hõlmab see kirje ka väärtuse languse vähenemist, mis on tingitud bilansivälise instrumendi muutumisest bilansiliseks varaks.</w:t>
      </w:r>
    </w:p>
    <w:p w:rsidR="009569C7" w:rsidRPr="00EC4FA2" w:rsidRDefault="00A834F1" w:rsidP="009569C7">
      <w:pPr>
        <w:pStyle w:val="Baseparagraphnumbered"/>
      </w:pPr>
      <w:r>
        <w:t>„Krediidiriski muutusest tingitud muutused (neto)“ hõlmab eeldatava kahju selliste muutuste netosummat aruandeperioodi lõpus, mis on tingitud krediidiriski suurenemisest või vähenemisest alates esmasest kajastamisest, olenemata sellest, kas nende tõttu on finantsvara kantud üle muusse etappi. Selles veerus kajastatakse selline mõju allahindlusele, mis on tingitud finantsvara summa suurenemisest või vähenemisest intressitulu saamise või maksmise tagajärjel. See kirje hõlmab ka eeldatava kahju puhul aja möödumise mõju vastavalt IFRS 9 paragrahvi 5.4.1 punktidele a ja b. Selles veerus kajastatakse ka riskiparameetrite ajakohastamisest või läbivaatamisest tingitud hinnangute muutused ja tulevikku suunatud majandusandmete muutused. Selles veerus kajastatakse eeldatava kahju muutused seoses nõuete osalise tagasimaksmisega osamaksetena, välja arvatud viimane osamakse, mis kajastatakse veerus „kajastamise lõpetamisest tulenev vähenemine“.</w:t>
      </w:r>
    </w:p>
    <w:p w:rsidR="009569C7" w:rsidRPr="00EC4FA2" w:rsidRDefault="00A834F1" w:rsidP="009569C7">
      <w:pPr>
        <w:pStyle w:val="Baseparagraphnumbered"/>
      </w:pPr>
      <w:r>
        <w:t>Kõik uuenevate nõuetega seotud eeldatava krediidikahju muudatused kajastatakse veerus „krediidiriski muutusest tingitud muutused (neto)“, välja arvatud muutused, mis on seotud mahakandmistega ja krediidiasutuse või investeerimisühingu krediidikahju hindamise metoodika ajakohastamisega. Uuenevad nõuded on nõuded, mille puhul klientide laekumata ja tasumata saldod võivad kõikuda vastavalt sellele, kuidas nad otsustavad laenu võtta ja tagasi maksta krediidiasutuse või investeerimisühingu kehtestatud limiidi piires.</w:t>
      </w:r>
    </w:p>
    <w:p w:rsidR="009569C7" w:rsidRPr="00EC4FA2" w:rsidRDefault="00A834F1" w:rsidP="009569C7">
      <w:pPr>
        <w:pStyle w:val="Baseparagraphnumbered"/>
      </w:pPr>
      <w:r>
        <w:t>„Krediidiasutuse või investeerimisühingu hindamismetoodika ajakohastamisest tingitud muutused (neto)“ hõlmab krediidiasutuse või investeerimisühingu eeldatava kahju hindamise metoodika sellisest ajakohastamisest tulenevaid muutusi, mis on tingitud olemasolevate väärtuse languse hindamise mudelite muutmisest või uute mudelite kehtestamisest. Metoodika ajakohastamine hõlmab ka uute standardite kasutuselevõtu mõju. Metoodika muudatusi, mille tulemusel muutub vara väärtuse languse etapp, käsitatakse täielikult mudeli muudatustena. Riskiparameetrite ajakohastamisest või läbivaatamisest tingitud hinnangute muutusi ja tulevikku suunatud majandusandmete muutusi selles veerus ei kajastata.</w:t>
      </w:r>
    </w:p>
    <w:p w:rsidR="009569C7" w:rsidRPr="00EC4FA2" w:rsidRDefault="00A834F1" w:rsidP="009569C7">
      <w:pPr>
        <w:pStyle w:val="Baseparagraphnumbered"/>
      </w:pPr>
      <w:r>
        <w:lastRenderedPageBreak/>
        <w:t>Muudetud varadega seotud eeldatava kahju muudatuste [IFRS 9 paragrahv 5.4.3 ja lisa A] kajastamine sõltub muudatus</w:t>
      </w:r>
      <w:r w:rsidR="00EB47EC">
        <w:t>e laadist vastavalt järgmisele:</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kui muudatus tuleneb vara kajastamise osalisest või täielikust lõpetamisest punktis 74 määratletud mahakandmise tõttu, kajastatakse kajastamise lõpetamise mõju eeldatavale kahjule veerus „mahakandmistest tingitud allahindluse konto vähenemine“ ja mis tahes muu muutmise mõju eeldatavale krediidikahjule</w:t>
      </w:r>
      <w:r w:rsidR="00EB47EC">
        <w:rPr>
          <w:rFonts w:ascii="Times New Roman" w:hAnsi="Times New Roman"/>
          <w:sz w:val="24"/>
        </w:rPr>
        <w:t xml:space="preserve"> muudes asjakohastes veergudes;</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kui muudatus tuleneb vara kajastamise täielikust lõpetamisest muudel põhjustel kui punktis 74 määratletud mahakandmine ja selle asendamisest uue varaga, kajastatakse muudatuse mõju eeldatavale kahjule veerus „muudatused kajastamise lõpetamise tõttu“ muudatuste puhul, mis on tingitud vara kajastamise lõpetamisest, ja veerus „tekitamisest ja omandamisest tulenev suurenemine“ muudatuste puhul, mis on tingitud uuesti kajastatud muudetud varast. Kajastamise lõpetamine muudel põhjustel kui mahakandmine hõlmab mahakandmist juhul, kui muudetud vara ti</w:t>
      </w:r>
      <w:r w:rsidR="00D452D1">
        <w:rPr>
          <w:rFonts w:ascii="Times New Roman" w:hAnsi="Times New Roman"/>
          <w:sz w:val="24"/>
        </w:rPr>
        <w:t>ngimused on oluliselt muutunud;</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kui muudatus ei tulene kogu muudetud vara või selle osa kajastamise lõpetamisest, kajastatakse selle mõju eeldatavale kahjule veerus „muudatustest ilma kajastamise lõ</w:t>
      </w:r>
      <w:r w:rsidR="00D452D1">
        <w:rPr>
          <w:rFonts w:ascii="Times New Roman" w:hAnsi="Times New Roman"/>
          <w:sz w:val="24"/>
        </w:rPr>
        <w:t>petamiseta tingitud muutused“.</w:t>
      </w:r>
    </w:p>
    <w:p w:rsidR="009569C7" w:rsidRPr="00EC4FA2" w:rsidRDefault="00A834F1" w:rsidP="009569C7">
      <w:pPr>
        <w:pStyle w:val="Baseparagraphnumbered"/>
      </w:pPr>
      <w:r>
        <w:t xml:space="preserve">Mahakandmine kajastatakse vastavalt käesoleva lisa käesoleva osa </w:t>
      </w:r>
      <w:r w:rsidR="00D452D1">
        <w:t>punktidele 72–74 ja järgmisele:</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kui võlainstrumendi kajastamine osaliselt või täielikult lõpetatakse, kuna mõistlike ootuste kohaselt summasid tagasi ei saada, kajastatakse maha kantud summadest tingitud kajastatud kahju allahindluse vähenemine veerus „mahakandmistest tingitud allahindluse konto vähenemine“.</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„Otse kasumiaruandes maha kantud summad“ on aruandeperioodil maha kantud finantsvarade summad, mis ületavad vastavate finantsvarade mis tahes allahindluse kontot kajastamise lõpetamise kuupäeva seisuga. Need hõlmavad kõiki aruandeperioodil maha kantud summasid ja mitte üksnes neid summasid, mille suht</w:t>
      </w:r>
      <w:r w:rsidR="00D452D1">
        <w:rPr>
          <w:rFonts w:ascii="Times New Roman" w:hAnsi="Times New Roman"/>
          <w:sz w:val="24"/>
        </w:rPr>
        <w:t>es võetakse veel täitemeetmeid.</w:t>
      </w:r>
    </w:p>
    <w:p w:rsidR="009569C7" w:rsidRPr="00EC4FA2" w:rsidRDefault="00A834F1" w:rsidP="009569C7">
      <w:pPr>
        <w:pStyle w:val="Baseparagraphnumbered"/>
      </w:pPr>
      <w:r>
        <w:t>„Muud korrigeerimised“ hõlmab kõiki summasid, mida ei ole kajastatud eelnenud veergudes, sealhulgas vahetuskursi erinevustest tingitud eeldatava kahju korrigeerimist, kui see on kooskõlas vahetuskurs</w:t>
      </w:r>
      <w:r w:rsidR="00D452D1">
        <w:t>i mõju kajastamisega vormis 2.</w:t>
      </w:r>
    </w:p>
    <w:p w:rsidR="009569C7" w:rsidRPr="00EC4FA2" w:rsidRDefault="00A834F1" w:rsidP="009569C7">
      <w:pPr>
        <w:pStyle w:val="sub-subtitlenumbered"/>
        <w:jc w:val="both"/>
      </w:pPr>
      <w:bookmarkStart w:id="207" w:name="_Toc467855229"/>
      <w:bookmarkStart w:id="208" w:name="_Toc523999831"/>
      <w:bookmarkStart w:id="209" w:name="_Toc524082969"/>
      <w:r>
        <w:t>Ülekandmised väärtuse languse etappide vahel (esitatakse brutosummas) (12.2)</w:t>
      </w:r>
      <w:bookmarkEnd w:id="207"/>
      <w:bookmarkEnd w:id="208"/>
      <w:bookmarkEnd w:id="209"/>
    </w:p>
    <w:p w:rsidR="009569C7" w:rsidRPr="00EC4FA2" w:rsidRDefault="00A834F1" w:rsidP="009569C7">
      <w:pPr>
        <w:pStyle w:val="Baseparagraphnumbered"/>
      </w:pPr>
      <w:r>
        <w:t>Vormis 12.2 esitatakse finantsvarade puhul selline bilansiline brutoväärtus ja bilansiväliste riskipositsioonide puhul, mille suhtes kohaldatakse IFRS 9 kohaseid väärtuse languse nõudeid, selline nimiväärtus, mis on aruandeperioodil üle kantud väärtuse languse et</w:t>
      </w:r>
      <w:r w:rsidR="00D452D1">
        <w:t>appide vahel.</w:t>
      </w:r>
    </w:p>
    <w:p w:rsidR="009569C7" w:rsidRPr="00EC4FA2" w:rsidRDefault="00A834F1" w:rsidP="009569C7">
      <w:pPr>
        <w:pStyle w:val="Baseparagraphnumbered"/>
      </w:pPr>
      <w:r>
        <w:t xml:space="preserve">Kajastatakse üksnes selliste finantsvarade või bilansiväliste riskipositsioonide bilansiline brutoväärtus või nimiväärtus, mis on </w:t>
      </w:r>
      <w:r>
        <w:lastRenderedPageBreak/>
        <w:t>aruandekuupäeval muus väärtuse languse etapis, kui nad olid majandusaasta algul või nende esmasel kajastamisel. Bilansiliste riskipositsioonide puhul, mille puhul hõlmab vormis 12.1 esitatud väärtuse langus bilansivälist komponenti [IFRS 9 paragrahv 5.5.20 ja IFRS 7 paragrahv B8E], võetakse arvesse bilansilise ja bilansivälise komponendi etapi muutust.</w:t>
      </w:r>
    </w:p>
    <w:p w:rsidR="009569C7" w:rsidRPr="00EC4FA2" w:rsidRDefault="00A834F1" w:rsidP="009569C7">
      <w:pPr>
        <w:pStyle w:val="Baseparagraphnumbered"/>
      </w:pPr>
      <w:r>
        <w:t>Majandusaastal toimunud ülekandmiste kajastamisel kajastatakse finantsvarad või bilansivälised riskipositsioonid, mille väärtuse languse etapp on alates majandusaasta algusest või nende esmasest kajastamisest mitu korda muutunud, nii nagu nad oleks väärtuse languse etapist, kus nad olid majandusaasta alguses või nende esmasel kajastamisel, üle viidud väärtuse languse etappi, kus nad on aruandkuupäeva seisuga.</w:t>
      </w:r>
    </w:p>
    <w:p w:rsidR="009569C7" w:rsidRPr="00EC4FA2" w:rsidRDefault="00A834F1" w:rsidP="009569C7">
      <w:pPr>
        <w:pStyle w:val="Baseparagraphnumbered"/>
      </w:pPr>
      <w:r>
        <w:t>Vormis 12.2 kajastatav bilansiline brutoväärtus või nimiväärtus on bilansiline brutoväärtus või nimiväärtus aruandekuupäeva seisuga, sõltumata sellest, kas see väärtus oli ülekandmise kuupäeval suurem või väiksem.</w:t>
      </w:r>
    </w:p>
    <w:p w:rsidR="009569C7" w:rsidRPr="00EC4FA2" w:rsidRDefault="00A834F1" w:rsidP="009569C7">
      <w:pPr>
        <w:pStyle w:val="subtitlenumbered"/>
        <w:keepNext/>
        <w:ind w:left="357" w:hanging="357"/>
        <w:jc w:val="both"/>
      </w:pPr>
      <w:bookmarkStart w:id="210" w:name="_Toc362359300"/>
      <w:bookmarkStart w:id="211" w:name="_Toc467855230"/>
      <w:bookmarkStart w:id="212" w:name="_Toc523999832"/>
      <w:bookmarkStart w:id="213" w:name="_Toc361844229"/>
      <w:bookmarkStart w:id="214" w:name="_Toc524082970"/>
      <w:r>
        <w:t>Saadud tagatised ja garantiid (13)</w:t>
      </w:r>
      <w:bookmarkEnd w:id="210"/>
      <w:bookmarkEnd w:id="211"/>
      <w:bookmarkEnd w:id="212"/>
      <w:bookmarkEnd w:id="214"/>
    </w:p>
    <w:p w:rsidR="009569C7" w:rsidRPr="00EC4FA2" w:rsidRDefault="00A834F1" w:rsidP="009569C7">
      <w:pPr>
        <w:pStyle w:val="sub-subtitlenumbered"/>
        <w:jc w:val="both"/>
      </w:pPr>
      <w:bookmarkStart w:id="215" w:name="_Toc361844230"/>
      <w:bookmarkStart w:id="216" w:name="_Toc362359301"/>
      <w:bookmarkStart w:id="217" w:name="_Toc467855231"/>
      <w:bookmarkStart w:id="218" w:name="_Toc523999833"/>
      <w:bookmarkStart w:id="219" w:name="_Toc524082971"/>
      <w:bookmarkEnd w:id="213"/>
      <w:r>
        <w:t>Tagatiste ja garantiide jaotus laenude ja ettemaksete kaupa (muud kui kauplemiseks hoitavad) (13.1)</w:t>
      </w:r>
      <w:bookmarkEnd w:id="215"/>
      <w:bookmarkEnd w:id="216"/>
      <w:bookmarkEnd w:id="217"/>
      <w:bookmarkEnd w:id="218"/>
      <w:bookmarkEnd w:id="219"/>
    </w:p>
    <w:p w:rsidR="009569C7" w:rsidRPr="00EC4FA2" w:rsidRDefault="00A834F1" w:rsidP="009569C7">
      <w:pPr>
        <w:pStyle w:val="Baseparagraphnumbered"/>
        <w:tabs>
          <w:tab w:val="left" w:pos="851"/>
        </w:tabs>
        <w:ind w:left="709"/>
      </w:pPr>
      <w:r>
        <w:t>Laene ja ettemakseid tagavad tagatised ja garantiid esitatakse sõltumata nende õiguslikust vormist tagatise liigi kaupa: kinnisvaraga tagatud laenud ja muud tagatisega laenud ning saadud finantsgarantiiga tagatud laenud. Laenud ja ettemaksed jaotatakse v</w:t>
      </w:r>
      <w:r w:rsidR="00EB47EC">
        <w:t>astaspoolte ja otstarbe alusel.</w:t>
      </w:r>
    </w:p>
    <w:p w:rsidR="009569C7" w:rsidRPr="00EC4FA2" w:rsidRDefault="00A834F1" w:rsidP="009569C7">
      <w:pPr>
        <w:pStyle w:val="Baseparagraphnumbered"/>
        <w:tabs>
          <w:tab w:val="left" w:pos="851"/>
        </w:tabs>
        <w:ind w:left="709"/>
      </w:pPr>
      <w:r>
        <w:t>Vormis 13.1 kajastatakse „tagatise või garantii maksimaalne summa, mida saab arvesse võtta“. Vormi 13.1 veergudes esitatud finantsgarantii ja/või tagatise väärtuste summa ei tohi ületada sellega seo</w:t>
      </w:r>
      <w:r w:rsidR="00EB47EC">
        <w:t>tud laenu bilansilist väärtust.</w:t>
      </w:r>
    </w:p>
    <w:p w:rsidR="009569C7" w:rsidRPr="00EC4FA2" w:rsidRDefault="00A834F1" w:rsidP="009569C7">
      <w:pPr>
        <w:pStyle w:val="Baseparagraphnumbered"/>
        <w:tabs>
          <w:tab w:val="left" w:pos="851"/>
        </w:tabs>
        <w:ind w:left="709"/>
      </w:pPr>
      <w:r>
        <w:t>Laenude ja ettemaksete kajastamisel vastavalt pandi liigile kasutatakse järgmisi määratlusi: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kirje „kinnisvaraga tagatud laenud“ all hõlmab „elamukinnisvara“ laenusid, mis on tagatud elamukinnisvaraga, ja „ärikinnisvara“ laenusid, mis on tagatud muu kui elamukinnisvaraga, sealhulgas kontori- ja äripinnad ning muud liiki ärikinnisvara. See, kas kinnisvaratagatise puhul on tegemist elamu- või ärikinnisvaraga, määratakse kindlaks kapitalinõuete määruse kohaselt;</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„muud tagatisega laenud“ hõlmab „raha [emiteeritud võlainstrumendid]“, kuhu kuuluvad a) laenu tagatiseks antud hoiused aruandvas krediidiasutuses või investeerimisühingus ja b) aruandva krediidiasutuse või investeerimisühingu emiteeritud võlaväärtpaberid, mis on antud laenu tagatiseks. „Ülejäänud“ hõlmab mis tahes kolmandate isikute emiteeritud muude väärtpaberite või muu vara pante;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„saadud finantsgarantiid“ hõlmab lepinguid, mis vastavalt käesoleva lisa käesoleva osa punktile 114 nõuavad garantiiandjalt kindlaksmääratud maksete sooritamist, et hüvitada krediidiasutusele või </w:t>
      </w:r>
      <w:r>
        <w:rPr>
          <w:rFonts w:ascii="Times New Roman" w:hAnsi="Times New Roman"/>
          <w:sz w:val="24"/>
        </w:rPr>
        <w:lastRenderedPageBreak/>
        <w:t>investeerimisühingule tekkinud kahju, kui kindlaksmääratud võlgnik ei tee tähtaegselt makseid vastavalt võlainstrumendi algsetele või muudetud tingimustele.</w:t>
      </w:r>
    </w:p>
    <w:p w:rsidR="009569C7" w:rsidRPr="00EC4FA2" w:rsidRDefault="00A834F1" w:rsidP="009569C7">
      <w:pPr>
        <w:pStyle w:val="Baseparagraphnumbered"/>
      </w:pPr>
      <w:r>
        <w:t>Laenude ja ettemaksete puhul, millel on samaaegselt rohkem kui üht liiki tagatis või garantii, jaotatakse tagatise või garantii maksimaalne summa, mida saab arvesse võtta, vastavalt tagatise või garantii kvaliteedile, alustades parima kvaliteediga tagatisest või garantiist. Kinnisvaraga tagatud laenude puhul esitatakse kinnisvaratagatis alati esimesena, sõltumata selle kvaliteedist võrreldes muu tagatisega. Kui tagatise või garantii maksimaalne summa, mida saab arvesse võtta ületab kinnisvaratagatise väärtust, jaotatakse selle ülejäänud väärtus muudele tagatise ja garantii liikidele vastavalt selle kvaliteedile, alustades parima kvalitee</w:t>
      </w:r>
      <w:r w:rsidR="00EB47EC">
        <w:t>diga tagatisest või garantiist.</w:t>
      </w:r>
    </w:p>
    <w:p w:rsidR="009569C7" w:rsidRPr="00EC4FA2" w:rsidRDefault="00A834F1" w:rsidP="009569C7">
      <w:pPr>
        <w:pStyle w:val="sub-subtitlenumbered"/>
        <w:jc w:val="both"/>
      </w:pPr>
      <w:bookmarkStart w:id="220" w:name="_Toc361844231"/>
      <w:bookmarkStart w:id="221" w:name="_Toc362359302"/>
      <w:bookmarkStart w:id="222" w:name="_Toc467855232"/>
      <w:bookmarkStart w:id="223" w:name="_Toc523999834"/>
      <w:bookmarkStart w:id="224" w:name="_Toc524082972"/>
      <w:r>
        <w:t>Tagatised, mis on omandatud perioodi jooksul, võttes need enda valdusse [aruande kuupäeva seisuga valduses olevad] (13.2)</w:t>
      </w:r>
      <w:bookmarkEnd w:id="220"/>
      <w:bookmarkEnd w:id="221"/>
      <w:bookmarkEnd w:id="222"/>
      <w:bookmarkEnd w:id="223"/>
      <w:bookmarkEnd w:id="224"/>
    </w:p>
    <w:p w:rsidR="009569C7" w:rsidRPr="00EC4FA2" w:rsidRDefault="00A834F1" w:rsidP="009569C7">
      <w:pPr>
        <w:pStyle w:val="Baseparagraphnumbered"/>
        <w:tabs>
          <w:tab w:val="left" w:pos="851"/>
        </w:tabs>
        <w:ind w:left="709"/>
      </w:pPr>
      <w:r>
        <w:t>See vorm hõlmab sellise tagatise bilansilist väärtust, mis on saadud aruandeperioodi alguse ja lõpu vahel ning mida aruandekuupäeval j</w:t>
      </w:r>
      <w:r w:rsidR="00EB47EC">
        <w:t>ätkuvalt kajastatakse bilansis.</w:t>
      </w:r>
    </w:p>
    <w:p w:rsidR="009569C7" w:rsidRPr="00EC4FA2" w:rsidRDefault="00A834F1" w:rsidP="009569C7">
      <w:pPr>
        <w:pStyle w:val="sub-subtitlenumbered"/>
        <w:jc w:val="both"/>
      </w:pPr>
      <w:bookmarkStart w:id="225" w:name="_Toc361844232"/>
      <w:bookmarkStart w:id="226" w:name="_Toc362359303"/>
      <w:bookmarkStart w:id="227" w:name="_Toc467855233"/>
      <w:bookmarkStart w:id="228" w:name="_Toc523999835"/>
      <w:bookmarkStart w:id="229" w:name="_Toc524082973"/>
      <w:r>
        <w:t>Akumuleeritud tagatised, mis on omandatud, võttes need enda valdusse [materiaalne vara] (13.3)</w:t>
      </w:r>
      <w:bookmarkEnd w:id="225"/>
      <w:bookmarkEnd w:id="226"/>
      <w:bookmarkEnd w:id="227"/>
      <w:bookmarkEnd w:id="228"/>
      <w:bookmarkEnd w:id="229"/>
    </w:p>
    <w:p w:rsidR="009569C7" w:rsidRPr="00EC4FA2" w:rsidRDefault="00A834F1" w:rsidP="009569C7">
      <w:pPr>
        <w:pStyle w:val="Baseparagraphnumbered"/>
        <w:tabs>
          <w:tab w:val="left" w:pos="851"/>
        </w:tabs>
        <w:ind w:left="709"/>
      </w:pPr>
      <w:r>
        <w:t>„Tagatise üleminek [materiaalne vara]“ on selle materiaalse vara kumulatiivne bilansiline väärtus, mis on saadud, võttes valdusse tagatise, mida aruandekuupäeval jätkuvalt kajastatakse bilansis, võtmata arvesse tagatisi, mis liigitatakse kirjel „materiaalsed põhivarad“.</w:t>
      </w:r>
    </w:p>
    <w:p w:rsidR="009569C7" w:rsidRPr="00EC4FA2" w:rsidRDefault="00A834F1" w:rsidP="009569C7">
      <w:pPr>
        <w:pStyle w:val="subtitlenumbered"/>
        <w:keepNext/>
        <w:numPr>
          <w:ilvl w:val="0"/>
          <w:numId w:val="17"/>
        </w:numPr>
        <w:ind w:left="357" w:hanging="357"/>
        <w:jc w:val="both"/>
        <w:rPr>
          <w:kern w:val="32"/>
        </w:rPr>
      </w:pPr>
      <w:bookmarkStart w:id="230" w:name="_Toc246770622"/>
      <w:bookmarkStart w:id="231" w:name="_Toc361844233"/>
      <w:bookmarkStart w:id="232" w:name="_Toc362359304"/>
      <w:bookmarkStart w:id="233" w:name="_Toc467855234"/>
      <w:bookmarkStart w:id="234" w:name="_Toc523999836"/>
      <w:bookmarkStart w:id="235" w:name="_Toc524082974"/>
      <w:r>
        <w:t>Õiglase väärtuse</w:t>
      </w:r>
      <w:bookmarkEnd w:id="230"/>
      <w:r>
        <w:t xml:space="preserve"> hierarhia: õiglases väärtuses finantsinstrumendid (14)</w:t>
      </w:r>
      <w:bookmarkEnd w:id="231"/>
      <w:bookmarkEnd w:id="232"/>
      <w:bookmarkEnd w:id="233"/>
      <w:bookmarkEnd w:id="234"/>
      <w:bookmarkEnd w:id="235"/>
    </w:p>
    <w:p w:rsidR="009569C7" w:rsidRPr="00EC4FA2" w:rsidRDefault="00A834F1" w:rsidP="009569C7">
      <w:pPr>
        <w:pStyle w:val="Baseparagraphnumbered"/>
        <w:tabs>
          <w:tab w:val="left" w:pos="851"/>
        </w:tabs>
        <w:ind w:left="709"/>
      </w:pPr>
      <w:r>
        <w:t>Krediidiasutused ja investeerimisühingud kajastavad õiglases väärtuses mõõdetud finantsinstrumentide väärtuse vastavalt IFRS 13 punktis 72 sätestatud hierarhiale. Kui BADil põhineva siseriikliku GAAPi kohaselt nõutakse õiglases väärtuses mõõdetud varade jaotamist erinevate õiglase väärtuse tasemete vahel, esitavad krediidiasutused ja investeerimisühingud siseriikliku GAAPi kohaselt ka selle vormi.</w:t>
      </w:r>
    </w:p>
    <w:p w:rsidR="009569C7" w:rsidRPr="00EC4FA2" w:rsidRDefault="00A834F1" w:rsidP="009569C7">
      <w:pPr>
        <w:pStyle w:val="Baseparagraphnumbered"/>
        <w:ind w:left="709" w:hanging="283"/>
      </w:pPr>
      <w:r>
        <w:t>„Õiglase väärtuse muutus perioodi jooksul“ hõlmab kahjumit või kasumit, mis tuleneb aruandekuupäeval jätkuvalt olemasolevate instrumentide uuesti mõõtmistest perioodi jooksul IFRS 9, IFRS 13 või siseriikliku GAAPi kohaselt, kui see on kohaldatav. Need kahjumid ja kasumid kajastatakse nagu kasumiaruandesse kaasamiseks, või kui see on asjakohane, nagu koondkasumiaruandesse kaasamiseks; seega kajastatakse need summad enne maksustamist.</w:t>
      </w:r>
    </w:p>
    <w:p w:rsidR="009569C7" w:rsidRPr="00EC4FA2" w:rsidRDefault="00A834F1" w:rsidP="009569C7">
      <w:pPr>
        <w:pStyle w:val="Baseparagraphnumbered"/>
        <w:tabs>
          <w:tab w:val="left" w:pos="851"/>
        </w:tabs>
        <w:ind w:left="709"/>
      </w:pPr>
      <w:r>
        <w:t>„Õiglase väärtuse akumuleeritud muutus enne maksustamist“ sisaldab instrumentide uuesti mõõtmiste tulemusena saadud kasumite või kahjumite summat, mis on akumuleerunud alates esialgsest kirjendamisest kuni aruandekuupäevani.</w:t>
      </w:r>
    </w:p>
    <w:p w:rsidR="009569C7" w:rsidRPr="00EC4FA2" w:rsidRDefault="00A834F1" w:rsidP="009569C7">
      <w:pPr>
        <w:pStyle w:val="subtitlenumbered"/>
        <w:numPr>
          <w:ilvl w:val="0"/>
          <w:numId w:val="17"/>
        </w:numPr>
        <w:jc w:val="both"/>
        <w:rPr>
          <w:kern w:val="32"/>
        </w:rPr>
      </w:pPr>
      <w:bookmarkStart w:id="236" w:name="_Toc361844234"/>
      <w:bookmarkStart w:id="237" w:name="_Toc362359305"/>
      <w:bookmarkStart w:id="238" w:name="_Toc467855235"/>
      <w:bookmarkStart w:id="239" w:name="_Toc523999837"/>
      <w:bookmarkStart w:id="240" w:name="_Toc524082975"/>
      <w:r>
        <w:lastRenderedPageBreak/>
        <w:t>Kajastamise lõpetamine ja ülekantud finantsvaradega seotud finantskohustused (15)</w:t>
      </w:r>
      <w:bookmarkEnd w:id="236"/>
      <w:bookmarkEnd w:id="237"/>
      <w:bookmarkEnd w:id="238"/>
      <w:bookmarkEnd w:id="239"/>
      <w:bookmarkEnd w:id="240"/>
    </w:p>
    <w:p w:rsidR="009569C7" w:rsidRPr="00EC4FA2" w:rsidRDefault="00A834F1" w:rsidP="009569C7">
      <w:pPr>
        <w:pStyle w:val="Baseparagraphnumbered"/>
        <w:tabs>
          <w:tab w:val="left" w:pos="851"/>
        </w:tabs>
        <w:ind w:left="709"/>
      </w:pPr>
      <w:r>
        <w:t>Vorm 15 sisaldab teavet ülekantud finantsvarade kohta, millest osa või kõigi kajastamist ei saa lõpetada, ning finantsvarade kohta, mille kajastamine on tervikuna lõpetatud ja mille puhul krediidiasutusel või investeerimisühingul</w:t>
      </w:r>
      <w:r w:rsidR="00EB47EC">
        <w:t xml:space="preserve"> säilivad teenindamise õigused.</w:t>
      </w:r>
    </w:p>
    <w:p w:rsidR="009569C7" w:rsidRPr="00EC4FA2" w:rsidRDefault="00A834F1" w:rsidP="009569C7">
      <w:pPr>
        <w:pStyle w:val="Baseparagraphnumbered"/>
        <w:tabs>
          <w:tab w:val="left" w:pos="851"/>
        </w:tabs>
        <w:ind w:left="709"/>
      </w:pPr>
      <w:r>
        <w:t>Nende varadega seotud kohustused kajastatakse vastavalt portfellile, milles seotud ülekantud finantsvarad olid kajastatud aktiva poolel, ning mitte vastavalt portfellile, milles need olid kajastatud passiva poolel.</w:t>
      </w:r>
      <w:bookmarkStart w:id="241" w:name="_Toc119725774"/>
      <w:bookmarkEnd w:id="241"/>
    </w:p>
    <w:p w:rsidR="009569C7" w:rsidRPr="00EC4FA2" w:rsidRDefault="00A834F1" w:rsidP="009569C7">
      <w:pPr>
        <w:pStyle w:val="Baseparagraphnumbered"/>
      </w:pPr>
      <w:r>
        <w:t>Veerg „summad, mille kajastamine on lõpetatud kapitali arvestamise eesmärgil“ hõlmab nende finantsvarade bilansilist väärtust, mis on kajastatud raamatupidamisarvestuse eesmärgil, kuid mille kajastamine on lõpetatud usaldatavusnõuete kohaldamise eesmärgil, kuna krediidiasutus või investeerimisühing käsitab neid kapitali arvestamise eesmärgil väärtpaberistamise positsioonidena vastavalt kapitalinõuete määrus</w:t>
      </w:r>
      <w:r w:rsidR="00EB47EC">
        <w:t>e artiklitele 109, 243 ja 244.</w:t>
      </w:r>
    </w:p>
    <w:p w:rsidR="009569C7" w:rsidRPr="00EC4FA2" w:rsidRDefault="00A834F1" w:rsidP="009569C7">
      <w:pPr>
        <w:pStyle w:val="Baseparagraphnumbered"/>
      </w:pPr>
      <w:r>
        <w:t>„Repolepingud“ („repod“) on tehingud, mille käigus krediidiasutus või investeerimisühing saab sularaha teatava hinnaga müüdud finantsvarade vastu ja millega kaasneb siduv kohustus osta samad (või identsed) varad tagasi kindlaksmääratud hinnaga konkreetsel kuupäeval tulevikus. Ka tehinguid, millega kantakse rahalise tagatise eest ajutiselt üle kuld, käsitatakse kui „repolepingud“ („repod“). Rahasummad, mille krediidiasutus või investeerimisühing on saanud kolmandale isikule („ajutine omandaja“) üle kantud finantsvarade eest, liigitatakse kirjele „repolepingud“ juhul, kui pöördtehing on siduv kohustus, mitte ainult võimalus. Repolepingud hõlmavad ka repo-tüüpi tehinguid, mille hulka võivad kuuluda järgmised summad:</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summad, mis on saadud kolmandale isikule rahalise tagatise vastu väärtpaberite laenuks andmise vormis ajutiselt üle kantud väärtpaberite eest;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summad, mis on saadud kolmandale isikule müügilepingu/tagasiostulepingu vormis ajutiselt ülekantud väärtpaberite eest.</w:t>
      </w:r>
    </w:p>
    <w:p w:rsidR="009569C7" w:rsidRPr="00EC4FA2" w:rsidRDefault="00A834F1" w:rsidP="009569C7">
      <w:pPr>
        <w:pStyle w:val="Baseparagraphnumbered"/>
        <w:tabs>
          <w:tab w:val="left" w:pos="851"/>
        </w:tabs>
        <w:ind w:left="709"/>
      </w:pPr>
      <w:r>
        <w:t>Kirjed „repolepingud“ („repod“) ja „pöördrepolaenud“ („pöördrepod“) hõlmavad krediidiasutuse või investeerimisühingu</w:t>
      </w:r>
      <w:r w:rsidR="00EB47EC">
        <w:t xml:space="preserve"> saadud või väljalaenatud raha.</w:t>
      </w:r>
    </w:p>
    <w:p w:rsidR="009569C7" w:rsidRPr="00EC4FA2" w:rsidRDefault="00A834F1" w:rsidP="009569C7">
      <w:pPr>
        <w:pStyle w:val="Baseparagraphnumbered"/>
        <w:tabs>
          <w:tab w:val="left" w:pos="851"/>
        </w:tabs>
        <w:ind w:left="709"/>
      </w:pPr>
      <w:r>
        <w:t>Kui üle kantud finantsvarade kajastamine on lõpetatud, kajastavad krediidiasutused ja investeerimisühingud väärtpaberistamise tehingus selle kirjega seoses saadud kasumit (kahjumit) kasumiaruandes vastavalt sellele arvestusportfellile, millesse finantsvarad kuulusid enne, kui nende kajastamine lõpetati.</w:t>
      </w:r>
    </w:p>
    <w:p w:rsidR="009569C7" w:rsidRPr="00EC4FA2" w:rsidRDefault="00A834F1" w:rsidP="009569C7">
      <w:pPr>
        <w:pStyle w:val="subtitlenumbered"/>
        <w:keepNext/>
        <w:numPr>
          <w:ilvl w:val="0"/>
          <w:numId w:val="17"/>
        </w:numPr>
        <w:ind w:left="357" w:hanging="357"/>
        <w:jc w:val="both"/>
      </w:pPr>
      <w:bookmarkStart w:id="242" w:name="_Toc246513983"/>
      <w:bookmarkStart w:id="243" w:name="_Toc246730655"/>
      <w:bookmarkStart w:id="244" w:name="_Toc246730746"/>
      <w:bookmarkStart w:id="245" w:name="_Toc246513985"/>
      <w:bookmarkStart w:id="246" w:name="_Toc246730657"/>
      <w:bookmarkStart w:id="247" w:name="_Toc246730748"/>
      <w:bookmarkStart w:id="248" w:name="_Toc246513986"/>
      <w:bookmarkStart w:id="249" w:name="_Toc246730658"/>
      <w:bookmarkStart w:id="250" w:name="_Toc246730749"/>
      <w:bookmarkStart w:id="251" w:name="_Toc246770632"/>
      <w:bookmarkStart w:id="252" w:name="_Toc361844235"/>
      <w:bookmarkStart w:id="253" w:name="_Toc362359306"/>
      <w:bookmarkStart w:id="254" w:name="_Toc467855236"/>
      <w:bookmarkStart w:id="255" w:name="_Toc523999838"/>
      <w:bookmarkStart w:id="256" w:name="_Toc246770626"/>
      <w:bookmarkStart w:id="257" w:name="_Toc524082976"/>
      <w:bookmarkEnd w:id="242"/>
      <w:bookmarkEnd w:id="243"/>
      <w:bookmarkEnd w:id="244"/>
      <w:bookmarkEnd w:id="245"/>
      <w:bookmarkEnd w:id="246"/>
      <w:bookmarkEnd w:id="247"/>
      <w:bookmarkEnd w:id="248"/>
      <w:bookmarkEnd w:id="249"/>
      <w:bookmarkEnd w:id="250"/>
      <w:r>
        <w:lastRenderedPageBreak/>
        <w:t xml:space="preserve">Kasumiaruande teatavate </w:t>
      </w:r>
      <w:bookmarkEnd w:id="251"/>
      <w:r>
        <w:t>kirjete jaotus (16)</w:t>
      </w:r>
      <w:bookmarkEnd w:id="252"/>
      <w:bookmarkEnd w:id="253"/>
      <w:bookmarkEnd w:id="254"/>
      <w:bookmarkEnd w:id="255"/>
      <w:bookmarkEnd w:id="257"/>
    </w:p>
    <w:p w:rsidR="009569C7" w:rsidRPr="00EC4FA2" w:rsidRDefault="00A834F1" w:rsidP="009569C7">
      <w:pPr>
        <w:pStyle w:val="Baseparagraphnumbered"/>
        <w:tabs>
          <w:tab w:val="left" w:pos="851"/>
        </w:tabs>
        <w:ind w:left="709"/>
      </w:pPr>
      <w:r>
        <w:t>Kasumiaruande teatavate kirjete puhul esitatakse kasumi (või tulude) ja kahjum</w:t>
      </w:r>
      <w:r w:rsidR="00EB47EC">
        <w:t>i (või kulude) täiendav jaotus.</w:t>
      </w:r>
    </w:p>
    <w:p w:rsidR="009569C7" w:rsidRPr="00EC4FA2" w:rsidRDefault="00A834F1" w:rsidP="009569C7">
      <w:pPr>
        <w:pStyle w:val="sub-subtitlenumbered"/>
        <w:jc w:val="both"/>
      </w:pPr>
      <w:bookmarkStart w:id="258" w:name="_Toc361844236"/>
      <w:bookmarkStart w:id="259" w:name="_Toc362359307"/>
      <w:bookmarkStart w:id="260" w:name="_Toc467855237"/>
      <w:bookmarkStart w:id="261" w:name="_Toc523999839"/>
      <w:bookmarkStart w:id="262" w:name="_Toc524082977"/>
      <w:r>
        <w:t>Intressitulu ja -kulu instrumentide ja vastaspoole sektorite lõikes (16.1)</w:t>
      </w:r>
      <w:bookmarkEnd w:id="258"/>
      <w:bookmarkEnd w:id="259"/>
      <w:bookmarkEnd w:id="260"/>
      <w:bookmarkEnd w:id="261"/>
      <w:bookmarkEnd w:id="262"/>
    </w:p>
    <w:p w:rsidR="009569C7" w:rsidRPr="00EC4FA2" w:rsidRDefault="00A834F1" w:rsidP="009569C7">
      <w:pPr>
        <w:pStyle w:val="Baseparagraphnumbered"/>
        <w:tabs>
          <w:tab w:val="left" w:pos="851"/>
        </w:tabs>
        <w:ind w:left="709" w:hanging="283"/>
      </w:pPr>
      <w:r>
        <w:t>Intressitulu jaotatakse vastavalt mõlemale järgmisele: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finants- ja muude varade intressitulu;</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negatiivse efektiivse intressimääraga finantskohustuste intressitulu.</w:t>
      </w:r>
    </w:p>
    <w:p w:rsidR="009569C7" w:rsidRPr="00EC4FA2" w:rsidRDefault="00A834F1" w:rsidP="009569C7">
      <w:pPr>
        <w:pStyle w:val="Baseparagraphnumbered"/>
      </w:pPr>
      <w:r>
        <w:t>Intressikulu jaotatakse vastavalt mõlemale järgmisele: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finants- ja muude kohustuste intressikulu;</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negatiivse efektiivse intressimääraga finantsvarade intressikulu.</w:t>
      </w:r>
    </w:p>
    <w:p w:rsidR="009569C7" w:rsidRPr="00EC4FA2" w:rsidRDefault="00A834F1" w:rsidP="009569C7">
      <w:pPr>
        <w:pStyle w:val="Baseparagraphnumbered"/>
        <w:tabs>
          <w:tab w:val="left" w:pos="851"/>
        </w:tabs>
        <w:ind w:left="709" w:hanging="283"/>
      </w:pPr>
      <w:r>
        <w:t>Finantsvarade ja negatiivse efektiivse intressimääraga finantskohustuste intressitulu hõlmab kauplemiseks hoitavate tuletisinstrumentide, võlaväärtpaberite, laenude ja ettemaksete, samuti hoiuste, emiteeritud võlaväärtpaberite ja muude negatiivse efektiivse intressimääraga f</w:t>
      </w:r>
      <w:r w:rsidR="00EB47EC">
        <w:t>inantskohustuste intresse.</w:t>
      </w:r>
    </w:p>
    <w:p w:rsidR="009569C7" w:rsidRPr="00EC4FA2" w:rsidRDefault="00A834F1" w:rsidP="009569C7">
      <w:pPr>
        <w:pStyle w:val="Baseparagraphnumbered"/>
      </w:pPr>
      <w:r>
        <w:t>Finantskohustuste ja negatiivse efektiivse intressimääraga finantsvarade intressikulu hõlmab kauplemiseks hoitavate tuletisinstrumentide, hoiuste, emiteeritud võlaväärtpaberite ja muude finantskohustuste, samuti negatiivse efektiivse intressimääraga võlaväärtpaberite, l</w:t>
      </w:r>
      <w:r w:rsidR="00D452D1">
        <w:t>aenude ja ettemaksete intresse.</w:t>
      </w:r>
    </w:p>
    <w:p w:rsidR="009569C7" w:rsidRPr="00EC4FA2" w:rsidRDefault="00A834F1" w:rsidP="009569C7">
      <w:pPr>
        <w:pStyle w:val="Baseparagraphnumbered"/>
      </w:pPr>
      <w:r>
        <w:t>Vormi 16.1 eesmärgil käsitatakse lühikesi positsioone muude finantskohustustena. Arvesse võetakse eri portfellide kõik instrumendid, välja arvatud kirjel „tuletisinstrumendid – riskimaandamise arvestus“ sisalduvad instrumendid, mida ei kasut</w:t>
      </w:r>
      <w:r w:rsidR="00D452D1">
        <w:t>ata intressiriski maandamiseks.</w:t>
      </w:r>
    </w:p>
    <w:p w:rsidR="009569C7" w:rsidRPr="00EC4FA2" w:rsidRDefault="00A834F1" w:rsidP="009569C7">
      <w:pPr>
        <w:pStyle w:val="Baseparagraphnumbered"/>
      </w:pPr>
      <w:r>
        <w:t>„Tuletisinstrumendid – riskimaandamise arvestus, intressirisk“ hõlmab riskimaandamisinstrumentide intressitulu ja -kulu, kui maandatavad inst</w:t>
      </w:r>
      <w:r w:rsidR="00D452D1">
        <w:t>rumendid annavad intressitulu.</w:t>
      </w:r>
    </w:p>
    <w:p w:rsidR="009569C7" w:rsidRPr="00EC4FA2" w:rsidRDefault="00A834F1" w:rsidP="009569C7">
      <w:pPr>
        <w:pStyle w:val="Baseparagraphnumbered"/>
      </w:pPr>
      <w:r>
        <w:t xml:space="preserve">Puhashinna kasutamise korral sisaldab kauplemiseks hoitavate tuletisinstrumentide intress nende kauplemiseks hoitavate tuletisinstrumentidega seotud summasid, mida saab käsitada majandusliku riskimaandusena, mis on kajastatud intressitulu või -kuluna, et korrigeerida maandatud finantsinstrumentide tulu või kulu majanduslikust seisukohast, kuid mitte arvestuse seisukohast. Sel juhul esitatakse majandusliku riskimaanduse tuletisinstrumentide intressitulu eraldi kauplemisel kasutatavate tuletisinstrumentide intressitulu all. Ajaliselt jaotatud tasusid ja tasakaalustavaid makseid seoses õiglases väärtuses mõõdetud krediidituletisinstrumentidega, mida kasutatakse sellel juhul õiglases väärtuses muutustega kajastatud kogu finantsinstrumendi või selle osa </w:t>
      </w:r>
      <w:r>
        <w:lastRenderedPageBreak/>
        <w:t>krediidiriski juhtimiseks, kajastatakse samuti kauplemiseks hoitavate tuletisinstrumentide intressi all.</w:t>
      </w:r>
    </w:p>
    <w:p w:rsidR="009569C7" w:rsidRPr="00EC4FA2" w:rsidRDefault="00A834F1" w:rsidP="009569C7">
      <w:pPr>
        <w:pStyle w:val="Baseparagraphnumbered"/>
      </w:pPr>
      <w:r>
        <w:t>IFRSi kohaselt tähendab „millest: langenud väärtusega finantsvaradest saadud intressitulu“ krediidiriski tõttu langenud väärtusega finantsvaradest (sealhulgas ostetud või tekitatud krediidiriski tõttu langenud väärtusega finantsvara) saadud intressitulu. BADil põhineva siseriikliku GAAPi kohaselt hõlmab see sellise vara intressitulu, mille väärtust on vähendatud krediidiriskiga seotud spetsiifilise allahindluse kaudu.</w:t>
      </w:r>
    </w:p>
    <w:p w:rsidR="009569C7" w:rsidRPr="00EC4FA2" w:rsidRDefault="00A834F1" w:rsidP="009569C7">
      <w:pPr>
        <w:pStyle w:val="sub-subtitlenumbered"/>
        <w:jc w:val="both"/>
      </w:pPr>
      <w:bookmarkStart w:id="263" w:name="_Toc361844237"/>
      <w:bookmarkStart w:id="264" w:name="_Toc362359308"/>
      <w:bookmarkStart w:id="265" w:name="_Toc467855238"/>
      <w:bookmarkStart w:id="266" w:name="_Toc523999840"/>
      <w:bookmarkStart w:id="267" w:name="_Toc524082978"/>
      <w:r>
        <w:t>Instrumentide lõikes kasumid või kahjumid, mis on saadud selliste finantsvarade ja -kohustuste kajastamise lõpetamisest, mida ei ole mõõdetud õiglases väärtuses muutustega läbi kasumiaruande (16.2)</w:t>
      </w:r>
      <w:bookmarkEnd w:id="263"/>
      <w:bookmarkEnd w:id="264"/>
      <w:bookmarkEnd w:id="265"/>
      <w:bookmarkEnd w:id="266"/>
      <w:bookmarkEnd w:id="267"/>
    </w:p>
    <w:p w:rsidR="009569C7" w:rsidRDefault="00A834F1" w:rsidP="009569C7">
      <w:pPr>
        <w:pStyle w:val="Baseparagraphnumbered"/>
        <w:tabs>
          <w:tab w:val="left" w:pos="851"/>
        </w:tabs>
        <w:ind w:left="709"/>
      </w:pPr>
      <w:r>
        <w:t>Kasumid ja kahjumid, mis on tulenenud selliste finantsvarade ja -kohustuste kajastamise lõpetamisest, mida ei ole mõõdetud õiglases väärtuses muutustega läbi kasumiaruande, jaotatakse finantsinstrumendi liikide ja arvestusportfellide kaupa. Ige kirje puhul esitatakse realiseeritud puhaskasum või -kahjum, mis tuleneb tehingust, mille kajastamine on lõpetatud. Netosumma kajastab realiseeritud kasumite ja realiseeritud kahjumite vahet.</w:t>
      </w:r>
    </w:p>
    <w:p w:rsidR="00E87D3C" w:rsidRPr="00EC4FA2" w:rsidRDefault="00A834F1" w:rsidP="000D4350">
      <w:pPr>
        <w:pStyle w:val="Baseparagraphnumbered"/>
        <w:tabs>
          <w:tab w:val="left" w:pos="851"/>
        </w:tabs>
        <w:ind w:left="709"/>
      </w:pPr>
      <w:r>
        <w:t>Vormis 16.2 esitatakse IFRSi kohaselt amortiseeritud soetusväärtuses kajastatud finantsvarad ja -kohustused ning õiglases väärtuses läbi muu koondkasumi mõõdetud võlainstrumendid. BADil põhineva siseriikliku GAAPi kohaselt esitatakse vormis 16.2 finantsvarad, mida mõõdetakse soetusmaksumusepõhisel meetodil, õiglases väärtuses omakapitalis ja muudel mõõtmismeetoditel, nt soetusmaksumuses või turuväärtuses, olenevalt sellest, kumb on väiksem. Kohaldatava BADil põhineva siseriikliku GAAPi kohaselt kauplemiseks hoitavateks liigitatud finantsinstrumentidest tulenevaid kahjumeid ja kasumeid selles vormis ei kajastata, olenemata nende instrumentide suhtes kohaldatavatest hindamiseeskirjadest.</w:t>
      </w:r>
    </w:p>
    <w:p w:rsidR="009569C7" w:rsidRPr="00EC4FA2" w:rsidRDefault="00A834F1" w:rsidP="00C93712">
      <w:pPr>
        <w:pStyle w:val="sub-subtitlenumbered"/>
      </w:pPr>
      <w:bookmarkStart w:id="268" w:name="_Toc361844238"/>
      <w:bookmarkStart w:id="269" w:name="_Toc362359309"/>
      <w:bookmarkStart w:id="270" w:name="_Toc467855239"/>
      <w:bookmarkStart w:id="271" w:name="_Toc523999841"/>
      <w:bookmarkStart w:id="272" w:name="_Toc524082979"/>
      <w:r>
        <w:t>Kahjumid või kasumid, mis tulenevad kauplemiseks hoitavatest finantsvaradest ja -kohustustest ning kauplemisel kasutatavatest finantsvaradest ja -kohustustest, instrumentide kaupa (16.3)</w:t>
      </w:r>
      <w:bookmarkEnd w:id="268"/>
      <w:bookmarkEnd w:id="269"/>
      <w:bookmarkEnd w:id="270"/>
      <w:bookmarkEnd w:id="271"/>
      <w:bookmarkEnd w:id="272"/>
    </w:p>
    <w:p w:rsidR="009569C7" w:rsidRPr="00EC4FA2" w:rsidRDefault="00A834F1" w:rsidP="009569C7">
      <w:pPr>
        <w:pStyle w:val="Baseparagraphnumbered"/>
        <w:tabs>
          <w:tab w:val="left" w:pos="851"/>
        </w:tabs>
        <w:ind w:left="709"/>
      </w:pPr>
      <w:r>
        <w:t>Kahjumid ja kasumid, mis tulenevad kauplemiseks hoitavatest finantsvaradest ja -kohustustest, jaotatakse instrumendi liigi alusel; jaotuse iga kirje on finantsinstrumendi realiseeritud ja realiseerimata netosumma (kasumid miinus kahjumid).</w:t>
      </w:r>
    </w:p>
    <w:p w:rsidR="009569C7" w:rsidRPr="00EC4FA2" w:rsidRDefault="00A834F1" w:rsidP="009569C7">
      <w:pPr>
        <w:pStyle w:val="Baseparagraphnumbered"/>
      </w:pPr>
      <w:r>
        <w:t>Kauplemisest tulenevad kasumid ja kahjumid peavad hõlmama hetketurul välisvaluutaga kauplemisest (v.a välisvaluuta rahatähtede ja müntide vahetus) tulenevaid kasumeid ja kahjumeid. Väärismetallidega kauplemisest või nende kajastamise lõpetamisest ja uuesti mõõtmisest tulenevaid kasumeid ja kahjumeid ei kajastata kauplemisest tulenevate kasumite ja kahjumite all, vaid kirjete „Muud tegevustulud“ või „Muud tegevuskulud“ all vastavalt käesoleva osa punktile 316.</w:t>
      </w:r>
    </w:p>
    <w:p w:rsidR="009569C7" w:rsidRPr="00EC4FA2" w:rsidRDefault="00A834F1" w:rsidP="009569C7">
      <w:pPr>
        <w:pStyle w:val="Baseparagraphnumbered"/>
      </w:pPr>
      <w:r>
        <w:t xml:space="preserve">Kirje „millest: majanduslikud riskimaandused õiglase väärtuse võimaluse kasutamisega“ hõlmab üksnes kasumit ja kahjumit </w:t>
      </w:r>
      <w:r>
        <w:lastRenderedPageBreak/>
        <w:t>krediidituletisinstrumentidest, mida mõõdetakse õiglases väärtuses muutustega läbi kasumiaruande ja kasutatakse sellel juhul õiglases väärtuses muutustega läbi kasumiaruande kajastatud kogu finantsinstrumendi või selle osa krediidiriski juhtimiseks vastavalt IFRSile 9.6.7. Kasum ja kahjum, mis tuleneb finantsvarade ümberliigitamisest amortiseeritud soetusväärtuses kajastatavast arvestusportfellist õiglases väärtuses muutustega läbi kasumiaruande kajastatavasse arvestusportfelli või portfelli „kauplemiseks hoitavad“ [IFRS 9 paragrahv 5.6.2], esitatakse kirje „millest: amortiseeritud soetusmaksumuses kajastatud varade ümberliigitamisest tulenev kasum ja kahjum“ all.</w:t>
      </w:r>
    </w:p>
    <w:p w:rsidR="009569C7" w:rsidRPr="00EC4FA2" w:rsidRDefault="00A834F1" w:rsidP="00C93712">
      <w:pPr>
        <w:pStyle w:val="sub-subtitlenumbered"/>
      </w:pPr>
      <w:bookmarkStart w:id="273" w:name="_Toc361844239"/>
      <w:bookmarkStart w:id="274" w:name="_Toc362359310"/>
      <w:bookmarkStart w:id="275" w:name="_Toc467855240"/>
      <w:bookmarkStart w:id="276" w:name="_Toc523999842"/>
      <w:bookmarkStart w:id="277" w:name="_Toc524082980"/>
      <w:r>
        <w:t>Kahjumid või kasumid, mis tulenevad kauplemiseks hoitavatest finantsvaradest ja -kohustustest ning kauplemisel kasutatavatest finantsvaradest ja -kohustustest, riskide kaupa (16.4)</w:t>
      </w:r>
      <w:bookmarkEnd w:id="273"/>
      <w:bookmarkEnd w:id="274"/>
      <w:bookmarkEnd w:id="275"/>
      <w:bookmarkEnd w:id="276"/>
      <w:bookmarkEnd w:id="277"/>
    </w:p>
    <w:p w:rsidR="009569C7" w:rsidRPr="00EC4FA2" w:rsidRDefault="00A834F1" w:rsidP="009569C7">
      <w:pPr>
        <w:pStyle w:val="Baseparagraphnumbered"/>
        <w:tabs>
          <w:tab w:val="left" w:pos="851"/>
        </w:tabs>
        <w:ind w:left="709"/>
      </w:pPr>
      <w:r>
        <w:t>Kahjumid ja kasumid, mis tulenevad kauplemiseks hoitavatest finantsvaradest ja finantskohustustest, jaotatakse ka riski liigi alusel; jaotuse iga kirje on riskipositsiooniga, sealhulgas seotud tuletisinstrumendid, seotud alusriski (intressimäär, aktsiad, välisvaluuta, krediit, kaup ja muu) realiseeritud ja realiseerimata netosumma (kasumid miinus kahjumid). Vahetuskursi erinevustest tulenevad kasumid ja kahjumid esitatakse kirjel, millel esitatakse vahetatud instrumendist tulenevad ülejäänud kasumid ja kahjumid. Finantsvaradest ja finantskohustustest (välja arvatud tuletisinstrumendid) tulenev kasum ja kahjum kajastatakse riskikategooriates järgmiselt: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intressimäär: sealhulgas laenude ja ettemaksete, hoiuste ja võlaväärtpaberitega (hoitavad või emiteeritud) seotud kauplemine;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omakapitaliinstrumendid: sealhulgas aktsiatega, eurofondide noteeringute ja muude omakapitaliinstrumentidega seotud kauplemine;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välisvaluutatehingud: sealhulgas tehingud üksnes välisvaluutaga;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krediidirisk: sealhulgas krediidiriski vahetustehingut sisaldavate võlakirjadega seotud kauplemine;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kaubad: see kirje hõlmab ainult tuletisinstrumente, sest kauplemise eesmärgil hoitavatest kaupadest tulenevat kasumit ja kahjumit tuleb kajastada kirjete „Muud tegevustulud“ või „Muud tegevuskulud“ all vastavalt käesoleva osa punktile 316.</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muu: kaasa arvatud kauplemine finantsinstrumentidega, mida ei saa liigitada muudesse jaotistesse.</w:t>
      </w:r>
    </w:p>
    <w:p w:rsidR="009569C7" w:rsidRPr="00EC4FA2" w:rsidRDefault="00A834F1" w:rsidP="009569C7">
      <w:pPr>
        <w:pStyle w:val="sub-subtitlenumbered"/>
        <w:jc w:val="both"/>
      </w:pPr>
      <w:bookmarkStart w:id="278" w:name="_Toc467855241"/>
      <w:bookmarkStart w:id="279" w:name="_Toc523999843"/>
      <w:bookmarkStart w:id="280" w:name="_Toc524082981"/>
      <w:r>
        <w:t>Kauplemisel mittekasutatavatest kohustuslikult õiglases väärtuses muutustega läbi kasumiaruande kajastatud finantsvaradest tulenev kasum või kahjum instrumentide kaupa (16.4.1)</w:t>
      </w:r>
      <w:bookmarkEnd w:id="278"/>
      <w:bookmarkEnd w:id="279"/>
      <w:bookmarkEnd w:id="280"/>
    </w:p>
    <w:p w:rsidR="009569C7" w:rsidRPr="00EC4FA2" w:rsidRDefault="00A834F1" w:rsidP="009569C7">
      <w:pPr>
        <w:pStyle w:val="Baseparagraphnumbered"/>
        <w:tabs>
          <w:tab w:val="left" w:pos="851"/>
        </w:tabs>
        <w:ind w:left="709"/>
      </w:pPr>
      <w:r>
        <w:t xml:space="preserve">Kauplemisel mittekasutatavatest kohustuslikult õiglases väärtuses muutustega läbi kasumiaruande kajastatud finantsvaradest tulenev kasum või kahjum esitatakse instrumendi liikide lõikes; jaotuse iga kirje on </w:t>
      </w:r>
      <w:r>
        <w:lastRenderedPageBreak/>
        <w:t>finantsinstrumendi realiseeritud ja realiseerimata netosumma (kasumid miinus kahjumid).</w:t>
      </w:r>
    </w:p>
    <w:p w:rsidR="009569C7" w:rsidRPr="00EC4FA2" w:rsidRDefault="00A834F1" w:rsidP="009569C7">
      <w:pPr>
        <w:pStyle w:val="Baseparagraphnumbered"/>
        <w:tabs>
          <w:tab w:val="left" w:pos="567"/>
        </w:tabs>
      </w:pPr>
      <w:r>
        <w:t>Kasum ja kahjum, mis tuleneb finantsvarade ümberliigitamisest amortiseeritud soetusväärtuses kajastatavast arvestusportfellist kauplemisel mittekasutatavatest kohustuslikult õiglases väärtuses muutustega läbi kasumiaruande mõõdetavate finantsvarade arvestusportfelli [IFRS 9 paragrahv 5.6.2], esitatakse kirje „millest: amortiseeritud soetusmaksumuses kajastatud varade ümberliigitamisest tulenev kasum ja kahjum“ all.</w:t>
      </w:r>
    </w:p>
    <w:p w:rsidR="009569C7" w:rsidRPr="00EC4FA2" w:rsidRDefault="00A834F1" w:rsidP="009569C7">
      <w:pPr>
        <w:pStyle w:val="sub-subtitlenumbered"/>
        <w:jc w:val="both"/>
      </w:pPr>
      <w:bookmarkStart w:id="281" w:name="_Toc361844240"/>
      <w:bookmarkStart w:id="282" w:name="_Toc362359311"/>
      <w:bookmarkStart w:id="283" w:name="_Toc467855242"/>
      <w:bookmarkStart w:id="284" w:name="_Toc523999844"/>
      <w:bookmarkStart w:id="285" w:name="_Toc524082982"/>
      <w:r>
        <w:t>Õiglases väärtuses muutustega läbi kasumiaruande kajastatud finantsvaradest ja -kohustustest tulenev kasum ja kahjum instrumentide kaupa (16.5)</w:t>
      </w:r>
      <w:bookmarkEnd w:id="281"/>
      <w:bookmarkEnd w:id="282"/>
      <w:bookmarkEnd w:id="283"/>
      <w:bookmarkEnd w:id="284"/>
      <w:bookmarkEnd w:id="285"/>
    </w:p>
    <w:p w:rsidR="009569C7" w:rsidRPr="00EC4FA2" w:rsidRDefault="00A834F1" w:rsidP="009569C7">
      <w:pPr>
        <w:pStyle w:val="Baseparagraphnumbered"/>
        <w:tabs>
          <w:tab w:val="left" w:pos="851"/>
        </w:tabs>
        <w:ind w:left="709"/>
      </w:pPr>
      <w:r>
        <w:t>Kahjum ja kasum, mis tuleneb õiglases väärtuses muutustega läbi kasumiaruande kajastatud finantsvaradest ja -kohustustest, esitatakse instrumendi liikide kaupa. Krediidiasutused ja investeerimisühingud esitavad realiseeritud ja realiseerimata netokasumi ja -kahjumi ning perioodi jooksul krediidiriski (laenuandja või emitendi enda krediidirisk) muutustest tingitud finantskohustuste õiglase väärtuse muutuse summa, kui enda krediidiriski ei kajastata läbi muu koondkasumi.</w:t>
      </w:r>
    </w:p>
    <w:p w:rsidR="009569C7" w:rsidRPr="00EC4FA2" w:rsidRDefault="00A834F1" w:rsidP="009569C7">
      <w:pPr>
        <w:pStyle w:val="Baseparagraphnumbered"/>
      </w:pPr>
      <w:r>
        <w:t>Kui õiglases väärtuses mõõdetavat krediidituletisinstrumenti kasutatakse sellel juhul õiglases väärtuses muutustega läbi kasumiaruande kajastatud kogu finantsinstrumendi või selle osa krediidiriski juhtimiseks, esitatakse finantsinstrumendi kajastamisest tulenev kasum või kahjum kirje „millest: riskimaanduse eesmärgil õiglases väärtuses muutustega läbi kasumiaruande kajastatud finantsvarade ja -kohustuste kajastamisest tulenev netokasum või (–) netokahjum“ all. Kõnealuste finantsinstrumentide õiglase väärtuse hilisemast muutusest tulenev kasum või kahjum esitatakse kirje „millest: netokasum või (–) netokahjum pärast riskimaanduse eesmärgil õiglases väärtuses muutustega läbi kasumiaruande kajastatud finantsvarade ja -kohustuste kajastamist“ all.</w:t>
      </w:r>
    </w:p>
    <w:p w:rsidR="009569C7" w:rsidRPr="00EC4FA2" w:rsidRDefault="00A834F1" w:rsidP="009569C7">
      <w:pPr>
        <w:pStyle w:val="sub-subtitlenumbered"/>
        <w:jc w:val="both"/>
      </w:pPr>
      <w:bookmarkStart w:id="286" w:name="_Toc361844241"/>
      <w:bookmarkStart w:id="287" w:name="_Toc362359312"/>
      <w:bookmarkStart w:id="288" w:name="_Toc467855243"/>
      <w:bookmarkStart w:id="289" w:name="_Toc523999845"/>
      <w:bookmarkStart w:id="290" w:name="_Toc524082983"/>
      <w:r>
        <w:t>Riskimaandamise arvestusest tulenevad kasumid ja kahjumid (16.6)</w:t>
      </w:r>
      <w:bookmarkEnd w:id="286"/>
      <w:bookmarkEnd w:id="287"/>
      <w:bookmarkEnd w:id="288"/>
      <w:bookmarkEnd w:id="289"/>
      <w:bookmarkEnd w:id="290"/>
    </w:p>
    <w:p w:rsidR="009569C7" w:rsidRPr="00EC4FA2" w:rsidRDefault="00A834F1" w:rsidP="009569C7">
      <w:pPr>
        <w:pStyle w:val="Baseparagraphnumbered"/>
      </w:pPr>
      <w:r>
        <w:t>Riskimaandamise arvestuse kogu kasum ja kahjum, välja arvatud intressitulu või -kulu puhashinna kasutamise korral, esitatakse riskimaandamise arvestuse liikide kaupa: õiglase väärtuse riskimaandus, rahavoo riskimaandus ning välismaistesse äriüksustesse tehtud netoinvesteeringute riskimaandus. Õiglase väärtuse riskimaandusega seotud kasum ja kahjum esitatakse riskimaandamisinstrumendi ja maandatava instrumendi kaupa. Riskimaandamisinstrumentide kasum ja kahjum ei hõlma selliste riskimaandamisinstrumentide elementidega seotud kasumit ja kahjumit, mida ei kajastata riskimaandamisinstrumentidena vastavalt IFRS 9 paragrahvile 6.2.4. Need kajastamata riskimaandamisinstrumendid kajastatakse vastavalt käesoleva osa punktile 60. Riskimaandamise arvestuse kasum ja kahjum hõlmab ka tasaarvestatavate riskipositsioonidega kirjerühmade riskimaanduse (netopositsioonide ris</w:t>
      </w:r>
      <w:r w:rsidR="00EB47EC">
        <w:t>kimaandus) kasumit ja kahjumit.</w:t>
      </w:r>
    </w:p>
    <w:p w:rsidR="009569C7" w:rsidRPr="00EC4FA2" w:rsidRDefault="00A834F1" w:rsidP="009569C7">
      <w:pPr>
        <w:pStyle w:val="Baseparagraphnumbered"/>
      </w:pPr>
      <w:r>
        <w:lastRenderedPageBreak/>
        <w:t>„Maandatava instrumendi õiglase väärtuse muutused, mis tulenevad maandatud riskist“ hõlmab ka maandatavate instrumentidega seotud kasumit ja kahjumit, kui need instrumendid on vastavalt IFRS 9 paragrahvile 4.1.2A [IFRS 9 paragrahv 6.5.8] õiglases väärtuses läbi muu koondkasumi mõõdetud võlainstrumendid.</w:t>
      </w:r>
    </w:p>
    <w:p w:rsidR="009569C7" w:rsidRPr="00EC4FA2" w:rsidRDefault="00A834F1" w:rsidP="009569C7">
      <w:pPr>
        <w:pStyle w:val="Baseparagraphnumbered"/>
      </w:pPr>
      <w:r>
        <w:t>BADil põhineva siseriikliku GAAPi kohaselt esitatakse selles vormis andmed riskimaanduse liikide kaupa, tingimusel et see on kooskõlas kohaldatavate raamatupidamisnõuetega.</w:t>
      </w:r>
    </w:p>
    <w:p w:rsidR="009569C7" w:rsidRPr="00EC4FA2" w:rsidRDefault="00A834F1" w:rsidP="009569C7">
      <w:pPr>
        <w:pStyle w:val="sub-subtitlenumbered"/>
        <w:jc w:val="both"/>
      </w:pPr>
      <w:bookmarkStart w:id="291" w:name="_Toc361844242"/>
      <w:bookmarkStart w:id="292" w:name="_Toc362359313"/>
      <w:bookmarkStart w:id="293" w:name="_Toc467855244"/>
      <w:bookmarkStart w:id="294" w:name="_Toc523999846"/>
      <w:bookmarkStart w:id="295" w:name="_Toc524082984"/>
      <w:r>
        <w:t>Mittefinantsvarade väärtuse langus (16.7)</w:t>
      </w:r>
      <w:bookmarkEnd w:id="291"/>
      <w:bookmarkEnd w:id="292"/>
      <w:bookmarkEnd w:id="293"/>
      <w:bookmarkEnd w:id="294"/>
      <w:bookmarkEnd w:id="295"/>
    </w:p>
    <w:p w:rsidR="009569C7" w:rsidRPr="00EC4FA2" w:rsidRDefault="00A834F1" w:rsidP="009569C7">
      <w:pPr>
        <w:pStyle w:val="Baseparagraphnumbered"/>
        <w:tabs>
          <w:tab w:val="left" w:pos="851"/>
        </w:tabs>
        <w:ind w:left="709"/>
      </w:pPr>
      <w:r>
        <w:t>„Lisandumine“ kajastatakse juhul, kui arvestusportfelli või varade põhikategooria puhul kajastatakse asjaomasel perioodil varade väärtuse languse hindamise tulemusena netokulu. „Tühistamine“ kajastatakse juhul, kui arvestusportfelli või varade põhikategooria puhul kajastatakse asjaomasel perioodil varade väärtuse languse hindamise tulemusena netotulu.</w:t>
      </w:r>
    </w:p>
    <w:p w:rsidR="009569C7" w:rsidRPr="00EC4FA2" w:rsidRDefault="00A834F1" w:rsidP="009569C7">
      <w:pPr>
        <w:pStyle w:val="subtitlenumbered"/>
        <w:numPr>
          <w:ilvl w:val="0"/>
          <w:numId w:val="17"/>
        </w:numPr>
        <w:jc w:val="both"/>
      </w:pPr>
      <w:bookmarkStart w:id="296" w:name="_Toc361844243"/>
      <w:bookmarkStart w:id="297" w:name="_Toc362359314"/>
      <w:bookmarkStart w:id="298" w:name="_Toc467855245"/>
      <w:bookmarkStart w:id="299" w:name="_Toc523999847"/>
      <w:bookmarkStart w:id="300" w:name="_Toc524082985"/>
      <w:r>
        <w:t>Raamatupidamisarvestusekohase ja kapitalinõuete määruse kohase konsolideerimise kooskõlastav võrdlemine (17)</w:t>
      </w:r>
      <w:bookmarkEnd w:id="296"/>
      <w:bookmarkEnd w:id="297"/>
      <w:bookmarkEnd w:id="298"/>
      <w:bookmarkEnd w:id="299"/>
      <w:bookmarkEnd w:id="300"/>
    </w:p>
    <w:p w:rsidR="009569C7" w:rsidRPr="00EC4FA2" w:rsidRDefault="00A834F1" w:rsidP="009569C7">
      <w:pPr>
        <w:pStyle w:val="Baseparagraphnumbered"/>
        <w:tabs>
          <w:tab w:val="left" w:pos="851"/>
        </w:tabs>
        <w:ind w:left="709"/>
      </w:pPr>
      <w:r>
        <w:t>„Raamatupidamisarvestusekohane konsolideerimine“ hõlmab varade, kohustuste ja omakapitali bilansilist väärtust ning ka bilansiväliste riskipositsioonide nimiväärtusi, mis on esitatud vastavalt raamatupidamisarvestusekohasele konsolideerimisele; see tähendab, et konsolideerimine hõlmab kindlustusandjatest ja finantssektorivälistest äriühingutest tütarettevõtjaid. Krediidiasutused ja investeerimisühingud kasutavad tütarettevõtjate, ühisettevõtjate ja sidusettevõtjate kohta andmete esitamisel samu meetodeid kui oma finantsaruannete puhul.</w:t>
      </w:r>
    </w:p>
    <w:p w:rsidR="009569C7" w:rsidRPr="00EC4FA2" w:rsidRDefault="00A834F1" w:rsidP="009569C7">
      <w:pPr>
        <w:pStyle w:val="Baseparagraphnumbered"/>
        <w:tabs>
          <w:tab w:val="left" w:pos="851"/>
        </w:tabs>
        <w:ind w:left="709"/>
      </w:pPr>
      <w:r>
        <w:t>Selle vormi kirje „investeeringud tütarettevõtjatesse, ühisettevõtjatesse ja sidusettevõtjatesse“ ei hõlma tütarettevõtjaid, kuna raamatupidamisarvestusekohasel konsolideerimisel on kõik tütarettevõt</w:t>
      </w:r>
      <w:r w:rsidR="00EB47EC">
        <w:t>jad täielikult konsolideeritud.</w:t>
      </w:r>
    </w:p>
    <w:p w:rsidR="009569C7" w:rsidRPr="00EC4FA2" w:rsidRDefault="00A834F1" w:rsidP="009569C7">
      <w:pPr>
        <w:pStyle w:val="Baseparagraphnumbered"/>
        <w:tabs>
          <w:tab w:val="left" w:pos="851"/>
        </w:tabs>
        <w:ind w:left="709"/>
      </w:pPr>
      <w:r>
        <w:t>Kirje „edasikindlustus- ja kindlustuslepingute varad“ hõlmab nii ülekantud edasikindlustuslepingute kohaseid varasid ning, juhul kui neid on, ka varasid, mis on seotud sõlmitud kindlustus- ja edasikindlustuslepingutega.</w:t>
      </w:r>
    </w:p>
    <w:p w:rsidR="009569C7" w:rsidRPr="00EC4FA2" w:rsidRDefault="00A834F1" w:rsidP="009569C7">
      <w:pPr>
        <w:pStyle w:val="Baseparagraphnumbered"/>
        <w:tabs>
          <w:tab w:val="left" w:pos="851"/>
        </w:tabs>
        <w:ind w:left="709"/>
      </w:pPr>
      <w:r>
        <w:t>Kirje „kindlustus- ja edasikindlustuslepingute kohustused“ hõlmab sõlmitud kindlustus- ja edasikindlustuslepingute kohaseid kohustusi.</w:t>
      </w:r>
    </w:p>
    <w:p w:rsidR="009569C7" w:rsidRPr="00EC4FA2" w:rsidRDefault="00A834F1" w:rsidP="009569C7">
      <w:pPr>
        <w:pStyle w:val="subtitlenumbered"/>
        <w:jc w:val="both"/>
      </w:pPr>
      <w:bookmarkStart w:id="301" w:name="_Toc467855246"/>
      <w:bookmarkStart w:id="302" w:name="_Toc523999848"/>
      <w:bookmarkStart w:id="303" w:name="_Toc524082986"/>
      <w:r>
        <w:t>Viivisnõuded (18)</w:t>
      </w:r>
      <w:bookmarkEnd w:id="301"/>
      <w:bookmarkEnd w:id="302"/>
      <w:bookmarkEnd w:id="303"/>
    </w:p>
    <w:p w:rsidR="009569C7" w:rsidRPr="00EC4FA2" w:rsidRDefault="00A834F1" w:rsidP="009569C7">
      <w:pPr>
        <w:pStyle w:val="Baseparagraphnumbered"/>
        <w:tabs>
          <w:tab w:val="left" w:pos="851"/>
        </w:tabs>
        <w:ind w:left="709"/>
      </w:pPr>
      <w:r>
        <w:t>Vormi 18 puhul on viivisnõuded need nõuded, mis vastavad ühele järgmistest kriteeriumidest:</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olulised nõuded, mille tasumise täh</w:t>
      </w:r>
      <w:r w:rsidR="00EB47EC">
        <w:rPr>
          <w:rFonts w:ascii="Times New Roman" w:hAnsi="Times New Roman"/>
          <w:sz w:val="24"/>
        </w:rPr>
        <w:t>taega on ületatud üle 90 päeva;</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hinnangu kohaselt ei tasu võlgnik tõenäoliselt tema vastu olevaid krediidi iseloomuga nõudeid täielikult, kui tagatist ei realiseerita, hoolimata mis </w:t>
      </w:r>
      <w:r>
        <w:rPr>
          <w:rFonts w:ascii="Times New Roman" w:hAnsi="Times New Roman"/>
          <w:sz w:val="24"/>
        </w:rPr>
        <w:lastRenderedPageBreak/>
        <w:t xml:space="preserve">tahes tähtaja ületanud summa olemasolust või sellest, mitu </w:t>
      </w:r>
      <w:r w:rsidR="00EB47EC">
        <w:rPr>
          <w:rFonts w:ascii="Times New Roman" w:hAnsi="Times New Roman"/>
          <w:sz w:val="24"/>
        </w:rPr>
        <w:t>päeva see on ületanud tähtaega.</w:t>
      </w:r>
    </w:p>
    <w:p w:rsidR="009569C7" w:rsidRPr="00EC4FA2" w:rsidRDefault="00A834F1" w:rsidP="009569C7">
      <w:pPr>
        <w:pStyle w:val="Baseparagraphnumbered"/>
        <w:tabs>
          <w:tab w:val="left" w:pos="851"/>
        </w:tabs>
        <w:ind w:left="709"/>
      </w:pPr>
      <w:r>
        <w:t>Nõude liigitamist viivisnõudeks kohaldatakse hoolimata sellest, kas nõue on regulatiivsel eesmärgil vastavalt kapitalinõuete määruse artiklile 178 makseviivituses või raamatupidamisarvestuslikul eesmärgil kohaldatava raamatupidamistav</w:t>
      </w:r>
      <w:r w:rsidR="00EB47EC">
        <w:t>a kohaselt langenud väärtusega.</w:t>
      </w:r>
    </w:p>
    <w:p w:rsidR="009569C7" w:rsidRPr="00EC4FA2" w:rsidRDefault="00A834F1" w:rsidP="009569C7">
      <w:pPr>
        <w:pStyle w:val="Baseparagraphnumbered"/>
        <w:tabs>
          <w:tab w:val="left" w:pos="851"/>
        </w:tabs>
        <w:ind w:left="709"/>
      </w:pPr>
      <w:r>
        <w:t>Nõudeid, mida kapitalinõuete määruse artikli 178 kohaselt käsitatakse olevat makseviivituses, ja nõudeid, mis kohaldatava raamatupidamistava kohaselt on langenud väärtusega, käsitatakse alati viivisnõuetena. IFRSi kohaselt on vormi 18 puhul langenud väärtusega nõuded sellised nõuded, mille väärtus on krediidiriski tõttu langenud (3. etapp), sealhulgas ostetud või tekitatud krediidiriski tõttu langenud väärtusega varad. Muudesse väärtuse languse etappidesse kui 3. etapp kuuluvaid nõudeid käsitatakse viivisnõuetena, kui need vastava</w:t>
      </w:r>
      <w:r w:rsidR="00EB47EC">
        <w:t>d viivisnõuete kriteeriumidele.</w:t>
      </w:r>
    </w:p>
    <w:p w:rsidR="009569C7" w:rsidRPr="00EC4FA2" w:rsidRDefault="00A834F1" w:rsidP="009569C7">
      <w:pPr>
        <w:pStyle w:val="Baseparagraphnumbered"/>
        <w:tabs>
          <w:tab w:val="left" w:pos="851"/>
        </w:tabs>
        <w:ind w:left="709"/>
      </w:pPr>
      <w:r>
        <w:t>Nõuded liigitatakse viivisnõuete kategooriasse nende täissummas ja võtmata arvesse ühegi tagatise olemasolu. Olulisust hinnatakse vastavalt kapitalinõuete määruse artiklile 178.</w:t>
      </w:r>
    </w:p>
    <w:p w:rsidR="009569C7" w:rsidRPr="00EC4FA2" w:rsidRDefault="00A834F1" w:rsidP="009569C7">
      <w:pPr>
        <w:pStyle w:val="Baseparagraphnumbered"/>
        <w:tabs>
          <w:tab w:val="left" w:pos="851"/>
        </w:tabs>
        <w:ind w:left="709"/>
      </w:pPr>
      <w:r>
        <w:t>Vormi 18 puhul hõlmavad nõuded kõiki võlainstrumente (võlaväärtpaberid ning laenud ja ettemaksed, mis hõlmavad ka nõudeid keskpankadele ja muid nõudmiseni hoiuseid) ja bilansiväliseid riskipositsioone, välja arvatud kauplemis</w:t>
      </w:r>
      <w:r w:rsidR="00EB47EC">
        <w:t>eks hoitavaid riskipositsioone.</w:t>
      </w:r>
    </w:p>
    <w:p w:rsidR="009569C7" w:rsidRPr="00EC4FA2" w:rsidRDefault="00A834F1" w:rsidP="009569C7">
      <w:pPr>
        <w:pStyle w:val="Baseparagraphnumbered"/>
        <w:tabs>
          <w:tab w:val="left" w:pos="851"/>
        </w:tabs>
        <w:ind w:left="709"/>
      </w:pPr>
      <w:r>
        <w:t xml:space="preserve">Võlainstrumente kajastatakse järgmistes arvestusportfellides: a) soetusmaksumuses või amortiseeritud soetusmaksumuses mõõdetud võlainstrumendid, b) õiglases väärtuses läbi muu koondkasumi mõõdetud või omakapitalis kajastatud võlainstrumendid, mille suhtes kohaldatakse väärtuse langust ja c) range LOCOMi kohaselt või õiglases väärtuses muutustega läbi kasumiaruande või omakapitalis kajastatud võlainstrumendid, mille suhtes ei kohaldata väärtuse langust, vastavalt käesoleva osa punktis 233 esitatud kriteeriumidele. Iga kategooria esitatakse instrumentide ja vastaspoolte lõikes. </w:t>
      </w:r>
    </w:p>
    <w:p w:rsidR="009569C7" w:rsidRPr="00EC4FA2" w:rsidRDefault="00A834F1" w:rsidP="009569C7">
      <w:pPr>
        <w:pStyle w:val="Baseparagraphnumbered"/>
        <w:tabs>
          <w:tab w:val="left" w:pos="851"/>
        </w:tabs>
        <w:ind w:left="709"/>
      </w:pPr>
      <w:r>
        <w:t xml:space="preserve">IFRSi ja kohaldatava BADil põhineva siseriikliku GAAPi kohaselt hõlmavad bilansivälised riskipositsioonid järgmiseid tühistatavaid ja tühistamatuid kirjeid: </w:t>
      </w:r>
    </w:p>
    <w:p w:rsidR="009569C7" w:rsidRPr="00EC4FA2" w:rsidRDefault="00A834F1" w:rsidP="009569C7">
      <w:pPr>
        <w:pStyle w:val="Text1"/>
        <w:numPr>
          <w:ilvl w:val="1"/>
          <w:numId w:val="40"/>
        </w:numPr>
        <w:ind w:left="1134" w:hanging="425"/>
      </w:pPr>
      <w:r>
        <w:t>võetud siduvad laenuandmiskohustused;</w:t>
      </w:r>
    </w:p>
    <w:p w:rsidR="009569C7" w:rsidRPr="00EC4FA2" w:rsidRDefault="00A834F1" w:rsidP="009569C7">
      <w:pPr>
        <w:pStyle w:val="Text1"/>
        <w:numPr>
          <w:ilvl w:val="1"/>
          <w:numId w:val="40"/>
        </w:numPr>
        <w:ind w:left="1134" w:hanging="425"/>
      </w:pPr>
      <w:r>
        <w:t>antud finantsgarantiid;</w:t>
      </w:r>
    </w:p>
    <w:p w:rsidR="009569C7" w:rsidRPr="00EC4FA2" w:rsidRDefault="00A834F1" w:rsidP="009569C7">
      <w:pPr>
        <w:pStyle w:val="Text1"/>
        <w:numPr>
          <w:ilvl w:val="1"/>
          <w:numId w:val="40"/>
        </w:numPr>
        <w:ind w:left="1134" w:hanging="425"/>
      </w:pPr>
      <w:r>
        <w:t>muud võetud siduvad kohustused.</w:t>
      </w:r>
    </w:p>
    <w:p w:rsidR="009569C7" w:rsidRPr="00EC4FA2" w:rsidRDefault="00A834F1" w:rsidP="009569C7">
      <w:pPr>
        <w:pStyle w:val="Baseparagraphnumbered"/>
      </w:pPr>
      <w:r>
        <w:t xml:space="preserve">Võlainstrumente, mis on liigitatud IFRS 5 kohaselt müügiks </w:t>
      </w:r>
      <w:r w:rsidR="00EB47EC">
        <w:t>hoitavaks, kajastatakse eraldi.</w:t>
      </w:r>
    </w:p>
    <w:p w:rsidR="009569C7" w:rsidRPr="00EC4FA2" w:rsidRDefault="00A834F1" w:rsidP="009569C7">
      <w:pPr>
        <w:pStyle w:val="Baseparagraphnumbered"/>
      </w:pPr>
      <w:r>
        <w:t>Võlainstrumentide puhul kajastatakse vormis 18 „bilansiline brutoväärtus“ vastavalt käesoleva lisa 1. osa punktis 34 määratletule. Bilansiväliste riskipositsioonide puhul kajastatakse nimiväärtus vastavalt käesoleva lisa käesoleva osa punktis 118 määratletule.</w:t>
      </w:r>
    </w:p>
    <w:p w:rsidR="009569C7" w:rsidRPr="00EC4FA2" w:rsidRDefault="00A834F1" w:rsidP="009569C7">
      <w:pPr>
        <w:pStyle w:val="Baseparagraphnumbered"/>
      </w:pPr>
      <w:r>
        <w:lastRenderedPageBreak/>
        <w:t>Vormi 18 puhul on nõue „tähtajaks tasumata“, kui see vastab käesoleva osa punkti 96 kriteeriumidele.</w:t>
      </w:r>
    </w:p>
    <w:p w:rsidR="009569C7" w:rsidRPr="00EC4FA2" w:rsidRDefault="00A834F1" w:rsidP="009569C7">
      <w:pPr>
        <w:pStyle w:val="Baseparagraphnumbered"/>
        <w:tabs>
          <w:tab w:val="left" w:pos="851"/>
        </w:tabs>
        <w:ind w:left="709"/>
      </w:pPr>
      <w:r>
        <w:t xml:space="preserve"> Vormi 18 puhul tähendab „võlgnik“ võlgnikku kapitalinõuete määruse artikli 178 tähenduses.</w:t>
      </w:r>
    </w:p>
    <w:p w:rsidR="009569C7" w:rsidRPr="00EC4FA2" w:rsidRDefault="00A834F1" w:rsidP="009569C7">
      <w:pPr>
        <w:pStyle w:val="Baseparagraphnumbered"/>
        <w:tabs>
          <w:tab w:val="left" w:pos="851"/>
        </w:tabs>
        <w:ind w:left="709"/>
      </w:pPr>
      <w:r>
        <w:t xml:space="preserve"> Siduvat kohustust käsitatakse viivisnõudena nimiväärtuses, kui selle kasutusse võtmise või muu kasutamise korral kaasneksid sellega nõuded, mille puhul võib esineda risk, et neid ei maksta täies ulatuses tagas</w:t>
      </w:r>
      <w:r w:rsidR="00EB47EC">
        <w:t>i ilma tagatist realiseerimata.</w:t>
      </w:r>
    </w:p>
    <w:p w:rsidR="009569C7" w:rsidRPr="00EC4FA2" w:rsidRDefault="00A834F1" w:rsidP="009569C7">
      <w:pPr>
        <w:pStyle w:val="Baseparagraphnumbered"/>
        <w:tabs>
          <w:tab w:val="left" w:pos="851"/>
        </w:tabs>
        <w:ind w:left="709"/>
      </w:pPr>
      <w:r>
        <w:t xml:space="preserve"> Antud finantsgarantiisid käsitatakse viivisnõuetena nimiväärtuses, kui finantsgarantii puhul on risk, et garantii saanud pool realiseerib garantii, sealhulgas eelkõige juhul, kui aluseks olev garanteeritud nõue vastab punktis 213 osutatud kriteeriumidele, mille põhjal seda nõuet käsitatakse viivisnõudena. Kui garantii saanud pool on finantsgarantiilepingu alusel tasumisele kuuluva summa tähtajaks tasumata jätnud, hindab aruandev krediidiasutus või investeerimisühing, kas sellest tulenev nõue vastab viivisnõude kriteeriumidele.</w:t>
      </w:r>
    </w:p>
    <w:p w:rsidR="009569C7" w:rsidRPr="00EC4FA2" w:rsidRDefault="00A834F1" w:rsidP="009569C7">
      <w:pPr>
        <w:pStyle w:val="Baseparagraphnumbered"/>
        <w:tabs>
          <w:tab w:val="left" w:pos="851"/>
        </w:tabs>
        <w:ind w:left="709"/>
      </w:pPr>
      <w:r>
        <w:t xml:space="preserve"> Nõuded, mis on liigitatud punkti 213 kohaselt viivisnõueteks, liigitatakse viivisnõueteks kas individuaalselt („tehingupõhiselt“) või konkreetse võlgniku vastu oleva kogunõude põhjal („võlgnikupõhiselt“). Viivisnõuete liigitamisel individuaalselt või konkreetse võlgniku vastu oleva nõudena kasutatakse eri liiki viivisnõuete puhul jä</w:t>
      </w:r>
      <w:r w:rsidR="00EB47EC">
        <w:t>rgmisi liigitamise põhimõtteid:</w:t>
      </w:r>
    </w:p>
    <w:p w:rsidR="009569C7" w:rsidRPr="00EC4FA2" w:rsidRDefault="00A834F1" w:rsidP="009569C7">
      <w:pPr>
        <w:pStyle w:val="Text1"/>
        <w:numPr>
          <w:ilvl w:val="2"/>
          <w:numId w:val="40"/>
        </w:numPr>
        <w:ind w:left="1134" w:hanging="425"/>
      </w:pPr>
      <w:r>
        <w:t>viivisnõuete puhul, mis on liigitatud kapitalinõuete määruse artikli 178 kohaselt makseviivituses olevaks, kasutatakse kõnealuses artiklis esitatu</w:t>
      </w:r>
      <w:r w:rsidR="00EB47EC">
        <w:t>d liigitust;</w:t>
      </w:r>
    </w:p>
    <w:p w:rsidR="009569C7" w:rsidRPr="00EC4FA2" w:rsidRDefault="00A834F1" w:rsidP="009569C7">
      <w:pPr>
        <w:pStyle w:val="Text1"/>
        <w:numPr>
          <w:ilvl w:val="2"/>
          <w:numId w:val="40"/>
        </w:numPr>
        <w:ind w:left="1134" w:hanging="425"/>
      </w:pPr>
      <w:r>
        <w:t>nõuete puhul, mis on liigitatud viivisnõueteks tulenevalt väärtuse langusest vastavalt kohaldatavale raamatupidamistavale, kasutatakse kohaldatava raamatupidamistava kohaseid väärtuse languse kajastamise kriteeriume;</w:t>
      </w:r>
    </w:p>
    <w:p w:rsidR="009569C7" w:rsidRPr="00EC4FA2" w:rsidRDefault="00A834F1" w:rsidP="009569C7">
      <w:pPr>
        <w:pStyle w:val="Text1"/>
        <w:numPr>
          <w:ilvl w:val="2"/>
          <w:numId w:val="40"/>
        </w:numPr>
        <w:ind w:left="1134" w:hanging="425"/>
      </w:pPr>
      <w:r>
        <w:t>muude viivisnõuete suhtes, mida ei ole liigitatud makseviivituses ega langenud väärtusega olevaks, kohaldatakse kapitalinõuete määruse artikli 178 sätteid, mis käsitlevad m</w:t>
      </w:r>
      <w:r w:rsidR="00EB47EC">
        <w:t>akseviivituses olevaid nõudeid.</w:t>
      </w:r>
    </w:p>
    <w:p w:rsidR="009569C7" w:rsidRPr="00EC4FA2" w:rsidRDefault="00A834F1" w:rsidP="009569C7">
      <w:pPr>
        <w:pStyle w:val="Baseparagraphnumbered"/>
        <w:tabs>
          <w:tab w:val="left" w:pos="851"/>
        </w:tabs>
        <w:ind w:left="709"/>
      </w:pPr>
      <w:r>
        <w:t xml:space="preserve"> Kui krediidiasutusel või investeerimisühingul on võlgniku suhtes bilansilisi riskipositsioone, mille tasumise tähtaega on ületatud rohkem kui 90 päeva ja kõnealuste tähtajaks tasumata nõuete bilansiline brutoväärtus moodustab rohkem kui 20 % kõigi asjaomase võlgniku suhtes olevate bilansiliste riskipositsioonide bilansilisest brutoväärtusest, käsitatakse kõiki asjaomase võlgniku suhtes olevaid bilansilisi ja bilansiväliseid riskipositsioone viivisnõuetena. Kui võlgnik kuulub konsolideerimisgruppi, tuleb hinnata vajadust käsitada viivisnõuetena ka konsolideerimisgruppi kuuluvate muude üksuste suhtes olevaid riskipositsioone, kui neid juba ei käsitata olevat langenud väärtusega või makseviivituses vastavalt kapitalinõuete määruse artiklile 178, välja arvatud riskipositsioone, mis on seotud eraldiseisvate vaidlustega, mis ei ole seotud vastaspoole maksevõimega. </w:t>
      </w:r>
    </w:p>
    <w:p w:rsidR="009569C7" w:rsidRPr="00EC4FA2" w:rsidRDefault="00A834F1" w:rsidP="009569C7">
      <w:pPr>
        <w:pStyle w:val="Baseparagraphnumbered"/>
      </w:pPr>
      <w:r>
        <w:lastRenderedPageBreak/>
        <w:t>Nõudeid ei käsitata enam viivisnõuetena, kui täidetud on kõik järgmised tingimused:</w:t>
      </w:r>
    </w:p>
    <w:p w:rsidR="009569C7" w:rsidRPr="00EC4FA2" w:rsidRDefault="00A834F1" w:rsidP="009569C7">
      <w:pPr>
        <w:pStyle w:val="Text1"/>
        <w:numPr>
          <w:ilvl w:val="1"/>
          <w:numId w:val="41"/>
        </w:numPr>
        <w:tabs>
          <w:tab w:val="left" w:pos="1276"/>
        </w:tabs>
        <w:ind w:left="1134" w:hanging="426"/>
      </w:pPr>
      <w:r>
        <w:t>nõue vastab väljumiskriteeriumidele, mida aruandev krediidiasutus või investeerimisühing kohaldab langenud väärtusega ja makseviivituses olevana vastavalt kohaldatava raamatupidamistavale ja kapitalinõuete määruse artiklile 178 liigitamise lõpetamiseks;</w:t>
      </w:r>
    </w:p>
    <w:p w:rsidR="009569C7" w:rsidRPr="00EC4FA2" w:rsidRDefault="00A834F1" w:rsidP="009569C7">
      <w:pPr>
        <w:pStyle w:val="Text1"/>
        <w:numPr>
          <w:ilvl w:val="1"/>
          <w:numId w:val="41"/>
        </w:numPr>
        <w:tabs>
          <w:tab w:val="left" w:pos="1276"/>
        </w:tabs>
        <w:ind w:left="1134" w:hanging="426"/>
      </w:pPr>
      <w:r>
        <w:t>võlgniku olukord on paranenud niivõrd, et tõenäoliselt tehakse tagasimakse täies mahus vastavalt algsetele või vajaduse korral muudetud tingimustele;</w:t>
      </w:r>
    </w:p>
    <w:p w:rsidR="009569C7" w:rsidRPr="00EC4FA2" w:rsidRDefault="00A834F1" w:rsidP="009569C7">
      <w:pPr>
        <w:pStyle w:val="Text1"/>
        <w:numPr>
          <w:ilvl w:val="1"/>
          <w:numId w:val="41"/>
        </w:numPr>
        <w:tabs>
          <w:tab w:val="left" w:pos="1276"/>
        </w:tabs>
        <w:ind w:left="1134" w:hanging="426"/>
      </w:pPr>
      <w:r>
        <w:t>võlgnikul ei ole ühtegi tähtajaks tasumata summat, mille tasumise tähtaega o</w:t>
      </w:r>
      <w:r w:rsidR="00EB47EC">
        <w:t>n ületatud rohkem kui 90 päeva.</w:t>
      </w:r>
    </w:p>
    <w:p w:rsidR="009569C7" w:rsidRPr="00EC4FA2" w:rsidRDefault="00A834F1" w:rsidP="009569C7">
      <w:pPr>
        <w:pStyle w:val="Baseparagraphnumbered"/>
      </w:pPr>
      <w:r>
        <w:t>Nõuet liigitatakse viivisnõudeks seni, kuni käesoleva lisa käesoleva osa punkti 228 alapunktide a, b ja c tingimused ei ole täidetud, isegi kui nõue vastab juba viivisnõudena liigitamise lõpetamise kriteeriumidele, mida aruandev krediidiasutus või investeerimisühing kohaldab langenud väärtusega või makseviivituses olevana liigitamiseks vastavalt kohaldatavale raamatupidamistavale või kapitalinõu</w:t>
      </w:r>
      <w:r w:rsidR="00EB47EC">
        <w:t>ete määruse artiklile 178.</w:t>
      </w:r>
    </w:p>
    <w:p w:rsidR="009569C7" w:rsidRPr="00EC4FA2" w:rsidRDefault="00A834F1" w:rsidP="009569C7">
      <w:pPr>
        <w:pStyle w:val="Baseparagraphnumbered"/>
      </w:pPr>
      <w:r>
        <w:t>Viivisnõude liigitamine IFRS 5 kohaseks müügiks hoitavaks põhivaraks ei lõpeta selle liigitamist viivisnõudeks.</w:t>
      </w:r>
    </w:p>
    <w:p w:rsidR="009569C7" w:rsidRPr="00EC4FA2" w:rsidRDefault="00A834F1" w:rsidP="009569C7">
      <w:pPr>
        <w:pStyle w:val="Baseparagraphnumbered"/>
        <w:tabs>
          <w:tab w:val="left" w:pos="851"/>
        </w:tabs>
        <w:ind w:left="709"/>
      </w:pPr>
      <w:r>
        <w:t xml:space="preserve"> Makseraskuste tõttu restruktureerimise meetmete rakendamine viivisnõuete suhtes ei lõpeta nõuete käsitamist viivisnõuetena. Kui viivisnõuete suhtes rakendatakse makseraskuste tõttu restruktureerimise meetmeid, nagu osutatud punktis 262, ei käsitata neid nõudeid enam viivisnõuetena, kui täidetud on kõik järgmised tingimused:</w:t>
      </w:r>
    </w:p>
    <w:p w:rsidR="009569C7" w:rsidRPr="00EC4FA2" w:rsidRDefault="00A834F1" w:rsidP="009569C7">
      <w:pPr>
        <w:pStyle w:val="Text1"/>
        <w:numPr>
          <w:ilvl w:val="0"/>
          <w:numId w:val="51"/>
        </w:numPr>
        <w:ind w:left="1134"/>
      </w:pPr>
      <w:r>
        <w:t>krediidiasutus või investeerimisühing ei käsita nõudeid langenud väärtusega või makseviivituses olevana vastavalt kohaldatavale raamatupidamistavale ja kapita</w:t>
      </w:r>
      <w:r w:rsidR="00EB47EC">
        <w:t>linõuete määruse artiklile 178;</w:t>
      </w:r>
    </w:p>
    <w:p w:rsidR="009569C7" w:rsidRPr="00EC4FA2" w:rsidRDefault="00A834F1" w:rsidP="009569C7">
      <w:pPr>
        <w:pStyle w:val="Text1"/>
        <w:numPr>
          <w:ilvl w:val="0"/>
          <w:numId w:val="51"/>
        </w:numPr>
        <w:ind w:left="1134"/>
      </w:pPr>
      <w:r>
        <w:t>on möödunud aasta kas makseraskuste tõttu restruktureerimise meetmete rakendamisest või nõuete liigitamisest viivisnõueteks, olenevalt sellest kumb toimus hiljem;</w:t>
      </w:r>
    </w:p>
    <w:p w:rsidR="009569C7" w:rsidRPr="00EC4FA2" w:rsidRDefault="00A834F1" w:rsidP="009569C7">
      <w:pPr>
        <w:pStyle w:val="Text1"/>
        <w:numPr>
          <w:ilvl w:val="0"/>
          <w:numId w:val="51"/>
        </w:numPr>
        <w:ind w:left="1134"/>
      </w:pPr>
      <w:r>
        <w:t>pärast makseraskuste tõttu restruktureerimise meetmete rakendamist ei ole ühtegi tähtajaks tasumata summat ega kahtlust seoses nõude täieliku tagasimaksmisega vastavalt tingimustele, mida kohaldatakse pärast makseraskuste tõttu restruktureerimist. Kahtluste puudumine tehakse kindlaks pärast seda, kui krediidiasutus või investeerimisühing on analüüsinud võlgniku finantsseisundit. Kahtlused võidakse lugeda lõppenuks, kui võlgnik on tasunud (oma korrapäraste maksete kaudu vastavalt tingimustele, mida kohaldatakse pärast makseraskuste tõttu restruktureerimist) kokku summa, mis on võrdne summaga, mis eelnevalt oli tähtajaks tasumata (kui oli tähtajaks tasumata summasid) või mis on maha kantud (kui tähtajaks tasumata summasid ei olnud) makseraskuste tõttu restruktureerimise meetmete alusel, või kui võlgnik on muul viisil tõendanud oma suutlikkust täita pärast makseraskuste tõttu restrukturee</w:t>
      </w:r>
      <w:r w:rsidR="00EB47EC">
        <w:t>rimist kohaldatavaid tingimusi.</w:t>
      </w:r>
    </w:p>
    <w:p w:rsidR="009569C7" w:rsidRPr="00EC4FA2" w:rsidRDefault="00A834F1" w:rsidP="009569C7">
      <w:pPr>
        <w:pStyle w:val="Text1"/>
        <w:ind w:left="709" w:firstLine="1"/>
      </w:pPr>
      <w:r>
        <w:lastRenderedPageBreak/>
        <w:t>Punktides a, b ja c osutatud konkreetseid väljumistingimusi kohaldatakse lisaks kriteeriumidele, mida aruandvad krediidiasutused ja investeerimisühingud kohaldavad langenud väärtusega ja makseviivituses olevate nõuete suhtes vastavalt kohaldatavale raamatupidamistavale või kapitalinõuete määruse artiklile 178.</w:t>
      </w:r>
    </w:p>
    <w:p w:rsidR="009569C7" w:rsidRPr="00EC4FA2" w:rsidRDefault="00A834F1" w:rsidP="009569C7">
      <w:pPr>
        <w:pStyle w:val="Baseparagraphnumbered"/>
        <w:tabs>
          <w:tab w:val="left" w:pos="851"/>
        </w:tabs>
        <w:ind w:left="709"/>
      </w:pPr>
      <w:r>
        <w:t>Kui käesoleva lisa käesoleva osa punktis 231 osutatud tingimused ei ole kõnealuse punkti alapunktis b osutatud üheaastase perioodi lõpus täidetud, jätkatakse nõude käsitamist makseraskuste tõttu restruktureeritud viivisnõudena kuni kõigi tingimuste täitmiseni. Tingimuste täitmist hinnatakse vähemalt kord kvartalis.</w:t>
      </w:r>
    </w:p>
    <w:p w:rsidR="009569C7" w:rsidRPr="00EC4FA2" w:rsidRDefault="00A834F1" w:rsidP="00152278">
      <w:pPr>
        <w:pStyle w:val="Baseparagraphnumbered"/>
      </w:pPr>
      <w:r>
        <w:t xml:space="preserve">Käesoleva lisa 1. osa punktis 15 loetletud IFRSi kohaseid arvestusportfelle ja käesoleva lisa 1. osa punktis 16 loetletud kohaldatava BADil põhineva siseriikliku GAAPi kohaseid arvestusportfelle kajastatakse vormis 18 järgmiselt: </w:t>
      </w:r>
    </w:p>
    <w:p w:rsidR="009569C7" w:rsidRPr="00EC4FA2" w:rsidRDefault="00A834F1" w:rsidP="009569C7">
      <w:pPr>
        <w:pStyle w:val="Baseparagraphnumbered"/>
        <w:numPr>
          <w:ilvl w:val="0"/>
          <w:numId w:val="0"/>
        </w:numPr>
        <w:ind w:left="1134" w:hanging="425"/>
      </w:pPr>
      <w:r>
        <w:t>a) „soetusmaksumuses või amortiseeritud soetusmaksumuses mõõdetud võlainstrumendid“ hõlmab järgmiste kirjete alla kuuluvaid võlainstrumente:</w:t>
      </w:r>
    </w:p>
    <w:p w:rsidR="009569C7" w:rsidRPr="00EC4FA2" w:rsidRDefault="00A834F1" w:rsidP="009569C7">
      <w:pPr>
        <w:pStyle w:val="Baseparagraphnumbered"/>
        <w:numPr>
          <w:ilvl w:val="0"/>
          <w:numId w:val="0"/>
        </w:numPr>
        <w:ind w:left="1440"/>
      </w:pPr>
      <w:r>
        <w:t>i) „amortiseeritud soetusmaksumuses kajastatud finantsvarad“ (IFRS);</w:t>
      </w:r>
    </w:p>
    <w:p w:rsidR="009569C7" w:rsidRPr="00EC4FA2" w:rsidRDefault="00A834F1" w:rsidP="009569C7">
      <w:pPr>
        <w:pStyle w:val="Baseparagraphnumbered"/>
        <w:numPr>
          <w:ilvl w:val="0"/>
          <w:numId w:val="0"/>
        </w:numPr>
        <w:ind w:left="1440"/>
      </w:pPr>
      <w:r>
        <w:t>ii) „soetusmaksumusepõhisel meetodil mõõdetud finantsvarad, mida ei kasutata kauplemisel ja mis ei ole tuletisinstrumendid“, sealhulgas mõõduka LOCOMi kohaselt mõõdetud võlainstrumendid (BADil põhinev siseriiklik GAAP);</w:t>
      </w:r>
    </w:p>
    <w:p w:rsidR="009569C7" w:rsidRPr="00EC4FA2" w:rsidRDefault="00A834F1" w:rsidP="009569C7">
      <w:pPr>
        <w:pStyle w:val="Baseparagraphnumbered"/>
        <w:numPr>
          <w:ilvl w:val="0"/>
          <w:numId w:val="0"/>
        </w:numPr>
        <w:ind w:left="1440"/>
      </w:pPr>
      <w:r>
        <w:t xml:space="preserve">iii) „muud finantsvarad, mida ei kasutata kauplemisel ja mis ei ole tuletisinstrumendid“, välja arvatud range LOCOMi kohaselt mõõdetud võlainstrumendid (BADil põhinev siseriiklik GAAP); </w:t>
      </w:r>
    </w:p>
    <w:p w:rsidR="009569C7" w:rsidRPr="00EC4FA2" w:rsidRDefault="00A834F1" w:rsidP="009569C7">
      <w:pPr>
        <w:pStyle w:val="Baseparagraphnumbered"/>
        <w:numPr>
          <w:ilvl w:val="0"/>
          <w:numId w:val="0"/>
        </w:numPr>
        <w:ind w:left="1134" w:hanging="425"/>
      </w:pPr>
      <w:r>
        <w:t>b) „õiglases väärtuses läbi muu koondkasumi mõõdetud või omakapitalis kajastatud võlainstrumendid, mille suhtes kohaldatakse väärtuse langust“ hõlmab järgmiste kirjete alla kuuluvaid võlainstrumente:</w:t>
      </w:r>
    </w:p>
    <w:p w:rsidR="009569C7" w:rsidRPr="00EC4FA2" w:rsidRDefault="00A834F1" w:rsidP="009569C7">
      <w:pPr>
        <w:pStyle w:val="Baseparagraphnumbered"/>
        <w:numPr>
          <w:ilvl w:val="0"/>
          <w:numId w:val="0"/>
        </w:numPr>
        <w:ind w:left="1440"/>
      </w:pPr>
      <w:r>
        <w:t>i) „õiglases väärtuses läbi muu koondkasumi mõõdetud finantsvarad“ (IFRS);</w:t>
      </w:r>
    </w:p>
    <w:p w:rsidR="009569C7" w:rsidRPr="00EC4FA2" w:rsidRDefault="00A834F1" w:rsidP="009569C7">
      <w:pPr>
        <w:pStyle w:val="Baseparagraphnumbered"/>
        <w:numPr>
          <w:ilvl w:val="0"/>
          <w:numId w:val="0"/>
        </w:numPr>
        <w:ind w:left="1440"/>
      </w:pPr>
      <w:r>
        <w:t>ii) „omakapitalis kajastatavad õiglases väärtuses mõõdetavad finantsvarad, mida ei kasutata kauplemisel ja mis ei ole tuletisinstrumendid“, kui sellesse mõõtmiskategooriasse kuuluvate instrumentide suhtes saab BADil põhineva siseriikliku GAAPi kohase raamatupidamistava kohaselt kohaldada väärtuse langust;</w:t>
      </w:r>
    </w:p>
    <w:p w:rsidR="009569C7" w:rsidRPr="00EC4FA2" w:rsidRDefault="00A834F1" w:rsidP="009569C7">
      <w:pPr>
        <w:pStyle w:val="Baseparagraphnumbered"/>
        <w:numPr>
          <w:ilvl w:val="0"/>
          <w:numId w:val="0"/>
        </w:numPr>
        <w:ind w:left="1134" w:hanging="425"/>
      </w:pPr>
      <w:r>
        <w:t>c) „range LOCOMi kohaselt või õiglases väärtuses muutustega läbi kasumiaruande või omakapitalis kajastatud võlainstrumendid, mille suhtes ei kohaldata väärtuse langust“ hõlmab järgmiste kirjete alla kuuluvaid võlainstrumente:</w:t>
      </w:r>
    </w:p>
    <w:p w:rsidR="009569C7" w:rsidRPr="00EC4FA2" w:rsidRDefault="00A834F1" w:rsidP="009569C7">
      <w:pPr>
        <w:pStyle w:val="Baseparagraphnumbered"/>
        <w:numPr>
          <w:ilvl w:val="0"/>
          <w:numId w:val="0"/>
        </w:numPr>
        <w:ind w:left="1418"/>
      </w:pPr>
      <w:r>
        <w:lastRenderedPageBreak/>
        <w:t>i) „kohustuslikult õiglases väärtuses muutustega läbi kasumiaruande mõõdetavad finantsvarad, mida ei kasutata kauplemisel“ (IFRS);</w:t>
      </w:r>
    </w:p>
    <w:p w:rsidR="009569C7" w:rsidRPr="00EC4FA2" w:rsidRDefault="00A834F1" w:rsidP="009569C7">
      <w:pPr>
        <w:pStyle w:val="Baseparagraphnumbered"/>
        <w:numPr>
          <w:ilvl w:val="0"/>
          <w:numId w:val="0"/>
        </w:numPr>
        <w:ind w:left="1418"/>
      </w:pPr>
      <w:r>
        <w:t>ii) „finantsvarad õiglases väärtuses muutustega läbi kasumiaruande“ (IFRS);</w:t>
      </w:r>
    </w:p>
    <w:p w:rsidR="009569C7" w:rsidRPr="00EC4FA2" w:rsidRDefault="00A834F1" w:rsidP="009569C7">
      <w:pPr>
        <w:pStyle w:val="Baseparagraphnumbered"/>
        <w:numPr>
          <w:ilvl w:val="0"/>
          <w:numId w:val="0"/>
        </w:numPr>
        <w:ind w:left="1418"/>
      </w:pPr>
      <w:r>
        <w:t>iii) „õiglases väärtuses muutustega läbi kasumiaruande mõõdetavad finantsvarad, mida ei kasutata kauplemisel ja mis ei ole tuletisinstrumendid“ (BADil põhinev siseriiklik GAAP);</w:t>
      </w:r>
    </w:p>
    <w:p w:rsidR="009569C7" w:rsidRPr="00EC4FA2" w:rsidRDefault="00A834F1" w:rsidP="009569C7">
      <w:pPr>
        <w:pStyle w:val="Baseparagraphnumbered"/>
        <w:numPr>
          <w:ilvl w:val="0"/>
          <w:numId w:val="0"/>
        </w:numPr>
        <w:ind w:left="1418"/>
      </w:pPr>
      <w:r>
        <w:t>iv) „muud finantsvarad, mida ei kasutata kauplemisel ja mis ei ole tuletisinstrumendid“, kui võlainstrumente mõõdetakse range LOCOMi kohaselt (BADil põhinev siseriiklik GAAP);</w:t>
      </w:r>
    </w:p>
    <w:p w:rsidR="009569C7" w:rsidRPr="00EC4FA2" w:rsidRDefault="00A834F1" w:rsidP="009569C7">
      <w:pPr>
        <w:pStyle w:val="Baseparagraphnumbered"/>
        <w:numPr>
          <w:ilvl w:val="0"/>
          <w:numId w:val="0"/>
        </w:numPr>
        <w:ind w:left="1418"/>
      </w:pPr>
      <w:r>
        <w:t>v) „omakapitalis kajastatavad õiglases väärtuses mõõdetavad finantsvarad, mida ei kasutata kauplemisel ja mis ei ole tuletisinstrumendid“, kui sellesse mõõtmiskategooriasse kuuluvate võlainstrumentide suhtes ei saa BADil põhineva siseriikliku GAAPi kohase raamatupidamistava kohaselt kohaldada väärtuse langust.</w:t>
      </w:r>
    </w:p>
    <w:p w:rsidR="009569C7" w:rsidRPr="00EC4FA2" w:rsidRDefault="00A834F1" w:rsidP="009569C7">
      <w:pPr>
        <w:pStyle w:val="Baseparagraphnumbered"/>
      </w:pPr>
      <w:r>
        <w:t>Kui IFRSi või kohaldatava BADil põhineva siseriikliku GAAPi kohaselt on ette nähtud siduvate kohustuste kajastamine õiglases väärtuses muutustega läbi kasumiaruande, kajastatakse kõigi varade bilansiline väärtus, mis tuleneb õiglases väärtuses kajastamisest ja mõõtmisest, kirje „finantsvarad õiglases väärtuses muutustega läbi kasumiaruande“ (IFRS) või kirje „õiglases väärtuses muutustega läbi kasumiaruande mõõdetavad finantsvarad, mida ei kasutata kauplemisel ja mis ei ole tuletisinstrumendid“ (BADil põhinev siseriiklik GAAP) all. Ühegi sellise kohustuse bilansilist väärtust, mis tuleneb sellisest kajastamisest, vormis F18 ei kajastata. Kõigi selliste siduvate kohustuste tinglik väärtus, mida kajastatakse õiglases väärtuses muutustega läbi kasumiaruande, kajastatakse vormis 9.</w:t>
      </w:r>
    </w:p>
    <w:p w:rsidR="009569C7" w:rsidRPr="00EC4FA2" w:rsidRDefault="00A834F1" w:rsidP="009569C7">
      <w:pPr>
        <w:pStyle w:val="Baseparagraphnumbered"/>
        <w:tabs>
          <w:tab w:val="left" w:pos="851"/>
        </w:tabs>
        <w:ind w:left="709"/>
      </w:pPr>
      <w:r>
        <w:t>Tähtajaks tasumata nõuded kajastatakse nende kogusummas nõuetekohaselt teenindatavate ja viivisnõuete kategooriates eraldi, nagu määratletud käesoleva osa punktis 96. Nõudeid, mille tasumise tähtaega on ületatud rohkem kui 90 päeva ja mis ei ole olulised vastavalt kapitalinõuete määruse artiklile 178, kajastatakse nõuetekohaselt teenindatavate nõuetena kirje „tasumise tähtaega ületatud &gt; 30 päeva &lt;= 90 päeva“ all.</w:t>
      </w:r>
    </w:p>
    <w:p w:rsidR="009569C7" w:rsidRPr="00EC4FA2" w:rsidRDefault="00A834F1" w:rsidP="009569C7">
      <w:pPr>
        <w:pStyle w:val="Baseparagraphnumbered"/>
        <w:tabs>
          <w:tab w:val="left" w:pos="851"/>
        </w:tabs>
        <w:ind w:left="709"/>
      </w:pPr>
      <w:r>
        <w:t>Viivisnõuded kajastatakse jaotatuna tähtaja ületamise ajavahemikesse. Nõudeid, mille tasumise tähtaega ei ole ületatud või mille tasumise tähtaega on ületatud kuni 90 päeva, kuid mis on siiski määratletud kui viivisnõuded tulenevalt tõenäosusest, et tagasimakset ei tehta täies ulatuses, kajastatakse selleks ettenähtud veerus. Nõuded, mille puhul on tegu nii tähtaja ületanud summadega kui ka tõenäosusega, et tagasimakset ei tehta täies ulatuses, jaotatakse tähtaja ületamise ajavahemikesse vastavalt sellele, mitu päeva on tähtaega ületa</w:t>
      </w:r>
      <w:r w:rsidR="00EB47EC">
        <w:t>tud.</w:t>
      </w:r>
    </w:p>
    <w:p w:rsidR="009569C7" w:rsidRPr="00EC4FA2" w:rsidRDefault="00A834F1" w:rsidP="009569C7">
      <w:pPr>
        <w:pStyle w:val="Baseparagraphnumbered"/>
        <w:tabs>
          <w:tab w:val="left" w:pos="851"/>
        </w:tabs>
        <w:ind w:left="709"/>
      </w:pPr>
      <w:r>
        <w:t>Järgmised nõuded esitatakse eraldi veergudes: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lastRenderedPageBreak/>
        <w:t>nõuded, mida käsitatakse olevat langenud väärtusega vastavalt kohaldatavale raamatupidamistavale; IFRSi kohaselt esitatakse selles veerus selliste varade väärtus, mille väärtus on krediidiriski tõttu langenud (3. etapp), sealhulgas ostetud või tekitatud krediidiriski tõttu langenud väärtusega varade väärtus;</w:t>
      </w:r>
    </w:p>
    <w:p w:rsidR="009569C7" w:rsidRPr="00EC4FA2" w:rsidRDefault="00A834F1" w:rsidP="009569C7">
      <w:pPr>
        <w:pStyle w:val="Text1"/>
        <w:numPr>
          <w:ilvl w:val="0"/>
          <w:numId w:val="44"/>
        </w:numPr>
        <w:ind w:left="1134"/>
      </w:pPr>
      <w:r>
        <w:t xml:space="preserve">nõuded, mida käsitatakse makseviivituses olevana vastavalt kapitalinõuete määruse artiklile 178. </w:t>
      </w:r>
    </w:p>
    <w:p w:rsidR="009569C7" w:rsidRPr="00EC4FA2" w:rsidRDefault="00A834F1" w:rsidP="009569C7">
      <w:pPr>
        <w:pStyle w:val="Baseparagraphnumbered"/>
        <w:tabs>
          <w:tab w:val="left" w:pos="851"/>
        </w:tabs>
        <w:ind w:left="709"/>
      </w:pPr>
      <w:r>
        <w:t>Kirje „varade väärtuse akumuleeritud langus, krediidiriskist tulenevad õiglase väärtuse akumuleeritud negatiivsed muutused ja eraldised“ all esitatakse andmed vastavalt käesoleva osa pu</w:t>
      </w:r>
      <w:r w:rsidR="00EB47EC">
        <w:t>nktidele 11, 69–71, 106 ja 110.</w:t>
      </w:r>
    </w:p>
    <w:p w:rsidR="009569C7" w:rsidRPr="00EC4FA2" w:rsidRDefault="00A834F1" w:rsidP="009569C7">
      <w:pPr>
        <w:pStyle w:val="Baseparagraphnumbered"/>
        <w:tabs>
          <w:tab w:val="left" w:pos="851"/>
        </w:tabs>
        <w:ind w:left="709"/>
      </w:pPr>
      <w:r>
        <w:t>Teave seoses viivisnõuetega hoitavate tagatiste ja saadud garantiide koha esitatakse eraldi. Saadud tagatiste ja saadud garantiide puhul esitatavad summad arvutatakse kooskõlas käesoleva osa punktidega 172 ja 174. Nii tagatise kui ka garantiide puhul esitatud summade kogusumma ülempiiriks on seotud nõude bilansiline väärtus või nimiväärtus.</w:t>
      </w:r>
    </w:p>
    <w:p w:rsidR="009569C7" w:rsidRPr="00EC4FA2" w:rsidRDefault="00A834F1" w:rsidP="009569C7">
      <w:pPr>
        <w:pStyle w:val="subtitlenumbered"/>
        <w:jc w:val="both"/>
      </w:pPr>
      <w:bookmarkStart w:id="304" w:name="_Toc467855247"/>
      <w:bookmarkStart w:id="305" w:name="_Toc523999849"/>
      <w:bookmarkStart w:id="306" w:name="_Toc524082987"/>
      <w:r>
        <w:t>Makseraskuste tõttu restruktureeritud nõuded (19)</w:t>
      </w:r>
      <w:bookmarkEnd w:id="304"/>
      <w:bookmarkEnd w:id="305"/>
      <w:bookmarkEnd w:id="306"/>
    </w:p>
    <w:p w:rsidR="009569C7" w:rsidRPr="00EC4FA2" w:rsidRDefault="00A834F1" w:rsidP="009569C7">
      <w:pPr>
        <w:pStyle w:val="Baseparagraphnumbered"/>
        <w:tabs>
          <w:tab w:val="left" w:pos="851"/>
        </w:tabs>
        <w:ind w:left="709"/>
      </w:pPr>
      <w:r>
        <w:t xml:space="preserve"> Vormi 19 puhul on makseraskuste tõttu restruktureeritud nõuded võlalepingud, mille suhtes on rakendatud makseraskuste tõttu restruktureerimise meetmeid. Makseraskuste tõttu restruktureerimise meetmed hõlmavad järelandemiste tegemist võlgniku suhtes, kel on raskusi või tekkimas raskused oma siduvate finantskohustuste täitmisel (edaspidi „finantsraskused“).</w:t>
      </w:r>
    </w:p>
    <w:p w:rsidR="009569C7" w:rsidRPr="00EC4FA2" w:rsidRDefault="00A834F1" w:rsidP="009569C7">
      <w:pPr>
        <w:pStyle w:val="Baseparagraphnumbered"/>
        <w:tabs>
          <w:tab w:val="left" w:pos="851"/>
        </w:tabs>
        <w:ind w:left="709"/>
      </w:pPr>
      <w:r>
        <w:t xml:space="preserve"> Vormi 19 puhul võib järelandmisega laenuandja jaoks kaasneda kahju ja järeleandmine osutab ühele järgmistest tegevustest:</w:t>
      </w:r>
    </w:p>
    <w:p w:rsidR="009569C7" w:rsidRPr="00EC4FA2" w:rsidRDefault="00A834F1" w:rsidP="009569C7">
      <w:pPr>
        <w:pStyle w:val="Text1"/>
        <w:numPr>
          <w:ilvl w:val="1"/>
          <w:numId w:val="42"/>
        </w:numPr>
        <w:ind w:left="1134"/>
      </w:pPr>
      <w:r>
        <w:t>lepingu selliste varasemate tingimuste muutmine, mille puhul leitakse, et võlgnik ei ole võimeline neid täitma oma finantsraskuste tõttu (probleemne võlg), mis põhjustab võla teenindamise ebapiisava suutlikkuse, ja neid muudatusi ei oleks tehtud, kui võlgnik ei oleks finantsraskustes;</w:t>
      </w:r>
    </w:p>
    <w:p w:rsidR="009569C7" w:rsidRPr="00EC4FA2" w:rsidRDefault="00A834F1" w:rsidP="009569C7">
      <w:pPr>
        <w:pStyle w:val="Text1"/>
        <w:numPr>
          <w:ilvl w:val="1"/>
          <w:numId w:val="42"/>
        </w:numPr>
        <w:ind w:left="1134"/>
      </w:pPr>
      <w:r>
        <w:t>probleemse võlalepingu täielik või osaline refinantseerimine, mida ei oleks tehtud, kui võlgnik ei oleks finantsraskustes.</w:t>
      </w:r>
    </w:p>
    <w:p w:rsidR="009569C7" w:rsidRPr="00EC4FA2" w:rsidRDefault="00A834F1" w:rsidP="009569C7">
      <w:pPr>
        <w:pStyle w:val="Baseparagraphnumbered"/>
        <w:tabs>
          <w:tab w:val="left" w:pos="851"/>
        </w:tabs>
        <w:ind w:left="709"/>
      </w:pPr>
      <w:r>
        <w:t xml:space="preserve"> Tõendid järelandmise kohta hõlmavad vähemalt ühte järgmistest:</w:t>
      </w:r>
    </w:p>
    <w:p w:rsidR="009569C7" w:rsidRPr="00EC4FA2" w:rsidRDefault="00A834F1" w:rsidP="009569C7">
      <w:pPr>
        <w:pStyle w:val="Text1"/>
        <w:numPr>
          <w:ilvl w:val="0"/>
          <w:numId w:val="43"/>
        </w:numPr>
        <w:ind w:left="1134"/>
      </w:pPr>
      <w:r>
        <w:t>muudetud lepingutingimuste ja varasemate lepingutingimuste erinevus, mis on võlgniku kasuks;</w:t>
      </w:r>
    </w:p>
    <w:p w:rsidR="009569C7" w:rsidRPr="00EC4FA2" w:rsidRDefault="00A834F1" w:rsidP="009569C7">
      <w:pPr>
        <w:pStyle w:val="Text1"/>
        <w:numPr>
          <w:ilvl w:val="0"/>
          <w:numId w:val="43"/>
        </w:numPr>
        <w:ind w:left="1134"/>
      </w:pPr>
      <w:r>
        <w:t>muudetud lepingusse soodsamate tingimuste lisamine, kui need tingimused, mida oleks pakutud sarnase riskiprofiiliga muudele võlgnikele sama krediidiasutuse või investeerimisühingu poolt</w:t>
      </w:r>
      <w:r w:rsidR="00EB47EC">
        <w:t xml:space="preserve"> samal ajal.</w:t>
      </w:r>
    </w:p>
    <w:p w:rsidR="009569C7" w:rsidRPr="00EC4FA2" w:rsidRDefault="00A834F1" w:rsidP="009569C7">
      <w:pPr>
        <w:pStyle w:val="Baseparagraphnumbered"/>
        <w:tabs>
          <w:tab w:val="left" w:pos="851"/>
        </w:tabs>
        <w:ind w:left="709"/>
      </w:pPr>
      <w:r>
        <w:t xml:space="preserve"> Selliste klauslite kasutamist, mis juhul, kui võlgnik kasutab neid kaalutlusõiguse alusel, võimaldavad võlgnikul muuta lepingutingimusi (edaspidi „lepingus sisalduvad makseraskuste tõttu restruktureerimise klauslid“), käsitatakse järeleandmisena juhul, kui krediidiasutus või </w:t>
      </w:r>
      <w:r>
        <w:lastRenderedPageBreak/>
        <w:t>investeerimisühing kiidab nende klauslite kasutamise heaks ning järeldab, e</w:t>
      </w:r>
      <w:r w:rsidR="00EB47EC">
        <w:t>t võlgnikul on finantsraskused.</w:t>
      </w:r>
    </w:p>
    <w:p w:rsidR="009569C7" w:rsidRPr="00EC4FA2" w:rsidRDefault="00A834F1" w:rsidP="00152278">
      <w:pPr>
        <w:pStyle w:val="Baseparagraphnumbered"/>
      </w:pPr>
      <w:r>
        <w:t>III, IV ja käesoleva lisa kohaldamisel tähendab „refinantseerimine“ võlalepingute kasutamist, et tagada selliste muude võlalepingute täielik või osaline tasumine, mille kehtivaid ti</w:t>
      </w:r>
      <w:r w:rsidR="00EB47EC">
        <w:t>ngimusi võlgnik ei suuda täita.</w:t>
      </w:r>
    </w:p>
    <w:p w:rsidR="009569C7" w:rsidRPr="00EC4FA2" w:rsidRDefault="00A834F1" w:rsidP="009569C7">
      <w:pPr>
        <w:pStyle w:val="Baseparagraphnumbered"/>
        <w:tabs>
          <w:tab w:val="left" w:pos="851"/>
        </w:tabs>
        <w:ind w:left="709"/>
      </w:pPr>
      <w:r>
        <w:t>Vormi 19 puhul hõlmab „võlgnik“ kõiki võlgniku konsolideerimisgruppi kuuluvaid juriidilisi isikuid, kes on kaasatud raamatupidamisarvestusekohasesse konsolideerimisse, ja füüsilisi isikuid, kell</w:t>
      </w:r>
      <w:r w:rsidR="00EB47EC">
        <w:t>el on selle grupi üle kontroll.</w:t>
      </w:r>
    </w:p>
    <w:p w:rsidR="009569C7" w:rsidRPr="00EC4FA2" w:rsidRDefault="00A834F1" w:rsidP="009569C7">
      <w:pPr>
        <w:pStyle w:val="Baseparagraphnumbered"/>
      </w:pPr>
      <w:r>
        <w:t>Vormi 19 puhul hõlmab „võlg“ laene ja ettemakseid (mis hõlmavad ka nõudeid keskpankadele ja muid nõudmiseni hoiuseid), võlaväärtpabereid ning võetud tühistatavaid ja tühistamatuid siduvaid laenuandmiskohustusi, sealhulgas õiglases väärtuses muutustega läbi kasumiaruande kajastatavaid laenuandmiskohustusi, mis on aruandekuupäeva seisuga varad. „Võlg“ ei hõlma kauplemis</w:t>
      </w:r>
      <w:r w:rsidR="00EB47EC">
        <w:t>eks hoitavaid riskipositsioone.</w:t>
      </w:r>
    </w:p>
    <w:p w:rsidR="009569C7" w:rsidRPr="00EC4FA2" w:rsidRDefault="00A834F1" w:rsidP="009569C7">
      <w:pPr>
        <w:pStyle w:val="Baseparagraphnumbered"/>
      </w:pPr>
      <w:r>
        <w:t>„Võlg“ hõlmab ka laene ja ettemakseid ning võlaväärtpabereid, mis on liigitatud põhivaraks ja müügigruppideks, mis IFRS 5 kohaselt on liigitatud müügiks hoitavateks.</w:t>
      </w:r>
    </w:p>
    <w:p w:rsidR="009569C7" w:rsidRPr="00EC4FA2" w:rsidRDefault="00A834F1" w:rsidP="009569C7">
      <w:pPr>
        <w:pStyle w:val="Baseparagraphnumbered"/>
        <w:tabs>
          <w:tab w:val="left" w:pos="851"/>
        </w:tabs>
        <w:ind w:left="709"/>
      </w:pPr>
      <w:r>
        <w:t xml:space="preserve"> Vormi 19 puhul on mõistel „nõue“ sama tähendus nagu mõistel „võlg“ käesoleva osa punktis 247. </w:t>
      </w:r>
    </w:p>
    <w:p w:rsidR="009569C7" w:rsidRPr="00EC4FA2" w:rsidRDefault="00A834F1" w:rsidP="00152278">
      <w:pPr>
        <w:pStyle w:val="Baseparagraphnumbered"/>
      </w:pPr>
      <w:r>
        <w:t>Käesoleva lisa 1. osa punktis 15 loetletud IFRSi kohaseid arvestusportfelle ja käesoleva lisa 1. osa punktis 16 loetletud kohaldatava BADil põhineva siseriikliku GAAPi kohaseid arvestusportfelle kajastatakse vormis 19 vastavalt käesolev</w:t>
      </w:r>
      <w:r w:rsidR="00EB47EC">
        <w:t>a osa punktis 233 määratletule.</w:t>
      </w:r>
    </w:p>
    <w:p w:rsidR="009569C7" w:rsidRPr="00EC4FA2" w:rsidRDefault="00A834F1" w:rsidP="009569C7">
      <w:pPr>
        <w:pStyle w:val="Baseparagraphnumbered"/>
        <w:tabs>
          <w:tab w:val="left" w:pos="851"/>
        </w:tabs>
        <w:ind w:left="709"/>
      </w:pPr>
      <w:r>
        <w:t>Vormi 19 puhul tähendab „krediidiasutus või investeerimisühing“ seda krediidiasutust või investeerimisühingut, kes rakendas makseraskuste tõttu restruktureerimise meetmeid.</w:t>
      </w:r>
    </w:p>
    <w:p w:rsidR="009569C7" w:rsidRPr="00EC4FA2" w:rsidRDefault="00A834F1" w:rsidP="009569C7">
      <w:pPr>
        <w:pStyle w:val="Baseparagraphnumbered"/>
        <w:tabs>
          <w:tab w:val="left" w:pos="851"/>
        </w:tabs>
        <w:ind w:left="709"/>
      </w:pPr>
      <w:r>
        <w:t>„Võla“ puhul kajastatakse vormis 19 „bilansiline brutoväärtus“ vastavalt käesoleva lisa 1. osa punktis 34 määratletule. Siduvate laenuandmiskohustuste puhul, mis on bilansivälised riskipositsioonid, kajastatakse nimiväärtus vastavalt käesoleva lisa käesoleva osa punktis 118 määratletule.</w:t>
      </w:r>
    </w:p>
    <w:p w:rsidR="009569C7" w:rsidRPr="00EC4FA2" w:rsidRDefault="00A834F1" w:rsidP="009569C7">
      <w:pPr>
        <w:pStyle w:val="Baseparagraphnumbered"/>
      </w:pPr>
      <w:r>
        <w:t xml:space="preserve">Nõudeid käsitatakse makseraskuste tõttu restruktureeritud nõuetena, kui on tehtud järeleandmine, olenemata sellest, kas mõni summa on tähtajaks tasumata või kas nõuded on liigitatud kohaldatava raamatupidamistava kohaselt langenud väärtusega olevaks või vastavalt kapitalinõuete määruse artiklile 178 makseviivituses olevaks. Nõudeid ei käsitata makseraskuste tõttu restruktureeritud nõuetena, kui võlgnik ei ole finantsraskustes. IFRSi kohaselt käsitatakse muudetud finantsvara [IFRS 9 paragrahv 5.4.3 ja lisa A] makseraskuste tõttu restruktureerituna, tingimusel et on tehtud käesoleva lisa käesoleva osa punktides 240 ja 241 määratletud järeleandmine, sõltumata finantsvara krediidiriski muutuse muutumise mõjust alates esmase </w:t>
      </w:r>
      <w:r>
        <w:lastRenderedPageBreak/>
        <w:t>kajastamise kuupäevast. Makseraskuste tõttu restruktureerimise meetmetena käsitatakse kõike järgmist:</w:t>
      </w:r>
    </w:p>
    <w:p w:rsidR="009569C7" w:rsidRPr="00EC4FA2" w:rsidRDefault="00A834F1" w:rsidP="009569C7">
      <w:pPr>
        <w:pStyle w:val="Text1"/>
        <w:numPr>
          <w:ilvl w:val="1"/>
          <w:numId w:val="45"/>
        </w:numPr>
        <w:ind w:left="1134" w:hanging="425"/>
      </w:pPr>
      <w:r>
        <w:t>muudetud leping, mis on liigitatud viivisnõudeks enne muudatust või oleks liigitatud viivisnõudeks juhul, kui muudatust ei oleks tehtud;</w:t>
      </w:r>
    </w:p>
    <w:p w:rsidR="009569C7" w:rsidRPr="00EC4FA2" w:rsidRDefault="00A834F1" w:rsidP="009569C7">
      <w:pPr>
        <w:pStyle w:val="Text1"/>
        <w:numPr>
          <w:ilvl w:val="1"/>
          <w:numId w:val="45"/>
        </w:numPr>
        <w:ind w:left="1134" w:hanging="425"/>
      </w:pPr>
      <w:r>
        <w:t>lepingusse tehtud muudatus sisaldab võla osalist või täielikku tühistamist võla mahakandmise kaudu;</w:t>
      </w:r>
    </w:p>
    <w:p w:rsidR="009569C7" w:rsidRPr="00EC4FA2" w:rsidRDefault="00A834F1" w:rsidP="009569C7">
      <w:pPr>
        <w:pStyle w:val="Text1"/>
        <w:numPr>
          <w:ilvl w:val="1"/>
          <w:numId w:val="45"/>
        </w:numPr>
        <w:ind w:left="1134" w:hanging="425"/>
      </w:pPr>
      <w:r>
        <w:t>krediidiasutus või investeerimisühing kiidab heaks lepingus sisalduvate makseraskuste tõttu restruktureerimise klauslite kasutamise võlgniku puhul, kelle vastu on viivisnõuded või kelle vastu oleks viivisnõuded, kui kõnealuseid klausleid ei kasutataks;</w:t>
      </w:r>
    </w:p>
    <w:p w:rsidR="009569C7" w:rsidRPr="00EC4FA2" w:rsidRDefault="00A834F1" w:rsidP="009569C7">
      <w:pPr>
        <w:pStyle w:val="Text1"/>
        <w:numPr>
          <w:ilvl w:val="1"/>
          <w:numId w:val="45"/>
        </w:numPr>
        <w:ind w:left="1134" w:hanging="425"/>
      </w:pPr>
      <w:r>
        <w:t>samal ajal või ajaliselt lähedal sellele, kui krediidiasutus või investeerimisühing teeb järeleandmise täiendava võla puhul, tasus võlgnik sama krediidiasutuse või investeerimisühinguga sõlmitud muu lepingu põhisumma tagasimakse või intressimakse, mis oli viivisnõue või mis ilma refinantseerimiseta oleks liigitatud viivisnõudeks.</w:t>
      </w:r>
    </w:p>
    <w:p w:rsidR="009569C7" w:rsidRPr="00EC4FA2" w:rsidRDefault="00A834F1" w:rsidP="009569C7">
      <w:pPr>
        <w:pStyle w:val="Baseparagraphnumbered"/>
        <w:tabs>
          <w:tab w:val="left" w:pos="851"/>
        </w:tabs>
        <w:ind w:left="709"/>
      </w:pPr>
      <w:r>
        <w:t>Muudatust, mis hõlmab tagasimakseid, mis on tehtud tagatise enda valdusesse võtmisega, käsitatakse makseraskuste tõttu restruktureerimise meetmena, kui muudatus on järeleandmine.</w:t>
      </w:r>
    </w:p>
    <w:p w:rsidR="009569C7" w:rsidRPr="00EC4FA2" w:rsidRDefault="00A834F1" w:rsidP="009569C7">
      <w:pPr>
        <w:pStyle w:val="Baseparagraphnumbered"/>
        <w:tabs>
          <w:tab w:val="left" w:pos="851"/>
        </w:tabs>
        <w:ind w:left="709"/>
      </w:pPr>
      <w:r>
        <w:t>Järgmistel juhtudel on olemas ümberlükatav eeldus, et on toimunud makseraskuste tõttu restruktureerimine:</w:t>
      </w:r>
    </w:p>
    <w:p w:rsidR="009569C7" w:rsidRPr="00EC4FA2" w:rsidRDefault="00A834F1" w:rsidP="009569C7">
      <w:pPr>
        <w:pStyle w:val="Text1"/>
        <w:numPr>
          <w:ilvl w:val="0"/>
          <w:numId w:val="47"/>
        </w:numPr>
        <w:ind w:left="1134" w:hanging="425"/>
      </w:pPr>
      <w:r>
        <w:t>muudetud leping oli täies ulatuses või osaliselt tähtajaks tasumata rohkem kui 30 päeva (ilma et see oleks viivisnõue) vähemalt korra kolme kuu jooksul enne selle muutmist või oleks ilma muutmiseta tähtajaks osaliselt või täielikul</w:t>
      </w:r>
      <w:r w:rsidR="00EB47EC">
        <w:t>t tasumata rohkem kui 30 päeva;</w:t>
      </w:r>
    </w:p>
    <w:p w:rsidR="009569C7" w:rsidRPr="00EC4FA2" w:rsidRDefault="00A834F1" w:rsidP="009569C7">
      <w:pPr>
        <w:pStyle w:val="Text1"/>
        <w:numPr>
          <w:ilvl w:val="0"/>
          <w:numId w:val="47"/>
        </w:numPr>
        <w:ind w:left="1134" w:hanging="425"/>
      </w:pPr>
      <w:r>
        <w:t>samal ajal või ajaliselt lähedal sellele, kui krediidiasutus või investeerimisühing teeb järeleandmise täiendava võla puhul, tasus võlgnik sama krediidiasutuse või investeerimisühinguga sõlmitud muu lepingu põhisumma tagasimakse või intressimakse, mis oli refinantseerimisele eelneva kolme kuu jooksul vähemalt korra tähtajaks osaliselt või täielikult tasumata 30 päeva;</w:t>
      </w:r>
    </w:p>
    <w:p w:rsidR="009569C7" w:rsidRPr="00EC4FA2" w:rsidRDefault="00A834F1" w:rsidP="009569C7">
      <w:pPr>
        <w:pStyle w:val="Text1"/>
        <w:numPr>
          <w:ilvl w:val="0"/>
          <w:numId w:val="47"/>
        </w:numPr>
        <w:ind w:left="1134" w:hanging="425"/>
      </w:pPr>
      <w:r>
        <w:t>krediidiasutus või investeerimisühing kiidab heaks lepingus sisalduvate makseraskuste tõttu restruktureerimise klauslite kasutamise võlgnike puhul, kes on ületanud tasumise tähtaega 30 päeva, või võlgnike puhul, kes ületaksid tasumise tähtaega 30 päeva, kui neid klausleid ei kasutataks.</w:t>
      </w:r>
    </w:p>
    <w:p w:rsidR="009569C7" w:rsidRPr="00EC4FA2" w:rsidRDefault="00A834F1" w:rsidP="009569C7">
      <w:pPr>
        <w:pStyle w:val="Baseparagraphnumbered"/>
        <w:tabs>
          <w:tab w:val="left" w:pos="851"/>
        </w:tabs>
        <w:ind w:left="709"/>
      </w:pPr>
      <w:r>
        <w:t>Finantsraskusi hinnatakse võlgniku tasandil, nagu on osutatud punktis 245. Makseraskuste tõttu restruktureeritud nõuetena käsitatakse ainult neid nõudeid, mille suhtes on rakendatud makseraskuste tõttu restruktureerimise meetmeid.</w:t>
      </w:r>
    </w:p>
    <w:p w:rsidR="009569C7" w:rsidRPr="00EC4FA2" w:rsidRDefault="00A834F1" w:rsidP="009569C7">
      <w:pPr>
        <w:pStyle w:val="Baseparagraphnumbered"/>
        <w:tabs>
          <w:tab w:val="left" w:pos="851"/>
        </w:tabs>
        <w:ind w:left="709"/>
      </w:pPr>
      <w:r>
        <w:t>Makseraskuste tõttu restruktureeritud nõuded arvatakse viivisnõuete või nõuetekohaselt teenindatavate nõuete kategooriasse vastavalt käesoleva osa punktidele 213–224 ja 260. Makseraskuste tõttu restruktureeritud nõudeks liigitamine lõpetatakse, kui täidetud on kõik järgmised tingimused:</w:t>
      </w:r>
    </w:p>
    <w:p w:rsidR="009569C7" w:rsidRPr="00EC4FA2" w:rsidRDefault="00A834F1" w:rsidP="009569C7">
      <w:pPr>
        <w:pStyle w:val="Text1"/>
        <w:numPr>
          <w:ilvl w:val="0"/>
          <w:numId w:val="46"/>
        </w:numPr>
        <w:ind w:left="1134" w:hanging="425"/>
      </w:pPr>
      <w:r>
        <w:lastRenderedPageBreak/>
        <w:t>makseraskuste tõttu restruktureeritud nõuet käsitatakse nõuetekohaselt teenindatavana, sealhulgas juhul, kui see on eemaldatud viivisnõuete kategooriast pärast seda, kui võlgniku finantsseisundi analüüsist nähtus, et see enam ei vastanud tingimustele, mille alusel saaks seda käsitada viivisnõudena;</w:t>
      </w:r>
    </w:p>
    <w:p w:rsidR="009569C7" w:rsidRPr="00EC4FA2" w:rsidRDefault="00A834F1" w:rsidP="009569C7">
      <w:pPr>
        <w:pStyle w:val="Text1"/>
        <w:numPr>
          <w:ilvl w:val="0"/>
          <w:numId w:val="46"/>
        </w:numPr>
        <w:ind w:left="1134" w:hanging="425"/>
      </w:pPr>
      <w:r>
        <w:t>möödunud on vähemalt kaks aastat alates kuupäevast, mil makseraskuste tõttu restruktureeritud nõue käsitati olevat nõuetekohaselt teenindatav („katseaeg“);</w:t>
      </w:r>
    </w:p>
    <w:p w:rsidR="009569C7" w:rsidRPr="00EC4FA2" w:rsidRDefault="00A834F1" w:rsidP="009569C7">
      <w:pPr>
        <w:pStyle w:val="Text1"/>
        <w:numPr>
          <w:ilvl w:val="0"/>
          <w:numId w:val="46"/>
        </w:numPr>
        <w:ind w:left="1134" w:hanging="425"/>
      </w:pPr>
      <w:r>
        <w:t>katseajast vähemalt poole ajal tehti korrapäraselt põhisumma või intressi makseid rohkem kui mittemär</w:t>
      </w:r>
      <w:r w:rsidR="00EB47EC">
        <w:t>kimisväärse kogusumma ulatuses;</w:t>
      </w:r>
    </w:p>
    <w:p w:rsidR="009569C7" w:rsidRPr="00EC4FA2" w:rsidRDefault="00A834F1" w:rsidP="009569C7">
      <w:pPr>
        <w:pStyle w:val="Text1"/>
        <w:numPr>
          <w:ilvl w:val="0"/>
          <w:numId w:val="46"/>
        </w:numPr>
        <w:ind w:left="1134" w:hanging="425"/>
      </w:pPr>
      <w:r>
        <w:t>ükski võlgniku vastu olev nõue ei ole katseaja lõpuks rohkem kui</w:t>
      </w:r>
      <w:r w:rsidR="00EB47EC">
        <w:t xml:space="preserve"> 30 päeva üle tähtaja tasumata.</w:t>
      </w:r>
    </w:p>
    <w:p w:rsidR="009569C7" w:rsidRPr="00EC4FA2" w:rsidRDefault="00A834F1" w:rsidP="009569C7">
      <w:pPr>
        <w:pStyle w:val="Baseparagraphnumbered"/>
        <w:tabs>
          <w:tab w:val="left" w:pos="851"/>
        </w:tabs>
        <w:ind w:left="709"/>
      </w:pPr>
      <w:r>
        <w:t>Kui punktis 256 osutatud tingimused ei ole katseaja lõpus täidetud, jätkatakse kuni kõigi tingimuste täitmiseni nõude käsitamist katseajal oleva nõuetekohaselt teenindatava makseraskuste tõttu restruktureeritud nõudena. Tingimuste täitmist hinn</w:t>
      </w:r>
      <w:r w:rsidR="00EB47EC">
        <w:t>atakse vähemalt kord kvartalis.</w:t>
      </w:r>
    </w:p>
    <w:p w:rsidR="009569C7" w:rsidRPr="00EC4FA2" w:rsidRDefault="00A834F1" w:rsidP="009569C7">
      <w:pPr>
        <w:pStyle w:val="Baseparagraphnumbered"/>
        <w:tabs>
          <w:tab w:val="left" w:pos="851"/>
        </w:tabs>
        <w:ind w:left="709"/>
      </w:pPr>
      <w:r>
        <w:t>Makseraskuste tõttu restruktureeritud nõuded, mis on IFRS 5 kohaselt liigitatud müügiks hoitavaks põhivaraks, liigitatakse jätkuvalt makseraskuste tõttu restruktureeritud nõueteks.</w:t>
      </w:r>
    </w:p>
    <w:p w:rsidR="009569C7" w:rsidRPr="00EC4FA2" w:rsidRDefault="00A834F1" w:rsidP="009569C7">
      <w:pPr>
        <w:pStyle w:val="Baseparagraphnumbered"/>
        <w:tabs>
          <w:tab w:val="left" w:pos="851"/>
        </w:tabs>
        <w:ind w:left="709"/>
      </w:pPr>
      <w:r>
        <w:t>Makseraskuste tõttu restruktureeritud nõuet võib käsitada nõuetekohaselt teenindatavana alates kuupäevast, mil rakendati makseraskuste tõttu restruktureerimise meetmeid, kui täidetud on mõlemad järgmised tingimused:</w:t>
      </w:r>
    </w:p>
    <w:p w:rsidR="009569C7" w:rsidRPr="00EC4FA2" w:rsidRDefault="00A834F1" w:rsidP="009569C7">
      <w:pPr>
        <w:pStyle w:val="Text1"/>
        <w:numPr>
          <w:ilvl w:val="0"/>
          <w:numId w:val="48"/>
        </w:numPr>
        <w:ind w:left="1134" w:hanging="425"/>
      </w:pPr>
      <w:r>
        <w:t>kõnealuste meetmete rakendamine ei ole põhjustanud nõude liigitamist viivisnõudeks;</w:t>
      </w:r>
    </w:p>
    <w:p w:rsidR="009569C7" w:rsidRPr="00EC4FA2" w:rsidRDefault="00A834F1" w:rsidP="009569C7">
      <w:pPr>
        <w:pStyle w:val="Text1"/>
        <w:numPr>
          <w:ilvl w:val="0"/>
          <w:numId w:val="48"/>
        </w:numPr>
        <w:ind w:left="1134" w:hanging="425"/>
      </w:pPr>
      <w:r>
        <w:t>nõuet ei käsitatud viivisnõudena kuupäeval, mil rakendati makseraskuste tõttu restruktureerimise meetmeid.</w:t>
      </w:r>
    </w:p>
    <w:p w:rsidR="009569C7" w:rsidRPr="00EC4FA2" w:rsidRDefault="00A834F1" w:rsidP="009569C7">
      <w:pPr>
        <w:pStyle w:val="Baseparagraphnumbered"/>
        <w:tabs>
          <w:tab w:val="left" w:pos="851"/>
        </w:tabs>
        <w:ind w:left="709"/>
      </w:pPr>
      <w:r>
        <w:t xml:space="preserve">Kui katseajal oleva nõuetekohaselt teenindatava makseraskuste tõttu restruktureeritud nõude suhtes, mis on viivisnõuete kategooriast eemaldatud, rakendatakse täiendavaid makseraskuste tõttu restruktureerimise meetmeid või nõude tasumise tähtaega ületatakse rohkem kui 30 päeva, </w:t>
      </w:r>
      <w:r w:rsidR="00EB47EC">
        <w:t>liigitatakse see viivisnõudeks.</w:t>
      </w:r>
    </w:p>
    <w:p w:rsidR="009569C7" w:rsidRPr="00EC4FA2" w:rsidRDefault="00A834F1" w:rsidP="009569C7">
      <w:pPr>
        <w:pStyle w:val="Baseparagraphnumbered"/>
        <w:tabs>
          <w:tab w:val="left" w:pos="851"/>
        </w:tabs>
        <w:ind w:left="709"/>
      </w:pPr>
      <w:r>
        <w:t xml:space="preserve">Kirje „nõuetekohaselt teenindatavad nõuded, mille suhtes rakendatakse makseraskuste tõttu restruktureerimise meetmeid“ hõlmab makseraskuste tõttu restruktureeritud nõudeid, mis ei vasta viivisnõudena käsitamise kriteeriumidele ja need arvatakse nõuetekohaselt teenindatavate nõuete kategooriasse. Nõuetekohaselt teenindatav makseraskuste tõttu restruktureeritud nõue on katseajal vastavalt punktile 256, muu hulgas ka siis, kui kohaldatakse punkti 259. Katseajal olevaid nõuetekohaselt teenindatavaid makseraskuste tõttu restruktureeritud nõudeid, mis on viivisnõuete kategooriast eemaldatud, kajastatakse eraldi nõuetekohaselt teenindatavate nõuete hulgas, mille suhtes rakendatakse makseraskuste tõttu restruktureerimise meetmeid, veerus „millest: katseajal olevad nõuetekohaselt </w:t>
      </w:r>
      <w:r>
        <w:lastRenderedPageBreak/>
        <w:t>teenindatavad makseraskuste tõttu restruktureeritud nõuded, mis on eemalda</w:t>
      </w:r>
      <w:r w:rsidR="00EB47EC">
        <w:t>tud viivisnõuete kategooriast“.</w:t>
      </w:r>
    </w:p>
    <w:p w:rsidR="009569C7" w:rsidRPr="00EC4FA2" w:rsidRDefault="00A834F1" w:rsidP="009569C7">
      <w:pPr>
        <w:pStyle w:val="Baseparagraphnumbered"/>
        <w:tabs>
          <w:tab w:val="left" w:pos="851"/>
        </w:tabs>
        <w:ind w:left="709"/>
      </w:pPr>
      <w:r>
        <w:t>Kirje „viivisnõuded, mille suhtes rakendatakse makseraskuste tõttu restruktureerimise meetmeid“ hõlmab makseraskuste tõttu restruktureeritud nõudeid, mis vastavad viivisnõudena käsitamise kriteeriumidele ja need arvatakse viivisnõuete kategooriasse. Kõnealused viivisnõuded, mille suhtes rakendatakse makseraskuste tõttu restruktureerimi</w:t>
      </w:r>
      <w:r w:rsidR="00D452D1">
        <w:t>se meetmeid, hõlmavad järgmist:</w:t>
      </w:r>
    </w:p>
    <w:p w:rsidR="009569C7" w:rsidRPr="00EC4FA2" w:rsidRDefault="00A834F1" w:rsidP="009569C7">
      <w:pPr>
        <w:pStyle w:val="Text1"/>
        <w:numPr>
          <w:ilvl w:val="0"/>
          <w:numId w:val="49"/>
        </w:numPr>
        <w:ind w:left="1134" w:hanging="425"/>
      </w:pPr>
      <w:r>
        <w:t>nõuded, mis on muutunud makseraskuste tõttu restruktureerimise meetmete rakenda</w:t>
      </w:r>
      <w:r w:rsidR="00D452D1">
        <w:t>mise tulemusena viivisnõueteks;</w:t>
      </w:r>
    </w:p>
    <w:p w:rsidR="009569C7" w:rsidRPr="00EC4FA2" w:rsidRDefault="00A834F1" w:rsidP="009569C7">
      <w:pPr>
        <w:pStyle w:val="Text1"/>
        <w:numPr>
          <w:ilvl w:val="0"/>
          <w:numId w:val="49"/>
        </w:numPr>
        <w:ind w:left="1134" w:hanging="425"/>
      </w:pPr>
      <w:r>
        <w:t>nõuded, mis olid enne makseraskuste tõttu restruktureerimise meet</w:t>
      </w:r>
      <w:r w:rsidR="00D452D1">
        <w:t>mete rakendamist viivisnõuded;</w:t>
      </w:r>
    </w:p>
    <w:p w:rsidR="009569C7" w:rsidRPr="00EC4FA2" w:rsidRDefault="00A834F1" w:rsidP="009569C7">
      <w:pPr>
        <w:pStyle w:val="Text1"/>
        <w:numPr>
          <w:ilvl w:val="0"/>
          <w:numId w:val="49"/>
        </w:numPr>
        <w:ind w:left="1134" w:hanging="425"/>
      </w:pPr>
      <w:r>
        <w:t>makseraskuste tõttu restruktureeritud nõuded, mis on nõuetekohaselt teenindatavate nõuete kategooriast eemaldatud, sealhulgas punkti 260 kohal</w:t>
      </w:r>
      <w:r w:rsidR="00D452D1">
        <w:t>damisel ümberliigitatud nõuded.</w:t>
      </w:r>
    </w:p>
    <w:p w:rsidR="009569C7" w:rsidRPr="00EC4FA2" w:rsidRDefault="00A834F1" w:rsidP="009569C7">
      <w:pPr>
        <w:pStyle w:val="Baseparagraphnumbered"/>
        <w:tabs>
          <w:tab w:val="left" w:pos="851"/>
        </w:tabs>
        <w:ind w:left="709"/>
      </w:pPr>
      <w:r>
        <w:t>Kui makseraskuste tõttu restruktureerimise meetmeid laiendatakse nõuetele, mis olid enne makseraskuste tõttu restruktureerimise meetmete laiendamist viivisnõuded, esitatakse kõnealuste makseraskuste tõttu restruktureeritud nõuete summa eraldi veerus „millest: enne makseraskuste tõttu restruktureerimise meetmeid tekkinud viivisnõuete makseraskuste tõttu restruktureerimine“.</w:t>
      </w:r>
    </w:p>
    <w:p w:rsidR="009569C7" w:rsidRPr="00EC4FA2" w:rsidRDefault="00A834F1" w:rsidP="009569C7">
      <w:pPr>
        <w:pStyle w:val="Baseparagraphnumbered"/>
        <w:tabs>
          <w:tab w:val="left" w:pos="851"/>
        </w:tabs>
        <w:ind w:left="709"/>
      </w:pPr>
      <w:r>
        <w:t>Järgmised viivisnõuded, mille suhtes kohaldatakse makseraskuste tõttu restruktureerimise meetmeid, esitatakse eraldi veergudes:</w:t>
      </w:r>
    </w:p>
    <w:p w:rsidR="009569C7" w:rsidRPr="00EC4FA2" w:rsidRDefault="00A834F1" w:rsidP="009569C7">
      <w:pPr>
        <w:pStyle w:val="Text1"/>
        <w:numPr>
          <w:ilvl w:val="0"/>
          <w:numId w:val="50"/>
        </w:numPr>
        <w:ind w:left="1134" w:hanging="425"/>
      </w:pPr>
      <w:r>
        <w:t>nõuded, mida käsitatakse olevat langenud väärtusega vastavalt kohaldatavale raamatupidamistavale. IFRSi kohaselt esitatakse selles veerus selliste varade väärtus, mille väärtus on krediidiriski tõttu langenud (3. etapp), sealhulgas ostetud või tekitatud krediidiriski tõttu langenud väärtusega varade väärtus;</w:t>
      </w:r>
    </w:p>
    <w:p w:rsidR="009569C7" w:rsidRPr="00EC4FA2" w:rsidRDefault="00A834F1" w:rsidP="009569C7">
      <w:pPr>
        <w:pStyle w:val="Text1"/>
        <w:numPr>
          <w:ilvl w:val="0"/>
          <w:numId w:val="50"/>
        </w:numPr>
        <w:ind w:left="1134" w:hanging="425"/>
      </w:pPr>
      <w:r>
        <w:t>nõuded, mida käsitatakse makseviivituses olevana vastavalt kapitalinõuete määruse artiklile 178.</w:t>
      </w:r>
    </w:p>
    <w:p w:rsidR="009569C7" w:rsidRPr="00EC4FA2" w:rsidRDefault="00A834F1" w:rsidP="009569C7">
      <w:pPr>
        <w:pStyle w:val="Baseparagraphnumbered"/>
        <w:tabs>
          <w:tab w:val="left" w:pos="851"/>
        </w:tabs>
        <w:ind w:left="709"/>
      </w:pPr>
      <w:r>
        <w:t>Veerg „Refinantseerimine“ sisaldab makseraskuste tõttu restruktureerimise meetmena käsitatava refinantseerimise tehingu osana sõlmitud uue lepingu („võla refinantseerimine“) bilansilist brutoväärtust ning vana, tagasimakstud lepingu bilansilist brutoväärtust, m</w:t>
      </w:r>
      <w:r w:rsidR="00EB47EC">
        <w:t>is ikka veel kuulub tasumisele.</w:t>
      </w:r>
    </w:p>
    <w:p w:rsidR="009569C7" w:rsidRPr="00EC4FA2" w:rsidRDefault="00A834F1" w:rsidP="009569C7">
      <w:pPr>
        <w:pStyle w:val="Baseparagraphnumbered"/>
        <w:tabs>
          <w:tab w:val="left" w:pos="851"/>
        </w:tabs>
        <w:ind w:left="709"/>
      </w:pPr>
      <w:r>
        <w:t xml:space="preserve">Makseraskuste tõttu restruktureeritud nõuded, mille puhul on kasutatud muudatuste tegemise ja refinantseerimise kombinatsiooni, liigitatakse veergu „Instrumendid, mille tingimusi on muudetud“ või veergu „Refinantseerimine“, vastavalt sellele, millisel meetmel oli suurem mõju rahavoogudele. Pankade puuli poolt refinantseerimist kajastatakse veerus „Refinantseerimine“ kogu summas, milles aruandev krediidiasutus või investeerimisühing refinantseeris võlga või milles refinantseeritud võlg ikka veel aruandvale krediidiasutusele või investeerimisühingule tasumisele kuulub. Mitme võla struktureerimist uueks võlaks kajastatakse muudatusena, välja arvatud juhul, kui on olemas ka </w:t>
      </w:r>
      <w:r>
        <w:lastRenderedPageBreak/>
        <w:t>refinantseerimise tehing, millel on rahavoogudele veelgi suurem mõju. Kui probleemse nõude tingimuste muutmise kaudu toimuva makseraskuste tõttu restruktureerimise tulemusena selle nõude kajastamine lõpetatakse ja kajastatakse uus nõue, käsitatakse seda uut nõuet makseraskuste tõttu restruktureeritud võlana.</w:t>
      </w:r>
    </w:p>
    <w:p w:rsidR="009569C7" w:rsidRPr="00EC4FA2" w:rsidRDefault="00A834F1" w:rsidP="009569C7">
      <w:pPr>
        <w:pStyle w:val="Baseparagraphnumbered"/>
        <w:tabs>
          <w:tab w:val="left" w:pos="851"/>
        </w:tabs>
        <w:ind w:left="709"/>
      </w:pPr>
      <w:r>
        <w:t>Kirje „varade väärtuse akumuleeritud langus, krediidiriskist tulenevad õiglase väärtuse akumuleeritud negatiivsed muutused ja eraldised“ all esitatakse andmed vastavalt käesoleva osa pun</w:t>
      </w:r>
      <w:r w:rsidR="00D452D1">
        <w:t>ktidele 11, 69–71, 106 ja 110.</w:t>
      </w:r>
    </w:p>
    <w:p w:rsidR="009569C7" w:rsidRPr="00EC4FA2" w:rsidRDefault="00A834F1" w:rsidP="009569C7">
      <w:pPr>
        <w:pStyle w:val="Baseparagraphnumbered"/>
        <w:tabs>
          <w:tab w:val="left" w:pos="851"/>
        </w:tabs>
        <w:ind w:left="709"/>
      </w:pPr>
      <w:r>
        <w:t>Selliste nõuete puhul saadud tagatised ja garantiid, mille suhtes kohaldatakse makseraskuste tõttu restruktureerimise meetmeid, kajastatakse kõigi nõuete puhul, mille suhtes kohaldatakse makseraskuste tõttu restruktureerimise meetmeid, sõltumata sellest, kas need on nõuetekohaselt teenindatavad nõuded või viivisnõuded. Saadud tagatiste ja saadud garantiide puhul esitatavad summad arvutatakse kooskõlas käesoleva osa punktidega 172 ja 174. Nii tagatise kui ka garantiide puhul esitatud summade kogusumma ülempiiriks on seotud nõude bilansiline väärtus.</w:t>
      </w:r>
    </w:p>
    <w:p w:rsidR="009569C7" w:rsidRPr="00EC4FA2" w:rsidRDefault="00A834F1" w:rsidP="009569C7">
      <w:pPr>
        <w:pStyle w:val="subtitlenumbered"/>
        <w:jc w:val="both"/>
      </w:pPr>
      <w:bookmarkStart w:id="307" w:name="_Toc361844244"/>
      <w:bookmarkStart w:id="308" w:name="_Toc362359315"/>
      <w:bookmarkStart w:id="309" w:name="_Toc467855248"/>
      <w:bookmarkStart w:id="310" w:name="_Toc523999850"/>
      <w:bookmarkStart w:id="311" w:name="_Toc524082988"/>
      <w:r>
        <w:t>Geograafiline jaotus</w:t>
      </w:r>
      <w:bookmarkEnd w:id="256"/>
      <w:r>
        <w:t xml:space="preserve"> (20)</w:t>
      </w:r>
      <w:bookmarkEnd w:id="307"/>
      <w:bookmarkEnd w:id="308"/>
      <w:bookmarkEnd w:id="309"/>
      <w:bookmarkEnd w:id="310"/>
      <w:bookmarkEnd w:id="311"/>
    </w:p>
    <w:p w:rsidR="009569C7" w:rsidRPr="00EC4FA2" w:rsidRDefault="00A834F1" w:rsidP="009569C7">
      <w:pPr>
        <w:pStyle w:val="Baseparagraphnumbered"/>
      </w:pPr>
      <w:r>
        <w:t>Vormi 20 kohane teave esitatakse juhul, kui krediidiasutus või investeerimisühing ületab käesoleva määruse artikli 5 punkti a al</w:t>
      </w:r>
      <w:r w:rsidR="00EB47EC">
        <w:t>apunktis 4 kirjeldatud künnise.</w:t>
      </w:r>
    </w:p>
    <w:p w:rsidR="009569C7" w:rsidRPr="00EC4FA2" w:rsidRDefault="00A834F1" w:rsidP="009569C7">
      <w:pPr>
        <w:pStyle w:val="sub-subtitlenumbered"/>
        <w:jc w:val="both"/>
      </w:pPr>
      <w:bookmarkStart w:id="312" w:name="_Toc467855249"/>
      <w:bookmarkStart w:id="313" w:name="_Toc523999851"/>
      <w:bookmarkStart w:id="314" w:name="_Toc524082989"/>
      <w:r>
        <w:t>Geograafiline jaotus tegevuse asukoha alusel (20.1–20.3)</w:t>
      </w:r>
      <w:bookmarkEnd w:id="312"/>
      <w:bookmarkEnd w:id="313"/>
      <w:bookmarkEnd w:id="314"/>
    </w:p>
    <w:p w:rsidR="009569C7" w:rsidRPr="00EC4FA2" w:rsidRDefault="00A834F1" w:rsidP="009569C7">
      <w:pPr>
        <w:pStyle w:val="Baseparagraphnumbered"/>
      </w:pPr>
      <w:r>
        <w:t>Vormides 20.1–20.3 jagunevad tegevused geograafiliselt asukoha järgi: „riigisisesed tegevused“ ja „riigivälised tegevused“. Käesoleva osa puhul tähendab „asukoht“ sellise juriidilise isiku asutamise jurisdiktsiooni, kes on kajastanud asjaomase vara või kohustuse; filiaalide puhul on see nende asukoha jurisdiktsioon. Sel eesmärgil hõlmavad riigisisesed tegevused tegevusi, mis on kajastatud aruandva krediidiasutuse või investeerimisühingu asukoha liikmesriigis.</w:t>
      </w:r>
    </w:p>
    <w:p w:rsidR="009569C7" w:rsidRPr="00EC4FA2" w:rsidRDefault="00A834F1" w:rsidP="009569C7">
      <w:pPr>
        <w:pStyle w:val="sub-subtitlenumbered"/>
        <w:jc w:val="both"/>
      </w:pPr>
      <w:bookmarkStart w:id="315" w:name="_Toc467855250"/>
      <w:bookmarkStart w:id="316" w:name="_Toc523999852"/>
      <w:bookmarkStart w:id="317" w:name="_Toc524082990"/>
      <w:r>
        <w:t>Geograafiline jaotus vastaspoole residentsuse alusel (20.4–20.7)</w:t>
      </w:r>
      <w:bookmarkEnd w:id="315"/>
      <w:bookmarkEnd w:id="316"/>
      <w:bookmarkEnd w:id="317"/>
    </w:p>
    <w:p w:rsidR="009569C7" w:rsidRPr="00EC4FA2" w:rsidRDefault="00A834F1" w:rsidP="009569C7">
      <w:pPr>
        <w:pStyle w:val="Baseparagraphnumbered"/>
      </w:pPr>
      <w:r>
        <w:t>Vormid 20.4–20.7 sisaldavad teavet riikide lõikes vahetu vastaspoole asukoha alusel, nagu on määratletud käesoleva lisa 1. osa punktis 43. Esitatud jaotus hõlmab nõudeid või kohustusi iga sellise välisriigi residendi vastu, kus krediidiasutusel või investeerimisühingul on riskipositsioonid. Nõudeid ja kohustusi rahvusvaheliste organisatsioonide ja mitmepoolsete arengupankade vastu ei määrata krediidiasutuse või investeerimisühingu asukohariigi, vaid geograafilise piirkonna „muud riigid“ alla.</w:t>
      </w:r>
    </w:p>
    <w:p w:rsidR="009569C7" w:rsidRPr="00EC4FA2" w:rsidRDefault="00A834F1" w:rsidP="009569C7">
      <w:pPr>
        <w:pStyle w:val="Baseparagraphnumbered"/>
      </w:pPr>
      <w:r>
        <w:t>„Tuletisinstrumendid“ hõlmavad nii kauplemisel kasutatavaid tuletisinstrumente (sealhulgas majanduslik riskimaandus) kui ka IFRSi ja GAAPi kohaseid riskimaanduse tuletisinstrumente, mida kajastatakse vormides 10</w:t>
      </w:r>
      <w:r w:rsidR="00EB47EC">
        <w:t> ja 11.</w:t>
      </w:r>
    </w:p>
    <w:p w:rsidR="009569C7" w:rsidRPr="00EC4FA2" w:rsidRDefault="00A834F1" w:rsidP="009569C7">
      <w:pPr>
        <w:pStyle w:val="Baseparagraphnumbered"/>
      </w:pPr>
      <w:r>
        <w:t xml:space="preserve">IFRSi kohased kauplemiseks hoitavad varad ja GAAPi kohased kauplemisel kasutatavad varad esitatakse eraldi. Finantsvarad, mille suhtes </w:t>
      </w:r>
      <w:r>
        <w:lastRenderedPageBreak/>
        <w:t>kohaldatakse väärtuse langust, on määratletud käesoleva osa punktis 93. LOCOMi kohaselt mõõdetavaid varasid, mille väärtust on krediidiriski tõttu korrigeeritud, käsitatakse langenud väärtusega varadena.</w:t>
      </w:r>
    </w:p>
    <w:p w:rsidR="009569C7" w:rsidRPr="00EC4FA2" w:rsidRDefault="00A834F1" w:rsidP="009569C7">
      <w:pPr>
        <w:pStyle w:val="Baseparagraphnumbered"/>
      </w:pPr>
      <w:r>
        <w:t>Vormides 20.4 ja 20.7 kajastatakse „varade väärtuse akumuleeritud langus“ ja „viivisnõuete krediidiriskist tulenevad õiglase väärtuse akumuleeritud negatiivsed muutused“ vastavalt käesoleva osa punktides 69–71 määratletule.</w:t>
      </w:r>
    </w:p>
    <w:p w:rsidR="009569C7" w:rsidRPr="00EC4FA2" w:rsidRDefault="00A834F1" w:rsidP="009569C7">
      <w:pPr>
        <w:pStyle w:val="Baseparagraphnumbered"/>
      </w:pPr>
      <w:r>
        <w:t>Võlainstrumentide puhul kajastatakse vormis 20,4 „bilansiline brutoväärtus“ vastavalt käesoleva lisa 1. osa punktis 34 määratletule. Tuletisinstrumentide ja omakapitaliinstrumentide puhul on kajastatavaks summaks bilansiline väärtus. Veerus „millest: viivisnõuded“ kajastatakse võlainstrumente vastavalt käesoleva lisa punktides 213–232 määratletule. Võla makseraskuste tõttu restruktureerimine hõlmab vormi 19 eesmärgil kõiki võlalepinguid, millele on laiendatud makseraskuste tõttu restruktureerimise meetmeid, nagu need on määratletud k</w:t>
      </w:r>
      <w:r w:rsidR="00EB47EC">
        <w:t>äesoleva osa punktides 240–255.</w:t>
      </w:r>
    </w:p>
    <w:p w:rsidR="009569C7" w:rsidRPr="00EC4FA2" w:rsidRDefault="00A834F1" w:rsidP="009569C7">
      <w:pPr>
        <w:pStyle w:val="Baseparagraphnumbered"/>
      </w:pPr>
      <w:r>
        <w:t>Vormis 20.5 hõlmab „võetud siduvate kohustuste ja antud garantiidega seotud eraldised“ IAS 37 kohaselt mõõtetud eraldisi, IFRS 4 kohaste kindlustuslepingutena käsitatavate finantsgarantiide krediidikahju, võetud siduvate laenuandmiskohustuste ja antud finantsgarantiide eraldisi IFRS 9 kohaste väärtuse languse nõuete kohaldamisel ja võetud siduvate kohustuste ja antud garantiide eraldisi BADil põhineva siseriikliku GAAPi kohaselt vastavalt käesoleva osa punktile 11.</w:t>
      </w:r>
    </w:p>
    <w:p w:rsidR="009569C7" w:rsidRPr="00EC4FA2" w:rsidRDefault="00A834F1" w:rsidP="009569C7">
      <w:pPr>
        <w:pStyle w:val="Baseparagraphnumbered"/>
      </w:pPr>
      <w:r>
        <w:t>Vormis 20.7 esitatakse laenud ja ettemaksed, mida ei hoita kauplemise eesmärgil, riikide lõikes NACE koodide kohase klassifikatsiooni alusel. NACE koodide esitamine toimub esimese eristustaseme (st jagude tase) alusel. Laenud ja ettemaksed, mille suhtes kohaldatakse väärtuse langust, osutavad samadele portfellidele, millele on osutatud käesoleva osa punktis 93.</w:t>
      </w:r>
    </w:p>
    <w:p w:rsidR="009569C7" w:rsidRPr="00EC4FA2" w:rsidRDefault="00A834F1" w:rsidP="009569C7">
      <w:pPr>
        <w:pStyle w:val="subtitlenumbered"/>
        <w:jc w:val="both"/>
      </w:pPr>
      <w:bookmarkStart w:id="318" w:name="_Toc359315675"/>
      <w:bookmarkStart w:id="319" w:name="_Toc359315676"/>
      <w:bookmarkStart w:id="320" w:name="_Toc361844245"/>
      <w:bookmarkStart w:id="321" w:name="_Toc362359316"/>
      <w:bookmarkStart w:id="322" w:name="_Toc467855251"/>
      <w:bookmarkStart w:id="323" w:name="_Toc523999853"/>
      <w:bookmarkStart w:id="324" w:name="_Toc246770636"/>
      <w:bookmarkStart w:id="325" w:name="_Toc524082991"/>
      <w:bookmarkEnd w:id="318"/>
      <w:bookmarkEnd w:id="319"/>
      <w:r>
        <w:t>Materiaalne ja immateriaalne vara: kasutusrendil olevad varad (21)</w:t>
      </w:r>
      <w:bookmarkEnd w:id="320"/>
      <w:bookmarkEnd w:id="321"/>
      <w:bookmarkEnd w:id="322"/>
      <w:bookmarkEnd w:id="323"/>
      <w:bookmarkEnd w:id="325"/>
    </w:p>
    <w:p w:rsidR="009569C7" w:rsidRPr="00EC4FA2" w:rsidRDefault="00A834F1" w:rsidP="009569C7">
      <w:pPr>
        <w:pStyle w:val="Baseparagraphnumbered"/>
      </w:pPr>
      <w:r>
        <w:t>Käesoleva määruse artikli 9 punkti e kohase künnise arvutamiseks jagatakse materiaalne vara, mille krediidiasutus või investeerimisühing (rendileandja) on andnud rendile kolmandatele isikutele lepingutega, mida saab käsitada kasutusrendina vastavalt kohaldatavale raamatupidamistavale, materiaalse vara kogusummaga.</w:t>
      </w:r>
    </w:p>
    <w:p w:rsidR="009569C7" w:rsidRPr="00EC4FA2" w:rsidRDefault="00A834F1" w:rsidP="009569C7">
      <w:pPr>
        <w:pStyle w:val="Baseparagraphnumbered"/>
      </w:pPr>
      <w:r>
        <w:t>IFRSi kohaselt kajastatakse varad, mille krediidiasutus või investeerimisühing (rendileandja) on kolmandatele isikutele kasutusrendi alusel rendile andnud, mõõtmismeetodite kaupa.</w:t>
      </w:r>
    </w:p>
    <w:p w:rsidR="009569C7" w:rsidRPr="00EC4FA2" w:rsidRDefault="00A834F1" w:rsidP="009569C7">
      <w:pPr>
        <w:pStyle w:val="subtitlenumbered"/>
        <w:jc w:val="both"/>
      </w:pPr>
      <w:bookmarkStart w:id="326" w:name="_Toc362359317"/>
      <w:bookmarkStart w:id="327" w:name="_Toc467855252"/>
      <w:bookmarkStart w:id="328" w:name="_Toc523999854"/>
      <w:bookmarkStart w:id="329" w:name="_Toc361844246"/>
      <w:bookmarkStart w:id="330" w:name="_Toc244498341"/>
      <w:bookmarkStart w:id="331" w:name="_Toc244500572"/>
      <w:bookmarkStart w:id="332" w:name="_Toc246770631"/>
      <w:bookmarkStart w:id="333" w:name="_Toc524082992"/>
      <w:r>
        <w:t>Varade valitsemine, hoidmine ja muud teenuste osutamise funktsioonid (22)</w:t>
      </w:r>
      <w:bookmarkEnd w:id="326"/>
      <w:bookmarkEnd w:id="327"/>
      <w:bookmarkEnd w:id="328"/>
      <w:bookmarkEnd w:id="333"/>
    </w:p>
    <w:bookmarkEnd w:id="329"/>
    <w:p w:rsidR="009569C7" w:rsidRPr="00EC4FA2" w:rsidRDefault="00A834F1" w:rsidP="009569C7">
      <w:pPr>
        <w:pStyle w:val="Baseparagraphnumbered"/>
      </w:pPr>
      <w:r>
        <w:t xml:space="preserve">Käesoleva määruse artikli 9 punkti f kohase künnise arvutamisel on „teenus- ja vahendustasude netotulu“ summa kirjete „teenus- ja vahendustasude tulu“ ning „teenus- ja vahendustasude kulu“ vahe </w:t>
      </w:r>
      <w:r>
        <w:lastRenderedPageBreak/>
        <w:t>absoluutväärtus. Samal eesmärgil on „netointressi“ summa kirjete „intressitulu“ ja „intressikulu“ vahe absoluutväärtus.</w:t>
      </w:r>
    </w:p>
    <w:p w:rsidR="009569C7" w:rsidRPr="00EC4FA2" w:rsidRDefault="00A834F1" w:rsidP="009569C7">
      <w:pPr>
        <w:pStyle w:val="sub-subtitlenumbered"/>
        <w:jc w:val="both"/>
      </w:pPr>
      <w:bookmarkStart w:id="334" w:name="_Toc361844247"/>
      <w:bookmarkStart w:id="335" w:name="_Toc362359318"/>
      <w:bookmarkStart w:id="336" w:name="_Toc467855253"/>
      <w:bookmarkStart w:id="337" w:name="_Toc523999855"/>
      <w:bookmarkStart w:id="338" w:name="_Toc524082993"/>
      <w:r>
        <w:t xml:space="preserve">Teenus- ja vahendustasude tulud ja kulud </w:t>
      </w:r>
      <w:bookmarkEnd w:id="330"/>
      <w:bookmarkEnd w:id="331"/>
      <w:bookmarkEnd w:id="332"/>
      <w:r>
        <w:t>tegevuste kaupa (22.1)</w:t>
      </w:r>
      <w:bookmarkEnd w:id="334"/>
      <w:bookmarkEnd w:id="335"/>
      <w:bookmarkEnd w:id="336"/>
      <w:bookmarkEnd w:id="337"/>
      <w:bookmarkEnd w:id="338"/>
    </w:p>
    <w:p w:rsidR="009569C7" w:rsidRPr="00EC4FA2" w:rsidRDefault="00A834F1" w:rsidP="009569C7">
      <w:pPr>
        <w:pStyle w:val="Baseparagraphnumbered"/>
      </w:pPr>
      <w:r>
        <w:t>Teenus- ja vahendustasude tulud ja kulud kajastatakse tegevuse liigi kaupa. IFRSi kohaselt sisaldab see vorm teenus- ja vahendustasude tulu ja kulu, v</w:t>
      </w:r>
      <w:r w:rsidR="00EB47EC">
        <w:t>älja arvatud mõlemad järgmised:</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summad, mida võetakse arvesse finantsinstrumentide efektiivse intressimäära arvutamisel </w:t>
      </w:r>
      <w:r w:rsidR="00EB47EC">
        <w:rPr>
          <w:rFonts w:ascii="Times New Roman" w:hAnsi="Times New Roman"/>
          <w:sz w:val="24"/>
        </w:rPr>
        <w:t>[IFRS 7 paragrahvi 20 punkt c];</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summad, mis tulenevad finantsinstrumentidest, mida mõõdetakse õiglases väärtuses muutustega läbi kasumiaruande [IFRS 7 para</w:t>
      </w:r>
      <w:r w:rsidR="00EB47EC">
        <w:rPr>
          <w:rFonts w:ascii="Times New Roman" w:hAnsi="Times New Roman"/>
          <w:sz w:val="24"/>
        </w:rPr>
        <w:t>grahvi 20 punkti c alapunkt i].</w:t>
      </w:r>
    </w:p>
    <w:p w:rsidR="009569C7" w:rsidRPr="00EC4FA2" w:rsidRDefault="00A834F1" w:rsidP="009569C7">
      <w:pPr>
        <w:pStyle w:val="Baseparagraphnumbered"/>
      </w:pPr>
      <w:r>
        <w:t>Arvesse ei võeta tehingukulusid, mis on otseselt seotud selliste finantsinstrumentide omandamise või emiteerimisega, mida ei mõõdeta õiglases väärtuses muutustega läbi kasumiaruande; need kulud on osa kõnealuste instrumentide esialgse omandamise/emiteerimise väärtusest ning amortiseeritakse instrumendi järelejäänud tähtaja jooksul kasumisse või kahjumisse, kasutades efektiivset intressimäära [vt IFRS 9 paragrahv 5.1.1].</w:t>
      </w:r>
    </w:p>
    <w:p w:rsidR="009569C7" w:rsidRPr="00EC4FA2" w:rsidRDefault="00A834F1" w:rsidP="009569C7">
      <w:pPr>
        <w:pStyle w:val="Baseparagraphnumbered"/>
      </w:pPr>
      <w:r>
        <w:t>IFRSi kohaselt kajastatakse tehingukulud, mis on otseselt seotud selliste finantsinstrumentide omandamise või emiteerimisega, mida mõõdetakse õiglases väärtuses muutustega läbi kasumiaruande, kirjetel „kauplemiseks hoitavatest finantsvaradest ja -kohustustest tulenev netokasum või netokahjum“, „kauplemisel mittekasutatavatest kohustuslikult õiglases väärtuses muutustega läbi kasumiaruande kajastatud finantsvaradest tulenev netokasum või netokahjum“ ja „õiglases väärtuses muutustega läbi kasumiaruande kajastatud finantsvaradest ja -kohustustest tulenev netokasum või netokahjum“, sõltuvalt arvestusportfellist, kuhu nad on liigitatud. Need kulud ei ole osa kõnealuste instrumentide esialgse omandamise või emiteerimise väärtusest ning kajastatakse koheselt kasumiaruandes.</w:t>
      </w:r>
    </w:p>
    <w:p w:rsidR="009569C7" w:rsidRPr="00EC4FA2" w:rsidRDefault="00A834F1" w:rsidP="009569C7">
      <w:pPr>
        <w:pStyle w:val="Baseparagraphnumbered"/>
      </w:pPr>
      <w:r>
        <w:t>Krediidiasutused ja investeerimisühingud kajastavad teenus- ja vahendustasude tulusid ja kulusid vastava</w:t>
      </w:r>
      <w:r w:rsidR="00EB47EC">
        <w:t>lt järgmistele kriteeriumidele: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„Väärtpaberid. Emiteerimised“ hõlmab teenus- ja vahendustasusid, mille krediidiasutus või investeerimisühing on saanud sellise väärtpaberiemissiooni algatamises või selliste väärtpaberite emiteerimises osalemise eest, mida ta ise ei ole algatanud või emiteerinud;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„Väärtpaberid. Ülekandekorraldused“ hõlmab teenus- ja vahendustasusid, mis krediidiasutus või investeerimisühing on saanud, kuna ta on klientide nimel võtnud vastu, edastanud ja täitnud väärtpaberite ostu- või müügikorraldusi;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„Väärtpaberid. Muu“ hõlmab teenus- ja vahendustasusid, mille krediidiasutus või investeerimisühing on saanud, kuna on osutanud muid teenuseid seoses väärtpaberitega, mille emiteerimist ta ei ole ise algatanud ja mida ta ei ole ise emiteerinud;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kirje „kliiring ja arveldus“ sisaldab teenus- ja vahendustasude tulusid (kulusid), mis krediidiasutus või investeerimisühing on saanud (tal on tulnud tasuda), kui ta on osalenud vastaspoole-, kliiringu- ja arveldussüsteemides;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kirjed „varade valitsemine“, „hoidmine“, „kesksed haldusteenused ühiseks investeerimiseks loodud ettevõtjatele“, „usaldustehingud“ ja „makseteenused“ sisaldavad selliseid teenus- ja vahendustasude tulusid (kulusid), mis krediidiasutus või investeerimisühing on saanud (tal on tulnud tasuda), kui ta on osutanud kõnealuseid teenuseid;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„struktureeritud rahastamine“ sisaldab teenus- ja vahendustasusid, mida krediidiasutus või investeerimisühing on saanud osalemise eest selliste finantsinstrumentide emissiooni algatamises või emiteerimisel, mis ei ole krediidiasutuse või investeerimisühingu enda tekitatud või emiteeritud</w:t>
      </w:r>
      <w:r w:rsidR="00EB47EC">
        <w:rPr>
          <w:rFonts w:ascii="Times New Roman" w:hAnsi="Times New Roman"/>
          <w:sz w:val="24"/>
        </w:rPr>
        <w:t xml:space="preserve"> väärtpaberid;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„laenuteeninduse“ tasud sisaldavad tulude poolel teenus- ja vahendustasude tulu, mille krediidiasutus või investeerimisühing on saanud laenuteeninduse teenuste osutamise eest, ning kulude poolel teenus- ja vahendustasudest tulenevat kulu, mida krediidiasutus või investeerimisühing on tasunud laenuteeninduse teenuse osutajatele;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kirjed „võetud siduvad laenuandmiskohustused“ ja „antud finantsgarantiid“ sisaldavad perioodi jooksul tuluna kirjendatud kõnealuste tegevuste eest saadud teenus- ja vahendustasude amortiseeritud summat, mis algselt kirjendati muude kohustustena;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kirjed „siduvad laenuandmiskohustused aruande esitaja ees“ ja „saadud finantsgarantiid“ sisaldavad teenus- ja vahendustasusid, mida krediidiasutus või investeerimisühing on perioodi jooksul kirjendanud kuluna ja mis tulenevad sellise laenuandmiskohustuse võtnud või finantsgarantii andnud vastaspoole poolt võetud tasudest, mida al</w:t>
      </w:r>
      <w:r w:rsidR="00EB47EC">
        <w:rPr>
          <w:rFonts w:ascii="Times New Roman" w:hAnsi="Times New Roman"/>
          <w:sz w:val="24"/>
        </w:rPr>
        <w:t>gselt kajastati muude varadena;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„muu“ sisaldab ülejäänud teenus- ja vahendustasude tulu (kulu), mis krediidiasutus või investeerimisühing on saanud (tal on tulnud tasuda), näiteks see, mis on tulenenud „muudest siduvatest kohustustest“, valuutavahetusteenustest (nt välismaiste pangatähtede või müntide vahetus) või muude tasupõhiste nõuannete või teenuste osutamisest (saamisest).</w:t>
      </w:r>
    </w:p>
    <w:p w:rsidR="009569C7" w:rsidRPr="00EC4FA2" w:rsidRDefault="00A834F1" w:rsidP="009569C7">
      <w:pPr>
        <w:pStyle w:val="sub-subtitlenumbered"/>
        <w:jc w:val="both"/>
      </w:pPr>
      <w:bookmarkStart w:id="339" w:name="_Toc361844248"/>
      <w:bookmarkStart w:id="340" w:name="_Toc362359319"/>
      <w:bookmarkStart w:id="341" w:name="_Toc467855254"/>
      <w:bookmarkStart w:id="342" w:name="_Toc523999856"/>
      <w:bookmarkStart w:id="343" w:name="_Toc524082994"/>
      <w:r>
        <w:t>Osutatud teenustega seotud varad (22.2)</w:t>
      </w:r>
      <w:bookmarkEnd w:id="339"/>
      <w:bookmarkEnd w:id="340"/>
      <w:bookmarkEnd w:id="341"/>
      <w:bookmarkEnd w:id="342"/>
      <w:bookmarkEnd w:id="343"/>
    </w:p>
    <w:p w:rsidR="009569C7" w:rsidRPr="00EC4FA2" w:rsidRDefault="00A834F1" w:rsidP="009569C7">
      <w:pPr>
        <w:pStyle w:val="Baseparagraphnumbered"/>
      </w:pPr>
      <w:r>
        <w:t>Varade valitsemine, hoidmisfunktsioonide ja krediidiasutuse või investeerimisühingu muude osutatud teenustega seotud äritegevus kajastatakse, kasutades järgmisi määratlusi: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„varade valitsemine“ osutab varadele, mis kuuluvad otseselt klientidele ja mida krediidiasutus või investeerimisühing haldab. „Varade valitsemine“ esitatakse kliendi liigi alusel: ühiseks investeerimiseks loodud ettevõtjad, pensionifondid, kaalutlusõigusel valitsetavad kliendiportfellid n</w:t>
      </w:r>
      <w:r w:rsidR="00EB47EC">
        <w:rPr>
          <w:rFonts w:ascii="Times New Roman" w:hAnsi="Times New Roman"/>
          <w:sz w:val="24"/>
        </w:rPr>
        <w:t>ing muud investeerimisvahendid;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„hoidmisel olevad varad“ osutab krediidiasutuse või investeerimisühingu osutatavatele kliendi kontol olevate finantsinstrumentide hoidmise ja haldamise teenustele ning deponeerimisega seotud teenustele, nt raha ja tagatiste haldamine. „Hoidmisel olevad varad“ tuleb kajastada selliste klientide liikide kaupa,, kelle vara krediidiasutus või investeerimisühing hoiab, eristades ühiseks investeerimiseks loodud ettevõtjaid ja teisi. Kirjel „millest: muudele üksustele hoidmiseks antud“ kajastatakse nende hoidmisel olevates varades sisalduvate varade summa, mille puhul krediidiasutus või investeerimisühing on tegeliku hoidm</w:t>
      </w:r>
      <w:r w:rsidR="00D452D1">
        <w:rPr>
          <w:rFonts w:ascii="Times New Roman" w:hAnsi="Times New Roman"/>
          <w:sz w:val="24"/>
        </w:rPr>
        <w:t>ise andnud teistele üksustele;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„kesksed haldusteenused ühiste investeerimiste puhul“ osutab haldusteenustele, mida krediidiasutus või investeerimisühing osutab ühiseks investeerimiseks loodud ettevõtjatele. See hõlmab muu hulgas väärtpaberiregistrite teenuseid; arvestusdokumentide koostamise teenuseid; prospektide, finantsaruannete ja kõigi muude investoritele suunatud dokumentide koostamise teenuseid; teabevahetuse teenuseid, levitades finantsaruandeid ja kõiki muid investoritele suunatud dokumente; emiteerimiste ja tagasivõtmiste teostamise ning investorite registri pidamise teenuseid ning vara puhasväärtuse arvutamise teenuseid;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„usaldustehingud“ on tegevused, mille puhul krediidiasutus või investeerimisühing tegutseb enda nimel, kuid oma klientide eest ja kliendid kannavad riski. Usaldustehingute puhul osutab krediidiasutus või investeerimisühing struktureeritud üksusele sageli teenuseid, näiteks hoidmisel oleva vara halduse teenuseid, või portfellide valitsemist kaalutlusõiguse alusel. Kõik usaldustehingud esitatakse üksnes sellel kirjel sõltumata sellest, kas krediidiasutus või investeerimisühing osutab täiendavalt muid teenuseid või mitte;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„makseteenused“ osutab selliste võlainstrumentidest tulenevate maksete sissenõudmisele klientide nimel, mida ei ole kajastatud krediidiasutuse või investeerimisühingu bilansis ning mida ei ole ta ise välja andnud;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„klientide jagatud, kuid mitte hallatavad varad“ osutab toodetele, mille on emiteerinud usaldatavusnõuete täitmise järelevalve alla kuuluvasse gruppi mittekuuluvad üksused ja mille krediidiasutus või investeerimisühing on jaotanud oma olemasolevatele klientidele. See kirje esitatakse toote liigi alusel;</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„osutatud teenustega seotud varade summa“ hõlmab nende õiglases väärtuses kajastatud varade summat, millega krediidiasutuse või investeerimisühingu tegevus on seotud. Kui õiglane väärtus ei ole kättesaadav, võib kasutada ka muid mõõtmisaluseid, sealhulgas nimiväärtust. Kui krediidiasutus või investeerimisühing osutab teenuseid sellistele üksustele nagu ühiseks investeerimiseks loodud ettevõtjad või pensionifondid, võib asjaomaseid varasid näidata väärtuses, millega need üksused kajastavad need varad enda bilansis. Esitatud summad sisaldavad vajaduse korral kogunenud intressi.</w:t>
      </w:r>
    </w:p>
    <w:p w:rsidR="009569C7" w:rsidRPr="00EC4FA2" w:rsidRDefault="00A834F1" w:rsidP="009569C7">
      <w:pPr>
        <w:pStyle w:val="subtitlenumbered"/>
        <w:jc w:val="both"/>
      </w:pPr>
      <w:bookmarkStart w:id="344" w:name="_Toc361844249"/>
      <w:bookmarkStart w:id="345" w:name="_Toc362359320"/>
      <w:bookmarkStart w:id="346" w:name="_Toc467855255"/>
      <w:bookmarkStart w:id="347" w:name="_Toc523999857"/>
      <w:bookmarkStart w:id="348" w:name="_Toc524082995"/>
      <w:r>
        <w:t>Osalused konsolideerimata struktureeritud üksustes (30)</w:t>
      </w:r>
      <w:bookmarkEnd w:id="344"/>
      <w:bookmarkEnd w:id="345"/>
      <w:bookmarkEnd w:id="346"/>
      <w:bookmarkEnd w:id="347"/>
      <w:bookmarkEnd w:id="348"/>
    </w:p>
    <w:p w:rsidR="009569C7" w:rsidRPr="00EC4FA2" w:rsidRDefault="00A834F1" w:rsidP="009569C7">
      <w:pPr>
        <w:pStyle w:val="Baseparagraphnumbered"/>
      </w:pPr>
      <w:r>
        <w:lastRenderedPageBreak/>
        <w:t>III, IV ja käesoleva lisa kohaldamisel tähendab „kasutatud likviidsustoetus“ konsolideerimata struktureeritud üksustele antud laenu ja ettemaksete bilansilise väärtuse ning konsolideerimata struktureeritud üksuste emiteeritud ja krediidiasusutse või investeerimisühingu hoitavate võlaväärtpaberite bilansilise väärtuse summat.</w:t>
      </w:r>
    </w:p>
    <w:p w:rsidR="009569C7" w:rsidRPr="00EC4FA2" w:rsidRDefault="00A834F1" w:rsidP="009569C7">
      <w:pPr>
        <w:pStyle w:val="Baseparagraphnumbered"/>
      </w:pPr>
      <w:r>
        <w:t>„Aruandval krediidiasutusel või investeerimisühingul käesoleval perioodil tekkinud kahjum“ hõlmab väärtuse langusest tingitud kahjumit ja mis tahes muud kahjumit, mida aruandev krediidiasutus või investeerimisühing aruandeperioodi jooksul seoses konsolideerimata struktureeritud üksustes olevate osalustega kannab.</w:t>
      </w:r>
    </w:p>
    <w:p w:rsidR="009569C7" w:rsidRPr="00EC4FA2" w:rsidRDefault="00A834F1" w:rsidP="009569C7">
      <w:pPr>
        <w:pStyle w:val="subtitlenumbered"/>
        <w:numPr>
          <w:ilvl w:val="0"/>
          <w:numId w:val="17"/>
        </w:numPr>
        <w:jc w:val="both"/>
      </w:pPr>
      <w:bookmarkStart w:id="349" w:name="_Toc361844250"/>
      <w:bookmarkStart w:id="350" w:name="_Toc362359321"/>
      <w:bookmarkStart w:id="351" w:name="_Toc467855256"/>
      <w:bookmarkStart w:id="352" w:name="_Toc523999858"/>
      <w:bookmarkStart w:id="353" w:name="_Toc524082996"/>
      <w:r>
        <w:t>Seotud osapooled</w:t>
      </w:r>
      <w:bookmarkEnd w:id="324"/>
      <w:r>
        <w:t xml:space="preserve"> (31)</w:t>
      </w:r>
      <w:bookmarkEnd w:id="349"/>
      <w:bookmarkEnd w:id="350"/>
      <w:bookmarkEnd w:id="351"/>
      <w:bookmarkEnd w:id="352"/>
      <w:bookmarkEnd w:id="353"/>
    </w:p>
    <w:p w:rsidR="009569C7" w:rsidRPr="00EC4FA2" w:rsidRDefault="00A834F1" w:rsidP="009569C7">
      <w:pPr>
        <w:pStyle w:val="Baseparagraphnumbered"/>
      </w:pPr>
      <w:r>
        <w:t xml:space="preserve">Krediidiasutused ja investeerimisühingud esitavad andmed summade ja/või tehingute kohta, mis on seotud selliste bilansiliste ja bilansiväliste riskipositsioonidega, mille vastaspool on </w:t>
      </w:r>
      <w:r w:rsidR="00EB47EC">
        <w:t>seotud osapool IAS 24 kohaselt.</w:t>
      </w:r>
    </w:p>
    <w:p w:rsidR="009569C7" w:rsidRPr="00EC4FA2" w:rsidRDefault="00A834F1" w:rsidP="009569C7">
      <w:pPr>
        <w:pStyle w:val="Baseparagraphnumbered"/>
      </w:pPr>
      <w:r>
        <w:t>Arvesse ei võeta usaldatavusnõuete täitmise järelevalve alla kuuluva grupi siseseid tehinguid ja laenujääke. Krediidiasutused ja investeerimisühingud kajastavad veerus „tütarettevõtjad ja muud samasse konsolideerimisgruppi kuuluvad üksused“ need saldod ja tehingud seoses tütarettevõtjatega, mida ei ole elimineeritud kas seepärast, et tütarettevõtjaid ei ole täielikult konsolideeritud usaldatavusnõuetekohase konsolideerimise alusel või seepärast, et vastavalt kapitalinõuete määruse artiklile 19 on tütarettevõtjad jäetud usaldatavusnõuetekohase konsolideerimise kohaldamisalast välja, kuna nad on ebaolulised, või seepärast, et suuremasse konsolideerimisgruppi kuuluvate krediidiasutuste ja investeerimisühingute puhul on tütarettevõtjad kõrgeima tasandi emaettevõtja tütarettevõtjad, mitte krediidiasutuse või investeerimisühingu enda tütarettevõtjad. Veerus „sidusettevõtjad ja ühisettevõtjad“ esitavad krediidiasutused ja investeerimisühingud proportsionaalse konsolideerimise kohaldamisel nende saldode ja tehingute osad, mis on seotud nendega samasse konsolideerimisgruppi kuuluvate ühisettevõtjate ja sidusettevõtjatega ja mida ei ole elimineeritud.</w:t>
      </w:r>
    </w:p>
    <w:p w:rsidR="009569C7" w:rsidRPr="00EC4FA2" w:rsidRDefault="00A834F1" w:rsidP="009569C7">
      <w:pPr>
        <w:pStyle w:val="sub-subtitlenumbered"/>
        <w:jc w:val="both"/>
      </w:pPr>
      <w:bookmarkStart w:id="354" w:name="_Toc361844251"/>
      <w:bookmarkStart w:id="355" w:name="_Toc362359322"/>
      <w:bookmarkStart w:id="356" w:name="_Toc467855257"/>
      <w:bookmarkStart w:id="357" w:name="_Toc523999859"/>
      <w:bookmarkStart w:id="358" w:name="_Toc524082997"/>
      <w:r>
        <w:t>Seotud osapooled: neile tasumisele kuuluvad ja neilt saadaolevad summad (31.1)</w:t>
      </w:r>
      <w:bookmarkEnd w:id="354"/>
      <w:bookmarkEnd w:id="355"/>
      <w:bookmarkEnd w:id="356"/>
      <w:bookmarkEnd w:id="357"/>
      <w:bookmarkEnd w:id="358"/>
    </w:p>
    <w:p w:rsidR="009569C7" w:rsidRPr="00EC4FA2" w:rsidRDefault="00A834F1" w:rsidP="009569C7">
      <w:pPr>
        <w:pStyle w:val="Baseparagraphnumbered"/>
      </w:pPr>
      <w:r>
        <w:t>Kirjel „siduvad laenuandmiskohustused aruande esitaja ees, saadud finantsgarantiid ja muud siduvad kohustused tema ees“ esitab krediidiasutus või investeerimisühing summad, mis on aruande esitaja ees võetud siduvate laenuandmis- ja muude kohustuste nimiväärtuse ning käesoleva osa punktis 119 määratletud saadud finantsgarantiide maksimaalse väärtuse, mida saab arvesse võtta, nimiväärtuse summa.</w:t>
      </w:r>
    </w:p>
    <w:p w:rsidR="009569C7" w:rsidRPr="00EC4FA2" w:rsidRDefault="00A834F1" w:rsidP="009569C7">
      <w:pPr>
        <w:pStyle w:val="Baseparagraphnumbered"/>
      </w:pPr>
      <w:r>
        <w:t xml:space="preserve">„Varade väärtuse akumuleeritud langus ja viivisnõuete krediidiriskist tulenevad õiglase väärtuse akumuleeritud negatiivsed muutused“ kajastatakse vastavalt käesoleva osa punktides 69–71 määratletule üksnes viivisnõuete puhul. „Bilansiväliste viivisnõuete eraldised“ hõlmab käesoleva osa punktide </w:t>
      </w:r>
      <w:r>
        <w:lastRenderedPageBreak/>
        <w:t>213–239 kohaste viivisnõuete eraldisi, mis on määratletud käesoleva osa punktides 11, 106 ja 111.</w:t>
      </w:r>
    </w:p>
    <w:p w:rsidR="009569C7" w:rsidRPr="00EC4FA2" w:rsidRDefault="00A834F1" w:rsidP="009569C7">
      <w:pPr>
        <w:pStyle w:val="sub-subtitlenumbered"/>
        <w:jc w:val="both"/>
      </w:pPr>
      <w:bookmarkStart w:id="359" w:name="_Toc246513988"/>
      <w:bookmarkStart w:id="360" w:name="_Toc246730660"/>
      <w:bookmarkStart w:id="361" w:name="_Toc246730751"/>
      <w:bookmarkStart w:id="362" w:name="_Toc246513990"/>
      <w:bookmarkStart w:id="363" w:name="_Toc246730662"/>
      <w:bookmarkStart w:id="364" w:name="_Toc246730753"/>
      <w:bookmarkStart w:id="365" w:name="_Toc246513995"/>
      <w:bookmarkStart w:id="366" w:name="_Toc246730667"/>
      <w:bookmarkStart w:id="367" w:name="_Toc246730758"/>
      <w:bookmarkStart w:id="368" w:name="_Toc246513999"/>
      <w:bookmarkStart w:id="369" w:name="_Toc246730671"/>
      <w:bookmarkStart w:id="370" w:name="_Toc246730762"/>
      <w:bookmarkStart w:id="371" w:name="_Toc246514001"/>
      <w:bookmarkStart w:id="372" w:name="_Toc246730673"/>
      <w:bookmarkStart w:id="373" w:name="_Toc246730764"/>
      <w:bookmarkStart w:id="374" w:name="_Toc361844252"/>
      <w:bookmarkStart w:id="375" w:name="_Toc362359323"/>
      <w:bookmarkStart w:id="376" w:name="_Toc467855258"/>
      <w:bookmarkStart w:id="377" w:name="_Toc523999860"/>
      <w:bookmarkStart w:id="378" w:name="_Toc52408299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t>Seotud osapooled: kulud ja tulud, mis tulenevad tehingutest seotud osapooltega (31.2)</w:t>
      </w:r>
      <w:bookmarkEnd w:id="374"/>
      <w:bookmarkEnd w:id="375"/>
      <w:bookmarkEnd w:id="376"/>
      <w:bookmarkEnd w:id="377"/>
      <w:bookmarkEnd w:id="378"/>
    </w:p>
    <w:p w:rsidR="009569C7" w:rsidRPr="00EC4FA2" w:rsidRDefault="00A834F1" w:rsidP="009569C7">
      <w:pPr>
        <w:pStyle w:val="Baseparagraphnumbered"/>
      </w:pPr>
      <w:r>
        <w:t>„Kasum või kahjum, mis tuleneb mittefinantsvara kajastamise lõpetamisest“ hõlmab kõiki kasumeid ja kahjumeid, mis tulenevad selliste mittefinantsvarade kajastamise lõpetamisest, mis on saadud tehingutest seotud osapooltega. See kirje sisaldab kasumeid ja kahjumeid, mis tulenevad selliste mittefinantsvarade kajastamise lõpetamisest, mis on saadud tehingutest seotud osapooltega ning mis on kasumiar</w:t>
      </w:r>
      <w:r w:rsidR="00EB47EC">
        <w:t>uande mõne järgmise kirje osa:</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„kasum või kahjum, mis tuleneb tütarettevõtjatesse, ühisettevõtjatesse ja sidusettevõtjatesse tehtud investeeringute kajastamise lõpetamisest“, kui kajastatakse BADil põhineva siseriikliku GAAPi kohaselt;</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„kasum või kahjum, mis tuleneb mittefinants</w:t>
      </w:r>
      <w:r w:rsidR="00EB47EC">
        <w:rPr>
          <w:rFonts w:ascii="Times New Roman" w:hAnsi="Times New Roman"/>
          <w:sz w:val="24"/>
        </w:rPr>
        <w:t>vara kajastamise lõpetamisest“;</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Kasum või (–) kahjum müügiks hoitavatest põhivaradest ja müügigruppidest, mis ei vasta lõpe</w:t>
      </w:r>
      <w:r w:rsidR="00EB47EC">
        <w:rPr>
          <w:rFonts w:ascii="Times New Roman" w:hAnsi="Times New Roman"/>
          <w:sz w:val="24"/>
        </w:rPr>
        <w:t>tatud tegevuste kriteeriumidele;</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„lõpetatud tegevuste kasum või kahjum pärast tulumaksu“.</w:t>
      </w:r>
    </w:p>
    <w:p w:rsidR="009569C7" w:rsidRPr="00EC4FA2" w:rsidRDefault="00A834F1" w:rsidP="009569C7">
      <w:pPr>
        <w:pStyle w:val="Baseparagraphnumbered"/>
      </w:pPr>
      <w:r>
        <w:t>„Viivisnõuete väärtuse langus või (–) väärtuse languse tühistamine“ hõlmab käesoleva osa punktide 213–239 kohaste viivisnõuete väärtuse langusest tulenevat kahjumit, mis on määratletud käesoleva osa punktides 51–53. „Viivisnõuete eraldised või (–) eraldiste tühistamine“ hõlmab käesoleva osa punktide 213–239 kohaste bilansiväliste viivisnõuete eraldisi, mis on määrat</w:t>
      </w:r>
      <w:r w:rsidR="00EB47EC">
        <w:t>letud käesoleva osa punktis 50.</w:t>
      </w:r>
    </w:p>
    <w:p w:rsidR="009569C7" w:rsidRPr="00EC4FA2" w:rsidRDefault="00A834F1" w:rsidP="009569C7">
      <w:pPr>
        <w:pStyle w:val="subtitlenumbered"/>
        <w:keepNext/>
        <w:ind w:left="357" w:hanging="357"/>
        <w:jc w:val="both"/>
      </w:pPr>
      <w:bookmarkStart w:id="379" w:name="_Toc362359324"/>
      <w:bookmarkStart w:id="380" w:name="_Toc467855259"/>
      <w:bookmarkStart w:id="381" w:name="_Toc523999861"/>
      <w:bookmarkStart w:id="382" w:name="_Toc361844253"/>
      <w:bookmarkStart w:id="383" w:name="_Toc524082999"/>
      <w:r>
        <w:t>Konsolideerimisgrupi struktuur (40)</w:t>
      </w:r>
      <w:bookmarkEnd w:id="379"/>
      <w:bookmarkEnd w:id="380"/>
      <w:bookmarkEnd w:id="381"/>
      <w:bookmarkEnd w:id="383"/>
    </w:p>
    <w:bookmarkEnd w:id="382"/>
    <w:p w:rsidR="009569C7" w:rsidRPr="00EC4FA2" w:rsidRDefault="00A834F1" w:rsidP="009569C7">
      <w:pPr>
        <w:pStyle w:val="Baseparagraphnumbered"/>
      </w:pPr>
      <w:r>
        <w:t>Krediidiasutused ja investeerimisühingud esitavad üksikasjaliku teabe aruandekuupäeva seisuga tütarettevõtjate, ühisettevõtjate ja sidusettevõtjate kohta, kes on täielikult või proportsionaalselt konsolideeritud raamatupidamisarvestusekohase konsolideerimise alusel, samuti üksuste kohta, keda kajastatakse kirje „investeeringud tütarettevõtjatesse, ühisettevõtjatesse ja sidusettevõtjatesse“ all vastavalt käesoleva osa punktile 4, sealhulgas selliste üksuste kohta, kus investeeringuid hoitakse müügiks IFRS 5 kohaselt. Andmed esitatakse kõigi üksuste kohta, sõlt</w:t>
      </w:r>
      <w:r w:rsidR="00EB47EC">
        <w:t>umata nende tegevusvaldkonnast.</w:t>
      </w:r>
    </w:p>
    <w:p w:rsidR="009569C7" w:rsidRPr="00EC4FA2" w:rsidRDefault="00A834F1" w:rsidP="009569C7">
      <w:pPr>
        <w:pStyle w:val="Baseparagraphnumbered"/>
      </w:pPr>
      <w:r>
        <w:t xml:space="preserve"> Selles vormis ei kajastata omakapitaliinstrumente, mis ei vasta tütarettevõtjatesse, ühisettevõtjatesse ja sidusettevõtjatesse tehtud investeeringuteks ning aruandva krediidiasutuse või investeerimisühingu omatavate omaaktsiateks liigitamise kriteeriumidele.</w:t>
      </w:r>
    </w:p>
    <w:p w:rsidR="009569C7" w:rsidRPr="00EC4FA2" w:rsidRDefault="00A834F1" w:rsidP="009569C7">
      <w:pPr>
        <w:pStyle w:val="sub-subtitlenumbered"/>
        <w:jc w:val="both"/>
      </w:pPr>
      <w:bookmarkStart w:id="384" w:name="_Toc361844254"/>
      <w:bookmarkStart w:id="385" w:name="_Toc362359325"/>
      <w:bookmarkStart w:id="386" w:name="_Toc467855260"/>
      <w:bookmarkStart w:id="387" w:name="_Toc523999862"/>
      <w:bookmarkStart w:id="388" w:name="_Toc524083000"/>
      <w:r>
        <w:t>Konsolideerimisgrupi struktuur: üksuste kaupa (40.1)</w:t>
      </w:r>
      <w:bookmarkEnd w:id="384"/>
      <w:bookmarkEnd w:id="385"/>
      <w:bookmarkEnd w:id="386"/>
      <w:bookmarkEnd w:id="387"/>
      <w:bookmarkEnd w:id="388"/>
    </w:p>
    <w:p w:rsidR="009569C7" w:rsidRPr="00EC4FA2" w:rsidRDefault="00A834F1" w:rsidP="009569C7">
      <w:pPr>
        <w:pStyle w:val="Baseparagraphnumbered"/>
      </w:pPr>
      <w:r>
        <w:t>Üksuste kaupa esitatakse järgmine teave ning III, IV ja käesoleva lisa kohaldamisel kasutatakse järgmisi määratlusi: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„LEI kood“ tähendab investeerimisobjektiks oleva üksuse LEI koodi. Kui investeerimisobjektiks oleval üksusel on LEI kood, märgitakse see;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„üksuse kood“ tähendab investeerimisobjektiks oleva üksuse tunnuskoodi. Üksuse kood on rea tunnus ning on vormi 40.1 iga rea puhul kordumatu;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„üksuse nimi“ tähendab investeerimisobjektiks oleva üksuse nime;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„sissearvamise kuupäev“ tähendab kuupäeva, millal investeerimisobjektiks olev üksus hakkas kuuluma konsolideerimisgruppi;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„investeerimisobjektiks oleva üksuse aktsia- või osakapital“ tähendab investeerimisobjektiks oleva üksuse emiteeritud kapitali kogusummat aruandekuupäeva seisuga;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kirjed „investeerimisobjektiks oleva üksuse omakapital“, „investeerimisobjektiks oleva üksuse koguvarad“ ning „investeerimisobjektiks oleva üksuse kasum (või kahjum)“ hõlmavad nende kirjete summasid investeerimisobjektiks oleva üksuse viimases raamatupidamisaruandes;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„investeerimisobjektiks oleva üksuse asukohariik“ tähendab investeerimisobjekt</w:t>
      </w:r>
      <w:r w:rsidR="00EB47EC">
        <w:rPr>
          <w:rFonts w:ascii="Times New Roman" w:hAnsi="Times New Roman"/>
          <w:sz w:val="24"/>
        </w:rPr>
        <w:t>iks oleva üksuse asukoha riiki;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„investeerimisobjektiks oleva üksuse sektor“ tähendab käesoleva lisa 1. osa punktis 42 määratletud vastaspoole sektorit;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„NACE kood“ esitatakse investeerimisobjektiks oleva üksuse põhitegevusala alusel. Finantssektoriväliste äriühingute puhul esitatakse NACE koodid esimese eristustaseme (st jagude taseme) alusel; finantssektori äriühingute puhul esitatakse NACE koodid kahe eristustaseme (st osade taseme) alusel;</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„akumuleeritud osalus omakapitalis (%)“ on krediidiasutuse või investeerimisühingu omanduses olevate omandiõiguse instrumentide o</w:t>
      </w:r>
      <w:r w:rsidR="00EB47EC">
        <w:rPr>
          <w:rFonts w:ascii="Times New Roman" w:hAnsi="Times New Roman"/>
          <w:sz w:val="24"/>
        </w:rPr>
        <w:t>sakaal aruandekuupäeva seisuga;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„hääleõigus (%)“ tähendab krediidiasutuse või investeerimisühingu omanduses aruandekuupäeva seisuga olevate omandiõiguse instrumentideg</w:t>
      </w:r>
      <w:r w:rsidR="00EB47EC">
        <w:rPr>
          <w:rFonts w:ascii="Times New Roman" w:hAnsi="Times New Roman"/>
          <w:sz w:val="24"/>
        </w:rPr>
        <w:t>a seotud hääleõiguste osakaalu;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„konsolideerimisgrupi struktuur [suhe]“ osutab kõrgeima tasandi emaettevõtja ja investeerimisobjektis oleva üksuse vahelisele suhtele (aruandva krediidiasutuse või investeerimisühingu emaettevõtja või ühist kontrolli omav üksus, tütarettevõtja, ühisettevõtja või sidusettevõtja);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„arvestuslik käsitlus [raamatupidamisgrupp]“ tähendab suhet raamatupidamisarvestusekohase konsolideerimise kohaldamisala kohase arvestusliku käsitlusega (täielik konsolideerimine, proportsionaalne konsolideerimine, kapitaliosaluse meetod või muu);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„arvestuslik käsitlus [kapitalinõuete määruse grupp]“ tähendab suhet arvestusliku käsitlusega vastavalt kapitalinõuete määruse kohase konsolideerimise kohaldamisalale (täielik konsolideerimine, proportsionaalne konsolideerimine, k</w:t>
      </w:r>
      <w:r w:rsidR="00EB47EC">
        <w:rPr>
          <w:rFonts w:ascii="Times New Roman" w:hAnsi="Times New Roman"/>
          <w:sz w:val="24"/>
        </w:rPr>
        <w:t>apitaliosaluse meetod või muu);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„bilansiline väärtus“ tähendab summasid, mis on kajastatud krediidiasutuse või investeerimisühingu bilansis selliste investeerimisobjektiks olevate üksuste puhul, kes ei ole täielikult ega prop</w:t>
      </w:r>
      <w:r w:rsidR="00EB47EC">
        <w:rPr>
          <w:rFonts w:ascii="Times New Roman" w:hAnsi="Times New Roman"/>
          <w:sz w:val="24"/>
        </w:rPr>
        <w:t>ortsionaalselt konsolideeritud;</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„soetusmaksumus“ tähendab investorite makstud summat;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„investeerimisobjektiks oleva üksusega seotud firmaväärtus“ tähendab firmaväärtuse summat, mis investeerimisobjektiks oleva üksuse kohta on esitatud aruandva krediidiasutuse või investeerimisühingu konsolideeritud bilansis kirjetel „firmaväärtus“ või „investeeringud tütarettevõtjatesse, ühisettevõtjatesse ja sidusettevõtjatesse“;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„nende investeeringute õiglane väärtus, mille puhul on avaldatud hinnanoteeringud“ tähendab hinda aruandekuupäeval; see teave esitatakse ainult noteeritud finantsinstrumentide korral.</w:t>
      </w:r>
    </w:p>
    <w:p w:rsidR="009569C7" w:rsidRPr="00EC4FA2" w:rsidRDefault="00A834F1" w:rsidP="009569C7">
      <w:pPr>
        <w:pStyle w:val="sub-subtitlenumbered"/>
        <w:keepNext/>
        <w:ind w:left="788" w:hanging="431"/>
        <w:jc w:val="both"/>
      </w:pPr>
      <w:bookmarkStart w:id="389" w:name="_Toc361844255"/>
      <w:bookmarkStart w:id="390" w:name="_Toc362359326"/>
      <w:bookmarkStart w:id="391" w:name="_Toc467855261"/>
      <w:bookmarkStart w:id="392" w:name="_Toc523999863"/>
      <w:bookmarkStart w:id="393" w:name="_Toc524083001"/>
      <w:r>
        <w:t>Konsolideerimisgrupi struktuur: instrumentide kaupa (40.2)</w:t>
      </w:r>
      <w:bookmarkEnd w:id="389"/>
      <w:bookmarkEnd w:id="390"/>
      <w:bookmarkEnd w:id="391"/>
      <w:bookmarkEnd w:id="392"/>
      <w:bookmarkEnd w:id="393"/>
    </w:p>
    <w:p w:rsidR="009569C7" w:rsidRPr="00EC4FA2" w:rsidRDefault="00A834F1" w:rsidP="009569C7">
      <w:pPr>
        <w:pStyle w:val="Baseparagraphnumbered"/>
      </w:pPr>
      <w:r>
        <w:t>Järgmine teave esitatakse eraldi iga instrumendi kohta:</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„väärtpaberi kood“ tähendab väärtpaberi ISIN koodi. Väärtpaberite puhul, millele ei ole ISIN koodi määratud, esitatakse muu kood, mis on väärtpaberi kordumatu tunnus. „Väärtpaberi kood“ ja „valdusettevõtja kood“ moodustavad koos rea tunnuse ning see tunnus on vormi 40.2 iga rea puhul kordumatu;</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„valdusettevõtja kood“ on selle üksuse tunnuskood, kes konsolideerimisgrupisiseselt hoiab investeeringut; „valdusettevõtja LEI kood“ on väärtpaberit hoidva ettevõtja LEI kood. Kui valdusettevõtjal on LEI kood, märgitakse see;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„üksuse kood“, „akumuleeritud osalus omakapitalis (%)“, „bilansiline väärtus“ ning „soetusmaksumus“ on määratletud eespool. Summad vastavad vastava valdusettevõtja hoitavale väärtpaberile.</w:t>
      </w:r>
    </w:p>
    <w:p w:rsidR="009569C7" w:rsidRPr="00EC4FA2" w:rsidRDefault="00A834F1" w:rsidP="009569C7">
      <w:pPr>
        <w:pStyle w:val="subtitlenumbered"/>
        <w:numPr>
          <w:ilvl w:val="0"/>
          <w:numId w:val="17"/>
        </w:numPr>
        <w:jc w:val="both"/>
      </w:pPr>
      <w:bookmarkStart w:id="394" w:name="_Toc361844256"/>
      <w:bookmarkStart w:id="395" w:name="_Toc362359327"/>
      <w:bookmarkStart w:id="396" w:name="_Toc467855262"/>
      <w:bookmarkStart w:id="397" w:name="_Toc523999864"/>
      <w:bookmarkStart w:id="398" w:name="_Toc524083002"/>
      <w:r>
        <w:t>Õiglane väärtus (41)</w:t>
      </w:r>
      <w:bookmarkEnd w:id="394"/>
      <w:bookmarkEnd w:id="395"/>
      <w:bookmarkEnd w:id="396"/>
      <w:bookmarkEnd w:id="397"/>
      <w:bookmarkEnd w:id="398"/>
    </w:p>
    <w:p w:rsidR="009569C7" w:rsidRPr="00EC4FA2" w:rsidRDefault="00A834F1" w:rsidP="009569C7">
      <w:pPr>
        <w:pStyle w:val="sub-subtitlenumbered"/>
        <w:jc w:val="both"/>
      </w:pPr>
      <w:bookmarkStart w:id="399" w:name="_Toc361844257"/>
      <w:bookmarkStart w:id="400" w:name="_Toc362359328"/>
      <w:bookmarkStart w:id="401" w:name="_Toc467855263"/>
      <w:bookmarkStart w:id="402" w:name="_Toc523999865"/>
      <w:bookmarkStart w:id="403" w:name="_Toc524083003"/>
      <w:r>
        <w:t>Õiglase väärtuse hierarhia: amortiseeritud soetusmaksumuses mõõdetud finantsinstrumendid (41.1)</w:t>
      </w:r>
      <w:bookmarkEnd w:id="399"/>
      <w:bookmarkEnd w:id="400"/>
      <w:bookmarkEnd w:id="401"/>
      <w:bookmarkEnd w:id="402"/>
      <w:bookmarkEnd w:id="403"/>
    </w:p>
    <w:p w:rsidR="009569C7" w:rsidRPr="00EC4FA2" w:rsidRDefault="00A834F1" w:rsidP="009569C7">
      <w:pPr>
        <w:pStyle w:val="Baseparagraphnumbered"/>
      </w:pPr>
      <w:r>
        <w:t>Selles vormis esitatakse teave finantsinstrumentide õiglase väärtuse kohta, mis on mõõdetud amortiseeritud soetusmaksumuses, kasutades IFRS 13 paragrahvides 72, 76, 81 ja 86 osutatud õiglase väärtuse hierarhiat. Kui BADil põhineva siseriikliku GAAPi kohaselt nõutakse õiglases väärtuses mõõdetud varade jaotamist erinevate õiglase väärtuse tasemete vahel, esitavad krediidiasutused ja investeerimisühingud siseriikliku GAAPi kohaselt ka selle vormi.</w:t>
      </w:r>
    </w:p>
    <w:p w:rsidR="009569C7" w:rsidRPr="00EC4FA2" w:rsidRDefault="00A834F1" w:rsidP="009569C7">
      <w:pPr>
        <w:pStyle w:val="sub-subtitlenumbered"/>
        <w:jc w:val="both"/>
      </w:pPr>
      <w:bookmarkStart w:id="404" w:name="_Toc361844258"/>
      <w:bookmarkStart w:id="405" w:name="_Toc362359329"/>
      <w:bookmarkStart w:id="406" w:name="_Toc467855264"/>
      <w:bookmarkStart w:id="407" w:name="_Toc523999866"/>
      <w:bookmarkStart w:id="408" w:name="_Toc524083004"/>
      <w:r>
        <w:t>Õiglase väärtuse võimaluse kasutamine (41.2)</w:t>
      </w:r>
      <w:bookmarkEnd w:id="404"/>
      <w:bookmarkEnd w:id="405"/>
      <w:bookmarkEnd w:id="406"/>
      <w:bookmarkEnd w:id="407"/>
      <w:bookmarkEnd w:id="408"/>
    </w:p>
    <w:p w:rsidR="009569C7" w:rsidRPr="00EC4FA2" w:rsidRDefault="00A834F1" w:rsidP="009569C7">
      <w:pPr>
        <w:pStyle w:val="Baseparagraphnumbered"/>
      </w:pPr>
      <w:r>
        <w:t xml:space="preserve">Selles vormis esitatakse teave õiglase väärtuse võimaluse kasutamise kohta õiglases väärtuses muutustega läbi kasumiaruande kajastatud finantsvarade ja -kohustuste </w:t>
      </w:r>
      <w:r w:rsidR="00EB47EC">
        <w:t>puhul.</w:t>
      </w:r>
    </w:p>
    <w:p w:rsidR="009569C7" w:rsidRPr="00EC4FA2" w:rsidRDefault="00A834F1" w:rsidP="009569C7">
      <w:pPr>
        <w:pStyle w:val="Baseparagraphnumbered"/>
      </w:pPr>
      <w:r>
        <w:lastRenderedPageBreak/>
        <w:t>„Hübriidlepingud“ hõlmab kohustuste puhul nendesse arvestusportfellidesse tervikuna liigitatud hübriidinstrumentide bilansilist väärtust; seega hõlmab see eraldamata hübriidinstrumente kui tervikuid.</w:t>
      </w:r>
    </w:p>
    <w:p w:rsidR="009569C7" w:rsidRPr="00EC4FA2" w:rsidRDefault="00A834F1" w:rsidP="009569C7">
      <w:pPr>
        <w:pStyle w:val="Baseparagraphnumbered"/>
      </w:pPr>
      <w:r>
        <w:t xml:space="preserve">„Krediidiriski maandamine“ hõlmab õiglases väärtuses muutustega läbi kasumiaruande kajastatud finantsinstrumentide bilansilist väärtust nende krediidiriski maandamisel krediidituletisinstrumentidega, mida mõõdetakse õiglases väärtuses muutustega läbi kasumiaruande </w:t>
      </w:r>
      <w:r w:rsidR="00E21EF9">
        <w:t>IFRS 9 paragrahvi 6.7.</w:t>
      </w:r>
      <w:r w:rsidR="00D52112">
        <w:t xml:space="preserve"> </w:t>
      </w:r>
      <w:bookmarkStart w:id="409" w:name="_GoBack"/>
      <w:bookmarkEnd w:id="409"/>
      <w:r w:rsidR="00E21EF9">
        <w:t>kohaselt.</w:t>
      </w:r>
    </w:p>
    <w:p w:rsidR="009569C7" w:rsidRPr="00EC4FA2" w:rsidRDefault="00A834F1" w:rsidP="009569C7">
      <w:pPr>
        <w:pStyle w:val="subtitlenumbered"/>
        <w:jc w:val="both"/>
      </w:pPr>
      <w:bookmarkStart w:id="410" w:name="_Toc361844260"/>
      <w:bookmarkStart w:id="411" w:name="_Toc362359331"/>
      <w:bookmarkStart w:id="412" w:name="_Toc467855265"/>
      <w:bookmarkStart w:id="413" w:name="_Toc523999867"/>
      <w:bookmarkStart w:id="414" w:name="_Toc524083005"/>
      <w:r>
        <w:t>Mat</w:t>
      </w:r>
      <w:r w:rsidR="00D452D1">
        <w:t>eriaalne ja immateriaalne vara:</w:t>
      </w:r>
      <w:r>
        <w:t xml:space="preserve"> bilansiline väärtus mõõtmismeetodi alusel (42)</w:t>
      </w:r>
      <w:bookmarkEnd w:id="410"/>
      <w:bookmarkEnd w:id="411"/>
      <w:bookmarkEnd w:id="412"/>
      <w:bookmarkEnd w:id="413"/>
      <w:bookmarkEnd w:id="414"/>
    </w:p>
    <w:p w:rsidR="009569C7" w:rsidRPr="00EC4FA2" w:rsidRDefault="00A834F1" w:rsidP="009569C7">
      <w:pPr>
        <w:pStyle w:val="Baseparagraphnumbered"/>
      </w:pPr>
      <w:r>
        <w:t xml:space="preserve"> Kirjed „materiaalsed põhivarad“, „kinnisvarainvesteeringud“ ja „muu immateriaalne vara“ kajastatakse vastavalt nende mõõtmisel kasutatud kriteeriumidele.</w:t>
      </w:r>
    </w:p>
    <w:p w:rsidR="009569C7" w:rsidRPr="00EC4FA2" w:rsidRDefault="00A834F1" w:rsidP="009569C7">
      <w:pPr>
        <w:pStyle w:val="Baseparagraphnumbered"/>
      </w:pPr>
      <w:r>
        <w:t>Kirje „muu immateriaalne vara“ hõlmab kõiki immateriaalseid varasid, välja arvatud firmaväärtus.</w:t>
      </w:r>
    </w:p>
    <w:p w:rsidR="009569C7" w:rsidRPr="00EC4FA2" w:rsidRDefault="00A834F1" w:rsidP="009569C7">
      <w:pPr>
        <w:pStyle w:val="subtitlenumbered"/>
        <w:numPr>
          <w:ilvl w:val="0"/>
          <w:numId w:val="17"/>
        </w:numPr>
        <w:jc w:val="both"/>
      </w:pPr>
      <w:bookmarkStart w:id="415" w:name="_Toc361844261"/>
      <w:bookmarkStart w:id="416" w:name="_Toc362359332"/>
      <w:bookmarkStart w:id="417" w:name="_Toc467855266"/>
      <w:bookmarkStart w:id="418" w:name="_Toc523999868"/>
      <w:bookmarkStart w:id="419" w:name="_Toc524083006"/>
      <w:r>
        <w:t>Eraldised (43)</w:t>
      </w:r>
      <w:bookmarkEnd w:id="415"/>
      <w:bookmarkEnd w:id="416"/>
      <w:bookmarkEnd w:id="417"/>
      <w:bookmarkEnd w:id="418"/>
      <w:bookmarkEnd w:id="419"/>
    </w:p>
    <w:p w:rsidR="009569C7" w:rsidRPr="00EC4FA2" w:rsidRDefault="00A834F1" w:rsidP="009569C7">
      <w:pPr>
        <w:pStyle w:val="Baseparagraphnumbered"/>
      </w:pPr>
      <w:r>
        <w:t>See vorm sisaldab kirjel „eraldised“ perioodi alguses ja lõpus esitatud bilansilise väärtuse võrdlust muutuste laadi alusel, välja arvatud IFRS 9 kohaselt mõõdetavad eraldised, mida kajastatakse vormis 12.</w:t>
      </w:r>
    </w:p>
    <w:p w:rsidR="009569C7" w:rsidRPr="00EC4FA2" w:rsidRDefault="00A834F1" w:rsidP="009569C7">
      <w:pPr>
        <w:pStyle w:val="Baseparagraphnumbered"/>
      </w:pPr>
      <w:r>
        <w:t>„Muud IAS 37 kohaselt mõõdetavad siduvad kohustused ja antud garantiid ning IFRS 4 kohaselt mõõdetud antud garantiid“ hõlmab IAS 37 kohaselt mõõdetavaid eraldisi ja IFRS 4 kohast kindlustuslepingutena käsitatavate finan</w:t>
      </w:r>
      <w:r w:rsidR="00E21EF9">
        <w:t>tsgarantiide krediidikahju.</w:t>
      </w:r>
    </w:p>
    <w:p w:rsidR="009569C7" w:rsidRPr="00EC4FA2" w:rsidRDefault="00A834F1" w:rsidP="009569C7">
      <w:pPr>
        <w:pStyle w:val="subtitlenumbered"/>
        <w:numPr>
          <w:ilvl w:val="0"/>
          <w:numId w:val="17"/>
        </w:numPr>
        <w:jc w:val="both"/>
      </w:pPr>
      <w:bookmarkStart w:id="420" w:name="_Toc361844262"/>
      <w:bookmarkStart w:id="421" w:name="_Toc362359333"/>
      <w:bookmarkStart w:id="422" w:name="_Toc467855267"/>
      <w:bookmarkStart w:id="423" w:name="_Toc523999869"/>
      <w:bookmarkStart w:id="424" w:name="_Toc524083007"/>
      <w:r>
        <w:t>Kindlaksmääratud hüvitisega skeemid ja hüvitised töötajatele (44)</w:t>
      </w:r>
      <w:bookmarkEnd w:id="420"/>
      <w:bookmarkEnd w:id="421"/>
      <w:bookmarkEnd w:id="422"/>
      <w:bookmarkEnd w:id="423"/>
      <w:bookmarkEnd w:id="424"/>
    </w:p>
    <w:p w:rsidR="009569C7" w:rsidRPr="00EC4FA2" w:rsidRDefault="00A834F1" w:rsidP="009569C7">
      <w:pPr>
        <w:pStyle w:val="Baseparagraphnumbered"/>
      </w:pPr>
      <w:r>
        <w:t>Need vormid sisaldavad kogutud teavet krediidiasutuse või investeerimisühingu kõigi kindlaksmääratud hüvitisega skeemide kohta. Juhul kui krediidiasutusel või investeerimisühingul on rohkem kui üks kindlaksmääratud hüvitisega skeem, esitatakse kõigi skeemide kogusumma.</w:t>
      </w:r>
    </w:p>
    <w:p w:rsidR="009569C7" w:rsidRPr="00EC4FA2" w:rsidRDefault="00A834F1" w:rsidP="009569C7">
      <w:pPr>
        <w:pStyle w:val="sub-subtitlenumbered"/>
        <w:keepNext/>
        <w:ind w:left="788" w:hanging="431"/>
        <w:jc w:val="both"/>
      </w:pPr>
      <w:bookmarkStart w:id="425" w:name="_Toc361844263"/>
      <w:bookmarkStart w:id="426" w:name="_Toc362359334"/>
      <w:bookmarkStart w:id="427" w:name="_Toc467855268"/>
      <w:bookmarkStart w:id="428" w:name="_Toc523999870"/>
      <w:bookmarkStart w:id="429" w:name="_Toc524083008"/>
      <w:r>
        <w:t>Kindlaksmääratud hüvitistega skeemide netovarade ja -kohustuste komponendid (44.1)</w:t>
      </w:r>
      <w:bookmarkEnd w:id="425"/>
      <w:bookmarkEnd w:id="426"/>
      <w:bookmarkEnd w:id="427"/>
      <w:bookmarkEnd w:id="428"/>
      <w:bookmarkEnd w:id="429"/>
    </w:p>
    <w:p w:rsidR="009569C7" w:rsidRPr="00EC4FA2" w:rsidRDefault="00A834F1" w:rsidP="009569C7">
      <w:pPr>
        <w:pStyle w:val="Baseparagraphnumbered"/>
      </w:pPr>
      <w:r>
        <w:t>Kindlaksmääratud hüvitisega skeemide netovarade ja -kohustuste komponente käsitlevas vormis esitatakse nii kõik kindlaksmääratud hüvitiste netokohustuste (-varade) kui ka hüvitise saamise õiguste akumuleeritud nüüdisväärtused [IAS 19 paragrahvi 140 punktid a ja b].</w:t>
      </w:r>
    </w:p>
    <w:p w:rsidR="009569C7" w:rsidRPr="00EC4FA2" w:rsidRDefault="00A834F1" w:rsidP="009569C7">
      <w:pPr>
        <w:pStyle w:val="Baseparagraphnumbered"/>
      </w:pPr>
      <w:r>
        <w:t>„Kindlaksmääratud hüvitiste netovara“ sisaldab ülejäägi korral ülejääke, mis tuleb kajastada bilansis, kuna nende suhtes ei kohaldata IAS 19 paragrahvis 63 sätestatud piiranguid. Selle kirje summa ja summa, mis on kajastatud memokirjel „varana kajastatud mis tahes hüvitise saamise õiguse õiglane väärtus“, sisalduv</w:t>
      </w:r>
      <w:r w:rsidR="00E21EF9">
        <w:t>ad bilansi kirjel „muud varad“.</w:t>
      </w:r>
    </w:p>
    <w:p w:rsidR="009569C7" w:rsidRPr="00EC4FA2" w:rsidRDefault="00A834F1" w:rsidP="009569C7">
      <w:pPr>
        <w:pStyle w:val="sub-subtitlenumbered"/>
        <w:jc w:val="both"/>
      </w:pPr>
      <w:r>
        <w:lastRenderedPageBreak/>
        <w:t xml:space="preserve"> </w:t>
      </w:r>
      <w:bookmarkStart w:id="430" w:name="_Toc361844264"/>
      <w:bookmarkStart w:id="431" w:name="_Toc362359335"/>
      <w:bookmarkStart w:id="432" w:name="_Toc467855269"/>
      <w:bookmarkStart w:id="433" w:name="_Toc523999871"/>
      <w:bookmarkStart w:id="434" w:name="_Toc524083009"/>
      <w:r>
        <w:t>Muutused kindlaksmääratud hüvitiste kohustustes (44.2)</w:t>
      </w:r>
      <w:bookmarkEnd w:id="430"/>
      <w:bookmarkEnd w:id="431"/>
      <w:bookmarkEnd w:id="432"/>
      <w:bookmarkEnd w:id="433"/>
      <w:bookmarkEnd w:id="434"/>
    </w:p>
    <w:p w:rsidR="009569C7" w:rsidRPr="00EC4FA2" w:rsidRDefault="00A834F1" w:rsidP="009569C7">
      <w:pPr>
        <w:pStyle w:val="Baseparagraphnumbered"/>
      </w:pPr>
      <w:r>
        <w:t>Muutusi kindlaksmääratud hüvitiste kohustustes käsitlevas vormis esitatakse krediidiasutuse või investeerimisühingu kõigi kindlaksmääratud hüvitiste kohustuste akumuleeritud nüüdisväärtuse algsaldo ja lõppsaldo kooskõlastav võrdlus. IAS 19 paragrahvis 141 loetletud eri komponentidest tulenev mõju perioodi jooksul esitatakse eraldi.</w:t>
      </w:r>
    </w:p>
    <w:p w:rsidR="009569C7" w:rsidRPr="00EC4FA2" w:rsidRDefault="00A834F1" w:rsidP="009569C7">
      <w:pPr>
        <w:pStyle w:val="Baseparagraphnumbered"/>
      </w:pPr>
      <w:r>
        <w:t>Kindlaksmääratud hüvitiste kohustuste muutuste vormis peab kirje „lõppsaldo [nüüdisväärtus]“ summa olema võrdne kirjega „kindlaksmääratud hüvitistega seotud kohustuste nüüdisväärtus“.</w:t>
      </w:r>
    </w:p>
    <w:p w:rsidR="009569C7" w:rsidRPr="00EC4FA2" w:rsidRDefault="00A834F1" w:rsidP="009569C7">
      <w:pPr>
        <w:pStyle w:val="sub-subtitlenumbered"/>
        <w:jc w:val="both"/>
      </w:pPr>
      <w:bookmarkStart w:id="435" w:name="_Toc361844265"/>
      <w:bookmarkStart w:id="436" w:name="_Toc362359336"/>
      <w:bookmarkStart w:id="437" w:name="_Toc467855270"/>
      <w:bookmarkStart w:id="438" w:name="_Toc523999872"/>
      <w:bookmarkStart w:id="439" w:name="_Toc524083010"/>
      <w:r>
        <w:t>Memokirjed [personalikuludega seoses] (44.3)</w:t>
      </w:r>
      <w:bookmarkEnd w:id="435"/>
      <w:bookmarkEnd w:id="436"/>
      <w:bookmarkEnd w:id="437"/>
      <w:bookmarkEnd w:id="438"/>
      <w:bookmarkEnd w:id="439"/>
    </w:p>
    <w:p w:rsidR="009569C7" w:rsidRPr="00EC4FA2" w:rsidRDefault="00A834F1" w:rsidP="009569C7">
      <w:pPr>
        <w:pStyle w:val="Baseparagraphnumbered"/>
      </w:pPr>
      <w:r>
        <w:t>Personalikuludega seotud memokirjete puhul k</w:t>
      </w:r>
      <w:r w:rsidR="00E21EF9">
        <w:t>asutatakse järgmisi määratlusi:</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kirje „pension ja sarnased kulud“ sisaldab summat, mis on perioodi jooksul kajastatud personalikuluna mis tahes töösuhtejärgsete hüvitiste kohustuse puhul (nii kindlaksmääratud sissemaksega skeemid kui ka kindlaksmääratud hüvitistega skeemid), ning sissemakseid sotsiaalkindlustusfondidesse</w:t>
      </w:r>
      <w:r w:rsidR="00E21EF9">
        <w:rPr>
          <w:rFonts w:ascii="Times New Roman" w:hAnsi="Times New Roman"/>
          <w:sz w:val="24"/>
        </w:rPr>
        <w:t>;</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„aktsiapõhised maksed“ hõlmavad summat, mis perioodil on kajastatud kui personalikulud </w:t>
      </w:r>
      <w:r w:rsidR="00E21EF9">
        <w:rPr>
          <w:rFonts w:ascii="Times New Roman" w:hAnsi="Times New Roman"/>
          <w:sz w:val="24"/>
        </w:rPr>
        <w:t>seoses aktsiapõhiste maksetega.</w:t>
      </w:r>
    </w:p>
    <w:p w:rsidR="009569C7" w:rsidRPr="00EC4FA2" w:rsidRDefault="00A834F1" w:rsidP="009569C7">
      <w:pPr>
        <w:pStyle w:val="subtitlenumbered"/>
        <w:numPr>
          <w:ilvl w:val="0"/>
          <w:numId w:val="17"/>
        </w:numPr>
        <w:jc w:val="both"/>
      </w:pPr>
      <w:bookmarkStart w:id="440" w:name="_Toc361844266"/>
      <w:bookmarkStart w:id="441" w:name="_Toc362359337"/>
      <w:bookmarkStart w:id="442" w:name="_Toc467855271"/>
      <w:bookmarkStart w:id="443" w:name="_Toc523999873"/>
      <w:bookmarkStart w:id="444" w:name="_Toc524083011"/>
      <w:r>
        <w:t>Kasumiaruande teatavate kirjete jaotus (45)</w:t>
      </w:r>
      <w:bookmarkEnd w:id="440"/>
      <w:bookmarkEnd w:id="441"/>
      <w:bookmarkEnd w:id="442"/>
      <w:bookmarkEnd w:id="443"/>
      <w:bookmarkEnd w:id="444"/>
    </w:p>
    <w:p w:rsidR="009569C7" w:rsidRPr="00EC4FA2" w:rsidRDefault="00A834F1" w:rsidP="009569C7">
      <w:pPr>
        <w:pStyle w:val="sub-subtitlenumbered"/>
        <w:jc w:val="both"/>
      </w:pPr>
      <w:bookmarkStart w:id="445" w:name="_Toc467855272"/>
      <w:bookmarkStart w:id="446" w:name="_Toc523999874"/>
      <w:bookmarkStart w:id="447" w:name="_Toc361844267"/>
      <w:bookmarkStart w:id="448" w:name="_Toc362359338"/>
      <w:bookmarkStart w:id="449" w:name="_Toc524083012"/>
      <w:r>
        <w:t>Õiglases väärtuses muutustega läbi kasumiaruande kajastatud finantsvaradest ja -kohustustest tulenev kasum või kahjum arvestusportfellide kaupa (45.1)</w:t>
      </w:r>
      <w:bookmarkEnd w:id="445"/>
      <w:bookmarkEnd w:id="446"/>
      <w:bookmarkEnd w:id="449"/>
    </w:p>
    <w:p w:rsidR="009569C7" w:rsidRPr="00EC4FA2" w:rsidRDefault="00A834F1" w:rsidP="009569C7">
      <w:pPr>
        <w:pStyle w:val="Baseparagraphnumbered"/>
      </w:pPr>
      <w:r>
        <w:t>„Finantskohustused õiglases väärtuses muutustega läbi kasumiaruande“ hõlmab üksnes õiglases väärtuses muutustega läbi kasumiaruande kajastatud kohustuste emitentide enda krediidiriski muutusest tulenevat kasumit ja kahjumit, kui aruandev krediidiasutus või investeerimisühing on otsustanud kajastada seda muutustega läbi kasumiaruande, sest kajastamine läbi muu koondkasumi tekitaks arvestuse mittevastavuse või suurendaks seda.</w:t>
      </w:r>
    </w:p>
    <w:p w:rsidR="009569C7" w:rsidRPr="00EC4FA2" w:rsidRDefault="00A834F1" w:rsidP="009569C7">
      <w:pPr>
        <w:pStyle w:val="sub-subtitlenumbered"/>
        <w:jc w:val="both"/>
      </w:pPr>
      <w:bookmarkStart w:id="450" w:name="_Toc467855273"/>
      <w:bookmarkStart w:id="451" w:name="_Toc523999875"/>
      <w:bookmarkStart w:id="452" w:name="_Toc524083013"/>
      <w:r>
        <w:t>Kasum või kahjum, mis tuleneb mittefinantsvara kajastamise lõpetamisest (45.2)</w:t>
      </w:r>
      <w:bookmarkEnd w:id="447"/>
      <w:bookmarkEnd w:id="448"/>
      <w:bookmarkEnd w:id="450"/>
      <w:bookmarkEnd w:id="451"/>
      <w:bookmarkEnd w:id="452"/>
    </w:p>
    <w:p w:rsidR="009569C7" w:rsidRPr="00EC4FA2" w:rsidRDefault="00A834F1" w:rsidP="009569C7">
      <w:pPr>
        <w:pStyle w:val="Baseparagraphnumbered"/>
      </w:pPr>
      <w:r>
        <w:t>Kahjum või kasum, mis tuleneb mittefinantsvara kajastamise lõpetamisest, jaotatakse vara liigi alusel; iga kirje peab sisaldama sellest varast tulenevat kasumit või kahjumit, mille kajastamine on lõpetatud. „Muud varad“ hõlmab muud materiaalset vara, immateriaalset vara ja investeeringuid,</w:t>
      </w:r>
      <w:r w:rsidR="00D452D1">
        <w:t xml:space="preserve"> mida ei ole kajastatud mujal.</w:t>
      </w:r>
    </w:p>
    <w:p w:rsidR="009569C7" w:rsidRPr="00EC4FA2" w:rsidRDefault="00A834F1" w:rsidP="009569C7">
      <w:pPr>
        <w:pStyle w:val="sub-subtitlenumbered"/>
        <w:jc w:val="both"/>
      </w:pPr>
      <w:bookmarkStart w:id="453" w:name="_Toc361844268"/>
      <w:bookmarkStart w:id="454" w:name="_Toc362359339"/>
      <w:bookmarkStart w:id="455" w:name="_Toc467855274"/>
      <w:bookmarkStart w:id="456" w:name="_Toc523999876"/>
      <w:bookmarkStart w:id="457" w:name="_Toc524083014"/>
      <w:r>
        <w:t>Muud tegevustulud ja -kulud (45.3)</w:t>
      </w:r>
      <w:bookmarkEnd w:id="453"/>
      <w:bookmarkEnd w:id="454"/>
      <w:bookmarkEnd w:id="455"/>
      <w:bookmarkEnd w:id="456"/>
      <w:bookmarkEnd w:id="457"/>
    </w:p>
    <w:p w:rsidR="009569C7" w:rsidRPr="00EC4FA2" w:rsidRDefault="00A834F1" w:rsidP="009569C7">
      <w:pPr>
        <w:pStyle w:val="Baseparagraphnumbered"/>
      </w:pPr>
      <w:r>
        <w:t xml:space="preserve">Muud tegevustulud ja -kulud jaotatakse vastavalt järgmistele kirjetele: õiglase väärtuse mudeli abil mõõdetud materiaalse vara õiglase väärtuse korrigeerimised; kinnisvarainvesteeringuga seotud renditulu ja otsesed </w:t>
      </w:r>
      <w:r>
        <w:lastRenderedPageBreak/>
        <w:t>tegevuskulud; kasutusrendiga, välja arvatud kinnisvarainvesteeringutega, seotud tulud ja kulud ning ül</w:t>
      </w:r>
      <w:r w:rsidR="00E21EF9">
        <w:t>ejäänud tegevustulud ja -kulud.</w:t>
      </w:r>
    </w:p>
    <w:p w:rsidR="009569C7" w:rsidRPr="00EC4FA2" w:rsidRDefault="00A834F1" w:rsidP="009569C7">
      <w:pPr>
        <w:pStyle w:val="Baseparagraphnumbered"/>
      </w:pPr>
      <w:r>
        <w:t>Kirje „muu kui kinnisvarainvesteeringutega seotud kasutusrent“ hõlmab veerus „tulud“ saadud tulu ning veerus „kulud“ kulusid, mis krediidiasutusel või investeerimisühingul kui rendileandjal (kapitalinõuete määruse kohaselt „liisinguandja“) tekkisid seoses oma kapitalirenditegevusega, mis ei ole seotud varadega, mis on liigitatud kinnisvarainvesteeringuteks. Kulud, mis tekkisid krediidiasutusele või investeerimisühingule kui rentnikule, kajastatakse kirjel „muud halduskulud“.</w:t>
      </w:r>
    </w:p>
    <w:p w:rsidR="009569C7" w:rsidRPr="00EC4FA2" w:rsidRDefault="00A834F1" w:rsidP="009569C7">
      <w:pPr>
        <w:pStyle w:val="Baseparagraphnumbered"/>
      </w:pPr>
      <w:r>
        <w:t>Kasum või kahjum, mis tuleneb kulla, muude väärismetallide ja muude kaupade investeeringute kajastamise lõpetamisest ja uuesti mõõtmisest, mis on mõõdetud õiglases väärtuses, millest on maha arvatud müügikulu, kajastatakse kirjetel „Muud tegevustulud. Muu“ või „Muud tegevuskulud. Muu“.</w:t>
      </w:r>
    </w:p>
    <w:p w:rsidR="009569C7" w:rsidRPr="00EC4FA2" w:rsidRDefault="00A834F1" w:rsidP="009569C7">
      <w:pPr>
        <w:pStyle w:val="subtitlenumbered"/>
        <w:jc w:val="both"/>
      </w:pPr>
      <w:bookmarkStart w:id="458" w:name="_Toc246770634"/>
      <w:bookmarkStart w:id="459" w:name="_Toc361844269"/>
      <w:bookmarkStart w:id="460" w:name="_Toc362359340"/>
      <w:bookmarkStart w:id="461" w:name="_Toc467855275"/>
      <w:bookmarkStart w:id="462" w:name="_Toc523999877"/>
      <w:bookmarkStart w:id="463" w:name="_Toc524083015"/>
      <w:r>
        <w:t>Omakapitali muutuste aruanne</w:t>
      </w:r>
      <w:bookmarkEnd w:id="458"/>
      <w:r>
        <w:t xml:space="preserve"> (46)</w:t>
      </w:r>
      <w:bookmarkEnd w:id="459"/>
      <w:bookmarkEnd w:id="460"/>
      <w:bookmarkEnd w:id="461"/>
      <w:bookmarkEnd w:id="462"/>
      <w:bookmarkEnd w:id="463"/>
    </w:p>
    <w:p w:rsidR="009569C7" w:rsidRPr="00EC4FA2" w:rsidRDefault="00A834F1" w:rsidP="009569C7">
      <w:pPr>
        <w:pStyle w:val="Baseparagraphnumbered"/>
      </w:pPr>
      <w:r>
        <w:t>Omakapitali muutuste aruandes avalikustatakse iga omakapitali komponendi puhul perioodi alguse (algsaldo) ja perioodi lõpu (lõppsaldo) bilansilise väärtuse võrdlus.</w:t>
      </w:r>
    </w:p>
    <w:p w:rsidR="009569C7" w:rsidRPr="00EC4FA2" w:rsidRDefault="00A834F1" w:rsidP="009569C7">
      <w:pPr>
        <w:pStyle w:val="Baseparagraphnumbered"/>
        <w:rPr>
          <w:caps/>
        </w:rPr>
      </w:pPr>
      <w:r>
        <w:t>„Ülekandmised omakapitali komponentide vahel“ hõlmab kõiki omakapitali raames üle kantud summasid, sealhulgas õiglases väärtuses muutustega läbi kasumiaruande kajastatud kohustuste enda krediidiriskist ja õiglases väärtuses läbi muu koondkasumi mõõdetud omakapitaliinstrumentide õiglase väärtuse akumuleeritud muutustest tulenev kasum ja kahjum, mis kantakse kajastamise lõpetamise korral üle muud</w:t>
      </w:r>
      <w:r w:rsidR="00E21EF9">
        <w:t>ele omakapitali komponentidele.</w:t>
      </w:r>
    </w:p>
    <w:p w:rsidR="009569C7" w:rsidRPr="00EC4FA2" w:rsidRDefault="009569C7" w:rsidP="009569C7">
      <w:pPr>
        <w:jc w:val="center"/>
        <w:rPr>
          <w:rFonts w:ascii="Times New Roman" w:hAnsi="Times New Roman"/>
          <w:b/>
          <w:sz w:val="24"/>
          <w:szCs w:val="24"/>
        </w:rPr>
      </w:pPr>
      <w:bookmarkStart w:id="464" w:name="_Toc361844270"/>
    </w:p>
    <w:p w:rsidR="009569C7" w:rsidRPr="00EC4FA2" w:rsidRDefault="00E21EF9" w:rsidP="009569C7">
      <w:pPr>
        <w:jc w:val="center"/>
        <w:rPr>
          <w:rFonts w:ascii="Times New Roman" w:hAnsi="Times New Roman"/>
          <w:b/>
          <w:sz w:val="24"/>
          <w:szCs w:val="24"/>
        </w:rPr>
      </w:pPr>
      <w:r>
        <w:rPr>
          <w:rFonts w:ascii="Times New Roman" w:hAnsi="Times New Roman"/>
          <w:b/>
          <w:sz w:val="24"/>
        </w:rPr>
        <w:t xml:space="preserve">III </w:t>
      </w:r>
      <w:r w:rsidR="00A834F1">
        <w:rPr>
          <w:rFonts w:ascii="Times New Roman" w:hAnsi="Times New Roman"/>
          <w:b/>
          <w:sz w:val="24"/>
        </w:rPr>
        <w:t>OSA</w:t>
      </w:r>
      <w:bookmarkEnd w:id="464"/>
    </w:p>
    <w:p w:rsidR="009569C7" w:rsidRPr="00EC4FA2" w:rsidRDefault="00A834F1" w:rsidP="009569C7">
      <w:pPr>
        <w:pStyle w:val="Heading1"/>
      </w:pPr>
      <w:bookmarkStart w:id="465" w:name="_Toc359315703"/>
      <w:bookmarkStart w:id="466" w:name="_Toc361844271"/>
      <w:bookmarkStart w:id="467" w:name="_Toc362359341"/>
      <w:bookmarkStart w:id="468" w:name="_Toc467855276"/>
      <w:bookmarkStart w:id="469" w:name="_Toc523999878"/>
      <w:bookmarkStart w:id="470" w:name="_Toc524083016"/>
      <w:r>
        <w:t>Riskipositsiooni klasside ja vastaspoole sektorite määramine</w:t>
      </w:r>
      <w:bookmarkEnd w:id="465"/>
      <w:bookmarkEnd w:id="466"/>
      <w:bookmarkEnd w:id="467"/>
      <w:bookmarkEnd w:id="468"/>
      <w:bookmarkEnd w:id="469"/>
      <w:bookmarkEnd w:id="470"/>
    </w:p>
    <w:p w:rsidR="009569C7" w:rsidRPr="00EC4FA2" w:rsidRDefault="009569C7" w:rsidP="009569C7"/>
    <w:p w:rsidR="009569C7" w:rsidRPr="00EC4FA2" w:rsidRDefault="00A834F1" w:rsidP="009569C7">
      <w:pPr>
        <w:pStyle w:val="Baseparagraphnumbered"/>
        <w:numPr>
          <w:ilvl w:val="0"/>
          <w:numId w:val="37"/>
        </w:numPr>
      </w:pPr>
      <w:r>
        <w:t>Tabelites 2 ja 3 esitatakse ülevaade neist riskipositsiooni klassidest, mida kasutatakse kapitalinõuete määruse kohaselt kapitalinõuete arvutamiseks, ja FINREPi tabelites kasutatavatest vastaspoole sektoritest.</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 2. Standardmeetod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Standardmeetodi riskipositsiooni klassid (kapitalinõuete määruse artikkel 112)</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FINREPi vastaspoole sektorid</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Märkused</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a) Nõuded keskvalitsuste või keskpankade vastu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Nõuded piirkondlike valitsuste või kohalike omavalitsuste vastu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Nõuded avaliku sektori asutuste vastu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Valitsemissektor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Nõuded mitmepoolsete arengupankade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Nõuded rahvusvaheliste organisatsioonide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Nõuded krediidiasutuste ja investeerimisühingute vastu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krediidiasutuste ja investeerimisühingute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Nõuded äriühingute vastu</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Finantssektorivälised äriühingud.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Jaenõuded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Kinnisvarale seatud hüpoteegiga tagatud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Makseviivituses olevad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Eriti suure riskiga seotud kirjed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k) Pandikirjadest tulenevad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E21EF9" w:rsidP="009569C7">
            <w:pPr>
              <w:spacing w:before="60" w:after="60"/>
              <w:rPr>
                <w:rFonts w:ascii="Times New Roman" w:hAnsi="Times New Roman"/>
                <w:sz w:val="18"/>
                <w:szCs w:val="18"/>
              </w:rPr>
            </w:pPr>
            <w:r>
              <w:rPr>
                <w:rFonts w:ascii="Times New Roman" w:hAnsi="Times New Roman"/>
                <w:sz w:val="18"/>
              </w:rPr>
              <w:t>l</w:t>
            </w:r>
            <w:r w:rsidR="00A834F1">
              <w:rPr>
                <w:rFonts w:ascii="Times New Roman" w:hAnsi="Times New Roman"/>
                <w:sz w:val="18"/>
              </w:rPr>
              <w:t>) Väärtpaberistamise 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Kodumajapidamised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väärtpaberistamisega seotud riskile. Kui väärtpaberistatud positsioonid on jätkuvalt bilansis kajastatud, on FINREPi tabelites vastaspoole sektoriteks nende positsioonide vahetute vastaspoolte sektorid.</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Nõuded lühiajalise krediidikvaliteedi hinnanguga krediidiasutuste ja investeerimisühingute ning äriühingute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Ühiseks investeerimiseks loodud ettevõtja aktsiatest ja osakutest tulenevad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Omakapitaliinstrumendid</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Investeeringud ühiseks investeerimiseks loodud ettevõtjatesse tuleb liigitada FINREPi aruannetes omakapitaliinstrumentideks, olenemata sellest, kas kapitalinõuete määruse kohaselt on arvessevõtmine lubatud.</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sidR="00E21EF9">
              <w:rPr>
                <w:rFonts w:ascii="Times New Roman" w:hAnsi="Times New Roman"/>
                <w:sz w:val="18"/>
              </w:rPr>
              <w:t>o</w:t>
            </w:r>
            <w:r>
              <w:rPr>
                <w:rFonts w:ascii="Times New Roman" w:hAnsi="Times New Roman"/>
                <w:sz w:val="18"/>
              </w:rPr>
              <w:t>) Omakapitali investeeringud</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Omakapitaliinstrumendid</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FINREPi aruannetes on omakapitali investeeringud jagatud instrumentidena eri finantsvarade kategooriatesse.</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Muud kirjed</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Bilansi eri kirjed</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FINREPi aruannetes võib muud kirjed kajastada eri varakategooriates.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Tabel 3. Sisereitingute meetod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Sisereitingute meetodi riskipositsiooni klassid</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(kapitalinõuete määruse artikkel 147)</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FINREPi vastaspoole sektorid</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Märkused</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Nõuded keskvalitsuste ja keskpankade vastu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Krediidiasutused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Need riskipositsioonid määratakse FINREPi vastaspoole sektoritele vastavalt vahetu vastaspoole laadile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Nõuded krediidiasutuste ja investeerimisühingute vastu</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(st krediidiasutuste ja investeerimisühingute ning</w:t>
            </w:r>
            <w:r>
              <w:rPr>
                <w:rFonts w:ascii="Times New Roman" w:hAnsi="Times New Roman"/>
                <w:i/>
                <w:sz w:val="20"/>
              </w:rPr>
              <w:t xml:space="preserve"> </w:t>
            </w:r>
            <w:r>
              <w:rPr>
                <w:rFonts w:ascii="Times New Roman" w:hAnsi="Times New Roman"/>
                <w:sz w:val="18"/>
              </w:rPr>
              <w:t>mõnede valitsemissektori üksuste ja mitmepoolsete pankade vastu)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Valitsemissektor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Nõuded äriühingute vastu</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Kodumajapidamised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Jaenõuded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Kodumajapidamised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Omakapitali investeeringud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Omakapitaliinstrumendid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FINREPi aruannetes on omakapitali investeeringud jagatud instrumentidena eri finantsvarade kategooriatesse.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Väärtpaberistamise positsioonid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Kodumajapidamised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väärtpaberistamise positsioonidega seotud riskile. Kui väärtpaberistatud positsioonid on jätkuvalt bilansis kajastatud, on FINREPi tabelites vastaspoole sektoriteks nende positsioonide vahetute vastaspoolte sektorid.</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Muud varad, mis ei ole krediidi iseloomuga</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Bilansi eri kirjed</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FINREPi aruannetes võib muud kirjed kajastada eri varakategooriates.</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2D1" w:rsidRDefault="00D452D1">
      <w:pPr>
        <w:spacing w:after="0"/>
      </w:pPr>
      <w:r>
        <w:separator/>
      </w:r>
    </w:p>
  </w:endnote>
  <w:endnote w:type="continuationSeparator" w:id="0">
    <w:p w:rsidR="00D452D1" w:rsidRDefault="00D452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2D1" w:rsidRDefault="00D452D1">
    <w:pPr>
      <w:pStyle w:val="Footer"/>
      <w:jc w:val="right"/>
    </w:pPr>
    <w:r>
      <w:fldChar w:fldCharType="begin"/>
    </w:r>
    <w:r>
      <w:instrText xml:space="preserve"> PAGE   \* MERGEFORMAT </w:instrText>
    </w:r>
    <w:r>
      <w:fldChar w:fldCharType="separate"/>
    </w:r>
    <w:r w:rsidR="00D52112">
      <w:rPr>
        <w:noProof/>
      </w:rPr>
      <w:t>3</w:t>
    </w:r>
    <w:r>
      <w:rPr>
        <w:noProof/>
      </w:rPr>
      <w:fldChar w:fldCharType="end"/>
    </w:r>
  </w:p>
  <w:p w:rsidR="00D452D1" w:rsidRDefault="00D452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2D1" w:rsidRDefault="00D452D1">
    <w:pPr>
      <w:pStyle w:val="Footer"/>
      <w:jc w:val="right"/>
    </w:pPr>
    <w:r>
      <w:fldChar w:fldCharType="begin"/>
    </w:r>
    <w:r>
      <w:instrText xml:space="preserve"> PAGE   \* MERGEFORMAT </w:instrText>
    </w:r>
    <w:r>
      <w:fldChar w:fldCharType="separate"/>
    </w:r>
    <w:r w:rsidR="00D52112">
      <w:rPr>
        <w:noProof/>
      </w:rPr>
      <w:t>5</w:t>
    </w:r>
    <w:r>
      <w:rPr>
        <w:noProof/>
      </w:rPr>
      <w:fldChar w:fldCharType="end"/>
    </w:r>
  </w:p>
  <w:p w:rsidR="00D452D1" w:rsidRDefault="00D452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2D1" w:rsidRDefault="00D452D1" w:rsidP="009569C7">
      <w:pPr>
        <w:spacing w:after="0"/>
      </w:pPr>
      <w:r>
        <w:separator/>
      </w:r>
    </w:p>
  </w:footnote>
  <w:footnote w:type="continuationSeparator" w:id="0">
    <w:p w:rsidR="00D452D1" w:rsidRDefault="00D452D1" w:rsidP="009569C7">
      <w:pPr>
        <w:spacing w:after="0"/>
      </w:pPr>
      <w:r>
        <w:continuationSeparator/>
      </w:r>
    </w:p>
  </w:footnote>
  <w:footnote w:type="continuationNotice" w:id="1">
    <w:p w:rsidR="00D452D1" w:rsidRDefault="00D452D1">
      <w:pPr>
        <w:spacing w:after="0"/>
      </w:pPr>
    </w:p>
  </w:footnote>
  <w:footnote w:id="2">
    <w:p w:rsidR="00D452D1" w:rsidRPr="001118C7" w:rsidRDefault="00D452D1" w:rsidP="009569C7">
      <w:pPr>
        <w:pStyle w:val="FootnoteText"/>
      </w:pPr>
      <w:r>
        <w:rPr>
          <w:rStyle w:val="FootnoteReference"/>
        </w:rPr>
        <w:footnoteRef/>
      </w:r>
      <w:r>
        <w:t xml:space="preserve"> </w:t>
      </w:r>
      <w:r>
        <w:tab/>
        <w:t>Euroopa Parlamendi ja nõukogu 19. juuli 2002. aasta määrus (EÜ) nr 1606/2002 rahvusvaheliste raamatupidamisstandardite kohaldamise kohta (EÜT L 243, 11.9.2002, lk 1).</w:t>
      </w:r>
    </w:p>
  </w:footnote>
  <w:footnote w:id="3">
    <w:p w:rsidR="00D452D1" w:rsidRPr="004F7202" w:rsidRDefault="00D452D1" w:rsidP="009569C7">
      <w:pPr>
        <w:pStyle w:val="FootnoteText"/>
        <w:spacing w:after="120"/>
      </w:pPr>
      <w:r>
        <w:rPr>
          <w:rStyle w:val="FootnoteReference"/>
        </w:rPr>
        <w:footnoteRef/>
      </w:r>
      <w:r>
        <w:t xml:space="preserve"> </w:t>
      </w:r>
      <w:r>
        <w:tab/>
        <w:t>Euroopa Keskpanga 24. septembri 2013. aasta määrus (EL) nr 1071/2013 rahaloomeasutuste sektori bilansi kohta (uuesti sõnastatud) (EKP/2013/33) (ELT L 297, 7.11.2013, lk 1).</w:t>
      </w:r>
    </w:p>
  </w:footnote>
  <w:footnote w:id="4">
    <w:p w:rsidR="00D452D1" w:rsidRPr="004F7202" w:rsidRDefault="00D452D1">
      <w:pPr>
        <w:pStyle w:val="FootnoteText"/>
      </w:pPr>
      <w:r>
        <w:rPr>
          <w:rStyle w:val="FootnoteReference"/>
        </w:rPr>
        <w:footnoteRef/>
      </w:r>
      <w:r>
        <w:t xml:space="preserve"> </w:t>
      </w:r>
      <w:r>
        <w:tab/>
        <w:t xml:space="preserve">Euroopa Parlamendi ja nõukogu 20. detsembri 2006. </w:t>
      </w:r>
      <w:r>
        <w:t>aasta määrus (EÜ) nr 1893/2006, millega kehtestatakse majanduse tegevusalade statistiline klassifikaator NACE Revision 2 ning muudetakse nõukogu määrust (EMÜ) nr 3037/90 ja teatavaid EÜ määrusi, mis käsitlevad konkreetseid statistikavaldkondi (ELT L 393, 30.12.2006, lk 1).</w:t>
      </w:r>
    </w:p>
  </w:footnote>
  <w:footnote w:id="5">
    <w:p w:rsidR="00D452D1" w:rsidRPr="004F7202" w:rsidRDefault="00D452D1">
      <w:pPr>
        <w:pStyle w:val="FootnoteText"/>
      </w:pPr>
      <w:r>
        <w:rPr>
          <w:rStyle w:val="FootnoteReference"/>
        </w:rPr>
        <w:footnoteRef/>
      </w:r>
      <w:r>
        <w:t xml:space="preserve"> </w:t>
      </w:r>
      <w:r>
        <w:tab/>
        <w:t>Nõukogu 8. detsembri 1986. aasta direktiiv 86/635/EMÜ pankade ja muude rahaasutuste raamatupidamise aastaaruannete ja konsolideeritud aruannete kohta (EÜT L 372, 31.12.1986, lk 1).</w:t>
      </w:r>
    </w:p>
  </w:footnote>
  <w:footnote w:id="6">
    <w:p w:rsidR="00D452D1" w:rsidRPr="00BA387A" w:rsidRDefault="00D452D1" w:rsidP="009569C7">
      <w:pPr>
        <w:pStyle w:val="FootnoteText"/>
      </w:pPr>
      <w:r>
        <w:rPr>
          <w:rStyle w:val="FootnoteReference"/>
        </w:rPr>
        <w:footnoteRef/>
      </w:r>
      <w:r>
        <w:t xml:space="preserve"> </w:t>
      </w:r>
      <w:r>
        <w:tab/>
        <w:t>Euroopa Parlamendi ja nõukogu 26. juuni 2013. aasta direktiiv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7">
    <w:p w:rsidR="00D452D1" w:rsidRPr="00BA387A" w:rsidRDefault="00D452D1" w:rsidP="009569C7">
      <w:pPr>
        <w:pStyle w:val="FootnoteText"/>
      </w:pPr>
      <w:r>
        <w:rPr>
          <w:rStyle w:val="FootnoteReference"/>
        </w:rPr>
        <w:footnoteRef/>
      </w:r>
      <w:r>
        <w:tab/>
        <w:t xml:space="preserve">Komisjoni 6. mai 2003. aasta soovitus mikro-, väikeste ja keskmise suurusega ettevõtjate määratlemise kohta (K(2003)1422) (ELT L 124, 20.5.2003, lk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A74C8"/>
    <w:rsid w:val="002C06EE"/>
    <w:rsid w:val="002C7343"/>
    <w:rsid w:val="0030521D"/>
    <w:rsid w:val="00316C77"/>
    <w:rsid w:val="00343668"/>
    <w:rsid w:val="003A35E6"/>
    <w:rsid w:val="003B5E3F"/>
    <w:rsid w:val="004815F7"/>
    <w:rsid w:val="005427F9"/>
    <w:rsid w:val="005579BF"/>
    <w:rsid w:val="005F4BF4"/>
    <w:rsid w:val="0062687D"/>
    <w:rsid w:val="006648F6"/>
    <w:rsid w:val="00667978"/>
    <w:rsid w:val="006A276D"/>
    <w:rsid w:val="006A2EB8"/>
    <w:rsid w:val="00837ED5"/>
    <w:rsid w:val="00860F58"/>
    <w:rsid w:val="0093244C"/>
    <w:rsid w:val="009569C7"/>
    <w:rsid w:val="009E0809"/>
    <w:rsid w:val="00A00717"/>
    <w:rsid w:val="00A36F5D"/>
    <w:rsid w:val="00A834F1"/>
    <w:rsid w:val="00AA6762"/>
    <w:rsid w:val="00B420BD"/>
    <w:rsid w:val="00B8178E"/>
    <w:rsid w:val="00C82C90"/>
    <w:rsid w:val="00C93712"/>
    <w:rsid w:val="00D452D1"/>
    <w:rsid w:val="00D52112"/>
    <w:rsid w:val="00E21EF9"/>
    <w:rsid w:val="00E40BBB"/>
    <w:rsid w:val="00E87D3C"/>
    <w:rsid w:val="00EB47E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et-E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t-E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t-E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t-E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t-EE"/>
    </w:rPr>
  </w:style>
  <w:style w:type="character" w:customStyle="1" w:styleId="subtitlenonumberChar">
    <w:name w:val="subtitle no number Char"/>
    <w:link w:val="subtitlenonumber"/>
    <w:rsid w:val="00AD63B8"/>
    <w:rPr>
      <w:b/>
      <w:i/>
      <w:sz w:val="24"/>
      <w:szCs w:val="24"/>
      <w:lang w:val="et-EE" w:eastAsia="et-E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t-EE"/>
    </w:rPr>
  </w:style>
  <w:style w:type="character" w:customStyle="1" w:styleId="Heading2Char">
    <w:name w:val="Heading 2 Char"/>
    <w:link w:val="Heading2"/>
    <w:rsid w:val="005100D0"/>
    <w:rPr>
      <w:rFonts w:ascii="Cambria" w:hAnsi="Cambria"/>
      <w:b/>
      <w:bCs/>
      <w:color w:val="4F81BD"/>
      <w:sz w:val="26"/>
      <w:szCs w:val="26"/>
      <w:lang w:val="et-EE" w:eastAsia="et-EE"/>
    </w:rPr>
  </w:style>
  <w:style w:type="character" w:customStyle="1" w:styleId="Heading3Char">
    <w:name w:val="Heading 3 Char"/>
    <w:link w:val="Heading3"/>
    <w:rsid w:val="005100D0"/>
    <w:rPr>
      <w:rFonts w:ascii="Cambria" w:hAnsi="Cambria"/>
      <w:b/>
      <w:bCs/>
      <w:color w:val="4F81BD"/>
      <w:sz w:val="22"/>
      <w:szCs w:val="22"/>
      <w:lang w:val="et-EE" w:eastAsia="et-EE"/>
    </w:rPr>
  </w:style>
  <w:style w:type="character" w:customStyle="1" w:styleId="Heading4Char">
    <w:name w:val="Heading 4 Char"/>
    <w:link w:val="Heading4"/>
    <w:rsid w:val="005100D0"/>
    <w:rPr>
      <w:rFonts w:ascii="Cambria" w:hAnsi="Cambria"/>
      <w:b/>
      <w:bCs/>
      <w:i/>
      <w:iCs/>
      <w:color w:val="4F81BD"/>
      <w:sz w:val="22"/>
      <w:szCs w:val="22"/>
      <w:lang w:val="et-EE" w:eastAsia="et-EE"/>
    </w:rPr>
  </w:style>
  <w:style w:type="character" w:customStyle="1" w:styleId="Heading5Char">
    <w:name w:val="Heading 5 Char"/>
    <w:link w:val="Heading5"/>
    <w:rsid w:val="005100D0"/>
    <w:rPr>
      <w:rFonts w:ascii="Cambria" w:hAnsi="Cambria"/>
      <w:color w:val="243F60"/>
      <w:sz w:val="22"/>
      <w:szCs w:val="22"/>
      <w:lang w:val="et-EE" w:eastAsia="et-EE"/>
    </w:rPr>
  </w:style>
  <w:style w:type="character" w:customStyle="1" w:styleId="Heading6Char">
    <w:name w:val="Heading 6 Char"/>
    <w:link w:val="Heading6"/>
    <w:rsid w:val="005100D0"/>
    <w:rPr>
      <w:rFonts w:ascii="Cambria" w:hAnsi="Cambria"/>
      <w:i/>
      <w:iCs/>
      <w:color w:val="243F60"/>
      <w:sz w:val="22"/>
      <w:szCs w:val="22"/>
      <w:lang w:val="et-EE" w:eastAsia="et-EE"/>
    </w:rPr>
  </w:style>
  <w:style w:type="character" w:customStyle="1" w:styleId="Heading7Char">
    <w:name w:val="Heading 7 Char"/>
    <w:link w:val="Heading7"/>
    <w:rsid w:val="005100D0"/>
    <w:rPr>
      <w:rFonts w:ascii="Cambria" w:hAnsi="Cambria"/>
      <w:i/>
      <w:iCs/>
      <w:color w:val="404040"/>
      <w:sz w:val="22"/>
      <w:szCs w:val="22"/>
      <w:lang w:val="et-EE" w:eastAsia="et-E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t-E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t-E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t-E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t-EE" w:eastAsia="et-E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t-E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t-E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et-E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t-E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t-E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t-E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t-EE"/>
    </w:rPr>
  </w:style>
  <w:style w:type="character" w:customStyle="1" w:styleId="subtitlenonumberChar">
    <w:name w:val="subtitle no number Char"/>
    <w:link w:val="subtitlenonumber"/>
    <w:rsid w:val="00AD63B8"/>
    <w:rPr>
      <w:b/>
      <w:i/>
      <w:sz w:val="24"/>
      <w:szCs w:val="24"/>
      <w:lang w:val="et-EE" w:eastAsia="et-E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t-EE"/>
    </w:rPr>
  </w:style>
  <w:style w:type="character" w:customStyle="1" w:styleId="Heading2Char">
    <w:name w:val="Heading 2 Char"/>
    <w:link w:val="Heading2"/>
    <w:rsid w:val="005100D0"/>
    <w:rPr>
      <w:rFonts w:ascii="Cambria" w:hAnsi="Cambria"/>
      <w:b/>
      <w:bCs/>
      <w:color w:val="4F81BD"/>
      <w:sz w:val="26"/>
      <w:szCs w:val="26"/>
      <w:lang w:val="et-EE" w:eastAsia="et-EE"/>
    </w:rPr>
  </w:style>
  <w:style w:type="character" w:customStyle="1" w:styleId="Heading3Char">
    <w:name w:val="Heading 3 Char"/>
    <w:link w:val="Heading3"/>
    <w:rsid w:val="005100D0"/>
    <w:rPr>
      <w:rFonts w:ascii="Cambria" w:hAnsi="Cambria"/>
      <w:b/>
      <w:bCs/>
      <w:color w:val="4F81BD"/>
      <w:sz w:val="22"/>
      <w:szCs w:val="22"/>
      <w:lang w:val="et-EE" w:eastAsia="et-EE"/>
    </w:rPr>
  </w:style>
  <w:style w:type="character" w:customStyle="1" w:styleId="Heading4Char">
    <w:name w:val="Heading 4 Char"/>
    <w:link w:val="Heading4"/>
    <w:rsid w:val="005100D0"/>
    <w:rPr>
      <w:rFonts w:ascii="Cambria" w:hAnsi="Cambria"/>
      <w:b/>
      <w:bCs/>
      <w:i/>
      <w:iCs/>
      <w:color w:val="4F81BD"/>
      <w:sz w:val="22"/>
      <w:szCs w:val="22"/>
      <w:lang w:val="et-EE" w:eastAsia="et-EE"/>
    </w:rPr>
  </w:style>
  <w:style w:type="character" w:customStyle="1" w:styleId="Heading5Char">
    <w:name w:val="Heading 5 Char"/>
    <w:link w:val="Heading5"/>
    <w:rsid w:val="005100D0"/>
    <w:rPr>
      <w:rFonts w:ascii="Cambria" w:hAnsi="Cambria"/>
      <w:color w:val="243F60"/>
      <w:sz w:val="22"/>
      <w:szCs w:val="22"/>
      <w:lang w:val="et-EE" w:eastAsia="et-EE"/>
    </w:rPr>
  </w:style>
  <w:style w:type="character" w:customStyle="1" w:styleId="Heading6Char">
    <w:name w:val="Heading 6 Char"/>
    <w:link w:val="Heading6"/>
    <w:rsid w:val="005100D0"/>
    <w:rPr>
      <w:rFonts w:ascii="Cambria" w:hAnsi="Cambria"/>
      <w:i/>
      <w:iCs/>
      <w:color w:val="243F60"/>
      <w:sz w:val="22"/>
      <w:szCs w:val="22"/>
      <w:lang w:val="et-EE" w:eastAsia="et-EE"/>
    </w:rPr>
  </w:style>
  <w:style w:type="character" w:customStyle="1" w:styleId="Heading7Char">
    <w:name w:val="Heading 7 Char"/>
    <w:link w:val="Heading7"/>
    <w:rsid w:val="005100D0"/>
    <w:rPr>
      <w:rFonts w:ascii="Cambria" w:hAnsi="Cambria"/>
      <w:i/>
      <w:iCs/>
      <w:color w:val="404040"/>
      <w:sz w:val="22"/>
      <w:szCs w:val="22"/>
      <w:lang w:val="et-EE" w:eastAsia="et-E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t-E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t-E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t-E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t-EE" w:eastAsia="et-E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t-E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t-E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1691F-F8AD-493C-9A69-EB35311FC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79</Pages>
  <Words>22815</Words>
  <Characters>182312</Characters>
  <Application>Microsoft Office Word</Application>
  <DocSecurity>0</DocSecurity>
  <Lines>3422</Lines>
  <Paragraphs>973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8</cp:revision>
  <cp:lastPrinted>2016-10-27T14:00:00Z</cp:lastPrinted>
  <dcterms:created xsi:type="dcterms:W3CDTF">2018-02-27T20:51:00Z</dcterms:created>
  <dcterms:modified xsi:type="dcterms:W3CDTF">2018-09-07T10:10:00Z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