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0D" w:rsidRPr="00032DB8" w:rsidRDefault="00E041B8" w:rsidP="00032DB8">
      <w:pPr>
        <w:pStyle w:val="Pagedecouverture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BCA42CA0-1A16-48DE-926B-F1F2A777A292" style="width:450.55pt;height:381.75pt">
            <v:imagedata r:id="rId9" o:title=""/>
          </v:shape>
        </w:pict>
      </w:r>
    </w:p>
    <w:p w:rsidR="00075C77" w:rsidRPr="00032DB8" w:rsidRDefault="00075C77">
      <w:pPr>
        <w:sectPr w:rsidR="00075C77" w:rsidRPr="00032DB8" w:rsidSect="004966D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:rsidR="00075C77" w:rsidRPr="00032DB8" w:rsidRDefault="00032DB8" w:rsidP="00032DB8">
      <w:pPr>
        <w:pStyle w:val="Typedudocument"/>
      </w:pPr>
      <w:r w:rsidRPr="00032DB8">
        <w:t>PROVÁDĚCÍ NAŘÍZENÍ KOMISE (EU) …/...</w:t>
      </w:r>
    </w:p>
    <w:p w:rsidR="00075C77" w:rsidRPr="00032DB8" w:rsidRDefault="00032DB8" w:rsidP="00032DB8">
      <w:pPr>
        <w:pStyle w:val="Datedadoption"/>
      </w:pPr>
      <w:r w:rsidRPr="00032DB8">
        <w:t xml:space="preserve">ze dne </w:t>
      </w:r>
      <w:r w:rsidRPr="00032DB8">
        <w:rPr>
          <w:rStyle w:val="Marker2"/>
        </w:rPr>
        <w:t>XXX</w:t>
      </w:r>
      <w:r w:rsidRPr="00032DB8">
        <w:t>,</w:t>
      </w:r>
    </w:p>
    <w:p w:rsidR="00075C77" w:rsidRPr="00032DB8" w:rsidRDefault="00032DB8" w:rsidP="00032DB8">
      <w:pPr>
        <w:pStyle w:val="Titreobjet"/>
      </w:pPr>
      <w:r w:rsidRPr="00032DB8">
        <w:t>kterým se mění prováděcí nařízení (EU) č. 680/2014, pokud jde o obezřetné oceňování pro podávání zpráv v oblasti dohledu</w:t>
      </w:r>
    </w:p>
    <w:p w:rsidR="00F16FEC" w:rsidRPr="00032DB8" w:rsidRDefault="00032DB8" w:rsidP="00032DB8">
      <w:pPr>
        <w:pStyle w:val="IntrtEEE"/>
      </w:pPr>
      <w:r w:rsidRPr="00032DB8">
        <w:t>(Text s významem pro EHP)</w:t>
      </w:r>
    </w:p>
    <w:p w:rsidR="00075C77" w:rsidRPr="00032DB8" w:rsidRDefault="00075C77" w:rsidP="004E1EF9">
      <w:pPr>
        <w:pStyle w:val="Institutionquiagit"/>
      </w:pPr>
      <w:r w:rsidRPr="00032DB8">
        <w:t>EVROPSKÁ KOMISE,</w:t>
      </w:r>
    </w:p>
    <w:p w:rsidR="00075C77" w:rsidRPr="00032DB8" w:rsidRDefault="00075C77" w:rsidP="004E1EF9">
      <w:r w:rsidRPr="00032DB8">
        <w:rPr>
          <w:color w:val="000000"/>
        </w:rPr>
        <w:t>s ohledem na Smlouvu o fungování Evropské unie</w:t>
      </w:r>
      <w:r w:rsidRPr="00032DB8">
        <w:t>,</w:t>
      </w:r>
    </w:p>
    <w:p w:rsidR="00075C77" w:rsidRPr="00032DB8" w:rsidRDefault="00075C77" w:rsidP="004E1EF9">
      <w:r w:rsidRPr="00032DB8">
        <w:t>s ohledem na nařízení Evropského parlamentu a Rady (EU) č. 575/2013 ze dne 26. června 2013 o obezřetnostních požadavcích na úvěrové instituce a investiční podniky a o změně nařízení (EU) č. 648/2012</w:t>
      </w:r>
      <w:r w:rsidRPr="00032DB8">
        <w:rPr>
          <w:rStyle w:val="FootnoteReference"/>
        </w:rPr>
        <w:footnoteReference w:id="2"/>
      </w:r>
      <w:r w:rsidRPr="00032DB8">
        <w:t>, a zejména na čl. 99 odst. 5 čtvrtý pododstavec, čl. 99 odst. 6 čtvrtý pododstavec, čl. 394 odst. 4 třetí pododstavec, čl. 415 odst. 3 čtvrtý pododstavec a čl. 430 odst. 2 třetí pododstavec uvedeného nařízení,</w:t>
      </w:r>
    </w:p>
    <w:p w:rsidR="00075C77" w:rsidRPr="00032DB8" w:rsidRDefault="00075C77" w:rsidP="004E1EF9">
      <w:r w:rsidRPr="00032DB8">
        <w:t>vzhledem k těmto důvodům:</w:t>
      </w:r>
    </w:p>
    <w:p w:rsidR="00075C77" w:rsidRPr="00032DB8" w:rsidRDefault="00075C77" w:rsidP="003C1FB8">
      <w:pPr>
        <w:pStyle w:val="Considrant"/>
        <w:numPr>
          <w:ilvl w:val="0"/>
          <w:numId w:val="1"/>
        </w:numPr>
        <w:rPr>
          <w:noProof/>
          <w:color w:val="000000"/>
        </w:rPr>
      </w:pPr>
      <w:r w:rsidRPr="00032DB8">
        <w:rPr>
          <w:noProof/>
          <w:color w:val="000000"/>
        </w:rPr>
        <w:t>Prováděcím nařízením Komise (EU) č. 680/2014</w:t>
      </w:r>
      <w:r w:rsidRPr="00032DB8">
        <w:rPr>
          <w:rStyle w:val="FootnoteReference"/>
          <w:noProof/>
          <w:color w:val="000000"/>
        </w:rPr>
        <w:footnoteReference w:id="3"/>
      </w:r>
      <w:r w:rsidRPr="00032DB8">
        <w:rPr>
          <w:noProof/>
          <w:color w:val="000000"/>
        </w:rPr>
        <w:t xml:space="preserve"> se stanoví postupy, podle nichž musí instituce podávat zprávy týkající se jejich souladu s nařízením (EU) č. 575/2013. Regulační rámec stanovený nařízením (EU) č. 575/2013 je postupně doplňován a pozměňován ve svých nepodstatných prvcích přijímáním dalších regulačních technických norem. Prováděcí nařízení (EU) č. 680/2014 je třeba aktualizovat tak, aby tyto změny zohledňovalo.</w:t>
      </w:r>
    </w:p>
    <w:p w:rsidR="00075C77" w:rsidRPr="00032DB8" w:rsidRDefault="00075C77" w:rsidP="00075C77">
      <w:pPr>
        <w:pStyle w:val="Considrant"/>
        <w:rPr>
          <w:color w:val="000000"/>
        </w:rPr>
      </w:pPr>
      <w:r w:rsidRPr="00032DB8">
        <w:rPr>
          <w:color w:val="000000"/>
        </w:rPr>
        <w:t>Nařízení (EU) č. 575/2013 je doplněno přijetím nařízení Komise v přenesené pravomoci (EU) 2016/101</w:t>
      </w:r>
      <w:r w:rsidRPr="00032DB8">
        <w:rPr>
          <w:rStyle w:val="FootnoteReference"/>
          <w:color w:val="000000"/>
        </w:rPr>
        <w:footnoteReference w:id="4"/>
      </w:r>
      <w:r w:rsidRPr="00032DB8">
        <w:rPr>
          <w:color w:val="000000"/>
        </w:rPr>
        <w:t>, pokud jde o obezřetné oceňování, a nařízením Evropského parlamentu a Rady (EU) 2017/2401</w:t>
      </w:r>
      <w:r w:rsidRPr="00032DB8">
        <w:rPr>
          <w:rStyle w:val="FootnoteReference"/>
          <w:color w:val="000000"/>
        </w:rPr>
        <w:footnoteReference w:id="5"/>
      </w:r>
      <w:r w:rsidRPr="00032DB8">
        <w:rPr>
          <w:color w:val="000000"/>
        </w:rPr>
        <w:t>, pokud jde o sekuritizaci. Prováděcí nařízení (EU) č. 680/2014 by mělo být aktualizováno, aby tyto změny zohledňovalo a aby dále zpřesnilo pokyny a definice používané pro účely podávání zpráv ze strany institucí pro účely dohledu. Některé odkazy a nesrovnalosti ve formátování, které byly zjištěny jako zavádějící v průběhu uplatňování prováděcího nařízení (EU) č. 680/2014 by rovněž měly být vyjasněny.</w:t>
      </w:r>
    </w:p>
    <w:p w:rsidR="00075C77" w:rsidRPr="00032DB8" w:rsidRDefault="00195568" w:rsidP="00075C77">
      <w:pPr>
        <w:pStyle w:val="Considrant"/>
        <w:rPr>
          <w:noProof/>
          <w:color w:val="000000"/>
        </w:rPr>
      </w:pPr>
      <w:r w:rsidRPr="00032DB8">
        <w:rPr>
          <w:noProof/>
          <w:color w:val="000000"/>
        </w:rPr>
        <w:t>Nařízení Komise v přenesené pravomoci (EU) 2016/101 stanoví požadavky na úpravy obezřetného ocenění pozic oceňovaných reálnou hodnotou. Stanoví dva přístupy k provádění požadavků obezřetného oceňování: základní přístup a zjednodušený přístup. Je nezbytné sledovat, zda instituce splňují tyto požadavky, a posoudit dopad uvedeného nařízení na úpravy ocenění, dodatečné vykazování, které se týká požadavků obezřetného oceňování.</w:t>
      </w:r>
    </w:p>
    <w:p w:rsidR="00075C77" w:rsidRPr="00032DB8" w:rsidRDefault="00075C77" w:rsidP="00075C77">
      <w:pPr>
        <w:pStyle w:val="Considrant"/>
        <w:rPr>
          <w:noProof/>
          <w:color w:val="000000"/>
        </w:rPr>
      </w:pPr>
      <w:r w:rsidRPr="00032DB8">
        <w:rPr>
          <w:color w:val="000000"/>
        </w:rPr>
        <w:t>Nařízením (EU) 2017/2401 se mění nařízení (EU) č. 575/2013 tak, aby kapitálové zacházení se sekuritizacemi se stalo citlivějším vůči riziku a schopným náležitě zohlednit specifické znaky jednoduchých, transparentních a standardizovaných sekuritizací. Prováděcí nařízení (EU) č. 680/2014 je třeba změnit tak, aby se vykazování sekuritizačních pozic přizpůsobilo tomuto revidovanému rámci pro sekuritizaci.</w:t>
      </w:r>
    </w:p>
    <w:p w:rsidR="00075C77" w:rsidRPr="00032DB8" w:rsidRDefault="00075C77" w:rsidP="00075C77">
      <w:pPr>
        <w:pStyle w:val="Considrant"/>
        <w:rPr>
          <w:noProof/>
          <w:color w:val="000000"/>
        </w:rPr>
      </w:pPr>
      <w:r w:rsidRPr="00032DB8">
        <w:rPr>
          <w:noProof/>
          <w:color w:val="000000"/>
        </w:rPr>
        <w:t>Změny prováděcího nařízení (EU) č. 680/2014 jsou také nezbytné, aby příslušné orgány byly lépe s to účinně monitorovat a posuzovat rizikový profil institucí a učinit si představu o rizicích, jimž je vystaveno finanční odvětví, což bude vyžadovat drobné změny požadavků na podávání zpráv o zeměpisném rozložení expozic.</w:t>
      </w:r>
    </w:p>
    <w:p w:rsidR="00075C77" w:rsidRPr="00032DB8" w:rsidRDefault="00075C77" w:rsidP="00075C77">
      <w:pPr>
        <w:pStyle w:val="Considrant"/>
        <w:rPr>
          <w:noProof/>
        </w:rPr>
      </w:pPr>
      <w:r w:rsidRPr="00032DB8">
        <w:t xml:space="preserve">Toto nařízení vychází z návrhů prováděcích technických norem, které Komisi předložil orgán EBA. </w:t>
      </w:r>
    </w:p>
    <w:p w:rsidR="00075C77" w:rsidRPr="00032DB8" w:rsidRDefault="00075C77" w:rsidP="00075C77">
      <w:pPr>
        <w:pStyle w:val="Considrant"/>
        <w:rPr>
          <w:noProof/>
        </w:rPr>
      </w:pPr>
      <w:r w:rsidRPr="00032DB8">
        <w:t>Orgán EBA uskutečnil otevřené veřejné konzultace o návrhu prováděcích technických norem, z něhož toto nařízení vychází a který se týká obezřetného oceňování a celkového zeměpisného členění, analyzoval potenciální související náklady a přínosy a požádal v dané souvislosti o stanovisko skupinu subjektů působících v bankovnictví zřízenou podle článku 37 nařízení Evropského parlamentu a Rady (EU) č. 1093/2010</w:t>
      </w:r>
      <w:r w:rsidRPr="00032DB8">
        <w:rPr>
          <w:rStyle w:val="FootnoteReference"/>
          <w:noProof/>
        </w:rPr>
        <w:footnoteReference w:id="6"/>
      </w:r>
      <w:r w:rsidRPr="00032DB8">
        <w:t>. V souladu s čl. 15 odst. 1 druhým pododstavcem uvedeného nařízení orgán EBA neuskutečnil otevřenou veřejnou konzultaci týkající se těch částí návrhu prováděcích technických norem, z nichž toto nařízení vychází a které jsou buď redakční povahy, nebo zavádějí pouze omezený počet položek do rámce pro podávání zpráv orgánům dohledu, neboť taková konzultace by byla nepřiměřená ve vztahu k rozsahu a dopadům dotčeného návrhu prováděcích technických norem.</w:t>
      </w:r>
    </w:p>
    <w:p w:rsidR="00075C77" w:rsidRPr="00032DB8" w:rsidRDefault="00075C77" w:rsidP="00075C77">
      <w:pPr>
        <w:pStyle w:val="Considrant"/>
      </w:pPr>
      <w:r w:rsidRPr="00032DB8">
        <w:t>Prováděcí nařízení (EU) č. 680/2014 by proto mělo být odpovídajícím způsobem změněno,</w:t>
      </w:r>
    </w:p>
    <w:p w:rsidR="00075C77" w:rsidRPr="00032DB8" w:rsidRDefault="00075C77" w:rsidP="004E1EF9">
      <w:pPr>
        <w:pStyle w:val="Formuledadoption"/>
      </w:pPr>
      <w:r w:rsidRPr="00032DB8">
        <w:t>PŘIJALA TOTO NAŘÍZENÍ:</w:t>
      </w:r>
    </w:p>
    <w:p w:rsidR="00075C77" w:rsidRPr="00032DB8" w:rsidRDefault="00075C77" w:rsidP="004E1EF9">
      <w:pPr>
        <w:pStyle w:val="Titrearticle"/>
      </w:pPr>
      <w:r w:rsidRPr="00032DB8">
        <w:t>Článek 1</w:t>
      </w:r>
    </w:p>
    <w:p w:rsidR="00075C77" w:rsidRPr="00032DB8" w:rsidRDefault="00075C77" w:rsidP="00075C77">
      <w:pPr>
        <w:rPr>
          <w:noProof/>
        </w:rPr>
      </w:pPr>
      <w:r w:rsidRPr="00032DB8">
        <w:t>Prováděcí nařízení (EU) č. 680/2014 se mění takto:</w:t>
      </w:r>
    </w:p>
    <w:p w:rsidR="00591517" w:rsidRPr="00032DB8" w:rsidRDefault="002901D9" w:rsidP="002901D9">
      <w:pPr>
        <w:pStyle w:val="Point0"/>
        <w:rPr>
          <w:noProof/>
        </w:rPr>
      </w:pPr>
      <w:r w:rsidRPr="002901D9">
        <w:t>1)</w:t>
      </w:r>
      <w:r w:rsidRPr="002901D9">
        <w:tab/>
      </w:r>
      <w:r w:rsidR="00591517" w:rsidRPr="00032DB8">
        <w:t>Článek 5 se mění takto:</w:t>
      </w:r>
    </w:p>
    <w:p w:rsidR="00591517" w:rsidRPr="00032DB8" w:rsidRDefault="002901D9" w:rsidP="002901D9">
      <w:pPr>
        <w:pStyle w:val="Point1"/>
      </w:pPr>
      <w:r w:rsidRPr="002901D9">
        <w:t>a)</w:t>
      </w:r>
      <w:r w:rsidRPr="002901D9">
        <w:tab/>
      </w:r>
      <w:r w:rsidR="00591517" w:rsidRPr="00032DB8">
        <w:t>písmeno a) se mění takto:</w:t>
      </w:r>
    </w:p>
    <w:p w:rsidR="00075C77" w:rsidRPr="00032DB8" w:rsidRDefault="008F3946" w:rsidP="00BC47EF">
      <w:pPr>
        <w:pStyle w:val="Point1"/>
      </w:pPr>
      <w:r w:rsidRPr="00032DB8">
        <w:t xml:space="preserve">i) </w:t>
      </w:r>
      <w:r w:rsidRPr="00032DB8">
        <w:tab/>
        <w:t>odstavec 4 se nahrazuje tímto:</w:t>
      </w:r>
    </w:p>
    <w:p w:rsidR="00075C77" w:rsidRPr="00032DB8" w:rsidRDefault="00EA38CD" w:rsidP="00C34F30">
      <w:pPr>
        <w:pStyle w:val="Text2"/>
        <w:rPr>
          <w:noProof/>
        </w:rPr>
      </w:pPr>
      <w:r w:rsidRPr="00032DB8">
        <w:t>„4.</w:t>
      </w:r>
      <w:r w:rsidRPr="00032DB8">
        <w:tab/>
        <w:t>informace o zeměpisném rozložení expozic podle jednotlivých zemí, jakož i souhrnně na celkové úrovni, podle šablony 9 přílohy I a v souladu s pokyny části II bodu 3.4 přílohy II. Pokud jde o informace uvedené zejména v šablonách 9.1 a 9.2, informace o zeměpisném rozložení expozic podle jednotlivých zemí se vykazují, jsou-li původní zahraniční expozice ve všech „zahraničních“ zemích ve všech kategoriích expozic vykázané v řádku 850 šablony 4 přílohy I rovny 10 % nebo vyšší než u všech původních tuzemských a zahraničních expozic vykázaných v řádku 860 šablony 4 přílohy I. Expozice jsou pro tento účel považovány za tuzemské tehdy, jedná-li se o expozice vůči protistranám sídlícím v členském státě, ve kterém sídlí daná instituce. Použijí se zahajovací a ukončovací kritéria podle článku 4;“;</w:t>
      </w:r>
    </w:p>
    <w:p w:rsidR="00075C77" w:rsidRPr="00032DB8" w:rsidRDefault="008F3946" w:rsidP="00BC47EF">
      <w:pPr>
        <w:pStyle w:val="Point1"/>
        <w:rPr>
          <w:noProof/>
        </w:rPr>
      </w:pPr>
      <w:r w:rsidRPr="00032DB8">
        <w:t xml:space="preserve">ii) </w:t>
      </w:r>
      <w:r w:rsidRPr="00032DB8">
        <w:tab/>
        <w:t>doplňuje se nový odstavec 12), který zní:</w:t>
      </w:r>
    </w:p>
    <w:p w:rsidR="00075C77" w:rsidRPr="00032DB8" w:rsidRDefault="00EA38CD" w:rsidP="00C34F30">
      <w:pPr>
        <w:pStyle w:val="Text2"/>
        <w:rPr>
          <w:noProof/>
        </w:rPr>
      </w:pPr>
      <w:r w:rsidRPr="00032DB8">
        <w:t>„12.</w:t>
      </w:r>
      <w:r w:rsidRPr="00032DB8">
        <w:tab/>
        <w:t>„informace o obezřetném oceňování podle šablony 32 přílohy I v souladu s pokyny v části II bodě 6 přílohy II takto:</w:t>
      </w:r>
    </w:p>
    <w:p w:rsidR="00075C77" w:rsidRPr="00032DB8" w:rsidRDefault="008D3748" w:rsidP="00BC47EF">
      <w:pPr>
        <w:pStyle w:val="Text4"/>
        <w:rPr>
          <w:noProof/>
        </w:rPr>
      </w:pPr>
      <w:r w:rsidRPr="00032DB8">
        <w:t>i) všechny instituce vykazují informace podle šablony 32.1 přílohy I v souladu s pokyny v části II bodě 6 přílohy II:</w:t>
      </w:r>
    </w:p>
    <w:p w:rsidR="00075C77" w:rsidRPr="00032DB8" w:rsidRDefault="008D3748" w:rsidP="00BC47EF">
      <w:pPr>
        <w:pStyle w:val="Text4"/>
        <w:rPr>
          <w:noProof/>
        </w:rPr>
      </w:pPr>
      <w:r w:rsidRPr="00032DB8">
        <w:t>ii) vedle vykazování uvedeného v bodě i) instituce, které uplatňují základní přístup podle nařízení (EU) 2016/101, rovněž vykazují informace uvedené v šabloně 32.2 přílohy I v souladu s pokyny v části II bodu 6 přílohy II;</w:t>
      </w:r>
    </w:p>
    <w:p w:rsidR="00075C77" w:rsidRPr="00032DB8" w:rsidRDefault="008D3748" w:rsidP="00BC47EF">
      <w:pPr>
        <w:pStyle w:val="Text4"/>
        <w:rPr>
          <w:noProof/>
        </w:rPr>
      </w:pPr>
      <w:r w:rsidRPr="00032DB8">
        <w:t>iii) vedle požadavků uvedených v bodech i) a ii) instituce, které uplatňují základní přístup podle nařízení (EU) 2016/101 a které přesahují práh uvedený v čl. 4 odst. 1 uvedeného nařízení na své příslušné úrovni vykazování, také vykazují informace uvedené v šablonách 32.3 a 32.4 přílohy I v souladu s pokyny v části II bodu 6 přílohy II.</w:t>
      </w:r>
    </w:p>
    <w:p w:rsidR="00075C77" w:rsidRPr="00032DB8" w:rsidRDefault="00591517" w:rsidP="00703993">
      <w:pPr>
        <w:pStyle w:val="Text2"/>
        <w:rPr>
          <w:noProof/>
        </w:rPr>
      </w:pPr>
      <w:r w:rsidRPr="00032DB8">
        <w:t>Pro účely odst. 12 písm. a) se neuplatňují zahajovací a ukončovací kritéria podle článku 4.“;</w:t>
      </w:r>
    </w:p>
    <w:p w:rsidR="00591517" w:rsidRPr="00032DB8" w:rsidRDefault="002901D9" w:rsidP="002901D9">
      <w:pPr>
        <w:pStyle w:val="Point1"/>
        <w:rPr>
          <w:noProof/>
        </w:rPr>
      </w:pPr>
      <w:r w:rsidRPr="002901D9">
        <w:t>b)</w:t>
      </w:r>
      <w:r w:rsidRPr="002901D9">
        <w:tab/>
      </w:r>
      <w:r w:rsidR="00591517" w:rsidRPr="00032DB8">
        <w:t>písmeno b) se mění takto:</w:t>
      </w:r>
    </w:p>
    <w:p w:rsidR="00075C77" w:rsidRPr="00032DB8" w:rsidRDefault="00075C77" w:rsidP="00BC47EF">
      <w:pPr>
        <w:pStyle w:val="Text1"/>
        <w:rPr>
          <w:noProof/>
        </w:rPr>
      </w:pPr>
      <w:r w:rsidRPr="00032DB8">
        <w:t>V odst. 3) písm. a), b) a c) se slova „části II bodu 6 přílohy II“ nahrazují slovy „ části II bodu 7 přílohy II“;</w:t>
      </w:r>
    </w:p>
    <w:p w:rsidR="00075C77" w:rsidRPr="00032DB8" w:rsidRDefault="002901D9" w:rsidP="002901D9">
      <w:pPr>
        <w:pStyle w:val="Point0"/>
        <w:rPr>
          <w:noProof/>
        </w:rPr>
      </w:pPr>
      <w:r w:rsidRPr="002901D9">
        <w:t>2)</w:t>
      </w:r>
      <w:r w:rsidRPr="002901D9">
        <w:tab/>
      </w:r>
      <w:r w:rsidR="00FA5963" w:rsidRPr="00032DB8">
        <w:t>V čl. 9 odst. 2 se písmeno d) nahrazuje tímto:</w:t>
      </w:r>
    </w:p>
    <w:p w:rsidR="00075C77" w:rsidRPr="00032DB8" w:rsidRDefault="00EA38CD" w:rsidP="00C34F30">
      <w:pPr>
        <w:pStyle w:val="Text1"/>
        <w:rPr>
          <w:noProof/>
        </w:rPr>
      </w:pPr>
      <w:r w:rsidRPr="00032DB8">
        <w:t>„d)</w:t>
      </w:r>
      <w:r w:rsidRPr="00032DB8">
        <w:tab/>
        <w:t>informace uvedené v šabloně 20 v části 2 přílohy III se čtvrtletní periodicitou, pokud instituce překračuje prahovou hodnotu vymezenou v čl. 5 písm. a) odst. 4 druhé větě. Použijí se zahajovací a ukončovací kritéria podle článku 4;“.</w:t>
      </w:r>
    </w:p>
    <w:p w:rsidR="00075C77" w:rsidRPr="00032DB8" w:rsidRDefault="002901D9" w:rsidP="002901D9">
      <w:pPr>
        <w:pStyle w:val="Point0"/>
        <w:rPr>
          <w:noProof/>
        </w:rPr>
      </w:pPr>
      <w:r w:rsidRPr="002901D9">
        <w:t>3)</w:t>
      </w:r>
      <w:r w:rsidRPr="002901D9">
        <w:tab/>
      </w:r>
      <w:r w:rsidR="00075C77" w:rsidRPr="00032DB8">
        <w:t xml:space="preserve">Příloha I prováděcího nařízení (EU) č. 680/2014 se nahrazuje zněním uvedeným v příloze I tohoto nařízení. </w:t>
      </w:r>
    </w:p>
    <w:p w:rsidR="00075C77" w:rsidRPr="00032DB8" w:rsidRDefault="002901D9" w:rsidP="002901D9">
      <w:pPr>
        <w:pStyle w:val="Point0"/>
        <w:rPr>
          <w:noProof/>
        </w:rPr>
      </w:pPr>
      <w:r w:rsidRPr="002901D9">
        <w:t>4)</w:t>
      </w:r>
      <w:r w:rsidRPr="002901D9">
        <w:tab/>
      </w:r>
      <w:r w:rsidR="00075C77" w:rsidRPr="00032DB8">
        <w:t xml:space="preserve">Příloha II prováděcího nařízení (EU) č. 680/2014 se nahrazuje zněním uvedeným v příloze II tohoto nařízení. </w:t>
      </w:r>
    </w:p>
    <w:p w:rsidR="00075C77" w:rsidRPr="00032DB8" w:rsidRDefault="002901D9" w:rsidP="002901D9">
      <w:pPr>
        <w:pStyle w:val="Point0"/>
        <w:rPr>
          <w:noProof/>
        </w:rPr>
      </w:pPr>
      <w:r w:rsidRPr="002901D9">
        <w:t>5)</w:t>
      </w:r>
      <w:r w:rsidRPr="002901D9">
        <w:tab/>
      </w:r>
      <w:r w:rsidR="00075C77" w:rsidRPr="00032DB8">
        <w:t>Příloha V prováděcího nařízení (EU) č. 680/2014 se nahrazuje zněním uvedeným v příloze III tohoto nařízení.</w:t>
      </w:r>
    </w:p>
    <w:p w:rsidR="00075C77" w:rsidRPr="00032DB8" w:rsidRDefault="002901D9" w:rsidP="002901D9">
      <w:pPr>
        <w:pStyle w:val="Point0"/>
        <w:rPr>
          <w:noProof/>
        </w:rPr>
      </w:pPr>
      <w:r w:rsidRPr="002901D9">
        <w:t>6)</w:t>
      </w:r>
      <w:r w:rsidRPr="002901D9">
        <w:tab/>
      </w:r>
      <w:r w:rsidR="00075C77" w:rsidRPr="00032DB8">
        <w:t>Příloha IX prováděcího nařízení (EU) č. 680/2014 se nahrazuje zněním uvedeným v příloze IV tohoto nařízení.</w:t>
      </w:r>
    </w:p>
    <w:p w:rsidR="00075C77" w:rsidRPr="00032DB8" w:rsidRDefault="002901D9" w:rsidP="002901D9">
      <w:pPr>
        <w:pStyle w:val="Point0"/>
        <w:rPr>
          <w:noProof/>
        </w:rPr>
      </w:pPr>
      <w:r w:rsidRPr="002901D9">
        <w:t>7)</w:t>
      </w:r>
      <w:r w:rsidRPr="002901D9">
        <w:tab/>
      </w:r>
      <w:r w:rsidR="00075C77" w:rsidRPr="00032DB8">
        <w:t>Příloha XI prováděcího nařízení (EU) č. 680/2014 se nahrazuje zněním uvedeným v příloze V tohoto nařízení.</w:t>
      </w:r>
    </w:p>
    <w:p w:rsidR="00075C77" w:rsidRPr="00032DB8" w:rsidRDefault="002901D9" w:rsidP="002901D9">
      <w:pPr>
        <w:pStyle w:val="Point0"/>
        <w:rPr>
          <w:noProof/>
        </w:rPr>
      </w:pPr>
      <w:r w:rsidRPr="002901D9">
        <w:t>8)</w:t>
      </w:r>
      <w:r w:rsidRPr="002901D9">
        <w:tab/>
      </w:r>
      <w:r w:rsidR="00075C77" w:rsidRPr="00032DB8">
        <w:t>Příloha XVI prováděcího nařízení (EU) č. 680/2014 se nahrazuje přílohou VI tohoto nařízení.</w:t>
      </w:r>
    </w:p>
    <w:p w:rsidR="00075C77" w:rsidRPr="00032DB8" w:rsidRDefault="002901D9" w:rsidP="002901D9">
      <w:pPr>
        <w:pStyle w:val="Point0"/>
        <w:rPr>
          <w:noProof/>
        </w:rPr>
      </w:pPr>
      <w:r w:rsidRPr="002901D9">
        <w:t>9)</w:t>
      </w:r>
      <w:r w:rsidRPr="002901D9">
        <w:tab/>
      </w:r>
      <w:r w:rsidR="00075C77" w:rsidRPr="00032DB8">
        <w:t>Příloha XIX prováděcího nařízení (EU) č. 680/2014 se nahrazuje zněním uvedeným v příloze VII tohoto nařízení.</w:t>
      </w:r>
    </w:p>
    <w:p w:rsidR="00075C77" w:rsidRPr="00032DB8" w:rsidRDefault="002901D9" w:rsidP="002901D9">
      <w:pPr>
        <w:pStyle w:val="Point0"/>
        <w:rPr>
          <w:noProof/>
        </w:rPr>
      </w:pPr>
      <w:r w:rsidRPr="002901D9">
        <w:t>10)</w:t>
      </w:r>
      <w:r w:rsidRPr="002901D9">
        <w:tab/>
      </w:r>
      <w:r w:rsidR="00075C77" w:rsidRPr="00032DB8">
        <w:t>Příloha XXI prováděcího nařízení (EU) č. 680/2014 se nahrazuje zněním uvedeným v příloze VIII tohoto nařízení.</w:t>
      </w:r>
    </w:p>
    <w:p w:rsidR="00075C77" w:rsidRPr="00032DB8" w:rsidRDefault="002901D9" w:rsidP="002901D9">
      <w:pPr>
        <w:pStyle w:val="Point0"/>
        <w:rPr>
          <w:noProof/>
        </w:rPr>
      </w:pPr>
      <w:r w:rsidRPr="002901D9">
        <w:t>11)</w:t>
      </w:r>
      <w:r w:rsidRPr="002901D9">
        <w:tab/>
      </w:r>
      <w:r w:rsidR="00075C77" w:rsidRPr="00032DB8">
        <w:t>Příloha XXII prováděcího nařízení (EU) č. 680/2014 se nahrazuje zněním uvedeným v příloze IX tohoto nařízení.</w:t>
      </w:r>
    </w:p>
    <w:p w:rsidR="00075C77" w:rsidRPr="00032DB8" w:rsidRDefault="002901D9" w:rsidP="002901D9">
      <w:pPr>
        <w:pStyle w:val="Point0"/>
      </w:pPr>
      <w:r w:rsidRPr="002901D9">
        <w:t>12)</w:t>
      </w:r>
      <w:r w:rsidRPr="002901D9">
        <w:tab/>
      </w:r>
      <w:r w:rsidR="00075C77" w:rsidRPr="00032DB8">
        <w:t>Příloha XXIII prováděcího nařízení (EU) č. 680/2014 se nahrazuje zněním uvedeným v příloze X tohoto nařízení.</w:t>
      </w:r>
    </w:p>
    <w:p w:rsidR="00075C77" w:rsidRPr="00032DB8" w:rsidRDefault="00075C77" w:rsidP="004E1EF9">
      <w:pPr>
        <w:pStyle w:val="Titrearticle"/>
      </w:pPr>
      <w:r w:rsidRPr="00032DB8">
        <w:t>Článek 2</w:t>
      </w:r>
    </w:p>
    <w:p w:rsidR="00075C77" w:rsidRPr="00032DB8" w:rsidRDefault="00075C77" w:rsidP="004E1EF9">
      <w:r w:rsidRPr="00032DB8">
        <w:t>Toto nařízení vstupuje v platnost</w:t>
      </w:r>
      <w:r w:rsidRPr="00032DB8">
        <w:rPr>
          <w:noProof/>
          <w:color w:val="000000"/>
        </w:rPr>
        <w:t xml:space="preserve"> dvacátým</w:t>
      </w:r>
      <w:r w:rsidRPr="00032DB8">
        <w:t xml:space="preserve"> dnem po vyhlášení v </w:t>
      </w:r>
      <w:r w:rsidRPr="00032DB8">
        <w:rPr>
          <w:i/>
        </w:rPr>
        <w:t>Úředním věstníku Evropské unie</w:t>
      </w:r>
      <w:r w:rsidRPr="00032DB8">
        <w:t>.</w:t>
      </w:r>
    </w:p>
    <w:p w:rsidR="00075C77" w:rsidRPr="00032DB8" w:rsidRDefault="00075C77" w:rsidP="004E1EF9">
      <w:r w:rsidRPr="00032DB8">
        <w:t>Použije se ode dne 1. prosince 2018.</w:t>
      </w:r>
    </w:p>
    <w:p w:rsidR="00075C77" w:rsidRPr="00032DB8" w:rsidRDefault="00075C77" w:rsidP="004E1EF9">
      <w:pPr>
        <w:pStyle w:val="Applicationdirecte"/>
      </w:pPr>
      <w:r w:rsidRPr="00032DB8">
        <w:t>Toto nařízení je závazné v celém rozsahu a přímo použitelné ve všech členských státech.</w:t>
      </w:r>
    </w:p>
    <w:p w:rsidR="00075C77" w:rsidRPr="00032DB8" w:rsidRDefault="00032DB8" w:rsidP="00032DB8">
      <w:pPr>
        <w:pStyle w:val="Fait"/>
      </w:pPr>
      <w:r w:rsidRPr="00032DB8">
        <w:t>V Bruselu dne</w:t>
      </w:r>
    </w:p>
    <w:p w:rsidR="00C52F7E" w:rsidRPr="00032DB8" w:rsidRDefault="00075C77" w:rsidP="00C52F7E">
      <w:pPr>
        <w:pStyle w:val="Institutionquisigne"/>
      </w:pPr>
      <w:r w:rsidRPr="00032DB8">
        <w:tab/>
        <w:t>Za Komisi</w:t>
      </w:r>
    </w:p>
    <w:p w:rsidR="00C52F7E" w:rsidRPr="00032DB8" w:rsidRDefault="00C52F7E" w:rsidP="00B44BBC">
      <w:pPr>
        <w:pStyle w:val="Personnequisigne"/>
      </w:pPr>
      <w:r w:rsidRPr="00032DB8">
        <w:tab/>
        <w:t>předseda</w:t>
      </w:r>
    </w:p>
    <w:p w:rsidR="00075C77" w:rsidRPr="00032DB8" w:rsidRDefault="00C52F7E" w:rsidP="00B44BBC">
      <w:pPr>
        <w:pStyle w:val="Personnequisigne"/>
      </w:pPr>
      <w:r w:rsidRPr="00032DB8">
        <w:tab/>
        <w:t>Jean-Claude JUNCKER</w:t>
      </w:r>
      <w:r w:rsidRPr="00032DB8">
        <w:tab/>
      </w:r>
      <w:r w:rsidRPr="00032DB8">
        <w:br/>
      </w:r>
      <w:r w:rsidRPr="00032DB8">
        <w:tab/>
      </w:r>
      <w:r w:rsidRPr="00032DB8">
        <w:br/>
      </w:r>
    </w:p>
    <w:sectPr w:rsidR="00075C77" w:rsidRPr="00032DB8" w:rsidSect="004966D3">
      <w:footerReference w:type="default" r:id="rId16"/>
      <w:footerReference w:type="first" r:id="rId17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546" w:rsidRDefault="00C72546" w:rsidP="00075C77">
      <w:pPr>
        <w:spacing w:before="0" w:after="0"/>
      </w:pPr>
      <w:r>
        <w:separator/>
      </w:r>
    </w:p>
  </w:endnote>
  <w:endnote w:type="continuationSeparator" w:id="0">
    <w:p w:rsidR="00C72546" w:rsidRDefault="00C72546" w:rsidP="00075C77">
      <w:pPr>
        <w:spacing w:before="0" w:after="0"/>
      </w:pPr>
      <w:r>
        <w:continuationSeparator/>
      </w:r>
    </w:p>
  </w:endnote>
  <w:endnote w:type="continuationNotice" w:id="1">
    <w:p w:rsidR="00C72546" w:rsidRDefault="00C7254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6D3" w:rsidRPr="004966D3" w:rsidRDefault="004966D3" w:rsidP="004966D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490" w:rsidRPr="004966D3" w:rsidRDefault="004966D3" w:rsidP="004966D3">
    <w:pPr>
      <w:pStyle w:val="Footer"/>
      <w:rPr>
        <w:rFonts w:ascii="Arial" w:hAnsi="Arial" w:cs="Arial"/>
        <w:b/>
        <w:sz w:val="48"/>
      </w:rPr>
    </w:pPr>
    <w:r w:rsidRPr="004966D3">
      <w:rPr>
        <w:rFonts w:ascii="Arial" w:hAnsi="Arial" w:cs="Arial"/>
        <w:b/>
        <w:sz w:val="48"/>
      </w:rPr>
      <w:t>CS</w:t>
    </w:r>
    <w:r w:rsidRPr="004966D3">
      <w:rPr>
        <w:rFonts w:ascii="Arial" w:hAnsi="Arial" w:cs="Arial"/>
        <w:b/>
        <w:sz w:val="48"/>
      </w:rPr>
      <w:tab/>
    </w:r>
    <w:r w:rsidRPr="004966D3">
      <w:rPr>
        <w:rFonts w:ascii="Arial" w:hAnsi="Arial" w:cs="Arial"/>
        <w:b/>
        <w:sz w:val="48"/>
      </w:rPr>
      <w:tab/>
    </w:r>
    <w:r w:rsidRPr="004966D3">
      <w:tab/>
    </w:r>
    <w:r w:rsidRPr="004966D3">
      <w:rPr>
        <w:rFonts w:ascii="Arial" w:hAnsi="Arial" w:cs="Arial"/>
        <w:b/>
        <w:sz w:val="48"/>
      </w:rPr>
      <w:t>CS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6D3" w:rsidRPr="004966D3" w:rsidRDefault="004966D3" w:rsidP="004966D3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6D3" w:rsidRPr="004966D3" w:rsidRDefault="004966D3" w:rsidP="004966D3">
    <w:pPr>
      <w:pStyle w:val="Footer"/>
      <w:rPr>
        <w:rFonts w:ascii="Arial" w:hAnsi="Arial" w:cs="Arial"/>
        <w:b/>
        <w:sz w:val="48"/>
      </w:rPr>
    </w:pPr>
    <w:r w:rsidRPr="004966D3">
      <w:rPr>
        <w:rFonts w:ascii="Arial" w:hAnsi="Arial" w:cs="Arial"/>
        <w:b/>
        <w:sz w:val="48"/>
      </w:rPr>
      <w:t>CS</w:t>
    </w:r>
    <w:r w:rsidRPr="004966D3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0</w:t>
    </w:r>
    <w:r>
      <w:fldChar w:fldCharType="end"/>
    </w:r>
    <w:r>
      <w:tab/>
    </w:r>
    <w:r w:rsidRPr="004966D3">
      <w:tab/>
    </w:r>
    <w:r w:rsidRPr="004966D3">
      <w:rPr>
        <w:rFonts w:ascii="Arial" w:hAnsi="Arial" w:cs="Arial"/>
        <w:b/>
        <w:sz w:val="48"/>
      </w:rPr>
      <w:t>CS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6D3" w:rsidRPr="004966D3" w:rsidRDefault="004966D3" w:rsidP="004966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546" w:rsidRDefault="00C72546" w:rsidP="00075C77">
      <w:pPr>
        <w:spacing w:before="0" w:after="0"/>
      </w:pPr>
      <w:r>
        <w:separator/>
      </w:r>
    </w:p>
  </w:footnote>
  <w:footnote w:type="continuationSeparator" w:id="0">
    <w:p w:rsidR="00C72546" w:rsidRDefault="00C72546" w:rsidP="00075C77">
      <w:pPr>
        <w:spacing w:before="0" w:after="0"/>
      </w:pPr>
      <w:r>
        <w:continuationSeparator/>
      </w:r>
    </w:p>
  </w:footnote>
  <w:footnote w:type="continuationNotice" w:id="1">
    <w:p w:rsidR="00C72546" w:rsidRDefault="00C72546">
      <w:pPr>
        <w:spacing w:before="0" w:after="0"/>
      </w:pPr>
    </w:p>
  </w:footnote>
  <w:footnote w:id="2">
    <w:p w:rsidR="00075C77" w:rsidRDefault="00075C77" w:rsidP="00075C77">
      <w:pPr>
        <w:pStyle w:val="FootnoteText"/>
      </w:pPr>
      <w:r>
        <w:rPr>
          <w:rStyle w:val="FootnoteReference"/>
        </w:rPr>
        <w:footnoteRef/>
      </w:r>
      <w:r>
        <w:tab/>
        <w:t>Úř. věst. L 176, 27.6.2013, s. 1.</w:t>
      </w:r>
    </w:p>
  </w:footnote>
  <w:footnote w:id="3">
    <w:p w:rsidR="00075C77" w:rsidRDefault="00075C77" w:rsidP="00075C77">
      <w:pPr>
        <w:pStyle w:val="FootnoteText"/>
      </w:pPr>
      <w:r>
        <w:rPr>
          <w:rStyle w:val="FootnoteReference"/>
        </w:rPr>
        <w:footnoteRef/>
      </w:r>
      <w:r>
        <w:tab/>
        <w:t>Prováděcí nařízení Komise (EU) č. 680/2014, kterým se stanoví prováděcí technické normy, pokud jde o podávání zpráv institucí pro účely dohledu podle nařízení (EU) č. 575/2013 (Úř. věst. L 191, 28.6.2014, s. 1).</w:t>
      </w:r>
    </w:p>
  </w:footnote>
  <w:footnote w:id="4">
    <w:p w:rsidR="00075C77" w:rsidRDefault="00075C77" w:rsidP="00075C77">
      <w:pPr>
        <w:pStyle w:val="FootnoteText"/>
      </w:pPr>
      <w:r>
        <w:rPr>
          <w:rStyle w:val="FootnoteReference"/>
        </w:rPr>
        <w:footnoteRef/>
      </w:r>
      <w:r>
        <w:tab/>
        <w:t>Nařízení Komise v přenesené pravomoci (EU) 2016/101 ze dne 26. října 2015, kterým se doplňuje nařízení Evropského parlamentu a Rady (EU) č. 575/2013, pokud jde o regulační technické normy ohledně obezřetného oceňování podle čl. 105 odst. 14 (Úř. věst. L 21, 28.1.2016, s. 54).</w:t>
      </w:r>
    </w:p>
  </w:footnote>
  <w:footnote w:id="5">
    <w:p w:rsidR="00075C77" w:rsidRDefault="00075C77" w:rsidP="00075C77">
      <w:pPr>
        <w:pStyle w:val="FootnoteText"/>
      </w:pPr>
      <w:r>
        <w:rPr>
          <w:rStyle w:val="FootnoteReference"/>
        </w:rPr>
        <w:footnoteRef/>
      </w:r>
      <w:r>
        <w:tab/>
        <w:t>Nařízení Evropského parlamentu a Rady (EU) 2017/2401 ze dne 12. prosince 2017, kterým se mění nařízení (EU) č. 575/2013 o obezřetnostních požadavcích na úvěrové instituce a investiční podniky (Úř. věst. L 347, 28.12.2017, s. 1).</w:t>
      </w:r>
    </w:p>
  </w:footnote>
  <w:footnote w:id="6">
    <w:p w:rsidR="00075C77" w:rsidRDefault="00075C77" w:rsidP="00075C77">
      <w:pPr>
        <w:pStyle w:val="FootnoteText"/>
      </w:pPr>
      <w:r>
        <w:rPr>
          <w:rStyle w:val="FootnoteReference"/>
        </w:rPr>
        <w:footnoteRef/>
      </w:r>
      <w:r>
        <w:tab/>
        <w:t>Nařízení Evropského parlamentu a Rady (EU) č. 1093/2010 ze dne 24. listopadu 2010 o zřízení Evropského orgánu dohledu (Evropského orgánu pro bankovnictví), o změně rozhodnutí č. 716/2009/ES a o zrušení rozhodnutí Komise 2009/78/ES (Úř. věst. L 331, 15.12.2010, s. 12).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6D3" w:rsidRPr="004966D3" w:rsidRDefault="004966D3" w:rsidP="004966D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6D3" w:rsidRPr="004966D3" w:rsidRDefault="004966D3" w:rsidP="004966D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6D3" w:rsidRPr="004966D3" w:rsidRDefault="004966D3" w:rsidP="004966D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4CB058C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E3F2410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02C6A41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1"/>
    <w:multiLevelType w:val="singleLevel"/>
    <w:tmpl w:val="723AA59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2"/>
    <w:multiLevelType w:val="singleLevel"/>
    <w:tmpl w:val="3356B93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FFFFFF83"/>
    <w:multiLevelType w:val="singleLevel"/>
    <w:tmpl w:val="0D445FA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E186842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89"/>
    <w:multiLevelType w:val="singleLevel"/>
    <w:tmpl w:val="2C1EE99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6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7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8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1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21"/>
    <w:lvlOverride w:ilvl="0">
      <w:startOverride w:val="1"/>
    </w:lvlOverride>
  </w:num>
  <w:num w:numId="2">
    <w:abstractNumId w:val="0"/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18"/>
  </w:num>
  <w:num w:numId="11">
    <w:abstractNumId w:val="12"/>
  </w:num>
  <w:num w:numId="12">
    <w:abstractNumId w:val="20"/>
  </w:num>
  <w:num w:numId="13">
    <w:abstractNumId w:val="11"/>
  </w:num>
  <w:num w:numId="14">
    <w:abstractNumId w:val="13"/>
  </w:num>
  <w:num w:numId="15">
    <w:abstractNumId w:val="9"/>
  </w:num>
  <w:num w:numId="16">
    <w:abstractNumId w:val="19"/>
  </w:num>
  <w:num w:numId="17">
    <w:abstractNumId w:val="8"/>
  </w:num>
  <w:num w:numId="18">
    <w:abstractNumId w:val="14"/>
  </w:num>
  <w:num w:numId="19">
    <w:abstractNumId w:val="16"/>
  </w:num>
  <w:num w:numId="20">
    <w:abstractNumId w:val="17"/>
  </w:num>
  <w:num w:numId="21">
    <w:abstractNumId w:val="10"/>
  </w:num>
  <w:num w:numId="22">
    <w:abstractNumId w:val="15"/>
  </w:num>
  <w:num w:numId="23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210"/>
  <w:attachedTemplate r:id="rId1"/>
  <w:defaultTabStop w:val="720"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QCDateTime" w:val="2018-09-20 10:20:50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InvalidFootnotes" w:val="0;0"/>
    <w:docVar w:name="DQCResult_LinkedStyles" w:val="0;0"/>
    <w:docVar w:name="DQCResult_ModifiedMargins" w:val="0;0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2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COVERPAGE_EXISTS" w:val="True"/>
    <w:docVar w:name="LW_COVERPAGE_GUID" w:val="BCA42CA0-1A16-48DE-926B-F1F2A777A292"/>
    <w:docVar w:name="LW_COVERPAGE_TYPE" w:val="1"/>
    <w:docVar w:name="LW_CROSSREFERENCE" w:val="&lt;UNUSED&gt;"/>
    <w:docVar w:name="LW_DATE.ADOPT.CP" w:val="ze dne XXX,"/>
    <w:docVar w:name="LW_DATE.ADOPT.CP_DATEFORMAT" w:val="ze dne %DATE%,"/>
    <w:docVar w:name="LW_DATE.ADOPT.CP_ISODATE" w:val="&lt;EMPTY&gt;"/>
    <w:docVar w:name="LW_DocType" w:val="COM"/>
    <w:docVar w:name="LW_EMISSION" w:val="&lt;EMPTY&gt;"/>
    <w:docVar w:name="LW_EMISSION_ISODATE" w:val="&lt;EMPTY&gt;"/>
    <w:docVar w:name="LW_EMISSION_LOCATION" w:val="BRX"/>
    <w:docVar w:name="LW_EMISSION_PREFIX" w:val="V Bruselu dne "/>
    <w:docVar w:name="LW_EMISSION_SUFFIX" w:val="&lt;EMPTY&gt;"/>
    <w:docVar w:name="LW_ID_DOCMODEL" w:val="SJ-004"/>
    <w:docVar w:name="LW_ID_DOCSIGNATURE" w:val="SJ-004"/>
    <w:docVar w:name="LW_ID_DOCSTRUCTURE" w:val="COM/AA"/>
    <w:docVar w:name="LW_ID_DOCTYPE" w:val="SJ-004"/>
    <w:docVar w:name="LW_INTERETEEE.CP" w:val="(Text s významem pro EHP)"/>
    <w:docVar w:name="LW_LANGUE" w:val="CS"/>
    <w:docVar w:name="LW_LANGUESFAISANTFOI.CP" w:val="&lt;UNUSED&gt;"/>
    <w:docVar w:name="LW_LEVEL_OF_SENSITIVITY" w:val="Standard treatment"/>
    <w:docVar w:name="LW_NOM.INST" w:val="EVROPSKÁ KOMISE"/>
    <w:docVar w:name="LW_NOM.INST_JOINTDOC" w:val="&lt;EMPTY&gt;"/>
    <w:docVar w:name="LW_PART_NBR" w:val="1"/>
    <w:docVar w:name="LW_PART_NBR_TOTAL" w:val="1"/>
    <w:docVar w:name="LW_REF.INST.NEW" w:val="&lt;EMPTY&gt;"/>
    <w:docVar w:name="LW_REF.INST.NEW_ADOPTED" w:val="draft"/>
    <w:docVar w:name="LW_REF.INST.NEW_TEXT" w:val="(2018) XXX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 xsi:nil=&quot;true&quot; /&gt;_x000d__x000a_  &lt;limited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footnote xsi:nil=&quot;true&quot; /&gt;_x000d__x000a_  &lt;isRestricted&gt;false&lt;/isRestricted&gt;_x000d__x000a_&lt;/SensitivityLevel&gt;"/>
    <w:docVar w:name="LW_SUPERTITRE" w:val="&lt;UNUSED&gt;"/>
    <w:docVar w:name="LW_TITRE.OBJ.CP" w:val="kterým se m\u283?ní provád\u283?cí na\u345?ízení (EU) \u269?. 680/2014, pokud jde o obez\u345?etné oce\u328?ování pro podávání zpráv v oblasti dohledu"/>
    <w:docVar w:name="LW_TYPE.DOC.CP" w:val="PROVÁD\u282?CÍ NA\u344?ÍZENÍ KOMISE (EU) \u8230?/..."/>
  </w:docVars>
  <w:rsids>
    <w:rsidRoot w:val="00075C77"/>
    <w:rsid w:val="000057D4"/>
    <w:rsid w:val="000059F6"/>
    <w:rsid w:val="00032DB8"/>
    <w:rsid w:val="00045213"/>
    <w:rsid w:val="00050818"/>
    <w:rsid w:val="00054D77"/>
    <w:rsid w:val="00075C77"/>
    <w:rsid w:val="000B1896"/>
    <w:rsid w:val="000B6375"/>
    <w:rsid w:val="000D4A87"/>
    <w:rsid w:val="000E01B6"/>
    <w:rsid w:val="00114009"/>
    <w:rsid w:val="0011702C"/>
    <w:rsid w:val="00153178"/>
    <w:rsid w:val="0017561F"/>
    <w:rsid w:val="00183733"/>
    <w:rsid w:val="00187556"/>
    <w:rsid w:val="00195568"/>
    <w:rsid w:val="001B4957"/>
    <w:rsid w:val="001B7B9B"/>
    <w:rsid w:val="001D5ED6"/>
    <w:rsid w:val="0021262B"/>
    <w:rsid w:val="002368E9"/>
    <w:rsid w:val="00245E42"/>
    <w:rsid w:val="00254390"/>
    <w:rsid w:val="00263B68"/>
    <w:rsid w:val="00270069"/>
    <w:rsid w:val="002901D9"/>
    <w:rsid w:val="002B2B93"/>
    <w:rsid w:val="002B7A5C"/>
    <w:rsid w:val="002C0C3E"/>
    <w:rsid w:val="002E30FD"/>
    <w:rsid w:val="002E476B"/>
    <w:rsid w:val="002F2F88"/>
    <w:rsid w:val="00316051"/>
    <w:rsid w:val="00322268"/>
    <w:rsid w:val="00337032"/>
    <w:rsid w:val="00345BFD"/>
    <w:rsid w:val="00352527"/>
    <w:rsid w:val="003805E1"/>
    <w:rsid w:val="003C1FB8"/>
    <w:rsid w:val="003C4B9E"/>
    <w:rsid w:val="003D0541"/>
    <w:rsid w:val="003D2AE0"/>
    <w:rsid w:val="003E1023"/>
    <w:rsid w:val="004739C1"/>
    <w:rsid w:val="00487658"/>
    <w:rsid w:val="0049485A"/>
    <w:rsid w:val="004966D3"/>
    <w:rsid w:val="004A2CE3"/>
    <w:rsid w:val="004B24D6"/>
    <w:rsid w:val="004D6264"/>
    <w:rsid w:val="004D64A2"/>
    <w:rsid w:val="004D69DD"/>
    <w:rsid w:val="004F6673"/>
    <w:rsid w:val="00550B8C"/>
    <w:rsid w:val="00556044"/>
    <w:rsid w:val="00591517"/>
    <w:rsid w:val="005D65B6"/>
    <w:rsid w:val="006063E0"/>
    <w:rsid w:val="00611636"/>
    <w:rsid w:val="00625966"/>
    <w:rsid w:val="0062608B"/>
    <w:rsid w:val="00626CF3"/>
    <w:rsid w:val="00635D8A"/>
    <w:rsid w:val="00644EC4"/>
    <w:rsid w:val="006572EF"/>
    <w:rsid w:val="00683624"/>
    <w:rsid w:val="00686C9B"/>
    <w:rsid w:val="00690FCA"/>
    <w:rsid w:val="00693969"/>
    <w:rsid w:val="006B0779"/>
    <w:rsid w:val="006C1BB8"/>
    <w:rsid w:val="006C3766"/>
    <w:rsid w:val="006D4BD3"/>
    <w:rsid w:val="006E6DF9"/>
    <w:rsid w:val="00703993"/>
    <w:rsid w:val="007137E5"/>
    <w:rsid w:val="0076774F"/>
    <w:rsid w:val="0079753D"/>
    <w:rsid w:val="007A5482"/>
    <w:rsid w:val="007B6C11"/>
    <w:rsid w:val="007D178B"/>
    <w:rsid w:val="007E3D3C"/>
    <w:rsid w:val="007F22F0"/>
    <w:rsid w:val="007F7024"/>
    <w:rsid w:val="00832BE2"/>
    <w:rsid w:val="00843C38"/>
    <w:rsid w:val="008548F9"/>
    <w:rsid w:val="00856A5A"/>
    <w:rsid w:val="00861E33"/>
    <w:rsid w:val="00876EF2"/>
    <w:rsid w:val="00877878"/>
    <w:rsid w:val="008831F5"/>
    <w:rsid w:val="00886F23"/>
    <w:rsid w:val="00894D1D"/>
    <w:rsid w:val="00896C0C"/>
    <w:rsid w:val="008A4D11"/>
    <w:rsid w:val="008B38C4"/>
    <w:rsid w:val="008D3748"/>
    <w:rsid w:val="008F190E"/>
    <w:rsid w:val="008F3946"/>
    <w:rsid w:val="00907ADD"/>
    <w:rsid w:val="009214F1"/>
    <w:rsid w:val="00924BD6"/>
    <w:rsid w:val="00926443"/>
    <w:rsid w:val="00930743"/>
    <w:rsid w:val="00961998"/>
    <w:rsid w:val="009743F5"/>
    <w:rsid w:val="009848BD"/>
    <w:rsid w:val="009856E0"/>
    <w:rsid w:val="009A0F50"/>
    <w:rsid w:val="009A41B1"/>
    <w:rsid w:val="009A5117"/>
    <w:rsid w:val="009D1315"/>
    <w:rsid w:val="009D2666"/>
    <w:rsid w:val="00A011C2"/>
    <w:rsid w:val="00A44BB4"/>
    <w:rsid w:val="00A729A6"/>
    <w:rsid w:val="00A86D05"/>
    <w:rsid w:val="00A925D9"/>
    <w:rsid w:val="00A931EA"/>
    <w:rsid w:val="00A9549D"/>
    <w:rsid w:val="00AB57B6"/>
    <w:rsid w:val="00AB7C3D"/>
    <w:rsid w:val="00AE410E"/>
    <w:rsid w:val="00AF5D3B"/>
    <w:rsid w:val="00B356A6"/>
    <w:rsid w:val="00B37490"/>
    <w:rsid w:val="00B4358B"/>
    <w:rsid w:val="00B44BBC"/>
    <w:rsid w:val="00B6250D"/>
    <w:rsid w:val="00B8279F"/>
    <w:rsid w:val="00BB074E"/>
    <w:rsid w:val="00BC47EF"/>
    <w:rsid w:val="00BC5893"/>
    <w:rsid w:val="00BD6B06"/>
    <w:rsid w:val="00BD7EE1"/>
    <w:rsid w:val="00C34F30"/>
    <w:rsid w:val="00C3699D"/>
    <w:rsid w:val="00C36E0D"/>
    <w:rsid w:val="00C52F7E"/>
    <w:rsid w:val="00C7072E"/>
    <w:rsid w:val="00C72546"/>
    <w:rsid w:val="00C96B0B"/>
    <w:rsid w:val="00CC5469"/>
    <w:rsid w:val="00CE0EEF"/>
    <w:rsid w:val="00CE607F"/>
    <w:rsid w:val="00D0288C"/>
    <w:rsid w:val="00D07548"/>
    <w:rsid w:val="00D262BE"/>
    <w:rsid w:val="00D34F59"/>
    <w:rsid w:val="00D4733C"/>
    <w:rsid w:val="00D73215"/>
    <w:rsid w:val="00D826FC"/>
    <w:rsid w:val="00D87087"/>
    <w:rsid w:val="00DA1A91"/>
    <w:rsid w:val="00DA432F"/>
    <w:rsid w:val="00DB10A0"/>
    <w:rsid w:val="00DB10E3"/>
    <w:rsid w:val="00DD2DC1"/>
    <w:rsid w:val="00DE2170"/>
    <w:rsid w:val="00DF3CD5"/>
    <w:rsid w:val="00DF7E7B"/>
    <w:rsid w:val="00E041B8"/>
    <w:rsid w:val="00E16CC1"/>
    <w:rsid w:val="00E47203"/>
    <w:rsid w:val="00E85657"/>
    <w:rsid w:val="00EA38CD"/>
    <w:rsid w:val="00EA666D"/>
    <w:rsid w:val="00EC3C0C"/>
    <w:rsid w:val="00F1082F"/>
    <w:rsid w:val="00F16FEC"/>
    <w:rsid w:val="00F17515"/>
    <w:rsid w:val="00F2304B"/>
    <w:rsid w:val="00F23D69"/>
    <w:rsid w:val="00F351E1"/>
    <w:rsid w:val="00F37899"/>
    <w:rsid w:val="00F4523F"/>
    <w:rsid w:val="00F673EC"/>
    <w:rsid w:val="00F76AFA"/>
    <w:rsid w:val="00F847AC"/>
    <w:rsid w:val="00FA4EBB"/>
    <w:rsid w:val="00FA5963"/>
    <w:rsid w:val="00FB319D"/>
    <w:rsid w:val="00FC4E75"/>
    <w:rsid w:val="00FE50BF"/>
    <w:rsid w:val="00FE5C4A"/>
    <w:rsid w:val="00FE5CC0"/>
    <w:rsid w:val="00FF0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cs-CZ"/>
    </w:rPr>
  </w:style>
  <w:style w:type="paragraph" w:styleId="Heading1">
    <w:name w:val="heading 1"/>
    <w:basedOn w:val="Normal"/>
    <w:next w:val="Text1"/>
    <w:link w:val="Heading1Char"/>
    <w:uiPriority w:val="9"/>
    <w:qFormat/>
    <w:rsid w:val="00877878"/>
    <w:pPr>
      <w:keepNext/>
      <w:numPr>
        <w:numId w:val="16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877878"/>
    <w:pPr>
      <w:keepNext/>
      <w:numPr>
        <w:ilvl w:val="1"/>
        <w:numId w:val="16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877878"/>
    <w:pPr>
      <w:keepNext/>
      <w:numPr>
        <w:ilvl w:val="2"/>
        <w:numId w:val="16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877878"/>
    <w:pPr>
      <w:keepNext/>
      <w:numPr>
        <w:ilvl w:val="3"/>
        <w:numId w:val="16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Number4">
    <w:name w:val="List Number 4"/>
    <w:basedOn w:val="Normal"/>
    <w:rsid w:val="00075C77"/>
    <w:pPr>
      <w:numPr>
        <w:numId w:val="2"/>
      </w:numPr>
    </w:pPr>
    <w:rPr>
      <w:rFonts w:eastAsia="Times New Roman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E607F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CE607F"/>
    <w:pPr>
      <w:spacing w:after="0"/>
    </w:pPr>
  </w:style>
  <w:style w:type="paragraph" w:styleId="ListBullet">
    <w:name w:val="List Bullet"/>
    <w:basedOn w:val="Normal"/>
    <w:uiPriority w:val="99"/>
    <w:semiHidden/>
    <w:unhideWhenUsed/>
    <w:rsid w:val="00CE607F"/>
    <w:pPr>
      <w:numPr>
        <w:numId w:val="3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CE607F"/>
    <w:pPr>
      <w:numPr>
        <w:numId w:val="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E607F"/>
    <w:pPr>
      <w:numPr>
        <w:numId w:val="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CE607F"/>
    <w:pPr>
      <w:numPr>
        <w:numId w:val="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CE607F"/>
    <w:pPr>
      <w:numPr>
        <w:numId w:val="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CE607F"/>
    <w:pPr>
      <w:numPr>
        <w:numId w:val="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CE607F"/>
    <w:pPr>
      <w:numPr>
        <w:numId w:val="9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2C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2C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2CE3"/>
    <w:rPr>
      <w:rFonts w:ascii="Times New Roman" w:hAnsi="Times New Roman" w:cs="Times New Roman"/>
      <w:sz w:val="20"/>
      <w:szCs w:val="20"/>
      <w:lang w:val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2C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2CE3"/>
    <w:rPr>
      <w:rFonts w:ascii="Times New Roman" w:hAnsi="Times New Roman" w:cs="Times New Roman"/>
      <w:b/>
      <w:bCs/>
      <w:sz w:val="20"/>
      <w:szCs w:val="20"/>
      <w:lang w:val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CE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CE3"/>
    <w:rPr>
      <w:rFonts w:ascii="Segoe UI" w:hAnsi="Segoe UI" w:cs="Segoe UI"/>
      <w:sz w:val="18"/>
      <w:szCs w:val="18"/>
      <w:lang w:val="cs-CZ"/>
    </w:rPr>
  </w:style>
  <w:style w:type="character" w:styleId="Hyperlink">
    <w:name w:val="Hyperlink"/>
    <w:basedOn w:val="DefaultParagraphFont"/>
    <w:uiPriority w:val="99"/>
    <w:unhideWhenUsed/>
    <w:rsid w:val="004A2CE3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686C9B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77878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787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877878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787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77878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7878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877878"/>
    <w:rPr>
      <w:rFonts w:ascii="Times New Roman" w:eastAsiaTheme="majorEastAsia" w:hAnsi="Times New Roman" w:cs="Times New Roman"/>
      <w:b/>
      <w:bCs/>
      <w:smallCaps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7878"/>
    <w:rPr>
      <w:rFonts w:ascii="Times New Roman" w:eastAsiaTheme="majorEastAsia" w:hAnsi="Times New Roman" w:cs="Times New Roman"/>
      <w:b/>
      <w:bCs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7878"/>
    <w:rPr>
      <w:rFonts w:ascii="Times New Roman" w:eastAsiaTheme="majorEastAsia" w:hAnsi="Times New Roman" w:cs="Times New Roman"/>
      <w:bCs/>
      <w:i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7878"/>
    <w:rPr>
      <w:rFonts w:ascii="Times New Roman" w:eastAsiaTheme="majorEastAsia" w:hAnsi="Times New Roman" w:cs="Times New Roman"/>
      <w:bCs/>
      <w:iCs/>
      <w:sz w:val="24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877878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877878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877878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877878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877878"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87787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FooterSensitivity">
    <w:name w:val="Footer Sensitivity"/>
    <w:basedOn w:val="Normal"/>
    <w:rsid w:val="0087787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rsid w:val="00877878"/>
    <w:pPr>
      <w:ind w:left="850"/>
    </w:pPr>
  </w:style>
  <w:style w:type="paragraph" w:customStyle="1" w:styleId="Text2">
    <w:name w:val="Text 2"/>
    <w:basedOn w:val="Normal"/>
    <w:rsid w:val="00877878"/>
    <w:pPr>
      <w:ind w:left="1417"/>
    </w:pPr>
  </w:style>
  <w:style w:type="paragraph" w:customStyle="1" w:styleId="Text3">
    <w:name w:val="Text 3"/>
    <w:basedOn w:val="Normal"/>
    <w:rsid w:val="00877878"/>
    <w:pPr>
      <w:ind w:left="1984"/>
    </w:pPr>
  </w:style>
  <w:style w:type="paragraph" w:customStyle="1" w:styleId="Text4">
    <w:name w:val="Text 4"/>
    <w:basedOn w:val="Normal"/>
    <w:rsid w:val="00877878"/>
    <w:pPr>
      <w:ind w:left="2551"/>
    </w:pPr>
  </w:style>
  <w:style w:type="paragraph" w:customStyle="1" w:styleId="NormalCentered">
    <w:name w:val="Normal Centered"/>
    <w:basedOn w:val="Normal"/>
    <w:rsid w:val="00877878"/>
    <w:pPr>
      <w:jc w:val="center"/>
    </w:pPr>
  </w:style>
  <w:style w:type="paragraph" w:customStyle="1" w:styleId="NormalLeft">
    <w:name w:val="Normal Left"/>
    <w:basedOn w:val="Normal"/>
    <w:rsid w:val="00877878"/>
    <w:pPr>
      <w:jc w:val="left"/>
    </w:pPr>
  </w:style>
  <w:style w:type="paragraph" w:customStyle="1" w:styleId="NormalRight">
    <w:name w:val="Normal Right"/>
    <w:basedOn w:val="Normal"/>
    <w:rsid w:val="00877878"/>
    <w:pPr>
      <w:jc w:val="right"/>
    </w:pPr>
  </w:style>
  <w:style w:type="paragraph" w:customStyle="1" w:styleId="QuotedText">
    <w:name w:val="Quoted Text"/>
    <w:basedOn w:val="Normal"/>
    <w:rsid w:val="00877878"/>
    <w:pPr>
      <w:ind w:left="1417"/>
    </w:pPr>
  </w:style>
  <w:style w:type="paragraph" w:customStyle="1" w:styleId="Point0">
    <w:name w:val="Point 0"/>
    <w:basedOn w:val="Normal"/>
    <w:rsid w:val="00877878"/>
    <w:pPr>
      <w:ind w:left="850" w:hanging="850"/>
    </w:pPr>
  </w:style>
  <w:style w:type="paragraph" w:customStyle="1" w:styleId="Point1">
    <w:name w:val="Point 1"/>
    <w:basedOn w:val="Normal"/>
    <w:rsid w:val="00877878"/>
    <w:pPr>
      <w:ind w:left="1417" w:hanging="567"/>
    </w:pPr>
  </w:style>
  <w:style w:type="paragraph" w:customStyle="1" w:styleId="Point2">
    <w:name w:val="Point 2"/>
    <w:basedOn w:val="Normal"/>
    <w:rsid w:val="00877878"/>
    <w:pPr>
      <w:ind w:left="1984" w:hanging="567"/>
    </w:pPr>
  </w:style>
  <w:style w:type="paragraph" w:customStyle="1" w:styleId="Point3">
    <w:name w:val="Point 3"/>
    <w:basedOn w:val="Normal"/>
    <w:rsid w:val="00877878"/>
    <w:pPr>
      <w:ind w:left="2551" w:hanging="567"/>
    </w:pPr>
  </w:style>
  <w:style w:type="paragraph" w:customStyle="1" w:styleId="Point4">
    <w:name w:val="Point 4"/>
    <w:basedOn w:val="Normal"/>
    <w:rsid w:val="00877878"/>
    <w:pPr>
      <w:ind w:left="3118" w:hanging="567"/>
    </w:pPr>
  </w:style>
  <w:style w:type="paragraph" w:customStyle="1" w:styleId="Tiret0">
    <w:name w:val="Tiret 0"/>
    <w:basedOn w:val="Point0"/>
    <w:rsid w:val="00877878"/>
    <w:pPr>
      <w:numPr>
        <w:numId w:val="10"/>
      </w:numPr>
    </w:pPr>
  </w:style>
  <w:style w:type="paragraph" w:customStyle="1" w:styleId="Tiret1">
    <w:name w:val="Tiret 1"/>
    <w:basedOn w:val="Point1"/>
    <w:rsid w:val="00877878"/>
    <w:pPr>
      <w:numPr>
        <w:numId w:val="11"/>
      </w:numPr>
    </w:pPr>
  </w:style>
  <w:style w:type="paragraph" w:customStyle="1" w:styleId="Tiret2">
    <w:name w:val="Tiret 2"/>
    <w:basedOn w:val="Point2"/>
    <w:rsid w:val="00877878"/>
    <w:pPr>
      <w:numPr>
        <w:numId w:val="12"/>
      </w:numPr>
    </w:pPr>
  </w:style>
  <w:style w:type="paragraph" w:customStyle="1" w:styleId="Tiret3">
    <w:name w:val="Tiret 3"/>
    <w:basedOn w:val="Point3"/>
    <w:rsid w:val="00877878"/>
    <w:pPr>
      <w:numPr>
        <w:numId w:val="13"/>
      </w:numPr>
    </w:pPr>
  </w:style>
  <w:style w:type="paragraph" w:customStyle="1" w:styleId="Tiret4">
    <w:name w:val="Tiret 4"/>
    <w:basedOn w:val="Point4"/>
    <w:rsid w:val="00877878"/>
    <w:pPr>
      <w:numPr>
        <w:numId w:val="14"/>
      </w:numPr>
    </w:pPr>
  </w:style>
  <w:style w:type="paragraph" w:customStyle="1" w:styleId="PointDouble0">
    <w:name w:val="PointDouble 0"/>
    <w:basedOn w:val="Normal"/>
    <w:rsid w:val="00877878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877878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877878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877878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877878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877878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877878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877878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877878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877878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877878"/>
    <w:pPr>
      <w:numPr>
        <w:numId w:val="15"/>
      </w:numPr>
    </w:pPr>
  </w:style>
  <w:style w:type="paragraph" w:customStyle="1" w:styleId="NumPar2">
    <w:name w:val="NumPar 2"/>
    <w:basedOn w:val="Normal"/>
    <w:next w:val="Text1"/>
    <w:rsid w:val="00877878"/>
    <w:pPr>
      <w:numPr>
        <w:ilvl w:val="1"/>
        <w:numId w:val="15"/>
      </w:numPr>
    </w:pPr>
  </w:style>
  <w:style w:type="paragraph" w:customStyle="1" w:styleId="NumPar3">
    <w:name w:val="NumPar 3"/>
    <w:basedOn w:val="Normal"/>
    <w:next w:val="Text1"/>
    <w:rsid w:val="00877878"/>
    <w:pPr>
      <w:numPr>
        <w:ilvl w:val="2"/>
        <w:numId w:val="15"/>
      </w:numPr>
    </w:pPr>
  </w:style>
  <w:style w:type="paragraph" w:customStyle="1" w:styleId="NumPar4">
    <w:name w:val="NumPar 4"/>
    <w:basedOn w:val="Normal"/>
    <w:next w:val="Text1"/>
    <w:rsid w:val="00877878"/>
    <w:pPr>
      <w:numPr>
        <w:ilvl w:val="3"/>
        <w:numId w:val="15"/>
      </w:numPr>
    </w:pPr>
  </w:style>
  <w:style w:type="paragraph" w:customStyle="1" w:styleId="ManualNumPar1">
    <w:name w:val="Manual NumPar 1"/>
    <w:basedOn w:val="Normal"/>
    <w:next w:val="Text1"/>
    <w:rsid w:val="00877878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877878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877878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877878"/>
    <w:pPr>
      <w:ind w:left="850" w:hanging="850"/>
    </w:pPr>
  </w:style>
  <w:style w:type="paragraph" w:customStyle="1" w:styleId="QuotedNumPar">
    <w:name w:val="Quoted NumPar"/>
    <w:basedOn w:val="Normal"/>
    <w:rsid w:val="00877878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877878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877878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877878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877878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877878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877878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877878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877878"/>
    <w:pPr>
      <w:jc w:val="center"/>
    </w:pPr>
    <w:rPr>
      <w:b/>
    </w:rPr>
  </w:style>
  <w:style w:type="character" w:customStyle="1" w:styleId="Marker">
    <w:name w:val="Marker"/>
    <w:basedOn w:val="DefaultParagraphFont"/>
    <w:rsid w:val="00877878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877878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877878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877878"/>
    <w:pPr>
      <w:numPr>
        <w:numId w:val="17"/>
      </w:numPr>
    </w:pPr>
  </w:style>
  <w:style w:type="paragraph" w:customStyle="1" w:styleId="Point1number">
    <w:name w:val="Point 1 (number)"/>
    <w:basedOn w:val="Normal"/>
    <w:rsid w:val="00877878"/>
    <w:pPr>
      <w:numPr>
        <w:ilvl w:val="2"/>
        <w:numId w:val="17"/>
      </w:numPr>
    </w:pPr>
  </w:style>
  <w:style w:type="paragraph" w:customStyle="1" w:styleId="Point2number">
    <w:name w:val="Point 2 (number)"/>
    <w:basedOn w:val="Normal"/>
    <w:rsid w:val="00877878"/>
    <w:pPr>
      <w:numPr>
        <w:ilvl w:val="4"/>
        <w:numId w:val="17"/>
      </w:numPr>
    </w:pPr>
  </w:style>
  <w:style w:type="paragraph" w:customStyle="1" w:styleId="Point3number">
    <w:name w:val="Point 3 (number)"/>
    <w:basedOn w:val="Normal"/>
    <w:rsid w:val="00877878"/>
    <w:pPr>
      <w:numPr>
        <w:ilvl w:val="6"/>
        <w:numId w:val="17"/>
      </w:numPr>
    </w:pPr>
  </w:style>
  <w:style w:type="paragraph" w:customStyle="1" w:styleId="Point0letter">
    <w:name w:val="Point 0 (letter)"/>
    <w:basedOn w:val="Normal"/>
    <w:rsid w:val="00877878"/>
    <w:pPr>
      <w:numPr>
        <w:ilvl w:val="1"/>
        <w:numId w:val="17"/>
      </w:numPr>
    </w:pPr>
  </w:style>
  <w:style w:type="paragraph" w:customStyle="1" w:styleId="Point1letter">
    <w:name w:val="Point 1 (letter)"/>
    <w:basedOn w:val="Normal"/>
    <w:rsid w:val="00877878"/>
    <w:pPr>
      <w:numPr>
        <w:ilvl w:val="3"/>
        <w:numId w:val="17"/>
      </w:numPr>
    </w:pPr>
  </w:style>
  <w:style w:type="paragraph" w:customStyle="1" w:styleId="Point2letter">
    <w:name w:val="Point 2 (letter)"/>
    <w:basedOn w:val="Normal"/>
    <w:rsid w:val="00877878"/>
    <w:pPr>
      <w:numPr>
        <w:ilvl w:val="5"/>
        <w:numId w:val="17"/>
      </w:numPr>
    </w:pPr>
  </w:style>
  <w:style w:type="paragraph" w:customStyle="1" w:styleId="Point3letter">
    <w:name w:val="Point 3 (letter)"/>
    <w:basedOn w:val="Normal"/>
    <w:rsid w:val="00877878"/>
    <w:pPr>
      <w:numPr>
        <w:ilvl w:val="7"/>
        <w:numId w:val="17"/>
      </w:numPr>
    </w:pPr>
  </w:style>
  <w:style w:type="paragraph" w:customStyle="1" w:styleId="Point4letter">
    <w:name w:val="Point 4 (letter)"/>
    <w:basedOn w:val="Normal"/>
    <w:rsid w:val="00877878"/>
    <w:pPr>
      <w:numPr>
        <w:ilvl w:val="8"/>
        <w:numId w:val="17"/>
      </w:numPr>
    </w:pPr>
  </w:style>
  <w:style w:type="paragraph" w:customStyle="1" w:styleId="Bullet0">
    <w:name w:val="Bullet 0"/>
    <w:basedOn w:val="Normal"/>
    <w:rsid w:val="00877878"/>
    <w:pPr>
      <w:numPr>
        <w:numId w:val="18"/>
      </w:numPr>
    </w:pPr>
  </w:style>
  <w:style w:type="paragraph" w:customStyle="1" w:styleId="Bullet1">
    <w:name w:val="Bullet 1"/>
    <w:basedOn w:val="Normal"/>
    <w:rsid w:val="00877878"/>
    <w:pPr>
      <w:numPr>
        <w:numId w:val="19"/>
      </w:numPr>
    </w:pPr>
  </w:style>
  <w:style w:type="paragraph" w:customStyle="1" w:styleId="Bullet2">
    <w:name w:val="Bullet 2"/>
    <w:basedOn w:val="Normal"/>
    <w:rsid w:val="00877878"/>
    <w:pPr>
      <w:numPr>
        <w:numId w:val="20"/>
      </w:numPr>
    </w:pPr>
  </w:style>
  <w:style w:type="paragraph" w:customStyle="1" w:styleId="Bullet3">
    <w:name w:val="Bullet 3"/>
    <w:basedOn w:val="Normal"/>
    <w:rsid w:val="00877878"/>
    <w:pPr>
      <w:numPr>
        <w:numId w:val="21"/>
      </w:numPr>
    </w:pPr>
  </w:style>
  <w:style w:type="paragraph" w:customStyle="1" w:styleId="Bullet4">
    <w:name w:val="Bullet 4"/>
    <w:basedOn w:val="Normal"/>
    <w:rsid w:val="00877878"/>
    <w:pPr>
      <w:numPr>
        <w:numId w:val="22"/>
      </w:numPr>
    </w:pPr>
  </w:style>
  <w:style w:type="paragraph" w:customStyle="1" w:styleId="Langue">
    <w:name w:val="Langue"/>
    <w:basedOn w:val="Normal"/>
    <w:next w:val="Rfrenceinterne"/>
    <w:rsid w:val="00877878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rsid w:val="00877878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rsid w:val="00877878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rsid w:val="00877878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rsid w:val="00877878"/>
    <w:pPr>
      <w:spacing w:before="0" w:after="0"/>
    </w:pPr>
  </w:style>
  <w:style w:type="paragraph" w:customStyle="1" w:styleId="Declassification">
    <w:name w:val="Declassification"/>
    <w:basedOn w:val="Normal"/>
    <w:next w:val="Normal"/>
    <w:rsid w:val="00877878"/>
    <w:pPr>
      <w:spacing w:before="0" w:after="0"/>
    </w:pPr>
  </w:style>
  <w:style w:type="paragraph" w:customStyle="1" w:styleId="Disclaimer">
    <w:name w:val="Disclaimer"/>
    <w:basedOn w:val="Normal"/>
    <w:rsid w:val="00877878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Annexetitreexpos">
    <w:name w:val="Annexe titre (exposé)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877878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877878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877878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877878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877878"/>
    <w:pPr>
      <w:numPr>
        <w:numId w:val="23"/>
      </w:numPr>
    </w:pPr>
  </w:style>
  <w:style w:type="paragraph" w:customStyle="1" w:styleId="Corrigendum">
    <w:name w:val="Corrigendum"/>
    <w:basedOn w:val="Normal"/>
    <w:next w:val="Normal"/>
    <w:rsid w:val="00877878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877878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877878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877878"/>
    <w:pPr>
      <w:keepNext/>
    </w:pPr>
  </w:style>
  <w:style w:type="paragraph" w:customStyle="1" w:styleId="Institutionquiagit">
    <w:name w:val="Institution qui agit"/>
    <w:basedOn w:val="Normal"/>
    <w:next w:val="Normal"/>
    <w:rsid w:val="00877878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877878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877878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rsid w:val="00877878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rsid w:val="00877878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877878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877878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877878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rsid w:val="00877878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877878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877878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877878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877878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877878"/>
    <w:rPr>
      <w:i/>
      <w:caps/>
    </w:rPr>
  </w:style>
  <w:style w:type="paragraph" w:customStyle="1" w:styleId="Supertitre">
    <w:name w:val="Supertitre"/>
    <w:basedOn w:val="Normal"/>
    <w:next w:val="Normal"/>
    <w:rsid w:val="00877878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877878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877878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877878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877878"/>
  </w:style>
  <w:style w:type="paragraph" w:customStyle="1" w:styleId="StatutPagedecouverture">
    <w:name w:val="Statut (Page de couverture)"/>
    <w:basedOn w:val="Statut"/>
    <w:next w:val="TypedudocumentPagedecouverture"/>
    <w:rsid w:val="00877878"/>
  </w:style>
  <w:style w:type="paragraph" w:customStyle="1" w:styleId="TitreobjetPagedecouverture">
    <w:name w:val="Titre objet (Page de couverture)"/>
    <w:basedOn w:val="Titreobjet"/>
    <w:next w:val="IntrtEEEPagedecouverture"/>
    <w:rsid w:val="00877878"/>
  </w:style>
  <w:style w:type="paragraph" w:customStyle="1" w:styleId="TypedudocumentPagedecouverture">
    <w:name w:val="Type du document (Page de couverture)"/>
    <w:basedOn w:val="Typedudocument"/>
    <w:next w:val="TitreobjetPagedecouverture"/>
    <w:rsid w:val="00877878"/>
  </w:style>
  <w:style w:type="paragraph" w:customStyle="1" w:styleId="Volume">
    <w:name w:val="Volume"/>
    <w:basedOn w:val="Normal"/>
    <w:next w:val="Confidentialit"/>
    <w:rsid w:val="00877878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877878"/>
    <w:pPr>
      <w:spacing w:after="240"/>
    </w:pPr>
  </w:style>
  <w:style w:type="paragraph" w:customStyle="1" w:styleId="Accompagnant">
    <w:name w:val="Accompagnant"/>
    <w:basedOn w:val="Normal"/>
    <w:next w:val="Typeacteprincipal"/>
    <w:rsid w:val="00877878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877878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877878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877878"/>
  </w:style>
  <w:style w:type="paragraph" w:customStyle="1" w:styleId="AccompagnantPagedecouverture">
    <w:name w:val="Accompagnant (Page de couverture)"/>
    <w:basedOn w:val="Accompagnant"/>
    <w:next w:val="TypeacteprincipalPagedecouverture"/>
    <w:rsid w:val="0087787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877878"/>
  </w:style>
  <w:style w:type="paragraph" w:customStyle="1" w:styleId="ObjetacteprincipalPagedecouverture">
    <w:name w:val="Objet acte principal (Page de couverture)"/>
    <w:basedOn w:val="Objetacteprincipal"/>
    <w:next w:val="Rfrencecroise"/>
    <w:rsid w:val="00877878"/>
  </w:style>
  <w:style w:type="paragraph" w:customStyle="1" w:styleId="LanguesfaisantfoiPagedecouverture">
    <w:name w:val="Langues faisant foi (Page de couverture)"/>
    <w:basedOn w:val="Normal"/>
    <w:next w:val="Normal"/>
    <w:rsid w:val="00877878"/>
    <w:pPr>
      <w:spacing w:before="360" w:after="0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cs-CZ"/>
    </w:rPr>
  </w:style>
  <w:style w:type="paragraph" w:styleId="Heading1">
    <w:name w:val="heading 1"/>
    <w:basedOn w:val="Normal"/>
    <w:next w:val="Text1"/>
    <w:link w:val="Heading1Char"/>
    <w:uiPriority w:val="9"/>
    <w:qFormat/>
    <w:rsid w:val="00877878"/>
    <w:pPr>
      <w:keepNext/>
      <w:numPr>
        <w:numId w:val="16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877878"/>
    <w:pPr>
      <w:keepNext/>
      <w:numPr>
        <w:ilvl w:val="1"/>
        <w:numId w:val="16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877878"/>
    <w:pPr>
      <w:keepNext/>
      <w:numPr>
        <w:ilvl w:val="2"/>
        <w:numId w:val="16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877878"/>
    <w:pPr>
      <w:keepNext/>
      <w:numPr>
        <w:ilvl w:val="3"/>
        <w:numId w:val="16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Number4">
    <w:name w:val="List Number 4"/>
    <w:basedOn w:val="Normal"/>
    <w:rsid w:val="00075C77"/>
    <w:pPr>
      <w:numPr>
        <w:numId w:val="2"/>
      </w:numPr>
    </w:pPr>
    <w:rPr>
      <w:rFonts w:eastAsia="Times New Roman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E607F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CE607F"/>
    <w:pPr>
      <w:spacing w:after="0"/>
    </w:pPr>
  </w:style>
  <w:style w:type="paragraph" w:styleId="ListBullet">
    <w:name w:val="List Bullet"/>
    <w:basedOn w:val="Normal"/>
    <w:uiPriority w:val="99"/>
    <w:semiHidden/>
    <w:unhideWhenUsed/>
    <w:rsid w:val="00CE607F"/>
    <w:pPr>
      <w:numPr>
        <w:numId w:val="3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CE607F"/>
    <w:pPr>
      <w:numPr>
        <w:numId w:val="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E607F"/>
    <w:pPr>
      <w:numPr>
        <w:numId w:val="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CE607F"/>
    <w:pPr>
      <w:numPr>
        <w:numId w:val="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CE607F"/>
    <w:pPr>
      <w:numPr>
        <w:numId w:val="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CE607F"/>
    <w:pPr>
      <w:numPr>
        <w:numId w:val="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CE607F"/>
    <w:pPr>
      <w:numPr>
        <w:numId w:val="9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2C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2C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2CE3"/>
    <w:rPr>
      <w:rFonts w:ascii="Times New Roman" w:hAnsi="Times New Roman" w:cs="Times New Roman"/>
      <w:sz w:val="20"/>
      <w:szCs w:val="20"/>
      <w:lang w:val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2C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2CE3"/>
    <w:rPr>
      <w:rFonts w:ascii="Times New Roman" w:hAnsi="Times New Roman" w:cs="Times New Roman"/>
      <w:b/>
      <w:bCs/>
      <w:sz w:val="20"/>
      <w:szCs w:val="20"/>
      <w:lang w:val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CE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CE3"/>
    <w:rPr>
      <w:rFonts w:ascii="Segoe UI" w:hAnsi="Segoe UI" w:cs="Segoe UI"/>
      <w:sz w:val="18"/>
      <w:szCs w:val="18"/>
      <w:lang w:val="cs-CZ"/>
    </w:rPr>
  </w:style>
  <w:style w:type="character" w:styleId="Hyperlink">
    <w:name w:val="Hyperlink"/>
    <w:basedOn w:val="DefaultParagraphFont"/>
    <w:uiPriority w:val="99"/>
    <w:unhideWhenUsed/>
    <w:rsid w:val="004A2CE3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686C9B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77878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787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877878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787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77878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7878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877878"/>
    <w:rPr>
      <w:rFonts w:ascii="Times New Roman" w:eastAsiaTheme="majorEastAsia" w:hAnsi="Times New Roman" w:cs="Times New Roman"/>
      <w:b/>
      <w:bCs/>
      <w:smallCaps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7878"/>
    <w:rPr>
      <w:rFonts w:ascii="Times New Roman" w:eastAsiaTheme="majorEastAsia" w:hAnsi="Times New Roman" w:cs="Times New Roman"/>
      <w:b/>
      <w:bCs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7878"/>
    <w:rPr>
      <w:rFonts w:ascii="Times New Roman" w:eastAsiaTheme="majorEastAsia" w:hAnsi="Times New Roman" w:cs="Times New Roman"/>
      <w:bCs/>
      <w:i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7878"/>
    <w:rPr>
      <w:rFonts w:ascii="Times New Roman" w:eastAsiaTheme="majorEastAsia" w:hAnsi="Times New Roman" w:cs="Times New Roman"/>
      <w:bCs/>
      <w:iCs/>
      <w:sz w:val="24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877878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877878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877878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877878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877878"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87787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FooterSensitivity">
    <w:name w:val="Footer Sensitivity"/>
    <w:basedOn w:val="Normal"/>
    <w:rsid w:val="0087787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rsid w:val="00877878"/>
    <w:pPr>
      <w:ind w:left="850"/>
    </w:pPr>
  </w:style>
  <w:style w:type="paragraph" w:customStyle="1" w:styleId="Text2">
    <w:name w:val="Text 2"/>
    <w:basedOn w:val="Normal"/>
    <w:rsid w:val="00877878"/>
    <w:pPr>
      <w:ind w:left="1417"/>
    </w:pPr>
  </w:style>
  <w:style w:type="paragraph" w:customStyle="1" w:styleId="Text3">
    <w:name w:val="Text 3"/>
    <w:basedOn w:val="Normal"/>
    <w:rsid w:val="00877878"/>
    <w:pPr>
      <w:ind w:left="1984"/>
    </w:pPr>
  </w:style>
  <w:style w:type="paragraph" w:customStyle="1" w:styleId="Text4">
    <w:name w:val="Text 4"/>
    <w:basedOn w:val="Normal"/>
    <w:rsid w:val="00877878"/>
    <w:pPr>
      <w:ind w:left="2551"/>
    </w:pPr>
  </w:style>
  <w:style w:type="paragraph" w:customStyle="1" w:styleId="NormalCentered">
    <w:name w:val="Normal Centered"/>
    <w:basedOn w:val="Normal"/>
    <w:rsid w:val="00877878"/>
    <w:pPr>
      <w:jc w:val="center"/>
    </w:pPr>
  </w:style>
  <w:style w:type="paragraph" w:customStyle="1" w:styleId="NormalLeft">
    <w:name w:val="Normal Left"/>
    <w:basedOn w:val="Normal"/>
    <w:rsid w:val="00877878"/>
    <w:pPr>
      <w:jc w:val="left"/>
    </w:pPr>
  </w:style>
  <w:style w:type="paragraph" w:customStyle="1" w:styleId="NormalRight">
    <w:name w:val="Normal Right"/>
    <w:basedOn w:val="Normal"/>
    <w:rsid w:val="00877878"/>
    <w:pPr>
      <w:jc w:val="right"/>
    </w:pPr>
  </w:style>
  <w:style w:type="paragraph" w:customStyle="1" w:styleId="QuotedText">
    <w:name w:val="Quoted Text"/>
    <w:basedOn w:val="Normal"/>
    <w:rsid w:val="00877878"/>
    <w:pPr>
      <w:ind w:left="1417"/>
    </w:pPr>
  </w:style>
  <w:style w:type="paragraph" w:customStyle="1" w:styleId="Point0">
    <w:name w:val="Point 0"/>
    <w:basedOn w:val="Normal"/>
    <w:rsid w:val="00877878"/>
    <w:pPr>
      <w:ind w:left="850" w:hanging="850"/>
    </w:pPr>
  </w:style>
  <w:style w:type="paragraph" w:customStyle="1" w:styleId="Point1">
    <w:name w:val="Point 1"/>
    <w:basedOn w:val="Normal"/>
    <w:rsid w:val="00877878"/>
    <w:pPr>
      <w:ind w:left="1417" w:hanging="567"/>
    </w:pPr>
  </w:style>
  <w:style w:type="paragraph" w:customStyle="1" w:styleId="Point2">
    <w:name w:val="Point 2"/>
    <w:basedOn w:val="Normal"/>
    <w:rsid w:val="00877878"/>
    <w:pPr>
      <w:ind w:left="1984" w:hanging="567"/>
    </w:pPr>
  </w:style>
  <w:style w:type="paragraph" w:customStyle="1" w:styleId="Point3">
    <w:name w:val="Point 3"/>
    <w:basedOn w:val="Normal"/>
    <w:rsid w:val="00877878"/>
    <w:pPr>
      <w:ind w:left="2551" w:hanging="567"/>
    </w:pPr>
  </w:style>
  <w:style w:type="paragraph" w:customStyle="1" w:styleId="Point4">
    <w:name w:val="Point 4"/>
    <w:basedOn w:val="Normal"/>
    <w:rsid w:val="00877878"/>
    <w:pPr>
      <w:ind w:left="3118" w:hanging="567"/>
    </w:pPr>
  </w:style>
  <w:style w:type="paragraph" w:customStyle="1" w:styleId="Tiret0">
    <w:name w:val="Tiret 0"/>
    <w:basedOn w:val="Point0"/>
    <w:rsid w:val="00877878"/>
    <w:pPr>
      <w:numPr>
        <w:numId w:val="10"/>
      </w:numPr>
    </w:pPr>
  </w:style>
  <w:style w:type="paragraph" w:customStyle="1" w:styleId="Tiret1">
    <w:name w:val="Tiret 1"/>
    <w:basedOn w:val="Point1"/>
    <w:rsid w:val="00877878"/>
    <w:pPr>
      <w:numPr>
        <w:numId w:val="11"/>
      </w:numPr>
    </w:pPr>
  </w:style>
  <w:style w:type="paragraph" w:customStyle="1" w:styleId="Tiret2">
    <w:name w:val="Tiret 2"/>
    <w:basedOn w:val="Point2"/>
    <w:rsid w:val="00877878"/>
    <w:pPr>
      <w:numPr>
        <w:numId w:val="12"/>
      </w:numPr>
    </w:pPr>
  </w:style>
  <w:style w:type="paragraph" w:customStyle="1" w:styleId="Tiret3">
    <w:name w:val="Tiret 3"/>
    <w:basedOn w:val="Point3"/>
    <w:rsid w:val="00877878"/>
    <w:pPr>
      <w:numPr>
        <w:numId w:val="13"/>
      </w:numPr>
    </w:pPr>
  </w:style>
  <w:style w:type="paragraph" w:customStyle="1" w:styleId="Tiret4">
    <w:name w:val="Tiret 4"/>
    <w:basedOn w:val="Point4"/>
    <w:rsid w:val="00877878"/>
    <w:pPr>
      <w:numPr>
        <w:numId w:val="14"/>
      </w:numPr>
    </w:pPr>
  </w:style>
  <w:style w:type="paragraph" w:customStyle="1" w:styleId="PointDouble0">
    <w:name w:val="PointDouble 0"/>
    <w:basedOn w:val="Normal"/>
    <w:rsid w:val="00877878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877878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877878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877878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877878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877878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877878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877878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877878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877878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877878"/>
    <w:pPr>
      <w:numPr>
        <w:numId w:val="15"/>
      </w:numPr>
    </w:pPr>
  </w:style>
  <w:style w:type="paragraph" w:customStyle="1" w:styleId="NumPar2">
    <w:name w:val="NumPar 2"/>
    <w:basedOn w:val="Normal"/>
    <w:next w:val="Text1"/>
    <w:rsid w:val="00877878"/>
    <w:pPr>
      <w:numPr>
        <w:ilvl w:val="1"/>
        <w:numId w:val="15"/>
      </w:numPr>
    </w:pPr>
  </w:style>
  <w:style w:type="paragraph" w:customStyle="1" w:styleId="NumPar3">
    <w:name w:val="NumPar 3"/>
    <w:basedOn w:val="Normal"/>
    <w:next w:val="Text1"/>
    <w:rsid w:val="00877878"/>
    <w:pPr>
      <w:numPr>
        <w:ilvl w:val="2"/>
        <w:numId w:val="15"/>
      </w:numPr>
    </w:pPr>
  </w:style>
  <w:style w:type="paragraph" w:customStyle="1" w:styleId="NumPar4">
    <w:name w:val="NumPar 4"/>
    <w:basedOn w:val="Normal"/>
    <w:next w:val="Text1"/>
    <w:rsid w:val="00877878"/>
    <w:pPr>
      <w:numPr>
        <w:ilvl w:val="3"/>
        <w:numId w:val="15"/>
      </w:numPr>
    </w:pPr>
  </w:style>
  <w:style w:type="paragraph" w:customStyle="1" w:styleId="ManualNumPar1">
    <w:name w:val="Manual NumPar 1"/>
    <w:basedOn w:val="Normal"/>
    <w:next w:val="Text1"/>
    <w:rsid w:val="00877878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877878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877878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877878"/>
    <w:pPr>
      <w:ind w:left="850" w:hanging="850"/>
    </w:pPr>
  </w:style>
  <w:style w:type="paragraph" w:customStyle="1" w:styleId="QuotedNumPar">
    <w:name w:val="Quoted NumPar"/>
    <w:basedOn w:val="Normal"/>
    <w:rsid w:val="00877878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877878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877878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877878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877878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877878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877878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877878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877878"/>
    <w:pPr>
      <w:jc w:val="center"/>
    </w:pPr>
    <w:rPr>
      <w:b/>
    </w:rPr>
  </w:style>
  <w:style w:type="character" w:customStyle="1" w:styleId="Marker">
    <w:name w:val="Marker"/>
    <w:basedOn w:val="DefaultParagraphFont"/>
    <w:rsid w:val="00877878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877878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877878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877878"/>
    <w:pPr>
      <w:numPr>
        <w:numId w:val="17"/>
      </w:numPr>
    </w:pPr>
  </w:style>
  <w:style w:type="paragraph" w:customStyle="1" w:styleId="Point1number">
    <w:name w:val="Point 1 (number)"/>
    <w:basedOn w:val="Normal"/>
    <w:rsid w:val="00877878"/>
    <w:pPr>
      <w:numPr>
        <w:ilvl w:val="2"/>
        <w:numId w:val="17"/>
      </w:numPr>
    </w:pPr>
  </w:style>
  <w:style w:type="paragraph" w:customStyle="1" w:styleId="Point2number">
    <w:name w:val="Point 2 (number)"/>
    <w:basedOn w:val="Normal"/>
    <w:rsid w:val="00877878"/>
    <w:pPr>
      <w:numPr>
        <w:ilvl w:val="4"/>
        <w:numId w:val="17"/>
      </w:numPr>
    </w:pPr>
  </w:style>
  <w:style w:type="paragraph" w:customStyle="1" w:styleId="Point3number">
    <w:name w:val="Point 3 (number)"/>
    <w:basedOn w:val="Normal"/>
    <w:rsid w:val="00877878"/>
    <w:pPr>
      <w:numPr>
        <w:ilvl w:val="6"/>
        <w:numId w:val="17"/>
      </w:numPr>
    </w:pPr>
  </w:style>
  <w:style w:type="paragraph" w:customStyle="1" w:styleId="Point0letter">
    <w:name w:val="Point 0 (letter)"/>
    <w:basedOn w:val="Normal"/>
    <w:rsid w:val="00877878"/>
    <w:pPr>
      <w:numPr>
        <w:ilvl w:val="1"/>
        <w:numId w:val="17"/>
      </w:numPr>
    </w:pPr>
  </w:style>
  <w:style w:type="paragraph" w:customStyle="1" w:styleId="Point1letter">
    <w:name w:val="Point 1 (letter)"/>
    <w:basedOn w:val="Normal"/>
    <w:rsid w:val="00877878"/>
    <w:pPr>
      <w:numPr>
        <w:ilvl w:val="3"/>
        <w:numId w:val="17"/>
      </w:numPr>
    </w:pPr>
  </w:style>
  <w:style w:type="paragraph" w:customStyle="1" w:styleId="Point2letter">
    <w:name w:val="Point 2 (letter)"/>
    <w:basedOn w:val="Normal"/>
    <w:rsid w:val="00877878"/>
    <w:pPr>
      <w:numPr>
        <w:ilvl w:val="5"/>
        <w:numId w:val="17"/>
      </w:numPr>
    </w:pPr>
  </w:style>
  <w:style w:type="paragraph" w:customStyle="1" w:styleId="Point3letter">
    <w:name w:val="Point 3 (letter)"/>
    <w:basedOn w:val="Normal"/>
    <w:rsid w:val="00877878"/>
    <w:pPr>
      <w:numPr>
        <w:ilvl w:val="7"/>
        <w:numId w:val="17"/>
      </w:numPr>
    </w:pPr>
  </w:style>
  <w:style w:type="paragraph" w:customStyle="1" w:styleId="Point4letter">
    <w:name w:val="Point 4 (letter)"/>
    <w:basedOn w:val="Normal"/>
    <w:rsid w:val="00877878"/>
    <w:pPr>
      <w:numPr>
        <w:ilvl w:val="8"/>
        <w:numId w:val="17"/>
      </w:numPr>
    </w:pPr>
  </w:style>
  <w:style w:type="paragraph" w:customStyle="1" w:styleId="Bullet0">
    <w:name w:val="Bullet 0"/>
    <w:basedOn w:val="Normal"/>
    <w:rsid w:val="00877878"/>
    <w:pPr>
      <w:numPr>
        <w:numId w:val="18"/>
      </w:numPr>
    </w:pPr>
  </w:style>
  <w:style w:type="paragraph" w:customStyle="1" w:styleId="Bullet1">
    <w:name w:val="Bullet 1"/>
    <w:basedOn w:val="Normal"/>
    <w:rsid w:val="00877878"/>
    <w:pPr>
      <w:numPr>
        <w:numId w:val="19"/>
      </w:numPr>
    </w:pPr>
  </w:style>
  <w:style w:type="paragraph" w:customStyle="1" w:styleId="Bullet2">
    <w:name w:val="Bullet 2"/>
    <w:basedOn w:val="Normal"/>
    <w:rsid w:val="00877878"/>
    <w:pPr>
      <w:numPr>
        <w:numId w:val="20"/>
      </w:numPr>
    </w:pPr>
  </w:style>
  <w:style w:type="paragraph" w:customStyle="1" w:styleId="Bullet3">
    <w:name w:val="Bullet 3"/>
    <w:basedOn w:val="Normal"/>
    <w:rsid w:val="00877878"/>
    <w:pPr>
      <w:numPr>
        <w:numId w:val="21"/>
      </w:numPr>
    </w:pPr>
  </w:style>
  <w:style w:type="paragraph" w:customStyle="1" w:styleId="Bullet4">
    <w:name w:val="Bullet 4"/>
    <w:basedOn w:val="Normal"/>
    <w:rsid w:val="00877878"/>
    <w:pPr>
      <w:numPr>
        <w:numId w:val="22"/>
      </w:numPr>
    </w:pPr>
  </w:style>
  <w:style w:type="paragraph" w:customStyle="1" w:styleId="Langue">
    <w:name w:val="Langue"/>
    <w:basedOn w:val="Normal"/>
    <w:next w:val="Rfrenceinterne"/>
    <w:rsid w:val="00877878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rsid w:val="00877878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rsid w:val="00877878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rsid w:val="00877878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rsid w:val="00877878"/>
    <w:pPr>
      <w:spacing w:before="0" w:after="0"/>
    </w:pPr>
  </w:style>
  <w:style w:type="paragraph" w:customStyle="1" w:styleId="Declassification">
    <w:name w:val="Declassification"/>
    <w:basedOn w:val="Normal"/>
    <w:next w:val="Normal"/>
    <w:rsid w:val="00877878"/>
    <w:pPr>
      <w:spacing w:before="0" w:after="0"/>
    </w:pPr>
  </w:style>
  <w:style w:type="paragraph" w:customStyle="1" w:styleId="Disclaimer">
    <w:name w:val="Disclaimer"/>
    <w:basedOn w:val="Normal"/>
    <w:rsid w:val="00877878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Annexetitreexpos">
    <w:name w:val="Annexe titre (exposé)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877878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877878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877878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877878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877878"/>
    <w:pPr>
      <w:numPr>
        <w:numId w:val="23"/>
      </w:numPr>
    </w:pPr>
  </w:style>
  <w:style w:type="paragraph" w:customStyle="1" w:styleId="Corrigendum">
    <w:name w:val="Corrigendum"/>
    <w:basedOn w:val="Normal"/>
    <w:next w:val="Normal"/>
    <w:rsid w:val="00877878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877878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877878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877878"/>
    <w:pPr>
      <w:keepNext/>
    </w:pPr>
  </w:style>
  <w:style w:type="paragraph" w:customStyle="1" w:styleId="Institutionquiagit">
    <w:name w:val="Institution qui agit"/>
    <w:basedOn w:val="Normal"/>
    <w:next w:val="Normal"/>
    <w:rsid w:val="00877878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877878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877878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rsid w:val="00877878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rsid w:val="00877878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877878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877878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877878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rsid w:val="00877878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877878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877878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877878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877878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877878"/>
    <w:rPr>
      <w:i/>
      <w:caps/>
    </w:rPr>
  </w:style>
  <w:style w:type="paragraph" w:customStyle="1" w:styleId="Supertitre">
    <w:name w:val="Supertitre"/>
    <w:basedOn w:val="Normal"/>
    <w:next w:val="Normal"/>
    <w:rsid w:val="00877878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877878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877878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877878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877878"/>
  </w:style>
  <w:style w:type="paragraph" w:customStyle="1" w:styleId="StatutPagedecouverture">
    <w:name w:val="Statut (Page de couverture)"/>
    <w:basedOn w:val="Statut"/>
    <w:next w:val="TypedudocumentPagedecouverture"/>
    <w:rsid w:val="00877878"/>
  </w:style>
  <w:style w:type="paragraph" w:customStyle="1" w:styleId="TitreobjetPagedecouverture">
    <w:name w:val="Titre objet (Page de couverture)"/>
    <w:basedOn w:val="Titreobjet"/>
    <w:next w:val="IntrtEEEPagedecouverture"/>
    <w:rsid w:val="00877878"/>
  </w:style>
  <w:style w:type="paragraph" w:customStyle="1" w:styleId="TypedudocumentPagedecouverture">
    <w:name w:val="Type du document (Page de couverture)"/>
    <w:basedOn w:val="Typedudocument"/>
    <w:next w:val="TitreobjetPagedecouverture"/>
    <w:rsid w:val="00877878"/>
  </w:style>
  <w:style w:type="paragraph" w:customStyle="1" w:styleId="Volume">
    <w:name w:val="Volume"/>
    <w:basedOn w:val="Normal"/>
    <w:next w:val="Confidentialit"/>
    <w:rsid w:val="00877878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877878"/>
    <w:pPr>
      <w:spacing w:after="240"/>
    </w:pPr>
  </w:style>
  <w:style w:type="paragraph" w:customStyle="1" w:styleId="Accompagnant">
    <w:name w:val="Accompagnant"/>
    <w:basedOn w:val="Normal"/>
    <w:next w:val="Typeacteprincipal"/>
    <w:rsid w:val="00877878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877878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877878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877878"/>
  </w:style>
  <w:style w:type="paragraph" w:customStyle="1" w:styleId="AccompagnantPagedecouverture">
    <w:name w:val="Accompagnant (Page de couverture)"/>
    <w:basedOn w:val="Accompagnant"/>
    <w:next w:val="TypeacteprincipalPagedecouverture"/>
    <w:rsid w:val="0087787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877878"/>
  </w:style>
  <w:style w:type="paragraph" w:customStyle="1" w:styleId="ObjetacteprincipalPagedecouverture">
    <w:name w:val="Objet acte principal (Page de couverture)"/>
    <w:basedOn w:val="Objetacteprincipal"/>
    <w:next w:val="Rfrencecroise"/>
    <w:rsid w:val="00877878"/>
  </w:style>
  <w:style w:type="paragraph" w:customStyle="1" w:styleId="LanguesfaisantfoiPagedecouverture">
    <w:name w:val="Langues faisant foi (Page de couverture)"/>
    <w:basedOn w:val="Normal"/>
    <w:next w:val="Normal"/>
    <w:rsid w:val="00877878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AEFB9DD9-3F98-417D-A208-89EEBF31B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0</TotalTime>
  <Pages>1</Pages>
  <Words>1177</Words>
  <Characters>6506</Characters>
  <Application>Microsoft Office Word</Application>
  <DocSecurity>0</DocSecurity>
  <Lines>131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GRIKSAS Gintaras (FISMA)</dc:creator>
  <cp:keywords/>
  <dc:description/>
  <cp:lastModifiedBy>MOTL Patrik (DGT)</cp:lastModifiedBy>
  <cp:revision>3</cp:revision>
  <cp:lastPrinted>2018-06-12T12:37:00Z</cp:lastPrinted>
  <dcterms:created xsi:type="dcterms:W3CDTF">2018-09-20T08:20:00Z</dcterms:created>
  <dcterms:modified xsi:type="dcterms:W3CDTF">2018-09-20T08:20:00Z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 edited using">
    <vt:lpwstr>LW 6.0.1, Build 20180503</vt:lpwstr>
  </property>
  <property fmtid="{D5CDD505-2E9C-101B-9397-08002B2CF9AE}" pid="3" name="Category">
    <vt:lpwstr>COM/AA</vt:lpwstr>
  </property>
  <property fmtid="{D5CDD505-2E9C-101B-9397-08002B2CF9AE}" pid="4" name="Level of sensitivity">
    <vt:lpwstr>Standard treatment</vt:lpwstr>
  </property>
  <property fmtid="{D5CDD505-2E9C-101B-9397-08002B2CF9AE}" pid="5" name="Part">
    <vt:lpwstr>1</vt:lpwstr>
  </property>
  <property fmtid="{D5CDD505-2E9C-101B-9397-08002B2CF9AE}" pid="6" name="Total parts">
    <vt:lpwstr>1</vt:lpwstr>
  </property>
  <property fmtid="{D5CDD505-2E9C-101B-9397-08002B2CF9AE}" pid="7" name="LWTemplateID">
    <vt:lpwstr>SJ-004</vt:lpwstr>
  </property>
  <property fmtid="{D5CDD505-2E9C-101B-9397-08002B2CF9AE}" pid="8" name="Version">
    <vt:lpwstr>6.0.1.0</vt:lpwstr>
  </property>
  <property fmtid="{D5CDD505-2E9C-101B-9397-08002B2CF9AE}" pid="9" name="Created using">
    <vt:lpwstr>LW 6.0, Build 20171009</vt:lpwstr>
  </property>
  <property fmtid="{D5CDD505-2E9C-101B-9397-08002B2CF9AE}" pid="10" name="DQCStatus">
    <vt:lpwstr>Green (DQC version 03)</vt:lpwstr>
  </property>
</Properties>
</file>