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419" w:rsidRDefault="006B08A5" w:rsidP="00A33695">
      <w:pPr>
        <w:jc w:val="center"/>
        <w:rPr>
          <w:rFonts w:ascii="Times New Roman" w:hAnsi="Times New Roman"/>
          <w:b/>
          <w:sz w:val="24"/>
        </w:rPr>
      </w:pPr>
      <w:bookmarkStart w:id="0" w:name="_Toc262568021"/>
      <w:bookmarkStart w:id="1" w:name="_Toc295829847"/>
      <w:r>
        <w:rPr>
          <w:rFonts w:ascii="Times New Roman" w:hAnsi="Times New Roman"/>
          <w:b/>
          <w:sz w:val="24"/>
        </w:rPr>
        <w:t>SL</w:t>
      </w:r>
    </w:p>
    <w:p w:rsidR="00453999" w:rsidRDefault="00453999" w:rsidP="00A33695">
      <w:pPr>
        <w:jc w:val="center"/>
        <w:rPr>
          <w:rFonts w:ascii="Times New Roman" w:hAnsi="Times New Roman"/>
          <w:b/>
          <w:sz w:val="24"/>
        </w:rPr>
      </w:pPr>
      <w:r>
        <w:rPr>
          <w:rFonts w:ascii="Times New Roman" w:hAnsi="Times New Roman"/>
          <w:b/>
          <w:sz w:val="24"/>
        </w:rPr>
        <w:t>PRILOGA II</w:t>
      </w:r>
    </w:p>
    <w:p w:rsidR="007676ED" w:rsidRDefault="007676ED" w:rsidP="00A33695">
      <w:pPr>
        <w:jc w:val="center"/>
        <w:rPr>
          <w:rFonts w:ascii="Times New Roman" w:hAnsi="Times New Roman"/>
          <w:b/>
          <w:sz w:val="24"/>
        </w:rPr>
      </w:pPr>
    </w:p>
    <w:p w:rsidR="007676ED" w:rsidRPr="00392FFD" w:rsidRDefault="007676ED" w:rsidP="00A33695">
      <w:pPr>
        <w:jc w:val="center"/>
        <w:rPr>
          <w:rFonts w:ascii="Times New Roman" w:hAnsi="Times New Roman"/>
          <w:b/>
          <w:sz w:val="24"/>
        </w:rPr>
      </w:pPr>
    </w:p>
    <w:p w:rsidR="002648B0" w:rsidRPr="00732D6D" w:rsidRDefault="004B34D1" w:rsidP="00A33695">
      <w:pPr>
        <w:jc w:val="center"/>
        <w:rPr>
          <w:rFonts w:ascii="Times New Roman" w:hAnsi="Times New Roman"/>
          <w:b/>
          <w:sz w:val="24"/>
          <w:u w:val="single"/>
        </w:rPr>
      </w:pPr>
      <w:r>
        <w:rPr>
          <w:rFonts w:ascii="Times New Roman" w:hAnsi="Times New Roman"/>
          <w:b/>
          <w:sz w:val="24"/>
          <w:u w:val="single"/>
        </w:rPr>
        <w:t>„</w:t>
      </w:r>
      <w:r w:rsidR="002648B0">
        <w:rPr>
          <w:rFonts w:ascii="Times New Roman" w:hAnsi="Times New Roman"/>
          <w:b/>
          <w:sz w:val="24"/>
          <w:u w:val="single"/>
        </w:rPr>
        <w:t>PRILOGA II</w:t>
      </w:r>
    </w:p>
    <w:p w:rsidR="002648B0" w:rsidRPr="00392FFD" w:rsidRDefault="002648B0" w:rsidP="00C87CEE">
      <w:pPr>
        <w:jc w:val="center"/>
        <w:rPr>
          <w:rFonts w:ascii="Times New Roman" w:hAnsi="Times New Roman"/>
          <w:b/>
          <w:sz w:val="24"/>
        </w:rPr>
      </w:pPr>
      <w:r>
        <w:rPr>
          <w:rFonts w:ascii="Times New Roman" w:hAnsi="Times New Roman"/>
          <w:b/>
          <w:sz w:val="24"/>
        </w:rPr>
        <w:t>POROČANJE O KAPITALU IN KAPITALSKIH ZAHTEVAH</w:t>
      </w:r>
    </w:p>
    <w:p w:rsidR="00436204" w:rsidRPr="00392FFD" w:rsidRDefault="00436204" w:rsidP="00C87CEE">
      <w:pPr>
        <w:jc w:val="center"/>
        <w:rPr>
          <w:rFonts w:ascii="Times New Roman" w:hAnsi="Times New Roman"/>
          <w:b/>
          <w:sz w:val="24"/>
        </w:rPr>
      </w:pPr>
    </w:p>
    <w:p w:rsidR="00783881" w:rsidRPr="00392FFD" w:rsidRDefault="002648B0" w:rsidP="00FD239F">
      <w:pPr>
        <w:pStyle w:val="InstructionsText"/>
      </w:pPr>
      <w:r>
        <w:t>Vsebinsko kazalo</w:t>
      </w:r>
    </w:p>
    <w:p w:rsidR="0047639A" w:rsidRDefault="004B34D1">
      <w:pPr>
        <w:pStyle w:val="TOC2"/>
        <w:rPr>
          <w:rFonts w:asciiTheme="minorHAnsi" w:eastAsiaTheme="minorEastAsia" w:hAnsiTheme="minorHAnsi" w:cstheme="minorBidi"/>
          <w:b w:val="0"/>
          <w:smallCaps w:val="0"/>
          <w:sz w:val="22"/>
          <w:lang w:bidi="ar-SA"/>
        </w:rPr>
      </w:pPr>
      <w:r>
        <w:rPr>
          <w:rFonts w:ascii="Times New Roman" w:hAnsi="Times New Roman"/>
          <w:sz w:val="24"/>
          <w:szCs w:val="24"/>
        </w:rPr>
        <w:fldChar w:fldCharType="begin"/>
      </w:r>
      <w:r w:rsidR="00745369">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23474348" w:history="1">
        <w:r w:rsidR="0047639A" w:rsidRPr="00BC1022">
          <w:rPr>
            <w:rStyle w:val="Hyperlink"/>
            <w:rFonts w:ascii="Times New Roman" w:hAnsi="Times New Roman"/>
          </w:rPr>
          <w:t>DEL I: SPLOŠNA NAVODILA</w:t>
        </w:r>
        <w:r w:rsidR="0047639A">
          <w:rPr>
            <w:webHidden/>
          </w:rPr>
          <w:tab/>
        </w:r>
        <w:r w:rsidR="0047639A">
          <w:rPr>
            <w:webHidden/>
          </w:rPr>
          <w:fldChar w:fldCharType="begin"/>
        </w:r>
        <w:r w:rsidR="0047639A">
          <w:rPr>
            <w:webHidden/>
          </w:rPr>
          <w:instrText xml:space="preserve"> PAGEREF _Toc523474348 \h </w:instrText>
        </w:r>
        <w:r w:rsidR="0047639A">
          <w:rPr>
            <w:webHidden/>
          </w:rPr>
        </w:r>
        <w:r w:rsidR="0047639A">
          <w:rPr>
            <w:webHidden/>
          </w:rPr>
          <w:fldChar w:fldCharType="separate"/>
        </w:r>
        <w:r w:rsidR="0047639A">
          <w:rPr>
            <w:webHidden/>
          </w:rPr>
          <w:t>5</w:t>
        </w:r>
        <w:r w:rsidR="0047639A">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49" w:history="1">
        <w:r w:rsidRPr="00BC1022">
          <w:rPr>
            <w:rStyle w:val="Hyperlink"/>
            <w:rFonts w:ascii="Times New Roman" w:hAnsi="Times New Roman"/>
          </w:rPr>
          <w:t>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Struktura in dogovori</w:t>
        </w:r>
        <w:r>
          <w:rPr>
            <w:webHidden/>
          </w:rPr>
          <w:tab/>
        </w:r>
        <w:r>
          <w:rPr>
            <w:webHidden/>
          </w:rPr>
          <w:fldChar w:fldCharType="begin"/>
        </w:r>
        <w:r>
          <w:rPr>
            <w:webHidden/>
          </w:rPr>
          <w:instrText xml:space="preserve"> PAGEREF _Toc523474349 \h </w:instrText>
        </w:r>
        <w:r>
          <w:rPr>
            <w:webHidden/>
          </w:rPr>
        </w:r>
        <w:r>
          <w:rPr>
            <w:webHidden/>
          </w:rPr>
          <w:fldChar w:fldCharType="separate"/>
        </w:r>
        <w:r>
          <w:rPr>
            <w:webHidden/>
          </w:rPr>
          <w:t>5</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50" w:history="1">
        <w:r w:rsidRPr="00BC1022">
          <w:rPr>
            <w:rStyle w:val="Hyperlink"/>
            <w:rFonts w:ascii="Times New Roman" w:hAnsi="Times New Roman"/>
          </w:rPr>
          <w:t>1.1.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Struktura</w:t>
        </w:r>
        <w:r>
          <w:rPr>
            <w:webHidden/>
          </w:rPr>
          <w:tab/>
        </w:r>
        <w:r>
          <w:rPr>
            <w:webHidden/>
          </w:rPr>
          <w:fldChar w:fldCharType="begin"/>
        </w:r>
        <w:r>
          <w:rPr>
            <w:webHidden/>
          </w:rPr>
          <w:instrText xml:space="preserve"> PAGEREF _Toc523474350 \h </w:instrText>
        </w:r>
        <w:r>
          <w:rPr>
            <w:webHidden/>
          </w:rPr>
        </w:r>
        <w:r>
          <w:rPr>
            <w:webHidden/>
          </w:rPr>
          <w:fldChar w:fldCharType="separate"/>
        </w:r>
        <w:r>
          <w:rPr>
            <w:webHidden/>
          </w:rPr>
          <w:t>5</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51" w:history="1">
        <w:r w:rsidRPr="00BC1022">
          <w:rPr>
            <w:rStyle w:val="Hyperlink"/>
            <w:rFonts w:ascii="Times New Roman" w:hAnsi="Times New Roman"/>
          </w:rPr>
          <w:t>1.2.</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Dogovor glede oštevilčenja</w:t>
        </w:r>
        <w:r>
          <w:rPr>
            <w:webHidden/>
          </w:rPr>
          <w:tab/>
        </w:r>
        <w:r>
          <w:rPr>
            <w:webHidden/>
          </w:rPr>
          <w:fldChar w:fldCharType="begin"/>
        </w:r>
        <w:r>
          <w:rPr>
            <w:webHidden/>
          </w:rPr>
          <w:instrText xml:space="preserve"> PAGEREF _Toc523474351 \h </w:instrText>
        </w:r>
        <w:r>
          <w:rPr>
            <w:webHidden/>
          </w:rPr>
        </w:r>
        <w:r>
          <w:rPr>
            <w:webHidden/>
          </w:rPr>
          <w:fldChar w:fldCharType="separate"/>
        </w:r>
        <w:r>
          <w:rPr>
            <w:webHidden/>
          </w:rPr>
          <w:t>5</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52" w:history="1">
        <w:r w:rsidRPr="00BC1022">
          <w:rPr>
            <w:rStyle w:val="Hyperlink"/>
            <w:rFonts w:ascii="Times New Roman" w:hAnsi="Times New Roman"/>
          </w:rPr>
          <w:t>1.3.</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Dogovor glede predznaka</w:t>
        </w:r>
        <w:r>
          <w:rPr>
            <w:webHidden/>
          </w:rPr>
          <w:tab/>
        </w:r>
        <w:r>
          <w:rPr>
            <w:webHidden/>
          </w:rPr>
          <w:fldChar w:fldCharType="begin"/>
        </w:r>
        <w:r>
          <w:rPr>
            <w:webHidden/>
          </w:rPr>
          <w:instrText xml:space="preserve"> PAGEREF _Toc523474352 \h </w:instrText>
        </w:r>
        <w:r>
          <w:rPr>
            <w:webHidden/>
          </w:rPr>
        </w:r>
        <w:r>
          <w:rPr>
            <w:webHidden/>
          </w:rPr>
          <w:fldChar w:fldCharType="separate"/>
        </w:r>
        <w:r>
          <w:rPr>
            <w:webHidden/>
          </w:rPr>
          <w:t>6</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53" w:history="1">
        <w:r w:rsidRPr="00BC1022">
          <w:rPr>
            <w:rStyle w:val="Hyperlink"/>
            <w:rFonts w:ascii="Times New Roman" w:hAnsi="Times New Roman"/>
          </w:rPr>
          <w:t>1.4.</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Okrajšave</w:t>
        </w:r>
        <w:r>
          <w:rPr>
            <w:webHidden/>
          </w:rPr>
          <w:tab/>
        </w:r>
        <w:r>
          <w:rPr>
            <w:webHidden/>
          </w:rPr>
          <w:fldChar w:fldCharType="begin"/>
        </w:r>
        <w:r>
          <w:rPr>
            <w:webHidden/>
          </w:rPr>
          <w:instrText xml:space="preserve"> PAGEREF _Toc523474353 \h </w:instrText>
        </w:r>
        <w:r>
          <w:rPr>
            <w:webHidden/>
          </w:rPr>
        </w:r>
        <w:r>
          <w:rPr>
            <w:webHidden/>
          </w:rPr>
          <w:fldChar w:fldCharType="separate"/>
        </w:r>
        <w:r>
          <w:rPr>
            <w:webHidden/>
          </w:rPr>
          <w:t>6</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54" w:history="1">
        <w:r w:rsidRPr="00BC1022">
          <w:rPr>
            <w:rStyle w:val="Hyperlink"/>
            <w:rFonts w:ascii="Times New Roman" w:hAnsi="Times New Roman"/>
          </w:rPr>
          <w:t>DEL II: NAVODILA V ZVEZI S PREDLOGAMI</w:t>
        </w:r>
        <w:r>
          <w:rPr>
            <w:webHidden/>
          </w:rPr>
          <w:tab/>
        </w:r>
        <w:r>
          <w:rPr>
            <w:webHidden/>
          </w:rPr>
          <w:fldChar w:fldCharType="begin"/>
        </w:r>
        <w:r>
          <w:rPr>
            <w:webHidden/>
          </w:rPr>
          <w:instrText xml:space="preserve"> PAGEREF _Toc523474354 \h </w:instrText>
        </w:r>
        <w:r>
          <w:rPr>
            <w:webHidden/>
          </w:rPr>
        </w:r>
        <w:r>
          <w:rPr>
            <w:webHidden/>
          </w:rPr>
          <w:fldChar w:fldCharType="separate"/>
        </w:r>
        <w:r>
          <w:rPr>
            <w:webHidden/>
          </w:rPr>
          <w:t>7</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55" w:history="1">
        <w:r w:rsidRPr="00BC1022">
          <w:rPr>
            <w:rStyle w:val="Hyperlink"/>
            <w:rFonts w:ascii="Times New Roman" w:hAnsi="Times New Roman"/>
          </w:rPr>
          <w:t>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Pregled kapitalske ustreznosti (CA)</w:t>
        </w:r>
        <w:r>
          <w:rPr>
            <w:webHidden/>
          </w:rPr>
          <w:tab/>
        </w:r>
        <w:r>
          <w:rPr>
            <w:webHidden/>
          </w:rPr>
          <w:fldChar w:fldCharType="begin"/>
        </w:r>
        <w:r>
          <w:rPr>
            <w:webHidden/>
          </w:rPr>
          <w:instrText xml:space="preserve"> PAGEREF _Toc523474355 \h </w:instrText>
        </w:r>
        <w:r>
          <w:rPr>
            <w:webHidden/>
          </w:rPr>
        </w:r>
        <w:r>
          <w:rPr>
            <w:webHidden/>
          </w:rPr>
          <w:fldChar w:fldCharType="separate"/>
        </w:r>
        <w:r>
          <w:rPr>
            <w:webHidden/>
          </w:rPr>
          <w:t>7</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56" w:history="1">
        <w:r w:rsidRPr="00BC1022">
          <w:rPr>
            <w:rStyle w:val="Hyperlink"/>
            <w:rFonts w:ascii="Times New Roman" w:hAnsi="Times New Roman"/>
          </w:rPr>
          <w:t>1.1.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Splošne opombe</w:t>
        </w:r>
        <w:r>
          <w:rPr>
            <w:webHidden/>
          </w:rPr>
          <w:tab/>
        </w:r>
        <w:r>
          <w:rPr>
            <w:webHidden/>
          </w:rPr>
          <w:fldChar w:fldCharType="begin"/>
        </w:r>
        <w:r>
          <w:rPr>
            <w:webHidden/>
          </w:rPr>
          <w:instrText xml:space="preserve"> PAGEREF _Toc523474356 \h </w:instrText>
        </w:r>
        <w:r>
          <w:rPr>
            <w:webHidden/>
          </w:rPr>
        </w:r>
        <w:r>
          <w:rPr>
            <w:webHidden/>
          </w:rPr>
          <w:fldChar w:fldCharType="separate"/>
        </w:r>
        <w:r>
          <w:rPr>
            <w:webHidden/>
          </w:rPr>
          <w:t>7</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57" w:history="1">
        <w:r w:rsidRPr="00BC1022">
          <w:rPr>
            <w:rStyle w:val="Hyperlink"/>
            <w:rFonts w:ascii="Times New Roman" w:hAnsi="Times New Roman"/>
          </w:rPr>
          <w:t>1.2.</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C 01.00 – KAPITAL (CA1)</w:t>
        </w:r>
        <w:r>
          <w:rPr>
            <w:webHidden/>
          </w:rPr>
          <w:tab/>
        </w:r>
        <w:r>
          <w:rPr>
            <w:webHidden/>
          </w:rPr>
          <w:fldChar w:fldCharType="begin"/>
        </w:r>
        <w:r>
          <w:rPr>
            <w:webHidden/>
          </w:rPr>
          <w:instrText xml:space="preserve"> PAGEREF _Toc523474357 \h </w:instrText>
        </w:r>
        <w:r>
          <w:rPr>
            <w:webHidden/>
          </w:rPr>
        </w:r>
        <w:r>
          <w:rPr>
            <w:webHidden/>
          </w:rPr>
          <w:fldChar w:fldCharType="separate"/>
        </w:r>
        <w:r>
          <w:rPr>
            <w:webHidden/>
          </w:rPr>
          <w:t>8</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58" w:history="1">
        <w:r w:rsidRPr="00BC1022">
          <w:rPr>
            <w:rStyle w:val="Hyperlink"/>
            <w:rFonts w:ascii="Times New Roman" w:hAnsi="Times New Roman"/>
          </w:rPr>
          <w:t>1.2.1.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Navodila za posamezne pozicije</w:t>
        </w:r>
        <w:r>
          <w:rPr>
            <w:webHidden/>
          </w:rPr>
          <w:tab/>
        </w:r>
        <w:r>
          <w:rPr>
            <w:webHidden/>
          </w:rPr>
          <w:fldChar w:fldCharType="begin"/>
        </w:r>
        <w:r>
          <w:rPr>
            <w:webHidden/>
          </w:rPr>
          <w:instrText xml:space="preserve"> PAGEREF _Toc523474358 \h </w:instrText>
        </w:r>
        <w:r>
          <w:rPr>
            <w:webHidden/>
          </w:rPr>
        </w:r>
        <w:r>
          <w:rPr>
            <w:webHidden/>
          </w:rPr>
          <w:fldChar w:fldCharType="separate"/>
        </w:r>
        <w:r>
          <w:rPr>
            <w:webHidden/>
          </w:rPr>
          <w:t>8</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59" w:history="1">
        <w:r w:rsidRPr="00BC1022">
          <w:rPr>
            <w:rStyle w:val="Hyperlink"/>
            <w:rFonts w:ascii="Times New Roman" w:hAnsi="Times New Roman"/>
          </w:rPr>
          <w:t>1.3.</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C 02.00 – KAPITALSKE ZAHTEVE (CA2)</w:t>
        </w:r>
        <w:r>
          <w:rPr>
            <w:webHidden/>
          </w:rPr>
          <w:tab/>
        </w:r>
        <w:r>
          <w:rPr>
            <w:webHidden/>
          </w:rPr>
          <w:fldChar w:fldCharType="begin"/>
        </w:r>
        <w:r>
          <w:rPr>
            <w:webHidden/>
          </w:rPr>
          <w:instrText xml:space="preserve"> PAGEREF _Toc523474359 \h </w:instrText>
        </w:r>
        <w:r>
          <w:rPr>
            <w:webHidden/>
          </w:rPr>
        </w:r>
        <w:r>
          <w:rPr>
            <w:webHidden/>
          </w:rPr>
          <w:fldChar w:fldCharType="separate"/>
        </w:r>
        <w:r>
          <w:rPr>
            <w:webHidden/>
          </w:rPr>
          <w:t>24</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60" w:history="1">
        <w:r w:rsidRPr="00BC1022">
          <w:rPr>
            <w:rStyle w:val="Hyperlink"/>
            <w:rFonts w:ascii="Times New Roman" w:hAnsi="Times New Roman"/>
          </w:rPr>
          <w:t>1.3.1.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Navodila za posamezne pozicije</w:t>
        </w:r>
        <w:r>
          <w:rPr>
            <w:webHidden/>
          </w:rPr>
          <w:tab/>
        </w:r>
        <w:r>
          <w:rPr>
            <w:webHidden/>
          </w:rPr>
          <w:fldChar w:fldCharType="begin"/>
        </w:r>
        <w:r>
          <w:rPr>
            <w:webHidden/>
          </w:rPr>
          <w:instrText xml:space="preserve"> PAGEREF _Toc523474360 \h </w:instrText>
        </w:r>
        <w:r>
          <w:rPr>
            <w:webHidden/>
          </w:rPr>
        </w:r>
        <w:r>
          <w:rPr>
            <w:webHidden/>
          </w:rPr>
          <w:fldChar w:fldCharType="separate"/>
        </w:r>
        <w:r>
          <w:rPr>
            <w:webHidden/>
          </w:rPr>
          <w:t>24</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61" w:history="1">
        <w:r w:rsidRPr="00BC1022">
          <w:rPr>
            <w:rStyle w:val="Hyperlink"/>
            <w:rFonts w:ascii="Times New Roman" w:hAnsi="Times New Roman"/>
          </w:rPr>
          <w:t>1.4</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C 03.00 – KAPITALSKI KOLIČNIKI IN RAVNI KAPITALA (CA3)</w:t>
        </w:r>
        <w:r>
          <w:rPr>
            <w:webHidden/>
          </w:rPr>
          <w:tab/>
        </w:r>
        <w:r>
          <w:rPr>
            <w:webHidden/>
          </w:rPr>
          <w:fldChar w:fldCharType="begin"/>
        </w:r>
        <w:r>
          <w:rPr>
            <w:webHidden/>
          </w:rPr>
          <w:instrText xml:space="preserve"> PAGEREF _Toc523474361 \h </w:instrText>
        </w:r>
        <w:r>
          <w:rPr>
            <w:webHidden/>
          </w:rPr>
        </w:r>
        <w:r>
          <w:rPr>
            <w:webHidden/>
          </w:rPr>
          <w:fldChar w:fldCharType="separate"/>
        </w:r>
        <w:r>
          <w:rPr>
            <w:webHidden/>
          </w:rPr>
          <w:t>34</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62" w:history="1">
        <w:r w:rsidRPr="00BC1022">
          <w:rPr>
            <w:rStyle w:val="Hyperlink"/>
            <w:rFonts w:ascii="Times New Roman" w:hAnsi="Times New Roman"/>
          </w:rPr>
          <w:t>1.4.1.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Navodila za posamezne pozicije</w:t>
        </w:r>
        <w:r>
          <w:rPr>
            <w:webHidden/>
          </w:rPr>
          <w:tab/>
        </w:r>
        <w:r>
          <w:rPr>
            <w:webHidden/>
          </w:rPr>
          <w:fldChar w:fldCharType="begin"/>
        </w:r>
        <w:r>
          <w:rPr>
            <w:webHidden/>
          </w:rPr>
          <w:instrText xml:space="preserve"> PAGEREF _Toc523474362 \h </w:instrText>
        </w:r>
        <w:r>
          <w:rPr>
            <w:webHidden/>
          </w:rPr>
        </w:r>
        <w:r>
          <w:rPr>
            <w:webHidden/>
          </w:rPr>
          <w:fldChar w:fldCharType="separate"/>
        </w:r>
        <w:r>
          <w:rPr>
            <w:webHidden/>
          </w:rPr>
          <w:t>34</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63" w:history="1">
        <w:r w:rsidRPr="00BC1022">
          <w:rPr>
            <w:rStyle w:val="Hyperlink"/>
            <w:rFonts w:ascii="Times New Roman" w:hAnsi="Times New Roman"/>
          </w:rPr>
          <w:t>1.5.</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C 04.00 – POJASNJEVALNE POSTAVKE (CA4)</w:t>
        </w:r>
        <w:r>
          <w:rPr>
            <w:webHidden/>
          </w:rPr>
          <w:tab/>
        </w:r>
        <w:r>
          <w:rPr>
            <w:webHidden/>
          </w:rPr>
          <w:fldChar w:fldCharType="begin"/>
        </w:r>
        <w:r>
          <w:rPr>
            <w:webHidden/>
          </w:rPr>
          <w:instrText xml:space="preserve"> PAGEREF _Toc523474363 \h </w:instrText>
        </w:r>
        <w:r>
          <w:rPr>
            <w:webHidden/>
          </w:rPr>
        </w:r>
        <w:r>
          <w:rPr>
            <w:webHidden/>
          </w:rPr>
          <w:fldChar w:fldCharType="separate"/>
        </w:r>
        <w:r>
          <w:rPr>
            <w:webHidden/>
          </w:rPr>
          <w:t>37</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64" w:history="1">
        <w:r w:rsidRPr="00BC1022">
          <w:rPr>
            <w:rStyle w:val="Hyperlink"/>
            <w:rFonts w:ascii="Times New Roman" w:hAnsi="Times New Roman"/>
          </w:rPr>
          <w:t>1.5.1.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Navodila za posamezne pozicije</w:t>
        </w:r>
        <w:r>
          <w:rPr>
            <w:webHidden/>
          </w:rPr>
          <w:tab/>
        </w:r>
        <w:r>
          <w:rPr>
            <w:webHidden/>
          </w:rPr>
          <w:fldChar w:fldCharType="begin"/>
        </w:r>
        <w:r>
          <w:rPr>
            <w:webHidden/>
          </w:rPr>
          <w:instrText xml:space="preserve"> PAGEREF _Toc523474364 \h </w:instrText>
        </w:r>
        <w:r>
          <w:rPr>
            <w:webHidden/>
          </w:rPr>
        </w:r>
        <w:r>
          <w:rPr>
            <w:webHidden/>
          </w:rPr>
          <w:fldChar w:fldCharType="separate"/>
        </w:r>
        <w:r>
          <w:rPr>
            <w:webHidden/>
          </w:rPr>
          <w:t>37</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65" w:history="1">
        <w:r w:rsidRPr="00BC1022">
          <w:rPr>
            <w:rStyle w:val="Hyperlink"/>
            <w:rFonts w:ascii="Times New Roman" w:hAnsi="Times New Roman"/>
          </w:rPr>
          <w:t>1.6</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PREHODNE DOLOČBE in INSTRUMENTI, ZA KATERE SE UPORABLJAJO PREDHODNA PRAVILA: INSTRUMENTI, KI NE TVORIJO DRŽAVNE POMOČI (CA5)</w:t>
        </w:r>
        <w:r>
          <w:rPr>
            <w:webHidden/>
          </w:rPr>
          <w:tab/>
        </w:r>
        <w:r>
          <w:rPr>
            <w:webHidden/>
          </w:rPr>
          <w:fldChar w:fldCharType="begin"/>
        </w:r>
        <w:r>
          <w:rPr>
            <w:webHidden/>
          </w:rPr>
          <w:instrText xml:space="preserve"> PAGEREF _Toc523474365 \h </w:instrText>
        </w:r>
        <w:r>
          <w:rPr>
            <w:webHidden/>
          </w:rPr>
        </w:r>
        <w:r>
          <w:rPr>
            <w:webHidden/>
          </w:rPr>
          <w:fldChar w:fldCharType="separate"/>
        </w:r>
        <w:r>
          <w:rPr>
            <w:webHidden/>
          </w:rPr>
          <w:t>53</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66" w:history="1">
        <w:r w:rsidRPr="00BC1022">
          <w:rPr>
            <w:rStyle w:val="Hyperlink"/>
            <w:rFonts w:ascii="Times New Roman" w:hAnsi="Times New Roman"/>
          </w:rPr>
          <w:t>1.6.1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Splošne opombe</w:t>
        </w:r>
        <w:r>
          <w:rPr>
            <w:webHidden/>
          </w:rPr>
          <w:tab/>
        </w:r>
        <w:r>
          <w:rPr>
            <w:webHidden/>
          </w:rPr>
          <w:fldChar w:fldCharType="begin"/>
        </w:r>
        <w:r>
          <w:rPr>
            <w:webHidden/>
          </w:rPr>
          <w:instrText xml:space="preserve"> PAGEREF _Toc523474366 \h </w:instrText>
        </w:r>
        <w:r>
          <w:rPr>
            <w:webHidden/>
          </w:rPr>
        </w:r>
        <w:r>
          <w:rPr>
            <w:webHidden/>
          </w:rPr>
          <w:fldChar w:fldCharType="separate"/>
        </w:r>
        <w:r>
          <w:rPr>
            <w:webHidden/>
          </w:rPr>
          <w:t>53</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67" w:history="1">
        <w:r w:rsidRPr="00BC1022">
          <w:rPr>
            <w:rStyle w:val="Hyperlink"/>
            <w:rFonts w:ascii="Times New Roman" w:hAnsi="Times New Roman"/>
          </w:rPr>
          <w:t>1.6.2.</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C 05.01 – PREHODNE DOLOČBE (CA5.1)</w:t>
        </w:r>
        <w:r>
          <w:rPr>
            <w:webHidden/>
          </w:rPr>
          <w:tab/>
        </w:r>
        <w:r>
          <w:rPr>
            <w:webHidden/>
          </w:rPr>
          <w:fldChar w:fldCharType="begin"/>
        </w:r>
        <w:r>
          <w:rPr>
            <w:webHidden/>
          </w:rPr>
          <w:instrText xml:space="preserve"> PAGEREF _Toc523474367 \h </w:instrText>
        </w:r>
        <w:r>
          <w:rPr>
            <w:webHidden/>
          </w:rPr>
        </w:r>
        <w:r>
          <w:rPr>
            <w:webHidden/>
          </w:rPr>
          <w:fldChar w:fldCharType="separate"/>
        </w:r>
        <w:r>
          <w:rPr>
            <w:webHidden/>
          </w:rPr>
          <w:t>54</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68" w:history="1">
        <w:r w:rsidRPr="00BC1022">
          <w:rPr>
            <w:rStyle w:val="Hyperlink"/>
            <w:rFonts w:ascii="Times New Roman" w:hAnsi="Times New Roman"/>
          </w:rPr>
          <w:t>1.6.2.1.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Navodila za posamezne pozicije</w:t>
        </w:r>
        <w:r>
          <w:rPr>
            <w:webHidden/>
          </w:rPr>
          <w:tab/>
        </w:r>
        <w:r>
          <w:rPr>
            <w:webHidden/>
          </w:rPr>
          <w:fldChar w:fldCharType="begin"/>
        </w:r>
        <w:r>
          <w:rPr>
            <w:webHidden/>
          </w:rPr>
          <w:instrText xml:space="preserve"> PAGEREF _Toc523474368 \h </w:instrText>
        </w:r>
        <w:r>
          <w:rPr>
            <w:webHidden/>
          </w:rPr>
        </w:r>
        <w:r>
          <w:rPr>
            <w:webHidden/>
          </w:rPr>
          <w:fldChar w:fldCharType="separate"/>
        </w:r>
        <w:r>
          <w:rPr>
            <w:webHidden/>
          </w:rPr>
          <w:t>54</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69" w:history="1">
        <w:r w:rsidRPr="00BC1022">
          <w:rPr>
            <w:rStyle w:val="Hyperlink"/>
            <w:rFonts w:ascii="Times New Roman" w:hAnsi="Times New Roman"/>
          </w:rPr>
          <w:t>1.6.3.</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C 05.02 – INSTRUMENTI, ZA KATERE SE UPORABLJAJO PREDHODNA PRAVILA: INSTRUMENTI, KI NE TVORIJO DRŽAVNE POMOČI (CA5.2)</w:t>
        </w:r>
        <w:r>
          <w:rPr>
            <w:webHidden/>
          </w:rPr>
          <w:tab/>
        </w:r>
        <w:r>
          <w:rPr>
            <w:webHidden/>
          </w:rPr>
          <w:fldChar w:fldCharType="begin"/>
        </w:r>
        <w:r>
          <w:rPr>
            <w:webHidden/>
          </w:rPr>
          <w:instrText xml:space="preserve"> PAGEREF _Toc523474369 \h </w:instrText>
        </w:r>
        <w:r>
          <w:rPr>
            <w:webHidden/>
          </w:rPr>
        </w:r>
        <w:r>
          <w:rPr>
            <w:webHidden/>
          </w:rPr>
          <w:fldChar w:fldCharType="separate"/>
        </w:r>
        <w:r>
          <w:rPr>
            <w:webHidden/>
          </w:rPr>
          <w:t>62</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70" w:history="1">
        <w:r w:rsidRPr="00BC1022">
          <w:rPr>
            <w:rStyle w:val="Hyperlink"/>
            <w:rFonts w:ascii="Times New Roman" w:hAnsi="Times New Roman"/>
          </w:rPr>
          <w:t>1.6.3.1.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Navodila za posamezne pozicije</w:t>
        </w:r>
        <w:r>
          <w:rPr>
            <w:webHidden/>
          </w:rPr>
          <w:tab/>
        </w:r>
        <w:r>
          <w:rPr>
            <w:webHidden/>
          </w:rPr>
          <w:fldChar w:fldCharType="begin"/>
        </w:r>
        <w:r>
          <w:rPr>
            <w:webHidden/>
          </w:rPr>
          <w:instrText xml:space="preserve"> PAGEREF _Toc523474370 \h </w:instrText>
        </w:r>
        <w:r>
          <w:rPr>
            <w:webHidden/>
          </w:rPr>
        </w:r>
        <w:r>
          <w:rPr>
            <w:webHidden/>
          </w:rPr>
          <w:fldChar w:fldCharType="separate"/>
        </w:r>
        <w:r>
          <w:rPr>
            <w:webHidden/>
          </w:rPr>
          <w:t>63</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71" w:history="1">
        <w:r w:rsidRPr="00BC1022">
          <w:rPr>
            <w:rStyle w:val="Hyperlink"/>
            <w:rFonts w:ascii="Times New Roman" w:hAnsi="Times New Roman"/>
          </w:rPr>
          <w:t>2.</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KAPITALSKA USTREZNOST SKUPINE: INFORMACIJE O POVEZANIH SUBJEKTIH (GS)</w:t>
        </w:r>
        <w:r>
          <w:rPr>
            <w:webHidden/>
          </w:rPr>
          <w:tab/>
        </w:r>
        <w:r>
          <w:rPr>
            <w:webHidden/>
          </w:rPr>
          <w:fldChar w:fldCharType="begin"/>
        </w:r>
        <w:r>
          <w:rPr>
            <w:webHidden/>
          </w:rPr>
          <w:instrText xml:space="preserve"> PAGEREF _Toc523474371 \h </w:instrText>
        </w:r>
        <w:r>
          <w:rPr>
            <w:webHidden/>
          </w:rPr>
        </w:r>
        <w:r>
          <w:rPr>
            <w:webHidden/>
          </w:rPr>
          <w:fldChar w:fldCharType="separate"/>
        </w:r>
        <w:r>
          <w:rPr>
            <w:webHidden/>
          </w:rPr>
          <w:t>65</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72" w:history="1">
        <w:r w:rsidRPr="00BC1022">
          <w:rPr>
            <w:rStyle w:val="Hyperlink"/>
            <w:rFonts w:ascii="Times New Roman" w:hAnsi="Times New Roman"/>
          </w:rPr>
          <w:t>2.1.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Splošne opombe</w:t>
        </w:r>
        <w:r>
          <w:rPr>
            <w:webHidden/>
          </w:rPr>
          <w:tab/>
        </w:r>
        <w:r>
          <w:rPr>
            <w:webHidden/>
          </w:rPr>
          <w:fldChar w:fldCharType="begin"/>
        </w:r>
        <w:r>
          <w:rPr>
            <w:webHidden/>
          </w:rPr>
          <w:instrText xml:space="preserve"> PAGEREF _Toc523474372 \h </w:instrText>
        </w:r>
        <w:r>
          <w:rPr>
            <w:webHidden/>
          </w:rPr>
        </w:r>
        <w:r>
          <w:rPr>
            <w:webHidden/>
          </w:rPr>
          <w:fldChar w:fldCharType="separate"/>
        </w:r>
        <w:r>
          <w:rPr>
            <w:webHidden/>
          </w:rPr>
          <w:t>65</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73" w:history="1">
        <w:r w:rsidRPr="00BC1022">
          <w:rPr>
            <w:rStyle w:val="Hyperlink"/>
            <w:rFonts w:ascii="Times New Roman" w:hAnsi="Times New Roman"/>
          </w:rPr>
          <w:t>2.2.</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Podrobne informacije o kapitalski ustreznosti skupine;</w:t>
        </w:r>
        <w:r>
          <w:rPr>
            <w:webHidden/>
          </w:rPr>
          <w:tab/>
        </w:r>
        <w:r>
          <w:rPr>
            <w:webHidden/>
          </w:rPr>
          <w:fldChar w:fldCharType="begin"/>
        </w:r>
        <w:r>
          <w:rPr>
            <w:webHidden/>
          </w:rPr>
          <w:instrText xml:space="preserve"> PAGEREF _Toc523474373 \h </w:instrText>
        </w:r>
        <w:r>
          <w:rPr>
            <w:webHidden/>
          </w:rPr>
        </w:r>
        <w:r>
          <w:rPr>
            <w:webHidden/>
          </w:rPr>
          <w:fldChar w:fldCharType="separate"/>
        </w:r>
        <w:r>
          <w:rPr>
            <w:webHidden/>
          </w:rPr>
          <w:t>65</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74" w:history="1">
        <w:r w:rsidRPr="00BC1022">
          <w:rPr>
            <w:rStyle w:val="Hyperlink"/>
            <w:rFonts w:ascii="Times New Roman" w:hAnsi="Times New Roman"/>
          </w:rPr>
          <w:t>2.3.</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Informacije o prispevkih posameznih subjektov h kapitalski ustreznosti skupine</w:t>
        </w:r>
        <w:r>
          <w:rPr>
            <w:webHidden/>
          </w:rPr>
          <w:tab/>
        </w:r>
        <w:r>
          <w:rPr>
            <w:webHidden/>
          </w:rPr>
          <w:fldChar w:fldCharType="begin"/>
        </w:r>
        <w:r>
          <w:rPr>
            <w:webHidden/>
          </w:rPr>
          <w:instrText xml:space="preserve"> PAGEREF _Toc523474374 \h </w:instrText>
        </w:r>
        <w:r>
          <w:rPr>
            <w:webHidden/>
          </w:rPr>
        </w:r>
        <w:r>
          <w:rPr>
            <w:webHidden/>
          </w:rPr>
          <w:fldChar w:fldCharType="separate"/>
        </w:r>
        <w:r>
          <w:rPr>
            <w:webHidden/>
          </w:rPr>
          <w:t>66</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75" w:history="1">
        <w:r w:rsidRPr="00BC1022">
          <w:rPr>
            <w:rStyle w:val="Hyperlink"/>
            <w:rFonts w:ascii="Times New Roman" w:hAnsi="Times New Roman"/>
          </w:rPr>
          <w:t>2.4.</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C 06.01 – KAPITALSKA USTREZNOST SKUPINE: INFORMACIJE O POVEZANIH SUBJEKTIH – Skupaj (GS Total)</w:t>
        </w:r>
        <w:r>
          <w:rPr>
            <w:webHidden/>
          </w:rPr>
          <w:tab/>
        </w:r>
        <w:r>
          <w:rPr>
            <w:webHidden/>
          </w:rPr>
          <w:fldChar w:fldCharType="begin"/>
        </w:r>
        <w:r>
          <w:rPr>
            <w:webHidden/>
          </w:rPr>
          <w:instrText xml:space="preserve"> PAGEREF _Toc523474375 \h </w:instrText>
        </w:r>
        <w:r>
          <w:rPr>
            <w:webHidden/>
          </w:rPr>
        </w:r>
        <w:r>
          <w:rPr>
            <w:webHidden/>
          </w:rPr>
          <w:fldChar w:fldCharType="separate"/>
        </w:r>
        <w:r>
          <w:rPr>
            <w:webHidden/>
          </w:rPr>
          <w:t>66</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76" w:history="1">
        <w:r w:rsidRPr="00BC1022">
          <w:rPr>
            <w:rStyle w:val="Hyperlink"/>
            <w:rFonts w:ascii="Times New Roman" w:hAnsi="Times New Roman"/>
          </w:rPr>
          <w:t>2.5.</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C 06.02 – KAPITALSKA USTREZNOST SKUPINE: INFORMACIJE O POVEZANIH SUBJEKTIH (GS)</w:t>
        </w:r>
        <w:r>
          <w:rPr>
            <w:webHidden/>
          </w:rPr>
          <w:tab/>
        </w:r>
        <w:r>
          <w:rPr>
            <w:webHidden/>
          </w:rPr>
          <w:fldChar w:fldCharType="begin"/>
        </w:r>
        <w:r>
          <w:rPr>
            <w:webHidden/>
          </w:rPr>
          <w:instrText xml:space="preserve"> PAGEREF _Toc523474376 \h </w:instrText>
        </w:r>
        <w:r>
          <w:rPr>
            <w:webHidden/>
          </w:rPr>
        </w:r>
        <w:r>
          <w:rPr>
            <w:webHidden/>
          </w:rPr>
          <w:fldChar w:fldCharType="separate"/>
        </w:r>
        <w:r>
          <w:rPr>
            <w:webHidden/>
          </w:rPr>
          <w:t>67</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77" w:history="1">
        <w:r w:rsidRPr="00BC1022">
          <w:rPr>
            <w:rStyle w:val="Hyperlink"/>
            <w:rFonts w:ascii="Times New Roman" w:hAnsi="Times New Roman"/>
          </w:rPr>
          <w:t>3.</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Predloge za kreditno tveganje</w:t>
        </w:r>
        <w:r>
          <w:rPr>
            <w:webHidden/>
          </w:rPr>
          <w:tab/>
        </w:r>
        <w:r>
          <w:rPr>
            <w:webHidden/>
          </w:rPr>
          <w:fldChar w:fldCharType="begin"/>
        </w:r>
        <w:r>
          <w:rPr>
            <w:webHidden/>
          </w:rPr>
          <w:instrText xml:space="preserve"> PAGEREF _Toc523474377 \h </w:instrText>
        </w:r>
        <w:r>
          <w:rPr>
            <w:webHidden/>
          </w:rPr>
        </w:r>
        <w:r>
          <w:rPr>
            <w:webHidden/>
          </w:rPr>
          <w:fldChar w:fldCharType="separate"/>
        </w:r>
        <w:r>
          <w:rPr>
            <w:webHidden/>
          </w:rPr>
          <w:t>75</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78" w:history="1">
        <w:r w:rsidRPr="00BC1022">
          <w:rPr>
            <w:rStyle w:val="Hyperlink"/>
            <w:rFonts w:ascii="Times New Roman" w:hAnsi="Times New Roman"/>
          </w:rPr>
          <w:t>3.1.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Splošne opombe</w:t>
        </w:r>
        <w:r>
          <w:rPr>
            <w:webHidden/>
          </w:rPr>
          <w:tab/>
        </w:r>
        <w:r>
          <w:rPr>
            <w:webHidden/>
          </w:rPr>
          <w:fldChar w:fldCharType="begin"/>
        </w:r>
        <w:r>
          <w:rPr>
            <w:webHidden/>
          </w:rPr>
          <w:instrText xml:space="preserve"> PAGEREF _Toc523474378 \h </w:instrText>
        </w:r>
        <w:r>
          <w:rPr>
            <w:webHidden/>
          </w:rPr>
        </w:r>
        <w:r>
          <w:rPr>
            <w:webHidden/>
          </w:rPr>
          <w:fldChar w:fldCharType="separate"/>
        </w:r>
        <w:r>
          <w:rPr>
            <w:webHidden/>
          </w:rPr>
          <w:t>75</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79" w:history="1">
        <w:r w:rsidRPr="00BC1022">
          <w:rPr>
            <w:rStyle w:val="Hyperlink"/>
            <w:rFonts w:ascii="Times New Roman" w:hAnsi="Times New Roman"/>
          </w:rPr>
          <w:t>3.1.1.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Poročanje o tehnikah za zmanjševanje kreditnega tveganja z učinkom zamenjave</w:t>
        </w:r>
        <w:r>
          <w:rPr>
            <w:webHidden/>
          </w:rPr>
          <w:tab/>
        </w:r>
        <w:r>
          <w:rPr>
            <w:webHidden/>
          </w:rPr>
          <w:fldChar w:fldCharType="begin"/>
        </w:r>
        <w:r>
          <w:rPr>
            <w:webHidden/>
          </w:rPr>
          <w:instrText xml:space="preserve"> PAGEREF _Toc523474379 \h </w:instrText>
        </w:r>
        <w:r>
          <w:rPr>
            <w:webHidden/>
          </w:rPr>
        </w:r>
        <w:r>
          <w:rPr>
            <w:webHidden/>
          </w:rPr>
          <w:fldChar w:fldCharType="separate"/>
        </w:r>
        <w:r>
          <w:rPr>
            <w:webHidden/>
          </w:rPr>
          <w:t>75</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80" w:history="1">
        <w:r w:rsidRPr="00BC1022">
          <w:rPr>
            <w:rStyle w:val="Hyperlink"/>
            <w:rFonts w:ascii="Times New Roman" w:hAnsi="Times New Roman"/>
          </w:rPr>
          <w:t>3.1.2.</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Poročanje o kreditnem tveganju nasprotne stranke</w:t>
        </w:r>
        <w:r>
          <w:rPr>
            <w:webHidden/>
          </w:rPr>
          <w:tab/>
        </w:r>
        <w:r>
          <w:rPr>
            <w:webHidden/>
          </w:rPr>
          <w:fldChar w:fldCharType="begin"/>
        </w:r>
        <w:r>
          <w:rPr>
            <w:webHidden/>
          </w:rPr>
          <w:instrText xml:space="preserve"> PAGEREF _Toc523474380 \h </w:instrText>
        </w:r>
        <w:r>
          <w:rPr>
            <w:webHidden/>
          </w:rPr>
        </w:r>
        <w:r>
          <w:rPr>
            <w:webHidden/>
          </w:rPr>
          <w:fldChar w:fldCharType="separate"/>
        </w:r>
        <w:r>
          <w:rPr>
            <w:webHidden/>
          </w:rPr>
          <w:t>76</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81" w:history="1">
        <w:r w:rsidRPr="00BC1022">
          <w:rPr>
            <w:rStyle w:val="Hyperlink"/>
            <w:rFonts w:ascii="Times New Roman" w:hAnsi="Times New Roman"/>
          </w:rPr>
          <w:t>3.2.</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C 07.00 – Kreditno tveganje in kreditno tveganje nasprotne stranke ter proste izročitve: Standardizirani pristop h kapitalskim zahtevam (CR SA)</w:t>
        </w:r>
        <w:r>
          <w:rPr>
            <w:webHidden/>
          </w:rPr>
          <w:tab/>
        </w:r>
        <w:r>
          <w:rPr>
            <w:webHidden/>
          </w:rPr>
          <w:fldChar w:fldCharType="begin"/>
        </w:r>
        <w:r>
          <w:rPr>
            <w:webHidden/>
          </w:rPr>
          <w:instrText xml:space="preserve"> PAGEREF _Toc523474381 \h </w:instrText>
        </w:r>
        <w:r>
          <w:rPr>
            <w:webHidden/>
          </w:rPr>
        </w:r>
        <w:r>
          <w:rPr>
            <w:webHidden/>
          </w:rPr>
          <w:fldChar w:fldCharType="separate"/>
        </w:r>
        <w:r>
          <w:rPr>
            <w:webHidden/>
          </w:rPr>
          <w:t>76</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82" w:history="1">
        <w:r w:rsidRPr="00BC1022">
          <w:rPr>
            <w:rStyle w:val="Hyperlink"/>
            <w:rFonts w:ascii="Times New Roman" w:hAnsi="Times New Roman"/>
          </w:rPr>
          <w:t>3.2.1.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Splošne opombe</w:t>
        </w:r>
        <w:r>
          <w:rPr>
            <w:webHidden/>
          </w:rPr>
          <w:tab/>
        </w:r>
        <w:r>
          <w:rPr>
            <w:webHidden/>
          </w:rPr>
          <w:fldChar w:fldCharType="begin"/>
        </w:r>
        <w:r>
          <w:rPr>
            <w:webHidden/>
          </w:rPr>
          <w:instrText xml:space="preserve"> PAGEREF _Toc523474382 \h </w:instrText>
        </w:r>
        <w:r>
          <w:rPr>
            <w:webHidden/>
          </w:rPr>
        </w:r>
        <w:r>
          <w:rPr>
            <w:webHidden/>
          </w:rPr>
          <w:fldChar w:fldCharType="separate"/>
        </w:r>
        <w:r>
          <w:rPr>
            <w:webHidden/>
          </w:rPr>
          <w:t>76</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83" w:history="1">
        <w:r w:rsidRPr="00BC1022">
          <w:rPr>
            <w:rStyle w:val="Hyperlink"/>
            <w:rFonts w:ascii="Times New Roman" w:hAnsi="Times New Roman"/>
          </w:rPr>
          <w:t>3.2.2.</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Obseg predloge CR SA</w:t>
        </w:r>
        <w:r>
          <w:rPr>
            <w:webHidden/>
          </w:rPr>
          <w:tab/>
        </w:r>
        <w:r>
          <w:rPr>
            <w:webHidden/>
          </w:rPr>
          <w:fldChar w:fldCharType="begin"/>
        </w:r>
        <w:r>
          <w:rPr>
            <w:webHidden/>
          </w:rPr>
          <w:instrText xml:space="preserve"> PAGEREF _Toc523474383 \h </w:instrText>
        </w:r>
        <w:r>
          <w:rPr>
            <w:webHidden/>
          </w:rPr>
        </w:r>
        <w:r>
          <w:rPr>
            <w:webHidden/>
          </w:rPr>
          <w:fldChar w:fldCharType="separate"/>
        </w:r>
        <w:r>
          <w:rPr>
            <w:webHidden/>
          </w:rPr>
          <w:t>76</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84" w:history="1">
        <w:r w:rsidRPr="00BC1022">
          <w:rPr>
            <w:rStyle w:val="Hyperlink"/>
            <w:rFonts w:ascii="Times New Roman" w:hAnsi="Times New Roman"/>
          </w:rPr>
          <w:t>3.2.3.</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 xml:space="preserve"> Razvrstitev izpostavljenosti v kategorije izpostavljenosti na podlagi standardiziranega pristopa</w:t>
        </w:r>
        <w:r>
          <w:rPr>
            <w:webHidden/>
          </w:rPr>
          <w:tab/>
        </w:r>
        <w:r>
          <w:rPr>
            <w:webHidden/>
          </w:rPr>
          <w:fldChar w:fldCharType="begin"/>
        </w:r>
        <w:r>
          <w:rPr>
            <w:webHidden/>
          </w:rPr>
          <w:instrText xml:space="preserve"> PAGEREF _Toc523474384 \h </w:instrText>
        </w:r>
        <w:r>
          <w:rPr>
            <w:webHidden/>
          </w:rPr>
        </w:r>
        <w:r>
          <w:rPr>
            <w:webHidden/>
          </w:rPr>
          <w:fldChar w:fldCharType="separate"/>
        </w:r>
        <w:r>
          <w:rPr>
            <w:webHidden/>
          </w:rPr>
          <w:t>78</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85" w:history="1">
        <w:r w:rsidRPr="00BC1022">
          <w:rPr>
            <w:rStyle w:val="Hyperlink"/>
            <w:rFonts w:ascii="Times New Roman" w:hAnsi="Times New Roman"/>
          </w:rPr>
          <w:t>3.2.4.</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Pojasnila glede obsega nekaterih posebnih kategorij izpostavljenosti iz člena 112 CRR</w:t>
        </w:r>
        <w:r>
          <w:rPr>
            <w:webHidden/>
          </w:rPr>
          <w:tab/>
        </w:r>
        <w:r>
          <w:rPr>
            <w:webHidden/>
          </w:rPr>
          <w:fldChar w:fldCharType="begin"/>
        </w:r>
        <w:r>
          <w:rPr>
            <w:webHidden/>
          </w:rPr>
          <w:instrText xml:space="preserve"> PAGEREF _Toc523474385 \h </w:instrText>
        </w:r>
        <w:r>
          <w:rPr>
            <w:webHidden/>
          </w:rPr>
        </w:r>
        <w:r>
          <w:rPr>
            <w:webHidden/>
          </w:rPr>
          <w:fldChar w:fldCharType="separate"/>
        </w:r>
        <w:r>
          <w:rPr>
            <w:webHidden/>
          </w:rPr>
          <w:t>83</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86" w:history="1">
        <w:r w:rsidRPr="00BC1022">
          <w:rPr>
            <w:rStyle w:val="Hyperlink"/>
            <w:rFonts w:ascii="Times New Roman" w:hAnsi="Times New Roman"/>
          </w:rPr>
          <w:t>3.2.4.1.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Kategorija izpostavljenosti „Institucije“</w:t>
        </w:r>
        <w:r>
          <w:rPr>
            <w:webHidden/>
          </w:rPr>
          <w:tab/>
        </w:r>
        <w:r>
          <w:rPr>
            <w:webHidden/>
          </w:rPr>
          <w:fldChar w:fldCharType="begin"/>
        </w:r>
        <w:r>
          <w:rPr>
            <w:webHidden/>
          </w:rPr>
          <w:instrText xml:space="preserve"> PAGEREF _Toc523474386 \h </w:instrText>
        </w:r>
        <w:r>
          <w:rPr>
            <w:webHidden/>
          </w:rPr>
        </w:r>
        <w:r>
          <w:rPr>
            <w:webHidden/>
          </w:rPr>
          <w:fldChar w:fldCharType="separate"/>
        </w:r>
        <w:r>
          <w:rPr>
            <w:webHidden/>
          </w:rPr>
          <w:t>83</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87" w:history="1">
        <w:r w:rsidRPr="00BC1022">
          <w:rPr>
            <w:rStyle w:val="Hyperlink"/>
            <w:rFonts w:ascii="Times New Roman" w:hAnsi="Times New Roman"/>
          </w:rPr>
          <w:t>3.2.4.2.</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Kategorija izpostavljenosti „krite obveznice“</w:t>
        </w:r>
        <w:r>
          <w:rPr>
            <w:webHidden/>
          </w:rPr>
          <w:tab/>
        </w:r>
        <w:r>
          <w:rPr>
            <w:webHidden/>
          </w:rPr>
          <w:fldChar w:fldCharType="begin"/>
        </w:r>
        <w:r>
          <w:rPr>
            <w:webHidden/>
          </w:rPr>
          <w:instrText xml:space="preserve"> PAGEREF _Toc523474387 \h </w:instrText>
        </w:r>
        <w:r>
          <w:rPr>
            <w:webHidden/>
          </w:rPr>
        </w:r>
        <w:r>
          <w:rPr>
            <w:webHidden/>
          </w:rPr>
          <w:fldChar w:fldCharType="separate"/>
        </w:r>
        <w:r>
          <w:rPr>
            <w:webHidden/>
          </w:rPr>
          <w:t>83</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88" w:history="1">
        <w:r w:rsidRPr="00BC1022">
          <w:rPr>
            <w:rStyle w:val="Hyperlink"/>
            <w:rFonts w:ascii="Times New Roman" w:hAnsi="Times New Roman"/>
          </w:rPr>
          <w:t>3.2.4.3.</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Kategorija izpostavljenosti „kolektivni naložbeni podjemi“</w:t>
        </w:r>
        <w:r>
          <w:rPr>
            <w:webHidden/>
          </w:rPr>
          <w:tab/>
        </w:r>
        <w:r>
          <w:rPr>
            <w:webHidden/>
          </w:rPr>
          <w:fldChar w:fldCharType="begin"/>
        </w:r>
        <w:r>
          <w:rPr>
            <w:webHidden/>
          </w:rPr>
          <w:instrText xml:space="preserve"> PAGEREF _Toc523474388 \h </w:instrText>
        </w:r>
        <w:r>
          <w:rPr>
            <w:webHidden/>
          </w:rPr>
        </w:r>
        <w:r>
          <w:rPr>
            <w:webHidden/>
          </w:rPr>
          <w:fldChar w:fldCharType="separate"/>
        </w:r>
        <w:r>
          <w:rPr>
            <w:webHidden/>
          </w:rPr>
          <w:t>83</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89" w:history="1">
        <w:r w:rsidRPr="00BC1022">
          <w:rPr>
            <w:rStyle w:val="Hyperlink"/>
            <w:rFonts w:ascii="Times New Roman" w:hAnsi="Times New Roman"/>
          </w:rPr>
          <w:t>3.2.5.</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Navodila za posamezne pozicije</w:t>
        </w:r>
        <w:r>
          <w:rPr>
            <w:webHidden/>
          </w:rPr>
          <w:tab/>
        </w:r>
        <w:r>
          <w:rPr>
            <w:webHidden/>
          </w:rPr>
          <w:fldChar w:fldCharType="begin"/>
        </w:r>
        <w:r>
          <w:rPr>
            <w:webHidden/>
          </w:rPr>
          <w:instrText xml:space="preserve"> PAGEREF _Toc523474389 \h </w:instrText>
        </w:r>
        <w:r>
          <w:rPr>
            <w:webHidden/>
          </w:rPr>
        </w:r>
        <w:r>
          <w:rPr>
            <w:webHidden/>
          </w:rPr>
          <w:fldChar w:fldCharType="separate"/>
        </w:r>
        <w:r>
          <w:rPr>
            <w:webHidden/>
          </w:rPr>
          <w:t>83</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90" w:history="1">
        <w:r w:rsidRPr="00BC1022">
          <w:rPr>
            <w:rStyle w:val="Hyperlink"/>
            <w:rFonts w:ascii="Times New Roman" w:hAnsi="Times New Roman"/>
          </w:rPr>
          <w:t>3.3.</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Kreditno tveganje in kreditno tveganje nasprotne stranke ter proste izročitve: Pristop IRB h kapitalskim zahtevam (CR IRB)</w:t>
        </w:r>
        <w:r>
          <w:rPr>
            <w:webHidden/>
          </w:rPr>
          <w:tab/>
        </w:r>
        <w:r>
          <w:rPr>
            <w:webHidden/>
          </w:rPr>
          <w:fldChar w:fldCharType="begin"/>
        </w:r>
        <w:r>
          <w:rPr>
            <w:webHidden/>
          </w:rPr>
          <w:instrText xml:space="preserve"> PAGEREF _Toc523474390 \h </w:instrText>
        </w:r>
        <w:r>
          <w:rPr>
            <w:webHidden/>
          </w:rPr>
        </w:r>
        <w:r>
          <w:rPr>
            <w:webHidden/>
          </w:rPr>
          <w:fldChar w:fldCharType="separate"/>
        </w:r>
        <w:r>
          <w:rPr>
            <w:webHidden/>
          </w:rPr>
          <w:t>91</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91" w:history="1">
        <w:r w:rsidRPr="00BC1022">
          <w:rPr>
            <w:rStyle w:val="Hyperlink"/>
            <w:rFonts w:ascii="Times New Roman" w:hAnsi="Times New Roman"/>
          </w:rPr>
          <w:t>3.3.1.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Obseg predloge CR IRB</w:t>
        </w:r>
        <w:r>
          <w:rPr>
            <w:webHidden/>
          </w:rPr>
          <w:tab/>
        </w:r>
        <w:r>
          <w:rPr>
            <w:webHidden/>
          </w:rPr>
          <w:fldChar w:fldCharType="begin"/>
        </w:r>
        <w:r>
          <w:rPr>
            <w:webHidden/>
          </w:rPr>
          <w:instrText xml:space="preserve"> PAGEREF _Toc523474391 \h </w:instrText>
        </w:r>
        <w:r>
          <w:rPr>
            <w:webHidden/>
          </w:rPr>
        </w:r>
        <w:r>
          <w:rPr>
            <w:webHidden/>
          </w:rPr>
          <w:fldChar w:fldCharType="separate"/>
        </w:r>
        <w:r>
          <w:rPr>
            <w:webHidden/>
          </w:rPr>
          <w:t>91</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92" w:history="1">
        <w:r w:rsidRPr="00BC1022">
          <w:rPr>
            <w:rStyle w:val="Hyperlink"/>
            <w:rFonts w:ascii="Times New Roman" w:hAnsi="Times New Roman"/>
          </w:rPr>
          <w:t>3.3.2.</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Razčlenitev predloge CR IRB</w:t>
        </w:r>
        <w:r>
          <w:rPr>
            <w:webHidden/>
          </w:rPr>
          <w:tab/>
        </w:r>
        <w:r>
          <w:rPr>
            <w:webHidden/>
          </w:rPr>
          <w:fldChar w:fldCharType="begin"/>
        </w:r>
        <w:r>
          <w:rPr>
            <w:webHidden/>
          </w:rPr>
          <w:instrText xml:space="preserve"> PAGEREF _Toc523474392 \h </w:instrText>
        </w:r>
        <w:r>
          <w:rPr>
            <w:webHidden/>
          </w:rPr>
        </w:r>
        <w:r>
          <w:rPr>
            <w:webHidden/>
          </w:rPr>
          <w:fldChar w:fldCharType="separate"/>
        </w:r>
        <w:r>
          <w:rPr>
            <w:webHidden/>
          </w:rPr>
          <w:t>92</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93" w:history="1">
        <w:r w:rsidRPr="00BC1022">
          <w:rPr>
            <w:rStyle w:val="Hyperlink"/>
            <w:rFonts w:ascii="Times New Roman" w:hAnsi="Times New Roman"/>
          </w:rPr>
          <w:t>3.3.3.</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C 08.01 – Kreditno tveganje in kreditno tveganje nasprotne stranke ter proste izročitve: Pristop IRB h kapitalskim zahtevam (CR IRB 1)</w:t>
        </w:r>
        <w:r>
          <w:rPr>
            <w:webHidden/>
          </w:rPr>
          <w:tab/>
        </w:r>
        <w:r>
          <w:rPr>
            <w:webHidden/>
          </w:rPr>
          <w:fldChar w:fldCharType="begin"/>
        </w:r>
        <w:r>
          <w:rPr>
            <w:webHidden/>
          </w:rPr>
          <w:instrText xml:space="preserve"> PAGEREF _Toc523474393 \h </w:instrText>
        </w:r>
        <w:r>
          <w:rPr>
            <w:webHidden/>
          </w:rPr>
        </w:r>
        <w:r>
          <w:rPr>
            <w:webHidden/>
          </w:rPr>
          <w:fldChar w:fldCharType="separate"/>
        </w:r>
        <w:r>
          <w:rPr>
            <w:webHidden/>
          </w:rPr>
          <w:t>93</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94" w:history="1">
        <w:r w:rsidRPr="00BC1022">
          <w:rPr>
            <w:rStyle w:val="Hyperlink"/>
            <w:rFonts w:ascii="Times New Roman" w:hAnsi="Times New Roman"/>
          </w:rPr>
          <w:t>3.3.3.1.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Navodila za posamezne pozicije</w:t>
        </w:r>
        <w:r>
          <w:rPr>
            <w:webHidden/>
          </w:rPr>
          <w:tab/>
        </w:r>
        <w:r>
          <w:rPr>
            <w:webHidden/>
          </w:rPr>
          <w:fldChar w:fldCharType="begin"/>
        </w:r>
        <w:r>
          <w:rPr>
            <w:webHidden/>
          </w:rPr>
          <w:instrText xml:space="preserve"> PAGEREF _Toc523474394 \h </w:instrText>
        </w:r>
        <w:r>
          <w:rPr>
            <w:webHidden/>
          </w:rPr>
        </w:r>
        <w:r>
          <w:rPr>
            <w:webHidden/>
          </w:rPr>
          <w:fldChar w:fldCharType="separate"/>
        </w:r>
        <w:r>
          <w:rPr>
            <w:webHidden/>
          </w:rPr>
          <w:t>93</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95" w:history="1">
        <w:r w:rsidRPr="00BC1022">
          <w:rPr>
            <w:rStyle w:val="Hyperlink"/>
            <w:rFonts w:ascii="Times New Roman" w:hAnsi="Times New Roman"/>
          </w:rPr>
          <w:t>3.3.4.</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C 08.02 – Kreditno tveganje in kreditno tveganje nasprotne stranke ter proste izročitve: razčlenitev glede na bonitetne razrede dolžnikov ali skupine izpostavljenosti (CR IRB 2)</w:t>
        </w:r>
        <w:r>
          <w:rPr>
            <w:webHidden/>
          </w:rPr>
          <w:tab/>
        </w:r>
        <w:r>
          <w:rPr>
            <w:webHidden/>
          </w:rPr>
          <w:fldChar w:fldCharType="begin"/>
        </w:r>
        <w:r>
          <w:rPr>
            <w:webHidden/>
          </w:rPr>
          <w:instrText xml:space="preserve"> PAGEREF _Toc523474395 \h </w:instrText>
        </w:r>
        <w:r>
          <w:rPr>
            <w:webHidden/>
          </w:rPr>
        </w:r>
        <w:r>
          <w:rPr>
            <w:webHidden/>
          </w:rPr>
          <w:fldChar w:fldCharType="separate"/>
        </w:r>
        <w:r>
          <w:rPr>
            <w:webHidden/>
          </w:rPr>
          <w:t>102</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96" w:history="1">
        <w:r w:rsidRPr="00BC1022">
          <w:rPr>
            <w:rStyle w:val="Hyperlink"/>
            <w:rFonts w:ascii="Times New Roman" w:hAnsi="Times New Roman"/>
          </w:rPr>
          <w:t>3.4.</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Kreditno tveganje in kreditno tveganje nasprotne stranke ter proste izročitve: Informacije z geografsko razčlenitvijo</w:t>
        </w:r>
        <w:r>
          <w:rPr>
            <w:webHidden/>
          </w:rPr>
          <w:tab/>
        </w:r>
        <w:r>
          <w:rPr>
            <w:webHidden/>
          </w:rPr>
          <w:fldChar w:fldCharType="begin"/>
        </w:r>
        <w:r>
          <w:rPr>
            <w:webHidden/>
          </w:rPr>
          <w:instrText xml:space="preserve"> PAGEREF _Toc523474396 \h </w:instrText>
        </w:r>
        <w:r>
          <w:rPr>
            <w:webHidden/>
          </w:rPr>
        </w:r>
        <w:r>
          <w:rPr>
            <w:webHidden/>
          </w:rPr>
          <w:fldChar w:fldCharType="separate"/>
        </w:r>
        <w:r>
          <w:rPr>
            <w:webHidden/>
          </w:rPr>
          <w:t>102</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97" w:history="1">
        <w:r w:rsidRPr="00BC1022">
          <w:rPr>
            <w:rStyle w:val="Hyperlink"/>
            <w:rFonts w:ascii="Times New Roman" w:hAnsi="Times New Roman"/>
          </w:rPr>
          <w:t>3.4.1.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C 09.01 – Geografska razčlenitev izpostavljenosti glede na sedež dolžnika: IZPOSTAVLJENOSTI NA PODLAGI STANDARDIZIRANEGA PRISTOPA (CR GB 1)</w:t>
        </w:r>
        <w:r>
          <w:rPr>
            <w:webHidden/>
          </w:rPr>
          <w:tab/>
        </w:r>
        <w:r>
          <w:rPr>
            <w:webHidden/>
          </w:rPr>
          <w:fldChar w:fldCharType="begin"/>
        </w:r>
        <w:r>
          <w:rPr>
            <w:webHidden/>
          </w:rPr>
          <w:instrText xml:space="preserve"> PAGEREF _Toc523474397 \h </w:instrText>
        </w:r>
        <w:r>
          <w:rPr>
            <w:webHidden/>
          </w:rPr>
        </w:r>
        <w:r>
          <w:rPr>
            <w:webHidden/>
          </w:rPr>
          <w:fldChar w:fldCharType="separate"/>
        </w:r>
        <w:r>
          <w:rPr>
            <w:webHidden/>
          </w:rPr>
          <w:t>103</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98" w:history="1">
        <w:r w:rsidRPr="00BC1022">
          <w:rPr>
            <w:rStyle w:val="Hyperlink"/>
            <w:rFonts w:ascii="Times New Roman" w:hAnsi="Times New Roman"/>
          </w:rPr>
          <w:t>3.4.1.1.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Navodila za posamezne pozicije</w:t>
        </w:r>
        <w:r>
          <w:rPr>
            <w:webHidden/>
          </w:rPr>
          <w:tab/>
        </w:r>
        <w:r>
          <w:rPr>
            <w:webHidden/>
          </w:rPr>
          <w:fldChar w:fldCharType="begin"/>
        </w:r>
        <w:r>
          <w:rPr>
            <w:webHidden/>
          </w:rPr>
          <w:instrText xml:space="preserve"> PAGEREF _Toc523474398 \h </w:instrText>
        </w:r>
        <w:r>
          <w:rPr>
            <w:webHidden/>
          </w:rPr>
        </w:r>
        <w:r>
          <w:rPr>
            <w:webHidden/>
          </w:rPr>
          <w:fldChar w:fldCharType="separate"/>
        </w:r>
        <w:r>
          <w:rPr>
            <w:webHidden/>
          </w:rPr>
          <w:t>103</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399" w:history="1">
        <w:r w:rsidRPr="00BC1022">
          <w:rPr>
            <w:rStyle w:val="Hyperlink"/>
            <w:rFonts w:ascii="Times New Roman" w:hAnsi="Times New Roman"/>
          </w:rPr>
          <w:t>3.4.2.</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C 09.02 – Geografska razčlenitev izpostavljenosti glede na sedež dolžnika: Izpostavljenosti na podlagi pristopa IRB (CR GB 2)</w:t>
        </w:r>
        <w:r>
          <w:rPr>
            <w:webHidden/>
          </w:rPr>
          <w:tab/>
        </w:r>
        <w:r>
          <w:rPr>
            <w:webHidden/>
          </w:rPr>
          <w:fldChar w:fldCharType="begin"/>
        </w:r>
        <w:r>
          <w:rPr>
            <w:webHidden/>
          </w:rPr>
          <w:instrText xml:space="preserve"> PAGEREF _Toc523474399 \h </w:instrText>
        </w:r>
        <w:r>
          <w:rPr>
            <w:webHidden/>
          </w:rPr>
        </w:r>
        <w:r>
          <w:rPr>
            <w:webHidden/>
          </w:rPr>
          <w:fldChar w:fldCharType="separate"/>
        </w:r>
        <w:r>
          <w:rPr>
            <w:webHidden/>
          </w:rPr>
          <w:t>105</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00" w:history="1">
        <w:r w:rsidRPr="00BC1022">
          <w:rPr>
            <w:rStyle w:val="Hyperlink"/>
            <w:rFonts w:ascii="Times New Roman" w:hAnsi="Times New Roman"/>
          </w:rPr>
          <w:t>3.4.2.1.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Navodila za posamezne pozicije</w:t>
        </w:r>
        <w:r>
          <w:rPr>
            <w:webHidden/>
          </w:rPr>
          <w:tab/>
        </w:r>
        <w:r>
          <w:rPr>
            <w:webHidden/>
          </w:rPr>
          <w:fldChar w:fldCharType="begin"/>
        </w:r>
        <w:r>
          <w:rPr>
            <w:webHidden/>
          </w:rPr>
          <w:instrText xml:space="preserve"> PAGEREF _Toc523474400 \h </w:instrText>
        </w:r>
        <w:r>
          <w:rPr>
            <w:webHidden/>
          </w:rPr>
        </w:r>
        <w:r>
          <w:rPr>
            <w:webHidden/>
          </w:rPr>
          <w:fldChar w:fldCharType="separate"/>
        </w:r>
        <w:r>
          <w:rPr>
            <w:webHidden/>
          </w:rPr>
          <w:t>105</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01" w:history="1">
        <w:r w:rsidRPr="00BC1022">
          <w:rPr>
            <w:rStyle w:val="Hyperlink"/>
            <w:rFonts w:ascii="Times New Roman" w:hAnsi="Times New Roman"/>
          </w:rPr>
          <w:t>3.4.3.</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C 09.04 – Razčlenitev ustreznih kreditnih izpostavljenosti za namene izračuna proticikličnega blažilnika po državah in stopnje posamezni instituciji lastnega proticikličnega blažilnika (CCB)</w:t>
        </w:r>
        <w:r>
          <w:rPr>
            <w:webHidden/>
          </w:rPr>
          <w:tab/>
        </w:r>
        <w:r>
          <w:rPr>
            <w:webHidden/>
          </w:rPr>
          <w:fldChar w:fldCharType="begin"/>
        </w:r>
        <w:r>
          <w:rPr>
            <w:webHidden/>
          </w:rPr>
          <w:instrText xml:space="preserve"> PAGEREF _Toc523474401 \h </w:instrText>
        </w:r>
        <w:r>
          <w:rPr>
            <w:webHidden/>
          </w:rPr>
        </w:r>
        <w:r>
          <w:rPr>
            <w:webHidden/>
          </w:rPr>
          <w:fldChar w:fldCharType="separate"/>
        </w:r>
        <w:r>
          <w:rPr>
            <w:webHidden/>
          </w:rPr>
          <w:t>108</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02" w:history="1">
        <w:r w:rsidRPr="00BC1022">
          <w:rPr>
            <w:rStyle w:val="Hyperlink"/>
            <w:rFonts w:ascii="Times New Roman" w:hAnsi="Times New Roman"/>
          </w:rPr>
          <w:t>3.4.3.1.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Splošne opombe</w:t>
        </w:r>
        <w:r>
          <w:rPr>
            <w:webHidden/>
          </w:rPr>
          <w:tab/>
        </w:r>
        <w:r>
          <w:rPr>
            <w:webHidden/>
          </w:rPr>
          <w:fldChar w:fldCharType="begin"/>
        </w:r>
        <w:r>
          <w:rPr>
            <w:webHidden/>
          </w:rPr>
          <w:instrText xml:space="preserve"> PAGEREF _Toc523474402 \h </w:instrText>
        </w:r>
        <w:r>
          <w:rPr>
            <w:webHidden/>
          </w:rPr>
        </w:r>
        <w:r>
          <w:rPr>
            <w:webHidden/>
          </w:rPr>
          <w:fldChar w:fldCharType="separate"/>
        </w:r>
        <w:r>
          <w:rPr>
            <w:webHidden/>
          </w:rPr>
          <w:t>108</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03" w:history="1">
        <w:r w:rsidRPr="00BC1022">
          <w:rPr>
            <w:rStyle w:val="Hyperlink"/>
            <w:rFonts w:ascii="Times New Roman" w:hAnsi="Times New Roman"/>
          </w:rPr>
          <w:t>3.4.3.2.</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Navodila za posamezne pozicije</w:t>
        </w:r>
        <w:r>
          <w:rPr>
            <w:webHidden/>
          </w:rPr>
          <w:tab/>
        </w:r>
        <w:r>
          <w:rPr>
            <w:webHidden/>
          </w:rPr>
          <w:fldChar w:fldCharType="begin"/>
        </w:r>
        <w:r>
          <w:rPr>
            <w:webHidden/>
          </w:rPr>
          <w:instrText xml:space="preserve"> PAGEREF _Toc523474403 \h </w:instrText>
        </w:r>
        <w:r>
          <w:rPr>
            <w:webHidden/>
          </w:rPr>
        </w:r>
        <w:r>
          <w:rPr>
            <w:webHidden/>
          </w:rPr>
          <w:fldChar w:fldCharType="separate"/>
        </w:r>
        <w:r>
          <w:rPr>
            <w:webHidden/>
          </w:rPr>
          <w:t>109</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04" w:history="1">
        <w:r w:rsidRPr="00BC1022">
          <w:rPr>
            <w:rStyle w:val="Hyperlink"/>
            <w:rFonts w:ascii="Times New Roman" w:hAnsi="Times New Roman"/>
          </w:rPr>
          <w:t>3.5.</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C 10.01 in C 10.02 – Izpostavljenosti iz naslova lastniških instrumentov po pristopu IRB (CR EQU IRB 1 in CR EQU IRB 2)</w:t>
        </w:r>
        <w:r>
          <w:rPr>
            <w:webHidden/>
          </w:rPr>
          <w:tab/>
        </w:r>
        <w:r>
          <w:rPr>
            <w:webHidden/>
          </w:rPr>
          <w:fldChar w:fldCharType="begin"/>
        </w:r>
        <w:r>
          <w:rPr>
            <w:webHidden/>
          </w:rPr>
          <w:instrText xml:space="preserve"> PAGEREF _Toc523474404 \h </w:instrText>
        </w:r>
        <w:r>
          <w:rPr>
            <w:webHidden/>
          </w:rPr>
        </w:r>
        <w:r>
          <w:rPr>
            <w:webHidden/>
          </w:rPr>
          <w:fldChar w:fldCharType="separate"/>
        </w:r>
        <w:r>
          <w:rPr>
            <w:webHidden/>
          </w:rPr>
          <w:t>113</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05" w:history="1">
        <w:r w:rsidRPr="00BC1022">
          <w:rPr>
            <w:rStyle w:val="Hyperlink"/>
            <w:rFonts w:ascii="Times New Roman" w:hAnsi="Times New Roman"/>
          </w:rPr>
          <w:t>3.5.1.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Splošne opombe</w:t>
        </w:r>
        <w:r>
          <w:rPr>
            <w:webHidden/>
          </w:rPr>
          <w:tab/>
        </w:r>
        <w:r>
          <w:rPr>
            <w:webHidden/>
          </w:rPr>
          <w:fldChar w:fldCharType="begin"/>
        </w:r>
        <w:r>
          <w:rPr>
            <w:webHidden/>
          </w:rPr>
          <w:instrText xml:space="preserve"> PAGEREF _Toc523474405 \h </w:instrText>
        </w:r>
        <w:r>
          <w:rPr>
            <w:webHidden/>
          </w:rPr>
        </w:r>
        <w:r>
          <w:rPr>
            <w:webHidden/>
          </w:rPr>
          <w:fldChar w:fldCharType="separate"/>
        </w:r>
        <w:r>
          <w:rPr>
            <w:webHidden/>
          </w:rPr>
          <w:t>113</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06" w:history="1">
        <w:r w:rsidRPr="00BC1022">
          <w:rPr>
            <w:rStyle w:val="Hyperlink"/>
            <w:rFonts w:ascii="Times New Roman" w:hAnsi="Times New Roman"/>
          </w:rPr>
          <w:t>3.5.2.</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Navodila za posamezne pozicije (uporabljajo se za CR EQU IRB 1 in CR EQU IRB 2)</w:t>
        </w:r>
        <w:r>
          <w:rPr>
            <w:webHidden/>
          </w:rPr>
          <w:tab/>
        </w:r>
        <w:r>
          <w:rPr>
            <w:webHidden/>
          </w:rPr>
          <w:fldChar w:fldCharType="begin"/>
        </w:r>
        <w:r>
          <w:rPr>
            <w:webHidden/>
          </w:rPr>
          <w:instrText xml:space="preserve"> PAGEREF _Toc523474406 \h </w:instrText>
        </w:r>
        <w:r>
          <w:rPr>
            <w:webHidden/>
          </w:rPr>
        </w:r>
        <w:r>
          <w:rPr>
            <w:webHidden/>
          </w:rPr>
          <w:fldChar w:fldCharType="separate"/>
        </w:r>
        <w:r>
          <w:rPr>
            <w:webHidden/>
          </w:rPr>
          <w:t>114</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07" w:history="1">
        <w:r w:rsidRPr="00BC1022">
          <w:rPr>
            <w:rStyle w:val="Hyperlink"/>
            <w:rFonts w:ascii="Times New Roman" w:hAnsi="Times New Roman"/>
          </w:rPr>
          <w:t>3.6.</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C 11.00 – Tveganje poravnave/izročitve (CR SETT)</w:t>
        </w:r>
        <w:r>
          <w:rPr>
            <w:webHidden/>
          </w:rPr>
          <w:tab/>
        </w:r>
        <w:r>
          <w:rPr>
            <w:webHidden/>
          </w:rPr>
          <w:fldChar w:fldCharType="begin"/>
        </w:r>
        <w:r>
          <w:rPr>
            <w:webHidden/>
          </w:rPr>
          <w:instrText xml:space="preserve"> PAGEREF _Toc523474407 \h </w:instrText>
        </w:r>
        <w:r>
          <w:rPr>
            <w:webHidden/>
          </w:rPr>
        </w:r>
        <w:r>
          <w:rPr>
            <w:webHidden/>
          </w:rPr>
          <w:fldChar w:fldCharType="separate"/>
        </w:r>
        <w:r>
          <w:rPr>
            <w:webHidden/>
          </w:rPr>
          <w:t>118</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08" w:history="1">
        <w:r w:rsidRPr="00BC1022">
          <w:rPr>
            <w:rStyle w:val="Hyperlink"/>
            <w:rFonts w:ascii="Times New Roman" w:hAnsi="Times New Roman"/>
          </w:rPr>
          <w:t>3.6.1.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Splošne opombe</w:t>
        </w:r>
        <w:r>
          <w:rPr>
            <w:webHidden/>
          </w:rPr>
          <w:tab/>
        </w:r>
        <w:r>
          <w:rPr>
            <w:webHidden/>
          </w:rPr>
          <w:fldChar w:fldCharType="begin"/>
        </w:r>
        <w:r>
          <w:rPr>
            <w:webHidden/>
          </w:rPr>
          <w:instrText xml:space="preserve"> PAGEREF _Toc523474408 \h </w:instrText>
        </w:r>
        <w:r>
          <w:rPr>
            <w:webHidden/>
          </w:rPr>
        </w:r>
        <w:r>
          <w:rPr>
            <w:webHidden/>
          </w:rPr>
          <w:fldChar w:fldCharType="separate"/>
        </w:r>
        <w:r>
          <w:rPr>
            <w:webHidden/>
          </w:rPr>
          <w:t>118</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09" w:history="1">
        <w:r w:rsidRPr="00BC1022">
          <w:rPr>
            <w:rStyle w:val="Hyperlink"/>
            <w:rFonts w:ascii="Times New Roman" w:hAnsi="Times New Roman"/>
          </w:rPr>
          <w:t>3.6.2.</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Navodila za posamezne pozicije</w:t>
        </w:r>
        <w:r>
          <w:rPr>
            <w:webHidden/>
          </w:rPr>
          <w:tab/>
        </w:r>
        <w:r>
          <w:rPr>
            <w:webHidden/>
          </w:rPr>
          <w:fldChar w:fldCharType="begin"/>
        </w:r>
        <w:r>
          <w:rPr>
            <w:webHidden/>
          </w:rPr>
          <w:instrText xml:space="preserve"> PAGEREF _Toc523474409 \h </w:instrText>
        </w:r>
        <w:r>
          <w:rPr>
            <w:webHidden/>
          </w:rPr>
        </w:r>
        <w:r>
          <w:rPr>
            <w:webHidden/>
          </w:rPr>
          <w:fldChar w:fldCharType="separate"/>
        </w:r>
        <w:r>
          <w:rPr>
            <w:webHidden/>
          </w:rPr>
          <w:t>118</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10" w:history="1">
        <w:r w:rsidRPr="00BC1022">
          <w:rPr>
            <w:rStyle w:val="Hyperlink"/>
            <w:rFonts w:ascii="Times New Roman" w:hAnsi="Times New Roman"/>
          </w:rPr>
          <w:t>3.7.</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C 12.00 – Kreditno tveganje: Listinjenja – Standardizirani pristop h kapitalskim zahtevam (CR SEC SA)</w:t>
        </w:r>
        <w:r>
          <w:rPr>
            <w:webHidden/>
          </w:rPr>
          <w:tab/>
        </w:r>
        <w:r>
          <w:rPr>
            <w:webHidden/>
          </w:rPr>
          <w:fldChar w:fldCharType="begin"/>
        </w:r>
        <w:r>
          <w:rPr>
            <w:webHidden/>
          </w:rPr>
          <w:instrText xml:space="preserve"> PAGEREF _Toc523474410 \h </w:instrText>
        </w:r>
        <w:r>
          <w:rPr>
            <w:webHidden/>
          </w:rPr>
        </w:r>
        <w:r>
          <w:rPr>
            <w:webHidden/>
          </w:rPr>
          <w:fldChar w:fldCharType="separate"/>
        </w:r>
        <w:r>
          <w:rPr>
            <w:webHidden/>
          </w:rPr>
          <w:t>121</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11" w:history="1">
        <w:r w:rsidRPr="00BC1022">
          <w:rPr>
            <w:rStyle w:val="Hyperlink"/>
            <w:rFonts w:ascii="Times New Roman" w:hAnsi="Times New Roman"/>
          </w:rPr>
          <w:t>3.7.1.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Splošne opombe</w:t>
        </w:r>
        <w:r>
          <w:rPr>
            <w:webHidden/>
          </w:rPr>
          <w:tab/>
        </w:r>
        <w:r>
          <w:rPr>
            <w:webHidden/>
          </w:rPr>
          <w:fldChar w:fldCharType="begin"/>
        </w:r>
        <w:r>
          <w:rPr>
            <w:webHidden/>
          </w:rPr>
          <w:instrText xml:space="preserve"> PAGEREF _Toc523474411 \h </w:instrText>
        </w:r>
        <w:r>
          <w:rPr>
            <w:webHidden/>
          </w:rPr>
        </w:r>
        <w:r>
          <w:rPr>
            <w:webHidden/>
          </w:rPr>
          <w:fldChar w:fldCharType="separate"/>
        </w:r>
        <w:r>
          <w:rPr>
            <w:webHidden/>
          </w:rPr>
          <w:t>121</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12" w:history="1">
        <w:r w:rsidRPr="00BC1022">
          <w:rPr>
            <w:rStyle w:val="Hyperlink"/>
            <w:rFonts w:ascii="Times New Roman" w:hAnsi="Times New Roman"/>
          </w:rPr>
          <w:t>3.7.2.</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Navodila za posamezne pozicije</w:t>
        </w:r>
        <w:r>
          <w:rPr>
            <w:webHidden/>
          </w:rPr>
          <w:tab/>
        </w:r>
        <w:r>
          <w:rPr>
            <w:webHidden/>
          </w:rPr>
          <w:fldChar w:fldCharType="begin"/>
        </w:r>
        <w:r>
          <w:rPr>
            <w:webHidden/>
          </w:rPr>
          <w:instrText xml:space="preserve"> PAGEREF _Toc523474412 \h </w:instrText>
        </w:r>
        <w:r>
          <w:rPr>
            <w:webHidden/>
          </w:rPr>
        </w:r>
        <w:r>
          <w:rPr>
            <w:webHidden/>
          </w:rPr>
          <w:fldChar w:fldCharType="separate"/>
        </w:r>
        <w:r>
          <w:rPr>
            <w:webHidden/>
          </w:rPr>
          <w:t>121</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13" w:history="1">
        <w:r w:rsidRPr="00BC1022">
          <w:rPr>
            <w:rStyle w:val="Hyperlink"/>
            <w:rFonts w:ascii="Times New Roman" w:hAnsi="Times New Roman"/>
          </w:rPr>
          <w:t>3.8.</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C 13.00 – Kreditno tveganje – Listinjenja: Pristop IRB h kapitalskim zahtevam (CR SEC IRB)</w:t>
        </w:r>
        <w:r>
          <w:rPr>
            <w:webHidden/>
          </w:rPr>
          <w:tab/>
        </w:r>
        <w:r>
          <w:rPr>
            <w:webHidden/>
          </w:rPr>
          <w:fldChar w:fldCharType="begin"/>
        </w:r>
        <w:r>
          <w:rPr>
            <w:webHidden/>
          </w:rPr>
          <w:instrText xml:space="preserve"> PAGEREF _Toc523474413 \h </w:instrText>
        </w:r>
        <w:r>
          <w:rPr>
            <w:webHidden/>
          </w:rPr>
        </w:r>
        <w:r>
          <w:rPr>
            <w:webHidden/>
          </w:rPr>
          <w:fldChar w:fldCharType="separate"/>
        </w:r>
        <w:r>
          <w:rPr>
            <w:webHidden/>
          </w:rPr>
          <w:t>130</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14" w:history="1">
        <w:r w:rsidRPr="00BC1022">
          <w:rPr>
            <w:rStyle w:val="Hyperlink"/>
            <w:rFonts w:ascii="Times New Roman" w:hAnsi="Times New Roman"/>
          </w:rPr>
          <w:t>3.8.1.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Splošne opombe</w:t>
        </w:r>
        <w:r>
          <w:rPr>
            <w:webHidden/>
          </w:rPr>
          <w:tab/>
        </w:r>
        <w:r>
          <w:rPr>
            <w:webHidden/>
          </w:rPr>
          <w:fldChar w:fldCharType="begin"/>
        </w:r>
        <w:r>
          <w:rPr>
            <w:webHidden/>
          </w:rPr>
          <w:instrText xml:space="preserve"> PAGEREF _Toc523474414 \h </w:instrText>
        </w:r>
        <w:r>
          <w:rPr>
            <w:webHidden/>
          </w:rPr>
        </w:r>
        <w:r>
          <w:rPr>
            <w:webHidden/>
          </w:rPr>
          <w:fldChar w:fldCharType="separate"/>
        </w:r>
        <w:r>
          <w:rPr>
            <w:webHidden/>
          </w:rPr>
          <w:t>130</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15" w:history="1">
        <w:r w:rsidRPr="00BC1022">
          <w:rPr>
            <w:rStyle w:val="Hyperlink"/>
            <w:rFonts w:ascii="Times New Roman" w:hAnsi="Times New Roman"/>
          </w:rPr>
          <w:t>3.8.2.</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Navodila za posamezne pozicije</w:t>
        </w:r>
        <w:r>
          <w:rPr>
            <w:webHidden/>
          </w:rPr>
          <w:tab/>
        </w:r>
        <w:r>
          <w:rPr>
            <w:webHidden/>
          </w:rPr>
          <w:fldChar w:fldCharType="begin"/>
        </w:r>
        <w:r>
          <w:rPr>
            <w:webHidden/>
          </w:rPr>
          <w:instrText xml:space="preserve"> PAGEREF _Toc523474415 \h </w:instrText>
        </w:r>
        <w:r>
          <w:rPr>
            <w:webHidden/>
          </w:rPr>
        </w:r>
        <w:r>
          <w:rPr>
            <w:webHidden/>
          </w:rPr>
          <w:fldChar w:fldCharType="separate"/>
        </w:r>
        <w:r>
          <w:rPr>
            <w:webHidden/>
          </w:rPr>
          <w:t>131</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16" w:history="1">
        <w:r w:rsidRPr="00BC1022">
          <w:rPr>
            <w:rStyle w:val="Hyperlink"/>
            <w:rFonts w:ascii="Times New Roman" w:hAnsi="Times New Roman"/>
          </w:rPr>
          <w:t>3.9.</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C 14.00 – Podrobne informacije o listinjenjih (SEC DETAILS)</w:t>
        </w:r>
        <w:r>
          <w:rPr>
            <w:webHidden/>
          </w:rPr>
          <w:tab/>
        </w:r>
        <w:r>
          <w:rPr>
            <w:webHidden/>
          </w:rPr>
          <w:fldChar w:fldCharType="begin"/>
        </w:r>
        <w:r>
          <w:rPr>
            <w:webHidden/>
          </w:rPr>
          <w:instrText xml:space="preserve"> PAGEREF _Toc523474416 \h </w:instrText>
        </w:r>
        <w:r>
          <w:rPr>
            <w:webHidden/>
          </w:rPr>
        </w:r>
        <w:r>
          <w:rPr>
            <w:webHidden/>
          </w:rPr>
          <w:fldChar w:fldCharType="separate"/>
        </w:r>
        <w:r>
          <w:rPr>
            <w:webHidden/>
          </w:rPr>
          <w:t>140</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17" w:history="1">
        <w:r w:rsidRPr="00BC1022">
          <w:rPr>
            <w:rStyle w:val="Hyperlink"/>
            <w:rFonts w:ascii="Times New Roman" w:hAnsi="Times New Roman"/>
          </w:rPr>
          <w:t>3.9.1.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Splošne opombe</w:t>
        </w:r>
        <w:r>
          <w:rPr>
            <w:webHidden/>
          </w:rPr>
          <w:tab/>
        </w:r>
        <w:r>
          <w:rPr>
            <w:webHidden/>
          </w:rPr>
          <w:fldChar w:fldCharType="begin"/>
        </w:r>
        <w:r>
          <w:rPr>
            <w:webHidden/>
          </w:rPr>
          <w:instrText xml:space="preserve"> PAGEREF _Toc523474417 \h </w:instrText>
        </w:r>
        <w:r>
          <w:rPr>
            <w:webHidden/>
          </w:rPr>
        </w:r>
        <w:r>
          <w:rPr>
            <w:webHidden/>
          </w:rPr>
          <w:fldChar w:fldCharType="separate"/>
        </w:r>
        <w:r>
          <w:rPr>
            <w:webHidden/>
          </w:rPr>
          <w:t>140</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18" w:history="1">
        <w:r w:rsidRPr="00BC1022">
          <w:rPr>
            <w:rStyle w:val="Hyperlink"/>
            <w:rFonts w:ascii="Times New Roman" w:hAnsi="Times New Roman"/>
          </w:rPr>
          <w:t>3.9.2.</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Navodila za posamezne pozicije</w:t>
        </w:r>
        <w:r>
          <w:rPr>
            <w:webHidden/>
          </w:rPr>
          <w:tab/>
        </w:r>
        <w:r>
          <w:rPr>
            <w:webHidden/>
          </w:rPr>
          <w:fldChar w:fldCharType="begin"/>
        </w:r>
        <w:r>
          <w:rPr>
            <w:webHidden/>
          </w:rPr>
          <w:instrText xml:space="preserve"> PAGEREF _Toc523474418 \h </w:instrText>
        </w:r>
        <w:r>
          <w:rPr>
            <w:webHidden/>
          </w:rPr>
        </w:r>
        <w:r>
          <w:rPr>
            <w:webHidden/>
          </w:rPr>
          <w:fldChar w:fldCharType="separate"/>
        </w:r>
        <w:r>
          <w:rPr>
            <w:webHidden/>
          </w:rPr>
          <w:t>141</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19" w:history="1">
        <w:r w:rsidRPr="00BC1022">
          <w:rPr>
            <w:rStyle w:val="Hyperlink"/>
            <w:rFonts w:ascii="Times New Roman" w:hAnsi="Times New Roman"/>
          </w:rPr>
          <w:t>4.</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Predloge za operativno tveganje</w:t>
        </w:r>
        <w:r>
          <w:rPr>
            <w:webHidden/>
          </w:rPr>
          <w:tab/>
        </w:r>
        <w:r>
          <w:rPr>
            <w:webHidden/>
          </w:rPr>
          <w:fldChar w:fldCharType="begin"/>
        </w:r>
        <w:r>
          <w:rPr>
            <w:webHidden/>
          </w:rPr>
          <w:instrText xml:space="preserve"> PAGEREF _Toc523474419 \h </w:instrText>
        </w:r>
        <w:r>
          <w:rPr>
            <w:webHidden/>
          </w:rPr>
        </w:r>
        <w:r>
          <w:rPr>
            <w:webHidden/>
          </w:rPr>
          <w:fldChar w:fldCharType="separate"/>
        </w:r>
        <w:r>
          <w:rPr>
            <w:webHidden/>
          </w:rPr>
          <w:t>153</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20" w:history="1">
        <w:r w:rsidRPr="00BC1022">
          <w:rPr>
            <w:rStyle w:val="Hyperlink"/>
            <w:rFonts w:ascii="Times New Roman" w:hAnsi="Times New Roman"/>
          </w:rPr>
          <w:t>4.1</w:t>
        </w:r>
        <w:r>
          <w:rPr>
            <w:rFonts w:asciiTheme="minorHAnsi" w:eastAsiaTheme="minorEastAsia" w:hAnsiTheme="minorHAnsi" w:cstheme="minorBidi"/>
            <w:b w:val="0"/>
            <w:smallCaps w:val="0"/>
            <w:sz w:val="22"/>
            <w:lang w:bidi="ar-SA"/>
          </w:rPr>
          <w:tab/>
        </w:r>
        <w:r w:rsidRPr="00BC1022">
          <w:rPr>
            <w:rStyle w:val="Hyperlink"/>
          </w:rPr>
          <w:t xml:space="preserve"> </w:t>
        </w:r>
        <w:r w:rsidRPr="00BC1022">
          <w:rPr>
            <w:rStyle w:val="Hyperlink"/>
            <w:rFonts w:ascii="Times New Roman" w:hAnsi="Times New Roman"/>
          </w:rPr>
          <w:t>C 16.00 – Operativno tveganje (OPR)</w:t>
        </w:r>
        <w:r>
          <w:rPr>
            <w:webHidden/>
          </w:rPr>
          <w:tab/>
        </w:r>
        <w:r>
          <w:rPr>
            <w:webHidden/>
          </w:rPr>
          <w:fldChar w:fldCharType="begin"/>
        </w:r>
        <w:r>
          <w:rPr>
            <w:webHidden/>
          </w:rPr>
          <w:instrText xml:space="preserve"> PAGEREF _Toc523474420 \h </w:instrText>
        </w:r>
        <w:r>
          <w:rPr>
            <w:webHidden/>
          </w:rPr>
        </w:r>
        <w:r>
          <w:rPr>
            <w:webHidden/>
          </w:rPr>
          <w:fldChar w:fldCharType="separate"/>
        </w:r>
        <w:r>
          <w:rPr>
            <w:webHidden/>
          </w:rPr>
          <w:t>153</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21" w:history="1">
        <w:r w:rsidRPr="00BC1022">
          <w:rPr>
            <w:rStyle w:val="Hyperlink"/>
            <w:rFonts w:ascii="Times New Roman" w:hAnsi="Times New Roman"/>
          </w:rPr>
          <w:t>4.1.1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Splošne opombe</w:t>
        </w:r>
        <w:r>
          <w:rPr>
            <w:webHidden/>
          </w:rPr>
          <w:tab/>
        </w:r>
        <w:r>
          <w:rPr>
            <w:webHidden/>
          </w:rPr>
          <w:fldChar w:fldCharType="begin"/>
        </w:r>
        <w:r>
          <w:rPr>
            <w:webHidden/>
          </w:rPr>
          <w:instrText xml:space="preserve"> PAGEREF _Toc523474421 \h </w:instrText>
        </w:r>
        <w:r>
          <w:rPr>
            <w:webHidden/>
          </w:rPr>
        </w:r>
        <w:r>
          <w:rPr>
            <w:webHidden/>
          </w:rPr>
          <w:fldChar w:fldCharType="separate"/>
        </w:r>
        <w:r>
          <w:rPr>
            <w:webHidden/>
          </w:rPr>
          <w:t>153</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22" w:history="1">
        <w:r w:rsidRPr="00BC1022">
          <w:rPr>
            <w:rStyle w:val="Hyperlink"/>
            <w:rFonts w:ascii="Times New Roman" w:hAnsi="Times New Roman"/>
          </w:rPr>
          <w:t>4.1.2.</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Navodila za posamezne pozicije</w:t>
        </w:r>
        <w:r>
          <w:rPr>
            <w:webHidden/>
          </w:rPr>
          <w:tab/>
        </w:r>
        <w:r>
          <w:rPr>
            <w:webHidden/>
          </w:rPr>
          <w:fldChar w:fldCharType="begin"/>
        </w:r>
        <w:r>
          <w:rPr>
            <w:webHidden/>
          </w:rPr>
          <w:instrText xml:space="preserve"> PAGEREF _Toc523474422 \h </w:instrText>
        </w:r>
        <w:r>
          <w:rPr>
            <w:webHidden/>
          </w:rPr>
        </w:r>
        <w:r>
          <w:rPr>
            <w:webHidden/>
          </w:rPr>
          <w:fldChar w:fldCharType="separate"/>
        </w:r>
        <w:r>
          <w:rPr>
            <w:webHidden/>
          </w:rPr>
          <w:t>154</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23" w:history="1">
        <w:r w:rsidRPr="00BC1022">
          <w:rPr>
            <w:rStyle w:val="Hyperlink"/>
            <w:rFonts w:ascii="Times New Roman" w:hAnsi="Times New Roman"/>
          </w:rPr>
          <w:t>4.2.</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Operativno tveganje: Podrobnosti o izgubah v zadnjem letu (OPR DETAILS)</w:t>
        </w:r>
        <w:r>
          <w:rPr>
            <w:webHidden/>
          </w:rPr>
          <w:tab/>
        </w:r>
        <w:r>
          <w:rPr>
            <w:webHidden/>
          </w:rPr>
          <w:fldChar w:fldCharType="begin"/>
        </w:r>
        <w:r>
          <w:rPr>
            <w:webHidden/>
          </w:rPr>
          <w:instrText xml:space="preserve"> PAGEREF _Toc523474423 \h </w:instrText>
        </w:r>
        <w:r>
          <w:rPr>
            <w:webHidden/>
          </w:rPr>
        </w:r>
        <w:r>
          <w:rPr>
            <w:webHidden/>
          </w:rPr>
          <w:fldChar w:fldCharType="separate"/>
        </w:r>
        <w:r>
          <w:rPr>
            <w:webHidden/>
          </w:rPr>
          <w:t>157</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24" w:history="1">
        <w:r w:rsidRPr="00BC1022">
          <w:rPr>
            <w:rStyle w:val="Hyperlink"/>
            <w:rFonts w:ascii="Times New Roman" w:hAnsi="Times New Roman"/>
          </w:rPr>
          <w:t>4.2.1.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Splošne opombe</w:t>
        </w:r>
        <w:r>
          <w:rPr>
            <w:webHidden/>
          </w:rPr>
          <w:tab/>
        </w:r>
        <w:r>
          <w:rPr>
            <w:webHidden/>
          </w:rPr>
          <w:fldChar w:fldCharType="begin"/>
        </w:r>
        <w:r>
          <w:rPr>
            <w:webHidden/>
          </w:rPr>
          <w:instrText xml:space="preserve"> PAGEREF _Toc523474424 \h </w:instrText>
        </w:r>
        <w:r>
          <w:rPr>
            <w:webHidden/>
          </w:rPr>
        </w:r>
        <w:r>
          <w:rPr>
            <w:webHidden/>
          </w:rPr>
          <w:fldChar w:fldCharType="separate"/>
        </w:r>
        <w:r>
          <w:rPr>
            <w:webHidden/>
          </w:rPr>
          <w:t>157</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25" w:history="1">
        <w:r w:rsidRPr="00BC1022">
          <w:rPr>
            <w:rStyle w:val="Hyperlink"/>
            <w:rFonts w:ascii="Times New Roman" w:hAnsi="Times New Roman"/>
          </w:rPr>
          <w:t>4.2.2.</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C 17.01: Izgube in povrnitve iz naslova operativnega tveganja po poslovnih področjih in vrstah dogodkov v zadnjem letu (OPR DETAILS 1)</w:t>
        </w:r>
        <w:r>
          <w:rPr>
            <w:webHidden/>
          </w:rPr>
          <w:tab/>
        </w:r>
        <w:r>
          <w:rPr>
            <w:webHidden/>
          </w:rPr>
          <w:fldChar w:fldCharType="begin"/>
        </w:r>
        <w:r>
          <w:rPr>
            <w:webHidden/>
          </w:rPr>
          <w:instrText xml:space="preserve"> PAGEREF _Toc523474425 \h </w:instrText>
        </w:r>
        <w:r>
          <w:rPr>
            <w:webHidden/>
          </w:rPr>
        </w:r>
        <w:r>
          <w:rPr>
            <w:webHidden/>
          </w:rPr>
          <w:fldChar w:fldCharType="separate"/>
        </w:r>
        <w:r>
          <w:rPr>
            <w:webHidden/>
          </w:rPr>
          <w:t>158</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26" w:history="1">
        <w:r w:rsidRPr="00BC1022">
          <w:rPr>
            <w:rStyle w:val="Hyperlink"/>
            <w:rFonts w:ascii="Times New Roman" w:hAnsi="Times New Roman"/>
          </w:rPr>
          <w:t>4.2.2.1.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Splošne opombe</w:t>
        </w:r>
        <w:r>
          <w:rPr>
            <w:webHidden/>
          </w:rPr>
          <w:tab/>
        </w:r>
        <w:r>
          <w:rPr>
            <w:webHidden/>
          </w:rPr>
          <w:fldChar w:fldCharType="begin"/>
        </w:r>
        <w:r>
          <w:rPr>
            <w:webHidden/>
          </w:rPr>
          <w:instrText xml:space="preserve"> PAGEREF _Toc523474426 \h </w:instrText>
        </w:r>
        <w:r>
          <w:rPr>
            <w:webHidden/>
          </w:rPr>
        </w:r>
        <w:r>
          <w:rPr>
            <w:webHidden/>
          </w:rPr>
          <w:fldChar w:fldCharType="separate"/>
        </w:r>
        <w:r>
          <w:rPr>
            <w:webHidden/>
          </w:rPr>
          <w:t>158</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27" w:history="1">
        <w:r w:rsidRPr="00BC1022">
          <w:rPr>
            <w:rStyle w:val="Hyperlink"/>
            <w:rFonts w:ascii="Times New Roman" w:hAnsi="Times New Roman"/>
          </w:rPr>
          <w:t>4.2.2.2.</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Navodila za posamezne pozicije</w:t>
        </w:r>
        <w:r>
          <w:rPr>
            <w:webHidden/>
          </w:rPr>
          <w:tab/>
        </w:r>
        <w:r>
          <w:rPr>
            <w:webHidden/>
          </w:rPr>
          <w:fldChar w:fldCharType="begin"/>
        </w:r>
        <w:r>
          <w:rPr>
            <w:webHidden/>
          </w:rPr>
          <w:instrText xml:space="preserve"> PAGEREF _Toc523474427 \h </w:instrText>
        </w:r>
        <w:r>
          <w:rPr>
            <w:webHidden/>
          </w:rPr>
        </w:r>
        <w:r>
          <w:rPr>
            <w:webHidden/>
          </w:rPr>
          <w:fldChar w:fldCharType="separate"/>
        </w:r>
        <w:r>
          <w:rPr>
            <w:webHidden/>
          </w:rPr>
          <w:t>159</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28" w:history="1">
        <w:r w:rsidRPr="00BC1022">
          <w:rPr>
            <w:rStyle w:val="Hyperlink"/>
            <w:rFonts w:ascii="Times New Roman" w:hAnsi="Times New Roman"/>
          </w:rPr>
          <w:t>4.2.3.</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C 17.02: Operativno tveganje: Podrobnosti o največjih škodnih dogodkih v zadnjem letu (OPR DETAILS 2)</w:t>
        </w:r>
        <w:r>
          <w:rPr>
            <w:webHidden/>
          </w:rPr>
          <w:tab/>
        </w:r>
        <w:r>
          <w:rPr>
            <w:webHidden/>
          </w:rPr>
          <w:fldChar w:fldCharType="begin"/>
        </w:r>
        <w:r>
          <w:rPr>
            <w:webHidden/>
          </w:rPr>
          <w:instrText xml:space="preserve"> PAGEREF _Toc523474428 \h </w:instrText>
        </w:r>
        <w:r>
          <w:rPr>
            <w:webHidden/>
          </w:rPr>
        </w:r>
        <w:r>
          <w:rPr>
            <w:webHidden/>
          </w:rPr>
          <w:fldChar w:fldCharType="separate"/>
        </w:r>
        <w:r>
          <w:rPr>
            <w:webHidden/>
          </w:rPr>
          <w:t>165</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29" w:history="1">
        <w:r w:rsidRPr="00BC1022">
          <w:rPr>
            <w:rStyle w:val="Hyperlink"/>
            <w:rFonts w:ascii="Times New Roman" w:hAnsi="Times New Roman"/>
          </w:rPr>
          <w:t>4.2.3.1.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Splošne opombe</w:t>
        </w:r>
        <w:r>
          <w:rPr>
            <w:webHidden/>
          </w:rPr>
          <w:tab/>
        </w:r>
        <w:r>
          <w:rPr>
            <w:webHidden/>
          </w:rPr>
          <w:fldChar w:fldCharType="begin"/>
        </w:r>
        <w:r>
          <w:rPr>
            <w:webHidden/>
          </w:rPr>
          <w:instrText xml:space="preserve"> PAGEREF _Toc523474429 \h </w:instrText>
        </w:r>
        <w:r>
          <w:rPr>
            <w:webHidden/>
          </w:rPr>
        </w:r>
        <w:r>
          <w:rPr>
            <w:webHidden/>
          </w:rPr>
          <w:fldChar w:fldCharType="separate"/>
        </w:r>
        <w:r>
          <w:rPr>
            <w:webHidden/>
          </w:rPr>
          <w:t>165</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30" w:history="1">
        <w:r w:rsidRPr="00BC1022">
          <w:rPr>
            <w:rStyle w:val="Hyperlink"/>
            <w:rFonts w:ascii="Times New Roman" w:hAnsi="Times New Roman"/>
          </w:rPr>
          <w:t>4.2.3.2.</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Navodila za posamezne pozicije</w:t>
        </w:r>
        <w:r>
          <w:rPr>
            <w:webHidden/>
          </w:rPr>
          <w:tab/>
        </w:r>
        <w:r>
          <w:rPr>
            <w:webHidden/>
          </w:rPr>
          <w:fldChar w:fldCharType="begin"/>
        </w:r>
        <w:r>
          <w:rPr>
            <w:webHidden/>
          </w:rPr>
          <w:instrText xml:space="preserve"> PAGEREF _Toc523474430 \h </w:instrText>
        </w:r>
        <w:r>
          <w:rPr>
            <w:webHidden/>
          </w:rPr>
        </w:r>
        <w:r>
          <w:rPr>
            <w:webHidden/>
          </w:rPr>
          <w:fldChar w:fldCharType="separate"/>
        </w:r>
        <w:r>
          <w:rPr>
            <w:webHidden/>
          </w:rPr>
          <w:t>165</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31" w:history="1">
        <w:r w:rsidRPr="00BC1022">
          <w:rPr>
            <w:rStyle w:val="Hyperlink"/>
            <w:rFonts w:ascii="Times New Roman" w:hAnsi="Times New Roman"/>
          </w:rPr>
          <w:t>5.</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Predloge za tržno tveganje</w:t>
        </w:r>
        <w:r>
          <w:rPr>
            <w:webHidden/>
          </w:rPr>
          <w:tab/>
        </w:r>
        <w:r>
          <w:rPr>
            <w:webHidden/>
          </w:rPr>
          <w:fldChar w:fldCharType="begin"/>
        </w:r>
        <w:r>
          <w:rPr>
            <w:webHidden/>
          </w:rPr>
          <w:instrText xml:space="preserve"> PAGEREF _Toc523474431 \h </w:instrText>
        </w:r>
        <w:r>
          <w:rPr>
            <w:webHidden/>
          </w:rPr>
        </w:r>
        <w:r>
          <w:rPr>
            <w:webHidden/>
          </w:rPr>
          <w:fldChar w:fldCharType="separate"/>
        </w:r>
        <w:r>
          <w:rPr>
            <w:webHidden/>
          </w:rPr>
          <w:t>168</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32" w:history="1">
        <w:r w:rsidRPr="00BC1022">
          <w:rPr>
            <w:rStyle w:val="Hyperlink"/>
            <w:rFonts w:ascii="Times New Roman" w:hAnsi="Times New Roman"/>
          </w:rPr>
          <w:t>5.1.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C 18.00 – Tržno tveganje: Standardizirani pristop za pozicijska tveganja v dolžniških instrumentih, s katerimi se trguje na borzi (MKR SA TDI)</w:t>
        </w:r>
        <w:r>
          <w:rPr>
            <w:webHidden/>
          </w:rPr>
          <w:tab/>
        </w:r>
        <w:r>
          <w:rPr>
            <w:webHidden/>
          </w:rPr>
          <w:fldChar w:fldCharType="begin"/>
        </w:r>
        <w:r>
          <w:rPr>
            <w:webHidden/>
          </w:rPr>
          <w:instrText xml:space="preserve"> PAGEREF _Toc523474432 \h </w:instrText>
        </w:r>
        <w:r>
          <w:rPr>
            <w:webHidden/>
          </w:rPr>
        </w:r>
        <w:r>
          <w:rPr>
            <w:webHidden/>
          </w:rPr>
          <w:fldChar w:fldCharType="separate"/>
        </w:r>
        <w:r>
          <w:rPr>
            <w:webHidden/>
          </w:rPr>
          <w:t>168</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33" w:history="1">
        <w:r w:rsidRPr="00BC1022">
          <w:rPr>
            <w:rStyle w:val="Hyperlink"/>
            <w:rFonts w:ascii="Times New Roman" w:hAnsi="Times New Roman"/>
          </w:rPr>
          <w:t>5.1.1.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Splošne opombe</w:t>
        </w:r>
        <w:r>
          <w:rPr>
            <w:webHidden/>
          </w:rPr>
          <w:tab/>
        </w:r>
        <w:r>
          <w:rPr>
            <w:webHidden/>
          </w:rPr>
          <w:fldChar w:fldCharType="begin"/>
        </w:r>
        <w:r>
          <w:rPr>
            <w:webHidden/>
          </w:rPr>
          <w:instrText xml:space="preserve"> PAGEREF _Toc523474433 \h </w:instrText>
        </w:r>
        <w:r>
          <w:rPr>
            <w:webHidden/>
          </w:rPr>
        </w:r>
        <w:r>
          <w:rPr>
            <w:webHidden/>
          </w:rPr>
          <w:fldChar w:fldCharType="separate"/>
        </w:r>
        <w:r>
          <w:rPr>
            <w:webHidden/>
          </w:rPr>
          <w:t>168</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34" w:history="1">
        <w:r w:rsidRPr="00BC1022">
          <w:rPr>
            <w:rStyle w:val="Hyperlink"/>
            <w:rFonts w:ascii="Times New Roman" w:hAnsi="Times New Roman"/>
          </w:rPr>
          <w:t>5.1.2.</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Navodila za posamezne pozicije</w:t>
        </w:r>
        <w:r>
          <w:rPr>
            <w:webHidden/>
          </w:rPr>
          <w:tab/>
        </w:r>
        <w:r>
          <w:rPr>
            <w:webHidden/>
          </w:rPr>
          <w:fldChar w:fldCharType="begin"/>
        </w:r>
        <w:r>
          <w:rPr>
            <w:webHidden/>
          </w:rPr>
          <w:instrText xml:space="preserve"> PAGEREF _Toc523474434 \h </w:instrText>
        </w:r>
        <w:r>
          <w:rPr>
            <w:webHidden/>
          </w:rPr>
        </w:r>
        <w:r>
          <w:rPr>
            <w:webHidden/>
          </w:rPr>
          <w:fldChar w:fldCharType="separate"/>
        </w:r>
        <w:r>
          <w:rPr>
            <w:webHidden/>
          </w:rPr>
          <w:t>168</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35" w:history="1">
        <w:r w:rsidRPr="00BC1022">
          <w:rPr>
            <w:rStyle w:val="Hyperlink"/>
            <w:rFonts w:ascii="Times New Roman" w:hAnsi="Times New Roman"/>
          </w:rPr>
          <w:t>5.2.</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C 19.00 – TRŽNO TVEGANJE: STANDARDIZIRANI PRISTOP ZA POSEBNO TVEGANJE V LISTINJENJIH (MKR SA SEC)</w:t>
        </w:r>
        <w:r>
          <w:rPr>
            <w:webHidden/>
          </w:rPr>
          <w:tab/>
        </w:r>
        <w:r>
          <w:rPr>
            <w:webHidden/>
          </w:rPr>
          <w:fldChar w:fldCharType="begin"/>
        </w:r>
        <w:r>
          <w:rPr>
            <w:webHidden/>
          </w:rPr>
          <w:instrText xml:space="preserve"> PAGEREF _Toc523474435 \h </w:instrText>
        </w:r>
        <w:r>
          <w:rPr>
            <w:webHidden/>
          </w:rPr>
        </w:r>
        <w:r>
          <w:rPr>
            <w:webHidden/>
          </w:rPr>
          <w:fldChar w:fldCharType="separate"/>
        </w:r>
        <w:r>
          <w:rPr>
            <w:webHidden/>
          </w:rPr>
          <w:t>171</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36" w:history="1">
        <w:r w:rsidRPr="00BC1022">
          <w:rPr>
            <w:rStyle w:val="Hyperlink"/>
            <w:rFonts w:ascii="Times New Roman" w:hAnsi="Times New Roman"/>
          </w:rPr>
          <w:t>5.2.1.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Splošne opombe</w:t>
        </w:r>
        <w:r>
          <w:rPr>
            <w:webHidden/>
          </w:rPr>
          <w:tab/>
        </w:r>
        <w:r>
          <w:rPr>
            <w:webHidden/>
          </w:rPr>
          <w:fldChar w:fldCharType="begin"/>
        </w:r>
        <w:r>
          <w:rPr>
            <w:webHidden/>
          </w:rPr>
          <w:instrText xml:space="preserve"> PAGEREF _Toc523474436 \h </w:instrText>
        </w:r>
        <w:r>
          <w:rPr>
            <w:webHidden/>
          </w:rPr>
        </w:r>
        <w:r>
          <w:rPr>
            <w:webHidden/>
          </w:rPr>
          <w:fldChar w:fldCharType="separate"/>
        </w:r>
        <w:r>
          <w:rPr>
            <w:webHidden/>
          </w:rPr>
          <w:t>171</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37" w:history="1">
        <w:r w:rsidRPr="00BC1022">
          <w:rPr>
            <w:rStyle w:val="Hyperlink"/>
            <w:rFonts w:ascii="Times New Roman" w:hAnsi="Times New Roman"/>
          </w:rPr>
          <w:t>5.2.2.</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Navodila za posamezne pozicije</w:t>
        </w:r>
        <w:r>
          <w:rPr>
            <w:webHidden/>
          </w:rPr>
          <w:tab/>
        </w:r>
        <w:r>
          <w:rPr>
            <w:webHidden/>
          </w:rPr>
          <w:fldChar w:fldCharType="begin"/>
        </w:r>
        <w:r>
          <w:rPr>
            <w:webHidden/>
          </w:rPr>
          <w:instrText xml:space="preserve"> PAGEREF _Toc523474437 \h </w:instrText>
        </w:r>
        <w:r>
          <w:rPr>
            <w:webHidden/>
          </w:rPr>
        </w:r>
        <w:r>
          <w:rPr>
            <w:webHidden/>
          </w:rPr>
          <w:fldChar w:fldCharType="separate"/>
        </w:r>
        <w:r>
          <w:rPr>
            <w:webHidden/>
          </w:rPr>
          <w:t>171</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38" w:history="1">
        <w:r w:rsidRPr="00BC1022">
          <w:rPr>
            <w:rStyle w:val="Hyperlink"/>
            <w:rFonts w:ascii="Times New Roman" w:hAnsi="Times New Roman"/>
          </w:rPr>
          <w:t>5.3.</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C 20.00 – TRŽNO TVEGANJE: STANDARDIZIRANI PRISTOP ZA POSEBNO TVEGANJE V TRGOVALNEM PORTFELJU S KORELACIJO (MKR SA CTP)</w:t>
        </w:r>
        <w:r>
          <w:rPr>
            <w:webHidden/>
          </w:rPr>
          <w:tab/>
        </w:r>
        <w:r>
          <w:rPr>
            <w:webHidden/>
          </w:rPr>
          <w:fldChar w:fldCharType="begin"/>
        </w:r>
        <w:r>
          <w:rPr>
            <w:webHidden/>
          </w:rPr>
          <w:instrText xml:space="preserve"> PAGEREF _Toc523474438 \h </w:instrText>
        </w:r>
        <w:r>
          <w:rPr>
            <w:webHidden/>
          </w:rPr>
        </w:r>
        <w:r>
          <w:rPr>
            <w:webHidden/>
          </w:rPr>
          <w:fldChar w:fldCharType="separate"/>
        </w:r>
        <w:r>
          <w:rPr>
            <w:webHidden/>
          </w:rPr>
          <w:t>174</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39" w:history="1">
        <w:r w:rsidRPr="00BC1022">
          <w:rPr>
            <w:rStyle w:val="Hyperlink"/>
            <w:rFonts w:ascii="Times New Roman" w:hAnsi="Times New Roman"/>
          </w:rPr>
          <w:t>5.3.1.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Splošne opombe</w:t>
        </w:r>
        <w:r>
          <w:rPr>
            <w:webHidden/>
          </w:rPr>
          <w:tab/>
        </w:r>
        <w:r>
          <w:rPr>
            <w:webHidden/>
          </w:rPr>
          <w:fldChar w:fldCharType="begin"/>
        </w:r>
        <w:r>
          <w:rPr>
            <w:webHidden/>
          </w:rPr>
          <w:instrText xml:space="preserve"> PAGEREF _Toc523474439 \h </w:instrText>
        </w:r>
        <w:r>
          <w:rPr>
            <w:webHidden/>
          </w:rPr>
        </w:r>
        <w:r>
          <w:rPr>
            <w:webHidden/>
          </w:rPr>
          <w:fldChar w:fldCharType="separate"/>
        </w:r>
        <w:r>
          <w:rPr>
            <w:webHidden/>
          </w:rPr>
          <w:t>174</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40" w:history="1">
        <w:r w:rsidRPr="00BC1022">
          <w:rPr>
            <w:rStyle w:val="Hyperlink"/>
            <w:rFonts w:ascii="Times New Roman" w:hAnsi="Times New Roman"/>
          </w:rPr>
          <w:t>5.3.2.</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Navodila za posamezne pozicije</w:t>
        </w:r>
        <w:r>
          <w:rPr>
            <w:webHidden/>
          </w:rPr>
          <w:tab/>
        </w:r>
        <w:r>
          <w:rPr>
            <w:webHidden/>
          </w:rPr>
          <w:fldChar w:fldCharType="begin"/>
        </w:r>
        <w:r>
          <w:rPr>
            <w:webHidden/>
          </w:rPr>
          <w:instrText xml:space="preserve"> PAGEREF _Toc523474440 \h </w:instrText>
        </w:r>
        <w:r>
          <w:rPr>
            <w:webHidden/>
          </w:rPr>
        </w:r>
        <w:r>
          <w:rPr>
            <w:webHidden/>
          </w:rPr>
          <w:fldChar w:fldCharType="separate"/>
        </w:r>
        <w:r>
          <w:rPr>
            <w:webHidden/>
          </w:rPr>
          <w:t>174</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41" w:history="1">
        <w:r w:rsidRPr="00BC1022">
          <w:rPr>
            <w:rStyle w:val="Hyperlink"/>
            <w:rFonts w:ascii="Times New Roman" w:hAnsi="Times New Roman"/>
          </w:rPr>
          <w:t>5.4.</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C 21.00 – Tržno tveganje: Standardizirani pristop za pozicijsko tveganje v lastniških finančnih instrumentih (MKR SA EQU)</w:t>
        </w:r>
        <w:r>
          <w:rPr>
            <w:webHidden/>
          </w:rPr>
          <w:tab/>
        </w:r>
        <w:r>
          <w:rPr>
            <w:webHidden/>
          </w:rPr>
          <w:fldChar w:fldCharType="begin"/>
        </w:r>
        <w:r>
          <w:rPr>
            <w:webHidden/>
          </w:rPr>
          <w:instrText xml:space="preserve"> PAGEREF _Toc523474441 \h </w:instrText>
        </w:r>
        <w:r>
          <w:rPr>
            <w:webHidden/>
          </w:rPr>
        </w:r>
        <w:r>
          <w:rPr>
            <w:webHidden/>
          </w:rPr>
          <w:fldChar w:fldCharType="separate"/>
        </w:r>
        <w:r>
          <w:rPr>
            <w:webHidden/>
          </w:rPr>
          <w:t>177</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42" w:history="1">
        <w:r w:rsidRPr="00BC1022">
          <w:rPr>
            <w:rStyle w:val="Hyperlink"/>
            <w:rFonts w:ascii="Times New Roman" w:hAnsi="Times New Roman"/>
          </w:rPr>
          <w:t>5.4.1.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Splošne opombe</w:t>
        </w:r>
        <w:r>
          <w:rPr>
            <w:webHidden/>
          </w:rPr>
          <w:tab/>
        </w:r>
        <w:r>
          <w:rPr>
            <w:webHidden/>
          </w:rPr>
          <w:fldChar w:fldCharType="begin"/>
        </w:r>
        <w:r>
          <w:rPr>
            <w:webHidden/>
          </w:rPr>
          <w:instrText xml:space="preserve"> PAGEREF _Toc523474442 \h </w:instrText>
        </w:r>
        <w:r>
          <w:rPr>
            <w:webHidden/>
          </w:rPr>
        </w:r>
        <w:r>
          <w:rPr>
            <w:webHidden/>
          </w:rPr>
          <w:fldChar w:fldCharType="separate"/>
        </w:r>
        <w:r>
          <w:rPr>
            <w:webHidden/>
          </w:rPr>
          <w:t>177</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43" w:history="1">
        <w:r w:rsidRPr="00BC1022">
          <w:rPr>
            <w:rStyle w:val="Hyperlink"/>
            <w:rFonts w:ascii="Times New Roman" w:hAnsi="Times New Roman"/>
          </w:rPr>
          <w:t>5.4.2.</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Navodila za posamezne pozicije</w:t>
        </w:r>
        <w:r>
          <w:rPr>
            <w:webHidden/>
          </w:rPr>
          <w:tab/>
        </w:r>
        <w:r>
          <w:rPr>
            <w:webHidden/>
          </w:rPr>
          <w:fldChar w:fldCharType="begin"/>
        </w:r>
        <w:r>
          <w:rPr>
            <w:webHidden/>
          </w:rPr>
          <w:instrText xml:space="preserve"> PAGEREF _Toc523474443 \h </w:instrText>
        </w:r>
        <w:r>
          <w:rPr>
            <w:webHidden/>
          </w:rPr>
        </w:r>
        <w:r>
          <w:rPr>
            <w:webHidden/>
          </w:rPr>
          <w:fldChar w:fldCharType="separate"/>
        </w:r>
        <w:r>
          <w:rPr>
            <w:webHidden/>
          </w:rPr>
          <w:t>177</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44" w:history="1">
        <w:r w:rsidRPr="00BC1022">
          <w:rPr>
            <w:rStyle w:val="Hyperlink"/>
            <w:rFonts w:ascii="Times New Roman" w:hAnsi="Times New Roman"/>
          </w:rPr>
          <w:t>5.5.</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C 22.00 – Tržno tveganje: Standardizirani pristopi za valutno tveganje (MKR SA FX)</w:t>
        </w:r>
        <w:r>
          <w:rPr>
            <w:webHidden/>
          </w:rPr>
          <w:tab/>
        </w:r>
        <w:r>
          <w:rPr>
            <w:webHidden/>
          </w:rPr>
          <w:fldChar w:fldCharType="begin"/>
        </w:r>
        <w:r>
          <w:rPr>
            <w:webHidden/>
          </w:rPr>
          <w:instrText xml:space="preserve"> PAGEREF _Toc523474444 \h </w:instrText>
        </w:r>
        <w:r>
          <w:rPr>
            <w:webHidden/>
          </w:rPr>
        </w:r>
        <w:r>
          <w:rPr>
            <w:webHidden/>
          </w:rPr>
          <w:fldChar w:fldCharType="separate"/>
        </w:r>
        <w:r>
          <w:rPr>
            <w:webHidden/>
          </w:rPr>
          <w:t>179</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45" w:history="1">
        <w:r w:rsidRPr="00BC1022">
          <w:rPr>
            <w:rStyle w:val="Hyperlink"/>
            <w:rFonts w:ascii="Times New Roman" w:hAnsi="Times New Roman"/>
          </w:rPr>
          <w:t>5.5.1.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Splošne opombe</w:t>
        </w:r>
        <w:r>
          <w:rPr>
            <w:webHidden/>
          </w:rPr>
          <w:tab/>
        </w:r>
        <w:r>
          <w:rPr>
            <w:webHidden/>
          </w:rPr>
          <w:fldChar w:fldCharType="begin"/>
        </w:r>
        <w:r>
          <w:rPr>
            <w:webHidden/>
          </w:rPr>
          <w:instrText xml:space="preserve"> PAGEREF _Toc523474445 \h </w:instrText>
        </w:r>
        <w:r>
          <w:rPr>
            <w:webHidden/>
          </w:rPr>
        </w:r>
        <w:r>
          <w:rPr>
            <w:webHidden/>
          </w:rPr>
          <w:fldChar w:fldCharType="separate"/>
        </w:r>
        <w:r>
          <w:rPr>
            <w:webHidden/>
          </w:rPr>
          <w:t>179</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46" w:history="1">
        <w:r w:rsidRPr="00BC1022">
          <w:rPr>
            <w:rStyle w:val="Hyperlink"/>
            <w:rFonts w:ascii="Times New Roman" w:hAnsi="Times New Roman"/>
          </w:rPr>
          <w:t>5.5.2.</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Navodila za posamezne pozicije</w:t>
        </w:r>
        <w:r>
          <w:rPr>
            <w:webHidden/>
          </w:rPr>
          <w:tab/>
        </w:r>
        <w:r>
          <w:rPr>
            <w:webHidden/>
          </w:rPr>
          <w:fldChar w:fldCharType="begin"/>
        </w:r>
        <w:r>
          <w:rPr>
            <w:webHidden/>
          </w:rPr>
          <w:instrText xml:space="preserve"> PAGEREF _Toc523474446 \h </w:instrText>
        </w:r>
        <w:r>
          <w:rPr>
            <w:webHidden/>
          </w:rPr>
        </w:r>
        <w:r>
          <w:rPr>
            <w:webHidden/>
          </w:rPr>
          <w:fldChar w:fldCharType="separate"/>
        </w:r>
        <w:r>
          <w:rPr>
            <w:webHidden/>
          </w:rPr>
          <w:t>179</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47" w:history="1">
        <w:r w:rsidRPr="00BC1022">
          <w:rPr>
            <w:rStyle w:val="Hyperlink"/>
            <w:rFonts w:ascii="Times New Roman" w:hAnsi="Times New Roman"/>
          </w:rPr>
          <w:t>5.6.</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C 23.00 – Tržno tveganje: Standardizirani pristopi za blago (MKR SA COM)</w:t>
        </w:r>
        <w:r>
          <w:rPr>
            <w:webHidden/>
          </w:rPr>
          <w:tab/>
        </w:r>
        <w:r>
          <w:rPr>
            <w:webHidden/>
          </w:rPr>
          <w:fldChar w:fldCharType="begin"/>
        </w:r>
        <w:r>
          <w:rPr>
            <w:webHidden/>
          </w:rPr>
          <w:instrText xml:space="preserve"> PAGEREF _Toc523474447 \h </w:instrText>
        </w:r>
        <w:r>
          <w:rPr>
            <w:webHidden/>
          </w:rPr>
        </w:r>
        <w:r>
          <w:rPr>
            <w:webHidden/>
          </w:rPr>
          <w:fldChar w:fldCharType="separate"/>
        </w:r>
        <w:r>
          <w:rPr>
            <w:webHidden/>
          </w:rPr>
          <w:t>182</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48" w:history="1">
        <w:r w:rsidRPr="00BC1022">
          <w:rPr>
            <w:rStyle w:val="Hyperlink"/>
            <w:rFonts w:ascii="Times New Roman" w:hAnsi="Times New Roman"/>
          </w:rPr>
          <w:t>5.6.1.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Splošne opombe</w:t>
        </w:r>
        <w:r>
          <w:rPr>
            <w:webHidden/>
          </w:rPr>
          <w:tab/>
        </w:r>
        <w:r>
          <w:rPr>
            <w:webHidden/>
          </w:rPr>
          <w:fldChar w:fldCharType="begin"/>
        </w:r>
        <w:r>
          <w:rPr>
            <w:webHidden/>
          </w:rPr>
          <w:instrText xml:space="preserve"> PAGEREF _Toc523474448 \h </w:instrText>
        </w:r>
        <w:r>
          <w:rPr>
            <w:webHidden/>
          </w:rPr>
        </w:r>
        <w:r>
          <w:rPr>
            <w:webHidden/>
          </w:rPr>
          <w:fldChar w:fldCharType="separate"/>
        </w:r>
        <w:r>
          <w:rPr>
            <w:webHidden/>
          </w:rPr>
          <w:t>182</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49" w:history="1">
        <w:r w:rsidRPr="00BC1022">
          <w:rPr>
            <w:rStyle w:val="Hyperlink"/>
            <w:rFonts w:ascii="Times New Roman" w:hAnsi="Times New Roman"/>
          </w:rPr>
          <w:t>5.6.2.</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Navodila za posamezne pozicije</w:t>
        </w:r>
        <w:r>
          <w:rPr>
            <w:webHidden/>
          </w:rPr>
          <w:tab/>
        </w:r>
        <w:r>
          <w:rPr>
            <w:webHidden/>
          </w:rPr>
          <w:fldChar w:fldCharType="begin"/>
        </w:r>
        <w:r>
          <w:rPr>
            <w:webHidden/>
          </w:rPr>
          <w:instrText xml:space="preserve"> PAGEREF _Toc523474449 \h </w:instrText>
        </w:r>
        <w:r>
          <w:rPr>
            <w:webHidden/>
          </w:rPr>
        </w:r>
        <w:r>
          <w:rPr>
            <w:webHidden/>
          </w:rPr>
          <w:fldChar w:fldCharType="separate"/>
        </w:r>
        <w:r>
          <w:rPr>
            <w:webHidden/>
          </w:rPr>
          <w:t>182</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50" w:history="1">
        <w:r w:rsidRPr="00BC1022">
          <w:rPr>
            <w:rStyle w:val="Hyperlink"/>
            <w:rFonts w:ascii="Times New Roman" w:hAnsi="Times New Roman"/>
          </w:rPr>
          <w:t>5.7.</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C 24.00 – Notranji modeli za tržna tveganja (MKR IM)</w:t>
        </w:r>
        <w:r>
          <w:rPr>
            <w:webHidden/>
          </w:rPr>
          <w:tab/>
        </w:r>
        <w:r>
          <w:rPr>
            <w:webHidden/>
          </w:rPr>
          <w:fldChar w:fldCharType="begin"/>
        </w:r>
        <w:r>
          <w:rPr>
            <w:webHidden/>
          </w:rPr>
          <w:instrText xml:space="preserve"> PAGEREF _Toc523474450 \h </w:instrText>
        </w:r>
        <w:r>
          <w:rPr>
            <w:webHidden/>
          </w:rPr>
        </w:r>
        <w:r>
          <w:rPr>
            <w:webHidden/>
          </w:rPr>
          <w:fldChar w:fldCharType="separate"/>
        </w:r>
        <w:r>
          <w:rPr>
            <w:webHidden/>
          </w:rPr>
          <w:t>183</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51" w:history="1">
        <w:r w:rsidRPr="00BC1022">
          <w:rPr>
            <w:rStyle w:val="Hyperlink"/>
            <w:rFonts w:ascii="Times New Roman" w:hAnsi="Times New Roman"/>
          </w:rPr>
          <w:t>5.7.1.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Splošne opombe</w:t>
        </w:r>
        <w:r>
          <w:rPr>
            <w:webHidden/>
          </w:rPr>
          <w:tab/>
        </w:r>
        <w:r>
          <w:rPr>
            <w:webHidden/>
          </w:rPr>
          <w:fldChar w:fldCharType="begin"/>
        </w:r>
        <w:r>
          <w:rPr>
            <w:webHidden/>
          </w:rPr>
          <w:instrText xml:space="preserve"> PAGEREF _Toc523474451 \h </w:instrText>
        </w:r>
        <w:r>
          <w:rPr>
            <w:webHidden/>
          </w:rPr>
        </w:r>
        <w:r>
          <w:rPr>
            <w:webHidden/>
          </w:rPr>
          <w:fldChar w:fldCharType="separate"/>
        </w:r>
        <w:r>
          <w:rPr>
            <w:webHidden/>
          </w:rPr>
          <w:t>183</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52" w:history="1">
        <w:r w:rsidRPr="00BC1022">
          <w:rPr>
            <w:rStyle w:val="Hyperlink"/>
            <w:rFonts w:ascii="Times New Roman" w:hAnsi="Times New Roman"/>
          </w:rPr>
          <w:t>5.7.2.</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Navodila za posamezne pozicije</w:t>
        </w:r>
        <w:r>
          <w:rPr>
            <w:webHidden/>
          </w:rPr>
          <w:tab/>
        </w:r>
        <w:r>
          <w:rPr>
            <w:webHidden/>
          </w:rPr>
          <w:fldChar w:fldCharType="begin"/>
        </w:r>
        <w:r>
          <w:rPr>
            <w:webHidden/>
          </w:rPr>
          <w:instrText xml:space="preserve"> PAGEREF _Toc523474452 \h </w:instrText>
        </w:r>
        <w:r>
          <w:rPr>
            <w:webHidden/>
          </w:rPr>
        </w:r>
        <w:r>
          <w:rPr>
            <w:webHidden/>
          </w:rPr>
          <w:fldChar w:fldCharType="separate"/>
        </w:r>
        <w:r>
          <w:rPr>
            <w:webHidden/>
          </w:rPr>
          <w:t>184</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53" w:history="1">
        <w:r w:rsidRPr="00BC1022">
          <w:rPr>
            <w:rStyle w:val="Hyperlink"/>
            <w:rFonts w:ascii="Times New Roman" w:hAnsi="Times New Roman"/>
          </w:rPr>
          <w:t>5.8.</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C 25.00 – TVEGANJE PRILAGODITVE KREDITNEGA VREDNOTENJA (CVA)</w:t>
        </w:r>
        <w:r>
          <w:rPr>
            <w:webHidden/>
          </w:rPr>
          <w:tab/>
        </w:r>
        <w:r>
          <w:rPr>
            <w:webHidden/>
          </w:rPr>
          <w:fldChar w:fldCharType="begin"/>
        </w:r>
        <w:r>
          <w:rPr>
            <w:webHidden/>
          </w:rPr>
          <w:instrText xml:space="preserve"> PAGEREF _Toc523474453 \h </w:instrText>
        </w:r>
        <w:r>
          <w:rPr>
            <w:webHidden/>
          </w:rPr>
        </w:r>
        <w:r>
          <w:rPr>
            <w:webHidden/>
          </w:rPr>
          <w:fldChar w:fldCharType="separate"/>
        </w:r>
        <w:r>
          <w:rPr>
            <w:webHidden/>
          </w:rPr>
          <w:t>187</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54" w:history="1">
        <w:r w:rsidRPr="00BC1022">
          <w:rPr>
            <w:rStyle w:val="Hyperlink"/>
            <w:rFonts w:ascii="Times New Roman" w:hAnsi="Times New Roman"/>
          </w:rPr>
          <w:t>5.8.1.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Navodila za posamezne pozicije</w:t>
        </w:r>
        <w:r>
          <w:rPr>
            <w:webHidden/>
          </w:rPr>
          <w:tab/>
        </w:r>
        <w:r>
          <w:rPr>
            <w:webHidden/>
          </w:rPr>
          <w:fldChar w:fldCharType="begin"/>
        </w:r>
        <w:r>
          <w:rPr>
            <w:webHidden/>
          </w:rPr>
          <w:instrText xml:space="preserve"> PAGEREF _Toc523474454 \h </w:instrText>
        </w:r>
        <w:r>
          <w:rPr>
            <w:webHidden/>
          </w:rPr>
        </w:r>
        <w:r>
          <w:rPr>
            <w:webHidden/>
          </w:rPr>
          <w:fldChar w:fldCharType="separate"/>
        </w:r>
        <w:r>
          <w:rPr>
            <w:webHidden/>
          </w:rPr>
          <w:t>187</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55" w:history="1">
        <w:r w:rsidRPr="00BC1022">
          <w:rPr>
            <w:rStyle w:val="Hyperlink"/>
            <w:rFonts w:ascii="Times New Roman" w:hAnsi="Times New Roman"/>
          </w:rPr>
          <w:t>6.</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Preudarno vrednotenje (PruVal)</w:t>
        </w:r>
        <w:r>
          <w:rPr>
            <w:webHidden/>
          </w:rPr>
          <w:tab/>
        </w:r>
        <w:r>
          <w:rPr>
            <w:webHidden/>
          </w:rPr>
          <w:fldChar w:fldCharType="begin"/>
        </w:r>
        <w:r>
          <w:rPr>
            <w:webHidden/>
          </w:rPr>
          <w:instrText xml:space="preserve"> PAGEREF _Toc523474455 \h </w:instrText>
        </w:r>
        <w:r>
          <w:rPr>
            <w:webHidden/>
          </w:rPr>
        </w:r>
        <w:r>
          <w:rPr>
            <w:webHidden/>
          </w:rPr>
          <w:fldChar w:fldCharType="separate"/>
        </w:r>
        <w:r>
          <w:rPr>
            <w:webHidden/>
          </w:rPr>
          <w:t>189</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56" w:history="1">
        <w:r w:rsidRPr="00BC1022">
          <w:rPr>
            <w:rStyle w:val="Hyperlink"/>
            <w:rFonts w:ascii="Times New Roman" w:hAnsi="Times New Roman"/>
          </w:rPr>
          <w:t>6.1.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C 32.01 – Preudarno vrednotenje: Sredstva in obveznosti po pošteni vrednosti (PruVal 1)</w:t>
        </w:r>
        <w:r>
          <w:rPr>
            <w:webHidden/>
          </w:rPr>
          <w:tab/>
        </w:r>
        <w:r>
          <w:rPr>
            <w:webHidden/>
          </w:rPr>
          <w:fldChar w:fldCharType="begin"/>
        </w:r>
        <w:r>
          <w:rPr>
            <w:webHidden/>
          </w:rPr>
          <w:instrText xml:space="preserve"> PAGEREF _Toc523474456 \h </w:instrText>
        </w:r>
        <w:r>
          <w:rPr>
            <w:webHidden/>
          </w:rPr>
        </w:r>
        <w:r>
          <w:rPr>
            <w:webHidden/>
          </w:rPr>
          <w:fldChar w:fldCharType="separate"/>
        </w:r>
        <w:r>
          <w:rPr>
            <w:webHidden/>
          </w:rPr>
          <w:t>189</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57" w:history="1">
        <w:r w:rsidRPr="00BC1022">
          <w:rPr>
            <w:rStyle w:val="Hyperlink"/>
            <w:rFonts w:ascii="Times New Roman" w:hAnsi="Times New Roman"/>
          </w:rPr>
          <w:t>6.1.1.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Splošne opombe</w:t>
        </w:r>
        <w:r>
          <w:rPr>
            <w:webHidden/>
          </w:rPr>
          <w:tab/>
        </w:r>
        <w:r>
          <w:rPr>
            <w:webHidden/>
          </w:rPr>
          <w:fldChar w:fldCharType="begin"/>
        </w:r>
        <w:r>
          <w:rPr>
            <w:webHidden/>
          </w:rPr>
          <w:instrText xml:space="preserve"> PAGEREF _Toc523474457 \h </w:instrText>
        </w:r>
        <w:r>
          <w:rPr>
            <w:webHidden/>
          </w:rPr>
        </w:r>
        <w:r>
          <w:rPr>
            <w:webHidden/>
          </w:rPr>
          <w:fldChar w:fldCharType="separate"/>
        </w:r>
        <w:r>
          <w:rPr>
            <w:webHidden/>
          </w:rPr>
          <w:t>189</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58" w:history="1">
        <w:r w:rsidRPr="00BC1022">
          <w:rPr>
            <w:rStyle w:val="Hyperlink"/>
            <w:rFonts w:ascii="Times New Roman" w:hAnsi="Times New Roman"/>
          </w:rPr>
          <w:t>6.1.2.</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Navodila za posamezne pozicije</w:t>
        </w:r>
        <w:r>
          <w:rPr>
            <w:webHidden/>
          </w:rPr>
          <w:tab/>
        </w:r>
        <w:r>
          <w:rPr>
            <w:webHidden/>
          </w:rPr>
          <w:fldChar w:fldCharType="begin"/>
        </w:r>
        <w:r>
          <w:rPr>
            <w:webHidden/>
          </w:rPr>
          <w:instrText xml:space="preserve"> PAGEREF _Toc523474458 \h </w:instrText>
        </w:r>
        <w:r>
          <w:rPr>
            <w:webHidden/>
          </w:rPr>
        </w:r>
        <w:r>
          <w:rPr>
            <w:webHidden/>
          </w:rPr>
          <w:fldChar w:fldCharType="separate"/>
        </w:r>
        <w:r>
          <w:rPr>
            <w:webHidden/>
          </w:rPr>
          <w:t>189</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59" w:history="1">
        <w:r w:rsidRPr="00BC1022">
          <w:rPr>
            <w:rStyle w:val="Hyperlink"/>
            <w:rFonts w:ascii="Times New Roman" w:hAnsi="Times New Roman"/>
          </w:rPr>
          <w:t>6.2.</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C 32.02 – Preudarno vrednotenje: Temeljni pristop (PruVal 2)</w:t>
        </w:r>
        <w:r>
          <w:rPr>
            <w:webHidden/>
          </w:rPr>
          <w:tab/>
        </w:r>
        <w:r>
          <w:rPr>
            <w:webHidden/>
          </w:rPr>
          <w:fldChar w:fldCharType="begin"/>
        </w:r>
        <w:r>
          <w:rPr>
            <w:webHidden/>
          </w:rPr>
          <w:instrText xml:space="preserve"> PAGEREF _Toc523474459 \h </w:instrText>
        </w:r>
        <w:r>
          <w:rPr>
            <w:webHidden/>
          </w:rPr>
        </w:r>
        <w:r>
          <w:rPr>
            <w:webHidden/>
          </w:rPr>
          <w:fldChar w:fldCharType="separate"/>
        </w:r>
        <w:r>
          <w:rPr>
            <w:webHidden/>
          </w:rPr>
          <w:t>194</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60" w:history="1">
        <w:r w:rsidRPr="00BC1022">
          <w:rPr>
            <w:rStyle w:val="Hyperlink"/>
            <w:rFonts w:ascii="Times New Roman" w:hAnsi="Times New Roman"/>
          </w:rPr>
          <w:t>6.2.1.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Splošne opombe</w:t>
        </w:r>
        <w:r>
          <w:rPr>
            <w:webHidden/>
          </w:rPr>
          <w:tab/>
        </w:r>
        <w:r>
          <w:rPr>
            <w:webHidden/>
          </w:rPr>
          <w:fldChar w:fldCharType="begin"/>
        </w:r>
        <w:r>
          <w:rPr>
            <w:webHidden/>
          </w:rPr>
          <w:instrText xml:space="preserve"> PAGEREF _Toc523474460 \h </w:instrText>
        </w:r>
        <w:r>
          <w:rPr>
            <w:webHidden/>
          </w:rPr>
        </w:r>
        <w:r>
          <w:rPr>
            <w:webHidden/>
          </w:rPr>
          <w:fldChar w:fldCharType="separate"/>
        </w:r>
        <w:r>
          <w:rPr>
            <w:webHidden/>
          </w:rPr>
          <w:t>194</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61" w:history="1">
        <w:r w:rsidRPr="00BC1022">
          <w:rPr>
            <w:rStyle w:val="Hyperlink"/>
            <w:rFonts w:ascii="Times New Roman" w:hAnsi="Times New Roman"/>
          </w:rPr>
          <w:t>6.2.2.</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Navodila za posamezne pozicije</w:t>
        </w:r>
        <w:r>
          <w:rPr>
            <w:webHidden/>
          </w:rPr>
          <w:tab/>
        </w:r>
        <w:r>
          <w:rPr>
            <w:webHidden/>
          </w:rPr>
          <w:fldChar w:fldCharType="begin"/>
        </w:r>
        <w:r>
          <w:rPr>
            <w:webHidden/>
          </w:rPr>
          <w:instrText xml:space="preserve"> PAGEREF _Toc523474461 \h </w:instrText>
        </w:r>
        <w:r>
          <w:rPr>
            <w:webHidden/>
          </w:rPr>
        </w:r>
        <w:r>
          <w:rPr>
            <w:webHidden/>
          </w:rPr>
          <w:fldChar w:fldCharType="separate"/>
        </w:r>
        <w:r>
          <w:rPr>
            <w:webHidden/>
          </w:rPr>
          <w:t>195</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62" w:history="1">
        <w:r w:rsidRPr="00BC1022">
          <w:rPr>
            <w:rStyle w:val="Hyperlink"/>
            <w:rFonts w:ascii="Times New Roman" w:hAnsi="Times New Roman"/>
          </w:rPr>
          <w:t>6.3. C 32.03 – Preudarno vrednotenje: Dodatna prilagoditev vrednosti za tveganje, povezano z uporabo modela (PruVal 3)</w:t>
        </w:r>
        <w:r>
          <w:rPr>
            <w:webHidden/>
          </w:rPr>
          <w:tab/>
        </w:r>
        <w:r>
          <w:rPr>
            <w:webHidden/>
          </w:rPr>
          <w:fldChar w:fldCharType="begin"/>
        </w:r>
        <w:r>
          <w:rPr>
            <w:webHidden/>
          </w:rPr>
          <w:instrText xml:space="preserve"> PAGEREF _Toc523474462 \h </w:instrText>
        </w:r>
        <w:r>
          <w:rPr>
            <w:webHidden/>
          </w:rPr>
        </w:r>
        <w:r>
          <w:rPr>
            <w:webHidden/>
          </w:rPr>
          <w:fldChar w:fldCharType="separate"/>
        </w:r>
        <w:r>
          <w:rPr>
            <w:webHidden/>
          </w:rPr>
          <w:t>205</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63" w:history="1">
        <w:r w:rsidRPr="00BC1022">
          <w:rPr>
            <w:rStyle w:val="Hyperlink"/>
            <w:rFonts w:ascii="Times New Roman" w:hAnsi="Times New Roman"/>
          </w:rPr>
          <w:t>6.3.1.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Splošne opombe</w:t>
        </w:r>
        <w:r>
          <w:rPr>
            <w:webHidden/>
          </w:rPr>
          <w:tab/>
        </w:r>
        <w:r>
          <w:rPr>
            <w:webHidden/>
          </w:rPr>
          <w:fldChar w:fldCharType="begin"/>
        </w:r>
        <w:r>
          <w:rPr>
            <w:webHidden/>
          </w:rPr>
          <w:instrText xml:space="preserve"> PAGEREF _Toc523474463 \h </w:instrText>
        </w:r>
        <w:r>
          <w:rPr>
            <w:webHidden/>
          </w:rPr>
        </w:r>
        <w:r>
          <w:rPr>
            <w:webHidden/>
          </w:rPr>
          <w:fldChar w:fldCharType="separate"/>
        </w:r>
        <w:r>
          <w:rPr>
            <w:webHidden/>
          </w:rPr>
          <w:t>205</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64" w:history="1">
        <w:r w:rsidRPr="00BC1022">
          <w:rPr>
            <w:rStyle w:val="Hyperlink"/>
            <w:rFonts w:ascii="Times New Roman" w:hAnsi="Times New Roman"/>
          </w:rPr>
          <w:t>6.3.2.</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Navodila za posamezne pozicije</w:t>
        </w:r>
        <w:r>
          <w:rPr>
            <w:webHidden/>
          </w:rPr>
          <w:tab/>
        </w:r>
        <w:r>
          <w:rPr>
            <w:webHidden/>
          </w:rPr>
          <w:fldChar w:fldCharType="begin"/>
        </w:r>
        <w:r>
          <w:rPr>
            <w:webHidden/>
          </w:rPr>
          <w:instrText xml:space="preserve"> PAGEREF _Toc523474464 \h </w:instrText>
        </w:r>
        <w:r>
          <w:rPr>
            <w:webHidden/>
          </w:rPr>
        </w:r>
        <w:r>
          <w:rPr>
            <w:webHidden/>
          </w:rPr>
          <w:fldChar w:fldCharType="separate"/>
        </w:r>
        <w:r>
          <w:rPr>
            <w:webHidden/>
          </w:rPr>
          <w:t>206</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65" w:history="1">
        <w:r w:rsidRPr="00BC1022">
          <w:rPr>
            <w:rStyle w:val="Hyperlink"/>
            <w:rFonts w:ascii="Times New Roman" w:hAnsi="Times New Roman"/>
          </w:rPr>
          <w:t>6.4 C 32.04 – Preudarno vrednotenje: Dodatna prilagoditev vrednosti za koncentracije pozicij (PruVal 4)</w:t>
        </w:r>
        <w:r>
          <w:rPr>
            <w:webHidden/>
          </w:rPr>
          <w:tab/>
        </w:r>
        <w:r>
          <w:rPr>
            <w:webHidden/>
          </w:rPr>
          <w:fldChar w:fldCharType="begin"/>
        </w:r>
        <w:r>
          <w:rPr>
            <w:webHidden/>
          </w:rPr>
          <w:instrText xml:space="preserve"> PAGEREF _Toc523474465 \h </w:instrText>
        </w:r>
        <w:r>
          <w:rPr>
            <w:webHidden/>
          </w:rPr>
        </w:r>
        <w:r>
          <w:rPr>
            <w:webHidden/>
          </w:rPr>
          <w:fldChar w:fldCharType="separate"/>
        </w:r>
        <w:r>
          <w:rPr>
            <w:webHidden/>
          </w:rPr>
          <w:t>208</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66" w:history="1">
        <w:r w:rsidRPr="00BC1022">
          <w:rPr>
            <w:rStyle w:val="Hyperlink"/>
            <w:rFonts w:ascii="Times New Roman" w:hAnsi="Times New Roman"/>
          </w:rPr>
          <w:t>6.4.1.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Splošne opombe</w:t>
        </w:r>
        <w:r>
          <w:rPr>
            <w:webHidden/>
          </w:rPr>
          <w:tab/>
        </w:r>
        <w:r>
          <w:rPr>
            <w:webHidden/>
          </w:rPr>
          <w:fldChar w:fldCharType="begin"/>
        </w:r>
        <w:r>
          <w:rPr>
            <w:webHidden/>
          </w:rPr>
          <w:instrText xml:space="preserve"> PAGEREF _Toc523474466 \h </w:instrText>
        </w:r>
        <w:r>
          <w:rPr>
            <w:webHidden/>
          </w:rPr>
        </w:r>
        <w:r>
          <w:rPr>
            <w:webHidden/>
          </w:rPr>
          <w:fldChar w:fldCharType="separate"/>
        </w:r>
        <w:r>
          <w:rPr>
            <w:webHidden/>
          </w:rPr>
          <w:t>208</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67" w:history="1">
        <w:r w:rsidRPr="00BC1022">
          <w:rPr>
            <w:rStyle w:val="Hyperlink"/>
            <w:rFonts w:ascii="Times New Roman" w:hAnsi="Times New Roman"/>
          </w:rPr>
          <w:t>6.4.2.</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Navodila za posamezne pozicije</w:t>
        </w:r>
        <w:r>
          <w:rPr>
            <w:webHidden/>
          </w:rPr>
          <w:tab/>
        </w:r>
        <w:r>
          <w:rPr>
            <w:webHidden/>
          </w:rPr>
          <w:fldChar w:fldCharType="begin"/>
        </w:r>
        <w:r>
          <w:rPr>
            <w:webHidden/>
          </w:rPr>
          <w:instrText xml:space="preserve"> PAGEREF _Toc523474467 \h </w:instrText>
        </w:r>
        <w:r>
          <w:rPr>
            <w:webHidden/>
          </w:rPr>
        </w:r>
        <w:r>
          <w:rPr>
            <w:webHidden/>
          </w:rPr>
          <w:fldChar w:fldCharType="separate"/>
        </w:r>
        <w:r>
          <w:rPr>
            <w:webHidden/>
          </w:rPr>
          <w:t>209</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68" w:history="1">
        <w:r w:rsidRPr="00BC1022">
          <w:rPr>
            <w:rStyle w:val="Hyperlink"/>
            <w:rFonts w:ascii="Times New Roman" w:hAnsi="Times New Roman"/>
          </w:rPr>
          <w:t>7.</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C 33.00 – Izpostavljenosti do sektorja država (GOV)</w:t>
        </w:r>
        <w:r>
          <w:rPr>
            <w:webHidden/>
          </w:rPr>
          <w:tab/>
        </w:r>
        <w:r>
          <w:rPr>
            <w:webHidden/>
          </w:rPr>
          <w:fldChar w:fldCharType="begin"/>
        </w:r>
        <w:r>
          <w:rPr>
            <w:webHidden/>
          </w:rPr>
          <w:instrText xml:space="preserve"> PAGEREF _Toc523474468 \h </w:instrText>
        </w:r>
        <w:r>
          <w:rPr>
            <w:webHidden/>
          </w:rPr>
        </w:r>
        <w:r>
          <w:rPr>
            <w:webHidden/>
          </w:rPr>
          <w:fldChar w:fldCharType="separate"/>
        </w:r>
        <w:r>
          <w:rPr>
            <w:webHidden/>
          </w:rPr>
          <w:t>211</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69" w:history="1">
        <w:r w:rsidRPr="00BC1022">
          <w:rPr>
            <w:rStyle w:val="Hyperlink"/>
            <w:rFonts w:ascii="Times New Roman" w:hAnsi="Times New Roman"/>
          </w:rPr>
          <w:t>7.1.</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Splošne opombe</w:t>
        </w:r>
        <w:r>
          <w:rPr>
            <w:webHidden/>
          </w:rPr>
          <w:tab/>
        </w:r>
        <w:r>
          <w:rPr>
            <w:webHidden/>
          </w:rPr>
          <w:fldChar w:fldCharType="begin"/>
        </w:r>
        <w:r>
          <w:rPr>
            <w:webHidden/>
          </w:rPr>
          <w:instrText xml:space="preserve"> PAGEREF _Toc523474469 \h </w:instrText>
        </w:r>
        <w:r>
          <w:rPr>
            <w:webHidden/>
          </w:rPr>
        </w:r>
        <w:r>
          <w:rPr>
            <w:webHidden/>
          </w:rPr>
          <w:fldChar w:fldCharType="separate"/>
        </w:r>
        <w:r>
          <w:rPr>
            <w:webHidden/>
          </w:rPr>
          <w:t>211</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70" w:history="1">
        <w:r w:rsidRPr="00BC1022">
          <w:rPr>
            <w:rStyle w:val="Hyperlink"/>
            <w:rFonts w:ascii="Times New Roman" w:hAnsi="Times New Roman"/>
          </w:rPr>
          <w:t>7.2.</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Področje uporabe predloge o izpostavljenostih do „enot centralne ravni države“</w:t>
        </w:r>
        <w:r>
          <w:rPr>
            <w:webHidden/>
          </w:rPr>
          <w:tab/>
        </w:r>
        <w:r>
          <w:rPr>
            <w:webHidden/>
          </w:rPr>
          <w:fldChar w:fldCharType="begin"/>
        </w:r>
        <w:r>
          <w:rPr>
            <w:webHidden/>
          </w:rPr>
          <w:instrText xml:space="preserve"> PAGEREF _Toc523474470 \h </w:instrText>
        </w:r>
        <w:r>
          <w:rPr>
            <w:webHidden/>
          </w:rPr>
        </w:r>
        <w:r>
          <w:rPr>
            <w:webHidden/>
          </w:rPr>
          <w:fldChar w:fldCharType="separate"/>
        </w:r>
        <w:r>
          <w:rPr>
            <w:webHidden/>
          </w:rPr>
          <w:t>211</w:t>
        </w:r>
        <w:r>
          <w:rPr>
            <w:webHidden/>
          </w:rPr>
          <w:fldChar w:fldCharType="end"/>
        </w:r>
      </w:hyperlink>
    </w:p>
    <w:p w:rsidR="0047639A" w:rsidRDefault="0047639A">
      <w:pPr>
        <w:pStyle w:val="TOC2"/>
        <w:rPr>
          <w:rFonts w:asciiTheme="minorHAnsi" w:eastAsiaTheme="minorEastAsia" w:hAnsiTheme="minorHAnsi" w:cstheme="minorBidi"/>
          <w:b w:val="0"/>
          <w:smallCaps w:val="0"/>
          <w:sz w:val="22"/>
          <w:lang w:bidi="ar-SA"/>
        </w:rPr>
      </w:pPr>
      <w:hyperlink w:anchor="_Toc523474471" w:history="1">
        <w:r w:rsidRPr="00BC1022">
          <w:rPr>
            <w:rStyle w:val="Hyperlink"/>
            <w:rFonts w:ascii="Times New Roman" w:hAnsi="Times New Roman"/>
          </w:rPr>
          <w:t>7.3.</w:t>
        </w:r>
        <w:r>
          <w:rPr>
            <w:rFonts w:asciiTheme="minorHAnsi" w:eastAsiaTheme="minorEastAsia" w:hAnsiTheme="minorHAnsi" w:cstheme="minorBidi"/>
            <w:b w:val="0"/>
            <w:smallCaps w:val="0"/>
            <w:sz w:val="22"/>
            <w:lang w:bidi="ar-SA"/>
          </w:rPr>
          <w:tab/>
        </w:r>
        <w:r w:rsidRPr="00BC1022">
          <w:rPr>
            <w:rStyle w:val="Hyperlink"/>
            <w:rFonts w:ascii="Times New Roman" w:hAnsi="Times New Roman"/>
          </w:rPr>
          <w:t>Navodila za posamezne pozicije</w:t>
        </w:r>
        <w:r>
          <w:rPr>
            <w:webHidden/>
          </w:rPr>
          <w:tab/>
        </w:r>
        <w:r>
          <w:rPr>
            <w:webHidden/>
          </w:rPr>
          <w:fldChar w:fldCharType="begin"/>
        </w:r>
        <w:r>
          <w:rPr>
            <w:webHidden/>
          </w:rPr>
          <w:instrText xml:space="preserve"> PAGEREF _Toc523474471 \h </w:instrText>
        </w:r>
        <w:r>
          <w:rPr>
            <w:webHidden/>
          </w:rPr>
        </w:r>
        <w:r>
          <w:rPr>
            <w:webHidden/>
          </w:rPr>
          <w:fldChar w:fldCharType="separate"/>
        </w:r>
        <w:r>
          <w:rPr>
            <w:webHidden/>
          </w:rPr>
          <w:t>211</w:t>
        </w:r>
        <w:r>
          <w:rPr>
            <w:webHidden/>
          </w:rPr>
          <w:fldChar w:fldCharType="end"/>
        </w:r>
      </w:hyperlink>
    </w:p>
    <w:p w:rsidR="00512312" w:rsidRDefault="004B34D1">
      <w:pPr>
        <w:rPr>
          <w:rFonts w:asciiTheme="minorHAnsi" w:eastAsiaTheme="minorEastAsia" w:hAnsiTheme="minorHAnsi" w:cstheme="minorBidi"/>
          <w:sz w:val="22"/>
        </w:rPr>
        <w:sectPr w:rsidR="00512312" w:rsidSect="004D4419">
          <w:headerReference w:type="default" r:id="rId9"/>
          <w:footerReference w:type="default" r:id="rId10"/>
          <w:footerReference w:type="first" r:id="rId11"/>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rsidR="007B4FD3" w:rsidRPr="00392FFD" w:rsidRDefault="007B4FD3" w:rsidP="00EC5046">
      <w:pPr>
        <w:rPr>
          <w:rFonts w:ascii="Times New Roman" w:hAnsi="Times New Roman"/>
          <w:sz w:val="24"/>
        </w:rPr>
      </w:pPr>
    </w:p>
    <w:p w:rsidR="002648B0" w:rsidRPr="00392FFD" w:rsidRDefault="002648B0" w:rsidP="00D64B66">
      <w:pPr>
        <w:pStyle w:val="Heading2"/>
        <w:rPr>
          <w:rFonts w:ascii="Times New Roman" w:hAnsi="Times New Roman"/>
        </w:rPr>
      </w:pPr>
      <w:bookmarkStart w:id="2" w:name="_Toc264038394"/>
      <w:bookmarkStart w:id="3" w:name="_Toc360188317"/>
      <w:bookmarkStart w:id="4" w:name="_Toc516210599"/>
      <w:bookmarkStart w:id="5" w:name="_Toc473560865"/>
      <w:bookmarkStart w:id="6" w:name="_Toc523474348"/>
      <w:r>
        <w:rPr>
          <w:rFonts w:ascii="Times New Roman" w:hAnsi="Times New Roman"/>
        </w:rPr>
        <w:t>DEL I:</w:t>
      </w:r>
      <w:bookmarkEnd w:id="2"/>
      <w:r>
        <w:rPr>
          <w:rFonts w:ascii="Times New Roman" w:hAnsi="Times New Roman"/>
        </w:rPr>
        <w:t xml:space="preserve"> SPLOŠNA NAVODILA</w:t>
      </w:r>
      <w:bookmarkEnd w:id="3"/>
      <w:bookmarkEnd w:id="4"/>
      <w:bookmarkEnd w:id="5"/>
      <w:bookmarkEnd w:id="6"/>
    </w:p>
    <w:p w:rsidR="002648B0" w:rsidRPr="0047639A" w:rsidRDefault="00125707" w:rsidP="0023700C">
      <w:pPr>
        <w:pStyle w:val="Instructionsberschrift2"/>
        <w:numPr>
          <w:ilvl w:val="0"/>
          <w:numId w:val="0"/>
        </w:numPr>
        <w:ind w:left="357" w:hanging="357"/>
        <w:rPr>
          <w:rFonts w:ascii="Times New Roman" w:hAnsi="Times New Roman" w:cs="Times New Roman"/>
          <w:sz w:val="24"/>
          <w:u w:val="none"/>
        </w:rPr>
      </w:pPr>
      <w:bookmarkStart w:id="7" w:name="_Toc360188318"/>
      <w:bookmarkStart w:id="8" w:name="_Toc516210600"/>
      <w:bookmarkStart w:id="9" w:name="_Toc473560866"/>
      <w:bookmarkStart w:id="10" w:name="_Toc523474349"/>
      <w:r w:rsidRPr="0047639A">
        <w:rPr>
          <w:rFonts w:ascii="Times New Roman" w:hAnsi="Times New Roman"/>
          <w:sz w:val="24"/>
          <w:u w:val="none"/>
        </w:rPr>
        <w:t>1.</w:t>
      </w:r>
      <w:r w:rsidRPr="0047639A">
        <w:rPr>
          <w:u w:val="none"/>
        </w:rPr>
        <w:tab/>
      </w:r>
      <w:r w:rsidRPr="0047639A">
        <w:rPr>
          <w:rFonts w:ascii="Times New Roman" w:hAnsi="Times New Roman"/>
          <w:sz w:val="24"/>
          <w:u w:val="none"/>
        </w:rPr>
        <w:t>Struktura in dogovori</w:t>
      </w:r>
      <w:bookmarkEnd w:id="7"/>
      <w:bookmarkEnd w:id="8"/>
      <w:bookmarkEnd w:id="9"/>
      <w:bookmarkEnd w:id="10"/>
    </w:p>
    <w:p w:rsidR="002648B0" w:rsidRPr="0047639A" w:rsidRDefault="00125707" w:rsidP="00304CA5">
      <w:pPr>
        <w:pStyle w:val="Instructionsberschrift2"/>
        <w:numPr>
          <w:ilvl w:val="0"/>
          <w:numId w:val="0"/>
        </w:numPr>
        <w:ind w:left="357" w:hanging="357"/>
        <w:rPr>
          <w:rFonts w:ascii="Times New Roman" w:hAnsi="Times New Roman" w:cs="Times New Roman"/>
          <w:sz w:val="24"/>
          <w:u w:val="none"/>
        </w:rPr>
      </w:pPr>
      <w:bookmarkStart w:id="11" w:name="_Toc360188319"/>
      <w:bookmarkStart w:id="12" w:name="_Toc516210601"/>
      <w:bookmarkStart w:id="13" w:name="_Toc473560867"/>
      <w:bookmarkStart w:id="14" w:name="_Toc264038399"/>
      <w:bookmarkStart w:id="15" w:name="_Toc294018834"/>
      <w:bookmarkStart w:id="16" w:name="_Toc523474350"/>
      <w:r w:rsidRPr="0047639A">
        <w:rPr>
          <w:rFonts w:ascii="Times New Roman" w:hAnsi="Times New Roman"/>
          <w:sz w:val="24"/>
          <w:u w:val="none"/>
        </w:rPr>
        <w:t>1.1.</w:t>
      </w:r>
      <w:r w:rsidRPr="0047639A">
        <w:rPr>
          <w:u w:val="none"/>
        </w:rPr>
        <w:tab/>
      </w:r>
      <w:r w:rsidRPr="0047639A">
        <w:rPr>
          <w:rFonts w:ascii="Times New Roman" w:hAnsi="Times New Roman"/>
          <w:sz w:val="24"/>
          <w:u w:val="none"/>
        </w:rPr>
        <w:t>Struktura</w:t>
      </w:r>
      <w:bookmarkEnd w:id="11"/>
      <w:bookmarkEnd w:id="12"/>
      <w:bookmarkEnd w:id="13"/>
      <w:bookmarkEnd w:id="16"/>
    </w:p>
    <w:p w:rsidR="002648B0" w:rsidRPr="00392FFD" w:rsidRDefault="00125707" w:rsidP="00C37B29">
      <w:pPr>
        <w:pStyle w:val="InstructionsText2"/>
        <w:numPr>
          <w:ilvl w:val="0"/>
          <w:numId w:val="0"/>
        </w:numPr>
        <w:ind w:left="993"/>
      </w:pPr>
      <w:r>
        <w:t>1.</w:t>
      </w:r>
      <w:r>
        <w:tab/>
        <w:t>Okvir zajema skupaj pet sklopov predlog:</w:t>
      </w:r>
    </w:p>
    <w:p w:rsidR="002648B0" w:rsidRPr="00392FFD" w:rsidRDefault="00125707" w:rsidP="00C37B29">
      <w:pPr>
        <w:pStyle w:val="InstructionsText2"/>
        <w:numPr>
          <w:ilvl w:val="0"/>
          <w:numId w:val="0"/>
        </w:numPr>
        <w:ind w:left="993"/>
      </w:pPr>
      <w:r>
        <w:t>(a)</w:t>
      </w:r>
      <w:r>
        <w:tab/>
        <w:t>kapitalska ustreznost, pregled regulativnega kapitala; znesek skupne izposta</w:t>
      </w:r>
      <w:r>
        <w:t>v</w:t>
      </w:r>
      <w:r>
        <w:t>ljenosti tveganju;</w:t>
      </w:r>
    </w:p>
    <w:p w:rsidR="00436204" w:rsidRPr="00392FFD" w:rsidRDefault="00125707" w:rsidP="00C37B29">
      <w:pPr>
        <w:pStyle w:val="InstructionsText2"/>
        <w:numPr>
          <w:ilvl w:val="0"/>
          <w:numId w:val="0"/>
        </w:numPr>
        <w:ind w:left="993"/>
      </w:pPr>
      <w:r>
        <w:t>(b)</w:t>
      </w:r>
      <w:r>
        <w:tab/>
        <w:t>kapitalska ustreznost skupine, pregled izpolnjevanja zahtev po kapitalski ustr</w:t>
      </w:r>
      <w:r>
        <w:t>e</w:t>
      </w:r>
      <w:r>
        <w:t>znosti pri vseh posameznih subjektih, vključenih v obseg konsolidacije subjekta, ki poroča;</w:t>
      </w:r>
    </w:p>
    <w:p w:rsidR="002648B0" w:rsidRPr="00392FFD" w:rsidRDefault="00125707" w:rsidP="00C37B29">
      <w:pPr>
        <w:pStyle w:val="InstructionsText2"/>
        <w:numPr>
          <w:ilvl w:val="0"/>
          <w:numId w:val="0"/>
        </w:numPr>
        <w:ind w:left="993"/>
      </w:pPr>
      <w:r>
        <w:t>(c)</w:t>
      </w:r>
      <w:r>
        <w:tab/>
        <w:t>kreditno tveganje (vključno s tveganjem nasprotne stranke, tveganjem zman</w:t>
      </w:r>
      <w:r>
        <w:t>j</w:t>
      </w:r>
      <w:r>
        <w:t>šanja vrednosti odkupljenih denarnih terjatev in tveganjem poravnave);</w:t>
      </w:r>
    </w:p>
    <w:p w:rsidR="002648B0" w:rsidRPr="00392FFD" w:rsidRDefault="00125707" w:rsidP="00C37B29">
      <w:pPr>
        <w:pStyle w:val="InstructionsText2"/>
        <w:numPr>
          <w:ilvl w:val="0"/>
          <w:numId w:val="0"/>
        </w:numPr>
        <w:ind w:left="993"/>
      </w:pPr>
      <w:r>
        <w:t>(d)</w:t>
      </w:r>
      <w:r>
        <w:tab/>
        <w:t>tržno tveganje (vključno s pozicijskim tveganjem v trgovalni knjigi, valutnim tveganjem, tveganjem spremembe cen blaga in tveganjem CVA);</w:t>
      </w:r>
    </w:p>
    <w:p w:rsidR="002648B0" w:rsidRPr="00392FFD" w:rsidRDefault="00125707" w:rsidP="00C37B29">
      <w:pPr>
        <w:pStyle w:val="InstructionsText2"/>
        <w:numPr>
          <w:ilvl w:val="0"/>
          <w:numId w:val="0"/>
        </w:numPr>
        <w:ind w:left="993"/>
      </w:pPr>
      <w:r>
        <w:t>(e)</w:t>
      </w:r>
      <w:r>
        <w:tab/>
        <w:t>operativno tveganje.</w:t>
      </w:r>
    </w:p>
    <w:p w:rsidR="002648B0" w:rsidRPr="00392FFD" w:rsidRDefault="00125707" w:rsidP="00C37B29">
      <w:pPr>
        <w:pStyle w:val="InstructionsText2"/>
        <w:numPr>
          <w:ilvl w:val="0"/>
          <w:numId w:val="0"/>
        </w:numPr>
        <w:ind w:left="993"/>
      </w:pPr>
      <w:r>
        <w:t>2.</w:t>
      </w:r>
      <w:r>
        <w:tab/>
        <w:t>Za vsako predlogo so navedena pravna sklicevanja. Ta del izvedbenega tehni</w:t>
      </w:r>
      <w:r>
        <w:t>č</w:t>
      </w:r>
      <w:r>
        <w:t>nega standarda vsebuje dodatne podrobne informacije glede splošnejših vidikov poročanja v zvezi s posameznim sklopom predlog, navodila glede posebnih pozicij in validacijska pravila.</w:t>
      </w:r>
    </w:p>
    <w:p w:rsidR="005643EA" w:rsidRPr="00392FFD" w:rsidRDefault="00125707" w:rsidP="00C37B29">
      <w:pPr>
        <w:pStyle w:val="InstructionsText2"/>
        <w:numPr>
          <w:ilvl w:val="0"/>
          <w:numId w:val="0"/>
        </w:numPr>
        <w:ind w:left="993"/>
      </w:pPr>
      <w:r>
        <w:t>3.</w:t>
      </w:r>
      <w:r>
        <w:tab/>
        <w:t>Institucije izpolnijo le predloge, ki so ustrezne glede na uporabljeni pristop za določanje kapitalskih zahtev.</w:t>
      </w:r>
    </w:p>
    <w:p w:rsidR="002648B0" w:rsidRPr="0047639A" w:rsidRDefault="00125707" w:rsidP="0023700C">
      <w:pPr>
        <w:pStyle w:val="Instructionsberschrift2"/>
        <w:numPr>
          <w:ilvl w:val="0"/>
          <w:numId w:val="0"/>
        </w:numPr>
        <w:ind w:left="357" w:hanging="357"/>
        <w:rPr>
          <w:rFonts w:ascii="Times New Roman" w:hAnsi="Times New Roman" w:cs="Times New Roman"/>
          <w:sz w:val="24"/>
          <w:u w:val="none"/>
        </w:rPr>
      </w:pPr>
      <w:bookmarkStart w:id="17" w:name="_Toc360188320"/>
      <w:bookmarkStart w:id="18" w:name="_Toc516210602"/>
      <w:bookmarkStart w:id="19" w:name="_Toc473560868"/>
      <w:bookmarkStart w:id="20" w:name="_Toc523474351"/>
      <w:r w:rsidRPr="0047639A">
        <w:rPr>
          <w:rFonts w:ascii="Times New Roman" w:hAnsi="Times New Roman"/>
          <w:sz w:val="24"/>
          <w:u w:val="none"/>
        </w:rPr>
        <w:t>1.2.</w:t>
      </w:r>
      <w:r w:rsidRPr="0047639A">
        <w:rPr>
          <w:u w:val="none"/>
        </w:rPr>
        <w:tab/>
      </w:r>
      <w:r w:rsidRPr="0047639A">
        <w:rPr>
          <w:rFonts w:ascii="Times New Roman" w:hAnsi="Times New Roman"/>
          <w:sz w:val="24"/>
          <w:u w:val="none"/>
        </w:rPr>
        <w:t>Dogovor glede oštevilčenja</w:t>
      </w:r>
      <w:bookmarkEnd w:id="17"/>
      <w:bookmarkEnd w:id="18"/>
      <w:bookmarkEnd w:id="19"/>
      <w:bookmarkEnd w:id="20"/>
    </w:p>
    <w:p w:rsidR="002648B0" w:rsidRPr="00392FFD" w:rsidRDefault="00125707" w:rsidP="00C37B29">
      <w:pPr>
        <w:pStyle w:val="InstructionsText2"/>
        <w:numPr>
          <w:ilvl w:val="0"/>
          <w:numId w:val="0"/>
        </w:numPr>
        <w:ind w:left="993"/>
      </w:pPr>
      <w:r>
        <w:t>4.</w:t>
      </w:r>
      <w:r>
        <w:tab/>
        <w:t>Pri sklicevanju na stolpce, vrstice in celice predlog se v dokumentu upošteva dogovor glede označevanja iz naslednje razpredelnice. Te številčne kode se obse</w:t>
      </w:r>
      <w:r>
        <w:t>ž</w:t>
      </w:r>
      <w:r>
        <w:t>no uporabljajo v validacijskih pravilih.</w:t>
      </w:r>
    </w:p>
    <w:p w:rsidR="005643EA" w:rsidRPr="00392FFD" w:rsidRDefault="00125707" w:rsidP="00C37B29">
      <w:pPr>
        <w:pStyle w:val="InstructionsText2"/>
        <w:numPr>
          <w:ilvl w:val="0"/>
          <w:numId w:val="0"/>
        </w:numPr>
        <w:ind w:left="993"/>
      </w:pPr>
      <w:r>
        <w:t>5.</w:t>
      </w:r>
      <w:r>
        <w:tab/>
        <w:t>V navodilih se uporablja naslednji splošni zapis: {predloga;vrstica;stolpec}.</w:t>
      </w:r>
    </w:p>
    <w:p w:rsidR="002648B0" w:rsidRPr="00392FFD" w:rsidRDefault="00125707" w:rsidP="00C37B29">
      <w:pPr>
        <w:pStyle w:val="InstructionsText2"/>
        <w:numPr>
          <w:ilvl w:val="0"/>
          <w:numId w:val="0"/>
        </w:numPr>
        <w:ind w:left="993"/>
      </w:pPr>
      <w:r>
        <w:t>6.</w:t>
      </w:r>
      <w:r>
        <w:tab/>
        <w:t>V primeru validacije znotraj predloge, pri kateri se uporabijo samo podatkovne točke zadevne predloge, v zapisih predloga ni navedena: {vrstica;stolpec}.</w:t>
      </w:r>
    </w:p>
    <w:p w:rsidR="005643EA" w:rsidRPr="00392FFD" w:rsidRDefault="00125707" w:rsidP="00C37B29">
      <w:pPr>
        <w:pStyle w:val="InstructionsText2"/>
        <w:numPr>
          <w:ilvl w:val="0"/>
          <w:numId w:val="0"/>
        </w:numPr>
        <w:ind w:left="993"/>
      </w:pPr>
      <w:r>
        <w:t>7.</w:t>
      </w:r>
      <w:r>
        <w:tab/>
        <w:t>V primeru predlog, ki imajo le en stolpec, so navedene le vrstice: {predl</w:t>
      </w:r>
      <w:r>
        <w:t>o</w:t>
      </w:r>
      <w:r>
        <w:t>ga;vrstica}.</w:t>
      </w:r>
    </w:p>
    <w:p w:rsidR="002648B0" w:rsidRPr="00392FFD" w:rsidRDefault="00125707" w:rsidP="00C37B29">
      <w:pPr>
        <w:pStyle w:val="InstructionsText2"/>
        <w:numPr>
          <w:ilvl w:val="0"/>
          <w:numId w:val="0"/>
        </w:numPr>
        <w:ind w:left="993"/>
      </w:pPr>
      <w:r>
        <w:t>8.</w:t>
      </w:r>
      <w:r>
        <w:tab/>
        <w:t>Če je validacija opravljena za predhodno navedene vrstice ali stolpce, se to označi z zvezdico.</w:t>
      </w:r>
    </w:p>
    <w:p w:rsidR="002648B0" w:rsidRPr="0047639A" w:rsidRDefault="00125707" w:rsidP="0023700C">
      <w:pPr>
        <w:pStyle w:val="Instructionsberschrift2"/>
        <w:numPr>
          <w:ilvl w:val="0"/>
          <w:numId w:val="0"/>
        </w:numPr>
        <w:ind w:left="357" w:hanging="357"/>
        <w:rPr>
          <w:rFonts w:ascii="Times New Roman" w:hAnsi="Times New Roman" w:cs="Times New Roman"/>
          <w:sz w:val="24"/>
          <w:u w:val="none"/>
        </w:rPr>
      </w:pPr>
      <w:bookmarkStart w:id="21" w:name="_Toc360188321"/>
      <w:bookmarkStart w:id="22" w:name="_Toc516210603"/>
      <w:bookmarkStart w:id="23" w:name="_Toc473560869"/>
      <w:bookmarkStart w:id="24" w:name="_Toc523474352"/>
      <w:r w:rsidRPr="0047639A">
        <w:rPr>
          <w:rFonts w:ascii="Times New Roman" w:hAnsi="Times New Roman"/>
          <w:sz w:val="24"/>
          <w:u w:val="none"/>
        </w:rPr>
        <w:lastRenderedPageBreak/>
        <w:t>1.3.</w:t>
      </w:r>
      <w:r w:rsidRPr="0047639A">
        <w:rPr>
          <w:u w:val="none"/>
        </w:rPr>
        <w:tab/>
      </w:r>
      <w:r w:rsidRPr="0047639A">
        <w:rPr>
          <w:rFonts w:ascii="Times New Roman" w:hAnsi="Times New Roman"/>
          <w:sz w:val="24"/>
          <w:u w:val="none"/>
        </w:rPr>
        <w:t>Dogovor glede predznaka</w:t>
      </w:r>
      <w:bookmarkEnd w:id="14"/>
      <w:bookmarkEnd w:id="15"/>
      <w:bookmarkEnd w:id="21"/>
      <w:bookmarkEnd w:id="22"/>
      <w:bookmarkEnd w:id="23"/>
      <w:bookmarkEnd w:id="24"/>
    </w:p>
    <w:p w:rsidR="002648B0" w:rsidRDefault="00125707" w:rsidP="00C37B29">
      <w:pPr>
        <w:pStyle w:val="InstructionsText2"/>
        <w:numPr>
          <w:ilvl w:val="0"/>
          <w:numId w:val="0"/>
        </w:numPr>
        <w:ind w:left="993"/>
      </w:pPr>
      <w:r>
        <w:t>9.</w:t>
      </w:r>
      <w:r>
        <w:tab/>
        <w:t>Vsak znesek, ki povečuje kapital ali kapitalske zahteve, se poroča kot pozitivna vrednost. Na drugi strani se vsak znesek, ki zmanjšuje skupni kapital ali kapitalske zahteve, poroča kot negativna vrednost. Če je pred postavko negativni predznak (–), se za zadevno postavko ne poroča noben pozitivni znesek.</w:t>
      </w:r>
    </w:p>
    <w:p w:rsidR="00304CA5" w:rsidRPr="0047639A" w:rsidRDefault="00304CA5" w:rsidP="00304CA5">
      <w:pPr>
        <w:pStyle w:val="Instructionsberschrift2"/>
        <w:numPr>
          <w:ilvl w:val="0"/>
          <w:numId w:val="0"/>
        </w:numPr>
        <w:ind w:left="357" w:hanging="357"/>
        <w:rPr>
          <w:rFonts w:ascii="Times New Roman" w:hAnsi="Times New Roman" w:cs="Times New Roman"/>
          <w:sz w:val="24"/>
          <w:u w:val="none"/>
        </w:rPr>
      </w:pPr>
      <w:bookmarkStart w:id="25" w:name="_Toc516210604"/>
      <w:bookmarkStart w:id="26" w:name="_Toc523474353"/>
      <w:r w:rsidRPr="0047639A">
        <w:rPr>
          <w:rFonts w:ascii="Times New Roman" w:hAnsi="Times New Roman"/>
          <w:sz w:val="24"/>
          <w:u w:val="none"/>
        </w:rPr>
        <w:t>1.4.</w:t>
      </w:r>
      <w:r w:rsidRPr="0047639A">
        <w:rPr>
          <w:u w:val="none"/>
        </w:rPr>
        <w:tab/>
      </w:r>
      <w:r w:rsidRPr="0047639A">
        <w:rPr>
          <w:rFonts w:ascii="Times New Roman" w:hAnsi="Times New Roman"/>
          <w:sz w:val="24"/>
          <w:u w:val="none"/>
        </w:rPr>
        <w:t>Okrajšave</w:t>
      </w:r>
      <w:bookmarkEnd w:id="25"/>
      <w:bookmarkEnd w:id="26"/>
    </w:p>
    <w:p w:rsidR="00304CA5" w:rsidRPr="001F2830" w:rsidRDefault="00304CA5" w:rsidP="00C37B29">
      <w:pPr>
        <w:pStyle w:val="InstructionsText2"/>
        <w:numPr>
          <w:ilvl w:val="0"/>
          <w:numId w:val="0"/>
        </w:numPr>
        <w:ind w:left="993"/>
      </w:pPr>
      <w:r>
        <w:t xml:space="preserve">9a. Za namene te priloge se za Uredbo (EU) št. 575/2013 uporablja kratica „CRR“, </w:t>
      </w:r>
      <w:r>
        <w:rPr>
          <w:rStyle w:val="FormatvorlageInstructionsTabelleText"/>
          <w:rFonts w:ascii="Times New Roman" w:hAnsi="Times New Roman"/>
          <w:sz w:val="24"/>
        </w:rPr>
        <w:t xml:space="preserve">za </w:t>
      </w:r>
      <w:r>
        <w:t>Direktivo 2013/36/EU Evropskega parlamenta in Sveta pa kratica „CRD“.</w:t>
      </w:r>
    </w:p>
    <w:p w:rsidR="00304CA5" w:rsidRPr="00392FFD" w:rsidRDefault="00304CA5" w:rsidP="00C37B29">
      <w:pPr>
        <w:pStyle w:val="InstructionsText2"/>
        <w:numPr>
          <w:ilvl w:val="0"/>
          <w:numId w:val="0"/>
        </w:numPr>
        <w:ind w:left="993"/>
      </w:pPr>
    </w:p>
    <w:p w:rsidR="002648B0" w:rsidRPr="00392FFD" w:rsidRDefault="002648B0" w:rsidP="00FD239F">
      <w:pPr>
        <w:pStyle w:val="InstructionsText2"/>
        <w:sectPr w:rsidR="002648B0" w:rsidRPr="00392FFD" w:rsidSect="00A801A9">
          <w:endnotePr>
            <w:numFmt w:val="decimal"/>
          </w:endnotePr>
          <w:pgSz w:w="11906" w:h="16838"/>
          <w:pgMar w:top="1417" w:right="1417" w:bottom="1134" w:left="1417" w:header="708" w:footer="708" w:gutter="0"/>
          <w:cols w:space="708"/>
          <w:rtlGutter/>
          <w:docGrid w:linePitch="360"/>
        </w:sectPr>
      </w:pPr>
      <w:bookmarkStart w:id="27" w:name="_Toc264033192"/>
      <w:bookmarkEnd w:id="27"/>
    </w:p>
    <w:p w:rsidR="002648B0" w:rsidRPr="00392FFD" w:rsidRDefault="002648B0" w:rsidP="00005FFC">
      <w:pPr>
        <w:rPr>
          <w:rFonts w:ascii="Times New Roman" w:hAnsi="Times New Roman"/>
          <w:sz w:val="24"/>
        </w:rPr>
      </w:pPr>
    </w:p>
    <w:p w:rsidR="002648B0" w:rsidRPr="00392FFD" w:rsidRDefault="002648B0" w:rsidP="00D64B66">
      <w:pPr>
        <w:pStyle w:val="Heading2"/>
        <w:rPr>
          <w:rFonts w:ascii="Times New Roman" w:hAnsi="Times New Roman"/>
        </w:rPr>
      </w:pPr>
      <w:bookmarkStart w:id="28" w:name="_Toc360188322"/>
      <w:bookmarkStart w:id="29" w:name="_Toc516210605"/>
      <w:bookmarkStart w:id="30" w:name="_Toc473560870"/>
      <w:bookmarkStart w:id="31" w:name="_Toc523474354"/>
      <w:r>
        <w:rPr>
          <w:rFonts w:ascii="Times New Roman" w:hAnsi="Times New Roman"/>
        </w:rPr>
        <w:t>DEL II: NAVODILA V ZVEZI S PREDLOGAMI</w:t>
      </w:r>
      <w:bookmarkEnd w:id="28"/>
      <w:bookmarkEnd w:id="29"/>
      <w:bookmarkEnd w:id="30"/>
      <w:bookmarkEnd w:id="31"/>
    </w:p>
    <w:p w:rsidR="002648B0" w:rsidRPr="0047639A" w:rsidRDefault="00125707" w:rsidP="0023700C">
      <w:pPr>
        <w:pStyle w:val="Instructionsberschrift2"/>
        <w:numPr>
          <w:ilvl w:val="0"/>
          <w:numId w:val="0"/>
        </w:numPr>
        <w:ind w:left="357" w:hanging="357"/>
        <w:rPr>
          <w:rFonts w:ascii="Times New Roman" w:hAnsi="Times New Roman" w:cs="Times New Roman"/>
          <w:sz w:val="24"/>
          <w:u w:val="none"/>
        </w:rPr>
      </w:pPr>
      <w:bookmarkStart w:id="32" w:name="_Toc360188323"/>
      <w:bookmarkStart w:id="33" w:name="_Toc516210606"/>
      <w:bookmarkStart w:id="34" w:name="_Toc473560871"/>
      <w:bookmarkStart w:id="35" w:name="_Toc523474355"/>
      <w:r w:rsidRPr="0047639A">
        <w:rPr>
          <w:rFonts w:ascii="Times New Roman" w:hAnsi="Times New Roman"/>
          <w:sz w:val="24"/>
          <w:u w:val="none"/>
        </w:rPr>
        <w:t>1.</w:t>
      </w:r>
      <w:r w:rsidRPr="0047639A">
        <w:rPr>
          <w:u w:val="none"/>
        </w:rPr>
        <w:tab/>
      </w:r>
      <w:r w:rsidRPr="0047639A">
        <w:rPr>
          <w:rFonts w:ascii="Times New Roman" w:hAnsi="Times New Roman"/>
          <w:sz w:val="24"/>
          <w:u w:val="none"/>
        </w:rPr>
        <w:t>Pregled kapitalske ustreznosti</w:t>
      </w:r>
      <w:bookmarkEnd w:id="32"/>
      <w:r w:rsidRPr="0047639A">
        <w:rPr>
          <w:rFonts w:ascii="Times New Roman" w:hAnsi="Times New Roman"/>
          <w:sz w:val="24"/>
          <w:u w:val="none"/>
        </w:rPr>
        <w:t xml:space="preserve"> (CA)</w:t>
      </w:r>
      <w:bookmarkEnd w:id="33"/>
      <w:bookmarkEnd w:id="34"/>
      <w:bookmarkEnd w:id="35"/>
    </w:p>
    <w:p w:rsidR="002648B0" w:rsidRPr="0047639A" w:rsidRDefault="00125707" w:rsidP="0023700C">
      <w:pPr>
        <w:pStyle w:val="Instructionsberschrift2"/>
        <w:numPr>
          <w:ilvl w:val="0"/>
          <w:numId w:val="0"/>
        </w:numPr>
        <w:ind w:left="357" w:hanging="357"/>
        <w:rPr>
          <w:rFonts w:ascii="Times New Roman" w:hAnsi="Times New Roman" w:cs="Times New Roman"/>
          <w:sz w:val="24"/>
          <w:u w:val="none"/>
        </w:rPr>
      </w:pPr>
      <w:bookmarkStart w:id="36" w:name="_Toc308175819"/>
      <w:bookmarkStart w:id="37" w:name="_Toc360188324"/>
      <w:bookmarkStart w:id="38" w:name="_Toc516210607"/>
      <w:bookmarkStart w:id="39" w:name="_Toc473560872"/>
      <w:bookmarkStart w:id="40" w:name="_Toc523474356"/>
      <w:r w:rsidRPr="0047639A">
        <w:rPr>
          <w:rFonts w:ascii="Times New Roman" w:hAnsi="Times New Roman"/>
          <w:sz w:val="24"/>
          <w:u w:val="none"/>
        </w:rPr>
        <w:t>1.1.</w:t>
      </w:r>
      <w:r w:rsidRPr="0047639A">
        <w:rPr>
          <w:u w:val="none"/>
        </w:rPr>
        <w:tab/>
      </w:r>
      <w:r w:rsidRPr="0047639A">
        <w:rPr>
          <w:rFonts w:ascii="Times New Roman" w:hAnsi="Times New Roman"/>
          <w:sz w:val="24"/>
          <w:u w:val="none"/>
        </w:rPr>
        <w:t>Splošne opombe</w:t>
      </w:r>
      <w:bookmarkEnd w:id="36"/>
      <w:bookmarkEnd w:id="37"/>
      <w:bookmarkEnd w:id="38"/>
      <w:bookmarkEnd w:id="39"/>
      <w:bookmarkEnd w:id="40"/>
    </w:p>
    <w:p w:rsidR="002648B0" w:rsidRPr="00392FFD" w:rsidRDefault="00125707" w:rsidP="00C37B29">
      <w:pPr>
        <w:pStyle w:val="InstructionsText2"/>
        <w:numPr>
          <w:ilvl w:val="0"/>
          <w:numId w:val="0"/>
        </w:numPr>
        <w:ind w:left="993"/>
      </w:pPr>
      <w:r>
        <w:t>10.</w:t>
      </w:r>
      <w:r>
        <w:tab/>
        <w:t xml:space="preserve">Predloge CA vsebujejo informacije o števcih stebra 1 (kapital, temeljni kapital, navadni lastniški temeljni kapital), imenovalcu (kapitalske zahteve) ter prehodnih določbah in so strukturirane v petih predlogah: </w:t>
      </w:r>
    </w:p>
    <w:p w:rsidR="005643EA" w:rsidRPr="00392FFD" w:rsidRDefault="00125707" w:rsidP="00C37B29">
      <w:pPr>
        <w:pStyle w:val="InstructionsText2"/>
        <w:numPr>
          <w:ilvl w:val="0"/>
          <w:numId w:val="0"/>
        </w:numPr>
        <w:ind w:left="993"/>
      </w:pPr>
      <w:r>
        <w:t>(a)</w:t>
      </w:r>
      <w:r>
        <w:tab/>
        <w:t>Predloga CA1 vsebuje znesek kapitala institucij, ki je razčlenjen na postavke, potrebne za izračun navedenega zneska. Izračunan znesek kapitala vključuje skupne učinke prehodnih določb glede na vrsto kapitala.</w:t>
      </w:r>
    </w:p>
    <w:p w:rsidR="005643EA" w:rsidRPr="00392FFD" w:rsidRDefault="00125707" w:rsidP="00C37B29">
      <w:pPr>
        <w:pStyle w:val="InstructionsText2"/>
        <w:numPr>
          <w:ilvl w:val="0"/>
          <w:numId w:val="0"/>
        </w:numPr>
        <w:ind w:left="993"/>
      </w:pPr>
      <w:r>
        <w:t>(b)</w:t>
      </w:r>
      <w:r>
        <w:tab/>
        <w:t>Predloga CA2 povzema zneske skupne izpostavljenosti tveganju (kot določa člen 92(3) CRR).</w:t>
      </w:r>
    </w:p>
    <w:p w:rsidR="005643EA" w:rsidRPr="00392FFD" w:rsidRDefault="00125707" w:rsidP="00C37B29">
      <w:pPr>
        <w:pStyle w:val="InstructionsText2"/>
        <w:numPr>
          <w:ilvl w:val="0"/>
          <w:numId w:val="0"/>
        </w:numPr>
        <w:ind w:left="993"/>
      </w:pPr>
      <w:r>
        <w:t>(c)</w:t>
      </w:r>
      <w:r>
        <w:tab/>
        <w:t>Predloga CA3 vsebuje količnike, za katere CRR določa minimalne ravni, in nekatere druge zadevne podatke.</w:t>
      </w:r>
    </w:p>
    <w:p w:rsidR="005643EA" w:rsidRPr="00392FFD" w:rsidRDefault="00125707" w:rsidP="00C37B29">
      <w:pPr>
        <w:pStyle w:val="InstructionsText2"/>
        <w:numPr>
          <w:ilvl w:val="0"/>
          <w:numId w:val="0"/>
        </w:numPr>
        <w:ind w:left="993"/>
      </w:pPr>
      <w:r>
        <w:t>(d)</w:t>
      </w:r>
      <w:r>
        <w:tab/>
        <w:t xml:space="preserve">Predloga C4 vsebuje pojasnjevalne postavke, ki so potrebne za izračun postavk v CA1, in informacije v zvezi s kapitalskimi blažilniki iz CRD. </w:t>
      </w:r>
    </w:p>
    <w:p w:rsidR="005643EA" w:rsidRPr="00392FFD" w:rsidRDefault="00125707" w:rsidP="00C37B29">
      <w:pPr>
        <w:pStyle w:val="InstructionsText2"/>
        <w:numPr>
          <w:ilvl w:val="0"/>
          <w:numId w:val="0"/>
        </w:numPr>
        <w:ind w:left="993"/>
      </w:pPr>
      <w:r>
        <w:t>(e)</w:t>
      </w:r>
      <w:r>
        <w:tab/>
        <w:t>Predloga CA5 vsebuje podatke, ki so potrebni za izračun učinka prehodnih določb na kapital. Predloga CA5 bo prenehala obstajati, ko prehodne določbe ne bodo več veljavne.</w:t>
      </w:r>
    </w:p>
    <w:p w:rsidR="00783881" w:rsidRPr="00392FFD" w:rsidRDefault="00125707" w:rsidP="00C37B29">
      <w:pPr>
        <w:pStyle w:val="InstructionsText2"/>
        <w:numPr>
          <w:ilvl w:val="0"/>
          <w:numId w:val="0"/>
        </w:numPr>
        <w:ind w:left="993"/>
      </w:pPr>
      <w:r>
        <w:t>11.</w:t>
      </w:r>
      <w:r>
        <w:tab/>
        <w:t>Predloge se uporabljajo za vse subjekte, ki poročajo, ne glede na računovodske standarde, ki jih upoštevajo, čeprav so nekatere postavke v števcu specifične za subjekte, ki uporabljajo pravila za vrednotenje MRS/MSRP. Na splošno so info</w:t>
      </w:r>
      <w:r>
        <w:t>r</w:t>
      </w:r>
      <w:r>
        <w:t>macije v imenovalcu povezane s končnimi rezultati, navedenimi v ustreznih pre</w:t>
      </w:r>
      <w:r>
        <w:t>d</w:t>
      </w:r>
      <w:r>
        <w:t>logah za izračun zneska skupne izpostavljenosti tveganju.</w:t>
      </w:r>
    </w:p>
    <w:p w:rsidR="005643EA" w:rsidRPr="00392FFD" w:rsidRDefault="00125707" w:rsidP="00C37B29">
      <w:pPr>
        <w:pStyle w:val="InstructionsText2"/>
        <w:numPr>
          <w:ilvl w:val="0"/>
          <w:numId w:val="0"/>
        </w:numPr>
        <w:ind w:left="993"/>
      </w:pPr>
      <w:r>
        <w:t>12.</w:t>
      </w:r>
      <w:r>
        <w:tab/>
        <w:t>Skupni kapital vključuje različne vrste kapitala: temeljni kapital (T1), ki je vs</w:t>
      </w:r>
      <w:r>
        <w:t>o</w:t>
      </w:r>
      <w:r>
        <w:t>ta navadnega lastniškega temeljnega kapitala (CET1) in dodatnega temeljnega kap</w:t>
      </w:r>
      <w:r>
        <w:t>i</w:t>
      </w:r>
      <w:r>
        <w:t xml:space="preserve">tala (AT1), kakor tudi dodatni kapital (T2). </w:t>
      </w:r>
    </w:p>
    <w:p w:rsidR="00783881" w:rsidRPr="00392FFD" w:rsidRDefault="00125707" w:rsidP="00C37B29">
      <w:pPr>
        <w:pStyle w:val="InstructionsText2"/>
        <w:numPr>
          <w:ilvl w:val="0"/>
          <w:numId w:val="0"/>
        </w:numPr>
        <w:ind w:left="993"/>
      </w:pPr>
      <w:r>
        <w:t>13.</w:t>
      </w:r>
      <w:r>
        <w:tab/>
        <w:t>Prehodne določbe se v predlogah CA obravnavajo na naslednji način:</w:t>
      </w:r>
    </w:p>
    <w:p w:rsidR="00783881" w:rsidRPr="00392FFD" w:rsidRDefault="00125707" w:rsidP="00C37B29">
      <w:pPr>
        <w:pStyle w:val="InstructionsText2"/>
        <w:numPr>
          <w:ilvl w:val="0"/>
          <w:numId w:val="0"/>
        </w:numPr>
        <w:ind w:left="993"/>
      </w:pPr>
      <w:r>
        <w:t>(a)</w:t>
      </w:r>
      <w:r>
        <w:tab/>
        <w:t>Postavke v CA1 se običajno upoštevajo brez prehodnih prilagoditev. To pom</w:t>
      </w:r>
      <w:r>
        <w:t>e</w:t>
      </w:r>
      <w:r>
        <w:t>ni, da so vrednosti postavk v CA1 izračunane v skladu s končnimi določbami (tj. kot da ne bi bilo prehodnih določb), razen pri postavkah, ki povzemajo učinek pr</w:t>
      </w:r>
      <w:r>
        <w:t>e</w:t>
      </w:r>
      <w:r>
        <w:t>hodnih določb. Za vsako vrsto kapitala (tj. CET1, AT1 in T2) obstajajo tri različne postavke, ki vključujejo vse prilagoditve zaradi prehodnih določb.</w:t>
      </w:r>
    </w:p>
    <w:p w:rsidR="00113EA5" w:rsidRPr="00392FFD" w:rsidRDefault="00125707" w:rsidP="00C37B29">
      <w:pPr>
        <w:pStyle w:val="InstructionsText2"/>
        <w:numPr>
          <w:ilvl w:val="0"/>
          <w:numId w:val="0"/>
        </w:numPr>
        <w:ind w:left="993"/>
      </w:pPr>
      <w:r>
        <w:t>(b)</w:t>
      </w:r>
      <w:r>
        <w:tab/>
        <w:t>Prehodne določbe lahko vplivajo tudi na primanjkljaj dodatnega temeljnega kapitala in dodatnega kapitala (tj. presežek odbitka od AT1 iz člena 36(1)(j) CRR oziroma presežek odbitka od T2 iz člena 56(e) CRR), zato lahko postavke, ki vs</w:t>
      </w:r>
      <w:r>
        <w:t>e</w:t>
      </w:r>
      <w:r>
        <w:t>bujejo te primanjkljaje, posredno izražajo učinek prehodnih določb.</w:t>
      </w:r>
    </w:p>
    <w:p w:rsidR="005643EA" w:rsidRPr="00392FFD" w:rsidRDefault="00125707" w:rsidP="00C37B29">
      <w:pPr>
        <w:pStyle w:val="InstructionsText2"/>
        <w:numPr>
          <w:ilvl w:val="0"/>
          <w:numId w:val="0"/>
        </w:numPr>
        <w:ind w:left="993"/>
      </w:pPr>
      <w:r>
        <w:lastRenderedPageBreak/>
        <w:t>(c)</w:t>
      </w:r>
      <w:r>
        <w:tab/>
        <w:t xml:space="preserve">Predloga CA5 se uporablja izključno za poročanje po prehodnih določbah. </w:t>
      </w:r>
    </w:p>
    <w:p w:rsidR="00783881" w:rsidRPr="00392FFD" w:rsidRDefault="00125707" w:rsidP="00C37B29">
      <w:pPr>
        <w:pStyle w:val="InstructionsText2"/>
        <w:numPr>
          <w:ilvl w:val="0"/>
          <w:numId w:val="0"/>
        </w:numPr>
        <w:ind w:left="993"/>
      </w:pPr>
      <w:r>
        <w:t>14.</w:t>
      </w:r>
      <w:r>
        <w:tab/>
        <w:t>Obravnavanje zahtev iz stebra II je lahko znotraj Unije različno (člen 104(2) CRD je treba prenesti v nacionalno zakonodajo). V poročanje o kapitalski ustrezn</w:t>
      </w:r>
      <w:r>
        <w:t>o</w:t>
      </w:r>
      <w:r>
        <w:t xml:space="preserve">sti iz CRR se vključi le učinek zahtev iz stebra II na količnik kapitalske ustreznosti ali ciljni količnik. Natančno poročanje o zahtevah iz stebra II ni zajeto v zahteve iz člena 99 CRR. </w:t>
      </w:r>
    </w:p>
    <w:p w:rsidR="005643EA" w:rsidRPr="00392FFD" w:rsidRDefault="00125707" w:rsidP="00C37B29">
      <w:pPr>
        <w:pStyle w:val="InstructionsText2"/>
        <w:numPr>
          <w:ilvl w:val="0"/>
          <w:numId w:val="0"/>
        </w:numPr>
        <w:ind w:left="993"/>
      </w:pPr>
      <w:r>
        <w:t>a)</w:t>
      </w:r>
      <w:r>
        <w:tab/>
        <w:t>Predloge CA1, CA2 ali CA5 vsebujejo samo podatke, povezane s stebrom I.</w:t>
      </w:r>
    </w:p>
    <w:p w:rsidR="005643EA" w:rsidRPr="00392FFD" w:rsidRDefault="00125707" w:rsidP="00C37B29">
      <w:pPr>
        <w:pStyle w:val="InstructionsText2"/>
        <w:numPr>
          <w:ilvl w:val="0"/>
          <w:numId w:val="0"/>
        </w:numPr>
        <w:ind w:left="993"/>
      </w:pPr>
      <w:r>
        <w:t>b)</w:t>
      </w:r>
      <w:r>
        <w:tab/>
        <w:t>Predloga CA3 vsebuje učinek dodatnih zahtev iz stebra II na količnik kapita</w:t>
      </w:r>
      <w:r>
        <w:t>l</w:t>
      </w:r>
      <w:r>
        <w:t xml:space="preserve">ske ustreznosti na zbirni podlagi. En sklop je osredotočen na učinek zneskov na količnike, drugi pa na sam količnik. Noben sklop količnikov ni dodatno povezan s predlogami CA1, CA2 ali CA5. </w:t>
      </w:r>
    </w:p>
    <w:p w:rsidR="005643EA" w:rsidRPr="00392FFD" w:rsidRDefault="00125707" w:rsidP="00C37B29">
      <w:pPr>
        <w:pStyle w:val="InstructionsText2"/>
        <w:numPr>
          <w:ilvl w:val="0"/>
          <w:numId w:val="0"/>
        </w:numPr>
        <w:ind w:left="993"/>
      </w:pPr>
      <w:r>
        <w:t>c)</w:t>
      </w:r>
      <w:r>
        <w:tab/>
        <w:t>Predloga CA4 vsebuje eno celico za dodatne kapitalske zahteve v zvezi s ste</w:t>
      </w:r>
      <w:r>
        <w:t>b</w:t>
      </w:r>
      <w:r>
        <w:t>rom II. Ta celica ni povezana s kapitalskimi količniki iz predloge CA3 prek valid</w:t>
      </w:r>
      <w:r>
        <w:t>a</w:t>
      </w:r>
      <w:r>
        <w:t>cijskih pravil, pri čemer izraža člen 104(2) CRD, ki izrecno omenja dodatne kap</w:t>
      </w:r>
      <w:r>
        <w:t>i</w:t>
      </w:r>
      <w:r>
        <w:t>talske zahteve kot eno od možnosti za odločitve v okviru stebra II.</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41" w:name="_Toc516210608"/>
      <w:bookmarkStart w:id="42" w:name="_Toc473560873"/>
      <w:bookmarkStart w:id="43" w:name="_Toc308175820"/>
      <w:bookmarkStart w:id="44" w:name="_Toc360188325"/>
      <w:bookmarkStart w:id="45" w:name="_Toc523474357"/>
      <w:r>
        <w:rPr>
          <w:rFonts w:ascii="Times New Roman" w:hAnsi="Times New Roman"/>
          <w:sz w:val="24"/>
          <w:u w:val="none"/>
        </w:rPr>
        <w:t>1.2.</w:t>
      </w:r>
      <w:r w:rsidRPr="0047639A">
        <w:rPr>
          <w:u w:val="none"/>
        </w:rPr>
        <w:tab/>
      </w:r>
      <w:r>
        <w:rPr>
          <w:rFonts w:ascii="Times New Roman" w:hAnsi="Times New Roman"/>
          <w:sz w:val="24"/>
        </w:rPr>
        <w:t>C 01.00 – KAPITAL (CA1)</w:t>
      </w:r>
      <w:bookmarkEnd w:id="41"/>
      <w:bookmarkEnd w:id="42"/>
      <w:bookmarkEnd w:id="45"/>
      <w:r>
        <w:rPr>
          <w:rFonts w:ascii="Times New Roman" w:hAnsi="Times New Roman"/>
          <w:sz w:val="24"/>
        </w:rPr>
        <w:t xml:space="preserve"> </w:t>
      </w:r>
      <w:bookmarkEnd w:id="43"/>
      <w:bookmarkEnd w:id="44"/>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46" w:name="_Toc308175821"/>
      <w:bookmarkStart w:id="47" w:name="_Toc310414968"/>
      <w:bookmarkStart w:id="48" w:name="_Toc360188326"/>
      <w:bookmarkStart w:id="49" w:name="_Toc516210609"/>
      <w:bookmarkStart w:id="50" w:name="_Toc473560874"/>
      <w:bookmarkStart w:id="51" w:name="_Toc523474358"/>
      <w:r>
        <w:rPr>
          <w:rFonts w:ascii="Times New Roman" w:hAnsi="Times New Roman"/>
          <w:sz w:val="24"/>
          <w:u w:val="none"/>
        </w:rPr>
        <w:t>1.2.1.</w:t>
      </w:r>
      <w:r w:rsidRPr="0047639A">
        <w:rPr>
          <w:u w:val="none"/>
        </w:rPr>
        <w:tab/>
      </w:r>
      <w:r>
        <w:rPr>
          <w:rFonts w:ascii="Times New Roman" w:hAnsi="Times New Roman"/>
          <w:sz w:val="24"/>
        </w:rPr>
        <w:t xml:space="preserve">Navodila za posamezne </w:t>
      </w:r>
      <w:bookmarkEnd w:id="46"/>
      <w:bookmarkEnd w:id="47"/>
      <w:r>
        <w:rPr>
          <w:rFonts w:ascii="Times New Roman" w:hAnsi="Times New Roman"/>
          <w:sz w:val="24"/>
        </w:rPr>
        <w:t>pozicije</w:t>
      </w:r>
      <w:bookmarkEnd w:id="48"/>
      <w:bookmarkEnd w:id="49"/>
      <w:bookmarkEnd w:id="50"/>
      <w:bookmarkEnd w:id="51"/>
    </w:p>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392FFD" w:rsidTr="00672D2A">
        <w:tc>
          <w:tcPr>
            <w:tcW w:w="1129" w:type="dxa"/>
            <w:shd w:val="clear" w:color="auto" w:fill="D9D9D9"/>
          </w:tcPr>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Vrstica</w:t>
            </w:r>
          </w:p>
        </w:tc>
        <w:tc>
          <w:tcPr>
            <w:tcW w:w="7620" w:type="dxa"/>
            <w:shd w:val="clear" w:color="auto" w:fill="D9D9D9"/>
          </w:tcPr>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Pravna sklicevanja in navodila</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w:t>
            </w:r>
          </w:p>
        </w:tc>
        <w:tc>
          <w:tcPr>
            <w:tcW w:w="7620" w:type="dxa"/>
          </w:tcPr>
          <w:p w:rsidR="00D7242F" w:rsidRPr="0047639A" w:rsidRDefault="00EE0671" w:rsidP="00FD239F">
            <w:pPr>
              <w:pStyle w:val="InstructionsText"/>
              <w:rPr>
                <w:rStyle w:val="InstructionsTabelleberschrift"/>
                <w:rFonts w:ascii="Times New Roman" w:hAnsi="Times New Roman"/>
                <w:sz w:val="24"/>
              </w:rPr>
            </w:pPr>
            <w:r w:rsidRPr="00EE0671">
              <w:rPr>
                <w:rStyle w:val="InstructionsTabelleberschrift"/>
                <w:rFonts w:ascii="Times New Roman" w:hAnsi="Times New Roman"/>
                <w:sz w:val="24"/>
              </w:rPr>
              <w:t>1</w:t>
            </w:r>
            <w:r w:rsidRPr="00EE0671">
              <w:rPr>
                <w:rStyle w:val="InstructionsTabelleberschrift"/>
                <w:rFonts w:ascii="Times New Roman" w:hAnsi="Times New Roman"/>
                <w:sz w:val="24"/>
              </w:rPr>
              <w:tab/>
            </w:r>
            <w:proofErr w:type="spellStart"/>
            <w:r w:rsidR="00C66473" w:rsidRPr="0047639A">
              <w:rPr>
                <w:rStyle w:val="InstructionsTabelleberschrift"/>
                <w:rFonts w:ascii="Times New Roman" w:hAnsi="Times New Roman"/>
                <w:sz w:val="24"/>
                <w:lang w:val="en-GB" w:eastAsia="de-DE" w:bidi="ar-SA"/>
              </w:rPr>
              <w:t>Kapital</w:t>
            </w:r>
            <w:proofErr w:type="spellEnd"/>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4(1)(118) in člen 72 CRR.</w:t>
            </w:r>
          </w:p>
          <w:p w:rsidR="005643EA" w:rsidRPr="00392FFD" w:rsidRDefault="002648B0"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Kapital institucije je vsota njenega temeljnega in dodatnega kapitala.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sidRPr="0047639A">
              <w:rPr>
                <w:u w:val="single"/>
              </w:rPr>
              <w:tab/>
            </w:r>
            <w:r>
              <w:rPr>
                <w:rStyle w:val="InstructionsTabelleberschrift"/>
                <w:rFonts w:ascii="Times New Roman" w:hAnsi="Times New Roman"/>
                <w:sz w:val="24"/>
              </w:rPr>
              <w:t>Temeljni kapital</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25 CRR.</w:t>
            </w:r>
          </w:p>
          <w:p w:rsidR="005643EA" w:rsidRPr="00392FFD" w:rsidRDefault="00666996"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Temeljni kapital je vsota navadnega lastniškega temeljnega kapitala in dod</w:t>
            </w:r>
            <w:r>
              <w:rPr>
                <w:rStyle w:val="FormatvorlageInstructionsTabelleText"/>
                <w:rFonts w:ascii="Times New Roman" w:hAnsi="Times New Roman"/>
                <w:sz w:val="24"/>
              </w:rPr>
              <w:t>a</w:t>
            </w:r>
            <w:r>
              <w:rPr>
                <w:rStyle w:val="FormatvorlageInstructionsTabelleText"/>
                <w:rFonts w:ascii="Times New Roman" w:hAnsi="Times New Roman"/>
                <w:sz w:val="24"/>
              </w:rPr>
              <w:t xml:space="preserve">tnega temeljnega kapitala.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sidR="0047639A" w:rsidRPr="0047639A">
              <w:rPr>
                <w:u w:val="single"/>
              </w:rPr>
              <w:tab/>
            </w:r>
            <w:r>
              <w:rPr>
                <w:rStyle w:val="InstructionsTabelleberschrift"/>
                <w:rFonts w:ascii="Times New Roman" w:hAnsi="Times New Roman"/>
                <w:sz w:val="24"/>
              </w:rPr>
              <w:t>Navadni lastniški temeljni kapital</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50 CRR.</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w:t>
            </w:r>
          </w:p>
        </w:tc>
        <w:tc>
          <w:tcPr>
            <w:tcW w:w="7620" w:type="dxa"/>
          </w:tcPr>
          <w:p w:rsidR="005643EA" w:rsidRPr="0023700C" w:rsidRDefault="000120E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rsidR="003F40E8" w:rsidRPr="003F40E8">
              <w:rPr>
                <w:u w:val="single"/>
              </w:rPr>
              <w:tab/>
            </w:r>
            <w:r>
              <w:rPr>
                <w:rStyle w:val="InstructionsTabelleberschrift"/>
                <w:rFonts w:ascii="Times New Roman" w:hAnsi="Times New Roman"/>
                <w:sz w:val="24"/>
              </w:rPr>
              <w:t>Kapitalski instrumenti, sprejemljivi kot navaden lastniški tem</w:t>
            </w:r>
            <w:r>
              <w:rPr>
                <w:rStyle w:val="InstructionsTabelleberschrift"/>
                <w:rFonts w:ascii="Times New Roman" w:hAnsi="Times New Roman"/>
                <w:sz w:val="24"/>
              </w:rPr>
              <w:t>e</w:t>
            </w:r>
            <w:r>
              <w:rPr>
                <w:rStyle w:val="InstructionsTabelleberschrift"/>
                <w:rFonts w:ascii="Times New Roman" w:hAnsi="Times New Roman"/>
                <w:sz w:val="24"/>
              </w:rPr>
              <w:t>ljni kapital</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26(1)(a) in (b), členi 27 do 30, člen 36(1)(f) in člen 42 CRR.</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sidRPr="0047639A">
              <w:rPr>
                <w:u w:val="single"/>
              </w:rPr>
              <w:tab/>
            </w:r>
            <w:r>
              <w:rPr>
                <w:rStyle w:val="InstructionsTabelleberschrift"/>
                <w:rFonts w:ascii="Times New Roman" w:hAnsi="Times New Roman"/>
                <w:sz w:val="24"/>
              </w:rPr>
              <w:t>Vplačani kapitalski instrumenti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26(1)(a) in členi 27 do 31 CRR.</w:t>
            </w:r>
          </w:p>
          <w:p w:rsidR="00FE3BD8"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Vključijo se kapitalski instrumenti vzajemnih, zadružnih ali podobnih inst</w:t>
            </w:r>
            <w:r>
              <w:rPr>
                <w:rStyle w:val="FormatvorlageInstructionsTabelleText"/>
                <w:rFonts w:ascii="Times New Roman" w:hAnsi="Times New Roman"/>
                <w:sz w:val="24"/>
              </w:rPr>
              <w:t>i</w:t>
            </w:r>
            <w:r>
              <w:rPr>
                <w:rStyle w:val="FormatvorlageInstructionsTabelleText"/>
                <w:rFonts w:ascii="Times New Roman" w:hAnsi="Times New Roman"/>
                <w:sz w:val="24"/>
              </w:rPr>
              <w:t>tucij (člena 27 in 29 CRR).</w:t>
            </w:r>
          </w:p>
          <w:p w:rsidR="00FE3BD8"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Vplačani presežek kapitala, povezan z instrumenti, se ne vključi.</w:t>
            </w:r>
          </w:p>
          <w:p w:rsidR="005643EA"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Kapitalski instrumenti, ki jih vpišejo javni organi v izrednih razmerah, se </w:t>
            </w:r>
            <w:r>
              <w:rPr>
                <w:rStyle w:val="FormatvorlageInstructionsTabelleText"/>
                <w:rFonts w:ascii="Times New Roman" w:hAnsi="Times New Roman"/>
                <w:sz w:val="24"/>
              </w:rPr>
              <w:lastRenderedPageBreak/>
              <w:t>vključijo, če so izpolnjeni vsi pogoji iz člena 31 CRR.</w:t>
            </w:r>
          </w:p>
        </w:tc>
      </w:tr>
      <w:tr w:rsidR="00216D67" w:rsidRPr="00392FFD" w:rsidTr="00672D2A">
        <w:tc>
          <w:tcPr>
            <w:tcW w:w="1129" w:type="dxa"/>
          </w:tcPr>
          <w:p w:rsidR="00216D67" w:rsidRPr="00392FFD" w:rsidRDefault="00216D67"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045</w:t>
            </w:r>
          </w:p>
        </w:tc>
        <w:tc>
          <w:tcPr>
            <w:tcW w:w="7620" w:type="dxa"/>
          </w:tcPr>
          <w:p w:rsidR="00216D67" w:rsidRPr="00295225" w:rsidRDefault="00DD2C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sidRPr="0047639A">
              <w:rPr>
                <w:u w:val="single"/>
              </w:rPr>
              <w:tab/>
            </w:r>
            <w:r>
              <w:rPr>
                <w:rStyle w:val="InstructionsTabelleberschrift"/>
                <w:rFonts w:ascii="Times New Roman" w:hAnsi="Times New Roman"/>
                <w:sz w:val="24"/>
              </w:rPr>
              <w:t>Od tega: kapitalski instrumenti, ki jih vpišejo javni organi v izrednih razmerah</w:t>
            </w:r>
          </w:p>
          <w:p w:rsidR="00216D67" w:rsidRPr="00392FFD" w:rsidRDefault="00216D67"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31 CRR.</w:t>
            </w:r>
          </w:p>
          <w:p w:rsidR="00216D67" w:rsidRPr="00392FFD"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Kapitalski instrumenti, ki jih vpišejo javni organi v izrednih razmerah, se vključijo v navadni lastniški temeljni kapital, če so izpolnjeni vsi pogoji iz člena 31 CRR.</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sidRPr="0047639A">
              <w:rPr>
                <w:u w:val="single"/>
              </w:rPr>
              <w:tab/>
            </w:r>
            <w:r>
              <w:rPr>
                <w:rStyle w:val="InstructionsTabelleberschrift"/>
                <w:rFonts w:ascii="Times New Roman" w:hAnsi="Times New Roman"/>
                <w:sz w:val="24"/>
              </w:rPr>
              <w:t>Pojasnjevalna postavka: Kapitalski instrumenti, ki niso sprejemljivi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28(1)(b), (l) in (m)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Pogoji iz teh točk odražajo različne položaje/razmere/situacije pri kapitalu, ki se lahko spremenijo, zaradi česar je lahko znesek, poročan v tem polju, sprejemljiv v naslednjih obdobjih.</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ne vključuje vplačanega presežka kapitala, povezanega z instrumenti.</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sidRPr="0047639A">
              <w:rPr>
                <w:u w:val="single"/>
              </w:rPr>
              <w:tab/>
            </w:r>
            <w:r>
              <w:rPr>
                <w:rStyle w:val="InstructionsTabelleberschrift"/>
                <w:rFonts w:ascii="Times New Roman" w:hAnsi="Times New Roman"/>
                <w:sz w:val="24"/>
              </w:rPr>
              <w:t>Vplačani presežek kapitala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4(1)(124) in člen 26(1)(b)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Vplačani presežek kapitala ima enak pomen kot v skladu z veljavnim rač</w:t>
            </w:r>
            <w:r>
              <w:rPr>
                <w:rStyle w:val="FormatvorlageInstructionsTabelleText"/>
                <w:rFonts w:ascii="Times New Roman" w:hAnsi="Times New Roman"/>
                <w:sz w:val="24"/>
              </w:rPr>
              <w:t>u</w:t>
            </w:r>
            <w:r>
              <w:rPr>
                <w:rStyle w:val="FormatvorlageInstructionsTabelleText"/>
                <w:rFonts w:ascii="Times New Roman" w:hAnsi="Times New Roman"/>
                <w:sz w:val="24"/>
              </w:rPr>
              <w:t xml:space="preserve">novodskim standardom. </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Znesek, ki se poroča v okviru te postavke, je del, povezan z „vplačanimi kapitalskimi instrumenti“.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sidRPr="0047639A">
              <w:rPr>
                <w:u w:val="single"/>
              </w:rPr>
              <w:tab/>
            </w:r>
            <w:r>
              <w:rPr>
                <w:rStyle w:val="InstructionsTabelleberschrift"/>
                <w:rFonts w:ascii="Times New Roman" w:hAnsi="Times New Roman"/>
                <w:sz w:val="24"/>
              </w:rPr>
              <w:t>(–) Lastni instrumenti navadnega lastniškega temeljnega kapitala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36(1)(f) in člen 42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Lasten navadni lastniški temeljni kapital, ki ga ima poročevalska institucija ali skupina na datum poročanja. Veljajo izjeme iz člena 42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Delež v delnicah, vključen v „kapitalske instrumente, ki niso sprejemljivi“, se ne poroča v tej vrstici.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vključuje presežek kapitala, povezan z lastnimi deln</w:t>
            </w:r>
            <w:r>
              <w:rPr>
                <w:rStyle w:val="FormatvorlageInstructionsTabelleText"/>
                <w:rFonts w:ascii="Times New Roman" w:hAnsi="Times New Roman"/>
                <w:sz w:val="24"/>
              </w:rPr>
              <w:t>i</w:t>
            </w:r>
            <w:r>
              <w:rPr>
                <w:rStyle w:val="FormatvorlageInstructionsTabelleText"/>
                <w:rFonts w:ascii="Times New Roman" w:hAnsi="Times New Roman"/>
                <w:sz w:val="24"/>
              </w:rPr>
              <w:t>cami.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Postavke 1.1.1.1.4 do 1.1.1.1.4.3 ne vključujejo dejanskih ali pogojnih obv</w:t>
            </w:r>
            <w:r>
              <w:rPr>
                <w:rStyle w:val="FormatvorlageInstructionsTabelleText"/>
                <w:rFonts w:ascii="Times New Roman" w:hAnsi="Times New Roman"/>
                <w:sz w:val="24"/>
              </w:rPr>
              <w:t>e</w:t>
            </w:r>
            <w:r>
              <w:rPr>
                <w:rStyle w:val="FormatvorlageInstructionsTabelleText"/>
                <w:rFonts w:ascii="Times New Roman" w:hAnsi="Times New Roman"/>
                <w:sz w:val="24"/>
              </w:rPr>
              <w:t>znosti nakupa lastnih instrumentov navadnega lastniškega temeljnega kap</w:t>
            </w:r>
            <w:r>
              <w:rPr>
                <w:rStyle w:val="FormatvorlageInstructionsTabelleText"/>
                <w:rFonts w:ascii="Times New Roman" w:hAnsi="Times New Roman"/>
                <w:sz w:val="24"/>
              </w:rPr>
              <w:t>i</w:t>
            </w:r>
            <w:r>
              <w:rPr>
                <w:rStyle w:val="FormatvorlageInstructionsTabelleText"/>
                <w:rFonts w:ascii="Times New Roman" w:hAnsi="Times New Roman"/>
                <w:sz w:val="24"/>
              </w:rPr>
              <w:t>tala. Dejanske ali pogojne obveznosti nakupa lastnih instrumentov navadn</w:t>
            </w:r>
            <w:r>
              <w:rPr>
                <w:rStyle w:val="FormatvorlageInstructionsTabelleText"/>
                <w:rFonts w:ascii="Times New Roman" w:hAnsi="Times New Roman"/>
                <w:sz w:val="24"/>
              </w:rPr>
              <w:t>e</w:t>
            </w:r>
            <w:r>
              <w:rPr>
                <w:rStyle w:val="FormatvorlageInstructionsTabelleText"/>
                <w:rFonts w:ascii="Times New Roman" w:hAnsi="Times New Roman"/>
                <w:sz w:val="24"/>
              </w:rPr>
              <w:t>ga lastniškega temeljnega kapitala se poročajo ločeno v postavki 1.1.1.1.5.</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sidRPr="0047639A">
              <w:rPr>
                <w:u w:val="single"/>
              </w:rPr>
              <w:tab/>
            </w:r>
            <w:r>
              <w:rPr>
                <w:rStyle w:val="InstructionsTabelleberschrift"/>
                <w:rFonts w:ascii="Times New Roman" w:hAnsi="Times New Roman"/>
                <w:sz w:val="24"/>
              </w:rPr>
              <w:t>(–) Neposredni deleži v instrumentih navadnega lastnišk</w:t>
            </w:r>
            <w:r>
              <w:rPr>
                <w:rStyle w:val="InstructionsTabelleberschrift"/>
                <w:rFonts w:ascii="Times New Roman" w:hAnsi="Times New Roman"/>
                <w:sz w:val="24"/>
              </w:rPr>
              <w:t>e</w:t>
            </w:r>
            <w:r>
              <w:rPr>
                <w:rStyle w:val="InstructionsTabelleberschrift"/>
                <w:rFonts w:ascii="Times New Roman" w:hAnsi="Times New Roman"/>
                <w:sz w:val="24"/>
              </w:rPr>
              <w:t>ga temeljnega kapitala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36(1)(f) in člen 42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Instrumenti navadnega lastniškega temeljnega kapitala, vključeni v postavko 1.1.1.1, ki ga imajo institucije v okviru konsolidirane skupine. </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vključuje deleže v trgovalni knjigi, izračunane na po</w:t>
            </w:r>
            <w:r>
              <w:rPr>
                <w:rStyle w:val="FormatvorlageInstructionsTabelleText"/>
                <w:rFonts w:ascii="Times New Roman" w:hAnsi="Times New Roman"/>
                <w:sz w:val="24"/>
              </w:rPr>
              <w:t>d</w:t>
            </w:r>
            <w:r>
              <w:rPr>
                <w:rStyle w:val="FormatvorlageInstructionsTabelleText"/>
                <w:rFonts w:ascii="Times New Roman" w:hAnsi="Times New Roman"/>
                <w:sz w:val="24"/>
              </w:rPr>
              <w:lastRenderedPageBreak/>
              <w:t>lagi neto dolge pozicije, kot določa člen 42(a) CRR.</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sidRPr="0047639A">
              <w:rPr>
                <w:u w:val="single"/>
              </w:rPr>
              <w:tab/>
            </w:r>
            <w:r>
              <w:rPr>
                <w:rStyle w:val="InstructionsTabelleberschrift"/>
                <w:rFonts w:ascii="Times New Roman" w:hAnsi="Times New Roman"/>
                <w:sz w:val="24"/>
              </w:rPr>
              <w:t>(–) Posredni deleži v instrumentih navadnega lastniškega temeljnega kapitala</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4(1)(114), člen 36(1)(f) in člen 42 CRR.</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sidRPr="0047639A">
              <w:rPr>
                <w:u w:val="single"/>
              </w:rPr>
              <w:tab/>
            </w:r>
            <w:r>
              <w:rPr>
                <w:rStyle w:val="InstructionsTabelleberschrift"/>
                <w:rFonts w:ascii="Times New Roman" w:hAnsi="Times New Roman"/>
                <w:sz w:val="24"/>
              </w:rPr>
              <w:t>(–) Sintetični deleži v instrumentih navadnega lastniškega temeljnega kapitala</w:t>
            </w:r>
          </w:p>
          <w:p w:rsidR="005643EA" w:rsidRPr="00295225" w:rsidRDefault="00805255"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Člen 4(1)(126), člen 36(1)(f) in člen 42 CRR.</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rsidRPr="0047639A">
              <w:rPr>
                <w:u w:val="single"/>
              </w:rPr>
              <w:tab/>
            </w:r>
            <w:r>
              <w:rPr>
                <w:rStyle w:val="InstructionsTabelleberschrift"/>
                <w:rFonts w:ascii="Times New Roman" w:hAnsi="Times New Roman"/>
                <w:sz w:val="24"/>
              </w:rPr>
              <w:t>(–) Dejanske ali pogojne obveznosti nakupa lastnih instrumentov navadnega lastniškega temeljnega kapitala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36(1)(f) in člen 42 CRR.</w:t>
            </w:r>
          </w:p>
          <w:p w:rsidR="005643EA" w:rsidRPr="00295225"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 skladu s členom 36(1)(f) CRR se</w:t>
            </w:r>
            <w:r>
              <w:t xml:space="preserve"> „</w:t>
            </w:r>
            <w:proofErr w:type="spellStart"/>
            <w:r>
              <w:t>lastn</w:t>
            </w:r>
            <w:proofErr w:type="spellEnd"/>
            <w:r>
              <w:t>[i] instrumenti navadnega lastni</w:t>
            </w:r>
            <w:r>
              <w:t>š</w:t>
            </w:r>
            <w:r>
              <w:t>kega temeljnega kapitala, za katere ima institucija dejansko ali pogojno obveznost nakupa na podlagi obstoječe pogodbene obveznosti“, odbijejo.</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130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rsidR="003F40E8" w:rsidRPr="003F40E8">
              <w:rPr>
                <w:u w:val="single"/>
              </w:rPr>
              <w:tab/>
            </w:r>
            <w:r>
              <w:rPr>
                <w:rStyle w:val="InstructionsTabelleberschrift"/>
                <w:rFonts w:ascii="Times New Roman" w:hAnsi="Times New Roman"/>
                <w:sz w:val="24"/>
              </w:rPr>
              <w:t>Zadržani dobiček</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26(1)(c) in člen 26(2)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Zadržani dobiček vključuje zadržani dobiček preteklega leta in priznani dobiček med letom ali čisti dobiček poslovnega leta.</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140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rsidRPr="0047639A">
              <w:rPr>
                <w:u w:val="single"/>
              </w:rPr>
              <w:tab/>
            </w:r>
            <w:r>
              <w:rPr>
                <w:rStyle w:val="InstructionsTabelleberschrift"/>
                <w:rFonts w:ascii="Times New Roman" w:hAnsi="Times New Roman"/>
                <w:sz w:val="24"/>
              </w:rPr>
              <w:t>Zadržani dobiček preteklih let</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4(1)(123) in člen 26(1)(c)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 členu 4(1)(123) CRR je zadržani dobiček opredeljen kot „prenesen[i] </w:t>
            </w:r>
            <w:proofErr w:type="spellStart"/>
            <w:r>
              <w:rPr>
                <w:rStyle w:val="FormatvorlageInstructionsTabelleText"/>
                <w:rFonts w:ascii="Times New Roman" w:hAnsi="Times New Roman"/>
                <w:sz w:val="24"/>
              </w:rPr>
              <w:t>dobičk</w:t>
            </w:r>
            <w:proofErr w:type="spellEnd"/>
            <w:r>
              <w:rPr>
                <w:rStyle w:val="FormatvorlageInstructionsTabelleText"/>
                <w:rFonts w:ascii="Times New Roman" w:hAnsi="Times New Roman"/>
                <w:sz w:val="24"/>
              </w:rPr>
              <w:t>[i] in izgube, ki izhajajo iz dobičkov ali izgub iz preteklih let, v skl</w:t>
            </w:r>
            <w:r>
              <w:rPr>
                <w:rStyle w:val="FormatvorlageInstructionsTabelleText"/>
                <w:rFonts w:ascii="Times New Roman" w:hAnsi="Times New Roman"/>
                <w:sz w:val="24"/>
              </w:rPr>
              <w:t>a</w:t>
            </w:r>
            <w:r>
              <w:rPr>
                <w:rStyle w:val="FormatvorlageInstructionsTabelleText"/>
                <w:rFonts w:ascii="Times New Roman" w:hAnsi="Times New Roman"/>
                <w:sz w:val="24"/>
              </w:rPr>
              <w:t>du z veljavnim računovodskim okvirom“.</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150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sidRPr="0047639A">
              <w:rPr>
                <w:u w:val="single"/>
              </w:rPr>
              <w:tab/>
            </w:r>
            <w:r>
              <w:rPr>
                <w:rStyle w:val="InstructionsTabelleberschrift"/>
                <w:rFonts w:ascii="Times New Roman" w:hAnsi="Times New Roman"/>
                <w:sz w:val="24"/>
              </w:rPr>
              <w:t>Priznan dobiček ali izguba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Člena 4(1)(121) in 26(2) ter člen 36(1)(a)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skladu s členom 26(2) CRR se lahko kot zadržani dobički vključijo dobi</w:t>
            </w:r>
            <w:r>
              <w:rPr>
                <w:rStyle w:val="FormatvorlageInstructionsTabelleText"/>
                <w:rFonts w:ascii="Times New Roman" w:hAnsi="Times New Roman"/>
                <w:sz w:val="24"/>
              </w:rPr>
              <w:t>č</w:t>
            </w:r>
            <w:r>
              <w:rPr>
                <w:rStyle w:val="FormatvorlageInstructionsTabelleText"/>
                <w:rFonts w:ascii="Times New Roman" w:hAnsi="Times New Roman"/>
                <w:sz w:val="24"/>
              </w:rPr>
              <w:t xml:space="preserve">ki med letom ali čisti dobički poslovnega leta ob predhodnem dovoljenju pristojnega organa, če so izpolnjeni določeni pogoji. </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Obratno se v skladu s členom 36(1)(a) CRR od navadnega lastniškega tem</w:t>
            </w:r>
            <w:r>
              <w:rPr>
                <w:rStyle w:val="FormatvorlageInstructionsTabelleText"/>
                <w:rFonts w:ascii="Times New Roman" w:hAnsi="Times New Roman"/>
                <w:sz w:val="24"/>
              </w:rPr>
              <w:t>e</w:t>
            </w:r>
            <w:r>
              <w:rPr>
                <w:rStyle w:val="FormatvorlageInstructionsTabelleText"/>
                <w:rFonts w:ascii="Times New Roman" w:hAnsi="Times New Roman"/>
                <w:sz w:val="24"/>
              </w:rPr>
              <w:t>ljnega kapitala odbijejo izgube.</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160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rsidRPr="0047639A">
              <w:rPr>
                <w:u w:val="single"/>
              </w:rPr>
              <w:tab/>
            </w:r>
            <w:r>
              <w:rPr>
                <w:rStyle w:val="InstructionsTabelleberschrift"/>
                <w:rFonts w:ascii="Times New Roman" w:hAnsi="Times New Roman"/>
                <w:sz w:val="24"/>
              </w:rPr>
              <w:t>Dobiček ali izguba, ki se pripiše lastnikom obvladujoče družbe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26(2) in člen 36(1)(a)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je dobiček ali izguba, vključena v računovodski izkaz poslovnega izida.</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170</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rsidRPr="003D090A">
              <w:rPr>
                <w:u w:val="single"/>
              </w:rPr>
              <w:tab/>
            </w:r>
            <w:r>
              <w:rPr>
                <w:rStyle w:val="InstructionsTabelleberschrift"/>
                <w:rFonts w:ascii="Times New Roman" w:hAnsi="Times New Roman"/>
                <w:sz w:val="24"/>
              </w:rPr>
              <w:t>(–) Del dobičkov med letom ali čistih dobičkov poslovnega leta, ki ni sprejemljiv</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26(2)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Ta vrstica je prazna, če je institucija za referenčno obdobje poročala izgube. Razlog za to je, da se izgube v celoti odbijejo od navadnega lastniškega </w:t>
            </w:r>
            <w:r>
              <w:rPr>
                <w:rStyle w:val="FormatvorlageInstructionsTabelleText"/>
                <w:rFonts w:ascii="Times New Roman" w:hAnsi="Times New Roman"/>
                <w:sz w:val="24"/>
              </w:rPr>
              <w:lastRenderedPageBreak/>
              <w:t>temeljnega kapitala.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Če institucija poroča dobičke, se poroča del, ki v skladu s členom 26(2) CRR ni priznan (tj. dobički, ki niso revidirani, in predvidljive obremenitve ali dividende).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Opozoriti je treba, da so v primeru dobičkov zneski, ki jih je treba odbiti, vsaj vmesne dividende.</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180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rsidRPr="003D090A">
              <w:rPr>
                <w:u w:val="single"/>
              </w:rPr>
              <w:tab/>
            </w:r>
            <w:r>
              <w:rPr>
                <w:rStyle w:val="InstructionsTabelleberschrift"/>
                <w:rFonts w:ascii="Times New Roman" w:hAnsi="Times New Roman"/>
                <w:sz w:val="24"/>
              </w:rPr>
              <w:t>Akumulirani drugi vseobsegajoči donos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4(1)(100) in člen 26(1)(d)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Poroča se znesek, ki ne vključuje davčnih obremenitev, predvidljivih v času izračuna, in pred uporabo bonitetnih filtrov. Poroča se znesek, ki se določi v skladu s členom 13(4) Delegirane uredbe Komisije (EU) št. 241/2014.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rsidR="003F40E8" w:rsidRPr="003F40E8">
              <w:rPr>
                <w:u w:val="single"/>
              </w:rPr>
              <w:tab/>
            </w:r>
            <w:r>
              <w:rPr>
                <w:rStyle w:val="InstructionsTabelleberschrift"/>
                <w:rFonts w:ascii="Times New Roman" w:hAnsi="Times New Roman"/>
                <w:sz w:val="24"/>
              </w:rPr>
              <w:t>Druge rezerve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4(1)(117) in člen 26(1)(e)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Druge rezerve so v CRR opredeljene kot „rezerve v skladu z veljavnim računovodskim okvirom, ki jih je treba razkriti v skladu s tem veljavnim računovodskim standardom, razen zneskov, ki so že vključeni v akumuliran drugi vseobsegajoči donos ali zadržani dobiček“.</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ne vključuje davčnih obremenitev, predvidljivih v času izračuna.</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rsidR="003F40E8" w:rsidRPr="003F40E8">
              <w:rPr>
                <w:u w:val="single"/>
              </w:rPr>
              <w:tab/>
            </w:r>
            <w:r>
              <w:rPr>
                <w:rStyle w:val="InstructionsTabelleberschrift"/>
                <w:rFonts w:ascii="Times New Roman" w:hAnsi="Times New Roman"/>
                <w:sz w:val="24"/>
              </w:rPr>
              <w:t>Rezervacije za splošna bančna tveganja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4(1)(112) in člen 26(1)(f)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Rezervacije za splošna bančna tveganja so v členu 38 Direktive 86/635/EGS opredeljena kot „</w:t>
            </w:r>
            <w:proofErr w:type="spellStart"/>
            <w:r>
              <w:rPr>
                <w:rStyle w:val="FormatvorlageInstructionsTabelleText"/>
                <w:rFonts w:ascii="Times New Roman" w:hAnsi="Times New Roman"/>
                <w:sz w:val="24"/>
              </w:rPr>
              <w:t>znesk</w:t>
            </w:r>
            <w:proofErr w:type="spellEnd"/>
            <w:r>
              <w:rPr>
                <w:rStyle w:val="FormatvorlageInstructionsTabelleText"/>
                <w:rFonts w:ascii="Times New Roman" w:hAnsi="Times New Roman"/>
                <w:sz w:val="24"/>
              </w:rPr>
              <w:t>[i], za katere se kreditna institucija odloči, da jih izl</w:t>
            </w:r>
            <w:r>
              <w:rPr>
                <w:rStyle w:val="FormatvorlageInstructionsTabelleText"/>
                <w:rFonts w:ascii="Times New Roman" w:hAnsi="Times New Roman"/>
                <w:sz w:val="24"/>
              </w:rPr>
              <w:t>o</w:t>
            </w:r>
            <w:r>
              <w:rPr>
                <w:rStyle w:val="FormatvorlageInstructionsTabelleText"/>
                <w:rFonts w:ascii="Times New Roman" w:hAnsi="Times New Roman"/>
                <w:sz w:val="24"/>
              </w:rPr>
              <w:t>či za pokritje takih tveganj, če to zahtevajo posebna tveganja, povezana z bančništvom“.</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ne vključuje davčnih obremenitev, predvidljivih v času izračuna.</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220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rsidR="003F40E8" w:rsidRPr="003F40E8">
              <w:rPr>
                <w:u w:val="single"/>
              </w:rPr>
              <w:tab/>
            </w:r>
            <w:r>
              <w:rPr>
                <w:rStyle w:val="InstructionsTabelleberschrift"/>
                <w:rFonts w:ascii="Times New Roman" w:hAnsi="Times New Roman"/>
                <w:sz w:val="24"/>
              </w:rPr>
              <w:t>Prehodne prilagoditve zaradi kapitalskih instrumentov navadn</w:t>
            </w:r>
            <w:r>
              <w:rPr>
                <w:rStyle w:val="InstructionsTabelleberschrift"/>
                <w:rFonts w:ascii="Times New Roman" w:hAnsi="Times New Roman"/>
                <w:sz w:val="24"/>
              </w:rPr>
              <w:t>e</w:t>
            </w:r>
            <w:r>
              <w:rPr>
                <w:rStyle w:val="InstructionsTabelleberschrift"/>
                <w:rFonts w:ascii="Times New Roman" w:hAnsi="Times New Roman"/>
                <w:sz w:val="24"/>
              </w:rPr>
              <w:t>ga lastniškega temeljnega kapitala, za katere se uporabljajo predhodna pravila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483(1) do (3) in členi 484 do 487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kapitalskih instrumentov, za katere se prehodno uporabljajo predh</w:t>
            </w:r>
            <w:r>
              <w:rPr>
                <w:rStyle w:val="FormatvorlageInstructionsTabelleText"/>
                <w:rFonts w:ascii="Times New Roman" w:hAnsi="Times New Roman"/>
                <w:sz w:val="24"/>
              </w:rPr>
              <w:t>o</w:t>
            </w:r>
            <w:r>
              <w:rPr>
                <w:rStyle w:val="FormatvorlageInstructionsTabelleText"/>
                <w:rFonts w:ascii="Times New Roman" w:hAnsi="Times New Roman"/>
                <w:sz w:val="24"/>
              </w:rPr>
              <w:t>dna pravila za navadni lastniški temeljni kapital. Znesek, ki se poroča, se pridobi neposredno iz predloge CA5.</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230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rsidR="003F40E8" w:rsidRPr="003F40E8">
              <w:rPr>
                <w:u w:val="single"/>
              </w:rPr>
              <w:tab/>
            </w:r>
            <w:r>
              <w:rPr>
                <w:rStyle w:val="InstructionsTabelleberschrift"/>
                <w:rFonts w:ascii="Times New Roman" w:hAnsi="Times New Roman"/>
                <w:sz w:val="24"/>
              </w:rPr>
              <w:t>Manjšinski delež, pripoznan v navadnem lastniškem temeljnem kapitalu</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4(120) in člen 84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Vsota vseh zneskov manjšinskih deležev podrejenih družb, vključenih v konsolidirani navadni lastniški temeljni kapital.</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240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rsidR="003F40E8" w:rsidRPr="003F40E8">
              <w:rPr>
                <w:u w:val="single"/>
              </w:rPr>
              <w:tab/>
            </w:r>
            <w:r>
              <w:rPr>
                <w:rStyle w:val="InstructionsTabelleberschrift"/>
                <w:rFonts w:ascii="Times New Roman" w:hAnsi="Times New Roman"/>
                <w:sz w:val="24"/>
              </w:rPr>
              <w:t>Prehodne prilagoditve zaradi dodatnih manjšinskih del</w:t>
            </w:r>
            <w:r>
              <w:rPr>
                <w:rStyle w:val="InstructionsTabelleberschrift"/>
                <w:rFonts w:ascii="Times New Roman" w:hAnsi="Times New Roman"/>
                <w:sz w:val="24"/>
              </w:rPr>
              <w:t>e</w:t>
            </w:r>
            <w:r>
              <w:rPr>
                <w:rStyle w:val="InstructionsTabelleberschrift"/>
                <w:rFonts w:ascii="Times New Roman" w:hAnsi="Times New Roman"/>
                <w:sz w:val="24"/>
              </w:rPr>
              <w:t>žev</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Člena 479 in 480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Prilagoditve manjšinskih deležev zaradi prehodnih določb. Ta postavka se pridobi neposredno iz predloge CA5.</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250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rsidR="003F40E8" w:rsidRPr="003F40E8">
              <w:rPr>
                <w:u w:val="single"/>
              </w:rPr>
              <w:tab/>
            </w:r>
            <w:r>
              <w:rPr>
                <w:rStyle w:val="InstructionsTabelleberschrift"/>
                <w:rFonts w:ascii="Times New Roman" w:hAnsi="Times New Roman"/>
                <w:sz w:val="24"/>
              </w:rPr>
              <w:t>Prilagoditve navadnega lastniškega temeljnega kapitala zaradi bonitetnih filtrov</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Členi 32 do 35 CRR.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260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rsidRPr="003D090A">
              <w:rPr>
                <w:u w:val="single"/>
              </w:rPr>
              <w:tab/>
            </w:r>
            <w:r>
              <w:rPr>
                <w:rStyle w:val="InstructionsTabelleberschrift"/>
                <w:rFonts w:ascii="Times New Roman" w:hAnsi="Times New Roman"/>
                <w:sz w:val="24"/>
              </w:rPr>
              <w:t>(–) Povečanja lastniškega kapitala, ki izhajajo iz listinj</w:t>
            </w:r>
            <w:r>
              <w:rPr>
                <w:rStyle w:val="InstructionsTabelleberschrift"/>
                <w:rFonts w:ascii="Times New Roman" w:hAnsi="Times New Roman"/>
                <w:sz w:val="24"/>
              </w:rPr>
              <w:t>e</w:t>
            </w:r>
            <w:r>
              <w:rPr>
                <w:rStyle w:val="InstructionsTabelleberschrift"/>
                <w:rFonts w:ascii="Times New Roman" w:hAnsi="Times New Roman"/>
                <w:sz w:val="24"/>
              </w:rPr>
              <w:t>nih sredstev</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32(1)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je povečanje lastniškega kapitala institucije, ki izhaja iz listinjenih sredstev, v skladu z veljavnim računovodskim standardom.</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Ta postavka na primer vključuje prihodke iz naslova prihodnjih marž, ki se pri instituciji odraža v dobičku iz prodaje, ali, kadar je institucija v vlogi or</w:t>
            </w:r>
            <w:r>
              <w:rPr>
                <w:rStyle w:val="FormatvorlageInstructionsTabelleText"/>
                <w:rFonts w:ascii="Times New Roman" w:hAnsi="Times New Roman"/>
                <w:sz w:val="24"/>
              </w:rPr>
              <w:t>i</w:t>
            </w:r>
            <w:r>
              <w:rPr>
                <w:rStyle w:val="FormatvorlageInstructionsTabelleText"/>
                <w:rFonts w:ascii="Times New Roman" w:hAnsi="Times New Roman"/>
                <w:sz w:val="24"/>
              </w:rPr>
              <w:t>ginatorja, neto dobičke iz naslova kapitalizacije prihodnjih donosov iz listi</w:t>
            </w:r>
            <w:r>
              <w:rPr>
                <w:rStyle w:val="FormatvorlageInstructionsTabelleText"/>
                <w:rFonts w:ascii="Times New Roman" w:hAnsi="Times New Roman"/>
                <w:sz w:val="24"/>
              </w:rPr>
              <w:t>n</w:t>
            </w:r>
            <w:r>
              <w:rPr>
                <w:rStyle w:val="FormatvorlageInstructionsTabelleText"/>
                <w:rFonts w:ascii="Times New Roman" w:hAnsi="Times New Roman"/>
                <w:sz w:val="24"/>
              </w:rPr>
              <w:t>jenih sredstev, ki zagotavljajo kreditno izboljšavo pozicij v listinjenju.</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270</w:t>
            </w:r>
          </w:p>
        </w:tc>
        <w:tc>
          <w:tcPr>
            <w:tcW w:w="7620"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rsidRPr="003D090A">
              <w:rPr>
                <w:u w:val="single"/>
              </w:rPr>
              <w:tab/>
            </w:r>
            <w:r>
              <w:rPr>
                <w:rStyle w:val="InstructionsTabelleberschrift"/>
                <w:rFonts w:ascii="Times New Roman" w:hAnsi="Times New Roman"/>
                <w:sz w:val="24"/>
              </w:rPr>
              <w:t>Rezerva za varovanje denarnih tokov</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33(1)(a)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je lahko pozitiven ali negativen. Znesek je pozitiven, kadar varovanje denarnega toka privede do izgube (tj. če zmanjšajo račun</w:t>
            </w:r>
            <w:r>
              <w:rPr>
                <w:rStyle w:val="FormatvorlageInstructionsTabelleText"/>
                <w:rFonts w:ascii="Times New Roman" w:hAnsi="Times New Roman"/>
                <w:sz w:val="24"/>
              </w:rPr>
              <w:t>o</w:t>
            </w:r>
            <w:r>
              <w:rPr>
                <w:rStyle w:val="FormatvorlageInstructionsTabelleText"/>
                <w:rFonts w:ascii="Times New Roman" w:hAnsi="Times New Roman"/>
                <w:sz w:val="24"/>
              </w:rPr>
              <w:t>vodski kapital) in obratno. Predznak je zato nasproten predznaku, uporablj</w:t>
            </w:r>
            <w:r>
              <w:rPr>
                <w:rStyle w:val="FormatvorlageInstructionsTabelleText"/>
                <w:rFonts w:ascii="Times New Roman" w:hAnsi="Times New Roman"/>
                <w:sz w:val="24"/>
              </w:rPr>
              <w:t>e</w:t>
            </w:r>
            <w:r>
              <w:rPr>
                <w:rStyle w:val="FormatvorlageInstructionsTabelleText"/>
                <w:rFonts w:ascii="Times New Roman" w:hAnsi="Times New Roman"/>
                <w:sz w:val="24"/>
              </w:rPr>
              <w:t>nemu v računovodskih izkazih.</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ne vključuje davčnih obremenitev, predvidljivih v času izračuna.</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280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rsidRPr="003D090A">
              <w:rPr>
                <w:u w:val="single"/>
              </w:rPr>
              <w:tab/>
            </w:r>
            <w:r>
              <w:rPr>
                <w:rStyle w:val="InstructionsTabelleberschrift"/>
                <w:rFonts w:ascii="Times New Roman" w:hAnsi="Times New Roman"/>
                <w:sz w:val="24"/>
              </w:rPr>
              <w:t>Kumulativni dobički in izgube zaradi sprememb lastnega kreditnega tveganja v zvezi z obveznostmi, vrednotenimi po pošteni vrednosti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33(1)(b)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je lahko pozitiven ali negativen. Znesek je pozitiven v primeru izgube zaradi sprememb lastnega kreditnega tveganja (tj. če se zm</w:t>
            </w:r>
            <w:r>
              <w:rPr>
                <w:rStyle w:val="FormatvorlageInstructionsTabelleText"/>
                <w:rFonts w:ascii="Times New Roman" w:hAnsi="Times New Roman"/>
                <w:sz w:val="24"/>
              </w:rPr>
              <w:t>a</w:t>
            </w:r>
            <w:r>
              <w:rPr>
                <w:rStyle w:val="FormatvorlageInstructionsTabelleText"/>
                <w:rFonts w:ascii="Times New Roman" w:hAnsi="Times New Roman"/>
                <w:sz w:val="24"/>
              </w:rPr>
              <w:t>njša računovodski kapital) in obratno. Predznak je zato nasproten predznaku, uporabljenemu v računovodskih izkazih.</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Nerevidiran dobiček se ne vključi v to postavko.</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285</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rsidRPr="003D090A">
              <w:rPr>
                <w:u w:val="single"/>
              </w:rPr>
              <w:tab/>
            </w:r>
            <w:r>
              <w:rPr>
                <w:rStyle w:val="InstructionsTabelleberschrift"/>
                <w:rFonts w:ascii="Times New Roman" w:hAnsi="Times New Roman"/>
                <w:sz w:val="24"/>
              </w:rPr>
              <w:t>Dobički in izgube, nastali zaradi vrednotenja na pošteno vrednost, ki izhajajo iz kreditnega tveganja same institucije v zvezi z izvedenimi finančnimi obveznostmi</w:t>
            </w:r>
          </w:p>
          <w:p w:rsidR="005643EA" w:rsidRPr="00392FFD" w:rsidRDefault="00855D5F"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33(1)(c) in člen 33(2)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je lahko pozitiven ali negativen. Znesek je pozitiven v primeru izgube zaradi sprememb lastnega kreditnega tveganja in obratno. Predznak je zato nasproten predznaku, uporabljenemu v računovodskih izkazih.</w:t>
            </w:r>
          </w:p>
          <w:p w:rsidR="005643EA" w:rsidRPr="00295225" w:rsidRDefault="00666996"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Nerevidiran dobiček se ne vključi v to postavko.</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290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rsidRPr="003D090A">
              <w:rPr>
                <w:u w:val="single"/>
              </w:rPr>
              <w:tab/>
            </w:r>
            <w:r>
              <w:rPr>
                <w:rStyle w:val="InstructionsTabelleberschrift"/>
                <w:rFonts w:ascii="Times New Roman" w:hAnsi="Times New Roman"/>
                <w:sz w:val="24"/>
              </w:rPr>
              <w:t xml:space="preserve">(–) Prilagoditve vrednosti zaradi zahtev po preudarnem </w:t>
            </w:r>
            <w:r>
              <w:rPr>
                <w:rStyle w:val="InstructionsTabelleberschrift"/>
                <w:rFonts w:ascii="Times New Roman" w:hAnsi="Times New Roman"/>
                <w:sz w:val="24"/>
              </w:rPr>
              <w:lastRenderedPageBreak/>
              <w:t>vrednotenju</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Člena 34 in 105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Prilagoditve poštene vrednosti izpostavljenosti, vključene v trgovalno knjigo ali </w:t>
            </w:r>
            <w:proofErr w:type="spellStart"/>
            <w:r>
              <w:rPr>
                <w:rStyle w:val="FormatvorlageInstructionsTabelleText"/>
                <w:rFonts w:ascii="Times New Roman" w:hAnsi="Times New Roman"/>
                <w:sz w:val="24"/>
              </w:rPr>
              <w:t>netrgovalno</w:t>
            </w:r>
            <w:proofErr w:type="spellEnd"/>
            <w:r>
              <w:rPr>
                <w:rStyle w:val="FormatvorlageInstructionsTabelleText"/>
                <w:rFonts w:ascii="Times New Roman" w:hAnsi="Times New Roman"/>
                <w:sz w:val="24"/>
              </w:rPr>
              <w:t xml:space="preserve"> knjigo, zaradi strožjih standardov preudarnega vrednotenja iz člena 105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300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rsidRPr="0059042F">
              <w:rPr>
                <w:u w:val="single"/>
              </w:rPr>
              <w:tab/>
            </w:r>
            <w:r>
              <w:rPr>
                <w:rStyle w:val="InstructionsTabelleberschrift"/>
                <w:rFonts w:ascii="Times New Roman" w:hAnsi="Times New Roman"/>
                <w:sz w:val="24"/>
              </w:rPr>
              <w:t>(–) Dobro ime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4(1)(113), člen 36(1)(b) in člen 37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310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sidRPr="0059042F">
              <w:rPr>
                <w:u w:val="single"/>
              </w:rPr>
              <w:tab/>
            </w:r>
            <w:r>
              <w:rPr>
                <w:rStyle w:val="InstructionsTabelleberschrift"/>
                <w:rFonts w:ascii="Times New Roman" w:hAnsi="Times New Roman"/>
                <w:sz w:val="24"/>
              </w:rPr>
              <w:t>(–) Dobro ime, ki se pripozna kot neopredmeteno sredstvo</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4(1)(113) in člen 36(1)(b)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Dobro ime ima enak pomen kot v skladu z veljavnim računovodskim sta</w:t>
            </w:r>
            <w:r>
              <w:rPr>
                <w:rStyle w:val="FormatvorlageInstructionsTabelleText"/>
                <w:rFonts w:ascii="Times New Roman" w:hAnsi="Times New Roman"/>
                <w:sz w:val="24"/>
              </w:rPr>
              <w:t>n</w:t>
            </w:r>
            <w:r>
              <w:rPr>
                <w:rStyle w:val="FormatvorlageInstructionsTabelleText"/>
                <w:rFonts w:ascii="Times New Roman" w:hAnsi="Times New Roman"/>
                <w:sz w:val="24"/>
              </w:rPr>
              <w:t>dardom.</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v tem polju, je enak znesku poročanem v bilanci stanja.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320</w:t>
            </w:r>
          </w:p>
        </w:tc>
        <w:tc>
          <w:tcPr>
            <w:tcW w:w="7620" w:type="dxa"/>
          </w:tcPr>
          <w:p w:rsidR="005643EA" w:rsidRPr="00392FFD" w:rsidRDefault="00855D5F"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rsidRPr="0059042F">
              <w:rPr>
                <w:u w:val="single"/>
              </w:rPr>
              <w:tab/>
            </w:r>
            <w:r>
              <w:rPr>
                <w:rStyle w:val="InstructionsTabelleberschrift"/>
                <w:rFonts w:ascii="Times New Roman" w:hAnsi="Times New Roman"/>
                <w:sz w:val="24"/>
              </w:rPr>
              <w:t>(–) Dobro ime, ki se nanaša na vrednotenje pomembnih naložb</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37(b) in člen 43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330</w:t>
            </w:r>
          </w:p>
        </w:tc>
        <w:tc>
          <w:tcPr>
            <w:tcW w:w="7620" w:type="dxa"/>
          </w:tcPr>
          <w:p w:rsidR="005643EA" w:rsidRPr="00295225" w:rsidRDefault="00AD70F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rsidRPr="0059042F">
              <w:rPr>
                <w:u w:val="single"/>
              </w:rPr>
              <w:tab/>
            </w:r>
            <w:r>
              <w:rPr>
                <w:rStyle w:val="InstructionsTabelleberschrift"/>
                <w:rFonts w:ascii="Times New Roman" w:hAnsi="Times New Roman"/>
                <w:sz w:val="24"/>
              </w:rPr>
              <w:t>Odložene obveznosti za davek, povezane z dobrim im</w:t>
            </w:r>
            <w:r>
              <w:rPr>
                <w:rStyle w:val="InstructionsTabelleberschrift"/>
                <w:rFonts w:ascii="Times New Roman" w:hAnsi="Times New Roman"/>
                <w:sz w:val="24"/>
              </w:rPr>
              <w:t>e</w:t>
            </w:r>
            <w:r>
              <w:rPr>
                <w:rStyle w:val="InstructionsTabelleberschrift"/>
                <w:rFonts w:ascii="Times New Roman" w:hAnsi="Times New Roman"/>
                <w:sz w:val="24"/>
              </w:rPr>
              <w:t>nom</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37(a)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odloženih obveznosti za davek, ki bi se poravnale, če bi bilo dobro ime oslabljeno ali bi se odpravilo njegovo pripoznanje v skladu z ustreznim računovodskim standardom.</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340</w:t>
            </w:r>
          </w:p>
        </w:tc>
        <w:tc>
          <w:tcPr>
            <w:tcW w:w="7620" w:type="dxa"/>
          </w:tcPr>
          <w:p w:rsidR="005643EA" w:rsidRPr="007E39E6" w:rsidRDefault="00AD70F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rsidR="00091DE1" w:rsidRPr="0047639A">
              <w:rPr>
                <w:u w:val="single"/>
              </w:rPr>
              <w:tab/>
            </w:r>
            <w:r w:rsidR="00091DE1">
              <w:rPr>
                <w:rStyle w:val="InstructionsTabelleberschrift"/>
                <w:rFonts w:ascii="Times New Roman" w:hAnsi="Times New Roman"/>
                <w:sz w:val="24"/>
              </w:rPr>
              <w:t xml:space="preserve"> </w:t>
            </w:r>
            <w:r>
              <w:rPr>
                <w:rStyle w:val="InstructionsTabelleberschrift"/>
                <w:rFonts w:ascii="Times New Roman" w:hAnsi="Times New Roman"/>
                <w:sz w:val="24"/>
              </w:rPr>
              <w:t>(–) Druga neopredmetena sredstva</w:t>
            </w:r>
          </w:p>
          <w:p w:rsidR="009339C1"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4(1)(115), člen 36(1)(b) in člen 37(a) CRR.</w:t>
            </w:r>
          </w:p>
          <w:p w:rsidR="005643EA" w:rsidRPr="00392FFD" w:rsidRDefault="009339C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Druga neopredmetena sredstva so neopredmetena sredstva v skladu z velj</w:t>
            </w:r>
            <w:r>
              <w:rPr>
                <w:rStyle w:val="FormatvorlageInstructionsTabelleText"/>
                <w:rFonts w:ascii="Times New Roman" w:hAnsi="Times New Roman"/>
                <w:sz w:val="24"/>
              </w:rPr>
              <w:t>a</w:t>
            </w:r>
            <w:r>
              <w:rPr>
                <w:rStyle w:val="FormatvorlageInstructionsTabelleText"/>
                <w:rFonts w:ascii="Times New Roman" w:hAnsi="Times New Roman"/>
                <w:sz w:val="24"/>
              </w:rPr>
              <w:t>vnim računovodskim standardom, pri čemer se ne upošteva dobro ime, prav tako v skladu z veljavnim računovodskim standardom.</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350</w:t>
            </w:r>
          </w:p>
        </w:tc>
        <w:tc>
          <w:tcPr>
            <w:tcW w:w="7620" w:type="dxa"/>
          </w:tcPr>
          <w:p w:rsidR="005643EA" w:rsidRPr="007E39E6" w:rsidRDefault="00AD70F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rsidR="00091DE1" w:rsidRPr="0047639A">
              <w:rPr>
                <w:u w:val="single"/>
              </w:rPr>
              <w:tab/>
            </w:r>
            <w:r w:rsidR="00091DE1">
              <w:rPr>
                <w:rStyle w:val="InstructionsTabelleberschrift"/>
                <w:rFonts w:ascii="Times New Roman" w:hAnsi="Times New Roman"/>
                <w:sz w:val="24"/>
              </w:rPr>
              <w:t xml:space="preserve"> </w:t>
            </w:r>
            <w:r>
              <w:rPr>
                <w:rStyle w:val="InstructionsTabelleberschrift"/>
                <w:rFonts w:ascii="Times New Roman" w:hAnsi="Times New Roman"/>
                <w:sz w:val="24"/>
              </w:rPr>
              <w:t>(–) Druga neopredmetena sredstva pred odbitkom odl</w:t>
            </w:r>
            <w:r>
              <w:rPr>
                <w:rStyle w:val="InstructionsTabelleberschrift"/>
                <w:rFonts w:ascii="Times New Roman" w:hAnsi="Times New Roman"/>
                <w:sz w:val="24"/>
              </w:rPr>
              <w:t>o</w:t>
            </w:r>
            <w:r>
              <w:rPr>
                <w:rStyle w:val="InstructionsTabelleberschrift"/>
                <w:rFonts w:ascii="Times New Roman" w:hAnsi="Times New Roman"/>
                <w:sz w:val="24"/>
              </w:rPr>
              <w:t>ženih obveznosti za davek</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4(1)(115) in člen 36(1)(b)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Druga neopredmetena sredstva so neopredmetena sredstva v skladu z velj</w:t>
            </w:r>
            <w:r>
              <w:rPr>
                <w:rStyle w:val="FormatvorlageInstructionsTabelleText"/>
                <w:rFonts w:ascii="Times New Roman" w:hAnsi="Times New Roman"/>
                <w:sz w:val="24"/>
              </w:rPr>
              <w:t>a</w:t>
            </w:r>
            <w:r>
              <w:rPr>
                <w:rStyle w:val="FormatvorlageInstructionsTabelleText"/>
                <w:rFonts w:ascii="Times New Roman" w:hAnsi="Times New Roman"/>
                <w:sz w:val="24"/>
              </w:rPr>
              <w:t>vnim računovodskim standardom, pri čemer se ne upošteva dobro ime, prav tako v skladu z veljavnim računovodskim standardom.</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v tem polju, ustreza znesku neopredmetenih sredstev brez dobrega imena, ki je poročan v bilanci stanja.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360</w:t>
            </w:r>
          </w:p>
        </w:tc>
        <w:tc>
          <w:tcPr>
            <w:tcW w:w="7620" w:type="dxa"/>
          </w:tcPr>
          <w:p w:rsidR="005643EA" w:rsidRPr="00392FFD" w:rsidRDefault="00AD70F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rsidR="00091DE1" w:rsidRPr="0047639A">
              <w:rPr>
                <w:u w:val="single"/>
              </w:rPr>
              <w:tab/>
            </w:r>
            <w:r>
              <w:rPr>
                <w:rStyle w:val="InstructionsTabelleberschrift"/>
                <w:rFonts w:ascii="Times New Roman" w:hAnsi="Times New Roman"/>
                <w:sz w:val="24"/>
              </w:rPr>
              <w:t>Odložene obveznosti za davek, povezane z drugimi neo</w:t>
            </w:r>
            <w:r>
              <w:rPr>
                <w:rStyle w:val="InstructionsTabelleberschrift"/>
                <w:rFonts w:ascii="Times New Roman" w:hAnsi="Times New Roman"/>
                <w:sz w:val="24"/>
              </w:rPr>
              <w:t>p</w:t>
            </w:r>
            <w:r>
              <w:rPr>
                <w:rStyle w:val="InstructionsTabelleberschrift"/>
                <w:rFonts w:ascii="Times New Roman" w:hAnsi="Times New Roman"/>
                <w:sz w:val="24"/>
              </w:rPr>
              <w:t>redmetenimi sredstvi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37(a)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odloženih obveznosti za davek, ki bi se poravnale, če bi bila neopr</w:t>
            </w:r>
            <w:r>
              <w:rPr>
                <w:rStyle w:val="FormatvorlageInstructionsTabelleText"/>
                <w:rFonts w:ascii="Times New Roman" w:hAnsi="Times New Roman"/>
                <w:sz w:val="24"/>
              </w:rPr>
              <w:t>e</w:t>
            </w:r>
            <w:r>
              <w:rPr>
                <w:rStyle w:val="FormatvorlageInstructionsTabelleText"/>
                <w:rFonts w:ascii="Times New Roman" w:hAnsi="Times New Roman"/>
                <w:sz w:val="24"/>
              </w:rPr>
              <w:t>dmetena sredstva, razen dobrega imena, oslabljena ali bi se odpravilo njeg</w:t>
            </w:r>
            <w:r>
              <w:rPr>
                <w:rStyle w:val="FormatvorlageInstructionsTabelleText"/>
                <w:rFonts w:ascii="Times New Roman" w:hAnsi="Times New Roman"/>
                <w:sz w:val="24"/>
              </w:rPr>
              <w:t>o</w:t>
            </w:r>
            <w:r>
              <w:rPr>
                <w:rStyle w:val="FormatvorlageInstructionsTabelleText"/>
                <w:rFonts w:ascii="Times New Roman" w:hAnsi="Times New Roman"/>
                <w:sz w:val="24"/>
              </w:rPr>
              <w:lastRenderedPageBreak/>
              <w:t>vo pripoznanje v skladu z ustreznim računovodskim standardom.</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370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sidR="00091DE1" w:rsidRPr="0047639A">
              <w:rPr>
                <w:u w:val="single"/>
              </w:rPr>
              <w:t xml:space="preserve"> </w:t>
            </w:r>
            <w:r w:rsidR="00091DE1" w:rsidRPr="0047639A">
              <w:rPr>
                <w:u w:val="single"/>
              </w:rPr>
              <w:tab/>
            </w:r>
            <w:r w:rsidR="00091DE1">
              <w:rPr>
                <w:rStyle w:val="InstructionsTabelleberschrift"/>
                <w:rFonts w:ascii="Times New Roman" w:hAnsi="Times New Roman"/>
                <w:sz w:val="24"/>
              </w:rPr>
              <w:t xml:space="preserve"> </w:t>
            </w:r>
            <w:r>
              <w:rPr>
                <w:rStyle w:val="InstructionsTabelleberschrift"/>
                <w:rFonts w:ascii="Times New Roman" w:hAnsi="Times New Roman"/>
                <w:sz w:val="24"/>
              </w:rPr>
              <w:t>(–) Odložene terjatve za davek, ki se nanašajo na priho</w:t>
            </w:r>
            <w:r>
              <w:rPr>
                <w:rStyle w:val="InstructionsTabelleberschrift"/>
                <w:rFonts w:ascii="Times New Roman" w:hAnsi="Times New Roman"/>
                <w:sz w:val="24"/>
              </w:rPr>
              <w:t>d</w:t>
            </w:r>
            <w:r>
              <w:rPr>
                <w:rStyle w:val="InstructionsTabelleberschrift"/>
                <w:rFonts w:ascii="Times New Roman" w:hAnsi="Times New Roman"/>
                <w:sz w:val="24"/>
              </w:rPr>
              <w:t>nji dobiček in ne izhajajo iz začasnih razlik, zmanjšane za povezane obveznosti za davek</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36(1)(c) in člen 38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380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sidR="00091DE1" w:rsidRPr="0047639A">
              <w:rPr>
                <w:u w:val="single"/>
              </w:rPr>
              <w:tab/>
            </w:r>
            <w:r w:rsidR="00091DE1">
              <w:rPr>
                <w:rStyle w:val="InstructionsTabelleberschrift"/>
                <w:rFonts w:ascii="Times New Roman" w:hAnsi="Times New Roman"/>
                <w:sz w:val="24"/>
              </w:rPr>
              <w:t xml:space="preserve"> </w:t>
            </w:r>
            <w:r>
              <w:rPr>
                <w:rStyle w:val="InstructionsTabelleberschrift"/>
                <w:rFonts w:ascii="Times New Roman" w:hAnsi="Times New Roman"/>
                <w:sz w:val="24"/>
              </w:rPr>
              <w:t>(–) Primanjkljaj popravkov zaradi kreditnega tveganja glede na pričakovane izgube v okviru pristopa IRB</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36(1)(d) ter členi 40, 158 in 159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sporoči, „se ne zmanjša zaradi povečanja odloženih terjatev za davek, ki se nanašajo na prihodnji dobiček, ali drugega dodatnega davčnega učinka, ki bi se lahko pojavil, če bi rezervacije dosegle raven pričakovanih izgub“ (člen 40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390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sidR="0059042F">
              <w:rPr>
                <w:rStyle w:val="InstructionsTabelleberschrift"/>
                <w:rFonts w:ascii="Times New Roman" w:hAnsi="Times New Roman"/>
                <w:sz w:val="24"/>
              </w:rPr>
              <w:t>4</w:t>
            </w:r>
            <w:r w:rsidR="0059042F">
              <w:rPr>
                <w:rStyle w:val="InstructionsTabelleberschrift"/>
                <w:rFonts w:ascii="Times New Roman" w:hAnsi="Times New Roman"/>
                <w:sz w:val="24"/>
              </w:rPr>
              <w:tab/>
            </w:r>
            <w:r>
              <w:rPr>
                <w:rStyle w:val="InstructionsTabelleberschrift"/>
                <w:rFonts w:ascii="Times New Roman" w:hAnsi="Times New Roman"/>
                <w:sz w:val="24"/>
              </w:rPr>
              <w:t>(–) Sredstva pokojninskega sklada z določenimi pravicami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4(1)(109), člen 36(1)(e) in člen 41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400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sidR="00091DE1" w:rsidRPr="0047639A">
              <w:rPr>
                <w:u w:val="single"/>
              </w:rPr>
              <w:tab/>
            </w:r>
            <w:r w:rsidR="00091DE1">
              <w:rPr>
                <w:rStyle w:val="InstructionsTabelleberschrift"/>
                <w:rFonts w:ascii="Times New Roman" w:hAnsi="Times New Roman"/>
                <w:sz w:val="24"/>
              </w:rPr>
              <w:t xml:space="preserve"> </w:t>
            </w:r>
            <w:r>
              <w:rPr>
                <w:rStyle w:val="InstructionsTabelleberschrift"/>
                <w:rFonts w:ascii="Times New Roman" w:hAnsi="Times New Roman"/>
                <w:sz w:val="24"/>
              </w:rPr>
              <w:t>(–) Sredstva pokojninskega sklada z določenimi pravic</w:t>
            </w:r>
            <w:r>
              <w:rPr>
                <w:rStyle w:val="InstructionsTabelleberschrift"/>
                <w:rFonts w:ascii="Times New Roman" w:hAnsi="Times New Roman"/>
                <w:sz w:val="24"/>
              </w:rPr>
              <w:t>a</w:t>
            </w:r>
            <w:r>
              <w:rPr>
                <w:rStyle w:val="InstructionsTabelleberschrift"/>
                <w:rFonts w:ascii="Times New Roman" w:hAnsi="Times New Roman"/>
                <w:sz w:val="24"/>
              </w:rPr>
              <w:t xml:space="preserve">mi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4(1)(109) in člen 36(1)(e)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Sredstva pokojninskega sklada z določenimi pravicami so opredeljena kot „sredstva pokojninskega sklada ali programa z določenimi pravicami, ki se izračunajo, potem ko so zmanjšana za znesek obveznosti v okviru istega sklada ali programa“.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v tem polju, ustreza znesku, poročanem v bilanci stanja (če sta poročana ločeno).</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410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sidR="00091DE1" w:rsidRPr="0047639A">
              <w:rPr>
                <w:u w:val="single"/>
              </w:rPr>
              <w:tab/>
            </w:r>
            <w:r>
              <w:rPr>
                <w:rStyle w:val="InstructionsTabelleberschrift"/>
                <w:rFonts w:ascii="Times New Roman" w:hAnsi="Times New Roman"/>
                <w:sz w:val="24"/>
              </w:rPr>
              <w:t>Odložene obveznosti za davek, povezane s sredstvi poko</w:t>
            </w:r>
            <w:r>
              <w:rPr>
                <w:rStyle w:val="InstructionsTabelleberschrift"/>
                <w:rFonts w:ascii="Times New Roman" w:hAnsi="Times New Roman"/>
                <w:sz w:val="24"/>
              </w:rPr>
              <w:t>j</w:t>
            </w:r>
            <w:r>
              <w:rPr>
                <w:rStyle w:val="InstructionsTabelleberschrift"/>
                <w:rFonts w:ascii="Times New Roman" w:hAnsi="Times New Roman"/>
                <w:sz w:val="24"/>
              </w:rPr>
              <w:t>ninskega sklada z določenimi pravicami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4(1)(108) in (109) ter člen 41(1)(a)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odloženih obveznosti za davek, ki bi se poravnale, če bi bila sredstva pokojninskega sklada z določenimi pravicami oslabljena ali bi se odpravilo njihovo pripoznanje v skladu z ustreznim računovodskim standardom.</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420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sidR="00091DE1" w:rsidRPr="0047639A">
              <w:rPr>
                <w:u w:val="single"/>
              </w:rPr>
              <w:tab/>
            </w:r>
            <w:r>
              <w:rPr>
                <w:rStyle w:val="InstructionsTabelleberschrift"/>
                <w:rFonts w:ascii="Times New Roman" w:hAnsi="Times New Roman"/>
                <w:sz w:val="24"/>
              </w:rPr>
              <w:t>Sredstva pokojninskega sklada z določenimi pravicami, ki jih lahko institucija neomejeno uporablja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4(1)(109) in člen 41(1)(b)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tej postavki se morebitni zneski navedejo le, če pristojni organ predhodno soglaša z zmanjšanjem zneska sredstev pokojninskega sklada z določenimi pravicami, ki se odbije.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 sredstva, ki so vključena v to vrstico, se dodeli utež tveganja za zahteve za kreditno tveganje.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430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sidR="0059042F">
              <w:rPr>
                <w:rStyle w:val="InstructionsTabelleberschrift"/>
                <w:rFonts w:ascii="Times New Roman" w:hAnsi="Times New Roman"/>
                <w:sz w:val="24"/>
              </w:rPr>
              <w:t>5</w:t>
            </w:r>
            <w:r w:rsidR="0059042F">
              <w:rPr>
                <w:rStyle w:val="InstructionsTabelleberschrift"/>
                <w:rFonts w:ascii="Times New Roman" w:hAnsi="Times New Roman"/>
                <w:sz w:val="24"/>
              </w:rPr>
              <w:tab/>
            </w:r>
            <w:r>
              <w:rPr>
                <w:rStyle w:val="InstructionsTabelleberschrift"/>
                <w:rFonts w:ascii="Times New Roman" w:hAnsi="Times New Roman"/>
                <w:sz w:val="24"/>
              </w:rPr>
              <w:t>(–) Vzajemni navzkrižni deleži v navadnem lastniškem temeljnem kapitalu</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4(1)(122), člen 36(1)(g) in člen 44 CRR.</w:t>
            </w:r>
          </w:p>
          <w:p w:rsidR="007E39E6"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Deleži v instrumentih navadnega lastniškega temeljnega kapitala subjektov </w:t>
            </w:r>
            <w:r>
              <w:rPr>
                <w:rStyle w:val="FormatvorlageInstructionsTabelleText"/>
                <w:rFonts w:ascii="Times New Roman" w:hAnsi="Times New Roman"/>
                <w:sz w:val="24"/>
              </w:rPr>
              <w:lastRenderedPageBreak/>
              <w:t>finančnega sektorja (kot so opredeljeni v členu 4(27) CRR), kadar obstaja vzajemni navzkrižni delež, za katerega pristojni organ meni, da je bil obl</w:t>
            </w:r>
            <w:r>
              <w:rPr>
                <w:rStyle w:val="FormatvorlageInstructionsTabelleText"/>
                <w:rFonts w:ascii="Times New Roman" w:hAnsi="Times New Roman"/>
                <w:sz w:val="24"/>
              </w:rPr>
              <w:t>i</w:t>
            </w:r>
            <w:r>
              <w:rPr>
                <w:rStyle w:val="FormatvorlageInstructionsTabelleText"/>
                <w:rFonts w:ascii="Times New Roman" w:hAnsi="Times New Roman"/>
                <w:sz w:val="24"/>
              </w:rPr>
              <w:t>kovan z namenom umetnega povečanja kapitala institucije.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se izračuna na podlagi bruto dolgih pozicij in vključuje zavarovalniške postavke lastnih sredstev prvega reda.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440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sidR="0059042F">
              <w:rPr>
                <w:rStyle w:val="InstructionsTabelleberschrift"/>
                <w:rFonts w:ascii="Times New Roman" w:hAnsi="Times New Roman"/>
                <w:sz w:val="24"/>
              </w:rPr>
              <w:t>6</w:t>
            </w:r>
            <w:r w:rsidR="0059042F">
              <w:rPr>
                <w:rStyle w:val="InstructionsTabelleberschrift"/>
                <w:rFonts w:ascii="Times New Roman" w:hAnsi="Times New Roman"/>
                <w:sz w:val="24"/>
              </w:rPr>
              <w:tab/>
            </w:r>
            <w:r>
              <w:rPr>
                <w:rStyle w:val="InstructionsTabelleberschrift"/>
                <w:rFonts w:ascii="Times New Roman" w:hAnsi="Times New Roman"/>
                <w:sz w:val="24"/>
              </w:rPr>
              <w:t xml:space="preserve">(–) Presežek odbitka od postavk dodatnega temeljnega kapitala nad dodatnim temeljnim kapitalom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36(1)(j)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se pridobi neposredno iz postavke „Presežek odbitka od postavk dodatnega temeljnega kapitala nad dodatnim temeljnim kapit</w:t>
            </w:r>
            <w:r>
              <w:rPr>
                <w:rStyle w:val="FormatvorlageInstructionsTabelleText"/>
                <w:rFonts w:ascii="Times New Roman" w:hAnsi="Times New Roman"/>
                <w:sz w:val="24"/>
              </w:rPr>
              <w:t>a</w:t>
            </w:r>
            <w:r>
              <w:rPr>
                <w:rStyle w:val="FormatvorlageInstructionsTabelleText"/>
                <w:rFonts w:ascii="Times New Roman" w:hAnsi="Times New Roman"/>
                <w:sz w:val="24"/>
              </w:rPr>
              <w:t>lom“ predloge CA1. Znesek se odbije od navadnega lastniškega temeljnega kapitala.</w:t>
            </w:r>
          </w:p>
        </w:tc>
      </w:tr>
      <w:tr w:rsidR="00666996" w:rsidRPr="00392FFD" w:rsidTr="00672D2A">
        <w:tc>
          <w:tcPr>
            <w:tcW w:w="1129" w:type="dxa"/>
          </w:tcPr>
          <w:p w:rsidR="00666996" w:rsidRPr="00392FFD" w:rsidRDefault="00BA1C6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450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sidR="0059042F">
              <w:rPr>
                <w:rStyle w:val="InstructionsTabelleberschrift"/>
                <w:rFonts w:ascii="Times New Roman" w:hAnsi="Times New Roman"/>
                <w:sz w:val="24"/>
              </w:rPr>
              <w:t>7</w:t>
            </w:r>
            <w:r w:rsidR="0059042F">
              <w:rPr>
                <w:rStyle w:val="InstructionsTabelleberschrift"/>
                <w:rFonts w:ascii="Times New Roman" w:hAnsi="Times New Roman"/>
                <w:sz w:val="24"/>
              </w:rPr>
              <w:tab/>
            </w:r>
            <w:r>
              <w:rPr>
                <w:rStyle w:val="InstructionsTabelleberschrift"/>
                <w:rFonts w:ascii="Times New Roman" w:hAnsi="Times New Roman"/>
                <w:sz w:val="24"/>
              </w:rPr>
              <w:t>(–) Kvalificirani deleži zunaj finančnega sektorja, za kat</w:t>
            </w:r>
            <w:r>
              <w:rPr>
                <w:rStyle w:val="InstructionsTabelleberschrift"/>
                <w:rFonts w:ascii="Times New Roman" w:hAnsi="Times New Roman"/>
                <w:sz w:val="24"/>
              </w:rPr>
              <w:t>e</w:t>
            </w:r>
            <w:r>
              <w:rPr>
                <w:rStyle w:val="InstructionsTabelleberschrift"/>
                <w:rFonts w:ascii="Times New Roman" w:hAnsi="Times New Roman"/>
                <w:sz w:val="24"/>
              </w:rPr>
              <w:t>re se lahko uporabi utež tveganja 1250 %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4(1)(36), člen 36(1)(k)(i) ter členi 89 do 91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Kvalificirani deleži so opredeljeni kot „neposredni ali posredni delež v dru</w:t>
            </w:r>
            <w:r>
              <w:rPr>
                <w:rStyle w:val="FormatvorlageInstructionsTabelleText"/>
                <w:rFonts w:ascii="Times New Roman" w:hAnsi="Times New Roman"/>
                <w:sz w:val="24"/>
              </w:rPr>
              <w:t>ž</w:t>
            </w:r>
            <w:r>
              <w:rPr>
                <w:rStyle w:val="FormatvorlageInstructionsTabelleText"/>
                <w:rFonts w:ascii="Times New Roman" w:hAnsi="Times New Roman"/>
                <w:sz w:val="24"/>
              </w:rPr>
              <w:t>bi, ki predstavlja 10 % ali več kapitala ali glasovalnih pravic ali ki omogoča izvajanje pomembnega vpliva na upravljanje zadevne družbe“.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skladu s členom 36(1)(k)(i) CRR se lahko odbijejo od navadnega lastni</w:t>
            </w:r>
            <w:r>
              <w:rPr>
                <w:rStyle w:val="FormatvorlageInstructionsTabelleText"/>
                <w:rFonts w:ascii="Times New Roman" w:hAnsi="Times New Roman"/>
                <w:sz w:val="24"/>
              </w:rPr>
              <w:t>š</w:t>
            </w:r>
            <w:r>
              <w:rPr>
                <w:rStyle w:val="FormatvorlageInstructionsTabelleText"/>
                <w:rFonts w:ascii="Times New Roman" w:hAnsi="Times New Roman"/>
                <w:sz w:val="24"/>
              </w:rPr>
              <w:t>kega temeljnega kapitala (z uporabo te postavke) ali se zanje uporabi utež tveganja 1250 %.</w:t>
            </w:r>
          </w:p>
        </w:tc>
      </w:tr>
      <w:tr w:rsidR="00666996" w:rsidRPr="00392FFD" w:rsidTr="00672D2A">
        <w:tc>
          <w:tcPr>
            <w:tcW w:w="1129" w:type="dxa"/>
          </w:tcPr>
          <w:p w:rsidR="00666996" w:rsidRPr="00392FFD" w:rsidRDefault="00BA1C6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460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sidR="0059042F">
              <w:rPr>
                <w:rStyle w:val="InstructionsTabelleberschrift"/>
                <w:rFonts w:ascii="Times New Roman" w:hAnsi="Times New Roman"/>
                <w:sz w:val="24"/>
              </w:rPr>
              <w:t>8</w:t>
            </w:r>
            <w:r w:rsidR="0059042F">
              <w:rPr>
                <w:rStyle w:val="InstructionsTabelleberschrift"/>
                <w:rFonts w:ascii="Times New Roman" w:hAnsi="Times New Roman"/>
                <w:sz w:val="24"/>
              </w:rPr>
              <w:tab/>
            </w:r>
            <w:r>
              <w:rPr>
                <w:rStyle w:val="InstructionsTabelleberschrift"/>
                <w:rFonts w:ascii="Times New Roman" w:hAnsi="Times New Roman"/>
                <w:sz w:val="24"/>
              </w:rPr>
              <w:t>(–) Pozicije listinjenja, za katere se lahko uporabi utež tveganja 1250 %</w:t>
            </w:r>
          </w:p>
          <w:p w:rsidR="005643EA" w:rsidRPr="008343B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36(1)(k)(</w:t>
            </w:r>
            <w:proofErr w:type="spellStart"/>
            <w:r>
              <w:rPr>
                <w:rStyle w:val="FormatvorlageInstructionsTabelleText"/>
                <w:rFonts w:ascii="Times New Roman" w:hAnsi="Times New Roman"/>
                <w:sz w:val="24"/>
              </w:rPr>
              <w:t>ii</w:t>
            </w:r>
            <w:proofErr w:type="spellEnd"/>
            <w:r>
              <w:rPr>
                <w:rStyle w:val="FormatvorlageInstructionsTabelleText"/>
                <w:rFonts w:ascii="Times New Roman" w:hAnsi="Times New Roman"/>
                <w:sz w:val="24"/>
              </w:rPr>
              <w:t xml:space="preserve">), člena 243(1)(b) in 244(1)(b), člen 258 ter člen 266(3) CRR v različici, ki je veljala na dan 31. decembra 2018, ali člena 244(1)(b) in 245(1)(b) ter člena 253(1) in 268(4) CRR, kot je veljavna. </w:t>
            </w:r>
          </w:p>
          <w:p w:rsidR="005643EA" w:rsidRPr="00392FFD" w:rsidRDefault="00666996" w:rsidP="00B04D2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Pod to postavko se poročajo pozicije v listinjenju, za katere se uporabi utež tveganja 1250 %, vendar se lahko odbijejo od navadnega lastniškega temel</w:t>
            </w:r>
            <w:r>
              <w:rPr>
                <w:rStyle w:val="FormatvorlageInstructionsTabelleText"/>
                <w:rFonts w:ascii="Times New Roman" w:hAnsi="Times New Roman"/>
                <w:sz w:val="24"/>
              </w:rPr>
              <w:t>j</w:t>
            </w:r>
            <w:r>
              <w:rPr>
                <w:rStyle w:val="FormatvorlageInstructionsTabelleText"/>
                <w:rFonts w:ascii="Times New Roman" w:hAnsi="Times New Roman"/>
                <w:sz w:val="24"/>
              </w:rPr>
              <w:t>nega kapitala (člen 36(1)(k)(</w:t>
            </w:r>
            <w:proofErr w:type="spellStart"/>
            <w:r>
              <w:rPr>
                <w:rStyle w:val="FormatvorlageInstructionsTabelleText"/>
                <w:rFonts w:ascii="Times New Roman" w:hAnsi="Times New Roman"/>
                <w:sz w:val="24"/>
              </w:rPr>
              <w:t>ii</w:t>
            </w:r>
            <w:proofErr w:type="spellEnd"/>
            <w:r>
              <w:rPr>
                <w:rStyle w:val="FormatvorlageInstructionsTabelleText"/>
                <w:rFonts w:ascii="Times New Roman" w:hAnsi="Times New Roman"/>
                <w:sz w:val="24"/>
              </w:rPr>
              <w:t>)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sidR="0059042F">
              <w:rPr>
                <w:rStyle w:val="InstructionsTabelleberschrift"/>
                <w:rFonts w:ascii="Times New Roman" w:hAnsi="Times New Roman"/>
                <w:sz w:val="24"/>
              </w:rPr>
              <w:t>9</w:t>
            </w:r>
            <w:r w:rsidR="0059042F">
              <w:rPr>
                <w:rStyle w:val="InstructionsTabelleberschrift"/>
                <w:rFonts w:ascii="Times New Roman" w:hAnsi="Times New Roman"/>
                <w:sz w:val="24"/>
              </w:rPr>
              <w:tab/>
            </w:r>
            <w:r>
              <w:rPr>
                <w:rStyle w:val="InstructionsTabelleberschrift"/>
                <w:rFonts w:ascii="Times New Roman" w:hAnsi="Times New Roman"/>
                <w:sz w:val="24"/>
              </w:rPr>
              <w:t>(–) Proste izročitve, za katere se lahko uporabi utež tveg</w:t>
            </w:r>
            <w:r>
              <w:rPr>
                <w:rStyle w:val="InstructionsTabelleberschrift"/>
                <w:rFonts w:ascii="Times New Roman" w:hAnsi="Times New Roman"/>
                <w:sz w:val="24"/>
              </w:rPr>
              <w:t>a</w:t>
            </w:r>
            <w:r>
              <w:rPr>
                <w:rStyle w:val="InstructionsTabelleberschrift"/>
                <w:rFonts w:ascii="Times New Roman" w:hAnsi="Times New Roman"/>
                <w:sz w:val="24"/>
              </w:rPr>
              <w:t>nja 1250 %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36(1)(k)(</w:t>
            </w:r>
            <w:proofErr w:type="spellStart"/>
            <w:r>
              <w:rPr>
                <w:rStyle w:val="FormatvorlageInstructionsTabelleText"/>
                <w:rFonts w:ascii="Times New Roman" w:hAnsi="Times New Roman"/>
                <w:sz w:val="24"/>
              </w:rPr>
              <w:t>iii</w:t>
            </w:r>
            <w:proofErr w:type="spellEnd"/>
            <w:r>
              <w:rPr>
                <w:rStyle w:val="FormatvorlageInstructionsTabelleText"/>
                <w:rFonts w:ascii="Times New Roman" w:hAnsi="Times New Roman"/>
                <w:sz w:val="24"/>
              </w:rPr>
              <w:t>) in člen 379(3)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 proste izročitve se uporabi utež tveganja 1250 % 5 dni po drugem pog</w:t>
            </w:r>
            <w:r>
              <w:rPr>
                <w:rStyle w:val="FormatvorlageInstructionsTabelleText"/>
                <w:rFonts w:ascii="Times New Roman" w:hAnsi="Times New Roman"/>
                <w:sz w:val="24"/>
              </w:rPr>
              <w:t>o</w:t>
            </w:r>
            <w:r>
              <w:rPr>
                <w:rStyle w:val="FormatvorlageInstructionsTabelleText"/>
                <w:rFonts w:ascii="Times New Roman" w:hAnsi="Times New Roman"/>
                <w:sz w:val="24"/>
              </w:rPr>
              <w:t>dbenem plačilu ali fazi izročitve do zaključka posla v skladu s kapitalskimi zahtevami za tveganje poravnave. Odbijejo se lahko od navadnega lastni</w:t>
            </w:r>
            <w:r>
              <w:rPr>
                <w:rStyle w:val="FormatvorlageInstructionsTabelleText"/>
                <w:rFonts w:ascii="Times New Roman" w:hAnsi="Times New Roman"/>
                <w:sz w:val="24"/>
              </w:rPr>
              <w:t>š</w:t>
            </w:r>
            <w:r>
              <w:rPr>
                <w:rStyle w:val="FormatvorlageInstructionsTabelleText"/>
                <w:rFonts w:ascii="Times New Roman" w:hAnsi="Times New Roman"/>
                <w:sz w:val="24"/>
              </w:rPr>
              <w:t>kega temeljnega kapitala (člen 36(1)(k)(</w:t>
            </w:r>
            <w:proofErr w:type="spellStart"/>
            <w:r>
              <w:rPr>
                <w:rStyle w:val="FormatvorlageInstructionsTabelleText"/>
                <w:rFonts w:ascii="Times New Roman" w:hAnsi="Times New Roman"/>
                <w:sz w:val="24"/>
              </w:rPr>
              <w:t>iii</w:t>
            </w:r>
            <w:proofErr w:type="spellEnd"/>
            <w:r>
              <w:rPr>
                <w:rStyle w:val="FormatvorlageInstructionsTabelleText"/>
                <w:rFonts w:ascii="Times New Roman" w:hAnsi="Times New Roman"/>
                <w:sz w:val="24"/>
              </w:rPr>
              <w:t>) CRR). V zadnjem primeru se poročajo v tej postavki.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471</w:t>
            </w:r>
          </w:p>
        </w:tc>
        <w:tc>
          <w:tcPr>
            <w:tcW w:w="7620" w:type="dxa"/>
          </w:tcPr>
          <w:p w:rsidR="005643EA" w:rsidRPr="007E39E6"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rsidR="00091DE1" w:rsidRPr="0047639A">
              <w:rPr>
                <w:u w:val="single"/>
              </w:rPr>
              <w:tab/>
            </w:r>
            <w:r w:rsidR="00091DE1">
              <w:rPr>
                <w:rStyle w:val="InstructionsTabelleberschrift"/>
                <w:rFonts w:ascii="Times New Roman" w:hAnsi="Times New Roman"/>
                <w:sz w:val="24"/>
              </w:rPr>
              <w:t xml:space="preserve"> </w:t>
            </w:r>
            <w:r>
              <w:rPr>
                <w:rStyle w:val="InstructionsTabelleberschrift"/>
                <w:rFonts w:ascii="Times New Roman" w:hAnsi="Times New Roman"/>
                <w:sz w:val="24"/>
              </w:rPr>
              <w:t>(–) Pozicije v košarici, za katere institucija ne more dol</w:t>
            </w:r>
            <w:r>
              <w:rPr>
                <w:rStyle w:val="InstructionsTabelleberschrift"/>
                <w:rFonts w:ascii="Times New Roman" w:hAnsi="Times New Roman"/>
                <w:sz w:val="24"/>
              </w:rPr>
              <w:t>o</w:t>
            </w:r>
            <w:r>
              <w:rPr>
                <w:rStyle w:val="InstructionsTabelleberschrift"/>
                <w:rFonts w:ascii="Times New Roman" w:hAnsi="Times New Roman"/>
                <w:sz w:val="24"/>
              </w:rPr>
              <w:t>čiti uteži tveganja v skladu s pristopom IRB in za katere se lahko up</w:t>
            </w:r>
            <w:r>
              <w:rPr>
                <w:rStyle w:val="InstructionsTabelleberschrift"/>
                <w:rFonts w:ascii="Times New Roman" w:hAnsi="Times New Roman"/>
                <w:sz w:val="24"/>
              </w:rPr>
              <w:t>o</w:t>
            </w:r>
            <w:r>
              <w:rPr>
                <w:rStyle w:val="InstructionsTabelleberschrift"/>
                <w:rFonts w:ascii="Times New Roman" w:hAnsi="Times New Roman"/>
                <w:sz w:val="24"/>
              </w:rPr>
              <w:t>rabi utež tveganja 1250 %</w:t>
            </w:r>
          </w:p>
          <w:p w:rsidR="005643EA" w:rsidRPr="00392FFD" w:rsidRDefault="0066699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36(1)(k)(iv) in člen 153(8) CRR.</w:t>
            </w:r>
          </w:p>
          <w:p w:rsidR="005643EA" w:rsidRPr="00392FFD" w:rsidRDefault="00666996"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V skladu s členom 36(1)(k)(iv) CRR se lahko odbijejo od navadnega lastn</w:t>
            </w:r>
            <w:r>
              <w:rPr>
                <w:rStyle w:val="FormatvorlageInstructionsTabelleText"/>
                <w:rFonts w:ascii="Times New Roman" w:hAnsi="Times New Roman"/>
                <w:sz w:val="24"/>
              </w:rPr>
              <w:t>i</w:t>
            </w:r>
            <w:r>
              <w:rPr>
                <w:rStyle w:val="FormatvorlageInstructionsTabelleText"/>
                <w:rFonts w:ascii="Times New Roman" w:hAnsi="Times New Roman"/>
                <w:sz w:val="24"/>
              </w:rPr>
              <w:lastRenderedPageBreak/>
              <w:t>škega temeljnega kapitala (z uporabo te postavke) ali se zanje uporabi utež tveganja 1250 %.</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472</w:t>
            </w:r>
          </w:p>
        </w:tc>
        <w:tc>
          <w:tcPr>
            <w:tcW w:w="7620" w:type="dxa"/>
          </w:tcPr>
          <w:p w:rsidR="005643EA" w:rsidRPr="007E39E6"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rsidR="00091DE1" w:rsidRPr="0047639A">
              <w:rPr>
                <w:u w:val="single"/>
              </w:rPr>
              <w:tab/>
            </w:r>
            <w:r w:rsidR="00091DE1">
              <w:rPr>
                <w:rStyle w:val="InstructionsTabelleberschrift"/>
                <w:rFonts w:ascii="Times New Roman" w:hAnsi="Times New Roman"/>
                <w:sz w:val="24"/>
              </w:rPr>
              <w:t xml:space="preserve"> </w:t>
            </w:r>
            <w:r>
              <w:rPr>
                <w:rStyle w:val="InstructionsTabelleberschrift"/>
                <w:rFonts w:ascii="Times New Roman" w:hAnsi="Times New Roman"/>
                <w:sz w:val="24"/>
              </w:rPr>
              <w:t>(–) Izpostavljenosti iz naslova lastniških instrumentov v skladu s pristopom notranjih modelov, za katere se lahko uporabi utež tveganja 1250 %</w:t>
            </w:r>
          </w:p>
          <w:p w:rsidR="005643EA" w:rsidRPr="00392FFD" w:rsidRDefault="0066699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36(1)(k)(v) in člen 155(4) CRR.</w:t>
            </w:r>
          </w:p>
          <w:p w:rsidR="005643EA" w:rsidRPr="00392FFD" w:rsidRDefault="00666996"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V skladu s členom 36(1)(k)(v) CRR se lahko odbijejo od navadnega lastni</w:t>
            </w:r>
            <w:r>
              <w:rPr>
                <w:rStyle w:val="FormatvorlageInstructionsTabelleText"/>
                <w:rFonts w:ascii="Times New Roman" w:hAnsi="Times New Roman"/>
                <w:sz w:val="24"/>
              </w:rPr>
              <w:t>š</w:t>
            </w:r>
            <w:r>
              <w:rPr>
                <w:rStyle w:val="FormatvorlageInstructionsTabelleText"/>
                <w:rFonts w:ascii="Times New Roman" w:hAnsi="Times New Roman"/>
                <w:sz w:val="24"/>
              </w:rPr>
              <w:t>kega temeljnega kapitala (z uporabo te postavke) ali se zanje uporabi utež tveganja 1250 %.</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480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sidR="00091DE1" w:rsidRPr="0047639A">
              <w:rPr>
                <w:u w:val="single"/>
              </w:rPr>
              <w:tab/>
            </w:r>
            <w:r w:rsidR="00091DE1">
              <w:rPr>
                <w:rStyle w:val="InstructionsTabelleberschrift"/>
                <w:rFonts w:ascii="Times New Roman" w:hAnsi="Times New Roman"/>
                <w:sz w:val="24"/>
              </w:rPr>
              <w:t xml:space="preserve"> </w:t>
            </w:r>
            <w:r>
              <w:rPr>
                <w:rStyle w:val="InstructionsTabelleberschrift"/>
                <w:rFonts w:ascii="Times New Roman" w:hAnsi="Times New Roman"/>
                <w:sz w:val="24"/>
              </w:rPr>
              <w:t>(–) Instrumenti navadnega lastniškega temeljnega kapit</w:t>
            </w:r>
            <w:r>
              <w:rPr>
                <w:rStyle w:val="InstructionsTabelleberschrift"/>
                <w:rFonts w:ascii="Times New Roman" w:hAnsi="Times New Roman"/>
                <w:sz w:val="24"/>
              </w:rPr>
              <w:t>a</w:t>
            </w:r>
            <w:r>
              <w:rPr>
                <w:rStyle w:val="InstructionsTabelleberschrift"/>
                <w:rFonts w:ascii="Times New Roman" w:hAnsi="Times New Roman"/>
                <w:sz w:val="24"/>
              </w:rPr>
              <w:t>la subjektov finančnega sektorja, v katerih institucija nima pomembne naložbe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4(1)(27), člen 36(1)(h), členi 43 do 46, člen 49(2) in (3) ter člen 79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 deležev institucije v instrumentih subjektov finančnega sektorja (kot so opredeljeni v členu 4(1)(27) CRR), v katerih institucija nima pomembne naložbe, ki ga je treba odbiti od navadnega lastniškega temeljnega kapitala.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druge možnosti odbitka v primeru uporabe konsolidacije (člen 49(2) in (3)).</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490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rsidR="00091DE1">
              <w:rPr>
                <w:rStyle w:val="InstructionsTabelleberschrift"/>
                <w:rFonts w:ascii="Times New Roman" w:hAnsi="Times New Roman"/>
                <w:sz w:val="24"/>
              </w:rPr>
              <w:t>3</w:t>
            </w:r>
            <w:r w:rsidR="00091DE1">
              <w:rPr>
                <w:rStyle w:val="InstructionsTabelleberschrift"/>
                <w:rFonts w:ascii="Times New Roman" w:hAnsi="Times New Roman"/>
                <w:sz w:val="24"/>
              </w:rPr>
              <w:tab/>
            </w:r>
            <w:r>
              <w:rPr>
                <w:rStyle w:val="InstructionsTabelleberschrift"/>
                <w:rFonts w:ascii="Times New Roman" w:hAnsi="Times New Roman"/>
                <w:sz w:val="24"/>
              </w:rPr>
              <w:t>(–) Odbitne odložene terjatve za davek, ki se nanašajo na prihodnji dobiček in izhajajo iz začasnih razlik</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36(1)(c), člen 38 in člen 48(1)(a)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 odloženih terjatev za davek, ki se nanašajo na prihodnji dobiček in izh</w:t>
            </w:r>
            <w:r>
              <w:rPr>
                <w:rStyle w:val="FormatvorlageInstructionsTabelleText"/>
                <w:rFonts w:ascii="Times New Roman" w:hAnsi="Times New Roman"/>
                <w:sz w:val="24"/>
              </w:rPr>
              <w:t>a</w:t>
            </w:r>
            <w:r>
              <w:rPr>
                <w:rStyle w:val="FormatvorlageInstructionsTabelleText"/>
                <w:rFonts w:ascii="Times New Roman" w:hAnsi="Times New Roman"/>
                <w:sz w:val="24"/>
              </w:rPr>
              <w:t>jajo iz začasnih razlik (zmanjšanih za del povezanih odloženih obveznosti za davek, razporejenih k odloženim terjatvam za davek, ki izhajajo iz začasnih razlik, v skladu s členom 38(5)(b) CRR), ki ga je treba odbiti, pri čemer se uporabi prag 10 % iz člena 48(1)(a)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500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rsidR="0059042F">
              <w:rPr>
                <w:rStyle w:val="InstructionsTabelleberschrift"/>
                <w:rFonts w:ascii="Times New Roman" w:hAnsi="Times New Roman"/>
                <w:sz w:val="24"/>
              </w:rPr>
              <w:t>4</w:t>
            </w:r>
            <w:r w:rsidR="0059042F">
              <w:rPr>
                <w:rStyle w:val="InstructionsTabelleberschrift"/>
                <w:rFonts w:ascii="Times New Roman" w:hAnsi="Times New Roman"/>
                <w:sz w:val="24"/>
              </w:rPr>
              <w:tab/>
            </w:r>
            <w:r>
              <w:rPr>
                <w:rStyle w:val="InstructionsTabelleberschrift"/>
                <w:rFonts w:ascii="Times New Roman" w:hAnsi="Times New Roman"/>
                <w:sz w:val="24"/>
              </w:rPr>
              <w:t>(–) Instrumenti navadnega lastniškega temeljnega kapit</w:t>
            </w:r>
            <w:r>
              <w:rPr>
                <w:rStyle w:val="InstructionsTabelleberschrift"/>
                <w:rFonts w:ascii="Times New Roman" w:hAnsi="Times New Roman"/>
                <w:sz w:val="24"/>
              </w:rPr>
              <w:t>a</w:t>
            </w:r>
            <w:r>
              <w:rPr>
                <w:rStyle w:val="InstructionsTabelleberschrift"/>
                <w:rFonts w:ascii="Times New Roman" w:hAnsi="Times New Roman"/>
                <w:sz w:val="24"/>
              </w:rPr>
              <w:t>la subjektov finančnega sektorja, v katerih ima institucija pomembno naložbo</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4(1)(27), člen 36(1)(i), členi 43, 45 in 47, člen 48(1)(b), člen 49(1) do (3) in člen 79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 deležev institucije v instrumentih navadnega lastniškega temeljnega kapitala subjektov finančnega sektorja (kot so opredeljeni v členu 4(1)(27) CRR), v katerih ima institucija pomembno naložbo, ki ga je treba odbiti, pri čemer se uporabi prag 10 % iz člena 48(1)(b)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druge možnosti odbitka v primeru uporabe konsolidacije (člen 49(1), (2) in (3)).</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510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rsidR="0059042F">
              <w:rPr>
                <w:rStyle w:val="InstructionsTabelleberschrift"/>
                <w:rFonts w:ascii="Times New Roman" w:hAnsi="Times New Roman"/>
                <w:sz w:val="24"/>
              </w:rPr>
              <w:t>5</w:t>
            </w:r>
            <w:r w:rsidR="0059042F">
              <w:rPr>
                <w:rStyle w:val="InstructionsTabelleberschrift"/>
                <w:rFonts w:ascii="Times New Roman" w:hAnsi="Times New Roman"/>
                <w:sz w:val="24"/>
              </w:rPr>
              <w:tab/>
            </w:r>
            <w:r>
              <w:rPr>
                <w:rStyle w:val="InstructionsTabelleberschrift"/>
                <w:rFonts w:ascii="Times New Roman" w:hAnsi="Times New Roman"/>
                <w:sz w:val="24"/>
              </w:rPr>
              <w:t>(–) Znesek, ki presega prag 17,65 %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48(1)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 odloženih terjatev za davek, ki se nanašajo na prihodnji dobiček in izh</w:t>
            </w:r>
            <w:r>
              <w:rPr>
                <w:rStyle w:val="FormatvorlageInstructionsTabelleText"/>
                <w:rFonts w:ascii="Times New Roman" w:hAnsi="Times New Roman"/>
                <w:sz w:val="24"/>
              </w:rPr>
              <w:t>a</w:t>
            </w:r>
            <w:r>
              <w:rPr>
                <w:rStyle w:val="FormatvorlageInstructionsTabelleText"/>
                <w:rFonts w:ascii="Times New Roman" w:hAnsi="Times New Roman"/>
                <w:sz w:val="24"/>
              </w:rPr>
              <w:t xml:space="preserve">jajo iz začasnih razlik, ter neposrednih in posrednih deležev institucije v </w:t>
            </w:r>
            <w:r>
              <w:rPr>
                <w:rStyle w:val="FormatvorlageInstructionsTabelleText"/>
                <w:rFonts w:ascii="Times New Roman" w:hAnsi="Times New Roman"/>
                <w:sz w:val="24"/>
              </w:rPr>
              <w:lastRenderedPageBreak/>
              <w:t>instrumentih navadnega lastniškega temeljnega kapitala subjektov finančn</w:t>
            </w:r>
            <w:r>
              <w:rPr>
                <w:rStyle w:val="FormatvorlageInstructionsTabelleText"/>
                <w:rFonts w:ascii="Times New Roman" w:hAnsi="Times New Roman"/>
                <w:sz w:val="24"/>
              </w:rPr>
              <w:t>e</w:t>
            </w:r>
            <w:r>
              <w:rPr>
                <w:rStyle w:val="FormatvorlageInstructionsTabelleText"/>
                <w:rFonts w:ascii="Times New Roman" w:hAnsi="Times New Roman"/>
                <w:sz w:val="24"/>
              </w:rPr>
              <w:t>ga sektorja (kot so opredeljeni v členu 4(1)(27) CRR), v katerih ima instit</w:t>
            </w:r>
            <w:r>
              <w:rPr>
                <w:rStyle w:val="FormatvorlageInstructionsTabelleText"/>
                <w:rFonts w:ascii="Times New Roman" w:hAnsi="Times New Roman"/>
                <w:sz w:val="24"/>
              </w:rPr>
              <w:t>u</w:t>
            </w:r>
            <w:r>
              <w:rPr>
                <w:rStyle w:val="FormatvorlageInstructionsTabelleText"/>
                <w:rFonts w:ascii="Times New Roman" w:hAnsi="Times New Roman"/>
                <w:sz w:val="24"/>
              </w:rPr>
              <w:t>cija pomembno naložbo, ki ga je treba odbiti, pri čemer se uporabi prag 17,65 % iz člena 48(1)(b)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520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rsidR="0059042F">
              <w:rPr>
                <w:rStyle w:val="InstructionsTabelleberschrift"/>
                <w:rFonts w:ascii="Times New Roman" w:hAnsi="Times New Roman"/>
                <w:sz w:val="24"/>
              </w:rPr>
              <w:t>6</w:t>
            </w:r>
            <w:r w:rsidR="0059042F">
              <w:rPr>
                <w:rStyle w:val="InstructionsTabelleberschrift"/>
                <w:rFonts w:ascii="Times New Roman" w:hAnsi="Times New Roman"/>
                <w:sz w:val="24"/>
              </w:rPr>
              <w:tab/>
            </w:r>
            <w:r>
              <w:rPr>
                <w:rStyle w:val="InstructionsTabelleberschrift"/>
                <w:rFonts w:ascii="Times New Roman" w:hAnsi="Times New Roman"/>
                <w:sz w:val="24"/>
              </w:rPr>
              <w:t>Druge prehodne prilagoditve navadnega lastniškega tem</w:t>
            </w:r>
            <w:r>
              <w:rPr>
                <w:rStyle w:val="InstructionsTabelleberschrift"/>
                <w:rFonts w:ascii="Times New Roman" w:hAnsi="Times New Roman"/>
                <w:sz w:val="24"/>
              </w:rPr>
              <w:t>e</w:t>
            </w:r>
            <w:r>
              <w:rPr>
                <w:rStyle w:val="InstructionsTabelleberschrift"/>
                <w:rFonts w:ascii="Times New Roman" w:hAnsi="Times New Roman"/>
                <w:sz w:val="24"/>
              </w:rPr>
              <w:t>ljnega kapitala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Členi 469 do 472, 478 in 481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Prilagoditve odbitkov zaradi prehodnih določb. Znesek, ki se poroča, se pr</w:t>
            </w:r>
            <w:r>
              <w:rPr>
                <w:rStyle w:val="FormatvorlageInstructionsTabelleText"/>
                <w:rFonts w:ascii="Times New Roman" w:hAnsi="Times New Roman"/>
                <w:sz w:val="24"/>
              </w:rPr>
              <w:t>i</w:t>
            </w:r>
            <w:r>
              <w:rPr>
                <w:rStyle w:val="FormatvorlageInstructionsTabelleText"/>
                <w:rFonts w:ascii="Times New Roman" w:hAnsi="Times New Roman"/>
                <w:sz w:val="24"/>
              </w:rPr>
              <w:t>dobi neposredno iz predloge CA5.</w:t>
            </w:r>
          </w:p>
        </w:tc>
      </w:tr>
      <w:tr w:rsidR="00A232F8" w:rsidRPr="00392FFD" w:rsidTr="00672D2A">
        <w:tc>
          <w:tcPr>
            <w:tcW w:w="1129" w:type="dxa"/>
          </w:tcPr>
          <w:p w:rsidR="005643EA" w:rsidRPr="00392FFD" w:rsidRDefault="007E39E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524</w:t>
            </w:r>
          </w:p>
        </w:tc>
        <w:tc>
          <w:tcPr>
            <w:tcW w:w="7620" w:type="dxa"/>
          </w:tcPr>
          <w:p w:rsidR="005643EA" w:rsidRPr="00392FFD"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w:t>
            </w:r>
            <w:r w:rsidR="0059042F">
              <w:rPr>
                <w:rStyle w:val="InstructionsTabelleberschrift"/>
                <w:rFonts w:ascii="Times New Roman" w:hAnsi="Times New Roman"/>
                <w:sz w:val="24"/>
              </w:rPr>
              <w:t>7</w:t>
            </w:r>
            <w:r w:rsidR="0059042F">
              <w:rPr>
                <w:rStyle w:val="InstructionsTabelleberschrift"/>
                <w:rFonts w:ascii="Times New Roman" w:hAnsi="Times New Roman"/>
                <w:sz w:val="24"/>
              </w:rPr>
              <w:tab/>
            </w:r>
            <w:r>
              <w:rPr>
                <w:rStyle w:val="InstructionsTabelleberschrift"/>
                <w:rFonts w:ascii="Times New Roman" w:hAnsi="Times New Roman"/>
                <w:sz w:val="24"/>
              </w:rPr>
              <w:t>(–) Dodatni odbitki navadnega lastniškega temeljnega kapitala v skladu s členom 3 CRR</w:t>
            </w:r>
          </w:p>
          <w:p w:rsidR="005643EA" w:rsidRPr="00392FFD" w:rsidRDefault="00A232F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3 CRR.</w:t>
            </w:r>
          </w:p>
        </w:tc>
      </w:tr>
      <w:tr w:rsidR="00666996" w:rsidRPr="00392FFD" w:rsidTr="00672D2A">
        <w:tc>
          <w:tcPr>
            <w:tcW w:w="1129" w:type="dxa"/>
          </w:tcPr>
          <w:p w:rsidR="005643EA" w:rsidRPr="00392FFD" w:rsidRDefault="00A232F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529</w:t>
            </w:r>
          </w:p>
        </w:tc>
        <w:tc>
          <w:tcPr>
            <w:tcW w:w="7620" w:type="dxa"/>
          </w:tcPr>
          <w:p w:rsidR="005643EA" w:rsidRPr="00392FFD"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w:t>
            </w:r>
            <w:r w:rsidR="00EE0671" w:rsidRPr="00EE0671">
              <w:rPr>
                <w:rStyle w:val="InstructionsTabelleberschrift"/>
                <w:rFonts w:ascii="Times New Roman" w:hAnsi="Times New Roman"/>
                <w:sz w:val="24"/>
              </w:rPr>
              <w:t>8</w:t>
            </w:r>
            <w:r w:rsidR="00EE0671" w:rsidRPr="00EE0671">
              <w:rPr>
                <w:rStyle w:val="InstructionsTabelleberschrift"/>
                <w:rFonts w:ascii="Times New Roman" w:hAnsi="Times New Roman"/>
                <w:sz w:val="24"/>
              </w:rPr>
              <w:tab/>
            </w:r>
            <w:r>
              <w:rPr>
                <w:rStyle w:val="InstructionsTabelleberschrift"/>
                <w:rFonts w:ascii="Times New Roman" w:hAnsi="Times New Roman"/>
                <w:sz w:val="24"/>
              </w:rPr>
              <w:t>Elementi ali odbitki navadnega lastniškega temeljnega kapitala – drugo</w:t>
            </w:r>
          </w:p>
          <w:p w:rsidR="005643EA" w:rsidRPr="00392FFD" w:rsidRDefault="0066699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Ta vrstica je namenjena zagotavljanju prožnosti izključno za namene por</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čanja. Izpolni se le v redkih primerih, kadar ni sprejeta končna odločitev o poročanju posebnih kapitalskih postavk/odbitkov v sedanji predlogi CA1. Zato se ta vrstica izpolni le, če element navadnega lastniškega temeljnega kapitala glede na odbitek elementa navadnega lastniškega temeljnega kapit</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xml:space="preserve">la ne more biti razvrščen v eno od vrstic 020 do 524. </w:t>
            </w:r>
          </w:p>
          <w:p w:rsidR="005643EA" w:rsidRPr="007E39E6" w:rsidRDefault="00666996" w:rsidP="00255BA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Ta celica se ne uporabi za uvrstitev kapitalskih postavk/odbitkov, ki v skladu s CRR niso zajeti v izračun količnikov kapitalske ustreznosti (npr. razvrst</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tev nacionalnih kapitalskih postavk/odbitkov, ki niso zajeti v področje up</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rabe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530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sidRPr="00091DE1">
              <w:rPr>
                <w:u w:val="single"/>
              </w:rPr>
              <w:tab/>
            </w:r>
            <w:r>
              <w:rPr>
                <w:rStyle w:val="InstructionsTabelleberschrift"/>
                <w:rFonts w:ascii="Times New Roman" w:hAnsi="Times New Roman"/>
                <w:sz w:val="24"/>
              </w:rPr>
              <w:t>DODATNI TEMELJNI KAPITAL</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61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540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sidR="00EE0671" w:rsidRPr="00EE0671">
              <w:rPr>
                <w:rStyle w:val="InstructionsTabelleberschrift"/>
                <w:rFonts w:ascii="Times New Roman" w:hAnsi="Times New Roman"/>
                <w:sz w:val="24"/>
              </w:rPr>
              <w:t>1</w:t>
            </w:r>
            <w:r w:rsidR="00EE0671" w:rsidRPr="00EE0671">
              <w:rPr>
                <w:rStyle w:val="InstructionsTabelleberschrift"/>
                <w:rFonts w:ascii="Times New Roman" w:hAnsi="Times New Roman"/>
                <w:sz w:val="24"/>
              </w:rPr>
              <w:tab/>
            </w:r>
            <w:r>
              <w:rPr>
                <w:rStyle w:val="InstructionsTabelleberschrift"/>
                <w:rFonts w:ascii="Times New Roman" w:hAnsi="Times New Roman"/>
                <w:sz w:val="24"/>
              </w:rPr>
              <w:t>Kapitalski instrumenti, sprejemljivi kot dodatni temeljni kapital</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51(a), členi 52 do 54, člen 56(a) in člen 57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rsidRPr="00091DE1">
              <w:rPr>
                <w:u w:val="single"/>
              </w:rPr>
              <w:tab/>
            </w:r>
            <w:r>
              <w:rPr>
                <w:rStyle w:val="InstructionsTabelleberschrift"/>
                <w:rFonts w:ascii="Times New Roman" w:hAnsi="Times New Roman"/>
                <w:sz w:val="24"/>
              </w:rPr>
              <w:t>Vplačani kapitalski instrumenti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51(a) in členi 52 do 54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ne vključuje vplačanega presežka kapitala, povezanega z instrumenti.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560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rsidRPr="00091DE1">
              <w:rPr>
                <w:u w:val="single"/>
              </w:rPr>
              <w:tab/>
            </w:r>
            <w:r>
              <w:rPr>
                <w:rStyle w:val="InstructionsTabelleberschrift"/>
                <w:rFonts w:ascii="Times New Roman" w:hAnsi="Times New Roman"/>
                <w:sz w:val="24"/>
              </w:rPr>
              <w:t>Pojasnjevalna postavka: Kapitalski instrumenti, ki niso sprejemljivi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52(1)(c), (e) in (f)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Pogoji iz teh točk odražajo različne položaje/razmere/situacije pri kapitalu, ki se lahko spremenijo, zaradi česar je lahko znesek, poročan v tem polju, sprejemljiv v naslednjih obdobjih.</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ne vključuje vplačanega presežka kapitala, povezanega z instrumenti.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570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rsidRPr="00091DE1">
              <w:rPr>
                <w:u w:val="single"/>
              </w:rPr>
              <w:tab/>
            </w:r>
            <w:r>
              <w:rPr>
                <w:rStyle w:val="InstructionsTabelleberschrift"/>
                <w:rFonts w:ascii="Times New Roman" w:hAnsi="Times New Roman"/>
                <w:sz w:val="24"/>
              </w:rPr>
              <w:t>Vplačani presežek kapitala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Člen 51(b)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Vplačani presežek kapitala ima enak pomen kot v skladu z veljavnim rač</w:t>
            </w:r>
            <w:r>
              <w:rPr>
                <w:rStyle w:val="FormatvorlageInstructionsTabelleText"/>
                <w:rFonts w:ascii="Times New Roman" w:hAnsi="Times New Roman"/>
                <w:sz w:val="24"/>
              </w:rPr>
              <w:t>u</w:t>
            </w:r>
            <w:r>
              <w:rPr>
                <w:rStyle w:val="FormatvorlageInstructionsTabelleText"/>
                <w:rFonts w:ascii="Times New Roman" w:hAnsi="Times New Roman"/>
                <w:sz w:val="24"/>
              </w:rPr>
              <w:t xml:space="preserve">novodskim standardom.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v okviru te postavke, je del, povezan z „vplačanimi kapitalskimi instrumenti“.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580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rsidRPr="00091DE1">
              <w:rPr>
                <w:u w:val="single"/>
              </w:rPr>
              <w:tab/>
            </w:r>
            <w:r>
              <w:rPr>
                <w:rStyle w:val="InstructionsTabelleberschrift"/>
                <w:rFonts w:ascii="Times New Roman" w:hAnsi="Times New Roman"/>
                <w:sz w:val="24"/>
              </w:rPr>
              <w:t>(–) Lastni instrumenti dodatnega temeljnega kapitala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52(1)(b), člen 56(a) in člen 57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Lastni instrumenti dodatnega temeljnega kapitala, ki ga ima poročevalska institucija ali skupina na datum poročanja. Veljajo izjeme iz člena 57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Delež v delnicah, vključen v „kapitalske instrumente, ki niso sprejemljivi“, se ne poroča v tej vrstici.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vključuje presežek kapitala, povezan z lastnimi deln</w:t>
            </w:r>
            <w:r>
              <w:rPr>
                <w:rStyle w:val="FormatvorlageInstructionsTabelleText"/>
                <w:rFonts w:ascii="Times New Roman" w:hAnsi="Times New Roman"/>
                <w:sz w:val="24"/>
              </w:rPr>
              <w:t>i</w:t>
            </w:r>
            <w:r>
              <w:rPr>
                <w:rStyle w:val="FormatvorlageInstructionsTabelleText"/>
                <w:rFonts w:ascii="Times New Roman" w:hAnsi="Times New Roman"/>
                <w:sz w:val="24"/>
              </w:rPr>
              <w:t>cami.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Postavke 1.1.2.1.4 do 1.1.2.1.4.3 ne vključujejo dejanskih ali pogojnih obv</w:t>
            </w:r>
            <w:r>
              <w:rPr>
                <w:rStyle w:val="FormatvorlageInstructionsTabelleText"/>
                <w:rFonts w:ascii="Times New Roman" w:hAnsi="Times New Roman"/>
                <w:sz w:val="24"/>
              </w:rPr>
              <w:t>e</w:t>
            </w:r>
            <w:r>
              <w:rPr>
                <w:rStyle w:val="FormatvorlageInstructionsTabelleText"/>
                <w:rFonts w:ascii="Times New Roman" w:hAnsi="Times New Roman"/>
                <w:sz w:val="24"/>
              </w:rPr>
              <w:t>znosti nakupa lastnih instrumentov navadnega lastniškega temeljnega kap</w:t>
            </w:r>
            <w:r>
              <w:rPr>
                <w:rStyle w:val="FormatvorlageInstructionsTabelleText"/>
                <w:rFonts w:ascii="Times New Roman" w:hAnsi="Times New Roman"/>
                <w:sz w:val="24"/>
              </w:rPr>
              <w:t>i</w:t>
            </w:r>
            <w:r>
              <w:rPr>
                <w:rStyle w:val="FormatvorlageInstructionsTabelleText"/>
                <w:rFonts w:ascii="Times New Roman" w:hAnsi="Times New Roman"/>
                <w:sz w:val="24"/>
              </w:rPr>
              <w:t>tala. Dejanske ali pogojne obveznosti nakupa lastnih instrumentov dodatn</w:t>
            </w:r>
            <w:r>
              <w:rPr>
                <w:rStyle w:val="FormatvorlageInstructionsTabelleText"/>
                <w:rFonts w:ascii="Times New Roman" w:hAnsi="Times New Roman"/>
                <w:sz w:val="24"/>
              </w:rPr>
              <w:t>e</w:t>
            </w:r>
            <w:r>
              <w:rPr>
                <w:rStyle w:val="FormatvorlageInstructionsTabelleText"/>
                <w:rFonts w:ascii="Times New Roman" w:hAnsi="Times New Roman"/>
                <w:sz w:val="24"/>
              </w:rPr>
              <w:t>ga temeljnega kapitala se poročajo ločeno v postavki 1.1.2.1.5.</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590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rsidRPr="00091DE1">
              <w:rPr>
                <w:u w:val="single"/>
              </w:rPr>
              <w:tab/>
            </w:r>
            <w:r>
              <w:rPr>
                <w:rStyle w:val="InstructionsTabelleberschrift"/>
                <w:rFonts w:ascii="Times New Roman" w:hAnsi="Times New Roman"/>
                <w:sz w:val="24"/>
              </w:rPr>
              <w:t>(–) Neposredni deleži v instrumentih dodatnega temeljn</w:t>
            </w:r>
            <w:r>
              <w:rPr>
                <w:rStyle w:val="InstructionsTabelleberschrift"/>
                <w:rFonts w:ascii="Times New Roman" w:hAnsi="Times New Roman"/>
                <w:sz w:val="24"/>
              </w:rPr>
              <w:t>e</w:t>
            </w:r>
            <w:r>
              <w:rPr>
                <w:rStyle w:val="InstructionsTabelleberschrift"/>
                <w:rFonts w:ascii="Times New Roman" w:hAnsi="Times New Roman"/>
                <w:sz w:val="24"/>
              </w:rPr>
              <w:t>ga kapitala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4(1)(114), člen 52(1)(b), člen 56(a) in člen 57 CRR.</w:t>
            </w:r>
          </w:p>
          <w:p w:rsidR="005643EA" w:rsidRPr="007E39E6"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Instrumenti dodatnega temeljnega kapitala, vključeni v postavko 1.1.2.1.1, ki ga imajo institucije v okviru konsolidirane skupine. </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rsidRPr="00091DE1">
              <w:rPr>
                <w:u w:val="single"/>
              </w:rPr>
              <w:tab/>
            </w:r>
            <w:r>
              <w:rPr>
                <w:rStyle w:val="InstructionsTabelleberschrift"/>
                <w:rFonts w:ascii="Times New Roman" w:hAnsi="Times New Roman"/>
                <w:sz w:val="24"/>
              </w:rPr>
              <w:t>(–) Posredni deleži v instrumentih dodatnega temeljnega kapitala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52(1)(b)(</w:t>
            </w:r>
            <w:proofErr w:type="spellStart"/>
            <w:r>
              <w:rPr>
                <w:rStyle w:val="FormatvorlageInstructionsTabelleText"/>
                <w:rFonts w:ascii="Times New Roman" w:hAnsi="Times New Roman"/>
                <w:sz w:val="24"/>
              </w:rPr>
              <w:t>ii</w:t>
            </w:r>
            <w:proofErr w:type="spellEnd"/>
            <w:r>
              <w:rPr>
                <w:rStyle w:val="FormatvorlageInstructionsTabelleText"/>
                <w:rFonts w:ascii="Times New Roman" w:hAnsi="Times New Roman"/>
                <w:sz w:val="24"/>
              </w:rPr>
              <w:t>), člen 56(a) in člen 57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621</w:t>
            </w:r>
          </w:p>
        </w:tc>
        <w:tc>
          <w:tcPr>
            <w:tcW w:w="7620" w:type="dxa"/>
          </w:tcPr>
          <w:p w:rsidR="005643EA" w:rsidRPr="007E39E6" w:rsidRDefault="006455B0" w:rsidP="00FD239F">
            <w:pPr>
              <w:pStyle w:val="InstructionsText"/>
            </w:pPr>
            <w:r>
              <w:rPr>
                <w:rStyle w:val="InstructionsTabelleberschrift"/>
                <w:rFonts w:ascii="Times New Roman" w:hAnsi="Times New Roman"/>
                <w:sz w:val="24"/>
              </w:rPr>
              <w:t>1.1.2.1.4.3</w:t>
            </w:r>
            <w:r w:rsidRPr="00091DE1">
              <w:rPr>
                <w:u w:val="single"/>
              </w:rPr>
              <w:tab/>
            </w:r>
            <w:r>
              <w:rPr>
                <w:rStyle w:val="InstructionsTabelleberschrift"/>
                <w:rFonts w:ascii="Times New Roman" w:hAnsi="Times New Roman"/>
                <w:sz w:val="24"/>
              </w:rPr>
              <w:t>(–) Sintetični deleži v instrumentih dodatnega temeljnega kapitala</w:t>
            </w:r>
          </w:p>
          <w:p w:rsidR="005643EA" w:rsidRPr="007E39E6" w:rsidRDefault="00805255" w:rsidP="00FD239F">
            <w:pPr>
              <w:pStyle w:val="InstructionsText"/>
              <w:rPr>
                <w:rStyle w:val="InstructionsTabelleberschrift"/>
                <w:rFonts w:ascii="Times New Roman" w:hAnsi="Times New Roman"/>
                <w:b w:val="0"/>
                <w:bCs w:val="0"/>
                <w:sz w:val="24"/>
                <w:u w:val="none"/>
              </w:rPr>
            </w:pPr>
            <w:r>
              <w:t>Člen 4(1)(126), člen 52(1)(b), člen 56(a) in člen 57 CRR.</w:t>
            </w:r>
          </w:p>
        </w:tc>
      </w:tr>
      <w:tr w:rsidR="00666996" w:rsidRPr="00392FFD" w:rsidTr="00672D2A">
        <w:tc>
          <w:tcPr>
            <w:tcW w:w="1129" w:type="dxa"/>
          </w:tcPr>
          <w:p w:rsidR="005643EA" w:rsidRPr="00392FFD" w:rsidRDefault="007E39E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622</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rsidRPr="00091DE1">
              <w:rPr>
                <w:u w:val="single"/>
              </w:rPr>
              <w:tab/>
            </w:r>
            <w:r>
              <w:rPr>
                <w:rStyle w:val="InstructionsTabelleberschrift"/>
                <w:rFonts w:ascii="Times New Roman" w:hAnsi="Times New Roman"/>
                <w:sz w:val="24"/>
              </w:rPr>
              <w:t>(–) Dejanske ali pogojne obveznosti nakupa lastnih instrumentov dodatnega temeljnega kapitala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56(a) in člen 57 CRR.</w:t>
            </w:r>
          </w:p>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 skladu s členom 56(a) CRR se</w:t>
            </w:r>
            <w:r>
              <w:t xml:space="preserve"> „</w:t>
            </w:r>
            <w:proofErr w:type="spellStart"/>
            <w:r>
              <w:t>lastn</w:t>
            </w:r>
            <w:proofErr w:type="spellEnd"/>
            <w:r>
              <w:t>[i] instrumenti dodatnega temeljnega kapitala, ki bi jih institucija morda bila dolžna kupiti zaradi obstoječih pog</w:t>
            </w:r>
            <w:r>
              <w:t>o</w:t>
            </w:r>
            <w:r>
              <w:t>dbenih obveznosti“, odbijejo.</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660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rsidR="003F40E8" w:rsidRPr="003F40E8">
              <w:rPr>
                <w:u w:val="single"/>
              </w:rPr>
              <w:tab/>
            </w:r>
            <w:r>
              <w:rPr>
                <w:rStyle w:val="InstructionsTabelleberschrift"/>
                <w:rFonts w:ascii="Times New Roman" w:hAnsi="Times New Roman"/>
                <w:sz w:val="24"/>
              </w:rPr>
              <w:t>Prehodne prilagoditve zaradi kapitalskih instrumentov dodatn</w:t>
            </w:r>
            <w:r>
              <w:rPr>
                <w:rStyle w:val="InstructionsTabelleberschrift"/>
                <w:rFonts w:ascii="Times New Roman" w:hAnsi="Times New Roman"/>
                <w:sz w:val="24"/>
              </w:rPr>
              <w:t>e</w:t>
            </w:r>
            <w:r>
              <w:rPr>
                <w:rStyle w:val="InstructionsTabelleberschrift"/>
                <w:rFonts w:ascii="Times New Roman" w:hAnsi="Times New Roman"/>
                <w:sz w:val="24"/>
              </w:rPr>
              <w:t>ga temeljnega kapitala, za katere se uporabljajo predhodna pravila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483(4) in (5), členi 484 do 487 ter člena 489 in 491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kapitalskih instrumentov, za katere se prehodno uporabljajo predh</w:t>
            </w:r>
            <w:r>
              <w:rPr>
                <w:rStyle w:val="FormatvorlageInstructionsTabelleText"/>
                <w:rFonts w:ascii="Times New Roman" w:hAnsi="Times New Roman"/>
                <w:sz w:val="24"/>
              </w:rPr>
              <w:t>o</w:t>
            </w:r>
            <w:r>
              <w:rPr>
                <w:rStyle w:val="FormatvorlageInstructionsTabelleText"/>
                <w:rFonts w:ascii="Times New Roman" w:hAnsi="Times New Roman"/>
                <w:sz w:val="24"/>
              </w:rPr>
              <w:t>dna pravila za dodatni temeljni kapital. Znesek, ki se poroča, se pridobi neposredno iz predloge CA5.</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670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sidR="00091DE1">
              <w:rPr>
                <w:rStyle w:val="InstructionsTabelleberschrift"/>
                <w:rFonts w:ascii="Times New Roman" w:hAnsi="Times New Roman"/>
                <w:sz w:val="24"/>
              </w:rPr>
              <w:t>3</w:t>
            </w:r>
            <w:r w:rsidR="00091DE1">
              <w:rPr>
                <w:rStyle w:val="InstructionsTabelleberschrift"/>
                <w:rFonts w:ascii="Times New Roman" w:hAnsi="Times New Roman"/>
                <w:sz w:val="24"/>
              </w:rPr>
              <w:tab/>
            </w:r>
            <w:r>
              <w:rPr>
                <w:rStyle w:val="InstructionsTabelleberschrift"/>
                <w:rFonts w:ascii="Times New Roman" w:hAnsi="Times New Roman"/>
                <w:sz w:val="24"/>
              </w:rPr>
              <w:t>Instrumenti, ki jih izdajo podrejene družbe in so pripoznani v dodatnem temeljnem kapitalu</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Členi 83, 85 in 86 CRR.</w:t>
            </w:r>
          </w:p>
          <w:p w:rsidR="00477CB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Vsota vseh zneskov kvalificiranega temeljnega kapitala podrejenih družb, vključena v konsolidirani dodatni temeljni kapital.</w:t>
            </w:r>
          </w:p>
          <w:p w:rsidR="00106FC5" w:rsidRPr="00392FFD" w:rsidRDefault="00106FC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Vključi se kvalificirani dodatni temeljni kapital, ki ga je izdal subjekt s posebnim namenom (člen 83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680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sidR="0059042F">
              <w:rPr>
                <w:rStyle w:val="InstructionsTabelleberschrift"/>
                <w:rFonts w:ascii="Times New Roman" w:hAnsi="Times New Roman"/>
                <w:sz w:val="24"/>
              </w:rPr>
              <w:t>4</w:t>
            </w:r>
            <w:r w:rsidR="0059042F">
              <w:rPr>
                <w:rStyle w:val="InstructionsTabelleberschrift"/>
                <w:rFonts w:ascii="Times New Roman" w:hAnsi="Times New Roman"/>
                <w:sz w:val="24"/>
              </w:rPr>
              <w:tab/>
            </w:r>
            <w:r>
              <w:rPr>
                <w:rStyle w:val="InstructionsTabelleberschrift"/>
                <w:rFonts w:ascii="Times New Roman" w:hAnsi="Times New Roman"/>
                <w:sz w:val="24"/>
              </w:rPr>
              <w:t>Prehodne prilagoditve zaradi dodatnega pripoznanja v instr</w:t>
            </w:r>
            <w:r>
              <w:rPr>
                <w:rStyle w:val="InstructionsTabelleberschrift"/>
                <w:rFonts w:ascii="Times New Roman" w:hAnsi="Times New Roman"/>
                <w:sz w:val="24"/>
              </w:rPr>
              <w:t>u</w:t>
            </w:r>
            <w:r>
              <w:rPr>
                <w:rStyle w:val="InstructionsTabelleberschrift"/>
                <w:rFonts w:ascii="Times New Roman" w:hAnsi="Times New Roman"/>
                <w:sz w:val="24"/>
              </w:rPr>
              <w:t>mentih dodatnega temeljnega kapitala, ki jih izdajo podrejene družbe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480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Prilagoditve kvalificiranega temeljnega kapitala v konsolidiranem dodatnem temeljnem kapitalu zaradi prehodnih določb. Ta postavka se pridobi nepo</w:t>
            </w:r>
            <w:r>
              <w:rPr>
                <w:rStyle w:val="FormatvorlageInstructionsTabelleText"/>
                <w:rFonts w:ascii="Times New Roman" w:hAnsi="Times New Roman"/>
                <w:sz w:val="24"/>
              </w:rPr>
              <w:t>s</w:t>
            </w:r>
            <w:r>
              <w:rPr>
                <w:rStyle w:val="FormatvorlageInstructionsTabelleText"/>
                <w:rFonts w:ascii="Times New Roman" w:hAnsi="Times New Roman"/>
                <w:sz w:val="24"/>
              </w:rPr>
              <w:t>redno iz predloge CA5.</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690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sidR="0059042F">
              <w:rPr>
                <w:rStyle w:val="InstructionsTabelleberschrift"/>
                <w:rFonts w:ascii="Times New Roman" w:hAnsi="Times New Roman"/>
                <w:sz w:val="24"/>
              </w:rPr>
              <w:t>5</w:t>
            </w:r>
            <w:r w:rsidR="0059042F">
              <w:rPr>
                <w:rStyle w:val="InstructionsTabelleberschrift"/>
                <w:rFonts w:ascii="Times New Roman" w:hAnsi="Times New Roman"/>
                <w:sz w:val="24"/>
              </w:rPr>
              <w:tab/>
            </w:r>
            <w:r>
              <w:rPr>
                <w:rStyle w:val="InstructionsTabelleberschrift"/>
                <w:rFonts w:ascii="Times New Roman" w:hAnsi="Times New Roman"/>
                <w:sz w:val="24"/>
              </w:rPr>
              <w:t>(–) Vzajemni navzkrižni deleži v dodatnem temeljnem kapitalu</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Členi 4(1)(122), 56(b) in 58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Deleži v instrumentih dodatnega kapitala subjektov finančnega sektorja (kot so opredeljeni v členu 4(1)(27) CRR), kadar obstaja vzajemni navzkrižni delež, za katerega pristojni organ meni, da je bil oblikovan z namenom um</w:t>
            </w:r>
            <w:r>
              <w:rPr>
                <w:rStyle w:val="FormatvorlageInstructionsTabelleText"/>
                <w:rFonts w:ascii="Times New Roman" w:hAnsi="Times New Roman"/>
                <w:sz w:val="24"/>
              </w:rPr>
              <w:t>e</w:t>
            </w:r>
            <w:r>
              <w:rPr>
                <w:rStyle w:val="FormatvorlageInstructionsTabelleText"/>
                <w:rFonts w:ascii="Times New Roman" w:hAnsi="Times New Roman"/>
                <w:sz w:val="24"/>
              </w:rPr>
              <w:t>tnega povečanja kapitala institucije.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se izračuna na podlagi bruto dolgih pozicij in vključuje zavarovalniške postavke dodatnih lastnih sredstev prvega reda.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sidR="0059042F">
              <w:rPr>
                <w:rStyle w:val="InstructionsTabelleberschrift"/>
                <w:rFonts w:ascii="Times New Roman" w:hAnsi="Times New Roman"/>
                <w:sz w:val="24"/>
              </w:rPr>
              <w:t>6</w:t>
            </w:r>
            <w:r w:rsidR="0059042F">
              <w:rPr>
                <w:rStyle w:val="InstructionsTabelleberschrift"/>
                <w:rFonts w:ascii="Times New Roman" w:hAnsi="Times New Roman"/>
                <w:sz w:val="24"/>
              </w:rPr>
              <w:tab/>
            </w:r>
            <w:r>
              <w:rPr>
                <w:rStyle w:val="InstructionsTabelleberschrift"/>
                <w:rFonts w:ascii="Times New Roman" w:hAnsi="Times New Roman"/>
                <w:sz w:val="24"/>
              </w:rPr>
              <w:t>(–) Instrumenti dodatnega temeljnega kapitala subjektov finan</w:t>
            </w:r>
            <w:r>
              <w:rPr>
                <w:rStyle w:val="InstructionsTabelleberschrift"/>
                <w:rFonts w:ascii="Times New Roman" w:hAnsi="Times New Roman"/>
                <w:sz w:val="24"/>
              </w:rPr>
              <w:t>č</w:t>
            </w:r>
            <w:r>
              <w:rPr>
                <w:rStyle w:val="InstructionsTabelleberschrift"/>
                <w:rFonts w:ascii="Times New Roman" w:hAnsi="Times New Roman"/>
                <w:sz w:val="24"/>
              </w:rPr>
              <w:t>nega sektorja, v katerih institucija nima pomembne naložbe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4(1)(27), člen 56(c) ter členi 59, 60 in 79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 deležev institucije v instrumentih subjektov finančnega sektorja (kot so opredeljeni v členu 4(1)(27) CRR), v katerih institucija nima pomembne naložbe, ki ga je treba odbiti od dodatnega temeljnega kapitala.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sidR="0059042F">
              <w:rPr>
                <w:rStyle w:val="InstructionsTabelleberschrift"/>
                <w:rFonts w:ascii="Times New Roman" w:hAnsi="Times New Roman"/>
                <w:sz w:val="24"/>
              </w:rPr>
              <w:t>7</w:t>
            </w:r>
            <w:r w:rsidR="0059042F">
              <w:rPr>
                <w:rStyle w:val="InstructionsTabelleberschrift"/>
                <w:rFonts w:ascii="Times New Roman" w:hAnsi="Times New Roman"/>
                <w:sz w:val="24"/>
              </w:rPr>
              <w:tab/>
            </w:r>
            <w:r>
              <w:rPr>
                <w:rStyle w:val="InstructionsTabelleberschrift"/>
                <w:rFonts w:ascii="Times New Roman" w:hAnsi="Times New Roman"/>
                <w:sz w:val="24"/>
              </w:rPr>
              <w:t>(–) Instrumenti dodatnega temeljnega kapitala subjektov finan</w:t>
            </w:r>
            <w:r>
              <w:rPr>
                <w:rStyle w:val="InstructionsTabelleberschrift"/>
                <w:rFonts w:ascii="Times New Roman" w:hAnsi="Times New Roman"/>
                <w:sz w:val="24"/>
              </w:rPr>
              <w:t>č</w:t>
            </w:r>
            <w:r>
              <w:rPr>
                <w:rStyle w:val="InstructionsTabelleberschrift"/>
                <w:rFonts w:ascii="Times New Roman" w:hAnsi="Times New Roman"/>
                <w:sz w:val="24"/>
              </w:rPr>
              <w:t>nega sektorja, v katerih ima institucija pomembno naložbo</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4(1)(27), člen 56(d) ter člena 59 in 79 CRR.</w:t>
            </w:r>
          </w:p>
          <w:p w:rsidR="005643EA" w:rsidRPr="00392FFD" w:rsidRDefault="009B51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Deleži institucije v instrumentih dodatnega temeljnega kapitala subjektov finančnega sektorja (kot so opredeljeni v členu 4(1)(27) CRR), v katerih ima institucija pomembno naložbo, se v celoti odbijejo.</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720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rsidR="003F40E8" w:rsidRPr="003F40E8">
              <w:rPr>
                <w:u w:val="single"/>
              </w:rPr>
              <w:tab/>
            </w:r>
            <w:r>
              <w:rPr>
                <w:rStyle w:val="InstructionsTabelleberschrift"/>
                <w:rFonts w:ascii="Times New Roman" w:hAnsi="Times New Roman"/>
                <w:sz w:val="24"/>
              </w:rPr>
              <w:t>(–) Presežek odbitka od postavk dodatnega kapitala nad doda</w:t>
            </w:r>
            <w:r>
              <w:rPr>
                <w:rStyle w:val="InstructionsTabelleberschrift"/>
                <w:rFonts w:ascii="Times New Roman" w:hAnsi="Times New Roman"/>
                <w:sz w:val="24"/>
              </w:rPr>
              <w:t>t</w:t>
            </w:r>
            <w:r>
              <w:rPr>
                <w:rStyle w:val="InstructionsTabelleberschrift"/>
                <w:rFonts w:ascii="Times New Roman" w:hAnsi="Times New Roman"/>
                <w:sz w:val="24"/>
              </w:rPr>
              <w:t xml:space="preserve">nim kapitalom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56(e)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se pridobi neposredno iz postavke „Presežek odbitka od postavk dodatnega kapitala nad dodatnim kapitalom“ (odbitega v doda</w:t>
            </w:r>
            <w:r>
              <w:rPr>
                <w:rStyle w:val="FormatvorlageInstructionsTabelleText"/>
                <w:rFonts w:ascii="Times New Roman" w:hAnsi="Times New Roman"/>
                <w:sz w:val="24"/>
              </w:rPr>
              <w:t>t</w:t>
            </w:r>
            <w:r>
              <w:rPr>
                <w:rStyle w:val="FormatvorlageInstructionsTabelleText"/>
                <w:rFonts w:ascii="Times New Roman" w:hAnsi="Times New Roman"/>
                <w:sz w:val="24"/>
              </w:rPr>
              <w:t>nem temeljnem kapitalu) predloge CA1.</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730</w:t>
            </w:r>
          </w:p>
        </w:tc>
        <w:tc>
          <w:tcPr>
            <w:tcW w:w="7620" w:type="dxa"/>
          </w:tcPr>
          <w:p w:rsidR="005643EA" w:rsidRPr="00392FFD" w:rsidRDefault="00A86EB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sidR="0059042F">
              <w:rPr>
                <w:rStyle w:val="InstructionsTabelleberschrift"/>
                <w:rFonts w:ascii="Times New Roman" w:hAnsi="Times New Roman"/>
                <w:sz w:val="24"/>
              </w:rPr>
              <w:t>9</w:t>
            </w:r>
            <w:r w:rsidR="003F40E8" w:rsidRPr="003F40E8">
              <w:rPr>
                <w:rStyle w:val="InstructionsTabelleberschrift"/>
                <w:rFonts w:ascii="Times New Roman" w:hAnsi="Times New Roman"/>
                <w:sz w:val="24"/>
              </w:rPr>
              <w:tab/>
            </w:r>
            <w:r>
              <w:rPr>
                <w:rStyle w:val="InstructionsTabelleberschrift"/>
                <w:rFonts w:ascii="Times New Roman" w:hAnsi="Times New Roman"/>
                <w:sz w:val="24"/>
              </w:rPr>
              <w:t>Druge prehodne prilagoditve dodatnega temeljnega kap</w:t>
            </w:r>
            <w:r>
              <w:rPr>
                <w:rStyle w:val="InstructionsTabelleberschrift"/>
                <w:rFonts w:ascii="Times New Roman" w:hAnsi="Times New Roman"/>
                <w:sz w:val="24"/>
              </w:rPr>
              <w:t>i</w:t>
            </w:r>
            <w:r>
              <w:rPr>
                <w:rStyle w:val="InstructionsTabelleberschrift"/>
                <w:rFonts w:ascii="Times New Roman" w:hAnsi="Times New Roman"/>
                <w:sz w:val="24"/>
              </w:rPr>
              <w:t>tala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Členi 474, 475, 478 in 481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Prilagoditve zaradi prehodnih določb. Znesek, ki se poroča, se pridobi nep</w:t>
            </w:r>
            <w:r>
              <w:rPr>
                <w:rStyle w:val="FormatvorlageInstructionsTabelleText"/>
                <w:rFonts w:ascii="Times New Roman" w:hAnsi="Times New Roman"/>
                <w:sz w:val="24"/>
              </w:rPr>
              <w:t>o</w:t>
            </w:r>
            <w:r>
              <w:rPr>
                <w:rStyle w:val="FormatvorlageInstructionsTabelleText"/>
                <w:rFonts w:ascii="Times New Roman" w:hAnsi="Times New Roman"/>
                <w:sz w:val="24"/>
              </w:rPr>
              <w:t>sredno iz predloge CA5.</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740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rsidRPr="00091DE1">
              <w:rPr>
                <w:u w:val="single"/>
              </w:rPr>
              <w:tab/>
            </w:r>
            <w:r>
              <w:rPr>
                <w:rStyle w:val="InstructionsTabelleberschrift"/>
                <w:rFonts w:ascii="Times New Roman" w:hAnsi="Times New Roman"/>
                <w:sz w:val="24"/>
              </w:rPr>
              <w:t>Presežek odbitka od postavk dodatnega temeljnega kap</w:t>
            </w:r>
            <w:r>
              <w:rPr>
                <w:rStyle w:val="InstructionsTabelleberschrift"/>
                <w:rFonts w:ascii="Times New Roman" w:hAnsi="Times New Roman"/>
                <w:sz w:val="24"/>
              </w:rPr>
              <w:t>i</w:t>
            </w:r>
            <w:r>
              <w:rPr>
                <w:rStyle w:val="InstructionsTabelleberschrift"/>
                <w:rFonts w:ascii="Times New Roman" w:hAnsi="Times New Roman"/>
                <w:sz w:val="24"/>
              </w:rPr>
              <w:t>tala nad dodatnim temeljnim kapitalom (odbito v navadnem lastniškem temeljnem kapitalu)</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36(1)(j)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Dodatni temeljni kapital ne more biti negativen, odbitki dodatnega temeljn</w:t>
            </w:r>
            <w:r>
              <w:rPr>
                <w:rStyle w:val="FormatvorlageInstructionsTabelleText"/>
                <w:rFonts w:ascii="Times New Roman" w:hAnsi="Times New Roman"/>
                <w:sz w:val="24"/>
              </w:rPr>
              <w:t>e</w:t>
            </w:r>
            <w:r>
              <w:rPr>
                <w:rStyle w:val="FormatvorlageInstructionsTabelleText"/>
                <w:rFonts w:ascii="Times New Roman" w:hAnsi="Times New Roman"/>
                <w:sz w:val="24"/>
              </w:rPr>
              <w:t>ga kapitala pa so lahko večji od dodatnega temeljnega kapitala, ki mu je prištet z njim povezan vplačani presežek kapitala. Kadar se to zgodi, mora biti dodatni temeljni kapital enak nič, presežek odbitkov dodatnega temel</w:t>
            </w:r>
            <w:r>
              <w:rPr>
                <w:rStyle w:val="FormatvorlageInstructionsTabelleText"/>
                <w:rFonts w:ascii="Times New Roman" w:hAnsi="Times New Roman"/>
                <w:sz w:val="24"/>
              </w:rPr>
              <w:t>j</w:t>
            </w:r>
            <w:r>
              <w:rPr>
                <w:rStyle w:val="FormatvorlageInstructionsTabelleText"/>
                <w:rFonts w:ascii="Times New Roman" w:hAnsi="Times New Roman"/>
                <w:sz w:val="24"/>
              </w:rPr>
              <w:t>nega kapitala pa je treba odbiti od navadnega lastniškega temeljnega kapit</w:t>
            </w:r>
            <w:r>
              <w:rPr>
                <w:rStyle w:val="FormatvorlageInstructionsTabelleText"/>
                <w:rFonts w:ascii="Times New Roman" w:hAnsi="Times New Roman"/>
                <w:sz w:val="24"/>
              </w:rPr>
              <w:t>a</w:t>
            </w:r>
            <w:r>
              <w:rPr>
                <w:rStyle w:val="FormatvorlageInstructionsTabelleText"/>
                <w:rFonts w:ascii="Times New Roman" w:hAnsi="Times New Roman"/>
                <w:sz w:val="24"/>
              </w:rPr>
              <w:t>la.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 tej postavki se doseže, da vsota postavk 1.1.2.1 do 1.1.2.12 nikoli ni manjša kot nič. Če je v tej postavki izkazana pozitivna vrednost, je postavka 1.1.1.16 nasprotna tej vrednosti.</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744</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392FFD" w:rsidRDefault="00A86EB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rsidRPr="00091DE1">
              <w:rPr>
                <w:u w:val="single"/>
              </w:rPr>
              <w:tab/>
            </w:r>
            <w:r>
              <w:rPr>
                <w:rStyle w:val="InstructionsTabelleberschrift"/>
                <w:rFonts w:ascii="Times New Roman" w:hAnsi="Times New Roman"/>
                <w:sz w:val="24"/>
              </w:rPr>
              <w:t>(–) Dodatni odbitki dodatnega temeljnega kapitala v skl</w:t>
            </w:r>
            <w:r>
              <w:rPr>
                <w:rStyle w:val="InstructionsTabelleberschrift"/>
                <w:rFonts w:ascii="Times New Roman" w:hAnsi="Times New Roman"/>
                <w:sz w:val="24"/>
              </w:rPr>
              <w:t>a</w:t>
            </w:r>
            <w:r>
              <w:rPr>
                <w:rStyle w:val="InstructionsTabelleberschrift"/>
                <w:rFonts w:ascii="Times New Roman" w:hAnsi="Times New Roman"/>
                <w:sz w:val="24"/>
              </w:rPr>
              <w:t>du s členom 3 CRR</w:t>
            </w:r>
          </w:p>
          <w:p w:rsidR="005643EA" w:rsidRPr="007E39E6"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3 CRR.</w:t>
            </w:r>
          </w:p>
        </w:tc>
      </w:tr>
      <w:tr w:rsidR="00A86EB4" w:rsidRPr="00392FFD" w:rsidTr="00672D2A">
        <w:tc>
          <w:tcPr>
            <w:tcW w:w="1129" w:type="dxa"/>
          </w:tcPr>
          <w:p w:rsidR="00A86EB4" w:rsidRPr="00392FFD" w:rsidRDefault="008F5B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748</w:t>
            </w:r>
          </w:p>
        </w:tc>
        <w:tc>
          <w:tcPr>
            <w:tcW w:w="7620" w:type="dxa"/>
          </w:tcPr>
          <w:p w:rsidR="005643EA" w:rsidRPr="007E39E6" w:rsidRDefault="008F5BFE"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rsidRPr="00091DE1">
              <w:rPr>
                <w:u w:val="single"/>
              </w:rPr>
              <w:tab/>
            </w:r>
            <w:r>
              <w:rPr>
                <w:rStyle w:val="InstructionsTabelleberschrift"/>
                <w:rFonts w:ascii="Times New Roman" w:hAnsi="Times New Roman"/>
                <w:sz w:val="24"/>
              </w:rPr>
              <w:t>Elementi ali odbitki dodatnega temeljnega kapitala ‒ dr</w:t>
            </w:r>
            <w:r>
              <w:rPr>
                <w:rStyle w:val="InstructionsTabelleberschrift"/>
                <w:rFonts w:ascii="Times New Roman" w:hAnsi="Times New Roman"/>
                <w:sz w:val="24"/>
              </w:rPr>
              <w:t>u</w:t>
            </w:r>
            <w:r>
              <w:rPr>
                <w:rStyle w:val="InstructionsTabelleberschrift"/>
                <w:rFonts w:ascii="Times New Roman" w:hAnsi="Times New Roman"/>
                <w:sz w:val="24"/>
              </w:rPr>
              <w:t>go</w:t>
            </w:r>
          </w:p>
          <w:p w:rsidR="005643EA" w:rsidRPr="00392FFD"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Ta vrstica je namenjena zagotavljanju prožnosti izključno za namene por</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čanja. Izpolni se le v redkih primerih, kadar ni sprejeta končna odločitev o poročanju posebnih kapitalskih postavk/odbitkov v sedanji predlogi CA1. Zato se ta vrstica izpolni le, če sestavina dodatnega temeljnega kapitala gl</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de na odbitek sestavine dodatnega temeljnega kapitala ne more biti razvr</w:t>
            </w:r>
            <w:r>
              <w:rPr>
                <w:rStyle w:val="InstructionsTabelleberschrift"/>
                <w:rFonts w:ascii="Times New Roman" w:hAnsi="Times New Roman"/>
                <w:b w:val="0"/>
                <w:sz w:val="24"/>
                <w:u w:val="none"/>
              </w:rPr>
              <w:t>š</w:t>
            </w:r>
            <w:r>
              <w:rPr>
                <w:rStyle w:val="InstructionsTabelleberschrift"/>
                <w:rFonts w:ascii="Times New Roman" w:hAnsi="Times New Roman"/>
                <w:b w:val="0"/>
                <w:sz w:val="24"/>
                <w:u w:val="none"/>
              </w:rPr>
              <w:t xml:space="preserve">čena v eno od vrstic 530 do 744. </w:t>
            </w:r>
          </w:p>
          <w:p w:rsidR="005643EA" w:rsidRPr="007E39E6" w:rsidRDefault="00A86EB4" w:rsidP="00255BA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Ta celica se ne uporabi za uvrstitev kapitalskih postavk/odbitkov, ki v skladu s CRR niso zajeti v izračun količnikov kapitalske ustreznosti (npr. razvrst</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tev nacionalnih kapitalskih postavk/odbitkov, ki niso zajeti v področje up</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rabe CRR).</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750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sidRPr="00091DE1">
              <w:rPr>
                <w:u w:val="single"/>
              </w:rPr>
              <w:tab/>
            </w:r>
            <w:r>
              <w:rPr>
                <w:rStyle w:val="InstructionsTabelleberschrift"/>
                <w:rFonts w:ascii="Times New Roman" w:hAnsi="Times New Roman"/>
                <w:sz w:val="24"/>
              </w:rPr>
              <w:t>DODATNI KAPITAL</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71 CRR.</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760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rsidRPr="00091DE1">
              <w:rPr>
                <w:u w:val="single"/>
              </w:rPr>
              <w:tab/>
            </w:r>
            <w:r>
              <w:rPr>
                <w:rStyle w:val="InstructionsTabelleberschrift"/>
                <w:rFonts w:ascii="Times New Roman" w:hAnsi="Times New Roman"/>
                <w:sz w:val="24"/>
              </w:rPr>
              <w:t>Kapitalski instrumenti in podrejena posojila, sprejemljivi kot dodatni kapital</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62(a), členi 63 do 65, člen 66(a) in člen 67 CRR.</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770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rsidR="003F40E8" w:rsidRPr="003F40E8">
              <w:rPr>
                <w:u w:val="single"/>
              </w:rPr>
              <w:tab/>
            </w:r>
            <w:r>
              <w:rPr>
                <w:rStyle w:val="InstructionsTabelleberschrift"/>
                <w:rFonts w:ascii="Times New Roman" w:hAnsi="Times New Roman"/>
                <w:sz w:val="24"/>
              </w:rPr>
              <w:t>Vplačani kapitalski instrumenti in podrejena posojila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62(a) ter člena 63 in 65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ne vključuje vplačanega presežka kapitala, povezanega z instrumenti.</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780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rsidR="00091DE1" w:rsidRPr="00091DE1">
              <w:rPr>
                <w:u w:val="single"/>
              </w:rPr>
              <w:tab/>
            </w:r>
            <w:r>
              <w:rPr>
                <w:rStyle w:val="InstructionsTabelleberschrift"/>
                <w:rFonts w:ascii="Times New Roman" w:hAnsi="Times New Roman"/>
                <w:sz w:val="24"/>
              </w:rPr>
              <w:t>Pojasnjevalna postavka: Kapitalski instrumenti in podr</w:t>
            </w:r>
            <w:r>
              <w:rPr>
                <w:rStyle w:val="InstructionsTabelleberschrift"/>
                <w:rFonts w:ascii="Times New Roman" w:hAnsi="Times New Roman"/>
                <w:sz w:val="24"/>
              </w:rPr>
              <w:t>e</w:t>
            </w:r>
            <w:r>
              <w:rPr>
                <w:rStyle w:val="InstructionsTabelleberschrift"/>
                <w:rFonts w:ascii="Times New Roman" w:hAnsi="Times New Roman"/>
                <w:sz w:val="24"/>
              </w:rPr>
              <w:t>jeni dolgovi, ki niso sprejemljivi</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Člen 63(c), (e) in (f) ter člen 64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Pogoji iz teh točk odražajo različne položaje/razmere/situacije pri kapitalu, ki se lahko spremenijo, zaradi česar je lahko znesek, poročan v tem polju, sprejemljiv v naslednjih obdobjih.</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ne vključuje vplačanega presežka kapitala, povezanega z instrumenti.</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790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rsidR="003F40E8" w:rsidRPr="003F40E8">
              <w:rPr>
                <w:u w:val="single"/>
              </w:rPr>
              <w:tab/>
            </w:r>
            <w:r>
              <w:rPr>
                <w:rStyle w:val="InstructionsTabelleberschrift"/>
                <w:rFonts w:ascii="Times New Roman" w:hAnsi="Times New Roman"/>
                <w:sz w:val="24"/>
              </w:rPr>
              <w:t>Vplačani presežek kapitala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62(b) in člen 65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Vplačani presežek kapitala ima enak pomen kot v skladu z veljavnim rač</w:t>
            </w:r>
            <w:r>
              <w:rPr>
                <w:rStyle w:val="FormatvorlageInstructionsTabelleText"/>
                <w:rFonts w:ascii="Times New Roman" w:hAnsi="Times New Roman"/>
                <w:sz w:val="24"/>
              </w:rPr>
              <w:t>u</w:t>
            </w:r>
            <w:r>
              <w:rPr>
                <w:rStyle w:val="FormatvorlageInstructionsTabelleText"/>
                <w:rFonts w:ascii="Times New Roman" w:hAnsi="Times New Roman"/>
                <w:sz w:val="24"/>
              </w:rPr>
              <w:t xml:space="preserve">novodskim standardom. </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v okviru te postavke, je del, povezan z „vplačanimi kapitalskimi instrumenti“.</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rsidR="0059042F">
              <w:rPr>
                <w:rStyle w:val="InstructionsTabelleberschrift"/>
                <w:rFonts w:ascii="Times New Roman" w:hAnsi="Times New Roman"/>
                <w:sz w:val="24"/>
              </w:rPr>
              <w:t>4</w:t>
            </w:r>
            <w:r w:rsidR="0059042F">
              <w:rPr>
                <w:rStyle w:val="InstructionsTabelleberschrift"/>
                <w:rFonts w:ascii="Times New Roman" w:hAnsi="Times New Roman"/>
                <w:sz w:val="24"/>
              </w:rPr>
              <w:tab/>
            </w:r>
            <w:r>
              <w:rPr>
                <w:rStyle w:val="InstructionsTabelleberschrift"/>
                <w:rFonts w:ascii="Times New Roman" w:hAnsi="Times New Roman"/>
                <w:sz w:val="24"/>
              </w:rPr>
              <w:t>(–) Lastni instrumenti dodatnega kapitala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63(b)(i), člen 66(a) in člen 67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Lastni instrumenti dodatnega kapitala, ki ga ima poročevalska institucija ali skupina na datum poročanja. Veljajo izjeme iz člena 67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Delež v delnicah, vključen v „kapitalske instrumente, ki niso sprejemljivi“, se ne poroča v tej vrstici.</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vključuje presežek kapitala, povezan z lastnimi deln</w:t>
            </w:r>
            <w:r>
              <w:rPr>
                <w:rStyle w:val="FormatvorlageInstructionsTabelleText"/>
                <w:rFonts w:ascii="Times New Roman" w:hAnsi="Times New Roman"/>
                <w:sz w:val="24"/>
              </w:rPr>
              <w:t>i</w:t>
            </w:r>
            <w:r>
              <w:rPr>
                <w:rStyle w:val="FormatvorlageInstructionsTabelleText"/>
                <w:rFonts w:ascii="Times New Roman" w:hAnsi="Times New Roman"/>
                <w:sz w:val="24"/>
              </w:rPr>
              <w:t>cami.</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Postavke 1.2.1.4 do 1.2.1.4.3 ne vključujejo dejanskih ali pogojnih obvezn</w:t>
            </w:r>
            <w:r>
              <w:rPr>
                <w:rStyle w:val="FormatvorlageInstructionsTabelleText"/>
                <w:rFonts w:ascii="Times New Roman" w:hAnsi="Times New Roman"/>
                <w:sz w:val="24"/>
              </w:rPr>
              <w:t>o</w:t>
            </w:r>
            <w:r>
              <w:rPr>
                <w:rStyle w:val="FormatvorlageInstructionsTabelleText"/>
                <w:rFonts w:ascii="Times New Roman" w:hAnsi="Times New Roman"/>
                <w:sz w:val="24"/>
              </w:rPr>
              <w:t>sti nakupa lastnih instrumentov dodatnega kapitala. Dejanske ali pogojne obveznosti nakupa lastnih instrumentov dodatnega kapitala se poročajo ločeno v postavki 1.2.1.5.</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rsidRPr="00EE0671">
              <w:rPr>
                <w:u w:val="single"/>
              </w:rPr>
              <w:tab/>
            </w:r>
            <w:r>
              <w:rPr>
                <w:rStyle w:val="InstructionsTabelleberschrift"/>
                <w:rFonts w:ascii="Times New Roman" w:hAnsi="Times New Roman"/>
                <w:sz w:val="24"/>
              </w:rPr>
              <w:t>(–) Neposredni deleži v instrumentih dodatnega kapitala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Člena 63(b) in 66(a) ter člen 67 CRR.</w:t>
            </w:r>
          </w:p>
          <w:p w:rsidR="005643EA" w:rsidRPr="007E39E6"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Instrumenti dodatnega kapitala, vključeni v postavko 1.2.1.1, ki ga imajo institucije v okviru konsolidirane skupine. </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rsidRPr="00EE0671">
              <w:rPr>
                <w:u w:val="single"/>
              </w:rPr>
              <w:tab/>
            </w:r>
            <w:r>
              <w:rPr>
                <w:rStyle w:val="InstructionsTabelleberschrift"/>
                <w:rFonts w:ascii="Times New Roman" w:hAnsi="Times New Roman"/>
                <w:sz w:val="24"/>
              </w:rPr>
              <w:t>(–) Posredni deleži v instrumentih dodatnega kapitala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4(1)(114), člena 63(b) in 66(a) ter člen 67 CRR.</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841</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rsidRPr="00EE0671">
              <w:rPr>
                <w:u w:val="single"/>
              </w:rPr>
              <w:tab/>
            </w:r>
            <w:r>
              <w:rPr>
                <w:rStyle w:val="InstructionsTabelleberschrift"/>
                <w:rFonts w:ascii="Times New Roman" w:hAnsi="Times New Roman"/>
                <w:sz w:val="24"/>
              </w:rPr>
              <w:t>(–) Sintetični deleži v instrumentih dodatnega kapitala</w:t>
            </w:r>
          </w:p>
          <w:p w:rsidR="005643EA" w:rsidRPr="007E39E6" w:rsidRDefault="00805255"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Člen 4(1)(126), člena 63(b) in 66(a) ter člen 67 CRR.</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842</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392FFD" w:rsidRDefault="00A86EB4" w:rsidP="00FD239F">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w:t>
            </w:r>
            <w:r w:rsidR="0059042F">
              <w:rPr>
                <w:rStyle w:val="InstructionsTabelleberschrift"/>
                <w:rFonts w:ascii="Times New Roman" w:hAnsi="Times New Roman"/>
                <w:sz w:val="24"/>
              </w:rPr>
              <w:t>5</w:t>
            </w:r>
            <w:r w:rsidR="0059042F">
              <w:rPr>
                <w:rStyle w:val="InstructionsTabelleberschrift"/>
                <w:rFonts w:ascii="Times New Roman" w:hAnsi="Times New Roman"/>
                <w:sz w:val="24"/>
              </w:rPr>
              <w:tab/>
            </w:r>
            <w:r>
              <w:rPr>
                <w:rStyle w:val="InstructionsTabelleberschrift"/>
                <w:rFonts w:ascii="Times New Roman" w:hAnsi="Times New Roman"/>
                <w:sz w:val="24"/>
              </w:rPr>
              <w:t>(–) Dejanske ali pogojne obveznosti nakupa lastnih instrumentov dodatnega kapitala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66(a) in člen 67 CRR.</w:t>
            </w:r>
          </w:p>
          <w:p w:rsidR="005643EA" w:rsidRPr="007E39E6" w:rsidRDefault="00A86EB4"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 skladu s členom 66(a) CRR se</w:t>
            </w:r>
            <w:r>
              <w:t xml:space="preserve"> „</w:t>
            </w:r>
            <w:proofErr w:type="spellStart"/>
            <w:r>
              <w:t>lastn</w:t>
            </w:r>
            <w:proofErr w:type="spellEnd"/>
            <w:r>
              <w:t>[i] instrumenti dodatnega kapitala, ki bi jih institucija morda bila dolžna kupiti zaradi obstoječih pogodbenih obveznosti“, odbijejo.</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880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rsidRPr="00EE0671">
              <w:rPr>
                <w:u w:val="single"/>
              </w:rPr>
              <w:tab/>
            </w:r>
            <w:r>
              <w:rPr>
                <w:rStyle w:val="InstructionsTabelleberschrift"/>
                <w:rFonts w:ascii="Times New Roman" w:hAnsi="Times New Roman"/>
                <w:sz w:val="24"/>
              </w:rPr>
              <w:t>Prehodne prilagoditve zaradi kapitalskih instrumentov dodatn</w:t>
            </w:r>
            <w:r>
              <w:rPr>
                <w:rStyle w:val="InstructionsTabelleberschrift"/>
                <w:rFonts w:ascii="Times New Roman" w:hAnsi="Times New Roman"/>
                <w:sz w:val="24"/>
              </w:rPr>
              <w:t>e</w:t>
            </w:r>
            <w:r>
              <w:rPr>
                <w:rStyle w:val="InstructionsTabelleberschrift"/>
                <w:rFonts w:ascii="Times New Roman" w:hAnsi="Times New Roman"/>
                <w:sz w:val="24"/>
              </w:rPr>
              <w:t xml:space="preserve">ga kapitala in podrejenih posojil, za katere se uporabljajo predhodna </w:t>
            </w:r>
            <w:r>
              <w:rPr>
                <w:rStyle w:val="InstructionsTabelleberschrift"/>
                <w:rFonts w:ascii="Times New Roman" w:hAnsi="Times New Roman"/>
                <w:sz w:val="24"/>
              </w:rPr>
              <w:lastRenderedPageBreak/>
              <w:t>pravila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483(6) in (7) ter členi 484, 486, 488, 490 in 491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kapitalskih instrumentov, za katere se prehodno uporabljajo predh</w:t>
            </w:r>
            <w:r>
              <w:rPr>
                <w:rStyle w:val="FormatvorlageInstructionsTabelleText"/>
                <w:rFonts w:ascii="Times New Roman" w:hAnsi="Times New Roman"/>
                <w:sz w:val="24"/>
              </w:rPr>
              <w:t>o</w:t>
            </w:r>
            <w:r>
              <w:rPr>
                <w:rStyle w:val="FormatvorlageInstructionsTabelleText"/>
                <w:rFonts w:ascii="Times New Roman" w:hAnsi="Times New Roman"/>
                <w:sz w:val="24"/>
              </w:rPr>
              <w:t>dna pravila za dodatni kapital. Znesek, ki se poroča, se pridobi neposredno iz predloge CA5.</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890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rsidRPr="00EE0671">
              <w:rPr>
                <w:u w:val="single"/>
              </w:rPr>
              <w:tab/>
            </w:r>
            <w:r>
              <w:rPr>
                <w:rStyle w:val="InstructionsTabelleberschrift"/>
                <w:rFonts w:ascii="Times New Roman" w:hAnsi="Times New Roman"/>
                <w:sz w:val="24"/>
              </w:rPr>
              <w:t>Instrumenti, ki jih izdajo podrejene družbe in so pripoznani v dodatnem kapitalu</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Členi 83, 87 in 88 CRR.</w:t>
            </w:r>
          </w:p>
          <w:p w:rsidR="00477CB6"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Vsota vseh zneskov kvalificiranega kapitala podrejenih družb, vključena v konsolidirani dodatni kapital.</w:t>
            </w:r>
          </w:p>
          <w:p w:rsidR="00543DBD"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Vključi se kvalificirani dodatni kapital, ki ga je izdal subjekt s posebnim namenom (člen 83 CRR).</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rsidRPr="00EE0671">
              <w:rPr>
                <w:u w:val="single"/>
              </w:rPr>
              <w:tab/>
            </w:r>
            <w:r>
              <w:rPr>
                <w:rStyle w:val="InstructionsTabelleberschrift"/>
                <w:rFonts w:ascii="Times New Roman" w:hAnsi="Times New Roman"/>
                <w:sz w:val="24"/>
              </w:rPr>
              <w:t>Prehodne prilagoditve zaradi dodatnega pripoznanja v doda</w:t>
            </w:r>
            <w:r>
              <w:rPr>
                <w:rStyle w:val="InstructionsTabelleberschrift"/>
                <w:rFonts w:ascii="Times New Roman" w:hAnsi="Times New Roman"/>
                <w:sz w:val="24"/>
              </w:rPr>
              <w:t>t</w:t>
            </w:r>
            <w:r>
              <w:rPr>
                <w:rStyle w:val="InstructionsTabelleberschrift"/>
                <w:rFonts w:ascii="Times New Roman" w:hAnsi="Times New Roman"/>
                <w:sz w:val="24"/>
              </w:rPr>
              <w:t>nem kapitalu instrumentov, ki jih izdajo podrejene družbe</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480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Prilagoditve kvalificiranega kapitala v konsolidiranem dodatnem kapitalu zaradi prehodnih določb. Ta postavka se pridobi neposredno iz predloge CA5.</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rsidRPr="00EE0671">
              <w:rPr>
                <w:u w:val="single"/>
              </w:rPr>
              <w:tab/>
            </w:r>
            <w:r>
              <w:rPr>
                <w:rStyle w:val="InstructionsTabelleberschrift"/>
                <w:rFonts w:ascii="Times New Roman" w:hAnsi="Times New Roman"/>
                <w:sz w:val="24"/>
              </w:rPr>
              <w:t>Presežek rezervacij nad sprejemljivimi pričakovanimi izgubami v okviru pristopa IRB</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62(d)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 institucije, ki izračunavajo zneske tveganju prilagojenih izpostavljenosti v skladu s pristopom IRB, ta postavka vsebuje pozitivne zneske, ki izhajajo iz primerjave rezervacij in pričakovanih izgub, ki so sprejemljivi kot dodatni kapital.</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920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rsidRPr="00EE0671">
              <w:rPr>
                <w:u w:val="single"/>
              </w:rPr>
              <w:tab/>
            </w:r>
            <w:r>
              <w:rPr>
                <w:rStyle w:val="InstructionsTabelleberschrift"/>
                <w:rFonts w:ascii="Times New Roman" w:hAnsi="Times New Roman"/>
                <w:sz w:val="24"/>
              </w:rPr>
              <w:t>Splošni popravki zaradi kreditnega tveganja v okviru standard</w:t>
            </w:r>
            <w:r>
              <w:rPr>
                <w:rStyle w:val="InstructionsTabelleberschrift"/>
                <w:rFonts w:ascii="Times New Roman" w:hAnsi="Times New Roman"/>
                <w:sz w:val="24"/>
              </w:rPr>
              <w:t>i</w:t>
            </w:r>
            <w:r>
              <w:rPr>
                <w:rStyle w:val="InstructionsTabelleberschrift"/>
                <w:rFonts w:ascii="Times New Roman" w:hAnsi="Times New Roman"/>
                <w:sz w:val="24"/>
              </w:rPr>
              <w:t>ziranega pristopa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62(c)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 institucije, ki izračunavajo zneske tveganju prilagojenih izpostavljenosti v skladu s standardiziranim pristopom, ta postavka vsebuje splošne popravke zaradi kreditnega tveganja, ki so sprejemljivi kot dodatni kapital.</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930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rsidRPr="00EE0671">
              <w:rPr>
                <w:u w:val="single"/>
              </w:rPr>
              <w:tab/>
            </w:r>
            <w:r>
              <w:rPr>
                <w:rStyle w:val="InstructionsTabelleberschrift"/>
                <w:rFonts w:ascii="Times New Roman" w:hAnsi="Times New Roman"/>
                <w:sz w:val="24"/>
              </w:rPr>
              <w:t>(–) Vzajemni navzkrižni deleži v dodatnem kapitalu</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Členi 4(1)(122), 66(b) in 68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Deleži v instrumentih dodatnega temeljnega kapitala subjektov finančnega sektorja (kot so opredeljeni v členu 4(1)(27) CRR.), kadar obstaja vzajemni navzkrižni delež, za katerega pristojni organ meni, da je bil oblikovan z namenom umetnega povečanja kapitala institucije.</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se izračuna na podlagi bruto dolgih pozicij ter vključ</w:t>
            </w:r>
            <w:r>
              <w:rPr>
                <w:rStyle w:val="FormatvorlageInstructionsTabelleText"/>
                <w:rFonts w:ascii="Times New Roman" w:hAnsi="Times New Roman"/>
                <w:sz w:val="24"/>
              </w:rPr>
              <w:t>u</w:t>
            </w:r>
            <w:r>
              <w:rPr>
                <w:rStyle w:val="FormatvorlageInstructionsTabelleText"/>
                <w:rFonts w:ascii="Times New Roman" w:hAnsi="Times New Roman"/>
                <w:sz w:val="24"/>
              </w:rPr>
              <w:t>je zavarovalniške postavke lastnih sredstev drugega in tretjega reda.</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rsidRPr="00EE0671">
              <w:rPr>
                <w:u w:val="single"/>
              </w:rPr>
              <w:tab/>
            </w:r>
            <w:r>
              <w:rPr>
                <w:rStyle w:val="InstructionsTabelleberschrift"/>
                <w:rFonts w:ascii="Times New Roman" w:hAnsi="Times New Roman"/>
                <w:sz w:val="24"/>
              </w:rPr>
              <w:t>(–) Instrumenti dodatnega kapitala subjektov finančnega sekto</w:t>
            </w:r>
            <w:r>
              <w:rPr>
                <w:rStyle w:val="InstructionsTabelleberschrift"/>
                <w:rFonts w:ascii="Times New Roman" w:hAnsi="Times New Roman"/>
                <w:sz w:val="24"/>
              </w:rPr>
              <w:t>r</w:t>
            </w:r>
            <w:r>
              <w:rPr>
                <w:rStyle w:val="InstructionsTabelleberschrift"/>
                <w:rFonts w:ascii="Times New Roman" w:hAnsi="Times New Roman"/>
                <w:sz w:val="24"/>
              </w:rPr>
              <w:t>ja, v katerih institucija nima pomembne naložbe</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Člen 4(1)(27), člen 66(c) ter členi 68 do 70 in 79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 deležev institucije v instrumentih subjektov finančnega sektorja (kot so opredeljeni v členu 4(1)(27) CRR), v katerih institucija nima pomembne naložbe, ki ga je treba odbiti od dodatnega kapitala.</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950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rsidRPr="00EE0671">
              <w:rPr>
                <w:u w:val="single"/>
              </w:rPr>
              <w:tab/>
            </w:r>
            <w:r>
              <w:rPr>
                <w:rStyle w:val="InstructionsTabelleberschrift"/>
                <w:rFonts w:ascii="Times New Roman" w:hAnsi="Times New Roman"/>
                <w:sz w:val="24"/>
              </w:rPr>
              <w:t>(–) Instrumenti dodatnega kapitala subjektov finančnega sekto</w:t>
            </w:r>
            <w:r>
              <w:rPr>
                <w:rStyle w:val="InstructionsTabelleberschrift"/>
                <w:rFonts w:ascii="Times New Roman" w:hAnsi="Times New Roman"/>
                <w:sz w:val="24"/>
              </w:rPr>
              <w:t>r</w:t>
            </w:r>
            <w:r>
              <w:rPr>
                <w:rStyle w:val="InstructionsTabelleberschrift"/>
                <w:rFonts w:ascii="Times New Roman" w:hAnsi="Times New Roman"/>
                <w:sz w:val="24"/>
              </w:rPr>
              <w:t>ja, v katerih ima institucija pomembno naložbo</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4(1)(27), člen 66(d) ter členi 68, 69 in 79 CRR.</w:t>
            </w:r>
          </w:p>
          <w:p w:rsidR="005643EA" w:rsidRPr="00392FFD" w:rsidRDefault="009B51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Deleži institucije v instrumentih dodatnega kapitala subjektov finančnega sektorja (kot so opredeljeni v členu 4(1)(27) CRR), v katerih ima institucija pomembno naložbo, se v celoti odbijejo.</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960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rsidRPr="00EE0671">
              <w:rPr>
                <w:u w:val="single"/>
              </w:rPr>
              <w:tab/>
            </w:r>
            <w:r>
              <w:rPr>
                <w:rStyle w:val="InstructionsTabelleberschrift"/>
                <w:rFonts w:ascii="Times New Roman" w:hAnsi="Times New Roman"/>
                <w:sz w:val="24"/>
              </w:rPr>
              <w:t>Druge prehodne prilagoditve dodatnega kapitala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Členi 476 do 478 in 481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Prilagoditve zaradi prehodnih določb. Znesek, ki se poroča, se pridobi nep</w:t>
            </w:r>
            <w:r>
              <w:rPr>
                <w:rStyle w:val="FormatvorlageInstructionsTabelleText"/>
                <w:rFonts w:ascii="Times New Roman" w:hAnsi="Times New Roman"/>
                <w:sz w:val="24"/>
              </w:rPr>
              <w:t>o</w:t>
            </w:r>
            <w:r>
              <w:rPr>
                <w:rStyle w:val="FormatvorlageInstructionsTabelleText"/>
                <w:rFonts w:ascii="Times New Roman" w:hAnsi="Times New Roman"/>
                <w:sz w:val="24"/>
              </w:rPr>
              <w:t>sredno iz predloge CA5.</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rsidRPr="00EE0671">
              <w:rPr>
                <w:u w:val="single"/>
              </w:rPr>
              <w:tab/>
            </w:r>
            <w:r>
              <w:rPr>
                <w:rStyle w:val="InstructionsTabelleberschrift"/>
                <w:rFonts w:ascii="Times New Roman" w:hAnsi="Times New Roman"/>
                <w:sz w:val="24"/>
              </w:rPr>
              <w:t>Presežek odbitka od postavk dodatnega kapitala nad dodatnim kapitalom (odbito v dodatnem temeljnem kapitalu)</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56(e)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Dodatni kapital ne more biti negativen, odbitki dodatnega kapitala pa so la</w:t>
            </w:r>
            <w:r>
              <w:rPr>
                <w:rStyle w:val="FormatvorlageInstructionsTabelleText"/>
                <w:rFonts w:ascii="Times New Roman" w:hAnsi="Times New Roman"/>
                <w:sz w:val="24"/>
              </w:rPr>
              <w:t>h</w:t>
            </w:r>
            <w:r>
              <w:rPr>
                <w:rStyle w:val="FormatvorlageInstructionsTabelleText"/>
                <w:rFonts w:ascii="Times New Roman" w:hAnsi="Times New Roman"/>
                <w:sz w:val="24"/>
              </w:rPr>
              <w:t>ko večji od dodatnega kapitala, ki mu je prištet z njim povezan vplačani pr</w:t>
            </w:r>
            <w:r>
              <w:rPr>
                <w:rStyle w:val="FormatvorlageInstructionsTabelleText"/>
                <w:rFonts w:ascii="Times New Roman" w:hAnsi="Times New Roman"/>
                <w:sz w:val="24"/>
              </w:rPr>
              <w:t>e</w:t>
            </w:r>
            <w:r>
              <w:rPr>
                <w:rStyle w:val="FormatvorlageInstructionsTabelleText"/>
                <w:rFonts w:ascii="Times New Roman" w:hAnsi="Times New Roman"/>
                <w:sz w:val="24"/>
              </w:rPr>
              <w:t>sežek kapitala. Kadar se to zgodi, je dodatni kapital enak nič, presežek odb</w:t>
            </w:r>
            <w:r>
              <w:rPr>
                <w:rStyle w:val="FormatvorlageInstructionsTabelleText"/>
                <w:rFonts w:ascii="Times New Roman" w:hAnsi="Times New Roman"/>
                <w:sz w:val="24"/>
              </w:rPr>
              <w:t>i</w:t>
            </w:r>
            <w:r>
              <w:rPr>
                <w:rStyle w:val="FormatvorlageInstructionsTabelleText"/>
                <w:rFonts w:ascii="Times New Roman" w:hAnsi="Times New Roman"/>
                <w:sz w:val="24"/>
              </w:rPr>
              <w:t>tkov dodatnega kapitala pa se odbije od dodatnega temeljnega kapitala.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 tej postavki vsota postavk 1.2.1 do 1.2.13 nikoli ni manjša kot nič. Če je v tej postavki izkazana pozitivna vrednost, je postavka 1.1.2.8 nasprotna tej vrednosti.</w:t>
            </w:r>
          </w:p>
        </w:tc>
      </w:tr>
      <w:tr w:rsidR="00BD687C" w:rsidRPr="00392FFD" w:rsidTr="00672D2A">
        <w:tc>
          <w:tcPr>
            <w:tcW w:w="1129" w:type="dxa"/>
          </w:tcPr>
          <w:p w:rsidR="00BD687C" w:rsidRPr="00392FFD" w:rsidDel="00BD687C" w:rsidRDefault="00BD687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974</w:t>
            </w:r>
          </w:p>
        </w:tc>
        <w:tc>
          <w:tcPr>
            <w:tcW w:w="7620" w:type="dxa"/>
          </w:tcPr>
          <w:p w:rsidR="005643EA" w:rsidRPr="00392FFD" w:rsidRDefault="00BD68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rsidRPr="00EE0671">
              <w:rPr>
                <w:u w:val="single"/>
              </w:rPr>
              <w:tab/>
            </w:r>
            <w:r>
              <w:rPr>
                <w:rStyle w:val="InstructionsTabelleberschrift"/>
                <w:rFonts w:ascii="Times New Roman" w:hAnsi="Times New Roman"/>
                <w:sz w:val="24"/>
              </w:rPr>
              <w:t>(–) Dodatni odbitki dodatnega kapitala v skladu s členom 3 CRR</w:t>
            </w:r>
          </w:p>
          <w:p w:rsidR="005643EA" w:rsidRPr="007E39E6" w:rsidRDefault="00BD687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3 CRR.</w:t>
            </w:r>
          </w:p>
        </w:tc>
      </w:tr>
      <w:tr w:rsidR="00A86EB4" w:rsidRPr="00392FFD" w:rsidTr="00672D2A">
        <w:tc>
          <w:tcPr>
            <w:tcW w:w="1129" w:type="dxa"/>
          </w:tcPr>
          <w:p w:rsidR="00A86EB4" w:rsidRPr="00392FFD" w:rsidRDefault="00BD687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978</w:t>
            </w:r>
          </w:p>
        </w:tc>
        <w:tc>
          <w:tcPr>
            <w:tcW w:w="7620" w:type="dxa"/>
          </w:tcPr>
          <w:p w:rsidR="005643EA" w:rsidRPr="007E39E6" w:rsidRDefault="00A86EB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rsidRPr="00EE0671">
              <w:rPr>
                <w:u w:val="single"/>
              </w:rPr>
              <w:tab/>
            </w:r>
            <w:r>
              <w:rPr>
                <w:rStyle w:val="InstructionsTabelleberschrift"/>
                <w:rFonts w:ascii="Times New Roman" w:hAnsi="Times New Roman"/>
                <w:sz w:val="24"/>
              </w:rPr>
              <w:t xml:space="preserve">Elementi ali odbitki dodatnega kapitala – drugo </w:t>
            </w:r>
          </w:p>
          <w:p w:rsidR="005643EA" w:rsidRPr="00392FFD"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Ta vrstica je namenjena zagotavljanju prožnosti izključno za namene por</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čanja. Izpolni se le v redkih primerih, kadar ni sprejeta končna odločitev o poročanju posebnih kapitalskih postavk/odbitkov v sedanji predlogi CA1. Zato se ta vrstica izpolni le, če sestavina navadnega lastniškega temeljnega kapitala glede na odbitek sestavine navadnega lastniškega temeljnega kapit</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xml:space="preserve">la ne more biti razvrščena v eno od vrstic 750 do 974. </w:t>
            </w:r>
          </w:p>
          <w:p w:rsidR="005643EA" w:rsidRPr="007E39E6" w:rsidRDefault="00A86EB4" w:rsidP="00255BA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Ta celica se ne uporabi za uvrstitev kapitalskih postavk/odbitkov, ki v skladu s CRR niso zajeti v izračun količnikov kapitalske ustreznosti (npr. razvrst</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tev nacionalnih kapitalskih postavk/odbitkov, ki niso zajeti v področje up</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rabe CRR).</w:t>
            </w:r>
          </w:p>
        </w:tc>
      </w:tr>
    </w:tbl>
    <w:p w:rsidR="005643EA" w:rsidRPr="00392FFD" w:rsidRDefault="005643EA" w:rsidP="00FD239F">
      <w:pPr>
        <w:pStyle w:val="InstructionsText"/>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52" w:name="_Toc516210610"/>
      <w:bookmarkStart w:id="53" w:name="_Toc473560875"/>
      <w:bookmarkStart w:id="54" w:name="_Toc308175823"/>
      <w:bookmarkStart w:id="55" w:name="_Toc360188327"/>
      <w:bookmarkStart w:id="56" w:name="_Toc523474359"/>
      <w:r>
        <w:rPr>
          <w:rFonts w:ascii="Times New Roman" w:hAnsi="Times New Roman"/>
          <w:sz w:val="24"/>
          <w:u w:val="none"/>
        </w:rPr>
        <w:lastRenderedPageBreak/>
        <w:t>1.3.</w:t>
      </w:r>
      <w:r w:rsidRPr="00EE0671">
        <w:rPr>
          <w:u w:val="none"/>
        </w:rPr>
        <w:tab/>
      </w:r>
      <w:r>
        <w:rPr>
          <w:rFonts w:ascii="Times New Roman" w:hAnsi="Times New Roman"/>
          <w:sz w:val="24"/>
        </w:rPr>
        <w:t>C 02.00 – KAPITALSKE ZAHTEVE (CA2)</w:t>
      </w:r>
      <w:bookmarkEnd w:id="52"/>
      <w:bookmarkEnd w:id="53"/>
      <w:bookmarkEnd w:id="56"/>
      <w:r>
        <w:rPr>
          <w:rFonts w:ascii="Times New Roman" w:hAnsi="Times New Roman"/>
          <w:sz w:val="24"/>
        </w:rPr>
        <w:t xml:space="preserve"> </w:t>
      </w:r>
      <w:bookmarkEnd w:id="54"/>
      <w:bookmarkEnd w:id="55"/>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57" w:name="_Toc308175824"/>
      <w:bookmarkStart w:id="58" w:name="_Toc310414970"/>
      <w:bookmarkStart w:id="59" w:name="_Toc360188328"/>
      <w:bookmarkStart w:id="60" w:name="_Toc516210611"/>
      <w:bookmarkStart w:id="61" w:name="_Toc473560876"/>
      <w:bookmarkStart w:id="62" w:name="_Toc523474360"/>
      <w:r>
        <w:rPr>
          <w:rFonts w:ascii="Times New Roman" w:hAnsi="Times New Roman"/>
          <w:sz w:val="24"/>
          <w:u w:val="none"/>
        </w:rPr>
        <w:t>1.3.1.</w:t>
      </w:r>
      <w:r w:rsidRPr="00EE0671">
        <w:rPr>
          <w:u w:val="none"/>
        </w:rPr>
        <w:tab/>
      </w:r>
      <w:r>
        <w:rPr>
          <w:rFonts w:ascii="Times New Roman" w:hAnsi="Times New Roman"/>
          <w:sz w:val="24"/>
        </w:rPr>
        <w:t xml:space="preserve">Navodila za posamezne </w:t>
      </w:r>
      <w:bookmarkEnd w:id="57"/>
      <w:bookmarkEnd w:id="58"/>
      <w:r>
        <w:rPr>
          <w:rFonts w:ascii="Times New Roman" w:hAnsi="Times New Roman"/>
          <w:sz w:val="24"/>
        </w:rPr>
        <w:t>pozicije</w:t>
      </w:r>
      <w:bookmarkEnd w:id="59"/>
      <w:bookmarkEnd w:id="60"/>
      <w:bookmarkEnd w:id="61"/>
      <w:bookmarkEnd w:id="62"/>
    </w:p>
    <w:p w:rsidR="002648B0" w:rsidRPr="00392FFD"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392FFD" w:rsidTr="00672D2A">
        <w:tc>
          <w:tcPr>
            <w:tcW w:w="1591" w:type="dxa"/>
            <w:shd w:val="clear" w:color="auto" w:fill="D9D9D9"/>
          </w:tcPr>
          <w:p w:rsidR="002648B0" w:rsidRPr="00392FFD" w:rsidRDefault="002648B0" w:rsidP="00FD239F">
            <w:pPr>
              <w:pStyle w:val="InstructionsText"/>
            </w:pPr>
            <w:r>
              <w:t>Vrstica</w:t>
            </w:r>
          </w:p>
        </w:tc>
        <w:tc>
          <w:tcPr>
            <w:tcW w:w="7274" w:type="dxa"/>
            <w:shd w:val="clear" w:color="auto" w:fill="D9D9D9"/>
          </w:tcPr>
          <w:p w:rsidR="005643EA" w:rsidRPr="00392FFD" w:rsidRDefault="002648B0" w:rsidP="00FD239F">
            <w:pPr>
              <w:pStyle w:val="InstructionsText"/>
            </w:pPr>
            <w:r>
              <w:t>Pravna sklicevanja in navodila</w:t>
            </w:r>
          </w:p>
        </w:tc>
      </w:tr>
      <w:tr w:rsidR="002648B0" w:rsidRPr="00392FFD" w:rsidTr="00672D2A">
        <w:tc>
          <w:tcPr>
            <w:tcW w:w="1591" w:type="dxa"/>
          </w:tcPr>
          <w:p w:rsidR="002648B0" w:rsidRPr="00392FFD" w:rsidRDefault="002648B0" w:rsidP="00FD239F">
            <w:pPr>
              <w:pStyle w:val="InstructionsText"/>
            </w:pPr>
            <w:r>
              <w:t>010</w:t>
            </w:r>
          </w:p>
        </w:tc>
        <w:tc>
          <w:tcPr>
            <w:tcW w:w="7274" w:type="dxa"/>
          </w:tcPr>
          <w:p w:rsidR="005643EA" w:rsidRPr="007E39E6" w:rsidRDefault="00C66473" w:rsidP="00FD239F">
            <w:pPr>
              <w:pStyle w:val="InstructionsText"/>
            </w:pPr>
            <w:r>
              <w:rPr>
                <w:rStyle w:val="InstructionsTabelleberschrift"/>
                <w:rFonts w:ascii="Times New Roman" w:hAnsi="Times New Roman"/>
                <w:sz w:val="24"/>
              </w:rPr>
              <w:t>1</w:t>
            </w:r>
            <w:r w:rsidRPr="00EE0671">
              <w:rPr>
                <w:u w:val="single"/>
              </w:rPr>
              <w:tab/>
            </w:r>
            <w:r>
              <w:rPr>
                <w:rStyle w:val="InstructionsTabelleberschrift"/>
                <w:rFonts w:ascii="Times New Roman" w:hAnsi="Times New Roman"/>
                <w:sz w:val="24"/>
              </w:rPr>
              <w:t>ZNESEK SKUPNE IZPOSTAVLJENOSTI TVEGANJU</w:t>
            </w:r>
          </w:p>
          <w:p w:rsidR="002648B0" w:rsidRPr="00392FFD" w:rsidRDefault="002648B0" w:rsidP="00FD239F">
            <w:pPr>
              <w:pStyle w:val="InstructionsText"/>
            </w:pPr>
            <w:r>
              <w:t>Člen 92(3) ter členi 95, 96 in 98 CRR.</w:t>
            </w:r>
          </w:p>
        </w:tc>
      </w:tr>
      <w:tr w:rsidR="002648B0" w:rsidRPr="00392FFD" w:rsidTr="00672D2A">
        <w:tc>
          <w:tcPr>
            <w:tcW w:w="1591" w:type="dxa"/>
          </w:tcPr>
          <w:p w:rsidR="002648B0" w:rsidRPr="00392FFD" w:rsidRDefault="002648B0" w:rsidP="00FD239F">
            <w:pPr>
              <w:pStyle w:val="InstructionsText"/>
            </w:pPr>
            <w:r>
              <w:t>020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w:t>
            </w:r>
            <w:r w:rsidRPr="00EE0671">
              <w:rPr>
                <w:u w:val="single"/>
              </w:rPr>
              <w:tab/>
            </w:r>
            <w:r>
              <w:rPr>
                <w:rStyle w:val="InstructionsTabelleberschrift"/>
                <w:rFonts w:ascii="Times New Roman" w:hAnsi="Times New Roman"/>
                <w:sz w:val="24"/>
              </w:rPr>
              <w:t>Od tega: Investicijska podjetja v skladu z odstavkom 2 čl</w:t>
            </w:r>
            <w:r>
              <w:rPr>
                <w:rStyle w:val="InstructionsTabelleberschrift"/>
                <w:rFonts w:ascii="Times New Roman" w:hAnsi="Times New Roman"/>
                <w:sz w:val="24"/>
              </w:rPr>
              <w:t>e</w:t>
            </w:r>
            <w:r>
              <w:rPr>
                <w:rStyle w:val="InstructionsTabelleberschrift"/>
                <w:rFonts w:ascii="Times New Roman" w:hAnsi="Times New Roman"/>
                <w:sz w:val="24"/>
              </w:rPr>
              <w:t>na 95 in členom 98 CRR</w:t>
            </w:r>
          </w:p>
          <w:p w:rsidR="005643EA" w:rsidRPr="00392FFD" w:rsidRDefault="002648B0" w:rsidP="00FD239F">
            <w:pPr>
              <w:pStyle w:val="InstructionsText"/>
            </w:pPr>
            <w:r>
              <w:t>Za investicijska podjetja v skladu s členom 95</w:t>
            </w:r>
            <w:r>
              <w:rPr>
                <w:rStyle w:val="FormatvorlageInstructionsTabelleText"/>
                <w:rFonts w:ascii="Times New Roman" w:hAnsi="Times New Roman"/>
                <w:sz w:val="24"/>
              </w:rPr>
              <w:t>(2)</w:t>
            </w:r>
            <w:r>
              <w:t xml:space="preserve"> in členom 98 CRR.</w:t>
            </w:r>
          </w:p>
        </w:tc>
      </w:tr>
      <w:tr w:rsidR="002648B0" w:rsidRPr="00392FFD" w:rsidTr="00672D2A">
        <w:tc>
          <w:tcPr>
            <w:tcW w:w="1591" w:type="dxa"/>
          </w:tcPr>
          <w:p w:rsidR="002648B0" w:rsidRPr="00392FFD" w:rsidRDefault="002648B0" w:rsidP="00FD239F">
            <w:pPr>
              <w:pStyle w:val="InstructionsText"/>
            </w:pPr>
            <w:r>
              <w:t>030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w:t>
            </w:r>
            <w:r w:rsidRPr="00EE0671">
              <w:rPr>
                <w:u w:val="single"/>
              </w:rPr>
              <w:tab/>
            </w:r>
            <w:r>
              <w:rPr>
                <w:rStyle w:val="InstructionsTabelleberschrift"/>
                <w:rFonts w:ascii="Times New Roman" w:hAnsi="Times New Roman"/>
                <w:sz w:val="24"/>
              </w:rPr>
              <w:t>Od tega: Investicijska podjetja v skladu z odstavkom 2 čl</w:t>
            </w:r>
            <w:r>
              <w:rPr>
                <w:rStyle w:val="InstructionsTabelleberschrift"/>
                <w:rFonts w:ascii="Times New Roman" w:hAnsi="Times New Roman"/>
                <w:sz w:val="24"/>
              </w:rPr>
              <w:t>e</w:t>
            </w:r>
            <w:r>
              <w:rPr>
                <w:rStyle w:val="InstructionsTabelleberschrift"/>
                <w:rFonts w:ascii="Times New Roman" w:hAnsi="Times New Roman"/>
                <w:sz w:val="24"/>
              </w:rPr>
              <w:t>na 96 in členom 97 CRR</w:t>
            </w:r>
          </w:p>
          <w:p w:rsidR="005643EA" w:rsidRPr="00392FFD" w:rsidRDefault="002648B0" w:rsidP="00FD239F">
            <w:pPr>
              <w:pStyle w:val="InstructionsText"/>
            </w:pPr>
            <w:r>
              <w:t>Za investicijska podjetja v skladu s členom 96</w:t>
            </w:r>
            <w:r>
              <w:rPr>
                <w:rStyle w:val="FormatvorlageInstructionsTabelleText"/>
                <w:rFonts w:ascii="Times New Roman" w:hAnsi="Times New Roman"/>
                <w:sz w:val="24"/>
              </w:rPr>
              <w:t>(2)</w:t>
            </w:r>
            <w:r>
              <w:t xml:space="preserve"> in členom 97 CRR.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rsidRPr="00EE0671">
              <w:rPr>
                <w:u w:val="single"/>
              </w:rPr>
              <w:tab/>
            </w:r>
            <w:r>
              <w:rPr>
                <w:rStyle w:val="InstructionsTabelleberschrift"/>
                <w:rFonts w:ascii="Times New Roman" w:hAnsi="Times New Roman"/>
                <w:sz w:val="24"/>
              </w:rPr>
              <w:t>ZNESKI TVEGANJU PRILAGOJENIH IZPOSTAVLJ</w:t>
            </w:r>
            <w:r>
              <w:rPr>
                <w:rStyle w:val="InstructionsTabelleberschrift"/>
                <w:rFonts w:ascii="Times New Roman" w:hAnsi="Times New Roman"/>
                <w:sz w:val="24"/>
              </w:rPr>
              <w:t>E</w:t>
            </w:r>
            <w:r>
              <w:rPr>
                <w:rStyle w:val="InstructionsTabelleberschrift"/>
                <w:rFonts w:ascii="Times New Roman" w:hAnsi="Times New Roman"/>
                <w:sz w:val="24"/>
              </w:rPr>
              <w:t>NOSTI ZA KREDITNO TVEGANJE, KREDITNO TVEGANJE NASPROTNE STRANKE IN TVEGANJE ZMANJŠANJA VRE</w:t>
            </w:r>
            <w:r>
              <w:rPr>
                <w:rStyle w:val="InstructionsTabelleberschrift"/>
                <w:rFonts w:ascii="Times New Roman" w:hAnsi="Times New Roman"/>
                <w:sz w:val="24"/>
              </w:rPr>
              <w:t>D</w:t>
            </w:r>
            <w:r>
              <w:rPr>
                <w:rStyle w:val="InstructionsTabelleberschrift"/>
                <w:rFonts w:ascii="Times New Roman" w:hAnsi="Times New Roman"/>
                <w:sz w:val="24"/>
              </w:rPr>
              <w:t>NOSTI TER PROSTE IZROČITVE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92(3)(a) in (f) CRR.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sidRPr="00EE0671">
              <w:rPr>
                <w:u w:val="single"/>
              </w:rPr>
              <w:tab/>
            </w:r>
            <w:r>
              <w:rPr>
                <w:rStyle w:val="InstructionsTabelleberschrift"/>
                <w:rFonts w:ascii="Times New Roman" w:hAnsi="Times New Roman"/>
                <w:sz w:val="24"/>
              </w:rPr>
              <w:t>Standardizirani pristop (SA)</w:t>
            </w:r>
          </w:p>
          <w:p w:rsidR="002648B0" w:rsidRPr="00392FFD" w:rsidRDefault="002648B0" w:rsidP="00FD239F">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Predlogi CR SA in SEC SA na ravni celotnih izpostavljenosti.</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w:t>
            </w:r>
          </w:p>
        </w:tc>
        <w:tc>
          <w:tcPr>
            <w:tcW w:w="7274" w:type="dxa"/>
          </w:tcPr>
          <w:p w:rsidR="005643EA" w:rsidRPr="001C5CA8"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sidR="003F40E8" w:rsidRPr="003F40E8">
              <w:rPr>
                <w:u w:val="single"/>
              </w:rPr>
              <w:tab/>
            </w:r>
            <w:r>
              <w:rPr>
                <w:rStyle w:val="InstructionsTabelleberschrift"/>
                <w:rFonts w:ascii="Times New Roman" w:hAnsi="Times New Roman"/>
                <w:sz w:val="24"/>
              </w:rPr>
              <w:t>Kategorije izpostavljenosti na podlagi standardiziranega pri</w:t>
            </w:r>
            <w:r>
              <w:rPr>
                <w:rStyle w:val="InstructionsTabelleberschrift"/>
                <w:rFonts w:ascii="Times New Roman" w:hAnsi="Times New Roman"/>
                <w:sz w:val="24"/>
              </w:rPr>
              <w:t>s</w:t>
            </w:r>
            <w:r>
              <w:rPr>
                <w:rStyle w:val="InstructionsTabelleberschrift"/>
                <w:rFonts w:ascii="Times New Roman" w:hAnsi="Times New Roman"/>
                <w:sz w:val="24"/>
              </w:rPr>
              <w:t>topa brez pozicij v listinjenju</w:t>
            </w:r>
          </w:p>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Predloga CR SA na ravni celotnih izpostavljenosti. Kategorije izposta</w:t>
            </w:r>
            <w:r>
              <w:rPr>
                <w:rStyle w:val="FormatvorlageInstructionsTabelleText"/>
                <w:rFonts w:ascii="Times New Roman" w:hAnsi="Times New Roman"/>
                <w:sz w:val="24"/>
              </w:rPr>
              <w:t>v</w:t>
            </w:r>
            <w:r>
              <w:rPr>
                <w:rStyle w:val="FormatvorlageInstructionsTabelleText"/>
                <w:rFonts w:ascii="Times New Roman" w:hAnsi="Times New Roman"/>
                <w:sz w:val="24"/>
              </w:rPr>
              <w:t>ljenosti na podlagi</w:t>
            </w:r>
            <w:r>
              <w:rPr>
                <w:rStyle w:val="InstructionsTabelleberschrift"/>
                <w:rFonts w:ascii="Times New Roman" w:hAnsi="Times New Roman"/>
                <w:b w:val="0"/>
                <w:sz w:val="24"/>
                <w:u w:val="none"/>
              </w:rPr>
              <w:t xml:space="preserve"> standardiziranega pristopa</w:t>
            </w:r>
            <w:r>
              <w:rPr>
                <w:rStyle w:val="FormatvorlageInstructionsTabelleText"/>
                <w:rFonts w:ascii="Times New Roman" w:hAnsi="Times New Roman"/>
                <w:sz w:val="24"/>
              </w:rPr>
              <w:t xml:space="preserve"> so kategorije, navedene v členu 112 CRR, brez pozicij v listinjenju.</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sidRPr="00EE0671">
              <w:rPr>
                <w:u w:val="single"/>
              </w:rPr>
              <w:tab/>
            </w:r>
            <w:r>
              <w:rPr>
                <w:rStyle w:val="InstructionsTabelleberschrift"/>
                <w:rFonts w:ascii="Times New Roman" w:hAnsi="Times New Roman"/>
                <w:sz w:val="24"/>
              </w:rPr>
              <w:t>Enote centralne ravni države ali centralne banke</w:t>
            </w:r>
          </w:p>
          <w:p w:rsidR="00496C53" w:rsidRPr="00392FFD" w:rsidRDefault="00D212FE"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Glej predlogo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w:t>
            </w:r>
          </w:p>
        </w:tc>
        <w:tc>
          <w:tcPr>
            <w:tcW w:w="7274" w:type="dxa"/>
          </w:tcPr>
          <w:p w:rsidR="00783881"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rsidRPr="00EE0671">
              <w:rPr>
                <w:u w:val="single"/>
              </w:rPr>
              <w:tab/>
            </w:r>
            <w:r>
              <w:rPr>
                <w:rStyle w:val="InstructionsTabelleberschrift"/>
                <w:rFonts w:ascii="Times New Roman" w:hAnsi="Times New Roman"/>
                <w:sz w:val="24"/>
              </w:rPr>
              <w:t>Enote regionalne ali lokalne ravni držav</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w:t>
            </w:r>
          </w:p>
        </w:tc>
        <w:tc>
          <w:tcPr>
            <w:tcW w:w="7274" w:type="dxa"/>
          </w:tcPr>
          <w:p w:rsidR="005643EA" w:rsidRPr="007E39E6" w:rsidRDefault="002648B0" w:rsidP="00FD239F">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rsidRPr="00EE0671">
              <w:rPr>
                <w:u w:val="single"/>
              </w:rPr>
              <w:tab/>
            </w:r>
            <w:r>
              <w:rPr>
                <w:rStyle w:val="InstructionsTabelleberschrift"/>
                <w:rFonts w:ascii="Times New Roman" w:hAnsi="Times New Roman"/>
                <w:sz w:val="24"/>
              </w:rPr>
              <w:t>Subjekti javnega sektorja</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100</w:t>
            </w:r>
          </w:p>
        </w:tc>
        <w:tc>
          <w:tcPr>
            <w:tcW w:w="7274" w:type="dxa"/>
          </w:tcPr>
          <w:p w:rsidR="002648B0"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rsidRPr="00EE0671">
              <w:rPr>
                <w:u w:val="single"/>
              </w:rPr>
              <w:tab/>
            </w:r>
            <w:r>
              <w:rPr>
                <w:rStyle w:val="InstructionsTabelleberschrift"/>
                <w:rFonts w:ascii="Times New Roman" w:hAnsi="Times New Roman"/>
                <w:sz w:val="24"/>
              </w:rPr>
              <w:t>Multilateralne razvojne banke</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Glej predlogo CR SA </w:t>
            </w:r>
          </w:p>
        </w:tc>
      </w:tr>
      <w:tr w:rsidR="002648B0" w:rsidRPr="00394410"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110</w:t>
            </w:r>
          </w:p>
        </w:tc>
        <w:tc>
          <w:tcPr>
            <w:tcW w:w="7274" w:type="dxa"/>
          </w:tcPr>
          <w:p w:rsidR="005643EA" w:rsidRPr="0023700C"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rsidRPr="00EE0671">
              <w:rPr>
                <w:u w:val="single"/>
              </w:rPr>
              <w:tab/>
            </w:r>
            <w:r>
              <w:rPr>
                <w:rStyle w:val="InstructionsTabelleberschrift"/>
                <w:rFonts w:ascii="Times New Roman" w:hAnsi="Times New Roman"/>
                <w:sz w:val="24"/>
              </w:rPr>
              <w:t>Mednarodne organizacije</w:t>
            </w:r>
          </w:p>
          <w:p w:rsidR="002648B0" w:rsidRPr="0023700C" w:rsidRDefault="0078388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2648B0" w:rsidRPr="00394410"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120</w:t>
            </w:r>
          </w:p>
        </w:tc>
        <w:tc>
          <w:tcPr>
            <w:tcW w:w="7274" w:type="dxa"/>
          </w:tcPr>
          <w:p w:rsidR="005643EA" w:rsidRPr="0023700C" w:rsidRDefault="0078388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rsidRPr="00EE0671">
              <w:rPr>
                <w:u w:val="single"/>
              </w:rPr>
              <w:tab/>
            </w:r>
            <w:r>
              <w:rPr>
                <w:rStyle w:val="InstructionsTabelleberschrift"/>
                <w:rFonts w:ascii="Times New Roman" w:hAnsi="Times New Roman"/>
                <w:sz w:val="24"/>
              </w:rPr>
              <w:t>Institucije</w:t>
            </w:r>
          </w:p>
          <w:p w:rsidR="002648B0" w:rsidRPr="0023700C" w:rsidRDefault="0078388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130</w:t>
            </w:r>
          </w:p>
        </w:tc>
        <w:tc>
          <w:tcPr>
            <w:tcW w:w="7274" w:type="dxa"/>
          </w:tcPr>
          <w:p w:rsidR="00783881"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rsidRPr="00EE0671">
              <w:rPr>
                <w:u w:val="single"/>
              </w:rPr>
              <w:tab/>
            </w:r>
            <w:r>
              <w:rPr>
                <w:rStyle w:val="InstructionsTabelleberschrift"/>
                <w:rFonts w:ascii="Times New Roman" w:hAnsi="Times New Roman"/>
                <w:sz w:val="24"/>
              </w:rPr>
              <w:t>Podjetja</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Glej predlogo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140</w:t>
            </w:r>
          </w:p>
        </w:tc>
        <w:tc>
          <w:tcPr>
            <w:tcW w:w="7274" w:type="dxa"/>
          </w:tcPr>
          <w:p w:rsidR="005643EA" w:rsidRPr="007E39E6" w:rsidRDefault="002648B0" w:rsidP="00FD239F">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rsidRPr="00EE0671">
              <w:rPr>
                <w:u w:val="single"/>
              </w:rPr>
              <w:tab/>
            </w:r>
            <w:r>
              <w:rPr>
                <w:rStyle w:val="InstructionsTabelleberschrift"/>
                <w:rFonts w:ascii="Times New Roman" w:hAnsi="Times New Roman"/>
                <w:sz w:val="24"/>
              </w:rPr>
              <w:t>Izpostavljenosti na drobno</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rsidRPr="00EE0671">
              <w:rPr>
                <w:u w:val="single"/>
              </w:rPr>
              <w:tab/>
            </w:r>
            <w:r>
              <w:rPr>
                <w:rStyle w:val="InstructionsTabelleberschrift"/>
                <w:rFonts w:ascii="Times New Roman" w:hAnsi="Times New Roman"/>
                <w:sz w:val="24"/>
              </w:rPr>
              <w:t>Zavarovano s hipotekami na nepremičnine</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160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rsidRPr="00EE0671">
              <w:rPr>
                <w:u w:val="single"/>
              </w:rPr>
              <w:tab/>
            </w:r>
            <w:r>
              <w:rPr>
                <w:rStyle w:val="InstructionsTabelleberschrift"/>
                <w:rFonts w:ascii="Times New Roman" w:hAnsi="Times New Roman"/>
                <w:sz w:val="24"/>
              </w:rPr>
              <w:t>Neplačane izpostavljenosti</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170</w:t>
            </w:r>
          </w:p>
        </w:tc>
        <w:tc>
          <w:tcPr>
            <w:tcW w:w="7274" w:type="dxa"/>
          </w:tcPr>
          <w:p w:rsidR="00783881"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rsidRPr="00EE0671">
              <w:rPr>
                <w:u w:val="single"/>
              </w:rPr>
              <w:tab/>
            </w:r>
            <w:r>
              <w:rPr>
                <w:rStyle w:val="InstructionsTabelleberschrift"/>
                <w:rFonts w:ascii="Times New Roman" w:hAnsi="Times New Roman"/>
                <w:sz w:val="24"/>
              </w:rPr>
              <w:t>Postavke, povezane z zelo visokim tveganjem</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rsidRPr="00EE0671">
              <w:rPr>
                <w:u w:val="single"/>
              </w:rPr>
              <w:tab/>
            </w:r>
            <w:r>
              <w:rPr>
                <w:rStyle w:val="InstructionsTabelleberschrift"/>
                <w:rFonts w:ascii="Times New Roman" w:hAnsi="Times New Roman"/>
                <w:sz w:val="24"/>
              </w:rPr>
              <w:t>Krite obveznice</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rsidRPr="00EE0671">
              <w:rPr>
                <w:u w:val="single"/>
              </w:rPr>
              <w:tab/>
            </w:r>
            <w:r>
              <w:rPr>
                <w:rStyle w:val="InstructionsTabelleberschrift"/>
                <w:rFonts w:ascii="Times New Roman" w:hAnsi="Times New Roman"/>
                <w:sz w:val="24"/>
              </w:rPr>
              <w:t>Terjatve do institucij in podjetij s kratkoročno bonit</w:t>
            </w:r>
            <w:r>
              <w:rPr>
                <w:rStyle w:val="InstructionsTabelleberschrift"/>
                <w:rFonts w:ascii="Times New Roman" w:hAnsi="Times New Roman"/>
                <w:sz w:val="24"/>
              </w:rPr>
              <w:t>e</w:t>
            </w:r>
            <w:r>
              <w:rPr>
                <w:rStyle w:val="InstructionsTabelleberschrift"/>
                <w:rFonts w:ascii="Times New Roman" w:hAnsi="Times New Roman"/>
                <w:sz w:val="24"/>
              </w:rPr>
              <w:t>tno oceno</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200</w:t>
            </w:r>
          </w:p>
          <w:p w:rsidR="005643EA" w:rsidRPr="00392FFD" w:rsidRDefault="005643EA" w:rsidP="00FD239F">
            <w:pPr>
              <w:pStyle w:val="InstructionsText"/>
              <w:rPr>
                <w:rStyle w:val="FormatvorlageInstructionsTabelleText"/>
                <w:rFonts w:ascii="Times New Roman" w:hAnsi="Times New Roman"/>
                <w:bCs w:val="0"/>
                <w:sz w:val="24"/>
              </w:rPr>
            </w:pPr>
          </w:p>
        </w:tc>
        <w:tc>
          <w:tcPr>
            <w:tcW w:w="7274" w:type="dxa"/>
          </w:tcPr>
          <w:p w:rsidR="005643EA" w:rsidRPr="00392FFD"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rsidRPr="00EE0671">
              <w:rPr>
                <w:u w:val="single"/>
              </w:rPr>
              <w:tab/>
            </w:r>
            <w:r>
              <w:rPr>
                <w:rStyle w:val="InstructionsTabelleberschrift"/>
                <w:rFonts w:ascii="Times New Roman" w:hAnsi="Times New Roman"/>
                <w:sz w:val="24"/>
              </w:rPr>
              <w:t>Kolektivni naložbeni podjemi (KNP)</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rsidRPr="00EE0671">
              <w:rPr>
                <w:u w:val="single"/>
              </w:rPr>
              <w:tab/>
            </w:r>
            <w:r>
              <w:rPr>
                <w:rStyle w:val="InstructionsTabelleberschrift"/>
                <w:rFonts w:ascii="Times New Roman" w:hAnsi="Times New Roman"/>
                <w:sz w:val="24"/>
              </w:rPr>
              <w:t>Lastniški instrumenti</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211</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rsidRPr="00EE0671">
              <w:rPr>
                <w:u w:val="single"/>
              </w:rPr>
              <w:tab/>
            </w:r>
            <w:r>
              <w:rPr>
                <w:rStyle w:val="InstructionsTabelleberschrift"/>
                <w:rFonts w:ascii="Times New Roman" w:hAnsi="Times New Roman"/>
                <w:sz w:val="24"/>
              </w:rPr>
              <w:t>Druge postavke</w:t>
            </w:r>
          </w:p>
          <w:p w:rsidR="005643EA" w:rsidRPr="00392FFD" w:rsidRDefault="00D212FE" w:rsidP="00FD239F">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Glej predlogo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220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w:t>
            </w:r>
            <w:r w:rsidR="003F40E8" w:rsidRPr="003F40E8">
              <w:rPr>
                <w:u w:val="single"/>
              </w:rPr>
              <w:tab/>
            </w:r>
            <w:r>
              <w:rPr>
                <w:rStyle w:val="InstructionsTabelleberschrift"/>
                <w:rFonts w:ascii="Times New Roman" w:hAnsi="Times New Roman"/>
                <w:sz w:val="24"/>
              </w:rPr>
              <w:t xml:space="preserve">Pozicije v listinjenju, standardizirani pristop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Predloga CR SEC SA na ravni vseh vrst listinjenja.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230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w:t>
            </w:r>
            <w:r w:rsidRPr="00EE0671">
              <w:rPr>
                <w:u w:val="single"/>
              </w:rPr>
              <w:tab/>
            </w:r>
            <w:r>
              <w:rPr>
                <w:rStyle w:val="InstructionsTabelleberschrift"/>
                <w:rFonts w:ascii="Times New Roman" w:hAnsi="Times New Roman"/>
                <w:sz w:val="24"/>
              </w:rPr>
              <w:t xml:space="preserve">Od tega: </w:t>
            </w:r>
            <w:proofErr w:type="spellStart"/>
            <w:r>
              <w:rPr>
                <w:rStyle w:val="InstructionsTabelleberschrift"/>
                <w:rFonts w:ascii="Times New Roman" w:hAnsi="Times New Roman"/>
                <w:sz w:val="24"/>
              </w:rPr>
              <w:t>relistinjenje</w:t>
            </w:r>
            <w:proofErr w:type="spellEnd"/>
            <w:r>
              <w:rPr>
                <w:rStyle w:val="InstructionsTabelleberschrift"/>
                <w:rFonts w:ascii="Times New Roman" w:hAnsi="Times New Roman"/>
                <w:sz w:val="24"/>
              </w:rPr>
              <w:t xml:space="preserve">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Predloga CR SEC SA na ravni vseh vrst listinjenja.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240</w:t>
            </w:r>
          </w:p>
        </w:tc>
        <w:tc>
          <w:tcPr>
            <w:tcW w:w="7274" w:type="dxa"/>
          </w:tcPr>
          <w:p w:rsidR="005643EA" w:rsidRPr="00392FFD" w:rsidRDefault="002648B0" w:rsidP="00FD239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rsidRPr="00EE0671">
              <w:rPr>
                <w:u w:val="single"/>
              </w:rPr>
              <w:tab/>
            </w:r>
            <w:r>
              <w:rPr>
                <w:rStyle w:val="InstructionsTabelleberschrift"/>
                <w:rFonts w:ascii="Times New Roman" w:hAnsi="Times New Roman"/>
                <w:sz w:val="24"/>
              </w:rPr>
              <w:t xml:space="preserve">Pristop na podlagi notranjih bonitetnih ocen (IRB)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250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rsidR="003F40E8" w:rsidRPr="003F40E8">
              <w:rPr>
                <w:u w:val="single"/>
              </w:rPr>
              <w:tab/>
            </w:r>
            <w:r>
              <w:rPr>
                <w:rStyle w:val="InstructionsTabelleberschrift"/>
                <w:rFonts w:ascii="Times New Roman" w:hAnsi="Times New Roman"/>
                <w:sz w:val="24"/>
              </w:rPr>
              <w:t xml:space="preserve">Pristop IRB, kadar se ne uporabijo lastne ocene LGD niti </w:t>
            </w:r>
            <w:proofErr w:type="spellStart"/>
            <w:r>
              <w:rPr>
                <w:rStyle w:val="InstructionsTabelleberschrift"/>
                <w:rFonts w:ascii="Times New Roman" w:hAnsi="Times New Roman"/>
                <w:sz w:val="24"/>
              </w:rPr>
              <w:t>konverzijski</w:t>
            </w:r>
            <w:proofErr w:type="spellEnd"/>
            <w:r>
              <w:rPr>
                <w:rStyle w:val="InstructionsTabelleberschrift"/>
                <w:rFonts w:ascii="Times New Roman" w:hAnsi="Times New Roman"/>
                <w:sz w:val="24"/>
              </w:rPr>
              <w:t xml:space="preserve"> faktorji</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Predloga CR IRB na ravni celotne izpostavljenosti (kadar se ne upora</w:t>
            </w:r>
            <w:r>
              <w:rPr>
                <w:rStyle w:val="FormatvorlageInstructionsTabelleText"/>
                <w:rFonts w:ascii="Times New Roman" w:hAnsi="Times New Roman"/>
                <w:sz w:val="24"/>
              </w:rPr>
              <w:t>b</w:t>
            </w:r>
            <w:r>
              <w:rPr>
                <w:rStyle w:val="FormatvorlageInstructionsTabelleText"/>
                <w:rFonts w:ascii="Times New Roman" w:hAnsi="Times New Roman"/>
                <w:sz w:val="24"/>
              </w:rPr>
              <w:t xml:space="preserve">ljajo lastne ocene LGD in/ali kreditni </w:t>
            </w:r>
            <w:proofErr w:type="spellStart"/>
            <w:r>
              <w:rPr>
                <w:rStyle w:val="FormatvorlageInstructionsTabelleText"/>
                <w:rFonts w:ascii="Times New Roman" w:hAnsi="Times New Roman"/>
                <w:sz w:val="24"/>
              </w:rPr>
              <w:t>konverzijski</w:t>
            </w:r>
            <w:proofErr w:type="spellEnd"/>
            <w:r>
              <w:rPr>
                <w:rStyle w:val="FormatvorlageInstructionsTabelleText"/>
                <w:rFonts w:ascii="Times New Roman" w:hAnsi="Times New Roman"/>
                <w:sz w:val="24"/>
              </w:rPr>
              <w:t xml:space="preserve"> faktor).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260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rsidRPr="00EE0671">
              <w:rPr>
                <w:u w:val="single"/>
              </w:rPr>
              <w:tab/>
            </w:r>
            <w:r>
              <w:rPr>
                <w:rStyle w:val="InstructionsTabelleberschrift"/>
                <w:rFonts w:ascii="Times New Roman" w:hAnsi="Times New Roman"/>
                <w:sz w:val="24"/>
              </w:rPr>
              <w:t>Izpostavljenosti do enot centralne ravni države in ce</w:t>
            </w:r>
            <w:r>
              <w:rPr>
                <w:rStyle w:val="InstructionsTabelleberschrift"/>
                <w:rFonts w:ascii="Times New Roman" w:hAnsi="Times New Roman"/>
                <w:sz w:val="24"/>
              </w:rPr>
              <w:t>n</w:t>
            </w:r>
            <w:r>
              <w:rPr>
                <w:rStyle w:val="InstructionsTabelleberschrift"/>
                <w:rFonts w:ascii="Times New Roman" w:hAnsi="Times New Roman"/>
                <w:sz w:val="24"/>
              </w:rPr>
              <w:t>tralnih bank</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270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rsidRPr="00EE0671">
              <w:rPr>
                <w:u w:val="single"/>
              </w:rPr>
              <w:tab/>
            </w:r>
            <w:r>
              <w:rPr>
                <w:rStyle w:val="InstructionsTabelleberschrift"/>
                <w:rFonts w:ascii="Times New Roman" w:hAnsi="Times New Roman"/>
                <w:sz w:val="24"/>
              </w:rPr>
              <w:t>Institucije</w:t>
            </w:r>
          </w:p>
          <w:p w:rsidR="002648B0" w:rsidRPr="00392FFD" w:rsidRDefault="00D212FE" w:rsidP="002F19BB">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rsidRPr="00EE0671">
              <w:rPr>
                <w:u w:val="single"/>
              </w:rPr>
              <w:tab/>
            </w:r>
            <w:r>
              <w:rPr>
                <w:rStyle w:val="InstructionsTabelleberschrift"/>
                <w:rFonts w:ascii="Times New Roman" w:hAnsi="Times New Roman"/>
                <w:sz w:val="24"/>
              </w:rPr>
              <w:t>Izpostavljenosti do podjetij – MSP</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rsidRPr="00EE0671">
              <w:rPr>
                <w:u w:val="single"/>
              </w:rPr>
              <w:tab/>
            </w:r>
            <w:r>
              <w:rPr>
                <w:rStyle w:val="InstructionsTabelleberschrift"/>
                <w:rFonts w:ascii="Times New Roman" w:hAnsi="Times New Roman"/>
                <w:sz w:val="24"/>
              </w:rPr>
              <w:t>Izpostavljenosti do podjetij – Posebni kreditni aran</w:t>
            </w:r>
            <w:r>
              <w:rPr>
                <w:rStyle w:val="InstructionsTabelleberschrift"/>
                <w:rFonts w:ascii="Times New Roman" w:hAnsi="Times New Roman"/>
                <w:sz w:val="24"/>
              </w:rPr>
              <w:t>ž</w:t>
            </w:r>
            <w:r>
              <w:rPr>
                <w:rStyle w:val="InstructionsTabelleberschrift"/>
                <w:rFonts w:ascii="Times New Roman" w:hAnsi="Times New Roman"/>
                <w:sz w:val="24"/>
              </w:rPr>
              <w:t>maji</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Glej predlogo CR IRB.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300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rsidRPr="00EE0671">
              <w:rPr>
                <w:u w:val="single"/>
              </w:rPr>
              <w:tab/>
            </w:r>
            <w:r>
              <w:rPr>
                <w:rStyle w:val="InstructionsTabelleberschrift"/>
                <w:rFonts w:ascii="Times New Roman" w:hAnsi="Times New Roman"/>
                <w:sz w:val="24"/>
              </w:rPr>
              <w:t>Izpostavljenosti do podjetij – Drugo</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rsidR="003F40E8" w:rsidRPr="003F40E8">
              <w:rPr>
                <w:u w:val="single"/>
              </w:rPr>
              <w:tab/>
            </w:r>
            <w:r>
              <w:rPr>
                <w:rStyle w:val="InstructionsTabelleberschrift"/>
                <w:rFonts w:ascii="Times New Roman" w:hAnsi="Times New Roman"/>
                <w:sz w:val="24"/>
              </w:rPr>
              <w:t xml:space="preserve">Pristopi IRB, kadar se uporabljajo lastne ocene LGD in/ali </w:t>
            </w:r>
            <w:proofErr w:type="spellStart"/>
            <w:r>
              <w:rPr>
                <w:rStyle w:val="InstructionsTabelleberschrift"/>
                <w:rFonts w:ascii="Times New Roman" w:hAnsi="Times New Roman"/>
                <w:sz w:val="24"/>
              </w:rPr>
              <w:t>konverzijski</w:t>
            </w:r>
            <w:proofErr w:type="spellEnd"/>
            <w:r>
              <w:rPr>
                <w:rStyle w:val="InstructionsTabelleberschrift"/>
                <w:rFonts w:ascii="Times New Roman" w:hAnsi="Times New Roman"/>
                <w:sz w:val="24"/>
              </w:rPr>
              <w:t xml:space="preserve"> faktorji</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Predloga CR IRB na ravni celotne izpostavljenosti (kadar se uporabljajo lastne ocene LGD in/ali kreditni </w:t>
            </w:r>
            <w:proofErr w:type="spellStart"/>
            <w:r>
              <w:rPr>
                <w:rStyle w:val="FormatvorlageInstructionsTabelleText"/>
                <w:rFonts w:ascii="Times New Roman" w:hAnsi="Times New Roman"/>
                <w:sz w:val="24"/>
              </w:rPr>
              <w:t>konverzijski</w:t>
            </w:r>
            <w:proofErr w:type="spellEnd"/>
            <w:r>
              <w:rPr>
                <w:rStyle w:val="FormatvorlageInstructionsTabelleText"/>
                <w:rFonts w:ascii="Times New Roman" w:hAnsi="Times New Roman"/>
                <w:sz w:val="24"/>
              </w:rPr>
              <w:t xml:space="preserve"> faktor).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320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rsidRPr="00EE0671">
              <w:rPr>
                <w:u w:val="single"/>
              </w:rPr>
              <w:tab/>
            </w:r>
            <w:r>
              <w:rPr>
                <w:rStyle w:val="InstructionsTabelleberschrift"/>
                <w:rFonts w:ascii="Times New Roman" w:hAnsi="Times New Roman"/>
                <w:sz w:val="24"/>
              </w:rPr>
              <w:t>Izpostavljenosti do enot centralne ravni države in ce</w:t>
            </w:r>
            <w:r>
              <w:rPr>
                <w:rStyle w:val="InstructionsTabelleberschrift"/>
                <w:rFonts w:ascii="Times New Roman" w:hAnsi="Times New Roman"/>
                <w:sz w:val="24"/>
              </w:rPr>
              <w:t>n</w:t>
            </w:r>
            <w:r>
              <w:rPr>
                <w:rStyle w:val="InstructionsTabelleberschrift"/>
                <w:rFonts w:ascii="Times New Roman" w:hAnsi="Times New Roman"/>
                <w:sz w:val="24"/>
              </w:rPr>
              <w:t>tralnih bank</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330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rsidRPr="00EE0671">
              <w:rPr>
                <w:u w:val="single"/>
              </w:rPr>
              <w:tab/>
            </w:r>
            <w:r>
              <w:rPr>
                <w:rStyle w:val="InstructionsTabelleberschrift"/>
                <w:rFonts w:ascii="Times New Roman" w:hAnsi="Times New Roman"/>
                <w:sz w:val="24"/>
              </w:rPr>
              <w:t>Institucije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Glej predlogo CR IRB.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rsidRPr="00EE0671">
              <w:rPr>
                <w:u w:val="single"/>
              </w:rPr>
              <w:tab/>
            </w:r>
            <w:r>
              <w:rPr>
                <w:rStyle w:val="InstructionsTabelleberschrift"/>
                <w:rFonts w:ascii="Times New Roman" w:hAnsi="Times New Roman"/>
                <w:sz w:val="24"/>
              </w:rPr>
              <w:t>Izpostavljenosti do podjetij – MSP</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rsidRPr="00EE0671">
              <w:rPr>
                <w:u w:val="single"/>
              </w:rPr>
              <w:tab/>
            </w:r>
            <w:r>
              <w:rPr>
                <w:rStyle w:val="InstructionsTabelleberschrift"/>
                <w:rFonts w:ascii="Times New Roman" w:hAnsi="Times New Roman"/>
                <w:sz w:val="24"/>
              </w:rPr>
              <w:t>Izpostavljenosti do podjetij – Posebni kreditni aran</w:t>
            </w:r>
            <w:r>
              <w:rPr>
                <w:rStyle w:val="InstructionsTabelleberschrift"/>
                <w:rFonts w:ascii="Times New Roman" w:hAnsi="Times New Roman"/>
                <w:sz w:val="24"/>
              </w:rPr>
              <w:t>ž</w:t>
            </w:r>
            <w:r>
              <w:rPr>
                <w:rStyle w:val="InstructionsTabelleberschrift"/>
                <w:rFonts w:ascii="Times New Roman" w:hAnsi="Times New Roman"/>
                <w:sz w:val="24"/>
              </w:rPr>
              <w:t>maji</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360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rsidRPr="00EE0671">
              <w:rPr>
                <w:u w:val="single"/>
              </w:rPr>
              <w:tab/>
            </w:r>
            <w:r>
              <w:rPr>
                <w:rStyle w:val="InstructionsTabelleberschrift"/>
                <w:rFonts w:ascii="Times New Roman" w:hAnsi="Times New Roman"/>
                <w:sz w:val="24"/>
              </w:rPr>
              <w:t>Izpostavljenosti do podjetij – Drugo</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370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rsidRPr="00EE0671">
              <w:rPr>
                <w:u w:val="single"/>
              </w:rPr>
              <w:tab/>
            </w:r>
            <w:r>
              <w:rPr>
                <w:rStyle w:val="InstructionsTabelleberschrift"/>
                <w:rFonts w:ascii="Times New Roman" w:hAnsi="Times New Roman"/>
                <w:sz w:val="24"/>
              </w:rPr>
              <w:t>Izpostavljenosti na drobno – Zavarovano z nepremi</w:t>
            </w:r>
            <w:r>
              <w:rPr>
                <w:rStyle w:val="InstructionsTabelleberschrift"/>
                <w:rFonts w:ascii="Times New Roman" w:hAnsi="Times New Roman"/>
                <w:sz w:val="24"/>
              </w:rPr>
              <w:t>č</w:t>
            </w:r>
            <w:r>
              <w:rPr>
                <w:rStyle w:val="InstructionsTabelleberschrift"/>
                <w:rFonts w:ascii="Times New Roman" w:hAnsi="Times New Roman"/>
                <w:sz w:val="24"/>
              </w:rPr>
              <w:t>ninami MSP</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rsidRPr="00EE0671">
              <w:rPr>
                <w:u w:val="single"/>
              </w:rPr>
              <w:tab/>
            </w:r>
            <w:r>
              <w:rPr>
                <w:rStyle w:val="InstructionsTabelleberschrift"/>
                <w:rFonts w:ascii="Times New Roman" w:hAnsi="Times New Roman"/>
                <w:sz w:val="24"/>
              </w:rPr>
              <w:t>Izpostavljenosti na drobno – Zavarovano z nepremi</w:t>
            </w:r>
            <w:r>
              <w:rPr>
                <w:rStyle w:val="InstructionsTabelleberschrift"/>
                <w:rFonts w:ascii="Times New Roman" w:hAnsi="Times New Roman"/>
                <w:sz w:val="24"/>
              </w:rPr>
              <w:t>č</w:t>
            </w:r>
            <w:r>
              <w:rPr>
                <w:rStyle w:val="InstructionsTabelleberschrift"/>
                <w:rFonts w:ascii="Times New Roman" w:hAnsi="Times New Roman"/>
                <w:sz w:val="24"/>
              </w:rPr>
              <w:t>ninami podjetij, ki niso MSP</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rsidRPr="00EE0671">
              <w:rPr>
                <w:u w:val="single"/>
              </w:rPr>
              <w:tab/>
            </w:r>
            <w:r>
              <w:rPr>
                <w:rStyle w:val="InstructionsTabelleberschrift"/>
                <w:rFonts w:ascii="Times New Roman" w:hAnsi="Times New Roman"/>
                <w:sz w:val="24"/>
              </w:rPr>
              <w:t>Izpostavljenosti na drobno – Kvalificirane obnavljaj</w:t>
            </w:r>
            <w:r>
              <w:rPr>
                <w:rStyle w:val="InstructionsTabelleberschrift"/>
                <w:rFonts w:ascii="Times New Roman" w:hAnsi="Times New Roman"/>
                <w:sz w:val="24"/>
              </w:rPr>
              <w:t>o</w:t>
            </w:r>
            <w:r>
              <w:rPr>
                <w:rStyle w:val="InstructionsTabelleberschrift"/>
                <w:rFonts w:ascii="Times New Roman" w:hAnsi="Times New Roman"/>
                <w:sz w:val="24"/>
              </w:rPr>
              <w:t>če se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400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rsidRPr="00EE0671">
              <w:rPr>
                <w:u w:val="single"/>
              </w:rPr>
              <w:tab/>
            </w:r>
            <w:r>
              <w:rPr>
                <w:rStyle w:val="InstructionsTabelleberschrift"/>
                <w:rFonts w:ascii="Times New Roman" w:hAnsi="Times New Roman"/>
                <w:sz w:val="24"/>
              </w:rPr>
              <w:t>Izpostavljenosti na drobno – Druga MSP</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rsidRPr="00EE0671">
              <w:rPr>
                <w:u w:val="single"/>
              </w:rPr>
              <w:tab/>
            </w:r>
            <w:r>
              <w:rPr>
                <w:rStyle w:val="InstructionsTabelleberschrift"/>
                <w:rFonts w:ascii="Times New Roman" w:hAnsi="Times New Roman"/>
                <w:sz w:val="24"/>
              </w:rPr>
              <w:t>Izpostavljenosti na drobno – Druga podjetja, ki niso MSP</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420</w:t>
            </w:r>
          </w:p>
        </w:tc>
        <w:tc>
          <w:tcPr>
            <w:tcW w:w="7274" w:type="dxa"/>
          </w:tcPr>
          <w:p w:rsidR="005643EA" w:rsidRPr="00392FFD" w:rsidRDefault="00EE0671"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rsidR="003F40E8" w:rsidRPr="003F40E8">
              <w:rPr>
                <w:u w:val="single"/>
              </w:rPr>
              <w:tab/>
            </w:r>
            <w:r w:rsidR="002648B0">
              <w:rPr>
                <w:rStyle w:val="InstructionsTabelleberschrift"/>
                <w:rFonts w:ascii="Times New Roman" w:hAnsi="Times New Roman"/>
                <w:sz w:val="24"/>
              </w:rPr>
              <w:t>Lastniški instrumenti po pristopu IRB</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Glej predlogo CR EQU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430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w:t>
            </w:r>
            <w:r w:rsidR="0059042F">
              <w:rPr>
                <w:rStyle w:val="InstructionsTabelleberschrift"/>
                <w:rFonts w:ascii="Times New Roman" w:hAnsi="Times New Roman"/>
                <w:sz w:val="24"/>
              </w:rPr>
              <w:t>4</w:t>
            </w:r>
            <w:r w:rsidR="0059042F">
              <w:rPr>
                <w:rStyle w:val="InstructionsTabelleberschrift"/>
                <w:rFonts w:ascii="Times New Roman" w:hAnsi="Times New Roman"/>
                <w:sz w:val="24"/>
              </w:rPr>
              <w:tab/>
            </w:r>
            <w:r>
              <w:rPr>
                <w:rStyle w:val="InstructionsTabelleberschrift"/>
                <w:rFonts w:ascii="Times New Roman" w:hAnsi="Times New Roman"/>
                <w:sz w:val="24"/>
              </w:rPr>
              <w:t>Pozicije v listinjenju po pristopu IRB</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Predloga CR SEC IRB na ravni vseh vrst listinjenja.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1.1.2.4*</w:t>
            </w:r>
            <w:r w:rsidRPr="00EE0671">
              <w:rPr>
                <w:u w:val="single"/>
              </w:rPr>
              <w:tab/>
            </w:r>
            <w:r>
              <w:rPr>
                <w:rStyle w:val="InstructionsTabelleberschrift"/>
                <w:rFonts w:ascii="Times New Roman" w:hAnsi="Times New Roman"/>
                <w:sz w:val="24"/>
              </w:rPr>
              <w:t xml:space="preserve">Od tega: </w:t>
            </w:r>
            <w:proofErr w:type="spellStart"/>
            <w:r>
              <w:rPr>
                <w:rStyle w:val="InstructionsTabelleberschrift"/>
                <w:rFonts w:ascii="Times New Roman" w:hAnsi="Times New Roman"/>
                <w:sz w:val="24"/>
              </w:rPr>
              <w:t>relistinjenje</w:t>
            </w:r>
            <w:proofErr w:type="spellEnd"/>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Predloga CR SEC IRB na ravni vseh vrst listinjenja.</w:t>
            </w:r>
          </w:p>
        </w:tc>
      </w:tr>
      <w:tr w:rsidR="002648B0" w:rsidRPr="00392FFD" w:rsidTr="00672D2A">
        <w:tc>
          <w:tcPr>
            <w:tcW w:w="1591" w:type="dxa"/>
          </w:tcPr>
          <w:p w:rsidR="002648B0" w:rsidRPr="00392FFD" w:rsidRDefault="00CD7D5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w:t>
            </w:r>
            <w:r w:rsidR="0059042F">
              <w:rPr>
                <w:rStyle w:val="InstructionsTabelleberschrift"/>
                <w:rFonts w:ascii="Times New Roman" w:hAnsi="Times New Roman"/>
                <w:sz w:val="24"/>
              </w:rPr>
              <w:t>5</w:t>
            </w:r>
            <w:r w:rsidR="0059042F">
              <w:rPr>
                <w:rStyle w:val="InstructionsTabelleberschrift"/>
                <w:rFonts w:ascii="Times New Roman" w:hAnsi="Times New Roman"/>
                <w:sz w:val="24"/>
              </w:rPr>
              <w:tab/>
            </w:r>
            <w:r>
              <w:rPr>
                <w:rStyle w:val="InstructionsTabelleberschrift"/>
                <w:rFonts w:ascii="Times New Roman" w:hAnsi="Times New Roman"/>
                <w:sz w:val="24"/>
              </w:rPr>
              <w:t xml:space="preserve">Druga sredstva iz naslova </w:t>
            </w:r>
            <w:proofErr w:type="spellStart"/>
            <w:r>
              <w:rPr>
                <w:rStyle w:val="InstructionsTabelleberschrift"/>
                <w:rFonts w:ascii="Times New Roman" w:hAnsi="Times New Roman"/>
                <w:sz w:val="24"/>
              </w:rPr>
              <w:t>nekreditnih</w:t>
            </w:r>
            <w:proofErr w:type="spellEnd"/>
            <w:r>
              <w:rPr>
                <w:rStyle w:val="InstructionsTabelleberschrift"/>
                <w:rFonts w:ascii="Times New Roman" w:hAnsi="Times New Roman"/>
                <w:sz w:val="24"/>
              </w:rPr>
              <w:t xml:space="preserve"> obveznosti</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Znesek, ki se sporoči, je znesek tveganju prilagojenih izpostavljenosti, izračunan v skladu s členom 156 CRR. </w:t>
            </w:r>
          </w:p>
        </w:tc>
      </w:tr>
      <w:tr w:rsidR="002648B0" w:rsidRPr="00392FFD" w:rsidTr="00672D2A">
        <w:tc>
          <w:tcPr>
            <w:tcW w:w="1591" w:type="dxa"/>
          </w:tcPr>
          <w:p w:rsidR="002648B0" w:rsidRPr="00392FFD" w:rsidRDefault="00CD7D5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460</w:t>
            </w:r>
          </w:p>
        </w:tc>
        <w:tc>
          <w:tcPr>
            <w:tcW w:w="7274" w:type="dxa"/>
          </w:tcPr>
          <w:p w:rsidR="005643EA" w:rsidRPr="00392FFD" w:rsidRDefault="0078388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rsidRPr="00EE0671">
              <w:rPr>
                <w:u w:val="single"/>
              </w:rPr>
              <w:tab/>
            </w:r>
            <w:r>
              <w:rPr>
                <w:rStyle w:val="InstructionsTabelleberschrift"/>
                <w:rFonts w:ascii="Times New Roman" w:hAnsi="Times New Roman"/>
                <w:sz w:val="24"/>
              </w:rPr>
              <w:t>Znesek izpostavljenosti tveganju za prispevke v jamstveni sklad CNS</w:t>
            </w:r>
          </w:p>
          <w:p w:rsidR="002648B0" w:rsidRPr="00392FFD" w:rsidRDefault="00CD7D5B" w:rsidP="007106FB">
            <w:pPr>
              <w:rPr>
                <w:rStyle w:val="FormatvorlageInstructionsTabelleText"/>
                <w:rFonts w:ascii="Times New Roman" w:hAnsi="Times New Roman"/>
                <w:sz w:val="24"/>
              </w:rPr>
            </w:pPr>
            <w:r>
              <w:rPr>
                <w:rStyle w:val="FormatvorlageInstructionsTabelleText"/>
                <w:rFonts w:ascii="Times New Roman" w:hAnsi="Times New Roman"/>
                <w:sz w:val="24"/>
              </w:rPr>
              <w:t>Členi 307 do 309 CRR.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490</w:t>
            </w:r>
          </w:p>
        </w:tc>
        <w:tc>
          <w:tcPr>
            <w:tcW w:w="7274" w:type="dxa"/>
          </w:tcPr>
          <w:p w:rsidR="005643EA" w:rsidRPr="00392FFD" w:rsidRDefault="002648B0" w:rsidP="00FD239F">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rsidRPr="00EE0671">
              <w:rPr>
                <w:u w:val="single"/>
              </w:rPr>
              <w:tab/>
            </w:r>
            <w:r>
              <w:rPr>
                <w:rStyle w:val="InstructionsTabelleberschrift"/>
                <w:rFonts w:ascii="Times New Roman" w:hAnsi="Times New Roman"/>
                <w:sz w:val="24"/>
              </w:rPr>
              <w:t>ZNESEK SKUPNE IZPOSTAVLJENOSTI TVEGANJU PORAVNAVE/IZROČITVE</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Člen 92(3)(c)(</w:t>
            </w:r>
            <w:proofErr w:type="spellStart"/>
            <w:r>
              <w:rPr>
                <w:rStyle w:val="FormatvorlageInstructionsTabelleText"/>
                <w:rFonts w:ascii="Times New Roman" w:hAnsi="Times New Roman"/>
                <w:sz w:val="24"/>
              </w:rPr>
              <w:t>ii</w:t>
            </w:r>
            <w:proofErr w:type="spellEnd"/>
            <w:r>
              <w:rPr>
                <w:rStyle w:val="FormatvorlageInstructionsTabelleText"/>
                <w:rFonts w:ascii="Times New Roman" w:hAnsi="Times New Roman"/>
                <w:sz w:val="24"/>
              </w:rPr>
              <w:t>) in člen 92(4)(b) CRR.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500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sidRPr="00EE0671">
              <w:rPr>
                <w:u w:val="single"/>
              </w:rPr>
              <w:tab/>
            </w:r>
            <w:r>
              <w:rPr>
                <w:rStyle w:val="InstructionsTabelleberschrift"/>
                <w:rFonts w:ascii="Times New Roman" w:hAnsi="Times New Roman"/>
                <w:sz w:val="24"/>
              </w:rPr>
              <w:t>Tveganje poravnave/izročitve v netrgovalni knjigi</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Glej predlogo CR SETT.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rsidRPr="00EE0671">
              <w:rPr>
                <w:rStyle w:val="InstructionsTabelleberschrift"/>
                <w:rFonts w:ascii="Times New Roman" w:hAnsi="Times New Roman"/>
                <w:sz w:val="24"/>
              </w:rPr>
              <w:tab/>
            </w:r>
            <w:r>
              <w:rPr>
                <w:rStyle w:val="InstructionsTabelleberschrift"/>
                <w:rFonts w:ascii="Times New Roman" w:hAnsi="Times New Roman"/>
                <w:sz w:val="24"/>
              </w:rPr>
              <w:t>Tveganje poravnave/izročitve v trgovalni knjigi</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Glej predlogo CR SETT.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sidR="00EE0671" w:rsidRPr="00EE0671">
              <w:rPr>
                <w:u w:val="single"/>
              </w:rPr>
              <w:tab/>
            </w:r>
            <w:r>
              <w:rPr>
                <w:rStyle w:val="InstructionsTabelleberschrift"/>
                <w:rFonts w:ascii="Times New Roman" w:hAnsi="Times New Roman"/>
                <w:sz w:val="24"/>
              </w:rPr>
              <w:t xml:space="preserve">ZNESEK SKUPNE IZPOSTAVLJENOSTI TVEGANJU ZA POZICIJSKO IN VALUTNO TVEGANJE TER TVEGANJE SPREMEMBE CEN BLAGA </w:t>
            </w:r>
          </w:p>
          <w:p w:rsidR="005643EA" w:rsidRPr="00392FFD" w:rsidRDefault="002648B0"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Člen 92(3)(b)(i), (c)(i) in (</w:t>
            </w:r>
            <w:proofErr w:type="spellStart"/>
            <w:r>
              <w:rPr>
                <w:rStyle w:val="FormatvorlageInstructionsTabelleText"/>
                <w:rFonts w:ascii="Times New Roman" w:hAnsi="Times New Roman"/>
                <w:sz w:val="24"/>
              </w:rPr>
              <w:t>iii</w:t>
            </w:r>
            <w:proofErr w:type="spellEnd"/>
            <w:r>
              <w:rPr>
                <w:rStyle w:val="FormatvorlageInstructionsTabelleText"/>
                <w:rFonts w:ascii="Times New Roman" w:hAnsi="Times New Roman"/>
                <w:sz w:val="24"/>
              </w:rPr>
              <w:t>) ter člen 92(4)(b) CRR.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530</w:t>
            </w:r>
          </w:p>
        </w:tc>
        <w:tc>
          <w:tcPr>
            <w:tcW w:w="7274" w:type="dxa"/>
          </w:tcPr>
          <w:p w:rsidR="002648B0"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rsidR="00EE0671" w:rsidRPr="00EE0671">
              <w:rPr>
                <w:u w:val="single"/>
              </w:rPr>
              <w:tab/>
            </w:r>
            <w:r>
              <w:rPr>
                <w:rStyle w:val="InstructionsTabelleberschrift"/>
                <w:rFonts w:ascii="Times New Roman" w:hAnsi="Times New Roman"/>
                <w:sz w:val="24"/>
              </w:rPr>
              <w:t>Znesek izpostavljenosti tveganju za pozicijsko in valutno tv</w:t>
            </w:r>
            <w:r>
              <w:rPr>
                <w:rStyle w:val="InstructionsTabelleberschrift"/>
                <w:rFonts w:ascii="Times New Roman" w:hAnsi="Times New Roman"/>
                <w:sz w:val="24"/>
              </w:rPr>
              <w:t>e</w:t>
            </w:r>
            <w:r>
              <w:rPr>
                <w:rStyle w:val="InstructionsTabelleberschrift"/>
                <w:rFonts w:ascii="Times New Roman" w:hAnsi="Times New Roman"/>
                <w:sz w:val="24"/>
              </w:rPr>
              <w:t>ganje ter tveganje spremembe cen blaga, izračunan po standardiz</w:t>
            </w:r>
            <w:r>
              <w:rPr>
                <w:rStyle w:val="InstructionsTabelleberschrift"/>
                <w:rFonts w:ascii="Times New Roman" w:hAnsi="Times New Roman"/>
                <w:sz w:val="24"/>
              </w:rPr>
              <w:t>i</w:t>
            </w:r>
            <w:r>
              <w:rPr>
                <w:rStyle w:val="InstructionsTabelleberschrift"/>
                <w:rFonts w:ascii="Times New Roman" w:hAnsi="Times New Roman"/>
                <w:sz w:val="24"/>
              </w:rPr>
              <w:t>ranih pristopih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Dolžniški instrumenti, s katerimi se trguje na borzi</w:t>
            </w:r>
          </w:p>
          <w:p w:rsidR="002648B0" w:rsidRPr="007E39E6"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Predloga MKR SA TDI na ravni vseh valut.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w:t>
            </w:r>
            <w:r w:rsidR="00EE0671" w:rsidRPr="00EE0671">
              <w:rPr>
                <w:rStyle w:val="InstructionsTabelleberschrift"/>
                <w:rFonts w:ascii="Times New Roman" w:hAnsi="Times New Roman"/>
                <w:sz w:val="24"/>
              </w:rPr>
              <w:t>2</w:t>
            </w:r>
            <w:r w:rsidR="00EE0671" w:rsidRPr="00EE0671">
              <w:rPr>
                <w:rStyle w:val="InstructionsTabelleberschrift"/>
                <w:rFonts w:ascii="Times New Roman" w:hAnsi="Times New Roman"/>
                <w:sz w:val="24"/>
              </w:rPr>
              <w:tab/>
            </w:r>
            <w:r>
              <w:rPr>
                <w:rStyle w:val="InstructionsTabelleberschrift"/>
                <w:rFonts w:ascii="Times New Roman" w:hAnsi="Times New Roman"/>
                <w:sz w:val="24"/>
              </w:rPr>
              <w:t>Lastniški instrumenti</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Predloga MKR SA EQU na ravni vseh nacionalnih trgov. </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555</w:t>
            </w:r>
          </w:p>
        </w:tc>
        <w:tc>
          <w:tcPr>
            <w:tcW w:w="7274" w:type="dxa"/>
          </w:tcPr>
          <w:p w:rsidR="00B97F1B" w:rsidRPr="00392FFD" w:rsidRDefault="00B97F1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w:t>
            </w:r>
            <w:r w:rsidR="00EE0671" w:rsidRPr="00EE0671">
              <w:rPr>
                <w:rStyle w:val="InstructionsTabelleberschrift"/>
                <w:rFonts w:ascii="Times New Roman" w:hAnsi="Times New Roman"/>
                <w:sz w:val="24"/>
              </w:rPr>
              <w:t>3</w:t>
            </w:r>
            <w:r w:rsidR="00EE0671" w:rsidRPr="00EE0671">
              <w:rPr>
                <w:rStyle w:val="InstructionsTabelleberschrift"/>
                <w:rFonts w:ascii="Times New Roman" w:hAnsi="Times New Roman"/>
                <w:sz w:val="24"/>
              </w:rPr>
              <w:tab/>
            </w:r>
            <w:r>
              <w:rPr>
                <w:rStyle w:val="InstructionsTabelleberschrift"/>
                <w:rFonts w:ascii="Times New Roman" w:hAnsi="Times New Roman"/>
                <w:sz w:val="24"/>
              </w:rPr>
              <w:t>Posamezni pristop za pozicijsko tveganje v KNP</w:t>
            </w:r>
          </w:p>
          <w:p w:rsidR="00B97F1B"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Člen 348(1), člen 350(3)(c) in člen 364(2)(a) CRR.</w:t>
            </w:r>
          </w:p>
          <w:p w:rsidR="00A76381"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Skupni znesek izpostavljenosti tveganju za pozicije v KNP, če se kap</w:t>
            </w:r>
            <w:r>
              <w:rPr>
                <w:rStyle w:val="FormatvorlageInstructionsTabelleText"/>
                <w:rFonts w:ascii="Times New Roman" w:hAnsi="Times New Roman"/>
                <w:sz w:val="24"/>
              </w:rPr>
              <w:t>i</w:t>
            </w:r>
            <w:r>
              <w:rPr>
                <w:rStyle w:val="FormatvorlageInstructionsTabelleText"/>
                <w:rFonts w:ascii="Times New Roman" w:hAnsi="Times New Roman"/>
                <w:sz w:val="24"/>
              </w:rPr>
              <w:t>talske zahteve izračunajo v skladu s členom 348(1) CRR, in sicer takoj ali kot posledica zgornje meje, opredeljene v členu 350(3)(c) CRR. CRR teh pozicij ne razporeja eksplicitno na obrestno tveganje ali tveganje la</w:t>
            </w:r>
            <w:r>
              <w:rPr>
                <w:rStyle w:val="FormatvorlageInstructionsTabelleText"/>
                <w:rFonts w:ascii="Times New Roman" w:hAnsi="Times New Roman"/>
                <w:sz w:val="24"/>
              </w:rPr>
              <w:t>s</w:t>
            </w:r>
            <w:r>
              <w:rPr>
                <w:rStyle w:val="FormatvorlageInstructionsTabelleText"/>
                <w:rFonts w:ascii="Times New Roman" w:hAnsi="Times New Roman"/>
                <w:sz w:val="24"/>
              </w:rPr>
              <w:t>tniških vrednostnih papirjev.</w:t>
            </w:r>
          </w:p>
          <w:p w:rsidR="00B97F1B"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Če se uporabi posamezni pristop v skladu s prvim stavkom člena 348(1) CRR, znaša sporočeni znesek 32 % neto pozicije zadevne izpostavljeno</w:t>
            </w:r>
            <w:r>
              <w:rPr>
                <w:rStyle w:val="FormatvorlageInstructionsTabelleText"/>
                <w:rFonts w:ascii="Times New Roman" w:hAnsi="Times New Roman"/>
                <w:sz w:val="24"/>
              </w:rPr>
              <w:t>s</w:t>
            </w:r>
            <w:r>
              <w:rPr>
                <w:rStyle w:val="FormatvorlageInstructionsTabelleText"/>
                <w:rFonts w:ascii="Times New Roman" w:hAnsi="Times New Roman"/>
                <w:sz w:val="24"/>
              </w:rPr>
              <w:t xml:space="preserve">ti do KNP, kar se zmnoži z 12,5. </w:t>
            </w:r>
          </w:p>
          <w:p w:rsidR="00B97F1B"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 xml:space="preserve">Če se uporabi posamezni pristop v skladu z drugim stavkom člena </w:t>
            </w:r>
            <w:r>
              <w:rPr>
                <w:rStyle w:val="FormatvorlageInstructionsTabelleText"/>
                <w:rFonts w:ascii="Times New Roman" w:hAnsi="Times New Roman"/>
                <w:sz w:val="24"/>
              </w:rPr>
              <w:lastRenderedPageBreak/>
              <w:t>348(1) CRR, je znesek, ki se sporoči, 32 % neto pozicije zadevne izpo</w:t>
            </w:r>
            <w:r>
              <w:rPr>
                <w:rStyle w:val="FormatvorlageInstructionsTabelleText"/>
                <w:rFonts w:ascii="Times New Roman" w:hAnsi="Times New Roman"/>
                <w:sz w:val="24"/>
              </w:rPr>
              <w:t>s</w:t>
            </w:r>
            <w:r>
              <w:rPr>
                <w:rStyle w:val="FormatvorlageInstructionsTabelleText"/>
                <w:rFonts w:ascii="Times New Roman" w:hAnsi="Times New Roman"/>
                <w:sz w:val="24"/>
              </w:rPr>
              <w:t>tavljenosti do KNP, kar se zmnoži z 12,5, ali razlika med 40 % te neto pozicije in kapitalskimi zahtevami, ki izhajajo iz valutnega tveganja, povezanega z izpostavljenostjo do KNP, zmnožena z 12,5, odvisno od tega, kateri znesek je višji.</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556</w:t>
            </w:r>
          </w:p>
        </w:tc>
        <w:tc>
          <w:tcPr>
            <w:tcW w:w="7274" w:type="dxa"/>
          </w:tcPr>
          <w:p w:rsidR="00B97F1B" w:rsidRPr="00392FFD" w:rsidRDefault="00B97F1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sidR="00EE0671" w:rsidRPr="00EE0671">
              <w:rPr>
                <w:u w:val="single"/>
              </w:rPr>
              <w:tab/>
            </w:r>
            <w:r>
              <w:rPr>
                <w:rStyle w:val="InstructionsTabelleberschrift"/>
                <w:rFonts w:ascii="Times New Roman" w:hAnsi="Times New Roman"/>
                <w:sz w:val="24"/>
              </w:rPr>
              <w:t>Pojasnjevalna postavka: KNP, ki vlagajo izključno v dolžniške instrumente, s katerimi se trguje na borzi</w:t>
            </w:r>
          </w:p>
          <w:p w:rsidR="00A76381"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Skupni znesek izpostavljenosti tveganju za pozicije v KNP, če KNP vl</w:t>
            </w:r>
            <w:r>
              <w:rPr>
                <w:rStyle w:val="FormatvorlageInstructionsTabelleText"/>
                <w:rFonts w:ascii="Times New Roman" w:hAnsi="Times New Roman"/>
                <w:sz w:val="24"/>
              </w:rPr>
              <w:t>a</w:t>
            </w:r>
            <w:r>
              <w:rPr>
                <w:rStyle w:val="FormatvorlageInstructionsTabelleText"/>
                <w:rFonts w:ascii="Times New Roman" w:hAnsi="Times New Roman"/>
                <w:sz w:val="24"/>
              </w:rPr>
              <w:t>ga izključno v instrumente, ki so izpostavljeni obrestnemu tveganju.</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557</w:t>
            </w:r>
          </w:p>
        </w:tc>
        <w:tc>
          <w:tcPr>
            <w:tcW w:w="7274" w:type="dxa"/>
          </w:tcPr>
          <w:p w:rsidR="00B97F1B" w:rsidRPr="00392FFD" w:rsidRDefault="00B97F1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sidR="00EE0671" w:rsidRPr="00EE0671">
              <w:rPr>
                <w:u w:val="single"/>
              </w:rPr>
              <w:tab/>
            </w:r>
            <w:r>
              <w:rPr>
                <w:rStyle w:val="InstructionsTabelleberschrift"/>
                <w:rFonts w:ascii="Times New Roman" w:hAnsi="Times New Roman"/>
                <w:sz w:val="24"/>
              </w:rPr>
              <w:t>KNP, ki vlagajo izključno v lastniške instrumente ali v mešane instrumente</w:t>
            </w:r>
          </w:p>
          <w:p w:rsidR="00A76381"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Skupni znesek izpostavljenosti tveganju za pozicije v KNP, če KNP vl</w:t>
            </w:r>
            <w:r>
              <w:rPr>
                <w:rStyle w:val="FormatvorlageInstructionsTabelleText"/>
                <w:rFonts w:ascii="Times New Roman" w:hAnsi="Times New Roman"/>
                <w:sz w:val="24"/>
              </w:rPr>
              <w:t>a</w:t>
            </w:r>
            <w:r>
              <w:rPr>
                <w:rStyle w:val="FormatvorlageInstructionsTabelleText"/>
                <w:rFonts w:ascii="Times New Roman" w:hAnsi="Times New Roman"/>
                <w:sz w:val="24"/>
              </w:rPr>
              <w:t>ga izključno v instrumente, ki so izpostavljeni tveganju lastniških vre</w:t>
            </w:r>
            <w:r>
              <w:rPr>
                <w:rStyle w:val="FormatvorlageInstructionsTabelleText"/>
                <w:rFonts w:ascii="Times New Roman" w:hAnsi="Times New Roman"/>
                <w:sz w:val="24"/>
              </w:rPr>
              <w:t>d</w:t>
            </w:r>
            <w:r>
              <w:rPr>
                <w:rStyle w:val="FormatvorlageInstructionsTabelleText"/>
                <w:rFonts w:ascii="Times New Roman" w:hAnsi="Times New Roman"/>
                <w:sz w:val="24"/>
              </w:rPr>
              <w:t>nostnih papirjev, ali v mešane instrumente oziroma kadar so sestavine KNP neznane.</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560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w:t>
            </w:r>
            <w:r w:rsidR="0059042F">
              <w:rPr>
                <w:rStyle w:val="InstructionsTabelleberschrift"/>
                <w:rFonts w:ascii="Times New Roman" w:hAnsi="Times New Roman"/>
                <w:sz w:val="24"/>
              </w:rPr>
              <w:t>4</w:t>
            </w:r>
            <w:r w:rsidR="00EE0671" w:rsidRPr="00EE0671">
              <w:rPr>
                <w:rStyle w:val="InstructionsTabelleberschrift"/>
                <w:rFonts w:ascii="Times New Roman" w:hAnsi="Times New Roman"/>
                <w:sz w:val="24"/>
              </w:rPr>
              <w:tab/>
            </w:r>
            <w:r>
              <w:rPr>
                <w:rStyle w:val="InstructionsTabelleberschrift"/>
                <w:rFonts w:ascii="Times New Roman" w:hAnsi="Times New Roman"/>
                <w:sz w:val="24"/>
              </w:rPr>
              <w:t>Tuje valute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Glej predlogo MKR SA FX.</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570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w:t>
            </w:r>
            <w:r w:rsidR="0059042F">
              <w:rPr>
                <w:rStyle w:val="InstructionsTabelleberschrift"/>
                <w:rFonts w:ascii="Times New Roman" w:hAnsi="Times New Roman"/>
                <w:sz w:val="24"/>
              </w:rPr>
              <w:t>5</w:t>
            </w:r>
            <w:r w:rsidR="00EE0671" w:rsidRPr="00EE0671">
              <w:rPr>
                <w:rStyle w:val="InstructionsTabelleberschrift"/>
                <w:rFonts w:ascii="Times New Roman" w:hAnsi="Times New Roman"/>
                <w:sz w:val="24"/>
              </w:rPr>
              <w:tab/>
            </w:r>
            <w:r>
              <w:rPr>
                <w:rStyle w:val="InstructionsTabelleberschrift"/>
                <w:rFonts w:ascii="Times New Roman" w:hAnsi="Times New Roman"/>
                <w:sz w:val="24"/>
              </w:rPr>
              <w:t>Blago</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Glej predlogo MKR SA COM.</w:t>
            </w:r>
          </w:p>
        </w:tc>
      </w:tr>
      <w:tr w:rsidR="002648B0" w:rsidRPr="00392FFD" w:rsidTr="00672D2A">
        <w:tc>
          <w:tcPr>
            <w:tcW w:w="1591" w:type="dxa"/>
          </w:tcPr>
          <w:p w:rsidR="005643EA" w:rsidRPr="00392FFD" w:rsidRDefault="00836845"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580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rsidR="00EE0671" w:rsidRPr="00EE0671">
              <w:rPr>
                <w:u w:val="single"/>
              </w:rPr>
              <w:tab/>
            </w:r>
            <w:r>
              <w:rPr>
                <w:rStyle w:val="InstructionsTabelleberschrift"/>
                <w:rFonts w:ascii="Times New Roman" w:hAnsi="Times New Roman"/>
                <w:sz w:val="24"/>
              </w:rPr>
              <w:t>Znesek izpostavljenosti tveganju za pozicijsko in valutno tv</w:t>
            </w:r>
            <w:r>
              <w:rPr>
                <w:rStyle w:val="InstructionsTabelleberschrift"/>
                <w:rFonts w:ascii="Times New Roman" w:hAnsi="Times New Roman"/>
                <w:sz w:val="24"/>
              </w:rPr>
              <w:t>e</w:t>
            </w:r>
            <w:r>
              <w:rPr>
                <w:rStyle w:val="InstructionsTabelleberschrift"/>
                <w:rFonts w:ascii="Times New Roman" w:hAnsi="Times New Roman"/>
                <w:sz w:val="24"/>
              </w:rPr>
              <w:t>ganje ter tveganje spremembe cen blaga, izračunan z uporabo no</w:t>
            </w:r>
            <w:r>
              <w:rPr>
                <w:rStyle w:val="InstructionsTabelleberschrift"/>
                <w:rFonts w:ascii="Times New Roman" w:hAnsi="Times New Roman"/>
                <w:sz w:val="24"/>
              </w:rPr>
              <w:t>t</w:t>
            </w:r>
            <w:r>
              <w:rPr>
                <w:rStyle w:val="InstructionsTabelleberschrift"/>
                <w:rFonts w:ascii="Times New Roman" w:hAnsi="Times New Roman"/>
                <w:sz w:val="24"/>
              </w:rPr>
              <w:t>ranjih modelov (IM)</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Glej predlogo MKR IM.</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rsidR="00EE0671" w:rsidRPr="00EE0671">
              <w:rPr>
                <w:u w:val="single"/>
              </w:rPr>
              <w:tab/>
            </w:r>
            <w:r>
              <w:rPr>
                <w:rStyle w:val="InstructionsTabelleberschrift"/>
                <w:rFonts w:ascii="Times New Roman" w:hAnsi="Times New Roman"/>
                <w:sz w:val="24"/>
              </w:rPr>
              <w:t>ZNESEK SKUPNE IZPOSTAVLJENOSTI TVEGANJU ZA OPERATIVNO TVEGANJE (</w:t>
            </w:r>
            <w:proofErr w:type="spellStart"/>
            <w:r>
              <w:rPr>
                <w:rStyle w:val="InstructionsTabelleberschrift"/>
                <w:rFonts w:ascii="Times New Roman" w:hAnsi="Times New Roman"/>
                <w:sz w:val="24"/>
              </w:rPr>
              <w:t>OpR</w:t>
            </w:r>
            <w:proofErr w:type="spellEnd"/>
            <w:r>
              <w:rPr>
                <w:rStyle w:val="InstructionsTabelleberschrift"/>
                <w:rFonts w:ascii="Times New Roman" w:hAnsi="Times New Roman"/>
                <w:sz w:val="24"/>
              </w:rPr>
              <w:t>)</w:t>
            </w:r>
          </w:p>
          <w:p w:rsidR="005643EA" w:rsidRPr="00392FFD" w:rsidRDefault="002648B0"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Člen 92(3)(e) in (4)(b) CRR.</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Za investicijska podjetja v skladu s členi 95(2), 96(2) in 98 CRR je ta element enak nič.</w:t>
            </w:r>
          </w:p>
        </w:tc>
      </w:tr>
      <w:tr w:rsidR="002648B0" w:rsidRPr="00392FFD" w:rsidTr="00672D2A">
        <w:tc>
          <w:tcPr>
            <w:tcW w:w="1591" w:type="dxa"/>
          </w:tcPr>
          <w:p w:rsidR="005643EA" w:rsidRPr="00392FFD" w:rsidRDefault="00836845"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600</w:t>
            </w:r>
          </w:p>
        </w:tc>
        <w:tc>
          <w:tcPr>
            <w:tcW w:w="7274" w:type="dxa"/>
          </w:tcPr>
          <w:p w:rsidR="005643EA" w:rsidRPr="00392FFD"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rsidR="00EE0671" w:rsidRPr="00EE0671">
              <w:rPr>
                <w:u w:val="single"/>
              </w:rPr>
              <w:tab/>
            </w:r>
            <w:proofErr w:type="spellStart"/>
            <w:r>
              <w:rPr>
                <w:rStyle w:val="InstructionsTabelleberschrift"/>
                <w:rFonts w:ascii="Times New Roman" w:hAnsi="Times New Roman"/>
                <w:sz w:val="24"/>
              </w:rPr>
              <w:t>OpR</w:t>
            </w:r>
            <w:proofErr w:type="spellEnd"/>
            <w:r>
              <w:rPr>
                <w:rStyle w:val="InstructionsTabelleberschrift"/>
                <w:rFonts w:ascii="Times New Roman" w:hAnsi="Times New Roman"/>
                <w:sz w:val="24"/>
              </w:rPr>
              <w:t xml:space="preserve"> enostavni pristop (BIA)</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Glej predlogo OPR.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rsidR="00EE0671" w:rsidRPr="00EE0671">
              <w:rPr>
                <w:u w:val="single"/>
              </w:rPr>
              <w:tab/>
            </w:r>
            <w:proofErr w:type="spellStart"/>
            <w:r>
              <w:rPr>
                <w:rStyle w:val="InstructionsTabelleberschrift"/>
                <w:rFonts w:ascii="Times New Roman" w:hAnsi="Times New Roman"/>
                <w:sz w:val="24"/>
              </w:rPr>
              <w:t>OpR</w:t>
            </w:r>
            <w:proofErr w:type="spellEnd"/>
            <w:r>
              <w:rPr>
                <w:rStyle w:val="InstructionsTabelleberschrift"/>
                <w:rFonts w:ascii="Times New Roman" w:hAnsi="Times New Roman"/>
                <w:sz w:val="24"/>
              </w:rPr>
              <w:t xml:space="preserve"> standardizirani (STA)/alternativni standardizirani (ASA) pristop</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Glej predlogo OPR.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rsidR="00EE0671" w:rsidRPr="00EE0671">
              <w:rPr>
                <w:u w:val="single"/>
              </w:rPr>
              <w:tab/>
            </w:r>
            <w:proofErr w:type="spellStart"/>
            <w:r>
              <w:rPr>
                <w:rStyle w:val="InstructionsTabelleberschrift"/>
                <w:rFonts w:ascii="Times New Roman" w:hAnsi="Times New Roman"/>
                <w:sz w:val="24"/>
              </w:rPr>
              <w:t>OpR</w:t>
            </w:r>
            <w:proofErr w:type="spellEnd"/>
            <w:r>
              <w:rPr>
                <w:rStyle w:val="InstructionsTabelleberschrift"/>
                <w:rFonts w:ascii="Times New Roman" w:hAnsi="Times New Roman"/>
                <w:sz w:val="24"/>
              </w:rPr>
              <w:t xml:space="preserve"> napredni pristopi za merjenje (AMA)</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Glej predlogo OPR.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630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rsidR="00EE0671" w:rsidRPr="00EE0671">
              <w:rPr>
                <w:u w:val="single"/>
              </w:rPr>
              <w:tab/>
            </w:r>
            <w:r>
              <w:rPr>
                <w:rStyle w:val="InstructionsTabelleberschrift"/>
                <w:rFonts w:ascii="Times New Roman" w:hAnsi="Times New Roman"/>
                <w:sz w:val="24"/>
              </w:rPr>
              <w:t>DODATNI ZNESEK IZPOSTAVLJENOSTI TVEGANJU ZARADI STALNIH SPLOŠNIH STROŠKOV</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Člena 95(2) in 96(2), člen 97 in člen 98(1)(a) CRR.</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Samo za investicijska podjetja v skladu s členoma 95(2) in 96(2) ter čl</w:t>
            </w:r>
            <w:r>
              <w:rPr>
                <w:rStyle w:val="FormatvorlageInstructionsTabelleText"/>
                <w:rFonts w:ascii="Times New Roman" w:hAnsi="Times New Roman"/>
                <w:sz w:val="24"/>
              </w:rPr>
              <w:t>e</w:t>
            </w:r>
            <w:r>
              <w:rPr>
                <w:rStyle w:val="FormatvorlageInstructionsTabelleText"/>
                <w:rFonts w:ascii="Times New Roman" w:hAnsi="Times New Roman"/>
                <w:sz w:val="24"/>
              </w:rPr>
              <w:t xml:space="preserve">nom 98 CRR. Glej tudi člen 97 CRR.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Investicijska podjetja iz člena 96 CRR sporočijo znesek iz člena 97, ki se pomnoži z 12,5.</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Investicijska podjetja iz člena 95 CRR sporočijo naslednje:</w:t>
            </w:r>
          </w:p>
          <w:p w:rsidR="002648B0" w:rsidRPr="00125707" w:rsidRDefault="00125707" w:rsidP="00FD239F">
            <w:pPr>
              <w:pStyle w:val="InstructionsText"/>
              <w:rPr>
                <w:rStyle w:val="FormatvorlageInstructionsTabelleText"/>
                <w:rFonts w:ascii="Times New Roman" w:hAnsi="Times New Roman"/>
                <w:sz w:val="24"/>
              </w:rPr>
            </w:pPr>
            <w:r w:rsidRPr="009931CE">
              <w:rPr>
                <w:rStyle w:val="FormatvorlageInstructionsTabelleText"/>
                <w:rFonts w:ascii="Arial" w:hAnsi="Arial"/>
                <w:sz w:val="24"/>
              </w:rPr>
              <w:t>–</w:t>
            </w:r>
            <w:r>
              <w:tab/>
            </w:r>
            <w:r>
              <w:rPr>
                <w:rStyle w:val="FormatvorlageInstructionsTabelleText"/>
                <w:rFonts w:ascii="Times New Roman" w:hAnsi="Times New Roman"/>
                <w:sz w:val="24"/>
              </w:rPr>
              <w:t>če je</w:t>
            </w:r>
            <w:r>
              <w:t xml:space="preserve"> znesek</w:t>
            </w:r>
            <w:r>
              <w:rPr>
                <w:rStyle w:val="FormatvorlageInstructionsTabelleText"/>
                <w:rFonts w:ascii="Times New Roman" w:hAnsi="Times New Roman"/>
                <w:sz w:val="24"/>
              </w:rPr>
              <w:t xml:space="preserve"> iz člena 95(2)(a) CRR večji od zneska iz člena 95(2)(b) CRR, je znesek, ki ga je treba sporočiti, enak nič;</w:t>
            </w:r>
          </w:p>
          <w:p w:rsidR="002648B0" w:rsidRPr="00125707" w:rsidRDefault="00125707" w:rsidP="00FD239F">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če je</w:t>
            </w:r>
            <w:r>
              <w:t xml:space="preserve"> znesek </w:t>
            </w:r>
            <w:r>
              <w:rPr>
                <w:rStyle w:val="FormatvorlageInstructionsTabelleText"/>
                <w:rFonts w:ascii="Times New Roman" w:hAnsi="Times New Roman"/>
                <w:sz w:val="24"/>
              </w:rPr>
              <w:t xml:space="preserve">iz člena 95(2)(b) CRR večji od zneska iz člena 95(2)(a) CRR, je znesek, ki ga je treba sporočiti, enak prvemu znesku, zmanjšanemu za drugi znesek.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640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rsidR="00EE0671" w:rsidRPr="00EE0671">
              <w:rPr>
                <w:u w:val="single"/>
              </w:rPr>
              <w:tab/>
            </w:r>
            <w:r>
              <w:rPr>
                <w:rStyle w:val="InstructionsTabelleberschrift"/>
                <w:rFonts w:ascii="Times New Roman" w:hAnsi="Times New Roman"/>
                <w:sz w:val="24"/>
              </w:rPr>
              <w:t>ZNESEK SKUPNE IZPOSTAVLJENOSTI TVEGANJU ZA PRILAGODITEV KREDITNEGA VREDNOTENJA</w:t>
            </w:r>
          </w:p>
          <w:p w:rsidR="005643EA" w:rsidRPr="00392FFD"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Člen 92(3)(d) CRR. Glej predlogo CVA.</w:t>
            </w:r>
            <w:r>
              <w:rPr>
                <w:rStyle w:val="FormatvorlageInstructionsTabelleText"/>
                <w:rFonts w:ascii="Times New Roman" w:hAnsi="Times New Roman"/>
                <w:sz w:val="24"/>
              </w:rPr>
              <w:t xml:space="preserve">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650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rsidR="00EE0671" w:rsidRPr="00EE0671">
              <w:rPr>
                <w:u w:val="single"/>
              </w:rPr>
              <w:tab/>
            </w:r>
            <w:r>
              <w:rPr>
                <w:rStyle w:val="InstructionsTabelleberschrift"/>
                <w:rFonts w:ascii="Times New Roman" w:hAnsi="Times New Roman"/>
                <w:sz w:val="24"/>
              </w:rPr>
              <w:t>Napredna metoda</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Kapitalske zahteve za tveganje za prilagoditev kreditnega vrednotenja v skladu s členom 383 CRR. Glej predlogo CVA.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660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rsidR="00EE0671" w:rsidRPr="00EE0671">
              <w:rPr>
                <w:u w:val="single"/>
              </w:rPr>
              <w:tab/>
            </w:r>
            <w:r>
              <w:rPr>
                <w:rStyle w:val="InstructionsTabelleberschrift"/>
                <w:rFonts w:ascii="Times New Roman" w:hAnsi="Times New Roman"/>
                <w:sz w:val="24"/>
              </w:rPr>
              <w:t>Standardizirana metoda</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Kapitalske zahteve za tveganje za prilagoditev kreditnega vrednotenja v skladu s členom 384 CRR. Glej predlogo CVA.</w:t>
            </w:r>
          </w:p>
        </w:tc>
      </w:tr>
      <w:tr w:rsidR="00836845" w:rsidRPr="00392FFD" w:rsidTr="00672D2A">
        <w:tc>
          <w:tcPr>
            <w:tcW w:w="1591" w:type="dxa"/>
          </w:tcPr>
          <w:p w:rsidR="00836845" w:rsidRPr="00392FFD" w:rsidRDefault="00D33AA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670</w:t>
            </w:r>
          </w:p>
        </w:tc>
        <w:tc>
          <w:tcPr>
            <w:tcW w:w="7274" w:type="dxa"/>
          </w:tcPr>
          <w:p w:rsidR="005643EA" w:rsidRPr="00392FFD" w:rsidRDefault="00D33AA1"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rsidR="00EE0671" w:rsidRPr="00EE0671">
              <w:rPr>
                <w:rStyle w:val="InstructionsTabelleberschrift"/>
                <w:rFonts w:ascii="Times New Roman" w:hAnsi="Times New Roman"/>
                <w:sz w:val="24"/>
              </w:rPr>
              <w:t>3</w:t>
            </w:r>
            <w:r w:rsidR="00EE0671" w:rsidRPr="00EE0671">
              <w:rPr>
                <w:rStyle w:val="InstructionsTabelleberschrift"/>
                <w:rFonts w:ascii="Times New Roman" w:hAnsi="Times New Roman"/>
                <w:sz w:val="24"/>
              </w:rPr>
              <w:tab/>
            </w:r>
            <w:r>
              <w:rPr>
                <w:rStyle w:val="InstructionsTabelleberschrift"/>
                <w:rFonts w:ascii="Times New Roman" w:hAnsi="Times New Roman"/>
                <w:sz w:val="24"/>
              </w:rPr>
              <w:t>Na podlagi OEM</w:t>
            </w:r>
          </w:p>
          <w:p w:rsidR="00783881" w:rsidRPr="007E39E6" w:rsidRDefault="00D33AA1" w:rsidP="00FD239F">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Kapitalske zahteve za tveganje za prilagoditev kreditnega vrednotenja v skladu s členom 385 CRR. Glej predlogo CVA.</w:t>
            </w:r>
          </w:p>
        </w:tc>
      </w:tr>
      <w:tr w:rsidR="002648B0" w:rsidRPr="00392FFD" w:rsidTr="00672D2A">
        <w:tc>
          <w:tcPr>
            <w:tcW w:w="1591" w:type="dxa"/>
          </w:tcPr>
          <w:p w:rsidR="00783881" w:rsidRPr="00392FFD" w:rsidRDefault="00D33AA1"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680</w:t>
            </w:r>
          </w:p>
        </w:tc>
        <w:tc>
          <w:tcPr>
            <w:tcW w:w="7274" w:type="dxa"/>
          </w:tcPr>
          <w:p w:rsidR="00783881" w:rsidRPr="007E39E6" w:rsidRDefault="002648B0" w:rsidP="00FD239F">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rsidR="00EE0671" w:rsidRPr="00EE0671">
              <w:rPr>
                <w:u w:val="single"/>
              </w:rPr>
              <w:tab/>
            </w:r>
            <w:r>
              <w:rPr>
                <w:rStyle w:val="InstructionsTabelleberschrift"/>
                <w:rFonts w:ascii="Times New Roman" w:hAnsi="Times New Roman"/>
                <w:sz w:val="24"/>
              </w:rPr>
              <w:t>ZNESEK SKUPNE IZPOSTAVLJENOSTI TVEGANJU V ZVEZI Z VELIKIMI IZPOSTAVLJENOSTMI V TRGOVALNI KNJIGI</w:t>
            </w:r>
          </w:p>
          <w:p w:rsidR="00783881" w:rsidRPr="00392FFD" w:rsidRDefault="002648B0"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Člen 92(3)(b)(</w:t>
            </w:r>
            <w:proofErr w:type="spellStart"/>
            <w:r>
              <w:rPr>
                <w:rStyle w:val="FormatvorlageInstructionsTabelleText"/>
                <w:rFonts w:ascii="Times New Roman" w:hAnsi="Times New Roman"/>
                <w:sz w:val="24"/>
              </w:rPr>
              <w:t>ii</w:t>
            </w:r>
            <w:proofErr w:type="spellEnd"/>
            <w:r>
              <w:rPr>
                <w:rStyle w:val="FormatvorlageInstructionsTabelleText"/>
                <w:rFonts w:ascii="Times New Roman" w:hAnsi="Times New Roman"/>
                <w:sz w:val="24"/>
              </w:rPr>
              <w:t>) ter členi 395 do 401 CRR.</w:t>
            </w:r>
          </w:p>
        </w:tc>
      </w:tr>
      <w:tr w:rsidR="002648B0" w:rsidRPr="00392FFD" w:rsidTr="00672D2A">
        <w:tc>
          <w:tcPr>
            <w:tcW w:w="1591" w:type="dxa"/>
          </w:tcPr>
          <w:p w:rsidR="002648B0" w:rsidRPr="00392FFD" w:rsidRDefault="00D33AA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690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rsidR="00EE0671" w:rsidRPr="00EE0671">
              <w:rPr>
                <w:u w:val="single"/>
              </w:rPr>
              <w:tab/>
            </w:r>
            <w:r>
              <w:rPr>
                <w:rStyle w:val="InstructionsTabelleberschrift"/>
                <w:rFonts w:ascii="Times New Roman" w:hAnsi="Times New Roman"/>
                <w:sz w:val="24"/>
              </w:rPr>
              <w:t>DRUGI ZNESKI IZPOSTAVLJENOSTI TVEGANJU</w:t>
            </w:r>
          </w:p>
          <w:p w:rsidR="00783881" w:rsidRPr="00392FFD"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Členi 3, 458 in 459 CRR ter zneski izpostavljenosti tveganju, ki jih ni mogoče razvrstiti v nobeno od postavk 1.1 do 1.7. </w:t>
            </w:r>
          </w:p>
          <w:p w:rsidR="00783881" w:rsidRPr="00392FFD"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Institucije sporočijo zneske, ki morajo biti v skladu z naslednjim:</w:t>
            </w:r>
          </w:p>
          <w:p w:rsidR="00783881" w:rsidRPr="00392FFD"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strožjimi bonitetnimi zahtevami, ki jih določi Komisija, v skladu s čl</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 xml:space="preserve">noma 458 in 459 CRR; </w:t>
            </w:r>
          </w:p>
          <w:p w:rsidR="00783881" w:rsidRPr="00392FFD" w:rsidRDefault="00DA4727"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dodatnim zneskom izpostavljenosti tveganju v skladu s členom 3 CRR.</w:t>
            </w:r>
          </w:p>
          <w:p w:rsidR="005643EA" w:rsidRPr="007E39E6" w:rsidRDefault="00DA4727" w:rsidP="00FD239F">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Ta postavka ni povezana s predlogo s podrobnostmi.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710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rsidR="00EE0671" w:rsidRPr="00EE0671">
              <w:rPr>
                <w:u w:val="single"/>
              </w:rPr>
              <w:tab/>
            </w:r>
            <w:r>
              <w:rPr>
                <w:rStyle w:val="InstructionsTabelleberschrift"/>
                <w:rFonts w:ascii="Times New Roman" w:hAnsi="Times New Roman"/>
                <w:sz w:val="24"/>
              </w:rPr>
              <w:t>Od tega: dodatne strožje bonitetne zahteve na podlagi čl</w:t>
            </w:r>
            <w:r>
              <w:rPr>
                <w:rStyle w:val="InstructionsTabelleberschrift"/>
                <w:rFonts w:ascii="Times New Roman" w:hAnsi="Times New Roman"/>
                <w:sz w:val="24"/>
              </w:rPr>
              <w:t>e</w:t>
            </w:r>
            <w:r>
              <w:rPr>
                <w:rStyle w:val="InstructionsTabelleberschrift"/>
                <w:rFonts w:ascii="Times New Roman" w:hAnsi="Times New Roman"/>
                <w:sz w:val="24"/>
              </w:rPr>
              <w:t>na 458</w:t>
            </w:r>
          </w:p>
          <w:p w:rsidR="005643EA" w:rsidRPr="007E39E6" w:rsidRDefault="002648B0"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Člen 458 CRR.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720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1.8.2*</w:t>
            </w:r>
            <w:r w:rsidR="00EE0671" w:rsidRPr="00EE0671">
              <w:rPr>
                <w:u w:val="single"/>
              </w:rPr>
              <w:tab/>
            </w:r>
            <w:r>
              <w:rPr>
                <w:rStyle w:val="InstructionsTabelleberschrift"/>
                <w:rFonts w:ascii="Times New Roman" w:hAnsi="Times New Roman"/>
                <w:sz w:val="24"/>
              </w:rPr>
              <w:t>Od tega: zahteve za velike izpostavljenosti</w:t>
            </w:r>
          </w:p>
          <w:p w:rsidR="005643EA" w:rsidRPr="00392FFD" w:rsidRDefault="002648B0" w:rsidP="00FD239F">
            <w:pPr>
              <w:pStyle w:val="InstructionsText"/>
              <w:rPr>
                <w:rStyle w:val="InstructionsTabelleberschrift"/>
                <w:rFonts w:ascii="Times New Roman" w:hAnsi="Times New Roman"/>
                <w:sz w:val="24"/>
              </w:rPr>
            </w:pPr>
            <w:r>
              <w:t>Člen 458 CRR.</w:t>
            </w:r>
          </w:p>
        </w:tc>
      </w:tr>
      <w:tr w:rsidR="002648B0" w:rsidRPr="00392FFD" w:rsidTr="00672D2A">
        <w:tc>
          <w:tcPr>
            <w:tcW w:w="1591" w:type="dxa"/>
          </w:tcPr>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730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1.8.2**</w:t>
            </w:r>
            <w:r w:rsidR="00EE0671" w:rsidRPr="00EE0671">
              <w:rPr>
                <w:u w:val="single"/>
              </w:rPr>
              <w:tab/>
            </w:r>
            <w:r>
              <w:rPr>
                <w:rStyle w:val="InstructionsTabelleberschrift"/>
                <w:rFonts w:ascii="Times New Roman" w:hAnsi="Times New Roman"/>
                <w:sz w:val="24"/>
              </w:rPr>
              <w:t>Od tega: zaradi spremenjenih uteži tveganja, usmerj</w:t>
            </w:r>
            <w:r>
              <w:rPr>
                <w:rStyle w:val="InstructionsTabelleberschrift"/>
                <w:rFonts w:ascii="Times New Roman" w:hAnsi="Times New Roman"/>
                <w:sz w:val="24"/>
              </w:rPr>
              <w:t>e</w:t>
            </w:r>
            <w:r>
              <w:rPr>
                <w:rStyle w:val="InstructionsTabelleberschrift"/>
                <w:rFonts w:ascii="Times New Roman" w:hAnsi="Times New Roman"/>
                <w:sz w:val="24"/>
              </w:rPr>
              <w:t xml:space="preserve">nih na nepremičninske balone v sektorju stanovanjskih in poslovnih </w:t>
            </w:r>
            <w:r>
              <w:rPr>
                <w:rStyle w:val="InstructionsTabelleberschrift"/>
                <w:rFonts w:ascii="Times New Roman" w:hAnsi="Times New Roman"/>
                <w:sz w:val="24"/>
              </w:rPr>
              <w:lastRenderedPageBreak/>
              <w:t>nepremičnin</w:t>
            </w:r>
          </w:p>
          <w:p w:rsidR="005643EA" w:rsidRPr="00392FFD" w:rsidRDefault="002648B0" w:rsidP="00FD239F">
            <w:pPr>
              <w:pStyle w:val="InstructionsText"/>
              <w:rPr>
                <w:rStyle w:val="InstructionsTabelleberschrift"/>
                <w:rFonts w:ascii="Times New Roman" w:hAnsi="Times New Roman"/>
                <w:sz w:val="24"/>
              </w:rPr>
            </w:pPr>
            <w:r>
              <w:t>Člen 458 CRR.</w:t>
            </w:r>
          </w:p>
        </w:tc>
      </w:tr>
      <w:tr w:rsidR="002648B0" w:rsidRPr="00392FFD" w:rsidTr="00672D2A">
        <w:tc>
          <w:tcPr>
            <w:tcW w:w="1591" w:type="dxa"/>
          </w:tcPr>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740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1.8.2***</w:t>
            </w:r>
            <w:r w:rsidR="00EE0671" w:rsidRPr="00EE0671">
              <w:rPr>
                <w:u w:val="single"/>
              </w:rPr>
              <w:tab/>
            </w:r>
            <w:r>
              <w:rPr>
                <w:rStyle w:val="InstructionsTabelleberschrift"/>
                <w:rFonts w:ascii="Times New Roman" w:hAnsi="Times New Roman"/>
                <w:sz w:val="24"/>
              </w:rPr>
              <w:t>Od tega: zaradi izpostavljenosti znotraj finančnega sektorja</w:t>
            </w:r>
          </w:p>
          <w:p w:rsidR="005643EA" w:rsidRPr="00392FFD" w:rsidRDefault="002648B0" w:rsidP="00FD239F">
            <w:pPr>
              <w:pStyle w:val="InstructionsText"/>
              <w:rPr>
                <w:rStyle w:val="InstructionsTabelleberschrift"/>
                <w:rFonts w:ascii="Times New Roman" w:hAnsi="Times New Roman"/>
                <w:sz w:val="24"/>
              </w:rPr>
            </w:pPr>
            <w:r>
              <w:t>Člen 458 CRR.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750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rsidR="00EE0671" w:rsidRPr="00EE0671">
              <w:rPr>
                <w:u w:val="single"/>
              </w:rPr>
              <w:tab/>
            </w:r>
            <w:r>
              <w:rPr>
                <w:rStyle w:val="InstructionsTabelleberschrift"/>
                <w:rFonts w:ascii="Times New Roman" w:hAnsi="Times New Roman"/>
                <w:sz w:val="24"/>
              </w:rPr>
              <w:t>Od tega: dodatne strožje bonitetne zahteve na podlagi čl</w:t>
            </w:r>
            <w:r>
              <w:rPr>
                <w:rStyle w:val="InstructionsTabelleberschrift"/>
                <w:rFonts w:ascii="Times New Roman" w:hAnsi="Times New Roman"/>
                <w:sz w:val="24"/>
              </w:rPr>
              <w:t>e</w:t>
            </w:r>
            <w:r>
              <w:rPr>
                <w:rStyle w:val="InstructionsTabelleberschrift"/>
                <w:rFonts w:ascii="Times New Roman" w:hAnsi="Times New Roman"/>
                <w:sz w:val="24"/>
              </w:rPr>
              <w:t>na 459</w:t>
            </w:r>
          </w:p>
          <w:p w:rsidR="005643EA" w:rsidRPr="00392FFD" w:rsidRDefault="002648B0"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Člen 459 CRR.</w:t>
            </w:r>
          </w:p>
        </w:tc>
      </w:tr>
      <w:tr w:rsidR="00523DD6" w:rsidRPr="00392FFD" w:rsidTr="00672D2A">
        <w:tc>
          <w:tcPr>
            <w:tcW w:w="1591" w:type="dxa"/>
            <w:shd w:val="clear" w:color="auto" w:fill="auto"/>
          </w:tcPr>
          <w:p w:rsidR="00523DD6" w:rsidRPr="00392FFD" w:rsidRDefault="00523DD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760</w:t>
            </w:r>
          </w:p>
        </w:tc>
        <w:tc>
          <w:tcPr>
            <w:tcW w:w="7274" w:type="dxa"/>
          </w:tcPr>
          <w:p w:rsidR="005643EA" w:rsidRPr="00392FFD" w:rsidRDefault="00523DD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rsidR="00EE0671" w:rsidRPr="00EE0671">
              <w:rPr>
                <w:u w:val="single"/>
              </w:rPr>
              <w:tab/>
            </w:r>
            <w:r>
              <w:rPr>
                <w:rStyle w:val="InstructionsTabelleberschrift"/>
                <w:rFonts w:ascii="Times New Roman" w:hAnsi="Times New Roman"/>
                <w:sz w:val="24"/>
              </w:rPr>
              <w:t>Od tega: dodatni znesek izpostavljenosti tveganju v skladu s členom 3 CRR</w:t>
            </w:r>
          </w:p>
          <w:p w:rsidR="005643EA" w:rsidRPr="00392FFD" w:rsidRDefault="00523DD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 CRR.</w:t>
            </w:r>
          </w:p>
          <w:p w:rsidR="005643EA" w:rsidRPr="00392FFD" w:rsidRDefault="00523DD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Dodatni znesek izpostavljenosti tveganju, ki se poroča. Vključuje le dodatne zneske (če ima na primer izpostavljenost 100 utež tveganja 20 % in institucije uporabijo utež tveganja 50 % na podlagi člena 3 CRR, je znesek, ki ga je treba poročati, 30). </w:t>
            </w:r>
          </w:p>
        </w:tc>
      </w:tr>
      <w:tr w:rsidR="00FE6995"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FE6995" w:rsidRPr="00241190" w:rsidRDefault="00FE6995" w:rsidP="00FD239F">
            <w:pPr>
              <w:pStyle w:val="InstructionsText"/>
              <w:rPr>
                <w:rStyle w:val="FormatvorlageInstructionsTabelleText"/>
                <w:rFonts w:ascii="Times New Roman" w:hAnsi="Times New Roman"/>
                <w:bCs w:val="0"/>
                <w:sz w:val="24"/>
              </w:rPr>
            </w:pPr>
            <w:bookmarkStart w:id="63" w:name="_Toc473560877"/>
            <w:bookmarkStart w:id="64" w:name="_Toc308175826"/>
            <w:bookmarkStart w:id="65" w:name="_Toc360188329"/>
            <w:r>
              <w:rPr>
                <w:rStyle w:val="FormatvorlageInstructionsTabelleText"/>
                <w:rFonts w:ascii="Times New Roman" w:hAnsi="Times New Roman"/>
                <w:sz w:val="24"/>
              </w:rPr>
              <w:t>770–900</w:t>
            </w:r>
          </w:p>
        </w:tc>
        <w:tc>
          <w:tcPr>
            <w:tcW w:w="7274" w:type="dxa"/>
            <w:tcBorders>
              <w:top w:val="single" w:sz="4" w:space="0" w:color="auto"/>
              <w:left w:val="nil"/>
              <w:bottom w:val="single" w:sz="4" w:space="0" w:color="auto"/>
              <w:right w:val="single" w:sz="4" w:space="0" w:color="auto"/>
            </w:tcBorders>
            <w:shd w:val="clear" w:color="auto" w:fill="auto"/>
            <w:vAlign w:val="center"/>
          </w:tcPr>
          <w:p w:rsidR="00FE6995" w:rsidRDefault="00394410" w:rsidP="00FE699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 Od tega: zneski tveganju prilagojenih izpostavljenosti za kred</w:t>
            </w:r>
            <w:r>
              <w:rPr>
                <w:rStyle w:val="InstructionsTabelleberschrift"/>
                <w:rFonts w:ascii="Times New Roman" w:hAnsi="Times New Roman"/>
                <w:sz w:val="24"/>
              </w:rPr>
              <w:t>i</w:t>
            </w:r>
            <w:r>
              <w:rPr>
                <w:rStyle w:val="InstructionsTabelleberschrift"/>
                <w:rFonts w:ascii="Times New Roman" w:hAnsi="Times New Roman"/>
                <w:sz w:val="24"/>
              </w:rPr>
              <w:t>tno tveganje: pozicije v listinjenju (revidirani okvir za listinjenja)</w:t>
            </w:r>
          </w:p>
          <w:p w:rsidR="00FE6995" w:rsidRDefault="00FE6995" w:rsidP="00FE699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v vrstice 770–900 vnesejo</w:t>
            </w:r>
            <w:r>
              <w:t xml:space="preserve"> informacije na referenčne datume poročanja po 1. januarju 2019.</w:t>
            </w:r>
          </w:p>
          <w:p w:rsidR="00FE6995" w:rsidRPr="0085692D" w:rsidRDefault="00FE6995" w:rsidP="00FE6995">
            <w:pPr>
              <w:pStyle w:val="InstructionsText"/>
            </w:pPr>
            <w:r>
              <w:rPr>
                <w:rStyle w:val="InstructionsTabelleberschrift"/>
                <w:rFonts w:ascii="Times New Roman" w:hAnsi="Times New Roman"/>
                <w:b w:val="0"/>
                <w:sz w:val="24"/>
                <w:u w:val="none"/>
              </w:rPr>
              <w:t>V</w:t>
            </w:r>
            <w:r>
              <w:t>rstice 770–900 predstavljajo zneske tveganju prilagojenih izpostavlj</w:t>
            </w:r>
            <w:r>
              <w:t>e</w:t>
            </w:r>
            <w:r>
              <w:t>nosti za kreditno tveganje za tiste pozicije v listinjenju, za katere se bo znesek tveganju prilagojene izpostavljenosti izračunal v skladu z dolo</w:t>
            </w:r>
            <w:r>
              <w:t>č</w:t>
            </w:r>
            <w:r>
              <w:t>bami CRR.</w:t>
            </w:r>
          </w:p>
          <w:p w:rsidR="00FE6995" w:rsidRPr="00672D2A" w:rsidRDefault="00FE6995" w:rsidP="00FE6995">
            <w:pPr>
              <w:pStyle w:val="InstructionsText"/>
              <w:rPr>
                <w:rStyle w:val="InstructionsTabelleberschrift"/>
                <w:rFonts w:ascii="Times New Roman" w:hAnsi="Times New Roman"/>
                <w:sz w:val="24"/>
              </w:rPr>
            </w:pPr>
            <w:r>
              <w:t>Zneski, ki se poročajo, so enaki skupnemu znesku tveganju prilagojenih izpostavljenosti, izračunanemu v skladu poglavjem 5 naslova II dela 3 CRR, ob upoštevanju skupne uteži tveganja, določene v skladu s čl</w:t>
            </w:r>
            <w:r>
              <w:t>e</w:t>
            </w:r>
            <w:r>
              <w:t>nom 247(6) CRR, in zgornjih mej iz pododdelka 4 oddelka 3 poglavja 5 naslova II dela 3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9B591B" w:rsidRPr="00241190" w:rsidRDefault="009B591B"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770</w:t>
            </w:r>
          </w:p>
        </w:tc>
        <w:tc>
          <w:tcPr>
            <w:tcW w:w="7274" w:type="dxa"/>
            <w:tcBorders>
              <w:top w:val="single" w:sz="4" w:space="0" w:color="auto"/>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w:t>
            </w:r>
            <w:r w:rsidR="00EE0671" w:rsidRPr="00EE0671">
              <w:rPr>
                <w:u w:val="single"/>
              </w:rPr>
              <w:tab/>
            </w:r>
            <w:r>
              <w:rPr>
                <w:rStyle w:val="InstructionsTabelleberschrift"/>
                <w:rFonts w:ascii="Times New Roman" w:hAnsi="Times New Roman"/>
                <w:sz w:val="24"/>
              </w:rPr>
              <w:t>Od tega: zneski tveganju prilagojenih izpostavljenosti za kr</w:t>
            </w:r>
            <w:r>
              <w:rPr>
                <w:rStyle w:val="InstructionsTabelleberschrift"/>
                <w:rFonts w:ascii="Times New Roman" w:hAnsi="Times New Roman"/>
                <w:sz w:val="24"/>
              </w:rPr>
              <w:t>e</w:t>
            </w:r>
            <w:r>
              <w:rPr>
                <w:rStyle w:val="InstructionsTabelleberschrift"/>
                <w:rFonts w:ascii="Times New Roman" w:hAnsi="Times New Roman"/>
                <w:sz w:val="24"/>
              </w:rPr>
              <w:t>ditno tveganje: pozicije v listinjenju (revidirani okvir za listinjenja)</w:t>
            </w:r>
          </w:p>
          <w:p w:rsidR="009B591B" w:rsidRPr="00241190" w:rsidRDefault="009B591B" w:rsidP="003B20D7">
            <w:pPr>
              <w:pStyle w:val="InstructionsText"/>
              <w:rPr>
                <w:rStyle w:val="InstructionsTabelleberschrift"/>
                <w:rFonts w:ascii="Times New Roman" w:hAnsi="Times New Roman"/>
                <w:bCs w:val="0"/>
                <w:sz w:val="24"/>
              </w:rPr>
            </w:pPr>
            <w:r>
              <w:t xml:space="preserve">Člen 92(3)(a) in poglavje 5 naslova II dela 3 CRR. </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780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w:t>
            </w:r>
            <w:r w:rsidR="00EE0671" w:rsidRPr="00EE0671">
              <w:rPr>
                <w:rStyle w:val="InstructionsTabelleberschrift"/>
                <w:rFonts w:ascii="Times New Roman" w:hAnsi="Times New Roman"/>
                <w:sz w:val="24"/>
              </w:rPr>
              <w:t>1</w:t>
            </w:r>
            <w:r w:rsidR="00EE0671" w:rsidRPr="00EE0671">
              <w:rPr>
                <w:rStyle w:val="InstructionsTabelleberschrift"/>
                <w:rFonts w:ascii="Times New Roman" w:hAnsi="Times New Roman"/>
                <w:sz w:val="24"/>
              </w:rPr>
              <w:tab/>
            </w:r>
            <w:r>
              <w:rPr>
                <w:rStyle w:val="InstructionsTabelleberschrift"/>
                <w:rFonts w:ascii="Times New Roman" w:hAnsi="Times New Roman"/>
                <w:sz w:val="24"/>
              </w:rPr>
              <w:t xml:space="preserve"> Pristop na podlagi notranjih bonitetnih ocen (SEC–IRBA)</w:t>
            </w:r>
          </w:p>
          <w:p w:rsidR="00BD661B" w:rsidRPr="0085692D" w:rsidRDefault="00BD661B" w:rsidP="00FD239F">
            <w:pPr>
              <w:pStyle w:val="InstructionsText"/>
              <w:rPr>
                <w:rStyle w:val="InstructionsTabelleberschrift"/>
                <w:rFonts w:ascii="Times New Roman" w:hAnsi="Times New Roman"/>
                <w:b w:val="0"/>
                <w:bCs w:val="0"/>
                <w:sz w:val="24"/>
                <w:u w:val="none"/>
              </w:rPr>
            </w:pPr>
            <w:r>
              <w:t>Člen 254(1)(a) ter člena 259 in 260 CRR.</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790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1.8.5.1.1</w:t>
            </w:r>
            <w:r w:rsidR="00EE0671" w:rsidRPr="00EE0671">
              <w:rPr>
                <w:u w:val="single"/>
              </w:rPr>
              <w:tab/>
            </w:r>
            <w:r>
              <w:rPr>
                <w:rStyle w:val="InstructionsTabelleberschrift"/>
                <w:rFonts w:ascii="Times New Roman" w:hAnsi="Times New Roman"/>
                <w:sz w:val="24"/>
              </w:rPr>
              <w:t>Listinjenja, ki ne izpolnjujejo pogojev za diferencirano kapitalsko obravnavo</w:t>
            </w:r>
          </w:p>
          <w:p w:rsidR="003D7822" w:rsidRPr="0085692D" w:rsidRDefault="00924FE7" w:rsidP="003B20D7">
            <w:pPr>
              <w:pStyle w:val="InstructionsText"/>
              <w:rPr>
                <w:rStyle w:val="InstructionsTabelleberschrift"/>
                <w:rFonts w:ascii="Times New Roman" w:hAnsi="Times New Roman"/>
                <w:b w:val="0"/>
                <w:sz w:val="24"/>
              </w:rPr>
            </w:pPr>
            <w:r>
              <w:t>Člen 254(1)(a) in člen 259 CRR.</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800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1.8.5.1.2</w:t>
            </w:r>
            <w:r w:rsidR="00EE0671" w:rsidRPr="00EE0671">
              <w:rPr>
                <w:u w:val="single"/>
              </w:rPr>
              <w:tab/>
            </w:r>
            <w:r>
              <w:rPr>
                <w:rStyle w:val="InstructionsTabelleberschrift"/>
                <w:rFonts w:ascii="Times New Roman" w:hAnsi="Times New Roman"/>
                <w:sz w:val="24"/>
              </w:rPr>
              <w:t>Listinjenja STS, ki izpolnjujejo pogoje za diferencir</w:t>
            </w:r>
            <w:r>
              <w:rPr>
                <w:rStyle w:val="InstructionsTabelleberschrift"/>
                <w:rFonts w:ascii="Times New Roman" w:hAnsi="Times New Roman"/>
                <w:sz w:val="24"/>
              </w:rPr>
              <w:t>a</w:t>
            </w:r>
            <w:r>
              <w:rPr>
                <w:rStyle w:val="InstructionsTabelleberschrift"/>
                <w:rFonts w:ascii="Times New Roman" w:hAnsi="Times New Roman"/>
                <w:sz w:val="24"/>
              </w:rPr>
              <w:t>no kapitalsko obravnavo</w:t>
            </w:r>
          </w:p>
          <w:p w:rsidR="00924FE7" w:rsidRPr="0085692D" w:rsidRDefault="00602FA5" w:rsidP="00FD239F">
            <w:pPr>
              <w:pStyle w:val="InstructionsText"/>
            </w:pPr>
            <w:r>
              <w:t>Člen 254(1)(a) ter člena 259 in 260 CRR.</w:t>
            </w:r>
          </w:p>
          <w:p w:rsidR="008B1A0F" w:rsidRPr="00241190" w:rsidRDefault="00366794" w:rsidP="003B20D7">
            <w:pPr>
              <w:pStyle w:val="InstructionsText"/>
              <w:rPr>
                <w:rStyle w:val="InstructionsTabelleberschrift"/>
                <w:rFonts w:ascii="Times New Roman" w:hAnsi="Times New Roman"/>
                <w:sz w:val="24"/>
              </w:rPr>
            </w:pPr>
            <w:r>
              <w:t xml:space="preserve">V tej vrstici se poročajo tako listinjenja STS, ki izpolnjujejo pogoje za diferencirano kapitalsko obravnavo v skladu s členom 243 CRR, kot </w:t>
            </w:r>
            <w:r>
              <w:lastRenderedPageBreak/>
              <w:t>nadrejene pozicije v listinjenjih MSP, ki izpolnjujejo pogoje za diferenc</w:t>
            </w:r>
            <w:r>
              <w:t>i</w:t>
            </w:r>
            <w:r>
              <w:t>rano kapitalsko obravnavo v skladu s členom 270 CRR.</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810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1.8.5.2 Standardizirani pristop (SEC–SA)</w:t>
            </w:r>
          </w:p>
          <w:p w:rsidR="002625C0" w:rsidRPr="00241190" w:rsidRDefault="002625C0" w:rsidP="003B20D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Člen 254(1)(b) in (6) ter členi 261, 262 in 269 CRR.</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820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1.8.5.2.1</w:t>
            </w:r>
            <w:r w:rsidR="00EE0671" w:rsidRPr="00EE0671">
              <w:rPr>
                <w:u w:val="single"/>
              </w:rPr>
              <w:tab/>
            </w:r>
            <w:r>
              <w:rPr>
                <w:rStyle w:val="InstructionsTabelleberschrift"/>
                <w:rFonts w:ascii="Times New Roman" w:hAnsi="Times New Roman"/>
                <w:sz w:val="24"/>
              </w:rPr>
              <w:t>Listinjenja, ki ne izpolnjujejo pogojev za diferencirano kapitalsko obravnavo</w:t>
            </w:r>
          </w:p>
          <w:p w:rsidR="004E6D5F" w:rsidRPr="00241190" w:rsidRDefault="004E6D5F" w:rsidP="003B20D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Člen 254(1)(b) in (6) ter člena 261 in 269 CRR.</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830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1.8.5.2.2</w:t>
            </w:r>
            <w:r w:rsidR="00EE0671" w:rsidRPr="00EE0671">
              <w:rPr>
                <w:u w:val="single"/>
              </w:rPr>
              <w:tab/>
            </w:r>
            <w:r>
              <w:rPr>
                <w:rStyle w:val="InstructionsTabelleberschrift"/>
                <w:rFonts w:ascii="Times New Roman" w:hAnsi="Times New Roman"/>
                <w:sz w:val="24"/>
              </w:rPr>
              <w:t>Listinjenja STS, ki izpolnjujejo pogoje za diferencir</w:t>
            </w:r>
            <w:r>
              <w:rPr>
                <w:rStyle w:val="InstructionsTabelleberschrift"/>
                <w:rFonts w:ascii="Times New Roman" w:hAnsi="Times New Roman"/>
                <w:sz w:val="24"/>
              </w:rPr>
              <w:t>a</w:t>
            </w:r>
            <w:r>
              <w:rPr>
                <w:rStyle w:val="InstructionsTabelleberschrift"/>
                <w:rFonts w:ascii="Times New Roman" w:hAnsi="Times New Roman"/>
                <w:sz w:val="24"/>
              </w:rPr>
              <w:t>no kapitalsko obravnavo</w:t>
            </w:r>
          </w:p>
          <w:p w:rsidR="004E6D5F" w:rsidRPr="00220265" w:rsidRDefault="004E6D5F" w:rsidP="00FD239F">
            <w:pPr>
              <w:pStyle w:val="InstructionsText"/>
            </w:pPr>
            <w:r>
              <w:t>Člen 254(1)(b) ter člena 261 in 262 CRR.</w:t>
            </w:r>
          </w:p>
          <w:p w:rsidR="008B1A0F" w:rsidRPr="00241190" w:rsidRDefault="00366794" w:rsidP="003B20D7">
            <w:pPr>
              <w:pStyle w:val="InstructionsText"/>
              <w:rPr>
                <w:rStyle w:val="InstructionsTabelleberschrift"/>
                <w:rFonts w:ascii="Times New Roman" w:hAnsi="Times New Roman"/>
                <w:sz w:val="24"/>
              </w:rPr>
            </w:pPr>
            <w:r>
              <w:t>V tej vrstici se poročajo tako listinjenja STS, ki izpolnjujejo pogoje za diferencirano kapitalsko obravnavo v skladu s členom 243 CRR, kot nadrejene pozicije v listinjenjih MSP, ki izpolnjujejo pogoje za diferenc</w:t>
            </w:r>
            <w:r>
              <w:t>i</w:t>
            </w:r>
            <w:r>
              <w:t>rano kapitalsko obravnavo v skladu s členom 270 CRR.</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w:t>
            </w:r>
            <w:r w:rsidR="00EE0671" w:rsidRPr="00EE0671">
              <w:rPr>
                <w:rStyle w:val="InstructionsTabelleberschrift"/>
                <w:rFonts w:ascii="Times New Roman" w:hAnsi="Times New Roman"/>
                <w:sz w:val="24"/>
              </w:rPr>
              <w:t>3</w:t>
            </w:r>
            <w:r w:rsidR="00EE0671" w:rsidRPr="00EE0671">
              <w:rPr>
                <w:rStyle w:val="InstructionsTabelleberschrift"/>
                <w:rFonts w:ascii="Times New Roman" w:hAnsi="Times New Roman"/>
                <w:sz w:val="24"/>
              </w:rPr>
              <w:tab/>
            </w:r>
            <w:r>
              <w:rPr>
                <w:rStyle w:val="InstructionsTabelleberschrift"/>
                <w:rFonts w:ascii="Times New Roman" w:hAnsi="Times New Roman"/>
                <w:sz w:val="24"/>
              </w:rPr>
              <w:t xml:space="preserve"> Pristop na podlagi zunanjih bonitetnih ocen (SEC–ERBA)</w:t>
            </w:r>
          </w:p>
          <w:p w:rsidR="009B591B" w:rsidRPr="00241190" w:rsidRDefault="009B591B" w:rsidP="003B20D7">
            <w:pPr>
              <w:pStyle w:val="InstructionsText"/>
              <w:rPr>
                <w:rStyle w:val="InstructionsTabelleberschrift"/>
                <w:rFonts w:ascii="Times New Roman" w:hAnsi="Times New Roman"/>
                <w:sz w:val="24"/>
              </w:rPr>
            </w:pPr>
            <w:r>
              <w:t>Člen 254(1)(c) in (2), (3) ter (4) in člena 263 in 264 CRR.</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850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1.8.5.3.1</w:t>
            </w:r>
            <w:r w:rsidR="00EE0671" w:rsidRPr="00EE0671">
              <w:rPr>
                <w:u w:val="single"/>
              </w:rPr>
              <w:tab/>
            </w:r>
            <w:r>
              <w:rPr>
                <w:rStyle w:val="InstructionsTabelleberschrift"/>
                <w:rFonts w:ascii="Times New Roman" w:hAnsi="Times New Roman"/>
                <w:sz w:val="24"/>
              </w:rPr>
              <w:t>Listinjenja, ki ne izpolnjujejo pogojev za diferencirano kapitalsko obravnavo</w:t>
            </w:r>
          </w:p>
          <w:p w:rsidR="009B591B" w:rsidRPr="00241190" w:rsidRDefault="009B591B" w:rsidP="003B20D7">
            <w:pPr>
              <w:pStyle w:val="InstructionsText"/>
              <w:rPr>
                <w:rStyle w:val="InstructionsTabelleberschrift"/>
                <w:rFonts w:ascii="Times New Roman" w:hAnsi="Times New Roman"/>
                <w:sz w:val="24"/>
              </w:rPr>
            </w:pPr>
            <w:r>
              <w:t>Člen 254(1)(c) in (2), (3) ter (4) in člen 263 CRR.</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860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1.8.5.3.2</w:t>
            </w:r>
            <w:r w:rsidR="00EE0671" w:rsidRPr="00EE0671">
              <w:rPr>
                <w:u w:val="single"/>
              </w:rPr>
              <w:tab/>
            </w:r>
            <w:r>
              <w:rPr>
                <w:rStyle w:val="InstructionsTabelleberschrift"/>
                <w:rFonts w:ascii="Times New Roman" w:hAnsi="Times New Roman"/>
                <w:sz w:val="24"/>
              </w:rPr>
              <w:t>Listinjenja STS, ki izpolnjujejo pogoje za diferencir</w:t>
            </w:r>
            <w:r>
              <w:rPr>
                <w:rStyle w:val="InstructionsTabelleberschrift"/>
                <w:rFonts w:ascii="Times New Roman" w:hAnsi="Times New Roman"/>
                <w:sz w:val="24"/>
              </w:rPr>
              <w:t>a</w:t>
            </w:r>
            <w:r>
              <w:rPr>
                <w:rStyle w:val="InstructionsTabelleberschrift"/>
                <w:rFonts w:ascii="Times New Roman" w:hAnsi="Times New Roman"/>
                <w:sz w:val="24"/>
              </w:rPr>
              <w:t>no kapitalsko obravnavo</w:t>
            </w:r>
          </w:p>
          <w:p w:rsidR="009B591B" w:rsidRPr="00220265" w:rsidRDefault="009B591B" w:rsidP="00FD239F">
            <w:pPr>
              <w:pStyle w:val="InstructionsText"/>
            </w:pPr>
            <w:r>
              <w:t>Člen 254(1)(c) in (2), (3) ter (4) in člena 263 in 264 CRR.</w:t>
            </w:r>
          </w:p>
          <w:p w:rsidR="009B591B" w:rsidRPr="00241190" w:rsidRDefault="009B591B" w:rsidP="003B20D7">
            <w:pPr>
              <w:pStyle w:val="InstructionsText"/>
              <w:rPr>
                <w:rStyle w:val="InstructionsTabelleberschrift"/>
                <w:rFonts w:ascii="Times New Roman" w:hAnsi="Times New Roman"/>
                <w:sz w:val="24"/>
              </w:rPr>
            </w:pPr>
            <w:r>
              <w:t>V tej vrstici se poročajo tako listinjenja STS, ki izpolnjujejo pogoje za diferencirano kapitalsko obravnavo v skladu s členom 243 CRR, kot nadrejene pozicije v listinjenjih MSP, ki izpolnjujejo pogoje za diferenc</w:t>
            </w:r>
            <w:r>
              <w:t>i</w:t>
            </w:r>
            <w:r>
              <w:t>rano kapitalsko obravnavo v skladu s členom 270 CRR.</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870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w:t>
            </w:r>
            <w:r w:rsidR="0059042F">
              <w:rPr>
                <w:rStyle w:val="InstructionsTabelleberschrift"/>
                <w:rFonts w:ascii="Times New Roman" w:hAnsi="Times New Roman"/>
                <w:sz w:val="24"/>
              </w:rPr>
              <w:t>4</w:t>
            </w:r>
            <w:r w:rsidR="00EE0671" w:rsidRPr="00EE0671">
              <w:rPr>
                <w:rStyle w:val="InstructionsTabelleberschrift"/>
                <w:rFonts w:ascii="Times New Roman" w:hAnsi="Times New Roman"/>
                <w:sz w:val="24"/>
              </w:rPr>
              <w:tab/>
            </w:r>
            <w:r>
              <w:rPr>
                <w:rStyle w:val="InstructionsTabelleberschrift"/>
                <w:rFonts w:ascii="Times New Roman" w:hAnsi="Times New Roman"/>
                <w:sz w:val="24"/>
              </w:rPr>
              <w:t xml:space="preserve"> Pristop notranjega ocenjevanja (IAA)</w:t>
            </w:r>
          </w:p>
          <w:p w:rsidR="009B591B" w:rsidRPr="00241190" w:rsidRDefault="009B591B" w:rsidP="003B20D7">
            <w:pPr>
              <w:pStyle w:val="InstructionsText"/>
              <w:rPr>
                <w:rStyle w:val="InstructionsTabelleberschrift"/>
                <w:rFonts w:ascii="Times New Roman" w:hAnsi="Times New Roman"/>
                <w:sz w:val="24"/>
              </w:rPr>
            </w:pPr>
            <w:r>
              <w:t>Člen 254(5) in člena 265 ter 266 CRR.</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880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1.8.5.4.1</w:t>
            </w:r>
            <w:r w:rsidR="00EE0671" w:rsidRPr="00EE0671">
              <w:rPr>
                <w:u w:val="single"/>
              </w:rPr>
              <w:tab/>
            </w:r>
            <w:r>
              <w:rPr>
                <w:rStyle w:val="InstructionsTabelleberschrift"/>
                <w:rFonts w:ascii="Times New Roman" w:hAnsi="Times New Roman"/>
                <w:sz w:val="24"/>
              </w:rPr>
              <w:t>Listinjenja, ki ne izpolnjujejo pogojev za diferencirano kapitalsko obravnavo</w:t>
            </w:r>
          </w:p>
          <w:p w:rsidR="009B591B" w:rsidRPr="00220265" w:rsidRDefault="009B591B" w:rsidP="003B20D7">
            <w:pPr>
              <w:pStyle w:val="InstructionsText"/>
              <w:rPr>
                <w:rStyle w:val="InstructionsTabelleberschrift"/>
                <w:rFonts w:ascii="Times New Roman" w:hAnsi="Times New Roman"/>
                <w:b w:val="0"/>
                <w:sz w:val="24"/>
                <w:u w:val="none"/>
              </w:rPr>
            </w:pPr>
            <w:r>
              <w:t>Člen 254(5) in člena 265 ter 266 CRR.</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890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1.8.5.4.2</w:t>
            </w:r>
            <w:r w:rsidR="00EE0671" w:rsidRPr="00EE0671">
              <w:rPr>
                <w:u w:val="single"/>
              </w:rPr>
              <w:tab/>
            </w:r>
            <w:r>
              <w:rPr>
                <w:rStyle w:val="InstructionsTabelleberschrift"/>
                <w:rFonts w:ascii="Times New Roman" w:hAnsi="Times New Roman"/>
                <w:sz w:val="24"/>
              </w:rPr>
              <w:t>Listinjenja STS, ki izpolnjujejo pogoje za diferencir</w:t>
            </w:r>
            <w:r>
              <w:rPr>
                <w:rStyle w:val="InstructionsTabelleberschrift"/>
                <w:rFonts w:ascii="Times New Roman" w:hAnsi="Times New Roman"/>
                <w:sz w:val="24"/>
              </w:rPr>
              <w:t>a</w:t>
            </w:r>
            <w:r>
              <w:rPr>
                <w:rStyle w:val="InstructionsTabelleberschrift"/>
                <w:rFonts w:ascii="Times New Roman" w:hAnsi="Times New Roman"/>
                <w:sz w:val="24"/>
              </w:rPr>
              <w:t>no kapitalsko obravnavo</w:t>
            </w:r>
          </w:p>
          <w:p w:rsidR="009B591B" w:rsidRPr="00220265" w:rsidRDefault="009B591B" w:rsidP="00FD239F">
            <w:pPr>
              <w:pStyle w:val="InstructionsText"/>
            </w:pPr>
            <w:r>
              <w:t>Člen 254(5) in člena 265 ter 266 CRR.</w:t>
            </w:r>
          </w:p>
          <w:p w:rsidR="009B591B" w:rsidRPr="00241190" w:rsidRDefault="009B591B" w:rsidP="003B20D7">
            <w:pPr>
              <w:pStyle w:val="InstructionsText"/>
              <w:rPr>
                <w:rStyle w:val="InstructionsTabelleberschrift"/>
                <w:rFonts w:ascii="Times New Roman" w:hAnsi="Times New Roman"/>
                <w:sz w:val="24"/>
              </w:rPr>
            </w:pPr>
            <w:r>
              <w:t>V tej vrstici se poročajo tako listinjenja STS, ki izpolnjujejo pogoje za diferencirano kapitalsko obravnavo v skladu s členom 243 CRR, kot nadrejene pozicije v listinjenjih MSP, ki izpolnjujejo pogoje za diferenc</w:t>
            </w:r>
            <w:r>
              <w:t>i</w:t>
            </w:r>
            <w:r>
              <w:t>rano kapitalsko obravnavo v skladu s členom 270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900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w:t>
            </w:r>
            <w:r w:rsidR="0059042F">
              <w:rPr>
                <w:rStyle w:val="InstructionsTabelleberschrift"/>
                <w:rFonts w:ascii="Times New Roman" w:hAnsi="Times New Roman"/>
                <w:sz w:val="24"/>
              </w:rPr>
              <w:t>5</w:t>
            </w:r>
            <w:r w:rsidR="00EE0671" w:rsidRPr="00EE0671">
              <w:rPr>
                <w:rStyle w:val="InstructionsTabelleberschrift"/>
                <w:rFonts w:ascii="Times New Roman" w:hAnsi="Times New Roman"/>
                <w:sz w:val="24"/>
              </w:rPr>
              <w:tab/>
            </w:r>
            <w:r>
              <w:rPr>
                <w:rStyle w:val="InstructionsTabelleberschrift"/>
                <w:rFonts w:ascii="Times New Roman" w:hAnsi="Times New Roman"/>
                <w:sz w:val="24"/>
              </w:rPr>
              <w:t xml:space="preserve"> Drugo (UT = 1 250 %)</w:t>
            </w:r>
          </w:p>
          <w:p w:rsidR="009B591B" w:rsidRPr="00241190" w:rsidRDefault="009B591B" w:rsidP="003B20D7">
            <w:pPr>
              <w:pStyle w:val="InstructionsText"/>
              <w:rPr>
                <w:rStyle w:val="InstructionsTabelleberschrift"/>
                <w:rFonts w:ascii="Times New Roman" w:hAnsi="Times New Roman"/>
                <w:sz w:val="24"/>
              </w:rPr>
            </w:pPr>
            <w:r>
              <w:lastRenderedPageBreak/>
              <w:t>Člen 254(7) CRR.</w:t>
            </w:r>
          </w:p>
        </w:tc>
      </w:tr>
      <w:tr w:rsidR="00BB3CBE"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tcPr>
          <w:p w:rsidR="00BB3CBE" w:rsidRPr="00241190" w:rsidRDefault="00BB3CBE"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910–1040</w:t>
            </w:r>
          </w:p>
        </w:tc>
        <w:tc>
          <w:tcPr>
            <w:tcW w:w="7274" w:type="dxa"/>
            <w:tcBorders>
              <w:top w:val="nil"/>
              <w:left w:val="nil"/>
              <w:bottom w:val="single" w:sz="4" w:space="0" w:color="auto"/>
              <w:right w:val="single" w:sz="4" w:space="0" w:color="auto"/>
            </w:tcBorders>
            <w:shd w:val="clear" w:color="auto" w:fill="auto"/>
            <w:vAlign w:val="center"/>
          </w:tcPr>
          <w:p w:rsidR="00153BEC" w:rsidRDefault="0039441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 Od tega: Znesek skupne izpostavljenosti tveganju za pozicijsko tveganje: dolžniški instrumenti, s katerimi se trguje na borzi – pos</w:t>
            </w:r>
            <w:r>
              <w:rPr>
                <w:rStyle w:val="InstructionsTabelleberschrift"/>
                <w:rFonts w:ascii="Times New Roman" w:hAnsi="Times New Roman"/>
                <w:sz w:val="24"/>
              </w:rPr>
              <w:t>e</w:t>
            </w:r>
            <w:r>
              <w:rPr>
                <w:rStyle w:val="InstructionsTabelleberschrift"/>
                <w:rFonts w:ascii="Times New Roman" w:hAnsi="Times New Roman"/>
                <w:sz w:val="24"/>
              </w:rPr>
              <w:t>bno tveganje instrumentov v listinjenju (revidirani okvir za listinje</w:t>
            </w:r>
            <w:r>
              <w:rPr>
                <w:rStyle w:val="InstructionsTabelleberschrift"/>
                <w:rFonts w:ascii="Times New Roman" w:hAnsi="Times New Roman"/>
                <w:sz w:val="24"/>
              </w:rPr>
              <w:t>n</w:t>
            </w:r>
            <w:r>
              <w:rPr>
                <w:rStyle w:val="InstructionsTabelleberschrift"/>
                <w:rFonts w:ascii="Times New Roman" w:hAnsi="Times New Roman"/>
                <w:sz w:val="24"/>
              </w:rPr>
              <w:t>ja)</w:t>
            </w:r>
          </w:p>
          <w:p w:rsidR="002A6913" w:rsidRPr="002A6913" w:rsidRDefault="002A6913" w:rsidP="00FD239F">
            <w:pPr>
              <w:pStyle w:val="InstructionsText"/>
              <w:rPr>
                <w:bCs/>
              </w:rPr>
            </w:pPr>
            <w:r>
              <w:rPr>
                <w:rStyle w:val="InstructionsTabelleberschrift"/>
                <w:rFonts w:ascii="Times New Roman" w:hAnsi="Times New Roman"/>
                <w:b w:val="0"/>
                <w:sz w:val="24"/>
                <w:u w:val="none"/>
              </w:rPr>
              <w:t>Institucije v vrstice 910–1040 vnesejo</w:t>
            </w:r>
            <w:r>
              <w:t xml:space="preserve"> informacije na referenčne datume poročanja po 1. januarju 2019.</w:t>
            </w:r>
          </w:p>
          <w:p w:rsidR="004E2BE7" w:rsidRPr="00220265" w:rsidRDefault="004E2BE7" w:rsidP="00FD239F">
            <w:pPr>
              <w:pStyle w:val="InstructionsText"/>
            </w:pPr>
            <w:r>
              <w:t>Vrstice 910–1040 vsebujejo zneske tveganju prilagojenih izpostavljeno</w:t>
            </w:r>
            <w:r>
              <w:t>s</w:t>
            </w:r>
            <w:r>
              <w:t>ti za tiste pozicije v listinjenju v trgovalni knjigi, za katere se bodo zne</w:t>
            </w:r>
            <w:r>
              <w:t>s</w:t>
            </w:r>
            <w:r>
              <w:t>ki skupne  izpostavljenosti tveganju izračunali v skladu z določbami CRR. Vendar se pozicije v listinjenju, za katere se uporabljajo kapitalske zahteve za trgovalni portfelj s korelacijo v skladu s členom 338 spreme</w:t>
            </w:r>
            <w:r>
              <w:t>n</w:t>
            </w:r>
            <w:r>
              <w:t>jene CRR, ne poročajo v teh vrsticah, ampak v predlogi MKR SA CTP.</w:t>
            </w:r>
          </w:p>
          <w:p w:rsidR="004E2BE7" w:rsidRPr="00220265" w:rsidRDefault="004E2BE7" w:rsidP="00FD239F">
            <w:pPr>
              <w:pStyle w:val="InstructionsText"/>
            </w:pPr>
            <w:r>
              <w:t>Zneski, ki se poročajo, so enaki znesku skupne izpostavljenosti tveganju, ki je rezultat pomnožitve kapitalskih zahtev, izračunanih v skladu s čl</w:t>
            </w:r>
            <w:r>
              <w:t>e</w:t>
            </w:r>
            <w:r>
              <w:t>nom 337 CRR, z 12,5. Pri znesku, ki se poroča, se upošteva uporabljena skupna utež tveganja v skladu s členom 337(3) CRR in zgornja meja za kapitalsko zahtevo za neto pozicijo v skladu s členom 335 CRR.</w:t>
            </w:r>
          </w:p>
          <w:p w:rsidR="007A1E2E" w:rsidRPr="00241190" w:rsidRDefault="007A1E2E" w:rsidP="002A6913">
            <w:pPr>
              <w:pStyle w:val="InstructionsText"/>
              <w:rPr>
                <w:rStyle w:val="InstructionsTabelleberschrift"/>
                <w:rFonts w:ascii="Times New Roman" w:hAnsi="Times New Roman"/>
                <w:bCs w:val="0"/>
                <w:sz w:val="24"/>
              </w:rPr>
            </w:pPr>
            <w:r>
              <w:t>V skladu z določitvijo uteži tveganja v skladu s členom 337 CRR se pri</w:t>
            </w:r>
            <w:r>
              <w:t>s</w:t>
            </w:r>
            <w:r>
              <w:t>top, uporabljen za izračun kapitalskih zahtev za instrumente v trgovalni knjigi, ki so pozicije v listinjenju, določi za pristop, ki bi ga institucija uporabljala za pozicijo v svoji netrgovalni knjigi.</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910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w:t>
            </w:r>
            <w:r w:rsidR="00EE0671" w:rsidRPr="00EE0671">
              <w:rPr>
                <w:u w:val="single"/>
              </w:rPr>
              <w:tab/>
            </w:r>
            <w:r>
              <w:rPr>
                <w:rStyle w:val="InstructionsTabelleberschrift"/>
                <w:rFonts w:ascii="Times New Roman" w:hAnsi="Times New Roman"/>
                <w:sz w:val="24"/>
              </w:rPr>
              <w:t>Od tega: Znesek skupne izpostavljenosti tveganju za pozici</w:t>
            </w:r>
            <w:r>
              <w:rPr>
                <w:rStyle w:val="InstructionsTabelleberschrift"/>
                <w:rFonts w:ascii="Times New Roman" w:hAnsi="Times New Roman"/>
                <w:sz w:val="24"/>
              </w:rPr>
              <w:t>j</w:t>
            </w:r>
            <w:r>
              <w:rPr>
                <w:rStyle w:val="InstructionsTabelleberschrift"/>
                <w:rFonts w:ascii="Times New Roman" w:hAnsi="Times New Roman"/>
                <w:sz w:val="24"/>
              </w:rPr>
              <w:t>sko tveganje: dolžniški instrumenti, s katerimi se trguje na borzi – posebno tveganje instrumentov v listinjenju (revidirani okvir za li</w:t>
            </w:r>
            <w:r>
              <w:rPr>
                <w:rStyle w:val="InstructionsTabelleberschrift"/>
                <w:rFonts w:ascii="Times New Roman" w:hAnsi="Times New Roman"/>
                <w:sz w:val="24"/>
              </w:rPr>
              <w:t>s</w:t>
            </w:r>
            <w:r>
              <w:rPr>
                <w:rStyle w:val="InstructionsTabelleberschrift"/>
                <w:rFonts w:ascii="Times New Roman" w:hAnsi="Times New Roman"/>
                <w:sz w:val="24"/>
              </w:rPr>
              <w:t>tinjenja)</w:t>
            </w:r>
          </w:p>
          <w:p w:rsidR="00BB3CBE" w:rsidRPr="00241190" w:rsidRDefault="00BB3CBE" w:rsidP="002A6913">
            <w:pPr>
              <w:pStyle w:val="InstructionsText"/>
              <w:rPr>
                <w:rStyle w:val="InstructionsTabelleberschrift"/>
                <w:rFonts w:ascii="Times New Roman" w:hAnsi="Times New Roman"/>
                <w:sz w:val="24"/>
              </w:rPr>
            </w:pPr>
            <w:r>
              <w:t>Člen 92(3)(b)(i) in (4) ter člena 335 in 337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920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w:t>
            </w:r>
            <w:r w:rsidR="00EE0671" w:rsidRPr="00EE0671">
              <w:rPr>
                <w:rStyle w:val="InstructionsTabelleberschrift"/>
                <w:rFonts w:ascii="Times New Roman" w:hAnsi="Times New Roman"/>
                <w:sz w:val="24"/>
              </w:rPr>
              <w:t>1</w:t>
            </w:r>
            <w:r w:rsidR="00EE0671" w:rsidRPr="00EE0671">
              <w:rPr>
                <w:rStyle w:val="InstructionsTabelleberschrift"/>
                <w:rFonts w:ascii="Times New Roman" w:hAnsi="Times New Roman"/>
                <w:sz w:val="24"/>
              </w:rPr>
              <w:tab/>
            </w:r>
            <w:r>
              <w:rPr>
                <w:rStyle w:val="InstructionsTabelleberschrift"/>
                <w:rFonts w:ascii="Times New Roman" w:hAnsi="Times New Roman"/>
                <w:sz w:val="24"/>
              </w:rPr>
              <w:t xml:space="preserve"> Pristop na podlagi notranjih bonitetnih ocen (SEC–IRBA)</w:t>
            </w:r>
          </w:p>
          <w:p w:rsidR="007A1E2E" w:rsidRPr="00241190" w:rsidRDefault="007A1E2E" w:rsidP="002A6913">
            <w:pPr>
              <w:pStyle w:val="InstructionsText"/>
              <w:rPr>
                <w:rStyle w:val="InstructionsTabelleberschrift"/>
                <w:rFonts w:ascii="Times New Roman" w:hAnsi="Times New Roman"/>
                <w:sz w:val="24"/>
              </w:rPr>
            </w:pPr>
            <w:r>
              <w:t>Člen 254(1)(a) ter členi 259, 260 in 337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930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1.8.6.1.1</w:t>
            </w:r>
            <w:r w:rsidR="00EE0671" w:rsidRPr="00EE0671">
              <w:rPr>
                <w:u w:val="single"/>
              </w:rPr>
              <w:tab/>
            </w:r>
            <w:r>
              <w:rPr>
                <w:rStyle w:val="InstructionsTabelleberschrift"/>
                <w:rFonts w:ascii="Times New Roman" w:hAnsi="Times New Roman"/>
                <w:sz w:val="24"/>
              </w:rPr>
              <w:t>Listinjenja, ki ne izpolnjujejo pogojev za diferencirano kapitalsko obravnavo</w:t>
            </w:r>
          </w:p>
          <w:p w:rsidR="007A1E2E" w:rsidRPr="00241190" w:rsidRDefault="007A1E2E" w:rsidP="002A6913">
            <w:pPr>
              <w:pStyle w:val="InstructionsText"/>
              <w:rPr>
                <w:rStyle w:val="InstructionsTabelleberschrift"/>
                <w:rFonts w:ascii="Times New Roman" w:hAnsi="Times New Roman"/>
                <w:sz w:val="24"/>
              </w:rPr>
            </w:pPr>
            <w:r>
              <w:t>Člen 254(1)(a) ter člena 259 in 337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940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1.8.6.1.2</w:t>
            </w:r>
            <w:r w:rsidR="00EE0671" w:rsidRPr="00EE0671">
              <w:rPr>
                <w:u w:val="single"/>
              </w:rPr>
              <w:tab/>
            </w:r>
            <w:r>
              <w:rPr>
                <w:rStyle w:val="InstructionsTabelleberschrift"/>
                <w:rFonts w:ascii="Times New Roman" w:hAnsi="Times New Roman"/>
                <w:sz w:val="24"/>
              </w:rPr>
              <w:t>Listinjenja STS, ki izpolnjujejo pogoje za diferencir</w:t>
            </w:r>
            <w:r>
              <w:rPr>
                <w:rStyle w:val="InstructionsTabelleberschrift"/>
                <w:rFonts w:ascii="Times New Roman" w:hAnsi="Times New Roman"/>
                <w:sz w:val="24"/>
              </w:rPr>
              <w:t>a</w:t>
            </w:r>
            <w:r>
              <w:rPr>
                <w:rStyle w:val="InstructionsTabelleberschrift"/>
                <w:rFonts w:ascii="Times New Roman" w:hAnsi="Times New Roman"/>
                <w:sz w:val="24"/>
              </w:rPr>
              <w:t>no kapitalsko obravnavo</w:t>
            </w:r>
          </w:p>
          <w:p w:rsidR="007A1E2E" w:rsidRPr="00220265" w:rsidRDefault="007A1E2E" w:rsidP="00FD239F">
            <w:pPr>
              <w:pStyle w:val="InstructionsText"/>
            </w:pPr>
            <w:r>
              <w:t>Člen 254(1)(a) ter členi 259, 260 in 337 CRR.</w:t>
            </w:r>
          </w:p>
          <w:p w:rsidR="007A1E2E" w:rsidRPr="00241190" w:rsidRDefault="007A1E2E" w:rsidP="00FD239F">
            <w:pPr>
              <w:pStyle w:val="InstructionsText"/>
              <w:rPr>
                <w:rStyle w:val="InstructionsTabelleberschrift"/>
                <w:rFonts w:ascii="Times New Roman" w:hAnsi="Times New Roman"/>
                <w:sz w:val="24"/>
              </w:rPr>
            </w:pPr>
            <w:r>
              <w:t>V tej vrstici se poročajo tako listinjenja STS, ki izpolnjujejo pogoje za diferencirano kapitalsko obravnavo v skladu s členom 243 CRR, kot nadrejene pozicije v listinjenjih MSP, ki izpolnjujejo pogoje za diferenc</w:t>
            </w:r>
            <w:r>
              <w:t>i</w:t>
            </w:r>
            <w:r>
              <w:t>rano kapitalsko obravnavo v skladu s členom 270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950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w:t>
            </w:r>
            <w:r w:rsidR="00EE0671" w:rsidRPr="00EE0671">
              <w:rPr>
                <w:rStyle w:val="InstructionsTabelleberschrift"/>
                <w:rFonts w:ascii="Times New Roman" w:hAnsi="Times New Roman"/>
                <w:sz w:val="24"/>
              </w:rPr>
              <w:t>2</w:t>
            </w:r>
            <w:r w:rsidR="00EE0671" w:rsidRPr="00EE0671">
              <w:rPr>
                <w:rStyle w:val="InstructionsTabelleberschrift"/>
                <w:rFonts w:ascii="Times New Roman" w:hAnsi="Times New Roman"/>
                <w:sz w:val="24"/>
              </w:rPr>
              <w:tab/>
            </w:r>
            <w:r>
              <w:rPr>
                <w:rStyle w:val="InstructionsTabelleberschrift"/>
                <w:rFonts w:ascii="Times New Roman" w:hAnsi="Times New Roman"/>
                <w:sz w:val="24"/>
              </w:rPr>
              <w:t>Standardizirani pristop (SEC–SA)</w:t>
            </w:r>
          </w:p>
          <w:p w:rsidR="007A1E2E" w:rsidRPr="00241190" w:rsidRDefault="007A1E2E" w:rsidP="002A6913">
            <w:pPr>
              <w:pStyle w:val="InstructionsText"/>
              <w:rPr>
                <w:rStyle w:val="InstructionsTabelleberschrift"/>
                <w:rFonts w:ascii="Times New Roman" w:hAnsi="Times New Roman"/>
                <w:sz w:val="24"/>
              </w:rPr>
            </w:pPr>
            <w:r>
              <w:t>Člen 254(1)(b) in (6) ter členi 261, 262, 269 in 337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960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1.8.6.2.1</w:t>
            </w:r>
            <w:r w:rsidR="00EE0671" w:rsidRPr="00EE0671">
              <w:rPr>
                <w:u w:val="single"/>
              </w:rPr>
              <w:tab/>
            </w:r>
            <w:r>
              <w:rPr>
                <w:rStyle w:val="InstructionsTabelleberschrift"/>
                <w:rFonts w:ascii="Times New Roman" w:hAnsi="Times New Roman"/>
                <w:sz w:val="24"/>
              </w:rPr>
              <w:t xml:space="preserve">Listinjenja, ki ne izpolnjujejo pogojev za diferencirano </w:t>
            </w:r>
            <w:r>
              <w:rPr>
                <w:rStyle w:val="InstructionsTabelleberschrift"/>
                <w:rFonts w:ascii="Times New Roman" w:hAnsi="Times New Roman"/>
                <w:sz w:val="24"/>
              </w:rPr>
              <w:lastRenderedPageBreak/>
              <w:t>kapitalsko obravnavo</w:t>
            </w:r>
          </w:p>
          <w:p w:rsidR="007A1E2E" w:rsidRPr="00241190" w:rsidRDefault="007A1E2E" w:rsidP="002A6913">
            <w:pPr>
              <w:pStyle w:val="InstructionsText"/>
              <w:rPr>
                <w:rStyle w:val="InstructionsTabelleberschrift"/>
                <w:rFonts w:ascii="Times New Roman" w:hAnsi="Times New Roman"/>
                <w:sz w:val="24"/>
              </w:rPr>
            </w:pPr>
            <w:r>
              <w:t>Člen 254(1)(b) in (6) ter členi 261, 269 in 337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970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1.8.6.2.2</w:t>
            </w:r>
            <w:r w:rsidR="00EE0671" w:rsidRPr="00EE0671">
              <w:rPr>
                <w:u w:val="single"/>
              </w:rPr>
              <w:tab/>
            </w:r>
            <w:r>
              <w:rPr>
                <w:rStyle w:val="InstructionsTabelleberschrift"/>
                <w:rFonts w:ascii="Times New Roman" w:hAnsi="Times New Roman"/>
                <w:sz w:val="24"/>
              </w:rPr>
              <w:t>Listinjenja STS, ki izpolnjujejo pogoje za diferencir</w:t>
            </w:r>
            <w:r>
              <w:rPr>
                <w:rStyle w:val="InstructionsTabelleberschrift"/>
                <w:rFonts w:ascii="Times New Roman" w:hAnsi="Times New Roman"/>
                <w:sz w:val="24"/>
              </w:rPr>
              <w:t>a</w:t>
            </w:r>
            <w:r>
              <w:rPr>
                <w:rStyle w:val="InstructionsTabelleberschrift"/>
                <w:rFonts w:ascii="Times New Roman" w:hAnsi="Times New Roman"/>
                <w:sz w:val="24"/>
              </w:rPr>
              <w:t>no kapitalsko obravnavo</w:t>
            </w:r>
          </w:p>
          <w:p w:rsidR="007A1E2E" w:rsidRPr="00220265" w:rsidRDefault="007A1E2E" w:rsidP="00FD239F">
            <w:pPr>
              <w:pStyle w:val="InstructionsText"/>
            </w:pPr>
            <w:r>
              <w:t>Člen 254(1)(b) ter členi 261, 262 in 337 CRR.</w:t>
            </w:r>
          </w:p>
          <w:p w:rsidR="007A1E2E" w:rsidRPr="00241190" w:rsidRDefault="007A1E2E" w:rsidP="00FD239F">
            <w:pPr>
              <w:pStyle w:val="InstructionsText"/>
              <w:rPr>
                <w:rStyle w:val="InstructionsTabelleberschrift"/>
                <w:rFonts w:ascii="Times New Roman" w:hAnsi="Times New Roman"/>
                <w:sz w:val="24"/>
              </w:rPr>
            </w:pPr>
            <w:r>
              <w:t>V tej vrstici se poročajo tako listinjenja STS, ki izpolnjujejo pogoje za diferencirano kapitalsko obravnavo v skladu s členom 243 CRR, kot nadrejene pozicije v listinjenjih MSP, ki izpolnjujejo pogoje za diferenc</w:t>
            </w:r>
            <w:r>
              <w:t>i</w:t>
            </w:r>
            <w:r>
              <w:t>rano kapitalsko obravnavo v skladu s členom 270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980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w:t>
            </w:r>
            <w:r w:rsidR="00EE0671" w:rsidRPr="00EE0671">
              <w:rPr>
                <w:rStyle w:val="InstructionsTabelleberschrift"/>
                <w:rFonts w:ascii="Times New Roman" w:hAnsi="Times New Roman"/>
                <w:sz w:val="24"/>
              </w:rPr>
              <w:t>3</w:t>
            </w:r>
            <w:r w:rsidR="00EE0671" w:rsidRPr="00EE0671">
              <w:rPr>
                <w:rStyle w:val="InstructionsTabelleberschrift"/>
                <w:rFonts w:ascii="Times New Roman" w:hAnsi="Times New Roman"/>
                <w:sz w:val="24"/>
              </w:rPr>
              <w:tab/>
            </w:r>
            <w:r>
              <w:rPr>
                <w:rStyle w:val="InstructionsTabelleberschrift"/>
                <w:rFonts w:ascii="Times New Roman" w:hAnsi="Times New Roman"/>
                <w:sz w:val="24"/>
              </w:rPr>
              <w:t xml:space="preserve"> Pristop na podlagi zunanjih bonitetnih ocen (SEC–ERBA)</w:t>
            </w:r>
          </w:p>
          <w:p w:rsidR="007A1E2E" w:rsidRPr="00241190" w:rsidRDefault="007A1E2E" w:rsidP="002A6913">
            <w:pPr>
              <w:pStyle w:val="InstructionsText"/>
              <w:rPr>
                <w:rStyle w:val="InstructionsTabelleberschrift"/>
                <w:rFonts w:ascii="Times New Roman" w:hAnsi="Times New Roman"/>
                <w:sz w:val="24"/>
              </w:rPr>
            </w:pPr>
            <w:r>
              <w:t>Člen 254(1)(c) in (2), (3) ter (4) in členi 263, 264 ter 337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990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1.8.6.3.1</w:t>
            </w:r>
            <w:r w:rsidR="00EE0671" w:rsidRPr="00EE0671">
              <w:rPr>
                <w:u w:val="single"/>
              </w:rPr>
              <w:tab/>
            </w:r>
            <w:r>
              <w:rPr>
                <w:rStyle w:val="InstructionsTabelleberschrift"/>
                <w:rFonts w:ascii="Times New Roman" w:hAnsi="Times New Roman"/>
                <w:sz w:val="24"/>
              </w:rPr>
              <w:t>Listinjenja, ki ne izpolnjujejo pogojev za diferencirano kapitalsko obravnavo</w:t>
            </w:r>
          </w:p>
          <w:p w:rsidR="007A1E2E" w:rsidRPr="00241190" w:rsidRDefault="007A1E2E" w:rsidP="002A6913">
            <w:pPr>
              <w:pStyle w:val="InstructionsText"/>
              <w:rPr>
                <w:rStyle w:val="InstructionsTabelleberschrift"/>
                <w:rFonts w:ascii="Times New Roman" w:hAnsi="Times New Roman"/>
                <w:sz w:val="24"/>
              </w:rPr>
            </w:pPr>
            <w:r>
              <w:t>Člen 254(1)(c) in (2), (3) ter (4) in člena 263 in 337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1000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1.8.6.3.2</w:t>
            </w:r>
            <w:r w:rsidR="00EE0671" w:rsidRPr="00EE0671">
              <w:rPr>
                <w:u w:val="single"/>
              </w:rPr>
              <w:tab/>
            </w:r>
            <w:r>
              <w:rPr>
                <w:rStyle w:val="InstructionsTabelleberschrift"/>
                <w:rFonts w:ascii="Times New Roman" w:hAnsi="Times New Roman"/>
                <w:sz w:val="24"/>
              </w:rPr>
              <w:t>Listinjenja STS, ki izpolnjujejo pogoje za diferencir</w:t>
            </w:r>
            <w:r>
              <w:rPr>
                <w:rStyle w:val="InstructionsTabelleberschrift"/>
                <w:rFonts w:ascii="Times New Roman" w:hAnsi="Times New Roman"/>
                <w:sz w:val="24"/>
              </w:rPr>
              <w:t>a</w:t>
            </w:r>
            <w:r>
              <w:rPr>
                <w:rStyle w:val="InstructionsTabelleberschrift"/>
                <w:rFonts w:ascii="Times New Roman" w:hAnsi="Times New Roman"/>
                <w:sz w:val="24"/>
              </w:rPr>
              <w:t>no kapitalsko obravnavo</w:t>
            </w:r>
          </w:p>
          <w:p w:rsidR="007A1E2E" w:rsidRPr="00220265" w:rsidRDefault="007A1E2E" w:rsidP="00FD239F">
            <w:pPr>
              <w:pStyle w:val="InstructionsText"/>
            </w:pPr>
            <w:r>
              <w:t>Člen 254(1)(c) in (2), (3) ter (4) in členi 263, 264 ter 337 CRR.</w:t>
            </w:r>
          </w:p>
          <w:p w:rsidR="007A1E2E" w:rsidRPr="00241190" w:rsidRDefault="007A1E2E" w:rsidP="002A6913">
            <w:pPr>
              <w:pStyle w:val="InstructionsText"/>
              <w:rPr>
                <w:rStyle w:val="InstructionsTabelleberschrift"/>
                <w:rFonts w:ascii="Times New Roman" w:hAnsi="Times New Roman"/>
                <w:sz w:val="24"/>
              </w:rPr>
            </w:pPr>
            <w:r>
              <w:t>V tej vrstici se poročajo tako listinjenja STS, ki izpolnjujejo pogoje za diferencirano kapitalsko obravnavo v skladu s členom 243 CRR, kot nadrejene pozicije v listinjenjih MSP, ki izpolnjujejo pogoje za diferenc</w:t>
            </w:r>
            <w:r>
              <w:t>i</w:t>
            </w:r>
            <w:r>
              <w:t>rano kapitalsko obravnavo v skladu s členom 270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1010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w:t>
            </w:r>
            <w:r w:rsidR="0059042F">
              <w:rPr>
                <w:rStyle w:val="InstructionsTabelleberschrift"/>
                <w:rFonts w:ascii="Times New Roman" w:hAnsi="Times New Roman"/>
                <w:sz w:val="24"/>
              </w:rPr>
              <w:t>4</w:t>
            </w:r>
            <w:r w:rsidR="00EE0671" w:rsidRPr="00EE0671">
              <w:rPr>
                <w:rStyle w:val="InstructionsTabelleberschrift"/>
                <w:rFonts w:ascii="Times New Roman" w:hAnsi="Times New Roman"/>
                <w:sz w:val="24"/>
              </w:rPr>
              <w:tab/>
            </w:r>
            <w:r>
              <w:rPr>
                <w:rStyle w:val="InstructionsTabelleberschrift"/>
                <w:rFonts w:ascii="Times New Roman" w:hAnsi="Times New Roman"/>
                <w:sz w:val="24"/>
              </w:rPr>
              <w:t>Pristop notranjega ocenjevanja (IAA)</w:t>
            </w:r>
          </w:p>
          <w:p w:rsidR="007A1E2E" w:rsidRPr="00241190" w:rsidRDefault="007A1E2E" w:rsidP="002A6913">
            <w:pPr>
              <w:pStyle w:val="InstructionsText"/>
              <w:rPr>
                <w:rStyle w:val="InstructionsTabelleberschrift"/>
                <w:rFonts w:ascii="Times New Roman" w:hAnsi="Times New Roman"/>
                <w:sz w:val="24"/>
              </w:rPr>
            </w:pPr>
            <w:r>
              <w:t>Člen 254(5) ter členi 265, 266 in 337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1020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1.8.6.4.1</w:t>
            </w:r>
            <w:r w:rsidR="00EE0671" w:rsidRPr="00EE0671">
              <w:rPr>
                <w:u w:val="single"/>
              </w:rPr>
              <w:tab/>
            </w:r>
            <w:r>
              <w:rPr>
                <w:rStyle w:val="InstructionsTabelleberschrift"/>
                <w:rFonts w:ascii="Times New Roman" w:hAnsi="Times New Roman"/>
                <w:sz w:val="24"/>
              </w:rPr>
              <w:t>Listinjenja, ki ne izpolnjujejo pogojev za diferencirano kapitalsko obravnavo</w:t>
            </w:r>
          </w:p>
          <w:p w:rsidR="007A1E2E" w:rsidRPr="00241190" w:rsidRDefault="007A1E2E" w:rsidP="002A6913">
            <w:pPr>
              <w:pStyle w:val="InstructionsText"/>
              <w:rPr>
                <w:rStyle w:val="InstructionsTabelleberschrift"/>
                <w:rFonts w:ascii="Times New Roman" w:hAnsi="Times New Roman"/>
                <w:sz w:val="24"/>
              </w:rPr>
            </w:pPr>
            <w:r>
              <w:t>Člen 254(5) ter členi 265, 266 in 337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1030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1.8.6.4.2</w:t>
            </w:r>
            <w:r w:rsidR="00EE0671" w:rsidRPr="00EE0671">
              <w:rPr>
                <w:u w:val="single"/>
              </w:rPr>
              <w:tab/>
            </w:r>
            <w:r>
              <w:rPr>
                <w:rStyle w:val="InstructionsTabelleberschrift"/>
                <w:rFonts w:ascii="Times New Roman" w:hAnsi="Times New Roman"/>
                <w:sz w:val="24"/>
              </w:rPr>
              <w:t>Listinjenja STS, ki izpolnjujejo pogoje za diferencir</w:t>
            </w:r>
            <w:r>
              <w:rPr>
                <w:rStyle w:val="InstructionsTabelleberschrift"/>
                <w:rFonts w:ascii="Times New Roman" w:hAnsi="Times New Roman"/>
                <w:sz w:val="24"/>
              </w:rPr>
              <w:t>a</w:t>
            </w:r>
            <w:r>
              <w:rPr>
                <w:rStyle w:val="InstructionsTabelleberschrift"/>
                <w:rFonts w:ascii="Times New Roman" w:hAnsi="Times New Roman"/>
                <w:sz w:val="24"/>
              </w:rPr>
              <w:t>no kapitalsko obravnavo</w:t>
            </w:r>
          </w:p>
          <w:p w:rsidR="007A1E2E" w:rsidRPr="00220265" w:rsidRDefault="007A1E2E" w:rsidP="00FD239F">
            <w:pPr>
              <w:pStyle w:val="InstructionsText"/>
            </w:pPr>
            <w:r>
              <w:t>Člen 254(5) ter členi 265, 266 in 337 CRR.</w:t>
            </w:r>
          </w:p>
          <w:p w:rsidR="007A1E2E" w:rsidRPr="00241190" w:rsidRDefault="007A1E2E" w:rsidP="002A6913">
            <w:pPr>
              <w:pStyle w:val="InstructionsText"/>
              <w:rPr>
                <w:rStyle w:val="InstructionsTabelleberschrift"/>
                <w:rFonts w:ascii="Times New Roman" w:hAnsi="Times New Roman"/>
                <w:sz w:val="24"/>
              </w:rPr>
            </w:pPr>
            <w:r>
              <w:t>V tej vrstici se poročajo tako listinjenja STS, ki izpolnjujejo pogoje za diferencirano kapitalsko obravnavo v skladu s členom 243 CRR, kot nadrejene pozicije v listinjenjih MSP, ki izpolnjujejo pogoje za diferenc</w:t>
            </w:r>
            <w:r>
              <w:t>i</w:t>
            </w:r>
            <w:r>
              <w:t>rano kapitalsko obravnavo v skladu s členom 270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1040</w:t>
            </w:r>
          </w:p>
        </w:tc>
        <w:tc>
          <w:tcPr>
            <w:tcW w:w="7274" w:type="dxa"/>
            <w:tcBorders>
              <w:top w:val="single" w:sz="4" w:space="0" w:color="auto"/>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w:t>
            </w:r>
            <w:r w:rsidR="0059042F">
              <w:rPr>
                <w:rStyle w:val="InstructionsTabelleberschrift"/>
                <w:rFonts w:ascii="Times New Roman" w:hAnsi="Times New Roman"/>
                <w:sz w:val="24"/>
              </w:rPr>
              <w:t>5</w:t>
            </w:r>
            <w:r w:rsidR="00EE0671" w:rsidRPr="00EE0671">
              <w:rPr>
                <w:rStyle w:val="InstructionsTabelleberschrift"/>
                <w:rFonts w:ascii="Times New Roman" w:hAnsi="Times New Roman"/>
                <w:sz w:val="24"/>
              </w:rPr>
              <w:tab/>
            </w:r>
            <w:r>
              <w:rPr>
                <w:rStyle w:val="InstructionsTabelleberschrift"/>
                <w:rFonts w:ascii="Times New Roman" w:hAnsi="Times New Roman"/>
                <w:sz w:val="24"/>
              </w:rPr>
              <w:t xml:space="preserve"> Drugo (UT = 1 250 %)</w:t>
            </w:r>
          </w:p>
          <w:p w:rsidR="007A1E2E" w:rsidRPr="00241190" w:rsidRDefault="007A1E2E" w:rsidP="002A6913">
            <w:pPr>
              <w:pStyle w:val="InstructionsText"/>
              <w:rPr>
                <w:rStyle w:val="InstructionsTabelleberschrift"/>
                <w:rFonts w:ascii="Times New Roman" w:hAnsi="Times New Roman"/>
                <w:sz w:val="24"/>
              </w:rPr>
            </w:pPr>
            <w:r>
              <w:t>Člen 254(7) in člen 337 CRR.</w:t>
            </w:r>
          </w:p>
        </w:tc>
      </w:tr>
    </w:tbl>
    <w:p w:rsidR="002648B0" w:rsidRPr="0023700C" w:rsidRDefault="00936DD1" w:rsidP="0023700C">
      <w:pPr>
        <w:pStyle w:val="Instructionsberschrift2"/>
        <w:numPr>
          <w:ilvl w:val="0"/>
          <w:numId w:val="0"/>
        </w:numPr>
        <w:ind w:left="357" w:hanging="357"/>
        <w:rPr>
          <w:rFonts w:ascii="Times New Roman" w:hAnsi="Times New Roman" w:cs="Times New Roman"/>
          <w:sz w:val="24"/>
          <w:u w:val="none"/>
        </w:rPr>
      </w:pPr>
      <w:bookmarkStart w:id="66" w:name="_Toc516210612"/>
      <w:bookmarkStart w:id="67" w:name="_Toc523474361"/>
      <w:r>
        <w:rPr>
          <w:rFonts w:ascii="Times New Roman" w:hAnsi="Times New Roman"/>
          <w:sz w:val="24"/>
          <w:u w:val="none"/>
        </w:rPr>
        <w:t>1.4</w:t>
      </w:r>
      <w:r w:rsidR="003F40E8" w:rsidRPr="003F40E8">
        <w:rPr>
          <w:u w:val="none"/>
        </w:rPr>
        <w:tab/>
      </w:r>
      <w:r>
        <w:rPr>
          <w:rFonts w:ascii="Times New Roman" w:hAnsi="Times New Roman"/>
          <w:sz w:val="24"/>
          <w:u w:val="none"/>
        </w:rPr>
        <w:t>C 03.00 – KAPITALSKI KOLIČNIKI IN RAVNI KAPITALA (CA3)</w:t>
      </w:r>
      <w:bookmarkEnd w:id="63"/>
      <w:bookmarkEnd w:id="66"/>
      <w:bookmarkEnd w:id="67"/>
      <w:r>
        <w:rPr>
          <w:rFonts w:ascii="Times New Roman" w:hAnsi="Times New Roman"/>
          <w:sz w:val="24"/>
          <w:u w:val="none"/>
        </w:rPr>
        <w:t xml:space="preserve"> </w:t>
      </w:r>
      <w:bookmarkEnd w:id="64"/>
      <w:bookmarkEnd w:id="65"/>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68" w:name="_Toc308175827"/>
      <w:bookmarkStart w:id="69" w:name="_Toc310414972"/>
      <w:bookmarkStart w:id="70" w:name="_Toc360188330"/>
      <w:bookmarkStart w:id="71" w:name="_Toc516210613"/>
      <w:bookmarkStart w:id="72" w:name="_Toc473560878"/>
      <w:bookmarkStart w:id="73" w:name="_Toc523474362"/>
      <w:r>
        <w:rPr>
          <w:rFonts w:ascii="Times New Roman" w:hAnsi="Times New Roman"/>
          <w:sz w:val="24"/>
          <w:u w:val="none"/>
        </w:rPr>
        <w:t>1.4.1.</w:t>
      </w:r>
      <w:r w:rsidR="003F40E8" w:rsidRPr="003F40E8">
        <w:rPr>
          <w:u w:val="none"/>
        </w:rPr>
        <w:tab/>
      </w:r>
      <w:r>
        <w:rPr>
          <w:rFonts w:ascii="Times New Roman" w:hAnsi="Times New Roman"/>
          <w:sz w:val="24"/>
        </w:rPr>
        <w:t xml:space="preserve">Navodila za posamezne </w:t>
      </w:r>
      <w:bookmarkEnd w:id="68"/>
      <w:bookmarkEnd w:id="69"/>
      <w:r>
        <w:rPr>
          <w:rFonts w:ascii="Times New Roman" w:hAnsi="Times New Roman"/>
          <w:sz w:val="24"/>
        </w:rPr>
        <w:t>pozicije</w:t>
      </w:r>
      <w:bookmarkEnd w:id="70"/>
      <w:bookmarkEnd w:id="71"/>
      <w:bookmarkEnd w:id="72"/>
      <w:bookmarkEnd w:id="73"/>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2648B0" w:rsidRPr="00392FFD" w:rsidTr="00672D2A">
        <w:tc>
          <w:tcPr>
            <w:tcW w:w="8783" w:type="dxa"/>
            <w:gridSpan w:val="2"/>
            <w:shd w:val="clear" w:color="auto" w:fill="D9D9D9"/>
          </w:tcPr>
          <w:p w:rsidR="005643EA" w:rsidRPr="00392FFD" w:rsidRDefault="002648B0" w:rsidP="00FD239F">
            <w:pPr>
              <w:pStyle w:val="InstructionsText"/>
            </w:pPr>
            <w:r>
              <w:t>Vrstice</w:t>
            </w:r>
          </w:p>
        </w:tc>
      </w:tr>
      <w:tr w:rsidR="002648B0" w:rsidRPr="00392FFD" w:rsidTr="00672D2A">
        <w:tc>
          <w:tcPr>
            <w:tcW w:w="703" w:type="dxa"/>
          </w:tcPr>
          <w:p w:rsidR="002648B0" w:rsidRPr="00392FFD" w:rsidRDefault="002648B0" w:rsidP="00FD239F">
            <w:pPr>
              <w:pStyle w:val="InstructionsText"/>
            </w:pPr>
            <w:r>
              <w:lastRenderedPageBreak/>
              <w:t>010</w:t>
            </w:r>
          </w:p>
        </w:tc>
        <w:tc>
          <w:tcPr>
            <w:tcW w:w="8080" w:type="dxa"/>
          </w:tcPr>
          <w:p w:rsidR="005643EA" w:rsidRPr="007E39E6" w:rsidRDefault="002648B0" w:rsidP="00FD239F">
            <w:pPr>
              <w:pStyle w:val="InstructionsText"/>
            </w:pPr>
            <w:r>
              <w:rPr>
                <w:rStyle w:val="InstructionsTabelleberschrift"/>
                <w:rFonts w:ascii="Times New Roman" w:hAnsi="Times New Roman"/>
                <w:sz w:val="24"/>
              </w:rPr>
              <w:t>1</w:t>
            </w:r>
            <w:r w:rsidR="00EE0671" w:rsidRPr="00EE0671">
              <w:rPr>
                <w:u w:val="single"/>
              </w:rPr>
              <w:tab/>
            </w:r>
            <w:r>
              <w:rPr>
                <w:rStyle w:val="InstructionsTabelleberschrift"/>
                <w:rFonts w:ascii="Times New Roman" w:hAnsi="Times New Roman"/>
                <w:sz w:val="24"/>
              </w:rPr>
              <w:t>Količnik navadnega lastniškega temeljnega kapitala</w:t>
            </w:r>
          </w:p>
          <w:p w:rsidR="005643EA" w:rsidRPr="00392FFD" w:rsidRDefault="002648B0" w:rsidP="00FD239F">
            <w:pPr>
              <w:pStyle w:val="InstructionsText"/>
            </w:pPr>
            <w:r>
              <w:t>Člen 92(2)(a) CRR.</w:t>
            </w:r>
          </w:p>
          <w:p w:rsidR="005643EA" w:rsidRPr="00392FFD" w:rsidRDefault="002648B0" w:rsidP="00FD239F">
            <w:pPr>
              <w:pStyle w:val="InstructionsText"/>
            </w:pPr>
            <w:r>
              <w:t>Količnik navadnega lastniškega temeljnega kapitala je navadni lastniški temeljni kapital institucije, izražen kot odstotni delež zneska njene skupne izpostavljenosti tveganju.</w:t>
            </w:r>
          </w:p>
        </w:tc>
      </w:tr>
      <w:tr w:rsidR="002648B0" w:rsidRPr="00392FFD" w:rsidTr="00672D2A">
        <w:tc>
          <w:tcPr>
            <w:tcW w:w="703" w:type="dxa"/>
          </w:tcPr>
          <w:p w:rsidR="002648B0" w:rsidRPr="00392FFD" w:rsidRDefault="002648B0" w:rsidP="00FD239F">
            <w:pPr>
              <w:pStyle w:val="InstructionsText"/>
            </w:pPr>
            <w:r>
              <w:t>020</w:t>
            </w:r>
          </w:p>
        </w:tc>
        <w:tc>
          <w:tcPr>
            <w:tcW w:w="8080"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rsidR="00EE0671" w:rsidRPr="00EE0671">
              <w:rPr>
                <w:u w:val="single"/>
              </w:rPr>
              <w:tab/>
            </w:r>
            <w:r>
              <w:rPr>
                <w:rStyle w:val="InstructionsTabelleberschrift"/>
                <w:rFonts w:ascii="Times New Roman" w:hAnsi="Times New Roman"/>
                <w:sz w:val="24"/>
              </w:rPr>
              <w:t>Presežek (+)/primanjkljaj (‒) navadnega lastniškega temeljnega kap</w:t>
            </w:r>
            <w:r>
              <w:rPr>
                <w:rStyle w:val="InstructionsTabelleberschrift"/>
                <w:rFonts w:ascii="Times New Roman" w:hAnsi="Times New Roman"/>
                <w:sz w:val="24"/>
              </w:rPr>
              <w:t>i</w:t>
            </w:r>
            <w:r>
              <w:rPr>
                <w:rStyle w:val="InstructionsTabelleberschrift"/>
                <w:rFonts w:ascii="Times New Roman" w:hAnsi="Times New Roman"/>
                <w:sz w:val="24"/>
              </w:rPr>
              <w:t>tala</w:t>
            </w:r>
          </w:p>
          <w:p w:rsidR="005643EA" w:rsidRPr="00392FFD" w:rsidRDefault="002648B0" w:rsidP="00FD239F">
            <w:pPr>
              <w:pStyle w:val="InstructionsText"/>
            </w:pPr>
            <w:r>
              <w:t>V tej postavki je prikazan znesek presežka ali primanjkljaja navadnega lastnišk</w:t>
            </w:r>
            <w:r>
              <w:t>e</w:t>
            </w:r>
            <w:r>
              <w:t>ga temeljnega kapitala glede na zahteve iz člena 92(1)(a) CRR (4,5 %) v absolu</w:t>
            </w:r>
            <w:r>
              <w:t>t</w:t>
            </w:r>
            <w:r>
              <w:t>nih vrednostih, tj. brez upoštevanja kapitalskih blažilnikov in prehodnih določb glede količnika.</w:t>
            </w:r>
          </w:p>
        </w:tc>
      </w:tr>
      <w:tr w:rsidR="002648B0" w:rsidRPr="00392FFD" w:rsidTr="00672D2A">
        <w:tc>
          <w:tcPr>
            <w:tcW w:w="703" w:type="dxa"/>
          </w:tcPr>
          <w:p w:rsidR="002648B0" w:rsidRPr="00392FFD" w:rsidRDefault="002648B0" w:rsidP="00FD239F">
            <w:pPr>
              <w:pStyle w:val="InstructionsText"/>
            </w:pPr>
            <w:r>
              <w:t>030</w:t>
            </w:r>
          </w:p>
        </w:tc>
        <w:tc>
          <w:tcPr>
            <w:tcW w:w="8080" w:type="dxa"/>
          </w:tcPr>
          <w:p w:rsidR="005643EA" w:rsidRPr="007E39E6" w:rsidRDefault="002648B0" w:rsidP="00FD239F">
            <w:pPr>
              <w:pStyle w:val="InstructionsText"/>
            </w:pPr>
            <w:r>
              <w:rPr>
                <w:rStyle w:val="InstructionsTabelleberschrift"/>
                <w:rFonts w:ascii="Times New Roman" w:hAnsi="Times New Roman"/>
                <w:sz w:val="24"/>
              </w:rPr>
              <w:t>3</w:t>
            </w:r>
            <w:r w:rsidR="00EE0671" w:rsidRPr="00EE0671">
              <w:rPr>
                <w:u w:val="single"/>
              </w:rPr>
              <w:tab/>
            </w:r>
            <w:r>
              <w:rPr>
                <w:rStyle w:val="InstructionsTabelleberschrift"/>
                <w:rFonts w:ascii="Times New Roman" w:hAnsi="Times New Roman"/>
                <w:sz w:val="24"/>
              </w:rPr>
              <w:t>Količnik temeljnega kapitala</w:t>
            </w:r>
          </w:p>
          <w:p w:rsidR="005643EA" w:rsidRPr="00392FFD" w:rsidRDefault="002648B0" w:rsidP="00FD239F">
            <w:pPr>
              <w:pStyle w:val="InstructionsText"/>
            </w:pPr>
            <w:r>
              <w:t>Člen 92(2)(b) CRR.</w:t>
            </w:r>
          </w:p>
          <w:p w:rsidR="005643EA" w:rsidRPr="00392FFD" w:rsidRDefault="002648B0" w:rsidP="00FD239F">
            <w:pPr>
              <w:pStyle w:val="InstructionsText"/>
            </w:pPr>
            <w:r>
              <w:t>Količnik temeljnega kapitala je temeljni kapital institucije, izražen kot odstotni delež zneska njene skupne izpostavljenosti tveganju.</w:t>
            </w:r>
          </w:p>
        </w:tc>
      </w:tr>
      <w:tr w:rsidR="002648B0" w:rsidRPr="00392FFD" w:rsidTr="00672D2A">
        <w:tc>
          <w:tcPr>
            <w:tcW w:w="703" w:type="dxa"/>
          </w:tcPr>
          <w:p w:rsidR="002648B0" w:rsidRPr="00392FFD" w:rsidRDefault="002648B0" w:rsidP="00FD239F">
            <w:pPr>
              <w:pStyle w:val="InstructionsText"/>
            </w:pPr>
            <w:r>
              <w:t>040</w:t>
            </w:r>
          </w:p>
        </w:tc>
        <w:tc>
          <w:tcPr>
            <w:tcW w:w="8080" w:type="dxa"/>
          </w:tcPr>
          <w:p w:rsidR="005643EA" w:rsidRPr="00201704" w:rsidRDefault="002648B0" w:rsidP="00FD239F">
            <w:pPr>
              <w:pStyle w:val="InstructionsText"/>
            </w:pPr>
            <w:r>
              <w:rPr>
                <w:rStyle w:val="InstructionsTabelleberschrift"/>
                <w:rFonts w:ascii="Times New Roman" w:hAnsi="Times New Roman"/>
                <w:sz w:val="24"/>
              </w:rPr>
              <w:t>4</w:t>
            </w:r>
            <w:r w:rsidR="00EE0671" w:rsidRPr="00EE0671">
              <w:rPr>
                <w:u w:val="single"/>
              </w:rPr>
              <w:tab/>
            </w:r>
            <w:r>
              <w:rPr>
                <w:rStyle w:val="InstructionsTabelleberschrift"/>
                <w:rFonts w:ascii="Times New Roman" w:hAnsi="Times New Roman"/>
                <w:sz w:val="24"/>
              </w:rPr>
              <w:t>Presežek (+)/primanjkljaj (‒) temeljnega kapitala</w:t>
            </w:r>
          </w:p>
          <w:p w:rsidR="005643EA" w:rsidRPr="00392FFD" w:rsidRDefault="002648B0" w:rsidP="00FD239F">
            <w:pPr>
              <w:pStyle w:val="InstructionsText"/>
            </w:pPr>
            <w:r>
              <w:t>V tej postavki je prikazan znesek presežka ali primanjkljaja temeljnega kapitala glede na zahteve iz člena 92(1)(b) CRR (6 %) v absolutnih vrednostih, tj. brez upoštevanja kapitalskih blažilnikov in prehodnih določb glede količnika.</w:t>
            </w:r>
          </w:p>
        </w:tc>
      </w:tr>
      <w:tr w:rsidR="002648B0" w:rsidRPr="00392FFD" w:rsidTr="00672D2A">
        <w:tc>
          <w:tcPr>
            <w:tcW w:w="703" w:type="dxa"/>
          </w:tcPr>
          <w:p w:rsidR="002648B0" w:rsidRPr="00392FFD" w:rsidRDefault="002648B0" w:rsidP="00FD239F">
            <w:pPr>
              <w:pStyle w:val="InstructionsText"/>
            </w:pPr>
            <w:r>
              <w:t>050</w:t>
            </w:r>
          </w:p>
        </w:tc>
        <w:tc>
          <w:tcPr>
            <w:tcW w:w="8080" w:type="dxa"/>
          </w:tcPr>
          <w:p w:rsidR="005643EA" w:rsidRPr="00392FFD" w:rsidRDefault="002648B0" w:rsidP="00FD239F">
            <w:pPr>
              <w:pStyle w:val="InstructionsText"/>
            </w:pPr>
            <w:r>
              <w:rPr>
                <w:rStyle w:val="InstructionsTabelleberschrift"/>
                <w:rFonts w:ascii="Times New Roman" w:hAnsi="Times New Roman"/>
                <w:sz w:val="24"/>
              </w:rPr>
              <w:t>5</w:t>
            </w:r>
            <w:r w:rsidR="00EE0671" w:rsidRPr="00EE0671">
              <w:rPr>
                <w:u w:val="single"/>
              </w:rPr>
              <w:tab/>
            </w:r>
            <w:r>
              <w:rPr>
                <w:rStyle w:val="InstructionsTabelleberschrift"/>
                <w:rFonts w:ascii="Times New Roman" w:hAnsi="Times New Roman"/>
                <w:sz w:val="24"/>
              </w:rPr>
              <w:t>Količnik skupnega kapitala</w:t>
            </w:r>
          </w:p>
          <w:p w:rsidR="005643EA" w:rsidRPr="00392FFD" w:rsidRDefault="002648B0" w:rsidP="00FD239F">
            <w:pPr>
              <w:pStyle w:val="InstructionsText"/>
            </w:pPr>
            <w:r>
              <w:t>Člen 92(2)(c) CRR</w:t>
            </w:r>
          </w:p>
          <w:p w:rsidR="005643EA" w:rsidRPr="00392FFD" w:rsidRDefault="002648B0" w:rsidP="00FD239F">
            <w:pPr>
              <w:pStyle w:val="InstructionsText"/>
            </w:pPr>
            <w:r>
              <w:t>Količnik skupnega kapitala je kapital institucije, izražen kot odstotni delež zne</w:t>
            </w:r>
            <w:r>
              <w:t>s</w:t>
            </w:r>
            <w:r>
              <w:t>ka njene skupne izpostavljenosti tveganju.</w:t>
            </w:r>
          </w:p>
        </w:tc>
      </w:tr>
      <w:tr w:rsidR="002648B0" w:rsidRPr="00392FFD" w:rsidTr="00672D2A">
        <w:tc>
          <w:tcPr>
            <w:tcW w:w="703" w:type="dxa"/>
          </w:tcPr>
          <w:p w:rsidR="002648B0" w:rsidRPr="00392FFD" w:rsidRDefault="002648B0" w:rsidP="00FD239F">
            <w:pPr>
              <w:pStyle w:val="InstructionsText"/>
            </w:pPr>
            <w:r>
              <w:t>060</w:t>
            </w:r>
          </w:p>
        </w:tc>
        <w:tc>
          <w:tcPr>
            <w:tcW w:w="8080" w:type="dxa"/>
          </w:tcPr>
          <w:p w:rsidR="005643EA" w:rsidRPr="00201704" w:rsidRDefault="002648B0" w:rsidP="00FD239F">
            <w:pPr>
              <w:pStyle w:val="InstructionsText"/>
            </w:pPr>
            <w:r>
              <w:rPr>
                <w:rStyle w:val="InstructionsTabelleberschrift"/>
                <w:rFonts w:ascii="Times New Roman" w:hAnsi="Times New Roman"/>
                <w:sz w:val="24"/>
              </w:rPr>
              <w:t>6</w:t>
            </w:r>
            <w:r w:rsidR="00EE0671" w:rsidRPr="00EE0671">
              <w:rPr>
                <w:u w:val="single"/>
              </w:rPr>
              <w:tab/>
            </w:r>
            <w:r>
              <w:rPr>
                <w:rStyle w:val="InstructionsTabelleberschrift"/>
                <w:rFonts w:ascii="Times New Roman" w:hAnsi="Times New Roman"/>
                <w:sz w:val="24"/>
              </w:rPr>
              <w:t>Presežek (+)/primanjkljaj (‒) skupnega kapitala</w:t>
            </w:r>
          </w:p>
          <w:p w:rsidR="005643EA" w:rsidRPr="00392FFD" w:rsidRDefault="002648B0" w:rsidP="00FD239F">
            <w:pPr>
              <w:pStyle w:val="InstructionsText"/>
            </w:pPr>
            <w:r>
              <w:t>V tej postavki je prikazan znesek presežka ali primanjkljaja kapitala glede na zahteve iz člena 92(1)(c) CRR (8 %) v absolutnih vrednostih, tj. brez upoštevanja kapitalskih blažilnikov in prehodnih določb glede količnika.</w:t>
            </w:r>
          </w:p>
        </w:tc>
      </w:tr>
      <w:tr w:rsidR="009C083D" w:rsidRPr="00392FFD" w:rsidTr="00672D2A">
        <w:tc>
          <w:tcPr>
            <w:tcW w:w="703" w:type="dxa"/>
          </w:tcPr>
          <w:p w:rsidR="009C083D" w:rsidRDefault="009C083D" w:rsidP="00FD239F">
            <w:pPr>
              <w:pStyle w:val="InstructionsText"/>
            </w:pPr>
            <w:r>
              <w:t>130</w:t>
            </w:r>
          </w:p>
          <w:p w:rsidR="009C083D" w:rsidRPr="00392FFD" w:rsidRDefault="009C083D" w:rsidP="00FD239F">
            <w:pPr>
              <w:pStyle w:val="InstructionsText"/>
            </w:pPr>
          </w:p>
        </w:tc>
        <w:tc>
          <w:tcPr>
            <w:tcW w:w="8080" w:type="dxa"/>
          </w:tcPr>
          <w:p w:rsidR="009C083D" w:rsidRPr="009E5DCC" w:rsidRDefault="009C083D"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sidR="00EE0671" w:rsidRPr="00EE0671">
              <w:rPr>
                <w:u w:val="single"/>
              </w:rPr>
              <w:tab/>
            </w:r>
            <w:r>
              <w:rPr>
                <w:rStyle w:val="InstructionsTabelleberschrift"/>
                <w:rFonts w:ascii="Times New Roman" w:hAnsi="Times New Roman"/>
                <w:sz w:val="24"/>
              </w:rPr>
              <w:t>Količnik skupne kapitalske zahteve v okviru PNPO (TSCR)</w:t>
            </w:r>
          </w:p>
          <w:p w:rsidR="009C083D" w:rsidRDefault="009C083D" w:rsidP="00FD239F">
            <w:pPr>
              <w:pStyle w:val="InstructionsText"/>
            </w:pPr>
            <w:r>
              <w:t>Vsota (i) in (</w:t>
            </w:r>
            <w:proofErr w:type="spellStart"/>
            <w:r>
              <w:t>ii</w:t>
            </w:r>
            <w:proofErr w:type="spellEnd"/>
            <w:r>
              <w:t>), kot sledi:</w:t>
            </w:r>
          </w:p>
          <w:p w:rsidR="009C083D" w:rsidRDefault="009C083D" w:rsidP="00FD239F">
            <w:pPr>
              <w:pStyle w:val="InstructionsText"/>
              <w:numPr>
                <w:ilvl w:val="0"/>
                <w:numId w:val="20"/>
              </w:numPr>
            </w:pPr>
            <w:r>
              <w:t xml:space="preserve">količnika skupnega kapitala (8 %), kot je določen v členu 92(1)(c) CRR; </w:t>
            </w:r>
          </w:p>
          <w:p w:rsidR="009C083D" w:rsidRDefault="009C083D" w:rsidP="00FD239F">
            <w:pPr>
              <w:pStyle w:val="InstructionsText"/>
              <w:numPr>
                <w:ilvl w:val="0"/>
                <w:numId w:val="20"/>
              </w:numPr>
            </w:pPr>
            <w:r>
              <w:t xml:space="preserve">količnika dodatnih kapitalskih zahtev (zahteve v okviru stebra 2 (P2R)), določenega v skladu z merili iz </w:t>
            </w:r>
            <w:r>
              <w:rPr>
                <w:i/>
              </w:rPr>
              <w:t>smernic EBA o skupnih postopkih in metodologijah za proces nadzorniškega pregledovanja in ovrednotenja ter nadzorniškega stresnega testiranja</w:t>
            </w:r>
            <w:r>
              <w:t xml:space="preserve"> (smernice EBA glede PNPO).</w:t>
            </w:r>
          </w:p>
          <w:p w:rsidR="009C083D" w:rsidRDefault="009C083D" w:rsidP="00FD239F">
            <w:pPr>
              <w:pStyle w:val="InstructionsText"/>
            </w:pPr>
            <w:r>
              <w:t>Ta postavka odraža količnik skupne kapitalske zahteve v okviru PNPO (</w:t>
            </w:r>
            <w:proofErr w:type="spellStart"/>
            <w:r>
              <w:rPr>
                <w:i/>
              </w:rPr>
              <w:t>total</w:t>
            </w:r>
            <w:proofErr w:type="spellEnd"/>
            <w:r>
              <w:rPr>
                <w:i/>
              </w:rPr>
              <w:t xml:space="preserve"> SREP </w:t>
            </w:r>
            <w:proofErr w:type="spellStart"/>
            <w:r>
              <w:rPr>
                <w:i/>
              </w:rPr>
              <w:t>capital</w:t>
            </w:r>
            <w:proofErr w:type="spellEnd"/>
            <w:r>
              <w:rPr>
                <w:i/>
              </w:rPr>
              <w:t xml:space="preserve"> </w:t>
            </w:r>
            <w:proofErr w:type="spellStart"/>
            <w:r>
              <w:rPr>
                <w:i/>
              </w:rPr>
              <w:t>requirement</w:t>
            </w:r>
            <w:proofErr w:type="spellEnd"/>
            <w:r>
              <w:t xml:space="preserve"> – TSCR), kot ga instituciji sporoči pristojni organ. TSCR je opredeljen v oddelku 1.2 smernic EBA glede PNPO.</w:t>
            </w:r>
          </w:p>
          <w:p w:rsidR="00C9673B" w:rsidRPr="00201704" w:rsidRDefault="00236E33" w:rsidP="00FD239F">
            <w:pPr>
              <w:pStyle w:val="InstructionsText"/>
              <w:rPr>
                <w:rStyle w:val="InstructionsTabelleberschrift"/>
                <w:rFonts w:ascii="Times New Roman" w:hAnsi="Times New Roman"/>
                <w:b w:val="0"/>
                <w:bCs w:val="0"/>
                <w:sz w:val="24"/>
                <w:u w:val="none"/>
              </w:rPr>
            </w:pPr>
            <w:r>
              <w:t xml:space="preserve">Če pristojni organ ni sporočil nobenih dodatnih kapitalskih zahtev, se poroča samo točka (i). </w:t>
            </w:r>
          </w:p>
        </w:tc>
      </w:tr>
      <w:tr w:rsidR="009C083D" w:rsidRPr="00392FFD" w:rsidTr="00672D2A">
        <w:tc>
          <w:tcPr>
            <w:tcW w:w="703" w:type="dxa"/>
          </w:tcPr>
          <w:p w:rsidR="009C083D" w:rsidRDefault="009C083D" w:rsidP="00FD239F">
            <w:pPr>
              <w:pStyle w:val="InstructionsText"/>
            </w:pPr>
            <w:r>
              <w:t>140</w:t>
            </w:r>
          </w:p>
          <w:p w:rsidR="009C083D" w:rsidRPr="00392FFD" w:rsidRDefault="009C083D" w:rsidP="00FD239F">
            <w:pPr>
              <w:pStyle w:val="InstructionsText"/>
            </w:pP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lastRenderedPageBreak/>
              <w:t>13*</w:t>
            </w:r>
            <w:r w:rsidR="00EE0671" w:rsidRPr="00EE0671">
              <w:rPr>
                <w:u w:val="single"/>
              </w:rPr>
              <w:tab/>
            </w:r>
            <w:r>
              <w:rPr>
                <w:rStyle w:val="InstructionsTabelleberschrift"/>
                <w:rFonts w:ascii="Times New Roman" w:hAnsi="Times New Roman"/>
                <w:sz w:val="24"/>
              </w:rPr>
              <w:t xml:space="preserve">TSCR: ki mora biti sestavljena iz navadnega lastniškega temeljnega </w:t>
            </w:r>
            <w:r>
              <w:rPr>
                <w:rStyle w:val="InstructionsTabelleberschrift"/>
                <w:rFonts w:ascii="Times New Roman" w:hAnsi="Times New Roman"/>
                <w:sz w:val="24"/>
              </w:rPr>
              <w:lastRenderedPageBreak/>
              <w:t xml:space="preserve">kapitala </w:t>
            </w:r>
          </w:p>
          <w:p w:rsidR="009C083D" w:rsidRDefault="009C083D" w:rsidP="00FD239F">
            <w:pPr>
              <w:pStyle w:val="InstructionsText"/>
            </w:pPr>
            <w:r>
              <w:t>Vsota (i) in (</w:t>
            </w:r>
            <w:proofErr w:type="spellStart"/>
            <w:r>
              <w:t>ii</w:t>
            </w:r>
            <w:proofErr w:type="spellEnd"/>
            <w:r>
              <w:t>), kot sledi:</w:t>
            </w:r>
          </w:p>
          <w:p w:rsidR="009C083D" w:rsidRDefault="009C083D" w:rsidP="00FD239F">
            <w:pPr>
              <w:pStyle w:val="InstructionsText"/>
              <w:numPr>
                <w:ilvl w:val="0"/>
                <w:numId w:val="21"/>
              </w:numPr>
            </w:pPr>
            <w:r>
              <w:t>količnika navadnega lastniškega temeljnega kapitala (4,5 %) v skladu s členom 92(1)(a) CRR;</w:t>
            </w:r>
          </w:p>
          <w:p w:rsidR="0002157C" w:rsidRPr="009068C9" w:rsidRDefault="009C083D" w:rsidP="00FD239F">
            <w:pPr>
              <w:pStyle w:val="InstructionsText"/>
              <w:numPr>
                <w:ilvl w:val="0"/>
                <w:numId w:val="21"/>
              </w:numPr>
              <w:rPr>
                <w:b/>
                <w:bCs/>
                <w:u w:val="single"/>
              </w:rPr>
            </w:pPr>
            <w:r>
              <w:t>deleža količnika zahtev v okviru stebra 2 (P2R) iz točke (</w:t>
            </w:r>
            <w:proofErr w:type="spellStart"/>
            <w:r>
              <w:t>ii</w:t>
            </w:r>
            <w:proofErr w:type="spellEnd"/>
            <w:r>
              <w:t>) vrstice 130, ki mora biti v skladu z zahtevo pristojnega organa v obliki navadnega la</w:t>
            </w:r>
            <w:r>
              <w:t>s</w:t>
            </w:r>
            <w:r>
              <w:t>tniškega temeljnega kapitala.</w:t>
            </w:r>
          </w:p>
          <w:p w:rsidR="009C083D" w:rsidRPr="00392FFD" w:rsidRDefault="005B54BB" w:rsidP="009068C9">
            <w:pPr>
              <w:pStyle w:val="InstructionsText"/>
              <w:rPr>
                <w:rStyle w:val="InstructionsTabelleberschrift"/>
                <w:rFonts w:ascii="Times New Roman" w:hAnsi="Times New Roman"/>
                <w:sz w:val="24"/>
              </w:rPr>
            </w:pPr>
            <w:r>
              <w:t>Če pristojni organ ni sporočil nobenih dodatnih kapitalskih zahtev, ki morajo biti v obliki navadnega lastniškega temeljnega kapitala, se poroča samo točka (i).</w:t>
            </w:r>
            <w:r>
              <w:rPr>
                <w:rStyle w:val="InstructionsTabelleberschrift"/>
                <w:rFonts w:ascii="Times New Roman" w:hAnsi="Times New Roman"/>
                <w:b w:val="0"/>
                <w:sz w:val="24"/>
              </w:rPr>
              <w:t xml:space="preserve"> </w:t>
            </w:r>
          </w:p>
        </w:tc>
      </w:tr>
      <w:tr w:rsidR="009C083D" w:rsidRPr="00392FFD" w:rsidTr="00672D2A">
        <w:tc>
          <w:tcPr>
            <w:tcW w:w="703" w:type="dxa"/>
          </w:tcPr>
          <w:p w:rsidR="009C083D" w:rsidRDefault="009C083D" w:rsidP="00FD239F">
            <w:pPr>
              <w:pStyle w:val="InstructionsText"/>
            </w:pPr>
            <w:r>
              <w:lastRenderedPageBreak/>
              <w:t>150</w:t>
            </w:r>
          </w:p>
          <w:p w:rsidR="009C083D" w:rsidRPr="00392FFD" w:rsidRDefault="009C083D" w:rsidP="00FD239F">
            <w:pPr>
              <w:pStyle w:val="InstructionsText"/>
            </w:pP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sidR="00EE0671" w:rsidRPr="00EE0671">
              <w:rPr>
                <w:u w:val="single"/>
              </w:rPr>
              <w:tab/>
            </w:r>
            <w:r>
              <w:rPr>
                <w:rStyle w:val="InstructionsTabelleberschrift"/>
                <w:rFonts w:ascii="Times New Roman" w:hAnsi="Times New Roman"/>
                <w:sz w:val="24"/>
              </w:rPr>
              <w:t>TSCR: ki mora biti sestavljena iz temeljnega kapitala</w:t>
            </w:r>
          </w:p>
          <w:p w:rsidR="009C083D" w:rsidRDefault="009C083D" w:rsidP="00FD239F">
            <w:pPr>
              <w:pStyle w:val="InstructionsText"/>
            </w:pPr>
            <w:r>
              <w:t>Vsota (i) in (</w:t>
            </w:r>
            <w:proofErr w:type="spellStart"/>
            <w:r>
              <w:t>ii</w:t>
            </w:r>
            <w:proofErr w:type="spellEnd"/>
            <w:r>
              <w:t>), kot sledi:</w:t>
            </w:r>
          </w:p>
          <w:p w:rsidR="009C083D" w:rsidRDefault="009C083D" w:rsidP="00FD239F">
            <w:pPr>
              <w:pStyle w:val="InstructionsText"/>
              <w:numPr>
                <w:ilvl w:val="0"/>
                <w:numId w:val="22"/>
              </w:numPr>
            </w:pPr>
            <w:r>
              <w:t>količnika temeljnega kapitala (6 %) v skladu s členom 92(1)(b) CRR;</w:t>
            </w:r>
          </w:p>
          <w:p w:rsidR="009C083D" w:rsidRPr="009068C9" w:rsidRDefault="009C083D" w:rsidP="00FD239F">
            <w:pPr>
              <w:pStyle w:val="InstructionsText"/>
              <w:numPr>
                <w:ilvl w:val="0"/>
                <w:numId w:val="22"/>
              </w:numPr>
              <w:rPr>
                <w:bCs/>
                <w:u w:val="single"/>
              </w:rPr>
            </w:pPr>
            <w:r>
              <w:t>deleža količnika zahtev v okviru stebra 2 (P2R) iz točke (</w:t>
            </w:r>
            <w:proofErr w:type="spellStart"/>
            <w:r>
              <w:t>ii</w:t>
            </w:r>
            <w:proofErr w:type="spellEnd"/>
            <w:r>
              <w:t>) vrstice 130, ki mora biti v skladu z zahtevo pristojnega organa v obliki temeljnega kapitala.</w:t>
            </w:r>
          </w:p>
          <w:p w:rsidR="00DA6CB8" w:rsidRPr="007615A8" w:rsidRDefault="005B54BB" w:rsidP="009068C9">
            <w:pPr>
              <w:pStyle w:val="InstructionsText"/>
              <w:rPr>
                <w:rStyle w:val="InstructionsTabelleberschrift"/>
                <w:rFonts w:ascii="Times New Roman" w:hAnsi="Times New Roman"/>
                <w:b w:val="0"/>
                <w:sz w:val="24"/>
              </w:rPr>
            </w:pPr>
            <w:r>
              <w:t>Če pristojni organ ni sporočil nobenih dodatnih kapitalskih zahtev, ki morajo biti v obliki temeljnega kapitala, se poroča samo točka (i).</w:t>
            </w:r>
          </w:p>
        </w:tc>
      </w:tr>
      <w:tr w:rsidR="009C083D" w:rsidRPr="00392FFD" w:rsidTr="00672D2A">
        <w:tc>
          <w:tcPr>
            <w:tcW w:w="703" w:type="dxa"/>
          </w:tcPr>
          <w:p w:rsidR="009C083D" w:rsidRPr="00392FFD" w:rsidRDefault="009C083D" w:rsidP="00FD239F">
            <w:pPr>
              <w:pStyle w:val="InstructionsText"/>
            </w:pPr>
            <w:r>
              <w:t>160</w:t>
            </w:r>
          </w:p>
        </w:tc>
        <w:tc>
          <w:tcPr>
            <w:tcW w:w="8080" w:type="dxa"/>
          </w:tcPr>
          <w:p w:rsidR="009C083D" w:rsidRPr="009E5DC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sidR="00EE0671" w:rsidRPr="00EE0671">
              <w:rPr>
                <w:u w:val="single"/>
              </w:rPr>
              <w:tab/>
            </w:r>
            <w:r>
              <w:rPr>
                <w:rStyle w:val="InstructionsTabelleberschrift"/>
                <w:rFonts w:ascii="Times New Roman" w:hAnsi="Times New Roman"/>
                <w:sz w:val="24"/>
              </w:rPr>
              <w:t>Količnik skupne kapitalske zahteve (OCR)</w:t>
            </w:r>
          </w:p>
          <w:p w:rsidR="009C083D" w:rsidRDefault="009C083D" w:rsidP="00FD239F">
            <w:pPr>
              <w:pStyle w:val="InstructionsText"/>
            </w:pPr>
            <w:r>
              <w:t>Vsota (i) in (</w:t>
            </w:r>
            <w:proofErr w:type="spellStart"/>
            <w:r>
              <w:t>ii</w:t>
            </w:r>
            <w:proofErr w:type="spellEnd"/>
            <w:r>
              <w:t>), kot sledi:</w:t>
            </w:r>
          </w:p>
          <w:p w:rsidR="009C083D" w:rsidRDefault="009C083D" w:rsidP="00FD239F">
            <w:pPr>
              <w:pStyle w:val="InstructionsText"/>
              <w:numPr>
                <w:ilvl w:val="0"/>
                <w:numId w:val="23"/>
              </w:numPr>
            </w:pPr>
            <w:r>
              <w:t>količnika TSCR iz vrstice 130;</w:t>
            </w:r>
          </w:p>
          <w:p w:rsidR="009C083D" w:rsidRDefault="009C083D" w:rsidP="00FD239F">
            <w:pPr>
              <w:pStyle w:val="InstructionsText"/>
              <w:numPr>
                <w:ilvl w:val="0"/>
                <w:numId w:val="23"/>
              </w:numPr>
            </w:pPr>
            <w:r>
              <w:t>v obsegu, v katerem se uporablja v skladu z zakonodajo, količnika zaht</w:t>
            </w:r>
            <w:r>
              <w:t>e</w:t>
            </w:r>
            <w:r>
              <w:t>ve po skupnem blažilniku iz člena 128(6) CRD.</w:t>
            </w:r>
          </w:p>
          <w:p w:rsidR="005B54BB" w:rsidRDefault="009C083D" w:rsidP="00FD239F">
            <w:pPr>
              <w:pStyle w:val="InstructionsText"/>
            </w:pPr>
            <w:r>
              <w:t>Ta postavka odraža količnik skupne kapitalske zahteve (</w:t>
            </w:r>
            <w:proofErr w:type="spellStart"/>
            <w:r>
              <w:rPr>
                <w:i/>
              </w:rPr>
              <w:t>overall</w:t>
            </w:r>
            <w:proofErr w:type="spellEnd"/>
            <w:r>
              <w:rPr>
                <w:i/>
              </w:rPr>
              <w:t xml:space="preserve"> </w:t>
            </w:r>
            <w:proofErr w:type="spellStart"/>
            <w:r>
              <w:rPr>
                <w:i/>
              </w:rPr>
              <w:t>capital</w:t>
            </w:r>
            <w:proofErr w:type="spellEnd"/>
            <w:r>
              <w:rPr>
                <w:i/>
              </w:rPr>
              <w:t xml:space="preserve"> </w:t>
            </w:r>
            <w:proofErr w:type="spellStart"/>
            <w:r>
              <w:rPr>
                <w:i/>
              </w:rPr>
              <w:t>requirement</w:t>
            </w:r>
            <w:proofErr w:type="spellEnd"/>
            <w:r>
              <w:t xml:space="preserve"> – OCR), kot je opredeljen v oddelku 1.2 smernic EBA glede PNPO.</w:t>
            </w:r>
          </w:p>
          <w:p w:rsidR="00645573" w:rsidRPr="00392FFD" w:rsidRDefault="007260DA" w:rsidP="00FD239F">
            <w:pPr>
              <w:pStyle w:val="InstructionsText"/>
              <w:rPr>
                <w:rStyle w:val="InstructionsTabelleberschrift"/>
                <w:rFonts w:ascii="Times New Roman" w:hAnsi="Times New Roman"/>
                <w:sz w:val="24"/>
              </w:rPr>
            </w:pPr>
            <w:r>
              <w:t>Če se zahteva po blažilniku ne uporablja, se poroča samo točka (i).</w:t>
            </w:r>
          </w:p>
        </w:tc>
      </w:tr>
      <w:tr w:rsidR="009C083D" w:rsidRPr="00392FFD" w:rsidTr="00672D2A">
        <w:tc>
          <w:tcPr>
            <w:tcW w:w="703" w:type="dxa"/>
          </w:tcPr>
          <w:p w:rsidR="009C083D" w:rsidRPr="00392FFD" w:rsidRDefault="009C083D" w:rsidP="00FD239F">
            <w:pPr>
              <w:pStyle w:val="InstructionsText"/>
            </w:pPr>
            <w:r>
              <w:t>170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sidR="00EE0671" w:rsidRPr="00EE0671">
              <w:rPr>
                <w:u w:val="single"/>
              </w:rPr>
              <w:tab/>
            </w:r>
            <w:r>
              <w:rPr>
                <w:rStyle w:val="InstructionsTabelleberschrift"/>
                <w:rFonts w:ascii="Times New Roman" w:hAnsi="Times New Roman"/>
                <w:sz w:val="24"/>
              </w:rPr>
              <w:t xml:space="preserve">OCR: ki mora biti sestavljena iz navadnega lastniškega temeljnega kapitala </w:t>
            </w:r>
          </w:p>
          <w:p w:rsidR="009C083D" w:rsidRDefault="009C083D" w:rsidP="00FD239F">
            <w:pPr>
              <w:pStyle w:val="InstructionsText"/>
            </w:pPr>
            <w:r>
              <w:t>Vsota (i) in (</w:t>
            </w:r>
            <w:proofErr w:type="spellStart"/>
            <w:r>
              <w:t>ii</w:t>
            </w:r>
            <w:proofErr w:type="spellEnd"/>
            <w:r>
              <w:t>), kot sledi:</w:t>
            </w:r>
          </w:p>
          <w:p w:rsidR="009C083D" w:rsidRDefault="009C083D" w:rsidP="00FD239F">
            <w:pPr>
              <w:pStyle w:val="InstructionsText"/>
              <w:numPr>
                <w:ilvl w:val="0"/>
                <w:numId w:val="24"/>
              </w:numPr>
            </w:pPr>
            <w:r>
              <w:t>količnika TSCR, ki mora biti sestavljen iz navadnega lastniškega temel</w:t>
            </w:r>
            <w:r>
              <w:t>j</w:t>
            </w:r>
            <w:r>
              <w:t>nega kapitala, iz vrstice 140;</w:t>
            </w:r>
          </w:p>
          <w:p w:rsidR="009C083D" w:rsidRPr="009068C9" w:rsidRDefault="009C083D" w:rsidP="00FD239F">
            <w:pPr>
              <w:pStyle w:val="InstructionsText"/>
              <w:numPr>
                <w:ilvl w:val="0"/>
                <w:numId w:val="24"/>
              </w:numPr>
              <w:rPr>
                <w:bCs/>
                <w:u w:val="single"/>
              </w:rPr>
            </w:pPr>
            <w:r>
              <w:t>v obsegu, v katerem se uporablja v skladu z zakonodajo, količnika zaht</w:t>
            </w:r>
            <w:r>
              <w:t>e</w:t>
            </w:r>
            <w:r>
              <w:t>ve po skupnem blažilniku iz člena 128(6) CRD.</w:t>
            </w:r>
          </w:p>
          <w:p w:rsidR="00BA325A" w:rsidRPr="007615A8" w:rsidRDefault="00087E1A" w:rsidP="009068C9">
            <w:pPr>
              <w:pStyle w:val="InstructionsText"/>
              <w:rPr>
                <w:rStyle w:val="InstructionsTabelleberschrift"/>
                <w:rFonts w:ascii="Times New Roman" w:hAnsi="Times New Roman"/>
                <w:b w:val="0"/>
                <w:sz w:val="24"/>
              </w:rPr>
            </w:pPr>
            <w:r>
              <w:t>Če se zahteva po blažilniku ne uporablja, se poroča samo točka (i).</w:t>
            </w:r>
          </w:p>
        </w:tc>
      </w:tr>
      <w:tr w:rsidR="009C083D" w:rsidRPr="00392FFD" w:rsidTr="00672D2A">
        <w:tc>
          <w:tcPr>
            <w:tcW w:w="703" w:type="dxa"/>
          </w:tcPr>
          <w:p w:rsidR="009C083D" w:rsidRPr="00392FFD" w:rsidRDefault="009C083D" w:rsidP="00FD239F">
            <w:pPr>
              <w:pStyle w:val="InstructionsText"/>
            </w:pPr>
            <w:r>
              <w:t>180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sidR="00EE0671" w:rsidRPr="00EE0671">
              <w:rPr>
                <w:u w:val="single"/>
              </w:rPr>
              <w:tab/>
            </w:r>
            <w:r>
              <w:rPr>
                <w:rStyle w:val="InstructionsTabelleberschrift"/>
                <w:rFonts w:ascii="Times New Roman" w:hAnsi="Times New Roman"/>
                <w:sz w:val="24"/>
              </w:rPr>
              <w:t>OCR: ki mora biti sestavljena iz temeljnega kapitala</w:t>
            </w:r>
          </w:p>
          <w:p w:rsidR="009C083D" w:rsidRDefault="009C083D" w:rsidP="00FD239F">
            <w:pPr>
              <w:pStyle w:val="InstructionsText"/>
            </w:pPr>
            <w:r>
              <w:t>Vsota (i) in (</w:t>
            </w:r>
            <w:proofErr w:type="spellStart"/>
            <w:r>
              <w:t>ii</w:t>
            </w:r>
            <w:proofErr w:type="spellEnd"/>
            <w:r>
              <w:t>), kot sledi:</w:t>
            </w:r>
          </w:p>
          <w:p w:rsidR="009C083D" w:rsidRDefault="009C083D" w:rsidP="00FD239F">
            <w:pPr>
              <w:pStyle w:val="InstructionsText"/>
              <w:numPr>
                <w:ilvl w:val="0"/>
                <w:numId w:val="25"/>
              </w:numPr>
            </w:pPr>
            <w:r>
              <w:t>količnika TSCR, ki mora biti sestavljen iz temeljnega kapitala, iz vrst</w:t>
            </w:r>
            <w:r>
              <w:t>i</w:t>
            </w:r>
            <w:r>
              <w:t>ce 150;</w:t>
            </w:r>
          </w:p>
          <w:p w:rsidR="009C083D" w:rsidRPr="009068C9" w:rsidRDefault="009C083D" w:rsidP="00FD239F">
            <w:pPr>
              <w:pStyle w:val="InstructionsText"/>
              <w:numPr>
                <w:ilvl w:val="0"/>
                <w:numId w:val="25"/>
              </w:numPr>
              <w:rPr>
                <w:bCs/>
                <w:u w:val="single"/>
              </w:rPr>
            </w:pPr>
            <w:r>
              <w:t>v obsegu, v katerem se uporablja v skladu z zakonodajo, količnika zaht</w:t>
            </w:r>
            <w:r>
              <w:t>e</w:t>
            </w:r>
            <w:r>
              <w:t>ve po skupnem blažilniku iz člena 128(6) CRD.</w:t>
            </w:r>
          </w:p>
          <w:p w:rsidR="00BA325A" w:rsidRPr="007615A8" w:rsidRDefault="00087E1A" w:rsidP="009068C9">
            <w:pPr>
              <w:pStyle w:val="InstructionsText"/>
              <w:rPr>
                <w:rStyle w:val="InstructionsTabelleberschrift"/>
                <w:rFonts w:ascii="Times New Roman" w:hAnsi="Times New Roman"/>
                <w:b w:val="0"/>
                <w:sz w:val="24"/>
              </w:rPr>
            </w:pPr>
            <w:r>
              <w:lastRenderedPageBreak/>
              <w:t>Če se zahteva po blažilniku ne uporablja, se poroča samo točka (i).</w:t>
            </w:r>
          </w:p>
        </w:tc>
      </w:tr>
      <w:tr w:rsidR="009C083D" w:rsidRPr="00392FFD" w:rsidTr="00672D2A">
        <w:tc>
          <w:tcPr>
            <w:tcW w:w="703" w:type="dxa"/>
          </w:tcPr>
          <w:p w:rsidR="009C083D" w:rsidRPr="00392FFD" w:rsidRDefault="009C083D" w:rsidP="00FD239F">
            <w:pPr>
              <w:pStyle w:val="InstructionsText"/>
            </w:pPr>
            <w:r>
              <w:lastRenderedPageBreak/>
              <w:t>190</w:t>
            </w:r>
          </w:p>
        </w:tc>
        <w:tc>
          <w:tcPr>
            <w:tcW w:w="8080" w:type="dxa"/>
          </w:tcPr>
          <w:p w:rsidR="009C083D" w:rsidRPr="009E5DC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sidR="00EE0671" w:rsidRPr="00EE0671">
              <w:rPr>
                <w:u w:val="single"/>
              </w:rPr>
              <w:tab/>
            </w:r>
            <w:r>
              <w:rPr>
                <w:rStyle w:val="InstructionsTabelleberschrift"/>
                <w:rFonts w:ascii="Times New Roman" w:hAnsi="Times New Roman"/>
                <w:sz w:val="24"/>
              </w:rPr>
              <w:t>Količnik skupne kapitalske zahteve (OCR) in smernice glede kapitala v okviru stebra 2 (P2G)</w:t>
            </w:r>
          </w:p>
          <w:p w:rsidR="009C083D" w:rsidRDefault="009C083D" w:rsidP="00FD239F">
            <w:pPr>
              <w:pStyle w:val="InstructionsText"/>
            </w:pPr>
            <w:r>
              <w:t>Vsota (i) in (</w:t>
            </w:r>
            <w:proofErr w:type="spellStart"/>
            <w:r>
              <w:t>ii</w:t>
            </w:r>
            <w:proofErr w:type="spellEnd"/>
            <w:r>
              <w:t>), kot sledi:</w:t>
            </w:r>
          </w:p>
          <w:p w:rsidR="009C083D" w:rsidRDefault="009C083D" w:rsidP="00FD239F">
            <w:pPr>
              <w:pStyle w:val="InstructionsText"/>
              <w:numPr>
                <w:ilvl w:val="0"/>
                <w:numId w:val="26"/>
              </w:numPr>
            </w:pPr>
            <w:r>
              <w:t>količnika OCR iz vrstice 160;</w:t>
            </w:r>
          </w:p>
          <w:p w:rsidR="009C083D" w:rsidRPr="009068C9" w:rsidRDefault="009C083D" w:rsidP="00FD239F">
            <w:pPr>
              <w:pStyle w:val="InstructionsText"/>
              <w:numPr>
                <w:ilvl w:val="0"/>
                <w:numId w:val="26"/>
              </w:numPr>
              <w:rPr>
                <w:bCs/>
                <w:u w:val="single"/>
              </w:rPr>
            </w:pPr>
            <w:r>
              <w:t>če se uporablja, se smernica glede kapitala v okviru stebra 2 (P2G), kot je opredeljena v smernicah EBA glede PNPO, vključi samo, če jo je pristo</w:t>
            </w:r>
            <w:r>
              <w:t>j</w:t>
            </w:r>
            <w:r>
              <w:t>ni organ sporočil instituciji.</w:t>
            </w:r>
          </w:p>
          <w:p w:rsidR="0047693D" w:rsidRPr="007615A8" w:rsidRDefault="005B54BB" w:rsidP="009068C9">
            <w:pPr>
              <w:pStyle w:val="InstructionsText"/>
              <w:rPr>
                <w:rStyle w:val="InstructionsTabelleberschrift"/>
                <w:rFonts w:ascii="Times New Roman" w:hAnsi="Times New Roman"/>
                <w:b w:val="0"/>
                <w:sz w:val="24"/>
              </w:rPr>
            </w:pPr>
            <w:r>
              <w:t xml:space="preserve">Če pristojni organ ni sporočil nobene smernice glede kapitala v okviru stebra 2 (P2G), se poroča samo točka (i). </w:t>
            </w:r>
            <w:r>
              <w:rPr>
                <w:rStyle w:val="InstructionsTabelleberschrift"/>
                <w:rFonts w:ascii="Times New Roman" w:hAnsi="Times New Roman"/>
                <w:b w:val="0"/>
                <w:sz w:val="24"/>
              </w:rPr>
              <w:t xml:space="preserve"> </w:t>
            </w:r>
          </w:p>
        </w:tc>
      </w:tr>
      <w:tr w:rsidR="009C083D" w:rsidRPr="00392FFD" w:rsidTr="00672D2A">
        <w:tc>
          <w:tcPr>
            <w:tcW w:w="703" w:type="dxa"/>
          </w:tcPr>
          <w:p w:rsidR="009C083D" w:rsidRPr="00392FFD" w:rsidRDefault="009C083D" w:rsidP="00FD239F">
            <w:pPr>
              <w:pStyle w:val="InstructionsText"/>
            </w:pPr>
            <w:r>
              <w:t>200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sidR="00EE0671" w:rsidRPr="00EE0671">
              <w:rPr>
                <w:u w:val="single"/>
              </w:rPr>
              <w:tab/>
            </w:r>
            <w:r>
              <w:rPr>
                <w:rStyle w:val="InstructionsTabelleberschrift"/>
                <w:rFonts w:ascii="Times New Roman" w:hAnsi="Times New Roman"/>
                <w:sz w:val="24"/>
              </w:rPr>
              <w:t xml:space="preserve">OCR in P2G: ki morata biti sestavljena iz navadnega lastniškega temeljnega kapitala </w:t>
            </w:r>
          </w:p>
          <w:p w:rsidR="009C083D" w:rsidRDefault="009C083D" w:rsidP="00FD239F">
            <w:pPr>
              <w:pStyle w:val="InstructionsText"/>
            </w:pPr>
            <w:r>
              <w:t>Vsota (i) in (</w:t>
            </w:r>
            <w:proofErr w:type="spellStart"/>
            <w:r>
              <w:t>ii</w:t>
            </w:r>
            <w:proofErr w:type="spellEnd"/>
            <w:r>
              <w:t>), kot sledi:</w:t>
            </w:r>
          </w:p>
          <w:p w:rsidR="009C083D" w:rsidRDefault="009C083D" w:rsidP="00FD239F">
            <w:pPr>
              <w:pStyle w:val="InstructionsText"/>
              <w:numPr>
                <w:ilvl w:val="0"/>
                <w:numId w:val="27"/>
              </w:numPr>
            </w:pPr>
            <w:r>
              <w:t>količnika OCR, ki mora biti sestavljen iz navadnega lastniškega temel</w:t>
            </w:r>
            <w:r>
              <w:t>j</w:t>
            </w:r>
            <w:r>
              <w:t>nega kapitala, iz vrstice 170;</w:t>
            </w:r>
          </w:p>
          <w:p w:rsidR="009C083D" w:rsidRPr="009068C9" w:rsidRDefault="009C083D" w:rsidP="00FD239F">
            <w:pPr>
              <w:pStyle w:val="InstructionsText"/>
              <w:numPr>
                <w:ilvl w:val="0"/>
                <w:numId w:val="27"/>
              </w:numPr>
              <w:rPr>
                <w:bCs/>
                <w:u w:val="single"/>
              </w:rPr>
            </w:pPr>
            <w:r>
              <w:t>če se uporablja, deleža smernice glede kapitala v okviru stebra 2 (P2G) iz točke (</w:t>
            </w:r>
            <w:proofErr w:type="spellStart"/>
            <w:r>
              <w:t>ii</w:t>
            </w:r>
            <w:proofErr w:type="spellEnd"/>
            <w:r>
              <w:t>) vrstice 190, ki mora biti v skladu z zahtevo pristojnega organa v obliki navadnega lastniškega temeljnega kapitala. Smernica glede kapit</w:t>
            </w:r>
            <w:r>
              <w:t>a</w:t>
            </w:r>
            <w:r>
              <w:t>la v okviru stebra 2 (P2G) se vključi samo, če jo je pristojni organ spor</w:t>
            </w:r>
            <w:r>
              <w:t>o</w:t>
            </w:r>
            <w:r>
              <w:t>čil instituciji.</w:t>
            </w:r>
          </w:p>
          <w:p w:rsidR="0047693D" w:rsidRPr="007615A8" w:rsidRDefault="005B54BB" w:rsidP="009068C9">
            <w:pPr>
              <w:pStyle w:val="InstructionsText"/>
              <w:rPr>
                <w:rStyle w:val="InstructionsTabelleberschrift"/>
                <w:rFonts w:ascii="Times New Roman" w:hAnsi="Times New Roman"/>
                <w:b w:val="0"/>
                <w:sz w:val="24"/>
              </w:rPr>
            </w:pPr>
            <w:r>
              <w:t>Če pristojni organ ni sporočil nobene smernice glede kapitala v okviru stebra 2 (P2G), se poroča samo točka (i).</w:t>
            </w:r>
          </w:p>
        </w:tc>
      </w:tr>
      <w:tr w:rsidR="009C083D" w:rsidRPr="00392FFD" w:rsidTr="00672D2A">
        <w:tc>
          <w:tcPr>
            <w:tcW w:w="703" w:type="dxa"/>
          </w:tcPr>
          <w:p w:rsidR="009C083D" w:rsidRPr="00392FFD" w:rsidRDefault="009C083D" w:rsidP="00FD239F">
            <w:pPr>
              <w:pStyle w:val="InstructionsText"/>
            </w:pPr>
            <w:r>
              <w:t>210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sidR="00EE0671" w:rsidRPr="00EE0671">
              <w:rPr>
                <w:u w:val="single"/>
              </w:rPr>
              <w:tab/>
            </w:r>
            <w:r>
              <w:rPr>
                <w:rStyle w:val="InstructionsTabelleberschrift"/>
                <w:rFonts w:ascii="Times New Roman" w:hAnsi="Times New Roman"/>
                <w:sz w:val="24"/>
              </w:rPr>
              <w:t xml:space="preserve">OCR in P2G: ki morata biti sestavljena iz temeljnega kapitala </w:t>
            </w:r>
          </w:p>
          <w:p w:rsidR="009C083D" w:rsidRDefault="009C083D" w:rsidP="00FD239F">
            <w:pPr>
              <w:pStyle w:val="InstructionsText"/>
            </w:pPr>
            <w:r>
              <w:t>Vsota (i) in (</w:t>
            </w:r>
            <w:proofErr w:type="spellStart"/>
            <w:r>
              <w:t>ii</w:t>
            </w:r>
            <w:proofErr w:type="spellEnd"/>
            <w:r>
              <w:t>), kot sledi:</w:t>
            </w:r>
          </w:p>
          <w:p w:rsidR="009C083D" w:rsidRDefault="009C083D" w:rsidP="00FD239F">
            <w:pPr>
              <w:pStyle w:val="InstructionsText"/>
              <w:numPr>
                <w:ilvl w:val="0"/>
                <w:numId w:val="28"/>
              </w:numPr>
            </w:pPr>
            <w:r>
              <w:t>količnika OCR, ki mora biti sestavljen iz temeljnega kapitala, iz vrst</w:t>
            </w:r>
            <w:r>
              <w:t>i</w:t>
            </w:r>
            <w:r>
              <w:t>ce 180;</w:t>
            </w:r>
          </w:p>
          <w:p w:rsidR="009C083D" w:rsidRDefault="009C083D" w:rsidP="00FD239F">
            <w:pPr>
              <w:pStyle w:val="InstructionsText"/>
              <w:numPr>
                <w:ilvl w:val="0"/>
                <w:numId w:val="28"/>
              </w:numPr>
            </w:pPr>
            <w:r>
              <w:t>če se uporablja, deleža smernice glede kapitala v okviru stebra 2 (P2G) iz točke (</w:t>
            </w:r>
            <w:proofErr w:type="spellStart"/>
            <w:r>
              <w:t>ii</w:t>
            </w:r>
            <w:proofErr w:type="spellEnd"/>
            <w:r>
              <w:t>) vrstice 190, ki mora biti v skladu z zahtevo pristojnega organa v obliki temeljnega kapitala. Smernica glede kapitala v okviru stebra 2 (P2G) se vključi samo, če jo je pristojni organ sporočil instituciji.</w:t>
            </w:r>
          </w:p>
          <w:p w:rsidR="0047693D" w:rsidRPr="007615A8" w:rsidRDefault="005B54BB" w:rsidP="009068C9">
            <w:pPr>
              <w:pStyle w:val="InstructionsText"/>
              <w:rPr>
                <w:rStyle w:val="InstructionsTabelleberschrift"/>
                <w:rFonts w:ascii="Times New Roman" w:hAnsi="Times New Roman"/>
                <w:b w:val="0"/>
                <w:bCs w:val="0"/>
                <w:sz w:val="24"/>
                <w:u w:val="none"/>
              </w:rPr>
            </w:pPr>
            <w:r>
              <w:t>Če pristojni organ ni sporočil nobene smernice glede kapitala v okviru stebra 2 (P2G), se poroča samo točka (i).</w:t>
            </w:r>
            <w:r>
              <w:rPr>
                <w:rStyle w:val="InstructionsTabelleberschrift"/>
                <w:rFonts w:ascii="Times New Roman" w:hAnsi="Times New Roman"/>
                <w:b w:val="0"/>
                <w:sz w:val="24"/>
              </w:rPr>
              <w:t xml:space="preserve"> </w:t>
            </w:r>
          </w:p>
        </w:tc>
      </w:tr>
    </w:tbl>
    <w:p w:rsidR="005643EA" w:rsidRPr="00392FFD" w:rsidRDefault="005643EA" w:rsidP="00FD239F">
      <w:pPr>
        <w:pStyle w:val="InstructionsText"/>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74" w:name="_Toc516210614"/>
      <w:bookmarkStart w:id="75" w:name="_Toc473560879"/>
      <w:bookmarkStart w:id="76" w:name="_Toc308175830"/>
      <w:bookmarkStart w:id="77" w:name="_Toc360188331"/>
      <w:bookmarkStart w:id="78" w:name="_Toc523474363"/>
      <w:r>
        <w:rPr>
          <w:rFonts w:ascii="Times New Roman" w:hAnsi="Times New Roman"/>
          <w:sz w:val="24"/>
          <w:u w:val="none"/>
        </w:rPr>
        <w:t>1.5.</w:t>
      </w:r>
      <w:r w:rsidR="003F40E8" w:rsidRPr="003F40E8">
        <w:rPr>
          <w:u w:val="none"/>
        </w:rPr>
        <w:tab/>
      </w:r>
      <w:r>
        <w:rPr>
          <w:rFonts w:ascii="Times New Roman" w:hAnsi="Times New Roman"/>
          <w:sz w:val="24"/>
        </w:rPr>
        <w:t>C 04.00 – POJASNJEVALNE POSTAVKE (CA4)</w:t>
      </w:r>
      <w:bookmarkEnd w:id="74"/>
      <w:bookmarkEnd w:id="75"/>
      <w:bookmarkEnd w:id="78"/>
      <w:r>
        <w:rPr>
          <w:rFonts w:ascii="Times New Roman" w:hAnsi="Times New Roman"/>
          <w:sz w:val="24"/>
        </w:rPr>
        <w:t xml:space="preserve"> </w:t>
      </w:r>
      <w:bookmarkEnd w:id="76"/>
      <w:bookmarkEnd w:id="77"/>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79" w:name="_Toc308175831"/>
      <w:bookmarkStart w:id="80" w:name="_Toc310414974"/>
      <w:bookmarkStart w:id="81" w:name="_Toc360188332"/>
      <w:bookmarkStart w:id="82" w:name="_Toc516210615"/>
      <w:bookmarkStart w:id="83" w:name="_Toc473560880"/>
      <w:bookmarkStart w:id="84" w:name="_Toc523474364"/>
      <w:r>
        <w:rPr>
          <w:rFonts w:ascii="Times New Roman" w:hAnsi="Times New Roman"/>
          <w:sz w:val="24"/>
          <w:u w:val="none"/>
        </w:rPr>
        <w:t>1.5.1.</w:t>
      </w:r>
      <w:r w:rsidR="003F40E8" w:rsidRPr="003F40E8">
        <w:rPr>
          <w:u w:val="none"/>
        </w:rPr>
        <w:tab/>
      </w:r>
      <w:r>
        <w:rPr>
          <w:rFonts w:ascii="Times New Roman" w:hAnsi="Times New Roman"/>
          <w:sz w:val="24"/>
        </w:rPr>
        <w:t xml:space="preserve">Navodila za posamezne </w:t>
      </w:r>
      <w:bookmarkEnd w:id="79"/>
      <w:bookmarkEnd w:id="80"/>
      <w:r>
        <w:rPr>
          <w:rFonts w:ascii="Times New Roman" w:hAnsi="Times New Roman"/>
          <w:sz w:val="24"/>
        </w:rPr>
        <w:t>pozicije</w:t>
      </w:r>
      <w:bookmarkEnd w:id="81"/>
      <w:bookmarkEnd w:id="82"/>
      <w:bookmarkEnd w:id="83"/>
      <w:bookmarkEnd w:id="84"/>
    </w:p>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6"/>
        <w:gridCol w:w="7243"/>
      </w:tblGrid>
      <w:tr w:rsidR="002648B0" w:rsidRPr="00392FFD" w:rsidTr="00672D2A">
        <w:tc>
          <w:tcPr>
            <w:tcW w:w="8749" w:type="dxa"/>
            <w:gridSpan w:val="2"/>
            <w:shd w:val="clear" w:color="auto" w:fill="D9D9D9"/>
          </w:tcPr>
          <w:p w:rsidR="005643EA" w:rsidRPr="00392FFD" w:rsidRDefault="002648B0" w:rsidP="00FD239F">
            <w:pPr>
              <w:pStyle w:val="InstructionsText"/>
            </w:pPr>
            <w:r>
              <w:t>Vrstice</w:t>
            </w:r>
          </w:p>
        </w:tc>
      </w:tr>
      <w:tr w:rsidR="002648B0" w:rsidRPr="00392FFD" w:rsidTr="00672D2A">
        <w:tc>
          <w:tcPr>
            <w:tcW w:w="1506" w:type="dxa"/>
          </w:tcPr>
          <w:p w:rsidR="002648B0" w:rsidRPr="00392FFD" w:rsidRDefault="002648B0" w:rsidP="00FD239F">
            <w:pPr>
              <w:pStyle w:val="InstructionsText"/>
            </w:pPr>
            <w:r>
              <w:t>010</w:t>
            </w:r>
          </w:p>
        </w:tc>
        <w:tc>
          <w:tcPr>
            <w:tcW w:w="7243" w:type="dxa"/>
          </w:tcPr>
          <w:p w:rsidR="005643EA" w:rsidRPr="00201704" w:rsidRDefault="00EE0671" w:rsidP="00FD239F">
            <w:pPr>
              <w:pStyle w:val="InstructionsText"/>
            </w:pPr>
            <w:r w:rsidRPr="00EE0671">
              <w:rPr>
                <w:rStyle w:val="InstructionsTabelleberschrift"/>
                <w:rFonts w:ascii="Times New Roman" w:hAnsi="Times New Roman"/>
                <w:sz w:val="24"/>
              </w:rPr>
              <w:t>1</w:t>
            </w:r>
            <w:r w:rsidRPr="00EE0671">
              <w:rPr>
                <w:rStyle w:val="InstructionsTabelleberschrift"/>
                <w:rFonts w:ascii="Times New Roman" w:hAnsi="Times New Roman"/>
                <w:sz w:val="24"/>
              </w:rPr>
              <w:tab/>
            </w:r>
            <w:r w:rsidR="00C66473">
              <w:rPr>
                <w:rStyle w:val="InstructionsTabelleberschrift"/>
                <w:rFonts w:ascii="Times New Roman" w:hAnsi="Times New Roman"/>
                <w:sz w:val="24"/>
              </w:rPr>
              <w:t>Odložene terjatve za davek skupaj</w:t>
            </w:r>
          </w:p>
          <w:p w:rsidR="005643EA" w:rsidRPr="00392FFD" w:rsidRDefault="002648B0" w:rsidP="00FD239F">
            <w:pPr>
              <w:pStyle w:val="InstructionsText"/>
            </w:pPr>
            <w:r>
              <w:t xml:space="preserve">Znesek, ki se poroča v tem polju, je enak znesku, ki se poroča v zadnji </w:t>
            </w:r>
            <w:r>
              <w:lastRenderedPageBreak/>
              <w:t>potrjeni/revidirani računovodski bilanci stanja.</w:t>
            </w:r>
          </w:p>
        </w:tc>
      </w:tr>
      <w:tr w:rsidR="002648B0" w:rsidRPr="00392FFD" w:rsidTr="00672D2A">
        <w:tc>
          <w:tcPr>
            <w:tcW w:w="1506" w:type="dxa"/>
          </w:tcPr>
          <w:p w:rsidR="002648B0" w:rsidRPr="00392FFD" w:rsidRDefault="002648B0" w:rsidP="00FD239F">
            <w:pPr>
              <w:pStyle w:val="InstructionsText"/>
            </w:pPr>
            <w:r>
              <w:lastRenderedPageBreak/>
              <w:t>020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1.1</w:t>
            </w:r>
            <w:r w:rsidR="00EE0671" w:rsidRPr="00EE0671">
              <w:rPr>
                <w:u w:val="single"/>
              </w:rPr>
              <w:tab/>
            </w:r>
            <w:r>
              <w:rPr>
                <w:rStyle w:val="InstructionsTabelleberschrift"/>
                <w:rFonts w:ascii="Times New Roman" w:hAnsi="Times New Roman"/>
                <w:sz w:val="24"/>
              </w:rPr>
              <w:t>Odložene terjatve za davek, ki se ne nanašajo na prihodnji dobiček</w:t>
            </w:r>
          </w:p>
          <w:p w:rsidR="005643EA" w:rsidRPr="00392FFD" w:rsidRDefault="002648B0" w:rsidP="00FD239F">
            <w:pPr>
              <w:pStyle w:val="InstructionsText"/>
            </w:pPr>
            <w:r>
              <w:t>Člen 39(2) CRR.</w:t>
            </w:r>
          </w:p>
          <w:p w:rsidR="005643EA" w:rsidRPr="00392FFD" w:rsidRDefault="002648B0" w:rsidP="00FD239F">
            <w:pPr>
              <w:pStyle w:val="InstructionsText"/>
            </w:pPr>
            <w:r>
              <w:t>Odložene terjatve za davek, ki se ne nanašajo na prihodnji dobiček in se zato zanje uporabi utež tveganja.</w:t>
            </w:r>
          </w:p>
        </w:tc>
      </w:tr>
      <w:tr w:rsidR="002648B0" w:rsidRPr="00392FFD" w:rsidTr="00672D2A">
        <w:tc>
          <w:tcPr>
            <w:tcW w:w="1506" w:type="dxa"/>
          </w:tcPr>
          <w:p w:rsidR="002648B0" w:rsidRPr="00392FFD" w:rsidRDefault="002648B0" w:rsidP="00FD239F">
            <w:pPr>
              <w:pStyle w:val="InstructionsText"/>
            </w:pPr>
            <w:r>
              <w:t>030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w:t>
            </w:r>
            <w:r w:rsidR="00EE0671" w:rsidRPr="00EE0671">
              <w:rPr>
                <w:u w:val="single"/>
              </w:rPr>
              <w:tab/>
            </w:r>
            <w:r>
              <w:rPr>
                <w:rStyle w:val="InstructionsTabelleberschrift"/>
                <w:rFonts w:ascii="Times New Roman" w:hAnsi="Times New Roman"/>
                <w:sz w:val="24"/>
              </w:rPr>
              <w:t>Odložene terjatve za davek, ki se nanašajo na prihodnji dob</w:t>
            </w:r>
            <w:r>
              <w:rPr>
                <w:rStyle w:val="InstructionsTabelleberschrift"/>
                <w:rFonts w:ascii="Times New Roman" w:hAnsi="Times New Roman"/>
                <w:sz w:val="24"/>
              </w:rPr>
              <w:t>i</w:t>
            </w:r>
            <w:r>
              <w:rPr>
                <w:rStyle w:val="InstructionsTabelleberschrift"/>
                <w:rFonts w:ascii="Times New Roman" w:hAnsi="Times New Roman"/>
                <w:sz w:val="24"/>
              </w:rPr>
              <w:t>ček in ne izhajajo iz začasnih razlik</w:t>
            </w:r>
          </w:p>
          <w:p w:rsidR="005643EA" w:rsidRPr="00392FFD" w:rsidRDefault="002648B0" w:rsidP="00FD239F">
            <w:pPr>
              <w:pStyle w:val="InstructionsText"/>
            </w:pPr>
            <w:r>
              <w:t>Člen 36(1)(c) in člen 38 CRR.</w:t>
            </w:r>
          </w:p>
          <w:p w:rsidR="005643EA" w:rsidRPr="00392FFD" w:rsidRDefault="002648B0" w:rsidP="00FD239F">
            <w:pPr>
              <w:pStyle w:val="InstructionsText"/>
            </w:pPr>
            <w:r>
              <w:t>Odložene terjatve za davek, ki se nanašajo na prihodnji dobiček, vendar ne izhajajo iz začasnih razlik, zaradi česar se zanje ne uporabi noben prag (to pomeni, da so v celoti odbite od navadnega lastniškega temel</w:t>
            </w:r>
            <w:r>
              <w:t>j</w:t>
            </w:r>
            <w:r>
              <w:t>nega kapitala).</w:t>
            </w:r>
          </w:p>
        </w:tc>
      </w:tr>
      <w:tr w:rsidR="002648B0" w:rsidRPr="00392FFD" w:rsidTr="00672D2A">
        <w:tc>
          <w:tcPr>
            <w:tcW w:w="1506" w:type="dxa"/>
          </w:tcPr>
          <w:p w:rsidR="002648B0" w:rsidRPr="00392FFD" w:rsidRDefault="002648B0" w:rsidP="00FD239F">
            <w:pPr>
              <w:pStyle w:val="InstructionsText"/>
            </w:pPr>
            <w:r>
              <w:t>040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w:t>
            </w:r>
            <w:r w:rsidR="00EE0671" w:rsidRPr="00EE0671">
              <w:rPr>
                <w:u w:val="single"/>
              </w:rPr>
              <w:tab/>
            </w:r>
            <w:r>
              <w:rPr>
                <w:rStyle w:val="InstructionsTabelleberschrift"/>
                <w:rFonts w:ascii="Times New Roman" w:hAnsi="Times New Roman"/>
                <w:sz w:val="24"/>
              </w:rPr>
              <w:t>Odložene terjatve za davek, ki se nanašajo na prihodnji dob</w:t>
            </w:r>
            <w:r>
              <w:rPr>
                <w:rStyle w:val="InstructionsTabelleberschrift"/>
                <w:rFonts w:ascii="Times New Roman" w:hAnsi="Times New Roman"/>
                <w:sz w:val="24"/>
              </w:rPr>
              <w:t>i</w:t>
            </w:r>
            <w:r>
              <w:rPr>
                <w:rStyle w:val="InstructionsTabelleberschrift"/>
                <w:rFonts w:ascii="Times New Roman" w:hAnsi="Times New Roman"/>
                <w:sz w:val="24"/>
              </w:rPr>
              <w:t>ček in izhajajo iz začasnih razlik</w:t>
            </w:r>
          </w:p>
          <w:p w:rsidR="005643EA" w:rsidRPr="00392FFD" w:rsidRDefault="002648B0" w:rsidP="00FD239F">
            <w:pPr>
              <w:pStyle w:val="InstructionsText"/>
            </w:pPr>
            <w:r>
              <w:t>Člen 36(1)(c), člen 38 in člen 48(1)(a) CRR.</w:t>
            </w:r>
          </w:p>
          <w:p w:rsidR="005643EA" w:rsidRPr="00392FFD" w:rsidRDefault="002648B0" w:rsidP="00FD239F">
            <w:pPr>
              <w:pStyle w:val="InstructionsText"/>
            </w:pPr>
            <w:r>
              <w:t>Odložene terjatve za davek, ki se nanašajo na prihodnji dobiček in izh</w:t>
            </w:r>
            <w:r>
              <w:t>a</w:t>
            </w:r>
            <w:r>
              <w:t>jajo iz začasnih razlik, zaradi česar se za njihov odbitek od navadnega lastniškega temeljnega kapitala uporabita praga 10 % in 17,65 % iz člena 48 CRR.</w:t>
            </w:r>
          </w:p>
        </w:tc>
      </w:tr>
      <w:tr w:rsidR="002648B0" w:rsidRPr="00392FFD" w:rsidTr="00672D2A">
        <w:tc>
          <w:tcPr>
            <w:tcW w:w="1506" w:type="dxa"/>
          </w:tcPr>
          <w:p w:rsidR="002648B0" w:rsidRPr="00392FFD" w:rsidRDefault="002648B0" w:rsidP="00FD239F">
            <w:pPr>
              <w:pStyle w:val="InstructionsText"/>
            </w:pPr>
            <w:r>
              <w:t>050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 Odložene obveznosti za davek skupaj</w:t>
            </w:r>
          </w:p>
          <w:p w:rsidR="005643EA" w:rsidRPr="00392FFD" w:rsidRDefault="002648B0" w:rsidP="00FD239F">
            <w:pPr>
              <w:pStyle w:val="InstructionsText"/>
            </w:pPr>
            <w:r>
              <w:t>Znesek, ki se poroča v tem polju, je enak znesku, ki se poroča v zadnji potrjeni/revidirani računovodski bilanci stanja.</w:t>
            </w:r>
          </w:p>
        </w:tc>
      </w:tr>
      <w:tr w:rsidR="002648B0" w:rsidRPr="00392FFD" w:rsidTr="00672D2A">
        <w:tc>
          <w:tcPr>
            <w:tcW w:w="1506" w:type="dxa"/>
          </w:tcPr>
          <w:p w:rsidR="002648B0" w:rsidRPr="00392FFD" w:rsidRDefault="002648B0" w:rsidP="00FD239F">
            <w:pPr>
              <w:pStyle w:val="InstructionsText"/>
            </w:pPr>
            <w:r>
              <w:t>060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2.1</w:t>
            </w:r>
            <w:r w:rsidR="00EE0671" w:rsidRPr="00EE0671">
              <w:rPr>
                <w:u w:val="single"/>
              </w:rPr>
              <w:tab/>
            </w:r>
            <w:r>
              <w:rPr>
                <w:rStyle w:val="InstructionsTabelleberschrift"/>
                <w:rFonts w:ascii="Times New Roman" w:hAnsi="Times New Roman"/>
                <w:sz w:val="24"/>
              </w:rPr>
              <w:t>Odložene obveznosti za davek, ki se ne odbijejo od odloženih terjatev za davek, ki se nanašajo na prihodnji dobiček</w:t>
            </w:r>
          </w:p>
          <w:p w:rsidR="005643EA" w:rsidRPr="00392FFD" w:rsidRDefault="002648B0" w:rsidP="00FD239F">
            <w:pPr>
              <w:pStyle w:val="InstructionsText"/>
            </w:pPr>
            <w:r>
              <w:t>Člen 38(3) in (4) CRR.</w:t>
            </w:r>
          </w:p>
          <w:p w:rsidR="005643EA" w:rsidRPr="00392FFD" w:rsidRDefault="002648B0" w:rsidP="00FD239F">
            <w:pPr>
              <w:pStyle w:val="InstructionsText"/>
            </w:pPr>
            <w:r>
              <w:t>Odložene obveznosti za davek, za katere pogoji iz člena 38(3) in (4) CRR niso izpolnjeni. Zato ta postavka vključuje odložene obveznosti za davek, ki zmanjšujejo znesek dobrega imena, drugih neopredmetenih sredstev ali sredstev pokojninskega sklada z določenimi pravicami, ki jih je treba odbiti, poročane v postavkah 1.1.1.10.3, 1.1.1.11.2 oziroma 1.1.1.14.2.</w:t>
            </w:r>
          </w:p>
        </w:tc>
      </w:tr>
      <w:tr w:rsidR="002648B0" w:rsidRPr="00392FFD" w:rsidTr="00672D2A">
        <w:tc>
          <w:tcPr>
            <w:tcW w:w="1506" w:type="dxa"/>
          </w:tcPr>
          <w:p w:rsidR="002648B0" w:rsidRPr="00392FFD" w:rsidRDefault="002648B0" w:rsidP="00FD239F">
            <w:pPr>
              <w:pStyle w:val="InstructionsText"/>
            </w:pPr>
            <w:r>
              <w:t>070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w:t>
            </w:r>
            <w:r w:rsidR="00EE0671" w:rsidRPr="00EE0671">
              <w:rPr>
                <w:u w:val="single"/>
              </w:rPr>
              <w:tab/>
            </w:r>
            <w:r>
              <w:rPr>
                <w:rStyle w:val="InstructionsTabelleberschrift"/>
                <w:rFonts w:ascii="Times New Roman" w:hAnsi="Times New Roman"/>
                <w:sz w:val="24"/>
              </w:rPr>
              <w:t>Odložene obveznosti za davek, ki se odbijejo od odloženih terjatev za davek, ki se nanašajo na prihodnji dobiček</w:t>
            </w:r>
          </w:p>
          <w:p w:rsidR="005643EA" w:rsidRPr="00392FFD" w:rsidRDefault="002648B0" w:rsidP="00FD239F">
            <w:pPr>
              <w:pStyle w:val="InstructionsText"/>
            </w:pPr>
            <w:r>
              <w:t>Člen 38 CRR.</w:t>
            </w:r>
          </w:p>
        </w:tc>
      </w:tr>
      <w:tr w:rsidR="002648B0" w:rsidRPr="00392FFD" w:rsidTr="00672D2A">
        <w:tc>
          <w:tcPr>
            <w:tcW w:w="1506" w:type="dxa"/>
          </w:tcPr>
          <w:p w:rsidR="002648B0" w:rsidRPr="00392FFD" w:rsidRDefault="002648B0" w:rsidP="00FD239F">
            <w:pPr>
              <w:pStyle w:val="InstructionsText"/>
            </w:pPr>
            <w:r>
              <w:t>080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2.2.1</w:t>
            </w:r>
            <w:r w:rsidR="00EE0671" w:rsidRPr="00EE0671">
              <w:rPr>
                <w:u w:val="single"/>
              </w:rPr>
              <w:tab/>
            </w:r>
            <w:r>
              <w:rPr>
                <w:rStyle w:val="InstructionsTabelleberschrift"/>
                <w:rFonts w:ascii="Times New Roman" w:hAnsi="Times New Roman"/>
                <w:sz w:val="24"/>
              </w:rPr>
              <w:t>Odbitne odložene obveznosti za davek, povezane z odloženimi terjatvami za davek, ki se nanašajo na prihodnji dobiček in ne izh</w:t>
            </w:r>
            <w:r>
              <w:rPr>
                <w:rStyle w:val="InstructionsTabelleberschrift"/>
                <w:rFonts w:ascii="Times New Roman" w:hAnsi="Times New Roman"/>
                <w:sz w:val="24"/>
              </w:rPr>
              <w:t>a</w:t>
            </w:r>
            <w:r>
              <w:rPr>
                <w:rStyle w:val="InstructionsTabelleberschrift"/>
                <w:rFonts w:ascii="Times New Roman" w:hAnsi="Times New Roman"/>
                <w:sz w:val="24"/>
              </w:rPr>
              <w:t>jajo iz začasnih razlik</w:t>
            </w:r>
          </w:p>
          <w:p w:rsidR="005643EA" w:rsidRPr="00392FFD" w:rsidRDefault="002648B0" w:rsidP="00FD239F">
            <w:pPr>
              <w:pStyle w:val="InstructionsText"/>
            </w:pPr>
            <w:r>
              <w:t>Člen 38(3), (4) in (5) CRR.</w:t>
            </w:r>
          </w:p>
          <w:p w:rsidR="005643EA" w:rsidRPr="00392FFD" w:rsidRDefault="002648B0" w:rsidP="00FD239F">
            <w:pPr>
              <w:pStyle w:val="InstructionsText"/>
            </w:pPr>
            <w:r>
              <w:t>Odložene obveznosti za davek, s katerimi se lahko zmanjša znesek odl</w:t>
            </w:r>
            <w:r>
              <w:t>o</w:t>
            </w:r>
            <w:r>
              <w:t xml:space="preserve">ženih terjatev za davek, ki se nanašajo na prihodnji dobiček, v skladu s členom 38(3) in (4) CRR, in niso razporejene na odložene terjatve za </w:t>
            </w:r>
            <w:r>
              <w:lastRenderedPageBreak/>
              <w:t>davek, ki se nanašajo na prihodnji dobiček in izhajajo iz začasnih razlik, v skladu s členom 38(5) CRR.</w:t>
            </w:r>
          </w:p>
        </w:tc>
      </w:tr>
      <w:tr w:rsidR="002648B0" w:rsidRPr="00392FFD" w:rsidTr="00672D2A">
        <w:tc>
          <w:tcPr>
            <w:tcW w:w="1506" w:type="dxa"/>
          </w:tcPr>
          <w:p w:rsidR="002648B0" w:rsidRPr="00392FFD" w:rsidRDefault="002648B0" w:rsidP="00FD239F">
            <w:pPr>
              <w:pStyle w:val="InstructionsText"/>
            </w:pPr>
            <w:r>
              <w:lastRenderedPageBreak/>
              <w:t>090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2.2.2</w:t>
            </w:r>
            <w:r w:rsidR="00EE0671" w:rsidRPr="00EE0671">
              <w:rPr>
                <w:u w:val="single"/>
              </w:rPr>
              <w:tab/>
            </w:r>
            <w:r>
              <w:rPr>
                <w:rStyle w:val="InstructionsTabelleberschrift"/>
                <w:rFonts w:ascii="Times New Roman" w:hAnsi="Times New Roman"/>
                <w:sz w:val="24"/>
              </w:rPr>
              <w:t>Odbitne odložene obveznosti za davek, povezane z odloženimi terjatvami za davek, ki se nanašajo na prihodnji dobiček in izhajajo iz začasnih razlik</w:t>
            </w:r>
          </w:p>
          <w:p w:rsidR="005643EA" w:rsidRPr="00392FFD" w:rsidRDefault="002648B0" w:rsidP="00FD239F">
            <w:pPr>
              <w:pStyle w:val="InstructionsText"/>
            </w:pPr>
            <w:r>
              <w:t>Člen 38(3), (4) in (5) CRR.</w:t>
            </w:r>
          </w:p>
          <w:p w:rsidR="005643EA" w:rsidRPr="00392FFD" w:rsidRDefault="002648B0" w:rsidP="00FD239F">
            <w:pPr>
              <w:pStyle w:val="InstructionsText"/>
            </w:pPr>
            <w:r>
              <w:t>Odložene obveznosti za davek, s katerimi se lahko zmanjša znesek odl</w:t>
            </w:r>
            <w:r>
              <w:t>o</w:t>
            </w:r>
            <w:r>
              <w:t>ženih terjatev za davek, ki se nanašajo na prihodnji dobiček, v skladu s členom 38(3) in (4) CRR, in so razporejene na odložene terjatve za davek, ki se nanašajo na prihodnji dobiček in izhajajo iz začasnih razlik, v skladu s členom 38(5) CRR.</w:t>
            </w:r>
          </w:p>
        </w:tc>
      </w:tr>
      <w:tr w:rsidR="00550113" w:rsidRPr="00392FFD" w:rsidTr="00672D2A">
        <w:tc>
          <w:tcPr>
            <w:tcW w:w="1506" w:type="dxa"/>
          </w:tcPr>
          <w:p w:rsidR="00550113" w:rsidRPr="00392FFD" w:rsidRDefault="00550113" w:rsidP="00FD239F">
            <w:pPr>
              <w:pStyle w:val="InstructionsText"/>
            </w:pPr>
            <w:r>
              <w:t>093</w:t>
            </w:r>
          </w:p>
        </w:tc>
        <w:tc>
          <w:tcPr>
            <w:tcW w:w="7243" w:type="dxa"/>
          </w:tcPr>
          <w:p w:rsidR="00550113" w:rsidRPr="00201704" w:rsidRDefault="00550113" w:rsidP="00FD239F">
            <w:pPr>
              <w:pStyle w:val="InstructionsText"/>
            </w:pPr>
            <w:r>
              <w:rPr>
                <w:rStyle w:val="InstructionsTabelleberschrift"/>
                <w:rFonts w:ascii="Times New Roman" w:hAnsi="Times New Roman"/>
                <w:sz w:val="24"/>
              </w:rPr>
              <w:t>2A</w:t>
            </w:r>
            <w:r w:rsidR="00EE0671" w:rsidRPr="00EE0671">
              <w:rPr>
                <w:u w:val="single"/>
              </w:rPr>
              <w:tab/>
            </w:r>
            <w:r>
              <w:rPr>
                <w:rStyle w:val="InstructionsTabelleberschrift"/>
                <w:rFonts w:ascii="Times New Roman" w:hAnsi="Times New Roman"/>
                <w:sz w:val="24"/>
              </w:rPr>
              <w:t>Preplačilo davka in prenos davčne izgube v predhodno obd</w:t>
            </w:r>
            <w:r>
              <w:rPr>
                <w:rStyle w:val="InstructionsTabelleberschrift"/>
                <w:rFonts w:ascii="Times New Roman" w:hAnsi="Times New Roman"/>
                <w:sz w:val="24"/>
              </w:rPr>
              <w:t>o</w:t>
            </w:r>
            <w:r>
              <w:rPr>
                <w:rStyle w:val="InstructionsTabelleberschrift"/>
                <w:rFonts w:ascii="Times New Roman" w:hAnsi="Times New Roman"/>
                <w:sz w:val="24"/>
              </w:rPr>
              <w:t>bje</w:t>
            </w:r>
          </w:p>
          <w:p w:rsidR="00550113" w:rsidRPr="00392FFD" w:rsidRDefault="00201704" w:rsidP="00FD239F">
            <w:pPr>
              <w:pStyle w:val="InstructionsText"/>
            </w:pPr>
            <w:r>
              <w:t>Člen 39(1) CRR</w:t>
            </w:r>
          </w:p>
          <w:p w:rsidR="00550113" w:rsidRPr="00392FFD" w:rsidRDefault="00550113" w:rsidP="00FD239F">
            <w:pPr>
              <w:pStyle w:val="InstructionsText"/>
              <w:rPr>
                <w:rStyle w:val="InstructionsTabelleberschrift"/>
                <w:rFonts w:ascii="Times New Roman" w:hAnsi="Times New Roman"/>
                <w:b w:val="0"/>
                <w:bCs w:val="0"/>
                <w:sz w:val="24"/>
                <w:u w:val="none"/>
              </w:rPr>
            </w:pPr>
            <w:r>
              <w:t>Znesek preplačil davka in davčnih izgub, prenesenih v predhodno obd</w:t>
            </w:r>
            <w:r>
              <w:t>o</w:t>
            </w:r>
            <w:r>
              <w:t>bje, ki se ne odbijejo od kapitala v skladu s členom 39(1) CRR; poroča se znesek pred uporabo uteži tveganja.</w:t>
            </w:r>
          </w:p>
        </w:tc>
      </w:tr>
      <w:tr w:rsidR="00DF65DF" w:rsidRPr="00392FFD" w:rsidTr="00672D2A">
        <w:tc>
          <w:tcPr>
            <w:tcW w:w="1506" w:type="dxa"/>
          </w:tcPr>
          <w:p w:rsidR="00DF65DF" w:rsidRPr="00392FFD" w:rsidRDefault="00DF65DF" w:rsidP="00FD239F">
            <w:pPr>
              <w:pStyle w:val="InstructionsText"/>
            </w:pPr>
            <w:r>
              <w:t>096</w:t>
            </w:r>
          </w:p>
        </w:tc>
        <w:tc>
          <w:tcPr>
            <w:tcW w:w="7243" w:type="dxa"/>
          </w:tcPr>
          <w:p w:rsidR="00DF65DF" w:rsidRPr="00201704" w:rsidRDefault="00550113" w:rsidP="00FD239F">
            <w:pPr>
              <w:pStyle w:val="InstructionsText"/>
            </w:pPr>
            <w:r>
              <w:rPr>
                <w:rStyle w:val="InstructionsTabelleberschrift"/>
                <w:rFonts w:ascii="Times New Roman" w:hAnsi="Times New Roman"/>
                <w:sz w:val="24"/>
              </w:rPr>
              <w:t>2B</w:t>
            </w:r>
            <w:r w:rsidR="00EE0671" w:rsidRPr="00EE0671">
              <w:rPr>
                <w:u w:val="single"/>
              </w:rPr>
              <w:tab/>
            </w:r>
            <w:r>
              <w:rPr>
                <w:rStyle w:val="InstructionsTabelleberschrift"/>
                <w:rFonts w:ascii="Times New Roman" w:hAnsi="Times New Roman"/>
                <w:sz w:val="24"/>
              </w:rPr>
              <w:t>Odložene terjatve za davek, za katere se uporabi utež tvega</w:t>
            </w:r>
            <w:r>
              <w:rPr>
                <w:rStyle w:val="InstructionsTabelleberschrift"/>
                <w:rFonts w:ascii="Times New Roman" w:hAnsi="Times New Roman"/>
                <w:sz w:val="24"/>
              </w:rPr>
              <w:t>n</w:t>
            </w:r>
            <w:r>
              <w:rPr>
                <w:rStyle w:val="InstructionsTabelleberschrift"/>
                <w:rFonts w:ascii="Times New Roman" w:hAnsi="Times New Roman"/>
                <w:sz w:val="24"/>
              </w:rPr>
              <w:t>ja 250 %</w:t>
            </w:r>
          </w:p>
          <w:p w:rsidR="00DF65DF" w:rsidRPr="00392FFD" w:rsidRDefault="00201704" w:rsidP="00FD239F">
            <w:pPr>
              <w:pStyle w:val="InstructionsText"/>
            </w:pPr>
            <w:r>
              <w:t>Člen 48(4) CRR</w:t>
            </w:r>
          </w:p>
          <w:p w:rsidR="00DF65DF" w:rsidRPr="00201704" w:rsidRDefault="00DF65DF" w:rsidP="00FD239F">
            <w:pPr>
              <w:pStyle w:val="InstructionsText"/>
              <w:rPr>
                <w:rStyle w:val="InstructionsTabelleberschrift"/>
                <w:rFonts w:ascii="Times New Roman" w:hAnsi="Times New Roman"/>
                <w:b w:val="0"/>
                <w:bCs w:val="0"/>
                <w:sz w:val="24"/>
                <w:u w:val="none"/>
              </w:rPr>
            </w:pPr>
            <w:r>
              <w:t>Znesek odloženih terjatev za davek, ki se nanašajo na prihodnji dobiček in izhajajo iz začasnih razlik, ki se ne odbijejo v skladu s členom 48(1) CRR, ampak se zanje v skladu s členom 48(4) CRR uporabi utež tvega</w:t>
            </w:r>
            <w:r>
              <w:t>n</w:t>
            </w:r>
            <w:r>
              <w:t>ja 250 %, ob upoštevanju učinka člena 470 CRR. Poroča se znesek odl</w:t>
            </w:r>
            <w:r>
              <w:t>o</w:t>
            </w:r>
            <w:r>
              <w:t>ženih terjatev za davek pred uporabo uteži tveganja.</w:t>
            </w:r>
          </w:p>
        </w:tc>
      </w:tr>
      <w:tr w:rsidR="00DF65DF" w:rsidRPr="00392FFD" w:rsidTr="00672D2A">
        <w:tc>
          <w:tcPr>
            <w:tcW w:w="1506" w:type="dxa"/>
          </w:tcPr>
          <w:p w:rsidR="00DF65DF" w:rsidRPr="00392FFD" w:rsidRDefault="00DF65DF" w:rsidP="00FD239F">
            <w:pPr>
              <w:pStyle w:val="InstructionsText"/>
            </w:pPr>
            <w:r>
              <w:t>097</w:t>
            </w:r>
          </w:p>
        </w:tc>
        <w:tc>
          <w:tcPr>
            <w:tcW w:w="7243" w:type="dxa"/>
          </w:tcPr>
          <w:p w:rsidR="00DF65DF" w:rsidRPr="00201704" w:rsidRDefault="00550113" w:rsidP="00FD239F">
            <w:pPr>
              <w:pStyle w:val="InstructionsText"/>
            </w:pPr>
            <w:r>
              <w:rPr>
                <w:rStyle w:val="InstructionsTabelleberschrift"/>
                <w:rFonts w:ascii="Times New Roman" w:hAnsi="Times New Roman"/>
                <w:sz w:val="24"/>
              </w:rPr>
              <w:t>2C</w:t>
            </w:r>
            <w:r w:rsidR="00EE0671" w:rsidRPr="00EE0671">
              <w:rPr>
                <w:u w:val="single"/>
              </w:rPr>
              <w:tab/>
            </w:r>
            <w:r>
              <w:rPr>
                <w:rStyle w:val="InstructionsTabelleberschrift"/>
                <w:rFonts w:ascii="Times New Roman" w:hAnsi="Times New Roman"/>
                <w:sz w:val="24"/>
              </w:rPr>
              <w:t>Odložene terjatve za davek, za katere se uporabi utež tvega</w:t>
            </w:r>
            <w:r>
              <w:rPr>
                <w:rStyle w:val="InstructionsTabelleberschrift"/>
                <w:rFonts w:ascii="Times New Roman" w:hAnsi="Times New Roman"/>
                <w:sz w:val="24"/>
              </w:rPr>
              <w:t>n</w:t>
            </w:r>
            <w:r>
              <w:rPr>
                <w:rStyle w:val="InstructionsTabelleberschrift"/>
                <w:rFonts w:ascii="Times New Roman" w:hAnsi="Times New Roman"/>
                <w:sz w:val="24"/>
              </w:rPr>
              <w:t>ja 0 %</w:t>
            </w:r>
          </w:p>
          <w:p w:rsidR="00DF65DF" w:rsidRPr="00392FFD" w:rsidRDefault="00DF65DF" w:rsidP="00FD239F">
            <w:pPr>
              <w:pStyle w:val="InstructionsText"/>
            </w:pPr>
            <w:r>
              <w:t>Člen 469(1)(d), člen 470, člen 472(5) in člen 478 CRR.</w:t>
            </w:r>
          </w:p>
          <w:p w:rsidR="00DF65DF" w:rsidRPr="00201704" w:rsidRDefault="00DF65DF" w:rsidP="00FD239F">
            <w:pPr>
              <w:pStyle w:val="InstructionsText"/>
              <w:rPr>
                <w:rStyle w:val="InstructionsTabelleberschrift"/>
                <w:rFonts w:ascii="Times New Roman" w:hAnsi="Times New Roman"/>
                <w:b w:val="0"/>
                <w:bCs w:val="0"/>
                <w:sz w:val="24"/>
                <w:u w:val="none"/>
              </w:rPr>
            </w:pPr>
            <w:r>
              <w:t>Znesek odloženih terjatev za davek, ki se nanašajo na prihodnji dobiček in izhajajo iz začasnih razlik, ki se ne odbijejo v skladu s členom 469(1)(d) in členom 470 CRR, ampak se zanje v skladu s členom 472(5) CRR uporabi utež tveganja 0 %. Poroča se znesek odloženih terjatev za davek pred uporabo uteži tveganja.</w:t>
            </w:r>
          </w:p>
        </w:tc>
      </w:tr>
      <w:tr w:rsidR="002648B0" w:rsidRPr="00392FFD" w:rsidTr="00672D2A">
        <w:tc>
          <w:tcPr>
            <w:tcW w:w="1506" w:type="dxa"/>
          </w:tcPr>
          <w:p w:rsidR="002648B0" w:rsidRPr="00392FFD" w:rsidRDefault="002648B0" w:rsidP="00FD239F">
            <w:pPr>
              <w:pStyle w:val="InstructionsText"/>
            </w:pPr>
            <w:r>
              <w:t>100</w:t>
            </w:r>
          </w:p>
        </w:tc>
        <w:tc>
          <w:tcPr>
            <w:tcW w:w="7243" w:type="dxa"/>
          </w:tcPr>
          <w:p w:rsidR="005643EA" w:rsidRPr="00201704" w:rsidRDefault="00EE0671" w:rsidP="00FD239F">
            <w:pPr>
              <w:pStyle w:val="InstructionsText"/>
              <w:rPr>
                <w:rStyle w:val="InstructionsTabelleberschrift"/>
                <w:rFonts w:ascii="Times New Roman" w:hAnsi="Times New Roman"/>
                <w:sz w:val="24"/>
              </w:rPr>
            </w:pPr>
            <w:r w:rsidRPr="00EE0671">
              <w:rPr>
                <w:rStyle w:val="InstructionsTabelleberschrift"/>
                <w:rFonts w:ascii="Times New Roman" w:hAnsi="Times New Roman"/>
                <w:sz w:val="24"/>
              </w:rPr>
              <w:t>3</w:t>
            </w:r>
            <w:r w:rsidRPr="00EE0671">
              <w:rPr>
                <w:rStyle w:val="InstructionsTabelleberschrift"/>
                <w:rFonts w:ascii="Times New Roman" w:hAnsi="Times New Roman"/>
                <w:sz w:val="24"/>
              </w:rPr>
              <w:tab/>
            </w:r>
            <w:r w:rsidR="00C66473">
              <w:rPr>
                <w:rStyle w:val="InstructionsTabelleberschrift"/>
                <w:rFonts w:ascii="Times New Roman" w:hAnsi="Times New Roman"/>
                <w:sz w:val="24"/>
              </w:rPr>
              <w:t>Presežek (+) ali primanjkljaj (–) popravkov zaradi kreditn</w:t>
            </w:r>
            <w:r w:rsidR="00C66473">
              <w:rPr>
                <w:rStyle w:val="InstructionsTabelleberschrift"/>
                <w:rFonts w:ascii="Times New Roman" w:hAnsi="Times New Roman"/>
                <w:sz w:val="24"/>
              </w:rPr>
              <w:t>e</w:t>
            </w:r>
            <w:r w:rsidR="00C66473">
              <w:rPr>
                <w:rStyle w:val="InstructionsTabelleberschrift"/>
                <w:rFonts w:ascii="Times New Roman" w:hAnsi="Times New Roman"/>
                <w:sz w:val="24"/>
              </w:rPr>
              <w:t>ga tveganja, dodatnih prilagoditev vrednosti in drugih zmanjšanj kapitala na pričakovane izgube za izpostavljenosti, ki niso neplač</w:t>
            </w:r>
            <w:r w:rsidR="00C66473">
              <w:rPr>
                <w:rStyle w:val="InstructionsTabelleberschrift"/>
                <w:rFonts w:ascii="Times New Roman" w:hAnsi="Times New Roman"/>
                <w:sz w:val="24"/>
              </w:rPr>
              <w:t>a</w:t>
            </w:r>
            <w:r w:rsidR="00C66473">
              <w:rPr>
                <w:rStyle w:val="InstructionsTabelleberschrift"/>
                <w:rFonts w:ascii="Times New Roman" w:hAnsi="Times New Roman"/>
                <w:sz w:val="24"/>
              </w:rPr>
              <w:t>ne, izračunan po pristopu IRB</w:t>
            </w:r>
          </w:p>
          <w:p w:rsidR="005643EA" w:rsidRPr="00392FFD" w:rsidRDefault="002648B0" w:rsidP="00FD239F">
            <w:pPr>
              <w:pStyle w:val="InstructionsText"/>
            </w:pPr>
            <w:r>
              <w:t>Člen 36(1)(d), člen 62(d) ter člena 158 in 159 CRR.</w:t>
            </w:r>
          </w:p>
          <w:p w:rsidR="005643EA" w:rsidRPr="00392FFD" w:rsidRDefault="002648B0" w:rsidP="00FD239F">
            <w:pPr>
              <w:pStyle w:val="InstructionsText"/>
            </w:pPr>
            <w:r>
              <w:t>To postavko poročajo le institucije, ki uporabljajo pristop IRB.</w:t>
            </w:r>
          </w:p>
        </w:tc>
      </w:tr>
      <w:tr w:rsidR="002648B0" w:rsidRPr="00392FFD" w:rsidTr="00672D2A">
        <w:tc>
          <w:tcPr>
            <w:tcW w:w="1506" w:type="dxa"/>
          </w:tcPr>
          <w:p w:rsidR="002648B0" w:rsidRPr="00392FFD" w:rsidRDefault="002648B0" w:rsidP="00FD239F">
            <w:pPr>
              <w:pStyle w:val="InstructionsText"/>
            </w:pPr>
            <w:r>
              <w:t>110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3.1</w:t>
            </w:r>
            <w:r w:rsidR="00EE0671" w:rsidRPr="00EE0671">
              <w:rPr>
                <w:u w:val="single"/>
              </w:rPr>
              <w:tab/>
            </w:r>
            <w:r>
              <w:rPr>
                <w:rStyle w:val="InstructionsTabelleberschrift"/>
                <w:rFonts w:ascii="Times New Roman" w:hAnsi="Times New Roman"/>
                <w:sz w:val="24"/>
              </w:rPr>
              <w:t>Skupaj popravki zaradi kreditnega tveganja, dodatne pril</w:t>
            </w:r>
            <w:r>
              <w:rPr>
                <w:rStyle w:val="InstructionsTabelleberschrift"/>
                <w:rFonts w:ascii="Times New Roman" w:hAnsi="Times New Roman"/>
                <w:sz w:val="24"/>
              </w:rPr>
              <w:t>a</w:t>
            </w:r>
            <w:r>
              <w:rPr>
                <w:rStyle w:val="InstructionsTabelleberschrift"/>
                <w:rFonts w:ascii="Times New Roman" w:hAnsi="Times New Roman"/>
                <w:sz w:val="24"/>
              </w:rPr>
              <w:t>goditve vrednosti in druga zmanjšanja kapitala, izračunani za vključitev v izračun zneska pričakovane izgube</w:t>
            </w:r>
          </w:p>
          <w:p w:rsidR="005643EA" w:rsidRPr="00392FFD" w:rsidRDefault="002648B0" w:rsidP="00FD239F">
            <w:pPr>
              <w:pStyle w:val="InstructionsText"/>
            </w:pPr>
            <w:r>
              <w:lastRenderedPageBreak/>
              <w:t>Člen 159 CRR.</w:t>
            </w:r>
          </w:p>
          <w:p w:rsidR="005643EA" w:rsidRPr="00392FFD" w:rsidRDefault="002648B0" w:rsidP="00FD239F">
            <w:pPr>
              <w:pStyle w:val="InstructionsText"/>
            </w:pPr>
            <w:r>
              <w:t>To postavko poročajo le institucije, ki uporabljajo pristop IRB.</w:t>
            </w:r>
          </w:p>
        </w:tc>
      </w:tr>
      <w:tr w:rsidR="002648B0" w:rsidRPr="00392FFD" w:rsidTr="00672D2A">
        <w:tc>
          <w:tcPr>
            <w:tcW w:w="1506" w:type="dxa"/>
          </w:tcPr>
          <w:p w:rsidR="002648B0" w:rsidRPr="00392FFD" w:rsidRDefault="002648B0" w:rsidP="00FD239F">
            <w:pPr>
              <w:pStyle w:val="InstructionsText"/>
            </w:pPr>
            <w:r>
              <w:lastRenderedPageBreak/>
              <w:t>120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3.1.1</w:t>
            </w:r>
            <w:r w:rsidR="00EE0671" w:rsidRPr="00EE0671">
              <w:rPr>
                <w:u w:val="single"/>
              </w:rPr>
              <w:tab/>
            </w:r>
            <w:r>
              <w:rPr>
                <w:rStyle w:val="InstructionsTabelleberschrift"/>
                <w:rFonts w:ascii="Times New Roman" w:hAnsi="Times New Roman"/>
                <w:sz w:val="24"/>
              </w:rPr>
              <w:t>Splošni popravki zaradi kreditnega tveganja</w:t>
            </w:r>
          </w:p>
          <w:p w:rsidR="005643EA" w:rsidRPr="00392FFD" w:rsidRDefault="002648B0" w:rsidP="00FD239F">
            <w:pPr>
              <w:pStyle w:val="InstructionsText"/>
            </w:pPr>
            <w:r>
              <w:t>Člen 159 CRR.</w:t>
            </w:r>
          </w:p>
          <w:p w:rsidR="005643EA" w:rsidRPr="00392FFD" w:rsidRDefault="002648B0" w:rsidP="00FD239F">
            <w:pPr>
              <w:pStyle w:val="InstructionsText"/>
            </w:pPr>
            <w:r>
              <w:t>To postavko poročajo le institucije, ki uporabljajo pristop IRB.</w:t>
            </w:r>
          </w:p>
        </w:tc>
      </w:tr>
      <w:tr w:rsidR="002648B0" w:rsidRPr="00392FFD" w:rsidTr="00672D2A">
        <w:tc>
          <w:tcPr>
            <w:tcW w:w="1506" w:type="dxa"/>
          </w:tcPr>
          <w:p w:rsidR="002648B0" w:rsidRPr="00392FFD" w:rsidRDefault="002648B0" w:rsidP="00FD239F">
            <w:pPr>
              <w:pStyle w:val="InstructionsText"/>
            </w:pPr>
            <w:r>
              <w:t>130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3.1.2</w:t>
            </w:r>
            <w:r w:rsidR="00EE0671" w:rsidRPr="00EE0671">
              <w:rPr>
                <w:u w:val="single"/>
              </w:rPr>
              <w:tab/>
            </w:r>
            <w:r>
              <w:rPr>
                <w:rStyle w:val="InstructionsTabelleberschrift"/>
                <w:rFonts w:ascii="Times New Roman" w:hAnsi="Times New Roman"/>
                <w:sz w:val="24"/>
              </w:rPr>
              <w:t>Posebni popravki zaradi kreditnega tveganja</w:t>
            </w:r>
          </w:p>
          <w:p w:rsidR="005643EA" w:rsidRPr="00392FFD" w:rsidRDefault="002648B0" w:rsidP="00FD239F">
            <w:pPr>
              <w:pStyle w:val="InstructionsText"/>
            </w:pPr>
            <w:r>
              <w:t>Člen 159 CRR.</w:t>
            </w:r>
          </w:p>
          <w:p w:rsidR="005643EA" w:rsidRPr="00392FFD" w:rsidRDefault="002648B0" w:rsidP="00FD239F">
            <w:pPr>
              <w:pStyle w:val="InstructionsText"/>
            </w:pPr>
            <w:r>
              <w:t>To postavko poročajo le institucije, ki uporabljajo pristop IRB.</w:t>
            </w:r>
          </w:p>
        </w:tc>
      </w:tr>
      <w:tr w:rsidR="002648B0" w:rsidRPr="00392FFD" w:rsidTr="00672D2A">
        <w:tc>
          <w:tcPr>
            <w:tcW w:w="1506" w:type="dxa"/>
          </w:tcPr>
          <w:p w:rsidR="002648B0" w:rsidRPr="00392FFD" w:rsidRDefault="002648B0" w:rsidP="00FD239F">
            <w:pPr>
              <w:pStyle w:val="InstructionsText"/>
            </w:pPr>
            <w:r>
              <w:t>131</w:t>
            </w:r>
          </w:p>
          <w:p w:rsidR="005643EA" w:rsidRPr="00392FFD" w:rsidRDefault="005643EA" w:rsidP="00FD239F">
            <w:pPr>
              <w:pStyle w:val="InstructionsText"/>
            </w:pPr>
          </w:p>
        </w:tc>
        <w:tc>
          <w:tcPr>
            <w:tcW w:w="7243"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rsidR="00EE0671" w:rsidRPr="00EE0671">
              <w:rPr>
                <w:u w:val="single"/>
              </w:rPr>
              <w:tab/>
            </w:r>
            <w:r>
              <w:rPr>
                <w:rStyle w:val="InstructionsTabelleberschrift"/>
                <w:rFonts w:ascii="Times New Roman" w:hAnsi="Times New Roman"/>
                <w:sz w:val="24"/>
              </w:rPr>
              <w:t>Dodatne prilagoditve vrednosti in druga zmanjšanja kapitala</w:t>
            </w:r>
          </w:p>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Členi 34, 110 in 159 CRR.</w:t>
            </w:r>
          </w:p>
          <w:p w:rsidR="005643EA" w:rsidRPr="00201704" w:rsidRDefault="002648B0" w:rsidP="00FD239F">
            <w:pPr>
              <w:pStyle w:val="InstructionsText"/>
              <w:rPr>
                <w:rStyle w:val="InstructionsTabelleberschrift"/>
                <w:rFonts w:ascii="Times New Roman" w:hAnsi="Times New Roman"/>
                <w:b w:val="0"/>
                <w:bCs w:val="0"/>
                <w:sz w:val="24"/>
                <w:u w:val="none"/>
              </w:rPr>
            </w:pPr>
            <w:r>
              <w:t>To postavko poročajo le institucije, ki uporabljajo pristop IRB.</w:t>
            </w:r>
          </w:p>
        </w:tc>
      </w:tr>
      <w:tr w:rsidR="002648B0" w:rsidRPr="00392FFD" w:rsidTr="00672D2A">
        <w:tc>
          <w:tcPr>
            <w:tcW w:w="1506" w:type="dxa"/>
          </w:tcPr>
          <w:p w:rsidR="002648B0" w:rsidRPr="00392FFD" w:rsidRDefault="002648B0" w:rsidP="00FD239F">
            <w:pPr>
              <w:pStyle w:val="InstructionsText"/>
            </w:pPr>
            <w:r>
              <w:t>140</w:t>
            </w:r>
          </w:p>
        </w:tc>
        <w:tc>
          <w:tcPr>
            <w:tcW w:w="7243" w:type="dxa"/>
          </w:tcPr>
          <w:p w:rsidR="005643EA" w:rsidRPr="00392FFD" w:rsidRDefault="002648B0" w:rsidP="00FD239F">
            <w:pPr>
              <w:pStyle w:val="InstructionsText"/>
            </w:pPr>
            <w:r>
              <w:rPr>
                <w:rStyle w:val="InstructionsTabelleberschrift"/>
                <w:rFonts w:ascii="Times New Roman" w:hAnsi="Times New Roman"/>
                <w:sz w:val="24"/>
              </w:rPr>
              <w:t>3.2</w:t>
            </w:r>
            <w:r w:rsidR="00EE0671" w:rsidRPr="00EE0671">
              <w:rPr>
                <w:u w:val="single"/>
              </w:rPr>
              <w:tab/>
            </w:r>
            <w:r>
              <w:rPr>
                <w:rStyle w:val="InstructionsTabelleberschrift"/>
                <w:rFonts w:ascii="Times New Roman" w:hAnsi="Times New Roman"/>
                <w:sz w:val="24"/>
              </w:rPr>
              <w:t xml:space="preserve">Skupaj izračunane pričakovane izgube </w:t>
            </w:r>
          </w:p>
          <w:p w:rsidR="005643EA" w:rsidRPr="00392FFD" w:rsidRDefault="002648B0" w:rsidP="00FD239F">
            <w:pPr>
              <w:pStyle w:val="InstructionsText"/>
            </w:pPr>
            <w:r>
              <w:t>Člen 158(5), (6) in (10) ter člen 159 CRR.</w:t>
            </w:r>
          </w:p>
          <w:p w:rsidR="005643EA" w:rsidRPr="00392FFD" w:rsidRDefault="00F11185" w:rsidP="00FD239F">
            <w:pPr>
              <w:pStyle w:val="InstructionsText"/>
            </w:pPr>
            <w:r>
              <w:t>To postavko poročajo le institucije, ki uporabljajo pristop IRB. Poroča se le pričakovana izguba, povezana z izpostavljenostmi, ki niso neplačane.</w:t>
            </w:r>
          </w:p>
        </w:tc>
      </w:tr>
      <w:tr w:rsidR="00F11185" w:rsidRPr="00392FFD" w:rsidTr="00672D2A">
        <w:tc>
          <w:tcPr>
            <w:tcW w:w="1506" w:type="dxa"/>
          </w:tcPr>
          <w:p w:rsidR="00F11185" w:rsidRPr="00392FFD" w:rsidRDefault="00F11185" w:rsidP="00FD239F">
            <w:pPr>
              <w:pStyle w:val="InstructionsText"/>
            </w:pPr>
            <w:r>
              <w:t>145</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 Presežek (+) ali primanjkljaj (–) posebnih popravkov zaradi kred</w:t>
            </w:r>
            <w:r>
              <w:rPr>
                <w:rStyle w:val="InstructionsTabelleberschrift"/>
                <w:rFonts w:ascii="Times New Roman" w:hAnsi="Times New Roman"/>
                <w:sz w:val="24"/>
              </w:rPr>
              <w:t>i</w:t>
            </w:r>
            <w:r>
              <w:rPr>
                <w:rStyle w:val="InstructionsTabelleberschrift"/>
                <w:rFonts w:ascii="Times New Roman" w:hAnsi="Times New Roman"/>
                <w:sz w:val="24"/>
              </w:rPr>
              <w:t>tnega tveganja na pričakovane izgube za neplačane izpostavljenosti, izračunan po pristopu IRB</w:t>
            </w:r>
          </w:p>
          <w:p w:rsidR="005643EA" w:rsidRPr="00392FFD" w:rsidRDefault="00630711" w:rsidP="00FD239F">
            <w:pPr>
              <w:pStyle w:val="InstructionsText"/>
            </w:pPr>
            <w:r>
              <w:t>Člen 36(1)(d), člen 62(d) ter člena 158 in 159 CRR.</w:t>
            </w:r>
          </w:p>
          <w:p w:rsidR="005643EA" w:rsidRPr="00201704" w:rsidRDefault="00630711" w:rsidP="00FD239F">
            <w:pPr>
              <w:pStyle w:val="InstructionsText"/>
              <w:rPr>
                <w:rStyle w:val="InstructionsTabelleberschrift"/>
                <w:rFonts w:ascii="Times New Roman" w:hAnsi="Times New Roman"/>
                <w:b w:val="0"/>
                <w:bCs w:val="0"/>
                <w:sz w:val="24"/>
                <w:u w:val="none"/>
              </w:rPr>
            </w:pPr>
            <w:r>
              <w:t>To postavko poročajo le institucije, ki uporabljajo pristop IRB.</w:t>
            </w:r>
          </w:p>
        </w:tc>
      </w:tr>
      <w:tr w:rsidR="00F11185" w:rsidRPr="00392FFD" w:rsidTr="00672D2A">
        <w:tc>
          <w:tcPr>
            <w:tcW w:w="1506" w:type="dxa"/>
          </w:tcPr>
          <w:p w:rsidR="00F11185" w:rsidRPr="00392FFD" w:rsidRDefault="00F11185" w:rsidP="00FD239F">
            <w:pPr>
              <w:pStyle w:val="InstructionsText"/>
            </w:pPr>
            <w:r>
              <w:t>150</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rsidR="00EE0671" w:rsidRPr="00EE0671">
              <w:rPr>
                <w:u w:val="single"/>
              </w:rPr>
              <w:tab/>
            </w:r>
            <w:r>
              <w:rPr>
                <w:rStyle w:val="InstructionsTabelleberschrift"/>
                <w:rFonts w:ascii="Times New Roman" w:hAnsi="Times New Roman"/>
                <w:sz w:val="24"/>
              </w:rPr>
              <w:t>Posebni popravki zaradi kreditnega tveganja in pozicije, ki so obravnavane podobno</w:t>
            </w:r>
          </w:p>
          <w:p w:rsidR="005643EA" w:rsidRPr="00392FFD" w:rsidRDefault="00630711" w:rsidP="00FD239F">
            <w:pPr>
              <w:pStyle w:val="InstructionsText"/>
            </w:pPr>
            <w:r>
              <w:t>Člen 159 CRR.</w:t>
            </w:r>
          </w:p>
          <w:p w:rsidR="005643EA" w:rsidRPr="00201704" w:rsidRDefault="00630711" w:rsidP="00FD239F">
            <w:pPr>
              <w:pStyle w:val="InstructionsText"/>
              <w:rPr>
                <w:rStyle w:val="InstructionsTabelleberschrift"/>
                <w:rFonts w:ascii="Times New Roman" w:hAnsi="Times New Roman"/>
                <w:b w:val="0"/>
                <w:bCs w:val="0"/>
                <w:sz w:val="24"/>
                <w:u w:val="none"/>
              </w:rPr>
            </w:pPr>
            <w:r>
              <w:t>To postavko poročajo le institucije, ki uporabljajo pristop IRB.</w:t>
            </w:r>
          </w:p>
        </w:tc>
      </w:tr>
      <w:tr w:rsidR="00F11185" w:rsidRPr="00392FFD" w:rsidTr="00672D2A">
        <w:tc>
          <w:tcPr>
            <w:tcW w:w="1506" w:type="dxa"/>
          </w:tcPr>
          <w:p w:rsidR="00F11185" w:rsidRPr="00392FFD" w:rsidRDefault="00F11185" w:rsidP="00FD239F">
            <w:pPr>
              <w:pStyle w:val="InstructionsText"/>
            </w:pPr>
            <w:r>
              <w:t>155</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rsidR="00EE0671" w:rsidRPr="00EE0671">
              <w:rPr>
                <w:u w:val="single"/>
              </w:rPr>
              <w:tab/>
            </w:r>
            <w:r>
              <w:rPr>
                <w:rStyle w:val="InstructionsTabelleberschrift"/>
                <w:rFonts w:ascii="Times New Roman" w:hAnsi="Times New Roman"/>
                <w:sz w:val="24"/>
              </w:rPr>
              <w:t>Skupaj izračunane pričakovane izgube</w:t>
            </w:r>
          </w:p>
          <w:p w:rsidR="005643EA" w:rsidRPr="00392FFD" w:rsidRDefault="00630711" w:rsidP="00FD239F">
            <w:pPr>
              <w:pStyle w:val="InstructionsText"/>
              <w:rPr>
                <w:rStyle w:val="InstructionsTabelleberschrift"/>
                <w:rFonts w:ascii="Times New Roman" w:hAnsi="Times New Roman"/>
                <w:sz w:val="24"/>
              </w:rPr>
            </w:pPr>
            <w:r>
              <w:t>Člen 158(5), (6) in (10) ter člen 159 CRR.</w:t>
            </w:r>
          </w:p>
          <w:p w:rsidR="005643EA" w:rsidRPr="00201704" w:rsidRDefault="00F11185" w:rsidP="00FD239F">
            <w:pPr>
              <w:pStyle w:val="InstructionsText"/>
              <w:rPr>
                <w:rStyle w:val="InstructionsTabelleberschrift"/>
                <w:rFonts w:ascii="Times New Roman" w:hAnsi="Times New Roman"/>
                <w:b w:val="0"/>
                <w:bCs w:val="0"/>
                <w:sz w:val="24"/>
                <w:u w:val="none"/>
              </w:rPr>
            </w:pPr>
            <w:r>
              <w:t>To postavko poročajo le institucije, ki uporabljajo pristop IRB. Poroča se le pričakovana izguba, povezana z neplačanimi izpostavljenostmi.</w:t>
            </w:r>
          </w:p>
        </w:tc>
      </w:tr>
      <w:tr w:rsidR="002648B0" w:rsidRPr="00392FFD" w:rsidTr="00672D2A">
        <w:tc>
          <w:tcPr>
            <w:tcW w:w="1506" w:type="dxa"/>
          </w:tcPr>
          <w:p w:rsidR="002648B0" w:rsidRPr="00392FFD" w:rsidRDefault="002648B0" w:rsidP="00FD239F">
            <w:pPr>
              <w:pStyle w:val="InstructionsText"/>
            </w:pPr>
            <w:r>
              <w:t>160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5</w:t>
            </w:r>
            <w:r w:rsidR="00EE0671" w:rsidRPr="00EE0671">
              <w:rPr>
                <w:u w:val="single"/>
              </w:rPr>
              <w:tab/>
            </w:r>
            <w:r>
              <w:rPr>
                <w:rStyle w:val="InstructionsTabelleberschrift"/>
                <w:rFonts w:ascii="Times New Roman" w:hAnsi="Times New Roman"/>
                <w:sz w:val="24"/>
              </w:rPr>
              <w:t>Zneski tveganju prilagojenih izpostavljenosti za izračun zgornje meje za presežek rezervacij, sprejemljivih kot dodatni kap</w:t>
            </w:r>
            <w:r>
              <w:rPr>
                <w:rStyle w:val="InstructionsTabelleberschrift"/>
                <w:rFonts w:ascii="Times New Roman" w:hAnsi="Times New Roman"/>
                <w:sz w:val="24"/>
              </w:rPr>
              <w:t>i</w:t>
            </w:r>
            <w:r>
              <w:rPr>
                <w:rStyle w:val="InstructionsTabelleberschrift"/>
                <w:rFonts w:ascii="Times New Roman" w:hAnsi="Times New Roman"/>
                <w:sz w:val="24"/>
              </w:rPr>
              <w:t>tal</w:t>
            </w:r>
          </w:p>
          <w:p w:rsidR="005643EA" w:rsidRPr="00392FFD" w:rsidRDefault="002648B0" w:rsidP="00FD239F">
            <w:pPr>
              <w:pStyle w:val="InstructionsText"/>
            </w:pPr>
            <w:r>
              <w:t>Člen 62(d) CRR.</w:t>
            </w:r>
          </w:p>
          <w:p w:rsidR="005643EA" w:rsidRPr="00392FFD" w:rsidRDefault="002648B0" w:rsidP="00FD239F">
            <w:pPr>
              <w:pStyle w:val="InstructionsText"/>
            </w:pPr>
            <w:r>
              <w:t>Za institucije, ki uporabljajo pristop IRB, je v skladu s členom 62(d) CRR presežni znesek rezervacij (za pričakovane izgube), sprejemljivih za vključitev v dodatni kapital, omejen na 0,6 % zneska tveganju pril</w:t>
            </w:r>
            <w:r>
              <w:t>a</w:t>
            </w:r>
            <w:r>
              <w:t>gojenih izpostavljenosti, izračunanih na podlagi pristopa IRB.</w:t>
            </w:r>
          </w:p>
          <w:p w:rsidR="005643EA" w:rsidRPr="00392FFD" w:rsidRDefault="002648B0" w:rsidP="00FD239F">
            <w:pPr>
              <w:pStyle w:val="InstructionsText"/>
            </w:pPr>
            <w:r>
              <w:t xml:space="preserve">Znesek, ki se sporoči v tej postavki, je znesek tveganju prilagojenih izpostavljenosti (kar pomeni, da ni pomnožen z 0,6 %) in je osnova za </w:t>
            </w:r>
            <w:r>
              <w:lastRenderedPageBreak/>
              <w:t>izračun omejitve.</w:t>
            </w:r>
          </w:p>
        </w:tc>
      </w:tr>
      <w:tr w:rsidR="002648B0" w:rsidRPr="00392FFD" w:rsidTr="00672D2A">
        <w:tc>
          <w:tcPr>
            <w:tcW w:w="1506" w:type="dxa"/>
          </w:tcPr>
          <w:p w:rsidR="002648B0" w:rsidRPr="00392FFD" w:rsidRDefault="002648B0" w:rsidP="00FD239F">
            <w:pPr>
              <w:pStyle w:val="InstructionsText"/>
            </w:pPr>
            <w:r>
              <w:lastRenderedPageBreak/>
              <w:t>170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6</w:t>
            </w:r>
            <w:r w:rsidR="00EE0671" w:rsidRPr="00EE0671">
              <w:rPr>
                <w:u w:val="single"/>
              </w:rPr>
              <w:tab/>
            </w:r>
            <w:r>
              <w:rPr>
                <w:rStyle w:val="InstructionsTabelleberschrift"/>
                <w:rFonts w:ascii="Times New Roman" w:hAnsi="Times New Roman"/>
                <w:sz w:val="24"/>
              </w:rPr>
              <w:t>Skupaj bruto rezervacije, sprejemljive za vključitev v doda</w:t>
            </w:r>
            <w:r>
              <w:rPr>
                <w:rStyle w:val="InstructionsTabelleberschrift"/>
                <w:rFonts w:ascii="Times New Roman" w:hAnsi="Times New Roman"/>
                <w:sz w:val="24"/>
              </w:rPr>
              <w:t>t</w:t>
            </w:r>
            <w:r>
              <w:rPr>
                <w:rStyle w:val="InstructionsTabelleberschrift"/>
                <w:rFonts w:ascii="Times New Roman" w:hAnsi="Times New Roman"/>
                <w:sz w:val="24"/>
              </w:rPr>
              <w:t>ni kapital</w:t>
            </w:r>
          </w:p>
          <w:p w:rsidR="005643EA" w:rsidRPr="00392FFD" w:rsidRDefault="002648B0" w:rsidP="00FD239F">
            <w:pPr>
              <w:pStyle w:val="InstructionsText"/>
            </w:pPr>
            <w:r>
              <w:t>Člen 62(c) CRR.</w:t>
            </w:r>
          </w:p>
          <w:p w:rsidR="005643EA" w:rsidRPr="00392FFD" w:rsidRDefault="002648B0" w:rsidP="00FD239F">
            <w:pPr>
              <w:pStyle w:val="InstructionsText"/>
            </w:pPr>
            <w:r>
              <w:t>Ta postavka vključuje splošne popravke zaradi kreditnega tveganja, ki so sprejemljivi za vključitev v dodatni kapital, pred uporabo zgornje meje.</w:t>
            </w:r>
          </w:p>
          <w:p w:rsidR="005643EA" w:rsidRPr="00392FFD" w:rsidRDefault="002648B0" w:rsidP="00FD239F">
            <w:pPr>
              <w:pStyle w:val="InstructionsText"/>
            </w:pPr>
            <w:r>
              <w:t>V znesku, ki se poroča, so upoštevani davčni učinki.</w:t>
            </w:r>
          </w:p>
        </w:tc>
      </w:tr>
      <w:tr w:rsidR="002648B0" w:rsidRPr="00392FFD" w:rsidTr="00672D2A">
        <w:tc>
          <w:tcPr>
            <w:tcW w:w="1506" w:type="dxa"/>
          </w:tcPr>
          <w:p w:rsidR="002648B0" w:rsidRPr="00392FFD" w:rsidRDefault="002648B0" w:rsidP="00FD239F">
            <w:pPr>
              <w:pStyle w:val="InstructionsText"/>
            </w:pPr>
            <w:r>
              <w:t>180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7</w:t>
            </w:r>
            <w:r w:rsidR="00EE0671" w:rsidRPr="00EE0671">
              <w:rPr>
                <w:u w:val="single"/>
              </w:rPr>
              <w:tab/>
            </w:r>
            <w:r>
              <w:rPr>
                <w:rStyle w:val="InstructionsTabelleberschrift"/>
                <w:rFonts w:ascii="Times New Roman" w:hAnsi="Times New Roman"/>
                <w:sz w:val="24"/>
              </w:rPr>
              <w:t>Zneski tveganju prilagojenih izpostavljenosti za izračun zgornje meje za rezervacije, sprejemljive kot dodatni kapital</w:t>
            </w:r>
          </w:p>
          <w:p w:rsidR="005643EA" w:rsidRPr="00392FFD" w:rsidRDefault="002648B0" w:rsidP="00FD239F">
            <w:pPr>
              <w:pStyle w:val="InstructionsText"/>
            </w:pPr>
            <w:r>
              <w:t>Člen 62(c) CRR.</w:t>
            </w:r>
          </w:p>
          <w:p w:rsidR="005643EA" w:rsidRPr="00392FFD" w:rsidRDefault="002648B0" w:rsidP="00FD239F">
            <w:pPr>
              <w:pStyle w:val="InstructionsText"/>
            </w:pPr>
            <w:r>
              <w:t>V skladu s členom 62(c) CRR so popravki zaradi kreditnega tveganja, sprejemljivi za vključitev v dodatni kapital, omejeni na 1,25 % zneska tveganju prilagojenih izpostavljenosti.</w:t>
            </w:r>
          </w:p>
          <w:p w:rsidR="005643EA" w:rsidRPr="00392FFD" w:rsidRDefault="002648B0" w:rsidP="00FD239F">
            <w:pPr>
              <w:pStyle w:val="InstructionsText"/>
            </w:pPr>
            <w:r>
              <w:t>Znesek, ki se sporoči v tej postavki, je znesek tveganju prilagojenih izpostavljenosti (kar pomeni, da ni pomnožen z 1,25 %) in je osnova za izračun omejitve.</w:t>
            </w:r>
          </w:p>
        </w:tc>
      </w:tr>
      <w:tr w:rsidR="002648B0" w:rsidRPr="00392FFD" w:rsidTr="00672D2A">
        <w:tc>
          <w:tcPr>
            <w:tcW w:w="1506" w:type="dxa"/>
          </w:tcPr>
          <w:p w:rsidR="002648B0" w:rsidRPr="00392FFD" w:rsidRDefault="002648B0" w:rsidP="00FD239F">
            <w:pPr>
              <w:pStyle w:val="InstructionsText"/>
            </w:pPr>
            <w:r>
              <w:t>190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8</w:t>
            </w:r>
            <w:r w:rsidR="00EE0671" w:rsidRPr="00EE0671">
              <w:rPr>
                <w:u w:val="single"/>
              </w:rPr>
              <w:tab/>
            </w:r>
            <w:r>
              <w:rPr>
                <w:rStyle w:val="InstructionsTabelleberschrift"/>
                <w:rFonts w:ascii="Times New Roman" w:hAnsi="Times New Roman"/>
                <w:sz w:val="24"/>
              </w:rPr>
              <w:t xml:space="preserve">Prag za </w:t>
            </w:r>
            <w:proofErr w:type="spellStart"/>
            <w:r>
              <w:rPr>
                <w:rStyle w:val="InstructionsTabelleberschrift"/>
                <w:rFonts w:ascii="Times New Roman" w:hAnsi="Times New Roman"/>
                <w:sz w:val="24"/>
              </w:rPr>
              <w:t>neodbite</w:t>
            </w:r>
            <w:proofErr w:type="spellEnd"/>
            <w:r>
              <w:rPr>
                <w:rStyle w:val="InstructionsTabelleberschrift"/>
                <w:rFonts w:ascii="Times New Roman" w:hAnsi="Times New Roman"/>
                <w:sz w:val="24"/>
              </w:rPr>
              <w:t xml:space="preserve"> deleže v subjektih finančnega sektorja, v katerih institucija nima pomembne naložbe</w:t>
            </w:r>
          </w:p>
          <w:p w:rsidR="005643EA" w:rsidRPr="00392FFD" w:rsidRDefault="002648B0" w:rsidP="00FD239F">
            <w:pPr>
              <w:pStyle w:val="InstructionsText"/>
            </w:pPr>
            <w:r>
              <w:t>Člen 46(1)(a) CRR.</w:t>
            </w:r>
          </w:p>
          <w:p w:rsidR="005643EA" w:rsidRPr="00392FFD" w:rsidRDefault="002648B0" w:rsidP="00FD239F">
            <w:pPr>
              <w:pStyle w:val="InstructionsText"/>
            </w:pPr>
            <w:r>
              <w:t>Ta postavka vključuje prag, do katerega se deleži v subjektih finančnega sektorja, v katerih institucija nima pomembne naložbe, ne odbijejo. Zn</w:t>
            </w:r>
            <w:r>
              <w:t>e</w:t>
            </w:r>
            <w:r>
              <w:t>sek se izračuna s seštetjem vseh postavk, ki so osnova praga, tako do</w:t>
            </w:r>
            <w:r>
              <w:t>b</w:t>
            </w:r>
            <w:r>
              <w:t>ljena vsota pa se nato zmnoži z 10 %.</w:t>
            </w:r>
          </w:p>
        </w:tc>
      </w:tr>
      <w:tr w:rsidR="002648B0" w:rsidRPr="00392FFD" w:rsidTr="00672D2A">
        <w:tc>
          <w:tcPr>
            <w:tcW w:w="1506" w:type="dxa"/>
          </w:tcPr>
          <w:p w:rsidR="002648B0" w:rsidRPr="00392FFD" w:rsidRDefault="002648B0" w:rsidP="00FD239F">
            <w:pPr>
              <w:pStyle w:val="InstructionsText"/>
            </w:pPr>
            <w:r>
              <w:t>200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9</w:t>
            </w:r>
            <w:r w:rsidR="00EE0671" w:rsidRPr="00EE0671">
              <w:rPr>
                <w:u w:val="single"/>
              </w:rPr>
              <w:tab/>
            </w:r>
            <w:r>
              <w:rPr>
                <w:rStyle w:val="InstructionsTabelleberschrift"/>
                <w:rFonts w:ascii="Times New Roman" w:hAnsi="Times New Roman"/>
                <w:sz w:val="24"/>
              </w:rPr>
              <w:t xml:space="preserve">10-odstotni prag navadnega lastniškega temeljnega kapitala </w:t>
            </w:r>
          </w:p>
          <w:p w:rsidR="005643EA" w:rsidRPr="00392FFD" w:rsidRDefault="002648B0" w:rsidP="00FD239F">
            <w:pPr>
              <w:pStyle w:val="InstructionsText"/>
            </w:pPr>
            <w:r>
              <w:t>Člen 48(1)(a) in (b) CRR.</w:t>
            </w:r>
          </w:p>
          <w:p w:rsidR="005643EA" w:rsidRPr="00392FFD" w:rsidRDefault="002648B0" w:rsidP="00FD239F">
            <w:pPr>
              <w:pStyle w:val="InstructionsText"/>
            </w:pPr>
            <w:r>
              <w:t>Postavka vključuje prag 10 % za deleže v subjektih finančnega sektorja, v katerih ima institucija pomembno naložbo, ter za odložene terjatve za davek, ki se nanašajo na prihodnji dobiček in izhajajo iz začasnih razlik.</w:t>
            </w:r>
          </w:p>
          <w:p w:rsidR="005643EA" w:rsidRPr="00392FFD" w:rsidRDefault="003C7853" w:rsidP="00FD239F">
            <w:pPr>
              <w:pStyle w:val="InstructionsText"/>
            </w:pPr>
            <w:r>
              <w:t>Znesek se izračuna s seštetjem vseh postavk, ki so osnova praga, tako dobljena vsota pa se nato zmnoži z 10 %.</w:t>
            </w:r>
          </w:p>
        </w:tc>
      </w:tr>
      <w:tr w:rsidR="002648B0" w:rsidRPr="00392FFD" w:rsidTr="00672D2A">
        <w:tc>
          <w:tcPr>
            <w:tcW w:w="1506" w:type="dxa"/>
          </w:tcPr>
          <w:p w:rsidR="002648B0" w:rsidRPr="00392FFD" w:rsidRDefault="002648B0" w:rsidP="00FD239F">
            <w:pPr>
              <w:pStyle w:val="InstructionsText"/>
            </w:pPr>
            <w:r>
              <w:t>210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10</w:t>
            </w:r>
            <w:r w:rsidR="00EE0671" w:rsidRPr="00EE0671">
              <w:rPr>
                <w:u w:val="single"/>
              </w:rPr>
              <w:tab/>
            </w:r>
            <w:r>
              <w:rPr>
                <w:rStyle w:val="InstructionsTabelleberschrift"/>
                <w:rFonts w:ascii="Times New Roman" w:hAnsi="Times New Roman"/>
                <w:sz w:val="24"/>
              </w:rPr>
              <w:t>17,65-odstotni prag navadnega lastniškega temeljnega kap</w:t>
            </w:r>
            <w:r>
              <w:rPr>
                <w:rStyle w:val="InstructionsTabelleberschrift"/>
                <w:rFonts w:ascii="Times New Roman" w:hAnsi="Times New Roman"/>
                <w:sz w:val="24"/>
              </w:rPr>
              <w:t>i</w:t>
            </w:r>
            <w:r>
              <w:rPr>
                <w:rStyle w:val="InstructionsTabelleberschrift"/>
                <w:rFonts w:ascii="Times New Roman" w:hAnsi="Times New Roman"/>
                <w:sz w:val="24"/>
              </w:rPr>
              <w:t xml:space="preserve">tala </w:t>
            </w:r>
          </w:p>
          <w:p w:rsidR="005643EA" w:rsidRPr="00392FFD" w:rsidRDefault="002648B0" w:rsidP="00FD239F">
            <w:pPr>
              <w:pStyle w:val="InstructionsText"/>
            </w:pPr>
            <w:r>
              <w:t>Člen 48(1) CRR.</w:t>
            </w:r>
          </w:p>
          <w:p w:rsidR="005643EA" w:rsidRPr="00392FFD" w:rsidRDefault="002648B0" w:rsidP="00FD239F">
            <w:pPr>
              <w:pStyle w:val="InstructionsText"/>
            </w:pPr>
            <w:r>
              <w:t>Postavka vključuje prag 17,65 % za deleže v subjektih finančnega se</w:t>
            </w:r>
            <w:r>
              <w:t>k</w:t>
            </w:r>
            <w:r>
              <w:t>torja, v katerih ima institucija pomembno naložbo, ter za odložene terj</w:t>
            </w:r>
            <w:r>
              <w:t>a</w:t>
            </w:r>
            <w:r>
              <w:t>tve za davek, ki se nanašajo na prihodnji dobiček in izhajajo iz začasnih razlik, ki se uporabi po 10-odstotnem pragu.</w:t>
            </w:r>
          </w:p>
          <w:p w:rsidR="005643EA" w:rsidRPr="00392FFD" w:rsidRDefault="002648B0" w:rsidP="00FD239F">
            <w:pPr>
              <w:pStyle w:val="InstructionsText"/>
            </w:pPr>
            <w:r>
              <w:t>Prag se izračuna tako, da pripoznani znesek obeh postavk ne sme preseči 15 % končnega navadnega lastniškega temeljnega kapitala, tj. navadnega lastniškega temeljnega kapitala, ki se izračuna po vseh odbitkih in ne vključuje prilagoditev zaradi prehodnih določb.</w:t>
            </w:r>
          </w:p>
        </w:tc>
      </w:tr>
      <w:tr w:rsidR="00216D67" w:rsidRPr="00392FFD" w:rsidTr="00672D2A">
        <w:tc>
          <w:tcPr>
            <w:tcW w:w="1506" w:type="dxa"/>
          </w:tcPr>
          <w:p w:rsidR="00216D67" w:rsidRPr="00392FFD" w:rsidRDefault="00216D67" w:rsidP="00FD239F">
            <w:pPr>
              <w:pStyle w:val="InstructionsText"/>
            </w:pPr>
            <w:r>
              <w:lastRenderedPageBreak/>
              <w:t>225</w:t>
            </w:r>
          </w:p>
        </w:tc>
        <w:tc>
          <w:tcPr>
            <w:tcW w:w="7243" w:type="dxa"/>
          </w:tcPr>
          <w:p w:rsidR="00216D67" w:rsidRPr="00201704"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sidR="00EE0671" w:rsidRPr="00EE0671">
              <w:rPr>
                <w:u w:val="single"/>
              </w:rPr>
              <w:tab/>
            </w:r>
            <w:r>
              <w:rPr>
                <w:rStyle w:val="InstructionsTabelleberschrift"/>
                <w:rFonts w:ascii="Times New Roman" w:hAnsi="Times New Roman"/>
                <w:sz w:val="24"/>
              </w:rPr>
              <w:t>Sprejemljiv kapital za namene kvalificiranih deležev zunaj finančnega sektorja</w:t>
            </w:r>
          </w:p>
          <w:p w:rsidR="00216D67" w:rsidRPr="00392FFD"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Člen 4(1)(71)(a) CRR.</w:t>
            </w:r>
          </w:p>
        </w:tc>
      </w:tr>
      <w:tr w:rsidR="00216D67" w:rsidRPr="00392FFD" w:rsidTr="00672D2A">
        <w:tc>
          <w:tcPr>
            <w:tcW w:w="1506" w:type="dxa"/>
          </w:tcPr>
          <w:p w:rsidR="00216D67" w:rsidRPr="00392FFD" w:rsidRDefault="00216D67" w:rsidP="00FD239F">
            <w:pPr>
              <w:pStyle w:val="InstructionsText"/>
            </w:pPr>
            <w:r>
              <w:t>226</w:t>
            </w:r>
          </w:p>
        </w:tc>
        <w:tc>
          <w:tcPr>
            <w:tcW w:w="7243" w:type="dxa"/>
          </w:tcPr>
          <w:p w:rsidR="00216D67" w:rsidRPr="00201704"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sidR="00EE0671" w:rsidRPr="00EE0671">
              <w:rPr>
                <w:u w:val="single"/>
              </w:rPr>
              <w:tab/>
            </w:r>
            <w:r>
              <w:rPr>
                <w:rStyle w:val="InstructionsTabelleberschrift"/>
                <w:rFonts w:ascii="Times New Roman" w:hAnsi="Times New Roman"/>
                <w:sz w:val="24"/>
              </w:rPr>
              <w:t>Sprejemljiv kapital za namene velikih izpostavljenosti</w:t>
            </w:r>
          </w:p>
          <w:p w:rsidR="00216D67" w:rsidRPr="00201704" w:rsidRDefault="00216D67" w:rsidP="00FD239F">
            <w:pPr>
              <w:pStyle w:val="InstructionsText"/>
              <w:rPr>
                <w:rStyle w:val="InstructionsTabelleberschrift"/>
                <w:rFonts w:ascii="Times New Roman" w:hAnsi="Times New Roman"/>
                <w:b w:val="0"/>
                <w:bCs w:val="0"/>
                <w:sz w:val="24"/>
                <w:u w:val="none"/>
              </w:rPr>
            </w:pPr>
            <w:r>
              <w:t>Člen 4(1)(71)(b) CRR.</w:t>
            </w:r>
          </w:p>
        </w:tc>
      </w:tr>
      <w:tr w:rsidR="002648B0" w:rsidRPr="00392FFD" w:rsidTr="00672D2A">
        <w:tc>
          <w:tcPr>
            <w:tcW w:w="1506" w:type="dxa"/>
          </w:tcPr>
          <w:p w:rsidR="002648B0" w:rsidRPr="00392FFD" w:rsidRDefault="002648B0" w:rsidP="00FD239F">
            <w:pPr>
              <w:pStyle w:val="InstructionsText"/>
            </w:pPr>
            <w:r>
              <w:t>230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w:t>
            </w:r>
            <w:r w:rsidR="00EE0671" w:rsidRPr="00EE0671">
              <w:rPr>
                <w:u w:val="single"/>
              </w:rPr>
              <w:tab/>
            </w:r>
            <w:r>
              <w:rPr>
                <w:rStyle w:val="InstructionsTabelleberschrift"/>
                <w:rFonts w:ascii="Times New Roman" w:hAnsi="Times New Roman"/>
                <w:sz w:val="24"/>
              </w:rPr>
              <w:t>Deleži v navadnem lastniškem temeljnem kapitalu subjektov finančnega sektorja, v katerih institucija nima pomembne naložbe, pri čemer se odštejejo kratke pozicije</w:t>
            </w:r>
          </w:p>
          <w:p w:rsidR="005643EA" w:rsidRPr="00392FFD" w:rsidRDefault="002648B0" w:rsidP="00FD239F">
            <w:pPr>
              <w:pStyle w:val="InstructionsText"/>
            </w:pPr>
            <w:r>
              <w:t>Členi 44 do 46 in 49 CRR.</w:t>
            </w:r>
          </w:p>
        </w:tc>
      </w:tr>
      <w:tr w:rsidR="002648B0" w:rsidRPr="00392FFD" w:rsidTr="00672D2A">
        <w:tc>
          <w:tcPr>
            <w:tcW w:w="1506" w:type="dxa"/>
          </w:tcPr>
          <w:p w:rsidR="002648B0" w:rsidRPr="00392FFD" w:rsidRDefault="002648B0" w:rsidP="00FD239F">
            <w:pPr>
              <w:pStyle w:val="InstructionsText"/>
            </w:pPr>
            <w:r>
              <w:t>240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12.1</w:t>
            </w:r>
            <w:r w:rsidR="00EE0671" w:rsidRPr="00EE0671">
              <w:rPr>
                <w:u w:val="single"/>
              </w:rPr>
              <w:tab/>
            </w:r>
            <w:r>
              <w:rPr>
                <w:rStyle w:val="InstructionsTabelleberschrift"/>
                <w:rFonts w:ascii="Times New Roman" w:hAnsi="Times New Roman"/>
                <w:sz w:val="24"/>
              </w:rPr>
              <w:t>Neposredni deleži v navadnem lastniškem temeljnem kapit</w:t>
            </w:r>
            <w:r>
              <w:rPr>
                <w:rStyle w:val="InstructionsTabelleberschrift"/>
                <w:rFonts w:ascii="Times New Roman" w:hAnsi="Times New Roman"/>
                <w:sz w:val="24"/>
              </w:rPr>
              <w:t>a</w:t>
            </w:r>
            <w:r>
              <w:rPr>
                <w:rStyle w:val="InstructionsTabelleberschrift"/>
                <w:rFonts w:ascii="Times New Roman" w:hAnsi="Times New Roman"/>
                <w:sz w:val="24"/>
              </w:rPr>
              <w:t>lu subjektov finančnega sektorja, v katerih institucija nima pome</w:t>
            </w:r>
            <w:r>
              <w:rPr>
                <w:rStyle w:val="InstructionsTabelleberschrift"/>
                <w:rFonts w:ascii="Times New Roman" w:hAnsi="Times New Roman"/>
                <w:sz w:val="24"/>
              </w:rPr>
              <w:t>m</w:t>
            </w:r>
            <w:r>
              <w:rPr>
                <w:rStyle w:val="InstructionsTabelleberschrift"/>
                <w:rFonts w:ascii="Times New Roman" w:hAnsi="Times New Roman"/>
                <w:sz w:val="24"/>
              </w:rPr>
              <w:t>bne naložbe</w:t>
            </w:r>
          </w:p>
          <w:p w:rsidR="005643EA" w:rsidRPr="00392FFD" w:rsidRDefault="002648B0" w:rsidP="00FD239F">
            <w:pPr>
              <w:pStyle w:val="InstructionsText"/>
            </w:pPr>
            <w:r>
              <w:t>Členi 44, 45, 46 in 49 CRR.</w:t>
            </w:r>
          </w:p>
        </w:tc>
      </w:tr>
      <w:tr w:rsidR="002648B0" w:rsidRPr="00392FFD" w:rsidTr="00672D2A">
        <w:tc>
          <w:tcPr>
            <w:tcW w:w="1506" w:type="dxa"/>
          </w:tcPr>
          <w:p w:rsidR="002648B0" w:rsidRPr="00392FFD" w:rsidRDefault="002648B0" w:rsidP="00FD239F">
            <w:pPr>
              <w:pStyle w:val="InstructionsText"/>
            </w:pPr>
            <w:r>
              <w:t>250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12.1.1</w:t>
            </w:r>
            <w:r w:rsidR="00EE0671" w:rsidRPr="00EE0671">
              <w:rPr>
                <w:u w:val="single"/>
              </w:rPr>
              <w:tab/>
            </w:r>
            <w:r>
              <w:rPr>
                <w:rStyle w:val="InstructionsTabelleberschrift"/>
                <w:rFonts w:ascii="Times New Roman" w:hAnsi="Times New Roman"/>
                <w:sz w:val="24"/>
              </w:rPr>
              <w:t>Bruto neposredni deleži v navadnem lastniškem temeljnem kapitalu subjektov finančnega sektorja, v katerih institucija nima pomembne naložbe</w:t>
            </w:r>
          </w:p>
          <w:p w:rsidR="005643EA" w:rsidRPr="00392FFD" w:rsidRDefault="002648B0" w:rsidP="00FD239F">
            <w:pPr>
              <w:pStyle w:val="InstructionsText"/>
            </w:pPr>
            <w:r>
              <w:t>Členi 44, 46 in 49 CRR.</w:t>
            </w:r>
          </w:p>
          <w:p w:rsidR="005643EA" w:rsidRPr="00392FFD" w:rsidRDefault="002648B0" w:rsidP="00FD239F">
            <w:pPr>
              <w:pStyle w:val="InstructionsText"/>
            </w:pPr>
            <w:r>
              <w:t>Neposredni deleži v navadnem lastniškem temeljnem kapitalu subjektov finančnega sektorja, v katerih institucija nima pomembne naložbe, razen:</w:t>
            </w:r>
          </w:p>
          <w:p w:rsidR="005643EA" w:rsidRPr="00392FFD" w:rsidRDefault="002648B0" w:rsidP="00FD239F">
            <w:pPr>
              <w:pStyle w:val="InstructionsText"/>
            </w:pPr>
            <w:r>
              <w:t>a)</w:t>
            </w:r>
            <w:r w:rsidR="00EE0671" w:rsidRPr="00EE0671">
              <w:tab/>
            </w:r>
            <w:r>
              <w:t xml:space="preserve">pozicij iz izvedbe prve prodaje teh instrumentov z obveznostjo odkupa, ki jih je institucija imela pet delovnih dni ali manj; </w:t>
            </w:r>
          </w:p>
          <w:p w:rsidR="005643EA" w:rsidRPr="00392FFD" w:rsidRDefault="002648B0" w:rsidP="00FD239F">
            <w:pPr>
              <w:pStyle w:val="InstructionsText"/>
            </w:pPr>
            <w:r>
              <w:t>b)</w:t>
            </w:r>
            <w:r>
              <w:tab/>
              <w:t xml:space="preserve">zneskov v zvezi z naložbami, za katere se uporablja katera koli druga možnost iz člena 49, ter </w:t>
            </w:r>
          </w:p>
          <w:p w:rsidR="005643EA" w:rsidRPr="00392FFD" w:rsidRDefault="002648B0" w:rsidP="00FD239F">
            <w:pPr>
              <w:pStyle w:val="InstructionsText"/>
            </w:pPr>
            <w:r>
              <w:t>c)</w:t>
            </w:r>
            <w:r>
              <w:tab/>
              <w:t>deležev, ki se obravnavajo kot vzajemni navzkrižni deleži v skl</w:t>
            </w:r>
            <w:r>
              <w:t>a</w:t>
            </w:r>
            <w:r>
              <w:t>du s členom 36(1)(g) CRR.</w:t>
            </w:r>
          </w:p>
        </w:tc>
      </w:tr>
      <w:tr w:rsidR="002648B0" w:rsidRPr="00392FFD" w:rsidTr="00672D2A">
        <w:tc>
          <w:tcPr>
            <w:tcW w:w="1506" w:type="dxa"/>
          </w:tcPr>
          <w:p w:rsidR="002648B0" w:rsidRPr="00392FFD" w:rsidRDefault="002648B0" w:rsidP="00FD239F">
            <w:pPr>
              <w:pStyle w:val="InstructionsText"/>
            </w:pPr>
            <w:r>
              <w:t>260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12.1.2</w:t>
            </w:r>
            <w:r w:rsidR="00EE0671" w:rsidRPr="00EE0671">
              <w:rPr>
                <w:u w:val="single"/>
              </w:rPr>
              <w:tab/>
            </w:r>
            <w:r>
              <w:rPr>
                <w:rStyle w:val="InstructionsTabelleberschrift"/>
                <w:rFonts w:ascii="Times New Roman" w:hAnsi="Times New Roman"/>
                <w:sz w:val="24"/>
              </w:rPr>
              <w:t>(–) Dovoljen pobot kratkih pozicij v zvezi z neposrednimi bruto deleži, vključenimi zgoraj</w:t>
            </w:r>
          </w:p>
          <w:p w:rsidR="005643EA" w:rsidRPr="00392FFD" w:rsidRDefault="002648B0" w:rsidP="00FD239F">
            <w:pPr>
              <w:pStyle w:val="InstructionsText"/>
            </w:pPr>
            <w:r>
              <w:t>Člen 45 CRR.</w:t>
            </w:r>
          </w:p>
          <w:p w:rsidR="005643EA" w:rsidRPr="00392FFD" w:rsidRDefault="002648B0" w:rsidP="00FD239F">
            <w:pPr>
              <w:pStyle w:val="InstructionsText"/>
            </w:pPr>
            <w:r>
              <w:t>V skladu s členom 45 CRR je dovoljen pobot kratkih pozicij v isti osn</w:t>
            </w:r>
            <w:r>
              <w:t>o</w:t>
            </w:r>
            <w:r>
              <w:t>vni izpostavljenosti, če zapadlost kratke pozicije sovpada z zapadlostjo dolge pozicije ali pa ima preostalo zapadlost vsaj eno leto.</w:t>
            </w:r>
          </w:p>
        </w:tc>
      </w:tr>
      <w:tr w:rsidR="002648B0" w:rsidRPr="00392FFD" w:rsidTr="00672D2A">
        <w:tc>
          <w:tcPr>
            <w:tcW w:w="1506" w:type="dxa"/>
          </w:tcPr>
          <w:p w:rsidR="002648B0" w:rsidRPr="00392FFD" w:rsidRDefault="002648B0" w:rsidP="00FD239F">
            <w:pPr>
              <w:pStyle w:val="InstructionsText"/>
            </w:pPr>
            <w:r>
              <w:t>270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12.2</w:t>
            </w:r>
            <w:r w:rsidR="00EE0671" w:rsidRPr="00EE0671">
              <w:rPr>
                <w:u w:val="single"/>
              </w:rPr>
              <w:tab/>
            </w:r>
            <w:r>
              <w:rPr>
                <w:rStyle w:val="InstructionsTabelleberschrift"/>
                <w:rFonts w:ascii="Times New Roman" w:hAnsi="Times New Roman"/>
                <w:sz w:val="24"/>
              </w:rPr>
              <w:t>Posredni deleži v navadnem lastniškem temeljnem kapitalu subjektov finančnega sektorja, v katerih institucija nima pomembne naložbe</w:t>
            </w:r>
          </w:p>
          <w:p w:rsidR="005643EA" w:rsidRPr="00392FFD" w:rsidRDefault="002648B0" w:rsidP="00FD239F">
            <w:pPr>
              <w:pStyle w:val="InstructionsText"/>
            </w:pPr>
            <w:r>
              <w:t>Člen 4(1)(114) ter člena 44 in 45 CRR.</w:t>
            </w:r>
          </w:p>
        </w:tc>
      </w:tr>
      <w:tr w:rsidR="002648B0" w:rsidRPr="00392FFD" w:rsidTr="00672D2A">
        <w:tc>
          <w:tcPr>
            <w:tcW w:w="1506" w:type="dxa"/>
          </w:tcPr>
          <w:p w:rsidR="002648B0" w:rsidRPr="00392FFD" w:rsidRDefault="002648B0" w:rsidP="00FD239F">
            <w:pPr>
              <w:pStyle w:val="InstructionsText"/>
            </w:pPr>
            <w:r>
              <w:t>280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12.2.1</w:t>
            </w:r>
            <w:r w:rsidR="00EE0671" w:rsidRPr="00EE0671">
              <w:rPr>
                <w:u w:val="single"/>
              </w:rPr>
              <w:tab/>
            </w:r>
            <w:r>
              <w:rPr>
                <w:rStyle w:val="InstructionsTabelleberschrift"/>
                <w:rFonts w:ascii="Times New Roman" w:hAnsi="Times New Roman"/>
                <w:sz w:val="24"/>
              </w:rPr>
              <w:t>Bruto posredni deleži v navadnem lastniškem temeljnem kapitalu subjektov finančnega sektorja, v katerih institucija nima pomembne naložbe</w:t>
            </w:r>
          </w:p>
          <w:p w:rsidR="005643EA" w:rsidRPr="00392FFD" w:rsidRDefault="002648B0" w:rsidP="00FD239F">
            <w:pPr>
              <w:pStyle w:val="InstructionsText"/>
            </w:pPr>
            <w:r>
              <w:t>Člen 4(1)(114) ter člena 44 in 45 CRR.</w:t>
            </w:r>
          </w:p>
          <w:p w:rsidR="005643EA" w:rsidRPr="00392FFD" w:rsidRDefault="002648B0" w:rsidP="00FD239F">
            <w:pPr>
              <w:pStyle w:val="InstructionsText"/>
            </w:pPr>
            <w:r>
              <w:t xml:space="preserve">Znesek, ki se poroča, je posredni delež v trgovalni knjigi v kapitalskih instrumentih subjektov finančnega sektorja v obliki deležev vrednostnih </w:t>
            </w:r>
            <w:r>
              <w:lastRenderedPageBreak/>
              <w:t>papirjev v indeksu. Pridobi se z izračunom osnovne izpostavljenosti do kapitalskih instrumentov subjektov finančnega sektorja v indeksih.</w:t>
            </w:r>
          </w:p>
          <w:p w:rsidR="005643EA" w:rsidRPr="00392FFD" w:rsidRDefault="002648B0" w:rsidP="00FD239F">
            <w:pPr>
              <w:pStyle w:val="InstructionsText"/>
            </w:pPr>
            <w:r>
              <w:t>Deleži, ki se obravnavajo kot vzajemni navzkrižni deleži v skladu s čl</w:t>
            </w:r>
            <w:r>
              <w:t>e</w:t>
            </w:r>
            <w:r>
              <w:t>nom 36(1)(g) CRR, niso vključeni.</w:t>
            </w:r>
          </w:p>
        </w:tc>
      </w:tr>
      <w:tr w:rsidR="002648B0" w:rsidRPr="00392FFD" w:rsidTr="00672D2A">
        <w:trPr>
          <w:trHeight w:val="850"/>
        </w:trPr>
        <w:tc>
          <w:tcPr>
            <w:tcW w:w="1506" w:type="dxa"/>
          </w:tcPr>
          <w:p w:rsidR="002648B0" w:rsidRPr="00392FFD" w:rsidRDefault="002648B0" w:rsidP="00FD239F">
            <w:pPr>
              <w:pStyle w:val="InstructionsText"/>
            </w:pPr>
            <w:r>
              <w:lastRenderedPageBreak/>
              <w:t>290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12.2.2</w:t>
            </w:r>
            <w:r w:rsidR="00EE0671" w:rsidRPr="00EE0671">
              <w:rPr>
                <w:u w:val="single"/>
              </w:rPr>
              <w:tab/>
            </w:r>
            <w:r>
              <w:rPr>
                <w:rStyle w:val="InstructionsTabelleberschrift"/>
                <w:rFonts w:ascii="Times New Roman" w:hAnsi="Times New Roman"/>
                <w:sz w:val="24"/>
              </w:rPr>
              <w:t>(–) Dovoljen pobot kratkih pozicij v zvezi s posrednimi bruto deleži, vključenimi zgoraj</w:t>
            </w:r>
          </w:p>
          <w:p w:rsidR="005643EA" w:rsidRPr="00392FFD" w:rsidRDefault="002648B0" w:rsidP="00FD239F">
            <w:pPr>
              <w:pStyle w:val="InstructionsText"/>
            </w:pPr>
            <w:r>
              <w:t>Člen 4(1)(114) in člen 45 CRR.</w:t>
            </w:r>
          </w:p>
          <w:p w:rsidR="005643EA" w:rsidRPr="00392FFD" w:rsidRDefault="002648B0" w:rsidP="00FD239F">
            <w:pPr>
              <w:pStyle w:val="InstructionsText"/>
            </w:pPr>
            <w:r>
              <w:t>V skladu s členom 45(a) CRR je dovoljen pobot kratkih pozicij v isti osnovni izpostavljenosti, če zapadlost kratke pozicije sovpada z zapadl</w:t>
            </w:r>
            <w:r>
              <w:t>o</w:t>
            </w:r>
            <w:r>
              <w:t>stjo dolge pozicije ali pa ima preostalo zapadlost vsaj eno leto.</w:t>
            </w:r>
          </w:p>
        </w:tc>
      </w:tr>
      <w:tr w:rsidR="002648B0" w:rsidRPr="00392FFD" w:rsidTr="00672D2A">
        <w:tc>
          <w:tcPr>
            <w:tcW w:w="1506" w:type="dxa"/>
          </w:tcPr>
          <w:p w:rsidR="002648B0" w:rsidRPr="00392FFD" w:rsidRDefault="002648B0" w:rsidP="00FD239F">
            <w:pPr>
              <w:pStyle w:val="InstructionsText"/>
            </w:pPr>
            <w:r>
              <w:t>291</w:t>
            </w:r>
          </w:p>
        </w:tc>
        <w:tc>
          <w:tcPr>
            <w:tcW w:w="7243" w:type="dxa"/>
            <w:vAlign w:val="center"/>
          </w:tcPr>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rsidR="00EE0671" w:rsidRPr="00EE0671">
              <w:rPr>
                <w:u w:val="single"/>
              </w:rPr>
              <w:tab/>
            </w:r>
            <w:r>
              <w:rPr>
                <w:rStyle w:val="InstructionsTabelleberschrift"/>
                <w:rFonts w:ascii="Times New Roman" w:hAnsi="Times New Roman"/>
                <w:sz w:val="24"/>
              </w:rPr>
              <w:t>Sintetični deleži v navadnem lastniškem temeljnem kapitalu subjektov finančnega sektorja, v katerih institucija nima pomembne naložbe</w:t>
            </w:r>
          </w:p>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4(1)(126) ter člena 44 in 45 CRR.</w:t>
            </w:r>
          </w:p>
        </w:tc>
      </w:tr>
      <w:tr w:rsidR="002648B0" w:rsidRPr="00392FFD" w:rsidTr="00672D2A">
        <w:tc>
          <w:tcPr>
            <w:tcW w:w="1506" w:type="dxa"/>
          </w:tcPr>
          <w:p w:rsidR="005643EA" w:rsidRPr="00392FFD" w:rsidRDefault="002648B0" w:rsidP="00FD239F">
            <w:pPr>
              <w:pStyle w:val="InstructionsText"/>
            </w:pPr>
            <w:r>
              <w:t>292</w:t>
            </w:r>
          </w:p>
        </w:tc>
        <w:tc>
          <w:tcPr>
            <w:tcW w:w="7243" w:type="dxa"/>
            <w:vAlign w:val="center"/>
          </w:tcPr>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rsidR="00EE0671" w:rsidRPr="00EE0671">
              <w:rPr>
                <w:u w:val="single"/>
              </w:rPr>
              <w:tab/>
            </w:r>
            <w:r>
              <w:rPr>
                <w:rStyle w:val="InstructionsTabelleberschrift"/>
                <w:rFonts w:ascii="Times New Roman" w:hAnsi="Times New Roman"/>
                <w:sz w:val="24"/>
              </w:rPr>
              <w:t>Bruto sintetični deleži v navadnem lastniškem temeljnem kapitalu subjektov finančnega sektorja, v katerih institucija nima pomembne naložbe</w:t>
            </w:r>
          </w:p>
          <w:p w:rsidR="005643EA" w:rsidRPr="00392FFD" w:rsidRDefault="0080525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4(1)(126) ter člena 44 in 45 CRR.</w:t>
            </w:r>
          </w:p>
        </w:tc>
      </w:tr>
      <w:tr w:rsidR="002648B0" w:rsidRPr="00392FFD" w:rsidTr="00672D2A">
        <w:tc>
          <w:tcPr>
            <w:tcW w:w="1506" w:type="dxa"/>
          </w:tcPr>
          <w:p w:rsidR="005643EA" w:rsidRPr="00392FFD" w:rsidRDefault="002648B0" w:rsidP="00FD239F">
            <w:pPr>
              <w:pStyle w:val="InstructionsText"/>
            </w:pPr>
            <w:r>
              <w:t>293</w:t>
            </w:r>
          </w:p>
        </w:tc>
        <w:tc>
          <w:tcPr>
            <w:tcW w:w="7243" w:type="dxa"/>
            <w:vAlign w:val="center"/>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rsidR="00EE0671" w:rsidRPr="00EE0671">
              <w:rPr>
                <w:u w:val="single"/>
              </w:rPr>
              <w:tab/>
            </w:r>
            <w:r>
              <w:rPr>
                <w:rStyle w:val="InstructionsTabelleberschrift"/>
                <w:rFonts w:ascii="Times New Roman" w:hAnsi="Times New Roman"/>
                <w:sz w:val="24"/>
              </w:rPr>
              <w:t>(–) Dovoljen pobot kratkih pozicij v zvezi s sintetičnimi bruto deleži, vključenimi zgoraj</w:t>
            </w:r>
          </w:p>
          <w:p w:rsidR="005643EA" w:rsidRPr="00392FFD" w:rsidRDefault="0080525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4(1)(126) in člen 45 CRR.</w:t>
            </w:r>
          </w:p>
        </w:tc>
      </w:tr>
      <w:tr w:rsidR="002648B0" w:rsidRPr="00392FFD" w:rsidTr="00672D2A">
        <w:tc>
          <w:tcPr>
            <w:tcW w:w="1506" w:type="dxa"/>
          </w:tcPr>
          <w:p w:rsidR="002648B0" w:rsidRPr="00392FFD" w:rsidRDefault="002648B0" w:rsidP="00FD239F">
            <w:pPr>
              <w:pStyle w:val="InstructionsText"/>
            </w:pPr>
            <w:r>
              <w:t>300</w:t>
            </w:r>
          </w:p>
        </w:tc>
        <w:tc>
          <w:tcPr>
            <w:tcW w:w="7243"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sidR="00EE0671" w:rsidRPr="00EE0671">
              <w:rPr>
                <w:u w:val="single"/>
              </w:rPr>
              <w:tab/>
            </w:r>
            <w:r>
              <w:rPr>
                <w:rStyle w:val="InstructionsTabelleberschrift"/>
                <w:rFonts w:ascii="Times New Roman" w:hAnsi="Times New Roman"/>
                <w:sz w:val="24"/>
              </w:rPr>
              <w:t>Deleži v dodatnem temeljnem kapitalu subjektov finančnega sektorja, v katerih institucija nima pomembne naložbe, pri čemer se odštejejo kratke pozicije</w:t>
            </w:r>
          </w:p>
          <w:p w:rsidR="005643EA" w:rsidRPr="00392FFD" w:rsidRDefault="002648B0" w:rsidP="00FD239F">
            <w:pPr>
              <w:pStyle w:val="InstructionsText"/>
            </w:pPr>
            <w:r>
              <w:t>Členi 58 do 60 CRR.</w:t>
            </w:r>
          </w:p>
        </w:tc>
      </w:tr>
      <w:tr w:rsidR="002648B0" w:rsidRPr="00392FFD" w:rsidTr="00672D2A">
        <w:tc>
          <w:tcPr>
            <w:tcW w:w="1506" w:type="dxa"/>
          </w:tcPr>
          <w:p w:rsidR="002648B0" w:rsidRPr="00392FFD" w:rsidRDefault="002648B0" w:rsidP="00FD239F">
            <w:pPr>
              <w:pStyle w:val="InstructionsText"/>
            </w:pPr>
            <w:r>
              <w:t>310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13.1</w:t>
            </w:r>
            <w:r w:rsidR="00EE0671" w:rsidRPr="00EE0671">
              <w:rPr>
                <w:u w:val="single"/>
              </w:rPr>
              <w:tab/>
            </w:r>
            <w:r>
              <w:rPr>
                <w:rStyle w:val="InstructionsTabelleberschrift"/>
                <w:rFonts w:ascii="Times New Roman" w:hAnsi="Times New Roman"/>
                <w:sz w:val="24"/>
              </w:rPr>
              <w:t>Neposredni deleži v dodatnem temeljnem kapitalu subjektov finančnega sektorja, v katerih institucija nima pomembne naložbe</w:t>
            </w:r>
          </w:p>
          <w:p w:rsidR="005643EA" w:rsidRPr="00392FFD" w:rsidRDefault="002648B0" w:rsidP="00FD239F">
            <w:pPr>
              <w:pStyle w:val="InstructionsText"/>
            </w:pPr>
            <w:r>
              <w:t>Člena 58 in 59 ter člen 60(2) CRR.</w:t>
            </w:r>
          </w:p>
        </w:tc>
      </w:tr>
      <w:tr w:rsidR="002648B0" w:rsidRPr="00392FFD" w:rsidTr="00672D2A">
        <w:tc>
          <w:tcPr>
            <w:tcW w:w="1506" w:type="dxa"/>
          </w:tcPr>
          <w:p w:rsidR="002648B0" w:rsidRPr="00392FFD" w:rsidRDefault="002648B0" w:rsidP="00FD239F">
            <w:pPr>
              <w:pStyle w:val="InstructionsText"/>
            </w:pPr>
            <w:r>
              <w:t>320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13.1.1</w:t>
            </w:r>
            <w:r w:rsidR="00EE0671" w:rsidRPr="00EE0671">
              <w:rPr>
                <w:u w:val="single"/>
              </w:rPr>
              <w:tab/>
            </w:r>
            <w:r>
              <w:rPr>
                <w:rStyle w:val="InstructionsTabelleberschrift"/>
                <w:rFonts w:ascii="Times New Roman" w:hAnsi="Times New Roman"/>
                <w:sz w:val="24"/>
              </w:rPr>
              <w:t>Bruto neposredni deleži v dodatnem temeljnem kapitalu su</w:t>
            </w:r>
            <w:r>
              <w:rPr>
                <w:rStyle w:val="InstructionsTabelleberschrift"/>
                <w:rFonts w:ascii="Times New Roman" w:hAnsi="Times New Roman"/>
                <w:sz w:val="24"/>
              </w:rPr>
              <w:t>b</w:t>
            </w:r>
            <w:r>
              <w:rPr>
                <w:rStyle w:val="InstructionsTabelleberschrift"/>
                <w:rFonts w:ascii="Times New Roman" w:hAnsi="Times New Roman"/>
                <w:sz w:val="24"/>
              </w:rPr>
              <w:t>jektov finančnega sektorja, v katerih institucija nima pomembne naložbe</w:t>
            </w:r>
          </w:p>
          <w:p w:rsidR="005643EA" w:rsidRPr="00392FFD" w:rsidRDefault="002648B0" w:rsidP="00FD239F">
            <w:pPr>
              <w:pStyle w:val="InstructionsText"/>
            </w:pPr>
            <w:r>
              <w:t>Člen 58 in člen 60(2) CRR.</w:t>
            </w:r>
          </w:p>
          <w:p w:rsidR="005643EA" w:rsidRPr="00392FFD" w:rsidRDefault="002648B0" w:rsidP="00FD239F">
            <w:pPr>
              <w:pStyle w:val="InstructionsText"/>
            </w:pPr>
            <w:r>
              <w:t>Neposredni deleži v dodatnem temeljnem kapitalu subjektov finančnega sektorja, v katerih institucija nima pomembne naložbe, razen:</w:t>
            </w:r>
          </w:p>
          <w:p w:rsidR="005643EA" w:rsidRPr="00392FFD" w:rsidRDefault="002648B0" w:rsidP="00FD239F">
            <w:pPr>
              <w:pStyle w:val="InstructionsText"/>
            </w:pPr>
            <w:r>
              <w:t>a)</w:t>
            </w:r>
            <w:r>
              <w:tab/>
              <w:t xml:space="preserve">pozicij iz izvedbe prve prodaje teh instrumentov z obveznostjo odkupa, ki jih je institucija imela pet delovnih dni ali manj; ter </w:t>
            </w:r>
          </w:p>
          <w:p w:rsidR="005643EA" w:rsidRPr="00392FFD" w:rsidRDefault="002648B0" w:rsidP="00FD239F">
            <w:pPr>
              <w:pStyle w:val="InstructionsText"/>
            </w:pPr>
            <w:r>
              <w:t>b)</w:t>
            </w:r>
            <w:r>
              <w:tab/>
              <w:t>deležev, ki se obravnavajo kot vzajemni navzkrižni deleži v skl</w:t>
            </w:r>
            <w:r>
              <w:t>a</w:t>
            </w:r>
            <w:r>
              <w:t>du s členom 56(b) CRR.</w:t>
            </w:r>
          </w:p>
        </w:tc>
      </w:tr>
      <w:tr w:rsidR="002648B0" w:rsidRPr="00392FFD" w:rsidTr="00672D2A">
        <w:tc>
          <w:tcPr>
            <w:tcW w:w="1506" w:type="dxa"/>
          </w:tcPr>
          <w:p w:rsidR="002648B0" w:rsidRPr="00392FFD" w:rsidRDefault="002648B0" w:rsidP="00FD239F">
            <w:pPr>
              <w:pStyle w:val="InstructionsText"/>
            </w:pPr>
            <w:r>
              <w:t>330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13.1.2</w:t>
            </w:r>
            <w:r w:rsidR="00EE0671" w:rsidRPr="00EE0671">
              <w:rPr>
                <w:u w:val="single"/>
              </w:rPr>
              <w:tab/>
            </w:r>
            <w:r>
              <w:rPr>
                <w:rStyle w:val="InstructionsTabelleberschrift"/>
                <w:rFonts w:ascii="Times New Roman" w:hAnsi="Times New Roman"/>
                <w:sz w:val="24"/>
              </w:rPr>
              <w:t>(–) Dovoljen pobot kratkih pozicij v zvezi z neposrednimi bruto deleži, vključenimi zgoraj</w:t>
            </w:r>
          </w:p>
          <w:p w:rsidR="005643EA" w:rsidRPr="00392FFD" w:rsidRDefault="002648B0" w:rsidP="00FD239F">
            <w:pPr>
              <w:pStyle w:val="InstructionsText"/>
            </w:pPr>
            <w:r>
              <w:lastRenderedPageBreak/>
              <w:t>Člen 59 CRR.</w:t>
            </w:r>
          </w:p>
          <w:p w:rsidR="005643EA" w:rsidRPr="00392FFD" w:rsidRDefault="002648B0" w:rsidP="00FD239F">
            <w:pPr>
              <w:pStyle w:val="InstructionsText"/>
            </w:pPr>
            <w:r>
              <w:t>V skladu s členom 59(a) CRR je dovoljen pobot kratkih pozicij v isti osnovni izpostavljenosti, če zapadlost kratke pozicije sovpada z zapadl</w:t>
            </w:r>
            <w:r>
              <w:t>o</w:t>
            </w:r>
            <w:r>
              <w:t>stjo dolge pozicije ali pa ima preostalo zapadlost vsaj eno leto.</w:t>
            </w:r>
          </w:p>
        </w:tc>
      </w:tr>
      <w:tr w:rsidR="002648B0" w:rsidRPr="00392FFD" w:rsidTr="00672D2A">
        <w:tc>
          <w:tcPr>
            <w:tcW w:w="1506" w:type="dxa"/>
          </w:tcPr>
          <w:p w:rsidR="002648B0" w:rsidRPr="00392FFD" w:rsidRDefault="002648B0" w:rsidP="00FD239F">
            <w:pPr>
              <w:pStyle w:val="InstructionsText"/>
            </w:pPr>
            <w:r>
              <w:lastRenderedPageBreak/>
              <w:t>340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13.2</w:t>
            </w:r>
            <w:r w:rsidR="00EE0671" w:rsidRPr="00EE0671">
              <w:rPr>
                <w:u w:val="single"/>
              </w:rPr>
              <w:tab/>
            </w:r>
            <w:r>
              <w:rPr>
                <w:rStyle w:val="InstructionsTabelleberschrift"/>
                <w:rFonts w:ascii="Times New Roman" w:hAnsi="Times New Roman"/>
                <w:sz w:val="24"/>
              </w:rPr>
              <w:t>Posredni deleži v dodatnem temeljnem kapitalu subjektov finančnega sektorja, v katerih institucija nima pomembne naložbe</w:t>
            </w:r>
          </w:p>
          <w:p w:rsidR="005643EA" w:rsidRPr="00392FFD" w:rsidRDefault="002648B0" w:rsidP="00FD239F">
            <w:pPr>
              <w:pStyle w:val="InstructionsText"/>
            </w:pPr>
            <w:r>
              <w:t>Člen 4(1)(114) ter člena 58 in 59 CRR.</w:t>
            </w:r>
          </w:p>
        </w:tc>
      </w:tr>
      <w:tr w:rsidR="002648B0" w:rsidRPr="00392FFD" w:rsidTr="00672D2A">
        <w:tc>
          <w:tcPr>
            <w:tcW w:w="1506" w:type="dxa"/>
          </w:tcPr>
          <w:p w:rsidR="002648B0" w:rsidRPr="00392FFD" w:rsidRDefault="002648B0" w:rsidP="00FD239F">
            <w:pPr>
              <w:pStyle w:val="InstructionsText"/>
            </w:pPr>
            <w:r>
              <w:t>350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13.2.1</w:t>
            </w:r>
            <w:r w:rsidR="00EE0671" w:rsidRPr="00EE0671">
              <w:rPr>
                <w:u w:val="single"/>
              </w:rPr>
              <w:tab/>
            </w:r>
            <w:r>
              <w:rPr>
                <w:rStyle w:val="InstructionsTabelleberschrift"/>
                <w:rFonts w:ascii="Times New Roman" w:hAnsi="Times New Roman"/>
                <w:sz w:val="24"/>
              </w:rPr>
              <w:t>Bruto posredni deleži v dodatnem temeljnem kapitalu subj</w:t>
            </w:r>
            <w:r>
              <w:rPr>
                <w:rStyle w:val="InstructionsTabelleberschrift"/>
                <w:rFonts w:ascii="Times New Roman" w:hAnsi="Times New Roman"/>
                <w:sz w:val="24"/>
              </w:rPr>
              <w:t>e</w:t>
            </w:r>
            <w:r>
              <w:rPr>
                <w:rStyle w:val="InstructionsTabelleberschrift"/>
                <w:rFonts w:ascii="Times New Roman" w:hAnsi="Times New Roman"/>
                <w:sz w:val="24"/>
              </w:rPr>
              <w:t>ktov finančnega sektorja, v katerih institucija nima pomembne naložbe</w:t>
            </w:r>
          </w:p>
          <w:p w:rsidR="005643EA" w:rsidRPr="00392FFD" w:rsidRDefault="002648B0" w:rsidP="00FD239F">
            <w:pPr>
              <w:pStyle w:val="InstructionsText"/>
            </w:pPr>
            <w:r>
              <w:t>Člen 4(1)(114) ter člena 58 in 59 CRR.</w:t>
            </w:r>
          </w:p>
          <w:p w:rsidR="005643EA" w:rsidRPr="00392FFD" w:rsidRDefault="002648B0" w:rsidP="00FD239F">
            <w:pPr>
              <w:pStyle w:val="InstructionsText"/>
            </w:pPr>
            <w:r>
              <w:t>Znesek, ki se poroča, je posredni delež v trgovalni knjigi v kapitalskih instrumentih subjektov finančnega sektorja v obliki deležev vrednostnih papirjev v indeksu. Pridobi se z izračunom osnovne izpostavljenosti do kapitalskih instrumentov subjektov finančnega sektorja v indeksih.</w:t>
            </w:r>
          </w:p>
          <w:p w:rsidR="005643EA" w:rsidRPr="00392FFD" w:rsidRDefault="002648B0" w:rsidP="00FD239F">
            <w:pPr>
              <w:pStyle w:val="InstructionsText"/>
            </w:pPr>
            <w:r>
              <w:t>Deleži, ki se obravnavajo kot vzajemni navzkrižni deleži v skladu s čl</w:t>
            </w:r>
            <w:r>
              <w:t>e</w:t>
            </w:r>
            <w:r>
              <w:t>nom 56(b) CRR, niso vključeni.</w:t>
            </w:r>
          </w:p>
        </w:tc>
      </w:tr>
      <w:tr w:rsidR="002648B0" w:rsidRPr="00392FFD" w:rsidTr="00672D2A">
        <w:tc>
          <w:tcPr>
            <w:tcW w:w="1506" w:type="dxa"/>
          </w:tcPr>
          <w:p w:rsidR="002648B0" w:rsidRPr="00392FFD" w:rsidRDefault="002648B0" w:rsidP="00FD239F">
            <w:pPr>
              <w:pStyle w:val="InstructionsText"/>
            </w:pPr>
            <w:r>
              <w:t>360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13.2.2</w:t>
            </w:r>
            <w:r w:rsidR="00EE0671" w:rsidRPr="00EE0671">
              <w:rPr>
                <w:u w:val="single"/>
              </w:rPr>
              <w:tab/>
            </w:r>
            <w:r>
              <w:rPr>
                <w:rStyle w:val="InstructionsTabelleberschrift"/>
                <w:rFonts w:ascii="Times New Roman" w:hAnsi="Times New Roman"/>
                <w:sz w:val="24"/>
              </w:rPr>
              <w:t>(–) Dovoljen pobot kratkih pozicij v zvezi s posrednimi bruto deleži, vključenimi zgoraj</w:t>
            </w:r>
          </w:p>
          <w:p w:rsidR="005643EA" w:rsidRPr="00392FFD" w:rsidRDefault="002648B0" w:rsidP="00FD239F">
            <w:pPr>
              <w:pStyle w:val="InstructionsText"/>
            </w:pPr>
            <w:r>
              <w:t>Člen 4(1)(114) in člen 59 CRR.</w:t>
            </w:r>
          </w:p>
          <w:p w:rsidR="005643EA" w:rsidRPr="00392FFD" w:rsidRDefault="002648B0" w:rsidP="00FD239F">
            <w:pPr>
              <w:pStyle w:val="InstructionsText"/>
            </w:pPr>
            <w:r>
              <w:t>V skladu s členom 59(a) CRR je dovoljen pobot kratkih pozicij v isti osnovni izpostavljenosti, če zapadlost kratke pozicije sovpada z zapadl</w:t>
            </w:r>
            <w:r>
              <w:t>o</w:t>
            </w:r>
            <w:r>
              <w:t>stjo dolge pozicije ali pa ima preostalo zapadlost vsaj eno leto.</w:t>
            </w:r>
          </w:p>
        </w:tc>
      </w:tr>
      <w:tr w:rsidR="002648B0" w:rsidRPr="00392FFD" w:rsidTr="00672D2A">
        <w:tc>
          <w:tcPr>
            <w:tcW w:w="1506" w:type="dxa"/>
          </w:tcPr>
          <w:p w:rsidR="002648B0" w:rsidRPr="00392FFD" w:rsidRDefault="002648B0" w:rsidP="00FD239F">
            <w:pPr>
              <w:pStyle w:val="InstructionsText"/>
            </w:pPr>
            <w:r>
              <w:t>361</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13.3</w:t>
            </w:r>
            <w:r w:rsidR="00EE0671" w:rsidRPr="00EE0671">
              <w:rPr>
                <w:u w:val="single"/>
              </w:rPr>
              <w:tab/>
            </w:r>
            <w:r>
              <w:rPr>
                <w:rStyle w:val="InstructionsTabelleberschrift"/>
                <w:rFonts w:ascii="Times New Roman" w:hAnsi="Times New Roman"/>
                <w:sz w:val="24"/>
              </w:rPr>
              <w:t>Sintetični deleži v dodatnem temeljnem kapitalu subjektov finančnega sektorja, v katerih institucija nima pomembne naložbe</w:t>
            </w:r>
          </w:p>
          <w:p w:rsidR="005643EA" w:rsidRPr="00201704" w:rsidRDefault="002648B0" w:rsidP="00FD239F">
            <w:pPr>
              <w:pStyle w:val="InstructionsText"/>
              <w:rPr>
                <w:rStyle w:val="InstructionsTabelleberschrift"/>
                <w:rFonts w:ascii="Times New Roman" w:hAnsi="Times New Roman"/>
                <w:b w:val="0"/>
                <w:bCs w:val="0"/>
                <w:sz w:val="24"/>
                <w:u w:val="none"/>
              </w:rPr>
            </w:pPr>
            <w:r>
              <w:t>Člen 4(1)(126) ter člena 58 in 59 CRR.</w:t>
            </w:r>
          </w:p>
        </w:tc>
      </w:tr>
      <w:tr w:rsidR="002648B0" w:rsidRPr="00392FFD" w:rsidTr="00672D2A">
        <w:tc>
          <w:tcPr>
            <w:tcW w:w="1506" w:type="dxa"/>
          </w:tcPr>
          <w:p w:rsidR="002648B0" w:rsidRPr="00392FFD" w:rsidRDefault="002648B0" w:rsidP="00FD239F">
            <w:pPr>
              <w:pStyle w:val="InstructionsText"/>
            </w:pPr>
            <w:r>
              <w:t>362</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13.3.1</w:t>
            </w:r>
            <w:r w:rsidR="00EE0671" w:rsidRPr="00EE0671">
              <w:rPr>
                <w:u w:val="single"/>
              </w:rPr>
              <w:tab/>
            </w:r>
            <w:r>
              <w:rPr>
                <w:rStyle w:val="InstructionsTabelleberschrift"/>
                <w:rFonts w:ascii="Times New Roman" w:hAnsi="Times New Roman"/>
                <w:sz w:val="24"/>
              </w:rPr>
              <w:t>Bruto sintetični deleži v dodatnem temeljnem kapitalu subj</w:t>
            </w:r>
            <w:r>
              <w:rPr>
                <w:rStyle w:val="InstructionsTabelleberschrift"/>
                <w:rFonts w:ascii="Times New Roman" w:hAnsi="Times New Roman"/>
                <w:sz w:val="24"/>
              </w:rPr>
              <w:t>e</w:t>
            </w:r>
            <w:r>
              <w:rPr>
                <w:rStyle w:val="InstructionsTabelleberschrift"/>
                <w:rFonts w:ascii="Times New Roman" w:hAnsi="Times New Roman"/>
                <w:sz w:val="24"/>
              </w:rPr>
              <w:t>ktov finančnega sektorja, v katerih institucija nima pomembne naložbe</w:t>
            </w:r>
          </w:p>
          <w:p w:rsidR="005643EA" w:rsidRPr="00201704" w:rsidRDefault="002648B0" w:rsidP="00FD239F">
            <w:pPr>
              <w:pStyle w:val="InstructionsText"/>
              <w:rPr>
                <w:rStyle w:val="InstructionsTabelleberschrift"/>
                <w:rFonts w:ascii="Times New Roman" w:hAnsi="Times New Roman"/>
                <w:b w:val="0"/>
                <w:bCs w:val="0"/>
                <w:sz w:val="24"/>
                <w:u w:val="none"/>
              </w:rPr>
            </w:pPr>
            <w:r>
              <w:t>Člen 4(1)(126) ter člena 58 in 59 CRR.</w:t>
            </w:r>
          </w:p>
        </w:tc>
      </w:tr>
      <w:tr w:rsidR="002648B0" w:rsidRPr="00392FFD" w:rsidTr="00672D2A">
        <w:tc>
          <w:tcPr>
            <w:tcW w:w="1506" w:type="dxa"/>
          </w:tcPr>
          <w:p w:rsidR="002648B0" w:rsidRPr="00392FFD" w:rsidRDefault="002648B0" w:rsidP="00FD239F">
            <w:pPr>
              <w:pStyle w:val="InstructionsText"/>
            </w:pPr>
            <w:r>
              <w:t>363</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13.3.2</w:t>
            </w:r>
            <w:r w:rsidR="00EE0671" w:rsidRPr="00EE0671">
              <w:rPr>
                <w:u w:val="single"/>
              </w:rPr>
              <w:tab/>
            </w:r>
            <w:r>
              <w:rPr>
                <w:rStyle w:val="InstructionsTabelleberschrift"/>
                <w:rFonts w:ascii="Times New Roman" w:hAnsi="Times New Roman"/>
                <w:sz w:val="24"/>
              </w:rPr>
              <w:t>(–) Dovoljen pobot kratkih pozicij v zvezi s sintetičnimi bruto deleži, vključenimi zgoraj</w:t>
            </w:r>
          </w:p>
          <w:p w:rsidR="005643EA" w:rsidRPr="00201704" w:rsidRDefault="002648B0" w:rsidP="00FD239F">
            <w:pPr>
              <w:pStyle w:val="InstructionsText"/>
              <w:rPr>
                <w:rStyle w:val="InstructionsTabelleberschrift"/>
                <w:rFonts w:ascii="Times New Roman" w:hAnsi="Times New Roman"/>
                <w:b w:val="0"/>
                <w:bCs w:val="0"/>
                <w:sz w:val="24"/>
                <w:u w:val="none"/>
              </w:rPr>
            </w:pPr>
            <w:r>
              <w:t>Člen 4(1)(126) in člen 59 CRR.</w:t>
            </w:r>
          </w:p>
        </w:tc>
      </w:tr>
      <w:tr w:rsidR="002648B0" w:rsidRPr="00392FFD" w:rsidTr="00672D2A">
        <w:tc>
          <w:tcPr>
            <w:tcW w:w="1506" w:type="dxa"/>
          </w:tcPr>
          <w:p w:rsidR="002648B0" w:rsidRPr="00392FFD" w:rsidRDefault="002648B0" w:rsidP="00FD239F">
            <w:pPr>
              <w:pStyle w:val="InstructionsText"/>
            </w:pPr>
            <w:r>
              <w:t>370</w:t>
            </w:r>
          </w:p>
        </w:tc>
        <w:tc>
          <w:tcPr>
            <w:tcW w:w="7243" w:type="dxa"/>
          </w:tcPr>
          <w:p w:rsidR="005643EA" w:rsidRPr="00201704" w:rsidRDefault="00C66473" w:rsidP="00FD239F">
            <w:pPr>
              <w:pStyle w:val="InstructionsText"/>
            </w:pPr>
            <w:r>
              <w:rPr>
                <w:rStyle w:val="InstructionsTabelleberschrift"/>
                <w:rFonts w:ascii="Times New Roman" w:hAnsi="Times New Roman"/>
                <w:sz w:val="24"/>
              </w:rPr>
              <w:t>1</w:t>
            </w:r>
            <w:r w:rsidR="0059042F">
              <w:rPr>
                <w:rStyle w:val="InstructionsTabelleberschrift"/>
                <w:rFonts w:ascii="Times New Roman" w:hAnsi="Times New Roman"/>
                <w:sz w:val="24"/>
              </w:rPr>
              <w:t>4</w:t>
            </w:r>
            <w:r w:rsidR="00EE0671" w:rsidRPr="00EE0671">
              <w:rPr>
                <w:rStyle w:val="InstructionsTabelleberschrift"/>
                <w:rFonts w:ascii="Times New Roman" w:hAnsi="Times New Roman"/>
                <w:sz w:val="24"/>
              </w:rPr>
              <w:tab/>
            </w:r>
            <w:r>
              <w:rPr>
                <w:rStyle w:val="InstructionsTabelleberschrift"/>
                <w:rFonts w:ascii="Times New Roman" w:hAnsi="Times New Roman"/>
                <w:sz w:val="24"/>
              </w:rPr>
              <w:t>Deleži v dodatnem kapitalu subjektov finančnega sektorja, v katerih institucija nima pomembne naložbe, pri čemer se odštejejo kratke pozicije</w:t>
            </w:r>
          </w:p>
          <w:p w:rsidR="005643EA" w:rsidRPr="00392FFD" w:rsidRDefault="002648B0" w:rsidP="00FD239F">
            <w:pPr>
              <w:pStyle w:val="InstructionsText"/>
            </w:pPr>
            <w:r>
              <w:t>Členi 68 do 70 CRR.</w:t>
            </w:r>
          </w:p>
        </w:tc>
      </w:tr>
      <w:tr w:rsidR="002648B0" w:rsidRPr="00392FFD" w:rsidTr="00672D2A">
        <w:tc>
          <w:tcPr>
            <w:tcW w:w="1506" w:type="dxa"/>
          </w:tcPr>
          <w:p w:rsidR="002648B0" w:rsidRPr="00392FFD" w:rsidRDefault="002648B0" w:rsidP="00FD239F">
            <w:pPr>
              <w:pStyle w:val="InstructionsText"/>
            </w:pPr>
            <w:r>
              <w:t>380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14.1</w:t>
            </w:r>
            <w:r w:rsidR="00EE0671" w:rsidRPr="00EE0671">
              <w:rPr>
                <w:u w:val="single"/>
              </w:rPr>
              <w:tab/>
            </w:r>
            <w:r>
              <w:rPr>
                <w:rStyle w:val="InstructionsTabelleberschrift"/>
                <w:rFonts w:ascii="Times New Roman" w:hAnsi="Times New Roman"/>
                <w:sz w:val="24"/>
              </w:rPr>
              <w:t>Neposredni deleži v dodatnem kapitalu subjektov finančnega sektorja, v katerih institucija nima pomembne naložbe</w:t>
            </w:r>
          </w:p>
          <w:p w:rsidR="005643EA" w:rsidRPr="00392FFD" w:rsidRDefault="002648B0" w:rsidP="00FD239F">
            <w:pPr>
              <w:pStyle w:val="InstructionsText"/>
            </w:pPr>
            <w:r>
              <w:t>Člena 68 in 69 ter člen 70(2) CRR.</w:t>
            </w:r>
          </w:p>
        </w:tc>
      </w:tr>
      <w:tr w:rsidR="002648B0" w:rsidRPr="00392FFD" w:rsidTr="00672D2A">
        <w:tc>
          <w:tcPr>
            <w:tcW w:w="1506" w:type="dxa"/>
          </w:tcPr>
          <w:p w:rsidR="002648B0" w:rsidRPr="00392FFD" w:rsidRDefault="002648B0" w:rsidP="00FD239F">
            <w:pPr>
              <w:pStyle w:val="InstructionsText"/>
            </w:pPr>
            <w:r>
              <w:lastRenderedPageBreak/>
              <w:t>390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14.1.1</w:t>
            </w:r>
            <w:r w:rsidR="00EE0671" w:rsidRPr="00EE0671">
              <w:rPr>
                <w:u w:val="single"/>
              </w:rPr>
              <w:tab/>
            </w:r>
            <w:r>
              <w:rPr>
                <w:rStyle w:val="InstructionsTabelleberschrift"/>
                <w:rFonts w:ascii="Times New Roman" w:hAnsi="Times New Roman"/>
                <w:sz w:val="24"/>
              </w:rPr>
              <w:t>Bruto neposredni deleži v dodatnem kapitalu subjektov finančnega sektorja, v katerih institucija nima pomembne naložbe</w:t>
            </w:r>
          </w:p>
          <w:p w:rsidR="005643EA" w:rsidRPr="00392FFD" w:rsidRDefault="002648B0" w:rsidP="00FD239F">
            <w:pPr>
              <w:pStyle w:val="InstructionsText"/>
            </w:pPr>
            <w:r>
              <w:t>Člen 68 in člen 70(2) CRR.</w:t>
            </w:r>
          </w:p>
          <w:p w:rsidR="005643EA" w:rsidRPr="00392FFD" w:rsidRDefault="002648B0" w:rsidP="00FD239F">
            <w:pPr>
              <w:pStyle w:val="InstructionsText"/>
            </w:pPr>
            <w:r>
              <w:t>Neposredni deleži v dodatnem kapitalu subjektov finančnega sektorja, v katerih institucija nima pomembne naložbe, razen:</w:t>
            </w:r>
          </w:p>
          <w:p w:rsidR="005643EA" w:rsidRPr="00392FFD" w:rsidRDefault="002648B0" w:rsidP="00FD239F">
            <w:pPr>
              <w:pStyle w:val="InstructionsText"/>
            </w:pPr>
            <w:r>
              <w:t>a)</w:t>
            </w:r>
            <w:r>
              <w:tab/>
              <w:t xml:space="preserve">pozicij iz izvedbe prve prodaje teh instrumentov z obveznostjo odkupa, ki jih je institucija imela pet delovnih dni ali manj; ter </w:t>
            </w:r>
          </w:p>
          <w:p w:rsidR="005643EA" w:rsidRPr="00392FFD" w:rsidRDefault="002648B0" w:rsidP="00FD239F">
            <w:pPr>
              <w:pStyle w:val="InstructionsText"/>
            </w:pPr>
            <w:r>
              <w:t>b)</w:t>
            </w:r>
            <w:r>
              <w:tab/>
              <w:t>deležev, ki se obravnavajo kot vzajemni navzkrižni deleži v skl</w:t>
            </w:r>
            <w:r>
              <w:t>a</w:t>
            </w:r>
            <w:r>
              <w:t>du s členom 66(b) CRR.</w:t>
            </w:r>
          </w:p>
        </w:tc>
      </w:tr>
      <w:tr w:rsidR="002648B0" w:rsidRPr="00392FFD" w:rsidTr="00672D2A">
        <w:tc>
          <w:tcPr>
            <w:tcW w:w="1506" w:type="dxa"/>
          </w:tcPr>
          <w:p w:rsidR="002648B0" w:rsidRPr="00392FFD" w:rsidRDefault="002648B0" w:rsidP="00FD239F">
            <w:pPr>
              <w:pStyle w:val="InstructionsText"/>
            </w:pPr>
            <w:r>
              <w:t>400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14.1.2</w:t>
            </w:r>
            <w:r w:rsidR="00EE0671" w:rsidRPr="00EE0671">
              <w:rPr>
                <w:u w:val="single"/>
              </w:rPr>
              <w:tab/>
            </w:r>
            <w:r>
              <w:rPr>
                <w:rStyle w:val="InstructionsTabelleberschrift"/>
                <w:rFonts w:ascii="Times New Roman" w:hAnsi="Times New Roman"/>
                <w:sz w:val="24"/>
              </w:rPr>
              <w:t>(–) Dovoljen pobot kratkih pozicij v zvezi z neposrednimi bruto deleži, vključenimi zgoraj</w:t>
            </w:r>
          </w:p>
          <w:p w:rsidR="005643EA" w:rsidRPr="00392FFD" w:rsidRDefault="002648B0" w:rsidP="00FD239F">
            <w:pPr>
              <w:pStyle w:val="InstructionsText"/>
            </w:pPr>
            <w:r>
              <w:t>Člen 69 CRR.</w:t>
            </w:r>
          </w:p>
          <w:p w:rsidR="005643EA" w:rsidRPr="00392FFD" w:rsidRDefault="002648B0" w:rsidP="00FD239F">
            <w:pPr>
              <w:pStyle w:val="InstructionsText"/>
            </w:pPr>
            <w:r>
              <w:t>V skladu s členom 69(a) CRR je dovoljen pobot kratkih pozicij v isti osnovni izpostavljenosti, če zapadlost kratke pozicije sovpada z zapadl</w:t>
            </w:r>
            <w:r>
              <w:t>o</w:t>
            </w:r>
            <w:r>
              <w:t>stjo dolge pozicije ali pa ima preostalo zapadlost vsaj eno leto.</w:t>
            </w:r>
          </w:p>
        </w:tc>
      </w:tr>
      <w:tr w:rsidR="002648B0" w:rsidRPr="00392FFD" w:rsidTr="00672D2A">
        <w:tc>
          <w:tcPr>
            <w:tcW w:w="1506" w:type="dxa"/>
          </w:tcPr>
          <w:p w:rsidR="002648B0" w:rsidRPr="00392FFD" w:rsidRDefault="002648B0" w:rsidP="00FD239F">
            <w:pPr>
              <w:pStyle w:val="InstructionsText"/>
            </w:pPr>
            <w:r>
              <w:t>410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14.2</w:t>
            </w:r>
            <w:r w:rsidR="00EE0671" w:rsidRPr="00EE0671">
              <w:rPr>
                <w:u w:val="single"/>
              </w:rPr>
              <w:tab/>
            </w:r>
            <w:r>
              <w:rPr>
                <w:rStyle w:val="InstructionsTabelleberschrift"/>
                <w:rFonts w:ascii="Times New Roman" w:hAnsi="Times New Roman"/>
                <w:sz w:val="24"/>
              </w:rPr>
              <w:t>Posredni deleži v dodatnem kapitalu subjektov finančnega sektorja, v katerih institucija nima pomembne naložbe</w:t>
            </w:r>
          </w:p>
          <w:p w:rsidR="005643EA" w:rsidRPr="00392FFD" w:rsidRDefault="002648B0" w:rsidP="00FD239F">
            <w:pPr>
              <w:pStyle w:val="InstructionsText"/>
            </w:pPr>
            <w:r>
              <w:t>Člen 4(1)(114) ter člena 68 in 69 CRR.</w:t>
            </w:r>
          </w:p>
        </w:tc>
      </w:tr>
      <w:tr w:rsidR="002648B0" w:rsidRPr="00392FFD" w:rsidTr="00672D2A">
        <w:tc>
          <w:tcPr>
            <w:tcW w:w="1506" w:type="dxa"/>
          </w:tcPr>
          <w:p w:rsidR="002648B0" w:rsidRPr="00392FFD" w:rsidRDefault="002648B0" w:rsidP="00FD239F">
            <w:pPr>
              <w:pStyle w:val="InstructionsText"/>
            </w:pPr>
            <w:r>
              <w:t>420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14.2.1</w:t>
            </w:r>
            <w:r w:rsidR="00EE0671" w:rsidRPr="00EE0671">
              <w:rPr>
                <w:u w:val="single"/>
              </w:rPr>
              <w:tab/>
            </w:r>
            <w:r>
              <w:rPr>
                <w:rStyle w:val="InstructionsTabelleberschrift"/>
                <w:rFonts w:ascii="Times New Roman" w:hAnsi="Times New Roman"/>
                <w:sz w:val="24"/>
              </w:rPr>
              <w:t>Bruto posredni deleži v dodatnem kapitalu subjektov finan</w:t>
            </w:r>
            <w:r>
              <w:rPr>
                <w:rStyle w:val="InstructionsTabelleberschrift"/>
                <w:rFonts w:ascii="Times New Roman" w:hAnsi="Times New Roman"/>
                <w:sz w:val="24"/>
              </w:rPr>
              <w:t>č</w:t>
            </w:r>
            <w:r>
              <w:rPr>
                <w:rStyle w:val="InstructionsTabelleberschrift"/>
                <w:rFonts w:ascii="Times New Roman" w:hAnsi="Times New Roman"/>
                <w:sz w:val="24"/>
              </w:rPr>
              <w:t>nega sektorja, v katerih institucija nima pomembne naložbe</w:t>
            </w:r>
          </w:p>
          <w:p w:rsidR="005643EA" w:rsidRPr="00392FFD" w:rsidRDefault="002648B0" w:rsidP="00FD239F">
            <w:pPr>
              <w:pStyle w:val="InstructionsText"/>
            </w:pPr>
            <w:r>
              <w:t>Člen 4(1)(114) ter člena 68 in 69 CRR.</w:t>
            </w:r>
          </w:p>
          <w:p w:rsidR="005643EA" w:rsidRPr="00392FFD" w:rsidRDefault="002648B0" w:rsidP="00FD239F">
            <w:pPr>
              <w:pStyle w:val="InstructionsText"/>
            </w:pPr>
            <w:r>
              <w:t>Znesek, ki se poroča, je posredni delež v trgovalni knjigi v kapitalskih instrumentih subjektov finančnega sektorja v obliki deležev vrednostnih papirjev v indeksu. Pridobi se z izračunom osnovne izpostavljenosti do kapitalskih instrumentov subjektov finančnega sektorja v indeksih.</w:t>
            </w:r>
          </w:p>
          <w:p w:rsidR="005643EA" w:rsidRPr="00392FFD" w:rsidRDefault="002648B0" w:rsidP="00FD239F">
            <w:pPr>
              <w:pStyle w:val="InstructionsText"/>
            </w:pPr>
            <w:r>
              <w:t>Deleži, ki se obravnavajo kot vzajemni navzkrižni deleži v skladu s čl</w:t>
            </w:r>
            <w:r>
              <w:t>e</w:t>
            </w:r>
            <w:r>
              <w:t>nom 66(b) CRR, niso vključeni.</w:t>
            </w:r>
          </w:p>
        </w:tc>
      </w:tr>
      <w:tr w:rsidR="002648B0" w:rsidRPr="00392FFD" w:rsidTr="00672D2A">
        <w:tc>
          <w:tcPr>
            <w:tcW w:w="1506" w:type="dxa"/>
          </w:tcPr>
          <w:p w:rsidR="002648B0" w:rsidRPr="00392FFD" w:rsidRDefault="002648B0" w:rsidP="00FD239F">
            <w:pPr>
              <w:pStyle w:val="InstructionsText"/>
            </w:pPr>
            <w:r>
              <w:t>430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14.2.2</w:t>
            </w:r>
            <w:r w:rsidR="00EE0671" w:rsidRPr="00EE0671">
              <w:rPr>
                <w:u w:val="single"/>
              </w:rPr>
              <w:tab/>
            </w:r>
            <w:r>
              <w:rPr>
                <w:rStyle w:val="InstructionsTabelleberschrift"/>
                <w:rFonts w:ascii="Times New Roman" w:hAnsi="Times New Roman"/>
                <w:sz w:val="24"/>
              </w:rPr>
              <w:t>(–) Dovoljen pobot kratkih pozicij v zvezi s posrednimi bruto deleži, vključenimi zgoraj</w:t>
            </w:r>
          </w:p>
          <w:p w:rsidR="005643EA" w:rsidRPr="00392FFD" w:rsidRDefault="002648B0" w:rsidP="00FD239F">
            <w:pPr>
              <w:pStyle w:val="InstructionsText"/>
            </w:pPr>
            <w:r>
              <w:t>Člen 4(1)(114) in člen 69 CRR.</w:t>
            </w:r>
          </w:p>
          <w:p w:rsidR="005643EA" w:rsidRPr="00392FFD" w:rsidRDefault="002648B0" w:rsidP="00FD239F">
            <w:pPr>
              <w:pStyle w:val="InstructionsText"/>
            </w:pPr>
            <w:r>
              <w:t>V skladu s členom 69(a) CRR je dovoljen pobot kratkih pozicij v isti osnovni izpostavljenosti, če zapadlost kratke pozicije sovpada z zapadl</w:t>
            </w:r>
            <w:r>
              <w:t>o</w:t>
            </w:r>
            <w:r>
              <w:t>stjo dolge pozicije ali pa ima preostalo zapadlost vsaj eno leto.</w:t>
            </w:r>
          </w:p>
        </w:tc>
      </w:tr>
      <w:tr w:rsidR="00DE5A31" w:rsidRPr="00392FFD" w:rsidTr="00672D2A">
        <w:tc>
          <w:tcPr>
            <w:tcW w:w="1506" w:type="dxa"/>
          </w:tcPr>
          <w:p w:rsidR="00DE5A31" w:rsidRPr="00392FFD" w:rsidRDefault="00DE5A31" w:rsidP="00FD239F">
            <w:pPr>
              <w:pStyle w:val="InstructionsText"/>
            </w:pPr>
            <w:r>
              <w:t>431</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14.3</w:t>
            </w:r>
            <w:r w:rsidR="00EE0671" w:rsidRPr="00EE0671">
              <w:rPr>
                <w:u w:val="single"/>
              </w:rPr>
              <w:tab/>
            </w:r>
            <w:r>
              <w:rPr>
                <w:rStyle w:val="InstructionsTabelleberschrift"/>
                <w:rFonts w:ascii="Times New Roman" w:hAnsi="Times New Roman"/>
                <w:sz w:val="24"/>
              </w:rPr>
              <w:t>Sintetični deleži v dodatnem kapitalu subjektov finančnega sektorja, v katerih institucija nima pomembne naložbe</w:t>
            </w:r>
          </w:p>
          <w:p w:rsidR="005643EA" w:rsidRPr="00392FFD" w:rsidRDefault="00805255" w:rsidP="00FD239F">
            <w:pPr>
              <w:pStyle w:val="InstructionsText"/>
              <w:rPr>
                <w:rStyle w:val="InstructionsTabelleberschrift"/>
                <w:rFonts w:ascii="Times New Roman" w:hAnsi="Times New Roman"/>
                <w:sz w:val="24"/>
              </w:rPr>
            </w:pPr>
            <w:r>
              <w:t>Člen 4(1)(126) ter člena 68 in 69 CRR.</w:t>
            </w:r>
          </w:p>
        </w:tc>
      </w:tr>
      <w:tr w:rsidR="00DE5A31" w:rsidRPr="00392FFD" w:rsidTr="00672D2A">
        <w:tc>
          <w:tcPr>
            <w:tcW w:w="1506" w:type="dxa"/>
          </w:tcPr>
          <w:p w:rsidR="00DE5A31" w:rsidRPr="00392FFD" w:rsidRDefault="00DE5A31" w:rsidP="00FD239F">
            <w:pPr>
              <w:pStyle w:val="InstructionsText"/>
            </w:pPr>
            <w:r>
              <w:t>432</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14.3.1</w:t>
            </w:r>
            <w:r w:rsidR="00EE0671" w:rsidRPr="00EE0671">
              <w:rPr>
                <w:u w:val="single"/>
              </w:rPr>
              <w:tab/>
            </w:r>
            <w:r>
              <w:rPr>
                <w:rStyle w:val="InstructionsTabelleberschrift"/>
                <w:rFonts w:ascii="Times New Roman" w:hAnsi="Times New Roman"/>
                <w:sz w:val="24"/>
              </w:rPr>
              <w:t>Bruto sintetični deleži v dodatnem kapitalu subjektov finan</w:t>
            </w:r>
            <w:r>
              <w:rPr>
                <w:rStyle w:val="InstructionsTabelleberschrift"/>
                <w:rFonts w:ascii="Times New Roman" w:hAnsi="Times New Roman"/>
                <w:sz w:val="24"/>
              </w:rPr>
              <w:t>č</w:t>
            </w:r>
            <w:r>
              <w:rPr>
                <w:rStyle w:val="InstructionsTabelleberschrift"/>
                <w:rFonts w:ascii="Times New Roman" w:hAnsi="Times New Roman"/>
                <w:sz w:val="24"/>
              </w:rPr>
              <w:t>nega sektorja, v katerih institucija nima pomembne naložbe</w:t>
            </w:r>
          </w:p>
          <w:p w:rsidR="005643EA" w:rsidRPr="00201704" w:rsidRDefault="00805255" w:rsidP="00FD239F">
            <w:pPr>
              <w:pStyle w:val="InstructionsText"/>
              <w:rPr>
                <w:rStyle w:val="InstructionsTabelleberschrift"/>
                <w:rFonts w:ascii="Times New Roman" w:hAnsi="Times New Roman"/>
                <w:b w:val="0"/>
                <w:bCs w:val="0"/>
                <w:sz w:val="24"/>
                <w:u w:val="none"/>
              </w:rPr>
            </w:pPr>
            <w:r>
              <w:t>Člen 4(1)(126) ter člena 68 in 69 CRR.</w:t>
            </w:r>
          </w:p>
        </w:tc>
      </w:tr>
      <w:tr w:rsidR="00DE5A31" w:rsidRPr="00392FFD" w:rsidTr="00672D2A">
        <w:tc>
          <w:tcPr>
            <w:tcW w:w="1506" w:type="dxa"/>
          </w:tcPr>
          <w:p w:rsidR="00DE5A31" w:rsidRPr="00392FFD" w:rsidRDefault="00DE5A31" w:rsidP="00FD239F">
            <w:pPr>
              <w:pStyle w:val="InstructionsText"/>
            </w:pPr>
            <w:r>
              <w:t>433</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14.3.2</w:t>
            </w:r>
            <w:r w:rsidR="00EE0671" w:rsidRPr="00EE0671">
              <w:rPr>
                <w:u w:val="single"/>
              </w:rPr>
              <w:tab/>
            </w:r>
            <w:r>
              <w:rPr>
                <w:rStyle w:val="InstructionsTabelleberschrift"/>
                <w:rFonts w:ascii="Times New Roman" w:hAnsi="Times New Roman"/>
                <w:sz w:val="24"/>
              </w:rPr>
              <w:t xml:space="preserve">(–) Dovoljen pobot kratkih pozicij v zvezi s sintetičnimi bruto </w:t>
            </w:r>
            <w:r>
              <w:rPr>
                <w:rStyle w:val="InstructionsTabelleberschrift"/>
                <w:rFonts w:ascii="Times New Roman" w:hAnsi="Times New Roman"/>
                <w:sz w:val="24"/>
              </w:rPr>
              <w:lastRenderedPageBreak/>
              <w:t>deleži, vključenimi zgoraj</w:t>
            </w:r>
          </w:p>
          <w:p w:rsidR="005643EA" w:rsidRPr="00201704" w:rsidRDefault="00805255" w:rsidP="00FD239F">
            <w:pPr>
              <w:pStyle w:val="InstructionsText"/>
              <w:rPr>
                <w:rStyle w:val="InstructionsTabelleberschrift"/>
                <w:rFonts w:ascii="Times New Roman" w:hAnsi="Times New Roman"/>
                <w:b w:val="0"/>
                <w:bCs w:val="0"/>
                <w:sz w:val="24"/>
                <w:u w:val="none"/>
              </w:rPr>
            </w:pPr>
            <w:r>
              <w:t>Člen 4(1)(126) in člen 69 CRR.</w:t>
            </w:r>
          </w:p>
        </w:tc>
      </w:tr>
      <w:tr w:rsidR="002648B0" w:rsidRPr="00392FFD" w:rsidTr="00672D2A">
        <w:tc>
          <w:tcPr>
            <w:tcW w:w="1506" w:type="dxa"/>
          </w:tcPr>
          <w:p w:rsidR="002648B0" w:rsidRPr="00392FFD" w:rsidRDefault="002648B0" w:rsidP="00FD239F">
            <w:pPr>
              <w:pStyle w:val="InstructionsText"/>
            </w:pPr>
            <w:r>
              <w:lastRenderedPageBreak/>
              <w:t>440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w:t>
            </w:r>
            <w:r w:rsidR="00EE0671" w:rsidRPr="00EE0671">
              <w:rPr>
                <w:u w:val="single"/>
              </w:rPr>
              <w:tab/>
            </w:r>
            <w:r>
              <w:rPr>
                <w:rStyle w:val="InstructionsTabelleberschrift"/>
                <w:rFonts w:ascii="Times New Roman" w:hAnsi="Times New Roman"/>
                <w:sz w:val="24"/>
              </w:rPr>
              <w:t>Deleži v navadnem lastniškem temeljnem kapitalu subjektov finančnega sektorja, v katerih ima institucija pomembno naložbo, pri čemer se odštejejo kratke pozicije</w:t>
            </w:r>
          </w:p>
          <w:p w:rsidR="005643EA" w:rsidRPr="00392FFD" w:rsidRDefault="002648B0" w:rsidP="00FD239F">
            <w:pPr>
              <w:pStyle w:val="InstructionsText"/>
            </w:pPr>
            <w:r>
              <w:t>Členi 44, 45, 47 in 49 CRR.</w:t>
            </w:r>
          </w:p>
        </w:tc>
      </w:tr>
      <w:tr w:rsidR="002648B0" w:rsidRPr="00392FFD" w:rsidTr="00672D2A">
        <w:tc>
          <w:tcPr>
            <w:tcW w:w="1506" w:type="dxa"/>
          </w:tcPr>
          <w:p w:rsidR="002648B0" w:rsidRPr="00392FFD" w:rsidRDefault="008F54B0" w:rsidP="00FD239F">
            <w:pPr>
              <w:pStyle w:val="InstructionsText"/>
            </w:pPr>
            <w:r>
              <w:t>450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15.1</w:t>
            </w:r>
            <w:r w:rsidR="00EE0671" w:rsidRPr="00EE0671">
              <w:rPr>
                <w:u w:val="single"/>
              </w:rPr>
              <w:tab/>
            </w:r>
            <w:r>
              <w:rPr>
                <w:rStyle w:val="InstructionsTabelleberschrift"/>
                <w:rFonts w:ascii="Times New Roman" w:hAnsi="Times New Roman"/>
                <w:sz w:val="24"/>
              </w:rPr>
              <w:t>Neposredni deleži v navadnem lastniškem temeljnem kapit</w:t>
            </w:r>
            <w:r>
              <w:rPr>
                <w:rStyle w:val="InstructionsTabelleberschrift"/>
                <w:rFonts w:ascii="Times New Roman" w:hAnsi="Times New Roman"/>
                <w:sz w:val="24"/>
              </w:rPr>
              <w:t>a</w:t>
            </w:r>
            <w:r>
              <w:rPr>
                <w:rStyle w:val="InstructionsTabelleberschrift"/>
                <w:rFonts w:ascii="Times New Roman" w:hAnsi="Times New Roman"/>
                <w:sz w:val="24"/>
              </w:rPr>
              <w:t>lu subjektov finančnega sektorja, v katerih ima institucija pome</w:t>
            </w:r>
            <w:r>
              <w:rPr>
                <w:rStyle w:val="InstructionsTabelleberschrift"/>
                <w:rFonts w:ascii="Times New Roman" w:hAnsi="Times New Roman"/>
                <w:sz w:val="24"/>
              </w:rPr>
              <w:t>m</w:t>
            </w:r>
            <w:r>
              <w:rPr>
                <w:rStyle w:val="InstructionsTabelleberschrift"/>
                <w:rFonts w:ascii="Times New Roman" w:hAnsi="Times New Roman"/>
                <w:sz w:val="24"/>
              </w:rPr>
              <w:t>bno naložbo</w:t>
            </w:r>
          </w:p>
          <w:p w:rsidR="005643EA" w:rsidRPr="00392FFD" w:rsidRDefault="002648B0" w:rsidP="00FD239F">
            <w:pPr>
              <w:pStyle w:val="InstructionsText"/>
            </w:pPr>
            <w:r>
              <w:t>Členi 44, 45, 47 in 49 CRR.</w:t>
            </w:r>
          </w:p>
        </w:tc>
      </w:tr>
      <w:tr w:rsidR="002648B0" w:rsidRPr="00392FFD" w:rsidTr="00672D2A">
        <w:tc>
          <w:tcPr>
            <w:tcW w:w="1506" w:type="dxa"/>
          </w:tcPr>
          <w:p w:rsidR="002648B0" w:rsidRPr="00392FFD" w:rsidRDefault="008F54B0" w:rsidP="00FD239F">
            <w:pPr>
              <w:pStyle w:val="InstructionsText"/>
            </w:pPr>
            <w:r>
              <w:t>460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15.1.1</w:t>
            </w:r>
            <w:r w:rsidR="00EE0671" w:rsidRPr="00EE0671">
              <w:rPr>
                <w:u w:val="single"/>
              </w:rPr>
              <w:tab/>
            </w:r>
            <w:r>
              <w:rPr>
                <w:rStyle w:val="InstructionsTabelleberschrift"/>
                <w:rFonts w:ascii="Times New Roman" w:hAnsi="Times New Roman"/>
                <w:sz w:val="24"/>
              </w:rPr>
              <w:t>Bruto neposredni deleži v navadnem lastniškem temeljnem kapitalu subjektov finančnega sektorja, v katerih ima institucija pomembno naložbo</w:t>
            </w:r>
          </w:p>
          <w:p w:rsidR="005643EA" w:rsidRPr="00392FFD" w:rsidRDefault="002648B0" w:rsidP="00FD239F">
            <w:pPr>
              <w:pStyle w:val="InstructionsText"/>
            </w:pPr>
            <w:r>
              <w:t>Členi 44, 45, 47 in 49 CRR.</w:t>
            </w:r>
          </w:p>
          <w:p w:rsidR="005643EA" w:rsidRPr="00392FFD" w:rsidRDefault="002648B0" w:rsidP="00FD239F">
            <w:pPr>
              <w:pStyle w:val="InstructionsText"/>
            </w:pPr>
            <w:r>
              <w:t>Neposredni deleži v navadnem lastniškem temeljnem kapitalu subjektov finančnega sektorja, v katerih ima institucija pomembno naložbo, razen:</w:t>
            </w:r>
          </w:p>
          <w:p w:rsidR="005643EA" w:rsidRPr="00392FFD" w:rsidRDefault="002648B0" w:rsidP="00FD239F">
            <w:pPr>
              <w:pStyle w:val="InstructionsText"/>
            </w:pPr>
            <w:r>
              <w:t>a)</w:t>
            </w:r>
            <w:r>
              <w:tab/>
              <w:t xml:space="preserve">pozicij iz izvedbe prve prodaje teh instrumentov z obveznostjo odkupa, ki jih je institucija imela pet delovnih dni ali manj; </w:t>
            </w:r>
          </w:p>
          <w:p w:rsidR="005643EA" w:rsidRPr="00392FFD" w:rsidRDefault="002648B0" w:rsidP="00FD239F">
            <w:pPr>
              <w:pStyle w:val="InstructionsText"/>
            </w:pPr>
            <w:r>
              <w:t>b)</w:t>
            </w:r>
            <w:r>
              <w:tab/>
              <w:t xml:space="preserve">zneskov v zvezi z naložbami, za katere se uporablja katera koli druga možnost iz člena 49, ter </w:t>
            </w:r>
          </w:p>
          <w:p w:rsidR="005643EA" w:rsidRPr="00392FFD" w:rsidRDefault="002648B0" w:rsidP="00FD239F">
            <w:pPr>
              <w:pStyle w:val="InstructionsText"/>
            </w:pPr>
            <w:r>
              <w:t>c)</w:t>
            </w:r>
            <w:r>
              <w:tab/>
              <w:t>deležev, ki se obravnavajo kot vzajemni navzkrižni deleži v skl</w:t>
            </w:r>
            <w:r>
              <w:t>a</w:t>
            </w:r>
            <w:r>
              <w:t>du s členom 36(1)(g) CRR.</w:t>
            </w:r>
          </w:p>
        </w:tc>
      </w:tr>
      <w:tr w:rsidR="002648B0" w:rsidRPr="00392FFD" w:rsidTr="00672D2A">
        <w:tc>
          <w:tcPr>
            <w:tcW w:w="1506" w:type="dxa"/>
          </w:tcPr>
          <w:p w:rsidR="002648B0" w:rsidRPr="00392FFD" w:rsidRDefault="002648B0" w:rsidP="00FD239F">
            <w:pPr>
              <w:pStyle w:val="InstructionsText"/>
            </w:pPr>
            <w:r>
              <w:t>470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15.1.2</w:t>
            </w:r>
            <w:r w:rsidR="00EE0671" w:rsidRPr="00EE0671">
              <w:rPr>
                <w:u w:val="single"/>
              </w:rPr>
              <w:tab/>
            </w:r>
            <w:r>
              <w:rPr>
                <w:rStyle w:val="InstructionsTabelleberschrift"/>
                <w:rFonts w:ascii="Times New Roman" w:hAnsi="Times New Roman"/>
                <w:sz w:val="24"/>
              </w:rPr>
              <w:t>(–) Dovoljen pobot kratkih pozicij v zvezi z neposrednimi bruto deleži, vključenimi zgoraj</w:t>
            </w:r>
          </w:p>
          <w:p w:rsidR="005643EA" w:rsidRPr="00392FFD" w:rsidRDefault="002648B0" w:rsidP="00FD239F">
            <w:pPr>
              <w:pStyle w:val="InstructionsText"/>
            </w:pPr>
            <w:r>
              <w:t>Člen 45 CRR.</w:t>
            </w:r>
          </w:p>
          <w:p w:rsidR="005643EA" w:rsidRPr="00392FFD" w:rsidRDefault="002648B0" w:rsidP="00FD239F">
            <w:pPr>
              <w:pStyle w:val="InstructionsText"/>
            </w:pPr>
            <w:r>
              <w:t>V skladu s členom 45(a) CRR je dovoljen pobot kratkih pozicij v isti osnovni izpostavljenosti, če zapadlost kratke pozicije sovpada z zapadl</w:t>
            </w:r>
            <w:r>
              <w:t>o</w:t>
            </w:r>
            <w:r>
              <w:t>stjo dolge pozicije ali pa ima preostalo zapadlost vsaj eno leto.</w:t>
            </w:r>
          </w:p>
        </w:tc>
      </w:tr>
      <w:tr w:rsidR="002648B0" w:rsidRPr="00392FFD" w:rsidTr="00672D2A">
        <w:tc>
          <w:tcPr>
            <w:tcW w:w="1506" w:type="dxa"/>
          </w:tcPr>
          <w:p w:rsidR="002648B0" w:rsidRPr="00392FFD" w:rsidRDefault="002648B0" w:rsidP="00FD239F">
            <w:pPr>
              <w:pStyle w:val="InstructionsText"/>
            </w:pPr>
            <w:r>
              <w:t>480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15.2</w:t>
            </w:r>
            <w:r w:rsidR="00EE0671" w:rsidRPr="00EE0671">
              <w:rPr>
                <w:u w:val="single"/>
              </w:rPr>
              <w:tab/>
            </w:r>
            <w:r>
              <w:rPr>
                <w:rStyle w:val="InstructionsTabelleberschrift"/>
                <w:rFonts w:ascii="Times New Roman" w:hAnsi="Times New Roman"/>
                <w:sz w:val="24"/>
              </w:rPr>
              <w:t>Posredni deleži v navadnem lastniškem temeljnem kapitalu subjektov finančnega sektorja, v katerih ima institucija pomembno naložbo</w:t>
            </w:r>
          </w:p>
          <w:p w:rsidR="005643EA" w:rsidRPr="00392FFD" w:rsidRDefault="002648B0" w:rsidP="00FD239F">
            <w:pPr>
              <w:pStyle w:val="InstructionsText"/>
            </w:pPr>
            <w:r>
              <w:t>Člen 4(1)(114) ter člena 44 in 45 CRR.</w:t>
            </w:r>
          </w:p>
        </w:tc>
      </w:tr>
      <w:tr w:rsidR="002648B0" w:rsidRPr="00392FFD" w:rsidTr="00672D2A">
        <w:tc>
          <w:tcPr>
            <w:tcW w:w="1506" w:type="dxa"/>
          </w:tcPr>
          <w:p w:rsidR="002648B0" w:rsidRPr="00392FFD" w:rsidRDefault="002648B0" w:rsidP="00FD239F">
            <w:pPr>
              <w:pStyle w:val="InstructionsText"/>
            </w:pPr>
            <w:r>
              <w:t>490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15.2.1</w:t>
            </w:r>
            <w:r w:rsidR="00EE0671" w:rsidRPr="00EE0671">
              <w:rPr>
                <w:u w:val="single"/>
              </w:rPr>
              <w:tab/>
            </w:r>
            <w:r>
              <w:rPr>
                <w:rStyle w:val="InstructionsTabelleberschrift"/>
                <w:rFonts w:ascii="Times New Roman" w:hAnsi="Times New Roman"/>
                <w:sz w:val="24"/>
              </w:rPr>
              <w:t>Bruto posredni deleži v navadnem lastniškem temeljnem kapitalu subjektov finančnega sektorja, v katerih ima institucija pomembno naložbo</w:t>
            </w:r>
          </w:p>
          <w:p w:rsidR="005643EA" w:rsidRPr="00392FFD" w:rsidRDefault="002648B0" w:rsidP="00FD239F">
            <w:pPr>
              <w:pStyle w:val="InstructionsText"/>
            </w:pPr>
            <w:r>
              <w:t>Člen 4(1)(114) ter člena 44 in 45 CRR.</w:t>
            </w:r>
          </w:p>
          <w:p w:rsidR="005643EA" w:rsidRPr="00392FFD" w:rsidRDefault="002648B0" w:rsidP="00FD239F">
            <w:pPr>
              <w:pStyle w:val="InstructionsText"/>
            </w:pPr>
            <w:r>
              <w:t>Znesek, ki se poroča, so posredni deleži v trgovalni knjigi v kapitalskih instrumentih subjektov finančnega sektorja v obliki deležev vrednostnih papirjev v indeksu. Pridobi se z izračunom osnovne izpostavljenosti do kapitalskih instrumentov subjektov finančnega sektorja v indeksih.</w:t>
            </w:r>
          </w:p>
          <w:p w:rsidR="005643EA" w:rsidRPr="00392FFD" w:rsidRDefault="002648B0" w:rsidP="00FD239F">
            <w:pPr>
              <w:pStyle w:val="InstructionsText"/>
            </w:pPr>
            <w:r>
              <w:t>Deleži, ki se obravnavajo kot vzajemni navzkrižni deleži v skladu s čl</w:t>
            </w:r>
            <w:r>
              <w:t>e</w:t>
            </w:r>
            <w:r>
              <w:lastRenderedPageBreak/>
              <w:t>nom 36(1)(g) CRR, niso vključeni.</w:t>
            </w:r>
          </w:p>
        </w:tc>
      </w:tr>
      <w:tr w:rsidR="002648B0" w:rsidRPr="00392FFD" w:rsidTr="00672D2A">
        <w:tc>
          <w:tcPr>
            <w:tcW w:w="1506" w:type="dxa"/>
          </w:tcPr>
          <w:p w:rsidR="002648B0" w:rsidRPr="00392FFD" w:rsidRDefault="002648B0" w:rsidP="00FD239F">
            <w:pPr>
              <w:pStyle w:val="InstructionsText"/>
            </w:pPr>
            <w:r>
              <w:lastRenderedPageBreak/>
              <w:t>500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15.2.2</w:t>
            </w:r>
            <w:r w:rsidR="00EE0671" w:rsidRPr="00EE0671">
              <w:rPr>
                <w:u w:val="single"/>
              </w:rPr>
              <w:tab/>
            </w:r>
            <w:r>
              <w:rPr>
                <w:rStyle w:val="InstructionsTabelleberschrift"/>
                <w:rFonts w:ascii="Times New Roman" w:hAnsi="Times New Roman"/>
                <w:sz w:val="24"/>
              </w:rPr>
              <w:t>(–) Dovoljen pobot kratkih pozicij v zvezi s posrednimi bruto deleži, vključenimi zgoraj</w:t>
            </w:r>
          </w:p>
          <w:p w:rsidR="005643EA" w:rsidRPr="00392FFD" w:rsidRDefault="002648B0" w:rsidP="00FD239F">
            <w:pPr>
              <w:pStyle w:val="InstructionsText"/>
            </w:pPr>
            <w:r>
              <w:t>Člen 4(1)(114) in člen 45 CRR.</w:t>
            </w:r>
          </w:p>
          <w:p w:rsidR="005643EA" w:rsidRPr="00392FFD" w:rsidRDefault="002648B0" w:rsidP="00FD239F">
            <w:pPr>
              <w:pStyle w:val="InstructionsText"/>
            </w:pPr>
            <w:r>
              <w:t>V skladu s členom 45(a) CRR je dovoljen pobot kratkih pozicij v isti osnovni izpostavljenosti, če zapadlost kratke pozicije sovpada z zapadl</w:t>
            </w:r>
            <w:r>
              <w:t>o</w:t>
            </w:r>
            <w:r>
              <w:t>stjo dolge pozicije ali pa ima preostalo zapadlost vsaj eno leto.</w:t>
            </w:r>
          </w:p>
        </w:tc>
      </w:tr>
      <w:tr w:rsidR="00DE5A31" w:rsidRPr="00392FFD" w:rsidTr="00672D2A">
        <w:tc>
          <w:tcPr>
            <w:tcW w:w="1506" w:type="dxa"/>
          </w:tcPr>
          <w:p w:rsidR="00DE5A31" w:rsidRPr="00392FFD" w:rsidRDefault="00DE5A31" w:rsidP="00FD239F">
            <w:pPr>
              <w:pStyle w:val="InstructionsText"/>
            </w:pPr>
            <w:r>
              <w:t>501</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15.3</w:t>
            </w:r>
            <w:r w:rsidR="00EE0671" w:rsidRPr="00EE0671">
              <w:rPr>
                <w:u w:val="single"/>
              </w:rPr>
              <w:tab/>
            </w:r>
            <w:r>
              <w:rPr>
                <w:rStyle w:val="InstructionsTabelleberschrift"/>
                <w:rFonts w:ascii="Times New Roman" w:hAnsi="Times New Roman"/>
                <w:sz w:val="24"/>
              </w:rPr>
              <w:t>Sintetični deleži v navadnem lastniškem temeljnem kapitalu subjektov finančnega sektorja, v katerih ima institucija pomembno naložbo</w:t>
            </w:r>
          </w:p>
          <w:p w:rsidR="005643EA" w:rsidRPr="00392FFD" w:rsidRDefault="00805255" w:rsidP="00FD239F">
            <w:pPr>
              <w:pStyle w:val="InstructionsText"/>
            </w:pPr>
            <w:r>
              <w:t>Člen 4(1)(126) ter člena 44 in 45 CRR.</w:t>
            </w:r>
          </w:p>
        </w:tc>
      </w:tr>
      <w:tr w:rsidR="00DE5A31" w:rsidRPr="00392FFD" w:rsidTr="00672D2A">
        <w:tc>
          <w:tcPr>
            <w:tcW w:w="1506" w:type="dxa"/>
          </w:tcPr>
          <w:p w:rsidR="00DE5A31" w:rsidRPr="00392FFD" w:rsidRDefault="00DE5A31" w:rsidP="00FD239F">
            <w:pPr>
              <w:pStyle w:val="InstructionsText"/>
            </w:pPr>
            <w:r>
              <w:t>502</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15.3.1</w:t>
            </w:r>
            <w:r w:rsidR="00EE0671" w:rsidRPr="00EE0671">
              <w:rPr>
                <w:u w:val="single"/>
              </w:rPr>
              <w:tab/>
            </w:r>
            <w:r>
              <w:rPr>
                <w:rStyle w:val="InstructionsTabelleberschrift"/>
                <w:rFonts w:ascii="Times New Roman" w:hAnsi="Times New Roman"/>
                <w:sz w:val="24"/>
              </w:rPr>
              <w:t>Bruto sintetični deleži v navadnem lastniškem temeljnem kapitalu subjektov finančnega sektorja, v katerih ima institucija pomembno naložbo</w:t>
            </w:r>
          </w:p>
          <w:p w:rsidR="005643EA" w:rsidRPr="00392FFD" w:rsidRDefault="00805255" w:rsidP="00FD239F">
            <w:pPr>
              <w:pStyle w:val="InstructionsText"/>
            </w:pPr>
            <w:r>
              <w:t>Člen 4(1)(126) ter člena 44 in 45 CRR.</w:t>
            </w:r>
          </w:p>
        </w:tc>
      </w:tr>
      <w:tr w:rsidR="00DE5A31" w:rsidRPr="00392FFD" w:rsidTr="00672D2A">
        <w:tc>
          <w:tcPr>
            <w:tcW w:w="1506" w:type="dxa"/>
          </w:tcPr>
          <w:p w:rsidR="00DE5A31" w:rsidRPr="00392FFD" w:rsidRDefault="00E81DB9" w:rsidP="00FD239F">
            <w:pPr>
              <w:pStyle w:val="InstructionsText"/>
            </w:pPr>
            <w:r>
              <w:t>503</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15.3.2</w:t>
            </w:r>
            <w:r w:rsidR="00EE0671" w:rsidRPr="00EE0671">
              <w:rPr>
                <w:u w:val="single"/>
              </w:rPr>
              <w:tab/>
            </w:r>
            <w:r>
              <w:rPr>
                <w:rStyle w:val="InstructionsTabelleberschrift"/>
                <w:rFonts w:ascii="Times New Roman" w:hAnsi="Times New Roman"/>
                <w:sz w:val="24"/>
              </w:rPr>
              <w:t>(–) Dovoljen pobot kratkih pozicij v zvezi s sintetičnimi bruto deleži, vključenimi zgoraj</w:t>
            </w:r>
          </w:p>
          <w:p w:rsidR="005643EA" w:rsidRPr="00392FFD" w:rsidRDefault="00805255" w:rsidP="00FD239F">
            <w:pPr>
              <w:pStyle w:val="InstructionsText"/>
            </w:pPr>
            <w:r>
              <w:t>Člen 4(1)(126) in člen 45 CRR.</w:t>
            </w:r>
          </w:p>
        </w:tc>
      </w:tr>
      <w:tr w:rsidR="002648B0" w:rsidRPr="00392FFD" w:rsidTr="00672D2A">
        <w:tc>
          <w:tcPr>
            <w:tcW w:w="1506" w:type="dxa"/>
          </w:tcPr>
          <w:p w:rsidR="002648B0" w:rsidRPr="00392FFD" w:rsidRDefault="002648B0" w:rsidP="00FD239F">
            <w:pPr>
              <w:pStyle w:val="InstructionsText"/>
            </w:pPr>
            <w:r>
              <w:t>510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 Deleži v dodatnem temeljnem kapitalu subjektov finančnega se</w:t>
            </w:r>
            <w:r>
              <w:rPr>
                <w:rStyle w:val="InstructionsTabelleberschrift"/>
                <w:rFonts w:ascii="Times New Roman" w:hAnsi="Times New Roman"/>
                <w:sz w:val="24"/>
              </w:rPr>
              <w:t>k</w:t>
            </w:r>
            <w:r>
              <w:rPr>
                <w:rStyle w:val="InstructionsTabelleberschrift"/>
                <w:rFonts w:ascii="Times New Roman" w:hAnsi="Times New Roman"/>
                <w:sz w:val="24"/>
              </w:rPr>
              <w:t>torja, v katerih ima institucija pomembno naložbo, pri čemer se od</w:t>
            </w:r>
            <w:r>
              <w:rPr>
                <w:rStyle w:val="InstructionsTabelleberschrift"/>
                <w:rFonts w:ascii="Times New Roman" w:hAnsi="Times New Roman"/>
                <w:sz w:val="24"/>
              </w:rPr>
              <w:t>š</w:t>
            </w:r>
            <w:r>
              <w:rPr>
                <w:rStyle w:val="InstructionsTabelleberschrift"/>
                <w:rFonts w:ascii="Times New Roman" w:hAnsi="Times New Roman"/>
                <w:sz w:val="24"/>
              </w:rPr>
              <w:t>tejejo kratke pozicije</w:t>
            </w:r>
          </w:p>
          <w:p w:rsidR="005643EA" w:rsidRPr="00392FFD" w:rsidRDefault="002648B0" w:rsidP="00FD239F">
            <w:pPr>
              <w:pStyle w:val="InstructionsText"/>
            </w:pPr>
            <w:r>
              <w:t>Člena 58 in 59 CRR.</w:t>
            </w:r>
          </w:p>
        </w:tc>
      </w:tr>
      <w:tr w:rsidR="002648B0" w:rsidRPr="00392FFD" w:rsidTr="00672D2A">
        <w:tc>
          <w:tcPr>
            <w:tcW w:w="1506" w:type="dxa"/>
          </w:tcPr>
          <w:p w:rsidR="002648B0" w:rsidRPr="00392FFD" w:rsidRDefault="002648B0" w:rsidP="00FD239F">
            <w:pPr>
              <w:pStyle w:val="InstructionsText"/>
            </w:pPr>
            <w:r>
              <w:t>520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16.1</w:t>
            </w:r>
            <w:r w:rsidR="00EE0671" w:rsidRPr="00EE0671">
              <w:rPr>
                <w:u w:val="single"/>
              </w:rPr>
              <w:tab/>
            </w:r>
            <w:r>
              <w:rPr>
                <w:rStyle w:val="InstructionsTabelleberschrift"/>
                <w:rFonts w:ascii="Times New Roman" w:hAnsi="Times New Roman"/>
                <w:sz w:val="24"/>
              </w:rPr>
              <w:t>Neposredni deleži v dodatnem temeljnem kapitalu subjektov finančnega sektorja, v katerih ima institucija pomembno naložbo</w:t>
            </w:r>
          </w:p>
          <w:p w:rsidR="005643EA" w:rsidRPr="00392FFD" w:rsidRDefault="002648B0" w:rsidP="00FD239F">
            <w:pPr>
              <w:pStyle w:val="InstructionsText"/>
            </w:pPr>
            <w:r>
              <w:t>Člena 58 in 59 CRR.</w:t>
            </w:r>
          </w:p>
        </w:tc>
      </w:tr>
      <w:tr w:rsidR="002648B0" w:rsidRPr="00392FFD" w:rsidTr="00672D2A">
        <w:tc>
          <w:tcPr>
            <w:tcW w:w="1506" w:type="dxa"/>
          </w:tcPr>
          <w:p w:rsidR="002648B0" w:rsidRPr="00392FFD" w:rsidRDefault="002648B0" w:rsidP="00FD239F">
            <w:pPr>
              <w:pStyle w:val="InstructionsText"/>
            </w:pPr>
            <w:r>
              <w:t>530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16.1.1</w:t>
            </w:r>
            <w:r w:rsidR="00EE0671" w:rsidRPr="00EE0671">
              <w:rPr>
                <w:u w:val="single"/>
              </w:rPr>
              <w:tab/>
            </w:r>
            <w:r>
              <w:rPr>
                <w:rStyle w:val="InstructionsTabelleberschrift"/>
                <w:rFonts w:ascii="Times New Roman" w:hAnsi="Times New Roman"/>
                <w:sz w:val="24"/>
              </w:rPr>
              <w:t>Bruto neposredni deleži v dodatnem temeljnem kapitalu su</w:t>
            </w:r>
            <w:r>
              <w:rPr>
                <w:rStyle w:val="InstructionsTabelleberschrift"/>
                <w:rFonts w:ascii="Times New Roman" w:hAnsi="Times New Roman"/>
                <w:sz w:val="24"/>
              </w:rPr>
              <w:t>b</w:t>
            </w:r>
            <w:r>
              <w:rPr>
                <w:rStyle w:val="InstructionsTabelleberschrift"/>
                <w:rFonts w:ascii="Times New Roman" w:hAnsi="Times New Roman"/>
                <w:sz w:val="24"/>
              </w:rPr>
              <w:t>jektov finančnega sektorja, v katerih ima institucija pomembno naložbo</w:t>
            </w:r>
          </w:p>
          <w:p w:rsidR="005643EA" w:rsidRPr="00392FFD" w:rsidRDefault="002648B0" w:rsidP="00FD239F">
            <w:pPr>
              <w:pStyle w:val="InstructionsText"/>
            </w:pPr>
            <w:r>
              <w:t>Člen 58 CRR.</w:t>
            </w:r>
          </w:p>
          <w:p w:rsidR="005643EA" w:rsidRPr="00392FFD" w:rsidRDefault="002648B0" w:rsidP="00FD239F">
            <w:pPr>
              <w:pStyle w:val="InstructionsText"/>
            </w:pPr>
            <w:r>
              <w:t>Neposredni deleži v dodatnem temeljnem kapitalu subjektov finančnega sektorja, v katerih ima institucija pomembno naložbo, razen:</w:t>
            </w:r>
          </w:p>
          <w:p w:rsidR="005643EA" w:rsidRPr="00392FFD" w:rsidRDefault="002648B0" w:rsidP="00FD239F">
            <w:pPr>
              <w:pStyle w:val="InstructionsText"/>
            </w:pPr>
            <w:r>
              <w:t>a)</w:t>
            </w:r>
            <w:r>
              <w:tab/>
              <w:t xml:space="preserve">pozicij iz izvedbe prve prodaje teh instrumentov z obveznostjo odkupa, ki jih je institucija imela pet delovnih dni ali manj (člen 56(d)), ter </w:t>
            </w:r>
          </w:p>
          <w:p w:rsidR="005643EA" w:rsidRPr="00392FFD" w:rsidRDefault="002648B0" w:rsidP="00FD239F">
            <w:pPr>
              <w:pStyle w:val="InstructionsText"/>
            </w:pPr>
            <w:r>
              <w:t>b)</w:t>
            </w:r>
            <w:r>
              <w:tab/>
              <w:t>deležev, ki se obravnavajo kot vzajemni navzkrižni deleži v skl</w:t>
            </w:r>
            <w:r>
              <w:t>a</w:t>
            </w:r>
            <w:r>
              <w:t>du s členom 56(b) CRR.</w:t>
            </w:r>
          </w:p>
        </w:tc>
      </w:tr>
      <w:tr w:rsidR="002648B0" w:rsidRPr="00392FFD" w:rsidTr="00672D2A">
        <w:tc>
          <w:tcPr>
            <w:tcW w:w="1506" w:type="dxa"/>
          </w:tcPr>
          <w:p w:rsidR="002648B0" w:rsidRPr="00392FFD" w:rsidRDefault="002648B0" w:rsidP="00FD239F">
            <w:pPr>
              <w:pStyle w:val="InstructionsText"/>
            </w:pPr>
            <w:r>
              <w:t>540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16.1.2</w:t>
            </w:r>
            <w:r w:rsidR="00EE0671" w:rsidRPr="00EE0671">
              <w:rPr>
                <w:u w:val="single"/>
              </w:rPr>
              <w:tab/>
            </w:r>
            <w:r>
              <w:rPr>
                <w:rStyle w:val="InstructionsTabelleberschrift"/>
                <w:rFonts w:ascii="Times New Roman" w:hAnsi="Times New Roman"/>
                <w:sz w:val="24"/>
              </w:rPr>
              <w:t>(–) Dovoljen pobot kratkih pozicij v zvezi z neposrednimi bruto deleži, vključenimi zgoraj</w:t>
            </w:r>
          </w:p>
          <w:p w:rsidR="005643EA" w:rsidRPr="00392FFD" w:rsidRDefault="002648B0" w:rsidP="00FD239F">
            <w:pPr>
              <w:pStyle w:val="InstructionsText"/>
            </w:pPr>
            <w:r>
              <w:t>Člen 59 CRR.</w:t>
            </w:r>
          </w:p>
          <w:p w:rsidR="005643EA" w:rsidRPr="00392FFD" w:rsidRDefault="002648B0" w:rsidP="00FD239F">
            <w:pPr>
              <w:pStyle w:val="InstructionsText"/>
            </w:pPr>
            <w:r>
              <w:t>V skladu s členom 59(a) CRR je dovoljen pobot kratkih pozicij v isti osnovni izpostavljenosti, če zapadlost kratke pozicije sovpada z zapadl</w:t>
            </w:r>
            <w:r>
              <w:t>o</w:t>
            </w:r>
            <w:r>
              <w:lastRenderedPageBreak/>
              <w:t>stjo dolge pozicije ali pa ima preostalo zapadlost vsaj eno leto.</w:t>
            </w:r>
          </w:p>
        </w:tc>
      </w:tr>
      <w:tr w:rsidR="002648B0" w:rsidRPr="00392FFD" w:rsidTr="00672D2A">
        <w:tc>
          <w:tcPr>
            <w:tcW w:w="1506" w:type="dxa"/>
          </w:tcPr>
          <w:p w:rsidR="002648B0" w:rsidRPr="00392FFD" w:rsidRDefault="002648B0" w:rsidP="00FD239F">
            <w:pPr>
              <w:pStyle w:val="InstructionsText"/>
            </w:pPr>
            <w:r>
              <w:lastRenderedPageBreak/>
              <w:t>550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16.2</w:t>
            </w:r>
            <w:r w:rsidR="00EE0671" w:rsidRPr="00EE0671">
              <w:rPr>
                <w:u w:val="single"/>
              </w:rPr>
              <w:tab/>
            </w:r>
            <w:r>
              <w:rPr>
                <w:rStyle w:val="InstructionsTabelleberschrift"/>
                <w:rFonts w:ascii="Times New Roman" w:hAnsi="Times New Roman"/>
                <w:sz w:val="24"/>
              </w:rPr>
              <w:t>Posredni deleži v dodatnem temeljnem kapitalu subjektov finančnega sektorja, v katerih ima institucija pomembno naložbo</w:t>
            </w:r>
          </w:p>
          <w:p w:rsidR="005643EA" w:rsidRPr="00392FFD" w:rsidRDefault="002648B0" w:rsidP="00FD239F">
            <w:pPr>
              <w:pStyle w:val="InstructionsText"/>
            </w:pPr>
            <w:r>
              <w:t>Člen 4(1)(114) ter člena 58 in 59 CRR.</w:t>
            </w:r>
          </w:p>
        </w:tc>
      </w:tr>
      <w:tr w:rsidR="002648B0" w:rsidRPr="00392FFD" w:rsidTr="00672D2A">
        <w:tc>
          <w:tcPr>
            <w:tcW w:w="1506" w:type="dxa"/>
          </w:tcPr>
          <w:p w:rsidR="002648B0" w:rsidRPr="00392FFD" w:rsidRDefault="002648B0" w:rsidP="00FD239F">
            <w:pPr>
              <w:pStyle w:val="InstructionsText"/>
            </w:pPr>
            <w:r>
              <w:t>560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16.2.1</w:t>
            </w:r>
            <w:r w:rsidR="00EE0671" w:rsidRPr="00EE0671">
              <w:rPr>
                <w:u w:val="single"/>
              </w:rPr>
              <w:tab/>
            </w:r>
            <w:r>
              <w:rPr>
                <w:rStyle w:val="InstructionsTabelleberschrift"/>
                <w:rFonts w:ascii="Times New Roman" w:hAnsi="Times New Roman"/>
                <w:sz w:val="24"/>
              </w:rPr>
              <w:t>Bruto posredni deleži v dodatnem temeljnem kapitalu subj</w:t>
            </w:r>
            <w:r>
              <w:rPr>
                <w:rStyle w:val="InstructionsTabelleberschrift"/>
                <w:rFonts w:ascii="Times New Roman" w:hAnsi="Times New Roman"/>
                <w:sz w:val="24"/>
              </w:rPr>
              <w:t>e</w:t>
            </w:r>
            <w:r>
              <w:rPr>
                <w:rStyle w:val="InstructionsTabelleberschrift"/>
                <w:rFonts w:ascii="Times New Roman" w:hAnsi="Times New Roman"/>
                <w:sz w:val="24"/>
              </w:rPr>
              <w:t>ktov finančnega sektorja, v katerih ima institucija pomembno nal</w:t>
            </w:r>
            <w:r>
              <w:rPr>
                <w:rStyle w:val="InstructionsTabelleberschrift"/>
                <w:rFonts w:ascii="Times New Roman" w:hAnsi="Times New Roman"/>
                <w:sz w:val="24"/>
              </w:rPr>
              <w:t>o</w:t>
            </w:r>
            <w:r>
              <w:rPr>
                <w:rStyle w:val="InstructionsTabelleberschrift"/>
                <w:rFonts w:ascii="Times New Roman" w:hAnsi="Times New Roman"/>
                <w:sz w:val="24"/>
              </w:rPr>
              <w:t>žbo</w:t>
            </w:r>
          </w:p>
          <w:p w:rsidR="005643EA" w:rsidRPr="00392FFD" w:rsidRDefault="002648B0" w:rsidP="00FD239F">
            <w:pPr>
              <w:pStyle w:val="InstructionsText"/>
            </w:pPr>
            <w:r>
              <w:t>Člen 4(1)(114) ter člena 58 in 59 CRR.</w:t>
            </w:r>
          </w:p>
          <w:p w:rsidR="005643EA" w:rsidRPr="00392FFD" w:rsidRDefault="002648B0" w:rsidP="00FD239F">
            <w:pPr>
              <w:pStyle w:val="InstructionsText"/>
            </w:pPr>
            <w:r>
              <w:t>Znesek, ki se poroča, so posredni deleži v trgovalni knjigi v kapitalskih instrumentih subjektov finančnega sektorja v obliki deležev vrednostnih papirjev v indeksu. Pridobi se z izračunom osnovne izpostavljenosti do kapitalskih instrumentov subjektov finančnega sektorja v indeksih.</w:t>
            </w:r>
          </w:p>
          <w:p w:rsidR="005643EA" w:rsidRPr="00392FFD" w:rsidRDefault="002648B0" w:rsidP="00FD239F">
            <w:pPr>
              <w:pStyle w:val="InstructionsText"/>
            </w:pPr>
            <w:r>
              <w:t>Deleži, ki se obravnavajo kot vzajemni navzkrižni deleži v skladu s čl</w:t>
            </w:r>
            <w:r>
              <w:t>e</w:t>
            </w:r>
            <w:r>
              <w:t>nom 56(b) CRR, niso vključeni.</w:t>
            </w:r>
          </w:p>
        </w:tc>
      </w:tr>
      <w:tr w:rsidR="002648B0" w:rsidRPr="00392FFD" w:rsidTr="00672D2A">
        <w:tc>
          <w:tcPr>
            <w:tcW w:w="1506" w:type="dxa"/>
          </w:tcPr>
          <w:p w:rsidR="002648B0" w:rsidRPr="00392FFD" w:rsidRDefault="002648B0" w:rsidP="00FD239F">
            <w:pPr>
              <w:pStyle w:val="InstructionsText"/>
            </w:pPr>
            <w:r>
              <w:t>570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16.2.2</w:t>
            </w:r>
            <w:r w:rsidR="00EE0671" w:rsidRPr="00EE0671">
              <w:rPr>
                <w:u w:val="single"/>
              </w:rPr>
              <w:tab/>
            </w:r>
            <w:r>
              <w:rPr>
                <w:rStyle w:val="InstructionsTabelleberschrift"/>
                <w:rFonts w:ascii="Times New Roman" w:hAnsi="Times New Roman"/>
                <w:sz w:val="24"/>
              </w:rPr>
              <w:t>(–) Dovoljen pobot kratkih pozicij v zvezi s posrednimi bruto deleži, vključenimi zgoraj</w:t>
            </w:r>
          </w:p>
          <w:p w:rsidR="005643EA" w:rsidRPr="00392FFD" w:rsidRDefault="002648B0" w:rsidP="00FD239F">
            <w:pPr>
              <w:pStyle w:val="InstructionsText"/>
            </w:pPr>
            <w:r>
              <w:t>Člen 4(1)(114) in člen 59 CRR.</w:t>
            </w:r>
          </w:p>
          <w:p w:rsidR="005643EA" w:rsidRPr="00392FFD" w:rsidRDefault="002648B0" w:rsidP="00FD239F">
            <w:pPr>
              <w:pStyle w:val="InstructionsText"/>
            </w:pPr>
            <w:r>
              <w:t>V skladu s členom 59(a) CRR je dovoljen pobot kratkih pozicij v isti osnovni izpostavljenosti, če zapadlost kratke pozicije sovpada z zapadl</w:t>
            </w:r>
            <w:r>
              <w:t>o</w:t>
            </w:r>
            <w:r>
              <w:t>stjo dolge pozicije ali pa ima preostalo zapadlost vsaj eno leto.</w:t>
            </w:r>
          </w:p>
        </w:tc>
      </w:tr>
      <w:tr w:rsidR="00E81DB9" w:rsidRPr="00392FFD" w:rsidTr="00672D2A">
        <w:tc>
          <w:tcPr>
            <w:tcW w:w="1506" w:type="dxa"/>
          </w:tcPr>
          <w:p w:rsidR="00E81DB9" w:rsidRPr="00392FFD" w:rsidRDefault="00E81DB9" w:rsidP="00FD239F">
            <w:pPr>
              <w:pStyle w:val="InstructionsText"/>
            </w:pPr>
            <w:r>
              <w:t>571</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16.3</w:t>
            </w:r>
            <w:r w:rsidR="00EE0671" w:rsidRPr="00EE0671">
              <w:rPr>
                <w:u w:val="single"/>
              </w:rPr>
              <w:tab/>
            </w:r>
            <w:r>
              <w:rPr>
                <w:rStyle w:val="InstructionsTabelleberschrift"/>
                <w:rFonts w:ascii="Times New Roman" w:hAnsi="Times New Roman"/>
                <w:sz w:val="24"/>
              </w:rPr>
              <w:t>Sintetični deleži v dodatnem temeljnem kapitalu subjektov finančnega sektorja, v katerih ima institucija pomembno naložbo</w:t>
            </w:r>
          </w:p>
          <w:p w:rsidR="005643EA" w:rsidRPr="00201704" w:rsidRDefault="00E81DB9" w:rsidP="00FD239F">
            <w:pPr>
              <w:pStyle w:val="InstructionsText"/>
              <w:rPr>
                <w:rStyle w:val="InstructionsTabelleberschrift"/>
                <w:rFonts w:ascii="Times New Roman" w:hAnsi="Times New Roman"/>
                <w:b w:val="0"/>
                <w:bCs w:val="0"/>
                <w:sz w:val="24"/>
                <w:u w:val="none"/>
              </w:rPr>
            </w:pPr>
            <w:r>
              <w:t>Člen 4(1)(126) ter člena 58 in 59 CRR.</w:t>
            </w:r>
          </w:p>
        </w:tc>
      </w:tr>
      <w:tr w:rsidR="00E81DB9" w:rsidRPr="00392FFD" w:rsidTr="00672D2A">
        <w:tc>
          <w:tcPr>
            <w:tcW w:w="1506" w:type="dxa"/>
          </w:tcPr>
          <w:p w:rsidR="00E81DB9" w:rsidRPr="00392FFD" w:rsidRDefault="00E81DB9" w:rsidP="00FD239F">
            <w:pPr>
              <w:pStyle w:val="InstructionsText"/>
            </w:pPr>
            <w:r>
              <w:t>572</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16.3.1</w:t>
            </w:r>
            <w:r w:rsidR="00EE0671" w:rsidRPr="00EE0671">
              <w:rPr>
                <w:u w:val="single"/>
              </w:rPr>
              <w:tab/>
            </w:r>
            <w:r>
              <w:rPr>
                <w:rStyle w:val="InstructionsTabelleberschrift"/>
                <w:rFonts w:ascii="Times New Roman" w:hAnsi="Times New Roman"/>
                <w:sz w:val="24"/>
              </w:rPr>
              <w:t>Bruto sintetični deleži v dodatnem temeljnem kapitalu subj</w:t>
            </w:r>
            <w:r>
              <w:rPr>
                <w:rStyle w:val="InstructionsTabelleberschrift"/>
                <w:rFonts w:ascii="Times New Roman" w:hAnsi="Times New Roman"/>
                <w:sz w:val="24"/>
              </w:rPr>
              <w:t>e</w:t>
            </w:r>
            <w:r>
              <w:rPr>
                <w:rStyle w:val="InstructionsTabelleberschrift"/>
                <w:rFonts w:ascii="Times New Roman" w:hAnsi="Times New Roman"/>
                <w:sz w:val="24"/>
              </w:rPr>
              <w:t>ktov finančnega sektorja, v katerih ima institucija pomembno nal</w:t>
            </w:r>
            <w:r>
              <w:rPr>
                <w:rStyle w:val="InstructionsTabelleberschrift"/>
                <w:rFonts w:ascii="Times New Roman" w:hAnsi="Times New Roman"/>
                <w:sz w:val="24"/>
              </w:rPr>
              <w:t>o</w:t>
            </w:r>
            <w:r>
              <w:rPr>
                <w:rStyle w:val="InstructionsTabelleberschrift"/>
                <w:rFonts w:ascii="Times New Roman" w:hAnsi="Times New Roman"/>
                <w:sz w:val="24"/>
              </w:rPr>
              <w:t>žbo</w:t>
            </w:r>
          </w:p>
          <w:p w:rsidR="005643EA" w:rsidRPr="00201704" w:rsidRDefault="00E81DB9" w:rsidP="00FD239F">
            <w:pPr>
              <w:pStyle w:val="InstructionsText"/>
              <w:rPr>
                <w:rStyle w:val="InstructionsTabelleberschrift"/>
                <w:rFonts w:ascii="Times New Roman" w:hAnsi="Times New Roman"/>
                <w:b w:val="0"/>
                <w:bCs w:val="0"/>
                <w:sz w:val="24"/>
                <w:u w:val="none"/>
              </w:rPr>
            </w:pPr>
            <w:r>
              <w:t>Člen 4(1)(126) ter člena 58 in 59 CRR.</w:t>
            </w:r>
          </w:p>
        </w:tc>
      </w:tr>
      <w:tr w:rsidR="00E81DB9" w:rsidRPr="00392FFD" w:rsidTr="00672D2A">
        <w:tc>
          <w:tcPr>
            <w:tcW w:w="1506" w:type="dxa"/>
          </w:tcPr>
          <w:p w:rsidR="00E81DB9" w:rsidRPr="00392FFD" w:rsidRDefault="00E81DB9" w:rsidP="00FD239F">
            <w:pPr>
              <w:pStyle w:val="InstructionsText"/>
            </w:pPr>
            <w:r>
              <w:t>573</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16.3.2</w:t>
            </w:r>
            <w:r w:rsidR="00EE0671" w:rsidRPr="00EE0671">
              <w:rPr>
                <w:u w:val="single"/>
              </w:rPr>
              <w:tab/>
            </w:r>
            <w:r>
              <w:rPr>
                <w:rStyle w:val="InstructionsTabelleberschrift"/>
                <w:rFonts w:ascii="Times New Roman" w:hAnsi="Times New Roman"/>
                <w:sz w:val="24"/>
              </w:rPr>
              <w:t>(–) Dovoljen pobot kratkih pozicij v zvezi s sintetičnimi bruto deleži, vključenimi zgoraj</w:t>
            </w:r>
          </w:p>
          <w:p w:rsidR="005643EA" w:rsidRPr="00201704" w:rsidRDefault="00E81DB9" w:rsidP="00FD239F">
            <w:pPr>
              <w:pStyle w:val="InstructionsText"/>
              <w:rPr>
                <w:rStyle w:val="InstructionsTabelleberschrift"/>
                <w:rFonts w:ascii="Times New Roman" w:hAnsi="Times New Roman"/>
                <w:b w:val="0"/>
                <w:bCs w:val="0"/>
                <w:sz w:val="24"/>
                <w:u w:val="none"/>
              </w:rPr>
            </w:pPr>
            <w:r>
              <w:t>Člen 4(1)(126) in člen 59 CRR.</w:t>
            </w:r>
          </w:p>
        </w:tc>
      </w:tr>
      <w:tr w:rsidR="002648B0" w:rsidRPr="00392FFD" w:rsidTr="00672D2A">
        <w:tc>
          <w:tcPr>
            <w:tcW w:w="1506" w:type="dxa"/>
          </w:tcPr>
          <w:p w:rsidR="002648B0" w:rsidRPr="00392FFD" w:rsidRDefault="002648B0" w:rsidP="00FD239F">
            <w:pPr>
              <w:pStyle w:val="InstructionsText"/>
            </w:pPr>
            <w:r>
              <w:t>580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 Deleži v dodatnem kapitalu subjektov finančnega sektorja, v katerih ima institucija pomembno naložbo, pri čemer se odštejejo kratke pozicije</w:t>
            </w:r>
          </w:p>
          <w:p w:rsidR="005643EA" w:rsidRPr="00392FFD" w:rsidRDefault="002648B0" w:rsidP="00FD239F">
            <w:pPr>
              <w:pStyle w:val="InstructionsText"/>
            </w:pPr>
            <w:r>
              <w:t>Člena 68 in 69 CRR.</w:t>
            </w:r>
          </w:p>
        </w:tc>
      </w:tr>
      <w:tr w:rsidR="002648B0" w:rsidRPr="00392FFD" w:rsidTr="00672D2A">
        <w:tc>
          <w:tcPr>
            <w:tcW w:w="1506" w:type="dxa"/>
          </w:tcPr>
          <w:p w:rsidR="002648B0" w:rsidRPr="00392FFD" w:rsidRDefault="002648B0" w:rsidP="00FD239F">
            <w:pPr>
              <w:pStyle w:val="InstructionsText"/>
            </w:pPr>
            <w:r>
              <w:t>590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17.1</w:t>
            </w:r>
            <w:r w:rsidR="00EE0671" w:rsidRPr="00EE0671">
              <w:rPr>
                <w:u w:val="single"/>
              </w:rPr>
              <w:tab/>
            </w:r>
            <w:r>
              <w:rPr>
                <w:rStyle w:val="InstructionsTabelleberschrift"/>
                <w:rFonts w:ascii="Times New Roman" w:hAnsi="Times New Roman"/>
                <w:sz w:val="24"/>
              </w:rPr>
              <w:t>Neposredni deleži v dodatnem kapitalu subjektov finančnega sektorja, v katerih ima institucija pomembno naložbo</w:t>
            </w:r>
          </w:p>
          <w:p w:rsidR="005643EA" w:rsidRPr="00392FFD" w:rsidRDefault="002648B0" w:rsidP="00FD239F">
            <w:pPr>
              <w:pStyle w:val="InstructionsText"/>
            </w:pPr>
            <w:r>
              <w:t>Člena 68 in 69 CRR.</w:t>
            </w:r>
          </w:p>
        </w:tc>
      </w:tr>
      <w:tr w:rsidR="002648B0" w:rsidRPr="00392FFD" w:rsidTr="00672D2A">
        <w:tc>
          <w:tcPr>
            <w:tcW w:w="1506" w:type="dxa"/>
          </w:tcPr>
          <w:p w:rsidR="002648B0" w:rsidRPr="00392FFD" w:rsidRDefault="002648B0" w:rsidP="00FD239F">
            <w:pPr>
              <w:pStyle w:val="InstructionsText"/>
            </w:pPr>
            <w:r>
              <w:t>600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17.1.1</w:t>
            </w:r>
            <w:r w:rsidR="00EE0671" w:rsidRPr="00EE0671">
              <w:rPr>
                <w:u w:val="single"/>
              </w:rPr>
              <w:tab/>
            </w:r>
            <w:r>
              <w:rPr>
                <w:rStyle w:val="InstructionsTabelleberschrift"/>
                <w:rFonts w:ascii="Times New Roman" w:hAnsi="Times New Roman"/>
                <w:sz w:val="24"/>
              </w:rPr>
              <w:t>Bruto neposredni deleži v dodatnem kapitalu subjektov finančnega sektorja, v katerih ima institucija pomembno naložbo</w:t>
            </w:r>
          </w:p>
          <w:p w:rsidR="005643EA" w:rsidRPr="00392FFD" w:rsidRDefault="002648B0" w:rsidP="00FD239F">
            <w:pPr>
              <w:pStyle w:val="InstructionsText"/>
            </w:pPr>
            <w:r>
              <w:t>Člen 68 CRR.</w:t>
            </w:r>
          </w:p>
          <w:p w:rsidR="005643EA" w:rsidRPr="00392FFD" w:rsidRDefault="002648B0" w:rsidP="00FD239F">
            <w:pPr>
              <w:pStyle w:val="InstructionsText"/>
            </w:pPr>
            <w:r>
              <w:lastRenderedPageBreak/>
              <w:t>Neposredni deleži v dodatnem kapitalu subjektov finančnega sektorja, v katerih ima institucija pomembno naložbo, razen:</w:t>
            </w:r>
          </w:p>
          <w:p w:rsidR="005643EA" w:rsidRPr="00392FFD" w:rsidRDefault="002648B0" w:rsidP="00FD239F">
            <w:pPr>
              <w:pStyle w:val="InstructionsText"/>
            </w:pPr>
            <w:r>
              <w:t>a)</w:t>
            </w:r>
            <w:r>
              <w:tab/>
              <w:t xml:space="preserve">pozicij iz izvedbe prve prodaje teh instrumentov z obveznostjo odkupa, ki jih je institucija imela pet delovnih dni ali manj (člen 66(d)), ter </w:t>
            </w:r>
          </w:p>
          <w:p w:rsidR="005643EA" w:rsidRPr="00392FFD" w:rsidRDefault="002648B0" w:rsidP="00FD239F">
            <w:pPr>
              <w:pStyle w:val="InstructionsText"/>
            </w:pPr>
            <w:r>
              <w:t>b)</w:t>
            </w:r>
            <w:r>
              <w:tab/>
              <w:t>deležev, ki se obravnavajo kot vzajemni navzkrižni deleži v skl</w:t>
            </w:r>
            <w:r>
              <w:t>a</w:t>
            </w:r>
            <w:r>
              <w:t>du s členom 66(b) CRR.</w:t>
            </w:r>
          </w:p>
        </w:tc>
      </w:tr>
      <w:tr w:rsidR="002648B0" w:rsidRPr="00392FFD" w:rsidTr="00672D2A">
        <w:tc>
          <w:tcPr>
            <w:tcW w:w="1506" w:type="dxa"/>
          </w:tcPr>
          <w:p w:rsidR="002648B0" w:rsidRPr="00392FFD" w:rsidRDefault="002648B0" w:rsidP="00FD239F">
            <w:pPr>
              <w:pStyle w:val="InstructionsText"/>
            </w:pPr>
            <w:r>
              <w:lastRenderedPageBreak/>
              <w:t>610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17.1.2</w:t>
            </w:r>
            <w:r w:rsidR="00EE0671" w:rsidRPr="00EE0671">
              <w:rPr>
                <w:u w:val="single"/>
              </w:rPr>
              <w:tab/>
            </w:r>
            <w:r>
              <w:rPr>
                <w:rStyle w:val="InstructionsTabelleberschrift"/>
                <w:rFonts w:ascii="Times New Roman" w:hAnsi="Times New Roman"/>
                <w:sz w:val="24"/>
              </w:rPr>
              <w:t>(–) Dovoljen pobot kratkih pozicij v zvezi z neposrednimi bruto deleži, vključenimi zgoraj</w:t>
            </w:r>
          </w:p>
          <w:p w:rsidR="005643EA" w:rsidRPr="00392FFD" w:rsidRDefault="002648B0" w:rsidP="00FD239F">
            <w:pPr>
              <w:pStyle w:val="InstructionsText"/>
            </w:pPr>
            <w:r>
              <w:t>Člen 69 CRR.</w:t>
            </w:r>
          </w:p>
          <w:p w:rsidR="005643EA" w:rsidRPr="00392FFD" w:rsidRDefault="002648B0" w:rsidP="00FD239F">
            <w:pPr>
              <w:pStyle w:val="InstructionsText"/>
            </w:pPr>
            <w:r>
              <w:t>V skladu s členom 69(a) CRR je dovoljen pobot kratkih pozicij v isti osnovni izpostavljenosti, če zapadlost kratke pozicije sovpada z zapadl</w:t>
            </w:r>
            <w:r>
              <w:t>o</w:t>
            </w:r>
            <w:r>
              <w:t>stjo dolge pozicije ali pa ima preostalo zapadlost vsaj eno leto.</w:t>
            </w:r>
          </w:p>
        </w:tc>
      </w:tr>
      <w:tr w:rsidR="002648B0" w:rsidRPr="00392FFD" w:rsidTr="00672D2A">
        <w:tc>
          <w:tcPr>
            <w:tcW w:w="1506" w:type="dxa"/>
          </w:tcPr>
          <w:p w:rsidR="002648B0" w:rsidRPr="00392FFD" w:rsidRDefault="002648B0" w:rsidP="00FD239F">
            <w:pPr>
              <w:pStyle w:val="InstructionsText"/>
            </w:pPr>
            <w:r>
              <w:t>620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17.2</w:t>
            </w:r>
            <w:r w:rsidR="00EE0671" w:rsidRPr="00EE0671">
              <w:rPr>
                <w:u w:val="single"/>
              </w:rPr>
              <w:tab/>
            </w:r>
            <w:r>
              <w:rPr>
                <w:rStyle w:val="InstructionsTabelleberschrift"/>
                <w:rFonts w:ascii="Times New Roman" w:hAnsi="Times New Roman"/>
                <w:sz w:val="24"/>
              </w:rPr>
              <w:t>Posredni deleži v dodatnem kapitalu subjektov finančnega sektorja, v katerih ima institucija pomembno naložbo</w:t>
            </w:r>
          </w:p>
          <w:p w:rsidR="005643EA" w:rsidRPr="00392FFD" w:rsidRDefault="002648B0" w:rsidP="00FD239F">
            <w:pPr>
              <w:pStyle w:val="InstructionsText"/>
            </w:pPr>
            <w:r>
              <w:t>Člen 4(1)(114) ter člena 68 in 69 CRR.</w:t>
            </w:r>
          </w:p>
        </w:tc>
      </w:tr>
      <w:tr w:rsidR="002648B0" w:rsidRPr="00392FFD" w:rsidTr="00672D2A">
        <w:tc>
          <w:tcPr>
            <w:tcW w:w="1506" w:type="dxa"/>
          </w:tcPr>
          <w:p w:rsidR="002648B0" w:rsidRPr="00392FFD" w:rsidRDefault="002648B0" w:rsidP="00FD239F">
            <w:pPr>
              <w:pStyle w:val="InstructionsText"/>
            </w:pPr>
            <w:r>
              <w:t>630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17.2.1</w:t>
            </w:r>
            <w:r w:rsidR="00EE0671" w:rsidRPr="00EE0671">
              <w:rPr>
                <w:u w:val="single"/>
              </w:rPr>
              <w:tab/>
            </w:r>
            <w:r>
              <w:rPr>
                <w:rStyle w:val="InstructionsTabelleberschrift"/>
                <w:rFonts w:ascii="Times New Roman" w:hAnsi="Times New Roman"/>
                <w:sz w:val="24"/>
              </w:rPr>
              <w:t>Bruto posredni deleži v dodatnem kapitalu subjektov finan</w:t>
            </w:r>
            <w:r>
              <w:rPr>
                <w:rStyle w:val="InstructionsTabelleberschrift"/>
                <w:rFonts w:ascii="Times New Roman" w:hAnsi="Times New Roman"/>
                <w:sz w:val="24"/>
              </w:rPr>
              <w:t>č</w:t>
            </w:r>
            <w:r>
              <w:rPr>
                <w:rStyle w:val="InstructionsTabelleberschrift"/>
                <w:rFonts w:ascii="Times New Roman" w:hAnsi="Times New Roman"/>
                <w:sz w:val="24"/>
              </w:rPr>
              <w:t>nega sektorja, v katerih ima institucija pomembno naložbo</w:t>
            </w:r>
          </w:p>
          <w:p w:rsidR="005643EA" w:rsidRPr="00392FFD" w:rsidRDefault="002648B0" w:rsidP="00FD239F">
            <w:pPr>
              <w:pStyle w:val="InstructionsText"/>
            </w:pPr>
            <w:r>
              <w:t>Člen 4(1)(114) ter člena 68 in 69 CRR.</w:t>
            </w:r>
          </w:p>
          <w:p w:rsidR="005643EA" w:rsidRPr="00392FFD" w:rsidRDefault="002648B0" w:rsidP="00FD239F">
            <w:pPr>
              <w:pStyle w:val="InstructionsText"/>
            </w:pPr>
            <w:r>
              <w:t>Znesek, ki se poroča, so posredni deleži v trgovalni knjigi v kapitalskih instrumentih subjektov finančnega sektorja v obliki deležev vrednostnih papirjev v indeksu. Pridobi se z izračunom osnovne izpostavljenosti do kapitalskih instrumentov subjektov finančnega sektorja v indeksih.</w:t>
            </w:r>
          </w:p>
          <w:p w:rsidR="005643EA" w:rsidRPr="00392FFD" w:rsidRDefault="002648B0" w:rsidP="00FD239F">
            <w:pPr>
              <w:pStyle w:val="InstructionsText"/>
            </w:pPr>
            <w:r>
              <w:t>Deleži, ki se obravnavajo kot vzajemni navzkrižni deleži v skladu s čl</w:t>
            </w:r>
            <w:r>
              <w:t>e</w:t>
            </w:r>
            <w:r>
              <w:t>nom 66(b) CRR, niso vključeni.</w:t>
            </w:r>
          </w:p>
        </w:tc>
      </w:tr>
      <w:tr w:rsidR="002648B0" w:rsidRPr="00392FFD" w:rsidTr="00672D2A">
        <w:tc>
          <w:tcPr>
            <w:tcW w:w="1506" w:type="dxa"/>
          </w:tcPr>
          <w:p w:rsidR="002648B0" w:rsidRPr="00392FFD" w:rsidRDefault="002648B0" w:rsidP="00FD239F">
            <w:pPr>
              <w:pStyle w:val="InstructionsText"/>
            </w:pPr>
            <w:r>
              <w:t>640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17.2.2</w:t>
            </w:r>
            <w:r w:rsidR="00EE0671" w:rsidRPr="00EE0671">
              <w:rPr>
                <w:u w:val="single"/>
              </w:rPr>
              <w:tab/>
            </w:r>
            <w:r>
              <w:rPr>
                <w:rStyle w:val="InstructionsTabelleberschrift"/>
                <w:rFonts w:ascii="Times New Roman" w:hAnsi="Times New Roman"/>
                <w:sz w:val="24"/>
              </w:rPr>
              <w:t>(–) Dovoljen pobot kratkih pozicij v zvezi s posrednimi bruto deleži, vključenimi zgoraj</w:t>
            </w:r>
          </w:p>
          <w:p w:rsidR="005643EA" w:rsidRPr="00392FFD" w:rsidRDefault="002648B0" w:rsidP="00FD239F">
            <w:pPr>
              <w:pStyle w:val="InstructionsText"/>
            </w:pPr>
            <w:r>
              <w:t>Člen 4(1)(114) in člen 69 CRR.</w:t>
            </w:r>
          </w:p>
          <w:p w:rsidR="005643EA" w:rsidRPr="00392FFD" w:rsidRDefault="002648B0" w:rsidP="00FD239F">
            <w:pPr>
              <w:pStyle w:val="InstructionsText"/>
            </w:pPr>
            <w:r>
              <w:t>V skladu s členom 69(a) CRR je dovoljen pobot kratkih pozicij v isti osnovni izpostavljenosti, če zapadlost kratke pozicije sovpada z zapadl</w:t>
            </w:r>
            <w:r>
              <w:t>o</w:t>
            </w:r>
            <w:r>
              <w:t>stjo dolge pozicije ali pa ima preostalo zapadlost vsaj eno leto.</w:t>
            </w:r>
          </w:p>
        </w:tc>
      </w:tr>
      <w:tr w:rsidR="002648B0" w:rsidRPr="00392FFD" w:rsidTr="00672D2A">
        <w:tc>
          <w:tcPr>
            <w:tcW w:w="1506" w:type="dxa"/>
          </w:tcPr>
          <w:p w:rsidR="002648B0" w:rsidRPr="00392FFD" w:rsidRDefault="002648B0" w:rsidP="00FD239F">
            <w:pPr>
              <w:pStyle w:val="InstructionsText"/>
            </w:pPr>
            <w:r>
              <w:t>641</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17.3</w:t>
            </w:r>
            <w:r w:rsidR="00EE0671" w:rsidRPr="00EE0671">
              <w:rPr>
                <w:u w:val="single"/>
              </w:rPr>
              <w:tab/>
            </w:r>
            <w:r>
              <w:rPr>
                <w:rStyle w:val="InstructionsTabelleberschrift"/>
                <w:rFonts w:ascii="Times New Roman" w:hAnsi="Times New Roman"/>
                <w:sz w:val="24"/>
              </w:rPr>
              <w:t>Sintetični deleži v dodatnem kapitalu subjektov finančnega sektorja, v katerih ima institucija pomembno naložbo</w:t>
            </w:r>
          </w:p>
          <w:p w:rsidR="005643EA" w:rsidRPr="00201704" w:rsidRDefault="00805255" w:rsidP="00FD239F">
            <w:pPr>
              <w:pStyle w:val="InstructionsText"/>
              <w:rPr>
                <w:rStyle w:val="InstructionsTabelleberschrift"/>
                <w:rFonts w:ascii="Times New Roman" w:hAnsi="Times New Roman"/>
                <w:b w:val="0"/>
                <w:bCs w:val="0"/>
                <w:sz w:val="24"/>
                <w:u w:val="none"/>
              </w:rPr>
            </w:pPr>
            <w:r>
              <w:t>Člen 4(1)(126) ter člena 68 in 69 CRR.</w:t>
            </w:r>
          </w:p>
        </w:tc>
      </w:tr>
      <w:tr w:rsidR="002648B0" w:rsidRPr="00392FFD" w:rsidTr="00672D2A">
        <w:tc>
          <w:tcPr>
            <w:tcW w:w="1506" w:type="dxa"/>
          </w:tcPr>
          <w:p w:rsidR="002648B0" w:rsidRPr="00392FFD" w:rsidRDefault="002648B0" w:rsidP="00FD239F">
            <w:pPr>
              <w:pStyle w:val="InstructionsText"/>
            </w:pPr>
            <w:r>
              <w:t>642</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17.3.1</w:t>
            </w:r>
            <w:r w:rsidR="00EE0671" w:rsidRPr="00EE0671">
              <w:rPr>
                <w:u w:val="single"/>
              </w:rPr>
              <w:tab/>
            </w:r>
            <w:r>
              <w:rPr>
                <w:rStyle w:val="InstructionsTabelleberschrift"/>
                <w:rFonts w:ascii="Times New Roman" w:hAnsi="Times New Roman"/>
                <w:sz w:val="24"/>
              </w:rPr>
              <w:t>Bruto sintetični deleži v dodatnem kapitalu subjektov finan</w:t>
            </w:r>
            <w:r>
              <w:rPr>
                <w:rStyle w:val="InstructionsTabelleberschrift"/>
                <w:rFonts w:ascii="Times New Roman" w:hAnsi="Times New Roman"/>
                <w:sz w:val="24"/>
              </w:rPr>
              <w:t>č</w:t>
            </w:r>
            <w:r>
              <w:rPr>
                <w:rStyle w:val="InstructionsTabelleberschrift"/>
                <w:rFonts w:ascii="Times New Roman" w:hAnsi="Times New Roman"/>
                <w:sz w:val="24"/>
              </w:rPr>
              <w:t>nega sektorja, v katerih ima institucija pomembno naložbo</w:t>
            </w:r>
          </w:p>
          <w:p w:rsidR="005643EA" w:rsidRPr="00201704" w:rsidRDefault="00805255" w:rsidP="00FD239F">
            <w:pPr>
              <w:pStyle w:val="InstructionsText"/>
              <w:rPr>
                <w:rStyle w:val="InstructionsTabelleberschrift"/>
                <w:rFonts w:ascii="Times New Roman" w:hAnsi="Times New Roman"/>
                <w:b w:val="0"/>
                <w:bCs w:val="0"/>
                <w:sz w:val="24"/>
                <w:u w:val="none"/>
              </w:rPr>
            </w:pPr>
            <w:r>
              <w:t>Člen 4(1)(126) ter člena 68 in 69 CRR.</w:t>
            </w:r>
          </w:p>
        </w:tc>
      </w:tr>
      <w:tr w:rsidR="002648B0" w:rsidRPr="00392FFD" w:rsidTr="00672D2A">
        <w:tc>
          <w:tcPr>
            <w:tcW w:w="1506" w:type="dxa"/>
          </w:tcPr>
          <w:p w:rsidR="002648B0" w:rsidRPr="00392FFD" w:rsidRDefault="002648B0" w:rsidP="00FD239F">
            <w:pPr>
              <w:pStyle w:val="InstructionsText"/>
            </w:pPr>
            <w:r>
              <w:t>643</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17.3.2</w:t>
            </w:r>
            <w:r w:rsidR="00EE0671" w:rsidRPr="00EE0671">
              <w:rPr>
                <w:u w:val="single"/>
              </w:rPr>
              <w:tab/>
            </w:r>
            <w:r>
              <w:rPr>
                <w:rStyle w:val="InstructionsTabelleberschrift"/>
                <w:rFonts w:ascii="Times New Roman" w:hAnsi="Times New Roman"/>
                <w:sz w:val="24"/>
              </w:rPr>
              <w:t>(–) Dovoljen pobot kratkih pozicij v zvezi s sintetičnimi bruto deleži, vključenimi zgoraj</w:t>
            </w:r>
          </w:p>
          <w:p w:rsidR="005643EA" w:rsidRPr="00201704" w:rsidRDefault="00805255" w:rsidP="00FD239F">
            <w:pPr>
              <w:pStyle w:val="InstructionsText"/>
              <w:rPr>
                <w:rStyle w:val="InstructionsTabelleberschrift"/>
                <w:rFonts w:ascii="Times New Roman" w:hAnsi="Times New Roman"/>
                <w:b w:val="0"/>
                <w:bCs w:val="0"/>
                <w:sz w:val="24"/>
                <w:u w:val="none"/>
              </w:rPr>
            </w:pPr>
            <w:r>
              <w:t>Člen 4(1)(126) in člen 69 CRR.</w:t>
            </w:r>
          </w:p>
        </w:tc>
      </w:tr>
      <w:tr w:rsidR="002648B0" w:rsidRPr="00392FFD" w:rsidTr="00672D2A">
        <w:tc>
          <w:tcPr>
            <w:tcW w:w="1506" w:type="dxa"/>
          </w:tcPr>
          <w:p w:rsidR="002648B0" w:rsidRPr="00392FFD" w:rsidRDefault="002648B0" w:rsidP="00FD239F">
            <w:pPr>
              <w:pStyle w:val="InstructionsText"/>
            </w:pPr>
            <w:r>
              <w:lastRenderedPageBreak/>
              <w:t>650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18 Tveganju prilagojene izpostavljenosti deležev v navadnem lastn</w:t>
            </w:r>
            <w:r>
              <w:rPr>
                <w:rStyle w:val="InstructionsTabelleberschrift"/>
                <w:rFonts w:ascii="Times New Roman" w:hAnsi="Times New Roman"/>
                <w:sz w:val="24"/>
              </w:rPr>
              <w:t>i</w:t>
            </w:r>
            <w:r>
              <w:rPr>
                <w:rStyle w:val="InstructionsTabelleberschrift"/>
                <w:rFonts w:ascii="Times New Roman" w:hAnsi="Times New Roman"/>
                <w:sz w:val="24"/>
              </w:rPr>
              <w:t>škem temeljnem kapitalu subjektov finančnega sektorja, ki se ne odbijejo od navadnega lastniškega temeljnega kapitala institucije</w:t>
            </w:r>
          </w:p>
          <w:p w:rsidR="005643EA" w:rsidRPr="00392FFD" w:rsidRDefault="002648B0" w:rsidP="00FD239F">
            <w:pPr>
              <w:pStyle w:val="InstructionsText"/>
            </w:pPr>
            <w:r>
              <w:t>Člen 46(4), člen 48(4) in člen 49(4) CRR.</w:t>
            </w:r>
          </w:p>
        </w:tc>
      </w:tr>
      <w:tr w:rsidR="002648B0" w:rsidRPr="00392FFD" w:rsidTr="00672D2A">
        <w:tc>
          <w:tcPr>
            <w:tcW w:w="1506" w:type="dxa"/>
          </w:tcPr>
          <w:p w:rsidR="002648B0" w:rsidRPr="00392FFD" w:rsidRDefault="002648B0" w:rsidP="00FD239F">
            <w:pPr>
              <w:pStyle w:val="InstructionsText"/>
            </w:pPr>
            <w:r>
              <w:t>660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19 Tveganju prilagojene izpostavljenosti deležev v dodatnem tem</w:t>
            </w:r>
            <w:r>
              <w:rPr>
                <w:rStyle w:val="InstructionsTabelleberschrift"/>
                <w:rFonts w:ascii="Times New Roman" w:hAnsi="Times New Roman"/>
                <w:sz w:val="24"/>
              </w:rPr>
              <w:t>e</w:t>
            </w:r>
            <w:r>
              <w:rPr>
                <w:rStyle w:val="InstructionsTabelleberschrift"/>
                <w:rFonts w:ascii="Times New Roman" w:hAnsi="Times New Roman"/>
                <w:sz w:val="24"/>
              </w:rPr>
              <w:t>ljnem kapitalu subjektov finančnega sektorja, ki se ne odbijejo od dodatnega temeljnega kapitala institucije</w:t>
            </w:r>
          </w:p>
          <w:p w:rsidR="005643EA" w:rsidRPr="00392FFD" w:rsidRDefault="002648B0" w:rsidP="00FD239F">
            <w:pPr>
              <w:pStyle w:val="InstructionsText"/>
            </w:pPr>
            <w:r>
              <w:t>Člen 60(4) CRR.</w:t>
            </w:r>
          </w:p>
        </w:tc>
      </w:tr>
      <w:tr w:rsidR="002648B0" w:rsidRPr="00392FFD" w:rsidTr="00672D2A">
        <w:tc>
          <w:tcPr>
            <w:tcW w:w="1506" w:type="dxa"/>
          </w:tcPr>
          <w:p w:rsidR="002648B0" w:rsidRPr="00392FFD" w:rsidRDefault="002648B0" w:rsidP="00FD239F">
            <w:pPr>
              <w:pStyle w:val="InstructionsText"/>
            </w:pPr>
            <w:r>
              <w:t>670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20 Tveganju prilagojene izpostavljenosti deležev v dodatnem kapit</w:t>
            </w:r>
            <w:r>
              <w:rPr>
                <w:rStyle w:val="InstructionsTabelleberschrift"/>
                <w:rFonts w:ascii="Times New Roman" w:hAnsi="Times New Roman"/>
                <w:sz w:val="24"/>
              </w:rPr>
              <w:t>a</w:t>
            </w:r>
            <w:r>
              <w:rPr>
                <w:rStyle w:val="InstructionsTabelleberschrift"/>
                <w:rFonts w:ascii="Times New Roman" w:hAnsi="Times New Roman"/>
                <w:sz w:val="24"/>
              </w:rPr>
              <w:t>lu subjektov finančnega sektorja, ki se ne odbijejo od dodatnega kapitala institucije</w:t>
            </w:r>
          </w:p>
          <w:p w:rsidR="005643EA" w:rsidRPr="00392FFD" w:rsidRDefault="002648B0" w:rsidP="00FD239F">
            <w:pPr>
              <w:pStyle w:val="InstructionsText"/>
            </w:pPr>
            <w:r>
              <w:t>Člen 70(4) CRR.</w:t>
            </w:r>
          </w:p>
        </w:tc>
      </w:tr>
      <w:tr w:rsidR="002648B0" w:rsidRPr="00392FFD" w:rsidTr="00672D2A">
        <w:tc>
          <w:tcPr>
            <w:tcW w:w="1506" w:type="dxa"/>
          </w:tcPr>
          <w:p w:rsidR="002648B0" w:rsidRPr="00392FFD" w:rsidRDefault="002648B0" w:rsidP="00FD239F">
            <w:pPr>
              <w:pStyle w:val="InstructionsText"/>
            </w:pPr>
            <w:r>
              <w:t>680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21</w:t>
            </w:r>
            <w:r w:rsidR="00EE0671" w:rsidRPr="00EE0671">
              <w:rPr>
                <w:u w:val="single"/>
              </w:rPr>
              <w:tab/>
            </w:r>
            <w:r>
              <w:rPr>
                <w:rStyle w:val="InstructionsTabelleberschrift"/>
                <w:rFonts w:ascii="Times New Roman" w:hAnsi="Times New Roman"/>
                <w:sz w:val="24"/>
              </w:rPr>
              <w:t>Deleži v instrumentih navadnega lastniškega temeljnega kapitala subjektov finančnega sektorja, v katerih institucija nima pomembne naložbe z začasno opustitvijo</w:t>
            </w:r>
          </w:p>
          <w:p w:rsidR="005643EA" w:rsidRPr="00392FFD" w:rsidRDefault="002648B0" w:rsidP="00FD239F">
            <w:pPr>
              <w:pStyle w:val="InstructionsText"/>
            </w:pPr>
            <w:r>
              <w:t>Člen 79 CRR.</w:t>
            </w:r>
          </w:p>
          <w:p w:rsidR="005643EA" w:rsidRPr="00392FFD" w:rsidRDefault="002648B0" w:rsidP="00FD239F">
            <w:pPr>
              <w:pStyle w:val="InstructionsText"/>
            </w:pPr>
            <w:r>
              <w:t>Pristojni organ lahko začasno opusti uporabo določb glede odbitkov od navadnega lastniškega temeljnega kapitala za deleže v instrumentih posebnega subjekta finančnega sektorja, kadar so navedeni deleži obra</w:t>
            </w:r>
            <w:r>
              <w:t>v</w:t>
            </w:r>
            <w:r>
              <w:t>navani kot finančna pomoč za reorganizacijo in ohranitev zadevnega subjekta.</w:t>
            </w:r>
          </w:p>
          <w:p w:rsidR="005643EA" w:rsidRPr="00392FFD" w:rsidRDefault="002648B0" w:rsidP="00FD239F">
            <w:pPr>
              <w:pStyle w:val="InstructionsText"/>
            </w:pPr>
            <w:r>
              <w:t>Opozoriti je treba, da se ti instrumenti poročajo tudi v postavki 12.1.</w:t>
            </w:r>
          </w:p>
        </w:tc>
      </w:tr>
      <w:tr w:rsidR="002648B0" w:rsidRPr="00392FFD" w:rsidTr="00672D2A">
        <w:tc>
          <w:tcPr>
            <w:tcW w:w="1506" w:type="dxa"/>
          </w:tcPr>
          <w:p w:rsidR="002648B0" w:rsidRPr="00392FFD" w:rsidRDefault="002648B0" w:rsidP="00FD239F">
            <w:pPr>
              <w:pStyle w:val="InstructionsText"/>
            </w:pPr>
            <w:r>
              <w:t>690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w:t>
            </w:r>
            <w:r w:rsidR="00EE0671" w:rsidRPr="00EE0671">
              <w:rPr>
                <w:u w:val="single"/>
              </w:rPr>
              <w:tab/>
            </w:r>
            <w:r>
              <w:rPr>
                <w:rStyle w:val="InstructionsTabelleberschrift"/>
                <w:rFonts w:ascii="Times New Roman" w:hAnsi="Times New Roman"/>
                <w:sz w:val="24"/>
              </w:rPr>
              <w:t>Deleži v instrumentih navadnega lastniškega temeljnega kapitala subjektov finančnega sektorja, v katerih ima institucija pomembno naložbo z začasno opustitvijo</w:t>
            </w:r>
          </w:p>
          <w:p w:rsidR="005643EA" w:rsidRPr="00392FFD" w:rsidRDefault="002648B0" w:rsidP="00FD239F">
            <w:pPr>
              <w:pStyle w:val="InstructionsText"/>
            </w:pPr>
            <w:r>
              <w:t>Člen 79 CRR.</w:t>
            </w:r>
          </w:p>
          <w:p w:rsidR="005643EA" w:rsidRPr="00392FFD" w:rsidRDefault="002648B0" w:rsidP="00FD239F">
            <w:pPr>
              <w:pStyle w:val="InstructionsText"/>
            </w:pPr>
            <w:r>
              <w:t>Pristojni organ lahko začasno opusti uporabo določb glede odbitkov od navadnega lastniškega temeljnega kapitala za deleže v instrumentih posebnega subjekta finančnega sektorja, kadar so navedeni deleži obra</w:t>
            </w:r>
            <w:r>
              <w:t>v</w:t>
            </w:r>
            <w:r>
              <w:t>navani kot finančna pomoč za reorganizacijo in ohranitev zadevnega subjekta.</w:t>
            </w:r>
          </w:p>
          <w:p w:rsidR="005643EA" w:rsidRPr="00392FFD" w:rsidRDefault="002648B0" w:rsidP="00FD239F">
            <w:pPr>
              <w:pStyle w:val="InstructionsText"/>
            </w:pPr>
            <w:r>
              <w:t>Opozoriti je treba, da se ti instrumenti poročajo tudi v postavki 15.1.</w:t>
            </w:r>
          </w:p>
        </w:tc>
      </w:tr>
      <w:tr w:rsidR="002648B0" w:rsidRPr="00392FFD" w:rsidTr="00672D2A">
        <w:tc>
          <w:tcPr>
            <w:tcW w:w="1506" w:type="dxa"/>
          </w:tcPr>
          <w:p w:rsidR="002648B0" w:rsidRPr="00392FFD" w:rsidRDefault="002648B0" w:rsidP="00FD239F">
            <w:pPr>
              <w:pStyle w:val="InstructionsText"/>
            </w:pPr>
            <w:r>
              <w:t>700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23</w:t>
            </w:r>
            <w:r w:rsidR="00EE0671" w:rsidRPr="00EE0671">
              <w:rPr>
                <w:u w:val="single"/>
              </w:rPr>
              <w:tab/>
            </w:r>
            <w:r>
              <w:rPr>
                <w:rStyle w:val="InstructionsTabelleberschrift"/>
                <w:rFonts w:ascii="Times New Roman" w:hAnsi="Times New Roman"/>
                <w:sz w:val="24"/>
              </w:rPr>
              <w:t>Deleži v instrumentih dodatnega temeljnega kapitala subje</w:t>
            </w:r>
            <w:r>
              <w:rPr>
                <w:rStyle w:val="InstructionsTabelleberschrift"/>
                <w:rFonts w:ascii="Times New Roman" w:hAnsi="Times New Roman"/>
                <w:sz w:val="24"/>
              </w:rPr>
              <w:t>k</w:t>
            </w:r>
            <w:r>
              <w:rPr>
                <w:rStyle w:val="InstructionsTabelleberschrift"/>
                <w:rFonts w:ascii="Times New Roman" w:hAnsi="Times New Roman"/>
                <w:sz w:val="24"/>
              </w:rPr>
              <w:t>tov finančnega sektorja, v katerih institucija nima pomembne nal</w:t>
            </w:r>
            <w:r>
              <w:rPr>
                <w:rStyle w:val="InstructionsTabelleberschrift"/>
                <w:rFonts w:ascii="Times New Roman" w:hAnsi="Times New Roman"/>
                <w:sz w:val="24"/>
              </w:rPr>
              <w:t>o</w:t>
            </w:r>
            <w:r>
              <w:rPr>
                <w:rStyle w:val="InstructionsTabelleberschrift"/>
                <w:rFonts w:ascii="Times New Roman" w:hAnsi="Times New Roman"/>
                <w:sz w:val="24"/>
              </w:rPr>
              <w:t>žbe z začasno opustitvijo</w:t>
            </w:r>
          </w:p>
          <w:p w:rsidR="005643EA" w:rsidRPr="00392FFD" w:rsidRDefault="002648B0" w:rsidP="00FD239F">
            <w:pPr>
              <w:pStyle w:val="InstructionsText"/>
            </w:pPr>
            <w:r>
              <w:t>Člen 79 CRR.</w:t>
            </w:r>
          </w:p>
          <w:p w:rsidR="005643EA" w:rsidRPr="00392FFD" w:rsidRDefault="002648B0" w:rsidP="00FD239F">
            <w:pPr>
              <w:pStyle w:val="InstructionsText"/>
            </w:pPr>
            <w:r>
              <w:t>Pristojni organ lahko začasno opusti uporabo določb glede odbitkov od dodatnega temeljnega kapitala za deleže v instrumentih posebnega su</w:t>
            </w:r>
            <w:r>
              <w:t>b</w:t>
            </w:r>
            <w:r>
              <w:t>jekta finančnega sektorja, kadar so navedeni deleži obravnavani kot finančna pomoč za reorganizacijo in ohranitev zadevnega subjekta.</w:t>
            </w:r>
          </w:p>
          <w:p w:rsidR="005643EA" w:rsidRPr="00392FFD" w:rsidRDefault="002648B0" w:rsidP="00FD239F">
            <w:pPr>
              <w:pStyle w:val="InstructionsText"/>
            </w:pPr>
            <w:r>
              <w:t>Opozoriti je treba, da se ti instrumenti poročajo tudi v postavki 13.1.</w:t>
            </w:r>
          </w:p>
        </w:tc>
      </w:tr>
      <w:tr w:rsidR="002648B0" w:rsidRPr="00392FFD" w:rsidTr="00672D2A">
        <w:tc>
          <w:tcPr>
            <w:tcW w:w="1506" w:type="dxa"/>
          </w:tcPr>
          <w:p w:rsidR="002648B0" w:rsidRPr="00392FFD" w:rsidRDefault="002648B0" w:rsidP="00FD239F">
            <w:pPr>
              <w:pStyle w:val="InstructionsText"/>
            </w:pPr>
            <w:r>
              <w:t>710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24</w:t>
            </w:r>
            <w:r w:rsidR="00EE0671" w:rsidRPr="00EE0671">
              <w:rPr>
                <w:u w:val="single"/>
              </w:rPr>
              <w:tab/>
            </w:r>
            <w:r>
              <w:rPr>
                <w:rStyle w:val="InstructionsTabelleberschrift"/>
                <w:rFonts w:ascii="Times New Roman" w:hAnsi="Times New Roman"/>
                <w:sz w:val="24"/>
              </w:rPr>
              <w:t>Deleži v instrumentih dodatnega temeljnega kapitala subje</w:t>
            </w:r>
            <w:r>
              <w:rPr>
                <w:rStyle w:val="InstructionsTabelleberschrift"/>
                <w:rFonts w:ascii="Times New Roman" w:hAnsi="Times New Roman"/>
                <w:sz w:val="24"/>
              </w:rPr>
              <w:t>k</w:t>
            </w:r>
            <w:r>
              <w:rPr>
                <w:rStyle w:val="InstructionsTabelleberschrift"/>
                <w:rFonts w:ascii="Times New Roman" w:hAnsi="Times New Roman"/>
                <w:sz w:val="24"/>
              </w:rPr>
              <w:lastRenderedPageBreak/>
              <w:t>tov finančnega sektorja, v katerih ima institucija pomembno nalo</w:t>
            </w:r>
            <w:r>
              <w:rPr>
                <w:rStyle w:val="InstructionsTabelleberschrift"/>
                <w:rFonts w:ascii="Times New Roman" w:hAnsi="Times New Roman"/>
                <w:sz w:val="24"/>
              </w:rPr>
              <w:t>ž</w:t>
            </w:r>
            <w:r>
              <w:rPr>
                <w:rStyle w:val="InstructionsTabelleberschrift"/>
                <w:rFonts w:ascii="Times New Roman" w:hAnsi="Times New Roman"/>
                <w:sz w:val="24"/>
              </w:rPr>
              <w:t>bo z začasno opustitvijo</w:t>
            </w:r>
          </w:p>
          <w:p w:rsidR="005643EA" w:rsidRPr="00392FFD" w:rsidRDefault="002648B0" w:rsidP="00FD239F">
            <w:pPr>
              <w:pStyle w:val="InstructionsText"/>
            </w:pPr>
            <w:r>
              <w:t>Člen 79 CRR.</w:t>
            </w:r>
          </w:p>
          <w:p w:rsidR="005643EA" w:rsidRPr="00392FFD" w:rsidRDefault="002648B0" w:rsidP="00FD239F">
            <w:pPr>
              <w:pStyle w:val="InstructionsText"/>
            </w:pPr>
            <w:r>
              <w:t>Pristojni organ lahko začasno opusti uporabo določb glede odbitkov od dodatnega temeljnega kapitala za deleže v instrumentih posebnega su</w:t>
            </w:r>
            <w:r>
              <w:t>b</w:t>
            </w:r>
            <w:r>
              <w:t>jekta finančnega sektorja, kadar so navedeni deleži obravnavani kot finančna pomoč za reorganizacijo in ohranitev zadevnega subjekta.</w:t>
            </w:r>
          </w:p>
          <w:p w:rsidR="005643EA" w:rsidRPr="00392FFD" w:rsidRDefault="002648B0" w:rsidP="00FD239F">
            <w:pPr>
              <w:pStyle w:val="InstructionsText"/>
            </w:pPr>
            <w:r>
              <w:t>Opozoriti je treba, da se ti instrumenti poročajo tudi v postavki 16.1.</w:t>
            </w:r>
          </w:p>
        </w:tc>
      </w:tr>
      <w:tr w:rsidR="002648B0" w:rsidRPr="00392FFD" w:rsidTr="00672D2A">
        <w:tc>
          <w:tcPr>
            <w:tcW w:w="1506" w:type="dxa"/>
          </w:tcPr>
          <w:p w:rsidR="002648B0" w:rsidRPr="00392FFD" w:rsidRDefault="002648B0" w:rsidP="00FD239F">
            <w:pPr>
              <w:pStyle w:val="InstructionsText"/>
            </w:pPr>
            <w:r>
              <w:lastRenderedPageBreak/>
              <w:t>720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25</w:t>
            </w:r>
            <w:r w:rsidR="00EE0671" w:rsidRPr="00EE0671">
              <w:rPr>
                <w:u w:val="single"/>
              </w:rPr>
              <w:tab/>
            </w:r>
            <w:r>
              <w:rPr>
                <w:rStyle w:val="InstructionsTabelleberschrift"/>
                <w:rFonts w:ascii="Times New Roman" w:hAnsi="Times New Roman"/>
                <w:sz w:val="24"/>
              </w:rPr>
              <w:t>Deleži v instrumentih dodatnega kapitala subjektov finan</w:t>
            </w:r>
            <w:r>
              <w:rPr>
                <w:rStyle w:val="InstructionsTabelleberschrift"/>
                <w:rFonts w:ascii="Times New Roman" w:hAnsi="Times New Roman"/>
                <w:sz w:val="24"/>
              </w:rPr>
              <w:t>č</w:t>
            </w:r>
            <w:r>
              <w:rPr>
                <w:rStyle w:val="InstructionsTabelleberschrift"/>
                <w:rFonts w:ascii="Times New Roman" w:hAnsi="Times New Roman"/>
                <w:sz w:val="24"/>
              </w:rPr>
              <w:t>nega sektorja, v katerih institucija nima pomembne naložbe z zač</w:t>
            </w:r>
            <w:r>
              <w:rPr>
                <w:rStyle w:val="InstructionsTabelleberschrift"/>
                <w:rFonts w:ascii="Times New Roman" w:hAnsi="Times New Roman"/>
                <w:sz w:val="24"/>
              </w:rPr>
              <w:t>a</w:t>
            </w:r>
            <w:r>
              <w:rPr>
                <w:rStyle w:val="InstructionsTabelleberschrift"/>
                <w:rFonts w:ascii="Times New Roman" w:hAnsi="Times New Roman"/>
                <w:sz w:val="24"/>
              </w:rPr>
              <w:t>sno opustitvijo</w:t>
            </w:r>
          </w:p>
          <w:p w:rsidR="005643EA" w:rsidRPr="00392FFD" w:rsidRDefault="002648B0" w:rsidP="00FD239F">
            <w:pPr>
              <w:pStyle w:val="InstructionsText"/>
            </w:pPr>
            <w:r>
              <w:t>Člen 79 CRR.</w:t>
            </w:r>
          </w:p>
          <w:p w:rsidR="005643EA" w:rsidRPr="00392FFD" w:rsidRDefault="002648B0" w:rsidP="00FD239F">
            <w:pPr>
              <w:pStyle w:val="InstructionsText"/>
            </w:pPr>
            <w:r>
              <w:t>Pristojni organ lahko začasno opusti uporabo določb glede odbitkov od dodatnega kapitala za deleže v instrumentih posebnega subjekta finan</w:t>
            </w:r>
            <w:r>
              <w:t>č</w:t>
            </w:r>
            <w:r>
              <w:t>nega sektorja, kadar so navedeni deleži obravnavani kot finančna pomoč za reorganizacijo in ohranitev zadevnega subjekta.</w:t>
            </w:r>
          </w:p>
          <w:p w:rsidR="005643EA" w:rsidRPr="00392FFD" w:rsidRDefault="002648B0" w:rsidP="00FD239F">
            <w:pPr>
              <w:pStyle w:val="InstructionsText"/>
            </w:pPr>
            <w:r>
              <w:t>Opozoriti je treba, da se ti instrumenti poročajo tudi v postavki 14.1.</w:t>
            </w:r>
          </w:p>
        </w:tc>
      </w:tr>
      <w:tr w:rsidR="002648B0" w:rsidRPr="00392FFD" w:rsidTr="00672D2A">
        <w:tc>
          <w:tcPr>
            <w:tcW w:w="1506" w:type="dxa"/>
          </w:tcPr>
          <w:p w:rsidR="002648B0" w:rsidRPr="00392FFD" w:rsidRDefault="002648B0" w:rsidP="00FD239F">
            <w:pPr>
              <w:pStyle w:val="InstructionsText"/>
            </w:pPr>
            <w:r>
              <w:t>730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26</w:t>
            </w:r>
            <w:r w:rsidR="00EE0671" w:rsidRPr="00EE0671">
              <w:rPr>
                <w:u w:val="single"/>
              </w:rPr>
              <w:tab/>
            </w:r>
            <w:r>
              <w:rPr>
                <w:rStyle w:val="InstructionsTabelleberschrift"/>
                <w:rFonts w:ascii="Times New Roman" w:hAnsi="Times New Roman"/>
                <w:sz w:val="24"/>
              </w:rPr>
              <w:t>Deleži v instrumentih dodatnega kapitala subjektov finan</w:t>
            </w:r>
            <w:r>
              <w:rPr>
                <w:rStyle w:val="InstructionsTabelleberschrift"/>
                <w:rFonts w:ascii="Times New Roman" w:hAnsi="Times New Roman"/>
                <w:sz w:val="24"/>
              </w:rPr>
              <w:t>č</w:t>
            </w:r>
            <w:r>
              <w:rPr>
                <w:rStyle w:val="InstructionsTabelleberschrift"/>
                <w:rFonts w:ascii="Times New Roman" w:hAnsi="Times New Roman"/>
                <w:sz w:val="24"/>
              </w:rPr>
              <w:t>nega sektorja, v katerih ima institucija pomembno naložbo z zača</w:t>
            </w:r>
            <w:r>
              <w:rPr>
                <w:rStyle w:val="InstructionsTabelleberschrift"/>
                <w:rFonts w:ascii="Times New Roman" w:hAnsi="Times New Roman"/>
                <w:sz w:val="24"/>
              </w:rPr>
              <w:t>s</w:t>
            </w:r>
            <w:r>
              <w:rPr>
                <w:rStyle w:val="InstructionsTabelleberschrift"/>
                <w:rFonts w:ascii="Times New Roman" w:hAnsi="Times New Roman"/>
                <w:sz w:val="24"/>
              </w:rPr>
              <w:t>no opustitvijo</w:t>
            </w:r>
          </w:p>
          <w:p w:rsidR="005643EA" w:rsidRPr="00392FFD" w:rsidRDefault="002648B0" w:rsidP="00FD239F">
            <w:pPr>
              <w:pStyle w:val="InstructionsText"/>
            </w:pPr>
            <w:r>
              <w:t>Člen 79 CRR.</w:t>
            </w:r>
          </w:p>
          <w:p w:rsidR="005643EA" w:rsidRPr="00392FFD" w:rsidRDefault="002648B0" w:rsidP="00FD239F">
            <w:pPr>
              <w:pStyle w:val="InstructionsText"/>
            </w:pPr>
            <w:r>
              <w:t>Pristojni organ lahko začasno opusti uporabo določb glede odbitkov od dodatnega kapitala za deleže v instrumentih posebnega subjekta finan</w:t>
            </w:r>
            <w:r>
              <w:t>č</w:t>
            </w:r>
            <w:r>
              <w:t>nega sektorja, kadar so navedeni deleži obravnavani kot finančna pomoč za reorganizacijo in ohranitev zadevnega subjekta.</w:t>
            </w:r>
          </w:p>
          <w:p w:rsidR="005643EA" w:rsidRPr="00392FFD" w:rsidRDefault="002648B0" w:rsidP="00FD239F">
            <w:pPr>
              <w:pStyle w:val="InstructionsText"/>
            </w:pPr>
            <w:r>
              <w:t>Opozoriti je treba, da se ti instrumenti poročajo tudi v postavki 17.1.</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t>740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Pr>
                <w:rStyle w:val="InstructionsTabelleberschrift"/>
                <w:rFonts w:ascii="Times New Roman" w:hAnsi="Times New Roman"/>
                <w:sz w:val="24"/>
              </w:rPr>
              <w:t>27</w:t>
            </w:r>
            <w:r w:rsidR="00EE0671" w:rsidRPr="00EE0671">
              <w:rPr>
                <w:u w:val="single"/>
              </w:rPr>
              <w:tab/>
            </w:r>
            <w:r>
              <w:rPr>
                <w:rStyle w:val="InstructionsTabelleberschrift"/>
                <w:rFonts w:ascii="Times New Roman" w:hAnsi="Times New Roman"/>
                <w:sz w:val="24"/>
              </w:rPr>
              <w:t>Zahteva po skupnem blažilniku</w:t>
            </w:r>
          </w:p>
          <w:p w:rsidR="005643EA" w:rsidRPr="00392FFD" w:rsidRDefault="002648B0" w:rsidP="00FD239F">
            <w:pPr>
              <w:pStyle w:val="InstructionsText"/>
            </w:pPr>
            <w:r>
              <w:t>Člen 128(6) CRD.</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AC0F2C" w:rsidP="00FD239F">
            <w:pPr>
              <w:pStyle w:val="InstructionsText"/>
            </w:pPr>
            <w:r>
              <w:t>750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454139" w:rsidP="00FD239F">
            <w:pPr>
              <w:pStyle w:val="InstructionsText"/>
            </w:pPr>
            <w:r>
              <w:rPr>
                <w:rStyle w:val="InstructionsTabelleberschrift"/>
                <w:rFonts w:ascii="Times New Roman" w:hAnsi="Times New Roman"/>
                <w:sz w:val="24"/>
              </w:rPr>
              <w:t>Varovalni kapitalski blažilnik</w:t>
            </w:r>
          </w:p>
          <w:p w:rsidR="005643EA" w:rsidRPr="00392FFD" w:rsidRDefault="002648B0" w:rsidP="00FD239F">
            <w:pPr>
              <w:pStyle w:val="InstructionsText"/>
            </w:pPr>
            <w:r>
              <w:t xml:space="preserve">Člen 128(1) in člen 129 direktive CRD. </w:t>
            </w:r>
          </w:p>
          <w:p w:rsidR="005643EA" w:rsidRPr="00392FFD" w:rsidRDefault="002648B0" w:rsidP="00FD239F">
            <w:pPr>
              <w:pStyle w:val="InstructionsText"/>
            </w:pPr>
            <w:r>
              <w:t>V skladu s členom 129(1) je varovalni kapitalski blažilnik dodatni zn</w:t>
            </w:r>
            <w:r>
              <w:t>e</w:t>
            </w:r>
            <w:r>
              <w:t>sek navadnega lastniškega temeljnega kapitala. Ker je stopnja varova</w:t>
            </w:r>
            <w:r>
              <w:t>l</w:t>
            </w:r>
            <w:r>
              <w:t>nega kapitalskega blažilnika v višini 2,5 % stalna, se znesek poroča v tej celici.</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t>760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Pr>
                <w:rStyle w:val="InstructionsTabelleberschrift"/>
                <w:rFonts w:ascii="Times New Roman" w:hAnsi="Times New Roman"/>
                <w:sz w:val="24"/>
              </w:rPr>
              <w:t xml:space="preserve">Varovalni blažilnik zaradi </w:t>
            </w:r>
            <w:proofErr w:type="spellStart"/>
            <w:r>
              <w:rPr>
                <w:rStyle w:val="InstructionsTabelleberschrift"/>
                <w:rFonts w:ascii="Times New Roman" w:hAnsi="Times New Roman"/>
                <w:sz w:val="24"/>
              </w:rPr>
              <w:t>makrobonitetnega</w:t>
            </w:r>
            <w:proofErr w:type="spellEnd"/>
            <w:r>
              <w:rPr>
                <w:rStyle w:val="InstructionsTabelleberschrift"/>
                <w:rFonts w:ascii="Times New Roman" w:hAnsi="Times New Roman"/>
                <w:sz w:val="24"/>
              </w:rPr>
              <w:t xml:space="preserve"> ali sistemskega tveg</w:t>
            </w:r>
            <w:r>
              <w:rPr>
                <w:rStyle w:val="InstructionsTabelleberschrift"/>
                <w:rFonts w:ascii="Times New Roman" w:hAnsi="Times New Roman"/>
                <w:sz w:val="24"/>
              </w:rPr>
              <w:t>a</w:t>
            </w:r>
            <w:r>
              <w:rPr>
                <w:rStyle w:val="InstructionsTabelleberschrift"/>
                <w:rFonts w:ascii="Times New Roman" w:hAnsi="Times New Roman"/>
                <w:sz w:val="24"/>
              </w:rPr>
              <w:t xml:space="preserve">nja, ugotovljenega na ravni države članice </w:t>
            </w:r>
          </w:p>
          <w:p w:rsidR="005643EA" w:rsidRPr="00392FFD" w:rsidRDefault="002648B0" w:rsidP="00FD239F">
            <w:pPr>
              <w:pStyle w:val="InstructionsText"/>
            </w:pPr>
            <w:r>
              <w:t>Člen 458(2)(d)(iv) CRR.</w:t>
            </w:r>
          </w:p>
          <w:p w:rsidR="00DF65DF" w:rsidRPr="00392FFD" w:rsidRDefault="002648B0" w:rsidP="00FD239F">
            <w:pPr>
              <w:pStyle w:val="InstructionsText"/>
            </w:pPr>
            <w:r>
              <w:t xml:space="preserve">V tej celici se poroča znesek varovalnega blažilnika zaradi </w:t>
            </w:r>
            <w:proofErr w:type="spellStart"/>
            <w:r>
              <w:t>makrobonit</w:t>
            </w:r>
            <w:r>
              <w:t>e</w:t>
            </w:r>
            <w:r>
              <w:t>tnega</w:t>
            </w:r>
            <w:proofErr w:type="spellEnd"/>
            <w:r>
              <w:t xml:space="preserve"> ali sistemskega tveganja, ugotovljenega na ravni države članice, ki se lahko v skladu s členom 458 CRR zahteva poleg varovalnega kapita</w:t>
            </w:r>
            <w:r>
              <w:t>l</w:t>
            </w:r>
            <w:r>
              <w:t>skega blažilnika.</w:t>
            </w:r>
          </w:p>
          <w:p w:rsidR="005643EA" w:rsidRPr="00392FFD" w:rsidRDefault="00DF65DF" w:rsidP="00FD239F">
            <w:pPr>
              <w:pStyle w:val="InstructionsText"/>
            </w:pPr>
            <w:r>
              <w:lastRenderedPageBreak/>
              <w:t>Znesek, ki se poroča, predstavlja znesek kapitala, ki je potreben za izpolnitev ustreznih zahtev po kapitalskem blažilniku na datum poroča</w:t>
            </w:r>
            <w:r>
              <w:t>n</w:t>
            </w:r>
            <w:r>
              <w:t>ja.</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lastRenderedPageBreak/>
              <w:t>770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10177C" w:rsidP="00FD239F">
            <w:pPr>
              <w:pStyle w:val="InstructionsText"/>
            </w:pPr>
            <w:r>
              <w:rPr>
                <w:rStyle w:val="InstructionsTabelleberschrift"/>
                <w:rFonts w:ascii="Times New Roman" w:hAnsi="Times New Roman"/>
                <w:sz w:val="24"/>
              </w:rPr>
              <w:t xml:space="preserve">Posamezni instituciji lasten proticiklični kapitalski blažilnik </w:t>
            </w:r>
          </w:p>
          <w:p w:rsidR="00DF65DF" w:rsidRPr="00392FFD" w:rsidRDefault="002648B0" w:rsidP="00FD239F">
            <w:pPr>
              <w:pStyle w:val="InstructionsText"/>
            </w:pPr>
            <w:r>
              <w:t xml:space="preserve">Člen 128(2) ter členi 130 in 135 do 140 CRD. </w:t>
            </w:r>
          </w:p>
          <w:p w:rsidR="005643EA" w:rsidRPr="00392FFD" w:rsidRDefault="00DF65DF" w:rsidP="00FD239F">
            <w:pPr>
              <w:pStyle w:val="InstructionsText"/>
            </w:pPr>
            <w:r>
              <w:t>Znesek, ki se poroča, predstavlja znesek kapitala, ki je potreben za izpolnitev ustreznih zahtev po kapitalskem blažilniku na datum poroča</w:t>
            </w:r>
            <w:r>
              <w:t>n</w:t>
            </w:r>
            <w:r>
              <w:t>ja.</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t>780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Pr>
                <w:rStyle w:val="InstructionsTabelleberschrift"/>
                <w:rFonts w:ascii="Times New Roman" w:hAnsi="Times New Roman"/>
                <w:sz w:val="24"/>
              </w:rPr>
              <w:t xml:space="preserve">Blažilnik sistemskih tveganj </w:t>
            </w:r>
          </w:p>
          <w:p w:rsidR="00DF65DF" w:rsidRPr="00392FFD" w:rsidRDefault="002648B0" w:rsidP="00FD239F">
            <w:pPr>
              <w:pStyle w:val="InstructionsText"/>
            </w:pPr>
            <w:r>
              <w:t xml:space="preserve">Člen 128(5) ter člena 133 in 134 CRD. </w:t>
            </w:r>
          </w:p>
          <w:p w:rsidR="005643EA" w:rsidRPr="00392FFD" w:rsidRDefault="00DF65DF" w:rsidP="00FD239F">
            <w:pPr>
              <w:pStyle w:val="InstructionsText"/>
            </w:pPr>
            <w:r>
              <w:t>Znesek, ki se poroča, predstavlja znesek kapitala, ki je potreben za izpolnitev ustreznih zahtev po kapitalskem blažilniku na datum poroča</w:t>
            </w:r>
            <w:r>
              <w:t>n</w:t>
            </w:r>
            <w:r>
              <w:t>ja.</w:t>
            </w:r>
          </w:p>
        </w:tc>
      </w:tr>
      <w:tr w:rsidR="00AC0F2C"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392FFD" w:rsidRDefault="00497D60" w:rsidP="00FD239F">
            <w:pPr>
              <w:pStyle w:val="InstructionsText"/>
            </w:pPr>
            <w:r>
              <w:t>800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1017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Blažilnik za globalne sistemsko pomembne institucije</w:t>
            </w:r>
          </w:p>
          <w:p w:rsidR="00DF65DF" w:rsidRPr="00392FFD" w:rsidRDefault="00AC0F2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128(3) in člen 131 direktive CRD.</w:t>
            </w:r>
          </w:p>
          <w:p w:rsidR="005643EA" w:rsidRPr="00201704" w:rsidRDefault="00DF65DF" w:rsidP="00FD239F">
            <w:pPr>
              <w:pStyle w:val="InstructionsText"/>
              <w:rPr>
                <w:rStyle w:val="InstructionsTabelleberschrift"/>
                <w:rFonts w:ascii="Times New Roman" w:hAnsi="Times New Roman"/>
                <w:b w:val="0"/>
                <w:bCs w:val="0"/>
                <w:sz w:val="24"/>
                <w:u w:val="none"/>
              </w:rPr>
            </w:pPr>
            <w:r>
              <w:t>Znesek, ki se poroča, predstavlja znesek kapitala, ki je potreben za izpolnitev ustreznih zahtev po kapitalskem blažilniku na datum poroča</w:t>
            </w:r>
            <w:r>
              <w:t>n</w:t>
            </w:r>
            <w:r>
              <w:t>ja.</w:t>
            </w:r>
          </w:p>
        </w:tc>
      </w:tr>
      <w:tr w:rsidR="00AC0F2C"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392FFD" w:rsidRDefault="00497D60" w:rsidP="00FD239F">
            <w:pPr>
              <w:pStyle w:val="InstructionsText"/>
            </w:pPr>
            <w:r>
              <w:t>810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1017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Blažilnik za druge sistemsko pomembne institucije </w:t>
            </w:r>
          </w:p>
          <w:p w:rsidR="00DF65DF" w:rsidRPr="00392FFD" w:rsidRDefault="00AC0F2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128(4) in člen 131 direktive CRD.</w:t>
            </w:r>
          </w:p>
          <w:p w:rsidR="005643EA" w:rsidRPr="00201704" w:rsidRDefault="00DF65DF" w:rsidP="00FD239F">
            <w:pPr>
              <w:pStyle w:val="InstructionsText"/>
              <w:rPr>
                <w:rStyle w:val="InstructionsTabelleberschrift"/>
                <w:rFonts w:ascii="Times New Roman" w:hAnsi="Times New Roman"/>
                <w:b w:val="0"/>
                <w:bCs w:val="0"/>
                <w:sz w:val="24"/>
                <w:u w:val="none"/>
              </w:rPr>
            </w:pPr>
            <w:r>
              <w:t>Znesek, ki se poroča, predstavlja znesek kapitala, ki je potreben za izpolnitev ustreznih zahtev po kapitalskem blažilniku na datum poroča</w:t>
            </w:r>
            <w:r>
              <w:t>n</w:t>
            </w:r>
            <w:r>
              <w:t>ja.</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t>820</w:t>
            </w:r>
          </w:p>
          <w:p w:rsidR="00E81DB9" w:rsidRPr="00392FFD" w:rsidRDefault="00E81DB9" w:rsidP="00FD239F">
            <w:pPr>
              <w:pStyle w:val="InstructionsText"/>
            </w:pP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E81DB9"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rsidR="00EE0671" w:rsidRPr="00EE0671">
              <w:rPr>
                <w:u w:val="single"/>
              </w:rPr>
              <w:tab/>
            </w:r>
            <w:r>
              <w:rPr>
                <w:rStyle w:val="InstructionsTabelleberschrift"/>
                <w:rFonts w:ascii="Times New Roman" w:hAnsi="Times New Roman"/>
                <w:sz w:val="24"/>
              </w:rPr>
              <w:t>Kapitalske zahteve v zvezi s prilagoditvami v okviru drugega stebra</w:t>
            </w:r>
          </w:p>
          <w:p w:rsidR="005643EA" w:rsidRPr="00392FFD" w:rsidRDefault="00190FA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Člen 104(2) CRD. </w:t>
            </w:r>
          </w:p>
          <w:p w:rsidR="005643EA" w:rsidRPr="00392FFD" w:rsidRDefault="00190FA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Če pristojni organ odloči, da mora institucija izračunati dodatne kapita</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 xml:space="preserve">ske zahteve zaradi stebra II, se navedene dodatne kapitalske zahteve poročajo v tej celici. </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t>830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rsidR="00EE0671" w:rsidRPr="00EE0671">
              <w:rPr>
                <w:u w:val="single"/>
              </w:rPr>
              <w:tab/>
            </w:r>
            <w:r>
              <w:rPr>
                <w:rStyle w:val="InstructionsTabelleberschrift"/>
                <w:rFonts w:ascii="Times New Roman" w:hAnsi="Times New Roman"/>
                <w:sz w:val="24"/>
              </w:rPr>
              <w:t>Ustanovni kapital</w:t>
            </w:r>
          </w:p>
          <w:p w:rsidR="005643EA" w:rsidRPr="00392FFD" w:rsidRDefault="00E0639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Členi 12 in 28 do 31 CRD ter člen 93 CRR.</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t>840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rsidR="00EE0671" w:rsidRPr="00EE0671">
              <w:rPr>
                <w:u w:val="single"/>
              </w:rPr>
              <w:tab/>
            </w:r>
            <w:r>
              <w:rPr>
                <w:rStyle w:val="InstructionsTabelleberschrift"/>
                <w:rFonts w:ascii="Times New Roman" w:hAnsi="Times New Roman"/>
                <w:sz w:val="24"/>
              </w:rPr>
              <w:t>Kapital na podlagi stalnih splošnih stroškov</w:t>
            </w:r>
          </w:p>
          <w:p w:rsidR="005643EA" w:rsidRPr="00201704" w:rsidRDefault="00E0639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96(2)(b), člen 97 in člen 98(1)(a) CRR.</w:t>
            </w:r>
          </w:p>
        </w:tc>
      </w:tr>
      <w:tr w:rsidR="00A774C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392FFD" w:rsidRDefault="00497D60" w:rsidP="00FD239F">
            <w:pPr>
              <w:pStyle w:val="InstructionsText"/>
            </w:pPr>
            <w:r>
              <w:t>850</w:t>
            </w:r>
          </w:p>
        </w:tc>
        <w:tc>
          <w:tcPr>
            <w:tcW w:w="7243" w:type="dxa"/>
            <w:tcBorders>
              <w:top w:val="single" w:sz="4" w:space="0" w:color="auto"/>
              <w:left w:val="single" w:sz="4" w:space="0" w:color="auto"/>
              <w:bottom w:val="single" w:sz="4" w:space="0" w:color="auto"/>
              <w:right w:val="single" w:sz="4" w:space="0" w:color="auto"/>
            </w:tcBorders>
          </w:tcPr>
          <w:p w:rsidR="00A774C1"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rsidR="00EE0671" w:rsidRPr="00EE0671">
              <w:rPr>
                <w:u w:val="single"/>
              </w:rPr>
              <w:tab/>
            </w:r>
            <w:r>
              <w:rPr>
                <w:rStyle w:val="InstructionsTabelleberschrift"/>
                <w:rFonts w:ascii="Times New Roman" w:hAnsi="Times New Roman"/>
                <w:sz w:val="24"/>
              </w:rPr>
              <w:t>Tuje originalne izpostavljenosti</w:t>
            </w:r>
          </w:p>
          <w:p w:rsidR="00DD5F87" w:rsidRPr="00392FFD" w:rsidRDefault="00A774C1"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Informacije, ki so potrebne za izračun praga za poročanje v zvezi s pre</w:t>
            </w:r>
            <w:r>
              <w:rPr>
                <w:rStyle w:val="InstructionsTabelleberschrift"/>
                <w:rFonts w:ascii="Times New Roman" w:hAnsi="Times New Roman"/>
                <w:b w:val="0"/>
                <w:sz w:val="24"/>
                <w:u w:val="none"/>
              </w:rPr>
              <w:t>d</w:t>
            </w:r>
            <w:r>
              <w:rPr>
                <w:rStyle w:val="InstructionsTabelleberschrift"/>
                <w:rFonts w:ascii="Times New Roman" w:hAnsi="Times New Roman"/>
                <w:b w:val="0"/>
                <w:sz w:val="24"/>
                <w:u w:val="none"/>
              </w:rPr>
              <w:t xml:space="preserve">logo CR GB v skladu s členom 5(a)(4) te uredbe. Prag se izračuna na podlagi originalne izpostavljenosti pred uporabo </w:t>
            </w:r>
            <w:proofErr w:type="spellStart"/>
            <w:r>
              <w:rPr>
                <w:rStyle w:val="InstructionsTabelleberschrift"/>
                <w:rFonts w:ascii="Times New Roman" w:hAnsi="Times New Roman"/>
                <w:b w:val="0"/>
                <w:sz w:val="24"/>
                <w:u w:val="none"/>
              </w:rPr>
              <w:t>konverzijskega</w:t>
            </w:r>
            <w:proofErr w:type="spellEnd"/>
            <w:r>
              <w:rPr>
                <w:rStyle w:val="InstructionsTabelleberschrift"/>
                <w:rFonts w:ascii="Times New Roman" w:hAnsi="Times New Roman"/>
                <w:b w:val="0"/>
                <w:sz w:val="24"/>
                <w:u w:val="none"/>
              </w:rPr>
              <w:t xml:space="preserve"> fakto</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 xml:space="preserve">ja. </w:t>
            </w:r>
          </w:p>
          <w:p w:rsidR="00A774C1" w:rsidRPr="00392FFD" w:rsidRDefault="00FA3865"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Izpostavljenosti se obravnavajo kot domače, kadar gre za izpostavljeno</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ti do nasprotnih strank v državi članici, v kateri se nahaja institucija.</w:t>
            </w:r>
          </w:p>
        </w:tc>
      </w:tr>
      <w:tr w:rsidR="00A774C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392FFD" w:rsidRDefault="00A774C1" w:rsidP="00FD239F">
            <w:pPr>
              <w:pStyle w:val="InstructionsText"/>
            </w:pPr>
            <w:r>
              <w:lastRenderedPageBreak/>
              <w:t>860</w:t>
            </w:r>
          </w:p>
        </w:tc>
        <w:tc>
          <w:tcPr>
            <w:tcW w:w="7243" w:type="dxa"/>
            <w:tcBorders>
              <w:top w:val="single" w:sz="4" w:space="0" w:color="auto"/>
              <w:left w:val="single" w:sz="4" w:space="0" w:color="auto"/>
              <w:bottom w:val="single" w:sz="4" w:space="0" w:color="auto"/>
              <w:right w:val="single" w:sz="4" w:space="0" w:color="auto"/>
            </w:tcBorders>
          </w:tcPr>
          <w:p w:rsidR="00A774C1"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rsidR="00EE0671" w:rsidRPr="00EE0671">
              <w:rPr>
                <w:u w:val="single"/>
              </w:rPr>
              <w:tab/>
            </w:r>
            <w:r>
              <w:rPr>
                <w:rStyle w:val="InstructionsTabelleberschrift"/>
                <w:rFonts w:ascii="Times New Roman" w:hAnsi="Times New Roman"/>
                <w:sz w:val="24"/>
              </w:rPr>
              <w:t>Skupaj originalne izpostavljenosti</w:t>
            </w:r>
          </w:p>
          <w:p w:rsidR="00DD5F87" w:rsidRPr="00392FFD" w:rsidRDefault="00FA386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Informacije, ki so potrebne za izračun praga za poročanje v zvezi s pre</w:t>
            </w:r>
            <w:r>
              <w:rPr>
                <w:rStyle w:val="InstructionsTabelleberschrift"/>
                <w:rFonts w:ascii="Times New Roman" w:hAnsi="Times New Roman"/>
                <w:b w:val="0"/>
                <w:sz w:val="24"/>
                <w:u w:val="none"/>
              </w:rPr>
              <w:t>d</w:t>
            </w:r>
            <w:r>
              <w:rPr>
                <w:rStyle w:val="InstructionsTabelleberschrift"/>
                <w:rFonts w:ascii="Times New Roman" w:hAnsi="Times New Roman"/>
                <w:b w:val="0"/>
                <w:sz w:val="24"/>
                <w:u w:val="none"/>
              </w:rPr>
              <w:t xml:space="preserve">logo CR GB v skladu s členom 5(a)(4) te uredbe. Prag se izračuna na podlagi originalne izpostavljenosti pred uporabo </w:t>
            </w:r>
            <w:proofErr w:type="spellStart"/>
            <w:r>
              <w:rPr>
                <w:rStyle w:val="InstructionsTabelleberschrift"/>
                <w:rFonts w:ascii="Times New Roman" w:hAnsi="Times New Roman"/>
                <w:b w:val="0"/>
                <w:sz w:val="24"/>
                <w:u w:val="none"/>
              </w:rPr>
              <w:t>konverzijskega</w:t>
            </w:r>
            <w:proofErr w:type="spellEnd"/>
            <w:r>
              <w:rPr>
                <w:rStyle w:val="InstructionsTabelleberschrift"/>
                <w:rFonts w:ascii="Times New Roman" w:hAnsi="Times New Roman"/>
                <w:b w:val="0"/>
                <w:sz w:val="24"/>
                <w:u w:val="none"/>
              </w:rPr>
              <w:t xml:space="preserve"> fakto</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ja.</w:t>
            </w:r>
          </w:p>
          <w:p w:rsidR="00A774C1" w:rsidRPr="00392FFD" w:rsidRDefault="00FA3865"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Izpostavljenosti se obravnavajo kot domače, kadar gre za izpostavljeno</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ti do nasprotnih strank v državi članici, v kateri se nahaja institucija.</w:t>
            </w:r>
          </w:p>
        </w:tc>
      </w:tr>
      <w:tr w:rsidR="00700DFD"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700DFD" w:rsidRPr="00392FFD" w:rsidRDefault="007E16E5" w:rsidP="00FD239F">
            <w:pPr>
              <w:pStyle w:val="InstructionsText"/>
            </w:pPr>
            <w:r>
              <w:t>870</w:t>
            </w:r>
          </w:p>
        </w:tc>
        <w:tc>
          <w:tcPr>
            <w:tcW w:w="7243" w:type="dxa"/>
            <w:tcBorders>
              <w:top w:val="single" w:sz="4" w:space="0" w:color="auto"/>
              <w:left w:val="single" w:sz="4" w:space="0" w:color="auto"/>
              <w:bottom w:val="single" w:sz="4" w:space="0" w:color="auto"/>
              <w:right w:val="single" w:sz="4" w:space="0" w:color="auto"/>
            </w:tcBorders>
          </w:tcPr>
          <w:p w:rsidR="007E16E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Prilagoditve skupnega kapitala</w:t>
            </w:r>
          </w:p>
          <w:p w:rsidR="00700DFD" w:rsidRPr="00392FFD" w:rsidRDefault="00700DFD"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500(4) CRR.</w:t>
            </w:r>
          </w:p>
          <w:p w:rsidR="00643362"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Tukaj se sporoči razlika med zneskom, sporočenim v polju 880, in sku</w:t>
            </w:r>
            <w:r>
              <w:rPr>
                <w:rStyle w:val="InstructionsTabelleberschrift"/>
                <w:rFonts w:ascii="Times New Roman" w:hAnsi="Times New Roman"/>
                <w:b w:val="0"/>
                <w:sz w:val="24"/>
                <w:u w:val="none"/>
              </w:rPr>
              <w:t>p</w:t>
            </w:r>
            <w:r>
              <w:rPr>
                <w:rStyle w:val="InstructionsTabelleberschrift"/>
                <w:rFonts w:ascii="Times New Roman" w:hAnsi="Times New Roman"/>
                <w:b w:val="0"/>
                <w:sz w:val="24"/>
                <w:u w:val="none"/>
              </w:rPr>
              <w:t xml:space="preserve">nim kapitalom na podlagi CRR. </w:t>
            </w:r>
          </w:p>
          <w:p w:rsidR="00DE48EF" w:rsidRPr="00392FFD" w:rsidRDefault="003A1469"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Če se uporabi alternativa po standardiziranem pristopu (člen 500(2) CRR), ta vrstica ostane prazna.</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t>880</w:t>
            </w:r>
          </w:p>
        </w:tc>
        <w:tc>
          <w:tcPr>
            <w:tcW w:w="7243" w:type="dxa"/>
            <w:tcBorders>
              <w:top w:val="single" w:sz="4" w:space="0" w:color="auto"/>
              <w:left w:val="single" w:sz="4" w:space="0" w:color="auto"/>
              <w:bottom w:val="single" w:sz="4" w:space="0" w:color="auto"/>
              <w:right w:val="single" w:sz="4" w:space="0" w:color="auto"/>
            </w:tcBorders>
          </w:tcPr>
          <w:p w:rsidR="007E16E5" w:rsidRPr="00392FFD"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 v celoti prilagojen za prag iz sporazuma Basel I</w:t>
            </w:r>
          </w:p>
          <w:p w:rsidR="000A4B61" w:rsidRPr="00392FFD" w:rsidRDefault="007E16E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500(4) CRR.</w:t>
            </w:r>
          </w:p>
          <w:p w:rsidR="002540B2" w:rsidRPr="00392FFD" w:rsidRDefault="002540B2"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Tukaj se sporoči skupni kapital na podlagi CRR, prilagojen v skladu z zahtevami v členu 500(4) CRR (tj. v celoti prilagojen tako, da odraža razliko med izračunom kapitala na podlagi Direktive 93/6/EGS in Dire</w:t>
            </w:r>
            <w:r>
              <w:rPr>
                <w:rStyle w:val="InstructionsTabelleberschrift"/>
                <w:rFonts w:ascii="Times New Roman" w:hAnsi="Times New Roman"/>
                <w:b w:val="0"/>
                <w:sz w:val="24"/>
                <w:u w:val="none"/>
              </w:rPr>
              <w:t>k</w:t>
            </w:r>
            <w:r>
              <w:rPr>
                <w:rStyle w:val="InstructionsTabelleberschrift"/>
                <w:rFonts w:ascii="Times New Roman" w:hAnsi="Times New Roman"/>
                <w:b w:val="0"/>
                <w:sz w:val="24"/>
                <w:u w:val="none"/>
              </w:rPr>
              <w:t xml:space="preserve">tive 2000/12/ES, kakor sta veljali pred 1. januarjem 2007, in izračunom kapitala v skladu s CRR, ki je posledica različnih obravnav pričakovane izgube in nepričakovane izgube iz poglavja 3 naslova II dela 3 CRR). </w:t>
            </w:r>
          </w:p>
          <w:p w:rsidR="00DE48EF" w:rsidRPr="00201704" w:rsidRDefault="003A1469"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Če se uporabi alternativa po standardiziranem pristopu (člen 500(2) CRR), ta vrstica ostane prazna.</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t>890</w:t>
            </w:r>
          </w:p>
        </w:tc>
        <w:tc>
          <w:tcPr>
            <w:tcW w:w="7243" w:type="dxa"/>
            <w:tcBorders>
              <w:top w:val="single" w:sz="4" w:space="0" w:color="auto"/>
              <w:left w:val="single" w:sz="4" w:space="0" w:color="auto"/>
              <w:bottom w:val="single" w:sz="4" w:space="0" w:color="auto"/>
              <w:right w:val="single" w:sz="4" w:space="0" w:color="auto"/>
            </w:tcBorders>
          </w:tcPr>
          <w:p w:rsidR="007E16E5" w:rsidRPr="00201704"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Kapitalske zahteve za prag iz sporazuma Basel I</w:t>
            </w:r>
          </w:p>
          <w:p w:rsidR="000A4B61" w:rsidRPr="00392FFD" w:rsidRDefault="007E16E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Člen 500(1)(b) uredbe o kapitalskih zahtevah. </w:t>
            </w:r>
          </w:p>
          <w:p w:rsidR="00DE48EF" w:rsidRPr="00392FFD" w:rsidRDefault="002540B2"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Tukaj se sporoči znesek kapitala, ki ga mora imeti institucija v skladu s členom 500(1)(b) CRR (tj. 80 % skupnega minimalnega zneska kapitala, ki bi ga morala institucija imeti v skladu s členom 4 Direktive 93/6/EGS, kakor je veljalo v navedeni direktivi in Direktivi 2000/12/ES Evropsk</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ga parlamenta in Sveta z dne 20. marca 2000 o začetku opravljanja in opravljanju dejavnosti kreditnih institucij pred 1. januarjem 2007).</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t>900</w:t>
            </w:r>
          </w:p>
        </w:tc>
        <w:tc>
          <w:tcPr>
            <w:tcW w:w="7243" w:type="dxa"/>
            <w:tcBorders>
              <w:top w:val="single" w:sz="4" w:space="0" w:color="auto"/>
              <w:left w:val="single" w:sz="4" w:space="0" w:color="auto"/>
              <w:bottom w:val="single" w:sz="4" w:space="0" w:color="auto"/>
              <w:right w:val="single" w:sz="4" w:space="0" w:color="auto"/>
            </w:tcBorders>
          </w:tcPr>
          <w:p w:rsidR="007E16E5" w:rsidRPr="00201704"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Kapitalske zahteve za prag iz sporazuma Basel I – alternativa po standardiziranem pristopu</w:t>
            </w:r>
          </w:p>
          <w:p w:rsidR="000A4B61" w:rsidRPr="00392FFD" w:rsidRDefault="007E16E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Člen 500(2) in (3) CRR. </w:t>
            </w:r>
          </w:p>
          <w:p w:rsidR="00DE48EF" w:rsidRPr="00201704"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Tukaj se sporoči znesek kapitala, ki ga mora imeti institucija v skladu s členom 500(2) CRR (tj. 80 % kapitala, ki bi ga institucija morala imeti v skladu s členom 92, pri čemer se zneski tveganju prilagojenih izposta</w:t>
            </w:r>
            <w:r>
              <w:rPr>
                <w:rStyle w:val="InstructionsTabelleberschrift"/>
                <w:rFonts w:ascii="Times New Roman" w:hAnsi="Times New Roman"/>
                <w:b w:val="0"/>
                <w:sz w:val="24"/>
                <w:u w:val="none"/>
              </w:rPr>
              <w:t>v</w:t>
            </w:r>
            <w:r>
              <w:rPr>
                <w:rStyle w:val="InstructionsTabelleberschrift"/>
                <w:rFonts w:ascii="Times New Roman" w:hAnsi="Times New Roman"/>
                <w:b w:val="0"/>
                <w:sz w:val="24"/>
                <w:u w:val="none"/>
              </w:rPr>
              <w:t>ljenosti izračunajo v skladu s poglavjem 2 naslova II dela 3 in poglavjem 2 ali 3 naslova III dela 3 CRR, kot je ustrezno, namesto v skladu s poglavjem 3 naslova II dela 3 ali poglavjem 4 naslova III dela 3 CRR, kot je ustrezno).</w:t>
            </w:r>
          </w:p>
        </w:tc>
      </w:tr>
      <w:tr w:rsidR="00A840D5"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840D5" w:rsidRPr="00392FFD" w:rsidRDefault="00A840D5" w:rsidP="00FD239F">
            <w:pPr>
              <w:pStyle w:val="InstructionsText"/>
            </w:pPr>
            <w:r>
              <w:t>910</w:t>
            </w:r>
          </w:p>
        </w:tc>
        <w:tc>
          <w:tcPr>
            <w:tcW w:w="7243" w:type="dxa"/>
            <w:tcBorders>
              <w:top w:val="single" w:sz="4" w:space="0" w:color="auto"/>
              <w:left w:val="single" w:sz="4" w:space="0" w:color="auto"/>
              <w:bottom w:val="single" w:sz="4" w:space="0" w:color="auto"/>
              <w:right w:val="single" w:sz="4" w:space="0" w:color="auto"/>
            </w:tcBorders>
          </w:tcPr>
          <w:p w:rsidR="002540B2" w:rsidRPr="00201704" w:rsidRDefault="002540B2"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Primanjkljaj skupnega kapitala v zvezi s kapitalskimi zahtevami </w:t>
            </w:r>
            <w:r>
              <w:rPr>
                <w:rStyle w:val="InstructionsTabelleberschrift"/>
                <w:rFonts w:ascii="Times New Roman" w:hAnsi="Times New Roman"/>
                <w:sz w:val="24"/>
              </w:rPr>
              <w:lastRenderedPageBreak/>
              <w:t>praga iz sporazuma Basel I ali alternative po standardiziranem pri</w:t>
            </w:r>
            <w:r>
              <w:rPr>
                <w:rStyle w:val="InstructionsTabelleberschrift"/>
                <w:rFonts w:ascii="Times New Roman" w:hAnsi="Times New Roman"/>
                <w:sz w:val="24"/>
              </w:rPr>
              <w:t>s</w:t>
            </w:r>
            <w:r>
              <w:rPr>
                <w:rStyle w:val="InstructionsTabelleberschrift"/>
                <w:rFonts w:ascii="Times New Roman" w:hAnsi="Times New Roman"/>
                <w:sz w:val="24"/>
              </w:rPr>
              <w:t>topu</w:t>
            </w:r>
          </w:p>
          <w:p w:rsidR="00DE48EF" w:rsidRPr="00392FFD" w:rsidRDefault="003A1469"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Člen 500(1)(b) in člen 500(2) CRR. </w:t>
            </w:r>
          </w:p>
          <w:p w:rsidR="00DE48EF"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to vrstico se vnese:</w:t>
            </w:r>
          </w:p>
          <w:p w:rsidR="00DE48EF"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t>
            </w:r>
            <w:r>
              <w:tab/>
            </w:r>
            <w:r>
              <w:rPr>
                <w:rStyle w:val="InstructionsTabelleberschrift"/>
                <w:rFonts w:ascii="Times New Roman" w:hAnsi="Times New Roman"/>
                <w:b w:val="0"/>
                <w:sz w:val="24"/>
                <w:u w:val="none"/>
              </w:rPr>
              <w:t xml:space="preserve">če se uporabi člen 500(1)(b) CRR in je vrednost v vrstici 880 nižja od vrstice 890, </w:t>
            </w:r>
            <w:r>
              <w:rPr>
                <w:rStyle w:val="InstructionsTabelleberschrift"/>
                <w:rFonts w:ascii="Times New Roman" w:hAnsi="Times New Roman"/>
                <w:b w:val="0"/>
                <w:sz w:val="24"/>
                <w:u w:val="none"/>
              </w:rPr>
              <w:br/>
              <w:t xml:space="preserve">razlika med vrsticama 890 in 880; </w:t>
            </w:r>
          </w:p>
          <w:p w:rsidR="00DE48EF"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t>
            </w:r>
            <w:r>
              <w:tab/>
            </w:r>
            <w:r>
              <w:rPr>
                <w:rStyle w:val="InstructionsTabelleberschrift"/>
                <w:rFonts w:ascii="Times New Roman" w:hAnsi="Times New Roman"/>
                <w:b w:val="0"/>
                <w:sz w:val="24"/>
                <w:u w:val="none"/>
              </w:rPr>
              <w:t>če se uporabi člen 500(2) CRR in je vrednost v vrstici 010 pre</w:t>
            </w:r>
            <w:r>
              <w:rPr>
                <w:rStyle w:val="InstructionsTabelleberschrift"/>
                <w:rFonts w:ascii="Times New Roman" w:hAnsi="Times New Roman"/>
                <w:b w:val="0"/>
                <w:sz w:val="24"/>
                <w:u w:val="none"/>
              </w:rPr>
              <w:t>d</w:t>
            </w:r>
            <w:r>
              <w:rPr>
                <w:rStyle w:val="InstructionsTabelleberschrift"/>
                <w:rFonts w:ascii="Times New Roman" w:hAnsi="Times New Roman"/>
                <w:b w:val="0"/>
                <w:sz w:val="24"/>
                <w:u w:val="none"/>
              </w:rPr>
              <w:t>loge C 01.00 nižja od vrstice 900 predloge C 04.00, razlika med vrstico 900 v predlogi C 04.00 in vrstico 010 v predlogi C 01.00.</w:t>
            </w:r>
          </w:p>
        </w:tc>
      </w:tr>
    </w:tbl>
    <w:p w:rsidR="002648B0" w:rsidRPr="00392FFD" w:rsidRDefault="002648B0" w:rsidP="00FD239F">
      <w:pPr>
        <w:pStyle w:val="InstructionsText"/>
      </w:pPr>
    </w:p>
    <w:p w:rsidR="002648B0" w:rsidRPr="00392FFD" w:rsidRDefault="00936DD1" w:rsidP="0023700C">
      <w:pPr>
        <w:pStyle w:val="Instructionsberschrift2"/>
        <w:numPr>
          <w:ilvl w:val="0"/>
          <w:numId w:val="0"/>
        </w:numPr>
        <w:ind w:left="357" w:hanging="357"/>
        <w:rPr>
          <w:rFonts w:ascii="Times New Roman" w:hAnsi="Times New Roman" w:cs="Times New Roman"/>
          <w:sz w:val="24"/>
        </w:rPr>
      </w:pPr>
      <w:bookmarkStart w:id="85" w:name="_Toc360188333"/>
      <w:bookmarkStart w:id="86" w:name="_Toc516210616"/>
      <w:bookmarkStart w:id="87" w:name="_Toc473560881"/>
      <w:bookmarkStart w:id="88" w:name="_Toc308175834"/>
      <w:bookmarkStart w:id="89" w:name="_Toc523474365"/>
      <w:r>
        <w:rPr>
          <w:rFonts w:ascii="Times New Roman" w:hAnsi="Times New Roman"/>
          <w:sz w:val="24"/>
          <w:u w:val="none"/>
        </w:rPr>
        <w:t>1.6</w:t>
      </w:r>
      <w:r w:rsidR="003F40E8" w:rsidRPr="003F40E8">
        <w:rPr>
          <w:u w:val="none"/>
        </w:rPr>
        <w:tab/>
      </w:r>
      <w:r>
        <w:rPr>
          <w:rFonts w:ascii="Times New Roman" w:hAnsi="Times New Roman"/>
          <w:sz w:val="24"/>
        </w:rPr>
        <w:t>PREHODNE DOLOČBE in INSTRUMENTI, ZA KATERE SE UPORABLJAJO PREDHODNA PRAVILA: INSTRUMENTI, KI NE TVORIJO DRŽAVNE POMOČI (CA5</w:t>
      </w:r>
      <w:bookmarkEnd w:id="85"/>
      <w:r>
        <w:rPr>
          <w:rFonts w:ascii="Times New Roman" w:hAnsi="Times New Roman"/>
          <w:sz w:val="24"/>
        </w:rPr>
        <w:t>)</w:t>
      </w:r>
      <w:bookmarkEnd w:id="86"/>
      <w:bookmarkEnd w:id="87"/>
      <w:bookmarkEnd w:id="89"/>
    </w:p>
    <w:p w:rsidR="002648B0" w:rsidRPr="00392FFD" w:rsidRDefault="00936DD1" w:rsidP="0023700C">
      <w:pPr>
        <w:pStyle w:val="Instructionsberschrift2"/>
        <w:numPr>
          <w:ilvl w:val="0"/>
          <w:numId w:val="0"/>
        </w:numPr>
        <w:ind w:left="357" w:hanging="357"/>
        <w:rPr>
          <w:rFonts w:ascii="Times New Roman" w:hAnsi="Times New Roman" w:cs="Times New Roman"/>
          <w:sz w:val="24"/>
        </w:rPr>
      </w:pPr>
      <w:bookmarkStart w:id="90" w:name="_Toc308175835"/>
      <w:bookmarkStart w:id="91" w:name="_Toc360188334"/>
      <w:bookmarkStart w:id="92" w:name="_Toc516210617"/>
      <w:bookmarkStart w:id="93" w:name="_Toc473560882"/>
      <w:bookmarkStart w:id="94" w:name="_Toc523474366"/>
      <w:bookmarkEnd w:id="88"/>
      <w:r>
        <w:rPr>
          <w:rFonts w:ascii="Times New Roman" w:hAnsi="Times New Roman"/>
          <w:sz w:val="24"/>
          <w:u w:val="none"/>
        </w:rPr>
        <w:t>1.6.1</w:t>
      </w:r>
      <w:r w:rsidR="003F40E8" w:rsidRPr="003F40E8">
        <w:rPr>
          <w:u w:val="none"/>
        </w:rPr>
        <w:tab/>
      </w:r>
      <w:r>
        <w:rPr>
          <w:rFonts w:ascii="Times New Roman" w:hAnsi="Times New Roman"/>
          <w:sz w:val="24"/>
        </w:rPr>
        <w:t>Splošne opombe</w:t>
      </w:r>
      <w:bookmarkEnd w:id="90"/>
      <w:bookmarkEnd w:id="91"/>
      <w:bookmarkEnd w:id="92"/>
      <w:bookmarkEnd w:id="93"/>
      <w:bookmarkEnd w:id="94"/>
    </w:p>
    <w:p w:rsidR="00783881" w:rsidRPr="00392FFD" w:rsidRDefault="00B43C2A" w:rsidP="00C37B29">
      <w:pPr>
        <w:pStyle w:val="InstructionsText2"/>
        <w:numPr>
          <w:ilvl w:val="0"/>
          <w:numId w:val="0"/>
        </w:numPr>
        <w:ind w:left="993"/>
      </w:pPr>
      <w:r>
        <w:t>15.</w:t>
      </w:r>
      <w:r>
        <w:tab/>
        <w:t xml:space="preserve">V predlogi CA5 je povzet izračun kapitalskih sestavin in odbitkov, za katere veljajo prehodne določbe iz členov 465 do 491 CRR. </w:t>
      </w:r>
    </w:p>
    <w:p w:rsidR="00496C53" w:rsidRPr="00392FFD" w:rsidRDefault="00125707" w:rsidP="00C37B29">
      <w:pPr>
        <w:pStyle w:val="InstructionsText2"/>
        <w:numPr>
          <w:ilvl w:val="0"/>
          <w:numId w:val="0"/>
        </w:numPr>
        <w:ind w:left="993"/>
      </w:pPr>
      <w:r>
        <w:t>16.</w:t>
      </w:r>
      <w:r>
        <w:tab/>
        <w:t>Predloga CA5 ima naslednjo strukturo:</w:t>
      </w:r>
    </w:p>
    <w:p w:rsidR="002648B0" w:rsidRPr="00392FFD" w:rsidRDefault="00125707" w:rsidP="00C37B29">
      <w:pPr>
        <w:pStyle w:val="InstructionsText2"/>
        <w:numPr>
          <w:ilvl w:val="0"/>
          <w:numId w:val="0"/>
        </w:numPr>
        <w:ind w:left="993"/>
      </w:pPr>
      <w:r>
        <w:t>(a)</w:t>
      </w:r>
      <w:r>
        <w:tab/>
        <w:t xml:space="preserve">v </w:t>
      </w:r>
      <w:r>
        <w:rPr>
          <w:u w:val="single"/>
        </w:rPr>
        <w:t>predlogi 5.1</w:t>
      </w:r>
      <w:r>
        <w:t xml:space="preserve"> so povzete skupne prilagoditve, ki jih je treba izvesti za različne sestavine kapitala (sporočene v predlogi CA1 v skladu s končnimi določbami) zaradi uporabe prehodnih določb. Sestavine te razpredelnice so predstavljene kot „prilagoditve“ različnih sestavnih delov kapitala v predlogi CA1, da se v sestavnih delih kapitala odražajo učinki prehodnih določb;</w:t>
      </w:r>
    </w:p>
    <w:p w:rsidR="002648B0" w:rsidRPr="00392FFD" w:rsidRDefault="00125707" w:rsidP="00C37B29">
      <w:pPr>
        <w:pStyle w:val="InstructionsText2"/>
        <w:numPr>
          <w:ilvl w:val="0"/>
          <w:numId w:val="0"/>
        </w:numPr>
        <w:ind w:left="993"/>
      </w:pPr>
      <w:r>
        <w:t>(b)</w:t>
      </w:r>
      <w:r>
        <w:tab/>
        <w:t xml:space="preserve">v </w:t>
      </w:r>
      <w:r>
        <w:rPr>
          <w:u w:val="single"/>
        </w:rPr>
        <w:t>predlogi 5.2</w:t>
      </w:r>
      <w:r>
        <w:t xml:space="preserve"> so navedene dodatne podrobnosti o izračunu navedenih instr</w:t>
      </w:r>
      <w:r>
        <w:t>u</w:t>
      </w:r>
      <w:r>
        <w:t xml:space="preserve">mentov, za katere se uporabljajo predhodna pravila, ki ne tvorijo državne pomoči. </w:t>
      </w:r>
    </w:p>
    <w:p w:rsidR="005643EA" w:rsidRPr="00392FFD" w:rsidRDefault="00125707" w:rsidP="00C37B29">
      <w:pPr>
        <w:pStyle w:val="InstructionsText2"/>
        <w:numPr>
          <w:ilvl w:val="0"/>
          <w:numId w:val="0"/>
        </w:numPr>
        <w:ind w:left="993"/>
      </w:pPr>
      <w:bookmarkStart w:id="95" w:name="_Toc307386943"/>
      <w:r>
        <w:t>17.</w:t>
      </w:r>
      <w:r>
        <w:tab/>
        <w:t>Institucije v prvih štirih stolpcih poročajo prilagoditve navadnega lastniškega temeljnega kapitala, dodatnega temeljnega kapitala, dodatnega kapitala in znesek, ki ga je treba obravnavati kot tveganju prilagojena sredstva. Poleg tega morajo institucije v stolpcu 050 sporočiti veljavni odstotek, v stolpcu 060 pa sprejemljivi znesek brez upoštevanja prehodnih določb.</w:t>
      </w:r>
    </w:p>
    <w:p w:rsidR="005643EA" w:rsidRPr="00392FFD" w:rsidRDefault="00125707" w:rsidP="00C37B29">
      <w:pPr>
        <w:pStyle w:val="InstructionsText2"/>
        <w:numPr>
          <w:ilvl w:val="0"/>
          <w:numId w:val="0"/>
        </w:numPr>
        <w:ind w:left="993"/>
      </w:pPr>
      <w:r>
        <w:t>18.</w:t>
      </w:r>
      <w:r>
        <w:tab/>
        <w:t>Institucije poročajo sestavine v predlogi CA5 le v obdobju veljavnosti preho</w:t>
      </w:r>
      <w:r>
        <w:t>d</w:t>
      </w:r>
      <w:r>
        <w:t>nih določb v skladu z delom 10 CRR.</w:t>
      </w:r>
    </w:p>
    <w:p w:rsidR="005643EA" w:rsidRPr="00392FFD" w:rsidRDefault="00125707" w:rsidP="00C37B29">
      <w:pPr>
        <w:pStyle w:val="InstructionsText2"/>
        <w:numPr>
          <w:ilvl w:val="0"/>
          <w:numId w:val="0"/>
        </w:numPr>
        <w:ind w:left="993"/>
      </w:pPr>
      <w:r>
        <w:t>19.</w:t>
      </w:r>
      <w:r>
        <w:tab/>
        <w:t>V skladu z nekaterimi prehodnimi določbami je potreben odbitek od temeljn</w:t>
      </w:r>
      <w:r>
        <w:t>e</w:t>
      </w:r>
      <w:r>
        <w:t>ga kapitala. V tem primeru se preostali znesek odbitka ali odbitkov upošteva pri temeljnem kapitalu, v primeru dodatnega temeljnega kapitala, ki ni zadosten, da bi lahko pokril ta znesek, pa se presežek odbije od navadnega lastniškega temeljnega kapitala.</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96" w:name="_Toc516210618"/>
      <w:bookmarkStart w:id="97" w:name="_Toc473560883"/>
      <w:bookmarkStart w:id="98" w:name="_Toc360188335"/>
      <w:bookmarkStart w:id="99" w:name="_Toc308175836"/>
      <w:bookmarkStart w:id="100" w:name="_Toc523474367"/>
      <w:bookmarkEnd w:id="95"/>
      <w:r>
        <w:rPr>
          <w:rFonts w:ascii="Times New Roman" w:hAnsi="Times New Roman"/>
          <w:sz w:val="24"/>
          <w:u w:val="none"/>
        </w:rPr>
        <w:lastRenderedPageBreak/>
        <w:t>1.6.2.</w:t>
      </w:r>
      <w:r w:rsidR="003F40E8" w:rsidRPr="003F40E8">
        <w:rPr>
          <w:u w:val="none"/>
        </w:rPr>
        <w:tab/>
      </w:r>
      <w:r>
        <w:rPr>
          <w:rFonts w:ascii="Times New Roman" w:hAnsi="Times New Roman"/>
          <w:sz w:val="24"/>
        </w:rPr>
        <w:t>C 05.01 – PREHODNE DOLOČBE (</w:t>
      </w:r>
      <w:proofErr w:type="spellStart"/>
      <w:r>
        <w:rPr>
          <w:rFonts w:ascii="Times New Roman" w:hAnsi="Times New Roman"/>
          <w:sz w:val="24"/>
        </w:rPr>
        <w:t>CA5.1</w:t>
      </w:r>
      <w:proofErr w:type="spellEnd"/>
      <w:r>
        <w:rPr>
          <w:rFonts w:ascii="Times New Roman" w:hAnsi="Times New Roman"/>
          <w:sz w:val="24"/>
        </w:rPr>
        <w:t>)</w:t>
      </w:r>
      <w:bookmarkEnd w:id="96"/>
      <w:bookmarkEnd w:id="97"/>
      <w:bookmarkEnd w:id="100"/>
      <w:r>
        <w:rPr>
          <w:rFonts w:ascii="Times New Roman" w:hAnsi="Times New Roman"/>
          <w:sz w:val="24"/>
        </w:rPr>
        <w:t xml:space="preserve"> </w:t>
      </w:r>
      <w:bookmarkEnd w:id="98"/>
      <w:bookmarkEnd w:id="99"/>
    </w:p>
    <w:p w:rsidR="002648B0" w:rsidRPr="00392FFD" w:rsidRDefault="00125707" w:rsidP="00C37B29">
      <w:pPr>
        <w:pStyle w:val="InstructionsText2"/>
        <w:numPr>
          <w:ilvl w:val="0"/>
          <w:numId w:val="0"/>
        </w:numPr>
        <w:ind w:left="993"/>
      </w:pPr>
      <w:r>
        <w:t>20.</w:t>
      </w:r>
      <w:r>
        <w:tab/>
        <w:t>Institucije v razpredelnici 5.1 poročajo prehodne določbe za sestavne dele kap</w:t>
      </w:r>
      <w:r>
        <w:t>i</w:t>
      </w:r>
      <w:r>
        <w:t xml:space="preserve">tala iz členov 465 do 491 CRR glede na uporabo končnih določb iz naslova II dela 2 CRR. </w:t>
      </w:r>
    </w:p>
    <w:p w:rsidR="00783881" w:rsidRPr="00392FFD" w:rsidRDefault="00125707" w:rsidP="00C37B29">
      <w:pPr>
        <w:pStyle w:val="InstructionsText2"/>
        <w:numPr>
          <w:ilvl w:val="0"/>
          <w:numId w:val="0"/>
        </w:numPr>
        <w:ind w:left="993"/>
      </w:pPr>
      <w:r>
        <w:t>21.</w:t>
      </w:r>
      <w:r>
        <w:tab/>
        <w:t>Institucije v vrsticah 020 do 060 poročajo informacije v zvezi s prehodnimi določbami glede instrumentov, za katere se uporabljajo predhodna pravila. Vredn</w:t>
      </w:r>
      <w:r>
        <w:t>o</w:t>
      </w:r>
      <w:r>
        <w:t xml:space="preserve">sti, ki jih je treba poročati v stolpcih 010 do 030 vrstice 060 predloge </w:t>
      </w:r>
      <w:proofErr w:type="spellStart"/>
      <w:r>
        <w:t>CA5.1</w:t>
      </w:r>
      <w:proofErr w:type="spellEnd"/>
      <w:r>
        <w:t>, je mogoče pridobiti iz ustreznih odsekov predloge CA5.2.</w:t>
      </w:r>
    </w:p>
    <w:p w:rsidR="00496C53" w:rsidRPr="00392FFD" w:rsidRDefault="00125707" w:rsidP="00C37B29">
      <w:pPr>
        <w:pStyle w:val="InstructionsText2"/>
        <w:numPr>
          <w:ilvl w:val="0"/>
          <w:numId w:val="0"/>
        </w:numPr>
        <w:ind w:left="993"/>
      </w:pPr>
      <w:r>
        <w:t>22.</w:t>
      </w:r>
      <w:r>
        <w:tab/>
        <w:t>Institucije v vrsticah 070 do 092 poročajo informacije v zvezi s prehodnimi določbami glede manjšinskih deležev ter instrumentov dodatnega temeljnega kap</w:t>
      </w:r>
      <w:r>
        <w:t>i</w:t>
      </w:r>
      <w:r>
        <w:t>tala in dodatnega kapitala, ki jih izdajo podrejene družbe (v skladu s členoma 479 in 480 CRR).</w:t>
      </w:r>
    </w:p>
    <w:p w:rsidR="00783881" w:rsidRPr="00392FFD" w:rsidRDefault="00125707" w:rsidP="00C37B29">
      <w:pPr>
        <w:pStyle w:val="InstructionsText2"/>
        <w:numPr>
          <w:ilvl w:val="0"/>
          <w:numId w:val="0"/>
        </w:numPr>
        <w:ind w:left="993"/>
      </w:pPr>
      <w:r>
        <w:t>23.</w:t>
      </w:r>
      <w:r>
        <w:tab/>
        <w:t>Institucije od vrstice 100 naprej poročajo informacije v zvezi s prehodnimi določbami glede nerealiziranih dobičkov in izgub, odbitkov ter dodatnih filtrov in odbitkov.</w:t>
      </w:r>
    </w:p>
    <w:p w:rsidR="005643EA" w:rsidRPr="00392FFD" w:rsidRDefault="00125707" w:rsidP="00C37B29">
      <w:pPr>
        <w:pStyle w:val="InstructionsText2"/>
        <w:numPr>
          <w:ilvl w:val="0"/>
          <w:numId w:val="0"/>
        </w:numPr>
        <w:ind w:left="993"/>
      </w:pPr>
      <w:r>
        <w:t>24.</w:t>
      </w:r>
      <w:r>
        <w:tab/>
        <w:t>V nekaterih primerih lahko prehodni odbitki od navadnega lastniškega temel</w:t>
      </w:r>
      <w:r>
        <w:t>j</w:t>
      </w:r>
      <w:r>
        <w:t>nega kapitala, dodatnega temeljnega kapitala ali dodatnega kapitala presegajo navadni lastniški temeljni kapital, dodatni temeljni kapital ali dodatni kapital inst</w:t>
      </w:r>
      <w:r>
        <w:t>i</w:t>
      </w:r>
      <w:r>
        <w:t>tucije. Če ta učinek izhaja iz prehodnih določb, se prikaže v ustreznih celicah pre</w:t>
      </w:r>
      <w:r>
        <w:t>d</w:t>
      </w:r>
      <w:r>
        <w:t>loge CA1. Prilagoditve v stolpcih predloge CA5 zato ne vključujejo učinkov prel</w:t>
      </w:r>
      <w:r>
        <w:t>i</w:t>
      </w:r>
      <w:r>
        <w:t xml:space="preserve">vanja, če ni na voljo dovolj razpoložljivega kapitala. </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101" w:name="_Toc360188336"/>
      <w:bookmarkStart w:id="102" w:name="_Toc516210619"/>
      <w:bookmarkStart w:id="103" w:name="_Toc473560884"/>
      <w:bookmarkStart w:id="104" w:name="_Toc523474368"/>
      <w:r>
        <w:rPr>
          <w:rFonts w:ascii="Times New Roman" w:hAnsi="Times New Roman"/>
          <w:sz w:val="24"/>
          <w:u w:val="none"/>
        </w:rPr>
        <w:t>1.6.2.1.</w:t>
      </w:r>
      <w:r w:rsidR="003F40E8" w:rsidRPr="003F40E8">
        <w:rPr>
          <w:u w:val="none"/>
        </w:rPr>
        <w:tab/>
      </w:r>
      <w:r>
        <w:rPr>
          <w:rFonts w:ascii="Times New Roman" w:hAnsi="Times New Roman"/>
          <w:sz w:val="24"/>
        </w:rPr>
        <w:t>Navodila za posamezne pozicije</w:t>
      </w:r>
      <w:bookmarkEnd w:id="101"/>
      <w:bookmarkEnd w:id="102"/>
      <w:bookmarkEnd w:id="103"/>
      <w:bookmarkEnd w:id="104"/>
    </w:p>
    <w:p w:rsidR="002648B0" w:rsidRPr="00392FFD"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392FFD" w:rsidTr="00672D2A">
        <w:tc>
          <w:tcPr>
            <w:tcW w:w="8372" w:type="dxa"/>
            <w:gridSpan w:val="2"/>
            <w:shd w:val="clear" w:color="auto" w:fill="D9D9D9"/>
          </w:tcPr>
          <w:p w:rsidR="00783881" w:rsidRPr="00392FFD" w:rsidRDefault="002648B0" w:rsidP="00FD239F">
            <w:pPr>
              <w:pStyle w:val="InstructionsText"/>
            </w:pPr>
            <w:r>
              <w:t>Stolpci</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Prilagoditve navadnega lastniškega temeljnega kapitala</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Prilagoditve dodatnega temeljnega kapitala</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Prilagoditve dodatnega kapitala</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Prilagoditve, vključene v tveganju prilagojena sredstva</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Stolpec 040 vključuje zadevne zneske za prilagoditev zneska skupne izpo</w:t>
            </w:r>
            <w:r>
              <w:rPr>
                <w:rStyle w:val="InstructionsTabelleText"/>
                <w:rFonts w:ascii="Times New Roman" w:hAnsi="Times New Roman"/>
                <w:sz w:val="24"/>
              </w:rPr>
              <w:t>s</w:t>
            </w:r>
            <w:r>
              <w:rPr>
                <w:rStyle w:val="InstructionsTabelleText"/>
                <w:rFonts w:ascii="Times New Roman" w:hAnsi="Times New Roman"/>
                <w:sz w:val="24"/>
              </w:rPr>
              <w:t>tavljenosti tveganju iz člena 92(3) CRR zaradi prehodnih določb. Pri zne</w:t>
            </w:r>
            <w:r>
              <w:rPr>
                <w:rStyle w:val="InstructionsTabelleText"/>
                <w:rFonts w:ascii="Times New Roman" w:hAnsi="Times New Roman"/>
                <w:sz w:val="24"/>
              </w:rPr>
              <w:t>s</w:t>
            </w:r>
            <w:r>
              <w:rPr>
                <w:rStyle w:val="InstructionsTabelleText"/>
                <w:rFonts w:ascii="Times New Roman" w:hAnsi="Times New Roman"/>
                <w:sz w:val="24"/>
              </w:rPr>
              <w:t>kih, ki se poročajo, se upošteva uporaba določb iz poglavja 2 ali 3 naslova II dela 3 ali naslova IV dela 3 v skladu s členom 92(4) CRR. To pomeni, da je treba prehodne zneske, za katere veljajo določbe iz poglavja 2 ali 3 naslova II dela 3, poročati kot zneske tveganju prilagojenih izpostavljeno</w:t>
            </w:r>
            <w:r>
              <w:rPr>
                <w:rStyle w:val="InstructionsTabelleText"/>
                <w:rFonts w:ascii="Times New Roman" w:hAnsi="Times New Roman"/>
                <w:sz w:val="24"/>
              </w:rPr>
              <w:t>s</w:t>
            </w:r>
            <w:r>
              <w:rPr>
                <w:rStyle w:val="InstructionsTabelleText"/>
                <w:rFonts w:ascii="Times New Roman" w:hAnsi="Times New Roman"/>
                <w:sz w:val="24"/>
              </w:rPr>
              <w:t>ti, medtem ko morajo prehodni zneski, za katere velja naslov IV dela 3, predstavljati kapitalske zahteve, pomnožene z 12,5.</w:t>
            </w:r>
          </w:p>
          <w:p w:rsidR="005643EA" w:rsidRPr="00201704" w:rsidRDefault="00B4177D"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Čeprav so stolpci 010 do 030 neposredno povezani s predlogo CA1, pril</w:t>
            </w:r>
            <w:r>
              <w:rPr>
                <w:rStyle w:val="InstructionsTabelleText"/>
                <w:rFonts w:ascii="Times New Roman" w:hAnsi="Times New Roman"/>
                <w:sz w:val="24"/>
              </w:rPr>
              <w:t>a</w:t>
            </w:r>
            <w:r>
              <w:rPr>
                <w:rStyle w:val="InstructionsTabelleText"/>
                <w:rFonts w:ascii="Times New Roman" w:hAnsi="Times New Roman"/>
                <w:sz w:val="24"/>
              </w:rPr>
              <w:t>goditve zneska skupne izpostavljenosti tveganju niso neposredno povezane z zadevnimi predlogami za kreditno tveganje. Morebitne prilagoditve zn</w:t>
            </w:r>
            <w:r>
              <w:rPr>
                <w:rStyle w:val="InstructionsTabelleText"/>
                <w:rFonts w:ascii="Times New Roman" w:hAnsi="Times New Roman"/>
                <w:sz w:val="24"/>
              </w:rPr>
              <w:t>e</w:t>
            </w:r>
            <w:r>
              <w:rPr>
                <w:rStyle w:val="InstructionsTabelleText"/>
                <w:rFonts w:ascii="Times New Roman" w:hAnsi="Times New Roman"/>
                <w:sz w:val="24"/>
              </w:rPr>
              <w:t xml:space="preserve">ska skupne izpostavljenosti tveganju, ki so posledica prehodnih določb, se vključijo neposredno v predloge CR SA, CR IRB, CR EQU IRB, MKR SA </w:t>
            </w:r>
            <w:r>
              <w:rPr>
                <w:rStyle w:val="InstructionsTabelleText"/>
                <w:rFonts w:ascii="Times New Roman" w:hAnsi="Times New Roman"/>
                <w:sz w:val="24"/>
              </w:rPr>
              <w:lastRenderedPageBreak/>
              <w:t>TDI, MKR SA EQU ali MKR IM. Poleg tega se ti učinki poročajo v st</w:t>
            </w:r>
            <w:r>
              <w:rPr>
                <w:rStyle w:val="InstructionsTabelleText"/>
                <w:rFonts w:ascii="Times New Roman" w:hAnsi="Times New Roman"/>
                <w:sz w:val="24"/>
              </w:rPr>
              <w:t>o</w:t>
            </w:r>
            <w:r>
              <w:rPr>
                <w:rStyle w:val="InstructionsTabelleText"/>
                <w:rFonts w:ascii="Times New Roman" w:hAnsi="Times New Roman"/>
                <w:sz w:val="24"/>
              </w:rPr>
              <w:t>lpcu 040 predloge CA5.1. Navedeni zneski so zato le pojasnjevalne post</w:t>
            </w:r>
            <w:r>
              <w:rPr>
                <w:rStyle w:val="InstructionsTabelleText"/>
                <w:rFonts w:ascii="Times New Roman" w:hAnsi="Times New Roman"/>
                <w:sz w:val="24"/>
              </w:rPr>
              <w:t>a</w:t>
            </w:r>
            <w:r>
              <w:rPr>
                <w:rStyle w:val="InstructionsTabelleText"/>
                <w:rFonts w:ascii="Times New Roman" w:hAnsi="Times New Roman"/>
                <w:sz w:val="24"/>
              </w:rPr>
              <w:t xml:space="preserve">vke. </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050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Veljavni odstotek</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Sprejemljiv znesek brez prehodnih določb</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Stolpec 060 vključuje zneske posameznih instrumentov pred uporabo pr</w:t>
            </w:r>
            <w:r>
              <w:rPr>
                <w:rStyle w:val="InstructionsTabelleText"/>
                <w:rFonts w:ascii="Times New Roman" w:hAnsi="Times New Roman"/>
                <w:sz w:val="24"/>
              </w:rPr>
              <w:t>e</w:t>
            </w:r>
            <w:r>
              <w:rPr>
                <w:rStyle w:val="InstructionsTabelleText"/>
                <w:rFonts w:ascii="Times New Roman" w:hAnsi="Times New Roman"/>
                <w:sz w:val="24"/>
              </w:rPr>
              <w:t>hodnih določb, tj. osnovni znesek, potreben za izračun prilagoditev.</w:t>
            </w:r>
          </w:p>
        </w:tc>
      </w:tr>
    </w:tbl>
    <w:p w:rsidR="002648B0" w:rsidRPr="00392FFD"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392FFD" w:rsidTr="00672D2A">
        <w:tc>
          <w:tcPr>
            <w:tcW w:w="8490" w:type="dxa"/>
            <w:gridSpan w:val="2"/>
            <w:shd w:val="clear" w:color="auto" w:fill="D9D9D9"/>
          </w:tcPr>
          <w:p w:rsidR="002648B0" w:rsidRPr="00392FFD" w:rsidRDefault="002648B0" w:rsidP="00FD239F">
            <w:pPr>
              <w:pStyle w:val="InstructionsText"/>
            </w:pPr>
            <w:r>
              <w:t>Vrstice</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201704" w:rsidRDefault="00EE0671" w:rsidP="00FD239F">
            <w:pPr>
              <w:pStyle w:val="InstructionsText"/>
              <w:rPr>
                <w:rStyle w:val="FormatvorlageInstructionsTabelleText"/>
                <w:rFonts w:ascii="Times New Roman" w:hAnsi="Times New Roman"/>
                <w:b/>
                <w:sz w:val="24"/>
                <w:u w:val="single"/>
              </w:rPr>
            </w:pPr>
            <w:r w:rsidRPr="00EE0671">
              <w:rPr>
                <w:rStyle w:val="InstructionsTabelleberschrift"/>
                <w:rFonts w:ascii="Times New Roman" w:hAnsi="Times New Roman"/>
                <w:sz w:val="24"/>
              </w:rPr>
              <w:t>1</w:t>
            </w:r>
            <w:r w:rsidRPr="00EE0671">
              <w:rPr>
                <w:rStyle w:val="InstructionsTabelleberschrift"/>
                <w:rFonts w:ascii="Times New Roman" w:hAnsi="Times New Roman"/>
                <w:sz w:val="24"/>
              </w:rPr>
              <w:tab/>
            </w:r>
            <w:r w:rsidR="00C66473">
              <w:rPr>
                <w:rStyle w:val="InstructionsTabelleberschrift"/>
                <w:rFonts w:ascii="Times New Roman" w:hAnsi="Times New Roman"/>
                <w:sz w:val="24"/>
              </w:rPr>
              <w:t>Skupaj prilagoditve</w:t>
            </w:r>
          </w:p>
          <w:p w:rsidR="002648B0" w:rsidRPr="00201704" w:rsidRDefault="002648B0" w:rsidP="007106FB">
            <w:pPr>
              <w:spacing w:before="0"/>
              <w:rPr>
                <w:rStyle w:val="FormatvorlageInstructionsTabelleText"/>
                <w:rFonts w:ascii="Times New Roman" w:hAnsi="Times New Roman"/>
                <w:bCs w:val="0"/>
                <w:sz w:val="24"/>
              </w:rPr>
            </w:pPr>
            <w:r>
              <w:rPr>
                <w:rStyle w:val="InstructionsTabelleText"/>
                <w:rFonts w:ascii="Times New Roman" w:hAnsi="Times New Roman"/>
                <w:sz w:val="24"/>
              </w:rPr>
              <w:t>V tej vrstici je naveden skupni učinek prehodnih prilagoditev različnih vrst kapitala in tveganju prilagojenih zneskov, ki izhajajo iz teh prilagoditev.</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020 </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rsidR="00EE0671" w:rsidRPr="00EE0671">
              <w:rPr>
                <w:u w:val="single"/>
              </w:rPr>
              <w:tab/>
            </w:r>
            <w:r>
              <w:rPr>
                <w:rStyle w:val="InstructionsTabelleberschrift"/>
                <w:rFonts w:ascii="Times New Roman" w:hAnsi="Times New Roman"/>
                <w:sz w:val="24"/>
              </w:rPr>
              <w:t>Instrumenti, za katere se uporabljajo predhodna pravila</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Členi 483 do 491 CRR.</w:t>
            </w:r>
          </w:p>
          <w:p w:rsidR="002648B0" w:rsidRPr="00392FFD"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V tej vrstici so navedeni skupni učinki instrumentov, za katere se prehodno uporabljajo predhodna pravila, po različnih vrstah kapitala.</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2648B0"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1.1.1</w:t>
            </w:r>
            <w:r w:rsidR="00EE0671" w:rsidRPr="00EE0671">
              <w:rPr>
                <w:u w:val="single"/>
              </w:rPr>
              <w:tab/>
            </w:r>
            <w:r>
              <w:rPr>
                <w:rStyle w:val="InstructionsTabelleberschrift"/>
                <w:rFonts w:ascii="Times New Roman" w:hAnsi="Times New Roman"/>
                <w:sz w:val="24"/>
              </w:rPr>
              <w:t>Instrumenti, za katere se uporabljajo predhodna pravila: instrumenti, ki tvorijo državno pomoč</w:t>
            </w:r>
          </w:p>
          <w:p w:rsidR="002648B0" w:rsidRPr="00392FFD" w:rsidRDefault="002648B0" w:rsidP="007106FB">
            <w:pPr>
              <w:spacing w:before="0"/>
              <w:rPr>
                <w:rStyle w:val="InstructionsTabelleberschrift"/>
                <w:rFonts w:ascii="Times New Roman" w:hAnsi="Times New Roman"/>
                <w:sz w:val="24"/>
              </w:rPr>
            </w:pPr>
            <w:r>
              <w:rPr>
                <w:rStyle w:val="InstructionsTabelleText"/>
                <w:rFonts w:ascii="Times New Roman" w:hAnsi="Times New Roman"/>
                <w:sz w:val="24"/>
              </w:rPr>
              <w:t>Člen 483 CRR.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1.1.1.</w:t>
            </w:r>
            <w:r w:rsidR="00EE0671" w:rsidRPr="00EE0671">
              <w:rPr>
                <w:rStyle w:val="InstructionsTabelleberschrift"/>
                <w:rFonts w:ascii="Times New Roman" w:hAnsi="Times New Roman"/>
                <w:sz w:val="24"/>
              </w:rPr>
              <w:t>1</w:t>
            </w:r>
            <w:r w:rsidR="00EE0671" w:rsidRPr="00EE0671">
              <w:rPr>
                <w:rStyle w:val="InstructionsTabelleberschrift"/>
                <w:rFonts w:ascii="Times New Roman" w:hAnsi="Times New Roman"/>
                <w:sz w:val="24"/>
              </w:rPr>
              <w:tab/>
            </w:r>
            <w:r>
              <w:rPr>
                <w:rStyle w:val="InstructionsTabelleberschrift"/>
                <w:rFonts w:ascii="Times New Roman" w:hAnsi="Times New Roman"/>
                <w:sz w:val="24"/>
              </w:rPr>
              <w:t>Instrumenti, ki izpolnjujejo pogoje za kapital v skladu z Dire</w:t>
            </w:r>
            <w:r>
              <w:rPr>
                <w:rStyle w:val="InstructionsTabelleberschrift"/>
                <w:rFonts w:ascii="Times New Roman" w:hAnsi="Times New Roman"/>
                <w:sz w:val="24"/>
              </w:rPr>
              <w:t>k</w:t>
            </w:r>
            <w:r>
              <w:rPr>
                <w:rStyle w:val="InstructionsTabelleberschrift"/>
                <w:rFonts w:ascii="Times New Roman" w:hAnsi="Times New Roman"/>
                <w:sz w:val="24"/>
              </w:rPr>
              <w:t>tivo 2006/48/ES</w:t>
            </w:r>
          </w:p>
          <w:p w:rsidR="005643EA" w:rsidRPr="00201704" w:rsidRDefault="002648B0" w:rsidP="00FD239F">
            <w:pPr>
              <w:pStyle w:val="InstructionsText"/>
              <w:rPr>
                <w:bCs/>
              </w:rPr>
            </w:pPr>
            <w:r>
              <w:rPr>
                <w:rStyle w:val="InstructionsTabelleText"/>
                <w:rFonts w:ascii="Times New Roman" w:hAnsi="Times New Roman"/>
                <w:sz w:val="24"/>
              </w:rPr>
              <w:t>Člen 483(1), (2), (4) in (6) CRR.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2648B0"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1.1.1.</w:t>
            </w:r>
            <w:r w:rsidR="00EE0671" w:rsidRPr="00EE0671">
              <w:rPr>
                <w:rStyle w:val="InstructionsTabelleberschrift"/>
                <w:rFonts w:ascii="Times New Roman" w:hAnsi="Times New Roman"/>
                <w:sz w:val="24"/>
              </w:rPr>
              <w:t>2</w:t>
            </w:r>
            <w:r w:rsidR="00EE0671" w:rsidRPr="00EE0671">
              <w:rPr>
                <w:rStyle w:val="InstructionsTabelleberschrift"/>
                <w:rFonts w:ascii="Times New Roman" w:hAnsi="Times New Roman"/>
                <w:sz w:val="24"/>
              </w:rPr>
              <w:tab/>
            </w:r>
            <w:r>
              <w:rPr>
                <w:rStyle w:val="InstructionsTabelleberschrift"/>
                <w:rFonts w:ascii="Times New Roman" w:hAnsi="Times New Roman"/>
                <w:sz w:val="24"/>
              </w:rPr>
              <w:t>Instrumenti, ki jih izdajo institucije s sedežem v državi članici, vključeni v program za gospodarsko prilagoditev</w:t>
            </w:r>
          </w:p>
          <w:p w:rsidR="002648B0" w:rsidRPr="00392FFD" w:rsidRDefault="002648B0" w:rsidP="007106FB">
            <w:pPr>
              <w:spacing w:before="0"/>
              <w:rPr>
                <w:rFonts w:ascii="Times New Roman" w:hAnsi="Times New Roman"/>
                <w:b/>
                <w:bCs/>
                <w:sz w:val="24"/>
              </w:rPr>
            </w:pPr>
            <w:r>
              <w:rPr>
                <w:rStyle w:val="InstructionsTabelleText"/>
                <w:rFonts w:ascii="Times New Roman" w:hAnsi="Times New Roman"/>
                <w:sz w:val="24"/>
              </w:rPr>
              <w:t>Člen 483(1), (3), (5), (7) in (8) CRR.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2648B0" w:rsidRPr="00201704"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rsidR="00EE0671" w:rsidRPr="00EE0671">
              <w:rPr>
                <w:u w:val="single"/>
              </w:rPr>
              <w:tab/>
            </w:r>
            <w:r>
              <w:rPr>
                <w:rStyle w:val="InstructionsTabelleberschrift"/>
                <w:rFonts w:ascii="Times New Roman" w:hAnsi="Times New Roman"/>
                <w:sz w:val="24"/>
              </w:rPr>
              <w:t>Instrumenti, ki ne tvorijo državne pomoči</w:t>
            </w:r>
          </w:p>
          <w:p w:rsidR="002648B0" w:rsidRPr="00392FFD" w:rsidRDefault="002648B0" w:rsidP="007106FB">
            <w:pPr>
              <w:spacing w:before="0"/>
              <w:rPr>
                <w:rFonts w:ascii="Times New Roman" w:hAnsi="Times New Roman"/>
                <w:b/>
                <w:bCs/>
                <w:sz w:val="24"/>
              </w:rPr>
            </w:pPr>
            <w:r>
              <w:rPr>
                <w:rStyle w:val="InstructionsTabelleText"/>
                <w:rFonts w:ascii="Times New Roman" w:hAnsi="Times New Roman"/>
                <w:sz w:val="24"/>
              </w:rPr>
              <w:t>Zneski, ki se poročajo, se pridobijo iz stolpca 060 predloge CA5.2.</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070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rsidR="00EE0671" w:rsidRPr="00EE0671">
              <w:rPr>
                <w:u w:val="single"/>
              </w:rPr>
              <w:tab/>
            </w:r>
            <w:r>
              <w:rPr>
                <w:rStyle w:val="InstructionsTabelleberschrift"/>
                <w:rFonts w:ascii="Times New Roman" w:hAnsi="Times New Roman"/>
                <w:sz w:val="24"/>
              </w:rPr>
              <w:t>Manjšinski deleži in ekvivalenti</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Člena 479 in 480 CRR.</w:t>
            </w:r>
          </w:p>
          <w:p w:rsidR="002648B0" w:rsidRPr="00392FFD" w:rsidRDefault="00FC1030" w:rsidP="007106FB">
            <w:pPr>
              <w:spacing w:before="0"/>
              <w:rPr>
                <w:rStyle w:val="InstructionsTabelleText"/>
                <w:rFonts w:ascii="Times New Roman" w:hAnsi="Times New Roman"/>
                <w:sz w:val="24"/>
              </w:rPr>
            </w:pPr>
            <w:r>
              <w:rPr>
                <w:rStyle w:val="InstructionsTabelleText"/>
                <w:rFonts w:ascii="Times New Roman" w:hAnsi="Times New Roman"/>
                <w:sz w:val="24"/>
              </w:rPr>
              <w:t>V tej vrstici so navedeni učinki prehodnih določb na manjšinske deleže, sprejemljive kot navaden lastniški temeljni kapital, kvalificirane instr</w:t>
            </w:r>
            <w:r>
              <w:rPr>
                <w:rStyle w:val="InstructionsTabelleText"/>
                <w:rFonts w:ascii="Times New Roman" w:hAnsi="Times New Roman"/>
                <w:sz w:val="24"/>
              </w:rPr>
              <w:t>u</w:t>
            </w:r>
            <w:r>
              <w:rPr>
                <w:rStyle w:val="InstructionsTabelleText"/>
                <w:rFonts w:ascii="Times New Roman" w:hAnsi="Times New Roman"/>
                <w:sz w:val="24"/>
              </w:rPr>
              <w:t>mente temeljnega kapitala, sprejemljive kot konsolidirani dodatni temeljni kapital, in kvalificirani kapital, sprejemljiv kot konsolidirani dodatni kap</w:t>
            </w:r>
            <w:r>
              <w:rPr>
                <w:rStyle w:val="InstructionsTabelleText"/>
                <w:rFonts w:ascii="Times New Roman" w:hAnsi="Times New Roman"/>
                <w:sz w:val="24"/>
              </w:rPr>
              <w:t>i</w:t>
            </w:r>
            <w:r>
              <w:rPr>
                <w:rStyle w:val="InstructionsTabelleText"/>
                <w:rFonts w:ascii="Times New Roman" w:hAnsi="Times New Roman"/>
                <w:sz w:val="24"/>
              </w:rPr>
              <w:t>tal.</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080</w:t>
            </w:r>
          </w:p>
        </w:tc>
        <w:tc>
          <w:tcPr>
            <w:tcW w:w="7478"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sidR="00EE0671" w:rsidRPr="00EE0671">
              <w:rPr>
                <w:u w:val="single"/>
              </w:rPr>
              <w:tab/>
            </w:r>
            <w:r>
              <w:rPr>
                <w:rStyle w:val="InstructionsTabelleberschrift"/>
                <w:rFonts w:ascii="Times New Roman" w:hAnsi="Times New Roman"/>
                <w:sz w:val="24"/>
              </w:rPr>
              <w:t>Kapitalski instrumenti in postavke, ki se ne štejejo za manjši</w:t>
            </w:r>
            <w:r>
              <w:rPr>
                <w:rStyle w:val="InstructionsTabelleberschrift"/>
                <w:rFonts w:ascii="Times New Roman" w:hAnsi="Times New Roman"/>
                <w:sz w:val="24"/>
              </w:rPr>
              <w:t>n</w:t>
            </w:r>
            <w:r>
              <w:rPr>
                <w:rStyle w:val="InstructionsTabelleberschrift"/>
                <w:rFonts w:ascii="Times New Roman" w:hAnsi="Times New Roman"/>
                <w:sz w:val="24"/>
              </w:rPr>
              <w:t>ske deleže</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Člen 479 CRR.</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Znesek, ki se poroča v stolpcu 060 te vrstice, je znesek, ki se uvrsti med konsolidacijske rezerve v skladu s prejšnjo zakonodajo. </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090</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rsidR="00EE0671" w:rsidRPr="00EE0671">
              <w:rPr>
                <w:u w:val="single"/>
              </w:rPr>
              <w:tab/>
            </w:r>
            <w:r>
              <w:rPr>
                <w:rStyle w:val="InstructionsTabelleberschrift"/>
                <w:rFonts w:ascii="Times New Roman" w:hAnsi="Times New Roman"/>
                <w:sz w:val="24"/>
              </w:rPr>
              <w:t>Prehodno pripoznanje manjšinskih deležev v konsolidiranem kapitalu</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Člena 84 in 480 CRR.</w:t>
            </w:r>
          </w:p>
          <w:p w:rsidR="005643EA" w:rsidRPr="00201704" w:rsidRDefault="002648B0"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Znesek, ki se poroča v stolpcu 060 te vrstice, je sprejemljiv znesek brez prehodnih določb.</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091</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rsidR="00EE0671" w:rsidRPr="00EE0671">
              <w:rPr>
                <w:u w:val="single"/>
              </w:rPr>
              <w:tab/>
            </w:r>
            <w:r>
              <w:rPr>
                <w:rStyle w:val="InstructionsTabelleberschrift"/>
                <w:rFonts w:ascii="Times New Roman" w:hAnsi="Times New Roman"/>
                <w:sz w:val="24"/>
              </w:rPr>
              <w:t>Prehodno pripoznanje kvalificiranega dodatnega temeljnega kapitala v konsolidiranem kapitalu</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Člena 85 in 480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Znesek, ki se poroča v stolpcu 060 te vrstice, je sprejemljiv znesek brez prehodnih določb.</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092</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rsidR="00EE0671" w:rsidRPr="00EE0671">
              <w:rPr>
                <w:u w:val="single"/>
              </w:rPr>
              <w:tab/>
            </w:r>
            <w:r>
              <w:rPr>
                <w:rStyle w:val="InstructionsTabelleberschrift"/>
                <w:rFonts w:ascii="Times New Roman" w:hAnsi="Times New Roman"/>
                <w:sz w:val="24"/>
              </w:rPr>
              <w:t>Prehodno pripoznanje kvalificiranega dodatnega kapitala v konsolidiranem kapitalu</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Člena 87 in 480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Znesek, ki se poroča v stolpcu 060 te vrstice, je sprejemljiv znesek brez prehodnih določb.</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100</w:t>
            </w:r>
          </w:p>
        </w:tc>
        <w:tc>
          <w:tcPr>
            <w:tcW w:w="7478" w:type="dxa"/>
          </w:tcPr>
          <w:p w:rsidR="002648B0"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rsidR="00EE0671" w:rsidRPr="00EE0671">
              <w:rPr>
                <w:u w:val="single"/>
              </w:rPr>
              <w:tab/>
            </w:r>
            <w:r>
              <w:rPr>
                <w:rStyle w:val="InstructionsTabelleberschrift"/>
                <w:rFonts w:ascii="Times New Roman" w:hAnsi="Times New Roman"/>
                <w:sz w:val="24"/>
              </w:rPr>
              <w:t>Druge prehodne prilagoditve</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Členi 467 do 478 in 481 CRR.</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V tej vrstici je naveden skupni učinek prehodnih prilagoditev odbitka od različnih vrst kapitala, nerealiziranih dobičkov in izgub, dodatnih filtrov in odbitkov ter tveganju prilagojenih zneskov, ki izhajajo iz teh prilagoditev.</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110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1.3.1</w:t>
            </w:r>
            <w:r w:rsidR="00EE0671" w:rsidRPr="00EE0671">
              <w:rPr>
                <w:u w:val="single"/>
              </w:rPr>
              <w:tab/>
            </w:r>
            <w:r>
              <w:rPr>
                <w:rStyle w:val="InstructionsTabelleberschrift"/>
                <w:rFonts w:ascii="Times New Roman" w:hAnsi="Times New Roman"/>
                <w:sz w:val="24"/>
              </w:rPr>
              <w:t>Nerealizirani dobički in izgube</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Člena 467 in 468 CRR.</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V tej vrstici so navedeni skupni učinki prehodnih določb na nerealizirane dobičke in izgube, merjene po pošteni vrednosti.</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120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w:t>
            </w:r>
            <w:r w:rsidR="00EE0671" w:rsidRPr="00EE0671">
              <w:rPr>
                <w:rStyle w:val="InstructionsTabelleberschrift"/>
                <w:rFonts w:ascii="Times New Roman" w:hAnsi="Times New Roman"/>
                <w:sz w:val="24"/>
              </w:rPr>
              <w:t>1</w:t>
            </w:r>
            <w:r w:rsidR="00EE0671" w:rsidRPr="00EE0671">
              <w:rPr>
                <w:rStyle w:val="InstructionsTabelleberschrift"/>
                <w:rFonts w:ascii="Times New Roman" w:hAnsi="Times New Roman"/>
                <w:sz w:val="24"/>
              </w:rPr>
              <w:tab/>
            </w:r>
            <w:r>
              <w:rPr>
                <w:rStyle w:val="InstructionsTabelleberschrift"/>
                <w:rFonts w:ascii="Times New Roman" w:hAnsi="Times New Roman"/>
                <w:sz w:val="24"/>
              </w:rPr>
              <w:t>Nerealizirani dobički</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Člen 468(1) CRR.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w:t>
            </w:r>
            <w:r w:rsidR="00EE0671" w:rsidRPr="00EE0671">
              <w:rPr>
                <w:rStyle w:val="InstructionsTabelleberschrift"/>
                <w:rFonts w:ascii="Times New Roman" w:hAnsi="Times New Roman"/>
                <w:sz w:val="24"/>
              </w:rPr>
              <w:t>2</w:t>
            </w:r>
            <w:r w:rsidR="00EE0671" w:rsidRPr="00EE0671">
              <w:rPr>
                <w:rStyle w:val="InstructionsTabelleberschrift"/>
                <w:rFonts w:ascii="Times New Roman" w:hAnsi="Times New Roman"/>
                <w:sz w:val="24"/>
              </w:rPr>
              <w:tab/>
            </w:r>
            <w:r>
              <w:rPr>
                <w:rStyle w:val="InstructionsTabelleberschrift"/>
                <w:rFonts w:ascii="Times New Roman" w:hAnsi="Times New Roman"/>
                <w:sz w:val="24"/>
              </w:rPr>
              <w:t>Nerealizirane izgube</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Člen 467(1) CRR.</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133</w:t>
            </w:r>
          </w:p>
        </w:tc>
        <w:tc>
          <w:tcPr>
            <w:tcW w:w="7478" w:type="dxa"/>
          </w:tcPr>
          <w:p w:rsidR="005643EA" w:rsidRPr="00392FFD" w:rsidRDefault="00E0662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w:t>
            </w:r>
            <w:r w:rsidR="00EE0671" w:rsidRPr="00EE0671">
              <w:rPr>
                <w:rStyle w:val="InstructionsTabelleberschrift"/>
                <w:rFonts w:ascii="Times New Roman" w:hAnsi="Times New Roman"/>
                <w:sz w:val="24"/>
              </w:rPr>
              <w:t>3</w:t>
            </w:r>
            <w:r w:rsidR="00EE0671" w:rsidRPr="00EE0671">
              <w:rPr>
                <w:rStyle w:val="InstructionsTabelleberschrift"/>
                <w:rFonts w:ascii="Times New Roman" w:hAnsi="Times New Roman"/>
                <w:sz w:val="24"/>
              </w:rPr>
              <w:tab/>
            </w:r>
            <w:r>
              <w:rPr>
                <w:rStyle w:val="InstructionsTabelleberschrift"/>
                <w:rFonts w:ascii="Times New Roman" w:hAnsi="Times New Roman"/>
                <w:sz w:val="24"/>
              </w:rPr>
              <w:t>Nerealizirani dobički iz naslova izpostavljenosti do enot ce</w:t>
            </w:r>
            <w:r>
              <w:rPr>
                <w:rStyle w:val="InstructionsTabelleberschrift"/>
                <w:rFonts w:ascii="Times New Roman" w:hAnsi="Times New Roman"/>
                <w:sz w:val="24"/>
              </w:rPr>
              <w:t>n</w:t>
            </w:r>
            <w:r>
              <w:rPr>
                <w:rStyle w:val="InstructionsTabelleberschrift"/>
                <w:rFonts w:ascii="Times New Roman" w:hAnsi="Times New Roman"/>
                <w:sz w:val="24"/>
              </w:rPr>
              <w:t>tralne ravni države, razvrščenih v kategorijo „razpoložljiv za pr</w:t>
            </w:r>
            <w:r>
              <w:rPr>
                <w:rStyle w:val="InstructionsTabelleberschrift"/>
                <w:rFonts w:ascii="Times New Roman" w:hAnsi="Times New Roman"/>
                <w:sz w:val="24"/>
              </w:rPr>
              <w:t>o</w:t>
            </w:r>
            <w:r>
              <w:rPr>
                <w:rStyle w:val="InstructionsTabelleberschrift"/>
                <w:rFonts w:ascii="Times New Roman" w:hAnsi="Times New Roman"/>
                <w:sz w:val="24"/>
              </w:rPr>
              <w:t>dajo“ v skladu z mednarodnim računovodskim standardom 39, ki ga je od</w:t>
            </w:r>
            <w:r>
              <w:rPr>
                <w:rStyle w:val="InstructionsTabelleberschrift"/>
                <w:rFonts w:ascii="Times New Roman" w:hAnsi="Times New Roman"/>
                <w:sz w:val="24"/>
              </w:rPr>
              <w:t>o</w:t>
            </w:r>
            <w:r>
              <w:rPr>
                <w:rStyle w:val="InstructionsTabelleberschrift"/>
                <w:rFonts w:ascii="Times New Roman" w:hAnsi="Times New Roman"/>
                <w:sz w:val="24"/>
              </w:rPr>
              <w:t>brila EU</w:t>
            </w:r>
          </w:p>
          <w:p w:rsidR="005643EA" w:rsidRPr="00201704"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468 CRR.</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136</w:t>
            </w:r>
          </w:p>
        </w:tc>
        <w:tc>
          <w:tcPr>
            <w:tcW w:w="7478" w:type="dxa"/>
          </w:tcPr>
          <w:p w:rsidR="005643EA" w:rsidRPr="00392FFD" w:rsidRDefault="00E0662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w:t>
            </w:r>
            <w:r w:rsidR="0059042F">
              <w:rPr>
                <w:rStyle w:val="InstructionsTabelleberschrift"/>
                <w:rFonts w:ascii="Times New Roman" w:hAnsi="Times New Roman"/>
                <w:sz w:val="24"/>
              </w:rPr>
              <w:t>4</w:t>
            </w:r>
            <w:r w:rsidR="00EE0671" w:rsidRPr="00EE0671">
              <w:rPr>
                <w:rStyle w:val="InstructionsTabelleberschrift"/>
                <w:rFonts w:ascii="Times New Roman" w:hAnsi="Times New Roman"/>
                <w:sz w:val="24"/>
              </w:rPr>
              <w:tab/>
            </w:r>
            <w:r>
              <w:rPr>
                <w:rStyle w:val="InstructionsTabelleberschrift"/>
                <w:rFonts w:ascii="Times New Roman" w:hAnsi="Times New Roman"/>
                <w:sz w:val="24"/>
              </w:rPr>
              <w:t>Nerealizirana izguba iz naslova izpostavljenosti do enot ce</w:t>
            </w:r>
            <w:r>
              <w:rPr>
                <w:rStyle w:val="InstructionsTabelleberschrift"/>
                <w:rFonts w:ascii="Times New Roman" w:hAnsi="Times New Roman"/>
                <w:sz w:val="24"/>
              </w:rPr>
              <w:t>n</w:t>
            </w:r>
            <w:r>
              <w:rPr>
                <w:rStyle w:val="InstructionsTabelleberschrift"/>
                <w:rFonts w:ascii="Times New Roman" w:hAnsi="Times New Roman"/>
                <w:sz w:val="24"/>
              </w:rPr>
              <w:t>tralne ravni države, razvrščenih v kategorijo „razpoložljiv za pr</w:t>
            </w:r>
            <w:r>
              <w:rPr>
                <w:rStyle w:val="InstructionsTabelleberschrift"/>
                <w:rFonts w:ascii="Times New Roman" w:hAnsi="Times New Roman"/>
                <w:sz w:val="24"/>
              </w:rPr>
              <w:t>o</w:t>
            </w:r>
            <w:r>
              <w:rPr>
                <w:rStyle w:val="InstructionsTabelleberschrift"/>
                <w:rFonts w:ascii="Times New Roman" w:hAnsi="Times New Roman"/>
                <w:sz w:val="24"/>
              </w:rPr>
              <w:t>dajo“ v skladu z mednarodnim računovodskim standardom 39, ki ga je od</w:t>
            </w:r>
            <w:r>
              <w:rPr>
                <w:rStyle w:val="InstructionsTabelleberschrift"/>
                <w:rFonts w:ascii="Times New Roman" w:hAnsi="Times New Roman"/>
                <w:sz w:val="24"/>
              </w:rPr>
              <w:t>o</w:t>
            </w:r>
            <w:r>
              <w:rPr>
                <w:rStyle w:val="InstructionsTabelleberschrift"/>
                <w:rFonts w:ascii="Times New Roman" w:hAnsi="Times New Roman"/>
                <w:sz w:val="24"/>
              </w:rPr>
              <w:t>brila EU</w:t>
            </w:r>
          </w:p>
          <w:p w:rsidR="00E06628" w:rsidRPr="00201704"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467 CRR.</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138</w:t>
            </w:r>
          </w:p>
        </w:tc>
        <w:tc>
          <w:tcPr>
            <w:tcW w:w="7478" w:type="dxa"/>
          </w:tcPr>
          <w:p w:rsidR="005643EA" w:rsidRPr="00392FFD" w:rsidRDefault="00E0662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w:t>
            </w:r>
            <w:r w:rsidR="0059042F">
              <w:rPr>
                <w:rStyle w:val="InstructionsTabelleberschrift"/>
                <w:rFonts w:ascii="Times New Roman" w:hAnsi="Times New Roman"/>
                <w:sz w:val="24"/>
              </w:rPr>
              <w:t>5</w:t>
            </w:r>
            <w:r w:rsidR="00EE0671" w:rsidRPr="00EE0671">
              <w:rPr>
                <w:rStyle w:val="InstructionsTabelleberschrift"/>
                <w:rFonts w:ascii="Times New Roman" w:hAnsi="Times New Roman"/>
                <w:sz w:val="24"/>
              </w:rPr>
              <w:tab/>
            </w:r>
            <w:r>
              <w:rPr>
                <w:rStyle w:val="InstructionsTabelleberschrift"/>
                <w:rFonts w:ascii="Times New Roman" w:hAnsi="Times New Roman"/>
                <w:sz w:val="24"/>
              </w:rPr>
              <w:t>Dobički in izgube, nastali zaradi vrednotenja po pošteni vre</w:t>
            </w:r>
            <w:r>
              <w:rPr>
                <w:rStyle w:val="InstructionsTabelleberschrift"/>
                <w:rFonts w:ascii="Times New Roman" w:hAnsi="Times New Roman"/>
                <w:sz w:val="24"/>
              </w:rPr>
              <w:t>d</w:t>
            </w:r>
            <w:r>
              <w:rPr>
                <w:rStyle w:val="InstructionsTabelleberschrift"/>
                <w:rFonts w:ascii="Times New Roman" w:hAnsi="Times New Roman"/>
                <w:sz w:val="24"/>
              </w:rPr>
              <w:t>nosti, ki izhajajo iz kreditnega tveganja same institucije v zvezi z izv</w:t>
            </w:r>
            <w:r>
              <w:rPr>
                <w:rStyle w:val="InstructionsTabelleberschrift"/>
                <w:rFonts w:ascii="Times New Roman" w:hAnsi="Times New Roman"/>
                <w:sz w:val="24"/>
              </w:rPr>
              <w:t>e</w:t>
            </w:r>
            <w:r>
              <w:rPr>
                <w:rStyle w:val="InstructionsTabelleberschrift"/>
                <w:rFonts w:ascii="Times New Roman" w:hAnsi="Times New Roman"/>
                <w:sz w:val="24"/>
              </w:rPr>
              <w:lastRenderedPageBreak/>
              <w:t>denimi finančnimi obveznostmi</w:t>
            </w:r>
          </w:p>
          <w:p w:rsidR="005643EA" w:rsidRPr="00201704"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468 CRR.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140</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rsidR="00EE0671" w:rsidRPr="00EE0671">
              <w:rPr>
                <w:u w:val="single"/>
              </w:rPr>
              <w:tab/>
            </w:r>
            <w:r>
              <w:rPr>
                <w:rStyle w:val="InstructionsTabelleberschrift"/>
                <w:rFonts w:ascii="Times New Roman" w:hAnsi="Times New Roman"/>
                <w:sz w:val="24"/>
              </w:rPr>
              <w:t>Odbitki</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Člen 36(1) in členi 469 do 478 CRR.</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V tej vrstici je naveden skupni učinek prehodnih določb na odbitke.</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150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1.3.2.</w:t>
            </w:r>
            <w:r w:rsidR="00EE0671" w:rsidRPr="00EE0671">
              <w:rPr>
                <w:rStyle w:val="InstructionsTabelleberschrift"/>
                <w:rFonts w:ascii="Times New Roman" w:hAnsi="Times New Roman"/>
                <w:sz w:val="24"/>
              </w:rPr>
              <w:t>1</w:t>
            </w:r>
            <w:r w:rsidR="00EE0671" w:rsidRPr="00EE0671">
              <w:rPr>
                <w:rStyle w:val="InstructionsTabelleberschrift"/>
                <w:rFonts w:ascii="Times New Roman" w:hAnsi="Times New Roman"/>
                <w:sz w:val="24"/>
              </w:rPr>
              <w:tab/>
            </w:r>
            <w:r>
              <w:rPr>
                <w:rStyle w:val="InstructionsTabelleberschrift"/>
                <w:rFonts w:ascii="Times New Roman" w:hAnsi="Times New Roman"/>
                <w:sz w:val="24"/>
              </w:rPr>
              <w:t>Izgube tekočega poslovnega leta</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Člen 36(1)(a), člena 469(1)in 472(3) ter člen 478 CRR.</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Znesek, ki se poroča v stolpcu 060 te vrstice, je prvotni odbitek v skladu s členom 36(1)(a) CRR.</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Kadar morajo podjetja odbiti le pomembne izgube:</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kadar je skupna vmesna neto izguba „pomembna“, se preostali znesek v celoti odbije od temeljnega kapitala, ali</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kadar skupna vmesna neto izguba v celoti ni „pomembna“, se preostali znesek ne odbije.</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160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w:t>
            </w:r>
            <w:r w:rsidR="00EE0671" w:rsidRPr="00EE0671">
              <w:rPr>
                <w:rStyle w:val="InstructionsTabelleberschrift"/>
                <w:rFonts w:ascii="Times New Roman" w:hAnsi="Times New Roman"/>
                <w:sz w:val="24"/>
              </w:rPr>
              <w:t>2</w:t>
            </w:r>
            <w:r w:rsidR="00EE0671" w:rsidRPr="00EE0671">
              <w:rPr>
                <w:rStyle w:val="InstructionsTabelleberschrift"/>
                <w:rFonts w:ascii="Times New Roman" w:hAnsi="Times New Roman"/>
                <w:sz w:val="24"/>
              </w:rPr>
              <w:tab/>
            </w:r>
            <w:r>
              <w:rPr>
                <w:rStyle w:val="InstructionsTabelleberschrift"/>
                <w:rFonts w:ascii="Times New Roman" w:hAnsi="Times New Roman"/>
                <w:sz w:val="24"/>
              </w:rPr>
              <w:t>Neopredmetena sredstva</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Člen 36(1)(b), člena 469(1) in 472(4) ter člen 478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Pri določanju zneska neopredmetenih sredstev, ki se odbije, institucije up</w:t>
            </w:r>
            <w:r>
              <w:rPr>
                <w:rStyle w:val="InstructionsTabelleText"/>
                <w:rFonts w:ascii="Times New Roman" w:hAnsi="Times New Roman"/>
                <w:sz w:val="24"/>
              </w:rPr>
              <w:t>o</w:t>
            </w:r>
            <w:r>
              <w:rPr>
                <w:rStyle w:val="InstructionsTabelleText"/>
                <w:rFonts w:ascii="Times New Roman" w:hAnsi="Times New Roman"/>
                <w:sz w:val="24"/>
              </w:rPr>
              <w:t>števajo določbe člena 37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Znesek, ki se poroča v stolpcu 060 te vrstice, je prvotni odbitek v skladu s členom 36(1)(b) CRR.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170</w:t>
            </w:r>
          </w:p>
          <w:p w:rsidR="005643EA" w:rsidRPr="00392FFD" w:rsidRDefault="005643EA" w:rsidP="00FD239F">
            <w:pPr>
              <w:pStyle w:val="InstructionsText"/>
              <w:rPr>
                <w:rStyle w:val="InstructionsTabelleText"/>
                <w:rFonts w:ascii="Times New Roman" w:hAnsi="Times New Roman"/>
                <w:sz w:val="24"/>
              </w:rPr>
            </w:pP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w:t>
            </w:r>
            <w:r w:rsidR="00EE0671" w:rsidRPr="00EE0671">
              <w:rPr>
                <w:rStyle w:val="InstructionsTabelleberschrift"/>
                <w:rFonts w:ascii="Times New Roman" w:hAnsi="Times New Roman"/>
                <w:sz w:val="24"/>
              </w:rPr>
              <w:t>3</w:t>
            </w:r>
            <w:r w:rsidR="00EE0671" w:rsidRPr="00EE0671">
              <w:rPr>
                <w:rStyle w:val="InstructionsTabelleberschrift"/>
                <w:rFonts w:ascii="Times New Roman" w:hAnsi="Times New Roman"/>
                <w:sz w:val="24"/>
              </w:rPr>
              <w:tab/>
            </w:r>
            <w:r>
              <w:rPr>
                <w:rStyle w:val="InstructionsTabelleberschrift"/>
                <w:rFonts w:ascii="Times New Roman" w:hAnsi="Times New Roman"/>
                <w:sz w:val="24"/>
              </w:rPr>
              <w:t>Odložene terjatve za davek, ki se nanašajo na prihodnji dobiček in ne izhajajo iz začasnih razlik</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Člen 36(1)(c), člena 469(1) in 472(5) ter člen 478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Pri določanju zneska zgoraj navedenih odloženih terjatev za davek, ki se odbije, institucije upoštevajo določbe člena 38 CRR v zvezi z zmanjšanjem odloženih terjatev za davek za odložene obveznosti za davek.</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Znesek, ki se poroča v stolpcu 060 te vrstice: skupni znesek v skladu s čl</w:t>
            </w:r>
            <w:r>
              <w:rPr>
                <w:rStyle w:val="InstructionsTabelleText"/>
                <w:rFonts w:ascii="Times New Roman" w:hAnsi="Times New Roman"/>
                <w:sz w:val="24"/>
              </w:rPr>
              <w:t>e</w:t>
            </w:r>
            <w:r>
              <w:rPr>
                <w:rStyle w:val="InstructionsTabelleText"/>
                <w:rFonts w:ascii="Times New Roman" w:hAnsi="Times New Roman"/>
                <w:sz w:val="24"/>
              </w:rPr>
              <w:t>nom 469(1) CRR.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180</w:t>
            </w:r>
          </w:p>
          <w:p w:rsidR="005643EA" w:rsidRPr="00392FFD" w:rsidRDefault="005643EA" w:rsidP="00FD239F">
            <w:pPr>
              <w:pStyle w:val="InstructionsText"/>
              <w:rPr>
                <w:rStyle w:val="InstructionsTabelleText"/>
                <w:rFonts w:ascii="Times New Roman" w:hAnsi="Times New Roman"/>
                <w:sz w:val="24"/>
              </w:rPr>
            </w:pP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w:t>
            </w:r>
            <w:r w:rsidR="00EE0671" w:rsidRPr="00EE0671">
              <w:rPr>
                <w:rStyle w:val="InstructionsTabelleberschrift"/>
                <w:rFonts w:ascii="Times New Roman" w:hAnsi="Times New Roman"/>
                <w:sz w:val="24"/>
              </w:rPr>
              <w:t>4</w:t>
            </w:r>
            <w:r w:rsidR="00EE0671" w:rsidRPr="00EE0671">
              <w:rPr>
                <w:rStyle w:val="InstructionsTabelleberschrift"/>
                <w:rFonts w:ascii="Times New Roman" w:hAnsi="Times New Roman"/>
                <w:sz w:val="24"/>
              </w:rPr>
              <w:tab/>
            </w:r>
            <w:r>
              <w:rPr>
                <w:rStyle w:val="InstructionsTabelleberschrift"/>
                <w:rFonts w:ascii="Times New Roman" w:hAnsi="Times New Roman"/>
                <w:sz w:val="24"/>
              </w:rPr>
              <w:t>Primanjkljaj rezervacij glede na pričakovane izgube po prist</w:t>
            </w:r>
            <w:r>
              <w:rPr>
                <w:rStyle w:val="InstructionsTabelleberschrift"/>
                <w:rFonts w:ascii="Times New Roman" w:hAnsi="Times New Roman"/>
                <w:sz w:val="24"/>
              </w:rPr>
              <w:t>o</w:t>
            </w:r>
            <w:r>
              <w:rPr>
                <w:rStyle w:val="InstructionsTabelleberschrift"/>
                <w:rFonts w:ascii="Times New Roman" w:hAnsi="Times New Roman"/>
                <w:sz w:val="24"/>
              </w:rPr>
              <w:t>pu IRB</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Člen 36(1)(d), člena 469(1) in 472(6) ter člen 478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Pri določanju zneska zgoraj navedenega primanjkljaja rezervacij glede na pričakovane izgube po pristopu IRB, ki se odbije, institucije upoštevajo določbe člena 40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Znesek, ki se poroča v stolpcu 060 te vrstice: prvotni odbitek v skladu s členom 36(1)(d) CRR.</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190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w:t>
            </w:r>
            <w:r w:rsidR="0059042F">
              <w:rPr>
                <w:rStyle w:val="InstructionsTabelleberschrift"/>
                <w:rFonts w:ascii="Times New Roman" w:hAnsi="Times New Roman"/>
                <w:sz w:val="24"/>
              </w:rPr>
              <w:t>5</w:t>
            </w:r>
            <w:r w:rsidR="00EE0671" w:rsidRPr="00EE0671">
              <w:rPr>
                <w:rStyle w:val="InstructionsTabelleberschrift"/>
                <w:rFonts w:ascii="Times New Roman" w:hAnsi="Times New Roman"/>
                <w:sz w:val="24"/>
              </w:rPr>
              <w:tab/>
            </w:r>
            <w:r>
              <w:rPr>
                <w:rStyle w:val="InstructionsTabelleberschrift"/>
                <w:rFonts w:ascii="Times New Roman" w:hAnsi="Times New Roman"/>
                <w:sz w:val="24"/>
              </w:rPr>
              <w:t>Sredstva pokojninskega sklada z določenimi pravicami</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Člen 33(1)(e), člena 469(1) in 472(7) ter člena 473 in 478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Pri določanju zneska zgoraj navedenih sredstev pokojninskega sklada z </w:t>
            </w:r>
            <w:r>
              <w:rPr>
                <w:rStyle w:val="InstructionsTabelleText"/>
                <w:rFonts w:ascii="Times New Roman" w:hAnsi="Times New Roman"/>
                <w:sz w:val="24"/>
              </w:rPr>
              <w:lastRenderedPageBreak/>
              <w:t>določenimi pravicami institucije upoštevajo določbe člena 41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Znesek, ki se poroča v stolpcu 060 te vrstice: prvotni odbitek v skladu s členom 36(1)(e) CRR.</w:t>
            </w:r>
          </w:p>
        </w:tc>
      </w:tr>
      <w:tr w:rsidR="00B11D0D" w:rsidRPr="00392FFD" w:rsidTr="00672D2A">
        <w:tc>
          <w:tcPr>
            <w:tcW w:w="1012" w:type="dxa"/>
          </w:tcPr>
          <w:p w:rsidR="00B11D0D" w:rsidRPr="00392FFD" w:rsidRDefault="00B11D0D"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194</w:t>
            </w:r>
          </w:p>
        </w:tc>
        <w:tc>
          <w:tcPr>
            <w:tcW w:w="7478" w:type="dxa"/>
          </w:tcPr>
          <w:p w:rsidR="00B11D0D" w:rsidRPr="00392FFD" w:rsidRDefault="00B11D0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rsidR="00EE0671" w:rsidRPr="00EE0671">
              <w:rPr>
                <w:u w:val="single"/>
              </w:rPr>
              <w:tab/>
            </w:r>
            <w:r>
              <w:rPr>
                <w:rStyle w:val="InstructionsTabelleberschrift"/>
                <w:rFonts w:ascii="Times New Roman" w:hAnsi="Times New Roman"/>
                <w:sz w:val="24"/>
              </w:rPr>
              <w:t>od tega: uvedba sprememb mednarodnega računovo</w:t>
            </w:r>
            <w:r>
              <w:rPr>
                <w:rStyle w:val="InstructionsTabelleberschrift"/>
                <w:rFonts w:ascii="Times New Roman" w:hAnsi="Times New Roman"/>
                <w:sz w:val="24"/>
              </w:rPr>
              <w:t>d</w:t>
            </w:r>
            <w:r>
              <w:rPr>
                <w:rStyle w:val="InstructionsTabelleberschrift"/>
                <w:rFonts w:ascii="Times New Roman" w:hAnsi="Times New Roman"/>
                <w:sz w:val="24"/>
              </w:rPr>
              <w:t>skega standarda 19 – pozitivna postavka</w:t>
            </w:r>
          </w:p>
          <w:p w:rsidR="00B11D0D" w:rsidRPr="00201704" w:rsidRDefault="00201704"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Člen 473 CRR.</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198</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rsidR="00EE0671" w:rsidRPr="00EE0671">
              <w:rPr>
                <w:u w:val="single"/>
              </w:rPr>
              <w:tab/>
            </w:r>
            <w:r>
              <w:rPr>
                <w:rStyle w:val="InstructionsTabelleberschrift"/>
                <w:rFonts w:ascii="Times New Roman" w:hAnsi="Times New Roman"/>
                <w:sz w:val="24"/>
              </w:rPr>
              <w:t>od tega: uvedba sprememb mednarodnega računovo</w:t>
            </w:r>
            <w:r>
              <w:rPr>
                <w:rStyle w:val="InstructionsTabelleberschrift"/>
                <w:rFonts w:ascii="Times New Roman" w:hAnsi="Times New Roman"/>
                <w:sz w:val="24"/>
              </w:rPr>
              <w:t>d</w:t>
            </w:r>
            <w:r>
              <w:rPr>
                <w:rStyle w:val="InstructionsTabelleberschrift"/>
                <w:rFonts w:ascii="Times New Roman" w:hAnsi="Times New Roman"/>
                <w:sz w:val="24"/>
              </w:rPr>
              <w:t>skega standarda 19 – negativna postavka</w:t>
            </w:r>
          </w:p>
          <w:p w:rsidR="00A60195" w:rsidRPr="00201704" w:rsidRDefault="00201704"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Člen 473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200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w:t>
            </w:r>
            <w:r w:rsidR="0059042F">
              <w:rPr>
                <w:rStyle w:val="InstructionsTabelleberschrift"/>
                <w:rFonts w:ascii="Times New Roman" w:hAnsi="Times New Roman"/>
                <w:sz w:val="24"/>
              </w:rPr>
              <w:t>6</w:t>
            </w:r>
            <w:r w:rsidR="00EE0671" w:rsidRPr="00EE0671">
              <w:rPr>
                <w:rStyle w:val="InstructionsTabelleberschrift"/>
                <w:rFonts w:ascii="Times New Roman" w:hAnsi="Times New Roman"/>
                <w:sz w:val="24"/>
              </w:rPr>
              <w:tab/>
            </w:r>
            <w:r>
              <w:rPr>
                <w:rStyle w:val="InstructionsTabelleberschrift"/>
                <w:rFonts w:ascii="Times New Roman" w:hAnsi="Times New Roman"/>
                <w:sz w:val="24"/>
              </w:rPr>
              <w:t>Lastni instrumenti</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Člen 36(1)(f), člena 469(1) in 472(8) ter člen 478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Znesek, ki se poroča v stolpcu 060 te vrstice: prvotni odbitek v skladu s členom 36(1)(f) CRR.</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210</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1.3.2.6.1</w:t>
            </w:r>
            <w:r w:rsidR="00EE0671" w:rsidRPr="00EE0671">
              <w:rPr>
                <w:u w:val="single"/>
              </w:rPr>
              <w:tab/>
            </w:r>
            <w:r>
              <w:rPr>
                <w:rStyle w:val="InstructionsTabelleberschrift"/>
                <w:rFonts w:ascii="Times New Roman" w:hAnsi="Times New Roman"/>
                <w:sz w:val="24"/>
              </w:rPr>
              <w:t>Lastni instrumenti navadnega lastniškega temeljnega kapitala</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Člen 36(1)(f), člena 469(1) in 472(8) ter člen 478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Pri določanju zneska zgoraj navedenih lastnih instrumentov navadnega la</w:t>
            </w:r>
            <w:r>
              <w:rPr>
                <w:rStyle w:val="InstructionsTabelleText"/>
                <w:rFonts w:ascii="Times New Roman" w:hAnsi="Times New Roman"/>
                <w:sz w:val="24"/>
              </w:rPr>
              <w:t>s</w:t>
            </w:r>
            <w:r>
              <w:rPr>
                <w:rStyle w:val="InstructionsTabelleText"/>
                <w:rFonts w:ascii="Times New Roman" w:hAnsi="Times New Roman"/>
                <w:sz w:val="24"/>
              </w:rPr>
              <w:t>tniškega temeljnega kapitala, ki se odbije, institucije upoštevajo določbe člena 42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Ker se obravnavanje „preostalega zneska“ razlikuje glede na vrsto instr</w:t>
            </w:r>
            <w:r>
              <w:rPr>
                <w:rStyle w:val="InstructionsTabelleText"/>
                <w:rFonts w:ascii="Times New Roman" w:hAnsi="Times New Roman"/>
                <w:sz w:val="24"/>
              </w:rPr>
              <w:t>u</w:t>
            </w:r>
            <w:r>
              <w:rPr>
                <w:rStyle w:val="InstructionsTabelleText"/>
                <w:rFonts w:ascii="Times New Roman" w:hAnsi="Times New Roman"/>
                <w:sz w:val="24"/>
              </w:rPr>
              <w:t>menta, institucije razdelijo deleže lastnih instrumentov navadnega lastni</w:t>
            </w:r>
            <w:r>
              <w:rPr>
                <w:rStyle w:val="InstructionsTabelleText"/>
                <w:rFonts w:ascii="Times New Roman" w:hAnsi="Times New Roman"/>
                <w:sz w:val="24"/>
              </w:rPr>
              <w:t>š</w:t>
            </w:r>
            <w:r>
              <w:rPr>
                <w:rStyle w:val="InstructionsTabelleText"/>
                <w:rFonts w:ascii="Times New Roman" w:hAnsi="Times New Roman"/>
                <w:sz w:val="24"/>
              </w:rPr>
              <w:t>kega kapitala na „neposredne“ in „posredne“ deleže.</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Znesek, ki se poroča v stolpcu 060 te vrstice: prvotni odbitek v skladu s členom 36(1)(f)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211</w:t>
            </w:r>
          </w:p>
        </w:tc>
        <w:tc>
          <w:tcPr>
            <w:tcW w:w="7478" w:type="dxa"/>
          </w:tcPr>
          <w:p w:rsidR="00213E0E" w:rsidRPr="00201704" w:rsidRDefault="008A1A1E"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1.3.2.6.1**</w:t>
            </w:r>
            <w:r w:rsidR="00EE0671" w:rsidRPr="00EE0671">
              <w:rPr>
                <w:u w:val="single"/>
              </w:rPr>
              <w:tab/>
            </w:r>
            <w:r>
              <w:rPr>
                <w:rStyle w:val="InstructionsTabelleberschrift"/>
                <w:rFonts w:ascii="Times New Roman" w:hAnsi="Times New Roman"/>
                <w:sz w:val="24"/>
              </w:rPr>
              <w:t>od tega: neposredni deleži</w:t>
            </w:r>
          </w:p>
          <w:p w:rsidR="00213E0E" w:rsidRPr="00392FFD" w:rsidRDefault="00213E0E"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Člen 469(1)(b) in člen 472(8)(a)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Znesek, ki se poroča v stolpcu 060 te vrstice: skupni znesek neposrednih deležev, vključno z instrumenti, ki bi jih institucija lahko bila obvezana kupiti na podlagi obstoječe ali pogojne pogodbene obveznosti. </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212</w:t>
            </w:r>
          </w:p>
        </w:tc>
        <w:tc>
          <w:tcPr>
            <w:tcW w:w="7478" w:type="dxa"/>
          </w:tcPr>
          <w:p w:rsidR="00A60195" w:rsidRPr="00392FFD" w:rsidRDefault="008A1A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1.3.2.6.1*</w:t>
            </w:r>
            <w:r w:rsidR="00EE0671" w:rsidRPr="00EE0671">
              <w:rPr>
                <w:u w:val="single"/>
              </w:rPr>
              <w:tab/>
            </w:r>
            <w:r>
              <w:rPr>
                <w:rStyle w:val="InstructionsTabelleberschrift"/>
                <w:rFonts w:ascii="Times New Roman" w:hAnsi="Times New Roman"/>
                <w:sz w:val="24"/>
              </w:rPr>
              <w:t>od tega: posredni deleži</w:t>
            </w:r>
          </w:p>
          <w:p w:rsidR="00213E0E" w:rsidRPr="00392FFD" w:rsidRDefault="00213E0E"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Člen 469(1)(b) in člen 472(8)(b) CRR.</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Znesek, ki se poroča v stolpcu 060 te vrstice: skupni znesek posrednih deležev, vključno z instrumenti, ki bi jih institucija lahko bila obvezana kupiti na podlagi obstoječe ali pogojne pogodbene obveznosti.</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220</w:t>
            </w: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rsidR="00EE0671" w:rsidRPr="00EE0671">
              <w:rPr>
                <w:u w:val="single"/>
              </w:rPr>
              <w:tab/>
            </w:r>
            <w:r>
              <w:rPr>
                <w:rStyle w:val="InstructionsTabelleberschrift"/>
                <w:rFonts w:ascii="Times New Roman" w:hAnsi="Times New Roman"/>
                <w:sz w:val="24"/>
              </w:rPr>
              <w:t>Lastni instrumenti dodatnega temeljnega kapitala</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Člen 56(a), člen 474, člen 475(2) in člen 478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Pri določanju zneska zgoraj navedenih deležev, ki se odbije, institucije upoštevajo določbe člena 57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Ker se obravnavanje „preostalega zneska“ razlikuje glede na vrsto instr</w:t>
            </w:r>
            <w:r>
              <w:rPr>
                <w:rStyle w:val="InstructionsTabelleText"/>
                <w:rFonts w:ascii="Times New Roman" w:hAnsi="Times New Roman"/>
                <w:sz w:val="24"/>
              </w:rPr>
              <w:t>u</w:t>
            </w:r>
            <w:r>
              <w:rPr>
                <w:rStyle w:val="InstructionsTabelleText"/>
                <w:rFonts w:ascii="Times New Roman" w:hAnsi="Times New Roman"/>
                <w:sz w:val="24"/>
              </w:rPr>
              <w:t xml:space="preserve">menta (člen 475(2) CRR), institucije razdelijo zgoraj navedene deleže na </w:t>
            </w:r>
            <w:r>
              <w:rPr>
                <w:rStyle w:val="InstructionsTabelleText"/>
                <w:rFonts w:ascii="Times New Roman" w:hAnsi="Times New Roman"/>
                <w:sz w:val="24"/>
              </w:rPr>
              <w:lastRenderedPageBreak/>
              <w:t>„neposredne“ in „posredne“ lastne deleže dodatnega temeljnega kapitala.</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Znesek, ki se poroča v stolpcu 060 te vrstice: prvotni odbitek v skladu s členom 56(a)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221</w:t>
            </w:r>
          </w:p>
        </w:tc>
        <w:tc>
          <w:tcPr>
            <w:tcW w:w="7478" w:type="dxa"/>
          </w:tcPr>
          <w:p w:rsidR="00A60195" w:rsidRPr="00392FFD" w:rsidRDefault="008A1A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rsidR="00EE0671" w:rsidRPr="00EE0671">
              <w:rPr>
                <w:u w:val="single"/>
              </w:rPr>
              <w:tab/>
            </w:r>
            <w:r>
              <w:rPr>
                <w:rStyle w:val="InstructionsTabelleberschrift"/>
                <w:rFonts w:ascii="Times New Roman" w:hAnsi="Times New Roman"/>
                <w:sz w:val="24"/>
              </w:rPr>
              <w:t>od tega: neposredni deleži</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Znesek, ki se poroča v stolpcu 060 te vrstice: skupni znesek neposrednih deležev, vključno z instrumenti, ki bi jih institucija lahko bila obvezana kupiti na podlagi obstoječe ali pogojne pogodbene obveznosti, v skladu s členom 474(b) in členom 475(2)(a)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222</w:t>
            </w:r>
          </w:p>
        </w:tc>
        <w:tc>
          <w:tcPr>
            <w:tcW w:w="7478" w:type="dxa"/>
          </w:tcPr>
          <w:p w:rsidR="00A60195" w:rsidRPr="00392FFD" w:rsidRDefault="008A1A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rsidR="00EE0671" w:rsidRPr="00EE0671">
              <w:rPr>
                <w:u w:val="single"/>
              </w:rPr>
              <w:tab/>
            </w:r>
            <w:r>
              <w:rPr>
                <w:rStyle w:val="InstructionsTabelleberschrift"/>
                <w:rFonts w:ascii="Times New Roman" w:hAnsi="Times New Roman"/>
                <w:sz w:val="24"/>
              </w:rPr>
              <w:t>od tega: posredni deleži</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Znesek, ki se poroča v stolpcu 060 te vrstice: skupni znesek posrednih deležev, vključno z instrumenti, ki bi jih institucija lahko bila obvezana kupiti na podlagi obstoječe ali pogojne pogodbene obveznosti, v skladu s členom 474(b) in členom 475(2)(b)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230</w:t>
            </w: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1.3.2.6.3</w:t>
            </w:r>
            <w:r w:rsidR="00EE0671" w:rsidRPr="00EE0671">
              <w:rPr>
                <w:u w:val="single"/>
              </w:rPr>
              <w:tab/>
            </w:r>
            <w:r>
              <w:rPr>
                <w:rStyle w:val="InstructionsTabelleberschrift"/>
                <w:rFonts w:ascii="Times New Roman" w:hAnsi="Times New Roman"/>
                <w:sz w:val="24"/>
              </w:rPr>
              <w:t>Lastni instrumenti dodatnega kapitala</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Člen 66(a), člen 476, člen 477(2) in člen 478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Pri določanju zneska deležev, ki se odbije, institucije upoštevajo določbe člena 67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Ker se obravnavanje „preostalega zneska“ razlikuje glede na vrsto instr</w:t>
            </w:r>
            <w:r>
              <w:rPr>
                <w:rStyle w:val="InstructionsTabelleText"/>
                <w:rFonts w:ascii="Times New Roman" w:hAnsi="Times New Roman"/>
                <w:sz w:val="24"/>
              </w:rPr>
              <w:t>u</w:t>
            </w:r>
            <w:r>
              <w:rPr>
                <w:rStyle w:val="InstructionsTabelleText"/>
                <w:rFonts w:ascii="Times New Roman" w:hAnsi="Times New Roman"/>
                <w:sz w:val="24"/>
              </w:rPr>
              <w:t>menta (člen 477(2) CRR), institucije razdelijo zgoraj navedene glede na „neposredne“ in „posredne“ lastne deleže dodatnega kapitala.</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Znesek, ki se poroča v stolpcu 060 te vrstice: prvotni odbitek v skladu s členom 66(a)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231</w:t>
            </w: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neposredni deleži</w:t>
            </w:r>
          </w:p>
          <w:p w:rsidR="00A60195" w:rsidRPr="00392FFD" w:rsidRDefault="00A60195" w:rsidP="00FD239F">
            <w:pPr>
              <w:pStyle w:val="InstructionsText"/>
              <w:rPr>
                <w:rStyle w:val="InstructionsTabelleberschrift"/>
                <w:rFonts w:ascii="Times New Roman" w:hAnsi="Times New Roman"/>
                <w:sz w:val="24"/>
              </w:rPr>
            </w:pPr>
            <w:r>
              <w:rPr>
                <w:rStyle w:val="InstructionsTabelleText"/>
                <w:rFonts w:ascii="Times New Roman" w:hAnsi="Times New Roman"/>
                <w:sz w:val="24"/>
              </w:rPr>
              <w:t>Znesek, ki se poroča v stolpcu 060 te vrstice: skupni znesek neposrednih deležev, vključno z instrumenti, ki bi jih institucija lahko bila obvezana kupiti na podlagi obstoječe ali pogojne pogodbene obveznosti, v skladu s členom 476(b) in členom 477(2)(a) CRR.</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232</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posredni deleži</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Znesek, ki se poroča v stolpcu 060 te vrstice: skupni znesek posrednih deležev, vključno z instrumenti, ki bi jih institucija lahko bila obvezana kupiti na podlagi obstoječe ali pogojne pogodbene obveznosti, v skladu s členom 476(b) in členom 477(2)(b)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240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w:t>
            </w:r>
            <w:r w:rsidR="0059042F">
              <w:rPr>
                <w:rStyle w:val="InstructionsTabelleberschrift"/>
                <w:rFonts w:ascii="Times New Roman" w:hAnsi="Times New Roman"/>
                <w:sz w:val="24"/>
              </w:rPr>
              <w:t>7</w:t>
            </w:r>
            <w:r w:rsidR="00EE0671" w:rsidRPr="00EE0671">
              <w:rPr>
                <w:rStyle w:val="InstructionsTabelleberschrift"/>
                <w:rFonts w:ascii="Times New Roman" w:hAnsi="Times New Roman"/>
                <w:sz w:val="24"/>
              </w:rPr>
              <w:tab/>
            </w:r>
            <w:r>
              <w:rPr>
                <w:rStyle w:val="InstructionsTabelleberschrift"/>
                <w:rFonts w:ascii="Times New Roman" w:hAnsi="Times New Roman"/>
                <w:sz w:val="24"/>
              </w:rPr>
              <w:t>Vzajemni navzkrižni deleži</w:t>
            </w:r>
          </w:p>
          <w:p w:rsidR="00A60195" w:rsidRPr="00201704" w:rsidRDefault="00A60195" w:rsidP="007106FB">
            <w:pPr>
              <w:spacing w:before="0"/>
              <w:rPr>
                <w:rStyle w:val="InstructionsTabelleberschrift"/>
                <w:rFonts w:ascii="Times New Roman" w:hAnsi="Times New Roman"/>
                <w:b w:val="0"/>
                <w:bCs w:val="0"/>
                <w:sz w:val="24"/>
                <w:u w:val="none"/>
              </w:rPr>
            </w:pPr>
            <w:r>
              <w:rPr>
                <w:rStyle w:val="InstructionsTabelleText"/>
                <w:rFonts w:ascii="Times New Roman" w:hAnsi="Times New Roman"/>
                <w:sz w:val="24"/>
              </w:rPr>
              <w:t>Ker je obravnavanje „preostalega zneska“ odvisno od tega, ali je treba delež navadnega lastniškega temeljnega kapitala, dodatnega temeljnega kapitala ali dodatnega kapitala v subjektu finančnega sektorja šteti za pomembnega ali ne (členi 472(9), 475(3) in 477(3) CRR), institucije razd</w:t>
            </w:r>
            <w:r>
              <w:rPr>
                <w:rStyle w:val="InstructionsTabelleText"/>
                <w:rFonts w:ascii="Times New Roman" w:hAnsi="Times New Roman"/>
                <w:sz w:val="24"/>
              </w:rPr>
              <w:t>e</w:t>
            </w:r>
            <w:r>
              <w:rPr>
                <w:rStyle w:val="InstructionsTabelleText"/>
                <w:rFonts w:ascii="Times New Roman" w:hAnsi="Times New Roman"/>
                <w:sz w:val="24"/>
              </w:rPr>
              <w:t>lijo vzajemne navzkrižne deleže na pomembne naložbe in nepomembne naložbe.</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250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1.3.2.7.1</w:t>
            </w:r>
            <w:r w:rsidR="00EE0671" w:rsidRPr="00EE0671">
              <w:rPr>
                <w:u w:val="single"/>
              </w:rPr>
              <w:tab/>
            </w:r>
            <w:r>
              <w:rPr>
                <w:rStyle w:val="InstructionsTabelleberschrift"/>
                <w:rFonts w:ascii="Times New Roman" w:hAnsi="Times New Roman"/>
                <w:sz w:val="24"/>
              </w:rPr>
              <w:t>Vzajemni navzkrižni deleži v navadnem lastniškem temeljnem kapitalu</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Člen 36(1)(g), člena 469(1) in 472(9) ter člen 478 CRR.</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lastRenderedPageBreak/>
              <w:t>Znesek, ki se poroča v stolpcu 060 te vrstice: prvotni odbitek v skladu s členom 36(1)(g)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260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1.3.2.7.1.1</w:t>
            </w:r>
            <w:r w:rsidR="00EE0671" w:rsidRPr="00EE0671">
              <w:rPr>
                <w:u w:val="single"/>
              </w:rPr>
              <w:tab/>
            </w:r>
            <w:r>
              <w:rPr>
                <w:rStyle w:val="InstructionsTabelleberschrift"/>
                <w:rFonts w:ascii="Times New Roman" w:hAnsi="Times New Roman"/>
                <w:sz w:val="24"/>
              </w:rPr>
              <w:t>Vzajemni navzkrižni deleži v navadnem lastniškem temeljnem kapitalu subjektov finančnega sektorja, v katerih instituc</w:t>
            </w:r>
            <w:r>
              <w:rPr>
                <w:rStyle w:val="InstructionsTabelleberschrift"/>
                <w:rFonts w:ascii="Times New Roman" w:hAnsi="Times New Roman"/>
                <w:sz w:val="24"/>
              </w:rPr>
              <w:t>i</w:t>
            </w:r>
            <w:r>
              <w:rPr>
                <w:rStyle w:val="InstructionsTabelleberschrift"/>
                <w:rFonts w:ascii="Times New Roman" w:hAnsi="Times New Roman"/>
                <w:sz w:val="24"/>
              </w:rPr>
              <w:t>ja nima pomembne naložbe</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Člen 36(1)(g), člen 469(1), člen 472(9)(a) in člen 478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Znesek, ki se poroča v stolpcu 060 te vrstice: preostali znesek v skladu s členom 469(1)(b)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270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1.3.2.7.1.2</w:t>
            </w:r>
            <w:r w:rsidR="00EE0671" w:rsidRPr="00EE0671">
              <w:rPr>
                <w:u w:val="single"/>
              </w:rPr>
              <w:tab/>
            </w:r>
            <w:r>
              <w:rPr>
                <w:rStyle w:val="InstructionsTabelleberschrift"/>
                <w:rFonts w:ascii="Times New Roman" w:hAnsi="Times New Roman"/>
                <w:sz w:val="24"/>
              </w:rPr>
              <w:t>Vzajemni navzkrižni deleži v navadnem lastniškem temeljnem kapitalu subjektov finančnega sektorja, v katerih ima inst</w:t>
            </w:r>
            <w:r>
              <w:rPr>
                <w:rStyle w:val="InstructionsTabelleberschrift"/>
                <w:rFonts w:ascii="Times New Roman" w:hAnsi="Times New Roman"/>
                <w:sz w:val="24"/>
              </w:rPr>
              <w:t>i</w:t>
            </w:r>
            <w:r>
              <w:rPr>
                <w:rStyle w:val="InstructionsTabelleberschrift"/>
                <w:rFonts w:ascii="Times New Roman" w:hAnsi="Times New Roman"/>
                <w:sz w:val="24"/>
              </w:rPr>
              <w:t>tucija pomembno naložbo</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Člen 36(1)(g), člen 469(1), člen 472(9)(b) in člen 478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Znesek, ki se poroča v stolpcu 060 te vrstice: preostali znesek v skladu s členom 469(1)(b)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280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1.3.2.7.2</w:t>
            </w:r>
            <w:r w:rsidR="00EE0671" w:rsidRPr="00EE0671">
              <w:rPr>
                <w:u w:val="single"/>
              </w:rPr>
              <w:tab/>
            </w:r>
            <w:r>
              <w:rPr>
                <w:rStyle w:val="InstructionsTabelleberschrift"/>
                <w:rFonts w:ascii="Times New Roman" w:hAnsi="Times New Roman"/>
                <w:sz w:val="24"/>
              </w:rPr>
              <w:t>Vzajemni navzkrižni deleži v dodatnem temeljnem kap</w:t>
            </w:r>
            <w:r>
              <w:rPr>
                <w:rStyle w:val="InstructionsTabelleberschrift"/>
                <w:rFonts w:ascii="Times New Roman" w:hAnsi="Times New Roman"/>
                <w:sz w:val="24"/>
              </w:rPr>
              <w:t>i</w:t>
            </w:r>
            <w:r>
              <w:rPr>
                <w:rStyle w:val="InstructionsTabelleberschrift"/>
                <w:rFonts w:ascii="Times New Roman" w:hAnsi="Times New Roman"/>
                <w:sz w:val="24"/>
              </w:rPr>
              <w:t>talu</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Členi 56(b), člen 474, člen 475(3) in člen 478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Znesek, ki se poroča v stolpcu 060 te vrstice: prvotni odbitek v skladu s členom 56(b)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290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1.3.2.7.2.1</w:t>
            </w:r>
            <w:r w:rsidR="00EE0671" w:rsidRPr="00EE0671">
              <w:rPr>
                <w:u w:val="single"/>
              </w:rPr>
              <w:tab/>
            </w:r>
            <w:r>
              <w:rPr>
                <w:rStyle w:val="InstructionsTabelleberschrift"/>
                <w:rFonts w:ascii="Times New Roman" w:hAnsi="Times New Roman"/>
                <w:sz w:val="24"/>
              </w:rPr>
              <w:t>Vzajemni navzkrižni deleži v dodatnem temeljnem kap</w:t>
            </w:r>
            <w:r>
              <w:rPr>
                <w:rStyle w:val="InstructionsTabelleberschrift"/>
                <w:rFonts w:ascii="Times New Roman" w:hAnsi="Times New Roman"/>
                <w:sz w:val="24"/>
              </w:rPr>
              <w:t>i</w:t>
            </w:r>
            <w:r>
              <w:rPr>
                <w:rStyle w:val="InstructionsTabelleberschrift"/>
                <w:rFonts w:ascii="Times New Roman" w:hAnsi="Times New Roman"/>
                <w:sz w:val="24"/>
              </w:rPr>
              <w:t>talu subjektov finančnega sektorja, v katerih institucija nima pome</w:t>
            </w:r>
            <w:r>
              <w:rPr>
                <w:rStyle w:val="InstructionsTabelleberschrift"/>
                <w:rFonts w:ascii="Times New Roman" w:hAnsi="Times New Roman"/>
                <w:sz w:val="24"/>
              </w:rPr>
              <w:t>m</w:t>
            </w:r>
            <w:r>
              <w:rPr>
                <w:rStyle w:val="InstructionsTabelleberschrift"/>
                <w:rFonts w:ascii="Times New Roman" w:hAnsi="Times New Roman"/>
                <w:sz w:val="24"/>
              </w:rPr>
              <w:t>bne naložbe</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Člen 56(b), člen 474, člen 475(3)(a) in člen 478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Znesek, ki se poroča v stolpcu 060 te vrstice: preostali znesek v skladu s členom 475(3)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300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1.3.2.7.2.2</w:t>
            </w:r>
            <w:r w:rsidR="00EE0671" w:rsidRPr="00EE0671">
              <w:rPr>
                <w:u w:val="single"/>
              </w:rPr>
              <w:tab/>
            </w:r>
            <w:r>
              <w:rPr>
                <w:rStyle w:val="InstructionsTabelleberschrift"/>
                <w:rFonts w:ascii="Times New Roman" w:hAnsi="Times New Roman"/>
                <w:sz w:val="24"/>
              </w:rPr>
              <w:t>Vzajemni navzkrižni deleži v dodatnem temeljnem kap</w:t>
            </w:r>
            <w:r>
              <w:rPr>
                <w:rStyle w:val="InstructionsTabelleberschrift"/>
                <w:rFonts w:ascii="Times New Roman" w:hAnsi="Times New Roman"/>
                <w:sz w:val="24"/>
              </w:rPr>
              <w:t>i</w:t>
            </w:r>
            <w:r>
              <w:rPr>
                <w:rStyle w:val="InstructionsTabelleberschrift"/>
                <w:rFonts w:ascii="Times New Roman" w:hAnsi="Times New Roman"/>
                <w:sz w:val="24"/>
              </w:rPr>
              <w:t>talu subjektov finančnega sektorja, v katerih ima institucija pome</w:t>
            </w:r>
            <w:r>
              <w:rPr>
                <w:rStyle w:val="InstructionsTabelleberschrift"/>
                <w:rFonts w:ascii="Times New Roman" w:hAnsi="Times New Roman"/>
                <w:sz w:val="24"/>
              </w:rPr>
              <w:t>m</w:t>
            </w:r>
            <w:r>
              <w:rPr>
                <w:rStyle w:val="InstructionsTabelleberschrift"/>
                <w:rFonts w:ascii="Times New Roman" w:hAnsi="Times New Roman"/>
                <w:sz w:val="24"/>
              </w:rPr>
              <w:t>bno naložbo</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Člen 56(b), člen 474, člen 475(3)(b) in člen 478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Znesek, ki se poroča v stolpcu 060 te vrstice: preostali znesek v skladu s členom 475(3)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310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1.3.2.7.3</w:t>
            </w:r>
            <w:r w:rsidR="00EE0671" w:rsidRPr="00EE0671">
              <w:rPr>
                <w:u w:val="single"/>
              </w:rPr>
              <w:tab/>
            </w:r>
            <w:r>
              <w:rPr>
                <w:rStyle w:val="InstructionsTabelleberschrift"/>
                <w:rFonts w:ascii="Times New Roman" w:hAnsi="Times New Roman"/>
                <w:sz w:val="24"/>
              </w:rPr>
              <w:t>Vzajemni navzkrižni deleži v dodatnem kapitalu</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Členi 66(b), člen 476, člen 477(3) in člen 478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Znesek, ki se poroča v stolpcu 060 te vrstice:</w:t>
            </w:r>
            <w:r>
              <w:t xml:space="preserve"> </w:t>
            </w:r>
            <w:r>
              <w:rPr>
                <w:rStyle w:val="InstructionsTabelleText"/>
                <w:rFonts w:ascii="Times New Roman" w:hAnsi="Times New Roman"/>
                <w:sz w:val="24"/>
              </w:rPr>
              <w:t>prvotni odbitek v skladu s členom 66(b)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320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1.3.2.7.3.1</w:t>
            </w:r>
            <w:r w:rsidR="00EE0671" w:rsidRPr="00EE0671">
              <w:rPr>
                <w:u w:val="single"/>
              </w:rPr>
              <w:tab/>
            </w:r>
            <w:r>
              <w:rPr>
                <w:rStyle w:val="InstructionsTabelleberschrift"/>
                <w:rFonts w:ascii="Times New Roman" w:hAnsi="Times New Roman"/>
                <w:sz w:val="24"/>
              </w:rPr>
              <w:t>Vzajemni navzkrižni deleži v dodatnem kapitalu subje</w:t>
            </w:r>
            <w:r>
              <w:rPr>
                <w:rStyle w:val="InstructionsTabelleberschrift"/>
                <w:rFonts w:ascii="Times New Roman" w:hAnsi="Times New Roman"/>
                <w:sz w:val="24"/>
              </w:rPr>
              <w:t>k</w:t>
            </w:r>
            <w:r>
              <w:rPr>
                <w:rStyle w:val="InstructionsTabelleberschrift"/>
                <w:rFonts w:ascii="Times New Roman" w:hAnsi="Times New Roman"/>
                <w:sz w:val="24"/>
              </w:rPr>
              <w:t>tov finančnega sektorja, v katerih institucija nima pomembne naložbe</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Člen 66(b), člen 476, člen 477(3)(a) in člen 478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Znesek, ki se poroča v stolpcu 060 te vrstice: preostali znesek v skladu s členom 477(3)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330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1.3.2.7.3.2</w:t>
            </w:r>
            <w:r w:rsidR="00EE0671" w:rsidRPr="00EE0671">
              <w:rPr>
                <w:u w:val="single"/>
              </w:rPr>
              <w:tab/>
            </w:r>
            <w:r>
              <w:rPr>
                <w:rStyle w:val="InstructionsTabelleberschrift"/>
                <w:rFonts w:ascii="Times New Roman" w:hAnsi="Times New Roman"/>
                <w:sz w:val="24"/>
              </w:rPr>
              <w:t>Vzajemni navzkrižni deleži v dodatnem kapitalu subje</w:t>
            </w:r>
            <w:r>
              <w:rPr>
                <w:rStyle w:val="InstructionsTabelleberschrift"/>
                <w:rFonts w:ascii="Times New Roman" w:hAnsi="Times New Roman"/>
                <w:sz w:val="24"/>
              </w:rPr>
              <w:t>k</w:t>
            </w:r>
            <w:r>
              <w:rPr>
                <w:rStyle w:val="InstructionsTabelleberschrift"/>
                <w:rFonts w:ascii="Times New Roman" w:hAnsi="Times New Roman"/>
                <w:sz w:val="24"/>
              </w:rPr>
              <w:t>tov finančnega sektorja, v katerih ima institucija pomembno naložbo</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Člen 66(b), člen 476, člen 477(3)(b) in člen 478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Znesek, ki se poroča v stolpcu 060 te vrstice: preostali znesek v skladu s členom 477(3)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340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rsidR="00EE0671" w:rsidRPr="00EE0671">
              <w:rPr>
                <w:rStyle w:val="InstructionsTabelleberschrift"/>
                <w:rFonts w:ascii="Times New Roman" w:hAnsi="Times New Roman"/>
                <w:sz w:val="24"/>
              </w:rPr>
              <w:t>8</w:t>
            </w:r>
            <w:r w:rsidR="00EE0671" w:rsidRPr="00EE0671">
              <w:rPr>
                <w:rStyle w:val="InstructionsTabelleberschrift"/>
                <w:rFonts w:ascii="Times New Roman" w:hAnsi="Times New Roman"/>
                <w:sz w:val="24"/>
              </w:rPr>
              <w:tab/>
            </w:r>
            <w:r>
              <w:rPr>
                <w:rStyle w:val="InstructionsTabelleberschrift"/>
                <w:rFonts w:ascii="Times New Roman" w:hAnsi="Times New Roman"/>
                <w:sz w:val="24"/>
              </w:rPr>
              <w:t>Kapitalski instrumenti subjektov finančnega sektorja, v katerih institucija nima pomembne naložbe</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350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1.3.2.8.1</w:t>
            </w:r>
            <w:r w:rsidR="00EE0671" w:rsidRPr="00EE0671">
              <w:rPr>
                <w:u w:val="single"/>
              </w:rPr>
              <w:tab/>
            </w:r>
            <w:r>
              <w:rPr>
                <w:rStyle w:val="InstructionsTabelleberschrift"/>
                <w:rFonts w:ascii="Times New Roman" w:hAnsi="Times New Roman"/>
                <w:sz w:val="24"/>
              </w:rPr>
              <w:t>Instrumenti navadnega lastniškega temeljnega kapitala subjektov finančnega sektorja, v katerih institucija nima pomembne naložbe</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Člen 36(1)(h), člen 469(1), člen 472(10) in člen 478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Znesek, ki se poroča v stolpcu 060 te vrstice: prvotni odbitek v skladu s členom 36(1)(h)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360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1.3.2.8.2</w:t>
            </w:r>
            <w:r w:rsidR="00EE0671" w:rsidRPr="00EE0671">
              <w:rPr>
                <w:u w:val="single"/>
              </w:rPr>
              <w:tab/>
            </w:r>
            <w:r>
              <w:rPr>
                <w:rStyle w:val="InstructionsTabelleberschrift"/>
                <w:rFonts w:ascii="Times New Roman" w:hAnsi="Times New Roman"/>
                <w:sz w:val="24"/>
              </w:rPr>
              <w:t>Instrumenti dodatnega temeljnega kapitala subjektov finančnega sektorja, v katerih institucija nima pomembne naložbe</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Člen 56(c), člen 474, člen 475(4) in člen 478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Znesek, ki se poroča v stolpcu 060 te vrstice: prvotni odbitek v skladu s členom 56(c)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370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1.3.2.8.3</w:t>
            </w:r>
            <w:r w:rsidR="00EE0671" w:rsidRPr="00EE0671">
              <w:rPr>
                <w:u w:val="single"/>
              </w:rPr>
              <w:tab/>
            </w:r>
            <w:r>
              <w:rPr>
                <w:rStyle w:val="InstructionsTabelleberschrift"/>
                <w:rFonts w:ascii="Times New Roman" w:hAnsi="Times New Roman"/>
                <w:sz w:val="24"/>
              </w:rPr>
              <w:t>Instrumenti dodatnega kapitala subjektov finančnega sektorja, v katerih institucija nima pomembne naložbe</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Člen 66(c), člen 476, člen 477(4) in člen 478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Znesek, ki se poroča v stolpcu 060 te vrstice: prvotni odbitek v skladu s členom 66(c)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380</w:t>
            </w:r>
          </w:p>
        </w:tc>
        <w:tc>
          <w:tcPr>
            <w:tcW w:w="7478" w:type="dxa"/>
          </w:tcPr>
          <w:p w:rsidR="00A60195" w:rsidRPr="000F1CEA"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rsidR="0059042F">
              <w:rPr>
                <w:rStyle w:val="InstructionsTabelleberschrift"/>
                <w:rFonts w:ascii="Times New Roman" w:hAnsi="Times New Roman"/>
                <w:sz w:val="24"/>
              </w:rPr>
              <w:t>9</w:t>
            </w:r>
            <w:r w:rsidR="00EE0671" w:rsidRPr="00EE0671">
              <w:rPr>
                <w:rStyle w:val="InstructionsTabelleberschrift"/>
                <w:rFonts w:ascii="Times New Roman" w:hAnsi="Times New Roman"/>
                <w:sz w:val="24"/>
              </w:rPr>
              <w:tab/>
            </w:r>
            <w:r>
              <w:rPr>
                <w:rStyle w:val="InstructionsTabelleberschrift"/>
                <w:rFonts w:ascii="Times New Roman" w:hAnsi="Times New Roman"/>
                <w:sz w:val="24"/>
              </w:rPr>
              <w:t>Odložene terjatve za davek, ki se nanašajo na prihodnji dobiček in izhajajo iz začasnih razlik, ter instrumenti navadnega lastniškega temeljnega kapitala subjektov finančnega sektorja, v katerih ima inst</w:t>
            </w:r>
            <w:r>
              <w:rPr>
                <w:rStyle w:val="InstructionsTabelleberschrift"/>
                <w:rFonts w:ascii="Times New Roman" w:hAnsi="Times New Roman"/>
                <w:sz w:val="24"/>
              </w:rPr>
              <w:t>i</w:t>
            </w:r>
            <w:r>
              <w:rPr>
                <w:rStyle w:val="InstructionsTabelleberschrift"/>
                <w:rFonts w:ascii="Times New Roman" w:hAnsi="Times New Roman"/>
                <w:sz w:val="24"/>
              </w:rPr>
              <w:t>tucija pomembno naložbo</w:t>
            </w:r>
          </w:p>
          <w:p w:rsidR="00A60195" w:rsidRPr="00392FFD" w:rsidRDefault="000F1CEA"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Člen 470(2) in (3)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Znesek, ki se poroča v stolpcu 060 te vrstice: Člen 470(1) CRR.</w:t>
            </w:r>
          </w:p>
        </w:tc>
      </w:tr>
      <w:tr w:rsidR="004A705D" w:rsidRPr="00392FFD" w:rsidTr="00672D2A">
        <w:tc>
          <w:tcPr>
            <w:tcW w:w="1012" w:type="dxa"/>
          </w:tcPr>
          <w:p w:rsidR="004A705D" w:rsidRPr="00392FFD" w:rsidRDefault="004A705D" w:rsidP="00FD239F">
            <w:pPr>
              <w:pStyle w:val="InstructionsText"/>
              <w:rPr>
                <w:rStyle w:val="InstructionsTabelleText"/>
                <w:rFonts w:ascii="Times New Roman" w:hAnsi="Times New Roman"/>
                <w:sz w:val="24"/>
              </w:rPr>
            </w:pPr>
            <w:r>
              <w:rPr>
                <w:rStyle w:val="InstructionsTabelleText"/>
                <w:rFonts w:ascii="Times New Roman" w:hAnsi="Times New Roman"/>
                <w:sz w:val="24"/>
              </w:rPr>
              <w:t>385</w:t>
            </w:r>
          </w:p>
        </w:tc>
        <w:tc>
          <w:tcPr>
            <w:tcW w:w="7478" w:type="dxa"/>
          </w:tcPr>
          <w:p w:rsidR="004A705D" w:rsidRPr="000F1CEA" w:rsidRDefault="004A705D"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Odložene terjatve za davek, ki se nanašajo na prihodnji dobiček in izhajajo iz začasnih razlik</w:t>
            </w:r>
          </w:p>
          <w:p w:rsidR="004A705D" w:rsidRPr="00392FFD" w:rsidRDefault="004A705D"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Člen 469(1)(c), člen 478 in člen 472(5) CRR.</w:t>
            </w:r>
          </w:p>
          <w:p w:rsidR="004A705D" w:rsidRPr="000F1CEA" w:rsidRDefault="004A705D" w:rsidP="00FD239F">
            <w:pPr>
              <w:pStyle w:val="InstructionsText"/>
              <w:rPr>
                <w:rStyle w:val="InstructionsTabelleberschrift"/>
                <w:rFonts w:ascii="Times New Roman" w:hAnsi="Times New Roman"/>
                <w:b w:val="0"/>
                <w:sz w:val="24"/>
                <w:u w:val="none"/>
              </w:rPr>
            </w:pPr>
            <w:r>
              <w:rPr>
                <w:rStyle w:val="InstructionsTabelleText"/>
                <w:rFonts w:ascii="Times New Roman" w:hAnsi="Times New Roman"/>
                <w:sz w:val="24"/>
              </w:rPr>
              <w:t>Del odloženih terjatev za davek, ki se nanašajo na prihodnji dobiček in izhajajo iz začasnih razlik, ki presega prag 10 % iz člena 470(2)(a) CRR.</w:t>
            </w:r>
          </w:p>
        </w:tc>
      </w:tr>
      <w:tr w:rsidR="00A60195" w:rsidRPr="00392FFD" w:rsidTr="00672D2A">
        <w:trPr>
          <w:trHeight w:val="60"/>
        </w:trPr>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390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w:t>
            </w:r>
            <w:r w:rsidR="00EE0671" w:rsidRPr="00EE0671">
              <w:rPr>
                <w:rStyle w:val="InstructionsTabelleberschrift"/>
                <w:rFonts w:ascii="Times New Roman" w:hAnsi="Times New Roman"/>
                <w:sz w:val="24"/>
              </w:rPr>
              <w:t>0</w:t>
            </w:r>
            <w:r w:rsidR="00EE0671" w:rsidRPr="00EE0671">
              <w:rPr>
                <w:rStyle w:val="InstructionsTabelleberschrift"/>
                <w:rFonts w:ascii="Times New Roman" w:hAnsi="Times New Roman"/>
                <w:sz w:val="24"/>
              </w:rPr>
              <w:tab/>
            </w:r>
            <w:r>
              <w:rPr>
                <w:rStyle w:val="InstructionsTabelleberschrift"/>
                <w:rFonts w:ascii="Times New Roman" w:hAnsi="Times New Roman"/>
                <w:sz w:val="24"/>
              </w:rPr>
              <w:t>Kapitalski instrumenti subjektov finančnega sektorja, v katerih ima institucija pomembno naložbo</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400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1.3.2.10.1</w:t>
            </w:r>
            <w:r w:rsidR="00EE0671" w:rsidRPr="00EE0671">
              <w:rPr>
                <w:u w:val="single"/>
              </w:rPr>
              <w:tab/>
            </w:r>
            <w:r>
              <w:rPr>
                <w:rStyle w:val="InstructionsTabelleberschrift"/>
                <w:rFonts w:ascii="Times New Roman" w:hAnsi="Times New Roman"/>
                <w:sz w:val="24"/>
              </w:rPr>
              <w:t>Instrumenti navadnega lastniškega temeljnega kapitala subjektov finančnega sektorja, v katerih ima institucija pomembno naložbo</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Člen 36(1)(i), člena 469(1) in 472(11) ter člen 478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Znesek, ki se poroča v stolpcu 060 te vrstice: prvotni odbitek v skladu s členom 36(1)(i)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410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1.3.2.10.2</w:t>
            </w:r>
            <w:r w:rsidR="00EE0671" w:rsidRPr="00EE0671">
              <w:rPr>
                <w:u w:val="single"/>
              </w:rPr>
              <w:tab/>
            </w:r>
            <w:r>
              <w:rPr>
                <w:rStyle w:val="InstructionsTabelleberschrift"/>
                <w:rFonts w:ascii="Times New Roman" w:hAnsi="Times New Roman"/>
                <w:sz w:val="24"/>
              </w:rPr>
              <w:t>Instrumenti dodatnega temeljnega kapitala subjektov finančnega sektorja, v katerih ima institucija pomembno naložbo</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Člen 56(d), člen 474, člen 475(4) in člen 478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Znesek, ki se poroča v stolpcu 060 te vrstice: prvotni odbitek v skladu s členom 56(d)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420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1.3.2.10.2</w:t>
            </w:r>
            <w:r w:rsidR="00EE0671" w:rsidRPr="00EE0671">
              <w:rPr>
                <w:u w:val="single"/>
              </w:rPr>
              <w:tab/>
            </w:r>
            <w:r>
              <w:rPr>
                <w:rStyle w:val="InstructionsTabelleberschrift"/>
                <w:rFonts w:ascii="Times New Roman" w:hAnsi="Times New Roman"/>
                <w:sz w:val="24"/>
              </w:rPr>
              <w:t>Instrumenti dodatnega kapitala subjektov finančnega sektorja, v katerih ima institucija pomembno naložbo</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Člen 66(d), člen 476, člen 477(4) in člen 478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Znesek, ki se poroča v stolpcu 060 te vrstice: prvotni odbitek v skladu s členom 66(d) CRR.</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425</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w:t>
            </w:r>
            <w:r w:rsidR="00EE0671" w:rsidRPr="00EE0671">
              <w:rPr>
                <w:rStyle w:val="InstructionsTabelleberschrift"/>
                <w:rFonts w:ascii="Times New Roman" w:hAnsi="Times New Roman"/>
                <w:sz w:val="24"/>
              </w:rPr>
              <w:t>1</w:t>
            </w:r>
            <w:r w:rsidR="00EE0671" w:rsidRPr="00EE0671">
              <w:rPr>
                <w:rStyle w:val="InstructionsTabelleberschrift"/>
                <w:rFonts w:ascii="Times New Roman" w:hAnsi="Times New Roman"/>
                <w:sz w:val="24"/>
              </w:rPr>
              <w:tab/>
            </w:r>
            <w:r>
              <w:rPr>
                <w:rStyle w:val="InstructionsTabelleberschrift"/>
                <w:rFonts w:ascii="Times New Roman" w:hAnsi="Times New Roman"/>
                <w:sz w:val="24"/>
              </w:rPr>
              <w:t>Izvzetje iz odbitka deležev v lastniškem kapitalu zavar</w:t>
            </w:r>
            <w:r>
              <w:rPr>
                <w:rStyle w:val="InstructionsTabelleberschrift"/>
                <w:rFonts w:ascii="Times New Roman" w:hAnsi="Times New Roman"/>
                <w:sz w:val="24"/>
              </w:rPr>
              <w:t>o</w:t>
            </w:r>
            <w:r>
              <w:rPr>
                <w:rStyle w:val="InstructionsTabelleberschrift"/>
                <w:rFonts w:ascii="Times New Roman" w:hAnsi="Times New Roman"/>
                <w:sz w:val="24"/>
              </w:rPr>
              <w:t>valnic od postavk navadnega lastniškega temeljnega kapitala</w:t>
            </w:r>
          </w:p>
          <w:p w:rsidR="00A60195" w:rsidRPr="00392FFD" w:rsidRDefault="000F1CEA"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471 CRR.</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430</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0F1CEA"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rsidR="00EE0671" w:rsidRPr="00EE0671">
              <w:rPr>
                <w:u w:val="single"/>
              </w:rPr>
              <w:tab/>
            </w:r>
            <w:r>
              <w:rPr>
                <w:rStyle w:val="InstructionsTabelleberschrift"/>
                <w:rFonts w:ascii="Times New Roman" w:hAnsi="Times New Roman"/>
                <w:sz w:val="24"/>
              </w:rPr>
              <w:t>Dodatni filtri in odbitki</w:t>
            </w:r>
          </w:p>
          <w:p w:rsidR="00A60195" w:rsidRPr="00392FFD" w:rsidRDefault="00A60195" w:rsidP="007106FB">
            <w:pPr>
              <w:spacing w:before="0"/>
              <w:rPr>
                <w:rStyle w:val="InstructionsTabelleText"/>
                <w:rFonts w:ascii="Times New Roman" w:hAnsi="Times New Roman"/>
                <w:sz w:val="24"/>
              </w:rPr>
            </w:pPr>
            <w:r>
              <w:rPr>
                <w:rStyle w:val="InstructionsTabelleText"/>
                <w:rFonts w:ascii="Times New Roman" w:hAnsi="Times New Roman"/>
                <w:sz w:val="24"/>
              </w:rPr>
              <w:t>Člen 481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V tej vrstici je naveden skupni učinek prehodnih določb na dodatne filtre in odbitke.</w:t>
            </w:r>
          </w:p>
          <w:p w:rsidR="00783881"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Institucije v skladu s členom 481 CRR v postavki 1.3.3 poročajo inform</w:t>
            </w:r>
            <w:r>
              <w:rPr>
                <w:rStyle w:val="InstructionsTabelleText"/>
                <w:rFonts w:ascii="Times New Roman" w:hAnsi="Times New Roman"/>
                <w:sz w:val="24"/>
              </w:rPr>
              <w:t>a</w:t>
            </w:r>
            <w:r>
              <w:rPr>
                <w:rStyle w:val="InstructionsTabelleText"/>
                <w:rFonts w:ascii="Times New Roman" w:hAnsi="Times New Roman"/>
                <w:sz w:val="24"/>
              </w:rPr>
              <w:t>cije v zvezi s filtri in odbitki, ki se zahtevajo v skladu z nacionalnimi ukr</w:t>
            </w:r>
            <w:r>
              <w:rPr>
                <w:rStyle w:val="InstructionsTabelleText"/>
                <w:rFonts w:ascii="Times New Roman" w:hAnsi="Times New Roman"/>
                <w:sz w:val="24"/>
              </w:rPr>
              <w:t>e</w:t>
            </w:r>
            <w:r>
              <w:rPr>
                <w:rStyle w:val="InstructionsTabelleText"/>
                <w:rFonts w:ascii="Times New Roman" w:hAnsi="Times New Roman"/>
                <w:sz w:val="24"/>
              </w:rPr>
              <w:t xml:space="preserve">pi za prenos členov 57 in 66 Direktive 2006/48/ES ter členov 13 in 16 Direktive 2006/49/ES in se ne zahtevajo v skladu z delom 2. </w:t>
            </w:r>
          </w:p>
        </w:tc>
      </w:tr>
      <w:tr w:rsidR="008B695F" w:rsidRPr="00392FFD" w:rsidTr="00672D2A">
        <w:tc>
          <w:tcPr>
            <w:tcW w:w="1012" w:type="dxa"/>
          </w:tcPr>
          <w:p w:rsidR="008B695F" w:rsidRPr="00392FFD" w:rsidRDefault="008B695F" w:rsidP="00FD239F">
            <w:pPr>
              <w:pStyle w:val="InstructionsText"/>
              <w:rPr>
                <w:rStyle w:val="InstructionsTabelleText"/>
                <w:rFonts w:ascii="Times New Roman" w:hAnsi="Times New Roman"/>
                <w:sz w:val="24"/>
              </w:rPr>
            </w:pPr>
            <w:r>
              <w:rPr>
                <w:rStyle w:val="InstructionsTabelleText"/>
                <w:rFonts w:ascii="Times New Roman" w:hAnsi="Times New Roman"/>
                <w:sz w:val="24"/>
              </w:rPr>
              <w:t>440</w:t>
            </w:r>
          </w:p>
        </w:tc>
        <w:tc>
          <w:tcPr>
            <w:tcW w:w="7478" w:type="dxa"/>
          </w:tcPr>
          <w:p w:rsidR="008B695F" w:rsidRDefault="008B695F"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rsidR="00EE0671" w:rsidRPr="00EE0671">
              <w:rPr>
                <w:u w:val="single"/>
              </w:rPr>
              <w:tab/>
            </w:r>
            <w:r>
              <w:rPr>
                <w:rStyle w:val="InstructionsTabelleberschrift"/>
                <w:rFonts w:ascii="Times New Roman" w:hAnsi="Times New Roman"/>
                <w:sz w:val="24"/>
              </w:rPr>
              <w:t>Prilagoditve zaradi prehodnih ureditev za MSRP 9</w:t>
            </w:r>
          </w:p>
          <w:p w:rsidR="008B695F" w:rsidRPr="008B695F" w:rsidRDefault="009247A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informacije v zvezi s prehodnimi ureditvami zaradi MSRP 9 poročajo v skladu z veljavnimi pravnimi določbami.</w:t>
            </w:r>
          </w:p>
        </w:tc>
      </w:tr>
    </w:tbl>
    <w:p w:rsidR="002648B0" w:rsidRPr="00392FFD" w:rsidRDefault="002648B0" w:rsidP="00D946DB">
      <w:pPr>
        <w:spacing w:after="0"/>
        <w:rPr>
          <w:rFonts w:ascii="Times New Roman" w:hAnsi="Times New Roman"/>
          <w:sz w:val="24"/>
        </w:rPr>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105" w:name="_Toc361666252"/>
      <w:bookmarkStart w:id="106" w:name="_Toc308175839"/>
      <w:bookmarkStart w:id="107" w:name="_Toc516210620"/>
      <w:bookmarkStart w:id="108" w:name="_Toc473560885"/>
      <w:bookmarkStart w:id="109" w:name="_Toc360188337"/>
      <w:bookmarkStart w:id="110" w:name="_Toc523474369"/>
      <w:bookmarkEnd w:id="105"/>
      <w:r>
        <w:rPr>
          <w:rFonts w:ascii="Times New Roman" w:hAnsi="Times New Roman"/>
          <w:sz w:val="24"/>
          <w:u w:val="none"/>
        </w:rPr>
        <w:t>1.6.3.</w:t>
      </w:r>
      <w:r w:rsidR="003F40E8" w:rsidRPr="003F40E8">
        <w:rPr>
          <w:u w:val="none"/>
        </w:rPr>
        <w:tab/>
      </w:r>
      <w:r>
        <w:rPr>
          <w:rFonts w:ascii="Times New Roman" w:hAnsi="Times New Roman"/>
          <w:sz w:val="24"/>
        </w:rPr>
        <w:t>C 05.02 – INSTRUMENTI, ZA KATERE SE UPORABLJAJO PREDHODNA PRAVILA: INSTRUMENTI, KI NE TVORIJO DRŽAVNE POMOČI (</w:t>
      </w:r>
      <w:proofErr w:type="spellStart"/>
      <w:r>
        <w:rPr>
          <w:rFonts w:ascii="Times New Roman" w:hAnsi="Times New Roman"/>
          <w:sz w:val="24"/>
        </w:rPr>
        <w:t>CA5.2</w:t>
      </w:r>
      <w:proofErr w:type="spellEnd"/>
      <w:r>
        <w:rPr>
          <w:rFonts w:ascii="Times New Roman" w:hAnsi="Times New Roman"/>
          <w:sz w:val="24"/>
        </w:rPr>
        <w:t>)</w:t>
      </w:r>
      <w:bookmarkEnd w:id="106"/>
      <w:bookmarkEnd w:id="107"/>
      <w:bookmarkEnd w:id="108"/>
      <w:bookmarkEnd w:id="110"/>
      <w:r>
        <w:rPr>
          <w:rFonts w:ascii="Times New Roman" w:hAnsi="Times New Roman"/>
          <w:sz w:val="24"/>
        </w:rPr>
        <w:t xml:space="preserve"> </w:t>
      </w:r>
      <w:bookmarkEnd w:id="109"/>
    </w:p>
    <w:p w:rsidR="00783881" w:rsidRPr="00392FFD" w:rsidRDefault="00125707" w:rsidP="00C37B29">
      <w:pPr>
        <w:pStyle w:val="InstructionsText2"/>
        <w:numPr>
          <w:ilvl w:val="0"/>
          <w:numId w:val="0"/>
        </w:numPr>
        <w:ind w:left="993"/>
      </w:pPr>
      <w:r>
        <w:t>25.</w:t>
      </w:r>
      <w:r>
        <w:tab/>
        <w:t>Institucije poročajo informacije v zvezi s prehodnimi določbami glede instr</w:t>
      </w:r>
      <w:r>
        <w:t>u</w:t>
      </w:r>
      <w:r>
        <w:t>mentov, za katere se uporabljajo predhodna pravila in ki ne tvorijo državne pomoči (členi 484 do 491 CRR).</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111" w:name="_Toc360188338"/>
      <w:bookmarkStart w:id="112" w:name="_Toc516210621"/>
      <w:bookmarkStart w:id="113" w:name="_Toc473560886"/>
      <w:bookmarkStart w:id="114" w:name="_Toc523474370"/>
      <w:r>
        <w:rPr>
          <w:rFonts w:ascii="Times New Roman" w:hAnsi="Times New Roman"/>
          <w:sz w:val="24"/>
          <w:u w:val="none"/>
        </w:rPr>
        <w:t>1.6.3.1.</w:t>
      </w:r>
      <w:r w:rsidR="003F40E8" w:rsidRPr="003F40E8">
        <w:rPr>
          <w:u w:val="none"/>
        </w:rPr>
        <w:tab/>
      </w:r>
      <w:r>
        <w:rPr>
          <w:rFonts w:ascii="Times New Roman" w:hAnsi="Times New Roman"/>
          <w:sz w:val="24"/>
        </w:rPr>
        <w:t>Navodila za posamezne pozicije</w:t>
      </w:r>
      <w:bookmarkEnd w:id="111"/>
      <w:bookmarkEnd w:id="112"/>
      <w:bookmarkEnd w:id="113"/>
      <w:bookmarkEnd w:id="114"/>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rsidTr="00672D2A">
        <w:tc>
          <w:tcPr>
            <w:tcW w:w="8181" w:type="dxa"/>
            <w:gridSpan w:val="2"/>
            <w:shd w:val="clear" w:color="auto" w:fill="D9D9D9"/>
          </w:tcPr>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Stolpci</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Znesek instrumentov s povezanim vplačanim presežkom kapitala</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Člen 484(3) do (5) CRR.</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Instrumenti, ki so primerni oz. sprejemljivi za posamezne vrstice, vključno </w:t>
            </w:r>
            <w:r>
              <w:rPr>
                <w:rStyle w:val="InstructionsTabelleText"/>
                <w:rFonts w:ascii="Times New Roman" w:hAnsi="Times New Roman"/>
                <w:sz w:val="24"/>
              </w:rPr>
              <w:lastRenderedPageBreak/>
              <w:t>z njihovimi povezanimi vplačanimi presežki kapitala.</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020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Osnova za izračun omejitve</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Člen 486(2) do (4)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Veljavni odstotek</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Člen 486(5)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Omejitev</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Člen 486(2) do (5)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 Znesek, ki presega omejitve glede uporabe predhodnih pravil</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Člen 486(2) do (5)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Skupni znesek z uporabo predhodnih pravil</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Znesek, ki se poroča, je enak zneskom, ki so poročani v ustreznih stolpcih v vrstici 060 predloge CA 5.1.</w:t>
            </w:r>
          </w:p>
        </w:tc>
      </w:tr>
    </w:tbl>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rsidTr="00672D2A">
        <w:tc>
          <w:tcPr>
            <w:tcW w:w="8181" w:type="dxa"/>
            <w:gridSpan w:val="2"/>
            <w:shd w:val="clear" w:color="auto" w:fill="D9D9D9"/>
          </w:tcPr>
          <w:p w:rsidR="005643EA" w:rsidRPr="00392FFD" w:rsidRDefault="002648B0" w:rsidP="00FD239F">
            <w:pPr>
              <w:pStyle w:val="InstructionsText"/>
            </w:pPr>
            <w:r>
              <w:t>Vrstice</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392FFD" w:rsidRDefault="00EE0671" w:rsidP="00FD239F">
            <w:pPr>
              <w:pStyle w:val="InstructionsText"/>
              <w:rPr>
                <w:rStyle w:val="InstructionsTabelleberschrift"/>
                <w:rFonts w:ascii="Times New Roman" w:hAnsi="Times New Roman"/>
                <w:sz w:val="24"/>
              </w:rPr>
            </w:pPr>
            <w:r w:rsidRPr="00EE0671">
              <w:rPr>
                <w:rStyle w:val="InstructionsTabelleberschrift"/>
                <w:rFonts w:ascii="Times New Roman" w:hAnsi="Times New Roman"/>
                <w:sz w:val="24"/>
              </w:rPr>
              <w:t>1</w:t>
            </w:r>
            <w:r w:rsidRPr="00EE0671">
              <w:rPr>
                <w:rStyle w:val="InstructionsTabelleberschrift"/>
                <w:rFonts w:ascii="Times New Roman" w:hAnsi="Times New Roman"/>
                <w:sz w:val="24"/>
              </w:rPr>
              <w:tab/>
            </w:r>
            <w:r w:rsidR="00C66473">
              <w:rPr>
                <w:rStyle w:val="InstructionsTabelleberschrift"/>
                <w:rFonts w:ascii="Times New Roman" w:hAnsi="Times New Roman"/>
                <w:sz w:val="24"/>
              </w:rPr>
              <w:t>Instrumenti, ki izpolnjujejo pogoje za točko (a) člena 57 Dire</w:t>
            </w:r>
            <w:r w:rsidR="00C66473">
              <w:rPr>
                <w:rStyle w:val="InstructionsTabelleberschrift"/>
                <w:rFonts w:ascii="Times New Roman" w:hAnsi="Times New Roman"/>
                <w:sz w:val="24"/>
              </w:rPr>
              <w:t>k</w:t>
            </w:r>
            <w:r w:rsidR="00C66473">
              <w:rPr>
                <w:rStyle w:val="InstructionsTabelleberschrift"/>
                <w:rFonts w:ascii="Times New Roman" w:hAnsi="Times New Roman"/>
                <w:sz w:val="24"/>
              </w:rPr>
              <w:t>tive 2006/48/ES</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Člen 484(3) CRR.</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Znesek, ki se poroča, vključuje z njim povezani vplačani presežek kapitala.</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rsidR="005643EA" w:rsidRPr="000F1CEA" w:rsidRDefault="00EE0671" w:rsidP="00FD239F">
            <w:pPr>
              <w:pStyle w:val="InstructionsText"/>
              <w:rPr>
                <w:rStyle w:val="InstructionsTabelleText"/>
                <w:rFonts w:ascii="Times New Roman" w:hAnsi="Times New Roman"/>
                <w:b/>
                <w:sz w:val="24"/>
                <w:u w:val="single"/>
              </w:rPr>
            </w:pPr>
            <w:r w:rsidRPr="00EE0671">
              <w:rPr>
                <w:rStyle w:val="InstructionsTabelleberschrift"/>
                <w:rFonts w:ascii="Times New Roman" w:hAnsi="Times New Roman"/>
                <w:sz w:val="24"/>
              </w:rPr>
              <w:t>2</w:t>
            </w:r>
            <w:r w:rsidRPr="00EE0671">
              <w:rPr>
                <w:rStyle w:val="InstructionsTabelleberschrift"/>
                <w:rFonts w:ascii="Times New Roman" w:hAnsi="Times New Roman"/>
                <w:sz w:val="24"/>
              </w:rPr>
              <w:tab/>
            </w:r>
            <w:r w:rsidR="00C66473">
              <w:rPr>
                <w:rStyle w:val="InstructionsTabelleberschrift"/>
                <w:rFonts w:ascii="Times New Roman" w:hAnsi="Times New Roman"/>
                <w:sz w:val="24"/>
              </w:rPr>
              <w:t>Instrumenti, ki izpolnjujejo pogoje za točko (a) člena 57 ter člen 154(8) in (9) Direktive 2006/48/ES, v okviru omejitve iz člena 489</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Člen 484(4)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496C53"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2.1</w:t>
            </w:r>
            <w:r w:rsidR="00EE0671" w:rsidRPr="00EE0671">
              <w:rPr>
                <w:u w:val="single"/>
              </w:rPr>
              <w:tab/>
            </w:r>
            <w:r>
              <w:rPr>
                <w:rStyle w:val="InstructionsTabelleberschrift"/>
                <w:rFonts w:ascii="Times New Roman" w:hAnsi="Times New Roman"/>
                <w:sz w:val="24"/>
              </w:rPr>
              <w:t>Skupaj instrumenti brez odpoklica ali spodbude za odkup</w:t>
            </w:r>
          </w:p>
          <w:p w:rsidR="002648B0" w:rsidRPr="000F1CEA"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Člen 484(4) in člen 489 CRR.</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Znesek, ki se poroča, vključuje z njim povezani vplačani presežek kapitala.</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w:t>
            </w:r>
            <w:r w:rsidR="00EE0671" w:rsidRPr="00EE0671">
              <w:rPr>
                <w:u w:val="single"/>
              </w:rPr>
              <w:tab/>
            </w:r>
            <w:r>
              <w:rPr>
                <w:rStyle w:val="InstructionsTabelleberschrift"/>
                <w:rFonts w:ascii="Times New Roman" w:hAnsi="Times New Roman"/>
                <w:sz w:val="24"/>
              </w:rPr>
              <w:t>Instrumenti, za katere se uporabljajo predhodna pravila, z odpoklicem in spodbudo za odkup</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Člen 489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2.2.1</w:t>
            </w:r>
            <w:r w:rsidR="00EE0671" w:rsidRPr="00EE0671">
              <w:rPr>
                <w:u w:val="single"/>
              </w:rPr>
              <w:tab/>
            </w:r>
            <w:r>
              <w:rPr>
                <w:rStyle w:val="InstructionsTabelleberschrift"/>
                <w:rFonts w:ascii="Times New Roman" w:hAnsi="Times New Roman"/>
                <w:sz w:val="24"/>
              </w:rPr>
              <w:t>Instrumenti z odpoklicem, ki ga je mogoče uveljavljati po datumu poročanja, pri čemer izpolnjujejo pogoje iz člena 52 CRR po datumu dejanske zapadlosti</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Člen 489(3) in člen 491(a) CRR.</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Znesek, ki se poroča, vključuje z njim povezani vplačani presežek kapitala.</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2.2.2</w:t>
            </w:r>
            <w:r w:rsidR="00EE0671" w:rsidRPr="00EE0671">
              <w:rPr>
                <w:u w:val="single"/>
              </w:rPr>
              <w:tab/>
            </w:r>
            <w:r>
              <w:rPr>
                <w:rStyle w:val="InstructionsTabelleberschrift"/>
                <w:rFonts w:ascii="Times New Roman" w:hAnsi="Times New Roman"/>
                <w:sz w:val="24"/>
              </w:rPr>
              <w:t>Instrumenti z odpoklicem, ki ga je mogoče uveljavljati po datumu poročanja, pri čemer ne izpolnjujejo pogojev iz člena 52 CRR po datumu dejanske zapadlosti</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lastRenderedPageBreak/>
              <w:t>Člen 489(5) in člen 491(a) CRR.</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Znesek, ki se poroča, vključuje z njim povezani vplačani presežek kapitala.</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070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2.2.3</w:t>
            </w:r>
            <w:r w:rsidR="00EE0671" w:rsidRPr="00EE0671">
              <w:rPr>
                <w:u w:val="single"/>
              </w:rPr>
              <w:tab/>
            </w:r>
            <w:r>
              <w:rPr>
                <w:rStyle w:val="InstructionsTabelleberschrift"/>
                <w:rFonts w:ascii="Times New Roman" w:hAnsi="Times New Roman"/>
                <w:sz w:val="24"/>
              </w:rPr>
              <w:t>Instrumenti z odpoklicem, ki ga je mogoče uveljavljati pred 20. julijem 2011 ali na ta datum, pri čemer ne izpolnjujejo pogojev iz čl</w:t>
            </w:r>
            <w:r>
              <w:rPr>
                <w:rStyle w:val="InstructionsTabelleberschrift"/>
                <w:rFonts w:ascii="Times New Roman" w:hAnsi="Times New Roman"/>
                <w:sz w:val="24"/>
              </w:rPr>
              <w:t>e</w:t>
            </w:r>
            <w:r>
              <w:rPr>
                <w:rStyle w:val="InstructionsTabelleberschrift"/>
                <w:rFonts w:ascii="Times New Roman" w:hAnsi="Times New Roman"/>
                <w:sz w:val="24"/>
              </w:rPr>
              <w:t>na 52 CRR po datumu dejanske zapadlosti</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Člen 489(6) in člen 491(c) CRR.</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Znesek, ki se poroča, vključuje z njim povezani vplačani presežek kapitala.</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080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2.3</w:t>
            </w:r>
            <w:r w:rsidR="00EE0671" w:rsidRPr="00EE0671">
              <w:rPr>
                <w:u w:val="single"/>
              </w:rPr>
              <w:tab/>
            </w:r>
            <w:r>
              <w:rPr>
                <w:rStyle w:val="InstructionsTabelleberschrift"/>
                <w:rFonts w:ascii="Times New Roman" w:hAnsi="Times New Roman"/>
                <w:sz w:val="24"/>
              </w:rPr>
              <w:t>Preseganje omejitve instrumentov navadnega lastniškega tem</w:t>
            </w:r>
            <w:r>
              <w:rPr>
                <w:rStyle w:val="InstructionsTabelleberschrift"/>
                <w:rFonts w:ascii="Times New Roman" w:hAnsi="Times New Roman"/>
                <w:sz w:val="24"/>
              </w:rPr>
              <w:t>e</w:t>
            </w:r>
            <w:r>
              <w:rPr>
                <w:rStyle w:val="InstructionsTabelleberschrift"/>
                <w:rFonts w:ascii="Times New Roman" w:hAnsi="Times New Roman"/>
                <w:sz w:val="24"/>
              </w:rPr>
              <w:t>ljnega kapitala, za katere se uporabljajo predhodna pravila</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Člen 487(1) CRR.</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Preseganje omejitve instrumentov navadnega lastniškega temeljnega kap</w:t>
            </w:r>
            <w:r>
              <w:rPr>
                <w:rStyle w:val="InstructionsTabelleText"/>
                <w:rFonts w:ascii="Times New Roman" w:hAnsi="Times New Roman"/>
                <w:sz w:val="24"/>
              </w:rPr>
              <w:t>i</w:t>
            </w:r>
            <w:r>
              <w:rPr>
                <w:rStyle w:val="InstructionsTabelleText"/>
                <w:rFonts w:ascii="Times New Roman" w:hAnsi="Times New Roman"/>
                <w:sz w:val="24"/>
              </w:rPr>
              <w:t>tala, za katere se uporabljajo predhodna pravila, se lahko obravnava kot instrumenti, za katere se lahko uporabljajo predhodna pravila, tako kot za instrumente dodatnega temeljnega kapitala.</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090</w:t>
            </w:r>
          </w:p>
        </w:tc>
        <w:tc>
          <w:tcPr>
            <w:tcW w:w="7478" w:type="dxa"/>
          </w:tcPr>
          <w:p w:rsidR="005643EA" w:rsidRPr="000F1CEA" w:rsidRDefault="00EE0671" w:rsidP="00FD239F">
            <w:pPr>
              <w:pStyle w:val="InstructionsText"/>
              <w:rPr>
                <w:rStyle w:val="InstructionsTabelleText"/>
                <w:rFonts w:ascii="Times New Roman" w:hAnsi="Times New Roman"/>
                <w:b/>
                <w:sz w:val="24"/>
                <w:u w:val="single"/>
              </w:rPr>
            </w:pPr>
            <w:r w:rsidRPr="00EE0671">
              <w:rPr>
                <w:rStyle w:val="InstructionsTabelleberschrift"/>
                <w:rFonts w:ascii="Times New Roman" w:hAnsi="Times New Roman"/>
                <w:sz w:val="24"/>
              </w:rPr>
              <w:t>3</w:t>
            </w:r>
            <w:r w:rsidRPr="00EE0671">
              <w:rPr>
                <w:rStyle w:val="InstructionsTabelleberschrift"/>
                <w:rFonts w:ascii="Times New Roman" w:hAnsi="Times New Roman"/>
                <w:sz w:val="24"/>
              </w:rPr>
              <w:tab/>
            </w:r>
            <w:r w:rsidR="00C66473">
              <w:rPr>
                <w:rStyle w:val="InstructionsTabelleberschrift"/>
                <w:rFonts w:ascii="Times New Roman" w:hAnsi="Times New Roman"/>
                <w:sz w:val="24"/>
              </w:rPr>
              <w:t>Postavke, ki izpolnjujejo pogoje za točko (e), (f), (g) ali (h) člena 57 Direktive 2006/48/ES, v okviru omejitve iz člena 490</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Člen 484(5)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100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3.1</w:t>
            </w:r>
            <w:r w:rsidR="00EE0671" w:rsidRPr="00EE0671">
              <w:rPr>
                <w:u w:val="single"/>
              </w:rPr>
              <w:tab/>
            </w:r>
            <w:r>
              <w:rPr>
                <w:rStyle w:val="InstructionsTabelleberschrift"/>
                <w:rFonts w:ascii="Times New Roman" w:hAnsi="Times New Roman"/>
                <w:sz w:val="24"/>
              </w:rPr>
              <w:t>Skupaj postavke brez spodbude za odkup</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Člen 490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110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3.2</w:t>
            </w:r>
            <w:r w:rsidR="00EE0671" w:rsidRPr="00EE0671">
              <w:rPr>
                <w:u w:val="single"/>
              </w:rPr>
              <w:tab/>
            </w:r>
            <w:r>
              <w:rPr>
                <w:rStyle w:val="InstructionsTabelleberschrift"/>
                <w:rFonts w:ascii="Times New Roman" w:hAnsi="Times New Roman"/>
                <w:sz w:val="24"/>
              </w:rPr>
              <w:t>Postavke, za katere se uporabljajo predhodna pravila, s spo</w:t>
            </w:r>
            <w:r>
              <w:rPr>
                <w:rStyle w:val="InstructionsTabelleberschrift"/>
                <w:rFonts w:ascii="Times New Roman" w:hAnsi="Times New Roman"/>
                <w:sz w:val="24"/>
              </w:rPr>
              <w:t>d</w:t>
            </w:r>
            <w:r>
              <w:rPr>
                <w:rStyle w:val="InstructionsTabelleberschrift"/>
                <w:rFonts w:ascii="Times New Roman" w:hAnsi="Times New Roman"/>
                <w:sz w:val="24"/>
              </w:rPr>
              <w:t>budo za odkup</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Člen 490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120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3.2.1</w:t>
            </w:r>
            <w:r w:rsidR="00EE0671" w:rsidRPr="00EE0671">
              <w:rPr>
                <w:u w:val="single"/>
              </w:rPr>
              <w:tab/>
            </w:r>
            <w:r>
              <w:rPr>
                <w:rStyle w:val="InstructionsTabelleberschrift"/>
                <w:rFonts w:ascii="Times New Roman" w:hAnsi="Times New Roman"/>
                <w:sz w:val="24"/>
              </w:rPr>
              <w:t>Postavke z odpoklicem, ki ga je mogoče uveljavljati po datumu poročanja, pri čemer izpolnjujejo pogoje iz člena 63 CRR po datumu dejanske zapadlosti</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Člen 490(3) in člen 491(a) CRR.</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Znesek, ki se poroča, vključuje z njim povezani vplačani presežek kapitala.</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3.2.2</w:t>
            </w:r>
            <w:r w:rsidR="00EE0671" w:rsidRPr="00EE0671">
              <w:rPr>
                <w:u w:val="single"/>
              </w:rPr>
              <w:tab/>
            </w:r>
            <w:r>
              <w:rPr>
                <w:rStyle w:val="InstructionsTabelleberschrift"/>
                <w:rFonts w:ascii="Times New Roman" w:hAnsi="Times New Roman"/>
                <w:sz w:val="24"/>
              </w:rPr>
              <w:t>Postavke z odpoklicem, ki ga je mogoče uveljavljati po datumu poročanja, pri čemer ne izpolnjujejo pogojev iz člena 63 CRR po datumu dejanske zapadlosti</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Člen 490(5) in člen 491(a) CRR.</w:t>
            </w:r>
          </w:p>
          <w:p w:rsidR="002648B0" w:rsidRPr="00392FFD" w:rsidRDefault="007C3B71" w:rsidP="007106FB">
            <w:pPr>
              <w:rPr>
                <w:rStyle w:val="InstructionsTabelleText"/>
                <w:rFonts w:ascii="Times New Roman" w:hAnsi="Times New Roman"/>
                <w:sz w:val="24"/>
              </w:rPr>
            </w:pPr>
            <w:r>
              <w:rPr>
                <w:rStyle w:val="InstructionsTabelleText"/>
                <w:rFonts w:ascii="Times New Roman" w:hAnsi="Times New Roman"/>
                <w:sz w:val="24"/>
              </w:rPr>
              <w:t>Znesek, ki se poroča, vključuje z njim povezani vplačani presežek kapitala.</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140</w:t>
            </w:r>
          </w:p>
        </w:tc>
        <w:tc>
          <w:tcPr>
            <w:tcW w:w="7478" w:type="dxa"/>
          </w:tcPr>
          <w:p w:rsidR="00496C53"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3.2.3</w:t>
            </w:r>
            <w:r w:rsidR="00EE0671" w:rsidRPr="00EE0671">
              <w:rPr>
                <w:u w:val="single"/>
              </w:rPr>
              <w:tab/>
            </w:r>
            <w:r>
              <w:rPr>
                <w:rStyle w:val="InstructionsTabelleberschrift"/>
                <w:rFonts w:ascii="Times New Roman" w:hAnsi="Times New Roman"/>
                <w:sz w:val="24"/>
              </w:rPr>
              <w:t>Postavke z odpoklicem, ki ga je mogoče uveljavljati pred 20. julijem 2011 ali na ta datum, pri čemer ne izpolnjujejo pogojev iz čl</w:t>
            </w:r>
            <w:r>
              <w:rPr>
                <w:rStyle w:val="InstructionsTabelleberschrift"/>
                <w:rFonts w:ascii="Times New Roman" w:hAnsi="Times New Roman"/>
                <w:sz w:val="24"/>
              </w:rPr>
              <w:t>e</w:t>
            </w:r>
            <w:r>
              <w:rPr>
                <w:rStyle w:val="InstructionsTabelleberschrift"/>
                <w:rFonts w:ascii="Times New Roman" w:hAnsi="Times New Roman"/>
                <w:sz w:val="24"/>
              </w:rPr>
              <w:t>na 63 CRR po datumu dejanske zapadlosti</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Člen 490(6) in člen 491(c) CRR. </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Znesek, ki se poroča, vključuje z njim povezani vplačani presežek kapitala.</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150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3.3</w:t>
            </w:r>
            <w:r w:rsidR="00EE0671" w:rsidRPr="00EE0671">
              <w:rPr>
                <w:u w:val="single"/>
              </w:rPr>
              <w:tab/>
            </w:r>
            <w:r>
              <w:rPr>
                <w:rStyle w:val="InstructionsTabelleberschrift"/>
                <w:rFonts w:ascii="Times New Roman" w:hAnsi="Times New Roman"/>
                <w:sz w:val="24"/>
              </w:rPr>
              <w:t>Preseganje omejitve instrumentov dodatnega temeljnega kap</w:t>
            </w:r>
            <w:r>
              <w:rPr>
                <w:rStyle w:val="InstructionsTabelleberschrift"/>
                <w:rFonts w:ascii="Times New Roman" w:hAnsi="Times New Roman"/>
                <w:sz w:val="24"/>
              </w:rPr>
              <w:t>i</w:t>
            </w:r>
            <w:r>
              <w:rPr>
                <w:rStyle w:val="InstructionsTabelleberschrift"/>
                <w:rFonts w:ascii="Times New Roman" w:hAnsi="Times New Roman"/>
                <w:sz w:val="24"/>
              </w:rPr>
              <w:t>tala, za katere se uporabljajo predhodna pravila</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lastRenderedPageBreak/>
              <w:t xml:space="preserve">Člen 487(2) CRR. </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Preseganje omejitve instrumentov dodatnega temeljnega kapitala, za katere se uporabljajo predhodna pravila, se lahko obravnava kot instrumenti, za katere se lahko uporabljajo predhodna pravila, tako kot za instrumente dodatnega kapitala.</w:t>
            </w:r>
          </w:p>
        </w:tc>
      </w:tr>
    </w:tbl>
    <w:p w:rsidR="00464F34" w:rsidRPr="00392FFD" w:rsidRDefault="00464F34">
      <w:pPr>
        <w:spacing w:before="0" w:after="0"/>
        <w:jc w:val="left"/>
        <w:rPr>
          <w:rFonts w:ascii="Times New Roman" w:hAnsi="Times New Roman"/>
          <w:sz w:val="24"/>
          <w:u w:val="single"/>
        </w:rPr>
      </w:pPr>
      <w:bookmarkStart w:id="115" w:name="_Toc239157372"/>
      <w:bookmarkStart w:id="116" w:name="_Toc295829844"/>
      <w:bookmarkStart w:id="117" w:name="_Toc330394185"/>
      <w:bookmarkEnd w:id="0"/>
      <w:bookmarkEnd w:id="1"/>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18" w:name="_Toc360188339"/>
      <w:bookmarkStart w:id="119" w:name="_Toc516210622"/>
      <w:bookmarkStart w:id="120" w:name="_Toc473560887"/>
      <w:bookmarkStart w:id="121" w:name="_Toc523474371"/>
      <w:bookmarkEnd w:id="115"/>
      <w:bookmarkEnd w:id="116"/>
      <w:bookmarkEnd w:id="117"/>
      <w:r>
        <w:rPr>
          <w:rFonts w:ascii="Times New Roman" w:hAnsi="Times New Roman"/>
          <w:sz w:val="24"/>
          <w:u w:val="none"/>
        </w:rPr>
        <w:t>2.</w:t>
      </w:r>
      <w:r w:rsidR="003F40E8" w:rsidRPr="003F40E8">
        <w:rPr>
          <w:u w:val="none"/>
        </w:rPr>
        <w:tab/>
      </w:r>
      <w:r>
        <w:rPr>
          <w:rFonts w:ascii="Times New Roman" w:hAnsi="Times New Roman"/>
          <w:sz w:val="24"/>
        </w:rPr>
        <w:t>KAPITALSKA USTREZNOST SKUPINE: INFORMACIJE O POVEZANIH SUBJE</w:t>
      </w:r>
      <w:r>
        <w:rPr>
          <w:rFonts w:ascii="Times New Roman" w:hAnsi="Times New Roman"/>
          <w:sz w:val="24"/>
        </w:rPr>
        <w:t>K</w:t>
      </w:r>
      <w:r>
        <w:rPr>
          <w:rFonts w:ascii="Times New Roman" w:hAnsi="Times New Roman"/>
          <w:sz w:val="24"/>
        </w:rPr>
        <w:t>TIH (GS</w:t>
      </w:r>
      <w:bookmarkEnd w:id="118"/>
      <w:r>
        <w:rPr>
          <w:rFonts w:ascii="Times New Roman" w:hAnsi="Times New Roman"/>
          <w:sz w:val="24"/>
        </w:rPr>
        <w:t>)</w:t>
      </w:r>
      <w:bookmarkEnd w:id="119"/>
      <w:bookmarkEnd w:id="120"/>
      <w:bookmarkEnd w:id="121"/>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22" w:name="_Toc264038416"/>
      <w:bookmarkStart w:id="123" w:name="_Toc295829845"/>
      <w:bookmarkStart w:id="124" w:name="_Toc310415011"/>
      <w:bookmarkStart w:id="125" w:name="_Toc330394186"/>
      <w:bookmarkStart w:id="126" w:name="_Toc360188340"/>
      <w:bookmarkStart w:id="127" w:name="_Toc516210623"/>
      <w:bookmarkStart w:id="128" w:name="_Toc473560888"/>
      <w:bookmarkStart w:id="129" w:name="_Toc523474372"/>
      <w:r>
        <w:rPr>
          <w:rFonts w:ascii="Times New Roman" w:hAnsi="Times New Roman"/>
          <w:sz w:val="24"/>
          <w:u w:val="none"/>
        </w:rPr>
        <w:t>2.1.</w:t>
      </w:r>
      <w:r w:rsidR="003F40E8" w:rsidRPr="003F40E8">
        <w:rPr>
          <w:u w:val="none"/>
        </w:rPr>
        <w:tab/>
      </w:r>
      <w:r>
        <w:rPr>
          <w:rFonts w:ascii="Times New Roman" w:hAnsi="Times New Roman"/>
          <w:sz w:val="24"/>
        </w:rPr>
        <w:t>Splošne opombe</w:t>
      </w:r>
      <w:bookmarkEnd w:id="122"/>
      <w:bookmarkEnd w:id="123"/>
      <w:bookmarkEnd w:id="124"/>
      <w:bookmarkEnd w:id="125"/>
      <w:bookmarkEnd w:id="126"/>
      <w:bookmarkEnd w:id="127"/>
      <w:bookmarkEnd w:id="128"/>
      <w:bookmarkEnd w:id="129"/>
    </w:p>
    <w:p w:rsidR="00464F34" w:rsidRPr="00392FFD" w:rsidRDefault="00125707" w:rsidP="00C37B29">
      <w:pPr>
        <w:pStyle w:val="InstructionsText2"/>
        <w:numPr>
          <w:ilvl w:val="0"/>
          <w:numId w:val="0"/>
        </w:numPr>
        <w:ind w:left="993"/>
      </w:pPr>
      <w:r>
        <w:t>26.</w:t>
      </w:r>
      <w:r>
        <w:tab/>
        <w:t>Predlogi C 06.01 in C 06.02 se poročata, če se kapitalske zahteve izračunajo na konsolidirani podlagi. Ta predloga je sestavljena iz štirih delov z namenom zbiranja različnih informacij o vseh posameznih subjektih (vključno s poročevalsko instit</w:t>
      </w:r>
      <w:r>
        <w:t>u</w:t>
      </w:r>
      <w:r>
        <w:t>cijo), ki so vključeni v obseg konsolidacije.</w:t>
      </w:r>
    </w:p>
    <w:p w:rsidR="00C93697" w:rsidRPr="000F1CEA" w:rsidRDefault="00125707" w:rsidP="00C37B29">
      <w:pPr>
        <w:pStyle w:val="InstructionsText2"/>
        <w:numPr>
          <w:ilvl w:val="0"/>
          <w:numId w:val="0"/>
        </w:numPr>
        <w:ind w:left="993"/>
      </w:pPr>
      <w:r>
        <w:t>(a)</w:t>
      </w:r>
      <w:r>
        <w:tab/>
        <w:t>subjekti, vključeni v obseg konsolidacije;</w:t>
      </w:r>
    </w:p>
    <w:p w:rsidR="00C93697" w:rsidRPr="000F1CEA" w:rsidRDefault="00125707" w:rsidP="00C37B29">
      <w:pPr>
        <w:pStyle w:val="InstructionsText2"/>
        <w:numPr>
          <w:ilvl w:val="0"/>
          <w:numId w:val="0"/>
        </w:numPr>
        <w:ind w:left="993"/>
      </w:pPr>
      <w:r>
        <w:t>(b)</w:t>
      </w:r>
      <w:r>
        <w:tab/>
        <w:t>podrobne informacije o kapitalski ustreznosti skupine;</w:t>
      </w:r>
    </w:p>
    <w:p w:rsidR="00C93697" w:rsidRPr="000F1CEA" w:rsidRDefault="00125707" w:rsidP="00C37B29">
      <w:pPr>
        <w:pStyle w:val="InstructionsText2"/>
        <w:numPr>
          <w:ilvl w:val="0"/>
          <w:numId w:val="0"/>
        </w:numPr>
        <w:ind w:left="993"/>
      </w:pPr>
      <w:r>
        <w:t>(c)</w:t>
      </w:r>
      <w:r>
        <w:tab/>
        <w:t>informacije o prispevku subjektov h kapitalski ustreznosti skupine;</w:t>
      </w:r>
    </w:p>
    <w:p w:rsidR="00C93697" w:rsidRPr="000F1CEA" w:rsidRDefault="00125707" w:rsidP="00C37B29">
      <w:pPr>
        <w:pStyle w:val="InstructionsText2"/>
        <w:numPr>
          <w:ilvl w:val="0"/>
          <w:numId w:val="0"/>
        </w:numPr>
        <w:ind w:left="993"/>
      </w:pPr>
      <w:r>
        <w:t>(d)</w:t>
      </w:r>
      <w:r>
        <w:tab/>
        <w:t>informacije o kapitalskih blažilnikih.</w:t>
      </w:r>
    </w:p>
    <w:p w:rsidR="00464F34" w:rsidRPr="00392FFD" w:rsidRDefault="00125707" w:rsidP="00C37B29">
      <w:pPr>
        <w:pStyle w:val="InstructionsText2"/>
        <w:numPr>
          <w:ilvl w:val="0"/>
          <w:numId w:val="0"/>
        </w:numPr>
        <w:ind w:left="993"/>
        <w:rPr>
          <w:rStyle w:val="InstructionsTabelleText"/>
          <w:rFonts w:ascii="Times New Roman" w:hAnsi="Times New Roman"/>
          <w:sz w:val="24"/>
        </w:rPr>
      </w:pPr>
      <w:r>
        <w:rPr>
          <w:rStyle w:val="InstructionsTabelleText"/>
          <w:rFonts w:ascii="Times New Roman" w:hAnsi="Times New Roman"/>
          <w:sz w:val="24"/>
        </w:rPr>
        <w:t>27.</w:t>
      </w:r>
      <w:r>
        <w:tab/>
        <w:t>Institucije</w:t>
      </w:r>
      <w:r>
        <w:rPr>
          <w:rStyle w:val="InstructionsTabelleText"/>
          <w:rFonts w:ascii="Times New Roman" w:hAnsi="Times New Roman"/>
          <w:sz w:val="24"/>
        </w:rPr>
        <w:t>, ki so izvzete v skladu s členom 7 CRR, izpolnijo le stolpce</w:t>
      </w:r>
      <w:r>
        <w:t xml:space="preserve"> 010</w:t>
      </w:r>
      <w:r>
        <w:rPr>
          <w:rStyle w:val="InstructionsTabelleText"/>
          <w:rFonts w:ascii="Times New Roman" w:hAnsi="Times New Roman"/>
          <w:sz w:val="24"/>
        </w:rPr>
        <w:t xml:space="preserve"> do 060 in 250 do 400.</w:t>
      </w:r>
    </w:p>
    <w:p w:rsidR="004C0508" w:rsidRPr="00392FFD" w:rsidRDefault="00125707" w:rsidP="00C37B29">
      <w:pPr>
        <w:pStyle w:val="InstructionsText2"/>
        <w:numPr>
          <w:ilvl w:val="0"/>
          <w:numId w:val="0"/>
        </w:numPr>
        <w:ind w:left="993"/>
      </w:pPr>
      <w:r>
        <w:t>28.</w:t>
      </w:r>
      <w:r>
        <w:tab/>
        <w:t>Pri številkah, ki se poročajo, se upoštevajo vse prehodne določbe iz CRR, ki veljajo na zadevni dan poročanja.</w:t>
      </w:r>
    </w:p>
    <w:p w:rsidR="00C93697" w:rsidRPr="00392FFD" w:rsidRDefault="00125707" w:rsidP="0023700C">
      <w:pPr>
        <w:pStyle w:val="Instructionsberschrift2"/>
        <w:numPr>
          <w:ilvl w:val="0"/>
          <w:numId w:val="0"/>
        </w:numPr>
        <w:ind w:left="357" w:hanging="357"/>
        <w:rPr>
          <w:rFonts w:ascii="Times New Roman" w:hAnsi="Times New Roman" w:cs="Times New Roman"/>
          <w:sz w:val="24"/>
        </w:rPr>
      </w:pPr>
      <w:bookmarkStart w:id="130" w:name="_Toc360188341"/>
      <w:bookmarkStart w:id="131" w:name="_Toc516210624"/>
      <w:bookmarkStart w:id="132" w:name="_Toc473560889"/>
      <w:bookmarkStart w:id="133" w:name="_Toc523474373"/>
      <w:r>
        <w:rPr>
          <w:rFonts w:ascii="Times New Roman" w:hAnsi="Times New Roman"/>
          <w:sz w:val="24"/>
          <w:u w:val="none"/>
        </w:rPr>
        <w:t>2.2.</w:t>
      </w:r>
      <w:r w:rsidR="003F40E8" w:rsidRPr="003F40E8">
        <w:rPr>
          <w:u w:val="none"/>
        </w:rPr>
        <w:tab/>
      </w:r>
      <w:r>
        <w:rPr>
          <w:rFonts w:ascii="Times New Roman" w:hAnsi="Times New Roman"/>
          <w:sz w:val="24"/>
        </w:rPr>
        <w:t>Podrobne informacije o kapitalski ustreznosti skupine;</w:t>
      </w:r>
      <w:bookmarkEnd w:id="130"/>
      <w:bookmarkEnd w:id="131"/>
      <w:bookmarkEnd w:id="132"/>
      <w:bookmarkEnd w:id="133"/>
    </w:p>
    <w:p w:rsidR="00464F34" w:rsidRPr="00392FFD" w:rsidRDefault="00125707" w:rsidP="00C37B29">
      <w:pPr>
        <w:pStyle w:val="InstructionsText2"/>
        <w:numPr>
          <w:ilvl w:val="0"/>
          <w:numId w:val="0"/>
        </w:numPr>
        <w:ind w:left="993"/>
      </w:pPr>
      <w:r>
        <w:t>29.</w:t>
      </w:r>
      <w:r>
        <w:tab/>
        <w:t>Drugi del te predloge (podrobne informacije o kapitalski ustreznosti skupine), ki zajema stolpce 070 do 210, je namenjen zbiranju informacij o kreditnih in drugih reguliranih finančnih institucijah, za katere dejansko veljajo posebne kapitalske zahteve na posamični podlagi. Za vse navedene subjekte, zajete v obsegu poroča</w:t>
      </w:r>
      <w:r>
        <w:t>n</w:t>
      </w:r>
      <w:r>
        <w:t>ja, podaja kapitalske zahteve za posamezne vrste tveganja in kapital za namen kap</w:t>
      </w:r>
      <w:r>
        <w:t>i</w:t>
      </w:r>
      <w:r>
        <w:t xml:space="preserve">talske ustreznosti. </w:t>
      </w:r>
    </w:p>
    <w:p w:rsidR="00464F34" w:rsidRPr="00392FFD" w:rsidRDefault="00125707" w:rsidP="00C37B29">
      <w:pPr>
        <w:pStyle w:val="InstructionsText2"/>
        <w:numPr>
          <w:ilvl w:val="0"/>
          <w:numId w:val="0"/>
        </w:numPr>
        <w:ind w:left="993"/>
      </w:pPr>
      <w:r>
        <w:t>30.</w:t>
      </w:r>
      <w:r>
        <w:tab/>
        <w:t>Kadar gre za sorazmerno konsolidacijo udeležb, vrednosti, povezane s kapita</w:t>
      </w:r>
      <w:r>
        <w:t>l</w:t>
      </w:r>
      <w:r>
        <w:t>skimi zahtevami in kapitalom, odražajo ustrezne sorazmerne zneske.</w:t>
      </w:r>
    </w:p>
    <w:p w:rsidR="00C93697" w:rsidRPr="00392FFD" w:rsidRDefault="00125707" w:rsidP="0023700C">
      <w:pPr>
        <w:pStyle w:val="Instructionsberschrift2"/>
        <w:numPr>
          <w:ilvl w:val="0"/>
          <w:numId w:val="0"/>
        </w:numPr>
        <w:ind w:left="357" w:hanging="357"/>
        <w:rPr>
          <w:rFonts w:ascii="Times New Roman" w:hAnsi="Times New Roman" w:cs="Times New Roman"/>
          <w:sz w:val="24"/>
        </w:rPr>
      </w:pPr>
      <w:bookmarkStart w:id="134" w:name="_Toc360188342"/>
      <w:bookmarkStart w:id="135" w:name="_Toc516210625"/>
      <w:bookmarkStart w:id="136" w:name="_Toc473560890"/>
      <w:bookmarkStart w:id="137" w:name="_Toc523474374"/>
      <w:r>
        <w:rPr>
          <w:rFonts w:ascii="Times New Roman" w:hAnsi="Times New Roman"/>
          <w:sz w:val="24"/>
          <w:u w:val="none"/>
        </w:rPr>
        <w:t>2.3.</w:t>
      </w:r>
      <w:r w:rsidR="003F40E8" w:rsidRPr="003F40E8">
        <w:rPr>
          <w:u w:val="none"/>
        </w:rPr>
        <w:tab/>
      </w:r>
      <w:r>
        <w:rPr>
          <w:rFonts w:ascii="Times New Roman" w:hAnsi="Times New Roman"/>
          <w:sz w:val="24"/>
        </w:rPr>
        <w:t>Informacije o prispevkih posameznih subjektov h kapitalski ustreznosti skupine</w:t>
      </w:r>
      <w:bookmarkEnd w:id="134"/>
      <w:bookmarkEnd w:id="135"/>
      <w:bookmarkEnd w:id="136"/>
      <w:bookmarkEnd w:id="137"/>
    </w:p>
    <w:p w:rsidR="00464F34" w:rsidRPr="00392FFD" w:rsidRDefault="00125707" w:rsidP="00C37B29">
      <w:pPr>
        <w:pStyle w:val="InstructionsText2"/>
        <w:numPr>
          <w:ilvl w:val="0"/>
          <w:numId w:val="0"/>
        </w:numPr>
        <w:ind w:left="993"/>
      </w:pPr>
      <w:r>
        <w:t>31.</w:t>
      </w:r>
      <w:r>
        <w:tab/>
        <w:t>Namen tretjega dela te predloge (informacije o prispevkih vseh subjektov v okviru obsega konsolidacije kapitalske ustreznosti skupine, kot ga določa CRR, vključno s subjekti, za katere ne veljajo posebne kapitalske zahteve na posamični podlagi), v stolpcih 250 do 400 je ugotoviti, kateri subjekti v skupini ustvarjajo tv</w:t>
      </w:r>
      <w:r>
        <w:t>e</w:t>
      </w:r>
      <w:r>
        <w:t>ganja in pridobivajo kapital na trgu, na podlagi podatkov, ki so že na voljo ali jih je mogoče enostavno ponovno obdelati brez potrebe po ponovnem izračunu kapita</w:t>
      </w:r>
      <w:r>
        <w:t>l</w:t>
      </w:r>
      <w:r>
        <w:lastRenderedPageBreak/>
        <w:t xml:space="preserve">skega količnika na posamični ali </w:t>
      </w:r>
      <w:proofErr w:type="spellStart"/>
      <w:r>
        <w:t>subkonsolidirani</w:t>
      </w:r>
      <w:proofErr w:type="spellEnd"/>
      <w:r>
        <w:t xml:space="preserve"> podlagi. Na ravni subjekta so tveganje in kapitalske vrednosti prispevki k vrednostim skupine in ne sestavine količnika kapitalske ustreznosti na posamični podlagi ter se kot take ne smejo pr</w:t>
      </w:r>
      <w:r>
        <w:t>i</w:t>
      </w:r>
      <w:r>
        <w:t xml:space="preserve">merjati med sabo. </w:t>
      </w:r>
    </w:p>
    <w:p w:rsidR="00464F34" w:rsidRPr="00392FFD" w:rsidRDefault="00125707" w:rsidP="00C37B29">
      <w:pPr>
        <w:pStyle w:val="InstructionsText2"/>
        <w:numPr>
          <w:ilvl w:val="0"/>
          <w:numId w:val="0"/>
        </w:numPr>
        <w:ind w:left="993"/>
      </w:pPr>
      <w:r>
        <w:t>32.</w:t>
      </w:r>
      <w:r>
        <w:tab/>
        <w:t>Tretji del vključuje tudi zneske manjšinskih deležev, kvalificirani dodatni temeljni kapital in kvalificirani dodatni kapital, sprejemljiv v konsolidiranem kap</w:t>
      </w:r>
      <w:r>
        <w:t>i</w:t>
      </w:r>
      <w:r>
        <w:t>talu.</w:t>
      </w:r>
    </w:p>
    <w:p w:rsidR="00464F34" w:rsidRPr="00392FFD" w:rsidRDefault="00125707" w:rsidP="00C37B29">
      <w:pPr>
        <w:pStyle w:val="InstructionsText2"/>
        <w:numPr>
          <w:ilvl w:val="0"/>
          <w:numId w:val="0"/>
        </w:numPr>
        <w:ind w:left="993"/>
      </w:pPr>
      <w:r>
        <w:t>33.</w:t>
      </w:r>
      <w:r>
        <w:tab/>
        <w:t>Ker se tretji del predloge nanaša na „prispevke“, se vrednosti, ki jih je treba poročati na tem mestu, po potrebi razlikujejo od vrednosti, poročanih v stolpcih, ki se nanašajo na podrobne informacije o kapitalski vrednosti skupine.</w:t>
      </w:r>
    </w:p>
    <w:p w:rsidR="00464F34" w:rsidRPr="00392FFD" w:rsidRDefault="00125707" w:rsidP="00C37B29">
      <w:pPr>
        <w:pStyle w:val="InstructionsText2"/>
        <w:numPr>
          <w:ilvl w:val="0"/>
          <w:numId w:val="0"/>
        </w:numPr>
        <w:ind w:left="993"/>
      </w:pPr>
      <w:r>
        <w:t>34.</w:t>
      </w:r>
      <w:r>
        <w:tab/>
        <w:t>V osnovi se odpravijo medsebojne izpostavljenosti znotraj istih skupin na enak način tako v smislu tveganj kot kapitala, da se krijejo zneski, ki so bili v konsolid</w:t>
      </w:r>
      <w:r>
        <w:t>i</w:t>
      </w:r>
      <w:r>
        <w:t>rani predlogi CA skupine poročani z dodajanjem zneskov, poročanih za posamezni subjekt v predlogi „Kapitalska ustreznost skupine“. Kadar prag 1 % ni presežen, neposredna povezava s predlogo CA ni mogoča.</w:t>
      </w:r>
    </w:p>
    <w:p w:rsidR="00464F34" w:rsidRPr="00392FFD" w:rsidRDefault="00125707" w:rsidP="00C37B29">
      <w:pPr>
        <w:pStyle w:val="InstructionsText2"/>
        <w:numPr>
          <w:ilvl w:val="0"/>
          <w:numId w:val="0"/>
        </w:numPr>
        <w:ind w:left="993"/>
      </w:pPr>
      <w:r>
        <w:t>35.</w:t>
      </w:r>
      <w:r>
        <w:tab/>
        <w:t>Institucije določijo najprimernejšo metodo razdelitve med subjekte, pri kateri se upoštevajo možni učinki razpršitve za tržno tveganje in operativno tveganje.</w:t>
      </w:r>
    </w:p>
    <w:p w:rsidR="00464F34" w:rsidRPr="00392FFD" w:rsidRDefault="00125707" w:rsidP="00C37B29">
      <w:pPr>
        <w:pStyle w:val="InstructionsText2"/>
        <w:numPr>
          <w:ilvl w:val="0"/>
          <w:numId w:val="0"/>
        </w:numPr>
        <w:ind w:left="993"/>
      </w:pPr>
      <w:r>
        <w:t>36.</w:t>
      </w:r>
      <w:r>
        <w:tab/>
        <w:t>Obstaja možnost, da je ena konsolidirana skupina vključena v drugo konsolid</w:t>
      </w:r>
      <w:r>
        <w:t>i</w:t>
      </w:r>
      <w:r>
        <w:t xml:space="preserve">rano skupino. To pomeni, da se subjekti iz podskupine poročajo v predlogi GS za celotno skupino, in sicer vsak subjekt iz podskupine posebej, tudi če se za samo podskupino uporabljajo zahteve po poročanju. Če se za podskupino uporabljajo zahteve po poročanju, ta prav tako poroča predlogo GS za vsak subjekt posebej, čeprav so te podrobnosti vključene v predlogo GS višje konsolidirane skupine. </w:t>
      </w:r>
    </w:p>
    <w:p w:rsidR="00464F34" w:rsidRPr="00392FFD" w:rsidRDefault="00125707" w:rsidP="00C37B29">
      <w:pPr>
        <w:pStyle w:val="InstructionsText2"/>
        <w:numPr>
          <w:ilvl w:val="0"/>
          <w:numId w:val="0"/>
        </w:numPr>
        <w:ind w:left="993"/>
      </w:pPr>
      <w:r>
        <w:t>37.</w:t>
      </w:r>
      <w:r>
        <w:tab/>
        <w:t>Institucija poroča podatke o prispevku subjekta, ko njegov prispevek k znesku skupne izpostavljenosti tveganju preseže 1 % zneska skupne izpostavljenosti tveg</w:t>
      </w:r>
      <w:r>
        <w:t>a</w:t>
      </w:r>
      <w:r>
        <w:t>nju skupine ali ko njegov prispevek h kapitalu preseže 1 % kapitala skupine. Ta prag ne velja za podrejene družbe ali podskupine, ki skupini zagotavljajo kapital (v obliki manjšinskih deležev ali instrumentov kvalificiranega dodatnega temeljnega kapitala ali dodatnega kapitala, vključenega v kapital).</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38" w:name="_Toc516210626"/>
      <w:bookmarkStart w:id="139" w:name="_Toc473560891"/>
      <w:bookmarkStart w:id="140" w:name="_Toc523474375"/>
      <w:r>
        <w:rPr>
          <w:rFonts w:ascii="Times New Roman" w:hAnsi="Times New Roman"/>
          <w:sz w:val="24"/>
          <w:u w:val="none"/>
        </w:rPr>
        <w:t>2.4.</w:t>
      </w:r>
      <w:r w:rsidR="003F40E8" w:rsidRPr="003F40E8">
        <w:rPr>
          <w:u w:val="none"/>
        </w:rPr>
        <w:tab/>
      </w:r>
      <w:r>
        <w:rPr>
          <w:rFonts w:ascii="Times New Roman" w:hAnsi="Times New Roman"/>
          <w:sz w:val="24"/>
        </w:rPr>
        <w:t>C 06.01 – KAPITALSKA USTREZNOST SKUPINE: INFORMACIJE O POVEZ</w:t>
      </w:r>
      <w:r>
        <w:rPr>
          <w:rFonts w:ascii="Times New Roman" w:hAnsi="Times New Roman"/>
          <w:sz w:val="24"/>
        </w:rPr>
        <w:t>A</w:t>
      </w:r>
      <w:r>
        <w:rPr>
          <w:rFonts w:ascii="Times New Roman" w:hAnsi="Times New Roman"/>
          <w:sz w:val="24"/>
        </w:rPr>
        <w:t xml:space="preserve">NIH SUBJEKTIH – Skupaj (GS </w:t>
      </w:r>
      <w:proofErr w:type="spellStart"/>
      <w:r>
        <w:rPr>
          <w:rFonts w:ascii="Times New Roman" w:hAnsi="Times New Roman"/>
          <w:sz w:val="24"/>
        </w:rPr>
        <w:t>Total</w:t>
      </w:r>
      <w:proofErr w:type="spellEnd"/>
      <w:r>
        <w:rPr>
          <w:rFonts w:ascii="Times New Roman" w:hAnsi="Times New Roman"/>
          <w:sz w:val="24"/>
        </w:rPr>
        <w:t>)</w:t>
      </w:r>
      <w:bookmarkEnd w:id="138"/>
      <w:bookmarkEnd w:id="139"/>
      <w:bookmarkEnd w:id="14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rsidTr="00672D2A">
        <w:tc>
          <w:tcPr>
            <w:tcW w:w="1188"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Stolpci</w:t>
            </w:r>
          </w:p>
        </w:tc>
        <w:tc>
          <w:tcPr>
            <w:tcW w:w="8640"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Navodila</w:t>
            </w:r>
          </w:p>
        </w:tc>
      </w:tr>
      <w:tr w:rsidR="00D85AC7" w:rsidRPr="00392FFD" w:rsidTr="00672D2A">
        <w:tc>
          <w:tcPr>
            <w:tcW w:w="1188" w:type="dxa"/>
          </w:tcPr>
          <w:p w:rsidR="00D85AC7" w:rsidRPr="00392FFD" w:rsidRDefault="00D85AC7" w:rsidP="00F535E7">
            <w:pPr>
              <w:rPr>
                <w:rStyle w:val="InstructionsTabelleText"/>
                <w:rFonts w:ascii="Times New Roman" w:hAnsi="Times New Roman"/>
                <w:sz w:val="24"/>
              </w:rPr>
            </w:pPr>
            <w:r>
              <w:rPr>
                <w:rStyle w:val="InstructionsTabelleText"/>
                <w:rFonts w:ascii="Times New Roman" w:hAnsi="Times New Roman"/>
                <w:sz w:val="24"/>
              </w:rPr>
              <w:t>250–400</w:t>
            </w:r>
          </w:p>
        </w:tc>
        <w:tc>
          <w:tcPr>
            <w:tcW w:w="8640" w:type="dxa"/>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SUBJEKTI, VKLJUČENI V OBSEG KONSOLIDACIJE</w:t>
            </w:r>
          </w:p>
          <w:p w:rsidR="00D85AC7" w:rsidRPr="00392FFD"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Glej navodila za predlogo C 06.02.</w:t>
            </w:r>
          </w:p>
        </w:tc>
      </w:tr>
      <w:tr w:rsidR="00D85AC7" w:rsidRPr="00392FFD" w:rsidTr="00672D2A">
        <w:tc>
          <w:tcPr>
            <w:tcW w:w="1188" w:type="dxa"/>
            <w:tcBorders>
              <w:top w:val="single" w:sz="4" w:space="0" w:color="auto"/>
              <w:left w:val="single" w:sz="4" w:space="0" w:color="auto"/>
              <w:bottom w:val="single" w:sz="4" w:space="0" w:color="auto"/>
              <w:right w:val="single" w:sz="4" w:space="0" w:color="auto"/>
            </w:tcBorders>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410–480</w:t>
            </w:r>
          </w:p>
        </w:tc>
        <w:tc>
          <w:tcPr>
            <w:tcW w:w="8640" w:type="dxa"/>
            <w:tcBorders>
              <w:top w:val="single" w:sz="4" w:space="0" w:color="auto"/>
              <w:left w:val="single" w:sz="4" w:space="0" w:color="auto"/>
              <w:bottom w:val="single" w:sz="4" w:space="0" w:color="auto"/>
              <w:right w:val="single" w:sz="4" w:space="0" w:color="auto"/>
            </w:tcBorders>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KAPITALSKI BLAŽILNIKI</w:t>
            </w:r>
          </w:p>
          <w:p w:rsidR="00D85AC7" w:rsidRPr="00392FFD" w:rsidRDefault="00D85AC7" w:rsidP="00FF36A5">
            <w:pPr>
              <w:rPr>
                <w:rStyle w:val="InstructionsTabelleberschrift"/>
                <w:rFonts w:ascii="Times New Roman" w:hAnsi="Times New Roman"/>
                <w:sz w:val="24"/>
              </w:rPr>
            </w:pPr>
            <w:r>
              <w:rPr>
                <w:rStyle w:val="InstructionsTabelleText"/>
                <w:rFonts w:ascii="Times New Roman" w:hAnsi="Times New Roman"/>
                <w:sz w:val="24"/>
              </w:rPr>
              <w:t>Glej navodila za predlogo C 06.02.</w:t>
            </w:r>
          </w:p>
        </w:tc>
      </w:tr>
    </w:tbl>
    <w:p w:rsidR="00D85AC7" w:rsidRPr="00392FFD" w:rsidRDefault="00D85AC7"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rsidTr="00672D2A">
        <w:tc>
          <w:tcPr>
            <w:tcW w:w="1188"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Vrstice</w:t>
            </w:r>
          </w:p>
        </w:tc>
        <w:tc>
          <w:tcPr>
            <w:tcW w:w="8640"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Navodila</w:t>
            </w:r>
          </w:p>
        </w:tc>
      </w:tr>
      <w:tr w:rsidR="00D85AC7" w:rsidRPr="00392FFD" w:rsidTr="00672D2A">
        <w:tc>
          <w:tcPr>
            <w:tcW w:w="1188" w:type="dxa"/>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lastRenderedPageBreak/>
              <w:t>010</w:t>
            </w:r>
          </w:p>
        </w:tc>
        <w:tc>
          <w:tcPr>
            <w:tcW w:w="8640" w:type="dxa"/>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SKUPAJ</w:t>
            </w:r>
          </w:p>
          <w:p w:rsidR="00D85AC7" w:rsidRPr="00392FFD"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Postavka „Skupaj“ predstavlja vsoto vrednosti, poročanih v vseh vrsticah predloge C 06.02.</w:t>
            </w:r>
          </w:p>
        </w:tc>
      </w:tr>
    </w:tbl>
    <w:p w:rsidR="00D85AC7" w:rsidRPr="00392FFD" w:rsidRDefault="00D85AC7" w:rsidP="00FD239F">
      <w:pPr>
        <w:pStyle w:val="InstructionsText"/>
      </w:pPr>
    </w:p>
    <w:p w:rsidR="00D85AC7" w:rsidRPr="00392FFD" w:rsidRDefault="00125707" w:rsidP="0023700C">
      <w:pPr>
        <w:pStyle w:val="Instructionsberschrift2"/>
        <w:numPr>
          <w:ilvl w:val="0"/>
          <w:numId w:val="0"/>
        </w:numPr>
        <w:ind w:left="357" w:hanging="357"/>
        <w:rPr>
          <w:rFonts w:ascii="Times New Roman" w:hAnsi="Times New Roman" w:cs="Times New Roman"/>
          <w:sz w:val="24"/>
        </w:rPr>
      </w:pPr>
      <w:bookmarkStart w:id="141" w:name="_Toc516210627"/>
      <w:bookmarkStart w:id="142" w:name="_Toc473560892"/>
      <w:bookmarkStart w:id="143" w:name="_Toc523474376"/>
      <w:r>
        <w:rPr>
          <w:rFonts w:ascii="Times New Roman" w:hAnsi="Times New Roman"/>
          <w:sz w:val="24"/>
          <w:u w:val="none"/>
        </w:rPr>
        <w:t>2.5.</w:t>
      </w:r>
      <w:r w:rsidR="003F40E8" w:rsidRPr="003F40E8">
        <w:rPr>
          <w:u w:val="none"/>
        </w:rPr>
        <w:tab/>
      </w:r>
      <w:r>
        <w:rPr>
          <w:rFonts w:ascii="Times New Roman" w:hAnsi="Times New Roman"/>
          <w:sz w:val="24"/>
        </w:rPr>
        <w:t>C 06.02 – KAPITALSKA USTREZNOST SKUPINE: INFORMACIJE O POVEZ</w:t>
      </w:r>
      <w:r>
        <w:rPr>
          <w:rFonts w:ascii="Times New Roman" w:hAnsi="Times New Roman"/>
          <w:sz w:val="24"/>
        </w:rPr>
        <w:t>A</w:t>
      </w:r>
      <w:r>
        <w:rPr>
          <w:rFonts w:ascii="Times New Roman" w:hAnsi="Times New Roman"/>
          <w:sz w:val="24"/>
        </w:rPr>
        <w:t>NIH SUBJEKTIH (GS)</w:t>
      </w:r>
      <w:bookmarkEnd w:id="141"/>
      <w:bookmarkEnd w:id="142"/>
      <w:bookmarkEnd w:id="14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rsidTr="00672D2A">
        <w:tc>
          <w:tcPr>
            <w:tcW w:w="1188" w:type="dxa"/>
            <w:shd w:val="clear" w:color="auto" w:fill="CCCCCC"/>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Stolpci</w:t>
            </w:r>
          </w:p>
        </w:tc>
        <w:tc>
          <w:tcPr>
            <w:tcW w:w="8640" w:type="dxa"/>
            <w:shd w:val="clear" w:color="auto" w:fill="CCCCCC"/>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Navodila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010–060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SUBJEKTI, VKLJUČENI V OBSEG KONSOLIDACIJE</w:t>
            </w:r>
          </w:p>
          <w:p w:rsidR="00464F34" w:rsidRPr="00392FFD" w:rsidRDefault="00464F34" w:rsidP="003C1BB1">
            <w:pPr>
              <w:rPr>
                <w:rStyle w:val="InstructionsTabelleberschrift"/>
                <w:rFonts w:ascii="Times New Roman" w:hAnsi="Times New Roman"/>
                <w:b w:val="0"/>
                <w:bCs w:val="0"/>
                <w:sz w:val="24"/>
              </w:rPr>
            </w:pPr>
            <w:r>
              <w:rPr>
                <w:rStyle w:val="InstructionsTabelleText"/>
                <w:rFonts w:ascii="Times New Roman" w:hAnsi="Times New Roman"/>
                <w:sz w:val="24"/>
              </w:rPr>
              <w:t>Predloga je namenjena zbiranju informacij o vseh subjektih, vključenih v obseg kons</w:t>
            </w:r>
            <w:r>
              <w:rPr>
                <w:rStyle w:val="InstructionsTabelleText"/>
                <w:rFonts w:ascii="Times New Roman" w:hAnsi="Times New Roman"/>
                <w:sz w:val="24"/>
              </w:rPr>
              <w:t>o</w:t>
            </w:r>
            <w:r>
              <w:rPr>
                <w:rStyle w:val="InstructionsTabelleText"/>
                <w:rFonts w:ascii="Times New Roman" w:hAnsi="Times New Roman"/>
                <w:sz w:val="24"/>
              </w:rPr>
              <w:t>lidacije, za vsak subjekt posebej, v</w:t>
            </w:r>
            <w:r>
              <w:rPr>
                <w:rFonts w:ascii="Times New Roman" w:hAnsi="Times New Roman"/>
                <w:sz w:val="24"/>
              </w:rPr>
              <w:t xml:space="preserve"> skladu s poglavjem 2 naslova II dela 1 </w:t>
            </w:r>
            <w:r>
              <w:rPr>
                <w:rStyle w:val="InstructionsTabelleText"/>
                <w:rFonts w:ascii="Times New Roman" w:hAnsi="Times New Roman"/>
                <w:sz w:val="24"/>
              </w:rPr>
              <w:t xml:space="preserve">CRR.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IME</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Ime subjekta, vključenega v obseg konsolidacije.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KODA</w:t>
            </w:r>
          </w:p>
          <w:p w:rsidR="009A47E2" w:rsidRPr="00392FFD" w:rsidRDefault="009A47E2" w:rsidP="00464F34">
            <w:pPr>
              <w:rPr>
                <w:rStyle w:val="InstructionsTabelleText"/>
                <w:rFonts w:ascii="Times New Roman" w:hAnsi="Times New Roman"/>
                <w:sz w:val="24"/>
              </w:rPr>
            </w:pPr>
            <w:r>
              <w:rPr>
                <w:rStyle w:val="InstructionsTabelleText"/>
                <w:rFonts w:ascii="Times New Roman" w:hAnsi="Times New Roman"/>
                <w:sz w:val="24"/>
              </w:rPr>
              <w:t>Ta koda je identifikator vrstice in je enoznačna za vsako vrstico v tabeli.</w:t>
            </w:r>
          </w:p>
          <w:p w:rsidR="002E136A"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Koda, ki se dodeljena subjektu, vključenemu v obseg konsolidacije.</w:t>
            </w:r>
          </w:p>
          <w:p w:rsidR="00464F34" w:rsidRPr="00392FFD" w:rsidRDefault="00464F34" w:rsidP="00FD239F">
            <w:pPr>
              <w:pStyle w:val="InstructionsText"/>
              <w:rPr>
                <w:rStyle w:val="InstructionsTabelleText"/>
                <w:rFonts w:ascii="Times New Roman" w:hAnsi="Times New Roman"/>
                <w:sz w:val="24"/>
              </w:rPr>
            </w:pPr>
            <w:r>
              <w:rPr>
                <w:rStyle w:val="FormatvorlageInstructionsTabelleText"/>
                <w:rFonts w:ascii="Times New Roman" w:hAnsi="Times New Roman"/>
                <w:sz w:val="24"/>
              </w:rPr>
              <w:t xml:space="preserve">Dejanska sestava kode je odvisna od nacionalnega sistema poročanja.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025</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KODA LEI</w:t>
            </w:r>
          </w:p>
          <w:p w:rsidR="00C504D3" w:rsidRPr="00392FFD" w:rsidRDefault="00C504D3" w:rsidP="00C504D3">
            <w:pPr>
              <w:rPr>
                <w:rStyle w:val="InstructionsTabelleText"/>
                <w:rFonts w:ascii="Times New Roman" w:hAnsi="Times New Roman"/>
                <w:sz w:val="24"/>
              </w:rPr>
            </w:pPr>
            <w:r>
              <w:rPr>
                <w:rStyle w:val="InstructionsTabelleText"/>
                <w:rFonts w:ascii="Times New Roman" w:hAnsi="Times New Roman"/>
                <w:sz w:val="24"/>
              </w:rPr>
              <w:t>Koda LEI pomeni kodo identifikatorja pravnih subjektov in je referenčna oznaka, ki jo je predlagal Odbor za finančno stabilnost (FSB) in potrdila skupina G20, njen namen pa je zagotoviti enoten globalni identifikator za stranke v finančnih transakcijah.</w:t>
            </w:r>
          </w:p>
          <w:p w:rsidR="00A10C90" w:rsidRPr="00392FFD" w:rsidRDefault="00C504D3" w:rsidP="009A47E2">
            <w:pPr>
              <w:rPr>
                <w:rStyle w:val="InstructionsTabelleText"/>
                <w:rFonts w:ascii="Times New Roman" w:hAnsi="Times New Roman"/>
                <w:sz w:val="24"/>
              </w:rPr>
            </w:pPr>
            <w:r>
              <w:rPr>
                <w:rStyle w:val="InstructionsTabelleText"/>
                <w:rFonts w:ascii="Times New Roman" w:hAnsi="Times New Roman"/>
                <w:sz w:val="24"/>
              </w:rPr>
              <w:t xml:space="preserve">Dokler globalni sistem kod LEI ne bo popolnoma </w:t>
            </w:r>
            <w:proofErr w:type="spellStart"/>
            <w:r>
              <w:rPr>
                <w:rStyle w:val="InstructionsTabelleText"/>
                <w:rFonts w:ascii="Times New Roman" w:hAnsi="Times New Roman"/>
                <w:sz w:val="24"/>
              </w:rPr>
              <w:t>operacionalen</w:t>
            </w:r>
            <w:proofErr w:type="spellEnd"/>
            <w:r>
              <w:rPr>
                <w:rStyle w:val="InstructionsTabelleText"/>
                <w:rFonts w:ascii="Times New Roman" w:hAnsi="Times New Roman"/>
                <w:sz w:val="24"/>
              </w:rPr>
              <w:t>, predhodne kode LEI nasprotnim strankam dodeljuje lokalna operativna enota, ki jo je potrdil Odbor za reg</w:t>
            </w:r>
            <w:r>
              <w:rPr>
                <w:rStyle w:val="InstructionsTabelleText"/>
                <w:rFonts w:ascii="Times New Roman" w:hAnsi="Times New Roman"/>
                <w:sz w:val="24"/>
              </w:rPr>
              <w:t>u</w:t>
            </w:r>
            <w:r>
              <w:rPr>
                <w:rStyle w:val="InstructionsTabelleText"/>
                <w:rFonts w:ascii="Times New Roman" w:hAnsi="Times New Roman"/>
                <w:sz w:val="24"/>
              </w:rPr>
              <w:t>lativni nadzor (</w:t>
            </w:r>
            <w:proofErr w:type="spellStart"/>
            <w:r>
              <w:rPr>
                <w:rStyle w:val="InstructionsTabelleText"/>
                <w:rFonts w:ascii="Times New Roman" w:hAnsi="Times New Roman"/>
                <w:sz w:val="24"/>
              </w:rPr>
              <w:t>Regulatory</w:t>
            </w:r>
            <w:proofErr w:type="spellEnd"/>
            <w:r>
              <w:rPr>
                <w:rStyle w:val="InstructionsTabelleText"/>
                <w:rFonts w:ascii="Times New Roman" w:hAnsi="Times New Roman"/>
                <w:sz w:val="24"/>
              </w:rPr>
              <w:t xml:space="preserve"> </w:t>
            </w:r>
            <w:proofErr w:type="spellStart"/>
            <w:r>
              <w:rPr>
                <w:rStyle w:val="InstructionsTabelleText"/>
                <w:rFonts w:ascii="Times New Roman" w:hAnsi="Times New Roman"/>
                <w:sz w:val="24"/>
              </w:rPr>
              <w:t>Oversight</w:t>
            </w:r>
            <w:proofErr w:type="spellEnd"/>
            <w:r>
              <w:rPr>
                <w:rStyle w:val="InstructionsTabelleText"/>
                <w:rFonts w:ascii="Times New Roman" w:hAnsi="Times New Roman"/>
                <w:sz w:val="24"/>
              </w:rPr>
              <w:t xml:space="preserve"> </w:t>
            </w:r>
            <w:proofErr w:type="spellStart"/>
            <w:r>
              <w:rPr>
                <w:rStyle w:val="InstructionsTabelleText"/>
                <w:rFonts w:ascii="Times New Roman" w:hAnsi="Times New Roman"/>
                <w:sz w:val="24"/>
              </w:rPr>
              <w:t>Committee</w:t>
            </w:r>
            <w:proofErr w:type="spellEnd"/>
            <w:r>
              <w:rPr>
                <w:rStyle w:val="InstructionsTabelleText"/>
                <w:rFonts w:ascii="Times New Roman" w:hAnsi="Times New Roman"/>
                <w:sz w:val="24"/>
              </w:rPr>
              <w:t xml:space="preserve"> – ROC, podrobne informacije so na voljo na spletni strani www.leiroc.org).</w:t>
            </w:r>
          </w:p>
          <w:p w:rsidR="00464F34" w:rsidRPr="00392FFD" w:rsidRDefault="009A47E2" w:rsidP="00DD2C1E">
            <w:pPr>
              <w:rPr>
                <w:rStyle w:val="InstructionsTabelleberschrift"/>
                <w:rFonts w:ascii="Times New Roman" w:hAnsi="Times New Roman"/>
                <w:sz w:val="24"/>
              </w:rPr>
            </w:pPr>
            <w:r>
              <w:rPr>
                <w:rStyle w:val="InstructionsTabelleText"/>
                <w:rFonts w:ascii="Times New Roman" w:hAnsi="Times New Roman"/>
                <w:sz w:val="24"/>
              </w:rPr>
              <w:t xml:space="preserve">Če za določeno nasprotno stranko obstaja koda identifikatorja pravnih subjektov (koda LEI), se uporablja za identifikacijo take nasprotne stranke.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INSTITUCIJA ALI ENAKOVREDEN SUBJEKT (DA/NE)</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„DA“ se navede, če za subjekt veljajo kapitalske zahteve v skladu s CRR in direktivo CRD ali določbe, ki so vsaj enakovredne določbam sporazuma Basel.</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V nasprotnem primeru se navede „NE“.</w:t>
            </w:r>
          </w:p>
          <w:p w:rsidR="00464F34" w:rsidRPr="00392FFD" w:rsidRDefault="00464F34" w:rsidP="00464F34">
            <w:pPr>
              <w:rPr>
                <w:rStyle w:val="InstructionsTabelleText"/>
                <w:rFonts w:ascii="Times New Roman" w:hAnsi="Times New Roman"/>
                <w:sz w:val="24"/>
              </w:rPr>
            </w:pPr>
          </w:p>
          <w:p w:rsidR="00464F34" w:rsidRPr="00125707" w:rsidRDefault="00125707" w:rsidP="0023700C">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Manjšinski deleži:</w:t>
            </w:r>
          </w:p>
          <w:p w:rsidR="00464F34" w:rsidRPr="00392FFD" w:rsidRDefault="00417984" w:rsidP="00464F34">
            <w:pPr>
              <w:rPr>
                <w:rStyle w:val="InstructionsTabelleText"/>
                <w:rFonts w:ascii="Times New Roman" w:hAnsi="Times New Roman"/>
                <w:sz w:val="24"/>
              </w:rPr>
            </w:pPr>
            <w:r>
              <w:rPr>
                <w:rFonts w:ascii="Times New Roman" w:hAnsi="Times New Roman"/>
                <w:sz w:val="24"/>
              </w:rPr>
              <w:t>člen 81(1)(a)(</w:t>
            </w:r>
            <w:proofErr w:type="spellStart"/>
            <w:r>
              <w:rPr>
                <w:rFonts w:ascii="Times New Roman" w:hAnsi="Times New Roman"/>
                <w:sz w:val="24"/>
              </w:rPr>
              <w:t>ii</w:t>
            </w:r>
            <w:proofErr w:type="spellEnd"/>
            <w:r>
              <w:rPr>
                <w:rFonts w:ascii="Times New Roman" w:hAnsi="Times New Roman"/>
                <w:sz w:val="24"/>
              </w:rPr>
              <w:t>) in člen 82(1)(a)(</w:t>
            </w:r>
            <w:proofErr w:type="spellStart"/>
            <w:r>
              <w:rPr>
                <w:rFonts w:ascii="Times New Roman" w:hAnsi="Times New Roman"/>
                <w:sz w:val="24"/>
              </w:rPr>
              <w:t>ii</w:t>
            </w:r>
            <w:proofErr w:type="spellEnd"/>
            <w:r>
              <w:rPr>
                <w:rFonts w:ascii="Times New Roman" w:hAnsi="Times New Roman"/>
                <w:sz w:val="24"/>
              </w:rPr>
              <w:t>) CRR.</w:t>
            </w:r>
          </w:p>
          <w:p w:rsidR="00464F34" w:rsidRPr="00392FFD" w:rsidRDefault="00464F34" w:rsidP="00464F34">
            <w:pPr>
              <w:rPr>
                <w:rStyle w:val="InstructionsTabelleText"/>
                <w:rFonts w:ascii="Times New Roman" w:hAnsi="Times New Roman"/>
                <w:sz w:val="24"/>
              </w:rPr>
            </w:pPr>
            <w:r>
              <w:rPr>
                <w:rFonts w:ascii="Times New Roman" w:hAnsi="Times New Roman"/>
                <w:sz w:val="24"/>
              </w:rPr>
              <w:t>Kar zadeva manjšinske deleže ter instrumente dodatnega temeljnega kapitala in doda</w:t>
            </w:r>
            <w:r>
              <w:rPr>
                <w:rFonts w:ascii="Times New Roman" w:hAnsi="Times New Roman"/>
                <w:sz w:val="24"/>
              </w:rPr>
              <w:t>t</w:t>
            </w:r>
            <w:r>
              <w:rPr>
                <w:rFonts w:ascii="Times New Roman" w:hAnsi="Times New Roman"/>
                <w:sz w:val="24"/>
              </w:rPr>
              <w:t>nega kapitala, ki ga izdajo podrejene družbe, so podrejene družbe, katerih instrumenti so lahko sprejemljivi, institucije ali podjetja, za katera se na podlagi veljavnega naci</w:t>
            </w:r>
            <w:r>
              <w:rPr>
                <w:rFonts w:ascii="Times New Roman" w:hAnsi="Times New Roman"/>
                <w:sz w:val="24"/>
              </w:rPr>
              <w:t>o</w:t>
            </w:r>
            <w:r>
              <w:rPr>
                <w:rFonts w:ascii="Times New Roman" w:hAnsi="Times New Roman"/>
                <w:sz w:val="24"/>
              </w:rPr>
              <w:lastRenderedPageBreak/>
              <w:t>nalnega prava uporabljajo zahteve CRR.</w:t>
            </w:r>
          </w:p>
        </w:tc>
      </w:tr>
      <w:tr w:rsidR="00B47F0C" w:rsidRPr="00392FFD" w:rsidTr="00672D2A">
        <w:tc>
          <w:tcPr>
            <w:tcW w:w="1188" w:type="dxa"/>
          </w:tcPr>
          <w:p w:rsidR="00B47F0C" w:rsidRPr="00392FFD" w:rsidRDefault="00B47F0C" w:rsidP="00464F34">
            <w:pPr>
              <w:rPr>
                <w:rStyle w:val="InstructionsTabelleText"/>
                <w:rFonts w:ascii="Times New Roman" w:hAnsi="Times New Roman"/>
                <w:sz w:val="24"/>
              </w:rPr>
            </w:pPr>
            <w:r>
              <w:rPr>
                <w:rStyle w:val="InstructionsTabelleText"/>
                <w:rFonts w:ascii="Times New Roman" w:hAnsi="Times New Roman"/>
                <w:sz w:val="24"/>
              </w:rPr>
              <w:lastRenderedPageBreak/>
              <w:t>035</w:t>
            </w:r>
          </w:p>
        </w:tc>
        <w:tc>
          <w:tcPr>
            <w:tcW w:w="8640" w:type="dxa"/>
          </w:tcPr>
          <w:p w:rsidR="00B47F0C" w:rsidRDefault="00B47F0C" w:rsidP="00464F34">
            <w:pPr>
              <w:rPr>
                <w:rStyle w:val="InstructionsTabelleberschrift"/>
                <w:rFonts w:ascii="Times New Roman" w:hAnsi="Times New Roman"/>
                <w:sz w:val="24"/>
              </w:rPr>
            </w:pPr>
            <w:r>
              <w:rPr>
                <w:rStyle w:val="InstructionsTabelleberschrift"/>
                <w:rFonts w:ascii="Times New Roman" w:hAnsi="Times New Roman"/>
                <w:sz w:val="24"/>
              </w:rPr>
              <w:t>VRSTA SUBJEKTA</w:t>
            </w:r>
          </w:p>
          <w:p w:rsidR="0071377A" w:rsidRDefault="0071377A" w:rsidP="00B47F0C">
            <w:pPr>
              <w:rPr>
                <w:rStyle w:val="InstructionsTabelleText"/>
                <w:rFonts w:ascii="Times New Roman" w:hAnsi="Times New Roman"/>
                <w:bCs/>
                <w:sz w:val="24"/>
              </w:rPr>
            </w:pPr>
            <w:r>
              <w:rPr>
                <w:rStyle w:val="InstructionsTabelleText"/>
                <w:rFonts w:ascii="Times New Roman" w:hAnsi="Times New Roman"/>
                <w:sz w:val="24"/>
              </w:rPr>
              <w:t>Vrsta subjekta se sporoči na podlagi naslednjih kategorij:</w:t>
            </w:r>
          </w:p>
          <w:p w:rsidR="0071377A" w:rsidRPr="001C5CA8" w:rsidRDefault="0071377A" w:rsidP="009B355E">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kreditna institucija</w:t>
            </w:r>
          </w:p>
          <w:p w:rsidR="0071377A" w:rsidRPr="001C5CA8" w:rsidRDefault="0071377A" w:rsidP="009B355E">
            <w:pPr>
              <w:tabs>
                <w:tab w:val="left" w:pos="372"/>
              </w:tabs>
              <w:rPr>
                <w:rStyle w:val="InstructionsTabelleText"/>
                <w:rFonts w:ascii="Times New Roman" w:hAnsi="Times New Roman"/>
                <w:sz w:val="24"/>
              </w:rPr>
            </w:pPr>
            <w:r>
              <w:tab/>
            </w:r>
            <w:r>
              <w:rPr>
                <w:rStyle w:val="InstructionsTabelleText"/>
                <w:rFonts w:ascii="Times New Roman" w:hAnsi="Times New Roman"/>
                <w:sz w:val="24"/>
              </w:rPr>
              <w:t>člen 4(1)(1) CRR;</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investicijsko podjetje</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člen 4(1)(2) CRR;</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finančna institucija (druga)</w:t>
            </w:r>
          </w:p>
          <w:p w:rsidR="00965D27"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člen 4(1)(20), (21) in (26) CRR</w:t>
            </w:r>
          </w:p>
          <w:p w:rsidR="0071377A" w:rsidRDefault="00965D27" w:rsidP="00965D2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sz w:val="24"/>
              </w:rPr>
              <w:t>Finančne institucije v smislu člena 4(1)(26) CRR, ki niso vključene v kategorije (d), (f) ali (g);</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(mešani) finančni holding</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člen 4(1)(20) in (21) CRR;</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tab/>
            </w:r>
            <w:r>
              <w:rPr>
                <w:rStyle w:val="InstructionsTabelleText"/>
                <w:rFonts w:ascii="Times New Roman" w:hAnsi="Times New Roman"/>
                <w:sz w:val="24"/>
              </w:rPr>
              <w:t>družba za pomožne storitve</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člen 4(1)(18) CRR;</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sz w:val="24"/>
              </w:rPr>
              <w:t>subjekt s posebnim namenom pri listinjenju</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člen 4(1)(66) CRR;</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družba za krite obveznice</w:t>
            </w:r>
          </w:p>
          <w:p w:rsidR="009B526D" w:rsidRDefault="009B526D" w:rsidP="009B355E">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Subjekt, vzpostavljen za izdajanje kritih obveznic ali posedovanje zavarovanja s premoženjem, s katerim je zavarovana krita obveznica, če ni vključen v kategorije (a), (b) ali (d) do (f) zgoraj;</w:t>
            </w:r>
          </w:p>
          <w:p w:rsidR="0089010B" w:rsidRDefault="0089010B" w:rsidP="009B355E">
            <w:pPr>
              <w:tabs>
                <w:tab w:val="left" w:pos="372"/>
              </w:tabs>
              <w:rPr>
                <w:rStyle w:val="InstructionsTabelleText"/>
                <w:rFonts w:ascii="Times New Roman" w:hAnsi="Times New Roman"/>
                <w:sz w:val="24"/>
              </w:rPr>
            </w:pPr>
            <w:r>
              <w:rPr>
                <w:rStyle w:val="InstructionsTabelleText"/>
                <w:rFonts w:ascii="Times New Roman" w:hAnsi="Times New Roman"/>
                <w:sz w:val="24"/>
              </w:rPr>
              <w:t>(h)</w:t>
            </w:r>
            <w:r>
              <w:tab/>
            </w:r>
            <w:r>
              <w:rPr>
                <w:rStyle w:val="InstructionsTabelleText"/>
                <w:rFonts w:ascii="Times New Roman" w:hAnsi="Times New Roman"/>
                <w:sz w:val="24"/>
              </w:rPr>
              <w:t>druga vrsta subjekta</w:t>
            </w:r>
          </w:p>
          <w:p w:rsidR="00DA0DB4" w:rsidRDefault="00AE7CD3" w:rsidP="00AE7CD3">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Subjekt, ki ni zajet v točkah (a) do (g)</w:t>
            </w:r>
          </w:p>
          <w:p w:rsidR="00965D27" w:rsidRPr="009B355E" w:rsidRDefault="00965D27" w:rsidP="00255BA9">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Če za subjekt ne veljata CRR in CRD, temveč določbe, ki so vsaj enakovredne dolo</w:t>
            </w:r>
            <w:r>
              <w:rPr>
                <w:rStyle w:val="InstructionsTabelleberschrift"/>
                <w:rFonts w:ascii="Times New Roman" w:hAnsi="Times New Roman"/>
                <w:b w:val="0"/>
                <w:sz w:val="24"/>
                <w:u w:val="none"/>
              </w:rPr>
              <w:t>č</w:t>
            </w:r>
            <w:r>
              <w:rPr>
                <w:rStyle w:val="InstructionsTabelleberschrift"/>
                <w:rFonts w:ascii="Times New Roman" w:hAnsi="Times New Roman"/>
                <w:b w:val="0"/>
                <w:sz w:val="24"/>
                <w:u w:val="none"/>
              </w:rPr>
              <w:t>bam sporazuma Basel, se relevantna kategorija določi po najboljših prizadevanjih.</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040</w:t>
            </w:r>
          </w:p>
        </w:tc>
        <w:tc>
          <w:tcPr>
            <w:tcW w:w="8640" w:type="dxa"/>
          </w:tcPr>
          <w:p w:rsidR="00464F34" w:rsidRPr="00392FFD" w:rsidRDefault="00464F34" w:rsidP="00464F34">
            <w:pPr>
              <w:rPr>
                <w:rFonts w:ascii="Times New Roman" w:hAnsi="Times New Roman"/>
                <w:b/>
                <w:sz w:val="24"/>
                <w:u w:val="single"/>
              </w:rPr>
            </w:pPr>
            <w:r>
              <w:rPr>
                <w:rFonts w:ascii="Times New Roman" w:hAnsi="Times New Roman"/>
                <w:b/>
                <w:sz w:val="24"/>
                <w:u w:val="single"/>
              </w:rPr>
              <w:t xml:space="preserve">OBSEG PODATKOV: </w:t>
            </w:r>
            <w:r>
              <w:rPr>
                <w:rFonts w:ascii="Times New Roman" w:hAnsi="Times New Roman"/>
                <w:b/>
                <w:caps/>
                <w:sz w:val="24"/>
                <w:u w:val="single"/>
              </w:rPr>
              <w:t>posamično POLNO KONSOLIDIRANO (SF) ALI posamično DELNO KONSOLIDIRANO (SP)</w:t>
            </w:r>
          </w:p>
          <w:p w:rsidR="00464F34" w:rsidRPr="00392FFD" w:rsidRDefault="00464F34" w:rsidP="009E5DCC">
            <w:pPr>
              <w:rPr>
                <w:rStyle w:val="Heading1Char"/>
                <w:rFonts w:ascii="Times New Roman" w:hAnsi="Times New Roman"/>
                <w:sz w:val="24"/>
                <w:szCs w:val="24"/>
              </w:rPr>
            </w:pPr>
            <w:r>
              <w:rPr>
                <w:rStyle w:val="InstructionsTabelleText"/>
                <w:rFonts w:ascii="Times New Roman" w:hAnsi="Times New Roman"/>
                <w:sz w:val="24"/>
              </w:rPr>
              <w:t>„SF“</w:t>
            </w:r>
            <w:r>
              <w:rPr>
                <w:rFonts w:ascii="Times New Roman" w:hAnsi="Times New Roman"/>
                <w:sz w:val="24"/>
              </w:rPr>
              <w:t xml:space="preserve"> se poroča za posamezne podrejene družbe, ki so polno konsolidirane.</w:t>
            </w:r>
            <w:r>
              <w:rPr>
                <w:rStyle w:val="Heading1Char"/>
                <w:rFonts w:ascii="Times New Roman" w:hAnsi="Times New Roman"/>
                <w:sz w:val="24"/>
              </w:rPr>
              <w:t xml:space="preserve"> </w:t>
            </w:r>
          </w:p>
          <w:p w:rsidR="00464F34" w:rsidRPr="00392FFD" w:rsidRDefault="009E5DCC" w:rsidP="00941843">
            <w:pPr>
              <w:rPr>
                <w:rStyle w:val="InstructionsTabelleText"/>
                <w:rFonts w:ascii="Times New Roman" w:hAnsi="Times New Roman"/>
                <w:smallCaps/>
                <w:sz w:val="24"/>
              </w:rPr>
            </w:pPr>
            <w:r>
              <w:rPr>
                <w:rStyle w:val="InstructionsTabelleText"/>
                <w:rFonts w:ascii="Times New Roman" w:hAnsi="Times New Roman"/>
                <w:sz w:val="24"/>
              </w:rPr>
              <w:t>„SP“</w:t>
            </w:r>
            <w:r>
              <w:rPr>
                <w:rFonts w:ascii="Times New Roman" w:hAnsi="Times New Roman"/>
                <w:sz w:val="24"/>
              </w:rPr>
              <w:t xml:space="preserve"> se poroča za posamezne podrejene družbe, ki so delno konsolidirane.</w:t>
            </w:r>
            <w:r>
              <w:rPr>
                <w:rStyle w:val="InstructionsTabelleText"/>
                <w:rFonts w:ascii="Times New Roman" w:hAnsi="Times New Roman"/>
                <w:i/>
                <w:sz w:val="24"/>
              </w:rPr>
              <w:t xml:space="preserve">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050</w:t>
            </w:r>
          </w:p>
        </w:tc>
        <w:tc>
          <w:tcPr>
            <w:tcW w:w="8640" w:type="dxa"/>
          </w:tcPr>
          <w:p w:rsidR="00464F34" w:rsidRPr="00392FFD" w:rsidRDefault="00464F34" w:rsidP="00464F34">
            <w:pPr>
              <w:rPr>
                <w:rFonts w:ascii="Times New Roman" w:hAnsi="Times New Roman"/>
                <w:b/>
                <w:sz w:val="24"/>
                <w:u w:val="single"/>
              </w:rPr>
            </w:pPr>
            <w:r>
              <w:rPr>
                <w:rFonts w:ascii="Times New Roman" w:hAnsi="Times New Roman"/>
                <w:b/>
                <w:sz w:val="24"/>
                <w:u w:val="single"/>
              </w:rPr>
              <w:t xml:space="preserve">KODA DRŽAVE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Institucije sporočijo dvočrkovno kodo države v skladu s standardom ISO 3166-2.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DELEŽ V LASTI (%)</w:t>
            </w:r>
          </w:p>
          <w:p w:rsidR="00464F34" w:rsidRPr="00392FFD" w:rsidRDefault="00464F34" w:rsidP="00417984">
            <w:pPr>
              <w:rPr>
                <w:rStyle w:val="InstructionsTabelleText"/>
                <w:rFonts w:ascii="Times New Roman" w:hAnsi="Times New Roman"/>
                <w:sz w:val="24"/>
              </w:rPr>
            </w:pPr>
            <w:r>
              <w:rPr>
                <w:rStyle w:val="InstructionsTabelleText"/>
                <w:rFonts w:ascii="Times New Roman" w:hAnsi="Times New Roman"/>
                <w:sz w:val="24"/>
              </w:rPr>
              <w:t>Ta odstotek se nanaša na dejanski delež kapitala, ki ga ima nadrejena oseba v podrejeni družbi. V primeru polne konsolidacije neposredno podrejene družbe je dejanski delež npr. 70 %. V skladu s členom 4(16) CRR je delež podrejene družbe v podrejeni družbi, ki ga je treba sporočiti, enak zmnožku deležev med zadevnima podrejenima družbama.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070–240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INFORMACIJE O SUBJEKTIH, ZA KATERE VELJAJO KAPITALSKE ZAHTEVE</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V oddelku s podrobnimi informacijami (tj. stolpci od 070 do 240) so informacije zbr</w:t>
            </w:r>
            <w:r>
              <w:rPr>
                <w:rStyle w:val="InstructionsTabelleText"/>
                <w:rFonts w:ascii="Times New Roman" w:hAnsi="Times New Roman"/>
                <w:sz w:val="24"/>
              </w:rPr>
              <w:t>a</w:t>
            </w:r>
            <w:r>
              <w:rPr>
                <w:rStyle w:val="InstructionsTabelleText"/>
                <w:rFonts w:ascii="Times New Roman" w:hAnsi="Times New Roman"/>
                <w:sz w:val="24"/>
              </w:rPr>
              <w:t>ne samo o subjektih in podskupinah, vključenih v obseg konsolidacije (</w:t>
            </w:r>
            <w:r>
              <w:rPr>
                <w:rFonts w:ascii="Times New Roman" w:hAnsi="Times New Roman"/>
                <w:sz w:val="24"/>
              </w:rPr>
              <w:t>poglavje 2 na</w:t>
            </w:r>
            <w:r>
              <w:rPr>
                <w:rFonts w:ascii="Times New Roman" w:hAnsi="Times New Roman"/>
                <w:sz w:val="24"/>
              </w:rPr>
              <w:t>s</w:t>
            </w:r>
            <w:r>
              <w:rPr>
                <w:rFonts w:ascii="Times New Roman" w:hAnsi="Times New Roman"/>
                <w:sz w:val="24"/>
              </w:rPr>
              <w:t>lova II dela 1 CRR</w:t>
            </w:r>
            <w:r>
              <w:rPr>
                <w:rStyle w:val="InstructionsTabelleText"/>
                <w:rFonts w:ascii="Times New Roman" w:hAnsi="Times New Roman"/>
                <w:sz w:val="24"/>
              </w:rPr>
              <w:t>), za katere veljajo kapitalske zahteve v skladu s CRR ali določbe, ki so vsaj enakovredne določbam sporazuma Basel (tj. če je v stolpcu 030 naveden prit</w:t>
            </w:r>
            <w:r>
              <w:rPr>
                <w:rStyle w:val="InstructionsTabelleText"/>
                <w:rFonts w:ascii="Times New Roman" w:hAnsi="Times New Roman"/>
                <w:sz w:val="24"/>
              </w:rPr>
              <w:t>r</w:t>
            </w:r>
            <w:r>
              <w:rPr>
                <w:rStyle w:val="InstructionsTabelleText"/>
                <w:rFonts w:ascii="Times New Roman" w:hAnsi="Times New Roman"/>
                <w:sz w:val="24"/>
              </w:rPr>
              <w:t xml:space="preserve">dilni odgovor). </w:t>
            </w:r>
          </w:p>
          <w:p w:rsidR="00464F34" w:rsidRPr="00392FFD" w:rsidRDefault="00464F34" w:rsidP="00464F34">
            <w:pPr>
              <w:rPr>
                <w:rFonts w:ascii="Times New Roman" w:hAnsi="Times New Roman"/>
                <w:sz w:val="24"/>
              </w:rPr>
            </w:pPr>
            <w:r>
              <w:rPr>
                <w:rFonts w:ascii="Times New Roman" w:hAnsi="Times New Roman"/>
                <w:sz w:val="24"/>
              </w:rPr>
              <w:t>Vključijo se informacije o vseh posameznih institucijah konsolidirane skupine, za kat</w:t>
            </w:r>
            <w:r>
              <w:rPr>
                <w:rFonts w:ascii="Times New Roman" w:hAnsi="Times New Roman"/>
                <w:sz w:val="24"/>
              </w:rPr>
              <w:t>e</w:t>
            </w:r>
            <w:r>
              <w:rPr>
                <w:rFonts w:ascii="Times New Roman" w:hAnsi="Times New Roman"/>
                <w:sz w:val="24"/>
              </w:rPr>
              <w:t xml:space="preserve">re veljajo kapitalske zahteve, ne glede na njihov sedež. </w:t>
            </w:r>
          </w:p>
          <w:p w:rsidR="00464F34" w:rsidRPr="00392FFD" w:rsidRDefault="00464F34" w:rsidP="00464F34">
            <w:pPr>
              <w:rPr>
                <w:rFonts w:ascii="Times New Roman" w:hAnsi="Times New Roman"/>
                <w:sz w:val="24"/>
              </w:rPr>
            </w:pPr>
            <w:r>
              <w:rPr>
                <w:rFonts w:ascii="Times New Roman" w:hAnsi="Times New Roman"/>
                <w:sz w:val="24"/>
              </w:rPr>
              <w:t>Informacije, ki se poročajo v tem delu, so skladne z lokalnimi pravili</w:t>
            </w:r>
            <w:r>
              <w:rPr>
                <w:rFonts w:ascii="Times New Roman" w:hAnsi="Times New Roman"/>
                <w:b/>
                <w:sz w:val="24"/>
              </w:rPr>
              <w:t xml:space="preserve"> </w:t>
            </w:r>
            <w:r>
              <w:rPr>
                <w:rFonts w:ascii="Times New Roman" w:hAnsi="Times New Roman"/>
                <w:sz w:val="24"/>
              </w:rPr>
              <w:t>o kapitalski ustreznosti, ki veljajo na območju poslovanja institucije (zato za potrebe te predloge ni potreben dvojni izračun na posamični podlagi v skladu s pravili nadrejene institucije). Če se lokalna pravila o kapitalski ustreznosti razlikujejo od CRR in primerljiva razčl</w:t>
            </w:r>
            <w:r>
              <w:rPr>
                <w:rFonts w:ascii="Times New Roman" w:hAnsi="Times New Roman"/>
                <w:sz w:val="24"/>
              </w:rPr>
              <w:t>e</w:t>
            </w:r>
            <w:r>
              <w:rPr>
                <w:rFonts w:ascii="Times New Roman" w:hAnsi="Times New Roman"/>
                <w:sz w:val="24"/>
              </w:rPr>
              <w:t>nitev ni na voljo, se informacije dopolnijo, kadar so na voljo ustrezno razdrobljeni podatki. Zato je ta del predloga o dejanskih podatkih, v kateri so povzeti izračuni, ki jih izvedejo posamezne institucije skupine, pri čemer se upošteva, da lahko za nekatere od navedenih institucij veljajo drugačna pravila o kapitalski ustreznosti.</w:t>
            </w:r>
          </w:p>
          <w:p w:rsidR="00464F34" w:rsidRPr="00392FFD" w:rsidRDefault="00464F34" w:rsidP="00464F34">
            <w:pPr>
              <w:rPr>
                <w:rStyle w:val="InstructionsTabelleText"/>
                <w:rFonts w:ascii="Times New Roman" w:hAnsi="Times New Roman"/>
                <w:b/>
                <w:sz w:val="24"/>
                <w:u w:val="single"/>
              </w:rPr>
            </w:pPr>
            <w:r>
              <w:rPr>
                <w:rStyle w:val="InstructionsTabelleText"/>
                <w:rFonts w:ascii="Times New Roman" w:hAnsi="Times New Roman"/>
                <w:b/>
                <w:sz w:val="24"/>
                <w:u w:val="single"/>
              </w:rPr>
              <w:t>Sporočanje stalnih splošnih stroškov investicijskih podjetij:</w:t>
            </w:r>
          </w:p>
          <w:p w:rsidR="00464F34" w:rsidRPr="00392FFD" w:rsidRDefault="00464F34" w:rsidP="00464F34">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Investicijska podjetja v svoje izračune kapitalskega količnika vključijo kapitalske za</w:t>
            </w:r>
            <w:r>
              <w:rPr>
                <w:rStyle w:val="InstructionsTabelleText"/>
                <w:rFonts w:ascii="Times New Roman" w:hAnsi="Times New Roman"/>
                <w:sz w:val="24"/>
              </w:rPr>
              <w:t>h</w:t>
            </w:r>
            <w:r>
              <w:rPr>
                <w:rStyle w:val="InstructionsTabelleText"/>
                <w:rFonts w:ascii="Times New Roman" w:hAnsi="Times New Roman"/>
                <w:sz w:val="24"/>
              </w:rPr>
              <w:t>teve v zvezi s stalnimi splošnimi stroški v skladu s členi 95, 96, 97 in 98 CRR.</w:t>
            </w:r>
          </w:p>
          <w:p w:rsidR="00464F34" w:rsidRPr="00392FFD" w:rsidRDefault="00464F34" w:rsidP="00941843">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Del zneska skupne izpostavljenosti tveganju, ki je povezan s stalnimi splošnimi stroški, se poroča v stolpcu 100 dela 2 te predloge.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ZNESEK SKUPNE IZPOSTAVLJENOSTI TVEGANJU </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Poroča se vsota stolpcev 080 do 110.</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KREDITNO TVEGANJE, KREDITNO TVEGANJE NASPROTNE STRANKE, TVEGANJE ZMANJŠANJA VREDNOSTI, PROSTE IZROČITVE IN TVEG</w:t>
            </w:r>
            <w:r>
              <w:rPr>
                <w:rStyle w:val="InstructionsTabelleberschrift"/>
                <w:rFonts w:ascii="Times New Roman" w:hAnsi="Times New Roman"/>
                <w:sz w:val="24"/>
              </w:rPr>
              <w:t>A</w:t>
            </w:r>
            <w:r>
              <w:rPr>
                <w:rStyle w:val="InstructionsTabelleberschrift"/>
                <w:rFonts w:ascii="Times New Roman" w:hAnsi="Times New Roman"/>
                <w:sz w:val="24"/>
              </w:rPr>
              <w:t>NJE PORAVNAVE/IZROČITVE</w:t>
            </w:r>
          </w:p>
          <w:p w:rsidR="00464F34" w:rsidRPr="00392FFD" w:rsidRDefault="00464F34" w:rsidP="00E871FE">
            <w:pPr>
              <w:rPr>
                <w:rStyle w:val="InstructionsTabelleText"/>
                <w:rFonts w:ascii="Times New Roman" w:hAnsi="Times New Roman"/>
                <w:sz w:val="24"/>
              </w:rPr>
            </w:pPr>
            <w:r>
              <w:rPr>
                <w:rStyle w:val="InstructionsTabelleText"/>
                <w:rFonts w:ascii="Times New Roman" w:hAnsi="Times New Roman"/>
                <w:sz w:val="24"/>
              </w:rPr>
              <w:t>Znesek, ki se poroča v tem stolpcu, ustreza vsoti zneskov tveganju prilagojenih izpo</w:t>
            </w:r>
            <w:r>
              <w:rPr>
                <w:rStyle w:val="InstructionsTabelleText"/>
                <w:rFonts w:ascii="Times New Roman" w:hAnsi="Times New Roman"/>
                <w:sz w:val="24"/>
              </w:rPr>
              <w:t>s</w:t>
            </w:r>
            <w:r>
              <w:rPr>
                <w:rStyle w:val="InstructionsTabelleText"/>
                <w:rFonts w:ascii="Times New Roman" w:hAnsi="Times New Roman"/>
                <w:sz w:val="24"/>
              </w:rPr>
              <w:t>tavljenosti, ki so enaki ali enakovredni zneskom, ki jih je treba poročati v vrstici 040</w:t>
            </w:r>
            <w:r>
              <w:rPr>
                <w:rStyle w:val="InstructionsTabelleberschrift"/>
                <w:rFonts w:ascii="Times New Roman" w:hAnsi="Times New Roman"/>
                <w:b w:val="0"/>
                <w:sz w:val="24"/>
                <w:u w:val="none"/>
              </w:rPr>
              <w:t xml:space="preserve"> „ZNESKI TVEGANJU PRILAGOJENIH IZPOSTAVLJENOSTI ZA KREDITNO TVEGANJE, KREDITNO TVEGANJE</w:t>
            </w:r>
            <w:r>
              <w:rPr>
                <w:rStyle w:val="InstructionsTabelleText"/>
                <w:rFonts w:ascii="Times New Roman" w:hAnsi="Times New Roman"/>
                <w:sz w:val="24"/>
              </w:rPr>
              <w:t xml:space="preserve"> NASPROTNE STRANKE, TVEGANJE ZMANJŠANJA VREDNOSTI IN PROSTE IZROČITVE“ ter zneskov kapitalskih za</w:t>
            </w:r>
            <w:r>
              <w:rPr>
                <w:rStyle w:val="InstructionsTabelleText"/>
                <w:rFonts w:ascii="Times New Roman" w:hAnsi="Times New Roman"/>
                <w:sz w:val="24"/>
              </w:rPr>
              <w:t>h</w:t>
            </w:r>
            <w:r>
              <w:rPr>
                <w:rStyle w:val="InstructionsTabelleText"/>
                <w:rFonts w:ascii="Times New Roman" w:hAnsi="Times New Roman"/>
                <w:sz w:val="24"/>
              </w:rPr>
              <w:t>tev, ki so enaki ali enakovredni zneskom, ki jih je treba poročati v vrstici 490 „ZN</w:t>
            </w:r>
            <w:r>
              <w:rPr>
                <w:rStyle w:val="InstructionsTabelleText"/>
                <w:rFonts w:ascii="Times New Roman" w:hAnsi="Times New Roman"/>
                <w:sz w:val="24"/>
              </w:rPr>
              <w:t>E</w:t>
            </w:r>
            <w:r>
              <w:rPr>
                <w:rStyle w:val="InstructionsTabelleText"/>
                <w:rFonts w:ascii="Times New Roman" w:hAnsi="Times New Roman"/>
                <w:sz w:val="24"/>
              </w:rPr>
              <w:t>SEK SKUPNE IZPOSTAVLJENOSTI TVEGANJU ZA TVEGANJE PORAVN</w:t>
            </w:r>
            <w:r>
              <w:rPr>
                <w:rStyle w:val="InstructionsTabelleText"/>
                <w:rFonts w:ascii="Times New Roman" w:hAnsi="Times New Roman"/>
                <w:sz w:val="24"/>
              </w:rPr>
              <w:t>A</w:t>
            </w:r>
            <w:r>
              <w:rPr>
                <w:rStyle w:val="InstructionsTabelleText"/>
                <w:rFonts w:ascii="Times New Roman" w:hAnsi="Times New Roman"/>
                <w:sz w:val="24"/>
              </w:rPr>
              <w:t>VE/IZROČITVE“ predloge CA2.</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POZICIJSKO IN VALUTNO TVEGANJE TER TVEGANJE SPREMEMBE CEN BLAGA</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Znesek, ki se poroča v tem stolpcu, ustreza znesku kapitalskih zahtev, ki so enake ali enakovredne zahtevam, ki jih je treba poročati v vrstici 520 „ZNESEK SKUPNE IZPOSTAVLJENOSTI TVEGANJU ZA POZICIJSKO IN VALUTNO TVEGANJE TER TVEGANJE SPREMEMBE CEN BLAGA“ predloge CA2.</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OPERATIVNO TVEGANJE</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Znesek, ki se poroča v tem stolpcu, ustreza znesku izpostavljenosti tveganju, ki je enak ali enakovreden znesku, ki se poroča v vrstici 590 „ZNESEK SKUPNE IZPOSTA</w:t>
            </w:r>
            <w:r>
              <w:rPr>
                <w:rStyle w:val="InstructionsTabelleText"/>
                <w:rFonts w:ascii="Times New Roman" w:hAnsi="Times New Roman"/>
                <w:sz w:val="24"/>
              </w:rPr>
              <w:t>V</w:t>
            </w:r>
            <w:r>
              <w:rPr>
                <w:rStyle w:val="InstructionsTabelleText"/>
                <w:rFonts w:ascii="Times New Roman" w:hAnsi="Times New Roman"/>
                <w:sz w:val="24"/>
              </w:rPr>
              <w:t>LJENOSTI TVEGANJU ZA OPERATIVNO TVEGANJE (</w:t>
            </w:r>
            <w:proofErr w:type="spellStart"/>
            <w:r>
              <w:rPr>
                <w:rStyle w:val="InstructionsTabelleText"/>
                <w:rFonts w:ascii="Times New Roman" w:hAnsi="Times New Roman"/>
                <w:sz w:val="24"/>
              </w:rPr>
              <w:t>OpR</w:t>
            </w:r>
            <w:proofErr w:type="spellEnd"/>
            <w:r>
              <w:rPr>
                <w:rStyle w:val="InstructionsTabelleText"/>
                <w:rFonts w:ascii="Times New Roman" w:hAnsi="Times New Roman"/>
                <w:sz w:val="24"/>
              </w:rPr>
              <w:t>)“ predloge CA2.</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Stalni splošni stroški se vključijo v ta stolpec in vključujejo vrstico 630 „DODATEN ZNESEK IZPOSTAVLJENOSTI TVEGANJU ZARADI STALNIH SPLOŠNIH STROŠKOV“ predloge CA2.</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110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DRUGI ZNESKI IZPOSTAVLJENOSTI TVEGANJU</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Znesek, ki se poroča v tem stolpcu, ustreza znesku izpostavljenosti tveganju, ki ni zg</w:t>
            </w:r>
            <w:r>
              <w:rPr>
                <w:rStyle w:val="InstructionsTabelleText"/>
                <w:rFonts w:ascii="Times New Roman" w:hAnsi="Times New Roman"/>
                <w:sz w:val="24"/>
              </w:rPr>
              <w:t>o</w:t>
            </w:r>
            <w:r>
              <w:rPr>
                <w:rStyle w:val="InstructionsTabelleText"/>
                <w:rFonts w:ascii="Times New Roman" w:hAnsi="Times New Roman"/>
                <w:sz w:val="24"/>
              </w:rPr>
              <w:t>raj posebej naveden. To je vsota zneskov iz vrstic 640, 680 in 690 predloge CA2.</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120–240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PODROBNE INFORMACIJE O KAPITALSKI USTREZNOSTI SKUPINE</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Informacije, poročane v naslednjih stolpcih, so skladne z lokalnimi pravili o kapitalski ustreznosti, ki veljajo na območju poslovanja subjekta ali podskupine.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KAPITAL</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Znesek, ki se poroča v tem stolpcu, ustreza znesku kapitala, ki je enak ali enakovreden kapitalu, ki ga je treba poročati v vrstici 010 „KAPITAL“ predloge CA1.</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OD TEGA: KVALIFICIRANI KAPITAL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Člen 82 CRR.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Stolpec se izpolni le za podrejene družbe, o katerih se poroča na posamični podlagi, ki so polno konsolidirane in so institucije.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Kvalificirani deleži so za zgoraj navedene podrejene družbe instrumenti (skupaj s povezanim zadržanim dobičkom, vplačanim presežkom kapitala in drugimi rezervami) v lasti oseb, ki niso družbe, vključene v konsolidacijo na podlagi CRR.</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Znesek, ki se poroča, vključuje učinke vseh prehodnih določb. Znesek je sprejemljiv na dan poročanja.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140</w:t>
            </w:r>
          </w:p>
        </w:tc>
        <w:tc>
          <w:tcPr>
            <w:tcW w:w="8640" w:type="dxa"/>
          </w:tcPr>
          <w:p w:rsidR="00464F34" w:rsidRPr="00392FFD" w:rsidRDefault="000044B7" w:rsidP="00464F34">
            <w:pPr>
              <w:rPr>
                <w:rStyle w:val="InstructionsTabelleberschrift"/>
                <w:rFonts w:ascii="Times New Roman" w:hAnsi="Times New Roman"/>
                <w:b w:val="0"/>
                <w:sz w:val="24"/>
              </w:rPr>
            </w:pPr>
            <w:r>
              <w:rPr>
                <w:rStyle w:val="InstructionsTabelleberschrift"/>
                <w:rFonts w:ascii="Times New Roman" w:hAnsi="Times New Roman"/>
                <w:sz w:val="24"/>
              </w:rPr>
              <w:t>POVEZANI KAPITALSKI INSTRUMENTI, POVEZAN ZADRŽANI DOB</w:t>
            </w:r>
            <w:r>
              <w:rPr>
                <w:rStyle w:val="InstructionsTabelleberschrift"/>
                <w:rFonts w:ascii="Times New Roman" w:hAnsi="Times New Roman"/>
                <w:sz w:val="24"/>
              </w:rPr>
              <w:t>I</w:t>
            </w:r>
            <w:r>
              <w:rPr>
                <w:rStyle w:val="InstructionsTabelleberschrift"/>
                <w:rFonts w:ascii="Times New Roman" w:hAnsi="Times New Roman"/>
                <w:sz w:val="24"/>
              </w:rPr>
              <w:t>ČEK, VPLAČANI PRESEŽEK KAPITALA IN DRUGE REZERVE</w:t>
            </w:r>
          </w:p>
          <w:p w:rsidR="00464F34" w:rsidRPr="00392FFD" w:rsidRDefault="00464F34" w:rsidP="00464F34">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87(1)(b)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SKUPNI TEMELJNI KAPITAL</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Člen 25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OD TEGA: KVALIFICIRANI TEMELJNI KAPITAL</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Člen 82 CRR.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Stolpec se izpolni le za podrejene družbe, o katerih se poroča na posamični podlagi, ki so polno konsolidirane in so institucije.</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Kvalificirani deleži so za zgoraj navedene podrejene družbe instrumenti (skupaj s povezanim zadržanim dobičkom in vplačanim presežkom kapitala) v lasti oseb, ki niso družbe, vključene v konsolidacijo na podlagi CRR.</w:t>
            </w:r>
          </w:p>
          <w:p w:rsidR="00464F34" w:rsidRPr="00392FFD" w:rsidRDefault="00464F34" w:rsidP="003C1BB1">
            <w:pPr>
              <w:rPr>
                <w:rStyle w:val="InstructionsTabelleberschrift"/>
                <w:rFonts w:ascii="Times New Roman" w:hAnsi="Times New Roman"/>
                <w:sz w:val="24"/>
              </w:rPr>
            </w:pPr>
            <w:r>
              <w:rPr>
                <w:rStyle w:val="InstructionsTabelleText"/>
                <w:rFonts w:ascii="Times New Roman" w:hAnsi="Times New Roman"/>
                <w:sz w:val="24"/>
              </w:rPr>
              <w:t xml:space="preserve">Znesek, ki se poroča, vključuje učinke vseh prehodnih določb. Znesek je sprejemljiv na </w:t>
            </w:r>
            <w:r>
              <w:rPr>
                <w:rStyle w:val="InstructionsTabelleText"/>
                <w:rFonts w:ascii="Times New Roman" w:hAnsi="Times New Roman"/>
                <w:sz w:val="24"/>
              </w:rPr>
              <w:lastRenderedPageBreak/>
              <w:t>dan poročanja.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170</w:t>
            </w:r>
          </w:p>
        </w:tc>
        <w:tc>
          <w:tcPr>
            <w:tcW w:w="8640" w:type="dxa"/>
          </w:tcPr>
          <w:p w:rsidR="00144F03" w:rsidRPr="00392FFD" w:rsidRDefault="000044B7" w:rsidP="00144F03">
            <w:pPr>
              <w:rPr>
                <w:rStyle w:val="InstructionsTabelleberschrift"/>
                <w:rFonts w:ascii="Times New Roman" w:hAnsi="Times New Roman"/>
                <w:b w:val="0"/>
                <w:sz w:val="24"/>
              </w:rPr>
            </w:pPr>
            <w:r>
              <w:rPr>
                <w:rStyle w:val="InstructionsTabelleberschrift"/>
                <w:rFonts w:ascii="Times New Roman" w:hAnsi="Times New Roman"/>
                <w:sz w:val="24"/>
              </w:rPr>
              <w:t>POVEZANI INSTRUMENTI TEMELJNEGA KAPITALA, POVEZAN ZAD</w:t>
            </w:r>
            <w:r>
              <w:rPr>
                <w:rStyle w:val="InstructionsTabelleberschrift"/>
                <w:rFonts w:ascii="Times New Roman" w:hAnsi="Times New Roman"/>
                <w:sz w:val="24"/>
              </w:rPr>
              <w:t>R</w:t>
            </w:r>
            <w:r>
              <w:rPr>
                <w:rStyle w:val="InstructionsTabelleberschrift"/>
                <w:rFonts w:ascii="Times New Roman" w:hAnsi="Times New Roman"/>
                <w:sz w:val="24"/>
              </w:rPr>
              <w:t>ŽANI DOBIČEK IN VPLAČANI PRESEŽEK KAPITALA</w:t>
            </w:r>
          </w:p>
          <w:p w:rsidR="00464F34" w:rsidRPr="00392FFD" w:rsidRDefault="00144F03" w:rsidP="003C1BB1">
            <w:pPr>
              <w:rPr>
                <w:rStyle w:val="InstructionsTabelleberschrift"/>
                <w:rFonts w:ascii="Times New Roman" w:hAnsi="Times New Roman"/>
                <w:sz w:val="24"/>
              </w:rPr>
            </w:pPr>
            <w:r>
              <w:rPr>
                <w:rStyle w:val="InstructionsTabelleberschrift"/>
                <w:rFonts w:ascii="Times New Roman" w:hAnsi="Times New Roman"/>
                <w:b w:val="0"/>
                <w:sz w:val="24"/>
                <w:u w:val="none"/>
              </w:rPr>
              <w:t>Člen 85(1)(b)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NAVADNI LASTNIŠKI TEMELJNI KAPITAL</w:t>
            </w:r>
          </w:p>
          <w:p w:rsidR="00464F34" w:rsidRPr="00392FFD" w:rsidRDefault="00464F34" w:rsidP="003C1BB1">
            <w:pPr>
              <w:rPr>
                <w:rStyle w:val="InstructionsTabelleberschrift"/>
                <w:rFonts w:ascii="Times New Roman" w:hAnsi="Times New Roman"/>
                <w:sz w:val="24"/>
              </w:rPr>
            </w:pPr>
            <w:r>
              <w:rPr>
                <w:rStyle w:val="InstructionsTabelleText"/>
                <w:rFonts w:ascii="Times New Roman" w:hAnsi="Times New Roman"/>
                <w:sz w:val="24"/>
              </w:rPr>
              <w:t>Člen 50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OD TEGA: MANJŠINSKI DELEŽI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Člen 81 CRR.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Ta stolpec se izpolni le za polno konsolidirane podrejene družbe, ki so institucije, razen odvisnih družb iz člena 84(3) CRR. Vsaka podrejene družba se obravnava na </w:t>
            </w:r>
            <w:proofErr w:type="spellStart"/>
            <w:r>
              <w:rPr>
                <w:rStyle w:val="InstructionsTabelleText"/>
                <w:rFonts w:ascii="Times New Roman" w:hAnsi="Times New Roman"/>
                <w:sz w:val="24"/>
              </w:rPr>
              <w:t>subko</w:t>
            </w:r>
            <w:r>
              <w:rPr>
                <w:rStyle w:val="InstructionsTabelleText"/>
                <w:rFonts w:ascii="Times New Roman" w:hAnsi="Times New Roman"/>
                <w:sz w:val="24"/>
              </w:rPr>
              <w:t>n</w:t>
            </w:r>
            <w:r>
              <w:rPr>
                <w:rStyle w:val="InstructionsTabelleText"/>
                <w:rFonts w:ascii="Times New Roman" w:hAnsi="Times New Roman"/>
                <w:sz w:val="24"/>
              </w:rPr>
              <w:t>solidirani</w:t>
            </w:r>
            <w:proofErr w:type="spellEnd"/>
            <w:r>
              <w:rPr>
                <w:rStyle w:val="InstructionsTabelleText"/>
                <w:rFonts w:ascii="Times New Roman" w:hAnsi="Times New Roman"/>
                <w:sz w:val="24"/>
              </w:rPr>
              <w:t xml:space="preserve"> podlagi za namene vseh izračunov, ki jih določa člen 84 CRR, če je potre</w:t>
            </w:r>
            <w:r>
              <w:rPr>
                <w:rStyle w:val="InstructionsTabelleText"/>
                <w:rFonts w:ascii="Times New Roman" w:hAnsi="Times New Roman"/>
                <w:sz w:val="24"/>
              </w:rPr>
              <w:t>b</w:t>
            </w:r>
            <w:r>
              <w:rPr>
                <w:rStyle w:val="InstructionsTabelleText"/>
                <w:rFonts w:ascii="Times New Roman" w:hAnsi="Times New Roman"/>
                <w:sz w:val="24"/>
              </w:rPr>
              <w:t>no, v skladu s členom 84(2), v nasprotnem primeru na posamični podlagi.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Za namene CRR in te predloge so manjšinski deleži za zgoraj navedene podrejene dr</w:t>
            </w:r>
            <w:r>
              <w:rPr>
                <w:rStyle w:val="InstructionsTabelleText"/>
                <w:rFonts w:ascii="Times New Roman" w:hAnsi="Times New Roman"/>
                <w:sz w:val="24"/>
              </w:rPr>
              <w:t>u</w:t>
            </w:r>
            <w:r>
              <w:rPr>
                <w:rStyle w:val="InstructionsTabelleText"/>
                <w:rFonts w:ascii="Times New Roman" w:hAnsi="Times New Roman"/>
                <w:sz w:val="24"/>
              </w:rPr>
              <w:t>žbe instrumenti navadnega lastniškega temeljnega kapitala (skupaj s povezanim zad</w:t>
            </w:r>
            <w:r>
              <w:rPr>
                <w:rStyle w:val="InstructionsTabelleText"/>
                <w:rFonts w:ascii="Times New Roman" w:hAnsi="Times New Roman"/>
                <w:sz w:val="24"/>
              </w:rPr>
              <w:t>r</w:t>
            </w:r>
            <w:r>
              <w:rPr>
                <w:rStyle w:val="InstructionsTabelleText"/>
                <w:rFonts w:ascii="Times New Roman" w:hAnsi="Times New Roman"/>
                <w:sz w:val="24"/>
              </w:rPr>
              <w:t>žanim dobičkom in vplačanim presežkom kapitala) v lasti oseb, ki niso družbe, vklj</w:t>
            </w:r>
            <w:r>
              <w:rPr>
                <w:rStyle w:val="InstructionsTabelleText"/>
                <w:rFonts w:ascii="Times New Roman" w:hAnsi="Times New Roman"/>
                <w:sz w:val="24"/>
              </w:rPr>
              <w:t>u</w:t>
            </w:r>
            <w:r>
              <w:rPr>
                <w:rStyle w:val="InstructionsTabelleText"/>
                <w:rFonts w:ascii="Times New Roman" w:hAnsi="Times New Roman"/>
                <w:sz w:val="24"/>
              </w:rPr>
              <w:t>čene v konsolidacijo na podlagi CRR.</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Znesek, ki se poroča, vključuje učinke vseh prehodnih določb. Znesek je sprejemljiv na dan poročanja.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200</w:t>
            </w:r>
          </w:p>
        </w:tc>
        <w:tc>
          <w:tcPr>
            <w:tcW w:w="8640" w:type="dxa"/>
          </w:tcPr>
          <w:p w:rsidR="00144F03" w:rsidRPr="00392FFD" w:rsidRDefault="000044B7" w:rsidP="00144F03">
            <w:pPr>
              <w:rPr>
                <w:rStyle w:val="InstructionsTabelleberschrift"/>
                <w:rFonts w:ascii="Times New Roman" w:hAnsi="Times New Roman"/>
                <w:b w:val="0"/>
                <w:sz w:val="24"/>
              </w:rPr>
            </w:pPr>
            <w:r>
              <w:rPr>
                <w:rStyle w:val="InstructionsTabelleberschrift"/>
                <w:rFonts w:ascii="Times New Roman" w:hAnsi="Times New Roman"/>
                <w:sz w:val="24"/>
              </w:rPr>
              <w:t>POVEZANI KAPITALSKI INSTRUMENTI, POVEZAN ZADRŽANI DOB</w:t>
            </w:r>
            <w:r>
              <w:rPr>
                <w:rStyle w:val="InstructionsTabelleberschrift"/>
                <w:rFonts w:ascii="Times New Roman" w:hAnsi="Times New Roman"/>
                <w:sz w:val="24"/>
              </w:rPr>
              <w:t>I</w:t>
            </w:r>
            <w:r>
              <w:rPr>
                <w:rStyle w:val="InstructionsTabelleberschrift"/>
                <w:rFonts w:ascii="Times New Roman" w:hAnsi="Times New Roman"/>
                <w:sz w:val="24"/>
              </w:rPr>
              <w:t>ČEK, VPLAČANI PRESEŽEK KAPITALA IN DRUGE REZERVE</w:t>
            </w:r>
          </w:p>
          <w:p w:rsidR="00464F34" w:rsidRPr="00392FFD" w:rsidRDefault="00144F03" w:rsidP="000044B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84(1)(b)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DODATNI TEMELJNI KAPITAL</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Člen 61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OD TEGA: KVALIFICIRANI DODATNI TEMELJNI KAPITAL</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Člena 82 in 83 CRR.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Ta stolpec se izpolni le za polno konsolidirane podrejene družbe, o katerih se poroča na posamični podlagi, ki so institucije, razen odvisnih družb iz člena 85(2) CRR. Vsaka podrejene družba se obravnava na </w:t>
            </w:r>
            <w:proofErr w:type="spellStart"/>
            <w:r>
              <w:rPr>
                <w:rStyle w:val="InstructionsTabelleText"/>
                <w:rFonts w:ascii="Times New Roman" w:hAnsi="Times New Roman"/>
                <w:sz w:val="24"/>
              </w:rPr>
              <w:t>subkonsolidirani</w:t>
            </w:r>
            <w:proofErr w:type="spellEnd"/>
            <w:r>
              <w:rPr>
                <w:rStyle w:val="InstructionsTabelleText"/>
                <w:rFonts w:ascii="Times New Roman" w:hAnsi="Times New Roman"/>
                <w:sz w:val="24"/>
              </w:rPr>
              <w:t xml:space="preserve"> podlagi za namene vseh izračunov, ki jih določa člen 85 CRR, če je potrebno, v skladu s členom 85(2), v nasprotnem pr</w:t>
            </w:r>
            <w:r>
              <w:rPr>
                <w:rStyle w:val="InstructionsTabelleText"/>
                <w:rFonts w:ascii="Times New Roman" w:hAnsi="Times New Roman"/>
                <w:sz w:val="24"/>
              </w:rPr>
              <w:t>i</w:t>
            </w:r>
            <w:r>
              <w:rPr>
                <w:rStyle w:val="InstructionsTabelleText"/>
                <w:rFonts w:ascii="Times New Roman" w:hAnsi="Times New Roman"/>
                <w:sz w:val="24"/>
              </w:rPr>
              <w:t>meru na posamični podlagi.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Za namene CRR in te predloge so manjšinski deleži za zgoraj navedene podrejene dr</w:t>
            </w:r>
            <w:r>
              <w:rPr>
                <w:rStyle w:val="InstructionsTabelleText"/>
                <w:rFonts w:ascii="Times New Roman" w:hAnsi="Times New Roman"/>
                <w:sz w:val="24"/>
              </w:rPr>
              <w:t>u</w:t>
            </w:r>
            <w:r>
              <w:rPr>
                <w:rStyle w:val="InstructionsTabelleText"/>
                <w:rFonts w:ascii="Times New Roman" w:hAnsi="Times New Roman"/>
                <w:sz w:val="24"/>
              </w:rPr>
              <w:t>žbe instrumenti dodatnega temeljnega kapitala (skupaj s povezanim zadržanim dobi</w:t>
            </w:r>
            <w:r>
              <w:rPr>
                <w:rStyle w:val="InstructionsTabelleText"/>
                <w:rFonts w:ascii="Times New Roman" w:hAnsi="Times New Roman"/>
                <w:sz w:val="24"/>
              </w:rPr>
              <w:t>č</w:t>
            </w:r>
            <w:r>
              <w:rPr>
                <w:rStyle w:val="InstructionsTabelleText"/>
                <w:rFonts w:ascii="Times New Roman" w:hAnsi="Times New Roman"/>
                <w:sz w:val="24"/>
              </w:rPr>
              <w:t>kom in vplačanim presežkom kapitala) v lasti oseb, ki niso družbe, vključene v kons</w:t>
            </w:r>
            <w:r>
              <w:rPr>
                <w:rStyle w:val="InstructionsTabelleText"/>
                <w:rFonts w:ascii="Times New Roman" w:hAnsi="Times New Roman"/>
                <w:sz w:val="24"/>
              </w:rPr>
              <w:t>o</w:t>
            </w:r>
            <w:r>
              <w:rPr>
                <w:rStyle w:val="InstructionsTabelleText"/>
                <w:rFonts w:ascii="Times New Roman" w:hAnsi="Times New Roman"/>
                <w:sz w:val="24"/>
              </w:rPr>
              <w:t>lidacijo na podlagi CRR.</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Znesek, ki se poroča, vključuje učinke vseh prehodnih določb. Znesek je sprejemljiv na dan poročanja.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DODATNI KAPITAL</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Člen 71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OD TEGA: KVALIFICIRANI DODATNI KAPITAL</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Člena 82 in 83 CRR.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Ta stolpec izpolnijo le polno konsolidirane podrejene družbe, o katerih se poroča na posamični podlagi, ki so institucije, razen odvisnih družb iz člena 87(2) CRR. Vsaka podrejena družba se obravnava na </w:t>
            </w:r>
            <w:proofErr w:type="spellStart"/>
            <w:r>
              <w:rPr>
                <w:rStyle w:val="InstructionsTabelleText"/>
                <w:rFonts w:ascii="Times New Roman" w:hAnsi="Times New Roman"/>
                <w:sz w:val="24"/>
              </w:rPr>
              <w:t>subkonsolidirani</w:t>
            </w:r>
            <w:proofErr w:type="spellEnd"/>
            <w:r>
              <w:rPr>
                <w:rStyle w:val="InstructionsTabelleText"/>
                <w:rFonts w:ascii="Times New Roman" w:hAnsi="Times New Roman"/>
                <w:sz w:val="24"/>
              </w:rPr>
              <w:t xml:space="preserve"> podlagi za namene vseh izračunov, ki jih določa člen 87 CRR, če je potrebno, v skladu s členom 87(2) CRR, v nasprotnem primeru pa na posamični podlagi.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Za namene CRR in te predloge so manjšinski deleži za zgoraj navedene podrejene dr</w:t>
            </w:r>
            <w:r>
              <w:rPr>
                <w:rStyle w:val="InstructionsTabelleText"/>
                <w:rFonts w:ascii="Times New Roman" w:hAnsi="Times New Roman"/>
                <w:sz w:val="24"/>
              </w:rPr>
              <w:t>u</w:t>
            </w:r>
            <w:r>
              <w:rPr>
                <w:rStyle w:val="InstructionsTabelleText"/>
                <w:rFonts w:ascii="Times New Roman" w:hAnsi="Times New Roman"/>
                <w:sz w:val="24"/>
              </w:rPr>
              <w:t>žbe instrumenti dodatnega kapitala (skupaj s povezanim zadržanim dobičkom in vpl</w:t>
            </w:r>
            <w:r>
              <w:rPr>
                <w:rStyle w:val="InstructionsTabelleText"/>
                <w:rFonts w:ascii="Times New Roman" w:hAnsi="Times New Roman"/>
                <w:sz w:val="24"/>
              </w:rPr>
              <w:t>a</w:t>
            </w:r>
            <w:r>
              <w:rPr>
                <w:rStyle w:val="InstructionsTabelleText"/>
                <w:rFonts w:ascii="Times New Roman" w:hAnsi="Times New Roman"/>
                <w:sz w:val="24"/>
              </w:rPr>
              <w:t>čanim presežkom kapitala) v lasti oseb, ki niso družbe, vključene v konsolidacijo na podlagi CRR.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Znesek, ki se poroča, vključuje učinke vseh prehodnih določb; tj. znesek mora biti sprejemljiv na dan poročanja.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250–400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INFORMACIJE O PRISPEVKU SUBJEKTOV H KAPITALSKI USTREZNO</w:t>
            </w:r>
            <w:r>
              <w:rPr>
                <w:rStyle w:val="InstructionsTabelleberschrift"/>
                <w:rFonts w:ascii="Times New Roman" w:hAnsi="Times New Roman"/>
                <w:sz w:val="24"/>
              </w:rPr>
              <w:t>S</w:t>
            </w:r>
            <w:r>
              <w:rPr>
                <w:rStyle w:val="InstructionsTabelleberschrift"/>
                <w:rFonts w:ascii="Times New Roman" w:hAnsi="Times New Roman"/>
                <w:sz w:val="24"/>
              </w:rPr>
              <w:t>TI SKUPINE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250–290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PRISPEVEK K TVEGANJEM</w:t>
            </w:r>
          </w:p>
          <w:p w:rsidR="00464F34" w:rsidRPr="00392FFD" w:rsidRDefault="00464F34" w:rsidP="00464F34">
            <w:pPr>
              <w:rPr>
                <w:rStyle w:val="InstructionsTabelleberschrift"/>
                <w:rFonts w:ascii="Times New Roman" w:hAnsi="Times New Roman"/>
                <w:sz w:val="24"/>
              </w:rPr>
            </w:pPr>
            <w:r>
              <w:rPr>
                <w:rFonts w:ascii="Times New Roman" w:hAnsi="Times New Roman"/>
                <w:sz w:val="24"/>
              </w:rPr>
              <w:t>Informacije, poročane v naslednjih stolpcih, so skladne s pravili o kapitalski ustrezno</w:t>
            </w:r>
            <w:r>
              <w:rPr>
                <w:rFonts w:ascii="Times New Roman" w:hAnsi="Times New Roman"/>
                <w:sz w:val="24"/>
              </w:rPr>
              <w:t>s</w:t>
            </w:r>
            <w:r>
              <w:rPr>
                <w:rFonts w:ascii="Times New Roman" w:hAnsi="Times New Roman"/>
                <w:sz w:val="24"/>
              </w:rPr>
              <w:t>ti, ki veljajo za poročevalsko institucijo.</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ZNESEK SKUPNE IZPOSTAVLJENOSTI TVEGANJU</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Poroča se vsota stolpcev 260 do 290.</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KREDITNO TVEGANJE, KREDITNO TVEGANJE NASPROTNE STRANKE, TVEGANJE ZMANJŠANJA VREDNOSTI, PROSTE IZROČITVE IN TVEG</w:t>
            </w:r>
            <w:r>
              <w:rPr>
                <w:rStyle w:val="InstructionsTabelleberschrift"/>
                <w:rFonts w:ascii="Times New Roman" w:hAnsi="Times New Roman"/>
                <w:sz w:val="24"/>
              </w:rPr>
              <w:t>A</w:t>
            </w:r>
            <w:r>
              <w:rPr>
                <w:rStyle w:val="InstructionsTabelleberschrift"/>
                <w:rFonts w:ascii="Times New Roman" w:hAnsi="Times New Roman"/>
                <w:sz w:val="24"/>
              </w:rPr>
              <w:t>NJE PORAVNAVE/IZROČITVE</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Znesek, ki se poroča, so zneski tveganju prilagojenih izpostavljenosti za kreditno tv</w:t>
            </w:r>
            <w:r>
              <w:rPr>
                <w:rStyle w:val="InstructionsTabelleText"/>
                <w:rFonts w:ascii="Times New Roman" w:hAnsi="Times New Roman"/>
                <w:sz w:val="24"/>
              </w:rPr>
              <w:t>e</w:t>
            </w:r>
            <w:r>
              <w:rPr>
                <w:rStyle w:val="InstructionsTabelleText"/>
                <w:rFonts w:ascii="Times New Roman" w:hAnsi="Times New Roman"/>
                <w:sz w:val="24"/>
              </w:rPr>
              <w:t>ganje in tveganje v zvezi s kapitalskimi zahtevami za poravnavo/izročitev na podlagi CRR, razen zneskov, povezanih s posli z drugimi subjekti, vključenimi v izračun ko</w:t>
            </w:r>
            <w:r>
              <w:rPr>
                <w:rStyle w:val="InstructionsTabelleText"/>
                <w:rFonts w:ascii="Times New Roman" w:hAnsi="Times New Roman"/>
                <w:sz w:val="24"/>
              </w:rPr>
              <w:t>n</w:t>
            </w:r>
            <w:r>
              <w:rPr>
                <w:rStyle w:val="InstructionsTabelleText"/>
                <w:rFonts w:ascii="Times New Roman" w:hAnsi="Times New Roman"/>
                <w:sz w:val="24"/>
              </w:rPr>
              <w:t>solidiranega količnika kapitalske ustreznosti skupine.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POZICIJSKO IN VALUTNO TVEGANJE TER TVEGANJE SPREMEMBE CEN BLAGA</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Zneske izpostavljenosti tveganju za tržna tveganja je treba izračunati na ravni posam</w:t>
            </w:r>
            <w:r>
              <w:rPr>
                <w:rStyle w:val="InstructionsTabelleText"/>
                <w:rFonts w:ascii="Times New Roman" w:hAnsi="Times New Roman"/>
                <w:sz w:val="24"/>
              </w:rPr>
              <w:t>e</w:t>
            </w:r>
            <w:r>
              <w:rPr>
                <w:rStyle w:val="InstructionsTabelleText"/>
                <w:rFonts w:ascii="Times New Roman" w:hAnsi="Times New Roman"/>
                <w:sz w:val="24"/>
              </w:rPr>
              <w:t>znega subjekta v skladu s CRR. Subjekti poročajo prispevek k zneskom skupne izpo</w:t>
            </w:r>
            <w:r>
              <w:rPr>
                <w:rStyle w:val="InstructionsTabelleText"/>
                <w:rFonts w:ascii="Times New Roman" w:hAnsi="Times New Roman"/>
                <w:sz w:val="24"/>
              </w:rPr>
              <w:t>s</w:t>
            </w:r>
            <w:r>
              <w:rPr>
                <w:rStyle w:val="InstructionsTabelleText"/>
                <w:rFonts w:ascii="Times New Roman" w:hAnsi="Times New Roman"/>
                <w:sz w:val="24"/>
              </w:rPr>
              <w:t>tavljenosti tveganju za pozicijsko in valutno tveganje ter tveganje spremembe cen bl</w:t>
            </w:r>
            <w:r>
              <w:rPr>
                <w:rStyle w:val="InstructionsTabelleText"/>
                <w:rFonts w:ascii="Times New Roman" w:hAnsi="Times New Roman"/>
                <w:sz w:val="24"/>
              </w:rPr>
              <w:t>a</w:t>
            </w:r>
            <w:r>
              <w:rPr>
                <w:rStyle w:val="InstructionsTabelleText"/>
                <w:rFonts w:ascii="Times New Roman" w:hAnsi="Times New Roman"/>
                <w:sz w:val="24"/>
              </w:rPr>
              <w:t>ga skupine. Vsota zneskov, poročana v tem stolpcu, ustreza znesku iz vrstice 520 „ZNESEK SKUPNE IZPOSTAVLJENOSTI TVEGANJU ZA POZICIJSKO IN VALUTNO TVEGANJE TER TVEGANJE SPREMEMBE CEN BLAGA“ konsolid</w:t>
            </w:r>
            <w:r>
              <w:rPr>
                <w:rStyle w:val="InstructionsTabelleText"/>
                <w:rFonts w:ascii="Times New Roman" w:hAnsi="Times New Roman"/>
                <w:sz w:val="24"/>
              </w:rPr>
              <w:t>i</w:t>
            </w:r>
            <w:r>
              <w:rPr>
                <w:rStyle w:val="InstructionsTabelleText"/>
                <w:rFonts w:ascii="Times New Roman" w:hAnsi="Times New Roman"/>
                <w:sz w:val="24"/>
              </w:rPr>
              <w:t>ranega poročila.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OPERATIVNO TVEGANJE</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V primeru naprednega pristopa poročani zneski izpostavljenosti tveganju za operativno tveganje vključujejo učinek razpršitve.</w:t>
            </w:r>
          </w:p>
          <w:p w:rsidR="00464F34" w:rsidRPr="00392FFD" w:rsidRDefault="00464F34" w:rsidP="00464F34">
            <w:pPr>
              <w:rPr>
                <w:rStyle w:val="InstructionsTabelleText"/>
                <w:rFonts w:ascii="Times New Roman" w:hAnsi="Times New Roman"/>
                <w:sz w:val="24"/>
              </w:rPr>
            </w:pPr>
            <w:r>
              <w:rPr>
                <w:rFonts w:ascii="Times New Roman" w:hAnsi="Times New Roman"/>
                <w:caps/>
                <w:sz w:val="24"/>
              </w:rPr>
              <w:t>V</w:t>
            </w:r>
            <w:r>
              <w:rPr>
                <w:rFonts w:ascii="Times New Roman" w:hAnsi="Times New Roman"/>
                <w:sz w:val="24"/>
              </w:rPr>
              <w:t xml:space="preserve"> ta stolpec se vključijo stalni splošni stroški.</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290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DRUGI ZNESKI IZPOSTAVLJENOSTI TVEGANJU</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Znesek, ki se poroča v tem stolpcu, ustreza znesku izpostavljenosti tveganju, ki ni zg</w:t>
            </w:r>
            <w:r>
              <w:rPr>
                <w:rStyle w:val="InstructionsTabelleText"/>
                <w:rFonts w:ascii="Times New Roman" w:hAnsi="Times New Roman"/>
                <w:sz w:val="24"/>
              </w:rPr>
              <w:t>o</w:t>
            </w:r>
            <w:r>
              <w:rPr>
                <w:rStyle w:val="InstructionsTabelleText"/>
                <w:rFonts w:ascii="Times New Roman" w:hAnsi="Times New Roman"/>
                <w:sz w:val="24"/>
              </w:rPr>
              <w:t>raj posebej naveden.</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300–400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PRISPEVEK H KAPITALU</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Namen tega dela predloge ni uvedba zahteve, da morajo institucije izvesti celoten izr</w:t>
            </w:r>
            <w:r>
              <w:rPr>
                <w:rStyle w:val="InstructionsTabelleText"/>
                <w:rFonts w:ascii="Times New Roman" w:hAnsi="Times New Roman"/>
                <w:sz w:val="24"/>
              </w:rPr>
              <w:t>a</w:t>
            </w:r>
            <w:r>
              <w:rPr>
                <w:rStyle w:val="InstructionsTabelleText"/>
                <w:rFonts w:ascii="Times New Roman" w:hAnsi="Times New Roman"/>
                <w:sz w:val="24"/>
              </w:rPr>
              <w:t xml:space="preserve">čun skupnega kapitalskega količnika na ravni posameznega subjekta. </w:t>
            </w:r>
          </w:p>
          <w:p w:rsidR="00144F03" w:rsidRPr="00392FFD" w:rsidRDefault="00144F03" w:rsidP="00144F03">
            <w:pPr>
              <w:pStyle w:val="Texte2"/>
              <w:ind w:left="0"/>
              <w:rPr>
                <w:rStyle w:val="InstructionsTabelleText"/>
                <w:rFonts w:ascii="Times New Roman" w:hAnsi="Times New Roman"/>
                <w:sz w:val="24"/>
                <w:szCs w:val="24"/>
              </w:rPr>
            </w:pPr>
            <w:r>
              <w:rPr>
                <w:rFonts w:ascii="Times New Roman" w:hAnsi="Times New Roman"/>
                <w:sz w:val="24"/>
              </w:rPr>
              <w:t>Stolpce od 300 do 350 izpolnijo tisti konsolidirani subjekti, ki prispevajo h kapitalu z manjšinskim deležem, kvalificiranim temeljnim kapitalom in /ali kvalificiranim kapit</w:t>
            </w:r>
            <w:r>
              <w:rPr>
                <w:rFonts w:ascii="Times New Roman" w:hAnsi="Times New Roman"/>
                <w:sz w:val="24"/>
              </w:rPr>
              <w:t>a</w:t>
            </w:r>
            <w:r>
              <w:rPr>
                <w:rFonts w:ascii="Times New Roman" w:hAnsi="Times New Roman"/>
                <w:sz w:val="24"/>
              </w:rPr>
              <w:t>lom. Ob upoštevanju praga, opredeljenega v zadnjem odstavku poglavja 2.3 dela II zgoraj, se stolpci 360 do 400 izpolnijo za vse konsolidirane subjekte, ki prispevajo h konsolidiranemu kapitalu.</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Kapital, ki ga subjektu prispevajo drugi subjekti, vključeni v obseg poročevalskega subjekta, se ne upošteva. V tem stolpcu se poroča le neto prispevek h kapitalu skupine, tj. zlasti kapital, ki ga zberejo tretje strani, in akumulirane rezerve. </w:t>
            </w:r>
          </w:p>
          <w:p w:rsidR="00464F34" w:rsidRPr="00392FFD" w:rsidRDefault="00464F34" w:rsidP="003C1BB1">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Informacije, poročane v naslednjih stolpcih, so skladne s pravili o kapitalski ustrezno</w:t>
            </w:r>
            <w:r>
              <w:rPr>
                <w:rStyle w:val="InstructionsTabelleText"/>
                <w:rFonts w:ascii="Times New Roman" w:hAnsi="Times New Roman"/>
                <w:sz w:val="24"/>
              </w:rPr>
              <w:t>s</w:t>
            </w:r>
            <w:r>
              <w:rPr>
                <w:rStyle w:val="InstructionsTabelleText"/>
                <w:rFonts w:ascii="Times New Roman" w:hAnsi="Times New Roman"/>
                <w:sz w:val="24"/>
              </w:rPr>
              <w:t>ti, ki veljajo za poročevalsko institucijo.</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300–350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KVALIFICIRANI KAPITAL, VKLJUČEN V KONSOLIDIRANI KAPITAL</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Znesek, ki se poroča kot „KVALIFICIRANI KAPITAL, VKLJUČEN V KONSOL</w:t>
            </w:r>
            <w:r>
              <w:rPr>
                <w:rStyle w:val="InstructionsTabelleText"/>
                <w:rFonts w:ascii="Times New Roman" w:hAnsi="Times New Roman"/>
                <w:sz w:val="24"/>
              </w:rPr>
              <w:t>I</w:t>
            </w:r>
            <w:r>
              <w:rPr>
                <w:rStyle w:val="InstructionsTabelleText"/>
                <w:rFonts w:ascii="Times New Roman" w:hAnsi="Times New Roman"/>
                <w:sz w:val="24"/>
              </w:rPr>
              <w:t>DIRANI KAPITAL“, je znesek, kot izhaja iz naslova II dela 2 CRR, pri čemer se ne upošteva kapital, ki ga prispevajo drugi subjekti skupine.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KVALIFICIRANI KAPITAL, VKLJUČEN V KONSOLIDIRANI KAPITAL</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Člen 87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KVALIFICIRANI INSTRUMENTI TEMELJNEGA KAPITALA, VKLJUČENI V KONSOLIDIRANI TEMELJNI KAPITAL</w:t>
            </w:r>
          </w:p>
          <w:p w:rsidR="00464F34" w:rsidRPr="00392FFD" w:rsidRDefault="00464F34" w:rsidP="00871877">
            <w:pPr>
              <w:rPr>
                <w:rStyle w:val="InstructionsTabelleText"/>
                <w:rFonts w:ascii="Times New Roman" w:hAnsi="Times New Roman"/>
                <w:sz w:val="24"/>
              </w:rPr>
            </w:pPr>
            <w:r>
              <w:rPr>
                <w:rStyle w:val="InstructionsTabelleText"/>
                <w:rFonts w:ascii="Times New Roman" w:hAnsi="Times New Roman"/>
                <w:sz w:val="24"/>
              </w:rPr>
              <w:t>Člen 85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320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MANJŠINSKI DELEŽI, VKLJUČENI V KONSOLIDIRANI NAVADNI LAS</w:t>
            </w:r>
            <w:r>
              <w:rPr>
                <w:rStyle w:val="InstructionsTabelleberschrift"/>
                <w:rFonts w:ascii="Times New Roman" w:hAnsi="Times New Roman"/>
                <w:sz w:val="24"/>
              </w:rPr>
              <w:t>T</w:t>
            </w:r>
            <w:r>
              <w:rPr>
                <w:rStyle w:val="InstructionsTabelleberschrift"/>
                <w:rFonts w:ascii="Times New Roman" w:hAnsi="Times New Roman"/>
                <w:sz w:val="24"/>
              </w:rPr>
              <w:t>NIŠKI TEMELJNI KAPITAL</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Člen 84 CRR.</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 xml:space="preserve">Znesek, ki se poroča, je znesek manjšinskih deležev podrejene družbe, ki je vključen v konsolidirani dodatni temeljni kapital v skladu s CRR.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330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KVALIFICIRANI INSTRUMENTI TEMELJNEGA KAPITALA, VKLJUČENI V KONSOLIDIRANI DODATNI TEMELJNI KAPITAL</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Člen 86 CRR.</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 xml:space="preserve">Znesek, ki se poroča, je znesek kvalificiranega temeljnega kapitala podrejene družbe, ki je vključen v konsolidirani dodatni temeljni kapital v skladu s CRR.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KVALIFICIRANI KAPITALSKI INSTRUMENTI, VKLJUČENI V KONSOL</w:t>
            </w:r>
            <w:r>
              <w:rPr>
                <w:rStyle w:val="InstructionsTabelleberschrift"/>
                <w:rFonts w:ascii="Times New Roman" w:hAnsi="Times New Roman"/>
                <w:sz w:val="24"/>
              </w:rPr>
              <w:t>I</w:t>
            </w:r>
            <w:r>
              <w:rPr>
                <w:rStyle w:val="InstructionsTabelleberschrift"/>
                <w:rFonts w:ascii="Times New Roman" w:hAnsi="Times New Roman"/>
                <w:sz w:val="24"/>
              </w:rPr>
              <w:t>DIRANI DODATNI KAPITAL</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Člen 88 CRR.</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Znesek, ki se poroča, je znesek kvalificiranega kapitala podrejene družbe, ki je vklj</w:t>
            </w:r>
            <w:r>
              <w:rPr>
                <w:rStyle w:val="InstructionsTabelleText"/>
                <w:rFonts w:ascii="Times New Roman" w:hAnsi="Times New Roman"/>
                <w:sz w:val="24"/>
              </w:rPr>
              <w:t>u</w:t>
            </w:r>
            <w:r>
              <w:rPr>
                <w:rStyle w:val="InstructionsTabelleText"/>
                <w:rFonts w:ascii="Times New Roman" w:hAnsi="Times New Roman"/>
                <w:sz w:val="24"/>
              </w:rPr>
              <w:t xml:space="preserve">čen v konsolidirani dodatni kapital v skladu s CRR. </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lastRenderedPageBreak/>
              <w:t>350</w:t>
            </w:r>
          </w:p>
        </w:tc>
        <w:tc>
          <w:tcPr>
            <w:tcW w:w="8640" w:type="dxa"/>
          </w:tcPr>
          <w:p w:rsidR="00464F34" w:rsidRPr="00392FFD" w:rsidRDefault="00464F34" w:rsidP="00464F34">
            <w:pPr>
              <w:rPr>
                <w:rStyle w:val="InstructionsTabelleberschrift"/>
                <w:rFonts w:ascii="Times New Roman" w:hAnsi="Times New Roman"/>
                <w:b w:val="0"/>
                <w:sz w:val="24"/>
              </w:rPr>
            </w:pPr>
            <w:r>
              <w:rPr>
                <w:rStyle w:val="InstructionsTabelleberschrift"/>
                <w:rFonts w:ascii="Times New Roman" w:hAnsi="Times New Roman"/>
                <w:sz w:val="24"/>
              </w:rPr>
              <w:t>POJASNJEVALNA POSTAVKA: DOBRO IME (–)/(+) NEGATIVNO DOBRO IME</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360–400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KONSOLIDIRANI KAPITAL</w:t>
            </w:r>
          </w:p>
          <w:p w:rsidR="00144F03" w:rsidRPr="00392FFD" w:rsidRDefault="00144F03" w:rsidP="00464F34">
            <w:pPr>
              <w:rPr>
                <w:rStyle w:val="InstructionsTabelleText"/>
                <w:rFonts w:ascii="Times New Roman" w:hAnsi="Times New Roman"/>
                <w:sz w:val="24"/>
              </w:rPr>
            </w:pPr>
            <w:r>
              <w:rPr>
                <w:rStyle w:val="InstructionsTabelleText"/>
                <w:rFonts w:ascii="Times New Roman" w:hAnsi="Times New Roman"/>
                <w:sz w:val="24"/>
              </w:rPr>
              <w:t>Člen 18 CRR.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Znesek, ki se poroča kot „KONSOLIDIRANI KAPITAL“, je znesek, kot izhaja iz bilance stanja, brez kapitala, ki ga prispevajo drugi subjekti skupine.</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KONSOLIDIRANI KAPITAL</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OD TEGA: NAVADNI LASTNIŠKI TEMELJNI KAPITAL</w:t>
            </w:r>
          </w:p>
        </w:tc>
      </w:tr>
      <w:tr w:rsidR="00464F34" w:rsidRPr="00392FFD" w:rsidTr="00672D2A">
        <w:tc>
          <w:tcPr>
            <w:tcW w:w="1188" w:type="dxa"/>
          </w:tcPr>
          <w:p w:rsidR="00464F34" w:rsidRPr="00392FFD" w:rsidDel="0081176B" w:rsidRDefault="00464F34" w:rsidP="00464F34">
            <w:pPr>
              <w:rPr>
                <w:rFonts w:ascii="Times New Roman" w:hAnsi="Times New Roman"/>
                <w:sz w:val="24"/>
              </w:rPr>
            </w:pPr>
            <w:r>
              <w:rPr>
                <w:rFonts w:ascii="Times New Roman" w:hAnsi="Times New Roman"/>
                <w:sz w:val="24"/>
              </w:rPr>
              <w:t>380</w:t>
            </w:r>
          </w:p>
        </w:tc>
        <w:tc>
          <w:tcPr>
            <w:tcW w:w="8640" w:type="dxa"/>
          </w:tcPr>
          <w:p w:rsidR="00464F34" w:rsidRPr="00392FFD" w:rsidDel="0081176B"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OD TEGA: DODATNI TEMELJNI KAPITAL</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390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OD TEGA: PRISPEVKI H KONSOLIDIRANEMU REZULTATU</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Poročajo se prispevki vseh subjektov h konsolidiranemu rezultatu (dobiček ali izguba (–)). To vključuje rezultate, ki se lahko pripišejo manjšinskim deležem.</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OD TEGA: (‒) DOBRO IME/(+) NEGATIVNO DOBRO IME</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V tem polju se poroča dobro ime ali negativno dobro ime poročevalskega subjekta gl</w:t>
            </w:r>
            <w:r>
              <w:rPr>
                <w:rStyle w:val="InstructionsTabelleText"/>
                <w:rFonts w:ascii="Times New Roman" w:hAnsi="Times New Roman"/>
                <w:sz w:val="24"/>
              </w:rPr>
              <w:t>e</w:t>
            </w:r>
            <w:r>
              <w:rPr>
                <w:rStyle w:val="InstructionsTabelleText"/>
                <w:rFonts w:ascii="Times New Roman" w:hAnsi="Times New Roman"/>
                <w:sz w:val="24"/>
              </w:rPr>
              <w:t>de podrejene družbe.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410–480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KAPITALSKI BLAŽILNIKI</w:t>
            </w:r>
          </w:p>
          <w:p w:rsidR="00464F34" w:rsidRPr="00392FFD" w:rsidRDefault="00464F34" w:rsidP="00096566">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Struktura poročanja kapitalskih blažilnikov v predlogi GS temelji na splošni strukturi predloge CA4, pri čemer se uporabljajo isti koncepti poročanja. Pri poročanju kapita</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skih blažilnikov v predlogi GS se ustrezni zneski poročajo v skladu z določbami, ki veljajo za določitev zahteve po blažilniku za konsolidiran položaj skupine. Zato zneski kapitalskih blažilnikov, ki se poročajo, predstavljajo prispevke posameznih subjektov h kapitalskim blažilnikom skupine. Zneski, ki se poročajo, temeljijo na nacionalnih ukr</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pih za prenos CRD in na CRR, vključno z morebitnimi prehodnimi določbami.</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ZAHTEVA PO SKUPNEM BLAŽILNIKU</w:t>
            </w:r>
          </w:p>
          <w:p w:rsidR="00464F34" w:rsidRPr="00392FFD" w:rsidRDefault="00464F34" w:rsidP="00941843">
            <w:pPr>
              <w:tabs>
                <w:tab w:val="left" w:pos="3510"/>
              </w:tabs>
              <w:rPr>
                <w:rStyle w:val="InstructionsTabelleberschrift"/>
                <w:rFonts w:ascii="Times New Roman" w:hAnsi="Times New Roman"/>
                <w:sz w:val="24"/>
              </w:rPr>
            </w:pPr>
            <w:r>
              <w:rPr>
                <w:rStyle w:val="InstructionsTabelleText"/>
                <w:rFonts w:ascii="Times New Roman" w:hAnsi="Times New Roman"/>
                <w:sz w:val="24"/>
              </w:rPr>
              <w:t>Člen 128(6) CRD.</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VAROVALNI KAPITALSKI BLAŽILNIK</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Člen 128(1) in člen 129 CRD.</w:t>
            </w:r>
          </w:p>
          <w:p w:rsidR="00464F34" w:rsidRPr="00392FFD" w:rsidRDefault="00464F34" w:rsidP="00FD239F">
            <w:pPr>
              <w:pStyle w:val="InstructionsText"/>
              <w:rPr>
                <w:rStyle w:val="InstructionsTabelleText"/>
                <w:rFonts w:ascii="Times New Roman" w:hAnsi="Times New Roman"/>
                <w:sz w:val="24"/>
              </w:rPr>
            </w:pPr>
            <w:r>
              <w:t>V skladu s členom 129(1) je varovalni kapitalski blažilnik dodatni znesek navadnega lastniškega temeljnega kapitala. Ker je stopnja varovalnega kapitalskega blažilnika v višini 2,5 % stalna, se znesek poroča v tej celici.</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POSAMEZNI INSTITUCIJI LASTEN PROTICIKLIČNI KAPITALSKI BL</w:t>
            </w:r>
            <w:r>
              <w:rPr>
                <w:rStyle w:val="InstructionsTabelleberschrift"/>
                <w:rFonts w:ascii="Times New Roman" w:hAnsi="Times New Roman"/>
                <w:sz w:val="24"/>
              </w:rPr>
              <w:t>A</w:t>
            </w:r>
            <w:r>
              <w:rPr>
                <w:rStyle w:val="InstructionsTabelleberschrift"/>
                <w:rFonts w:ascii="Times New Roman" w:hAnsi="Times New Roman"/>
                <w:sz w:val="24"/>
              </w:rPr>
              <w:t>ŽILNIK</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Člen 128(2), člen 130 in členi 135 do 140 CRD.</w:t>
            </w:r>
          </w:p>
          <w:p w:rsidR="00464F34" w:rsidRPr="00392FFD" w:rsidRDefault="00464F34" w:rsidP="00FD239F">
            <w:pPr>
              <w:pStyle w:val="InstructionsText"/>
              <w:rPr>
                <w:rStyle w:val="InstructionsTabelleText"/>
                <w:rFonts w:ascii="Times New Roman" w:hAnsi="Times New Roman"/>
                <w:sz w:val="24"/>
              </w:rPr>
            </w:pPr>
            <w:r>
              <w:t>V tej celici se poroča dejanski znesek proticikličnega blažilnika.</w:t>
            </w:r>
          </w:p>
        </w:tc>
      </w:tr>
      <w:tr w:rsidR="00464F34" w:rsidRPr="00392FFD" w:rsidTr="00672D2A">
        <w:tc>
          <w:tcPr>
            <w:tcW w:w="1188" w:type="dxa"/>
          </w:tcPr>
          <w:p w:rsidR="00464F34" w:rsidRPr="00392FFD" w:rsidDel="00D70027"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440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VAROVALNI BLAŽILNIK ZARADI MAKROBONITETNEGA ALI SISTE</w:t>
            </w:r>
            <w:r>
              <w:rPr>
                <w:rStyle w:val="InstructionsTabelleberschrift"/>
                <w:rFonts w:ascii="Times New Roman" w:hAnsi="Times New Roman"/>
                <w:sz w:val="24"/>
              </w:rPr>
              <w:t>M</w:t>
            </w:r>
            <w:r>
              <w:rPr>
                <w:rStyle w:val="InstructionsTabelleberschrift"/>
                <w:rFonts w:ascii="Times New Roman" w:hAnsi="Times New Roman"/>
                <w:sz w:val="24"/>
              </w:rPr>
              <w:t>SKEGA TVEGANJA, UGOTOVLJENEGA NA RAVNI DRŽAVE ČLANICE</w:t>
            </w:r>
          </w:p>
          <w:p w:rsidR="00464F34" w:rsidRPr="00392FFD" w:rsidRDefault="00464F34" w:rsidP="00464F34">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458(2)(d)(iv) CRR.</w:t>
            </w:r>
          </w:p>
          <w:p w:rsidR="00464F34" w:rsidRPr="00392FFD" w:rsidRDefault="00464F34" w:rsidP="00FD239F">
            <w:pPr>
              <w:pStyle w:val="InstructionsText"/>
              <w:rPr>
                <w:rStyle w:val="InstructionsTabelleberschrift"/>
                <w:rFonts w:ascii="Times New Roman" w:hAnsi="Times New Roman"/>
                <w:sz w:val="24"/>
              </w:rPr>
            </w:pPr>
            <w:r>
              <w:t xml:space="preserve">V tej celici se poroča znesek varovalnega blažilnika zaradi </w:t>
            </w:r>
            <w:proofErr w:type="spellStart"/>
            <w:r>
              <w:t>makrobonitetnega</w:t>
            </w:r>
            <w:proofErr w:type="spellEnd"/>
            <w:r>
              <w:t xml:space="preserve"> ali si</w:t>
            </w:r>
            <w:r>
              <w:t>s</w:t>
            </w:r>
            <w:r>
              <w:t>temskega tveganja, ugotovljenega na ravni države članice, ki se lahko v skladu s čl</w:t>
            </w:r>
            <w:r>
              <w:t>e</w:t>
            </w:r>
            <w:r>
              <w:t>nom 458 CRR zahteva poleg varovalnega kapitalskega blažilnika.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BLAŽILNIK SISTEMSKIH TVEGANJ</w:t>
            </w:r>
          </w:p>
          <w:p w:rsidR="00464F34" w:rsidRPr="00392FFD" w:rsidRDefault="00464F34" w:rsidP="00FD239F">
            <w:pPr>
              <w:pStyle w:val="InstructionsText"/>
            </w:pPr>
            <w:r>
              <w:t xml:space="preserve">Člen 128(5) ter člena 133 in 134 CRD. </w:t>
            </w:r>
          </w:p>
          <w:p w:rsidR="00464F34" w:rsidRPr="00392FFD" w:rsidRDefault="00464F34" w:rsidP="00464F34">
            <w:pPr>
              <w:rPr>
                <w:rStyle w:val="InstructionsTabelleberschrift"/>
                <w:rFonts w:ascii="Times New Roman" w:hAnsi="Times New Roman"/>
                <w:sz w:val="24"/>
              </w:rPr>
            </w:pPr>
            <w:r>
              <w:rPr>
                <w:rFonts w:ascii="Times New Roman" w:hAnsi="Times New Roman"/>
                <w:sz w:val="24"/>
              </w:rPr>
              <w:t>V tej celici se poroča znesek blažilnika sistemskih tveganj.</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470</w:t>
            </w:r>
          </w:p>
        </w:tc>
        <w:tc>
          <w:tcPr>
            <w:tcW w:w="8640" w:type="dxa"/>
          </w:tcPr>
          <w:p w:rsidR="00464F34" w:rsidRPr="00392FFD" w:rsidRDefault="00464F34" w:rsidP="00464F34">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BLAŽILNIK ZA GLOBALNE SISTEMSKO POMEMBNE INSTITUCIJE</w:t>
            </w:r>
            <w:r>
              <w:tab/>
            </w:r>
          </w:p>
          <w:p w:rsidR="00464F34" w:rsidRPr="00392FFD" w:rsidRDefault="00464F3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128(3) in člen 131 direktive CRD.</w:t>
            </w:r>
          </w:p>
          <w:p w:rsidR="00483FC9" w:rsidRPr="00392FFD" w:rsidRDefault="00464F34" w:rsidP="00FD239F">
            <w:pPr>
              <w:pStyle w:val="InstructionsText"/>
              <w:rPr>
                <w:rStyle w:val="InstructionsTabelleberschrift"/>
                <w:rFonts w:ascii="Times New Roman" w:hAnsi="Times New Roman"/>
                <w:sz w:val="24"/>
              </w:rPr>
            </w:pPr>
            <w:r>
              <w:t>V tej celici se poroča znesek blažilnika za globalne sistemsko pomembne institucije.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480</w:t>
            </w:r>
          </w:p>
        </w:tc>
        <w:tc>
          <w:tcPr>
            <w:tcW w:w="8640" w:type="dxa"/>
          </w:tcPr>
          <w:p w:rsidR="00464F34" w:rsidRPr="00392FFD" w:rsidRDefault="00464F34" w:rsidP="00464F34">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BLAŽILNIK ZA DRUGE SISTEMSKO POMEMBNE INSTITUCIJE</w:t>
            </w:r>
            <w:r>
              <w:tab/>
            </w:r>
          </w:p>
          <w:p w:rsidR="00464F34" w:rsidRPr="00392FFD" w:rsidRDefault="00464F34" w:rsidP="00FD239F">
            <w:pPr>
              <w:pStyle w:val="InstructionsText"/>
            </w:pPr>
            <w:r>
              <w:t>Člen 128(4) in člen 131 direktive CRD.</w:t>
            </w:r>
          </w:p>
          <w:p w:rsidR="00464F34" w:rsidRPr="00392FFD" w:rsidRDefault="00464F34" w:rsidP="00FD239F">
            <w:pPr>
              <w:pStyle w:val="InstructionsText"/>
              <w:rPr>
                <w:rStyle w:val="InstructionsTabelleberschrift"/>
                <w:rFonts w:ascii="Times New Roman" w:hAnsi="Times New Roman"/>
                <w:sz w:val="24"/>
              </w:rPr>
            </w:pPr>
            <w:r>
              <w:t>V tej celici se poroča znesek blažilnika za druge sistemsko pomembne institucije.</w:t>
            </w:r>
          </w:p>
        </w:tc>
      </w:tr>
    </w:tbl>
    <w:p w:rsidR="00FC1030" w:rsidRPr="00392FFD" w:rsidRDefault="00FC1030" w:rsidP="00FD239F">
      <w:pPr>
        <w:pStyle w:val="InstructionsText"/>
      </w:pPr>
    </w:p>
    <w:p w:rsidR="00464F34" w:rsidRPr="00392FFD" w:rsidRDefault="00B43C2A" w:rsidP="0023700C">
      <w:pPr>
        <w:pStyle w:val="Instructionsberschrift2"/>
        <w:numPr>
          <w:ilvl w:val="0"/>
          <w:numId w:val="0"/>
        </w:numPr>
        <w:ind w:left="357" w:hanging="357"/>
        <w:rPr>
          <w:rFonts w:ascii="Times New Roman" w:hAnsi="Times New Roman" w:cs="Times New Roman"/>
          <w:sz w:val="24"/>
        </w:rPr>
      </w:pPr>
      <w:bookmarkStart w:id="144" w:name="_Toc310415013"/>
      <w:bookmarkStart w:id="145" w:name="_Toc360188344"/>
      <w:bookmarkStart w:id="146" w:name="_Toc516210628"/>
      <w:bookmarkStart w:id="147" w:name="_Toc473560893"/>
      <w:bookmarkStart w:id="148" w:name="_Toc523474377"/>
      <w:r>
        <w:rPr>
          <w:rFonts w:ascii="Times New Roman" w:hAnsi="Times New Roman"/>
          <w:sz w:val="24"/>
          <w:u w:val="none"/>
        </w:rPr>
        <w:t>3.</w:t>
      </w:r>
      <w:r w:rsidR="003F40E8" w:rsidRPr="003F40E8">
        <w:rPr>
          <w:u w:val="none"/>
        </w:rPr>
        <w:tab/>
      </w:r>
      <w:r>
        <w:rPr>
          <w:rFonts w:ascii="Times New Roman" w:hAnsi="Times New Roman"/>
          <w:sz w:val="24"/>
        </w:rPr>
        <w:t>Predloge za kreditno tveganje</w:t>
      </w:r>
      <w:bookmarkEnd w:id="144"/>
      <w:bookmarkEnd w:id="145"/>
      <w:bookmarkEnd w:id="146"/>
      <w:bookmarkEnd w:id="147"/>
      <w:bookmarkEnd w:id="148"/>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49" w:name="_Toc360188345"/>
      <w:bookmarkStart w:id="150" w:name="_Toc516210629"/>
      <w:bookmarkStart w:id="151" w:name="_Toc473560894"/>
      <w:bookmarkStart w:id="152" w:name="_Toc262568022"/>
      <w:bookmarkStart w:id="153" w:name="_Toc295829848"/>
      <w:bookmarkStart w:id="154" w:name="_Toc310415014"/>
      <w:bookmarkStart w:id="155" w:name="_Toc523474378"/>
      <w:r>
        <w:rPr>
          <w:rFonts w:ascii="Times New Roman" w:hAnsi="Times New Roman"/>
          <w:sz w:val="24"/>
          <w:u w:val="none"/>
        </w:rPr>
        <w:t>3.1.</w:t>
      </w:r>
      <w:r w:rsidR="003F40E8" w:rsidRPr="003F40E8">
        <w:rPr>
          <w:u w:val="none"/>
        </w:rPr>
        <w:tab/>
      </w:r>
      <w:r>
        <w:rPr>
          <w:rFonts w:ascii="Times New Roman" w:hAnsi="Times New Roman"/>
          <w:sz w:val="24"/>
        </w:rPr>
        <w:t>Splošne opombe</w:t>
      </w:r>
      <w:bookmarkEnd w:id="149"/>
      <w:bookmarkEnd w:id="150"/>
      <w:bookmarkEnd w:id="151"/>
      <w:bookmarkEnd w:id="155"/>
      <w:r>
        <w:rPr>
          <w:rFonts w:ascii="Times New Roman" w:hAnsi="Times New Roman"/>
          <w:sz w:val="24"/>
        </w:rPr>
        <w:t xml:space="preserve"> </w:t>
      </w:r>
      <w:bookmarkEnd w:id="152"/>
      <w:bookmarkEnd w:id="153"/>
      <w:bookmarkEnd w:id="154"/>
    </w:p>
    <w:p w:rsidR="00464F34" w:rsidRPr="00392FFD" w:rsidRDefault="00125707" w:rsidP="00C37B29">
      <w:pPr>
        <w:pStyle w:val="InstructionsText2"/>
        <w:numPr>
          <w:ilvl w:val="0"/>
          <w:numId w:val="0"/>
        </w:numPr>
        <w:ind w:left="993"/>
      </w:pPr>
      <w:r>
        <w:t>38.</w:t>
      </w:r>
      <w:r>
        <w:tab/>
        <w:t xml:space="preserve">Obstajajo različni sklopi predlog za standardizirani pristop in pristop IRB za kreditno tveganje. Poleg tega se poročajo ločene predloge za geografsko razčlenitev izpostavljenosti iz naslova kreditnega tveganja, če je presežen zadevni prag iz člena 5(a)(4).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56" w:name="_Toc262568023"/>
      <w:bookmarkStart w:id="157" w:name="_Toc295829849"/>
      <w:bookmarkStart w:id="158" w:name="_Toc310415015"/>
      <w:bookmarkStart w:id="159" w:name="_Toc360188346"/>
      <w:bookmarkStart w:id="160" w:name="_Toc516210630"/>
      <w:bookmarkStart w:id="161" w:name="_Toc473560895"/>
      <w:bookmarkStart w:id="162" w:name="_Toc523474379"/>
      <w:r>
        <w:rPr>
          <w:rFonts w:ascii="Times New Roman" w:hAnsi="Times New Roman"/>
          <w:sz w:val="24"/>
          <w:u w:val="none"/>
        </w:rPr>
        <w:t>3.1.1.</w:t>
      </w:r>
      <w:r w:rsidR="003F40E8" w:rsidRPr="003F40E8">
        <w:rPr>
          <w:u w:val="none"/>
        </w:rPr>
        <w:tab/>
      </w:r>
      <w:r>
        <w:rPr>
          <w:rFonts w:ascii="Times New Roman" w:hAnsi="Times New Roman"/>
          <w:sz w:val="24"/>
        </w:rPr>
        <w:t>Poročanje o tehnikah za zmanjševanje kreditnega tveganja z učinkom zamenjave</w:t>
      </w:r>
      <w:bookmarkEnd w:id="156"/>
      <w:bookmarkEnd w:id="157"/>
      <w:bookmarkEnd w:id="158"/>
      <w:bookmarkEnd w:id="159"/>
      <w:bookmarkEnd w:id="160"/>
      <w:bookmarkEnd w:id="161"/>
      <w:bookmarkEnd w:id="162"/>
    </w:p>
    <w:p w:rsidR="00464F34" w:rsidRPr="00392FFD" w:rsidRDefault="00125707" w:rsidP="00C37B29">
      <w:pPr>
        <w:pStyle w:val="InstructionsText2"/>
        <w:numPr>
          <w:ilvl w:val="0"/>
          <w:numId w:val="0"/>
        </w:numPr>
        <w:ind w:left="993"/>
      </w:pPr>
      <w:r>
        <w:t>39.</w:t>
      </w:r>
      <w:r>
        <w:tab/>
        <w:t>V členu 235 CRR je opisan postopek izračuna izpostavljenosti, ki je v celoti zavarovana z osebnim zavarovanjem.</w:t>
      </w:r>
    </w:p>
    <w:p w:rsidR="00464F34" w:rsidRPr="00392FFD" w:rsidRDefault="00125707" w:rsidP="00C37B29">
      <w:pPr>
        <w:pStyle w:val="InstructionsText2"/>
        <w:numPr>
          <w:ilvl w:val="0"/>
          <w:numId w:val="0"/>
        </w:numPr>
        <w:ind w:left="993"/>
      </w:pPr>
      <w:r>
        <w:t>40.</w:t>
      </w:r>
      <w:r>
        <w:tab/>
        <w:t>V členu 236 CRR je opisan postopek izračuna izpostavljenosti, ki je v celoti zavarovana z osebnim zavarovanjem, v primeru polnega zavarovanja/delnega zav</w:t>
      </w:r>
      <w:r>
        <w:t>a</w:t>
      </w:r>
      <w:r>
        <w:t>rovanja – enaka zapadlost.</w:t>
      </w:r>
    </w:p>
    <w:p w:rsidR="00464F34" w:rsidRPr="00392FFD" w:rsidRDefault="00125707" w:rsidP="00C37B29">
      <w:pPr>
        <w:pStyle w:val="InstructionsText2"/>
        <w:numPr>
          <w:ilvl w:val="0"/>
          <w:numId w:val="0"/>
        </w:numPr>
        <w:ind w:left="993"/>
      </w:pPr>
      <w:r>
        <w:t>41.</w:t>
      </w:r>
      <w:r>
        <w:tab/>
        <w:t>Členi 196, 197 in 200 CRR urejajo stvarno kreditno zavarovanje.</w:t>
      </w:r>
    </w:p>
    <w:p w:rsidR="00464F34" w:rsidRPr="00392FFD" w:rsidRDefault="00125707" w:rsidP="00C37B29">
      <w:pPr>
        <w:pStyle w:val="InstructionsText2"/>
        <w:numPr>
          <w:ilvl w:val="0"/>
          <w:numId w:val="0"/>
        </w:numPr>
        <w:ind w:left="993"/>
      </w:pPr>
      <w:r>
        <w:t>42.</w:t>
      </w:r>
      <w:r>
        <w:tab/>
        <w:t>Poročanje izpostavljenosti do dolžnikov (neposrednih nasprotnih strank) in dajalcev zavarovanja, ki so razvrščeni v isto kategorijo izpostavljenosti, se izvede kot priliv v isto kategorijo izpostavljenosti in kot odliv iz nje.</w:t>
      </w:r>
    </w:p>
    <w:p w:rsidR="00464F34" w:rsidRPr="00392FFD" w:rsidRDefault="00125707" w:rsidP="00C37B29">
      <w:pPr>
        <w:pStyle w:val="InstructionsText2"/>
        <w:numPr>
          <w:ilvl w:val="0"/>
          <w:numId w:val="0"/>
        </w:numPr>
        <w:ind w:left="993"/>
      </w:pPr>
      <w:r>
        <w:lastRenderedPageBreak/>
        <w:t>43.</w:t>
      </w:r>
      <w:r>
        <w:tab/>
        <w:t>Vrsta izpostavljenosti se ne spremeni zaradi osebnega kreditnega zavarovanja.</w:t>
      </w:r>
    </w:p>
    <w:p w:rsidR="00464F34" w:rsidRPr="00392FFD" w:rsidRDefault="00125707" w:rsidP="00C37B29">
      <w:pPr>
        <w:pStyle w:val="InstructionsText2"/>
        <w:numPr>
          <w:ilvl w:val="0"/>
          <w:numId w:val="0"/>
        </w:numPr>
        <w:ind w:left="993"/>
      </w:pPr>
      <w:r>
        <w:t>44.</w:t>
      </w:r>
      <w:r>
        <w:tab/>
        <w:t>Če je izpostavljenost zavarovana z osebnim kreditnim zavarovanjem, je zav</w:t>
      </w:r>
      <w:r>
        <w:t>a</w:t>
      </w:r>
      <w:r>
        <w:t>rovani del razvrščen kot odliv, npr. v kategoriji izpostavljenosti dolžnika, in kot pr</w:t>
      </w:r>
      <w:r>
        <w:t>i</w:t>
      </w:r>
      <w:r>
        <w:t>liv v kategoriji izpostavljenosti dajalca zavarovanja. Vendar se vrsta izpostavljeno</w:t>
      </w:r>
      <w:r>
        <w:t>s</w:t>
      </w:r>
      <w:r>
        <w:t>ti ne spremeni zaradi spremembe kategorije izpostavljenosti.</w:t>
      </w:r>
    </w:p>
    <w:p w:rsidR="00464F34" w:rsidRPr="00392FFD" w:rsidRDefault="00125707" w:rsidP="00C37B29">
      <w:pPr>
        <w:pStyle w:val="InstructionsText2"/>
        <w:numPr>
          <w:ilvl w:val="0"/>
          <w:numId w:val="0"/>
        </w:numPr>
        <w:ind w:left="993"/>
      </w:pPr>
      <w:r>
        <w:t>45.</w:t>
      </w:r>
      <w:r>
        <w:tab/>
        <w:t>Učinek zamenjave v okviru poročanja COREP odraža tveganju prilagojeno obravnavanje, ki se dejansko uporablja za zavarovani del izpostavljenosti. Zavar</w:t>
      </w:r>
      <w:r>
        <w:t>o</w:t>
      </w:r>
      <w:r>
        <w:t xml:space="preserve">vani del izpostavljenosti je kot tak prilagojen tveganju v skladu s standardiziranim pristopom in se poroča v predlogi CR SA.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63" w:name="_Toc262568024"/>
      <w:bookmarkStart w:id="164" w:name="_Toc295829850"/>
      <w:bookmarkStart w:id="165" w:name="_Toc310415016"/>
      <w:bookmarkStart w:id="166" w:name="_Toc360188347"/>
      <w:bookmarkStart w:id="167" w:name="_Toc516210631"/>
      <w:bookmarkStart w:id="168" w:name="_Toc473560896"/>
      <w:bookmarkStart w:id="169" w:name="_Toc523474380"/>
      <w:r>
        <w:rPr>
          <w:rFonts w:ascii="Times New Roman" w:hAnsi="Times New Roman"/>
          <w:sz w:val="24"/>
          <w:u w:val="none"/>
        </w:rPr>
        <w:t>3.1.2.</w:t>
      </w:r>
      <w:r w:rsidR="003F40E8" w:rsidRPr="003F40E8">
        <w:rPr>
          <w:u w:val="none"/>
        </w:rPr>
        <w:tab/>
      </w:r>
      <w:r>
        <w:rPr>
          <w:rFonts w:ascii="Times New Roman" w:hAnsi="Times New Roman"/>
          <w:sz w:val="24"/>
        </w:rPr>
        <w:t>Poročanje o kreditnem tveganju nasprotne stranke</w:t>
      </w:r>
      <w:bookmarkEnd w:id="163"/>
      <w:bookmarkEnd w:id="164"/>
      <w:bookmarkEnd w:id="165"/>
      <w:bookmarkEnd w:id="166"/>
      <w:bookmarkEnd w:id="167"/>
      <w:bookmarkEnd w:id="168"/>
      <w:bookmarkEnd w:id="169"/>
    </w:p>
    <w:p w:rsidR="00464F34" w:rsidRPr="00392FFD" w:rsidRDefault="00125707" w:rsidP="00C37B29">
      <w:pPr>
        <w:pStyle w:val="InstructionsText2"/>
        <w:numPr>
          <w:ilvl w:val="0"/>
          <w:numId w:val="0"/>
        </w:numPr>
        <w:ind w:left="993"/>
      </w:pPr>
      <w:r>
        <w:t>46.</w:t>
      </w:r>
      <w:r>
        <w:tab/>
        <w:t xml:space="preserve">Izpostavljenosti, ki izhajajo iz pozicij kreditnega tveganja nasprotne stranke, se poročajo v predlogi CR SA ali CR IRB ne glede na to, ali so postavke </w:t>
      </w:r>
      <w:proofErr w:type="spellStart"/>
      <w:r>
        <w:t>netrgovalne</w:t>
      </w:r>
      <w:proofErr w:type="spellEnd"/>
      <w:r>
        <w:t xml:space="preserve"> knjige ali postavke trgovalne knjige.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70" w:name="_Toc292456202"/>
      <w:bookmarkStart w:id="171" w:name="_Toc295829851"/>
      <w:bookmarkStart w:id="172" w:name="_Toc310415017"/>
      <w:bookmarkStart w:id="173" w:name="_Toc360188348"/>
      <w:bookmarkStart w:id="174" w:name="_Toc516210632"/>
      <w:bookmarkStart w:id="175" w:name="_Toc473560897"/>
      <w:bookmarkStart w:id="176" w:name="_Toc523474381"/>
      <w:r>
        <w:rPr>
          <w:rFonts w:ascii="Times New Roman" w:hAnsi="Times New Roman"/>
          <w:sz w:val="24"/>
          <w:u w:val="none"/>
        </w:rPr>
        <w:t>3.2.</w:t>
      </w:r>
      <w:r w:rsidR="003F40E8" w:rsidRPr="003F40E8">
        <w:rPr>
          <w:u w:val="none"/>
        </w:rPr>
        <w:tab/>
      </w:r>
      <w:r>
        <w:rPr>
          <w:rFonts w:ascii="Times New Roman" w:hAnsi="Times New Roman"/>
          <w:sz w:val="24"/>
        </w:rPr>
        <w:t>C 07.00 – Kreditno tveganje in kreditno tveganje nasprotne stranke ter proste izroči</w:t>
      </w:r>
      <w:r>
        <w:rPr>
          <w:rFonts w:ascii="Times New Roman" w:hAnsi="Times New Roman"/>
          <w:sz w:val="24"/>
        </w:rPr>
        <w:t>t</w:t>
      </w:r>
      <w:r>
        <w:rPr>
          <w:rFonts w:ascii="Times New Roman" w:hAnsi="Times New Roman"/>
          <w:sz w:val="24"/>
        </w:rPr>
        <w:t>ve: Standardizirani pristop h kapitalskim zahtevam</w:t>
      </w:r>
      <w:bookmarkEnd w:id="170"/>
      <w:bookmarkEnd w:id="171"/>
      <w:bookmarkEnd w:id="172"/>
      <w:bookmarkEnd w:id="173"/>
      <w:r>
        <w:rPr>
          <w:rFonts w:ascii="Times New Roman" w:hAnsi="Times New Roman"/>
          <w:sz w:val="24"/>
        </w:rPr>
        <w:t xml:space="preserve"> (CR SA)</w:t>
      </w:r>
      <w:bookmarkEnd w:id="174"/>
      <w:bookmarkEnd w:id="175"/>
      <w:bookmarkEnd w:id="176"/>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77" w:name="_Toc262568026"/>
      <w:bookmarkStart w:id="178" w:name="_Toc264038424"/>
      <w:bookmarkStart w:id="179" w:name="_Toc292456203"/>
      <w:bookmarkStart w:id="180" w:name="_Toc295829852"/>
      <w:bookmarkStart w:id="181" w:name="_Toc310415018"/>
      <w:bookmarkStart w:id="182" w:name="_Toc360188349"/>
      <w:bookmarkStart w:id="183" w:name="_Toc516210633"/>
      <w:bookmarkStart w:id="184" w:name="_Toc473560898"/>
      <w:bookmarkStart w:id="185" w:name="_Toc523474382"/>
      <w:r>
        <w:rPr>
          <w:rFonts w:ascii="Times New Roman" w:hAnsi="Times New Roman"/>
          <w:sz w:val="24"/>
          <w:u w:val="none"/>
        </w:rPr>
        <w:t>3.2.1.</w:t>
      </w:r>
      <w:r w:rsidR="003F40E8" w:rsidRPr="003F40E8">
        <w:rPr>
          <w:u w:val="none"/>
        </w:rPr>
        <w:tab/>
      </w:r>
      <w:r>
        <w:rPr>
          <w:rFonts w:ascii="Times New Roman" w:hAnsi="Times New Roman"/>
          <w:sz w:val="24"/>
        </w:rPr>
        <w:t>Splošne opombe</w:t>
      </w:r>
      <w:bookmarkEnd w:id="177"/>
      <w:bookmarkEnd w:id="178"/>
      <w:bookmarkEnd w:id="179"/>
      <w:bookmarkEnd w:id="180"/>
      <w:bookmarkEnd w:id="181"/>
      <w:bookmarkEnd w:id="182"/>
      <w:bookmarkEnd w:id="183"/>
      <w:bookmarkEnd w:id="184"/>
      <w:bookmarkEnd w:id="185"/>
    </w:p>
    <w:p w:rsidR="00464F34" w:rsidRPr="00392FFD" w:rsidRDefault="00125707" w:rsidP="00C37B29">
      <w:pPr>
        <w:pStyle w:val="InstructionsText2"/>
        <w:numPr>
          <w:ilvl w:val="0"/>
          <w:numId w:val="0"/>
        </w:numPr>
        <w:ind w:left="993"/>
      </w:pPr>
      <w:r>
        <w:t>47.</w:t>
      </w:r>
      <w:r>
        <w:tab/>
        <w:t>Predloge CR SA zagotavljajo potrebne informacije o izračunu kapitalskih za</w:t>
      </w:r>
      <w:r>
        <w:t>h</w:t>
      </w:r>
      <w:r>
        <w:t>tev za kreditno tveganje v skladu s standardiziranim pristopom. Zagotavljajo zlasti podrobne informacije o:</w:t>
      </w:r>
    </w:p>
    <w:p w:rsidR="00464F34" w:rsidRPr="00392FFD" w:rsidRDefault="00125707" w:rsidP="00C37B29">
      <w:pPr>
        <w:pStyle w:val="InstructionsText2"/>
        <w:numPr>
          <w:ilvl w:val="0"/>
          <w:numId w:val="0"/>
        </w:numPr>
        <w:ind w:left="993"/>
      </w:pPr>
      <w:r>
        <w:t>a)</w:t>
      </w:r>
      <w:r>
        <w:tab/>
        <w:t>razporeditvi vrednosti izpostavljenosti glede na različne vrste izpostavljenosti, uteži tveganja in kategorije izpostavljenosti;</w:t>
      </w:r>
    </w:p>
    <w:p w:rsidR="00464F34" w:rsidRPr="00392FFD" w:rsidRDefault="00125707" w:rsidP="00C37B29">
      <w:pPr>
        <w:pStyle w:val="InstructionsText2"/>
        <w:numPr>
          <w:ilvl w:val="0"/>
          <w:numId w:val="0"/>
        </w:numPr>
        <w:ind w:left="993"/>
      </w:pPr>
      <w:r>
        <w:t>b)</w:t>
      </w:r>
      <w:r>
        <w:tab/>
        <w:t xml:space="preserve">znesku in vrstah tehnik za zmanjševanje kreditnega tveganja, ki se uporabljajo za zmanjševanje tveganj.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86" w:name="_Toc262568027"/>
      <w:bookmarkStart w:id="187" w:name="_Toc264038425"/>
      <w:bookmarkStart w:id="188" w:name="_Toc292456204"/>
      <w:bookmarkStart w:id="189" w:name="_Toc295829853"/>
      <w:bookmarkStart w:id="190" w:name="_Toc310415019"/>
      <w:bookmarkStart w:id="191" w:name="_Toc360188350"/>
      <w:bookmarkStart w:id="192" w:name="_Toc516210634"/>
      <w:bookmarkStart w:id="193" w:name="_Toc473560899"/>
      <w:bookmarkStart w:id="194" w:name="_Toc523474383"/>
      <w:r>
        <w:rPr>
          <w:rFonts w:ascii="Times New Roman" w:hAnsi="Times New Roman"/>
          <w:sz w:val="24"/>
          <w:u w:val="none"/>
        </w:rPr>
        <w:t>3.2.2.</w:t>
      </w:r>
      <w:r w:rsidR="003F40E8" w:rsidRPr="003F40E8">
        <w:rPr>
          <w:u w:val="none"/>
        </w:rPr>
        <w:tab/>
      </w:r>
      <w:r>
        <w:rPr>
          <w:rFonts w:ascii="Times New Roman" w:hAnsi="Times New Roman"/>
          <w:sz w:val="24"/>
        </w:rPr>
        <w:t>Obseg predloge CR SA</w:t>
      </w:r>
      <w:bookmarkEnd w:id="186"/>
      <w:bookmarkEnd w:id="187"/>
      <w:bookmarkEnd w:id="188"/>
      <w:bookmarkEnd w:id="189"/>
      <w:bookmarkEnd w:id="190"/>
      <w:bookmarkEnd w:id="191"/>
      <w:bookmarkEnd w:id="192"/>
      <w:bookmarkEnd w:id="193"/>
      <w:bookmarkEnd w:id="194"/>
    </w:p>
    <w:p w:rsidR="00464F34" w:rsidRPr="00392FFD" w:rsidRDefault="00125707" w:rsidP="00C37B29">
      <w:pPr>
        <w:pStyle w:val="InstructionsText2"/>
        <w:numPr>
          <w:ilvl w:val="0"/>
          <w:numId w:val="0"/>
        </w:numPr>
        <w:ind w:left="993"/>
      </w:pPr>
      <w:r>
        <w:t>48.</w:t>
      </w:r>
      <w:r>
        <w:tab/>
        <w:t>V skladu s členom 112 CRR se vsaka izpostavljenost na podlagi standardizir</w:t>
      </w:r>
      <w:r>
        <w:t>a</w:t>
      </w:r>
      <w:r>
        <w:t>nega pristopa razvrsti v eno od 16 kategorij izpostavljenosti na podlagi standardiz</w:t>
      </w:r>
      <w:r>
        <w:t>i</w:t>
      </w:r>
      <w:r>
        <w:t>ranega pristopa z namenom izračuna kapitalskih zahtev.</w:t>
      </w:r>
    </w:p>
    <w:p w:rsidR="00464F34" w:rsidRPr="00392FFD" w:rsidRDefault="00125707" w:rsidP="00C37B29">
      <w:pPr>
        <w:pStyle w:val="InstructionsText2"/>
        <w:numPr>
          <w:ilvl w:val="0"/>
          <w:numId w:val="0"/>
        </w:numPr>
        <w:ind w:left="993"/>
      </w:pPr>
      <w:r>
        <w:t>49.</w:t>
      </w:r>
      <w:r>
        <w:tab/>
        <w:t>V predlogi CR SA je treba navesti informacije o vseh kategorijah izpostavlj</w:t>
      </w:r>
      <w:r>
        <w:t>e</w:t>
      </w:r>
      <w:r>
        <w:t>nosti in posamezno za vsako kategorijo izpostavljenosti, kot je določeno za sta</w:t>
      </w:r>
      <w:r>
        <w:t>n</w:t>
      </w:r>
      <w:r>
        <w:t xml:space="preserve">dardizirani pristop. Skupne vrednosti in informacije po posameznih kategorijah izpostavljenosti se poročajo ločeno. </w:t>
      </w:r>
    </w:p>
    <w:p w:rsidR="00464F34" w:rsidRPr="00392FFD" w:rsidRDefault="00125707" w:rsidP="00C37B29">
      <w:pPr>
        <w:pStyle w:val="InstructionsText2"/>
        <w:numPr>
          <w:ilvl w:val="0"/>
          <w:numId w:val="0"/>
        </w:numPr>
        <w:ind w:left="993"/>
      </w:pPr>
      <w:r>
        <w:t>50.</w:t>
      </w:r>
      <w:r>
        <w:tab/>
        <w:t>Predloga CR SA pa ne obsega naslednjih izpostavljenosti:</w:t>
      </w:r>
    </w:p>
    <w:p w:rsidR="00464F34" w:rsidRPr="00392FFD" w:rsidRDefault="00125707" w:rsidP="00C37B29">
      <w:pPr>
        <w:pStyle w:val="InstructionsText2"/>
        <w:numPr>
          <w:ilvl w:val="0"/>
          <w:numId w:val="0"/>
        </w:numPr>
        <w:ind w:left="993"/>
      </w:pPr>
      <w:r>
        <w:t>(a)</w:t>
      </w:r>
      <w:r>
        <w:tab/>
        <w:t>izpostavljenosti, razvrščenih v „postavke iz naslova pozicij v listinjenju“ v skladu s členom 112(m) CRR, ki se poročajo v predlogah CR SEC;</w:t>
      </w:r>
    </w:p>
    <w:p w:rsidR="00464F34" w:rsidRPr="00392FFD" w:rsidRDefault="00125707" w:rsidP="00C37B29">
      <w:pPr>
        <w:pStyle w:val="InstructionsText2"/>
        <w:numPr>
          <w:ilvl w:val="0"/>
          <w:numId w:val="0"/>
        </w:numPr>
        <w:ind w:left="993"/>
      </w:pPr>
      <w:r>
        <w:t>(b)</w:t>
      </w:r>
      <w:r>
        <w:tab/>
        <w:t>izpostavljenosti, odbitih od kapitala.</w:t>
      </w:r>
    </w:p>
    <w:p w:rsidR="00464F34" w:rsidRPr="00392FFD" w:rsidRDefault="00125707" w:rsidP="00C37B29">
      <w:pPr>
        <w:pStyle w:val="InstructionsText2"/>
        <w:numPr>
          <w:ilvl w:val="0"/>
          <w:numId w:val="0"/>
        </w:numPr>
        <w:ind w:left="993"/>
      </w:pPr>
      <w:r>
        <w:t>51.</w:t>
      </w:r>
      <w:r>
        <w:tab/>
        <w:t>Obseg predloge CR SA vključuje naslednje kapitalske zahteve:</w:t>
      </w:r>
    </w:p>
    <w:p w:rsidR="00464F34" w:rsidRPr="00392FFD" w:rsidRDefault="00125707" w:rsidP="00C37B29">
      <w:pPr>
        <w:pStyle w:val="InstructionsText2"/>
        <w:numPr>
          <w:ilvl w:val="0"/>
          <w:numId w:val="0"/>
        </w:numPr>
        <w:ind w:left="993"/>
      </w:pPr>
      <w:r>
        <w:lastRenderedPageBreak/>
        <w:t>(a)</w:t>
      </w:r>
      <w:r>
        <w:tab/>
        <w:t>kreditno tveganje v skladu s poglavjem 2 (Standardizirani pristop) naslova II dela 3 CRR v netrgovalni knjigi, vključno s kreditnim tveganjem nasprotne stranke v skladu s poglavjem 6 (Kreditno tveganje nasprotne stranke) naslova II dela 3 CRR v netrgovalni knjigi;</w:t>
      </w:r>
    </w:p>
    <w:p w:rsidR="00464F34" w:rsidRPr="00392FFD" w:rsidRDefault="00125707" w:rsidP="00C37B29">
      <w:pPr>
        <w:pStyle w:val="InstructionsText2"/>
        <w:numPr>
          <w:ilvl w:val="0"/>
          <w:numId w:val="0"/>
        </w:numPr>
        <w:ind w:left="993"/>
      </w:pPr>
      <w:r>
        <w:t>(b)</w:t>
      </w:r>
      <w:r>
        <w:tab/>
        <w:t>kreditno tveganje nasprotne stranke v skladu s poglavjem 6 (Kreditno tveganje nasprotne stranke) naslova II dela 3 CRR v trgovalni knjigi;</w:t>
      </w:r>
    </w:p>
    <w:p w:rsidR="00464F34" w:rsidRPr="00392FFD" w:rsidRDefault="00125707" w:rsidP="00C37B29">
      <w:pPr>
        <w:pStyle w:val="InstructionsText2"/>
        <w:numPr>
          <w:ilvl w:val="0"/>
          <w:numId w:val="0"/>
        </w:numPr>
        <w:ind w:left="993"/>
      </w:pPr>
      <w:r>
        <w:t>(c)</w:t>
      </w:r>
      <w:r>
        <w:tab/>
        <w:t>tveganje poravnave iz naslova prostih izročitev v skladu s členom 379 CRR v zvezi z vsemi poslovnimi dejavnostmi.</w:t>
      </w:r>
    </w:p>
    <w:p w:rsidR="00464F34" w:rsidRPr="00392FFD" w:rsidRDefault="00125707" w:rsidP="00C37B29">
      <w:pPr>
        <w:pStyle w:val="InstructionsText2"/>
        <w:numPr>
          <w:ilvl w:val="0"/>
          <w:numId w:val="0"/>
        </w:numPr>
        <w:ind w:left="993"/>
      </w:pPr>
      <w:r>
        <w:t>52.</w:t>
      </w:r>
      <w:r>
        <w:tab/>
        <w:t>V obseg predloge so vključene vse izpostavljenosti, za katere se kapitalske za</w:t>
      </w:r>
      <w:r>
        <w:t>h</w:t>
      </w:r>
      <w:r>
        <w:t>teve izračunajo v skladu s poglavjem 2 naslova II dela 3 CRR ter v povezavi s poglavjema 4 in 6 naslova II dela 3 CRR. Institucije, ki uporabljajo člen 94(1) CRR, morajo v tej predlogi poročati svoje pozicije, ki izhajajo iz trgovalne knjige, če uporabljajo poglavje 2 naslova II dela 3 CRR za izračun kapitalskih zahtev iz navedene uredbe (poglavji 2 in 6 naslova II dela 3 in naslova V CRR). Zato predl</w:t>
      </w:r>
      <w:r>
        <w:t>o</w:t>
      </w:r>
      <w:r>
        <w:t>ga zagotavlja podrobne informacije o vrsti izpostavljenosti (npr. bilančne posta</w:t>
      </w:r>
      <w:r>
        <w:t>v</w:t>
      </w:r>
      <w:r>
        <w:t>ke/zunajbilančne postavke) in tudi informacije o dodelitvi uteži tveganj v okviru zadevne kategorije izpostavljenosti.</w:t>
      </w:r>
    </w:p>
    <w:p w:rsidR="00464F34" w:rsidRPr="00392FFD" w:rsidRDefault="00125707" w:rsidP="00C37B29">
      <w:pPr>
        <w:pStyle w:val="InstructionsText2"/>
        <w:numPr>
          <w:ilvl w:val="0"/>
          <w:numId w:val="0"/>
        </w:numPr>
        <w:ind w:left="993"/>
      </w:pPr>
      <w:bookmarkStart w:id="195" w:name="_Toc264033212"/>
      <w:bookmarkStart w:id="196" w:name="_Toc294166813"/>
      <w:bookmarkStart w:id="197" w:name="_Toc294256386"/>
      <w:bookmarkStart w:id="198" w:name="_Toc294256487"/>
      <w:bookmarkStart w:id="199" w:name="_Toc294267371"/>
      <w:bookmarkStart w:id="200" w:name="_Toc294267476"/>
      <w:bookmarkStart w:id="201" w:name="_Toc294267607"/>
      <w:bookmarkStart w:id="202" w:name="_Toc294267709"/>
      <w:bookmarkStart w:id="203" w:name="_Toc294274817"/>
      <w:bookmarkStart w:id="204" w:name="_Toc294280261"/>
      <w:bookmarkStart w:id="205" w:name="_Toc294281586"/>
      <w:bookmarkStart w:id="206" w:name="_Toc294281806"/>
      <w:bookmarkStart w:id="207" w:name="_Toc294282020"/>
      <w:bookmarkStart w:id="208" w:name="_Toc294282223"/>
      <w:bookmarkStart w:id="209" w:name="_Toc294714158"/>
      <w:bookmarkStart w:id="210" w:name="_Toc295314184"/>
      <w:bookmarkStart w:id="211" w:name="_Toc295829573"/>
      <w:bookmarkStart w:id="212" w:name="_Toc295829856"/>
      <w:bookmarkStart w:id="213" w:name="_Toc301772744"/>
      <w:bookmarkStart w:id="214" w:name="_Toc301772822"/>
      <w:bookmarkStart w:id="215" w:name="_Toc302657761"/>
      <w:bookmarkStart w:id="216" w:name="_Toc302657880"/>
      <w:bookmarkStart w:id="217" w:name="_Toc307582992"/>
      <w:bookmarkStart w:id="218" w:name="_Toc30758301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t>53.</w:t>
      </w:r>
      <w:r>
        <w:tab/>
        <w:t>Poleg tega predloga CR SA vključuje pojasnjevalne postavke v vrsticah 290 do 320, ki so namenjene zbiranju nadaljnjih informacij o izpostavljenostih, zavarov</w:t>
      </w:r>
      <w:r>
        <w:t>a</w:t>
      </w:r>
      <w:r>
        <w:t xml:space="preserve">nih s hipotekami na nepremičnine, in neplačanih izpostavljenostih. </w:t>
      </w:r>
    </w:p>
    <w:p w:rsidR="00464F34" w:rsidRPr="00392FFD" w:rsidRDefault="00125707" w:rsidP="00C37B29">
      <w:pPr>
        <w:pStyle w:val="InstructionsText2"/>
        <w:numPr>
          <w:ilvl w:val="0"/>
          <w:numId w:val="0"/>
        </w:numPr>
        <w:ind w:left="993"/>
      </w:pPr>
      <w:r>
        <w:t>54.</w:t>
      </w:r>
      <w:r>
        <w:tab/>
        <w:t>Te pojasnjevalne postavke se poročajo le za naslednje kategorije izpostavljen</w:t>
      </w:r>
      <w:r>
        <w:t>o</w:t>
      </w:r>
      <w:r>
        <w:t xml:space="preserve">sti: </w:t>
      </w:r>
    </w:p>
    <w:p w:rsidR="00464F34" w:rsidRPr="00392FFD" w:rsidRDefault="00125707" w:rsidP="00C37B29">
      <w:pPr>
        <w:pStyle w:val="InstructionsText2"/>
        <w:numPr>
          <w:ilvl w:val="0"/>
          <w:numId w:val="0"/>
        </w:numPr>
        <w:ind w:left="993"/>
      </w:pPr>
      <w:r>
        <w:t>(a)</w:t>
      </w:r>
      <w:r>
        <w:tab/>
        <w:t>izpostavljenosti do enot centralne ravni države ali centralnih bank (člen 112(a) CRR);</w:t>
      </w:r>
    </w:p>
    <w:p w:rsidR="00464F34" w:rsidRPr="00392FFD" w:rsidRDefault="00125707" w:rsidP="00C37B29">
      <w:pPr>
        <w:pStyle w:val="InstructionsText2"/>
        <w:numPr>
          <w:ilvl w:val="0"/>
          <w:numId w:val="0"/>
        </w:numPr>
        <w:ind w:left="993"/>
      </w:pPr>
      <w:r>
        <w:t>(b)</w:t>
      </w:r>
      <w:r>
        <w:tab/>
        <w:t>izpostavljenosti do enot regionalne ali lokalne ravni države (člen 112(b) CRR);</w:t>
      </w:r>
    </w:p>
    <w:p w:rsidR="00464F34" w:rsidRPr="00392FFD" w:rsidRDefault="00125707" w:rsidP="00C37B29">
      <w:pPr>
        <w:pStyle w:val="InstructionsText2"/>
        <w:numPr>
          <w:ilvl w:val="0"/>
          <w:numId w:val="0"/>
        </w:numPr>
        <w:ind w:left="993"/>
      </w:pPr>
      <w:r>
        <w:t>(c)</w:t>
      </w:r>
      <w:r>
        <w:tab/>
        <w:t>izpostavljenosti do subjektov javnega sektorja (člen 112(c) CRR);</w:t>
      </w:r>
    </w:p>
    <w:p w:rsidR="00464F34" w:rsidRPr="00392FFD" w:rsidRDefault="00125707" w:rsidP="00C37B29">
      <w:pPr>
        <w:pStyle w:val="InstructionsText2"/>
        <w:numPr>
          <w:ilvl w:val="0"/>
          <w:numId w:val="0"/>
        </w:numPr>
        <w:ind w:left="993"/>
      </w:pPr>
      <w:r>
        <w:t>(d)</w:t>
      </w:r>
      <w:r>
        <w:tab/>
        <w:t>izpostavljenosti do institucij (člen 112(f) CRR);</w:t>
      </w:r>
    </w:p>
    <w:p w:rsidR="00464F34" w:rsidRPr="00392FFD" w:rsidRDefault="00125707" w:rsidP="00C37B29">
      <w:pPr>
        <w:pStyle w:val="InstructionsText2"/>
        <w:numPr>
          <w:ilvl w:val="0"/>
          <w:numId w:val="0"/>
        </w:numPr>
        <w:ind w:left="993"/>
      </w:pPr>
      <w:r>
        <w:t>(e)</w:t>
      </w:r>
      <w:r>
        <w:tab/>
        <w:t>izpostavljenosti do podjetij (člen 112(g) CRR);</w:t>
      </w:r>
    </w:p>
    <w:p w:rsidR="00464F34" w:rsidRPr="00392FFD" w:rsidRDefault="00125707" w:rsidP="00C37B29">
      <w:pPr>
        <w:pStyle w:val="InstructionsText2"/>
        <w:numPr>
          <w:ilvl w:val="0"/>
          <w:numId w:val="0"/>
        </w:numPr>
        <w:ind w:left="993"/>
      </w:pPr>
      <w:r>
        <w:t>(f)</w:t>
      </w:r>
      <w:r>
        <w:tab/>
        <w:t>izpostavljenosti na drobno (člen 112(h) CRR).</w:t>
      </w:r>
    </w:p>
    <w:p w:rsidR="00464F34" w:rsidRPr="00392FFD" w:rsidRDefault="00125707" w:rsidP="00C37B29">
      <w:pPr>
        <w:pStyle w:val="InstructionsText2"/>
        <w:numPr>
          <w:ilvl w:val="0"/>
          <w:numId w:val="0"/>
        </w:numPr>
        <w:ind w:left="993"/>
      </w:pPr>
      <w:r>
        <w:t>55.</w:t>
      </w:r>
      <w:r>
        <w:tab/>
        <w:t xml:space="preserve">Poročanje pojasnjevalnih postavk ne vpliva niti na izračun zneskov tveganju prilagojenih izpostavljenosti iz kategorij izpostavljenosti v skladu s členom 112(a) do (c) in (f) do (h) CRR niti na izračun tistih iz kategorij izpostavljenosti v skladu s členom 112(i) in (j) CRR, poročanih v predlogi CR SA. </w:t>
      </w:r>
    </w:p>
    <w:p w:rsidR="00464F34" w:rsidRPr="00392FFD" w:rsidRDefault="00125707" w:rsidP="00C37B29">
      <w:pPr>
        <w:pStyle w:val="InstructionsText2"/>
        <w:numPr>
          <w:ilvl w:val="0"/>
          <w:numId w:val="0"/>
        </w:numPr>
        <w:ind w:left="993"/>
      </w:pPr>
      <w:r>
        <w:t>56.</w:t>
      </w:r>
      <w:r>
        <w:tab/>
        <w:t>Pojasnjevalne vrstice zagotavljajo dodatne informacije o dolžnikovi strukturi kategorij „neplačanih“ izpostavljenosti ali izpostavljenosti, „zavarovanih z nepr</w:t>
      </w:r>
      <w:r>
        <w:t>e</w:t>
      </w:r>
      <w:r>
        <w:t>mičninami“. Izpostavljenosti se poročajo v teh vrsticah, kadar bi bili dolžniki nav</w:t>
      </w:r>
      <w:r>
        <w:t>e</w:t>
      </w:r>
      <w:r>
        <w:t>deni v kategorijah izpostavljenosti „enote centralne ravni države ali centralnih bank“, „enote regionalne ali lokalne ravni držav“, „subjekti javnega sektorja“, „institucije“, „podjetja“ in „na drobno“ predloge CR SA, če navedene izpostavlj</w:t>
      </w:r>
      <w:r>
        <w:t>e</w:t>
      </w:r>
      <w:r>
        <w:lastRenderedPageBreak/>
        <w:t>nosti ne bi bile razvrščene v kategorijo izpostavljenosti „neplačano“ ali „zavarov</w:t>
      </w:r>
      <w:r>
        <w:t>a</w:t>
      </w:r>
      <w:r>
        <w:t>no z nepremičninami“. Številke, ki se poročajo, so sicer enake tistim, ki se upora</w:t>
      </w:r>
      <w:r>
        <w:t>b</w:t>
      </w:r>
      <w:r>
        <w:t>ljajo za izračun zneskov tveganju prilagojenih izpostavljenosti v kategorijah izpo</w:t>
      </w:r>
      <w:r>
        <w:t>s</w:t>
      </w:r>
      <w:r>
        <w:t>tavljenosti „neplačano“ ali „zavarovano z nepremičninami“.</w:t>
      </w:r>
    </w:p>
    <w:p w:rsidR="00464F34" w:rsidRPr="00392FFD" w:rsidRDefault="00125707" w:rsidP="00C37B29">
      <w:pPr>
        <w:pStyle w:val="InstructionsText2"/>
        <w:numPr>
          <w:ilvl w:val="0"/>
          <w:numId w:val="0"/>
        </w:numPr>
        <w:ind w:left="993"/>
      </w:pPr>
      <w:r>
        <w:t>57.</w:t>
      </w:r>
      <w:r>
        <w:tab/>
        <w:t>Na primer, za izpostavljenost, katere zneski izpostavljenosti tveganju se izr</w:t>
      </w:r>
      <w:r>
        <w:t>a</w:t>
      </w:r>
      <w:r>
        <w:t>čunajo v skladu s členom 127 CRR in pri čemer so prilagoditve vrednosti manjše od 20 %, se te informacije poročajo v vrstici 320 predloge CR SA v skupni vredn</w:t>
      </w:r>
      <w:r>
        <w:t>o</w:t>
      </w:r>
      <w:r>
        <w:t>sti in v kategoriji izpostavljenosti „neplačano“. Če je bila izpostavljenost, preden je postala neplačana, izpostavljenost do institucije, se te informacije poročajo tudi v vrstici 320 kategorije izpostavljenosti „institucije“.</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19" w:name="_Toc262568030"/>
      <w:bookmarkStart w:id="220" w:name="_Toc264038428"/>
      <w:bookmarkStart w:id="221" w:name="_Toc292456207"/>
      <w:bookmarkStart w:id="222" w:name="_Toc295829858"/>
      <w:bookmarkStart w:id="223" w:name="_Toc516210635"/>
      <w:bookmarkStart w:id="224" w:name="_Toc523474384"/>
      <w:r>
        <w:rPr>
          <w:rFonts w:ascii="Times New Roman" w:hAnsi="Times New Roman"/>
          <w:sz w:val="24"/>
          <w:u w:val="none"/>
        </w:rPr>
        <w:t>3.2.3.</w:t>
      </w:r>
      <w:r w:rsidR="003F40E8" w:rsidRPr="003F40E8">
        <w:rPr>
          <w:u w:val="none"/>
        </w:rPr>
        <w:tab/>
      </w:r>
      <w:r>
        <w:rPr>
          <w:rFonts w:ascii="Times New Roman" w:hAnsi="Times New Roman"/>
          <w:sz w:val="24"/>
        </w:rPr>
        <w:t xml:space="preserve"> </w:t>
      </w:r>
      <w:bookmarkStart w:id="225" w:name="_Toc310415022"/>
      <w:bookmarkStart w:id="226" w:name="_Toc360188351"/>
      <w:bookmarkStart w:id="227" w:name="_Toc473560900"/>
      <w:r>
        <w:rPr>
          <w:rFonts w:ascii="Times New Roman" w:hAnsi="Times New Roman"/>
          <w:sz w:val="24"/>
        </w:rPr>
        <w:t>Razvrstitev izpostavljenosti v kategorije izpostavljenosti na podlagi standardiziranega pristopa</w:t>
      </w:r>
      <w:bookmarkEnd w:id="219"/>
      <w:bookmarkEnd w:id="220"/>
      <w:bookmarkEnd w:id="221"/>
      <w:bookmarkEnd w:id="222"/>
      <w:bookmarkEnd w:id="223"/>
      <w:bookmarkEnd w:id="224"/>
      <w:bookmarkEnd w:id="225"/>
      <w:bookmarkEnd w:id="226"/>
      <w:bookmarkEnd w:id="227"/>
    </w:p>
    <w:p w:rsidR="00464F34" w:rsidRPr="00392FFD" w:rsidRDefault="00125707" w:rsidP="00C37B29">
      <w:pPr>
        <w:pStyle w:val="InstructionsText2"/>
        <w:numPr>
          <w:ilvl w:val="0"/>
          <w:numId w:val="0"/>
        </w:numPr>
        <w:ind w:left="993"/>
      </w:pPr>
      <w:r>
        <w:t>58.</w:t>
      </w:r>
      <w:r>
        <w:tab/>
        <w:t xml:space="preserve">Da se zagotovi dosledno razvrščanje izpostavljenosti v različne kategorije izpostavljenosti iz člena 112 CRR, se uporabi naslednji postopni pristop: </w:t>
      </w:r>
    </w:p>
    <w:p w:rsidR="00464F34" w:rsidRPr="00392FFD" w:rsidRDefault="00125707" w:rsidP="00C37B29">
      <w:pPr>
        <w:pStyle w:val="InstructionsText2"/>
        <w:numPr>
          <w:ilvl w:val="0"/>
          <w:numId w:val="0"/>
        </w:numPr>
        <w:ind w:left="993"/>
      </w:pPr>
      <w:r>
        <w:t>(a)</w:t>
      </w:r>
      <w:r>
        <w:tab/>
        <w:t>V prvem koraku se originalna izpostavljenost pred uporabo konverzijskih fa</w:t>
      </w:r>
      <w:r>
        <w:t>k</w:t>
      </w:r>
      <w:r>
        <w:t>torjev razvrsti v ustrezno kategorijo (originalne) izpostavljenosti iz člena 112 CRR, brez poseganja v posebno obravnavanje (uteži tveganja), ki ga je deležna posame</w:t>
      </w:r>
      <w:r>
        <w:t>z</w:t>
      </w:r>
      <w:r>
        <w:t>na izpostavljenost v okviru kategorije izpostavljenosti, v katero je razvrščena.</w:t>
      </w:r>
    </w:p>
    <w:p w:rsidR="00464F34" w:rsidRPr="00392FFD" w:rsidRDefault="00125707" w:rsidP="00C37B29">
      <w:pPr>
        <w:pStyle w:val="InstructionsText2"/>
        <w:numPr>
          <w:ilvl w:val="0"/>
          <w:numId w:val="0"/>
        </w:numPr>
        <w:ind w:left="993"/>
      </w:pPr>
      <w:r>
        <w:t>(b)</w:t>
      </w:r>
      <w:r>
        <w:tab/>
        <w:t>V drugem koraku se lahko izpostavljenosti prerazvrstijo v druge kategorije izpostavljenosti zaradi uporabe tehnik za zmanjševanje kreditnega tveganja z uči</w:t>
      </w:r>
      <w:r>
        <w:t>n</w:t>
      </w:r>
      <w:r>
        <w:t>kom zamenjave na izpostavljenost (npr. jamstva, kreditni izvedeni finančni instr</w:t>
      </w:r>
      <w:r>
        <w:t>u</w:t>
      </w:r>
      <w:r>
        <w:t>menti, enostavna metoda za izračun učinkov zavarovanja s finančnim premože</w:t>
      </w:r>
      <w:r>
        <w:t>n</w:t>
      </w:r>
      <w:r>
        <w:t>jem) prek prilivov in odlivov.</w:t>
      </w:r>
    </w:p>
    <w:p w:rsidR="00464F34" w:rsidRPr="00392FFD" w:rsidRDefault="00125707" w:rsidP="00C37B29">
      <w:pPr>
        <w:pStyle w:val="InstructionsText2"/>
        <w:numPr>
          <w:ilvl w:val="0"/>
          <w:numId w:val="0"/>
        </w:numPr>
        <w:ind w:left="993"/>
      </w:pPr>
      <w:r>
        <w:t>59.</w:t>
      </w:r>
      <w:r>
        <w:tab/>
        <w:t>Naslednja merila se uporabljajo za razvrščanje originalne izpostavljenosti pred uporabo konverzijskih faktorjev v različne kategorije izpostavljenosti (prvi korak) brez poseganja v nadaljnje prerazporejanje zaradi uporabe tehnik za zmanjševanje kreditnega tveganja z učinki zamenjave na izpostavljenost ali v obravnavanje (utež tveganja), ki ga je deležna posamezna izpostavljenost v okviru kategorije izposta</w:t>
      </w:r>
      <w:r>
        <w:t>v</w:t>
      </w:r>
      <w:r>
        <w:t>ljenosti, v katero je razvrščena.</w:t>
      </w:r>
    </w:p>
    <w:p w:rsidR="00464F34" w:rsidRPr="00392FFD" w:rsidRDefault="00125707" w:rsidP="00C37B29">
      <w:pPr>
        <w:pStyle w:val="InstructionsText2"/>
        <w:numPr>
          <w:ilvl w:val="0"/>
          <w:numId w:val="0"/>
        </w:numPr>
        <w:ind w:left="993"/>
      </w:pPr>
      <w:r>
        <w:t>60.</w:t>
      </w:r>
      <w:r>
        <w:tab/>
        <w:t xml:space="preserve">Za namen razvrščanja originalne izpostavljenosti pred uporabo </w:t>
      </w:r>
      <w:proofErr w:type="spellStart"/>
      <w:r>
        <w:t>konverzijskega</w:t>
      </w:r>
      <w:proofErr w:type="spellEnd"/>
      <w:r>
        <w:t xml:space="preserve"> faktorja v prvem koraku se tehnike za zmanjševanje kreditnega tveganja, povezane z izpostavljenostjo, ne upoštevajo (opozoriti je treba, da se bodo izrecno upoštevale v drugi fazi), razen če je učinek zavarovanja neločljiv del opredelitve kategorije izpostavljenosti, kot je v primeru kategorije izpostavljenosti iz člena 112(i) CRR (izpostavljenosti, zavarovane s hipotekami na nepremičnine).</w:t>
      </w:r>
    </w:p>
    <w:p w:rsidR="00464F34" w:rsidRPr="00392FFD" w:rsidRDefault="00125707" w:rsidP="00C37B29">
      <w:pPr>
        <w:pStyle w:val="InstructionsText2"/>
        <w:numPr>
          <w:ilvl w:val="0"/>
          <w:numId w:val="0"/>
        </w:numPr>
        <w:ind w:left="993"/>
      </w:pPr>
      <w:r>
        <w:t>61.</w:t>
      </w:r>
      <w:r>
        <w:tab/>
        <w:t>Člen 112 CRR ne določa meril za ločevanje kategorij izpostavljenosti. To bi lahko pomenilo, da bi se lahko ena izpostavljenost razvrstila v različne kategorije izpostavljenosti, če v merilih za ocenjevanje ni določeno prednostno razvrščanje. Najbolj očiten primer izhaja iz izpostavljenosti do institucij in podjetij s kratkoro</w:t>
      </w:r>
      <w:r>
        <w:t>č</w:t>
      </w:r>
      <w:r>
        <w:t>no bonitetno oceno (člen 112(n) CRR) ter izpostavljenosti do institucij (člen 112(f) CRR)/izpostavljenosti do podjetij (člen 112(g) CRR). V tem primeru je jasno, da CRR določa posredno prednostno razvrščanje, ker se najprej oceni, ali neka izpo</w:t>
      </w:r>
      <w:r>
        <w:t>s</w:t>
      </w:r>
      <w:r>
        <w:t>tavljenost izpolnjuje pogoje za razvrstitev v kratkoročne izpostavljenosti do instit</w:t>
      </w:r>
      <w:r>
        <w:t>u</w:t>
      </w:r>
      <w:r>
        <w:lastRenderedPageBreak/>
        <w:t>cij in izpostavljenosti do podjetij. Sicer je očitno, da se izpostavljenost nikoli ne razvrsti v kategorijo izpostavljenosti iz člena 112(n) CRR. Navedeni primer je eden od najbolj očitnih primerov, vendar ni edini. Opozoriti je treba, da so merila, ki se uporabljajo za določitev kategorij izpostavljenosti na podlagi standardiziranega pr</w:t>
      </w:r>
      <w:r>
        <w:t>i</w:t>
      </w:r>
      <w:r>
        <w:t>stopa, različna (institucionalno razvrščanje, ročnost izpostavljenosti, stanje nepl</w:t>
      </w:r>
      <w:r>
        <w:t>a</w:t>
      </w:r>
      <w:r>
        <w:t xml:space="preserve">čane izpostavljenosti itd.), kar je glavni razlog za </w:t>
      </w:r>
      <w:proofErr w:type="spellStart"/>
      <w:r>
        <w:t>neločeno</w:t>
      </w:r>
      <w:proofErr w:type="spellEnd"/>
      <w:r>
        <w:t xml:space="preserve"> združevanje.</w:t>
      </w:r>
    </w:p>
    <w:p w:rsidR="00464F34" w:rsidRPr="00392FFD" w:rsidRDefault="00125707" w:rsidP="00C37B29">
      <w:pPr>
        <w:pStyle w:val="InstructionsText2"/>
        <w:numPr>
          <w:ilvl w:val="0"/>
          <w:numId w:val="0"/>
        </w:numPr>
        <w:ind w:left="993"/>
      </w:pPr>
      <w:r>
        <w:t>62.</w:t>
      </w:r>
      <w:r>
        <w:tab/>
        <w:t xml:space="preserve">Za homogeno in primerljivo poročanje je treba določiti merila za ocenjevanje prednostnega razvrščanja za razvrstitev originalne izpostavljenosti pred uporabo </w:t>
      </w:r>
      <w:proofErr w:type="spellStart"/>
      <w:r>
        <w:t>konverzijskega</w:t>
      </w:r>
      <w:proofErr w:type="spellEnd"/>
      <w:r>
        <w:t xml:space="preserve"> faktorja glede na kategorije izpostavljenosti, brez poseganja v pos</w:t>
      </w:r>
      <w:r>
        <w:t>e</w:t>
      </w:r>
      <w:r>
        <w:t>bno obravnavanje (utež tveganja), ki ga je deležna posamezna izpostavljenost v okviru kategorije izpostavljenosti, v katero je razvrščena. Merila za prednostno ra</w:t>
      </w:r>
      <w:r>
        <w:t>z</w:t>
      </w:r>
      <w:r>
        <w:t>vrščanje, ki so predstavljena spodaj z uporabo sheme drevesa odločanja, temeljijo na ocenjevanju pogojev, ki so v CRR določeni izrecno zato, da izpostavljenost ustreza določeni kategoriji izpostavljenosti in, če je to izpolnjeno, na kateri koli odločitvi glede dela poročevalskih institucij ali nadzornika v zvezi z uporabo nek</w:t>
      </w:r>
      <w:r>
        <w:t>a</w:t>
      </w:r>
      <w:r>
        <w:t>terih kategorij izpostavljenosti. Kot tak bi bil rezultat postopka razvrščanja izpost</w:t>
      </w:r>
      <w:r>
        <w:t>a</w:t>
      </w:r>
      <w:r>
        <w:t>vljenosti za namene poročanja skladen z določbami CRR. To institucijam ne pre</w:t>
      </w:r>
      <w:r>
        <w:t>p</w:t>
      </w:r>
      <w:r>
        <w:t>rečuje, da bi uporabile druge notranje postopke razvrščanja, ki so prav tako lahko v skladu z vsemi zadevnimi določbami CRR in njihovimi razlagami, ki jih izdajo ustrezni forumi.</w:t>
      </w:r>
    </w:p>
    <w:p w:rsidR="00464F34" w:rsidRPr="00392FFD" w:rsidRDefault="00125707" w:rsidP="00C37B29">
      <w:pPr>
        <w:pStyle w:val="InstructionsText2"/>
        <w:numPr>
          <w:ilvl w:val="0"/>
          <w:numId w:val="0"/>
        </w:numPr>
        <w:ind w:left="993"/>
      </w:pPr>
      <w:r>
        <w:t>63.</w:t>
      </w:r>
      <w:r>
        <w:tab/>
        <w:t>Kategorija izpostavljenosti ima lahko prednost pred drugimi v razvrstitvi ocen v okviru drevesa odločanja (tj. kategorija je ocenjena prva, če se vanjo lahko ra</w:t>
      </w:r>
      <w:r>
        <w:t>z</w:t>
      </w:r>
      <w:r>
        <w:t>vrsti izpostavljenost brez poseganja v rezultat tega ocenjevanja), če sicer vanjo ne bi bila razvrščena nobena izpostavljenost. To bi se zgodilo, če bi bila kategorija izpostavljenosti v primeru odsotnosti meril za prednostno razvrščanje podskupina drugih. Kot taka bi merila, grafično prikazana v okviru naslednjega drevesa odloč</w:t>
      </w:r>
      <w:r>
        <w:t>a</w:t>
      </w:r>
      <w:r>
        <w:t>nja, temeljila na postopnem procesu.</w:t>
      </w:r>
    </w:p>
    <w:p w:rsidR="00464F34" w:rsidRPr="00392FFD" w:rsidRDefault="00125707" w:rsidP="00C37B29">
      <w:pPr>
        <w:pStyle w:val="InstructionsText2"/>
        <w:numPr>
          <w:ilvl w:val="0"/>
          <w:numId w:val="0"/>
        </w:numPr>
        <w:ind w:left="993"/>
      </w:pPr>
      <w:r>
        <w:t>64.</w:t>
      </w:r>
      <w:r>
        <w:tab/>
        <w:t>Na tej podlagi bi se pri razvrstitvi ocen v okviru spodnjega drevesa odločanja upošteval naslednji vrstni red:</w:t>
      </w:r>
    </w:p>
    <w:p w:rsidR="00464F34" w:rsidRPr="00392FFD" w:rsidRDefault="00464F34" w:rsidP="00FD239F">
      <w:pPr>
        <w:pStyle w:val="InstructionsText"/>
      </w:pPr>
      <w:r>
        <w:t>1. pozicije v listinjenju;</w:t>
      </w:r>
    </w:p>
    <w:p w:rsidR="00464F34" w:rsidRPr="00392FFD" w:rsidRDefault="00464F34" w:rsidP="00FD239F">
      <w:pPr>
        <w:pStyle w:val="InstructionsText"/>
      </w:pPr>
      <w:r>
        <w:t>2. postavke, povezane z zelo visokim tveganjem;</w:t>
      </w:r>
    </w:p>
    <w:p w:rsidR="00464F34" w:rsidRPr="00392FFD" w:rsidRDefault="00464F34" w:rsidP="00FD239F">
      <w:pPr>
        <w:pStyle w:val="InstructionsText"/>
      </w:pPr>
      <w:r>
        <w:t>3. Izpostavljenosti iz naslova lastniških instrumentov</w:t>
      </w:r>
    </w:p>
    <w:p w:rsidR="00464F34" w:rsidRPr="00392FFD" w:rsidRDefault="00464F34" w:rsidP="00FD239F">
      <w:pPr>
        <w:pStyle w:val="InstructionsText"/>
      </w:pPr>
      <w:r>
        <w:t>4. neplačane izpostavljenosti;</w:t>
      </w:r>
    </w:p>
    <w:p w:rsidR="00464F34" w:rsidRPr="00392FFD" w:rsidRDefault="00464F34" w:rsidP="00FD239F">
      <w:pPr>
        <w:pStyle w:val="InstructionsText"/>
      </w:pPr>
      <w:r>
        <w:t>5. izpostavljenosti iz naslova enot in deležev v kolektivnih naložbenih podjemih („KNP“)/izpostavljenosti iz naslova kritih obveznic (ločene kategorije izpostavljenosti);</w:t>
      </w:r>
    </w:p>
    <w:p w:rsidR="00464F34" w:rsidRPr="00392FFD" w:rsidRDefault="00464F34" w:rsidP="00FD239F">
      <w:pPr>
        <w:pStyle w:val="InstructionsText"/>
      </w:pPr>
      <w:r>
        <w:t>6. izpostavljenosti, zavarovane s hipotekami na nepremičnine;</w:t>
      </w:r>
    </w:p>
    <w:p w:rsidR="00464F34" w:rsidRPr="00392FFD" w:rsidRDefault="00464F34" w:rsidP="00FD239F">
      <w:pPr>
        <w:pStyle w:val="InstructionsText"/>
      </w:pPr>
      <w:r>
        <w:t>7. druge postavke;</w:t>
      </w:r>
    </w:p>
    <w:p w:rsidR="00464F34" w:rsidRPr="00392FFD" w:rsidRDefault="00464F34" w:rsidP="00FD239F">
      <w:pPr>
        <w:pStyle w:val="InstructionsText"/>
      </w:pPr>
      <w:r>
        <w:t>8. izpostavljenosti do institucij in podjetij s kratkoročno bonitetno oceno;</w:t>
      </w:r>
    </w:p>
    <w:p w:rsidR="00464F34" w:rsidRPr="00392FFD" w:rsidRDefault="00464F34" w:rsidP="00FD239F">
      <w:pPr>
        <w:pStyle w:val="InstructionsText"/>
      </w:pPr>
      <w:r>
        <w:t>9. vse druge kategorije izpostavljenosti (ločene kategorije izpostavljenosti), ki vključujejo izpostavljenosti do enot centralne ravni držav ali centralnih bank; izpostavljenosti do enot regionalne ali lokalne ravni držav; izpostavljenosti do subjektov javnega sektorja; izpostavlj</w:t>
      </w:r>
      <w:r>
        <w:t>e</w:t>
      </w:r>
      <w:r>
        <w:t>nosti do multilateralnih razvojnih bank; izpostavljenosti do mednarodnih organizacij; izpost</w:t>
      </w:r>
      <w:r>
        <w:t>a</w:t>
      </w:r>
      <w:r>
        <w:t>vljenosti do institucij; izpostavljenosti do podjetij in izpostavljenosti na drobno.</w:t>
      </w:r>
    </w:p>
    <w:p w:rsidR="00464F34" w:rsidRPr="00392FFD" w:rsidRDefault="00125707" w:rsidP="00C37B29">
      <w:pPr>
        <w:pStyle w:val="InstructionsText2"/>
        <w:numPr>
          <w:ilvl w:val="0"/>
          <w:numId w:val="0"/>
        </w:numPr>
        <w:ind w:left="993"/>
      </w:pPr>
      <w:r>
        <w:lastRenderedPageBreak/>
        <w:t>65.</w:t>
      </w:r>
      <w:r>
        <w:tab/>
        <w:t>V primeru izpostavljenosti iz naslova enot in deležev v kolektivnih naložbenih podjemih in kadar je uporabljen pristop vpogleda (člen 132(3) do (5) CRR) se posamezne osnovne izpostavljenosti obravnavajo in razvrstijo v ustrezne vrstice uteži tveganja v skladu z njihovo obravnavo, vse posamezne izpostavljenosti pa se razvrstijo v kategorijo izpostavljenosti iz naslova enot in deležev v kolektivnih naložbenih podjemih („KNP“).</w:t>
      </w:r>
    </w:p>
    <w:p w:rsidR="00464F34" w:rsidRPr="00392FFD" w:rsidRDefault="00125707" w:rsidP="00C37B29">
      <w:pPr>
        <w:pStyle w:val="InstructionsText2"/>
        <w:numPr>
          <w:ilvl w:val="0"/>
          <w:numId w:val="0"/>
        </w:numPr>
        <w:ind w:left="993"/>
      </w:pPr>
      <w:r>
        <w:t>66.</w:t>
      </w:r>
      <w:r>
        <w:tab/>
        <w:t>Če so kreditni izvedeni finančni instrumenti na podlagi n-tega neplačila iz čl</w:t>
      </w:r>
      <w:r>
        <w:t>e</w:t>
      </w:r>
      <w:r>
        <w:t>na 134(6) CRR ocenjeni, se razvrstijo neposredno v pozicije v listinjenju. Če niso ocenjeni, se razvrstijo v kategorijo izpostavljenosti „druge postavke“. V tem prim</w:t>
      </w:r>
      <w:r>
        <w:t>e</w:t>
      </w:r>
      <w:r>
        <w:t>ru se nominalna vrednost pogodbe sporoči kot originalna izpostavljenost pred up</w:t>
      </w:r>
      <w:r>
        <w:t>o</w:t>
      </w:r>
      <w:r>
        <w:t xml:space="preserve">rabo konverzijskih faktorjev v vrstici za „druge uteži tveganja“ (uporabi se utež, določena z vsoto iz člena 134(6) CRR). </w:t>
      </w:r>
    </w:p>
    <w:p w:rsidR="00464F34" w:rsidRPr="00392FFD" w:rsidRDefault="00125707" w:rsidP="00C37B29">
      <w:pPr>
        <w:pStyle w:val="InstructionsText2"/>
        <w:numPr>
          <w:ilvl w:val="0"/>
          <w:numId w:val="0"/>
        </w:numPr>
        <w:ind w:left="993"/>
      </w:pPr>
      <w:r>
        <w:t>67.</w:t>
      </w:r>
      <w:r>
        <w:tab/>
        <w:t>V drugem koraku se zaradi tehnik za zmanjševanje kreditnega tveganja z uči</w:t>
      </w:r>
      <w:r>
        <w:t>n</w:t>
      </w:r>
      <w:r>
        <w:t>ki zamenjave izpostavljenosti prerazporedijo v kategorijo izpostavljenosti dajalca zavarovanj.</w:t>
      </w:r>
    </w:p>
    <w:p w:rsidR="00464F34" w:rsidRPr="00392FFD" w:rsidRDefault="00464F34" w:rsidP="00FD239F">
      <w:pPr>
        <w:pStyle w:val="InstructionsText"/>
      </w:pPr>
      <w:r>
        <w:br w:type="page"/>
      </w:r>
      <w:r>
        <w:lastRenderedPageBreak/>
        <w:t xml:space="preserve">DREVO ODLOČANJA ZA RAZVRSTITEV ORIGINALNE IZPOSTAVLJENOSTI PRED UPORABO KONVERZIJSKIH FAKTORJEV V KATEGORIJE IZPOSTAVLJENOSTI NA PODLAGI STANDARDIZIRANEGA PRISTOPA V SKLADU S CRR </w:t>
      </w:r>
    </w:p>
    <w:p w:rsidR="00464F34" w:rsidRPr="00392FFD" w:rsidRDefault="00464F34" w:rsidP="00FD239F">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1"/>
        <w:gridCol w:w="1417"/>
        <w:gridCol w:w="4077"/>
      </w:tblGrid>
      <w:tr w:rsidR="003A1B96" w:rsidRPr="00E10726" w:rsidTr="00672D2A">
        <w:tc>
          <w:tcPr>
            <w:tcW w:w="3761" w:type="dxa"/>
            <w:shd w:val="clear" w:color="auto" w:fill="auto"/>
          </w:tcPr>
          <w:p w:rsidR="003A1B96" w:rsidRPr="0023700C" w:rsidRDefault="003A1B96" w:rsidP="00334093">
            <w:pPr>
              <w:spacing w:before="0" w:after="0"/>
              <w:jc w:val="left"/>
              <w:rPr>
                <w:sz w:val="24"/>
              </w:rPr>
            </w:pPr>
            <w:r>
              <w:rPr>
                <w:rFonts w:ascii="Times New Roman" w:hAnsi="Times New Roman"/>
                <w:sz w:val="24"/>
              </w:rPr>
              <w:t>Originalna izpostavljenost pred up</w:t>
            </w:r>
            <w:r>
              <w:rPr>
                <w:rFonts w:ascii="Times New Roman" w:hAnsi="Times New Roman"/>
                <w:sz w:val="24"/>
              </w:rPr>
              <w:t>o</w:t>
            </w:r>
            <w:r>
              <w:rPr>
                <w:rFonts w:ascii="Times New Roman" w:hAnsi="Times New Roman"/>
                <w:sz w:val="24"/>
              </w:rPr>
              <w:t>rabo konverzijskih faktorjev</w:t>
            </w:r>
          </w:p>
        </w:tc>
        <w:tc>
          <w:tcPr>
            <w:tcW w:w="1417" w:type="dxa"/>
            <w:shd w:val="clear" w:color="auto" w:fill="auto"/>
          </w:tcPr>
          <w:p w:rsidR="003A1B96" w:rsidRPr="0023700C" w:rsidRDefault="003A1B96" w:rsidP="00FD239F">
            <w:pPr>
              <w:pStyle w:val="InstructionsText"/>
            </w:pPr>
          </w:p>
        </w:tc>
        <w:tc>
          <w:tcPr>
            <w:tcW w:w="4077" w:type="dxa"/>
            <w:shd w:val="clear" w:color="auto" w:fill="auto"/>
          </w:tcPr>
          <w:p w:rsidR="003A1B96" w:rsidRPr="0023700C" w:rsidRDefault="003A1B96"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Ali ustreza razvrstitvi v kategorijo izpostavljenosti iz člena 112(m)?</w:t>
            </w:r>
          </w:p>
        </w:tc>
        <w:tc>
          <w:tcPr>
            <w:tcW w:w="1417" w:type="dxa"/>
            <w:shd w:val="clear" w:color="auto" w:fill="auto"/>
          </w:tcPr>
          <w:p w:rsidR="00BD52C3" w:rsidRPr="00392FFD" w:rsidRDefault="00BD52C3" w:rsidP="00FD239F">
            <w:pPr>
              <w:pStyle w:val="InstructionsText"/>
            </w:pPr>
            <w:r>
              <w:t xml:space="preserve">DA </w:t>
            </w:r>
            <w:r>
              <w:rPr>
                <w:noProof/>
                <w:lang w:bidi="ar-SA"/>
              </w:rPr>
              <w:drawing>
                <wp:inline distT="0" distB="0" distL="0" distR="0" wp14:anchorId="05A888B4" wp14:editId="2D9104E8">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Pozicije v listinjenju</w:t>
            </w:r>
          </w:p>
        </w:tc>
      </w:tr>
      <w:tr w:rsidR="005B3B7C" w:rsidRPr="00392FFD" w:rsidTr="00672D2A">
        <w:tc>
          <w:tcPr>
            <w:tcW w:w="3761" w:type="dxa"/>
            <w:shd w:val="clear" w:color="auto" w:fill="auto"/>
          </w:tcPr>
          <w:p w:rsidR="00581FA5" w:rsidRPr="00392FFD" w:rsidRDefault="00581FA5" w:rsidP="00FD239F">
            <w:pPr>
              <w:pStyle w:val="InstructionsText"/>
            </w:pPr>
            <w:r>
              <w:t xml:space="preserve">NE </w:t>
            </w:r>
            <w:r>
              <w:rPr>
                <w:noProof/>
                <w:lang w:bidi="ar-SA"/>
              </w:rPr>
              <w:drawing>
                <wp:inline distT="0" distB="0" distL="0" distR="0" wp14:anchorId="2F7615DE" wp14:editId="6031BA77">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392FFD" w:rsidRDefault="005B3B7C" w:rsidP="00FD239F">
            <w:pPr>
              <w:pStyle w:val="InstructionsText"/>
            </w:pPr>
          </w:p>
        </w:tc>
        <w:tc>
          <w:tcPr>
            <w:tcW w:w="1417" w:type="dxa"/>
            <w:shd w:val="clear" w:color="auto" w:fill="auto"/>
          </w:tcPr>
          <w:p w:rsidR="005B3B7C" w:rsidRPr="00392FFD" w:rsidRDefault="005B3B7C" w:rsidP="00FD239F">
            <w:pPr>
              <w:pStyle w:val="InstructionsText"/>
            </w:pPr>
          </w:p>
        </w:tc>
        <w:tc>
          <w:tcPr>
            <w:tcW w:w="4077" w:type="dxa"/>
            <w:shd w:val="clear" w:color="auto" w:fill="auto"/>
          </w:tcPr>
          <w:p w:rsidR="005B3B7C" w:rsidRPr="00392FFD" w:rsidRDefault="005B3B7C" w:rsidP="00FD239F">
            <w:pPr>
              <w:pStyle w:val="InstructionsText"/>
            </w:pPr>
          </w:p>
        </w:tc>
      </w:tr>
      <w:tr w:rsidR="003A1B96" w:rsidRPr="00392FFD" w:rsidTr="00672D2A">
        <w:tc>
          <w:tcPr>
            <w:tcW w:w="3761" w:type="dxa"/>
            <w:shd w:val="clear" w:color="auto" w:fill="auto"/>
          </w:tcPr>
          <w:p w:rsidR="003A1B96" w:rsidRPr="00392FFD" w:rsidRDefault="003A1B96" w:rsidP="00FD239F">
            <w:pPr>
              <w:pStyle w:val="InstructionsText"/>
            </w:pPr>
            <w:r>
              <w:t>Ali ustreza razvrstitvi v kategorijo izpostavljenosti iz člena 112(k)?</w:t>
            </w:r>
          </w:p>
        </w:tc>
        <w:tc>
          <w:tcPr>
            <w:tcW w:w="1417" w:type="dxa"/>
            <w:shd w:val="clear" w:color="auto" w:fill="auto"/>
          </w:tcPr>
          <w:p w:rsidR="00AC3054" w:rsidRPr="00392FFD" w:rsidRDefault="00974E3F" w:rsidP="00FD239F">
            <w:pPr>
              <w:pStyle w:val="InstructionsText"/>
            </w:pPr>
            <w:r>
              <w:t xml:space="preserve">DA </w:t>
            </w:r>
            <w:r>
              <w:rPr>
                <w:noProof/>
                <w:lang w:bidi="ar-SA"/>
              </w:rPr>
              <w:drawing>
                <wp:inline distT="0" distB="0" distL="0" distR="0" wp14:anchorId="6ECB58BF" wp14:editId="0A187859">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392FFD" w:rsidRDefault="00BD52C3" w:rsidP="00FD239F">
            <w:pPr>
              <w:pStyle w:val="InstructionsText"/>
            </w:pPr>
          </w:p>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r>
              <w:t>Postavke, povezane z zelo visokim tv</w:t>
            </w:r>
            <w:r>
              <w:t>e</w:t>
            </w:r>
            <w:r>
              <w:t>ganjem (glej tudi člen 128)</w:t>
            </w:r>
          </w:p>
        </w:tc>
      </w:tr>
      <w:tr w:rsidR="003A1B96" w:rsidRPr="00392FFD" w:rsidTr="00672D2A">
        <w:tc>
          <w:tcPr>
            <w:tcW w:w="3761" w:type="dxa"/>
            <w:shd w:val="clear" w:color="auto" w:fill="auto"/>
          </w:tcPr>
          <w:p w:rsidR="007241D3" w:rsidRPr="00392FFD" w:rsidRDefault="007241D3" w:rsidP="00FD239F">
            <w:pPr>
              <w:pStyle w:val="InstructionsText"/>
            </w:pPr>
            <w:r>
              <w:t xml:space="preserve">NE </w:t>
            </w:r>
            <w:r>
              <w:rPr>
                <w:noProof/>
                <w:lang w:bidi="ar-SA"/>
              </w:rPr>
              <w:drawing>
                <wp:inline distT="0" distB="0" distL="0" distR="0" wp14:anchorId="67CDA374" wp14:editId="57049106">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392FFD" w:rsidRDefault="003A1B96" w:rsidP="00FD239F">
            <w:pPr>
              <w:pStyle w:val="InstructionsText"/>
            </w:pPr>
          </w:p>
        </w:tc>
        <w:tc>
          <w:tcPr>
            <w:tcW w:w="1417" w:type="dxa"/>
            <w:shd w:val="clear" w:color="auto" w:fill="auto"/>
          </w:tcPr>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p>
        </w:tc>
      </w:tr>
      <w:tr w:rsidR="003A1B96" w:rsidRPr="00392FFD" w:rsidTr="00672D2A">
        <w:tc>
          <w:tcPr>
            <w:tcW w:w="3761" w:type="dxa"/>
            <w:shd w:val="clear" w:color="auto" w:fill="auto"/>
          </w:tcPr>
          <w:p w:rsidR="003A1B96" w:rsidRPr="00392FFD" w:rsidRDefault="003A1B96" w:rsidP="00FD239F">
            <w:pPr>
              <w:pStyle w:val="InstructionsText"/>
            </w:pPr>
            <w:r>
              <w:t>Ali ustreza razvrstitvi v kategorijo izpostavljenosti iz člena 112(p)?</w:t>
            </w:r>
          </w:p>
        </w:tc>
        <w:tc>
          <w:tcPr>
            <w:tcW w:w="1417" w:type="dxa"/>
            <w:shd w:val="clear" w:color="auto" w:fill="auto"/>
          </w:tcPr>
          <w:p w:rsidR="00BD52C3" w:rsidRPr="00392FFD" w:rsidRDefault="00BD52C3" w:rsidP="00FD239F">
            <w:pPr>
              <w:pStyle w:val="InstructionsText"/>
            </w:pPr>
            <w:r>
              <w:t xml:space="preserve">DA </w:t>
            </w:r>
            <w:r>
              <w:rPr>
                <w:noProof/>
                <w:lang w:bidi="ar-SA"/>
              </w:rPr>
              <w:drawing>
                <wp:inline distT="0" distB="0" distL="0" distR="0" wp14:anchorId="653C84FE" wp14:editId="5DC7011A">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r>
              <w:t>Izpostavljenosti iz naslova lastniških instrumentov (glej tudi člen 133).</w:t>
            </w:r>
          </w:p>
        </w:tc>
      </w:tr>
      <w:tr w:rsidR="003A1B96" w:rsidRPr="00392FFD" w:rsidTr="00672D2A">
        <w:tc>
          <w:tcPr>
            <w:tcW w:w="3761" w:type="dxa"/>
            <w:shd w:val="clear" w:color="auto" w:fill="auto"/>
          </w:tcPr>
          <w:p w:rsidR="007241D3" w:rsidRPr="00392FFD" w:rsidRDefault="007241D3" w:rsidP="00FD239F">
            <w:pPr>
              <w:pStyle w:val="InstructionsText"/>
            </w:pPr>
            <w:r>
              <w:t xml:space="preserve">NE </w:t>
            </w:r>
            <w:r>
              <w:rPr>
                <w:noProof/>
                <w:lang w:bidi="ar-SA"/>
              </w:rPr>
              <w:drawing>
                <wp:inline distT="0" distB="0" distL="0" distR="0" wp14:anchorId="368233D0" wp14:editId="3C0A8595">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392FFD" w:rsidRDefault="003A1B96" w:rsidP="00FD239F">
            <w:pPr>
              <w:pStyle w:val="InstructionsText"/>
            </w:pPr>
          </w:p>
        </w:tc>
        <w:tc>
          <w:tcPr>
            <w:tcW w:w="1417" w:type="dxa"/>
            <w:shd w:val="clear" w:color="auto" w:fill="auto"/>
          </w:tcPr>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Ali ustreza razvrstitvi v kategorijo izpostavljenosti iz člena 112(j)?</w:t>
            </w:r>
          </w:p>
        </w:tc>
        <w:tc>
          <w:tcPr>
            <w:tcW w:w="1417" w:type="dxa"/>
            <w:shd w:val="clear" w:color="auto" w:fill="auto"/>
          </w:tcPr>
          <w:p w:rsidR="00BD52C3" w:rsidRPr="00392FFD" w:rsidRDefault="00BD52C3" w:rsidP="00FD239F">
            <w:pPr>
              <w:pStyle w:val="InstructionsText"/>
            </w:pPr>
            <w:r>
              <w:t xml:space="preserve">DA </w:t>
            </w:r>
            <w:r>
              <w:rPr>
                <w:noProof/>
                <w:lang w:bidi="ar-SA"/>
              </w:rPr>
              <w:drawing>
                <wp:inline distT="0" distB="0" distL="0" distR="0" wp14:anchorId="7AB388DB" wp14:editId="549630B2">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Neplačane izpostavljenosti</w:t>
            </w:r>
          </w:p>
        </w:tc>
      </w:tr>
      <w:tr w:rsidR="00581FA5" w:rsidRPr="00392FFD" w:rsidTr="00672D2A">
        <w:tc>
          <w:tcPr>
            <w:tcW w:w="3761" w:type="dxa"/>
            <w:shd w:val="clear" w:color="auto" w:fill="auto"/>
          </w:tcPr>
          <w:p w:rsidR="007241D3" w:rsidRPr="00392FFD" w:rsidRDefault="007241D3" w:rsidP="00FD239F">
            <w:pPr>
              <w:pStyle w:val="InstructionsText"/>
            </w:pPr>
            <w:r>
              <w:t xml:space="preserve">NE </w:t>
            </w:r>
            <w:r>
              <w:rPr>
                <w:noProof/>
                <w:lang w:bidi="ar-SA"/>
              </w:rPr>
              <w:drawing>
                <wp:inline distT="0" distB="0" distL="0" distR="0" wp14:anchorId="20D6EF2A" wp14:editId="70A1D135">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Ali ustreza razvrstitvi v kategoriji izpostavljenosti iz člena 112(l) in (o)?</w:t>
            </w:r>
          </w:p>
        </w:tc>
        <w:tc>
          <w:tcPr>
            <w:tcW w:w="1417" w:type="dxa"/>
            <w:shd w:val="clear" w:color="auto" w:fill="auto"/>
          </w:tcPr>
          <w:p w:rsidR="00BD52C3" w:rsidRPr="00392FFD" w:rsidRDefault="00BD52C3" w:rsidP="00FD239F">
            <w:pPr>
              <w:pStyle w:val="InstructionsText"/>
            </w:pPr>
            <w:r>
              <w:t xml:space="preserve">DA </w:t>
            </w:r>
            <w:r>
              <w:rPr>
                <w:noProof/>
                <w:lang w:bidi="ar-SA"/>
              </w:rPr>
              <w:drawing>
                <wp:inline distT="0" distB="0" distL="0" distR="0" wp14:anchorId="0AE3CBE1" wp14:editId="60112052">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Izpostavljenosti iz naslova enot ali deležev v kolektivnih naložbenih po</w:t>
            </w:r>
            <w:r>
              <w:t>d</w:t>
            </w:r>
            <w:r>
              <w:t>jemih (KNP).</w:t>
            </w:r>
          </w:p>
          <w:p w:rsidR="00581FA5" w:rsidRPr="00392FFD" w:rsidRDefault="00581FA5" w:rsidP="00FD239F">
            <w:pPr>
              <w:pStyle w:val="InstructionsText"/>
            </w:pPr>
            <w:r>
              <w:t>Izpostavljenosti iz naslova naložb v kr</w:t>
            </w:r>
            <w:r>
              <w:t>i</w:t>
            </w:r>
            <w:r>
              <w:t>te obveznice (glej tudi člen 129).</w:t>
            </w:r>
          </w:p>
          <w:p w:rsidR="00581FA5" w:rsidRPr="00392FFD" w:rsidRDefault="00581FA5" w:rsidP="00FD239F">
            <w:pPr>
              <w:pStyle w:val="InstructionsText"/>
            </w:pPr>
            <w:r>
              <w:t>Ti kategoriji izpostavljenosti sta ločeni druga od druge (glej opombe glede pristopa vpogleda v zgornjem odgov</w:t>
            </w:r>
            <w:r>
              <w:t>o</w:t>
            </w:r>
            <w:r>
              <w:t>ru). Zato je razvrstitev v eno od kateg</w:t>
            </w:r>
            <w:r>
              <w:t>o</w:t>
            </w:r>
            <w:r>
              <w:lastRenderedPageBreak/>
              <w:t>rij neposredna.</w:t>
            </w:r>
          </w:p>
        </w:tc>
      </w:tr>
      <w:tr w:rsidR="00581FA5" w:rsidRPr="00392FFD" w:rsidTr="00672D2A">
        <w:tc>
          <w:tcPr>
            <w:tcW w:w="3761" w:type="dxa"/>
            <w:shd w:val="clear" w:color="auto" w:fill="auto"/>
          </w:tcPr>
          <w:p w:rsidR="007241D3" w:rsidRPr="00392FFD" w:rsidRDefault="007241D3" w:rsidP="00FD239F">
            <w:pPr>
              <w:pStyle w:val="InstructionsText"/>
            </w:pPr>
            <w:r>
              <w:lastRenderedPageBreak/>
              <w:t xml:space="preserve">NE </w:t>
            </w:r>
            <w:r>
              <w:rPr>
                <w:noProof/>
                <w:lang w:bidi="ar-SA"/>
              </w:rPr>
              <w:drawing>
                <wp:inline distT="0" distB="0" distL="0" distR="0" wp14:anchorId="0C11E2BA" wp14:editId="2533B37E">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Ali ustreza razvrstitvi v kategorijo izpostavljenosti iz člena 112(i)?</w:t>
            </w:r>
          </w:p>
        </w:tc>
        <w:tc>
          <w:tcPr>
            <w:tcW w:w="1417" w:type="dxa"/>
            <w:shd w:val="clear" w:color="auto" w:fill="auto"/>
          </w:tcPr>
          <w:p w:rsidR="00BD52C3" w:rsidRPr="00392FFD" w:rsidRDefault="00BD52C3" w:rsidP="00FD239F">
            <w:pPr>
              <w:pStyle w:val="InstructionsText"/>
            </w:pPr>
            <w:r>
              <w:t xml:space="preserve">DA </w:t>
            </w:r>
            <w:r>
              <w:rPr>
                <w:noProof/>
                <w:lang w:bidi="ar-SA"/>
              </w:rPr>
              <w:drawing>
                <wp:inline distT="0" distB="0" distL="0" distR="0" wp14:anchorId="4B79ABE9" wp14:editId="15C4D9E5">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Izpostavljenosti, zavarovane s hipot</w:t>
            </w:r>
            <w:r>
              <w:t>e</w:t>
            </w:r>
            <w:r>
              <w:t>kami na nepremičnine (glej tudi člen 124)</w:t>
            </w:r>
          </w:p>
        </w:tc>
      </w:tr>
      <w:tr w:rsidR="00581FA5" w:rsidRPr="00392FFD" w:rsidTr="00672D2A">
        <w:tc>
          <w:tcPr>
            <w:tcW w:w="3761" w:type="dxa"/>
            <w:shd w:val="clear" w:color="auto" w:fill="auto"/>
          </w:tcPr>
          <w:p w:rsidR="007241D3" w:rsidRPr="00392FFD" w:rsidRDefault="007241D3" w:rsidP="00FD239F">
            <w:pPr>
              <w:pStyle w:val="InstructionsText"/>
            </w:pPr>
            <w:r>
              <w:t xml:space="preserve">NE </w:t>
            </w:r>
            <w:r>
              <w:rPr>
                <w:noProof/>
                <w:lang w:bidi="ar-SA"/>
              </w:rPr>
              <w:drawing>
                <wp:inline distT="0" distB="0" distL="0" distR="0" wp14:anchorId="3BE7EE46" wp14:editId="4BACC33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Ali ustreza razvrstitvi v kategorijo izpostavljenosti iz člena 112(q)?</w:t>
            </w:r>
          </w:p>
        </w:tc>
        <w:tc>
          <w:tcPr>
            <w:tcW w:w="1417" w:type="dxa"/>
            <w:shd w:val="clear" w:color="auto" w:fill="auto"/>
          </w:tcPr>
          <w:p w:rsidR="00BD52C3" w:rsidRPr="00392FFD" w:rsidRDefault="00BD52C3" w:rsidP="00FD239F">
            <w:pPr>
              <w:pStyle w:val="InstructionsText"/>
            </w:pPr>
            <w:r>
              <w:t xml:space="preserve">DA </w:t>
            </w:r>
            <w:r>
              <w:rPr>
                <w:noProof/>
                <w:lang w:bidi="ar-SA"/>
              </w:rPr>
              <w:drawing>
                <wp:inline distT="0" distB="0" distL="0" distR="0" wp14:anchorId="3DCA7312" wp14:editId="1AAD3BB4">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Druge postavke</w:t>
            </w:r>
          </w:p>
        </w:tc>
      </w:tr>
      <w:tr w:rsidR="00581FA5" w:rsidRPr="00392FFD" w:rsidTr="00672D2A">
        <w:tc>
          <w:tcPr>
            <w:tcW w:w="3761" w:type="dxa"/>
            <w:shd w:val="clear" w:color="auto" w:fill="auto"/>
          </w:tcPr>
          <w:p w:rsidR="007241D3" w:rsidRPr="00392FFD" w:rsidRDefault="007241D3" w:rsidP="00FD239F">
            <w:pPr>
              <w:pStyle w:val="InstructionsText"/>
            </w:pPr>
            <w:r>
              <w:t xml:space="preserve">NE </w:t>
            </w:r>
            <w:r>
              <w:rPr>
                <w:noProof/>
                <w:lang w:bidi="ar-SA"/>
              </w:rPr>
              <w:drawing>
                <wp:inline distT="0" distB="0" distL="0" distR="0" wp14:anchorId="02D82AC8" wp14:editId="39EDEB96">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Ali ustreza razvrstitvi v kategorijo izpostavljenosti iz člena 112(n)?</w:t>
            </w:r>
          </w:p>
        </w:tc>
        <w:tc>
          <w:tcPr>
            <w:tcW w:w="1417" w:type="dxa"/>
            <w:shd w:val="clear" w:color="auto" w:fill="auto"/>
          </w:tcPr>
          <w:p w:rsidR="0063493E" w:rsidRPr="00392FFD" w:rsidRDefault="0063493E" w:rsidP="00FD239F">
            <w:pPr>
              <w:pStyle w:val="InstructionsText"/>
            </w:pPr>
            <w:r>
              <w:t xml:space="preserve">DA </w:t>
            </w:r>
            <w:r>
              <w:rPr>
                <w:noProof/>
                <w:lang w:bidi="ar-SA"/>
              </w:rPr>
              <w:drawing>
                <wp:inline distT="0" distB="0" distL="0" distR="0" wp14:anchorId="7773A46B" wp14:editId="2A77A64B">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Izpostavljenosti do institucij in podjetij s kratkoročno bonitetno oceno</w:t>
            </w:r>
          </w:p>
        </w:tc>
      </w:tr>
      <w:tr w:rsidR="00581FA5" w:rsidRPr="00392FFD" w:rsidTr="00672D2A">
        <w:tc>
          <w:tcPr>
            <w:tcW w:w="3761" w:type="dxa"/>
            <w:shd w:val="clear" w:color="auto" w:fill="auto"/>
          </w:tcPr>
          <w:p w:rsidR="007241D3" w:rsidRPr="00392FFD" w:rsidRDefault="007241D3" w:rsidP="00FD239F">
            <w:pPr>
              <w:pStyle w:val="InstructionsText"/>
            </w:pPr>
            <w:r>
              <w:t xml:space="preserve">NE </w:t>
            </w:r>
            <w:r>
              <w:rPr>
                <w:noProof/>
                <w:lang w:bidi="ar-SA"/>
              </w:rPr>
              <w:drawing>
                <wp:inline distT="0" distB="0" distL="0" distR="0" wp14:anchorId="4B3343AB" wp14:editId="08B7C859">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9255" w:type="dxa"/>
            <w:gridSpan w:val="3"/>
            <w:shd w:val="clear" w:color="auto" w:fill="auto"/>
          </w:tcPr>
          <w:p w:rsidR="00581FA5" w:rsidRPr="00392FFD" w:rsidRDefault="00581FA5" w:rsidP="00FD239F">
            <w:pPr>
              <w:pStyle w:val="InstructionsText"/>
            </w:pPr>
            <w:r>
              <w:t>Spodnje kategorije izpostavljenosti so ločene druga od druge. Zato je razvrstitev v eno od kategorij neposredna.</w:t>
            </w:r>
          </w:p>
          <w:p w:rsidR="00581FA5" w:rsidRPr="00392FFD" w:rsidRDefault="00581FA5" w:rsidP="00FD239F">
            <w:pPr>
              <w:pStyle w:val="InstructionsText"/>
            </w:pPr>
            <w:r>
              <w:t>Izpostavljenosti do enot centralne ravni države ali centralnih bank.</w:t>
            </w:r>
          </w:p>
          <w:p w:rsidR="00581FA5" w:rsidRPr="00392FFD" w:rsidRDefault="00581FA5" w:rsidP="00FD239F">
            <w:pPr>
              <w:pStyle w:val="InstructionsText"/>
            </w:pPr>
            <w:r>
              <w:t>Izpostavljenosti do enot regionalne ali lokalne ravni držav.</w:t>
            </w:r>
          </w:p>
          <w:p w:rsidR="00581FA5" w:rsidRPr="00392FFD" w:rsidRDefault="00581FA5" w:rsidP="00FD239F">
            <w:pPr>
              <w:pStyle w:val="InstructionsText"/>
            </w:pPr>
            <w:r>
              <w:t>Izpostavljenosti do subjektov javnega sektorja.</w:t>
            </w:r>
          </w:p>
          <w:p w:rsidR="00581FA5" w:rsidRPr="00392FFD" w:rsidRDefault="00581FA5" w:rsidP="00FD239F">
            <w:pPr>
              <w:pStyle w:val="InstructionsText"/>
            </w:pPr>
            <w:r>
              <w:t>Izpostavljenosti do multilateralnih razvojnih bank.</w:t>
            </w:r>
          </w:p>
          <w:p w:rsidR="00581FA5" w:rsidRPr="00392FFD" w:rsidRDefault="00581FA5" w:rsidP="00FD239F">
            <w:pPr>
              <w:pStyle w:val="InstructionsText"/>
            </w:pPr>
            <w:r>
              <w:t>Izpostavljenosti do mednarodnih organizacij.</w:t>
            </w:r>
          </w:p>
          <w:p w:rsidR="00581FA5" w:rsidRPr="00392FFD" w:rsidRDefault="00581FA5" w:rsidP="00FD239F">
            <w:pPr>
              <w:pStyle w:val="InstructionsText"/>
            </w:pPr>
            <w:r>
              <w:t>Izpostavljenosti do institucij.</w:t>
            </w:r>
          </w:p>
          <w:p w:rsidR="00581FA5" w:rsidRPr="00392FFD" w:rsidRDefault="00581FA5" w:rsidP="00FD239F">
            <w:pPr>
              <w:pStyle w:val="InstructionsText"/>
            </w:pPr>
            <w:r>
              <w:t>Izpostavljenosti do podjetij.</w:t>
            </w:r>
          </w:p>
          <w:p w:rsidR="00581FA5" w:rsidRPr="00392FFD" w:rsidRDefault="00581FA5" w:rsidP="00FD239F">
            <w:pPr>
              <w:pStyle w:val="InstructionsText"/>
            </w:pPr>
            <w:r>
              <w:t>Izpostavljenosti na drobno.</w:t>
            </w:r>
          </w:p>
        </w:tc>
      </w:tr>
    </w:tbl>
    <w:p w:rsidR="00464F34" w:rsidRPr="00392FFD" w:rsidRDefault="00464F34" w:rsidP="00FD239F">
      <w:pPr>
        <w:pStyle w:val="InstructionsText"/>
      </w:pPr>
    </w:p>
    <w:p w:rsidR="00464F34" w:rsidRPr="00392FFD" w:rsidRDefault="00464F34" w:rsidP="00FD239F">
      <w:pPr>
        <w:pStyle w:val="InstructionsText"/>
      </w:pPr>
    </w:p>
    <w:p w:rsidR="0073242B" w:rsidRPr="00392FFD" w:rsidRDefault="0073242B">
      <w:pPr>
        <w:spacing w:before="0" w:after="0"/>
        <w:jc w:val="left"/>
        <w:rPr>
          <w:rFonts w:ascii="Times New Roman" w:hAnsi="Times New Roman"/>
          <w:bCs/>
          <w:sz w:val="24"/>
        </w:rPr>
      </w:pPr>
      <w:r>
        <w:br w:type="page"/>
      </w:r>
    </w:p>
    <w:p w:rsidR="00464F34" w:rsidRPr="00392FFD" w:rsidRDefault="00464F34" w:rsidP="00FD239F">
      <w:pPr>
        <w:pStyle w:val="InstructionsText"/>
      </w:pP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28" w:name="_Toc262568031"/>
      <w:bookmarkStart w:id="229" w:name="_Toc264038429"/>
      <w:bookmarkStart w:id="230" w:name="_Toc292456208"/>
      <w:bookmarkStart w:id="231" w:name="_Toc295829859"/>
      <w:bookmarkStart w:id="232" w:name="_Toc310415023"/>
      <w:bookmarkStart w:id="233" w:name="_Toc360188352"/>
      <w:bookmarkStart w:id="234" w:name="_Toc516210636"/>
      <w:bookmarkStart w:id="235" w:name="_Toc473560901"/>
      <w:bookmarkStart w:id="236" w:name="_Toc523474385"/>
      <w:r>
        <w:rPr>
          <w:rFonts w:ascii="Times New Roman" w:hAnsi="Times New Roman"/>
          <w:sz w:val="24"/>
          <w:u w:val="none"/>
        </w:rPr>
        <w:t>3.2.4.</w:t>
      </w:r>
      <w:r w:rsidR="003F40E8" w:rsidRPr="003F40E8">
        <w:rPr>
          <w:u w:val="none"/>
        </w:rPr>
        <w:tab/>
      </w:r>
      <w:r>
        <w:rPr>
          <w:rFonts w:ascii="Times New Roman" w:hAnsi="Times New Roman"/>
          <w:sz w:val="24"/>
        </w:rPr>
        <w:t>Pojasnila glede obsega nekaterih posebnih kategorij izpostavljenosti iz člena 112 CRR</w:t>
      </w:r>
      <w:bookmarkEnd w:id="228"/>
      <w:bookmarkEnd w:id="229"/>
      <w:bookmarkEnd w:id="230"/>
      <w:bookmarkEnd w:id="231"/>
      <w:bookmarkEnd w:id="232"/>
      <w:bookmarkEnd w:id="233"/>
      <w:bookmarkEnd w:id="234"/>
      <w:bookmarkEnd w:id="235"/>
      <w:bookmarkEnd w:id="236"/>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37" w:name="_Toc360188353"/>
      <w:bookmarkStart w:id="238" w:name="_Toc516210637"/>
      <w:bookmarkStart w:id="239" w:name="_Toc473560902"/>
      <w:bookmarkStart w:id="240" w:name="_Toc523474386"/>
      <w:r>
        <w:rPr>
          <w:rFonts w:ascii="Times New Roman" w:hAnsi="Times New Roman"/>
          <w:sz w:val="24"/>
          <w:u w:val="none"/>
        </w:rPr>
        <w:t>3.2.4.1.</w:t>
      </w:r>
      <w:r w:rsidR="003F40E8" w:rsidRPr="003F40E8">
        <w:rPr>
          <w:u w:val="none"/>
        </w:rPr>
        <w:tab/>
      </w:r>
      <w:r>
        <w:rPr>
          <w:rFonts w:ascii="Times New Roman" w:hAnsi="Times New Roman"/>
          <w:sz w:val="24"/>
        </w:rPr>
        <w:t>Kategorija izpostavljenosti „Institucije“</w:t>
      </w:r>
      <w:bookmarkEnd w:id="237"/>
      <w:bookmarkEnd w:id="238"/>
      <w:bookmarkEnd w:id="239"/>
      <w:bookmarkEnd w:id="240"/>
    </w:p>
    <w:p w:rsidR="00464F34" w:rsidRPr="00392FFD" w:rsidRDefault="00125707" w:rsidP="00C37B29">
      <w:pPr>
        <w:pStyle w:val="InstructionsText2"/>
        <w:numPr>
          <w:ilvl w:val="0"/>
          <w:numId w:val="0"/>
        </w:numPr>
        <w:ind w:left="993"/>
      </w:pPr>
      <w:r>
        <w:t>68.</w:t>
      </w:r>
      <w:r>
        <w:tab/>
        <w:t>Sporočanje izpostavljenosti znotraj skupine v skladu s členom 113(6) do (7) CRR se izvede, kakor sledi.</w:t>
      </w:r>
    </w:p>
    <w:p w:rsidR="00464F34" w:rsidRPr="00392FFD" w:rsidRDefault="00125707" w:rsidP="00C37B29">
      <w:pPr>
        <w:pStyle w:val="InstructionsText2"/>
        <w:numPr>
          <w:ilvl w:val="0"/>
          <w:numId w:val="0"/>
        </w:numPr>
        <w:ind w:left="993"/>
      </w:pPr>
      <w:r>
        <w:t>69.</w:t>
      </w:r>
      <w:r>
        <w:tab/>
        <w:t>Izpostavljenosti, ki izpolnjujejo zahteve iz člena 113(7) CRR, se poročajo v ustreznih kategorijah izpostavljenosti, v okviru katerih bi se sporočile, če to ne bi bile izpostavljenosti znotraj skupine.</w:t>
      </w:r>
    </w:p>
    <w:p w:rsidR="00464F34" w:rsidRPr="00392FFD" w:rsidRDefault="00125707" w:rsidP="00C37B29">
      <w:pPr>
        <w:pStyle w:val="InstructionsText2"/>
        <w:numPr>
          <w:ilvl w:val="0"/>
          <w:numId w:val="0"/>
        </w:numPr>
        <w:ind w:left="993"/>
      </w:pPr>
      <w:r>
        <w:t>70.</w:t>
      </w:r>
      <w:r>
        <w:tab/>
        <w:t>V skladu s členom 113(6) in (7) uredbe o kapitalskih zahtevah „lahko instituc</w:t>
      </w:r>
      <w:r>
        <w:t>i</w:t>
      </w:r>
      <w:r>
        <w:t>ja ob predhodni odobritvi pristojnih organov opusti uporabo zahtev iz odstavka 1 tega člena za izpostavljenosti te institucije do nasprotne stranke, ki je njena nadr</w:t>
      </w:r>
      <w:r>
        <w:t>e</w:t>
      </w:r>
      <w:r>
        <w:t>jena oseba, njena odvisna družba, odvisna družba njene nadrejene družbe ali podje</w:t>
      </w:r>
      <w:r>
        <w:t>t</w:t>
      </w:r>
      <w:r>
        <w:t>je, s katerim je povezana v smislu člena 12(1) Direktive 83/349/EGS“. To pomeni, da nasprotne stranke znotraj skupine niso nujno institucije, ampak tudi družbe, ki so razvrščene v druge kategorije izpostavljenosti, npr. družbe za pomožne storitve ali družbe v smislu člena 12(1) Direktive 83/349/EGS. Zato se izpostavljenosti znotraj skupine poročajo v ustrezni kategoriji izpostavljenosti.</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41" w:name="_Toc360188354"/>
      <w:bookmarkStart w:id="242" w:name="_Toc516210638"/>
      <w:bookmarkStart w:id="243" w:name="_Toc473560903"/>
      <w:bookmarkStart w:id="244" w:name="_Toc523474387"/>
      <w:r>
        <w:rPr>
          <w:rFonts w:ascii="Times New Roman" w:hAnsi="Times New Roman"/>
          <w:sz w:val="24"/>
          <w:u w:val="none"/>
        </w:rPr>
        <w:t>3.2.4.2.</w:t>
      </w:r>
      <w:r w:rsidR="003F40E8" w:rsidRPr="003F40E8">
        <w:rPr>
          <w:u w:val="none"/>
        </w:rPr>
        <w:tab/>
      </w:r>
      <w:r>
        <w:rPr>
          <w:rFonts w:ascii="Times New Roman" w:hAnsi="Times New Roman"/>
          <w:sz w:val="24"/>
        </w:rPr>
        <w:t>Kategorija izpostavljenosti „krite obveznice“</w:t>
      </w:r>
      <w:bookmarkEnd w:id="241"/>
      <w:bookmarkEnd w:id="242"/>
      <w:bookmarkEnd w:id="243"/>
      <w:bookmarkEnd w:id="244"/>
    </w:p>
    <w:p w:rsidR="00464F34" w:rsidRPr="00392FFD" w:rsidRDefault="00125707" w:rsidP="00C37B29">
      <w:pPr>
        <w:pStyle w:val="InstructionsText2"/>
        <w:numPr>
          <w:ilvl w:val="0"/>
          <w:numId w:val="0"/>
        </w:numPr>
        <w:ind w:left="993"/>
      </w:pPr>
      <w:r>
        <w:t>71.</w:t>
      </w:r>
      <w:r>
        <w:tab/>
        <w:t>Razvrščanje izpostavljenosti na podlagi standardiziranega pristopa v kategorijo izpostavljenosti „krite obveznice“ se izvede, kakor sledi.</w:t>
      </w:r>
    </w:p>
    <w:p w:rsidR="00464F34" w:rsidRPr="00392FFD" w:rsidRDefault="00125707" w:rsidP="00C37B29">
      <w:pPr>
        <w:pStyle w:val="InstructionsText2"/>
        <w:numPr>
          <w:ilvl w:val="0"/>
          <w:numId w:val="0"/>
        </w:numPr>
        <w:ind w:left="993"/>
      </w:pPr>
      <w:r>
        <w:t>72.</w:t>
      </w:r>
      <w:r>
        <w:tab/>
        <w:t>Obveznice, kot so opredeljene v členu 52(4) Direktive 2009/65/ES, izpolnjuj</w:t>
      </w:r>
      <w:r>
        <w:t>e</w:t>
      </w:r>
      <w:r>
        <w:t>jo zahteve iz člena 129(1) do (2) CRR, da se lahko razvrstijo v kategorijo izposta</w:t>
      </w:r>
      <w:r>
        <w:t>v</w:t>
      </w:r>
      <w:r>
        <w:t>ljenosti „krite obveznice“. Izpolnjevanje navedenih zahtev je treba preveriti v vs</w:t>
      </w:r>
      <w:r>
        <w:t>a</w:t>
      </w:r>
      <w:r>
        <w:t>kem primeru. Kljub temu se obveznice, ki so v skladu s členom 52(4) Direktive 2009/65/ES in izdane pred 31. decembrom 2007, prav tako razvrstijo v kategorijo izpostavljenosti „krite obveznice“ zaradi člena 129(6) CRR.</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45" w:name="_Toc360188355"/>
      <w:bookmarkStart w:id="246" w:name="_Toc516210639"/>
      <w:bookmarkStart w:id="247" w:name="_Toc473560904"/>
      <w:bookmarkStart w:id="248" w:name="_Toc523474388"/>
      <w:r>
        <w:rPr>
          <w:rFonts w:ascii="Times New Roman" w:hAnsi="Times New Roman"/>
          <w:sz w:val="24"/>
          <w:u w:val="none"/>
        </w:rPr>
        <w:t>3.2.4.3.</w:t>
      </w:r>
      <w:r w:rsidR="003F40E8" w:rsidRPr="003F40E8">
        <w:rPr>
          <w:u w:val="none"/>
        </w:rPr>
        <w:tab/>
      </w:r>
      <w:r>
        <w:rPr>
          <w:rFonts w:ascii="Times New Roman" w:hAnsi="Times New Roman"/>
          <w:sz w:val="24"/>
        </w:rPr>
        <w:t>Kategorija izpostavljenosti „kolektivni naložbeni podjemi“</w:t>
      </w:r>
      <w:bookmarkEnd w:id="245"/>
      <w:bookmarkEnd w:id="246"/>
      <w:bookmarkEnd w:id="247"/>
      <w:bookmarkEnd w:id="248"/>
    </w:p>
    <w:p w:rsidR="00464F34" w:rsidRPr="00392FFD" w:rsidRDefault="00125707" w:rsidP="00C37B29">
      <w:pPr>
        <w:pStyle w:val="InstructionsText2"/>
        <w:numPr>
          <w:ilvl w:val="0"/>
          <w:numId w:val="0"/>
        </w:numPr>
        <w:ind w:left="993"/>
      </w:pPr>
      <w:r>
        <w:t>73.</w:t>
      </w:r>
      <w:r>
        <w:tab/>
        <w:t xml:space="preserve">Če se uporabi možnost iz člena 132(5) CRR, se izpostavljenosti iz naslova enot in deležev v kolektivnih naložbenih podjemih poročajo kot bilančne postavke v skladu s prvim stavkom člena 111(1) CRR.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49" w:name="_Toc262568032"/>
      <w:bookmarkStart w:id="250" w:name="_Toc264038430"/>
      <w:bookmarkStart w:id="251" w:name="_Toc292456209"/>
      <w:bookmarkStart w:id="252" w:name="_Toc295829860"/>
      <w:bookmarkStart w:id="253" w:name="_Toc310415024"/>
      <w:bookmarkStart w:id="254" w:name="_Toc360188356"/>
      <w:bookmarkStart w:id="255" w:name="_Toc516210640"/>
      <w:bookmarkStart w:id="256" w:name="_Toc473560905"/>
      <w:bookmarkStart w:id="257" w:name="_Toc523474389"/>
      <w:r>
        <w:rPr>
          <w:rFonts w:ascii="Times New Roman" w:hAnsi="Times New Roman"/>
          <w:sz w:val="24"/>
          <w:u w:val="none"/>
        </w:rPr>
        <w:t>3.2.5.</w:t>
      </w:r>
      <w:r w:rsidR="003F40E8" w:rsidRPr="003F40E8">
        <w:rPr>
          <w:u w:val="none"/>
        </w:rPr>
        <w:tab/>
      </w:r>
      <w:r>
        <w:rPr>
          <w:rFonts w:ascii="Times New Roman" w:hAnsi="Times New Roman"/>
          <w:sz w:val="24"/>
        </w:rPr>
        <w:t>Navodila za posamezne pozicije</w:t>
      </w:r>
      <w:bookmarkEnd w:id="249"/>
      <w:bookmarkEnd w:id="250"/>
      <w:bookmarkEnd w:id="251"/>
      <w:bookmarkEnd w:id="252"/>
      <w:bookmarkEnd w:id="253"/>
      <w:bookmarkEnd w:id="254"/>
      <w:bookmarkEnd w:id="255"/>
      <w:bookmarkEnd w:id="256"/>
      <w:bookmarkEnd w:id="257"/>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rsidTr="00672D2A">
        <w:trPr>
          <w:trHeight w:val="581"/>
        </w:trPr>
        <w:tc>
          <w:tcPr>
            <w:tcW w:w="9828" w:type="dxa"/>
            <w:gridSpan w:val="2"/>
            <w:shd w:val="clear" w:color="auto" w:fill="CCCCCC"/>
          </w:tcPr>
          <w:p w:rsidR="00464F34" w:rsidRPr="00392FFD" w:rsidRDefault="00464F34" w:rsidP="00FD239F">
            <w:pPr>
              <w:pStyle w:val="InstructionsText"/>
            </w:pPr>
            <w:r>
              <w:t>Stolpci</w:t>
            </w:r>
          </w:p>
        </w:tc>
      </w:tr>
      <w:tr w:rsidR="00464F34" w:rsidRPr="00392FFD" w:rsidTr="00672D2A">
        <w:tc>
          <w:tcPr>
            <w:tcW w:w="1188" w:type="dxa"/>
          </w:tcPr>
          <w:p w:rsidR="00464F34" w:rsidRPr="00392FFD" w:rsidRDefault="00464F34" w:rsidP="00FD239F">
            <w:pPr>
              <w:pStyle w:val="InstructionsText"/>
            </w:pPr>
            <w:r>
              <w:t>010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ORIGINALNA IZPOSTAVLJENOST PRED UPORABO KONVERZIJSKIH FAKTORJEV</w:t>
            </w:r>
          </w:p>
          <w:p w:rsidR="00464F34" w:rsidRPr="00392FFD" w:rsidRDefault="00464F34" w:rsidP="00FD239F">
            <w:pPr>
              <w:pStyle w:val="InstructionsText"/>
            </w:pPr>
            <w:r>
              <w:t>Vrednost izpostavljenosti v skladu s členom 111 CRR brez upoštevanja prilagoditev vrednosti in rezervacij, konverzijskih faktorjev in učinka tehnik za zmanjševanje kred</w:t>
            </w:r>
            <w:r>
              <w:t>i</w:t>
            </w:r>
            <w:r>
              <w:t>tnega tveganja z naslednjimi opredelitvami, ki izhajajo iz člena 111(2) CRR.</w:t>
            </w:r>
          </w:p>
          <w:p w:rsidR="00464F34" w:rsidRPr="00392FFD" w:rsidRDefault="00464F34" w:rsidP="00FD239F">
            <w:pPr>
              <w:pStyle w:val="InstructionsText"/>
            </w:pPr>
            <w:r>
              <w:t xml:space="preserve">Za izvedene finančne instrumente, repo posle, posle </w:t>
            </w:r>
            <w:proofErr w:type="spellStart"/>
            <w:r>
              <w:t>posoje</w:t>
            </w:r>
            <w:proofErr w:type="spellEnd"/>
            <w:r>
              <w:t>/izposoje vrednostnih papi</w:t>
            </w:r>
            <w:r>
              <w:t>r</w:t>
            </w:r>
            <w:r>
              <w:lastRenderedPageBreak/>
              <w:t>jev ali blaga, posle z dolgim rokom poravnave in posle kreditiranja za povečanje trg</w:t>
            </w:r>
            <w:r>
              <w:t>o</w:t>
            </w:r>
            <w:r>
              <w:t>valnega portfelja, za katere se uporablja poglavje 6 naslova II dela 3 CRR ali člen 92(3)(f) CRR, originalna izpostavljenost ustreza vrednosti izpostavljenosti za kreditno tveganje nasprotne stranke, izračunani v skladu z metodami iz poglavja 6 naslova II dela 3 CRR.</w:t>
            </w:r>
          </w:p>
          <w:p w:rsidR="00464F34" w:rsidRPr="00392FFD" w:rsidRDefault="00464F34" w:rsidP="00FD239F">
            <w:pPr>
              <w:pStyle w:val="InstructionsText"/>
            </w:pPr>
            <w:r>
              <w:t xml:space="preserve">Za vrednosti izpostavljenosti iz naslova zakupa se uporablja člen 134(7) CRR. </w:t>
            </w:r>
          </w:p>
          <w:p w:rsidR="00464F34" w:rsidRPr="00392FFD" w:rsidRDefault="00464F34" w:rsidP="00FD239F">
            <w:pPr>
              <w:pStyle w:val="InstructionsText"/>
            </w:pPr>
          </w:p>
          <w:p w:rsidR="00464F34" w:rsidRPr="00392FFD" w:rsidRDefault="00464F34" w:rsidP="00FD239F">
            <w:pPr>
              <w:pStyle w:val="InstructionsText"/>
            </w:pPr>
            <w:r>
              <w:t>V primeru bilančnega pobota v skladu s členom 219 CRR se vrednosti izpostavljenosti poročajo v skladu s prejetim zavarovanjem z denarnimi sredstvi.</w:t>
            </w:r>
          </w:p>
          <w:p w:rsidR="00464F34" w:rsidRPr="00392FFD" w:rsidRDefault="00464F34" w:rsidP="00FD239F">
            <w:pPr>
              <w:pStyle w:val="InstructionsText"/>
            </w:pPr>
          </w:p>
          <w:p w:rsidR="00464F34" w:rsidRPr="00392FFD" w:rsidRDefault="00464F34" w:rsidP="00FD239F">
            <w:pPr>
              <w:pStyle w:val="InstructionsText"/>
            </w:pPr>
            <w:r>
              <w:t xml:space="preserve">V primeru okvirnih pogodb o pobotu, ki zajemajo repo posle in/ali posle </w:t>
            </w:r>
            <w:proofErr w:type="spellStart"/>
            <w:r>
              <w:t>pos</w:t>
            </w:r>
            <w:r>
              <w:t>o</w:t>
            </w:r>
            <w:r>
              <w:t>je</w:t>
            </w:r>
            <w:proofErr w:type="spellEnd"/>
            <w:r>
              <w:t>/izposoje vrednostnih papirjev ali blaga in/ali druge posle z instrumenti kapitalskega trga, za katere se uporablja poglavje 6 naslova II dela 3 CRR, se v stolpec 010 vključi učinek stvarnega kreditnega zavarovanja v obliki okvirnih pogodb o pobotu iz člena 220(4) CRR. Zato se v primeru okvirnih pogodb o pobotu, ki zajemajo repo posle, za katere se uporabljajo določbe iz poglavja 6 naslova II dela 3 CRR, E*, izračunan v skladu s členoma 220 in 221 CRR, sporoči v stolpcu 010 predloge CR SA.</w:t>
            </w:r>
          </w:p>
        </w:tc>
      </w:tr>
      <w:tr w:rsidR="00464F34" w:rsidRPr="00392FFD" w:rsidTr="00672D2A">
        <w:tc>
          <w:tcPr>
            <w:tcW w:w="1188" w:type="dxa"/>
          </w:tcPr>
          <w:p w:rsidR="00464F34" w:rsidRPr="00392FFD" w:rsidRDefault="00464F34" w:rsidP="00FD239F">
            <w:pPr>
              <w:pStyle w:val="InstructionsText"/>
            </w:pPr>
            <w:r>
              <w:lastRenderedPageBreak/>
              <w:t>030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Prilagoditve vrednosti in rezervacije, povezane z originalno izpostavljenostjo</w:t>
            </w:r>
          </w:p>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Člena 24 in 111 CRR.</w:t>
            </w:r>
          </w:p>
          <w:p w:rsidR="00464F34" w:rsidRPr="00392FFD" w:rsidRDefault="00464F34" w:rsidP="00FD239F">
            <w:pPr>
              <w:pStyle w:val="InstructionsText"/>
            </w:pPr>
          </w:p>
          <w:p w:rsidR="00464F34" w:rsidRPr="00392FFD" w:rsidRDefault="00464F34" w:rsidP="00FD239F">
            <w:pPr>
              <w:pStyle w:val="InstructionsText"/>
            </w:pPr>
            <w:r>
              <w:t>Prilagoditve vrednosti in rezervacije za kreditne izgube, nastale v skladu z računovo</w:t>
            </w:r>
            <w:r>
              <w:t>d</w:t>
            </w:r>
            <w:r>
              <w:t xml:space="preserve">skim okvirom, ki se uporablja za subjekt. </w:t>
            </w:r>
          </w:p>
        </w:tc>
      </w:tr>
      <w:tr w:rsidR="00464F34" w:rsidRPr="00392FFD" w:rsidTr="00672D2A">
        <w:tc>
          <w:tcPr>
            <w:tcW w:w="1188" w:type="dxa"/>
          </w:tcPr>
          <w:p w:rsidR="00464F34" w:rsidRPr="00392FFD" w:rsidRDefault="00464F34" w:rsidP="00FD239F">
            <w:pPr>
              <w:pStyle w:val="InstructionsText"/>
            </w:pPr>
            <w:r>
              <w:t>040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Izpostavljenosti z odštetimi prilagoditvami vrednosti in rezervacijami</w:t>
            </w:r>
          </w:p>
          <w:p w:rsidR="00464F34" w:rsidRPr="00392FFD" w:rsidRDefault="00464F34" w:rsidP="00FD239F">
            <w:pPr>
              <w:pStyle w:val="InstructionsText"/>
            </w:pPr>
            <w:r>
              <w:t>Vsota stolpcev 010 in 030.</w:t>
            </w:r>
          </w:p>
        </w:tc>
      </w:tr>
      <w:tr w:rsidR="00464F34" w:rsidRPr="00392FFD" w:rsidTr="00672D2A">
        <w:tc>
          <w:tcPr>
            <w:tcW w:w="1188" w:type="dxa"/>
          </w:tcPr>
          <w:p w:rsidR="00464F34" w:rsidRPr="00392FFD" w:rsidRDefault="00464F34" w:rsidP="00FD239F">
            <w:pPr>
              <w:pStyle w:val="InstructionsText"/>
            </w:pPr>
            <w:r>
              <w:t>050–100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TEHNIKE ZA ZMANJŠEVANJE KREDITNEGA TVEGANJA (CRM) Z UČINKI ZAMENJAVE NA IZPOSTAVLJENOST</w:t>
            </w:r>
          </w:p>
          <w:p w:rsidR="00464F34" w:rsidRPr="00392FFD" w:rsidRDefault="00464F34" w:rsidP="00FD239F">
            <w:pPr>
              <w:pStyle w:val="InstructionsText"/>
            </w:pPr>
            <w:r>
              <w:t>Tehnike za zmanjševanje kreditnega tveganja iz člena 4(57) CRR, ki zmanjšujejo kr</w:t>
            </w:r>
            <w:r>
              <w:t>e</w:t>
            </w:r>
            <w:r>
              <w:t>ditno tveganje izpostavljenosti prek zamenjave izpostavljenosti, kot je opredeljeno spodaj v okviru polja Zamenjava izpostavljenosti zaradi zmanjševanja kreditnega tv</w:t>
            </w:r>
            <w:r>
              <w:t>e</w:t>
            </w:r>
            <w:r>
              <w:t>ganja.</w:t>
            </w:r>
          </w:p>
          <w:p w:rsidR="00464F34" w:rsidRPr="00392FFD" w:rsidRDefault="00464F34" w:rsidP="00FD239F">
            <w:pPr>
              <w:pStyle w:val="InstructionsText"/>
            </w:pPr>
            <w:r>
              <w:t>Če ima zavarovanje učinek na vrednost izpostavljenosti (npr. če se uporablja za tehnike za zmanjševanje kreditnega tveganja z učinki zamenjave na izpostavljenost), se omeji na vrednost izpostavljenosti.</w:t>
            </w:r>
          </w:p>
          <w:p w:rsidR="00464F34" w:rsidRPr="00392FFD" w:rsidRDefault="00464F34" w:rsidP="00FD239F">
            <w:pPr>
              <w:pStyle w:val="InstructionsText"/>
            </w:pPr>
            <w:r>
              <w:t>Postavke, ki se poročajo v tem polju:</w:t>
            </w:r>
          </w:p>
          <w:p w:rsidR="00464F34" w:rsidRPr="00392FFD" w:rsidRDefault="00125707" w:rsidP="00FD239F">
            <w:pPr>
              <w:pStyle w:val="InstructionsText"/>
            </w:pPr>
            <w:r>
              <w:rPr>
                <w:rFonts w:ascii="Arial" w:hAnsi="Arial"/>
              </w:rPr>
              <w:t>–</w:t>
            </w:r>
            <w:r>
              <w:tab/>
              <w:t>zavarovanje s premoženjem, vključeno v skladu z enostavno metodo za izračun učinkov zavarovanja s finančnim premoženjem;</w:t>
            </w:r>
          </w:p>
          <w:p w:rsidR="00464F34" w:rsidRPr="00392FFD" w:rsidRDefault="00125707" w:rsidP="00FD239F">
            <w:pPr>
              <w:pStyle w:val="InstructionsText"/>
            </w:pPr>
            <w:r>
              <w:rPr>
                <w:rFonts w:ascii="Arial" w:hAnsi="Arial"/>
              </w:rPr>
              <w:t>–</w:t>
            </w:r>
            <w:r>
              <w:tab/>
              <w:t>primerno osebno kreditno zavarovanje.</w:t>
            </w:r>
          </w:p>
          <w:p w:rsidR="00464F34" w:rsidRPr="00392FFD" w:rsidRDefault="00464F34" w:rsidP="00FD239F">
            <w:pPr>
              <w:pStyle w:val="InstructionsText"/>
            </w:pPr>
            <w:r>
              <w:t xml:space="preserve">Glej tudi navodila iz točke 4.1.1. </w:t>
            </w:r>
          </w:p>
        </w:tc>
      </w:tr>
      <w:tr w:rsidR="00464F34" w:rsidRPr="00392FFD" w:rsidTr="00672D2A">
        <w:tc>
          <w:tcPr>
            <w:tcW w:w="1188" w:type="dxa"/>
          </w:tcPr>
          <w:p w:rsidR="00464F34" w:rsidRPr="00392FFD" w:rsidRDefault="00464F34" w:rsidP="00FD239F">
            <w:pPr>
              <w:pStyle w:val="InstructionsText"/>
            </w:pPr>
            <w:r>
              <w:t>050–060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Osebno kreditno zavarovanje: prilagojene vrednosti (Ga)</w:t>
            </w:r>
          </w:p>
          <w:p w:rsidR="00464F34" w:rsidRPr="00392FFD" w:rsidRDefault="00464F34" w:rsidP="00FD239F">
            <w:pPr>
              <w:pStyle w:val="InstructionsText"/>
            </w:pPr>
            <w:r>
              <w:t>Člen 235 CRR.</w:t>
            </w:r>
          </w:p>
          <w:p w:rsidR="00464F34" w:rsidRPr="00392FFD" w:rsidRDefault="00464F34" w:rsidP="00FD239F">
            <w:pPr>
              <w:pStyle w:val="InstructionsText"/>
            </w:pPr>
            <w:r>
              <w:lastRenderedPageBreak/>
              <w:t>Člen 239(3) CRR določa prilagojeno vrednost Ga osebnega kreditnega zavarovanja.</w:t>
            </w:r>
          </w:p>
        </w:tc>
      </w:tr>
      <w:tr w:rsidR="00464F34" w:rsidRPr="00392FFD" w:rsidTr="00672D2A">
        <w:tc>
          <w:tcPr>
            <w:tcW w:w="1188" w:type="dxa"/>
          </w:tcPr>
          <w:p w:rsidR="00464F34" w:rsidRPr="00392FFD" w:rsidRDefault="00464F34" w:rsidP="00FD239F">
            <w:pPr>
              <w:pStyle w:val="InstructionsText"/>
            </w:pPr>
            <w:r>
              <w:lastRenderedPageBreak/>
              <w:t>050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Jamstva</w:t>
            </w:r>
          </w:p>
          <w:p w:rsidR="00464F34" w:rsidRPr="00392FFD" w:rsidRDefault="00464F34" w:rsidP="00FD239F">
            <w:pPr>
              <w:pStyle w:val="InstructionsText"/>
            </w:pPr>
            <w:r>
              <w:t>Člen 203 CRR.</w:t>
            </w:r>
          </w:p>
          <w:p w:rsidR="00464F34" w:rsidRPr="00392FFD" w:rsidRDefault="00464F34" w:rsidP="00FD239F">
            <w:pPr>
              <w:pStyle w:val="InstructionsText"/>
              <w:rPr>
                <w:b/>
                <w:u w:val="single"/>
              </w:rPr>
            </w:pPr>
            <w:r>
              <w:t>Osebno kreditno zavarovanje, kot je opredeljeno v členu 4(59) CRR, ki se razlikuje od kreditnih izvedenih finančnih instrumentov.</w:t>
            </w:r>
          </w:p>
        </w:tc>
      </w:tr>
      <w:tr w:rsidR="00464F34" w:rsidRPr="00392FFD" w:rsidTr="00672D2A">
        <w:tc>
          <w:tcPr>
            <w:tcW w:w="1188" w:type="dxa"/>
          </w:tcPr>
          <w:p w:rsidR="00464F34" w:rsidRPr="00392FFD" w:rsidRDefault="00464F34" w:rsidP="00FD239F">
            <w:pPr>
              <w:pStyle w:val="InstructionsText"/>
            </w:pPr>
            <w:r>
              <w:t>060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Kreditni izvedeni finančni instrumenti</w:t>
            </w:r>
          </w:p>
          <w:p w:rsidR="00464F34" w:rsidRPr="00392FFD" w:rsidRDefault="00464F34" w:rsidP="00FD239F">
            <w:pPr>
              <w:pStyle w:val="InstructionsText"/>
              <w:rPr>
                <w:b/>
                <w:u w:val="single"/>
              </w:rPr>
            </w:pPr>
            <w:r>
              <w:t>Člen 204 CRR.</w:t>
            </w:r>
          </w:p>
        </w:tc>
      </w:tr>
      <w:tr w:rsidR="00464F34" w:rsidRPr="00392FFD" w:rsidTr="00672D2A">
        <w:tc>
          <w:tcPr>
            <w:tcW w:w="1188" w:type="dxa"/>
          </w:tcPr>
          <w:p w:rsidR="00464F34" w:rsidRPr="00392FFD" w:rsidRDefault="00464F34" w:rsidP="00FD239F">
            <w:pPr>
              <w:pStyle w:val="InstructionsText"/>
            </w:pPr>
            <w:r>
              <w:t>070–080</w:t>
            </w:r>
          </w:p>
          <w:p w:rsidR="00464F34" w:rsidRPr="00392FFD" w:rsidRDefault="00464F34" w:rsidP="00FD239F">
            <w:pPr>
              <w:pStyle w:val="InstructionsText"/>
            </w:pP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Stvarno kreditno zavarovanje</w:t>
            </w:r>
          </w:p>
          <w:p w:rsidR="00464F34" w:rsidRPr="00392FFD" w:rsidRDefault="009C44E7" w:rsidP="00FD239F">
            <w:pPr>
              <w:pStyle w:val="InstructionsText"/>
            </w:pPr>
            <w:r>
              <w:t>Ta stolpca se nanašata na stvarno kreditno zavarovanje v skladu s členom 4(58) ter čl</w:t>
            </w:r>
            <w:r>
              <w:t>e</w:t>
            </w:r>
            <w:r>
              <w:t xml:space="preserve">ni 196, 197 in 200 CRR. Zneski ne vključujejo okvirnih pogodb o pobotu (ki so že vključene v originalno izpostavljenost pred uporabo konverzijskih faktorjev). </w:t>
            </w:r>
          </w:p>
          <w:p w:rsidR="00464F34" w:rsidRPr="00392FFD" w:rsidRDefault="00464F34" w:rsidP="00FD239F">
            <w:pPr>
              <w:pStyle w:val="InstructionsText"/>
            </w:pPr>
            <w:r>
              <w:t>Kreditni zapisi in pozicije bilančnega pobota, ki izhajajo iz primernih pogodb o bilan</w:t>
            </w:r>
            <w:r>
              <w:t>č</w:t>
            </w:r>
            <w:r>
              <w:t>nem pobotu v skladu s členoma 218 in 219 CRR, se obravnavajo kot zavarovanje z denarnimi sredstvi.</w:t>
            </w:r>
          </w:p>
        </w:tc>
      </w:tr>
      <w:tr w:rsidR="00464F34" w:rsidRPr="00392FFD" w:rsidTr="00672D2A">
        <w:tc>
          <w:tcPr>
            <w:tcW w:w="1188" w:type="dxa"/>
          </w:tcPr>
          <w:p w:rsidR="00464F34" w:rsidRPr="00392FFD" w:rsidRDefault="00464F34" w:rsidP="00FD239F">
            <w:pPr>
              <w:pStyle w:val="InstructionsText"/>
            </w:pPr>
            <w:r>
              <w:t>070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Zavarovanje s finančnim premoženjem: enostavna metoda</w:t>
            </w:r>
          </w:p>
          <w:p w:rsidR="00464F34" w:rsidRPr="00392FFD" w:rsidRDefault="00464F34" w:rsidP="00FD239F">
            <w:pPr>
              <w:pStyle w:val="InstructionsText"/>
            </w:pPr>
            <w:r>
              <w:t>Člen 222(1) do (2) CRR.</w:t>
            </w:r>
          </w:p>
        </w:tc>
      </w:tr>
      <w:tr w:rsidR="00464F34" w:rsidRPr="00392FFD" w:rsidTr="00672D2A">
        <w:tc>
          <w:tcPr>
            <w:tcW w:w="1188" w:type="dxa"/>
          </w:tcPr>
          <w:p w:rsidR="00464F34" w:rsidRPr="00392FFD" w:rsidRDefault="00464F34" w:rsidP="00FD239F">
            <w:pPr>
              <w:pStyle w:val="InstructionsText"/>
            </w:pPr>
            <w:r>
              <w:t>080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Drugo stvarno kreditno zavarovanje</w:t>
            </w:r>
          </w:p>
          <w:p w:rsidR="00464F34" w:rsidRPr="00392FFD" w:rsidRDefault="00464F34" w:rsidP="00FD239F">
            <w:pPr>
              <w:pStyle w:val="InstructionsText"/>
            </w:pPr>
            <w:r>
              <w:t>Člen 232 CRR.</w:t>
            </w:r>
          </w:p>
        </w:tc>
      </w:tr>
      <w:tr w:rsidR="00464F34" w:rsidRPr="00392FFD" w:rsidTr="00672D2A">
        <w:tc>
          <w:tcPr>
            <w:tcW w:w="1188" w:type="dxa"/>
          </w:tcPr>
          <w:p w:rsidR="00464F34" w:rsidRPr="00392FFD" w:rsidRDefault="00464F34" w:rsidP="00FD239F">
            <w:pPr>
              <w:pStyle w:val="InstructionsText"/>
            </w:pPr>
            <w:r>
              <w:t>090–100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ZAMENJAVA IZPOSTAVLJENOSTI ZARADI ZMANJŠEVANJA KREDI</w:t>
            </w:r>
            <w:r>
              <w:rPr>
                <w:rStyle w:val="InstructionsTabelleberschrift"/>
                <w:rFonts w:ascii="Times New Roman" w:hAnsi="Times New Roman"/>
                <w:sz w:val="24"/>
              </w:rPr>
              <w:t>T</w:t>
            </w:r>
            <w:r>
              <w:rPr>
                <w:rStyle w:val="InstructionsTabelleberschrift"/>
                <w:rFonts w:ascii="Times New Roman" w:hAnsi="Times New Roman"/>
                <w:sz w:val="24"/>
              </w:rPr>
              <w:t>NEGA TVEGANJA</w:t>
            </w:r>
          </w:p>
          <w:p w:rsidR="00464F34" w:rsidRPr="00392FFD" w:rsidRDefault="00464F34" w:rsidP="00FD239F">
            <w:pPr>
              <w:pStyle w:val="InstructionsText"/>
            </w:pPr>
            <w:r>
              <w:t>Členi 222(3), 235(1) do (2) in člen 236 CRR.</w:t>
            </w:r>
          </w:p>
          <w:p w:rsidR="00464F34" w:rsidRPr="00392FFD" w:rsidRDefault="00464F34" w:rsidP="00FD239F">
            <w:pPr>
              <w:pStyle w:val="InstructionsText"/>
            </w:pPr>
            <w:r>
              <w:t>Odlivi ustrezajo kritemu delu originalne izpostavljenosti pred uporabo konverzijskih faktorjev, ki se odbije od kategorije izpostavljenosti dolžnika in nato razvrsti v kateg</w:t>
            </w:r>
            <w:r>
              <w:t>o</w:t>
            </w:r>
            <w:r>
              <w:t>rijo izpostavljenosti dajalca zavarovanja. Ta znesek se obravnava kot priliv v kategorijo izpostavljenosti dajalca zavarovanja.</w:t>
            </w:r>
          </w:p>
          <w:p w:rsidR="00464F34" w:rsidRPr="00392FFD" w:rsidRDefault="00464F34" w:rsidP="00FD239F">
            <w:pPr>
              <w:pStyle w:val="InstructionsText"/>
              <w:rPr>
                <w:b/>
              </w:rPr>
            </w:pPr>
            <w:r>
              <w:t>Poročajo se tudi prilivi in odlivi v isti kategoriji izpostavljenosti.</w:t>
            </w:r>
          </w:p>
          <w:p w:rsidR="00464F34" w:rsidRPr="00392FFD" w:rsidRDefault="00464F34" w:rsidP="00FD239F">
            <w:pPr>
              <w:pStyle w:val="InstructionsText"/>
            </w:pPr>
            <w:r>
              <w:t>Upoštevajo se izpostavljenosti, ki izhajajo iz možnih prilivov v druge predloge in odl</w:t>
            </w:r>
            <w:r>
              <w:t>i</w:t>
            </w:r>
            <w:r>
              <w:t>vov iz drugih predlog.</w:t>
            </w:r>
          </w:p>
        </w:tc>
      </w:tr>
      <w:tr w:rsidR="00464F34" w:rsidRPr="00392FFD" w:rsidTr="00672D2A">
        <w:tc>
          <w:tcPr>
            <w:tcW w:w="1188" w:type="dxa"/>
          </w:tcPr>
          <w:p w:rsidR="00464F34" w:rsidRPr="00392FFD" w:rsidRDefault="00464F34" w:rsidP="00FD239F">
            <w:pPr>
              <w:pStyle w:val="InstructionsText"/>
            </w:pPr>
            <w:r>
              <w:t>110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NETO IZPOSTAVLJENOST PO UČINKIH ZAMENJAVE ZARADI ZMAN</w:t>
            </w:r>
            <w:r>
              <w:rPr>
                <w:rStyle w:val="InstructionsTabelleberschrift"/>
                <w:rFonts w:ascii="Times New Roman" w:hAnsi="Times New Roman"/>
                <w:sz w:val="24"/>
              </w:rPr>
              <w:t>J</w:t>
            </w:r>
            <w:r>
              <w:rPr>
                <w:rStyle w:val="InstructionsTabelleberschrift"/>
                <w:rFonts w:ascii="Times New Roman" w:hAnsi="Times New Roman"/>
                <w:sz w:val="24"/>
              </w:rPr>
              <w:t>ŠEVANJA KREDITNEGA TVEGANJA PRED UPORABO KONVERZIJSKIH FAKTORJEV</w:t>
            </w:r>
          </w:p>
          <w:p w:rsidR="00464F34" w:rsidRPr="00392FFD" w:rsidRDefault="00464F34" w:rsidP="00FD239F">
            <w:pPr>
              <w:pStyle w:val="InstructionsText"/>
            </w:pPr>
            <w:r>
              <w:t>Znesek izpostavljenosti z odštetimi prilagoditvami vrednosti po upoštevanju odlivov in prilivov zaradi TEHNIK ZA ZMANJŠEVANJE KREDITNEGA TVEGANJA (CRM) Z UČINKI ZAMENJAVE NA IZPOSTAVLJENOST.</w:t>
            </w:r>
          </w:p>
        </w:tc>
      </w:tr>
      <w:tr w:rsidR="00464F34" w:rsidRPr="00392FFD" w:rsidTr="00672D2A">
        <w:tc>
          <w:tcPr>
            <w:tcW w:w="1188" w:type="dxa"/>
          </w:tcPr>
          <w:p w:rsidR="00464F34" w:rsidRPr="00392FFD" w:rsidRDefault="00464F34" w:rsidP="00FD239F">
            <w:pPr>
              <w:pStyle w:val="InstructionsText"/>
            </w:pPr>
            <w:r>
              <w:t>120–140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TEHNIKE ZA ZMANJŠEVANJE KREDITNEGA TVEGANJA, KI VPLIVAJO NA ZNESEK IZPOSTAVLJENOSTI: STVARNO KREDITNO ZAVAROVA</w:t>
            </w:r>
            <w:r>
              <w:rPr>
                <w:rStyle w:val="InstructionsTabelleberschrift"/>
                <w:rFonts w:ascii="Times New Roman" w:hAnsi="Times New Roman"/>
                <w:sz w:val="24"/>
              </w:rPr>
              <w:t>N</w:t>
            </w:r>
            <w:r>
              <w:rPr>
                <w:rStyle w:val="InstructionsTabelleberschrift"/>
                <w:rFonts w:ascii="Times New Roman" w:hAnsi="Times New Roman"/>
                <w:sz w:val="24"/>
              </w:rPr>
              <w:t>JE, RAZVITA METODA ZA IZRAČUN UČINKOV ZAVAROVANJA S FINANČNIM PREMOŽENJEM</w:t>
            </w:r>
          </w:p>
          <w:p w:rsidR="00464F34" w:rsidRPr="00392FFD" w:rsidRDefault="00464F34" w:rsidP="00FD239F">
            <w:pPr>
              <w:pStyle w:val="InstructionsText"/>
            </w:pPr>
            <w:r>
              <w:t>Členi 223, 224, 225, 226, 227 in 228 CRR. Zajema tudi kreditne zapise (člen 218 CRR).</w:t>
            </w:r>
          </w:p>
          <w:p w:rsidR="00464F34" w:rsidRPr="00392FFD" w:rsidRDefault="00464F34" w:rsidP="00FD239F">
            <w:pPr>
              <w:pStyle w:val="InstructionsText"/>
            </w:pPr>
            <w:r>
              <w:lastRenderedPageBreak/>
              <w:t>Kreditni zapisi in pozicije bilančnega pobota, ki izhajajo iz sprejemljivih pogodb o bilančnem pobotu v skladu s členoma 218 in 219 CRR, se obravnavajo kot zavarovanje z denarnimi sredstvi.</w:t>
            </w:r>
          </w:p>
          <w:p w:rsidR="00464F34" w:rsidRPr="00392FFD" w:rsidRDefault="00464F34" w:rsidP="00FD239F">
            <w:pPr>
              <w:pStyle w:val="InstructionsText"/>
            </w:pPr>
            <w:r>
              <w:t>Učinek zavarovanja razvite metode za izračun učinkov zavarovanja s finančnim pr</w:t>
            </w:r>
            <w:r>
              <w:t>e</w:t>
            </w:r>
            <w:r>
              <w:t xml:space="preserve">moženjem, ki se uporabi za izpostavljenost, zavarovano s primernim zavarovanjem s finančnim premoženjem, se izračuna v skladu s členi 223, 224, 225, 226, 227 in 228 CRR. </w:t>
            </w:r>
          </w:p>
        </w:tc>
      </w:tr>
      <w:tr w:rsidR="00464F34" w:rsidRPr="00392FFD" w:rsidTr="00672D2A">
        <w:tc>
          <w:tcPr>
            <w:tcW w:w="1188" w:type="dxa"/>
          </w:tcPr>
          <w:p w:rsidR="00464F34" w:rsidRPr="00392FFD" w:rsidRDefault="00464F34" w:rsidP="00FD239F">
            <w:pPr>
              <w:pStyle w:val="InstructionsText"/>
            </w:pPr>
            <w:r>
              <w:lastRenderedPageBreak/>
              <w:t>120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Prilagoditev za nestanovitnost v zvezi z izpostavljenostjo</w:t>
            </w:r>
          </w:p>
          <w:p w:rsidR="00464F34" w:rsidRPr="00392FFD" w:rsidRDefault="00464F34" w:rsidP="00FD239F">
            <w:pPr>
              <w:pStyle w:val="InstructionsText"/>
            </w:pPr>
            <w:r>
              <w:t xml:space="preserve">Člen 223(2) do (3) CRR. </w:t>
            </w:r>
          </w:p>
          <w:p w:rsidR="00464F34" w:rsidRPr="00392FFD" w:rsidRDefault="00464F34" w:rsidP="00FD239F">
            <w:pPr>
              <w:pStyle w:val="InstructionsText"/>
            </w:pPr>
            <w:r>
              <w:t>Znesek, ki se sporoči, je določen z vplivom prilagoditve za nestanovitnost v zvezi z izpostavljenostjo (Eva – E) = E * </w:t>
            </w:r>
            <w:proofErr w:type="spellStart"/>
            <w:r>
              <w:t>He</w:t>
            </w:r>
            <w:proofErr w:type="spellEnd"/>
            <w:r>
              <w:t>.</w:t>
            </w:r>
          </w:p>
        </w:tc>
      </w:tr>
      <w:tr w:rsidR="00464F34" w:rsidRPr="00392FFD" w:rsidTr="00672D2A">
        <w:tc>
          <w:tcPr>
            <w:tcW w:w="1188" w:type="dxa"/>
          </w:tcPr>
          <w:p w:rsidR="00464F34" w:rsidRPr="00392FFD" w:rsidRDefault="00464F34" w:rsidP="00FD239F">
            <w:pPr>
              <w:pStyle w:val="InstructionsText"/>
            </w:pPr>
            <w:r>
              <w:t>130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Prilagojena vrednost zavarovanja s finančnim premoženjem (</w:t>
            </w:r>
            <w:proofErr w:type="spellStart"/>
            <w:r>
              <w:rPr>
                <w:rStyle w:val="InstructionsTabelleberschrift"/>
                <w:rFonts w:ascii="Times New Roman" w:hAnsi="Times New Roman"/>
                <w:sz w:val="24"/>
              </w:rPr>
              <w:t>Cvam</w:t>
            </w:r>
            <w:proofErr w:type="spellEnd"/>
            <w:r>
              <w:rPr>
                <w:rStyle w:val="InstructionsTabelleberschrift"/>
                <w:rFonts w:ascii="Times New Roman" w:hAnsi="Times New Roman"/>
                <w:sz w:val="24"/>
              </w:rPr>
              <w:t>)</w:t>
            </w:r>
          </w:p>
          <w:p w:rsidR="00464F34" w:rsidRPr="00392FFD" w:rsidRDefault="00464F34" w:rsidP="00FD239F">
            <w:pPr>
              <w:pStyle w:val="InstructionsText"/>
            </w:pPr>
            <w:r>
              <w:t>Člen 239(2) CRR.</w:t>
            </w:r>
          </w:p>
          <w:p w:rsidR="00464F34" w:rsidRPr="00392FFD" w:rsidRDefault="00464F34" w:rsidP="00FD239F">
            <w:pPr>
              <w:pStyle w:val="InstructionsText"/>
            </w:pPr>
            <w:r>
              <w:t xml:space="preserve">Za posle v trgovalni knjigi vključuje zavarovanje s finančnim premoženjem in blago, primerno za izpostavljenosti v trgovalnih knjigah v skladu s členom 299(2)(c) do (f) CRR. </w:t>
            </w:r>
          </w:p>
          <w:p w:rsidR="00464F34" w:rsidRPr="00392FFD" w:rsidRDefault="00464F34" w:rsidP="00FD239F">
            <w:pPr>
              <w:pStyle w:val="InstructionsText"/>
            </w:pPr>
            <w:r>
              <w:t xml:space="preserve">Znesek, ki se sporoči, ustreza </w:t>
            </w:r>
            <w:proofErr w:type="spellStart"/>
            <w:r>
              <w:t>Cvam</w:t>
            </w:r>
            <w:proofErr w:type="spellEnd"/>
            <w:r>
              <w:t> = C * (1 – </w:t>
            </w:r>
            <w:proofErr w:type="spellStart"/>
            <w:r>
              <w:t>Hc</w:t>
            </w:r>
            <w:proofErr w:type="spellEnd"/>
            <w:r>
              <w:t> – </w:t>
            </w:r>
            <w:proofErr w:type="spellStart"/>
            <w:r>
              <w:t>Hfc</w:t>
            </w:r>
            <w:proofErr w:type="spellEnd"/>
            <w:r>
              <w:t>) * (t – t*)/(T – t*). Za opred</w:t>
            </w:r>
            <w:r>
              <w:t>e</w:t>
            </w:r>
            <w:r>
              <w:t xml:space="preserve">litve C, </w:t>
            </w:r>
            <w:proofErr w:type="spellStart"/>
            <w:r>
              <w:t>Hc</w:t>
            </w:r>
            <w:proofErr w:type="spellEnd"/>
            <w:r>
              <w:t xml:space="preserve">, </w:t>
            </w:r>
            <w:proofErr w:type="spellStart"/>
            <w:r>
              <w:t>Hfx</w:t>
            </w:r>
            <w:proofErr w:type="spellEnd"/>
            <w:r>
              <w:t>, t, T in t* glej oddelka 4 in 5 poglavja 4 naslova II dela 3 CRR.</w:t>
            </w:r>
          </w:p>
        </w:tc>
      </w:tr>
      <w:tr w:rsidR="00464F34" w:rsidRPr="00392FFD" w:rsidTr="00672D2A">
        <w:tc>
          <w:tcPr>
            <w:tcW w:w="1188" w:type="dxa"/>
          </w:tcPr>
          <w:p w:rsidR="00464F34" w:rsidRPr="00392FFD" w:rsidRDefault="00464F34" w:rsidP="00FD239F">
            <w:pPr>
              <w:pStyle w:val="InstructionsText"/>
            </w:pPr>
            <w:r>
              <w:t>140</w:t>
            </w:r>
          </w:p>
        </w:tc>
        <w:tc>
          <w:tcPr>
            <w:tcW w:w="8640" w:type="dxa"/>
          </w:tcPr>
          <w:p w:rsidR="00464F34" w:rsidRPr="00392FFD" w:rsidRDefault="008932B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Od tega: prilagoditve za nestanovitnost in zapadlost</w:t>
            </w:r>
          </w:p>
          <w:p w:rsidR="00464F34" w:rsidRPr="00392FFD" w:rsidRDefault="00464F34" w:rsidP="00FD239F">
            <w:pPr>
              <w:pStyle w:val="InstructionsText"/>
            </w:pPr>
            <w:r>
              <w:t xml:space="preserve">Člena 223(1) in 239(2) CRR. </w:t>
            </w:r>
          </w:p>
          <w:p w:rsidR="00464F34" w:rsidRPr="00392FFD" w:rsidRDefault="00464F34" w:rsidP="00FD239F">
            <w:pPr>
              <w:pStyle w:val="InstructionsText"/>
            </w:pPr>
            <w:r>
              <w:t>Znesek, ki se sporoči, je skupni vpliv prilagoditev za nestanovitnost in zapadlost (</w:t>
            </w:r>
            <w:proofErr w:type="spellStart"/>
            <w:r>
              <w:t>Cvam</w:t>
            </w:r>
            <w:proofErr w:type="spellEnd"/>
            <w:r>
              <w:t> – C) = C * [(1 – </w:t>
            </w:r>
            <w:proofErr w:type="spellStart"/>
            <w:r>
              <w:t>Hc</w:t>
            </w:r>
            <w:proofErr w:type="spellEnd"/>
            <w:r>
              <w:t> – </w:t>
            </w:r>
            <w:proofErr w:type="spellStart"/>
            <w:r>
              <w:t>Hfx</w:t>
            </w:r>
            <w:proofErr w:type="spellEnd"/>
            <w:r>
              <w:t>) * (t – t*)/(T – t*) – 1], pri čemer je vpliv prilagodi</w:t>
            </w:r>
            <w:r>
              <w:t>t</w:t>
            </w:r>
            <w:r>
              <w:t>ve za nestanovitnost (</w:t>
            </w:r>
            <w:proofErr w:type="spellStart"/>
            <w:r>
              <w:t>Cva</w:t>
            </w:r>
            <w:proofErr w:type="spellEnd"/>
            <w:r>
              <w:t> – C) = C * [(1 – </w:t>
            </w:r>
            <w:proofErr w:type="spellStart"/>
            <w:r>
              <w:t>Hc</w:t>
            </w:r>
            <w:proofErr w:type="spellEnd"/>
            <w:r>
              <w:t> – </w:t>
            </w:r>
            <w:proofErr w:type="spellStart"/>
            <w:r>
              <w:t>Hfx</w:t>
            </w:r>
            <w:proofErr w:type="spellEnd"/>
            <w:r>
              <w:t>) – 1] in vpliv prilagoditve za zapadlost (</w:t>
            </w:r>
            <w:proofErr w:type="spellStart"/>
            <w:r>
              <w:t>Cvam</w:t>
            </w:r>
            <w:proofErr w:type="spellEnd"/>
            <w:r>
              <w:t> – </w:t>
            </w:r>
            <w:proofErr w:type="spellStart"/>
            <w:r>
              <w:t>Cva</w:t>
            </w:r>
            <w:proofErr w:type="spellEnd"/>
            <w:r>
              <w:t>) = C * (1 – </w:t>
            </w:r>
            <w:proofErr w:type="spellStart"/>
            <w:r>
              <w:t>Hc</w:t>
            </w:r>
            <w:proofErr w:type="spellEnd"/>
            <w:r>
              <w:t> – </w:t>
            </w:r>
            <w:proofErr w:type="spellStart"/>
            <w:r>
              <w:t>Hfx</w:t>
            </w:r>
            <w:proofErr w:type="spellEnd"/>
            <w:r>
              <w:t>) * [(t – t*)/(T – t*) – 1].</w:t>
            </w:r>
          </w:p>
        </w:tc>
      </w:tr>
      <w:tr w:rsidR="00464F34" w:rsidRPr="00392FFD" w:rsidTr="00672D2A">
        <w:tc>
          <w:tcPr>
            <w:tcW w:w="1188" w:type="dxa"/>
          </w:tcPr>
          <w:p w:rsidR="00464F34" w:rsidRPr="00392FFD" w:rsidRDefault="00464F34" w:rsidP="00FD239F">
            <w:pPr>
              <w:pStyle w:val="InstructionsText"/>
            </w:pPr>
            <w:r>
              <w:t>150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Popolnoma prilagojena vrednost izpostavljenosti (E*)</w:t>
            </w:r>
          </w:p>
          <w:p w:rsidR="00464F34" w:rsidRPr="00392FFD" w:rsidRDefault="00464F34" w:rsidP="00FD239F">
            <w:pPr>
              <w:pStyle w:val="InstructionsText"/>
              <w:rPr>
                <w:b/>
                <w:u w:val="single"/>
              </w:rPr>
            </w:pPr>
            <w:r>
              <w:t>Členi 220(4), 223(2) do (5) in 228(1) CRR.</w:t>
            </w:r>
          </w:p>
        </w:tc>
      </w:tr>
      <w:tr w:rsidR="00464F34" w:rsidRPr="00392FFD" w:rsidTr="00672D2A">
        <w:tc>
          <w:tcPr>
            <w:tcW w:w="1188" w:type="dxa"/>
          </w:tcPr>
          <w:p w:rsidR="00464F34" w:rsidRPr="00392FFD" w:rsidRDefault="00464F34" w:rsidP="00FD239F">
            <w:pPr>
              <w:pStyle w:val="InstructionsText"/>
            </w:pPr>
            <w:r>
              <w:t>160–190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Razčlenitev popolnoma prilagojene vrednosti izpostavljenosti zunajbilančnih po</w:t>
            </w:r>
            <w:r>
              <w:rPr>
                <w:rStyle w:val="InstructionsTabelleberschrift"/>
                <w:rFonts w:ascii="Times New Roman" w:hAnsi="Times New Roman"/>
                <w:sz w:val="24"/>
              </w:rPr>
              <w:t>s</w:t>
            </w:r>
            <w:r>
              <w:rPr>
                <w:rStyle w:val="InstructionsTabelleberschrift"/>
                <w:rFonts w:ascii="Times New Roman" w:hAnsi="Times New Roman"/>
                <w:sz w:val="24"/>
              </w:rPr>
              <w:t xml:space="preserve">tavk glede na </w:t>
            </w:r>
            <w:proofErr w:type="spellStart"/>
            <w:r>
              <w:rPr>
                <w:rStyle w:val="InstructionsTabelleberschrift"/>
                <w:rFonts w:ascii="Times New Roman" w:hAnsi="Times New Roman"/>
                <w:sz w:val="24"/>
              </w:rPr>
              <w:t>konverzijske</w:t>
            </w:r>
            <w:proofErr w:type="spellEnd"/>
            <w:r>
              <w:rPr>
                <w:rStyle w:val="InstructionsTabelleberschrift"/>
                <w:rFonts w:ascii="Times New Roman" w:hAnsi="Times New Roman"/>
                <w:sz w:val="24"/>
              </w:rPr>
              <w:t xml:space="preserve"> faktorje</w:t>
            </w:r>
          </w:p>
          <w:p w:rsidR="00464F34" w:rsidRPr="00392FFD" w:rsidRDefault="00464F34" w:rsidP="00FD239F">
            <w:pPr>
              <w:pStyle w:val="InstructionsText"/>
            </w:pPr>
            <w:r>
              <w:t>Člena 111(1) in 4(56) CRR. Glej tudi člena 222(3) in 228(1) CRR.</w:t>
            </w:r>
          </w:p>
          <w:p w:rsidR="000A4C10" w:rsidRPr="00392FFD" w:rsidRDefault="000A4C10" w:rsidP="00FD239F">
            <w:pPr>
              <w:pStyle w:val="InstructionsText"/>
              <w:rPr>
                <w:b/>
                <w:u w:val="single"/>
              </w:rPr>
            </w:pPr>
            <w:r>
              <w:t xml:space="preserve">Sporočene vrednosti so popolnoma prilagojene vrednosti izpostavljenosti pred uporabo </w:t>
            </w:r>
            <w:proofErr w:type="spellStart"/>
            <w:r>
              <w:t>konverzijskega</w:t>
            </w:r>
            <w:proofErr w:type="spellEnd"/>
            <w:r>
              <w:t xml:space="preserve"> faktorja.</w:t>
            </w:r>
          </w:p>
        </w:tc>
      </w:tr>
      <w:tr w:rsidR="00464F34" w:rsidRPr="00392FFD" w:rsidTr="00672D2A">
        <w:tc>
          <w:tcPr>
            <w:tcW w:w="1188" w:type="dxa"/>
          </w:tcPr>
          <w:p w:rsidR="00464F34" w:rsidRPr="00392FFD" w:rsidRDefault="00464F34" w:rsidP="00FD239F">
            <w:pPr>
              <w:pStyle w:val="InstructionsText"/>
            </w:pPr>
            <w:r>
              <w:t>200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Vrednost izpostavljenosti</w:t>
            </w:r>
          </w:p>
          <w:p w:rsidR="00464F34" w:rsidRPr="00392FFD" w:rsidRDefault="00531FC9" w:rsidP="00FD239F">
            <w:pPr>
              <w:pStyle w:val="InstructionsText"/>
            </w:pPr>
            <w:r>
              <w:t>Člen 111 CRR in oddelek 4 poglavja 4 naslova II dela 3 CRR.</w:t>
            </w:r>
          </w:p>
          <w:p w:rsidR="00464F34" w:rsidRPr="00392FFD" w:rsidRDefault="00464F34" w:rsidP="00FD239F">
            <w:pPr>
              <w:pStyle w:val="InstructionsText"/>
            </w:pPr>
            <w:r>
              <w:t>Vrednost izpostavljenosti po upoštevanju prilagoditev vrednosti, vseh zmanjšanj kred</w:t>
            </w:r>
            <w:r>
              <w:t>i</w:t>
            </w:r>
            <w:r>
              <w:t>tnega tveganja in kreditnih konverzijskih faktorjev, ki jih je treba dodeliti utežem tv</w:t>
            </w:r>
            <w:r>
              <w:t>e</w:t>
            </w:r>
            <w:r>
              <w:t>ganja v skladu s členom 113 in oddelkom 2 poglavja 2 naslova II dela 3 CRR.</w:t>
            </w:r>
          </w:p>
        </w:tc>
      </w:tr>
      <w:tr w:rsidR="00464F34" w:rsidRPr="00392FFD" w:rsidTr="00672D2A">
        <w:tc>
          <w:tcPr>
            <w:tcW w:w="1188" w:type="dxa"/>
          </w:tcPr>
          <w:p w:rsidR="00464F34" w:rsidRPr="00392FFD" w:rsidRDefault="00464F34" w:rsidP="00FD239F">
            <w:pPr>
              <w:pStyle w:val="InstructionsText"/>
            </w:pPr>
            <w:r>
              <w:t>210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iz naslova kreditnega tveganja nasprotne stranke</w:t>
            </w:r>
          </w:p>
          <w:p w:rsidR="00464F34" w:rsidRPr="00392FFD" w:rsidRDefault="00464F34" w:rsidP="00FD239F">
            <w:pPr>
              <w:pStyle w:val="InstructionsText"/>
              <w:rPr>
                <w:b/>
                <w:u w:val="single"/>
              </w:rPr>
            </w:pPr>
            <w:r>
              <w:t xml:space="preserve">Za izvedene finančne instrumente, repo posle, posle </w:t>
            </w:r>
            <w:proofErr w:type="spellStart"/>
            <w:r>
              <w:t>posoje</w:t>
            </w:r>
            <w:proofErr w:type="spellEnd"/>
            <w:r>
              <w:t>/izposoje vrednostnih papi</w:t>
            </w:r>
            <w:r>
              <w:t>r</w:t>
            </w:r>
            <w:r>
              <w:t>jev ali blaga, posle z dolgim rokom poravnave in posle kreditiranja za povečanje trg</w:t>
            </w:r>
            <w:r>
              <w:t>o</w:t>
            </w:r>
            <w:r>
              <w:t>valnega portfelja, za katere se uporablja poglavje 6 naslova II dela 3 CRR, vrednost izpostavljenosti za kreditno tveganje nasprotne stranke, izračunana v skladu z metod</w:t>
            </w:r>
            <w:r>
              <w:t>a</w:t>
            </w:r>
            <w:r>
              <w:lastRenderedPageBreak/>
              <w:t>mi iz oddelkov 2, 3, 4 in 5 poglavja 6 naslova II dela 3 CRR.</w:t>
            </w:r>
          </w:p>
        </w:tc>
      </w:tr>
      <w:tr w:rsidR="00464F34" w:rsidRPr="00392FFD" w:rsidTr="00672D2A">
        <w:tc>
          <w:tcPr>
            <w:tcW w:w="1188" w:type="dxa"/>
          </w:tcPr>
          <w:p w:rsidR="00464F34" w:rsidRPr="00392FFD" w:rsidRDefault="00464F34" w:rsidP="00FD239F">
            <w:pPr>
              <w:pStyle w:val="InstructionsText"/>
            </w:pPr>
            <w:r>
              <w:lastRenderedPageBreak/>
              <w:t>215</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Znesek tveganju prilagojenih izpostavljenosti pred uporabo faktorja za podporo MSP</w:t>
            </w:r>
          </w:p>
          <w:p w:rsidR="00464F34" w:rsidRPr="00392FFD" w:rsidRDefault="00464F34" w:rsidP="00FD239F">
            <w:pPr>
              <w:pStyle w:val="InstructionsText"/>
              <w:rPr>
                <w:b/>
                <w:u w:val="single"/>
              </w:rPr>
            </w:pPr>
            <w:r>
              <w:t>Člen 113(1) do (5) CRR brez upoštevanja faktorja za podporo MSP v skladu s členom 500 CRR.</w:t>
            </w:r>
          </w:p>
        </w:tc>
      </w:tr>
      <w:tr w:rsidR="00464F34" w:rsidRPr="00392FFD" w:rsidTr="00672D2A">
        <w:tc>
          <w:tcPr>
            <w:tcW w:w="1188" w:type="dxa"/>
          </w:tcPr>
          <w:p w:rsidR="00464F34" w:rsidRPr="00392FFD" w:rsidRDefault="00464F34" w:rsidP="00FD239F">
            <w:pPr>
              <w:pStyle w:val="InstructionsText"/>
            </w:pPr>
            <w:r>
              <w:t>220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Znesek tveganju prilagojenih izpostavljenosti po uporabi faktorja za podporo MSP</w:t>
            </w:r>
          </w:p>
          <w:p w:rsidR="00464F34" w:rsidRPr="00392FFD" w:rsidRDefault="00464F34" w:rsidP="00FD239F">
            <w:pPr>
              <w:pStyle w:val="InstructionsText"/>
              <w:rPr>
                <w:b/>
                <w:u w:val="single"/>
              </w:rPr>
            </w:pPr>
            <w:r>
              <w:t>Člen 113(1) do (5) CRR z upoštevanjem faktorja za podporo MSP v skladu s členom 500 CRR.</w:t>
            </w:r>
          </w:p>
        </w:tc>
      </w:tr>
      <w:tr w:rsidR="00464F34" w:rsidRPr="00392FFD" w:rsidTr="00672D2A">
        <w:tc>
          <w:tcPr>
            <w:tcW w:w="1188" w:type="dxa"/>
            <w:shd w:val="clear" w:color="auto" w:fill="auto"/>
          </w:tcPr>
          <w:p w:rsidR="00464F34" w:rsidRPr="00392FFD" w:rsidRDefault="00464F34" w:rsidP="00FD239F">
            <w:pPr>
              <w:pStyle w:val="InstructionsText"/>
            </w:pPr>
            <w:r>
              <w:t>230</w:t>
            </w:r>
          </w:p>
        </w:tc>
        <w:tc>
          <w:tcPr>
            <w:tcW w:w="8640"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z bonitetno oceno na podlagi imenovane ECAI</w:t>
            </w:r>
          </w:p>
          <w:p w:rsidR="003812AC" w:rsidRPr="00392FFD" w:rsidRDefault="003812AC" w:rsidP="00FD239F">
            <w:pPr>
              <w:pStyle w:val="InstructionsText"/>
            </w:pPr>
            <w:r>
              <w:t>Člen 112 od a) do d), f), g), l), n) o) in q) CRR.</w:t>
            </w:r>
          </w:p>
        </w:tc>
      </w:tr>
      <w:tr w:rsidR="00464F34" w:rsidRPr="00392FFD" w:rsidTr="00672D2A">
        <w:tc>
          <w:tcPr>
            <w:tcW w:w="1188" w:type="dxa"/>
            <w:shd w:val="clear" w:color="auto" w:fill="auto"/>
          </w:tcPr>
          <w:p w:rsidR="00464F34" w:rsidRPr="00392FFD" w:rsidRDefault="00464F34" w:rsidP="00FD239F">
            <w:pPr>
              <w:pStyle w:val="InstructionsText"/>
            </w:pPr>
            <w:r>
              <w:t>240</w:t>
            </w:r>
          </w:p>
        </w:tc>
        <w:tc>
          <w:tcPr>
            <w:tcW w:w="8640"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z bonitetno oceno na podlagi enote centralne ravni države</w:t>
            </w:r>
          </w:p>
          <w:p w:rsidR="003812AC" w:rsidRPr="00392FFD" w:rsidRDefault="003812AC" w:rsidP="00FD239F">
            <w:pPr>
              <w:pStyle w:val="InstructionsText"/>
            </w:pPr>
            <w:r>
              <w:t>Člen 112 od b) do d), f), g), l) in o) CRR.</w:t>
            </w:r>
          </w:p>
        </w:tc>
      </w:tr>
    </w:tbl>
    <w:p w:rsidR="00464F34" w:rsidRPr="00392FFD" w:rsidRDefault="00464F34" w:rsidP="00FD239F">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392FFD" w:rsidTr="00672D2A">
        <w:tc>
          <w:tcPr>
            <w:tcW w:w="1188" w:type="dxa"/>
            <w:shd w:val="clear" w:color="auto" w:fill="CCCCCC"/>
          </w:tcPr>
          <w:p w:rsidR="00464F34" w:rsidRPr="00392FFD" w:rsidRDefault="007106FB" w:rsidP="00FD239F">
            <w:pPr>
              <w:pStyle w:val="InstructionsText"/>
            </w:pPr>
            <w:r>
              <w:t>Vrstice</w:t>
            </w:r>
          </w:p>
        </w:tc>
        <w:tc>
          <w:tcPr>
            <w:tcW w:w="8701" w:type="dxa"/>
            <w:shd w:val="clear" w:color="auto" w:fill="CCCCCC"/>
          </w:tcPr>
          <w:p w:rsidR="00464F34" w:rsidRPr="00392FFD" w:rsidRDefault="00464F34" w:rsidP="00FD239F">
            <w:pPr>
              <w:pStyle w:val="InstructionsText"/>
            </w:pPr>
            <w:r>
              <w:t>Navodila</w:t>
            </w:r>
          </w:p>
        </w:tc>
      </w:tr>
      <w:tr w:rsidR="00464F34" w:rsidRPr="00392FFD" w:rsidTr="00672D2A">
        <w:tc>
          <w:tcPr>
            <w:tcW w:w="1188" w:type="dxa"/>
          </w:tcPr>
          <w:p w:rsidR="00464F34" w:rsidRPr="00392FFD" w:rsidRDefault="00464F34" w:rsidP="00FD239F">
            <w:pPr>
              <w:pStyle w:val="InstructionsText"/>
            </w:pPr>
            <w:r>
              <w:t>010</w:t>
            </w:r>
          </w:p>
        </w:tc>
        <w:tc>
          <w:tcPr>
            <w:tcW w:w="8701" w:type="dxa"/>
          </w:tcPr>
          <w:p w:rsidR="00464F34" w:rsidRPr="00392FFD" w:rsidRDefault="00464F34" w:rsidP="00FD239F">
            <w:pPr>
              <w:pStyle w:val="InstructionsText"/>
            </w:pPr>
            <w:r>
              <w:rPr>
                <w:rStyle w:val="InstructionsTabelleberschrift"/>
                <w:rFonts w:ascii="Times New Roman" w:hAnsi="Times New Roman"/>
                <w:sz w:val="24"/>
              </w:rPr>
              <w:t>Skupni znesek izpostavljenosti</w:t>
            </w:r>
          </w:p>
        </w:tc>
      </w:tr>
      <w:tr w:rsidR="00610B56" w:rsidRPr="00392FFD" w:rsidTr="00672D2A">
        <w:tc>
          <w:tcPr>
            <w:tcW w:w="1188" w:type="dxa"/>
          </w:tcPr>
          <w:p w:rsidR="00610B56" w:rsidRPr="00392FFD" w:rsidRDefault="00610B56" w:rsidP="00FD239F">
            <w:pPr>
              <w:pStyle w:val="InstructionsText"/>
            </w:pPr>
            <w:r>
              <w:t>015</w:t>
            </w:r>
          </w:p>
        </w:tc>
        <w:tc>
          <w:tcPr>
            <w:tcW w:w="8701" w:type="dxa"/>
          </w:tcPr>
          <w:p w:rsidR="00610B56" w:rsidRPr="00392FFD" w:rsidRDefault="00610B5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neplačane izpostavljenosti</w:t>
            </w:r>
          </w:p>
          <w:p w:rsidR="00610B56" w:rsidRPr="00392FFD" w:rsidRDefault="00610B56" w:rsidP="00FD239F">
            <w:pPr>
              <w:pStyle w:val="InstructionsText"/>
            </w:pPr>
            <w:r>
              <w:t>Člen 127 CRR.</w:t>
            </w:r>
          </w:p>
          <w:p w:rsidR="00610B56" w:rsidRPr="00392FFD" w:rsidRDefault="00610B56" w:rsidP="00FD239F">
            <w:pPr>
              <w:pStyle w:val="InstructionsText"/>
            </w:pPr>
            <w:r>
              <w:t>Ta vrstica se poroča samo za kategorije izpostavljenosti „Postavke, povezane z zelo visokim tveganjem“ in „Izpostavljenosti iz naslova lastniških instrumentov“.</w:t>
            </w:r>
          </w:p>
          <w:p w:rsidR="00761891" w:rsidRPr="00392FFD" w:rsidRDefault="00761891" w:rsidP="00A04CFA">
            <w:pPr>
              <w:pStyle w:val="InstructionsText"/>
            </w:pPr>
            <w:r>
              <w:t>Če je izpostavljenost navedena v členu 128(2) CRR ali izpolnjuje merila iz člena 128(3) ali 133 CRR, se razporedi v kategorijo izpostavljenosti „Postavke, povezane z zelo visokim tveganjem“ ali „Izpostavljenosti iz naslova lastniških instrumentov“. Zato dr</w:t>
            </w:r>
            <w:r>
              <w:t>u</w:t>
            </w:r>
            <w:r>
              <w:t>gačne razporeditve niso mogoče, tudi če je izpostavljenost neplačana v skladu s členom 127 CRR.</w:t>
            </w:r>
          </w:p>
        </w:tc>
      </w:tr>
      <w:tr w:rsidR="00464F34" w:rsidRPr="00392FFD" w:rsidTr="00672D2A">
        <w:tc>
          <w:tcPr>
            <w:tcW w:w="1188" w:type="dxa"/>
            <w:shd w:val="clear" w:color="auto" w:fill="auto"/>
          </w:tcPr>
          <w:p w:rsidR="00464F34" w:rsidRPr="00392FFD" w:rsidRDefault="00462BAB" w:rsidP="00FD239F">
            <w:pPr>
              <w:pStyle w:val="InstructionsText"/>
            </w:pPr>
            <w:r>
              <w:t>020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MSP</w:t>
            </w:r>
          </w:p>
          <w:p w:rsidR="00464F34" w:rsidRPr="00392FFD" w:rsidRDefault="00464F34" w:rsidP="00FD239F">
            <w:pPr>
              <w:pStyle w:val="InstructionsText"/>
            </w:pPr>
            <w:r>
              <w:t xml:space="preserve">V tej vrstici se poročajo vse izpostavljenosti do MSP. </w:t>
            </w:r>
          </w:p>
        </w:tc>
      </w:tr>
      <w:tr w:rsidR="00464F34" w:rsidRPr="00392FFD" w:rsidTr="00672D2A">
        <w:tc>
          <w:tcPr>
            <w:tcW w:w="1188" w:type="dxa"/>
            <w:shd w:val="clear" w:color="auto" w:fill="auto"/>
          </w:tcPr>
          <w:p w:rsidR="00464F34" w:rsidRPr="00392FFD" w:rsidRDefault="00462BAB" w:rsidP="00FD239F">
            <w:pPr>
              <w:pStyle w:val="InstructionsText"/>
            </w:pPr>
            <w:r>
              <w:t>030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izpostavljenosti, ki so predmet faktorja za podporo MSP</w:t>
            </w:r>
          </w:p>
          <w:p w:rsidR="00464F34" w:rsidRPr="00392FFD" w:rsidRDefault="00464F34" w:rsidP="00FD239F">
            <w:pPr>
              <w:pStyle w:val="InstructionsText"/>
            </w:pPr>
            <w:r>
              <w:t xml:space="preserve">V tej vrstici se poročajo samo izpostavljenosti, ki izpolnjujejo zahteve iz člena 501 CRR. </w:t>
            </w:r>
          </w:p>
        </w:tc>
      </w:tr>
      <w:tr w:rsidR="00464F34" w:rsidRPr="00392FFD" w:rsidTr="00672D2A">
        <w:tc>
          <w:tcPr>
            <w:tcW w:w="1188" w:type="dxa"/>
            <w:shd w:val="clear" w:color="auto" w:fill="auto"/>
          </w:tcPr>
          <w:p w:rsidR="00464F34" w:rsidRPr="00392FFD" w:rsidRDefault="00462BAB" w:rsidP="00FD239F">
            <w:pPr>
              <w:pStyle w:val="InstructionsText"/>
            </w:pPr>
            <w:r>
              <w:t>040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zavarovano s hipotekami na nepremičnine ‒ Stanovanjske nepremičnine</w:t>
            </w:r>
          </w:p>
          <w:p w:rsidR="00464F34" w:rsidRPr="00392FFD" w:rsidRDefault="00464F34" w:rsidP="00FD239F">
            <w:pPr>
              <w:pStyle w:val="InstructionsText"/>
            </w:pPr>
            <w:r>
              <w:t>Člen 125 CRR.</w:t>
            </w:r>
          </w:p>
          <w:p w:rsidR="00464F34" w:rsidRPr="00392FFD" w:rsidRDefault="00464F34" w:rsidP="00FD239F">
            <w:pPr>
              <w:pStyle w:val="InstructionsText"/>
              <w:rPr>
                <w:b/>
                <w:u w:val="single"/>
              </w:rPr>
            </w:pPr>
            <w:r>
              <w:t>Poročajo se le v kategoriji izpostavljenosti „zavarovano s hipotekami na nepremičnine“.</w:t>
            </w:r>
          </w:p>
        </w:tc>
      </w:tr>
      <w:tr w:rsidR="00464F34" w:rsidRPr="00392FFD" w:rsidTr="00672D2A">
        <w:tc>
          <w:tcPr>
            <w:tcW w:w="1188" w:type="dxa"/>
            <w:shd w:val="clear" w:color="auto" w:fill="auto"/>
          </w:tcPr>
          <w:p w:rsidR="00464F34" w:rsidRPr="00392FFD" w:rsidRDefault="00462BAB" w:rsidP="00FD239F">
            <w:pPr>
              <w:pStyle w:val="InstructionsText"/>
            </w:pPr>
            <w:r>
              <w:t>050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izpostavljenosti iz naslova stalne delne uporabe standardiziranega prist</w:t>
            </w:r>
            <w:r>
              <w:rPr>
                <w:rStyle w:val="InstructionsTabelleberschrift"/>
                <w:rFonts w:ascii="Times New Roman" w:hAnsi="Times New Roman"/>
                <w:sz w:val="24"/>
              </w:rPr>
              <w:t>o</w:t>
            </w:r>
            <w:r>
              <w:rPr>
                <w:rStyle w:val="InstructionsTabelleberschrift"/>
                <w:rFonts w:ascii="Times New Roman" w:hAnsi="Times New Roman"/>
                <w:sz w:val="24"/>
              </w:rPr>
              <w:t>pa</w:t>
            </w:r>
          </w:p>
          <w:p w:rsidR="00464F34" w:rsidRPr="00392FFD" w:rsidRDefault="00464F34" w:rsidP="00255BA9">
            <w:pPr>
              <w:pStyle w:val="InstructionsText"/>
            </w:pPr>
            <w:r>
              <w:t>Izpostavljenosti, obravnavane na podlagi člena 150(1) CRR.</w:t>
            </w:r>
          </w:p>
        </w:tc>
      </w:tr>
      <w:tr w:rsidR="00464F34" w:rsidRPr="00392FFD" w:rsidTr="00672D2A">
        <w:tc>
          <w:tcPr>
            <w:tcW w:w="1188" w:type="dxa"/>
            <w:shd w:val="clear" w:color="auto" w:fill="auto"/>
          </w:tcPr>
          <w:p w:rsidR="00464F34" w:rsidRPr="00392FFD" w:rsidRDefault="00462BAB" w:rsidP="00FD239F">
            <w:pPr>
              <w:pStyle w:val="InstructionsText"/>
            </w:pPr>
            <w:r>
              <w:t>060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izpostavljenosti v okviru standardiziranega pristopa s predhodnim dovo</w:t>
            </w:r>
            <w:r>
              <w:rPr>
                <w:rStyle w:val="InstructionsTabelleberschrift"/>
                <w:rFonts w:ascii="Times New Roman" w:hAnsi="Times New Roman"/>
                <w:sz w:val="24"/>
              </w:rPr>
              <w:t>l</w:t>
            </w:r>
            <w:r>
              <w:rPr>
                <w:rStyle w:val="InstructionsTabelleberschrift"/>
                <w:rFonts w:ascii="Times New Roman" w:hAnsi="Times New Roman"/>
                <w:sz w:val="24"/>
              </w:rPr>
              <w:t>jenjem nadzornika za izvajanje postopnega uvajanja pristopa IRB</w:t>
            </w:r>
          </w:p>
          <w:p w:rsidR="00464F34" w:rsidRPr="00392FFD" w:rsidRDefault="00464F34" w:rsidP="00255BA9">
            <w:pPr>
              <w:pStyle w:val="InstructionsText"/>
            </w:pPr>
            <w:r>
              <w:lastRenderedPageBreak/>
              <w:t>Izpostavljenosti, obravnavane na podlagi člena 148(1) CRR.</w:t>
            </w:r>
          </w:p>
        </w:tc>
      </w:tr>
      <w:tr w:rsidR="00464F34" w:rsidRPr="00392FFD" w:rsidTr="00672D2A">
        <w:tc>
          <w:tcPr>
            <w:tcW w:w="1188" w:type="dxa"/>
          </w:tcPr>
          <w:p w:rsidR="00464F34" w:rsidRPr="00392FFD" w:rsidRDefault="00462BAB" w:rsidP="00FD239F">
            <w:pPr>
              <w:pStyle w:val="InstructionsText"/>
            </w:pPr>
            <w:r>
              <w:lastRenderedPageBreak/>
              <w:t>070–130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RAZČLENITEV SKUPNEGA ZNESKA IZPOSTAVLJENOSTI GLEDE NA VRSTE IZPOSTAVLJENOSTI</w:t>
            </w:r>
          </w:p>
          <w:p w:rsidR="00464F34" w:rsidRPr="00392FFD" w:rsidRDefault="00464F34" w:rsidP="00FD239F">
            <w:pPr>
              <w:pStyle w:val="InstructionsText"/>
            </w:pPr>
            <w:r>
              <w:t>Pozicije poročevalske institucije, ki izhajajo iz „</w:t>
            </w:r>
            <w:proofErr w:type="spellStart"/>
            <w:r>
              <w:t>netrgovalne</w:t>
            </w:r>
            <w:proofErr w:type="spellEnd"/>
            <w:r>
              <w:t xml:space="preserve"> knjige“, se razčlenijo na podlagi meril, navedenih spodaj, na bilančne izpostavljenosti, ki so predmet kreditnega tveganja, zunajbilančne izpostavljenosti, ki so predmet kreditnega tveganja, in izposta</w:t>
            </w:r>
            <w:r>
              <w:t>v</w:t>
            </w:r>
            <w:r>
              <w:t xml:space="preserve">ljenosti, ki so predmet kreditnega tveganja nasprotne stranke. </w:t>
            </w:r>
          </w:p>
          <w:p w:rsidR="00464F34" w:rsidRPr="00392FFD" w:rsidRDefault="00464F34" w:rsidP="00FD239F">
            <w:pPr>
              <w:pStyle w:val="InstructionsText"/>
            </w:pPr>
            <w:r>
              <w:t>Pozicije poročevalske institucije, ki izhajajo iz „trgovalne knjige“ v zvezi s kreditnim tveganjem nasprotne stranke v skladu s členom 92(3)(f) in členom 299(2) uredbe o kapitalskih zahtevah, se dodelijo izpostavljenostim, ki so predmet kreditnega tveganja nasprotne stranke. Institucije, ki uporabljajo člen 94(1) CRR, razčlenijo tudi svoje poz</w:t>
            </w:r>
            <w:r>
              <w:t>i</w:t>
            </w:r>
            <w:r>
              <w:t>cije, ki izhajajo iz „trgovalne knjige“, na podlagi meril, navedenih spodaj, na bilančne izpostavljenosti, ki so predmet kreditnega tveganja, zunajbilančne izpostavljenosti, ki so predmet kreditnega tveganja, in izpostavljenosti, ki so predmet kreditnega tveganja na</w:t>
            </w:r>
            <w:r>
              <w:t>s</w:t>
            </w:r>
            <w:r>
              <w:t>protne stranke.</w:t>
            </w:r>
          </w:p>
        </w:tc>
      </w:tr>
      <w:tr w:rsidR="00464F34" w:rsidRPr="00392FFD" w:rsidTr="00672D2A">
        <w:tc>
          <w:tcPr>
            <w:tcW w:w="1188" w:type="dxa"/>
          </w:tcPr>
          <w:p w:rsidR="00464F34" w:rsidRPr="00392FFD" w:rsidRDefault="00462BAB" w:rsidP="00FD239F">
            <w:pPr>
              <w:pStyle w:val="InstructionsText"/>
            </w:pPr>
            <w:r>
              <w:t>070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Bilančne izpostavljenosti, ki so predmet kreditnega tveganja </w:t>
            </w:r>
          </w:p>
          <w:p w:rsidR="00464F34" w:rsidRPr="00392FFD" w:rsidRDefault="00464F34" w:rsidP="00FD239F">
            <w:pPr>
              <w:pStyle w:val="InstructionsText"/>
            </w:pPr>
            <w:r>
              <w:t>Sredstva iz člena 24 CRR, ki niso vključena v nobeno drugo kategorijo.</w:t>
            </w:r>
          </w:p>
          <w:p w:rsidR="00464F34" w:rsidRPr="00392FFD" w:rsidRDefault="00464F34" w:rsidP="00FD239F">
            <w:pPr>
              <w:pStyle w:val="InstructionsText"/>
            </w:pPr>
            <w:r>
              <w:t>Izpostavljenosti, ki so bilančne postavke in so vključene kot posli financiranja z vredn</w:t>
            </w:r>
            <w:r>
              <w:t>o</w:t>
            </w:r>
            <w:r>
              <w:t>stnimi papirji, izvedeni finančni instrumenti in posli z dolgim rokom poravnave ali iz pobota med različnimi kategorijami produktov, so sporočene v vrsticah 090, 110 in 130 ter se zato ne poročajo v tej vrstici.</w:t>
            </w:r>
          </w:p>
          <w:p w:rsidR="00464F34" w:rsidRPr="00392FFD" w:rsidRDefault="00464F34" w:rsidP="00FD239F">
            <w:pPr>
              <w:pStyle w:val="InstructionsText"/>
            </w:pPr>
            <w:r>
              <w:t>Proste izročitve v skladu s členom 379(1) CRR (če niso odbite) niso bilančna postavka, vendar se vseeno poročajo v tej vrstici.</w:t>
            </w:r>
          </w:p>
          <w:p w:rsidR="00464F34" w:rsidRPr="00392FFD" w:rsidRDefault="00464F34" w:rsidP="00FD239F">
            <w:pPr>
              <w:pStyle w:val="InstructionsText"/>
              <w:rPr>
                <w:b/>
                <w:u w:val="single"/>
              </w:rPr>
            </w:pPr>
            <w:r>
              <w:t>Izpostavljenosti, ki izhajajo iz sredstev, danih CNS, v skladu s členom 4(90) CRR in izpostavljenosti iz naslova jamstvenega sklada v skladu s členom 4(89) CRR so vklj</w:t>
            </w:r>
            <w:r>
              <w:t>u</w:t>
            </w:r>
            <w:r>
              <w:t xml:space="preserve">čene, če niso poročane v vrstici 030. </w:t>
            </w:r>
          </w:p>
        </w:tc>
      </w:tr>
      <w:tr w:rsidR="00464F34" w:rsidRPr="00392FFD" w:rsidTr="00672D2A">
        <w:tc>
          <w:tcPr>
            <w:tcW w:w="1188" w:type="dxa"/>
          </w:tcPr>
          <w:p w:rsidR="00464F34" w:rsidRPr="00392FFD" w:rsidRDefault="00462BAB" w:rsidP="00FD239F">
            <w:pPr>
              <w:pStyle w:val="InstructionsText"/>
            </w:pPr>
            <w:r>
              <w:t>080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Zunajbilančne izpostavljenosti, ki so predmet kreditnega tveganja</w:t>
            </w:r>
          </w:p>
          <w:p w:rsidR="00464F34" w:rsidRPr="00392FFD" w:rsidRDefault="00464F34" w:rsidP="00FD239F">
            <w:pPr>
              <w:pStyle w:val="InstructionsText"/>
            </w:pPr>
            <w:r>
              <w:t>Zunajbilančne postavke zajemajo postavke iz Priloge I k CRR.</w:t>
            </w:r>
          </w:p>
          <w:p w:rsidR="00464F34" w:rsidRPr="00392FFD" w:rsidRDefault="00464F34" w:rsidP="00FD239F">
            <w:pPr>
              <w:pStyle w:val="InstructionsText"/>
            </w:pPr>
            <w:r>
              <w:t>Izpostavljenosti, ki so zunajbilančne postavke in so vključene kot posli financiranja z vrednostnimi papirji, izvedeni finančni instrumenti in posli z dolgim rokom poravnave ali iz pobota med različnimi kategorijami produktov, se poročajo v vrsticah 040060 in se zato ne poročajo v tej vrstici.</w:t>
            </w:r>
          </w:p>
          <w:p w:rsidR="00464F34" w:rsidRPr="00392FFD" w:rsidRDefault="00464F34" w:rsidP="00FD239F">
            <w:pPr>
              <w:pStyle w:val="InstructionsText"/>
              <w:rPr>
                <w:b/>
                <w:u w:val="single"/>
              </w:rPr>
            </w:pPr>
            <w:r>
              <w:t>Izpostavljenosti, ki izhajajo iz sredstev, danih CNS, v skladu s členom 4(90) CRR in izpostavljenosti iz naslova jamstvenega sklada v skladu s členom 4(89) CRR so vklj</w:t>
            </w:r>
            <w:r>
              <w:t>u</w:t>
            </w:r>
            <w:r>
              <w:t>čene, če so obravnavane kot zunajbilančne postavke.</w:t>
            </w:r>
          </w:p>
        </w:tc>
      </w:tr>
      <w:tr w:rsidR="003C3168" w:rsidRPr="00392FFD" w:rsidTr="00672D2A">
        <w:tc>
          <w:tcPr>
            <w:tcW w:w="1188" w:type="dxa"/>
            <w:tcBorders>
              <w:top w:val="single" w:sz="4" w:space="0" w:color="auto"/>
              <w:left w:val="single" w:sz="4" w:space="0" w:color="auto"/>
              <w:bottom w:val="single" w:sz="4" w:space="0" w:color="auto"/>
              <w:right w:val="single" w:sz="4" w:space="0" w:color="auto"/>
            </w:tcBorders>
          </w:tcPr>
          <w:p w:rsidR="003C3168" w:rsidRPr="00392FFD" w:rsidRDefault="003C3168" w:rsidP="00FD239F">
            <w:pPr>
              <w:pStyle w:val="InstructionsText"/>
            </w:pPr>
            <w:r>
              <w:t>090–130</w:t>
            </w:r>
          </w:p>
        </w:tc>
        <w:tc>
          <w:tcPr>
            <w:tcW w:w="8701" w:type="dxa"/>
            <w:tcBorders>
              <w:top w:val="single" w:sz="4" w:space="0" w:color="auto"/>
              <w:left w:val="single" w:sz="4" w:space="0" w:color="auto"/>
              <w:bottom w:val="single" w:sz="4" w:space="0" w:color="auto"/>
              <w:right w:val="single" w:sz="4" w:space="0" w:color="auto"/>
            </w:tcBorders>
          </w:tcPr>
          <w:p w:rsidR="003C3168" w:rsidRPr="00392FFD" w:rsidRDefault="003C3168" w:rsidP="00FD239F">
            <w:pPr>
              <w:pStyle w:val="InstructionsText"/>
            </w:pPr>
            <w:r>
              <w:rPr>
                <w:rStyle w:val="InstructionsTabelleberschrift"/>
                <w:rFonts w:ascii="Times New Roman" w:hAnsi="Times New Roman"/>
                <w:sz w:val="24"/>
              </w:rPr>
              <w:t>Izpostavljenosti/posli, ki so predmet kreditnega tveganja nasprotne stranke</w:t>
            </w:r>
          </w:p>
        </w:tc>
      </w:tr>
      <w:tr w:rsidR="00464F34" w:rsidRPr="00392FFD" w:rsidTr="00672D2A">
        <w:tc>
          <w:tcPr>
            <w:tcW w:w="1188" w:type="dxa"/>
          </w:tcPr>
          <w:p w:rsidR="00464F34" w:rsidRPr="00392FFD" w:rsidRDefault="00462BAB" w:rsidP="00FD239F">
            <w:pPr>
              <w:pStyle w:val="InstructionsText"/>
            </w:pPr>
            <w:r>
              <w:t>090</w:t>
            </w:r>
          </w:p>
        </w:tc>
        <w:tc>
          <w:tcPr>
            <w:tcW w:w="8701" w:type="dxa"/>
          </w:tcPr>
          <w:p w:rsidR="00464F34" w:rsidRPr="00392FFD" w:rsidRDefault="00464F34" w:rsidP="00FD239F">
            <w:pPr>
              <w:pStyle w:val="InstructionsText"/>
            </w:pPr>
            <w:r>
              <w:rPr>
                <w:rStyle w:val="InstructionsTabelleberschrift"/>
                <w:rFonts w:ascii="Times New Roman" w:hAnsi="Times New Roman"/>
                <w:sz w:val="24"/>
              </w:rPr>
              <w:t xml:space="preserve">Posli financiranja z vrednostnimi papirji </w:t>
            </w:r>
          </w:p>
          <w:p w:rsidR="00464F34" w:rsidRPr="00392FFD" w:rsidRDefault="00464F34" w:rsidP="00FD239F">
            <w:pPr>
              <w:pStyle w:val="InstructionsText"/>
            </w:pPr>
            <w:r>
              <w:t>Posli financiranja z vrednostnimi papirji, kot so opredeljeni v odstavku 17 dokumenta Baselskega odbora „Uporaba sporazuma Basel II za trgovalne dejavnosti in obravnav</w:t>
            </w:r>
            <w:r>
              <w:t>a</w:t>
            </w:r>
            <w:r>
              <w:t xml:space="preserve">nje učinkov dvojnega neplačila“, vključujejo: (i) pogodbe o začasni prodaji in začasnem odkupu iz člena 4(82) CRR in posle </w:t>
            </w:r>
            <w:proofErr w:type="spellStart"/>
            <w:r>
              <w:t>posoje</w:t>
            </w:r>
            <w:proofErr w:type="spellEnd"/>
            <w:r>
              <w:t>/izposoje vrednostnih papirjev ali blaga; (</w:t>
            </w:r>
            <w:proofErr w:type="spellStart"/>
            <w:r>
              <w:t>ii</w:t>
            </w:r>
            <w:proofErr w:type="spellEnd"/>
            <w:r>
              <w:t>) posle kreditiranja za povečanje trgovalnega portfelja, kot so opredeljeni v členu 272(3) CRR.</w:t>
            </w:r>
          </w:p>
        </w:tc>
      </w:tr>
      <w:tr w:rsidR="00464F34" w:rsidRPr="00392FFD" w:rsidTr="00672D2A">
        <w:tc>
          <w:tcPr>
            <w:tcW w:w="1188" w:type="dxa"/>
          </w:tcPr>
          <w:p w:rsidR="00464F34" w:rsidRPr="00392FFD" w:rsidRDefault="00462BAB" w:rsidP="00FD239F">
            <w:pPr>
              <w:pStyle w:val="InstructionsText"/>
            </w:pPr>
            <w:r>
              <w:lastRenderedPageBreak/>
              <w:t>100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Od tega: s centralnim </w:t>
            </w:r>
            <w:proofErr w:type="spellStart"/>
            <w:r>
              <w:rPr>
                <w:rStyle w:val="InstructionsTabelleberschrift"/>
                <w:rFonts w:ascii="Times New Roman" w:hAnsi="Times New Roman"/>
                <w:sz w:val="24"/>
              </w:rPr>
              <w:t>kliringom</w:t>
            </w:r>
            <w:proofErr w:type="spellEnd"/>
            <w:r>
              <w:rPr>
                <w:rStyle w:val="InstructionsTabelleberschrift"/>
                <w:rFonts w:ascii="Times New Roman" w:hAnsi="Times New Roman"/>
                <w:sz w:val="24"/>
              </w:rPr>
              <w:t xml:space="preserve"> prek KCNS</w:t>
            </w:r>
          </w:p>
          <w:p w:rsidR="00464F34" w:rsidRPr="00392FFD" w:rsidRDefault="00464F34" w:rsidP="00FD239F">
            <w:pPr>
              <w:pStyle w:val="InstructionsText"/>
            </w:pPr>
            <w:r>
              <w:t>Člen 306 CRR za kvalificirane CNS v skladu s členom 4(88) v povezavi s členom 301(2) CRR.</w:t>
            </w:r>
          </w:p>
          <w:p w:rsidR="00464F34" w:rsidRPr="00392FFD" w:rsidRDefault="00D02E89" w:rsidP="00FD239F">
            <w:pPr>
              <w:pStyle w:val="InstructionsText"/>
            </w:pPr>
            <w:r>
              <w:t>Trgovalne izpostavljenosti do CNS v skladu s členom 4(91) CRR.</w:t>
            </w:r>
          </w:p>
        </w:tc>
      </w:tr>
      <w:tr w:rsidR="00464F34" w:rsidRPr="00392FFD" w:rsidTr="00672D2A">
        <w:tc>
          <w:tcPr>
            <w:tcW w:w="1188" w:type="dxa"/>
          </w:tcPr>
          <w:p w:rsidR="00464F34" w:rsidRPr="00392FFD" w:rsidRDefault="00462BAB" w:rsidP="00FD239F">
            <w:pPr>
              <w:pStyle w:val="InstructionsText"/>
            </w:pPr>
            <w:r>
              <w:t>110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Izvedeni finančni instrumenti in posli z dolgim rokom poravnave </w:t>
            </w:r>
          </w:p>
          <w:p w:rsidR="00464F34" w:rsidRPr="00392FFD" w:rsidRDefault="00464F34" w:rsidP="00FD239F">
            <w:pPr>
              <w:pStyle w:val="InstructionsText"/>
            </w:pPr>
            <w:r>
              <w:t>Izvedeni finančni instrumenti zajemajo pogodbe iz Priloge II k CRR.</w:t>
            </w:r>
          </w:p>
          <w:p w:rsidR="00464F34" w:rsidRPr="00392FFD" w:rsidRDefault="00464F34" w:rsidP="00FD239F">
            <w:pPr>
              <w:pStyle w:val="InstructionsText"/>
            </w:pPr>
            <w:r>
              <w:t>Posli z dolgim rokom poravnave, kot so opredeljeni v členu 272(2) CRR.</w:t>
            </w:r>
          </w:p>
          <w:p w:rsidR="00464F34" w:rsidRPr="00392FFD" w:rsidRDefault="00464F34" w:rsidP="00FD239F">
            <w:pPr>
              <w:pStyle w:val="InstructionsText"/>
            </w:pPr>
            <w:r>
              <w:t>Izvedeni finančni instrumenti in posli z dolgim rokom poravnave, ki so vključeni v pobot med različnimi kategorijami produktov in se zato poročajo v vrstici 130, se ne poročajo v tej vrstici.</w:t>
            </w:r>
          </w:p>
        </w:tc>
      </w:tr>
      <w:tr w:rsidR="00464F34" w:rsidRPr="00392FFD" w:rsidTr="00672D2A">
        <w:tc>
          <w:tcPr>
            <w:tcW w:w="1188" w:type="dxa"/>
          </w:tcPr>
          <w:p w:rsidR="00464F34" w:rsidRPr="00392FFD" w:rsidRDefault="00462BAB" w:rsidP="00FD239F">
            <w:pPr>
              <w:pStyle w:val="InstructionsText"/>
            </w:pPr>
            <w:r>
              <w:t>120</w:t>
            </w:r>
          </w:p>
        </w:tc>
        <w:tc>
          <w:tcPr>
            <w:tcW w:w="8701" w:type="dxa"/>
          </w:tcPr>
          <w:p w:rsidR="00464F34" w:rsidRPr="00392FFD" w:rsidRDefault="00464F34" w:rsidP="00FD239F">
            <w:pPr>
              <w:pStyle w:val="InstructionsText"/>
            </w:pPr>
            <w:r>
              <w:rPr>
                <w:rStyle w:val="InstructionsTabelleberschrift"/>
                <w:rFonts w:ascii="Times New Roman" w:hAnsi="Times New Roman"/>
                <w:sz w:val="24"/>
              </w:rPr>
              <w:t xml:space="preserve">Od tega: s centralnim </w:t>
            </w:r>
            <w:proofErr w:type="spellStart"/>
            <w:r>
              <w:rPr>
                <w:rStyle w:val="InstructionsTabelleberschrift"/>
                <w:rFonts w:ascii="Times New Roman" w:hAnsi="Times New Roman"/>
                <w:sz w:val="24"/>
              </w:rPr>
              <w:t>kliringom</w:t>
            </w:r>
            <w:proofErr w:type="spellEnd"/>
            <w:r>
              <w:rPr>
                <w:rStyle w:val="InstructionsTabelleberschrift"/>
                <w:rFonts w:ascii="Times New Roman" w:hAnsi="Times New Roman"/>
                <w:sz w:val="24"/>
              </w:rPr>
              <w:t xml:space="preserve"> prek KCNS</w:t>
            </w:r>
          </w:p>
          <w:p w:rsidR="00464F34" w:rsidRPr="00392FFD" w:rsidRDefault="00464F34" w:rsidP="00FD239F">
            <w:pPr>
              <w:pStyle w:val="InstructionsText"/>
            </w:pPr>
            <w:r>
              <w:t>Člen 306 CRR za kvalificirane CNS v skladu s členom 4(88) v povezavi s členom 301(2) CRR.</w:t>
            </w:r>
          </w:p>
          <w:p w:rsidR="00464F34" w:rsidRPr="00392FFD" w:rsidRDefault="00770830" w:rsidP="00FD239F">
            <w:pPr>
              <w:pStyle w:val="InstructionsText"/>
              <w:rPr>
                <w:b/>
                <w:u w:val="single"/>
              </w:rPr>
            </w:pPr>
            <w:r>
              <w:t>Trgovalne izpostavljenosti do CNS v skladu s členom 4(91) CRR.</w:t>
            </w:r>
          </w:p>
        </w:tc>
      </w:tr>
      <w:tr w:rsidR="00464F34" w:rsidRPr="00392FFD" w:rsidTr="00672D2A">
        <w:tc>
          <w:tcPr>
            <w:tcW w:w="1188" w:type="dxa"/>
          </w:tcPr>
          <w:p w:rsidR="00464F34" w:rsidRPr="00392FFD" w:rsidRDefault="00462BAB" w:rsidP="00FD239F">
            <w:pPr>
              <w:pStyle w:val="InstructionsText"/>
            </w:pPr>
            <w:r>
              <w:t>130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Iz naslova pogodbenega pobota med različnimi kategorijami produktov</w:t>
            </w:r>
          </w:p>
          <w:p w:rsidR="00464F34" w:rsidRPr="00392FFD" w:rsidRDefault="00464F34" w:rsidP="00FD239F">
            <w:pPr>
              <w:pStyle w:val="InstructionsText"/>
            </w:pPr>
            <w:r>
              <w:t>V to vrstico so vključene izpostavljenosti, ki zaradi obstoja pogodbenega pobota med različnimi kategorijami produktov (kot je opredeljen v členu 272(11) CRR) ne more biti dodeljen izvedenim finančnim instrumentom in poslom z dolgim rokom poravnave ali poslom financiranja z vrednostnimi papirji.</w:t>
            </w:r>
          </w:p>
        </w:tc>
      </w:tr>
      <w:tr w:rsidR="00464F34" w:rsidRPr="00392FFD" w:rsidTr="00672D2A">
        <w:tc>
          <w:tcPr>
            <w:tcW w:w="1188" w:type="dxa"/>
          </w:tcPr>
          <w:p w:rsidR="00464F34" w:rsidRPr="00392FFD" w:rsidRDefault="00462BAB" w:rsidP="00FD239F">
            <w:pPr>
              <w:pStyle w:val="InstructionsText"/>
            </w:pPr>
            <w:r>
              <w:t>140–280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RAZČLENITEV SKUPNEGA ZNESKA IZPOSTAVLJENOSTI GLEDE NA UTEŽI TVEGANJA</w:t>
            </w:r>
          </w:p>
          <w:p w:rsidR="00464F34" w:rsidRPr="00392FFD" w:rsidRDefault="00464F34" w:rsidP="00FD239F">
            <w:pPr>
              <w:pStyle w:val="InstructionsText"/>
            </w:pPr>
          </w:p>
        </w:tc>
      </w:tr>
      <w:tr w:rsidR="00464F34" w:rsidRPr="00392FFD" w:rsidTr="00672D2A">
        <w:tc>
          <w:tcPr>
            <w:tcW w:w="1188" w:type="dxa"/>
            <w:shd w:val="clear" w:color="auto" w:fill="auto"/>
          </w:tcPr>
          <w:p w:rsidR="00464F34" w:rsidRPr="00392FFD" w:rsidRDefault="00462BAB" w:rsidP="00FD239F">
            <w:pPr>
              <w:pStyle w:val="InstructionsText"/>
            </w:pPr>
            <w:r>
              <w:t>140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0 %</w:t>
            </w:r>
          </w:p>
          <w:p w:rsidR="00464F34" w:rsidRPr="00392FFD" w:rsidRDefault="00464F34" w:rsidP="00FD239F">
            <w:pPr>
              <w:pStyle w:val="InstructionsText"/>
            </w:pPr>
          </w:p>
        </w:tc>
      </w:tr>
      <w:tr w:rsidR="00464F34" w:rsidRPr="00392FFD" w:rsidTr="00672D2A">
        <w:tc>
          <w:tcPr>
            <w:tcW w:w="1188" w:type="dxa"/>
            <w:shd w:val="clear" w:color="auto" w:fill="auto"/>
          </w:tcPr>
          <w:p w:rsidR="00464F34" w:rsidRPr="00392FFD" w:rsidRDefault="00462BAB" w:rsidP="00FD239F">
            <w:pPr>
              <w:pStyle w:val="InstructionsText"/>
            </w:pPr>
            <w:r>
              <w:t>150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rsidR="00464F34" w:rsidRPr="00392FFD" w:rsidRDefault="00464F34" w:rsidP="00FD239F">
            <w:pPr>
              <w:pStyle w:val="InstructionsText"/>
              <w:rPr>
                <w:b/>
              </w:rPr>
            </w:pPr>
            <w:r>
              <w:t>Člen 306(1) CRR.</w:t>
            </w:r>
          </w:p>
        </w:tc>
      </w:tr>
      <w:tr w:rsidR="00462BAB" w:rsidRPr="00392FFD" w:rsidTr="00672D2A">
        <w:tc>
          <w:tcPr>
            <w:tcW w:w="1188" w:type="dxa"/>
            <w:shd w:val="clear" w:color="auto" w:fill="auto"/>
          </w:tcPr>
          <w:p w:rsidR="00462BAB" w:rsidRPr="00392FFD" w:rsidRDefault="00462BAB" w:rsidP="00FD239F">
            <w:pPr>
              <w:pStyle w:val="InstructionsText"/>
            </w:pPr>
            <w:r>
              <w:t>160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rsidR="00462BAB" w:rsidRPr="00392FFD" w:rsidRDefault="00462BAB" w:rsidP="00FD239F">
            <w:pPr>
              <w:pStyle w:val="InstructionsText"/>
              <w:rPr>
                <w:b/>
                <w:u w:val="single"/>
              </w:rPr>
            </w:pPr>
            <w:r>
              <w:t>Člen 305(3) CRR.</w:t>
            </w:r>
          </w:p>
        </w:tc>
      </w:tr>
      <w:tr w:rsidR="00462BAB" w:rsidRPr="00392FFD" w:rsidTr="00672D2A">
        <w:tc>
          <w:tcPr>
            <w:tcW w:w="1188" w:type="dxa"/>
            <w:shd w:val="clear" w:color="auto" w:fill="auto"/>
          </w:tcPr>
          <w:p w:rsidR="00462BAB" w:rsidRPr="00392FFD" w:rsidRDefault="00462BAB" w:rsidP="00FD239F">
            <w:pPr>
              <w:pStyle w:val="InstructionsText"/>
            </w:pPr>
            <w:r>
              <w:t>170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180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190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35 %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200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50 %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210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70 %</w:t>
            </w:r>
          </w:p>
          <w:p w:rsidR="00462BAB" w:rsidRPr="00392FFD" w:rsidRDefault="00462BAB" w:rsidP="00FD239F">
            <w:pPr>
              <w:pStyle w:val="InstructionsText"/>
            </w:pPr>
            <w:r>
              <w:lastRenderedPageBreak/>
              <w:t>Člen 232(3)(c) CRR.</w:t>
            </w:r>
          </w:p>
        </w:tc>
      </w:tr>
      <w:tr w:rsidR="00462BAB" w:rsidRPr="00392FFD" w:rsidTr="00672D2A">
        <w:tc>
          <w:tcPr>
            <w:tcW w:w="1188" w:type="dxa"/>
            <w:shd w:val="clear" w:color="auto" w:fill="auto"/>
          </w:tcPr>
          <w:p w:rsidR="00462BAB" w:rsidRPr="00392FFD" w:rsidRDefault="00462BAB" w:rsidP="00FD239F">
            <w:pPr>
              <w:pStyle w:val="InstructionsText"/>
            </w:pPr>
            <w:r>
              <w:lastRenderedPageBreak/>
              <w:t>220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75 %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230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100 %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240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250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rsidR="00462BAB" w:rsidRPr="00392FFD" w:rsidRDefault="00462BAB" w:rsidP="00FD239F">
            <w:pPr>
              <w:pStyle w:val="InstructionsText"/>
            </w:pPr>
            <w:r>
              <w:t>Člena 133(2) in 48(4) CRR.</w:t>
            </w:r>
          </w:p>
        </w:tc>
      </w:tr>
      <w:tr w:rsidR="00462BAB" w:rsidRPr="00392FFD" w:rsidTr="00672D2A">
        <w:tc>
          <w:tcPr>
            <w:tcW w:w="1188" w:type="dxa"/>
            <w:shd w:val="clear" w:color="auto" w:fill="auto"/>
          </w:tcPr>
          <w:p w:rsidR="00462BAB" w:rsidRPr="00392FFD" w:rsidRDefault="00462BAB" w:rsidP="00FD239F">
            <w:pPr>
              <w:pStyle w:val="InstructionsText"/>
            </w:pPr>
            <w:r>
              <w:t>260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rsidR="00462BAB" w:rsidRPr="00392FFD" w:rsidRDefault="00462BAB" w:rsidP="00FD239F">
            <w:pPr>
              <w:pStyle w:val="InstructionsText"/>
              <w:rPr>
                <w:b/>
                <w:u w:val="single"/>
              </w:rPr>
            </w:pPr>
            <w:r>
              <w:t>Člen 471 CRR.</w:t>
            </w:r>
          </w:p>
        </w:tc>
      </w:tr>
      <w:tr w:rsidR="00462BAB" w:rsidRPr="00392FFD" w:rsidTr="00672D2A">
        <w:tc>
          <w:tcPr>
            <w:tcW w:w="1188" w:type="dxa"/>
            <w:shd w:val="clear" w:color="auto" w:fill="auto"/>
          </w:tcPr>
          <w:p w:rsidR="00462BAB" w:rsidRPr="00392FFD" w:rsidRDefault="00462BAB" w:rsidP="00FD239F">
            <w:pPr>
              <w:pStyle w:val="InstructionsText"/>
            </w:pPr>
            <w:r>
              <w:t>270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1250 %</w:t>
            </w:r>
          </w:p>
          <w:p w:rsidR="00462BAB" w:rsidRPr="00392FFD" w:rsidRDefault="00462BAB" w:rsidP="00FD239F">
            <w:pPr>
              <w:pStyle w:val="InstructionsText"/>
              <w:rPr>
                <w:b/>
                <w:u w:val="single"/>
              </w:rPr>
            </w:pPr>
            <w:r>
              <w:t>Člen 133(2) in člen 379 CRR.</w:t>
            </w:r>
          </w:p>
        </w:tc>
      </w:tr>
      <w:tr w:rsidR="00462BAB" w:rsidRPr="00392FFD" w:rsidTr="00672D2A">
        <w:tc>
          <w:tcPr>
            <w:tcW w:w="1188" w:type="dxa"/>
            <w:shd w:val="clear" w:color="auto" w:fill="auto"/>
          </w:tcPr>
          <w:p w:rsidR="00462BAB" w:rsidRPr="00392FFD" w:rsidRDefault="00462BAB" w:rsidP="00FD239F">
            <w:pPr>
              <w:pStyle w:val="InstructionsText"/>
            </w:pPr>
            <w:r>
              <w:t>280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Druge uteži tveganja</w:t>
            </w:r>
          </w:p>
          <w:p w:rsidR="00462BAB" w:rsidRPr="00392FFD" w:rsidRDefault="00462BAB" w:rsidP="00FD239F">
            <w:pPr>
              <w:pStyle w:val="InstructionsText"/>
            </w:pPr>
            <w:r>
              <w:t>Ta vrstica ni na voljo za kategorije izpostavljenosti „ravni držav“, „podjetja“, „instituc</w:t>
            </w:r>
            <w:r>
              <w:t>i</w:t>
            </w:r>
            <w:r>
              <w:t>je“ in „na drobno“.</w:t>
            </w:r>
          </w:p>
          <w:p w:rsidR="00462BAB" w:rsidRPr="00392FFD" w:rsidRDefault="00462BAB" w:rsidP="00FD239F">
            <w:pPr>
              <w:pStyle w:val="InstructionsText"/>
            </w:pPr>
          </w:p>
          <w:p w:rsidR="00462BAB" w:rsidRPr="00392FFD" w:rsidRDefault="00462BAB" w:rsidP="00FD239F">
            <w:pPr>
              <w:pStyle w:val="InstructionsText"/>
            </w:pPr>
            <w:r>
              <w:t>Za sporočanje navedenih izpostavljenosti, ki niso predmet uteži tveganja, navedenih v predlogi.</w:t>
            </w:r>
          </w:p>
          <w:p w:rsidR="00462BAB" w:rsidRPr="00392FFD" w:rsidRDefault="00462BAB" w:rsidP="00FD239F">
            <w:pPr>
              <w:pStyle w:val="InstructionsText"/>
            </w:pPr>
            <w:r>
              <w:t xml:space="preserve">Člen 113(1) do (5) CRR. </w:t>
            </w:r>
          </w:p>
          <w:p w:rsidR="00462BAB" w:rsidRPr="00392FFD" w:rsidRDefault="00462BAB" w:rsidP="00FD239F">
            <w:pPr>
              <w:pStyle w:val="InstructionsText"/>
            </w:pPr>
          </w:p>
          <w:p w:rsidR="00462BAB" w:rsidRPr="00392FFD" w:rsidRDefault="00462BAB" w:rsidP="00FD239F">
            <w:pPr>
              <w:pStyle w:val="InstructionsText"/>
            </w:pPr>
            <w:r>
              <w:t>Neocenjeni kreditni izvedeni finančni instrumenti na podlagi n-tega neplačila v okviru standardiziranega pristopa (člen 134(6) CRR) se poročajo v tej vrstici v kategoriji izpostavljenosti „druge postavke“.</w:t>
            </w:r>
          </w:p>
          <w:p w:rsidR="00462BAB" w:rsidRPr="00392FFD" w:rsidRDefault="00462BAB" w:rsidP="00FD239F">
            <w:pPr>
              <w:pStyle w:val="InstructionsText"/>
            </w:pPr>
            <w:r>
              <w:t xml:space="preserve">Glej tudi člen 124(2) in člen 152 (2)(b) CRR. </w:t>
            </w:r>
          </w:p>
        </w:tc>
      </w:tr>
      <w:tr w:rsidR="00462BAB" w:rsidRPr="00392FFD" w:rsidTr="00672D2A">
        <w:tc>
          <w:tcPr>
            <w:tcW w:w="1188" w:type="dxa"/>
            <w:shd w:val="clear" w:color="auto" w:fill="auto"/>
          </w:tcPr>
          <w:p w:rsidR="00462BAB" w:rsidRPr="00392FFD" w:rsidRDefault="00462BAB" w:rsidP="00FD239F">
            <w:pPr>
              <w:pStyle w:val="InstructionsText"/>
            </w:pPr>
            <w:r>
              <w:t>290–320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Pojasnjevalne postavke</w:t>
            </w:r>
          </w:p>
          <w:p w:rsidR="00462BAB" w:rsidRPr="00392FFD" w:rsidRDefault="00462BAB" w:rsidP="00FD239F">
            <w:pPr>
              <w:pStyle w:val="InstructionsText"/>
              <w:rPr>
                <w:b/>
                <w:u w:val="single"/>
              </w:rPr>
            </w:pPr>
            <w:r>
              <w:t>Glej tudi obrazložitev namena pojasnjevalnih postavk v splošnem oddelku predloge CR SA.</w:t>
            </w:r>
          </w:p>
        </w:tc>
      </w:tr>
      <w:tr w:rsidR="00462BAB" w:rsidRPr="00392FFD" w:rsidTr="00672D2A">
        <w:tc>
          <w:tcPr>
            <w:tcW w:w="1188" w:type="dxa"/>
            <w:shd w:val="clear" w:color="auto" w:fill="auto"/>
          </w:tcPr>
          <w:p w:rsidR="00462BAB" w:rsidRPr="00392FFD" w:rsidRDefault="00462BAB" w:rsidP="00FD239F">
            <w:pPr>
              <w:pStyle w:val="InstructionsText"/>
            </w:pPr>
            <w:r>
              <w:t>290</w:t>
            </w:r>
          </w:p>
          <w:p w:rsidR="00462BAB" w:rsidRPr="00392FFD" w:rsidRDefault="00462BAB" w:rsidP="00FD239F">
            <w:pPr>
              <w:pStyle w:val="InstructionsText"/>
            </w:pP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Izpostavljenosti, zavarovane s hipotekami na poslovne nepremičnine</w:t>
            </w:r>
          </w:p>
          <w:p w:rsidR="00462BAB" w:rsidRPr="00392FFD" w:rsidRDefault="00462BAB" w:rsidP="00FD239F">
            <w:pPr>
              <w:pStyle w:val="InstructionsText"/>
            </w:pPr>
            <w:r>
              <w:t>Člen 112(i) CRR.</w:t>
            </w:r>
          </w:p>
          <w:p w:rsidR="00462BAB" w:rsidRPr="00392FFD" w:rsidRDefault="00462BAB" w:rsidP="00FD239F">
            <w:pPr>
              <w:pStyle w:val="InstructionsText"/>
            </w:pPr>
            <w:r>
              <w:t>To je le pojasnjevalna postavka. Izpostavljenosti se neodvisno od izračuna zneskov izpostavljenosti tveganju za izpostavljenosti, zavarovane s poslovnimi nepremičninami, v skladu s členoma 124 in 126 CRR razčlenijo in poročajo v tej vrstici na podlagi meril za določitev, ali so izpostavljenosti zavarovane s poslovno nepremičnino.</w:t>
            </w:r>
          </w:p>
        </w:tc>
      </w:tr>
      <w:tr w:rsidR="00462BAB" w:rsidRPr="00392FFD" w:rsidTr="00672D2A">
        <w:tc>
          <w:tcPr>
            <w:tcW w:w="1188" w:type="dxa"/>
            <w:shd w:val="clear" w:color="auto" w:fill="auto"/>
          </w:tcPr>
          <w:p w:rsidR="00462BAB" w:rsidRPr="00392FFD" w:rsidRDefault="00462BAB" w:rsidP="00FD239F">
            <w:pPr>
              <w:pStyle w:val="InstructionsText"/>
            </w:pPr>
            <w:r>
              <w:t>300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Neplačane izpostavljenosti, za katere se uporabi utež tveganja 100 %</w:t>
            </w:r>
          </w:p>
          <w:p w:rsidR="00462BAB" w:rsidRPr="00392FFD" w:rsidRDefault="00462BAB" w:rsidP="00FD239F">
            <w:pPr>
              <w:pStyle w:val="InstructionsText"/>
            </w:pPr>
            <w:r>
              <w:t>Člen 112(j) CRR.</w:t>
            </w:r>
          </w:p>
          <w:p w:rsidR="00462BAB" w:rsidRPr="00392FFD" w:rsidRDefault="00462BAB" w:rsidP="00FD239F">
            <w:pPr>
              <w:pStyle w:val="InstructionsText"/>
            </w:pPr>
            <w:r>
              <w:t xml:space="preserve">Izpostavljenosti, vključene v kategorijo izpostavljenosti „neplačane izpostavljenosti“, ki </w:t>
            </w:r>
            <w:r>
              <w:lastRenderedPageBreak/>
              <w:t>se v to kategorijo izpostavljenosti vključijo, če ne bi bile neplačane.</w:t>
            </w:r>
          </w:p>
        </w:tc>
      </w:tr>
      <w:tr w:rsidR="00462BAB" w:rsidRPr="00392FFD" w:rsidTr="00672D2A">
        <w:tc>
          <w:tcPr>
            <w:tcW w:w="1188" w:type="dxa"/>
            <w:shd w:val="clear" w:color="auto" w:fill="auto"/>
          </w:tcPr>
          <w:p w:rsidR="00462BAB" w:rsidRPr="00392FFD" w:rsidRDefault="00462BAB" w:rsidP="00FD239F">
            <w:pPr>
              <w:pStyle w:val="InstructionsText"/>
            </w:pPr>
            <w:r>
              <w:lastRenderedPageBreak/>
              <w:t>310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Izpostavljenosti, zavarovane s hipotekami na stanovanjske nepremičnine </w:t>
            </w:r>
          </w:p>
          <w:p w:rsidR="00462BAB" w:rsidRPr="00392FFD" w:rsidRDefault="00462BAB" w:rsidP="00FD239F">
            <w:pPr>
              <w:pStyle w:val="InstructionsText"/>
            </w:pPr>
            <w:r>
              <w:t>Člen 112(i) CRR.</w:t>
            </w:r>
          </w:p>
          <w:p w:rsidR="00462BAB" w:rsidRPr="00392FFD" w:rsidRDefault="00462BAB" w:rsidP="00FD239F">
            <w:pPr>
              <w:pStyle w:val="InstructionsText"/>
              <w:rPr>
                <w:b/>
                <w:u w:val="single"/>
              </w:rPr>
            </w:pPr>
            <w:r>
              <w:t>To je le pojasnjevalna postavka. Izpostavljenosti se neodvisno od izračuna zneskov izpostavljenosti tveganju za izpostavljenosti, zavarovane z nepremičninami, v skladu s členoma 124 in 125 CRR razčlenijo in poročajo v tej vrstici na podlagi meril za določ</w:t>
            </w:r>
            <w:r>
              <w:t>i</w:t>
            </w:r>
            <w:r>
              <w:t>tev, ali so izpostavljenosti zavarovane z nepremičnino.</w:t>
            </w:r>
          </w:p>
        </w:tc>
      </w:tr>
      <w:tr w:rsidR="00462BAB" w:rsidRPr="00392FFD" w:rsidTr="00672D2A">
        <w:tc>
          <w:tcPr>
            <w:tcW w:w="1188" w:type="dxa"/>
            <w:shd w:val="clear" w:color="auto" w:fill="auto"/>
          </w:tcPr>
          <w:p w:rsidR="00462BAB" w:rsidRPr="00392FFD" w:rsidRDefault="00462BAB" w:rsidP="00FD239F">
            <w:pPr>
              <w:pStyle w:val="InstructionsText"/>
            </w:pPr>
            <w:r>
              <w:t>320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Neplačane izpostavljenosti, za katere se uporabi utež tveganja 150 % </w:t>
            </w:r>
          </w:p>
          <w:p w:rsidR="00462BAB" w:rsidRPr="00392FFD" w:rsidRDefault="00462BAB" w:rsidP="00FD239F">
            <w:pPr>
              <w:pStyle w:val="InstructionsText"/>
            </w:pPr>
            <w:r>
              <w:t>Člen 112(j) CRR.</w:t>
            </w:r>
          </w:p>
          <w:p w:rsidR="00462BAB" w:rsidRPr="00392FFD" w:rsidRDefault="00462BAB" w:rsidP="00FD239F">
            <w:pPr>
              <w:pStyle w:val="InstructionsText"/>
            </w:pPr>
            <w:r>
              <w:t>Izpostavljenosti, vključene v kategorijo izpostavljenosti „neplačane izpostavljenosti“, ki se v to kategorijo izpostavljenosti vključijo, če ne bi bile neplačane.</w:t>
            </w:r>
          </w:p>
        </w:tc>
      </w:tr>
    </w:tbl>
    <w:p w:rsidR="001C7AB7" w:rsidRPr="00392FFD" w:rsidRDefault="001C7AB7">
      <w:pPr>
        <w:spacing w:before="0" w:after="0"/>
        <w:jc w:val="left"/>
        <w:rPr>
          <w:rFonts w:ascii="Times New Roman" w:hAnsi="Times New Roman"/>
          <w:bCs/>
          <w:sz w:val="24"/>
        </w:rPr>
      </w:pPr>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258" w:name="_Toc360188357"/>
      <w:bookmarkStart w:id="259" w:name="_Toc516210641"/>
      <w:bookmarkStart w:id="260" w:name="_Toc473560906"/>
      <w:bookmarkStart w:id="261" w:name="_Toc523474390"/>
      <w:r>
        <w:rPr>
          <w:rFonts w:ascii="Times New Roman" w:hAnsi="Times New Roman"/>
          <w:sz w:val="24"/>
          <w:u w:val="none"/>
        </w:rPr>
        <w:t>3.3.</w:t>
      </w:r>
      <w:r w:rsidR="003F40E8" w:rsidRPr="003F40E8">
        <w:rPr>
          <w:u w:val="none"/>
        </w:rPr>
        <w:tab/>
      </w:r>
      <w:r>
        <w:rPr>
          <w:rFonts w:ascii="Times New Roman" w:hAnsi="Times New Roman"/>
          <w:sz w:val="24"/>
        </w:rPr>
        <w:t>Kreditno tveganje in kreditno tveganje nasprotne stranke ter proste izročitve: Pristop IRB h kapitalskim zahtevam</w:t>
      </w:r>
      <w:bookmarkEnd w:id="258"/>
      <w:r>
        <w:rPr>
          <w:rFonts w:ascii="Times New Roman" w:hAnsi="Times New Roman"/>
          <w:sz w:val="24"/>
        </w:rPr>
        <w:t xml:space="preserve"> (CR IRB)</w:t>
      </w:r>
      <w:bookmarkEnd w:id="259"/>
      <w:bookmarkEnd w:id="260"/>
      <w:bookmarkEnd w:id="261"/>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262" w:name="_Toc360188358"/>
      <w:bookmarkStart w:id="263" w:name="_Toc516210642"/>
      <w:bookmarkStart w:id="264" w:name="_Toc473560907"/>
      <w:bookmarkStart w:id="265" w:name="_Toc523474391"/>
      <w:r>
        <w:rPr>
          <w:rFonts w:ascii="Times New Roman" w:hAnsi="Times New Roman"/>
          <w:sz w:val="24"/>
          <w:u w:val="none"/>
        </w:rPr>
        <w:t>3.3.1.</w:t>
      </w:r>
      <w:r w:rsidR="003F40E8" w:rsidRPr="003F40E8">
        <w:rPr>
          <w:u w:val="none"/>
        </w:rPr>
        <w:tab/>
      </w:r>
      <w:r>
        <w:rPr>
          <w:rFonts w:ascii="Times New Roman" w:hAnsi="Times New Roman"/>
          <w:sz w:val="24"/>
        </w:rPr>
        <w:t>Obseg predloge CR IRB</w:t>
      </w:r>
      <w:bookmarkEnd w:id="262"/>
      <w:bookmarkEnd w:id="263"/>
      <w:bookmarkEnd w:id="264"/>
      <w:bookmarkEnd w:id="265"/>
    </w:p>
    <w:p w:rsidR="001C7AB7" w:rsidRPr="00392FFD" w:rsidRDefault="00125707" w:rsidP="00C37B29">
      <w:pPr>
        <w:pStyle w:val="InstructionsText2"/>
        <w:numPr>
          <w:ilvl w:val="0"/>
          <w:numId w:val="0"/>
        </w:numPr>
        <w:ind w:left="993"/>
      </w:pPr>
      <w:r>
        <w:t>74.</w:t>
      </w:r>
      <w:r>
        <w:tab/>
        <w:t>Obseg predloge CR IRB zajema kapitalske zahteve za:</w:t>
      </w:r>
    </w:p>
    <w:p w:rsidR="001C7AB7" w:rsidRPr="00392FFD" w:rsidRDefault="00125707" w:rsidP="00C37B29">
      <w:pPr>
        <w:pStyle w:val="InstructionsText2"/>
        <w:numPr>
          <w:ilvl w:val="0"/>
          <w:numId w:val="0"/>
        </w:numPr>
        <w:ind w:left="993"/>
      </w:pPr>
      <w:r>
        <w:t>i.</w:t>
      </w:r>
      <w:r>
        <w:tab/>
        <w:t>kreditno tveganje v netrgovalni knjigi, vključno s:</w:t>
      </w:r>
    </w:p>
    <w:p w:rsidR="001C7AB7" w:rsidRPr="00392FFD" w:rsidRDefault="00125707" w:rsidP="0023700C">
      <w:pPr>
        <w:tabs>
          <w:tab w:val="left" w:pos="2370"/>
        </w:tabs>
        <w:autoSpaceDE w:val="0"/>
        <w:autoSpaceDN w:val="0"/>
        <w:adjustRightInd w:val="0"/>
        <w:spacing w:before="0" w:after="240"/>
        <w:ind w:left="2370" w:hanging="360"/>
        <w:jc w:val="left"/>
        <w:rPr>
          <w:rFonts w:ascii="Wingdings" w:hAnsi="Wingdings"/>
          <w:sz w:val="24"/>
        </w:rPr>
      </w:pPr>
      <w:r>
        <w:tab/>
      </w:r>
      <w:r>
        <w:rPr>
          <w:rFonts w:ascii="Times New Roman" w:hAnsi="Times New Roman"/>
          <w:sz w:val="24"/>
        </w:rPr>
        <w:t>kreditnim tveganjem nasprotne stranke v netrgovalni knjigi;</w:t>
      </w:r>
    </w:p>
    <w:p w:rsidR="001C7AB7" w:rsidRPr="00392FFD" w:rsidRDefault="00125707" w:rsidP="0023700C">
      <w:pPr>
        <w:tabs>
          <w:tab w:val="left" w:pos="2370"/>
        </w:tabs>
        <w:autoSpaceDE w:val="0"/>
        <w:autoSpaceDN w:val="0"/>
        <w:adjustRightInd w:val="0"/>
        <w:spacing w:before="0" w:after="240"/>
        <w:ind w:left="2370" w:hanging="360"/>
        <w:jc w:val="left"/>
        <w:rPr>
          <w:rFonts w:ascii="Wingdings" w:hAnsi="Wingdings"/>
          <w:sz w:val="24"/>
        </w:rPr>
      </w:pPr>
      <w:r>
        <w:tab/>
      </w:r>
      <w:r>
        <w:rPr>
          <w:rFonts w:ascii="Times New Roman" w:hAnsi="Times New Roman"/>
          <w:sz w:val="24"/>
        </w:rPr>
        <w:t>tveganjem zmanjšanja vrednosti odkupljenih denarnih terjatev;</w:t>
      </w:r>
    </w:p>
    <w:p w:rsidR="001C7AB7" w:rsidRPr="00392FFD" w:rsidRDefault="00125707" w:rsidP="00C37B29">
      <w:pPr>
        <w:pStyle w:val="InstructionsText2"/>
        <w:numPr>
          <w:ilvl w:val="0"/>
          <w:numId w:val="0"/>
        </w:numPr>
        <w:ind w:left="993"/>
      </w:pPr>
      <w:proofErr w:type="spellStart"/>
      <w:r>
        <w:t>ii</w:t>
      </w:r>
      <w:proofErr w:type="spellEnd"/>
      <w:r>
        <w:t>.</w:t>
      </w:r>
      <w:r>
        <w:tab/>
        <w:t>kreditno tveganje nasprotne stranke v trgovalni knjigi;</w:t>
      </w:r>
    </w:p>
    <w:p w:rsidR="001C7AB7" w:rsidRPr="00392FFD" w:rsidRDefault="00125707" w:rsidP="00C37B29">
      <w:pPr>
        <w:pStyle w:val="InstructionsText2"/>
        <w:numPr>
          <w:ilvl w:val="0"/>
          <w:numId w:val="0"/>
        </w:numPr>
        <w:ind w:left="993"/>
      </w:pPr>
      <w:proofErr w:type="spellStart"/>
      <w:r>
        <w:t>iii</w:t>
      </w:r>
      <w:proofErr w:type="spellEnd"/>
      <w:r>
        <w:t>.</w:t>
      </w:r>
      <w:r>
        <w:tab/>
        <w:t>proste izročitve, ki izhajajo iz vseh poslovnih dejavnosti.</w:t>
      </w:r>
    </w:p>
    <w:p w:rsidR="001C7AB7" w:rsidRPr="00392FFD" w:rsidRDefault="00125707" w:rsidP="00C37B29">
      <w:pPr>
        <w:pStyle w:val="InstructionsText2"/>
        <w:numPr>
          <w:ilvl w:val="0"/>
          <w:numId w:val="0"/>
        </w:numPr>
        <w:ind w:left="993"/>
      </w:pPr>
      <w:r>
        <w:t>75.</w:t>
      </w:r>
      <w:r>
        <w:tab/>
        <w:t>Obseg predloge se nanaša na izpostavljenosti, za katere se izračunajo zneski tveganju prilagojenih izpostavljenosti v skladu s členi 151 do 157 poglavja 3 nasl</w:t>
      </w:r>
      <w:r>
        <w:t>o</w:t>
      </w:r>
      <w:r>
        <w:t xml:space="preserve">va II dela 3 CRR (pristop IRB). </w:t>
      </w:r>
    </w:p>
    <w:p w:rsidR="001C7AB7" w:rsidRPr="00392FFD" w:rsidRDefault="00125707" w:rsidP="00C37B29">
      <w:pPr>
        <w:pStyle w:val="InstructionsText2"/>
        <w:numPr>
          <w:ilvl w:val="0"/>
          <w:numId w:val="0"/>
        </w:numPr>
        <w:ind w:left="993"/>
      </w:pPr>
      <w:r>
        <w:t>76.</w:t>
      </w:r>
      <w:r>
        <w:tab/>
        <w:t xml:space="preserve">Predloga CR IRB ne vključuje naslednjih podatkov: </w:t>
      </w:r>
    </w:p>
    <w:p w:rsidR="001C7AB7" w:rsidRPr="00392FFD" w:rsidRDefault="00125707" w:rsidP="00C37B29">
      <w:pPr>
        <w:pStyle w:val="InstructionsText2"/>
        <w:numPr>
          <w:ilvl w:val="0"/>
          <w:numId w:val="0"/>
        </w:numPr>
        <w:ind w:left="993"/>
      </w:pPr>
      <w:r>
        <w:t>i.</w:t>
      </w:r>
      <w:r>
        <w:tab/>
        <w:t xml:space="preserve">izpostavljenosti iz naslova lastniških instrumentov, ki so sporočene v predlogi CR EQU IRB; </w:t>
      </w:r>
    </w:p>
    <w:p w:rsidR="001C7AB7" w:rsidRPr="00392FFD" w:rsidRDefault="00125707" w:rsidP="00C37B29">
      <w:pPr>
        <w:pStyle w:val="InstructionsText2"/>
        <w:numPr>
          <w:ilvl w:val="0"/>
          <w:numId w:val="0"/>
        </w:numPr>
        <w:ind w:left="993"/>
      </w:pPr>
      <w:proofErr w:type="spellStart"/>
      <w:r>
        <w:t>ii</w:t>
      </w:r>
      <w:proofErr w:type="spellEnd"/>
      <w:r>
        <w:t>.</w:t>
      </w:r>
      <w:r>
        <w:tab/>
        <w:t xml:space="preserve">pozicij v listinjenju, ki so sporočene v predlogah CR SEC SA, CR SEC IRB in/ali CR SEC </w:t>
      </w:r>
      <w:proofErr w:type="spellStart"/>
      <w:r>
        <w:t>Details</w:t>
      </w:r>
      <w:proofErr w:type="spellEnd"/>
      <w:r>
        <w:t>;</w:t>
      </w:r>
    </w:p>
    <w:p w:rsidR="001C7AB7" w:rsidRPr="00392FFD" w:rsidRDefault="00125707" w:rsidP="00C37B29">
      <w:pPr>
        <w:pStyle w:val="InstructionsText2"/>
        <w:numPr>
          <w:ilvl w:val="0"/>
          <w:numId w:val="0"/>
        </w:numPr>
        <w:ind w:left="993"/>
      </w:pPr>
      <w:proofErr w:type="spellStart"/>
      <w:r>
        <w:t>iii</w:t>
      </w:r>
      <w:proofErr w:type="spellEnd"/>
      <w:r>
        <w:t>.</w:t>
      </w:r>
      <w:r>
        <w:tab/>
        <w:t xml:space="preserve"> „drugih sredstev iz naslova </w:t>
      </w:r>
      <w:proofErr w:type="spellStart"/>
      <w:r>
        <w:t>nekreditnih</w:t>
      </w:r>
      <w:proofErr w:type="spellEnd"/>
      <w:r>
        <w:t xml:space="preserve"> obveznosti“ v skladu s točko g člena 147(2) CRR. Utež tveganja za to kategorijo izpostavljenosti mora biti vedno 100 %, razen za denar v blagajni, enakovredne denarne postavke in izpostavljenosti, ki so preostale vrednosti iz naslova zakupa, v skladu s členom 156 CRR. Zneski tveganju prilagojenih izpostavljenosti za to kategorijo izpostavljenosti se poročajo neposre</w:t>
      </w:r>
      <w:r>
        <w:t>d</w:t>
      </w:r>
      <w:r>
        <w:t>no v predlogi CA;</w:t>
      </w:r>
    </w:p>
    <w:p w:rsidR="001C7AB7" w:rsidRPr="00392FFD" w:rsidRDefault="00125707" w:rsidP="00C37B29">
      <w:pPr>
        <w:pStyle w:val="InstructionsText2"/>
        <w:numPr>
          <w:ilvl w:val="0"/>
          <w:numId w:val="0"/>
        </w:numPr>
        <w:ind w:left="993"/>
      </w:pPr>
      <w:r>
        <w:lastRenderedPageBreak/>
        <w:t>iv.</w:t>
      </w:r>
      <w:r>
        <w:tab/>
        <w:t>tveganja prilagoditve kreditnega vrednotenja, ki se sporoči v predlogi za tveg</w:t>
      </w:r>
      <w:r>
        <w:t>a</w:t>
      </w:r>
      <w:r>
        <w:t>nje CVA.</w:t>
      </w:r>
    </w:p>
    <w:p w:rsidR="001C7AB7" w:rsidRPr="00392FFD" w:rsidRDefault="001C7AB7" w:rsidP="001C7AB7">
      <w:pPr>
        <w:autoSpaceDE w:val="0"/>
        <w:autoSpaceDN w:val="0"/>
        <w:adjustRightInd w:val="0"/>
        <w:spacing w:before="0" w:after="240"/>
        <w:ind w:left="1440"/>
        <w:jc w:val="left"/>
        <w:rPr>
          <w:rFonts w:ascii="Times New Roman" w:hAnsi="Times New Roman"/>
          <w:sz w:val="24"/>
        </w:rPr>
      </w:pPr>
      <w:r>
        <w:rPr>
          <w:rFonts w:ascii="Times New Roman" w:hAnsi="Times New Roman"/>
          <w:sz w:val="24"/>
        </w:rPr>
        <w:t xml:space="preserve">Predloga CR IRB ne zahteva geografske razčlenitve izpostavljenosti IRB glede na sedež nasprotne stranke. Ta razčlenitev se sporoči v predlogi CR GB. </w:t>
      </w:r>
    </w:p>
    <w:p w:rsidR="001C7AB7" w:rsidRPr="00392FFD" w:rsidRDefault="00125707" w:rsidP="00C37B29">
      <w:pPr>
        <w:pStyle w:val="InstructionsText2"/>
        <w:numPr>
          <w:ilvl w:val="0"/>
          <w:numId w:val="0"/>
        </w:numPr>
        <w:ind w:left="993"/>
      </w:pPr>
      <w:r>
        <w:t>77.</w:t>
      </w:r>
      <w:r>
        <w:tab/>
        <w:t xml:space="preserve">Da se razjasni, ali institucija uporablja lastne ocene LGD in/ali </w:t>
      </w:r>
      <w:proofErr w:type="spellStart"/>
      <w:r>
        <w:t>konverzijske</w:t>
      </w:r>
      <w:proofErr w:type="spellEnd"/>
      <w:r>
        <w:t xml:space="preserve"> faktorje, se za vsako poročano kategorijo izpostavljenosti zagotovijo naslednje informacije:</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 xml:space="preserve">„NE“ = če se uporabljajo nadzorniške ocene LGD in kreditni </w:t>
      </w:r>
      <w:proofErr w:type="spellStart"/>
      <w:r>
        <w:rPr>
          <w:rFonts w:ascii="Times New Roman" w:hAnsi="Times New Roman"/>
          <w:sz w:val="24"/>
        </w:rPr>
        <w:t>konverzijski</w:t>
      </w:r>
      <w:proofErr w:type="spellEnd"/>
      <w:r>
        <w:rPr>
          <w:rFonts w:ascii="Times New Roman" w:hAnsi="Times New Roman"/>
          <w:sz w:val="24"/>
        </w:rPr>
        <w:t xml:space="preserve"> faktorji (temeljni IRB),</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 xml:space="preserve">„DA“ = če se uporabljajo lastne ocene LGD in kreditni </w:t>
      </w:r>
      <w:proofErr w:type="spellStart"/>
      <w:r>
        <w:rPr>
          <w:rFonts w:ascii="Times New Roman" w:hAnsi="Times New Roman"/>
          <w:sz w:val="24"/>
        </w:rPr>
        <w:t>konverzijski</w:t>
      </w:r>
      <w:proofErr w:type="spellEnd"/>
      <w:r>
        <w:rPr>
          <w:rFonts w:ascii="Times New Roman" w:hAnsi="Times New Roman"/>
          <w:sz w:val="24"/>
        </w:rPr>
        <w:t xml:space="preserve"> faktorji (napredni IRB). </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V vsakem primeru je treba za poročanje o portfeljih na drobno poročati „DA“.</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 xml:space="preserve">Kadar institucija uporablja lastne ocene LGD za izračun </w:t>
      </w:r>
      <w:r>
        <w:rPr>
          <w:rStyle w:val="InstructionsTabelleText"/>
          <w:rFonts w:ascii="Times New Roman" w:hAnsi="Times New Roman"/>
          <w:sz w:val="24"/>
        </w:rPr>
        <w:t>zneskov tveganju prilagojenih izpostavljenosti</w:t>
      </w:r>
      <w:r>
        <w:rPr>
          <w:rFonts w:ascii="Times New Roman" w:hAnsi="Times New Roman"/>
          <w:sz w:val="24"/>
        </w:rPr>
        <w:t xml:space="preserve"> za del svojih izpostavljenosti na podlagi pristopa IRB in uporablja nadzorniške LGD za izračun </w:t>
      </w:r>
      <w:r>
        <w:rPr>
          <w:rStyle w:val="InstructionsTabelleText"/>
          <w:rFonts w:ascii="Times New Roman" w:hAnsi="Times New Roman"/>
          <w:sz w:val="24"/>
        </w:rPr>
        <w:t>zneskov tveganju prilagojenih izpostavljenosti</w:t>
      </w:r>
      <w:r>
        <w:rPr>
          <w:rFonts w:ascii="Times New Roman" w:hAnsi="Times New Roman"/>
          <w:sz w:val="24"/>
        </w:rPr>
        <w:t xml:space="preserve"> za drugi del svojih izpostavljenosti na podlagi pristopa IRB, je treba izpolniti eno predlogo CR IRB </w:t>
      </w:r>
      <w:proofErr w:type="spellStart"/>
      <w:r>
        <w:rPr>
          <w:rFonts w:ascii="Times New Roman" w:hAnsi="Times New Roman"/>
          <w:sz w:val="24"/>
        </w:rPr>
        <w:t>Total</w:t>
      </w:r>
      <w:proofErr w:type="spellEnd"/>
      <w:r>
        <w:rPr>
          <w:rFonts w:ascii="Times New Roman" w:hAnsi="Times New Roman"/>
          <w:sz w:val="24"/>
        </w:rPr>
        <w:t xml:space="preserve"> za pozicije F-IRB in eno predlogo CR IRB </w:t>
      </w:r>
      <w:proofErr w:type="spellStart"/>
      <w:r>
        <w:rPr>
          <w:rFonts w:ascii="Times New Roman" w:hAnsi="Times New Roman"/>
          <w:sz w:val="24"/>
        </w:rPr>
        <w:t>Total</w:t>
      </w:r>
      <w:proofErr w:type="spellEnd"/>
      <w:r>
        <w:rPr>
          <w:rFonts w:ascii="Times New Roman" w:hAnsi="Times New Roman"/>
          <w:sz w:val="24"/>
        </w:rPr>
        <w:t xml:space="preserve"> za pozicije A-IRB.</w:t>
      </w:r>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266" w:name="_Toc262568037"/>
      <w:bookmarkStart w:id="267" w:name="_Toc264038435"/>
      <w:bookmarkStart w:id="268" w:name="_Toc295829865"/>
      <w:bookmarkStart w:id="269" w:name="_Toc308155142"/>
      <w:bookmarkStart w:id="270" w:name="_Toc310415028"/>
      <w:bookmarkStart w:id="271" w:name="_Toc360188359"/>
      <w:bookmarkStart w:id="272" w:name="_Toc516210643"/>
      <w:bookmarkStart w:id="273" w:name="_Toc473560908"/>
      <w:bookmarkStart w:id="274" w:name="_Toc523474392"/>
      <w:r>
        <w:rPr>
          <w:rFonts w:ascii="Times New Roman" w:hAnsi="Times New Roman"/>
          <w:sz w:val="24"/>
          <w:u w:val="none"/>
        </w:rPr>
        <w:t>3.3.2.</w:t>
      </w:r>
      <w:r w:rsidR="003F40E8" w:rsidRPr="003F40E8">
        <w:rPr>
          <w:u w:val="none"/>
        </w:rPr>
        <w:tab/>
      </w:r>
      <w:r>
        <w:rPr>
          <w:rFonts w:ascii="Times New Roman" w:hAnsi="Times New Roman"/>
          <w:sz w:val="24"/>
        </w:rPr>
        <w:t>Razčlenitev predloge CR IRB</w:t>
      </w:r>
      <w:bookmarkEnd w:id="266"/>
      <w:bookmarkEnd w:id="267"/>
      <w:bookmarkEnd w:id="268"/>
      <w:bookmarkEnd w:id="269"/>
      <w:bookmarkEnd w:id="270"/>
      <w:bookmarkEnd w:id="271"/>
      <w:bookmarkEnd w:id="272"/>
      <w:bookmarkEnd w:id="273"/>
      <w:bookmarkEnd w:id="274"/>
    </w:p>
    <w:p w:rsidR="001C7AB7" w:rsidRPr="00392FFD" w:rsidRDefault="00125707" w:rsidP="00C37B29">
      <w:pPr>
        <w:pStyle w:val="InstructionsText2"/>
        <w:numPr>
          <w:ilvl w:val="0"/>
          <w:numId w:val="0"/>
        </w:numPr>
        <w:ind w:left="993"/>
      </w:pPr>
      <w:r>
        <w:t>78.</w:t>
      </w:r>
      <w:r>
        <w:tab/>
        <w:t>CR IRB zajema dve predlogi. CR IRB 1 zagotavlja splošen pregled izposta</w:t>
      </w:r>
      <w:r>
        <w:t>v</w:t>
      </w:r>
      <w:r>
        <w:t xml:space="preserve">ljenosti IRB in različne metode za izračun zneskov skupne izpostavljenosti tveganju ter razčlenitev skupnih izpostavljenosti glede na vrste izpostavljenosti. CR IRB 2 zagotavlja razčlenitev skupnih izpostavljenosti, razvrščenih v bonitetne razrede dolžnikov ali skupine izpostavljenosti. Predlogi CR IRB 1 in CR IRB 2 se ločeno poročata za naslednje kategorije izpostavljenosti in </w:t>
      </w:r>
      <w:proofErr w:type="spellStart"/>
      <w:r>
        <w:t>podizpostavljenosti</w:t>
      </w:r>
      <w:proofErr w:type="spellEnd"/>
      <w:r>
        <w:t>:</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Skupaj</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 xml:space="preserve">(Predloga </w:t>
      </w:r>
      <w:proofErr w:type="spellStart"/>
      <w:r>
        <w:rPr>
          <w:rFonts w:ascii="Times New Roman" w:hAnsi="Times New Roman"/>
          <w:sz w:val="24"/>
        </w:rPr>
        <w:t>Total</w:t>
      </w:r>
      <w:proofErr w:type="spellEnd"/>
      <w:r>
        <w:rPr>
          <w:rFonts w:ascii="Times New Roman" w:hAnsi="Times New Roman"/>
          <w:sz w:val="24"/>
        </w:rPr>
        <w:t xml:space="preserve"> (Skupaj) se mora poročati za osnovni pristop IRB in ločeno za napredni pristop IRB.)</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Enote centralne ravni države in centralnih bank </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(Člen 147(2)(a) CRR.)</w:t>
      </w:r>
    </w:p>
    <w:p w:rsidR="001C7AB7" w:rsidRPr="0023700C"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Institucije</w:t>
      </w:r>
    </w:p>
    <w:p w:rsidR="001C7AB7" w:rsidRPr="0023700C"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(Člen 147(2)(b) CRR.)</w:t>
      </w:r>
    </w:p>
    <w:p w:rsidR="001C7AB7" w:rsidRPr="001C5CA8"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Izpostavljenosti do podjetij – MSP</w:t>
      </w:r>
    </w:p>
    <w:p w:rsidR="001C7AB7" w:rsidRPr="001C5CA8"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Člen 147(2)(c) CRR. </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Izpostavljenosti do podjetij – Posebni kreditni aranžmaji</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(člen 147(8) CRR)</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Izpostavljenosti do podjetij – Drugo </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(Vse izpostavljenosti do podjetij v skladu s členom 147(2)(c), ki niso sporoč</w:t>
      </w:r>
      <w:r>
        <w:rPr>
          <w:rFonts w:ascii="Times New Roman" w:hAnsi="Times New Roman"/>
          <w:sz w:val="24"/>
        </w:rPr>
        <w:t>e</w:t>
      </w:r>
      <w:r>
        <w:rPr>
          <w:rFonts w:ascii="Times New Roman" w:hAnsi="Times New Roman"/>
          <w:sz w:val="24"/>
        </w:rPr>
        <w:t>ne v postavkah 4.1 in 4.2.)</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Izpostavljenosti na drobno – Zavarovane z nepremičnino MSP</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(Izpostavljenosti, ki odražajo člen 147(2)(d) v povezavi s členom 154(3) CRR in so zavarovane z nepremičnino.)</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Izpostavljenosti na drobno – Zavarovane z nepremičnino podjetij, ki niso MSP</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lastRenderedPageBreak/>
        <w:t>(Izpostavljenosti, ki odražajo člen 147(2)(d) CRR, ki so zavarovane z neprem</w:t>
      </w:r>
      <w:r>
        <w:rPr>
          <w:rFonts w:ascii="Times New Roman" w:hAnsi="Times New Roman"/>
          <w:sz w:val="24"/>
        </w:rPr>
        <w:t>i</w:t>
      </w:r>
      <w:r>
        <w:rPr>
          <w:rFonts w:ascii="Times New Roman" w:hAnsi="Times New Roman"/>
          <w:sz w:val="24"/>
        </w:rPr>
        <w:t>čnino in niso sporočene v postavki 5.1.)</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Izpostavljenosti na drobno – Kvalificirane obnavljajoče se</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(Člen 147(2)(d) v povezavi s členom 154(4) CRR.) </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Izpostavljenosti na drobno – Druga MSP</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(Člen 147(2)(d), pri čemer izpostavljenosti niso sporočene v postavkah 5.1 in 5.3.)</w:t>
      </w:r>
    </w:p>
    <w:p w:rsidR="001C7AB7" w:rsidRPr="00392FFD"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Izpostavljenosti na drobno – Druga podjetja, ki niso MSP</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(Člen 147(2)(d) CRR, pri čemer izpostavljenosti niso sporočene v postavkah 5.2 in 5.3.)</w:t>
      </w:r>
    </w:p>
    <w:p w:rsidR="001C7AB7" w:rsidRPr="00392FFD" w:rsidRDefault="001C7AB7" w:rsidP="001C7AB7">
      <w:pPr>
        <w:autoSpaceDE w:val="0"/>
        <w:autoSpaceDN w:val="0"/>
        <w:adjustRightInd w:val="0"/>
        <w:spacing w:before="0" w:after="240"/>
        <w:jc w:val="left"/>
        <w:rPr>
          <w:rFonts w:ascii="Times New Roman" w:hAnsi="Times New Roman"/>
          <w:sz w:val="24"/>
        </w:rPr>
      </w:pPr>
    </w:p>
    <w:p w:rsidR="00206687" w:rsidRPr="00392FFD" w:rsidRDefault="00125707" w:rsidP="0023700C">
      <w:pPr>
        <w:pStyle w:val="Instructionsberschrift2"/>
        <w:numPr>
          <w:ilvl w:val="0"/>
          <w:numId w:val="0"/>
        </w:numPr>
        <w:ind w:left="357" w:hanging="357"/>
        <w:rPr>
          <w:rFonts w:ascii="Times New Roman" w:hAnsi="Times New Roman" w:cs="Times New Roman"/>
          <w:sz w:val="24"/>
        </w:rPr>
      </w:pPr>
      <w:bookmarkStart w:id="275" w:name="_Toc516210644"/>
      <w:bookmarkStart w:id="276" w:name="_Toc473560909"/>
      <w:bookmarkStart w:id="277" w:name="_Toc239157380"/>
      <w:bookmarkStart w:id="278" w:name="_Toc262568038"/>
      <w:bookmarkStart w:id="279" w:name="_Toc264038436"/>
      <w:bookmarkStart w:id="280" w:name="_Toc295829866"/>
      <w:bookmarkStart w:id="281" w:name="_Toc308155143"/>
      <w:bookmarkStart w:id="282" w:name="_Toc310415030"/>
      <w:bookmarkStart w:id="283" w:name="_Toc360188360"/>
      <w:bookmarkStart w:id="284" w:name="_Toc523474393"/>
      <w:r>
        <w:rPr>
          <w:rFonts w:ascii="Times New Roman" w:hAnsi="Times New Roman"/>
          <w:sz w:val="24"/>
          <w:u w:val="none"/>
        </w:rPr>
        <w:t>3.3.3.</w:t>
      </w:r>
      <w:r w:rsidR="003F40E8" w:rsidRPr="003F40E8">
        <w:rPr>
          <w:u w:val="none"/>
        </w:rPr>
        <w:tab/>
      </w:r>
      <w:r>
        <w:rPr>
          <w:rFonts w:ascii="Times New Roman" w:hAnsi="Times New Roman"/>
          <w:sz w:val="24"/>
        </w:rPr>
        <w:t>C 08.01 – Kreditno tveganje in kreditno tveganje nasprotne stranke ter proste izroči</w:t>
      </w:r>
      <w:r>
        <w:rPr>
          <w:rFonts w:ascii="Times New Roman" w:hAnsi="Times New Roman"/>
          <w:sz w:val="24"/>
        </w:rPr>
        <w:t>t</w:t>
      </w:r>
      <w:r>
        <w:rPr>
          <w:rFonts w:ascii="Times New Roman" w:hAnsi="Times New Roman"/>
          <w:sz w:val="24"/>
        </w:rPr>
        <w:t>ve: Pristop IRB h kapitalskim zahtevam (CR IRB 1)</w:t>
      </w:r>
      <w:bookmarkEnd w:id="275"/>
      <w:bookmarkEnd w:id="276"/>
      <w:bookmarkEnd w:id="284"/>
    </w:p>
    <w:p w:rsidR="001C7AB7" w:rsidRPr="00392FFD" w:rsidRDefault="00125707" w:rsidP="0023700C">
      <w:pPr>
        <w:pStyle w:val="Instructionsberschrift2"/>
        <w:numPr>
          <w:ilvl w:val="0"/>
          <w:numId w:val="0"/>
        </w:numPr>
        <w:ind w:left="709" w:hanging="720"/>
        <w:rPr>
          <w:rFonts w:ascii="Times New Roman" w:hAnsi="Times New Roman" w:cs="Times New Roman"/>
          <w:sz w:val="24"/>
        </w:rPr>
      </w:pPr>
      <w:bookmarkStart w:id="285" w:name="_Toc516210645"/>
      <w:bookmarkStart w:id="286" w:name="_Toc473560910"/>
      <w:bookmarkStart w:id="287" w:name="_Toc523474394"/>
      <w:r>
        <w:rPr>
          <w:rFonts w:ascii="Times New Roman" w:hAnsi="Times New Roman"/>
          <w:sz w:val="24"/>
          <w:u w:val="none"/>
        </w:rPr>
        <w:t>3.3.3.1.</w:t>
      </w:r>
      <w:r w:rsidR="003F40E8" w:rsidRPr="003F40E8">
        <w:rPr>
          <w:u w:val="none"/>
        </w:rPr>
        <w:tab/>
      </w:r>
      <w:r>
        <w:rPr>
          <w:rFonts w:ascii="Times New Roman" w:hAnsi="Times New Roman"/>
          <w:sz w:val="24"/>
        </w:rPr>
        <w:t>Navodila za posamezne pozicije</w:t>
      </w:r>
      <w:bookmarkEnd w:id="277"/>
      <w:bookmarkEnd w:id="278"/>
      <w:bookmarkEnd w:id="279"/>
      <w:bookmarkEnd w:id="280"/>
      <w:bookmarkEnd w:id="281"/>
      <w:bookmarkEnd w:id="282"/>
      <w:bookmarkEnd w:id="283"/>
      <w:bookmarkEnd w:id="285"/>
      <w:bookmarkEnd w:id="286"/>
      <w:bookmarkEnd w:id="28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392FFD" w:rsidTr="00672D2A">
        <w:tc>
          <w:tcPr>
            <w:tcW w:w="1188"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Stolpci</w:t>
            </w:r>
          </w:p>
        </w:tc>
        <w:tc>
          <w:tcPr>
            <w:tcW w:w="8843"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Navodila</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010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SISTEM NOTRANJIH BONITETNIH OCEN/VERJETNOST NEPLAČILA (PD), KI SE DODELI BONITETNEMU RAZREDU DOLŽNIKA ALI SKUPINI (%)</w:t>
            </w:r>
          </w:p>
          <w:p w:rsidR="001C7AB7" w:rsidRPr="00392FFD" w:rsidRDefault="001C7AB7" w:rsidP="001C7AB7">
            <w:pPr>
              <w:rPr>
                <w:rFonts w:ascii="Times New Roman" w:hAnsi="Times New Roman"/>
                <w:sz w:val="24"/>
              </w:rPr>
            </w:pPr>
            <w:r>
              <w:rPr>
                <w:rStyle w:val="InstructionsTabelleText"/>
                <w:rFonts w:ascii="Times New Roman" w:hAnsi="Times New Roman"/>
                <w:sz w:val="24"/>
              </w:rPr>
              <w:t>Verjetnost neplačila, ki se dodeli bonitetnemu razredu dolžnika ali skupini, ki se poroča, temelji na določbah iz člena 180 CRR. Za vsak posamezni bonitetni razred ali skupino se sporoči verjetnost neplačila, ki se dodeli posameznemu bonitetnemu razredu dolžnika ali skupini. Za vrednosti, ki ustrezajo seštevku bonitetnih razredov dolžnika ali skupin (npr. „skupne izpostavljenosti“), se zagotovi z izpostavljenostjo tehtano povprečje verjetnosti neplačila, ki se dodelijo bonitetnim razredom dolžnika ali skupinam, vključenim v sešt</w:t>
            </w:r>
            <w:r>
              <w:rPr>
                <w:rStyle w:val="InstructionsTabelleText"/>
                <w:rFonts w:ascii="Times New Roman" w:hAnsi="Times New Roman"/>
                <w:sz w:val="24"/>
              </w:rPr>
              <w:t>e</w:t>
            </w:r>
            <w:r>
              <w:rPr>
                <w:rStyle w:val="InstructionsTabelleText"/>
                <w:rFonts w:ascii="Times New Roman" w:hAnsi="Times New Roman"/>
                <w:sz w:val="24"/>
              </w:rPr>
              <w:t>vek. Vrednost izpostavljenosti (stolpec 110) se uporablja za izračun z izpostavljenostjo tehtanega povprečja verjetnosti neplačila</w:t>
            </w:r>
            <w:r>
              <w:rPr>
                <w:rFonts w:ascii="Times New Roman" w:hAnsi="Times New Roman"/>
                <w:sz w:val="24"/>
              </w:rPr>
              <w:t>.</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Za vsak posamezni bonitetni razred ali skupino se sporoči verjetnost neplačila, ki se dodeli posameznemu bonitetnemu razredu dolžnika ali skupini. Vsi poročani parametri tveganja temeljijo na parametrih tveganja, ki se uporabljajo v notranjem bonitetnem si</w:t>
            </w:r>
            <w:r>
              <w:rPr>
                <w:rStyle w:val="InstructionsTabelleText"/>
                <w:rFonts w:ascii="Times New Roman" w:hAnsi="Times New Roman"/>
                <w:sz w:val="24"/>
              </w:rPr>
              <w:t>s</w:t>
            </w:r>
            <w:r>
              <w:rPr>
                <w:rStyle w:val="InstructionsTabelleText"/>
                <w:rFonts w:ascii="Times New Roman" w:hAnsi="Times New Roman"/>
                <w:sz w:val="24"/>
              </w:rPr>
              <w:t>temu, ki ga odobri zadevni pristojni organ.</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Uporaba nadzorniške skupne bonitetne lestvice ni načrtovana niti zaželena. Če institucija poročevalka uporablja edinstven bonitetni sistem ali je zmožna poročati v skladu z notr</w:t>
            </w:r>
            <w:r>
              <w:rPr>
                <w:rStyle w:val="InstructionsTabelleText"/>
                <w:rFonts w:ascii="Times New Roman" w:hAnsi="Times New Roman"/>
                <w:sz w:val="24"/>
              </w:rPr>
              <w:t>a</w:t>
            </w:r>
            <w:r>
              <w:rPr>
                <w:rStyle w:val="InstructionsTabelleText"/>
                <w:rFonts w:ascii="Times New Roman" w:hAnsi="Times New Roman"/>
                <w:sz w:val="24"/>
              </w:rPr>
              <w:t xml:space="preserve">njo skupno bonitetno lestvico, se uporabi ta lestvica. </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Sicer se različni bonitetni sistemi združijo in navedejo v skladu z naslednjimi merili: bonitetni razredi dolžnika različnih bonitetnih sistemov se združijo in navedejo od nižje verjetnosti neplačila, dodeljene vsakemu bonitetnemu razredu dolžnika, do višje. Kadar institucija uporablja veliko število bonitetnih razredov ali skupin, se je mogoče s pristo</w:t>
            </w:r>
            <w:r>
              <w:rPr>
                <w:rStyle w:val="InstructionsTabelleText"/>
                <w:rFonts w:ascii="Times New Roman" w:hAnsi="Times New Roman"/>
                <w:sz w:val="24"/>
              </w:rPr>
              <w:t>j</w:t>
            </w:r>
            <w:r>
              <w:rPr>
                <w:rStyle w:val="InstructionsTabelleText"/>
                <w:rFonts w:ascii="Times New Roman" w:hAnsi="Times New Roman"/>
                <w:sz w:val="24"/>
              </w:rPr>
              <w:t>nimi organi dogovoriti za manjše število bonitetnih razredov ali skupin, ki jih je treba poročati.</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Institucije vnaprej obvestijo svoj pristojni organ, če želijo sporočiti drugačno število bonitetnih razredov v primerjavi z notranjim številom bonitetnih razredov.</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Za namene tehtanja povprečja verjetnosti neplačila se uporabi vrednost izpostavljenosti iz stolpca 110. Vse izpostavljenosti, vključno z neplačanimi izpostavljenostmi, se upoštev</w:t>
            </w:r>
            <w:r>
              <w:rPr>
                <w:rStyle w:val="InstructionsTabelleText"/>
                <w:rFonts w:ascii="Times New Roman" w:hAnsi="Times New Roman"/>
                <w:sz w:val="24"/>
              </w:rPr>
              <w:t>a</w:t>
            </w:r>
            <w:r>
              <w:rPr>
                <w:rStyle w:val="InstructionsTabelleText"/>
                <w:rFonts w:ascii="Times New Roman" w:hAnsi="Times New Roman"/>
                <w:sz w:val="24"/>
              </w:rPr>
              <w:t xml:space="preserve">jo za namen izračuna z izpostavljenostjo tehtanega povprečja verjetnosti neplačila (npr. </w:t>
            </w:r>
            <w:r>
              <w:rPr>
                <w:rStyle w:val="InstructionsTabelleText"/>
                <w:rFonts w:ascii="Times New Roman" w:hAnsi="Times New Roman"/>
                <w:sz w:val="24"/>
              </w:rPr>
              <w:lastRenderedPageBreak/>
              <w:t>za „skupni znesek izpostavljenosti“). Neplačane izpostavljenosti so izpostavljenosti, ki se dodelijo zadnjemu bonitetnemu razredu ali razredom z verjetnostjo neplačila 100 %.</w:t>
            </w:r>
          </w:p>
          <w:p w:rsidR="001C7AB7" w:rsidRPr="00392FFD" w:rsidRDefault="001C7AB7" w:rsidP="001C7AB7">
            <w:pPr>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020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ORIGINALNA IZPOSTAVLJENOST PRED UPORABO KONVERZIJSKIH FAKTORJEV</w:t>
            </w:r>
          </w:p>
          <w:p w:rsidR="001C7AB7" w:rsidRPr="00392FFD" w:rsidRDefault="001C7AB7" w:rsidP="001C7AB7">
            <w:pPr>
              <w:rPr>
                <w:rFonts w:ascii="Times New Roman" w:hAnsi="Times New Roman"/>
                <w:sz w:val="24"/>
              </w:rPr>
            </w:pPr>
            <w:r>
              <w:rPr>
                <w:rFonts w:ascii="Times New Roman" w:hAnsi="Times New Roman"/>
                <w:sz w:val="24"/>
              </w:rPr>
              <w:t>Institucije poročajo vrednost izpostavljenosti pred upoštevanjem vseh prilagoditev vre</w:t>
            </w:r>
            <w:r>
              <w:rPr>
                <w:rFonts w:ascii="Times New Roman" w:hAnsi="Times New Roman"/>
                <w:sz w:val="24"/>
              </w:rPr>
              <w:t>d</w:t>
            </w:r>
            <w:r>
              <w:rPr>
                <w:rFonts w:ascii="Times New Roman" w:hAnsi="Times New Roman"/>
                <w:sz w:val="24"/>
              </w:rPr>
              <w:t xml:space="preserve">nosti, rezervacij, učinkov zaradi tehnik za zmanjševanje kreditnega tveganja ali kreditnih konverzijskih faktorjev. </w:t>
            </w:r>
          </w:p>
          <w:p w:rsidR="001C7AB7" w:rsidRPr="00392FFD" w:rsidRDefault="001C7AB7" w:rsidP="001C7AB7">
            <w:pPr>
              <w:rPr>
                <w:rFonts w:ascii="Times New Roman" w:hAnsi="Times New Roman"/>
                <w:sz w:val="24"/>
              </w:rPr>
            </w:pPr>
            <w:r>
              <w:rPr>
                <w:rFonts w:ascii="Times New Roman" w:hAnsi="Times New Roman"/>
                <w:sz w:val="24"/>
              </w:rPr>
              <w:t>Vrednost originalne izpostavljenosti se sporoči v skladu s členom 24 CRR in členom 166(1) in (2) ter (4) do (7) CRR.</w:t>
            </w:r>
          </w:p>
          <w:p w:rsidR="001C7AB7" w:rsidRPr="00392FFD" w:rsidRDefault="001C7AB7" w:rsidP="001C7AB7">
            <w:pPr>
              <w:rPr>
                <w:rFonts w:ascii="Times New Roman" w:hAnsi="Times New Roman"/>
                <w:sz w:val="24"/>
              </w:rPr>
            </w:pPr>
            <w:r>
              <w:rPr>
                <w:rFonts w:ascii="Times New Roman" w:hAnsi="Times New Roman"/>
                <w:sz w:val="24"/>
              </w:rPr>
              <w:t>Učinek, ki izhaja iz člena 166(3) CRR (učinek na bilančni pobot kreditov in vlog), se navede ločeno kot stvarno kreditno zavarovanje in zato ne zmanjša originalne izposta</w:t>
            </w:r>
            <w:r>
              <w:rPr>
                <w:rFonts w:ascii="Times New Roman" w:hAnsi="Times New Roman"/>
                <w:sz w:val="24"/>
              </w:rPr>
              <w:t>v</w:t>
            </w:r>
            <w:r>
              <w:rPr>
                <w:rFonts w:ascii="Times New Roman" w:hAnsi="Times New Roman"/>
                <w:sz w:val="24"/>
              </w:rPr>
              <w:t xml:space="preserve">ljenosti. </w:t>
            </w:r>
          </w:p>
          <w:p w:rsidR="001C7AB7" w:rsidRPr="00392FFD" w:rsidRDefault="001C7AB7" w:rsidP="001C7AB7">
            <w:pPr>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030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OD TEGA: VELIKI SUBJEKTI FINANČNEGA SEKTORJA IN NEREGULIR</w:t>
            </w:r>
            <w:r>
              <w:rPr>
                <w:rFonts w:ascii="Times New Roman" w:hAnsi="Times New Roman"/>
                <w:b/>
                <w:sz w:val="24"/>
                <w:u w:val="single"/>
              </w:rPr>
              <w:t>A</w:t>
            </w:r>
            <w:r>
              <w:rPr>
                <w:rFonts w:ascii="Times New Roman" w:hAnsi="Times New Roman"/>
                <w:b/>
                <w:sz w:val="24"/>
                <w:u w:val="single"/>
              </w:rPr>
              <w:t>NI FINANČNI SUBJEKTI</w:t>
            </w:r>
          </w:p>
          <w:p w:rsidR="001C7AB7" w:rsidRPr="00392FFD" w:rsidRDefault="001C7AB7" w:rsidP="001C7AB7">
            <w:pPr>
              <w:rPr>
                <w:rFonts w:ascii="Times New Roman" w:hAnsi="Times New Roman"/>
                <w:b/>
                <w:sz w:val="24"/>
                <w:u w:val="single"/>
              </w:rPr>
            </w:pPr>
            <w:r>
              <w:rPr>
                <w:rFonts w:ascii="Times New Roman" w:hAnsi="Times New Roman"/>
                <w:sz w:val="24"/>
              </w:rPr>
              <w:t xml:space="preserve">Razčlenitev originalne izpostavljenosti pred uporabo </w:t>
            </w:r>
            <w:proofErr w:type="spellStart"/>
            <w:r>
              <w:rPr>
                <w:rFonts w:ascii="Times New Roman" w:hAnsi="Times New Roman"/>
                <w:sz w:val="24"/>
              </w:rPr>
              <w:t>konverzijskega</w:t>
            </w:r>
            <w:proofErr w:type="spellEnd"/>
            <w:r>
              <w:rPr>
                <w:rFonts w:ascii="Times New Roman" w:hAnsi="Times New Roman"/>
                <w:sz w:val="24"/>
              </w:rPr>
              <w:t xml:space="preserve"> faktorja za vse izp</w:t>
            </w:r>
            <w:r>
              <w:rPr>
                <w:rFonts w:ascii="Times New Roman" w:hAnsi="Times New Roman"/>
                <w:sz w:val="24"/>
              </w:rPr>
              <w:t>o</w:t>
            </w:r>
            <w:r>
              <w:rPr>
                <w:rFonts w:ascii="Times New Roman" w:hAnsi="Times New Roman"/>
                <w:sz w:val="24"/>
              </w:rPr>
              <w:t>stavljenosti, kot je opredeljeno v skladu s členom 142(4) in (5) CRR zaradi večje korel</w:t>
            </w:r>
            <w:r>
              <w:rPr>
                <w:rFonts w:ascii="Times New Roman" w:hAnsi="Times New Roman"/>
                <w:sz w:val="24"/>
              </w:rPr>
              <w:t>a</w:t>
            </w:r>
            <w:r>
              <w:rPr>
                <w:rFonts w:ascii="Times New Roman" w:hAnsi="Times New Roman"/>
                <w:sz w:val="24"/>
              </w:rPr>
              <w:t>cije v skladu s členom 153(2) CRR.</w:t>
            </w:r>
          </w:p>
        </w:tc>
      </w:tr>
      <w:tr w:rsidR="001C7AB7" w:rsidRPr="00392FFD" w:rsidTr="00672D2A">
        <w:tc>
          <w:tcPr>
            <w:tcW w:w="1188" w:type="dxa"/>
          </w:tcPr>
          <w:p w:rsidR="001C7AB7" w:rsidRPr="00392FFD" w:rsidRDefault="001C7AB7" w:rsidP="004F2B30">
            <w:pPr>
              <w:rPr>
                <w:rFonts w:ascii="Times New Roman" w:hAnsi="Times New Roman"/>
                <w:sz w:val="24"/>
              </w:rPr>
            </w:pPr>
            <w:r>
              <w:rPr>
                <w:rFonts w:ascii="Times New Roman" w:hAnsi="Times New Roman"/>
                <w:sz w:val="24"/>
              </w:rPr>
              <w:t>040–080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TEHNIKE ZA ZMANJŠEVANJE KREDITNEGA TVEGANJA (CRM) Z UČINKI ZAMENJAVE NA IZPOSTAVLJENOST</w:t>
            </w:r>
          </w:p>
          <w:p w:rsidR="001C7AB7" w:rsidRPr="00392FFD" w:rsidRDefault="001C7AB7" w:rsidP="001C7AB7">
            <w:pPr>
              <w:rPr>
                <w:rFonts w:ascii="Times New Roman" w:hAnsi="Times New Roman"/>
                <w:sz w:val="24"/>
              </w:rPr>
            </w:pPr>
            <w:r>
              <w:rPr>
                <w:rFonts w:ascii="Times New Roman" w:hAnsi="Times New Roman"/>
                <w:sz w:val="24"/>
              </w:rPr>
              <w:t>Tehnike za zmanjševanje kreditnega tveganja iz člena 4(57) CRR, ki zmanjšujejo kredi</w:t>
            </w:r>
            <w:r>
              <w:rPr>
                <w:rFonts w:ascii="Times New Roman" w:hAnsi="Times New Roman"/>
                <w:sz w:val="24"/>
              </w:rPr>
              <w:t>t</w:t>
            </w:r>
            <w:r>
              <w:rPr>
                <w:rFonts w:ascii="Times New Roman" w:hAnsi="Times New Roman"/>
                <w:sz w:val="24"/>
              </w:rPr>
              <w:t>no tveganje izpostavljenosti prek zamenjave izpostavljenosti, kot je opredeljeno spodaj v okviru polja „ZAMENJAVA IZPOSTAVLJENOSTI ZARADI ZMANJŠEVANJA KREDITNEGA TVEGANJA“.</w:t>
            </w:r>
          </w:p>
          <w:p w:rsidR="001C7AB7" w:rsidRPr="00392FFD" w:rsidRDefault="001C7AB7" w:rsidP="001C7AB7">
            <w:pPr>
              <w:autoSpaceDE w:val="0"/>
              <w:autoSpaceDN w:val="0"/>
              <w:adjustRightInd w:val="0"/>
              <w:spacing w:before="0" w:after="0"/>
              <w:jc w:val="left"/>
              <w:rPr>
                <w:rFonts w:ascii="Times New Roman" w:hAnsi="Times New Roman"/>
                <w:sz w:val="24"/>
              </w:rPr>
            </w:pPr>
          </w:p>
        </w:tc>
      </w:tr>
      <w:tr w:rsidR="001C7AB7" w:rsidRPr="00392FFD" w:rsidTr="00672D2A">
        <w:tc>
          <w:tcPr>
            <w:tcW w:w="1188" w:type="dxa"/>
          </w:tcPr>
          <w:p w:rsidR="001C7AB7" w:rsidRPr="00392FFD" w:rsidRDefault="001C7AB7" w:rsidP="004F2B30">
            <w:pPr>
              <w:rPr>
                <w:rFonts w:ascii="Times New Roman" w:hAnsi="Times New Roman"/>
                <w:sz w:val="24"/>
              </w:rPr>
            </w:pPr>
            <w:r>
              <w:rPr>
                <w:rFonts w:ascii="Times New Roman" w:hAnsi="Times New Roman"/>
                <w:sz w:val="24"/>
              </w:rPr>
              <w:t>040–050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OSEBNO KREDITNO ZAVAROVANJE</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Osebno kreditno zavarovanje: vrednosti, kot so opredeljene v členu 4(59) CRR.</w:t>
            </w:r>
          </w:p>
          <w:p w:rsidR="001C7AB7" w:rsidRPr="00392FFD" w:rsidRDefault="001C7AB7" w:rsidP="001C7AB7">
            <w:pPr>
              <w:rPr>
                <w:rFonts w:ascii="Times New Roman" w:hAnsi="Times New Roman"/>
                <w:sz w:val="24"/>
              </w:rPr>
            </w:pPr>
            <w:r>
              <w:rPr>
                <w:rFonts w:ascii="Times New Roman" w:hAnsi="Times New Roman"/>
                <w:sz w:val="24"/>
              </w:rPr>
              <w:t>Če ima zavarovanje učinek na izpostavljenost (npr. če se uporablja za tehnike za zman</w:t>
            </w:r>
            <w:r>
              <w:rPr>
                <w:rFonts w:ascii="Times New Roman" w:hAnsi="Times New Roman"/>
                <w:sz w:val="24"/>
              </w:rPr>
              <w:t>j</w:t>
            </w:r>
            <w:r>
              <w:rPr>
                <w:rFonts w:ascii="Times New Roman" w:hAnsi="Times New Roman"/>
                <w:sz w:val="24"/>
              </w:rPr>
              <w:t>ševanje kreditnega tveganja z učinki zamenjave na izpostavljenost), se omeji na vrednost izpostavljenosti.</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040</w:t>
            </w:r>
          </w:p>
        </w:tc>
        <w:tc>
          <w:tcPr>
            <w:tcW w:w="8843" w:type="dxa"/>
          </w:tcPr>
          <w:p w:rsidR="001C7AB7" w:rsidRPr="00392FFD"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JAMSTVA:</w:t>
            </w:r>
          </w:p>
          <w:p w:rsidR="001C7AB7" w:rsidRPr="00392FFD" w:rsidRDefault="001C7AB7" w:rsidP="001C7AB7">
            <w:pPr>
              <w:jc w:val="left"/>
              <w:rPr>
                <w:rFonts w:ascii="Times New Roman" w:hAnsi="Times New Roman"/>
                <w:sz w:val="24"/>
              </w:rPr>
            </w:pPr>
            <w:r>
              <w:rPr>
                <w:rFonts w:ascii="Times New Roman" w:hAnsi="Times New Roman"/>
                <w:sz w:val="24"/>
              </w:rPr>
              <w:t>Kadar se lastne ocene LGD ne uporabljajo: zagotovi se prilagojena vrednost (Ga), opr</w:t>
            </w:r>
            <w:r>
              <w:rPr>
                <w:rFonts w:ascii="Times New Roman" w:hAnsi="Times New Roman"/>
                <w:sz w:val="24"/>
              </w:rPr>
              <w:t>e</w:t>
            </w:r>
            <w:r>
              <w:rPr>
                <w:rFonts w:ascii="Times New Roman" w:hAnsi="Times New Roman"/>
                <w:sz w:val="24"/>
              </w:rPr>
              <w:t>deljena v členu 236 CRR.</w:t>
            </w:r>
          </w:p>
          <w:p w:rsidR="001C7AB7" w:rsidRPr="00392FFD" w:rsidRDefault="001C7AB7" w:rsidP="001C7AB7">
            <w:pPr>
              <w:jc w:val="left"/>
              <w:rPr>
                <w:rFonts w:ascii="Times New Roman" w:hAnsi="Times New Roman"/>
                <w:sz w:val="24"/>
              </w:rPr>
            </w:pPr>
            <w:r>
              <w:rPr>
                <w:rFonts w:ascii="Times New Roman" w:hAnsi="Times New Roman"/>
                <w:sz w:val="24"/>
              </w:rPr>
              <w:t xml:space="preserve">Kadar se uporabljajo lastne ocene LGD (člen 183 CRR razen odstavka 3), se poroča ustrezna vrednost, uporabljena v notranjem modelu. </w:t>
            </w:r>
          </w:p>
          <w:p w:rsidR="001C7AB7" w:rsidRPr="00392FFD" w:rsidRDefault="001C7AB7" w:rsidP="001C7AB7">
            <w:pPr>
              <w:jc w:val="left"/>
              <w:rPr>
                <w:rFonts w:ascii="Times New Roman" w:hAnsi="Times New Roman"/>
                <w:sz w:val="24"/>
              </w:rPr>
            </w:pPr>
            <w:r>
              <w:rPr>
                <w:rFonts w:ascii="Times New Roman" w:hAnsi="Times New Roman"/>
                <w:sz w:val="24"/>
              </w:rPr>
              <w:t>Kadar se LGD ne prilagodi, se jamstva poročajo v stolpcu 040. Kadar se LGD prilagodi, se znesek jamstva sporoči v stolpcu 150.</w:t>
            </w:r>
          </w:p>
          <w:p w:rsidR="00785F3E" w:rsidRPr="00392FFD" w:rsidRDefault="00785F3E" w:rsidP="001C7AB7">
            <w:pPr>
              <w:jc w:val="left"/>
              <w:rPr>
                <w:rFonts w:ascii="Times New Roman" w:hAnsi="Times New Roman"/>
                <w:sz w:val="24"/>
              </w:rPr>
            </w:pPr>
            <w:r>
              <w:rPr>
                <w:rFonts w:ascii="Times New Roman" w:hAnsi="Times New Roman"/>
                <w:sz w:val="24"/>
              </w:rPr>
              <w:t xml:space="preserve">V zvezi z izpostavljenostmi, ki so predmet obravnave dvojnega neplačila, se vrednost </w:t>
            </w:r>
            <w:r>
              <w:rPr>
                <w:rFonts w:ascii="Times New Roman" w:hAnsi="Times New Roman"/>
                <w:sz w:val="24"/>
              </w:rPr>
              <w:lastRenderedPageBreak/>
              <w:t>osebnega kreditnega zavarovanja ponovno sporoči v stolpcu 220.</w:t>
            </w:r>
          </w:p>
          <w:p w:rsidR="001C7AB7" w:rsidRPr="00392FFD" w:rsidRDefault="001C7AB7" w:rsidP="001C7AB7">
            <w:pPr>
              <w:jc w:val="left"/>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050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KREDITNI IZVEDENI FINANČNI INSTRUMENTI:</w:t>
            </w:r>
          </w:p>
          <w:p w:rsidR="001C7AB7" w:rsidRPr="00392FFD" w:rsidRDefault="001C7AB7" w:rsidP="001C7AB7">
            <w:pPr>
              <w:rPr>
                <w:rFonts w:ascii="Times New Roman" w:hAnsi="Times New Roman"/>
                <w:sz w:val="24"/>
              </w:rPr>
            </w:pPr>
            <w:r>
              <w:rPr>
                <w:rFonts w:ascii="Times New Roman" w:hAnsi="Times New Roman"/>
                <w:sz w:val="24"/>
              </w:rPr>
              <w:t>Kadar se lastne ocene LGD ne uporabljajo: zagotovi se prilagojena vrednost (Ga), opr</w:t>
            </w:r>
            <w:r>
              <w:rPr>
                <w:rFonts w:ascii="Times New Roman" w:hAnsi="Times New Roman"/>
                <w:sz w:val="24"/>
              </w:rPr>
              <w:t>e</w:t>
            </w:r>
            <w:r>
              <w:rPr>
                <w:rFonts w:ascii="Times New Roman" w:hAnsi="Times New Roman"/>
                <w:sz w:val="24"/>
              </w:rPr>
              <w:t>deljena v členu 216 CRR.</w:t>
            </w:r>
          </w:p>
          <w:p w:rsidR="00785F3E" w:rsidRPr="00392FFD" w:rsidRDefault="00785F3E" w:rsidP="001C7AB7">
            <w:pPr>
              <w:rPr>
                <w:rFonts w:ascii="Times New Roman" w:hAnsi="Times New Roman"/>
                <w:sz w:val="24"/>
              </w:rPr>
            </w:pPr>
            <w:r>
              <w:rPr>
                <w:rFonts w:ascii="Times New Roman" w:hAnsi="Times New Roman"/>
                <w:sz w:val="24"/>
              </w:rPr>
              <w:t>Kadar se uporabljajo lastne ocene LGD (člen 183 CRR), se poroča ustrezna vrednost, uporabljena pri notranjem modeliranju.</w:t>
            </w:r>
          </w:p>
          <w:p w:rsidR="001C7AB7" w:rsidRPr="00392FFD" w:rsidRDefault="001C7AB7" w:rsidP="001C7AB7">
            <w:pPr>
              <w:rPr>
                <w:rFonts w:ascii="Times New Roman" w:hAnsi="Times New Roman"/>
                <w:sz w:val="24"/>
              </w:rPr>
            </w:pPr>
            <w:r>
              <w:rPr>
                <w:rFonts w:ascii="Times New Roman" w:hAnsi="Times New Roman"/>
                <w:sz w:val="24"/>
              </w:rPr>
              <w:t>Kadar se LGD prilagodi, se znesek kreditnih izvedenih finančnih instrumentov sporoči v stolpcu 160.</w:t>
            </w:r>
          </w:p>
          <w:p w:rsidR="001C7AB7" w:rsidRPr="00392FFD" w:rsidRDefault="001C7AB7" w:rsidP="00785F3E">
            <w:pPr>
              <w:jc w:val="left"/>
              <w:rPr>
                <w:rFonts w:ascii="Times New Roman" w:hAnsi="Times New Roman"/>
                <w:sz w:val="24"/>
              </w:rPr>
            </w:pPr>
            <w:r>
              <w:rPr>
                <w:rFonts w:ascii="Times New Roman" w:hAnsi="Times New Roman"/>
                <w:sz w:val="24"/>
              </w:rPr>
              <w:t>V zvezi z izpostavljenostmi, ki so predmet obravnave dvojnega neplačila, se vrednost osebnega kreditnega zavarovanja sporoči v stolpcu 220.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060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DRUGO STVARNO KREDITNO ZAVAROVANJE</w:t>
            </w:r>
          </w:p>
          <w:p w:rsidR="00785F3E" w:rsidRPr="00392FFD" w:rsidRDefault="00785F3E" w:rsidP="001C7AB7">
            <w:pPr>
              <w:rPr>
                <w:rStyle w:val="InstructionsTabelleText"/>
                <w:rFonts w:ascii="Times New Roman" w:hAnsi="Times New Roman"/>
                <w:sz w:val="24"/>
              </w:rPr>
            </w:pPr>
            <w:r>
              <w:rPr>
                <w:rStyle w:val="InstructionsTabelleText"/>
                <w:rFonts w:ascii="Times New Roman" w:hAnsi="Times New Roman"/>
                <w:sz w:val="24"/>
              </w:rPr>
              <w:t>Če ima zavarovanje učinek na izpostavljenost (npr. če se uporablja za tehnike za zman</w:t>
            </w:r>
            <w:r>
              <w:rPr>
                <w:rStyle w:val="InstructionsTabelleText"/>
                <w:rFonts w:ascii="Times New Roman" w:hAnsi="Times New Roman"/>
                <w:sz w:val="24"/>
              </w:rPr>
              <w:t>j</w:t>
            </w:r>
            <w:r>
              <w:rPr>
                <w:rStyle w:val="InstructionsTabelleText"/>
                <w:rFonts w:ascii="Times New Roman" w:hAnsi="Times New Roman"/>
                <w:sz w:val="24"/>
              </w:rPr>
              <w:t>ševanje kreditnega tveganja z učinki zamenjave na izpostavljenost), se omeji na vrednost izpostavljenosti.</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Kadar se lastne ocene LGD ne uporabljajo, se uporablja člen 232 CRR.</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Kadar se uporabljajo lastne ocene LGD, se poročajo zmanjšanja kreditnega tveganja, ki izpolnjujejo merila iz člena 212 CRR. Sporoči se ustrezna vrednost, uporabljena v no</w:t>
            </w:r>
            <w:r>
              <w:rPr>
                <w:rStyle w:val="InstructionsTabelleText"/>
                <w:rFonts w:ascii="Times New Roman" w:hAnsi="Times New Roman"/>
                <w:sz w:val="24"/>
              </w:rPr>
              <w:t>t</w:t>
            </w:r>
            <w:r>
              <w:rPr>
                <w:rStyle w:val="InstructionsTabelleText"/>
                <w:rFonts w:ascii="Times New Roman" w:hAnsi="Times New Roman"/>
                <w:sz w:val="24"/>
              </w:rPr>
              <w:t>ranjem modelu.</w:t>
            </w:r>
          </w:p>
          <w:p w:rsidR="001C7AB7" w:rsidRPr="00392FFD" w:rsidRDefault="001C7AB7" w:rsidP="001C7AB7">
            <w:pPr>
              <w:rPr>
                <w:rFonts w:ascii="Times New Roman" w:hAnsi="Times New Roman"/>
                <w:sz w:val="24"/>
              </w:rPr>
            </w:pPr>
            <w:r>
              <w:rPr>
                <w:rStyle w:val="InstructionsTabelleText"/>
                <w:rFonts w:ascii="Times New Roman" w:hAnsi="Times New Roman"/>
                <w:sz w:val="24"/>
              </w:rPr>
              <w:t>Kadar se LGD ne prilagodi, se znesek sporoči v stolpcu 060. Kadar se LGD prilagodi, se znesek sporoči v stolpcu 170.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070–080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ZAMENJAVA IZPOSTAVLJENOSTI ZARADI ZMANJŠEVANJA KREDITN</w:t>
            </w:r>
            <w:r>
              <w:rPr>
                <w:rFonts w:ascii="Times New Roman" w:hAnsi="Times New Roman"/>
                <w:b/>
                <w:sz w:val="24"/>
                <w:u w:val="single"/>
              </w:rPr>
              <w:t>E</w:t>
            </w:r>
            <w:r>
              <w:rPr>
                <w:rFonts w:ascii="Times New Roman" w:hAnsi="Times New Roman"/>
                <w:b/>
                <w:sz w:val="24"/>
                <w:u w:val="single"/>
              </w:rPr>
              <w:t>GA TVEGANJA</w:t>
            </w:r>
          </w:p>
          <w:p w:rsidR="001C7AB7" w:rsidRPr="00392FFD" w:rsidRDefault="001C7AB7" w:rsidP="001C7AB7">
            <w:pPr>
              <w:rPr>
                <w:rFonts w:ascii="Times New Roman" w:hAnsi="Times New Roman"/>
                <w:sz w:val="24"/>
              </w:rPr>
            </w:pPr>
            <w:r>
              <w:rPr>
                <w:rFonts w:ascii="Times New Roman" w:hAnsi="Times New Roman"/>
                <w:sz w:val="24"/>
              </w:rPr>
              <w:t>Odlivi ustrezajo zavarovanemu delu originalne izpostavljenosti pred uporabo konverzi</w:t>
            </w:r>
            <w:r>
              <w:rPr>
                <w:rFonts w:ascii="Times New Roman" w:hAnsi="Times New Roman"/>
                <w:sz w:val="24"/>
              </w:rPr>
              <w:t>j</w:t>
            </w:r>
            <w:r>
              <w:rPr>
                <w:rFonts w:ascii="Times New Roman" w:hAnsi="Times New Roman"/>
                <w:sz w:val="24"/>
              </w:rPr>
              <w:t>skih faktorjev, ki se odbije od kategorije izpostavljenosti dolžnika in po potrebi od bon</w:t>
            </w:r>
            <w:r>
              <w:rPr>
                <w:rFonts w:ascii="Times New Roman" w:hAnsi="Times New Roman"/>
                <w:sz w:val="24"/>
              </w:rPr>
              <w:t>i</w:t>
            </w:r>
            <w:r>
              <w:rPr>
                <w:rFonts w:ascii="Times New Roman" w:hAnsi="Times New Roman"/>
                <w:sz w:val="24"/>
              </w:rPr>
              <w:t>tetnega razreda dolžnika ali skupine ter nato razvrsti v kategorijo izpostavljenosti dajalca zavarovanja in po potrebi v bonitetni razred dolžnika ali skupino. Ta znesek se obravnava kot priliv v kategorijo izpostavljenosti dajalca zavarovanja, po potrebi pa tudi v bonitetne razrede dolžnika ali skupine.</w:t>
            </w:r>
          </w:p>
          <w:p w:rsidR="001C7AB7" w:rsidRPr="00392FFD" w:rsidRDefault="001C7AB7" w:rsidP="001C7AB7">
            <w:pPr>
              <w:rPr>
                <w:rFonts w:ascii="Times New Roman" w:hAnsi="Times New Roman"/>
                <w:b/>
                <w:sz w:val="24"/>
              </w:rPr>
            </w:pPr>
            <w:r>
              <w:rPr>
                <w:rFonts w:ascii="Times New Roman" w:hAnsi="Times New Roman"/>
                <w:sz w:val="24"/>
              </w:rPr>
              <w:t>Upoštevajo se tudi prilivi in odlivi v okviru iste kategorije izpostavljenosti, po potrebi pa tudi bonitetnih razredov dolžnika ali skupin.</w:t>
            </w:r>
          </w:p>
          <w:p w:rsidR="001C7AB7" w:rsidRPr="00392FFD" w:rsidRDefault="001C7AB7" w:rsidP="001C7AB7">
            <w:pPr>
              <w:rPr>
                <w:rFonts w:ascii="Times New Roman" w:hAnsi="Times New Roman"/>
                <w:sz w:val="24"/>
              </w:rPr>
            </w:pPr>
            <w:r>
              <w:rPr>
                <w:rFonts w:ascii="Times New Roman" w:hAnsi="Times New Roman"/>
                <w:sz w:val="24"/>
              </w:rPr>
              <w:t>Upoštevajo se izpostavljenosti, ki izhajajo iz možnih prilivov v druge predloge in odlivov iz drugih predlog.</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090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IZPOSTAVLJENOST PO UČINKIH ZAMENJAVE ZARADI ZMANJŠEVANJA KREDITNEGA TVEGANJA PRED UPORABO KONVERZIJSKIH FAKTORJEV</w:t>
            </w:r>
          </w:p>
          <w:p w:rsidR="001C7AB7" w:rsidRPr="00392FFD" w:rsidRDefault="001C7AB7" w:rsidP="001C7AB7">
            <w:pPr>
              <w:rPr>
                <w:rFonts w:ascii="Times New Roman" w:hAnsi="Times New Roman"/>
                <w:sz w:val="24"/>
              </w:rPr>
            </w:pPr>
            <w:r>
              <w:rPr>
                <w:rFonts w:ascii="Times New Roman" w:hAnsi="Times New Roman"/>
                <w:sz w:val="24"/>
              </w:rPr>
              <w:t>Izpostavljenost, ki se dodeli v ustrezni bonitetni razred dolžnika ali skupino in kategorijo izpostavljenosti po upoštevanju odlivov in prilivov zaradi tehnik CRM z učinki zamenj</w:t>
            </w:r>
            <w:r>
              <w:rPr>
                <w:rFonts w:ascii="Times New Roman" w:hAnsi="Times New Roman"/>
                <w:sz w:val="24"/>
              </w:rPr>
              <w:t>a</w:t>
            </w:r>
            <w:r>
              <w:rPr>
                <w:rFonts w:ascii="Times New Roman" w:hAnsi="Times New Roman"/>
                <w:sz w:val="24"/>
              </w:rPr>
              <w:t>ve na izpostavljenost.</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100, 120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Od tega: zunajbilančne postavke </w:t>
            </w:r>
          </w:p>
          <w:p w:rsidR="001C7AB7" w:rsidRPr="00392FFD" w:rsidRDefault="001C7AB7" w:rsidP="001C7AB7">
            <w:pPr>
              <w:rPr>
                <w:rFonts w:ascii="Times New Roman" w:hAnsi="Times New Roman"/>
                <w:sz w:val="24"/>
              </w:rPr>
            </w:pPr>
            <w:r>
              <w:rPr>
                <w:rFonts w:ascii="Times New Roman" w:hAnsi="Times New Roman"/>
                <w:sz w:val="24"/>
              </w:rPr>
              <w:lastRenderedPageBreak/>
              <w:t>Glej navodila za predlogo CR SA.</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110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VREDNOST IZPOSTAVLJENOSTI</w:t>
            </w:r>
          </w:p>
          <w:p w:rsidR="001C7AB7" w:rsidRPr="00392FFD" w:rsidRDefault="001C7AB7" w:rsidP="001C7AB7">
            <w:pPr>
              <w:rPr>
                <w:rFonts w:ascii="Times New Roman" w:hAnsi="Times New Roman"/>
                <w:sz w:val="24"/>
              </w:rPr>
            </w:pPr>
            <w:r>
              <w:rPr>
                <w:rFonts w:ascii="Times New Roman" w:hAnsi="Times New Roman"/>
                <w:sz w:val="24"/>
              </w:rPr>
              <w:t>Poroča se vrednost v skladu s členom 166 CRR in drugim stavkom člena 230(1) CRR.</w:t>
            </w:r>
          </w:p>
          <w:p w:rsidR="001C7AB7" w:rsidRPr="00392FFD" w:rsidRDefault="001C7AB7" w:rsidP="001C7AB7">
            <w:pPr>
              <w:rPr>
                <w:rFonts w:ascii="Times New Roman" w:hAnsi="Times New Roman"/>
                <w:sz w:val="24"/>
              </w:rPr>
            </w:pPr>
            <w:r>
              <w:rPr>
                <w:rFonts w:ascii="Times New Roman" w:hAnsi="Times New Roman"/>
                <w:sz w:val="24"/>
              </w:rPr>
              <w:t xml:space="preserve">Za instrumente iz Priloge I se uporabljajo kreditni </w:t>
            </w:r>
            <w:proofErr w:type="spellStart"/>
            <w:r>
              <w:rPr>
                <w:rFonts w:ascii="Times New Roman" w:hAnsi="Times New Roman"/>
                <w:sz w:val="24"/>
              </w:rPr>
              <w:t>konverzijski</w:t>
            </w:r>
            <w:proofErr w:type="spellEnd"/>
            <w:r>
              <w:rPr>
                <w:rFonts w:ascii="Times New Roman" w:hAnsi="Times New Roman"/>
                <w:sz w:val="24"/>
              </w:rPr>
              <w:t xml:space="preserve"> faktorji (člen 166(8) do (10) CRR) ne glede na pristop, ki ga institucija izbere. </w:t>
            </w:r>
          </w:p>
          <w:p w:rsidR="001C7AB7" w:rsidRPr="00392FFD" w:rsidRDefault="001C7AB7" w:rsidP="001C7AB7">
            <w:pPr>
              <w:rPr>
                <w:rFonts w:ascii="Times New Roman" w:hAnsi="Times New Roman"/>
                <w:sz w:val="24"/>
              </w:rPr>
            </w:pPr>
            <w:r>
              <w:rPr>
                <w:rStyle w:val="InstructionsTabelleText"/>
                <w:rFonts w:ascii="Times New Roman" w:hAnsi="Times New Roman"/>
                <w:sz w:val="24"/>
              </w:rPr>
              <w:t>Za vrstice 040–060 (posli financiranja z vrednostnimi papirji, izvedeni finančni instr</w:t>
            </w:r>
            <w:r>
              <w:rPr>
                <w:rStyle w:val="InstructionsTabelleText"/>
                <w:rFonts w:ascii="Times New Roman" w:hAnsi="Times New Roman"/>
                <w:sz w:val="24"/>
              </w:rPr>
              <w:t>u</w:t>
            </w:r>
            <w:r>
              <w:rPr>
                <w:rStyle w:val="InstructionsTabelleText"/>
                <w:rFonts w:ascii="Times New Roman" w:hAnsi="Times New Roman"/>
                <w:sz w:val="24"/>
              </w:rPr>
              <w:t>menti in posli z dolgim rokom poravnave ter izpostavljenosti iz pobota med različnimi kategorijami produktov), za katere se uporablja poglavje 6 naslova II dela 3 CRR, je vr</w:t>
            </w:r>
            <w:r>
              <w:rPr>
                <w:rStyle w:val="InstructionsTabelleText"/>
                <w:rFonts w:ascii="Times New Roman" w:hAnsi="Times New Roman"/>
                <w:sz w:val="24"/>
              </w:rPr>
              <w:t>e</w:t>
            </w:r>
            <w:r>
              <w:rPr>
                <w:rStyle w:val="InstructionsTabelleText"/>
                <w:rFonts w:ascii="Times New Roman" w:hAnsi="Times New Roman"/>
                <w:sz w:val="24"/>
              </w:rPr>
              <w:t>dnost izpostavljenosti enaka kot vrednost za kreditno tveganje nasprotne stranke, izrač</w:t>
            </w:r>
            <w:r>
              <w:rPr>
                <w:rStyle w:val="InstructionsTabelleText"/>
                <w:rFonts w:ascii="Times New Roman" w:hAnsi="Times New Roman"/>
                <w:sz w:val="24"/>
              </w:rPr>
              <w:t>u</w:t>
            </w:r>
            <w:r>
              <w:rPr>
                <w:rStyle w:val="InstructionsTabelleText"/>
                <w:rFonts w:ascii="Times New Roman" w:hAnsi="Times New Roman"/>
                <w:sz w:val="24"/>
              </w:rPr>
              <w:t>nana v skladu z metodami iz oddelkov 3, 4, 5, 6 in 7 poglavja 6 naslova II dela 3 CRR. Te vrednosti se poročajo v tem stolpcu in ne v stolpcu 130 „Od tega: iz naslova kreditn</w:t>
            </w:r>
            <w:r>
              <w:rPr>
                <w:rStyle w:val="InstructionsTabelleText"/>
                <w:rFonts w:ascii="Times New Roman" w:hAnsi="Times New Roman"/>
                <w:sz w:val="24"/>
              </w:rPr>
              <w:t>e</w:t>
            </w:r>
            <w:r>
              <w:rPr>
                <w:rStyle w:val="InstructionsTabelleText"/>
                <w:rFonts w:ascii="Times New Roman" w:hAnsi="Times New Roman"/>
                <w:sz w:val="24"/>
              </w:rPr>
              <w:t>ga tveganja nasprotne stranke“.</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130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Od tega: iz naslova kreditnega tveganja nasprotne stranke </w:t>
            </w:r>
          </w:p>
          <w:p w:rsidR="001C7AB7" w:rsidRPr="00392FFD" w:rsidRDefault="001C7AB7" w:rsidP="00FD6CCB">
            <w:pPr>
              <w:rPr>
                <w:rFonts w:ascii="Times New Roman" w:hAnsi="Times New Roman"/>
                <w:sz w:val="24"/>
              </w:rPr>
            </w:pPr>
            <w:r>
              <w:rPr>
                <w:rFonts w:ascii="Times New Roman" w:hAnsi="Times New Roman"/>
                <w:sz w:val="24"/>
              </w:rPr>
              <w:t>Glej navodila za predlogo CR SA.</w:t>
            </w:r>
            <w:r>
              <w:rPr>
                <w:rStyle w:val="InstructionsTabelleText"/>
                <w:rFonts w:ascii="Times New Roman" w:hAnsi="Times New Roman"/>
                <w:sz w:val="24"/>
              </w:rPr>
              <w:t xml:space="preserve">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140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OD TEGA: VELIKI SUBJEKTI FINANČNEGA SEKTORJA IN NEREGULIR</w:t>
            </w:r>
            <w:r>
              <w:rPr>
                <w:rFonts w:ascii="Times New Roman" w:hAnsi="Times New Roman"/>
                <w:b/>
                <w:sz w:val="24"/>
                <w:u w:val="single"/>
              </w:rPr>
              <w:t>A</w:t>
            </w:r>
            <w:r>
              <w:rPr>
                <w:rFonts w:ascii="Times New Roman" w:hAnsi="Times New Roman"/>
                <w:b/>
                <w:sz w:val="24"/>
                <w:u w:val="single"/>
              </w:rPr>
              <w:t>NI FINANČNI SUBJEKTI</w:t>
            </w:r>
          </w:p>
          <w:p w:rsidR="001C7AB7" w:rsidRPr="00392FFD" w:rsidRDefault="001C7AB7" w:rsidP="001C7AB7">
            <w:pPr>
              <w:rPr>
                <w:rFonts w:ascii="Times New Roman" w:hAnsi="Times New Roman"/>
                <w:b/>
                <w:sz w:val="24"/>
                <w:u w:val="single"/>
              </w:rPr>
            </w:pPr>
            <w:r>
              <w:rPr>
                <w:rFonts w:ascii="Times New Roman" w:hAnsi="Times New Roman"/>
                <w:sz w:val="24"/>
              </w:rPr>
              <w:t>Razčlenitev vrednosti izpostavljenosti za vse izpostavljenosti, kot je opredeljeno v skladu s členom 142(4) in (5) CRR zaradi večje korelacije v skladu s členom 153(2) CRR.</w:t>
            </w:r>
          </w:p>
        </w:tc>
      </w:tr>
      <w:tr w:rsidR="001C7AB7" w:rsidRPr="00392FFD" w:rsidTr="00672D2A">
        <w:trPr>
          <w:trHeight w:val="2109"/>
        </w:trPr>
        <w:tc>
          <w:tcPr>
            <w:tcW w:w="1188" w:type="dxa"/>
          </w:tcPr>
          <w:p w:rsidR="001C7AB7" w:rsidRPr="00392FFD" w:rsidDel="001D4BE0" w:rsidRDefault="001C7AB7" w:rsidP="001C7AB7">
            <w:pPr>
              <w:rPr>
                <w:rFonts w:ascii="Times New Roman" w:hAnsi="Times New Roman"/>
                <w:sz w:val="24"/>
              </w:rPr>
            </w:pPr>
            <w:r>
              <w:rPr>
                <w:rFonts w:ascii="Times New Roman" w:hAnsi="Times New Roman"/>
                <w:sz w:val="24"/>
              </w:rPr>
              <w:t>150–210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TEHNIKE ZA ZMANJŠEVANJE KREDITNEGA TVEGANJA, KI SE UPOŠT</w:t>
            </w:r>
            <w:r>
              <w:rPr>
                <w:rFonts w:ascii="Times New Roman" w:hAnsi="Times New Roman"/>
                <w:b/>
                <w:sz w:val="24"/>
                <w:u w:val="single"/>
              </w:rPr>
              <w:t>E</w:t>
            </w:r>
            <w:r>
              <w:rPr>
                <w:rFonts w:ascii="Times New Roman" w:hAnsi="Times New Roman"/>
                <w:b/>
                <w:sz w:val="24"/>
                <w:u w:val="single"/>
              </w:rPr>
              <w:t>VAJO PRI OCENAH LGD, BREZ OBRAVNAVE DVOJNEGA NEPLAČILA</w:t>
            </w:r>
          </w:p>
          <w:p w:rsidR="001C7AB7" w:rsidRPr="00392FFD" w:rsidRDefault="001C7AB7" w:rsidP="001C7AB7">
            <w:pPr>
              <w:rPr>
                <w:rFonts w:ascii="Times New Roman" w:hAnsi="Times New Roman"/>
                <w:sz w:val="24"/>
              </w:rPr>
            </w:pPr>
            <w:r>
              <w:rPr>
                <w:rFonts w:ascii="Times New Roman" w:hAnsi="Times New Roman"/>
                <w:sz w:val="24"/>
              </w:rPr>
              <w:t xml:space="preserve">Tehnike CRM, ki vplivajo na LGD zaradi uporabe učinka zamenjave tehnik CRM, niso vključene v te stolpce. </w:t>
            </w:r>
          </w:p>
          <w:p w:rsidR="001C7AB7" w:rsidRPr="00392FFD" w:rsidRDefault="00C61FF5" w:rsidP="001C7AB7">
            <w:pPr>
              <w:rPr>
                <w:rFonts w:ascii="Times New Roman" w:hAnsi="Times New Roman"/>
                <w:sz w:val="24"/>
              </w:rPr>
            </w:pPr>
            <w:r>
              <w:rPr>
                <w:rFonts w:ascii="Times New Roman" w:hAnsi="Times New Roman"/>
                <w:sz w:val="24"/>
              </w:rPr>
              <w:t>Kadar se lastne ocene LGD ne uporabljajo: Členi 228(2), 230(1) in (2) ter člen 231 CRR.</w:t>
            </w:r>
          </w:p>
          <w:p w:rsidR="001C7AB7" w:rsidRPr="00392FFD" w:rsidRDefault="00C61FF5" w:rsidP="001C7AB7">
            <w:pPr>
              <w:rPr>
                <w:rFonts w:ascii="Times New Roman" w:hAnsi="Times New Roman"/>
                <w:sz w:val="24"/>
              </w:rPr>
            </w:pPr>
            <w:r>
              <w:rPr>
                <w:rFonts w:ascii="Times New Roman" w:hAnsi="Times New Roman"/>
                <w:sz w:val="24"/>
              </w:rPr>
              <w:t xml:space="preserve">Kadar se uporabljajo lastne ocene LGD: </w:t>
            </w:r>
          </w:p>
          <w:p w:rsidR="001C7AB7" w:rsidRPr="00392FFD" w:rsidRDefault="001C7AB7" w:rsidP="001C7AB7">
            <w:pPr>
              <w:rPr>
                <w:rFonts w:ascii="Times New Roman" w:hAnsi="Times New Roman"/>
                <w:sz w:val="24"/>
              </w:rPr>
            </w:pPr>
            <w:r>
              <w:rPr>
                <w:rFonts w:ascii="Times New Roman" w:hAnsi="Times New Roman"/>
                <w:sz w:val="24"/>
              </w:rPr>
              <w:t xml:space="preserve">– v zvezi z osebnim kreditnim zavarovanjem za izpostavljenosti do enot centralne ravni države ter centralnih bank, institucij in podjetij: Člen 161(3) CRR. Za izpostavljenosti na drobno člen 164(2) CRR. </w:t>
            </w:r>
          </w:p>
          <w:p w:rsidR="001C7AB7" w:rsidRPr="00392FFD" w:rsidRDefault="001C7AB7" w:rsidP="00255BA9">
            <w:pPr>
              <w:rPr>
                <w:rFonts w:ascii="Times New Roman" w:hAnsi="Times New Roman"/>
                <w:b/>
                <w:sz w:val="24"/>
                <w:u w:val="single"/>
              </w:rPr>
            </w:pPr>
            <w:r>
              <w:rPr>
                <w:rFonts w:ascii="Times New Roman" w:hAnsi="Times New Roman"/>
                <w:sz w:val="24"/>
              </w:rPr>
              <w:t>– v zvezi s stvarnim kreditnim zavarovanjem, ki se upošteva v ocenah LGD v skladu s členom 181(1)(e) in (f) CRR.</w:t>
            </w:r>
          </w:p>
        </w:tc>
      </w:tr>
      <w:tr w:rsidR="001C7AB7" w:rsidRPr="00392FFD" w:rsidTr="00672D2A">
        <w:trPr>
          <w:trHeight w:val="957"/>
        </w:trPr>
        <w:tc>
          <w:tcPr>
            <w:tcW w:w="1188" w:type="dxa"/>
          </w:tcPr>
          <w:p w:rsidR="001C7AB7" w:rsidRPr="00392FFD" w:rsidRDefault="001C7AB7" w:rsidP="001C7AB7">
            <w:pPr>
              <w:rPr>
                <w:rFonts w:ascii="Times New Roman" w:hAnsi="Times New Roman"/>
                <w:sz w:val="24"/>
              </w:rPr>
            </w:pPr>
            <w:r>
              <w:rPr>
                <w:rFonts w:ascii="Times New Roman" w:hAnsi="Times New Roman"/>
                <w:sz w:val="24"/>
              </w:rPr>
              <w:t>150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JAMSTVA </w:t>
            </w:r>
          </w:p>
          <w:p w:rsidR="001C7AB7" w:rsidRPr="00392FFD" w:rsidRDefault="001C7AB7" w:rsidP="001C7AB7">
            <w:pPr>
              <w:jc w:val="left"/>
              <w:rPr>
                <w:rFonts w:ascii="Times New Roman" w:hAnsi="Times New Roman"/>
                <w:b/>
                <w:sz w:val="24"/>
                <w:u w:val="single"/>
              </w:rPr>
            </w:pPr>
            <w:r>
              <w:rPr>
                <w:rFonts w:ascii="Times New Roman" w:hAnsi="Times New Roman"/>
                <w:sz w:val="24"/>
              </w:rPr>
              <w:t>Glej navodila za stolpec 040.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160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KREDITNI IZVEDENI FINANČNI INSTRUMENTI </w:t>
            </w:r>
          </w:p>
          <w:p w:rsidR="001C7AB7" w:rsidRPr="00392FFD" w:rsidRDefault="001C7AB7" w:rsidP="001C7AB7">
            <w:pPr>
              <w:rPr>
                <w:rFonts w:ascii="Times New Roman" w:hAnsi="Times New Roman"/>
                <w:sz w:val="24"/>
              </w:rPr>
            </w:pPr>
            <w:r>
              <w:rPr>
                <w:rFonts w:ascii="Times New Roman" w:hAnsi="Times New Roman"/>
                <w:sz w:val="24"/>
              </w:rPr>
              <w:t>Glej navodila za stolpec 050.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170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UPORABLJAJO SE LASTNE OCENE IZGUB OB NEPLAČILU (LGD): DRUGO STVARNO KREDITNO ZAVAROVANJE </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Ustrezna vrednost, ki se uporablja pri notranjem modeliranju institucije.</w:t>
            </w:r>
          </w:p>
          <w:p w:rsidR="001C7AB7" w:rsidRPr="00392FFD" w:rsidRDefault="001C7AB7" w:rsidP="00255BA9">
            <w:pPr>
              <w:rPr>
                <w:rFonts w:ascii="Times New Roman" w:hAnsi="Times New Roman"/>
                <w:sz w:val="24"/>
              </w:rPr>
            </w:pPr>
            <w:r>
              <w:rPr>
                <w:rFonts w:ascii="Times New Roman" w:hAnsi="Times New Roman"/>
                <w:sz w:val="24"/>
              </w:rPr>
              <w:t xml:space="preserve">Tista zmanjšanja kreditnega tveganja, ki izpolnjujejo merila iz člena 212 CRR.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180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PRIMERNO ZAVAROVANJE S FINANČNIM PREMOŽENJEM</w:t>
            </w:r>
          </w:p>
          <w:p w:rsidR="001C7AB7" w:rsidRPr="00392FFD" w:rsidRDefault="001C7AB7" w:rsidP="001C7AB7">
            <w:pPr>
              <w:rPr>
                <w:rFonts w:ascii="Times New Roman" w:hAnsi="Times New Roman"/>
                <w:sz w:val="24"/>
              </w:rPr>
            </w:pPr>
            <w:r>
              <w:rPr>
                <w:rFonts w:ascii="Times New Roman" w:hAnsi="Times New Roman"/>
                <w:sz w:val="24"/>
              </w:rPr>
              <w:t>Za posle v trgovalni knjigi vključuje finančne instrumente in blago, primerno za izpo</w:t>
            </w:r>
            <w:r>
              <w:rPr>
                <w:rFonts w:ascii="Times New Roman" w:hAnsi="Times New Roman"/>
                <w:sz w:val="24"/>
              </w:rPr>
              <w:t>s</w:t>
            </w:r>
            <w:r>
              <w:rPr>
                <w:rFonts w:ascii="Times New Roman" w:hAnsi="Times New Roman"/>
                <w:sz w:val="24"/>
              </w:rPr>
              <w:t>tavljenosti v trgovalnih knjigah v skladu s točkami (c) do (f) odstavka 2 člena 299 CRR. Kreditni zapisi in bilančni pobot v skladu z oddelkom 4 poglavja 4 naslova II dela 3 CRR se obravnavajo kot zavarovanje z denarnimi sredstvi.</w:t>
            </w:r>
          </w:p>
          <w:p w:rsidR="001C7AB7" w:rsidRPr="00392FFD" w:rsidRDefault="001C7AB7" w:rsidP="001C7AB7">
            <w:pPr>
              <w:rPr>
                <w:rFonts w:ascii="Times New Roman" w:hAnsi="Times New Roman"/>
                <w:sz w:val="24"/>
              </w:rPr>
            </w:pPr>
            <w:r>
              <w:rPr>
                <w:rFonts w:ascii="Times New Roman" w:hAnsi="Times New Roman"/>
                <w:sz w:val="24"/>
              </w:rPr>
              <w:t>Kadar se lastne ocene LGD ne uporabljajo: vrednosti v skladu s členom 193(1) do (4) in členom 194(1) CRR. Poroča se prilagojena vrednost (</w:t>
            </w:r>
            <w:proofErr w:type="spellStart"/>
            <w:r>
              <w:rPr>
                <w:rFonts w:ascii="Times New Roman" w:hAnsi="Times New Roman"/>
                <w:sz w:val="24"/>
              </w:rPr>
              <w:t>Cvam</w:t>
            </w:r>
            <w:proofErr w:type="spellEnd"/>
            <w:r>
              <w:rPr>
                <w:rFonts w:ascii="Times New Roman" w:hAnsi="Times New Roman"/>
                <w:sz w:val="24"/>
              </w:rPr>
              <w:t>), kot je opredeljena v členu 223(2) CRR.</w:t>
            </w:r>
          </w:p>
          <w:p w:rsidR="001C7AB7" w:rsidRPr="00392FFD" w:rsidRDefault="001C7AB7" w:rsidP="00902EFC">
            <w:pPr>
              <w:rPr>
                <w:rFonts w:ascii="Times New Roman" w:hAnsi="Times New Roman"/>
                <w:b/>
                <w:sz w:val="24"/>
                <w:u w:val="single"/>
              </w:rPr>
            </w:pPr>
            <w:r>
              <w:rPr>
                <w:rFonts w:ascii="Times New Roman" w:hAnsi="Times New Roman"/>
                <w:sz w:val="24"/>
              </w:rPr>
              <w:t>Kadar se uporabljajo lastne ocene LGD: zavarovanje s finančnim premoženjem, ki se upošteva pri ocenah LGD v skladu s točkama (e) in (f) člena 181(1) CRR. Znesek, ki se poroča, je ocenjena tržna vrednost zavarovanja s premoženjem.</w:t>
            </w:r>
          </w:p>
        </w:tc>
      </w:tr>
      <w:tr w:rsidR="001C7AB7" w:rsidRPr="00392FFD" w:rsidTr="00672D2A">
        <w:tc>
          <w:tcPr>
            <w:tcW w:w="1188" w:type="dxa"/>
          </w:tcPr>
          <w:p w:rsidR="001C7AB7" w:rsidRPr="00392FFD" w:rsidDel="001D4BE0" w:rsidRDefault="001C7AB7" w:rsidP="001C7AB7">
            <w:pPr>
              <w:rPr>
                <w:rFonts w:ascii="Times New Roman" w:hAnsi="Times New Roman"/>
                <w:sz w:val="24"/>
              </w:rPr>
            </w:pPr>
            <w:r>
              <w:rPr>
                <w:rFonts w:ascii="Times New Roman" w:hAnsi="Times New Roman"/>
                <w:sz w:val="24"/>
              </w:rPr>
              <w:t>190–210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DRUGO PRIMERNO ZAVAROVANJE S PREMOŽENJEM</w:t>
            </w:r>
          </w:p>
          <w:p w:rsidR="001C7AB7" w:rsidRPr="00392FFD" w:rsidRDefault="00C61FF5" w:rsidP="001C7AB7">
            <w:pPr>
              <w:rPr>
                <w:rFonts w:ascii="Times New Roman" w:hAnsi="Times New Roman"/>
                <w:sz w:val="24"/>
              </w:rPr>
            </w:pPr>
            <w:r>
              <w:rPr>
                <w:rFonts w:ascii="Times New Roman" w:hAnsi="Times New Roman"/>
                <w:sz w:val="24"/>
              </w:rPr>
              <w:t>Kadar se lastne ocene LGD ne uporabljajo: člen 199(1) do (8) in člen 229 CRR.</w:t>
            </w:r>
          </w:p>
          <w:p w:rsidR="001C7AB7" w:rsidRPr="00392FFD" w:rsidRDefault="00C61FF5" w:rsidP="00C61FF5">
            <w:pPr>
              <w:rPr>
                <w:rFonts w:ascii="Times New Roman" w:hAnsi="Times New Roman"/>
                <w:b/>
                <w:sz w:val="24"/>
                <w:u w:val="single"/>
              </w:rPr>
            </w:pPr>
            <w:r>
              <w:rPr>
                <w:rFonts w:ascii="Times New Roman" w:hAnsi="Times New Roman"/>
                <w:sz w:val="24"/>
              </w:rPr>
              <w:t>Kadar se uporabljajo lastne ocene LGD: druga zavarovanja s premoženjem, ki se upošt</w:t>
            </w:r>
            <w:r>
              <w:rPr>
                <w:rFonts w:ascii="Times New Roman" w:hAnsi="Times New Roman"/>
                <w:sz w:val="24"/>
              </w:rPr>
              <w:t>e</w:t>
            </w:r>
            <w:r>
              <w:rPr>
                <w:rFonts w:ascii="Times New Roman" w:hAnsi="Times New Roman"/>
                <w:sz w:val="24"/>
              </w:rPr>
              <w:t>vajo pri ocenah LGD v skladu s točkama (e) in (f) člena 181(1) CRR.</w:t>
            </w:r>
          </w:p>
        </w:tc>
      </w:tr>
      <w:tr w:rsidR="001C7AB7" w:rsidRPr="00392FFD" w:rsidTr="00672D2A">
        <w:tc>
          <w:tcPr>
            <w:tcW w:w="1188" w:type="dxa"/>
          </w:tcPr>
          <w:p w:rsidR="001C7AB7" w:rsidRPr="00392FFD" w:rsidRDefault="001C7AB7" w:rsidP="00C61FF5">
            <w:pPr>
              <w:spacing w:line="240" w:lineRule="exact"/>
              <w:rPr>
                <w:rFonts w:ascii="Times New Roman" w:hAnsi="Times New Roman"/>
                <w:sz w:val="24"/>
              </w:rPr>
            </w:pPr>
            <w:r>
              <w:rPr>
                <w:rFonts w:ascii="Times New Roman" w:hAnsi="Times New Roman"/>
                <w:sz w:val="24"/>
              </w:rPr>
              <w:t>190</w:t>
            </w:r>
          </w:p>
        </w:tc>
        <w:tc>
          <w:tcPr>
            <w:tcW w:w="8843" w:type="dxa"/>
          </w:tcPr>
          <w:p w:rsidR="001C7AB7" w:rsidRPr="00392FFD" w:rsidRDefault="001C7AB7" w:rsidP="00C61FF5">
            <w:pPr>
              <w:spacing w:line="240" w:lineRule="exact"/>
              <w:rPr>
                <w:rFonts w:ascii="Times New Roman" w:hAnsi="Times New Roman"/>
                <w:sz w:val="24"/>
              </w:rPr>
            </w:pPr>
            <w:r>
              <w:rPr>
                <w:rFonts w:ascii="Times New Roman" w:hAnsi="Times New Roman"/>
                <w:b/>
                <w:sz w:val="24"/>
                <w:u w:val="single"/>
              </w:rPr>
              <w:t>NEPREMIČNINE</w:t>
            </w:r>
          </w:p>
          <w:p w:rsidR="001C7AB7" w:rsidRPr="00392FFD" w:rsidRDefault="00C61FF5" w:rsidP="00C61FF5">
            <w:pPr>
              <w:spacing w:line="240" w:lineRule="exact"/>
              <w:rPr>
                <w:rFonts w:ascii="Times New Roman" w:hAnsi="Times New Roman"/>
                <w:sz w:val="24"/>
              </w:rPr>
            </w:pPr>
            <w:r>
              <w:rPr>
                <w:rFonts w:ascii="Times New Roman" w:hAnsi="Times New Roman"/>
                <w:sz w:val="24"/>
              </w:rPr>
              <w:t>Kadar se lastne ocene LGD ne uporabljajo, se poročajo vrednosti v skladu s členom 199(2) do (4) CRR. Vključen je tudi zakup nepremičnin (glej člen 199(7) CRR). Glej tudi člen 229 CRR.</w:t>
            </w:r>
          </w:p>
          <w:p w:rsidR="001C7AB7" w:rsidRPr="00392FFD" w:rsidRDefault="001C7AB7" w:rsidP="00C61FF5">
            <w:pPr>
              <w:spacing w:line="240" w:lineRule="exact"/>
              <w:rPr>
                <w:rFonts w:ascii="Times New Roman" w:hAnsi="Times New Roman"/>
                <w:sz w:val="24"/>
              </w:rPr>
            </w:pPr>
            <w:r>
              <w:rPr>
                <w:rFonts w:ascii="Times New Roman" w:hAnsi="Times New Roman"/>
                <w:sz w:val="24"/>
              </w:rPr>
              <w:t>Kadar se uporabljajo lastne ocene LGD, je znesek, ki se poroča, ocenjena tržna vrednost.</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200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ZAVAROVANJE Z DRUGIM STVARNIM PREMOŽENJEM</w:t>
            </w:r>
          </w:p>
          <w:p w:rsidR="001C7AB7" w:rsidRPr="00392FFD" w:rsidRDefault="00C61FF5" w:rsidP="001C7AB7">
            <w:pPr>
              <w:rPr>
                <w:rFonts w:ascii="Times New Roman" w:hAnsi="Times New Roman"/>
                <w:sz w:val="24"/>
              </w:rPr>
            </w:pPr>
            <w:r>
              <w:rPr>
                <w:rFonts w:ascii="Times New Roman" w:hAnsi="Times New Roman"/>
                <w:sz w:val="24"/>
              </w:rPr>
              <w:t xml:space="preserve">Kadar se lastne ocene LGD ne uporabljajo, se poročajo vrednosti v skladu s členom 199(6) in (8) CRR. Vključen je tudi zakup premoženja, ki ni nepremičnina (glej člen 199(7) CRR). Glej tudi člen 229(3) CRR. </w:t>
            </w:r>
          </w:p>
          <w:p w:rsidR="001C7AB7" w:rsidRPr="00392FFD" w:rsidRDefault="00C61FF5" w:rsidP="00C61FF5">
            <w:pPr>
              <w:rPr>
                <w:rFonts w:ascii="Times New Roman" w:hAnsi="Times New Roman"/>
                <w:b/>
                <w:sz w:val="24"/>
                <w:u w:val="single"/>
              </w:rPr>
            </w:pPr>
            <w:r>
              <w:rPr>
                <w:rFonts w:ascii="Times New Roman" w:hAnsi="Times New Roman"/>
                <w:sz w:val="24"/>
              </w:rPr>
              <w:t>Kadar se uporabljajo lastne ocene LGD, je znesek, ki se sporoči, ocenjena tržna vrednost zavarovanja s premoženjem.</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DENARNE TERJATVE</w:t>
            </w:r>
          </w:p>
          <w:p w:rsidR="001C7AB7" w:rsidRPr="00392FFD" w:rsidRDefault="001C7AB7" w:rsidP="001C7AB7">
            <w:pPr>
              <w:rPr>
                <w:rFonts w:ascii="Times New Roman" w:hAnsi="Times New Roman"/>
                <w:sz w:val="24"/>
              </w:rPr>
            </w:pPr>
            <w:r>
              <w:rPr>
                <w:rFonts w:ascii="Times New Roman" w:hAnsi="Times New Roman"/>
                <w:sz w:val="24"/>
              </w:rPr>
              <w:t>Kadar se lastne ocene LGD ne uporabljajo, se poročajo vrednosti v skladu s členoma 199(5) in 229(2) CRR.</w:t>
            </w:r>
          </w:p>
          <w:p w:rsidR="001C7AB7" w:rsidRPr="00392FFD" w:rsidRDefault="001C7AB7" w:rsidP="001C7AB7">
            <w:pPr>
              <w:rPr>
                <w:rFonts w:ascii="Times New Roman" w:hAnsi="Times New Roman"/>
                <w:b/>
                <w:sz w:val="24"/>
                <w:u w:val="single"/>
              </w:rPr>
            </w:pPr>
            <w:r>
              <w:rPr>
                <w:rFonts w:ascii="Times New Roman" w:hAnsi="Times New Roman"/>
                <w:sz w:val="24"/>
              </w:rPr>
              <w:t>Kadar se uporabljajo lastne ocene LGD, je znesek, ki se poroča, ocenjena tržna vrednost zavarovanja s premoženjem.</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220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PREDMET OBRAVNAVE DVOJNEGA NEPLAČILA: OSEBNO KREDITNO ZAVAROVANJE</w:t>
            </w:r>
          </w:p>
          <w:p w:rsidR="001C7AB7" w:rsidRPr="00392FFD" w:rsidRDefault="001C7AB7" w:rsidP="00902EFC">
            <w:pPr>
              <w:rPr>
                <w:rFonts w:ascii="Times New Roman" w:hAnsi="Times New Roman"/>
                <w:b/>
                <w:sz w:val="24"/>
                <w:u w:val="single"/>
              </w:rPr>
            </w:pPr>
            <w:r>
              <w:rPr>
                <w:rFonts w:ascii="Times New Roman" w:hAnsi="Times New Roman"/>
                <w:sz w:val="24"/>
              </w:rPr>
              <w:t>Jamstva in kreditni izvedeni finančni instrumenti, ki zajemajo izpostavljenosti, ki so pr</w:t>
            </w:r>
            <w:r>
              <w:rPr>
                <w:rFonts w:ascii="Times New Roman" w:hAnsi="Times New Roman"/>
                <w:sz w:val="24"/>
              </w:rPr>
              <w:t>e</w:t>
            </w:r>
            <w:r>
              <w:rPr>
                <w:rFonts w:ascii="Times New Roman" w:hAnsi="Times New Roman"/>
                <w:sz w:val="24"/>
              </w:rPr>
              <w:t xml:space="preserve">dmet obravnave dvojnega neplačila, ki odražajo člen 202 in člen 217(1) CRR. Glej tudi stolpca 040 „Jamstva“ in 050 „Kreditni izvedeni finančni instrumenti“.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230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Z IZPOSTAVLJENOSTJO TEHTANO POVPREČJE LGD (%)</w:t>
            </w:r>
          </w:p>
          <w:p w:rsidR="001C7AB7" w:rsidRPr="00392FFD" w:rsidRDefault="001C7AB7" w:rsidP="001C7AB7">
            <w:pPr>
              <w:rPr>
                <w:rFonts w:ascii="Times New Roman" w:hAnsi="Times New Roman"/>
                <w:sz w:val="24"/>
              </w:rPr>
            </w:pPr>
            <w:r>
              <w:rPr>
                <w:rFonts w:ascii="Times New Roman" w:hAnsi="Times New Roman"/>
                <w:sz w:val="24"/>
              </w:rPr>
              <w:t>Upošteva se celoten vpliv tehnik CRM na vrednosti LGD, kot je opredeljeno v poglavjih 3 in 4 naslova II dela 3 CRR. V primeru izpostavljenosti, ki so predmet obravnave dvo</w:t>
            </w:r>
            <w:r>
              <w:rPr>
                <w:rFonts w:ascii="Times New Roman" w:hAnsi="Times New Roman"/>
                <w:sz w:val="24"/>
              </w:rPr>
              <w:t>j</w:t>
            </w:r>
            <w:r>
              <w:rPr>
                <w:rFonts w:ascii="Times New Roman" w:hAnsi="Times New Roman"/>
                <w:sz w:val="24"/>
              </w:rPr>
              <w:lastRenderedPageBreak/>
              <w:t>nega neplačila, LGD, ki se sporoči, ustreza vrednosti, izbrani v skladu s členom 161(4) CRR.</w:t>
            </w:r>
          </w:p>
          <w:p w:rsidR="001C7AB7" w:rsidRPr="00392FFD" w:rsidRDefault="001C7AB7" w:rsidP="001C7AB7">
            <w:pPr>
              <w:rPr>
                <w:rFonts w:ascii="Times New Roman" w:hAnsi="Times New Roman"/>
                <w:sz w:val="24"/>
              </w:rPr>
            </w:pPr>
            <w:r>
              <w:rPr>
                <w:rFonts w:ascii="Times New Roman" w:hAnsi="Times New Roman"/>
                <w:sz w:val="24"/>
              </w:rPr>
              <w:t>Za neplačane izpostavljenosti se uporabljajo določbe iz člena 181(1)(h) CRR.</w:t>
            </w:r>
          </w:p>
          <w:p w:rsidR="001C7AB7" w:rsidRPr="00392FFD" w:rsidRDefault="001C7AB7" w:rsidP="001C7AB7">
            <w:pPr>
              <w:rPr>
                <w:rFonts w:ascii="Times New Roman" w:hAnsi="Times New Roman"/>
                <w:sz w:val="24"/>
              </w:rPr>
            </w:pPr>
            <w:r>
              <w:rPr>
                <w:rFonts w:ascii="Times New Roman" w:hAnsi="Times New Roman"/>
                <w:sz w:val="24"/>
              </w:rPr>
              <w:t>Opredelitev vrednosti izpostavljenosti iz stolpca 110 se uporablja za izračun z izposta</w:t>
            </w:r>
            <w:r>
              <w:rPr>
                <w:rFonts w:ascii="Times New Roman" w:hAnsi="Times New Roman"/>
                <w:sz w:val="24"/>
              </w:rPr>
              <w:t>v</w:t>
            </w:r>
            <w:r>
              <w:rPr>
                <w:rFonts w:ascii="Times New Roman" w:hAnsi="Times New Roman"/>
                <w:sz w:val="24"/>
              </w:rPr>
              <w:t>ljenostjo tehtanih povprečij.</w:t>
            </w:r>
          </w:p>
          <w:p w:rsidR="001C7AB7" w:rsidRPr="00392FFD" w:rsidRDefault="001C7AB7" w:rsidP="001C7AB7">
            <w:pPr>
              <w:rPr>
                <w:rFonts w:ascii="Times New Roman" w:hAnsi="Times New Roman"/>
                <w:sz w:val="24"/>
              </w:rPr>
            </w:pPr>
            <w:r>
              <w:rPr>
                <w:rFonts w:ascii="Times New Roman" w:hAnsi="Times New Roman"/>
                <w:sz w:val="24"/>
              </w:rPr>
              <w:t>Upoštevajo se vsi učinki (zato se prag, ki se uporablja za hipoteke, vključi v poročanje).</w:t>
            </w:r>
          </w:p>
          <w:p w:rsidR="001C7AB7" w:rsidRPr="00392FFD" w:rsidRDefault="001C7AB7" w:rsidP="001C7AB7">
            <w:pPr>
              <w:rPr>
                <w:rFonts w:ascii="Times New Roman" w:hAnsi="Times New Roman"/>
                <w:sz w:val="24"/>
              </w:rPr>
            </w:pPr>
            <w:r>
              <w:rPr>
                <w:rFonts w:ascii="Times New Roman" w:hAnsi="Times New Roman"/>
                <w:sz w:val="24"/>
              </w:rPr>
              <w:t>Za institucije, ki uporabljajo pristop IRB, vendar ne uporabljajo lastnih ocen LGD, so učinki zmanjševanja tveganja zavarovanja s finančnim premoženjem izraženi v E*, popolnoma prilagojeni vrednosti izpostavljenosti, nato pa so izraženi v LGD* v skladu s členom 228(2) CRR.</w:t>
            </w:r>
          </w:p>
          <w:p w:rsidR="001C7AB7" w:rsidRPr="00392FFD" w:rsidRDefault="001C7AB7" w:rsidP="001C7AB7">
            <w:pPr>
              <w:rPr>
                <w:rFonts w:ascii="Times New Roman" w:hAnsi="Times New Roman"/>
                <w:sz w:val="24"/>
              </w:rPr>
            </w:pPr>
            <w:r>
              <w:rPr>
                <w:rFonts w:ascii="Times New Roman" w:hAnsi="Times New Roman"/>
                <w:sz w:val="24"/>
              </w:rPr>
              <w:t>Z izpostavljenostjo tehtano povprečje LGD, povezano z „bonitetnim razredom dolžnika ali skupino“ vsake verjetnosti neplačila, je rezultat povprečja bonitetnih LGD, ki se dod</w:t>
            </w:r>
            <w:r>
              <w:rPr>
                <w:rFonts w:ascii="Times New Roman" w:hAnsi="Times New Roman"/>
                <w:sz w:val="24"/>
              </w:rPr>
              <w:t>e</w:t>
            </w:r>
            <w:r>
              <w:rPr>
                <w:rFonts w:ascii="Times New Roman" w:hAnsi="Times New Roman"/>
                <w:sz w:val="24"/>
              </w:rPr>
              <w:t>lijo izpostavljenostim bonitetnega razreda/skupine zadevne verjetnosti neplačila, pri čemer se tehtajo z ustrezno vrednostjo izpostavljenosti iz stolpca 110.</w:t>
            </w:r>
          </w:p>
          <w:p w:rsidR="001C7AB7" w:rsidRPr="00392FFD" w:rsidRDefault="001C7AB7" w:rsidP="001C7AB7">
            <w:pPr>
              <w:rPr>
                <w:rFonts w:ascii="Times New Roman" w:hAnsi="Times New Roman"/>
                <w:sz w:val="24"/>
              </w:rPr>
            </w:pPr>
            <w:r>
              <w:rPr>
                <w:rFonts w:ascii="Times New Roman" w:hAnsi="Times New Roman"/>
                <w:sz w:val="24"/>
              </w:rPr>
              <w:t>Če se uporabljajo lastne ocene LGD, se upoštevata člen 175 ter člen 181(1) in (2) CRR.</w:t>
            </w:r>
          </w:p>
          <w:p w:rsidR="001C7AB7" w:rsidRPr="00392FFD" w:rsidRDefault="001C7AB7" w:rsidP="001C7AB7">
            <w:pPr>
              <w:rPr>
                <w:rFonts w:ascii="Times New Roman" w:hAnsi="Times New Roman"/>
                <w:sz w:val="24"/>
              </w:rPr>
            </w:pPr>
            <w:r>
              <w:rPr>
                <w:rFonts w:ascii="Times New Roman" w:hAnsi="Times New Roman"/>
                <w:sz w:val="24"/>
              </w:rPr>
              <w:t>V primeru izpostavljenosti, ki so predmet obravnave dvojnega neplačila, LGD, ki se sp</w:t>
            </w:r>
            <w:r>
              <w:rPr>
                <w:rFonts w:ascii="Times New Roman" w:hAnsi="Times New Roman"/>
                <w:sz w:val="24"/>
              </w:rPr>
              <w:t>o</w:t>
            </w:r>
            <w:r>
              <w:rPr>
                <w:rFonts w:ascii="Times New Roman" w:hAnsi="Times New Roman"/>
                <w:sz w:val="24"/>
              </w:rPr>
              <w:t>roči, ustreza vrednosti, izbrani v skladu s členom 161(4) CRR.</w:t>
            </w:r>
          </w:p>
          <w:p w:rsidR="001C7AB7" w:rsidRPr="00392FFD" w:rsidRDefault="001C7AB7" w:rsidP="001C7AB7">
            <w:pPr>
              <w:rPr>
                <w:rFonts w:ascii="Times New Roman" w:hAnsi="Times New Roman"/>
                <w:sz w:val="24"/>
              </w:rPr>
            </w:pPr>
            <w:r>
              <w:rPr>
                <w:rFonts w:ascii="Times New Roman" w:hAnsi="Times New Roman"/>
                <w:sz w:val="24"/>
              </w:rPr>
              <w:t>Izračun z izpostavljenostjo tehtanega povprečja LGD izhaja iz parametrov tveganja, ki se dejansko uporabljajo v notranjem bonitetnem sistemu, ki ga odobri zadevni pristojni organ.</w:t>
            </w:r>
          </w:p>
          <w:p w:rsidR="001C7AB7" w:rsidRPr="00392FFD" w:rsidRDefault="00224FE5" w:rsidP="001C7AB7">
            <w:pPr>
              <w:rPr>
                <w:rFonts w:ascii="Times New Roman" w:hAnsi="Times New Roman"/>
                <w:sz w:val="24"/>
              </w:rPr>
            </w:pPr>
            <w:r>
              <w:rPr>
                <w:rFonts w:ascii="Times New Roman" w:hAnsi="Times New Roman"/>
                <w:sz w:val="24"/>
              </w:rPr>
              <w:t>Podatki se ne poročajo za izpostavljenosti iz naslova posebnih kreditnih aranžmajev iz člena 153(5).</w:t>
            </w:r>
          </w:p>
          <w:p w:rsidR="001C7AB7" w:rsidRPr="00392FFD" w:rsidRDefault="001C7AB7" w:rsidP="001C7AB7">
            <w:pPr>
              <w:rPr>
                <w:rFonts w:ascii="Times New Roman" w:hAnsi="Times New Roman"/>
                <w:sz w:val="24"/>
              </w:rPr>
            </w:pPr>
            <w:r>
              <w:rPr>
                <w:rFonts w:ascii="Times New Roman" w:hAnsi="Times New Roman"/>
                <w:sz w:val="24"/>
              </w:rPr>
              <w:t xml:space="preserve">Izpostavljenost in zadevni LGD za velike nadzorovane subjekte finančnega sektorja in neregulirane finančne subjekte se ne vključijo v izračun stolpca 230; vključeni so le v izračun stolpca 240.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240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Z IZPOSTAVLJENOSTJO TEHTANO POVPREČJE LGD (%) ZA VELIKE SUBJEKTE FINANČNEGA SEKTORJA IN NEREGULIRANE FINANČNE SU</w:t>
            </w:r>
            <w:r>
              <w:rPr>
                <w:rFonts w:ascii="Times New Roman" w:hAnsi="Times New Roman"/>
                <w:b/>
                <w:sz w:val="24"/>
                <w:u w:val="single"/>
              </w:rPr>
              <w:t>B</w:t>
            </w:r>
            <w:r>
              <w:rPr>
                <w:rFonts w:ascii="Times New Roman" w:hAnsi="Times New Roman"/>
                <w:b/>
                <w:sz w:val="24"/>
                <w:u w:val="single"/>
              </w:rPr>
              <w:t>JEKTE</w:t>
            </w:r>
          </w:p>
          <w:p w:rsidR="001C7AB7" w:rsidRPr="00392FFD" w:rsidRDefault="001C7AB7" w:rsidP="001C7AB7">
            <w:pPr>
              <w:rPr>
                <w:rFonts w:ascii="Times New Roman" w:hAnsi="Times New Roman"/>
                <w:sz w:val="24"/>
              </w:rPr>
            </w:pPr>
            <w:r>
              <w:rPr>
                <w:rFonts w:ascii="Times New Roman" w:hAnsi="Times New Roman"/>
                <w:sz w:val="24"/>
              </w:rPr>
              <w:t>Z izpostavljenostjo tehtano povprečje LGD (%) za vse izpostavljenosti, kot je opredelj</w:t>
            </w:r>
            <w:r>
              <w:rPr>
                <w:rFonts w:ascii="Times New Roman" w:hAnsi="Times New Roman"/>
                <w:sz w:val="24"/>
              </w:rPr>
              <w:t>e</w:t>
            </w:r>
            <w:r>
              <w:rPr>
                <w:rFonts w:ascii="Times New Roman" w:hAnsi="Times New Roman"/>
                <w:sz w:val="24"/>
              </w:rPr>
              <w:t>no v skladu s členom 142(4) in (5) CRR zaradi večje korelacije v skladu s členom 153(2) CRR.</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Z IZPOSTAVLJENOSTJO TEHTANO POVPREČJE VREDNOSTI ZAPADLO</w:t>
            </w:r>
            <w:r>
              <w:rPr>
                <w:rFonts w:ascii="Times New Roman" w:hAnsi="Times New Roman"/>
                <w:b/>
                <w:sz w:val="24"/>
                <w:u w:val="single"/>
              </w:rPr>
              <w:t>S</w:t>
            </w:r>
            <w:r>
              <w:rPr>
                <w:rFonts w:ascii="Times New Roman" w:hAnsi="Times New Roman"/>
                <w:b/>
                <w:sz w:val="24"/>
                <w:u w:val="single"/>
              </w:rPr>
              <w:t>TI (V DNEH)</w:t>
            </w:r>
          </w:p>
          <w:p w:rsidR="001C7AB7" w:rsidRPr="00392FFD" w:rsidRDefault="001C7AB7" w:rsidP="001C7AB7">
            <w:pPr>
              <w:rPr>
                <w:rFonts w:ascii="Times New Roman" w:hAnsi="Times New Roman"/>
                <w:sz w:val="24"/>
              </w:rPr>
            </w:pPr>
            <w:r>
              <w:rPr>
                <w:rFonts w:ascii="Times New Roman" w:hAnsi="Times New Roman"/>
                <w:sz w:val="24"/>
              </w:rPr>
              <w:t>Sporočena vrednost odraža člen 162 CRR. Vrednost izpostavljenosti (stolpec 110) se uporablja za izračun z izpostavljenostjo tehtanih povprečij. Povprečna zapadlost se por</w:t>
            </w:r>
            <w:r>
              <w:rPr>
                <w:rFonts w:ascii="Times New Roman" w:hAnsi="Times New Roman"/>
                <w:sz w:val="24"/>
              </w:rPr>
              <w:t>o</w:t>
            </w:r>
            <w:r>
              <w:rPr>
                <w:rFonts w:ascii="Times New Roman" w:hAnsi="Times New Roman"/>
                <w:sz w:val="24"/>
              </w:rPr>
              <w:t>ča v dnevih.</w:t>
            </w:r>
          </w:p>
          <w:p w:rsidR="001C7AB7" w:rsidRPr="00392FFD" w:rsidRDefault="001C7AB7" w:rsidP="00FD6CCB">
            <w:pPr>
              <w:rPr>
                <w:rFonts w:ascii="Times New Roman" w:hAnsi="Times New Roman"/>
                <w:sz w:val="24"/>
              </w:rPr>
            </w:pPr>
            <w:r>
              <w:rPr>
                <w:rFonts w:ascii="Times New Roman" w:hAnsi="Times New Roman"/>
                <w:sz w:val="24"/>
              </w:rPr>
              <w:t xml:space="preserve">Ti podatki se ne poročajo za vrednosti izpostavljenosti, za katere zapadlost ni element v izračunu </w:t>
            </w:r>
            <w:r>
              <w:rPr>
                <w:rStyle w:val="InstructionsTabelleText"/>
                <w:rFonts w:ascii="Times New Roman" w:hAnsi="Times New Roman"/>
                <w:sz w:val="24"/>
              </w:rPr>
              <w:t>zneskov tveganju prilagojenih izpostavljenosti</w:t>
            </w:r>
            <w:r>
              <w:rPr>
                <w:rFonts w:ascii="Times New Roman" w:hAnsi="Times New Roman"/>
                <w:sz w:val="24"/>
              </w:rPr>
              <w:t>. To pomeni, da se ta stolpec ne izpolni za kategorijo izpostavljenosti „na drobno“.</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255</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ZNESEK TVEGANJU PRILAGOJENIH IZPOSTAVLJENOSTI PRED UPOR</w:t>
            </w:r>
            <w:r>
              <w:rPr>
                <w:rFonts w:ascii="Times New Roman" w:hAnsi="Times New Roman"/>
                <w:b/>
                <w:sz w:val="24"/>
                <w:u w:val="single"/>
              </w:rPr>
              <w:t>A</w:t>
            </w:r>
            <w:r>
              <w:rPr>
                <w:rFonts w:ascii="Times New Roman" w:hAnsi="Times New Roman"/>
                <w:b/>
                <w:sz w:val="24"/>
                <w:u w:val="single"/>
              </w:rPr>
              <w:t>BO FAKTORJA ZA PODPORO MSP</w:t>
            </w:r>
          </w:p>
          <w:p w:rsidR="001C7AB7" w:rsidRPr="00392FFD" w:rsidRDefault="001C7AB7" w:rsidP="001C7AB7">
            <w:pPr>
              <w:rPr>
                <w:rFonts w:ascii="Times New Roman" w:hAnsi="Times New Roman"/>
                <w:sz w:val="24"/>
              </w:rPr>
            </w:pPr>
            <w:r>
              <w:rPr>
                <w:rFonts w:ascii="Times New Roman" w:hAnsi="Times New Roman"/>
                <w:sz w:val="24"/>
              </w:rPr>
              <w:lastRenderedPageBreak/>
              <w:t xml:space="preserve">Za enote centralne ravni države in centralnih bank, podjetja in institucije glej člen 153(1) in (3) CRR. Za izpostavljenosti na drobno glej člen 154(1) CRR. </w:t>
            </w:r>
          </w:p>
          <w:p w:rsidR="001C7AB7" w:rsidRPr="00392FFD" w:rsidRDefault="001C7AB7" w:rsidP="00FD6CCB">
            <w:pPr>
              <w:rPr>
                <w:rFonts w:ascii="Times New Roman" w:hAnsi="Times New Roman"/>
                <w:b/>
                <w:sz w:val="24"/>
                <w:u w:val="single"/>
              </w:rPr>
            </w:pPr>
            <w:r>
              <w:rPr>
                <w:rFonts w:ascii="Times New Roman" w:hAnsi="Times New Roman"/>
                <w:sz w:val="24"/>
              </w:rPr>
              <w:t>Faktor za podporo MSP v skladu s členom 501 CRR se ne upošteva.</w:t>
            </w:r>
          </w:p>
        </w:tc>
      </w:tr>
      <w:tr w:rsidR="001C7AB7" w:rsidRPr="00392FFD" w:rsidTr="00672D2A">
        <w:tc>
          <w:tcPr>
            <w:tcW w:w="1188" w:type="dxa"/>
            <w:shd w:val="clear" w:color="auto" w:fill="auto"/>
          </w:tcPr>
          <w:p w:rsidR="001C7AB7" w:rsidRPr="00392FFD" w:rsidRDefault="001C7AB7" w:rsidP="001C7AB7">
            <w:pPr>
              <w:rPr>
                <w:rFonts w:ascii="Times New Roman" w:hAnsi="Times New Roman"/>
                <w:sz w:val="24"/>
              </w:rPr>
            </w:pPr>
            <w:r>
              <w:rPr>
                <w:rFonts w:ascii="Times New Roman" w:hAnsi="Times New Roman"/>
                <w:sz w:val="24"/>
              </w:rPr>
              <w:lastRenderedPageBreak/>
              <w:t>260</w:t>
            </w:r>
          </w:p>
        </w:tc>
        <w:tc>
          <w:tcPr>
            <w:tcW w:w="8843" w:type="dxa"/>
            <w:shd w:val="clear" w:color="auto" w:fill="auto"/>
          </w:tcPr>
          <w:p w:rsidR="001C7AB7" w:rsidRPr="00392FFD" w:rsidRDefault="001C7AB7" w:rsidP="001C7AB7">
            <w:pPr>
              <w:rPr>
                <w:rFonts w:ascii="Times New Roman" w:hAnsi="Times New Roman"/>
                <w:b/>
                <w:sz w:val="24"/>
                <w:u w:val="single"/>
              </w:rPr>
            </w:pPr>
            <w:r>
              <w:rPr>
                <w:rFonts w:ascii="Times New Roman" w:hAnsi="Times New Roman"/>
                <w:b/>
                <w:sz w:val="24"/>
                <w:u w:val="single"/>
              </w:rPr>
              <w:t>ZNESEK TVEGANJU PRILAGOJENIH IZPOSTAVLJENOSTI PO UPORABI FAKTORJA ZA PODPORO MSP</w:t>
            </w:r>
          </w:p>
          <w:p w:rsidR="001C7AB7" w:rsidRPr="00392FFD" w:rsidRDefault="001C7AB7" w:rsidP="001C7AB7">
            <w:pPr>
              <w:rPr>
                <w:rFonts w:ascii="Times New Roman" w:hAnsi="Times New Roman"/>
                <w:sz w:val="24"/>
              </w:rPr>
            </w:pPr>
            <w:r>
              <w:rPr>
                <w:rFonts w:ascii="Times New Roman" w:hAnsi="Times New Roman"/>
                <w:sz w:val="24"/>
              </w:rPr>
              <w:t>Za enote centralne ravni države in centralnih bank, podjetja in institucije glej člen 153(1) in (3) CRR. Za izpostavljenosti na drobno glej člen 154(1) CRR.</w:t>
            </w:r>
          </w:p>
          <w:p w:rsidR="001C7AB7" w:rsidRPr="00392FFD" w:rsidRDefault="001C7AB7" w:rsidP="00FD6CCB">
            <w:pPr>
              <w:rPr>
                <w:rFonts w:ascii="Times New Roman" w:hAnsi="Times New Roman"/>
                <w:b/>
                <w:sz w:val="24"/>
                <w:u w:val="single"/>
              </w:rPr>
            </w:pPr>
            <w:r>
              <w:rPr>
                <w:rFonts w:ascii="Times New Roman" w:hAnsi="Times New Roman"/>
                <w:sz w:val="24"/>
              </w:rPr>
              <w:t>Upošteva se faktor za podporo MSP v skladu s členom 501 CRR.</w:t>
            </w:r>
          </w:p>
        </w:tc>
      </w:tr>
      <w:tr w:rsidR="001C7AB7" w:rsidRPr="00392FFD" w:rsidTr="00672D2A">
        <w:tc>
          <w:tcPr>
            <w:tcW w:w="1188" w:type="dxa"/>
            <w:shd w:val="clear" w:color="auto" w:fill="auto"/>
          </w:tcPr>
          <w:p w:rsidR="001C7AB7" w:rsidRPr="00392FFD" w:rsidRDefault="001C7AB7" w:rsidP="001C7AB7">
            <w:pPr>
              <w:rPr>
                <w:rFonts w:ascii="Times New Roman" w:hAnsi="Times New Roman"/>
                <w:sz w:val="24"/>
              </w:rPr>
            </w:pPr>
            <w:r>
              <w:rPr>
                <w:rFonts w:ascii="Times New Roman" w:hAnsi="Times New Roman"/>
                <w:sz w:val="24"/>
              </w:rPr>
              <w:t>270</w:t>
            </w:r>
          </w:p>
        </w:tc>
        <w:tc>
          <w:tcPr>
            <w:tcW w:w="8843" w:type="dxa"/>
            <w:shd w:val="clear" w:color="auto" w:fill="auto"/>
          </w:tcPr>
          <w:p w:rsidR="001C7AB7" w:rsidRPr="00392FFD" w:rsidRDefault="001C7AB7" w:rsidP="001C7AB7">
            <w:pPr>
              <w:rPr>
                <w:rFonts w:ascii="Times New Roman" w:hAnsi="Times New Roman"/>
                <w:b/>
                <w:sz w:val="24"/>
                <w:u w:val="single"/>
              </w:rPr>
            </w:pPr>
            <w:r>
              <w:rPr>
                <w:rFonts w:ascii="Times New Roman" w:hAnsi="Times New Roman"/>
                <w:b/>
                <w:sz w:val="24"/>
                <w:u w:val="single"/>
              </w:rPr>
              <w:t>OD TEGA: VELIKI SUBJEKTI FINANČNEGA SEKTORJA IN NEREGULIR</w:t>
            </w:r>
            <w:r>
              <w:rPr>
                <w:rFonts w:ascii="Times New Roman" w:hAnsi="Times New Roman"/>
                <w:b/>
                <w:sz w:val="24"/>
                <w:u w:val="single"/>
              </w:rPr>
              <w:t>A</w:t>
            </w:r>
            <w:r>
              <w:rPr>
                <w:rFonts w:ascii="Times New Roman" w:hAnsi="Times New Roman"/>
                <w:b/>
                <w:sz w:val="24"/>
                <w:u w:val="single"/>
              </w:rPr>
              <w:t>NI FINANČNI SUBJEKTI</w:t>
            </w:r>
          </w:p>
          <w:p w:rsidR="001C7AB7" w:rsidRPr="00392FFD" w:rsidDel="005A2363" w:rsidRDefault="001C7AB7" w:rsidP="00FD6CCB">
            <w:pPr>
              <w:rPr>
                <w:rFonts w:ascii="Times New Roman" w:hAnsi="Times New Roman"/>
                <w:sz w:val="24"/>
              </w:rPr>
            </w:pPr>
            <w:r>
              <w:rPr>
                <w:rFonts w:ascii="Times New Roman" w:hAnsi="Times New Roman"/>
                <w:sz w:val="24"/>
              </w:rPr>
              <w:t>Razčlenitev zneska tveganju prilagojenih izpostavljenosti po uporabi faktorja za podporo MSP za vse izpostavljenosti, kot je opredeljeno v skladu s členom 142(4) in (5) CRR zaradi večje korelacije v skladu s členom 153(2) CRR.</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ZNESEK PRIČAKOVANE IZGUBE</w:t>
            </w:r>
          </w:p>
          <w:p w:rsidR="001C7AB7" w:rsidRPr="00392FFD" w:rsidRDefault="001C7AB7" w:rsidP="00FD6CCB">
            <w:pPr>
              <w:jc w:val="left"/>
              <w:rPr>
                <w:rFonts w:ascii="Times New Roman" w:hAnsi="Times New Roman"/>
                <w:sz w:val="24"/>
              </w:rPr>
            </w:pPr>
            <w:r>
              <w:rPr>
                <w:rFonts w:ascii="Times New Roman" w:hAnsi="Times New Roman"/>
                <w:sz w:val="24"/>
              </w:rPr>
              <w:t>Pričakovane izgube so opredeljene v členu 5(3) CRR, izračun pa je opisan v členu 158 CRR. Znesek pričakovane izgube, ki se poroča, temelji na parametrih tveganja, ki se dejansko uporabljajo v notranjem bonitetnem sistemu, ki ga odobri zadevni pristojni organ.</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290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PRILAGODITVE VREDNOSTI IN REZERVACIJE</w:t>
            </w:r>
          </w:p>
          <w:p w:rsidR="001C7AB7" w:rsidRPr="00392FFD" w:rsidRDefault="001C7AB7" w:rsidP="00FD6CCB">
            <w:pPr>
              <w:rPr>
                <w:rFonts w:ascii="Times New Roman" w:hAnsi="Times New Roman"/>
                <w:sz w:val="24"/>
              </w:rPr>
            </w:pPr>
            <w:r>
              <w:rPr>
                <w:rFonts w:ascii="Times New Roman" w:hAnsi="Times New Roman"/>
                <w:sz w:val="24"/>
              </w:rPr>
              <w:t>Poročajo se prilagoditve vrednosti ter posebni in splošni popravki zaradi kreditnega tv</w:t>
            </w:r>
            <w:r>
              <w:rPr>
                <w:rFonts w:ascii="Times New Roman" w:hAnsi="Times New Roman"/>
                <w:sz w:val="24"/>
              </w:rPr>
              <w:t>e</w:t>
            </w:r>
            <w:r>
              <w:rPr>
                <w:rFonts w:ascii="Times New Roman" w:hAnsi="Times New Roman"/>
                <w:sz w:val="24"/>
              </w:rPr>
              <w:t>ganja iz člena 159 CRR. Splošne</w:t>
            </w:r>
            <w:r>
              <w:rPr>
                <w:rFonts w:ascii="Times New Roman" w:hAnsi="Times New Roman"/>
                <w:b/>
                <w:i/>
                <w:sz w:val="24"/>
              </w:rPr>
              <w:t xml:space="preserve"> </w:t>
            </w:r>
            <w:r>
              <w:rPr>
                <w:rFonts w:ascii="Times New Roman" w:hAnsi="Times New Roman"/>
                <w:sz w:val="24"/>
              </w:rPr>
              <w:t>rezervacije se sporočijo z dodelitvijo sorazmernega zneska, v skladu s pričakovano izgubo različnih bonitetnih razredov dolžnikov.</w:t>
            </w:r>
          </w:p>
        </w:tc>
      </w:tr>
      <w:tr w:rsidR="001C7AB7" w:rsidRPr="00392FFD" w:rsidTr="00672D2A">
        <w:tc>
          <w:tcPr>
            <w:tcW w:w="1188" w:type="dxa"/>
          </w:tcPr>
          <w:p w:rsidR="001C7AB7" w:rsidRPr="00392FFD" w:rsidRDefault="001C7AB7" w:rsidP="001C7AB7">
            <w:pPr>
              <w:ind w:right="-288"/>
              <w:rPr>
                <w:rFonts w:ascii="Times New Roman" w:hAnsi="Times New Roman"/>
                <w:sz w:val="24"/>
              </w:rPr>
            </w:pPr>
            <w:r>
              <w:rPr>
                <w:rFonts w:ascii="Times New Roman" w:hAnsi="Times New Roman"/>
                <w:sz w:val="24"/>
              </w:rPr>
              <w:t>300</w:t>
            </w:r>
          </w:p>
        </w:tc>
        <w:tc>
          <w:tcPr>
            <w:tcW w:w="8843" w:type="dxa"/>
          </w:tcPr>
          <w:p w:rsidR="001C7AB7" w:rsidRPr="00392FFD" w:rsidRDefault="001C7AB7" w:rsidP="001C7AB7">
            <w:pPr>
              <w:ind w:right="-288"/>
              <w:rPr>
                <w:rFonts w:ascii="Times New Roman" w:hAnsi="Times New Roman"/>
                <w:b/>
                <w:sz w:val="24"/>
                <w:u w:val="single"/>
              </w:rPr>
            </w:pPr>
            <w:r>
              <w:rPr>
                <w:rFonts w:ascii="Times New Roman" w:hAnsi="Times New Roman"/>
                <w:b/>
                <w:sz w:val="24"/>
                <w:u w:val="single"/>
              </w:rPr>
              <w:t>ŠTEVILO DOLŽNIKOV</w:t>
            </w:r>
          </w:p>
          <w:p w:rsidR="001C7AB7" w:rsidRPr="00392FFD" w:rsidRDefault="001C7AB7" w:rsidP="001C7AB7">
            <w:pPr>
              <w:rPr>
                <w:rFonts w:ascii="Times New Roman" w:hAnsi="Times New Roman"/>
                <w:sz w:val="24"/>
              </w:rPr>
            </w:pPr>
            <w:r>
              <w:rPr>
                <w:rFonts w:ascii="Times New Roman" w:hAnsi="Times New Roman"/>
                <w:sz w:val="24"/>
              </w:rPr>
              <w:t>Člen 172(1) in (2) CRR.</w:t>
            </w:r>
          </w:p>
          <w:p w:rsidR="001C7AB7" w:rsidRPr="00392FFD" w:rsidRDefault="001C7AB7" w:rsidP="001C7AB7">
            <w:pPr>
              <w:rPr>
                <w:rFonts w:ascii="Times New Roman" w:hAnsi="Times New Roman"/>
                <w:sz w:val="24"/>
              </w:rPr>
            </w:pPr>
            <w:r>
              <w:rPr>
                <w:rFonts w:ascii="Times New Roman" w:hAnsi="Times New Roman"/>
                <w:sz w:val="24"/>
              </w:rPr>
              <w:t>Za vse kategorije izpostavljenosti, razen kategorije izpostavljenosti na drobno in prim</w:t>
            </w:r>
            <w:r>
              <w:rPr>
                <w:rFonts w:ascii="Times New Roman" w:hAnsi="Times New Roman"/>
                <w:sz w:val="24"/>
              </w:rPr>
              <w:t>e</w:t>
            </w:r>
            <w:r>
              <w:rPr>
                <w:rFonts w:ascii="Times New Roman" w:hAnsi="Times New Roman"/>
                <w:sz w:val="24"/>
              </w:rPr>
              <w:t>rov iz drugega stavka člena 172(1)(e) CRR, institucija poroča število pravnih subje</w:t>
            </w:r>
            <w:r>
              <w:rPr>
                <w:rFonts w:ascii="Times New Roman" w:hAnsi="Times New Roman"/>
                <w:sz w:val="24"/>
              </w:rPr>
              <w:t>k</w:t>
            </w:r>
            <w:r>
              <w:rPr>
                <w:rFonts w:ascii="Times New Roman" w:hAnsi="Times New Roman"/>
                <w:sz w:val="24"/>
              </w:rPr>
              <w:t xml:space="preserve">tov/dolžnikov, ki so bili ločeno ocenjeni, ne glede na število različnih odobrenih kreditov ali izpostavljenosti. </w:t>
            </w:r>
          </w:p>
          <w:p w:rsidR="001C7AB7" w:rsidRPr="00392FFD" w:rsidRDefault="001C7AB7" w:rsidP="001C7AB7">
            <w:pPr>
              <w:rPr>
                <w:rFonts w:ascii="Times New Roman" w:hAnsi="Times New Roman"/>
                <w:sz w:val="24"/>
              </w:rPr>
            </w:pPr>
            <w:r>
              <w:rPr>
                <w:rFonts w:ascii="Times New Roman" w:hAnsi="Times New Roman"/>
                <w:sz w:val="24"/>
              </w:rPr>
              <w:t>Znotraj kategorije izpostavljenosti na drobno ali če se posamezne izpostavljenosti do istega dolžnika dodelijo v različne razrede dolžnikov v skladu z drugim stavkom člena 172(1)(e) CRR v drugih kategorijah izpostavljenosti, institucija poroča število izposta</w:t>
            </w:r>
            <w:r>
              <w:rPr>
                <w:rFonts w:ascii="Times New Roman" w:hAnsi="Times New Roman"/>
                <w:sz w:val="24"/>
              </w:rPr>
              <w:t>v</w:t>
            </w:r>
            <w:r>
              <w:rPr>
                <w:rFonts w:ascii="Times New Roman" w:hAnsi="Times New Roman"/>
                <w:sz w:val="24"/>
              </w:rPr>
              <w:t xml:space="preserve">ljenosti, ki so bile ločeno dodeljene določenemu bonitetnemu razredu ali skupini. Če se uporablja člen 172(2) CRR, je mogoče dolžnika obravnavati v več bonitetnih razredih. </w:t>
            </w:r>
          </w:p>
          <w:p w:rsidR="001C7AB7" w:rsidRPr="00392FFD" w:rsidRDefault="001C7AB7" w:rsidP="00241845">
            <w:pPr>
              <w:rPr>
                <w:rFonts w:ascii="Times New Roman" w:hAnsi="Times New Roman"/>
                <w:sz w:val="24"/>
              </w:rPr>
            </w:pPr>
            <w:r>
              <w:rPr>
                <w:rStyle w:val="InstructionsTabelleText"/>
                <w:rFonts w:ascii="Times New Roman" w:hAnsi="Times New Roman"/>
                <w:sz w:val="24"/>
              </w:rPr>
              <w:t xml:space="preserve">Ker ta stolpec obravnava element strukture bonitetnih sistemov, se nanaša na originalne izpostavljenosti pred uporabo </w:t>
            </w:r>
            <w:proofErr w:type="spellStart"/>
            <w:r>
              <w:rPr>
                <w:rStyle w:val="InstructionsTabelleText"/>
                <w:rFonts w:ascii="Times New Roman" w:hAnsi="Times New Roman"/>
                <w:sz w:val="24"/>
              </w:rPr>
              <w:t>konverzijskega</w:t>
            </w:r>
            <w:proofErr w:type="spellEnd"/>
            <w:r>
              <w:rPr>
                <w:rStyle w:val="InstructionsTabelleText"/>
                <w:rFonts w:ascii="Times New Roman" w:hAnsi="Times New Roman"/>
                <w:sz w:val="24"/>
              </w:rPr>
              <w:t xml:space="preserve"> faktorja, dodeljenega vsakemu bonitetnemu razredu ali skupini, pri čemer ne upošteva učinka tehnik za zmanjševanje kreditnega tv</w:t>
            </w:r>
            <w:r>
              <w:rPr>
                <w:rStyle w:val="InstructionsTabelleText"/>
                <w:rFonts w:ascii="Times New Roman" w:hAnsi="Times New Roman"/>
                <w:sz w:val="24"/>
              </w:rPr>
              <w:t>e</w:t>
            </w:r>
            <w:r>
              <w:rPr>
                <w:rStyle w:val="InstructionsTabelleText"/>
                <w:rFonts w:ascii="Times New Roman" w:hAnsi="Times New Roman"/>
                <w:sz w:val="24"/>
              </w:rPr>
              <w:t>ganja (zlasti učinkov prerazporeditve).</w:t>
            </w:r>
          </w:p>
        </w:tc>
      </w:tr>
    </w:tbl>
    <w:p w:rsidR="001C7AB7" w:rsidRPr="00392FFD"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392FFD" w:rsidTr="00672D2A">
        <w:tc>
          <w:tcPr>
            <w:tcW w:w="1242"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Vrstice</w:t>
            </w:r>
          </w:p>
        </w:tc>
        <w:tc>
          <w:tcPr>
            <w:tcW w:w="8789" w:type="dxa"/>
            <w:shd w:val="clear" w:color="auto" w:fill="CCCCCC"/>
          </w:tcPr>
          <w:p w:rsidR="001C7AB7" w:rsidRPr="00392FFD" w:rsidRDefault="001C7AB7" w:rsidP="001C7AB7">
            <w:pPr>
              <w:ind w:left="72"/>
              <w:rPr>
                <w:rFonts w:ascii="Times New Roman" w:hAnsi="Times New Roman"/>
                <w:sz w:val="24"/>
              </w:rPr>
            </w:pPr>
            <w:r>
              <w:rPr>
                <w:rFonts w:ascii="Times New Roman" w:hAnsi="Times New Roman"/>
                <w:sz w:val="24"/>
              </w:rPr>
              <w:t>Navodila</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lastRenderedPageBreak/>
              <w:t>010</w:t>
            </w:r>
          </w:p>
        </w:tc>
        <w:tc>
          <w:tcPr>
            <w:tcW w:w="8789" w:type="dxa"/>
          </w:tcPr>
          <w:p w:rsidR="001C7AB7" w:rsidRPr="00392FFD" w:rsidRDefault="001C7AB7" w:rsidP="00FD6CCB">
            <w:pPr>
              <w:rPr>
                <w:rFonts w:ascii="Times New Roman" w:hAnsi="Times New Roman"/>
                <w:sz w:val="24"/>
              </w:rPr>
            </w:pPr>
            <w:r>
              <w:rPr>
                <w:rFonts w:ascii="Times New Roman" w:hAnsi="Times New Roman"/>
                <w:b/>
                <w:sz w:val="24"/>
                <w:u w:val="single"/>
              </w:rPr>
              <w:t>SKUPNI ZNESEK IZPOSTAVLJENOSTI</w:t>
            </w:r>
          </w:p>
        </w:tc>
      </w:tr>
      <w:tr w:rsidR="00785F3E" w:rsidRPr="00392FFD" w:rsidTr="00672D2A">
        <w:tc>
          <w:tcPr>
            <w:tcW w:w="1242" w:type="dxa"/>
          </w:tcPr>
          <w:p w:rsidR="00785F3E" w:rsidRPr="00392FFD" w:rsidRDefault="003C3168" w:rsidP="001C7AB7">
            <w:pPr>
              <w:rPr>
                <w:rFonts w:ascii="Times New Roman" w:hAnsi="Times New Roman"/>
                <w:sz w:val="24"/>
              </w:rPr>
            </w:pPr>
            <w:r>
              <w:rPr>
                <w:rFonts w:ascii="Times New Roman" w:hAnsi="Times New Roman"/>
                <w:sz w:val="24"/>
              </w:rPr>
              <w:t>015</w:t>
            </w:r>
          </w:p>
        </w:tc>
        <w:tc>
          <w:tcPr>
            <w:tcW w:w="8789" w:type="dxa"/>
          </w:tcPr>
          <w:p w:rsidR="00785F3E" w:rsidRPr="00392FFD" w:rsidRDefault="00785F3E" w:rsidP="00785F3E">
            <w:pPr>
              <w:rPr>
                <w:rFonts w:ascii="Times New Roman" w:hAnsi="Times New Roman"/>
                <w:b/>
                <w:sz w:val="24"/>
                <w:u w:val="single"/>
              </w:rPr>
            </w:pPr>
            <w:r>
              <w:rPr>
                <w:rFonts w:ascii="Times New Roman" w:hAnsi="Times New Roman"/>
                <w:b/>
                <w:sz w:val="24"/>
                <w:u w:val="single"/>
              </w:rPr>
              <w:t>od tega: izpostavljenosti, ki so predmet faktorja za podporo MSP</w:t>
            </w:r>
          </w:p>
          <w:p w:rsidR="00785F3E" w:rsidRPr="00392FFD" w:rsidRDefault="00785F3E" w:rsidP="00785F3E">
            <w:pPr>
              <w:rPr>
                <w:rFonts w:ascii="Times New Roman" w:hAnsi="Times New Roman"/>
                <w:sz w:val="24"/>
              </w:rPr>
            </w:pPr>
            <w:r>
              <w:rPr>
                <w:rFonts w:ascii="Times New Roman" w:hAnsi="Times New Roman"/>
                <w:sz w:val="24"/>
              </w:rPr>
              <w:t>V tej vrstici se poročajo samo izpostavljenosti, ki izpolnjujejo zahteve iz člena 501 CRR.</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020–060</w:t>
            </w:r>
          </w:p>
        </w:tc>
        <w:tc>
          <w:tcPr>
            <w:tcW w:w="8789" w:type="dxa"/>
          </w:tcPr>
          <w:p w:rsidR="001C7AB7" w:rsidRPr="00392FFD" w:rsidRDefault="001C7AB7" w:rsidP="001C7AB7">
            <w:pPr>
              <w:rPr>
                <w:rFonts w:ascii="Times New Roman" w:hAnsi="Times New Roman"/>
                <w:sz w:val="24"/>
              </w:rPr>
            </w:pPr>
            <w:r>
              <w:rPr>
                <w:rFonts w:ascii="Times New Roman" w:hAnsi="Times New Roman"/>
                <w:sz w:val="24"/>
              </w:rPr>
              <w:t>RAZČLENITEV SKUPNEGA ZNESKA IZPOSTAVLJENOSTI GLEDE NA VRSTE IZPOSTAVLJENOSTI:</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020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Bilančne postavke, ki so predmet kreditnega tveganja </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Sredstva iz člena 24 CRR, ki niso vključena v nobeno drugo kategorijo.</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Izpostavljenosti, ki so bilančne postavke in so vključene kot posli financiranja z vredno</w:t>
            </w:r>
            <w:r>
              <w:rPr>
                <w:rStyle w:val="InstructionsTabelleText"/>
                <w:rFonts w:ascii="Times New Roman" w:hAnsi="Times New Roman"/>
                <w:sz w:val="24"/>
              </w:rPr>
              <w:t>s</w:t>
            </w:r>
            <w:r>
              <w:rPr>
                <w:rStyle w:val="InstructionsTabelleText"/>
                <w:rFonts w:ascii="Times New Roman" w:hAnsi="Times New Roman"/>
                <w:sz w:val="24"/>
              </w:rPr>
              <w:t>tnimi papirji, izvedeni finančni instrumenti in posli z dolgim rokom poravnave ali iz pobota med različnimi kategorijami produktov, se poročajo v vrsticah 040–060 in se zato ne poročajo v tej vrstici.</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Proste izročitve v skladu s členom 379(1) CRR (če niso odbite) niso bilančna postavka, vendar se vseeno poročajo v tej vrstici.</w:t>
            </w:r>
          </w:p>
          <w:p w:rsidR="001C7AB7" w:rsidRPr="00392FFD" w:rsidRDefault="001C7AB7" w:rsidP="001C7AB7">
            <w:pPr>
              <w:rPr>
                <w:rFonts w:ascii="Times New Roman" w:hAnsi="Times New Roman"/>
                <w:sz w:val="24"/>
              </w:rPr>
            </w:pPr>
            <w:r>
              <w:rPr>
                <w:rStyle w:val="InstructionsTabelleText"/>
                <w:rFonts w:ascii="Times New Roman" w:hAnsi="Times New Roman"/>
                <w:sz w:val="24"/>
              </w:rPr>
              <w:t>Izpostavljenosti, ki izhajajo iz sredstev, danih CNS, v skladu s členom 4(91) CRR in izpostavljenosti iz naslova jamstvenega sklada v skladu s členom 4(89) CRR so vključ</w:t>
            </w:r>
            <w:r>
              <w:rPr>
                <w:rStyle w:val="InstructionsTabelleText"/>
                <w:rFonts w:ascii="Times New Roman" w:hAnsi="Times New Roman"/>
                <w:sz w:val="24"/>
              </w:rPr>
              <w:t>e</w:t>
            </w:r>
            <w:r>
              <w:rPr>
                <w:rStyle w:val="InstructionsTabelleText"/>
                <w:rFonts w:ascii="Times New Roman" w:hAnsi="Times New Roman"/>
                <w:sz w:val="24"/>
              </w:rPr>
              <w:t xml:space="preserve">ne, če niso poročane v vrstici 030. </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030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Zunajbilančne postavke, ki so predmet kreditnega tveganja</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Zunajbilančne postavke zajemajo postavke iz Priloge I k CRR.</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Izpostavljenosti, ki so zunajbilančne postavke in so vključene kot posli financiranja z vrednostnimi papirji, izvedeni finančni instrumenti in posli z dolgim rokom poravnave ali iz pobota med različnimi kategorijami produktov, so sporočene v vrsticah 040 – 060 ter zato niso sporočene v tej vrstici.</w:t>
            </w:r>
          </w:p>
          <w:p w:rsidR="001C7AB7" w:rsidRPr="00392FFD" w:rsidRDefault="001C7AB7" w:rsidP="001C7AB7">
            <w:pPr>
              <w:rPr>
                <w:rFonts w:ascii="Times New Roman" w:hAnsi="Times New Roman"/>
                <w:sz w:val="24"/>
              </w:rPr>
            </w:pPr>
            <w:r>
              <w:rPr>
                <w:rStyle w:val="InstructionsTabelleText"/>
                <w:rFonts w:ascii="Times New Roman" w:hAnsi="Times New Roman"/>
                <w:sz w:val="24"/>
              </w:rPr>
              <w:t>Izpostavljenosti, ki izhajajo iz sredstev, danih CNS, v skladu s členom 4(91) CRR in izpostavljenosti iz naslova jamstvenega sklada v skladu s členom 4(89) CRR so vključ</w:t>
            </w:r>
            <w:r>
              <w:rPr>
                <w:rStyle w:val="InstructionsTabelleText"/>
                <w:rFonts w:ascii="Times New Roman" w:hAnsi="Times New Roman"/>
                <w:sz w:val="24"/>
              </w:rPr>
              <w:t>e</w:t>
            </w:r>
            <w:r>
              <w:rPr>
                <w:rStyle w:val="InstructionsTabelleText"/>
                <w:rFonts w:ascii="Times New Roman" w:hAnsi="Times New Roman"/>
                <w:sz w:val="24"/>
              </w:rPr>
              <w:t xml:space="preserve">ne, če so obravnavane kot zunajbilančne postavke. </w:t>
            </w:r>
          </w:p>
        </w:tc>
      </w:tr>
      <w:tr w:rsidR="001C7AB7" w:rsidRPr="00392FFD" w:rsidTr="00672D2A">
        <w:tc>
          <w:tcPr>
            <w:tcW w:w="1242" w:type="dxa"/>
          </w:tcPr>
          <w:p w:rsidR="001C7AB7" w:rsidRPr="00392FFD" w:rsidRDefault="001C7AB7" w:rsidP="001C7AB7">
            <w:pPr>
              <w:rPr>
                <w:rFonts w:ascii="Times New Roman" w:hAnsi="Times New Roman"/>
                <w:sz w:val="24"/>
              </w:rPr>
            </w:pPr>
            <w:r>
              <w:rPr>
                <w:rStyle w:val="InstructionsTabelleText"/>
                <w:rFonts w:ascii="Times New Roman" w:hAnsi="Times New Roman"/>
                <w:sz w:val="24"/>
              </w:rPr>
              <w:t>040–060</w:t>
            </w:r>
          </w:p>
        </w:tc>
        <w:tc>
          <w:tcPr>
            <w:tcW w:w="8789" w:type="dxa"/>
          </w:tcPr>
          <w:p w:rsidR="001C7AB7" w:rsidRPr="00392FFD" w:rsidRDefault="001C7AB7" w:rsidP="001C7AB7">
            <w:pPr>
              <w:rPr>
                <w:rFonts w:ascii="Times New Roman" w:hAnsi="Times New Roman"/>
                <w:b/>
                <w:sz w:val="24"/>
                <w:u w:val="single"/>
              </w:rPr>
            </w:pPr>
            <w:r>
              <w:rPr>
                <w:rStyle w:val="InstructionsTabelleberschrift"/>
                <w:rFonts w:ascii="Times New Roman" w:hAnsi="Times New Roman"/>
                <w:sz w:val="24"/>
              </w:rPr>
              <w:t>Izpostavljenosti/posli, ki so predmet kreditnega tveganja nasprotne stranke</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040</w:t>
            </w:r>
          </w:p>
        </w:tc>
        <w:tc>
          <w:tcPr>
            <w:tcW w:w="8789" w:type="dxa"/>
          </w:tcPr>
          <w:p w:rsidR="001C7AB7" w:rsidRPr="00392FFD" w:rsidRDefault="001C7AB7" w:rsidP="001C7AB7">
            <w:pPr>
              <w:ind w:left="72"/>
              <w:rPr>
                <w:rStyle w:val="InstructionsTabelleberschrift"/>
                <w:rFonts w:ascii="Times New Roman" w:hAnsi="Times New Roman"/>
                <w:sz w:val="24"/>
              </w:rPr>
            </w:pPr>
            <w:r>
              <w:rPr>
                <w:rStyle w:val="InstructionsTabelleberschrift"/>
                <w:rFonts w:ascii="Times New Roman" w:hAnsi="Times New Roman"/>
                <w:sz w:val="24"/>
              </w:rPr>
              <w:t xml:space="preserve">Posli financiranja z vrednostnimi papirji </w:t>
            </w:r>
          </w:p>
          <w:p w:rsidR="001C7AB7" w:rsidRPr="00392FFD" w:rsidRDefault="001C7AB7" w:rsidP="001C7AB7">
            <w:pPr>
              <w:ind w:left="72"/>
              <w:rPr>
                <w:rStyle w:val="InstructionsTabelleText"/>
                <w:rFonts w:ascii="Times New Roman" w:hAnsi="Times New Roman"/>
                <w:sz w:val="24"/>
              </w:rPr>
            </w:pPr>
            <w:r>
              <w:rPr>
                <w:rStyle w:val="InstructionsTabelleText"/>
                <w:rFonts w:ascii="Times New Roman" w:hAnsi="Times New Roman"/>
                <w:sz w:val="24"/>
              </w:rPr>
              <w:t>Posli financiranja z vrednostnimi papirji, kot so opredeljeni v odstavku 17 dokumenta Baselskega odbora „Uporaba sporazuma Basel II za trgovalne dejavnosti in obravn</w:t>
            </w:r>
            <w:r>
              <w:rPr>
                <w:rStyle w:val="InstructionsTabelleText"/>
                <w:rFonts w:ascii="Times New Roman" w:hAnsi="Times New Roman"/>
                <w:sz w:val="24"/>
              </w:rPr>
              <w:t>a</w:t>
            </w:r>
            <w:r>
              <w:rPr>
                <w:rStyle w:val="InstructionsTabelleText"/>
                <w:rFonts w:ascii="Times New Roman" w:hAnsi="Times New Roman"/>
                <w:sz w:val="24"/>
              </w:rPr>
              <w:t>vanje učinkov dvojnega neplačila“, vključujejo: (i) pogodbe o začasni prodaji in zača</w:t>
            </w:r>
            <w:r>
              <w:rPr>
                <w:rStyle w:val="InstructionsTabelleText"/>
                <w:rFonts w:ascii="Times New Roman" w:hAnsi="Times New Roman"/>
                <w:sz w:val="24"/>
              </w:rPr>
              <w:t>s</w:t>
            </w:r>
            <w:r>
              <w:rPr>
                <w:rStyle w:val="InstructionsTabelleText"/>
                <w:rFonts w:ascii="Times New Roman" w:hAnsi="Times New Roman"/>
                <w:sz w:val="24"/>
              </w:rPr>
              <w:t xml:space="preserve">nem odkupu iz člena 4(82) CRR in posle </w:t>
            </w:r>
            <w:proofErr w:type="spellStart"/>
            <w:r>
              <w:rPr>
                <w:rStyle w:val="InstructionsTabelleText"/>
                <w:rFonts w:ascii="Times New Roman" w:hAnsi="Times New Roman"/>
                <w:sz w:val="24"/>
              </w:rPr>
              <w:t>posoje</w:t>
            </w:r>
            <w:proofErr w:type="spellEnd"/>
            <w:r>
              <w:rPr>
                <w:rStyle w:val="InstructionsTabelleText"/>
                <w:rFonts w:ascii="Times New Roman" w:hAnsi="Times New Roman"/>
                <w:sz w:val="24"/>
              </w:rPr>
              <w:t>/izposoje vrednostnih papirjev ali blaga ter (</w:t>
            </w:r>
            <w:proofErr w:type="spellStart"/>
            <w:r>
              <w:rPr>
                <w:rStyle w:val="InstructionsTabelleText"/>
                <w:rFonts w:ascii="Times New Roman" w:hAnsi="Times New Roman"/>
                <w:sz w:val="24"/>
              </w:rPr>
              <w:t>ii</w:t>
            </w:r>
            <w:proofErr w:type="spellEnd"/>
            <w:r>
              <w:rPr>
                <w:rStyle w:val="InstructionsTabelleText"/>
                <w:rFonts w:ascii="Times New Roman" w:hAnsi="Times New Roman"/>
                <w:sz w:val="24"/>
              </w:rPr>
              <w:t>) posle kreditiranja za povečanje trgovalnega portfelja iz člena 272(3) CRR.</w:t>
            </w:r>
          </w:p>
          <w:p w:rsidR="001C7AB7" w:rsidRPr="00392FFD" w:rsidRDefault="001C7AB7" w:rsidP="00FD6CCB">
            <w:pPr>
              <w:rPr>
                <w:rFonts w:ascii="Times New Roman" w:hAnsi="Times New Roman"/>
                <w:sz w:val="24"/>
              </w:rPr>
            </w:pPr>
            <w:r>
              <w:rPr>
                <w:rStyle w:val="InstructionsTabelleText"/>
                <w:rFonts w:ascii="Times New Roman" w:hAnsi="Times New Roman"/>
                <w:sz w:val="24"/>
              </w:rPr>
              <w:t>Posli financiranja z vrednostnimi papirji, ki so vključeni v pobot med različnimi kateg</w:t>
            </w:r>
            <w:r>
              <w:rPr>
                <w:rStyle w:val="InstructionsTabelleText"/>
                <w:rFonts w:ascii="Times New Roman" w:hAnsi="Times New Roman"/>
                <w:sz w:val="24"/>
              </w:rPr>
              <w:t>o</w:t>
            </w:r>
            <w:r>
              <w:rPr>
                <w:rStyle w:val="InstructionsTabelleText"/>
                <w:rFonts w:ascii="Times New Roman" w:hAnsi="Times New Roman"/>
                <w:sz w:val="24"/>
              </w:rPr>
              <w:t>rijami produktov in so zato poročani v vrstici 060, se ne poročajo v tej vrstici.</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050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Izvedeni finančni instrumenti</w:t>
            </w:r>
            <w:r>
              <w:rPr>
                <w:rStyle w:val="InstructionsTabelleberschrift"/>
                <w:rFonts w:ascii="Times New Roman" w:hAnsi="Times New Roman"/>
                <w:sz w:val="24"/>
              </w:rPr>
              <w:t xml:space="preserve"> in posli z dolgim rokom poravnave</w:t>
            </w:r>
          </w:p>
          <w:p w:rsidR="001C7AB7" w:rsidRPr="00392FFD" w:rsidRDefault="001C7AB7" w:rsidP="00FD6CCB">
            <w:pPr>
              <w:ind w:left="72"/>
              <w:rPr>
                <w:rFonts w:ascii="Times New Roman" w:hAnsi="Times New Roman"/>
                <w:sz w:val="24"/>
              </w:rPr>
            </w:pPr>
            <w:r>
              <w:rPr>
                <w:rStyle w:val="InstructionsTabelleText"/>
                <w:rFonts w:ascii="Times New Roman" w:hAnsi="Times New Roman"/>
                <w:sz w:val="24"/>
              </w:rPr>
              <w:t>Izvedeni finančni instrumenti zajemajo pogodbe iz Priloge II k CRR. Izvedeni finančni instrumenti in posli z dolgim rokom poravnave, ki so vključeni v pobot med različnimi kategorijami produktov in se zato poročajo v vrstici 060, se ne poročajo v tej vrstici.</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lastRenderedPageBreak/>
              <w:t>060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Iz naslova pogodbenega pobota med različnimi kategorijami produktov</w:t>
            </w:r>
          </w:p>
          <w:p w:rsidR="001C7AB7" w:rsidRPr="00392FFD" w:rsidRDefault="00FD6CCB" w:rsidP="001C7AB7">
            <w:pPr>
              <w:rPr>
                <w:rFonts w:ascii="Times New Roman" w:hAnsi="Times New Roman"/>
                <w:sz w:val="24"/>
              </w:rPr>
            </w:pPr>
            <w:r>
              <w:rPr>
                <w:rFonts w:ascii="Times New Roman" w:hAnsi="Times New Roman"/>
                <w:sz w:val="24"/>
              </w:rPr>
              <w:t>Glej navodila za predlogo CR SA.</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070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IZPOSTAVLJENOSTI, RAZVRŠČENE V BONITETNE RAZREDE DOLŽN</w:t>
            </w:r>
            <w:r>
              <w:rPr>
                <w:rFonts w:ascii="Times New Roman" w:hAnsi="Times New Roman"/>
                <w:b/>
                <w:sz w:val="24"/>
                <w:u w:val="single"/>
              </w:rPr>
              <w:t>I</w:t>
            </w:r>
            <w:r>
              <w:rPr>
                <w:rFonts w:ascii="Times New Roman" w:hAnsi="Times New Roman"/>
                <w:b/>
                <w:sz w:val="24"/>
                <w:u w:val="single"/>
              </w:rPr>
              <w:t>KOV ALI SKUPINE: SKUPAJ</w:t>
            </w:r>
          </w:p>
          <w:p w:rsidR="001C7AB7" w:rsidRPr="00392FFD" w:rsidRDefault="001C7AB7" w:rsidP="001C7AB7">
            <w:pPr>
              <w:rPr>
                <w:rFonts w:ascii="Times New Roman" w:hAnsi="Times New Roman"/>
                <w:sz w:val="24"/>
              </w:rPr>
            </w:pPr>
            <w:r>
              <w:rPr>
                <w:rFonts w:ascii="Times New Roman" w:hAnsi="Times New Roman"/>
                <w:sz w:val="24"/>
              </w:rPr>
              <w:t xml:space="preserve">Za izpostavljenosti do podjetij, institucij ter enot centralne ravni države in centralnih bank glej člen 142(1)(6) in člen 170(1)(c) CRR. </w:t>
            </w:r>
          </w:p>
          <w:p w:rsidR="001C7AB7" w:rsidRPr="00392FFD" w:rsidRDefault="001C7AB7" w:rsidP="001C7AB7">
            <w:pPr>
              <w:rPr>
                <w:rFonts w:ascii="Times New Roman" w:hAnsi="Times New Roman"/>
                <w:sz w:val="24"/>
              </w:rPr>
            </w:pPr>
            <w:r>
              <w:rPr>
                <w:rFonts w:ascii="Times New Roman" w:hAnsi="Times New Roman"/>
                <w:sz w:val="24"/>
              </w:rPr>
              <w:t xml:space="preserve">Za izpostavljenosti na drobno glej člen 170(3)(b) CRR. Za izpostavljenosti, ki izhajajo iz odkupljenih denarnih terjatev, glej člen 166(6) CRR. </w:t>
            </w:r>
          </w:p>
          <w:p w:rsidR="001C7AB7" w:rsidRPr="00392FFD" w:rsidRDefault="001C7AB7" w:rsidP="001C7AB7">
            <w:pPr>
              <w:rPr>
                <w:rFonts w:ascii="Times New Roman" w:hAnsi="Times New Roman"/>
                <w:sz w:val="24"/>
              </w:rPr>
            </w:pPr>
            <w:r>
              <w:rPr>
                <w:rFonts w:ascii="Times New Roman" w:hAnsi="Times New Roman"/>
                <w:sz w:val="24"/>
              </w:rPr>
              <w:t>Izpostavljenosti za tveganje zmanjšanja vrednosti odkupljenih denarnih terjatev se ne poročajo po bonitetnih razredih dolžnikov ali skupinah in se poročajo v vrstici 180.</w:t>
            </w:r>
          </w:p>
          <w:p w:rsidR="001C7AB7" w:rsidRPr="00392FFD" w:rsidRDefault="001C7AB7" w:rsidP="001C7AB7">
            <w:pPr>
              <w:rPr>
                <w:rFonts w:ascii="Times New Roman" w:hAnsi="Times New Roman"/>
                <w:sz w:val="24"/>
              </w:rPr>
            </w:pPr>
            <w:r>
              <w:rPr>
                <w:rFonts w:ascii="Times New Roman" w:hAnsi="Times New Roman"/>
                <w:sz w:val="24"/>
              </w:rPr>
              <w:t xml:space="preserve">Kadar institucija uporablja veliko število bonitetnih razredov ali skupin, se je mogoče s pristojnimi organi dogovoriti za manjše število bonitetnih razredov ali skupin, ki jih je treba poročati. </w:t>
            </w:r>
          </w:p>
          <w:p w:rsidR="001C7AB7" w:rsidRPr="00392FFD" w:rsidRDefault="00C93697" w:rsidP="00FD6CCB">
            <w:pPr>
              <w:rPr>
                <w:rFonts w:ascii="Times New Roman" w:hAnsi="Times New Roman"/>
                <w:sz w:val="24"/>
              </w:rPr>
            </w:pPr>
            <w:r>
              <w:rPr>
                <w:rFonts w:ascii="Times New Roman" w:hAnsi="Times New Roman"/>
                <w:sz w:val="24"/>
              </w:rPr>
              <w:t xml:space="preserve">Ne uporabi se skupna bonitetna lestvica. Namesto tega institucije same določijo lestvico, ki se uporabi. </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080</w:t>
            </w:r>
          </w:p>
        </w:tc>
        <w:tc>
          <w:tcPr>
            <w:tcW w:w="8789" w:type="dxa"/>
          </w:tcPr>
          <w:p w:rsidR="001C7AB7" w:rsidRPr="00392FFD" w:rsidRDefault="001C7AB7" w:rsidP="001C7AB7">
            <w:pPr>
              <w:rPr>
                <w:rFonts w:ascii="Times New Roman" w:hAnsi="Times New Roman"/>
                <w:sz w:val="24"/>
              </w:rPr>
            </w:pPr>
            <w:r>
              <w:rPr>
                <w:rFonts w:ascii="Times New Roman" w:hAnsi="Times New Roman"/>
                <w:b/>
                <w:sz w:val="24"/>
                <w:u w:val="single"/>
              </w:rPr>
              <w:t>MERILA ZA RAZPOREJANJE POSEBNIH KREDITNIH ARANŽMAJEV: SKUPAJ</w:t>
            </w:r>
          </w:p>
          <w:p w:rsidR="001C7AB7" w:rsidRPr="00392FFD" w:rsidRDefault="001C7AB7" w:rsidP="00FD6CCB">
            <w:pPr>
              <w:rPr>
                <w:rFonts w:ascii="Times New Roman" w:hAnsi="Times New Roman"/>
                <w:sz w:val="24"/>
              </w:rPr>
            </w:pPr>
            <w:r>
              <w:rPr>
                <w:rFonts w:ascii="Times New Roman" w:hAnsi="Times New Roman"/>
                <w:sz w:val="24"/>
              </w:rPr>
              <w:t xml:space="preserve">Člen 153(5) CRR. Uporabljajo se le za kategorije izpostavljenosti do podjetij, institucij ter enot centralne ravni države in centralnih bank. </w:t>
            </w:r>
          </w:p>
        </w:tc>
      </w:tr>
      <w:tr w:rsidR="001C7AB7" w:rsidRPr="00392FFD" w:rsidTr="00672D2A">
        <w:tc>
          <w:tcPr>
            <w:tcW w:w="1242" w:type="dxa"/>
          </w:tcPr>
          <w:p w:rsidR="001C7AB7" w:rsidRPr="00392FFD" w:rsidRDefault="001C7AB7" w:rsidP="004F2B30">
            <w:pPr>
              <w:rPr>
                <w:rFonts w:ascii="Times New Roman" w:hAnsi="Times New Roman"/>
                <w:sz w:val="24"/>
              </w:rPr>
            </w:pPr>
            <w:r>
              <w:rPr>
                <w:rFonts w:ascii="Times New Roman" w:hAnsi="Times New Roman"/>
                <w:sz w:val="24"/>
              </w:rPr>
              <w:t>090–150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RAZČLENITEV SKUPNEGA ZNESKA IZPOSTAVLJENOSTI GLEDE NA UTEŽI TVEGANJA V SKLADU Z MERILI ZA RAZPOREJANJE POSEBNIH KREDITNIH ARANŽMAJEV:</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120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Od tega: v kategoriji 1 </w:t>
            </w:r>
          </w:p>
          <w:p w:rsidR="001C7AB7" w:rsidRPr="00392FFD" w:rsidRDefault="001C7AB7" w:rsidP="001C7AB7">
            <w:pPr>
              <w:rPr>
                <w:rFonts w:ascii="Times New Roman" w:hAnsi="Times New Roman"/>
                <w:sz w:val="24"/>
              </w:rPr>
            </w:pPr>
            <w:r>
              <w:rPr>
                <w:rFonts w:ascii="Times New Roman" w:hAnsi="Times New Roman"/>
                <w:sz w:val="24"/>
              </w:rPr>
              <w:t>Razpredelnica 1 iz člena 153(5) CRR.</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160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ALTERNATIVNA OBRAVNAVA: ZAVAROVANI Z NEPREMIČNINO</w:t>
            </w:r>
          </w:p>
          <w:p w:rsidR="001C7AB7" w:rsidRPr="00392FFD" w:rsidRDefault="001C7AB7" w:rsidP="001C7AB7">
            <w:pPr>
              <w:rPr>
                <w:rFonts w:ascii="Times New Roman" w:hAnsi="Times New Roman"/>
                <w:sz w:val="24"/>
              </w:rPr>
            </w:pPr>
            <w:r>
              <w:rPr>
                <w:rFonts w:ascii="Times New Roman" w:hAnsi="Times New Roman"/>
                <w:sz w:val="24"/>
              </w:rPr>
              <w:t>Členi 193(1) in (2), 194(1) do (7) ter 230(3) CRR.</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170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IZPOSTAVLJENOSTI IZ NASLOVA PROSTIH IZROČITEV, PRI KATERIH SE UPORABLJAJO UTEŽI TVEGANJA V OKVIRU ALTERNATIVNE OBR</w:t>
            </w:r>
            <w:r>
              <w:rPr>
                <w:rStyle w:val="InstructionsTabelleberschrift"/>
                <w:rFonts w:ascii="Times New Roman" w:hAnsi="Times New Roman"/>
                <w:sz w:val="24"/>
              </w:rPr>
              <w:t>A</w:t>
            </w:r>
            <w:r>
              <w:rPr>
                <w:rStyle w:val="InstructionsTabelleberschrift"/>
                <w:rFonts w:ascii="Times New Roman" w:hAnsi="Times New Roman"/>
                <w:sz w:val="24"/>
              </w:rPr>
              <w:t>VNAVE ALI 100 %, IN DRUGE IZPOSTAVLJENOSTI, ZA KATERE SE UP</w:t>
            </w:r>
            <w:r>
              <w:rPr>
                <w:rStyle w:val="InstructionsTabelleberschrift"/>
                <w:rFonts w:ascii="Times New Roman" w:hAnsi="Times New Roman"/>
                <w:sz w:val="24"/>
              </w:rPr>
              <w:t>O</w:t>
            </w:r>
            <w:r>
              <w:rPr>
                <w:rStyle w:val="InstructionsTabelleberschrift"/>
                <w:rFonts w:ascii="Times New Roman" w:hAnsi="Times New Roman"/>
                <w:sz w:val="24"/>
              </w:rPr>
              <w:t>RABIJO UTEŽI TVEGANJA</w:t>
            </w:r>
          </w:p>
          <w:p w:rsidR="001C7AB7" w:rsidRPr="00392FFD" w:rsidRDefault="001C7AB7" w:rsidP="00417984">
            <w:pPr>
              <w:rPr>
                <w:rFonts w:ascii="Times New Roman" w:hAnsi="Times New Roman"/>
                <w:sz w:val="24"/>
              </w:rPr>
            </w:pPr>
            <w:r>
              <w:rPr>
                <w:rFonts w:ascii="Times New Roman" w:hAnsi="Times New Roman"/>
                <w:sz w:val="24"/>
              </w:rPr>
              <w:t>Izpostavljenosti iz naslova prostih izročitev, za katere se uporablja alternativna obravn</w:t>
            </w:r>
            <w:r>
              <w:rPr>
                <w:rFonts w:ascii="Times New Roman" w:hAnsi="Times New Roman"/>
                <w:sz w:val="24"/>
              </w:rPr>
              <w:t>a</w:t>
            </w:r>
            <w:r>
              <w:rPr>
                <w:rFonts w:ascii="Times New Roman" w:hAnsi="Times New Roman"/>
                <w:sz w:val="24"/>
              </w:rPr>
              <w:t>va iz zadnjega stavka prvega pododstavka člena 379(2) CRR ali za katere se uporablja utež tveganja 100 % v skladu z zadnjim pododstavkom člena 379(2) CRR. Neocenjeni kreditni izvedeni finančni instrumenti na podlagi n-tega neplačila iz člena 153(8) CRR in katera koli druga izpostavljenost, za katero se uporabi utež tveganja, ki niso vključeni v nobeno drugo vrstico, se poročajo v tej vrstici.</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180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TVEGANJE ZMANJŠANJA VREDNOSTI: SKUPAJ ODKUPLJENE DENARNE TERJATVE</w:t>
            </w:r>
          </w:p>
          <w:p w:rsidR="001C7AB7" w:rsidRPr="00392FFD" w:rsidRDefault="001C7AB7" w:rsidP="001C7AB7">
            <w:pPr>
              <w:rPr>
                <w:rFonts w:ascii="Times New Roman" w:hAnsi="Times New Roman"/>
                <w:sz w:val="24"/>
              </w:rPr>
            </w:pPr>
            <w:r>
              <w:rPr>
                <w:rFonts w:ascii="Times New Roman" w:hAnsi="Times New Roman"/>
                <w:sz w:val="24"/>
              </w:rPr>
              <w:lastRenderedPageBreak/>
              <w:t>Tveganje zmanjšanja vrednosti je opredeljeno v členu 4(53) CRR. Izračun uteži tveganja za tveganje zmanjšanja vrednosti je opredeljen v členu 157(1) CRR.</w:t>
            </w:r>
          </w:p>
          <w:p w:rsidR="001C7AB7" w:rsidRPr="00392FFD" w:rsidRDefault="001C7AB7" w:rsidP="00FD6CCB">
            <w:pPr>
              <w:rPr>
                <w:rFonts w:ascii="Times New Roman" w:hAnsi="Times New Roman"/>
                <w:sz w:val="24"/>
              </w:rPr>
            </w:pPr>
            <w:r>
              <w:rPr>
                <w:rFonts w:ascii="Times New Roman" w:hAnsi="Times New Roman"/>
                <w:sz w:val="24"/>
              </w:rPr>
              <w:t>V skladu s členom 166(6) CRR je vrednost izpostavljenosti odkupljenih denarnih terj</w:t>
            </w:r>
            <w:r>
              <w:rPr>
                <w:rFonts w:ascii="Times New Roman" w:hAnsi="Times New Roman"/>
                <w:sz w:val="24"/>
              </w:rPr>
              <w:t>a</w:t>
            </w:r>
            <w:r>
              <w:rPr>
                <w:rFonts w:ascii="Times New Roman" w:hAnsi="Times New Roman"/>
                <w:sz w:val="24"/>
              </w:rPr>
              <w:t xml:space="preserve">tev neporavnani znesek, od katerega se odštejejo </w:t>
            </w:r>
            <w:r>
              <w:rPr>
                <w:rStyle w:val="InstructionsTabelleText"/>
                <w:rFonts w:ascii="Times New Roman" w:hAnsi="Times New Roman"/>
                <w:sz w:val="24"/>
              </w:rPr>
              <w:t>zneski tveganju prilagojenih izposta</w:t>
            </w:r>
            <w:r>
              <w:rPr>
                <w:rStyle w:val="InstructionsTabelleText"/>
                <w:rFonts w:ascii="Times New Roman" w:hAnsi="Times New Roman"/>
                <w:sz w:val="24"/>
              </w:rPr>
              <w:t>v</w:t>
            </w:r>
            <w:r>
              <w:rPr>
                <w:rStyle w:val="InstructionsTabelleText"/>
                <w:rFonts w:ascii="Times New Roman" w:hAnsi="Times New Roman"/>
                <w:sz w:val="24"/>
              </w:rPr>
              <w:t>ljenosti</w:t>
            </w:r>
            <w:r>
              <w:rPr>
                <w:rFonts w:ascii="Times New Roman" w:hAnsi="Times New Roman"/>
                <w:sz w:val="24"/>
              </w:rPr>
              <w:t xml:space="preserve"> za tveganje zmanjšanja vrednosti pred zmanjševanjem kreditnega tveganja.</w:t>
            </w:r>
          </w:p>
        </w:tc>
      </w:tr>
    </w:tbl>
    <w:p w:rsidR="004357B9" w:rsidRPr="00392FFD" w:rsidRDefault="004357B9" w:rsidP="004357B9">
      <w:pPr>
        <w:autoSpaceDE w:val="0"/>
        <w:autoSpaceDN w:val="0"/>
        <w:adjustRightInd w:val="0"/>
        <w:spacing w:before="0" w:after="0"/>
        <w:ind w:left="284"/>
        <w:jc w:val="left"/>
        <w:rPr>
          <w:rFonts w:ascii="Times New Roman" w:hAnsi="Times New Roman"/>
          <w:sz w:val="24"/>
        </w:rPr>
      </w:pPr>
      <w:bookmarkStart w:id="288" w:name="_Toc120327823"/>
      <w:bookmarkStart w:id="289" w:name="_Toc120072325"/>
      <w:bookmarkStart w:id="290" w:name="_Toc294280272"/>
      <w:bookmarkStart w:id="291" w:name="_Toc294281597"/>
      <w:bookmarkStart w:id="292" w:name="_Toc294281817"/>
      <w:bookmarkStart w:id="293" w:name="_Toc294282031"/>
      <w:bookmarkStart w:id="294" w:name="_Toc294282234"/>
      <w:bookmarkStart w:id="295" w:name="_Toc294714169"/>
      <w:bookmarkStart w:id="296" w:name="_Toc295314195"/>
      <w:bookmarkStart w:id="297" w:name="_Toc295829584"/>
      <w:bookmarkStart w:id="298" w:name="_Toc295829867"/>
      <w:bookmarkStart w:id="299" w:name="_Toc301772755"/>
      <w:bookmarkStart w:id="300" w:name="_Toc301772833"/>
      <w:bookmarkStart w:id="301" w:name="_Toc302657772"/>
      <w:bookmarkStart w:id="302" w:name="_Toc302657891"/>
      <w:bookmarkStart w:id="303" w:name="_Toc294280294"/>
      <w:bookmarkStart w:id="304" w:name="_Toc294281619"/>
      <w:bookmarkStart w:id="305" w:name="_Toc294281839"/>
      <w:bookmarkStart w:id="306" w:name="_Toc294282053"/>
      <w:bookmarkStart w:id="307" w:name="_Toc294282256"/>
      <w:bookmarkStart w:id="308" w:name="_Toc294714191"/>
      <w:bookmarkStart w:id="309" w:name="_Toc295314217"/>
      <w:bookmarkStart w:id="310" w:name="_Toc295829606"/>
      <w:bookmarkStart w:id="311" w:name="_Toc295829889"/>
      <w:bookmarkStart w:id="312" w:name="_Toc301772777"/>
      <w:bookmarkStart w:id="313" w:name="_Toc301772855"/>
      <w:bookmarkStart w:id="314" w:name="_Toc302657794"/>
      <w:bookmarkStart w:id="315" w:name="_Toc302657913"/>
      <w:bookmarkStart w:id="316" w:name="_Toc294280312"/>
      <w:bookmarkStart w:id="317" w:name="_Toc294281637"/>
      <w:bookmarkStart w:id="318" w:name="_Toc294281857"/>
      <w:bookmarkStart w:id="319" w:name="_Toc294282071"/>
      <w:bookmarkStart w:id="320" w:name="_Toc294282274"/>
      <w:bookmarkStart w:id="321" w:name="_Toc294714209"/>
      <w:bookmarkStart w:id="322" w:name="_Toc295314235"/>
      <w:bookmarkStart w:id="323" w:name="_Toc295829624"/>
      <w:bookmarkStart w:id="324" w:name="_Toc295829907"/>
      <w:bookmarkStart w:id="325" w:name="_Toc301772795"/>
      <w:bookmarkStart w:id="326" w:name="_Toc301772873"/>
      <w:bookmarkStart w:id="327" w:name="_Toc302657812"/>
      <w:bookmarkStart w:id="328" w:name="_Toc302657931"/>
      <w:bookmarkStart w:id="329" w:name="_Toc294280316"/>
      <w:bookmarkStart w:id="330" w:name="_Toc294281641"/>
      <w:bookmarkStart w:id="331" w:name="_Toc294281861"/>
      <w:bookmarkStart w:id="332" w:name="_Toc294282075"/>
      <w:bookmarkStart w:id="333" w:name="_Toc294282278"/>
      <w:bookmarkStart w:id="334" w:name="_Toc294714213"/>
      <w:bookmarkStart w:id="335" w:name="_Toc295314239"/>
      <w:bookmarkStart w:id="336" w:name="_Toc295829628"/>
      <w:bookmarkStart w:id="337" w:name="_Toc295829911"/>
      <w:bookmarkStart w:id="338" w:name="_Toc301772799"/>
      <w:bookmarkStart w:id="339" w:name="_Toc301772877"/>
      <w:bookmarkStart w:id="340" w:name="_Toc302657816"/>
      <w:bookmarkStart w:id="341" w:name="_Toc302657935"/>
      <w:bookmarkStart w:id="342" w:name="_Toc294280319"/>
      <w:bookmarkStart w:id="343" w:name="_Toc294281644"/>
      <w:bookmarkStart w:id="344" w:name="_Toc294281864"/>
      <w:bookmarkStart w:id="345" w:name="_Toc294282078"/>
      <w:bookmarkStart w:id="346" w:name="_Toc294282281"/>
      <w:bookmarkStart w:id="347" w:name="_Toc294714216"/>
      <w:bookmarkStart w:id="348" w:name="_Toc295314242"/>
      <w:bookmarkStart w:id="349" w:name="_Toc295829631"/>
      <w:bookmarkStart w:id="350" w:name="_Toc295829914"/>
      <w:bookmarkStart w:id="351" w:name="_Toc301772802"/>
      <w:bookmarkStart w:id="352" w:name="_Toc301772880"/>
      <w:bookmarkStart w:id="353" w:name="_Toc302657819"/>
      <w:bookmarkStart w:id="354" w:name="_Toc302657938"/>
      <w:bookmarkStart w:id="355" w:name="_Toc294280322"/>
      <w:bookmarkStart w:id="356" w:name="_Toc294281647"/>
      <w:bookmarkStart w:id="357" w:name="_Toc294281867"/>
      <w:bookmarkStart w:id="358" w:name="_Toc294282081"/>
      <w:bookmarkStart w:id="359" w:name="_Toc294282284"/>
      <w:bookmarkStart w:id="360" w:name="_Toc294714219"/>
      <w:bookmarkStart w:id="361" w:name="_Toc295314245"/>
      <w:bookmarkStart w:id="362" w:name="_Toc295829634"/>
      <w:bookmarkStart w:id="363" w:name="_Toc295829917"/>
      <w:bookmarkStart w:id="364" w:name="_Toc301772805"/>
      <w:bookmarkStart w:id="365" w:name="_Toc301772883"/>
      <w:bookmarkStart w:id="366" w:name="_Toc302657822"/>
      <w:bookmarkStart w:id="367" w:name="_Toc302657941"/>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368" w:name="_Toc516210646"/>
      <w:bookmarkStart w:id="369" w:name="_Toc473560911"/>
      <w:bookmarkStart w:id="370" w:name="_Toc523474395"/>
      <w:r>
        <w:rPr>
          <w:rFonts w:ascii="Times New Roman" w:hAnsi="Times New Roman"/>
          <w:sz w:val="24"/>
          <w:u w:val="none"/>
        </w:rPr>
        <w:t>3.3.4.</w:t>
      </w:r>
      <w:r w:rsidR="003F40E8" w:rsidRPr="003F40E8">
        <w:rPr>
          <w:u w:val="none"/>
        </w:rPr>
        <w:tab/>
      </w:r>
      <w:r>
        <w:rPr>
          <w:rFonts w:ascii="Times New Roman" w:hAnsi="Times New Roman"/>
          <w:sz w:val="24"/>
        </w:rPr>
        <w:t>C 08.02 – Kreditno tveganje in kreditno tveganje nasprotne stranke ter proste izroči</w:t>
      </w:r>
      <w:r>
        <w:rPr>
          <w:rFonts w:ascii="Times New Roman" w:hAnsi="Times New Roman"/>
          <w:sz w:val="24"/>
        </w:rPr>
        <w:t>t</w:t>
      </w:r>
      <w:r>
        <w:rPr>
          <w:rFonts w:ascii="Times New Roman" w:hAnsi="Times New Roman"/>
          <w:sz w:val="24"/>
        </w:rPr>
        <w:t>ve: razčlenitev glede na bonitetne razrede dolžnikov ali skupine izpostavljenosti (CR IRB 2)</w:t>
      </w:r>
      <w:bookmarkEnd w:id="368"/>
      <w:bookmarkEnd w:id="369"/>
      <w:bookmarkEnd w:id="37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rsidTr="00672D2A">
        <w:tc>
          <w:tcPr>
            <w:tcW w:w="2024" w:type="dxa"/>
            <w:shd w:val="clear" w:color="auto" w:fill="BFBFBF"/>
          </w:tcPr>
          <w:p w:rsidR="001C7AB7" w:rsidRPr="00392FFD" w:rsidRDefault="001C7AB7" w:rsidP="001C7AB7">
            <w:pPr>
              <w:rPr>
                <w:rFonts w:ascii="Times New Roman" w:hAnsi="Times New Roman"/>
                <w:sz w:val="24"/>
              </w:rPr>
            </w:pPr>
            <w:r>
              <w:rPr>
                <w:rFonts w:ascii="Times New Roman" w:hAnsi="Times New Roman"/>
                <w:sz w:val="24"/>
              </w:rPr>
              <w:t>Stolpec</w:t>
            </w:r>
          </w:p>
        </w:tc>
        <w:tc>
          <w:tcPr>
            <w:tcW w:w="7804" w:type="dxa"/>
            <w:shd w:val="clear" w:color="auto" w:fill="BFBFBF"/>
          </w:tcPr>
          <w:p w:rsidR="001C7AB7" w:rsidRPr="00392FFD" w:rsidRDefault="001C7AB7" w:rsidP="001C7AB7">
            <w:pPr>
              <w:rPr>
                <w:rFonts w:ascii="Times New Roman" w:hAnsi="Times New Roman"/>
                <w:sz w:val="24"/>
              </w:rPr>
            </w:pPr>
            <w:r>
              <w:rPr>
                <w:rFonts w:ascii="Times New Roman" w:hAnsi="Times New Roman"/>
                <w:sz w:val="24"/>
              </w:rPr>
              <w:t>Navodila</w:t>
            </w:r>
          </w:p>
        </w:tc>
      </w:tr>
      <w:tr w:rsidR="00E97CD2" w:rsidRPr="00392FFD" w:rsidTr="00672D2A">
        <w:tc>
          <w:tcPr>
            <w:tcW w:w="2024" w:type="dxa"/>
          </w:tcPr>
          <w:p w:rsidR="00E97CD2" w:rsidRPr="00392FFD" w:rsidRDefault="00E97CD2" w:rsidP="001C7AB7">
            <w:pPr>
              <w:rPr>
                <w:rFonts w:ascii="Times New Roman" w:hAnsi="Times New Roman"/>
                <w:sz w:val="24"/>
              </w:rPr>
            </w:pPr>
            <w:r>
              <w:rPr>
                <w:rFonts w:ascii="Times New Roman" w:hAnsi="Times New Roman"/>
                <w:sz w:val="24"/>
              </w:rPr>
              <w:t>005</w:t>
            </w:r>
          </w:p>
        </w:tc>
        <w:tc>
          <w:tcPr>
            <w:tcW w:w="7804" w:type="dxa"/>
          </w:tcPr>
          <w:p w:rsidR="00E97CD2" w:rsidRPr="00392FFD" w:rsidRDefault="00E97CD2" w:rsidP="001C7AB7">
            <w:pPr>
              <w:rPr>
                <w:rFonts w:ascii="Times New Roman" w:hAnsi="Times New Roman"/>
                <w:b/>
                <w:sz w:val="24"/>
                <w:u w:val="single"/>
              </w:rPr>
            </w:pPr>
            <w:r>
              <w:rPr>
                <w:rFonts w:ascii="Times New Roman" w:hAnsi="Times New Roman"/>
                <w:b/>
                <w:sz w:val="24"/>
                <w:u w:val="single"/>
              </w:rPr>
              <w:t>Bonitetni razred dolžnika (identifikator vrstice)</w:t>
            </w:r>
          </w:p>
          <w:p w:rsidR="00E97CD2" w:rsidRPr="00392FFD" w:rsidRDefault="00E97CD2" w:rsidP="003F05A0">
            <w:pPr>
              <w:rPr>
                <w:rFonts w:ascii="Times New Roman" w:hAnsi="Times New Roman"/>
                <w:sz w:val="24"/>
              </w:rPr>
            </w:pPr>
            <w:r>
              <w:rPr>
                <w:rFonts w:ascii="Times New Roman" w:hAnsi="Times New Roman"/>
                <w:sz w:val="24"/>
              </w:rPr>
              <w:t>To je identifikator vrstice in je enoten za vsako vrstico na določenem listu tabele. Sledi številčnemu zaporedju 1, 2, 3 itd.</w:t>
            </w:r>
          </w:p>
        </w:tc>
      </w:tr>
      <w:tr w:rsidR="001C7AB7" w:rsidRPr="00392FFD" w:rsidTr="00672D2A">
        <w:tc>
          <w:tcPr>
            <w:tcW w:w="2024" w:type="dxa"/>
          </w:tcPr>
          <w:p w:rsidR="001C7AB7" w:rsidRPr="00392FFD" w:rsidRDefault="001C7AB7" w:rsidP="001C7AB7">
            <w:pPr>
              <w:rPr>
                <w:rFonts w:ascii="Times New Roman" w:hAnsi="Times New Roman"/>
                <w:sz w:val="24"/>
              </w:rPr>
            </w:pPr>
            <w:r>
              <w:rPr>
                <w:rFonts w:ascii="Times New Roman" w:hAnsi="Times New Roman"/>
                <w:sz w:val="24"/>
              </w:rPr>
              <w:t>010–300</w:t>
            </w:r>
          </w:p>
        </w:tc>
        <w:tc>
          <w:tcPr>
            <w:tcW w:w="7804" w:type="dxa"/>
          </w:tcPr>
          <w:p w:rsidR="001C7AB7" w:rsidRPr="00392FFD" w:rsidRDefault="001C7AB7" w:rsidP="001C7AB7">
            <w:pPr>
              <w:rPr>
                <w:rFonts w:ascii="Times New Roman" w:hAnsi="Times New Roman"/>
                <w:sz w:val="24"/>
              </w:rPr>
            </w:pPr>
            <w:r>
              <w:rPr>
                <w:rFonts w:ascii="Times New Roman" w:hAnsi="Times New Roman"/>
                <w:sz w:val="24"/>
              </w:rPr>
              <w:t>Navodila za vsak stolpec so enaka kot za ustrezne oštevilčene stolpce v ra</w:t>
            </w:r>
            <w:r>
              <w:rPr>
                <w:rFonts w:ascii="Times New Roman" w:hAnsi="Times New Roman"/>
                <w:sz w:val="24"/>
              </w:rPr>
              <w:t>z</w:t>
            </w:r>
            <w:r>
              <w:rPr>
                <w:rFonts w:ascii="Times New Roman" w:hAnsi="Times New Roman"/>
                <w:sz w:val="24"/>
              </w:rPr>
              <w:t>predelnici CR IRB 1.</w:t>
            </w:r>
          </w:p>
        </w:tc>
      </w:tr>
    </w:tbl>
    <w:p w:rsidR="001C7AB7" w:rsidRPr="00392FFD"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rsidTr="00672D2A">
        <w:tc>
          <w:tcPr>
            <w:tcW w:w="2024" w:type="dxa"/>
            <w:shd w:val="pct25" w:color="auto" w:fill="auto"/>
          </w:tcPr>
          <w:p w:rsidR="001C7AB7" w:rsidRPr="00392FFD" w:rsidRDefault="001C7AB7" w:rsidP="001C7AB7">
            <w:pPr>
              <w:rPr>
                <w:rFonts w:ascii="Times New Roman" w:hAnsi="Times New Roman"/>
                <w:sz w:val="24"/>
              </w:rPr>
            </w:pPr>
            <w:r>
              <w:rPr>
                <w:rFonts w:ascii="Times New Roman" w:hAnsi="Times New Roman"/>
                <w:sz w:val="24"/>
              </w:rPr>
              <w:t>Vrstica</w:t>
            </w:r>
          </w:p>
        </w:tc>
        <w:tc>
          <w:tcPr>
            <w:tcW w:w="7804" w:type="dxa"/>
            <w:shd w:val="pct25" w:color="auto" w:fill="auto"/>
          </w:tcPr>
          <w:p w:rsidR="001C7AB7" w:rsidRPr="00392FFD" w:rsidRDefault="001C7AB7" w:rsidP="001C7AB7">
            <w:pPr>
              <w:rPr>
                <w:rFonts w:ascii="Times New Roman" w:hAnsi="Times New Roman"/>
                <w:sz w:val="24"/>
              </w:rPr>
            </w:pPr>
            <w:r>
              <w:rPr>
                <w:rFonts w:ascii="Times New Roman" w:hAnsi="Times New Roman"/>
                <w:sz w:val="24"/>
              </w:rPr>
              <w:t>Navodila</w:t>
            </w:r>
          </w:p>
        </w:tc>
      </w:tr>
      <w:tr w:rsidR="001C7AB7" w:rsidRPr="00392FFD" w:rsidTr="00672D2A">
        <w:tc>
          <w:tcPr>
            <w:tcW w:w="2024" w:type="dxa"/>
          </w:tcPr>
          <w:p w:rsidR="001C7AB7" w:rsidRPr="00392FFD" w:rsidRDefault="001C7AB7" w:rsidP="001C7AB7">
            <w:pPr>
              <w:rPr>
                <w:rFonts w:ascii="Times New Roman" w:hAnsi="Times New Roman"/>
                <w:sz w:val="24"/>
              </w:rPr>
            </w:pPr>
            <w:r>
              <w:rPr>
                <w:rFonts w:ascii="Times New Roman" w:hAnsi="Times New Roman"/>
                <w:sz w:val="24"/>
              </w:rPr>
              <w:t>010–001 – 010–NNN</w:t>
            </w:r>
          </w:p>
        </w:tc>
        <w:tc>
          <w:tcPr>
            <w:tcW w:w="7804" w:type="dxa"/>
          </w:tcPr>
          <w:p w:rsidR="001C7AB7" w:rsidRPr="00392FFD" w:rsidRDefault="001C7AB7" w:rsidP="001C7AB7">
            <w:pPr>
              <w:rPr>
                <w:rFonts w:ascii="Times New Roman" w:hAnsi="Times New Roman"/>
                <w:sz w:val="24"/>
              </w:rPr>
            </w:pPr>
            <w:r>
              <w:rPr>
                <w:rFonts w:ascii="Times New Roman" w:hAnsi="Times New Roman"/>
                <w:sz w:val="24"/>
              </w:rPr>
              <w:t>Vrednosti, ki se poročajo v teh vrsticah, morajo biti navedene v vrstnem redu od nižje do višje glede na verjetnost neplačila, ki se dodeli bonitetnemu razr</w:t>
            </w:r>
            <w:r>
              <w:rPr>
                <w:rFonts w:ascii="Times New Roman" w:hAnsi="Times New Roman"/>
                <w:sz w:val="24"/>
              </w:rPr>
              <w:t>e</w:t>
            </w:r>
            <w:r>
              <w:rPr>
                <w:rFonts w:ascii="Times New Roman" w:hAnsi="Times New Roman"/>
                <w:sz w:val="24"/>
              </w:rPr>
              <w:t>du dolžnika ali skupini. Verjetnost neplačila dolžnikov, ki so opredeljeni kot neplačniki, znaša 100 %. Izpostavljenosti, ki so predmet alternativne obravn</w:t>
            </w:r>
            <w:r>
              <w:rPr>
                <w:rFonts w:ascii="Times New Roman" w:hAnsi="Times New Roman"/>
                <w:sz w:val="24"/>
              </w:rPr>
              <w:t>a</w:t>
            </w:r>
            <w:r>
              <w:rPr>
                <w:rFonts w:ascii="Times New Roman" w:hAnsi="Times New Roman"/>
                <w:sz w:val="24"/>
              </w:rPr>
              <w:t>ve za zavarovanje z nepremičnino (na voljo le, kadar se za izgubo ob neplačilu (LGD) ne uporabljajo lastne ocene), se ne dodelijo v skladu z verjetnostjo neplačila dolžnika in se ne poročajo v tej predlogi.</w:t>
            </w:r>
          </w:p>
        </w:tc>
      </w:tr>
    </w:tbl>
    <w:p w:rsidR="004357B9" w:rsidRPr="00392FFD" w:rsidRDefault="004357B9" w:rsidP="00FD239F">
      <w:pPr>
        <w:pStyle w:val="InstructionsText"/>
      </w:pPr>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71" w:name="_Toc360188361"/>
      <w:bookmarkStart w:id="372" w:name="_Toc516210647"/>
      <w:bookmarkStart w:id="373" w:name="_Toc473560912"/>
      <w:bookmarkStart w:id="374" w:name="_Toc523474396"/>
      <w:r>
        <w:rPr>
          <w:rFonts w:ascii="Times New Roman" w:hAnsi="Times New Roman"/>
          <w:sz w:val="24"/>
          <w:u w:val="none"/>
        </w:rPr>
        <w:t>3.4.</w:t>
      </w:r>
      <w:r w:rsidR="003F40E8" w:rsidRPr="003F40E8">
        <w:rPr>
          <w:u w:val="none"/>
        </w:rPr>
        <w:tab/>
      </w:r>
      <w:r>
        <w:rPr>
          <w:rFonts w:ascii="Times New Roman" w:hAnsi="Times New Roman"/>
          <w:sz w:val="24"/>
        </w:rPr>
        <w:t>Kreditno tveganje in kreditno tveganje nasprotne stranke ter proste izročitve: Inform</w:t>
      </w:r>
      <w:r>
        <w:rPr>
          <w:rFonts w:ascii="Times New Roman" w:hAnsi="Times New Roman"/>
          <w:sz w:val="24"/>
        </w:rPr>
        <w:t>a</w:t>
      </w:r>
      <w:r>
        <w:rPr>
          <w:rFonts w:ascii="Times New Roman" w:hAnsi="Times New Roman"/>
          <w:sz w:val="24"/>
        </w:rPr>
        <w:t>cije z geografsko razčlenitvijo</w:t>
      </w:r>
      <w:bookmarkEnd w:id="371"/>
      <w:bookmarkEnd w:id="372"/>
      <w:bookmarkEnd w:id="373"/>
      <w:bookmarkEnd w:id="374"/>
    </w:p>
    <w:p w:rsidR="004357B9" w:rsidRPr="00392FFD" w:rsidRDefault="00125707" w:rsidP="00C37B29">
      <w:pPr>
        <w:pStyle w:val="InstructionsText2"/>
        <w:numPr>
          <w:ilvl w:val="0"/>
          <w:numId w:val="0"/>
        </w:numPr>
        <w:ind w:left="993"/>
      </w:pPr>
      <w:r>
        <w:t>79.</w:t>
      </w:r>
      <w:r>
        <w:tab/>
        <w:t>Vse institucije predložijo informacije, združene na skupno raven. Poleg tega, institucije, ki dosegajo prag iz člena 5(a)(4) te uredbe, predložijo informacije, ra</w:t>
      </w:r>
      <w:r>
        <w:t>z</w:t>
      </w:r>
      <w:r>
        <w:t>členjene po državah, v zvezi z domačo državo in vsemi tujimi državami. Prag se uporablja le za razpredelnico 1 in razpredelnico 2. Izpostavljenosti do nadnaciona</w:t>
      </w:r>
      <w:r>
        <w:t>l</w:t>
      </w:r>
      <w:r>
        <w:t>nih organizacij se dodelijo geografskemu območju „Druge države“.</w:t>
      </w:r>
    </w:p>
    <w:p w:rsidR="004357B9" w:rsidRPr="00392FFD" w:rsidRDefault="00125707" w:rsidP="00C37B29">
      <w:pPr>
        <w:pStyle w:val="InstructionsText2"/>
        <w:numPr>
          <w:ilvl w:val="0"/>
          <w:numId w:val="0"/>
        </w:numPr>
        <w:ind w:left="993"/>
      </w:pPr>
      <w:r>
        <w:t>80.</w:t>
      </w:r>
      <w:r>
        <w:tab/>
        <w:t>Izraz „sedež dolžnika“ se nanaša na državo registracije dolžnika. Ta koncept se lahko uporabi na podlagi neposrednega dolžnika in na podlagi končnega tveganja. Tehnike za zmanjševanje kreditnega tveganja lahko torej spremenijo dodelitev izpostavljenosti državi. Izpostavljenosti do nadnacionalnih organizacij se ne dodel</w:t>
      </w:r>
      <w:r>
        <w:t>i</w:t>
      </w:r>
      <w:r>
        <w:t>jo državi sedeža institucije, ampak geografskemu območju „Druge države“ ne glede na kategorijo izpostavljenosti, v katerega se dodeli izpostavljenost do nadnaciona</w:t>
      </w:r>
      <w:r>
        <w:t>l</w:t>
      </w:r>
      <w:r>
        <w:t>nih organizacij.</w:t>
      </w:r>
    </w:p>
    <w:p w:rsidR="0096378F" w:rsidRPr="00392FFD" w:rsidRDefault="00125707" w:rsidP="00C37B29">
      <w:pPr>
        <w:pStyle w:val="InstructionsText2"/>
        <w:numPr>
          <w:ilvl w:val="0"/>
          <w:numId w:val="0"/>
        </w:numPr>
        <w:ind w:left="993"/>
      </w:pPr>
      <w:r>
        <w:lastRenderedPageBreak/>
        <w:t>81.</w:t>
      </w:r>
      <w:r>
        <w:tab/>
        <w:t>Podatki v zvezi z „originalno izpostavljenostjo pred uporabo konverzijskih fa</w:t>
      </w:r>
      <w:r>
        <w:t>k</w:t>
      </w:r>
      <w:r>
        <w:t>torjev“ se poročajo glede na državo sedeža neposrednega dolžnika. Podatki v zvezi z „vrednostjo izpostavljenosti“ in „zneski tveganju prilagojenih izpostavljenosti“ se poročajo glede na državo sedeža končnega dolžnika.</w:t>
      </w:r>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75" w:name="_Toc360188362"/>
      <w:bookmarkStart w:id="376" w:name="_Toc516210648"/>
      <w:bookmarkStart w:id="377" w:name="_Toc473560913"/>
      <w:bookmarkStart w:id="378" w:name="_Toc523474397"/>
      <w:r>
        <w:rPr>
          <w:rFonts w:ascii="Times New Roman" w:hAnsi="Times New Roman"/>
          <w:sz w:val="24"/>
          <w:u w:val="none"/>
        </w:rPr>
        <w:t>3.4.1.</w:t>
      </w:r>
      <w:r w:rsidR="003F40E8" w:rsidRPr="003F40E8">
        <w:rPr>
          <w:u w:val="none"/>
        </w:rPr>
        <w:tab/>
      </w:r>
      <w:r>
        <w:rPr>
          <w:rFonts w:ascii="Times New Roman" w:hAnsi="Times New Roman"/>
          <w:sz w:val="24"/>
        </w:rPr>
        <w:t>C 09.01 – Geografska razčlenitev izpostavljenosti glede na sedež dolžnika: I</w:t>
      </w:r>
      <w:r w:rsidR="009931CE">
        <w:rPr>
          <w:rFonts w:ascii="Times New Roman" w:hAnsi="Times New Roman"/>
          <w:sz w:val="24"/>
        </w:rPr>
        <w:t>zposta</w:t>
      </w:r>
      <w:r w:rsidR="009931CE">
        <w:rPr>
          <w:rFonts w:ascii="Times New Roman" w:hAnsi="Times New Roman"/>
          <w:sz w:val="24"/>
        </w:rPr>
        <w:t>v</w:t>
      </w:r>
      <w:r w:rsidR="009931CE">
        <w:rPr>
          <w:rFonts w:ascii="Times New Roman" w:hAnsi="Times New Roman"/>
          <w:sz w:val="24"/>
        </w:rPr>
        <w:t>ljenosti na podlagi standardiziranega pristopa</w:t>
      </w:r>
      <w:r>
        <w:rPr>
          <w:rFonts w:ascii="Times New Roman" w:hAnsi="Times New Roman"/>
          <w:sz w:val="24"/>
        </w:rPr>
        <w:t xml:space="preserve"> (CR GB 1)</w:t>
      </w:r>
      <w:bookmarkEnd w:id="375"/>
      <w:bookmarkEnd w:id="376"/>
      <w:bookmarkEnd w:id="377"/>
      <w:bookmarkEnd w:id="378"/>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79" w:name="_Toc360188363"/>
      <w:bookmarkStart w:id="380" w:name="_Toc516210649"/>
      <w:bookmarkStart w:id="381" w:name="_Toc473560914"/>
      <w:bookmarkStart w:id="382" w:name="_Toc523474398"/>
      <w:r>
        <w:rPr>
          <w:rFonts w:ascii="Times New Roman" w:hAnsi="Times New Roman"/>
          <w:sz w:val="24"/>
          <w:u w:val="none"/>
        </w:rPr>
        <w:t>3.4.1.1.</w:t>
      </w:r>
      <w:r w:rsidR="003F40E8" w:rsidRPr="003F40E8">
        <w:rPr>
          <w:u w:val="none"/>
        </w:rPr>
        <w:tab/>
      </w:r>
      <w:r>
        <w:rPr>
          <w:rFonts w:ascii="Times New Roman" w:hAnsi="Times New Roman"/>
          <w:sz w:val="24"/>
        </w:rPr>
        <w:t>Navodila za posamezne pozicije</w:t>
      </w:r>
      <w:bookmarkEnd w:id="379"/>
      <w:bookmarkEnd w:id="380"/>
      <w:bookmarkEnd w:id="381"/>
      <w:bookmarkEnd w:id="38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392FFD" w:rsidTr="00672D2A">
        <w:trPr>
          <w:trHeight w:val="581"/>
        </w:trPr>
        <w:tc>
          <w:tcPr>
            <w:tcW w:w="9828" w:type="dxa"/>
            <w:gridSpan w:val="2"/>
            <w:shd w:val="clear" w:color="auto" w:fill="CCCCCC"/>
          </w:tcPr>
          <w:p w:rsidR="004357B9" w:rsidRPr="00392FF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Stolpci</w:t>
            </w:r>
          </w:p>
        </w:tc>
      </w:tr>
      <w:tr w:rsidR="004357B9" w:rsidRPr="00392FFD" w:rsidTr="00672D2A">
        <w:tc>
          <w:tcPr>
            <w:tcW w:w="1188" w:type="dxa"/>
          </w:tcPr>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ORIGINALNA IZPOSTAVLJENOST PRED UPORABO KONVERZIJSKIH FAKTORJEV</w:t>
            </w:r>
          </w:p>
          <w:p w:rsidR="004357B9" w:rsidRPr="00392FFD" w:rsidRDefault="004357B9" w:rsidP="004357B9">
            <w:pPr>
              <w:rPr>
                <w:rFonts w:ascii="Times New Roman" w:hAnsi="Times New Roman"/>
                <w:sz w:val="24"/>
              </w:rPr>
            </w:pPr>
            <w:r>
              <w:rPr>
                <w:rFonts w:ascii="Times New Roman" w:hAnsi="Times New Roman"/>
                <w:sz w:val="24"/>
              </w:rPr>
              <w:t>Enaka opredelitev kot za stolpec 010 predloge CR SA.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020</w:t>
            </w:r>
          </w:p>
        </w:tc>
        <w:tc>
          <w:tcPr>
            <w:tcW w:w="8640" w:type="dxa"/>
          </w:tcPr>
          <w:p w:rsidR="004357B9" w:rsidRPr="00392FFD" w:rsidRDefault="00771E97" w:rsidP="004357B9">
            <w:pPr>
              <w:rPr>
                <w:rFonts w:ascii="Times New Roman" w:hAnsi="Times New Roman"/>
                <w:b/>
                <w:sz w:val="24"/>
                <w:u w:val="single"/>
              </w:rPr>
            </w:pPr>
            <w:r>
              <w:rPr>
                <w:rFonts w:ascii="Times New Roman" w:hAnsi="Times New Roman"/>
                <w:b/>
                <w:sz w:val="24"/>
                <w:u w:val="single"/>
              </w:rPr>
              <w:t>Neplačane izpostavljenosti</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Originalna izpostavljenost pred uporabo konverzijskih faktorjev za izpostavljenosti, ki so bile razvrščene kot „neplačane izpostavljenosti“ in za neplačane izpostavljenosti, razvrščene v kategoriji izpostavljenosti „izpostavljenosti, povezane z zelo visokim tv</w:t>
            </w:r>
            <w:r>
              <w:rPr>
                <w:rStyle w:val="InstructionsTabelleText"/>
                <w:rFonts w:ascii="Times New Roman" w:hAnsi="Times New Roman"/>
                <w:sz w:val="24"/>
              </w:rPr>
              <w:t>e</w:t>
            </w:r>
            <w:r>
              <w:rPr>
                <w:rStyle w:val="InstructionsTabelleText"/>
                <w:rFonts w:ascii="Times New Roman" w:hAnsi="Times New Roman"/>
                <w:sz w:val="24"/>
              </w:rPr>
              <w:t>ganjem“ ali „izpostavljenosti iz naslova lastniških instrumentov“.</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V tej „pojasnjevalni postavki“ so zagotovljene dodatne informacije o dolžnikovi stru</w:t>
            </w:r>
            <w:r>
              <w:rPr>
                <w:rStyle w:val="InstructionsTabelleText"/>
                <w:rFonts w:ascii="Times New Roman" w:hAnsi="Times New Roman"/>
                <w:sz w:val="24"/>
              </w:rPr>
              <w:t>k</w:t>
            </w:r>
            <w:r>
              <w:rPr>
                <w:rStyle w:val="InstructionsTabelleText"/>
                <w:rFonts w:ascii="Times New Roman" w:hAnsi="Times New Roman"/>
                <w:sz w:val="24"/>
              </w:rPr>
              <w:t>turi neplačanih izpostavljenosti. Izpostavljenosti, razvrščene kot „neplačane izposta</w:t>
            </w:r>
            <w:r>
              <w:rPr>
                <w:rStyle w:val="InstructionsTabelleText"/>
                <w:rFonts w:ascii="Times New Roman" w:hAnsi="Times New Roman"/>
                <w:sz w:val="24"/>
              </w:rPr>
              <w:t>v</w:t>
            </w:r>
            <w:r>
              <w:rPr>
                <w:rStyle w:val="InstructionsTabelleText"/>
                <w:rFonts w:ascii="Times New Roman" w:hAnsi="Times New Roman"/>
                <w:sz w:val="24"/>
              </w:rPr>
              <w:t>ljenosti“ v skladu s členom 112(j) CRR, se poročajo, kjer bi se dolžniki poročali, če navedene izpostavljenosti ne bi bile razvrščene v kategorijo „neplačanih izpostavljen</w:t>
            </w:r>
            <w:r>
              <w:rPr>
                <w:rStyle w:val="InstructionsTabelleText"/>
                <w:rFonts w:ascii="Times New Roman" w:hAnsi="Times New Roman"/>
                <w:sz w:val="24"/>
              </w:rPr>
              <w:t>o</w:t>
            </w:r>
            <w:r>
              <w:rPr>
                <w:rStyle w:val="InstructionsTabelleText"/>
                <w:rFonts w:ascii="Times New Roman" w:hAnsi="Times New Roman"/>
                <w:sz w:val="24"/>
              </w:rPr>
              <w:t xml:space="preserve">sti“. </w:t>
            </w:r>
          </w:p>
          <w:p w:rsidR="004357B9" w:rsidRPr="00392FFD" w:rsidRDefault="004357B9" w:rsidP="004357B9">
            <w:pPr>
              <w:rPr>
                <w:rFonts w:ascii="Times New Roman" w:hAnsi="Times New Roman"/>
                <w:sz w:val="24"/>
              </w:rPr>
            </w:pPr>
            <w:r>
              <w:rPr>
                <w:rStyle w:val="InstructionsTabelleText"/>
                <w:rFonts w:ascii="Times New Roman" w:hAnsi="Times New Roman"/>
                <w:sz w:val="24"/>
              </w:rPr>
              <w:t>Ta informacija je „pojasnjevalna postavka“, zato ne vpliva na izračun zneskov tveganju prilagojenih izpostavljenosti iz kategorij izpostavljenosti „neplačane izpostavljenosti“, „izpostavljenosti, povezane z zelo visokim tveganjem“ ali „izpostavljenosti iz naslova lastniških instrumentov“ v skladu s členom 112(j), (k) oziroma (p)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040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Ugotovljena nova neplačila za obdobje</w:t>
            </w:r>
          </w:p>
          <w:p w:rsidR="004357B9" w:rsidRPr="00392FFD" w:rsidRDefault="00DF70AE" w:rsidP="00DF70AE">
            <w:pPr>
              <w:rPr>
                <w:rFonts w:ascii="Times New Roman" w:hAnsi="Times New Roman"/>
                <w:b/>
                <w:sz w:val="24"/>
                <w:u w:val="single"/>
              </w:rPr>
            </w:pPr>
            <w:r>
              <w:rPr>
                <w:rStyle w:val="InstructionsTabelleText"/>
                <w:rFonts w:ascii="Times New Roman" w:hAnsi="Times New Roman"/>
                <w:sz w:val="24"/>
              </w:rPr>
              <w:t>Znesek originalnih izpostavljenosti, ki so prešle v kategorijo izpostavljenosti „Nepl</w:t>
            </w:r>
            <w:r>
              <w:rPr>
                <w:rStyle w:val="InstructionsTabelleText"/>
                <w:rFonts w:ascii="Times New Roman" w:hAnsi="Times New Roman"/>
                <w:sz w:val="24"/>
              </w:rPr>
              <w:t>a</w:t>
            </w:r>
            <w:r>
              <w:rPr>
                <w:rStyle w:val="InstructionsTabelleText"/>
                <w:rFonts w:ascii="Times New Roman" w:hAnsi="Times New Roman"/>
                <w:sz w:val="24"/>
              </w:rPr>
              <w:t>čane izpostavljenosti“ v trimesečnem obdobju od zadnjega referenčnega datuma por</w:t>
            </w:r>
            <w:r>
              <w:rPr>
                <w:rStyle w:val="InstructionsTabelleText"/>
                <w:rFonts w:ascii="Times New Roman" w:hAnsi="Times New Roman"/>
                <w:sz w:val="24"/>
              </w:rPr>
              <w:t>o</w:t>
            </w:r>
            <w:r>
              <w:rPr>
                <w:rStyle w:val="InstructionsTabelleText"/>
                <w:rFonts w:ascii="Times New Roman" w:hAnsi="Times New Roman"/>
                <w:sz w:val="24"/>
              </w:rPr>
              <w:t>čanja, se sporoči v okviru kategorije izpostavljenosti, ki ji je prvotno pripadal dolžnik.</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Splošni popravki zaradi kreditnega tveganja</w:t>
            </w:r>
          </w:p>
          <w:p w:rsidR="004357B9" w:rsidRDefault="004357B9" w:rsidP="004357B9">
            <w:pPr>
              <w:rPr>
                <w:rFonts w:ascii="Times New Roman" w:hAnsi="Times New Roman"/>
                <w:sz w:val="24"/>
              </w:rPr>
            </w:pPr>
            <w:r>
              <w:rPr>
                <w:rFonts w:ascii="Times New Roman" w:hAnsi="Times New Roman"/>
                <w:sz w:val="24"/>
              </w:rPr>
              <w:t xml:space="preserve">Popravki zaradi kreditnega tveganja v skladu s členom 110 CRR. </w:t>
            </w:r>
          </w:p>
          <w:p w:rsidR="00D95045" w:rsidRPr="00AE7CD3" w:rsidRDefault="00D95045" w:rsidP="00D95045">
            <w:pPr>
              <w:rPr>
                <w:rFonts w:ascii="Times New Roman" w:hAnsi="Times New Roman"/>
                <w:sz w:val="24"/>
              </w:rPr>
            </w:pPr>
            <w:r>
              <w:rPr>
                <w:rFonts w:ascii="Times New Roman" w:hAnsi="Times New Roman"/>
                <w:sz w:val="24"/>
              </w:rPr>
              <w:t>Ta postavka vključuje splošne popravke zaradi kreditnega tveganja, ki so sprejemljivi za vključitev v dodatni kapital, pred uporabo zgornje meje iz člena 62(c) CRR.</w:t>
            </w:r>
          </w:p>
          <w:p w:rsidR="00D95045" w:rsidRPr="00392FFD" w:rsidRDefault="00D95045" w:rsidP="00D95045">
            <w:pPr>
              <w:rPr>
                <w:rFonts w:ascii="Times New Roman" w:hAnsi="Times New Roman"/>
                <w:b/>
                <w:sz w:val="24"/>
                <w:u w:val="single"/>
              </w:rPr>
            </w:pPr>
            <w:r>
              <w:rPr>
                <w:rFonts w:ascii="Times New Roman" w:hAnsi="Times New Roman"/>
                <w:sz w:val="24"/>
              </w:rPr>
              <w:t>V znesku, ki se poroča, so upoštevani davčni učinki.</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Posebni popravki zaradi kreditnega tveganja</w:t>
            </w:r>
          </w:p>
          <w:p w:rsidR="004357B9" w:rsidRPr="00392FFD" w:rsidRDefault="004357B9" w:rsidP="004357B9">
            <w:pPr>
              <w:rPr>
                <w:rFonts w:ascii="Times New Roman" w:hAnsi="Times New Roman"/>
                <w:b/>
                <w:sz w:val="24"/>
                <w:u w:val="single"/>
              </w:rPr>
            </w:pPr>
            <w:r>
              <w:rPr>
                <w:rFonts w:ascii="Times New Roman" w:hAnsi="Times New Roman"/>
                <w:sz w:val="24"/>
              </w:rPr>
              <w:t>Popravki zaradi kreditnega tveganja v skladu s členom 110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Od tega: odpis</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lastRenderedPageBreak/>
              <w:t>Odpisi zajemajo znižanja knjigovodske vrednosti oslabljenih finančnih sredstev, prip</w:t>
            </w:r>
            <w:r>
              <w:rPr>
                <w:rStyle w:val="InstructionsTabelleText"/>
                <w:rFonts w:ascii="Times New Roman" w:hAnsi="Times New Roman"/>
                <w:sz w:val="24"/>
              </w:rPr>
              <w:t>o</w:t>
            </w:r>
            <w:r>
              <w:rPr>
                <w:rStyle w:val="InstructionsTabelleText"/>
                <w:rFonts w:ascii="Times New Roman" w:hAnsi="Times New Roman"/>
                <w:sz w:val="24"/>
              </w:rPr>
              <w:t>znanih neposredno v dobičku ali izgubi [MSRP 7.B5.(d).(i)], in znižanja zneskov ko</w:t>
            </w:r>
            <w:r>
              <w:rPr>
                <w:rStyle w:val="InstructionsTabelleText"/>
                <w:rFonts w:ascii="Times New Roman" w:hAnsi="Times New Roman"/>
                <w:sz w:val="24"/>
              </w:rPr>
              <w:t>n</w:t>
            </w:r>
            <w:r>
              <w:rPr>
                <w:rStyle w:val="InstructionsTabelleText"/>
                <w:rFonts w:ascii="Times New Roman" w:hAnsi="Times New Roman"/>
                <w:sz w:val="24"/>
              </w:rPr>
              <w:t>tov popravka vrednosti, ki se obračunajo na podlagi oslabljenih finančnih sredstev [MSRP 7.B5.(d).(</w:t>
            </w:r>
            <w:proofErr w:type="spellStart"/>
            <w:r>
              <w:rPr>
                <w:rStyle w:val="InstructionsTabelleText"/>
                <w:rFonts w:ascii="Times New Roman" w:hAnsi="Times New Roman"/>
                <w:sz w:val="24"/>
              </w:rPr>
              <w:t>ii</w:t>
            </w:r>
            <w:proofErr w:type="spellEnd"/>
            <w:r>
              <w:rPr>
                <w:rStyle w:val="InstructionsTabelleText"/>
                <w:rFonts w:ascii="Times New Roman" w:hAnsi="Times New Roman"/>
                <w:sz w:val="24"/>
              </w:rPr>
              <w:t>)].</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Popravki zaradi kreditnega tveganja/odpisi za ugotovljena nova neplačila</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Vsota popravkov zaradi kreditnega tveganja in odpisov za izpostavljenosti, ki so bile razvrščene kot „neplačane izpostavljenosti“ v trimesečnem obdobju od zadnje predlož</w:t>
            </w:r>
            <w:r>
              <w:rPr>
                <w:rStyle w:val="InstructionsTabelleText"/>
                <w:rFonts w:ascii="Times New Roman" w:hAnsi="Times New Roman"/>
                <w:sz w:val="24"/>
              </w:rPr>
              <w:t>i</w:t>
            </w:r>
            <w:r>
              <w:rPr>
                <w:rStyle w:val="InstructionsTabelleText"/>
                <w:rFonts w:ascii="Times New Roman" w:hAnsi="Times New Roman"/>
                <w:sz w:val="24"/>
              </w:rPr>
              <w:t>tve podatkov.</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075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Vrednost izpostavljenosti</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Enaka opredelitev kot za stolpec 200 predloge CR SA.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080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ZNESEK TVEGANJU PRILAGOJENIH IZPOSTAVLJENOSTI PRED UP</w:t>
            </w:r>
            <w:r>
              <w:rPr>
                <w:rFonts w:ascii="Times New Roman" w:hAnsi="Times New Roman"/>
                <w:b/>
                <w:sz w:val="24"/>
                <w:u w:val="single"/>
              </w:rPr>
              <w:t>O</w:t>
            </w:r>
            <w:r>
              <w:rPr>
                <w:rFonts w:ascii="Times New Roman" w:hAnsi="Times New Roman"/>
                <w:b/>
                <w:sz w:val="24"/>
                <w:u w:val="single"/>
              </w:rPr>
              <w:t>RABO FAKTORJA ZA PODPORO MSP</w:t>
            </w:r>
          </w:p>
          <w:p w:rsidR="004357B9" w:rsidRPr="00392FFD" w:rsidRDefault="004357B9" w:rsidP="004357B9">
            <w:pPr>
              <w:rPr>
                <w:rFonts w:ascii="Times New Roman" w:hAnsi="Times New Roman"/>
                <w:b/>
                <w:sz w:val="24"/>
                <w:u w:val="single"/>
              </w:rPr>
            </w:pPr>
            <w:r>
              <w:rPr>
                <w:rFonts w:ascii="Times New Roman" w:hAnsi="Times New Roman"/>
                <w:sz w:val="24"/>
              </w:rPr>
              <w:t>Enaka opredelitev kot za stolpec 215 predloge CR SA.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ZNESEK TVEGANJU PRILAGOJENIH IZPOSTAVLJENOSTI PO UPORABI FAKTORJA ZA PODPORO MSP</w:t>
            </w:r>
          </w:p>
          <w:p w:rsidR="004357B9" w:rsidRPr="00392FFD" w:rsidRDefault="004357B9" w:rsidP="004357B9">
            <w:pPr>
              <w:rPr>
                <w:rFonts w:ascii="Times New Roman" w:hAnsi="Times New Roman"/>
                <w:b/>
                <w:sz w:val="24"/>
                <w:u w:val="single"/>
              </w:rPr>
            </w:pPr>
            <w:r>
              <w:rPr>
                <w:rFonts w:ascii="Times New Roman" w:hAnsi="Times New Roman"/>
                <w:sz w:val="24"/>
              </w:rPr>
              <w:t>Enaka opredelitev kot za stolpec 220 predloge CR SA.</w:t>
            </w:r>
          </w:p>
        </w:tc>
      </w:tr>
    </w:tbl>
    <w:p w:rsidR="004357B9" w:rsidRPr="00392FFD"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392FFD" w:rsidTr="00672D2A">
        <w:trPr>
          <w:gridAfter w:val="1"/>
          <w:wAfter w:w="61" w:type="dxa"/>
          <w:trHeight w:val="581"/>
        </w:trPr>
        <w:tc>
          <w:tcPr>
            <w:tcW w:w="9828" w:type="dxa"/>
            <w:gridSpan w:val="2"/>
            <w:shd w:val="clear" w:color="auto" w:fill="CCCCCC"/>
          </w:tcPr>
          <w:p w:rsidR="004357B9" w:rsidRPr="00392FF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Vrstice</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010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Enote centralne ravni države ali centralne banke</w:t>
            </w:r>
          </w:p>
          <w:p w:rsidR="004357B9" w:rsidRPr="00392FFD" w:rsidRDefault="004357B9" w:rsidP="004357B9">
            <w:pPr>
              <w:ind w:left="72"/>
              <w:rPr>
                <w:rStyle w:val="InstructionsTabelleText"/>
                <w:rFonts w:ascii="Times New Roman" w:hAnsi="Times New Roman"/>
                <w:sz w:val="24"/>
              </w:rPr>
            </w:pPr>
            <w:r>
              <w:rPr>
                <w:rFonts w:ascii="Times New Roman" w:hAnsi="Times New Roman"/>
                <w:sz w:val="24"/>
              </w:rPr>
              <w:t>Člen 112(a)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020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Enote regionalne ali lokalne ravni držav</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Člen 112(b)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030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Subjekti javnega sektorja</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Člen 112(c)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040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Multilateralne razvojne banke</w:t>
            </w:r>
          </w:p>
          <w:p w:rsidR="004357B9" w:rsidRPr="00392FFD" w:rsidRDefault="004357B9" w:rsidP="004357B9">
            <w:pPr>
              <w:ind w:left="72"/>
              <w:rPr>
                <w:rStyle w:val="InstructionsTabelleberschrift"/>
                <w:rFonts w:ascii="Times New Roman" w:hAnsi="Times New Roman"/>
                <w:sz w:val="24"/>
              </w:rPr>
            </w:pPr>
            <w:r>
              <w:rPr>
                <w:rStyle w:val="InstructionsTabelleText"/>
                <w:rFonts w:ascii="Times New Roman" w:hAnsi="Times New Roman"/>
                <w:sz w:val="24"/>
              </w:rPr>
              <w:t>Člen 112(d)</w:t>
            </w:r>
            <w:r>
              <w:rPr>
                <w:rFonts w:ascii="Times New Roman" w:hAnsi="Times New Roman"/>
                <w:sz w:val="24"/>
              </w:rPr>
              <w:t xml:space="preserve">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050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Mednarodne organizacije</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Člen 112(e)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060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Institucije</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Člen 112(f)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070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Podjetja</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Člen 112(g)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lastRenderedPageBreak/>
              <w:t>075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od tega: MSP</w:t>
            </w:r>
          </w:p>
          <w:p w:rsidR="004357B9" w:rsidRPr="00392FFD"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Enaka opredelitev kot za vrstico 020 predloge CR SA.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080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Izpostavljenosti na drobno</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Člen 112(h)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085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od tega: MSP</w:t>
            </w:r>
          </w:p>
          <w:p w:rsidR="004357B9" w:rsidRPr="00392FFD"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Enaka opredelitev kot za vrstico 020 predloge CR SA.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090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Zavarovano s hipotekami na nepremičnine</w:t>
            </w:r>
          </w:p>
          <w:p w:rsidR="004357B9" w:rsidRPr="00392FFD" w:rsidRDefault="004357B9" w:rsidP="004357B9">
            <w:pPr>
              <w:ind w:left="72"/>
              <w:rPr>
                <w:rStyle w:val="InstructionsTabelleText"/>
                <w:rFonts w:ascii="Times New Roman" w:hAnsi="Times New Roman"/>
                <w:sz w:val="24"/>
              </w:rPr>
            </w:pPr>
            <w:r>
              <w:rPr>
                <w:rFonts w:ascii="Times New Roman" w:hAnsi="Times New Roman"/>
                <w:sz w:val="24"/>
              </w:rPr>
              <w:t>Člen 112(i)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095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od tega: MSP</w:t>
            </w:r>
          </w:p>
          <w:p w:rsidR="004357B9" w:rsidRPr="00392FFD"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Enaka opredelitev kot za vrstico 020 predloge CR SA.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100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Neplačane izpostavljenosti</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Člen 112(j)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110</w:t>
            </w:r>
          </w:p>
        </w:tc>
        <w:tc>
          <w:tcPr>
            <w:tcW w:w="8701" w:type="dxa"/>
            <w:gridSpan w:val="2"/>
            <w:shd w:val="clear" w:color="auto" w:fill="FFFFFF"/>
          </w:tcPr>
          <w:p w:rsidR="004357B9" w:rsidRPr="00392FFD"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sz w:val="24"/>
                <w:u w:val="single"/>
              </w:rPr>
              <w:t>Postavke, povezane z zelo visokim tveganjem</w:t>
            </w:r>
          </w:p>
          <w:p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sz w:val="24"/>
              </w:rPr>
              <w:t>Člen 112(k)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120</w:t>
            </w:r>
          </w:p>
        </w:tc>
        <w:tc>
          <w:tcPr>
            <w:tcW w:w="8701" w:type="dxa"/>
            <w:gridSpan w:val="2"/>
            <w:shd w:val="clear" w:color="auto" w:fill="FFFFFF"/>
          </w:tcPr>
          <w:p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Krite obveznice</w:t>
            </w:r>
          </w:p>
          <w:p w:rsidR="004357B9" w:rsidRPr="00392FFD" w:rsidRDefault="004357B9" w:rsidP="004357B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u w:val="single"/>
              </w:rPr>
              <w:t>Člen 112(l)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130</w:t>
            </w:r>
          </w:p>
          <w:p w:rsidR="004357B9" w:rsidRPr="00392FFD" w:rsidRDefault="004357B9" w:rsidP="004357B9">
            <w:pPr>
              <w:rPr>
                <w:rFonts w:ascii="Times New Roman" w:hAnsi="Times New Roman"/>
                <w:sz w:val="24"/>
              </w:rPr>
            </w:pP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sz w:val="24"/>
              </w:rPr>
              <w:t>Terjatve do institucij in podjetij s kratkoročno bonitetno oceno</w:t>
            </w:r>
          </w:p>
          <w:p w:rsidR="004357B9" w:rsidRPr="00392FFD" w:rsidRDefault="004357B9" w:rsidP="004357B9">
            <w:pPr>
              <w:ind w:left="72"/>
              <w:rPr>
                <w:rFonts w:ascii="Times New Roman" w:hAnsi="Times New Roman"/>
                <w:sz w:val="24"/>
              </w:rPr>
            </w:pPr>
            <w:r>
              <w:rPr>
                <w:rFonts w:ascii="Times New Roman" w:hAnsi="Times New Roman"/>
                <w:sz w:val="24"/>
              </w:rPr>
              <w:t>Člen 112(n)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140</w:t>
            </w:r>
          </w:p>
        </w:tc>
        <w:tc>
          <w:tcPr>
            <w:tcW w:w="8701" w:type="dxa"/>
            <w:gridSpan w:val="2"/>
            <w:shd w:val="clear" w:color="auto" w:fill="FFFFFF"/>
          </w:tcPr>
          <w:p w:rsidR="00D82B60" w:rsidRPr="00392FFD"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Kolektivni naložbeni podjemi (KNP)</w:t>
            </w:r>
          </w:p>
          <w:p w:rsidR="004357B9" w:rsidRPr="00392FFD" w:rsidRDefault="004357B9" w:rsidP="004357B9">
            <w:pPr>
              <w:ind w:left="72"/>
              <w:rPr>
                <w:rStyle w:val="InstructionsTabelleberschrift"/>
                <w:rFonts w:ascii="Times New Roman" w:hAnsi="Times New Roman"/>
                <w:b w:val="0"/>
                <w:bCs w:val="0"/>
                <w:sz w:val="24"/>
                <w:u w:val="none"/>
              </w:rPr>
            </w:pPr>
            <w:r>
              <w:rPr>
                <w:rFonts w:ascii="Times New Roman" w:hAnsi="Times New Roman"/>
                <w:sz w:val="24"/>
              </w:rPr>
              <w:t>Člen 112(o)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150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Izpostavljenosti iz naslova lastniških instrumentov</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Člen 112(p)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160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Druge izpostavljenosti</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Člen 112(q) CRR.</w:t>
            </w:r>
          </w:p>
        </w:tc>
      </w:tr>
      <w:tr w:rsidR="007A49AC" w:rsidRPr="00392FFD" w:rsidTr="00672D2A">
        <w:tc>
          <w:tcPr>
            <w:tcW w:w="1188" w:type="dxa"/>
            <w:shd w:val="clear" w:color="auto" w:fill="FFFFFF"/>
          </w:tcPr>
          <w:p w:rsidR="007A49AC" w:rsidRPr="00392FFD" w:rsidRDefault="007A49AC" w:rsidP="004357B9">
            <w:pPr>
              <w:rPr>
                <w:rFonts w:ascii="Times New Roman" w:hAnsi="Times New Roman"/>
                <w:sz w:val="24"/>
              </w:rPr>
            </w:pPr>
            <w:r>
              <w:rPr>
                <w:rFonts w:ascii="Times New Roman" w:hAnsi="Times New Roman"/>
                <w:sz w:val="24"/>
              </w:rPr>
              <w:t>170</w:t>
            </w:r>
          </w:p>
        </w:tc>
        <w:tc>
          <w:tcPr>
            <w:tcW w:w="8701" w:type="dxa"/>
            <w:gridSpan w:val="2"/>
            <w:shd w:val="clear" w:color="auto" w:fill="FFFFFF"/>
          </w:tcPr>
          <w:p w:rsidR="007A49AC" w:rsidRPr="00392FFD"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Skupni znesek izpostavljenosti</w:t>
            </w:r>
          </w:p>
        </w:tc>
      </w:tr>
    </w:tbl>
    <w:p w:rsidR="004357B9" w:rsidRPr="00392FFD" w:rsidRDefault="004357B9" w:rsidP="004357B9">
      <w:pPr>
        <w:spacing w:before="0" w:after="200" w:line="312" w:lineRule="auto"/>
        <w:jc w:val="left"/>
        <w:rPr>
          <w:rFonts w:ascii="Times New Roman" w:hAnsi="Times New Roman"/>
          <w:sz w:val="24"/>
        </w:rPr>
      </w:pPr>
      <w:bookmarkStart w:id="383" w:name="_Toc292456210"/>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84" w:name="_Toc360188364"/>
      <w:bookmarkStart w:id="385" w:name="_Toc516210650"/>
      <w:bookmarkStart w:id="386" w:name="_Toc473560915"/>
      <w:bookmarkStart w:id="387" w:name="_Toc523474399"/>
      <w:r>
        <w:rPr>
          <w:rFonts w:ascii="Times New Roman" w:hAnsi="Times New Roman"/>
          <w:sz w:val="24"/>
          <w:u w:val="none"/>
        </w:rPr>
        <w:t>3.4.2.</w:t>
      </w:r>
      <w:r w:rsidR="003F40E8" w:rsidRPr="003F40E8">
        <w:rPr>
          <w:u w:val="none"/>
        </w:rPr>
        <w:tab/>
      </w:r>
      <w:r>
        <w:rPr>
          <w:rFonts w:ascii="Times New Roman" w:hAnsi="Times New Roman"/>
          <w:sz w:val="24"/>
        </w:rPr>
        <w:t>C 09.02 – Geografska razčlenitev izpostavljenosti glede na sedež dolžnika: Izposta</w:t>
      </w:r>
      <w:r>
        <w:rPr>
          <w:rFonts w:ascii="Times New Roman" w:hAnsi="Times New Roman"/>
          <w:sz w:val="24"/>
        </w:rPr>
        <w:t>v</w:t>
      </w:r>
      <w:r>
        <w:rPr>
          <w:rFonts w:ascii="Times New Roman" w:hAnsi="Times New Roman"/>
          <w:sz w:val="24"/>
        </w:rPr>
        <w:t>ljenosti na podlagi pristopa IRB</w:t>
      </w:r>
      <w:bookmarkEnd w:id="384"/>
      <w:r>
        <w:rPr>
          <w:rFonts w:ascii="Times New Roman" w:hAnsi="Times New Roman"/>
          <w:sz w:val="24"/>
        </w:rPr>
        <w:t xml:space="preserve"> (CR GB 2)</w:t>
      </w:r>
      <w:bookmarkEnd w:id="385"/>
      <w:bookmarkEnd w:id="386"/>
      <w:bookmarkEnd w:id="387"/>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88" w:name="_Toc360188365"/>
      <w:bookmarkStart w:id="389" w:name="_Toc516210651"/>
      <w:bookmarkStart w:id="390" w:name="_Toc473560916"/>
      <w:bookmarkStart w:id="391" w:name="_Toc523474400"/>
      <w:r>
        <w:rPr>
          <w:rFonts w:ascii="Times New Roman" w:hAnsi="Times New Roman"/>
          <w:sz w:val="24"/>
          <w:u w:val="none"/>
        </w:rPr>
        <w:t>3.4.2.1.</w:t>
      </w:r>
      <w:r w:rsidR="003F40E8" w:rsidRPr="003F40E8">
        <w:rPr>
          <w:u w:val="none"/>
        </w:rPr>
        <w:tab/>
      </w:r>
      <w:r>
        <w:rPr>
          <w:rFonts w:ascii="Times New Roman" w:hAnsi="Times New Roman"/>
          <w:sz w:val="24"/>
        </w:rPr>
        <w:t>Navodila za posamezne pozicije</w:t>
      </w:r>
      <w:bookmarkEnd w:id="388"/>
      <w:bookmarkEnd w:id="389"/>
      <w:bookmarkEnd w:id="390"/>
      <w:bookmarkEnd w:id="39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392FFD" w:rsidTr="00672D2A">
        <w:tc>
          <w:tcPr>
            <w:tcW w:w="1188" w:type="dxa"/>
            <w:shd w:val="clear" w:color="auto" w:fill="CCCCCC"/>
          </w:tcPr>
          <w:p w:rsidR="004357B9" w:rsidRPr="00392FFD" w:rsidRDefault="004357B9" w:rsidP="004357B9">
            <w:pPr>
              <w:rPr>
                <w:rFonts w:ascii="Times New Roman" w:hAnsi="Times New Roman"/>
                <w:b/>
                <w:sz w:val="24"/>
              </w:rPr>
            </w:pPr>
            <w:r>
              <w:rPr>
                <w:rFonts w:ascii="Times New Roman" w:hAnsi="Times New Roman"/>
                <w:b/>
                <w:sz w:val="24"/>
              </w:rPr>
              <w:t>Stolpci</w:t>
            </w:r>
          </w:p>
        </w:tc>
        <w:tc>
          <w:tcPr>
            <w:tcW w:w="8640" w:type="dxa"/>
            <w:shd w:val="clear" w:color="auto" w:fill="CCCCCC"/>
          </w:tcPr>
          <w:p w:rsidR="004357B9" w:rsidRPr="00392FFD" w:rsidRDefault="004357B9" w:rsidP="004357B9">
            <w:pPr>
              <w:ind w:left="72"/>
              <w:rPr>
                <w:rFonts w:ascii="Times New Roman" w:hAnsi="Times New Roman"/>
                <w:sz w:val="24"/>
              </w:rPr>
            </w:pPr>
          </w:p>
        </w:tc>
      </w:tr>
      <w:tr w:rsidR="004357B9" w:rsidRPr="00392FFD" w:rsidTr="00672D2A">
        <w:tc>
          <w:tcPr>
            <w:tcW w:w="1188" w:type="dxa"/>
          </w:tcPr>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lastRenderedPageBreak/>
              <w:t>010</w:t>
            </w:r>
          </w:p>
        </w:tc>
        <w:tc>
          <w:tcPr>
            <w:tcW w:w="8640" w:type="dxa"/>
          </w:tcPr>
          <w:p w:rsidR="004357B9" w:rsidRPr="00392FFD"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ORIGINALNA IZPOSTAVLJENOST PRED UPORABO KONVERZIJSKIH FAKTORJEV</w:t>
            </w:r>
          </w:p>
          <w:p w:rsidR="004357B9" w:rsidRPr="00392FFD"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Enaka opredelitev kot za stolpec 020 predloge CR IRB.</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Od tega: neplačane</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Vrednost originalne izpostavljenosti za izpostavljenosti, ki so bile opredeljene kot „neplačane izpostavljenosti“ v skladu s členom 178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040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Ugotovljena nova neplačila za obdobje</w:t>
            </w:r>
          </w:p>
          <w:p w:rsidR="004357B9" w:rsidRPr="00392FFD" w:rsidRDefault="00DF70AE" w:rsidP="00DF70AE">
            <w:pPr>
              <w:rPr>
                <w:rFonts w:ascii="Times New Roman" w:hAnsi="Times New Roman"/>
                <w:b/>
                <w:sz w:val="24"/>
                <w:u w:val="single"/>
              </w:rPr>
            </w:pPr>
            <w:r>
              <w:rPr>
                <w:rStyle w:val="InstructionsTabelleText"/>
                <w:rFonts w:ascii="Times New Roman" w:hAnsi="Times New Roman"/>
                <w:sz w:val="24"/>
              </w:rPr>
              <w:t>Znesek originalnih izpostavljenosti, ki so prešle v kategorijo izpostavljenosti „Nepl</w:t>
            </w:r>
            <w:r>
              <w:rPr>
                <w:rStyle w:val="InstructionsTabelleText"/>
                <w:rFonts w:ascii="Times New Roman" w:hAnsi="Times New Roman"/>
                <w:sz w:val="24"/>
              </w:rPr>
              <w:t>a</w:t>
            </w:r>
            <w:r>
              <w:rPr>
                <w:rStyle w:val="InstructionsTabelleText"/>
                <w:rFonts w:ascii="Times New Roman" w:hAnsi="Times New Roman"/>
                <w:sz w:val="24"/>
              </w:rPr>
              <w:t>čane izpostavljenosti“ v trimesečnem obdobju od zadnjega referenčnega datuma por</w:t>
            </w:r>
            <w:r>
              <w:rPr>
                <w:rStyle w:val="InstructionsTabelleText"/>
                <w:rFonts w:ascii="Times New Roman" w:hAnsi="Times New Roman"/>
                <w:sz w:val="24"/>
              </w:rPr>
              <w:t>o</w:t>
            </w:r>
            <w:r>
              <w:rPr>
                <w:rStyle w:val="InstructionsTabelleText"/>
                <w:rFonts w:ascii="Times New Roman" w:hAnsi="Times New Roman"/>
                <w:sz w:val="24"/>
              </w:rPr>
              <w:t>čanja, se sporoči v okviru kategorije izpostavljenosti, ki ji je prvotno pripadal dolžnik.</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Splošni popravki zaradi kreditnega tveganja</w:t>
            </w:r>
          </w:p>
          <w:p w:rsidR="004357B9" w:rsidRPr="00392FFD" w:rsidRDefault="004357B9" w:rsidP="00D82B60">
            <w:pPr>
              <w:rPr>
                <w:rFonts w:ascii="Times New Roman" w:hAnsi="Times New Roman"/>
                <w:b/>
                <w:sz w:val="24"/>
                <w:u w:val="single"/>
              </w:rPr>
            </w:pPr>
            <w:r>
              <w:rPr>
                <w:rFonts w:ascii="Times New Roman" w:hAnsi="Times New Roman"/>
                <w:sz w:val="24"/>
              </w:rPr>
              <w:t xml:space="preserve">Popravki zaradi kreditnega tveganja v skladu s členom 110 CRR. </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Posebni popravki zaradi kreditnega tveganja</w:t>
            </w:r>
          </w:p>
          <w:p w:rsidR="004357B9" w:rsidRPr="00392FFD" w:rsidRDefault="004357B9" w:rsidP="004357B9">
            <w:pPr>
              <w:rPr>
                <w:rFonts w:ascii="Times New Roman" w:hAnsi="Times New Roman"/>
                <w:b/>
                <w:sz w:val="24"/>
                <w:u w:val="single"/>
              </w:rPr>
            </w:pPr>
            <w:r>
              <w:rPr>
                <w:rFonts w:ascii="Times New Roman" w:hAnsi="Times New Roman"/>
                <w:sz w:val="24"/>
              </w:rPr>
              <w:t>Popravki zaradi kreditnega tveganja v skladu s členom 110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Od tega: odpis</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Odpisi zajemajo znižanja knjigovodske vrednosti oslabljenih finančnih sredstev, prip</w:t>
            </w:r>
            <w:r>
              <w:rPr>
                <w:rStyle w:val="InstructionsTabelleText"/>
                <w:rFonts w:ascii="Times New Roman" w:hAnsi="Times New Roman"/>
                <w:sz w:val="24"/>
              </w:rPr>
              <w:t>o</w:t>
            </w:r>
            <w:r>
              <w:rPr>
                <w:rStyle w:val="InstructionsTabelleText"/>
                <w:rFonts w:ascii="Times New Roman" w:hAnsi="Times New Roman"/>
                <w:sz w:val="24"/>
              </w:rPr>
              <w:t>znanih neposredno v dobičku ali izgubi [MSRP 7.B5.(d).(i)], in znižanja zneskov ko</w:t>
            </w:r>
            <w:r>
              <w:rPr>
                <w:rStyle w:val="InstructionsTabelleText"/>
                <w:rFonts w:ascii="Times New Roman" w:hAnsi="Times New Roman"/>
                <w:sz w:val="24"/>
              </w:rPr>
              <w:t>n</w:t>
            </w:r>
            <w:r>
              <w:rPr>
                <w:rStyle w:val="InstructionsTabelleText"/>
                <w:rFonts w:ascii="Times New Roman" w:hAnsi="Times New Roman"/>
                <w:sz w:val="24"/>
              </w:rPr>
              <w:t>tov popravka vrednosti, ki se obračunajo na podlagi oslabljenih finančnih sredstev [MSRP 7.B5.(d).(</w:t>
            </w:r>
            <w:proofErr w:type="spellStart"/>
            <w:r>
              <w:rPr>
                <w:rStyle w:val="InstructionsTabelleText"/>
                <w:rFonts w:ascii="Times New Roman" w:hAnsi="Times New Roman"/>
                <w:sz w:val="24"/>
              </w:rPr>
              <w:t>ii</w:t>
            </w:r>
            <w:proofErr w:type="spellEnd"/>
            <w:r>
              <w:rPr>
                <w:rStyle w:val="InstructionsTabelleText"/>
                <w:rFonts w:ascii="Times New Roman" w:hAnsi="Times New Roman"/>
                <w:sz w:val="24"/>
              </w:rPr>
              <w:t>)].</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Popravki zaradi kreditnega tveganja/odpisi za ugotovljena nova neplačila</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Vsota popravkov zaradi kreditnega tveganja in odpisov za izpostavljenosti, ki so bile razvrščene kot „neplačane izpostavljenosti“ v trimesečnem obdobju od zadnje predlož</w:t>
            </w:r>
            <w:r>
              <w:rPr>
                <w:rStyle w:val="InstructionsTabelleText"/>
                <w:rFonts w:ascii="Times New Roman" w:hAnsi="Times New Roman"/>
                <w:sz w:val="24"/>
              </w:rPr>
              <w:t>i</w:t>
            </w:r>
            <w:r>
              <w:rPr>
                <w:rStyle w:val="InstructionsTabelleText"/>
                <w:rFonts w:ascii="Times New Roman" w:hAnsi="Times New Roman"/>
                <w:sz w:val="24"/>
              </w:rPr>
              <w:t>tve podatkov.</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080</w:t>
            </w:r>
          </w:p>
        </w:tc>
        <w:tc>
          <w:tcPr>
            <w:tcW w:w="8640" w:type="dxa"/>
          </w:tcPr>
          <w:p w:rsidR="004357B9" w:rsidRPr="00392FFD" w:rsidRDefault="004357B9" w:rsidP="004357B9">
            <w:pPr>
              <w:rPr>
                <w:rStyle w:val="InstructionsTabelleberschrift"/>
                <w:rFonts w:ascii="Times New Roman" w:hAnsi="Times New Roman"/>
                <w:bCs w:val="0"/>
                <w:sz w:val="24"/>
              </w:rPr>
            </w:pPr>
            <w:r>
              <w:rPr>
                <w:rStyle w:val="InstructionsTabelleberschrift"/>
                <w:rFonts w:ascii="Times New Roman" w:hAnsi="Times New Roman"/>
                <w:sz w:val="24"/>
              </w:rPr>
              <w:t>SISTEM NOTRANJIH BONITETNIH OCEN/VERJETNOST NEPLAČILA (PD), KI SE DODELI BONITETNEMU RAZREDU DOLŽNIKA ALI SKUPINI (%)</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Enaka opredelitev kot za stolpec 010 predloge CR IRB.</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Z IZPOSTAVLJENOSTJO TEHTANO POVPREČJE LGD (%)</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Enaka opredelitev kot za stolpca 230 in 240 predloge CR IRB: z izpostavljenostjo te</w:t>
            </w:r>
            <w:r>
              <w:rPr>
                <w:rStyle w:val="InstructionsTabelleText"/>
                <w:rFonts w:ascii="Times New Roman" w:hAnsi="Times New Roman"/>
                <w:sz w:val="24"/>
              </w:rPr>
              <w:t>h</w:t>
            </w:r>
            <w:r>
              <w:rPr>
                <w:rStyle w:val="InstructionsTabelleText"/>
                <w:rFonts w:ascii="Times New Roman" w:hAnsi="Times New Roman"/>
                <w:sz w:val="24"/>
              </w:rPr>
              <w:t>tano povprečje LGD (%) se nanaša na vse izpostavljenosti, vključno z izpostavljeno</w:t>
            </w:r>
            <w:r>
              <w:rPr>
                <w:rStyle w:val="InstructionsTabelleText"/>
                <w:rFonts w:ascii="Times New Roman" w:hAnsi="Times New Roman"/>
                <w:sz w:val="24"/>
              </w:rPr>
              <w:t>s</w:t>
            </w:r>
            <w:r>
              <w:rPr>
                <w:rStyle w:val="InstructionsTabelleText"/>
                <w:rFonts w:ascii="Times New Roman" w:hAnsi="Times New Roman"/>
                <w:sz w:val="24"/>
              </w:rPr>
              <w:t>tmi do velikih subjektov finančnega sektorja in nereguliranih finančnih subjektov. Uporabljajo se določbe iz člena 181(1)(h) CRR.</w:t>
            </w:r>
          </w:p>
          <w:p w:rsidR="0042766A" w:rsidRPr="00392FFD" w:rsidRDefault="0042766A" w:rsidP="0042766A">
            <w:pPr>
              <w:rPr>
                <w:rFonts w:ascii="Times New Roman" w:hAnsi="Times New Roman"/>
                <w:b/>
                <w:sz w:val="24"/>
                <w:u w:val="single"/>
              </w:rPr>
            </w:pPr>
            <w:r>
              <w:rPr>
                <w:rFonts w:ascii="Times New Roman" w:hAnsi="Times New Roman"/>
                <w:sz w:val="24"/>
              </w:rPr>
              <w:t>Podatki se ne poročajo za izpostavljenosti iz naslova posebnih kreditnih aranžmajev iz člena 153(5).</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100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Od tega: neplačane</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Z izpostavljenostjo tehtana LGD za izpostavljenosti, ki so bile opredeljene kot „nepl</w:t>
            </w:r>
            <w:r>
              <w:rPr>
                <w:rStyle w:val="InstructionsTabelleText"/>
                <w:rFonts w:ascii="Times New Roman" w:hAnsi="Times New Roman"/>
                <w:sz w:val="24"/>
              </w:rPr>
              <w:t>a</w:t>
            </w:r>
            <w:r>
              <w:rPr>
                <w:rStyle w:val="InstructionsTabelleText"/>
                <w:rFonts w:ascii="Times New Roman" w:hAnsi="Times New Roman"/>
                <w:sz w:val="24"/>
              </w:rPr>
              <w:t>čane izpostavljenosti“ v skladu s členom 178 CRR.</w:t>
            </w:r>
          </w:p>
        </w:tc>
      </w:tr>
      <w:tr w:rsidR="004357B9" w:rsidRPr="00392FFD" w:rsidTr="00672D2A">
        <w:tc>
          <w:tcPr>
            <w:tcW w:w="1188" w:type="dxa"/>
          </w:tcPr>
          <w:p w:rsidR="004357B9" w:rsidRPr="00392FFD" w:rsidRDefault="00F45359" w:rsidP="004357B9">
            <w:pPr>
              <w:rPr>
                <w:rFonts w:ascii="Times New Roman" w:hAnsi="Times New Roman"/>
                <w:sz w:val="24"/>
              </w:rPr>
            </w:pPr>
            <w:r>
              <w:rPr>
                <w:rFonts w:ascii="Times New Roman" w:hAnsi="Times New Roman"/>
                <w:sz w:val="24"/>
              </w:rPr>
              <w:lastRenderedPageBreak/>
              <w:t>105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Vrednost izpostavljenosti</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Enaka opredelitev kot za stolpec 110 predloge CR IRB.</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ZNESEK TVEGANJU PRILAGOJENIH IZPOSTAVLJENOSTI PRED UP</w:t>
            </w:r>
            <w:r>
              <w:rPr>
                <w:rFonts w:ascii="Times New Roman" w:hAnsi="Times New Roman"/>
                <w:b/>
                <w:sz w:val="24"/>
                <w:u w:val="single"/>
              </w:rPr>
              <w:t>O</w:t>
            </w:r>
            <w:r>
              <w:rPr>
                <w:rFonts w:ascii="Times New Roman" w:hAnsi="Times New Roman"/>
                <w:b/>
                <w:sz w:val="24"/>
                <w:u w:val="single"/>
              </w:rPr>
              <w:t>RABO FAKTORJA ZA PODPORO MSP</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Enaka opredelitev kot za stolpec 255 predloge CR IRB.</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120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Od tega: neplačane</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Znesek tveganju prilagojenih izpostavljenosti za izpostavljenosti, ki so bile opredeljene kot „neplačane izpostavljenosti“ v skladu s členom 178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125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ZNESEK TVEGANJU PRILAGOJENIH IZPOSTAVLJENOSTI PO UPORABI FAKTORJA ZA PODPORO MSP</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Enaka opredelitev kot za stolpec 260 predloge CR IRB.</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ZNESEK PRIČAKOVANE IZGUBE</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Enaka opredelitev kot za stolpec 280 predloge CR IRB.</w:t>
            </w:r>
            <w:r>
              <w:rPr>
                <w:rFonts w:ascii="Times New Roman" w:hAnsi="Times New Roman"/>
                <w:b/>
                <w:sz w:val="24"/>
                <w:u w:val="single"/>
              </w:rPr>
              <w:t xml:space="preserve"> </w:t>
            </w:r>
          </w:p>
        </w:tc>
      </w:tr>
    </w:tbl>
    <w:p w:rsidR="004357B9" w:rsidRPr="00392FFD"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392FFD" w:rsidTr="00672D2A">
        <w:tc>
          <w:tcPr>
            <w:tcW w:w="1188" w:type="dxa"/>
            <w:shd w:val="clear" w:color="auto" w:fill="CCCCCC"/>
          </w:tcPr>
          <w:p w:rsidR="004357B9" w:rsidRPr="00392FFD" w:rsidRDefault="004357B9" w:rsidP="004357B9">
            <w:pPr>
              <w:rPr>
                <w:rFonts w:ascii="Times New Roman" w:hAnsi="Times New Roman"/>
                <w:b/>
                <w:sz w:val="24"/>
              </w:rPr>
            </w:pPr>
            <w:r>
              <w:rPr>
                <w:rFonts w:ascii="Times New Roman" w:hAnsi="Times New Roman"/>
                <w:b/>
                <w:sz w:val="24"/>
              </w:rPr>
              <w:t>Vrstice</w:t>
            </w:r>
          </w:p>
        </w:tc>
        <w:tc>
          <w:tcPr>
            <w:tcW w:w="8640" w:type="dxa"/>
            <w:shd w:val="clear" w:color="auto" w:fill="CCCCCC"/>
          </w:tcPr>
          <w:p w:rsidR="004357B9" w:rsidRPr="00392FFD" w:rsidRDefault="004357B9" w:rsidP="004357B9">
            <w:pPr>
              <w:ind w:left="72"/>
              <w:rPr>
                <w:rFonts w:ascii="Times New Roman" w:hAnsi="Times New Roman"/>
                <w:sz w:val="24"/>
              </w:rPr>
            </w:pP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 xml:space="preserve">Enote centralne ravni države in centralnih bank </w:t>
            </w:r>
          </w:p>
          <w:p w:rsidR="004357B9" w:rsidRPr="00392FFD" w:rsidRDefault="004357B9" w:rsidP="004357B9">
            <w:pPr>
              <w:rPr>
                <w:rFonts w:ascii="Times New Roman" w:hAnsi="Times New Roman"/>
                <w:sz w:val="24"/>
              </w:rPr>
            </w:pPr>
            <w:r>
              <w:rPr>
                <w:rFonts w:ascii="Times New Roman" w:hAnsi="Times New Roman"/>
                <w:sz w:val="24"/>
              </w:rPr>
              <w:t>(Člen 147(2)(a) CRR.)</w:t>
            </w:r>
          </w:p>
        </w:tc>
      </w:tr>
      <w:tr w:rsidR="004357B9" w:rsidRPr="00FE6995"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020</w:t>
            </w:r>
          </w:p>
        </w:tc>
        <w:tc>
          <w:tcPr>
            <w:tcW w:w="8640" w:type="dxa"/>
          </w:tcPr>
          <w:p w:rsidR="004357B9" w:rsidRPr="0023700C" w:rsidRDefault="004357B9" w:rsidP="004357B9">
            <w:pPr>
              <w:rPr>
                <w:rFonts w:ascii="Times New Roman" w:hAnsi="Times New Roman"/>
                <w:b/>
                <w:sz w:val="24"/>
                <w:u w:val="single"/>
              </w:rPr>
            </w:pPr>
            <w:r>
              <w:rPr>
                <w:rFonts w:ascii="Times New Roman" w:hAnsi="Times New Roman"/>
                <w:b/>
                <w:sz w:val="24"/>
                <w:u w:val="single"/>
              </w:rPr>
              <w:t>Institucije</w:t>
            </w:r>
          </w:p>
          <w:p w:rsidR="004357B9" w:rsidRPr="0023700C" w:rsidRDefault="004357B9" w:rsidP="004357B9">
            <w:pPr>
              <w:rPr>
                <w:rFonts w:ascii="Times New Roman" w:hAnsi="Times New Roman"/>
                <w:sz w:val="24"/>
              </w:rPr>
            </w:pPr>
            <w:r>
              <w:rPr>
                <w:rFonts w:ascii="Times New Roman" w:hAnsi="Times New Roman"/>
                <w:sz w:val="24"/>
              </w:rPr>
              <w:t>(Člen 147(2)(b)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 xml:space="preserve">Podjetja </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(Vse izpostavljenosti do podjetij v skladu s členom 147(2)(c)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042</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Od tega: Posebni kreditni aranžmaji (razen tistih, za katere veljajo merila za ra</w:t>
            </w:r>
            <w:r>
              <w:rPr>
                <w:rFonts w:ascii="Times New Roman" w:hAnsi="Times New Roman"/>
                <w:b/>
                <w:sz w:val="24"/>
                <w:u w:val="single"/>
              </w:rPr>
              <w:t>z</w:t>
            </w:r>
            <w:r>
              <w:rPr>
                <w:rFonts w:ascii="Times New Roman" w:hAnsi="Times New Roman"/>
                <w:b/>
                <w:sz w:val="24"/>
                <w:u w:val="single"/>
              </w:rPr>
              <w:t>porejanje)</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(Člen 147(8)(a) CRR.)</w:t>
            </w:r>
          </w:p>
          <w:p w:rsidR="0042766A" w:rsidRPr="00392FFD" w:rsidRDefault="0042766A" w:rsidP="004357B9">
            <w:pPr>
              <w:pStyle w:val="ListParagraph"/>
              <w:ind w:left="0"/>
              <w:rPr>
                <w:rFonts w:ascii="Times New Roman" w:hAnsi="Times New Roman"/>
                <w:sz w:val="24"/>
              </w:rPr>
            </w:pPr>
            <w:r>
              <w:rPr>
                <w:rFonts w:ascii="Times New Roman" w:hAnsi="Times New Roman"/>
                <w:sz w:val="24"/>
              </w:rPr>
              <w:t>Podatki se ne poročajo za izpostavljenosti iz naslova posebnih kreditnih aranžmajev iz člena 153(5).</w:t>
            </w:r>
          </w:p>
        </w:tc>
      </w:tr>
      <w:tr w:rsidR="000E093A" w:rsidRPr="00392FFD" w:rsidTr="00672D2A">
        <w:tc>
          <w:tcPr>
            <w:tcW w:w="1188" w:type="dxa"/>
          </w:tcPr>
          <w:p w:rsidR="000E093A" w:rsidRPr="00392FFD" w:rsidRDefault="000E093A" w:rsidP="004357B9">
            <w:pPr>
              <w:rPr>
                <w:rFonts w:ascii="Times New Roman" w:hAnsi="Times New Roman"/>
                <w:sz w:val="24"/>
              </w:rPr>
            </w:pPr>
            <w:r>
              <w:rPr>
                <w:rFonts w:ascii="Times New Roman" w:hAnsi="Times New Roman"/>
                <w:sz w:val="24"/>
              </w:rPr>
              <w:t>045</w:t>
            </w:r>
          </w:p>
        </w:tc>
        <w:tc>
          <w:tcPr>
            <w:tcW w:w="8640" w:type="dxa"/>
          </w:tcPr>
          <w:p w:rsidR="000E093A" w:rsidRPr="00392FFD" w:rsidRDefault="000E093A" w:rsidP="004357B9">
            <w:pPr>
              <w:rPr>
                <w:rFonts w:ascii="Times New Roman" w:hAnsi="Times New Roman"/>
                <w:b/>
                <w:sz w:val="24"/>
                <w:u w:val="single"/>
              </w:rPr>
            </w:pPr>
            <w:r>
              <w:rPr>
                <w:rFonts w:ascii="Times New Roman" w:hAnsi="Times New Roman"/>
                <w:b/>
                <w:sz w:val="24"/>
                <w:u w:val="single"/>
              </w:rPr>
              <w:t>Od tega: Posebni kreditni aranžmaji, za katere veljajo merila za razporejanje</w:t>
            </w:r>
          </w:p>
          <w:p w:rsidR="000E093A" w:rsidRPr="00392FFD" w:rsidRDefault="000E093A" w:rsidP="00FD54FC">
            <w:pPr>
              <w:rPr>
                <w:rFonts w:ascii="Times New Roman" w:hAnsi="Times New Roman"/>
                <w:b/>
                <w:sz w:val="24"/>
                <w:u w:val="single"/>
              </w:rPr>
            </w:pPr>
            <w:r>
              <w:rPr>
                <w:rFonts w:ascii="Times New Roman" w:hAnsi="Times New Roman"/>
                <w:sz w:val="24"/>
              </w:rPr>
              <w:t>Člen 147(8)(a) in člen 153(5)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Od tega: MSP</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Člen 147(2)(c)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Izpostavljenosti na drobno</w:t>
            </w:r>
          </w:p>
          <w:p w:rsidR="004357B9" w:rsidRPr="00392FFD" w:rsidRDefault="004357B9" w:rsidP="004357B9">
            <w:pPr>
              <w:rPr>
                <w:rFonts w:ascii="Times New Roman" w:hAnsi="Times New Roman"/>
                <w:sz w:val="24"/>
              </w:rPr>
            </w:pPr>
            <w:r>
              <w:rPr>
                <w:rFonts w:ascii="Times New Roman" w:hAnsi="Times New Roman"/>
                <w:sz w:val="24"/>
              </w:rPr>
              <w:t>Vse izpostavljenosti na drobno v skladu s členom 147(2)(d).</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Izpostavljenosti na drobno – Zavarovano z nepremičnino</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Izpostavljenosti, ki odražajo člen 147(2)(d) CRR in so zavarovane z nepremičnino.</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080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MSP</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Izpostavljenosti na drobno, ki odražajo člen 147(2)(d) v povezavi s členom 153(3) CRR in so zavarovane z nepremičnino.</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Podjetja, ki niso MSP</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Izpostavljenosti na drobno, ki odražajo člen 147(2)(d) CRR in so zavarovane z nepr</w:t>
            </w:r>
            <w:r>
              <w:rPr>
                <w:rFonts w:ascii="Times New Roman" w:hAnsi="Times New Roman"/>
                <w:sz w:val="24"/>
              </w:rPr>
              <w:t>e</w:t>
            </w:r>
            <w:r>
              <w:rPr>
                <w:rFonts w:ascii="Times New Roman" w:hAnsi="Times New Roman"/>
                <w:sz w:val="24"/>
              </w:rPr>
              <w:t>mičnino.</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100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Izpostavljenosti na drobno – Kvalificirane obnavljajoče se</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 xml:space="preserve">(Člen 147(2)(d) v povezavi s členom 154(4) CRR.) </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Druge izpostavljenosti na drobno</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Druge izpostavljenosti na drobno v skladu s členom 147(2)(d), ki niso poročane v po</w:t>
            </w:r>
            <w:r>
              <w:rPr>
                <w:rFonts w:ascii="Times New Roman" w:hAnsi="Times New Roman"/>
                <w:sz w:val="24"/>
              </w:rPr>
              <w:t>s</w:t>
            </w:r>
            <w:r>
              <w:rPr>
                <w:rFonts w:ascii="Times New Roman" w:hAnsi="Times New Roman"/>
                <w:sz w:val="24"/>
              </w:rPr>
              <w:t>tavkah 070–100.</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120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MSP</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Druge izpostavljenosti na drobno, ki odražajo člen 147(2)(d) v povezavi s členom 153(3)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Podjetja, ki niso MSP</w:t>
            </w:r>
          </w:p>
          <w:p w:rsidR="004357B9" w:rsidRPr="00392FFD" w:rsidRDefault="004357B9" w:rsidP="004357B9">
            <w:pPr>
              <w:rPr>
                <w:rFonts w:ascii="Times New Roman" w:hAnsi="Times New Roman"/>
                <w:sz w:val="24"/>
              </w:rPr>
            </w:pPr>
            <w:r>
              <w:rPr>
                <w:rFonts w:ascii="Times New Roman" w:hAnsi="Times New Roman"/>
                <w:sz w:val="24"/>
              </w:rPr>
              <w:t>Druge izpostavljenosti na drobno odražajo člen 147(2)(d) CRR.</w:t>
            </w:r>
          </w:p>
        </w:tc>
      </w:tr>
      <w:bookmarkEnd w:id="383"/>
      <w:tr w:rsidR="004357B9" w:rsidRPr="00392FFD" w:rsidTr="00672D2A">
        <w:tc>
          <w:tcPr>
            <w:tcW w:w="1188" w:type="dxa"/>
            <w:tcBorders>
              <w:top w:val="single" w:sz="4" w:space="0" w:color="auto"/>
              <w:left w:val="single" w:sz="4" w:space="0" w:color="auto"/>
              <w:bottom w:val="single" w:sz="4" w:space="0" w:color="auto"/>
              <w:right w:val="single" w:sz="4" w:space="0" w:color="auto"/>
            </w:tcBorders>
          </w:tcPr>
          <w:p w:rsidR="004357B9" w:rsidRPr="00392FFD" w:rsidRDefault="004357B9" w:rsidP="004357B9">
            <w:pPr>
              <w:rPr>
                <w:rFonts w:ascii="Times New Roman" w:hAnsi="Times New Roman"/>
                <w:sz w:val="24"/>
              </w:rPr>
            </w:pPr>
            <w:r>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rsidR="004357B9" w:rsidRPr="00392FFD" w:rsidRDefault="004357B9" w:rsidP="004357B9">
            <w:pPr>
              <w:rPr>
                <w:rFonts w:ascii="Times New Roman" w:hAnsi="Times New Roman"/>
                <w:b/>
                <w:sz w:val="24"/>
                <w:u w:val="single"/>
              </w:rPr>
            </w:pPr>
            <w:r>
              <w:rPr>
                <w:rFonts w:ascii="Times New Roman" w:hAnsi="Times New Roman"/>
                <w:b/>
                <w:sz w:val="24"/>
                <w:u w:val="single"/>
              </w:rPr>
              <w:t>Lastniški instrumenti</w:t>
            </w:r>
          </w:p>
          <w:p w:rsidR="004357B9" w:rsidRPr="00392FFD" w:rsidRDefault="004357B9" w:rsidP="004357B9">
            <w:pPr>
              <w:rPr>
                <w:rFonts w:ascii="Times New Roman" w:hAnsi="Times New Roman"/>
                <w:b/>
                <w:sz w:val="24"/>
                <w:u w:val="single"/>
              </w:rPr>
            </w:pPr>
            <w:r>
              <w:rPr>
                <w:rFonts w:ascii="Times New Roman" w:hAnsi="Times New Roman"/>
                <w:sz w:val="24"/>
              </w:rPr>
              <w:t>Izpostavljenosti iz naslova lastniških instrumentov, ki odražajo člen 147(2)(e) CRR.</w:t>
            </w:r>
          </w:p>
        </w:tc>
      </w:tr>
      <w:tr w:rsidR="007A49AC" w:rsidRPr="00392FFD" w:rsidTr="00672D2A">
        <w:tc>
          <w:tcPr>
            <w:tcW w:w="1188" w:type="dxa"/>
            <w:tcBorders>
              <w:top w:val="single" w:sz="4" w:space="0" w:color="auto"/>
              <w:left w:val="single" w:sz="4" w:space="0" w:color="auto"/>
              <w:bottom w:val="single" w:sz="4" w:space="0" w:color="auto"/>
              <w:right w:val="single" w:sz="4" w:space="0" w:color="auto"/>
            </w:tcBorders>
          </w:tcPr>
          <w:p w:rsidR="007A49AC" w:rsidRPr="00392FFD" w:rsidRDefault="007A49AC" w:rsidP="004357B9">
            <w:pPr>
              <w:rPr>
                <w:rFonts w:ascii="Times New Roman" w:hAnsi="Times New Roman"/>
                <w:sz w:val="24"/>
              </w:rPr>
            </w:pPr>
            <w:r>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rsidR="007A49AC" w:rsidRPr="00392FFD" w:rsidRDefault="007A49AC" w:rsidP="007A49AC">
            <w:pPr>
              <w:rPr>
                <w:rFonts w:ascii="Times New Roman" w:hAnsi="Times New Roman"/>
                <w:b/>
                <w:sz w:val="24"/>
                <w:u w:val="single"/>
              </w:rPr>
            </w:pPr>
            <w:r>
              <w:rPr>
                <w:rFonts w:ascii="Times New Roman" w:hAnsi="Times New Roman"/>
                <w:b/>
                <w:sz w:val="24"/>
                <w:u w:val="single"/>
              </w:rPr>
              <w:t>Skupni znesek izpostavljenosti</w:t>
            </w:r>
          </w:p>
          <w:p w:rsidR="007A49AC" w:rsidRPr="00392FFD" w:rsidRDefault="007A49AC" w:rsidP="004357B9">
            <w:pPr>
              <w:rPr>
                <w:rFonts w:ascii="Times New Roman" w:hAnsi="Times New Roman"/>
                <w:b/>
                <w:sz w:val="24"/>
                <w:u w:val="single"/>
              </w:rPr>
            </w:pPr>
          </w:p>
        </w:tc>
      </w:tr>
    </w:tbl>
    <w:p w:rsidR="004357B9" w:rsidRPr="00392FFD" w:rsidRDefault="004357B9" w:rsidP="004357B9">
      <w:pPr>
        <w:spacing w:before="0" w:after="200" w:line="312" w:lineRule="auto"/>
        <w:jc w:val="left"/>
        <w:rPr>
          <w:rFonts w:ascii="Times New Roman" w:hAnsi="Times New Roman"/>
          <w:sz w:val="24"/>
        </w:rPr>
      </w:pPr>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92" w:name="_Toc360188366"/>
      <w:bookmarkStart w:id="393" w:name="_Toc516210652"/>
      <w:bookmarkStart w:id="394" w:name="_Toc473560917"/>
      <w:bookmarkStart w:id="395" w:name="_Toc523474401"/>
      <w:r>
        <w:rPr>
          <w:rFonts w:ascii="Times New Roman" w:hAnsi="Times New Roman"/>
          <w:sz w:val="24"/>
          <w:u w:val="none"/>
        </w:rPr>
        <w:t>3.4.3.</w:t>
      </w:r>
      <w:r w:rsidR="003F40E8" w:rsidRPr="003F40E8">
        <w:rPr>
          <w:u w:val="none"/>
        </w:rPr>
        <w:tab/>
      </w:r>
      <w:r>
        <w:rPr>
          <w:rFonts w:ascii="Times New Roman" w:hAnsi="Times New Roman"/>
          <w:sz w:val="24"/>
        </w:rPr>
        <w:t>C 09.04 – Razčlenitev ustreznih kreditnih izpostavljenosti za namene izračuna protic</w:t>
      </w:r>
      <w:r>
        <w:rPr>
          <w:rFonts w:ascii="Times New Roman" w:hAnsi="Times New Roman"/>
          <w:sz w:val="24"/>
        </w:rPr>
        <w:t>i</w:t>
      </w:r>
      <w:r>
        <w:rPr>
          <w:rFonts w:ascii="Times New Roman" w:hAnsi="Times New Roman"/>
          <w:sz w:val="24"/>
        </w:rPr>
        <w:t>kličnega blažilnika po državah in stopnje posamezni instituciji lastnega proticikličnega blažilnika</w:t>
      </w:r>
      <w:bookmarkEnd w:id="392"/>
      <w:r>
        <w:rPr>
          <w:rFonts w:ascii="Times New Roman" w:hAnsi="Times New Roman"/>
          <w:sz w:val="24"/>
        </w:rPr>
        <w:t xml:space="preserve"> (CCB)</w:t>
      </w:r>
      <w:bookmarkEnd w:id="393"/>
      <w:bookmarkEnd w:id="394"/>
      <w:bookmarkEnd w:id="395"/>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96" w:name="_Toc360188367"/>
      <w:bookmarkStart w:id="397" w:name="_Toc516210653"/>
      <w:bookmarkStart w:id="398" w:name="_Toc473560918"/>
      <w:bookmarkStart w:id="399" w:name="_Toc523474402"/>
      <w:r>
        <w:rPr>
          <w:rFonts w:ascii="Times New Roman" w:hAnsi="Times New Roman"/>
          <w:sz w:val="24"/>
          <w:u w:val="none"/>
        </w:rPr>
        <w:t>3.4.3.1.</w:t>
      </w:r>
      <w:r w:rsidR="003F40E8" w:rsidRPr="003F40E8">
        <w:rPr>
          <w:u w:val="none"/>
        </w:rPr>
        <w:tab/>
      </w:r>
      <w:r>
        <w:rPr>
          <w:rFonts w:ascii="Times New Roman" w:hAnsi="Times New Roman"/>
          <w:sz w:val="24"/>
        </w:rPr>
        <w:t>Splošne opombe</w:t>
      </w:r>
      <w:bookmarkEnd w:id="396"/>
      <w:bookmarkEnd w:id="397"/>
      <w:bookmarkEnd w:id="398"/>
      <w:bookmarkEnd w:id="399"/>
    </w:p>
    <w:p w:rsidR="00430F6F" w:rsidRPr="00392FFD" w:rsidRDefault="00125707" w:rsidP="00C37B29">
      <w:pPr>
        <w:pStyle w:val="InstructionsText2"/>
        <w:numPr>
          <w:ilvl w:val="0"/>
          <w:numId w:val="0"/>
        </w:numPr>
        <w:ind w:left="993"/>
      </w:pPr>
      <w:r>
        <w:t>82.</w:t>
      </w:r>
      <w:r>
        <w:tab/>
        <w:t>Namen te razpredelnice je pridobiti več informacij v zvezi z elementi posam</w:t>
      </w:r>
      <w:r>
        <w:t>e</w:t>
      </w:r>
      <w:r>
        <w:t>zni instituciji lastnega proticikličnega kapitalskega blažilnika. Zahtevane informac</w:t>
      </w:r>
      <w:r>
        <w:t>i</w:t>
      </w:r>
      <w:r>
        <w:t>je se nanašajo na kapitalske zahteve, določene v skladu z naslovoma II in IV dela 3 CRR, in na geografsko lokacijo za kreditne izpostavljenosti, izpostavljenosti v list</w:t>
      </w:r>
      <w:r>
        <w:t>i</w:t>
      </w:r>
      <w:r>
        <w:t>njenju in izpostavljenosti v trgovalni knjigi, ki so ustrezne oz. relevantne za izračun posamezni instituciji lastnega proticikličnega kapitalskega blažilnika (CCB) v skl</w:t>
      </w:r>
      <w:r>
        <w:t>a</w:t>
      </w:r>
      <w:r>
        <w:t xml:space="preserve">du s členom 140 CRD (ustrezne kreditne izpostavljenosti). </w:t>
      </w:r>
    </w:p>
    <w:p w:rsidR="00430F6F" w:rsidRPr="00392FFD" w:rsidRDefault="00125707" w:rsidP="00C37B29">
      <w:pPr>
        <w:pStyle w:val="InstructionsText2"/>
        <w:numPr>
          <w:ilvl w:val="0"/>
          <w:numId w:val="0"/>
        </w:numPr>
        <w:ind w:left="993"/>
      </w:pPr>
      <w:r>
        <w:lastRenderedPageBreak/>
        <w:t>83.</w:t>
      </w:r>
      <w:r>
        <w:tab/>
        <w:t>Informacije v predlogi C 09.04 se poročajo za „Skupni znesek“ ustreznih kred</w:t>
      </w:r>
      <w:r>
        <w:t>i</w:t>
      </w:r>
      <w:r>
        <w:t>tnih izpostavljenosti v vseh jurisdikcijah, v katerih se nahajajo te izpostavljenosti, in posamično za vsako od jurisdikcij, v kateri se nahajajo ustrezne kreditne izpost</w:t>
      </w:r>
      <w:r>
        <w:t>a</w:t>
      </w:r>
      <w:r>
        <w:t xml:space="preserve">vljenosti. Skupni zneski in informacije o vsaki jurisdikciji se poročajo ločeno. </w:t>
      </w:r>
    </w:p>
    <w:p w:rsidR="007463E2" w:rsidRPr="00392FFD" w:rsidRDefault="00125707" w:rsidP="00C37B29">
      <w:pPr>
        <w:pStyle w:val="InstructionsText2"/>
        <w:numPr>
          <w:ilvl w:val="0"/>
          <w:numId w:val="0"/>
        </w:numPr>
        <w:ind w:left="993"/>
      </w:pPr>
      <w:r>
        <w:t>84.</w:t>
      </w:r>
      <w:r>
        <w:tab/>
        <w:t>Prag iz člena 5(a)(4) te uredbe se ne uporablja za poročanje o tej razčlenitvi.</w:t>
      </w:r>
    </w:p>
    <w:p w:rsidR="005A7CA9" w:rsidRPr="00392FFD" w:rsidRDefault="00125707" w:rsidP="00C37B29">
      <w:pPr>
        <w:pStyle w:val="InstructionsText2"/>
        <w:numPr>
          <w:ilvl w:val="0"/>
          <w:numId w:val="0"/>
        </w:numPr>
        <w:ind w:left="993"/>
      </w:pPr>
      <w:r>
        <w:t>85.</w:t>
      </w:r>
      <w:r>
        <w:tab/>
        <w:t>Da se določi geografska lokacija, se izpostavljenosti razporedijo na podlagi neposrednega dolžnika, kot je določeno v Delegirani uredbi Komisije (EU) št. 1152/2014 z dne 4. junija 2014 v zvezi z regulativnimi tehničnimi standardi za določitev geografske lokacije ustreznih kreditnih izpostavljenosti za izračun stopenj posamezni instituciji lastnega proticikličnega kapitalskega blažilnika. Zato tehnike za zmanjševanje kreditnega tveganja ne spremenijo razporeditve izpostavljenosti na geografske lokacije za namene poročanja informacij iz te predloge.</w:t>
      </w:r>
    </w:p>
    <w:p w:rsidR="00154859" w:rsidRPr="00392FFD" w:rsidRDefault="00125707" w:rsidP="0023700C">
      <w:pPr>
        <w:pStyle w:val="Instructionsberschrift2"/>
        <w:numPr>
          <w:ilvl w:val="0"/>
          <w:numId w:val="0"/>
        </w:numPr>
        <w:ind w:left="357" w:hanging="357"/>
        <w:rPr>
          <w:rFonts w:ascii="Times New Roman" w:hAnsi="Times New Roman" w:cs="Times New Roman"/>
          <w:sz w:val="24"/>
        </w:rPr>
      </w:pPr>
      <w:bookmarkStart w:id="400" w:name="_Toc360188368"/>
      <w:bookmarkStart w:id="401" w:name="_Toc516210654"/>
      <w:bookmarkStart w:id="402" w:name="_Toc473560919"/>
      <w:bookmarkStart w:id="403" w:name="_Toc523474403"/>
      <w:r>
        <w:rPr>
          <w:rFonts w:ascii="Times New Roman" w:hAnsi="Times New Roman"/>
          <w:sz w:val="24"/>
          <w:u w:val="none"/>
        </w:rPr>
        <w:t>3.4.3.2.</w:t>
      </w:r>
      <w:r w:rsidR="003F40E8" w:rsidRPr="003F40E8">
        <w:rPr>
          <w:u w:val="none"/>
        </w:rPr>
        <w:tab/>
      </w:r>
      <w:r>
        <w:rPr>
          <w:rFonts w:ascii="Times New Roman" w:hAnsi="Times New Roman"/>
          <w:sz w:val="24"/>
        </w:rPr>
        <w:t>Navodila za posamezne pozicije</w:t>
      </w:r>
      <w:bookmarkEnd w:id="400"/>
      <w:bookmarkEnd w:id="401"/>
      <w:bookmarkEnd w:id="402"/>
      <w:bookmarkEnd w:id="40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392FFD" w:rsidTr="00672D2A">
        <w:tc>
          <w:tcPr>
            <w:tcW w:w="1697" w:type="dxa"/>
            <w:shd w:val="clear" w:color="auto" w:fill="CCCCCC"/>
          </w:tcPr>
          <w:p w:rsidR="00154859" w:rsidRPr="00392FFD" w:rsidRDefault="00154859" w:rsidP="004357B9">
            <w:pPr>
              <w:rPr>
                <w:rFonts w:ascii="Times New Roman" w:hAnsi="Times New Roman"/>
                <w:b/>
                <w:sz w:val="24"/>
              </w:rPr>
            </w:pPr>
            <w:r>
              <w:rPr>
                <w:rFonts w:ascii="Times New Roman" w:hAnsi="Times New Roman"/>
                <w:b/>
                <w:sz w:val="24"/>
              </w:rPr>
              <w:t>Stolpci</w:t>
            </w:r>
          </w:p>
        </w:tc>
        <w:tc>
          <w:tcPr>
            <w:tcW w:w="8131" w:type="dxa"/>
            <w:shd w:val="clear" w:color="auto" w:fill="CCCCCC"/>
          </w:tcPr>
          <w:p w:rsidR="004357B9" w:rsidRPr="00392FFD" w:rsidRDefault="004357B9" w:rsidP="004357B9">
            <w:pPr>
              <w:ind w:left="72"/>
              <w:rPr>
                <w:rFonts w:ascii="Times New Roman" w:hAnsi="Times New Roman"/>
                <w:sz w:val="24"/>
              </w:rPr>
            </w:pPr>
          </w:p>
        </w:tc>
      </w:tr>
      <w:tr w:rsidR="00154859" w:rsidRPr="00392FFD" w:rsidTr="00672D2A">
        <w:tc>
          <w:tcPr>
            <w:tcW w:w="1697" w:type="dxa"/>
          </w:tcPr>
          <w:p w:rsidR="00154859" w:rsidRPr="00392FFD" w:rsidRDefault="00154859" w:rsidP="004357B9">
            <w:pPr>
              <w:rPr>
                <w:rStyle w:val="InstructionsTabelleText"/>
                <w:rFonts w:ascii="Times New Roman" w:hAnsi="Times New Roman"/>
                <w:sz w:val="24"/>
              </w:rPr>
            </w:pPr>
            <w:r>
              <w:rPr>
                <w:rFonts w:ascii="Times New Roman" w:hAnsi="Times New Roman"/>
                <w:sz w:val="24"/>
              </w:rPr>
              <w:t>010</w:t>
            </w:r>
          </w:p>
        </w:tc>
        <w:tc>
          <w:tcPr>
            <w:tcW w:w="8131" w:type="dxa"/>
          </w:tcPr>
          <w:p w:rsidR="00154859" w:rsidRPr="00392FFD" w:rsidRDefault="00154859" w:rsidP="00133107">
            <w:pPr>
              <w:rPr>
                <w:rFonts w:ascii="Times New Roman" w:hAnsi="Times New Roman"/>
                <w:b/>
                <w:bCs/>
                <w:sz w:val="24"/>
                <w:u w:val="single"/>
              </w:rPr>
            </w:pPr>
            <w:r>
              <w:rPr>
                <w:rFonts w:ascii="Times New Roman" w:hAnsi="Times New Roman"/>
                <w:b/>
                <w:sz w:val="24"/>
                <w:u w:val="single"/>
              </w:rPr>
              <w:t>Znesek</w:t>
            </w:r>
          </w:p>
          <w:p w:rsidR="00154859" w:rsidRPr="00392FFD" w:rsidRDefault="006E3440" w:rsidP="00535A98">
            <w:pPr>
              <w:rPr>
                <w:rFonts w:ascii="Times New Roman" w:hAnsi="Times New Roman"/>
                <w:b/>
                <w:sz w:val="24"/>
                <w:u w:val="single"/>
              </w:rPr>
            </w:pPr>
            <w:r>
              <w:rPr>
                <w:rFonts w:ascii="Times New Roman" w:hAnsi="Times New Roman"/>
                <w:sz w:val="24"/>
              </w:rPr>
              <w:t>Vrednost ustreznih kreditnih izpostavljenosti in povezanih kapitalskih zahtev, določena v skladu z navodili za zadevno vrstico.</w:t>
            </w:r>
          </w:p>
        </w:tc>
      </w:tr>
      <w:tr w:rsidR="00154859" w:rsidRPr="00392FFD" w:rsidTr="00672D2A">
        <w:tc>
          <w:tcPr>
            <w:tcW w:w="1697" w:type="dxa"/>
          </w:tcPr>
          <w:p w:rsidR="00154859" w:rsidRPr="00392FFD" w:rsidRDefault="00154859" w:rsidP="004357B9">
            <w:pPr>
              <w:rPr>
                <w:sz w:val="24"/>
              </w:rPr>
            </w:pPr>
            <w:r>
              <w:rPr>
                <w:rFonts w:ascii="Times New Roman" w:hAnsi="Times New Roman"/>
                <w:sz w:val="24"/>
              </w:rPr>
              <w:t>020</w:t>
            </w:r>
          </w:p>
        </w:tc>
        <w:tc>
          <w:tcPr>
            <w:tcW w:w="8131" w:type="dxa"/>
          </w:tcPr>
          <w:p w:rsidR="00154859" w:rsidRPr="00392FFD" w:rsidRDefault="00154859" w:rsidP="00133107">
            <w:pPr>
              <w:rPr>
                <w:rFonts w:ascii="Times New Roman" w:hAnsi="Times New Roman"/>
                <w:b/>
                <w:bCs/>
                <w:sz w:val="24"/>
                <w:u w:val="single"/>
              </w:rPr>
            </w:pPr>
            <w:r>
              <w:rPr>
                <w:rFonts w:ascii="Times New Roman" w:hAnsi="Times New Roman"/>
                <w:b/>
                <w:sz w:val="24"/>
                <w:u w:val="single"/>
              </w:rPr>
              <w:t>Odstotek</w:t>
            </w:r>
          </w:p>
          <w:p w:rsidR="00154859" w:rsidRPr="00392FFD" w:rsidRDefault="00154859" w:rsidP="00133107">
            <w:pPr>
              <w:rPr>
                <w:rFonts w:ascii="Times New Roman" w:hAnsi="Times New Roman"/>
                <w:b/>
                <w:bCs/>
                <w:sz w:val="24"/>
                <w:u w:val="single"/>
              </w:rPr>
            </w:pPr>
          </w:p>
        </w:tc>
      </w:tr>
      <w:tr w:rsidR="00154859" w:rsidRPr="00392FFD" w:rsidTr="00672D2A">
        <w:tc>
          <w:tcPr>
            <w:tcW w:w="1697" w:type="dxa"/>
          </w:tcPr>
          <w:p w:rsidR="00154859" w:rsidRPr="00392FFD" w:rsidRDefault="00154859" w:rsidP="004357B9">
            <w:pPr>
              <w:rPr>
                <w:rFonts w:ascii="Times New Roman" w:hAnsi="Times New Roman"/>
                <w:sz w:val="24"/>
              </w:rPr>
            </w:pPr>
            <w:r>
              <w:rPr>
                <w:rFonts w:ascii="Times New Roman" w:hAnsi="Times New Roman"/>
                <w:sz w:val="24"/>
              </w:rPr>
              <w:t>030</w:t>
            </w:r>
          </w:p>
        </w:tc>
        <w:tc>
          <w:tcPr>
            <w:tcW w:w="8131" w:type="dxa"/>
          </w:tcPr>
          <w:p w:rsidR="00154859" w:rsidRPr="00392FFD" w:rsidRDefault="00187348" w:rsidP="00133107">
            <w:pPr>
              <w:autoSpaceDE w:val="0"/>
              <w:autoSpaceDN w:val="0"/>
              <w:adjustRightInd w:val="0"/>
              <w:rPr>
                <w:rFonts w:ascii="Times New Roman" w:hAnsi="Times New Roman"/>
                <w:b/>
                <w:bCs/>
                <w:sz w:val="24"/>
                <w:u w:val="single"/>
              </w:rPr>
            </w:pPr>
            <w:r>
              <w:rPr>
                <w:rFonts w:ascii="Times New Roman" w:hAnsi="Times New Roman"/>
                <w:b/>
                <w:sz w:val="24"/>
                <w:u w:val="single"/>
              </w:rPr>
              <w:t>Kvalitativne informacije</w:t>
            </w:r>
          </w:p>
          <w:p w:rsidR="00514783" w:rsidRPr="00392FFD" w:rsidRDefault="00CA270D" w:rsidP="00234E7D">
            <w:pPr>
              <w:autoSpaceDE w:val="0"/>
              <w:autoSpaceDN w:val="0"/>
              <w:adjustRightInd w:val="0"/>
              <w:rPr>
                <w:rFonts w:ascii="Times New Roman" w:hAnsi="Times New Roman"/>
                <w:sz w:val="24"/>
              </w:rPr>
            </w:pPr>
            <w:r>
              <w:rPr>
                <w:rFonts w:ascii="Times New Roman" w:hAnsi="Times New Roman"/>
                <w:sz w:val="24"/>
              </w:rPr>
              <w:t xml:space="preserve">Te informacije se poročajo samo za državo sedeža institucije (jurisdikcija, ki ustreza njeni matični državi) in za „Skupni znesek“ vseh držav. </w:t>
            </w:r>
          </w:p>
          <w:p w:rsidR="00EF3F40" w:rsidRPr="00392FFD"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Institucije sporočijo {y} ali {n} v skladu z navodili za zadevno vrstico.</w:t>
            </w:r>
          </w:p>
        </w:tc>
      </w:tr>
    </w:tbl>
    <w:p w:rsidR="00464F34" w:rsidRPr="00392FFD" w:rsidRDefault="00464F34"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392FFD" w:rsidTr="00672D2A">
        <w:tc>
          <w:tcPr>
            <w:tcW w:w="1697" w:type="dxa"/>
            <w:shd w:val="clear" w:color="auto" w:fill="CCCCCC"/>
          </w:tcPr>
          <w:p w:rsidR="00BD5485" w:rsidRPr="00392FFD" w:rsidRDefault="00BD5485" w:rsidP="00133107">
            <w:pPr>
              <w:rPr>
                <w:rFonts w:ascii="Times New Roman" w:hAnsi="Times New Roman"/>
                <w:b/>
                <w:sz w:val="24"/>
              </w:rPr>
            </w:pPr>
            <w:r>
              <w:rPr>
                <w:rFonts w:ascii="Times New Roman" w:hAnsi="Times New Roman"/>
                <w:b/>
                <w:sz w:val="24"/>
              </w:rPr>
              <w:t>Vrstice</w:t>
            </w:r>
          </w:p>
        </w:tc>
        <w:tc>
          <w:tcPr>
            <w:tcW w:w="8131" w:type="dxa"/>
            <w:shd w:val="clear" w:color="auto" w:fill="CCCCCC"/>
          </w:tcPr>
          <w:p w:rsidR="00BD5485" w:rsidRPr="00392FFD" w:rsidRDefault="00BD5485" w:rsidP="00133107">
            <w:pPr>
              <w:ind w:left="72"/>
              <w:rPr>
                <w:rFonts w:ascii="Times New Roman" w:hAnsi="Times New Roman"/>
                <w:sz w:val="24"/>
              </w:rPr>
            </w:pPr>
          </w:p>
        </w:tc>
      </w:tr>
      <w:tr w:rsidR="00BD5485" w:rsidRPr="00392FFD" w:rsidTr="00672D2A">
        <w:tc>
          <w:tcPr>
            <w:tcW w:w="1697" w:type="dxa"/>
          </w:tcPr>
          <w:p w:rsidR="00BD5485" w:rsidRPr="00392FFD" w:rsidRDefault="00BD5485" w:rsidP="00133107">
            <w:pPr>
              <w:rPr>
                <w:rStyle w:val="InstructionsTabelleText"/>
                <w:rFonts w:ascii="Times New Roman" w:hAnsi="Times New Roman"/>
                <w:sz w:val="24"/>
              </w:rPr>
            </w:pPr>
            <w:r>
              <w:rPr>
                <w:rFonts w:ascii="Times New Roman" w:hAnsi="Times New Roman"/>
                <w:sz w:val="24"/>
              </w:rPr>
              <w:t>010–020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Ustrezne kreditne izpostavljenosti – Kreditno tveganje</w:t>
            </w:r>
          </w:p>
          <w:p w:rsidR="00BD5485" w:rsidRPr="00392FFD" w:rsidRDefault="00BD5485" w:rsidP="00BD5485">
            <w:pPr>
              <w:rPr>
                <w:rFonts w:ascii="Times New Roman" w:hAnsi="Times New Roman"/>
                <w:b/>
                <w:sz w:val="24"/>
                <w:u w:val="single"/>
              </w:rPr>
            </w:pPr>
            <w:r>
              <w:rPr>
                <w:rFonts w:ascii="Times New Roman" w:hAnsi="Times New Roman"/>
                <w:sz w:val="24"/>
              </w:rPr>
              <w:t>Ustrezne kreditne izpostavljenosti, opredeljene v skladu s členom 140(4)(a) CRD.</w:t>
            </w:r>
          </w:p>
        </w:tc>
      </w:tr>
      <w:tr w:rsidR="00BD5485" w:rsidRPr="00392FFD" w:rsidTr="00672D2A">
        <w:tc>
          <w:tcPr>
            <w:tcW w:w="1697" w:type="dxa"/>
          </w:tcPr>
          <w:p w:rsidR="00BD5485" w:rsidRPr="00392FFD" w:rsidRDefault="00BD5485" w:rsidP="00133107">
            <w:pPr>
              <w:rPr>
                <w:sz w:val="24"/>
              </w:rPr>
            </w:pPr>
            <w:r>
              <w:rPr>
                <w:rFonts w:ascii="Times New Roman" w:hAnsi="Times New Roman"/>
                <w:sz w:val="24"/>
              </w:rPr>
              <w:t>010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Vrednost izpostavljenosti po standardiziranem pristopu</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Vrednost izpostavljenosti, določena v skladu s členom 111 CRR, za ustrezne kr</w:t>
            </w:r>
            <w:r>
              <w:rPr>
                <w:rFonts w:ascii="Times New Roman" w:hAnsi="Times New Roman"/>
                <w:sz w:val="24"/>
              </w:rPr>
              <w:t>e</w:t>
            </w:r>
            <w:r>
              <w:rPr>
                <w:rFonts w:ascii="Times New Roman" w:hAnsi="Times New Roman"/>
                <w:sz w:val="24"/>
              </w:rPr>
              <w:t xml:space="preserve">ditne izpostavljenosti, opredeljene v skladu s členom 140(4)(a) CRD. </w:t>
            </w:r>
          </w:p>
          <w:p w:rsidR="00BD5485" w:rsidRPr="00392FFD" w:rsidRDefault="00BD5485" w:rsidP="005A7CA9">
            <w:pPr>
              <w:autoSpaceDE w:val="0"/>
              <w:autoSpaceDN w:val="0"/>
              <w:adjustRightInd w:val="0"/>
              <w:rPr>
                <w:rFonts w:ascii="Times New Roman" w:hAnsi="Times New Roman"/>
                <w:b/>
                <w:bCs/>
                <w:sz w:val="24"/>
                <w:u w:val="single"/>
              </w:rPr>
            </w:pPr>
            <w:r>
              <w:rPr>
                <w:rFonts w:ascii="Times New Roman" w:hAnsi="Times New Roman"/>
                <w:sz w:val="24"/>
              </w:rPr>
              <w:t>Vrednost izpostavljenosti pozicij v listinjenju v trgovalni knjigi po standardizir</w:t>
            </w:r>
            <w:r>
              <w:rPr>
                <w:rFonts w:ascii="Times New Roman" w:hAnsi="Times New Roman"/>
                <w:sz w:val="24"/>
              </w:rPr>
              <w:t>a</w:t>
            </w:r>
            <w:r>
              <w:rPr>
                <w:rFonts w:ascii="Times New Roman" w:hAnsi="Times New Roman"/>
                <w:sz w:val="24"/>
              </w:rPr>
              <w:t>nem pristopu se izključi iz te vrstice in poroča v vrstici 050.</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020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Vrednost izpostavljenosti po pristopu IRB</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Vrednost izpostavljenosti, določena v skladu s členom 166 CRR, za ustrezne kr</w:t>
            </w:r>
            <w:r>
              <w:rPr>
                <w:rFonts w:ascii="Times New Roman" w:hAnsi="Times New Roman"/>
                <w:sz w:val="24"/>
              </w:rPr>
              <w:t>e</w:t>
            </w:r>
            <w:r>
              <w:rPr>
                <w:rFonts w:ascii="Times New Roman" w:hAnsi="Times New Roman"/>
                <w:sz w:val="24"/>
              </w:rPr>
              <w:t xml:space="preserve">ditne izpostavljenosti, opredeljene v skladu s členom 140(4)(a) CRD. </w:t>
            </w:r>
          </w:p>
          <w:p w:rsidR="00BD5485" w:rsidRPr="00392FFD" w:rsidRDefault="00BD5485" w:rsidP="00BD5485">
            <w:pPr>
              <w:rPr>
                <w:rFonts w:ascii="Times New Roman" w:hAnsi="Times New Roman"/>
                <w:b/>
                <w:bCs/>
                <w:sz w:val="24"/>
                <w:u w:val="single"/>
              </w:rPr>
            </w:pPr>
            <w:r>
              <w:rPr>
                <w:rFonts w:ascii="Times New Roman" w:hAnsi="Times New Roman"/>
                <w:sz w:val="24"/>
              </w:rPr>
              <w:lastRenderedPageBreak/>
              <w:t>Vrednost izpostavljenosti pozicij v listinjenju v trgovalni knjigi po pristopu IRB se izključi iz te vrstice in poroča v vrstici 060.</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lastRenderedPageBreak/>
              <w:t>030–040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Ustrezne kreditne izpostavljenosti – Tržno tveganje</w:t>
            </w:r>
          </w:p>
          <w:p w:rsidR="00BD5485" w:rsidRPr="00392FFD" w:rsidRDefault="00BD5485" w:rsidP="00BD5485">
            <w:pPr>
              <w:rPr>
                <w:rFonts w:ascii="Times New Roman" w:hAnsi="Times New Roman"/>
                <w:b/>
                <w:bCs/>
                <w:sz w:val="24"/>
                <w:u w:val="single"/>
              </w:rPr>
            </w:pPr>
            <w:r>
              <w:rPr>
                <w:rFonts w:ascii="Times New Roman" w:hAnsi="Times New Roman"/>
                <w:sz w:val="24"/>
              </w:rPr>
              <w:t>Ustrezne kreditne izpostavljenosti, opredeljene v skladu s členom 140(4)(b) CRD.</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030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Vsota dolgih in kratkih pozicij izpostavljenosti v trgovalni knjigi za standa</w:t>
            </w:r>
            <w:r>
              <w:rPr>
                <w:rFonts w:ascii="Times New Roman" w:hAnsi="Times New Roman"/>
                <w:b/>
                <w:sz w:val="24"/>
                <w:u w:val="single"/>
              </w:rPr>
              <w:t>r</w:t>
            </w:r>
            <w:r>
              <w:rPr>
                <w:rFonts w:ascii="Times New Roman" w:hAnsi="Times New Roman"/>
                <w:b/>
                <w:sz w:val="24"/>
                <w:u w:val="single"/>
              </w:rPr>
              <w:t>dizirane pristope</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Vsota neto dolgih in neto kratkih pozicij v skladu s členom 327 CRR za ustrezne kreditne izpostavljenosti, opredeljene v skladu s členom 140(4)(b) CRD, na po</w:t>
            </w:r>
            <w:r>
              <w:rPr>
                <w:rFonts w:ascii="Times New Roman" w:hAnsi="Times New Roman"/>
                <w:sz w:val="24"/>
              </w:rPr>
              <w:t>d</w:t>
            </w:r>
            <w:r>
              <w:rPr>
                <w:rFonts w:ascii="Times New Roman" w:hAnsi="Times New Roman"/>
                <w:sz w:val="24"/>
              </w:rPr>
              <w:t xml:space="preserve">lagi poglavja 2 naslova IV dela 3 CRR: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 xml:space="preserve">izpostavljenosti do dolžniških instrumentov razen listinjenja,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 xml:space="preserve">izpostavljenosti do pozicij v listinjenju v trgovalni knjigi,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izpostavljenosti do trgovalnih portfeljev s korelacijo,</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izpostavljenosti do lastniških vrednostnih papirjev in</w:t>
            </w:r>
          </w:p>
          <w:p w:rsidR="00797715" w:rsidRPr="00125707"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t>–</w:t>
            </w:r>
            <w:r>
              <w:tab/>
            </w:r>
            <w:r>
              <w:rPr>
                <w:rFonts w:ascii="Times New Roman" w:hAnsi="Times New Roman"/>
                <w:sz w:val="24"/>
              </w:rPr>
              <w:t>izpostavljenosti do KNP, če so kapitalske zahteve izračunane v skladu s čl</w:t>
            </w:r>
            <w:r>
              <w:rPr>
                <w:rFonts w:ascii="Times New Roman" w:hAnsi="Times New Roman"/>
                <w:sz w:val="24"/>
              </w:rPr>
              <w:t>e</w:t>
            </w:r>
            <w:r>
              <w:rPr>
                <w:rFonts w:ascii="Times New Roman" w:hAnsi="Times New Roman"/>
                <w:sz w:val="24"/>
              </w:rPr>
              <w:t>nom 348 CRR.</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040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Vrednost izpostavljenosti v trgovalni knjigi po notranjih modelih</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Za ustrezne kreditne izpostavljenosti, opredeljene v skladu s členom 140(4)(b) CRD na podlagi poglavij 2 in 5 naslova IV dela 3 CRR se sporoči vsota nasle</w:t>
            </w:r>
            <w:r>
              <w:rPr>
                <w:rFonts w:ascii="Times New Roman" w:hAnsi="Times New Roman"/>
                <w:sz w:val="24"/>
              </w:rPr>
              <w:t>d</w:t>
            </w:r>
            <w:r>
              <w:rPr>
                <w:rFonts w:ascii="Times New Roman" w:hAnsi="Times New Roman"/>
                <w:sz w:val="24"/>
              </w:rPr>
              <w:t>njega:</w:t>
            </w:r>
          </w:p>
          <w:p w:rsidR="00BD5485" w:rsidRPr="00125707"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poštene vrednosti pozicij v neizvedenih instrumentih, ki predstavljajo ustrezne kreditne izpostavljenosti, kot so opredeljene v členu 140(4)(b) CRD, določene v skladu s členom 104 CRR,</w:t>
            </w:r>
          </w:p>
          <w:p w:rsidR="00BD5485" w:rsidRPr="00125707" w:rsidRDefault="00125707" w:rsidP="0023700C">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tab/>
            </w:r>
            <w:r>
              <w:rPr>
                <w:rFonts w:ascii="Times New Roman" w:hAnsi="Times New Roman"/>
                <w:sz w:val="24"/>
              </w:rPr>
              <w:t>hipotetične vrednosti izvedenih finančnih instrumentov, ki predstavljajo ustr</w:t>
            </w:r>
            <w:r>
              <w:rPr>
                <w:rFonts w:ascii="Times New Roman" w:hAnsi="Times New Roman"/>
                <w:sz w:val="24"/>
              </w:rPr>
              <w:t>e</w:t>
            </w:r>
            <w:r>
              <w:rPr>
                <w:rFonts w:ascii="Times New Roman" w:hAnsi="Times New Roman"/>
                <w:sz w:val="24"/>
              </w:rPr>
              <w:t>zne kreditne izpostavljenosti, kot so opredeljene v členu 140(4)(b) CRD.</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050–060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Ustrezne kreditne izpostavljenosti – Pozicije v listinjenju v netrgovalni knjigi</w:t>
            </w:r>
          </w:p>
          <w:p w:rsidR="00BD5485" w:rsidRPr="00392FFD" w:rsidRDefault="00BD5485" w:rsidP="00BD5485">
            <w:pPr>
              <w:rPr>
                <w:rFonts w:ascii="Times New Roman" w:hAnsi="Times New Roman"/>
                <w:b/>
                <w:bCs/>
                <w:sz w:val="24"/>
                <w:u w:val="single"/>
              </w:rPr>
            </w:pPr>
            <w:r>
              <w:rPr>
                <w:rFonts w:ascii="Times New Roman" w:hAnsi="Times New Roman"/>
                <w:sz w:val="24"/>
              </w:rPr>
              <w:t>Ustrezne kreditne izpostavljenosti, opredeljene v skladu s členom 140(4)(c) CRD.</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050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Vrednost izpostavljenosti pozicij v listinjenju v netrgovalni knjigi po sta</w:t>
            </w:r>
            <w:r>
              <w:rPr>
                <w:rFonts w:ascii="Times New Roman" w:hAnsi="Times New Roman"/>
                <w:b/>
                <w:sz w:val="24"/>
                <w:u w:val="single"/>
              </w:rPr>
              <w:t>n</w:t>
            </w:r>
            <w:r>
              <w:rPr>
                <w:rFonts w:ascii="Times New Roman" w:hAnsi="Times New Roman"/>
                <w:b/>
                <w:sz w:val="24"/>
                <w:u w:val="single"/>
              </w:rPr>
              <w:t>dardiziranem pristopu</w:t>
            </w:r>
          </w:p>
          <w:p w:rsidR="00BD5485" w:rsidRPr="00392FFD" w:rsidRDefault="00BD5485" w:rsidP="00BD5485">
            <w:pPr>
              <w:rPr>
                <w:rFonts w:ascii="Times New Roman" w:hAnsi="Times New Roman"/>
                <w:b/>
                <w:bCs/>
                <w:sz w:val="24"/>
                <w:u w:val="single"/>
              </w:rPr>
            </w:pPr>
            <w:r>
              <w:rPr>
                <w:rFonts w:ascii="Times New Roman" w:hAnsi="Times New Roman"/>
                <w:sz w:val="24"/>
              </w:rPr>
              <w:t>Vrednost izpostavljenosti, določena v skladu s členom 246 CRR, ustrezne kredi</w:t>
            </w:r>
            <w:r>
              <w:rPr>
                <w:rFonts w:ascii="Times New Roman" w:hAnsi="Times New Roman"/>
                <w:sz w:val="24"/>
              </w:rPr>
              <w:t>t</w:t>
            </w:r>
            <w:r>
              <w:rPr>
                <w:rFonts w:ascii="Times New Roman" w:hAnsi="Times New Roman"/>
                <w:sz w:val="24"/>
              </w:rPr>
              <w:t xml:space="preserve">ne izpostavljenosti, opredeljene v skladu s členom 140(4)(c) CRD. </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060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Vrednost izpostavljenosti pozicij v listinjenju v netrgovalni knjigi po prist</w:t>
            </w:r>
            <w:r>
              <w:rPr>
                <w:rFonts w:ascii="Times New Roman" w:hAnsi="Times New Roman"/>
                <w:b/>
                <w:sz w:val="24"/>
                <w:u w:val="single"/>
              </w:rPr>
              <w:t>o</w:t>
            </w:r>
            <w:r>
              <w:rPr>
                <w:rFonts w:ascii="Times New Roman" w:hAnsi="Times New Roman"/>
                <w:b/>
                <w:sz w:val="24"/>
                <w:u w:val="single"/>
              </w:rPr>
              <w:t>pu IRB</w:t>
            </w:r>
          </w:p>
          <w:p w:rsidR="00BD5485" w:rsidRPr="00392FFD" w:rsidRDefault="00BD5485" w:rsidP="0009195D">
            <w:pPr>
              <w:autoSpaceDE w:val="0"/>
              <w:autoSpaceDN w:val="0"/>
              <w:adjustRightInd w:val="0"/>
              <w:rPr>
                <w:rFonts w:ascii="Times New Roman" w:hAnsi="Times New Roman"/>
                <w:b/>
                <w:bCs/>
                <w:sz w:val="24"/>
                <w:u w:val="single"/>
              </w:rPr>
            </w:pPr>
            <w:r>
              <w:rPr>
                <w:rFonts w:ascii="Times New Roman" w:hAnsi="Times New Roman"/>
                <w:sz w:val="24"/>
              </w:rPr>
              <w:t>Vrednost izpostavljenosti, določena v skladu s členom 246 CRR, ustrezne kredi</w:t>
            </w:r>
            <w:r>
              <w:rPr>
                <w:rFonts w:ascii="Times New Roman" w:hAnsi="Times New Roman"/>
                <w:sz w:val="24"/>
              </w:rPr>
              <w:t>t</w:t>
            </w:r>
            <w:r>
              <w:rPr>
                <w:rFonts w:ascii="Times New Roman" w:hAnsi="Times New Roman"/>
                <w:sz w:val="24"/>
              </w:rPr>
              <w:t xml:space="preserve">ne izpostavljenosti, opredeljene v skladu s členom 140(4)(c) CRD. </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070–110</w:t>
            </w:r>
          </w:p>
        </w:tc>
        <w:tc>
          <w:tcPr>
            <w:tcW w:w="8131" w:type="dxa"/>
          </w:tcPr>
          <w:p w:rsidR="00BD5485" w:rsidRPr="00392FFD" w:rsidRDefault="00BD5485" w:rsidP="00133107">
            <w:pPr>
              <w:rPr>
                <w:rFonts w:ascii="Times New Roman" w:hAnsi="Times New Roman"/>
                <w:b/>
                <w:bCs/>
                <w:sz w:val="24"/>
                <w:u w:val="single"/>
              </w:rPr>
            </w:pPr>
            <w:r>
              <w:rPr>
                <w:rFonts w:ascii="Times New Roman" w:hAnsi="Times New Roman"/>
                <w:b/>
                <w:sz w:val="24"/>
                <w:u w:val="single"/>
              </w:rPr>
              <w:t>Kapitalske zahteve in uteži</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070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Skupne kapitalske zahteve za CCB</w:t>
            </w:r>
          </w:p>
          <w:p w:rsidR="00BD5485" w:rsidRPr="00392FFD" w:rsidRDefault="00BD5485" w:rsidP="00BD5485">
            <w:pPr>
              <w:rPr>
                <w:rFonts w:ascii="Times New Roman" w:hAnsi="Times New Roman"/>
                <w:b/>
                <w:bCs/>
                <w:sz w:val="24"/>
                <w:u w:val="single"/>
              </w:rPr>
            </w:pPr>
            <w:r>
              <w:rPr>
                <w:rFonts w:ascii="Times New Roman" w:hAnsi="Times New Roman"/>
                <w:sz w:val="24"/>
              </w:rPr>
              <w:t>Vsota vrstic 080, 090 in 100.</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080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rPr>
              <w:t xml:space="preserve">Kapitalske zahteve </w:t>
            </w:r>
            <w:r>
              <w:rPr>
                <w:rFonts w:ascii="Times New Roman" w:hAnsi="Times New Roman"/>
                <w:b/>
                <w:sz w:val="24"/>
                <w:u w:val="single"/>
              </w:rPr>
              <w:t xml:space="preserve">za ustrezne kreditne izpostavljenosti – Kreditno tveganje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lastRenderedPageBreak/>
              <w:t xml:space="preserve">Kapitalske zahteve, določene v skladu s poglavji 1 do 4 in 6 naslova II dela 3 CRR, za ustrezne kreditne izpostavljenosti, opredeljene v skladu s členom 140(4)(a) CRD, v zadevni državi.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Kapitalske zahteve za pozicije v listinjenju v netrgovalni knjigi se izključijo iz te vrstice in sporočijo v vrstici 100.</w:t>
            </w:r>
          </w:p>
          <w:p w:rsidR="00BD5485" w:rsidRPr="00392FFD" w:rsidRDefault="00BD5485" w:rsidP="00255BA9">
            <w:pPr>
              <w:rPr>
                <w:rFonts w:ascii="Times New Roman" w:hAnsi="Times New Roman"/>
                <w:b/>
                <w:bCs/>
                <w:sz w:val="24"/>
                <w:u w:val="single"/>
              </w:rPr>
            </w:pPr>
            <w:r>
              <w:rPr>
                <w:rFonts w:ascii="Times New Roman" w:hAnsi="Times New Roman"/>
                <w:sz w:val="24"/>
              </w:rPr>
              <w:t>Kapitalske zahteve znašajo 8 % zneska tveganju prilagojenih izpostavljenosti, določenega v skladu z določbami poglavij 1 do 4 in 6 naslova II dela 3 CRR.</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lastRenderedPageBreak/>
              <w:t>090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rPr>
              <w:t xml:space="preserve">Kapitalske zahteve </w:t>
            </w:r>
            <w:r>
              <w:rPr>
                <w:rFonts w:ascii="Times New Roman" w:hAnsi="Times New Roman"/>
                <w:b/>
                <w:sz w:val="24"/>
                <w:u w:val="single"/>
              </w:rPr>
              <w:t xml:space="preserve">za ustrezne kreditne izpostavljenosti – Tržno tveganje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 xml:space="preserve">Kapitalske zahteve, določene v skladu s poglavjem 2 naslova IV dela 3 CRR za specifično tveganje ali v skladu s poglavjem 5 naslova IV dela 3 CRR za presežno tveganje neplačila in migracije, za ustrezne kreditne izpostavljenosti, opredeljene v skladu s členom 140(4)(b) CRD, v zadevni državi. </w:t>
            </w:r>
          </w:p>
          <w:p w:rsidR="00BD5485" w:rsidRPr="00392FFD" w:rsidRDefault="00BD5485" w:rsidP="0009195D">
            <w:pPr>
              <w:autoSpaceDE w:val="0"/>
              <w:autoSpaceDN w:val="0"/>
              <w:adjustRightInd w:val="0"/>
              <w:rPr>
                <w:rFonts w:ascii="Times New Roman" w:hAnsi="Times New Roman"/>
                <w:b/>
                <w:bCs/>
                <w:sz w:val="24"/>
                <w:u w:val="single"/>
              </w:rPr>
            </w:pPr>
            <w:r>
              <w:rPr>
                <w:rFonts w:ascii="Times New Roman" w:hAnsi="Times New Roman"/>
                <w:sz w:val="24"/>
              </w:rPr>
              <w:t>Kapitalske zahteve za ustrezne kreditne izpostavljenosti na podlagi okvira tržnega tveganja med drugim vključujejo kapitalske zahteve za pozicije v listinjenju v skladu s poglavjem 2 naslova IV dela 3 CRR in kapitalske zahteve za izpostavlj</w:t>
            </w:r>
            <w:r>
              <w:rPr>
                <w:rFonts w:ascii="Times New Roman" w:hAnsi="Times New Roman"/>
                <w:sz w:val="24"/>
              </w:rPr>
              <w:t>e</w:t>
            </w:r>
            <w:r>
              <w:rPr>
                <w:rFonts w:ascii="Times New Roman" w:hAnsi="Times New Roman"/>
                <w:sz w:val="24"/>
              </w:rPr>
              <w:t>nosti do kolektivih naložbenih podjemov, določene v skladu s členom 348 CRR.</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100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rPr>
              <w:t xml:space="preserve">Kapitalske zahteve </w:t>
            </w:r>
            <w:r>
              <w:rPr>
                <w:rFonts w:ascii="Times New Roman" w:hAnsi="Times New Roman"/>
                <w:b/>
                <w:sz w:val="24"/>
                <w:u w:val="single"/>
              </w:rPr>
              <w:t>za ustrezne kreditne izpostavljenosti – Pozicije v listinje</w:t>
            </w:r>
            <w:r>
              <w:rPr>
                <w:rFonts w:ascii="Times New Roman" w:hAnsi="Times New Roman"/>
                <w:b/>
                <w:sz w:val="24"/>
                <w:u w:val="single"/>
              </w:rPr>
              <w:t>n</w:t>
            </w:r>
            <w:r>
              <w:rPr>
                <w:rFonts w:ascii="Times New Roman" w:hAnsi="Times New Roman"/>
                <w:b/>
                <w:sz w:val="24"/>
                <w:u w:val="single"/>
              </w:rPr>
              <w:t>ju v netrgovalni knjigi</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Kapitalske zahteve, določene v skladu s poglavjem 5 naslova II dela 3 CRR za ustrezne kreditne izpostavljenosti, opredeljene v skladu s členom 140(4)(c) CRD, v zadevni državi.</w:t>
            </w:r>
          </w:p>
          <w:p w:rsidR="00BD5485" w:rsidRPr="00392FFD" w:rsidRDefault="00BD5485" w:rsidP="00BD5485">
            <w:pPr>
              <w:rPr>
                <w:rFonts w:ascii="Times New Roman" w:hAnsi="Times New Roman"/>
                <w:b/>
                <w:bCs/>
                <w:sz w:val="24"/>
                <w:u w:val="single"/>
              </w:rPr>
            </w:pPr>
            <w:r>
              <w:rPr>
                <w:rFonts w:ascii="Times New Roman" w:hAnsi="Times New Roman"/>
                <w:sz w:val="24"/>
              </w:rPr>
              <w:t>Kapitalske zahteve znašajo 8 % zneska tveganju prilagojenih izpostavljenosti, določenega v skladu z določbami poglavja 5 naslova II dela 3 CRR.</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110</w:t>
            </w:r>
          </w:p>
        </w:tc>
        <w:tc>
          <w:tcPr>
            <w:tcW w:w="8131" w:type="dxa"/>
          </w:tcPr>
          <w:p w:rsidR="00966663" w:rsidRPr="00392FFD" w:rsidRDefault="00966663" w:rsidP="00966663">
            <w:pPr>
              <w:rPr>
                <w:rFonts w:ascii="Times New Roman" w:hAnsi="Times New Roman"/>
                <w:b/>
                <w:bCs/>
                <w:sz w:val="24"/>
                <w:u w:val="single"/>
              </w:rPr>
            </w:pPr>
            <w:r>
              <w:rPr>
                <w:rFonts w:ascii="Times New Roman" w:hAnsi="Times New Roman"/>
                <w:b/>
                <w:sz w:val="24"/>
                <w:u w:val="single"/>
              </w:rPr>
              <w:t>Uteži kapitalskih zahtev</w:t>
            </w:r>
          </w:p>
          <w:p w:rsidR="00966663" w:rsidRPr="00392FFD" w:rsidRDefault="00966663" w:rsidP="00966663">
            <w:pPr>
              <w:rPr>
                <w:rFonts w:ascii="Times New Roman" w:hAnsi="Times New Roman"/>
                <w:sz w:val="24"/>
              </w:rPr>
            </w:pPr>
            <w:r>
              <w:rPr>
                <w:rFonts w:ascii="Times New Roman" w:hAnsi="Times New Roman"/>
                <w:sz w:val="24"/>
              </w:rPr>
              <w:t>Utež, ki se uporabi za stopnjo proticikličnega blažilnika v vsaki državi, se izrač</w:t>
            </w:r>
            <w:r>
              <w:rPr>
                <w:rFonts w:ascii="Times New Roman" w:hAnsi="Times New Roman"/>
                <w:sz w:val="24"/>
              </w:rPr>
              <w:t>u</w:t>
            </w:r>
            <w:r>
              <w:rPr>
                <w:rFonts w:ascii="Times New Roman" w:hAnsi="Times New Roman"/>
                <w:sz w:val="24"/>
              </w:rPr>
              <w:t>na kot količnik kapitalskih zahtev, ki se določi takole:</w:t>
            </w:r>
          </w:p>
          <w:p w:rsidR="00966663" w:rsidRPr="00392FFD" w:rsidRDefault="00966663" w:rsidP="00966663">
            <w:pPr>
              <w:rPr>
                <w:rFonts w:ascii="Times New Roman" w:hAnsi="Times New Roman"/>
                <w:sz w:val="24"/>
              </w:rPr>
            </w:pPr>
            <w:r>
              <w:rPr>
                <w:rFonts w:ascii="Times New Roman" w:hAnsi="Times New Roman"/>
                <w:sz w:val="24"/>
              </w:rPr>
              <w:t>1.</w:t>
            </w:r>
            <w:r>
              <w:tab/>
            </w:r>
            <w:r>
              <w:rPr>
                <w:rFonts w:ascii="Times New Roman" w:hAnsi="Times New Roman"/>
                <w:sz w:val="24"/>
              </w:rPr>
              <w:t xml:space="preserve">števec: skupne kapitalske zahteve, ki se nanašajo na ustrezne kreditne izpostavljenosti v zadevni državi [v070; s010; obrazec za državo], </w:t>
            </w:r>
          </w:p>
          <w:p w:rsidR="00BD5485" w:rsidRPr="00392FFD" w:rsidRDefault="00966663" w:rsidP="00CF5466">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 xml:space="preserve">imenovalec: skupne kapitalske zahteve, ki se nanašajo na vse kreditne izpostavljenosti, ki so relevantne za izračun proticikličnega blažilnika v skladu s členom 140(4) CRD [v070;s010; „Skupni znesek“].  </w:t>
            </w:r>
          </w:p>
          <w:p w:rsidR="003B00F4" w:rsidRPr="00392FFD" w:rsidRDefault="003B00F4" w:rsidP="003B00F4">
            <w:pPr>
              <w:rPr>
                <w:rFonts w:ascii="Times New Roman" w:hAnsi="Times New Roman"/>
                <w:b/>
                <w:bCs/>
                <w:sz w:val="24"/>
                <w:u w:val="single"/>
              </w:rPr>
            </w:pPr>
            <w:r>
              <w:rPr>
                <w:rFonts w:ascii="Times New Roman" w:hAnsi="Times New Roman"/>
                <w:sz w:val="24"/>
              </w:rPr>
              <w:t>Informacije o utežeh kapitalskih zahtev se ne poročajo za postavko „Skupni zn</w:t>
            </w:r>
            <w:r>
              <w:rPr>
                <w:rFonts w:ascii="Times New Roman" w:hAnsi="Times New Roman"/>
                <w:sz w:val="24"/>
              </w:rPr>
              <w:t>e</w:t>
            </w:r>
            <w:r>
              <w:rPr>
                <w:rFonts w:ascii="Times New Roman" w:hAnsi="Times New Roman"/>
                <w:sz w:val="24"/>
              </w:rPr>
              <w:t>sek“ vseh držav.</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120–140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Stopnje proticikličnega kapitalskega blažilnika</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120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Stopnja proticikličnega kapitalskega blažilnika, ki jo določi imenovani organ</w:t>
            </w:r>
          </w:p>
          <w:p w:rsidR="00966663" w:rsidRPr="00392FFD" w:rsidRDefault="00966663" w:rsidP="00133107">
            <w:pPr>
              <w:autoSpaceDE w:val="0"/>
              <w:autoSpaceDN w:val="0"/>
              <w:adjustRightInd w:val="0"/>
              <w:rPr>
                <w:rFonts w:ascii="Times New Roman" w:hAnsi="Times New Roman"/>
                <w:sz w:val="24"/>
              </w:rPr>
            </w:pPr>
            <w:r>
              <w:rPr>
                <w:rFonts w:ascii="Times New Roman" w:hAnsi="Times New Roman"/>
                <w:sz w:val="24"/>
              </w:rPr>
              <w:t>Stopnja proticikličnega kapitalskega blažilnika, ki jo za zadevno državo določi imenovani organ te države v skladu s členi 136, 137, 138 in 139 CRD.</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Ta vrstica mora ostati prazna, če za zadevno državo imenovani organ te države ni določil proticikličnega blažilnika.</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 xml:space="preserve">Stopnje proticikličnega kapitalskega blažilnika, ki jih je določil imenovani organ, </w:t>
            </w:r>
            <w:r>
              <w:rPr>
                <w:rFonts w:ascii="Times New Roman" w:hAnsi="Times New Roman"/>
                <w:sz w:val="24"/>
              </w:rPr>
              <w:lastRenderedPageBreak/>
              <w:t>vendar se na referenčni datum poročanja še ne uporabljajo v zadevni državi, se ne sporočijo.</w:t>
            </w:r>
          </w:p>
          <w:p w:rsidR="00966663" w:rsidRPr="00392FFD" w:rsidRDefault="00966663" w:rsidP="000E6835">
            <w:pPr>
              <w:rPr>
                <w:rFonts w:ascii="Times New Roman" w:hAnsi="Times New Roman"/>
                <w:b/>
                <w:bCs/>
                <w:sz w:val="24"/>
                <w:u w:val="single"/>
              </w:rPr>
            </w:pPr>
            <w:r>
              <w:rPr>
                <w:rFonts w:ascii="Times New Roman" w:hAnsi="Times New Roman"/>
                <w:sz w:val="24"/>
              </w:rPr>
              <w:t>Informacije o stopnji proticikličnega kapitalskega blažilnika, ki jo je določil im</w:t>
            </w:r>
            <w:r>
              <w:rPr>
                <w:rFonts w:ascii="Times New Roman" w:hAnsi="Times New Roman"/>
                <w:sz w:val="24"/>
              </w:rPr>
              <w:t>e</w:t>
            </w:r>
            <w:r>
              <w:rPr>
                <w:rFonts w:ascii="Times New Roman" w:hAnsi="Times New Roman"/>
                <w:sz w:val="24"/>
              </w:rPr>
              <w:t xml:space="preserve">novani organ, se ne poročajo za postavko „Skupni znesek“ vseh držav. </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lastRenderedPageBreak/>
              <w:t>130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Stopnja proticikličnega kapitalskega blažilnika, ki se uporablja za državo institucije</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Stopnja proticikličnega kapitalskega blažilnika, ki se uporablja za zadevno državo in ki jo je določil imenovani organ države institucije, v skladu s členi 137, 138, 139 ter členom 140(1), (2) in (3) CRD. Stopnje proticikličnega kapitalskega bl</w:t>
            </w:r>
            <w:r>
              <w:rPr>
                <w:rFonts w:ascii="Times New Roman" w:hAnsi="Times New Roman"/>
                <w:sz w:val="24"/>
              </w:rPr>
              <w:t>a</w:t>
            </w:r>
            <w:r>
              <w:rPr>
                <w:rFonts w:ascii="Times New Roman" w:hAnsi="Times New Roman"/>
                <w:sz w:val="24"/>
              </w:rPr>
              <w:t>žilnika, ki se na referenčni datum poročanja še ne uporabljajo, se ne sporočijo.</w:t>
            </w:r>
          </w:p>
          <w:p w:rsidR="00966663" w:rsidRPr="00392FFD" w:rsidRDefault="00966663" w:rsidP="00133107">
            <w:pPr>
              <w:rPr>
                <w:rFonts w:ascii="Times New Roman" w:hAnsi="Times New Roman"/>
                <w:b/>
                <w:bCs/>
                <w:sz w:val="24"/>
                <w:u w:val="single"/>
              </w:rPr>
            </w:pPr>
            <w:r>
              <w:rPr>
                <w:rFonts w:ascii="Times New Roman" w:hAnsi="Times New Roman"/>
                <w:sz w:val="24"/>
              </w:rPr>
              <w:t>Informacije o stopnji proticikličnega kapitalskega blažilnika, ki se uporablja v državi institucije, se ne poročajo za postavko „Skupni znesek“ vseh držav.</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140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 xml:space="preserve">Stopnja posamezni instituciji lastnega proticikličnega kapitalskega blažilnika </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 xml:space="preserve">Stopnja posamezni instituciji lastnega proticikličnega kapitalskega blažilnika, določena v skladu s členom 140(1) CRD. </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Stopnja posamezni instituciji lastnega proticikličnega kapitalskega blažilnika se izračuna kot tehtano povprečje proticikličnih kapitalskih blažilnikov, ki se upor</w:t>
            </w:r>
            <w:r>
              <w:rPr>
                <w:rFonts w:ascii="Times New Roman" w:hAnsi="Times New Roman"/>
                <w:sz w:val="24"/>
              </w:rPr>
              <w:t>a</w:t>
            </w:r>
            <w:r>
              <w:rPr>
                <w:rFonts w:ascii="Times New Roman" w:hAnsi="Times New Roman"/>
                <w:sz w:val="24"/>
              </w:rPr>
              <w:t>bljajo v jurisdikcijah, v katerih se nahajajo ustrezne kreditne izpostavljenosti inst</w:t>
            </w:r>
            <w:r>
              <w:rPr>
                <w:rFonts w:ascii="Times New Roman" w:hAnsi="Times New Roman"/>
                <w:sz w:val="24"/>
              </w:rPr>
              <w:t>i</w:t>
            </w:r>
            <w:r>
              <w:rPr>
                <w:rFonts w:ascii="Times New Roman" w:hAnsi="Times New Roman"/>
                <w:sz w:val="24"/>
              </w:rPr>
              <w:t>tucije, ali ki se uporabljajo za namene člena 140 na podlagi člena 139(2) ali (3) CRD. Relevantna stopnja proticikličnega blažilnika se sporoči v [v120; s020; obrazec za državo] ali [v130; s020; obrazec za državo], kot je ustrezno.</w:t>
            </w:r>
          </w:p>
          <w:p w:rsidR="00C4425F" w:rsidRPr="00392FFD" w:rsidRDefault="00966663" w:rsidP="00133107">
            <w:pPr>
              <w:autoSpaceDE w:val="0"/>
              <w:autoSpaceDN w:val="0"/>
              <w:adjustRightInd w:val="0"/>
              <w:rPr>
                <w:rFonts w:ascii="Times New Roman" w:hAnsi="Times New Roman"/>
                <w:b/>
                <w:strike/>
                <w:sz w:val="24"/>
              </w:rPr>
            </w:pPr>
            <w:r>
              <w:rPr>
                <w:rFonts w:ascii="Times New Roman" w:hAnsi="Times New Roman"/>
                <w:sz w:val="24"/>
              </w:rPr>
              <w:t xml:space="preserve">Utež, ki se uporabi za stopnjo proticikličnega blažilnika v vsaki državi, je delež kapitalskih zahtev v skupnih kapitalskih zahtevah in se poroča v [v110; s020; obrazec za državo]. </w:t>
            </w:r>
          </w:p>
          <w:p w:rsidR="00966663" w:rsidRPr="00392FFD" w:rsidRDefault="00966663" w:rsidP="00B816A3">
            <w:pPr>
              <w:rPr>
                <w:rFonts w:ascii="Times New Roman" w:hAnsi="Times New Roman"/>
                <w:b/>
                <w:bCs/>
                <w:sz w:val="24"/>
                <w:u w:val="single"/>
              </w:rPr>
            </w:pPr>
            <w:r>
              <w:rPr>
                <w:rFonts w:ascii="Times New Roman" w:hAnsi="Times New Roman"/>
                <w:sz w:val="24"/>
              </w:rPr>
              <w:t>Informacije o stopnji posamezni instituciji lastnega proticikličnega kapitalskega blažilnika, se poročajo samo za postavko „Skupni znesek“ vseh držav in ne loč</w:t>
            </w:r>
            <w:r>
              <w:rPr>
                <w:rFonts w:ascii="Times New Roman" w:hAnsi="Times New Roman"/>
                <w:sz w:val="24"/>
              </w:rPr>
              <w:t>e</w:t>
            </w:r>
            <w:r>
              <w:rPr>
                <w:rFonts w:ascii="Times New Roman" w:hAnsi="Times New Roman"/>
                <w:sz w:val="24"/>
              </w:rPr>
              <w:t>no za posamične države.</w:t>
            </w:r>
          </w:p>
        </w:tc>
      </w:tr>
      <w:tr w:rsidR="006B1A77" w:rsidRPr="00392FFD" w:rsidTr="00672D2A">
        <w:tc>
          <w:tcPr>
            <w:tcW w:w="1697" w:type="dxa"/>
          </w:tcPr>
          <w:p w:rsidR="006B1A77" w:rsidRPr="00392FFD" w:rsidRDefault="006B1A77" w:rsidP="00FC0B81">
            <w:pPr>
              <w:rPr>
                <w:rFonts w:ascii="Times New Roman" w:hAnsi="Times New Roman"/>
                <w:sz w:val="24"/>
              </w:rPr>
            </w:pPr>
            <w:r>
              <w:rPr>
                <w:rFonts w:ascii="Times New Roman" w:hAnsi="Times New Roman"/>
                <w:sz w:val="24"/>
              </w:rPr>
              <w:t>150–160</w:t>
            </w:r>
          </w:p>
        </w:tc>
        <w:tc>
          <w:tcPr>
            <w:tcW w:w="8131" w:type="dxa"/>
          </w:tcPr>
          <w:p w:rsidR="006B1A77" w:rsidRPr="00392FFD" w:rsidRDefault="006B1A77" w:rsidP="00133107">
            <w:pPr>
              <w:rPr>
                <w:rFonts w:ascii="Times New Roman" w:hAnsi="Times New Roman"/>
                <w:b/>
                <w:bCs/>
                <w:sz w:val="24"/>
                <w:u w:val="single"/>
              </w:rPr>
            </w:pPr>
            <w:r>
              <w:rPr>
                <w:rFonts w:ascii="Times New Roman" w:hAnsi="Times New Roman"/>
                <w:b/>
                <w:sz w:val="24"/>
                <w:u w:val="single"/>
              </w:rPr>
              <w:t>Uporaba 2-odstotnega praga</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150</w:t>
            </w:r>
          </w:p>
        </w:tc>
        <w:tc>
          <w:tcPr>
            <w:tcW w:w="8131" w:type="dxa"/>
          </w:tcPr>
          <w:p w:rsidR="006A3A82" w:rsidRPr="00392FFD" w:rsidRDefault="00FC0B81" w:rsidP="006A3A82">
            <w:pPr>
              <w:autoSpaceDE w:val="0"/>
              <w:autoSpaceDN w:val="0"/>
              <w:adjustRightInd w:val="0"/>
              <w:rPr>
                <w:rFonts w:ascii="Times New Roman" w:hAnsi="Times New Roman"/>
                <w:sz w:val="24"/>
              </w:rPr>
            </w:pPr>
            <w:r>
              <w:rPr>
                <w:rFonts w:ascii="Times New Roman" w:hAnsi="Times New Roman"/>
                <w:b/>
                <w:sz w:val="24"/>
                <w:u w:val="single"/>
              </w:rPr>
              <w:t>Uporaba 2-odstotnega praga za splošno kreditno izpostavljenost</w:t>
            </w:r>
            <w:r>
              <w:rPr>
                <w:rFonts w:ascii="Times New Roman" w:hAnsi="Times New Roman"/>
                <w:sz w:val="24"/>
              </w:rPr>
              <w:t xml:space="preserve"> </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V skladu s členom 2(5)(b) Delegirane uredbe Komisije (EU) št. 1152/2014 se lahko tuje splošne izpostavljenosti kreditnemu tveganju, ki skupaj ne presegajo 2 % vsote splošnih kreditnih izpostavljenosti, izpostavljenosti v trgovalni knjigi in izpostavljenosti iz naslova listinjenja navedene institucije, razporedijo na matično državo članico institucije. Pri izračunu vsote splošnih kreditnih izpostavljenosti, izpostavljenosti v trgovalni knjigi in izpostavljenosti iz naslova listinjenja se izključijo splošne kreditne izpostavljenosti, ki se nahajajo na lokacijah iz člena 2(5)(a) in člena 2(4) Delegirane uredbe Komisije (EU) št. 1152/2014.</w:t>
            </w:r>
          </w:p>
          <w:p w:rsidR="00966663" w:rsidRPr="00392FFD" w:rsidRDefault="006A3A82" w:rsidP="006A3A82">
            <w:pPr>
              <w:autoSpaceDE w:val="0"/>
              <w:autoSpaceDN w:val="0"/>
              <w:adjustRightInd w:val="0"/>
              <w:rPr>
                <w:rFonts w:ascii="Times New Roman" w:hAnsi="Times New Roman"/>
                <w:sz w:val="24"/>
              </w:rPr>
            </w:pPr>
            <w:r>
              <w:rPr>
                <w:rFonts w:ascii="Times New Roman" w:hAnsi="Times New Roman"/>
                <w:sz w:val="24"/>
              </w:rPr>
              <w:t>Če institucija uporabi to odstopanje, v razpredelnici navede „y“ za jurisdikcijo, ki ustreza njeni matični državi članici, in za postavko „Skupni znesek“ vseh držav.</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Če institucija ne uporabi tega odstopanja, v zadevni celici navede „n“.</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160</w:t>
            </w:r>
          </w:p>
        </w:tc>
        <w:tc>
          <w:tcPr>
            <w:tcW w:w="8131" w:type="dxa"/>
          </w:tcPr>
          <w:p w:rsidR="00535A98" w:rsidRPr="00392FFD" w:rsidRDefault="00FC0B81" w:rsidP="006A3A82">
            <w:pPr>
              <w:autoSpaceDE w:val="0"/>
              <w:autoSpaceDN w:val="0"/>
              <w:adjustRightInd w:val="0"/>
              <w:rPr>
                <w:rFonts w:ascii="Times New Roman" w:hAnsi="Times New Roman"/>
                <w:sz w:val="24"/>
              </w:rPr>
            </w:pPr>
            <w:r>
              <w:rPr>
                <w:rFonts w:ascii="Times New Roman" w:hAnsi="Times New Roman"/>
                <w:b/>
                <w:sz w:val="24"/>
                <w:u w:val="single"/>
              </w:rPr>
              <w:t>Uporaba 2-odstotnega praga za izpostavljenost v trgovalni knjigi</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lastRenderedPageBreak/>
              <w:t>V skladu s členom 3(3) Delegirane uredbe Komisije (EU) št. 1152/2014 lahko institucije izpostavljenosti v trgovalni knjigi razporedijo na matično državo član</w:t>
            </w:r>
            <w:r>
              <w:rPr>
                <w:rFonts w:ascii="Times New Roman" w:hAnsi="Times New Roman"/>
                <w:sz w:val="24"/>
              </w:rPr>
              <w:t>i</w:t>
            </w:r>
            <w:r>
              <w:rPr>
                <w:rFonts w:ascii="Times New Roman" w:hAnsi="Times New Roman"/>
                <w:sz w:val="24"/>
              </w:rPr>
              <w:t>co, če skupni znesek izpostavljenosti v trgovalni knjigi ne presega 2 % vsote nj</w:t>
            </w:r>
            <w:r>
              <w:rPr>
                <w:rFonts w:ascii="Times New Roman" w:hAnsi="Times New Roman"/>
                <w:sz w:val="24"/>
              </w:rPr>
              <w:t>i</w:t>
            </w:r>
            <w:r>
              <w:rPr>
                <w:rFonts w:ascii="Times New Roman" w:hAnsi="Times New Roman"/>
                <w:sz w:val="24"/>
              </w:rPr>
              <w:t>hovih splošnih kreditnih izpostavljenosti, izpostavljenosti v trgovalni knjigi in izpostavljenosti iz naslova listinjenja.</w:t>
            </w:r>
          </w:p>
          <w:p w:rsidR="006A3A82" w:rsidRPr="00392FFD" w:rsidRDefault="006A3A82" w:rsidP="006A3A82">
            <w:pPr>
              <w:rPr>
                <w:rFonts w:ascii="Times New Roman" w:hAnsi="Times New Roman"/>
                <w:sz w:val="24"/>
              </w:rPr>
            </w:pPr>
            <w:r>
              <w:rPr>
                <w:rFonts w:ascii="Times New Roman" w:hAnsi="Times New Roman"/>
                <w:sz w:val="24"/>
              </w:rPr>
              <w:t>Če institucija uporabi to odstopanje, v razpredelnici navede „y“ za jurisdikcijo, ki ustreza njeni matični državi članici, in za postavko „Skupni znesek“ vseh držav.</w:t>
            </w:r>
          </w:p>
          <w:p w:rsidR="00966663" w:rsidRPr="00392FFD" w:rsidRDefault="006A3A82" w:rsidP="006A3A82">
            <w:pPr>
              <w:rPr>
                <w:rFonts w:ascii="Times New Roman" w:hAnsi="Times New Roman"/>
                <w:b/>
                <w:bCs/>
                <w:sz w:val="24"/>
                <w:u w:val="single"/>
              </w:rPr>
            </w:pPr>
            <w:r>
              <w:rPr>
                <w:rFonts w:ascii="Times New Roman" w:hAnsi="Times New Roman"/>
                <w:sz w:val="24"/>
              </w:rPr>
              <w:t>Če institucija ne uporabi tega odstopanja, v zadevni celici navede „n“.</w:t>
            </w:r>
          </w:p>
        </w:tc>
      </w:tr>
    </w:tbl>
    <w:p w:rsidR="004357B9" w:rsidRPr="00392FFD" w:rsidRDefault="004357B9">
      <w:pPr>
        <w:spacing w:before="0" w:after="0"/>
        <w:jc w:val="left"/>
        <w:rPr>
          <w:rFonts w:ascii="Times New Roman" w:hAnsi="Times New Roman"/>
          <w:bCs/>
          <w:sz w:val="24"/>
        </w:rPr>
      </w:pPr>
    </w:p>
    <w:p w:rsidR="00C61FF5" w:rsidRPr="00392FFD" w:rsidRDefault="00125707" w:rsidP="0023700C">
      <w:pPr>
        <w:pStyle w:val="Instructionsberschrift2"/>
        <w:numPr>
          <w:ilvl w:val="0"/>
          <w:numId w:val="0"/>
        </w:numPr>
        <w:ind w:left="357" w:hanging="357"/>
        <w:rPr>
          <w:rFonts w:ascii="Times New Roman" w:hAnsi="Times New Roman" w:cs="Times New Roman"/>
          <w:sz w:val="24"/>
        </w:rPr>
      </w:pPr>
      <w:bookmarkStart w:id="404" w:name="_Toc295829919"/>
      <w:bookmarkStart w:id="405" w:name="_Toc310415031"/>
      <w:bookmarkStart w:id="406" w:name="_Toc360188369"/>
      <w:bookmarkStart w:id="407" w:name="_Toc516210655"/>
      <w:bookmarkStart w:id="408" w:name="_Toc473560920"/>
      <w:bookmarkStart w:id="409" w:name="_Toc523474404"/>
      <w:r>
        <w:rPr>
          <w:rFonts w:ascii="Times New Roman" w:hAnsi="Times New Roman"/>
          <w:sz w:val="24"/>
          <w:u w:val="none"/>
        </w:rPr>
        <w:t>3.5.</w:t>
      </w:r>
      <w:r w:rsidR="003F40E8" w:rsidRPr="003F40E8">
        <w:rPr>
          <w:u w:val="none"/>
        </w:rPr>
        <w:tab/>
      </w:r>
      <w:r>
        <w:rPr>
          <w:rFonts w:ascii="Times New Roman" w:hAnsi="Times New Roman"/>
          <w:sz w:val="24"/>
        </w:rPr>
        <w:t>C 10.01 in C 10.02 – Izpostavljenosti iz naslova lastniških instrumentov po pristopu IRB</w:t>
      </w:r>
      <w:bookmarkEnd w:id="404"/>
      <w:bookmarkEnd w:id="405"/>
      <w:bookmarkEnd w:id="406"/>
      <w:r>
        <w:rPr>
          <w:rFonts w:ascii="Times New Roman" w:hAnsi="Times New Roman"/>
          <w:sz w:val="24"/>
        </w:rPr>
        <w:t xml:space="preserve"> (CR EQU IRB 1 in CR EQU IRB 2)</w:t>
      </w:r>
      <w:bookmarkEnd w:id="407"/>
      <w:bookmarkEnd w:id="408"/>
      <w:bookmarkEnd w:id="409"/>
    </w:p>
    <w:p w:rsidR="00C61FF5" w:rsidRPr="00392FFD" w:rsidRDefault="00125707" w:rsidP="0023700C">
      <w:pPr>
        <w:pStyle w:val="Instructionsberschrift2"/>
        <w:numPr>
          <w:ilvl w:val="0"/>
          <w:numId w:val="0"/>
        </w:numPr>
        <w:ind w:left="357" w:hanging="357"/>
        <w:rPr>
          <w:rFonts w:ascii="Times New Roman" w:hAnsi="Times New Roman" w:cs="Times New Roman"/>
          <w:sz w:val="24"/>
        </w:rPr>
      </w:pPr>
      <w:bookmarkStart w:id="410" w:name="_Toc239157382"/>
      <w:bookmarkStart w:id="411" w:name="_Toc295829920"/>
      <w:bookmarkStart w:id="412" w:name="_Toc310415032"/>
      <w:bookmarkStart w:id="413" w:name="_Toc360188370"/>
      <w:bookmarkStart w:id="414" w:name="_Toc516210656"/>
      <w:bookmarkStart w:id="415" w:name="_Toc473560921"/>
      <w:bookmarkStart w:id="416" w:name="_Toc523474405"/>
      <w:r>
        <w:rPr>
          <w:rFonts w:ascii="Times New Roman" w:hAnsi="Times New Roman"/>
          <w:sz w:val="24"/>
          <w:u w:val="none"/>
        </w:rPr>
        <w:t>3.5.1.</w:t>
      </w:r>
      <w:r w:rsidR="003F40E8" w:rsidRPr="003F40E8">
        <w:rPr>
          <w:u w:val="none"/>
        </w:rPr>
        <w:tab/>
      </w:r>
      <w:r>
        <w:rPr>
          <w:rFonts w:ascii="Times New Roman" w:hAnsi="Times New Roman"/>
          <w:sz w:val="24"/>
        </w:rPr>
        <w:t>Splošne opombe</w:t>
      </w:r>
      <w:bookmarkEnd w:id="410"/>
      <w:bookmarkEnd w:id="411"/>
      <w:bookmarkEnd w:id="412"/>
      <w:bookmarkEnd w:id="413"/>
      <w:bookmarkEnd w:id="414"/>
      <w:bookmarkEnd w:id="415"/>
      <w:bookmarkEnd w:id="416"/>
    </w:p>
    <w:p w:rsidR="00C61FF5" w:rsidRPr="00392FFD" w:rsidRDefault="00125707" w:rsidP="00C37B29">
      <w:pPr>
        <w:pStyle w:val="InstructionsText2"/>
        <w:numPr>
          <w:ilvl w:val="0"/>
          <w:numId w:val="0"/>
        </w:numPr>
        <w:ind w:left="993"/>
      </w:pPr>
      <w:r>
        <w:t>86.</w:t>
      </w:r>
      <w:r>
        <w:tab/>
        <w:t>Predloga CR EQU IRB zajema dve predlogi: CR EQU IRB 1 zagotavlja spl</w:t>
      </w:r>
      <w:r>
        <w:t>o</w:t>
      </w:r>
      <w:r>
        <w:t>šen pregled izpostavljenosti IRB iz kategorije izpostavljenosti iz naslova lastniških instrumentov in različne metode za izračun zneskov skupne izpostavljenosti tvega</w:t>
      </w:r>
      <w:r>
        <w:t>n</w:t>
      </w:r>
      <w:r>
        <w:t>ju. CR EQU IRB 2 podaja razčlenitev skupnih izpostavljenosti, razvrščenih v bon</w:t>
      </w:r>
      <w:r>
        <w:t>i</w:t>
      </w:r>
      <w:r>
        <w:t>tetne razrede dolžnikov v okviru pristopa PD/LGD. „CR EQU IRB“ se v nadaljnjih navodilih po potrebi nanaša na predlogo „CR EQU IRB 1“ oziroma „CR EQU IRB 2“.</w:t>
      </w:r>
    </w:p>
    <w:p w:rsidR="00C61FF5" w:rsidRPr="00392FFD" w:rsidRDefault="00125707" w:rsidP="00C37B29">
      <w:pPr>
        <w:pStyle w:val="InstructionsText2"/>
        <w:numPr>
          <w:ilvl w:val="0"/>
          <w:numId w:val="0"/>
        </w:numPr>
        <w:ind w:left="993"/>
      </w:pPr>
      <w:r>
        <w:t>87.</w:t>
      </w:r>
      <w:r>
        <w:tab/>
        <w:t>Predloga CR EQU IRB zagotavlja informacije o izračunu zneskov tveganju prilagojenih izpostavljenosti za kreditno tveganje (člen 92(3)(a) CRR) v skladu z metodo IRB (poglavje 3 naslova II dela 3 CRR) za izpostavljenosti iz naslova las</w:t>
      </w:r>
      <w:r>
        <w:t>t</w:t>
      </w:r>
      <w:r>
        <w:t>niških instrumentov iz člena 147(2)(e) CRR.</w:t>
      </w:r>
    </w:p>
    <w:p w:rsidR="00C61FF5" w:rsidRPr="00392FFD" w:rsidRDefault="00125707" w:rsidP="00C37B29">
      <w:pPr>
        <w:pStyle w:val="InstructionsText2"/>
        <w:numPr>
          <w:ilvl w:val="0"/>
          <w:numId w:val="0"/>
        </w:numPr>
        <w:ind w:left="993"/>
      </w:pPr>
      <w:r>
        <w:t>88.</w:t>
      </w:r>
      <w:r>
        <w:tab/>
        <w:t>V skladu s členom 147(6) CRR se naslednje izpostavljenosti dodelijo kategoriji izpostavljenosti iz naslova lastniških instrumentov:</w:t>
      </w:r>
    </w:p>
    <w:p w:rsidR="00C61FF5" w:rsidRPr="00392FFD" w:rsidRDefault="00125707" w:rsidP="00C37B29">
      <w:pPr>
        <w:pStyle w:val="InstructionsText2"/>
        <w:numPr>
          <w:ilvl w:val="0"/>
          <w:numId w:val="0"/>
        </w:numPr>
        <w:ind w:left="993"/>
      </w:pPr>
      <w:r>
        <w:t>(a)</w:t>
      </w:r>
      <w:r>
        <w:tab/>
      </w:r>
      <w:proofErr w:type="spellStart"/>
      <w:r>
        <w:t>nedolžniške</w:t>
      </w:r>
      <w:proofErr w:type="spellEnd"/>
      <w:r>
        <w:t xml:space="preserve"> izpostavljenosti, ki vsebujejo podrejeno terjatev do dela preostal</w:t>
      </w:r>
      <w:r>
        <w:t>e</w:t>
      </w:r>
      <w:r>
        <w:t>ga premoženja izdajatelja; ali</w:t>
      </w:r>
    </w:p>
    <w:p w:rsidR="00C61FF5" w:rsidRPr="00392FFD" w:rsidRDefault="00125707" w:rsidP="00C37B29">
      <w:pPr>
        <w:pStyle w:val="InstructionsText2"/>
        <w:numPr>
          <w:ilvl w:val="0"/>
          <w:numId w:val="0"/>
        </w:numPr>
        <w:ind w:left="993"/>
      </w:pPr>
      <w:r>
        <w:t>(b)</w:t>
      </w:r>
      <w:r>
        <w:tab/>
        <w:t>dolžniške izpostavljenosti in drugi vrednostni papirji, partnerstva, izvedeni finančni instrumenti ali drugi instrumenti, katerih ekonomska vsebina je podobna izpostavljenostim iz točke (a).</w:t>
      </w:r>
    </w:p>
    <w:p w:rsidR="00C61FF5" w:rsidRPr="00392FFD" w:rsidRDefault="00125707" w:rsidP="00C37B29">
      <w:pPr>
        <w:pStyle w:val="InstructionsText2"/>
        <w:numPr>
          <w:ilvl w:val="0"/>
          <w:numId w:val="0"/>
        </w:numPr>
        <w:ind w:left="993"/>
      </w:pPr>
      <w:r>
        <w:t>89.</w:t>
      </w:r>
      <w:r>
        <w:tab/>
        <w:t>Kolektivni naložbeni podjemi, obravnavani v skladu s pristopom enostavnih uteži tveganja iz člena 152 CRR, se poročajo tudi v predlogi CR EQU IRB.</w:t>
      </w:r>
    </w:p>
    <w:p w:rsidR="00C61FF5" w:rsidRPr="00392FFD" w:rsidRDefault="00125707" w:rsidP="00C37B29">
      <w:pPr>
        <w:pStyle w:val="InstructionsText2"/>
        <w:numPr>
          <w:ilvl w:val="0"/>
          <w:numId w:val="0"/>
        </w:numPr>
        <w:ind w:left="993"/>
      </w:pPr>
      <w:r>
        <w:t>90.</w:t>
      </w:r>
      <w:r>
        <w:tab/>
        <w:t xml:space="preserve">V skladu s členom 151(1) CRR institucije predložijo predlogo CR EQU IRB ob uporabi enega od treh pristopov iz člena 155 CRR: </w:t>
      </w:r>
    </w:p>
    <w:p w:rsidR="00C61FF5" w:rsidRPr="00392FFD" w:rsidRDefault="00C61FF5" w:rsidP="00FD239F">
      <w:pPr>
        <w:pStyle w:val="InstructionsText"/>
      </w:pPr>
      <w:r>
        <w:t xml:space="preserve">– pristop enostavnih uteži tveganja, </w:t>
      </w:r>
    </w:p>
    <w:p w:rsidR="00C61FF5" w:rsidRPr="00392FFD" w:rsidRDefault="00C61FF5" w:rsidP="00FD239F">
      <w:pPr>
        <w:pStyle w:val="InstructionsText"/>
      </w:pPr>
      <w:r>
        <w:t xml:space="preserve">– pristop PD/LGD ali </w:t>
      </w:r>
    </w:p>
    <w:p w:rsidR="00C61FF5" w:rsidRPr="00392FFD" w:rsidRDefault="00C61FF5" w:rsidP="00FD239F">
      <w:pPr>
        <w:pStyle w:val="InstructionsText"/>
      </w:pPr>
      <w:r>
        <w:t>– pristop na podlagi notranjih modelov.</w:t>
      </w:r>
    </w:p>
    <w:p w:rsidR="00C61FF5" w:rsidRPr="00392FFD" w:rsidRDefault="00C61FF5" w:rsidP="00FD239F">
      <w:pPr>
        <w:pStyle w:val="InstructionsText"/>
      </w:pPr>
      <w:r>
        <w:t>Poleg tega institucije, ki uporabljajo pristop IRB, v predlogi CR EQU IRB poročajo tudi zn</w:t>
      </w:r>
      <w:r>
        <w:t>e</w:t>
      </w:r>
      <w:r>
        <w:t>ske tveganju prilagojenih izpostavljenosti za izpostavljenosti iz naslova lastniških instrume</w:t>
      </w:r>
      <w:r>
        <w:t>n</w:t>
      </w:r>
      <w:r>
        <w:lastRenderedPageBreak/>
        <w:t>tov, za katere se uporablja stalna tveganju prilagojena obravnava (vendar brez izrecne obra</w:t>
      </w:r>
      <w:r>
        <w:t>v</w:t>
      </w:r>
      <w:r>
        <w:t>nave v skladu s pristopom enostavnih uteži tveganja ali (začasno ali trajno) delno uporabo standardiziranega pristopa za kreditno tveganje (npr. izpostavljenosti iz naslova lastniških instrumentov, za katere se uporablja utež tveganja 250 % v skladu s členom 48(4) CRR oz</w:t>
      </w:r>
      <w:r>
        <w:t>i</w:t>
      </w:r>
      <w:r>
        <w:t>roma utež tveganja 370 % v skladu s členom 471(2) CRR)).</w:t>
      </w:r>
    </w:p>
    <w:p w:rsidR="00C61FF5" w:rsidRPr="00392FFD" w:rsidRDefault="00125707" w:rsidP="00C37B29">
      <w:pPr>
        <w:pStyle w:val="InstructionsText2"/>
        <w:numPr>
          <w:ilvl w:val="0"/>
          <w:numId w:val="0"/>
        </w:numPr>
        <w:ind w:left="993"/>
      </w:pPr>
      <w:r>
        <w:t>91.</w:t>
      </w:r>
      <w:r>
        <w:tab/>
        <w:t>Naslednje terjatve iz naslova lastniških instrumentov se ne poročajo v predlogi CR EQU IRB:</w:t>
      </w:r>
    </w:p>
    <w:p w:rsidR="00C61FF5" w:rsidRPr="00392FFD" w:rsidRDefault="00C61FF5" w:rsidP="00FD239F">
      <w:pPr>
        <w:pStyle w:val="InstructionsText"/>
      </w:pPr>
      <w:r>
        <w:t xml:space="preserve">– izpostavljenosti iz naslova lastniških instrumentov v trgovalni knjigi (kadar institucije niso izvzete iz izračuna kapitalskih zahtev za pozicije v trgovalni knjigi v skladu s členom 94 CRR), </w:t>
      </w:r>
    </w:p>
    <w:p w:rsidR="00C61FF5" w:rsidRPr="00392FFD" w:rsidRDefault="00C61FF5" w:rsidP="00FD239F">
      <w:pPr>
        <w:pStyle w:val="InstructionsText"/>
      </w:pPr>
      <w:r>
        <w:t>– izpostavljenosti iz naslova lastniških instrumentov, ki so predmet delne uporabe standardiz</w:t>
      </w:r>
      <w:r>
        <w:t>i</w:t>
      </w:r>
      <w:r>
        <w:t>ranega pristopa (člen 150 CRR), med katere spadajo:</w:t>
      </w:r>
    </w:p>
    <w:p w:rsidR="00C61FF5" w:rsidRPr="00392FFD" w:rsidRDefault="00C61FF5" w:rsidP="00FD239F">
      <w:pPr>
        <w:pStyle w:val="InstructionsText"/>
      </w:pPr>
      <w:r>
        <w:t>– izpostavljenosti iz naslova lastniških instrumentov, za katere se uporabljajo predhodna pr</w:t>
      </w:r>
      <w:r>
        <w:t>a</w:t>
      </w:r>
      <w:r>
        <w:t>vila, v skladu s členom 495(1) CRR,</w:t>
      </w:r>
    </w:p>
    <w:p w:rsidR="00C61FF5" w:rsidRPr="00392FFD" w:rsidRDefault="00C61FF5" w:rsidP="00FD239F">
      <w:pPr>
        <w:pStyle w:val="InstructionsText"/>
      </w:pPr>
      <w:r>
        <w:t>– izpostavljenosti iz naslova lastniških instrumentov do subjektov, katerih kreditnim obvezn</w:t>
      </w:r>
      <w:r>
        <w:t>o</w:t>
      </w:r>
      <w:r>
        <w:t>stim se dodeli utež tveganja 0 % v skladu s standardiziranim pristopom, vključno z javno financiranimi subjekti, katerim se lahko dodeli utež tveganja 0 % (člen 150(1)(g) CRR),</w:t>
      </w:r>
    </w:p>
    <w:p w:rsidR="00C61FF5" w:rsidRPr="00392FFD" w:rsidRDefault="00C61FF5" w:rsidP="00FD239F">
      <w:pPr>
        <w:pStyle w:val="InstructionsText"/>
      </w:pPr>
      <w:r>
        <w:t>– izpostavljenosti iz naslova lastniških instrumentov, nastale na podlagi zakonsko določenih programov za spodbujanje posebnih gospodarskih sektorjev, ki institucijam zagotavljajo zna</w:t>
      </w:r>
      <w:r>
        <w:t>t</w:t>
      </w:r>
      <w:r>
        <w:t>ne subvencije za naložbe in zahtevajo določeno obliko vladnega nadzora in omejitev za nal</w:t>
      </w:r>
      <w:r>
        <w:t>o</w:t>
      </w:r>
      <w:r>
        <w:t>žbe v lastniške instrumente (člen 150 (1)(h) CRR),</w:t>
      </w:r>
    </w:p>
    <w:p w:rsidR="00C61FF5" w:rsidRPr="00392FFD" w:rsidRDefault="00C61FF5" w:rsidP="00FD239F">
      <w:pPr>
        <w:pStyle w:val="InstructionsText"/>
      </w:pPr>
      <w:r>
        <w:t xml:space="preserve">– izpostavljenosti iz naslova lastniških instrumentov do družb za pomožne storitve, katerih zneske tveganju prilagojenih izpostavljenosti je mogoče izračunati v skladu z obravnavo „drugih sredstev iz naslova </w:t>
      </w:r>
      <w:proofErr w:type="spellStart"/>
      <w:r>
        <w:t>nekreditnih</w:t>
      </w:r>
      <w:proofErr w:type="spellEnd"/>
      <w:r>
        <w:t xml:space="preserve"> obveznosti“ (v skladu s členom 155(1) CRR), </w:t>
      </w:r>
    </w:p>
    <w:p w:rsidR="00C61FF5" w:rsidRPr="00392FFD" w:rsidRDefault="00C61FF5" w:rsidP="00FD239F">
      <w:pPr>
        <w:pStyle w:val="InstructionsText"/>
      </w:pPr>
      <w:r>
        <w:t>– terjatve iz naslova lastniških instrumentov, odbite od kapitala, v skladu s členoma 46 in 48 CRR.</w:t>
      </w:r>
    </w:p>
    <w:p w:rsidR="00C61FF5" w:rsidRPr="00392FFD" w:rsidRDefault="00C61FF5" w:rsidP="00FD239F">
      <w:pPr>
        <w:pStyle w:val="InstructionsText"/>
      </w:pPr>
    </w:p>
    <w:p w:rsidR="00C61FF5" w:rsidRPr="00392FFD" w:rsidRDefault="00125707" w:rsidP="0023700C">
      <w:pPr>
        <w:pStyle w:val="Instructionsberschrift2"/>
        <w:numPr>
          <w:ilvl w:val="0"/>
          <w:numId w:val="0"/>
        </w:numPr>
        <w:ind w:left="357" w:hanging="357"/>
        <w:rPr>
          <w:rFonts w:ascii="Times New Roman" w:hAnsi="Times New Roman" w:cs="Times New Roman"/>
          <w:sz w:val="24"/>
        </w:rPr>
      </w:pPr>
      <w:bookmarkStart w:id="417" w:name="_Toc295829921"/>
      <w:bookmarkStart w:id="418" w:name="_Toc310415033"/>
      <w:bookmarkStart w:id="419" w:name="_Toc360188371"/>
      <w:bookmarkStart w:id="420" w:name="_Toc516210657"/>
      <w:bookmarkStart w:id="421" w:name="_Toc473560922"/>
      <w:bookmarkStart w:id="422" w:name="_Toc523474406"/>
      <w:r>
        <w:rPr>
          <w:rFonts w:ascii="Times New Roman" w:hAnsi="Times New Roman"/>
          <w:sz w:val="24"/>
          <w:u w:val="none"/>
        </w:rPr>
        <w:t>3.5.2.</w:t>
      </w:r>
      <w:r w:rsidR="003F40E8" w:rsidRPr="003F40E8">
        <w:rPr>
          <w:u w:val="none"/>
        </w:rPr>
        <w:tab/>
      </w:r>
      <w:r>
        <w:rPr>
          <w:rFonts w:ascii="Times New Roman" w:hAnsi="Times New Roman"/>
          <w:sz w:val="24"/>
        </w:rPr>
        <w:t>Navodila za posamezne pozicije</w:t>
      </w:r>
      <w:bookmarkEnd w:id="417"/>
      <w:bookmarkEnd w:id="418"/>
      <w:r>
        <w:rPr>
          <w:rFonts w:ascii="Times New Roman" w:hAnsi="Times New Roman"/>
          <w:sz w:val="24"/>
        </w:rPr>
        <w:t xml:space="preserve"> (uporabljajo se za CR EQU IRB 1 in CR EQU IRB 2)</w:t>
      </w:r>
      <w:bookmarkEnd w:id="419"/>
      <w:bookmarkEnd w:id="420"/>
      <w:bookmarkEnd w:id="421"/>
      <w:bookmarkEnd w:id="422"/>
    </w:p>
    <w:tbl>
      <w:tblPr>
        <w:tblW w:w="0" w:type="auto"/>
        <w:tblLook w:val="01E0" w:firstRow="1" w:lastRow="1" w:firstColumn="1" w:lastColumn="1" w:noHBand="0" w:noVBand="0"/>
      </w:tblPr>
      <w:tblGrid>
        <w:gridCol w:w="852"/>
        <w:gridCol w:w="8004"/>
      </w:tblGrid>
      <w:tr w:rsidR="00C61FF5" w:rsidRPr="00392FFD"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Pr="00392FF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Stolpci</w:t>
            </w:r>
          </w:p>
        </w:tc>
      </w:tr>
      <w:tr w:rsidR="003F05A0"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F05A0" w:rsidRPr="00392FFD"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w:t>
            </w:r>
          </w:p>
        </w:tc>
        <w:tc>
          <w:tcPr>
            <w:tcW w:w="8004" w:type="dxa"/>
          </w:tcPr>
          <w:p w:rsidR="003F05A0" w:rsidRPr="00392FFD"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BONITETNI RAZRED DOLŽNIKA (IDENTIFIKATOR VRSTICE)</w:t>
            </w:r>
          </w:p>
          <w:p w:rsidR="003F05A0" w:rsidRPr="00392FFD" w:rsidRDefault="003F05A0" w:rsidP="003F05A0">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Bonitetni razred dolžnika je identifikator vrstice in je enoten za vsako vrstico v tabeli. </w:t>
            </w:r>
            <w:r>
              <w:rPr>
                <w:rFonts w:ascii="Times New Roman" w:hAnsi="Times New Roman"/>
                <w:sz w:val="24"/>
              </w:rPr>
              <w:t>Sledi številčnemu zaporedju 1, 2, 3 itd.</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010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SISTEM NOTRANJIH BONITETNIH OCEN </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VERJETNOST NEPLAČILA (PD), KI SE DODELI BONITETNEMU RAZREDU DOLŽNIKA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Institucije, ki uporabljajo pristop PD/LGD, v stolpcu 010 poročajo verjetnost neplačila (PD), izračunano v skladu z določbami iz člena 165(1) CRR.</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Verjetnost neplačila, ki se dodeli bonitetnemu razredu dolžnika ali skupini, o kateri se poroča, je v skladu z minimalnimi zahtevami iz oddelka 6 poglavja 3 </w:t>
            </w:r>
            <w:r>
              <w:rPr>
                <w:rStyle w:val="InstructionsTabelleText"/>
                <w:rFonts w:ascii="Times New Roman" w:hAnsi="Times New Roman"/>
                <w:sz w:val="24"/>
              </w:rPr>
              <w:lastRenderedPageBreak/>
              <w:t>naslova II dela 3 CRR. Za vsak posamezni bonitetni razred ali skupino se poroča verjetnost neplačila, ki se dodeli posameznemu bonitetnemu razredu dolžnika ali skupini. Vsi poročani parametri tveganja temeljijo na parametrih tveganja, ki se uporabljajo v notranjem bonitetnem sistemu, ki ga odobri zadevni pristojni organ.</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Za vrednosti, ki ustrezajo seštevku bonitetnih razredov dolžnika ali skupin (npr. „skupne izpostavljenosti“), se zagotovi z izpostavljenostjo tehtano povprečje verjetnosti neplačila, ki se dodelijo bonitetnim razredom dolžnika ali skupinam, vključenim v seštevek. Vse izpostavljenosti, vključno z neplačanimi izpostavlj</w:t>
            </w:r>
            <w:r>
              <w:rPr>
                <w:rStyle w:val="InstructionsTabelleText"/>
                <w:rFonts w:ascii="Times New Roman" w:hAnsi="Times New Roman"/>
                <w:sz w:val="24"/>
              </w:rPr>
              <w:t>e</w:t>
            </w:r>
            <w:r>
              <w:rPr>
                <w:rStyle w:val="InstructionsTabelleText"/>
                <w:rFonts w:ascii="Times New Roman" w:hAnsi="Times New Roman"/>
                <w:sz w:val="24"/>
              </w:rPr>
              <w:t>nostmi, se upoštevajo za namen izračuna z izpostavljenostjo tehtanega povprečja verjetnosti neplačila. Za izračun z izpostavljenostjo tehtanega povprečja verje</w:t>
            </w:r>
            <w:r>
              <w:rPr>
                <w:rStyle w:val="InstructionsTabelleText"/>
                <w:rFonts w:ascii="Times New Roman" w:hAnsi="Times New Roman"/>
                <w:sz w:val="24"/>
              </w:rPr>
              <w:t>t</w:t>
            </w:r>
            <w:r>
              <w:rPr>
                <w:rStyle w:val="InstructionsTabelleText"/>
                <w:rFonts w:ascii="Times New Roman" w:hAnsi="Times New Roman"/>
                <w:sz w:val="24"/>
              </w:rPr>
              <w:t>nosti neplačila se za namene tehtanja uporablja vrednost izpostavljenosti ob up</w:t>
            </w:r>
            <w:r>
              <w:rPr>
                <w:rStyle w:val="InstructionsTabelleText"/>
                <w:rFonts w:ascii="Times New Roman" w:hAnsi="Times New Roman"/>
                <w:sz w:val="24"/>
              </w:rPr>
              <w:t>o</w:t>
            </w:r>
            <w:r>
              <w:rPr>
                <w:rStyle w:val="InstructionsTabelleText"/>
                <w:rFonts w:ascii="Times New Roman" w:hAnsi="Times New Roman"/>
                <w:sz w:val="24"/>
              </w:rPr>
              <w:t xml:space="preserve">števanju osebnega kreditnega zavarovanja (stolpec 060). </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020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ORIGINALNA IZPOSTAVLJENOST PRED UPORABO KONVERZI</w:t>
            </w:r>
            <w:r>
              <w:rPr>
                <w:rStyle w:val="InstructionsTabelleberschrift"/>
                <w:rFonts w:ascii="Times New Roman" w:hAnsi="Times New Roman"/>
                <w:sz w:val="24"/>
              </w:rPr>
              <w:t>J</w:t>
            </w:r>
            <w:r>
              <w:rPr>
                <w:rStyle w:val="InstructionsTabelleberschrift"/>
                <w:rFonts w:ascii="Times New Roman" w:hAnsi="Times New Roman"/>
                <w:sz w:val="24"/>
              </w:rPr>
              <w:t>SKIH FAKTORJEV</w:t>
            </w:r>
          </w:p>
          <w:p w:rsidR="00C61FF5" w:rsidRPr="00392FFD"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Institucije v stolpcu 020 poročajo vrednost originalne izpostavljenosti (pred up</w:t>
            </w:r>
            <w:r>
              <w:rPr>
                <w:rStyle w:val="InstructionsTabelleText"/>
                <w:rFonts w:ascii="Times New Roman" w:hAnsi="Times New Roman"/>
                <w:sz w:val="24"/>
              </w:rPr>
              <w:t>o</w:t>
            </w:r>
            <w:r>
              <w:rPr>
                <w:rStyle w:val="InstructionsTabelleText"/>
                <w:rFonts w:ascii="Times New Roman" w:hAnsi="Times New Roman"/>
                <w:sz w:val="24"/>
              </w:rPr>
              <w:t>rabo konverzijskih faktorjev). V skladu z določbami iz člena 167 CRR je vre</w:t>
            </w:r>
            <w:r>
              <w:rPr>
                <w:rStyle w:val="InstructionsTabelleText"/>
                <w:rFonts w:ascii="Times New Roman" w:hAnsi="Times New Roman"/>
                <w:sz w:val="24"/>
              </w:rPr>
              <w:t>d</w:t>
            </w:r>
            <w:r>
              <w:rPr>
                <w:rStyle w:val="InstructionsTabelleText"/>
                <w:rFonts w:ascii="Times New Roman" w:hAnsi="Times New Roman"/>
                <w:sz w:val="24"/>
              </w:rPr>
              <w:t>nost izpostavljenosti za izpostavljenosti iz naslova lastniških instrumentov knj</w:t>
            </w:r>
            <w:r>
              <w:rPr>
                <w:rStyle w:val="InstructionsTabelleText"/>
                <w:rFonts w:ascii="Times New Roman" w:hAnsi="Times New Roman"/>
                <w:sz w:val="24"/>
              </w:rPr>
              <w:t>i</w:t>
            </w:r>
            <w:r>
              <w:rPr>
                <w:rStyle w:val="InstructionsTabelleText"/>
                <w:rFonts w:ascii="Times New Roman" w:hAnsi="Times New Roman"/>
                <w:sz w:val="24"/>
              </w:rPr>
              <w:t>govodska vrednost, ki ostane po upoštevanju posebnih popravkov zaradi kredi</w:t>
            </w:r>
            <w:r>
              <w:rPr>
                <w:rStyle w:val="InstructionsTabelleText"/>
                <w:rFonts w:ascii="Times New Roman" w:hAnsi="Times New Roman"/>
                <w:sz w:val="24"/>
              </w:rPr>
              <w:t>t</w:t>
            </w:r>
            <w:r>
              <w:rPr>
                <w:rStyle w:val="InstructionsTabelleText"/>
                <w:rFonts w:ascii="Times New Roman" w:hAnsi="Times New Roman"/>
                <w:sz w:val="24"/>
              </w:rPr>
              <w:t>nega tveganja. Vrednost</w:t>
            </w:r>
            <w:r>
              <w:rPr>
                <w:rFonts w:ascii="Times New Roman" w:hAnsi="Times New Roman"/>
                <w:sz w:val="24"/>
              </w:rPr>
              <w:t xml:space="preserve"> izpostavljenosti zunajbilančnih postavk iz naslova las</w:t>
            </w:r>
            <w:r>
              <w:rPr>
                <w:rFonts w:ascii="Times New Roman" w:hAnsi="Times New Roman"/>
                <w:sz w:val="24"/>
              </w:rPr>
              <w:t>t</w:t>
            </w:r>
            <w:r>
              <w:rPr>
                <w:rFonts w:ascii="Times New Roman" w:hAnsi="Times New Roman"/>
                <w:sz w:val="24"/>
              </w:rPr>
              <w:t>niških instrumentov je njena nominalna vrednost po posebnih popravkih zaradi kreditnega tveganja.</w:t>
            </w:r>
          </w:p>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Institucije v stolpec 020 vključijo tudi zunajbilančne postavke iz Priloge I k CRR, ki so dodeljene kategoriji izpostavljenosti iz naslova lastniških instrume</w:t>
            </w:r>
            <w:r>
              <w:rPr>
                <w:rStyle w:val="InstructionsTabelleText"/>
                <w:rFonts w:ascii="Times New Roman" w:hAnsi="Times New Roman"/>
                <w:sz w:val="24"/>
              </w:rPr>
              <w:t>n</w:t>
            </w:r>
            <w:r>
              <w:rPr>
                <w:rStyle w:val="InstructionsTabelleText"/>
                <w:rFonts w:ascii="Times New Roman" w:hAnsi="Times New Roman"/>
                <w:sz w:val="24"/>
              </w:rPr>
              <w:t>tov (npr. „neporavnani del vrednostnih papirjev“).</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Institucije, ki uporabljajo pristop enostavnih uteži tveganja ali pristop PD/LGD (iz člena 165(1)), upoštevajo tudi določbe o pobotu iz člena 155(2) CRR. </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030–040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TEHNIKE ZA ZMANJŠEVANJE KREDITNEGA TVEGANJA (CRM) Z UČINKI ZAMENJAVE NA IZPOSTAVLJENOST</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OSEBNO KREDITNO ZAVAROVANJE</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JAMSTVA</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KREDITNI IZVEDENI FINANČNI INSTRUMENTI</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Ne glede na pristop, ki se uporablja za izračun zneskov tveganju prilagojenih izpostavljenosti za izpostavljenosti iz naslova lastniških instrumentov, lahko institucije pripoznajo osebno kreditno zavarovanje, pridobljeno za izpostavljen</w:t>
            </w:r>
            <w:r>
              <w:rPr>
                <w:rStyle w:val="InstructionsTabelleText"/>
                <w:rFonts w:ascii="Times New Roman" w:hAnsi="Times New Roman"/>
                <w:sz w:val="24"/>
              </w:rPr>
              <w:t>o</w:t>
            </w:r>
            <w:r>
              <w:rPr>
                <w:rStyle w:val="InstructionsTabelleText"/>
                <w:rFonts w:ascii="Times New Roman" w:hAnsi="Times New Roman"/>
                <w:sz w:val="24"/>
              </w:rPr>
              <w:t>sti iz naslova lastniških instrumentov (člen 155(2), (3) in (4) CRR). Institucije, ki uporabljajo pristop enostavnih uteži tveganja ali pristop PD/LGD, v stolpcih 030 in 040 poročajo znesek osebnega kreditnega zavarovanja v obliki jamstev (stolpec 030) ali kreditnih izvedenih finančnih instrumentov (stolpec 040), pr</w:t>
            </w:r>
            <w:r>
              <w:rPr>
                <w:rStyle w:val="InstructionsTabelleText"/>
                <w:rFonts w:ascii="Times New Roman" w:hAnsi="Times New Roman"/>
                <w:sz w:val="24"/>
              </w:rPr>
              <w:t>i</w:t>
            </w:r>
            <w:r>
              <w:rPr>
                <w:rStyle w:val="InstructionsTabelleText"/>
                <w:rFonts w:ascii="Times New Roman" w:hAnsi="Times New Roman"/>
                <w:sz w:val="24"/>
              </w:rPr>
              <w:t>poznan v skladu z metodami iz poglavja 4 naslova II dela 3 CRR.</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050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TEHNIKE ZA ZMANJŠEVANJE KREDITNEGA TVEGANJA (CRM) Z UČINKI ZAMENJAVE NA IZPOSTAVLJENOST</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lastRenderedPageBreak/>
              <w:t>ZAMENJAVA IZPOSTAVLJENOSTI ZARADI ZMANJŠEVANJA KR</w:t>
            </w:r>
            <w:r>
              <w:rPr>
                <w:rStyle w:val="InstructionsTabelleberschrift"/>
                <w:rFonts w:ascii="Times New Roman" w:hAnsi="Times New Roman"/>
                <w:sz w:val="24"/>
              </w:rPr>
              <w:t>E</w:t>
            </w:r>
            <w:r>
              <w:rPr>
                <w:rStyle w:val="InstructionsTabelleberschrift"/>
                <w:rFonts w:ascii="Times New Roman" w:hAnsi="Times New Roman"/>
                <w:sz w:val="24"/>
              </w:rPr>
              <w:t>DITNEGA TVEGANJA</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SKUPAJ ODLIVI:</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Institucije v stolpcu 050 poročajo del originalne izpostavljenosti pred uporabo konverzijskih faktorjev v okviru osebnega kreditnega zavarovanja, pripoznanega v skladu z metodami iz poglavja 4 naslova II dela 3 CRR.</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060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VREDNOST IZPOSTAVLJENOSTI</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Institucije, ki uporabljajo pristop enostavnih uteži tveganja ali pristop PD/LGD, v stolpcu 060 poročajo vrednost izpostavljenosti, pri čemer se upoštevajo učinki zamenjave, ki izhajajo iz osebnega kreditnega zavarovanja (člen 155(2) in (3) ter člen 167 CRR).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Opozoriti je treba, da je v primeru izpostavljenosti zunajbilančnih postavk iz naslova lastniških instrumentov vrednost izpostavljenosti nominalna vrednost po posebnih popravkih zaradi kreditnega tveganja (člen 167 CRR).</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070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IZPOSTAVLJENOSTJO TEHTANO POVPREČJE LGD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Institucije, ki uporabljajo pristop PD/LGD, v stolpcu 070 predloge CR EQU IRB 2 poročajo z izpostavljenostjo tehtano povprečje LGD, ki se dodeli bonitetnim razredom dolžnikov ali skupinam izpostavljenosti, vključenim v seštevek; to ve</w:t>
            </w:r>
            <w:r>
              <w:rPr>
                <w:rStyle w:val="InstructionsTabelleText"/>
                <w:rFonts w:ascii="Times New Roman" w:hAnsi="Times New Roman"/>
                <w:sz w:val="24"/>
              </w:rPr>
              <w:t>l</w:t>
            </w:r>
            <w:r>
              <w:rPr>
                <w:rStyle w:val="InstructionsTabelleText"/>
                <w:rFonts w:ascii="Times New Roman" w:hAnsi="Times New Roman"/>
                <w:sz w:val="24"/>
              </w:rPr>
              <w:t>ja tudi za vrstico 020 predloge CR EQU IRB. Vrednost izpostavljenosti, pri kateri se upošteva osebno kreditno zavarovanje (stolpec 060), se uporablja za izračun z izpostavljenostjo tehtanega povprečja LGD. Institucije upoštevajo določbe iz člena 165(2) CRR.</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080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ZNESEK TVEGANJU PRILAGOJENIH IZPOSTAVLJENOSTI</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Institucije poročajo zneske tveganju prilagojenih izpostavljenosti za izpostavlj</w:t>
            </w:r>
            <w:r>
              <w:rPr>
                <w:rStyle w:val="InstructionsTabelleText"/>
                <w:rFonts w:ascii="Times New Roman" w:hAnsi="Times New Roman"/>
                <w:sz w:val="24"/>
              </w:rPr>
              <w:t>e</w:t>
            </w:r>
            <w:r>
              <w:rPr>
                <w:rStyle w:val="InstructionsTabelleText"/>
                <w:rFonts w:ascii="Times New Roman" w:hAnsi="Times New Roman"/>
                <w:sz w:val="24"/>
              </w:rPr>
              <w:t>nosti iz naslova lastniških instrumentov v stolpcu 080, izračunane v skladu z določbami iz člena 155 CRR.</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Kadar institucije, ki uporabljajo pristop PD/LGD, nimajo dovolj informacij za uporabo opredelitve neplačila iz člena 178 CRR, se pri izračunu zneskov tvega</w:t>
            </w:r>
            <w:r>
              <w:rPr>
                <w:rStyle w:val="InstructionsTabelleText"/>
                <w:rFonts w:ascii="Times New Roman" w:hAnsi="Times New Roman"/>
                <w:sz w:val="24"/>
              </w:rPr>
              <w:t>n</w:t>
            </w:r>
            <w:r>
              <w:rPr>
                <w:rStyle w:val="InstructionsTabelleText"/>
                <w:rFonts w:ascii="Times New Roman" w:hAnsi="Times New Roman"/>
                <w:sz w:val="24"/>
              </w:rPr>
              <w:t>ju prilagojenih izpostavljenosti (člen 155(3) CRR) za uteži tveganja uporabi fa</w:t>
            </w:r>
            <w:r>
              <w:rPr>
                <w:rStyle w:val="InstructionsTabelleText"/>
                <w:rFonts w:ascii="Times New Roman" w:hAnsi="Times New Roman"/>
                <w:sz w:val="24"/>
              </w:rPr>
              <w:t>k</w:t>
            </w:r>
            <w:r>
              <w:rPr>
                <w:rStyle w:val="InstructionsTabelleText"/>
                <w:rFonts w:ascii="Times New Roman" w:hAnsi="Times New Roman"/>
                <w:sz w:val="24"/>
              </w:rPr>
              <w:t xml:space="preserve">tor povečanja 1,5.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Ob upoštevanju vhodnega parametra M (zapadlost) za funkcijo uteži tveganja je zapadlost, ki se dodeli izpostavljenostim iz naslova lastniških instrumentov, enaka petim letom (člen 165(3) CRR).</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090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POJASNJEVALNA POSTAVKA: ZNESEK PRIČAKOVANE IZGUBE</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Institucije v stolpcu 090 poročajo znesek pričakovane izgube za izpostavljenosti iz naslova lastniških instrumentov, izračunane v skladu s členom 158(4), (7), (8) in (9) CRR. </w:t>
            </w:r>
          </w:p>
        </w:tc>
      </w:tr>
    </w:tbl>
    <w:p w:rsidR="00745369" w:rsidRPr="00392FFD" w:rsidRDefault="00745369" w:rsidP="00FD239F">
      <w:pPr>
        <w:pStyle w:val="InstructionsText"/>
      </w:pPr>
    </w:p>
    <w:p w:rsidR="00C61FF5" w:rsidRPr="00392FFD" w:rsidRDefault="00125707" w:rsidP="00C37B29">
      <w:pPr>
        <w:pStyle w:val="InstructionsText2"/>
        <w:numPr>
          <w:ilvl w:val="0"/>
          <w:numId w:val="0"/>
        </w:numPr>
        <w:ind w:left="993"/>
      </w:pPr>
      <w:r>
        <w:t>92.</w:t>
      </w:r>
      <w:r>
        <w:tab/>
        <w:t>V skladu s členom 155 CRR lahko institucije uporabijo različne pristope (pri</w:t>
      </w:r>
      <w:r>
        <w:t>s</w:t>
      </w:r>
      <w:r>
        <w:t xml:space="preserve">top enostavnih uteži tveganja, pristop PD/LGD ali pristop na podlagi notranjih </w:t>
      </w:r>
      <w:r>
        <w:lastRenderedPageBreak/>
        <w:t>modelov) za različne portfelje, kadar te različne pristope uporabljajo za notranje namene. Institucije v predlogi CR EQU IRB 1 poročajo tudi zneske tveganju pril</w:t>
      </w:r>
      <w:r>
        <w:t>a</w:t>
      </w:r>
      <w:r>
        <w:t>gojenih izpostavljenosti za izpostavljenosti iz naslova lastniških instrumentov, za katere se uporablja stalna tveganju prilagojena obravnava (vendar brez izrecne obravnave v skladu s pristopom enostavnih uteži tveganja ali (začasno ali trajno) delno uporabo standardiziranega pristopa za kreditno tveganje).</w:t>
      </w:r>
    </w:p>
    <w:tbl>
      <w:tblPr>
        <w:tblW w:w="9524" w:type="dxa"/>
        <w:tblLook w:val="01E0" w:firstRow="1" w:lastRow="1" w:firstColumn="1" w:lastColumn="1" w:noHBand="0" w:noVBand="0"/>
      </w:tblPr>
      <w:tblGrid>
        <w:gridCol w:w="1730"/>
        <w:gridCol w:w="7794"/>
      </w:tblGrid>
      <w:tr w:rsidR="00C61FF5" w:rsidRPr="00392FFD"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745369" w:rsidRPr="00392FF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Vrstice</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vrstica 020</w:t>
            </w:r>
          </w:p>
          <w:p w:rsidR="00745369" w:rsidRPr="00392FFD"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392FFD"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PRISTOP PD/LGD: SKUPAJ </w:t>
            </w:r>
          </w:p>
          <w:p w:rsidR="00745369" w:rsidRPr="00392FFD" w:rsidRDefault="00C61FF5" w:rsidP="00AA7658">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Institucije, ki uporabljajo pristop PD/LGD (člen 155(3) CRR), poročajo za</w:t>
            </w:r>
            <w:r>
              <w:rPr>
                <w:rStyle w:val="InstructionsTabelleText"/>
                <w:rFonts w:ascii="Times New Roman" w:hAnsi="Times New Roman"/>
                <w:sz w:val="24"/>
              </w:rPr>
              <w:t>h</w:t>
            </w:r>
            <w:r>
              <w:rPr>
                <w:rStyle w:val="InstructionsTabelleText"/>
                <w:rFonts w:ascii="Times New Roman" w:hAnsi="Times New Roman"/>
                <w:sz w:val="24"/>
              </w:rPr>
              <w:t>tevane informacije v vrstici 020 predloge CR EQU IRB 1.</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vrstice 050–090</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PRISTOP ENOSTAVNIH UTEŽI TVEGANJA: SKUPAJ</w:t>
            </w:r>
          </w:p>
          <w:p w:rsidR="00C61FF5" w:rsidRPr="00392FFD"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RAZČLENITEV SKUPNEGA ZNESKA IZPOSTAVLJENOSTI V OKVIRU PRISTOPA ENOSTAVNIH UTEŽI TVEGANJA PO UTEŽEH TVEGANJA:</w:t>
            </w:r>
          </w:p>
          <w:p w:rsidR="00745369" w:rsidRPr="00392FFD" w:rsidRDefault="00C61FF5" w:rsidP="00FD239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Institucije, ki uporabljajo pristop enostavnih uteži tveganja (člen 155(2) CRR), poročajo zahtevane informacije glede na značilnosti osnovnih izpostavljenosti v vrsticah 050–090.</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vrstica 100</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PRISTOP NA PODLAGI NOTRANJIH MODELOV</w:t>
            </w:r>
          </w:p>
          <w:p w:rsidR="00C61FF5" w:rsidRPr="00392FFD" w:rsidRDefault="00C61FF5"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Institucije, ki uporabljajo pristop na podlagi notranjih modelov (člen 155(4) CRR), poročajo zahtevane informacije v vrstici 100.</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vrstica 110</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IZPOSTAVLJENOSTI IZ NASLOVA LASTNIŠKIH INSTRUME</w:t>
            </w:r>
            <w:r>
              <w:rPr>
                <w:rStyle w:val="InstructionsTabelleberschrift"/>
                <w:rFonts w:ascii="Times New Roman" w:hAnsi="Times New Roman"/>
                <w:sz w:val="24"/>
              </w:rPr>
              <w:t>N</w:t>
            </w:r>
            <w:r>
              <w:rPr>
                <w:rStyle w:val="InstructionsTabelleberschrift"/>
                <w:rFonts w:ascii="Times New Roman" w:hAnsi="Times New Roman"/>
                <w:sz w:val="24"/>
              </w:rPr>
              <w:t>TOV, ZA KATERE SE UPORABI UTEŽ TVEGANJA</w:t>
            </w:r>
          </w:p>
          <w:p w:rsidR="00C61FF5" w:rsidRPr="00392FFD" w:rsidRDefault="00C61FF5" w:rsidP="00C61FF5">
            <w:pPr>
              <w:rPr>
                <w:rFonts w:ascii="Times New Roman" w:hAnsi="Times New Roman"/>
                <w:sz w:val="24"/>
              </w:rPr>
            </w:pPr>
            <w:r>
              <w:rPr>
                <w:rFonts w:ascii="Times New Roman" w:hAnsi="Times New Roman"/>
                <w:sz w:val="24"/>
              </w:rPr>
              <w:t>Institucije, ki uporabljajo pristop IRB, poročajo zneske tveganju prilagojenih izpostavljenosti za izpostavljenosti iz naslova lastniških instrumentov, za kat</w:t>
            </w:r>
            <w:r>
              <w:rPr>
                <w:rFonts w:ascii="Times New Roman" w:hAnsi="Times New Roman"/>
                <w:sz w:val="24"/>
              </w:rPr>
              <w:t>e</w:t>
            </w:r>
            <w:r>
              <w:rPr>
                <w:rFonts w:ascii="Times New Roman" w:hAnsi="Times New Roman"/>
                <w:sz w:val="24"/>
              </w:rPr>
              <w:t>re se uporablja stalna tveganju prilagojena obravnava (vendar brez izrecne obravnave v skladu s pristopom enostavnih uteži tveganja ali (začasno ali tra</w:t>
            </w:r>
            <w:r>
              <w:rPr>
                <w:rFonts w:ascii="Times New Roman" w:hAnsi="Times New Roman"/>
                <w:sz w:val="24"/>
              </w:rPr>
              <w:t>j</w:t>
            </w:r>
            <w:r>
              <w:rPr>
                <w:rFonts w:ascii="Times New Roman" w:hAnsi="Times New Roman"/>
                <w:sz w:val="24"/>
              </w:rPr>
              <w:t>no) delno uporabo standardiziranega pristopa za kreditno tveganje). Na pr</w:t>
            </w:r>
            <w:r>
              <w:rPr>
                <w:rFonts w:ascii="Times New Roman" w:hAnsi="Times New Roman"/>
                <w:sz w:val="24"/>
              </w:rPr>
              <w:t>i</w:t>
            </w:r>
            <w:r>
              <w:rPr>
                <w:rFonts w:ascii="Times New Roman" w:hAnsi="Times New Roman"/>
                <w:sz w:val="24"/>
              </w:rPr>
              <w:t xml:space="preserve">mer: </w:t>
            </w:r>
          </w:p>
          <w:p w:rsidR="00C61FF5" w:rsidRPr="00392FFD" w:rsidRDefault="00C61FF5" w:rsidP="00C61FF5">
            <w:pPr>
              <w:rPr>
                <w:rStyle w:val="FormatvorlageInstructionsTabelleText"/>
                <w:rFonts w:ascii="Times New Roman" w:hAnsi="Times New Roman"/>
                <w:sz w:val="24"/>
              </w:rPr>
            </w:pPr>
            <w:r>
              <w:rPr>
                <w:rFonts w:ascii="Times New Roman" w:hAnsi="Times New Roman"/>
                <w:sz w:val="24"/>
              </w:rPr>
              <w:t xml:space="preserve">– </w:t>
            </w:r>
            <w:r>
              <w:rPr>
                <w:rStyle w:val="FormatvorlageInstructionsTabelleText"/>
                <w:rFonts w:ascii="Times New Roman" w:hAnsi="Times New Roman"/>
                <w:sz w:val="24"/>
              </w:rPr>
              <w:t>znesek tveganju prilagojenih izpostavljenosti pozicij v lastniških instrume</w:t>
            </w:r>
            <w:r>
              <w:rPr>
                <w:rStyle w:val="FormatvorlageInstructionsTabelleText"/>
                <w:rFonts w:ascii="Times New Roman" w:hAnsi="Times New Roman"/>
                <w:sz w:val="24"/>
              </w:rPr>
              <w:t>n</w:t>
            </w:r>
            <w:r>
              <w:rPr>
                <w:rStyle w:val="FormatvorlageInstructionsTabelleText"/>
                <w:rFonts w:ascii="Times New Roman" w:hAnsi="Times New Roman"/>
                <w:sz w:val="24"/>
              </w:rPr>
              <w:t xml:space="preserve">tih v subjektih finančnega sektorja, obravnavan v skladu s členom 48(4) CRR, in </w:t>
            </w:r>
          </w:p>
          <w:p w:rsidR="00C61FF5" w:rsidRPr="00392FFD"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 xml:space="preserve">– pozicije v lastniških instrumentih, prilagojene tveganju s 370 % v skladu s členom 471(2) CRR, </w:t>
            </w:r>
          </w:p>
          <w:p w:rsidR="00C61FF5" w:rsidRPr="00392FFD"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se poročajo v vrstici 110.</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Text"/>
                <w:rFonts w:ascii="Times New Roman" w:hAnsi="Times New Roman"/>
                <w:sz w:val="24"/>
              </w:rPr>
            </w:pPr>
            <w:r>
              <w:rPr>
                <w:rStyle w:val="InstructionsTabelleText"/>
                <w:rFonts w:ascii="Times New Roman" w:hAnsi="Times New Roman"/>
                <w:sz w:val="24"/>
              </w:rPr>
              <w:t>CR EQU IRB 2</w:t>
            </w:r>
          </w:p>
          <w:p w:rsidR="00745369" w:rsidRPr="00392FFD"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392FFD"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RAZČLENITEV SKUPNEGA ZNESKA IZPOSTAVLJENOSTI V OKVIRU PRISTOPA PD/LGD GLEDE NA BONITETNE RAZREDE DOLŽNIKOV:</w:t>
            </w:r>
          </w:p>
          <w:p w:rsidR="00745369" w:rsidRPr="00392FFD"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Institucije, ki uporabljajo pristop PD/LGD (člen 155(3) CRR), poročajo za</w:t>
            </w:r>
            <w:r>
              <w:rPr>
                <w:rStyle w:val="InstructionsTabelleText"/>
                <w:rFonts w:ascii="Times New Roman" w:hAnsi="Times New Roman"/>
                <w:sz w:val="24"/>
              </w:rPr>
              <w:t>h</w:t>
            </w:r>
            <w:r>
              <w:rPr>
                <w:rStyle w:val="InstructionsTabelleText"/>
                <w:rFonts w:ascii="Times New Roman" w:hAnsi="Times New Roman"/>
                <w:sz w:val="24"/>
              </w:rPr>
              <w:t>tevane informacije v predlogi CR EQU IRB 2.</w:t>
            </w:r>
          </w:p>
          <w:p w:rsidR="00C61FF5" w:rsidRPr="00392FFD" w:rsidRDefault="00C61FF5"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lastRenderedPageBreak/>
              <w:t>Kadar institucije, ki uporabljajo pristop PD/LGD, uporabljajo edinstven bon</w:t>
            </w:r>
            <w:r>
              <w:rPr>
                <w:rStyle w:val="InstructionsTabelleText"/>
                <w:rFonts w:ascii="Times New Roman" w:hAnsi="Times New Roman"/>
                <w:sz w:val="24"/>
              </w:rPr>
              <w:t>i</w:t>
            </w:r>
            <w:r>
              <w:rPr>
                <w:rStyle w:val="InstructionsTabelleText"/>
                <w:rFonts w:ascii="Times New Roman" w:hAnsi="Times New Roman"/>
                <w:sz w:val="24"/>
              </w:rPr>
              <w:t>tetni sistem ali lahko poročajo v skladu z notranjo skupno bonitetno lestvico, v predlogi CR EQU IRB 2 poročajo bonitetne ocene ali skupine, povezane s tem edinstvenim bonitetnim sistemom/skupno bonitetno lestvico. V vseh drugih primerih se različni bonitetni sistemi združijo in navedejo v skladu z nasle</w:t>
            </w:r>
            <w:r>
              <w:rPr>
                <w:rStyle w:val="InstructionsTabelleText"/>
                <w:rFonts w:ascii="Times New Roman" w:hAnsi="Times New Roman"/>
                <w:sz w:val="24"/>
              </w:rPr>
              <w:t>d</w:t>
            </w:r>
            <w:r>
              <w:rPr>
                <w:rStyle w:val="InstructionsTabelleText"/>
                <w:rFonts w:ascii="Times New Roman" w:hAnsi="Times New Roman"/>
                <w:sz w:val="24"/>
              </w:rPr>
              <w:t>njimi merili: bonitetni razredi dolžnika ali skupine različnih bonitetnih sist</w:t>
            </w:r>
            <w:r>
              <w:rPr>
                <w:rStyle w:val="InstructionsTabelleText"/>
                <w:rFonts w:ascii="Times New Roman" w:hAnsi="Times New Roman"/>
                <w:sz w:val="24"/>
              </w:rPr>
              <w:t>e</w:t>
            </w:r>
            <w:r>
              <w:rPr>
                <w:rStyle w:val="InstructionsTabelleText"/>
                <w:rFonts w:ascii="Times New Roman" w:hAnsi="Times New Roman"/>
                <w:sz w:val="24"/>
              </w:rPr>
              <w:t>mov se združijo in navedejo od nižje verjetnosti neplačila, dodeljene vsakemu bonitetnemu razredu dolžnika ali skupini, do višje.</w:t>
            </w:r>
          </w:p>
        </w:tc>
      </w:tr>
    </w:tbl>
    <w:p w:rsidR="00633DEB" w:rsidRPr="00392FFD" w:rsidRDefault="00633DEB">
      <w:pPr>
        <w:spacing w:before="0" w:after="0"/>
        <w:jc w:val="left"/>
        <w:rPr>
          <w:rStyle w:val="InstructionsTabelleText"/>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23" w:name="_Toc310415035"/>
      <w:bookmarkStart w:id="424" w:name="_Toc360188372"/>
      <w:bookmarkStart w:id="425" w:name="_Toc516210658"/>
      <w:bookmarkStart w:id="426" w:name="_Toc473560923"/>
      <w:bookmarkStart w:id="427" w:name="_Toc523474407"/>
      <w:r>
        <w:rPr>
          <w:rFonts w:ascii="Times New Roman" w:hAnsi="Times New Roman"/>
          <w:sz w:val="24"/>
          <w:u w:val="none"/>
        </w:rPr>
        <w:t>3.6.</w:t>
      </w:r>
      <w:r w:rsidR="003F40E8" w:rsidRPr="003F40E8">
        <w:rPr>
          <w:u w:val="none"/>
        </w:rPr>
        <w:tab/>
      </w:r>
      <w:r>
        <w:rPr>
          <w:rFonts w:ascii="Times New Roman" w:hAnsi="Times New Roman"/>
          <w:sz w:val="24"/>
        </w:rPr>
        <w:t>C 11.00 – Tveganje poravnave/izročitve</w:t>
      </w:r>
      <w:bookmarkEnd w:id="423"/>
      <w:bookmarkEnd w:id="424"/>
      <w:r>
        <w:rPr>
          <w:rFonts w:ascii="Times New Roman" w:hAnsi="Times New Roman"/>
          <w:sz w:val="24"/>
        </w:rPr>
        <w:t xml:space="preserve"> (CR SETT)</w:t>
      </w:r>
      <w:bookmarkEnd w:id="425"/>
      <w:bookmarkEnd w:id="426"/>
      <w:bookmarkEnd w:id="427"/>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28" w:name="_Toc262568045"/>
      <w:bookmarkStart w:id="429" w:name="_Toc295829924"/>
      <w:bookmarkStart w:id="430" w:name="_Toc310415036"/>
      <w:bookmarkStart w:id="431" w:name="_Toc360188373"/>
      <w:bookmarkStart w:id="432" w:name="_Toc516210659"/>
      <w:bookmarkStart w:id="433" w:name="_Toc473560924"/>
      <w:bookmarkStart w:id="434" w:name="_Toc523474408"/>
      <w:r>
        <w:rPr>
          <w:rFonts w:ascii="Times New Roman" w:hAnsi="Times New Roman"/>
          <w:sz w:val="24"/>
          <w:u w:val="none"/>
        </w:rPr>
        <w:t>3.6.1.</w:t>
      </w:r>
      <w:r w:rsidR="003F40E8" w:rsidRPr="003F40E8">
        <w:rPr>
          <w:u w:val="none"/>
        </w:rPr>
        <w:tab/>
      </w:r>
      <w:r>
        <w:rPr>
          <w:rFonts w:ascii="Times New Roman" w:hAnsi="Times New Roman"/>
          <w:sz w:val="24"/>
        </w:rPr>
        <w:t>Splošne opombe</w:t>
      </w:r>
      <w:bookmarkEnd w:id="428"/>
      <w:bookmarkEnd w:id="429"/>
      <w:bookmarkEnd w:id="430"/>
      <w:bookmarkEnd w:id="431"/>
      <w:bookmarkEnd w:id="432"/>
      <w:bookmarkEnd w:id="433"/>
      <w:bookmarkEnd w:id="434"/>
    </w:p>
    <w:p w:rsidR="00612780" w:rsidRPr="00392FFD" w:rsidRDefault="00125707" w:rsidP="00C37B29">
      <w:pPr>
        <w:pStyle w:val="InstructionsText2"/>
        <w:numPr>
          <w:ilvl w:val="0"/>
          <w:numId w:val="0"/>
        </w:numPr>
        <w:ind w:left="993"/>
      </w:pPr>
      <w:r>
        <w:t>93.</w:t>
      </w:r>
      <w:r>
        <w:tab/>
        <w:t xml:space="preserve">V tej predlogi se navedejo informacije glede poslov iz trgovalne in </w:t>
      </w:r>
      <w:proofErr w:type="spellStart"/>
      <w:r>
        <w:t>netrgovalne</w:t>
      </w:r>
      <w:proofErr w:type="spellEnd"/>
      <w:r>
        <w:t xml:space="preserve"> knjige, ki še niso poravnani po datumih zapadlosti, ter njihovih ustreznih kapita</w:t>
      </w:r>
      <w:r>
        <w:t>l</w:t>
      </w:r>
      <w:r>
        <w:t>skih zahtevah za tveganje v skladu s členom 92(3)(c)(</w:t>
      </w:r>
      <w:proofErr w:type="spellStart"/>
      <w:r>
        <w:t>ii</w:t>
      </w:r>
      <w:proofErr w:type="spellEnd"/>
      <w:r>
        <w:t xml:space="preserve">) in členom 378 CRR. </w:t>
      </w:r>
    </w:p>
    <w:p w:rsidR="00612780" w:rsidRPr="00392FFD" w:rsidRDefault="00125707" w:rsidP="00C37B29">
      <w:pPr>
        <w:pStyle w:val="InstructionsText2"/>
        <w:numPr>
          <w:ilvl w:val="0"/>
          <w:numId w:val="0"/>
        </w:numPr>
        <w:ind w:left="993"/>
      </w:pPr>
      <w:r>
        <w:t>94.</w:t>
      </w:r>
      <w:r>
        <w:tab/>
        <w:t>Institucije v predlogi CR SETT sporočajo informacije o tveganju poravn</w:t>
      </w:r>
      <w:r>
        <w:t>a</w:t>
      </w:r>
      <w:r>
        <w:t xml:space="preserve">ve/izročitve v povezavi z dolžniškimi instrumenti, lastniškimi instrumenti, tujimi valutami in blagom v njihovi trgovalni ali netrgovalni knjigi. </w:t>
      </w:r>
    </w:p>
    <w:p w:rsidR="00612780" w:rsidRPr="00392FFD" w:rsidRDefault="00125707" w:rsidP="00C37B29">
      <w:pPr>
        <w:pStyle w:val="InstructionsText2"/>
        <w:numPr>
          <w:ilvl w:val="0"/>
          <w:numId w:val="0"/>
        </w:numPr>
        <w:ind w:left="993"/>
      </w:pPr>
      <w:r>
        <w:t>95.</w:t>
      </w:r>
      <w:r>
        <w:tab/>
        <w:t>V skladu s členom 378 CRR repo posli ter posoja in izposoja vrednostnih papirjev ali blaga v zvezi z dolžniškimi instrumenti, lastniškimi instrumenti, tujimi valutami in blagom niso predmet tveganja poravnave/izročitve. Vendar je treba opozoriti, da so izvedeni finančni instrumenti in posli z dolgim rokom poravnave, ki še niso poravnani po datumih zapadlosti, kljub temu predmet kapitalskih zahtev za tveganje poravnave/izročitve v skladu s členom 378 CRR.</w:t>
      </w:r>
    </w:p>
    <w:p w:rsidR="00612780" w:rsidRPr="00392FFD" w:rsidRDefault="00125707" w:rsidP="00C37B29">
      <w:pPr>
        <w:pStyle w:val="InstructionsText2"/>
        <w:numPr>
          <w:ilvl w:val="0"/>
          <w:numId w:val="0"/>
        </w:numPr>
        <w:ind w:left="993"/>
      </w:pPr>
      <w:r>
        <w:t>96.</w:t>
      </w:r>
      <w:r>
        <w:tab/>
        <w:t>V primeru neporavnanih poslov po datumu zapadlosti institucije izračunajo razliko v ceni, ki so ji izpostavljene. To je razlika med dogovorjeno ceno poravnave za zadevni dolžniški instrument, instrument, tujo valuto ali blago in njihovo trenu</w:t>
      </w:r>
      <w:r>
        <w:t>t</w:t>
      </w:r>
      <w:r>
        <w:t xml:space="preserve">no tržno vrednostjo, kadar bi lahko razlika lahko pomenila izgubo za institucijo. </w:t>
      </w:r>
    </w:p>
    <w:p w:rsidR="00612780" w:rsidRPr="00392FFD" w:rsidRDefault="00125707" w:rsidP="00C37B29">
      <w:pPr>
        <w:pStyle w:val="InstructionsText2"/>
        <w:numPr>
          <w:ilvl w:val="0"/>
          <w:numId w:val="0"/>
        </w:numPr>
        <w:ind w:left="993"/>
      </w:pPr>
      <w:r>
        <w:t>97.</w:t>
      </w:r>
      <w:r>
        <w:tab/>
        <w:t>Institucije to razliko pomnožijo z ustreznim faktorjem iz razpredelnice 1 člena 378 CRR, da se določijo ustrezne kapitalske zahteve.</w:t>
      </w:r>
    </w:p>
    <w:p w:rsidR="00612780" w:rsidRPr="00392FFD" w:rsidRDefault="00125707" w:rsidP="00C37B29">
      <w:pPr>
        <w:pStyle w:val="InstructionsText2"/>
        <w:numPr>
          <w:ilvl w:val="0"/>
          <w:numId w:val="0"/>
        </w:numPr>
        <w:ind w:left="993"/>
      </w:pPr>
      <w:r>
        <w:t>98.</w:t>
      </w:r>
      <w:r>
        <w:tab/>
        <w:t>V skladu s členom 92(4)(b) se kapitalske zahteve za tveganje poravn</w:t>
      </w:r>
      <w:r>
        <w:t>a</w:t>
      </w:r>
      <w:r>
        <w:t>ve/izročitve pomnožijo z 12,5, da se izračuna znesek izpostavljenosti tveganju.</w:t>
      </w:r>
    </w:p>
    <w:p w:rsidR="00612780" w:rsidRPr="00392FFD" w:rsidRDefault="00125707" w:rsidP="00C37B29">
      <w:pPr>
        <w:pStyle w:val="InstructionsText2"/>
        <w:numPr>
          <w:ilvl w:val="0"/>
          <w:numId w:val="0"/>
        </w:numPr>
        <w:ind w:left="993"/>
      </w:pPr>
      <w:r>
        <w:t>99.</w:t>
      </w:r>
      <w:r>
        <w:tab/>
        <w:t>Upoštevati je treba, da kapitalske zahteve za proste izročitve iz člena 379 CRR ne spadajo v obseg predloge CR SETT in se poročajo v predlogah za kreditno tv</w:t>
      </w:r>
      <w:r>
        <w:t>e</w:t>
      </w:r>
      <w:r>
        <w:t>ganje (CR SA, CR IRB).</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35" w:name="_Toc310415037"/>
      <w:bookmarkStart w:id="436" w:name="_Toc360188374"/>
      <w:bookmarkStart w:id="437" w:name="_Toc516210660"/>
      <w:bookmarkStart w:id="438" w:name="_Toc473560925"/>
      <w:bookmarkStart w:id="439" w:name="_Toc523474409"/>
      <w:r>
        <w:rPr>
          <w:rFonts w:ascii="Times New Roman" w:hAnsi="Times New Roman"/>
          <w:sz w:val="24"/>
          <w:u w:val="none"/>
        </w:rPr>
        <w:t>3.6.2.</w:t>
      </w:r>
      <w:r w:rsidR="003F40E8" w:rsidRPr="003F40E8">
        <w:rPr>
          <w:u w:val="none"/>
        </w:rPr>
        <w:tab/>
      </w:r>
      <w:r>
        <w:rPr>
          <w:rFonts w:ascii="Times New Roman" w:hAnsi="Times New Roman"/>
          <w:sz w:val="24"/>
        </w:rPr>
        <w:t>Navodila za posamezne pozicije</w:t>
      </w:r>
      <w:bookmarkEnd w:id="435"/>
      <w:bookmarkEnd w:id="436"/>
      <w:bookmarkEnd w:id="437"/>
      <w:bookmarkEnd w:id="438"/>
      <w:bookmarkEnd w:id="4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392FFD" w:rsidTr="00672D2A">
        <w:tc>
          <w:tcPr>
            <w:tcW w:w="8856" w:type="dxa"/>
            <w:gridSpan w:val="2"/>
            <w:shd w:val="clear" w:color="auto" w:fill="CCCCCC"/>
          </w:tcPr>
          <w:p w:rsidR="00745369" w:rsidRPr="00392FFD" w:rsidRDefault="00612780" w:rsidP="00EA0BAB">
            <w:pPr>
              <w:spacing w:beforeLines="60" w:before="144" w:afterLines="60" w:after="144"/>
              <w:rPr>
                <w:rFonts w:ascii="Times New Roman" w:hAnsi="Times New Roman"/>
                <w:b/>
                <w:sz w:val="24"/>
              </w:rPr>
            </w:pPr>
            <w:r>
              <w:rPr>
                <w:rFonts w:ascii="Times New Roman" w:hAnsi="Times New Roman"/>
                <w:b/>
                <w:sz w:val="24"/>
              </w:rPr>
              <w:t>Stolpci</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010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NEPORAVNANI POSLI PO CENI PORAVNAVE</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V skladu s členom 378 CRR institucije v stolpcu 010 poročajo neporavnane po</w:t>
            </w:r>
            <w:r>
              <w:rPr>
                <w:rFonts w:ascii="Times New Roman" w:hAnsi="Times New Roman"/>
                <w:sz w:val="24"/>
              </w:rPr>
              <w:t>s</w:t>
            </w:r>
            <w:r>
              <w:rPr>
                <w:rFonts w:ascii="Times New Roman" w:hAnsi="Times New Roman"/>
                <w:sz w:val="24"/>
              </w:rPr>
              <w:lastRenderedPageBreak/>
              <w:t xml:space="preserve">le po datumu njihove zapadlosti po ustreznih dogovorjenih cenah poravnave.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Vsi neporavnani posli se vključijo v stolpec 010, ne glede na to, ali imajo po zapadlem datumu zapadlosti dobiček ali izgubo.</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020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IZPOSTAVLJENOST RAZLIKI V CENI ZARADI NEPORAVNANIH POSLOV</w:t>
            </w:r>
          </w:p>
          <w:p w:rsidR="00745369" w:rsidRPr="00C37B29" w:rsidRDefault="00612780" w:rsidP="00450A2E">
            <w:pPr>
              <w:spacing w:beforeLines="60" w:before="144" w:afterLines="60" w:after="144"/>
              <w:rPr>
                <w:rFonts w:ascii="Times New Roman" w:hAnsi="Times New Roman"/>
                <w:sz w:val="24"/>
              </w:rPr>
            </w:pPr>
            <w:r>
              <w:rPr>
                <w:rFonts w:ascii="Times New Roman" w:hAnsi="Times New Roman"/>
                <w:sz w:val="24"/>
              </w:rPr>
              <w:t>V skladu s členom 378 CRR institucije v stolpcu 020 poročajo razliko v ceni med dogovorjeno ceno poravnave in trenutno tržno vrednostjo za zadevni dol</w:t>
            </w:r>
            <w:r>
              <w:rPr>
                <w:rFonts w:ascii="Times New Roman" w:hAnsi="Times New Roman"/>
                <w:sz w:val="24"/>
              </w:rPr>
              <w:t>ž</w:t>
            </w:r>
            <w:r>
              <w:rPr>
                <w:rFonts w:ascii="Times New Roman" w:hAnsi="Times New Roman"/>
                <w:sz w:val="24"/>
              </w:rPr>
              <w:t>niški instrument, lastniški instrument, tujo valuto ali blago, kadar bi razlika la</w:t>
            </w:r>
            <w:r>
              <w:rPr>
                <w:rFonts w:ascii="Times New Roman" w:hAnsi="Times New Roman"/>
                <w:sz w:val="24"/>
              </w:rPr>
              <w:t>h</w:t>
            </w:r>
            <w:r>
              <w:rPr>
                <w:rFonts w:ascii="Times New Roman" w:hAnsi="Times New Roman"/>
                <w:sz w:val="24"/>
              </w:rPr>
              <w:t xml:space="preserve">ko pomenila izgubo za institucijo.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V stolpcu 020 se poročajo le neporavnani posli z izgubo po zapadlem datumu zapadlosti.</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030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KAPITALSKE ZAHTEVE</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Institucije v stolpcu 030 poročajo kapitalske zahteve, izračunane v skladu s čl</w:t>
            </w:r>
            <w:r>
              <w:rPr>
                <w:rFonts w:ascii="Times New Roman" w:hAnsi="Times New Roman"/>
                <w:sz w:val="24"/>
              </w:rPr>
              <w:t>e</w:t>
            </w:r>
            <w:r>
              <w:rPr>
                <w:rFonts w:ascii="Times New Roman" w:hAnsi="Times New Roman"/>
                <w:sz w:val="24"/>
              </w:rPr>
              <w:t>nom 378 CRR.</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040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ZNESEK SKUPNE IZPOSTAVLJENOSTI TVEGANJU PORAVNAVE</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V skladu s členom 92(4)(b) CRR institucije pomnožijo svoje kapitalske zahteve iz stolpca 030 z 12,5, da izračunajo znesek izpostavljenosti tveganju poravnave.</w:t>
            </w:r>
          </w:p>
        </w:tc>
      </w:tr>
    </w:tbl>
    <w:p w:rsidR="00612780" w:rsidRPr="00392FFD"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392FFD" w:rsidTr="00672D2A">
        <w:tc>
          <w:tcPr>
            <w:tcW w:w="8862" w:type="dxa"/>
            <w:gridSpan w:val="2"/>
            <w:shd w:val="clear" w:color="auto" w:fill="CCCCCC"/>
          </w:tcPr>
          <w:p w:rsidR="00745369" w:rsidRPr="00392FFD" w:rsidRDefault="00612780" w:rsidP="00EA0BAB">
            <w:pPr>
              <w:spacing w:beforeLines="60" w:before="144" w:afterLines="60" w:after="144"/>
              <w:rPr>
                <w:rFonts w:ascii="Times New Roman" w:hAnsi="Times New Roman"/>
                <w:b/>
                <w:sz w:val="24"/>
              </w:rPr>
            </w:pPr>
            <w:r>
              <w:rPr>
                <w:rFonts w:ascii="Times New Roman" w:hAnsi="Times New Roman"/>
                <w:b/>
                <w:sz w:val="24"/>
              </w:rPr>
              <w:t>Vrstice</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010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Skupaj neporavnani posli v netrgovalni knjigi</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Institucije v vrstici 010 poročajo združene informacije v zvezi s tveganjem por</w:t>
            </w:r>
            <w:r>
              <w:rPr>
                <w:rFonts w:ascii="Times New Roman" w:hAnsi="Times New Roman"/>
                <w:sz w:val="24"/>
              </w:rPr>
              <w:t>a</w:t>
            </w:r>
            <w:r>
              <w:rPr>
                <w:rFonts w:ascii="Times New Roman" w:hAnsi="Times New Roman"/>
                <w:sz w:val="24"/>
              </w:rPr>
              <w:t xml:space="preserve">vnave/izročitve za pozicije iz </w:t>
            </w:r>
            <w:proofErr w:type="spellStart"/>
            <w:r>
              <w:rPr>
                <w:rFonts w:ascii="Times New Roman" w:hAnsi="Times New Roman"/>
                <w:sz w:val="24"/>
              </w:rPr>
              <w:t>netrgovalne</w:t>
            </w:r>
            <w:proofErr w:type="spellEnd"/>
            <w:r>
              <w:rPr>
                <w:rFonts w:ascii="Times New Roman" w:hAnsi="Times New Roman"/>
                <w:sz w:val="24"/>
              </w:rPr>
              <w:t xml:space="preserve"> knjige (v skladu s členom 92(3)(c)(</w:t>
            </w:r>
            <w:proofErr w:type="spellStart"/>
            <w:r>
              <w:rPr>
                <w:rFonts w:ascii="Times New Roman" w:hAnsi="Times New Roman"/>
                <w:sz w:val="24"/>
              </w:rPr>
              <w:t>ii</w:t>
            </w:r>
            <w:proofErr w:type="spellEnd"/>
            <w:r>
              <w:rPr>
                <w:rFonts w:ascii="Times New Roman" w:hAnsi="Times New Roman"/>
                <w:sz w:val="24"/>
              </w:rPr>
              <w:t>) in členom 378 CRR).</w:t>
            </w:r>
          </w:p>
          <w:p w:rsidR="00745369" w:rsidRPr="00392FFD" w:rsidRDefault="00612780" w:rsidP="00450A2E">
            <w:pPr>
              <w:spacing w:beforeLines="60" w:before="144"/>
              <w:rPr>
                <w:rFonts w:ascii="Times New Roman" w:hAnsi="Times New Roman"/>
                <w:sz w:val="24"/>
              </w:rPr>
            </w:pPr>
            <w:r>
              <w:rPr>
                <w:rFonts w:ascii="Times New Roman" w:hAnsi="Times New Roman"/>
                <w:sz w:val="24"/>
              </w:rPr>
              <w:t>Institucije v vrstici 010/010 poročajo združeno vsoto neporavnanih poslov po datumu njihove zapadlosti po ustreznih dogovorjenih cenah poravnave.</w:t>
            </w:r>
          </w:p>
          <w:p w:rsidR="00745369" w:rsidRPr="00392FFD" w:rsidRDefault="00612780" w:rsidP="00450A2E">
            <w:pPr>
              <w:spacing w:beforeLines="60" w:before="144"/>
              <w:rPr>
                <w:rFonts w:ascii="Times New Roman" w:hAnsi="Times New Roman"/>
                <w:sz w:val="24"/>
              </w:rPr>
            </w:pPr>
            <w:r>
              <w:rPr>
                <w:rFonts w:ascii="Times New Roman" w:hAnsi="Times New Roman"/>
                <w:sz w:val="24"/>
              </w:rPr>
              <w:t>Institucije v vrstici 010/020 poročajo združene informacije za izpostavljenost razliki v ceni zaradi neporavnanih poslov z izgubo.</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Institucije v vrstici 010/030 poročajo združene kapitalske zahteve, pridobljene iz seštevka kapitalskih zahtev za neporavnane posle z množenjem „razlike v ceni“ iz stolpca 020 z ustreznim faktorjem, ki temelji na številu delovnih dni po zapa</w:t>
            </w:r>
            <w:r>
              <w:rPr>
                <w:rFonts w:ascii="Times New Roman" w:hAnsi="Times New Roman"/>
                <w:sz w:val="24"/>
              </w:rPr>
              <w:t>d</w:t>
            </w:r>
            <w:r>
              <w:rPr>
                <w:rFonts w:ascii="Times New Roman" w:hAnsi="Times New Roman"/>
                <w:sz w:val="24"/>
              </w:rPr>
              <w:t>lem datumu poravnave (kategorije iz razpredelnice 1 člena 378 CRR).</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020 do 060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Posli, neporavnani do 4 dni (faktor 0 %)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Posli, neporavnani med 5 in 15 dni (faktor 8 %)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Posli, neporavnani med 16 in 30 dni (faktor 50 %)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Posli, neporavnani med 31 in 45 dni (faktor 75 %)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lastRenderedPageBreak/>
              <w:t>Posli, neporavnani 46 dni ali več (faktor 100 %)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 xml:space="preserve">Institucije poročajo informacije v zvezi s tveganjem poravnave/izročitve za pozicije iz </w:t>
            </w:r>
            <w:proofErr w:type="spellStart"/>
            <w:r>
              <w:rPr>
                <w:rFonts w:ascii="Times New Roman" w:hAnsi="Times New Roman"/>
                <w:sz w:val="24"/>
              </w:rPr>
              <w:t>netrgovalne</w:t>
            </w:r>
            <w:proofErr w:type="spellEnd"/>
            <w:r>
              <w:rPr>
                <w:rFonts w:ascii="Times New Roman" w:hAnsi="Times New Roman"/>
                <w:sz w:val="24"/>
              </w:rPr>
              <w:t xml:space="preserve"> knjige v skladu s kategorijami iz razpredelnice 1 člena 378 CRR v vrsticah 020 do 060.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Za posle, neporavnane manj kot pet delovnih dni po zapadlem datumu poravn</w:t>
            </w:r>
            <w:r>
              <w:rPr>
                <w:rFonts w:ascii="Times New Roman" w:hAnsi="Times New Roman"/>
                <w:sz w:val="24"/>
              </w:rPr>
              <w:t>a</w:t>
            </w:r>
            <w:r>
              <w:rPr>
                <w:rFonts w:ascii="Times New Roman" w:hAnsi="Times New Roman"/>
                <w:sz w:val="24"/>
              </w:rPr>
              <w:t>ve, se ne zahtevajo kapitalske zahteve za tveganje poravnave/izročitve.</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070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Skupaj neporavnani posli v trgovalni knjigi</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Institucije v vrstici 070 poročajo združene informacije v zvezi s tveganjem por</w:t>
            </w:r>
            <w:r>
              <w:rPr>
                <w:rFonts w:ascii="Times New Roman" w:hAnsi="Times New Roman"/>
                <w:sz w:val="24"/>
              </w:rPr>
              <w:t>a</w:t>
            </w:r>
            <w:r>
              <w:rPr>
                <w:rFonts w:ascii="Times New Roman" w:hAnsi="Times New Roman"/>
                <w:sz w:val="24"/>
              </w:rPr>
              <w:t>vnave/izročitve za pozicije iz trgovalne knjige (v skladu s členom 92(3)(c)(</w:t>
            </w:r>
            <w:proofErr w:type="spellStart"/>
            <w:r>
              <w:rPr>
                <w:rFonts w:ascii="Times New Roman" w:hAnsi="Times New Roman"/>
                <w:sz w:val="24"/>
              </w:rPr>
              <w:t>ii</w:t>
            </w:r>
            <w:proofErr w:type="spellEnd"/>
            <w:r>
              <w:rPr>
                <w:rFonts w:ascii="Times New Roman" w:hAnsi="Times New Roman"/>
                <w:sz w:val="24"/>
              </w:rPr>
              <w:t>) in členom 378 CRR).</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Institucije v vrstici 070/010 poročajo združeno vsoto neporavnanih poslov po datumu njihove zapadlosti po ustreznih dogovorjenih cenah poravnave.</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Institucije v vrstici 070/020 poročajo združene informacije za izpostavljenost razliki v ceni zaradi neporavnanih poslov z izgubo.</w:t>
            </w:r>
          </w:p>
          <w:p w:rsidR="00745369" w:rsidRPr="00392FFD" w:rsidRDefault="00612780" w:rsidP="00450A2E">
            <w:pPr>
              <w:spacing w:beforeLines="60" w:before="144" w:afterLines="60" w:after="144"/>
              <w:rPr>
                <w:rFonts w:ascii="Times New Roman" w:hAnsi="Times New Roman"/>
                <w:b/>
                <w:sz w:val="24"/>
              </w:rPr>
            </w:pPr>
            <w:r>
              <w:rPr>
                <w:rFonts w:ascii="Times New Roman" w:hAnsi="Times New Roman"/>
                <w:sz w:val="24"/>
              </w:rPr>
              <w:t>Institucije v vrstici 070/030 poročajo združene kapitalske zahteve, pridobljene iz seštevka kapitalskih zahtev za neporavnane posle z množenjem „razlike v ceni“ iz stolpca 020 z ustreznim faktorjem, ki temelji na številu delovnih dni po zapa</w:t>
            </w:r>
            <w:r>
              <w:rPr>
                <w:rFonts w:ascii="Times New Roman" w:hAnsi="Times New Roman"/>
                <w:sz w:val="24"/>
              </w:rPr>
              <w:t>d</w:t>
            </w:r>
            <w:r>
              <w:rPr>
                <w:rFonts w:ascii="Times New Roman" w:hAnsi="Times New Roman"/>
                <w:sz w:val="24"/>
              </w:rPr>
              <w:t>lem datumu poravnave (kategorije iz razpredelnice 1 člena 378 CRR).</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080 do 120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Posli, neporavnani do 4 dni (faktor 0 %)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Posli, neporavnani med 5 in 15 dni (faktor 8 %)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Posli, neporavnani med 16 in 30 dni (faktor 50 %)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Posli, neporavnani med 31 in 45 dni (faktor 75 %)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Posli, neporavnani 46 dni ali več (faktor 100 %)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 xml:space="preserve">Institucije poročajo informacije v zvezi s tveganjem poravnave/izročitve za pozicije iz trgovalne knjige v skladu s kategorijami iz razpredelnice 1 člena 378 CRR v vrsticah 080 do 120. </w:t>
            </w:r>
          </w:p>
          <w:p w:rsidR="00745369" w:rsidRPr="00392FFD" w:rsidRDefault="00612780" w:rsidP="00450A2E">
            <w:pPr>
              <w:spacing w:beforeLines="60" w:before="144" w:afterLines="60" w:after="144"/>
              <w:rPr>
                <w:rFonts w:ascii="Times New Roman" w:hAnsi="Times New Roman"/>
                <w:b/>
                <w:sz w:val="24"/>
              </w:rPr>
            </w:pPr>
            <w:r>
              <w:rPr>
                <w:rFonts w:ascii="Times New Roman" w:hAnsi="Times New Roman"/>
                <w:sz w:val="24"/>
              </w:rPr>
              <w:t>Za posle, neporavnane manj kot pet delovnih dni po zapadlem datumu poravn</w:t>
            </w:r>
            <w:r>
              <w:rPr>
                <w:rFonts w:ascii="Times New Roman" w:hAnsi="Times New Roman"/>
                <w:sz w:val="24"/>
              </w:rPr>
              <w:t>a</w:t>
            </w:r>
            <w:r>
              <w:rPr>
                <w:rFonts w:ascii="Times New Roman" w:hAnsi="Times New Roman"/>
                <w:sz w:val="24"/>
              </w:rPr>
              <w:t>ve, se ne zahtevajo kapitalske zahteve za tveganje poravnave/izročitve.</w:t>
            </w:r>
          </w:p>
        </w:tc>
      </w:tr>
    </w:tbl>
    <w:p w:rsidR="00612780" w:rsidRPr="00392FFD" w:rsidRDefault="00612780" w:rsidP="00612780">
      <w:pPr>
        <w:spacing w:after="0"/>
        <w:rPr>
          <w:rFonts w:ascii="Times New Roman" w:hAnsi="Times New Roman"/>
          <w:sz w:val="24"/>
        </w:rPr>
      </w:pPr>
    </w:p>
    <w:p w:rsidR="00612780" w:rsidRPr="00392FFD" w:rsidRDefault="00612780">
      <w:pPr>
        <w:spacing w:before="0" w:after="0"/>
        <w:jc w:val="left"/>
        <w:rPr>
          <w:rStyle w:val="InstructionsTabelleText"/>
          <w:rFonts w:ascii="Times New Roman" w:hAnsi="Times New Roman"/>
          <w:sz w:val="24"/>
        </w:rPr>
      </w:pPr>
      <w:r>
        <w:br w:type="page"/>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40" w:name="_Toc310415038"/>
      <w:bookmarkStart w:id="441" w:name="_Toc360188375"/>
      <w:bookmarkStart w:id="442" w:name="_Toc516210661"/>
      <w:bookmarkStart w:id="443" w:name="_Toc473560926"/>
      <w:bookmarkStart w:id="444" w:name="_Toc523474410"/>
      <w:r>
        <w:rPr>
          <w:rFonts w:ascii="Times New Roman" w:hAnsi="Times New Roman"/>
          <w:sz w:val="24"/>
          <w:u w:val="none"/>
        </w:rPr>
        <w:lastRenderedPageBreak/>
        <w:t>3.7.</w:t>
      </w:r>
      <w:r w:rsidR="003F40E8" w:rsidRPr="003F40E8">
        <w:rPr>
          <w:u w:val="none"/>
        </w:rPr>
        <w:tab/>
      </w:r>
      <w:r>
        <w:rPr>
          <w:rFonts w:ascii="Times New Roman" w:hAnsi="Times New Roman"/>
          <w:sz w:val="24"/>
        </w:rPr>
        <w:t>C 12.00 – Kreditno tveganje: Listinjenja – Standardizirani pristop h kapitalskim zaht</w:t>
      </w:r>
      <w:r>
        <w:rPr>
          <w:rFonts w:ascii="Times New Roman" w:hAnsi="Times New Roman"/>
          <w:sz w:val="24"/>
        </w:rPr>
        <w:t>e</w:t>
      </w:r>
      <w:r>
        <w:rPr>
          <w:rFonts w:ascii="Times New Roman" w:hAnsi="Times New Roman"/>
          <w:sz w:val="24"/>
        </w:rPr>
        <w:t>vam</w:t>
      </w:r>
      <w:bookmarkEnd w:id="440"/>
      <w:bookmarkEnd w:id="441"/>
      <w:r>
        <w:rPr>
          <w:rFonts w:ascii="Times New Roman" w:hAnsi="Times New Roman"/>
          <w:sz w:val="24"/>
        </w:rPr>
        <w:t xml:space="preserve"> (CR SEC SA)</w:t>
      </w:r>
      <w:bookmarkEnd w:id="442"/>
      <w:bookmarkEnd w:id="443"/>
      <w:bookmarkEnd w:id="444"/>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45" w:name="_Toc239157385"/>
      <w:bookmarkStart w:id="446" w:name="_Toc310415039"/>
      <w:bookmarkStart w:id="447" w:name="_Toc360188376"/>
      <w:bookmarkStart w:id="448" w:name="_Toc516210662"/>
      <w:bookmarkStart w:id="449" w:name="_Toc473560927"/>
      <w:bookmarkStart w:id="450" w:name="_Toc523474411"/>
      <w:r>
        <w:rPr>
          <w:rFonts w:ascii="Times New Roman" w:hAnsi="Times New Roman"/>
          <w:sz w:val="24"/>
          <w:u w:val="none"/>
        </w:rPr>
        <w:t>3.7.1.</w:t>
      </w:r>
      <w:r w:rsidR="003F40E8" w:rsidRPr="003F40E8">
        <w:rPr>
          <w:u w:val="none"/>
        </w:rPr>
        <w:tab/>
      </w:r>
      <w:r>
        <w:rPr>
          <w:rFonts w:ascii="Times New Roman" w:hAnsi="Times New Roman"/>
          <w:sz w:val="24"/>
        </w:rPr>
        <w:t>Splošne opombe</w:t>
      </w:r>
      <w:bookmarkEnd w:id="445"/>
      <w:bookmarkEnd w:id="446"/>
      <w:bookmarkEnd w:id="447"/>
      <w:bookmarkEnd w:id="448"/>
      <w:bookmarkEnd w:id="449"/>
      <w:bookmarkEnd w:id="450"/>
    </w:p>
    <w:p w:rsidR="00C67004" w:rsidRDefault="00125707" w:rsidP="00C37B29">
      <w:pPr>
        <w:pStyle w:val="InstructionsText2"/>
        <w:numPr>
          <w:ilvl w:val="0"/>
          <w:numId w:val="0"/>
        </w:numPr>
        <w:ind w:left="993"/>
      </w:pPr>
      <w:r>
        <w:t>100.</w:t>
      </w:r>
      <w:r>
        <w:tab/>
        <w:t>V tej predlogi je treba sporočiti informacije za vsa listinjenja, za katera se pr</w:t>
      </w:r>
      <w:r>
        <w:t>i</w:t>
      </w:r>
      <w:r>
        <w:t>pozna prenos pomembnih tveganj in v katerih je institucija poročevalka vključena v listinjenje, obravnavano po standardiziranem pristopu. Na referenčne datume por</w:t>
      </w:r>
      <w:r>
        <w:t>o</w:t>
      </w:r>
      <w:r>
        <w:t>čanja po 1. januarju 2019 se listinjenja, pri katerih se znesek tveganju prilagojene izpostavljenosti določi na podlagi revidiranega okvira za listinjenja, ne poročajo v tej predlogi, temveč samo v predlogi C 02.00. Enako se na referenčne datume por</w:t>
      </w:r>
      <w:r>
        <w:t>o</w:t>
      </w:r>
      <w:r>
        <w:t>čanja po 1. januarju 2019 pozicije v listinjenju, za katere se uporablja utež tveganja 1 250 % v skladu z revidiranim okvirom za listinjenja in ki se odbijejo od navadn</w:t>
      </w:r>
      <w:r>
        <w:t>e</w:t>
      </w:r>
      <w:r>
        <w:t>ga lastniškega temeljnega kapitala v skladu s členom 36(1)(k)(</w:t>
      </w:r>
      <w:proofErr w:type="spellStart"/>
      <w:r>
        <w:t>ii</w:t>
      </w:r>
      <w:proofErr w:type="spellEnd"/>
      <w:r>
        <w:t>) CRR, ne poročajo v tej predlogi, temveč samo v predlogi C 01.00.</w:t>
      </w:r>
    </w:p>
    <w:p w:rsidR="00C67004" w:rsidRDefault="00C67004" w:rsidP="00C37B29">
      <w:pPr>
        <w:pStyle w:val="InstructionsText2"/>
        <w:numPr>
          <w:ilvl w:val="0"/>
          <w:numId w:val="0"/>
        </w:numPr>
        <w:ind w:left="993"/>
      </w:pPr>
      <w:r>
        <w:t>100a. Za namene te predloge vsa sklicevanja na člene poglavja 5 naslova II dela 3 CRR pomenijo sklicevanja na različico CRR, ki je veljala 31. decembra 2018.</w:t>
      </w:r>
    </w:p>
    <w:p w:rsidR="00612780" w:rsidRPr="00392FFD" w:rsidRDefault="00C67004" w:rsidP="00C37B29">
      <w:pPr>
        <w:pStyle w:val="InstructionsText2"/>
        <w:numPr>
          <w:ilvl w:val="0"/>
          <w:numId w:val="0"/>
        </w:numPr>
        <w:ind w:left="993"/>
      </w:pPr>
      <w:r>
        <w:t xml:space="preserve">100b. Informacije, ki jih je treba poročati, so odvisne od vloge institucije v okviru listinjenja. Posebne poročevalske postavke se kot take uporabljajo za </w:t>
      </w:r>
      <w:proofErr w:type="spellStart"/>
      <w:r>
        <w:t>originatorje</w:t>
      </w:r>
      <w:proofErr w:type="spellEnd"/>
      <w:r>
        <w:t>, sponzorje in investitorje.</w:t>
      </w:r>
    </w:p>
    <w:p w:rsidR="00612780" w:rsidRPr="00392FFD" w:rsidRDefault="00125707" w:rsidP="00C37B29">
      <w:pPr>
        <w:pStyle w:val="InstructionsText2"/>
        <w:numPr>
          <w:ilvl w:val="0"/>
          <w:numId w:val="0"/>
        </w:numPr>
        <w:ind w:left="993"/>
      </w:pPr>
      <w:r>
        <w:t>101.</w:t>
      </w:r>
      <w:r>
        <w:tab/>
        <w:t>V predlogi CR SEC SA se zberejo skupne informacije o tradicionalnih in sint</w:t>
      </w:r>
      <w:r>
        <w:t>e</w:t>
      </w:r>
      <w:r>
        <w:t>tičnih listinjenjih v netrgovalni knjigi, kot je opredeljeno v členu 242(10) in (11) CRR.</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51" w:name="_Toc239157386"/>
      <w:bookmarkStart w:id="452" w:name="_Toc310415040"/>
      <w:bookmarkStart w:id="453" w:name="_Toc360188377"/>
      <w:bookmarkStart w:id="454" w:name="_Toc516210663"/>
      <w:bookmarkStart w:id="455" w:name="_Toc473560928"/>
      <w:bookmarkStart w:id="456" w:name="_Toc523474412"/>
      <w:r>
        <w:rPr>
          <w:rFonts w:ascii="Times New Roman" w:hAnsi="Times New Roman"/>
          <w:sz w:val="24"/>
          <w:u w:val="none"/>
        </w:rPr>
        <w:t>3.7.2.</w:t>
      </w:r>
      <w:r w:rsidR="003F40E8" w:rsidRPr="003F40E8">
        <w:rPr>
          <w:u w:val="none"/>
        </w:rPr>
        <w:tab/>
      </w:r>
      <w:r>
        <w:rPr>
          <w:rFonts w:ascii="Times New Roman" w:hAnsi="Times New Roman"/>
          <w:sz w:val="24"/>
        </w:rPr>
        <w:t>Navodila za posamezne pozicije</w:t>
      </w:r>
      <w:bookmarkEnd w:id="451"/>
      <w:bookmarkEnd w:id="452"/>
      <w:bookmarkEnd w:id="453"/>
      <w:bookmarkEnd w:id="454"/>
      <w:bookmarkEnd w:id="455"/>
      <w:bookmarkEnd w:id="456"/>
    </w:p>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856"/>
      </w:tblGrid>
      <w:tr w:rsidR="00612780" w:rsidRPr="00392FFD" w:rsidTr="00672D2A">
        <w:tc>
          <w:tcPr>
            <w:tcW w:w="8957"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Stolpci</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856" w:type="dxa"/>
          </w:tcPr>
          <w:p w:rsidR="00612780" w:rsidRPr="00392FFD" w:rsidRDefault="00612780" w:rsidP="00612780">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SKUPAJ ZNESEK PRVOTNIH IZPOSTAVLJENOSTI V LISTINJE</w:t>
            </w:r>
            <w:r>
              <w:rPr>
                <w:rFonts w:ascii="Times New Roman" w:hAnsi="Times New Roman"/>
                <w:b/>
                <w:sz w:val="24"/>
                <w:u w:val="single"/>
              </w:rPr>
              <w:t>N</w:t>
            </w:r>
            <w:r>
              <w:rPr>
                <w:rFonts w:ascii="Times New Roman" w:hAnsi="Times New Roman"/>
                <w:b/>
                <w:sz w:val="24"/>
                <w:u w:val="single"/>
              </w:rPr>
              <w:t>JU</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Institucije v vlogi originatorja morajo sporočiti neporavnani znesek na datum poročanja vseh trenutnih izpostavljenosti v listinjenju, ki izvirajo iz posla list</w:t>
            </w:r>
            <w:r>
              <w:rPr>
                <w:rFonts w:ascii="Times New Roman" w:hAnsi="Times New Roman"/>
                <w:sz w:val="24"/>
              </w:rPr>
              <w:t>i</w:t>
            </w:r>
            <w:r>
              <w:rPr>
                <w:rFonts w:ascii="Times New Roman" w:hAnsi="Times New Roman"/>
                <w:sz w:val="24"/>
              </w:rPr>
              <w:t>njenja, ne glede na to, kdo je imetnik pozicij. Poročajo se bilančne izpostavlj</w:t>
            </w:r>
            <w:r>
              <w:rPr>
                <w:rFonts w:ascii="Times New Roman" w:hAnsi="Times New Roman"/>
                <w:sz w:val="24"/>
              </w:rPr>
              <w:t>e</w:t>
            </w:r>
            <w:r>
              <w:rPr>
                <w:rFonts w:ascii="Times New Roman" w:hAnsi="Times New Roman"/>
                <w:sz w:val="24"/>
              </w:rPr>
              <w:t>nosti v listinjenju (npr. obveznice, podrejeni dolgovi) ter zunajbilančne izpo</w:t>
            </w:r>
            <w:r>
              <w:rPr>
                <w:rFonts w:ascii="Times New Roman" w:hAnsi="Times New Roman"/>
                <w:sz w:val="24"/>
              </w:rPr>
              <w:t>s</w:t>
            </w:r>
            <w:r>
              <w:rPr>
                <w:rFonts w:ascii="Times New Roman" w:hAnsi="Times New Roman"/>
                <w:sz w:val="24"/>
              </w:rPr>
              <w:t xml:space="preserve">tavljenosti in izvedeni finančni instrumenti (npr. podrejene kreditne linije, okvirni likvidnostni krediti, zamenjave obrestnih mer, kreditne zamenjave itd.), ki izvirajo iz listinjenja.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primeru tradicionalnih listinjenj, pri katerih originator nima v lasti nobene pozicije, originator tega listinjenja ne upošteva v poročanju v predlogah CR SEC SA ali CR SEC IRB. Za ta namen pozicije v listinjenju, ki jih ima v lasti originator, vsebujejo določbe o predčasnem odplačilu v listinjenju obnavljaj</w:t>
            </w:r>
            <w:r>
              <w:rPr>
                <w:rFonts w:ascii="Times New Roman" w:hAnsi="Times New Roman"/>
                <w:sz w:val="24"/>
              </w:rPr>
              <w:t>o</w:t>
            </w:r>
            <w:r>
              <w:rPr>
                <w:rFonts w:ascii="Times New Roman" w:hAnsi="Times New Roman"/>
                <w:sz w:val="24"/>
              </w:rPr>
              <w:t>čih se izpostavljenosti, kot je opredeljeno v členu 242(12) CRR.</w:t>
            </w:r>
          </w:p>
          <w:p w:rsidR="00612780" w:rsidRPr="00392FFD" w:rsidRDefault="00612780" w:rsidP="009E5DCC">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020–040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SINTETIČNA LISTINJENJA: KREDITNO ZAVAROVANJE ZA LI</w:t>
            </w:r>
            <w:r>
              <w:rPr>
                <w:rFonts w:ascii="Times New Roman" w:hAnsi="Times New Roman"/>
                <w:b/>
                <w:sz w:val="24"/>
                <w:u w:val="single"/>
              </w:rPr>
              <w:t>S</w:t>
            </w:r>
            <w:r>
              <w:rPr>
                <w:rFonts w:ascii="Times New Roman" w:hAnsi="Times New Roman"/>
                <w:b/>
                <w:sz w:val="24"/>
                <w:u w:val="single"/>
              </w:rPr>
              <w:t>TINJENE IZPOSTAVLJENOSTI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skladu z določbami členov 249 in 250 CRR je kreditno zavarovanje za listi</w:t>
            </w:r>
            <w:r>
              <w:rPr>
                <w:rFonts w:ascii="Times New Roman" w:hAnsi="Times New Roman"/>
                <w:sz w:val="24"/>
              </w:rPr>
              <w:t>n</w:t>
            </w:r>
            <w:r>
              <w:rPr>
                <w:rFonts w:ascii="Times New Roman" w:hAnsi="Times New Roman"/>
                <w:sz w:val="24"/>
              </w:rPr>
              <w:t>jene izpostavljenosti tako, kot da neusklajenosti zapadlosti ne bi bilo.</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020</w:t>
            </w:r>
          </w:p>
        </w:tc>
        <w:tc>
          <w:tcPr>
            <w:tcW w:w="7856" w:type="dxa"/>
          </w:tcPr>
          <w:p w:rsidR="00612780" w:rsidRPr="00392FFD" w:rsidRDefault="00612780" w:rsidP="00612780">
            <w:pPr>
              <w:spacing w:before="0" w:after="0"/>
              <w:jc w:val="left"/>
              <w:rPr>
                <w:rFonts w:ascii="Times New Roman" w:hAnsi="Times New Roman"/>
                <w:b/>
                <w:strike/>
                <w:sz w:val="24"/>
                <w:u w:val="single"/>
              </w:rPr>
            </w:pPr>
            <w:r>
              <w:rPr>
                <w:rFonts w:ascii="Times New Roman" w:hAnsi="Times New Roman"/>
                <w:b/>
                <w:sz w:val="24"/>
                <w:u w:val="single"/>
              </w:rPr>
              <w:t>(–) STVARNO KREDITNO ZAVAROVANJE (C</w:t>
            </w:r>
            <w:r>
              <w:rPr>
                <w:rFonts w:ascii="Times New Roman" w:hAnsi="Times New Roman"/>
                <w:b/>
                <w:sz w:val="24"/>
                <w:u w:val="single"/>
                <w:vertAlign w:val="subscript"/>
              </w:rPr>
              <w:t>VA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Podroben postopek za izračun nestanovitnosti prilagojene vrednosti zavarova</w:t>
            </w:r>
            <w:r>
              <w:rPr>
                <w:rFonts w:ascii="Times New Roman" w:hAnsi="Times New Roman"/>
                <w:sz w:val="24"/>
              </w:rPr>
              <w:t>n</w:t>
            </w:r>
            <w:r>
              <w:rPr>
                <w:rFonts w:ascii="Times New Roman" w:hAnsi="Times New Roman"/>
                <w:sz w:val="24"/>
              </w:rPr>
              <w:t>ja s premoženjem (C</w:t>
            </w:r>
            <w:r>
              <w:rPr>
                <w:rFonts w:ascii="Times New Roman" w:hAnsi="Times New Roman"/>
                <w:sz w:val="24"/>
                <w:vertAlign w:val="subscript"/>
              </w:rPr>
              <w:t>VA</w:t>
            </w:r>
            <w:r>
              <w:rPr>
                <w:rFonts w:ascii="Times New Roman" w:hAnsi="Times New Roman"/>
                <w:sz w:val="24"/>
              </w:rPr>
              <w:t>), ki naj bi se sporočila v tem stolpcu, je opisan v členu 223(2) CRR.</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 SKUPAJ ODLIVI: PRILAGOJENE VREDNOSTI OSEBNEGA KREDITNEGA ZAVAROVANJA (G*)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Ob upoštevanju splošnega pravila za „prilive“ in „odlive“ so zneski, sporočeni v tem stolpcu, prikazani kot „prilivi“ v ustrezni predlogi za kreditno tveganje (CR SA ali CR IRB) in kategoriji izpostavljenosti, ustrezni za dajalca zavar</w:t>
            </w:r>
            <w:r>
              <w:rPr>
                <w:rFonts w:ascii="Times New Roman" w:hAnsi="Times New Roman"/>
                <w:sz w:val="24"/>
              </w:rPr>
              <w:t>o</w:t>
            </w:r>
            <w:r>
              <w:rPr>
                <w:rFonts w:ascii="Times New Roman" w:hAnsi="Times New Roman"/>
                <w:sz w:val="24"/>
              </w:rPr>
              <w:t>vanja (tj. tretja oseba, na katero se tranša prenese z osebnim kreditnim zavar</w:t>
            </w:r>
            <w:r>
              <w:rPr>
                <w:rFonts w:ascii="Times New Roman" w:hAnsi="Times New Roman"/>
                <w:sz w:val="24"/>
              </w:rPr>
              <w:t>o</w:t>
            </w:r>
            <w:r>
              <w:rPr>
                <w:rFonts w:ascii="Times New Roman" w:hAnsi="Times New Roman"/>
                <w:sz w:val="24"/>
              </w:rPr>
              <w:t>vanjem).</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Postopek za izračun „valutnega tveganja“ – prilagojenega nominalnega zneska kreditnega zavarovanja (G*) je opisan v členu 233(3) uredbe o kreditnih zaht</w:t>
            </w:r>
            <w:r>
              <w:rPr>
                <w:rFonts w:ascii="Times New Roman" w:hAnsi="Times New Roman"/>
                <w:sz w:val="24"/>
              </w:rPr>
              <w:t>e</w:t>
            </w:r>
            <w:r>
              <w:rPr>
                <w:rFonts w:ascii="Times New Roman" w:hAnsi="Times New Roman"/>
                <w:sz w:val="24"/>
              </w:rPr>
              <w:t>vah.</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ZADRŽAN ALI ZAČASNO PRODAN HIPOTETIČNI ZNESEK KR</w:t>
            </w:r>
            <w:r>
              <w:rPr>
                <w:rFonts w:ascii="Times New Roman" w:hAnsi="Times New Roman"/>
                <w:b/>
                <w:sz w:val="24"/>
                <w:u w:val="single"/>
              </w:rPr>
              <w:t>E</w:t>
            </w:r>
            <w:r>
              <w:rPr>
                <w:rFonts w:ascii="Times New Roman" w:hAnsi="Times New Roman"/>
                <w:b/>
                <w:sz w:val="24"/>
                <w:u w:val="single"/>
              </w:rPr>
              <w:t>DITNEGA ZAVAROVANJA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Vse tranše, ki so bile zadržane ali odkupljene, npr. zadržane pozicije prve izgube, se poročajo v nominalnem znesku.</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Učinek nadzorniških odbitkov v kreditnem zavarovanju se ne upošteva pri izračunu zadržanega ali začasno prodanega zneska kreditnega zavarovanja.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050</w:t>
            </w:r>
          </w:p>
        </w:tc>
        <w:tc>
          <w:tcPr>
            <w:tcW w:w="7856" w:type="dxa"/>
          </w:tcPr>
          <w:p w:rsidR="00612780" w:rsidRPr="00672D2A" w:rsidRDefault="00612780" w:rsidP="00612780">
            <w:pPr>
              <w:spacing w:before="0" w:after="0"/>
              <w:jc w:val="left"/>
              <w:rPr>
                <w:rFonts w:ascii="Times New Roman" w:hAnsi="Times New Roman"/>
                <w:b/>
                <w:sz w:val="24"/>
                <w:u w:val="single"/>
              </w:rPr>
            </w:pPr>
            <w:r>
              <w:rPr>
                <w:rFonts w:ascii="Times New Roman" w:hAnsi="Times New Roman"/>
                <w:b/>
                <w:sz w:val="24"/>
                <w:u w:val="single"/>
              </w:rPr>
              <w:t>POZICIJE V LISTINJENJU: ORIGINALNA IZPOSTAVLJENOST PRED UPORABO KONVERZIJSKIH FAKTORJEV</w:t>
            </w:r>
          </w:p>
          <w:p w:rsidR="00612780" w:rsidRPr="00672D2A"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Pozicije v listinjenju, ki jih ima v lasti institucija poročevalka, izračunane v skladu s členom 246(1)(a), (c) in (e) ter (2) CRR, pri čemer se ne uporabljajo kreditni </w:t>
            </w:r>
            <w:proofErr w:type="spellStart"/>
            <w:r>
              <w:rPr>
                <w:rFonts w:ascii="Times New Roman" w:hAnsi="Times New Roman"/>
                <w:sz w:val="24"/>
              </w:rPr>
              <w:t>konverzijski</w:t>
            </w:r>
            <w:proofErr w:type="spellEnd"/>
            <w:r>
              <w:rPr>
                <w:rFonts w:ascii="Times New Roman" w:hAnsi="Times New Roman"/>
                <w:sz w:val="24"/>
              </w:rPr>
              <w:t xml:space="preserve"> faktorji ter ne upoštevajo kakršni koli popravki zaradi kreditnega tveganja in rezervacije za kreditno tveganje. Pobot zadeva le več</w:t>
            </w:r>
            <w:r>
              <w:rPr>
                <w:rFonts w:ascii="Times New Roman" w:hAnsi="Times New Roman"/>
                <w:sz w:val="24"/>
              </w:rPr>
              <w:t>s</w:t>
            </w:r>
            <w:r>
              <w:rPr>
                <w:rFonts w:ascii="Times New Roman" w:hAnsi="Times New Roman"/>
                <w:sz w:val="24"/>
              </w:rPr>
              <w:t>transke pogodbe o izvedenih finančnih instrumentih, zagotovljene istemu su</w:t>
            </w:r>
            <w:r>
              <w:rPr>
                <w:rFonts w:ascii="Times New Roman" w:hAnsi="Times New Roman"/>
                <w:sz w:val="24"/>
              </w:rPr>
              <w:t>b</w:t>
            </w:r>
            <w:r>
              <w:rPr>
                <w:rFonts w:ascii="Times New Roman" w:hAnsi="Times New Roman"/>
                <w:sz w:val="24"/>
              </w:rPr>
              <w:t>jektu s posebnim namenom pri listinjenju (SSPE), pri čemer jih krije ustrezna pogodba o pobotu.</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Prilagoditve vrednosti in rezervacije, ki se poročajo v tem stolpcu, se nanašajo le na pozicije v listinjenju. Prilagoditve vrednosti listinjenih pozicij niso upo</w:t>
            </w:r>
            <w:r>
              <w:rPr>
                <w:rFonts w:ascii="Times New Roman" w:hAnsi="Times New Roman"/>
                <w:sz w:val="24"/>
              </w:rPr>
              <w:t>š</w:t>
            </w:r>
            <w:r>
              <w:rPr>
                <w:rFonts w:ascii="Times New Roman" w:hAnsi="Times New Roman"/>
                <w:sz w:val="24"/>
              </w:rPr>
              <w:t>tevane.</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V primeru klavzul o predčasnem odplačilu morajo institucije opredeliti znesek „udeležbe originatorja“, kot je opredeljeno v členu 256(2) CRR.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Pri sintetičnih listinjenjih so pozicije, ki jih ima v lasti originator v obliki bilančnih postavk in/ali udeležbe investitorja (predčasno odplačilo), rezultat združitve stolpcev 010 do 040.</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 PRILAGODITVE VREDNOSTI IN REZERVACIJE </w:t>
            </w:r>
          </w:p>
          <w:p w:rsidR="00612780" w:rsidRPr="00392FFD" w:rsidRDefault="00612780" w:rsidP="00612780">
            <w:pPr>
              <w:pStyle w:val="ListParagraph"/>
              <w:spacing w:before="0" w:after="0"/>
              <w:ind w:left="284" w:hanging="284"/>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Prilagoditve vrednosti in rezervacije (člen 159 CRR) za kreditne izgube, nast</w:t>
            </w:r>
            <w:r>
              <w:rPr>
                <w:rFonts w:ascii="Times New Roman" w:hAnsi="Times New Roman"/>
                <w:sz w:val="24"/>
              </w:rPr>
              <w:t>a</w:t>
            </w:r>
            <w:r>
              <w:rPr>
                <w:rFonts w:ascii="Times New Roman" w:hAnsi="Times New Roman"/>
                <w:sz w:val="24"/>
              </w:rPr>
              <w:t>le v skladu z računovodskim okvirom, ki se uporablja za subjekt, ki poroča. Prilagoditve vrednosti zajemajo vse zneske, pripoznane v poslovnem izidu za kreditne izgube finančnih sredstev od njihovega začetnega pripoznanja v bila</w:t>
            </w:r>
            <w:r>
              <w:rPr>
                <w:rFonts w:ascii="Times New Roman" w:hAnsi="Times New Roman"/>
                <w:sz w:val="24"/>
              </w:rPr>
              <w:t>n</w:t>
            </w:r>
            <w:r>
              <w:rPr>
                <w:rFonts w:ascii="Times New Roman" w:hAnsi="Times New Roman"/>
                <w:sz w:val="24"/>
              </w:rPr>
              <w:t>ci stanja (vključno z izgubami zaradi kreditnega tveganja finančnih sredstev, izmerjenimi po pošteni vrednosti, ki se ne odštejejo od vrednosti izpostavljen</w:t>
            </w:r>
            <w:r>
              <w:rPr>
                <w:rFonts w:ascii="Times New Roman" w:hAnsi="Times New Roman"/>
                <w:sz w:val="24"/>
              </w:rPr>
              <w:t>o</w:t>
            </w:r>
            <w:r>
              <w:rPr>
                <w:rFonts w:ascii="Times New Roman" w:hAnsi="Times New Roman"/>
                <w:sz w:val="24"/>
              </w:rPr>
              <w:t>sti), skupaj z diskonti za izpostavljenosti, ki so bile v skladu s členom 166(1) CRR odkupljene v stanju neplačila. Rezervacije vključujejo nabrane zneske kreditnih izgub v zunajbilančnih postavkah.</w:t>
            </w:r>
          </w:p>
          <w:p w:rsidR="00612780" w:rsidRPr="00392FFD" w:rsidRDefault="00612780" w:rsidP="00612780">
            <w:pPr>
              <w:pStyle w:val="ListParagraph"/>
              <w:spacing w:before="0" w:after="0"/>
              <w:ind w:left="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070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IZPOSTAVLJENOSTI Z ODŠTETIMI PRILAGODITVAMI VREDN</w:t>
            </w:r>
            <w:r>
              <w:rPr>
                <w:rFonts w:ascii="Times New Roman" w:hAnsi="Times New Roman"/>
                <w:b/>
                <w:sz w:val="24"/>
                <w:u w:val="single"/>
              </w:rPr>
              <w:t>O</w:t>
            </w:r>
            <w:r>
              <w:rPr>
                <w:rFonts w:ascii="Times New Roman" w:hAnsi="Times New Roman"/>
                <w:b/>
                <w:sz w:val="24"/>
                <w:u w:val="single"/>
              </w:rPr>
              <w:t>STI IN REZERVACIJAMI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Pozicije v listinjenju v skladu s členom 246(1) in (2) CRR, pri čemer se ne uporabljajo </w:t>
            </w:r>
            <w:proofErr w:type="spellStart"/>
            <w:r>
              <w:rPr>
                <w:rFonts w:ascii="Times New Roman" w:hAnsi="Times New Roman"/>
                <w:sz w:val="24"/>
              </w:rPr>
              <w:t>konverzijski</w:t>
            </w:r>
            <w:proofErr w:type="spellEnd"/>
            <w:r>
              <w:rPr>
                <w:rFonts w:ascii="Times New Roman" w:hAnsi="Times New Roman"/>
                <w:sz w:val="24"/>
              </w:rPr>
              <w:t xml:space="preserve"> faktorji.</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Ta informacija se nanaša na stolpec 040 predloge CR SA </w:t>
            </w:r>
            <w:proofErr w:type="spellStart"/>
            <w:r>
              <w:rPr>
                <w:rFonts w:ascii="Times New Roman" w:hAnsi="Times New Roman"/>
                <w:sz w:val="24"/>
              </w:rPr>
              <w:t>Total</w:t>
            </w:r>
            <w:proofErr w:type="spellEnd"/>
            <w:r>
              <w:rPr>
                <w:rFonts w:ascii="Times New Roman" w:hAnsi="Times New Roman"/>
                <w:sz w:val="24"/>
              </w:rPr>
              <w:t>.</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080–110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TEHNIKE ZA ZMANJŠEVANJE KREDITNEGA TVEGANJA (CRM) Z UČINKI ZAMENJAVE NA IZPOSTAVLJENOST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Člen 4(57) in poglavje 4 naslova II dela 3 CRR.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 tem sklopu stolpcev se zbirajo informacije o tehnikah za zmanjševanje kr</w:t>
            </w:r>
            <w:r>
              <w:rPr>
                <w:rFonts w:ascii="Times New Roman" w:hAnsi="Times New Roman"/>
                <w:sz w:val="24"/>
              </w:rPr>
              <w:t>e</w:t>
            </w:r>
            <w:r>
              <w:rPr>
                <w:rFonts w:ascii="Times New Roman" w:hAnsi="Times New Roman"/>
                <w:sz w:val="24"/>
              </w:rPr>
              <w:t>ditnega tveganja, s katerimi se zmanjšuje kreditno tveganje izpostavljenosti prek zamenjave izpostavljenosti (kot je opredeljeno spodaj za Prilive in Odl</w:t>
            </w:r>
            <w:r>
              <w:rPr>
                <w:rFonts w:ascii="Times New Roman" w:hAnsi="Times New Roman"/>
                <w:sz w:val="24"/>
              </w:rPr>
              <w:t>i</w:t>
            </w:r>
            <w:r>
              <w:rPr>
                <w:rFonts w:ascii="Times New Roman" w:hAnsi="Times New Roman"/>
                <w:sz w:val="24"/>
              </w:rPr>
              <w:t>ve).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bookmarkStart w:id="457" w:name="_Toc262228334"/>
            <w:r>
              <w:rPr>
                <w:rFonts w:ascii="Times New Roman" w:hAnsi="Times New Roman"/>
                <w:sz w:val="24"/>
              </w:rPr>
              <w:t>Glej navodila za predlogo CR SA (Sporočanje tehnik za zmanjševanje kredi</w:t>
            </w:r>
            <w:r>
              <w:rPr>
                <w:rFonts w:ascii="Times New Roman" w:hAnsi="Times New Roman"/>
                <w:sz w:val="24"/>
              </w:rPr>
              <w:t>t</w:t>
            </w:r>
            <w:r>
              <w:rPr>
                <w:rFonts w:ascii="Times New Roman" w:hAnsi="Times New Roman"/>
                <w:sz w:val="24"/>
              </w:rPr>
              <w:t>nega tveganja z učinkom zamenjave</w:t>
            </w:r>
            <w:bookmarkEnd w:id="457"/>
            <w:r>
              <w:rPr>
                <w:rFonts w:ascii="Times New Roman" w:hAnsi="Times New Roman"/>
                <w:sz w:val="24"/>
              </w:rPr>
              <w:t>).</w:t>
            </w:r>
          </w:p>
          <w:p w:rsidR="00612780" w:rsidRPr="00392FFD" w:rsidRDefault="00612780" w:rsidP="00612780">
            <w:pPr>
              <w:autoSpaceDE w:val="0"/>
              <w:autoSpaceDN w:val="0"/>
              <w:adjustRightInd w:val="0"/>
              <w:spacing w:before="0" w:after="0"/>
              <w:ind w:left="284" w:hanging="284"/>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w:t>
            </w:r>
          </w:p>
        </w:tc>
        <w:tc>
          <w:tcPr>
            <w:tcW w:w="7856" w:type="dxa"/>
          </w:tcPr>
          <w:p w:rsidR="00612780" w:rsidRPr="00392FFD" w:rsidRDefault="003300FF" w:rsidP="00612780">
            <w:pPr>
              <w:spacing w:before="0" w:after="0"/>
              <w:jc w:val="left"/>
              <w:rPr>
                <w:rFonts w:ascii="Times New Roman" w:hAnsi="Times New Roman"/>
                <w:b/>
                <w:sz w:val="24"/>
                <w:u w:val="single"/>
              </w:rPr>
            </w:pPr>
            <w:r>
              <w:rPr>
                <w:rFonts w:ascii="Times New Roman" w:hAnsi="Times New Roman"/>
                <w:b/>
                <w:sz w:val="24"/>
                <w:u w:val="single"/>
              </w:rPr>
              <w:t>(–) OSEBNO KREDITNO ZAVAROVANJE: PRILAGOJENE VRE</w:t>
            </w:r>
            <w:r>
              <w:rPr>
                <w:rFonts w:ascii="Times New Roman" w:hAnsi="Times New Roman"/>
                <w:b/>
                <w:sz w:val="24"/>
                <w:u w:val="single"/>
              </w:rPr>
              <w:t>D</w:t>
            </w:r>
            <w:r>
              <w:rPr>
                <w:rFonts w:ascii="Times New Roman" w:hAnsi="Times New Roman"/>
                <w:b/>
                <w:sz w:val="24"/>
                <w:u w:val="single"/>
              </w:rPr>
              <w:t>NOSTI (G</w:t>
            </w:r>
            <w:r>
              <w:rPr>
                <w:rFonts w:ascii="Times New Roman" w:hAnsi="Times New Roman"/>
                <w:b/>
                <w:sz w:val="24"/>
                <w:u w:val="single"/>
                <w:vertAlign w:val="subscript"/>
              </w:rPr>
              <w:t>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Osebno kreditno zavarovanje je opredeljeno v členu 4(59) in regulirano v členu 235 CRR.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Glej navodila za predlogo CR SA (Sporočanje tehnik za zmanjševanje kredi</w:t>
            </w:r>
            <w:r>
              <w:rPr>
                <w:rFonts w:ascii="Times New Roman" w:hAnsi="Times New Roman"/>
                <w:sz w:val="24"/>
              </w:rPr>
              <w:t>t</w:t>
            </w:r>
            <w:r>
              <w:rPr>
                <w:rFonts w:ascii="Times New Roman" w:hAnsi="Times New Roman"/>
                <w:sz w:val="24"/>
              </w:rPr>
              <w:t>nega tveganja z učinkom zamenjave).</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090</w:t>
            </w:r>
          </w:p>
        </w:tc>
        <w:tc>
          <w:tcPr>
            <w:tcW w:w="7856" w:type="dxa"/>
          </w:tcPr>
          <w:p w:rsidR="00612780" w:rsidRPr="00392FFD" w:rsidRDefault="003300FF" w:rsidP="00612780">
            <w:pPr>
              <w:autoSpaceDE w:val="0"/>
              <w:autoSpaceDN w:val="0"/>
              <w:adjustRightInd w:val="0"/>
              <w:spacing w:before="0" w:after="0"/>
              <w:ind w:left="284" w:hanging="284"/>
              <w:jc w:val="left"/>
              <w:rPr>
                <w:rFonts w:ascii="Times New Roman" w:hAnsi="Times New Roman"/>
                <w:b/>
                <w:sz w:val="24"/>
                <w:u w:val="single"/>
              </w:rPr>
            </w:pPr>
            <w:r>
              <w:rPr>
                <w:rFonts w:ascii="Times New Roman" w:hAnsi="Times New Roman"/>
                <w:b/>
                <w:sz w:val="24"/>
                <w:u w:val="single"/>
              </w:rPr>
              <w:t>(–) STVARNO KREDITNO ZAVAROVANJE</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Stvarno kreditno zavarovanje je opredeljeno v členu 4(58) ter regulirano v čl</w:t>
            </w:r>
            <w:r>
              <w:rPr>
                <w:rFonts w:ascii="Times New Roman" w:hAnsi="Times New Roman"/>
                <w:sz w:val="24"/>
              </w:rPr>
              <w:t>e</w:t>
            </w:r>
            <w:r>
              <w:rPr>
                <w:rFonts w:ascii="Times New Roman" w:hAnsi="Times New Roman"/>
                <w:sz w:val="24"/>
              </w:rPr>
              <w:lastRenderedPageBreak/>
              <w:t>nih 195, 197 in 200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Kreditni zapisi in bilančni pobot v skladu s členi 218 do 236 CRR se obravn</w:t>
            </w:r>
            <w:r>
              <w:rPr>
                <w:rFonts w:ascii="Times New Roman" w:hAnsi="Times New Roman"/>
                <w:sz w:val="24"/>
              </w:rPr>
              <w:t>a</w:t>
            </w:r>
            <w:r>
              <w:rPr>
                <w:rFonts w:ascii="Times New Roman" w:hAnsi="Times New Roman"/>
                <w:sz w:val="24"/>
              </w:rPr>
              <w:t>vajo kot zavarovanje z denarnimi sredstvi.</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Glej navodila za predlogo CR SA (Sporočanje tehnik za zmanjševanje kredi</w:t>
            </w:r>
            <w:r>
              <w:rPr>
                <w:rFonts w:ascii="Times New Roman" w:hAnsi="Times New Roman"/>
                <w:sz w:val="24"/>
              </w:rPr>
              <w:t>t</w:t>
            </w:r>
            <w:r>
              <w:rPr>
                <w:rFonts w:ascii="Times New Roman" w:hAnsi="Times New Roman"/>
                <w:sz w:val="24"/>
              </w:rPr>
              <w:t>nega tveganja z učinkom zamenjave).</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100–110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b/>
                <w:sz w:val="24"/>
                <w:u w:val="single"/>
              </w:rPr>
              <w:t xml:space="preserve">ZAMENJAVA IZPOSTAVLJENOSTI ZARADI ZMANJŠEVANJA KREDITNEGA TVEGANJA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Poročajo se tudi prilivi in odlivi v okviru iste kategorije izpostavljenosti, po potrebi pa tudi v okviru uteži tveganja ali bonitetnih razredov dolžnika.</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SKUPAJ ODLIVI:</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Člena 222(3) ter 235(1) in (2).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Odlivi ustrezajo kritemu delu „Izpostavljenosti z odštetimi prilagoditvami vr</w:t>
            </w:r>
            <w:r>
              <w:rPr>
                <w:rFonts w:ascii="Times New Roman" w:hAnsi="Times New Roman"/>
                <w:sz w:val="24"/>
              </w:rPr>
              <w:t>e</w:t>
            </w:r>
            <w:r>
              <w:rPr>
                <w:rFonts w:ascii="Times New Roman" w:hAnsi="Times New Roman"/>
                <w:sz w:val="24"/>
              </w:rPr>
              <w:t xml:space="preserve">dnosti in rezervacijami“, ki se odbije od kategorije izpostavljenosti dolžnika in po potrebi od uteži tveganja ali bonitetnega razreda dolžnika ter nato razvrsti v kategorijo izpostavljenosti dajalca zavarovanja in po potrebi v utež tveganja ali bonitetni razred dolžnika.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Ta znesek se obravnava kot priliv v kategorijo izpostavljenosti dajalca zavar</w:t>
            </w:r>
            <w:r>
              <w:rPr>
                <w:rFonts w:ascii="Times New Roman" w:hAnsi="Times New Roman"/>
                <w:sz w:val="24"/>
              </w:rPr>
              <w:t>o</w:t>
            </w:r>
            <w:r>
              <w:rPr>
                <w:rFonts w:ascii="Times New Roman" w:hAnsi="Times New Roman"/>
                <w:sz w:val="24"/>
              </w:rPr>
              <w:t>vanja, po potrebi pa tudi v uteži tveganja ali bonitetne razrede dolžnika.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Ta informacija se nanaša na stolpec 090 [(–) Skupaj odlivi] predloge CR SA </w:t>
            </w:r>
            <w:proofErr w:type="spellStart"/>
            <w:r>
              <w:rPr>
                <w:rFonts w:ascii="Times New Roman" w:hAnsi="Times New Roman"/>
                <w:sz w:val="24"/>
              </w:rPr>
              <w:t>Total</w:t>
            </w:r>
            <w:proofErr w:type="spellEnd"/>
            <w:r>
              <w:rPr>
                <w:rFonts w:ascii="Times New Roman" w:hAnsi="Times New Roman"/>
                <w:sz w:val="24"/>
              </w:rPr>
              <w:t>.</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SKUPAJ PRILIVI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Pozicije v listinjenju, ki so dolžniški vrednostni papirji in primerno zavarova</w:t>
            </w:r>
            <w:r>
              <w:rPr>
                <w:rFonts w:ascii="Times New Roman" w:hAnsi="Times New Roman"/>
                <w:sz w:val="24"/>
              </w:rPr>
              <w:t>n</w:t>
            </w:r>
            <w:r>
              <w:rPr>
                <w:rFonts w:ascii="Times New Roman" w:hAnsi="Times New Roman"/>
                <w:sz w:val="24"/>
              </w:rPr>
              <w:t>je s finančnim premoženjem v skladu s členom 197(1) CRR ter kadar se up</w:t>
            </w:r>
            <w:r>
              <w:rPr>
                <w:rFonts w:ascii="Times New Roman" w:hAnsi="Times New Roman"/>
                <w:sz w:val="24"/>
              </w:rPr>
              <w:t>o</w:t>
            </w:r>
            <w:r>
              <w:rPr>
                <w:rFonts w:ascii="Times New Roman" w:hAnsi="Times New Roman"/>
                <w:sz w:val="24"/>
              </w:rPr>
              <w:t>rablja enostavna metoda za zavarovanje s finančnim premoženjem, se v tem stolpcu poročajo kot prilivi.</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Ta informacija se nanaša na stolpec 100 [Skupaj prilivi] predloge CR SA </w:t>
            </w:r>
            <w:proofErr w:type="spellStart"/>
            <w:r>
              <w:rPr>
                <w:rFonts w:ascii="Times New Roman" w:hAnsi="Times New Roman"/>
                <w:sz w:val="24"/>
              </w:rPr>
              <w:t>Total</w:t>
            </w:r>
            <w:proofErr w:type="spellEnd"/>
            <w:r>
              <w:rPr>
                <w:rFonts w:ascii="Times New Roman" w:hAnsi="Times New Roman"/>
                <w:sz w:val="24"/>
              </w:rPr>
              <w:t xml:space="preserve">.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NETO IZPOSTAVLJENOST PO UČINKIH ZAMENJAVE ZARADI ZMANJŠEVANJA KREDITNEGA TVEGANJA PRED UPORABO KONVERZIJSKIH FAKTORJEV</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Izpostavljenost, ki se dodeli v ustrezno utež tveganja in kategorijo izpostavlj</w:t>
            </w:r>
            <w:r>
              <w:rPr>
                <w:rFonts w:ascii="Times New Roman" w:hAnsi="Times New Roman"/>
                <w:sz w:val="24"/>
              </w:rPr>
              <w:t>e</w:t>
            </w:r>
            <w:r>
              <w:rPr>
                <w:rFonts w:ascii="Times New Roman" w:hAnsi="Times New Roman"/>
                <w:sz w:val="24"/>
              </w:rPr>
              <w:t>nosti po upoštevanju odlivov in prilivov zaradi „Tehnik za zmanjševanje kred</w:t>
            </w:r>
            <w:r>
              <w:rPr>
                <w:rFonts w:ascii="Times New Roman" w:hAnsi="Times New Roman"/>
                <w:sz w:val="24"/>
              </w:rPr>
              <w:t>i</w:t>
            </w:r>
            <w:r>
              <w:rPr>
                <w:rFonts w:ascii="Times New Roman" w:hAnsi="Times New Roman"/>
                <w:sz w:val="24"/>
              </w:rPr>
              <w:t>tnega tveganja (CRM) z učinki zamenjave na izpostavljenost“.</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Ta informacija se nanaša na stolpec 110 predloge CR SA </w:t>
            </w:r>
            <w:proofErr w:type="spellStart"/>
            <w:r>
              <w:rPr>
                <w:rFonts w:ascii="Times New Roman" w:hAnsi="Times New Roman"/>
                <w:sz w:val="24"/>
              </w:rPr>
              <w:t>Total</w:t>
            </w:r>
            <w:proofErr w:type="spellEnd"/>
            <w:r>
              <w:rPr>
                <w:rFonts w:ascii="Times New Roman" w:hAnsi="Times New Roman"/>
                <w:sz w:val="24"/>
              </w:rPr>
              <w:t>.</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 TEHNIKE ZA ZMANJŠEVANJE KREDITNEGA TVEGANJA, KI </w:t>
            </w:r>
            <w:r>
              <w:rPr>
                <w:rFonts w:ascii="Times New Roman" w:hAnsi="Times New Roman"/>
                <w:b/>
                <w:sz w:val="24"/>
                <w:u w:val="single"/>
              </w:rPr>
              <w:lastRenderedPageBreak/>
              <w:t>VPLIVAJO NA ZNESEK IZPOSTAVLJENOSTI: PRILAGOJENA VREDNOST METODE ZA IZRAČUN UČINKOV ZAVAROVANJA S FINANČNIM PREMOŽENJEM PRI STVARNEM KREDITNEM ZAVAROVANJU (C</w:t>
            </w:r>
            <w:r>
              <w:rPr>
                <w:rFonts w:ascii="Times New Roman" w:hAnsi="Times New Roman"/>
                <w:b/>
                <w:sz w:val="24"/>
                <w:u w:val="single"/>
                <w:vertAlign w:val="subscript"/>
              </w:rPr>
              <w:t>VAM</w:t>
            </w:r>
            <w:r>
              <w:rPr>
                <w:rFonts w:ascii="Times New Roman" w:hAnsi="Times New Roman"/>
                <w:b/>
                <w:sz w:val="24"/>
                <w:u w:val="single"/>
              </w:rPr>
              <w: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Ta postavka zajema tudi kreditne zapise (člen 218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Ta informacija se nanaša na stolpca 120 in 130 predloge CR SA </w:t>
            </w:r>
            <w:proofErr w:type="spellStart"/>
            <w:r>
              <w:rPr>
                <w:rFonts w:ascii="Times New Roman" w:hAnsi="Times New Roman"/>
                <w:sz w:val="24"/>
              </w:rPr>
              <w:t>Total</w:t>
            </w:r>
            <w:proofErr w:type="spellEnd"/>
            <w:r>
              <w:rPr>
                <w:rFonts w:ascii="Times New Roman" w:hAnsi="Times New Roman"/>
                <w:sz w:val="24"/>
              </w:rPr>
              <w:t xml:space="preserve">.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POPOLNOMA PRILAGOJENA VREDNOST IZPOSTAVLJENOSTI (E*)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Pozicije v listinjenju v skladu s členom 246 CRR, pri katerih se torej ne upor</w:t>
            </w:r>
            <w:r>
              <w:rPr>
                <w:rFonts w:ascii="Times New Roman" w:hAnsi="Times New Roman"/>
                <w:sz w:val="24"/>
              </w:rPr>
              <w:t>a</w:t>
            </w:r>
            <w:r>
              <w:rPr>
                <w:rFonts w:ascii="Times New Roman" w:hAnsi="Times New Roman"/>
                <w:sz w:val="24"/>
              </w:rPr>
              <w:t xml:space="preserve">bljajo </w:t>
            </w:r>
            <w:proofErr w:type="spellStart"/>
            <w:r>
              <w:rPr>
                <w:rFonts w:ascii="Times New Roman" w:hAnsi="Times New Roman"/>
                <w:sz w:val="24"/>
              </w:rPr>
              <w:t>konverzijske</w:t>
            </w:r>
            <w:proofErr w:type="spellEnd"/>
            <w:r>
              <w:rPr>
                <w:rFonts w:ascii="Times New Roman" w:hAnsi="Times New Roman"/>
                <w:sz w:val="24"/>
              </w:rPr>
              <w:t xml:space="preserve"> vrednosti iz člena 246(1)(c) CRR.</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Ta informacija se nanaša na stolpec 150 predloge CR SA </w:t>
            </w:r>
            <w:proofErr w:type="spellStart"/>
            <w:r>
              <w:rPr>
                <w:rFonts w:ascii="Times New Roman" w:hAnsi="Times New Roman"/>
                <w:sz w:val="24"/>
              </w:rPr>
              <w:t>Total</w:t>
            </w:r>
            <w:proofErr w:type="spellEnd"/>
            <w:r>
              <w:rPr>
                <w:rFonts w:ascii="Times New Roman" w:hAnsi="Times New Roman"/>
                <w:sz w:val="24"/>
              </w:rPr>
              <w:t xml:space="preserve">. </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150–180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RAZČLENITEV POPOLNOMA PRILAGOJENE VREDNOSTI IZPO</w:t>
            </w:r>
            <w:r>
              <w:rPr>
                <w:rFonts w:ascii="Times New Roman" w:hAnsi="Times New Roman"/>
                <w:b/>
                <w:sz w:val="24"/>
                <w:u w:val="single"/>
              </w:rPr>
              <w:t>S</w:t>
            </w:r>
            <w:r>
              <w:rPr>
                <w:rFonts w:ascii="Times New Roman" w:hAnsi="Times New Roman"/>
                <w:b/>
                <w:sz w:val="24"/>
                <w:u w:val="single"/>
              </w:rPr>
              <w:t>TAVLJENOSTI (E*) ZUNAJBILANČNIH POSTAVK GLEDE NA KONVERZIJSKE FAKTORJE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Člen 246(1)(c) CRR določa, da je vrednost izpostavljenosti zunajbilančne pozicije v listinjenju enaka njeni nominalni vrednosti, pomnoženi s </w:t>
            </w:r>
            <w:proofErr w:type="spellStart"/>
            <w:r>
              <w:rPr>
                <w:rFonts w:ascii="Times New Roman" w:hAnsi="Times New Roman"/>
                <w:sz w:val="24"/>
              </w:rPr>
              <w:t>konverzi</w:t>
            </w:r>
            <w:r>
              <w:rPr>
                <w:rFonts w:ascii="Times New Roman" w:hAnsi="Times New Roman"/>
                <w:sz w:val="24"/>
              </w:rPr>
              <w:t>j</w:t>
            </w:r>
            <w:r>
              <w:rPr>
                <w:rFonts w:ascii="Times New Roman" w:hAnsi="Times New Roman"/>
                <w:sz w:val="24"/>
              </w:rPr>
              <w:t>skim</w:t>
            </w:r>
            <w:proofErr w:type="spellEnd"/>
            <w:r>
              <w:rPr>
                <w:rFonts w:ascii="Times New Roman" w:hAnsi="Times New Roman"/>
                <w:sz w:val="24"/>
              </w:rPr>
              <w:t xml:space="preserve"> faktorjem. Konverzijska vrednost znaša 100 %, če v CRR ni določeno drugače.</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Glej stolpce 160 do 190 predloge CR SA </w:t>
            </w:r>
            <w:proofErr w:type="spellStart"/>
            <w:r>
              <w:rPr>
                <w:rFonts w:ascii="Times New Roman" w:hAnsi="Times New Roman"/>
                <w:sz w:val="24"/>
              </w:rPr>
              <w:t>Total</w:t>
            </w:r>
            <w:proofErr w:type="spellEnd"/>
            <w:r>
              <w:rPr>
                <w:rFonts w:ascii="Times New Roman" w:hAnsi="Times New Roman"/>
                <w:sz w:val="24"/>
              </w:rPr>
              <w:t>.</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Za namene poročanja se polno prilagojene vrednosti izpostavljenosti (E*) poročajo v skladu z naslednjimi štirimi medsebojno izključujočimi se intervali konverzijskih faktorjev: 0%, ]0%, 20%], ]20%, 50%] in ]50%, 100%].</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VREDNOST IZPOSTAVLJENOSTI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Pozicije v listinjenju v skladu s členom 246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Ta informacija se nanaša na stolpec 200 predloge CR SA </w:t>
            </w:r>
            <w:proofErr w:type="spellStart"/>
            <w:r>
              <w:rPr>
                <w:rFonts w:ascii="Times New Roman" w:hAnsi="Times New Roman"/>
                <w:sz w:val="24"/>
              </w:rPr>
              <w:t>Total</w:t>
            </w:r>
            <w:proofErr w:type="spellEnd"/>
            <w:r>
              <w:rPr>
                <w:rFonts w:ascii="Times New Roman" w:hAnsi="Times New Roman"/>
                <w:sz w:val="24"/>
              </w:rPr>
              <w:t xml:space="preserve">.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200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VREDNOST IZPOSTAVLJENOSTI KOT ODBITNE POSTAVKE KAPITALA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Člen 258 CRR določa, da lahko institucije v primeru pozicije v listinjenju, kateri je dodeljena utež tveganja 1250 %, odbijejo vrednost izpostavljenosti pozicije od kapitala namesto vključitve te pozicije v svoje izračune zneskov tveganju prilagojenih izpostavljenosti.</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VREDNOST IZPOSTAVLJENOSTI, ZA KATERO SE UPORABI UTEŽ TVEGANJA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Vrednost izpostavljenosti, od katere se odšteje vrednost izpostavljenosti, odbita </w:t>
            </w:r>
            <w:r>
              <w:rPr>
                <w:rFonts w:ascii="Times New Roman" w:hAnsi="Times New Roman"/>
                <w:sz w:val="24"/>
              </w:rPr>
              <w:lastRenderedPageBreak/>
              <w:t>od kapitala.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220–320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RAZČLENITEV VREDNOSTI IZPOSTAVLJENOSTI, ZA KATERO SE UPORABI UTEŽ TVEGANJA</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220–260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OCENJENE</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V členu 242(8) CRR so opredeljene ocenjene pozicije.</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Vrednosti izpostavljenosti, za katere se uporabi utež tveganja, so razčlenjene glede na stopnje kreditne kakovosti (CQS), kot se predvideva za standardizir</w:t>
            </w:r>
            <w:r>
              <w:rPr>
                <w:rFonts w:ascii="Times New Roman" w:hAnsi="Times New Roman"/>
                <w:sz w:val="24"/>
              </w:rPr>
              <w:t>a</w:t>
            </w:r>
            <w:r>
              <w:rPr>
                <w:rFonts w:ascii="Times New Roman" w:hAnsi="Times New Roman"/>
                <w:sz w:val="24"/>
              </w:rPr>
              <w:t>ni pristop v členu 251 (razpredelnica 1) CRR.</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270</w:t>
            </w:r>
          </w:p>
        </w:tc>
        <w:tc>
          <w:tcPr>
            <w:tcW w:w="7856" w:type="dxa"/>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1250 % (NEOCENJENE)</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členu 242(7) CRR so opredeljene neocenjene pozicije.</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VPOGLED</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Člena 253 in 254 ter člen 256(5) CRR.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Stolpci z vpogledom zajemajo vse primere neocenjenih izpostavljenosti, kadar se utež tveganja pridobi na podlagi osnovnega portfelja izpostavljenosti (po</w:t>
            </w:r>
            <w:r>
              <w:rPr>
                <w:rFonts w:ascii="Times New Roman" w:hAnsi="Times New Roman"/>
                <w:sz w:val="24"/>
              </w:rPr>
              <w:t>v</w:t>
            </w:r>
            <w:r>
              <w:rPr>
                <w:rFonts w:ascii="Times New Roman" w:hAnsi="Times New Roman"/>
                <w:sz w:val="24"/>
              </w:rPr>
              <w:t>prečna utež tveganja skupine, najvišja utež tveganja skupine ali uporaba ra</w:t>
            </w:r>
            <w:r>
              <w:rPr>
                <w:rFonts w:ascii="Times New Roman" w:hAnsi="Times New Roman"/>
                <w:sz w:val="24"/>
              </w:rPr>
              <w:t>z</w:t>
            </w:r>
            <w:r>
              <w:rPr>
                <w:rFonts w:ascii="Times New Roman" w:hAnsi="Times New Roman"/>
                <w:sz w:val="24"/>
              </w:rPr>
              <w:t>merja koncentracije).</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VPOGLED – OD TEGA: DRUGA IZGUBA V PROGRAMU ABCP</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Vrednost izpostavljenosti, ki je predmet obravnave pozicij v listinjenju v tranši druge izgube ali boljši tranši v programu ABCP, je opredeljena v členu 254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členu 242(9) CRR je opredeljen program komercialnih zapisov s premožen</w:t>
            </w:r>
            <w:r>
              <w:rPr>
                <w:rFonts w:ascii="Times New Roman" w:hAnsi="Times New Roman"/>
                <w:sz w:val="24"/>
              </w:rPr>
              <w:t>j</w:t>
            </w:r>
            <w:r>
              <w:rPr>
                <w:rFonts w:ascii="Times New Roman" w:hAnsi="Times New Roman"/>
                <w:sz w:val="24"/>
              </w:rPr>
              <w:t xml:space="preserve">skim kritjem (ABCP).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spacing w:before="0" w:after="0"/>
              <w:jc w:val="left"/>
              <w:rPr>
                <w:rFonts w:ascii="Times New Roman" w:hAnsi="Times New Roman"/>
                <w:sz w:val="24"/>
              </w:rPr>
            </w:pPr>
            <w:r>
              <w:rPr>
                <w:rFonts w:ascii="Times New Roman" w:hAnsi="Times New Roman"/>
                <w:sz w:val="24"/>
              </w:rPr>
              <w:t>300</w:t>
            </w:r>
          </w:p>
          <w:p w:rsidR="00612780" w:rsidRPr="00392FFD" w:rsidRDefault="00612780" w:rsidP="00612780">
            <w:pPr>
              <w:autoSpaceDE w:val="0"/>
              <w:autoSpaceDN w:val="0"/>
              <w:adjustRightInd w:val="0"/>
              <w:spacing w:before="0" w:after="0"/>
              <w:rPr>
                <w:rFonts w:ascii="Times New Roman" w:hAnsi="Times New Roman"/>
                <w:bCs/>
                <w:sz w:val="24"/>
              </w:rPr>
            </w:pP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VPOGLED – OD TEGA: POVPREČNA UTEŽ TVEGANJA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Predloži se z vrednostjo izpostavljenosti tehtano povprečje uteži tveganja.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PRISTOP NOTRANJEGA OCENJEVANJA (IAA)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 xml:space="preserve">Člena 109(1) in 259(3) CRR. </w:t>
            </w:r>
            <w:r>
              <w:rPr>
                <w:rFonts w:ascii="Times New Roman" w:hAnsi="Times New Roman"/>
                <w:sz w:val="24"/>
                <w:u w:val="single"/>
              </w:rPr>
              <w:t>Vrednost izpostavljenosti</w:t>
            </w:r>
            <w:r>
              <w:rPr>
                <w:rFonts w:ascii="Times New Roman" w:hAnsi="Times New Roman"/>
                <w:sz w:val="24"/>
              </w:rPr>
              <w:t xml:space="preserve"> pozicij v listinjenju</w:t>
            </w:r>
            <w:r>
              <w:rPr>
                <w:rFonts w:ascii="Times New Roman" w:hAnsi="Times New Roman"/>
                <w:sz w:val="24"/>
                <w:u w:val="single"/>
              </w:rPr>
              <w:t xml:space="preserve"> v okviru pristopa notranjega ocenjevanja.</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PRISTOP NOTRANJEGA OCENJEVANJA: POVPREČNA UTEŽ TVEGANJA (%)</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Predloži se z vrednostjo izpostavljenosti tehtano povprečje uteži tveganja.</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ZNESEK TVEGANJU PRILAGOJENIH IZPOSTAVLJENOSTI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Skupni znesek tveganju prilagojenih izpostavljenosti, izračunan v skladu z oddelkom 3 poglavja 5 naslova II dela 3 CRR, pred prilagoditvami zaradi ne</w:t>
            </w:r>
            <w:r>
              <w:rPr>
                <w:rFonts w:ascii="Times New Roman" w:hAnsi="Times New Roman"/>
                <w:sz w:val="24"/>
              </w:rPr>
              <w:t>u</w:t>
            </w:r>
            <w:r>
              <w:rPr>
                <w:rFonts w:ascii="Times New Roman" w:hAnsi="Times New Roman"/>
                <w:sz w:val="24"/>
              </w:rPr>
              <w:t>sklajenosti zapadlosti ali kršitve določb glede skrbnega pregleda in brez kakr</w:t>
            </w:r>
            <w:r>
              <w:rPr>
                <w:rFonts w:ascii="Times New Roman" w:hAnsi="Times New Roman"/>
                <w:sz w:val="24"/>
              </w:rPr>
              <w:t>š</w:t>
            </w:r>
            <w:r>
              <w:rPr>
                <w:rFonts w:ascii="Times New Roman" w:hAnsi="Times New Roman"/>
                <w:sz w:val="24"/>
              </w:rPr>
              <w:t>nega koli zneska tveganju prilagojenih izpostavljenosti, ki ustreza izpostavlj</w:t>
            </w:r>
            <w:r>
              <w:rPr>
                <w:rFonts w:ascii="Times New Roman" w:hAnsi="Times New Roman"/>
                <w:sz w:val="24"/>
              </w:rPr>
              <w:t>e</w:t>
            </w:r>
            <w:r>
              <w:rPr>
                <w:rFonts w:ascii="Times New Roman" w:hAnsi="Times New Roman"/>
                <w:sz w:val="24"/>
              </w:rPr>
              <w:t xml:space="preserve">nostim, </w:t>
            </w:r>
            <w:proofErr w:type="spellStart"/>
            <w:r>
              <w:rPr>
                <w:rFonts w:ascii="Times New Roman" w:hAnsi="Times New Roman"/>
                <w:sz w:val="24"/>
              </w:rPr>
              <w:t>prerazvrščenim</w:t>
            </w:r>
            <w:proofErr w:type="spellEnd"/>
            <w:r>
              <w:rPr>
                <w:rFonts w:ascii="Times New Roman" w:hAnsi="Times New Roman"/>
                <w:sz w:val="24"/>
              </w:rPr>
              <w:t xml:space="preserve"> v drugo predlogo prek odlivov.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340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OD TEGA: SINTETIČNA LISTINJENJA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Pri sintetičnih listinjenjih se pri znesku, ki se sporoči v tem stolpcu, ne upošt</w:t>
            </w:r>
            <w:r>
              <w:rPr>
                <w:rFonts w:ascii="Times New Roman" w:hAnsi="Times New Roman"/>
                <w:sz w:val="24"/>
              </w:rPr>
              <w:t>e</w:t>
            </w:r>
            <w:r>
              <w:rPr>
                <w:rFonts w:ascii="Times New Roman" w:hAnsi="Times New Roman"/>
                <w:sz w:val="24"/>
              </w:rPr>
              <w:t>va morebitna neusklajenost zapadlosti.</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350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SPLOŠNI UČINEK (PRILAGODITEV) ZARADI KRŠITVE DOLOČB GLEDE SKRBNEGA PREGLEDA</w:t>
            </w:r>
          </w:p>
          <w:p w:rsidR="00612780" w:rsidRPr="00392FFD" w:rsidRDefault="00612780" w:rsidP="00612780">
            <w:pPr>
              <w:spacing w:before="0" w:after="0"/>
              <w:jc w:val="left"/>
              <w:rPr>
                <w:rFonts w:ascii="Times New Roman" w:hAnsi="Times New Roman"/>
                <w:sz w:val="24"/>
              </w:rPr>
            </w:pPr>
          </w:p>
          <w:p w:rsidR="00612780" w:rsidRPr="00392FFD" w:rsidRDefault="00612780" w:rsidP="00551271">
            <w:pPr>
              <w:spacing w:before="0" w:after="0"/>
              <w:rPr>
                <w:rStyle w:val="InstructionsTabelleText"/>
                <w:rFonts w:ascii="Times New Roman" w:hAnsi="Times New Roman"/>
                <w:sz w:val="24"/>
              </w:rPr>
            </w:pPr>
            <w:r>
              <w:rPr>
                <w:rStyle w:val="InstructionsTabelleText"/>
                <w:rFonts w:ascii="Times New Roman" w:hAnsi="Times New Roman"/>
                <w:sz w:val="24"/>
              </w:rPr>
              <w:t>Člena 14(2) in 406(2) ter člen 407 CRR zahtevajo, da države članice, kadar institucija ne izpolnjuje določenih zahtev iz členov 405, 406 ali 409 CRR, zagotovijo, da pristojni organi odredijo sorazmerno dodatno utež tveganja, ki znaša najmanj 250 % uteži tveganja (z zgornjo mejo 1250 %), ki se sicer up</w:t>
            </w:r>
            <w:r>
              <w:rPr>
                <w:rStyle w:val="InstructionsTabelleText"/>
                <w:rFonts w:ascii="Times New Roman" w:hAnsi="Times New Roman"/>
                <w:sz w:val="24"/>
              </w:rPr>
              <w:t>o</w:t>
            </w:r>
            <w:r>
              <w:rPr>
                <w:rStyle w:val="InstructionsTabelleText"/>
                <w:rFonts w:ascii="Times New Roman" w:hAnsi="Times New Roman"/>
                <w:sz w:val="24"/>
              </w:rPr>
              <w:t xml:space="preserve">rablja za zadevne pozicije v listinjenju iz oddelka 3 poglavja 5 naslova II dela 3 CRR. Takšna dodatna utež se lahko odredi za institucije investitorke, pa tudi za </w:t>
            </w:r>
            <w:proofErr w:type="spellStart"/>
            <w:r>
              <w:rPr>
                <w:rStyle w:val="InstructionsTabelleText"/>
                <w:rFonts w:ascii="Times New Roman" w:hAnsi="Times New Roman"/>
                <w:sz w:val="24"/>
              </w:rPr>
              <w:t>originatorje</w:t>
            </w:r>
            <w:proofErr w:type="spellEnd"/>
            <w:r>
              <w:rPr>
                <w:rStyle w:val="InstructionsTabelleText"/>
                <w:rFonts w:ascii="Times New Roman" w:hAnsi="Times New Roman"/>
                <w:sz w:val="24"/>
              </w:rPr>
              <w:t>, sponzorje in prvotne kreditodajalce.</w:t>
            </w:r>
          </w:p>
          <w:p w:rsidR="00551271" w:rsidRPr="00392FFD" w:rsidRDefault="00551271" w:rsidP="00551271">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PRILAGODITEV ZNESKOV TVEGANJU PRILAGOJENIH IZPO</w:t>
            </w:r>
            <w:r>
              <w:rPr>
                <w:rFonts w:ascii="Times New Roman" w:hAnsi="Times New Roman"/>
                <w:b/>
                <w:sz w:val="24"/>
                <w:u w:val="single"/>
              </w:rPr>
              <w:t>S</w:t>
            </w:r>
            <w:r>
              <w:rPr>
                <w:rFonts w:ascii="Times New Roman" w:hAnsi="Times New Roman"/>
                <w:b/>
                <w:sz w:val="24"/>
                <w:u w:val="single"/>
              </w:rPr>
              <w:t>TAVLJENOSTI ZARADI NEUSKLAJENOSTI ZAPADLOSTI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Style w:val="InstructionsTabelleText"/>
                <w:rFonts w:ascii="Times New Roman" w:hAnsi="Times New Roman"/>
                <w:sz w:val="24"/>
              </w:rPr>
            </w:pPr>
            <w:r>
              <w:rPr>
                <w:rStyle w:val="InstructionsTabelleText"/>
                <w:rFonts w:ascii="Times New Roman" w:hAnsi="Times New Roman"/>
                <w:sz w:val="24"/>
              </w:rPr>
              <w:t>Za neusklajenosti zapadlosti v sintetičnih listinjenjih se vključi RW*–RW(SP), kot je opredeljeno v členu 250 CRR, razen v primeru tranš, ki so predmet te</w:t>
            </w:r>
            <w:r>
              <w:rPr>
                <w:rStyle w:val="InstructionsTabelleText"/>
                <w:rFonts w:ascii="Times New Roman" w:hAnsi="Times New Roman"/>
                <w:sz w:val="24"/>
              </w:rPr>
              <w:t>h</w:t>
            </w:r>
            <w:r>
              <w:rPr>
                <w:rStyle w:val="InstructionsTabelleText"/>
                <w:rFonts w:ascii="Times New Roman" w:hAnsi="Times New Roman"/>
                <w:sz w:val="24"/>
              </w:rPr>
              <w:t>tanja z utežjo tveganja 1250 %, kadar je znesek, ki se sporoči, nič. Upoštevati je treba da RW(SP) ne zajema le zneskov tveganju prilagojenih izpostavljeno</w:t>
            </w:r>
            <w:r>
              <w:rPr>
                <w:rStyle w:val="InstructionsTabelleText"/>
                <w:rFonts w:ascii="Times New Roman" w:hAnsi="Times New Roman"/>
                <w:sz w:val="24"/>
              </w:rPr>
              <w:t>s</w:t>
            </w:r>
            <w:r>
              <w:rPr>
                <w:rStyle w:val="InstructionsTabelleText"/>
                <w:rFonts w:ascii="Times New Roman" w:hAnsi="Times New Roman"/>
                <w:sz w:val="24"/>
              </w:rPr>
              <w:t>ti, sporočenih v stolpcu 330, ampak tudi zneske tveganju prilagojenih izposta</w:t>
            </w:r>
            <w:r>
              <w:rPr>
                <w:rStyle w:val="InstructionsTabelleText"/>
                <w:rFonts w:ascii="Times New Roman" w:hAnsi="Times New Roman"/>
                <w:sz w:val="24"/>
              </w:rPr>
              <w:t>v</w:t>
            </w:r>
            <w:r>
              <w:rPr>
                <w:rStyle w:val="InstructionsTabelleText"/>
                <w:rFonts w:ascii="Times New Roman" w:hAnsi="Times New Roman"/>
                <w:sz w:val="24"/>
              </w:rPr>
              <w:t xml:space="preserve">ljenosti, ki ustrezajo izpostavljenostim, </w:t>
            </w:r>
            <w:proofErr w:type="spellStart"/>
            <w:r>
              <w:rPr>
                <w:rStyle w:val="InstructionsTabelleText"/>
                <w:rFonts w:ascii="Times New Roman" w:hAnsi="Times New Roman"/>
                <w:sz w:val="24"/>
              </w:rPr>
              <w:t>prerazvrščenim</w:t>
            </w:r>
            <w:proofErr w:type="spellEnd"/>
            <w:r>
              <w:rPr>
                <w:rStyle w:val="InstructionsTabelleText"/>
                <w:rFonts w:ascii="Times New Roman" w:hAnsi="Times New Roman"/>
                <w:sz w:val="24"/>
              </w:rPr>
              <w:t xml:space="preserve"> v druge predloge prek odlivov.</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Del="00F5392E"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370–380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SKUPAJ ZNESEK TVEGANJU PRILAGOJENIH IZPOSTAVLJEN</w:t>
            </w:r>
            <w:r>
              <w:rPr>
                <w:rFonts w:ascii="Times New Roman" w:hAnsi="Times New Roman"/>
                <w:b/>
                <w:sz w:val="24"/>
                <w:u w:val="single"/>
              </w:rPr>
              <w:t>O</w:t>
            </w:r>
            <w:r>
              <w:rPr>
                <w:rFonts w:ascii="Times New Roman" w:hAnsi="Times New Roman"/>
                <w:b/>
                <w:sz w:val="24"/>
                <w:u w:val="single"/>
              </w:rPr>
              <w:t>STI: PRED UVEDBO OMEJITVE/PO UVEDBI OMEJITVI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Skupni znesek tveganju prilagojenih izpostavljenosti, izračunan v skladu z oddelkom 3 poglavja 5 naslova II dela 3 CRR, pred (stolpec 370)/po (stolpec 380) uporabi omejitev iz člena 252 – listinjenje postavk, ki so trenutno nepl</w:t>
            </w:r>
            <w:r>
              <w:rPr>
                <w:rFonts w:ascii="Times New Roman" w:hAnsi="Times New Roman"/>
                <w:sz w:val="24"/>
              </w:rPr>
              <w:t>a</w:t>
            </w:r>
            <w:r>
              <w:rPr>
                <w:rFonts w:ascii="Times New Roman" w:hAnsi="Times New Roman"/>
                <w:sz w:val="24"/>
              </w:rPr>
              <w:t>čane ali povezane s postavkami z zelo visokim tveganjem, ali člena 256(4) – dodatne kapitalske zahteve za listinjenja obnavljajočih se izpostavljenosti z določbami o predčasnem odplačilu iz CRR.</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POJASNJEVALNA POSTAVKA: ZNESEK TVEGANJU PRILAGOJ</w:t>
            </w:r>
            <w:r>
              <w:rPr>
                <w:rFonts w:ascii="Times New Roman" w:hAnsi="Times New Roman"/>
                <w:b/>
                <w:sz w:val="24"/>
                <w:u w:val="single"/>
              </w:rPr>
              <w:t>E</w:t>
            </w:r>
            <w:r>
              <w:rPr>
                <w:rFonts w:ascii="Times New Roman" w:hAnsi="Times New Roman"/>
                <w:b/>
                <w:sz w:val="24"/>
                <w:u w:val="single"/>
              </w:rPr>
              <w:t>NIH IZPOSTAVLJENOSTI, KI USTREZA ODLIVOM IZ LISTINJE</w:t>
            </w:r>
            <w:r>
              <w:rPr>
                <w:rFonts w:ascii="Times New Roman" w:hAnsi="Times New Roman"/>
                <w:b/>
                <w:sz w:val="24"/>
                <w:u w:val="single"/>
              </w:rPr>
              <w:t>N</w:t>
            </w:r>
            <w:r>
              <w:rPr>
                <w:rFonts w:ascii="Times New Roman" w:hAnsi="Times New Roman"/>
                <w:b/>
                <w:sz w:val="24"/>
                <w:u w:val="single"/>
              </w:rPr>
              <w:t>JA V OKVIRU STANDARDIZIRANEGA PRISTOPA K DRUGIM RAZREDOM IZPOSTAVLJENOSTI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Znesek tveganju prilagojenih izpostavljenosti, ki izhaja iz izpostavljenosti, </w:t>
            </w:r>
            <w:proofErr w:type="spellStart"/>
            <w:r>
              <w:rPr>
                <w:rFonts w:ascii="Times New Roman" w:hAnsi="Times New Roman"/>
                <w:sz w:val="24"/>
              </w:rPr>
              <w:t>pr</w:t>
            </w:r>
            <w:r>
              <w:rPr>
                <w:rFonts w:ascii="Times New Roman" w:hAnsi="Times New Roman"/>
                <w:sz w:val="24"/>
              </w:rPr>
              <w:t>e</w:t>
            </w:r>
            <w:r>
              <w:rPr>
                <w:rFonts w:ascii="Times New Roman" w:hAnsi="Times New Roman"/>
                <w:sz w:val="24"/>
              </w:rPr>
              <w:lastRenderedPageBreak/>
              <w:t>razvrščenih</w:t>
            </w:r>
            <w:proofErr w:type="spellEnd"/>
            <w:r>
              <w:rPr>
                <w:rFonts w:ascii="Times New Roman" w:hAnsi="Times New Roman"/>
                <w:sz w:val="24"/>
              </w:rPr>
              <w:t xml:space="preserve"> k ponudniku instrumentov za zmanjševanje tveganja in posledično vštetih v ustrezno predlogo, ki so upoštevane pri izračunu omejitve za pozicije v listinjenju.</w:t>
            </w:r>
          </w:p>
          <w:p w:rsidR="00612780" w:rsidRPr="00392FFD" w:rsidRDefault="00612780" w:rsidP="00612780">
            <w:pPr>
              <w:spacing w:before="0" w:after="0"/>
              <w:jc w:val="left"/>
              <w:rPr>
                <w:rFonts w:ascii="Times New Roman" w:hAnsi="Times New Roman"/>
                <w:sz w:val="24"/>
              </w:rPr>
            </w:pPr>
          </w:p>
        </w:tc>
      </w:tr>
    </w:tbl>
    <w:p w:rsidR="00612780" w:rsidRPr="00392FFD" w:rsidRDefault="00612780" w:rsidP="00612780">
      <w:pPr>
        <w:spacing w:before="0" w:after="0"/>
        <w:jc w:val="left"/>
        <w:rPr>
          <w:rFonts w:ascii="Times New Roman" w:hAnsi="Times New Roman"/>
          <w:sz w:val="24"/>
        </w:rPr>
      </w:pPr>
    </w:p>
    <w:p w:rsidR="00612780" w:rsidRPr="00392FFD" w:rsidRDefault="00125707" w:rsidP="00C37B29">
      <w:pPr>
        <w:pStyle w:val="InstructionsText2"/>
        <w:numPr>
          <w:ilvl w:val="0"/>
          <w:numId w:val="0"/>
        </w:numPr>
        <w:ind w:left="993"/>
      </w:pPr>
      <w:r>
        <w:t>102.</w:t>
      </w:r>
      <w:r>
        <w:tab/>
        <w:t>Predloga CR SEC SA je razdeljena na tri glavne sklope vrstic, v katerih se zb</w:t>
      </w:r>
      <w:r>
        <w:t>i</w:t>
      </w:r>
      <w:r>
        <w:t xml:space="preserve">rajo podatki o prvotnih/sponzoriranih/zadržanih ali kupljenih izpostavljenostih po </w:t>
      </w:r>
      <w:proofErr w:type="spellStart"/>
      <w:r>
        <w:t>originatorjih</w:t>
      </w:r>
      <w:proofErr w:type="spellEnd"/>
      <w:r>
        <w:t>, investitorjih in sponzorjih. Informacije za vsako izpostavljenost so razčlenjene po bilančnih postavkah in zunajbilančnih postavkah in izvedenih fina</w:t>
      </w:r>
      <w:r>
        <w:t>n</w:t>
      </w:r>
      <w:r>
        <w:t xml:space="preserve">čnih instrumentih ter po listinjenjih in </w:t>
      </w:r>
      <w:proofErr w:type="spellStart"/>
      <w:r>
        <w:t>relistinjenjih</w:t>
      </w:r>
      <w:proofErr w:type="spellEnd"/>
      <w:r>
        <w:t xml:space="preserve">. </w:t>
      </w:r>
    </w:p>
    <w:p w:rsidR="00612780" w:rsidRPr="00392FFD" w:rsidRDefault="00125707" w:rsidP="00C37B29">
      <w:pPr>
        <w:pStyle w:val="InstructionsText2"/>
        <w:numPr>
          <w:ilvl w:val="0"/>
          <w:numId w:val="0"/>
        </w:numPr>
        <w:ind w:left="993"/>
      </w:pPr>
      <w:r>
        <w:t>103.</w:t>
      </w:r>
      <w:r>
        <w:tab/>
        <w:t>Pozicije, obravnavane po metodi na podlagi bonitetnih ocen, in neocenjene pozicije (izpostavljenosti na datum poročanja) se razčlenijo tudi glede na stopnje kreditne kakovosti, ki se uporabljajo ob nastanku (zadnji sklop vrstic). Te inform</w:t>
      </w:r>
      <w:r>
        <w:t>a</w:t>
      </w:r>
      <w:r>
        <w:t>cije poročajo tudi originatorji, sponzorji in investitorji.</w:t>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F71DF2">
            <w:pPr>
              <w:autoSpaceDE w:val="0"/>
              <w:autoSpaceDN w:val="0"/>
              <w:adjustRightInd w:val="0"/>
              <w:spacing w:before="0" w:after="0"/>
              <w:jc w:val="left"/>
              <w:rPr>
                <w:rFonts w:ascii="Times New Roman" w:hAnsi="Times New Roman"/>
                <w:bCs/>
                <w:sz w:val="24"/>
              </w:rPr>
            </w:pPr>
            <w:r>
              <w:rPr>
                <w:rFonts w:ascii="Times New Roman" w:hAnsi="Times New Roman"/>
                <w:b/>
                <w:sz w:val="24"/>
              </w:rPr>
              <w:t>Vrstice</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SKUPNI ZNESEK IZPOSTAVLJENOSTI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Skupni znesek izpostavljenosti se nanaša na skupni znesek neporavnanih listi</w:t>
            </w:r>
            <w:r>
              <w:rPr>
                <w:rFonts w:ascii="Times New Roman" w:hAnsi="Times New Roman"/>
                <w:sz w:val="24"/>
              </w:rPr>
              <w:t>n</w:t>
            </w:r>
            <w:r>
              <w:rPr>
                <w:rFonts w:ascii="Times New Roman" w:hAnsi="Times New Roman"/>
                <w:sz w:val="24"/>
              </w:rPr>
              <w:t>jenj. V tej vrstici so povzete vse informacije, ki jih poročajo originatorji, spo</w:t>
            </w:r>
            <w:r>
              <w:rPr>
                <w:rFonts w:ascii="Times New Roman" w:hAnsi="Times New Roman"/>
                <w:sz w:val="24"/>
              </w:rPr>
              <w:t>n</w:t>
            </w:r>
            <w:r>
              <w:rPr>
                <w:rFonts w:ascii="Times New Roman" w:hAnsi="Times New Roman"/>
                <w:sz w:val="24"/>
              </w:rPr>
              <w:t>zorji in investitorji v poznejših vrsticah.</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OD TEGA: RELISTINJENJA</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Skupni znesek neporavnanih </w:t>
            </w:r>
            <w:proofErr w:type="spellStart"/>
            <w:r>
              <w:rPr>
                <w:rFonts w:ascii="Times New Roman" w:hAnsi="Times New Roman"/>
                <w:sz w:val="24"/>
              </w:rPr>
              <w:t>relistinjenj</w:t>
            </w:r>
            <w:proofErr w:type="spellEnd"/>
            <w:r>
              <w:rPr>
                <w:rFonts w:ascii="Times New Roman" w:hAnsi="Times New Roman"/>
                <w:sz w:val="24"/>
              </w:rPr>
              <w:t xml:space="preserve"> v skladu z opredelitvama iz člena 4(1)(63) in (64) CRR.</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ORIGINATOR: SKUPNI ZNESEK IZPOSTAVLJENOSTI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tej vrstici so povzete informacije o bilančnih postavkah in zunajbilančnih postavkah ter izvedenih finančnih instrumentih in predčasnem odplačilu pozicij v listinjenju, za katere ima institucija vlogo originatorja, kot je opredeljeno v členu 4(1)(13) CRR.</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040–060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BILANČNE POSTAVKE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Člen 246(1)(a) CRR določa, da je za institucije, ki zneske tveganju prilagojenih izpostavljenosti izračunavajo v okviru standardiziranega pristopa, vrednost izpostavljenosti bilančne pozicije v listinjenju enaka njeni knjigovodski vre</w:t>
            </w:r>
            <w:r>
              <w:rPr>
                <w:rFonts w:ascii="Times New Roman" w:hAnsi="Times New Roman"/>
                <w:sz w:val="24"/>
              </w:rPr>
              <w:t>d</w:t>
            </w:r>
            <w:r>
              <w:rPr>
                <w:rFonts w:ascii="Times New Roman" w:hAnsi="Times New Roman"/>
                <w:sz w:val="24"/>
              </w:rPr>
              <w:t>nosti, preostali po upoštevanju posebnih popravkov zaradi kreditnega tveganja.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Bilančne postavke so razčlenjene po listinjenjih (vrstica 050) in </w:t>
            </w:r>
            <w:proofErr w:type="spellStart"/>
            <w:r>
              <w:rPr>
                <w:rFonts w:ascii="Times New Roman" w:hAnsi="Times New Roman"/>
                <w:sz w:val="24"/>
              </w:rPr>
              <w:t>relistinjenjih</w:t>
            </w:r>
            <w:proofErr w:type="spellEnd"/>
            <w:r>
              <w:rPr>
                <w:rFonts w:ascii="Times New Roman" w:hAnsi="Times New Roman"/>
                <w:sz w:val="24"/>
              </w:rPr>
              <w:t xml:space="preserve"> (vrstica 060).</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070–090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ZUNAJBILANČNE POSTAVKE IN IZVEDENI FINANČNI INSTR</w:t>
            </w:r>
            <w:r>
              <w:rPr>
                <w:rFonts w:ascii="Times New Roman" w:hAnsi="Times New Roman"/>
                <w:b/>
                <w:sz w:val="24"/>
                <w:u w:val="single"/>
              </w:rPr>
              <w:t>U</w:t>
            </w:r>
            <w:r>
              <w:rPr>
                <w:rFonts w:ascii="Times New Roman" w:hAnsi="Times New Roman"/>
                <w:b/>
                <w:sz w:val="24"/>
                <w:u w:val="single"/>
              </w:rPr>
              <w:t>MENTI</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 xml:space="preserve">V teh vrsticah se zbirajo informacije o zunajbilančnih postavkah in izvedenih finančnih instrumentih pozicij v listinjenju, ki so predmet </w:t>
            </w:r>
            <w:proofErr w:type="spellStart"/>
            <w:r>
              <w:rPr>
                <w:rFonts w:ascii="Times New Roman" w:hAnsi="Times New Roman"/>
                <w:sz w:val="24"/>
              </w:rPr>
              <w:t>konverzijskega</w:t>
            </w:r>
            <w:proofErr w:type="spellEnd"/>
            <w:r>
              <w:rPr>
                <w:rFonts w:ascii="Times New Roman" w:hAnsi="Times New Roman"/>
                <w:sz w:val="24"/>
              </w:rPr>
              <w:t xml:space="preserve"> fa</w:t>
            </w:r>
            <w:r>
              <w:rPr>
                <w:rFonts w:ascii="Times New Roman" w:hAnsi="Times New Roman"/>
                <w:sz w:val="24"/>
              </w:rPr>
              <w:t>k</w:t>
            </w:r>
            <w:r>
              <w:rPr>
                <w:rFonts w:ascii="Times New Roman" w:hAnsi="Times New Roman"/>
                <w:sz w:val="24"/>
              </w:rPr>
              <w:lastRenderedPageBreak/>
              <w:t>torja v okviru listinjenja. Vrednost izpostavljenosti zunajbilančne pozicije v li</w:t>
            </w:r>
            <w:r>
              <w:rPr>
                <w:rFonts w:ascii="Times New Roman" w:hAnsi="Times New Roman"/>
                <w:sz w:val="24"/>
              </w:rPr>
              <w:t>s</w:t>
            </w:r>
            <w:r>
              <w:rPr>
                <w:rFonts w:ascii="Times New Roman" w:hAnsi="Times New Roman"/>
                <w:sz w:val="24"/>
              </w:rPr>
              <w:t>tinjenju je enaka njeni nominalni vrednosti, zmanjšani za morebitne posebne prilagoditve zaradi kreditnega tveganja v zvezi s to pozicijo v listinjenju, po</w:t>
            </w:r>
            <w:r>
              <w:rPr>
                <w:rFonts w:ascii="Times New Roman" w:hAnsi="Times New Roman"/>
                <w:sz w:val="24"/>
              </w:rPr>
              <w:t>m</w:t>
            </w:r>
            <w:r>
              <w:rPr>
                <w:rFonts w:ascii="Times New Roman" w:hAnsi="Times New Roman"/>
                <w:sz w:val="24"/>
              </w:rPr>
              <w:t xml:space="preserve">noženi s </w:t>
            </w:r>
            <w:proofErr w:type="spellStart"/>
            <w:r>
              <w:rPr>
                <w:rFonts w:ascii="Times New Roman" w:hAnsi="Times New Roman"/>
                <w:sz w:val="24"/>
              </w:rPr>
              <w:t>konverzijsko</w:t>
            </w:r>
            <w:proofErr w:type="spellEnd"/>
            <w:r>
              <w:rPr>
                <w:rFonts w:ascii="Times New Roman" w:hAnsi="Times New Roman"/>
                <w:sz w:val="24"/>
              </w:rPr>
              <w:t xml:space="preserve"> vrednostjo 100 %, če ni določeno drugače.</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Vrednost izpostavljenosti kreditnega tveganja nasprotne stranke pri izvedenem finančnem instrumentu iz Priloge II k CRR se določi v skladu s poglavjem 6 naslova II dela 3 CRR.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Institucije za okvirne likvidnostne kredite, kreditne obveznosti in </w:t>
            </w:r>
            <w:proofErr w:type="spellStart"/>
            <w:r>
              <w:rPr>
                <w:rFonts w:ascii="Times New Roman" w:hAnsi="Times New Roman"/>
                <w:sz w:val="24"/>
              </w:rPr>
              <w:t>serviserske</w:t>
            </w:r>
            <w:proofErr w:type="spellEnd"/>
            <w:r>
              <w:rPr>
                <w:rFonts w:ascii="Times New Roman" w:hAnsi="Times New Roman"/>
                <w:sz w:val="24"/>
              </w:rPr>
              <w:t xml:space="preserve"> denarne predujme institucije poročajo nečrpani znesek.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Za obrestno mero in valutne zamenjave poročajo vrednost izpostavljenosti (v skladu s členom 246(1) CRR), kot je opredeljeno v predlogi CR SA </w:t>
            </w:r>
            <w:proofErr w:type="spellStart"/>
            <w:r>
              <w:rPr>
                <w:rFonts w:ascii="Times New Roman" w:hAnsi="Times New Roman"/>
                <w:sz w:val="24"/>
              </w:rPr>
              <w:t>Total</w:t>
            </w:r>
            <w:proofErr w:type="spellEnd"/>
            <w:r>
              <w:rPr>
                <w:rFonts w:ascii="Times New Roman" w:hAnsi="Times New Roman"/>
                <w:sz w:val="24"/>
              </w:rPr>
              <w:t>.</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Zunajbilančne postavke in izvedeni finančni instrumenti so razčlenjeni po list</w:t>
            </w:r>
            <w:r>
              <w:rPr>
                <w:rFonts w:ascii="Times New Roman" w:hAnsi="Times New Roman"/>
                <w:sz w:val="24"/>
              </w:rPr>
              <w:t>i</w:t>
            </w:r>
            <w:r>
              <w:rPr>
                <w:rFonts w:ascii="Times New Roman" w:hAnsi="Times New Roman"/>
                <w:sz w:val="24"/>
              </w:rPr>
              <w:t xml:space="preserve">njenjih (vrstica 080) in </w:t>
            </w:r>
            <w:proofErr w:type="spellStart"/>
            <w:r>
              <w:rPr>
                <w:rFonts w:ascii="Times New Roman" w:hAnsi="Times New Roman"/>
                <w:sz w:val="24"/>
              </w:rPr>
              <w:t>relistinjenjih</w:t>
            </w:r>
            <w:proofErr w:type="spellEnd"/>
            <w:r>
              <w:rPr>
                <w:rFonts w:ascii="Times New Roman" w:hAnsi="Times New Roman"/>
                <w:sz w:val="24"/>
              </w:rPr>
              <w:t xml:space="preserve"> (vrstica 090), tako kot v razpredelnici 1 člena 251 CRR.</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PREDČASNO ODPLAČILO</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Ta vrstica se nanaša le na </w:t>
            </w:r>
            <w:proofErr w:type="spellStart"/>
            <w:r>
              <w:rPr>
                <w:rFonts w:ascii="Times New Roman" w:hAnsi="Times New Roman"/>
                <w:sz w:val="24"/>
              </w:rPr>
              <w:t>originatorje</w:t>
            </w:r>
            <w:proofErr w:type="spellEnd"/>
            <w:r>
              <w:rPr>
                <w:rFonts w:ascii="Times New Roman" w:hAnsi="Times New Roman"/>
                <w:sz w:val="24"/>
              </w:rPr>
              <w:t xml:space="preserve"> z </w:t>
            </w:r>
            <w:proofErr w:type="spellStart"/>
            <w:r>
              <w:rPr>
                <w:rFonts w:ascii="Times New Roman" w:hAnsi="Times New Roman"/>
                <w:sz w:val="24"/>
              </w:rPr>
              <w:t>listinjenji</w:t>
            </w:r>
            <w:proofErr w:type="spellEnd"/>
            <w:r>
              <w:rPr>
                <w:rFonts w:ascii="Times New Roman" w:hAnsi="Times New Roman"/>
                <w:sz w:val="24"/>
              </w:rPr>
              <w:t xml:space="preserve"> obnavljajočih se izpostavlj</w:t>
            </w:r>
            <w:r>
              <w:rPr>
                <w:rFonts w:ascii="Times New Roman" w:hAnsi="Times New Roman"/>
                <w:sz w:val="24"/>
              </w:rPr>
              <w:t>e</w:t>
            </w:r>
            <w:r>
              <w:rPr>
                <w:rFonts w:ascii="Times New Roman" w:hAnsi="Times New Roman"/>
                <w:sz w:val="24"/>
              </w:rPr>
              <w:t>nosti, ki vključujejo določbe o predčasnem odplačilu, kot je navedeno v členu 242(13) in (14) CRR.</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Borders>
              <w:bottom w:val="single" w:sz="4" w:space="0" w:color="auto"/>
            </w:tcBorders>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903" w:type="dxa"/>
            <w:tcBorders>
              <w:bottom w:val="single" w:sz="4" w:space="0" w:color="auto"/>
            </w:tcBorders>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INVESTITOR: SKUPNI ZNESEK IZPOSTAVLJENOSTI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V tej vrstici so povzete informacije o bilančnih in zunajbilančnih postavkah ter izvedenih finančnih instrumentih pozicij v listinjenju, za katere ima institucija vlogo investitorja.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CRR ne vsebuje izrecne opredelitve investitorja. Zato se v tem okviru razume kot institucija, ki ima pozicijo v listinjenju v poslu listinjenja, pri katerem ni originator ali sponzor.</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120–140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BILANČNE POSTAVKE</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Uporabljajo se enaka merila razporejanja med </w:t>
            </w:r>
            <w:proofErr w:type="spellStart"/>
            <w:r>
              <w:rPr>
                <w:rFonts w:ascii="Times New Roman" w:hAnsi="Times New Roman"/>
                <w:sz w:val="24"/>
              </w:rPr>
              <w:t>listinjenji</w:t>
            </w:r>
            <w:proofErr w:type="spellEnd"/>
            <w:r>
              <w:rPr>
                <w:rFonts w:ascii="Times New Roman" w:hAnsi="Times New Roman"/>
                <w:sz w:val="24"/>
              </w:rPr>
              <w:t xml:space="preserve"> in </w:t>
            </w:r>
            <w:proofErr w:type="spellStart"/>
            <w:r>
              <w:rPr>
                <w:rFonts w:ascii="Times New Roman" w:hAnsi="Times New Roman"/>
                <w:sz w:val="24"/>
              </w:rPr>
              <w:t>relistinjenji</w:t>
            </w:r>
            <w:proofErr w:type="spellEnd"/>
            <w:r>
              <w:rPr>
                <w:rFonts w:ascii="Times New Roman" w:hAnsi="Times New Roman"/>
                <w:sz w:val="24"/>
              </w:rPr>
              <w:t xml:space="preserve"> kot za bilančne postavke za </w:t>
            </w:r>
            <w:proofErr w:type="spellStart"/>
            <w:r>
              <w:rPr>
                <w:rFonts w:ascii="Times New Roman" w:hAnsi="Times New Roman"/>
                <w:sz w:val="24"/>
              </w:rPr>
              <w:t>originatorje</w:t>
            </w:r>
            <w:proofErr w:type="spellEnd"/>
            <w:r>
              <w:rPr>
                <w:rFonts w:ascii="Times New Roman" w:hAnsi="Times New Roman"/>
                <w:sz w:val="24"/>
              </w:rPr>
              <w:t>.</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150–170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ZUNAJBILANČNE POSTAVKE IN IZVEDENI FINANČNI INSTR</w:t>
            </w:r>
            <w:r>
              <w:rPr>
                <w:rFonts w:ascii="Times New Roman" w:hAnsi="Times New Roman"/>
                <w:b/>
                <w:sz w:val="24"/>
                <w:u w:val="single"/>
              </w:rPr>
              <w:t>U</w:t>
            </w:r>
            <w:r>
              <w:rPr>
                <w:rFonts w:ascii="Times New Roman" w:hAnsi="Times New Roman"/>
                <w:b/>
                <w:sz w:val="24"/>
                <w:u w:val="single"/>
              </w:rPr>
              <w:t>MENTI</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Uporabljajo se enaka merila razporejanja med </w:t>
            </w:r>
            <w:proofErr w:type="spellStart"/>
            <w:r>
              <w:rPr>
                <w:rFonts w:ascii="Times New Roman" w:hAnsi="Times New Roman"/>
                <w:sz w:val="24"/>
              </w:rPr>
              <w:t>listinjenji</w:t>
            </w:r>
            <w:proofErr w:type="spellEnd"/>
            <w:r>
              <w:rPr>
                <w:rFonts w:ascii="Times New Roman" w:hAnsi="Times New Roman"/>
                <w:sz w:val="24"/>
              </w:rPr>
              <w:t xml:space="preserve"> in </w:t>
            </w:r>
            <w:proofErr w:type="spellStart"/>
            <w:r>
              <w:rPr>
                <w:rFonts w:ascii="Times New Roman" w:hAnsi="Times New Roman"/>
                <w:sz w:val="24"/>
              </w:rPr>
              <w:t>relistinjenji</w:t>
            </w:r>
            <w:proofErr w:type="spellEnd"/>
            <w:r>
              <w:rPr>
                <w:rFonts w:ascii="Times New Roman" w:hAnsi="Times New Roman"/>
                <w:sz w:val="24"/>
              </w:rPr>
              <w:t xml:space="preserve"> kot za zunajbilančne postavke in izvedene finančne instrumente za </w:t>
            </w:r>
            <w:proofErr w:type="spellStart"/>
            <w:r>
              <w:rPr>
                <w:rFonts w:ascii="Times New Roman" w:hAnsi="Times New Roman"/>
                <w:sz w:val="24"/>
              </w:rPr>
              <w:t>originatorje</w:t>
            </w:r>
            <w:proofErr w:type="spellEnd"/>
            <w:r>
              <w:rPr>
                <w:rFonts w:ascii="Times New Roman" w:hAnsi="Times New Roman"/>
                <w:sz w:val="24"/>
              </w:rPr>
              <w:t>.</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SPONZOR: SKUPNI ZNESEK IZPOSTAVLJENOSTI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pacing w:val="-6"/>
                <w:sz w:val="24"/>
              </w:rPr>
            </w:pPr>
            <w:r>
              <w:rPr>
                <w:rFonts w:ascii="Times New Roman" w:hAnsi="Times New Roman"/>
                <w:sz w:val="24"/>
              </w:rPr>
              <w:t xml:space="preserve">V tej vrstici so povzete informacije o bilančnih in zunajbilančnih postavkah ter izvedenih finančnih instrumentih pozicij v listinjenju, za katere ima institucija </w:t>
            </w:r>
            <w:r>
              <w:rPr>
                <w:rFonts w:ascii="Times New Roman" w:hAnsi="Times New Roman"/>
                <w:sz w:val="24"/>
              </w:rPr>
              <w:lastRenderedPageBreak/>
              <w:t>vlogo sponzorja, kot je opredeljeno v členu 4(14) CRR. Če sponzor listini tudi kapital, v vrsticah originatorja navede informacije glede lastnih listinjenih sre</w:t>
            </w:r>
            <w:r>
              <w:rPr>
                <w:rFonts w:ascii="Times New Roman" w:hAnsi="Times New Roman"/>
                <w:sz w:val="24"/>
              </w:rPr>
              <w:t>d</w:t>
            </w:r>
            <w:r>
              <w:rPr>
                <w:rFonts w:ascii="Times New Roman" w:hAnsi="Times New Roman"/>
                <w:sz w:val="24"/>
              </w:rPr>
              <w:t>stev.</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190–210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BILANČNE POSTAVKE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Uporabljajo se enaka merila razporejanja med </w:t>
            </w:r>
            <w:proofErr w:type="spellStart"/>
            <w:r>
              <w:rPr>
                <w:rFonts w:ascii="Times New Roman" w:hAnsi="Times New Roman"/>
                <w:sz w:val="24"/>
              </w:rPr>
              <w:t>listinjenji</w:t>
            </w:r>
            <w:proofErr w:type="spellEnd"/>
            <w:r>
              <w:rPr>
                <w:rFonts w:ascii="Times New Roman" w:hAnsi="Times New Roman"/>
                <w:sz w:val="24"/>
              </w:rPr>
              <w:t xml:space="preserve"> in </w:t>
            </w:r>
            <w:proofErr w:type="spellStart"/>
            <w:r>
              <w:rPr>
                <w:rFonts w:ascii="Times New Roman" w:hAnsi="Times New Roman"/>
                <w:sz w:val="24"/>
              </w:rPr>
              <w:t>relistinjenji</w:t>
            </w:r>
            <w:proofErr w:type="spellEnd"/>
            <w:r>
              <w:rPr>
                <w:rFonts w:ascii="Times New Roman" w:hAnsi="Times New Roman"/>
                <w:sz w:val="24"/>
              </w:rPr>
              <w:t xml:space="preserve"> kot za bilančne postavke za </w:t>
            </w:r>
            <w:proofErr w:type="spellStart"/>
            <w:r>
              <w:rPr>
                <w:rFonts w:ascii="Times New Roman" w:hAnsi="Times New Roman"/>
                <w:sz w:val="24"/>
              </w:rPr>
              <w:t>originatorje</w:t>
            </w:r>
            <w:proofErr w:type="spellEnd"/>
            <w:r>
              <w:rPr>
                <w:rFonts w:ascii="Times New Roman" w:hAnsi="Times New Roman"/>
                <w:sz w:val="24"/>
              </w:rPr>
              <w:t>.</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220–240</w:t>
            </w:r>
          </w:p>
        </w:tc>
        <w:tc>
          <w:tcPr>
            <w:tcW w:w="7903" w:type="dxa"/>
            <w:shd w:val="clear" w:color="auto" w:fill="auto"/>
          </w:tcPr>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ZUNAJBILANČNE POSTAVKE IN IZVEDENI FINANČNI INSTR</w:t>
            </w:r>
            <w:r>
              <w:rPr>
                <w:rFonts w:ascii="Times New Roman" w:hAnsi="Times New Roman"/>
                <w:b/>
                <w:sz w:val="24"/>
                <w:u w:val="single"/>
              </w:rPr>
              <w:t>U</w:t>
            </w:r>
            <w:r>
              <w:rPr>
                <w:rFonts w:ascii="Times New Roman" w:hAnsi="Times New Roman"/>
                <w:b/>
                <w:sz w:val="24"/>
                <w:u w:val="single"/>
              </w:rPr>
              <w:t>MENTI</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Uporabljajo se enaka merila razporejanja med </w:t>
            </w:r>
            <w:proofErr w:type="spellStart"/>
            <w:r>
              <w:rPr>
                <w:rFonts w:ascii="Times New Roman" w:hAnsi="Times New Roman"/>
                <w:sz w:val="24"/>
              </w:rPr>
              <w:t>listinjenji</w:t>
            </w:r>
            <w:proofErr w:type="spellEnd"/>
            <w:r>
              <w:rPr>
                <w:rFonts w:ascii="Times New Roman" w:hAnsi="Times New Roman"/>
                <w:sz w:val="24"/>
              </w:rPr>
              <w:t xml:space="preserve"> in </w:t>
            </w:r>
            <w:proofErr w:type="spellStart"/>
            <w:r>
              <w:rPr>
                <w:rFonts w:ascii="Times New Roman" w:hAnsi="Times New Roman"/>
                <w:sz w:val="24"/>
              </w:rPr>
              <w:t>relistinjenji</w:t>
            </w:r>
            <w:proofErr w:type="spellEnd"/>
            <w:r>
              <w:rPr>
                <w:rFonts w:ascii="Times New Roman" w:hAnsi="Times New Roman"/>
                <w:sz w:val="24"/>
              </w:rPr>
              <w:t xml:space="preserve"> kot za zunajbilančne postavke in izvedene finančne instrumente za </w:t>
            </w:r>
            <w:proofErr w:type="spellStart"/>
            <w:r>
              <w:rPr>
                <w:rFonts w:ascii="Times New Roman" w:hAnsi="Times New Roman"/>
                <w:sz w:val="24"/>
              </w:rPr>
              <w:t>originatorje</w:t>
            </w:r>
            <w:proofErr w:type="spellEnd"/>
            <w:r>
              <w:rPr>
                <w:rFonts w:ascii="Times New Roman" w:hAnsi="Times New Roman"/>
                <w:sz w:val="24"/>
              </w:rPr>
              <w:t>.</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250–290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RAZČLENITEV NEPORAVNANIH POZICIJ GLEDE NA STOPNJO KREDITNE KAKOVOSTI (CQS) OB NASTANKU</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teh vrsticah se zbirajo informacije o neporavnanih pozicijah, obravnavanih po metodi na podlagi bonitetnih ocen, in neocenjenih pozicijah (na datum por</w:t>
            </w:r>
            <w:r>
              <w:rPr>
                <w:rFonts w:ascii="Times New Roman" w:hAnsi="Times New Roman"/>
                <w:sz w:val="24"/>
              </w:rPr>
              <w:t>o</w:t>
            </w:r>
            <w:r>
              <w:rPr>
                <w:rFonts w:ascii="Times New Roman" w:hAnsi="Times New Roman"/>
                <w:sz w:val="24"/>
              </w:rPr>
              <w:t>čanja) glede na stopnje kreditne kakovosti (kot je določeno za standardizirani pristop v razpredelnici 1 člena 251 CRR), ki se uporabljajo na datum izvedbe (nastanek). Če te informacije niso na voljo, se poročajo najzgodnejši razpolo</w:t>
            </w:r>
            <w:r>
              <w:rPr>
                <w:rFonts w:ascii="Times New Roman" w:hAnsi="Times New Roman"/>
                <w:sz w:val="24"/>
              </w:rPr>
              <w:t>ž</w:t>
            </w:r>
            <w:r>
              <w:rPr>
                <w:rFonts w:ascii="Times New Roman" w:hAnsi="Times New Roman"/>
                <w:sz w:val="24"/>
              </w:rPr>
              <w:t>ljivi podatki, enakovredni CQS.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Te vrstice se poročajo le za stolpce 190, 210 do 270 ter stolpca 330 in 340.</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bl>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58" w:name="_Toc239157387"/>
      <w:bookmarkStart w:id="459" w:name="_Toc310415042"/>
      <w:bookmarkStart w:id="460" w:name="_Toc360188378"/>
      <w:bookmarkStart w:id="461" w:name="_Toc516210664"/>
      <w:bookmarkStart w:id="462" w:name="_Toc473560929"/>
      <w:bookmarkStart w:id="463" w:name="_Toc523474413"/>
      <w:r>
        <w:rPr>
          <w:rFonts w:ascii="Times New Roman" w:hAnsi="Times New Roman"/>
          <w:sz w:val="24"/>
          <w:u w:val="none"/>
        </w:rPr>
        <w:t>3.8.</w:t>
      </w:r>
      <w:r w:rsidR="003F40E8" w:rsidRPr="003F40E8">
        <w:rPr>
          <w:u w:val="none"/>
        </w:rPr>
        <w:tab/>
      </w:r>
      <w:r>
        <w:rPr>
          <w:rFonts w:ascii="Times New Roman" w:hAnsi="Times New Roman"/>
          <w:sz w:val="24"/>
        </w:rPr>
        <w:t>C 13.00 – Kreditno tveganje – Listinjenja: Pristop IRB h kapitalskim zahtevam</w:t>
      </w:r>
      <w:bookmarkEnd w:id="458"/>
      <w:bookmarkEnd w:id="459"/>
      <w:bookmarkEnd w:id="460"/>
      <w:r>
        <w:rPr>
          <w:rFonts w:ascii="Times New Roman" w:hAnsi="Times New Roman"/>
          <w:sz w:val="24"/>
        </w:rPr>
        <w:t xml:space="preserve"> (CR SEC IRB)</w:t>
      </w:r>
      <w:bookmarkEnd w:id="461"/>
      <w:bookmarkEnd w:id="462"/>
      <w:bookmarkEnd w:id="463"/>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64" w:name="_Toc239157388"/>
      <w:bookmarkStart w:id="465" w:name="_Toc310415043"/>
      <w:bookmarkStart w:id="466" w:name="_Toc360188379"/>
      <w:bookmarkStart w:id="467" w:name="_Toc516210665"/>
      <w:bookmarkStart w:id="468" w:name="_Toc473560930"/>
      <w:bookmarkStart w:id="469" w:name="_Toc523474414"/>
      <w:r>
        <w:rPr>
          <w:rFonts w:ascii="Times New Roman" w:hAnsi="Times New Roman"/>
          <w:sz w:val="24"/>
          <w:u w:val="none"/>
        </w:rPr>
        <w:t>3.8.1.</w:t>
      </w:r>
      <w:r w:rsidR="003F40E8" w:rsidRPr="003F40E8">
        <w:rPr>
          <w:u w:val="none"/>
        </w:rPr>
        <w:tab/>
      </w:r>
      <w:r>
        <w:rPr>
          <w:rFonts w:ascii="Times New Roman" w:hAnsi="Times New Roman"/>
          <w:sz w:val="24"/>
        </w:rPr>
        <w:t>Splošne opombe</w:t>
      </w:r>
      <w:bookmarkEnd w:id="464"/>
      <w:bookmarkEnd w:id="465"/>
      <w:bookmarkEnd w:id="466"/>
      <w:bookmarkEnd w:id="467"/>
      <w:bookmarkEnd w:id="468"/>
      <w:bookmarkEnd w:id="469"/>
    </w:p>
    <w:p w:rsidR="00612780" w:rsidRDefault="00125707" w:rsidP="00C37B29">
      <w:pPr>
        <w:pStyle w:val="InstructionsText2"/>
        <w:numPr>
          <w:ilvl w:val="0"/>
          <w:numId w:val="0"/>
        </w:numPr>
        <w:ind w:left="993"/>
      </w:pPr>
      <w:r>
        <w:t>104.</w:t>
      </w:r>
      <w:r>
        <w:tab/>
        <w:t>Informacije v tej predlogi se zahtevajo za vsa listinjenja, za katera se prizna prenos pomembnih tveganj in v katerih je institucija poročevalka vključena v listi</w:t>
      </w:r>
      <w:r>
        <w:t>n</w:t>
      </w:r>
      <w:r>
        <w:t>jenje, obravnavano v okviru pristopa IRB. Na referenčne datume poročanja po 1. januarju 2019 se listinjenja, pri katerih se zneski tveganju prilagojenih izposta</w:t>
      </w:r>
      <w:r>
        <w:t>v</w:t>
      </w:r>
      <w:r>
        <w:t>ljenosti določijo na podlagi revidiranega okvira za listinjenja, ne poročajo v tej pr</w:t>
      </w:r>
      <w:r>
        <w:t>e</w:t>
      </w:r>
      <w:r>
        <w:t>dlogi, temveč samo v predlogi C 02.00. Enako se na referenčne datume poročanja po 1. januarju 2019 pozicije v listinjenju, za katere se uporablja utež tveganja 1 250 % v skladu z revidiranim okvirom za listinjenja in ki se odbijejo od navadn</w:t>
      </w:r>
      <w:r>
        <w:t>e</w:t>
      </w:r>
      <w:r>
        <w:t>ga lastniškega temeljnega kapitala v skladu s členom 36(1)(k)(</w:t>
      </w:r>
      <w:proofErr w:type="spellStart"/>
      <w:r>
        <w:t>ii</w:t>
      </w:r>
      <w:proofErr w:type="spellEnd"/>
      <w:r>
        <w:t>) CRR, ne poročajo v tej predlogi, temveč samo v predlogi C 01.00.</w:t>
      </w:r>
    </w:p>
    <w:p w:rsidR="001D5403" w:rsidRDefault="00C67004" w:rsidP="00C37B29">
      <w:pPr>
        <w:pStyle w:val="InstructionsText2"/>
        <w:numPr>
          <w:ilvl w:val="0"/>
          <w:numId w:val="0"/>
        </w:numPr>
        <w:ind w:left="993"/>
      </w:pPr>
      <w:r>
        <w:t>104a. Za namene te predloge vsa sklicevanja na člene poglavja 5 naslova II dela 3 CRR pomenijo sklicevanja na različico CRR, ki je veljala 31. decembra 2018.</w:t>
      </w:r>
    </w:p>
    <w:p w:rsidR="00612780" w:rsidRPr="00392FFD" w:rsidRDefault="00125707" w:rsidP="00C37B29">
      <w:pPr>
        <w:pStyle w:val="InstructionsText2"/>
        <w:numPr>
          <w:ilvl w:val="0"/>
          <w:numId w:val="0"/>
        </w:numPr>
        <w:ind w:left="993"/>
      </w:pPr>
      <w:r>
        <w:t>105.</w:t>
      </w:r>
      <w:r>
        <w:tab/>
        <w:t>Informacije, ki jih je treba sporočiti, so odvisne od vloge institucije pri listinj</w:t>
      </w:r>
      <w:r>
        <w:t>e</w:t>
      </w:r>
      <w:r>
        <w:t xml:space="preserve">nju. Posebne poročevalske postavke se kot take uporabljajo za </w:t>
      </w:r>
      <w:proofErr w:type="spellStart"/>
      <w:r>
        <w:t>originatorje</w:t>
      </w:r>
      <w:proofErr w:type="spellEnd"/>
      <w:r>
        <w:t>, spo</w:t>
      </w:r>
      <w:r>
        <w:t>n</w:t>
      </w:r>
      <w:r>
        <w:t>zorje in investitorje.</w:t>
      </w:r>
    </w:p>
    <w:p w:rsidR="00612780" w:rsidRPr="00392FFD" w:rsidRDefault="00125707" w:rsidP="00C37B29">
      <w:pPr>
        <w:pStyle w:val="InstructionsText2"/>
        <w:numPr>
          <w:ilvl w:val="0"/>
          <w:numId w:val="0"/>
        </w:numPr>
        <w:ind w:left="993"/>
      </w:pPr>
      <w:r>
        <w:lastRenderedPageBreak/>
        <w:t>106.</w:t>
      </w:r>
      <w:r>
        <w:tab/>
        <w:t xml:space="preserve">Predloga CR SEC IRB ima enak obseg kot CR SEC SA, saj se v njej zbirajo skupne informacije o tradicionalnih in sintetičnih listinjenjih v netrgovalni knjigi. </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70" w:name="_Toc239157389"/>
      <w:bookmarkStart w:id="471" w:name="_Toc310415044"/>
      <w:bookmarkStart w:id="472" w:name="_Toc360188380"/>
      <w:bookmarkStart w:id="473" w:name="_Toc516210666"/>
      <w:bookmarkStart w:id="474" w:name="_Toc473560931"/>
      <w:bookmarkStart w:id="475" w:name="_Toc523474415"/>
      <w:r>
        <w:rPr>
          <w:rFonts w:ascii="Times New Roman" w:hAnsi="Times New Roman"/>
          <w:sz w:val="24"/>
          <w:u w:val="none"/>
        </w:rPr>
        <w:t>3.8.2.</w:t>
      </w:r>
      <w:r w:rsidR="003F40E8" w:rsidRPr="003F40E8">
        <w:rPr>
          <w:u w:val="none"/>
        </w:rPr>
        <w:tab/>
      </w:r>
      <w:r>
        <w:rPr>
          <w:rFonts w:ascii="Times New Roman" w:hAnsi="Times New Roman"/>
          <w:sz w:val="24"/>
        </w:rPr>
        <w:t>Navodila za posamezne pozicije</w:t>
      </w:r>
      <w:bookmarkEnd w:id="470"/>
      <w:bookmarkEnd w:id="471"/>
      <w:bookmarkEnd w:id="472"/>
      <w:bookmarkEnd w:id="473"/>
      <w:bookmarkEnd w:id="474"/>
      <w:bookmarkEnd w:id="475"/>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612780">
            <w:pPr>
              <w:autoSpaceDE w:val="0"/>
              <w:autoSpaceDN w:val="0"/>
              <w:adjustRightInd w:val="0"/>
              <w:spacing w:before="0" w:after="0"/>
              <w:ind w:left="426"/>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Stolpci</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903" w:type="dxa"/>
          </w:tcPr>
          <w:p w:rsidR="00612780" w:rsidRPr="00392FFD" w:rsidRDefault="00612780" w:rsidP="00612780">
            <w:pPr>
              <w:spacing w:before="0" w:after="0"/>
              <w:jc w:val="left"/>
              <w:rPr>
                <w:rFonts w:ascii="Times New Roman" w:hAnsi="Times New Roman"/>
                <w:sz w:val="24"/>
              </w:rPr>
            </w:pPr>
            <w:r>
              <w:rPr>
                <w:rFonts w:ascii="Times New Roman" w:hAnsi="Times New Roman"/>
                <w:b/>
                <w:sz w:val="24"/>
                <w:u w:val="single"/>
              </w:rPr>
              <w:t>SKUPAJ ZNESEK PRVOTNIH IZPOSTAVLJENOSTI V LISTINJENJU</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Za vrstico s skupno vrednostjo za bilančne postavke sporočeni znesek v tem stolpcu ustreza neporavnanemu znesku listinjenih izpostavljenosti na datum poročanja.</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Glej stolpec 010 predloge CR SEC SA.</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SINTETIČNA LISTINJENJA: KREDITNO ZAVAROVANJE ZA LI</w:t>
            </w:r>
            <w:r>
              <w:rPr>
                <w:rFonts w:ascii="Times New Roman" w:hAnsi="Times New Roman"/>
                <w:b/>
                <w:sz w:val="24"/>
                <w:u w:val="single"/>
              </w:rPr>
              <w:t>S</w:t>
            </w:r>
            <w:r>
              <w:rPr>
                <w:rFonts w:ascii="Times New Roman" w:hAnsi="Times New Roman"/>
                <w:b/>
                <w:sz w:val="24"/>
                <w:u w:val="single"/>
              </w:rPr>
              <w:t>TINJENE IZPOSTAVLJENOSTI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Člena 249 in 250 CRR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bCs/>
                <w:sz w:val="24"/>
              </w:rPr>
            </w:pPr>
            <w:r>
              <w:rPr>
                <w:rFonts w:ascii="Times New Roman" w:hAnsi="Times New Roman"/>
                <w:sz w:val="24"/>
              </w:rPr>
              <w:t xml:space="preserve">Neusklajenosti zapadlosti se ne upoštevajo pri prilagojeni vrednosti tehnik za zmanjševanje kreditnega tveganja iz strukture listinjenja. </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spacing w:before="0" w:after="0"/>
              <w:jc w:val="left"/>
              <w:rPr>
                <w:rFonts w:ascii="Times New Roman" w:hAnsi="Times New Roman"/>
                <w:b/>
                <w:strike/>
                <w:sz w:val="24"/>
                <w:u w:val="single"/>
              </w:rPr>
            </w:pPr>
            <w:r>
              <w:rPr>
                <w:rFonts w:ascii="Times New Roman" w:hAnsi="Times New Roman"/>
                <w:b/>
                <w:sz w:val="24"/>
                <w:u w:val="single"/>
              </w:rPr>
              <w:t>(–) STVARNO KREDITNO ZAVAROVANJE (C</w:t>
            </w:r>
            <w:r>
              <w:rPr>
                <w:rFonts w:ascii="Times New Roman" w:hAnsi="Times New Roman"/>
                <w:b/>
                <w:sz w:val="24"/>
                <w:u w:val="single"/>
                <w:vertAlign w:val="subscript"/>
              </w:rPr>
              <w:t>VA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Podroben postopek za izračun nestanovitnosti prilagojene vrednosti zavarova</w:t>
            </w:r>
            <w:r>
              <w:rPr>
                <w:rFonts w:ascii="Times New Roman" w:hAnsi="Times New Roman"/>
                <w:sz w:val="24"/>
              </w:rPr>
              <w:t>n</w:t>
            </w:r>
            <w:r>
              <w:rPr>
                <w:rFonts w:ascii="Times New Roman" w:hAnsi="Times New Roman"/>
                <w:sz w:val="24"/>
              </w:rPr>
              <w:t>ja s premoženjem (C</w:t>
            </w:r>
            <w:r>
              <w:rPr>
                <w:rFonts w:ascii="Times New Roman" w:hAnsi="Times New Roman"/>
                <w:sz w:val="24"/>
                <w:vertAlign w:val="subscript"/>
              </w:rPr>
              <w:t>VA</w:t>
            </w:r>
            <w:r>
              <w:rPr>
                <w:rFonts w:ascii="Times New Roman" w:hAnsi="Times New Roman"/>
                <w:sz w:val="24"/>
              </w:rPr>
              <w:t>), ki naj bi se sporočila v tem stolpcu, je opisan v členu 223(2) CRR.</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 SKUPAJ ODLIVI: PRILAGOJENE VREDNOSTI OSEBNEGA KREDITNEGA ZAVAROVANJA (G*)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sz w:val="24"/>
              </w:rPr>
              <w:t>Ob upoštevanju splošnega pravila za „prilive“ in „odlive“ so zneski, sporočeni v stolpcu 030 predloge CR SEC IRB, prikazani kot „prilivi“ v ustrezni predlogi za kreditno tveganje (CR SA ali CR IRB) in kategoriji izpostavljenosti, ustrezni za dajalca zavarovanja (tj. tretja oseba, na katero se tranša prenese z osebnim kreditnim zavarovanjem)</w:t>
            </w:r>
            <w:r>
              <w:rPr>
                <w:rFonts w:ascii="Times New Roman" w:hAnsi="Times New Roman"/>
                <w:i/>
                <w:sz w:val="24"/>
              </w:rPr>
              <w: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Postopek za izračun „valutnega tveganja“ – prilagojenega nominalnega zneska kreditnega zavarovanja (G*) je opisan v členu 233(3) uredbe o kreditnih zaht</w:t>
            </w:r>
            <w:r>
              <w:rPr>
                <w:rFonts w:ascii="Times New Roman" w:hAnsi="Times New Roman"/>
                <w:sz w:val="24"/>
              </w:rPr>
              <w:t>e</w:t>
            </w:r>
            <w:r>
              <w:rPr>
                <w:rFonts w:ascii="Times New Roman" w:hAnsi="Times New Roman"/>
                <w:sz w:val="24"/>
              </w:rPr>
              <w:t>vah.</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ZADRŽAN ALI ZAČASNO PRODAN HIPOTETIČNI ZNESEK KR</w:t>
            </w:r>
            <w:r>
              <w:rPr>
                <w:rFonts w:ascii="Times New Roman" w:hAnsi="Times New Roman"/>
                <w:b/>
                <w:sz w:val="24"/>
                <w:u w:val="single"/>
              </w:rPr>
              <w:t>E</w:t>
            </w:r>
            <w:r>
              <w:rPr>
                <w:rFonts w:ascii="Times New Roman" w:hAnsi="Times New Roman"/>
                <w:b/>
                <w:sz w:val="24"/>
                <w:u w:val="single"/>
              </w:rPr>
              <w:t>DITNEGA ZAVAROVANJA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Vse tranše, ki so bile zadržane ali odkupljene, npr. zadržane pozicije prve izg</w:t>
            </w:r>
            <w:r>
              <w:rPr>
                <w:rFonts w:ascii="Times New Roman" w:hAnsi="Times New Roman"/>
                <w:sz w:val="24"/>
              </w:rPr>
              <w:t>u</w:t>
            </w:r>
            <w:r>
              <w:rPr>
                <w:rFonts w:ascii="Times New Roman" w:hAnsi="Times New Roman"/>
                <w:sz w:val="24"/>
              </w:rPr>
              <w:t>be, se poročajo v nominalnem znesku.</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Učinek nadzorniških odbitkov v kreditnem zavarovanju se ne upošteva pri izr</w:t>
            </w:r>
            <w:r>
              <w:rPr>
                <w:rFonts w:ascii="Times New Roman" w:hAnsi="Times New Roman"/>
                <w:sz w:val="24"/>
              </w:rPr>
              <w:t>a</w:t>
            </w:r>
            <w:r>
              <w:rPr>
                <w:rFonts w:ascii="Times New Roman" w:hAnsi="Times New Roman"/>
                <w:sz w:val="24"/>
              </w:rPr>
              <w:t>čunu zadržanega ali začasno prodanega zneska kreditnega zavarovanja.</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050</w:t>
            </w:r>
          </w:p>
        </w:tc>
        <w:tc>
          <w:tcPr>
            <w:tcW w:w="7903" w:type="dxa"/>
          </w:tcPr>
          <w:p w:rsidR="00612780" w:rsidRPr="00672D2A" w:rsidRDefault="00612780" w:rsidP="00612780">
            <w:pPr>
              <w:spacing w:before="0" w:after="0"/>
              <w:rPr>
                <w:rFonts w:ascii="Times New Roman" w:hAnsi="Times New Roman"/>
                <w:b/>
                <w:sz w:val="24"/>
                <w:u w:val="single"/>
              </w:rPr>
            </w:pPr>
            <w:r>
              <w:rPr>
                <w:rFonts w:ascii="Times New Roman" w:hAnsi="Times New Roman"/>
                <w:b/>
                <w:sz w:val="24"/>
                <w:u w:val="single"/>
              </w:rPr>
              <w:t xml:space="preserve">POZICIJE V LISTINJENJU: ORIGINALNA IZPOSTAVLJENOST PRED UPORABO KONVERZIJSKIH FAKTORJEV </w:t>
            </w:r>
          </w:p>
          <w:p w:rsidR="00612780" w:rsidRPr="00672D2A"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Pozicije v listinjenju, ki jih ima institucija poročevalka, izračunane v skladu s členom 246(1)(b), (d) in (e) ter (2) CRR, pri čemer se ne uporabljajo kreditni </w:t>
            </w:r>
            <w:proofErr w:type="spellStart"/>
            <w:r>
              <w:rPr>
                <w:rFonts w:ascii="Times New Roman" w:hAnsi="Times New Roman"/>
                <w:sz w:val="24"/>
              </w:rPr>
              <w:t>konverzijski</w:t>
            </w:r>
            <w:proofErr w:type="spellEnd"/>
            <w:r>
              <w:rPr>
                <w:rFonts w:ascii="Times New Roman" w:hAnsi="Times New Roman"/>
                <w:sz w:val="24"/>
              </w:rPr>
              <w:t xml:space="preserve"> faktorji, niti upoštevajo prilagoditve vrednosti in rezervacij. Pobot zadeva le večstranske pogodbe o izvedenih finančnih instrumentih, zagotovlj</w:t>
            </w:r>
            <w:r>
              <w:rPr>
                <w:rFonts w:ascii="Times New Roman" w:hAnsi="Times New Roman"/>
                <w:sz w:val="24"/>
              </w:rPr>
              <w:t>e</w:t>
            </w:r>
            <w:r>
              <w:rPr>
                <w:rFonts w:ascii="Times New Roman" w:hAnsi="Times New Roman"/>
                <w:sz w:val="24"/>
              </w:rPr>
              <w:t xml:space="preserve">ne istemu subjektu s posebnim namenom pri listinjenju (SSPE), pri čemer jih krije ustrezna pogodba o pobotu.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Prilagoditve vrednosti in rezervacije, ki se poročajo v tem stolpcu, se nanašajo le na pozicije v listinjenju. Prilagoditve vrednosti listinjenih pozicij niso upo</w:t>
            </w:r>
            <w:r>
              <w:rPr>
                <w:rFonts w:ascii="Times New Roman" w:hAnsi="Times New Roman"/>
                <w:sz w:val="24"/>
              </w:rPr>
              <w:t>š</w:t>
            </w:r>
            <w:r>
              <w:rPr>
                <w:rFonts w:ascii="Times New Roman" w:hAnsi="Times New Roman"/>
                <w:sz w:val="24"/>
              </w:rPr>
              <w:t>tevane.</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V primeru klavzul o predčasnem odplačilu morajo institucije opredeliti znesek „udeležbe originatorja“, kot je opredeljeno v členu 256(2) CRR.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Pri sintetičnih listinjenjih so pozicije, ki jih ima v lasti originator v obliki bila</w:t>
            </w:r>
            <w:r>
              <w:rPr>
                <w:rFonts w:ascii="Times New Roman" w:hAnsi="Times New Roman"/>
                <w:sz w:val="24"/>
              </w:rPr>
              <w:t>n</w:t>
            </w:r>
            <w:r>
              <w:rPr>
                <w:rFonts w:ascii="Times New Roman" w:hAnsi="Times New Roman"/>
                <w:sz w:val="24"/>
              </w:rPr>
              <w:t>čnih postavk in/ali udeležbe investitorja (predčasno odplačilo), rezultat združi</w:t>
            </w:r>
            <w:r>
              <w:rPr>
                <w:rFonts w:ascii="Times New Roman" w:hAnsi="Times New Roman"/>
                <w:sz w:val="24"/>
              </w:rPr>
              <w:t>t</w:t>
            </w:r>
            <w:r>
              <w:rPr>
                <w:rFonts w:ascii="Times New Roman" w:hAnsi="Times New Roman"/>
                <w:sz w:val="24"/>
              </w:rPr>
              <w:t>ve stolpcev 010 do 040.</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060–090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TEHNIKE ZA ZMANJŠEVANJE KREDITNEGA TVEGANJA (CRM) Z UČINKI ZAMENJAVE NA IZPOSTAVLJENOST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Glej člen 4(1)(57) in poglavje 4 naslova II dela 3 CRR.</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 tem sklopu stolpcev se zbirajo informacije o tehnikah za zmanjševanje kred</w:t>
            </w:r>
            <w:r>
              <w:rPr>
                <w:rFonts w:ascii="Times New Roman" w:hAnsi="Times New Roman"/>
                <w:sz w:val="24"/>
              </w:rPr>
              <w:t>i</w:t>
            </w:r>
            <w:r>
              <w:rPr>
                <w:rFonts w:ascii="Times New Roman" w:hAnsi="Times New Roman"/>
                <w:sz w:val="24"/>
              </w:rPr>
              <w:t>tnega tveganja, s katerimi se zmanjšuje kreditno tveganje izpostavljenosti prek zamenjave izpostavljenosti (kot je opredeljeno spodaj za Prilive in Odlive).</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060</w:t>
            </w:r>
          </w:p>
        </w:tc>
        <w:tc>
          <w:tcPr>
            <w:tcW w:w="7903" w:type="dxa"/>
          </w:tcPr>
          <w:p w:rsidR="00612780" w:rsidRPr="00392FFD" w:rsidRDefault="00C57F07" w:rsidP="00612780">
            <w:pPr>
              <w:spacing w:before="0" w:after="0"/>
              <w:jc w:val="left"/>
              <w:rPr>
                <w:rFonts w:ascii="Times New Roman" w:hAnsi="Times New Roman"/>
                <w:b/>
                <w:sz w:val="24"/>
                <w:u w:val="single"/>
              </w:rPr>
            </w:pPr>
            <w:r>
              <w:rPr>
                <w:rFonts w:ascii="Times New Roman" w:hAnsi="Times New Roman"/>
                <w:b/>
                <w:sz w:val="24"/>
                <w:u w:val="single"/>
              </w:rPr>
              <w:t>(–) OSEBNO KREDITNO ZAVAROVANJE: PRILAGOJENE VRE</w:t>
            </w:r>
            <w:r>
              <w:rPr>
                <w:rFonts w:ascii="Times New Roman" w:hAnsi="Times New Roman"/>
                <w:b/>
                <w:sz w:val="24"/>
                <w:u w:val="single"/>
              </w:rPr>
              <w:t>D</w:t>
            </w:r>
            <w:r>
              <w:rPr>
                <w:rFonts w:ascii="Times New Roman" w:hAnsi="Times New Roman"/>
                <w:b/>
                <w:sz w:val="24"/>
                <w:u w:val="single"/>
              </w:rPr>
              <w:t>NOSTI (G</w:t>
            </w:r>
            <w:r>
              <w:rPr>
                <w:rFonts w:ascii="Times New Roman" w:hAnsi="Times New Roman"/>
                <w:b/>
                <w:sz w:val="24"/>
                <w:u w:val="single"/>
                <w:vertAlign w:val="subscript"/>
              </w:rPr>
              <w:t>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Osebno kreditno zavarovanje je opredeljeno v členu 4(1)(59)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 členu 236 CRR je opisan postopek izračuna G</w:t>
            </w:r>
            <w:r>
              <w:rPr>
                <w:rFonts w:ascii="Times New Roman" w:hAnsi="Times New Roman"/>
                <w:sz w:val="24"/>
                <w:vertAlign w:val="subscript"/>
              </w:rPr>
              <w:t>A</w:t>
            </w:r>
            <w:r>
              <w:rPr>
                <w:rFonts w:ascii="Times New Roman" w:hAnsi="Times New Roman"/>
                <w:sz w:val="24"/>
              </w:rPr>
              <w:t xml:space="preserve"> v primeru polnega zavarov</w:t>
            </w:r>
            <w:r>
              <w:rPr>
                <w:rFonts w:ascii="Times New Roman" w:hAnsi="Times New Roman"/>
                <w:sz w:val="24"/>
              </w:rPr>
              <w:t>a</w:t>
            </w:r>
            <w:r>
              <w:rPr>
                <w:rFonts w:ascii="Times New Roman" w:hAnsi="Times New Roman"/>
                <w:sz w:val="24"/>
              </w:rPr>
              <w:t>nja/delnega zavarovanja – enakovredno.</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sz w:val="24"/>
              </w:rPr>
              <w:t>Ta informacija se nanaša na stolpca 040 in 050 predloge CR IRB.</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070</w:t>
            </w:r>
          </w:p>
        </w:tc>
        <w:tc>
          <w:tcPr>
            <w:tcW w:w="7903" w:type="dxa"/>
          </w:tcPr>
          <w:p w:rsidR="00612780" w:rsidRPr="00392FFD" w:rsidRDefault="00C57F07" w:rsidP="00612780">
            <w:pPr>
              <w:spacing w:before="0" w:after="0"/>
              <w:rPr>
                <w:rFonts w:ascii="Times New Roman" w:hAnsi="Times New Roman"/>
                <w:b/>
                <w:sz w:val="24"/>
                <w:u w:val="single"/>
              </w:rPr>
            </w:pPr>
            <w:r>
              <w:rPr>
                <w:rFonts w:ascii="Times New Roman" w:hAnsi="Times New Roman"/>
                <w:b/>
                <w:sz w:val="24"/>
                <w:u w:val="single"/>
              </w:rPr>
              <w:t>(–) STVARNO KREDITNO ZAVAROVANJE</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Stvarno kreditno zavarovanje je opredeljeno v členu 4(1)(58) CRR.</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Ker se enostavna metoda za zavarovanje s finančnim premoženjem ne upora</w:t>
            </w:r>
            <w:r>
              <w:rPr>
                <w:rFonts w:ascii="Times New Roman" w:hAnsi="Times New Roman"/>
                <w:sz w:val="24"/>
              </w:rPr>
              <w:t>b</w:t>
            </w:r>
            <w:r>
              <w:rPr>
                <w:rFonts w:ascii="Times New Roman" w:hAnsi="Times New Roman"/>
                <w:sz w:val="24"/>
              </w:rPr>
              <w:t>lja, se v tem stolpcu sporoči le stvarno kreditno zavarovanje v skladu s členom 200 CRR.</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Ta informacija se nanaša na stolpec 060 predloge CR IRB.</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080–090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ZAMENJAVA IZPOSTAVLJENOSTI ZARADI ZMANJŠEVANJA KREDITNEGA TVEGANJA</w:t>
            </w:r>
          </w:p>
          <w:p w:rsidR="00612780" w:rsidRPr="00392FFD" w:rsidRDefault="00612780" w:rsidP="00612780">
            <w:pPr>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Poročajo se tudi prilivi in odlivi v okviru iste kategorije izpostavljenosti, po potrebi pa tudi v okviru uteži tveganja ali bonitetnih razredov dolžnika.</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SKUPAJ ODLIVI:</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Člen 236 CRR.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Odlivi ustrezajo kritemu delu „Izpostavljenosti z odštetimi prilagoditvami vr</w:t>
            </w:r>
            <w:r>
              <w:rPr>
                <w:rFonts w:ascii="Times New Roman" w:hAnsi="Times New Roman"/>
                <w:sz w:val="24"/>
              </w:rPr>
              <w:t>e</w:t>
            </w:r>
            <w:r>
              <w:rPr>
                <w:rFonts w:ascii="Times New Roman" w:hAnsi="Times New Roman"/>
                <w:sz w:val="24"/>
              </w:rPr>
              <w:t xml:space="preserve">dnosti in rezervacijami“, ki se odbije od kategorije izpostavljenosti dolžnika in po potrebi od uteži tveganja ali bonitetnega razreda dolžnika ter nato razvrsti v kategorijo izpostavljenosti dajalca zavarovanja in po potrebi v utež tveganja ali bonitetni razred dolžnika.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Ta znesek se obravnava kot priliv v kategorijo izpostavljenosti dajalca zavar</w:t>
            </w:r>
            <w:r>
              <w:rPr>
                <w:rFonts w:ascii="Times New Roman" w:hAnsi="Times New Roman"/>
                <w:sz w:val="24"/>
              </w:rPr>
              <w:t>o</w:t>
            </w:r>
            <w:r>
              <w:rPr>
                <w:rFonts w:ascii="Times New Roman" w:hAnsi="Times New Roman"/>
                <w:sz w:val="24"/>
              </w:rPr>
              <w:t>vanja, po potrebi pa tudi v uteži tveganja ali bonitetne razrede dolžnika.</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Ta informacija se nanaša na stolpec 070 predloge CR IRB.</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090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SKUPAJ PRILIVI</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Ta informacija se nanaša na stolpec 080 predloge CR IRB.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IZPOSTAVLJENOST PO UČINKIH ZAMENJAVE ZARADI ZMAN</w:t>
            </w:r>
            <w:r>
              <w:rPr>
                <w:rStyle w:val="InstructionsTabelleberschrift"/>
                <w:rFonts w:ascii="Times New Roman" w:hAnsi="Times New Roman"/>
                <w:sz w:val="24"/>
              </w:rPr>
              <w:t>J</w:t>
            </w:r>
            <w:r>
              <w:rPr>
                <w:rStyle w:val="InstructionsTabelleberschrift"/>
                <w:rFonts w:ascii="Times New Roman" w:hAnsi="Times New Roman"/>
                <w:sz w:val="24"/>
              </w:rPr>
              <w:t>ŠEVANJA KREDITNEGA TVEGANJA PRED UPORABO KONVE</w:t>
            </w:r>
            <w:r>
              <w:rPr>
                <w:rStyle w:val="InstructionsTabelleberschrift"/>
                <w:rFonts w:ascii="Times New Roman" w:hAnsi="Times New Roman"/>
                <w:sz w:val="24"/>
              </w:rPr>
              <w:t>R</w:t>
            </w:r>
            <w:r>
              <w:rPr>
                <w:rStyle w:val="InstructionsTabelleberschrift"/>
                <w:rFonts w:ascii="Times New Roman" w:hAnsi="Times New Roman"/>
                <w:sz w:val="24"/>
              </w:rPr>
              <w:t>ZIJSKIH FAKTORJEV</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Izpostavljenost, ki se dodeli v ustrezno utež tveganja in kategorijo izpostavlj</w:t>
            </w:r>
            <w:r>
              <w:rPr>
                <w:rStyle w:val="FormatvorlageInstructionsTabelleText"/>
                <w:rFonts w:ascii="Times New Roman" w:hAnsi="Times New Roman"/>
                <w:sz w:val="24"/>
              </w:rPr>
              <w:t>e</w:t>
            </w:r>
            <w:r>
              <w:rPr>
                <w:rStyle w:val="FormatvorlageInstructionsTabelleText"/>
                <w:rFonts w:ascii="Times New Roman" w:hAnsi="Times New Roman"/>
                <w:sz w:val="24"/>
              </w:rPr>
              <w:t>nosti po upoštevanju odlivov in prilivov zaradi „Tehnik za zmanjševanje kred</w:t>
            </w:r>
            <w:r>
              <w:rPr>
                <w:rStyle w:val="FormatvorlageInstructionsTabelleText"/>
                <w:rFonts w:ascii="Times New Roman" w:hAnsi="Times New Roman"/>
                <w:sz w:val="24"/>
              </w:rPr>
              <w:t>i</w:t>
            </w:r>
            <w:r>
              <w:rPr>
                <w:rStyle w:val="FormatvorlageInstructionsTabelleText"/>
                <w:rFonts w:ascii="Times New Roman" w:hAnsi="Times New Roman"/>
                <w:sz w:val="24"/>
              </w:rPr>
              <w:t>tnega tveganja (CRM) z učinki zamenjave na izpostavljenost“.</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Ta informacija se nanaša na stolpec 090 predloge CR IRB.</w:t>
            </w:r>
          </w:p>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TEHNIKE ZA ZMANJŠEVANJE KREDITNEGA TVEGANJA, KI VPLIVAJO NA ZNESEK IZPOSTAVLJENOSTI: PRILAGOJENA VREDNOST METODE ZA IZRAČUN UČINKOV ZAVAROVANJA S FINANČNIM PREMOŽENJEM PRI STVARNEM KREDITNEM ZAVAROVANJU (CVAM)</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FormatvorlageInstructionsTabelleText"/>
                <w:rFonts w:ascii="Times New Roman" w:hAnsi="Times New Roman"/>
                <w:sz w:val="24"/>
              </w:rPr>
              <w:t>Členi 218 do 222 CRR. Ta postavka zajema tudi kreditne zapise (člen 218 CRR).</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POPOLNOMA PRILAGOJENA VREDNOST IZPOSTAVLJENOSTI (E*)</w:t>
            </w:r>
          </w:p>
          <w:p w:rsidR="00612780" w:rsidRPr="00392FFD" w:rsidRDefault="00612780" w:rsidP="00612780">
            <w:pPr>
              <w:pStyle w:val="Heading1"/>
              <w:rPr>
                <w:rFonts w:ascii="Times New Roman" w:eastAsia="Times New Roman" w:hAnsi="Times New Roman"/>
                <w:sz w:val="24"/>
                <w:szCs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Pozicije v listinjenju v skladu s členom 246 CRR, pri katerih se torej ne upora</w:t>
            </w:r>
            <w:r>
              <w:rPr>
                <w:rFonts w:ascii="Times New Roman" w:hAnsi="Times New Roman"/>
                <w:sz w:val="24"/>
              </w:rPr>
              <w:t>b</w:t>
            </w:r>
            <w:r>
              <w:rPr>
                <w:rFonts w:ascii="Times New Roman" w:hAnsi="Times New Roman"/>
                <w:sz w:val="24"/>
              </w:rPr>
              <w:t xml:space="preserve">ljajo </w:t>
            </w:r>
            <w:proofErr w:type="spellStart"/>
            <w:r>
              <w:rPr>
                <w:rFonts w:ascii="Times New Roman" w:hAnsi="Times New Roman"/>
                <w:sz w:val="24"/>
              </w:rPr>
              <w:t>konverzijski</w:t>
            </w:r>
            <w:proofErr w:type="spellEnd"/>
            <w:r>
              <w:rPr>
                <w:rFonts w:ascii="Times New Roman" w:hAnsi="Times New Roman"/>
                <w:sz w:val="24"/>
              </w:rPr>
              <w:t xml:space="preserve"> faktorji iz člena 246(1)(c) CRR.</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130–160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RAZČLENITEV POPOLNOMA PRILAGOJENE VREDNOSTI IZPO</w:t>
            </w:r>
            <w:r>
              <w:rPr>
                <w:rFonts w:ascii="Times New Roman" w:hAnsi="Times New Roman"/>
                <w:b/>
                <w:sz w:val="24"/>
                <w:u w:val="single"/>
              </w:rPr>
              <w:t>S</w:t>
            </w:r>
            <w:r>
              <w:rPr>
                <w:rFonts w:ascii="Times New Roman" w:hAnsi="Times New Roman"/>
                <w:b/>
                <w:sz w:val="24"/>
                <w:u w:val="single"/>
              </w:rPr>
              <w:t xml:space="preserve">TAVLJENOSTI (E*) ZUNAJBILANČNIH POSTAVK GLEDE NA </w:t>
            </w:r>
            <w:r>
              <w:rPr>
                <w:rFonts w:ascii="Times New Roman" w:hAnsi="Times New Roman"/>
                <w:b/>
                <w:sz w:val="24"/>
                <w:u w:val="single"/>
              </w:rPr>
              <w:lastRenderedPageBreak/>
              <w:t>KONVERZIJSKE FAKTORJE</w:t>
            </w:r>
          </w:p>
          <w:p w:rsidR="00612780" w:rsidRPr="00392FFD" w:rsidRDefault="00612780" w:rsidP="00612780">
            <w:pPr>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Člen 246(1)(c) CRR določa, da je vrednost izpostavljenosti zunajbilančne poz</w:t>
            </w:r>
            <w:r>
              <w:rPr>
                <w:rFonts w:ascii="Times New Roman" w:hAnsi="Times New Roman"/>
                <w:sz w:val="24"/>
              </w:rPr>
              <w:t>i</w:t>
            </w:r>
            <w:r>
              <w:rPr>
                <w:rFonts w:ascii="Times New Roman" w:hAnsi="Times New Roman"/>
                <w:sz w:val="24"/>
              </w:rPr>
              <w:t xml:space="preserve">cije v listinjenju enaka njeni nominalni vrednosti, pomnoženi s </w:t>
            </w:r>
            <w:proofErr w:type="spellStart"/>
            <w:r>
              <w:rPr>
                <w:rFonts w:ascii="Times New Roman" w:hAnsi="Times New Roman"/>
                <w:sz w:val="24"/>
              </w:rPr>
              <w:t>konverzijsko</w:t>
            </w:r>
            <w:proofErr w:type="spellEnd"/>
            <w:r>
              <w:rPr>
                <w:rFonts w:ascii="Times New Roman" w:hAnsi="Times New Roman"/>
                <w:sz w:val="24"/>
              </w:rPr>
              <w:t xml:space="preserve"> vrednostjo. Konverzijska vrednost znaša 100 %, razen če ni določeno drugače.</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V zvezi s tem je </w:t>
            </w:r>
            <w:proofErr w:type="spellStart"/>
            <w:r>
              <w:rPr>
                <w:rFonts w:ascii="Times New Roman" w:hAnsi="Times New Roman"/>
                <w:sz w:val="24"/>
              </w:rPr>
              <w:t>konverzijski</w:t>
            </w:r>
            <w:proofErr w:type="spellEnd"/>
            <w:r>
              <w:rPr>
                <w:rFonts w:ascii="Times New Roman" w:hAnsi="Times New Roman"/>
                <w:sz w:val="24"/>
              </w:rPr>
              <w:t xml:space="preserve"> faktor opredeljen v členu 4(1)(56) CRR.</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Za namene poročanja se polno prilagojene vrednosti izpostavljenosti (E*) por</w:t>
            </w:r>
            <w:r>
              <w:rPr>
                <w:rFonts w:ascii="Times New Roman" w:hAnsi="Times New Roman"/>
                <w:sz w:val="24"/>
              </w:rPr>
              <w:t>o</w:t>
            </w:r>
            <w:r>
              <w:rPr>
                <w:rFonts w:ascii="Times New Roman" w:hAnsi="Times New Roman"/>
                <w:sz w:val="24"/>
              </w:rPr>
              <w:t>čajo v skladu z naslednjimi štirimi medsebojno izključujočimi se intervali ko</w:t>
            </w:r>
            <w:r>
              <w:rPr>
                <w:rFonts w:ascii="Times New Roman" w:hAnsi="Times New Roman"/>
                <w:sz w:val="24"/>
              </w:rPr>
              <w:t>n</w:t>
            </w:r>
            <w:r>
              <w:rPr>
                <w:rFonts w:ascii="Times New Roman" w:hAnsi="Times New Roman"/>
                <w:sz w:val="24"/>
              </w:rPr>
              <w:t>verzijskih faktorjev: 0 %, [0 %, 20 %], [20 %, 50 %] in [50 %, 100 %].</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170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VREDNOST IZPOSTAVLJENOSTI</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Pozicije v listinjenju v skladu s členom 246 CRR.</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Ta informacija se nanaša na stolpec 110 predloge CR IRB. </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VREDNOST IZPOSTAVLJENOSTI KOT ODBITNE POSTAVKE KAPITALA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Člen 266(3) CRR določa, da lahko institucije namesto vključitve pozicije v li</w:t>
            </w:r>
            <w:r>
              <w:rPr>
                <w:rFonts w:ascii="Times New Roman" w:hAnsi="Times New Roman"/>
                <w:sz w:val="24"/>
              </w:rPr>
              <w:t>s</w:t>
            </w:r>
            <w:r>
              <w:rPr>
                <w:rFonts w:ascii="Times New Roman" w:hAnsi="Times New Roman"/>
                <w:sz w:val="24"/>
              </w:rPr>
              <w:t>tinjenju, za katero se uporablja utež tveganja 1250 %, v svoje izračune zneskov tveganju prilagojenih izpostavljenosti, v zvezi s to pozicijo odbijejo vrednost izpostavljenosti pozicije od kapitala.</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VREDNOST IZPOSTAVLJENOSTI, ZA KATERO SE UPORABI UTEŽ TVEGANJA</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200–320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METODA NA PODLAGI BONITETNIH OCEN (STOPNJE KREDITNE KAKOVOSTI)</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Člen 261 CRR.</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Pozicije v listinjenju IRB s povzeto bonitetno oceno v skladu s členom 259(2) CRR se poročajo kot pozicije z oceno.</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Vrednosti izpostavljenosti, za katere se uporabi utež tveganja, so razčlenjene glede na stopnje kreditne kakovosti (CQS), kot se predvideva za pristop IRB v razpredelnici 4 člena 261(1) CRR. </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METODA NADZORNIŠKE FORMULE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Za metodo nadzorniške formule (SFM) glej člen 262 CRR.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Utež tveganja za pozicijo v listinjenju je večja od 7 % ali uteži tveganja, ki se uporabi v skladu s predloženimi formulami. </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METODA NADZORNIŠKE FORMULE: POVPREČNA UTEŽ TVEG</w:t>
            </w:r>
            <w:r>
              <w:rPr>
                <w:rFonts w:ascii="Times New Roman" w:hAnsi="Times New Roman"/>
                <w:b/>
                <w:sz w:val="24"/>
                <w:u w:val="single"/>
              </w:rPr>
              <w:t>A</w:t>
            </w:r>
            <w:r>
              <w:rPr>
                <w:rFonts w:ascii="Times New Roman" w:hAnsi="Times New Roman"/>
                <w:b/>
                <w:sz w:val="24"/>
                <w:u w:val="single"/>
              </w:rPr>
              <w:t>NJA</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lastRenderedPageBreak/>
              <w:t>Zmanjševanje kreditnega tveganja pri pozicijah v listinjenju se lahko pripozna v skladu s členom 264 CRR. V tem primeru institucija določi „efektivno utež tveganja“ pozicije, kadar je bilo prejeto popolno zavarovanje, v skladu z dolo</w:t>
            </w:r>
            <w:r>
              <w:rPr>
                <w:rFonts w:ascii="Times New Roman" w:hAnsi="Times New Roman"/>
                <w:sz w:val="24"/>
              </w:rPr>
              <w:t>č</w:t>
            </w:r>
            <w:r>
              <w:rPr>
                <w:rFonts w:ascii="Times New Roman" w:hAnsi="Times New Roman"/>
                <w:sz w:val="24"/>
              </w:rPr>
              <w:t>bami člena 264(2) CRR (efektivna utež tveganja je enakovredna znesku tvega</w:t>
            </w:r>
            <w:r>
              <w:rPr>
                <w:rFonts w:ascii="Times New Roman" w:hAnsi="Times New Roman"/>
                <w:sz w:val="24"/>
              </w:rPr>
              <w:t>n</w:t>
            </w:r>
            <w:r>
              <w:rPr>
                <w:rFonts w:ascii="Times New Roman" w:hAnsi="Times New Roman"/>
                <w:sz w:val="24"/>
              </w:rPr>
              <w:t>ju prilagojenih izpostavljenosti pozicije, ki se deli z vrednostjo izpostavljenosti pozicije, nato pa se pomnoži s 100).</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Kadar se za pozicijo uporablja delno zavarovanje, mora institucija uporabiti metodo nadzorniške formule z uporabo „T“, prilagojenega v skladu z določb</w:t>
            </w:r>
            <w:r>
              <w:rPr>
                <w:rFonts w:ascii="Times New Roman" w:hAnsi="Times New Roman"/>
                <w:sz w:val="24"/>
              </w:rPr>
              <w:t>a</w:t>
            </w:r>
            <w:r>
              <w:rPr>
                <w:rFonts w:ascii="Times New Roman" w:hAnsi="Times New Roman"/>
                <w:sz w:val="24"/>
              </w:rPr>
              <w:t>mi člena 264(3) CRR.</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 tem stolpcu se sporoči tehtano povprečje uteži tveganja.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350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VPOGLED</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Stolpci z vpogledom zajemajo vse primere neocenjenih izpostavljenosti, kadar se utež tveganja pridobi na podlagi osnovnega portfelja izpostavljenosti (najvi</w:t>
            </w:r>
            <w:r>
              <w:rPr>
                <w:rFonts w:ascii="Times New Roman" w:hAnsi="Times New Roman"/>
                <w:sz w:val="24"/>
              </w:rPr>
              <w:t>š</w:t>
            </w:r>
            <w:r>
              <w:rPr>
                <w:rFonts w:ascii="Times New Roman" w:hAnsi="Times New Roman"/>
                <w:sz w:val="24"/>
              </w:rPr>
              <w:t>ja utež tveganja skupine).</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Člen 263(2) in (3) CRR določa izredno obravnavo, kadar ni mogoče izračunati vrednosti </w:t>
            </w:r>
            <w:proofErr w:type="spellStart"/>
            <w:r>
              <w:rPr>
                <w:rFonts w:ascii="Times New Roman" w:hAnsi="Times New Roman"/>
                <w:sz w:val="24"/>
              </w:rPr>
              <w:t>K</w:t>
            </w:r>
            <w:r>
              <w:rPr>
                <w:rFonts w:ascii="Times New Roman" w:hAnsi="Times New Roman"/>
                <w:sz w:val="24"/>
                <w:vertAlign w:val="subscript"/>
              </w:rPr>
              <w:t>irb</w:t>
            </w:r>
            <w:proofErr w:type="spellEnd"/>
            <w:r>
              <w:rPr>
                <w:rFonts w:ascii="Times New Roman" w:hAnsi="Times New Roman"/>
                <w:sz w:val="24"/>
              </w:rPr>
              <w:t>.</w:t>
            </w:r>
          </w:p>
          <w:p w:rsidR="00612780" w:rsidRPr="00392FFD" w:rsidRDefault="00612780" w:rsidP="00612780">
            <w:pPr>
              <w:spacing w:before="0" w:after="0"/>
              <w:rPr>
                <w:rFonts w:ascii="Times New Roman" w:hAnsi="Times New Roman"/>
                <w:i/>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Nečrpani znesek okvirnih likvidnostnih kreditov se sporoči v okviru „Zunajb</w:t>
            </w:r>
            <w:r>
              <w:rPr>
                <w:rFonts w:ascii="Times New Roman" w:hAnsi="Times New Roman"/>
                <w:sz w:val="24"/>
              </w:rPr>
              <w:t>i</w:t>
            </w:r>
            <w:r>
              <w:rPr>
                <w:rFonts w:ascii="Times New Roman" w:hAnsi="Times New Roman"/>
                <w:sz w:val="24"/>
              </w:rPr>
              <w:t>lančnih postavk in izvedenih finančnih instrumentov“.</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Dokler bi se za originatorja uporabljala posebna obravnava, kadar ni mogoče izračunati </w:t>
            </w:r>
            <w:proofErr w:type="spellStart"/>
            <w:r>
              <w:rPr>
                <w:rFonts w:ascii="Times New Roman" w:hAnsi="Times New Roman"/>
                <w:sz w:val="24"/>
              </w:rPr>
              <w:t>K</w:t>
            </w:r>
            <w:r>
              <w:rPr>
                <w:rFonts w:ascii="Times New Roman" w:hAnsi="Times New Roman"/>
                <w:sz w:val="24"/>
                <w:vertAlign w:val="subscript"/>
              </w:rPr>
              <w:t>irb</w:t>
            </w:r>
            <w:proofErr w:type="spellEnd"/>
            <w:r>
              <w:rPr>
                <w:rFonts w:ascii="Times New Roman" w:hAnsi="Times New Roman"/>
                <w:sz w:val="24"/>
              </w:rPr>
              <w:t>, bi bil stolpec 350 pravi stolpec za sporočanje obravnave s teht</w:t>
            </w:r>
            <w:r>
              <w:rPr>
                <w:rFonts w:ascii="Times New Roman" w:hAnsi="Times New Roman"/>
                <w:sz w:val="24"/>
              </w:rPr>
              <w:t>a</w:t>
            </w:r>
            <w:r>
              <w:rPr>
                <w:rFonts w:ascii="Times New Roman" w:hAnsi="Times New Roman"/>
                <w:sz w:val="24"/>
              </w:rPr>
              <w:t>njem za vrednost izpostavljenosti okvirnih likvidnostnih kreditov, ki so pre</w:t>
            </w:r>
            <w:r>
              <w:rPr>
                <w:rFonts w:ascii="Times New Roman" w:hAnsi="Times New Roman"/>
                <w:sz w:val="24"/>
              </w:rPr>
              <w:t>d</w:t>
            </w:r>
            <w:r>
              <w:rPr>
                <w:rFonts w:ascii="Times New Roman" w:hAnsi="Times New Roman"/>
                <w:sz w:val="24"/>
              </w:rPr>
              <w:t>met obravnave iz člena 263 CRR.</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Predčasna odplačila so opisana v členu 256(5) in členu 265 CRR.</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VPOGLED: POVPREČNA UTEŽ TVEGANJA</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Predloži se z vrednostjo izpostavljenosti tehtano povprečje uteži tveganja.</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PRISTOP NOTRANJEGA OCENJEVANJA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Člen 259(3) in (4) CRR določa „pristop notranjega ocenjevanja“ (IAA) za pozicije v programih ABCP.</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PRISTOP NOTRANJEGA OCENJEVANJA: POVPREČNA UTEŽ TVEGANJA</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V tem stolpcu se sporoči tehtano povprečje uteži tveganja.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ZMANJŠANJE ZNESKA TVEGANJU PRILAGOJENIH IZPOST</w:t>
            </w:r>
            <w:r>
              <w:rPr>
                <w:rFonts w:ascii="Times New Roman" w:hAnsi="Times New Roman"/>
                <w:b/>
                <w:sz w:val="24"/>
                <w:u w:val="single"/>
              </w:rPr>
              <w:t>A</w:t>
            </w:r>
            <w:r>
              <w:rPr>
                <w:rFonts w:ascii="Times New Roman" w:hAnsi="Times New Roman"/>
                <w:b/>
                <w:sz w:val="24"/>
                <w:u w:val="single"/>
              </w:rPr>
              <w:t>VLJENOSTI ZARADI PRILAGODITEV VREDNOSTI IN REZERV</w:t>
            </w:r>
            <w:r>
              <w:rPr>
                <w:rFonts w:ascii="Times New Roman" w:hAnsi="Times New Roman"/>
                <w:b/>
                <w:sz w:val="24"/>
                <w:u w:val="single"/>
              </w:rPr>
              <w:t>A</w:t>
            </w:r>
            <w:r>
              <w:rPr>
                <w:rFonts w:ascii="Times New Roman" w:hAnsi="Times New Roman"/>
                <w:b/>
                <w:sz w:val="24"/>
                <w:u w:val="single"/>
              </w:rPr>
              <w:t xml:space="preserve">CIJ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Institucije, ki uporabljajo pristop IRB, ravnajo v skladu s členom 266(1) (up</w:t>
            </w:r>
            <w:r>
              <w:rPr>
                <w:rFonts w:ascii="Times New Roman" w:hAnsi="Times New Roman"/>
                <w:sz w:val="24"/>
              </w:rPr>
              <w:t>o</w:t>
            </w:r>
            <w:r>
              <w:rPr>
                <w:rFonts w:ascii="Times New Roman" w:hAnsi="Times New Roman"/>
                <w:sz w:val="24"/>
              </w:rPr>
              <w:t xml:space="preserve">rablja se le za </w:t>
            </w:r>
            <w:proofErr w:type="spellStart"/>
            <w:r>
              <w:rPr>
                <w:rFonts w:ascii="Times New Roman" w:hAnsi="Times New Roman"/>
                <w:sz w:val="24"/>
              </w:rPr>
              <w:t>originatorje</w:t>
            </w:r>
            <w:proofErr w:type="spellEnd"/>
            <w:r>
              <w:rPr>
                <w:rFonts w:ascii="Times New Roman" w:hAnsi="Times New Roman"/>
                <w:sz w:val="24"/>
              </w:rPr>
              <w:t>, kadar izpostavljenost ni odbita od kapitala) in (2)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Prilagoditve vrednosti in rezervacije (člen 159 CRR) za kreditne izgube, nastale v skladu z računovodskim okvirom, ki se uporablja za subjekt, ki poroča. Pril</w:t>
            </w:r>
            <w:r>
              <w:rPr>
                <w:rFonts w:ascii="Times New Roman" w:hAnsi="Times New Roman"/>
                <w:sz w:val="24"/>
              </w:rPr>
              <w:t>a</w:t>
            </w:r>
            <w:r>
              <w:rPr>
                <w:rFonts w:ascii="Times New Roman" w:hAnsi="Times New Roman"/>
                <w:sz w:val="24"/>
              </w:rPr>
              <w:t>goditve vrednosti zajemajo vse zneske, pripoznane v poslovnem izidu za kred</w:t>
            </w:r>
            <w:r>
              <w:rPr>
                <w:rFonts w:ascii="Times New Roman" w:hAnsi="Times New Roman"/>
                <w:sz w:val="24"/>
              </w:rPr>
              <w:t>i</w:t>
            </w:r>
            <w:r>
              <w:rPr>
                <w:rFonts w:ascii="Times New Roman" w:hAnsi="Times New Roman"/>
                <w:sz w:val="24"/>
              </w:rPr>
              <w:t>tne izgube finančnih sredstev od njihovega začetnega pripoznanja v bilanci st</w:t>
            </w:r>
            <w:r>
              <w:rPr>
                <w:rFonts w:ascii="Times New Roman" w:hAnsi="Times New Roman"/>
                <w:sz w:val="24"/>
              </w:rPr>
              <w:t>a</w:t>
            </w:r>
            <w:r>
              <w:rPr>
                <w:rFonts w:ascii="Times New Roman" w:hAnsi="Times New Roman"/>
                <w:sz w:val="24"/>
              </w:rPr>
              <w:t>nja (vključno z izgubami zaradi kreditnega tveganja finančnih sredstev, izme</w:t>
            </w:r>
            <w:r>
              <w:rPr>
                <w:rFonts w:ascii="Times New Roman" w:hAnsi="Times New Roman"/>
                <w:sz w:val="24"/>
              </w:rPr>
              <w:t>r</w:t>
            </w:r>
            <w:r>
              <w:rPr>
                <w:rFonts w:ascii="Times New Roman" w:hAnsi="Times New Roman"/>
                <w:sz w:val="24"/>
              </w:rPr>
              <w:t>jenimi po pošteni vrednosti, ki se ne odštejejo od vrednosti izpostavljenosti), skupaj z diskonti za izpostavljenosti, ki so bile v skladu s členom 166(1) CRR odkupljene v stanju neplačila. Rezervacije vključujejo nabrane zneske kreditnih izgub v zunajbilančnih postavkah.</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400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ZNESEK TVEGANJU PRILAGOJENIH IZPOSTAVLJENOSTI</w:t>
            </w:r>
          </w:p>
          <w:p w:rsidR="00612780" w:rsidRPr="00392FFD" w:rsidRDefault="00612780" w:rsidP="00612780">
            <w:pPr>
              <w:spacing w:before="0" w:after="0"/>
              <w:jc w:val="left"/>
              <w:rPr>
                <w:rFonts w:ascii="Times New Roman" w:hAnsi="Times New Roman"/>
                <w:sz w:val="24"/>
              </w:rPr>
            </w:pPr>
          </w:p>
          <w:p w:rsidR="00612780" w:rsidRPr="00392FFD" w:rsidRDefault="0036415F" w:rsidP="00612780">
            <w:pPr>
              <w:spacing w:before="0" w:after="0"/>
              <w:rPr>
                <w:rFonts w:ascii="Times New Roman" w:hAnsi="Times New Roman"/>
                <w:sz w:val="24"/>
              </w:rPr>
            </w:pPr>
            <w:r>
              <w:rPr>
                <w:rFonts w:ascii="Times New Roman" w:hAnsi="Times New Roman"/>
                <w:sz w:val="24"/>
              </w:rPr>
              <w:t>Skupni znesek tveganju prilagojenih izpostavljenosti, izračunan v skladu z oddelkom 3 poglavja 5 naslova II dela 3 CRR, pred prilagoditvami zaradi neu</w:t>
            </w:r>
            <w:r>
              <w:rPr>
                <w:rFonts w:ascii="Times New Roman" w:hAnsi="Times New Roman"/>
                <w:sz w:val="24"/>
              </w:rPr>
              <w:t>s</w:t>
            </w:r>
            <w:r>
              <w:rPr>
                <w:rFonts w:ascii="Times New Roman" w:hAnsi="Times New Roman"/>
                <w:sz w:val="24"/>
              </w:rPr>
              <w:t>klajenosti zapadlosti ali kršitve določb glede skrbnega pregleda in brez kakr</w:t>
            </w:r>
            <w:r>
              <w:rPr>
                <w:rFonts w:ascii="Times New Roman" w:hAnsi="Times New Roman"/>
                <w:sz w:val="24"/>
              </w:rPr>
              <w:t>š</w:t>
            </w:r>
            <w:r>
              <w:rPr>
                <w:rFonts w:ascii="Times New Roman" w:hAnsi="Times New Roman"/>
                <w:sz w:val="24"/>
              </w:rPr>
              <w:t>nega koli zneska tveganju prilagojenih izpostavljenosti, ki ustreza izpostavlj</w:t>
            </w:r>
            <w:r>
              <w:rPr>
                <w:rFonts w:ascii="Times New Roman" w:hAnsi="Times New Roman"/>
                <w:sz w:val="24"/>
              </w:rPr>
              <w:t>e</w:t>
            </w:r>
            <w:r>
              <w:rPr>
                <w:rFonts w:ascii="Times New Roman" w:hAnsi="Times New Roman"/>
                <w:sz w:val="24"/>
              </w:rPr>
              <w:t xml:space="preserve">nostim, </w:t>
            </w:r>
            <w:proofErr w:type="spellStart"/>
            <w:r>
              <w:rPr>
                <w:rFonts w:ascii="Times New Roman" w:hAnsi="Times New Roman"/>
                <w:sz w:val="24"/>
              </w:rPr>
              <w:t>prerazvrščenim</w:t>
            </w:r>
            <w:proofErr w:type="spellEnd"/>
            <w:r>
              <w:rPr>
                <w:rFonts w:ascii="Times New Roman" w:hAnsi="Times New Roman"/>
                <w:sz w:val="24"/>
              </w:rPr>
              <w:t xml:space="preserve"> v drugo predlogo prek odlivov. </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410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ZNESEK TVEGANJU PRILAGOJENIH IZPOSTAVLJENOSTI, OD TEGA: SINTETIČNA LISTINJENJA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Pri sintetičnih listinjenjih z neusklajenostjo zapadlosti se pri znesku, ki se sp</w:t>
            </w:r>
            <w:r>
              <w:rPr>
                <w:rFonts w:ascii="Times New Roman" w:hAnsi="Times New Roman"/>
                <w:sz w:val="24"/>
              </w:rPr>
              <w:t>o</w:t>
            </w:r>
            <w:r>
              <w:rPr>
                <w:rFonts w:ascii="Times New Roman" w:hAnsi="Times New Roman"/>
                <w:sz w:val="24"/>
              </w:rPr>
              <w:t>roči v tem stolpcu, ne upošteva morebitna neusklajenost zapadlosti.</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SPLOŠNI UČINEK (PRILAGODITEV) ZARADI KRŠITVE DOLOČB GLEDE SKRBNEGA PREGLEDA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Člena 14(2) in 406(2) ter člen 407 CRR določajo, da države članice, kadar institucija ne izpolnjuje določenih zahtev, zagotovijo, da pristojni organi odr</w:t>
            </w:r>
            <w:r>
              <w:rPr>
                <w:rFonts w:ascii="Times New Roman" w:hAnsi="Times New Roman"/>
                <w:sz w:val="24"/>
              </w:rPr>
              <w:t>e</w:t>
            </w:r>
            <w:r>
              <w:rPr>
                <w:rFonts w:ascii="Times New Roman" w:hAnsi="Times New Roman"/>
                <w:sz w:val="24"/>
              </w:rPr>
              <w:t>dijo sorazmerno dodatno utež tveganja, ki znaša najmanj 250 % uteži tveganja (z zgornjo mejo 1250 %), ki se sicer uporablja za zadevne pozicije v listinjenju iz oddelka 3 poglavja 5 naslova II dela 3 CRR.</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PRILAGODITEV ZNESKA TVEGANJU PRILAGOJENIH IZPOSTA</w:t>
            </w:r>
            <w:r>
              <w:rPr>
                <w:rFonts w:ascii="Times New Roman" w:hAnsi="Times New Roman"/>
                <w:b/>
                <w:sz w:val="24"/>
                <w:u w:val="single"/>
              </w:rPr>
              <w:t>V</w:t>
            </w:r>
            <w:r>
              <w:rPr>
                <w:rFonts w:ascii="Times New Roman" w:hAnsi="Times New Roman"/>
                <w:b/>
                <w:sz w:val="24"/>
                <w:u w:val="single"/>
              </w:rPr>
              <w:t>LJENOSTI ZARADI NEUSKLAJENOSTI ZAPADLOSTI</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rPr>
                <w:rFonts w:ascii="Times New Roman" w:hAnsi="Times New Roman"/>
                <w:sz w:val="24"/>
              </w:rPr>
            </w:pPr>
            <w:r>
              <w:rPr>
                <w:rFonts w:ascii="Times New Roman" w:hAnsi="Times New Roman"/>
                <w:sz w:val="24"/>
              </w:rPr>
              <w:t>Za neusklajenosti zapadlosti v sintetičnih listinjenjih se vključi RW*–RW(SP), kot je opredeljeno v členu 250 CRR, razen v primeru tranš, ki so predmet te</w:t>
            </w:r>
            <w:r>
              <w:rPr>
                <w:rFonts w:ascii="Times New Roman" w:hAnsi="Times New Roman"/>
                <w:sz w:val="24"/>
              </w:rPr>
              <w:t>h</w:t>
            </w:r>
            <w:r>
              <w:rPr>
                <w:rFonts w:ascii="Times New Roman" w:hAnsi="Times New Roman"/>
                <w:sz w:val="24"/>
              </w:rPr>
              <w:t>tanja z utežjo tveganja 1250 %, kadar je znesek, ki se sporoči, nič. Upoštevati je treba da RW(SP) ne zajema le zneskov tveganju prilagojenih izpostavljeno</w:t>
            </w:r>
            <w:r>
              <w:rPr>
                <w:rFonts w:ascii="Times New Roman" w:hAnsi="Times New Roman"/>
                <w:sz w:val="24"/>
              </w:rPr>
              <w:t>s</w:t>
            </w:r>
            <w:r>
              <w:rPr>
                <w:rFonts w:ascii="Times New Roman" w:hAnsi="Times New Roman"/>
                <w:sz w:val="24"/>
              </w:rPr>
              <w:t>ti, sporočenih v stolpcu 400, ampak tudi zneske tveganju prilagojenih izposta</w:t>
            </w:r>
            <w:r>
              <w:rPr>
                <w:rFonts w:ascii="Times New Roman" w:hAnsi="Times New Roman"/>
                <w:sz w:val="24"/>
              </w:rPr>
              <w:t>v</w:t>
            </w:r>
            <w:r>
              <w:rPr>
                <w:rFonts w:ascii="Times New Roman" w:hAnsi="Times New Roman"/>
                <w:sz w:val="24"/>
              </w:rPr>
              <w:t xml:space="preserve">ljenosti, ki ustrezajo izpostavljenostim, </w:t>
            </w:r>
            <w:proofErr w:type="spellStart"/>
            <w:r>
              <w:rPr>
                <w:rFonts w:ascii="Times New Roman" w:hAnsi="Times New Roman"/>
                <w:sz w:val="24"/>
              </w:rPr>
              <w:t>prerazvrščenim</w:t>
            </w:r>
            <w:proofErr w:type="spellEnd"/>
            <w:r>
              <w:rPr>
                <w:rFonts w:ascii="Times New Roman" w:hAnsi="Times New Roman"/>
                <w:sz w:val="24"/>
              </w:rPr>
              <w:t xml:space="preserve"> v druge predloge prek odlivov.</w:t>
            </w:r>
          </w:p>
          <w:p w:rsidR="00612780" w:rsidRPr="00392FFD" w:rsidRDefault="00612780" w:rsidP="009068C9">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440–450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SKUPAJ ZNESEK TVEGANJU PRILAGOJENIH IZPOSTAVLJENO</w:t>
            </w:r>
            <w:r>
              <w:rPr>
                <w:rFonts w:ascii="Times New Roman" w:hAnsi="Times New Roman"/>
                <w:b/>
                <w:sz w:val="24"/>
                <w:u w:val="single"/>
              </w:rPr>
              <w:t>S</w:t>
            </w:r>
            <w:r>
              <w:rPr>
                <w:rFonts w:ascii="Times New Roman" w:hAnsi="Times New Roman"/>
                <w:b/>
                <w:sz w:val="24"/>
                <w:u w:val="single"/>
              </w:rPr>
              <w:t>TI: PRED UVEDBO OMEJITVE/PO UVEDBI OMEJITVI</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Skupni znesek tveganju prilagojenih izpostavljenosti, izračunan v skladu z oddelkom 3 poglavja 5 naslova II dela 3 CRR, pred (stolpec 440)/po (stolpec 450) uporabi omejitev iz člena 260 CRR. Upoštevati je treba tudi člen 265 CRR (dodatne kapitalske zahteve za listinjenja obnavljajočih se izpostavljenosti z določbami o predčasnem odplačilu).</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460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POJASNJEVALNA POSTAVKA: ZNESEK TVEGANJU PRILAGOJ</w:t>
            </w:r>
            <w:r>
              <w:rPr>
                <w:rFonts w:ascii="Times New Roman" w:hAnsi="Times New Roman"/>
                <w:b/>
                <w:sz w:val="24"/>
                <w:u w:val="single"/>
              </w:rPr>
              <w:t>E</w:t>
            </w:r>
            <w:r>
              <w:rPr>
                <w:rFonts w:ascii="Times New Roman" w:hAnsi="Times New Roman"/>
                <w:b/>
                <w:sz w:val="24"/>
                <w:u w:val="single"/>
              </w:rPr>
              <w:t>NIH IZPOSTAVLJENOSTI, KI USTREZA ODLIVOM IZ LISTINJE</w:t>
            </w:r>
            <w:r>
              <w:rPr>
                <w:rFonts w:ascii="Times New Roman" w:hAnsi="Times New Roman"/>
                <w:b/>
                <w:sz w:val="24"/>
                <w:u w:val="single"/>
              </w:rPr>
              <w:t>N</w:t>
            </w:r>
            <w:r>
              <w:rPr>
                <w:rFonts w:ascii="Times New Roman" w:hAnsi="Times New Roman"/>
                <w:b/>
                <w:sz w:val="24"/>
                <w:u w:val="single"/>
              </w:rPr>
              <w:t>JA V OKVIRU PRISTOPA IRB K DRUGIM RAZREDOM IZPOSTA</w:t>
            </w:r>
            <w:r>
              <w:rPr>
                <w:rFonts w:ascii="Times New Roman" w:hAnsi="Times New Roman"/>
                <w:b/>
                <w:sz w:val="24"/>
                <w:u w:val="single"/>
              </w:rPr>
              <w:t>V</w:t>
            </w:r>
            <w:r>
              <w:rPr>
                <w:rFonts w:ascii="Times New Roman" w:hAnsi="Times New Roman"/>
                <w:b/>
                <w:sz w:val="24"/>
                <w:u w:val="single"/>
              </w:rPr>
              <w:t>LJENOSTI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Znesek tveganju prilagojenih izpostavljenosti, ki izhaja iz izpostavljenosti, </w:t>
            </w:r>
            <w:proofErr w:type="spellStart"/>
            <w:r>
              <w:rPr>
                <w:rFonts w:ascii="Times New Roman" w:hAnsi="Times New Roman"/>
                <w:sz w:val="24"/>
              </w:rPr>
              <w:t>pr</w:t>
            </w:r>
            <w:r>
              <w:rPr>
                <w:rFonts w:ascii="Times New Roman" w:hAnsi="Times New Roman"/>
                <w:sz w:val="24"/>
              </w:rPr>
              <w:t>e</w:t>
            </w:r>
            <w:r>
              <w:rPr>
                <w:rFonts w:ascii="Times New Roman" w:hAnsi="Times New Roman"/>
                <w:sz w:val="24"/>
              </w:rPr>
              <w:t>razvrščenih</w:t>
            </w:r>
            <w:proofErr w:type="spellEnd"/>
            <w:r>
              <w:rPr>
                <w:rFonts w:ascii="Times New Roman" w:hAnsi="Times New Roman"/>
                <w:sz w:val="24"/>
              </w:rPr>
              <w:t xml:space="preserve"> k ponudniku instrumentov za zmanjševanje tveganja in posledično vštetih v ustrezno predlogo, ki so upoštevane pri izračunu omejitve za pozicije v listinjenju.</w:t>
            </w:r>
          </w:p>
          <w:p w:rsidR="00612780" w:rsidRPr="00392FFD" w:rsidRDefault="00612780" w:rsidP="00612780">
            <w:pPr>
              <w:spacing w:before="0" w:after="0"/>
              <w:jc w:val="left"/>
              <w:rPr>
                <w:rFonts w:ascii="Times New Roman" w:hAnsi="Times New Roman"/>
                <w:sz w:val="24"/>
              </w:rPr>
            </w:pPr>
          </w:p>
        </w:tc>
      </w:tr>
    </w:tbl>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p>
    <w:p w:rsidR="00612780" w:rsidRPr="00392FFD" w:rsidRDefault="00125707" w:rsidP="00C37B29">
      <w:pPr>
        <w:pStyle w:val="InstructionsText2"/>
        <w:numPr>
          <w:ilvl w:val="0"/>
          <w:numId w:val="0"/>
        </w:numPr>
        <w:ind w:left="993"/>
      </w:pPr>
      <w:r>
        <w:t>107.</w:t>
      </w:r>
      <w:r>
        <w:tab/>
        <w:t xml:space="preserve">Predloga CR SEC IRB je razdeljena na tri glavne sklope vrstic, v katerih se zbirajo podatki o prvotnih/sponzoriranih/zadržanih ali kupljenih izpostavljenostih po </w:t>
      </w:r>
      <w:proofErr w:type="spellStart"/>
      <w:r>
        <w:t>originatorjih</w:t>
      </w:r>
      <w:proofErr w:type="spellEnd"/>
      <w:r>
        <w:t>, investitorjih in sponzorjih. Informacije za vsako izpostavljenost so razčlenjene po bilančnih postavkah in zunajbilančnih postavkah in izvedenih fina</w:t>
      </w:r>
      <w:r>
        <w:t>n</w:t>
      </w:r>
      <w:r>
        <w:t xml:space="preserve">čnih instrumentih ter po združevanjih listinjenj in </w:t>
      </w:r>
      <w:proofErr w:type="spellStart"/>
      <w:r>
        <w:t>relistinjenj</w:t>
      </w:r>
      <w:proofErr w:type="spellEnd"/>
      <w:r>
        <w:t xml:space="preserve"> v skupine glede na utež tveganja. </w:t>
      </w:r>
    </w:p>
    <w:p w:rsidR="00612780" w:rsidRPr="00392FFD" w:rsidRDefault="00125707" w:rsidP="00C37B29">
      <w:pPr>
        <w:pStyle w:val="InstructionsText2"/>
        <w:numPr>
          <w:ilvl w:val="0"/>
          <w:numId w:val="0"/>
        </w:numPr>
        <w:ind w:left="993"/>
      </w:pPr>
      <w:r>
        <w:t>108.</w:t>
      </w:r>
      <w:r>
        <w:tab/>
        <w:t>Pozicije, obravnavane po metodi na podlagi bonitetnih ocen, in neocenjene pozicije (izpostavljenosti na datum poročanja) so razčlenjene tudi glede na stopnje kreditne kakovosti, ki se uporabljajo ob nastanku (zadnji sklop vrstic). Te inform</w:t>
      </w:r>
      <w:r>
        <w:t>a</w:t>
      </w:r>
      <w:r>
        <w:t>cije poročajo tudi originatorji, sponzorji in investitorji.</w:t>
      </w:r>
    </w:p>
    <w:p w:rsidR="00612780" w:rsidRPr="00392FFD" w:rsidRDefault="00612780" w:rsidP="00612780">
      <w:pPr>
        <w:spacing w:before="0" w:after="0"/>
        <w:rPr>
          <w:rFonts w:ascii="Times New Roman" w:hAnsi="Times New Roman"/>
          <w:sz w:val="24"/>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7903"/>
      </w:tblGrid>
      <w:tr w:rsidR="00612780" w:rsidRPr="00392FFD" w:rsidTr="00672D2A">
        <w:tc>
          <w:tcPr>
            <w:tcW w:w="9145"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Vrstice</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SKUPNI ZNESEK IZPOSTAVLJENOSTI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Skupni znesek izpostavljenosti se nanaša na skupni znesek neporavnanih listi</w:t>
            </w:r>
            <w:r>
              <w:rPr>
                <w:rFonts w:ascii="Times New Roman" w:hAnsi="Times New Roman"/>
                <w:sz w:val="24"/>
              </w:rPr>
              <w:t>n</w:t>
            </w:r>
            <w:r>
              <w:rPr>
                <w:rFonts w:ascii="Times New Roman" w:hAnsi="Times New Roman"/>
                <w:sz w:val="24"/>
              </w:rPr>
              <w:t>jenj. V tej vrstici so povzete vse informacije, ki jih poročajo originatorji, spo</w:t>
            </w:r>
            <w:r>
              <w:rPr>
                <w:rFonts w:ascii="Times New Roman" w:hAnsi="Times New Roman"/>
                <w:sz w:val="24"/>
              </w:rPr>
              <w:t>n</w:t>
            </w:r>
            <w:r>
              <w:rPr>
                <w:rFonts w:ascii="Times New Roman" w:hAnsi="Times New Roman"/>
                <w:sz w:val="24"/>
              </w:rPr>
              <w:t>zorji in investitorji v poznejših vrsticah.</w:t>
            </w:r>
          </w:p>
          <w:p w:rsidR="00612780" w:rsidRPr="00392FFD" w:rsidRDefault="00612780" w:rsidP="00612780">
            <w:pPr>
              <w:autoSpaceDE w:val="0"/>
              <w:autoSpaceDN w:val="0"/>
              <w:adjustRightInd w:val="0"/>
              <w:spacing w:before="0" w:after="0"/>
              <w:rPr>
                <w:rFonts w:ascii="Times New Roman" w:hAnsi="Times New Roman"/>
                <w:b/>
                <w:bCs/>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OD TEGA: RELISTINJENJA</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Skupni znesek neporavnanih </w:t>
            </w:r>
            <w:proofErr w:type="spellStart"/>
            <w:r>
              <w:rPr>
                <w:rFonts w:ascii="Times New Roman" w:hAnsi="Times New Roman"/>
                <w:sz w:val="24"/>
              </w:rPr>
              <w:t>relistinjenj</w:t>
            </w:r>
            <w:proofErr w:type="spellEnd"/>
            <w:r>
              <w:rPr>
                <w:rFonts w:ascii="Times New Roman" w:hAnsi="Times New Roman"/>
                <w:sz w:val="24"/>
              </w:rPr>
              <w:t xml:space="preserve"> v skladu z opredelitvama iz člena 4(1)(63) in (64) CRR.</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ORIGINATOR: SKUPNI ZNESEK IZPOSTAVLJENOSTI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V tej vrstici so povzete informacije o bilančnih postavkah in zunajbilančnih postavkah ter izvedenih finančnih instrumentih in predčasnem odplačilu pozicij </w:t>
            </w:r>
            <w:r>
              <w:rPr>
                <w:rFonts w:ascii="Times New Roman" w:hAnsi="Times New Roman"/>
                <w:sz w:val="24"/>
              </w:rPr>
              <w:lastRenderedPageBreak/>
              <w:t>v listinjenju, za katere ima institucija vlogo originatorja, kot je opredeljeno v členu 4(1)(13) CRR.</w:t>
            </w:r>
          </w:p>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040–090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BILANČNE POSTAVKE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Člen 246(1)(b) CRR določa, da je za institucije, ki zneske tveganju prilagojenih izpostavljenosti izračunavajo v okviru pristopa IRB, vrednost izpostavljenosti bilančne pozicije v listinjenju enaka njeni računovodski vrednosti, merjeni brez upoštevanja morebitnih popravkov zaradi kreditnega tveganja.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Bilančne postavke so razčlenjene po združevanjih listinjenj v skupine glede na utež tveganja (A–B–C) v vrsticah 050–070 in po združevanjih </w:t>
            </w:r>
            <w:proofErr w:type="spellStart"/>
            <w:r>
              <w:rPr>
                <w:rFonts w:ascii="Times New Roman" w:hAnsi="Times New Roman"/>
                <w:sz w:val="24"/>
              </w:rPr>
              <w:t>relistinjenj</w:t>
            </w:r>
            <w:proofErr w:type="spellEnd"/>
            <w:r>
              <w:rPr>
                <w:rFonts w:ascii="Times New Roman" w:hAnsi="Times New Roman"/>
                <w:sz w:val="24"/>
              </w:rPr>
              <w:t xml:space="preserve"> v skupine glede na utež tveganja (D–E) v vrsticah 080–090, kot je navedeno v razpredelnici 4 člena 261(1) CRR. </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100–150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ZUNAJBILANČNE POSTAVKE IN IZVEDENI FINANČNI INSTR</w:t>
            </w:r>
            <w:r>
              <w:rPr>
                <w:rFonts w:ascii="Times New Roman" w:hAnsi="Times New Roman"/>
                <w:b/>
                <w:sz w:val="24"/>
                <w:u w:val="single"/>
              </w:rPr>
              <w:t>U</w:t>
            </w:r>
            <w:r>
              <w:rPr>
                <w:rFonts w:ascii="Times New Roman" w:hAnsi="Times New Roman"/>
                <w:b/>
                <w:sz w:val="24"/>
                <w:u w:val="single"/>
              </w:rPr>
              <w:t>MENTI</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 xml:space="preserve">V teh vrsticah se zbirajo informacije o zunajbilančnih postavkah in izvedenih finančnih instrumentih pozicij v listinjenju, ki so predmet </w:t>
            </w:r>
            <w:proofErr w:type="spellStart"/>
            <w:r>
              <w:rPr>
                <w:rFonts w:ascii="Times New Roman" w:hAnsi="Times New Roman"/>
                <w:sz w:val="24"/>
              </w:rPr>
              <w:t>konverzijskega</w:t>
            </w:r>
            <w:proofErr w:type="spellEnd"/>
            <w:r>
              <w:rPr>
                <w:rFonts w:ascii="Times New Roman" w:hAnsi="Times New Roman"/>
                <w:sz w:val="24"/>
              </w:rPr>
              <w:t xml:space="preserve"> fa</w:t>
            </w:r>
            <w:r>
              <w:rPr>
                <w:rFonts w:ascii="Times New Roman" w:hAnsi="Times New Roman"/>
                <w:sz w:val="24"/>
              </w:rPr>
              <w:t>k</w:t>
            </w:r>
            <w:r>
              <w:rPr>
                <w:rFonts w:ascii="Times New Roman" w:hAnsi="Times New Roman"/>
                <w:sz w:val="24"/>
              </w:rPr>
              <w:t>torja v okviru listinjenja. Vrednost izpostavljenosti zunajbilančne pozicije v li</w:t>
            </w:r>
            <w:r>
              <w:rPr>
                <w:rFonts w:ascii="Times New Roman" w:hAnsi="Times New Roman"/>
                <w:sz w:val="24"/>
              </w:rPr>
              <w:t>s</w:t>
            </w:r>
            <w:r>
              <w:rPr>
                <w:rFonts w:ascii="Times New Roman" w:hAnsi="Times New Roman"/>
                <w:sz w:val="24"/>
              </w:rPr>
              <w:t>tinjenju je enaka njeni nominalni vrednosti, zmanjšani za morebitne posebne prilagoditve zaradi kreditnega tveganja v zvezi s to pozicijo v listinjenju, po</w:t>
            </w:r>
            <w:r>
              <w:rPr>
                <w:rFonts w:ascii="Times New Roman" w:hAnsi="Times New Roman"/>
                <w:sz w:val="24"/>
              </w:rPr>
              <w:t>m</w:t>
            </w:r>
            <w:r>
              <w:rPr>
                <w:rFonts w:ascii="Times New Roman" w:hAnsi="Times New Roman"/>
                <w:sz w:val="24"/>
              </w:rPr>
              <w:t xml:space="preserve">noženi s </w:t>
            </w:r>
            <w:proofErr w:type="spellStart"/>
            <w:r>
              <w:rPr>
                <w:rFonts w:ascii="Times New Roman" w:hAnsi="Times New Roman"/>
                <w:sz w:val="24"/>
              </w:rPr>
              <w:t>konverzijskim</w:t>
            </w:r>
            <w:proofErr w:type="spellEnd"/>
            <w:r>
              <w:rPr>
                <w:rFonts w:ascii="Times New Roman" w:hAnsi="Times New Roman"/>
                <w:sz w:val="24"/>
              </w:rPr>
              <w:t xml:space="preserve"> faktorjem 100 %, če ni določeno drugače.</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Zunajbilančne pozicije v listinjenju, ki izhajajo iz izvedenega finančnega instrumenta iz Priloge II k CRR, se določijo v skladu s poglavjem 6 naslova II dela 3 CRR. Vrednost izpostavljenosti kreditnega tveganja nasprotne stranke pri izvedenem finančnem instrumentu iz Priloge II k CRR se določi v skladu s poglavjem 6 naslova II dela 3 CRR.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Institucije za okvirne likvidnostne kredite, kreditne obveznosti in </w:t>
            </w:r>
            <w:proofErr w:type="spellStart"/>
            <w:r>
              <w:rPr>
                <w:rFonts w:ascii="Times New Roman" w:hAnsi="Times New Roman"/>
                <w:sz w:val="24"/>
              </w:rPr>
              <w:t>serviserske</w:t>
            </w:r>
            <w:proofErr w:type="spellEnd"/>
            <w:r>
              <w:rPr>
                <w:rFonts w:ascii="Times New Roman" w:hAnsi="Times New Roman"/>
                <w:sz w:val="24"/>
              </w:rPr>
              <w:t xml:space="preserve"> denarne predujme institucije poročajo nečrpani znesek.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Za obrestno mero in valutne zamenjave poročajo vrednost izpostavljenosti (v skladu s členom 246(1) CRR), kot je opredeljeno v predlogi CR SA </w:t>
            </w:r>
            <w:proofErr w:type="spellStart"/>
            <w:r>
              <w:rPr>
                <w:rFonts w:ascii="Times New Roman" w:hAnsi="Times New Roman"/>
                <w:sz w:val="24"/>
              </w:rPr>
              <w:t>Total</w:t>
            </w:r>
            <w:proofErr w:type="spellEnd"/>
            <w:r>
              <w:rPr>
                <w:rFonts w:ascii="Times New Roman" w:hAnsi="Times New Roman"/>
                <w:sz w:val="24"/>
              </w:rPr>
              <w:t>.</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Zunajbilančne postavke so razčlenjene po združevanjih listinjenj v skupine gl</w:t>
            </w:r>
            <w:r>
              <w:rPr>
                <w:rFonts w:ascii="Times New Roman" w:hAnsi="Times New Roman"/>
                <w:sz w:val="24"/>
              </w:rPr>
              <w:t>e</w:t>
            </w:r>
            <w:r>
              <w:rPr>
                <w:rFonts w:ascii="Times New Roman" w:hAnsi="Times New Roman"/>
                <w:sz w:val="24"/>
              </w:rPr>
              <w:t xml:space="preserve">de na utež tveganja (A–B–C) v vrsticah 110–130 in po združevanjih </w:t>
            </w:r>
            <w:proofErr w:type="spellStart"/>
            <w:r>
              <w:rPr>
                <w:rFonts w:ascii="Times New Roman" w:hAnsi="Times New Roman"/>
                <w:sz w:val="24"/>
              </w:rPr>
              <w:t>relistinjenj</w:t>
            </w:r>
            <w:proofErr w:type="spellEnd"/>
            <w:r>
              <w:rPr>
                <w:rFonts w:ascii="Times New Roman" w:hAnsi="Times New Roman"/>
                <w:sz w:val="24"/>
              </w:rPr>
              <w:t xml:space="preserve"> v skupine glede na utež tveganja (D–E) v vrsticah 140–150, kot je navedeno v razpredelnici 4 člena 261(1) CRR.</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160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PREDČASNO ODPLAČILO</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Ta vrstica se nanaša le na </w:t>
            </w:r>
            <w:proofErr w:type="spellStart"/>
            <w:r>
              <w:rPr>
                <w:rFonts w:ascii="Times New Roman" w:hAnsi="Times New Roman"/>
                <w:sz w:val="24"/>
              </w:rPr>
              <w:t>originatorje</w:t>
            </w:r>
            <w:proofErr w:type="spellEnd"/>
            <w:r>
              <w:rPr>
                <w:rFonts w:ascii="Times New Roman" w:hAnsi="Times New Roman"/>
                <w:sz w:val="24"/>
              </w:rPr>
              <w:t xml:space="preserve"> z </w:t>
            </w:r>
            <w:proofErr w:type="spellStart"/>
            <w:r>
              <w:rPr>
                <w:rFonts w:ascii="Times New Roman" w:hAnsi="Times New Roman"/>
                <w:sz w:val="24"/>
              </w:rPr>
              <w:t>listinjenji</w:t>
            </w:r>
            <w:proofErr w:type="spellEnd"/>
            <w:r>
              <w:rPr>
                <w:rFonts w:ascii="Times New Roman" w:hAnsi="Times New Roman"/>
                <w:sz w:val="24"/>
              </w:rPr>
              <w:t xml:space="preserve"> obnavljajočih se izpostavlj</w:t>
            </w:r>
            <w:r>
              <w:rPr>
                <w:rFonts w:ascii="Times New Roman" w:hAnsi="Times New Roman"/>
                <w:sz w:val="24"/>
              </w:rPr>
              <w:t>e</w:t>
            </w:r>
            <w:r>
              <w:rPr>
                <w:rFonts w:ascii="Times New Roman" w:hAnsi="Times New Roman"/>
                <w:sz w:val="24"/>
              </w:rPr>
              <w:t>nosti, ki vključujejo določbe o predčasnem odplačilu, kot je navedeno v členu 242(13) in (14) CRR.</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INVESTITOR: SKUPNI ZNESEK IZPOSTAVLJENOSTI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V tej vrstici so povzete informacije o bilančnih in zunajbilančnih postavkah ter izvedenih finančnih instrumentih pozicij v listinjenju, za katere ima institucija vlogo investitorja. </w:t>
            </w: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CRR ne vsebuje izrecne opredelitve investitorja. Zato se v tem okviru razume kot institucija, ki ima pozicijo v listinjenju v poslu listinjenja, pri katerem ni originator ali sponzor.</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180–230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BILANČNE POSTAVKE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Uporabljajo se enaka merila razporejanja med </w:t>
            </w:r>
            <w:proofErr w:type="spellStart"/>
            <w:r>
              <w:rPr>
                <w:rFonts w:ascii="Times New Roman" w:hAnsi="Times New Roman"/>
                <w:sz w:val="24"/>
              </w:rPr>
              <w:t>listinjenji</w:t>
            </w:r>
            <w:proofErr w:type="spellEnd"/>
            <w:r>
              <w:rPr>
                <w:rFonts w:ascii="Times New Roman" w:hAnsi="Times New Roman"/>
                <w:sz w:val="24"/>
              </w:rPr>
              <w:t xml:space="preserve"> (A–B–C) in </w:t>
            </w:r>
            <w:proofErr w:type="spellStart"/>
            <w:r>
              <w:rPr>
                <w:rFonts w:ascii="Times New Roman" w:hAnsi="Times New Roman"/>
                <w:sz w:val="24"/>
              </w:rPr>
              <w:t>relistinje</w:t>
            </w:r>
            <w:r>
              <w:rPr>
                <w:rFonts w:ascii="Times New Roman" w:hAnsi="Times New Roman"/>
                <w:sz w:val="24"/>
              </w:rPr>
              <w:t>n</w:t>
            </w:r>
            <w:r>
              <w:rPr>
                <w:rFonts w:ascii="Times New Roman" w:hAnsi="Times New Roman"/>
                <w:sz w:val="24"/>
              </w:rPr>
              <w:t>ji</w:t>
            </w:r>
            <w:proofErr w:type="spellEnd"/>
            <w:r>
              <w:rPr>
                <w:rFonts w:ascii="Times New Roman" w:hAnsi="Times New Roman"/>
                <w:sz w:val="24"/>
              </w:rPr>
              <w:t xml:space="preserve"> (D–E) kot za bilančne postavke za </w:t>
            </w:r>
            <w:proofErr w:type="spellStart"/>
            <w:r>
              <w:rPr>
                <w:rFonts w:ascii="Times New Roman" w:hAnsi="Times New Roman"/>
                <w:sz w:val="24"/>
              </w:rPr>
              <w:t>originatorje</w:t>
            </w:r>
            <w:proofErr w:type="spellEnd"/>
            <w:r>
              <w:rPr>
                <w:rFonts w:ascii="Times New Roman" w:hAnsi="Times New Roman"/>
                <w:sz w:val="24"/>
              </w:rPr>
              <w:t>.</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240–290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ZUNAJBILANČNE POSTAVKE IN IZVEDENI FINANČNI INSTR</w:t>
            </w:r>
            <w:r>
              <w:rPr>
                <w:rFonts w:ascii="Times New Roman" w:hAnsi="Times New Roman"/>
                <w:b/>
                <w:sz w:val="24"/>
                <w:u w:val="single"/>
              </w:rPr>
              <w:t>U</w:t>
            </w:r>
            <w:r>
              <w:rPr>
                <w:rFonts w:ascii="Times New Roman" w:hAnsi="Times New Roman"/>
                <w:b/>
                <w:sz w:val="24"/>
                <w:u w:val="single"/>
              </w:rPr>
              <w:t>MENTI</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Uporabljajo se enaka merila razporejanja med </w:t>
            </w:r>
            <w:proofErr w:type="spellStart"/>
            <w:r>
              <w:rPr>
                <w:rFonts w:ascii="Times New Roman" w:hAnsi="Times New Roman"/>
                <w:sz w:val="24"/>
              </w:rPr>
              <w:t>listinjenji</w:t>
            </w:r>
            <w:proofErr w:type="spellEnd"/>
            <w:r>
              <w:rPr>
                <w:rFonts w:ascii="Times New Roman" w:hAnsi="Times New Roman"/>
                <w:sz w:val="24"/>
              </w:rPr>
              <w:t xml:space="preserve"> (A–B–C) in </w:t>
            </w:r>
            <w:proofErr w:type="spellStart"/>
            <w:r>
              <w:rPr>
                <w:rFonts w:ascii="Times New Roman" w:hAnsi="Times New Roman"/>
                <w:sz w:val="24"/>
              </w:rPr>
              <w:t>relistinje</w:t>
            </w:r>
            <w:r>
              <w:rPr>
                <w:rFonts w:ascii="Times New Roman" w:hAnsi="Times New Roman"/>
                <w:sz w:val="24"/>
              </w:rPr>
              <w:t>n</w:t>
            </w:r>
            <w:r>
              <w:rPr>
                <w:rFonts w:ascii="Times New Roman" w:hAnsi="Times New Roman"/>
                <w:sz w:val="24"/>
              </w:rPr>
              <w:t>ji</w:t>
            </w:r>
            <w:proofErr w:type="spellEnd"/>
            <w:r>
              <w:rPr>
                <w:rFonts w:ascii="Times New Roman" w:hAnsi="Times New Roman"/>
                <w:sz w:val="24"/>
              </w:rPr>
              <w:t xml:space="preserve"> (D–E) kot za zunajbilančne postavke in izvedene finančne instrumente za </w:t>
            </w:r>
            <w:proofErr w:type="spellStart"/>
            <w:r>
              <w:rPr>
                <w:rFonts w:ascii="Times New Roman" w:hAnsi="Times New Roman"/>
                <w:sz w:val="24"/>
              </w:rPr>
              <w:t>originatorje</w:t>
            </w:r>
            <w:proofErr w:type="spellEnd"/>
            <w:r>
              <w:rPr>
                <w:rFonts w:ascii="Times New Roman" w:hAnsi="Times New Roman"/>
                <w:sz w:val="24"/>
              </w:rPr>
              <w:t>.</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SPONZOR: SKUPNI ZNESEK IZPOSTAVLJENOSTI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tej vrstici so povzete informacije o bilančnih in zunajbilančnih postavkah ter izvedenih finančnih instrumentih pozicij v listinjenju, za katere ima institucija vlogo sponzorja, kot je opredeljeno v členu 4(1)(14) CRR. Če sponzor listini tudi kapital, v vrsticah originatorja navede informacije glede lastnih listinjenih sredstev.</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242"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310–360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BILANČNE POSTAVKE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sz w:val="24"/>
              </w:rPr>
              <w:t xml:space="preserve">Uporabljajo se enaka merila razporejanja med </w:t>
            </w:r>
            <w:proofErr w:type="spellStart"/>
            <w:r>
              <w:rPr>
                <w:rFonts w:ascii="Times New Roman" w:hAnsi="Times New Roman"/>
                <w:sz w:val="24"/>
              </w:rPr>
              <w:t>listinjenji</w:t>
            </w:r>
            <w:proofErr w:type="spellEnd"/>
            <w:r>
              <w:rPr>
                <w:rFonts w:ascii="Times New Roman" w:hAnsi="Times New Roman"/>
                <w:sz w:val="24"/>
              </w:rPr>
              <w:t xml:space="preserve"> (A–B–C) in </w:t>
            </w:r>
            <w:proofErr w:type="spellStart"/>
            <w:r>
              <w:rPr>
                <w:rFonts w:ascii="Times New Roman" w:hAnsi="Times New Roman"/>
                <w:sz w:val="24"/>
              </w:rPr>
              <w:t>relistinje</w:t>
            </w:r>
            <w:r>
              <w:rPr>
                <w:rFonts w:ascii="Times New Roman" w:hAnsi="Times New Roman"/>
                <w:sz w:val="24"/>
              </w:rPr>
              <w:t>n</w:t>
            </w:r>
            <w:r>
              <w:rPr>
                <w:rFonts w:ascii="Times New Roman" w:hAnsi="Times New Roman"/>
                <w:sz w:val="24"/>
              </w:rPr>
              <w:t>ji</w:t>
            </w:r>
            <w:proofErr w:type="spellEnd"/>
            <w:r>
              <w:rPr>
                <w:rFonts w:ascii="Times New Roman" w:hAnsi="Times New Roman"/>
                <w:sz w:val="24"/>
              </w:rPr>
              <w:t xml:space="preserve"> (D–E) kot za bilančne postavke in izvedene finančne instrumente za </w:t>
            </w:r>
            <w:proofErr w:type="spellStart"/>
            <w:r>
              <w:rPr>
                <w:rFonts w:ascii="Times New Roman" w:hAnsi="Times New Roman"/>
                <w:sz w:val="24"/>
              </w:rPr>
              <w:t>origin</w:t>
            </w:r>
            <w:r>
              <w:rPr>
                <w:rFonts w:ascii="Times New Roman" w:hAnsi="Times New Roman"/>
                <w:sz w:val="24"/>
              </w:rPr>
              <w:t>a</w:t>
            </w:r>
            <w:r>
              <w:rPr>
                <w:rFonts w:ascii="Times New Roman" w:hAnsi="Times New Roman"/>
                <w:sz w:val="24"/>
              </w:rPr>
              <w:t>torje</w:t>
            </w:r>
            <w:proofErr w:type="spellEnd"/>
            <w:r>
              <w:rPr>
                <w:rFonts w:ascii="Times New Roman" w:hAnsi="Times New Roman"/>
                <w:sz w:val="24"/>
              </w:rPr>
              <w:t>.</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242"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370–420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ZUNAJBILANČNE POSTAVKE IN IZVEDENI FINANČNI INSTR</w:t>
            </w:r>
            <w:r>
              <w:rPr>
                <w:rFonts w:ascii="Times New Roman" w:hAnsi="Times New Roman"/>
                <w:b/>
                <w:sz w:val="24"/>
                <w:u w:val="single"/>
              </w:rPr>
              <w:t>U</w:t>
            </w:r>
            <w:r>
              <w:rPr>
                <w:rFonts w:ascii="Times New Roman" w:hAnsi="Times New Roman"/>
                <w:b/>
                <w:sz w:val="24"/>
                <w:u w:val="single"/>
              </w:rPr>
              <w:t>MENTI</w:t>
            </w:r>
          </w:p>
          <w:p w:rsidR="00612780" w:rsidRPr="00392FFD" w:rsidRDefault="00612780" w:rsidP="00612780">
            <w:pPr>
              <w:autoSpaceDE w:val="0"/>
              <w:autoSpaceDN w:val="0"/>
              <w:adjustRightInd w:val="0"/>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Uporabljajo se enaka merila razporejanja med </w:t>
            </w:r>
            <w:proofErr w:type="spellStart"/>
            <w:r>
              <w:rPr>
                <w:rFonts w:ascii="Times New Roman" w:hAnsi="Times New Roman"/>
                <w:sz w:val="24"/>
              </w:rPr>
              <w:t>listinjenji</w:t>
            </w:r>
            <w:proofErr w:type="spellEnd"/>
            <w:r>
              <w:rPr>
                <w:rFonts w:ascii="Times New Roman" w:hAnsi="Times New Roman"/>
                <w:sz w:val="24"/>
              </w:rPr>
              <w:t xml:space="preserve"> (A–B–C) in </w:t>
            </w:r>
            <w:proofErr w:type="spellStart"/>
            <w:r>
              <w:rPr>
                <w:rFonts w:ascii="Times New Roman" w:hAnsi="Times New Roman"/>
                <w:sz w:val="24"/>
              </w:rPr>
              <w:t>relistinje</w:t>
            </w:r>
            <w:r>
              <w:rPr>
                <w:rFonts w:ascii="Times New Roman" w:hAnsi="Times New Roman"/>
                <w:sz w:val="24"/>
              </w:rPr>
              <w:t>n</w:t>
            </w:r>
            <w:r>
              <w:rPr>
                <w:rFonts w:ascii="Times New Roman" w:hAnsi="Times New Roman"/>
                <w:sz w:val="24"/>
              </w:rPr>
              <w:t>ji</w:t>
            </w:r>
            <w:proofErr w:type="spellEnd"/>
            <w:r>
              <w:rPr>
                <w:rFonts w:ascii="Times New Roman" w:hAnsi="Times New Roman"/>
                <w:sz w:val="24"/>
              </w:rPr>
              <w:t xml:space="preserve"> (D–E) kot za zunajbilančne postavke in izvedene finančne instrumente za </w:t>
            </w:r>
            <w:proofErr w:type="spellStart"/>
            <w:r>
              <w:rPr>
                <w:rFonts w:ascii="Times New Roman" w:hAnsi="Times New Roman"/>
                <w:sz w:val="24"/>
              </w:rPr>
              <w:t>originatorje</w:t>
            </w:r>
            <w:proofErr w:type="spellEnd"/>
            <w:r>
              <w:rPr>
                <w:rFonts w:ascii="Times New Roman" w:hAnsi="Times New Roman"/>
                <w:sz w:val="24"/>
              </w:rPr>
              <w:t>.</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430–540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RAZČLENITEV NEPORAVNANIH POZICIJ GLEDE NA STOPNJO KREDITNE KAKOVOSTI (CQS) OB NASTANKU</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teh vrsticah se zbirajo informacije o neporavnanih pozicijah, obravnavanih po metodi na podlagi bonitetnih ocen, in neocenjenih pozicijah (na datum por</w:t>
            </w:r>
            <w:r>
              <w:rPr>
                <w:rFonts w:ascii="Times New Roman" w:hAnsi="Times New Roman"/>
                <w:sz w:val="24"/>
              </w:rPr>
              <w:t>o</w:t>
            </w:r>
            <w:r>
              <w:rPr>
                <w:rFonts w:ascii="Times New Roman" w:hAnsi="Times New Roman"/>
                <w:sz w:val="24"/>
              </w:rPr>
              <w:t>čanja) glede na stopnje kreditne kakovosti (kot se predvideva za pristop IRB v razpredelnici 4 člena 261 CRR), ki se uporabljajo na datum izvedbe (nastanek). Če te informacije niso na voljo, se poročajo najzgodnejši razpoložljivi podatki, enakovredni CQS.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Te vrstice se poročajo le za stolpce 170, 190 do 320 ter stolpca 400 in 410.</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bl>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76" w:name="_Toc239157390"/>
      <w:bookmarkStart w:id="477" w:name="_Toc310415046"/>
      <w:bookmarkStart w:id="478" w:name="_Toc360188381"/>
      <w:bookmarkStart w:id="479" w:name="_Toc516210667"/>
      <w:bookmarkStart w:id="480" w:name="_Toc473560932"/>
      <w:bookmarkStart w:id="481" w:name="_Toc523474416"/>
      <w:r>
        <w:rPr>
          <w:rFonts w:ascii="Times New Roman" w:hAnsi="Times New Roman"/>
          <w:sz w:val="24"/>
          <w:u w:val="none"/>
        </w:rPr>
        <w:t>3.9.</w:t>
      </w:r>
      <w:r w:rsidR="003F40E8" w:rsidRPr="003F40E8">
        <w:rPr>
          <w:u w:val="none"/>
        </w:rPr>
        <w:tab/>
      </w:r>
      <w:r>
        <w:rPr>
          <w:rFonts w:ascii="Times New Roman" w:hAnsi="Times New Roman"/>
          <w:sz w:val="24"/>
        </w:rPr>
        <w:t xml:space="preserve">C 14.00 – </w:t>
      </w:r>
      <w:bookmarkEnd w:id="476"/>
      <w:r>
        <w:rPr>
          <w:rFonts w:ascii="Times New Roman" w:hAnsi="Times New Roman"/>
          <w:sz w:val="24"/>
        </w:rPr>
        <w:t>Podrobne informacije o listinjenjih</w:t>
      </w:r>
      <w:bookmarkEnd w:id="477"/>
      <w:bookmarkEnd w:id="478"/>
      <w:r>
        <w:rPr>
          <w:rFonts w:ascii="Times New Roman" w:hAnsi="Times New Roman"/>
          <w:sz w:val="24"/>
        </w:rPr>
        <w:t xml:space="preserve"> (SEC DETAILS)</w:t>
      </w:r>
      <w:bookmarkEnd w:id="479"/>
      <w:bookmarkEnd w:id="480"/>
      <w:bookmarkEnd w:id="481"/>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82" w:name="_Toc310415047"/>
      <w:bookmarkStart w:id="483" w:name="_Toc360188382"/>
      <w:bookmarkStart w:id="484" w:name="_Toc516210668"/>
      <w:bookmarkStart w:id="485" w:name="_Toc473560933"/>
      <w:bookmarkStart w:id="486" w:name="_Toc523474417"/>
      <w:r>
        <w:rPr>
          <w:rFonts w:ascii="Times New Roman" w:hAnsi="Times New Roman"/>
          <w:sz w:val="24"/>
          <w:u w:val="none"/>
        </w:rPr>
        <w:t>3.9.1.</w:t>
      </w:r>
      <w:r w:rsidR="003F40E8" w:rsidRPr="003F40E8">
        <w:rPr>
          <w:u w:val="none"/>
        </w:rPr>
        <w:tab/>
      </w:r>
      <w:r>
        <w:rPr>
          <w:rFonts w:ascii="Times New Roman" w:hAnsi="Times New Roman"/>
          <w:sz w:val="24"/>
        </w:rPr>
        <w:t>Splošne opombe</w:t>
      </w:r>
      <w:bookmarkEnd w:id="482"/>
      <w:bookmarkEnd w:id="483"/>
      <w:bookmarkEnd w:id="484"/>
      <w:bookmarkEnd w:id="485"/>
      <w:bookmarkEnd w:id="486"/>
    </w:p>
    <w:p w:rsidR="00612780" w:rsidRPr="00392FFD" w:rsidRDefault="00125707" w:rsidP="00C37B29">
      <w:pPr>
        <w:pStyle w:val="InstructionsText2"/>
        <w:numPr>
          <w:ilvl w:val="0"/>
          <w:numId w:val="0"/>
        </w:numPr>
        <w:ind w:left="993"/>
      </w:pPr>
      <w:r>
        <w:t>109.</w:t>
      </w:r>
      <w:r>
        <w:tab/>
        <w:t>V tej predlogi se zbirajo informacije na podlagi posameznega posla (v prime</w:t>
      </w:r>
      <w:r>
        <w:t>r</w:t>
      </w:r>
      <w:r>
        <w:t xml:space="preserve">javi z združenimi informacijami, sporočenimi v predlogah CR SEC SA, CR SEC IRB, MKR SA SEC, MKR SA CTP, CA1 in CA2) za vsa listinjenja, v katera je vključena institucija poročevalka. Poročajo se glavne lastnosti vsakega listinjenja, kot sta narava osnovne skupine in kapitalske zahteve. </w:t>
      </w:r>
    </w:p>
    <w:p w:rsidR="00612780" w:rsidRPr="00392FFD" w:rsidRDefault="00125707" w:rsidP="00C37B29">
      <w:pPr>
        <w:pStyle w:val="InstructionsText2"/>
        <w:numPr>
          <w:ilvl w:val="0"/>
          <w:numId w:val="0"/>
        </w:numPr>
        <w:ind w:left="993"/>
      </w:pPr>
      <w:r>
        <w:t>110.</w:t>
      </w:r>
      <w:r>
        <w:tab/>
        <w:t>Ta predloga se sporoči za:</w:t>
      </w:r>
    </w:p>
    <w:p w:rsidR="00612780" w:rsidRPr="00392FFD" w:rsidRDefault="00125707" w:rsidP="00C37B29">
      <w:pPr>
        <w:pStyle w:val="InstructionsText2"/>
        <w:numPr>
          <w:ilvl w:val="0"/>
          <w:numId w:val="0"/>
        </w:numPr>
        <w:ind w:left="993"/>
      </w:pPr>
      <w:r>
        <w:t>a.</w:t>
      </w:r>
      <w:r>
        <w:tab/>
        <w:t>listinjenja, ki izvirajo iz/jih sponzorira institucija poročevalka, če ima v listi</w:t>
      </w:r>
      <w:r>
        <w:t>n</w:t>
      </w:r>
      <w:r>
        <w:t>jenju vsaj eno pozicijo. To pomeni, da ne glede na to, ali je prišlo do prenosa pomembnega deleža tveganja ali ne, institucije poročajo informacije za vse pozic</w:t>
      </w:r>
      <w:r>
        <w:t>i</w:t>
      </w:r>
      <w:r>
        <w:t>je, ki jih imajo (v netrgovalni knjigi ali trgovalni knjigi). Med pozicije v lasti spad</w:t>
      </w:r>
      <w:r>
        <w:t>a</w:t>
      </w:r>
      <w:r>
        <w:t>jo pozicije, ki so zadržane v skladu s členom 405 CRR;</w:t>
      </w:r>
    </w:p>
    <w:p w:rsidR="00612780" w:rsidRPr="00392FFD" w:rsidRDefault="00125707" w:rsidP="00C37B29">
      <w:pPr>
        <w:pStyle w:val="InstructionsText2"/>
        <w:numPr>
          <w:ilvl w:val="0"/>
          <w:numId w:val="0"/>
        </w:numPr>
        <w:ind w:left="993"/>
      </w:pPr>
      <w:r>
        <w:t>b.</w:t>
      </w:r>
      <w:r>
        <w:tab/>
        <w:t>listinjenja, ki izvirajo iz/jih sponzorira institucija poročevalka v letu poroča</w:t>
      </w:r>
      <w:r>
        <w:t>n</w:t>
      </w:r>
      <w:r>
        <w:t>ja</w:t>
      </w:r>
      <w:r>
        <w:rPr>
          <w:vertAlign w:val="superscript"/>
        </w:rPr>
        <w:footnoteReference w:id="2"/>
      </w:r>
      <w:r>
        <w:t>, če nima v lasti nobene pozicije;</w:t>
      </w:r>
    </w:p>
    <w:p w:rsidR="00612780" w:rsidRPr="00125707" w:rsidRDefault="00125707" w:rsidP="00C37B29">
      <w:pPr>
        <w:pStyle w:val="InstructionsText2"/>
        <w:numPr>
          <w:ilvl w:val="0"/>
          <w:numId w:val="0"/>
        </w:numPr>
        <w:ind w:left="993"/>
      </w:pPr>
      <w:r>
        <w:t>c.</w:t>
      </w:r>
      <w:r>
        <w:tab/>
        <w:t>listinjenja, pri katerih so končna osnovna izpostavljenost finančne obveznosti, ki jih je prvotno izdala institucija poročevalka in jih je (delno) pridobil subjekt za listinjenje. Ta osnovna izpostavljenost bi lahko vključevala krite obveznice ali dr</w:t>
      </w:r>
      <w:r>
        <w:t>u</w:t>
      </w:r>
      <w:r>
        <w:t>ge obveznosti in se opredeli kot taka v stolpcu 160;</w:t>
      </w:r>
    </w:p>
    <w:p w:rsidR="00E50E79" w:rsidRPr="00392FFD" w:rsidRDefault="00125707" w:rsidP="00C37B29">
      <w:pPr>
        <w:pStyle w:val="InstructionsText2"/>
        <w:numPr>
          <w:ilvl w:val="0"/>
          <w:numId w:val="0"/>
        </w:numPr>
        <w:ind w:left="993"/>
      </w:pPr>
      <w:r>
        <w:t>d.</w:t>
      </w:r>
      <w:r>
        <w:tab/>
        <w:t>pozicije v listinjenjih, kadar institucija poročevalka ni originator ali sponzor (tj. investitorji in prvotni kreditodajalci).</w:t>
      </w:r>
    </w:p>
    <w:p w:rsidR="00612780" w:rsidRPr="00392FFD" w:rsidRDefault="00125707" w:rsidP="00C37B29">
      <w:pPr>
        <w:pStyle w:val="InstructionsText2"/>
        <w:numPr>
          <w:ilvl w:val="0"/>
          <w:numId w:val="0"/>
        </w:numPr>
        <w:ind w:left="993"/>
      </w:pPr>
      <w:r>
        <w:t>111.</w:t>
      </w:r>
      <w:r>
        <w:tab/>
        <w:t>To predlogo poročajo konsolidirane skupine in samostojne institucije</w:t>
      </w:r>
      <w:r>
        <w:rPr>
          <w:vertAlign w:val="superscript"/>
        </w:rPr>
        <w:footnoteReference w:id="3"/>
      </w:r>
      <w:r>
        <w:t>, ki se nahajajo v državi, v kateri so predmet kapitalskih zahtev. V primeru listinjenj, ki vključujejo več subjektov iste konsolidirane skupine, se predloži podrobna razčlen</w:t>
      </w:r>
      <w:r>
        <w:t>i</w:t>
      </w:r>
      <w:r>
        <w:t xml:space="preserve">tev po subjektih. </w:t>
      </w:r>
    </w:p>
    <w:p w:rsidR="00612780" w:rsidRPr="00392FFD" w:rsidRDefault="00125707" w:rsidP="00C37B29">
      <w:pPr>
        <w:pStyle w:val="InstructionsText2"/>
        <w:numPr>
          <w:ilvl w:val="0"/>
          <w:numId w:val="0"/>
        </w:numPr>
        <w:ind w:left="993"/>
      </w:pPr>
      <w:r>
        <w:t>112.</w:t>
      </w:r>
      <w:r>
        <w:tab/>
        <w:t>V smislu člena 406(1) CRR, ki določa, da institucije, ki vlagajo v pozicije v li</w:t>
      </w:r>
      <w:r>
        <w:t>s</w:t>
      </w:r>
      <w:r>
        <w:t>tinjenju, pridobijo veliko informacij o njih, da so v skladu z zahtevami glede skr</w:t>
      </w:r>
      <w:r>
        <w:t>b</w:t>
      </w:r>
      <w:r>
        <w:t>nega pregleda, se obseg poročanja predloge v omejenem obsegu uporablja za inve</w:t>
      </w:r>
      <w:r>
        <w:t>s</w:t>
      </w:r>
      <w:r>
        <w:t>titorje. Izpolnijo se zlasti stolpci 010–040; 070–110; 160; 190; 290–400; 420–470.</w:t>
      </w:r>
    </w:p>
    <w:p w:rsidR="00612780" w:rsidRPr="00392FFD" w:rsidRDefault="00125707" w:rsidP="00C37B29">
      <w:pPr>
        <w:pStyle w:val="InstructionsText2"/>
        <w:numPr>
          <w:ilvl w:val="0"/>
          <w:numId w:val="0"/>
        </w:numPr>
        <w:ind w:left="993"/>
      </w:pPr>
      <w:r>
        <w:lastRenderedPageBreak/>
        <w:t>113.</w:t>
      </w:r>
      <w:r>
        <w:tab/>
        <w:t xml:space="preserve">Institucije, ki imajo vlogo prvotnih kreditodajalcev (ter hkrati nimajo vloge </w:t>
      </w:r>
      <w:proofErr w:type="spellStart"/>
      <w:r>
        <w:t>originatorjev</w:t>
      </w:r>
      <w:proofErr w:type="spellEnd"/>
      <w:r>
        <w:t xml:space="preserve"> ali sponzorjev v okviru istega listinjenja), na splošno izpolnijo predl</w:t>
      </w:r>
      <w:r>
        <w:t>o</w:t>
      </w:r>
      <w:r>
        <w:t>go v istem obsegu kot investitorji.</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87" w:name="_Toc310415048"/>
      <w:bookmarkStart w:id="488" w:name="_Toc360188383"/>
      <w:bookmarkStart w:id="489" w:name="_Toc516210669"/>
      <w:bookmarkStart w:id="490" w:name="_Toc473560934"/>
      <w:bookmarkStart w:id="491" w:name="_Toc523474418"/>
      <w:r>
        <w:rPr>
          <w:rFonts w:ascii="Times New Roman" w:hAnsi="Times New Roman"/>
          <w:sz w:val="24"/>
          <w:u w:val="none"/>
        </w:rPr>
        <w:t>3.9.2.</w:t>
      </w:r>
      <w:r w:rsidR="003F40E8" w:rsidRPr="003F40E8">
        <w:rPr>
          <w:u w:val="none"/>
        </w:rPr>
        <w:tab/>
      </w:r>
      <w:r>
        <w:rPr>
          <w:rFonts w:ascii="Times New Roman" w:hAnsi="Times New Roman"/>
          <w:sz w:val="24"/>
        </w:rPr>
        <w:t>Navodila za posamezne pozicije</w:t>
      </w:r>
      <w:bookmarkEnd w:id="487"/>
      <w:bookmarkEnd w:id="488"/>
      <w:bookmarkEnd w:id="489"/>
      <w:bookmarkEnd w:id="490"/>
      <w:bookmarkEnd w:id="491"/>
    </w:p>
    <w:p w:rsidR="00612780" w:rsidRPr="00392FFD" w:rsidRDefault="00612780" w:rsidP="00612780">
      <w:pPr>
        <w:autoSpaceDE w:val="0"/>
        <w:autoSpaceDN w:val="0"/>
        <w:adjustRightInd w:val="0"/>
        <w:spacing w:before="0" w:after="0"/>
        <w:ind w:left="284"/>
        <w:jc w:val="left"/>
        <w:rPr>
          <w:rFonts w:ascii="Times New Roman" w:hAnsi="Times New Roman"/>
          <w:sz w:val="24"/>
        </w:rPr>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Stolpci</w:t>
            </w:r>
          </w:p>
          <w:p w:rsidR="00612780" w:rsidRPr="00392FFD" w:rsidRDefault="00612780" w:rsidP="00612780">
            <w:pPr>
              <w:autoSpaceDE w:val="0"/>
              <w:autoSpaceDN w:val="0"/>
              <w:adjustRightInd w:val="0"/>
              <w:spacing w:before="0" w:after="0"/>
              <w:rPr>
                <w:rFonts w:ascii="Times New Roman" w:hAnsi="Times New Roman"/>
                <w:bCs/>
                <w:sz w:val="24"/>
              </w:rPr>
            </w:pPr>
          </w:p>
        </w:tc>
      </w:tr>
      <w:tr w:rsidR="007F7831" w:rsidRPr="00392FFD" w:rsidTr="00672D2A">
        <w:tc>
          <w:tcPr>
            <w:tcW w:w="1101" w:type="dxa"/>
          </w:tcPr>
          <w:p w:rsidR="007F7831" w:rsidRPr="00392FFD" w:rsidRDefault="007F7831" w:rsidP="00612780">
            <w:pPr>
              <w:autoSpaceDE w:val="0"/>
              <w:autoSpaceDN w:val="0"/>
              <w:adjustRightInd w:val="0"/>
              <w:spacing w:before="0" w:after="0"/>
              <w:rPr>
                <w:rFonts w:ascii="Times New Roman" w:hAnsi="Times New Roman"/>
                <w:bCs/>
                <w:sz w:val="24"/>
              </w:rPr>
            </w:pPr>
            <w:r>
              <w:rPr>
                <w:rFonts w:ascii="Times New Roman" w:hAnsi="Times New Roman"/>
                <w:sz w:val="24"/>
              </w:rPr>
              <w:t>005</w:t>
            </w:r>
          </w:p>
        </w:tc>
        <w:tc>
          <w:tcPr>
            <w:tcW w:w="7903" w:type="dxa"/>
          </w:tcPr>
          <w:p w:rsidR="007F7831" w:rsidRPr="00392FFD" w:rsidRDefault="007F7831" w:rsidP="00612780">
            <w:pPr>
              <w:spacing w:before="0" w:after="0"/>
              <w:jc w:val="left"/>
              <w:rPr>
                <w:rFonts w:ascii="Times New Roman" w:hAnsi="Times New Roman"/>
                <w:b/>
                <w:sz w:val="24"/>
                <w:u w:val="single"/>
              </w:rPr>
            </w:pPr>
            <w:r>
              <w:rPr>
                <w:rFonts w:ascii="Times New Roman" w:hAnsi="Times New Roman"/>
                <w:b/>
                <w:sz w:val="24"/>
                <w:u w:val="single"/>
              </w:rPr>
              <w:t>ŠTEVILKA VRSTICE</w:t>
            </w:r>
          </w:p>
          <w:p w:rsidR="007F7831" w:rsidRPr="00392FFD" w:rsidRDefault="007F7831" w:rsidP="00612780">
            <w:pPr>
              <w:spacing w:before="0" w:after="0"/>
              <w:jc w:val="left"/>
              <w:rPr>
                <w:rFonts w:ascii="Times New Roman" w:hAnsi="Times New Roman"/>
                <w:b/>
                <w:sz w:val="24"/>
                <w:u w:val="single"/>
              </w:rPr>
            </w:pPr>
          </w:p>
          <w:p w:rsidR="007F7831" w:rsidRPr="00392FFD" w:rsidRDefault="007F7831" w:rsidP="00FF2D0E">
            <w:pPr>
              <w:autoSpaceDE w:val="0"/>
              <w:autoSpaceDN w:val="0"/>
              <w:adjustRightInd w:val="0"/>
              <w:spacing w:before="0" w:after="0"/>
              <w:rPr>
                <w:rFonts w:ascii="Times New Roman" w:hAnsi="Times New Roman"/>
                <w:sz w:val="24"/>
              </w:rPr>
            </w:pPr>
            <w:r>
              <w:rPr>
                <w:rFonts w:ascii="Times New Roman" w:hAnsi="Times New Roman"/>
                <w:sz w:val="24"/>
              </w:rPr>
              <w:t>Številka vrstice je identifikator vrstice in je enoznačna za vsako vrstico v tabeli. Sledi številčnemu zaporedju 1, 2, 3 itd.</w:t>
            </w:r>
          </w:p>
          <w:p w:rsidR="007F7831" w:rsidRPr="00392FFD" w:rsidRDefault="007F7831" w:rsidP="00FF2D0E">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010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INTERNA EVIDENČNA ŠTEVILKA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Interna (</w:t>
            </w:r>
            <w:proofErr w:type="spellStart"/>
            <w:r>
              <w:rPr>
                <w:rFonts w:ascii="Times New Roman" w:hAnsi="Times New Roman"/>
                <w:sz w:val="24"/>
              </w:rPr>
              <w:t>alfanumerična</w:t>
            </w:r>
            <w:proofErr w:type="spellEnd"/>
            <w:r>
              <w:rPr>
                <w:rFonts w:ascii="Times New Roman" w:hAnsi="Times New Roman"/>
                <w:sz w:val="24"/>
              </w:rPr>
              <w:t>) evidenčna številka, ki jo institucija uporablja za ident</w:t>
            </w:r>
            <w:r>
              <w:rPr>
                <w:rFonts w:ascii="Times New Roman" w:hAnsi="Times New Roman"/>
                <w:sz w:val="24"/>
              </w:rPr>
              <w:t>i</w:t>
            </w:r>
            <w:r>
              <w:rPr>
                <w:rFonts w:ascii="Times New Roman" w:hAnsi="Times New Roman"/>
                <w:sz w:val="24"/>
              </w:rPr>
              <w:t>fikacijo listinjenja. Notranja evidenčna številka je povezana z oznako listinje</w:t>
            </w:r>
            <w:r>
              <w:rPr>
                <w:rFonts w:ascii="Times New Roman" w:hAnsi="Times New Roman"/>
                <w:sz w:val="24"/>
              </w:rPr>
              <w:t>n</w:t>
            </w:r>
            <w:r>
              <w:rPr>
                <w:rFonts w:ascii="Times New Roman" w:hAnsi="Times New Roman"/>
                <w:sz w:val="24"/>
              </w:rPr>
              <w:t>ja.</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OZNAKA LISTINJENJA</w:t>
            </w:r>
            <w:r>
              <w:rPr>
                <w:rFonts w:ascii="Times New Roman" w:hAnsi="Times New Roman"/>
                <w:b/>
                <w:sz w:val="24"/>
              </w:rPr>
              <w:t xml:space="preserve"> (Koda/ime)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Koda, uporabljena za pravno registracijo listinjenja ali, če ta ni na voljo, ime, po katerem je listinjenje znano na trgu. Kadar je na voljo mednarodna identif</w:t>
            </w:r>
            <w:r>
              <w:rPr>
                <w:rFonts w:ascii="Times New Roman" w:hAnsi="Times New Roman"/>
                <w:sz w:val="24"/>
              </w:rPr>
              <w:t>i</w:t>
            </w:r>
            <w:r>
              <w:rPr>
                <w:rFonts w:ascii="Times New Roman" w:hAnsi="Times New Roman"/>
                <w:sz w:val="24"/>
              </w:rPr>
              <w:t>kacijska številka vrednostnega papirja ali ISIN (tj. za javne posle), se znaki, ki so skupni vsem tranšam listinjenja, sporočijo v tem stolpcu.</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OZNAKA ORIGINATORJA</w:t>
            </w:r>
            <w:r>
              <w:rPr>
                <w:rFonts w:ascii="Times New Roman" w:hAnsi="Times New Roman"/>
                <w:b/>
                <w:sz w:val="24"/>
              </w:rPr>
              <w:t xml:space="preserve"> (Koda/ime)</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tem stolpcu se sporoči koda, ki jo dodeli nadzorni organ originatorja ali, če ta ni na voljo, ime institucije same.</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primeru listinjenj z več prodajalci subjekt, ki poroča, navede oznake vseh subjektov iz svoje konsolidirane skupine, ki so vključeni (kot originator, spo</w:t>
            </w:r>
            <w:r>
              <w:rPr>
                <w:rFonts w:ascii="Times New Roman" w:hAnsi="Times New Roman"/>
                <w:sz w:val="24"/>
              </w:rPr>
              <w:t>n</w:t>
            </w:r>
            <w:r>
              <w:rPr>
                <w:rFonts w:ascii="Times New Roman" w:hAnsi="Times New Roman"/>
                <w:sz w:val="24"/>
              </w:rPr>
              <w:t>zor ali prvotni kreditodajalec) v posel. Kadar koda ni na voljo ali je subjekt, ki poroča, ne pozna, se sporoči ime institucije.</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VRSTA LISTINJENJA: (TRADICIONALNO/SINTETIČNO)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Sporočijo se naslednje okrajšave:</w:t>
            </w:r>
            <w:r>
              <w:rPr>
                <w:rFonts w:ascii="Times New Roman" w:hAnsi="Times New Roman"/>
                <w:sz w:val="24"/>
              </w:rPr>
              <w:br/>
              <w:t>– „T“ za tradicionalno,</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za sintetično.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Opredelitvi „tradicionalnega listinjenja“ in „sintetičnega listinjenja“ sta podani v členu 242(10) in (11) CRR.</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RAČUNOVODSKA OBRAVNAVA: SE LISTINJENE IZPOSTAVLJ</w:t>
            </w:r>
            <w:r>
              <w:rPr>
                <w:rFonts w:ascii="Times New Roman" w:hAnsi="Times New Roman"/>
                <w:b/>
                <w:sz w:val="24"/>
                <w:u w:val="single"/>
              </w:rPr>
              <w:t>E</w:t>
            </w:r>
            <w:r>
              <w:rPr>
                <w:rFonts w:ascii="Times New Roman" w:hAnsi="Times New Roman"/>
                <w:b/>
                <w:sz w:val="24"/>
                <w:u w:val="single"/>
              </w:rPr>
              <w:t>NOSTI OHRANIJO ALI IZKLJUČIJO IZ BILANCE STANJA?</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706D25" w:rsidP="00612780">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Originatorji, sponzorji ali prvotni kreditodajalci sporočijo eno od naslednjih okrajšav:</w:t>
            </w:r>
          </w:p>
          <w:p w:rsidR="00612780" w:rsidRPr="00392FFD" w:rsidRDefault="00612780" w:rsidP="00612780">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če so v celoti pripoznane,</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„P“, če je pripoznanje delno odpravljeno,</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„R“, če je pripoznanje v celoti odpravljeno,</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„N“, če se ne uporablja.</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V tem stolpcu je povzeta računovodska obravnava posla.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primeru sintetičnih listinjenj originatorji sporočijo, da so listinjene izposta</w:t>
            </w:r>
            <w:r>
              <w:rPr>
                <w:rFonts w:ascii="Times New Roman" w:hAnsi="Times New Roman"/>
                <w:sz w:val="24"/>
              </w:rPr>
              <w:t>v</w:t>
            </w:r>
            <w:r>
              <w:rPr>
                <w:rFonts w:ascii="Times New Roman" w:hAnsi="Times New Roman"/>
                <w:sz w:val="24"/>
              </w:rPr>
              <w:t>ljenosti izključene iz bilance stanja.</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Originatorji v primeru listinjenj obveznosti tega stolpca ne izpolnijo.</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Možnost „P“ (delno opravljeno) se sporoči, če so listinjena sredstva pripoznana v bilanci stanja v obsegu, v katerem je subjekt, ki poroča, še naprej udeležen v njih v skladu s 3.2.16.–3.2.21. členom MSRP 9. </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060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OBRAVNAVA KAPITALSKE USTREZNOSTI: SO POZICIJE V LI</w:t>
            </w:r>
            <w:r>
              <w:rPr>
                <w:rFonts w:ascii="Times New Roman" w:hAnsi="Times New Roman"/>
                <w:b/>
                <w:sz w:val="24"/>
                <w:u w:val="single"/>
              </w:rPr>
              <w:t>S</w:t>
            </w:r>
            <w:r>
              <w:rPr>
                <w:rFonts w:ascii="Times New Roman" w:hAnsi="Times New Roman"/>
                <w:b/>
                <w:sz w:val="24"/>
                <w:u w:val="single"/>
              </w:rPr>
              <w:t>TINJENJU PREDMET KAPITALSKIH ZAHTEV?</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Naslednje okrajšave sporočijo le originatorji: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„N“, ni predmet kapitalskih zahtev,</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„B“, netrgovalna knjiga,</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„T“, trgovalna knjiga,</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„A“, delno v obeh knjigah.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Členi 109, 243 in 244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V tem stolpcu je povzeta obravnava kapitalske ustreznosti sheme listinjenja s strani originatorja. V njem je navedeno, ali so kapitalske zahteve izračunane v skladu z </w:t>
            </w:r>
            <w:proofErr w:type="spellStart"/>
            <w:r>
              <w:rPr>
                <w:rFonts w:ascii="Times New Roman" w:hAnsi="Times New Roman"/>
                <w:sz w:val="24"/>
              </w:rPr>
              <w:t>listinjenimi</w:t>
            </w:r>
            <w:proofErr w:type="spellEnd"/>
            <w:r>
              <w:rPr>
                <w:rFonts w:ascii="Times New Roman" w:hAnsi="Times New Roman"/>
                <w:sz w:val="24"/>
              </w:rPr>
              <w:t xml:space="preserve"> izpostavljenostmi ali pozicijami v listinjenju (netrgovalna knjiga/trgovalna knjiga).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Če kapitalske zahteve temeljijo na </w:t>
            </w:r>
            <w:r>
              <w:rPr>
                <w:rFonts w:ascii="Times New Roman" w:hAnsi="Times New Roman"/>
                <w:i/>
                <w:sz w:val="24"/>
              </w:rPr>
              <w:t>listinjenih izpostavljenostih</w:t>
            </w:r>
            <w:r>
              <w:rPr>
                <w:rFonts w:ascii="Times New Roman" w:hAnsi="Times New Roman"/>
                <w:sz w:val="24"/>
              </w:rPr>
              <w:t xml:space="preserve"> (ker ne predsta</w:t>
            </w:r>
            <w:r>
              <w:rPr>
                <w:rFonts w:ascii="Times New Roman" w:hAnsi="Times New Roman"/>
                <w:sz w:val="24"/>
              </w:rPr>
              <w:t>v</w:t>
            </w:r>
            <w:r>
              <w:rPr>
                <w:rFonts w:ascii="Times New Roman" w:hAnsi="Times New Roman"/>
                <w:sz w:val="24"/>
              </w:rPr>
              <w:t>ljajo prenosa pomembnega deleža tveganja), se izračun kapitalskih zahtev za kreditno tveganje sporoči v predlogi CR SA, če institucija uporabi standardiz</w:t>
            </w:r>
            <w:r>
              <w:rPr>
                <w:rFonts w:ascii="Times New Roman" w:hAnsi="Times New Roman"/>
                <w:sz w:val="24"/>
              </w:rPr>
              <w:t>i</w:t>
            </w:r>
            <w:r>
              <w:rPr>
                <w:rFonts w:ascii="Times New Roman" w:hAnsi="Times New Roman"/>
                <w:sz w:val="24"/>
              </w:rPr>
              <w:t>rani pristop, ali v predlogi CR IRB, če uporabi pristop IRB.</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Če kapitalske zahteve temeljijo na </w:t>
            </w:r>
            <w:r>
              <w:rPr>
                <w:rFonts w:ascii="Times New Roman" w:hAnsi="Times New Roman"/>
                <w:i/>
                <w:sz w:val="24"/>
              </w:rPr>
              <w:t>pozicijah v listinjenju v netrgovalni knjigi</w:t>
            </w:r>
            <w:r>
              <w:rPr>
                <w:rFonts w:ascii="Times New Roman" w:hAnsi="Times New Roman"/>
                <w:sz w:val="24"/>
              </w:rPr>
              <w:t xml:space="preserve"> (ker predstavljajo prenos pomembnega deleža tveganja), se izračun kapitalskih zahtev za kreditno tveganje sporoči v predlogi CR SEC SA ali v predlogi CR SEC IRB. V primeru </w:t>
            </w:r>
            <w:r>
              <w:rPr>
                <w:rFonts w:ascii="Times New Roman" w:hAnsi="Times New Roman"/>
                <w:i/>
                <w:sz w:val="24"/>
              </w:rPr>
              <w:t>pozicij v listinjenju v trgovalni knjigi</w:t>
            </w:r>
            <w:r>
              <w:rPr>
                <w:rFonts w:ascii="Times New Roman" w:hAnsi="Times New Roman"/>
                <w:sz w:val="24"/>
              </w:rPr>
              <w:t xml:space="preserve"> se izračun kapita</w:t>
            </w:r>
            <w:r>
              <w:rPr>
                <w:rFonts w:ascii="Times New Roman" w:hAnsi="Times New Roman"/>
                <w:sz w:val="24"/>
              </w:rPr>
              <w:t>l</w:t>
            </w:r>
            <w:r>
              <w:rPr>
                <w:rFonts w:ascii="Times New Roman" w:hAnsi="Times New Roman"/>
                <w:sz w:val="24"/>
              </w:rPr>
              <w:t>skih zahtev za tržno tveganje sporoči v predlogah MKR SA TDI (standardizir</w:t>
            </w:r>
            <w:r>
              <w:rPr>
                <w:rFonts w:ascii="Times New Roman" w:hAnsi="Times New Roman"/>
                <w:sz w:val="24"/>
              </w:rPr>
              <w:t>a</w:t>
            </w:r>
            <w:r>
              <w:rPr>
                <w:rFonts w:ascii="Times New Roman" w:hAnsi="Times New Roman"/>
                <w:sz w:val="24"/>
              </w:rPr>
              <w:t>no splošno pozicijsko tveganje) in MKR SA SEC ali MKR SA CTP (standard</w:t>
            </w:r>
            <w:r>
              <w:rPr>
                <w:rFonts w:ascii="Times New Roman" w:hAnsi="Times New Roman"/>
                <w:sz w:val="24"/>
              </w:rPr>
              <w:t>i</w:t>
            </w:r>
            <w:r>
              <w:rPr>
                <w:rFonts w:ascii="Times New Roman" w:hAnsi="Times New Roman"/>
                <w:sz w:val="24"/>
              </w:rPr>
              <w:t>zirano posebno pozicijsko tveganje) ali v MKR IM (notranji modeli).</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primeru listinjenj obveznosti originatorji tega stolpca ne sporočijo.</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LISTINJENJE ALI RELISTINJENJE?</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V skladu z opredelitvami „listinjenja“ in „</w:t>
            </w:r>
            <w:proofErr w:type="spellStart"/>
            <w:r>
              <w:rPr>
                <w:rFonts w:ascii="Times New Roman" w:hAnsi="Times New Roman"/>
                <w:sz w:val="24"/>
              </w:rPr>
              <w:t>relistinjenja</w:t>
            </w:r>
            <w:proofErr w:type="spellEnd"/>
            <w:r>
              <w:rPr>
                <w:rFonts w:ascii="Times New Roman" w:hAnsi="Times New Roman"/>
                <w:sz w:val="24"/>
              </w:rPr>
              <w:t>“ iz člena 4(1)(61) in (62) do (64) CRR se sporoči vrsta osnovnih izpostavljenosti z uporabo naslednjih kratic:</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„S“ za listinjenje,</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„R“ za </w:t>
            </w:r>
            <w:proofErr w:type="spellStart"/>
            <w:r>
              <w:rPr>
                <w:rFonts w:ascii="Times New Roman" w:hAnsi="Times New Roman"/>
                <w:sz w:val="24"/>
              </w:rPr>
              <w:t>relistinjenje</w:t>
            </w:r>
            <w:proofErr w:type="spellEnd"/>
            <w:r>
              <w:rPr>
                <w:rFonts w:ascii="Times New Roman" w:hAnsi="Times New Roman"/>
                <w:sz w:val="24"/>
              </w:rPr>
              <w:t>.</w:t>
            </w:r>
          </w:p>
          <w:p w:rsidR="00612780" w:rsidRPr="00392FFD" w:rsidRDefault="00612780" w:rsidP="00612780">
            <w:pPr>
              <w:spacing w:before="0" w:after="0"/>
              <w:jc w:val="left"/>
              <w:rPr>
                <w:rFonts w:ascii="Times New Roman" w:hAnsi="Times New Roman"/>
                <w:b/>
                <w:sz w:val="24"/>
                <w:u w:val="single"/>
              </w:rPr>
            </w:pPr>
          </w:p>
        </w:tc>
      </w:tr>
      <w:tr w:rsidR="00CE4C49" w:rsidRPr="00392FFD" w:rsidTr="00672D2A">
        <w:tc>
          <w:tcPr>
            <w:tcW w:w="1101" w:type="dxa"/>
          </w:tcPr>
          <w:p w:rsidR="00CE4C49" w:rsidRPr="00392FFD" w:rsidRDefault="00CE4C49"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075</w:t>
            </w:r>
          </w:p>
        </w:tc>
        <w:tc>
          <w:tcPr>
            <w:tcW w:w="7903" w:type="dxa"/>
          </w:tcPr>
          <w:p w:rsidR="00CE4C49" w:rsidRDefault="00CE4C49" w:rsidP="00CE4C49">
            <w:pPr>
              <w:tabs>
                <w:tab w:val="left" w:pos="3274"/>
              </w:tabs>
              <w:spacing w:before="0" w:after="0"/>
              <w:jc w:val="left"/>
              <w:rPr>
                <w:rFonts w:ascii="Times New Roman" w:hAnsi="Times New Roman"/>
                <w:b/>
                <w:sz w:val="24"/>
                <w:u w:val="single"/>
              </w:rPr>
            </w:pPr>
            <w:r>
              <w:rPr>
                <w:rFonts w:ascii="Times New Roman" w:hAnsi="Times New Roman"/>
                <w:b/>
                <w:sz w:val="24"/>
                <w:u w:val="single"/>
              </w:rPr>
              <w:t>LISTINJENJE STS</w:t>
            </w:r>
          </w:p>
          <w:p w:rsidR="006B4AC8" w:rsidRDefault="006B4AC8" w:rsidP="00CE4C49">
            <w:pPr>
              <w:spacing w:before="0" w:after="0"/>
              <w:jc w:val="left"/>
              <w:rPr>
                <w:rFonts w:ascii="Times New Roman" w:hAnsi="Times New Roman"/>
                <w:sz w:val="24"/>
              </w:rPr>
            </w:pPr>
          </w:p>
          <w:p w:rsidR="00CE4C49" w:rsidRDefault="006B4AC8" w:rsidP="00CE4C49">
            <w:pPr>
              <w:spacing w:before="0" w:after="0"/>
              <w:jc w:val="left"/>
              <w:rPr>
                <w:rFonts w:ascii="Times New Roman" w:hAnsi="Times New Roman"/>
                <w:sz w:val="24"/>
              </w:rPr>
            </w:pPr>
            <w:r>
              <w:rPr>
                <w:rFonts w:ascii="Times New Roman" w:hAnsi="Times New Roman"/>
                <w:sz w:val="24"/>
              </w:rPr>
              <w:t>Člen 18 Uredbe (EU) 2017/2402.</w:t>
            </w:r>
          </w:p>
          <w:p w:rsidR="006B4AC8" w:rsidRDefault="006B4AC8" w:rsidP="00CE4C49">
            <w:pPr>
              <w:spacing w:before="0" w:after="0"/>
              <w:jc w:val="left"/>
              <w:rPr>
                <w:rFonts w:ascii="Times New Roman" w:hAnsi="Times New Roman"/>
                <w:sz w:val="24"/>
              </w:rPr>
            </w:pPr>
          </w:p>
          <w:p w:rsidR="00CE4C49" w:rsidRDefault="00CE4C49" w:rsidP="00CE4C49">
            <w:pPr>
              <w:spacing w:before="0" w:after="0"/>
              <w:jc w:val="left"/>
              <w:rPr>
                <w:rFonts w:ascii="Times New Roman" w:hAnsi="Times New Roman"/>
                <w:sz w:val="24"/>
              </w:rPr>
            </w:pPr>
            <w:r>
              <w:rPr>
                <w:rFonts w:ascii="Times New Roman" w:hAnsi="Times New Roman"/>
                <w:sz w:val="24"/>
              </w:rPr>
              <w:t>Sporočite eno od naslednjih okrajšav:</w:t>
            </w:r>
          </w:p>
          <w:p w:rsidR="006B4AC8" w:rsidRDefault="006B4AC8" w:rsidP="00CE4C49">
            <w:pPr>
              <w:spacing w:before="0" w:after="0"/>
              <w:jc w:val="left"/>
              <w:rPr>
                <w:rFonts w:ascii="Times New Roman" w:hAnsi="Times New Roman"/>
                <w:sz w:val="24"/>
              </w:rPr>
            </w:pPr>
            <w:r>
              <w:rPr>
                <w:rFonts w:ascii="Times New Roman" w:hAnsi="Times New Roman"/>
                <w:sz w:val="24"/>
              </w:rPr>
              <w:t>Y – Da</w:t>
            </w:r>
          </w:p>
          <w:p w:rsidR="006B4AC8" w:rsidRDefault="006B4AC8" w:rsidP="00CE4C49">
            <w:pPr>
              <w:spacing w:before="0" w:after="0"/>
              <w:jc w:val="left"/>
              <w:rPr>
                <w:rFonts w:ascii="Times New Roman" w:hAnsi="Times New Roman"/>
                <w:sz w:val="24"/>
              </w:rPr>
            </w:pPr>
            <w:r>
              <w:rPr>
                <w:rFonts w:ascii="Times New Roman" w:hAnsi="Times New Roman"/>
                <w:sz w:val="24"/>
              </w:rPr>
              <w:t>N – Ne</w:t>
            </w:r>
          </w:p>
          <w:p w:rsidR="00CE4C49" w:rsidRPr="00392FFD" w:rsidRDefault="00CE4C49" w:rsidP="006B4AC8">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Pr>
                <w:rFonts w:ascii="Times New Roman" w:hAnsi="Times New Roman"/>
                <w:sz w:val="24"/>
              </w:rPr>
              <w:t>080–100</w:t>
            </w:r>
          </w:p>
        </w:tc>
        <w:tc>
          <w:tcPr>
            <w:tcW w:w="7903" w:type="dxa"/>
          </w:tcPr>
          <w:p w:rsidR="00612780" w:rsidRPr="00392FFD" w:rsidRDefault="00612780" w:rsidP="00612780">
            <w:pPr>
              <w:spacing w:before="0" w:after="0"/>
              <w:jc w:val="left"/>
              <w:rPr>
                <w:rFonts w:ascii="Times New Roman" w:hAnsi="Times New Roman"/>
                <w:sz w:val="24"/>
              </w:rPr>
            </w:pPr>
            <w:r>
              <w:rPr>
                <w:rFonts w:ascii="Times New Roman" w:hAnsi="Times New Roman"/>
                <w:b/>
                <w:sz w:val="24"/>
                <w:u w:val="single"/>
              </w:rPr>
              <w:t>ZADRŽANJE</w:t>
            </w:r>
          </w:p>
          <w:p w:rsidR="00612780" w:rsidRPr="00392FFD" w:rsidRDefault="00612780" w:rsidP="00612780">
            <w:pPr>
              <w:spacing w:before="0" w:after="0"/>
              <w:jc w:val="left"/>
              <w:rPr>
                <w:rFonts w:ascii="Times New Roman" w:hAnsi="Times New Roman"/>
                <w:sz w:val="24"/>
              </w:rPr>
            </w:pPr>
            <w:r>
              <w:rPr>
                <w:rFonts w:ascii="Times New Roman" w:hAnsi="Times New Roman"/>
                <w:sz w:val="24"/>
              </w:rPr>
              <w:t>Členi 404 do 410 CRR.</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UPORABLJENA VRSTA ZADRŽANJA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Za vsako prvotno shemo listinjenja se sporoči ustrezna vrsta zadržanja neto ekonomskega deleža, kot določa člen 405 CRR:</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A – navpični delež (pozicije v listinjenju): </w:t>
            </w:r>
            <w:r>
              <w:rPr>
                <w:rFonts w:ascii="Times New Roman" w:hAnsi="Times New Roman"/>
                <w:i/>
                <w:sz w:val="24"/>
              </w:rPr>
              <w:t xml:space="preserve">„zadržanje najmanj 5 % nominalne vrednosti vsake prodane ali na investitorje prenesene tranše“;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 – navpični delež (listinjene izpostavljenosti): zadržanje najmanj</w:t>
            </w:r>
            <w:r>
              <w:rPr>
                <w:rFonts w:ascii="Times New Roman" w:hAnsi="Times New Roman"/>
                <w:i/>
                <w:sz w:val="24"/>
              </w:rPr>
              <w:t xml:space="preserve"> </w:t>
            </w:r>
            <w:r>
              <w:rPr>
                <w:rFonts w:ascii="Times New Roman" w:hAnsi="Times New Roman"/>
                <w:sz w:val="24"/>
              </w:rPr>
              <w:t>5 % kredi</w:t>
            </w:r>
            <w:r>
              <w:rPr>
                <w:rFonts w:ascii="Times New Roman" w:hAnsi="Times New Roman"/>
                <w:sz w:val="24"/>
              </w:rPr>
              <w:t>t</w:t>
            </w:r>
            <w:r>
              <w:rPr>
                <w:rFonts w:ascii="Times New Roman" w:hAnsi="Times New Roman"/>
                <w:sz w:val="24"/>
              </w:rPr>
              <w:t xml:space="preserve">nega tveganja vsake listinjene izpostavljenosti, če je tako zadržano kreditno tveganje v zvezi s temi </w:t>
            </w:r>
            <w:proofErr w:type="spellStart"/>
            <w:r>
              <w:rPr>
                <w:rFonts w:ascii="Times New Roman" w:hAnsi="Times New Roman"/>
                <w:sz w:val="24"/>
              </w:rPr>
              <w:t>listinjenimi</w:t>
            </w:r>
            <w:proofErr w:type="spellEnd"/>
            <w:r>
              <w:rPr>
                <w:rFonts w:ascii="Times New Roman" w:hAnsi="Times New Roman"/>
                <w:sz w:val="24"/>
              </w:rPr>
              <w:t xml:space="preserve"> izpostavljenostmi vedno uvrščeno enako</w:t>
            </w:r>
            <w:r>
              <w:rPr>
                <w:rFonts w:ascii="Times New Roman" w:hAnsi="Times New Roman"/>
                <w:sz w:val="24"/>
              </w:rPr>
              <w:t>v</w:t>
            </w:r>
            <w:r>
              <w:rPr>
                <w:rFonts w:ascii="Times New Roman" w:hAnsi="Times New Roman"/>
                <w:sz w:val="24"/>
              </w:rPr>
              <w:t xml:space="preserve">redno s kreditnim tveganjem, ki je bilo </w:t>
            </w:r>
            <w:proofErr w:type="spellStart"/>
            <w:r>
              <w:rPr>
                <w:rFonts w:ascii="Times New Roman" w:hAnsi="Times New Roman"/>
                <w:sz w:val="24"/>
              </w:rPr>
              <w:t>listinjeno</w:t>
            </w:r>
            <w:proofErr w:type="spellEnd"/>
            <w:r>
              <w:rPr>
                <w:rFonts w:ascii="Times New Roman" w:hAnsi="Times New Roman"/>
                <w:sz w:val="24"/>
              </w:rPr>
              <w:t xml:space="preserve"> v zvezi z zadevnimi izposta</w:t>
            </w:r>
            <w:r>
              <w:rPr>
                <w:rFonts w:ascii="Times New Roman" w:hAnsi="Times New Roman"/>
                <w:sz w:val="24"/>
              </w:rPr>
              <w:t>v</w:t>
            </w:r>
            <w:r>
              <w:rPr>
                <w:rFonts w:ascii="Times New Roman" w:hAnsi="Times New Roman"/>
                <w:sz w:val="24"/>
              </w:rPr>
              <w:t>ljenostmi, ali mu je podrejeno.</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B – obnavljajoče se izpostavljenosti „</w:t>
            </w:r>
            <w:r>
              <w:rPr>
                <w:rFonts w:ascii="Times New Roman" w:hAnsi="Times New Roman"/>
                <w:i/>
                <w:sz w:val="24"/>
              </w:rPr>
              <w:t>v primeru listinjenja obnavljajočih se izpostavljenosti zadržanje deleža originatorja v višini najmanj 5 % nominalne vrednosti listinjenih izpostavljenosti</w:t>
            </w:r>
            <w:r>
              <w:rPr>
                <w:rFonts w:ascii="Times New Roman" w:hAnsi="Times New Roman"/>
                <w:sz w:val="24"/>
              </w:rPr>
              <w:t xml:space="preserve">“.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C – bilanca stanja: „</w:t>
            </w:r>
            <w:r>
              <w:rPr>
                <w:rFonts w:ascii="Times New Roman" w:hAnsi="Times New Roman"/>
                <w:i/>
                <w:sz w:val="24"/>
              </w:rPr>
              <w:t>zadržanje naključno izbranih izpostavljenosti, ki ustrezajo vsaj 5 % nominalne vrednosti listinjenih izpostavljenosti, če bi bile take izpo</w:t>
            </w:r>
            <w:r>
              <w:rPr>
                <w:rFonts w:ascii="Times New Roman" w:hAnsi="Times New Roman"/>
                <w:i/>
                <w:sz w:val="24"/>
              </w:rPr>
              <w:t>s</w:t>
            </w:r>
            <w:r>
              <w:rPr>
                <w:rFonts w:ascii="Times New Roman" w:hAnsi="Times New Roman"/>
                <w:i/>
                <w:sz w:val="24"/>
              </w:rPr>
              <w:t>tavljenosti sicer listinjene v tem listinjenju, pod pogojem, da je število potenc</w:t>
            </w:r>
            <w:r>
              <w:rPr>
                <w:rFonts w:ascii="Times New Roman" w:hAnsi="Times New Roman"/>
                <w:i/>
                <w:sz w:val="24"/>
              </w:rPr>
              <w:t>i</w:t>
            </w:r>
            <w:r>
              <w:rPr>
                <w:rFonts w:ascii="Times New Roman" w:hAnsi="Times New Roman"/>
                <w:i/>
                <w:sz w:val="24"/>
              </w:rPr>
              <w:t>alno listinjenih izpostavljenosti ob izvedbi listinjenja najmanj 100</w:t>
            </w:r>
            <w:r>
              <w:rPr>
                <w:rFonts w:ascii="Times New Roman" w:hAnsi="Times New Roman"/>
                <w:sz w:val="24"/>
              </w:rPr>
              <w: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D – prva izguba: „</w:t>
            </w:r>
            <w:r>
              <w:rPr>
                <w:rFonts w:ascii="Times New Roman" w:hAnsi="Times New Roman"/>
                <w:i/>
                <w:sz w:val="24"/>
              </w:rPr>
              <w:t>zadržanje tranše prve izgube in po potrebi drugih tranš, ki imajo enak ali strožji profil tveganosti kot tiste, ki so prenesene ali prodane investitorjem in ki ne zapadejo prej kot tiste, ki so prenesene ali prodane inve</w:t>
            </w:r>
            <w:r>
              <w:rPr>
                <w:rFonts w:ascii="Times New Roman" w:hAnsi="Times New Roman"/>
                <w:i/>
                <w:sz w:val="24"/>
              </w:rPr>
              <w:t>s</w:t>
            </w:r>
            <w:r>
              <w:rPr>
                <w:rFonts w:ascii="Times New Roman" w:hAnsi="Times New Roman"/>
                <w:i/>
                <w:sz w:val="24"/>
              </w:rPr>
              <w:t>titorjem, tako da je zadržanje enako najmanj 5 % nominalne vrednosti listinj</w:t>
            </w:r>
            <w:r>
              <w:rPr>
                <w:rFonts w:ascii="Times New Roman" w:hAnsi="Times New Roman"/>
                <w:i/>
                <w:sz w:val="24"/>
              </w:rPr>
              <w:t>e</w:t>
            </w:r>
            <w:r>
              <w:rPr>
                <w:rFonts w:ascii="Times New Roman" w:hAnsi="Times New Roman"/>
                <w:i/>
                <w:sz w:val="24"/>
              </w:rPr>
              <w:t>nih izpostavljenosti</w:t>
            </w:r>
            <w:r>
              <w:rPr>
                <w:rFonts w:ascii="Times New Roman" w:hAnsi="Times New Roman"/>
                <w:sz w:val="24"/>
              </w:rPr>
              <w: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 – izvzeto: Ta koda se sporoči za listinjenja, na katera vplivajo določbe člena 405(3) CRR.</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N se ne uporablja: Ta koda se sporoči za listinjenja, na katera vplivajo določbe člena 404 CRR.</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U – kršitev ali neznano. Ta koda se sporoči, kadar poročevalec ni prepričan, </w:t>
            </w:r>
            <w:r>
              <w:rPr>
                <w:rFonts w:ascii="Times New Roman" w:hAnsi="Times New Roman"/>
                <w:sz w:val="24"/>
              </w:rPr>
              <w:lastRenderedPageBreak/>
              <w:t>katera vrsta zadržanja se uporablja, ali v primeru neskladnosti.</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ZADRŽANJA NA DATUM POROČANJA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sz w:val="24"/>
              </w:rPr>
              <w:t xml:space="preserve">Zadržanje </w:t>
            </w:r>
            <w:r>
              <w:rPr>
                <w:rFonts w:ascii="Times New Roman" w:hAnsi="Times New Roman"/>
                <w:i/>
                <w:sz w:val="24"/>
              </w:rPr>
              <w:t>pomembnega neto ekonomskega deleža s strani originatorja, spo</w:t>
            </w:r>
            <w:r>
              <w:rPr>
                <w:rFonts w:ascii="Times New Roman" w:hAnsi="Times New Roman"/>
                <w:i/>
                <w:sz w:val="24"/>
              </w:rPr>
              <w:t>n</w:t>
            </w:r>
            <w:r>
              <w:rPr>
                <w:rFonts w:ascii="Times New Roman" w:hAnsi="Times New Roman"/>
                <w:i/>
                <w:sz w:val="24"/>
              </w:rPr>
              <w:t>zorja ali prvotnega kreditodajalca</w:t>
            </w:r>
            <w:r>
              <w:rPr>
                <w:rFonts w:ascii="Times New Roman" w:hAnsi="Times New Roman"/>
                <w:sz w:val="24"/>
              </w:rPr>
              <w:t xml:space="preserve"> listinjenja je najmanj 5 % (na datum izve</w:t>
            </w:r>
            <w:r>
              <w:rPr>
                <w:rFonts w:ascii="Times New Roman" w:hAnsi="Times New Roman"/>
                <w:sz w:val="24"/>
              </w:rPr>
              <w:t>d</w:t>
            </w:r>
            <w:r>
              <w:rPr>
                <w:rFonts w:ascii="Times New Roman" w:hAnsi="Times New Roman"/>
                <w:sz w:val="24"/>
              </w:rPr>
              <w:t>be).</w:t>
            </w:r>
          </w:p>
          <w:p w:rsidR="00612780" w:rsidRPr="00392FFD" w:rsidRDefault="00612780" w:rsidP="00612780">
            <w:pPr>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Ne glede na člen 405(1) CRR se lahko merjenje zadržanja ob izvedbi običajno razume tako, da se izmeri v času prvega listinjenja izpostavljenosti, ne pa takrat, ko so bile izpostavljenosti ustvarjene (na primer, ne ob prvi zagotovitvi osnovnih kreditov). Merjenje zadržanja ob izvedbi pomeni, da je 5 % odstotek zadržanja, zahtevan, ko se je merila raven zadržanja, zahteva pa je bila izpo</w:t>
            </w:r>
            <w:r>
              <w:rPr>
                <w:rFonts w:ascii="Times New Roman" w:hAnsi="Times New Roman"/>
                <w:sz w:val="24"/>
              </w:rPr>
              <w:t>l</w:t>
            </w:r>
            <w:r>
              <w:rPr>
                <w:rFonts w:ascii="Times New Roman" w:hAnsi="Times New Roman"/>
                <w:sz w:val="24"/>
              </w:rPr>
              <w:t>njena (na primer, ko so bile izpostavljenosti prvič listinjene); dinamično pon</w:t>
            </w:r>
            <w:r>
              <w:rPr>
                <w:rFonts w:ascii="Times New Roman" w:hAnsi="Times New Roman"/>
                <w:sz w:val="24"/>
              </w:rPr>
              <w:t>o</w:t>
            </w:r>
            <w:r>
              <w:rPr>
                <w:rFonts w:ascii="Times New Roman" w:hAnsi="Times New Roman"/>
                <w:sz w:val="24"/>
              </w:rPr>
              <w:t>vno merjenje in ponovna prilagoditev zadržanega odstotka v času trajanja posla nista zahtevana.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Ta stolpec se ne izpolni, če se v stolpcu 080 (Uporabljena vrsta zadržanja) navede koda „E“ (izvzeto) ali „N“ (se ne uporablja).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IZPOLNJEVANJE ZAHTEVE GLEDE ZADRŽANJA?</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Člen 405(1) CRR.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Sporočijo se naslednje okrajšave:</w:t>
            </w:r>
          </w:p>
          <w:p w:rsidR="00612780" w:rsidRPr="00392FFD" w:rsidRDefault="00612780" w:rsidP="009068C9">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Da;</w:t>
            </w:r>
          </w:p>
          <w:p w:rsidR="00612780" w:rsidRPr="00392FFD" w:rsidRDefault="00612780" w:rsidP="009068C9">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ne.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Ta stolpec se ne izpolni, če se v stolpcu 080 (Uporabljena vrsta zadržanja) navede koda „E“ (izvzeto) ali „N“ (se ne uporablja).</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VLOGA INSTITUCIJE: (ORIGINATOR/SPONZOR/PRVOTNI KR</w:t>
            </w:r>
            <w:r>
              <w:rPr>
                <w:rFonts w:ascii="Times New Roman" w:hAnsi="Times New Roman"/>
                <w:b/>
                <w:sz w:val="24"/>
                <w:u w:val="single"/>
              </w:rPr>
              <w:t>E</w:t>
            </w:r>
            <w:r>
              <w:rPr>
                <w:rFonts w:ascii="Times New Roman" w:hAnsi="Times New Roman"/>
                <w:b/>
                <w:sz w:val="24"/>
                <w:u w:val="single"/>
              </w:rPr>
              <w:t>DITODAJALEC/INVESTITOR)</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Sporočijo se naslednje okrajšave: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„O“ za originatorja,</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„S“ za sponzorja,</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„L“ za prvotnega kreditodajalca,</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 za investitorja.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Glej opredelitvi v členu 4(1)(13) (Originator) in členu 4(1)(14) (Sponzor) CRR. Predvideva se, da so investitorji institucije, za katere se uporabljajo določbe iz členov 406 in 407 CRR.</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120–130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rPr>
            </w:pPr>
            <w:r>
              <w:rPr>
                <w:rFonts w:ascii="Times New Roman" w:hAnsi="Times New Roman"/>
                <w:b/>
                <w:sz w:val="24"/>
              </w:rPr>
              <w:t>PROGRAMI, KI NISO ABCP</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Ker imajo programi ABCP poseben značaj, saj zajemajo več posameznih poz</w:t>
            </w:r>
            <w:r>
              <w:rPr>
                <w:rFonts w:ascii="Times New Roman" w:hAnsi="Times New Roman"/>
                <w:sz w:val="24"/>
              </w:rPr>
              <w:t>i</w:t>
            </w:r>
            <w:r>
              <w:rPr>
                <w:rFonts w:ascii="Times New Roman" w:hAnsi="Times New Roman"/>
                <w:sz w:val="24"/>
              </w:rPr>
              <w:t>cij v listinjenju, so ti programi (opredeljeni v členu 242(9) CRR) izvzeti iz poročanja v stolpcih 120 in 130.</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120</w:t>
            </w:r>
          </w:p>
        </w:tc>
        <w:tc>
          <w:tcPr>
            <w:tcW w:w="7903" w:type="dxa"/>
          </w:tcPr>
          <w:p w:rsidR="00612780" w:rsidRPr="00392FFD" w:rsidRDefault="00612780" w:rsidP="00612780">
            <w:pPr>
              <w:spacing w:before="0" w:after="0"/>
              <w:jc w:val="left"/>
              <w:rPr>
                <w:rFonts w:ascii="Times New Roman" w:hAnsi="Times New Roman"/>
                <w:b/>
                <w:sz w:val="24"/>
              </w:rPr>
            </w:pPr>
            <w:r>
              <w:rPr>
                <w:rFonts w:ascii="Times New Roman" w:hAnsi="Times New Roman"/>
                <w:b/>
                <w:sz w:val="24"/>
              </w:rPr>
              <w:t>DATUM IZVEDBE (mm/</w:t>
            </w:r>
            <w:proofErr w:type="spellStart"/>
            <w:r>
              <w:rPr>
                <w:rFonts w:ascii="Times New Roman" w:hAnsi="Times New Roman"/>
                <w:b/>
                <w:sz w:val="24"/>
              </w:rPr>
              <w:t>llll</w:t>
            </w:r>
            <w:proofErr w:type="spellEnd"/>
            <w:r>
              <w:rPr>
                <w:rFonts w:ascii="Times New Roman" w:hAnsi="Times New Roman"/>
                <w:b/>
                <w:sz w:val="24"/>
              </w:rPr>
              <w: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Mesec in leto datuma izvedbe (tj. presečni datum ali datum zaprtja skupine) li</w:t>
            </w:r>
            <w:r>
              <w:rPr>
                <w:rFonts w:ascii="Times New Roman" w:hAnsi="Times New Roman"/>
                <w:sz w:val="24"/>
              </w:rPr>
              <w:t>s</w:t>
            </w:r>
            <w:r>
              <w:rPr>
                <w:rFonts w:ascii="Times New Roman" w:hAnsi="Times New Roman"/>
                <w:sz w:val="24"/>
              </w:rPr>
              <w:t>tinjenja se sporoči v naslednji obliki: „mm/</w:t>
            </w:r>
            <w:proofErr w:type="spellStart"/>
            <w:r>
              <w:rPr>
                <w:rFonts w:ascii="Times New Roman" w:hAnsi="Times New Roman"/>
                <w:sz w:val="24"/>
              </w:rPr>
              <w:t>llll</w:t>
            </w:r>
            <w:proofErr w:type="spellEnd"/>
            <w:r>
              <w:rPr>
                <w:rFonts w:ascii="Times New Roman" w:hAnsi="Times New Roman"/>
                <w:sz w:val="24"/>
              </w:rPr>
              <w:t>“.</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Pri vseh shemah listinjenja se datum izvedbe ne more spremeniti med datumi poročanja. V posebnem primeru shem listinjenja, ki jih krijejo odprte skupine, je datum izvedbe datum prve izdaje vrednostnih papirjev.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Ta informacija se sporoči tudi, kadar subjekt, ki poroča, nima pozicij v listinj</w:t>
            </w:r>
            <w:r>
              <w:rPr>
                <w:rFonts w:ascii="Times New Roman" w:hAnsi="Times New Roman"/>
                <w:sz w:val="24"/>
              </w:rPr>
              <w:t>e</w:t>
            </w:r>
            <w:r>
              <w:rPr>
                <w:rFonts w:ascii="Times New Roman" w:hAnsi="Times New Roman"/>
                <w:sz w:val="24"/>
              </w:rPr>
              <w:t>nju.</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SKUPAJ ZNESEK LISTINJENIH IZPOSTAVLJENOSTI NA DATUM IZVEDBE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V tem stolpcu se navede znesek (v skladu s prvotnimi izpostavljenostmi pred uporabo konverzijskih faktorjev) </w:t>
            </w:r>
            <w:proofErr w:type="spellStart"/>
            <w:r>
              <w:rPr>
                <w:rFonts w:ascii="Times New Roman" w:hAnsi="Times New Roman"/>
                <w:sz w:val="24"/>
              </w:rPr>
              <w:t>listinjenega</w:t>
            </w:r>
            <w:proofErr w:type="spellEnd"/>
            <w:r>
              <w:rPr>
                <w:rFonts w:ascii="Times New Roman" w:hAnsi="Times New Roman"/>
                <w:sz w:val="24"/>
              </w:rPr>
              <w:t xml:space="preserve"> portfelja na datum izvedbe.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primeru shem listinjenja, ki jih krijejo odprte skupine, se sporoči znesek, ki se nanaša na datum izvedbe prve izdaje vrednostnih papirjev. V primeru trad</w:t>
            </w:r>
            <w:r>
              <w:rPr>
                <w:rFonts w:ascii="Times New Roman" w:hAnsi="Times New Roman"/>
                <w:sz w:val="24"/>
              </w:rPr>
              <w:t>i</w:t>
            </w:r>
            <w:r>
              <w:rPr>
                <w:rFonts w:ascii="Times New Roman" w:hAnsi="Times New Roman"/>
                <w:sz w:val="24"/>
              </w:rPr>
              <w:t xml:space="preserve">cionalnih listinjenj niso vključena druga sredstva skupine listinjenj. V primeru shem listinjenja z več prodajalci (tj. z več kot enim </w:t>
            </w:r>
            <w:proofErr w:type="spellStart"/>
            <w:r>
              <w:rPr>
                <w:rFonts w:ascii="Times New Roman" w:hAnsi="Times New Roman"/>
                <w:sz w:val="24"/>
              </w:rPr>
              <w:t>originatorjem</w:t>
            </w:r>
            <w:proofErr w:type="spellEnd"/>
            <w:r>
              <w:rPr>
                <w:rFonts w:ascii="Times New Roman" w:hAnsi="Times New Roman"/>
                <w:sz w:val="24"/>
              </w:rPr>
              <w:t xml:space="preserve">) se sporoči le znesek, ki ustreza prispevku subjekta, ki poroča, v </w:t>
            </w:r>
            <w:proofErr w:type="spellStart"/>
            <w:r>
              <w:rPr>
                <w:rFonts w:ascii="Times New Roman" w:hAnsi="Times New Roman"/>
                <w:sz w:val="24"/>
              </w:rPr>
              <w:t>listinjenem</w:t>
            </w:r>
            <w:proofErr w:type="spellEnd"/>
            <w:r>
              <w:rPr>
                <w:rFonts w:ascii="Times New Roman" w:hAnsi="Times New Roman"/>
                <w:sz w:val="24"/>
              </w:rPr>
              <w:t xml:space="preserve"> portfelju. V pr</w:t>
            </w:r>
            <w:r>
              <w:rPr>
                <w:rFonts w:ascii="Times New Roman" w:hAnsi="Times New Roman"/>
                <w:sz w:val="24"/>
              </w:rPr>
              <w:t>i</w:t>
            </w:r>
            <w:r>
              <w:rPr>
                <w:rFonts w:ascii="Times New Roman" w:hAnsi="Times New Roman"/>
                <w:sz w:val="24"/>
              </w:rPr>
              <w:t>meru listinjenja obveznosti se poročajo le zneski, ki jih izda subjekt, ki poroča,.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Ta informacija se sporoči tudi, kadar subjekt, ki poroča, nima pozicij v listinj</w:t>
            </w:r>
            <w:r>
              <w:rPr>
                <w:rFonts w:ascii="Times New Roman" w:hAnsi="Times New Roman"/>
                <w:sz w:val="24"/>
              </w:rPr>
              <w:t>e</w:t>
            </w:r>
            <w:r>
              <w:rPr>
                <w:rFonts w:ascii="Times New Roman" w:hAnsi="Times New Roman"/>
                <w:sz w:val="24"/>
              </w:rPr>
              <w:t>nju.</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140–220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LISTINJENE IZPOSTAVLJENOSTI</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V stolpcih 140 do 220 je treba navesti informacije glede več lastnosti </w:t>
            </w:r>
            <w:proofErr w:type="spellStart"/>
            <w:r>
              <w:rPr>
                <w:rFonts w:ascii="Times New Roman" w:hAnsi="Times New Roman"/>
                <w:sz w:val="24"/>
              </w:rPr>
              <w:t>listinj</w:t>
            </w:r>
            <w:r>
              <w:rPr>
                <w:rFonts w:ascii="Times New Roman" w:hAnsi="Times New Roman"/>
                <w:sz w:val="24"/>
              </w:rPr>
              <w:t>e</w:t>
            </w:r>
            <w:r>
              <w:rPr>
                <w:rFonts w:ascii="Times New Roman" w:hAnsi="Times New Roman"/>
                <w:sz w:val="24"/>
              </w:rPr>
              <w:t>nega</w:t>
            </w:r>
            <w:proofErr w:type="spellEnd"/>
            <w:r>
              <w:rPr>
                <w:rFonts w:ascii="Times New Roman" w:hAnsi="Times New Roman"/>
                <w:sz w:val="24"/>
              </w:rPr>
              <w:t xml:space="preserve"> portfelja subjekta, ki poroča.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SKUPAJ ZNESEK</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Institucije poročajo vrednost </w:t>
            </w:r>
            <w:proofErr w:type="spellStart"/>
            <w:r>
              <w:rPr>
                <w:rFonts w:ascii="Times New Roman" w:hAnsi="Times New Roman"/>
                <w:sz w:val="24"/>
              </w:rPr>
              <w:t>listinjenega</w:t>
            </w:r>
            <w:proofErr w:type="spellEnd"/>
            <w:r>
              <w:rPr>
                <w:rFonts w:ascii="Times New Roman" w:hAnsi="Times New Roman"/>
                <w:sz w:val="24"/>
              </w:rPr>
              <w:t xml:space="preserve"> portfelja na datum poročanja, tj. nep</w:t>
            </w:r>
            <w:r>
              <w:rPr>
                <w:rFonts w:ascii="Times New Roman" w:hAnsi="Times New Roman"/>
                <w:sz w:val="24"/>
              </w:rPr>
              <w:t>o</w:t>
            </w:r>
            <w:r>
              <w:rPr>
                <w:rFonts w:ascii="Times New Roman" w:hAnsi="Times New Roman"/>
                <w:sz w:val="24"/>
              </w:rPr>
              <w:t xml:space="preserve">ravnani znesek listinjenih izpostavljenosti. V primeru tradicionalnih listinjenj niso vključena druga sredstva skupine listinjenj. V primeru shem listinjenja z več prodajalci (tj. z več kot enim </w:t>
            </w:r>
            <w:proofErr w:type="spellStart"/>
            <w:r>
              <w:rPr>
                <w:rFonts w:ascii="Times New Roman" w:hAnsi="Times New Roman"/>
                <w:sz w:val="24"/>
              </w:rPr>
              <w:t>originatorjem</w:t>
            </w:r>
            <w:proofErr w:type="spellEnd"/>
            <w:r>
              <w:rPr>
                <w:rFonts w:ascii="Times New Roman" w:hAnsi="Times New Roman"/>
                <w:sz w:val="24"/>
              </w:rPr>
              <w:t xml:space="preserve">) se sporoči le znesek, ki ustreza prispevku subjekta, ki poroča, v </w:t>
            </w:r>
            <w:proofErr w:type="spellStart"/>
            <w:r>
              <w:rPr>
                <w:rFonts w:ascii="Times New Roman" w:hAnsi="Times New Roman"/>
                <w:sz w:val="24"/>
              </w:rPr>
              <w:t>listinjenem</w:t>
            </w:r>
            <w:proofErr w:type="spellEnd"/>
            <w:r>
              <w:rPr>
                <w:rFonts w:ascii="Times New Roman" w:hAnsi="Times New Roman"/>
                <w:sz w:val="24"/>
              </w:rPr>
              <w:t xml:space="preserve"> portfelju. V primeru shem listinje</w:t>
            </w:r>
            <w:r>
              <w:rPr>
                <w:rFonts w:ascii="Times New Roman" w:hAnsi="Times New Roman"/>
                <w:sz w:val="24"/>
              </w:rPr>
              <w:t>n</w:t>
            </w:r>
            <w:r>
              <w:rPr>
                <w:rFonts w:ascii="Times New Roman" w:hAnsi="Times New Roman"/>
                <w:sz w:val="24"/>
              </w:rPr>
              <w:t>ja, ki jih krijejo zaprte skupine (tj. portfelja listinjenih sredstev ni mogoče povečati po datumu izvedbe), se znesek postopno niža.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Ta informacija se sporoči tudi, kadar subjekt, ki poroča, nima pozicij v listinj</w:t>
            </w:r>
            <w:r>
              <w:rPr>
                <w:rFonts w:ascii="Times New Roman" w:hAnsi="Times New Roman"/>
                <w:sz w:val="24"/>
              </w:rPr>
              <w:t>e</w:t>
            </w:r>
            <w:r>
              <w:rPr>
                <w:rFonts w:ascii="Times New Roman" w:hAnsi="Times New Roman"/>
                <w:sz w:val="24"/>
              </w:rPr>
              <w:t>nju.</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DELEŽ INSTITUCIJE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Sporoči se delež institucije (odstotek z dvema decimalnima številkama) na datum poročanja v </w:t>
            </w:r>
            <w:proofErr w:type="spellStart"/>
            <w:r>
              <w:rPr>
                <w:rFonts w:ascii="Times New Roman" w:hAnsi="Times New Roman"/>
                <w:sz w:val="24"/>
              </w:rPr>
              <w:t>listinjenem</w:t>
            </w:r>
            <w:proofErr w:type="spellEnd"/>
            <w:r>
              <w:rPr>
                <w:rFonts w:ascii="Times New Roman" w:hAnsi="Times New Roman"/>
                <w:sz w:val="24"/>
              </w:rPr>
              <w:t xml:space="preserve"> portfelju. Vrednost, ki se sporoči v tem stolpcu, </w:t>
            </w:r>
            <w:r>
              <w:rPr>
                <w:rFonts w:ascii="Times New Roman" w:hAnsi="Times New Roman"/>
                <w:sz w:val="24"/>
              </w:rPr>
              <w:lastRenderedPageBreak/>
              <w:t>je privzeto 100 % razen v primeru shem listinjenja z več prodajalci. V tem pr</w:t>
            </w:r>
            <w:r>
              <w:rPr>
                <w:rFonts w:ascii="Times New Roman" w:hAnsi="Times New Roman"/>
                <w:sz w:val="24"/>
              </w:rPr>
              <w:t>i</w:t>
            </w:r>
            <w:r>
              <w:rPr>
                <w:rFonts w:ascii="Times New Roman" w:hAnsi="Times New Roman"/>
                <w:sz w:val="24"/>
              </w:rPr>
              <w:t xml:space="preserve">meru subjekt, ki poroča, sporoči svoj trenutni prispevek v </w:t>
            </w:r>
            <w:proofErr w:type="spellStart"/>
            <w:r>
              <w:rPr>
                <w:rFonts w:ascii="Times New Roman" w:hAnsi="Times New Roman"/>
                <w:sz w:val="24"/>
              </w:rPr>
              <w:t>listinjenem</w:t>
            </w:r>
            <w:proofErr w:type="spellEnd"/>
            <w:r>
              <w:rPr>
                <w:rFonts w:ascii="Times New Roman" w:hAnsi="Times New Roman"/>
                <w:sz w:val="24"/>
              </w:rPr>
              <w:t xml:space="preserve"> portfelju (enakovredno stolpcu 140 v relativnem smislu).</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Ta informacija se sporoči tudi, kadar subjekt, ki poroča, nima pozicij v listinj</w:t>
            </w:r>
            <w:r>
              <w:rPr>
                <w:rFonts w:ascii="Times New Roman" w:hAnsi="Times New Roman"/>
                <w:sz w:val="24"/>
              </w:rPr>
              <w:t>e</w:t>
            </w:r>
            <w:r>
              <w:rPr>
                <w:rFonts w:ascii="Times New Roman" w:hAnsi="Times New Roman"/>
                <w:sz w:val="24"/>
              </w:rPr>
              <w:t>nju.</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160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VRSTA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V tem stolpcu se zbirajo informacije o vrsti sredstev („1“ do „8“) ali obveznosti („9“ in „10“) </w:t>
            </w:r>
            <w:proofErr w:type="spellStart"/>
            <w:r>
              <w:rPr>
                <w:rFonts w:ascii="Times New Roman" w:hAnsi="Times New Roman"/>
                <w:sz w:val="24"/>
              </w:rPr>
              <w:t>listinjenega</w:t>
            </w:r>
            <w:proofErr w:type="spellEnd"/>
            <w:r>
              <w:rPr>
                <w:rFonts w:ascii="Times New Roman" w:hAnsi="Times New Roman"/>
                <w:sz w:val="24"/>
              </w:rPr>
              <w:t xml:space="preserve"> portfelja. Institucija mora sporočiti eno od naslednjih številčnih kod:</w:t>
            </w:r>
          </w:p>
          <w:p w:rsidR="00BB7E19" w:rsidRPr="00392FFD" w:rsidRDefault="00BB7E19"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1 – Hipoteke na stanovanjske nepremičnine,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2 – Hipoteke na poslovne nepremičnine,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3 – Denarne terjatve na podlagi kreditnih kartic,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4 – Zakup,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5 – Posojila podjetjem ali MSP (obravnavana kot podjetja),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6 – Potrošniška posojila,</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7 – Terjatve do kupcev,</w:t>
            </w:r>
          </w:p>
          <w:p w:rsidR="00612780" w:rsidRPr="00392FFD" w:rsidRDefault="00BB7E19" w:rsidP="00612780">
            <w:pPr>
              <w:autoSpaceDE w:val="0"/>
              <w:autoSpaceDN w:val="0"/>
              <w:adjustRightInd w:val="0"/>
              <w:spacing w:before="0" w:after="0"/>
              <w:jc w:val="left"/>
              <w:rPr>
                <w:rFonts w:ascii="Times New Roman" w:hAnsi="Times New Roman"/>
                <w:sz w:val="24"/>
              </w:rPr>
            </w:pPr>
            <w:r>
              <w:rPr>
                <w:rFonts w:ascii="Times New Roman" w:hAnsi="Times New Roman"/>
                <w:sz w:val="24"/>
              </w:rPr>
              <w:t>8 – Druga sredstva,</w:t>
            </w:r>
          </w:p>
          <w:p w:rsidR="00612780" w:rsidRPr="00392FFD" w:rsidRDefault="00BB7E19" w:rsidP="00612780">
            <w:pPr>
              <w:autoSpaceDE w:val="0"/>
              <w:autoSpaceDN w:val="0"/>
              <w:adjustRightInd w:val="0"/>
              <w:spacing w:before="0" w:after="0"/>
              <w:jc w:val="left"/>
              <w:rPr>
                <w:rFonts w:ascii="Times New Roman" w:hAnsi="Times New Roman"/>
                <w:sz w:val="24"/>
              </w:rPr>
            </w:pPr>
            <w:r>
              <w:rPr>
                <w:rFonts w:ascii="Times New Roman" w:hAnsi="Times New Roman"/>
                <w:sz w:val="24"/>
              </w:rPr>
              <w:t>9 – Krite obveznice,</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10 – Druge obveznosti.</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Če je skupina listinjenih izpostavljenosti mešanica navedenih vrst sredstev, institucija navede najpomembnejšo vrsto. V primeru </w:t>
            </w:r>
            <w:proofErr w:type="spellStart"/>
            <w:r>
              <w:rPr>
                <w:rFonts w:ascii="Times New Roman" w:hAnsi="Times New Roman"/>
                <w:sz w:val="24"/>
              </w:rPr>
              <w:t>relistinjenj</w:t>
            </w:r>
            <w:proofErr w:type="spellEnd"/>
            <w:r>
              <w:rPr>
                <w:rFonts w:ascii="Times New Roman" w:hAnsi="Times New Roman"/>
                <w:sz w:val="24"/>
              </w:rPr>
              <w:t xml:space="preserve"> se institucija sklicuje na končno osnovno skupino sredstev. Vrsta „10“ (Druge obveznosti) zajema državne obveznice in kreditne zapise.</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Pri shemah listinjenja, ki jih krijejo zaprte skupine, se vrsta ne more spremeniti med datumi poročanja.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UPORABLJENI PRISTOP (SA/IRB/MIX)</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tem stolpcu se zbirajo informacije o pristopu, ki bi ga institucija na datum poročanja uporabila za listinjene izpostavljenosti.</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Sporočijo se naslednje okrajšave:</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za standardizirani pristop,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„I“ za pristop na osnovi notranjih bonitetnih ocen (pristop IRB),</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„M“ za kombinacijo obeh pristopov (SA/IRB).</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okviru standardiziranega pristopa se „P“ sporoči v stolpcu 050, izračun kap</w:t>
            </w:r>
            <w:r>
              <w:rPr>
                <w:rFonts w:ascii="Times New Roman" w:hAnsi="Times New Roman"/>
                <w:sz w:val="24"/>
              </w:rPr>
              <w:t>i</w:t>
            </w:r>
            <w:r>
              <w:rPr>
                <w:rFonts w:ascii="Times New Roman" w:hAnsi="Times New Roman"/>
                <w:sz w:val="24"/>
              </w:rPr>
              <w:t>talskih zahtev pa se sporoči v predlogi CR SEC SA.</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okviru pristopa IRB se „P“ sporoči v stolpcu 050, izračun kapitalskih zahtev pa se sporoči v predlogi CR SEC IRB.</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okviru kombinacije standardiziranega pristopa in pristopa IRB se „P“ sporoči v stolpcu 050, izračun kapitalskih zahtev pa se sporoči v predlogah CR SEC SA in CR SEC IRB.</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Ta informacija se sporoči tudi, kadar subjekt, ki poroča, nima pozicij v listinj</w:t>
            </w:r>
            <w:r>
              <w:rPr>
                <w:rFonts w:ascii="Times New Roman" w:hAnsi="Times New Roman"/>
                <w:sz w:val="24"/>
              </w:rPr>
              <w:t>e</w:t>
            </w:r>
            <w:r>
              <w:rPr>
                <w:rFonts w:ascii="Times New Roman" w:hAnsi="Times New Roman"/>
                <w:sz w:val="24"/>
              </w:rPr>
              <w:t>nju. Kljub temu se ta stolpec ne uporablja za listinjenja obveznosti. Sponzorji tega stolpca ne izpolnijo.</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180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ŠTEVILO IZPOSTAVLJENOSTI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Člen 261(1) CRR.</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Ta stolpec obvezno izpolnijo le institucije, ki uporabljajo pristop IRB za pozic</w:t>
            </w:r>
            <w:r>
              <w:rPr>
                <w:rFonts w:ascii="Times New Roman" w:hAnsi="Times New Roman"/>
                <w:sz w:val="24"/>
              </w:rPr>
              <w:t>i</w:t>
            </w:r>
            <w:r>
              <w:rPr>
                <w:rFonts w:ascii="Times New Roman" w:hAnsi="Times New Roman"/>
                <w:sz w:val="24"/>
              </w:rPr>
              <w:t xml:space="preserve">je v listinjenju (in zato navedejo „I“ v stolpcu 170). Institucija sporoči dejansko število izpostavljenosti.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Ta stolpec se ne izpolni v primeru listinjenja obveznosti ali kadar kapitalske zahteve temeljijo na listinjenih izpostavljenostih (v primeru listinjenja sre</w:t>
            </w:r>
            <w:r>
              <w:rPr>
                <w:rFonts w:ascii="Times New Roman" w:hAnsi="Times New Roman"/>
                <w:sz w:val="24"/>
              </w:rPr>
              <w:t>d</w:t>
            </w:r>
            <w:r>
              <w:rPr>
                <w:rFonts w:ascii="Times New Roman" w:hAnsi="Times New Roman"/>
                <w:sz w:val="24"/>
              </w:rPr>
              <w:t>stev). Ta stolpec se ne izpolni, kadar subjekt, ki poroča, nima pozicij v listinje</w:t>
            </w:r>
            <w:r>
              <w:rPr>
                <w:rFonts w:ascii="Times New Roman" w:hAnsi="Times New Roman"/>
                <w:sz w:val="24"/>
              </w:rPr>
              <w:t>n</w:t>
            </w:r>
            <w:r>
              <w:rPr>
                <w:rFonts w:ascii="Times New Roman" w:hAnsi="Times New Roman"/>
                <w:sz w:val="24"/>
              </w:rPr>
              <w:t>ju. Investitorji ne izpolnijo tega stolpca.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Del="00A749EA"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DRŽAVA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Sporoči se koda (ISO 3166-1-alfa-2) države izvora končne osnovne izposta</w:t>
            </w:r>
            <w:r>
              <w:rPr>
                <w:rFonts w:ascii="Times New Roman" w:hAnsi="Times New Roman"/>
                <w:sz w:val="24"/>
              </w:rPr>
              <w:t>v</w:t>
            </w:r>
            <w:r>
              <w:rPr>
                <w:rFonts w:ascii="Times New Roman" w:hAnsi="Times New Roman"/>
                <w:sz w:val="24"/>
              </w:rPr>
              <w:t>ljenosti posla, tj. država neposrednega dolžnika prvotnih listinjenih izpostavlj</w:t>
            </w:r>
            <w:r>
              <w:rPr>
                <w:rFonts w:ascii="Times New Roman" w:hAnsi="Times New Roman"/>
                <w:sz w:val="24"/>
              </w:rPr>
              <w:t>e</w:t>
            </w:r>
            <w:r>
              <w:rPr>
                <w:rFonts w:ascii="Times New Roman" w:hAnsi="Times New Roman"/>
                <w:sz w:val="24"/>
              </w:rPr>
              <w:t>nosti (vpogled). Če je skupina listinjenja sestavljena iz različnih držav, instit</w:t>
            </w:r>
            <w:r>
              <w:rPr>
                <w:rFonts w:ascii="Times New Roman" w:hAnsi="Times New Roman"/>
                <w:sz w:val="24"/>
              </w:rPr>
              <w:t>u</w:t>
            </w:r>
            <w:r>
              <w:rPr>
                <w:rFonts w:ascii="Times New Roman" w:hAnsi="Times New Roman"/>
                <w:sz w:val="24"/>
              </w:rPr>
              <w:t>cija navede najpomembnejšo državo. Če nobena država ne preseže pragu 20 % na podlagi zneska sredstev/obveznosti, se sporoči „druge države“.</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ELGD (%)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Z izpostavljenostjo tehtano povprečje izgube ob neplačilu (ELGD) poročajo le institucije, ki uporabljajo metodo nadzorniške formule (in torej v stolpcu 170 poročajo „I“). ELGD se izračuna v skladu s členom 262(1) CRR.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Ta stolpec se ne izpolni v primeru listinjenja obveznosti ali kadar kapitalske zahteve temeljijo na listinjenih izpostavljenostih (v primeru listinjenja sre</w:t>
            </w:r>
            <w:r>
              <w:rPr>
                <w:rFonts w:ascii="Times New Roman" w:hAnsi="Times New Roman"/>
                <w:sz w:val="24"/>
              </w:rPr>
              <w:t>d</w:t>
            </w:r>
            <w:r>
              <w:rPr>
                <w:rFonts w:ascii="Times New Roman" w:hAnsi="Times New Roman"/>
                <w:sz w:val="24"/>
              </w:rPr>
              <w:t>stev). Ta stolpec se ne izpolni tudi, kadar subjekt, ki poroča, nima pozicij v li</w:t>
            </w:r>
            <w:r>
              <w:rPr>
                <w:rFonts w:ascii="Times New Roman" w:hAnsi="Times New Roman"/>
                <w:sz w:val="24"/>
              </w:rPr>
              <w:t>s</w:t>
            </w:r>
            <w:r>
              <w:rPr>
                <w:rFonts w:ascii="Times New Roman" w:hAnsi="Times New Roman"/>
                <w:sz w:val="24"/>
              </w:rPr>
              <w:t>tinjenju. Sponzorji tega stolpca ne izpolnijo.</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210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PRILAGODITVE VREDNOSTI IN REZERVACIJE</w:t>
            </w:r>
          </w:p>
          <w:p w:rsidR="00612780" w:rsidRPr="00392FFD" w:rsidRDefault="00612780" w:rsidP="00612780">
            <w:pPr>
              <w:spacing w:before="0" w:after="0"/>
              <w:jc w:val="left"/>
              <w:rPr>
                <w:rFonts w:ascii="Times New Roman" w:hAnsi="Times New Roman"/>
                <w:sz w:val="24"/>
              </w:rPr>
            </w:pPr>
          </w:p>
          <w:p w:rsidR="00706D25" w:rsidRPr="00392FFD" w:rsidRDefault="00706D25" w:rsidP="00706D25">
            <w:pPr>
              <w:autoSpaceDE w:val="0"/>
              <w:autoSpaceDN w:val="0"/>
              <w:adjustRightInd w:val="0"/>
              <w:spacing w:before="0" w:after="0"/>
              <w:jc w:val="left"/>
              <w:rPr>
                <w:rFonts w:ascii="Times New Roman" w:hAnsi="Times New Roman"/>
                <w:sz w:val="24"/>
              </w:rPr>
            </w:pPr>
            <w:r>
              <w:rPr>
                <w:rFonts w:ascii="Times New Roman" w:hAnsi="Times New Roman"/>
                <w:sz w:val="24"/>
              </w:rPr>
              <w:t>Prilagoditve vrednosti in rezervacije (člen 159 CRR) za kreditne izgube, nastale v skladu z računovodskim okvirom, ki se uporablja za subjekt, ki poroča. Pril</w:t>
            </w:r>
            <w:r>
              <w:rPr>
                <w:rFonts w:ascii="Times New Roman" w:hAnsi="Times New Roman"/>
                <w:sz w:val="24"/>
              </w:rPr>
              <w:t>a</w:t>
            </w:r>
            <w:r>
              <w:rPr>
                <w:rFonts w:ascii="Times New Roman" w:hAnsi="Times New Roman"/>
                <w:sz w:val="24"/>
              </w:rPr>
              <w:t>goditve vrednosti zajemajo vse zneske, pripoznane v poslovnem izidu za kred</w:t>
            </w:r>
            <w:r>
              <w:rPr>
                <w:rFonts w:ascii="Times New Roman" w:hAnsi="Times New Roman"/>
                <w:sz w:val="24"/>
              </w:rPr>
              <w:t>i</w:t>
            </w:r>
            <w:r>
              <w:rPr>
                <w:rFonts w:ascii="Times New Roman" w:hAnsi="Times New Roman"/>
                <w:sz w:val="24"/>
              </w:rPr>
              <w:t>tne izgube finančnih sredstev od njihovega začetnega pripoznanja v bilanci st</w:t>
            </w:r>
            <w:r>
              <w:rPr>
                <w:rFonts w:ascii="Times New Roman" w:hAnsi="Times New Roman"/>
                <w:sz w:val="24"/>
              </w:rPr>
              <w:t>a</w:t>
            </w:r>
            <w:r>
              <w:rPr>
                <w:rFonts w:ascii="Times New Roman" w:hAnsi="Times New Roman"/>
                <w:sz w:val="24"/>
              </w:rPr>
              <w:t>nja (vključno z izgubami zaradi kreditnega tveganja finančnih sredstev, izme</w:t>
            </w:r>
            <w:r>
              <w:rPr>
                <w:rFonts w:ascii="Times New Roman" w:hAnsi="Times New Roman"/>
                <w:sz w:val="24"/>
              </w:rPr>
              <w:t>r</w:t>
            </w:r>
            <w:r>
              <w:rPr>
                <w:rFonts w:ascii="Times New Roman" w:hAnsi="Times New Roman"/>
                <w:sz w:val="24"/>
              </w:rPr>
              <w:t>jenimi po pošteni vrednosti, ki se ne odštejejo od vrednosti izpostavljenosti), skupaj z diskonti za izpostavljenosti, ki so bile v skladu s členom 166(1) CRR odkupljene v stanju neplačila. Rezervacije vključujejo nabrane zneske kreditnih izgub v zunajbilančnih postavkah.</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tem stolpcu se zberejo informacije o prilagoditvah vrednosti in rezervacijah, ki se uporabljajo za listinjene izpostavljenosti. V primeru listinjenja obveznosti se ta stolpec ne izpolni.</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Ta informacija se sporoči tudi, kadar subjekt, ki poroča, nima pozicij v listinj</w:t>
            </w:r>
            <w:r>
              <w:rPr>
                <w:rFonts w:ascii="Times New Roman" w:hAnsi="Times New Roman"/>
                <w:sz w:val="24"/>
              </w:rPr>
              <w:t>e</w:t>
            </w:r>
            <w:r>
              <w:rPr>
                <w:rFonts w:ascii="Times New Roman" w:hAnsi="Times New Roman"/>
                <w:sz w:val="24"/>
              </w:rPr>
              <w:t xml:space="preserve">nju.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Sponzorji tega stolpca ne izpolnijo.</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220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KAPITALSKE ZAHTEVE PRED LISTINJENJEM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V tem stolpcu se zbirajo informacije o kapitalskih zahtevah </w:t>
            </w:r>
            <w:proofErr w:type="spellStart"/>
            <w:r>
              <w:rPr>
                <w:rFonts w:ascii="Times New Roman" w:hAnsi="Times New Roman"/>
                <w:sz w:val="24"/>
              </w:rPr>
              <w:t>listinjenega</w:t>
            </w:r>
            <w:proofErr w:type="spellEnd"/>
            <w:r>
              <w:rPr>
                <w:rFonts w:ascii="Times New Roman" w:hAnsi="Times New Roman"/>
                <w:sz w:val="24"/>
              </w:rPr>
              <w:t xml:space="preserve"> portfe</w:t>
            </w:r>
            <w:r>
              <w:rPr>
                <w:rFonts w:ascii="Times New Roman" w:hAnsi="Times New Roman"/>
                <w:sz w:val="24"/>
              </w:rPr>
              <w:t>l</w:t>
            </w:r>
            <w:r>
              <w:rPr>
                <w:rFonts w:ascii="Times New Roman" w:hAnsi="Times New Roman"/>
                <w:sz w:val="24"/>
              </w:rPr>
              <w:t>ja, kadar ni prišlo do listinjenja, čemur se prištejejo pričakovane izgube, ki se nanašajo na ta tveganja (</w:t>
            </w:r>
            <w:proofErr w:type="spellStart"/>
            <w:r>
              <w:rPr>
                <w:rFonts w:ascii="Times New Roman" w:hAnsi="Times New Roman"/>
                <w:sz w:val="24"/>
              </w:rPr>
              <w:t>K</w:t>
            </w:r>
            <w:r>
              <w:rPr>
                <w:rFonts w:ascii="Times New Roman" w:hAnsi="Times New Roman"/>
                <w:sz w:val="24"/>
                <w:vertAlign w:val="subscript"/>
              </w:rPr>
              <w:t>irb</w:t>
            </w:r>
            <w:proofErr w:type="spellEnd"/>
            <w:r>
              <w:rPr>
                <w:rFonts w:ascii="Times New Roman" w:hAnsi="Times New Roman"/>
                <w:sz w:val="24"/>
              </w:rPr>
              <w:t xml:space="preserve">), kot odstotek (z dvema decimalnima številkama) glede na skupne listinjene izpostavljenosti na datum izvedbe. </w:t>
            </w:r>
            <w:proofErr w:type="spellStart"/>
            <w:r>
              <w:rPr>
                <w:rFonts w:ascii="Times New Roman" w:hAnsi="Times New Roman"/>
                <w:sz w:val="24"/>
              </w:rPr>
              <w:t>K</w:t>
            </w:r>
            <w:r>
              <w:rPr>
                <w:rFonts w:ascii="Times New Roman" w:hAnsi="Times New Roman"/>
                <w:sz w:val="24"/>
                <w:vertAlign w:val="subscript"/>
              </w:rPr>
              <w:t>irb</w:t>
            </w:r>
            <w:proofErr w:type="spellEnd"/>
            <w:r>
              <w:rPr>
                <w:rFonts w:ascii="Times New Roman" w:hAnsi="Times New Roman"/>
                <w:sz w:val="24"/>
              </w:rPr>
              <w:t xml:space="preserve"> je opredeljen v členu 242(4) CRR.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V primeru listinjenja obveznosti se ta stolpec ne izpolni. V primeru listinjenja sredstev se ta informacija sporoči tudi, kadar subjekt, ki poroča, nima pozicij v listinjenju.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Sponzorji tega stolpca ne izpolnijo.</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230–300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STRUKTURA LISTINJENJA</w:t>
            </w:r>
          </w:p>
          <w:p w:rsidR="00612780" w:rsidRPr="00392FFD" w:rsidRDefault="00612780" w:rsidP="00612780">
            <w:pPr>
              <w:autoSpaceDE w:val="0"/>
              <w:autoSpaceDN w:val="0"/>
              <w:adjustRightInd w:val="0"/>
              <w:spacing w:before="0" w:after="0"/>
              <w:jc w:val="left"/>
              <w:rPr>
                <w:rFonts w:ascii="Times New Roman" w:hAnsi="Times New Roman"/>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tem sklopu šestih stolpcev se zbirajo informacije o strukturi listinjenja v skladu z bilančnimi/</w:t>
            </w:r>
            <w:proofErr w:type="spellStart"/>
            <w:r>
              <w:rPr>
                <w:rFonts w:ascii="Times New Roman" w:hAnsi="Times New Roman"/>
                <w:sz w:val="24"/>
              </w:rPr>
              <w:t>zunajbilančnimi</w:t>
            </w:r>
            <w:proofErr w:type="spellEnd"/>
            <w:r>
              <w:rPr>
                <w:rFonts w:ascii="Times New Roman" w:hAnsi="Times New Roman"/>
                <w:sz w:val="24"/>
              </w:rPr>
              <w:t xml:space="preserve"> pozicijami, tranšami (nadrej</w:t>
            </w:r>
            <w:r>
              <w:rPr>
                <w:rFonts w:ascii="Times New Roman" w:hAnsi="Times New Roman"/>
                <w:sz w:val="24"/>
              </w:rPr>
              <w:t>e</w:t>
            </w:r>
            <w:r>
              <w:rPr>
                <w:rFonts w:ascii="Times New Roman" w:hAnsi="Times New Roman"/>
                <w:sz w:val="24"/>
              </w:rPr>
              <w:t xml:space="preserve">na/vmesna/prva izguba) in zapadlostjo.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 primeru listinjenj z več prodajalci se znesek, ki ustreza ali se pripiše instituc</w:t>
            </w:r>
            <w:r>
              <w:rPr>
                <w:rFonts w:ascii="Times New Roman" w:hAnsi="Times New Roman"/>
                <w:sz w:val="24"/>
              </w:rPr>
              <w:t>i</w:t>
            </w:r>
            <w:r>
              <w:rPr>
                <w:rFonts w:ascii="Times New Roman" w:hAnsi="Times New Roman"/>
                <w:sz w:val="24"/>
              </w:rPr>
              <w:t>ji poročevalki, sporoči le za tranšo prve izgube.</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Pr>
                <w:rFonts w:ascii="Times New Roman" w:hAnsi="Times New Roman"/>
                <w:sz w:val="24"/>
              </w:rPr>
              <w:t>230–250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BILANČNE POSTAVKE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V tem sklopu stolpcev se zbirajo informacije o bilančnih postavkah, razčlenj</w:t>
            </w:r>
            <w:r>
              <w:rPr>
                <w:rFonts w:ascii="Times New Roman" w:hAnsi="Times New Roman"/>
                <w:sz w:val="24"/>
              </w:rPr>
              <w:t>e</w:t>
            </w:r>
            <w:r>
              <w:rPr>
                <w:rFonts w:ascii="Times New Roman" w:hAnsi="Times New Roman"/>
                <w:sz w:val="24"/>
              </w:rPr>
              <w:t>nih po tranšah (nadrejena/vmesna/prva izguba).</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NADREJENE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sz w:val="24"/>
              </w:rPr>
            </w:pPr>
            <w:r>
              <w:rPr>
                <w:rFonts w:ascii="Times New Roman" w:hAnsi="Times New Roman"/>
                <w:sz w:val="24"/>
              </w:rPr>
              <w:t>Na referenčne datume poročanja po 1. januarju 2019 za pozicije v listinjenju, za katere se vrednosti izpostavljenosti izračunajo v skladu s CRR: pozicija v listi</w:t>
            </w:r>
            <w:r>
              <w:rPr>
                <w:rFonts w:ascii="Times New Roman" w:hAnsi="Times New Roman"/>
                <w:sz w:val="24"/>
              </w:rPr>
              <w:t>n</w:t>
            </w:r>
            <w:r>
              <w:rPr>
                <w:rFonts w:ascii="Times New Roman" w:hAnsi="Times New Roman"/>
                <w:sz w:val="24"/>
              </w:rPr>
              <w:t>jenju, kot je opredeljena v členu 242(6) CRR.</w:t>
            </w:r>
          </w:p>
          <w:p w:rsidR="00A369B8" w:rsidRDefault="00A369B8" w:rsidP="00612780">
            <w:pPr>
              <w:autoSpaceDE w:val="0"/>
              <w:autoSpaceDN w:val="0"/>
              <w:adjustRightInd w:val="0"/>
              <w:spacing w:before="0" w:after="0"/>
              <w:jc w:val="left"/>
              <w:rPr>
                <w:rFonts w:ascii="Times New Roman" w:hAnsi="Times New Roman"/>
                <w:sz w:val="24"/>
              </w:rPr>
            </w:pPr>
          </w:p>
          <w:p w:rsidR="00A369B8" w:rsidRPr="00392FFD" w:rsidRDefault="00A369B8" w:rsidP="00612780">
            <w:pPr>
              <w:autoSpaceDE w:val="0"/>
              <w:autoSpaceDN w:val="0"/>
              <w:adjustRightInd w:val="0"/>
              <w:spacing w:before="0" w:after="0"/>
              <w:jc w:val="left"/>
              <w:rPr>
                <w:rFonts w:ascii="Times New Roman" w:hAnsi="Times New Roman"/>
                <w:sz w:val="24"/>
              </w:rPr>
            </w:pPr>
            <w:r>
              <w:rPr>
                <w:rFonts w:ascii="Times New Roman" w:hAnsi="Times New Roman"/>
                <w:sz w:val="24"/>
              </w:rPr>
              <w:t>Za vse druge pozicije v listinjenju: vse tranše, ki ne izpolnjujejo pogojev za vmesne tranše ali prvo izgubo v skladu z različico CRR, veljavno 31. decembra 2018, so vključene v to kategorijo.</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VMESNE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sz w:val="24"/>
              </w:rPr>
            </w:pPr>
            <w:r>
              <w:rPr>
                <w:rFonts w:ascii="Times New Roman" w:hAnsi="Times New Roman"/>
                <w:sz w:val="24"/>
              </w:rPr>
              <w:t>Na referenčne datume poročanja po 1. januarju 2019 za pozicije v listinjenju, za katere se vrednosti izpostavljenosti izračunajo v skladu s CRR:</w:t>
            </w:r>
          </w:p>
          <w:p w:rsidR="00A369B8" w:rsidRDefault="00A369B8" w:rsidP="001D5403">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vse pozicije, kot so opredeljene v členu 242(18) CRR;</w:t>
            </w:r>
          </w:p>
          <w:p w:rsidR="00A369B8" w:rsidRDefault="00A369B8" w:rsidP="001D5403">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vse pozicije, za katere se ne uporablja člen 242(6) ali (17) CRR.</w:t>
            </w:r>
          </w:p>
          <w:p w:rsidR="00A369B8" w:rsidRDefault="00A369B8" w:rsidP="00A369B8">
            <w:pPr>
              <w:autoSpaceDE w:val="0"/>
              <w:autoSpaceDN w:val="0"/>
              <w:adjustRightInd w:val="0"/>
              <w:spacing w:before="0" w:after="0"/>
              <w:jc w:val="left"/>
              <w:rPr>
                <w:rFonts w:ascii="Times New Roman" w:hAnsi="Times New Roman"/>
                <w:sz w:val="24"/>
              </w:rPr>
            </w:pPr>
          </w:p>
          <w:p w:rsidR="00612780" w:rsidRPr="00392FFD" w:rsidRDefault="00A369B8" w:rsidP="00612780">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Za vse druge pozicije v listinjenju: glej člene 243(3) (tradicionalna listinjenja) in 244(3) (sintetična listinjenja) različice CRR, veljavne 31. decembra 2018.</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250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PRVA IZGUBA</w:t>
            </w:r>
          </w:p>
          <w:p w:rsidR="00612780"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b/>
                <w:sz w:val="24"/>
                <w:u w:val="single"/>
              </w:rPr>
            </w:pPr>
            <w:r>
              <w:rPr>
                <w:rFonts w:ascii="Times New Roman" w:hAnsi="Times New Roman"/>
                <w:sz w:val="24"/>
              </w:rPr>
              <w:t>Na referenčne datume poročanja po 1. januarju 2019 za pozicije v listinjenju, za katere se vrednosti izpostavljenosti izračunajo v skladu s CRR: pozicija v listi</w:t>
            </w:r>
            <w:r>
              <w:rPr>
                <w:rFonts w:ascii="Times New Roman" w:hAnsi="Times New Roman"/>
                <w:sz w:val="24"/>
              </w:rPr>
              <w:t>n</w:t>
            </w:r>
            <w:r>
              <w:rPr>
                <w:rFonts w:ascii="Times New Roman" w:hAnsi="Times New Roman"/>
                <w:sz w:val="24"/>
              </w:rPr>
              <w:t>jenju, kot je opredeljena v členu 242(17) CRR.</w:t>
            </w:r>
          </w:p>
          <w:p w:rsidR="00A369B8" w:rsidRDefault="00A369B8" w:rsidP="00A369B8">
            <w:pPr>
              <w:autoSpaceDE w:val="0"/>
              <w:autoSpaceDN w:val="0"/>
              <w:adjustRightInd w:val="0"/>
              <w:spacing w:before="0" w:after="0"/>
              <w:jc w:val="left"/>
              <w:rPr>
                <w:rFonts w:ascii="Times New Roman" w:hAnsi="Times New Roman"/>
                <w:sz w:val="24"/>
              </w:rPr>
            </w:pPr>
          </w:p>
          <w:p w:rsidR="00612780" w:rsidRPr="00392FFD" w:rsidRDefault="00A369B8" w:rsidP="009068C9">
            <w:pPr>
              <w:autoSpaceDE w:val="0"/>
              <w:autoSpaceDN w:val="0"/>
              <w:adjustRightInd w:val="0"/>
              <w:spacing w:before="0" w:after="0"/>
              <w:jc w:val="left"/>
              <w:rPr>
                <w:rFonts w:ascii="Times New Roman" w:hAnsi="Times New Roman"/>
                <w:sz w:val="24"/>
              </w:rPr>
            </w:pPr>
            <w:r>
              <w:rPr>
                <w:rFonts w:ascii="Times New Roman" w:hAnsi="Times New Roman"/>
                <w:sz w:val="24"/>
              </w:rPr>
              <w:t>Za vse druge pozicije v listinjenju: tranša prve izgube je opredeljena v členu 242(15) različice CRR, veljavne 31. decembra 2018.</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260–280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ZUNAJBILANČNE POSTAVKE IN IZVEDENI FINANČNI INSTR</w:t>
            </w:r>
            <w:r>
              <w:rPr>
                <w:rFonts w:ascii="Times New Roman" w:hAnsi="Times New Roman"/>
                <w:b/>
                <w:sz w:val="24"/>
                <w:u w:val="single"/>
              </w:rPr>
              <w:t>U</w:t>
            </w:r>
            <w:r>
              <w:rPr>
                <w:rFonts w:ascii="Times New Roman" w:hAnsi="Times New Roman"/>
                <w:b/>
                <w:sz w:val="24"/>
                <w:u w:val="single"/>
              </w:rPr>
              <w:t>MENTI</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V tem sklopu stolpcev se zbirajo informacije o zunajbilančnih postavkah in izvedenih finančnih instrumentih, razčlenjenih po tranšah (nadrej</w:t>
            </w:r>
            <w:r>
              <w:rPr>
                <w:rFonts w:ascii="Times New Roman" w:hAnsi="Times New Roman"/>
                <w:sz w:val="24"/>
              </w:rPr>
              <w:t>e</w:t>
            </w:r>
            <w:r>
              <w:rPr>
                <w:rFonts w:ascii="Times New Roman" w:hAnsi="Times New Roman"/>
                <w:sz w:val="24"/>
              </w:rPr>
              <w:t>na/vmesna/prva izguba).</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Uporabljajo se enaka merila razporejanja med tranšami kot za bilančne posta</w:t>
            </w:r>
            <w:r>
              <w:rPr>
                <w:rFonts w:ascii="Times New Roman" w:hAnsi="Times New Roman"/>
                <w:sz w:val="24"/>
              </w:rPr>
              <w:t>v</w:t>
            </w:r>
            <w:r>
              <w:rPr>
                <w:rFonts w:ascii="Times New Roman" w:hAnsi="Times New Roman"/>
                <w:sz w:val="24"/>
              </w:rPr>
              <w:t>ke.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290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PRVI PREDVIDLJIVI DATUM PREKINITVE</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Verjetni datum prekinitve celotnega listinjenja glede na njegove pogodbene klavzule in trenutno pričakovane finančne pogoje. Na splošno bi bil to zgodne</w:t>
            </w:r>
            <w:r>
              <w:rPr>
                <w:rFonts w:ascii="Times New Roman" w:hAnsi="Times New Roman"/>
                <w:sz w:val="24"/>
              </w:rPr>
              <w:t>j</w:t>
            </w:r>
            <w:r>
              <w:rPr>
                <w:rFonts w:ascii="Times New Roman" w:hAnsi="Times New Roman"/>
                <w:sz w:val="24"/>
              </w:rPr>
              <w:t xml:space="preserve">ši od naslednjih datumov: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datum, ko bi se lahko prvič izkoristila vgrajena nakupna opcija (oprede</w:t>
            </w:r>
            <w:r>
              <w:rPr>
                <w:rFonts w:ascii="Times New Roman" w:hAnsi="Times New Roman"/>
                <w:sz w:val="24"/>
              </w:rPr>
              <w:t>l</w:t>
            </w:r>
            <w:r>
              <w:rPr>
                <w:rFonts w:ascii="Times New Roman" w:hAnsi="Times New Roman"/>
                <w:sz w:val="24"/>
              </w:rPr>
              <w:t>jena v členu 242(2) CRR), pri čemer se upoštevata zapadlost osnovnih izpost</w:t>
            </w:r>
            <w:r>
              <w:rPr>
                <w:rFonts w:ascii="Times New Roman" w:hAnsi="Times New Roman"/>
                <w:sz w:val="24"/>
              </w:rPr>
              <w:t>a</w:t>
            </w:r>
            <w:r>
              <w:rPr>
                <w:rFonts w:ascii="Times New Roman" w:hAnsi="Times New Roman"/>
                <w:sz w:val="24"/>
              </w:rPr>
              <w:t xml:space="preserve">vljenosti in njihova pričakovana stopnja predčasnega plačila ali morebitne dejavnosti ponovnega pogajanja;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w:t>
            </w:r>
            <w:proofErr w:type="spellStart"/>
            <w:r>
              <w:rPr>
                <w:rFonts w:ascii="Times New Roman" w:hAnsi="Times New Roman"/>
                <w:sz w:val="24"/>
              </w:rPr>
              <w:t>ii</w:t>
            </w:r>
            <w:proofErr w:type="spellEnd"/>
            <w:r>
              <w:rPr>
                <w:rFonts w:ascii="Times New Roman" w:hAnsi="Times New Roman"/>
                <w:sz w:val="24"/>
              </w:rPr>
              <w:t>)</w:t>
            </w:r>
            <w:r>
              <w:tab/>
            </w:r>
            <w:r>
              <w:rPr>
                <w:rFonts w:ascii="Times New Roman" w:hAnsi="Times New Roman"/>
                <w:sz w:val="24"/>
              </w:rPr>
              <w:t>datum, na katerega lahko originator prvič izkoristi katero koli opcijo odpoklica, vgrajeno v pogodbene klavzule listinjenja, kar bi pomenilo popolni odkup listinjenja.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Sporočijo se dan, mesec in leto prvega predvidljivega datuma prekinitve.</w:t>
            </w:r>
            <w:r>
              <w:rPr>
                <w:rFonts w:ascii="Times New Roman" w:hAnsi="Times New Roman"/>
              </w:rPr>
              <w:t xml:space="preserve"> </w:t>
            </w:r>
            <w:r>
              <w:rPr>
                <w:rFonts w:ascii="Times New Roman" w:hAnsi="Times New Roman"/>
                <w:sz w:val="24"/>
              </w:rPr>
              <w:t>Sp</w:t>
            </w:r>
            <w:r>
              <w:rPr>
                <w:rFonts w:ascii="Times New Roman" w:hAnsi="Times New Roman"/>
                <w:sz w:val="24"/>
              </w:rPr>
              <w:t>o</w:t>
            </w:r>
            <w:r>
              <w:rPr>
                <w:rFonts w:ascii="Times New Roman" w:hAnsi="Times New Roman"/>
                <w:sz w:val="24"/>
              </w:rPr>
              <w:t>roči se točen datum, če je ta podatek na voljo, v nasprotnem primeru pa prvi dan meseca.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300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ZAKONSKO DOLOČENI KONČNI DATUM ZAPADLOSTI</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Datum, do katerega je treba zakonsko odplačati celotno glavnico in obresti li</w:t>
            </w:r>
            <w:r>
              <w:rPr>
                <w:rFonts w:ascii="Times New Roman" w:hAnsi="Times New Roman"/>
                <w:sz w:val="24"/>
              </w:rPr>
              <w:t>s</w:t>
            </w:r>
            <w:r>
              <w:rPr>
                <w:rFonts w:ascii="Times New Roman" w:hAnsi="Times New Roman"/>
                <w:sz w:val="24"/>
              </w:rPr>
              <w:t>tinjenja (na podlagi dokumentacije o poslu).</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Sporočijo se dan, mesec in leto zakonsko določenega končnega datuma zapa</w:t>
            </w:r>
            <w:r>
              <w:rPr>
                <w:rFonts w:ascii="Times New Roman" w:hAnsi="Times New Roman"/>
                <w:sz w:val="24"/>
              </w:rPr>
              <w:t>d</w:t>
            </w:r>
            <w:r>
              <w:rPr>
                <w:rFonts w:ascii="Times New Roman" w:hAnsi="Times New Roman"/>
                <w:sz w:val="24"/>
              </w:rPr>
              <w:t>losti.</w:t>
            </w:r>
            <w:r>
              <w:rPr>
                <w:rFonts w:ascii="Times New Roman" w:hAnsi="Times New Roman"/>
              </w:rPr>
              <w:t xml:space="preserve"> </w:t>
            </w:r>
            <w:r>
              <w:rPr>
                <w:rFonts w:ascii="Times New Roman" w:hAnsi="Times New Roman"/>
                <w:sz w:val="24"/>
              </w:rPr>
              <w:t>Sporoči se točen datum, če je ta podatek na voljo, v nasprotnem primeru pa prvi dan meseca.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310–400</w:t>
            </w:r>
          </w:p>
        </w:tc>
        <w:tc>
          <w:tcPr>
            <w:tcW w:w="7903" w:type="dxa"/>
          </w:tcPr>
          <w:p w:rsidR="00612780" w:rsidRPr="001C5CA8"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POZICIJE V LISTINJENJU: ORIGINALNA IZPOSTAVLJENOST </w:t>
            </w:r>
            <w:r>
              <w:rPr>
                <w:rFonts w:ascii="Times New Roman" w:hAnsi="Times New Roman"/>
                <w:b/>
                <w:sz w:val="24"/>
                <w:u w:val="single"/>
              </w:rPr>
              <w:lastRenderedPageBreak/>
              <w:t>PRED UPORABO KONVERZIJSKIH FAKTORJEV</w:t>
            </w:r>
          </w:p>
          <w:p w:rsidR="00612780" w:rsidRPr="001C5CA8"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V tem sklopu stolpcev se zbirajo informacije o pozicijah v listinjenju v skladu z (zunaj)bilančnimi pozicijami in tranšami (nadrejena/vmesna/prva izguba) na datum poročanja.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310–330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BILANČNE POSTAVKE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Uporabljajo se enaka merila razporejanja med tranšami kot za stolpce 230 do 250.</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340–360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ZUNAJBILANČNE POSTAVKE IN IZVEDENI FINANČNI INSTR</w:t>
            </w:r>
            <w:r>
              <w:rPr>
                <w:rFonts w:ascii="Times New Roman" w:hAnsi="Times New Roman"/>
                <w:b/>
                <w:sz w:val="24"/>
                <w:u w:val="single"/>
              </w:rPr>
              <w:t>U</w:t>
            </w:r>
            <w:r>
              <w:rPr>
                <w:rFonts w:ascii="Times New Roman" w:hAnsi="Times New Roman"/>
                <w:b/>
                <w:sz w:val="24"/>
                <w:u w:val="single"/>
              </w:rPr>
              <w:t>MENTI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Uporabljajo se enaka merila razporejanja med tranšami kot za stolpce 260 do 280.</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Pr>
                <w:rFonts w:ascii="Times New Roman" w:hAnsi="Times New Roman"/>
                <w:sz w:val="24"/>
              </w:rPr>
              <w:t>370–400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POJASNJEVALNE POSTAVKE: ZUNAJBILANČNE POSTAVKE IN IZVEDENI FINANČNI INSTRUMENTI</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tem sklopu stolpcev se zbirajo dodatne informacije o skupnih zunajbilančnih postavkah in izvedenih finančnih instrumentih (ki so že sporočeni v okviru dr</w:t>
            </w:r>
            <w:r>
              <w:rPr>
                <w:rFonts w:ascii="Times New Roman" w:hAnsi="Times New Roman"/>
                <w:sz w:val="24"/>
              </w:rPr>
              <w:t>u</w:t>
            </w:r>
            <w:r>
              <w:rPr>
                <w:rFonts w:ascii="Times New Roman" w:hAnsi="Times New Roman"/>
                <w:sz w:val="24"/>
              </w:rPr>
              <w:t>gačne razčlenitve v stolpcih 340–360).</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NEPOSREDNI KREDITNI NADOMESTKI (DCS)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spacing w:before="0" w:after="0"/>
              <w:rPr>
                <w:rFonts w:ascii="Times New Roman" w:hAnsi="Times New Roman"/>
                <w:sz w:val="24"/>
              </w:rPr>
            </w:pPr>
            <w:r>
              <w:rPr>
                <w:rFonts w:ascii="Times New Roman" w:hAnsi="Times New Roman"/>
                <w:sz w:val="24"/>
              </w:rPr>
              <w:t>Ta stolpec se uporablja za pozicije v listinjenju, ki jih ima v lasti originator in so zajamčene z neposrednimi kreditnimi nadomestki.</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 skladu s Prilogo I k CRR se kot neposredni kreditni nadomestki uporabljajo naslednje zunajbilančne postavke z visokim tveganjem:</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i/>
                <w:sz w:val="24"/>
              </w:rPr>
              <w:t>– jamstva, ki imajo lastnosti kreditnih nadomestkov,</w:t>
            </w:r>
          </w:p>
          <w:p w:rsidR="00612780" w:rsidRPr="00392FFD" w:rsidRDefault="00612780" w:rsidP="00612780">
            <w:pPr>
              <w:spacing w:before="0" w:after="0"/>
              <w:rPr>
                <w:rFonts w:ascii="Times New Roman" w:hAnsi="Times New Roman"/>
                <w:i/>
                <w:sz w:val="24"/>
              </w:rPr>
            </w:pPr>
            <w:r>
              <w:rPr>
                <w:rFonts w:ascii="Times New Roman" w:hAnsi="Times New Roman"/>
                <w:i/>
                <w:sz w:val="24"/>
              </w:rPr>
              <w:t>– nepreklicni „</w:t>
            </w:r>
            <w:proofErr w:type="spellStart"/>
            <w:r>
              <w:rPr>
                <w:rFonts w:ascii="Times New Roman" w:hAnsi="Times New Roman"/>
                <w:i/>
                <w:sz w:val="24"/>
              </w:rPr>
              <w:t>stand</w:t>
            </w:r>
            <w:proofErr w:type="spellEnd"/>
            <w:r>
              <w:rPr>
                <w:rFonts w:ascii="Times New Roman" w:hAnsi="Times New Roman"/>
                <w:i/>
                <w:sz w:val="24"/>
              </w:rPr>
              <w:t>-</w:t>
            </w:r>
            <w:proofErr w:type="spellStart"/>
            <w:r>
              <w:rPr>
                <w:rFonts w:ascii="Times New Roman" w:hAnsi="Times New Roman"/>
                <w:i/>
                <w:sz w:val="24"/>
              </w:rPr>
              <w:t>by</w:t>
            </w:r>
            <w:proofErr w:type="spellEnd"/>
            <w:r>
              <w:rPr>
                <w:rFonts w:ascii="Times New Roman" w:hAnsi="Times New Roman"/>
                <w:i/>
                <w:sz w:val="24"/>
              </w:rPr>
              <w:t>“ akreditivi, ki imajo lastnosti kreditnih nadomestkov.</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IRS/CRS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IRS pomeni zamenjave obrestnih mer, CRS pa valutne zamenjave. Ti izvedeni finančni instrumenti so navedeni v Prilogi II k CRR.</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PRIMERNI OKVIRNI LIKVIDNOSTNI KREDITI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Okvirni likvidnostni krediti (LF), opredeljeni v členu 242(3) CRR, morajo izpolnjevati šest pogojev iz člena 255(1) CRR, da se štejejo za sprejemljive (ne glede na metodo, ki jo uporablja institucija, tj. standardizirani pristop ali pristop IRB).</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DRUGO (VKLJUČNO Z OKVIRNIMI LIKVIDNOSTNIMI KREDITI, KI NISO PRIMERNI)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lastRenderedPageBreak/>
              <w:t>Ta stolpec je namenjen preostalim zunajbilančnim postavkam, kot so nesprej</w:t>
            </w:r>
            <w:r>
              <w:rPr>
                <w:rFonts w:ascii="Times New Roman" w:hAnsi="Times New Roman"/>
                <w:sz w:val="24"/>
              </w:rPr>
              <w:t>e</w:t>
            </w:r>
            <w:r>
              <w:rPr>
                <w:rFonts w:ascii="Times New Roman" w:hAnsi="Times New Roman"/>
                <w:sz w:val="24"/>
              </w:rPr>
              <w:t>mljivi okvirni likvidnostni krediti (tj. okvirni likvidnostni krediti, ki ne izpo</w:t>
            </w:r>
            <w:r>
              <w:rPr>
                <w:rFonts w:ascii="Times New Roman" w:hAnsi="Times New Roman"/>
                <w:sz w:val="24"/>
              </w:rPr>
              <w:t>l</w:t>
            </w:r>
            <w:r>
              <w:rPr>
                <w:rFonts w:ascii="Times New Roman" w:hAnsi="Times New Roman"/>
                <w:sz w:val="24"/>
              </w:rPr>
              <w:t>njujejo pogojev iz člena 255(1) CRR).</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410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PREDČASNO ODPLAČILO: UPORABLJEN KONVERZIJSKI FA</w:t>
            </w:r>
            <w:r>
              <w:rPr>
                <w:rFonts w:ascii="Times New Roman" w:hAnsi="Times New Roman"/>
                <w:b/>
                <w:sz w:val="24"/>
                <w:u w:val="single"/>
              </w:rPr>
              <w:t>K</w:t>
            </w:r>
            <w:r>
              <w:rPr>
                <w:rFonts w:ascii="Times New Roman" w:hAnsi="Times New Roman"/>
                <w:b/>
                <w:sz w:val="24"/>
                <w:u w:val="single"/>
              </w:rPr>
              <w:t>TOR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Člena 242(12) in 256(5) (standardizirani pristop) ter člen 265(1) (pristop IRB) CRR določajo sklop konverzijskih faktorjev, ki se uporabljajo za znesek udel</w:t>
            </w:r>
            <w:r>
              <w:rPr>
                <w:rFonts w:ascii="Times New Roman" w:hAnsi="Times New Roman"/>
                <w:sz w:val="24"/>
              </w:rPr>
              <w:t>e</w:t>
            </w:r>
            <w:r>
              <w:rPr>
                <w:rFonts w:ascii="Times New Roman" w:hAnsi="Times New Roman"/>
                <w:sz w:val="24"/>
              </w:rPr>
              <w:t>žbe investitorjev (da se izračunajo zneski tveganju prilagojenih izpostavljeno</w:t>
            </w:r>
            <w:r>
              <w:rPr>
                <w:rFonts w:ascii="Times New Roman" w:hAnsi="Times New Roman"/>
                <w:sz w:val="24"/>
              </w:rPr>
              <w:t>s</w:t>
            </w:r>
            <w:r>
              <w:rPr>
                <w:rFonts w:ascii="Times New Roman" w:hAnsi="Times New Roman"/>
                <w:sz w:val="24"/>
              </w:rPr>
              <w:t>ti).</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Ta stolpec se uporablja za sheme listinjenja s klavzulami o predčasnem odplač</w:t>
            </w:r>
            <w:r>
              <w:rPr>
                <w:rFonts w:ascii="Times New Roman" w:hAnsi="Times New Roman"/>
                <w:sz w:val="24"/>
              </w:rPr>
              <w:t>i</w:t>
            </w:r>
            <w:r>
              <w:rPr>
                <w:rFonts w:ascii="Times New Roman" w:hAnsi="Times New Roman"/>
                <w:sz w:val="24"/>
              </w:rPr>
              <w:t>lu (tj. obnavljajoča se listinjenja).</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V skladu s členom 256(6) CRR se konverzijska vrednost, ki se uporabi, določi glede na dejansko trimesečno povprečno stopnjo presežnega razmika.</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 primeru listinjenj obveznosti se ta stolpec ne izpolni. Ta informacija se nan</w:t>
            </w:r>
            <w:r>
              <w:rPr>
                <w:rFonts w:ascii="Times New Roman" w:hAnsi="Times New Roman"/>
                <w:sz w:val="24"/>
              </w:rPr>
              <w:t>a</w:t>
            </w:r>
            <w:r>
              <w:rPr>
                <w:rFonts w:ascii="Times New Roman" w:hAnsi="Times New Roman"/>
                <w:sz w:val="24"/>
              </w:rPr>
              <w:t>ša na vrstico 100 v predlogi CR SEC SA in vrstico 160 v predlogi CR SEC IRB.</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VREDNOST IZPOSTAVLJENOSTI KOT ODBITNE POSTAVKE KAPITALA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Ta informacija je tesno povezana s stolpcem 200 v predlogi CR SEC SA in st</w:t>
            </w:r>
            <w:r>
              <w:rPr>
                <w:rFonts w:ascii="Times New Roman" w:hAnsi="Times New Roman"/>
                <w:sz w:val="24"/>
              </w:rPr>
              <w:t>o</w:t>
            </w:r>
            <w:r>
              <w:rPr>
                <w:rFonts w:ascii="Times New Roman" w:hAnsi="Times New Roman"/>
                <w:sz w:val="24"/>
              </w:rPr>
              <w:t>lpcem 180 v predlogi CR SEC IRB.</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 tem stolpcu se sporoči negativna vrednost.</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Del="00304CB1"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SKUPAJ ZNESEK TVEGANJU PRILAGOJENIH IZPOSTAVLJENO</w:t>
            </w:r>
            <w:r>
              <w:rPr>
                <w:rFonts w:ascii="Times New Roman" w:hAnsi="Times New Roman"/>
                <w:b/>
                <w:sz w:val="24"/>
                <w:u w:val="single"/>
              </w:rPr>
              <w:t>S</w:t>
            </w:r>
            <w:r>
              <w:rPr>
                <w:rFonts w:ascii="Times New Roman" w:hAnsi="Times New Roman"/>
                <w:b/>
                <w:sz w:val="24"/>
                <w:u w:val="single"/>
              </w:rPr>
              <w:t>TI PRED UVEDBO OMEJITVE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 tem stolpcu se zbirajo informacije o znesku tveganju prilagojenih izposta</w:t>
            </w:r>
            <w:r>
              <w:rPr>
                <w:rFonts w:ascii="Times New Roman" w:hAnsi="Times New Roman"/>
                <w:sz w:val="24"/>
              </w:rPr>
              <w:t>v</w:t>
            </w:r>
            <w:r>
              <w:rPr>
                <w:rFonts w:ascii="Times New Roman" w:hAnsi="Times New Roman"/>
                <w:sz w:val="24"/>
              </w:rPr>
              <w:t xml:space="preserve">ljenosti pred uvedbo omejitve, ki se uporablja za pozicije v listinjenju (tj. v primeru shem listinjenja s prenosom pomembnega deleža tveganja). V primeru shem listinjenja brez prenosa pomembnega deleža tveganja (tj. znesek tveganju prilagojenih izpostavljenosti, ki se izračuna v skladu z </w:t>
            </w:r>
            <w:proofErr w:type="spellStart"/>
            <w:r>
              <w:rPr>
                <w:rFonts w:ascii="Times New Roman" w:hAnsi="Times New Roman"/>
                <w:sz w:val="24"/>
              </w:rPr>
              <w:t>listinjenimi</w:t>
            </w:r>
            <w:proofErr w:type="spellEnd"/>
            <w:r>
              <w:rPr>
                <w:rFonts w:ascii="Times New Roman" w:hAnsi="Times New Roman"/>
                <w:sz w:val="24"/>
              </w:rPr>
              <w:t xml:space="preserve"> izpostavlj</w:t>
            </w:r>
            <w:r>
              <w:rPr>
                <w:rFonts w:ascii="Times New Roman" w:hAnsi="Times New Roman"/>
                <w:sz w:val="24"/>
              </w:rPr>
              <w:t>e</w:t>
            </w:r>
            <w:r>
              <w:rPr>
                <w:rFonts w:ascii="Times New Roman" w:hAnsi="Times New Roman"/>
                <w:sz w:val="24"/>
              </w:rPr>
              <w:t>nostmi) se v tem stolpcu ne poročajo nobeni podatki.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b/>
                <w:sz w:val="24"/>
                <w:u w:val="single"/>
              </w:rPr>
            </w:pPr>
            <w:r>
              <w:rPr>
                <w:rFonts w:ascii="Times New Roman" w:hAnsi="Times New Roman"/>
                <w:sz w:val="24"/>
              </w:rPr>
              <w:t xml:space="preserve">V primeru listinjenj obveznosti se ta stolpec ne izpolni. </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SKUPAJ ZNESEK TVEGANJU PRILAGOJENIH IZPOSTAVLJENO</w:t>
            </w:r>
            <w:r>
              <w:rPr>
                <w:rFonts w:ascii="Times New Roman" w:hAnsi="Times New Roman"/>
                <w:b/>
                <w:sz w:val="24"/>
                <w:u w:val="single"/>
              </w:rPr>
              <w:t>S</w:t>
            </w:r>
            <w:r>
              <w:rPr>
                <w:rFonts w:ascii="Times New Roman" w:hAnsi="Times New Roman"/>
                <w:b/>
                <w:sz w:val="24"/>
                <w:u w:val="single"/>
              </w:rPr>
              <w:t>TI PO UVEDBI OMEJITVE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 tem stolpcu se zbirajo informacije o znesku tveganju prilagojenih izposta</w:t>
            </w:r>
            <w:r>
              <w:rPr>
                <w:rFonts w:ascii="Times New Roman" w:hAnsi="Times New Roman"/>
                <w:sz w:val="24"/>
              </w:rPr>
              <w:t>v</w:t>
            </w:r>
            <w:r>
              <w:rPr>
                <w:rFonts w:ascii="Times New Roman" w:hAnsi="Times New Roman"/>
                <w:sz w:val="24"/>
              </w:rPr>
              <w:t>ljenosti po uvedbi omejitve, ki se uporablja za pozicije v listinjenju (tj. v prim</w:t>
            </w:r>
            <w:r>
              <w:rPr>
                <w:rFonts w:ascii="Times New Roman" w:hAnsi="Times New Roman"/>
                <w:sz w:val="24"/>
              </w:rPr>
              <w:t>e</w:t>
            </w:r>
            <w:r>
              <w:rPr>
                <w:rFonts w:ascii="Times New Roman" w:hAnsi="Times New Roman"/>
                <w:sz w:val="24"/>
              </w:rPr>
              <w:t xml:space="preserve">ru shem listinjenja s prenosom pomembnega deleža tveganja). V primeru shem listinjenja brez prenosa pomembnega deleža tveganja (tj. kapitalske zahteve, ki se izračunajo v skladu z </w:t>
            </w:r>
            <w:proofErr w:type="spellStart"/>
            <w:r>
              <w:rPr>
                <w:rFonts w:ascii="Times New Roman" w:hAnsi="Times New Roman"/>
                <w:sz w:val="24"/>
              </w:rPr>
              <w:t>listinjenimi</w:t>
            </w:r>
            <w:proofErr w:type="spellEnd"/>
            <w:r>
              <w:rPr>
                <w:rFonts w:ascii="Times New Roman" w:hAnsi="Times New Roman"/>
                <w:sz w:val="24"/>
              </w:rPr>
              <w:t xml:space="preserve"> izpostavljenostmi) se v tem stolpcu ne poročajo nobeni podatki</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V primeru listinjenj obveznosti se ta stolpec ne izpolni. </w:t>
            </w:r>
          </w:p>
          <w:p w:rsidR="00612780" w:rsidRPr="00392FFD" w:rsidRDefault="00612780" w:rsidP="00612780">
            <w:pPr>
              <w:spacing w:before="0" w:after="0"/>
              <w:jc w:val="left"/>
              <w:rPr>
                <w:rFonts w:ascii="Times New Roman" w:hAnsi="Times New Roman"/>
                <w:sz w:val="24"/>
              </w:rPr>
            </w:pPr>
          </w:p>
        </w:tc>
      </w:tr>
      <w:tr w:rsidR="008726CA" w:rsidRPr="00392FFD" w:rsidTr="00672D2A">
        <w:tc>
          <w:tcPr>
            <w:tcW w:w="1101" w:type="dxa"/>
          </w:tcPr>
          <w:p w:rsidR="008726CA" w:rsidRPr="00392FFD" w:rsidRDefault="008726CA"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445</w:t>
            </w:r>
          </w:p>
        </w:tc>
        <w:tc>
          <w:tcPr>
            <w:tcW w:w="7903" w:type="dxa"/>
          </w:tcPr>
          <w:p w:rsidR="008726CA" w:rsidRDefault="008726CA" w:rsidP="00612780">
            <w:pPr>
              <w:spacing w:before="0" w:after="0"/>
              <w:jc w:val="left"/>
              <w:rPr>
                <w:rFonts w:ascii="Times New Roman" w:hAnsi="Times New Roman"/>
                <w:b/>
                <w:sz w:val="24"/>
                <w:u w:val="single"/>
              </w:rPr>
            </w:pPr>
            <w:r>
              <w:rPr>
                <w:rFonts w:ascii="Times New Roman" w:hAnsi="Times New Roman"/>
                <w:b/>
                <w:sz w:val="24"/>
                <w:u w:val="single"/>
              </w:rPr>
              <w:t xml:space="preserve">PRISTOP </w:t>
            </w:r>
          </w:p>
          <w:p w:rsidR="008726CA" w:rsidRDefault="008726CA" w:rsidP="00612780">
            <w:pPr>
              <w:spacing w:before="0" w:after="0"/>
              <w:jc w:val="left"/>
              <w:rPr>
                <w:rFonts w:ascii="Times New Roman" w:hAnsi="Times New Roman"/>
                <w:sz w:val="24"/>
              </w:rPr>
            </w:pPr>
          </w:p>
          <w:p w:rsidR="00CE4C49" w:rsidRDefault="00CE4C49" w:rsidP="00612780">
            <w:pPr>
              <w:spacing w:before="0" w:after="0"/>
              <w:jc w:val="left"/>
              <w:rPr>
                <w:rFonts w:ascii="Times New Roman" w:hAnsi="Times New Roman"/>
                <w:sz w:val="24"/>
              </w:rPr>
            </w:pPr>
            <w:r>
              <w:rPr>
                <w:rFonts w:ascii="Times New Roman" w:hAnsi="Times New Roman"/>
                <w:sz w:val="24"/>
              </w:rPr>
              <w:t>V tem stolpcu se poroča pristop za določanje zneska skupne izpostavljenosti tveganju, ko se sporoči v stolpcu 440.</w:t>
            </w:r>
          </w:p>
          <w:p w:rsidR="00CE4C49" w:rsidRDefault="00CE4C49" w:rsidP="00612780">
            <w:pPr>
              <w:spacing w:before="0" w:after="0"/>
              <w:jc w:val="left"/>
              <w:rPr>
                <w:rFonts w:ascii="Times New Roman" w:hAnsi="Times New Roman"/>
                <w:sz w:val="24"/>
              </w:rPr>
            </w:pPr>
          </w:p>
          <w:p w:rsidR="008726CA" w:rsidRDefault="00CE4C49" w:rsidP="00612780">
            <w:pPr>
              <w:spacing w:before="0" w:after="0"/>
              <w:jc w:val="left"/>
              <w:rPr>
                <w:rFonts w:ascii="Times New Roman" w:hAnsi="Times New Roman"/>
                <w:sz w:val="24"/>
              </w:rPr>
            </w:pPr>
            <w:r>
              <w:rPr>
                <w:rFonts w:ascii="Times New Roman" w:hAnsi="Times New Roman"/>
                <w:sz w:val="24"/>
              </w:rPr>
              <w:t>Pristop je eden od naslednjih:</w:t>
            </w:r>
          </w:p>
          <w:p w:rsidR="008726CA" w:rsidRPr="006B4AC8" w:rsidRDefault="008726CA" w:rsidP="00612780">
            <w:pPr>
              <w:spacing w:before="0" w:after="0"/>
              <w:jc w:val="left"/>
              <w:rPr>
                <w:rFonts w:ascii="Times New Roman" w:hAnsi="Times New Roman"/>
                <w:sz w:val="24"/>
              </w:rPr>
            </w:pPr>
          </w:p>
          <w:p w:rsidR="008726CA" w:rsidRPr="006B4AC8" w:rsidRDefault="008726CA" w:rsidP="00612780">
            <w:pPr>
              <w:spacing w:before="0" w:after="0"/>
              <w:jc w:val="left"/>
              <w:rPr>
                <w:rFonts w:ascii="Times New Roman" w:hAnsi="Times New Roman"/>
                <w:i/>
                <w:sz w:val="24"/>
              </w:rPr>
            </w:pPr>
            <w:r>
              <w:rPr>
                <w:rFonts w:ascii="Times New Roman" w:hAnsi="Times New Roman"/>
                <w:i/>
                <w:sz w:val="24"/>
              </w:rPr>
              <w:t>Za pozicije v listinjenju, za katere se zneski tveganju prilagojenih izpostavlj</w:t>
            </w:r>
            <w:r>
              <w:rPr>
                <w:rFonts w:ascii="Times New Roman" w:hAnsi="Times New Roman"/>
                <w:i/>
                <w:sz w:val="24"/>
              </w:rPr>
              <w:t>e</w:t>
            </w:r>
            <w:r>
              <w:rPr>
                <w:rFonts w:ascii="Times New Roman" w:hAnsi="Times New Roman"/>
                <w:i/>
                <w:sz w:val="24"/>
              </w:rPr>
              <w:t>nosti izračunajo v skladu različico CRR, veljavno 31. decembra 2018.</w:t>
            </w:r>
          </w:p>
          <w:p w:rsidR="008726CA" w:rsidRPr="006B4AC8" w:rsidRDefault="00936395" w:rsidP="006B4AC8">
            <w:pPr>
              <w:pStyle w:val="ListParagraph"/>
              <w:numPr>
                <w:ilvl w:val="0"/>
                <w:numId w:val="38"/>
              </w:numPr>
              <w:spacing w:before="0" w:after="0"/>
              <w:jc w:val="left"/>
              <w:rPr>
                <w:rFonts w:ascii="Times New Roman" w:hAnsi="Times New Roman"/>
                <w:b/>
                <w:sz w:val="24"/>
                <w:u w:val="single"/>
              </w:rPr>
            </w:pPr>
            <w:r>
              <w:rPr>
                <w:rFonts w:ascii="Times New Roman" w:hAnsi="Times New Roman"/>
                <w:sz w:val="24"/>
              </w:rPr>
              <w:t>Drugo (prvotni okvir za listinjenja)</w:t>
            </w:r>
          </w:p>
          <w:p w:rsidR="008726CA" w:rsidRPr="006B4AC8" w:rsidRDefault="008726CA" w:rsidP="008726CA">
            <w:pPr>
              <w:spacing w:before="0" w:after="0"/>
              <w:jc w:val="left"/>
              <w:rPr>
                <w:rFonts w:ascii="Times New Roman" w:hAnsi="Times New Roman"/>
                <w:b/>
                <w:sz w:val="24"/>
                <w:u w:val="single"/>
              </w:rPr>
            </w:pPr>
          </w:p>
          <w:p w:rsidR="008726CA" w:rsidRPr="006B4AC8" w:rsidRDefault="002F1163" w:rsidP="008726CA">
            <w:pPr>
              <w:autoSpaceDE w:val="0"/>
              <w:autoSpaceDN w:val="0"/>
              <w:adjustRightInd w:val="0"/>
              <w:spacing w:before="0" w:after="0"/>
              <w:jc w:val="left"/>
              <w:rPr>
                <w:rFonts w:ascii="Times New Roman" w:hAnsi="Times New Roman"/>
                <w:i/>
                <w:sz w:val="24"/>
              </w:rPr>
            </w:pPr>
            <w:r>
              <w:rPr>
                <w:rFonts w:ascii="Times New Roman" w:hAnsi="Times New Roman"/>
                <w:i/>
                <w:sz w:val="24"/>
              </w:rPr>
              <w:t>Na referenčne datume poročanja po 1. januarju 2019 za pozicije v listinjenju, za katere se zneski tveganju prilagojenih izpostavljenosti izračunajo v skladu s CRR:</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SEC-IRBA</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SEC-SA</w:t>
            </w:r>
          </w:p>
          <w:p w:rsidR="00B36EAA" w:rsidRPr="009068C9" w:rsidRDefault="00B36EAA" w:rsidP="00B36EA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SEC-ERBA</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IAA</w:t>
            </w:r>
          </w:p>
          <w:p w:rsidR="00C64027" w:rsidRDefault="00C64027"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1250 % za pozicije, za katere se ne uporablja nobena metoda (člen 254(7) CRR)</w:t>
            </w:r>
          </w:p>
          <w:p w:rsidR="006B4AC8" w:rsidRDefault="006B4AC8"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več pristopov</w:t>
            </w:r>
          </w:p>
          <w:p w:rsidR="008726CA" w:rsidRDefault="008726CA" w:rsidP="006B4AC8">
            <w:pPr>
              <w:autoSpaceDE w:val="0"/>
              <w:autoSpaceDN w:val="0"/>
              <w:adjustRightInd w:val="0"/>
              <w:spacing w:before="0" w:after="0"/>
              <w:jc w:val="left"/>
              <w:rPr>
                <w:rFonts w:ascii="Times New Roman" w:hAnsi="Times New Roman"/>
                <w:sz w:val="24"/>
              </w:rPr>
            </w:pPr>
            <w:r>
              <w:rPr>
                <w:rFonts w:ascii="Times New Roman" w:hAnsi="Times New Roman"/>
                <w:sz w:val="24"/>
              </w:rPr>
              <w:t>V skladu z določitvijo uteži tveganja v skladu s členom 337 CRR se za instr</w:t>
            </w:r>
            <w:r>
              <w:rPr>
                <w:rFonts w:ascii="Times New Roman" w:hAnsi="Times New Roman"/>
                <w:sz w:val="24"/>
              </w:rPr>
              <w:t>u</w:t>
            </w:r>
            <w:r>
              <w:rPr>
                <w:rFonts w:ascii="Times New Roman" w:hAnsi="Times New Roman"/>
                <w:sz w:val="24"/>
              </w:rPr>
              <w:t>mente v trgovalni knjigi, ki so pozicije v listinjenju, pristop določi kot pristop, ki bi ga institucija uporabljala za pozicijo v svoji netrgovalni knjigi.</w:t>
            </w:r>
          </w:p>
          <w:p w:rsidR="006B4AC8" w:rsidRPr="00140F6E" w:rsidRDefault="006B4AC8" w:rsidP="006B4AC8">
            <w:pPr>
              <w:autoSpaceDE w:val="0"/>
              <w:autoSpaceDN w:val="0"/>
              <w:adjustRightInd w:val="0"/>
              <w:spacing w:before="0" w:after="0"/>
              <w:jc w:val="left"/>
              <w:rPr>
                <w:rFonts w:ascii="Times New Roman" w:hAnsi="Times New Roman"/>
                <w:sz w:val="24"/>
              </w:rPr>
            </w:pPr>
            <w:r>
              <w:rPr>
                <w:rFonts w:ascii="Times New Roman" w:hAnsi="Times New Roman"/>
                <w:sz w:val="24"/>
              </w:rPr>
              <w:t>„Več pristopov“ se uporablja, če je institucija v posel listinjenja vključena ali mu izpostavljena na več načinov in uporablja različne pristope za izračun kap</w:t>
            </w:r>
            <w:r>
              <w:rPr>
                <w:rFonts w:ascii="Times New Roman" w:hAnsi="Times New Roman"/>
                <w:sz w:val="24"/>
              </w:rPr>
              <w:t>i</w:t>
            </w:r>
            <w:r>
              <w:rPr>
                <w:rFonts w:ascii="Times New Roman" w:hAnsi="Times New Roman"/>
                <w:sz w:val="24"/>
              </w:rPr>
              <w:t>talskih zahtev v svojih različnih vlogah ali za svoje različne izpostavljenosti.</w:t>
            </w:r>
          </w:p>
          <w:p w:rsidR="008726CA" w:rsidRPr="00392FFD" w:rsidRDefault="008726CA" w:rsidP="00612780">
            <w:pPr>
              <w:spacing w:before="0" w:after="0"/>
              <w:jc w:val="left"/>
              <w:rPr>
                <w:rFonts w:ascii="Times New Roman" w:hAnsi="Times New Roman"/>
                <w:b/>
                <w:sz w:val="24"/>
                <w:u w:val="single"/>
              </w:rPr>
            </w:pPr>
          </w:p>
        </w:tc>
      </w:tr>
      <w:tr w:rsidR="006B4AC8" w:rsidRPr="00392FFD" w:rsidTr="00672D2A">
        <w:tc>
          <w:tcPr>
            <w:tcW w:w="1101" w:type="dxa"/>
          </w:tcPr>
          <w:p w:rsidR="006B4AC8" w:rsidRDefault="006B4AC8" w:rsidP="00612780">
            <w:pPr>
              <w:autoSpaceDE w:val="0"/>
              <w:autoSpaceDN w:val="0"/>
              <w:adjustRightInd w:val="0"/>
              <w:spacing w:before="0" w:after="0"/>
              <w:rPr>
                <w:rFonts w:ascii="Times New Roman" w:hAnsi="Times New Roman"/>
                <w:sz w:val="24"/>
              </w:rPr>
            </w:pPr>
            <w:r>
              <w:rPr>
                <w:rFonts w:ascii="Times New Roman" w:hAnsi="Times New Roman"/>
                <w:sz w:val="24"/>
              </w:rPr>
              <w:t>446</w:t>
            </w:r>
          </w:p>
        </w:tc>
        <w:tc>
          <w:tcPr>
            <w:tcW w:w="7903" w:type="dxa"/>
          </w:tcPr>
          <w:p w:rsidR="006B4AC8" w:rsidRDefault="006B4AC8" w:rsidP="009A1A9B">
            <w:pPr>
              <w:spacing w:before="0" w:after="0"/>
              <w:jc w:val="left"/>
              <w:rPr>
                <w:rFonts w:ascii="Times New Roman" w:hAnsi="Times New Roman"/>
                <w:b/>
                <w:sz w:val="24"/>
                <w:u w:val="single"/>
              </w:rPr>
            </w:pPr>
            <w:r>
              <w:rPr>
                <w:rFonts w:ascii="Times New Roman" w:hAnsi="Times New Roman"/>
                <w:b/>
                <w:sz w:val="24"/>
                <w:u w:val="single"/>
              </w:rPr>
              <w:t>LISTINJENJE, KI IZPOLNJUJE POGOJE ZA DIFERENCIRANO KAPITALSKO OBRAVNAVO</w:t>
            </w:r>
          </w:p>
          <w:p w:rsidR="006B4AC8" w:rsidRDefault="006B4AC8" w:rsidP="009A1A9B">
            <w:pPr>
              <w:spacing w:before="0" w:after="0"/>
              <w:jc w:val="left"/>
              <w:rPr>
                <w:rFonts w:ascii="Times New Roman" w:hAnsi="Times New Roman"/>
                <w:sz w:val="24"/>
              </w:rPr>
            </w:pPr>
          </w:p>
          <w:p w:rsidR="006B4AC8" w:rsidRDefault="004D2753" w:rsidP="009A1A9B">
            <w:pPr>
              <w:spacing w:before="0" w:after="0"/>
              <w:jc w:val="left"/>
              <w:rPr>
                <w:rFonts w:ascii="Times New Roman" w:hAnsi="Times New Roman"/>
                <w:sz w:val="24"/>
              </w:rPr>
            </w:pPr>
            <w:r>
              <w:rPr>
                <w:rFonts w:ascii="Times New Roman" w:hAnsi="Times New Roman"/>
                <w:sz w:val="24"/>
              </w:rPr>
              <w:t>Na referenčne datume poročanja po 1. januarju 2019 člena 243 in 270 CRR.</w:t>
            </w:r>
          </w:p>
          <w:p w:rsidR="006B4AC8" w:rsidRDefault="006B4AC8" w:rsidP="009A1A9B">
            <w:pPr>
              <w:spacing w:before="0" w:after="0"/>
              <w:jc w:val="left"/>
              <w:rPr>
                <w:rFonts w:ascii="Times New Roman" w:hAnsi="Times New Roman"/>
                <w:sz w:val="24"/>
              </w:rPr>
            </w:pPr>
          </w:p>
          <w:p w:rsidR="006B4AC8" w:rsidRPr="00140F6E" w:rsidRDefault="006B4AC8" w:rsidP="009A1A9B">
            <w:pPr>
              <w:spacing w:before="0" w:after="0"/>
              <w:jc w:val="left"/>
              <w:rPr>
                <w:rFonts w:ascii="Times New Roman" w:hAnsi="Times New Roman"/>
                <w:sz w:val="24"/>
              </w:rPr>
            </w:pPr>
            <w:r>
              <w:rPr>
                <w:rFonts w:ascii="Times New Roman" w:hAnsi="Times New Roman"/>
                <w:sz w:val="24"/>
              </w:rPr>
              <w:t>Sporočite eno od naslednjih okrajšav:</w:t>
            </w:r>
          </w:p>
          <w:p w:rsidR="00261B63" w:rsidRPr="00140F6E" w:rsidRDefault="006B4AC8" w:rsidP="009A1A9B">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xml:space="preserve">– </w:t>
            </w:r>
            <w:proofErr w:type="spellStart"/>
            <w:r>
              <w:rPr>
                <w:rFonts w:ascii="Times New Roman" w:hAnsi="Times New Roman"/>
                <w:sz w:val="24"/>
              </w:rPr>
              <w:t>ٱDa</w:t>
            </w:r>
            <w:proofErr w:type="spellEnd"/>
          </w:p>
          <w:p w:rsidR="006B4AC8" w:rsidRDefault="006B4AC8" w:rsidP="009A1A9B">
            <w:pPr>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Ne</w:t>
            </w:r>
          </w:p>
          <w:p w:rsidR="00640475" w:rsidRDefault="00640475" w:rsidP="009A1A9B">
            <w:pPr>
              <w:spacing w:before="0" w:after="0"/>
              <w:jc w:val="left"/>
              <w:rPr>
                <w:rFonts w:ascii="Times New Roman" w:hAnsi="Times New Roman"/>
                <w:b/>
                <w:sz w:val="24"/>
                <w:u w:val="single"/>
              </w:rPr>
            </w:pPr>
          </w:p>
          <w:p w:rsidR="00261B63" w:rsidRDefault="00261B63" w:rsidP="002B5F2D">
            <w:pPr>
              <w:spacing w:before="0" w:after="0"/>
              <w:jc w:val="left"/>
              <w:rPr>
                <w:rFonts w:ascii="Times New Roman" w:hAnsi="Times New Roman"/>
                <w:b/>
                <w:sz w:val="24"/>
                <w:u w:val="single"/>
              </w:rPr>
            </w:pPr>
            <w:r>
              <w:rPr>
                <w:rFonts w:ascii="Times New Roman" w:hAnsi="Times New Roman"/>
                <w:sz w:val="24"/>
              </w:rPr>
              <w:t>„Da“ se sporoči tako v primeru listinjenj STS, ki izpolnjujejo pogoje za dif</w:t>
            </w:r>
            <w:r>
              <w:rPr>
                <w:rFonts w:ascii="Times New Roman" w:hAnsi="Times New Roman"/>
                <w:sz w:val="24"/>
              </w:rPr>
              <w:t>e</w:t>
            </w:r>
            <w:r>
              <w:rPr>
                <w:rFonts w:ascii="Times New Roman" w:hAnsi="Times New Roman"/>
                <w:sz w:val="24"/>
              </w:rPr>
              <w:t>rencirano kapitalsko obravnavo v skladu s členom 243 CRR, kot v primeru na</w:t>
            </w:r>
            <w:r>
              <w:rPr>
                <w:rFonts w:ascii="Times New Roman" w:hAnsi="Times New Roman"/>
                <w:sz w:val="24"/>
              </w:rPr>
              <w:t>d</w:t>
            </w:r>
            <w:r>
              <w:rPr>
                <w:rFonts w:ascii="Times New Roman" w:hAnsi="Times New Roman"/>
                <w:sz w:val="24"/>
              </w:rPr>
              <w:t>rejenih pozicij v listinjenjih (ne-STS) MSP, ki izpolnjujejo pogoje za to obra</w:t>
            </w:r>
            <w:r>
              <w:rPr>
                <w:rFonts w:ascii="Times New Roman" w:hAnsi="Times New Roman"/>
                <w:sz w:val="24"/>
              </w:rPr>
              <w:t>v</w:t>
            </w:r>
            <w:r>
              <w:rPr>
                <w:rFonts w:ascii="Times New Roman" w:hAnsi="Times New Roman"/>
                <w:sz w:val="24"/>
              </w:rPr>
              <w:t>navo v skladu s členom 270 CRR.</w:t>
            </w: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450–510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POZICIJE V LISTINJENJU – TRGOVALNA KNJIGA</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TRGOVALNI PORTFELJ S KORELACIJO ALI NE?</w:t>
            </w:r>
          </w:p>
          <w:p w:rsidR="00612780" w:rsidRPr="00392FFD" w:rsidRDefault="00612780" w:rsidP="00612780">
            <w:pPr>
              <w:spacing w:before="0" w:after="0"/>
              <w:jc w:val="left"/>
              <w:rPr>
                <w:rStyle w:val="InstructionsTabelleText"/>
                <w:rFonts w:ascii="Times New Roman" w:hAnsi="Times New Roman"/>
                <w:sz w:val="24"/>
              </w:rPr>
            </w:pP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Sporočijo se naslednje okrajšave:</w:t>
            </w: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C – trgovalni portfelj s korelacijo (CTP),</w:t>
            </w: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lastRenderedPageBreak/>
              <w:t>N – ne CTP.</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NETO POZICIJE – DOLGE/KRATKE</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b/>
                <w:sz w:val="24"/>
                <w:u w:val="single"/>
              </w:rPr>
            </w:pPr>
            <w:r>
              <w:rPr>
                <w:rStyle w:val="InstructionsTabelleText"/>
                <w:rFonts w:ascii="Times New Roman" w:hAnsi="Times New Roman"/>
                <w:sz w:val="24"/>
              </w:rPr>
              <w:t xml:space="preserve">Glej stolpec 050 predloge MKR SA SEC oziroma stolpec 060 predloge MKR SA CTP. </w:t>
            </w: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480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SKUPNE KAPITALSKE ZAHTEVE (STANDARDIZIRANI PRISTOP) – POSEBNO TVEGANJE</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b/>
                <w:sz w:val="24"/>
                <w:u w:val="single"/>
              </w:rPr>
            </w:pPr>
            <w:r>
              <w:rPr>
                <w:rStyle w:val="InstructionsTabelleText"/>
                <w:rFonts w:ascii="Times New Roman" w:hAnsi="Times New Roman"/>
                <w:sz w:val="24"/>
              </w:rPr>
              <w:t xml:space="preserve">Glej stolpec 610 predloge MKR SA SEC oziroma stolpec 450 predloge MKR SA CTP. </w:t>
            </w:r>
          </w:p>
        </w:tc>
      </w:tr>
    </w:tbl>
    <w:p w:rsidR="00612780" w:rsidRPr="00392FFD" w:rsidRDefault="00612780">
      <w:pPr>
        <w:spacing w:before="0" w:after="0"/>
        <w:jc w:val="left"/>
        <w:rPr>
          <w:rStyle w:val="InstructionsTabelleText"/>
          <w:rFonts w:ascii="Times New Roman" w:hAnsi="Times New Roman"/>
          <w:sz w:val="24"/>
        </w:rPr>
      </w:pPr>
    </w:p>
    <w:p w:rsidR="00AC6255" w:rsidRPr="00321A3B" w:rsidRDefault="00CE4C49" w:rsidP="0023700C">
      <w:pPr>
        <w:pStyle w:val="Instructionsberschrift2"/>
        <w:numPr>
          <w:ilvl w:val="0"/>
          <w:numId w:val="0"/>
        </w:numPr>
        <w:ind w:left="357" w:hanging="357"/>
        <w:rPr>
          <w:rFonts w:ascii="Times New Roman" w:hAnsi="Times New Roman" w:cs="Times New Roman"/>
          <w:sz w:val="24"/>
        </w:rPr>
      </w:pPr>
      <w:bookmarkStart w:id="492" w:name="_Toc260157222"/>
      <w:bookmarkStart w:id="493" w:name="_Toc262566416"/>
      <w:bookmarkStart w:id="494" w:name="_Toc295829987"/>
      <w:bookmarkStart w:id="495" w:name="_Toc310415049"/>
      <w:bookmarkStart w:id="496" w:name="_Toc360188384"/>
      <w:bookmarkStart w:id="497" w:name="_Toc516210670"/>
      <w:bookmarkStart w:id="498" w:name="_Toc473560935"/>
      <w:bookmarkStart w:id="499" w:name="_Toc260157223"/>
      <w:bookmarkStart w:id="500" w:name="_Toc262566417"/>
      <w:bookmarkStart w:id="501" w:name="_Toc264038462"/>
      <w:bookmarkStart w:id="502" w:name="_Toc295829988"/>
      <w:bookmarkStart w:id="503" w:name="_Toc310415050"/>
      <w:bookmarkStart w:id="504" w:name="_Toc523474419"/>
      <w:r>
        <w:rPr>
          <w:rFonts w:ascii="Times New Roman" w:hAnsi="Times New Roman"/>
          <w:sz w:val="24"/>
        </w:rPr>
        <w:t>4.</w:t>
      </w:r>
      <w:r w:rsidR="003F40E8" w:rsidRPr="003C1977">
        <w:tab/>
      </w:r>
      <w:r>
        <w:rPr>
          <w:rFonts w:ascii="Times New Roman" w:hAnsi="Times New Roman"/>
          <w:sz w:val="24"/>
        </w:rPr>
        <w:t>Predloge za operativno tveganje</w:t>
      </w:r>
      <w:bookmarkEnd w:id="492"/>
      <w:bookmarkEnd w:id="493"/>
      <w:bookmarkEnd w:id="494"/>
      <w:bookmarkEnd w:id="495"/>
      <w:bookmarkEnd w:id="496"/>
      <w:bookmarkEnd w:id="497"/>
      <w:bookmarkEnd w:id="498"/>
      <w:bookmarkEnd w:id="504"/>
    </w:p>
    <w:p w:rsidR="00AC6255" w:rsidRPr="00321A3B" w:rsidRDefault="00CE4C49" w:rsidP="0023700C">
      <w:pPr>
        <w:pStyle w:val="Instructionsberschrift2"/>
        <w:numPr>
          <w:ilvl w:val="0"/>
          <w:numId w:val="0"/>
        </w:numPr>
        <w:ind w:left="357" w:hanging="357"/>
        <w:rPr>
          <w:rFonts w:ascii="Times New Roman" w:hAnsi="Times New Roman" w:cs="Times New Roman"/>
          <w:sz w:val="24"/>
        </w:rPr>
      </w:pPr>
      <w:bookmarkStart w:id="505" w:name="_Toc360188385"/>
      <w:bookmarkStart w:id="506" w:name="_Toc516210671"/>
      <w:bookmarkStart w:id="507" w:name="_Toc473560936"/>
      <w:bookmarkStart w:id="508" w:name="_Toc523474420"/>
      <w:r>
        <w:rPr>
          <w:rFonts w:ascii="Times New Roman" w:hAnsi="Times New Roman"/>
          <w:sz w:val="24"/>
        </w:rPr>
        <w:t>4.1</w:t>
      </w:r>
      <w:r w:rsidR="003F40E8" w:rsidRPr="003C1977">
        <w:tab/>
      </w:r>
      <w:r w:rsidR="003F40E8" w:rsidRPr="003C1977">
        <w:rPr>
          <w:rFonts w:ascii="Times New Roman" w:hAnsi="Times New Roman"/>
          <w:sz w:val="24"/>
        </w:rPr>
        <w:tab/>
      </w:r>
      <w:r>
        <w:rPr>
          <w:rFonts w:ascii="Times New Roman" w:hAnsi="Times New Roman"/>
          <w:sz w:val="24"/>
        </w:rPr>
        <w:t>C 16.00 – Operativno tveganje</w:t>
      </w:r>
      <w:bookmarkEnd w:id="499"/>
      <w:bookmarkEnd w:id="500"/>
      <w:bookmarkEnd w:id="501"/>
      <w:bookmarkEnd w:id="502"/>
      <w:bookmarkEnd w:id="503"/>
      <w:bookmarkEnd w:id="505"/>
      <w:r>
        <w:rPr>
          <w:rFonts w:ascii="Times New Roman" w:hAnsi="Times New Roman"/>
          <w:sz w:val="24"/>
        </w:rPr>
        <w:t xml:space="preserve"> (OPR)</w:t>
      </w:r>
      <w:bookmarkEnd w:id="506"/>
      <w:bookmarkEnd w:id="507"/>
      <w:bookmarkEnd w:id="508"/>
    </w:p>
    <w:p w:rsidR="00AC6255" w:rsidRPr="009068C9" w:rsidRDefault="00CE4C49" w:rsidP="0023700C">
      <w:pPr>
        <w:pStyle w:val="Instructionsberschrift2"/>
        <w:numPr>
          <w:ilvl w:val="0"/>
          <w:numId w:val="0"/>
        </w:numPr>
        <w:ind w:left="357" w:hanging="357"/>
        <w:rPr>
          <w:rFonts w:ascii="Times New Roman" w:hAnsi="Times New Roman" w:cs="Times New Roman"/>
          <w:sz w:val="24"/>
          <w:u w:val="none"/>
        </w:rPr>
      </w:pPr>
      <w:bookmarkStart w:id="509" w:name="_Toc260157224"/>
      <w:bookmarkStart w:id="510" w:name="_Toc262566418"/>
      <w:bookmarkStart w:id="511" w:name="_Toc264038463"/>
      <w:bookmarkStart w:id="512" w:name="_Toc295829989"/>
      <w:bookmarkStart w:id="513" w:name="_Toc310415051"/>
      <w:bookmarkStart w:id="514" w:name="_Toc360188386"/>
      <w:bookmarkStart w:id="515" w:name="_Toc516210672"/>
      <w:bookmarkStart w:id="516" w:name="_Toc473560937"/>
      <w:bookmarkStart w:id="517" w:name="_Toc523474421"/>
      <w:r>
        <w:rPr>
          <w:rFonts w:ascii="Times New Roman" w:hAnsi="Times New Roman"/>
          <w:sz w:val="24"/>
          <w:u w:val="none"/>
        </w:rPr>
        <w:t>4.1.1</w:t>
      </w:r>
      <w:r w:rsidR="003F40E8" w:rsidRPr="003F40E8">
        <w:rPr>
          <w:u w:val="none"/>
        </w:rPr>
        <w:tab/>
      </w:r>
      <w:r>
        <w:rPr>
          <w:rFonts w:ascii="Times New Roman" w:hAnsi="Times New Roman"/>
          <w:sz w:val="24"/>
          <w:u w:val="none"/>
        </w:rPr>
        <w:t>Splošne</w:t>
      </w:r>
      <w:bookmarkEnd w:id="509"/>
      <w:r>
        <w:rPr>
          <w:rFonts w:ascii="Times New Roman" w:hAnsi="Times New Roman"/>
          <w:sz w:val="24"/>
          <w:u w:val="none"/>
        </w:rPr>
        <w:t xml:space="preserve"> opombe</w:t>
      </w:r>
      <w:bookmarkEnd w:id="510"/>
      <w:bookmarkEnd w:id="511"/>
      <w:bookmarkEnd w:id="512"/>
      <w:bookmarkEnd w:id="513"/>
      <w:bookmarkEnd w:id="514"/>
      <w:bookmarkEnd w:id="515"/>
      <w:bookmarkEnd w:id="516"/>
      <w:bookmarkEnd w:id="517"/>
      <w:r>
        <w:rPr>
          <w:rFonts w:ascii="Times New Roman" w:hAnsi="Times New Roman"/>
          <w:sz w:val="24"/>
          <w:u w:val="none"/>
        </w:rPr>
        <w:t xml:space="preserve"> </w:t>
      </w:r>
    </w:p>
    <w:p w:rsidR="00AC6255" w:rsidRPr="00392FFD" w:rsidRDefault="006660B9" w:rsidP="00C37B29">
      <w:pPr>
        <w:pStyle w:val="InstructionsText2"/>
        <w:numPr>
          <w:ilvl w:val="0"/>
          <w:numId w:val="0"/>
        </w:numPr>
        <w:ind w:left="993"/>
      </w:pPr>
      <w:r>
        <w:t>114.</w:t>
      </w:r>
      <w:r>
        <w:tab/>
        <w:t>Ta predloga zagotavlja informacije o izračunu kapitalskih zahtev v skladu s členi 312 do 324 CRR za operativno tveganje v okviru enostavnega pristopa (BIA), standardiziranega pristopa (TSA), alternativnega standardiziranega pristopa (ASA) in naprednih pristopov za merjenje (AMA). Institucija ne more hkrati uporabiti pristopa TSA in ASA za poslovni področji „bančništvo na drobno“ in „komercialno bančništvo“ na posamezni ravni.</w:t>
      </w:r>
    </w:p>
    <w:p w:rsidR="00AC6255" w:rsidRPr="00392FFD" w:rsidRDefault="00125707" w:rsidP="00C37B29">
      <w:pPr>
        <w:pStyle w:val="InstructionsText2"/>
        <w:numPr>
          <w:ilvl w:val="0"/>
          <w:numId w:val="0"/>
        </w:numPr>
        <w:ind w:left="993"/>
      </w:pPr>
      <w:r>
        <w:t>115.</w:t>
      </w:r>
      <w:r>
        <w:tab/>
        <w:t>Institucije, ki uporabljajo pristop BIA, TSA in/ali ASA, izračunajo svojo kap</w:t>
      </w:r>
      <w:r>
        <w:t>i</w:t>
      </w:r>
      <w:r>
        <w:t>talsko zahtevo na podlagi informacij ob koncu poslovnega leta. Kadar revidirani podatki niso na razpolago, lahko institucije uporabijo ocene poslovanja. Če se up</w:t>
      </w:r>
      <w:r>
        <w:t>o</w:t>
      </w:r>
      <w:r>
        <w:t>rabijo revidirani podatki, institucije poročajo revidirane podatke, ki bodo po prič</w:t>
      </w:r>
      <w:r>
        <w:t>a</w:t>
      </w:r>
      <w:r>
        <w:t>kovanjih ostali nespremenjeni. Odstopanja od tega „nespremenjenega“ načela so na primer mogoča, če so v tem obdobju nastale izredne okoliščine, kot so nedavni pr</w:t>
      </w:r>
      <w:r>
        <w:t>e</w:t>
      </w:r>
      <w:r>
        <w:t xml:space="preserve">vzemi ali prodaje subjektov ali dejavnosti. </w:t>
      </w:r>
    </w:p>
    <w:p w:rsidR="00AC6255" w:rsidRPr="00392FFD" w:rsidRDefault="00125707" w:rsidP="00C37B29">
      <w:pPr>
        <w:pStyle w:val="InstructionsText2"/>
        <w:numPr>
          <w:ilvl w:val="0"/>
          <w:numId w:val="0"/>
        </w:numPr>
        <w:ind w:left="993"/>
      </w:pPr>
      <w:r>
        <w:t>116.</w:t>
      </w:r>
      <w:r>
        <w:tab/>
        <w:t>Če institucija svojemu pristojnemu organu lahko dokaže, da bi zaradi izrednih okoliščin, kot je združitev ali prodaja subjektov ali dejavnosti, uporaba triletnega povprečja za izračun relevantnega kazalnika vodila do pristranske ocene kapitalske zahteve za operativno tveganje, lahko pristojni organ institucijam dovoli, da spr</w:t>
      </w:r>
      <w:r>
        <w:t>e</w:t>
      </w:r>
      <w:r>
        <w:t>menijo izračun tako, da upoštevajo tovrstne dogodke. Tudi pristojni organ lahko na lastno pobudo od institucije zahteva, da spremeni izračun. Če institucija deluje manj kot tri leta, lahko pri izračunu relevantnega kazalnika uporabi ocene priho</w:t>
      </w:r>
      <w:r>
        <w:t>d</w:t>
      </w:r>
      <w:r>
        <w:t>njega poslovanja, pod pogojem da začne uporabljati podatke za preteklo obdobje, takoj ko so na razpolago.</w:t>
      </w:r>
    </w:p>
    <w:p w:rsidR="00AC6255" w:rsidRPr="00392FFD" w:rsidRDefault="00125707" w:rsidP="00C37B29">
      <w:pPr>
        <w:pStyle w:val="InstructionsText2"/>
        <w:numPr>
          <w:ilvl w:val="0"/>
          <w:numId w:val="0"/>
        </w:numPr>
        <w:ind w:left="993"/>
      </w:pPr>
      <w:r>
        <w:t>117.</w:t>
      </w:r>
      <w:r>
        <w:tab/>
        <w:t>V tej predlogi so po stolpcih predstavljene informacije za zadnja tri leta o zn</w:t>
      </w:r>
      <w:r>
        <w:t>e</w:t>
      </w:r>
      <w:r>
        <w:t>sku ustreznega kazalnika bančnih dejavnosti, ki so predmet operativnega tveganja, ter o znesku kreditov in drugih finančnih sredstev (pri čemer se slednji uporabljajo le v primeru pristopa ASA). Nato se poročajo informacije o znesku kapitalske za</w:t>
      </w:r>
      <w:r>
        <w:t>h</w:t>
      </w:r>
      <w:r>
        <w:t xml:space="preserve">teve za operativno tveganje. Če je ustrezno, je treba podrobno opisati, kateri del tega zneska je posledica mehanizma razporeditve. V zvezi s pristopom AMA se dodajo pojasnjevalne postavke za predstavitev podrobnosti učinka pričakovane </w:t>
      </w:r>
      <w:r>
        <w:lastRenderedPageBreak/>
        <w:t>izgube, razpršenosti in tehnik za zmanjševanje v zvezi s kapitalskimi zahtevami za operativno tveganje.</w:t>
      </w:r>
    </w:p>
    <w:p w:rsidR="00AC6255" w:rsidRPr="00392FFD" w:rsidRDefault="00125707" w:rsidP="00C37B29">
      <w:pPr>
        <w:pStyle w:val="InstructionsText2"/>
        <w:numPr>
          <w:ilvl w:val="0"/>
          <w:numId w:val="0"/>
        </w:numPr>
        <w:ind w:left="993"/>
      </w:pPr>
      <w:r>
        <w:t>118.</w:t>
      </w:r>
      <w:r>
        <w:tab/>
        <w:t>Po vrsticah so predstavljene informacije glede na metodo izračuna kapitalske zahteve za operativno tveganje s podrobnim opisom poslovnih področij za pristopa TSA in ASA.</w:t>
      </w:r>
    </w:p>
    <w:p w:rsidR="00AC6255" w:rsidRPr="00392FFD" w:rsidRDefault="00125707" w:rsidP="00C37B29">
      <w:pPr>
        <w:pStyle w:val="InstructionsText2"/>
        <w:numPr>
          <w:ilvl w:val="0"/>
          <w:numId w:val="0"/>
        </w:numPr>
        <w:ind w:left="993"/>
      </w:pPr>
      <w:r>
        <w:t>119.</w:t>
      </w:r>
      <w:r>
        <w:tab/>
        <w:t>To predlogo izpolnijo vse institucije, za katere veljajo kapitalske zahteve za operativno tveganje.</w:t>
      </w:r>
    </w:p>
    <w:p w:rsidR="00AC6255" w:rsidRPr="00321A3B" w:rsidRDefault="00125707" w:rsidP="0023700C">
      <w:pPr>
        <w:pStyle w:val="Instructionsberschrift2"/>
        <w:numPr>
          <w:ilvl w:val="0"/>
          <w:numId w:val="0"/>
        </w:numPr>
        <w:ind w:left="357" w:hanging="357"/>
        <w:rPr>
          <w:rFonts w:ascii="Times New Roman" w:hAnsi="Times New Roman" w:cs="Times New Roman"/>
          <w:sz w:val="24"/>
        </w:rPr>
      </w:pPr>
      <w:bookmarkStart w:id="518" w:name="_Toc260157225"/>
      <w:bookmarkStart w:id="519" w:name="_Toc262566419"/>
      <w:bookmarkStart w:id="520" w:name="_Toc264038464"/>
      <w:bookmarkStart w:id="521" w:name="_Toc295829990"/>
      <w:bookmarkStart w:id="522" w:name="_Toc310415052"/>
      <w:bookmarkStart w:id="523" w:name="_Toc360188387"/>
      <w:bookmarkStart w:id="524" w:name="_Toc516210673"/>
      <w:bookmarkStart w:id="525" w:name="_Toc473560938"/>
      <w:bookmarkStart w:id="526" w:name="_Toc523474422"/>
      <w:r>
        <w:rPr>
          <w:rFonts w:ascii="Times New Roman" w:hAnsi="Times New Roman"/>
          <w:sz w:val="24"/>
          <w:u w:val="none"/>
        </w:rPr>
        <w:t>4.1.2.</w:t>
      </w:r>
      <w:r w:rsidR="003F40E8" w:rsidRPr="003F40E8">
        <w:rPr>
          <w:u w:val="none"/>
        </w:rPr>
        <w:tab/>
      </w:r>
      <w:r>
        <w:rPr>
          <w:rFonts w:ascii="Times New Roman" w:hAnsi="Times New Roman"/>
          <w:sz w:val="24"/>
        </w:rPr>
        <w:t>Navodila za posamezne pozicije</w:t>
      </w:r>
      <w:bookmarkEnd w:id="518"/>
      <w:bookmarkEnd w:id="519"/>
      <w:bookmarkEnd w:id="520"/>
      <w:bookmarkEnd w:id="521"/>
      <w:bookmarkEnd w:id="522"/>
      <w:bookmarkEnd w:id="523"/>
      <w:bookmarkEnd w:id="524"/>
      <w:bookmarkEnd w:id="525"/>
      <w:bookmarkEnd w:id="526"/>
    </w:p>
    <w:p w:rsidR="00AC6255" w:rsidRPr="00392FFD" w:rsidRDefault="00AC6255" w:rsidP="00AC6255">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rsidTr="00672D2A">
        <w:trPr>
          <w:trHeight w:val="553"/>
        </w:trPr>
        <w:tc>
          <w:tcPr>
            <w:tcW w:w="8862" w:type="dxa"/>
            <w:gridSpan w:val="2"/>
            <w:shd w:val="clear" w:color="auto" w:fill="CCCCCC"/>
          </w:tcPr>
          <w:p w:rsidR="00AC6255" w:rsidRPr="00392FFD"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Stolpci</w:t>
            </w: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010–030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RELEVANTNI KAZALNIK</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Institucije, ki uporabljajo relevantni kazalnik za izračun kapitalske zahteve za operativno tveganje (BIA, TSA in ASA), sporočijo relevantni kazalnik za zadevna leta v stolpcih 010 do 030. Poleg tega v primeru kombinirane uporabe različnih pristopov iz člena 314 CRR institucije v informativne namene spor</w:t>
            </w:r>
            <w:r>
              <w:rPr>
                <w:rFonts w:ascii="Times New Roman" w:hAnsi="Times New Roman"/>
                <w:sz w:val="24"/>
              </w:rPr>
              <w:t>o</w:t>
            </w:r>
            <w:r>
              <w:rPr>
                <w:rFonts w:ascii="Times New Roman" w:hAnsi="Times New Roman"/>
                <w:sz w:val="24"/>
              </w:rPr>
              <w:t>čijo tudi relevantni kazalnik za dejavnosti, ki so predmet AMA. To velja tudi za vse druge banke AMA.</w:t>
            </w:r>
          </w:p>
          <w:p w:rsidR="00AC6255" w:rsidRPr="00392FFD" w:rsidRDefault="00AC6255" w:rsidP="000B0B09">
            <w:pPr>
              <w:autoSpaceDE w:val="0"/>
              <w:autoSpaceDN w:val="0"/>
              <w:adjustRightInd w:val="0"/>
              <w:spacing w:before="0" w:after="0"/>
              <w:rPr>
                <w:rFonts w:ascii="Times New Roman" w:hAnsi="Times New Roman"/>
                <w:bCs/>
                <w:strike/>
                <w:sz w:val="24"/>
              </w:rPr>
            </w:pPr>
          </w:p>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V nadaljnjem besedilu se izraz „relevantni kazalnik“ nanaša na „vsoto eleme</w:t>
            </w:r>
            <w:r>
              <w:rPr>
                <w:rFonts w:ascii="Times New Roman" w:hAnsi="Times New Roman"/>
                <w:sz w:val="24"/>
              </w:rPr>
              <w:t>n</w:t>
            </w:r>
            <w:r>
              <w:rPr>
                <w:rFonts w:ascii="Times New Roman" w:hAnsi="Times New Roman"/>
                <w:sz w:val="24"/>
              </w:rPr>
              <w:t xml:space="preserve">tov“ ob koncu poslovnega leta, kot je opredeljeno v razpredelnici 1 člena 316(1) CRR.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Če ima institucija na voljo podatke o „relevantnem indikatorju“ za manj kot tri leta, se ustrezni pretekli podatki (revidirani podatki) prednostno dodelijo ustr</w:t>
            </w:r>
            <w:r>
              <w:rPr>
                <w:rFonts w:ascii="Times New Roman" w:hAnsi="Times New Roman"/>
                <w:sz w:val="24"/>
              </w:rPr>
              <w:t>e</w:t>
            </w:r>
            <w:r>
              <w:rPr>
                <w:rFonts w:ascii="Times New Roman" w:hAnsi="Times New Roman"/>
                <w:sz w:val="24"/>
              </w:rPr>
              <w:t>znim stolpcem v razpredelnici. Če so pretekli podatki na primer na voljo le za eno leto, se poročajo v stolpcu 030. Če se zdi razumno, se ocene prihodnjega poslovanja nato vključijo v stolpec 020 (ocena naslednjega leta) in stolpec 010 (ocena leta +2).</w:t>
            </w:r>
          </w:p>
          <w:p w:rsidR="00AC6255" w:rsidRPr="00392FFD" w:rsidRDefault="00AC6255" w:rsidP="000B0B09">
            <w:pPr>
              <w:autoSpaceDE w:val="0"/>
              <w:autoSpaceDN w:val="0"/>
              <w:adjustRightInd w:val="0"/>
              <w:spacing w:before="0" w:after="0"/>
              <w:rPr>
                <w:rFonts w:ascii="Times New Roman" w:hAnsi="Times New Roman"/>
                <w:i/>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Če pretekli podatki za „relevantni kazalnik“ niso na voljo, lahko institucija poleg tega uporabi ocene prihodnjega poslovanja.</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040–060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KREDITI IN DRUGA FINANČNA SREDSTVA (V PRIMERU UPOR</w:t>
            </w:r>
            <w:r>
              <w:rPr>
                <w:rStyle w:val="InstructionsTabelleberschrift"/>
                <w:rFonts w:ascii="Times New Roman" w:hAnsi="Times New Roman"/>
                <w:sz w:val="24"/>
              </w:rPr>
              <w:t>A</w:t>
            </w:r>
            <w:r>
              <w:rPr>
                <w:rStyle w:val="InstructionsTabelleberschrift"/>
                <w:rFonts w:ascii="Times New Roman" w:hAnsi="Times New Roman"/>
                <w:sz w:val="24"/>
              </w:rPr>
              <w:t>BE ASA)</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Ti stolpci se uporabljajo za sporočanje zneskov kreditov in drugih finančnih sredstev za poslovni področji „Komercialno bančništvo“ in „Bančništvo na drobno“ iz člena 319(1)(b) CRR. Ti zneski se uporabljajo za izračun relevan</w:t>
            </w:r>
            <w:r>
              <w:rPr>
                <w:rFonts w:ascii="Times New Roman" w:hAnsi="Times New Roman"/>
                <w:sz w:val="24"/>
              </w:rPr>
              <w:t>t</w:t>
            </w:r>
            <w:r>
              <w:rPr>
                <w:rFonts w:ascii="Times New Roman" w:hAnsi="Times New Roman"/>
                <w:sz w:val="24"/>
              </w:rPr>
              <w:t>nega alternativnega kazalnika, ki vodi v kapitalske zahteve, ki ustrezajo deja</w:t>
            </w:r>
            <w:r>
              <w:rPr>
                <w:rFonts w:ascii="Times New Roman" w:hAnsi="Times New Roman"/>
                <w:sz w:val="24"/>
              </w:rPr>
              <w:t>v</w:t>
            </w:r>
            <w:r>
              <w:rPr>
                <w:rFonts w:ascii="Times New Roman" w:hAnsi="Times New Roman"/>
                <w:sz w:val="24"/>
              </w:rPr>
              <w:t xml:space="preserve">nostim, ki so predmet ASA (člen 319(1)(a) CRR).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Za poslovno področje „komercialno bančništvo“ se vključijo tudi vrednostni papirji iz </w:t>
            </w:r>
            <w:proofErr w:type="spellStart"/>
            <w:r>
              <w:rPr>
                <w:rFonts w:ascii="Times New Roman" w:hAnsi="Times New Roman"/>
                <w:sz w:val="24"/>
              </w:rPr>
              <w:t>netrgovalne</w:t>
            </w:r>
            <w:proofErr w:type="spellEnd"/>
            <w:r>
              <w:rPr>
                <w:rFonts w:ascii="Times New Roman" w:hAnsi="Times New Roman"/>
                <w:sz w:val="24"/>
              </w:rPr>
              <w:t xml:space="preserve"> knjige.</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070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KAPITALSKE ZAHTEVE</w:t>
            </w:r>
          </w:p>
          <w:p w:rsidR="00AC6255" w:rsidRPr="00392FFD" w:rsidRDefault="00AC6255" w:rsidP="000B0B09">
            <w:pPr>
              <w:autoSpaceDE w:val="0"/>
              <w:autoSpaceDN w:val="0"/>
              <w:adjustRightInd w:val="0"/>
              <w:spacing w:before="0" w:after="0"/>
              <w:jc w:val="left"/>
              <w:rPr>
                <w:rFonts w:ascii="Times New Roman" w:hAnsi="Times New Roman"/>
                <w:sz w:val="24"/>
              </w:rPr>
            </w:pPr>
          </w:p>
          <w:p w:rsidR="00AC6255" w:rsidRPr="00392FFD" w:rsidRDefault="00AC6255" w:rsidP="00E86638">
            <w:pPr>
              <w:autoSpaceDE w:val="0"/>
              <w:autoSpaceDN w:val="0"/>
              <w:adjustRightInd w:val="0"/>
              <w:spacing w:before="0" w:after="0"/>
              <w:jc w:val="left"/>
              <w:rPr>
                <w:rFonts w:ascii="Times New Roman" w:hAnsi="Times New Roman"/>
                <w:bCs/>
                <w:sz w:val="24"/>
              </w:rPr>
            </w:pPr>
            <w:r>
              <w:rPr>
                <w:rFonts w:ascii="Times New Roman" w:hAnsi="Times New Roman"/>
                <w:sz w:val="24"/>
              </w:rPr>
              <w:t>Kapitalske zahteve se izračunajo v skladu z uporabljenim pristopom ob upošt</w:t>
            </w:r>
            <w:r>
              <w:rPr>
                <w:rFonts w:ascii="Times New Roman" w:hAnsi="Times New Roman"/>
                <w:sz w:val="24"/>
              </w:rPr>
              <w:t>e</w:t>
            </w:r>
            <w:r>
              <w:rPr>
                <w:rFonts w:ascii="Times New Roman" w:hAnsi="Times New Roman"/>
                <w:sz w:val="24"/>
              </w:rPr>
              <w:t>vanju členov 312 do 324 CRR. Dobljeni znesek se sporoči v stolpcu 070.</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071</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ZNESEK SKUPNE IZPOSTAVLJENOSTI OPERATIVNEMU TVEG</w:t>
            </w:r>
            <w:r>
              <w:rPr>
                <w:rStyle w:val="InstructionsTabelleberschrift"/>
                <w:rFonts w:ascii="Times New Roman" w:hAnsi="Times New Roman"/>
                <w:sz w:val="24"/>
              </w:rPr>
              <w:t>A</w:t>
            </w:r>
            <w:r>
              <w:rPr>
                <w:rStyle w:val="InstructionsTabelleberschrift"/>
                <w:rFonts w:ascii="Times New Roman" w:hAnsi="Times New Roman"/>
                <w:sz w:val="24"/>
              </w:rPr>
              <w:t>NJU</w:t>
            </w:r>
          </w:p>
          <w:p w:rsidR="00AC6255" w:rsidRPr="00392FFD" w:rsidRDefault="00AC6255" w:rsidP="000B0B09">
            <w:pPr>
              <w:autoSpaceDE w:val="0"/>
              <w:autoSpaceDN w:val="0"/>
              <w:adjustRightInd w:val="0"/>
              <w:spacing w:before="0" w:after="0"/>
              <w:jc w:val="left"/>
              <w:rPr>
                <w:rStyle w:val="InstructionsTabelleberschrift"/>
                <w:rFonts w:ascii="Times New Roman" w:hAnsi="Times New Roman"/>
                <w:b w:val="0"/>
                <w:sz w:val="24"/>
              </w:rPr>
            </w:pPr>
            <w:r>
              <w:rPr>
                <w:rStyle w:val="InstructionsTabelleberschrift"/>
                <w:rFonts w:ascii="Times New Roman" w:hAnsi="Times New Roman"/>
                <w:sz w:val="24"/>
              </w:rPr>
              <w:t>Člen 92(4) CRR. Kapitalske zahteve v stolpcu 070, pomnožene z 12,5.</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080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OD TEGA: ZARADI MEHANIZMA RAZPOREDITVE</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jc w:val="left"/>
              <w:rPr>
                <w:rFonts w:ascii="Times New Roman" w:hAnsi="Times New Roman"/>
                <w:bCs/>
                <w:sz w:val="24"/>
              </w:rPr>
            </w:pPr>
            <w:r>
              <w:rPr>
                <w:rFonts w:ascii="Times New Roman" w:hAnsi="Times New Roman"/>
                <w:sz w:val="24"/>
              </w:rPr>
              <w:t>Člen 18(1) CRR (v zvezi z vključitvijo, v vlogi iz člena 312(2) CRR) metod</w:t>
            </w:r>
            <w:r>
              <w:rPr>
                <w:rFonts w:ascii="Times New Roman" w:hAnsi="Times New Roman"/>
                <w:sz w:val="24"/>
              </w:rPr>
              <w:t>o</w:t>
            </w:r>
            <w:r>
              <w:rPr>
                <w:rFonts w:ascii="Times New Roman" w:hAnsi="Times New Roman"/>
                <w:sz w:val="24"/>
              </w:rPr>
              <w:t>logije, ki se uporablja za porazdelitev kapitala za pokrivanje operativnega tv</w:t>
            </w:r>
            <w:r>
              <w:rPr>
                <w:rFonts w:ascii="Times New Roman" w:hAnsi="Times New Roman"/>
                <w:sz w:val="24"/>
              </w:rPr>
              <w:t>e</w:t>
            </w:r>
            <w:r>
              <w:rPr>
                <w:rFonts w:ascii="Times New Roman" w:hAnsi="Times New Roman"/>
                <w:sz w:val="24"/>
              </w:rPr>
              <w:t>ganja med različnimi subjekti skupine, ter ali in kako se nameravajo upoštevati učinki razpršitve v sistemu merjenja tveganja, ki ga uporabljajo nadrejena kr</w:t>
            </w:r>
            <w:r>
              <w:rPr>
                <w:rFonts w:ascii="Times New Roman" w:hAnsi="Times New Roman"/>
                <w:sz w:val="24"/>
              </w:rPr>
              <w:t>e</w:t>
            </w:r>
            <w:r>
              <w:rPr>
                <w:rFonts w:ascii="Times New Roman" w:hAnsi="Times New Roman"/>
                <w:sz w:val="24"/>
              </w:rPr>
              <w:t>ditna institucija EU in njena odvisna podjetja ali skupaj odvisna podjetja nadr</w:t>
            </w:r>
            <w:r>
              <w:rPr>
                <w:rFonts w:ascii="Times New Roman" w:hAnsi="Times New Roman"/>
                <w:sz w:val="24"/>
              </w:rPr>
              <w:t>e</w:t>
            </w:r>
            <w:r>
              <w:rPr>
                <w:rFonts w:ascii="Times New Roman" w:hAnsi="Times New Roman"/>
                <w:sz w:val="24"/>
              </w:rPr>
              <w:t>jenega finančnega holdinga EU ali nadrejenega mešanega finančnega holdinga EU.</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090–120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POJASNJEVALNE POSTAVKE AMA, KI SE SPOROČIJO PO PO</w:t>
            </w:r>
            <w:r>
              <w:rPr>
                <w:rStyle w:val="InstructionsTabelleberschrift"/>
                <w:rFonts w:ascii="Times New Roman" w:hAnsi="Times New Roman"/>
                <w:sz w:val="24"/>
              </w:rPr>
              <w:t>T</w:t>
            </w:r>
            <w:r>
              <w:rPr>
                <w:rStyle w:val="InstructionsTabelleberschrift"/>
                <w:rFonts w:ascii="Times New Roman" w:hAnsi="Times New Roman"/>
                <w:sz w:val="24"/>
              </w:rPr>
              <w:t>REBI</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090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KAPITALSKE ZAHTEVE PRED ZMANJŠANJEM ZARADI PRIČ</w:t>
            </w:r>
            <w:r>
              <w:rPr>
                <w:rStyle w:val="InstructionsTabelleberschrift"/>
                <w:rFonts w:ascii="Times New Roman" w:hAnsi="Times New Roman"/>
                <w:sz w:val="24"/>
              </w:rPr>
              <w:t>A</w:t>
            </w:r>
            <w:r>
              <w:rPr>
                <w:rStyle w:val="InstructionsTabelleberschrift"/>
                <w:rFonts w:ascii="Times New Roman" w:hAnsi="Times New Roman"/>
                <w:sz w:val="24"/>
              </w:rPr>
              <w:t>KOVANE IZGUBE, RAZPRŠENOSTI IN TEHNIK ZA ZMANJŠEVA</w:t>
            </w:r>
            <w:r>
              <w:rPr>
                <w:rStyle w:val="InstructionsTabelleberschrift"/>
                <w:rFonts w:ascii="Times New Roman" w:hAnsi="Times New Roman"/>
                <w:sz w:val="24"/>
              </w:rPr>
              <w:t>N</w:t>
            </w:r>
            <w:r>
              <w:rPr>
                <w:rStyle w:val="InstructionsTabelleberschrift"/>
                <w:rFonts w:ascii="Times New Roman" w:hAnsi="Times New Roman"/>
                <w:sz w:val="24"/>
              </w:rPr>
              <w:t>JE TVEGANJA</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Kapitalske zahteve iz stolpca 090 so enake kapitalskimi zahtevam iz stolpca 070, vendar se izračunajo pred upoštevanjem učinkov zmanjšanja zaradi prič</w:t>
            </w:r>
            <w:r>
              <w:rPr>
                <w:rFonts w:ascii="Times New Roman" w:hAnsi="Times New Roman"/>
                <w:sz w:val="24"/>
              </w:rPr>
              <w:t>a</w:t>
            </w:r>
            <w:r>
              <w:rPr>
                <w:rFonts w:ascii="Times New Roman" w:hAnsi="Times New Roman"/>
                <w:sz w:val="24"/>
              </w:rPr>
              <w:t>kovane izgube, razpršenosti in tehnik za zmanjševanje tveganja (glej spodaj).</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ZMANJŠANJE KAPITALSKE ZAHTEVE ZARADI PRIČAKOV</w:t>
            </w:r>
            <w:r>
              <w:rPr>
                <w:rStyle w:val="InstructionsTabelleberschrift"/>
                <w:rFonts w:ascii="Times New Roman" w:hAnsi="Times New Roman"/>
                <w:sz w:val="24"/>
              </w:rPr>
              <w:t>A</w:t>
            </w:r>
            <w:r>
              <w:rPr>
                <w:rStyle w:val="InstructionsTabelleberschrift"/>
                <w:rFonts w:ascii="Times New Roman" w:hAnsi="Times New Roman"/>
                <w:sz w:val="24"/>
              </w:rPr>
              <w:t>NE IZGUBE, ZAJETE V POSLOVNIH PRAKSAH</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V stolpcu 100 se sporoči zmanjšanje kapitalske zahteve zaradi pričakovane izgube, zajete v notranjih poslovnih praksah (iz člena 322(2)(a) CRR).</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ZMANJŠANJE KAPITALSKE ZAHTEVE ZARADI RAZPRŠEN</w:t>
            </w:r>
            <w:r>
              <w:rPr>
                <w:rStyle w:val="InstructionsTabelleberschrift"/>
                <w:rFonts w:ascii="Times New Roman" w:hAnsi="Times New Roman"/>
                <w:sz w:val="24"/>
              </w:rPr>
              <w:t>O</w:t>
            </w:r>
            <w:r>
              <w:rPr>
                <w:rStyle w:val="InstructionsTabelleberschrift"/>
                <w:rFonts w:ascii="Times New Roman" w:hAnsi="Times New Roman"/>
                <w:sz w:val="24"/>
              </w:rPr>
              <w:t>STI</w:t>
            </w:r>
          </w:p>
          <w:p w:rsidR="00AC6255" w:rsidRPr="00392FFD" w:rsidRDefault="00AC6255" w:rsidP="000B0B09">
            <w:pPr>
              <w:rPr>
                <w:rFonts w:ascii="Times New Roman" w:hAnsi="Times New Roman"/>
                <w:sz w:val="24"/>
              </w:rPr>
            </w:pPr>
            <w:r>
              <w:rPr>
                <w:rFonts w:ascii="Times New Roman" w:hAnsi="Times New Roman"/>
                <w:sz w:val="24"/>
              </w:rPr>
              <w:t>Učinek razpršitve v stolpcu 110 je enak razliki med vsoto kapitalskih zahtev, ki se izračunajo ločeno za vsako kategorijo operativnega tveganja (tj. položaj „popolne odvisnosti“), in razpršene kapitalske zahteve, ki se izračuna ob upo</w:t>
            </w:r>
            <w:r>
              <w:rPr>
                <w:rFonts w:ascii="Times New Roman" w:hAnsi="Times New Roman"/>
                <w:sz w:val="24"/>
              </w:rPr>
              <w:t>š</w:t>
            </w:r>
            <w:r>
              <w:rPr>
                <w:rFonts w:ascii="Times New Roman" w:hAnsi="Times New Roman"/>
                <w:sz w:val="24"/>
              </w:rPr>
              <w:t>tevanju korelacij in odvisnosti (tj. ob predvidevanju odvisnosti, ki ni ravno „popolna odvisnost“ med kategorijami tveganja). Položaj „popolne odvisnosti“ nastane v „primeru neplačila“, tj. kadar institucija ne uporablja izrecne korel</w:t>
            </w:r>
            <w:r>
              <w:rPr>
                <w:rFonts w:ascii="Times New Roman" w:hAnsi="Times New Roman"/>
                <w:sz w:val="24"/>
              </w:rPr>
              <w:t>a</w:t>
            </w:r>
            <w:r>
              <w:rPr>
                <w:rFonts w:ascii="Times New Roman" w:hAnsi="Times New Roman"/>
                <w:sz w:val="24"/>
              </w:rPr>
              <w:t>cijske strukture med kategorijami tveganja, torej se kapital AMA izračuna kot vsota posameznih ukrepov glede operativnega tveganja izbranih kategorij tv</w:t>
            </w:r>
            <w:r>
              <w:rPr>
                <w:rFonts w:ascii="Times New Roman" w:hAnsi="Times New Roman"/>
                <w:sz w:val="24"/>
              </w:rPr>
              <w:t>e</w:t>
            </w:r>
            <w:r>
              <w:rPr>
                <w:rFonts w:ascii="Times New Roman" w:hAnsi="Times New Roman"/>
                <w:sz w:val="24"/>
              </w:rPr>
              <w:t>ganja. V tem primeru se predvideva, da je korelacija med kategorijami tveganja 100 %, vrednost v stolpcu pa mora biti nastavljena na nič. Kadar institucija izračuna izrecno korelacijsko strukturo med kategorijami tveganja, mora v ta stolpec vključiti razliko med kapitalom AMA, ki izhaja iz „primera neplačila“, in kapitalom, pridobljenim po uporabi korelacijske strukture med kategorijami tveganja. Vrednost odraža „sposobnost razpršenosti“ modela AMA; tj. sposo</w:t>
            </w:r>
            <w:r>
              <w:rPr>
                <w:rFonts w:ascii="Times New Roman" w:hAnsi="Times New Roman"/>
                <w:sz w:val="24"/>
              </w:rPr>
              <w:t>b</w:t>
            </w:r>
            <w:r>
              <w:rPr>
                <w:rFonts w:ascii="Times New Roman" w:hAnsi="Times New Roman"/>
                <w:sz w:val="24"/>
              </w:rPr>
              <w:lastRenderedPageBreak/>
              <w:t xml:space="preserve">nost modela, da zajame </w:t>
            </w:r>
            <w:proofErr w:type="spellStart"/>
            <w:r>
              <w:rPr>
                <w:rFonts w:ascii="Times New Roman" w:hAnsi="Times New Roman"/>
                <w:sz w:val="24"/>
              </w:rPr>
              <w:t>nehkratni</w:t>
            </w:r>
            <w:proofErr w:type="spellEnd"/>
            <w:r>
              <w:rPr>
                <w:rFonts w:ascii="Times New Roman" w:hAnsi="Times New Roman"/>
                <w:sz w:val="24"/>
              </w:rPr>
              <w:t xml:space="preserve"> pojav resnih škodnih dogodkov iz naslova operativnega tveganja. V stolpcu 110 je treba sporočiti znesek, za katerega se s predvideno korelacijsko strukturo relativno zmanjša kapital AMA glede na predpostavko korelacije 100 %.</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120</w:t>
            </w:r>
          </w:p>
        </w:tc>
        <w:tc>
          <w:tcPr>
            <w:tcW w:w="7877" w:type="dxa"/>
          </w:tcPr>
          <w:p w:rsidR="00AC6255" w:rsidRPr="00392FFD"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ZMANJŠANJE KAPITALSKE ZAHTEVE ZARADI TEHNIK ZA ZMANJŠEVANJE TVEGANJA (ZAVAROVANJE IN DRUGE OBLIKE PRENOSA TVEGANJA)</w:t>
            </w:r>
          </w:p>
          <w:p w:rsidR="00AC6255" w:rsidRPr="00392FFD" w:rsidRDefault="00AC6255" w:rsidP="000B0B09">
            <w:pPr>
              <w:autoSpaceDE w:val="0"/>
              <w:autoSpaceDN w:val="0"/>
              <w:adjustRightInd w:val="0"/>
              <w:spacing w:before="0" w:after="0"/>
              <w:jc w:val="left"/>
              <w:rPr>
                <w:rFonts w:ascii="Times New Roman" w:hAnsi="Times New Roman"/>
                <w:sz w:val="24"/>
              </w:rPr>
            </w:pPr>
          </w:p>
          <w:p w:rsidR="00AC6255" w:rsidRPr="00392FFD" w:rsidRDefault="00AC6255" w:rsidP="000B0B09">
            <w:pPr>
              <w:autoSpaceDE w:val="0"/>
              <w:autoSpaceDN w:val="0"/>
              <w:adjustRightInd w:val="0"/>
              <w:spacing w:before="0" w:after="0"/>
              <w:jc w:val="left"/>
              <w:rPr>
                <w:rFonts w:ascii="Times New Roman" w:hAnsi="Times New Roman"/>
                <w:sz w:val="24"/>
              </w:rPr>
            </w:pPr>
            <w:r>
              <w:rPr>
                <w:rFonts w:ascii="Times New Roman" w:hAnsi="Times New Roman"/>
                <w:sz w:val="24"/>
              </w:rPr>
              <w:t>V stolpcu 120 se sporoči vpliv zavarovanja in drugih oblik prenosa tveganja v skladu s členom 323(1) do (5) CRR.</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bl>
    <w:p w:rsidR="00AC6255" w:rsidRPr="00392FFD" w:rsidRDefault="00AC6255" w:rsidP="00AC6255">
      <w:pPr>
        <w:autoSpaceDE w:val="0"/>
        <w:autoSpaceDN w:val="0"/>
        <w:adjustRightInd w:val="0"/>
        <w:spacing w:before="0" w:after="0"/>
        <w:rPr>
          <w:rFonts w:ascii="Times New Roman" w:hAnsi="Times New Roman"/>
          <w:sz w:val="24"/>
        </w:rPr>
      </w:pPr>
    </w:p>
    <w:p w:rsidR="00AC6255" w:rsidRPr="00392FFD" w:rsidRDefault="00AC6255" w:rsidP="00AC6255">
      <w:pPr>
        <w:autoSpaceDE w:val="0"/>
        <w:autoSpaceDN w:val="0"/>
        <w:adjustRightInd w:val="0"/>
        <w:spacing w:before="0" w:after="0"/>
        <w:rPr>
          <w:rFonts w:ascii="Times New Roman" w:hAnsi="Times New Roman"/>
          <w:sz w:val="24"/>
        </w:rPr>
      </w:pPr>
    </w:p>
    <w:p w:rsidR="00AC6255" w:rsidRPr="00321A3B"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rsidTr="00672D2A">
        <w:trPr>
          <w:trHeight w:val="518"/>
        </w:trPr>
        <w:tc>
          <w:tcPr>
            <w:tcW w:w="8862" w:type="dxa"/>
            <w:gridSpan w:val="2"/>
            <w:shd w:val="clear" w:color="auto" w:fill="CCCCCC"/>
          </w:tcPr>
          <w:p w:rsidR="00AC6255" w:rsidRPr="00392FFD"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Vrstice</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010 </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BANČNE DEJAVNOSTI, KI SO PREDMET ENOSTAVNEGA PRI</w:t>
            </w:r>
            <w:r>
              <w:rPr>
                <w:rStyle w:val="InstructionsTabelleberschrift"/>
                <w:rFonts w:ascii="Times New Roman" w:hAnsi="Times New Roman"/>
                <w:sz w:val="24"/>
              </w:rPr>
              <w:t>S</w:t>
            </w:r>
            <w:r>
              <w:rPr>
                <w:rStyle w:val="InstructionsTabelleberschrift"/>
                <w:rFonts w:ascii="Times New Roman" w:hAnsi="Times New Roman"/>
                <w:sz w:val="24"/>
              </w:rPr>
              <w:t>TOPA (BIA)</w:t>
            </w:r>
          </w:p>
          <w:p w:rsidR="00AC6255" w:rsidRPr="00392FFD" w:rsidRDefault="00AC6255" w:rsidP="000B0B09">
            <w:pPr>
              <w:pStyle w:val="PlainText"/>
              <w:jc w:val="both"/>
              <w:rPr>
                <w:rFonts w:ascii="Times New Roman" w:eastAsia="Times New Roman" w:hAnsi="Times New Roman"/>
                <w:sz w:val="24"/>
                <w:szCs w:val="24"/>
              </w:rPr>
            </w:pPr>
          </w:p>
          <w:p w:rsidR="00AC6255" w:rsidRPr="00392FFD" w:rsidRDefault="00AC6255" w:rsidP="000B0B09">
            <w:pPr>
              <w:pStyle w:val="PlainText"/>
              <w:jc w:val="both"/>
              <w:rPr>
                <w:rFonts w:ascii="Times New Roman" w:eastAsia="Times New Roman" w:hAnsi="Times New Roman"/>
                <w:sz w:val="24"/>
                <w:szCs w:val="24"/>
              </w:rPr>
            </w:pPr>
            <w:r>
              <w:rPr>
                <w:rFonts w:ascii="Times New Roman" w:hAnsi="Times New Roman"/>
                <w:sz w:val="24"/>
              </w:rPr>
              <w:t>V tej vrstici se navedejo zneski, ki ustrezajo dejavnostim, ki so predmet BIA za izračun kapitalske zahteve za operativno tveganje (člena 315 in 316 CRR).</w:t>
            </w:r>
          </w:p>
          <w:p w:rsidR="00AC6255" w:rsidRPr="00392FFD" w:rsidRDefault="00AC6255" w:rsidP="000B0B09">
            <w:pPr>
              <w:pStyle w:val="PlainText"/>
              <w:jc w:val="both"/>
              <w:rPr>
                <w:rFonts w:ascii="Times New Roman" w:eastAsia="Times New Roman" w:hAnsi="Times New Roman"/>
                <w:bCs/>
                <w:sz w:val="24"/>
                <w:szCs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BANČNE DEJAVNOSTI, KI SO PREDMET STANDARDIZIRANEGA (TSA)/ALTERNATIVNEGA STANDARDIZIRANEGA (ASA) PRIST</w:t>
            </w:r>
            <w:r>
              <w:rPr>
                <w:rStyle w:val="InstructionsTabelleberschrift"/>
                <w:rFonts w:ascii="Times New Roman" w:hAnsi="Times New Roman"/>
                <w:sz w:val="24"/>
              </w:rPr>
              <w:t>O</w:t>
            </w:r>
            <w:r>
              <w:rPr>
                <w:rStyle w:val="InstructionsTabelleberschrift"/>
                <w:rFonts w:ascii="Times New Roman" w:hAnsi="Times New Roman"/>
                <w:sz w:val="24"/>
              </w:rPr>
              <w:t>PA</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Sporočijo se kapitalske zahteve, izračunane v skladu s TSA in ASA (členi 317 do 319 CRR).</w:t>
            </w:r>
          </w:p>
          <w:p w:rsidR="00AC6255" w:rsidRPr="00392FFD" w:rsidRDefault="00AC6255" w:rsidP="000B0B09">
            <w:pPr>
              <w:autoSpaceDE w:val="0"/>
              <w:autoSpaceDN w:val="0"/>
              <w:adjustRightInd w:val="0"/>
              <w:spacing w:before="0" w:after="0"/>
              <w:rPr>
                <w:rFonts w:ascii="Times New Roman" w:hAnsi="Times New Roman"/>
                <w:bCs/>
                <w:sz w:val="24"/>
              </w:rPr>
            </w:pPr>
          </w:p>
        </w:tc>
      </w:tr>
      <w:tr w:rsidR="00AC6255" w:rsidRPr="00392FFD" w:rsidTr="00672D2A">
        <w:trPr>
          <w:trHeight w:val="1705"/>
        </w:trPr>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030–100</w:t>
            </w:r>
          </w:p>
        </w:tc>
        <w:tc>
          <w:tcPr>
            <w:tcW w:w="7877" w:type="dxa"/>
          </w:tcPr>
          <w:p w:rsidR="00AC6255" w:rsidRPr="00392FFD"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STANDARDIZIRANI PRISTOP</w:t>
            </w:r>
          </w:p>
          <w:p w:rsidR="00AC6255" w:rsidRPr="00392FFD" w:rsidRDefault="00AC6255" w:rsidP="00A95FD0">
            <w:pPr>
              <w:autoSpaceDE w:val="0"/>
              <w:autoSpaceDN w:val="0"/>
              <w:adjustRightInd w:val="0"/>
              <w:spacing w:before="0" w:after="0"/>
              <w:jc w:val="left"/>
              <w:rPr>
                <w:rFonts w:ascii="Times New Roman" w:hAnsi="Times New Roman"/>
                <w:bCs/>
                <w:sz w:val="24"/>
              </w:rPr>
            </w:pPr>
            <w:r>
              <w:rPr>
                <w:rFonts w:ascii="Times New Roman" w:hAnsi="Times New Roman"/>
                <w:sz w:val="24"/>
              </w:rPr>
              <w:t>V primeru uporabe TSA se relevantni kazalnik za vsako zadevno leto razdeli med vrstice 030 do 100, in sicer med poslovna področja iz razpredelnice 2 čl</w:t>
            </w:r>
            <w:r>
              <w:rPr>
                <w:rFonts w:ascii="Times New Roman" w:hAnsi="Times New Roman"/>
                <w:sz w:val="24"/>
              </w:rPr>
              <w:t>e</w:t>
            </w:r>
            <w:r>
              <w:rPr>
                <w:rFonts w:ascii="Times New Roman" w:hAnsi="Times New Roman"/>
                <w:sz w:val="24"/>
              </w:rPr>
              <w:t>na 317 CRR. Pri razporejanju dejavnosti v poslovna področja se upoštevajo načela iz člena 318 CRR.</w:t>
            </w: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110–120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ALTERNATIVNI STANDARDIZIRANI PRISTOP</w:t>
            </w:r>
          </w:p>
          <w:p w:rsidR="00AC6255" w:rsidRPr="00392FFD" w:rsidRDefault="00AC6255" w:rsidP="000B0B09">
            <w:pPr>
              <w:rPr>
                <w:rFonts w:ascii="Times New Roman" w:hAnsi="Times New Roman"/>
                <w:sz w:val="24"/>
              </w:rPr>
            </w:pPr>
            <w:r>
              <w:rPr>
                <w:rFonts w:ascii="Times New Roman" w:hAnsi="Times New Roman"/>
                <w:sz w:val="24"/>
              </w:rPr>
              <w:t>Institucije, ki uporabljajo ASA (člen 319 CRR), za zadevna leta sporočijo rel</w:t>
            </w:r>
            <w:r>
              <w:rPr>
                <w:rFonts w:ascii="Times New Roman" w:hAnsi="Times New Roman"/>
                <w:sz w:val="24"/>
              </w:rPr>
              <w:t>e</w:t>
            </w:r>
            <w:r>
              <w:rPr>
                <w:rFonts w:ascii="Times New Roman" w:hAnsi="Times New Roman"/>
                <w:sz w:val="24"/>
              </w:rPr>
              <w:t>vantni kazalnik ločeno za vsako poslovno področje v vrsticah 030 do 050 in 080 do 100 ter v vrsticah 110 in 120 za poslovni področji „Komercialno ban</w:t>
            </w:r>
            <w:r>
              <w:rPr>
                <w:rFonts w:ascii="Times New Roman" w:hAnsi="Times New Roman"/>
                <w:sz w:val="24"/>
              </w:rPr>
              <w:t>č</w:t>
            </w:r>
            <w:r>
              <w:rPr>
                <w:rFonts w:ascii="Times New Roman" w:hAnsi="Times New Roman"/>
                <w:sz w:val="24"/>
              </w:rPr>
              <w:t xml:space="preserve">ništvo“ in „Bančništvo na drobno“. </w:t>
            </w:r>
          </w:p>
          <w:p w:rsidR="00AC6255" w:rsidRPr="00392FFD" w:rsidRDefault="00AC6255" w:rsidP="000B0B09">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t>Vrstici 110 in 120 predstavljata znesek</w:t>
            </w:r>
            <w:r>
              <w:rPr>
                <w:rFonts w:ascii="Times New Roman" w:hAnsi="Times New Roman"/>
                <w:sz w:val="24"/>
              </w:rPr>
              <w:t xml:space="preserve"> relevantnega kazalnika </w:t>
            </w:r>
            <w:r>
              <w:rPr>
                <w:rStyle w:val="InstructionsTabelleText"/>
                <w:rFonts w:ascii="Times New Roman" w:hAnsi="Times New Roman"/>
                <w:sz w:val="24"/>
              </w:rPr>
              <w:t>dejavnosti, ki so predmet ASA, pri čemer se ločuje med tistimi, ki ustrezajo poslovnemu podr</w:t>
            </w:r>
            <w:r>
              <w:rPr>
                <w:rStyle w:val="InstructionsTabelleText"/>
                <w:rFonts w:ascii="Times New Roman" w:hAnsi="Times New Roman"/>
                <w:sz w:val="24"/>
              </w:rPr>
              <w:t>o</w:t>
            </w:r>
            <w:r>
              <w:rPr>
                <w:rStyle w:val="InstructionsTabelleText"/>
                <w:rFonts w:ascii="Times New Roman" w:hAnsi="Times New Roman"/>
                <w:sz w:val="24"/>
              </w:rPr>
              <w:t>čju „Komercialno bančništvo“, in tistimi, ki ustrezajo poslovnemu področju „Bančništvo na drobno“ (člen 319</w:t>
            </w:r>
            <w:r>
              <w:rPr>
                <w:rFonts w:ascii="Times New Roman" w:hAnsi="Times New Roman"/>
                <w:sz w:val="24"/>
              </w:rPr>
              <w:t xml:space="preserve"> CRR</w:t>
            </w:r>
            <w:r>
              <w:rPr>
                <w:rStyle w:val="InstructionsTabelleText"/>
                <w:rFonts w:ascii="Times New Roman" w:hAnsi="Times New Roman"/>
                <w:sz w:val="24"/>
              </w:rPr>
              <w:t>). Zneski so lahko razvrščeni v vrstice, ki ustrezajo „Komercialnemu bančništvu“ in „Bančništvu na drobno“, v okviru TSA (vrstici 060 in 070), v okviru ASA pa v vrstice 110 in 120 (npr. če je odvisna družba predmet TSA, pri čemer je nadrejeni subjekt predmet ASA).</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130</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BANČNE DEJAVNOSTI, KI SO PREDMET NAPREDNIH PRISTOPOV ZA MERJENJE (AMA)</w:t>
            </w:r>
          </w:p>
          <w:p w:rsidR="00AC6255" w:rsidRPr="00392FFD" w:rsidRDefault="00AC6255" w:rsidP="000B0B09">
            <w:pPr>
              <w:autoSpaceDE w:val="0"/>
              <w:autoSpaceDN w:val="0"/>
              <w:adjustRightInd w:val="0"/>
              <w:spacing w:before="0" w:after="0"/>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Poročajo se ustrezni podatki za institucije AMA (člen 312(2) in členi 321 do 323 CRR).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V primeru kombinirane uporabe različnih pristopov, kot je navedeno v členu 314 CRR, se poročajo informacije o ustreznem kazalniku za dejavnosti, ki so predmet AMA. To velja tudi za vse druge banke AMA.</w:t>
            </w:r>
          </w:p>
          <w:p w:rsidR="00AC6255" w:rsidRPr="00392FFD" w:rsidRDefault="00AC6255" w:rsidP="000B0B09">
            <w:pPr>
              <w:autoSpaceDE w:val="0"/>
              <w:autoSpaceDN w:val="0"/>
              <w:adjustRightInd w:val="0"/>
              <w:spacing w:before="0" w:after="0"/>
              <w:rPr>
                <w:rFonts w:ascii="Times New Roman" w:hAnsi="Times New Roman"/>
                <w:bCs/>
                <w:sz w:val="24"/>
              </w:rPr>
            </w:pPr>
          </w:p>
        </w:tc>
      </w:tr>
    </w:tbl>
    <w:p w:rsidR="00AC6255" w:rsidRPr="00321A3B" w:rsidRDefault="00AC6255" w:rsidP="00AC6255">
      <w:pPr>
        <w:pStyle w:val="PlainText"/>
        <w:jc w:val="both"/>
        <w:rPr>
          <w:rFonts w:ascii="Times New Roman" w:hAnsi="Times New Roman"/>
          <w:sz w:val="24"/>
          <w:szCs w:val="24"/>
        </w:rPr>
      </w:pPr>
    </w:p>
    <w:p w:rsidR="00AC6255" w:rsidRPr="00392FFD" w:rsidRDefault="00AC6255" w:rsidP="00AC6255">
      <w:pPr>
        <w:rPr>
          <w:rFonts w:ascii="Times New Roman" w:hAnsi="Times New Roman"/>
          <w:sz w:val="24"/>
        </w:rPr>
      </w:pP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27" w:name="_Toc473560939"/>
      <w:bookmarkStart w:id="528" w:name="_Toc473560940"/>
      <w:bookmarkStart w:id="529" w:name="_Toc473560941"/>
      <w:bookmarkStart w:id="530" w:name="_Toc473560942"/>
      <w:bookmarkStart w:id="531" w:name="_Toc473560943"/>
      <w:bookmarkStart w:id="532" w:name="_Toc473560944"/>
      <w:bookmarkStart w:id="533" w:name="_Toc473560945"/>
      <w:bookmarkStart w:id="534" w:name="_Toc473560946"/>
      <w:bookmarkStart w:id="535" w:name="_Toc473560947"/>
      <w:bookmarkStart w:id="536" w:name="_Toc473560948"/>
      <w:bookmarkStart w:id="537" w:name="_Toc473560949"/>
      <w:bookmarkStart w:id="538" w:name="_Toc473560950"/>
      <w:bookmarkStart w:id="539" w:name="_Toc473560951"/>
      <w:bookmarkStart w:id="540" w:name="_Toc473560952"/>
      <w:bookmarkStart w:id="541" w:name="_Toc473560953"/>
      <w:bookmarkStart w:id="542" w:name="_Toc473560954"/>
      <w:bookmarkStart w:id="543" w:name="_Toc473560955"/>
      <w:bookmarkStart w:id="544" w:name="_Toc473560956"/>
      <w:bookmarkStart w:id="545" w:name="_Toc473560957"/>
      <w:bookmarkStart w:id="546" w:name="_Toc473560958"/>
      <w:bookmarkStart w:id="547" w:name="_Toc473560959"/>
      <w:bookmarkStart w:id="548" w:name="_Toc473560960"/>
      <w:bookmarkStart w:id="549" w:name="_Toc473560961"/>
      <w:bookmarkStart w:id="550" w:name="_Toc473560962"/>
      <w:bookmarkStart w:id="551" w:name="_Toc473560963"/>
      <w:bookmarkStart w:id="552" w:name="_Toc473560964"/>
      <w:bookmarkStart w:id="553" w:name="_Toc473560965"/>
      <w:bookmarkStart w:id="554" w:name="_Toc473560966"/>
      <w:bookmarkStart w:id="555" w:name="_Toc473560967"/>
      <w:bookmarkStart w:id="556" w:name="_Toc473560968"/>
      <w:bookmarkStart w:id="557" w:name="_Toc473560969"/>
      <w:bookmarkStart w:id="558" w:name="_Toc473560970"/>
      <w:bookmarkStart w:id="559" w:name="_Toc473560989"/>
      <w:bookmarkStart w:id="560" w:name="_Toc473560990"/>
      <w:bookmarkStart w:id="561" w:name="_Toc473561022"/>
      <w:bookmarkStart w:id="562" w:name="_Toc516210674"/>
      <w:bookmarkStart w:id="563" w:name="_Toc473561023"/>
      <w:bookmarkStart w:id="564" w:name="_Toc523474423"/>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r>
        <w:rPr>
          <w:rFonts w:ascii="Times New Roman" w:hAnsi="Times New Roman"/>
          <w:sz w:val="24"/>
          <w:u w:val="none"/>
        </w:rPr>
        <w:t>4.2.</w:t>
      </w:r>
      <w:r w:rsidR="003F40E8" w:rsidRPr="003F40E8">
        <w:rPr>
          <w:u w:val="none"/>
        </w:rPr>
        <w:tab/>
      </w:r>
      <w:r>
        <w:rPr>
          <w:rFonts w:ascii="Times New Roman" w:hAnsi="Times New Roman"/>
          <w:sz w:val="24"/>
        </w:rPr>
        <w:t>Operativno tveganje: Podrobnosti o izgubah v zadnjem letu (OPR DETAILS)</w:t>
      </w:r>
      <w:bookmarkEnd w:id="562"/>
      <w:bookmarkEnd w:id="563"/>
      <w:bookmarkEnd w:id="564"/>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65" w:name="_Toc516210675"/>
      <w:bookmarkStart w:id="566" w:name="_Toc473561024"/>
      <w:bookmarkStart w:id="567" w:name="_Toc523474424"/>
      <w:r>
        <w:rPr>
          <w:rFonts w:ascii="Times New Roman" w:hAnsi="Times New Roman"/>
          <w:sz w:val="24"/>
          <w:u w:val="none"/>
        </w:rPr>
        <w:t>4.2.1.</w:t>
      </w:r>
      <w:r w:rsidR="003F40E8" w:rsidRPr="003F40E8">
        <w:rPr>
          <w:u w:val="none"/>
        </w:rPr>
        <w:tab/>
      </w:r>
      <w:r>
        <w:rPr>
          <w:rFonts w:ascii="Times New Roman" w:hAnsi="Times New Roman"/>
          <w:sz w:val="24"/>
        </w:rPr>
        <w:t>Splošne opombe</w:t>
      </w:r>
      <w:bookmarkEnd w:id="565"/>
      <w:bookmarkEnd w:id="566"/>
      <w:bookmarkEnd w:id="567"/>
    </w:p>
    <w:p w:rsidR="00FD54FC" w:rsidRPr="00392FFD" w:rsidRDefault="00125707" w:rsidP="00C37B29">
      <w:pPr>
        <w:pStyle w:val="InstructionsText2"/>
        <w:numPr>
          <w:ilvl w:val="0"/>
          <w:numId w:val="0"/>
        </w:numPr>
        <w:ind w:left="993"/>
      </w:pPr>
      <w:r>
        <w:t>120.</w:t>
      </w:r>
      <w:r>
        <w:tab/>
        <w:t>Predloga C 17.01 (OPR DETAILS 1) povzema informacije o bruto izgubah in povrnjenih izgubah, ki jih je institucija zabeležila v zadnjem letu, po vrstah dogo</w:t>
      </w:r>
      <w:r>
        <w:t>d</w:t>
      </w:r>
      <w:r>
        <w:t>kov in poslovnih področjih. Predloga C 17.02 (OPR DETAILS 2) vsebuje podro</w:t>
      </w:r>
      <w:r>
        <w:t>b</w:t>
      </w:r>
      <w:r>
        <w:t xml:space="preserve">nosti o največjih škodnih dogodkih v zadnjem letu. </w:t>
      </w:r>
    </w:p>
    <w:p w:rsidR="00FD54FC" w:rsidRPr="00392FFD" w:rsidRDefault="00125707" w:rsidP="00C37B29">
      <w:pPr>
        <w:pStyle w:val="InstructionsText2"/>
        <w:numPr>
          <w:ilvl w:val="0"/>
          <w:numId w:val="0"/>
        </w:numPr>
        <w:ind w:left="993"/>
      </w:pPr>
      <w:r>
        <w:t>121.</w:t>
      </w:r>
      <w:r>
        <w:tab/>
        <w:t>Izgube iz naslova operativnega tveganja, ki so povezane s kreditnim tveganjem in za katere veljajo kapitalske zahteve za kreditno tveganje (mejni dogodki iz na</w:t>
      </w:r>
      <w:r>
        <w:t>s</w:t>
      </w:r>
      <w:r>
        <w:t>lova operativnega tveganja, ki so povezani s krediti), niso upoštevane niti v predl</w:t>
      </w:r>
      <w:r>
        <w:t>o</w:t>
      </w:r>
      <w:r>
        <w:t>gi C 17.01 niti v predlogi C 17.02.</w:t>
      </w:r>
    </w:p>
    <w:p w:rsidR="00FD54FC" w:rsidRPr="00392FFD" w:rsidRDefault="00125707" w:rsidP="00C37B29">
      <w:pPr>
        <w:pStyle w:val="InstructionsText2"/>
        <w:numPr>
          <w:ilvl w:val="0"/>
          <w:numId w:val="0"/>
        </w:numPr>
        <w:ind w:left="993"/>
      </w:pPr>
      <w:r>
        <w:t>122.</w:t>
      </w:r>
      <w:r>
        <w:tab/>
        <w:t>V primeru kombinirane uporabe različnih pristopov za izračun kapitalskih za</w:t>
      </w:r>
      <w:r>
        <w:t>h</w:t>
      </w:r>
      <w:r>
        <w:t>tev za operativno tveganje v skladu s členom 314 CRR, se izgube in povrnitve, ki jih je zabeležila institucija, poročajo v predlogah C 17.01 in C 17.02 ne glede na pristop, ki se uporabi za izračun kapitalskih zahtev.</w:t>
      </w:r>
    </w:p>
    <w:p w:rsidR="00FD54FC" w:rsidRPr="00392FFD" w:rsidRDefault="00125707" w:rsidP="00C37B29">
      <w:pPr>
        <w:pStyle w:val="InstructionsText2"/>
        <w:numPr>
          <w:ilvl w:val="0"/>
          <w:numId w:val="0"/>
        </w:numPr>
        <w:ind w:left="993"/>
      </w:pPr>
      <w:r>
        <w:t>123.</w:t>
      </w:r>
      <w:r>
        <w:tab/>
        <w:t>„Bruto izguba“ pomeni izgubo, ki je posledica dogodka iz naslova operativn</w:t>
      </w:r>
      <w:r>
        <w:t>e</w:t>
      </w:r>
      <w:r>
        <w:t xml:space="preserve">ga tveganja ali vrste dogodka – kot so navedene v členu 322(3)(b) CRR – pred kakršno koli povrnitvijo, brez poseganja v „hitro povrnitev posledic škodnega dogodka v prvotno stanje“, kot je opredeljeno spodaj. </w:t>
      </w:r>
    </w:p>
    <w:p w:rsidR="00FD54FC" w:rsidRPr="00392FFD" w:rsidRDefault="00125707" w:rsidP="00C37B29">
      <w:pPr>
        <w:pStyle w:val="InstructionsText2"/>
        <w:numPr>
          <w:ilvl w:val="0"/>
          <w:numId w:val="0"/>
        </w:numPr>
        <w:ind w:left="993"/>
      </w:pPr>
      <w:r>
        <w:t>124.</w:t>
      </w:r>
      <w:r>
        <w:tab/>
        <w:t>„Povrnitev“ pomeni neodvisen dogodek, povezan s prvotno izgubo iz naslova operativnega tveganja, ki je časovno ločen, v katerem so sredstva ali ekonomske koristi prejete od prve ali tretjih oseb, kot so zavarovatelji ali druge osebe. Povrni</w:t>
      </w:r>
      <w:r>
        <w:t>t</w:t>
      </w:r>
      <w:r>
        <w:t>ve se delijo na povrnitve iz zavarovanja in drugih mehanizmov za prenos tveganja ter na neposredne povrnitve.</w:t>
      </w:r>
    </w:p>
    <w:p w:rsidR="00FD54FC" w:rsidRPr="00392FFD" w:rsidRDefault="00125707" w:rsidP="00C37B29">
      <w:pPr>
        <w:pStyle w:val="InstructionsText2"/>
        <w:numPr>
          <w:ilvl w:val="0"/>
          <w:numId w:val="0"/>
        </w:numPr>
        <w:ind w:left="993"/>
      </w:pPr>
      <w:r>
        <w:t>125.</w:t>
      </w:r>
      <w:r>
        <w:tab/>
        <w:t>„Hitra povrnitev posledic škodnega dogodka v prvotno stanje“ pomeni dog</w:t>
      </w:r>
      <w:r>
        <w:t>o</w:t>
      </w:r>
      <w:r>
        <w:t>dek iz naslova operativnega tveganja, ki privede do izgub, ki so delno ali v celoti povrnjene v petih delovnih dneh. V primeru hitre povrnitve posledic škodnega dogodka v prvotno stanje se pri določanju bruto izgube vključi samo tisti del izg</w:t>
      </w:r>
      <w:r>
        <w:t>u</w:t>
      </w:r>
      <w:r>
        <w:t>be, ki ni bil v celoti povrnjen (tj. izguba, zmanjšana za delno hitro povrnitev). Po</w:t>
      </w:r>
      <w:r>
        <w:t>s</w:t>
      </w:r>
      <w:r>
        <w:t>ledično se škodni dogodki, ki vodijo do izgub, ki so v celoti povrnjene v petih del</w:t>
      </w:r>
      <w:r>
        <w:t>o</w:t>
      </w:r>
      <w:r>
        <w:t xml:space="preserve">vnih dneh, ne vključijo v določanje bruto izgube niti se o njih ne poroča v okviru predloge OPR </w:t>
      </w:r>
      <w:proofErr w:type="spellStart"/>
      <w:r>
        <w:t>Details</w:t>
      </w:r>
      <w:proofErr w:type="spellEnd"/>
      <w:r>
        <w:t>.</w:t>
      </w:r>
    </w:p>
    <w:p w:rsidR="00FD54FC" w:rsidRPr="00392FFD" w:rsidRDefault="00125707" w:rsidP="00C37B29">
      <w:pPr>
        <w:pStyle w:val="InstructionsText2"/>
        <w:numPr>
          <w:ilvl w:val="0"/>
          <w:numId w:val="0"/>
        </w:numPr>
        <w:ind w:left="993"/>
      </w:pPr>
      <w:r>
        <w:lastRenderedPageBreak/>
        <w:t>126.</w:t>
      </w:r>
      <w:r>
        <w:tab/>
        <w:t>„Datum obračunavanja“ pomeni datum, ko je bila izguba ali rezervacija prvič pripoznana v izkazu poslovnega izida v povezavi z izgubo iz naslova operativnega tveganja. Ta datum logično sledi „Datumu nastopa dogodka“ (tj. datumu, ko je na</w:t>
      </w:r>
      <w:r>
        <w:t>s</w:t>
      </w:r>
      <w:r>
        <w:t xml:space="preserve">topil oz. se začel dogodek iz naslova operativnega tveganja) in „Datumu odkritja dogodka“ (tj. datumu, ko je institucija odkrila, da je prišlo do dogodka iz naslova operativnega tveganja). </w:t>
      </w:r>
    </w:p>
    <w:p w:rsidR="00FD54FC" w:rsidRPr="00392FFD" w:rsidRDefault="00125707" w:rsidP="00C37B29">
      <w:pPr>
        <w:pStyle w:val="InstructionsText2"/>
        <w:numPr>
          <w:ilvl w:val="0"/>
          <w:numId w:val="0"/>
        </w:numPr>
        <w:ind w:left="993"/>
      </w:pPr>
      <w:r>
        <w:t>127.</w:t>
      </w:r>
      <w:r>
        <w:tab/>
        <w:t>Izgube, ki jih povzroči pogost dogodek iz naslova operativnega tveganja ali več dogodkov, povezanih s prvotnim dogodkom iz naslova operativnega tveganja, ki ustvari dogodke ali izgube („izvorni dogodek“), se združijo. Združeni dogodki se štejejo in poročajo kot en dogodek, torej se povezani zneski bruto izgube oziroma zneski prilagoditve izgube seštejejo.</w:t>
      </w:r>
    </w:p>
    <w:p w:rsidR="00FD54FC" w:rsidRPr="00392FFD" w:rsidRDefault="00125707" w:rsidP="00C37B29">
      <w:pPr>
        <w:pStyle w:val="InstructionsText2"/>
        <w:numPr>
          <w:ilvl w:val="0"/>
          <w:numId w:val="0"/>
        </w:numPr>
        <w:ind w:left="993"/>
      </w:pPr>
      <w:r>
        <w:t>128.</w:t>
      </w:r>
      <w:r>
        <w:tab/>
        <w:t>Vrednosti, ki se poročajo junija zadevnega leta, so vmesne vrednosti, končne vrednosti pa se poročajo decembra. Zato imajo vrednosti iz junija šestmesečno ref</w:t>
      </w:r>
      <w:r>
        <w:t>e</w:t>
      </w:r>
      <w:r>
        <w:t>renčno obdobje (tj. od 1. januarja do 30. junija koledarskega leta), vrednosti iz decembra pa imajo dvanajstmesečno referenčno obdobje (tj. od 1. januarja do 31. decembra koledarskega leta). Za podatke, ki se poročajo v juniju in decembru „prejšnja referenčna poročevalska obdobja“ pomenijo vsa referenčna poročevalska obdobja do in vključno z obdobjem, ki se konča konec prejšnjega koledarskega leta.</w:t>
      </w:r>
    </w:p>
    <w:p w:rsidR="00FD54FC" w:rsidRPr="00392FFD" w:rsidRDefault="00125707" w:rsidP="00C37B29">
      <w:pPr>
        <w:pStyle w:val="InstructionsText2"/>
        <w:numPr>
          <w:ilvl w:val="0"/>
          <w:numId w:val="0"/>
        </w:numPr>
        <w:ind w:left="993"/>
      </w:pPr>
      <w:r>
        <w:t>129.</w:t>
      </w:r>
      <w:r>
        <w:tab/>
        <w:t>Institucije za preverjanje pogojev iz člena 5(b)(2)(b)(i) te uredbe uporabijo zadnje statistične podatke, ki so na voljo na spletni strani EBA v zvezi z razkritji nadzornim organom (</w:t>
      </w:r>
      <w:proofErr w:type="spellStart"/>
      <w:r>
        <w:rPr>
          <w:i/>
        </w:rPr>
        <w:t>Supervisory</w:t>
      </w:r>
      <w:proofErr w:type="spellEnd"/>
      <w:r>
        <w:rPr>
          <w:i/>
        </w:rPr>
        <w:t xml:space="preserve"> </w:t>
      </w:r>
      <w:proofErr w:type="spellStart"/>
      <w:r>
        <w:rPr>
          <w:i/>
        </w:rPr>
        <w:t>Disclosure</w:t>
      </w:r>
      <w:proofErr w:type="spellEnd"/>
      <w:r>
        <w:t>), za pridobitev podatka o „vsoti posameznih bilančnih vsot vseh institucij v isti državi članici“. Za preverjanje pogojev iz člena 5(b)2(b)(</w:t>
      </w:r>
      <w:proofErr w:type="spellStart"/>
      <w:r>
        <w:t>iii</w:t>
      </w:r>
      <w:proofErr w:type="spellEnd"/>
      <w:r>
        <w:t>) se uporabi bruto domači proizvod po tržnih cenah, kot je opredeljen v točki 8.89 Priloge A k Uredbi (EU) št. 549/2013 Evropskega parl</w:t>
      </w:r>
      <w:r>
        <w:t>a</w:t>
      </w:r>
      <w:r>
        <w:t xml:space="preserve">menta in Sveta (ESR 2010) ter ga je objavil </w:t>
      </w:r>
      <w:proofErr w:type="spellStart"/>
      <w:r>
        <w:t>Eurostat</w:t>
      </w:r>
      <w:proofErr w:type="spellEnd"/>
      <w:r>
        <w:t xml:space="preserve"> za predhodno koledarsko leto.</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68" w:name="_Toc516210676"/>
      <w:bookmarkStart w:id="569" w:name="_Toc473561025"/>
      <w:bookmarkStart w:id="570" w:name="_Toc523474425"/>
      <w:r>
        <w:rPr>
          <w:rFonts w:ascii="Times New Roman" w:hAnsi="Times New Roman"/>
          <w:sz w:val="24"/>
          <w:u w:val="none"/>
        </w:rPr>
        <w:t>4.2.2.</w:t>
      </w:r>
      <w:r w:rsidR="003F40E8" w:rsidRPr="003F40E8">
        <w:rPr>
          <w:u w:val="none"/>
        </w:rPr>
        <w:tab/>
      </w:r>
      <w:r>
        <w:rPr>
          <w:rFonts w:ascii="Times New Roman" w:hAnsi="Times New Roman"/>
          <w:sz w:val="24"/>
        </w:rPr>
        <w:t>C 17.01: Izgube in povrnitve iz naslova operativnega tveganja po poslovnih področjih in vrstah dogodkov v zadnjem letu (OPR DETAILS 1)</w:t>
      </w:r>
      <w:bookmarkEnd w:id="568"/>
      <w:bookmarkEnd w:id="569"/>
      <w:bookmarkEnd w:id="570"/>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71" w:name="_Toc516210677"/>
      <w:bookmarkStart w:id="572" w:name="_Toc473561026"/>
      <w:bookmarkStart w:id="573" w:name="_Toc523474426"/>
      <w:r>
        <w:rPr>
          <w:rFonts w:ascii="Times New Roman" w:hAnsi="Times New Roman"/>
          <w:sz w:val="24"/>
          <w:u w:val="none"/>
        </w:rPr>
        <w:t>4.2.2.1.</w:t>
      </w:r>
      <w:r w:rsidR="003F40E8" w:rsidRPr="003F40E8">
        <w:rPr>
          <w:u w:val="none"/>
        </w:rPr>
        <w:tab/>
      </w:r>
      <w:r>
        <w:rPr>
          <w:rFonts w:ascii="Times New Roman" w:hAnsi="Times New Roman"/>
          <w:sz w:val="24"/>
        </w:rPr>
        <w:t>Splošne opombe</w:t>
      </w:r>
      <w:bookmarkEnd w:id="571"/>
      <w:bookmarkEnd w:id="572"/>
      <w:bookmarkEnd w:id="573"/>
    </w:p>
    <w:p w:rsidR="00FD54FC" w:rsidRPr="00392FFD" w:rsidRDefault="00125707" w:rsidP="00C37B29">
      <w:pPr>
        <w:pStyle w:val="InstructionsText2"/>
        <w:numPr>
          <w:ilvl w:val="0"/>
          <w:numId w:val="0"/>
        </w:numPr>
        <w:ind w:left="993"/>
      </w:pPr>
      <w:r>
        <w:t>130.</w:t>
      </w:r>
      <w:r>
        <w:tab/>
        <w:t>V predlogi C 17.01 se informacije predstavijo z razporeditvijo izgub in povrn</w:t>
      </w:r>
      <w:r>
        <w:t>i</w:t>
      </w:r>
      <w:r>
        <w:t>tev nad notranjimi mejami med poslovna področja (kot je opredeljeno v razprede</w:t>
      </w:r>
      <w:r>
        <w:t>l</w:t>
      </w:r>
      <w:r>
        <w:t>nici 2 v členu 317 CRR, vključno z dodatnim poslovnim področjem „Korporativne postavke“ iz člena 322(3)(b) CRR) in vrste dogodkov (kot je opredeljeno v členu 324 CRR), pri čemer je mogoče, da se izgube, ki ustrezajo enemu dogodku, razp</w:t>
      </w:r>
      <w:r>
        <w:t>o</w:t>
      </w:r>
      <w:r>
        <w:t>redijo med več poslovnih področij.</w:t>
      </w:r>
    </w:p>
    <w:p w:rsidR="00FD54FC" w:rsidRPr="00392FFD" w:rsidRDefault="00125707" w:rsidP="00C37B29">
      <w:pPr>
        <w:pStyle w:val="InstructionsText2"/>
        <w:numPr>
          <w:ilvl w:val="0"/>
          <w:numId w:val="0"/>
        </w:numPr>
        <w:ind w:left="993"/>
      </w:pPr>
      <w:r>
        <w:t>131.</w:t>
      </w:r>
      <w:r>
        <w:tab/>
        <w:t>Stolpci predstavljajo različne vrste dogodkov in skupne vrednosti za vsako po</w:t>
      </w:r>
      <w:r>
        <w:t>s</w:t>
      </w:r>
      <w:r>
        <w:t>lovno področje skupaj s pojasnjevalno postavko, ki prikazuje najnižjo notranjo mejo, ki se uporablja pri zbiranju podatkov o izgubah, pri čemer sta znotraj vsakega poslovnega področja razkrita najnižja in najvišja meja, če jih je več.</w:t>
      </w:r>
    </w:p>
    <w:p w:rsidR="00FD54FC" w:rsidRPr="00392FFD" w:rsidRDefault="00125707" w:rsidP="00C37B29">
      <w:pPr>
        <w:pStyle w:val="InstructionsText2"/>
        <w:numPr>
          <w:ilvl w:val="0"/>
          <w:numId w:val="0"/>
        </w:numPr>
        <w:ind w:left="993"/>
      </w:pPr>
      <w:r>
        <w:t>132.</w:t>
      </w:r>
      <w:r>
        <w:tab/>
        <w:t>Vrstice predstavljajo poslovna področja ter znotraj vsakega poslovnega podro</w:t>
      </w:r>
      <w:r>
        <w:t>č</w:t>
      </w:r>
      <w:r>
        <w:t xml:space="preserve">ja informacije o številu dogodkov (novi dogodki), bruto znesku izgube (novi dogodki), številu dogodkov, pri katerih se prilagodijo izgube, prilagoditvah izgub, ki se nanašajo na prejšnja poročevalska obdobja, največji posamezni izgubi, vsoti </w:t>
      </w:r>
      <w:r>
        <w:lastRenderedPageBreak/>
        <w:t>petih največjih izgub in povrnjenih izgubah skupaj (neposredne povrnitve izgub ter povrnitve iz zavarovanja in drugih mehanizmov za prenos tveganja).</w:t>
      </w:r>
    </w:p>
    <w:p w:rsidR="00FD54FC" w:rsidRPr="00392FFD" w:rsidRDefault="00125707" w:rsidP="00C37B29">
      <w:pPr>
        <w:pStyle w:val="InstructionsText2"/>
        <w:numPr>
          <w:ilvl w:val="0"/>
          <w:numId w:val="0"/>
        </w:numPr>
        <w:ind w:left="993"/>
      </w:pPr>
      <w:r>
        <w:t>133.</w:t>
      </w:r>
      <w:r>
        <w:tab/>
        <w:t xml:space="preserve">Za poslovna področja skupaj se zahtevajo tudi podatki o številu dogodkov in bruto znesku izgube za nekatere razpone, ki temeljijo na vnaprej določenih mejah v višini 10 000, 20 000, 100 000 in 1 000 000. Meje so določene v </w:t>
      </w:r>
      <w:proofErr w:type="spellStart"/>
      <w:r>
        <w:t>eurih</w:t>
      </w:r>
      <w:proofErr w:type="spellEnd"/>
      <w:r>
        <w:t xml:space="preserve"> in so vklj</w:t>
      </w:r>
      <w:r>
        <w:t>u</w:t>
      </w:r>
      <w:r>
        <w:t>čene za potrebe primerjave poročanih izgub med institucijami, zato niso nujno povezane s spodnjimi mejami izgub, ki se uporabljajo za zbiranje notranjih poda</w:t>
      </w:r>
      <w:r>
        <w:t>t</w:t>
      </w:r>
      <w:r>
        <w:t>kov in ki jih je treba poročati v drugem oddelku predloge.</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74" w:name="_Toc516210678"/>
      <w:bookmarkStart w:id="575" w:name="_Toc473561027"/>
      <w:bookmarkStart w:id="576" w:name="_Toc523474427"/>
      <w:r>
        <w:rPr>
          <w:rFonts w:ascii="Times New Roman" w:hAnsi="Times New Roman"/>
          <w:sz w:val="24"/>
          <w:u w:val="none"/>
        </w:rPr>
        <w:t>4.2.2.2.</w:t>
      </w:r>
      <w:r w:rsidR="003F40E8" w:rsidRPr="003F40E8">
        <w:rPr>
          <w:u w:val="none"/>
        </w:rPr>
        <w:tab/>
      </w:r>
      <w:r>
        <w:rPr>
          <w:rFonts w:ascii="Times New Roman" w:hAnsi="Times New Roman"/>
          <w:sz w:val="24"/>
        </w:rPr>
        <w:t>Navodila za posamezne pozicije</w:t>
      </w:r>
      <w:bookmarkEnd w:id="574"/>
      <w:bookmarkEnd w:id="575"/>
      <w:bookmarkEnd w:id="57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8195"/>
      </w:tblGrid>
      <w:tr w:rsidR="00FD54FC" w:rsidRPr="00392FFD" w:rsidTr="00672D2A">
        <w:trPr>
          <w:trHeight w:val="576"/>
        </w:trPr>
        <w:tc>
          <w:tcPr>
            <w:tcW w:w="9180" w:type="dxa"/>
            <w:gridSpan w:val="2"/>
            <w:shd w:val="clear" w:color="auto" w:fill="CCCCCC"/>
          </w:tcPr>
          <w:p w:rsidR="00FD54FC" w:rsidRPr="00392FFD"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Stolpci</w:t>
            </w:r>
          </w:p>
        </w:tc>
      </w:tr>
      <w:tr w:rsidR="00FD54FC" w:rsidRPr="00392FFD" w:rsidTr="00672D2A">
        <w:tc>
          <w:tcPr>
            <w:tcW w:w="985" w:type="dxa"/>
          </w:tcPr>
          <w:p w:rsidR="00FD54FC" w:rsidRPr="00392FFD"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VRSTE DOGODKOV</w:t>
            </w:r>
          </w:p>
          <w:p w:rsidR="00FD54FC" w:rsidRPr="00392FFD" w:rsidRDefault="00FD54FC" w:rsidP="00FD54FC">
            <w:pPr>
              <w:rPr>
                <w:rFonts w:ascii="Times New Roman" w:hAnsi="Times New Roman"/>
                <w:sz w:val="24"/>
              </w:rPr>
            </w:pPr>
            <w:r>
              <w:rPr>
                <w:rFonts w:ascii="Times New Roman" w:hAnsi="Times New Roman"/>
                <w:sz w:val="24"/>
              </w:rPr>
              <w:t xml:space="preserve">Institucije poročajo izgube v ustreznih stolpcih 010 do 070 v skladu z vrstami dogodkov iz člena 324 CRR. </w:t>
            </w:r>
          </w:p>
          <w:p w:rsidR="00FD54FC" w:rsidRPr="00392FFD" w:rsidRDefault="00FD54FC" w:rsidP="00871877">
            <w:pPr>
              <w:rPr>
                <w:rFonts w:ascii="Times New Roman" w:hAnsi="Times New Roman"/>
                <w:bCs/>
                <w:sz w:val="24"/>
              </w:rPr>
            </w:pPr>
            <w:r>
              <w:rPr>
                <w:rFonts w:ascii="Times New Roman" w:hAnsi="Times New Roman"/>
                <w:sz w:val="24"/>
              </w:rPr>
              <w:t>Institucije, ki izračunajo svojo kapitalsko zahtevo v skladu z BIA, lahko poročajo tiste izgube, za katere vrsta dogodka ni opredeljena samo v stolpcu 080.</w:t>
            </w:r>
          </w:p>
        </w:tc>
      </w:tr>
      <w:tr w:rsidR="00FD54FC" w:rsidRPr="00392FFD" w:rsidTr="00672D2A">
        <w:tc>
          <w:tcPr>
            <w:tcW w:w="985" w:type="dxa"/>
          </w:tcPr>
          <w:p w:rsidR="00FD54FC" w:rsidRPr="00392FFD"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8195" w:type="dxa"/>
          </w:tcPr>
          <w:p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SKUPAJ VRSTE DOGODKOV</w:t>
            </w:r>
          </w:p>
          <w:p w:rsidR="008D30F0" w:rsidRDefault="00FD54FC" w:rsidP="00FD54FC">
            <w:pPr>
              <w:rPr>
                <w:rStyle w:val="InstructionsTabelleText"/>
                <w:rFonts w:ascii="Times New Roman" w:hAnsi="Times New Roman"/>
                <w:sz w:val="24"/>
              </w:rPr>
            </w:pPr>
            <w:r>
              <w:rPr>
                <w:rStyle w:val="InstructionsTabelleText"/>
                <w:rFonts w:ascii="Times New Roman" w:hAnsi="Times New Roman"/>
                <w:sz w:val="24"/>
              </w:rPr>
              <w:t>Institucije v stolpcu 080 za vsako poslovno področje poročajo skupno „število dogodkov (novi dogodki)“, skupni „bruto znesek izgube (novi dogodki)“, skupno „število dogodkov, pri katerih se prilagodijo izgube“, skupne „prilagoditve izgub, ki se nanašajo na prejšnja poročevalska obdobja“, „največjo posamezno izgubo“, „vsoto petih največjih izgub“ in skupno „neposredno povrnitev izgube skupaj“ ter skupne „povrnitve iz zavarovanja in drugih mehanizmov za prenos tveganja sk</w:t>
            </w:r>
            <w:r>
              <w:rPr>
                <w:rStyle w:val="InstructionsTabelleText"/>
                <w:rFonts w:ascii="Times New Roman" w:hAnsi="Times New Roman"/>
                <w:sz w:val="24"/>
              </w:rPr>
              <w:t>u</w:t>
            </w:r>
            <w:r>
              <w:rPr>
                <w:rStyle w:val="InstructionsTabelleText"/>
                <w:rFonts w:ascii="Times New Roman" w:hAnsi="Times New Roman"/>
                <w:sz w:val="24"/>
              </w:rPr>
              <w:t>paj“.</w:t>
            </w:r>
          </w:p>
          <w:p w:rsidR="00FD54FC" w:rsidRPr="00392FFD" w:rsidRDefault="00FD54FC" w:rsidP="00FD54FC">
            <w:pPr>
              <w:rPr>
                <w:rStyle w:val="InstructionsTabelleText"/>
                <w:rFonts w:ascii="Times New Roman" w:hAnsi="Times New Roman"/>
                <w:sz w:val="24"/>
              </w:rPr>
            </w:pPr>
            <w:r>
              <w:rPr>
                <w:rStyle w:val="InstructionsTabelleText"/>
                <w:rFonts w:ascii="Times New Roman" w:hAnsi="Times New Roman"/>
                <w:sz w:val="24"/>
              </w:rPr>
              <w:t>Če je institucija opredelila vrste dogodkov za vse izgube, v stolpcu 080 navede enostaven seštevek števila škodnih dogodkov, skupnih bruto zneskov izgube, sk</w:t>
            </w:r>
            <w:r>
              <w:rPr>
                <w:rStyle w:val="InstructionsTabelleText"/>
                <w:rFonts w:ascii="Times New Roman" w:hAnsi="Times New Roman"/>
                <w:sz w:val="24"/>
              </w:rPr>
              <w:t>u</w:t>
            </w:r>
            <w:r>
              <w:rPr>
                <w:rStyle w:val="InstructionsTabelleText"/>
                <w:rFonts w:ascii="Times New Roman" w:hAnsi="Times New Roman"/>
                <w:sz w:val="24"/>
              </w:rPr>
              <w:t xml:space="preserve">pnih zneskov povrnjenih izgub in „prilagoditev izgub, ki se nanašajo na prejšnja poročevalska obdobja“, ki se poročajo v stolpcih 010 do 070. </w:t>
            </w:r>
          </w:p>
          <w:p w:rsidR="00FD54FC" w:rsidRPr="00392FFD" w:rsidRDefault="00FD54FC" w:rsidP="00FD54FC">
            <w:pPr>
              <w:rPr>
                <w:rStyle w:val="InstructionsTabelleText"/>
                <w:rFonts w:ascii="Times New Roman" w:hAnsi="Times New Roman"/>
                <w:sz w:val="24"/>
              </w:rPr>
            </w:pPr>
            <w:r>
              <w:rPr>
                <w:rStyle w:val="InstructionsTabelleText"/>
                <w:rFonts w:ascii="Times New Roman" w:hAnsi="Times New Roman"/>
                <w:sz w:val="24"/>
              </w:rPr>
              <w:t>„Največja posamezna izguba“, ki se poroča v stolpcu 080, je največja posamezna izguba znotraj poslovnega področja in je enaka največji „največji posamezni izg</w:t>
            </w:r>
            <w:r>
              <w:rPr>
                <w:rStyle w:val="InstructionsTabelleText"/>
                <w:rFonts w:ascii="Times New Roman" w:hAnsi="Times New Roman"/>
                <w:sz w:val="24"/>
              </w:rPr>
              <w:t>u</w:t>
            </w:r>
            <w:r>
              <w:rPr>
                <w:rStyle w:val="InstructionsTabelleText"/>
                <w:rFonts w:ascii="Times New Roman" w:hAnsi="Times New Roman"/>
                <w:sz w:val="24"/>
              </w:rPr>
              <w:t xml:space="preserve">bi“, ki se poroča v stolpcih 010 do 070, če je institucija opredelila vrste dogodkov za vse izgube. </w:t>
            </w:r>
          </w:p>
          <w:p w:rsidR="00FD54FC" w:rsidRPr="00392FFD" w:rsidRDefault="00FD54FC" w:rsidP="00FD54FC">
            <w:pPr>
              <w:rPr>
                <w:rFonts w:ascii="Times New Roman" w:hAnsi="Times New Roman"/>
                <w:bCs/>
                <w:sz w:val="24"/>
              </w:rPr>
            </w:pPr>
            <w:r>
              <w:rPr>
                <w:rStyle w:val="InstructionsTabelleText"/>
                <w:rFonts w:ascii="Times New Roman" w:hAnsi="Times New Roman"/>
                <w:sz w:val="24"/>
              </w:rPr>
              <w:t>Pri vsoti petih največjih izgub se v stolpcu 080 sporoči vsota petih največjih izgub v okviru enega poslovnega področja.</w:t>
            </w:r>
          </w:p>
        </w:tc>
      </w:tr>
      <w:tr w:rsidR="00FD54FC" w:rsidRPr="00392FFD" w:rsidTr="00672D2A">
        <w:tc>
          <w:tcPr>
            <w:tcW w:w="985" w:type="dxa"/>
          </w:tcPr>
          <w:p w:rsidR="00FD54FC" w:rsidRPr="00392FFD"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0090–0100</w:t>
            </w:r>
          </w:p>
        </w:tc>
        <w:tc>
          <w:tcPr>
            <w:tcW w:w="8195" w:type="dxa"/>
          </w:tcPr>
          <w:p w:rsidR="00FD54FC" w:rsidRPr="00392FFD"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POJASNJEVALNA POSTAVKA: MEJE IZGUB ZA ZBIRANJE PODA</w:t>
            </w:r>
            <w:r>
              <w:rPr>
                <w:rStyle w:val="InstructionsTabelleberschrift"/>
                <w:rFonts w:ascii="Times New Roman" w:hAnsi="Times New Roman"/>
                <w:sz w:val="24"/>
              </w:rPr>
              <w:t>T</w:t>
            </w:r>
            <w:r>
              <w:rPr>
                <w:rStyle w:val="InstructionsTabelleberschrift"/>
                <w:rFonts w:ascii="Times New Roman" w:hAnsi="Times New Roman"/>
                <w:sz w:val="24"/>
              </w:rPr>
              <w:t>KOV</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Institucije v stolpcih 090 in 100 poročajo spodnje meje izgub, ki jih uporabljajo za zbiranje notranjih podatkov o izgubah v skladu z zadnjim stavkom člena 322(3)(c) CRR. </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Če institucija uporablja le eno mejo za vsako poslovno področje, se izpolni le st</w:t>
            </w:r>
            <w:r>
              <w:rPr>
                <w:rStyle w:val="InstructionsTabelleText"/>
                <w:rFonts w:ascii="Times New Roman" w:hAnsi="Times New Roman"/>
                <w:sz w:val="24"/>
              </w:rPr>
              <w:t>o</w:t>
            </w:r>
            <w:r>
              <w:rPr>
                <w:rStyle w:val="InstructionsTabelleText"/>
                <w:rFonts w:ascii="Times New Roman" w:hAnsi="Times New Roman"/>
                <w:sz w:val="24"/>
              </w:rPr>
              <w:t xml:space="preserve">lpec 090. </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Kadar se v istem regulativnem poslovnem področju uporabljajo različne meje, se navede tudi najvišja veljavna meja (stolpec 100).</w:t>
            </w:r>
          </w:p>
        </w:tc>
      </w:tr>
    </w:tbl>
    <w:p w:rsidR="00FD54FC" w:rsidRPr="00321A3B"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079"/>
      </w:tblGrid>
      <w:tr w:rsidR="00FD54FC" w:rsidRPr="00321A3B" w:rsidTr="00672D2A">
        <w:trPr>
          <w:trHeight w:val="504"/>
        </w:trPr>
        <w:tc>
          <w:tcPr>
            <w:tcW w:w="9180" w:type="dxa"/>
            <w:gridSpan w:val="2"/>
            <w:shd w:val="clear" w:color="auto" w:fill="CCCCCC"/>
          </w:tcPr>
          <w:p w:rsidR="00FD54FC" w:rsidRPr="00321A3B"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lastRenderedPageBreak/>
              <w:t>Vrstice</w:t>
            </w:r>
          </w:p>
        </w:tc>
      </w:tr>
      <w:tr w:rsidR="00FD54FC" w:rsidRPr="00392FFD" w:rsidTr="00672D2A">
        <w:tc>
          <w:tcPr>
            <w:tcW w:w="1101" w:type="dxa"/>
          </w:tcPr>
          <w:p w:rsidR="00FD54FC" w:rsidRPr="00321A3B" w:rsidRDefault="00C93FC2" w:rsidP="000F70EC">
            <w:pPr>
              <w:rPr>
                <w:rFonts w:ascii="Times New Roman" w:hAnsi="Times New Roman"/>
                <w:bCs/>
                <w:sz w:val="24"/>
              </w:rPr>
            </w:pPr>
            <w:r>
              <w:rPr>
                <w:rFonts w:ascii="Times New Roman" w:hAnsi="Times New Roman"/>
                <w:sz w:val="24"/>
              </w:rPr>
              <w:t>0010–0880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POSLOVNA PODROČJA: PODJETNIŠKE FINANCE, TRGOVANJE IN PRODAJA, POSLI Z VREDNOSTNIMI PAPIRJI NA DROBNO, KOMERCIALNO BANČNIŠTVO, BANČNIŠTVO NA DROBNO, PLAČ</w:t>
            </w:r>
            <w:r>
              <w:rPr>
                <w:rStyle w:val="InstructionsTabelleberschrift"/>
                <w:rFonts w:ascii="Times New Roman" w:hAnsi="Times New Roman"/>
                <w:sz w:val="24"/>
              </w:rPr>
              <w:t>I</w:t>
            </w:r>
            <w:r>
              <w:rPr>
                <w:rStyle w:val="InstructionsTabelleberschrift"/>
                <w:rFonts w:ascii="Times New Roman" w:hAnsi="Times New Roman"/>
                <w:sz w:val="24"/>
              </w:rPr>
              <w:t>LO IN PORAVNAVA, AGENCIJSKE STORITVE, UPRAVLJANJE PREMOŽENJA, KORPORATIVNE POSTAVKE</w:t>
            </w:r>
          </w:p>
          <w:p w:rsidR="00FD54FC" w:rsidRPr="00321A3B" w:rsidRDefault="00FD54FC" w:rsidP="00FD54FC">
            <w:pPr>
              <w:pStyle w:val="PlainText"/>
              <w:jc w:val="both"/>
              <w:rPr>
                <w:rFonts w:ascii="Times New Roman" w:hAnsi="Times New Roman"/>
                <w:sz w:val="24"/>
                <w:szCs w:val="24"/>
              </w:rPr>
            </w:pPr>
            <w:r>
              <w:rPr>
                <w:rFonts w:ascii="Times New Roman" w:hAnsi="Times New Roman"/>
                <w:sz w:val="24"/>
              </w:rPr>
              <w:t>Za vsako poslovno področje iz razpredelnice 2 v členu 317(4) CRR, vključno z dodatnim poslovnim področjem „Korporativne postavke“ iz člena 322(3)(b) CRR, in za vsako vrsto dogodka institucija v skladu z notranjimi mejami sporoči naslednje informacije: število dogodkov (novi dogodki), bruto znesek izgube (novi dogodki), število dogodkov, pri katerih se prilagodijo izgube, prilagoditve izgub, ki se nanašajo na prejšnja poročevalska obdobja, največjo posamezno izgubo, vsoto petih največjih izgub, skupno neposredno povrnitev izgube ter sk</w:t>
            </w:r>
            <w:r>
              <w:rPr>
                <w:rFonts w:ascii="Times New Roman" w:hAnsi="Times New Roman"/>
                <w:sz w:val="24"/>
              </w:rPr>
              <w:t>u</w:t>
            </w:r>
            <w:r>
              <w:rPr>
                <w:rFonts w:ascii="Times New Roman" w:hAnsi="Times New Roman"/>
                <w:sz w:val="24"/>
              </w:rPr>
              <w:t xml:space="preserve">pne povrnitve iz zavarovanja in drugih mehanizmov za prenos tveganja. </w:t>
            </w:r>
          </w:p>
          <w:p w:rsidR="00FD54FC" w:rsidRPr="00392FFD" w:rsidRDefault="00FD54FC" w:rsidP="00FD54FC">
            <w:pPr>
              <w:rPr>
                <w:rFonts w:ascii="Times New Roman" w:hAnsi="Times New Roman"/>
                <w:sz w:val="24"/>
              </w:rPr>
            </w:pPr>
            <w:r>
              <w:rPr>
                <w:rFonts w:ascii="Times New Roman" w:hAnsi="Times New Roman"/>
                <w:sz w:val="24"/>
              </w:rPr>
              <w:t>Pri škodnem dogodku, ki vpliva na več poslovnih področij, se „bruto znesek izgube“ razdeli med vsa zadevna poslovna področja.</w:t>
            </w:r>
          </w:p>
          <w:p w:rsidR="00FD54FC" w:rsidRPr="00392FFD" w:rsidRDefault="00FD54FC" w:rsidP="00FD54FC">
            <w:pPr>
              <w:rPr>
                <w:rFonts w:ascii="Times New Roman" w:hAnsi="Times New Roman"/>
                <w:bCs/>
                <w:sz w:val="24"/>
              </w:rPr>
            </w:pPr>
            <w:r>
              <w:rPr>
                <w:rFonts w:ascii="Times New Roman" w:hAnsi="Times New Roman"/>
                <w:sz w:val="24"/>
              </w:rPr>
              <w:t>Institucije, ki izračunajo svojo kapitalsko zahtevo v skladu z BIA, lahko poročajo tiste izgube, za katere poslovno področje ni opredeljeno, samo v vrsticah 910–980.</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0010, 0110, 0210, 0310, 0410, 0510, 0610, 0710, 0810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Število dogodkov (novi dogodki)</w:t>
            </w:r>
          </w:p>
          <w:p w:rsidR="00FD54FC" w:rsidRPr="00392FFD" w:rsidRDefault="00FD54FC" w:rsidP="00FD54FC">
            <w:pPr>
              <w:rPr>
                <w:rFonts w:ascii="Times New Roman" w:hAnsi="Times New Roman"/>
                <w:sz w:val="24"/>
              </w:rPr>
            </w:pPr>
            <w:r>
              <w:rPr>
                <w:rFonts w:ascii="Times New Roman" w:hAnsi="Times New Roman"/>
                <w:sz w:val="24"/>
              </w:rPr>
              <w:t>Število dogodkov je število dogodkov iz naslova operativnega tveganja, za katere so bile bruto izgube obračunane v referenčnem poročevalskem obdobju.</w:t>
            </w:r>
          </w:p>
          <w:p w:rsidR="00FD54FC" w:rsidRPr="00392FFD" w:rsidRDefault="00FD54FC" w:rsidP="00FD54FC">
            <w:pPr>
              <w:rPr>
                <w:rFonts w:ascii="Times New Roman" w:hAnsi="Times New Roman"/>
                <w:sz w:val="24"/>
              </w:rPr>
            </w:pPr>
            <w:r>
              <w:rPr>
                <w:rFonts w:ascii="Times New Roman" w:hAnsi="Times New Roman"/>
                <w:sz w:val="24"/>
              </w:rPr>
              <w:t>Število dogodkov se nanaša na „nove dogodke“, tj. dogodke iz naslova operati</w:t>
            </w:r>
            <w:r>
              <w:rPr>
                <w:rFonts w:ascii="Times New Roman" w:hAnsi="Times New Roman"/>
                <w:sz w:val="24"/>
              </w:rPr>
              <w:t>v</w:t>
            </w:r>
            <w:r>
              <w:rPr>
                <w:rFonts w:ascii="Times New Roman" w:hAnsi="Times New Roman"/>
                <w:sz w:val="24"/>
              </w:rPr>
              <w:t>nega tveganja, ki so</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„prvič obračunani“ v referenčnem poročevalskem obdobju ali</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w:t>
            </w:r>
            <w:proofErr w:type="spellStart"/>
            <w:r>
              <w:rPr>
                <w:rFonts w:ascii="Times New Roman" w:hAnsi="Times New Roman"/>
                <w:sz w:val="24"/>
              </w:rPr>
              <w:t>ii</w:t>
            </w:r>
            <w:proofErr w:type="spellEnd"/>
            <w:r>
              <w:rPr>
                <w:rFonts w:ascii="Times New Roman" w:hAnsi="Times New Roman"/>
                <w:sz w:val="24"/>
              </w:rPr>
              <w:t>)</w:t>
            </w:r>
            <w:r>
              <w:tab/>
            </w:r>
            <w:r>
              <w:rPr>
                <w:rFonts w:ascii="Times New Roman" w:hAnsi="Times New Roman"/>
                <w:sz w:val="24"/>
              </w:rPr>
              <w:t>„prvič obračunani“ v prejšnjem referenčnem poročevalskem obdobju, če dogodek ni bil vključen v nobeno prejšnje poročilo nadzornim organom, npr. ker je bil opredeljen kot dogodek iz naslova operativnega tveganja šele v tekočem referenčnem poročevalskem obdobju ali ker so akumulirane izgube, pripisane zadevnemu dogodku (tj. prvotna izguba plus/minus vse prilagodi</w:t>
            </w:r>
            <w:r>
              <w:rPr>
                <w:rFonts w:ascii="Times New Roman" w:hAnsi="Times New Roman"/>
                <w:sz w:val="24"/>
              </w:rPr>
              <w:t>t</w:t>
            </w:r>
            <w:r>
              <w:rPr>
                <w:rFonts w:ascii="Times New Roman" w:hAnsi="Times New Roman"/>
                <w:sz w:val="24"/>
              </w:rPr>
              <w:t>ve izgub v prejšnjih referenčnih poročevalskih obdobjih), presegle prag za notranje zbiranje podatkov šele v trenutnem referenčnem poročevalskem obdobju.</w:t>
            </w:r>
          </w:p>
          <w:p w:rsidR="00FD54FC" w:rsidRPr="00321A3B" w:rsidRDefault="00FD54FC" w:rsidP="00FD54FC">
            <w:pPr>
              <w:rPr>
                <w:rStyle w:val="InstructionsTabelleberschrift"/>
                <w:rFonts w:ascii="Times New Roman" w:hAnsi="Times New Roman"/>
                <w:sz w:val="24"/>
              </w:rPr>
            </w:pPr>
            <w:r>
              <w:rPr>
                <w:rFonts w:ascii="Times New Roman" w:hAnsi="Times New Roman"/>
                <w:sz w:val="24"/>
              </w:rPr>
              <w:t>„Novi dogodki“ ne vključujejo dogodkov iz naslova operativnega tveganja, ki so bili „prvič obračunani“ v prejšnjem referenčnem poročevalskem obdobju in so bili vključeni že v prejšnja poročila nadzornemu organu.</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 xml:space="preserve">0020, 0120, 0220, 0320, 0420, 0520, 0620, </w:t>
            </w:r>
            <w:r>
              <w:rPr>
                <w:rFonts w:ascii="Times New Roman" w:hAnsi="Times New Roman"/>
                <w:sz w:val="24"/>
              </w:rPr>
              <w:lastRenderedPageBreak/>
              <w:t>0720, 0820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Bruto znesek izgube (novi dogodki)</w:t>
            </w:r>
          </w:p>
          <w:p w:rsidR="00FD54FC" w:rsidRPr="00392FFD" w:rsidRDefault="00FD54FC" w:rsidP="00FD54FC">
            <w:pPr>
              <w:rPr>
                <w:rFonts w:ascii="Times New Roman" w:hAnsi="Times New Roman"/>
                <w:sz w:val="24"/>
              </w:rPr>
            </w:pPr>
            <w:r>
              <w:rPr>
                <w:rFonts w:ascii="Times New Roman" w:hAnsi="Times New Roman"/>
                <w:sz w:val="24"/>
              </w:rPr>
              <w:t>Bruto znesek izgube je bruto znesek izgube, ki se nanaša na dogodke iz naslova operativnega tveganja (npr. neposredne obremenitve, rezervacije, poravnave). Vse izgube, povezane z enim samim dogodkom, ki so obračunane v referenčnem poročevalskem obdobju, se seštejejo in štejejo kot bruto izguba za ta dogodek za to referenčno poročevalsko obdobje.</w:t>
            </w:r>
          </w:p>
          <w:p w:rsidR="00FD54FC" w:rsidRPr="00392FFD" w:rsidRDefault="00FD54FC" w:rsidP="00FD54FC">
            <w:pPr>
              <w:rPr>
                <w:rFonts w:ascii="Times New Roman" w:hAnsi="Times New Roman"/>
                <w:sz w:val="24"/>
              </w:rPr>
            </w:pPr>
            <w:r>
              <w:rPr>
                <w:rFonts w:ascii="Times New Roman" w:hAnsi="Times New Roman"/>
                <w:sz w:val="24"/>
              </w:rPr>
              <w:t xml:space="preserve">Sporočen bruto znesek izgube se nanaša na „nove dogodke“, kot so opredeljeni </w:t>
            </w:r>
            <w:r>
              <w:rPr>
                <w:rFonts w:ascii="Times New Roman" w:hAnsi="Times New Roman"/>
                <w:sz w:val="24"/>
              </w:rPr>
              <w:lastRenderedPageBreak/>
              <w:t>zgoraj. Za dogodke, „prvič obračunane“ v prejšnjem referenčnem poročevalskem obdobju, ki niso bili vključeni v nobeno prejšnje poročilo nadzornemu organu, se skupna akumulirana izguba do referenčnega datuma poročanja (tj. prvotna izguba plus/minus vse prilagoditve izgub v prejšnjih referenčnih poročevalskih obdo</w:t>
            </w:r>
            <w:r>
              <w:rPr>
                <w:rFonts w:ascii="Times New Roman" w:hAnsi="Times New Roman"/>
                <w:sz w:val="24"/>
              </w:rPr>
              <w:t>b</w:t>
            </w:r>
            <w:r>
              <w:rPr>
                <w:rFonts w:ascii="Times New Roman" w:hAnsi="Times New Roman"/>
                <w:sz w:val="24"/>
              </w:rPr>
              <w:t>jih) poroča kot bruto izguba na referenčni datum poročanja.</w:t>
            </w:r>
          </w:p>
          <w:p w:rsidR="00FD54FC" w:rsidRPr="00392FFD" w:rsidRDefault="00FD54FC" w:rsidP="00F52FC6">
            <w:pPr>
              <w:rPr>
                <w:rStyle w:val="InstructionsTabelleberschrift"/>
                <w:rFonts w:ascii="Times New Roman" w:hAnsi="Times New Roman"/>
                <w:sz w:val="24"/>
              </w:rPr>
            </w:pPr>
            <w:r>
              <w:rPr>
                <w:rFonts w:ascii="Times New Roman" w:hAnsi="Times New Roman"/>
                <w:sz w:val="24"/>
              </w:rPr>
              <w:t>Pri zneskih, ki se poročajo, se ne upoštevajo prejete povrnitve.</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lastRenderedPageBreak/>
              <w:t>0030, 0130, 0230, 0330, 0430, 0530, 0630, 0730, 0830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Število škodnih dogodkov, pri katerih se prilagodijo izgube</w:t>
            </w:r>
          </w:p>
          <w:p w:rsidR="00FD54FC" w:rsidRPr="00392FFD" w:rsidRDefault="00FD54FC" w:rsidP="00FD54FC">
            <w:pPr>
              <w:rPr>
                <w:rFonts w:ascii="Times New Roman" w:hAnsi="Times New Roman"/>
                <w:sz w:val="24"/>
              </w:rPr>
            </w:pPr>
            <w:r>
              <w:rPr>
                <w:rFonts w:ascii="Times New Roman" w:hAnsi="Times New Roman"/>
                <w:sz w:val="24"/>
              </w:rPr>
              <w:t xml:space="preserve">Število škodnih dogodkov, pri katerih se prilagodijo izgube, je število dogodkov iz naslova operativnega tveganja, „prvič obračunanih“ v prejšnjih referenčnih poročevalskih obdobjih in že vključenih v prejšnja poročila, za katere so bile izgube prilagojene v trenutnem referenčnem poročevalskem obdobju. </w:t>
            </w:r>
          </w:p>
          <w:p w:rsidR="00FD54FC" w:rsidRPr="00392FFD" w:rsidRDefault="00FD54FC" w:rsidP="00FD54FC">
            <w:pPr>
              <w:rPr>
                <w:b/>
                <w:sz w:val="24"/>
              </w:rPr>
            </w:pPr>
            <w:r>
              <w:rPr>
                <w:rFonts w:ascii="Times New Roman" w:hAnsi="Times New Roman"/>
                <w:sz w:val="24"/>
              </w:rPr>
              <w:t>Če je bila za dogodek v referenčnem poročevalskem obdobju opravljena več kot ena prilagoditev izgube, se seštevek teh prilagoditev izgube šteje kot ena prilag</w:t>
            </w:r>
            <w:r>
              <w:rPr>
                <w:rFonts w:ascii="Times New Roman" w:hAnsi="Times New Roman"/>
                <w:sz w:val="24"/>
              </w:rPr>
              <w:t>o</w:t>
            </w:r>
            <w:r>
              <w:rPr>
                <w:rFonts w:ascii="Times New Roman" w:hAnsi="Times New Roman"/>
                <w:sz w:val="24"/>
              </w:rPr>
              <w:t>ditev v zadevnem obdobju.</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0040, 0140, 0240, 0340, 0440, 0540, 0640, 0740, 0840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Prilagoditve izgube, ki se nanašajo na prejšnja poročevalska obdobja</w:t>
            </w:r>
          </w:p>
          <w:p w:rsidR="00FD54FC" w:rsidRPr="00392FFD" w:rsidRDefault="00FD54FC" w:rsidP="00FD54FC">
            <w:pPr>
              <w:rPr>
                <w:rFonts w:ascii="Times New Roman" w:hAnsi="Times New Roman"/>
                <w:sz w:val="24"/>
              </w:rPr>
            </w:pPr>
            <w:r>
              <w:rPr>
                <w:rFonts w:ascii="Times New Roman" w:hAnsi="Times New Roman"/>
                <w:sz w:val="24"/>
              </w:rPr>
              <w:t>Prilagoditve izgube, ki se nanašajo na prejšnja referenčna poročevalska obdobja so seštevek naslednjih elementov (pozitivnih ali negativnih):</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bruto zneskov izgub, ki se nanašajo na pozitivne prilagoditve izgub v ref</w:t>
            </w:r>
            <w:r>
              <w:rPr>
                <w:rFonts w:ascii="Times New Roman" w:hAnsi="Times New Roman"/>
                <w:sz w:val="24"/>
              </w:rPr>
              <w:t>e</w:t>
            </w:r>
            <w:r>
              <w:rPr>
                <w:rFonts w:ascii="Times New Roman" w:hAnsi="Times New Roman"/>
                <w:sz w:val="24"/>
              </w:rPr>
              <w:t>renčnem poročevalskem obdobju (npr. povečanje rezervacij, povezani ško</w:t>
            </w:r>
            <w:r>
              <w:rPr>
                <w:rFonts w:ascii="Times New Roman" w:hAnsi="Times New Roman"/>
                <w:sz w:val="24"/>
              </w:rPr>
              <w:t>d</w:t>
            </w:r>
            <w:r>
              <w:rPr>
                <w:rFonts w:ascii="Times New Roman" w:hAnsi="Times New Roman"/>
                <w:sz w:val="24"/>
              </w:rPr>
              <w:t>ni dogodki, dodatne poravnave) pri dogodkih iz naslova operativnega tveg</w:t>
            </w:r>
            <w:r>
              <w:rPr>
                <w:rFonts w:ascii="Times New Roman" w:hAnsi="Times New Roman"/>
                <w:sz w:val="24"/>
              </w:rPr>
              <w:t>a</w:t>
            </w:r>
            <w:r>
              <w:rPr>
                <w:rFonts w:ascii="Times New Roman" w:hAnsi="Times New Roman"/>
                <w:sz w:val="24"/>
              </w:rPr>
              <w:t>nja, ki so bili „prvič obračunani“ in sporočeni v prejšnjih referenčnih por</w:t>
            </w:r>
            <w:r>
              <w:rPr>
                <w:rFonts w:ascii="Times New Roman" w:hAnsi="Times New Roman"/>
                <w:sz w:val="24"/>
              </w:rPr>
              <w:t>o</w:t>
            </w:r>
            <w:r>
              <w:rPr>
                <w:rFonts w:ascii="Times New Roman" w:hAnsi="Times New Roman"/>
                <w:sz w:val="24"/>
              </w:rPr>
              <w:t>čevalskih obdobjih;</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w:t>
            </w:r>
            <w:proofErr w:type="spellStart"/>
            <w:r>
              <w:rPr>
                <w:rFonts w:ascii="Times New Roman" w:hAnsi="Times New Roman"/>
                <w:sz w:val="24"/>
              </w:rPr>
              <w:t>ii</w:t>
            </w:r>
            <w:proofErr w:type="spellEnd"/>
            <w:r>
              <w:rPr>
                <w:rFonts w:ascii="Times New Roman" w:hAnsi="Times New Roman"/>
                <w:sz w:val="24"/>
              </w:rPr>
              <w:t>)</w:t>
            </w:r>
            <w:r>
              <w:tab/>
            </w:r>
            <w:r>
              <w:rPr>
                <w:rFonts w:ascii="Times New Roman" w:hAnsi="Times New Roman"/>
                <w:sz w:val="24"/>
              </w:rPr>
              <w:t>bruto zneskov izgub, ki se nanašajo na negativne prilagoditve izgub v ref</w:t>
            </w:r>
            <w:r>
              <w:rPr>
                <w:rFonts w:ascii="Times New Roman" w:hAnsi="Times New Roman"/>
                <w:sz w:val="24"/>
              </w:rPr>
              <w:t>e</w:t>
            </w:r>
            <w:r>
              <w:rPr>
                <w:rFonts w:ascii="Times New Roman" w:hAnsi="Times New Roman"/>
                <w:sz w:val="24"/>
              </w:rPr>
              <w:t xml:space="preserve">renčnem poročevalskem obdobju (npr. zaradi zmanjšanja rezervacij) pri dogodkih iz naslova operativnega tveganja, ki so bili „prvič obračunani“ in sporočeni v prejšnjih referenčnih poročevalskih obdobjih. </w:t>
            </w:r>
          </w:p>
          <w:p w:rsidR="00FD54FC" w:rsidRPr="00392FFD" w:rsidRDefault="00FD54FC" w:rsidP="00FD54FC">
            <w:pPr>
              <w:rPr>
                <w:rFonts w:ascii="Times New Roman" w:hAnsi="Times New Roman"/>
                <w:sz w:val="24"/>
              </w:rPr>
            </w:pPr>
            <w:r>
              <w:rPr>
                <w:rFonts w:ascii="Times New Roman" w:hAnsi="Times New Roman"/>
                <w:sz w:val="24"/>
              </w:rPr>
              <w:t>Če je bila v referenčnem poročevalskem obdobju opravljena več kot ena prilag</w:t>
            </w:r>
            <w:r>
              <w:rPr>
                <w:rFonts w:ascii="Times New Roman" w:hAnsi="Times New Roman"/>
                <w:sz w:val="24"/>
              </w:rPr>
              <w:t>o</w:t>
            </w:r>
            <w:r>
              <w:rPr>
                <w:rFonts w:ascii="Times New Roman" w:hAnsi="Times New Roman"/>
                <w:sz w:val="24"/>
              </w:rPr>
              <w:t>ditev izgube za dogodek, se zneski vseh teh prilagoditev izgube seštejejo, pri čemer se upošteva predznak prilagoditve (pozitivna ali negativna). Ta seštevek se šteje kot prilagoditev izgube za zadevni dogodek za to referenčno poročevalsko obdobje.</w:t>
            </w:r>
          </w:p>
          <w:p w:rsidR="00FD54FC" w:rsidRPr="00392FFD" w:rsidRDefault="00FD54FC" w:rsidP="00FD54FC">
            <w:pPr>
              <w:rPr>
                <w:rFonts w:ascii="Times New Roman" w:hAnsi="Times New Roman"/>
                <w:sz w:val="24"/>
              </w:rPr>
            </w:pPr>
            <w:r>
              <w:rPr>
                <w:rFonts w:ascii="Times New Roman" w:hAnsi="Times New Roman"/>
                <w:sz w:val="24"/>
              </w:rPr>
              <w:t>Če je zaradi negativne prilagoditve izgube prilagojen znesek izgube, ki ga je mogoče pripisati dogodku, pod pragom institucije za notranje zbiranje podatkov, institucija poroča skupni znesek izgube za zadevni dogodek, ki se nabere do za</w:t>
            </w:r>
            <w:r>
              <w:rPr>
                <w:rFonts w:ascii="Times New Roman" w:hAnsi="Times New Roman"/>
                <w:sz w:val="24"/>
              </w:rPr>
              <w:t>d</w:t>
            </w:r>
            <w:r>
              <w:rPr>
                <w:rFonts w:ascii="Times New Roman" w:hAnsi="Times New Roman"/>
                <w:sz w:val="24"/>
              </w:rPr>
              <w:t>njega trenutka, ko se o dogodku poroča na referenčni datum v decembru (tj. prv</w:t>
            </w:r>
            <w:r>
              <w:rPr>
                <w:rFonts w:ascii="Times New Roman" w:hAnsi="Times New Roman"/>
                <w:sz w:val="24"/>
              </w:rPr>
              <w:t>o</w:t>
            </w:r>
            <w:r>
              <w:rPr>
                <w:rFonts w:ascii="Times New Roman" w:hAnsi="Times New Roman"/>
                <w:sz w:val="24"/>
              </w:rPr>
              <w:t>tna izguba plus / minus vse prilagoditve izgube v prejšnjih referenčnih poročeva</w:t>
            </w:r>
            <w:r>
              <w:rPr>
                <w:rFonts w:ascii="Times New Roman" w:hAnsi="Times New Roman"/>
                <w:sz w:val="24"/>
              </w:rPr>
              <w:t>l</w:t>
            </w:r>
            <w:r>
              <w:rPr>
                <w:rFonts w:ascii="Times New Roman" w:hAnsi="Times New Roman"/>
                <w:sz w:val="24"/>
              </w:rPr>
              <w:t>skih obdobjih), z negativnim predznakom namesto zneska same negativne pril</w:t>
            </w:r>
            <w:r>
              <w:rPr>
                <w:rFonts w:ascii="Times New Roman" w:hAnsi="Times New Roman"/>
                <w:sz w:val="24"/>
              </w:rPr>
              <w:t>a</w:t>
            </w:r>
            <w:r>
              <w:rPr>
                <w:rFonts w:ascii="Times New Roman" w:hAnsi="Times New Roman"/>
                <w:sz w:val="24"/>
              </w:rPr>
              <w:t>goditve izgube.</w:t>
            </w:r>
          </w:p>
          <w:p w:rsidR="00FD54FC" w:rsidRPr="00392FFD" w:rsidRDefault="00FD54FC" w:rsidP="00EB62C2">
            <w:pPr>
              <w:rPr>
                <w:b/>
                <w:sz w:val="24"/>
              </w:rPr>
            </w:pPr>
            <w:r>
              <w:rPr>
                <w:rFonts w:ascii="Times New Roman" w:hAnsi="Times New Roman"/>
                <w:sz w:val="24"/>
              </w:rPr>
              <w:t>Pri zneskih, ki se poročajo, se ne upoštevajo prejete povrnitve.</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 xml:space="preserve">0050, 0150, 0250, 0350, </w:t>
            </w:r>
            <w:r>
              <w:rPr>
                <w:rFonts w:ascii="Times New Roman" w:hAnsi="Times New Roman"/>
                <w:sz w:val="24"/>
              </w:rPr>
              <w:lastRenderedPageBreak/>
              <w:t>0450, 0550, 0650, 0750, 0850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Največja posamezna izguba</w:t>
            </w:r>
          </w:p>
          <w:p w:rsidR="00FD54FC" w:rsidRPr="00392FFD" w:rsidRDefault="00FD54FC" w:rsidP="00FD54FC">
            <w:pPr>
              <w:rPr>
                <w:rFonts w:ascii="Times New Roman" w:hAnsi="Times New Roman"/>
                <w:sz w:val="24"/>
              </w:rPr>
            </w:pPr>
            <w:r>
              <w:rPr>
                <w:rFonts w:ascii="Times New Roman" w:hAnsi="Times New Roman"/>
                <w:sz w:val="24"/>
              </w:rPr>
              <w:t>Največja posamezna izguba je večji znesek izmed</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 xml:space="preserve">največjega bruto zneska izgube v zvezi z dogodkom, o katerem se je prvič </w:t>
            </w:r>
            <w:r>
              <w:rPr>
                <w:rFonts w:ascii="Times New Roman" w:hAnsi="Times New Roman"/>
                <w:sz w:val="24"/>
              </w:rPr>
              <w:lastRenderedPageBreak/>
              <w:t>poročalo v referenčnem poročevalskem obdobju, in</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w:t>
            </w:r>
            <w:proofErr w:type="spellStart"/>
            <w:r>
              <w:rPr>
                <w:rFonts w:ascii="Times New Roman" w:hAnsi="Times New Roman"/>
                <w:sz w:val="24"/>
              </w:rPr>
              <w:t>ii</w:t>
            </w:r>
            <w:proofErr w:type="spellEnd"/>
            <w:r>
              <w:rPr>
                <w:rFonts w:ascii="Times New Roman" w:hAnsi="Times New Roman"/>
                <w:sz w:val="24"/>
              </w:rPr>
              <w:t>)</w:t>
            </w:r>
            <w:r>
              <w:tab/>
            </w:r>
            <w:r>
              <w:rPr>
                <w:rFonts w:ascii="Times New Roman" w:hAnsi="Times New Roman"/>
                <w:sz w:val="24"/>
              </w:rPr>
              <w:t>največjega zneska pozitivne prilagoditve izgube (kot je opredeljena zgoraj) v zvezi z dogodkom, o katerem se je prvič poročalo v prejšnjem referenčnem poročevalskem obdobju.</w:t>
            </w:r>
          </w:p>
          <w:p w:rsidR="00FD54FC" w:rsidRPr="00392FFD" w:rsidRDefault="00FD54FC" w:rsidP="00F52FC6">
            <w:pPr>
              <w:rPr>
                <w:sz w:val="24"/>
              </w:rPr>
            </w:pPr>
            <w:r>
              <w:rPr>
                <w:rFonts w:ascii="Times New Roman" w:hAnsi="Times New Roman"/>
                <w:sz w:val="24"/>
              </w:rPr>
              <w:t>Pri zneskih, ki se poročajo, se ne upoštevajo prejete povrnitve.</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lastRenderedPageBreak/>
              <w:t>0060, 0160, 0260, 0360, 0460, 0560, 0660, 0760, 0860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Vsota petih največjih izgub</w:t>
            </w:r>
          </w:p>
          <w:p w:rsidR="00FD54FC" w:rsidRPr="00392FFD" w:rsidRDefault="00FD54FC" w:rsidP="00FD54FC">
            <w:pPr>
              <w:rPr>
                <w:rFonts w:ascii="Times New Roman" w:hAnsi="Times New Roman"/>
                <w:sz w:val="24"/>
              </w:rPr>
            </w:pPr>
            <w:r>
              <w:rPr>
                <w:rFonts w:ascii="Times New Roman" w:hAnsi="Times New Roman"/>
                <w:sz w:val="24"/>
              </w:rPr>
              <w:t>Vsota petih največjih izgub je vsota petih največjih zneskov izmed</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bruto zneskov izgube za dogodke, o katerih se je prvič poročalo v referen</w:t>
            </w:r>
            <w:r>
              <w:rPr>
                <w:rFonts w:ascii="Times New Roman" w:hAnsi="Times New Roman"/>
                <w:sz w:val="24"/>
              </w:rPr>
              <w:t>č</w:t>
            </w:r>
            <w:r>
              <w:rPr>
                <w:rFonts w:ascii="Times New Roman" w:hAnsi="Times New Roman"/>
                <w:sz w:val="24"/>
              </w:rPr>
              <w:t>nem poročevalskem obdobju, in</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w:t>
            </w:r>
            <w:proofErr w:type="spellStart"/>
            <w:r>
              <w:rPr>
                <w:rFonts w:ascii="Times New Roman" w:hAnsi="Times New Roman"/>
                <w:sz w:val="24"/>
              </w:rPr>
              <w:t>ii</w:t>
            </w:r>
            <w:proofErr w:type="spellEnd"/>
            <w:r>
              <w:rPr>
                <w:rFonts w:ascii="Times New Roman" w:hAnsi="Times New Roman"/>
                <w:sz w:val="24"/>
              </w:rPr>
              <w:t>)</w:t>
            </w:r>
            <w:r>
              <w:tab/>
            </w:r>
            <w:r>
              <w:rPr>
                <w:rFonts w:ascii="Times New Roman" w:hAnsi="Times New Roman"/>
                <w:sz w:val="24"/>
              </w:rPr>
              <w:t>zneskov pozitivne prilagoditve izgube (kot je opredeljena za vrstice 040, 140, …, 840 zgoraj) v zvezi z dogodki, o katerih se je prvič poročalo v pre</w:t>
            </w:r>
            <w:r>
              <w:rPr>
                <w:rFonts w:ascii="Times New Roman" w:hAnsi="Times New Roman"/>
                <w:sz w:val="24"/>
              </w:rPr>
              <w:t>j</w:t>
            </w:r>
            <w:r>
              <w:rPr>
                <w:rFonts w:ascii="Times New Roman" w:hAnsi="Times New Roman"/>
                <w:sz w:val="24"/>
              </w:rPr>
              <w:t>šnjem referenčnem poročevalskem obdobju. Znesek, ki se lahko šteje kot eden od petih največjih, je znesek same prilagoditve izgube in ne skupna izguba, povezana z zadevnim dogodkom pred prilagoditvijo izgube ali po njej.</w:t>
            </w:r>
          </w:p>
          <w:p w:rsidR="00FD54FC" w:rsidRPr="00392FFD" w:rsidRDefault="00FD54FC" w:rsidP="00F52FC6">
            <w:pPr>
              <w:rPr>
                <w:sz w:val="24"/>
              </w:rPr>
            </w:pPr>
            <w:r>
              <w:rPr>
                <w:rFonts w:ascii="Times New Roman" w:hAnsi="Times New Roman"/>
                <w:sz w:val="24"/>
              </w:rPr>
              <w:t>Pri zneskih, ki se poročajo, se ne upoštevajo prejete povrnitve.</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0070, 0170, 0270, 0370, 0470, 0570, 0670, 0770, 0870</w:t>
            </w:r>
          </w:p>
        </w:tc>
        <w:tc>
          <w:tcPr>
            <w:tcW w:w="8079" w:type="dxa"/>
          </w:tcPr>
          <w:p w:rsidR="00FD54FC" w:rsidRPr="00392FFD" w:rsidRDefault="00B34B0B" w:rsidP="00FD54FC">
            <w:pPr>
              <w:rPr>
                <w:sz w:val="24"/>
              </w:rPr>
            </w:pPr>
            <w:r>
              <w:rPr>
                <w:rStyle w:val="InstructionsTabelleberschrift"/>
                <w:rFonts w:ascii="Times New Roman" w:hAnsi="Times New Roman"/>
                <w:sz w:val="24"/>
              </w:rPr>
              <w:t>Neposredno povrnjena izguba skupaj</w:t>
            </w:r>
          </w:p>
          <w:p w:rsidR="00FD54FC" w:rsidRPr="00392FFD" w:rsidRDefault="00FD54FC" w:rsidP="00FD54FC">
            <w:pPr>
              <w:rPr>
                <w:rFonts w:ascii="Times New Roman" w:hAnsi="Times New Roman"/>
                <w:sz w:val="24"/>
              </w:rPr>
            </w:pPr>
            <w:r>
              <w:rPr>
                <w:rFonts w:ascii="Times New Roman" w:hAnsi="Times New Roman"/>
                <w:sz w:val="24"/>
              </w:rPr>
              <w:t xml:space="preserve">Neposredne povrnitve so vse prejete povrnitve, razen tistih, za katere velja člen 323 CRR, kot je poročano v vrstici spodaj. </w:t>
            </w:r>
          </w:p>
          <w:p w:rsidR="00FD54FC" w:rsidRPr="00392FFD" w:rsidRDefault="00FD54FC" w:rsidP="00FD54FC">
            <w:pPr>
              <w:rPr>
                <w:b/>
                <w:sz w:val="24"/>
              </w:rPr>
            </w:pPr>
            <w:r>
              <w:rPr>
                <w:rFonts w:ascii="Times New Roman" w:hAnsi="Times New Roman"/>
                <w:sz w:val="24"/>
              </w:rPr>
              <w:t>Neposredna povrnitev izgube skupaj je vsota vseh neposrednih povrnitev in pr</w:t>
            </w:r>
            <w:r>
              <w:rPr>
                <w:rFonts w:ascii="Times New Roman" w:hAnsi="Times New Roman"/>
                <w:sz w:val="24"/>
              </w:rPr>
              <w:t>i</w:t>
            </w:r>
            <w:r>
              <w:rPr>
                <w:rFonts w:ascii="Times New Roman" w:hAnsi="Times New Roman"/>
                <w:sz w:val="24"/>
              </w:rPr>
              <w:t>lagoditev neposrednih povrnitev, obračunanih v poročevalskem obdobju in ki se nanašajo na dogodke iz naslova operativnega tveganja, ki so bili prvič obračunani v referenčnem poročevalskem obdobju ali v prejšnjih referenčnih poročevalskih obdobjih.</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0080, 0180, 0280, 0380, 0480, 0580, 0680, 0780, 0880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Povrnitve iz zavarovanja in drugih mehanizmov za prenos tveganja skupaj</w:t>
            </w:r>
          </w:p>
          <w:p w:rsidR="00FD54FC" w:rsidRPr="00392FFD" w:rsidRDefault="00FD54FC" w:rsidP="00FD54FC">
            <w:pPr>
              <w:rPr>
                <w:rFonts w:ascii="Times New Roman" w:hAnsi="Times New Roman"/>
                <w:sz w:val="24"/>
              </w:rPr>
            </w:pPr>
            <w:r>
              <w:rPr>
                <w:rFonts w:ascii="Times New Roman" w:hAnsi="Times New Roman"/>
                <w:sz w:val="24"/>
              </w:rPr>
              <w:t>Povrnitve iz zavarovanja in drugih mehanizmov za prenos tveganja so tiste pov</w:t>
            </w:r>
            <w:r>
              <w:rPr>
                <w:rFonts w:ascii="Times New Roman" w:hAnsi="Times New Roman"/>
                <w:sz w:val="24"/>
              </w:rPr>
              <w:t>r</w:t>
            </w:r>
            <w:r>
              <w:rPr>
                <w:rFonts w:ascii="Times New Roman" w:hAnsi="Times New Roman"/>
                <w:sz w:val="24"/>
              </w:rPr>
              <w:t xml:space="preserve">nitve, za katere velja člen 323 CRR. </w:t>
            </w:r>
          </w:p>
          <w:p w:rsidR="00FD54FC" w:rsidRPr="00392FFD" w:rsidRDefault="00FD54FC" w:rsidP="00070AF9">
            <w:pPr>
              <w:rPr>
                <w:sz w:val="24"/>
              </w:rPr>
            </w:pPr>
            <w:r>
              <w:rPr>
                <w:rFonts w:ascii="Times New Roman" w:hAnsi="Times New Roman"/>
                <w:sz w:val="24"/>
              </w:rPr>
              <w:t>Skupna povrnitev iz zavarovanja in drugih mehanizmov za prenos tveganja je vsota vseh povrnitev iz zavarovanja in drugih mehanizmov za prenos tveganja ter prilagoditev takšnih povrnitev, obračunanih v referenčnem poročevalskem obd</w:t>
            </w:r>
            <w:r>
              <w:rPr>
                <w:rFonts w:ascii="Times New Roman" w:hAnsi="Times New Roman"/>
                <w:sz w:val="24"/>
              </w:rPr>
              <w:t>o</w:t>
            </w:r>
            <w:r>
              <w:rPr>
                <w:rFonts w:ascii="Times New Roman" w:hAnsi="Times New Roman"/>
                <w:sz w:val="24"/>
              </w:rPr>
              <w:t>bju in ki se nanašajo na dogodke iz naslova operativnega tveganja, ki so bili prvič obračunani v referenčnem poročevalskem obdobju ali v prejšnjih referenčnih poročevalskih obdobjih.</w:t>
            </w:r>
          </w:p>
        </w:tc>
      </w:tr>
      <w:tr w:rsidR="00FD54FC" w:rsidRPr="00392FFD" w:rsidTr="00672D2A">
        <w:tc>
          <w:tcPr>
            <w:tcW w:w="1101" w:type="dxa"/>
          </w:tcPr>
          <w:p w:rsidR="00FD54FC" w:rsidRPr="00392FFD" w:rsidRDefault="00C93FC2" w:rsidP="000F70EC">
            <w:pPr>
              <w:rPr>
                <w:rFonts w:ascii="Times New Roman" w:hAnsi="Times New Roman"/>
                <w:bCs/>
                <w:sz w:val="24"/>
              </w:rPr>
            </w:pPr>
            <w:r>
              <w:rPr>
                <w:rFonts w:ascii="Times New Roman" w:hAnsi="Times New Roman"/>
                <w:sz w:val="24"/>
              </w:rPr>
              <w:t>0910–0980</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POSLOVNA PODROČJA SKUPAJ</w:t>
            </w:r>
          </w:p>
          <w:p w:rsidR="00FD54FC" w:rsidRPr="00392FFD" w:rsidRDefault="00FD54FC" w:rsidP="00FD54FC">
            <w:pPr>
              <w:rPr>
                <w:rFonts w:ascii="Times New Roman" w:hAnsi="Times New Roman"/>
                <w:sz w:val="24"/>
              </w:rPr>
            </w:pPr>
            <w:r>
              <w:rPr>
                <w:rFonts w:ascii="Times New Roman" w:hAnsi="Times New Roman"/>
                <w:sz w:val="24"/>
              </w:rPr>
              <w:t>Za vsako vrsto dogodka (stolpci 010 do 080) je treba sporočiti informacije (člen 322(3)(b), (c) in (e) CRR) o poslovnih področjih skupaj.</w:t>
            </w:r>
          </w:p>
        </w:tc>
      </w:tr>
      <w:tr w:rsidR="00FD54FC" w:rsidRPr="00392FFD" w:rsidTr="00672D2A">
        <w:tc>
          <w:tcPr>
            <w:tcW w:w="1101" w:type="dxa"/>
          </w:tcPr>
          <w:p w:rsidR="00FD54FC" w:rsidRPr="00392FFD" w:rsidRDefault="00C93FC2" w:rsidP="000F70EC">
            <w:pPr>
              <w:rPr>
                <w:rFonts w:ascii="Times New Roman" w:hAnsi="Times New Roman"/>
                <w:bCs/>
                <w:sz w:val="24"/>
              </w:rPr>
            </w:pPr>
            <w:r>
              <w:rPr>
                <w:rFonts w:ascii="Times New Roman" w:hAnsi="Times New Roman"/>
                <w:sz w:val="24"/>
              </w:rPr>
              <w:t>0910–0914</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Število dogodkov</w:t>
            </w:r>
          </w:p>
          <w:p w:rsidR="00FD54FC" w:rsidRPr="00392FFD" w:rsidRDefault="00FD54FC" w:rsidP="00FD54FC">
            <w:pPr>
              <w:rPr>
                <w:rFonts w:ascii="Times New Roman" w:hAnsi="Times New Roman"/>
                <w:sz w:val="24"/>
              </w:rPr>
            </w:pPr>
            <w:r>
              <w:rPr>
                <w:rFonts w:ascii="Times New Roman" w:hAnsi="Times New Roman"/>
                <w:sz w:val="24"/>
              </w:rPr>
              <w:t>V vrstici 910 se poroča število dogodkov nad notranjo mejo po vrstah dogodkov za poslovna področja skupaj. To število je lahko nižje od seštevka števila dogo</w:t>
            </w:r>
            <w:r>
              <w:rPr>
                <w:rFonts w:ascii="Times New Roman" w:hAnsi="Times New Roman"/>
                <w:sz w:val="24"/>
              </w:rPr>
              <w:t>d</w:t>
            </w:r>
            <w:r>
              <w:rPr>
                <w:rFonts w:ascii="Times New Roman" w:hAnsi="Times New Roman"/>
                <w:sz w:val="24"/>
              </w:rPr>
              <w:t>kov po poslovnih področjih, saj se dogodki z več učinki (učinki v različnih po</w:t>
            </w:r>
            <w:r>
              <w:rPr>
                <w:rFonts w:ascii="Times New Roman" w:hAnsi="Times New Roman"/>
                <w:sz w:val="24"/>
              </w:rPr>
              <w:t>s</w:t>
            </w:r>
            <w:r>
              <w:rPr>
                <w:rFonts w:ascii="Times New Roman" w:hAnsi="Times New Roman"/>
                <w:sz w:val="24"/>
              </w:rPr>
              <w:lastRenderedPageBreak/>
              <w:t>lovnih področjih) obravnavajo kot en dogodek. Lahko je višje, če institucija, ki izračunava svoje kapitalske zahteve v skladu z BIA, ne more opredeliti poslovnih področij, ki jih izguba prizadene, za vsak primer.</w:t>
            </w:r>
          </w:p>
          <w:p w:rsidR="00FD54FC" w:rsidRPr="00392FFD" w:rsidRDefault="00FD54FC" w:rsidP="00FD54FC">
            <w:pPr>
              <w:rPr>
                <w:rFonts w:ascii="Times New Roman" w:hAnsi="Times New Roman"/>
                <w:sz w:val="24"/>
              </w:rPr>
            </w:pPr>
            <w:r>
              <w:rPr>
                <w:rFonts w:ascii="Times New Roman" w:hAnsi="Times New Roman"/>
                <w:sz w:val="24"/>
              </w:rPr>
              <w:t>V vrsticah 911–914 se poroča število dogodkov z bruto zneskom izgube v razp</w:t>
            </w:r>
            <w:r>
              <w:rPr>
                <w:rFonts w:ascii="Times New Roman" w:hAnsi="Times New Roman"/>
                <w:sz w:val="24"/>
              </w:rPr>
              <w:t>o</w:t>
            </w:r>
            <w:r>
              <w:rPr>
                <w:rFonts w:ascii="Times New Roman" w:hAnsi="Times New Roman"/>
                <w:sz w:val="24"/>
              </w:rPr>
              <w:t>nih, opredeljenih v pripadajočih vrsticah.</w:t>
            </w:r>
          </w:p>
          <w:p w:rsidR="00FD54FC" w:rsidRPr="00392FFD" w:rsidRDefault="00FD54FC" w:rsidP="00FD54FC">
            <w:pPr>
              <w:rPr>
                <w:rFonts w:ascii="Times New Roman" w:hAnsi="Times New Roman"/>
                <w:sz w:val="24"/>
              </w:rPr>
            </w:pPr>
            <w:r>
              <w:rPr>
                <w:rFonts w:ascii="Times New Roman" w:hAnsi="Times New Roman"/>
                <w:sz w:val="24"/>
              </w:rPr>
              <w:t>Če je institucija vse svoje izgube pripisala poslovnemu področju iz razpredelnice 2 v členu 317(4) CRR oziroma poslovnemu področju „Korporativne postavke“ iz člena 322(3)(b) CRR in je opredelila vrste dogodka za vse izgube, za stolpec 080 velja naslednje:</w:t>
            </w:r>
          </w:p>
          <w:p w:rsidR="00FD54FC" w:rsidRPr="00392FFD"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Skupno število dogodkov, ki se poročajo v vrsticah 910 do 914, je enako horizontalnemu seštevku števila dogodkov v zadevni vrstici, saj so se v teh številkah dogodki z učinki na različnih poslovnih področjih že šteli kot en dogodek.</w:t>
            </w:r>
          </w:p>
          <w:p w:rsidR="00FD54FC" w:rsidRPr="00392FFD" w:rsidRDefault="00125707" w:rsidP="0023700C">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tab/>
            </w:r>
            <w:r>
              <w:rPr>
                <w:rFonts w:ascii="Times New Roman" w:hAnsi="Times New Roman"/>
                <w:sz w:val="24"/>
              </w:rPr>
              <w:t>Število, ki se poroča v stolpcu 080, vrstica 910, ni nujno enako vertikalnemu seštevku števila dogodkov, ki so vključeni v stolpec 080, saj ima lahko en dogodek hkrati učinek na različna poslovna področja.</w:t>
            </w:r>
          </w:p>
        </w:tc>
      </w:tr>
      <w:tr w:rsidR="00FD54FC" w:rsidRPr="00392FFD" w:rsidTr="00672D2A">
        <w:tc>
          <w:tcPr>
            <w:tcW w:w="1101" w:type="dxa"/>
          </w:tcPr>
          <w:p w:rsidR="00FD54FC" w:rsidRPr="00392FFD" w:rsidRDefault="00C93FC2" w:rsidP="000F70EC">
            <w:pPr>
              <w:rPr>
                <w:rFonts w:ascii="Times New Roman" w:hAnsi="Times New Roman"/>
                <w:bCs/>
                <w:sz w:val="24"/>
              </w:rPr>
            </w:pPr>
            <w:r>
              <w:rPr>
                <w:rFonts w:ascii="Times New Roman" w:hAnsi="Times New Roman"/>
                <w:sz w:val="24"/>
              </w:rPr>
              <w:lastRenderedPageBreak/>
              <w:t>0920–0924</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znesek izgube (novi dogodki)</w:t>
            </w:r>
          </w:p>
          <w:p w:rsidR="00FD54FC" w:rsidRPr="00392FFD" w:rsidRDefault="00FD54FC" w:rsidP="00FD54FC">
            <w:pPr>
              <w:rPr>
                <w:rFonts w:ascii="Times New Roman" w:hAnsi="Times New Roman"/>
                <w:sz w:val="24"/>
              </w:rPr>
            </w:pPr>
            <w:r>
              <w:rPr>
                <w:rFonts w:ascii="Times New Roman" w:hAnsi="Times New Roman"/>
                <w:sz w:val="24"/>
              </w:rPr>
              <w:t xml:space="preserve">Če je institucija vse svoje izgube pripisala poslovnemu področju iz razpredelnice 2 v členu 317(4) CRR ali poslovnemu področju „Korporativne postavke“ iz člena 322(3)(b) CRR, je bruto znesek izgube (novi dogodki), ki se poroča v vrstici 920, enostaven seštevek bruto zneskov izgube novih dogodkov za vsako poslovno področje. </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V vrsticah 921–924 se poroča bruto znesek izgube za dogodke z bruto zneskom izgube v razponih, opredeljenih v pripadajočih vrsticah.</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0930, 0935, 0936</w:t>
            </w:r>
          </w:p>
        </w:tc>
        <w:tc>
          <w:tcPr>
            <w:tcW w:w="8079" w:type="dxa"/>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Število škodnih dogodkov, pri katerih se prilagodijo izgube</w:t>
            </w:r>
          </w:p>
          <w:p w:rsidR="00FD54FC" w:rsidRPr="00392FFD" w:rsidRDefault="00FD54FC" w:rsidP="00FD54FC">
            <w:pPr>
              <w:rPr>
                <w:rFonts w:ascii="Times New Roman" w:hAnsi="Times New Roman"/>
                <w:sz w:val="24"/>
              </w:rPr>
            </w:pPr>
            <w:r>
              <w:rPr>
                <w:rFonts w:ascii="Times New Roman" w:hAnsi="Times New Roman"/>
                <w:sz w:val="24"/>
              </w:rPr>
              <w:t>V vrstici 930 se poroča skupno število dogodkov, za katere veljajo prilagoditve izgube, kot so opredeljene za vrstice 030, 130, …, 830. To število je lahko nižje od seštevka števila dogodkov, za katere se izvede prilagoditev izgube po poslo</w:t>
            </w:r>
            <w:r>
              <w:rPr>
                <w:rFonts w:ascii="Times New Roman" w:hAnsi="Times New Roman"/>
                <w:sz w:val="24"/>
              </w:rPr>
              <w:t>v</w:t>
            </w:r>
            <w:r>
              <w:rPr>
                <w:rFonts w:ascii="Times New Roman" w:hAnsi="Times New Roman"/>
                <w:sz w:val="24"/>
              </w:rPr>
              <w:t>nih področjih, saj se dogodki z več vplivi (vplivi na različnih poslovnih podro</w:t>
            </w:r>
            <w:r>
              <w:rPr>
                <w:rFonts w:ascii="Times New Roman" w:hAnsi="Times New Roman"/>
                <w:sz w:val="24"/>
              </w:rPr>
              <w:t>č</w:t>
            </w:r>
            <w:r>
              <w:rPr>
                <w:rFonts w:ascii="Times New Roman" w:hAnsi="Times New Roman"/>
                <w:sz w:val="24"/>
              </w:rPr>
              <w:t>jih) štejejo kot en dogodek. Lahko je višje, če institucija, ki izračunava svoje kapitalske zahteve v skladu z BIA, ne more opredeliti poslovnih področij, ki jih izguba prizadene, za vsak primer.</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Število škodnih dogodkov, pri katerih se izvede prilagoditev izgube, se razčleni na število dogodkov, za katere se je v referenčnem poročevalskem obdobju izv</w:t>
            </w:r>
            <w:r>
              <w:rPr>
                <w:rFonts w:ascii="Times New Roman" w:hAnsi="Times New Roman"/>
                <w:sz w:val="24"/>
              </w:rPr>
              <w:t>e</w:t>
            </w:r>
            <w:r>
              <w:rPr>
                <w:rFonts w:ascii="Times New Roman" w:hAnsi="Times New Roman"/>
                <w:sz w:val="24"/>
              </w:rPr>
              <w:t>dla pozitivna prilagoditev izgube, in število dogodkov, za katere se je v poroč</w:t>
            </w:r>
            <w:r>
              <w:rPr>
                <w:rFonts w:ascii="Times New Roman" w:hAnsi="Times New Roman"/>
                <w:sz w:val="24"/>
              </w:rPr>
              <w:t>e</w:t>
            </w:r>
            <w:r>
              <w:rPr>
                <w:rFonts w:ascii="Times New Roman" w:hAnsi="Times New Roman"/>
                <w:sz w:val="24"/>
              </w:rPr>
              <w:t>valskem obdobju izvedla negativna prilagoditev izgube (vse se poročajo s pozit</w:t>
            </w:r>
            <w:r>
              <w:rPr>
                <w:rFonts w:ascii="Times New Roman" w:hAnsi="Times New Roman"/>
                <w:sz w:val="24"/>
              </w:rPr>
              <w:t>i</w:t>
            </w:r>
            <w:r>
              <w:rPr>
                <w:rFonts w:ascii="Times New Roman" w:hAnsi="Times New Roman"/>
                <w:sz w:val="24"/>
              </w:rPr>
              <w:t>vnim predznakom).</w:t>
            </w:r>
          </w:p>
        </w:tc>
      </w:tr>
      <w:tr w:rsidR="00FD54FC" w:rsidRPr="00392FFD" w:rsidTr="00672D2A">
        <w:tc>
          <w:tcPr>
            <w:tcW w:w="1101" w:type="dxa"/>
          </w:tcPr>
          <w:p w:rsidR="00FD54FC" w:rsidRPr="00392FFD" w:rsidRDefault="00C93FC2" w:rsidP="00FD54FC">
            <w:pPr>
              <w:rPr>
                <w:rFonts w:ascii="Times New Roman" w:hAnsi="Times New Roman"/>
                <w:sz w:val="24"/>
              </w:rPr>
            </w:pPr>
            <w:r>
              <w:rPr>
                <w:rFonts w:ascii="Times New Roman" w:hAnsi="Times New Roman"/>
                <w:sz w:val="24"/>
              </w:rPr>
              <w:t>0940, 0945, 0946</w:t>
            </w:r>
          </w:p>
        </w:tc>
        <w:tc>
          <w:tcPr>
            <w:tcW w:w="8079" w:type="dxa"/>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Prilagoditve izgube, ki se nanašajo na prejšnja poročevalska obdobja</w:t>
            </w:r>
          </w:p>
          <w:p w:rsidR="00FD54FC" w:rsidRPr="00392FFD" w:rsidRDefault="00FD54FC" w:rsidP="00FD54FC">
            <w:pPr>
              <w:rPr>
                <w:rFonts w:ascii="Times New Roman" w:hAnsi="Times New Roman"/>
                <w:sz w:val="24"/>
              </w:rPr>
            </w:pPr>
            <w:r>
              <w:rPr>
                <w:rFonts w:ascii="Times New Roman" w:hAnsi="Times New Roman"/>
                <w:sz w:val="24"/>
              </w:rPr>
              <w:t>V vrstici 940 se poročajo skupni zneski prilagoditve izgube v zvezi s prejšnjimi poročevalskimi obdobji po poslovnih področjih (kot je opredeljeno za vrstice 040, 140, …, 840). Če je institucija vse svoje izgube pripisala poslovnemu po</w:t>
            </w:r>
            <w:r>
              <w:rPr>
                <w:rFonts w:ascii="Times New Roman" w:hAnsi="Times New Roman"/>
                <w:sz w:val="24"/>
              </w:rPr>
              <w:t>d</w:t>
            </w:r>
            <w:r>
              <w:rPr>
                <w:rFonts w:ascii="Times New Roman" w:hAnsi="Times New Roman"/>
                <w:sz w:val="24"/>
              </w:rPr>
              <w:t>ročju iz razpredelnice 2 v členu 317(4) CRR ali poslovnemu področju „Korpor</w:t>
            </w:r>
            <w:r>
              <w:rPr>
                <w:rFonts w:ascii="Times New Roman" w:hAnsi="Times New Roman"/>
                <w:sz w:val="24"/>
              </w:rPr>
              <w:t>a</w:t>
            </w:r>
            <w:r>
              <w:rPr>
                <w:rFonts w:ascii="Times New Roman" w:hAnsi="Times New Roman"/>
                <w:sz w:val="24"/>
              </w:rPr>
              <w:t xml:space="preserve">tivne postavke“ iz člena 322(3)(b) CRR, je znesek, ki se poroča v vrstici 940, </w:t>
            </w:r>
            <w:r>
              <w:rPr>
                <w:rFonts w:ascii="Times New Roman" w:hAnsi="Times New Roman"/>
                <w:sz w:val="24"/>
              </w:rPr>
              <w:lastRenderedPageBreak/>
              <w:t>enostaven seštevek prilagoditev izgub, ki se nanašajo na prejšnja poročevalska obdobja in so bile poročane za različna poslovna področja.</w:t>
            </w:r>
          </w:p>
          <w:p w:rsidR="00FD54FC" w:rsidRPr="00392FFD" w:rsidRDefault="00FD54FC" w:rsidP="00070AF9">
            <w:pPr>
              <w:rPr>
                <w:sz w:val="24"/>
              </w:rPr>
            </w:pPr>
            <w:r>
              <w:rPr>
                <w:rFonts w:ascii="Times New Roman" w:hAnsi="Times New Roman"/>
                <w:sz w:val="24"/>
              </w:rPr>
              <w:t>Znesek prilagoditev izgube se razčleni na znesek, povezan z dogodki, za katere je bila v referenčnem poročevalskem obdobju izvedena pozitivna prilagoditev izg</w:t>
            </w:r>
            <w:r>
              <w:rPr>
                <w:rFonts w:ascii="Times New Roman" w:hAnsi="Times New Roman"/>
                <w:sz w:val="24"/>
              </w:rPr>
              <w:t>u</w:t>
            </w:r>
            <w:r>
              <w:rPr>
                <w:rFonts w:ascii="Times New Roman" w:hAnsi="Times New Roman"/>
                <w:sz w:val="24"/>
              </w:rPr>
              <w:t>be (vrstica 945, poročan kot pozitivna številka), in znesek, povezan z dogodki, za katere je bila v poročevalskem obdobju izvedena negativna prilagoditev izgube (vrstica 946, poročan kot negativna številka). Če je zaradi negativne prilagoditve izgube prilagojeni znesek izgube, ki ja je mogoče pripisati dogodku, pod pragom institucije za notranje zbiranje podatkov, institucija poroča skupni znesek izgube za zadevni dogodek, ki se nabere do zadnjega trenutka, ko se o dogodku poroča na referenčni datum v decembru (tj. prvotna izguba plus / minus vse prilagoditve izgube v prejšnjih referenčnih poročevalskih obdobjih), z negativnim predzn</w:t>
            </w:r>
            <w:r>
              <w:rPr>
                <w:rFonts w:ascii="Times New Roman" w:hAnsi="Times New Roman"/>
                <w:sz w:val="24"/>
              </w:rPr>
              <w:t>a</w:t>
            </w:r>
            <w:r>
              <w:rPr>
                <w:rFonts w:ascii="Times New Roman" w:hAnsi="Times New Roman"/>
                <w:sz w:val="24"/>
              </w:rPr>
              <w:t>kom v vrstici 946 namesto zneska same negativne prilagoditve izgube.</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417984" w:rsidRDefault="00C93FC2" w:rsidP="00FD54FC">
            <w:pPr>
              <w:rPr>
                <w:rFonts w:ascii="Times New Roman" w:hAnsi="Times New Roman"/>
                <w:sz w:val="24"/>
              </w:rPr>
            </w:pPr>
            <w:r>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rsidR="00FD54FC" w:rsidRPr="00417984"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Največja posamezna izguba</w:t>
            </w:r>
          </w:p>
          <w:p w:rsidR="00FD54FC" w:rsidRPr="00392FFD" w:rsidRDefault="00FD54FC" w:rsidP="00FD54FC">
            <w:pPr>
              <w:rPr>
                <w:rFonts w:ascii="Times New Roman" w:hAnsi="Times New Roman"/>
                <w:sz w:val="24"/>
              </w:rPr>
            </w:pPr>
            <w:r>
              <w:rPr>
                <w:rFonts w:ascii="Times New Roman" w:hAnsi="Times New Roman"/>
                <w:sz w:val="24"/>
              </w:rPr>
              <w:t>Če je institucija vse svoje izgube pripisala poslovnemu področju iz razpredelnice 2 v členu 317(4) CRR ali poslovnemu področju „Korporativne postavke“ iz člena 322(3)(b) CRR, je največja posamezna izguba največja izguba nad notranjo mejo za vsako vrsto dogodka in med vsemi poslovnimi področji. Ti zneski so lahko višji od najvišje posamezne izgube, zabeležene v vsakem poslovnem področju, če dogodek vpliva na različna poslovna področja.</w:t>
            </w:r>
          </w:p>
          <w:p w:rsidR="00FD54FC" w:rsidRPr="00392FFD" w:rsidRDefault="00FD54FC" w:rsidP="00FD54FC">
            <w:pPr>
              <w:rPr>
                <w:rFonts w:ascii="Times New Roman" w:hAnsi="Times New Roman"/>
                <w:sz w:val="24"/>
              </w:rPr>
            </w:pPr>
            <w:r>
              <w:rPr>
                <w:rFonts w:ascii="Times New Roman" w:hAnsi="Times New Roman"/>
                <w:sz w:val="24"/>
              </w:rPr>
              <w:t>Če je institucija vse svoje izgube pripisala poslovnemu področju iz razpredelnice 2 v členu 317(4) CRR oziroma poslovnemu področju „Korporativne postavke“ iz člena 322(3)(b) CRR in je opredelila vrste dogodka za vse izgube, za stolpec 080 velja naslednje:</w:t>
            </w:r>
          </w:p>
          <w:p w:rsidR="00FD54FC" w:rsidRPr="00392FFD" w:rsidRDefault="00125707" w:rsidP="0023700C">
            <w:pPr>
              <w:ind w:left="360" w:hanging="360"/>
              <w:rPr>
                <w:rFonts w:ascii="Times New Roman" w:hAnsi="Times New Roman"/>
                <w:b/>
                <w:bCs/>
                <w:sz w:val="24"/>
                <w:u w:val="single"/>
              </w:rPr>
            </w:pPr>
            <w:r>
              <w:rPr>
                <w:rFonts w:ascii="Times New Roman" w:hAnsi="Times New Roman"/>
                <w:sz w:val="24"/>
              </w:rPr>
              <w:t>–</w:t>
            </w:r>
            <w:r>
              <w:tab/>
            </w:r>
            <w:r>
              <w:rPr>
                <w:rFonts w:ascii="Times New Roman" w:hAnsi="Times New Roman"/>
                <w:sz w:val="24"/>
              </w:rPr>
              <w:t>Največja posamezna izguba, ki se poroča, je enaka najvišjim vrednostim, ki se poročajo v stolpcih 010–070 te vrstice.</w:t>
            </w:r>
          </w:p>
          <w:p w:rsidR="00FD54FC" w:rsidRPr="00392FFD"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tab/>
            </w:r>
            <w:r>
              <w:rPr>
                <w:rFonts w:ascii="Times New Roman" w:hAnsi="Times New Roman"/>
                <w:sz w:val="24"/>
              </w:rPr>
              <w:t xml:space="preserve">V primeru dogodkov, ki imajo vpliv na različna poslovna področja, je znesek, ki se poroča v {v950, s080}, lahko višji od zneskov „največje posamezne izgube“ na poslovno področje, ki se poroča v drugih vrsticah stolpca 080. </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Vsota petih največjih izgub</w:t>
            </w:r>
          </w:p>
          <w:p w:rsidR="00FD54FC" w:rsidRPr="00392FFD" w:rsidRDefault="00FD54FC" w:rsidP="00FD54FC">
            <w:pPr>
              <w:rPr>
                <w:rFonts w:ascii="Times New Roman" w:hAnsi="Times New Roman"/>
                <w:sz w:val="24"/>
              </w:rPr>
            </w:pPr>
            <w:r>
              <w:rPr>
                <w:rFonts w:ascii="Times New Roman" w:hAnsi="Times New Roman"/>
                <w:sz w:val="24"/>
              </w:rPr>
              <w:t xml:space="preserve">Poroča se vsota petih največjih bruto izgub za vsako vrsto dogodka in med vsemi poslovnimi področji. Ta vsota je lahko višja od najvišje vsote petih največjih izgub, zabeleženih v vsakem poslovnem področju. To vsoto je treba poročati ne glede na število izgub. </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Če je institucija vse svoje izgube pripisala poslovnemu področju iz razpredelnice 2 v členu 317(4) CRR oziroma poslovnemu področju „Korporativne postavke“ iz člena 322(3)(b) CRR in je opredelila vrste dogodkov za vse izgube, je v stolpcu 080 vsota petih največjih izgub vsota petih največjih izgub v celoti matriki, kar pomeni, da ni nujno enaka najvišji vrednosti „vsote petih največjih izgub“ v vr</w:t>
            </w:r>
            <w:r>
              <w:rPr>
                <w:rFonts w:ascii="Times New Roman" w:hAnsi="Times New Roman"/>
                <w:sz w:val="24"/>
              </w:rPr>
              <w:t>s</w:t>
            </w:r>
            <w:r>
              <w:rPr>
                <w:rFonts w:ascii="Times New Roman" w:hAnsi="Times New Roman"/>
                <w:sz w:val="24"/>
              </w:rPr>
              <w:t>tici 960 niti največji vrednosti „vsote petih največjih izgub“ v stolpcu 080.</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Neposredno povrnjena izguba skupaj</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Če je institucija vse svoje izgube pripisala poslovnemu področju iz razpredelnice 2 v členu 317(4) CRR ali poslovnemu področju „Korporativne postavke“ iz člena 322(3)(b) CRR, je skupna neposredna povrnitev izgube enostaven seštevek sku</w:t>
            </w:r>
            <w:r>
              <w:rPr>
                <w:rFonts w:ascii="Times New Roman" w:hAnsi="Times New Roman"/>
                <w:sz w:val="24"/>
              </w:rPr>
              <w:t>p</w:t>
            </w:r>
            <w:r>
              <w:rPr>
                <w:rFonts w:ascii="Times New Roman" w:hAnsi="Times New Roman"/>
                <w:sz w:val="24"/>
              </w:rPr>
              <w:lastRenderedPageBreak/>
              <w:t>ne neposredne povrnitve izgube za vsako poslovno področje.</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Pr>
                <w:rFonts w:ascii="Times New Roman" w:hAnsi="Times New Roman"/>
                <w:sz w:val="24"/>
              </w:rPr>
              <w:lastRenderedPageBreak/>
              <w:t>0980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Povrnitve iz zavarovanja in drugih mehanizmov za prenos tveganja skupaj</w:t>
            </w:r>
          </w:p>
          <w:p w:rsidR="00FD54FC" w:rsidRPr="00392FFD" w:rsidRDefault="00FD54FC" w:rsidP="00FD54FC">
            <w:pPr>
              <w:rPr>
                <w:rFonts w:ascii="Times New Roman" w:hAnsi="Times New Roman"/>
                <w:b/>
                <w:bCs/>
                <w:sz w:val="24"/>
                <w:u w:val="single"/>
              </w:rPr>
            </w:pPr>
            <w:r>
              <w:rPr>
                <w:rFonts w:ascii="Times New Roman" w:hAnsi="Times New Roman"/>
                <w:sz w:val="24"/>
              </w:rPr>
              <w:t>Če je institucija vse svoje izgube pripisala poslovnemu področju iz razpredelnice 2 v členu 317(4) CRR ali poslovnemu področju „Korporativne postavke“ iz člena 322(3)(b) CRR, je skupna povrnitev iz zavarovanja in drugih mehanizmov za prenos tveganja enostaven seštevek skupne povrnitve izgube iz zavarovanja in drugih mehanizmov za prenos tveganja za vsako poslovno področje.</w:t>
            </w:r>
          </w:p>
        </w:tc>
      </w:tr>
    </w:tbl>
    <w:p w:rsidR="00FD54FC" w:rsidRPr="00392FFD" w:rsidRDefault="00FD54FC" w:rsidP="00FD54FC">
      <w:pPr>
        <w:spacing w:before="0" w:after="0"/>
        <w:jc w:val="left"/>
        <w:rPr>
          <w:rStyle w:val="InstructionsTabelleText"/>
          <w:rFonts w:ascii="Times New Roman" w:hAnsi="Times New Roman"/>
          <w:sz w:val="24"/>
        </w:rPr>
      </w:pP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77" w:name="_Toc516210679"/>
      <w:bookmarkStart w:id="578" w:name="_Toc473561028"/>
      <w:bookmarkStart w:id="579" w:name="_Toc523474428"/>
      <w:r>
        <w:rPr>
          <w:rFonts w:ascii="Times New Roman" w:hAnsi="Times New Roman"/>
          <w:sz w:val="24"/>
          <w:u w:val="none"/>
        </w:rPr>
        <w:t>4.2.3.</w:t>
      </w:r>
      <w:r w:rsidR="003F40E8" w:rsidRPr="003F40E8">
        <w:rPr>
          <w:u w:val="none"/>
        </w:rPr>
        <w:tab/>
      </w:r>
      <w:r>
        <w:rPr>
          <w:rFonts w:ascii="Times New Roman" w:hAnsi="Times New Roman"/>
          <w:sz w:val="24"/>
        </w:rPr>
        <w:t>C 17.02: Operativno tveganje: Podrobnosti o največjih škodnih dogodkih v zadnjem letu (OPR DETAILS 2)</w:t>
      </w:r>
      <w:bookmarkEnd w:id="577"/>
      <w:bookmarkEnd w:id="578"/>
      <w:bookmarkEnd w:id="579"/>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80" w:name="_Toc516210680"/>
      <w:bookmarkStart w:id="581" w:name="_Toc473561029"/>
      <w:bookmarkStart w:id="582" w:name="_Toc523474429"/>
      <w:r>
        <w:rPr>
          <w:rFonts w:ascii="Times New Roman" w:hAnsi="Times New Roman"/>
          <w:sz w:val="24"/>
          <w:u w:val="none"/>
        </w:rPr>
        <w:t>4.2.3.1.</w:t>
      </w:r>
      <w:r w:rsidR="003F40E8" w:rsidRPr="003F40E8">
        <w:rPr>
          <w:u w:val="none"/>
        </w:rPr>
        <w:tab/>
      </w:r>
      <w:r>
        <w:rPr>
          <w:rFonts w:ascii="Times New Roman" w:hAnsi="Times New Roman"/>
          <w:sz w:val="24"/>
        </w:rPr>
        <w:t>Splošne opombe</w:t>
      </w:r>
      <w:bookmarkEnd w:id="580"/>
      <w:bookmarkEnd w:id="581"/>
      <w:bookmarkEnd w:id="582"/>
    </w:p>
    <w:p w:rsidR="00FD54FC" w:rsidRPr="00392FFD" w:rsidRDefault="00125707" w:rsidP="00C37B29">
      <w:pPr>
        <w:pStyle w:val="InstructionsText2"/>
        <w:numPr>
          <w:ilvl w:val="0"/>
          <w:numId w:val="0"/>
        </w:numPr>
        <w:ind w:left="993"/>
      </w:pPr>
      <w:r>
        <w:t>134.</w:t>
      </w:r>
      <w:r>
        <w:tab/>
        <w:t>V predlogi C 17.02 se navedejo informacije o posameznih škodnih dogodkih (ena vrstica na dogodek).</w:t>
      </w:r>
    </w:p>
    <w:p w:rsidR="00FD54FC" w:rsidRPr="00392FFD" w:rsidRDefault="00125707" w:rsidP="00C37B29">
      <w:pPr>
        <w:pStyle w:val="InstructionsText2"/>
        <w:numPr>
          <w:ilvl w:val="0"/>
          <w:numId w:val="0"/>
        </w:numPr>
        <w:ind w:left="993"/>
      </w:pPr>
      <w:r>
        <w:t>135.</w:t>
      </w:r>
      <w:r>
        <w:tab/>
        <w:t>Informacije, ki se poročajo v tej predlogi, se nanašajo na „nove dogodke“, tj. dogodke iz naslova operativnega tveganja, ki so</w:t>
      </w:r>
      <w:r>
        <w:tab/>
      </w:r>
    </w:p>
    <w:p w:rsidR="00FD54FC" w:rsidRPr="00392FFD" w:rsidRDefault="00125707" w:rsidP="00C37B29">
      <w:pPr>
        <w:pStyle w:val="InstructionsText2"/>
        <w:numPr>
          <w:ilvl w:val="0"/>
          <w:numId w:val="0"/>
        </w:numPr>
        <w:ind w:left="993"/>
      </w:pPr>
      <w:r>
        <w:t>(a)</w:t>
      </w:r>
      <w:r>
        <w:tab/>
        <w:t>„prvič obračunani“ v referenčnem poročevalskem obdobju ali</w:t>
      </w:r>
    </w:p>
    <w:p w:rsidR="00FD54FC" w:rsidRPr="00392FFD" w:rsidRDefault="00125707" w:rsidP="00C37B29">
      <w:pPr>
        <w:pStyle w:val="InstructionsText2"/>
        <w:numPr>
          <w:ilvl w:val="0"/>
          <w:numId w:val="0"/>
        </w:numPr>
        <w:ind w:left="993"/>
      </w:pPr>
      <w:r>
        <w:t>(b)</w:t>
      </w:r>
      <w:r>
        <w:tab/>
        <w:t>„prvič obračunani“ v prejšnjem referenčnem poročevalskem obdobju, če dog</w:t>
      </w:r>
      <w:r>
        <w:t>o</w:t>
      </w:r>
      <w:r>
        <w:t>dek ni bil vključen v nobeno prejšnje poročilo nadzornim organom, npr. ker je bil opredeljen kot dogodek iz naslova operativnega tveganja šele v trenutnem referen</w:t>
      </w:r>
      <w:r>
        <w:t>č</w:t>
      </w:r>
      <w:r>
        <w:t>nem poročevalskem obdobju ali ker so akumulirane izgube, pripisane zadevnemu dogodku (tj. prvotna izguba plus/minus vse prilagoditve izgub v prejšnjih referen</w:t>
      </w:r>
      <w:r>
        <w:t>č</w:t>
      </w:r>
      <w:r>
        <w:t>nih poročevalskih obdobjih), presegle prag za notranje zbiranje podatkov šele v tr</w:t>
      </w:r>
      <w:r>
        <w:t>e</w:t>
      </w:r>
      <w:r>
        <w:t>nutnem referenčnem poročevalskem obdobju.</w:t>
      </w:r>
    </w:p>
    <w:p w:rsidR="00FD54FC" w:rsidRPr="00392FFD" w:rsidRDefault="00125707" w:rsidP="00C37B29">
      <w:pPr>
        <w:pStyle w:val="InstructionsText2"/>
        <w:numPr>
          <w:ilvl w:val="0"/>
          <w:numId w:val="0"/>
        </w:numPr>
        <w:ind w:left="993"/>
      </w:pPr>
      <w:r>
        <w:t>136.</w:t>
      </w:r>
      <w:r>
        <w:tab/>
        <w:t>Poročajo se zgolj dogodki z bruto zneskom izgube 100 000 EUR ali več.</w:t>
      </w:r>
      <w:r>
        <w:br/>
      </w:r>
      <w:r>
        <w:tab/>
        <w:t>V skladu s tem pragom se v predlogo vključijo</w:t>
      </w:r>
    </w:p>
    <w:p w:rsidR="00FD54FC" w:rsidRPr="00392FFD" w:rsidRDefault="00125707" w:rsidP="00C37B29">
      <w:pPr>
        <w:pStyle w:val="InstructionsText2"/>
        <w:numPr>
          <w:ilvl w:val="0"/>
          <w:numId w:val="0"/>
        </w:numPr>
        <w:ind w:left="993"/>
      </w:pPr>
      <w:r>
        <w:t>(a)</w:t>
      </w:r>
      <w:r>
        <w:tab/>
        <w:t>največji dogodek za vsako vrsto dogodka, če je institucija opredelila vrste dogodka za izgube, ter</w:t>
      </w:r>
    </w:p>
    <w:p w:rsidR="00FD54FC" w:rsidRPr="00392FFD" w:rsidRDefault="00125707" w:rsidP="00C37B29">
      <w:pPr>
        <w:pStyle w:val="InstructionsText2"/>
        <w:numPr>
          <w:ilvl w:val="0"/>
          <w:numId w:val="0"/>
        </w:numPr>
        <w:ind w:left="993"/>
      </w:pPr>
      <w:r>
        <w:t>(b)</w:t>
      </w:r>
      <w:r>
        <w:tab/>
        <w:t xml:space="preserve">vsaj deset največjih izmed preostalih dogodkov, za katere se vrsta dogodka opredeli ali ne, po bruto znesku izgube. </w:t>
      </w:r>
    </w:p>
    <w:p w:rsidR="00FD54FC" w:rsidRPr="00392FFD" w:rsidRDefault="00125707" w:rsidP="00C37B29">
      <w:pPr>
        <w:pStyle w:val="InstructionsText2"/>
        <w:numPr>
          <w:ilvl w:val="0"/>
          <w:numId w:val="0"/>
        </w:numPr>
        <w:ind w:left="993"/>
      </w:pPr>
      <w:r>
        <w:t>(c)</w:t>
      </w:r>
      <w:r>
        <w:tab/>
        <w:t xml:space="preserve">Dogodki se razvrstijo glede na bruto izgubo, ki jih je pripisana. </w:t>
      </w:r>
    </w:p>
    <w:p w:rsidR="00FD54FC" w:rsidRPr="00392FFD" w:rsidRDefault="00125707" w:rsidP="00C37B29">
      <w:pPr>
        <w:pStyle w:val="InstructionsText2"/>
        <w:numPr>
          <w:ilvl w:val="0"/>
          <w:numId w:val="0"/>
        </w:numPr>
        <w:ind w:left="993"/>
      </w:pPr>
      <w:r>
        <w:t>(d)</w:t>
      </w:r>
      <w:r>
        <w:tab/>
        <w:t>Dogodek se šteje samo enkrat.</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83" w:name="_Toc516210681"/>
      <w:bookmarkStart w:id="584" w:name="_Toc473561030"/>
      <w:bookmarkStart w:id="585" w:name="_Toc523474430"/>
      <w:r>
        <w:rPr>
          <w:rFonts w:ascii="Times New Roman" w:hAnsi="Times New Roman"/>
          <w:sz w:val="24"/>
          <w:u w:val="none"/>
        </w:rPr>
        <w:t>4.2.3.2.</w:t>
      </w:r>
      <w:r w:rsidR="003F40E8" w:rsidRPr="003F40E8">
        <w:rPr>
          <w:u w:val="none"/>
        </w:rPr>
        <w:tab/>
      </w:r>
      <w:r>
        <w:rPr>
          <w:rFonts w:ascii="Times New Roman" w:hAnsi="Times New Roman"/>
          <w:sz w:val="24"/>
        </w:rPr>
        <w:t>Navodila za posamezne pozicije</w:t>
      </w:r>
      <w:bookmarkEnd w:id="583"/>
      <w:bookmarkEnd w:id="584"/>
      <w:bookmarkEnd w:id="5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329"/>
      </w:tblGrid>
      <w:tr w:rsidR="00FD54FC" w:rsidRPr="00392FFD" w:rsidTr="00672D2A">
        <w:tc>
          <w:tcPr>
            <w:tcW w:w="9288" w:type="dxa"/>
            <w:gridSpan w:val="2"/>
            <w:shd w:val="clear" w:color="auto" w:fill="BFBFBF"/>
          </w:tcPr>
          <w:p w:rsidR="00FD54FC" w:rsidRPr="00392FFD" w:rsidRDefault="00FD54FC" w:rsidP="00FD54FC">
            <w:pPr>
              <w:rPr>
                <w:rFonts w:ascii="Times New Roman" w:hAnsi="Times New Roman"/>
                <w:sz w:val="24"/>
              </w:rPr>
            </w:pPr>
            <w:r>
              <w:rPr>
                <w:rFonts w:ascii="Times New Roman" w:hAnsi="Times New Roman"/>
                <w:b/>
                <w:sz w:val="24"/>
              </w:rPr>
              <w:t>Stolpci</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0010</w:t>
            </w:r>
          </w:p>
        </w:tc>
        <w:tc>
          <w:tcPr>
            <w:tcW w:w="8329" w:type="dxa"/>
            <w:shd w:val="clear" w:color="auto" w:fill="auto"/>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ID dogodka</w:t>
            </w:r>
          </w:p>
          <w:p w:rsidR="00FD54FC" w:rsidRPr="00392FFD" w:rsidRDefault="00FD54FC" w:rsidP="00FD54FC">
            <w:pPr>
              <w:rPr>
                <w:rFonts w:ascii="Times New Roman" w:hAnsi="Times New Roman"/>
                <w:sz w:val="24"/>
              </w:rPr>
            </w:pPr>
            <w:r>
              <w:rPr>
                <w:rFonts w:ascii="Times New Roman" w:hAnsi="Times New Roman"/>
                <w:sz w:val="24"/>
              </w:rPr>
              <w:t xml:space="preserve">ID dogodka je identifikator vrstice in je enoznačen za vsako vrstico v tabeli. </w:t>
            </w:r>
          </w:p>
          <w:p w:rsidR="00FD54FC" w:rsidRPr="00392FFD" w:rsidRDefault="00FD54FC" w:rsidP="00FD54FC">
            <w:pPr>
              <w:rPr>
                <w:rFonts w:ascii="Times New Roman" w:hAnsi="Times New Roman"/>
                <w:sz w:val="24"/>
              </w:rPr>
            </w:pPr>
            <w:r>
              <w:rPr>
                <w:rFonts w:ascii="Times New Roman" w:hAnsi="Times New Roman"/>
                <w:sz w:val="24"/>
              </w:rPr>
              <w:lastRenderedPageBreak/>
              <w:t>Kadar je na voljo notranji ID, institucije navedejo notranji ID. Sicer ID, ki se por</w:t>
            </w:r>
            <w:r>
              <w:rPr>
                <w:rFonts w:ascii="Times New Roman" w:hAnsi="Times New Roman"/>
                <w:sz w:val="24"/>
              </w:rPr>
              <w:t>o</w:t>
            </w:r>
            <w:r>
              <w:rPr>
                <w:rFonts w:ascii="Times New Roman" w:hAnsi="Times New Roman"/>
                <w:sz w:val="24"/>
              </w:rPr>
              <w:t>ča, upošteva številčno zaporedje 1, 2, 3 itd.</w:t>
            </w:r>
          </w:p>
        </w:tc>
      </w:tr>
      <w:tr w:rsidR="00FD54FC" w:rsidRPr="00392FFD" w:rsidTr="00672D2A">
        <w:tc>
          <w:tcPr>
            <w:tcW w:w="959" w:type="dxa"/>
            <w:shd w:val="clear" w:color="auto" w:fill="auto"/>
          </w:tcPr>
          <w:p w:rsidR="00FD54FC" w:rsidRPr="00321A3B" w:rsidRDefault="00C93FC2" w:rsidP="00FD54FC">
            <w:pPr>
              <w:rPr>
                <w:rFonts w:ascii="Times New Roman" w:hAnsi="Times New Roman"/>
                <w:sz w:val="24"/>
              </w:rPr>
            </w:pPr>
            <w:r>
              <w:rPr>
                <w:rFonts w:ascii="Times New Roman" w:hAnsi="Times New Roman"/>
                <w:sz w:val="24"/>
              </w:rPr>
              <w:lastRenderedPageBreak/>
              <w:t>0020</w:t>
            </w:r>
          </w:p>
        </w:tc>
        <w:tc>
          <w:tcPr>
            <w:tcW w:w="8329" w:type="dxa"/>
            <w:shd w:val="clear" w:color="auto" w:fill="auto"/>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obračunavanja</w:t>
            </w:r>
          </w:p>
          <w:p w:rsidR="00FD54FC" w:rsidRPr="00392FFD" w:rsidRDefault="00FD54FC" w:rsidP="00FD54FC">
            <w:pPr>
              <w:rPr>
                <w:rFonts w:ascii="Times New Roman" w:hAnsi="Times New Roman"/>
                <w:sz w:val="24"/>
              </w:rPr>
            </w:pPr>
            <w:r>
              <w:rPr>
                <w:rFonts w:ascii="Times New Roman" w:hAnsi="Times New Roman"/>
                <w:sz w:val="24"/>
              </w:rPr>
              <w:t>Datum obračunavanja pomeni datum, ko je bila izguba ali rezervacija v povezavi z izgubo iz naslova operativnega tveganja prvič pripoznana v izkazu poslovnega iz</w:t>
            </w:r>
            <w:r>
              <w:rPr>
                <w:rFonts w:ascii="Times New Roman" w:hAnsi="Times New Roman"/>
                <w:sz w:val="24"/>
              </w:rPr>
              <w:t>i</w:t>
            </w:r>
            <w:r>
              <w:rPr>
                <w:rFonts w:ascii="Times New Roman" w:hAnsi="Times New Roman"/>
                <w:sz w:val="24"/>
              </w:rPr>
              <w:t xml:space="preserve">da. </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0030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nastopa dogodka</w:t>
            </w:r>
          </w:p>
          <w:p w:rsidR="00FD54FC" w:rsidRPr="00392FFD" w:rsidRDefault="00FD54FC" w:rsidP="00871877">
            <w:pPr>
              <w:rPr>
                <w:rFonts w:ascii="Times New Roman" w:hAnsi="Times New Roman"/>
                <w:sz w:val="24"/>
              </w:rPr>
            </w:pPr>
            <w:r>
              <w:rPr>
                <w:rFonts w:ascii="Times New Roman" w:hAnsi="Times New Roman"/>
                <w:sz w:val="24"/>
              </w:rPr>
              <w:t>Datum nastopa dogodka je datum, ko se dogodek iz naslova operativnega tveganja zgodi ali začne.</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0040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odkritja dogodka</w:t>
            </w:r>
          </w:p>
          <w:p w:rsidR="00FD54FC" w:rsidRPr="00392FFD" w:rsidRDefault="00FD54FC" w:rsidP="00FD54FC">
            <w:pPr>
              <w:rPr>
                <w:rFonts w:ascii="Times New Roman" w:hAnsi="Times New Roman"/>
                <w:sz w:val="24"/>
              </w:rPr>
            </w:pPr>
            <w:r>
              <w:rPr>
                <w:rFonts w:ascii="Times New Roman" w:hAnsi="Times New Roman"/>
                <w:sz w:val="24"/>
              </w:rPr>
              <w:t>Datum odkritja dogodka je datum, ko institucija odkrije dogodek iz naslova operat</w:t>
            </w:r>
            <w:r>
              <w:rPr>
                <w:rFonts w:ascii="Times New Roman" w:hAnsi="Times New Roman"/>
                <w:sz w:val="24"/>
              </w:rPr>
              <w:t>i</w:t>
            </w:r>
            <w:r>
              <w:rPr>
                <w:rFonts w:ascii="Times New Roman" w:hAnsi="Times New Roman"/>
                <w:sz w:val="24"/>
              </w:rPr>
              <w:t>vnega tveganja.</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0050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Vrsta dogodka</w:t>
            </w:r>
          </w:p>
          <w:p w:rsidR="00FD54FC" w:rsidRPr="00392FFD" w:rsidRDefault="00FD54FC" w:rsidP="00FD54FC">
            <w:pPr>
              <w:rPr>
                <w:rFonts w:ascii="Times New Roman" w:hAnsi="Times New Roman"/>
                <w:sz w:val="24"/>
              </w:rPr>
            </w:pPr>
            <w:r>
              <w:rPr>
                <w:rFonts w:ascii="Times New Roman" w:hAnsi="Times New Roman"/>
                <w:sz w:val="24"/>
              </w:rPr>
              <w:t>Vrste dogodka, kot so opredeljene v členu 324 CRR.</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0060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izguba</w:t>
            </w:r>
          </w:p>
          <w:p w:rsidR="00FD54FC" w:rsidRPr="00392FFD" w:rsidRDefault="00FD54FC" w:rsidP="00FD54FC">
            <w:pPr>
              <w:rPr>
                <w:rFonts w:ascii="Times New Roman" w:hAnsi="Times New Roman"/>
                <w:sz w:val="24"/>
              </w:rPr>
            </w:pPr>
            <w:r>
              <w:rPr>
                <w:rFonts w:ascii="Times New Roman" w:hAnsi="Times New Roman"/>
                <w:sz w:val="24"/>
              </w:rPr>
              <w:t>Bruto izguba v povezavi z dogodkom, kot je opredeljena za vrstice 020, 120 itd. predloge C 17.01 zgoraj.</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0070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izguba brez neposrednih povrnitev</w:t>
            </w:r>
          </w:p>
          <w:p w:rsidR="00FD54FC" w:rsidRPr="00392FFD" w:rsidRDefault="00FD54FC" w:rsidP="00FD54FC">
            <w:pPr>
              <w:rPr>
                <w:rFonts w:ascii="Times New Roman" w:hAnsi="Times New Roman"/>
                <w:sz w:val="24"/>
              </w:rPr>
            </w:pPr>
            <w:r>
              <w:rPr>
                <w:rFonts w:ascii="Times New Roman" w:hAnsi="Times New Roman"/>
                <w:sz w:val="24"/>
              </w:rPr>
              <w:t>Bruto izguba v povezavi z dogodkom, kot je opredeljena za vrstice 020, 120 itd. predloge C 17.01 zgoraj, brez neposrednih povrnitev za ta škodni dogodek.</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0080 – 0160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izguba po poslovnih področjih</w:t>
            </w:r>
          </w:p>
          <w:p w:rsidR="00FD54FC" w:rsidRPr="00392FFD" w:rsidRDefault="00FD54FC" w:rsidP="00FD54FC">
            <w:pPr>
              <w:rPr>
                <w:rFonts w:ascii="Times New Roman" w:hAnsi="Times New Roman"/>
                <w:sz w:val="24"/>
              </w:rPr>
            </w:pPr>
            <w:r>
              <w:rPr>
                <w:rFonts w:ascii="Times New Roman" w:hAnsi="Times New Roman"/>
                <w:sz w:val="24"/>
              </w:rPr>
              <w:t>Bruto izguba, kot se poroča v stolpcu 060, se razporedi po ustreznih poslovnih po</w:t>
            </w:r>
            <w:r>
              <w:rPr>
                <w:rFonts w:ascii="Times New Roman" w:hAnsi="Times New Roman"/>
                <w:sz w:val="24"/>
              </w:rPr>
              <w:t>d</w:t>
            </w:r>
            <w:r>
              <w:rPr>
                <w:rFonts w:ascii="Times New Roman" w:hAnsi="Times New Roman"/>
                <w:sz w:val="24"/>
              </w:rPr>
              <w:t>ročjih, kot je opredeljeno v členih 317 in 322(3)(b) CRR.</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0170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Ime pravnega subjekta</w:t>
            </w:r>
          </w:p>
          <w:p w:rsidR="00FD54FC" w:rsidRPr="00392FFD" w:rsidRDefault="00FD54FC" w:rsidP="00FD54FC">
            <w:pPr>
              <w:rPr>
                <w:rFonts w:ascii="Times New Roman" w:hAnsi="Times New Roman"/>
                <w:sz w:val="24"/>
              </w:rPr>
            </w:pPr>
            <w:r>
              <w:rPr>
                <w:rFonts w:ascii="Times New Roman" w:hAnsi="Times New Roman"/>
                <w:sz w:val="24"/>
              </w:rPr>
              <w:t>Ime pravnega subjekta, kot se poroča v stolpcu 010 predloge C 06.02, pri katerem nastane izguba – ali največji del izgube, če je prizadetih več subjektov.</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0180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ID pravnega subjekta</w:t>
            </w:r>
          </w:p>
          <w:p w:rsidR="00FD54FC" w:rsidRPr="00392FFD" w:rsidRDefault="00FD54FC" w:rsidP="00FD54FC">
            <w:pPr>
              <w:rPr>
                <w:rFonts w:ascii="Times New Roman" w:hAnsi="Times New Roman"/>
                <w:sz w:val="24"/>
              </w:rPr>
            </w:pPr>
            <w:r>
              <w:rPr>
                <w:rFonts w:ascii="Times New Roman" w:hAnsi="Times New Roman"/>
                <w:sz w:val="24"/>
              </w:rPr>
              <w:t>Koda LEI pravnega subjekta, kot se poroča v stolpcu 025 predloge C 06.02, pri katerem nastane izguba – ali največji del izgube, če je prizadetih več subjektov.</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0190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Poslovna enota</w:t>
            </w:r>
          </w:p>
          <w:p w:rsidR="00FD54FC" w:rsidRPr="00392FFD" w:rsidRDefault="00FD54FC" w:rsidP="00FD54FC">
            <w:pPr>
              <w:rPr>
                <w:rFonts w:ascii="Times New Roman" w:hAnsi="Times New Roman"/>
                <w:sz w:val="24"/>
              </w:rPr>
            </w:pPr>
            <w:r>
              <w:rPr>
                <w:rFonts w:ascii="Times New Roman" w:hAnsi="Times New Roman"/>
                <w:sz w:val="24"/>
              </w:rPr>
              <w:t>Poslovna enota ali oddelek institucije, v katerem nastane izguba – ali največji del izgube, če je prizadetih več poslovnih enot ali oddelkov.</w:t>
            </w:r>
          </w:p>
        </w:tc>
      </w:tr>
      <w:tr w:rsidR="00FD54FC" w:rsidRPr="00392FFD" w:rsidTr="00672D2A">
        <w:tc>
          <w:tcPr>
            <w:tcW w:w="959" w:type="dxa"/>
            <w:shd w:val="clear" w:color="auto" w:fill="auto"/>
          </w:tcPr>
          <w:p w:rsidR="00FD54FC" w:rsidRPr="00321A3B" w:rsidRDefault="00C93FC2" w:rsidP="00FD54FC">
            <w:pPr>
              <w:rPr>
                <w:rFonts w:ascii="Times New Roman" w:hAnsi="Times New Roman"/>
                <w:sz w:val="24"/>
              </w:rPr>
            </w:pPr>
            <w:r>
              <w:rPr>
                <w:rFonts w:ascii="Times New Roman" w:hAnsi="Times New Roman"/>
                <w:sz w:val="24"/>
              </w:rPr>
              <w:t>0200</w:t>
            </w:r>
          </w:p>
        </w:tc>
        <w:tc>
          <w:tcPr>
            <w:tcW w:w="8329" w:type="dxa"/>
            <w:shd w:val="clear" w:color="auto" w:fill="auto"/>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Opis</w:t>
            </w:r>
          </w:p>
          <w:p w:rsidR="00FD54FC" w:rsidRPr="00392FFD" w:rsidRDefault="00FD54FC" w:rsidP="00FD239F">
            <w:pPr>
              <w:rPr>
                <w:rFonts w:ascii="Times New Roman" w:hAnsi="Times New Roman"/>
                <w:sz w:val="24"/>
              </w:rPr>
            </w:pPr>
            <w:r>
              <w:rPr>
                <w:rFonts w:ascii="Times New Roman" w:hAnsi="Times New Roman"/>
                <w:sz w:val="24"/>
              </w:rPr>
              <w:t>Opis dogodka, kadar je potrebno na posplošen ali anonimen način, ki mora vseb</w:t>
            </w:r>
            <w:r>
              <w:rPr>
                <w:rFonts w:ascii="Times New Roman" w:hAnsi="Times New Roman"/>
                <w:sz w:val="24"/>
              </w:rPr>
              <w:t>o</w:t>
            </w:r>
            <w:r>
              <w:rPr>
                <w:rFonts w:ascii="Times New Roman" w:hAnsi="Times New Roman"/>
                <w:sz w:val="24"/>
              </w:rPr>
              <w:t>vati vsaj informacije o samem dogodku in informacije o vzvodih ali vzrokih dogo</w:t>
            </w:r>
            <w:r>
              <w:rPr>
                <w:rFonts w:ascii="Times New Roman" w:hAnsi="Times New Roman"/>
                <w:sz w:val="24"/>
              </w:rPr>
              <w:t>d</w:t>
            </w:r>
            <w:r>
              <w:rPr>
                <w:rFonts w:ascii="Times New Roman" w:hAnsi="Times New Roman"/>
                <w:sz w:val="24"/>
              </w:rPr>
              <w:lastRenderedPageBreak/>
              <w:t>ka, kadar so ti znani.</w:t>
            </w:r>
          </w:p>
        </w:tc>
      </w:tr>
    </w:tbl>
    <w:p w:rsidR="00FD54FC" w:rsidRPr="00392FFD" w:rsidRDefault="00FD54FC" w:rsidP="00AC6255">
      <w:pPr>
        <w:spacing w:after="0"/>
        <w:rPr>
          <w:rFonts w:ascii="Times New Roman" w:hAnsi="Times New Roman"/>
          <w:sz w:val="24"/>
        </w:rPr>
      </w:pPr>
    </w:p>
    <w:p w:rsidR="00AC6255" w:rsidRPr="00392FFD" w:rsidRDefault="00AC6255">
      <w:pPr>
        <w:spacing w:before="0" w:after="0"/>
        <w:jc w:val="left"/>
        <w:rPr>
          <w:rStyle w:val="InstructionsTabelleText"/>
          <w:rFonts w:ascii="Times New Roman" w:hAnsi="Times New Roman"/>
          <w:sz w:val="24"/>
        </w:rPr>
      </w:pPr>
      <w:r>
        <w:br w:type="page"/>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86" w:name="_Toc295829995"/>
      <w:bookmarkStart w:id="587" w:name="_Toc262566425"/>
      <w:bookmarkStart w:id="588" w:name="_Toc308426671"/>
      <w:bookmarkStart w:id="589" w:name="_Toc310415056"/>
      <w:bookmarkStart w:id="590" w:name="_Toc360188391"/>
      <w:bookmarkStart w:id="591" w:name="_Toc516210682"/>
      <w:bookmarkStart w:id="592" w:name="_Toc473561031"/>
      <w:bookmarkStart w:id="593" w:name="_Toc523474431"/>
      <w:r>
        <w:rPr>
          <w:rFonts w:ascii="Times New Roman" w:hAnsi="Times New Roman"/>
          <w:sz w:val="24"/>
          <w:u w:val="none"/>
        </w:rPr>
        <w:lastRenderedPageBreak/>
        <w:t>5.</w:t>
      </w:r>
      <w:r w:rsidR="003F40E8" w:rsidRPr="003F40E8">
        <w:rPr>
          <w:u w:val="none"/>
        </w:rPr>
        <w:tab/>
      </w:r>
      <w:r>
        <w:rPr>
          <w:rFonts w:ascii="Times New Roman" w:hAnsi="Times New Roman"/>
          <w:sz w:val="24"/>
        </w:rPr>
        <w:t>Predloge za tržno tveganje</w:t>
      </w:r>
      <w:bookmarkEnd w:id="586"/>
      <w:bookmarkEnd w:id="587"/>
      <w:bookmarkEnd w:id="588"/>
      <w:bookmarkEnd w:id="589"/>
      <w:bookmarkEnd w:id="590"/>
      <w:bookmarkEnd w:id="591"/>
      <w:bookmarkEnd w:id="592"/>
      <w:bookmarkEnd w:id="593"/>
    </w:p>
    <w:p w:rsidR="000B0B09" w:rsidRPr="00392FFD" w:rsidRDefault="00125707" w:rsidP="00C37B29">
      <w:pPr>
        <w:pStyle w:val="InstructionsText2"/>
        <w:numPr>
          <w:ilvl w:val="0"/>
          <w:numId w:val="0"/>
        </w:numPr>
        <w:ind w:left="993"/>
      </w:pPr>
      <w:bookmarkStart w:id="594" w:name="_Toc308426672"/>
      <w:r>
        <w:t>137.</w:t>
      </w:r>
      <w:r>
        <w:tab/>
        <w:t xml:space="preserve">Ta navodila se nanašajo na predloge za poročanje o izračunu kapitalskih zahtev v skladu s standardiziranim pristopom za valutno tveganje (MKR SA FX), tveganje spremembe cen blaga (MKR SA COM), obrestno tveganje (MKR SA TDI, MKR SA SEC, MKR SA CTP) in tveganje v lastniških finančnih instrumentih (MKR SA EQU). Poleg tega so v ta del vključena tudi navodila za predlogo za poročanje o izračunu kapitalskih zahtev v skladu s pristopom na podlagi notranjih modelov (MKR IM). </w:t>
      </w:r>
    </w:p>
    <w:p w:rsidR="000B0B09" w:rsidRPr="00392FFD" w:rsidRDefault="00125707" w:rsidP="00C37B29">
      <w:pPr>
        <w:pStyle w:val="InstructionsText2"/>
        <w:numPr>
          <w:ilvl w:val="0"/>
          <w:numId w:val="0"/>
        </w:numPr>
        <w:ind w:left="993"/>
      </w:pPr>
      <w:r>
        <w:t>138.</w:t>
      </w:r>
      <w:r>
        <w:tab/>
        <w:t>Pozicijsko tveganje za dolžniški instrument ali lastniški instrument, s katerim se trguje na borzi (ali izveden dolžniški ali lastniški finančni instrument), se lahko za izračun zahtevanega kapitala razdeli na dva sestavna dela. Prvi del je njegovo posebno tveganje, tj. tveganje spremembe cene zadevnega instrumenta zaradi dej</w:t>
      </w:r>
      <w:r>
        <w:t>a</w:t>
      </w:r>
      <w:r>
        <w:t>vnikov, ki so povezani z njegovim izdajateljem ali, v primeru izvedenega finančn</w:t>
      </w:r>
      <w:r>
        <w:t>e</w:t>
      </w:r>
      <w:r>
        <w:t xml:space="preserve">ga instrumenta, z izdajateljem osnovnega instrumenta. Drugi sestavni del zajema splošno tveganje, tj. tveganje spremembe cene instrumenta zaradi spremembe ravni obrestnih mer (v primeru dolžniškega instrumenta ali izvedenega dolžniškega finančnega instrumenta, s katerima se trguje na borzi) ali obsežen cenovni premik na trgu lastniških instrumentov, ki ni povezan z nobenimi posebnimi značilnostmi posameznih vrednostnih papirjev (v primeru lastniškega instrumenta ali izvedenega lastniškega finančnega instrumenta). </w:t>
      </w:r>
      <w:bookmarkEnd w:id="594"/>
      <w:r>
        <w:t xml:space="preserve">Splošna obravnava posebnih instrumentov in postopkov pobota je na voljo v členih 326 do 333 CRR. </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95" w:name="_Toc239157393"/>
      <w:bookmarkStart w:id="596" w:name="_Toc262566426"/>
      <w:bookmarkStart w:id="597" w:name="_Toc295829996"/>
      <w:bookmarkStart w:id="598" w:name="_Toc308426673"/>
      <w:bookmarkStart w:id="599" w:name="_Toc310415057"/>
      <w:bookmarkStart w:id="600" w:name="_Toc360188392"/>
      <w:bookmarkStart w:id="601" w:name="_Toc516210683"/>
      <w:bookmarkStart w:id="602" w:name="_Toc473561032"/>
      <w:bookmarkStart w:id="603" w:name="_Toc523474432"/>
      <w:r>
        <w:rPr>
          <w:rFonts w:ascii="Times New Roman" w:hAnsi="Times New Roman"/>
          <w:sz w:val="24"/>
          <w:u w:val="none"/>
        </w:rPr>
        <w:t>5.1.</w:t>
      </w:r>
      <w:r w:rsidR="003F40E8" w:rsidRPr="003F40E8">
        <w:rPr>
          <w:u w:val="none"/>
        </w:rPr>
        <w:tab/>
      </w:r>
      <w:r>
        <w:rPr>
          <w:rFonts w:ascii="Times New Roman" w:hAnsi="Times New Roman"/>
          <w:sz w:val="24"/>
        </w:rPr>
        <w:t>C 18.00 – Tržno tveganje: Standardizirani pristop za pozicijska tveganja v dolžniških instrumentih, s katerimi se trguje na borzi</w:t>
      </w:r>
      <w:bookmarkEnd w:id="595"/>
      <w:bookmarkEnd w:id="596"/>
      <w:bookmarkEnd w:id="597"/>
      <w:bookmarkEnd w:id="598"/>
      <w:bookmarkEnd w:id="599"/>
      <w:bookmarkEnd w:id="600"/>
      <w:r>
        <w:rPr>
          <w:rFonts w:ascii="Times New Roman" w:hAnsi="Times New Roman"/>
          <w:sz w:val="24"/>
        </w:rPr>
        <w:t xml:space="preserve"> (MKR SA TDI)</w:t>
      </w:r>
      <w:bookmarkEnd w:id="601"/>
      <w:bookmarkEnd w:id="602"/>
      <w:bookmarkEnd w:id="603"/>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04" w:name="_Toc262566427"/>
      <w:bookmarkStart w:id="605" w:name="_Toc295829997"/>
      <w:bookmarkStart w:id="606" w:name="_Toc308426674"/>
      <w:bookmarkStart w:id="607" w:name="_Toc310415058"/>
      <w:bookmarkStart w:id="608" w:name="_Toc360188393"/>
      <w:bookmarkStart w:id="609" w:name="_Toc516210684"/>
      <w:bookmarkStart w:id="610" w:name="_Toc473561033"/>
      <w:bookmarkStart w:id="611" w:name="_Toc523474433"/>
      <w:r>
        <w:rPr>
          <w:rFonts w:ascii="Times New Roman" w:hAnsi="Times New Roman"/>
          <w:sz w:val="24"/>
          <w:u w:val="none"/>
        </w:rPr>
        <w:t>5.1.1.</w:t>
      </w:r>
      <w:r w:rsidR="003F40E8" w:rsidRPr="003F40E8">
        <w:rPr>
          <w:u w:val="none"/>
        </w:rPr>
        <w:tab/>
      </w:r>
      <w:r>
        <w:rPr>
          <w:rFonts w:ascii="Times New Roman" w:hAnsi="Times New Roman"/>
          <w:sz w:val="24"/>
        </w:rPr>
        <w:t>Splošne opombe</w:t>
      </w:r>
      <w:bookmarkEnd w:id="604"/>
      <w:bookmarkEnd w:id="605"/>
      <w:bookmarkEnd w:id="606"/>
      <w:bookmarkEnd w:id="607"/>
      <w:bookmarkEnd w:id="608"/>
      <w:bookmarkEnd w:id="609"/>
      <w:bookmarkEnd w:id="610"/>
      <w:bookmarkEnd w:id="611"/>
    </w:p>
    <w:p w:rsidR="000B0B09" w:rsidRPr="00392FFD" w:rsidRDefault="00125707" w:rsidP="00C37B29">
      <w:pPr>
        <w:pStyle w:val="InstructionsText2"/>
        <w:numPr>
          <w:ilvl w:val="0"/>
          <w:numId w:val="0"/>
        </w:numPr>
        <w:ind w:left="993"/>
      </w:pPr>
      <w:r>
        <w:t>139.</w:t>
      </w:r>
      <w:r>
        <w:tab/>
        <w:t>Ta predloga zajema pozicije in povezane kapitalske zahteve za pozicijska tv</w:t>
      </w:r>
      <w:r>
        <w:t>e</w:t>
      </w:r>
      <w:r>
        <w:t>ganja glede dolžniških instrumentov, s katerimi se trguje na borzi, v skladu s sta</w:t>
      </w:r>
      <w:r>
        <w:t>n</w:t>
      </w:r>
      <w:r>
        <w:t>dardiziranim pristopom (člen 102 in člen 105(1) CRR). Različna razpoložljiva tv</w:t>
      </w:r>
      <w:r>
        <w:t>e</w:t>
      </w:r>
      <w:r>
        <w:t>ganja in metode iz CRR so obravnavani po vrsticah. Posebno tveganje, povezano z izpostavljenostmi, vključenimi v MKR SA SEC in MKR SA CTP, je treba sporočiti le v predlogi s skupnimi zneski MKR SA TDI. Kapitalske zahteve, ki se poročajo v teh predlogah, se prenesejo v celico {325;060} (listinjenja) oziroma {330;060} (CTP). .</w:t>
      </w:r>
    </w:p>
    <w:p w:rsidR="000B0B09" w:rsidRPr="00392FFD" w:rsidRDefault="00125707" w:rsidP="00C37B29">
      <w:pPr>
        <w:pStyle w:val="InstructionsText2"/>
        <w:numPr>
          <w:ilvl w:val="0"/>
          <w:numId w:val="0"/>
        </w:numPr>
        <w:ind w:left="993"/>
      </w:pPr>
      <w:r>
        <w:t>140.</w:t>
      </w:r>
      <w:r>
        <w:tab/>
        <w:t xml:space="preserve">Predlogo je treba izpolniti ločeno za „Skupaj“ z vnaprej določenim seznamom naslednjih valut: </w:t>
      </w:r>
      <w:bookmarkStart w:id="612" w:name="OLE_LINK1"/>
      <w:r>
        <w:t>EUR, ALL, BGN, CZK, DKK, EGP, GBP, HRK, HUF, ISK, JPY, MKD, NOK, PLN, RON, RUB, RSD, SEK, CHF, TRY, UAH, USD</w:t>
      </w:r>
      <w:bookmarkEnd w:id="612"/>
      <w:r>
        <w:t xml:space="preserve"> in eno preo</w:t>
      </w:r>
      <w:r>
        <w:t>s</w:t>
      </w:r>
      <w:r>
        <w:t xml:space="preserve">talo predlogo za vse druge valute. </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13" w:name="_Toc262566428"/>
      <w:bookmarkStart w:id="614" w:name="_Toc295829998"/>
      <w:bookmarkStart w:id="615" w:name="_Toc308426675"/>
      <w:bookmarkStart w:id="616" w:name="_Toc310415059"/>
      <w:bookmarkStart w:id="617" w:name="_Toc360188394"/>
      <w:bookmarkStart w:id="618" w:name="_Toc516210685"/>
      <w:bookmarkStart w:id="619" w:name="_Toc473561034"/>
      <w:bookmarkStart w:id="620" w:name="_Toc523474434"/>
      <w:r>
        <w:rPr>
          <w:rFonts w:ascii="Times New Roman" w:hAnsi="Times New Roman"/>
          <w:sz w:val="24"/>
          <w:u w:val="none"/>
        </w:rPr>
        <w:t>5.1.2.</w:t>
      </w:r>
      <w:r w:rsidR="003F40E8" w:rsidRPr="003F40E8">
        <w:rPr>
          <w:u w:val="none"/>
        </w:rPr>
        <w:tab/>
      </w:r>
      <w:r>
        <w:rPr>
          <w:rFonts w:ascii="Times New Roman" w:hAnsi="Times New Roman"/>
          <w:sz w:val="24"/>
        </w:rPr>
        <w:t>Navodila za posamezne pozicije</w:t>
      </w:r>
      <w:bookmarkEnd w:id="613"/>
      <w:bookmarkEnd w:id="614"/>
      <w:bookmarkEnd w:id="615"/>
      <w:bookmarkEnd w:id="616"/>
      <w:bookmarkEnd w:id="617"/>
      <w:bookmarkEnd w:id="618"/>
      <w:bookmarkEnd w:id="619"/>
      <w:bookmarkEnd w:id="6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569"/>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Stolpci</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VSE POZICIJE (DOLGE IN KRATKE)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Člen 102 in člen 105(1) CRR. To so bruto pozicije, ki niso pobotane z instr</w:t>
            </w:r>
            <w:r>
              <w:rPr>
                <w:rFonts w:ascii="Times New Roman" w:hAnsi="Times New Roman"/>
                <w:sz w:val="24"/>
              </w:rPr>
              <w:t>u</w:t>
            </w:r>
            <w:r>
              <w:rPr>
                <w:rFonts w:ascii="Times New Roman" w:hAnsi="Times New Roman"/>
                <w:sz w:val="24"/>
              </w:rPr>
              <w:t xml:space="preserve">menti in ki ne zajemajo pozicij, ki so bile že prenesene na tretje osebe ali so se </w:t>
            </w:r>
            <w:r>
              <w:rPr>
                <w:rFonts w:ascii="Times New Roman" w:hAnsi="Times New Roman"/>
                <w:sz w:val="24"/>
              </w:rPr>
              <w:lastRenderedPageBreak/>
              <w:t>te zavezale k njihovemu odkupu (drugi stavek člena 345 CRR). Za razlikovanje med dolgimi in kratkimi pozicijami, ki se uporablja tudi za te bruto pozicije, glej člen 328(2) CRR.</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030–040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POZICIJE (DOLGE IN KRATKE)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Členi 327 do 329 in 334 CRR. Za razlikovanje med dolgimi in kratkimi pozic</w:t>
            </w:r>
            <w:r>
              <w:rPr>
                <w:rFonts w:ascii="Times New Roman" w:hAnsi="Times New Roman"/>
                <w:sz w:val="24"/>
              </w:rPr>
              <w:t>i</w:t>
            </w:r>
            <w:r>
              <w:rPr>
                <w:rFonts w:ascii="Times New Roman" w:hAnsi="Times New Roman"/>
                <w:sz w:val="24"/>
              </w:rPr>
              <w:t>jami glej člen 328(2) CRR.</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POZICIJE, KI SO PREDMET KAPITALSKE ZAHTEVE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Neto pozicije, ki v skladu z različnimi pristopi iz poglavja 2 naslova IV dela 3 CRR prejmejo kapitalsko zahtevo.</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KAPITALSKE ZAHTEVE</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Kapitalske zahteve za katero koli zadevno pozicijo v skladu s poglavjem 2 na</w:t>
            </w:r>
            <w:r>
              <w:rPr>
                <w:rFonts w:ascii="Times New Roman" w:hAnsi="Times New Roman"/>
                <w:sz w:val="24"/>
              </w:rPr>
              <w:t>s</w:t>
            </w:r>
            <w:r>
              <w:rPr>
                <w:rFonts w:ascii="Times New Roman" w:hAnsi="Times New Roman"/>
                <w:sz w:val="24"/>
              </w:rPr>
              <w:t>lova IV dela 3 CRR.</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ZNESEK SKUPNE IZPOSTAVLJENOSTI TVEGANJU</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Člen 92(4)(b) CRR. Rezultat množenja kapitalskih zahtev z 12,5. </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rsidTr="00672D2A">
        <w:trPr>
          <w:trHeight w:val="533"/>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Vrstice</w:t>
            </w:r>
          </w:p>
        </w:tc>
      </w:tr>
      <w:tr w:rsidR="000B0B09" w:rsidRPr="00392FFD" w:rsidTr="00672D2A">
        <w:trPr>
          <w:trHeight w:val="1168"/>
        </w:trPr>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010–350</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DOLŽNIŠKI INSTRUMENTI, S KATERIMI SE TRGUJE NA BORZI, V TRGOVALNI KNJIGI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Pozicije v dolžniških instrumentih, s katerimi se trguje na borzi, v trgovalni knjigi in njihove ustrezne kapitalske zahteve za pozicijsko tveganje v skladu s členom 92(3)(b)(i) CRR ter poglavjem 2 naslova IV dela 3 CRR se sporočajo glede na kategorijo tveganja, zapadlost in uporabljeni pristop.</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011</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SPLOŠNO TVEGANJE.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012</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Izvedeni finančni instrumenti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Izvedeni finančni instrumenti, vključeni v izračun obrestnega tveganja pozicij v trgovalni knjigi, pri čemer se po potrebi upoštevajo členi 328 do 331.</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013</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Druga sredstva in obveznosti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Instrumenti, ki niso izvedeni finančni instrumenti, vključeni v izračun obres</w:t>
            </w:r>
            <w:r>
              <w:rPr>
                <w:rFonts w:ascii="Times New Roman" w:hAnsi="Times New Roman"/>
                <w:sz w:val="24"/>
              </w:rPr>
              <w:t>t</w:t>
            </w:r>
            <w:r>
              <w:rPr>
                <w:rFonts w:ascii="Times New Roman" w:hAnsi="Times New Roman"/>
                <w:sz w:val="24"/>
              </w:rPr>
              <w:t xml:space="preserve">nega tveganja pozicij v trgovalni knjigi.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020–200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PRISTOP NA PODLAGI ZAPADLOSTI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Pozicije v dolžniških instrumentih, s katerimi se trguje na borzi, za katere se uporablja pristop na podlagi zapadlosti v skladu s členom 339(1) do (8) CRR, in ustrezne kapitalske zahteve iz člena 339(9) CRR. Pozicija se razdeli glede na skupine 1, 2 in 3, skupine pa po zapadlosti instrumentov.</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210–240</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SPLOŠNO TVEGANJE. PRISTOP NA PODLAGI TRAJANJA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Pozicije v dolžniških instrumentih, s katerimi se trguje na borzi, za katere se uporablja pristop na podlagi trajanja v skladu s členom 340(1) do (6) CRR, in </w:t>
            </w:r>
            <w:r>
              <w:rPr>
                <w:rFonts w:ascii="Times New Roman" w:hAnsi="Times New Roman"/>
                <w:sz w:val="24"/>
              </w:rPr>
              <w:lastRenderedPageBreak/>
              <w:t>ustrezne kapitalske zahteve iz člena 340(7) CRR. Pozicija se razdeli glede na skupine 1, 2 in 3.</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250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POSEBNO TVEGANJE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Vsota zneskov iz vrstic 251, 325 in 330.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Pozicije v dolžniških instrumentih, s katerimi se trguje na borzi, za katere se uporablja kapitalska zahteva za posebno tveganje, in ustrezna kapitalska zaht</w:t>
            </w:r>
            <w:r>
              <w:rPr>
                <w:rFonts w:ascii="Times New Roman" w:hAnsi="Times New Roman"/>
                <w:sz w:val="24"/>
              </w:rPr>
              <w:t>e</w:t>
            </w:r>
            <w:r>
              <w:rPr>
                <w:rFonts w:ascii="Times New Roman" w:hAnsi="Times New Roman"/>
                <w:sz w:val="24"/>
              </w:rPr>
              <w:t>va v skladu s členom 92(3)(b), členom 335, členom 336(1) do (3) ter členoma 337 in 338 CRR. Upoštevati je treba tudi zadnji stavek člena 327(1) CRR.</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251-321</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Kapitalske zahteve za dolžniške instrumente, ki niso pozicije v listinjenju</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Vsota zneskov iz vrstic 260 do 321.</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Kapitalske zahteve kreditnih izvedenih finančnih instrumentov na podlagi n-tega neplačila, ki nimajo zunanje bonitetne ocene, je treba izračunati s sešte</w:t>
            </w:r>
            <w:r>
              <w:rPr>
                <w:rFonts w:ascii="Times New Roman" w:hAnsi="Times New Roman"/>
                <w:sz w:val="24"/>
              </w:rPr>
              <w:t>v</w:t>
            </w:r>
            <w:r>
              <w:rPr>
                <w:rFonts w:ascii="Times New Roman" w:hAnsi="Times New Roman"/>
                <w:sz w:val="24"/>
              </w:rPr>
              <w:t>kom uteži tveganja referenčnih subjektov (odstavka 1 in 2 člena 332(1)(e) CRR – „vpogled“). Kreditni izvedeni finančni instrumenti na podlagi n-tega neplač</w:t>
            </w:r>
            <w:r>
              <w:rPr>
                <w:rFonts w:ascii="Times New Roman" w:hAnsi="Times New Roman"/>
                <w:sz w:val="24"/>
              </w:rPr>
              <w:t>i</w:t>
            </w:r>
            <w:r>
              <w:rPr>
                <w:rFonts w:ascii="Times New Roman" w:hAnsi="Times New Roman"/>
                <w:sz w:val="24"/>
              </w:rPr>
              <w:t xml:space="preserve">la, ki imajo zunanjo bonitetno oceno (odstavek 3 člena 332(1)(e) CRR), se poročajo ločeno v vrstici 321.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u w:val="single"/>
              </w:rPr>
              <w:t>Sporočanje pozicij, za katere se uporablja člen 336(3) CRR</w:t>
            </w:r>
            <w:r>
              <w:rPr>
                <w:rFonts w:ascii="Times New Roman" w:hAnsi="Times New Roman"/>
                <w:sz w:val="24"/>
              </w:rPr>
              <w:t>:</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Obveznice, ki izpolnjujejo pogoje za utež tveganja 10 % v netrgovalni knjigi v skladu s členom 129(3) CRR (krite obveznice) so predmet posebne obravnave. Posebne kapitalske zahteve predstavljajo polovico odstotka druge kategorije razpredelnice 1 iz člena 336 CRR. Navedene postavke morajo biti razporejene v vrstice 280–300 glede na preostali čas do končne zapadlosti.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Če je splošno tveganje pozicij iz naslova obrestne mere varovano s kreditnim izvedenim instrumentom, se uporabita člena 346 in 347.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Del="00F27BD6"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325</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Kapitalske zahteve za instrumente v listinjenju</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Skupne kapitalske zahteve, sporočene v stolpcu 610 predloge MKR SA SEC. Poročajo se le na skupni ravni v predlogi MKR SA TDI.</w:t>
            </w:r>
          </w:p>
          <w:p w:rsidR="00722A10" w:rsidRPr="00392FFD" w:rsidDel="00F27BD6" w:rsidRDefault="00722A10"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Del="00F27BD6"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330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Kapitalske zahteve za trgovalni portfelj s korelacijo</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Skupne kapitalske zahteve, sporočene v stolpcu 450 predloge MKR SA CTP. Poročajo se le na skupni ravni v predlogi MKR SA TDI.</w:t>
            </w:r>
          </w:p>
          <w:p w:rsidR="00722A10" w:rsidRPr="00392FFD" w:rsidDel="00F27BD6" w:rsidRDefault="00722A10"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350–390</w:t>
            </w:r>
          </w:p>
        </w:tc>
        <w:tc>
          <w:tcPr>
            <w:tcW w:w="7875" w:type="dxa"/>
          </w:tcPr>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DODATNE ZAHTEVE ZA OPCIJE (NE-DELTA TVEGANJA) </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Člen 329(3) CRR.</w:t>
            </w:r>
          </w:p>
          <w:p w:rsidR="000B0B09" w:rsidRPr="00392FFD" w:rsidRDefault="000B0B09" w:rsidP="000B0B09">
            <w:pPr>
              <w:autoSpaceDE w:val="0"/>
              <w:autoSpaceDN w:val="0"/>
              <w:adjustRightInd w:val="0"/>
              <w:spacing w:before="0" w:after="0"/>
              <w:rPr>
                <w:rFonts w:ascii="Times New Roman" w:hAnsi="Times New Roman"/>
                <w:sz w:val="24"/>
              </w:rPr>
            </w:pPr>
          </w:p>
          <w:p w:rsidR="00D96E61"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Dodatne zahteve za opcije, povezane s tveganji, ki niso delta tveganja, se por</w:t>
            </w:r>
            <w:r>
              <w:rPr>
                <w:rFonts w:ascii="Times New Roman" w:hAnsi="Times New Roman"/>
                <w:sz w:val="24"/>
              </w:rPr>
              <w:t>o</w:t>
            </w:r>
            <w:r>
              <w:rPr>
                <w:rFonts w:ascii="Times New Roman" w:hAnsi="Times New Roman"/>
                <w:sz w:val="24"/>
              </w:rPr>
              <w:t>čajo po metodi, ki se uporablja za njihov izračun.</w:t>
            </w:r>
          </w:p>
          <w:p w:rsidR="000B0B09" w:rsidRPr="00392FFD" w:rsidRDefault="000B0B09" w:rsidP="00D96E61">
            <w:pPr>
              <w:autoSpaceDE w:val="0"/>
              <w:autoSpaceDN w:val="0"/>
              <w:adjustRightInd w:val="0"/>
              <w:spacing w:before="0" w:after="0"/>
              <w:rPr>
                <w:rFonts w:ascii="Times New Roman" w:hAnsi="Times New Roman"/>
                <w:bCs/>
                <w:sz w:val="24"/>
              </w:rPr>
            </w:pPr>
          </w:p>
        </w:tc>
      </w:tr>
    </w:tbl>
    <w:p w:rsidR="000B0B09" w:rsidRPr="00392FFD" w:rsidRDefault="000B0B09" w:rsidP="000B0B09">
      <w:pPr>
        <w:autoSpaceDE w:val="0"/>
        <w:autoSpaceDN w:val="0"/>
        <w:adjustRightInd w:val="0"/>
        <w:spacing w:before="0" w:after="0"/>
        <w:rPr>
          <w:rFonts w:ascii="Times New Roman" w:hAnsi="Times New Roman"/>
          <w:bCs/>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21" w:name="_Toc294172370"/>
      <w:bookmarkStart w:id="622" w:name="_Toc295829999"/>
      <w:bookmarkStart w:id="623" w:name="_Toc308426676"/>
      <w:bookmarkStart w:id="624" w:name="_Toc310415060"/>
      <w:bookmarkStart w:id="625" w:name="_Toc360188395"/>
      <w:bookmarkStart w:id="626" w:name="_Toc516210686"/>
      <w:bookmarkStart w:id="627" w:name="_Toc473561035"/>
      <w:bookmarkStart w:id="628" w:name="_Toc523474435"/>
      <w:r>
        <w:rPr>
          <w:rFonts w:ascii="Times New Roman" w:hAnsi="Times New Roman"/>
          <w:sz w:val="24"/>
          <w:u w:val="none"/>
        </w:rPr>
        <w:lastRenderedPageBreak/>
        <w:t>5.2.</w:t>
      </w:r>
      <w:r w:rsidR="003F40E8" w:rsidRPr="003F40E8">
        <w:rPr>
          <w:u w:val="none"/>
        </w:rPr>
        <w:tab/>
      </w:r>
      <w:r>
        <w:rPr>
          <w:rFonts w:ascii="Times New Roman" w:hAnsi="Times New Roman"/>
          <w:sz w:val="24"/>
        </w:rPr>
        <w:t>C 19.00 – TRŽNO TVEGANJE: STANDARDIZIRANI PRISTOP ZA POSEBNO TVEGANJE V LISTINJENJIH (MKR SA SEC)</w:t>
      </w:r>
      <w:bookmarkEnd w:id="621"/>
      <w:bookmarkEnd w:id="622"/>
      <w:bookmarkEnd w:id="623"/>
      <w:bookmarkEnd w:id="624"/>
      <w:bookmarkEnd w:id="625"/>
      <w:bookmarkEnd w:id="626"/>
      <w:bookmarkEnd w:id="627"/>
      <w:bookmarkEnd w:id="628"/>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29" w:name="_Toc294172371"/>
      <w:bookmarkStart w:id="630" w:name="_Toc295830000"/>
      <w:bookmarkStart w:id="631" w:name="_Toc308426677"/>
      <w:bookmarkStart w:id="632" w:name="_Toc310415061"/>
      <w:bookmarkStart w:id="633" w:name="_Toc360188396"/>
      <w:bookmarkStart w:id="634" w:name="_Toc516210687"/>
      <w:bookmarkStart w:id="635" w:name="_Toc473561036"/>
      <w:bookmarkStart w:id="636" w:name="_Toc523474436"/>
      <w:r>
        <w:rPr>
          <w:rFonts w:ascii="Times New Roman" w:hAnsi="Times New Roman"/>
          <w:sz w:val="24"/>
          <w:u w:val="none"/>
        </w:rPr>
        <w:t>5.2.1.</w:t>
      </w:r>
      <w:r w:rsidR="003F40E8" w:rsidRPr="003F40E8">
        <w:rPr>
          <w:u w:val="none"/>
        </w:rPr>
        <w:tab/>
      </w:r>
      <w:r>
        <w:rPr>
          <w:rFonts w:ascii="Times New Roman" w:hAnsi="Times New Roman"/>
          <w:sz w:val="24"/>
        </w:rPr>
        <w:t>Splošne opombe</w:t>
      </w:r>
      <w:bookmarkEnd w:id="629"/>
      <w:bookmarkEnd w:id="630"/>
      <w:bookmarkEnd w:id="631"/>
      <w:bookmarkEnd w:id="632"/>
      <w:bookmarkEnd w:id="633"/>
      <w:bookmarkEnd w:id="634"/>
      <w:bookmarkEnd w:id="635"/>
      <w:bookmarkEnd w:id="636"/>
    </w:p>
    <w:p w:rsidR="000B0B09" w:rsidRDefault="00125707" w:rsidP="00C37B29">
      <w:pPr>
        <w:pStyle w:val="InstructionsText2"/>
        <w:numPr>
          <w:ilvl w:val="0"/>
          <w:numId w:val="0"/>
        </w:numPr>
        <w:ind w:left="993"/>
      </w:pPr>
      <w:r>
        <w:t>141.</w:t>
      </w:r>
      <w:r>
        <w:tab/>
        <w:t>V tej predlogi se navedejo informacije o pozicijah (vse/neto in dolge/kratke) ter povezanih kapitalskih zahtevah za posebno tveganje pozicijskega tveganja v listi</w:t>
      </w:r>
      <w:r>
        <w:t>n</w:t>
      </w:r>
      <w:r>
        <w:t>jenjih/</w:t>
      </w:r>
      <w:proofErr w:type="spellStart"/>
      <w:r>
        <w:t>relistinjenjih</w:t>
      </w:r>
      <w:proofErr w:type="spellEnd"/>
      <w:r>
        <w:t xml:space="preserve"> v trgovalni knjigi (neprimernih za portfelj trgovanja s korelac</w:t>
      </w:r>
      <w:r>
        <w:t>i</w:t>
      </w:r>
      <w:r>
        <w:t>jo) v skladu s standardiziranim pristopom. Na referenčne datume poročanja po 1. januarju 2019 se listinjenja v trgovalni knjigi, pri katerih se kapitalska zahteva za posebno tveganje določi na podlagi CRR, tj. če se kapitalska zahteva izračuna v skladu z revidiranim okvirom za listinjenja, ne poročajo v tej predlogi, temveč samo v predlogi C 02.00. Enako se na referenčne datume poročanja po 1. januarju 2019 pozicije v listinjenju, za katere se uporablja utež tveganja 1 250 % v skladu s CRR in ki se odbijejo od navadnega lastniškega temeljnega kapitala v skladu s členom 36(1)(k)(</w:t>
      </w:r>
      <w:proofErr w:type="spellStart"/>
      <w:r>
        <w:t>ii</w:t>
      </w:r>
      <w:proofErr w:type="spellEnd"/>
      <w:r>
        <w:t>) CRR, ne poročajo v tej predlogi, temveč samo v pre</w:t>
      </w:r>
      <w:r>
        <w:t>d</w:t>
      </w:r>
      <w:r>
        <w:t>logi C 01.00.</w:t>
      </w:r>
    </w:p>
    <w:p w:rsidR="00E50E79" w:rsidRPr="00392FFD" w:rsidRDefault="00FF1422" w:rsidP="00C37B29">
      <w:pPr>
        <w:pStyle w:val="InstructionsText2"/>
        <w:numPr>
          <w:ilvl w:val="0"/>
          <w:numId w:val="0"/>
        </w:numPr>
        <w:ind w:left="993"/>
      </w:pPr>
      <w:r>
        <w:t>141a. Za namene te predloge vsa sklicevanja na člene poglavja 5 naslova II dela 3 CRR in na člen 337 CRR pomenijo sklicevanja na različico CRR, ki je veljala 31. decembra 2018.</w:t>
      </w:r>
    </w:p>
    <w:p w:rsidR="000B0B09" w:rsidRPr="00392FFD" w:rsidRDefault="00125707" w:rsidP="00C37B29">
      <w:pPr>
        <w:pStyle w:val="InstructionsText2"/>
        <w:numPr>
          <w:ilvl w:val="0"/>
          <w:numId w:val="0"/>
        </w:numPr>
        <w:ind w:left="993"/>
      </w:pPr>
      <w:r>
        <w:t>142.</w:t>
      </w:r>
      <w:r>
        <w:tab/>
        <w:t>Predloga MKR SA SEC določa kapitalske zahteve le za posebno tveganje pozicij v listinjenju v skladu s členom 335 v povezavi s členom 337 CRR. Če so pozicije v listinjenju trgovalne knjige varovane s kreditnimi izvedenimi finančnimi instrumenti, se uporabljata člena 346 in 347 CRR. Za vse pozicije trgovalne knjige se uporablja le ena predloga, ne glede na dejstvo, ali institucija uporablja standard</w:t>
      </w:r>
      <w:r>
        <w:t>i</w:t>
      </w:r>
      <w:r>
        <w:t>zirani pristop ali pristop na osnovi notranjih bonitetnih ocen za določanje uteži tv</w:t>
      </w:r>
      <w:r>
        <w:t>e</w:t>
      </w:r>
      <w:r>
        <w:t>ganja za vsako pozicijo v skladu s poglavjem 5 naslova II dela 3 CRR. O kapita</w:t>
      </w:r>
      <w:r>
        <w:t>l</w:t>
      </w:r>
      <w:r>
        <w:t>skih zahtevah splošnega tveganja teh pozicij se poroča v predlogi MKR SA TDI ali MKR IM.</w:t>
      </w:r>
    </w:p>
    <w:p w:rsidR="00606885" w:rsidRPr="00392FFD" w:rsidRDefault="00125707" w:rsidP="00C37B29">
      <w:pPr>
        <w:pStyle w:val="InstructionsText2"/>
        <w:numPr>
          <w:ilvl w:val="0"/>
          <w:numId w:val="0"/>
        </w:numPr>
        <w:ind w:left="993"/>
      </w:pPr>
      <w:r>
        <w:t>143.</w:t>
      </w:r>
      <w:r>
        <w:tab/>
        <w:t>Pozicije, ki prejmejo utež tveganja 1 250 %, se lahko odbijejo od navadnega lastniškega temeljnega kapitala (glej 243(1)(b), 244(1)(b) in 258 CRR). V tem pr</w:t>
      </w:r>
      <w:r>
        <w:t>i</w:t>
      </w:r>
      <w:r>
        <w:t>meru je treba te pozicije sporočiti v vrstici 460 predloge CA1.</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37" w:name="_Toc294172372"/>
      <w:bookmarkStart w:id="638" w:name="_Toc295830001"/>
      <w:bookmarkStart w:id="639" w:name="_Toc308426678"/>
      <w:bookmarkStart w:id="640" w:name="_Toc310415062"/>
      <w:bookmarkStart w:id="641" w:name="_Toc360188397"/>
      <w:bookmarkStart w:id="642" w:name="_Toc516210688"/>
      <w:bookmarkStart w:id="643" w:name="_Toc473561037"/>
      <w:bookmarkStart w:id="644" w:name="_Toc523474437"/>
      <w:r>
        <w:rPr>
          <w:rFonts w:ascii="Times New Roman" w:hAnsi="Times New Roman"/>
          <w:sz w:val="24"/>
          <w:u w:val="none"/>
        </w:rPr>
        <w:t>5.2.2.</w:t>
      </w:r>
      <w:r w:rsidR="003F40E8" w:rsidRPr="003F40E8">
        <w:rPr>
          <w:u w:val="none"/>
        </w:rPr>
        <w:tab/>
      </w:r>
      <w:r>
        <w:rPr>
          <w:rFonts w:ascii="Times New Roman" w:hAnsi="Times New Roman"/>
          <w:sz w:val="24"/>
        </w:rPr>
        <w:t>Navodila za posamezne pozicije</w:t>
      </w:r>
      <w:bookmarkEnd w:id="637"/>
      <w:bookmarkEnd w:id="638"/>
      <w:bookmarkEnd w:id="639"/>
      <w:bookmarkEnd w:id="640"/>
      <w:bookmarkEnd w:id="641"/>
      <w:bookmarkEnd w:id="642"/>
      <w:bookmarkEnd w:id="643"/>
      <w:bookmarkEnd w:id="6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31"/>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Stolpci</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VSE POZICIJE (DOLGE IN KRATKE)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Člen 102 in člen 105(1) CRR v povezavi s členom 337 CRR (pozicije v listi</w:t>
            </w:r>
            <w:r>
              <w:rPr>
                <w:rStyle w:val="InstructionsTabelleText"/>
                <w:rFonts w:ascii="Times New Roman" w:hAnsi="Times New Roman"/>
                <w:sz w:val="24"/>
              </w:rPr>
              <w:t>n</w:t>
            </w:r>
            <w:r>
              <w:rPr>
                <w:rStyle w:val="InstructionsTabelleText"/>
                <w:rFonts w:ascii="Times New Roman" w:hAnsi="Times New Roman"/>
                <w:sz w:val="24"/>
              </w:rPr>
              <w:t xml:space="preserve">jenju). Za razlikovanje med dolgimi in kratkimi pozicijami, ki se uporablja tudi za te bruto pozicije, glej člen 328(2) CRR.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 POZICIJE, ODBITE OD KAPITALA</w:t>
            </w:r>
            <w:r>
              <w:rPr>
                <w:rFonts w:ascii="Times New Roman" w:hAnsi="Times New Roman"/>
                <w:b/>
                <w:sz w:val="24"/>
                <w:u w:val="single"/>
              </w:rPr>
              <w:t xml:space="preserve"> (DOLGE IN KRATKE)</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Člen 258 CRR.</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NETO POZICIJE</w:t>
            </w:r>
            <w:r>
              <w:rPr>
                <w:rFonts w:ascii="Times New Roman" w:hAnsi="Times New Roman"/>
                <w:b/>
                <w:sz w:val="24"/>
                <w:u w:val="single"/>
              </w:rPr>
              <w:t xml:space="preserve"> (DOLGE IN KRATKE)</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lastRenderedPageBreak/>
              <w:t>Členi 327 do 329 in 334 CRR. Za razlikovanje med dolgimi in kratkimi pozic</w:t>
            </w:r>
            <w:r>
              <w:rPr>
                <w:rStyle w:val="InstructionsTabelleText"/>
                <w:rFonts w:ascii="Times New Roman" w:hAnsi="Times New Roman"/>
                <w:sz w:val="24"/>
              </w:rPr>
              <w:t>i</w:t>
            </w:r>
            <w:r>
              <w:rPr>
                <w:rStyle w:val="InstructionsTabelleText"/>
                <w:rFonts w:ascii="Times New Roman" w:hAnsi="Times New Roman"/>
                <w:sz w:val="24"/>
              </w:rPr>
              <w:t>jami glej člen 328(2) CRR.</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070–520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RAZČLENITEV NETO POZICIJ GLEDE NA UTEŽI TVEGANJA</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Člen 251 (razpredelnica 1) in člen 261(1) (razpredelnica 4) CRR. Razčlenitev je treba izvesti ločeno za dolge in kratke pozicije.</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230–240 in 460–470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1250 %</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Člen 251 (razpredelnica 1) in člen 261(1) (razpredelnica 4) CRR.</w:t>
            </w:r>
          </w:p>
        </w:tc>
      </w:tr>
      <w:tr w:rsidR="000B0B09" w:rsidRPr="00392FFD" w:rsidTr="00672D2A">
        <w:trPr>
          <w:trHeight w:val="1706"/>
        </w:trPr>
        <w:tc>
          <w:tcPr>
            <w:tcW w:w="988" w:type="dxa"/>
          </w:tcPr>
          <w:p w:rsidR="000B0B09" w:rsidRPr="00392FFD" w:rsidRDefault="000B0B09" w:rsidP="000B0B09">
            <w:pPr>
              <w:rPr>
                <w:rFonts w:ascii="Times New Roman" w:hAnsi="Times New Roman"/>
                <w:sz w:val="24"/>
              </w:rPr>
            </w:pPr>
            <w:r>
              <w:rPr>
                <w:rFonts w:ascii="Times New Roman" w:hAnsi="Times New Roman"/>
                <w:sz w:val="24"/>
              </w:rPr>
              <w:t>250–260 in 480–490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METODA NADZORNIŠKE FORMULE</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Člen 337(2) CRR v povezavi s členom 262 CRR. </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Ti stolpci se izpolnijo, kadar institucija uporablja alternativni pristop nadzorn</w:t>
            </w:r>
            <w:r>
              <w:rPr>
                <w:rStyle w:val="InstructionsTabelleText"/>
                <w:rFonts w:ascii="Times New Roman" w:hAnsi="Times New Roman"/>
                <w:sz w:val="24"/>
              </w:rPr>
              <w:t>i</w:t>
            </w:r>
            <w:r>
              <w:rPr>
                <w:rStyle w:val="InstructionsTabelleText"/>
                <w:rFonts w:ascii="Times New Roman" w:hAnsi="Times New Roman"/>
                <w:sz w:val="24"/>
              </w:rPr>
              <w:t>ške formule (SFA), ki določa kapitalske zahteve kot funkcijo značilnosti sk</w:t>
            </w:r>
            <w:r>
              <w:rPr>
                <w:rStyle w:val="InstructionsTabelleText"/>
                <w:rFonts w:ascii="Times New Roman" w:hAnsi="Times New Roman"/>
                <w:sz w:val="24"/>
              </w:rPr>
              <w:t>u</w:t>
            </w:r>
            <w:r>
              <w:rPr>
                <w:rStyle w:val="InstructionsTabelleText"/>
                <w:rFonts w:ascii="Times New Roman" w:hAnsi="Times New Roman"/>
                <w:sz w:val="24"/>
              </w:rPr>
              <w:t xml:space="preserve">pine zavarovanj in pogodbenih lastnosti tranše. </w:t>
            </w:r>
          </w:p>
          <w:p w:rsidR="000B0B09" w:rsidRPr="00392FFD" w:rsidRDefault="000B0B09" w:rsidP="000B0B09">
            <w:pPr>
              <w:autoSpaceDE w:val="0"/>
              <w:autoSpaceDN w:val="0"/>
              <w:adjustRightInd w:val="0"/>
              <w:spacing w:before="0" w:after="0"/>
              <w:rPr>
                <w:rFonts w:ascii="Times New Roman" w:hAnsi="Times New Roman"/>
                <w:bCs/>
                <w:sz w:val="24"/>
                <w:u w:val="single"/>
              </w:rPr>
            </w:pPr>
          </w:p>
        </w:tc>
      </w:tr>
      <w:tr w:rsidR="000B0B09" w:rsidRPr="00392FFD" w:rsidTr="00672D2A">
        <w:trPr>
          <w:trHeight w:val="2254"/>
        </w:trPr>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270 in 500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VPOGLED</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SA: Člena 253 in 254 ter člen 256(5) CRR. Stolpci z vpogledom zajemajo vse primere neocenjenih izpostavljenosti, kadar se utež tveganja pridobi na podlagi osnovnega portfelja izpostavljenosti (povprečna utež tveganja skupine, najvišja utež tveganja skupine ali uporaba razmerja koncentracije).</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Pristop IRB: Člen 263(2) in (3) CRR. Predčasna odplačila so opisana v členih 265(1) in 256(5) CRR.</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280–290 / 510–520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PRISTOP NOTRANJEGA OCENJEVANJA</w:t>
            </w:r>
          </w:p>
          <w:p w:rsidR="000B0B09" w:rsidRPr="00392FFD" w:rsidRDefault="000B0B09" w:rsidP="000B0B09">
            <w:pPr>
              <w:autoSpaceDE w:val="0"/>
              <w:autoSpaceDN w:val="0"/>
              <w:adjustRightInd w:val="0"/>
              <w:jc w:val="left"/>
              <w:rPr>
                <w:rStyle w:val="InstructionsTabelleText"/>
                <w:rFonts w:ascii="Times New Roman" w:hAnsi="Times New Roman"/>
                <w:sz w:val="24"/>
              </w:rPr>
            </w:pPr>
            <w:r>
              <w:rPr>
                <w:rStyle w:val="InstructionsTabelleText"/>
                <w:rFonts w:ascii="Times New Roman" w:hAnsi="Times New Roman"/>
                <w:sz w:val="24"/>
              </w:rPr>
              <w:t>Drugi stavek člena 109(1) ter člen 259(3) in (4) CRR.</w:t>
            </w:r>
          </w:p>
          <w:p w:rsidR="000B0B09" w:rsidRPr="00392FFD" w:rsidRDefault="000B0B09" w:rsidP="000B0B09">
            <w:pPr>
              <w:autoSpaceDE w:val="0"/>
              <w:autoSpaceDN w:val="0"/>
              <w:adjustRightInd w:val="0"/>
              <w:jc w:val="left"/>
              <w:rPr>
                <w:rFonts w:ascii="Times New Roman" w:hAnsi="Times New Roman"/>
                <w:bCs/>
                <w:sz w:val="24"/>
                <w:u w:val="single"/>
              </w:rPr>
            </w:pPr>
            <w:r>
              <w:rPr>
                <w:rStyle w:val="InstructionsTabelleText"/>
                <w:rFonts w:ascii="Times New Roman" w:hAnsi="Times New Roman"/>
                <w:sz w:val="24"/>
              </w:rPr>
              <w:t>Ti stolpci se izpolnijo, kadar institucija uporablja pristop notranjega ocenjeva</w:t>
            </w:r>
            <w:r>
              <w:rPr>
                <w:rStyle w:val="InstructionsTabelleText"/>
                <w:rFonts w:ascii="Times New Roman" w:hAnsi="Times New Roman"/>
                <w:sz w:val="24"/>
              </w:rPr>
              <w:t>n</w:t>
            </w:r>
            <w:r>
              <w:rPr>
                <w:rStyle w:val="InstructionsTabelleText"/>
                <w:rFonts w:ascii="Times New Roman" w:hAnsi="Times New Roman"/>
                <w:sz w:val="24"/>
              </w:rPr>
              <w:t>ja za določanje kapitalskih zahtev za okvirne likvidnostne kredite in kreditne izboljšave, ki jih banke (vključno z bankami tretjih oseb) zagotavljajo posebej ustanovljenim subjektom, ki izdajajo komercialne zapise s premoženjskim kri</w:t>
            </w:r>
            <w:r>
              <w:rPr>
                <w:rStyle w:val="InstructionsTabelleText"/>
                <w:rFonts w:ascii="Times New Roman" w:hAnsi="Times New Roman"/>
                <w:sz w:val="24"/>
              </w:rPr>
              <w:t>t</w:t>
            </w:r>
            <w:r>
              <w:rPr>
                <w:rStyle w:val="InstructionsTabelleText"/>
                <w:rFonts w:ascii="Times New Roman" w:hAnsi="Times New Roman"/>
                <w:sz w:val="24"/>
              </w:rPr>
              <w:t>jem (ABCP). Pristop notranjega ocenjevanja (IAA), ki temelji na metodolog</w:t>
            </w:r>
            <w:r>
              <w:rPr>
                <w:rStyle w:val="InstructionsTabelleText"/>
                <w:rFonts w:ascii="Times New Roman" w:hAnsi="Times New Roman"/>
                <w:sz w:val="24"/>
              </w:rPr>
              <w:t>i</w:t>
            </w:r>
            <w:r>
              <w:rPr>
                <w:rStyle w:val="InstructionsTabelleText"/>
                <w:rFonts w:ascii="Times New Roman" w:hAnsi="Times New Roman"/>
                <w:sz w:val="24"/>
              </w:rPr>
              <w:t>jah ECAI, se uporablja le za izpostavljenosti do posebej ustanovljenih subje</w:t>
            </w:r>
            <w:r>
              <w:rPr>
                <w:rStyle w:val="InstructionsTabelleText"/>
                <w:rFonts w:ascii="Times New Roman" w:hAnsi="Times New Roman"/>
                <w:sz w:val="24"/>
              </w:rPr>
              <w:t>k</w:t>
            </w:r>
            <w:r>
              <w:rPr>
                <w:rStyle w:val="InstructionsTabelleText"/>
                <w:rFonts w:ascii="Times New Roman" w:hAnsi="Times New Roman"/>
                <w:sz w:val="24"/>
              </w:rPr>
              <w:t>tov, ki izdajajo komercialne zapise s premoženjskim kritjem, katerih notranja bonitetna ocena je ob nastanku enakovredna naložbenemu razredu.</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530–540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SPLOŠNI UČINEK (PRILAGODITEV) ZARADI KRŠITVE DOLOČB GLEDE SKRBNEGA PREGLEDA</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104A6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Člen 337(3) CRR v povezavi s členom 407 CRR. Člen 14(2) CRR.</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550–570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PRED UVEDBO OMEJITVE – TEHTANE NETO DOLGE/KRATKE POZICIJE IN VSOTA TEHTANIH NETO DOLGIH IN KRATKIH POZICIJ</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Člen 337 CRR, pri čemer se ne upošteva diskrecijska pravica iz člena 335 CRR, ki instituciji omogoča omejitev produkta uteži in neto pozicije na raven največje možne izgube, povezane s tveganjem neplačila.</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580–600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PO UVEDBI OMEJITVE – TEHTANE NETO DOLGE/KRATKE POZICIJE IN VSOTA TEHTANIH NETO DOLGIH IN KRATKIH </w:t>
            </w:r>
            <w:r>
              <w:rPr>
                <w:rFonts w:ascii="Times New Roman" w:hAnsi="Times New Roman"/>
                <w:b/>
                <w:sz w:val="24"/>
                <w:u w:val="single"/>
              </w:rPr>
              <w:lastRenderedPageBreak/>
              <w:t>POZICIJ</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Člen 337 CRR ob upoštevanju diskrecijske pravice iz člena 335 CRR.</w:t>
            </w:r>
          </w:p>
        </w:tc>
      </w:tr>
      <w:tr w:rsidR="000B0B09" w:rsidRPr="00392FFD" w:rsidTr="00672D2A">
        <w:trPr>
          <w:trHeight w:val="416"/>
        </w:trPr>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610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SKUPNE KAPITALSKE ZAHTEVE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V skladu s členom 337(4) CRR institucija v prehodnem obdobju, ki se konča 31. decembra 2014, ločeno sešteje svoje tehtane neto dolge pozicije (stolpec 580) in svoje tehtane neto kratke pozicije (stolpec 590). Višji od obeh sešte</w:t>
            </w:r>
            <w:r>
              <w:rPr>
                <w:rFonts w:ascii="Times New Roman" w:hAnsi="Times New Roman"/>
                <w:sz w:val="24"/>
              </w:rPr>
              <w:t>v</w:t>
            </w:r>
            <w:r>
              <w:rPr>
                <w:rFonts w:ascii="Times New Roman" w:hAnsi="Times New Roman"/>
                <w:sz w:val="24"/>
              </w:rPr>
              <w:t>kov (po omejitvi) tvori kapitalsko zahtevo. Od leta 2015 institucija v skladu s členom 337(4) CRR sešteje svoje tehtane neto pozicije, ne glede na to, ali so dolge ali kratke (stolpec 600), za izračun kapitalskih zahtev.</w:t>
            </w:r>
          </w:p>
        </w:tc>
      </w:tr>
    </w:tbl>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8"/>
        <w:gridCol w:w="7894"/>
      </w:tblGrid>
      <w:tr w:rsidR="000B0B09" w:rsidRPr="00392FFD" w:rsidTr="00672D2A">
        <w:trPr>
          <w:trHeight w:val="537"/>
        </w:trPr>
        <w:tc>
          <w:tcPr>
            <w:tcW w:w="8862" w:type="dxa"/>
            <w:gridSpan w:val="2"/>
            <w:shd w:val="clear" w:color="auto" w:fill="BFBFBF"/>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Vrstice</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94" w:type="dxa"/>
          </w:tcPr>
          <w:p w:rsidR="000B0B09" w:rsidRPr="00392FFD" w:rsidRDefault="000B0B09" w:rsidP="000B0B09">
            <w:pPr>
              <w:rPr>
                <w:rFonts w:ascii="Times New Roman" w:hAnsi="Times New Roman"/>
                <w:sz w:val="24"/>
              </w:rPr>
            </w:pPr>
            <w:r>
              <w:rPr>
                <w:rStyle w:val="InstructionsTabelleberschrift"/>
                <w:rFonts w:ascii="Times New Roman" w:hAnsi="Times New Roman"/>
                <w:sz w:val="24"/>
              </w:rPr>
              <w:t>SKUPNI ZNESEK IZPOSTAVLJENOSTI</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Skupni znesek neporavnanih listinjenj (v trgovalni knjigi), ki ga sporoči instit</w:t>
            </w:r>
            <w:r>
              <w:rPr>
                <w:rFonts w:ascii="Times New Roman" w:hAnsi="Times New Roman"/>
                <w:sz w:val="24"/>
              </w:rPr>
              <w:t>u</w:t>
            </w:r>
            <w:r>
              <w:rPr>
                <w:rFonts w:ascii="Times New Roman" w:hAnsi="Times New Roman"/>
                <w:sz w:val="24"/>
              </w:rPr>
              <w:t>cija v vlogi originatorja in/ali investitorja in/ali sponzorja.</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 070 in</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LISTINJENJA</w:t>
            </w:r>
          </w:p>
          <w:p w:rsidR="000B0B09" w:rsidRPr="00392FFD" w:rsidRDefault="000B0B09" w:rsidP="00BB73C8">
            <w:pPr>
              <w:autoSpaceDE w:val="0"/>
              <w:autoSpaceDN w:val="0"/>
              <w:adjustRightInd w:val="0"/>
              <w:spacing w:before="0" w:after="0"/>
              <w:rPr>
                <w:rFonts w:ascii="Times New Roman" w:hAnsi="Times New Roman"/>
                <w:bCs/>
                <w:sz w:val="24"/>
              </w:rPr>
            </w:pPr>
            <w:r>
              <w:rPr>
                <w:rFonts w:ascii="Times New Roman" w:hAnsi="Times New Roman"/>
                <w:sz w:val="24"/>
              </w:rPr>
              <w:t>Člen 4(61) in (62) CRR.</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020, 050,</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 in 110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RELISTINJENJA</w:t>
            </w:r>
          </w:p>
          <w:p w:rsidR="000B0B09" w:rsidRPr="00392FFD" w:rsidRDefault="000B0B09" w:rsidP="00E871FE">
            <w:pPr>
              <w:autoSpaceDE w:val="0"/>
              <w:autoSpaceDN w:val="0"/>
              <w:adjustRightInd w:val="0"/>
              <w:spacing w:before="0" w:after="0"/>
              <w:rPr>
                <w:rFonts w:ascii="Times New Roman" w:hAnsi="Times New Roman"/>
                <w:bCs/>
                <w:sz w:val="24"/>
              </w:rPr>
            </w:pPr>
            <w:r>
              <w:rPr>
                <w:rFonts w:ascii="Times New Roman" w:hAnsi="Times New Roman"/>
                <w:sz w:val="24"/>
              </w:rPr>
              <w:t>Člen 4(63) CRR.</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030–050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ORIGINATOR</w:t>
            </w:r>
          </w:p>
          <w:p w:rsidR="000B0B09" w:rsidRPr="00392FFD" w:rsidRDefault="000B0B09" w:rsidP="00104A65">
            <w:pPr>
              <w:autoSpaceDE w:val="0"/>
              <w:autoSpaceDN w:val="0"/>
              <w:adjustRightInd w:val="0"/>
              <w:spacing w:before="0" w:after="0"/>
              <w:rPr>
                <w:rFonts w:ascii="Times New Roman" w:hAnsi="Times New Roman"/>
                <w:bCs/>
                <w:sz w:val="24"/>
              </w:rPr>
            </w:pPr>
            <w:r>
              <w:rPr>
                <w:rFonts w:ascii="Times New Roman" w:hAnsi="Times New Roman"/>
                <w:sz w:val="24"/>
              </w:rPr>
              <w:t>Člen 4(13) CRR.</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060–080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INVESTITOR</w:t>
            </w: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Kreditna institucija, ki ima pozicijo v listinjenju v poslu listinjenja, pri katerem ni originator ali sponzor.</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090–110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SPONZOR</w:t>
            </w:r>
          </w:p>
          <w:p w:rsidR="000B0B09" w:rsidRPr="00392FFD" w:rsidRDefault="000B0B09" w:rsidP="00E871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Člen 4(14) CRR. Če sponzor listini tudi kapital, v vrsticah originatorja navede informacije glede lastnih listinjenih sredstev.</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120–210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RAZČLENITEV SKUPNE VSOTE TEHTANIH NETO DOLGIH IN NETO KRATKIH POZICIJ GLEDE NA OSNOVNO VRSTO</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Zadnji stavek člena 337(4) CRR.</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Pri razčlenitvi osnovnih sredstev se upošteva razvrstitev, ki se uporablja v pre</w:t>
            </w:r>
            <w:r>
              <w:rPr>
                <w:rStyle w:val="InstructionsTabelleText"/>
                <w:rFonts w:ascii="Times New Roman" w:hAnsi="Times New Roman"/>
                <w:sz w:val="24"/>
              </w:rPr>
              <w:t>d</w:t>
            </w:r>
            <w:r>
              <w:rPr>
                <w:rStyle w:val="InstructionsTabelleText"/>
                <w:rFonts w:ascii="Times New Roman" w:hAnsi="Times New Roman"/>
                <w:sz w:val="24"/>
              </w:rPr>
              <w:t xml:space="preserve">logi SEC </w:t>
            </w:r>
            <w:proofErr w:type="spellStart"/>
            <w:r>
              <w:rPr>
                <w:rStyle w:val="InstructionsTabelleText"/>
                <w:rFonts w:ascii="Times New Roman" w:hAnsi="Times New Roman"/>
                <w:sz w:val="24"/>
              </w:rPr>
              <w:t>Details</w:t>
            </w:r>
            <w:proofErr w:type="spellEnd"/>
            <w:r>
              <w:rPr>
                <w:rStyle w:val="InstructionsTabelleText"/>
                <w:rFonts w:ascii="Times New Roman" w:hAnsi="Times New Roman"/>
                <w:sz w:val="24"/>
              </w:rPr>
              <w:t xml:space="preserve"> (stolpec „Vrsta“):</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1 – Hipoteke na stanovanjske nepremičnine,</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2 – Hipoteke na poslovne nepremičnine,</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3 – Terjatve iz naslova poslovanja s kreditnimi karticami,</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4 – Zakup,</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5 – Posojila podjetjem ali MSP (obravnavana kot podjetja),</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6 – Potrošniška posojila,</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lastRenderedPageBreak/>
              <w:tab/>
            </w:r>
            <w:r>
              <w:rPr>
                <w:rStyle w:val="InstructionsTabelleText"/>
                <w:rFonts w:ascii="Times New Roman" w:hAnsi="Times New Roman"/>
                <w:sz w:val="24"/>
              </w:rPr>
              <w:t>7 – Terjatve do kupcev,</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8 – Druga sredstva,</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9 – Krite obveznice,</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10 – Druge obveznosti.</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Pri vsakem listinjenju institucija obravnava najpomembnejšo vrsto, če je skup</w:t>
            </w:r>
            <w:r>
              <w:rPr>
                <w:rStyle w:val="InstructionsTabelleText"/>
                <w:rFonts w:ascii="Times New Roman" w:hAnsi="Times New Roman"/>
                <w:sz w:val="24"/>
              </w:rPr>
              <w:t>i</w:t>
            </w:r>
            <w:r>
              <w:rPr>
                <w:rStyle w:val="InstructionsTabelleText"/>
                <w:rFonts w:ascii="Times New Roman" w:hAnsi="Times New Roman"/>
                <w:sz w:val="24"/>
              </w:rPr>
              <w:t>na sestavljena iz različnih vrst sredstev.</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45" w:name="_Toc294172373"/>
      <w:bookmarkStart w:id="646" w:name="_Toc295830002"/>
      <w:bookmarkStart w:id="647" w:name="_Toc308426679"/>
      <w:bookmarkStart w:id="648" w:name="_Toc310415063"/>
      <w:bookmarkStart w:id="649" w:name="_Toc360188398"/>
      <w:bookmarkStart w:id="650" w:name="_Toc516210689"/>
      <w:bookmarkStart w:id="651" w:name="_Toc473561038"/>
      <w:bookmarkStart w:id="652" w:name="_Toc523474438"/>
      <w:r>
        <w:rPr>
          <w:rFonts w:ascii="Times New Roman" w:hAnsi="Times New Roman"/>
          <w:sz w:val="24"/>
          <w:u w:val="none"/>
        </w:rPr>
        <w:t>5.3.</w:t>
      </w:r>
      <w:r w:rsidR="003F40E8" w:rsidRPr="003F40E8">
        <w:rPr>
          <w:u w:val="none"/>
        </w:rPr>
        <w:tab/>
      </w:r>
      <w:r>
        <w:rPr>
          <w:rFonts w:ascii="Times New Roman" w:hAnsi="Times New Roman"/>
          <w:sz w:val="24"/>
        </w:rPr>
        <w:t>C 20.00 – TRŽNO TVEGANJE: STANDARDIZIRANI PRISTOP ZA POSEBNO TVEGANJE V TRGOVALNEM PORTFELJU S KORELACIJO (MKR SA CTP</w:t>
      </w:r>
      <w:bookmarkEnd w:id="645"/>
      <w:bookmarkEnd w:id="646"/>
      <w:bookmarkEnd w:id="647"/>
      <w:bookmarkEnd w:id="648"/>
      <w:r>
        <w:rPr>
          <w:rFonts w:ascii="Times New Roman" w:hAnsi="Times New Roman"/>
          <w:sz w:val="24"/>
        </w:rPr>
        <w:t>)</w:t>
      </w:r>
      <w:bookmarkEnd w:id="649"/>
      <w:bookmarkEnd w:id="650"/>
      <w:bookmarkEnd w:id="651"/>
      <w:bookmarkEnd w:id="652"/>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53" w:name="_Toc294172374"/>
      <w:bookmarkStart w:id="654" w:name="_Toc295830003"/>
      <w:bookmarkStart w:id="655" w:name="_Toc308426680"/>
      <w:bookmarkStart w:id="656" w:name="_Toc310415064"/>
      <w:bookmarkStart w:id="657" w:name="_Toc360188399"/>
      <w:bookmarkStart w:id="658" w:name="_Toc516210690"/>
      <w:bookmarkStart w:id="659" w:name="_Toc473561039"/>
      <w:bookmarkStart w:id="660" w:name="_Toc523474439"/>
      <w:r>
        <w:rPr>
          <w:rFonts w:ascii="Times New Roman" w:hAnsi="Times New Roman"/>
          <w:sz w:val="24"/>
          <w:u w:val="none"/>
        </w:rPr>
        <w:t>5.3.1.</w:t>
      </w:r>
      <w:r w:rsidR="003F40E8" w:rsidRPr="003F40E8">
        <w:rPr>
          <w:u w:val="none"/>
        </w:rPr>
        <w:tab/>
      </w:r>
      <w:r>
        <w:rPr>
          <w:rFonts w:ascii="Times New Roman" w:hAnsi="Times New Roman"/>
          <w:sz w:val="24"/>
        </w:rPr>
        <w:t>Splošne opombe</w:t>
      </w:r>
      <w:bookmarkEnd w:id="653"/>
      <w:bookmarkEnd w:id="654"/>
      <w:bookmarkEnd w:id="655"/>
      <w:bookmarkEnd w:id="656"/>
      <w:bookmarkEnd w:id="657"/>
      <w:bookmarkEnd w:id="658"/>
      <w:bookmarkEnd w:id="659"/>
      <w:bookmarkEnd w:id="660"/>
    </w:p>
    <w:p w:rsidR="000B0B09" w:rsidRPr="00321A3B" w:rsidRDefault="00125707" w:rsidP="001A3980">
      <w:pPr>
        <w:pStyle w:val="InstructionsText2"/>
        <w:numPr>
          <w:ilvl w:val="0"/>
          <w:numId w:val="0"/>
        </w:numPr>
        <w:ind w:left="993"/>
      </w:pPr>
      <w:r>
        <w:t>144.</w:t>
      </w:r>
      <w:r>
        <w:tab/>
        <w:t xml:space="preserve">V tej predlogi se navedejo informacije o pozicijah CTP (vključno z </w:t>
      </w:r>
      <w:proofErr w:type="spellStart"/>
      <w:r>
        <w:t>listinjenji</w:t>
      </w:r>
      <w:proofErr w:type="spellEnd"/>
      <w:r>
        <w:t>, kreditnimi izvedenimi finančnimi instrumenti na podlagi n-tega neplačila in drug</w:t>
      </w:r>
      <w:r>
        <w:t>i</w:t>
      </w:r>
      <w:r>
        <w:t>mi pozicijami CTP, vključenimi v skladu s členom 338(3)) in ustreznih kapitalskih zahtevah v okviru standardiziranega pristopa.</w:t>
      </w:r>
    </w:p>
    <w:p w:rsidR="000B0B09" w:rsidRPr="00321A3B" w:rsidRDefault="00125707" w:rsidP="001A3980">
      <w:pPr>
        <w:pStyle w:val="InstructionsText2"/>
        <w:numPr>
          <w:ilvl w:val="0"/>
          <w:numId w:val="0"/>
        </w:numPr>
        <w:ind w:left="993"/>
      </w:pPr>
      <w:r>
        <w:t>145.</w:t>
      </w:r>
      <w:r>
        <w:tab/>
        <w:t>Predloga MKR SA CTP določa kapitalske zahteve le za posebno tveganje pozicij, dodeljenih trgovalnemu portfelju s korelacijo v skladu s členom 335 v povezavi s členom 338(2) in (3) CRR. Če so pozicije CTP trgovalne knjige varov</w:t>
      </w:r>
      <w:r>
        <w:t>a</w:t>
      </w:r>
      <w:r>
        <w:t>ne s kreditnimi izvedenimi finančnimi instrumenti, se uporabljata člena 346 in 347 CRR. Za vse pozicije CTP trgovalne knjige se uporablja le ena predloga, ne glede na dejstvo, ali institucija uporablja standardizirani pristop ali pristop na osnovi no</w:t>
      </w:r>
      <w:r>
        <w:t>t</w:t>
      </w:r>
      <w:r>
        <w:t>ranjih bonitetnih ocen za določanje uteži tveganja za vsako pozicijo v skladu s poglavjem 5 naslova II dela 3 CRR. O kapitalskih zahtevah splošnega tveganja teh pozicij se poroča v predlogi MKR SA TDI ali MKR IM.</w:t>
      </w:r>
    </w:p>
    <w:p w:rsidR="000B0B09" w:rsidRPr="00321A3B" w:rsidRDefault="00125707" w:rsidP="001A3980">
      <w:pPr>
        <w:pStyle w:val="InstructionsText2"/>
        <w:numPr>
          <w:ilvl w:val="0"/>
          <w:numId w:val="0"/>
        </w:numPr>
        <w:ind w:left="993"/>
      </w:pPr>
      <w:r>
        <w:t>146.</w:t>
      </w:r>
      <w:r>
        <w:tab/>
        <w:t>Ta struktura predloge ločuje pozicije v listinjenju, kreditne izvedene finančne instrumente na podlagi n-tega neplačila in druge pozicije CTP. Zato se pozicije v listinjenju vedno poročajo v vrsticah 030, 060 ali 090 (odvisno od vloge institucije v listinjenju). Kreditni izvedeni finančni instrumenti na podlagi n-tega neplačila se vedno poročajo v vrstici 110. „Druge pozicije CTP“ niso pozicije v listinjenju ali kreditni izvedeni finančni instrumenti na podlagi n-tega neplačila (glej opredelitev v členu 338(3) CRR), ampak so izrecno „povezane“ (zaradi namena varovanja) z eno od teh dveh pozicij. Zato so dodeljene v okviru podnaslova „listinjenje“ ali „kreditni izvedeni finančni instrument na podlagi n-tega neplačila“.</w:t>
      </w:r>
    </w:p>
    <w:p w:rsidR="00606885" w:rsidRPr="00321A3B" w:rsidRDefault="00125707" w:rsidP="001A3980">
      <w:pPr>
        <w:pStyle w:val="InstructionsText2"/>
        <w:numPr>
          <w:ilvl w:val="0"/>
          <w:numId w:val="0"/>
        </w:numPr>
        <w:ind w:left="993"/>
      </w:pPr>
      <w:r>
        <w:t>147.</w:t>
      </w:r>
      <w:r>
        <w:tab/>
        <w:t>Pozicije, ki prejmejo utež tveganja 1 250 %, se lahko odbijejo od navadnega lastniškega temeljnega kapitala (glej 243(1)(b), 244(1)(b) in 258 CRR). V tem pr</w:t>
      </w:r>
      <w:r>
        <w:t>i</w:t>
      </w:r>
      <w:r>
        <w:t>meru je treba te pozicije sporočiti v vrstici 460 predloge CA1.</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61" w:name="_Toc294172375"/>
      <w:bookmarkStart w:id="662" w:name="_Toc295830004"/>
      <w:bookmarkStart w:id="663" w:name="_Toc308426681"/>
      <w:bookmarkStart w:id="664" w:name="_Toc310415065"/>
      <w:bookmarkStart w:id="665" w:name="_Toc360188400"/>
      <w:bookmarkStart w:id="666" w:name="_Toc516210691"/>
      <w:bookmarkStart w:id="667" w:name="_Toc473561040"/>
      <w:bookmarkStart w:id="668" w:name="_Toc523474440"/>
      <w:r>
        <w:rPr>
          <w:rFonts w:ascii="Times New Roman" w:hAnsi="Times New Roman"/>
          <w:sz w:val="24"/>
          <w:u w:val="none"/>
        </w:rPr>
        <w:t>5.3.2.</w:t>
      </w:r>
      <w:r w:rsidR="003F40E8" w:rsidRPr="003F40E8">
        <w:rPr>
          <w:u w:val="none"/>
        </w:rPr>
        <w:tab/>
      </w:r>
      <w:r>
        <w:rPr>
          <w:rFonts w:ascii="Times New Roman" w:hAnsi="Times New Roman"/>
          <w:sz w:val="24"/>
        </w:rPr>
        <w:t>Navodila za posamezne pozicije</w:t>
      </w:r>
      <w:bookmarkEnd w:id="661"/>
      <w:bookmarkEnd w:id="662"/>
      <w:bookmarkEnd w:id="663"/>
      <w:bookmarkEnd w:id="664"/>
      <w:bookmarkEnd w:id="665"/>
      <w:bookmarkEnd w:id="666"/>
      <w:bookmarkEnd w:id="667"/>
      <w:bookmarkEnd w:id="6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02"/>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Stolpci</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VSE POZICIJE (DOLGE IN KRATKE)</w:t>
            </w:r>
          </w:p>
          <w:p w:rsidR="000B0B09" w:rsidRPr="00392FFD" w:rsidRDefault="000B0B09" w:rsidP="000B0B09">
            <w:pPr>
              <w:rPr>
                <w:rFonts w:ascii="Times New Roman" w:hAnsi="Times New Roman"/>
                <w:sz w:val="24"/>
              </w:rPr>
            </w:pPr>
            <w:r>
              <w:rPr>
                <w:rFonts w:ascii="Times New Roman" w:hAnsi="Times New Roman"/>
                <w:sz w:val="24"/>
              </w:rPr>
              <w:t>Člen 102 in člen 105(1) CRR v povezavi s pozicijami, dodeljenimi trgovaln</w:t>
            </w:r>
            <w:r>
              <w:rPr>
                <w:rFonts w:ascii="Times New Roman" w:hAnsi="Times New Roman"/>
                <w:sz w:val="24"/>
              </w:rPr>
              <w:t>e</w:t>
            </w:r>
            <w:r>
              <w:rPr>
                <w:rFonts w:ascii="Times New Roman" w:hAnsi="Times New Roman"/>
                <w:sz w:val="24"/>
              </w:rPr>
              <w:t xml:space="preserve">mu portfelju s korelacijo v skladu s členom 338(2) in (3) CRR. Za razlikovanje med dolgimi in kratkimi pozicijami, ki se uporablja tudi za te bruto pozicije, </w:t>
            </w:r>
            <w:r>
              <w:rPr>
                <w:rFonts w:ascii="Times New Roman" w:hAnsi="Times New Roman"/>
                <w:sz w:val="24"/>
              </w:rPr>
              <w:lastRenderedPageBreak/>
              <w:t>glej člen 328(2) CRR.</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030–040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 POZICIJE, ODBITE OD KAPITALA (DOLGE IN KRATKE)</w:t>
            </w:r>
          </w:p>
          <w:p w:rsidR="000B0B09" w:rsidRPr="00392FFD" w:rsidRDefault="000B0B09" w:rsidP="000B0B09">
            <w:pPr>
              <w:rPr>
                <w:rFonts w:ascii="Times New Roman" w:hAnsi="Times New Roman"/>
                <w:sz w:val="24"/>
              </w:rPr>
            </w:pPr>
            <w:r>
              <w:rPr>
                <w:rFonts w:ascii="Times New Roman" w:hAnsi="Times New Roman"/>
                <w:sz w:val="24"/>
              </w:rPr>
              <w:t xml:space="preserve">Člen 258 CRR. </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NETO POZICIJE (DOLGE IN KRATKE)</w:t>
            </w:r>
          </w:p>
          <w:p w:rsidR="000B0B09" w:rsidRPr="00392FFD" w:rsidRDefault="000B0B09" w:rsidP="000B0B09">
            <w:pPr>
              <w:rPr>
                <w:rFonts w:ascii="Times New Roman" w:hAnsi="Times New Roman"/>
                <w:sz w:val="24"/>
              </w:rPr>
            </w:pPr>
            <w:r>
              <w:rPr>
                <w:rFonts w:ascii="Times New Roman" w:hAnsi="Times New Roman"/>
                <w:sz w:val="24"/>
              </w:rPr>
              <w:t>Členi 327 do 329 in 334 CRR. Za razlikovanje med dolgimi in kratkimi pozic</w:t>
            </w:r>
            <w:r>
              <w:rPr>
                <w:rFonts w:ascii="Times New Roman" w:hAnsi="Times New Roman"/>
                <w:sz w:val="24"/>
              </w:rPr>
              <w:t>i</w:t>
            </w:r>
            <w:r>
              <w:rPr>
                <w:rFonts w:ascii="Times New Roman" w:hAnsi="Times New Roman"/>
                <w:sz w:val="24"/>
              </w:rPr>
              <w:t>jami glej člen 328(2) CRR.</w:t>
            </w:r>
          </w:p>
          <w:p w:rsidR="000B0B09" w:rsidRPr="00392FFD" w:rsidRDefault="000B0B09" w:rsidP="000B0B09">
            <w:pPr>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070–400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RAZČLENITEV NETO POZICIJ V SKLADU Z UTEŽMI TVEGANJA (SA IN IRB)</w:t>
            </w:r>
          </w:p>
          <w:p w:rsidR="000B0B09" w:rsidRPr="00392FFD" w:rsidRDefault="000B0B09" w:rsidP="000B0B09">
            <w:pPr>
              <w:rPr>
                <w:rFonts w:ascii="Times New Roman" w:hAnsi="Times New Roman"/>
                <w:sz w:val="24"/>
              </w:rPr>
            </w:pPr>
            <w:r>
              <w:rPr>
                <w:rFonts w:ascii="Times New Roman" w:hAnsi="Times New Roman"/>
                <w:sz w:val="24"/>
              </w:rPr>
              <w:t xml:space="preserve">Člen 251 (razpredelnica 1) in člen 261(1) (razpredelnica 4) CRR.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160 in 330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DRUGO</w:t>
            </w:r>
          </w:p>
          <w:p w:rsidR="000B0B09" w:rsidRPr="00392FFD" w:rsidRDefault="000B0B09" w:rsidP="000B0B09">
            <w:pPr>
              <w:rPr>
                <w:rFonts w:ascii="Times New Roman" w:hAnsi="Times New Roman"/>
                <w:sz w:val="24"/>
              </w:rPr>
            </w:pPr>
            <w:r>
              <w:rPr>
                <w:rFonts w:ascii="Times New Roman" w:hAnsi="Times New Roman"/>
                <w:sz w:val="24"/>
              </w:rPr>
              <w:t>Druge uteži tveganja, ki niso izrecno navedene v prejšnjih stolpcih.</w:t>
            </w:r>
          </w:p>
          <w:p w:rsidR="000B0B09" w:rsidRPr="00392FFD" w:rsidRDefault="000B0B09" w:rsidP="000B0B09">
            <w:pPr>
              <w:rPr>
                <w:rFonts w:ascii="Times New Roman" w:hAnsi="Times New Roman"/>
                <w:sz w:val="24"/>
              </w:rPr>
            </w:pPr>
            <w:r>
              <w:rPr>
                <w:rFonts w:ascii="Times New Roman" w:hAnsi="Times New Roman"/>
                <w:sz w:val="24"/>
              </w:rPr>
              <w:t>Za kreditne izvedene finančne instrumente na podlagi n-tega neplačila le tisti, ki niso zunanje ocenjeni. Zunanje ocenjeni kreditni izvedeni finančni instr</w:t>
            </w:r>
            <w:r>
              <w:rPr>
                <w:rFonts w:ascii="Times New Roman" w:hAnsi="Times New Roman"/>
                <w:sz w:val="24"/>
              </w:rPr>
              <w:t>u</w:t>
            </w:r>
            <w:r>
              <w:rPr>
                <w:rFonts w:ascii="Times New Roman" w:hAnsi="Times New Roman"/>
                <w:sz w:val="24"/>
              </w:rPr>
              <w:t xml:space="preserve">menti na podlagi n-tega neplačila se poročajo v predlogi MKR SA TDI (vrstica 321) ali pa, če so vključeni v CTP, se dodelijo stolpcu ustrezne uteži tveganja.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170–180 in 360–370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1250 %</w:t>
            </w:r>
          </w:p>
          <w:p w:rsidR="000B0B09" w:rsidRPr="00392FFD" w:rsidRDefault="000B0B09" w:rsidP="000B0B09">
            <w:pPr>
              <w:rPr>
                <w:rFonts w:ascii="Times New Roman" w:hAnsi="Times New Roman"/>
                <w:sz w:val="24"/>
              </w:rPr>
            </w:pPr>
            <w:r>
              <w:rPr>
                <w:rFonts w:ascii="Times New Roman" w:hAnsi="Times New Roman"/>
                <w:sz w:val="24"/>
              </w:rPr>
              <w:t xml:space="preserve">Člen 251 (razpredelnica 1) in člen 261(1) (razpredelnica 4) CRR.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190–200 in 340–350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METODA NADZORNIŠKE FORMULE</w:t>
            </w:r>
          </w:p>
          <w:p w:rsidR="000B0B09" w:rsidRPr="00392FFD" w:rsidRDefault="000B0B09" w:rsidP="000B0B09">
            <w:pPr>
              <w:rPr>
                <w:rFonts w:ascii="Times New Roman" w:hAnsi="Times New Roman"/>
                <w:sz w:val="24"/>
              </w:rPr>
            </w:pPr>
            <w:r>
              <w:rPr>
                <w:rFonts w:ascii="Times New Roman" w:hAnsi="Times New Roman"/>
                <w:sz w:val="24"/>
              </w:rPr>
              <w:t xml:space="preserve">Člen 337(2) CRR v povezavi s členom 262 CRR.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210 / 380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VPOGLED</w:t>
            </w:r>
          </w:p>
          <w:p w:rsidR="000B0B09" w:rsidRPr="00392FFD" w:rsidRDefault="000B0B09" w:rsidP="000B0B09">
            <w:pPr>
              <w:rPr>
                <w:rFonts w:ascii="Times New Roman" w:hAnsi="Times New Roman"/>
                <w:sz w:val="24"/>
              </w:rPr>
            </w:pPr>
            <w:r>
              <w:rPr>
                <w:rFonts w:ascii="Times New Roman" w:hAnsi="Times New Roman"/>
                <w:sz w:val="24"/>
              </w:rPr>
              <w:t>SA: Člena 253 in 254 ter člen 256(5) CRR. Stolpci z vpogledom zajemajo vse primere neocenjenih izpostavljenosti, kadar se utež tveganja pridobi na podlagi osnovnega portfelja izpostavljenosti (povprečna utež tveganja skupine, najvišja utež tveganja skupine ali uporaba razmerja koncentracije).</w:t>
            </w:r>
          </w:p>
          <w:p w:rsidR="000B0B09" w:rsidRPr="00392FFD" w:rsidRDefault="000B0B09" w:rsidP="000B0B09">
            <w:pPr>
              <w:rPr>
                <w:rFonts w:ascii="Times New Roman" w:hAnsi="Times New Roman"/>
                <w:sz w:val="24"/>
              </w:rPr>
            </w:pPr>
            <w:r>
              <w:rPr>
                <w:rFonts w:ascii="Times New Roman" w:hAnsi="Times New Roman"/>
                <w:sz w:val="24"/>
              </w:rPr>
              <w:t>Pristop IRB: Člen 263(2) in (3) CRR. Predčasna odplačila so opisana v členih 265(1) in 256(5) CRR.</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220–230 in 390–400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PRISTOP NOTRANJEGA OCENJEVANJA</w:t>
            </w:r>
          </w:p>
          <w:p w:rsidR="000B0B09" w:rsidRPr="00392FFD" w:rsidRDefault="000B0B09" w:rsidP="000B0B09">
            <w:pPr>
              <w:rPr>
                <w:rFonts w:ascii="Times New Roman" w:hAnsi="Times New Roman"/>
                <w:sz w:val="24"/>
              </w:rPr>
            </w:pPr>
            <w:r>
              <w:rPr>
                <w:rFonts w:ascii="Times New Roman" w:hAnsi="Times New Roman"/>
                <w:sz w:val="24"/>
              </w:rPr>
              <w:t xml:space="preserve">Člen 259(3) in (4) CRR.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lastRenderedPageBreak/>
              <w:t>410–420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PRED UVEDBO OMEJITVE – TEHTANE NETO DOLGE/KRATKE POZICIJE</w:t>
            </w:r>
          </w:p>
          <w:p w:rsidR="000B0B09" w:rsidRPr="00392FFD" w:rsidRDefault="000B0B09" w:rsidP="000B0B09">
            <w:pPr>
              <w:rPr>
                <w:rFonts w:ascii="Times New Roman" w:hAnsi="Times New Roman"/>
                <w:sz w:val="24"/>
              </w:rPr>
            </w:pPr>
            <w:r>
              <w:rPr>
                <w:rFonts w:ascii="Times New Roman" w:hAnsi="Times New Roman"/>
                <w:sz w:val="24"/>
              </w:rPr>
              <w:t>Člen 338 brez upoštevanja diskrecijske pravice iz člena 335 CRR.</w:t>
            </w:r>
          </w:p>
          <w:p w:rsidR="000B0B09" w:rsidRPr="00392FFD" w:rsidRDefault="000B0B09" w:rsidP="000B0B09">
            <w:pPr>
              <w:rPr>
                <w:rFonts w:ascii="Times New Roman" w:hAnsi="Times New Roman"/>
                <w:sz w:val="24"/>
              </w:rPr>
            </w:pP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430–440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PO UVEDBI OMEJITVE – TEHTANE NETO DOLGE/KRATKE POZICIJE</w:t>
            </w:r>
          </w:p>
          <w:p w:rsidR="000B0B09" w:rsidRPr="00392FFD" w:rsidRDefault="000B0B09" w:rsidP="000B0B09">
            <w:pPr>
              <w:rPr>
                <w:rFonts w:ascii="Times New Roman" w:hAnsi="Times New Roman"/>
                <w:sz w:val="24"/>
              </w:rPr>
            </w:pPr>
            <w:r>
              <w:rPr>
                <w:rFonts w:ascii="Times New Roman" w:hAnsi="Times New Roman"/>
                <w:sz w:val="24"/>
              </w:rPr>
              <w:t xml:space="preserve">Člen 338 ob upoštevanju diskrecijske pravice iz člena 335 CRR.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450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SKUPNE KAPITALSKE ZAHTEVE</w:t>
            </w:r>
          </w:p>
          <w:p w:rsidR="000B0B09" w:rsidRPr="00392FFD" w:rsidRDefault="000B0B09" w:rsidP="00E871FE">
            <w:pPr>
              <w:rPr>
                <w:rFonts w:ascii="Times New Roman" w:hAnsi="Times New Roman"/>
                <w:sz w:val="24"/>
              </w:rPr>
            </w:pPr>
            <w:r>
              <w:rPr>
                <w:rFonts w:ascii="Times New Roman" w:hAnsi="Times New Roman"/>
                <w:sz w:val="24"/>
              </w:rPr>
              <w:t>Kapitalske zahteve se določijo kot večja izmed (i) zahtev za posebno tveganje, ki bi se uporabila le za neto dolge pozicije (stolpec 430), ali (</w:t>
            </w:r>
            <w:proofErr w:type="spellStart"/>
            <w:r>
              <w:rPr>
                <w:rFonts w:ascii="Times New Roman" w:hAnsi="Times New Roman"/>
                <w:sz w:val="24"/>
              </w:rPr>
              <w:t>ii</w:t>
            </w:r>
            <w:proofErr w:type="spellEnd"/>
            <w:r>
              <w:rPr>
                <w:rFonts w:ascii="Times New Roman" w:hAnsi="Times New Roman"/>
                <w:sz w:val="24"/>
              </w:rPr>
              <w:t>) zahtev za posebno tveganje, ki bi se uporabila le za neto kratke pozicije (stolpec 440).</w:t>
            </w:r>
          </w:p>
        </w:tc>
      </w:tr>
    </w:tbl>
    <w:p w:rsidR="000B0B09" w:rsidRPr="00392FFD" w:rsidRDefault="000B0B09" w:rsidP="00E70AB0">
      <w:pPr>
        <w:autoSpaceDE w:val="0"/>
        <w:autoSpaceDN w:val="0"/>
        <w:adjustRightInd w:val="0"/>
        <w:spacing w:before="0" w:after="0"/>
        <w:rPr>
          <w:rFonts w:ascii="Times New Roman" w:hAnsi="Times New Roman"/>
          <w:sz w:val="24"/>
        </w:rPr>
      </w:pPr>
    </w:p>
    <w:p w:rsidR="00DE48EF" w:rsidRPr="00392FFD" w:rsidRDefault="00DE48EF" w:rsidP="00E70AB0">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8204"/>
      </w:tblGrid>
      <w:tr w:rsidR="000B0B09" w:rsidRPr="00392FFD" w:rsidTr="00672D2A">
        <w:trPr>
          <w:trHeight w:val="642"/>
        </w:trPr>
        <w:tc>
          <w:tcPr>
            <w:tcW w:w="921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Vrstice</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SKUPNI ZNESEK IZPOSTAVLJENOSTI</w:t>
            </w:r>
          </w:p>
          <w:p w:rsidR="000B0B09" w:rsidRPr="00392FFD" w:rsidRDefault="000B0B09" w:rsidP="000B0B09">
            <w:pPr>
              <w:rPr>
                <w:rFonts w:ascii="Times New Roman" w:hAnsi="Times New Roman"/>
                <w:sz w:val="24"/>
              </w:rPr>
            </w:pPr>
            <w:r>
              <w:rPr>
                <w:rFonts w:ascii="Times New Roman" w:hAnsi="Times New Roman"/>
                <w:sz w:val="24"/>
              </w:rPr>
              <w:t>Skupni znesek neporavnanih pozicij (v trgovalnem portfelju s korelacijo), ki ga sporoči institucija v vlogi originatorja, investitorja ali sponzorja.</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020–040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ORIGINATOR</w:t>
            </w:r>
          </w:p>
          <w:p w:rsidR="000B0B09" w:rsidRPr="00392FFD" w:rsidRDefault="000B0B09" w:rsidP="00104A65">
            <w:pPr>
              <w:rPr>
                <w:rFonts w:ascii="Times New Roman" w:hAnsi="Times New Roman"/>
                <w:sz w:val="24"/>
              </w:rPr>
            </w:pPr>
            <w:r>
              <w:rPr>
                <w:rFonts w:ascii="Times New Roman" w:hAnsi="Times New Roman"/>
                <w:sz w:val="24"/>
              </w:rPr>
              <w:t xml:space="preserve">Člen 4(13) CRR. </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050–070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INVESTITOR</w:t>
            </w:r>
          </w:p>
          <w:p w:rsidR="000B0B09" w:rsidRPr="00392FFD" w:rsidRDefault="000B0B09" w:rsidP="00DE48EF">
            <w:pPr>
              <w:rPr>
                <w:rFonts w:ascii="Times New Roman" w:hAnsi="Times New Roman"/>
                <w:sz w:val="24"/>
              </w:rPr>
            </w:pPr>
            <w:r>
              <w:rPr>
                <w:rFonts w:ascii="Times New Roman" w:hAnsi="Times New Roman"/>
                <w:sz w:val="24"/>
              </w:rPr>
              <w:t>Kreditna institucija, ki ima pozicijo v listinjenju v poslu listinjenja, pri katerem ni originator ali sponzor.</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080–100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SPONZOR</w:t>
            </w:r>
          </w:p>
          <w:p w:rsidR="000B0B09" w:rsidRPr="00392FFD" w:rsidRDefault="000B0B09" w:rsidP="00DA040A">
            <w:pPr>
              <w:rPr>
                <w:rFonts w:ascii="Times New Roman" w:hAnsi="Times New Roman"/>
                <w:sz w:val="24"/>
              </w:rPr>
            </w:pPr>
            <w:r>
              <w:rPr>
                <w:rFonts w:ascii="Times New Roman" w:hAnsi="Times New Roman"/>
                <w:sz w:val="24"/>
              </w:rPr>
              <w:t xml:space="preserve">Člen 4(14) CRR. Če sponzor listini tudi kapital, v vrsticah originatorja navede informacije glede lastnih listinjenih sredstev. </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030, 060 in 090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LISTINJENJA</w:t>
            </w:r>
          </w:p>
          <w:p w:rsidR="000B0B09" w:rsidRPr="00392FFD" w:rsidRDefault="000B0B09" w:rsidP="000B0B09">
            <w:pPr>
              <w:rPr>
                <w:rFonts w:ascii="Times New Roman" w:hAnsi="Times New Roman"/>
                <w:sz w:val="24"/>
              </w:rPr>
            </w:pPr>
            <w:r>
              <w:rPr>
                <w:rFonts w:ascii="Times New Roman" w:hAnsi="Times New Roman"/>
                <w:sz w:val="24"/>
              </w:rPr>
              <w:t>Trgovalni portfelj s korelacijo zajema listinjenja, kreditne izvedene finančne instrumente na podlagi n-tega neplačila in morebitne druge pozicije varovanja, ki izpolnjujejo merila iz člena 338(2) in (3) CRR.</w:t>
            </w:r>
          </w:p>
          <w:p w:rsidR="000B0B09" w:rsidRPr="00392FFD" w:rsidRDefault="000B0B09" w:rsidP="000B0B09">
            <w:pPr>
              <w:rPr>
                <w:rFonts w:ascii="Times New Roman" w:hAnsi="Times New Roman"/>
                <w:sz w:val="24"/>
              </w:rPr>
            </w:pPr>
          </w:p>
          <w:p w:rsidR="000B0B09" w:rsidRPr="00392FFD" w:rsidRDefault="000B0B09" w:rsidP="00DE48EF">
            <w:pPr>
              <w:rPr>
                <w:rFonts w:ascii="Times New Roman" w:hAnsi="Times New Roman"/>
                <w:sz w:val="24"/>
              </w:rPr>
            </w:pPr>
            <w:r>
              <w:rPr>
                <w:rFonts w:ascii="Times New Roman" w:hAnsi="Times New Roman"/>
                <w:sz w:val="24"/>
              </w:rPr>
              <w:t>Izvedeni finančni instrumenti za izpostavljenosti v listinjenju, ki zagotavljajo sor</w:t>
            </w:r>
            <w:r>
              <w:rPr>
                <w:rFonts w:ascii="Times New Roman" w:hAnsi="Times New Roman"/>
                <w:sz w:val="24"/>
              </w:rPr>
              <w:t>a</w:t>
            </w:r>
            <w:r>
              <w:rPr>
                <w:rFonts w:ascii="Times New Roman" w:hAnsi="Times New Roman"/>
                <w:sz w:val="24"/>
              </w:rPr>
              <w:t>zmeren delež, in pozicije, ki varujejo pozicije CTP, so vključeni v vrstico „Druge pozicije CTP“.</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KREDITNI IZVEDENI FINANČNI INSTRUMENTI NA PODLAGI N-TEGA NEPLAČILA</w:t>
            </w:r>
          </w:p>
          <w:p w:rsidR="000B0B09" w:rsidRPr="00392FFD" w:rsidRDefault="000B0B09" w:rsidP="000B0B09">
            <w:pPr>
              <w:rPr>
                <w:rFonts w:ascii="Times New Roman" w:hAnsi="Times New Roman"/>
                <w:sz w:val="24"/>
              </w:rPr>
            </w:pPr>
            <w:r>
              <w:rPr>
                <w:rFonts w:ascii="Times New Roman" w:hAnsi="Times New Roman"/>
                <w:sz w:val="24"/>
              </w:rPr>
              <w:t xml:space="preserve">Tu se poročajo kreditni izvedeni finančni instrumenti na podlagi n-tega neplačila, </w:t>
            </w:r>
            <w:r>
              <w:rPr>
                <w:rFonts w:ascii="Times New Roman" w:hAnsi="Times New Roman"/>
                <w:sz w:val="24"/>
              </w:rPr>
              <w:lastRenderedPageBreak/>
              <w:t>ki so zavarovani s kreditnimi izvedenimi finančnimi instrumenti na podlagi n-tega neplačila v skladu s členom 347 CRR.</w:t>
            </w:r>
          </w:p>
          <w:p w:rsidR="000B0B09" w:rsidRPr="00392FFD" w:rsidRDefault="000B0B09" w:rsidP="00DE48EF">
            <w:pPr>
              <w:rPr>
                <w:rFonts w:ascii="Times New Roman" w:hAnsi="Times New Roman"/>
                <w:sz w:val="24"/>
              </w:rPr>
            </w:pPr>
            <w:r>
              <w:rPr>
                <w:rFonts w:ascii="Times New Roman" w:hAnsi="Times New Roman"/>
                <w:sz w:val="24"/>
              </w:rPr>
              <w:t>Originator, investitor in sponzor pozicije ne ustrezajo kreditnim izvedenim finan</w:t>
            </w:r>
            <w:r>
              <w:rPr>
                <w:rFonts w:ascii="Times New Roman" w:hAnsi="Times New Roman"/>
                <w:sz w:val="24"/>
              </w:rPr>
              <w:t>č</w:t>
            </w:r>
            <w:r>
              <w:rPr>
                <w:rFonts w:ascii="Times New Roman" w:hAnsi="Times New Roman"/>
                <w:sz w:val="24"/>
              </w:rPr>
              <w:t>nim instrumentom na podlagi n-tega neplačila. Zato za kreditne izvedene finančne instrumente na podlagi n-tega neplačila ni mogoče zagotoviti razčlenitve kot za pozicije v listinjenju.</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040,070, 100 in 120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DRUGE POZICIJE CTP</w:t>
            </w:r>
          </w:p>
          <w:p w:rsidR="000B0B09" w:rsidRPr="00392FFD" w:rsidRDefault="000B0B09" w:rsidP="000B0B09">
            <w:pPr>
              <w:rPr>
                <w:rFonts w:ascii="Times New Roman" w:hAnsi="Times New Roman"/>
                <w:sz w:val="24"/>
              </w:rPr>
            </w:pPr>
            <w:r>
              <w:rPr>
                <w:rFonts w:ascii="Times New Roman" w:hAnsi="Times New Roman"/>
                <w:sz w:val="24"/>
              </w:rPr>
              <w:t xml:space="preserve">Pozicije v: </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izvedenih finančnih instrumentih za izpostavljenosti v listinjenju, ki zag</w:t>
            </w:r>
            <w:r>
              <w:rPr>
                <w:rFonts w:ascii="Times New Roman" w:hAnsi="Times New Roman"/>
                <w:sz w:val="24"/>
              </w:rPr>
              <w:t>o</w:t>
            </w:r>
            <w:r>
              <w:rPr>
                <w:rFonts w:ascii="Times New Roman" w:hAnsi="Times New Roman"/>
                <w:sz w:val="24"/>
              </w:rPr>
              <w:t>tavljajo sorazmeren delež, in pozicije, ki varujejo pozicije CTP;</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pozicijah CTP, ki so zavarovane s kreditnimi izvedenimi finančnimi instrumenti v skladu s členom 346 CRR;</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drugih pozicijah, ki izpolnjujejo člen 338(3) CRR;</w:t>
            </w:r>
          </w:p>
          <w:p w:rsidR="000B0B09" w:rsidRPr="00392FFD" w:rsidRDefault="000B0B09" w:rsidP="000B0B09">
            <w:pPr>
              <w:rPr>
                <w:rFonts w:ascii="Times New Roman" w:hAnsi="Times New Roman"/>
                <w:sz w:val="24"/>
              </w:rPr>
            </w:pPr>
            <w:r>
              <w:rPr>
                <w:rFonts w:ascii="Times New Roman" w:hAnsi="Times New Roman"/>
                <w:sz w:val="24"/>
              </w:rPr>
              <w:t>so vključene.</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69" w:name="_Toc262566429"/>
      <w:bookmarkStart w:id="670" w:name="_Toc295830005"/>
      <w:bookmarkStart w:id="671" w:name="_Toc308426682"/>
      <w:bookmarkStart w:id="672" w:name="_Toc310415066"/>
      <w:bookmarkStart w:id="673" w:name="_Toc360188401"/>
      <w:bookmarkStart w:id="674" w:name="_Toc516210692"/>
      <w:bookmarkStart w:id="675" w:name="_Toc473561041"/>
      <w:bookmarkStart w:id="676" w:name="_Toc523474441"/>
      <w:r>
        <w:rPr>
          <w:rFonts w:ascii="Times New Roman" w:hAnsi="Times New Roman"/>
          <w:sz w:val="24"/>
          <w:u w:val="none"/>
        </w:rPr>
        <w:t>5.4.</w:t>
      </w:r>
      <w:r w:rsidR="003F40E8" w:rsidRPr="003F40E8">
        <w:rPr>
          <w:u w:val="none"/>
        </w:rPr>
        <w:tab/>
      </w:r>
      <w:r>
        <w:rPr>
          <w:rFonts w:ascii="Times New Roman" w:hAnsi="Times New Roman"/>
          <w:sz w:val="24"/>
        </w:rPr>
        <w:t>C 21.00 – Tržno tveganje: Standardizirani pristop za pozicijsko tveganje v lastniških finančnih instrumentih</w:t>
      </w:r>
      <w:bookmarkEnd w:id="669"/>
      <w:bookmarkEnd w:id="670"/>
      <w:bookmarkEnd w:id="671"/>
      <w:bookmarkEnd w:id="672"/>
      <w:bookmarkEnd w:id="673"/>
      <w:r>
        <w:rPr>
          <w:rFonts w:ascii="Times New Roman" w:hAnsi="Times New Roman"/>
          <w:sz w:val="24"/>
        </w:rPr>
        <w:t xml:space="preserve"> (MKR SA EQU)</w:t>
      </w:r>
      <w:bookmarkEnd w:id="674"/>
      <w:bookmarkEnd w:id="675"/>
      <w:bookmarkEnd w:id="676"/>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77" w:name="_Toc262566430"/>
      <w:bookmarkStart w:id="678" w:name="_Toc295830006"/>
      <w:bookmarkStart w:id="679" w:name="_Toc308426683"/>
      <w:bookmarkStart w:id="680" w:name="_Toc310415067"/>
      <w:bookmarkStart w:id="681" w:name="_Toc360188402"/>
      <w:bookmarkStart w:id="682" w:name="_Toc516210693"/>
      <w:bookmarkStart w:id="683" w:name="_Toc473561042"/>
      <w:bookmarkStart w:id="684" w:name="_Toc523474442"/>
      <w:r>
        <w:rPr>
          <w:rFonts w:ascii="Times New Roman" w:hAnsi="Times New Roman"/>
          <w:sz w:val="24"/>
          <w:u w:val="none"/>
        </w:rPr>
        <w:t>5.4.1.</w:t>
      </w:r>
      <w:r w:rsidR="003F40E8" w:rsidRPr="003F40E8">
        <w:rPr>
          <w:u w:val="none"/>
        </w:rPr>
        <w:tab/>
      </w:r>
      <w:r>
        <w:rPr>
          <w:rFonts w:ascii="Times New Roman" w:hAnsi="Times New Roman"/>
          <w:sz w:val="24"/>
        </w:rPr>
        <w:t>Splošne opombe</w:t>
      </w:r>
      <w:bookmarkEnd w:id="677"/>
      <w:bookmarkEnd w:id="678"/>
      <w:bookmarkEnd w:id="679"/>
      <w:bookmarkEnd w:id="680"/>
      <w:bookmarkEnd w:id="681"/>
      <w:bookmarkEnd w:id="682"/>
      <w:bookmarkEnd w:id="683"/>
      <w:bookmarkEnd w:id="684"/>
    </w:p>
    <w:p w:rsidR="000B0B09" w:rsidRPr="00392FFD" w:rsidRDefault="00125707" w:rsidP="001A3980">
      <w:pPr>
        <w:pStyle w:val="InstructionsText2"/>
        <w:numPr>
          <w:ilvl w:val="0"/>
          <w:numId w:val="0"/>
        </w:numPr>
        <w:ind w:left="993"/>
      </w:pPr>
      <w:r>
        <w:t>148.</w:t>
      </w:r>
      <w:r>
        <w:tab/>
        <w:t>V tej predlogi se navedejo informacije o pozicijah in ustreznih kapitalskih za</w:t>
      </w:r>
      <w:r>
        <w:t>h</w:t>
      </w:r>
      <w:r>
        <w:t>tevah za pozicijsko tveganje v lastniškem kapitalu v trgovalni knjigi, obravnavano v okviru standardiziranega pristopa.</w:t>
      </w:r>
    </w:p>
    <w:p w:rsidR="000B0B09" w:rsidRPr="00392FFD" w:rsidRDefault="00125707" w:rsidP="001A3980">
      <w:pPr>
        <w:pStyle w:val="InstructionsText2"/>
        <w:numPr>
          <w:ilvl w:val="0"/>
          <w:numId w:val="0"/>
        </w:numPr>
        <w:ind w:left="993"/>
      </w:pPr>
      <w:r>
        <w:t>149.</w:t>
      </w:r>
      <w:r>
        <w:tab/>
        <w:t>Predlogo je treba izpolniti ločeno za „Skupaj“ s statičnim, vnaprej določenim seznamom naslednjih trgov: Bolgarija, Hrvaška, Češka republika, Danska, Egipt, Madžarska, Islandija, Lihtenštajn, Norveška, Poljska, Romunija, Švedska, Združ</w:t>
      </w:r>
      <w:r>
        <w:t>e</w:t>
      </w:r>
      <w:r>
        <w:t>no kraljestvo, Albanija, Japonska, Nekdanja jugoslovanska republika Makedonija, Ruska federacija, Srbija, Švica, Turčija, Ukrajina, Združene države Amerike, eur</w:t>
      </w:r>
      <w:r>
        <w:t>o</w:t>
      </w:r>
      <w:r>
        <w:t>območje, vključno s še eno predlogo za vse druge trge. Za namen te zahteve glede poročanja se izraz „trg“ razume kot „država“ (razen za države, ki spadajo v eur</w:t>
      </w:r>
      <w:r>
        <w:t>o</w:t>
      </w:r>
      <w:r>
        <w:t>območje, glej Delegirano uredbo Komisije (EU) št. 525/2014).</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85" w:name="_Toc262566431"/>
      <w:bookmarkStart w:id="686" w:name="_Toc295830007"/>
      <w:bookmarkStart w:id="687" w:name="_Toc308426684"/>
      <w:bookmarkStart w:id="688" w:name="_Toc310415068"/>
      <w:bookmarkStart w:id="689" w:name="_Toc360188403"/>
      <w:bookmarkStart w:id="690" w:name="_Toc516210694"/>
      <w:bookmarkStart w:id="691" w:name="_Toc473561043"/>
      <w:bookmarkStart w:id="692" w:name="_Toc523474443"/>
      <w:r>
        <w:rPr>
          <w:rFonts w:ascii="Times New Roman" w:hAnsi="Times New Roman"/>
          <w:sz w:val="24"/>
          <w:u w:val="none"/>
        </w:rPr>
        <w:t>5.4.2.</w:t>
      </w:r>
      <w:r w:rsidR="003F40E8" w:rsidRPr="003F40E8">
        <w:rPr>
          <w:u w:val="none"/>
        </w:rPr>
        <w:tab/>
      </w:r>
      <w:r>
        <w:rPr>
          <w:rFonts w:ascii="Times New Roman" w:hAnsi="Times New Roman"/>
          <w:sz w:val="24"/>
        </w:rPr>
        <w:t>Navodila za posamezne pozicije</w:t>
      </w:r>
      <w:bookmarkEnd w:id="685"/>
      <w:bookmarkEnd w:id="686"/>
      <w:bookmarkEnd w:id="687"/>
      <w:bookmarkEnd w:id="688"/>
      <w:bookmarkEnd w:id="689"/>
      <w:bookmarkEnd w:id="690"/>
      <w:bookmarkEnd w:id="691"/>
      <w:bookmarkEnd w:id="6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26"/>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Stolpci</w:t>
            </w: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VSE POZICIJE (DOLGE IN KRATKE)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Člen 102 in člen 105(1) CRR. To so bruto pozicije, ki niso pobotane z instr</w:t>
            </w:r>
            <w:r>
              <w:rPr>
                <w:rFonts w:ascii="Times New Roman" w:hAnsi="Times New Roman"/>
                <w:sz w:val="24"/>
              </w:rPr>
              <w:t>u</w:t>
            </w:r>
            <w:r>
              <w:rPr>
                <w:rFonts w:ascii="Times New Roman" w:hAnsi="Times New Roman"/>
                <w:sz w:val="24"/>
              </w:rPr>
              <w:t xml:space="preserve">menti in ki ne zajemajo pozicij, ki so bile že prenesene na tretje osebe ali so se te zavezale k njihovemu odkupu (drugi stavek člena 345 CRR). </w:t>
            </w: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030–040 </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POZICIJE (DOLGE IN KRATKE)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Členi 327, 329, 332, 341 in 345 CRR. </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050</w:t>
            </w:r>
          </w:p>
        </w:tc>
        <w:tc>
          <w:tcPr>
            <w:tcW w:w="7874" w:type="dxa"/>
          </w:tcPr>
          <w:p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POZICIJE, KI SO PREDMET KAPITALSKE ZAHTEVE</w:t>
            </w:r>
          </w:p>
          <w:p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Neto pozicije, ki v skladu z različnimi pristopi iz poglavja 2 naslova IV dela 3 CRR prejmejo kapitalsko zahtevo. Kapitalsko zahtevo je treba izračunati za vsak nacionalni trg ločeno. Pozicije v terminskih pogodbah na delniške indekse v skladu z drugim stavkom člena 344(4) CRR se ne vključijo v ta stolpec.</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KAPITALSKE ZAHTEVE</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Kapitalske zahteve za katero koli zadevno pozicijo v skladu s poglavjem 2 na</w:t>
            </w:r>
            <w:r>
              <w:rPr>
                <w:rFonts w:ascii="Times New Roman" w:hAnsi="Times New Roman"/>
                <w:sz w:val="24"/>
              </w:rPr>
              <w:t>s</w:t>
            </w:r>
            <w:r>
              <w:rPr>
                <w:rFonts w:ascii="Times New Roman" w:hAnsi="Times New Roman"/>
                <w:sz w:val="24"/>
              </w:rPr>
              <w:t>lova IV dela 3 CRR.</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ZNESEK SKUPNE IZPOSTAVLJENOSTI TVEGANJU</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Člen 92(4)(b) CRR. Rezultat množenja kapitalskih zahtev z 12,5. </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0B0B09" w:rsidRPr="00392FFD" w:rsidTr="00672D2A">
        <w:trPr>
          <w:trHeight w:val="662"/>
        </w:trPr>
        <w:tc>
          <w:tcPr>
            <w:tcW w:w="921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Vrstice</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010–130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LASTNIŠKI INSTRUMENTI V TRGOVALNI KNJIGI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Kapitalske zahteve za pozicijsko tveganje v skladu s členom 92(3)(b)(i) CRR in oddelek 3 poglavja 2 naslova IV dela 3 CRR.</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020–040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SPLOŠNO TVEGANJE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Pozicije v lastniških instrumentih, ki so predmet splošnega tveganja (člen 343 CRR), in ustrezne kapitalske zahteve v skladu z oddelkom 3 poglavja 2 naslova IV dela 3 CRR.</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Obe razčlenitvi (021/022 in 030/040) sta razčlenitvi v zvezi z vsemi pozicijami, ki so predmet splošnega tveganja. </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V vrsticah 021 in 022 je treba navesti informacije o razčlenitvi po instrumentih. Le razčlenitev v vrsticah 030 in 040 se uporablja kot podlaga za izračun kapitalskih zahtev.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021</w:t>
            </w:r>
          </w:p>
        </w:tc>
        <w:tc>
          <w:tcPr>
            <w:tcW w:w="820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Izvedeni finančni instrumenti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Izvedeni finančni instrumenti, vključeni v izračun kapitalskega tveganja pozicij v trgovalni knjigi, pri čemer se po potrebi upoštevata člena 329 in 332.</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022</w:t>
            </w:r>
          </w:p>
        </w:tc>
        <w:tc>
          <w:tcPr>
            <w:tcW w:w="820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Druga sredstva in obveznosti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Instrumenti, ki niso izvedeni finančni instrumenti, vključeni v izračun kapitalskega tveganja pozicij v trgovalni knjigi.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Splošno razpršene terminske pogodbe na delniške indekse, s katerimi se trg</w:t>
            </w:r>
            <w:r>
              <w:rPr>
                <w:rFonts w:ascii="Times New Roman" w:hAnsi="Times New Roman"/>
                <w:b/>
                <w:sz w:val="24"/>
                <w:u w:val="single"/>
              </w:rPr>
              <w:t>u</w:t>
            </w:r>
            <w:r>
              <w:rPr>
                <w:rFonts w:ascii="Times New Roman" w:hAnsi="Times New Roman"/>
                <w:b/>
                <w:sz w:val="24"/>
                <w:u w:val="single"/>
              </w:rPr>
              <w:t>je na borzi in so predmet posameznega pristopa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Splošno razpršene terminske pogodbe na delniške indekse, s katerimi se trguje na borzi in so predmet posameznega pristopa, v skladu s členom 344(1) in (4) CRR. </w:t>
            </w:r>
            <w:r>
              <w:rPr>
                <w:rFonts w:ascii="Times New Roman" w:hAnsi="Times New Roman"/>
                <w:sz w:val="24"/>
              </w:rPr>
              <w:lastRenderedPageBreak/>
              <w:t>Te pozicije so predmet izključno splošnega tveganja, zato v skladu s tem ne smejo biti sporočene v vrstici 050.</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040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Lastniški instrumenti, ki niso splošno razpršene terminske pogodbe na deln</w:t>
            </w:r>
            <w:r>
              <w:rPr>
                <w:rFonts w:ascii="Times New Roman" w:hAnsi="Times New Roman"/>
                <w:b/>
                <w:sz w:val="24"/>
                <w:u w:val="single"/>
              </w:rPr>
              <w:t>i</w:t>
            </w:r>
            <w:r>
              <w:rPr>
                <w:rFonts w:ascii="Times New Roman" w:hAnsi="Times New Roman"/>
                <w:b/>
                <w:sz w:val="24"/>
                <w:u w:val="single"/>
              </w:rPr>
              <w:t>ške indekse, s katerimi se trguje na borzi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Druge pozicije v lastniških instrumentih, ki so predmet posebnega tveganja, in ustrezne kapitalske zahteve v skladu s členom 343 in členom 344(3) CRR. </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050 </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POSEBNO TVEGANJE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Pozicije v lastniških instrumentih, ki so predmet posebnega tveganja, in ustrezne kapitalske zahteve v skladu s členom 342 in členom 344(4) CRR.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090–130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DODATNE ZAHTEVE ZA OPCIJE (NE-DELTA TVEGANJA)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Člen 329(2) in (3) CRR.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Dodatne zahteve za opcije, povezane s tveganji, ki niso delta tveganja, se poročajo po metodi, ki se uporablja za njihov izračun.</w:t>
            </w:r>
          </w:p>
          <w:p w:rsidR="000B0B09" w:rsidRPr="00392FFD" w:rsidRDefault="000B0B09" w:rsidP="000B0B09">
            <w:pPr>
              <w:autoSpaceDE w:val="0"/>
              <w:autoSpaceDN w:val="0"/>
              <w:adjustRightInd w:val="0"/>
              <w:spacing w:before="0" w:after="0"/>
              <w:rPr>
                <w:rFonts w:ascii="Times New Roman" w:hAnsi="Times New Roman"/>
                <w:sz w:val="24"/>
              </w:rPr>
            </w:pPr>
          </w:p>
        </w:tc>
      </w:tr>
    </w:tbl>
    <w:p w:rsidR="000B0B09" w:rsidRPr="00392FFD" w:rsidRDefault="000B0B09" w:rsidP="000B0B09">
      <w:pPr>
        <w:autoSpaceDE w:val="0"/>
        <w:autoSpaceDN w:val="0"/>
        <w:adjustRightInd w:val="0"/>
        <w:spacing w:before="0" w:after="0"/>
        <w:rPr>
          <w:rFonts w:ascii="Times New Roman" w:hAnsi="Times New Roman"/>
          <w:bCs/>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93" w:name="_Toc262566432"/>
      <w:bookmarkStart w:id="694" w:name="_Toc295830008"/>
      <w:bookmarkStart w:id="695" w:name="_Toc308426685"/>
      <w:bookmarkStart w:id="696" w:name="_Toc310415069"/>
      <w:bookmarkStart w:id="697" w:name="_Toc360188404"/>
      <w:bookmarkStart w:id="698" w:name="_Toc516210695"/>
      <w:bookmarkStart w:id="699" w:name="_Toc473561044"/>
      <w:bookmarkStart w:id="700" w:name="_Toc523474444"/>
      <w:r>
        <w:rPr>
          <w:rFonts w:ascii="Times New Roman" w:hAnsi="Times New Roman"/>
          <w:sz w:val="24"/>
          <w:u w:val="none"/>
        </w:rPr>
        <w:t>5.5.</w:t>
      </w:r>
      <w:r w:rsidR="003F40E8" w:rsidRPr="003F40E8">
        <w:rPr>
          <w:u w:val="none"/>
        </w:rPr>
        <w:tab/>
      </w:r>
      <w:r>
        <w:rPr>
          <w:rFonts w:ascii="Times New Roman" w:hAnsi="Times New Roman"/>
          <w:sz w:val="24"/>
        </w:rPr>
        <w:t>C 22.00 – Tržno tveganje: Standardizirani pristopi za valutno tveganje</w:t>
      </w:r>
      <w:bookmarkEnd w:id="693"/>
      <w:bookmarkEnd w:id="694"/>
      <w:bookmarkEnd w:id="695"/>
      <w:bookmarkEnd w:id="696"/>
      <w:bookmarkEnd w:id="697"/>
      <w:r>
        <w:rPr>
          <w:rFonts w:ascii="Times New Roman" w:hAnsi="Times New Roman"/>
          <w:sz w:val="24"/>
        </w:rPr>
        <w:t xml:space="preserve"> (MKR SA FX)</w:t>
      </w:r>
      <w:bookmarkEnd w:id="698"/>
      <w:bookmarkEnd w:id="699"/>
      <w:bookmarkEnd w:id="700"/>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01" w:name="_Toc262566433"/>
      <w:bookmarkStart w:id="702" w:name="_Toc295830009"/>
      <w:bookmarkStart w:id="703" w:name="_Toc308426686"/>
      <w:bookmarkStart w:id="704" w:name="_Toc310415070"/>
      <w:bookmarkStart w:id="705" w:name="_Toc360188405"/>
      <w:bookmarkStart w:id="706" w:name="_Toc516210696"/>
      <w:bookmarkStart w:id="707" w:name="_Toc473561045"/>
      <w:bookmarkStart w:id="708" w:name="_Toc523474445"/>
      <w:r>
        <w:rPr>
          <w:rFonts w:ascii="Times New Roman" w:hAnsi="Times New Roman"/>
          <w:sz w:val="24"/>
          <w:u w:val="none"/>
        </w:rPr>
        <w:t>5.5.1.</w:t>
      </w:r>
      <w:r w:rsidR="003F40E8" w:rsidRPr="003F40E8">
        <w:rPr>
          <w:u w:val="none"/>
        </w:rPr>
        <w:tab/>
      </w:r>
      <w:r>
        <w:rPr>
          <w:rFonts w:ascii="Times New Roman" w:hAnsi="Times New Roman"/>
          <w:sz w:val="24"/>
        </w:rPr>
        <w:t>Splošne opombe</w:t>
      </w:r>
      <w:bookmarkEnd w:id="701"/>
      <w:bookmarkEnd w:id="702"/>
      <w:bookmarkEnd w:id="703"/>
      <w:bookmarkEnd w:id="704"/>
      <w:bookmarkEnd w:id="705"/>
      <w:bookmarkEnd w:id="706"/>
      <w:bookmarkEnd w:id="707"/>
      <w:bookmarkEnd w:id="708"/>
    </w:p>
    <w:p w:rsidR="00F71DF2" w:rsidRPr="00392FFD" w:rsidRDefault="00125707" w:rsidP="001A3980">
      <w:pPr>
        <w:pStyle w:val="InstructionsText2"/>
        <w:numPr>
          <w:ilvl w:val="0"/>
          <w:numId w:val="0"/>
        </w:numPr>
        <w:ind w:left="993"/>
      </w:pPr>
      <w:r>
        <w:t>150.</w:t>
      </w:r>
      <w:r>
        <w:tab/>
        <w:t>Institucije poročajo informacije o pozicijah v vsaki valuti (vključena valuta poročanja) in ustreznih kapitalskih zahtevah za valuto, obravnavanih v okviru sta</w:t>
      </w:r>
      <w:r>
        <w:t>n</w:t>
      </w:r>
      <w:r>
        <w:t xml:space="preserve">dardiziranega pristopa. Pozicija se izračuna za vsako valuto (vključno z </w:t>
      </w:r>
      <w:proofErr w:type="spellStart"/>
      <w:r>
        <w:t>eurom</w:t>
      </w:r>
      <w:proofErr w:type="spellEnd"/>
      <w:r>
        <w:t xml:space="preserve">), zlato in pozicije v KNP. </w:t>
      </w:r>
    </w:p>
    <w:p w:rsidR="000B0B09" w:rsidRPr="00392FFD" w:rsidRDefault="00125707" w:rsidP="001A3980">
      <w:pPr>
        <w:pStyle w:val="InstructionsText2"/>
        <w:numPr>
          <w:ilvl w:val="0"/>
          <w:numId w:val="0"/>
        </w:numPr>
        <w:ind w:left="993"/>
      </w:pPr>
      <w:r>
        <w:t>151.</w:t>
      </w:r>
      <w:r>
        <w:tab/>
        <w:t>Vrstice 100 do 480 te predloge se poročajo tudi, če institucijam ni treba izrač</w:t>
      </w:r>
      <w:r>
        <w:t>u</w:t>
      </w:r>
      <w:r>
        <w:t>nati kapitalskih zahtev za valutno tveganje v skladu s členom 351 CRR. V teh poj</w:t>
      </w:r>
      <w:r>
        <w:t>a</w:t>
      </w:r>
      <w:r>
        <w:t>snjevalnih postavkah so vključene vse pozicije v valuti poročanja, ne glede na obseg, v katerem se upoštevajo za namene člena 354 CRR. Vrstice 130 do 480 pojasnjevalnih postavk predloge se izpolnijo ločeno za vse valute držav članic Un</w:t>
      </w:r>
      <w:r>
        <w:t>i</w:t>
      </w:r>
      <w:r>
        <w:t>je in naslednje valute: USD, CHF, JPY, RUB, TRY, AUD, CAD, RSD, ALL, UAH, MKD, EGP, ARS, BRL, MXN, HKD, ICK, TWD, NZD, NOK, SGD, KRW, CNY in vse druge valute.</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09" w:name="_Toc262566434"/>
      <w:bookmarkStart w:id="710" w:name="_Toc295830010"/>
      <w:bookmarkStart w:id="711" w:name="_Toc308426687"/>
      <w:bookmarkStart w:id="712" w:name="_Toc310415071"/>
      <w:bookmarkStart w:id="713" w:name="_Toc360188406"/>
      <w:bookmarkStart w:id="714" w:name="_Toc516210697"/>
      <w:bookmarkStart w:id="715" w:name="_Toc473561046"/>
      <w:bookmarkStart w:id="716" w:name="_Toc523474446"/>
      <w:r>
        <w:rPr>
          <w:rFonts w:ascii="Times New Roman" w:hAnsi="Times New Roman"/>
          <w:sz w:val="24"/>
          <w:u w:val="none"/>
        </w:rPr>
        <w:t>5.5.2.</w:t>
      </w:r>
      <w:r w:rsidR="003F40E8" w:rsidRPr="003F40E8">
        <w:rPr>
          <w:u w:val="none"/>
        </w:rPr>
        <w:tab/>
      </w:r>
      <w:r>
        <w:rPr>
          <w:rFonts w:ascii="Times New Roman" w:hAnsi="Times New Roman"/>
          <w:sz w:val="24"/>
        </w:rPr>
        <w:t>Navodila za posamezne pozicije</w:t>
      </w:r>
      <w:bookmarkEnd w:id="709"/>
      <w:bookmarkEnd w:id="710"/>
      <w:bookmarkEnd w:id="711"/>
      <w:bookmarkEnd w:id="712"/>
      <w:bookmarkEnd w:id="713"/>
      <w:bookmarkEnd w:id="714"/>
      <w:bookmarkEnd w:id="715"/>
      <w:bookmarkEnd w:id="7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595"/>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Stolpci</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020–030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VSE POZICIJE (DOLGE IN KRATKE)</w:t>
            </w:r>
          </w:p>
          <w:p w:rsidR="000B0B09" w:rsidRPr="00392FFD" w:rsidRDefault="000B0B09" w:rsidP="00283B5F">
            <w:pPr>
              <w:autoSpaceDE w:val="0"/>
              <w:autoSpaceDN w:val="0"/>
              <w:adjustRightInd w:val="0"/>
              <w:spacing w:before="0" w:after="0"/>
              <w:rPr>
                <w:rFonts w:ascii="Times New Roman" w:hAnsi="Times New Roman"/>
                <w:sz w:val="24"/>
              </w:rPr>
            </w:pPr>
          </w:p>
          <w:p w:rsidR="000B0B09" w:rsidRPr="00392FFD" w:rsidRDefault="000B0B09" w:rsidP="00D1690D">
            <w:pPr>
              <w:autoSpaceDE w:val="0"/>
              <w:autoSpaceDN w:val="0"/>
              <w:adjustRightInd w:val="0"/>
              <w:spacing w:before="0" w:after="0"/>
              <w:rPr>
                <w:rFonts w:ascii="Times New Roman" w:hAnsi="Times New Roman"/>
                <w:sz w:val="24"/>
              </w:rPr>
            </w:pPr>
            <w:r>
              <w:rPr>
                <w:rFonts w:ascii="Times New Roman" w:hAnsi="Times New Roman"/>
                <w:sz w:val="24"/>
              </w:rPr>
              <w:t>Bruto pozicije zaradi sredstev, zneskov, ki se prejmejo, in podobnih postavk iz člena 352(1) CRR. V skladu s členom 352(2) in ob dovoljenju pristojnih org</w:t>
            </w:r>
            <w:r>
              <w:rPr>
                <w:rFonts w:ascii="Times New Roman" w:hAnsi="Times New Roman"/>
                <w:sz w:val="24"/>
              </w:rPr>
              <w:t>a</w:t>
            </w:r>
            <w:r>
              <w:rPr>
                <w:rFonts w:ascii="Times New Roman" w:hAnsi="Times New Roman"/>
                <w:sz w:val="24"/>
              </w:rPr>
              <w:t xml:space="preserve">nov se pozicije, prevzete za varovanje pred negativnim učinkom deviznega tečaja na njihove količnike v skladu s členom 92(1), in pozicije, povezane s </w:t>
            </w:r>
            <w:r>
              <w:rPr>
                <w:rFonts w:ascii="Times New Roman" w:hAnsi="Times New Roman"/>
                <w:sz w:val="24"/>
              </w:rPr>
              <w:lastRenderedPageBreak/>
              <w:t>postavkami, ki so pri izračunu kapitala že odbite, ne poročajo.</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040–050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POZICIJE (DOLGE IN KRATKE)</w:t>
            </w:r>
          </w:p>
          <w:p w:rsidR="000B0B09" w:rsidRPr="00392FFD" w:rsidRDefault="000B0B09" w:rsidP="000B0B09">
            <w:pPr>
              <w:autoSpaceDE w:val="0"/>
              <w:autoSpaceDN w:val="0"/>
              <w:adjustRightInd w:val="0"/>
              <w:spacing w:before="0" w:after="0"/>
              <w:rPr>
                <w:rFonts w:ascii="Times New Roman" w:hAnsi="Times New Roman"/>
                <w:sz w:val="24"/>
              </w:rPr>
            </w:pPr>
          </w:p>
          <w:p w:rsidR="00283B5F"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Člen 352(3) in (4), prvi in drugi stavek, ter člen 353 CRR.</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Neto pozicije se izračunajo za vsako valuto, zato lahko hkrati obstajajo dolge in kratke pozicije.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060–080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POZICIJE, KI SO PREDMET KAPITALSKE ZAHTEVE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Člen 352(4), tretji stavek, ter člena 353 in 354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060–070</w:t>
            </w:r>
          </w:p>
        </w:tc>
        <w:tc>
          <w:tcPr>
            <w:tcW w:w="787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POZICIJE, KI SO PREDMET KAPITALSKE ZAHTEVE (DOLGE IN KRATKE)</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Dolge in kratke neto pozicije za vsako valuto se izračunajo z odštetjem vsote kratkih pozicij od vsote dolgih pozicij.</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Prištejejo se dolge neto pozicije za vsako dejavnost v valuti, da se dobi dolga neto pozicija v tej valuti.</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Prištejejo se kratke neto pozicije za vsako dejavnost v valuti, da se dobi kratka neto pozicija v tej valuti.</w:t>
            </w:r>
          </w:p>
          <w:p w:rsidR="000B0B09" w:rsidRPr="00392FFD" w:rsidRDefault="000B0B09" w:rsidP="00283B5F">
            <w:pPr>
              <w:autoSpaceDE w:val="0"/>
              <w:autoSpaceDN w:val="0"/>
              <w:adjustRightInd w:val="0"/>
              <w:spacing w:before="0" w:after="0"/>
              <w:rPr>
                <w:rFonts w:ascii="Times New Roman" w:hAnsi="Times New Roman"/>
                <w:sz w:val="24"/>
              </w:rPr>
            </w:pPr>
            <w:r>
              <w:rPr>
                <w:rFonts w:ascii="Times New Roman" w:hAnsi="Times New Roman"/>
                <w:sz w:val="24"/>
              </w:rPr>
              <w:t>Neizravnane pozicije v valutah, v katerih se ne poroča, se prištejejo pozicijam, ki so predmet kapitalskih zahtev za druge valute (vrstica 030) v stolpcu (060) ali (070), odvisno od njihove kratke ali dolge ureditve.</w:t>
            </w:r>
          </w:p>
          <w:p w:rsidR="00DE48EF" w:rsidRPr="00392FFD" w:rsidRDefault="00DE48EF" w:rsidP="00283B5F">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POZICIJE, KI SO PREDMET KAPITALSKE ZAHTEVE (IZRAVN</w:t>
            </w:r>
            <w:r>
              <w:rPr>
                <w:rFonts w:ascii="Times New Roman" w:hAnsi="Times New Roman"/>
                <w:b/>
                <w:sz w:val="24"/>
                <w:u w:val="single"/>
              </w:rPr>
              <w:t>A</w:t>
            </w:r>
            <w:r>
              <w:rPr>
                <w:rFonts w:ascii="Times New Roman" w:hAnsi="Times New Roman"/>
                <w:b/>
                <w:sz w:val="24"/>
                <w:u w:val="single"/>
              </w:rPr>
              <w:t>NE)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Izravnane pozicije za tesno korelirane valute.</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KAPITALSKE ZAHTEVE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Kapitalske zahteve za katero koli zadevno pozicijo v skladu s poglavjem 3 na</w:t>
            </w:r>
            <w:r>
              <w:rPr>
                <w:rFonts w:ascii="Times New Roman" w:hAnsi="Times New Roman"/>
                <w:sz w:val="24"/>
              </w:rPr>
              <w:t>s</w:t>
            </w:r>
            <w:r>
              <w:rPr>
                <w:rFonts w:ascii="Times New Roman" w:hAnsi="Times New Roman"/>
                <w:sz w:val="24"/>
              </w:rPr>
              <w:t xml:space="preserve">lova IV dela 3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ZNESEK SKUPNE IZPOSTAVLJENOSTI TVEGANJU</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Člen 92(4)(b) CRR. Rezultat množenja kapitalskih zahtev z 12,5. </w:t>
            </w:r>
          </w:p>
          <w:p w:rsidR="00DE48EF" w:rsidRPr="00392FFD" w:rsidRDefault="00DE48EF" w:rsidP="000B0B09">
            <w:pPr>
              <w:tabs>
                <w:tab w:val="left" w:pos="1665"/>
              </w:tabs>
              <w:autoSpaceDE w:val="0"/>
              <w:autoSpaceDN w:val="0"/>
              <w:adjustRightInd w:val="0"/>
              <w:spacing w:before="0" w:after="0"/>
              <w:rPr>
                <w:rFonts w:ascii="Times New Roman" w:hAnsi="Times New Roman"/>
                <w:b/>
                <w:bCs/>
                <w:sz w:val="24"/>
                <w:u w:val="single"/>
              </w:rPr>
            </w:pP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392FFD" w:rsidTr="00672D2A">
        <w:trPr>
          <w:trHeight w:val="497"/>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Vrstice</w:t>
            </w: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SKUPAJ POZICIJE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Vse pozicije v valutah, v katerih se ne poroča, in tiste pozicije v valutah por</w:t>
            </w:r>
            <w:r>
              <w:rPr>
                <w:rFonts w:ascii="Times New Roman" w:hAnsi="Times New Roman"/>
                <w:sz w:val="24"/>
              </w:rPr>
              <w:t>o</w:t>
            </w:r>
            <w:r>
              <w:rPr>
                <w:rFonts w:ascii="Times New Roman" w:hAnsi="Times New Roman"/>
                <w:sz w:val="24"/>
              </w:rPr>
              <w:t>čanja, ki se upoštevajo za namene člena 354 CRR, kot tudi njihove ustrezne kapitalske zahteve v skladu s členom 92(3)(c)(i) ter členom 352(2) in (4) CRR (za pretvorbo v valuto poročanja).</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TESNO KORELIRANE VALUTE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Pozicije in njihove ustrezne kapitalske zahteve za valute iz člena 354 CRR.</w:t>
            </w:r>
          </w:p>
          <w:p w:rsidR="000B0B09" w:rsidRPr="00392FFD" w:rsidRDefault="000B0B09" w:rsidP="000B0B09">
            <w:pPr>
              <w:autoSpaceDE w:val="0"/>
              <w:autoSpaceDN w:val="0"/>
              <w:adjustRightInd w:val="0"/>
              <w:spacing w:before="0" w:after="0"/>
              <w:rPr>
                <w:rFonts w:ascii="Times New Roman" w:hAnsi="Times New Roman"/>
                <w:sz w:val="24"/>
              </w:rPr>
            </w:pPr>
          </w:p>
        </w:tc>
      </w:tr>
      <w:tr w:rsidR="00491F4D" w:rsidRPr="00392FFD" w:rsidTr="00672D2A">
        <w:tc>
          <w:tcPr>
            <w:tcW w:w="991" w:type="dxa"/>
          </w:tcPr>
          <w:p w:rsidR="00491F4D"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025</w:t>
            </w:r>
          </w:p>
        </w:tc>
        <w:tc>
          <w:tcPr>
            <w:tcW w:w="7871" w:type="dxa"/>
          </w:tcPr>
          <w:p w:rsidR="00491F4D" w:rsidRPr="00392FFD"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Tesno korelirane valute: </w:t>
            </w:r>
            <w:r>
              <w:rPr>
                <w:rFonts w:ascii="Times New Roman" w:hAnsi="Times New Roman"/>
                <w:b/>
                <w:i/>
                <w:sz w:val="24"/>
                <w:u w:val="single"/>
              </w:rPr>
              <w:t>od tega</w:t>
            </w:r>
            <w:r>
              <w:rPr>
                <w:rFonts w:ascii="Times New Roman" w:hAnsi="Times New Roman"/>
                <w:b/>
                <w:sz w:val="24"/>
                <w:u w:val="single"/>
              </w:rPr>
              <w:t>: valuta poročanja</w:t>
            </w:r>
          </w:p>
          <w:p w:rsidR="00491F4D" w:rsidRPr="00392FFD" w:rsidRDefault="00491F4D" w:rsidP="000B0B09">
            <w:pPr>
              <w:autoSpaceDE w:val="0"/>
              <w:autoSpaceDN w:val="0"/>
              <w:adjustRightInd w:val="0"/>
              <w:spacing w:before="0" w:after="0"/>
              <w:rPr>
                <w:rFonts w:ascii="Times New Roman" w:hAnsi="Times New Roman"/>
                <w:sz w:val="24"/>
              </w:rPr>
            </w:pPr>
          </w:p>
          <w:p w:rsidR="00491F4D"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Pozicije v valutah poročanja, ki prispevajo k izračunu kapitalskih zahtev v skladu s členom 354 CRR.</w:t>
            </w:r>
          </w:p>
          <w:p w:rsidR="00491F4D" w:rsidRPr="00392FFD" w:rsidRDefault="00491F4D"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VSE DRUGE VALUTE (vključno s pozicijami v KNP v tujih valutah, obravnavanimi kot druge valute)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Pozicije in njihove ustrezne kapitalske zahteve za valute, ki so predmet splo</w:t>
            </w:r>
            <w:r>
              <w:rPr>
                <w:rFonts w:ascii="Times New Roman" w:hAnsi="Times New Roman"/>
                <w:sz w:val="24"/>
              </w:rPr>
              <w:t>š</w:t>
            </w:r>
            <w:r>
              <w:rPr>
                <w:rFonts w:ascii="Times New Roman" w:hAnsi="Times New Roman"/>
                <w:sz w:val="24"/>
              </w:rPr>
              <w:t xml:space="preserve">nega postopka, iz člena 351 ter člena 352(2) in (4)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Poročanje o KNP, obravnavanih kot ločene valute, v skladu s členom 353 ur</w:t>
            </w:r>
            <w:r>
              <w:rPr>
                <w:rFonts w:ascii="Times New Roman" w:hAnsi="Times New Roman"/>
                <w:sz w:val="24"/>
                <w:u w:val="single"/>
              </w:rPr>
              <w:t>e</w:t>
            </w:r>
            <w:r>
              <w:rPr>
                <w:rFonts w:ascii="Times New Roman" w:hAnsi="Times New Roman"/>
                <w:sz w:val="24"/>
                <w:u w:val="single"/>
              </w:rPr>
              <w:t>dbe o kapitalskih zahtevah</w:t>
            </w: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Na voljo sta dve različni obravnavi KNP, obravnavanih kot ločene valute za izračun kapitalskih zahtev:</w:t>
            </w:r>
          </w:p>
          <w:p w:rsidR="000B0B09" w:rsidRPr="00392FFD"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tab/>
            </w:r>
            <w:r>
              <w:rPr>
                <w:rFonts w:ascii="Times New Roman" w:hAnsi="Times New Roman"/>
                <w:sz w:val="24"/>
              </w:rPr>
              <w:t>spremenjena zlata metoda, če smer naložbe KNP ni na voljo (ti KNP se dodajo skupni neto poziciji institucije v tuji valuti);</w:t>
            </w:r>
          </w:p>
          <w:p w:rsidR="000B0B09" w:rsidRPr="00392FFD"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tab/>
            </w:r>
            <w:r>
              <w:rPr>
                <w:rFonts w:ascii="Times New Roman" w:hAnsi="Times New Roman"/>
                <w:sz w:val="24"/>
              </w:rPr>
              <w:t>če je smer naložbe KNP na voljo, se KNP dodajo skupni odprti poziciji v tuji valuti (dolga ali kratka, odvisno od smeri KNP).</w:t>
            </w: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Pri poročanju o KNP se v skladu s tem upošteva izračun kapitalskih zahtev.</w:t>
            </w:r>
            <w:r>
              <w:rPr>
                <w:rFonts w:ascii="Times New Roman" w:hAnsi="Times New Roman"/>
                <w:sz w:val="24"/>
                <w:u w:val="single"/>
              </w:rPr>
              <w:t xml:space="preserve"> </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ZLATO</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Pozicije in njihove ustrezne kapitalske zahteve za valute, ki so predmet splo</w:t>
            </w:r>
            <w:r>
              <w:rPr>
                <w:rFonts w:ascii="Times New Roman" w:hAnsi="Times New Roman"/>
                <w:sz w:val="24"/>
              </w:rPr>
              <w:t>š</w:t>
            </w:r>
            <w:r>
              <w:rPr>
                <w:rFonts w:ascii="Times New Roman" w:hAnsi="Times New Roman"/>
                <w:sz w:val="24"/>
              </w:rPr>
              <w:t xml:space="preserve">nega postopka, iz člena 351 ter člena 352(2) in (4)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050–090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DODATNE ZAHTEVE ZA OPCIJE (NE-DELTA TVEGANJA)</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Člen 352(5) in (6) CRR.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Dodatne zahteve za opcije, povezane s tveganji, ki niso delta tveganja, se por</w:t>
            </w:r>
            <w:r>
              <w:rPr>
                <w:rFonts w:ascii="Times New Roman" w:hAnsi="Times New Roman"/>
                <w:sz w:val="24"/>
              </w:rPr>
              <w:t>o</w:t>
            </w:r>
            <w:r>
              <w:rPr>
                <w:rFonts w:ascii="Times New Roman" w:hAnsi="Times New Roman"/>
                <w:sz w:val="24"/>
              </w:rPr>
              <w:t>čajo po metodi, ki se uporablja za njihov izračun.</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100–120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Razčlenitev skupnih pozicij (vključena valuta poročanja) glede na vrste izpostavljenosti</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Skupne pozicije se razčlenijo glede na izvedene finančne instrumente, druga sredstva in obveznosti ter zunajbilančne postavke.</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Druga sredstva in obveznosti razen zunajbilančnih postavk in izvedenih finančnih instrumentov</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DE48EF"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Pozicije, ki niso vključene v vrstico 110 ali 120, se vključijo v to vrstico.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Zunajbilančne postavke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Postavke iz področja uporabe člena 352 CRR ne glede na valuto, v kateri so denominirane, vključene v Prilogo I k CRR, razen postavk, vključenih kot posli </w:t>
            </w:r>
            <w:r>
              <w:rPr>
                <w:rFonts w:ascii="Times New Roman" w:hAnsi="Times New Roman"/>
                <w:sz w:val="24"/>
              </w:rPr>
              <w:lastRenderedPageBreak/>
              <w:t>financiranja z vrednostnimi papirji in posli z dolgim rokom poravnave ali iz pobota med različnimi kategorijami produktov.</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120</w:t>
            </w:r>
          </w:p>
          <w:p w:rsidR="000B0B09" w:rsidRPr="00392FFD" w:rsidRDefault="000B0B09" w:rsidP="000B0B09">
            <w:pPr>
              <w:autoSpaceDE w:val="0"/>
              <w:autoSpaceDN w:val="0"/>
              <w:adjustRightInd w:val="0"/>
              <w:spacing w:before="0" w:after="0"/>
              <w:rPr>
                <w:rFonts w:ascii="Times New Roman" w:hAnsi="Times New Roman"/>
                <w:sz w:val="24"/>
              </w:rPr>
            </w:pP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Izvedeni finančni instrumenti</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Pozicije, vrednotene v skladu s členom 352 CRR.</w:t>
            </w:r>
          </w:p>
          <w:p w:rsidR="00902EFC" w:rsidRPr="00392FFD" w:rsidRDefault="00902EFC"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130–480</w:t>
            </w:r>
          </w:p>
          <w:p w:rsidR="000B0B09" w:rsidRPr="00392FFD" w:rsidRDefault="000B0B09" w:rsidP="000B0B09">
            <w:pPr>
              <w:autoSpaceDE w:val="0"/>
              <w:autoSpaceDN w:val="0"/>
              <w:adjustRightInd w:val="0"/>
              <w:spacing w:before="0" w:after="0"/>
              <w:rPr>
                <w:rFonts w:ascii="Times New Roman" w:hAnsi="Times New Roman"/>
                <w:sz w:val="24"/>
              </w:rPr>
            </w:pPr>
          </w:p>
        </w:tc>
        <w:tc>
          <w:tcPr>
            <w:tcW w:w="787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POJASNJEVALNE POSTAVKE: VALUTNE POZICIJE</w:t>
            </w:r>
          </w:p>
          <w:p w:rsidR="000B0B09" w:rsidRPr="00392FFD" w:rsidRDefault="000B0B09" w:rsidP="000B0B09">
            <w:pPr>
              <w:autoSpaceDE w:val="0"/>
              <w:autoSpaceDN w:val="0"/>
              <w:adjustRightInd w:val="0"/>
              <w:spacing w:before="0" w:after="0"/>
              <w:rPr>
                <w:rFonts w:ascii="Times New Roman" w:hAnsi="Times New Roman"/>
                <w:b/>
                <w:bCs/>
                <w:sz w:val="24"/>
              </w:rPr>
            </w:pPr>
          </w:p>
          <w:p w:rsidR="000B0B09" w:rsidRPr="00392FFD" w:rsidRDefault="000B0B09" w:rsidP="00944530">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 xml:space="preserve">Pojasnjevalne postavke predloge se izpolnijo ločeno za vse valute držav članic Unije in naslednje valute: USD, CHF, JPY, RUB, TRY, AUD, CAD, RSD, ALL, UAH, MKD, EGP, ARS, BRL, MXN, HKD, ICK, TWD, NZD, NOK, SGD, KRW, CNY in vse druge valute. </w:t>
            </w:r>
          </w:p>
        </w:tc>
      </w:tr>
    </w:tbl>
    <w:p w:rsidR="000B0B09" w:rsidRPr="00392FFD" w:rsidRDefault="000B0B09" w:rsidP="000B0B09">
      <w:pPr>
        <w:rPr>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17" w:name="_Toc262566435"/>
      <w:bookmarkStart w:id="718" w:name="_Toc295830011"/>
      <w:bookmarkStart w:id="719" w:name="_Toc308426688"/>
      <w:bookmarkStart w:id="720" w:name="_Toc310415072"/>
      <w:bookmarkStart w:id="721" w:name="_Toc360188407"/>
      <w:bookmarkStart w:id="722" w:name="_Toc516210698"/>
      <w:bookmarkStart w:id="723" w:name="_Toc473561047"/>
      <w:bookmarkStart w:id="724" w:name="_Toc523474447"/>
      <w:r>
        <w:rPr>
          <w:rFonts w:ascii="Times New Roman" w:hAnsi="Times New Roman"/>
          <w:sz w:val="24"/>
          <w:u w:val="none"/>
        </w:rPr>
        <w:t>5.6.</w:t>
      </w:r>
      <w:r w:rsidR="003F40E8" w:rsidRPr="003F40E8">
        <w:rPr>
          <w:u w:val="none"/>
        </w:rPr>
        <w:tab/>
      </w:r>
      <w:r>
        <w:rPr>
          <w:rFonts w:ascii="Times New Roman" w:hAnsi="Times New Roman"/>
          <w:sz w:val="24"/>
        </w:rPr>
        <w:t>C 23.00 – Tržno tveganje: Standardizirani pristopi za blago</w:t>
      </w:r>
      <w:bookmarkEnd w:id="717"/>
      <w:bookmarkEnd w:id="718"/>
      <w:bookmarkEnd w:id="719"/>
      <w:bookmarkEnd w:id="720"/>
      <w:bookmarkEnd w:id="721"/>
      <w:r>
        <w:rPr>
          <w:rFonts w:ascii="Times New Roman" w:hAnsi="Times New Roman"/>
          <w:sz w:val="24"/>
        </w:rPr>
        <w:t xml:space="preserve"> (MKR SA COM)</w:t>
      </w:r>
      <w:bookmarkEnd w:id="722"/>
      <w:bookmarkEnd w:id="723"/>
      <w:bookmarkEnd w:id="724"/>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25" w:name="_Toc262566436"/>
      <w:bookmarkStart w:id="726" w:name="_Toc295830012"/>
      <w:bookmarkStart w:id="727" w:name="_Toc308426689"/>
      <w:bookmarkStart w:id="728" w:name="_Toc310415073"/>
      <w:bookmarkStart w:id="729" w:name="_Toc360188408"/>
      <w:bookmarkStart w:id="730" w:name="_Toc516210699"/>
      <w:bookmarkStart w:id="731" w:name="_Toc473561048"/>
      <w:bookmarkStart w:id="732" w:name="_Toc523474448"/>
      <w:r>
        <w:rPr>
          <w:rFonts w:ascii="Times New Roman" w:hAnsi="Times New Roman"/>
          <w:sz w:val="24"/>
          <w:u w:val="none"/>
        </w:rPr>
        <w:t>5.6.1.</w:t>
      </w:r>
      <w:r w:rsidR="003F40E8" w:rsidRPr="003F40E8">
        <w:rPr>
          <w:u w:val="none"/>
        </w:rPr>
        <w:tab/>
      </w:r>
      <w:r>
        <w:rPr>
          <w:rFonts w:ascii="Times New Roman" w:hAnsi="Times New Roman"/>
          <w:sz w:val="24"/>
        </w:rPr>
        <w:t>Splošne opombe</w:t>
      </w:r>
      <w:bookmarkEnd w:id="725"/>
      <w:bookmarkEnd w:id="726"/>
      <w:bookmarkEnd w:id="727"/>
      <w:bookmarkEnd w:id="728"/>
      <w:bookmarkEnd w:id="729"/>
      <w:bookmarkEnd w:id="730"/>
      <w:bookmarkEnd w:id="731"/>
      <w:bookmarkEnd w:id="732"/>
    </w:p>
    <w:p w:rsidR="000B0B09" w:rsidRPr="00392FFD" w:rsidRDefault="00125707" w:rsidP="001A3980">
      <w:pPr>
        <w:pStyle w:val="InstructionsText2"/>
        <w:numPr>
          <w:ilvl w:val="0"/>
          <w:numId w:val="0"/>
        </w:numPr>
        <w:ind w:left="993"/>
      </w:pPr>
      <w:r>
        <w:t>152.</w:t>
      </w:r>
      <w:r>
        <w:tab/>
        <w:t>V tej predlogi se navedejo informacije o pozicijah v blagu in ustreznih kapita</w:t>
      </w:r>
      <w:r>
        <w:t>l</w:t>
      </w:r>
      <w:r>
        <w:t>skih zahtevah, obravnavanih v okviru standardiziranega pristopa.</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33" w:name="_Toc262566437"/>
      <w:bookmarkStart w:id="734" w:name="_Toc295830013"/>
      <w:bookmarkStart w:id="735" w:name="_Toc308426690"/>
      <w:bookmarkStart w:id="736" w:name="_Toc310415074"/>
      <w:bookmarkStart w:id="737" w:name="_Toc360188409"/>
      <w:bookmarkStart w:id="738" w:name="_Toc516210700"/>
      <w:bookmarkStart w:id="739" w:name="_Toc473561049"/>
      <w:bookmarkStart w:id="740" w:name="_Toc523474449"/>
      <w:r>
        <w:rPr>
          <w:rFonts w:ascii="Times New Roman" w:hAnsi="Times New Roman"/>
          <w:sz w:val="24"/>
          <w:u w:val="none"/>
        </w:rPr>
        <w:t>5.6.2.</w:t>
      </w:r>
      <w:r w:rsidR="003F40E8" w:rsidRPr="003F40E8">
        <w:rPr>
          <w:u w:val="none"/>
        </w:rPr>
        <w:tab/>
      </w:r>
      <w:r>
        <w:rPr>
          <w:rFonts w:ascii="Times New Roman" w:hAnsi="Times New Roman"/>
          <w:sz w:val="24"/>
        </w:rPr>
        <w:t>Navodila za posamezne pozicije</w:t>
      </w:r>
      <w:bookmarkEnd w:id="733"/>
      <w:bookmarkEnd w:id="734"/>
      <w:bookmarkEnd w:id="735"/>
      <w:bookmarkEnd w:id="736"/>
      <w:bookmarkEnd w:id="737"/>
      <w:bookmarkEnd w:id="738"/>
      <w:bookmarkEnd w:id="739"/>
      <w:bookmarkEnd w:id="7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392FFD" w:rsidTr="00672D2A">
        <w:trPr>
          <w:trHeight w:val="591"/>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Stolpci</w:t>
            </w:r>
          </w:p>
        </w:tc>
      </w:tr>
      <w:tr w:rsidR="000B0B09" w:rsidRPr="00392FFD" w:rsidTr="00672D2A">
        <w:tc>
          <w:tcPr>
            <w:tcW w:w="986"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VSE POZICIJE (DOLGE IN KRATKE)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Bruto dolge/kratke pozicije, ki so obravnavane kot pozicije v enakem blagu, v skladu s členom 357(1) in (4) CRR (glej tudi člen 359(1) CRR).</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392FFD" w:rsidTr="00672D2A">
        <w:tc>
          <w:tcPr>
            <w:tcW w:w="986"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030–040 </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POZICIJE (DOLGE IN KRATKE)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D1690D">
            <w:pPr>
              <w:autoSpaceDE w:val="0"/>
              <w:autoSpaceDN w:val="0"/>
              <w:adjustRightInd w:val="0"/>
              <w:spacing w:before="0" w:after="0"/>
              <w:rPr>
                <w:rFonts w:ascii="Times New Roman" w:hAnsi="Times New Roman"/>
                <w:sz w:val="24"/>
              </w:rPr>
            </w:pPr>
            <w:r>
              <w:rPr>
                <w:rFonts w:ascii="Times New Roman" w:hAnsi="Times New Roman"/>
                <w:sz w:val="24"/>
              </w:rPr>
              <w:t xml:space="preserve">Kot je opredeljeno v členu 357(3) CRR. </w:t>
            </w: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POZICIJE, KI SO PREDMET KAPITALSKE ZAHTEVE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Neto pozicije, ki v skladu z različnimi pristopi iz poglavja 4 naslova IV dela 3 CRR prejmejo kapitalsko zahtevo.</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KAPITALSKE ZAHTEVE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Kapitalske zahteve za katero koli zadevno pozicijo v skladu s poglavjem 3 na</w:t>
            </w:r>
            <w:r>
              <w:rPr>
                <w:rFonts w:ascii="Times New Roman" w:hAnsi="Times New Roman"/>
                <w:sz w:val="24"/>
              </w:rPr>
              <w:t>s</w:t>
            </w:r>
            <w:r>
              <w:rPr>
                <w:rFonts w:ascii="Times New Roman" w:hAnsi="Times New Roman"/>
                <w:sz w:val="24"/>
              </w:rPr>
              <w:t xml:space="preserve">lova IV dela 4 CRR. </w:t>
            </w: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6"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ZNESEK SKUPNE IZPOSTAVLJENOSTI TVEGANJU</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Člen 92(4)(b) CRR. Rezultat množenja kapitalskih zahtev z 12,5. </w:t>
            </w: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rsidTr="00672D2A">
        <w:trPr>
          <w:trHeight w:val="483"/>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Vrstice</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SKUPAJ POZICIJE V BLAGU</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9E2BBD">
            <w:pPr>
              <w:autoSpaceDE w:val="0"/>
              <w:autoSpaceDN w:val="0"/>
              <w:adjustRightInd w:val="0"/>
              <w:spacing w:before="0" w:after="0"/>
              <w:rPr>
                <w:rFonts w:ascii="Times New Roman" w:hAnsi="Times New Roman"/>
                <w:sz w:val="24"/>
              </w:rPr>
            </w:pPr>
            <w:r>
              <w:rPr>
                <w:rFonts w:ascii="Times New Roman" w:hAnsi="Times New Roman"/>
                <w:sz w:val="24"/>
              </w:rPr>
              <w:t>Pozicije v blagu in njihove ustrezne kapitalske zahteve za tržno tveganje v skladu s členom 92(3)(c)(</w:t>
            </w:r>
            <w:proofErr w:type="spellStart"/>
            <w:r>
              <w:rPr>
                <w:rFonts w:ascii="Times New Roman" w:hAnsi="Times New Roman"/>
                <w:sz w:val="24"/>
              </w:rPr>
              <w:t>iii</w:t>
            </w:r>
            <w:proofErr w:type="spellEnd"/>
            <w:r>
              <w:rPr>
                <w:rFonts w:ascii="Times New Roman" w:hAnsi="Times New Roman"/>
                <w:sz w:val="24"/>
              </w:rPr>
              <w:t xml:space="preserve">) CRR ter poglavjem 4 naslova IV dela 3 CRR. </w:t>
            </w:r>
          </w:p>
        </w:tc>
      </w:tr>
      <w:tr w:rsidR="000B0B09" w:rsidRPr="00392FFD" w:rsidTr="00672D2A">
        <w:tc>
          <w:tcPr>
            <w:tcW w:w="987"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020–060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POZICIJE GLEDE NA KATEGORIJO BLAGA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Za namene poročanja se blago združi v štiri glavne skupine blaga iz razprede</w:t>
            </w:r>
            <w:r>
              <w:rPr>
                <w:rFonts w:ascii="Times New Roman" w:hAnsi="Times New Roman"/>
                <w:sz w:val="24"/>
              </w:rPr>
              <w:t>l</w:t>
            </w:r>
            <w:r>
              <w:rPr>
                <w:rFonts w:ascii="Times New Roman" w:hAnsi="Times New Roman"/>
                <w:sz w:val="24"/>
              </w:rPr>
              <w:t>nice 2 člena 361 CRR.</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PRISTOP LESTVICE ZAPADLOSTI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Pozicije v blagu, ki so predmet pristopa lestvice zapadlosti iz člena 359 CRR.</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RAZŠIRJENI PRISTOP LESTVICE ZAPADLOSTI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Pozicije v blagu, ki so predmet razširjenega pristopa lestvice zapadlosti iz člena 361 CRR.</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POENOSTAVLJENI PRISTOP</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Pozicije v blagu, ki so predmet pristopa lestvice zapadlosti iz člena 360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100–140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DODATNE ZAHTEVE ZA OPCIJE (NE-DELTA TVEGANJA)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Člen 358(4) CRR.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Dodatne zahteve za opcije, povezane s tveganji, ki niso delta tveganja, se por</w:t>
            </w:r>
            <w:r>
              <w:rPr>
                <w:rFonts w:ascii="Times New Roman" w:hAnsi="Times New Roman"/>
                <w:sz w:val="24"/>
              </w:rPr>
              <w:t>o</w:t>
            </w:r>
            <w:r>
              <w:rPr>
                <w:rFonts w:ascii="Times New Roman" w:hAnsi="Times New Roman"/>
                <w:sz w:val="24"/>
              </w:rPr>
              <w:t>čajo po metodi, ki se uporablja za njihov izračun.</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c>
      </w:tr>
    </w:tbl>
    <w:p w:rsidR="000B0B09" w:rsidRPr="00392FFD" w:rsidRDefault="000B0B09" w:rsidP="000B0B09">
      <w:pPr>
        <w:rPr>
          <w:rFonts w:ascii="Times New Roman" w:hAnsi="Times New Roman"/>
          <w:sz w:val="24"/>
        </w:rPr>
      </w:pPr>
    </w:p>
    <w:p w:rsidR="000B0B09" w:rsidRPr="0023700C" w:rsidRDefault="00125707" w:rsidP="0023700C">
      <w:pPr>
        <w:pStyle w:val="Instructionsberschrift2"/>
        <w:numPr>
          <w:ilvl w:val="0"/>
          <w:numId w:val="0"/>
        </w:numPr>
        <w:ind w:left="357" w:hanging="357"/>
        <w:rPr>
          <w:rFonts w:ascii="Times New Roman" w:hAnsi="Times New Roman"/>
          <w:sz w:val="24"/>
        </w:rPr>
      </w:pPr>
      <w:bookmarkStart w:id="741" w:name="_Toc262566438"/>
      <w:bookmarkStart w:id="742" w:name="_Toc295830014"/>
      <w:bookmarkStart w:id="743" w:name="_Toc308426691"/>
      <w:bookmarkStart w:id="744" w:name="_Toc310415075"/>
      <w:bookmarkStart w:id="745" w:name="_Toc360188410"/>
      <w:bookmarkStart w:id="746" w:name="_Toc516210701"/>
      <w:bookmarkStart w:id="747" w:name="_Toc473561050"/>
      <w:bookmarkStart w:id="748" w:name="_Toc523474450"/>
      <w:r>
        <w:rPr>
          <w:rFonts w:ascii="Times New Roman" w:hAnsi="Times New Roman"/>
          <w:sz w:val="24"/>
          <w:u w:val="none"/>
        </w:rPr>
        <w:t>5.7.</w:t>
      </w:r>
      <w:r w:rsidR="003F40E8" w:rsidRPr="003F40E8">
        <w:rPr>
          <w:u w:val="none"/>
        </w:rPr>
        <w:tab/>
      </w:r>
      <w:r>
        <w:rPr>
          <w:rFonts w:ascii="Times New Roman" w:hAnsi="Times New Roman"/>
          <w:sz w:val="24"/>
        </w:rPr>
        <w:t>C 24.00 – Notranji modeli za tržna tveganja</w:t>
      </w:r>
      <w:bookmarkEnd w:id="741"/>
      <w:bookmarkEnd w:id="742"/>
      <w:bookmarkEnd w:id="743"/>
      <w:bookmarkEnd w:id="744"/>
      <w:bookmarkEnd w:id="745"/>
      <w:r>
        <w:rPr>
          <w:rFonts w:ascii="Times New Roman" w:hAnsi="Times New Roman"/>
          <w:sz w:val="24"/>
        </w:rPr>
        <w:t xml:space="preserve"> (MKR IM)</w:t>
      </w:r>
      <w:bookmarkEnd w:id="746"/>
      <w:bookmarkEnd w:id="747"/>
      <w:bookmarkEnd w:id="748"/>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49" w:name="_Toc262566439"/>
      <w:bookmarkStart w:id="750" w:name="_Toc295830015"/>
      <w:bookmarkStart w:id="751" w:name="_Toc308426692"/>
      <w:bookmarkStart w:id="752" w:name="_Toc310415076"/>
      <w:bookmarkStart w:id="753" w:name="_Toc360188411"/>
      <w:bookmarkStart w:id="754" w:name="_Toc516210702"/>
      <w:bookmarkStart w:id="755" w:name="_Toc473561051"/>
      <w:bookmarkStart w:id="756" w:name="_Toc523474451"/>
      <w:r>
        <w:rPr>
          <w:rFonts w:ascii="Times New Roman" w:hAnsi="Times New Roman"/>
          <w:sz w:val="24"/>
          <w:u w:val="none"/>
        </w:rPr>
        <w:t>5.7.1.</w:t>
      </w:r>
      <w:r w:rsidR="003F40E8" w:rsidRPr="003F40E8">
        <w:rPr>
          <w:u w:val="none"/>
        </w:rPr>
        <w:tab/>
      </w:r>
      <w:r>
        <w:rPr>
          <w:rFonts w:ascii="Times New Roman" w:hAnsi="Times New Roman"/>
          <w:sz w:val="24"/>
        </w:rPr>
        <w:t>Splošne opombe</w:t>
      </w:r>
      <w:bookmarkEnd w:id="749"/>
      <w:bookmarkEnd w:id="750"/>
      <w:bookmarkEnd w:id="751"/>
      <w:bookmarkEnd w:id="752"/>
      <w:bookmarkEnd w:id="753"/>
      <w:bookmarkEnd w:id="754"/>
      <w:bookmarkEnd w:id="755"/>
      <w:bookmarkEnd w:id="756"/>
    </w:p>
    <w:p w:rsidR="000B0B09" w:rsidRPr="00392FFD" w:rsidRDefault="00125707" w:rsidP="001A3980">
      <w:pPr>
        <w:pStyle w:val="InstructionsText2"/>
        <w:numPr>
          <w:ilvl w:val="0"/>
          <w:numId w:val="0"/>
        </w:numPr>
        <w:ind w:left="993"/>
      </w:pPr>
      <w:r>
        <w:t>153.</w:t>
      </w:r>
      <w:r>
        <w:tab/>
        <w:t>Ta predloga vsebuje razčlenitev zneskov tvegane vrednosti (</w:t>
      </w:r>
      <w:proofErr w:type="spellStart"/>
      <w:r>
        <w:t>VaR</w:t>
      </w:r>
      <w:proofErr w:type="spellEnd"/>
      <w:r>
        <w:t>) in stresne tvegane vrednosti (</w:t>
      </w:r>
      <w:proofErr w:type="spellStart"/>
      <w:r>
        <w:t>sVaR</w:t>
      </w:r>
      <w:proofErr w:type="spellEnd"/>
      <w:r>
        <w:t>) glede na različna tržna tveganja (dolžniški instrument, lastniški instrument, tuja valuta, blago) in druge informacije, pomembne za izračun kapitalskih zahtev.</w:t>
      </w:r>
    </w:p>
    <w:p w:rsidR="000B0B09" w:rsidRPr="00321A3B" w:rsidRDefault="00125707" w:rsidP="001A3980">
      <w:pPr>
        <w:pStyle w:val="InstructionsText2"/>
        <w:numPr>
          <w:ilvl w:val="0"/>
          <w:numId w:val="0"/>
        </w:numPr>
        <w:ind w:left="993"/>
      </w:pPr>
      <w:r>
        <w:t>154.</w:t>
      </w:r>
      <w:r>
        <w:tab/>
        <w:t>Običajno je poročanje odvisno od strukture modela institucij, tj. ali zneske za splošno in posebno tveganje sporočajo ločeno ali skupaj. To velja tudi za razčlen</w:t>
      </w:r>
      <w:r>
        <w:t>i</w:t>
      </w:r>
      <w:r>
        <w:t>tev tvegane vrednosti/stresne tvegane vrednosti v kategorije tveganja (obrestno tv</w:t>
      </w:r>
      <w:r>
        <w:t>e</w:t>
      </w:r>
      <w:r>
        <w:t>ganje, tveganje v lastniških finančnih instrumentih, valutno tveganje in tveganje spremembe cen blaga). Institucija lahko odstopi od sporočanja navedenih razčlen</w:t>
      </w:r>
      <w:r>
        <w:t>i</w:t>
      </w:r>
      <w:r>
        <w:t xml:space="preserve">tev, če dokaže, da bi bilo sporočanje teh zneskov pretirano obremenjujoče. </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57" w:name="_Toc262566440"/>
      <w:bookmarkStart w:id="758" w:name="_Toc295830016"/>
      <w:bookmarkStart w:id="759" w:name="_Toc308426693"/>
      <w:bookmarkStart w:id="760" w:name="_Toc310415077"/>
      <w:bookmarkStart w:id="761" w:name="_Toc360188412"/>
      <w:bookmarkStart w:id="762" w:name="_Toc516210703"/>
      <w:bookmarkStart w:id="763" w:name="_Toc473561052"/>
      <w:bookmarkStart w:id="764" w:name="_Toc523474452"/>
      <w:r>
        <w:rPr>
          <w:rFonts w:ascii="Times New Roman" w:hAnsi="Times New Roman"/>
          <w:sz w:val="24"/>
          <w:u w:val="none"/>
        </w:rPr>
        <w:lastRenderedPageBreak/>
        <w:t>5.7.2.</w:t>
      </w:r>
      <w:r w:rsidR="003F40E8" w:rsidRPr="003F40E8">
        <w:rPr>
          <w:u w:val="none"/>
        </w:rPr>
        <w:tab/>
      </w:r>
      <w:r>
        <w:rPr>
          <w:rFonts w:ascii="Times New Roman" w:hAnsi="Times New Roman"/>
          <w:sz w:val="24"/>
        </w:rPr>
        <w:t>Navodila za posamezne pozicije</w:t>
      </w:r>
      <w:bookmarkEnd w:id="757"/>
      <w:bookmarkEnd w:id="758"/>
      <w:bookmarkEnd w:id="759"/>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392FFD" w:rsidTr="00672D2A">
        <w:tc>
          <w:tcPr>
            <w:tcW w:w="8862" w:type="dxa"/>
            <w:gridSpan w:val="2"/>
            <w:shd w:val="clear" w:color="auto" w:fill="BFBFBF"/>
          </w:tcPr>
          <w:p w:rsidR="000B0B09" w:rsidRPr="00392FFD"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Stolpci</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proofErr w:type="spellStart"/>
            <w:r>
              <w:rPr>
                <w:rFonts w:ascii="Times New Roman" w:hAnsi="Times New Roman"/>
                <w:b/>
                <w:sz w:val="24"/>
                <w:u w:val="single"/>
              </w:rPr>
              <w:t>VaR</w:t>
            </w:r>
            <w:proofErr w:type="spellEnd"/>
            <w:r>
              <w:rPr>
                <w:rFonts w:ascii="Times New Roman" w:hAnsi="Times New Roman"/>
                <w:b/>
                <w:sz w:val="24"/>
                <w:u w:val="single"/>
              </w:rPr>
              <w:t xml:space="preserve">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Pomeni največjo možno izgubo, ki bi izhajala iz spremembe cene z določeno verjetnostjo v opredeljenem časovnem obdobju.</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proofErr w:type="spellStart"/>
            <w:r>
              <w:rPr>
                <w:rFonts w:ascii="Times New Roman" w:hAnsi="Times New Roman"/>
                <w:b/>
                <w:sz w:val="24"/>
                <w:u w:val="single"/>
              </w:rPr>
              <w:t>Multiplikacijski</w:t>
            </w:r>
            <w:proofErr w:type="spellEnd"/>
            <w:r>
              <w:rPr>
                <w:rFonts w:ascii="Times New Roman" w:hAnsi="Times New Roman"/>
                <w:b/>
                <w:sz w:val="24"/>
                <w:u w:val="single"/>
              </w:rPr>
              <w:t xml:space="preserve"> faktor (</w:t>
            </w:r>
            <w:proofErr w:type="spellStart"/>
            <w:r>
              <w:rPr>
                <w:rFonts w:ascii="Times New Roman" w:hAnsi="Times New Roman"/>
                <w:b/>
                <w:sz w:val="24"/>
                <w:u w:val="single"/>
              </w:rPr>
              <w:t>mc</w:t>
            </w:r>
            <w:proofErr w:type="spellEnd"/>
            <w:r>
              <w:rPr>
                <w:rFonts w:ascii="Times New Roman" w:hAnsi="Times New Roman"/>
                <w:b/>
                <w:sz w:val="24"/>
                <w:u w:val="single"/>
              </w:rPr>
              <w:t xml:space="preserve">) x povprečje za </w:t>
            </w:r>
            <w:proofErr w:type="spellStart"/>
            <w:r>
              <w:rPr>
                <w:rFonts w:ascii="Times New Roman" w:hAnsi="Times New Roman"/>
                <w:b/>
                <w:sz w:val="24"/>
                <w:u w:val="single"/>
              </w:rPr>
              <w:t>VaR</w:t>
            </w:r>
            <w:proofErr w:type="spellEnd"/>
            <w:r>
              <w:rPr>
                <w:rFonts w:ascii="Times New Roman" w:hAnsi="Times New Roman"/>
                <w:b/>
                <w:sz w:val="24"/>
                <w:u w:val="single"/>
              </w:rPr>
              <w:t xml:space="preserve"> za preteklih 60 delovnih dni (</w:t>
            </w:r>
            <w:proofErr w:type="spellStart"/>
            <w:r>
              <w:rPr>
                <w:rFonts w:ascii="Times New Roman" w:hAnsi="Times New Roman"/>
                <w:b/>
                <w:sz w:val="24"/>
                <w:u w:val="single"/>
              </w:rPr>
              <w:t>VaRavg</w:t>
            </w:r>
            <w:proofErr w:type="spellEnd"/>
            <w:r>
              <w:rPr>
                <w:rFonts w:ascii="Times New Roman" w:hAnsi="Times New Roman"/>
                <w:b/>
                <w:sz w:val="24"/>
                <w:u w:val="single"/>
              </w:rPr>
              <w:t>)</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5F1095">
            <w:pPr>
              <w:autoSpaceDE w:val="0"/>
              <w:autoSpaceDN w:val="0"/>
              <w:adjustRightInd w:val="0"/>
              <w:spacing w:before="0" w:after="0"/>
              <w:rPr>
                <w:rFonts w:ascii="Times New Roman" w:hAnsi="Times New Roman"/>
                <w:sz w:val="24"/>
              </w:rPr>
            </w:pPr>
            <w:r>
              <w:rPr>
                <w:rFonts w:ascii="Times New Roman" w:hAnsi="Times New Roman"/>
                <w:sz w:val="24"/>
              </w:rPr>
              <w:t>Člen 364(1)(a)(</w:t>
            </w:r>
            <w:proofErr w:type="spellStart"/>
            <w:r>
              <w:rPr>
                <w:rFonts w:ascii="Times New Roman" w:hAnsi="Times New Roman"/>
                <w:sz w:val="24"/>
              </w:rPr>
              <w:t>ii</w:t>
            </w:r>
            <w:proofErr w:type="spellEnd"/>
            <w:r>
              <w:rPr>
                <w:rFonts w:ascii="Times New Roman" w:hAnsi="Times New Roman"/>
                <w:sz w:val="24"/>
              </w:rPr>
              <w:t xml:space="preserve">) in člen 365(1) CRR.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proofErr w:type="spellStart"/>
            <w:r>
              <w:rPr>
                <w:rFonts w:ascii="Times New Roman" w:hAnsi="Times New Roman"/>
                <w:b/>
                <w:sz w:val="24"/>
                <w:u w:val="single"/>
              </w:rPr>
              <w:t>VaR</w:t>
            </w:r>
            <w:proofErr w:type="spellEnd"/>
            <w:r>
              <w:rPr>
                <w:rFonts w:ascii="Times New Roman" w:hAnsi="Times New Roman"/>
                <w:b/>
                <w:sz w:val="24"/>
                <w:u w:val="single"/>
              </w:rPr>
              <w:t xml:space="preserve"> prejšnjega dne (</w:t>
            </w:r>
            <w:proofErr w:type="spellStart"/>
            <w:r>
              <w:rPr>
                <w:rFonts w:ascii="Times New Roman" w:hAnsi="Times New Roman"/>
                <w:b/>
                <w:sz w:val="24"/>
                <w:u w:val="single"/>
              </w:rPr>
              <w:t>VaRt</w:t>
            </w:r>
            <w:proofErr w:type="spellEnd"/>
            <w:r>
              <w:rPr>
                <w:rFonts w:ascii="Times New Roman" w:hAnsi="Times New Roman"/>
                <w:b/>
                <w:sz w:val="24"/>
                <w:u w:val="single"/>
              </w:rPr>
              <w:t>–1)</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Člen 364(1)(a)(i) in člen 365(1) CRR.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Stresna tvegana vrednost (</w:t>
            </w:r>
            <w:proofErr w:type="spellStart"/>
            <w:r>
              <w:rPr>
                <w:rFonts w:ascii="Times New Roman" w:hAnsi="Times New Roman"/>
                <w:b/>
                <w:sz w:val="24"/>
                <w:u w:val="single"/>
              </w:rPr>
              <w:t>SVaR</w:t>
            </w:r>
            <w:proofErr w:type="spellEnd"/>
            <w:r>
              <w:rPr>
                <w:rFonts w:ascii="Times New Roman" w:hAnsi="Times New Roman"/>
                <w:b/>
                <w:sz w:val="24"/>
                <w:u w:val="single"/>
              </w:rPr>
              <w:t>)</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Pomeni največjo možno izgubo, ki bi izhajala iz spremembe cene z določeno verjetnostjo v opredeljenem časovnem obdobju, pri čemer se pridobi z uporabo vhodnih podatkov, umerjenih na pretekle podatke iz neprekinjenega 12-mesečnega obdobja finančnega stresa, ki zadeva portfelj institucije.</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proofErr w:type="spellStart"/>
            <w:r>
              <w:rPr>
                <w:rFonts w:ascii="Times New Roman" w:hAnsi="Times New Roman"/>
                <w:b/>
                <w:sz w:val="24"/>
                <w:u w:val="single"/>
              </w:rPr>
              <w:t>Multiplikacijski</w:t>
            </w:r>
            <w:proofErr w:type="spellEnd"/>
            <w:r>
              <w:rPr>
                <w:rFonts w:ascii="Times New Roman" w:hAnsi="Times New Roman"/>
                <w:b/>
                <w:sz w:val="24"/>
                <w:u w:val="single"/>
              </w:rPr>
              <w:t xml:space="preserve"> faktor (ms) x povprečje za </w:t>
            </w:r>
            <w:proofErr w:type="spellStart"/>
            <w:r>
              <w:rPr>
                <w:rFonts w:ascii="Times New Roman" w:hAnsi="Times New Roman"/>
                <w:b/>
                <w:sz w:val="24"/>
                <w:u w:val="single"/>
              </w:rPr>
              <w:t>SVaR</w:t>
            </w:r>
            <w:proofErr w:type="spellEnd"/>
            <w:r>
              <w:rPr>
                <w:rFonts w:ascii="Times New Roman" w:hAnsi="Times New Roman"/>
                <w:b/>
                <w:sz w:val="24"/>
                <w:u w:val="single"/>
              </w:rPr>
              <w:t xml:space="preserve"> za preteklih 60 delovnih dni (</w:t>
            </w:r>
            <w:proofErr w:type="spellStart"/>
            <w:r>
              <w:rPr>
                <w:rFonts w:ascii="Times New Roman" w:hAnsi="Times New Roman"/>
                <w:b/>
                <w:sz w:val="24"/>
                <w:u w:val="single"/>
              </w:rPr>
              <w:t>SVaRavg</w:t>
            </w:r>
            <w:proofErr w:type="spellEnd"/>
            <w:r>
              <w:rPr>
                <w:rFonts w:ascii="Times New Roman" w:hAnsi="Times New Roman"/>
                <w:b/>
                <w:sz w:val="24"/>
                <w:u w:val="single"/>
              </w:rPr>
              <w:t>)</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392FFD"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Člen 364(1)(b)(</w:t>
            </w:r>
            <w:proofErr w:type="spellStart"/>
            <w:r>
              <w:rPr>
                <w:rFonts w:ascii="Times New Roman" w:hAnsi="Times New Roman"/>
                <w:sz w:val="24"/>
              </w:rPr>
              <w:t>ii</w:t>
            </w:r>
            <w:proofErr w:type="spellEnd"/>
            <w:r>
              <w:rPr>
                <w:rFonts w:ascii="Times New Roman" w:hAnsi="Times New Roman"/>
                <w:sz w:val="24"/>
              </w:rPr>
              <w:t>) in člen 365(1) CRR.</w:t>
            </w:r>
            <w:r>
              <w:rPr>
                <w:rStyle w:val="InstructionsTabelleberschrift"/>
                <w:rFonts w:ascii="Times New Roman" w:hAnsi="Times New Roman"/>
                <w:sz w:val="24"/>
              </w:rPr>
              <w:t xml:space="preserve"> </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Zadnji razpoložljivi </w:t>
            </w:r>
            <w:proofErr w:type="spellStart"/>
            <w:r>
              <w:rPr>
                <w:rFonts w:ascii="Times New Roman" w:hAnsi="Times New Roman"/>
                <w:b/>
                <w:sz w:val="24"/>
                <w:u w:val="single"/>
              </w:rPr>
              <w:t>SVaR</w:t>
            </w:r>
            <w:proofErr w:type="spellEnd"/>
            <w:r>
              <w:rPr>
                <w:rFonts w:ascii="Times New Roman" w:hAnsi="Times New Roman"/>
                <w:b/>
                <w:sz w:val="24"/>
                <w:u w:val="single"/>
              </w:rPr>
              <w:t xml:space="preserve"> (</w:t>
            </w:r>
            <w:proofErr w:type="spellStart"/>
            <w:r>
              <w:rPr>
                <w:rFonts w:ascii="Times New Roman" w:hAnsi="Times New Roman"/>
                <w:b/>
                <w:sz w:val="24"/>
                <w:u w:val="single"/>
              </w:rPr>
              <w:t>SVaRt</w:t>
            </w:r>
            <w:proofErr w:type="spellEnd"/>
            <w:r>
              <w:rPr>
                <w:rFonts w:ascii="Times New Roman" w:hAnsi="Times New Roman"/>
                <w:b/>
                <w:sz w:val="24"/>
                <w:u w:val="single"/>
              </w:rPr>
              <w:t>-1)</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Člen 364(1)(b)(i) in člen 365(1)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070–080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KAPITALSKE ZAHTEVE ZA PRESEŽNO TVEGANJE NEPLAČILA IN MIGRACIJE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rPr>
                <w:rFonts w:ascii="Times New Roman" w:hAnsi="Times New Roman"/>
                <w:sz w:val="24"/>
              </w:rPr>
            </w:pPr>
            <w:r>
              <w:rPr>
                <w:rFonts w:ascii="Times New Roman" w:hAnsi="Times New Roman"/>
                <w:sz w:val="24"/>
              </w:rPr>
              <w:t xml:space="preserve">Pomeni največjo možno izgubo, ki bi izhajala iz spremembe cene, povezane s tveganji neplačila in migracije, izračunanimi v skladu s členom 364(2)(b) v povezavi z oddelkom 4 poglavja 5 naslova IV dela 3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Povprečna vrednost 12-ih tednov</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Člen 364(2)(b)(</w:t>
            </w:r>
            <w:proofErr w:type="spellStart"/>
            <w:r>
              <w:rPr>
                <w:rFonts w:ascii="Times New Roman" w:hAnsi="Times New Roman"/>
                <w:sz w:val="24"/>
              </w:rPr>
              <w:t>ii</w:t>
            </w:r>
            <w:proofErr w:type="spellEnd"/>
            <w:r>
              <w:rPr>
                <w:rFonts w:ascii="Times New Roman" w:hAnsi="Times New Roman"/>
                <w:sz w:val="24"/>
              </w:rPr>
              <w:t>) v povezavi z oddelkom 4 poglavja 5 naslova IV dela 3 CRR.</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Zadnja vrednost</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Člen 364(2)(b)(i) v povezavi z oddelkom 4 poglavja 5 naslova IV dela 3 CRR.</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KAPITALSKA ZAHTEVA ZA VSA CENOVNA TVEGANJA V TRG</w:t>
            </w:r>
            <w:r>
              <w:rPr>
                <w:rFonts w:ascii="Times New Roman" w:hAnsi="Times New Roman"/>
                <w:b/>
                <w:sz w:val="24"/>
                <w:u w:val="single"/>
              </w:rPr>
              <w:t>O</w:t>
            </w:r>
            <w:r>
              <w:rPr>
                <w:rFonts w:ascii="Times New Roman" w:hAnsi="Times New Roman"/>
                <w:b/>
                <w:sz w:val="24"/>
                <w:u w:val="single"/>
              </w:rPr>
              <w:t>VALNEM PORTFELJU S KORELACIJO</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MINIMALNA KAPITALSKA ZAHTEVA</w:t>
            </w:r>
          </w:p>
          <w:p w:rsidR="000B0B09" w:rsidRPr="00392FFD" w:rsidRDefault="000B0B09" w:rsidP="000B0B09">
            <w:pPr>
              <w:rPr>
                <w:rFonts w:ascii="Times New Roman" w:hAnsi="Times New Roman"/>
                <w:sz w:val="24"/>
              </w:rPr>
            </w:pPr>
            <w:r>
              <w:rPr>
                <w:rFonts w:ascii="Times New Roman" w:hAnsi="Times New Roman"/>
                <w:sz w:val="24"/>
              </w:rPr>
              <w:lastRenderedPageBreak/>
              <w:t>Člen 364(3)(c) CRR.</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8 % kapitalske zahteve, ki bi se izračunala v skladu s členom 338(1) CRR za vse pozicije v kapitalski zahtevi „za vsa cenovna tveganja.</w:t>
            </w:r>
            <w:r>
              <w:rPr>
                <w:rFonts w:ascii="Times New Roman" w:hAnsi="Times New Roman"/>
                <w:b/>
                <w:sz w:val="24"/>
                <w:u w:val="single"/>
              </w:rPr>
              <w:t xml:space="preserve">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100–110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POVPREČNA VREDNOST 12-IH TEDNOV IN ZADNJA VREDNOST</w:t>
            </w: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Člen 364(3)(b).</w:t>
            </w:r>
          </w:p>
          <w:p w:rsidR="000B0B09" w:rsidRPr="00392FFD" w:rsidRDefault="000B0B09" w:rsidP="000B0B09">
            <w:pPr>
              <w:autoSpaceDE w:val="0"/>
              <w:autoSpaceDN w:val="0"/>
              <w:adjustRightInd w:val="0"/>
              <w:spacing w:before="0" w:after="0"/>
              <w:rPr>
                <w:rFonts w:ascii="Times New Roman" w:hAnsi="Times New Roman"/>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ZADNJA VREDNOST</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Člen 364(3)(a).</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120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KAPITALSKE ZAHTEVE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Iz člena 364 CRR o vseh faktorjih tveganja ob upoštevanju učinka korelacije, če je to ustrezno, s presežnim tveganjem neplačila in migracije ter vsemi cen</w:t>
            </w:r>
            <w:r>
              <w:rPr>
                <w:rFonts w:ascii="Times New Roman" w:hAnsi="Times New Roman"/>
                <w:sz w:val="24"/>
              </w:rPr>
              <w:t>o</w:t>
            </w:r>
            <w:r>
              <w:rPr>
                <w:rFonts w:ascii="Times New Roman" w:hAnsi="Times New Roman"/>
                <w:sz w:val="24"/>
              </w:rPr>
              <w:t xml:space="preserve">vnimi tveganji za CTP, vendar brez kapitalskih zahtev listinjenja za listinjenje in kreditni izvedeni finančni instrument na podlagi n-tega neplačila v skladu s členom 364(2)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130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ZNESEK SKUPNE IZPOSTAVLJENOSTI TVEGANJU</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Člen 92(4)(b) CRR. Rezultat množenja kapitalskih zahtev z 12,5.</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Število preseganj v zadnjih 250 delovnih dneh</w:t>
            </w:r>
          </w:p>
          <w:p w:rsidR="000B0B09" w:rsidRPr="00392FFD" w:rsidRDefault="000B0B09" w:rsidP="000B0B09">
            <w:pPr>
              <w:autoSpaceDE w:val="0"/>
              <w:autoSpaceDN w:val="0"/>
              <w:adjustRightInd w:val="0"/>
              <w:spacing w:before="0" w:after="0"/>
              <w:rPr>
                <w:rFonts w:ascii="Times New Roman" w:hAnsi="Times New Roman"/>
                <w:sz w:val="24"/>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Člen 366 CRR. </w:t>
            </w:r>
          </w:p>
          <w:p w:rsidR="00A92CFF" w:rsidRDefault="00A92CFF" w:rsidP="000B0B09">
            <w:pPr>
              <w:autoSpaceDE w:val="0"/>
              <w:autoSpaceDN w:val="0"/>
              <w:adjustRightInd w:val="0"/>
              <w:spacing w:before="0" w:after="0"/>
              <w:rPr>
                <w:rFonts w:ascii="Times New Roman" w:hAnsi="Times New Roman"/>
                <w:sz w:val="24"/>
              </w:rPr>
            </w:pPr>
          </w:p>
          <w:p w:rsidR="00A92CFF" w:rsidRPr="00392FFD" w:rsidRDefault="00A92CFF"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Sporoči se število preseganj, na podlagi katerih se določi </w:t>
            </w:r>
            <w:proofErr w:type="spellStart"/>
            <w:r>
              <w:rPr>
                <w:rFonts w:ascii="Times New Roman" w:hAnsi="Times New Roman"/>
                <w:sz w:val="24"/>
              </w:rPr>
              <w:t>prištevek</w:t>
            </w:r>
            <w:proofErr w:type="spellEnd"/>
            <w:r>
              <w:rPr>
                <w:rFonts w:ascii="Times New Roman" w:hAnsi="Times New Roman"/>
                <w:sz w:val="24"/>
              </w:rPr>
              <w:t>.</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150–160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proofErr w:type="spellStart"/>
            <w:r>
              <w:rPr>
                <w:rFonts w:ascii="Times New Roman" w:hAnsi="Times New Roman"/>
                <w:b/>
                <w:sz w:val="24"/>
                <w:u w:val="single"/>
              </w:rPr>
              <w:t>Multiplikacijski</w:t>
            </w:r>
            <w:proofErr w:type="spellEnd"/>
            <w:r>
              <w:rPr>
                <w:rFonts w:ascii="Times New Roman" w:hAnsi="Times New Roman"/>
                <w:b/>
                <w:sz w:val="24"/>
                <w:u w:val="single"/>
              </w:rPr>
              <w:t xml:space="preserve"> faktor </w:t>
            </w:r>
            <w:proofErr w:type="spellStart"/>
            <w:r>
              <w:rPr>
                <w:rFonts w:ascii="Times New Roman" w:hAnsi="Times New Roman"/>
                <w:b/>
                <w:sz w:val="24"/>
                <w:u w:val="single"/>
              </w:rPr>
              <w:t>VaR</w:t>
            </w:r>
            <w:proofErr w:type="spellEnd"/>
            <w:r>
              <w:rPr>
                <w:rFonts w:ascii="Times New Roman" w:hAnsi="Times New Roman"/>
                <w:b/>
                <w:sz w:val="24"/>
                <w:u w:val="single"/>
              </w:rPr>
              <w:t xml:space="preserve"> (</w:t>
            </w:r>
            <w:proofErr w:type="spellStart"/>
            <w:r>
              <w:rPr>
                <w:rFonts w:ascii="Times New Roman" w:hAnsi="Times New Roman"/>
                <w:b/>
                <w:sz w:val="24"/>
                <w:u w:val="single"/>
              </w:rPr>
              <w:t>mc</w:t>
            </w:r>
            <w:proofErr w:type="spellEnd"/>
            <w:r>
              <w:rPr>
                <w:rFonts w:ascii="Times New Roman" w:hAnsi="Times New Roman"/>
                <w:b/>
                <w:sz w:val="24"/>
                <w:u w:val="single"/>
              </w:rPr>
              <w:t xml:space="preserve">) in </w:t>
            </w:r>
            <w:proofErr w:type="spellStart"/>
            <w:r>
              <w:rPr>
                <w:rFonts w:ascii="Times New Roman" w:hAnsi="Times New Roman"/>
                <w:b/>
                <w:sz w:val="24"/>
                <w:u w:val="single"/>
              </w:rPr>
              <w:t>multiplikacijski</w:t>
            </w:r>
            <w:proofErr w:type="spellEnd"/>
            <w:r>
              <w:rPr>
                <w:rFonts w:ascii="Times New Roman" w:hAnsi="Times New Roman"/>
                <w:b/>
                <w:sz w:val="24"/>
                <w:u w:val="single"/>
              </w:rPr>
              <w:t xml:space="preserve"> faktor </w:t>
            </w:r>
            <w:proofErr w:type="spellStart"/>
            <w:r>
              <w:rPr>
                <w:rFonts w:ascii="Times New Roman" w:hAnsi="Times New Roman"/>
                <w:b/>
                <w:sz w:val="24"/>
                <w:u w:val="single"/>
              </w:rPr>
              <w:t>SVaR</w:t>
            </w:r>
            <w:proofErr w:type="spellEnd"/>
            <w:r>
              <w:rPr>
                <w:rFonts w:ascii="Times New Roman" w:hAnsi="Times New Roman"/>
                <w:b/>
                <w:sz w:val="24"/>
                <w:u w:val="single"/>
              </w:rPr>
              <w:t xml:space="preserve"> (ms)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Fonts w:ascii="Times New Roman" w:hAnsi="Times New Roman"/>
                <w:sz w:val="24"/>
              </w:rPr>
              <w:t>Člen 366 CRR.</w:t>
            </w:r>
            <w:r>
              <w:rPr>
                <w:rStyle w:val="InstructionsTabelleberschrift"/>
                <w:rFonts w:ascii="Times New Roman" w:hAnsi="Times New Roman"/>
                <w:sz w:val="24"/>
              </w:rPr>
              <w:t xml:space="preserve">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170–180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PREDVIDENA ZAHTEVA ZA SPODNJI PRAG TRGOVALNEGA POTFELJA S KORELACIJO – TEHTANE NETO DOLGE/KRATKE POZICIJE PO UPORABI OMEJITVE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Pri sporočenih zneskih, ki se uporabljajo kot podlaga za izračun kapitalske za</w:t>
            </w:r>
            <w:r>
              <w:rPr>
                <w:rFonts w:ascii="Times New Roman" w:hAnsi="Times New Roman"/>
                <w:sz w:val="24"/>
              </w:rPr>
              <w:t>h</w:t>
            </w:r>
            <w:r>
              <w:rPr>
                <w:rFonts w:ascii="Times New Roman" w:hAnsi="Times New Roman"/>
                <w:sz w:val="24"/>
              </w:rPr>
              <w:t xml:space="preserve">teve za spodnji prag za vsa cenovna tveganja v skladu s členom 364(3)(c) CRR, se upošteva diskrecijska pravica iz člena 335 CRR, ki določa, da lahko institucija omeji produkt uteži in neto pozicije na raven največje možne izgube, povezane s tveganjem neplačila. </w:t>
            </w:r>
          </w:p>
          <w:p w:rsidR="00902EFC" w:rsidRPr="00392FFD" w:rsidRDefault="00902EFC" w:rsidP="000B0B09">
            <w:pPr>
              <w:autoSpaceDE w:val="0"/>
              <w:autoSpaceDN w:val="0"/>
              <w:adjustRightInd w:val="0"/>
              <w:spacing w:before="0" w:after="0"/>
              <w:rPr>
                <w:rStyle w:val="InstructionsTabelleberschrift"/>
                <w:rFonts w:ascii="Times New Roman" w:hAnsi="Times New Roman"/>
                <w:sz w:val="24"/>
              </w:rPr>
            </w:pPr>
          </w:p>
        </w:tc>
      </w:tr>
    </w:tbl>
    <w:p w:rsidR="000B0B09" w:rsidRPr="00392FFD"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392FFD" w:rsidTr="00672D2A">
        <w:trPr>
          <w:trHeight w:val="566"/>
        </w:trPr>
        <w:tc>
          <w:tcPr>
            <w:tcW w:w="8896"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Vrstice</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SKUPAJ POZICIJE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Ustreza delu pozicijskega in valutnega tveganja ter tveganja spremembe cen blaga iz člena 363(1) CRR v zvezi s faktorji tveganja iz člena 367(2) CRR. </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Pri stolpcih 030 do 060 (tvegana vrednost in stresna tvegana vrednost) zneski v vrstici s skupno vrednostjo niso enakovredni razčlenitvi zneskov za tvegano vrednost/stresno tvegano vrednost zadevnih komponent tveganja. Zato so ra</w:t>
            </w:r>
            <w:r>
              <w:rPr>
                <w:rFonts w:ascii="Times New Roman" w:hAnsi="Times New Roman"/>
                <w:sz w:val="24"/>
              </w:rPr>
              <w:t>z</w:t>
            </w:r>
            <w:r>
              <w:rPr>
                <w:rFonts w:ascii="Times New Roman" w:hAnsi="Times New Roman"/>
                <w:sz w:val="24"/>
              </w:rPr>
              <w:t xml:space="preserve">členitve pojasnjevalne postavke.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020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DOLŽNIŠKI INSTRUMENTI, S KATERIMI SE TRGUJE NA BORZI</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Ustreza delu pozicijskega tveganja iz člena 363(1) CRR v zvezi s faktorji obr</w:t>
            </w:r>
            <w:r>
              <w:rPr>
                <w:rFonts w:ascii="Times New Roman" w:hAnsi="Times New Roman"/>
                <w:sz w:val="24"/>
              </w:rPr>
              <w:t>e</w:t>
            </w:r>
            <w:r>
              <w:rPr>
                <w:rFonts w:ascii="Times New Roman" w:hAnsi="Times New Roman"/>
                <w:sz w:val="24"/>
              </w:rPr>
              <w:t xml:space="preserve">stnega tveganja iz člena 367(2) CRR.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SPLOŠNO TVEGANJE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Splošno tveganje, opredeljeno v členu 362 CRR.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POSEBNO TVEGANJE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Posebno tveganje, opredeljeno v členu 362 CRR.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LASTNIŠKI FINANČNI INSTRUMENTI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Ustreza delu pozicijskega tveganja iz člena 363(1) CRR v zvezi s faktorji tv</w:t>
            </w:r>
            <w:r>
              <w:rPr>
                <w:rFonts w:ascii="Times New Roman" w:hAnsi="Times New Roman"/>
                <w:sz w:val="24"/>
              </w:rPr>
              <w:t>e</w:t>
            </w:r>
            <w:r>
              <w:rPr>
                <w:rFonts w:ascii="Times New Roman" w:hAnsi="Times New Roman"/>
                <w:sz w:val="24"/>
              </w:rPr>
              <w:t xml:space="preserve">ganja v lastniških finančnih instrumentih iz člena 367(2)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LASTNIŠKI FINANČNI INSTRUMENTI – SPLOŠNO TVEGANJE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Splošno tveganje, opredeljeno v členu 362 CRR.</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LASTNIŠKI FINANČNI INSTRUMENTI – POSEBNO TVEGANJE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Posebno tveganje, opredeljeno v členu 362 CRR.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VALUTNO TVEGANJE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Člena 363(1) in 367(2) CRR.</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TVEGANJE SPREMEMBE CEN BLAGA</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Člena 363(1) in 367(2) CRR.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SKUPNA VREDNOST SPLOŠNEGA TVEGANJA</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Tržno tveganje, ki ga povzročajo splošna tržna gibanja dolžniških instrume</w:t>
            </w:r>
            <w:r>
              <w:rPr>
                <w:rStyle w:val="InstructionsTabelleText"/>
                <w:rFonts w:ascii="Times New Roman" w:hAnsi="Times New Roman"/>
                <w:sz w:val="24"/>
              </w:rPr>
              <w:t>n</w:t>
            </w:r>
            <w:r>
              <w:rPr>
                <w:rStyle w:val="InstructionsTabelleText"/>
                <w:rFonts w:ascii="Times New Roman" w:hAnsi="Times New Roman"/>
                <w:sz w:val="24"/>
              </w:rPr>
              <w:t>tov, s katerimi se trguje na borzi, lastniških finančnih instrumentov, valut in blaga. Tvegana vrednost za splošno tveganje vseh faktorjev tveganja (po potr</w:t>
            </w:r>
            <w:r>
              <w:rPr>
                <w:rStyle w:val="InstructionsTabelleText"/>
                <w:rFonts w:ascii="Times New Roman" w:hAnsi="Times New Roman"/>
                <w:sz w:val="24"/>
              </w:rPr>
              <w:t>e</w:t>
            </w:r>
            <w:r>
              <w:rPr>
                <w:rStyle w:val="InstructionsTabelleText"/>
                <w:rFonts w:ascii="Times New Roman" w:hAnsi="Times New Roman"/>
                <w:sz w:val="24"/>
              </w:rPr>
              <w:t xml:space="preserve">bi ob upoštevanju učinkov korelacije).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p w:rsidR="000B0B09" w:rsidRPr="00392FFD" w:rsidRDefault="000B0B09" w:rsidP="000B0B09">
            <w:pPr>
              <w:jc w:val="center"/>
              <w:rPr>
                <w:rFonts w:ascii="Times New Roman" w:hAnsi="Times New Roman"/>
                <w:sz w:val="24"/>
              </w:rPr>
            </w:pP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SKUPNA VREDNOST POSEBNEGA TVEGANJA</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Posebno tveganje dolžniških instrumentov, s katerimi se trguje na borzi, in las</w:t>
            </w:r>
            <w:r>
              <w:rPr>
                <w:rStyle w:val="InstructionsTabelleText"/>
                <w:rFonts w:ascii="Times New Roman" w:hAnsi="Times New Roman"/>
                <w:sz w:val="24"/>
              </w:rPr>
              <w:t>t</w:t>
            </w:r>
            <w:r>
              <w:rPr>
                <w:rStyle w:val="InstructionsTabelleText"/>
                <w:rFonts w:ascii="Times New Roman" w:hAnsi="Times New Roman"/>
                <w:sz w:val="24"/>
              </w:rPr>
              <w:t>niških finančnih instrumentov. Tvegana vrednost za posebno tveganje lastni</w:t>
            </w:r>
            <w:r>
              <w:rPr>
                <w:rStyle w:val="InstructionsTabelleText"/>
                <w:rFonts w:ascii="Times New Roman" w:hAnsi="Times New Roman"/>
                <w:sz w:val="24"/>
              </w:rPr>
              <w:t>š</w:t>
            </w:r>
            <w:r>
              <w:rPr>
                <w:rStyle w:val="InstructionsTabelleText"/>
                <w:rFonts w:ascii="Times New Roman" w:hAnsi="Times New Roman"/>
                <w:sz w:val="24"/>
              </w:rPr>
              <w:t>kih finančnih instrumentov in dolžniških instrumentov, s katerimi se trguje na borzi, v trgovalni knjigi (po potrebi ob upoštevanju učinkov korelacije).</w:t>
            </w:r>
          </w:p>
        </w:tc>
      </w:tr>
    </w:tbl>
    <w:p w:rsidR="000B0B09" w:rsidRPr="00392FFD" w:rsidRDefault="000B0B09">
      <w:pPr>
        <w:spacing w:before="0" w:after="0"/>
        <w:jc w:val="left"/>
        <w:rPr>
          <w:rStyle w:val="InstructionsTabelleText"/>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65" w:name="_Toc360188413"/>
      <w:bookmarkStart w:id="766" w:name="_Toc516210704"/>
      <w:bookmarkStart w:id="767" w:name="_Toc473561053"/>
      <w:bookmarkStart w:id="768" w:name="_Toc523474453"/>
      <w:r>
        <w:rPr>
          <w:rFonts w:ascii="Times New Roman" w:hAnsi="Times New Roman"/>
          <w:sz w:val="24"/>
          <w:u w:val="none"/>
        </w:rPr>
        <w:lastRenderedPageBreak/>
        <w:t>5.8.</w:t>
      </w:r>
      <w:r w:rsidR="003F40E8" w:rsidRPr="003F40E8">
        <w:rPr>
          <w:u w:val="none"/>
        </w:rPr>
        <w:tab/>
      </w:r>
      <w:r>
        <w:rPr>
          <w:rFonts w:ascii="Times New Roman" w:hAnsi="Times New Roman"/>
          <w:sz w:val="24"/>
        </w:rPr>
        <w:t>C 25.00 – TVEGANJE PRILAGODITVE KREDITNEGA VREDNOTENJA</w:t>
      </w:r>
      <w:bookmarkEnd w:id="765"/>
      <w:r>
        <w:rPr>
          <w:rFonts w:ascii="Times New Roman" w:hAnsi="Times New Roman"/>
          <w:sz w:val="24"/>
        </w:rPr>
        <w:t xml:space="preserve"> (CVA)</w:t>
      </w:r>
      <w:bookmarkEnd w:id="766"/>
      <w:bookmarkEnd w:id="767"/>
      <w:bookmarkEnd w:id="768"/>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69" w:name="_Toc360188414"/>
      <w:bookmarkStart w:id="770" w:name="_Toc516210705"/>
      <w:bookmarkStart w:id="771" w:name="_Toc473561054"/>
      <w:bookmarkStart w:id="772" w:name="_Toc310008820"/>
      <w:bookmarkStart w:id="773" w:name="_Toc523474454"/>
      <w:r>
        <w:rPr>
          <w:rFonts w:ascii="Times New Roman" w:hAnsi="Times New Roman"/>
          <w:sz w:val="24"/>
          <w:u w:val="none"/>
        </w:rPr>
        <w:t>5.8.1.</w:t>
      </w:r>
      <w:r w:rsidR="003F40E8" w:rsidRPr="003F40E8">
        <w:rPr>
          <w:u w:val="none"/>
        </w:rPr>
        <w:tab/>
      </w:r>
      <w:r>
        <w:rPr>
          <w:rFonts w:ascii="Times New Roman" w:hAnsi="Times New Roman"/>
          <w:sz w:val="24"/>
        </w:rPr>
        <w:t>Navodila za posamezne pozicije</w:t>
      </w:r>
      <w:bookmarkEnd w:id="769"/>
      <w:bookmarkEnd w:id="770"/>
      <w:bookmarkEnd w:id="771"/>
      <w:bookmarkEnd w:id="7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rsidTr="00672D2A">
        <w:tc>
          <w:tcPr>
            <w:tcW w:w="8856" w:type="dxa"/>
            <w:gridSpan w:val="2"/>
            <w:shd w:val="clear" w:color="auto" w:fill="CCCCCC"/>
          </w:tcPr>
          <w:p w:rsidR="000B0B09" w:rsidRPr="00392FFD" w:rsidRDefault="000B0B09" w:rsidP="000B0B09">
            <w:pPr>
              <w:rPr>
                <w:rFonts w:ascii="Times New Roman" w:hAnsi="Times New Roman"/>
                <w:b/>
                <w:sz w:val="24"/>
              </w:rPr>
            </w:pPr>
            <w:r>
              <w:rPr>
                <w:rFonts w:ascii="Times New Roman" w:hAnsi="Times New Roman"/>
                <w:b/>
                <w:sz w:val="24"/>
              </w:rPr>
              <w:t>Stolpci</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010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Vrednost izpostavljenosti </w:t>
            </w:r>
          </w:p>
          <w:p w:rsidR="000B0B09" w:rsidRPr="00392FFD" w:rsidRDefault="000B0B09" w:rsidP="000B0B09">
            <w:pPr>
              <w:rPr>
                <w:rFonts w:ascii="Times New Roman" w:hAnsi="Times New Roman"/>
                <w:sz w:val="24"/>
              </w:rPr>
            </w:pPr>
            <w:r>
              <w:rPr>
                <w:rFonts w:ascii="Times New Roman" w:hAnsi="Times New Roman"/>
                <w:sz w:val="24"/>
              </w:rPr>
              <w:t>Člen 271 CRR v skladu s členom 382 CRR.</w:t>
            </w:r>
          </w:p>
          <w:p w:rsidR="000B0B09" w:rsidRPr="00392FFD" w:rsidRDefault="000B0B09" w:rsidP="000B0B09">
            <w:pPr>
              <w:rPr>
                <w:rFonts w:ascii="Times New Roman" w:hAnsi="Times New Roman"/>
                <w:sz w:val="24"/>
              </w:rPr>
            </w:pPr>
            <w:r>
              <w:rPr>
                <w:rFonts w:ascii="Times New Roman" w:hAnsi="Times New Roman"/>
                <w:sz w:val="24"/>
              </w:rPr>
              <w:t xml:space="preserve">Skupna vrednost izpostavljenosti (EAD) vseh poslov, ki so predmet kapitalske zahteve za tveganje CVA.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020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Od tega: izvedeni finančni instrumenti OTC </w:t>
            </w:r>
          </w:p>
          <w:p w:rsidR="000B0B09" w:rsidRPr="00392FFD" w:rsidRDefault="000B0B09" w:rsidP="000B0B09">
            <w:pPr>
              <w:rPr>
                <w:rFonts w:ascii="Times New Roman" w:hAnsi="Times New Roman"/>
                <w:sz w:val="24"/>
              </w:rPr>
            </w:pPr>
            <w:r>
              <w:rPr>
                <w:rFonts w:ascii="Times New Roman" w:hAnsi="Times New Roman"/>
                <w:sz w:val="24"/>
              </w:rPr>
              <w:t>Člen 271 CRR v skladu s členom 382(1) CRR.</w:t>
            </w:r>
          </w:p>
          <w:p w:rsidR="000B0B09" w:rsidRPr="00392FFD" w:rsidRDefault="000B0B09" w:rsidP="000B0B09">
            <w:pPr>
              <w:rPr>
                <w:rFonts w:ascii="Times New Roman" w:hAnsi="Times New Roman"/>
                <w:sz w:val="24"/>
              </w:rPr>
            </w:pPr>
            <w:r>
              <w:rPr>
                <w:rFonts w:ascii="Times New Roman" w:hAnsi="Times New Roman"/>
                <w:sz w:val="24"/>
              </w:rPr>
              <w:t>Del skupne izpostavljenosti kreditnemu tveganju nasprotne stranke samo zaradi izvedenih finančnih instrumentov OTC. Podatki se ne zahtevajo od institucij IMM, ki imajo izvedene finančne instrumente OTC in posle financiranja z vre</w:t>
            </w:r>
            <w:r>
              <w:rPr>
                <w:rFonts w:ascii="Times New Roman" w:hAnsi="Times New Roman"/>
                <w:sz w:val="24"/>
              </w:rPr>
              <w:t>d</w:t>
            </w:r>
            <w:r>
              <w:rPr>
                <w:rFonts w:ascii="Times New Roman" w:hAnsi="Times New Roman"/>
                <w:sz w:val="24"/>
              </w:rPr>
              <w:t>nostnimi papirji v istem nizu pobotov.</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030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Od tega: POSEL FINANCIRANJA VREDNOSTNIH PAPIRJEV </w:t>
            </w:r>
          </w:p>
          <w:p w:rsidR="000B0B09" w:rsidRPr="00392FFD" w:rsidRDefault="000B0B09" w:rsidP="000B0B09">
            <w:pPr>
              <w:rPr>
                <w:rFonts w:ascii="Times New Roman" w:hAnsi="Times New Roman"/>
                <w:sz w:val="24"/>
              </w:rPr>
            </w:pPr>
            <w:r>
              <w:rPr>
                <w:rFonts w:ascii="Times New Roman" w:hAnsi="Times New Roman"/>
                <w:sz w:val="24"/>
              </w:rPr>
              <w:t>Člen 271 CRR v skladu s členom 382(2) CRR.</w:t>
            </w:r>
          </w:p>
          <w:p w:rsidR="000B0B09" w:rsidRPr="00392FFD" w:rsidRDefault="000B0B09" w:rsidP="000B0B09">
            <w:pPr>
              <w:rPr>
                <w:rFonts w:ascii="Times New Roman" w:hAnsi="Times New Roman"/>
                <w:sz w:val="24"/>
              </w:rPr>
            </w:pPr>
            <w:r>
              <w:rPr>
                <w:rFonts w:ascii="Times New Roman" w:hAnsi="Times New Roman"/>
                <w:sz w:val="24"/>
              </w:rPr>
              <w:t>Del skupne izpostavljenosti kreditnemu tveganju nasprotne stranke samo zaradi izvedenih finančnih instrumentov SFT (poslov financiranja z vrednostnimi papirji). Podatki se ne zahtevajo od institucij IMM, ki imajo izvedene finančne instrumente OTC in posle financiranja z vrednostnimi papirji v istem nizu pob</w:t>
            </w:r>
            <w:r>
              <w:rPr>
                <w:rFonts w:ascii="Times New Roman" w:hAnsi="Times New Roman"/>
                <w:sz w:val="24"/>
              </w:rPr>
              <w:t>o</w:t>
            </w:r>
            <w:r>
              <w:rPr>
                <w:rFonts w:ascii="Times New Roman" w:hAnsi="Times New Roman"/>
                <w:sz w:val="24"/>
              </w:rPr>
              <w:t>tov.</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040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MULTIPLIKACIJSKI FAKTOR (</w:t>
            </w:r>
            <w:proofErr w:type="spellStart"/>
            <w:r>
              <w:rPr>
                <w:rFonts w:ascii="Times New Roman" w:hAnsi="Times New Roman"/>
                <w:b/>
                <w:sz w:val="24"/>
                <w:u w:val="single"/>
              </w:rPr>
              <w:t>mc</w:t>
            </w:r>
            <w:proofErr w:type="spellEnd"/>
            <w:r>
              <w:rPr>
                <w:rFonts w:ascii="Times New Roman" w:hAnsi="Times New Roman"/>
                <w:b/>
                <w:sz w:val="24"/>
                <w:u w:val="single"/>
              </w:rPr>
              <w:t xml:space="preserve">) × POVPREČJE ZA </w:t>
            </w:r>
            <w:proofErr w:type="spellStart"/>
            <w:r>
              <w:rPr>
                <w:rFonts w:ascii="Times New Roman" w:hAnsi="Times New Roman"/>
                <w:b/>
                <w:sz w:val="24"/>
                <w:u w:val="single"/>
              </w:rPr>
              <w:t>VaR</w:t>
            </w:r>
            <w:proofErr w:type="spellEnd"/>
            <w:r>
              <w:rPr>
                <w:rFonts w:ascii="Times New Roman" w:hAnsi="Times New Roman"/>
                <w:b/>
                <w:sz w:val="24"/>
                <w:u w:val="single"/>
              </w:rPr>
              <w:t xml:space="preserve"> ZA PR</w:t>
            </w:r>
            <w:r>
              <w:rPr>
                <w:rFonts w:ascii="Times New Roman" w:hAnsi="Times New Roman"/>
                <w:b/>
                <w:sz w:val="24"/>
                <w:u w:val="single"/>
              </w:rPr>
              <w:t>E</w:t>
            </w:r>
            <w:r>
              <w:rPr>
                <w:rFonts w:ascii="Times New Roman" w:hAnsi="Times New Roman"/>
                <w:b/>
                <w:sz w:val="24"/>
                <w:u w:val="single"/>
              </w:rPr>
              <w:t>TEKLIH 60 DELOVNIH DNI (</w:t>
            </w:r>
            <w:proofErr w:type="spellStart"/>
            <w:r>
              <w:rPr>
                <w:rFonts w:ascii="Times New Roman" w:hAnsi="Times New Roman"/>
                <w:b/>
                <w:sz w:val="24"/>
                <w:u w:val="single"/>
              </w:rPr>
              <w:t>VaRavg</w:t>
            </w:r>
            <w:proofErr w:type="spellEnd"/>
            <w:r>
              <w:rPr>
                <w:rFonts w:ascii="Times New Roman" w:hAnsi="Times New Roman"/>
                <w:b/>
                <w:sz w:val="24"/>
                <w:u w:val="single"/>
              </w:rPr>
              <w:t>)</w:t>
            </w:r>
          </w:p>
          <w:p w:rsidR="000B0B09" w:rsidRPr="00392FFD" w:rsidRDefault="000B0B09" w:rsidP="000B0B09">
            <w:pPr>
              <w:rPr>
                <w:rFonts w:ascii="Times New Roman" w:hAnsi="Times New Roman"/>
                <w:sz w:val="24"/>
              </w:rPr>
            </w:pPr>
            <w:r>
              <w:rPr>
                <w:rFonts w:ascii="Times New Roman" w:hAnsi="Times New Roman"/>
                <w:sz w:val="24"/>
              </w:rPr>
              <w:t>Člen 383 CRR v skladu s členom 363(1)(d) CRR.</w:t>
            </w:r>
          </w:p>
          <w:p w:rsidR="000B0B09" w:rsidRPr="00392FFD" w:rsidRDefault="000B0B09" w:rsidP="000B0B09">
            <w:pPr>
              <w:rPr>
                <w:rFonts w:ascii="Times New Roman" w:hAnsi="Times New Roman"/>
                <w:sz w:val="24"/>
              </w:rPr>
            </w:pPr>
            <w:r>
              <w:rPr>
                <w:rFonts w:ascii="Times New Roman" w:hAnsi="Times New Roman"/>
                <w:sz w:val="24"/>
              </w:rPr>
              <w:t xml:space="preserve">Izračun tvegane vrednosti na podlagi notranjih modelov za tržno tveganje.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050</w:t>
            </w:r>
          </w:p>
        </w:tc>
        <w:tc>
          <w:tcPr>
            <w:tcW w:w="8004" w:type="dxa"/>
          </w:tcPr>
          <w:p w:rsidR="000B0B09" w:rsidRPr="00392FFD" w:rsidRDefault="000B0B09" w:rsidP="000B0B09">
            <w:pPr>
              <w:rPr>
                <w:rFonts w:ascii="Times New Roman" w:hAnsi="Times New Roman"/>
                <w:b/>
                <w:bCs/>
                <w:sz w:val="24"/>
                <w:u w:val="single"/>
              </w:rPr>
            </w:pPr>
            <w:proofErr w:type="spellStart"/>
            <w:r>
              <w:rPr>
                <w:rFonts w:ascii="Times New Roman" w:hAnsi="Times New Roman"/>
                <w:b/>
                <w:sz w:val="24"/>
                <w:u w:val="single"/>
              </w:rPr>
              <w:t>VaR</w:t>
            </w:r>
            <w:proofErr w:type="spellEnd"/>
            <w:r>
              <w:rPr>
                <w:rFonts w:ascii="Times New Roman" w:hAnsi="Times New Roman"/>
                <w:b/>
                <w:sz w:val="24"/>
                <w:u w:val="single"/>
              </w:rPr>
              <w:t xml:space="preserve"> PREJŠNJEGA DNE (</w:t>
            </w:r>
            <w:proofErr w:type="spellStart"/>
            <w:r>
              <w:rPr>
                <w:rFonts w:ascii="Times New Roman" w:hAnsi="Times New Roman"/>
                <w:b/>
                <w:sz w:val="24"/>
                <w:u w:val="single"/>
              </w:rPr>
              <w:t>VaRt</w:t>
            </w:r>
            <w:proofErr w:type="spellEnd"/>
            <w:r>
              <w:rPr>
                <w:rFonts w:ascii="Times New Roman" w:hAnsi="Times New Roman"/>
                <w:b/>
                <w:sz w:val="24"/>
                <w:u w:val="single"/>
              </w:rPr>
              <w:t>–1)</w:t>
            </w:r>
          </w:p>
          <w:p w:rsidR="000B0B09" w:rsidRPr="00392FFD" w:rsidRDefault="000B0B09" w:rsidP="000B0B09">
            <w:pPr>
              <w:rPr>
                <w:rFonts w:ascii="Times New Roman" w:hAnsi="Times New Roman"/>
                <w:sz w:val="24"/>
              </w:rPr>
            </w:pPr>
            <w:r>
              <w:rPr>
                <w:rFonts w:ascii="Times New Roman" w:hAnsi="Times New Roman"/>
                <w:sz w:val="24"/>
              </w:rPr>
              <w:t>Glej navodila za stolpec 040.</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060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MULTIPLIKACIJSKI FAKTOR (ms) × POVPREČJE ZA </w:t>
            </w:r>
            <w:proofErr w:type="spellStart"/>
            <w:r>
              <w:rPr>
                <w:rFonts w:ascii="Times New Roman" w:hAnsi="Times New Roman"/>
                <w:b/>
                <w:sz w:val="24"/>
                <w:u w:val="single"/>
              </w:rPr>
              <w:t>SVaR</w:t>
            </w:r>
            <w:proofErr w:type="spellEnd"/>
            <w:r>
              <w:rPr>
                <w:rFonts w:ascii="Times New Roman" w:hAnsi="Times New Roman"/>
                <w:b/>
                <w:sz w:val="24"/>
                <w:u w:val="single"/>
              </w:rPr>
              <w:t xml:space="preserve"> ZA PRETEKLIH 60 DELOVNIH DNI (</w:t>
            </w:r>
            <w:proofErr w:type="spellStart"/>
            <w:r>
              <w:rPr>
                <w:rFonts w:ascii="Times New Roman" w:hAnsi="Times New Roman"/>
                <w:b/>
                <w:sz w:val="24"/>
                <w:u w:val="single"/>
              </w:rPr>
              <w:t>SVaRavg</w:t>
            </w:r>
            <w:proofErr w:type="spellEnd"/>
            <w:r>
              <w:rPr>
                <w:rFonts w:ascii="Times New Roman" w:hAnsi="Times New Roman"/>
                <w:b/>
                <w:sz w:val="24"/>
                <w:u w:val="single"/>
              </w:rPr>
              <w:t>)</w:t>
            </w:r>
          </w:p>
          <w:p w:rsidR="000B0B09" w:rsidRPr="00392FFD" w:rsidRDefault="000B0B09" w:rsidP="000B0B09">
            <w:pPr>
              <w:rPr>
                <w:rFonts w:ascii="Times New Roman" w:hAnsi="Times New Roman"/>
                <w:sz w:val="24"/>
              </w:rPr>
            </w:pPr>
            <w:r>
              <w:rPr>
                <w:rFonts w:ascii="Times New Roman" w:hAnsi="Times New Roman"/>
                <w:sz w:val="24"/>
              </w:rPr>
              <w:t>Glej navodila za stolpec 040.</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070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 xml:space="preserve">ZADNJI RAZPOLOŽLJIVI </w:t>
            </w:r>
            <w:proofErr w:type="spellStart"/>
            <w:r>
              <w:rPr>
                <w:rFonts w:ascii="Times New Roman" w:hAnsi="Times New Roman"/>
                <w:b/>
                <w:sz w:val="24"/>
                <w:u w:val="single"/>
              </w:rPr>
              <w:t>SVaR</w:t>
            </w:r>
            <w:proofErr w:type="spellEnd"/>
            <w:r>
              <w:rPr>
                <w:rFonts w:ascii="Times New Roman" w:hAnsi="Times New Roman"/>
                <w:b/>
                <w:sz w:val="24"/>
                <w:u w:val="single"/>
              </w:rPr>
              <w:t xml:space="preserve"> (</w:t>
            </w:r>
            <w:proofErr w:type="spellStart"/>
            <w:r>
              <w:rPr>
                <w:rFonts w:ascii="Times New Roman" w:hAnsi="Times New Roman"/>
                <w:b/>
                <w:sz w:val="24"/>
                <w:u w:val="single"/>
              </w:rPr>
              <w:t>SVaRt</w:t>
            </w:r>
            <w:proofErr w:type="spellEnd"/>
            <w:r>
              <w:rPr>
                <w:rFonts w:ascii="Times New Roman" w:hAnsi="Times New Roman"/>
                <w:b/>
                <w:sz w:val="24"/>
                <w:u w:val="single"/>
              </w:rPr>
              <w:t>-1)</w:t>
            </w:r>
          </w:p>
          <w:p w:rsidR="000B0B09" w:rsidRPr="00392FFD" w:rsidRDefault="000B0B09" w:rsidP="000B0B09">
            <w:pPr>
              <w:rPr>
                <w:rFonts w:ascii="Times New Roman" w:hAnsi="Times New Roman"/>
                <w:b/>
                <w:sz w:val="24"/>
                <w:u w:val="single"/>
              </w:rPr>
            </w:pPr>
            <w:r>
              <w:rPr>
                <w:rFonts w:ascii="Times New Roman" w:hAnsi="Times New Roman"/>
                <w:sz w:val="24"/>
              </w:rPr>
              <w:t>Glej navodila za stolpec 040.</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080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KAPITALSKE ZAHTEVE</w:t>
            </w:r>
          </w:p>
          <w:p w:rsidR="000B0B09" w:rsidRPr="00392FFD" w:rsidRDefault="000B0B09" w:rsidP="000B0B09">
            <w:pPr>
              <w:rPr>
                <w:rFonts w:ascii="Times New Roman" w:hAnsi="Times New Roman"/>
                <w:sz w:val="24"/>
              </w:rPr>
            </w:pPr>
            <w:r>
              <w:rPr>
                <w:rFonts w:ascii="Times New Roman" w:hAnsi="Times New Roman"/>
                <w:sz w:val="24"/>
              </w:rPr>
              <w:t>Člen 92(3)(d) CRR.</w:t>
            </w:r>
          </w:p>
          <w:p w:rsidR="000B0B09" w:rsidRPr="00392FFD" w:rsidRDefault="000B0B09" w:rsidP="000B0B09">
            <w:pPr>
              <w:rPr>
                <w:rFonts w:ascii="Times New Roman" w:hAnsi="Times New Roman"/>
                <w:sz w:val="24"/>
              </w:rPr>
            </w:pPr>
            <w:r>
              <w:rPr>
                <w:rFonts w:ascii="Times New Roman" w:hAnsi="Times New Roman"/>
                <w:sz w:val="24"/>
              </w:rPr>
              <w:t xml:space="preserve">Kapitalske zahteve za tveganje CVA, izračunano z izbrano metodo.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lastRenderedPageBreak/>
              <w:t>090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ZNESEK SKUPNE IZPOSTAVLJENOSTI TVEGANJU</w:t>
            </w:r>
          </w:p>
          <w:p w:rsidR="000B0B09" w:rsidRPr="00392FFD" w:rsidRDefault="000B0B09" w:rsidP="000B0B09">
            <w:pPr>
              <w:rPr>
                <w:rFonts w:ascii="Times New Roman" w:hAnsi="Times New Roman"/>
                <w:sz w:val="24"/>
              </w:rPr>
            </w:pPr>
            <w:r>
              <w:rPr>
                <w:rFonts w:ascii="Times New Roman" w:hAnsi="Times New Roman"/>
                <w:sz w:val="24"/>
              </w:rPr>
              <w:t>Člen 92(4)(b) CRR.</w:t>
            </w:r>
          </w:p>
          <w:p w:rsidR="000B0B09" w:rsidRPr="00392FFD" w:rsidRDefault="000B0B09" w:rsidP="000B0B09">
            <w:pPr>
              <w:rPr>
                <w:rFonts w:ascii="Times New Roman" w:hAnsi="Times New Roman"/>
                <w:sz w:val="24"/>
              </w:rPr>
            </w:pPr>
            <w:r>
              <w:rPr>
                <w:rFonts w:ascii="Times New Roman" w:hAnsi="Times New Roman"/>
                <w:sz w:val="24"/>
              </w:rPr>
              <w:t>Kapitalske zahteve, pomnožene z 12,5.</w:t>
            </w:r>
          </w:p>
        </w:tc>
      </w:tr>
      <w:tr w:rsidR="000B0B09" w:rsidRPr="00392FFD" w:rsidTr="00672D2A">
        <w:tc>
          <w:tcPr>
            <w:tcW w:w="852" w:type="dxa"/>
          </w:tcPr>
          <w:p w:rsidR="000B0B09" w:rsidRPr="00392FFD" w:rsidRDefault="000B0B09" w:rsidP="000B0B09">
            <w:pPr>
              <w:rPr>
                <w:rFonts w:ascii="Times New Roman" w:hAnsi="Times New Roman"/>
                <w:sz w:val="24"/>
              </w:rPr>
            </w:pP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Pojasnjevalne postavke</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100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Število nasprotnih strank</w:t>
            </w:r>
          </w:p>
          <w:p w:rsidR="000B0B09" w:rsidRPr="00392FFD" w:rsidRDefault="000B0B09" w:rsidP="000B0B09">
            <w:pPr>
              <w:rPr>
                <w:rFonts w:ascii="Times New Roman" w:hAnsi="Times New Roman"/>
                <w:sz w:val="24"/>
              </w:rPr>
            </w:pPr>
            <w:r>
              <w:rPr>
                <w:rFonts w:ascii="Times New Roman" w:hAnsi="Times New Roman"/>
                <w:sz w:val="24"/>
              </w:rPr>
              <w:t>Člen 382 CRR.</w:t>
            </w:r>
          </w:p>
          <w:p w:rsidR="000B0B09" w:rsidRPr="00392FFD" w:rsidRDefault="000B0B09" w:rsidP="000B0B09">
            <w:pPr>
              <w:rPr>
                <w:rFonts w:ascii="Times New Roman" w:hAnsi="Times New Roman"/>
                <w:sz w:val="24"/>
              </w:rPr>
            </w:pPr>
            <w:r>
              <w:rPr>
                <w:rFonts w:ascii="Times New Roman" w:hAnsi="Times New Roman"/>
                <w:sz w:val="24"/>
              </w:rPr>
              <w:t>Število nasprotnih strank, vključenih v izračun kapitala za tveganje CVA.</w:t>
            </w:r>
          </w:p>
          <w:p w:rsidR="000B0B09" w:rsidRPr="00392FFD" w:rsidRDefault="000B0B09" w:rsidP="000B0B09">
            <w:pPr>
              <w:rPr>
                <w:rFonts w:ascii="Times New Roman" w:hAnsi="Times New Roman"/>
                <w:sz w:val="24"/>
              </w:rPr>
            </w:pPr>
            <w:r>
              <w:rPr>
                <w:rFonts w:ascii="Times New Roman" w:hAnsi="Times New Roman"/>
                <w:sz w:val="24"/>
              </w:rPr>
              <w:t xml:space="preserve">Nasprotne stranke so podskupina dolžnikov. Obstajajo le v primeru poslov z izvedenimi finančnimi instrumenti ali poslov financiranja z vrednostnimi papirji, pri čemer so preprosto druga pogodbenica.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110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Od tega: za določitev kreditnega razmika je bil uporabljen približek</w:t>
            </w:r>
          </w:p>
          <w:p w:rsidR="000B0B09" w:rsidRPr="00321A3B" w:rsidRDefault="000B0B09" w:rsidP="000B0B09">
            <w:pPr>
              <w:rPr>
                <w:rFonts w:ascii="Times New Roman" w:hAnsi="Times New Roman"/>
                <w:sz w:val="24"/>
              </w:rPr>
            </w:pPr>
            <w:r>
              <w:rPr>
                <w:rFonts w:ascii="Times New Roman" w:hAnsi="Times New Roman"/>
                <w:sz w:val="24"/>
              </w:rPr>
              <w:t>Število nasprotnih strank, pri čemer je bil kreditni razmik določen z uporabo približka namesto neposredno opaženih tržnih podatkov.</w:t>
            </w:r>
          </w:p>
          <w:p w:rsidR="000B0B09" w:rsidRPr="00321A3B" w:rsidRDefault="000B0B09" w:rsidP="000B0B09">
            <w:pPr>
              <w:rPr>
                <w:rFonts w:ascii="Times New Roman" w:hAnsi="Times New Roman"/>
                <w:b/>
                <w:sz w:val="24"/>
                <w:u w:val="single"/>
              </w:rPr>
            </w:pP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120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NASTALA PRILAGODITEV KREDITNEGA TVEGANJA (CVA)</w:t>
            </w:r>
          </w:p>
          <w:p w:rsidR="000B0B09" w:rsidRPr="00392FFD" w:rsidRDefault="000B0B09" w:rsidP="000B0B09">
            <w:pPr>
              <w:rPr>
                <w:rFonts w:ascii="Times New Roman" w:hAnsi="Times New Roman"/>
                <w:sz w:val="24"/>
              </w:rPr>
            </w:pPr>
          </w:p>
          <w:p w:rsidR="000B0B09" w:rsidRPr="00392FFD" w:rsidRDefault="000B0B09" w:rsidP="000B0B09">
            <w:pPr>
              <w:rPr>
                <w:rFonts w:ascii="Times New Roman" w:hAnsi="Times New Roman"/>
                <w:sz w:val="24"/>
              </w:rPr>
            </w:pPr>
            <w:r>
              <w:rPr>
                <w:rFonts w:ascii="Times New Roman" w:hAnsi="Times New Roman"/>
                <w:sz w:val="24"/>
              </w:rPr>
              <w:t>Računovodske rezervacije zaradi manjše kreditne sposobnosti nasprotnih strank pri izvedenih finančnih instrumentih.</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130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POSEL KREDITNE ZAMENJAVE Z ENO SAMO IZPOSTAVLJENO</w:t>
            </w:r>
            <w:r>
              <w:rPr>
                <w:rFonts w:ascii="Times New Roman" w:hAnsi="Times New Roman"/>
                <w:b/>
                <w:sz w:val="24"/>
                <w:u w:val="single"/>
              </w:rPr>
              <w:t>S</w:t>
            </w:r>
            <w:r>
              <w:rPr>
                <w:rFonts w:ascii="Times New Roman" w:hAnsi="Times New Roman"/>
                <w:b/>
                <w:sz w:val="24"/>
                <w:u w:val="single"/>
              </w:rPr>
              <w:t>TJO</w:t>
            </w:r>
          </w:p>
          <w:p w:rsidR="000B0B09" w:rsidRPr="00392FFD" w:rsidRDefault="000B0B09" w:rsidP="000B0B09">
            <w:pPr>
              <w:rPr>
                <w:rFonts w:ascii="Times New Roman" w:hAnsi="Times New Roman"/>
                <w:sz w:val="24"/>
              </w:rPr>
            </w:pPr>
            <w:r>
              <w:rPr>
                <w:rFonts w:ascii="Times New Roman" w:hAnsi="Times New Roman"/>
                <w:sz w:val="24"/>
              </w:rPr>
              <w:t xml:space="preserve">Člen 386(1)(a) CRR. </w:t>
            </w:r>
          </w:p>
          <w:p w:rsidR="000B0B09" w:rsidRPr="00392FFD" w:rsidRDefault="000B0B09" w:rsidP="000B0B09">
            <w:pPr>
              <w:rPr>
                <w:rFonts w:ascii="Times New Roman" w:hAnsi="Times New Roman"/>
                <w:sz w:val="24"/>
              </w:rPr>
            </w:pPr>
            <w:r>
              <w:rPr>
                <w:rFonts w:ascii="Times New Roman" w:hAnsi="Times New Roman"/>
                <w:sz w:val="24"/>
              </w:rPr>
              <w:t>Skupni hipotetični zneski poslov kreditne zamenjave z eno samo izpostavljeno</w:t>
            </w:r>
            <w:r>
              <w:rPr>
                <w:rFonts w:ascii="Times New Roman" w:hAnsi="Times New Roman"/>
                <w:sz w:val="24"/>
              </w:rPr>
              <w:t>s</w:t>
            </w:r>
            <w:r>
              <w:rPr>
                <w:rFonts w:ascii="Times New Roman" w:hAnsi="Times New Roman"/>
                <w:sz w:val="24"/>
              </w:rPr>
              <w:t xml:space="preserve">tjo, ki se uporabljajo kot varovanje za tveganje CVA.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140</w:t>
            </w:r>
          </w:p>
        </w:tc>
        <w:tc>
          <w:tcPr>
            <w:tcW w:w="8004" w:type="dxa"/>
          </w:tcPr>
          <w:p w:rsidR="000B0B09" w:rsidRPr="00321A3B" w:rsidRDefault="000B0B09" w:rsidP="000B0B09">
            <w:pPr>
              <w:rPr>
                <w:rFonts w:ascii="Times New Roman" w:hAnsi="Times New Roman"/>
                <w:b/>
                <w:sz w:val="24"/>
                <w:u w:val="single"/>
              </w:rPr>
            </w:pPr>
            <w:r>
              <w:rPr>
                <w:rFonts w:ascii="Times New Roman" w:hAnsi="Times New Roman"/>
                <w:b/>
                <w:sz w:val="24"/>
                <w:u w:val="single"/>
              </w:rPr>
              <w:t>INDEKS KREDITNIH ZAMENJAV</w:t>
            </w:r>
          </w:p>
          <w:p w:rsidR="000B0B09" w:rsidRPr="00321A3B" w:rsidRDefault="000B0B09" w:rsidP="000B0B09">
            <w:pPr>
              <w:rPr>
                <w:rFonts w:ascii="Times New Roman" w:hAnsi="Times New Roman"/>
                <w:sz w:val="24"/>
              </w:rPr>
            </w:pPr>
            <w:r>
              <w:rPr>
                <w:rFonts w:ascii="Times New Roman" w:hAnsi="Times New Roman"/>
                <w:sz w:val="24"/>
              </w:rPr>
              <w:t>Člen 386(1)(b) CRR.</w:t>
            </w:r>
          </w:p>
          <w:p w:rsidR="000B0B09" w:rsidRPr="00392FFD" w:rsidRDefault="000B0B09" w:rsidP="000B0B09">
            <w:pPr>
              <w:rPr>
                <w:rFonts w:ascii="Times New Roman" w:hAnsi="Times New Roman"/>
                <w:b/>
                <w:sz w:val="24"/>
                <w:u w:val="single"/>
              </w:rPr>
            </w:pPr>
            <w:r>
              <w:rPr>
                <w:rFonts w:ascii="Times New Roman" w:hAnsi="Times New Roman"/>
                <w:sz w:val="24"/>
              </w:rPr>
              <w:t xml:space="preserve">Skupni hipotetični zneski indeksov kreditnih zamenjav, ki se uporabljajo kot varovanje za tveganje CVA. </w:t>
            </w: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rsidTr="00672D2A">
        <w:tc>
          <w:tcPr>
            <w:tcW w:w="8856" w:type="dxa"/>
            <w:gridSpan w:val="2"/>
            <w:shd w:val="clear" w:color="auto" w:fill="CCCCCC"/>
          </w:tcPr>
          <w:p w:rsidR="000B0B09" w:rsidRPr="00392FFD" w:rsidRDefault="000B0B09" w:rsidP="000B0B09">
            <w:pPr>
              <w:rPr>
                <w:rFonts w:ascii="Times New Roman" w:hAnsi="Times New Roman"/>
                <w:b/>
                <w:sz w:val="24"/>
              </w:rPr>
            </w:pPr>
            <w:r>
              <w:rPr>
                <w:rFonts w:ascii="Times New Roman" w:hAnsi="Times New Roman"/>
                <w:b/>
                <w:sz w:val="24"/>
              </w:rPr>
              <w:t>Vrstice</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010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Skupaj tveganje CVA</w:t>
            </w:r>
          </w:p>
          <w:p w:rsidR="000B0B09" w:rsidRPr="00392FFD" w:rsidRDefault="000B0B09" w:rsidP="000B0B09">
            <w:pPr>
              <w:rPr>
                <w:rFonts w:ascii="Times New Roman" w:hAnsi="Times New Roman"/>
                <w:bCs/>
                <w:sz w:val="24"/>
              </w:rPr>
            </w:pPr>
            <w:r>
              <w:rPr>
                <w:rFonts w:ascii="Times New Roman" w:hAnsi="Times New Roman"/>
                <w:sz w:val="24"/>
              </w:rPr>
              <w:t>Vsota vrstic 020 – 040, kot je ustrezno.</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 xml:space="preserve">020 </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V skladu z napredno metodo</w:t>
            </w:r>
          </w:p>
          <w:p w:rsidR="000B0B09" w:rsidRPr="00392FFD" w:rsidRDefault="000B0B09" w:rsidP="000B0B09">
            <w:pPr>
              <w:rPr>
                <w:rFonts w:ascii="Times New Roman" w:hAnsi="Times New Roman"/>
                <w:bCs/>
                <w:sz w:val="24"/>
              </w:rPr>
            </w:pPr>
            <w:r>
              <w:rPr>
                <w:rFonts w:ascii="Times New Roman" w:hAnsi="Times New Roman"/>
                <w:sz w:val="24"/>
              </w:rPr>
              <w:t xml:space="preserve">Napredna metoda za tveganje CVA, kot je določena v členu 383 CRR.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lastRenderedPageBreak/>
              <w:t>030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V skladu s standardizirano metodo</w:t>
            </w:r>
          </w:p>
          <w:p w:rsidR="000B0B09" w:rsidRPr="00392FFD" w:rsidRDefault="000B0B09" w:rsidP="000B0B09">
            <w:pPr>
              <w:rPr>
                <w:rFonts w:ascii="Times New Roman" w:hAnsi="Times New Roman"/>
                <w:bCs/>
                <w:sz w:val="24"/>
              </w:rPr>
            </w:pPr>
            <w:r>
              <w:rPr>
                <w:rFonts w:ascii="Times New Roman" w:hAnsi="Times New Roman"/>
                <w:sz w:val="24"/>
              </w:rPr>
              <w:t xml:space="preserve">Standardizirana metoda za tveganje CVA, kot je določena v členu 384 CRR.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040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Na podlagi OEM</w:t>
            </w:r>
          </w:p>
          <w:p w:rsidR="000B0B09" w:rsidRPr="00392FFD" w:rsidRDefault="000B0B09" w:rsidP="00E871FE">
            <w:pPr>
              <w:rPr>
                <w:rFonts w:ascii="Times New Roman" w:hAnsi="Times New Roman"/>
                <w:bCs/>
                <w:sz w:val="24"/>
              </w:rPr>
            </w:pPr>
            <w:r>
              <w:rPr>
                <w:rFonts w:ascii="Times New Roman" w:hAnsi="Times New Roman"/>
                <w:sz w:val="24"/>
              </w:rPr>
              <w:t>Zneski so predmet uporabe člena 385 CRR.</w:t>
            </w:r>
          </w:p>
        </w:tc>
      </w:tr>
      <w:bookmarkEnd w:id="772"/>
    </w:tbl>
    <w:p w:rsidR="00633DEB" w:rsidRDefault="00633DEB" w:rsidP="00C61FF5">
      <w:pPr>
        <w:rPr>
          <w:rStyle w:val="InstructionsTabelleText"/>
          <w:rFonts w:ascii="Times New Roman" w:hAnsi="Times New Roman"/>
          <w:sz w:val="24"/>
        </w:rPr>
      </w:pPr>
    </w:p>
    <w:p w:rsidR="00995A7F" w:rsidRDefault="00995A7F" w:rsidP="00995A7F">
      <w:pPr>
        <w:pStyle w:val="Instructionsberschrift2"/>
        <w:numPr>
          <w:ilvl w:val="0"/>
          <w:numId w:val="0"/>
        </w:numPr>
        <w:ind w:left="357" w:hanging="357"/>
        <w:rPr>
          <w:rFonts w:ascii="Times New Roman" w:hAnsi="Times New Roman" w:cs="Times New Roman"/>
          <w:sz w:val="24"/>
        </w:rPr>
      </w:pPr>
      <w:bookmarkStart w:id="774" w:name="_Toc516210706"/>
      <w:bookmarkStart w:id="775" w:name="_Toc523474455"/>
      <w:r>
        <w:rPr>
          <w:rFonts w:ascii="Times New Roman" w:hAnsi="Times New Roman"/>
          <w:sz w:val="24"/>
          <w:u w:val="none"/>
        </w:rPr>
        <w:t>6.</w:t>
      </w:r>
      <w:r w:rsidR="003F40E8" w:rsidRPr="003F40E8">
        <w:rPr>
          <w:u w:val="none"/>
        </w:rPr>
        <w:tab/>
      </w:r>
      <w:r>
        <w:rPr>
          <w:rFonts w:ascii="Times New Roman" w:hAnsi="Times New Roman"/>
          <w:sz w:val="24"/>
        </w:rPr>
        <w:t>Preudarno vrednotenje (</w:t>
      </w:r>
      <w:proofErr w:type="spellStart"/>
      <w:r>
        <w:rPr>
          <w:rFonts w:ascii="Times New Roman" w:hAnsi="Times New Roman"/>
          <w:sz w:val="24"/>
        </w:rPr>
        <w:t>PruVal</w:t>
      </w:r>
      <w:proofErr w:type="spellEnd"/>
      <w:r>
        <w:rPr>
          <w:rFonts w:ascii="Times New Roman" w:hAnsi="Times New Roman"/>
          <w:sz w:val="24"/>
        </w:rPr>
        <w:t>)</w:t>
      </w:r>
      <w:bookmarkEnd w:id="774"/>
      <w:bookmarkEnd w:id="775"/>
    </w:p>
    <w:p w:rsidR="00995A7F" w:rsidRPr="001924F4" w:rsidRDefault="00995A7F" w:rsidP="00995A7F">
      <w:pPr>
        <w:pStyle w:val="Instructionsberschrift2"/>
        <w:numPr>
          <w:ilvl w:val="0"/>
          <w:numId w:val="0"/>
        </w:numPr>
        <w:ind w:left="357" w:hanging="357"/>
        <w:rPr>
          <w:rFonts w:ascii="Times New Roman" w:hAnsi="Times New Roman" w:cs="Times New Roman"/>
          <w:sz w:val="24"/>
          <w:u w:val="none"/>
        </w:rPr>
      </w:pPr>
      <w:bookmarkStart w:id="776" w:name="_Toc516210707"/>
      <w:bookmarkStart w:id="777" w:name="_Toc523474456"/>
      <w:r>
        <w:rPr>
          <w:rFonts w:ascii="Times New Roman" w:hAnsi="Times New Roman"/>
          <w:sz w:val="24"/>
          <w:u w:val="none"/>
        </w:rPr>
        <w:t>6.1.</w:t>
      </w:r>
      <w:r w:rsidR="003F40E8" w:rsidRPr="003F40E8">
        <w:rPr>
          <w:u w:val="none"/>
        </w:rPr>
        <w:tab/>
      </w:r>
      <w:r>
        <w:rPr>
          <w:rFonts w:ascii="Times New Roman" w:hAnsi="Times New Roman"/>
          <w:sz w:val="24"/>
        </w:rPr>
        <w:t>C 32.01 – Preudarno vrednotenje: Sredstva in obveznosti po pošteni vrednosti (</w:t>
      </w:r>
      <w:proofErr w:type="spellStart"/>
      <w:r>
        <w:rPr>
          <w:rFonts w:ascii="Times New Roman" w:hAnsi="Times New Roman"/>
          <w:sz w:val="24"/>
        </w:rPr>
        <w:t>PruVal</w:t>
      </w:r>
      <w:proofErr w:type="spellEnd"/>
      <w:r>
        <w:rPr>
          <w:rFonts w:ascii="Times New Roman" w:hAnsi="Times New Roman"/>
          <w:sz w:val="24"/>
        </w:rPr>
        <w:t xml:space="preserve"> 1)</w:t>
      </w:r>
      <w:bookmarkEnd w:id="776"/>
      <w:bookmarkEnd w:id="777"/>
    </w:p>
    <w:p w:rsidR="00995A7F" w:rsidRPr="00EB6E04" w:rsidRDefault="00995A7F" w:rsidP="00995A7F">
      <w:pPr>
        <w:pStyle w:val="Instructionsberschrift2"/>
        <w:numPr>
          <w:ilvl w:val="0"/>
          <w:numId w:val="0"/>
        </w:numPr>
        <w:ind w:left="357" w:hanging="357"/>
        <w:rPr>
          <w:rFonts w:ascii="Times New Roman" w:hAnsi="Times New Roman" w:cs="Times New Roman"/>
          <w:sz w:val="24"/>
          <w:u w:val="none"/>
        </w:rPr>
      </w:pPr>
      <w:bookmarkStart w:id="778" w:name="_Toc516210708"/>
      <w:bookmarkStart w:id="779" w:name="_Toc523474457"/>
      <w:r>
        <w:rPr>
          <w:rFonts w:ascii="Times New Roman" w:hAnsi="Times New Roman"/>
          <w:sz w:val="24"/>
          <w:u w:val="none"/>
        </w:rPr>
        <w:t>6.1.1.</w:t>
      </w:r>
      <w:r w:rsidR="003F40E8" w:rsidRPr="003F40E8">
        <w:rPr>
          <w:u w:val="none"/>
        </w:rPr>
        <w:tab/>
      </w:r>
      <w:r>
        <w:rPr>
          <w:rFonts w:ascii="Times New Roman" w:hAnsi="Times New Roman"/>
          <w:sz w:val="24"/>
        </w:rPr>
        <w:t>Splošne opombe</w:t>
      </w:r>
      <w:bookmarkEnd w:id="778"/>
      <w:bookmarkEnd w:id="779"/>
      <w:r>
        <w:rPr>
          <w:rFonts w:ascii="Times New Roman" w:hAnsi="Times New Roman"/>
          <w:sz w:val="24"/>
          <w:u w:val="none"/>
        </w:rPr>
        <w:t xml:space="preserve"> </w:t>
      </w:r>
    </w:p>
    <w:p w:rsidR="00B93FA1" w:rsidRDefault="00995A7F" w:rsidP="001A3980">
      <w:pPr>
        <w:pStyle w:val="InstructionsText2"/>
        <w:numPr>
          <w:ilvl w:val="0"/>
          <w:numId w:val="0"/>
        </w:numPr>
        <w:ind w:left="993"/>
      </w:pPr>
      <w:r>
        <w:t>154a. To predlogo izpolnijo vse institucije ne glede na to, ali so sprejele poenosta</w:t>
      </w:r>
      <w:r>
        <w:t>v</w:t>
      </w:r>
      <w:r>
        <w:t>ljen pristop za določitev dodatnih prilagoditev vrednosti (AVA). Namenjena je absolutni vrednosti sredstev in obveznosti, merjenih po pošteni vrednosti, ki se up</w:t>
      </w:r>
      <w:r>
        <w:t>o</w:t>
      </w:r>
      <w:r>
        <w:t>rabi za določanje, ali so bili izpolnjeni pogoji iz člena 4 Delegirane uredbe (EU) 2016/101 glede preudarnega vrednotenja za uporabo poenostavljenega pristopa za določanje dodatnih prilagoditev vrednosti.</w:t>
      </w:r>
    </w:p>
    <w:p w:rsidR="00995A7F" w:rsidRDefault="00B93FA1" w:rsidP="001A3980">
      <w:pPr>
        <w:pStyle w:val="InstructionsText2"/>
        <w:numPr>
          <w:ilvl w:val="0"/>
          <w:numId w:val="0"/>
        </w:numPr>
        <w:ind w:left="993"/>
      </w:pPr>
      <w:r>
        <w:t>154b. Kar zadeva institucije, ki uporabljajo poenostavljen pristop, ta predloga vs</w:t>
      </w:r>
      <w:r>
        <w:t>e</w:t>
      </w:r>
      <w:r>
        <w:t>buje skupno dodatno prilagoditev vrednosti, ki jo je treba odšteti od kapitala v skl</w:t>
      </w:r>
      <w:r>
        <w:t>a</w:t>
      </w:r>
      <w:r>
        <w:t>du s členoma 34 in 105 CRR, kot je določeno v členu 5 Delegirane uredbe (EU) 2016/101 o preudarnem vrednotenju, ki se ustrezno poroča v vrstici 290 predloge C 01.00.</w:t>
      </w: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780" w:name="_Toc516210709"/>
      <w:bookmarkStart w:id="781" w:name="_Toc523474458"/>
      <w:r>
        <w:rPr>
          <w:rFonts w:ascii="Times New Roman" w:hAnsi="Times New Roman"/>
          <w:sz w:val="24"/>
          <w:u w:val="none"/>
        </w:rPr>
        <w:t>6.1.2.</w:t>
      </w:r>
      <w:r w:rsidR="003F40E8" w:rsidRPr="003F40E8">
        <w:rPr>
          <w:u w:val="none"/>
        </w:rPr>
        <w:tab/>
      </w:r>
      <w:r>
        <w:rPr>
          <w:rFonts w:ascii="Times New Roman" w:hAnsi="Times New Roman"/>
          <w:sz w:val="24"/>
        </w:rPr>
        <w:t>Navodila za posamezne pozicije</w:t>
      </w:r>
      <w:bookmarkEnd w:id="780"/>
      <w:bookmarkEnd w:id="781"/>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60B53" w:rsidTr="00672D2A">
        <w:tc>
          <w:tcPr>
            <w:tcW w:w="9291" w:type="dxa"/>
            <w:gridSpan w:val="2"/>
            <w:shd w:val="clear" w:color="auto" w:fill="CCCCCC"/>
          </w:tcPr>
          <w:p w:rsidR="00B93FA1" w:rsidRPr="00EB6E04" w:rsidRDefault="00B93FA1" w:rsidP="00AF3D7A">
            <w:pPr>
              <w:spacing w:beforeLines="60" w:before="144" w:afterLines="60" w:after="144"/>
              <w:rPr>
                <w:rFonts w:ascii="Times New Roman" w:hAnsi="Times New Roman"/>
                <w:b/>
                <w:sz w:val="24"/>
              </w:rPr>
            </w:pPr>
            <w:r>
              <w:rPr>
                <w:rFonts w:ascii="Times New Roman" w:hAnsi="Times New Roman"/>
                <w:b/>
                <w:sz w:val="24"/>
              </w:rPr>
              <w:t>Stolpci</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SREDSTVA IN OBVEZNOSTI PO POŠTENI VREDNOSTI</w:t>
            </w:r>
          </w:p>
          <w:p w:rsidR="00B93FA1" w:rsidRPr="00EB6E04" w:rsidRDefault="00B93FA1" w:rsidP="00C11B8D">
            <w:pPr>
              <w:spacing w:beforeLines="60" w:before="144" w:afterLines="60" w:after="144"/>
              <w:rPr>
                <w:rFonts w:ascii="Times New Roman" w:hAnsi="Times New Roman"/>
                <w:sz w:val="24"/>
              </w:rPr>
            </w:pPr>
            <w:r>
              <w:rPr>
                <w:rFonts w:ascii="Times New Roman" w:hAnsi="Times New Roman"/>
                <w:sz w:val="24"/>
              </w:rPr>
              <w:t>Absolutna vrednost sredstev in obveznosti, merjenih po pošteni vrednosti, kot je navedena v računovodskih izkazih, pripravljenih v skladu z veljavnim računovo</w:t>
            </w:r>
            <w:r>
              <w:rPr>
                <w:rFonts w:ascii="Times New Roman" w:hAnsi="Times New Roman"/>
                <w:sz w:val="24"/>
              </w:rPr>
              <w:t>d</w:t>
            </w:r>
            <w:r>
              <w:rPr>
                <w:rFonts w:ascii="Times New Roman" w:hAnsi="Times New Roman"/>
                <w:sz w:val="24"/>
              </w:rPr>
              <w:t xml:space="preserve">skim okvirom, kot je določeno v členu 4(1) Delegirane uredbe (EU) 2016/101 o preudarnem vrednotenju, pred kakršnim koli odbitkom v skladu s členom 4(2). </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OD TEGA: trgovalna knjiga</w:t>
            </w:r>
          </w:p>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Absolutna vrednost sredstev in obveznosti po pošteni vrednosti, kot je sporočena v stolpcu 010, ki ustreza pozicijam v trgovalni knjigi. </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SREDSTVA IN OBVEZNOSTI PO POŠTENI VREDNOSTI, IZKLJUČENA ZARADI DELNEGA VPLIVA NA NAVADNI LASTNIŠKI TEMELJNI KAPITAL</w:t>
            </w:r>
          </w:p>
          <w:p w:rsidR="00B93FA1" w:rsidRPr="00EB6E04" w:rsidRDefault="00B93FA1" w:rsidP="00C11B8D">
            <w:pPr>
              <w:spacing w:beforeLines="60" w:before="144" w:afterLines="60" w:after="144"/>
              <w:rPr>
                <w:rFonts w:ascii="Times New Roman" w:hAnsi="Times New Roman"/>
                <w:b/>
                <w:caps/>
                <w:sz w:val="24"/>
                <w:u w:val="single"/>
              </w:rPr>
            </w:pPr>
            <w:r>
              <w:rPr>
                <w:rFonts w:ascii="Times New Roman" w:hAnsi="Times New Roman"/>
                <w:sz w:val="24"/>
              </w:rPr>
              <w:t>Absolutna vrednost sredstev in obveznosti po pošteni vrednosti, izključenih v skladu s členom 4(2) Delegirane uredbe (EU) 2016/101 o preudarnem vrednote</w:t>
            </w:r>
            <w:r>
              <w:rPr>
                <w:rFonts w:ascii="Times New Roman" w:hAnsi="Times New Roman"/>
                <w:sz w:val="24"/>
              </w:rPr>
              <w:t>n</w:t>
            </w:r>
            <w:r>
              <w:rPr>
                <w:rFonts w:ascii="Times New Roman" w:hAnsi="Times New Roman"/>
                <w:sz w:val="24"/>
              </w:rPr>
              <w:lastRenderedPageBreak/>
              <w:t>ju.</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Popolnoma ujemajoča</w:t>
            </w:r>
          </w:p>
          <w:p w:rsidR="00B93FA1" w:rsidRPr="00EB6E04" w:rsidRDefault="00B93FA1" w:rsidP="00C11B8D">
            <w:pPr>
              <w:spacing w:beforeLines="60" w:before="144" w:afterLines="60" w:after="144"/>
              <w:rPr>
                <w:rFonts w:ascii="Times New Roman" w:hAnsi="Times New Roman"/>
                <w:sz w:val="24"/>
              </w:rPr>
            </w:pPr>
            <w:r>
              <w:rPr>
                <w:rFonts w:ascii="Times New Roman" w:hAnsi="Times New Roman"/>
                <w:sz w:val="24"/>
              </w:rPr>
              <w:t>Nasprotna sredstva in obveznosti po pošteni vrednosti, ki se popolnoma ujemajo, izključena v skladu s členom 4(2) Delegirane uredbe (EU) 2016/101 o preudarnem vrednotenju.</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Obračunavanje varovanja pred tveganjem</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Za pozicije, za katere se izvaja obračunavanje varovanja pred tveganjem v skladu z veljavnim računovodskim okvirom, absolutna vrednost sredstev in obveznosti po pošteni vrednosti, izključenih v deležu, v katerem zadevne spremembe vrednosti vplivajo na navaden lastniški temeljni kapital v skladu s členom 4(2) Delegirane uredbe (EU) 2016/101 o preudarnem vrednotenju.</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EB6E04"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BONITETNI filtri </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Absolutna vrednost sredstev in obveznosti po pošteni vrednosti, izključenih v skladu s členom 4(2) Delegirane uredbe (EU) 2016/101 o preudarnem vrednotenju zaradi prehodnih filtrov iz členov 467 in 468 CRR.</w:t>
            </w:r>
          </w:p>
        </w:tc>
      </w:tr>
      <w:tr w:rsidR="00B93FA1" w:rsidRPr="00E60B53" w:rsidTr="00672D2A">
        <w:tc>
          <w:tcPr>
            <w:tcW w:w="1101" w:type="dxa"/>
          </w:tcPr>
          <w:p w:rsidR="00B93FA1" w:rsidRPr="00EB6E04"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Drugo</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Vse druge pozicije, izključene v skladu s členom 4(2) Delegirane uredbe (EU) 2016/101 o preudarnem vrednotenju, ker prilagoditve njihove računovodske vre</w:t>
            </w:r>
            <w:r>
              <w:rPr>
                <w:rFonts w:ascii="Times New Roman" w:hAnsi="Times New Roman"/>
                <w:sz w:val="24"/>
              </w:rPr>
              <w:t>d</w:t>
            </w:r>
            <w:r>
              <w:rPr>
                <w:rFonts w:ascii="Times New Roman" w:hAnsi="Times New Roman"/>
                <w:sz w:val="24"/>
              </w:rPr>
              <w:t>nosti samo sorazmerno vplivajo na navadni lastniški temeljni kapital.</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Ta stolpec se izpolni samo v redkih primerih, kadar se elementi, izključeni v skl</w:t>
            </w:r>
            <w:r>
              <w:rPr>
                <w:rFonts w:ascii="Times New Roman" w:hAnsi="Times New Roman"/>
                <w:sz w:val="24"/>
              </w:rPr>
              <w:t>a</w:t>
            </w:r>
            <w:r>
              <w:rPr>
                <w:rFonts w:ascii="Times New Roman" w:hAnsi="Times New Roman"/>
                <w:sz w:val="24"/>
              </w:rPr>
              <w:t>du s členom 4(2) Delegirane uredbe (EU) 2016/101 o preudarnem vrednotenju ne morejo dodeliti v stolpec 0030, 0040 ali 0050 te predloge.</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Opomba k „drugo“</w:t>
            </w:r>
            <w:r>
              <w:rPr>
                <w:rFonts w:ascii="Times New Roman" w:hAnsi="Times New Roman"/>
                <w:sz w:val="24"/>
              </w:rPr>
              <w:t xml:space="preserve"> </w:t>
            </w:r>
          </w:p>
          <w:p w:rsidR="00B93FA1" w:rsidRPr="00EB6E04"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Navedejo se glavni razlogi, zaradi katerih so bile pozicije, sporočene v stolpcu 0060, izključene.</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SREDSTVA IN OBVEZNOSTI PO POŠTENI VREDNOSTI, vključena v prag iz člena 4(1)</w:t>
            </w:r>
          </w:p>
          <w:p w:rsidR="00B93FA1" w:rsidRPr="00EB6E04" w:rsidRDefault="00B93FA1" w:rsidP="00733B77">
            <w:pPr>
              <w:spacing w:beforeLines="60" w:before="144" w:afterLines="60" w:after="144"/>
              <w:rPr>
                <w:rFonts w:ascii="Times New Roman" w:hAnsi="Times New Roman"/>
                <w:b/>
                <w:caps/>
                <w:sz w:val="24"/>
                <w:u w:val="single"/>
              </w:rPr>
            </w:pPr>
            <w:r>
              <w:rPr>
                <w:rFonts w:ascii="Times New Roman" w:hAnsi="Times New Roman"/>
                <w:sz w:val="24"/>
              </w:rPr>
              <w:t>Absolutna vrednost sredstev in obveznosti po pošteni vrednosti, dejansko vključ</w:t>
            </w:r>
            <w:r>
              <w:rPr>
                <w:rFonts w:ascii="Times New Roman" w:hAnsi="Times New Roman"/>
                <w:sz w:val="24"/>
              </w:rPr>
              <w:t>e</w:t>
            </w:r>
            <w:r>
              <w:rPr>
                <w:rFonts w:ascii="Times New Roman" w:hAnsi="Times New Roman"/>
                <w:sz w:val="24"/>
              </w:rPr>
              <w:t>nih v izračun praga v skladu s členom 4(1) Delegirane uredbe (EU) 2016/101 o preudarnem vrednotenju.</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OD TEGA: trgovalna knjiga</w:t>
            </w:r>
          </w:p>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Absolutna vrednost sredstev in obveznosti po pošteni vrednosti, kot je sporočena v stolpcu 0010, ki ustreza pozicijam v trgovalni knjigi.</w:t>
            </w:r>
          </w:p>
        </w:tc>
      </w:tr>
    </w:tbl>
    <w:p w:rsidR="00E60B53"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60B53" w:rsidTr="00672D2A">
        <w:tc>
          <w:tcPr>
            <w:tcW w:w="9291" w:type="dxa"/>
            <w:gridSpan w:val="2"/>
            <w:shd w:val="clear" w:color="auto" w:fill="CCCCCC"/>
          </w:tcPr>
          <w:p w:rsidR="00B93FA1" w:rsidRPr="00EB6E04" w:rsidRDefault="00B93FA1" w:rsidP="00AF3D7A">
            <w:pPr>
              <w:spacing w:beforeLines="60" w:before="144" w:afterLines="60" w:after="144"/>
              <w:rPr>
                <w:rFonts w:ascii="Times New Roman" w:hAnsi="Times New Roman"/>
                <w:b/>
                <w:sz w:val="24"/>
              </w:rPr>
            </w:pPr>
            <w:r>
              <w:rPr>
                <w:rFonts w:ascii="Times New Roman" w:hAnsi="Times New Roman"/>
                <w:b/>
                <w:sz w:val="24"/>
              </w:rPr>
              <w:t>Vrstice</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0010–0210</w:t>
            </w:r>
          </w:p>
        </w:tc>
        <w:tc>
          <w:tcPr>
            <w:tcW w:w="8190"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 xml:space="preserve">Opredelitve teh kategorij se morajo ujemati s tistimi iz ustreznih vrstic predlog FINREP 1.1 in 1.2. </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 SREDSTVA IN OBVEZNOSTI PO POŠTENI VREDNOSTI SKUPAJ</w:t>
            </w:r>
          </w:p>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sz w:val="24"/>
              </w:rPr>
              <w:t>Vsota sredstev in obveznosti po pošteni vrednosti iz vrstic 20 do 210.</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SREDSTVA PO POŠTENI VREDNOSTI SKUPAJ</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 xml:space="preserve">Vsota sredstev po pošteni vrednosti iz vrstic 0030 do 0140. </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Zadevne celice vrstic 0030 do 0130 se poročajo v skladu s predlogo FINREP F 01.01 Prilog III in IV k tej uredbi, odvisno od standardov, ki veljajo za instituc</w:t>
            </w:r>
            <w:r>
              <w:rPr>
                <w:rFonts w:ascii="Times New Roman" w:hAnsi="Times New Roman"/>
                <w:sz w:val="24"/>
              </w:rPr>
              <w:t>i</w:t>
            </w:r>
            <w:r>
              <w:rPr>
                <w:rFonts w:ascii="Times New Roman" w:hAnsi="Times New Roman"/>
                <w:sz w:val="24"/>
              </w:rPr>
              <w:t xml:space="preserve">jo: </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MSRP, kot jih je potrdila Komisija z uporabo Uredbe (EU) št. 1606/2002 („MSRP EU“),</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nacionalni računovodski standardi, združljivi z MSRP EU („z MSRP združljivi nacionalni GAAP“), ali</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nacionalni GAAP, ki temeljijo na Direktivi 86/635/ES, tj. direktivi o račun</w:t>
            </w:r>
            <w:r>
              <w:rPr>
                <w:rFonts w:ascii="Times New Roman" w:hAnsi="Times New Roman"/>
                <w:sz w:val="24"/>
              </w:rPr>
              <w:t>o</w:t>
            </w:r>
            <w:r>
              <w:rPr>
                <w:rFonts w:ascii="Times New Roman" w:hAnsi="Times New Roman"/>
                <w:sz w:val="24"/>
              </w:rPr>
              <w:t>vodskih izkazih bank (FINREP „nacionalni GAAP na podlagi direktive o računovodskih izkazih bank).</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FINANČNA SREDSTVA V POSESTI ZA TRGOVANJE</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MSRP 9, Priloga A</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Informacije, sporočene v tej vrstici, ustrezajo vrstici 050 predloge F 01.01. Pr</w:t>
            </w:r>
            <w:r>
              <w:rPr>
                <w:rFonts w:ascii="Times New Roman" w:hAnsi="Times New Roman"/>
                <w:sz w:val="24"/>
              </w:rPr>
              <w:t>i</w:t>
            </w:r>
            <w:r>
              <w:rPr>
                <w:rFonts w:ascii="Times New Roman" w:hAnsi="Times New Roman"/>
                <w:sz w:val="24"/>
              </w:rPr>
              <w:t>log III in IV k tej uredbi.</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TRGOVALNA FINANČNA SREDSTVA</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Direktiva o računovodskih izkazih bank, člen 32–33; Priloga V, del 1, odstavek 17.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Informacije, sporočene v tej vrstici, ustrezajo vrstici 091 predloge F 01.01. Pr</w:t>
            </w:r>
            <w:r>
              <w:rPr>
                <w:rFonts w:ascii="Times New Roman" w:hAnsi="Times New Roman"/>
                <w:sz w:val="24"/>
              </w:rPr>
              <w:t>i</w:t>
            </w:r>
            <w:r>
              <w:rPr>
                <w:rFonts w:ascii="Times New Roman" w:hAnsi="Times New Roman"/>
                <w:sz w:val="24"/>
              </w:rPr>
              <w:t>log III in IV k tej uredbi.</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1.1.3 NETRGOVALNA FINANČNA SREDSTVA, OBVEZNO MERJENA PO POŠTENI VREDNOSTI PREK POSLOVNEGA IZIDA </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MSRP 7, 8.(a)(</w:t>
            </w:r>
            <w:proofErr w:type="spellStart"/>
            <w:r>
              <w:rPr>
                <w:rFonts w:ascii="Times New Roman" w:hAnsi="Times New Roman"/>
                <w:sz w:val="24"/>
              </w:rPr>
              <w:t>ii</w:t>
            </w:r>
            <w:proofErr w:type="spellEnd"/>
            <w:r>
              <w:rPr>
                <w:rFonts w:ascii="Times New Roman" w:hAnsi="Times New Roman"/>
                <w:sz w:val="24"/>
              </w:rPr>
              <w:t xml:space="preserve">) člen; MSRP 9, 4.1.4. člen.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Informacije, sporočene v tej vrstici, ustrezajo vrstici 096 predloge F 01.01. Pr</w:t>
            </w:r>
            <w:r>
              <w:rPr>
                <w:rFonts w:ascii="Times New Roman" w:hAnsi="Times New Roman"/>
                <w:sz w:val="24"/>
              </w:rPr>
              <w:t>i</w:t>
            </w:r>
            <w:r>
              <w:rPr>
                <w:rFonts w:ascii="Times New Roman" w:hAnsi="Times New Roman"/>
                <w:sz w:val="24"/>
              </w:rPr>
              <w:t>log III in IV k tej uredbi.</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FINANČNA SREDSTVA, DOLOČENA ZA MERJENJE PO POŠTENI VREDNOSTI PREK POSLOVNEGA IZIDA</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MSRP 7, 8.(a)(i) člen; MSRP 9, 4.1.5. člen; računovodska direktiva, člen 8(1)(a) in 8(6).</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Informacije, sporočene v tej vrstici, ustrezajo vrstici 100 predloge F 01.01. Pr</w:t>
            </w:r>
            <w:r>
              <w:rPr>
                <w:rFonts w:ascii="Times New Roman" w:hAnsi="Times New Roman"/>
                <w:sz w:val="24"/>
              </w:rPr>
              <w:t>i</w:t>
            </w:r>
            <w:r>
              <w:rPr>
                <w:rFonts w:ascii="Times New Roman" w:hAnsi="Times New Roman"/>
                <w:sz w:val="24"/>
              </w:rPr>
              <w:lastRenderedPageBreak/>
              <w:t>log III in IV k tej uredbi.</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1.1.5 FINANČNA SREDSTVA, MERJENA PO POŠTENI VREDNOSTI PREK DRUGEGA VSEOBSEGAJOČEGA DONOSA</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MSRP 7, 8.(h) člen; MSRP 9, </w:t>
            </w:r>
            <w:proofErr w:type="spellStart"/>
            <w:r>
              <w:rPr>
                <w:rFonts w:ascii="Times New Roman" w:hAnsi="Times New Roman"/>
                <w:sz w:val="24"/>
              </w:rPr>
              <w:t>4.1.2.A</w:t>
            </w:r>
            <w:proofErr w:type="spellEnd"/>
            <w:r>
              <w:rPr>
                <w:rFonts w:ascii="Times New Roman" w:hAnsi="Times New Roman"/>
                <w:sz w:val="24"/>
              </w:rPr>
              <w:t xml:space="preserve"> člen.</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Informacije, sporočene v tej vrstici, ustrezajo vrstici 141 predloge F 01.01. Pr</w:t>
            </w:r>
            <w:r>
              <w:rPr>
                <w:rFonts w:ascii="Times New Roman" w:hAnsi="Times New Roman"/>
                <w:sz w:val="24"/>
              </w:rPr>
              <w:t>i</w:t>
            </w:r>
            <w:r>
              <w:rPr>
                <w:rFonts w:ascii="Times New Roman" w:hAnsi="Times New Roman"/>
                <w:sz w:val="24"/>
              </w:rPr>
              <w:t>log III in IV k tej uredbi.</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NETRGOVALNA NEIZVEDENA FINANČNA SREDSTVA, MERJ</w:t>
            </w:r>
            <w:r>
              <w:rPr>
                <w:rFonts w:ascii="Times New Roman" w:hAnsi="Times New Roman"/>
                <w:b/>
                <w:sz w:val="24"/>
                <w:u w:val="single"/>
              </w:rPr>
              <w:t>E</w:t>
            </w:r>
            <w:r>
              <w:rPr>
                <w:rFonts w:ascii="Times New Roman" w:hAnsi="Times New Roman"/>
                <w:b/>
                <w:sz w:val="24"/>
                <w:u w:val="single"/>
              </w:rPr>
              <w:t>NA PO POŠTENI VREDNOSTI PREK POSLOVNEGA IZIDA</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Direktiva o računovodskih izkazih bank, člen 36(2).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Informacije, sporočene v tej vrstici, ustrezajo vrstici 171 predloge F 01.01. Pr</w:t>
            </w:r>
            <w:r>
              <w:rPr>
                <w:rFonts w:ascii="Times New Roman" w:hAnsi="Times New Roman"/>
                <w:sz w:val="24"/>
              </w:rPr>
              <w:t>i</w:t>
            </w:r>
            <w:r>
              <w:rPr>
                <w:rFonts w:ascii="Times New Roman" w:hAnsi="Times New Roman"/>
                <w:sz w:val="24"/>
              </w:rPr>
              <w:t>log III in IV k tej uredbi.</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NETRGOVALNA NEIZVEDENA FINANČNA SREDSTVA, MERJ</w:t>
            </w:r>
            <w:r>
              <w:rPr>
                <w:rFonts w:ascii="Times New Roman" w:hAnsi="Times New Roman"/>
                <w:b/>
                <w:sz w:val="24"/>
                <w:u w:val="single"/>
              </w:rPr>
              <w:t>E</w:t>
            </w:r>
            <w:r>
              <w:rPr>
                <w:rFonts w:ascii="Times New Roman" w:hAnsi="Times New Roman"/>
                <w:b/>
                <w:sz w:val="24"/>
                <w:u w:val="single"/>
              </w:rPr>
              <w:t>NA PO POŠTENI VREDNOSTI PREK LASTNIŠKEGA KAPITALA</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Računovodska direktiva, člen 8(1)(a) in 8(8).</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Informacije, sporočene v tej vrstici, ustrezajo vrstici 175 predloge F 01.01. Pr</w:t>
            </w:r>
            <w:r>
              <w:rPr>
                <w:rFonts w:ascii="Times New Roman" w:hAnsi="Times New Roman"/>
                <w:sz w:val="24"/>
              </w:rPr>
              <w:t>i</w:t>
            </w:r>
            <w:r>
              <w:rPr>
                <w:rFonts w:ascii="Times New Roman" w:hAnsi="Times New Roman"/>
                <w:sz w:val="24"/>
              </w:rPr>
              <w:t>log III in IV k tej uredbi.</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DRUGA NETRGOVALNA NEIZVEDENA FINANČNA SREDSTVA</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Direktiva o računovodskih izkazih bank, člen 37; računovodska direktiva, člen 12(7); Priloga V, del 1, odstavek 20.</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Informacije, sporočene v tej vrstici, ustrezajo vrstici 234 predloge F 01.01. Pr</w:t>
            </w:r>
            <w:r>
              <w:rPr>
                <w:rFonts w:ascii="Times New Roman" w:hAnsi="Times New Roman"/>
                <w:sz w:val="24"/>
              </w:rPr>
              <w:t>i</w:t>
            </w:r>
            <w:r>
              <w:rPr>
                <w:rFonts w:ascii="Times New Roman" w:hAnsi="Times New Roman"/>
                <w:sz w:val="24"/>
              </w:rPr>
              <w:t>log III in IV k tej uredbi.</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IZVEDENI FINANČNI INSTRUMENTI – OBRAČUNAVANJE VAROVANJA PRED TVEGANJEM</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MSRP 9, 6.2.1. člen; Priloga V, del 1, odstavek 22; računovodska direktiva, člen 8(1)(a), 8(6) in 8(8); MRS 39, 9. člen; Priloga V, del 1, odstavek 22.</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Informacije, sporočene v tej vrstici, ustrezajo vrstici 240 predloge F 01.01. Pr</w:t>
            </w:r>
            <w:r>
              <w:rPr>
                <w:rFonts w:ascii="Times New Roman" w:hAnsi="Times New Roman"/>
                <w:sz w:val="24"/>
              </w:rPr>
              <w:t>i</w:t>
            </w:r>
            <w:r>
              <w:rPr>
                <w:rFonts w:ascii="Times New Roman" w:hAnsi="Times New Roman"/>
                <w:sz w:val="24"/>
              </w:rPr>
              <w:t>log III in IV k tej uredbi.</w:t>
            </w:r>
          </w:p>
        </w:tc>
      </w:tr>
      <w:tr w:rsidR="00B93FA1" w:rsidRPr="00E60B53" w:rsidTr="00672D2A">
        <w:tc>
          <w:tcPr>
            <w:tcW w:w="1101" w:type="dxa"/>
          </w:tcPr>
          <w:p w:rsidR="00B93FA1" w:rsidRPr="00EB6E04" w:rsidDel="006529A1" w:rsidRDefault="001924F4"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SPREMEMBE POŠTENE VREDNOSTI SKUPINE VAROVANIH POSTAVK PRED OBRESTNIM TVEGANJEM</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MRS 39, </w:t>
            </w:r>
            <w:proofErr w:type="spellStart"/>
            <w:r>
              <w:rPr>
                <w:rFonts w:ascii="Times New Roman" w:hAnsi="Times New Roman"/>
                <w:sz w:val="24"/>
              </w:rPr>
              <w:t>89.A</w:t>
            </w:r>
            <w:proofErr w:type="spellEnd"/>
            <w:r>
              <w:rPr>
                <w:rFonts w:ascii="Times New Roman" w:hAnsi="Times New Roman"/>
                <w:sz w:val="24"/>
              </w:rPr>
              <w:t>(a) člen; MSRP 9, 6.5.8. člen; računovodska direktiva, člen 8(5), 8(6).</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Informacije, sporočene v tej vrstici, ustrezajo vrstici 250 predloge F 01.01. Pr</w:t>
            </w:r>
            <w:r>
              <w:rPr>
                <w:rFonts w:ascii="Times New Roman" w:hAnsi="Times New Roman"/>
                <w:sz w:val="24"/>
              </w:rPr>
              <w:t>i</w:t>
            </w:r>
            <w:r>
              <w:rPr>
                <w:rFonts w:ascii="Times New Roman" w:hAnsi="Times New Roman"/>
                <w:sz w:val="24"/>
              </w:rPr>
              <w:t>log III in IV k tej uredbi.</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NALOŽBE V KAPITAL ODVISNIH, PRIDRUŽENIH IN SKUPAJ OBVLADOVANIH DRUŽB</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MRS 1, 54.(e) člen; Priloga V, del 1, odstavek 21, del 2, odstavek 4; direktiva o </w:t>
            </w:r>
            <w:r>
              <w:rPr>
                <w:rFonts w:ascii="Times New Roman" w:hAnsi="Times New Roman"/>
                <w:sz w:val="24"/>
              </w:rPr>
              <w:lastRenderedPageBreak/>
              <w:t xml:space="preserve">računovodskih izkazih bank, člen 4, Sredstva (7)–(8); računovodska direktiva, člen 2(2). </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Informacije, sporočene v tej vrstici, ustrezajo vrstici 260 predloge F 01.01. Pr</w:t>
            </w:r>
            <w:r>
              <w:rPr>
                <w:rFonts w:ascii="Times New Roman" w:hAnsi="Times New Roman"/>
                <w:sz w:val="24"/>
              </w:rPr>
              <w:t>i</w:t>
            </w:r>
            <w:r>
              <w:rPr>
                <w:rFonts w:ascii="Times New Roman" w:hAnsi="Times New Roman"/>
                <w:sz w:val="24"/>
              </w:rPr>
              <w:t>log III in IV k tej uredbi.</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0140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ODBITKI ZA TRGOVALNA SREDSTVA PO POŠTENI VRE</w:t>
            </w:r>
            <w:r>
              <w:rPr>
                <w:rFonts w:ascii="Times New Roman" w:hAnsi="Times New Roman"/>
                <w:b/>
                <w:sz w:val="24"/>
                <w:u w:val="single"/>
              </w:rPr>
              <w:t>D</w:t>
            </w:r>
            <w:r>
              <w:rPr>
                <w:rFonts w:ascii="Times New Roman" w:hAnsi="Times New Roman"/>
                <w:b/>
                <w:sz w:val="24"/>
                <w:u w:val="single"/>
              </w:rPr>
              <w:t>NOSTI</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Priloga V, del 1, odstavek 29.</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Informacije, sporočene v tej vrstici, ustrezajo vrstici 375 predloge F 01.01. Pr</w:t>
            </w:r>
            <w:r>
              <w:rPr>
                <w:rFonts w:ascii="Times New Roman" w:hAnsi="Times New Roman"/>
                <w:sz w:val="24"/>
              </w:rPr>
              <w:t>i</w:t>
            </w:r>
            <w:r>
              <w:rPr>
                <w:rFonts w:ascii="Times New Roman" w:hAnsi="Times New Roman"/>
                <w:sz w:val="24"/>
              </w:rPr>
              <w:t>log III in IV k tej uredbi.</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 OBVEZNOSTI PO POŠTENI VREDNOSTI SKUPAJ  </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Vsota obveznosti po pošteni vrednosti iz vrstic 0160 do 0210.</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Zadevne celice vrstic 0150 do 0190 se poročajo v skladu s predlogo FINREP F 01.02 Prilog III in IV k tej uredbi, odvisno od standardov, ki veljajo za instituc</w:t>
            </w:r>
            <w:r>
              <w:rPr>
                <w:rFonts w:ascii="Times New Roman" w:hAnsi="Times New Roman"/>
                <w:sz w:val="24"/>
              </w:rPr>
              <w:t>i</w:t>
            </w:r>
            <w:r>
              <w:rPr>
                <w:rFonts w:ascii="Times New Roman" w:hAnsi="Times New Roman"/>
                <w:sz w:val="24"/>
              </w:rPr>
              <w:t xml:space="preserve">jo: </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MSRP, kot jih je potrdila Komisija z uporabo Uredbe (EU) št. 1606/2002 („MSRP EU“),</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 xml:space="preserve">nacionalni računovodski standardi, združljivi z MSRP EU („z MSRP združljivi nacionalni GAAP“), </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ali nacionalni GAAP, ki temeljijo na Direktivi 86/635/ES, tj. direktivi o rač</w:t>
            </w:r>
            <w:r>
              <w:rPr>
                <w:rFonts w:ascii="Times New Roman" w:hAnsi="Times New Roman"/>
                <w:sz w:val="24"/>
              </w:rPr>
              <w:t>u</w:t>
            </w:r>
            <w:r>
              <w:rPr>
                <w:rFonts w:ascii="Times New Roman" w:hAnsi="Times New Roman"/>
                <w:sz w:val="24"/>
              </w:rPr>
              <w:t>novodskih izkazih bank (FINREP „nacionalni GAAP na podlagi direktive o računovodskih izkazih bank).</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FINANČNE OBVEZNOSTI V POSESTI ZA TRGOVANJE</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MSRP 7, 8.(e)(</w:t>
            </w:r>
            <w:proofErr w:type="spellStart"/>
            <w:r>
              <w:rPr>
                <w:rFonts w:ascii="Times New Roman" w:hAnsi="Times New Roman"/>
                <w:sz w:val="24"/>
              </w:rPr>
              <w:t>ii</w:t>
            </w:r>
            <w:proofErr w:type="spellEnd"/>
            <w:r>
              <w:rPr>
                <w:rFonts w:ascii="Times New Roman" w:hAnsi="Times New Roman"/>
                <w:sz w:val="24"/>
              </w:rPr>
              <w:t>) člen; MSRP 9, BA6. člen.</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Informacije, sporočene v tej vrstici, ustrezajo vrstici 010 predloge F 01.02. Pr</w:t>
            </w:r>
            <w:r>
              <w:rPr>
                <w:rFonts w:ascii="Times New Roman" w:hAnsi="Times New Roman"/>
                <w:sz w:val="24"/>
              </w:rPr>
              <w:t>i</w:t>
            </w:r>
            <w:r>
              <w:rPr>
                <w:rFonts w:ascii="Times New Roman" w:hAnsi="Times New Roman"/>
                <w:sz w:val="24"/>
              </w:rPr>
              <w:t>log III in IV k tej uredbi.</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1.2.2 TRGOVALNE FINANČNE OBVEZNOSTI </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Računovodska direktiva, člen 8(1)(a), 8(3) in 8(6).</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Informacije, sporočene v tej vrstici, ustrezajo vrstici 061 predloge F 01.02. Pr</w:t>
            </w:r>
            <w:r>
              <w:rPr>
                <w:rFonts w:ascii="Times New Roman" w:hAnsi="Times New Roman"/>
                <w:sz w:val="24"/>
              </w:rPr>
              <w:t>i</w:t>
            </w:r>
            <w:r>
              <w:rPr>
                <w:rFonts w:ascii="Times New Roman" w:hAnsi="Times New Roman"/>
                <w:sz w:val="24"/>
              </w:rPr>
              <w:t>log III in IV k tej uredbi.</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FINANČNE OBVEZNOSTI, DOLOČENE ZA MERJENJE PO PO</w:t>
            </w:r>
            <w:r>
              <w:rPr>
                <w:rFonts w:ascii="Times New Roman" w:hAnsi="Times New Roman"/>
                <w:b/>
                <w:sz w:val="24"/>
                <w:u w:val="single"/>
              </w:rPr>
              <w:t>Š</w:t>
            </w:r>
            <w:r>
              <w:rPr>
                <w:rFonts w:ascii="Times New Roman" w:hAnsi="Times New Roman"/>
                <w:b/>
                <w:sz w:val="24"/>
                <w:u w:val="single"/>
              </w:rPr>
              <w:t>TENI VREDNOSTI PREK POSLOVNEGA IZIDA</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MSRP 7, 8.(e)(i) člen; MSRP 9, 4.2.2. člen;</w:t>
            </w:r>
            <w:r>
              <w:rPr>
                <w:sz w:val="24"/>
              </w:rPr>
              <w:t xml:space="preserve"> </w:t>
            </w:r>
            <w:r>
              <w:rPr>
                <w:rFonts w:ascii="Times New Roman" w:hAnsi="Times New Roman"/>
                <w:sz w:val="24"/>
              </w:rPr>
              <w:t xml:space="preserve">računovodska direktiva, člen 8(1)(a), 8(6); MRS 39, 9. člen. </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Informacije, sporočene v tej vrstici, ustrezajo vrstici 070 predloge F 01.02. Pr</w:t>
            </w:r>
            <w:r>
              <w:rPr>
                <w:rFonts w:ascii="Times New Roman" w:hAnsi="Times New Roman"/>
                <w:sz w:val="24"/>
              </w:rPr>
              <w:t>i</w:t>
            </w:r>
            <w:r>
              <w:rPr>
                <w:rFonts w:ascii="Times New Roman" w:hAnsi="Times New Roman"/>
                <w:sz w:val="24"/>
              </w:rPr>
              <w:t>log III in IV k tej uredbi.</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1.2.4 IZVEDENI FINANČNI INSTRUMENTI – OBRAČUNAVANJE </w:t>
            </w:r>
            <w:r>
              <w:rPr>
                <w:rFonts w:ascii="Times New Roman" w:hAnsi="Times New Roman"/>
                <w:b/>
                <w:sz w:val="24"/>
                <w:u w:val="single"/>
              </w:rPr>
              <w:lastRenderedPageBreak/>
              <w:t>VAROVANJA PRED TVEGANJEM</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MSRP 9, 6.2.1. člen; Priloga V, del 1, odstavek 26; računovodska direktiva, člen 8(1)(a), 8(6), 8(8)(a). </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Informacije, sporočene v tej vrstici, ustrezajo vrstici 150 predloge F 01.02. Pr</w:t>
            </w:r>
            <w:r>
              <w:rPr>
                <w:rFonts w:ascii="Times New Roman" w:hAnsi="Times New Roman"/>
                <w:sz w:val="24"/>
              </w:rPr>
              <w:t>i</w:t>
            </w:r>
            <w:r>
              <w:rPr>
                <w:rFonts w:ascii="Times New Roman" w:hAnsi="Times New Roman"/>
                <w:sz w:val="24"/>
              </w:rPr>
              <w:t>log III in IV k tej uredbi.</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0200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SPREMEMBE POŠTENE VREDNOSTI SKUPINE VAROVANIH POSTAVK PRED OBRESTNIM TVEGANJEM</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MRS 39, </w:t>
            </w:r>
            <w:proofErr w:type="spellStart"/>
            <w:r>
              <w:rPr>
                <w:rFonts w:ascii="Times New Roman" w:hAnsi="Times New Roman"/>
                <w:sz w:val="24"/>
              </w:rPr>
              <w:t>89.A</w:t>
            </w:r>
            <w:proofErr w:type="spellEnd"/>
            <w:r>
              <w:rPr>
                <w:rFonts w:ascii="Times New Roman" w:hAnsi="Times New Roman"/>
                <w:sz w:val="24"/>
              </w:rPr>
              <w:t>(b) člen; MSRP 9, 6.5.8. člen; računovodska direktiva, člen 8(5), 8(6); Priloga V, del 2, odstavek 8.</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Informacije, sporočene v tej vrstici, ustrezajo vrstici 160 predloge F 01.02. Pr</w:t>
            </w:r>
            <w:r>
              <w:rPr>
                <w:rFonts w:ascii="Times New Roman" w:hAnsi="Times New Roman"/>
                <w:sz w:val="24"/>
              </w:rPr>
              <w:t>i</w:t>
            </w:r>
            <w:r>
              <w:rPr>
                <w:rFonts w:ascii="Times New Roman" w:hAnsi="Times New Roman"/>
                <w:sz w:val="24"/>
              </w:rPr>
              <w:t>log III in IV k tej uredbi.</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ODBITKI ZA TRGOVALNE OBVEZNOSTI PO POŠTENI VRE</w:t>
            </w:r>
            <w:r>
              <w:rPr>
                <w:rFonts w:ascii="Times New Roman" w:hAnsi="Times New Roman"/>
                <w:b/>
                <w:sz w:val="24"/>
                <w:u w:val="single"/>
              </w:rPr>
              <w:t>D</w:t>
            </w:r>
            <w:r>
              <w:rPr>
                <w:rFonts w:ascii="Times New Roman" w:hAnsi="Times New Roman"/>
                <w:b/>
                <w:sz w:val="24"/>
                <w:u w:val="single"/>
              </w:rPr>
              <w:t>NOSTI</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Priloga V, del 1, odstavek 29</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Informacije, sporočene v tej vrstici, ustrezajo vrstici 295 predloge F 01.02. Pr</w:t>
            </w:r>
            <w:r>
              <w:rPr>
                <w:rFonts w:ascii="Times New Roman" w:hAnsi="Times New Roman"/>
                <w:sz w:val="24"/>
              </w:rPr>
              <w:t>i</w:t>
            </w:r>
            <w:r>
              <w:rPr>
                <w:rFonts w:ascii="Times New Roman" w:hAnsi="Times New Roman"/>
                <w:sz w:val="24"/>
              </w:rPr>
              <w:t>log III in IV k tej uredbi.</w:t>
            </w:r>
          </w:p>
        </w:tc>
      </w:tr>
    </w:tbl>
    <w:p w:rsidR="00995A7F" w:rsidRDefault="00995A7F" w:rsidP="00C61FF5">
      <w:pPr>
        <w:rPr>
          <w:rStyle w:val="InstructionsTabelleText"/>
          <w:rFonts w:ascii="Times New Roman" w:hAnsi="Times New Roman"/>
          <w:sz w:val="24"/>
        </w:rPr>
      </w:pP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782" w:name="_Toc516210710"/>
      <w:bookmarkStart w:id="783" w:name="_Toc523474459"/>
      <w:r>
        <w:rPr>
          <w:rFonts w:ascii="Times New Roman" w:hAnsi="Times New Roman"/>
          <w:sz w:val="24"/>
          <w:u w:val="none"/>
        </w:rPr>
        <w:t>6.2.</w:t>
      </w:r>
      <w:r w:rsidR="003F40E8" w:rsidRPr="003F40E8">
        <w:rPr>
          <w:u w:val="none"/>
        </w:rPr>
        <w:tab/>
      </w:r>
      <w:r>
        <w:rPr>
          <w:rFonts w:ascii="Times New Roman" w:hAnsi="Times New Roman"/>
          <w:sz w:val="24"/>
        </w:rPr>
        <w:t>C 32.02 – Preudarno vrednotenje: Temeljni pristop (</w:t>
      </w:r>
      <w:proofErr w:type="spellStart"/>
      <w:r>
        <w:rPr>
          <w:rFonts w:ascii="Times New Roman" w:hAnsi="Times New Roman"/>
          <w:sz w:val="24"/>
        </w:rPr>
        <w:t>PruVal</w:t>
      </w:r>
      <w:proofErr w:type="spellEnd"/>
      <w:r>
        <w:rPr>
          <w:rFonts w:ascii="Times New Roman" w:hAnsi="Times New Roman"/>
          <w:sz w:val="24"/>
        </w:rPr>
        <w:t xml:space="preserve"> 2)</w:t>
      </w:r>
      <w:bookmarkEnd w:id="782"/>
      <w:bookmarkEnd w:id="783"/>
    </w:p>
    <w:p w:rsidR="00B93FA1" w:rsidRDefault="00B93FA1" w:rsidP="00B93FA1">
      <w:pPr>
        <w:pStyle w:val="Instructionsberschrift2"/>
        <w:numPr>
          <w:ilvl w:val="0"/>
          <w:numId w:val="0"/>
        </w:numPr>
        <w:ind w:left="357" w:hanging="357"/>
        <w:rPr>
          <w:rFonts w:ascii="Times New Roman" w:hAnsi="Times New Roman" w:cs="Times New Roman"/>
          <w:sz w:val="24"/>
          <w:u w:val="none"/>
        </w:rPr>
      </w:pPr>
      <w:bookmarkStart w:id="784" w:name="_Toc516210711"/>
      <w:bookmarkStart w:id="785" w:name="_Toc523474460"/>
      <w:r>
        <w:rPr>
          <w:rFonts w:ascii="Times New Roman" w:hAnsi="Times New Roman"/>
          <w:sz w:val="24"/>
          <w:u w:val="none"/>
        </w:rPr>
        <w:t>6.2.1.</w:t>
      </w:r>
      <w:r w:rsidR="003F40E8" w:rsidRPr="003F40E8">
        <w:rPr>
          <w:u w:val="none"/>
        </w:rPr>
        <w:tab/>
      </w:r>
      <w:r>
        <w:rPr>
          <w:rFonts w:ascii="Times New Roman" w:hAnsi="Times New Roman"/>
          <w:sz w:val="24"/>
        </w:rPr>
        <w:t>Splošne opombe</w:t>
      </w:r>
      <w:bookmarkEnd w:id="784"/>
      <w:bookmarkEnd w:id="785"/>
      <w:r>
        <w:rPr>
          <w:rFonts w:ascii="Times New Roman" w:hAnsi="Times New Roman"/>
          <w:sz w:val="24"/>
          <w:u w:val="none"/>
        </w:rPr>
        <w:t xml:space="preserve"> </w:t>
      </w:r>
    </w:p>
    <w:p w:rsidR="00B93FA1" w:rsidRPr="00B93FA1" w:rsidRDefault="00B93FA1" w:rsidP="001A3980">
      <w:pPr>
        <w:pStyle w:val="InstructionsText2"/>
        <w:numPr>
          <w:ilvl w:val="0"/>
          <w:numId w:val="0"/>
        </w:numPr>
        <w:ind w:left="993"/>
      </w:pPr>
      <w:r>
        <w:t>154c. Namen te predloge je zagotoviti informacije o sestavi skupne dodatne pril</w:t>
      </w:r>
      <w:r>
        <w:t>a</w:t>
      </w:r>
      <w:r>
        <w:t>goditve vrednosti, ki jo je treba odšteti od kapitala v skladu s členoma 34 in 105 CRR, skupaj z relevantnimi informacijami o računovodski vrednosti pozicij, na podlagi katere se določijo dodatne prilagoditve vrednosti.</w:t>
      </w:r>
    </w:p>
    <w:p w:rsidR="00B93FA1" w:rsidRPr="00B93FA1" w:rsidRDefault="00B93FA1" w:rsidP="001A3980">
      <w:pPr>
        <w:pStyle w:val="InstructionsText2"/>
        <w:numPr>
          <w:ilvl w:val="0"/>
          <w:numId w:val="0"/>
        </w:numPr>
        <w:ind w:left="993"/>
      </w:pPr>
      <w:r>
        <w:t xml:space="preserve">154d. To predlogo izpolnijo vse institucije, ki: </w:t>
      </w:r>
    </w:p>
    <w:p w:rsidR="00B93FA1" w:rsidRPr="00B93FA1" w:rsidRDefault="00B93FA1" w:rsidP="001A3980">
      <w:pPr>
        <w:pStyle w:val="InstructionsText2"/>
        <w:numPr>
          <w:ilvl w:val="0"/>
          <w:numId w:val="0"/>
        </w:numPr>
        <w:ind w:left="993"/>
      </w:pPr>
      <w:r>
        <w:t>(a) morajo uporabljati temeljni pristop, ker presegajo prag iz člena 4(1) Delegirane uredbe (EU) 2016/101 o preudarnem vrednotenju na posamični ali konsolidirani podlagi, kot je določeno v členu 4(3) Delegirane uredbe (EU) 2016/101 o preuda</w:t>
      </w:r>
      <w:r>
        <w:t>r</w:t>
      </w:r>
      <w:r>
        <w:t>nem vrednotenju, ali</w:t>
      </w:r>
    </w:p>
    <w:p w:rsidR="00B93FA1" w:rsidRPr="00B93FA1" w:rsidRDefault="00973707" w:rsidP="001A3980">
      <w:pPr>
        <w:pStyle w:val="InstructionsText2"/>
        <w:numPr>
          <w:ilvl w:val="0"/>
          <w:numId w:val="0"/>
        </w:numPr>
        <w:ind w:left="993"/>
      </w:pPr>
      <w:r>
        <w:t xml:space="preserve">(b) so se odločile uporabljati temeljni pristop kljub temu, da niso presegle praga. </w:t>
      </w:r>
    </w:p>
    <w:p w:rsidR="00973707" w:rsidRDefault="00973707" w:rsidP="001A3980">
      <w:pPr>
        <w:pStyle w:val="InstructionsText2"/>
        <w:numPr>
          <w:ilvl w:val="0"/>
          <w:numId w:val="0"/>
        </w:numPr>
        <w:ind w:left="993"/>
      </w:pPr>
      <w:r>
        <w:t>154e. Za namene te predloge se „visoka negotovost“ opredeli na naslednji način: Kot je določeno v členu 8(2) Delegirane uredbe (EU) 2016/101 o preudarnem vre</w:t>
      </w:r>
      <w:r>
        <w:t>d</w:t>
      </w:r>
      <w:r>
        <w:t>notenju, se dodatne prilagoditve vrednosti izračunajo kot razlika med pošteno vre</w:t>
      </w:r>
      <w:r>
        <w:t>d</w:t>
      </w:r>
      <w:r>
        <w:t>nostjo in preudarnim vrednotenjem, ki je določeno na podlagi 90-odstotne gotovo</w:t>
      </w:r>
      <w:r>
        <w:t>s</w:t>
      </w:r>
      <w:r>
        <w:t>ti, da lahko institucija izstopi iz izpostavljenosti na dani ali boljši točki v hipoteti</w:t>
      </w:r>
      <w:r>
        <w:t>č</w:t>
      </w:r>
      <w:r>
        <w:t>nem razponu verjetnih vrednosti. Zgornja vrednost ali „visoka negotovost“ je na</w:t>
      </w:r>
      <w:r>
        <w:t>s</w:t>
      </w:r>
      <w:r>
        <w:t>protna točka v porazdelitvi verjetnih vrednosti, na kateri je institucija samo 10-odstotno gotova, da lahko izstopi iz pozicije na tej ali boljši točki. Visoka negot</w:t>
      </w:r>
      <w:r>
        <w:t>o</w:t>
      </w:r>
      <w:r>
        <w:t xml:space="preserve">vost se izračuna in združi na isti podlagi kot skupna dodatna prilagoditev vrednosti, </w:t>
      </w:r>
      <w:r>
        <w:lastRenderedPageBreak/>
        <w:t>pri čemer se z 10-odstotno stopnjo gotovosti nadomesti 90-odstotna, ki se uporablja za skupno dodatno prilagoditev vrednosti.</w:t>
      </w:r>
    </w:p>
    <w:p w:rsidR="00B93FA1" w:rsidRPr="004502C8" w:rsidRDefault="00B93FA1" w:rsidP="00973707">
      <w:pPr>
        <w:pStyle w:val="Instructionsberschrift2"/>
        <w:numPr>
          <w:ilvl w:val="0"/>
          <w:numId w:val="0"/>
        </w:numPr>
        <w:ind w:left="357" w:hanging="357"/>
        <w:rPr>
          <w:rFonts w:ascii="Times New Roman" w:hAnsi="Times New Roman" w:cs="Times New Roman"/>
          <w:sz w:val="24"/>
          <w:u w:val="none"/>
        </w:rPr>
      </w:pPr>
      <w:bookmarkStart w:id="786" w:name="_Toc516210712"/>
      <w:bookmarkStart w:id="787" w:name="_Toc523474461"/>
      <w:r>
        <w:rPr>
          <w:rFonts w:ascii="Times New Roman" w:hAnsi="Times New Roman"/>
          <w:sz w:val="24"/>
          <w:u w:val="none"/>
        </w:rPr>
        <w:t>6.2.2.</w:t>
      </w:r>
      <w:r w:rsidR="003F40E8" w:rsidRPr="003F40E8">
        <w:rPr>
          <w:u w:val="none"/>
        </w:rPr>
        <w:tab/>
      </w:r>
      <w:r>
        <w:rPr>
          <w:rFonts w:ascii="Times New Roman" w:hAnsi="Times New Roman"/>
          <w:sz w:val="24"/>
          <w:u w:val="none"/>
        </w:rPr>
        <w:t>Navodila za posamezne pozicije</w:t>
      </w:r>
      <w:bookmarkEnd w:id="786"/>
      <w:bookmarkEnd w:id="787"/>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E60B53" w:rsidTr="00672D2A">
        <w:tc>
          <w:tcPr>
            <w:tcW w:w="9291" w:type="dxa"/>
            <w:gridSpan w:val="2"/>
            <w:shd w:val="clear" w:color="auto" w:fill="CCCCCC"/>
          </w:tcPr>
          <w:p w:rsidR="00973707" w:rsidRPr="00EB6E04" w:rsidRDefault="00973707" w:rsidP="00AF3D7A">
            <w:pPr>
              <w:spacing w:beforeLines="60" w:before="144" w:afterLines="60" w:after="144"/>
              <w:rPr>
                <w:rFonts w:ascii="Times New Roman" w:hAnsi="Times New Roman"/>
                <w:b/>
                <w:sz w:val="24"/>
              </w:rPr>
            </w:pPr>
            <w:r>
              <w:rPr>
                <w:rFonts w:ascii="Times New Roman" w:hAnsi="Times New Roman"/>
                <w:b/>
                <w:sz w:val="24"/>
              </w:rPr>
              <w:t>Stolpci</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0010–0100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DODATNA PRILAGODITEV VREDNOSTI NA RAVNI KATEGORIJE</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Dodatne prilagoditve vrednosti na ravni kategorije za nestabilnost tržnih cen, str</w:t>
            </w:r>
            <w:r>
              <w:rPr>
                <w:rFonts w:ascii="Times New Roman" w:hAnsi="Times New Roman"/>
                <w:sz w:val="24"/>
              </w:rPr>
              <w:t>o</w:t>
            </w:r>
            <w:r>
              <w:rPr>
                <w:rFonts w:ascii="Times New Roman" w:hAnsi="Times New Roman"/>
                <w:sz w:val="24"/>
              </w:rPr>
              <w:t>ške zapiranja pozicij, tveganje, povezano z uporabo modela, koncentracije pozicij, prihodnje administrativne stroške, predčasno zapiranje pozicij in operativno tv</w:t>
            </w:r>
            <w:r>
              <w:rPr>
                <w:rFonts w:ascii="Times New Roman" w:hAnsi="Times New Roman"/>
                <w:sz w:val="24"/>
              </w:rPr>
              <w:t>e</w:t>
            </w:r>
            <w:r>
              <w:rPr>
                <w:rFonts w:ascii="Times New Roman" w:hAnsi="Times New Roman"/>
                <w:sz w:val="24"/>
              </w:rPr>
              <w:t>ganje se izračunajo, kot je opisano v členih 9 do 11 oziroma 14 do 17 Delegirane uredbe (EU) 2016/101 o preudarnem vrednotenju.</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Za kategorije „nestabilnost tržnih cen“, „stroški zapiranja pozicij“ in „tveganje, povezano z uporabo modela“, pri katerih se upoštevajo koristi zaradi razpršitve, kot je določeno v členu 9(6), 10(7) oziroma 11(7) Delegirane uredbe (EU) 2016/101 o preudarnem vrednotenju, se dodatne prilagoditve vrednosti na ravni kategorije, razen če je navedeno drugače, poročajo kot enostavna vsota posame</w:t>
            </w:r>
            <w:r>
              <w:rPr>
                <w:rFonts w:ascii="Times New Roman" w:hAnsi="Times New Roman"/>
                <w:sz w:val="24"/>
              </w:rPr>
              <w:t>z</w:t>
            </w:r>
            <w:r>
              <w:rPr>
                <w:rFonts w:ascii="Times New Roman" w:hAnsi="Times New Roman"/>
                <w:sz w:val="24"/>
              </w:rPr>
              <w:t>nih dodatnih prilagoditev vrednosti pred koristijo zaradi razpršitve [ker se koristi zaradi razpršitve, izračunane z metodo 1 ali metodo 2 iz Priloge k Delegirani ur</w:t>
            </w:r>
            <w:r>
              <w:rPr>
                <w:rFonts w:ascii="Times New Roman" w:hAnsi="Times New Roman"/>
                <w:sz w:val="24"/>
              </w:rPr>
              <w:t>e</w:t>
            </w:r>
            <w:r>
              <w:rPr>
                <w:rFonts w:ascii="Times New Roman" w:hAnsi="Times New Roman"/>
                <w:sz w:val="24"/>
              </w:rPr>
              <w:t xml:space="preserve">dbi (EU) 2016/101 o preudarnem vrednotenju, poročajo v postavkah 1.1.2, 1.1.2.1 in 1.1.2.2 predloge]. </w:t>
            </w:r>
          </w:p>
          <w:p w:rsidR="00973707" w:rsidRPr="00DD41BE" w:rsidRDefault="00973707" w:rsidP="00F811F8">
            <w:pPr>
              <w:spacing w:beforeLines="60" w:before="144" w:afterLines="60" w:after="144"/>
              <w:rPr>
                <w:rFonts w:ascii="Times New Roman" w:hAnsi="Times New Roman"/>
                <w:sz w:val="24"/>
              </w:rPr>
            </w:pPr>
            <w:r>
              <w:rPr>
                <w:rFonts w:ascii="Times New Roman" w:hAnsi="Times New Roman"/>
                <w:sz w:val="24"/>
              </w:rPr>
              <w:t>Za kategorije „nestabilnost tržnih cen“, „stroški zapiranja pozicij“ in „tveganje, povezano z uporabo modela“, se zneski, izračunani z uporabo pristopa na podlagi strokovnega mnenja, kot je opredeljen v členih 9(5)(b), 10(6)(b) in 11(4) Deleg</w:t>
            </w:r>
            <w:r>
              <w:rPr>
                <w:rFonts w:ascii="Times New Roman" w:hAnsi="Times New Roman"/>
                <w:sz w:val="24"/>
              </w:rPr>
              <w:t>i</w:t>
            </w:r>
            <w:r>
              <w:rPr>
                <w:rFonts w:ascii="Times New Roman" w:hAnsi="Times New Roman"/>
                <w:sz w:val="24"/>
              </w:rPr>
              <w:t>rane uredbe (EU) 2016/101 o preudarnem vrednotenju, poročajo ločeno v stolpcih 0020, 0040 in 0060.</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NESTABILNOST TRŽNIH CEN</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Člen 105(10) CRR. </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Dodatne prilagoditve vrednosti za nestabilnost tržnih cen, izračunane v skladu s členom 9 Delegirane uredbe (EU) 2016/101 o preudarnem vrednotenju.</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TEGA: IZRAČUNANO Z UPORABO PRISTOPA NA PODLAGI STROKOVNEGA MNENJA</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Dodatne prilagoditve vrednosti za nestabilnost tržnih cen, izračunane v skladu s členom 9(5)(b) Delegirane uredbe (EU) 2016/101 o preudarnem vrednotenju.</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STROŠKI ZAPIRANJA POZICIJ</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Člen 105(10) CRR. </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Dodatne prilagoditve vrednosti za stroške zapiranja pozicij, izračunane v skladu s členom 10 Delegirane uredbe (EU) 2016/101 o preudarnem vrednotenju.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TEGA: IZRAČUNANO Z UPORABO PRISTOPA NA PODLAGI STROKOVNEGA MNENJA</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lastRenderedPageBreak/>
              <w:t>Dodatne prilagoditve vrednosti za stroške zapiranja pozicij, izračunane v skladu s členom 10(6)(b) Delegirane uredbe (EU) 2016/101 o preudarnem vrednotenju.</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TVEGANJE, POVEZANO Z UPORABO MODELA</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Člen 105(10) CRR.</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Dodatne prilagoditve vrednosti za tveganje, povezano z uporabo modela, izrač</w:t>
            </w:r>
            <w:r>
              <w:rPr>
                <w:rFonts w:ascii="Times New Roman" w:hAnsi="Times New Roman"/>
                <w:sz w:val="24"/>
              </w:rPr>
              <w:t>u</w:t>
            </w:r>
            <w:r>
              <w:rPr>
                <w:rFonts w:ascii="Times New Roman" w:hAnsi="Times New Roman"/>
                <w:sz w:val="24"/>
              </w:rPr>
              <w:t>nane v skladu s členom 11 Delegirane uredbe (EU) 2016/101 o preudarnem vre</w:t>
            </w:r>
            <w:r>
              <w:rPr>
                <w:rFonts w:ascii="Times New Roman" w:hAnsi="Times New Roman"/>
                <w:sz w:val="24"/>
              </w:rPr>
              <w:t>d</w:t>
            </w:r>
            <w:r>
              <w:rPr>
                <w:rFonts w:ascii="Times New Roman" w:hAnsi="Times New Roman"/>
                <w:sz w:val="24"/>
              </w:rPr>
              <w:t xml:space="preserve">notenju.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TEGA: IZRAČUNANO Z UPORABO PRISTOPA NA PODLAGI STROKOVNEGA MNENJA</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Dodatne prilagoditve vrednosti za tveganje, povezano z uporabo modela, izrač</w:t>
            </w:r>
            <w:r>
              <w:rPr>
                <w:rFonts w:ascii="Times New Roman" w:hAnsi="Times New Roman"/>
                <w:sz w:val="24"/>
              </w:rPr>
              <w:t>u</w:t>
            </w:r>
            <w:r>
              <w:rPr>
                <w:rFonts w:ascii="Times New Roman" w:hAnsi="Times New Roman"/>
                <w:sz w:val="24"/>
              </w:rPr>
              <w:t>nane v skladu s členom 11(4) Delegirane uredbe (EU) 2016/101 o preudarnem vrednotenju.</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KONCENTRACIJE POZICIJ</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Člen 105(11) CRR.</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Dodatne prilagoditve vrednosti za koncentracije pozicij, izračunane v skladu s čl</w:t>
            </w:r>
            <w:r>
              <w:rPr>
                <w:rFonts w:ascii="Times New Roman" w:hAnsi="Times New Roman"/>
                <w:sz w:val="24"/>
              </w:rPr>
              <w:t>e</w:t>
            </w:r>
            <w:r>
              <w:rPr>
                <w:rFonts w:ascii="Times New Roman" w:hAnsi="Times New Roman"/>
                <w:sz w:val="24"/>
              </w:rPr>
              <w:t>nom 14 Delegirane uredbe (EU) 2016/101 o preudarnem vrednotenju.</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PRIHODNJI ADMINISTRATIVNI STROŠKI</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Člen 105(10) CRR.</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Dodatne prilagoditve vrednosti za prihodnje administrativne stroške, izračunane v skladu s členom 15 Delegirane uredbe (EU) 2016/101 o preudarnem vrednotenju.</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PREDČASNO ZAPIRANJE POZICIJ</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Člen 105(10) CRR.</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Dodatne prilagoditve vrednosti za predčasno zapiranje pozicij, izračunane v skladu s členom 16 Delegirane uredbe (EU) 2016/101 o preudarnem vrednotenju.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OPERATIVNO TVEGANJE</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Člen 105(10) CRR.</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Dodatne prilagoditve vrednosti za operativno tveganje, izračunane v skladu s čl</w:t>
            </w:r>
            <w:r>
              <w:rPr>
                <w:rFonts w:ascii="Times New Roman" w:hAnsi="Times New Roman"/>
                <w:sz w:val="24"/>
              </w:rPr>
              <w:t>e</w:t>
            </w:r>
            <w:r>
              <w:rPr>
                <w:rFonts w:ascii="Times New Roman" w:hAnsi="Times New Roman"/>
                <w:sz w:val="24"/>
              </w:rPr>
              <w:t>nom 17 Delegirane uredbe (EU) 2016/101 o preudarnem vrednotenju.</w:t>
            </w:r>
          </w:p>
        </w:tc>
      </w:tr>
      <w:tr w:rsidR="00973707" w:rsidRPr="00E60B53" w:rsidTr="00672D2A">
        <w:tc>
          <w:tcPr>
            <w:tcW w:w="1101" w:type="dxa"/>
            <w:tcBorders>
              <w:bottom w:val="single" w:sz="4" w:space="0" w:color="auto"/>
            </w:tcBorders>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SKUPNA DODATNA PRILAGODITEV VREDNOSTI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Vrstica 0010: skupna dodatna prilagoditev vrednosti, ki se odbije od kapitala v skladu s členoma 34 in 105 in ustrezno sporoči v vrstici 290 predloge C 01.00. Skupna dodatna prilagoditev vrednosti je vsota vrstic 0030 in 0180.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Vrstica 0020: delež skupne dodatne prilagoditve vrednosti, sporočene v vrstici 0010, ki izhaja iz pozicij v trgovalni knjigi (absolutna vrednost).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Vrstice 0030 do 0160: vsota stolpcev 0010, 0030, 0050 in 0070 do 0100.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Vrstice 0180 do 0210: skupna dodatna prilagoditev vrednosti, ki izhaja iz portfe</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 xml:space="preserve">jev po nadomestnem pristopu. </w:t>
            </w:r>
          </w:p>
        </w:tc>
      </w:tr>
      <w:tr w:rsidR="00973707" w:rsidRPr="00E60B53" w:rsidTr="00672D2A">
        <w:tc>
          <w:tcPr>
            <w:tcW w:w="1101" w:type="dxa"/>
            <w:tcBorders>
              <w:bottom w:val="single" w:sz="4" w:space="0" w:color="auto"/>
            </w:tcBorders>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0120</w:t>
            </w:r>
          </w:p>
        </w:tc>
        <w:tc>
          <w:tcPr>
            <w:tcW w:w="8190" w:type="dxa"/>
            <w:tcBorders>
              <w:bottom w:val="single" w:sz="4" w:space="0" w:color="auto"/>
            </w:tcBorders>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VISOKA NEGOTOVOST</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8(2)</w:t>
            </w:r>
            <w:r>
              <w:rPr>
                <w:rFonts w:ascii="Times New Roman" w:hAnsi="Times New Roman"/>
                <w:sz w:val="24"/>
              </w:rPr>
              <w:t xml:space="preserve"> Delegirane uredbe (EU) 2016/101 o preudarnem vrednotenju.</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Visoka negotovost se izračuna in združi na isti podlagi kot skupna dodatna pril</w:t>
            </w:r>
            <w:r>
              <w:rPr>
                <w:rFonts w:ascii="Times New Roman" w:hAnsi="Times New Roman"/>
                <w:sz w:val="24"/>
              </w:rPr>
              <w:t>a</w:t>
            </w:r>
            <w:r>
              <w:rPr>
                <w:rFonts w:ascii="Times New Roman" w:hAnsi="Times New Roman"/>
                <w:sz w:val="24"/>
              </w:rPr>
              <w:t>goditev vrednosti, izračunana v stolpcu 0110, pri čemer se z 10-odstotno stopnjo gotovosti nadomesti 90-odstotna, ki se uporablja za skupno dodatno prilagoditev vrednosti.</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0130–0140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SREDSTVA IN OBVEZNOSTI PO POŠTENI VREDNOSTI</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Absolutna vrednost sredstev in obveznosti po pošteni vrednosti, ki ustreza zne</w:t>
            </w:r>
            <w:r>
              <w:rPr>
                <w:rFonts w:ascii="Times New Roman" w:hAnsi="Times New Roman"/>
                <w:sz w:val="24"/>
              </w:rPr>
              <w:t>s</w:t>
            </w:r>
            <w:r>
              <w:rPr>
                <w:rFonts w:ascii="Times New Roman" w:hAnsi="Times New Roman"/>
                <w:sz w:val="24"/>
              </w:rPr>
              <w:t>kom dodatne prilagoditve vrednosti, sporočenim v vrsticah 0010 do 0130 in vrst</w:t>
            </w:r>
            <w:r>
              <w:rPr>
                <w:rFonts w:ascii="Times New Roman" w:hAnsi="Times New Roman"/>
                <w:sz w:val="24"/>
              </w:rPr>
              <w:t>i</w:t>
            </w:r>
            <w:r>
              <w:rPr>
                <w:rFonts w:ascii="Times New Roman" w:hAnsi="Times New Roman"/>
                <w:sz w:val="24"/>
              </w:rPr>
              <w:t>ci 0180. Za nekatere vrstice, zlasti vrstice 0090 do 0130, je za te zneske treba up</w:t>
            </w:r>
            <w:r>
              <w:rPr>
                <w:rFonts w:ascii="Times New Roman" w:hAnsi="Times New Roman"/>
                <w:sz w:val="24"/>
              </w:rPr>
              <w:t>o</w:t>
            </w:r>
            <w:r>
              <w:rPr>
                <w:rFonts w:ascii="Times New Roman" w:hAnsi="Times New Roman"/>
                <w:sz w:val="24"/>
              </w:rPr>
              <w:t xml:space="preserve">rabiti približek ali jih razporediti na podlagi strokovne presoje. </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Vrstica 0010: skupna absolutna vrednost sredstev in obveznosti po pošteni vredn</w:t>
            </w:r>
            <w:r>
              <w:rPr>
                <w:rFonts w:ascii="Times New Roman" w:hAnsi="Times New Roman"/>
                <w:sz w:val="24"/>
              </w:rPr>
              <w:t>o</w:t>
            </w:r>
            <w:r>
              <w:rPr>
                <w:rFonts w:ascii="Times New Roman" w:hAnsi="Times New Roman"/>
                <w:sz w:val="24"/>
              </w:rPr>
              <w:t>sti, vključenih v izračun praga iz člena 4(1) Delegirane uredbe (EU) 2016/101 o preudarnem vrednotenju. To vključuje absolutno vrednost sredstev in obveznosti po pošteni vrednosti, za katere ocenjene dodatne prilagoditve vrednosti znašajo nič v skladu s členom 9(2), 10(2) ali 10(3) Delegirane uredbe (EU) 2016/101 o pre</w:t>
            </w:r>
            <w:r>
              <w:rPr>
                <w:rFonts w:ascii="Times New Roman" w:hAnsi="Times New Roman"/>
                <w:sz w:val="24"/>
              </w:rPr>
              <w:t>u</w:t>
            </w:r>
            <w:r>
              <w:rPr>
                <w:rFonts w:ascii="Times New Roman" w:hAnsi="Times New Roman"/>
                <w:sz w:val="24"/>
              </w:rPr>
              <w:t xml:space="preserve">darnem vrednotenju, ki se tudi ločeno poročajo v vrsticah 0070 in 0080. </w:t>
            </w:r>
            <w:r>
              <w:rPr>
                <w:rFonts w:ascii="Times New Roman" w:hAnsi="Times New Roman"/>
                <w:sz w:val="24"/>
              </w:rPr>
              <w:br/>
              <w:t xml:space="preserve">Vrstica 0010 je vsota vrstice 0030 in vrstice 0180. </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Vrstica 0020: delež skupne absolutne vrednosti sredstev in obveznosti po pošteni vrednosti, sporočene v vrstici 0010, ki izhaja iz pozicij v trgovalni knjigi (absolu</w:t>
            </w:r>
            <w:r>
              <w:rPr>
                <w:rFonts w:ascii="Times New Roman" w:hAnsi="Times New Roman"/>
                <w:sz w:val="24"/>
              </w:rPr>
              <w:t>t</w:t>
            </w:r>
            <w:r>
              <w:rPr>
                <w:rFonts w:ascii="Times New Roman" w:hAnsi="Times New Roman"/>
                <w:sz w:val="24"/>
              </w:rPr>
              <w:t xml:space="preserve">na vrednost).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Vrstica 0030: absolutna vrednost sredstev in obveznosti po pošteni vrednosti, ki ustrezajo portfeljem v skladu s členi 9 do 17 Delegirane uredbe (EU) 2016/101 o preudarnem vrednotenju. To vključuje absolutno vrednost sredstev in obveznosti po pošteni vrednosti, za katere ocenjene dodatne prilagoditve vrednosti znašajo nič v skladu s členom 9(2), 10(2) ali 10(3) Delegirane uredbe (EU) 2016/101 o pre</w:t>
            </w:r>
            <w:r>
              <w:rPr>
                <w:rFonts w:ascii="Times New Roman" w:hAnsi="Times New Roman"/>
                <w:sz w:val="24"/>
              </w:rPr>
              <w:t>u</w:t>
            </w:r>
            <w:r>
              <w:rPr>
                <w:rFonts w:ascii="Times New Roman" w:hAnsi="Times New Roman"/>
                <w:sz w:val="24"/>
              </w:rPr>
              <w:t>darnem vrednotenju, ki se tudi ločeno poročajo v vrsticah 0070 in 0080. Vrst</w:t>
            </w:r>
            <w:r>
              <w:rPr>
                <w:rFonts w:ascii="Times New Roman" w:hAnsi="Times New Roman"/>
                <w:sz w:val="24"/>
              </w:rPr>
              <w:t>i</w:t>
            </w:r>
            <w:r>
              <w:rPr>
                <w:rFonts w:ascii="Times New Roman" w:hAnsi="Times New Roman"/>
                <w:sz w:val="24"/>
              </w:rPr>
              <w:t>ca 0030 je vsota vrstic 0090 do 0130.</w:t>
            </w:r>
          </w:p>
          <w:p w:rsidR="00973707" w:rsidRPr="00AB63E5" w:rsidRDefault="00973707" w:rsidP="00AF3D7A">
            <w:pPr>
              <w:spacing w:beforeLines="60" w:before="144" w:afterLines="60" w:after="144"/>
              <w:rPr>
                <w:rFonts w:ascii="Times New Roman" w:hAnsi="Times New Roman"/>
                <w:sz w:val="24"/>
              </w:rPr>
            </w:pPr>
            <w:r>
              <w:rPr>
                <w:rFonts w:ascii="Times New Roman" w:hAnsi="Times New Roman"/>
                <w:sz w:val="24"/>
              </w:rPr>
              <w:t>Vrstica 0050: absolutna vrednost sredstev in obveznosti po pošteni vrednosti, vključena v obseg izračuna dodatne prilagoditve vrednosti za nerealizirane kredi</w:t>
            </w:r>
            <w:r>
              <w:rPr>
                <w:rFonts w:ascii="Times New Roman" w:hAnsi="Times New Roman"/>
                <w:sz w:val="24"/>
              </w:rPr>
              <w:t>t</w:t>
            </w:r>
            <w:r>
              <w:rPr>
                <w:rFonts w:ascii="Times New Roman" w:hAnsi="Times New Roman"/>
                <w:sz w:val="24"/>
              </w:rPr>
              <w:t>ne razmike. Za namene izračuna te dodatne prilagoditve vrednosti se nasprotna sredstva in obveznosti po pošteni vrednosti, ki se popolnoma ujemajo, izključena iz izračuna praga v skladu s členom 4(2) Delegirane uredbe (EU) 2016/101 o pr</w:t>
            </w:r>
            <w:r>
              <w:rPr>
                <w:rFonts w:ascii="Times New Roman" w:hAnsi="Times New Roman"/>
                <w:sz w:val="24"/>
              </w:rPr>
              <w:t>e</w:t>
            </w:r>
            <w:r>
              <w:rPr>
                <w:rFonts w:ascii="Times New Roman" w:hAnsi="Times New Roman"/>
                <w:sz w:val="24"/>
              </w:rPr>
              <w:t>udarnem vrednotenju, ne smejo več obravnavati kot nasprotna in popolnoma uj</w:t>
            </w:r>
            <w:r>
              <w:rPr>
                <w:rFonts w:ascii="Times New Roman" w:hAnsi="Times New Roman"/>
                <w:sz w:val="24"/>
              </w:rPr>
              <w:t>e</w:t>
            </w:r>
            <w:r>
              <w:rPr>
                <w:rFonts w:ascii="Times New Roman" w:hAnsi="Times New Roman"/>
                <w:sz w:val="24"/>
              </w:rPr>
              <w:t xml:space="preserve">majoča.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Vrstica 0060: absolutna vrednost sredstev in obveznosti po pošteni vrednosti, vključena v obseg izračuna dodatne prilagoditve vrednosti za stroške investiranja in financiranja. Za namene izračuna te dodatne prilagoditve vrednosti se nasprotna sredstva in obveznosti po pošteni vrednosti, ki se popolnoma ujemajo, izključena iz izračuna praga v skladu s členom 4(2) Delegirane uredbe (EU) 2016/101 o pr</w:t>
            </w:r>
            <w:r>
              <w:rPr>
                <w:rFonts w:ascii="Times New Roman" w:hAnsi="Times New Roman"/>
                <w:sz w:val="24"/>
              </w:rPr>
              <w:t>e</w:t>
            </w:r>
            <w:r>
              <w:rPr>
                <w:rFonts w:ascii="Times New Roman" w:hAnsi="Times New Roman"/>
                <w:sz w:val="24"/>
              </w:rPr>
              <w:t>udarnem vrednotenju, ne smejo več obravnavati kot nasprotna in popolnoma uj</w:t>
            </w:r>
            <w:r>
              <w:rPr>
                <w:rFonts w:ascii="Times New Roman" w:hAnsi="Times New Roman"/>
                <w:sz w:val="24"/>
              </w:rPr>
              <w:t>e</w:t>
            </w:r>
            <w:r>
              <w:rPr>
                <w:rFonts w:ascii="Times New Roman" w:hAnsi="Times New Roman"/>
                <w:sz w:val="24"/>
              </w:rPr>
              <w:lastRenderedPageBreak/>
              <w:t xml:space="preserve">majoča.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Vrstica 0070: absolutna vrednost sredstev in obveznosti po pošteni vrednosti, ki ustrezajo izpostavljenostim vrednotenja, pri katerih je ocenjena dodatna prilagod</w:t>
            </w:r>
            <w:r>
              <w:rPr>
                <w:rFonts w:ascii="Times New Roman" w:hAnsi="Times New Roman"/>
                <w:sz w:val="24"/>
              </w:rPr>
              <w:t>i</w:t>
            </w:r>
            <w:r>
              <w:rPr>
                <w:rFonts w:ascii="Times New Roman" w:hAnsi="Times New Roman"/>
                <w:sz w:val="24"/>
              </w:rPr>
              <w:t>tev vrednosti nič v skladu s členom 9(2) Delegirane uredbe (EU) 2016/101 o pre</w:t>
            </w:r>
            <w:r>
              <w:rPr>
                <w:rFonts w:ascii="Times New Roman" w:hAnsi="Times New Roman"/>
                <w:sz w:val="24"/>
              </w:rPr>
              <w:t>u</w:t>
            </w:r>
            <w:r>
              <w:rPr>
                <w:rFonts w:ascii="Times New Roman" w:hAnsi="Times New Roman"/>
                <w:sz w:val="24"/>
              </w:rPr>
              <w:t xml:space="preserve">darnem vrednotenju.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Vrstica 0080: absolutna vrednost sredstev in obveznosti po pošteni vrednosti, ki ustrezajo izpostavljenostim vrednotenja, pri katerih je ocenjena dodatna prilagod</w:t>
            </w:r>
            <w:r>
              <w:rPr>
                <w:rFonts w:ascii="Times New Roman" w:hAnsi="Times New Roman"/>
                <w:sz w:val="24"/>
              </w:rPr>
              <w:t>i</w:t>
            </w:r>
            <w:r>
              <w:rPr>
                <w:rFonts w:ascii="Times New Roman" w:hAnsi="Times New Roman"/>
                <w:sz w:val="24"/>
              </w:rPr>
              <w:t xml:space="preserve">tev vrednosti nič v skladu s členoma 10(2) in 10(3) Delegirane uredbe (EU) 2016/101 o preudarnem vrednotenju.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Vrstice 0090 do 0130: absolutna vrednost sredstev in obveznosti po pošteni vre</w:t>
            </w:r>
            <w:r>
              <w:rPr>
                <w:rFonts w:ascii="Times New Roman" w:hAnsi="Times New Roman"/>
                <w:sz w:val="24"/>
              </w:rPr>
              <w:t>d</w:t>
            </w:r>
            <w:r>
              <w:rPr>
                <w:rFonts w:ascii="Times New Roman" w:hAnsi="Times New Roman"/>
                <w:sz w:val="24"/>
              </w:rPr>
              <w:t>nosti, razporejenih, kot je določeno spodaj (glej navodila za ustrezne vrstice), v skladu z naslednjimi kategorijami tveganja: obrestno tveganje, valutno tveganje, kreditno tveganje, tveganje v lastniških finančnih instrumentih in tveganje spr</w:t>
            </w:r>
            <w:r>
              <w:rPr>
                <w:rFonts w:ascii="Times New Roman" w:hAnsi="Times New Roman"/>
                <w:sz w:val="24"/>
              </w:rPr>
              <w:t>e</w:t>
            </w:r>
            <w:r>
              <w:rPr>
                <w:rFonts w:ascii="Times New Roman" w:hAnsi="Times New Roman"/>
                <w:sz w:val="24"/>
              </w:rPr>
              <w:t>membe cen blaga. To vključuje absolutno vrednost sredstev in obveznosti po po</w:t>
            </w:r>
            <w:r>
              <w:rPr>
                <w:rFonts w:ascii="Times New Roman" w:hAnsi="Times New Roman"/>
                <w:sz w:val="24"/>
              </w:rPr>
              <w:t>š</w:t>
            </w:r>
            <w:r>
              <w:rPr>
                <w:rFonts w:ascii="Times New Roman" w:hAnsi="Times New Roman"/>
                <w:sz w:val="24"/>
              </w:rPr>
              <w:t>teni vrednosti, za katere ocenjene dodatne prilagoditve vrednosti znašajo nič v skladu s členom 9(2), 10(2) ali 10(3) Delegirane uredbe (EU) 2016/101 o preuda</w:t>
            </w:r>
            <w:r>
              <w:rPr>
                <w:rFonts w:ascii="Times New Roman" w:hAnsi="Times New Roman"/>
                <w:sz w:val="24"/>
              </w:rPr>
              <w:t>r</w:t>
            </w:r>
            <w:r>
              <w:rPr>
                <w:rFonts w:ascii="Times New Roman" w:hAnsi="Times New Roman"/>
                <w:sz w:val="24"/>
              </w:rPr>
              <w:t>nem vrednotenju, ki se tudi ločeno poročajo v vrsticah 0070 in 0080.</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 xml:space="preserve">Vrstica 0180: absolutna vrednost sredstev in obveznosti po pošteni vrednosti, ki ustrezajo portfeljem v skladu z nadomestnim pristopom.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SREDSTVA PO POŠTENI VREDNOSTI</w:t>
            </w:r>
          </w:p>
          <w:p w:rsidR="00973707" w:rsidRPr="00EB6E04"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t xml:space="preserve">Absolutna vrednost </w:t>
            </w:r>
            <w:r>
              <w:rPr>
                <w:rStyle w:val="InstructionsTabelleberschrift"/>
                <w:rFonts w:ascii="Times New Roman" w:hAnsi="Times New Roman"/>
                <w:b w:val="0"/>
                <w:sz w:val="24"/>
                <w:u w:val="none"/>
              </w:rPr>
              <w:t>sredstev po pošteni vrednosti, ki ustreza različnim vrsticam, kot je obrazloženo v navodilih za stolpca 0130–0140 zgoraj.</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973707" w:rsidRPr="00EB6E04"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OBVEZNOSTI PO POŠTENI VREDNOSTI</w:t>
            </w:r>
          </w:p>
          <w:p w:rsidR="00973707" w:rsidRPr="00EB6E04"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Absolutna vrednost </w:t>
            </w:r>
            <w:r>
              <w:rPr>
                <w:rStyle w:val="InstructionsTabelleberschrift"/>
                <w:rFonts w:ascii="Times New Roman" w:hAnsi="Times New Roman"/>
                <w:b w:val="0"/>
                <w:sz w:val="24"/>
                <w:u w:val="none"/>
              </w:rPr>
              <w:t>obveznosti po pošteni vrednosti, ki ustreza različnim vrsticam, kot je obrazloženo v navodilih za stolpca 0130–0140 zgoraj.</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PRIHODKI V ČDP</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 xml:space="preserve">Prihodki v četrtletju do datuma poročanja („prihodki v ČDP“) od zadnjega datuma poročanja, pripisani sredstvom in obveznostim po pošteni vrednosti, </w:t>
            </w:r>
            <w:r>
              <w:rPr>
                <w:rStyle w:val="InstructionsTabelleberschrift"/>
                <w:rFonts w:ascii="Times New Roman" w:hAnsi="Times New Roman"/>
                <w:b w:val="0"/>
                <w:sz w:val="24"/>
                <w:u w:val="none"/>
              </w:rPr>
              <w:t>ki ustrezajo različnim vrsticam, kot je obrazloženo v navodilih za stolpca 0130–0140 zgoraj, razporejeni ali približno ocenjeni na podlagi strokovnega mnenja, kjer je relevan</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no</w:t>
            </w:r>
            <w:r>
              <w:t>.</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RAZLIKA NA PODLAGI NPC</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Vsota po vseh pozicijah in faktorjih tveganja zneskov neprilagojenih razlik („ra</w:t>
            </w:r>
            <w:r>
              <w:rPr>
                <w:rStyle w:val="InstructionsTabelleberschrift"/>
                <w:rFonts w:ascii="Times New Roman" w:hAnsi="Times New Roman"/>
                <w:b w:val="0"/>
                <w:sz w:val="24"/>
                <w:u w:val="none"/>
              </w:rPr>
              <w:t>z</w:t>
            </w:r>
            <w:r>
              <w:rPr>
                <w:rStyle w:val="InstructionsTabelleberschrift"/>
                <w:rFonts w:ascii="Times New Roman" w:hAnsi="Times New Roman"/>
                <w:b w:val="0"/>
                <w:sz w:val="24"/>
                <w:u w:val="none"/>
              </w:rPr>
              <w:t>lika na podlagi NPC“), izračunana konec meseca, ki je najbližje datumu poročanja, v skladu s postopkom neodvisnega pregleda cen (NPC), izvedenim v skladu s čl</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nom 105(8) CRR, glede na najboljše razpoložljive neodvisne podatke za relevan</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 xml:space="preserve">no pozicijo ali faktor tveganja. </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Zneski neprilagojenih razlik se nanašajo na neprilagojene razlike med vrednotenji, ki jih ustvari sistem trgovanja, in vrednotenji, določenimi med mesečnim posto</w:t>
            </w:r>
            <w:r>
              <w:rPr>
                <w:rStyle w:val="InstructionsTabelleberschrift"/>
                <w:rFonts w:ascii="Times New Roman" w:hAnsi="Times New Roman"/>
                <w:b w:val="0"/>
                <w:sz w:val="24"/>
                <w:u w:val="none"/>
              </w:rPr>
              <w:t>p</w:t>
            </w:r>
            <w:r>
              <w:rPr>
                <w:rStyle w:val="InstructionsTabelleberschrift"/>
                <w:rFonts w:ascii="Times New Roman" w:hAnsi="Times New Roman"/>
                <w:b w:val="0"/>
                <w:sz w:val="24"/>
                <w:u w:val="none"/>
              </w:rPr>
              <w:t xml:space="preserve">kom NPC. </w:t>
            </w:r>
          </w:p>
          <w:p w:rsidR="00973707" w:rsidRPr="00EB6E04"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V izračun razlike na podlagi NPC se ne vključijo zneski neprilagojenih razlik v poslovnih knjigah in evidencah institucije za datum konca zadevnega meseca.</w:t>
            </w:r>
          </w:p>
        </w:tc>
      </w:tr>
      <w:tr w:rsidR="00973707" w:rsidRPr="00E60B53" w:rsidTr="00672D2A">
        <w:tc>
          <w:tcPr>
            <w:tcW w:w="1101" w:type="dxa"/>
          </w:tcPr>
          <w:p w:rsidR="00973707" w:rsidRPr="00EB6E04" w:rsidRDefault="009A7A38" w:rsidP="009A7A38">
            <w:pPr>
              <w:spacing w:beforeLines="60" w:before="144" w:afterLines="60" w:after="144"/>
              <w:rPr>
                <w:rFonts w:ascii="Times New Roman" w:hAnsi="Times New Roman"/>
                <w:sz w:val="24"/>
              </w:rPr>
            </w:pPr>
            <w:r>
              <w:rPr>
                <w:rFonts w:ascii="Times New Roman" w:hAnsi="Times New Roman"/>
                <w:sz w:val="24"/>
              </w:rPr>
              <w:lastRenderedPageBreak/>
              <w:t>0170–0250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PRILAGODITVE POŠTENE VREDNOSTI</w:t>
            </w:r>
          </w:p>
          <w:p w:rsidR="001B1531" w:rsidRPr="00EB6E04"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Prilagoditve, včasih omenjene tudi kot „rezerve“, potencialno uporabljene pri računovodski pošteni vrednosti institucije, ki se izvedejo zunaj modela vrednote</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ja, uporabljenega za ustvarjanje knjigovodskih vrednosti (brez odložitve dobičkov in izgub na prvi dan), in za katere se lahko določi, da obravnavajo isti vir negot</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vosti pri vrednotenju kot zadevna dodatna prilagoditev vrednosti. Odražale bi la</w:t>
            </w:r>
            <w:r>
              <w:rPr>
                <w:rStyle w:val="InstructionsTabelleberschrift"/>
                <w:rFonts w:ascii="Times New Roman" w:hAnsi="Times New Roman"/>
                <w:b w:val="0"/>
                <w:sz w:val="24"/>
                <w:u w:val="none"/>
              </w:rPr>
              <w:t>h</w:t>
            </w:r>
            <w:r>
              <w:rPr>
                <w:rStyle w:val="InstructionsTabelleberschrift"/>
                <w:rFonts w:ascii="Times New Roman" w:hAnsi="Times New Roman"/>
                <w:b w:val="0"/>
                <w:sz w:val="24"/>
                <w:u w:val="none"/>
              </w:rPr>
              <w:t>ko faktorje tveganja, ki niso zajeti v tehniki vrednotenja, ki so v obliki premije za tveganje ali izstopnega stroška in so skladni z opredelitvijo poštene vrednosti. Kljub temu bi jih morali udeleženci na trgu upoštevati pri določanju cene. (MSRP 13, 9. in 88. člen)</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NESTABILNOST TRŽNIH CEN</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Prilagoditev, uporabljena pri pošteni vrednosti institucije, s katero se odraža pr</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 xml:space="preserve">mija za tveganje, ki izhaja iz obstoja nabora opazovanih cen za enakovredne instrumente, ali, v zvezi vhodnim tržnim parametrom za model vrednotenja, instrumentov, na podlagi katerih je bil umerjen ta vhodni parameter, in za katero se lahko tako določi, da obravnava isti vir negotovosti pri vrednotenju kot dodatna prilagoditev vrednosti za nestabilnost tržnih cen.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STROŠKI ZAPIRANJA POZICIJ</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Prilagoditev, uporabljena pri pošteni vrednosti institucije, s katero se prilagodi za dejstvo, da vrednotenja na ravni pozicij ne odražajo izstopne cene za pozicijo ali portfelj, zlasti kadar so taka vrednotenja umerjena na srednjo tržno ceno, in za katero se lahko tako določi, da obravnava isti vir negotovosti pri vrednotenju kot </w:t>
            </w:r>
            <w:r>
              <w:rPr>
                <w:rFonts w:ascii="Times New Roman" w:hAnsi="Times New Roman"/>
                <w:sz w:val="24"/>
              </w:rPr>
              <w:t>dodatna prilagoditev vrednosti za stroške zapiranja pozicij</w:t>
            </w:r>
            <w:r>
              <w:rPr>
                <w:rStyle w:val="InstructionsTabelleberschrift"/>
                <w:rFonts w:ascii="Times New Roman" w:hAnsi="Times New Roman"/>
                <w:b w:val="0"/>
                <w:sz w:val="24"/>
                <w:u w:val="none"/>
              </w:rPr>
              <w:t>.</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TVEGANJE, POVEZANO Z UPORABO MODELA</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Prilagoditev, uporabljena pri pošteni vrednosti institucije, s katero se odražajo tr</w:t>
            </w:r>
            <w:r>
              <w:rPr>
                <w:rStyle w:val="InstructionsTabelleberschrift"/>
                <w:rFonts w:ascii="Times New Roman" w:hAnsi="Times New Roman"/>
                <w:b w:val="0"/>
                <w:sz w:val="24"/>
                <w:u w:val="none"/>
              </w:rPr>
              <w:t>ž</w:t>
            </w:r>
            <w:r>
              <w:rPr>
                <w:rStyle w:val="InstructionsTabelleberschrift"/>
                <w:rFonts w:ascii="Times New Roman" w:hAnsi="Times New Roman"/>
                <w:b w:val="0"/>
                <w:sz w:val="24"/>
                <w:u w:val="none"/>
              </w:rPr>
              <w:t>ni dejavniki ali dejavniki, povezani s produktom, ki niso zajeti z modelom, upor</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bljenim za izračunavanje dnevnih vrednosti in tveganj pozicij („model vrednote</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 xml:space="preserve">ja“), ali ustrezna raven preudarnosti glede negotovosti, ki izhaja obstoja nabora alternativnih veljavnih modelov in umeritev modelov, in za katero se lahko tako določi, da obravnava isti vir negotovosti pri vrednotenju kot </w:t>
            </w:r>
            <w:r>
              <w:rPr>
                <w:rFonts w:ascii="Times New Roman" w:hAnsi="Times New Roman"/>
                <w:sz w:val="24"/>
              </w:rPr>
              <w:t>dodatna prilagoditev vrednosti za tveganje, povezano z uporabo modela</w:t>
            </w:r>
            <w:r>
              <w:rPr>
                <w:rStyle w:val="InstructionsTabelleberschrift"/>
                <w:rFonts w:ascii="Times New Roman" w:hAnsi="Times New Roman"/>
                <w:b w:val="0"/>
                <w:sz w:val="24"/>
                <w:u w:val="none"/>
              </w:rPr>
              <w:t>.</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KONCENTRACIJE POZICIJ</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Prilagoditev, uporabljena pri pošteni vrednosti institucije, s katero se odraža dej</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 xml:space="preserve">tvo, da je združena pozicija institucije večja od običajne </w:t>
            </w:r>
            <w:proofErr w:type="spellStart"/>
            <w:r>
              <w:rPr>
                <w:rStyle w:val="InstructionsTabelleberschrift"/>
                <w:rFonts w:ascii="Times New Roman" w:hAnsi="Times New Roman"/>
                <w:b w:val="0"/>
                <w:sz w:val="24"/>
                <w:u w:val="none"/>
              </w:rPr>
              <w:t>trgovane</w:t>
            </w:r>
            <w:proofErr w:type="spellEnd"/>
            <w:r>
              <w:rPr>
                <w:rStyle w:val="InstructionsTabelleberschrift"/>
                <w:rFonts w:ascii="Times New Roman" w:hAnsi="Times New Roman"/>
                <w:b w:val="0"/>
                <w:sz w:val="24"/>
                <w:u w:val="none"/>
              </w:rPr>
              <w:t xml:space="preserve"> količine ali ve</w:t>
            </w:r>
            <w:r>
              <w:rPr>
                <w:rStyle w:val="InstructionsTabelleberschrift"/>
                <w:rFonts w:ascii="Times New Roman" w:hAnsi="Times New Roman"/>
                <w:b w:val="0"/>
                <w:sz w:val="24"/>
                <w:u w:val="none"/>
              </w:rPr>
              <w:t>č</w:t>
            </w:r>
            <w:r>
              <w:rPr>
                <w:rStyle w:val="InstructionsTabelleberschrift"/>
                <w:rFonts w:ascii="Times New Roman" w:hAnsi="Times New Roman"/>
                <w:b w:val="0"/>
                <w:sz w:val="24"/>
                <w:u w:val="none"/>
              </w:rPr>
              <w:t>ja od velikosti pozicij, na katerih temeljijo kotacije ali posli, ki jih je mogoče op</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xml:space="preserve">zovati, uporabljeni za umeritev cene ali vhodnih podatkov, uporabljenih v modelu vrednotenja, in za katero se lahko tako določi, da obravnava isti vir negotovosti pri vrednotenju kot </w:t>
            </w:r>
            <w:r>
              <w:rPr>
                <w:rFonts w:ascii="Times New Roman" w:hAnsi="Times New Roman"/>
                <w:sz w:val="24"/>
              </w:rPr>
              <w:t>dodatna prilagoditev vrednosti za koncentracije pozicij</w:t>
            </w:r>
            <w:r>
              <w:rPr>
                <w:rStyle w:val="InstructionsTabelleberschrift"/>
                <w:rFonts w:ascii="Times New Roman" w:hAnsi="Times New Roman"/>
                <w:b w:val="0"/>
                <w:sz w:val="24"/>
                <w:u w:val="none"/>
              </w:rPr>
              <w:t xml:space="preserve">.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0210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NEREALIZIRANI KREDITNI RAZMIKI</w:t>
            </w:r>
          </w:p>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Prilagoditev, uporabljena pri pošteni vrednosti institucije, s katero se pokrijejo pr</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čakovane izgube zaradi neplačila nasprotne stranke pri pozicijah v izvedenih finančnih instrumentih (tj. skupna prilagoditev kreditnega vrednotenja (CVA) na ravni institucije).</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STROŠKI INVESTIRANJA IN FINANCIRANJA</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Prilagoditev, uporabljena pri pošteni vrednosti institucije, s katero se kompenzira v primerih, v katerih modeli vrednotenja ne odražajo v celoti stroškov financiranja, ki bi jih udeleženci na trgu upoštevali pri izstopni ceni za pozicijo ali portfelj (tj. skupna prilagoditev vrednotenja financiranja na ravni institucije, kadar institucija izračuna tako prilagoditev, ali, alternativno, enakovredna prilagoditev).</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PRIHODNJI ADMINISTRATIVNI STROŠKI</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Prilagoditev, uporabljena pri pošteni vrednosti institucije, s katero se odražajo administrativni stroški, nastali pri portfelju ali poziciji, ki niso upoštevani v mod</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lu vrednotenja ali v cenah, uporabljenih za umeritev vhodnih podatkov za ta model, in za katero se lahko tako določi, da obravnava isti vir negotovosti pri vr</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dnotenju kot dodatna prilagoditev vrednosti za prihodnje administrativne stroške.</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PREDČASNO ZAPIRANJE POZICIJ</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Prilagoditve, uporabljene pri pošteni vrednosti institucije, s katerimi se odražajo pogodbena ali </w:t>
            </w:r>
            <w:proofErr w:type="spellStart"/>
            <w:r>
              <w:rPr>
                <w:rStyle w:val="InstructionsTabelleberschrift"/>
                <w:rFonts w:ascii="Times New Roman" w:hAnsi="Times New Roman"/>
                <w:b w:val="0"/>
                <w:sz w:val="24"/>
                <w:u w:val="none"/>
              </w:rPr>
              <w:t>nepogodbena</w:t>
            </w:r>
            <w:proofErr w:type="spellEnd"/>
            <w:r>
              <w:rPr>
                <w:rStyle w:val="InstructionsTabelleberschrift"/>
                <w:rFonts w:ascii="Times New Roman" w:hAnsi="Times New Roman"/>
                <w:b w:val="0"/>
                <w:sz w:val="24"/>
                <w:u w:val="none"/>
              </w:rPr>
              <w:t xml:space="preserve"> pričakovanja glede predčasnega zapiranja pozicij, ki niso upoštevana v modelu vrednotenja, in za katere se lahko tako določi, da obr</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vnavajo isti vir negotovosti pri vrednotenju kot dodatna prilagoditev vrednosti za predčasno zapiranje pozicij.</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OPERATIVNO TVEGANJE</w:t>
            </w:r>
          </w:p>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Prilagoditve, uporabljene pri pošteni vrednosti institucije, s katerimi se odraža premija za tveganje, ki bi jo udeleženci na trgu zaračunali kot nadomestilo za op</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rativna tveganja, ki izhajajo iz varovanja pred tveganjem, upravljanja in poravnave pogodb v portfelju, in za katere se lahko tako določi, da obravnavajo isti vir neg</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tovosti pri vrednotenju kot dodatna prilagoditev vrednosti za operativno tveganje.</w:t>
            </w:r>
          </w:p>
        </w:tc>
      </w:tr>
      <w:tr w:rsidR="00973707" w:rsidRPr="00DD41BE"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0260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DOBIČEK ALI IZGUBA NA PRVI DAN</w:t>
            </w:r>
          </w:p>
          <w:p w:rsidR="001B1531"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Prilagoditve, ki odražajo primere, v katerih se v modelu vrednotenja skupaj z vs</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 xml:space="preserve">mi drugimi relevantnimi prilagoditvami poštene vrednosti, ki se uporabljajo za pozicijo ali portfelj, ni upoštevala plačana ali prejeta cene na prvi dan pripoznanja, tj. odložitev dobičkov in izgub na prvi dan (MSRP 9, </w:t>
            </w:r>
            <w:proofErr w:type="spellStart"/>
            <w:r>
              <w:rPr>
                <w:rStyle w:val="InstructionsTabelleberschrift"/>
                <w:rFonts w:ascii="Times New Roman" w:hAnsi="Times New Roman"/>
                <w:b w:val="0"/>
                <w:sz w:val="24"/>
                <w:u w:val="none"/>
              </w:rPr>
              <w:t>B5.1.2A</w:t>
            </w:r>
            <w:proofErr w:type="spellEnd"/>
            <w:r>
              <w:rPr>
                <w:rStyle w:val="InstructionsTabelleberschrift"/>
                <w:rFonts w:ascii="Times New Roman" w:hAnsi="Times New Roman"/>
                <w:b w:val="0"/>
                <w:sz w:val="24"/>
                <w:u w:val="none"/>
              </w:rPr>
              <w:t> člen).</w:t>
            </w:r>
          </w:p>
        </w:tc>
      </w:tr>
      <w:tr w:rsidR="00973707" w:rsidRPr="00DD41BE"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OPIS POJASNILA</w:t>
            </w:r>
          </w:p>
          <w:p w:rsidR="00973707" w:rsidRPr="00DD41BE" w:rsidRDefault="00973707" w:rsidP="00FD239F">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Opis pozicij, obravnavanih v skladu s členom 7(2)(b) Delegirane uredbe (EU) 2016/101 o preudarnem vrednotenju, in razloga, zaradi katerega ni bilo mogoče uporabiti členov 9 do 17 navedene uredbe.</w:t>
            </w:r>
          </w:p>
        </w:tc>
      </w:tr>
    </w:tbl>
    <w:p w:rsidR="00B93FA1" w:rsidRPr="00DD41B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87"/>
      </w:tblGrid>
      <w:tr w:rsidR="00973707" w:rsidRPr="00DD41BE" w:rsidTr="00672D2A">
        <w:tc>
          <w:tcPr>
            <w:tcW w:w="9288" w:type="dxa"/>
            <w:gridSpan w:val="2"/>
            <w:shd w:val="clear" w:color="auto" w:fill="CCCCCC"/>
          </w:tcPr>
          <w:p w:rsidR="00973707" w:rsidRPr="00DD41BE" w:rsidRDefault="00973707" w:rsidP="00AF3D7A">
            <w:pPr>
              <w:spacing w:beforeLines="60" w:before="144" w:afterLines="60" w:after="144"/>
              <w:rPr>
                <w:rFonts w:ascii="Times New Roman" w:hAnsi="Times New Roman"/>
                <w:b/>
                <w:sz w:val="24"/>
              </w:rPr>
            </w:pPr>
            <w:r>
              <w:rPr>
                <w:rFonts w:ascii="Times New Roman" w:hAnsi="Times New Roman"/>
                <w:b/>
                <w:sz w:val="24"/>
              </w:rPr>
              <w:t>Vrstice</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TEMELJNI PRISTOP SKUPAJ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Člen 7(2) Delegirane uredbe (EU) 2016/101 o preudarnem vrednotenju.</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Za vsako relevantno kategorijo dodatnih prilagoditev vrednosti iz stolpcev 0010 do 0110 skupna dodatna prilagoditev vrednosti, izračunana na podlagi temeljnega pristopa, kot je določen v poglavju 3 Delegirane uredbe (EU) 2016/101 o preuda</w:t>
            </w:r>
            <w:r>
              <w:rPr>
                <w:rFonts w:ascii="Times New Roman" w:hAnsi="Times New Roman"/>
                <w:sz w:val="24"/>
              </w:rPr>
              <w:t>r</w:t>
            </w:r>
            <w:r>
              <w:rPr>
                <w:rFonts w:ascii="Times New Roman" w:hAnsi="Times New Roman"/>
                <w:sz w:val="24"/>
              </w:rPr>
              <w:t>nem vrednotenju, za sredstva in obveznosti po pošteni vrednosti, vključene v izr</w:t>
            </w:r>
            <w:r>
              <w:rPr>
                <w:rFonts w:ascii="Times New Roman" w:hAnsi="Times New Roman"/>
                <w:sz w:val="24"/>
              </w:rPr>
              <w:t>a</w:t>
            </w:r>
            <w:r>
              <w:rPr>
                <w:rFonts w:ascii="Times New Roman" w:hAnsi="Times New Roman"/>
                <w:sz w:val="24"/>
              </w:rPr>
              <w:t xml:space="preserve">čun praga v skladu s členom 4(1) Delegirane uredbe (EU) 2016/101 o preudarnem vrednotenju. To vključuje koristi zaradi razpršitve, sporočene v vrstici 0140 v skladu s členi 9(6), 10(7) in 11(7) Delegirane uredbe (EU) 2016/101 o preudarnem vrednotenju. </w:t>
            </w:r>
          </w:p>
        </w:tc>
      </w:tr>
      <w:tr w:rsidR="00973707" w:rsidRPr="009A7A38"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OD TEGA: TRGOVALNA KNJIGA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Člen 7(2) Delegirane uredbe (EU) 2016/101 o preudarnem vrednotenju.</w:t>
            </w:r>
          </w:p>
          <w:p w:rsidR="00973707" w:rsidRPr="00DD41BE" w:rsidRDefault="00973707" w:rsidP="009A7A38">
            <w:pPr>
              <w:spacing w:beforeLines="60" w:before="144" w:afterLines="60" w:after="144"/>
              <w:rPr>
                <w:rFonts w:ascii="Times New Roman" w:hAnsi="Times New Roman"/>
                <w:b/>
                <w:sz w:val="24"/>
                <w:u w:val="single"/>
              </w:rPr>
            </w:pPr>
            <w:r>
              <w:rPr>
                <w:rFonts w:ascii="Times New Roman" w:hAnsi="Times New Roman"/>
                <w:sz w:val="24"/>
              </w:rPr>
              <w:t>Za vsako relevantno kategorijo dodatnih prilagoditev vrednosti iz stolpcev 0010 do 0110 delež skupne dodatne prilagoditve vrednosti, sporočene v vrstici, ki izhaja iz pozicij v trgovalni knjigi (absolutna vrednost).</w:t>
            </w:r>
          </w:p>
        </w:tc>
      </w:tr>
      <w:tr w:rsidR="00973707" w:rsidRPr="009A7A38"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 PORTFELJI V SKLADU S ČLENI 9 DO 17 – SKUPAJ NA RAVNI KATEGORIJE PO RAZPRŠITVI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Člen 7(2)(a) Delegirane uredbe (EU) 2016/101 o preudarnem vrednotenju.</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Za vsako relevantno kategorijo dodatnih prilagoditev vrednosti iz stolpcev 0010 do 0110 skupna dodatna prilagoditev vrednosti, izračunana v skladu s členi 9 do 17 Delegirane uredbe (EU) 2016/101 o preudarnem vrednotenju, za sredstva in obveznosti po pošteni vrednosti, vključene v izračun praga v skladu s členom 4(1) Delegirane uredbe (EU) 2016/101 o preudarnem vrednotenju, razen sredstev in obveznosti po pošteni vrednosti, za katere se uporablja obravnava iz člena 7(2)(b) Delegirane uredbe (EU) 2016/101 o preudarnem vrednotenju.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To vključuje dodatne prilagoditve vrednosti, izračunane v skladu s členi 12 in 13 Delegirane uredbe (EU) 2016/101 o preudarnem vrednotenju, ki se poročajo v vr</w:t>
            </w:r>
            <w:r>
              <w:rPr>
                <w:rFonts w:ascii="Times New Roman" w:hAnsi="Times New Roman"/>
                <w:sz w:val="24"/>
              </w:rPr>
              <w:t>s</w:t>
            </w:r>
            <w:r>
              <w:rPr>
                <w:rFonts w:ascii="Times New Roman" w:hAnsi="Times New Roman"/>
                <w:sz w:val="24"/>
              </w:rPr>
              <w:t xml:space="preserve">ticah 0050 in 0060 in so vključene v dodatne prilagoditve vrednosti za nestabilnost tržnih cen, dodatne prilagoditve vrednosti za stroške zapiranja pozicij in dodatne prilagoditve vrednosti za tveganje, povezano z uporabo modela, iz členov 12(2) in 13(2) Delegirane uredbe (EU) 2016/101 o preudarnem vrednotenju.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To vključuje koristi zaradi razpršitve, sporočene v vrstici 0140 v skladu s čl</w:t>
            </w:r>
            <w:r>
              <w:rPr>
                <w:rFonts w:ascii="Times New Roman" w:hAnsi="Times New Roman"/>
                <w:sz w:val="24"/>
              </w:rPr>
              <w:t>e</w:t>
            </w:r>
            <w:r>
              <w:rPr>
                <w:rFonts w:ascii="Times New Roman" w:hAnsi="Times New Roman"/>
                <w:sz w:val="24"/>
              </w:rPr>
              <w:t>ni 9(6), 10(7) in 11(7) Delegirane uredbe (EU) 2016/101 o preudarnem vrednote</w:t>
            </w:r>
            <w:r>
              <w:rPr>
                <w:rFonts w:ascii="Times New Roman" w:hAnsi="Times New Roman"/>
                <w:sz w:val="24"/>
              </w:rPr>
              <w:t>n</w:t>
            </w:r>
            <w:r>
              <w:rPr>
                <w:rFonts w:ascii="Times New Roman" w:hAnsi="Times New Roman"/>
                <w:sz w:val="24"/>
              </w:rPr>
              <w:t xml:space="preserve">ju. </w:t>
            </w:r>
          </w:p>
          <w:p w:rsidR="00973707" w:rsidRPr="00DD41BE" w:rsidRDefault="00973707" w:rsidP="009A7A38">
            <w:pPr>
              <w:spacing w:beforeLines="60" w:before="144" w:afterLines="60" w:after="144"/>
              <w:rPr>
                <w:rFonts w:ascii="Times New Roman" w:hAnsi="Times New Roman"/>
                <w:sz w:val="24"/>
              </w:rPr>
            </w:pPr>
            <w:r>
              <w:rPr>
                <w:rFonts w:ascii="Times New Roman" w:hAnsi="Times New Roman"/>
                <w:sz w:val="24"/>
              </w:rPr>
              <w:t xml:space="preserve">Zato se pričakuje, da je vrstica 0030 razlika med vrsticama 0040 in 0140. </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t>0040–0130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SKUPAJ NA RAVNI KATEGORIJE PRED RAZPRŠITVIJO</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Institucije za vrstice 0090 do 0130 razporedijo svoja sredstva in obveznosti po pošteni vrednosti, vključene v izračun praga v skladu s členom 4(1) Delegirane </w:t>
            </w:r>
            <w:r>
              <w:rPr>
                <w:rFonts w:ascii="Times New Roman" w:hAnsi="Times New Roman"/>
                <w:sz w:val="24"/>
              </w:rPr>
              <w:lastRenderedPageBreak/>
              <w:t>uredbe (EU) 2016/101 o preudarnem vrednotenju (trgovalna in netrgovalna knj</w:t>
            </w:r>
            <w:r>
              <w:rPr>
                <w:rFonts w:ascii="Times New Roman" w:hAnsi="Times New Roman"/>
                <w:sz w:val="24"/>
              </w:rPr>
              <w:t>i</w:t>
            </w:r>
            <w:r>
              <w:rPr>
                <w:rFonts w:ascii="Times New Roman" w:hAnsi="Times New Roman"/>
                <w:sz w:val="24"/>
              </w:rPr>
              <w:t>ga), glede na naslednje kategorije tveganja: obrestno tveganje, valutno tveganje, kreditno tveganje, tveganje v lastniških finančnih instrumentih in tveganje spr</w:t>
            </w:r>
            <w:r>
              <w:rPr>
                <w:rFonts w:ascii="Times New Roman" w:hAnsi="Times New Roman"/>
                <w:sz w:val="24"/>
              </w:rPr>
              <w:t>e</w:t>
            </w:r>
            <w:r>
              <w:rPr>
                <w:rFonts w:ascii="Times New Roman" w:hAnsi="Times New Roman"/>
                <w:sz w:val="24"/>
              </w:rPr>
              <w:t xml:space="preserve">membe cen blaga.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V ta namen se morajo institucije zanašati na svojo notranjo strukturo za upravlja</w:t>
            </w:r>
            <w:r>
              <w:rPr>
                <w:rFonts w:ascii="Times New Roman" w:hAnsi="Times New Roman"/>
                <w:sz w:val="24"/>
              </w:rPr>
              <w:t>n</w:t>
            </w:r>
            <w:r>
              <w:rPr>
                <w:rFonts w:ascii="Times New Roman" w:hAnsi="Times New Roman"/>
                <w:sz w:val="24"/>
              </w:rPr>
              <w:t>je tveganj in po razvoju metode razporejanja na podlagi strokovnega presoje ra</w:t>
            </w:r>
            <w:r>
              <w:rPr>
                <w:rFonts w:ascii="Times New Roman" w:hAnsi="Times New Roman"/>
                <w:sz w:val="24"/>
              </w:rPr>
              <w:t>z</w:t>
            </w:r>
            <w:r>
              <w:rPr>
                <w:rFonts w:ascii="Times New Roman" w:hAnsi="Times New Roman"/>
                <w:sz w:val="24"/>
              </w:rPr>
              <w:t>porediti svoja poslovna področja ali trgovalne enote v najustreznejšo kategorijo tveganja. Dodatne prilagoditve vrednosti, prilagoditve poštene vrednosti in druge zahtevane informacije, ki ustrezajo razporejenim poslovnim področjem ali trg</w:t>
            </w:r>
            <w:r>
              <w:rPr>
                <w:rFonts w:ascii="Times New Roman" w:hAnsi="Times New Roman"/>
                <w:sz w:val="24"/>
              </w:rPr>
              <w:t>o</w:t>
            </w:r>
            <w:r>
              <w:rPr>
                <w:rFonts w:ascii="Times New Roman" w:hAnsi="Times New Roman"/>
                <w:sz w:val="24"/>
              </w:rPr>
              <w:t>valnim enotam, se nato razporedijo v isto relevantno kategorijo tveganja, da se na ravni vrstice za vsako kategorijo tveganja zagotovi dosleden pregled nad prilag</w:t>
            </w:r>
            <w:r>
              <w:rPr>
                <w:rFonts w:ascii="Times New Roman" w:hAnsi="Times New Roman"/>
                <w:sz w:val="24"/>
              </w:rPr>
              <w:t>o</w:t>
            </w:r>
            <w:r>
              <w:rPr>
                <w:rFonts w:ascii="Times New Roman" w:hAnsi="Times New Roman"/>
                <w:sz w:val="24"/>
              </w:rPr>
              <w:t>ditvami, izvedenimi za tako za bonitetne kot računovodske namene, in podatek o velikosti zadevnih pozicij (v smislu sredstev in obveznosti po pošteni vrednosti). Če se dodatne prilagoditve vrednosti in druge prilagoditve izračunajo na drugačni ravni združevanja, zlasti na ravni podjetja, institucije razvijejo metodologijo za razporeditev dodatnih prilagoditev vrednosti po relevantnih nizih pozicij. Metod</w:t>
            </w:r>
            <w:r>
              <w:rPr>
                <w:rFonts w:ascii="Times New Roman" w:hAnsi="Times New Roman"/>
                <w:sz w:val="24"/>
              </w:rPr>
              <w:t>o</w:t>
            </w:r>
            <w:r>
              <w:rPr>
                <w:rFonts w:ascii="Times New Roman" w:hAnsi="Times New Roman"/>
                <w:sz w:val="24"/>
              </w:rPr>
              <w:t xml:space="preserve">logija za razporeditev povzroči, da je vrstica 0040 vsota vrstic 0050 do 0130 za stolpce 0010 do 0100.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Ne glede na uporabljen pristop so sporočene informacije kolikor je mogoče dosl</w:t>
            </w:r>
            <w:r>
              <w:rPr>
                <w:rFonts w:ascii="Times New Roman" w:hAnsi="Times New Roman"/>
                <w:sz w:val="24"/>
              </w:rPr>
              <w:t>e</w:t>
            </w:r>
            <w:r>
              <w:rPr>
                <w:rFonts w:ascii="Times New Roman" w:hAnsi="Times New Roman"/>
                <w:sz w:val="24"/>
              </w:rPr>
              <w:t>dne na ravni vrstice, ker se bodo zagotovljene informacije primerjale na tej ravni (zneski dodatnih prilagoditev vrednosti, visoka negotovost, zneski poštene vre</w:t>
            </w:r>
            <w:r>
              <w:rPr>
                <w:rFonts w:ascii="Times New Roman" w:hAnsi="Times New Roman"/>
                <w:sz w:val="24"/>
              </w:rPr>
              <w:t>d</w:t>
            </w:r>
            <w:r>
              <w:rPr>
                <w:rFonts w:ascii="Times New Roman" w:hAnsi="Times New Roman"/>
                <w:sz w:val="24"/>
              </w:rPr>
              <w:t xml:space="preserve">nosti in morebitne prilagoditve poštene vrednosti).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Razčlenitev v vrsticah 0090 do 0130 izključuje dodatne prilagoditve vrednosti, izračunane v skladu s členi 12 in 13 Delegirane uredbe (EU) 2016/101 o preuda</w:t>
            </w:r>
            <w:r>
              <w:rPr>
                <w:rFonts w:ascii="Times New Roman" w:hAnsi="Times New Roman"/>
                <w:sz w:val="24"/>
              </w:rPr>
              <w:t>r</w:t>
            </w:r>
            <w:r>
              <w:rPr>
                <w:rFonts w:ascii="Times New Roman" w:hAnsi="Times New Roman"/>
                <w:sz w:val="24"/>
              </w:rPr>
              <w:t>nem vrednotenju, ki se poročajo v vrsticah 0050 in 0060 in so vključene v dodatne prilagoditve vrednosti za nestabilnost tržnih cen, dodatne prilagoditve vrednosti za stroške zapiranja pozicij in dodatne prilagoditve vrednosti za tveganje, povezano z uporabo modela, iz členov 12(2) in 13(2) Delegirane uredbe (EU) 2016/101 o pr</w:t>
            </w:r>
            <w:r>
              <w:rPr>
                <w:rFonts w:ascii="Times New Roman" w:hAnsi="Times New Roman"/>
                <w:sz w:val="24"/>
              </w:rPr>
              <w:t>e</w:t>
            </w:r>
            <w:r>
              <w:rPr>
                <w:rFonts w:ascii="Times New Roman" w:hAnsi="Times New Roman"/>
                <w:sz w:val="24"/>
              </w:rPr>
              <w:t xml:space="preserve">udarnem vrednotenju.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Koristi zaradi razpršitve se poročajo v vrstici 0140 v skladu s členi 9(6), 10(7) in 11(7) Delegirane uredbe (EU) 2016/101 o preudarnem vrednotenju in so zato izključene iz vrstic 0040 do 0130. </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shd w:val="clear" w:color="auto" w:fill="auto"/>
          </w:tcPr>
          <w:p w:rsidR="00973707" w:rsidRPr="0058416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OD TEGA: DODATNA PRILAGODITEV VREDNOSTI ZA NEREALIZ</w:t>
            </w:r>
            <w:r>
              <w:rPr>
                <w:rFonts w:ascii="Times New Roman" w:hAnsi="Times New Roman"/>
                <w:b/>
                <w:sz w:val="24"/>
                <w:u w:val="single"/>
              </w:rPr>
              <w:t>I</w:t>
            </w:r>
            <w:r>
              <w:rPr>
                <w:rFonts w:ascii="Times New Roman" w:hAnsi="Times New Roman"/>
                <w:b/>
                <w:sz w:val="24"/>
                <w:u w:val="single"/>
              </w:rPr>
              <w:t>RANE KREDITNE RAZMIKE</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Člen 105(10) CRR, člen 12 Delegirane uredbe (EU) 2016/101 o preudarnem vre</w:t>
            </w:r>
            <w:r>
              <w:rPr>
                <w:rFonts w:ascii="Times New Roman" w:hAnsi="Times New Roman"/>
                <w:sz w:val="24"/>
              </w:rPr>
              <w:t>d</w:t>
            </w:r>
            <w:r>
              <w:rPr>
                <w:rFonts w:ascii="Times New Roman" w:hAnsi="Times New Roman"/>
                <w:sz w:val="24"/>
              </w:rPr>
              <w:t>notenju.</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Skupna dodatna prilagoditev vrednosti za nerealizirane kreditne razmike („dodatna prilagoditev vrednosti za CVA“) in njena razporeditev med dodatno prilagoditev vrednosti za nestabilnost tržnih cen, dodatno prilagoditev vrednosti za stroške zapiranja pozicij ali dodatno prilagoditev vrednosti za tveganje, povezano z up</w:t>
            </w:r>
            <w:r>
              <w:rPr>
                <w:rFonts w:ascii="Times New Roman" w:hAnsi="Times New Roman"/>
                <w:sz w:val="24"/>
              </w:rPr>
              <w:t>o</w:t>
            </w:r>
            <w:r>
              <w:rPr>
                <w:rFonts w:ascii="Times New Roman" w:hAnsi="Times New Roman"/>
                <w:sz w:val="24"/>
              </w:rPr>
              <w:t>rabo modela, v skladu s členom 12 Delegirane uredbe (EU) 2016/101 o preuda</w:t>
            </w:r>
            <w:r>
              <w:rPr>
                <w:rFonts w:ascii="Times New Roman" w:hAnsi="Times New Roman"/>
                <w:sz w:val="24"/>
              </w:rPr>
              <w:t>r</w:t>
            </w:r>
            <w:r>
              <w:rPr>
                <w:rFonts w:ascii="Times New Roman" w:hAnsi="Times New Roman"/>
                <w:sz w:val="24"/>
              </w:rPr>
              <w:t xml:space="preserve">nem vrednotenju. </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Stolpec 0110: skupna dodatna prilagoditev vrednosti se navede zgolj za informac</w:t>
            </w:r>
            <w:r>
              <w:rPr>
                <w:rFonts w:ascii="Times New Roman" w:hAnsi="Times New Roman"/>
                <w:sz w:val="24"/>
              </w:rPr>
              <w:t>i</w:t>
            </w:r>
            <w:r>
              <w:rPr>
                <w:rFonts w:ascii="Times New Roman" w:hAnsi="Times New Roman"/>
                <w:sz w:val="24"/>
              </w:rPr>
              <w:t>jo, ker njena razporeditev med dodatno prilagoditev vrednosti za nestabilnost tr</w:t>
            </w:r>
            <w:r>
              <w:rPr>
                <w:rFonts w:ascii="Times New Roman" w:hAnsi="Times New Roman"/>
                <w:sz w:val="24"/>
              </w:rPr>
              <w:t>ž</w:t>
            </w:r>
            <w:r>
              <w:rPr>
                <w:rFonts w:ascii="Times New Roman" w:hAnsi="Times New Roman"/>
                <w:sz w:val="24"/>
              </w:rPr>
              <w:t>nih cen, dodatno prilagoditev vrednosti za stroške zapiranja pozicij ali dodatno pr</w:t>
            </w:r>
            <w:r>
              <w:rPr>
                <w:rFonts w:ascii="Times New Roman" w:hAnsi="Times New Roman"/>
                <w:sz w:val="24"/>
              </w:rPr>
              <w:t>i</w:t>
            </w:r>
            <w:r>
              <w:rPr>
                <w:rFonts w:ascii="Times New Roman" w:hAnsi="Times New Roman"/>
                <w:sz w:val="24"/>
              </w:rPr>
              <w:lastRenderedPageBreak/>
              <w:t>lagoditev vrednosti za tveganje, povezano z uporabo modela, privede do njene vključitve – po upoštevanju koristi zaradi razpršitve – v relevantno dodatno pril</w:t>
            </w:r>
            <w:r>
              <w:rPr>
                <w:rFonts w:ascii="Times New Roman" w:hAnsi="Times New Roman"/>
                <w:sz w:val="24"/>
              </w:rPr>
              <w:t>a</w:t>
            </w:r>
            <w:r>
              <w:rPr>
                <w:rFonts w:ascii="Times New Roman" w:hAnsi="Times New Roman"/>
                <w:sz w:val="24"/>
              </w:rPr>
              <w:t xml:space="preserve">goditev vrednosti na ravni kategorije. </w:t>
            </w:r>
          </w:p>
          <w:p w:rsidR="00973707" w:rsidRPr="00584165" w:rsidRDefault="00973707" w:rsidP="00130EEF">
            <w:pPr>
              <w:spacing w:beforeLines="60" w:before="144" w:afterLines="60" w:after="144"/>
              <w:rPr>
                <w:rFonts w:ascii="Times New Roman" w:hAnsi="Times New Roman"/>
                <w:sz w:val="24"/>
              </w:rPr>
            </w:pPr>
            <w:r>
              <w:rPr>
                <w:rFonts w:ascii="Times New Roman" w:hAnsi="Times New Roman"/>
                <w:sz w:val="24"/>
              </w:rPr>
              <w:t>Stolpca 0130 in 0140: absolutna vrednost sredstev in obveznosti po pošteni vre</w:t>
            </w:r>
            <w:r>
              <w:rPr>
                <w:rFonts w:ascii="Times New Roman" w:hAnsi="Times New Roman"/>
                <w:sz w:val="24"/>
              </w:rPr>
              <w:t>d</w:t>
            </w:r>
            <w:r>
              <w:rPr>
                <w:rFonts w:ascii="Times New Roman" w:hAnsi="Times New Roman"/>
                <w:sz w:val="24"/>
              </w:rPr>
              <w:t>nosti, vključena v obseg izračuna dodatnih prilagoditev vrednosti za nerealizirane kreditne razmike. Za namene izračuna te dodatne prilagoditve vrednosti se naspr</w:t>
            </w:r>
            <w:r>
              <w:rPr>
                <w:rFonts w:ascii="Times New Roman" w:hAnsi="Times New Roman"/>
                <w:sz w:val="24"/>
              </w:rPr>
              <w:t>o</w:t>
            </w:r>
            <w:r>
              <w:rPr>
                <w:rFonts w:ascii="Times New Roman" w:hAnsi="Times New Roman"/>
                <w:sz w:val="24"/>
              </w:rPr>
              <w:t>tna sredstva in obveznosti po pošteni vrednosti, ki se popolnoma ujemajo, izklj</w:t>
            </w:r>
            <w:r>
              <w:rPr>
                <w:rFonts w:ascii="Times New Roman" w:hAnsi="Times New Roman"/>
                <w:sz w:val="24"/>
              </w:rPr>
              <w:t>u</w:t>
            </w:r>
            <w:r>
              <w:rPr>
                <w:rFonts w:ascii="Times New Roman" w:hAnsi="Times New Roman"/>
                <w:sz w:val="24"/>
              </w:rPr>
              <w:t>čena iz izračuna praga v skladu s členom 4(2) Delegirane uredbe (EU) 2016/101 o preudarnem vrednotenju, ne smejo več obravnavati kot nasprotna in popolnoma ujemajoča.</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87" w:type="dxa"/>
            <w:shd w:val="clear" w:color="auto" w:fill="auto"/>
          </w:tcPr>
          <w:p w:rsidR="00973707" w:rsidRPr="0058416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OD TEGA: DODATNA PRILAGODITEV VREDNOSTI ZA STROŠKE INVESTIRANJA IN FINANCIRANJA </w:t>
            </w:r>
          </w:p>
          <w:p w:rsidR="00973707" w:rsidRPr="00584165" w:rsidRDefault="00973707" w:rsidP="00AF3D7A">
            <w:pPr>
              <w:spacing w:beforeLines="60" w:before="144" w:afterLines="60" w:after="144"/>
              <w:rPr>
                <w:rFonts w:ascii="Times New Roman" w:hAnsi="Times New Roman"/>
                <w:caps/>
                <w:sz w:val="24"/>
                <w:u w:val="single"/>
              </w:rPr>
            </w:pPr>
            <w:r>
              <w:rPr>
                <w:rFonts w:ascii="Times New Roman" w:hAnsi="Times New Roman"/>
                <w:sz w:val="24"/>
              </w:rPr>
              <w:t>Člen 105(10) CRR, člen 17 Delegirane uredbe (EU) 2016/101 o preudarnem vre</w:t>
            </w:r>
            <w:r>
              <w:rPr>
                <w:rFonts w:ascii="Times New Roman" w:hAnsi="Times New Roman"/>
                <w:sz w:val="24"/>
              </w:rPr>
              <w:t>d</w:t>
            </w:r>
            <w:r>
              <w:rPr>
                <w:rFonts w:ascii="Times New Roman" w:hAnsi="Times New Roman"/>
                <w:sz w:val="24"/>
              </w:rPr>
              <w:t>notenju.</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Skupna dodatna prilagoditev vrednosti za stroške investiranja in financiranja in njena razporeditev med dodatno prilagoditev vrednosti za nestabilnost tržnih cen, dodatno prilagoditev vrednosti za stroške zapiranja pozicij ali dodatno prilagoditev vrednosti za tveganje, povezano z uporabo modela, v skladu s členom 13 Deleg</w:t>
            </w:r>
            <w:r>
              <w:rPr>
                <w:rFonts w:ascii="Times New Roman" w:hAnsi="Times New Roman"/>
                <w:sz w:val="24"/>
              </w:rPr>
              <w:t>i</w:t>
            </w:r>
            <w:r>
              <w:rPr>
                <w:rFonts w:ascii="Times New Roman" w:hAnsi="Times New Roman"/>
                <w:sz w:val="24"/>
              </w:rPr>
              <w:t xml:space="preserve">rane uredbe (EU) 2016/101 o preudarnem vrednotenju. </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Stolpec 0110: skupna dodatna prilagoditev vrednosti se navede zgolj za informac</w:t>
            </w:r>
            <w:r>
              <w:rPr>
                <w:rFonts w:ascii="Times New Roman" w:hAnsi="Times New Roman"/>
                <w:sz w:val="24"/>
              </w:rPr>
              <w:t>i</w:t>
            </w:r>
            <w:r>
              <w:rPr>
                <w:rFonts w:ascii="Times New Roman" w:hAnsi="Times New Roman"/>
                <w:sz w:val="24"/>
              </w:rPr>
              <w:t>jo, ker njena razporeditev med dodatno prilagoditev vrednosti za nestabilnost tr</w:t>
            </w:r>
            <w:r>
              <w:rPr>
                <w:rFonts w:ascii="Times New Roman" w:hAnsi="Times New Roman"/>
                <w:sz w:val="24"/>
              </w:rPr>
              <w:t>ž</w:t>
            </w:r>
            <w:r>
              <w:rPr>
                <w:rFonts w:ascii="Times New Roman" w:hAnsi="Times New Roman"/>
                <w:sz w:val="24"/>
              </w:rPr>
              <w:t>nih cen, dodatno prilagoditev vrednosti za stroške zapiranja pozicij ali dodatno pr</w:t>
            </w:r>
            <w:r>
              <w:rPr>
                <w:rFonts w:ascii="Times New Roman" w:hAnsi="Times New Roman"/>
                <w:sz w:val="24"/>
              </w:rPr>
              <w:t>i</w:t>
            </w:r>
            <w:r>
              <w:rPr>
                <w:rFonts w:ascii="Times New Roman" w:hAnsi="Times New Roman"/>
                <w:sz w:val="24"/>
              </w:rPr>
              <w:t>lagoditev vrednosti za tveganje, povezano z uporabo modela, privede do njene vključitve – po upoštevanju koristi zaradi razpršitve – v relevantno dodatno pril</w:t>
            </w:r>
            <w:r>
              <w:rPr>
                <w:rFonts w:ascii="Times New Roman" w:hAnsi="Times New Roman"/>
                <w:sz w:val="24"/>
              </w:rPr>
              <w:t>a</w:t>
            </w:r>
            <w:r>
              <w:rPr>
                <w:rFonts w:ascii="Times New Roman" w:hAnsi="Times New Roman"/>
                <w:sz w:val="24"/>
              </w:rPr>
              <w:t xml:space="preserve">goditev vrednosti na ravni kategorije. </w:t>
            </w:r>
          </w:p>
          <w:p w:rsidR="00973707" w:rsidRPr="00584165" w:rsidRDefault="00973707" w:rsidP="00130EEF">
            <w:pPr>
              <w:spacing w:beforeLines="60" w:before="144" w:afterLines="60" w:after="144"/>
              <w:rPr>
                <w:rFonts w:ascii="Times New Roman" w:hAnsi="Times New Roman"/>
                <w:sz w:val="24"/>
              </w:rPr>
            </w:pPr>
            <w:r>
              <w:rPr>
                <w:rFonts w:ascii="Times New Roman" w:hAnsi="Times New Roman"/>
                <w:sz w:val="24"/>
              </w:rPr>
              <w:t>Stolpca 0130 in 0140: absolutna vrednost sredstev in obveznosti po pošteni vre</w:t>
            </w:r>
            <w:r>
              <w:rPr>
                <w:rFonts w:ascii="Times New Roman" w:hAnsi="Times New Roman"/>
                <w:sz w:val="24"/>
              </w:rPr>
              <w:t>d</w:t>
            </w:r>
            <w:r>
              <w:rPr>
                <w:rFonts w:ascii="Times New Roman" w:hAnsi="Times New Roman"/>
                <w:sz w:val="24"/>
              </w:rPr>
              <w:t>nosti, vključena v obseg izračuna dodatne prilagoditve vrednosti za stroške inve</w:t>
            </w:r>
            <w:r>
              <w:rPr>
                <w:rFonts w:ascii="Times New Roman" w:hAnsi="Times New Roman"/>
                <w:sz w:val="24"/>
              </w:rPr>
              <w:t>s</w:t>
            </w:r>
            <w:r>
              <w:rPr>
                <w:rFonts w:ascii="Times New Roman" w:hAnsi="Times New Roman"/>
                <w:sz w:val="24"/>
              </w:rPr>
              <w:t>tiranja in financiranja. Za namene izračuna te dodatne prilagoditve vrednosti se nasprotna sredstva in obveznosti po pošteni vrednosti, ki se popolnoma ujemajo, izključena iz izračuna praga v skladu s členom 4(2) Delegirane uredbe (EU) 2016/101 o preudarnem vrednotenju, ne smejo več obravnavati kot nasprotna in popolnoma ujemajoča.</w:t>
            </w:r>
          </w:p>
        </w:tc>
      </w:tr>
      <w:tr w:rsidR="00973707" w:rsidRPr="009A7A38" w:rsidTr="00672D2A">
        <w:tc>
          <w:tcPr>
            <w:tcW w:w="1101" w:type="dxa"/>
          </w:tcPr>
          <w:p w:rsidR="00973707" w:rsidRPr="00995B12"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OD TEGA: DODATNA PRILAGODITEV VREDNOSTI, OCENJENA Z VREDNOSTJO NIČ V SKLADU S ČLENOM 9(2)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Absolutna vrednost sredstev in obveznosti po pošteni vrednosti, ki ustrezajo izpo</w:t>
            </w:r>
            <w:r>
              <w:rPr>
                <w:rFonts w:ascii="Times New Roman" w:hAnsi="Times New Roman"/>
                <w:sz w:val="24"/>
              </w:rPr>
              <w:t>s</w:t>
            </w:r>
            <w:r>
              <w:rPr>
                <w:rFonts w:ascii="Times New Roman" w:hAnsi="Times New Roman"/>
                <w:sz w:val="24"/>
              </w:rPr>
              <w:t>tavljenostim vrednotenja, pri katerih je ocenjena dodatna prilagoditev vrednosti nič v skladu s členom 9(2) Delegirane uredbe (EU) 2016/101 o preudarnem vre</w:t>
            </w:r>
            <w:r>
              <w:rPr>
                <w:rFonts w:ascii="Times New Roman" w:hAnsi="Times New Roman"/>
                <w:sz w:val="24"/>
              </w:rPr>
              <w:t>d</w:t>
            </w:r>
            <w:r>
              <w:rPr>
                <w:rFonts w:ascii="Times New Roman" w:hAnsi="Times New Roman"/>
                <w:sz w:val="24"/>
              </w:rPr>
              <w:t xml:space="preserve">notenju. </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OD TEGA: DODATNA PRILAGODITEV VREDNOSTI, OCENJENA Z VREDNOSTJO NIČ V SKLADU S ČLENOM 10(2) IN 10(3)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Absolutna vrednost sredstev in obveznosti po pošteni vrednosti, ki ustrezajo izpo</w:t>
            </w:r>
            <w:r>
              <w:rPr>
                <w:rFonts w:ascii="Times New Roman" w:hAnsi="Times New Roman"/>
                <w:sz w:val="24"/>
              </w:rPr>
              <w:t>s</w:t>
            </w:r>
            <w:r>
              <w:rPr>
                <w:rFonts w:ascii="Times New Roman" w:hAnsi="Times New Roman"/>
                <w:sz w:val="24"/>
              </w:rPr>
              <w:t>tavljenostim vrednotenja, pri katerih je ocenjena dodatna prilagoditev vrednosti nič v skladu s členoma 10(2) in 10(3) Delegirane uredbe (EU) 2016/101 o pre</w:t>
            </w:r>
            <w:r>
              <w:rPr>
                <w:rFonts w:ascii="Times New Roman" w:hAnsi="Times New Roman"/>
                <w:sz w:val="24"/>
              </w:rPr>
              <w:t>u</w:t>
            </w:r>
            <w:r>
              <w:rPr>
                <w:rFonts w:ascii="Times New Roman" w:hAnsi="Times New Roman"/>
                <w:sz w:val="24"/>
              </w:rPr>
              <w:lastRenderedPageBreak/>
              <w:t>darnem vrednotenju.</w:t>
            </w:r>
          </w:p>
        </w:tc>
      </w:tr>
      <w:tr w:rsidR="00973707" w:rsidRPr="009A7A38" w:rsidTr="00672D2A">
        <w:tc>
          <w:tcPr>
            <w:tcW w:w="1101" w:type="dxa"/>
          </w:tcPr>
          <w:p w:rsidR="00973707" w:rsidRPr="005D591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0090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OBRESTNO TVEGANJE</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VALUTNO TVEGANJE</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KREDITNO TVEGANJE</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TVEGANJE V LASTNIŠKIH FINANČNIH INSTRUMENTIH</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TVEGANJE SPREMEMBE CEN BLAGA</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rsidR="00973707" w:rsidRPr="005D5914"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Koristi zaradi razpršitve</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Skupna korist zaradi razpršitve. Vsota vrstic 0150 in 0160.</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Koristi zaradi razpršitve, izračunane z uporabo metode 1</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Za tiste kategorije dodatnih prilagoditev vrednosti, združene na podlagi metode 1 v skladu s členi 9(6), 10(7) in 11(6) Delegirane uredbe (EU) 2016/101 o preuda</w:t>
            </w:r>
            <w:r>
              <w:rPr>
                <w:rFonts w:ascii="Times New Roman" w:hAnsi="Times New Roman"/>
                <w:sz w:val="24"/>
              </w:rPr>
              <w:t>r</w:t>
            </w:r>
            <w:r>
              <w:rPr>
                <w:rFonts w:ascii="Times New Roman" w:hAnsi="Times New Roman"/>
                <w:sz w:val="24"/>
              </w:rPr>
              <w:t>nem vrednotenju, razlika med vsoto posameznih dodatnih prilagoditev vrednosti in skupno dodatno prilagoditvijo vrednosti na ravni kategorije po prilagoditvi za združevanje.</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Koristi zaradi razpršitve, izračunane z uporabo metode 2</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Za tiste kategorije dodatnih prilagoditev vrednosti, združene na podlagi metode 2 v skladu s členi 9(6), 10(7) in 11(6) Delegirane uredbe (EU) 2016/101 o preuda</w:t>
            </w:r>
            <w:r>
              <w:rPr>
                <w:rFonts w:ascii="Times New Roman" w:hAnsi="Times New Roman"/>
                <w:sz w:val="24"/>
              </w:rPr>
              <w:t>r</w:t>
            </w:r>
            <w:r>
              <w:rPr>
                <w:rFonts w:ascii="Times New Roman" w:hAnsi="Times New Roman"/>
                <w:sz w:val="24"/>
              </w:rPr>
              <w:t>nem vrednotenju, razlika med vsoto posameznih dodatnih prilagoditev vrednosti in skupno dodatno prilagoditvijo vrednosti na ravni kategorije po prilagoditvi za združevanje.</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Pojasnjevalna postavka: dodatne prilagoditve vrednosti pred razpršitvijo, zmanjšane za več kot 90 % z razpršitvijo po metodi 2</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V terminologiji metode 2 je to vsota FV – PV za vse izpostavljenosti vrednotenja, pri katerih je APVA &lt; 10 % (FV – PV).</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Portfelji, izračunani z nadomestnim pristopom</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Člen 7(2)(b) Delegirane uredbe (EU) 2016/101 o preudarnem vrednotenju.</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Za portfelje, za katere se uporablja nadomestni pristop v skladu s členom 7(2)(b) Delegirane uredbe (EU) 2016/101 o preudarnem vrednotenju, se skupna dodatna prilagoditev vrednosti izračuna kot vsota vrstic 0190, 0200 in 0210.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Relevantne bilančne in druge spremne informacije se zagotovijo v stolpcih 0130–0260. V stolpcu 0270 se zagotovi opis pozicij in razloga, zaradi katerega ni bilo mogoče uporabiti členov 9 do 17 Delegirane uredbe (EU) 2016/101 o preudarnem </w:t>
            </w:r>
            <w:r>
              <w:rPr>
                <w:rFonts w:ascii="Times New Roman" w:hAnsi="Times New Roman"/>
                <w:sz w:val="24"/>
              </w:rPr>
              <w:lastRenderedPageBreak/>
              <w:t xml:space="preserve">vrednotenju. </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0190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Nadomestni pristop; 100 % nerealiziranega dobička</w:t>
            </w:r>
          </w:p>
          <w:p w:rsidR="00973707" w:rsidRPr="00DD41BE" w:rsidRDefault="00973707" w:rsidP="009A7A38">
            <w:pPr>
              <w:spacing w:beforeLines="60" w:before="144" w:afterLines="60" w:after="144"/>
              <w:rPr>
                <w:rFonts w:ascii="Times New Roman" w:hAnsi="Times New Roman"/>
                <w:sz w:val="24"/>
              </w:rPr>
            </w:pPr>
            <w:r>
              <w:rPr>
                <w:rFonts w:ascii="Times New Roman" w:hAnsi="Times New Roman"/>
                <w:sz w:val="24"/>
              </w:rPr>
              <w:t>Člen 7(2)(b)(i) Delegirane uredbe (EU) 2016/101 o preudarnem vrednotenju.</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Nadomestni pristop; 10 % teoretične vrednosti</w:t>
            </w:r>
          </w:p>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Člen 7(2)(b)(</w:t>
            </w:r>
            <w:proofErr w:type="spellStart"/>
            <w:r>
              <w:rPr>
                <w:rFonts w:ascii="Times New Roman" w:hAnsi="Times New Roman"/>
                <w:sz w:val="24"/>
              </w:rPr>
              <w:t>ii</w:t>
            </w:r>
            <w:proofErr w:type="spellEnd"/>
            <w:r>
              <w:rPr>
                <w:rFonts w:ascii="Times New Roman" w:hAnsi="Times New Roman"/>
                <w:sz w:val="24"/>
              </w:rPr>
              <w:t>) Delegirane uredbe (EU) 2016/101 o preudarnem vrednotenju.</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Nadomestni pristop; 25 % vrednosti ob sklenitvi</w:t>
            </w:r>
          </w:p>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Člen 7(2)(b)(</w:t>
            </w:r>
            <w:proofErr w:type="spellStart"/>
            <w:r>
              <w:rPr>
                <w:rFonts w:ascii="Times New Roman" w:hAnsi="Times New Roman"/>
                <w:sz w:val="24"/>
              </w:rPr>
              <w:t>iii</w:t>
            </w:r>
            <w:proofErr w:type="spellEnd"/>
            <w:r>
              <w:rPr>
                <w:rFonts w:ascii="Times New Roman" w:hAnsi="Times New Roman"/>
                <w:sz w:val="24"/>
              </w:rPr>
              <w:t>) Delegirane uredbe (EU) 2016/101 o preudarnem vrednotenju.</w:t>
            </w:r>
          </w:p>
        </w:tc>
      </w:tr>
    </w:tbl>
    <w:p w:rsidR="00973707" w:rsidRDefault="00973707" w:rsidP="00C61FF5">
      <w:pPr>
        <w:rPr>
          <w:rStyle w:val="InstructionsTabelleText"/>
          <w:rFonts w:ascii="Times New Roman" w:hAnsi="Times New Roman"/>
          <w:sz w:val="24"/>
        </w:rPr>
      </w:pPr>
    </w:p>
    <w:p w:rsidR="00B93FA1" w:rsidRPr="00672D2A" w:rsidRDefault="00AF3D7A" w:rsidP="00B93FA1">
      <w:pPr>
        <w:pStyle w:val="Instructionsberschrift2"/>
        <w:numPr>
          <w:ilvl w:val="0"/>
          <w:numId w:val="0"/>
        </w:numPr>
        <w:ind w:left="357" w:hanging="357"/>
        <w:rPr>
          <w:rFonts w:ascii="Times New Roman" w:hAnsi="Times New Roman"/>
          <w:sz w:val="24"/>
          <w:u w:val="none"/>
        </w:rPr>
      </w:pPr>
      <w:bookmarkStart w:id="788" w:name="_Toc516210713"/>
      <w:bookmarkStart w:id="789" w:name="_Toc523474462"/>
      <w:r>
        <w:rPr>
          <w:rFonts w:ascii="Times New Roman" w:hAnsi="Times New Roman"/>
          <w:sz w:val="24"/>
          <w:u w:val="none"/>
        </w:rPr>
        <w:t xml:space="preserve">6.3. </w:t>
      </w:r>
      <w:r>
        <w:rPr>
          <w:rFonts w:ascii="Times New Roman" w:hAnsi="Times New Roman"/>
          <w:sz w:val="24"/>
        </w:rPr>
        <w:t>C 32.03 – Preudarno vrednotenje: Dodatna prilagoditev vrednosti za tveganje, povezano z uporabo modela (</w:t>
      </w:r>
      <w:proofErr w:type="spellStart"/>
      <w:r>
        <w:rPr>
          <w:rFonts w:ascii="Times New Roman" w:hAnsi="Times New Roman"/>
          <w:sz w:val="24"/>
        </w:rPr>
        <w:t>PruVal</w:t>
      </w:r>
      <w:proofErr w:type="spellEnd"/>
      <w:r>
        <w:rPr>
          <w:rFonts w:ascii="Times New Roman" w:hAnsi="Times New Roman"/>
          <w:sz w:val="24"/>
        </w:rPr>
        <w:t> 3)</w:t>
      </w:r>
      <w:bookmarkEnd w:id="788"/>
      <w:bookmarkEnd w:id="789"/>
    </w:p>
    <w:p w:rsidR="00B93FA1" w:rsidRPr="00AF3D7A" w:rsidRDefault="00B93FA1" w:rsidP="00B93FA1">
      <w:pPr>
        <w:pStyle w:val="Instructionsberschrift2"/>
        <w:numPr>
          <w:ilvl w:val="0"/>
          <w:numId w:val="0"/>
        </w:numPr>
        <w:ind w:left="357" w:hanging="357"/>
        <w:rPr>
          <w:rFonts w:ascii="Times New Roman" w:hAnsi="Times New Roman" w:cs="Times New Roman"/>
          <w:sz w:val="24"/>
          <w:u w:val="none"/>
        </w:rPr>
      </w:pPr>
      <w:bookmarkStart w:id="790" w:name="_Toc516210714"/>
      <w:bookmarkStart w:id="791" w:name="_Toc523474463"/>
      <w:r>
        <w:rPr>
          <w:rFonts w:ascii="Times New Roman" w:hAnsi="Times New Roman"/>
          <w:sz w:val="24"/>
          <w:u w:val="none"/>
        </w:rPr>
        <w:t>6.3.1.</w:t>
      </w:r>
      <w:r w:rsidR="003F40E8" w:rsidRPr="003F40E8">
        <w:rPr>
          <w:u w:val="none"/>
        </w:rPr>
        <w:tab/>
      </w:r>
      <w:r>
        <w:rPr>
          <w:rFonts w:ascii="Times New Roman" w:hAnsi="Times New Roman"/>
          <w:sz w:val="24"/>
        </w:rPr>
        <w:t>Splošne opombe</w:t>
      </w:r>
      <w:bookmarkEnd w:id="790"/>
      <w:bookmarkEnd w:id="791"/>
      <w:r>
        <w:rPr>
          <w:rFonts w:ascii="Times New Roman" w:hAnsi="Times New Roman"/>
          <w:sz w:val="24"/>
          <w:u w:val="none"/>
        </w:rPr>
        <w:t xml:space="preserve"> </w:t>
      </w:r>
    </w:p>
    <w:p w:rsidR="00AF3D7A" w:rsidRPr="00DD41BE" w:rsidRDefault="00AF3D7A" w:rsidP="001A3980">
      <w:pPr>
        <w:pStyle w:val="InstructionsText2"/>
        <w:numPr>
          <w:ilvl w:val="0"/>
          <w:numId w:val="0"/>
        </w:numPr>
        <w:ind w:left="993"/>
      </w:pPr>
      <w:r>
        <w:t>154f. To predlogo izpolnijo samo institucije, ki presegajo prag iz člena 4(1) Deleg</w:t>
      </w:r>
      <w:r>
        <w:t>i</w:t>
      </w:r>
      <w:r>
        <w:t>rane uredbe (EU) 2016/101 o preudarnem vrednotenju na svoji ravni. Institucije, ki so del skupine, ki presega prag na konsolidirani ravni, morajo poročati to predlogo samo, če presegajo prag tudi na svoji ravni.</w:t>
      </w:r>
    </w:p>
    <w:p w:rsidR="00AF3D7A" w:rsidRPr="00DD41BE" w:rsidRDefault="00AF3D7A" w:rsidP="001A3980">
      <w:pPr>
        <w:pStyle w:val="InstructionsText2"/>
        <w:numPr>
          <w:ilvl w:val="0"/>
          <w:numId w:val="0"/>
        </w:numPr>
        <w:ind w:left="993"/>
      </w:pPr>
      <w:r>
        <w:t>154g. Ta predloga se uporablja za poročanje podrobnosti o 20 največjih posame</w:t>
      </w:r>
      <w:r>
        <w:t>z</w:t>
      </w:r>
      <w:r>
        <w:t>nih dodatnih prilagoditvah vrednosti za tveganje, povezano z uporabo modela, v smislu zneska dodatne prilagoditve vrednosti, ki prispevajo k skupni dodatni pril</w:t>
      </w:r>
      <w:r>
        <w:t>a</w:t>
      </w:r>
      <w:r>
        <w:t>goditvi vrednosti za tveganje, povezano z uporabo modela, na ravni kategorije v skladu s členom 11 Delegirane uredbe (EU) 2016/101 o preudarnem vrednotenju. Te informacije ustrezajo informacijam, sporočenim v stolpcu 0050 predloge C 32.02.</w:t>
      </w:r>
    </w:p>
    <w:p w:rsidR="00AF3D7A" w:rsidRPr="00DD41BE" w:rsidRDefault="00AF3D7A" w:rsidP="001A3980">
      <w:pPr>
        <w:pStyle w:val="InstructionsText2"/>
        <w:numPr>
          <w:ilvl w:val="0"/>
          <w:numId w:val="0"/>
        </w:numPr>
        <w:ind w:left="993"/>
      </w:pPr>
      <w:r>
        <w:t>154h. 20 največjih posameznih dodatnih prilagoditev vrednosti za tveganje, pov</w:t>
      </w:r>
      <w:r>
        <w:t>e</w:t>
      </w:r>
      <w:r>
        <w:t>zano z uporabo modela, se poroča v padajočem vrstnem redu, pri čemer se začne z največjo posamezno dodatno prilagoditvijo vrednosti za tveganje, povezano z up</w:t>
      </w:r>
      <w:r>
        <w:t>o</w:t>
      </w:r>
      <w:r>
        <w:t xml:space="preserve">rabo modela. </w:t>
      </w:r>
    </w:p>
    <w:p w:rsidR="00AF3D7A" w:rsidRDefault="00AF3D7A" w:rsidP="001A3980">
      <w:pPr>
        <w:pStyle w:val="InstructionsText2"/>
        <w:numPr>
          <w:ilvl w:val="0"/>
          <w:numId w:val="0"/>
        </w:numPr>
        <w:ind w:left="993"/>
      </w:pPr>
      <w:r>
        <w:t>154i. Produkti, ki ustrezajo tem največjim posameznim dodatnim prilagoditvam vrednosti za tveganje, povezano z uporabo modela, se poročajo z uporabo popisa produktov, ki ga zahteva člen 19(3)(a) Delegirane uredbe (EU) 2016/101 o pre</w:t>
      </w:r>
      <w:r>
        <w:t>u</w:t>
      </w:r>
      <w:r>
        <w:t xml:space="preserve">darnem vrednotenju. </w:t>
      </w:r>
    </w:p>
    <w:p w:rsidR="00AF3D7A" w:rsidRPr="004502C8" w:rsidRDefault="00113E45" w:rsidP="001A3980">
      <w:pPr>
        <w:pStyle w:val="InstructionsText2"/>
        <w:numPr>
          <w:ilvl w:val="0"/>
          <w:numId w:val="0"/>
        </w:numPr>
        <w:ind w:left="993"/>
      </w:pPr>
      <w:r>
        <w:t>154j. Če so produkti dovolj homogeni, kar zadeva model vrednotenja in dodatno prilagoditev vrednosti za tveganje, povezano z uporabo modela, se združijo in pr</w:t>
      </w:r>
      <w:r>
        <w:t>i</w:t>
      </w:r>
      <w:r>
        <w:t>kažejo v eni vrstici za namene čim večje pokritosti te predloge glede skupne doda</w:t>
      </w:r>
      <w:r>
        <w:t>t</w:t>
      </w:r>
      <w:r>
        <w:t>ne prilagoditve vrednosti za tveganje, povezano z uporabo modela, na ravni kateg</w:t>
      </w:r>
      <w:r>
        <w:t>o</w:t>
      </w:r>
      <w:r>
        <w:t>rije.</w:t>
      </w:r>
    </w:p>
    <w:p w:rsidR="00B93FA1" w:rsidRDefault="00B93FA1" w:rsidP="00B93FA1">
      <w:pPr>
        <w:pStyle w:val="Instructionsberschrift2"/>
        <w:numPr>
          <w:ilvl w:val="0"/>
          <w:numId w:val="0"/>
        </w:numPr>
        <w:ind w:left="357" w:hanging="357"/>
        <w:rPr>
          <w:rFonts w:ascii="Times New Roman" w:hAnsi="Times New Roman" w:cs="Times New Roman"/>
          <w:sz w:val="24"/>
        </w:rPr>
      </w:pPr>
      <w:bookmarkStart w:id="792" w:name="_Toc516210715"/>
      <w:bookmarkStart w:id="793" w:name="_Toc523474464"/>
      <w:r>
        <w:rPr>
          <w:rFonts w:ascii="Times New Roman" w:hAnsi="Times New Roman"/>
          <w:sz w:val="24"/>
          <w:u w:val="none"/>
        </w:rPr>
        <w:lastRenderedPageBreak/>
        <w:t>6.3.2.</w:t>
      </w:r>
      <w:r w:rsidR="003F40E8" w:rsidRPr="003F40E8">
        <w:rPr>
          <w:u w:val="none"/>
        </w:rPr>
        <w:tab/>
      </w:r>
      <w:r>
        <w:rPr>
          <w:rFonts w:ascii="Times New Roman" w:hAnsi="Times New Roman"/>
          <w:sz w:val="24"/>
        </w:rPr>
        <w:t>Navodila za posamezne pozicije</w:t>
      </w:r>
      <w:bookmarkEnd w:id="792"/>
      <w:bookmarkEnd w:id="793"/>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DD41BE" w:rsidTr="00672D2A">
        <w:tc>
          <w:tcPr>
            <w:tcW w:w="9322" w:type="dxa"/>
            <w:gridSpan w:val="2"/>
            <w:shd w:val="clear" w:color="auto" w:fill="CCCCCC"/>
          </w:tcPr>
          <w:p w:rsidR="00113E45" w:rsidRPr="005A2182" w:rsidRDefault="00113E45" w:rsidP="00E60B53">
            <w:pPr>
              <w:spacing w:beforeLines="60" w:before="144" w:afterLines="60" w:after="144"/>
              <w:rPr>
                <w:rFonts w:ascii="Times New Roman" w:hAnsi="Times New Roman"/>
                <w:b/>
                <w:sz w:val="24"/>
              </w:rPr>
            </w:pPr>
            <w:r>
              <w:rPr>
                <w:rFonts w:ascii="Times New Roman" w:hAnsi="Times New Roman"/>
                <w:b/>
                <w:sz w:val="24"/>
              </w:rPr>
              <w:t>Stolpci</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UVRSTITEV</w:t>
            </w:r>
          </w:p>
          <w:p w:rsidR="00113E45" w:rsidRPr="005A2182" w:rsidRDefault="00113E45" w:rsidP="00113E45">
            <w:pPr>
              <w:spacing w:beforeLines="60" w:before="144" w:afterLines="60" w:after="144"/>
              <w:rPr>
                <w:rFonts w:ascii="Times New Roman" w:hAnsi="Times New Roman"/>
                <w:b/>
                <w:sz w:val="24"/>
                <w:u w:val="single"/>
              </w:rPr>
            </w:pPr>
            <w:r>
              <w:rPr>
                <w:rFonts w:ascii="Times New Roman" w:hAnsi="Times New Roman"/>
                <w:sz w:val="24"/>
              </w:rPr>
              <w:t>Uvrstitev je identifikator vrstice in je enoznačna za vsako vrstico v tabeli. Sledi številčnemu zaporedju 1, 2, 3 itd., pri čemer se 1 pripiše najvišji posamezni doda</w:t>
            </w:r>
            <w:r>
              <w:rPr>
                <w:rFonts w:ascii="Times New Roman" w:hAnsi="Times New Roman"/>
                <w:sz w:val="24"/>
              </w:rPr>
              <w:t>t</w:t>
            </w:r>
            <w:r>
              <w:rPr>
                <w:rFonts w:ascii="Times New Roman" w:hAnsi="Times New Roman"/>
                <w:sz w:val="24"/>
              </w:rPr>
              <w:t>ni prilagoditvi vrednosti za tveganje, povezano z uporabo modela, 2 drugi najvišji in tako naprej.</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MODEL</w:t>
            </w:r>
          </w:p>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sz w:val="24"/>
              </w:rPr>
              <w:t>Interno ime (</w:t>
            </w:r>
            <w:proofErr w:type="spellStart"/>
            <w:r>
              <w:rPr>
                <w:rFonts w:ascii="Times New Roman" w:hAnsi="Times New Roman"/>
                <w:sz w:val="24"/>
              </w:rPr>
              <w:t>alfanumerično</w:t>
            </w:r>
            <w:proofErr w:type="spellEnd"/>
            <w:r>
              <w:rPr>
                <w:rFonts w:ascii="Times New Roman" w:hAnsi="Times New Roman"/>
                <w:sz w:val="24"/>
              </w:rPr>
              <w:t>) modela, ki ga institucija uporablja za identifikacijo modela.</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KATEGORIJA TVEGANJA</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Kategorija tveganja (obrestno tveganje, valutno tveganje, kreditno tveganje, tveg</w:t>
            </w:r>
            <w:r>
              <w:rPr>
                <w:rFonts w:ascii="Times New Roman" w:hAnsi="Times New Roman"/>
                <w:sz w:val="24"/>
              </w:rPr>
              <w:t>a</w:t>
            </w:r>
            <w:r>
              <w:rPr>
                <w:rFonts w:ascii="Times New Roman" w:hAnsi="Times New Roman"/>
                <w:sz w:val="24"/>
              </w:rPr>
              <w:t>nje v lastniških finančnih instrumentih in tveganje spremembe cen blaga), ki naju</w:t>
            </w:r>
            <w:r>
              <w:rPr>
                <w:rFonts w:ascii="Times New Roman" w:hAnsi="Times New Roman"/>
                <w:sz w:val="24"/>
              </w:rPr>
              <w:t>s</w:t>
            </w:r>
            <w:r>
              <w:rPr>
                <w:rFonts w:ascii="Times New Roman" w:hAnsi="Times New Roman"/>
                <w:sz w:val="24"/>
              </w:rPr>
              <w:t>trezneje označuje produkt ali skupino produktov, pri katerih je potrebna prilagod</w:t>
            </w:r>
            <w:r>
              <w:rPr>
                <w:rFonts w:ascii="Times New Roman" w:hAnsi="Times New Roman"/>
                <w:sz w:val="24"/>
              </w:rPr>
              <w:t>i</w:t>
            </w:r>
            <w:r>
              <w:rPr>
                <w:rFonts w:ascii="Times New Roman" w:hAnsi="Times New Roman"/>
                <w:sz w:val="24"/>
              </w:rPr>
              <w:t>tev vrednosti za tveganje, povezano z uporabo modela.</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Institucije sporočijo naslednje kode:</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IR – obrestno tveganje</w:t>
            </w:r>
          </w:p>
          <w:p w:rsidR="00A74B40" w:rsidRPr="00DD41BE" w:rsidRDefault="00A74B40" w:rsidP="00E60B53">
            <w:pPr>
              <w:spacing w:beforeLines="60" w:before="144" w:afterLines="60" w:after="144"/>
              <w:rPr>
                <w:rFonts w:ascii="Times New Roman" w:hAnsi="Times New Roman"/>
                <w:sz w:val="24"/>
              </w:rPr>
            </w:pPr>
            <w:r>
              <w:rPr>
                <w:rFonts w:ascii="Times New Roman" w:hAnsi="Times New Roman"/>
                <w:sz w:val="24"/>
              </w:rPr>
              <w:t>FX – valutno tveganje</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CR – kreditno tveganje</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EQ – tveganje v lastniških finančnih instrumentih</w:t>
            </w:r>
          </w:p>
          <w:p w:rsidR="00113E45" w:rsidRPr="00DD41BE" w:rsidRDefault="00113E45" w:rsidP="00A74B40">
            <w:pPr>
              <w:spacing w:beforeLines="60" w:before="144" w:afterLines="60" w:after="144"/>
              <w:rPr>
                <w:rFonts w:ascii="Times New Roman" w:hAnsi="Times New Roman"/>
                <w:sz w:val="24"/>
              </w:rPr>
            </w:pPr>
            <w:r>
              <w:rPr>
                <w:rFonts w:ascii="Times New Roman" w:hAnsi="Times New Roman"/>
                <w:sz w:val="24"/>
              </w:rPr>
              <w:t>CO – tveganje spremembe cen blaga</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0030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PRODUKT</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Interno ime (</w:t>
            </w:r>
            <w:proofErr w:type="spellStart"/>
            <w:r>
              <w:rPr>
                <w:rFonts w:ascii="Times New Roman" w:hAnsi="Times New Roman"/>
                <w:sz w:val="24"/>
              </w:rPr>
              <w:t>alfanumerično</w:t>
            </w:r>
            <w:proofErr w:type="spellEnd"/>
            <w:r>
              <w:rPr>
                <w:rFonts w:ascii="Times New Roman" w:hAnsi="Times New Roman"/>
                <w:sz w:val="24"/>
              </w:rPr>
              <w:t>) produkta ali skupine produktov v skladu s popisom produktov, ki se zahteva s členom 19(3)(a) Delegirane uredbe (EU) 2016/101 o preudarnem vrednotenju, ki se vrednoti z uporabo modela.</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0040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PREVERLJIVOST</w:t>
            </w:r>
          </w:p>
          <w:p w:rsidR="00113E45" w:rsidRPr="00DD41BE" w:rsidRDefault="00113E45" w:rsidP="00E60B53">
            <w:pPr>
              <w:pStyle w:val="CommentText"/>
              <w:rPr>
                <w:rFonts w:ascii="Times New Roman" w:hAnsi="Times New Roman"/>
                <w:sz w:val="24"/>
                <w:szCs w:val="24"/>
              </w:rPr>
            </w:pPr>
            <w:r>
              <w:rPr>
                <w:rFonts w:ascii="Times New Roman" w:hAnsi="Times New Roman"/>
                <w:sz w:val="24"/>
              </w:rPr>
              <w:t>Število opazovanih cen za produkt ali skupino produktov v zadnjih dvanajstih mesecih, ki izpolnjujejo katero koli od naslednjih meril:</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opazovana cena je cena, po kateri je institucija sklenila posel,</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gre za preverljivo ceno za dejanski posel med tretjimi osebami,</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cena je pridobljena iz zavezujoče ponudbe.</w:t>
            </w:r>
          </w:p>
          <w:p w:rsidR="00113E45" w:rsidRPr="00DD41BE"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rPr>
              <w:t>Institucije sporočijo eno od naslednjih vrednosti: „nič“, „1–6“, „6–24“, „24–100“, „100+“.</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0050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DODATNA PRILAGODITEV VREDNOSTI ZA TVEGANJE, POVEZANO </w:t>
            </w:r>
            <w:r>
              <w:rPr>
                <w:rStyle w:val="InstructionsTabelleberschrift"/>
                <w:rFonts w:ascii="Times New Roman" w:hAnsi="Times New Roman"/>
                <w:sz w:val="24"/>
              </w:rPr>
              <w:lastRenderedPageBreak/>
              <w:t>Z UPORABO MODELA</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11(1)</w:t>
            </w:r>
            <w:r>
              <w:rPr>
                <w:rFonts w:ascii="Times New Roman" w:hAnsi="Times New Roman"/>
                <w:sz w:val="24"/>
              </w:rPr>
              <w:t xml:space="preserve"> Delegirane uredbe (EU) 2016/101 o preudarnem vrednotenju.</w:t>
            </w:r>
            <w:r>
              <w:rPr>
                <w:rStyle w:val="InstructionsTabelleberschrift"/>
                <w:rFonts w:ascii="Times New Roman" w:hAnsi="Times New Roman"/>
                <w:b w:val="0"/>
                <w:sz w:val="24"/>
                <w:u w:val="none"/>
              </w:rPr>
              <w:t xml:space="preserve">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Posamezna dodatna prilagoditev vrednosti za tveganje, povezano z uporabo mod</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la, pred koristjo zaradi razpršitve, vendar po pobotu portfelja, kjer je relevantno.</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0060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TEGA: Z UPORABO PRISTOPA NA PODLAGI STROKOVNEGA MNENJA</w:t>
            </w:r>
          </w:p>
          <w:p w:rsidR="00113E45" w:rsidRPr="00DD41BE" w:rsidRDefault="00113E45" w:rsidP="00E60B53">
            <w:pPr>
              <w:spacing w:beforeLines="60" w:before="144" w:afterLines="60" w:after="144"/>
              <w:rPr>
                <w:rStyle w:val="InstructionsTabelleberschrift"/>
                <w:rFonts w:ascii="Times New Roman" w:hAnsi="Times New Roman"/>
                <w:sz w:val="24"/>
                <w:u w:val="none"/>
              </w:rPr>
            </w:pPr>
            <w:r>
              <w:rPr>
                <w:rFonts w:ascii="Times New Roman" w:hAnsi="Times New Roman"/>
                <w:sz w:val="24"/>
              </w:rPr>
              <w:t>Zneski v stolpcu 0050, ki so bili izračunani z uporabo pristopa na podlagi stroko</w:t>
            </w:r>
            <w:r>
              <w:rPr>
                <w:rFonts w:ascii="Times New Roman" w:hAnsi="Times New Roman"/>
                <w:sz w:val="24"/>
              </w:rPr>
              <w:t>v</w:t>
            </w:r>
            <w:r>
              <w:rPr>
                <w:rFonts w:ascii="Times New Roman" w:hAnsi="Times New Roman"/>
                <w:sz w:val="24"/>
              </w:rPr>
              <w:t>nega mnenja, kot je opredeljen v členu 11(4) Delegirane uredbe (EU) 2016/101 o preudarnem vrednotenju.</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TEGA: ZDRUŽENO Z UPORABO METODE 2</w:t>
            </w:r>
          </w:p>
          <w:p w:rsidR="00113E45" w:rsidRPr="00DD41BE" w:rsidRDefault="00113E45" w:rsidP="008136B4">
            <w:pPr>
              <w:spacing w:beforeLines="60" w:before="144" w:afterLines="60" w:after="144"/>
              <w:rPr>
                <w:rStyle w:val="InstructionsTabelleberschrift"/>
                <w:rFonts w:ascii="Times New Roman" w:hAnsi="Times New Roman"/>
                <w:sz w:val="24"/>
              </w:rPr>
            </w:pPr>
            <w:r>
              <w:rPr>
                <w:rFonts w:ascii="Times New Roman" w:hAnsi="Times New Roman"/>
                <w:sz w:val="24"/>
              </w:rPr>
              <w:t>Zneski v stolpcu 0050, ki so bili združeni z uporabo metode 2 iz Priloge k Deleg</w:t>
            </w:r>
            <w:r>
              <w:rPr>
                <w:rFonts w:ascii="Times New Roman" w:hAnsi="Times New Roman"/>
                <w:sz w:val="24"/>
              </w:rPr>
              <w:t>i</w:t>
            </w:r>
            <w:r>
              <w:rPr>
                <w:rFonts w:ascii="Times New Roman" w:hAnsi="Times New Roman"/>
                <w:sz w:val="24"/>
              </w:rPr>
              <w:t xml:space="preserve">rani uredbi (EU) 2016/101 o preudarnem vrednotenju. To ustreza „FV – PV“ v terminologiji Priloge.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ZDRUŽENA DODATNA PRILAGODITEV VREDNOSTI, IZRAČUNANA PO METODI 2</w:t>
            </w:r>
          </w:p>
          <w:p w:rsidR="00113E45" w:rsidRPr="00DD41BE" w:rsidRDefault="00113E45" w:rsidP="008136B4">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Prispevek posameznih dodatnih prilagoditev vrednosti za tveganje, povezano z uporabo modela, združenih z uporabo metode 2 iz Priloge k </w:t>
            </w:r>
            <w:r>
              <w:rPr>
                <w:rFonts w:ascii="Times New Roman" w:hAnsi="Times New Roman"/>
                <w:sz w:val="24"/>
              </w:rPr>
              <w:t>Delegirani uredbi (EU) 2016/101 o preudarnem vrednotenju,</w:t>
            </w:r>
            <w:r>
              <w:rPr>
                <w:rStyle w:val="InstructionsTabelleberschrift"/>
                <w:rFonts w:ascii="Times New Roman" w:hAnsi="Times New Roman"/>
                <w:b w:val="0"/>
                <w:sz w:val="24"/>
                <w:u w:val="none"/>
              </w:rPr>
              <w:t xml:space="preserve"> k skupni dodatni prilagoditvi vrednosti za tveganje, povezano z uporabo modela, na ravni kategorije, kot se izračuna v skladu s členom 11(7) </w:t>
            </w:r>
            <w:r>
              <w:rPr>
                <w:rFonts w:ascii="Times New Roman" w:hAnsi="Times New Roman"/>
                <w:sz w:val="24"/>
              </w:rPr>
              <w:t>Delegirane uredbe (EU) 2016/101 o preudarnem vrednote</w:t>
            </w:r>
            <w:r>
              <w:rPr>
                <w:rFonts w:ascii="Times New Roman" w:hAnsi="Times New Roman"/>
                <w:sz w:val="24"/>
              </w:rPr>
              <w:t>n</w:t>
            </w:r>
            <w:r>
              <w:rPr>
                <w:rFonts w:ascii="Times New Roman" w:hAnsi="Times New Roman"/>
                <w:sz w:val="24"/>
              </w:rPr>
              <w:t>ju</w:t>
            </w:r>
            <w:r>
              <w:rPr>
                <w:rStyle w:val="InstructionsTabelleberschrift"/>
                <w:rFonts w:ascii="Times New Roman" w:hAnsi="Times New Roman"/>
                <w:b w:val="0"/>
                <w:sz w:val="24"/>
                <w:u w:val="none"/>
              </w:rPr>
              <w:t xml:space="preserve">. </w:t>
            </w:r>
            <w:r>
              <w:rPr>
                <w:rFonts w:ascii="Times New Roman" w:hAnsi="Times New Roman"/>
                <w:sz w:val="24"/>
              </w:rPr>
              <w:t>To ustreza „APVA“ v terminologiji Priloge.</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0090–0100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SREDSTVA IN OBVEZNOSTI PO POŠTENI VREDNOSTI</w:t>
            </w:r>
          </w:p>
          <w:p w:rsidR="00113E45" w:rsidRPr="00DD41BE"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Absolutna vrednost sredstev in obveznosti po pošteni vrednosti, ovrednotenih z uporabo modela, sporočenega v stolpcu 0010, kot je navedena v računovodskih izkazih, pripravljenih v skladu z veljavnim računovodskim okvirom.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SREDSTVA PO POŠTENI VREDNOSTI</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Absolutna vrednost sredstev po pošteni vrednosti, ovrednotenih z uporabo modela, sporočenega v stolpcu 0010, kot je navedena v računovodskih izkazih, pripravlj</w:t>
            </w:r>
            <w:r>
              <w:rPr>
                <w:rFonts w:ascii="Times New Roman" w:hAnsi="Times New Roman"/>
                <w:sz w:val="24"/>
              </w:rPr>
              <w:t>e</w:t>
            </w:r>
            <w:r>
              <w:rPr>
                <w:rFonts w:ascii="Times New Roman" w:hAnsi="Times New Roman"/>
                <w:sz w:val="24"/>
              </w:rPr>
              <w:t>nih v skladu z veljavnim računovodskim okvirom</w:t>
            </w:r>
            <w:r>
              <w:rPr>
                <w:rStyle w:val="InstructionsTabelleberschrift"/>
                <w:rFonts w:ascii="Times New Roman" w:hAnsi="Times New Roman"/>
                <w:b w:val="0"/>
                <w:sz w:val="24"/>
                <w:u w:val="none"/>
              </w:rPr>
              <w:t>.</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0100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OBVEZNOSTI PO POŠTENI VREDNOSTI</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Absolutna vrednost obveznosti po pošteni vrednosti, ovrednotenih z uporabo modela, sporočenega v stolpcu 0010, kot je navedena v računovodskih izkazih, pripravljenih v skladu z veljavnim računovodskim okvirom.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RAZLIKA NA PODLAGI NPC (TESTIRANJE IZHODNIH PODATKOV)</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Vsota zneskov neprilagojenih razlik („razlika na podlagi NPC“), izračunana konec meseca, ki je najbližje datumu poročanja, v skladu s postopkom neodvisnega pr</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 xml:space="preserve">gleda cen (NPC), izvedenim v skladu s členom 105(8) CRR, glede na najboljše </w:t>
            </w:r>
            <w:r>
              <w:rPr>
                <w:rStyle w:val="InstructionsTabelleberschrift"/>
                <w:rFonts w:ascii="Times New Roman" w:hAnsi="Times New Roman"/>
                <w:b w:val="0"/>
                <w:sz w:val="24"/>
                <w:u w:val="none"/>
              </w:rPr>
              <w:lastRenderedPageBreak/>
              <w:t xml:space="preserve">razpoložljive neodvisne podatke za ustrezni produkt ali skupino produktov.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Zneski neprilagojenih razlik se nanašajo na neprilagojene razlike med vrednotenji, ki jih ustvari sistem trgovanja, in vrednotenji, določenimi med mesečnim posto</w:t>
            </w:r>
            <w:r>
              <w:rPr>
                <w:rStyle w:val="InstructionsTabelleberschrift"/>
                <w:rFonts w:ascii="Times New Roman" w:hAnsi="Times New Roman"/>
                <w:b w:val="0"/>
                <w:sz w:val="24"/>
                <w:u w:val="none"/>
              </w:rPr>
              <w:t>p</w:t>
            </w:r>
            <w:r>
              <w:rPr>
                <w:rStyle w:val="InstructionsTabelleberschrift"/>
                <w:rFonts w:ascii="Times New Roman" w:hAnsi="Times New Roman"/>
                <w:b w:val="0"/>
                <w:sz w:val="24"/>
                <w:u w:val="none"/>
              </w:rPr>
              <w:t>kom NPC.</w:t>
            </w:r>
          </w:p>
          <w:p w:rsidR="00113E45" w:rsidRPr="00DD41BE"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izračun razlike na podlagi NPC se ne vključijo zneski neprilagojenih razlik v poslovnih knjigah in evidencah institucije za datum konca zadevnega meseca.</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Tukaj se vključijo samo rezultati, ki so bili umerjeni na podlagi cen instrumentov, ki bi bile razporejene na isti produkt (testiranje izhodnih podatkov). Rezultati test</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ranja vhodnih podatkov na podlagi vhodnih tržnih podatkov, ki se testirajo glede na ravni, umerjene na podlagi drugačnih produktov, se ne vključijo.</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0120</w:t>
            </w:r>
          </w:p>
        </w:tc>
        <w:tc>
          <w:tcPr>
            <w:tcW w:w="8221" w:type="dxa"/>
          </w:tcPr>
          <w:p w:rsidR="00113E45" w:rsidRPr="00DD41BE"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POKRITOST Z NPC (TESTIRANJE IZHODNIH PODATKOV)</w:t>
            </w:r>
          </w:p>
          <w:p w:rsidR="00113E45" w:rsidRPr="00DD41BE"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Odstotek tistih pozicij, razporejenih na model, tehtan z dodatno prilagoditvijo vr</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dnosti za tveganje, povezano z uporabo modela, ki je pokrit z rezultati testiranja izhodnih podatkov NPC, navedenih v stolpcu 0110.</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0130–0140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PRILAGODITVE POŠTENE VREDNOSTI</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Prilagoditve poštene vrednosti, kot so opredeljene v stolpcih 0190 in 0240 predl</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 xml:space="preserve">ge C 32.02, ki so se uporabile za pozicije, razporejene na </w:t>
            </w:r>
            <w:r>
              <w:rPr>
                <w:rFonts w:ascii="Times New Roman" w:hAnsi="Times New Roman"/>
                <w:sz w:val="24"/>
              </w:rPr>
              <w:t>model iz stolpca 0010</w:t>
            </w:r>
            <w:r>
              <w:rPr>
                <w:rStyle w:val="InstructionsTabelleberschrift"/>
                <w:rFonts w:ascii="Times New Roman" w:hAnsi="Times New Roman"/>
                <w:b w:val="0"/>
                <w:sz w:val="24"/>
                <w:u w:val="none"/>
              </w:rPr>
              <w:t>.</w:t>
            </w:r>
          </w:p>
        </w:tc>
      </w:tr>
      <w:tr w:rsidR="00113E45" w:rsidRPr="00310F96"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DOBIČEK ALI IZGUBA NA PRVI DAN</w:t>
            </w:r>
          </w:p>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Prilagoditve, kot so opredeljene v stolpcu 0260 predloge C 32.02, ki so se uporab</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 xml:space="preserve">le za pozicije, razporejene na </w:t>
            </w:r>
            <w:r>
              <w:rPr>
                <w:rFonts w:ascii="Times New Roman" w:hAnsi="Times New Roman"/>
                <w:sz w:val="24"/>
              </w:rPr>
              <w:t>model iz stolpca 0010</w:t>
            </w:r>
            <w:r>
              <w:rPr>
                <w:rStyle w:val="InstructionsTabelleberschrift"/>
                <w:rFonts w:ascii="Times New Roman" w:hAnsi="Times New Roman"/>
                <w:b w:val="0"/>
                <w:sz w:val="24"/>
                <w:u w:val="none"/>
              </w:rPr>
              <w:t>.</w:t>
            </w:r>
          </w:p>
        </w:tc>
      </w:tr>
    </w:tbl>
    <w:p w:rsidR="00995A7F" w:rsidRDefault="00995A7F" w:rsidP="00C61FF5">
      <w:pPr>
        <w:rPr>
          <w:rStyle w:val="InstructionsTabelleText"/>
          <w:rFonts w:ascii="Times New Roman" w:hAnsi="Times New Roman"/>
          <w:sz w:val="24"/>
        </w:rPr>
      </w:pPr>
    </w:p>
    <w:p w:rsidR="00B93FA1" w:rsidRPr="000C5EA7" w:rsidRDefault="00113E45" w:rsidP="00B93FA1">
      <w:pPr>
        <w:pStyle w:val="Instructionsberschrift2"/>
        <w:numPr>
          <w:ilvl w:val="0"/>
          <w:numId w:val="0"/>
        </w:numPr>
        <w:ind w:left="357" w:hanging="357"/>
        <w:rPr>
          <w:rFonts w:ascii="Times New Roman" w:hAnsi="Times New Roman"/>
          <w:sz w:val="24"/>
          <w:u w:val="none"/>
        </w:rPr>
      </w:pPr>
      <w:bookmarkStart w:id="794" w:name="_Toc516210716"/>
      <w:bookmarkStart w:id="795" w:name="_Toc523474465"/>
      <w:r>
        <w:rPr>
          <w:rFonts w:ascii="Times New Roman" w:hAnsi="Times New Roman"/>
          <w:sz w:val="24"/>
          <w:u w:val="none"/>
        </w:rPr>
        <w:t xml:space="preserve">6.4 </w:t>
      </w:r>
      <w:r>
        <w:rPr>
          <w:rFonts w:ascii="Times New Roman" w:hAnsi="Times New Roman"/>
          <w:sz w:val="24"/>
        </w:rPr>
        <w:t>C 32.04 – Preudarno vrednotenje: Dodatna prilagoditev vrednosti za koncentracije pozicij (</w:t>
      </w:r>
      <w:proofErr w:type="spellStart"/>
      <w:r>
        <w:rPr>
          <w:rFonts w:ascii="Times New Roman" w:hAnsi="Times New Roman"/>
          <w:sz w:val="24"/>
        </w:rPr>
        <w:t>PruVal</w:t>
      </w:r>
      <w:proofErr w:type="spellEnd"/>
      <w:r>
        <w:rPr>
          <w:rFonts w:ascii="Times New Roman" w:hAnsi="Times New Roman"/>
          <w:sz w:val="24"/>
        </w:rPr>
        <w:t> 4)</w:t>
      </w:r>
      <w:bookmarkEnd w:id="794"/>
      <w:bookmarkEnd w:id="795"/>
    </w:p>
    <w:p w:rsidR="00B93FA1" w:rsidRDefault="00B93FA1" w:rsidP="00B93FA1">
      <w:pPr>
        <w:pStyle w:val="Instructionsberschrift2"/>
        <w:numPr>
          <w:ilvl w:val="0"/>
          <w:numId w:val="0"/>
        </w:numPr>
        <w:ind w:left="357" w:hanging="357"/>
        <w:rPr>
          <w:rFonts w:ascii="Times New Roman" w:hAnsi="Times New Roman" w:cs="Times New Roman"/>
          <w:sz w:val="24"/>
          <w:u w:val="none"/>
        </w:rPr>
      </w:pPr>
      <w:bookmarkStart w:id="796" w:name="_Toc516210717"/>
      <w:bookmarkStart w:id="797" w:name="_Toc523474466"/>
      <w:r>
        <w:rPr>
          <w:rFonts w:ascii="Times New Roman" w:hAnsi="Times New Roman"/>
          <w:sz w:val="24"/>
          <w:u w:val="none"/>
        </w:rPr>
        <w:t>6.4.1.</w:t>
      </w:r>
      <w:r w:rsidR="003F40E8" w:rsidRPr="003F40E8">
        <w:rPr>
          <w:u w:val="none"/>
        </w:rPr>
        <w:tab/>
      </w:r>
      <w:r>
        <w:rPr>
          <w:rFonts w:ascii="Times New Roman" w:hAnsi="Times New Roman"/>
          <w:sz w:val="24"/>
        </w:rPr>
        <w:t>Splošne opombe</w:t>
      </w:r>
      <w:bookmarkEnd w:id="796"/>
      <w:bookmarkEnd w:id="797"/>
      <w:r>
        <w:rPr>
          <w:rFonts w:ascii="Times New Roman" w:hAnsi="Times New Roman"/>
          <w:sz w:val="24"/>
          <w:u w:val="none"/>
        </w:rPr>
        <w:t xml:space="preserve"> </w:t>
      </w:r>
    </w:p>
    <w:p w:rsidR="00113E45" w:rsidRPr="00DD41BE" w:rsidRDefault="00113E45" w:rsidP="009068C9">
      <w:pPr>
        <w:pStyle w:val="InstructionsText2"/>
        <w:numPr>
          <w:ilvl w:val="0"/>
          <w:numId w:val="0"/>
        </w:numPr>
        <w:ind w:left="993"/>
      </w:pPr>
      <w:r>
        <w:t>154k. To predlogo izpolnijo samo institucije, ki presegajo prag iz člena 4(1) Deleg</w:t>
      </w:r>
      <w:r>
        <w:t>i</w:t>
      </w:r>
      <w:r>
        <w:t>rane uredbe (EU) 2016/101 o preudarnem vrednotenju na svoji ravni. Institucije, ki so del skupine, ki presega prag na konsolidirani ravni, poročajo to predlogo samo, če presegajo prag tudi na svoji ravni.</w:t>
      </w:r>
    </w:p>
    <w:p w:rsidR="00113E45" w:rsidRPr="00DD41BE" w:rsidRDefault="00113E45" w:rsidP="009068C9">
      <w:pPr>
        <w:pStyle w:val="InstructionsText2"/>
        <w:numPr>
          <w:ilvl w:val="0"/>
          <w:numId w:val="0"/>
        </w:numPr>
        <w:ind w:left="993"/>
      </w:pPr>
      <w:r>
        <w:t>154l. Ta predloga se uporablja za poročanje podrobnosti o 20 največjih posameznih dodatnih prilagoditvah vrednosti za koncentracije pozicij v smislu zneska dodatne prilagoditve vrednosti, ki prispevajo k skupni dodatni prilagoditvi vrednosti za ko</w:t>
      </w:r>
      <w:r>
        <w:t>n</w:t>
      </w:r>
      <w:r>
        <w:t>centracije pozicij na ravni kategorije v skladu s členom 14 Delegirane uredbe (EU) 2016/101 o preudarnem vrednotenju. Te informacije ustrezajo informacijam, spor</w:t>
      </w:r>
      <w:r>
        <w:t>o</w:t>
      </w:r>
      <w:r>
        <w:t xml:space="preserve">čenim v stolpcu 0070 predloge C 32.02. </w:t>
      </w:r>
    </w:p>
    <w:p w:rsidR="00113E45" w:rsidRPr="00DD41BE" w:rsidRDefault="00113E45" w:rsidP="009068C9">
      <w:pPr>
        <w:pStyle w:val="InstructionsText2"/>
        <w:numPr>
          <w:ilvl w:val="0"/>
          <w:numId w:val="0"/>
        </w:numPr>
        <w:ind w:left="993"/>
      </w:pPr>
      <w:r>
        <w:t>154m. 20 največjih dodatnih prilagoditev vrednosti za koncentracije pozicij se poroča v padajočem vrstnem redu, pri čemer se začne z največjo posamezno doda</w:t>
      </w:r>
      <w:r>
        <w:t>t</w:t>
      </w:r>
      <w:r>
        <w:t>no prilagoditvijo vrednosti za koncentracije pozicij.</w:t>
      </w:r>
    </w:p>
    <w:p w:rsidR="00113E45" w:rsidRPr="00DD41BE" w:rsidRDefault="00113E45" w:rsidP="009068C9">
      <w:pPr>
        <w:pStyle w:val="InstructionsText2"/>
        <w:numPr>
          <w:ilvl w:val="0"/>
          <w:numId w:val="0"/>
        </w:numPr>
        <w:ind w:left="993"/>
      </w:pPr>
      <w:r>
        <w:lastRenderedPageBreak/>
        <w:t>154n. Produkti, ki ustrezajo tem največjim posameznim dodatnim prilagoditvam vrednosti za koncentracije pozicij, se poročajo z uporabo popisa produktov, ki ga zahteva člen 19(3)(a) Delegirane uredbe (EU) 2016/101 o preudarnem vrednotenju.</w:t>
      </w:r>
    </w:p>
    <w:p w:rsidR="00113E45" w:rsidRPr="004502C8" w:rsidRDefault="00113E45" w:rsidP="009068C9">
      <w:pPr>
        <w:pStyle w:val="InstructionsText2"/>
        <w:numPr>
          <w:ilvl w:val="0"/>
          <w:numId w:val="0"/>
        </w:numPr>
        <w:ind w:left="993"/>
      </w:pPr>
      <w:r>
        <w:t>154o. Pozicije, ki so homogene v smislu metodologije izračuna dodatne prilagodi</w:t>
      </w:r>
      <w:r>
        <w:t>t</w:t>
      </w:r>
      <w:r>
        <w:t>ve vrednosti, se združijo, kjer je to mogoče, da se zagotovi čim večja pokritost te predloge.</w:t>
      </w: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798" w:name="_Toc516210718"/>
      <w:bookmarkStart w:id="799" w:name="_Toc523474467"/>
      <w:r>
        <w:rPr>
          <w:rFonts w:ascii="Times New Roman" w:hAnsi="Times New Roman"/>
          <w:sz w:val="24"/>
          <w:u w:val="none"/>
        </w:rPr>
        <w:t>6.4.2.</w:t>
      </w:r>
      <w:r w:rsidR="003F40E8" w:rsidRPr="003F40E8">
        <w:rPr>
          <w:u w:val="none"/>
        </w:rPr>
        <w:tab/>
      </w:r>
      <w:r>
        <w:rPr>
          <w:rFonts w:ascii="Times New Roman" w:hAnsi="Times New Roman"/>
          <w:sz w:val="24"/>
        </w:rPr>
        <w:t>Navodila za posamezne pozicije</w:t>
      </w:r>
      <w:bookmarkEnd w:id="798"/>
      <w:bookmarkEnd w:id="7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DD41BE" w:rsidTr="00672D2A">
        <w:tc>
          <w:tcPr>
            <w:tcW w:w="8856" w:type="dxa"/>
            <w:gridSpan w:val="2"/>
            <w:shd w:val="clear" w:color="auto" w:fill="CCCCCC"/>
          </w:tcPr>
          <w:p w:rsidR="00113E45" w:rsidRPr="005A2182" w:rsidRDefault="00113E45" w:rsidP="00E60B53">
            <w:pPr>
              <w:spacing w:beforeLines="60" w:before="144" w:afterLines="60" w:after="144"/>
              <w:rPr>
                <w:rFonts w:ascii="Times New Roman" w:hAnsi="Times New Roman"/>
                <w:b/>
                <w:sz w:val="24"/>
              </w:rPr>
            </w:pPr>
            <w:r>
              <w:rPr>
                <w:rFonts w:ascii="Times New Roman" w:hAnsi="Times New Roman"/>
                <w:b/>
                <w:sz w:val="24"/>
              </w:rPr>
              <w:t>Stolpci</w:t>
            </w:r>
          </w:p>
        </w:tc>
      </w:tr>
      <w:tr w:rsidR="00113E45" w:rsidRPr="00DD41BE" w:rsidTr="00672D2A">
        <w:tc>
          <w:tcPr>
            <w:tcW w:w="852" w:type="dxa"/>
          </w:tcPr>
          <w:p w:rsidR="00113E45" w:rsidRPr="005A2182"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UVRSTITEV</w:t>
            </w:r>
          </w:p>
          <w:p w:rsidR="00113E45" w:rsidRPr="00DD41BE" w:rsidDel="003016B5" w:rsidRDefault="00113E45" w:rsidP="00E60B53">
            <w:pPr>
              <w:spacing w:beforeLines="60" w:before="144" w:afterLines="60" w:after="144"/>
              <w:rPr>
                <w:rFonts w:ascii="Times New Roman" w:hAnsi="Times New Roman"/>
                <w:b/>
                <w:sz w:val="24"/>
                <w:u w:val="single"/>
              </w:rPr>
            </w:pPr>
            <w:r>
              <w:rPr>
                <w:rFonts w:ascii="Times New Roman" w:hAnsi="Times New Roman"/>
                <w:sz w:val="24"/>
              </w:rPr>
              <w:t>Uvrstitev je identifikator vrstice in je enoznačna za vsako vrstico v tabeli. Sledi številčnemu zaporedju 1, 2, 3 itd., pri čemer se 1 pripiše najvišji posamezni dodatni prilagoditvi vrednosti za koncentracije pozicij, 2 drugi najvišji in tako naprej.</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KATEGORIJA TVEGANJA</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Kategorija tveganja (obrestno tveganje, valutno tveganje, kreditno tveganje, tv</w:t>
            </w:r>
            <w:r>
              <w:rPr>
                <w:rFonts w:ascii="Times New Roman" w:hAnsi="Times New Roman"/>
                <w:sz w:val="24"/>
              </w:rPr>
              <w:t>e</w:t>
            </w:r>
            <w:r>
              <w:rPr>
                <w:rFonts w:ascii="Times New Roman" w:hAnsi="Times New Roman"/>
                <w:sz w:val="24"/>
              </w:rPr>
              <w:t>ganje v lastniških finančnih instrumentih in tveganje spremembe cen blaga), ki najustrezneje označuje pozicijo.</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Institucije sporočijo naslednje kode:</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IR – obrestno tveganje</w:t>
            </w:r>
          </w:p>
          <w:p w:rsidR="0022597E" w:rsidRPr="00DD41BE" w:rsidRDefault="0022597E" w:rsidP="00E60B53">
            <w:pPr>
              <w:spacing w:beforeLines="60" w:before="144" w:afterLines="60" w:after="144"/>
              <w:rPr>
                <w:rFonts w:ascii="Times New Roman" w:hAnsi="Times New Roman"/>
                <w:sz w:val="24"/>
              </w:rPr>
            </w:pPr>
            <w:r>
              <w:rPr>
                <w:rFonts w:ascii="Times New Roman" w:hAnsi="Times New Roman"/>
                <w:sz w:val="24"/>
              </w:rPr>
              <w:t>FX – valutno tveganje</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CR – kreditno tveganje</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EQ – tveganje v lastniških finančnih instrumentih</w:t>
            </w:r>
          </w:p>
          <w:p w:rsidR="00113E45" w:rsidRPr="00DD41BE" w:rsidRDefault="00113E45" w:rsidP="0022597E">
            <w:pPr>
              <w:spacing w:beforeLines="60" w:before="144" w:afterLines="60" w:after="144"/>
              <w:rPr>
                <w:rFonts w:ascii="Times New Roman" w:hAnsi="Times New Roman"/>
                <w:sz w:val="24"/>
              </w:rPr>
            </w:pPr>
            <w:r>
              <w:rPr>
                <w:rFonts w:ascii="Times New Roman" w:hAnsi="Times New Roman"/>
                <w:sz w:val="24"/>
              </w:rPr>
              <w:t>CO – tveganje spremembe cen blaga</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0020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PRODUKT </w:t>
            </w:r>
          </w:p>
          <w:p w:rsidR="00113E45" w:rsidRPr="00DD41BE" w:rsidRDefault="00113E45" w:rsidP="00DC09EA">
            <w:pPr>
              <w:spacing w:beforeLines="60" w:before="144" w:afterLines="60" w:after="144"/>
              <w:rPr>
                <w:rFonts w:ascii="Times New Roman" w:hAnsi="Times New Roman"/>
                <w:sz w:val="24"/>
              </w:rPr>
            </w:pPr>
            <w:r>
              <w:rPr>
                <w:rFonts w:ascii="Times New Roman" w:hAnsi="Times New Roman"/>
                <w:sz w:val="24"/>
              </w:rPr>
              <w:t>Interno ime produkta ali skupine produktov v skladu s popisom produktov, ki se zahteva s členom 19(3)(a) Delegirane uredbe (EU) 2016/101 o preudarnem vr</w:t>
            </w:r>
            <w:r>
              <w:rPr>
                <w:rFonts w:ascii="Times New Roman" w:hAnsi="Times New Roman"/>
                <w:sz w:val="24"/>
              </w:rPr>
              <w:t>e</w:t>
            </w:r>
            <w:r>
              <w:rPr>
                <w:rFonts w:ascii="Times New Roman" w:hAnsi="Times New Roman"/>
                <w:sz w:val="24"/>
              </w:rPr>
              <w:t>dnotenju.</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OSNOVA</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Interno ime osnove ali osnov v primeru izvedenih finančnih instrumentov ali instrumentov v primeru neizvedenih instrumentov.</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VELIKOST KONCENTRACIJE POZICIJ</w:t>
            </w:r>
          </w:p>
          <w:p w:rsidR="00113E45" w:rsidRPr="00DD41BE" w:rsidRDefault="00113E45" w:rsidP="00DC09E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Velikost posamezne koncentrirane pozicije vrednotenja, kot je določena v skladu s členom 14(1)(a) Delegirane uredbe (EU) 2016/101 o preudarnem vrednotenju, izražena v enoti, opisani v stolpcu 0050. </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0050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MERILO VELIKOSTI</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Enota merila velikosti, ki se uporablja interno kot del identifikacije koncentrir</w:t>
            </w:r>
            <w:r>
              <w:rPr>
                <w:rFonts w:ascii="Times New Roman" w:hAnsi="Times New Roman"/>
                <w:sz w:val="24"/>
              </w:rPr>
              <w:t>a</w:t>
            </w:r>
            <w:r>
              <w:rPr>
                <w:rFonts w:ascii="Times New Roman" w:hAnsi="Times New Roman"/>
                <w:sz w:val="24"/>
              </w:rPr>
              <w:t xml:space="preserve">ne pozicije vrednotenja za izračun velikosti koncentrirane pozicije vrednotenja iz stolpca 0040. </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V primeru pozicij v obveznicah ali lastniških instrumentih, sporočite enoto, </w:t>
            </w:r>
            <w:r>
              <w:rPr>
                <w:rFonts w:ascii="Times New Roman" w:hAnsi="Times New Roman"/>
                <w:sz w:val="24"/>
              </w:rPr>
              <w:t>ki se upravlja za notranje upravljanje tveganj</w:t>
            </w:r>
            <w:r>
              <w:rPr>
                <w:rStyle w:val="InstructionsTabelleberschrift"/>
                <w:rFonts w:ascii="Times New Roman" w:hAnsi="Times New Roman"/>
                <w:b w:val="0"/>
                <w:sz w:val="24"/>
                <w:u w:val="none"/>
              </w:rPr>
              <w:t>, kot so „število obveznic“, „število de</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 xml:space="preserve">nic“ ali „tržna vrednost“. </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V primeru pozicije v izvedenih finančnih instrumentih, sporočite enoto, ki se uporablja za notranje upravljanje tveganj, kot je „PV01; EUR pri vzporednem premiku na krivulji donosa za eno bazično točko“. </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0060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TRŽNA VREDNOST</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Tržna vrednost pozicije.</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PREUDARNO IZSTOPNO OBDOBJE</w:t>
            </w:r>
          </w:p>
          <w:p w:rsidR="00113E45" w:rsidRPr="00DD41BE" w:rsidRDefault="00113E45" w:rsidP="00DC09E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Preudarno izstopno obdobje v številu dni, ocenjeno v skladu s členom 14(1)(b) </w:t>
            </w:r>
            <w:r>
              <w:rPr>
                <w:rFonts w:ascii="Times New Roman" w:hAnsi="Times New Roman"/>
                <w:sz w:val="24"/>
              </w:rPr>
              <w:t>Delegirane uredbe (EU) 2016/101 o</w:t>
            </w:r>
            <w:r>
              <w:rPr>
                <w:rStyle w:val="InstructionsTabelleberschrift"/>
                <w:rFonts w:ascii="Times New Roman" w:hAnsi="Times New Roman"/>
                <w:b w:val="0"/>
                <w:sz w:val="24"/>
                <w:u w:val="none"/>
              </w:rPr>
              <w:t xml:space="preserve"> </w:t>
            </w:r>
            <w:r>
              <w:rPr>
                <w:rFonts w:ascii="Times New Roman" w:hAnsi="Times New Roman"/>
                <w:sz w:val="24"/>
              </w:rPr>
              <w:t>preudarnem vrednotenju</w:t>
            </w:r>
            <w:r>
              <w:rPr>
                <w:rStyle w:val="InstructionsTabelleberschrift"/>
                <w:rFonts w:ascii="Times New Roman" w:hAnsi="Times New Roman"/>
                <w:b w:val="0"/>
                <w:sz w:val="24"/>
                <w:u w:val="none"/>
              </w:rPr>
              <w:t>.</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DODATNA PRILAGODITEV VREDNOSTI ZA KONCENTRACIJE POZICIJ</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Znesek dodatne prilagoditve vrednosti za koncentracije pozicij, izračunan v skladu s členom 14(1) </w:t>
            </w:r>
            <w:r>
              <w:rPr>
                <w:rFonts w:ascii="Times New Roman" w:hAnsi="Times New Roman"/>
                <w:sz w:val="24"/>
              </w:rPr>
              <w:t>Delegirane uredbe (EU) 2016/101 o</w:t>
            </w:r>
            <w:r>
              <w:rPr>
                <w:rStyle w:val="InstructionsTabelleberschrift"/>
                <w:rFonts w:ascii="Times New Roman" w:hAnsi="Times New Roman"/>
                <w:b w:val="0"/>
                <w:sz w:val="24"/>
                <w:u w:val="none"/>
              </w:rPr>
              <w:t xml:space="preserve"> </w:t>
            </w:r>
            <w:r>
              <w:rPr>
                <w:rFonts w:ascii="Times New Roman" w:hAnsi="Times New Roman"/>
                <w:sz w:val="24"/>
              </w:rPr>
              <w:t>preudarnem vredn</w:t>
            </w:r>
            <w:r>
              <w:rPr>
                <w:rFonts w:ascii="Times New Roman" w:hAnsi="Times New Roman"/>
                <w:sz w:val="24"/>
              </w:rPr>
              <w:t>o</w:t>
            </w:r>
            <w:r>
              <w:rPr>
                <w:rFonts w:ascii="Times New Roman" w:hAnsi="Times New Roman"/>
                <w:sz w:val="24"/>
              </w:rPr>
              <w:t>tenju,</w:t>
            </w:r>
            <w:r>
              <w:rPr>
                <w:rStyle w:val="InstructionsTabelleberschrift"/>
                <w:rFonts w:ascii="Times New Roman" w:hAnsi="Times New Roman"/>
                <w:b w:val="0"/>
                <w:sz w:val="24"/>
                <w:u w:val="none"/>
              </w:rPr>
              <w:t xml:space="preserve"> za zadevno posamezno koncentrirano pozicijo vrednotenja.</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PRILAGODITEV POŠTENE VREDNOSTI KONCENTRACIJE POZICIJ</w:t>
            </w:r>
          </w:p>
          <w:p w:rsidR="00955AA6" w:rsidRPr="00DD41BE"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Znesek katere koli prilagoditve poštene vrednosti, s katero se odraža dejstvo, da je združena pozicija institucije večja od običajne </w:t>
            </w:r>
            <w:proofErr w:type="spellStart"/>
            <w:r>
              <w:rPr>
                <w:rStyle w:val="InstructionsTabelleberschrift"/>
                <w:rFonts w:ascii="Times New Roman" w:hAnsi="Times New Roman"/>
                <w:b w:val="0"/>
                <w:sz w:val="24"/>
                <w:u w:val="none"/>
              </w:rPr>
              <w:t>trgovane</w:t>
            </w:r>
            <w:proofErr w:type="spellEnd"/>
            <w:r>
              <w:rPr>
                <w:rStyle w:val="InstructionsTabelleberschrift"/>
                <w:rFonts w:ascii="Times New Roman" w:hAnsi="Times New Roman"/>
                <w:b w:val="0"/>
                <w:sz w:val="24"/>
                <w:u w:val="none"/>
              </w:rPr>
              <w:t xml:space="preserve"> količine ali večja od velikosti pozicij, na katerih temeljijo kotacije ali posli, uporabljeni za umeritev cene ali vhodnih podatkov, uporabljenih v modelu vrednotenja.</w:t>
            </w:r>
          </w:p>
          <w:p w:rsidR="00113E45" w:rsidRPr="00DD41BE"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Sporočeni znesek ustreza znesku, ki se je uporabil za zadevno posamezno ko</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centrirano pozicijo vrednotenja.</w:t>
            </w:r>
          </w:p>
        </w:tc>
      </w:tr>
      <w:tr w:rsidR="00113E45" w:rsidRPr="0022597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0100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RAZLIKA NA PODLAGI NPC</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Vsota zneskov neprilagojenih razlik („razlika na podlagi NPC“), izračunana konec meseca, ki je najbližje datumu poročanja, v skladu s postopkom neodvi</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 xml:space="preserve">nega pregleda cen (NPC), izvedenim v skladu s členom 105(8) CRR, glede na najboljše razpoložljive neodvisne podatke za posamezno koncentrirano pozicijo vrednotenja.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Zneski neprilagojenih razlik se nanašajo na neprilagojene razlike med vrednot</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nji, ki jih ustvari sistem trgovanja, in vrednotenji, določenimi med mesečnim postopkom neodvisnega pregleda cen.</w:t>
            </w:r>
          </w:p>
          <w:p w:rsidR="00113E45" w:rsidRPr="00DD41BE"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izračun razlike na podlagi NPC se ne vključijo zneski neprilagojenih razlik v poslovnih knjigah in evidencah institucije za datum konca zadevnega meseca.</w:t>
            </w:r>
          </w:p>
        </w:tc>
      </w:tr>
    </w:tbl>
    <w:p w:rsidR="00995A7F" w:rsidRPr="00392FFD" w:rsidRDefault="00995A7F" w:rsidP="00C61FF5">
      <w:pPr>
        <w:rPr>
          <w:rStyle w:val="InstructionsTabelleText"/>
          <w:rFonts w:ascii="Times New Roman" w:hAnsi="Times New Roman"/>
          <w:sz w:val="24"/>
        </w:rPr>
      </w:pP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00" w:name="_Toc516210719"/>
      <w:bookmarkStart w:id="801" w:name="_Toc473561055"/>
      <w:bookmarkStart w:id="802" w:name="_Toc523474468"/>
      <w:r>
        <w:rPr>
          <w:rFonts w:ascii="Times New Roman" w:hAnsi="Times New Roman"/>
          <w:sz w:val="24"/>
          <w:u w:val="none"/>
        </w:rPr>
        <w:t>7.</w:t>
      </w:r>
      <w:r w:rsidR="003F40E8" w:rsidRPr="003F40E8">
        <w:rPr>
          <w:u w:val="none"/>
        </w:rPr>
        <w:tab/>
      </w:r>
      <w:r>
        <w:rPr>
          <w:rFonts w:ascii="Times New Roman" w:hAnsi="Times New Roman"/>
          <w:sz w:val="24"/>
        </w:rPr>
        <w:t>C 33.00 – Izpostavljenosti do sektorja država (GOV)</w:t>
      </w:r>
      <w:bookmarkEnd w:id="800"/>
      <w:bookmarkEnd w:id="801"/>
      <w:bookmarkEnd w:id="802"/>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03" w:name="_Toc367202008"/>
      <w:bookmarkStart w:id="804" w:name="_Toc516210720"/>
      <w:bookmarkStart w:id="805" w:name="_Toc473561056"/>
      <w:bookmarkStart w:id="806" w:name="_Toc523474469"/>
      <w:r>
        <w:rPr>
          <w:rFonts w:ascii="Times New Roman" w:hAnsi="Times New Roman"/>
          <w:sz w:val="24"/>
          <w:u w:val="none"/>
        </w:rPr>
        <w:t>7.1.</w:t>
      </w:r>
      <w:r w:rsidR="003F40E8" w:rsidRPr="003F40E8">
        <w:rPr>
          <w:u w:val="none"/>
        </w:rPr>
        <w:tab/>
      </w:r>
      <w:r>
        <w:rPr>
          <w:rFonts w:ascii="Times New Roman" w:hAnsi="Times New Roman"/>
          <w:sz w:val="24"/>
        </w:rPr>
        <w:t>Splošne opombe</w:t>
      </w:r>
      <w:bookmarkEnd w:id="803"/>
      <w:bookmarkEnd w:id="804"/>
      <w:bookmarkEnd w:id="805"/>
      <w:bookmarkEnd w:id="806"/>
      <w:r>
        <w:rPr>
          <w:rFonts w:ascii="Times New Roman" w:hAnsi="Times New Roman"/>
          <w:sz w:val="24"/>
        </w:rPr>
        <w:t xml:space="preserve"> </w:t>
      </w:r>
    </w:p>
    <w:p w:rsidR="00FD54FC" w:rsidRPr="00392FFD" w:rsidRDefault="00125707" w:rsidP="009068C9">
      <w:pPr>
        <w:pStyle w:val="InstructionsText2"/>
        <w:numPr>
          <w:ilvl w:val="0"/>
          <w:numId w:val="0"/>
        </w:numPr>
        <w:ind w:left="993"/>
      </w:pPr>
      <w:r>
        <w:t>155.</w:t>
      </w:r>
      <w:r>
        <w:tab/>
        <w:t>Informacije za namene predloge C 33.00 vključujejo vse izpostavljenosti do „sektorja država“, kot so opredeljene v odstavku 42(b) Priloge V.</w:t>
      </w:r>
    </w:p>
    <w:p w:rsidR="00FD54FC" w:rsidRPr="00392FFD" w:rsidRDefault="00125707" w:rsidP="009068C9">
      <w:pPr>
        <w:pStyle w:val="InstructionsText2"/>
        <w:numPr>
          <w:ilvl w:val="0"/>
          <w:numId w:val="0"/>
        </w:numPr>
        <w:ind w:left="993"/>
      </w:pPr>
      <w:r>
        <w:t>156.</w:t>
      </w:r>
      <w:r>
        <w:tab/>
        <w:t>Izpostavljenosti do „sektorja država“ so vključene v različne kategorije izpo</w:t>
      </w:r>
      <w:r>
        <w:t>s</w:t>
      </w:r>
      <w:r>
        <w:t xml:space="preserve">tavljenosti v skladu s členom 112 in členom 147 CRR, kot je določeno v navodilih za izpolnjevanje predloge C 07.00, C 08.01 in C 08.02. </w:t>
      </w:r>
    </w:p>
    <w:p w:rsidR="00FD54FC" w:rsidRPr="00392FFD" w:rsidRDefault="00125707" w:rsidP="009068C9">
      <w:pPr>
        <w:pStyle w:val="InstructionsText2"/>
        <w:numPr>
          <w:ilvl w:val="0"/>
          <w:numId w:val="0"/>
        </w:numPr>
        <w:ind w:left="993"/>
      </w:pPr>
      <w:r>
        <w:t>157.</w:t>
      </w:r>
      <w:r>
        <w:tab/>
        <w:t xml:space="preserve">Razpredelnica 2 (standardiziran pristop) in razpredelnica 3 (pristop IRB), vključeni v del 3 Priloge 5, se upoštevata pri razporejanju kategorij izpostavljenosti, ki se uporabljajo za izračun kapitalskih zahtev v skladu s CRR, v sektor nasprotne stranke „sektor država“. </w:t>
      </w:r>
    </w:p>
    <w:p w:rsidR="00FD54FC" w:rsidRPr="00392FFD" w:rsidRDefault="00125707" w:rsidP="009068C9">
      <w:pPr>
        <w:pStyle w:val="InstructionsText2"/>
        <w:numPr>
          <w:ilvl w:val="0"/>
          <w:numId w:val="0"/>
        </w:numPr>
        <w:ind w:left="993"/>
      </w:pPr>
      <w:r>
        <w:t>158.</w:t>
      </w:r>
      <w:r>
        <w:tab/>
        <w:t>Informacije se poročajo za skupen seštevek izpostavljenosti (vsota za vse drž</w:t>
      </w:r>
      <w:r>
        <w:t>a</w:t>
      </w:r>
      <w:r>
        <w:t xml:space="preserve">ve, v katerih ima banka izpostavljenost do države) ter za vsako državo na podlagi sedeža nasprotne stranke na podlagi neposrednega kreditojemalca. </w:t>
      </w:r>
    </w:p>
    <w:p w:rsidR="00FD54FC" w:rsidRPr="00392FFD" w:rsidRDefault="00125707" w:rsidP="009068C9">
      <w:pPr>
        <w:pStyle w:val="InstructionsText2"/>
        <w:numPr>
          <w:ilvl w:val="0"/>
          <w:numId w:val="0"/>
        </w:numPr>
        <w:ind w:left="993"/>
      </w:pPr>
      <w:r>
        <w:t>159.</w:t>
      </w:r>
      <w:r>
        <w:tab/>
        <w:t>Izpostavljenosti se razvrstijo v kategorije izpostavljenosti ali jurisdikcije brez upoštevanja tehnik za zmanjševanje kreditnega tveganja in predvsem brez upošt</w:t>
      </w:r>
      <w:r>
        <w:t>e</w:t>
      </w:r>
      <w:r>
        <w:t>vanja učinkov zamenjave. Vendar se pri izračunu vrednosti izpostavljenosti in zn</w:t>
      </w:r>
      <w:r>
        <w:t>e</w:t>
      </w:r>
      <w:r>
        <w:t xml:space="preserve">skov tveganju prilagojenih izpostavljenosti za vsako kategorijo izpostavljenosti in vsako jurisdikcijo upošteva pogostost tehnik za zmanjševanje kreditnega tveganja, vključno z učinki zamenjave. </w:t>
      </w:r>
    </w:p>
    <w:p w:rsidR="00FD54FC" w:rsidRPr="00392FFD" w:rsidRDefault="00125707" w:rsidP="009068C9">
      <w:pPr>
        <w:pStyle w:val="InstructionsText2"/>
        <w:numPr>
          <w:ilvl w:val="0"/>
          <w:numId w:val="0"/>
        </w:numPr>
        <w:ind w:left="993"/>
      </w:pPr>
      <w:r>
        <w:t>160.</w:t>
      </w:r>
      <w:r>
        <w:tab/>
        <w:t>Za poročanje informacij o izpostavljenostih do „sektorja država“ s strani juri</w:t>
      </w:r>
      <w:r>
        <w:t>s</w:t>
      </w:r>
      <w:r>
        <w:t>dikcije, v kateri ima sedež neposredna nasprotna stranka, ki ni domača jurisdikcija institucije poročevalke, veljajo pragovi iz člena 5(b)(3) te uredbe.</w:t>
      </w: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07" w:name="_Toc367202009"/>
      <w:bookmarkStart w:id="808" w:name="_Toc516210721"/>
      <w:bookmarkStart w:id="809" w:name="_Toc473561057"/>
      <w:bookmarkStart w:id="810" w:name="_Toc523474470"/>
      <w:r>
        <w:rPr>
          <w:rFonts w:ascii="Times New Roman" w:hAnsi="Times New Roman"/>
          <w:sz w:val="24"/>
          <w:u w:val="none"/>
        </w:rPr>
        <w:t>7.2.</w:t>
      </w:r>
      <w:r w:rsidR="003F40E8" w:rsidRPr="003F40E8">
        <w:rPr>
          <w:u w:val="none"/>
        </w:rPr>
        <w:tab/>
      </w:r>
      <w:r>
        <w:rPr>
          <w:rFonts w:ascii="Times New Roman" w:hAnsi="Times New Roman"/>
          <w:sz w:val="24"/>
        </w:rPr>
        <w:t>Področje uporabe predloge</w:t>
      </w:r>
      <w:bookmarkEnd w:id="807"/>
      <w:r>
        <w:rPr>
          <w:rFonts w:ascii="Times New Roman" w:hAnsi="Times New Roman"/>
          <w:sz w:val="24"/>
        </w:rPr>
        <w:t xml:space="preserve"> o izpostavljenostih do „enot centralne ravni države“</w:t>
      </w:r>
      <w:bookmarkEnd w:id="808"/>
      <w:bookmarkEnd w:id="809"/>
      <w:bookmarkEnd w:id="810"/>
    </w:p>
    <w:p w:rsidR="00FD54FC" w:rsidRPr="00392FFD" w:rsidRDefault="00125707" w:rsidP="009068C9">
      <w:pPr>
        <w:pStyle w:val="InstructionsText2"/>
        <w:numPr>
          <w:ilvl w:val="0"/>
          <w:numId w:val="0"/>
        </w:numPr>
        <w:ind w:left="993"/>
      </w:pPr>
      <w:r>
        <w:t>161.</w:t>
      </w:r>
      <w:r>
        <w:tab/>
        <w:t>Predloga GOV zajema neposredne bilančne in zunajbilančne izpostavljenosti ter izpostavljenosti izvedenih finančnih instrumentov do „sektorja država“ v net</w:t>
      </w:r>
      <w:r>
        <w:t>r</w:t>
      </w:r>
      <w:r>
        <w:t>govalni in trgovalni knjigi. Poleg tega se zahteva tudi pojasnjevalna postavka o po</w:t>
      </w:r>
      <w:r>
        <w:t>s</w:t>
      </w:r>
      <w:r>
        <w:t>rednih izpostavljenostih v obliki prodanih kreditnih izvedenih finančnih instrume</w:t>
      </w:r>
      <w:r>
        <w:t>n</w:t>
      </w:r>
      <w:r>
        <w:t>tov, katerih osnova je izpostavljenost do sektorja država.</w:t>
      </w:r>
    </w:p>
    <w:p w:rsidR="00FD54FC" w:rsidRPr="00392FFD" w:rsidRDefault="00125707" w:rsidP="009068C9">
      <w:pPr>
        <w:pStyle w:val="InstructionsText2"/>
        <w:numPr>
          <w:ilvl w:val="0"/>
          <w:numId w:val="0"/>
        </w:numPr>
        <w:ind w:left="993"/>
      </w:pPr>
      <w:r>
        <w:t>162.</w:t>
      </w:r>
      <w:r>
        <w:tab/>
        <w:t xml:space="preserve">Izpostavljenost je neposredna izpostavljenost, kadar je neposredna nasprotna stranka subjekt, zajet z opredelitvijo „sektor država“. </w:t>
      </w:r>
    </w:p>
    <w:p w:rsidR="00FD54FC" w:rsidRPr="00392FFD" w:rsidRDefault="00125707" w:rsidP="009068C9">
      <w:pPr>
        <w:pStyle w:val="InstructionsText2"/>
        <w:numPr>
          <w:ilvl w:val="0"/>
          <w:numId w:val="0"/>
        </w:numPr>
        <w:ind w:left="993"/>
      </w:pPr>
      <w:r>
        <w:t>163.</w:t>
      </w:r>
      <w:r>
        <w:tab/>
        <w:t>Predloga je razdeljena na dva dela. Prvi del temelji na razčlenitvi izpostavlj</w:t>
      </w:r>
      <w:r>
        <w:t>e</w:t>
      </w:r>
      <w:r>
        <w:t>nosti po tveganju, regulativnem pristopu in kategorijah izpostavljenosti, drugi pa na razčlenitvi po preostali zapadlosti.</w:t>
      </w: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11" w:name="_Toc516210722"/>
      <w:bookmarkStart w:id="812" w:name="_Toc473561058"/>
      <w:bookmarkStart w:id="813" w:name="_Toc523474471"/>
      <w:r>
        <w:rPr>
          <w:rFonts w:ascii="Times New Roman" w:hAnsi="Times New Roman"/>
          <w:sz w:val="24"/>
          <w:u w:val="none"/>
        </w:rPr>
        <w:t>7.3.</w:t>
      </w:r>
      <w:r w:rsidR="003F40E8" w:rsidRPr="003F40E8">
        <w:rPr>
          <w:u w:val="none"/>
        </w:rPr>
        <w:tab/>
      </w:r>
      <w:r>
        <w:rPr>
          <w:rFonts w:ascii="Times New Roman" w:hAnsi="Times New Roman"/>
          <w:sz w:val="24"/>
        </w:rPr>
        <w:t>Navodila za posamezne pozicije</w:t>
      </w:r>
      <w:bookmarkEnd w:id="811"/>
      <w:bookmarkEnd w:id="812"/>
      <w:bookmarkEnd w:id="81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392FFD" w:rsidTr="00672D2A">
        <w:tc>
          <w:tcPr>
            <w:tcW w:w="1188" w:type="dxa"/>
            <w:shd w:val="pct25"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Stolpci</w:t>
            </w:r>
          </w:p>
          <w:p w:rsidR="00FD54FC" w:rsidRPr="00392FFD" w:rsidRDefault="00FD54FC" w:rsidP="00FD54FC">
            <w:pPr>
              <w:spacing w:before="0" w:after="0"/>
              <w:ind w:left="33"/>
              <w:rPr>
                <w:rFonts w:ascii="Times New Roman" w:hAnsi="Times New Roman"/>
                <w:bCs/>
                <w:sz w:val="24"/>
              </w:rPr>
            </w:pPr>
          </w:p>
        </w:tc>
        <w:tc>
          <w:tcPr>
            <w:tcW w:w="8640" w:type="dxa"/>
            <w:shd w:val="pct25"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Navodila</w:t>
            </w:r>
          </w:p>
        </w:tc>
      </w:tr>
      <w:tr w:rsidR="00FD54FC" w:rsidRPr="00392FFD" w:rsidTr="00672D2A">
        <w:tc>
          <w:tcPr>
            <w:tcW w:w="1188" w:type="dxa"/>
            <w:tcBorders>
              <w:bottom w:val="single" w:sz="4" w:space="0" w:color="auto"/>
            </w:tcBorders>
          </w:tcPr>
          <w:p w:rsidR="00FD54FC" w:rsidRPr="00392FFD" w:rsidRDefault="00FD54FC" w:rsidP="00B74792">
            <w:pPr>
              <w:spacing w:before="0" w:after="0"/>
              <w:ind w:left="33"/>
              <w:rPr>
                <w:rFonts w:ascii="Times New Roman" w:hAnsi="Times New Roman"/>
                <w:bCs/>
                <w:sz w:val="24"/>
                <w:highlight w:val="yellow"/>
              </w:rPr>
            </w:pPr>
            <w:r>
              <w:rPr>
                <w:rFonts w:ascii="Times New Roman" w:hAnsi="Times New Roman"/>
                <w:sz w:val="24"/>
              </w:rPr>
              <w:lastRenderedPageBreak/>
              <w:t>010–260</w:t>
            </w:r>
          </w:p>
        </w:tc>
        <w:tc>
          <w:tcPr>
            <w:tcW w:w="8640" w:type="dxa"/>
            <w:tcBorders>
              <w:bottom w:val="single" w:sz="4" w:space="0" w:color="auto"/>
            </w:tcBorders>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NEPOSREDNE IZPOSTAVLJENOSTI </w:t>
            </w: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highlight w:val="yellow"/>
              </w:rPr>
            </w:pPr>
            <w:r>
              <w:rPr>
                <w:rFonts w:ascii="Times New Roman" w:hAnsi="Times New Roman"/>
                <w:sz w:val="24"/>
              </w:rPr>
              <w:t>010–140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BILANČNE IZPOSTAVLJENOSTI</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010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Skupna bruto knjigovodska vrednost neizvedenih finančnih sredstev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Seštevek bruto knjigovodske vrednosti, kot je določena v skladu z odstavkom 34 dela 1 Priloge V, neizvedenih finančnih sredstev, ki so izpostavljena do „sektorja država“, za vse računovodske portfelje v skladu z MSRP ali nacionalnimi GAAP na podlagi Direktive 86/635/EGS (direktiva o računovodskih izkazih bank), ter ki so opredeljeni v odstavkih 15 do 22 dela 1 Priloge V in navedeni v stolpcih 030 do 120.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Prilagoditve preudarnega vrednotenja ne zmanjšajo bruto knjigovodske vrednosti trg</w:t>
            </w:r>
            <w:r>
              <w:rPr>
                <w:rFonts w:ascii="Times New Roman" w:hAnsi="Times New Roman"/>
                <w:sz w:val="24"/>
              </w:rPr>
              <w:t>o</w:t>
            </w:r>
            <w:r>
              <w:rPr>
                <w:rFonts w:ascii="Times New Roman" w:hAnsi="Times New Roman"/>
                <w:sz w:val="24"/>
              </w:rPr>
              <w:t xml:space="preserve">valnih in </w:t>
            </w:r>
            <w:proofErr w:type="spellStart"/>
            <w:r>
              <w:rPr>
                <w:rFonts w:ascii="Times New Roman" w:hAnsi="Times New Roman"/>
                <w:sz w:val="24"/>
              </w:rPr>
              <w:t>netrgovalnih</w:t>
            </w:r>
            <w:proofErr w:type="spellEnd"/>
            <w:r>
              <w:rPr>
                <w:rFonts w:ascii="Times New Roman" w:hAnsi="Times New Roman"/>
                <w:sz w:val="24"/>
              </w:rPr>
              <w:t xml:space="preserve"> izpostavljenosti, merjenih po pošteni vrednosti.</w:t>
            </w:r>
          </w:p>
          <w:p w:rsidR="00FD54FC" w:rsidRPr="00392FFD" w:rsidRDefault="00FD54FC" w:rsidP="00FD54FC">
            <w:pPr>
              <w:spacing w:before="0" w:after="0"/>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020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Skupna knjigovodska vrednost neizvedenih finančnih sredstev (brez kratkih pozicij)</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Seštevek knjigovodske vrednosti, kot je določena v skladu z odstavkom 27 dela 1 Pr</w:t>
            </w:r>
            <w:r>
              <w:rPr>
                <w:rFonts w:ascii="Times New Roman" w:hAnsi="Times New Roman"/>
                <w:sz w:val="24"/>
              </w:rPr>
              <w:t>i</w:t>
            </w:r>
            <w:r>
              <w:rPr>
                <w:rFonts w:ascii="Times New Roman" w:hAnsi="Times New Roman"/>
                <w:sz w:val="24"/>
              </w:rPr>
              <w:t>loge V, neizvedenih finančnih sredstev, ki so izpostavljena do sektorja država, za vse računovodske portfelje v skladu z MSRP ali nacionalnimi GAAP na podlagi direktive o računovodskih izkazih bank, ter ki so opredeljeni v odstavkih 15 do 22 dela 1 Priloge V in navedeni v stolpcih 030 do 120, brez kratkih pozicij.</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Kadar ima institucija kratko pozicijo za isto preostalo zapadlost za isto neposredno nasprotno stranko, ki je denominirana v isti valuti, se knjigovodska vrednost kratke pozicije pobota s knjigovodsko vrednostjo neposredne pozicije. Če je ta neto znesek negativen, se šteje, da je enak nič.</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Poroča se vsota stolpcev 030 do 120, od katere se odšteje stolpec 130.</w:t>
            </w:r>
            <w:r>
              <w:rPr>
                <w:sz w:val="24"/>
              </w:rPr>
              <w:t xml:space="preserve"> </w:t>
            </w:r>
            <w:r>
              <w:rPr>
                <w:rFonts w:ascii="Times New Roman" w:hAnsi="Times New Roman"/>
                <w:sz w:val="24"/>
              </w:rPr>
              <w:t>Če je ta znesek nižji od nič, se kot znesek vpiše nič.</w:t>
            </w:r>
          </w:p>
          <w:p w:rsidR="00FD54FC" w:rsidRPr="00392FFD" w:rsidDel="00FB1EBF"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030–120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NEIZVEDENA FINANČNA SREDSTVA PO RAČUNOVODSKIH PORTFE</w:t>
            </w:r>
            <w:r>
              <w:rPr>
                <w:rFonts w:ascii="Times New Roman" w:hAnsi="Times New Roman"/>
                <w:b/>
                <w:sz w:val="24"/>
                <w:u w:val="single"/>
              </w:rPr>
              <w:t>L</w:t>
            </w:r>
            <w:r>
              <w:rPr>
                <w:rFonts w:ascii="Times New Roman" w:hAnsi="Times New Roman"/>
                <w:b/>
                <w:sz w:val="24"/>
                <w:u w:val="single"/>
              </w:rPr>
              <w:t>JIH</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Seštevek knjigovodske vrednosti neizvedenih finančnih sredstev, kot so opredeljena zgoraj, izpostavljenih do sektorja država, po računovodskih portfeljih v skladu z velj</w:t>
            </w:r>
            <w:r>
              <w:rPr>
                <w:rFonts w:ascii="Times New Roman" w:hAnsi="Times New Roman"/>
                <w:sz w:val="24"/>
              </w:rPr>
              <w:t>a</w:t>
            </w:r>
            <w:r>
              <w:rPr>
                <w:rFonts w:ascii="Times New Roman" w:hAnsi="Times New Roman"/>
                <w:sz w:val="24"/>
              </w:rPr>
              <w:t>vnim računovodskim okvirom.</w:t>
            </w:r>
          </w:p>
          <w:p w:rsidR="00FD54FC" w:rsidRPr="00392FFD"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030</w:t>
            </w:r>
          </w:p>
        </w:tc>
        <w:tc>
          <w:tcPr>
            <w:tcW w:w="8640" w:type="dxa"/>
          </w:tcPr>
          <w:p w:rsidR="00FD54FC" w:rsidRPr="00321A3B" w:rsidRDefault="00FD54FC" w:rsidP="00FD54FC">
            <w:pPr>
              <w:spacing w:before="0" w:after="0"/>
              <w:ind w:left="33"/>
              <w:rPr>
                <w:rFonts w:ascii="Times New Roman" w:hAnsi="Times New Roman"/>
                <w:bCs/>
                <w:sz w:val="24"/>
              </w:rPr>
            </w:pPr>
            <w:r>
              <w:rPr>
                <w:rFonts w:ascii="Times New Roman" w:hAnsi="Times New Roman"/>
                <w:b/>
                <w:sz w:val="24"/>
                <w:u w:val="single"/>
              </w:rPr>
              <w:t>Finančna sredstva v posesti za trgovanje</w:t>
            </w:r>
          </w:p>
          <w:p w:rsidR="00FD54FC" w:rsidRPr="00321A3B" w:rsidRDefault="00FD54FC" w:rsidP="00FD54FC">
            <w:pPr>
              <w:spacing w:before="0" w:after="0"/>
              <w:ind w:left="33"/>
              <w:rPr>
                <w:rFonts w:ascii="Times New Roman" w:hAnsi="Times New Roman"/>
                <w:bCs/>
                <w:sz w:val="24"/>
              </w:rPr>
            </w:pPr>
          </w:p>
          <w:p w:rsidR="00FD54FC" w:rsidRPr="00321A3B" w:rsidRDefault="001C79CB" w:rsidP="00FD54FC">
            <w:pPr>
              <w:spacing w:before="0" w:after="0"/>
              <w:ind w:left="33"/>
              <w:rPr>
                <w:rFonts w:ascii="Times New Roman" w:hAnsi="Times New Roman"/>
                <w:bCs/>
                <w:sz w:val="24"/>
              </w:rPr>
            </w:pPr>
            <w:r>
              <w:rPr>
                <w:rFonts w:ascii="Times New Roman" w:hAnsi="Times New Roman"/>
                <w:sz w:val="24"/>
              </w:rPr>
              <w:t>MSRP 7, 8.(a)(</w:t>
            </w:r>
            <w:proofErr w:type="spellStart"/>
            <w:r>
              <w:rPr>
                <w:rFonts w:ascii="Times New Roman" w:hAnsi="Times New Roman"/>
                <w:sz w:val="24"/>
              </w:rPr>
              <w:t>ii</w:t>
            </w:r>
            <w:proofErr w:type="spellEnd"/>
            <w:r>
              <w:rPr>
                <w:rFonts w:ascii="Times New Roman" w:hAnsi="Times New Roman"/>
                <w:sz w:val="24"/>
              </w:rPr>
              <w:t>) člen; MSRP 9, Priloga A</w:t>
            </w:r>
          </w:p>
          <w:p w:rsidR="00FD54FC" w:rsidRPr="00321A3B"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040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Trgovalna finančna sredstva</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Direktiva o računovodskih izkazih bank, člena 32–33; Priloga V, del 1, odstavek 16; računovodska direktiva, člen 8(1)(a).</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Poročajo samo institucije, ki poročajo v skladu z nacionalnimi splošno sprejetimi</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računovodskimi načeli (GAAP).</w:t>
            </w:r>
          </w:p>
          <w:p w:rsidR="00FD54FC" w:rsidRPr="00321A3B"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Netrgovalna finančna sredstva, obvezno merjena po pošteni vrednosti prek posl</w:t>
            </w:r>
            <w:r>
              <w:rPr>
                <w:rFonts w:ascii="Times New Roman" w:hAnsi="Times New Roman"/>
                <w:b/>
                <w:sz w:val="24"/>
                <w:u w:val="single"/>
              </w:rPr>
              <w:t>o</w:t>
            </w:r>
            <w:r>
              <w:rPr>
                <w:rFonts w:ascii="Times New Roman" w:hAnsi="Times New Roman"/>
                <w:b/>
                <w:sz w:val="24"/>
                <w:u w:val="single"/>
              </w:rPr>
              <w:t>vnega izida</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MSRP 7, 8.(a)(</w:t>
            </w:r>
            <w:proofErr w:type="spellStart"/>
            <w:r>
              <w:rPr>
                <w:rFonts w:ascii="Times New Roman" w:hAnsi="Times New Roman"/>
                <w:sz w:val="24"/>
              </w:rPr>
              <w:t>ii</w:t>
            </w:r>
            <w:proofErr w:type="spellEnd"/>
            <w:r>
              <w:rPr>
                <w:rFonts w:ascii="Times New Roman" w:hAnsi="Times New Roman"/>
                <w:sz w:val="24"/>
              </w:rPr>
              <w:t>) člen; MSRP 9, 4.1.4. člen</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060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Finančna sredstva, določena za merjenje po pošteni vrednosti prek poslovnega izida</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MSRP 7, 8.(a)(i) člen; MSRP 9, 4.1.5. člen ter člen 8(1)(a) in (6) računovodske dire</w:t>
            </w:r>
            <w:r>
              <w:rPr>
                <w:rFonts w:ascii="Times New Roman" w:hAnsi="Times New Roman"/>
                <w:sz w:val="24"/>
              </w:rPr>
              <w:t>k</w:t>
            </w:r>
            <w:r>
              <w:rPr>
                <w:rFonts w:ascii="Times New Roman" w:hAnsi="Times New Roman"/>
                <w:sz w:val="24"/>
              </w:rPr>
              <w:t>tive</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070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Netrgovalna neizvedena finančna sredstva, merjena po pošteni vrednosti prek poslovnega izida</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Direktiva o računovodskih izkazih bank, člen 36(2); računovodska direktiva, člen 8(1)(a).</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Poročajo samo institucije, ki poročajo v skladu z nacionalnimi splošno sprejetimi</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računovodskimi načeli (GAAP).</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080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Finančna sredstva, merjena po pošteni vrednosti prek drugega vseobsegajočega donosa</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MSRP 7, 8.(d) člen; MSRP 9, </w:t>
            </w:r>
            <w:proofErr w:type="spellStart"/>
            <w:r>
              <w:rPr>
                <w:rFonts w:ascii="Times New Roman" w:hAnsi="Times New Roman"/>
                <w:sz w:val="24"/>
              </w:rPr>
              <w:t>4.1.2.A</w:t>
            </w:r>
            <w:proofErr w:type="spellEnd"/>
            <w:r>
              <w:rPr>
                <w:rFonts w:ascii="Times New Roman" w:hAnsi="Times New Roman"/>
                <w:sz w:val="24"/>
              </w:rPr>
              <w:t xml:space="preserve"> člen.</w:t>
            </w:r>
          </w:p>
          <w:p w:rsidR="00FD54FC" w:rsidRPr="00321A3B" w:rsidRDefault="00FD54FC" w:rsidP="00FD54FC">
            <w:pPr>
              <w:spacing w:before="0" w:after="0"/>
              <w:ind w:left="33"/>
              <w:rPr>
                <w:rFonts w:ascii="Times New Roman" w:hAnsi="Times New Roman"/>
                <w:b/>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090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Netrgovalna neizvedena finančna sredstva, merjena po pošteni vrednosti prek la</w:t>
            </w:r>
            <w:r>
              <w:rPr>
                <w:rFonts w:ascii="Times New Roman" w:hAnsi="Times New Roman"/>
                <w:b/>
                <w:sz w:val="24"/>
                <w:u w:val="single"/>
              </w:rPr>
              <w:t>s</w:t>
            </w:r>
            <w:r>
              <w:rPr>
                <w:rFonts w:ascii="Times New Roman" w:hAnsi="Times New Roman"/>
                <w:b/>
                <w:sz w:val="24"/>
                <w:u w:val="single"/>
              </w:rPr>
              <w:t>tniškega kapitala</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Računovodska direktiva, člen 8(1)(a) in člen 8(8).</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Poročajo samo institucije, ki poročajo v skladu z nacionalnimi splošno sprejetimi</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računovodskimi načeli (GAAP).</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100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Finančna sredstva, merjena po odplačni vrednosti</w:t>
            </w:r>
          </w:p>
          <w:p w:rsidR="00FD54FC" w:rsidRPr="00321A3B" w:rsidRDefault="00FD54FC" w:rsidP="00FD54FC">
            <w:pPr>
              <w:spacing w:before="0" w:after="0"/>
              <w:ind w:left="33"/>
              <w:rPr>
                <w:rFonts w:ascii="Times New Roman" w:hAnsi="Times New Roman"/>
                <w:bCs/>
                <w:sz w:val="24"/>
              </w:rPr>
            </w:pPr>
          </w:p>
          <w:p w:rsidR="00FD54FC" w:rsidRPr="00321A3B" w:rsidDel="00501397" w:rsidRDefault="00FD54FC" w:rsidP="00FD54FC">
            <w:pPr>
              <w:spacing w:before="0" w:after="0"/>
              <w:ind w:left="33"/>
              <w:rPr>
                <w:rFonts w:ascii="Times New Roman" w:hAnsi="Times New Roman"/>
                <w:b/>
                <w:bCs/>
                <w:sz w:val="24"/>
                <w:u w:val="single"/>
              </w:rPr>
            </w:pPr>
            <w:r>
              <w:rPr>
                <w:rFonts w:ascii="Times New Roman" w:hAnsi="Times New Roman"/>
                <w:sz w:val="24"/>
              </w:rPr>
              <w:t xml:space="preserve">MSRP 7,8.(f) člen; MSRP 9,4.1.2. člen; Priloga V, del 1, odstavek 15 </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Netrgovalna neizvedena finančna sredstva, merjena z metodo na podlagi nabavne vrednosti</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Direktiva o računovodskih izkazih bank, člen 35; računovodska direktiva, člen 6(1)(i) in člen 8(2); Priloga V, del 1, odstavek 16</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Poročajo samo institucije, ki poročajo v skladu z nacionalnimi splošno sprejetimi</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računovodskimi načeli (GAAP).</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120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Druga netrgovalna neizvedena finančna sredstva</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Direktiva o računovodskih izkazih bank, člen 37; računovodska direktiva, člen 12(7); Priloga V, del 1, odstavek 16</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Poročajo samo institucije, ki poročajo v skladu z nacionalnimi splošno sprejetimi</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računovodskimi načeli (GAAP).</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130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Kratke pozicije</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Knjigovodska vrednost kratkih pozicij, kot so opredeljene v BA.7.(b) členu MSRP 9, kadar je neposredna nasprotna stranka sektor država, kot je opredeljen v odstavku 1.</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Kratke pozicije nastanejo, kadar institucija proda vrednostne papirje, pridobljene s kreditom z začasnim odkupom ali izposojene v poslu posojanja vrednostnih papirjev, v katerem je neposredna nasprotna stranka sektor država.</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Knjigovodska vrednost je poštena vrednost kratkih pozicij.</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Kratke pozicije je treba poročati po intervalih preostale zapadlosti, kot so opredeljeni v vrsticah 170 do 230, in po neposredni nasprotni stranki. Kratke pozicije se bodo nato uporabile za pobot s pozicijami, ki imajo enako preostalo zapadlost in isto neposredno nasprotno stranko, za izračun stolpcev 030 do 120.</w:t>
            </w:r>
          </w:p>
        </w:tc>
      </w:tr>
      <w:tr w:rsidR="00FD54FC" w:rsidRPr="00392FFD" w:rsidTr="00672D2A">
        <w:tc>
          <w:tcPr>
            <w:tcW w:w="1188" w:type="dxa"/>
          </w:tcPr>
          <w:p w:rsidR="00FD54FC" w:rsidRPr="00392FFD" w:rsidDel="00E97A51" w:rsidRDefault="00FD54FC" w:rsidP="00FD54FC">
            <w:pPr>
              <w:spacing w:before="0" w:after="0"/>
              <w:ind w:left="33"/>
              <w:rPr>
                <w:rFonts w:ascii="Times New Roman" w:hAnsi="Times New Roman"/>
                <w:bCs/>
                <w:sz w:val="24"/>
              </w:rPr>
            </w:pPr>
            <w:r>
              <w:rPr>
                <w:rFonts w:ascii="Times New Roman" w:hAnsi="Times New Roman"/>
                <w:sz w:val="24"/>
              </w:rPr>
              <w:t>140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Od tega: kratke pozicije iz kreditov z začasnim odkupom, razvrščenih kot v pos</w:t>
            </w:r>
            <w:r>
              <w:rPr>
                <w:rFonts w:ascii="Times New Roman" w:hAnsi="Times New Roman"/>
                <w:b/>
                <w:sz w:val="24"/>
                <w:u w:val="single"/>
              </w:rPr>
              <w:t>e</w:t>
            </w:r>
            <w:r>
              <w:rPr>
                <w:rFonts w:ascii="Times New Roman" w:hAnsi="Times New Roman"/>
                <w:b/>
                <w:sz w:val="24"/>
                <w:u w:val="single"/>
              </w:rPr>
              <w:t>sti za trgovanje ali trgovalna finančna sredstva</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Knjigovodska vrednost kratkih pozicij, kot so opredeljene v BA.7.(b) členu MSRP 9, ki nastanejo, ko institucija proda vrednostne papirje, pridobljene pri kreditih z zača</w:t>
            </w:r>
            <w:r>
              <w:rPr>
                <w:rFonts w:ascii="Times New Roman" w:hAnsi="Times New Roman"/>
                <w:sz w:val="24"/>
              </w:rPr>
              <w:t>s</w:t>
            </w:r>
            <w:r>
              <w:rPr>
                <w:rFonts w:ascii="Times New Roman" w:hAnsi="Times New Roman"/>
                <w:sz w:val="24"/>
              </w:rPr>
              <w:t>nim odkupom, pri katerih je neposredna nasprotna stranka sektor država, ki so vklj</w:t>
            </w:r>
            <w:r>
              <w:rPr>
                <w:rFonts w:ascii="Times New Roman" w:hAnsi="Times New Roman"/>
                <w:sz w:val="24"/>
              </w:rPr>
              <w:t>u</w:t>
            </w:r>
            <w:r>
              <w:rPr>
                <w:rFonts w:ascii="Times New Roman" w:hAnsi="Times New Roman"/>
                <w:sz w:val="24"/>
              </w:rPr>
              <w:t>čeni v računovodska portfelja v posesti za trgovanje ali trgovalna finančna sredstva (stolpca 030 ali 040).</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Kratke pozicije, ki nastanejo, ko so se prodani vrednostni papirji izposodili v poslu posojanja vrednostnih papirjev, se ne vključijo v ta stolpec. </w:t>
            </w:r>
          </w:p>
          <w:p w:rsidR="00FD54FC" w:rsidRPr="00392FFD" w:rsidDel="00E97A51" w:rsidRDefault="00FD54FC" w:rsidP="00FD54FC">
            <w:pPr>
              <w:spacing w:before="0" w:after="0"/>
              <w:ind w:left="33"/>
              <w:rPr>
                <w:rFonts w:ascii="Times New Roman" w:hAnsi="Times New Roman"/>
                <w:b/>
                <w:bCs/>
                <w:sz w:val="24"/>
                <w:u w:val="single"/>
              </w:rPr>
            </w:pPr>
          </w:p>
        </w:tc>
      </w:tr>
      <w:tr w:rsidR="00FD54FC" w:rsidRPr="00321A3B" w:rsidDel="004A25FD" w:rsidTr="00672D2A">
        <w:tc>
          <w:tcPr>
            <w:tcW w:w="1188" w:type="dxa"/>
          </w:tcPr>
          <w:p w:rsidR="00FD54FC" w:rsidRPr="00321A3B" w:rsidDel="004A25FD" w:rsidRDefault="00FD54FC" w:rsidP="00FD54FC">
            <w:pPr>
              <w:spacing w:before="0" w:after="0"/>
              <w:ind w:left="33"/>
              <w:rPr>
                <w:rFonts w:ascii="Times New Roman" w:hAnsi="Times New Roman"/>
                <w:bCs/>
                <w:sz w:val="24"/>
              </w:rPr>
            </w:pPr>
            <w:r>
              <w:rPr>
                <w:rFonts w:ascii="Times New Roman" w:hAnsi="Times New Roman"/>
                <w:sz w:val="24"/>
              </w:rPr>
              <w:t>150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Akumulirane oslabitve</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Seštevek akumuliranih oslabitev, povezanih z neizvedenimi finančnimi sredstvi, ki se poročajo v stolpcih 080 do 120. [odstavka 70 in 71 dela 2 Priloge V]</w:t>
            </w:r>
          </w:p>
          <w:p w:rsidR="00FD54FC" w:rsidRPr="00321A3B" w:rsidDel="004A25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Akumulirane oslabitve – od tega: iz finančnih sredstev po pošteni vrednosti prek drugega vseobsegajočega donosa ali iz </w:t>
            </w:r>
            <w:proofErr w:type="spellStart"/>
            <w:r>
              <w:rPr>
                <w:rFonts w:ascii="Times New Roman" w:hAnsi="Times New Roman"/>
                <w:b/>
                <w:sz w:val="24"/>
                <w:u w:val="single"/>
              </w:rPr>
              <w:t>netrgovalnih</w:t>
            </w:r>
            <w:proofErr w:type="spellEnd"/>
            <w:r>
              <w:rPr>
                <w:rFonts w:ascii="Times New Roman" w:hAnsi="Times New Roman"/>
                <w:b/>
                <w:sz w:val="24"/>
                <w:u w:val="single"/>
              </w:rPr>
              <w:t xml:space="preserve"> neizvedenih finančnih sre</w:t>
            </w:r>
            <w:r>
              <w:rPr>
                <w:rFonts w:ascii="Times New Roman" w:hAnsi="Times New Roman"/>
                <w:b/>
                <w:sz w:val="24"/>
                <w:u w:val="single"/>
              </w:rPr>
              <w:t>d</w:t>
            </w:r>
            <w:r>
              <w:rPr>
                <w:rFonts w:ascii="Times New Roman" w:hAnsi="Times New Roman"/>
                <w:b/>
                <w:sz w:val="24"/>
                <w:u w:val="single"/>
              </w:rPr>
              <w:t>stev, merjenih po pošteni vrednosti prek lastniškega kapitala</w:t>
            </w:r>
          </w:p>
          <w:p w:rsidR="00FD54FC" w:rsidRPr="00321A3B"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Seštevek akumuliranih oslabitev, povezanih z neizvedenimi finančnimi sredstvi, ki se poročajo v stolpcih 080 in 090. </w:t>
            </w:r>
          </w:p>
          <w:p w:rsidR="00FD54FC" w:rsidRPr="00392FFD" w:rsidRDefault="00FD54FC" w:rsidP="00FD54FC">
            <w:pPr>
              <w:spacing w:before="0" w:after="0"/>
              <w:ind w:left="33"/>
              <w:rPr>
                <w:rFonts w:ascii="Times New Roman" w:hAnsi="Times New Roman"/>
                <w:b/>
                <w:bCs/>
                <w:sz w:val="24"/>
                <w:u w:val="single"/>
              </w:rPr>
            </w:pPr>
          </w:p>
        </w:tc>
      </w:tr>
      <w:tr w:rsidR="00FD54FC" w:rsidRPr="00392FFD" w:rsidDel="004A25FD" w:rsidTr="00672D2A">
        <w:tc>
          <w:tcPr>
            <w:tcW w:w="1188" w:type="dxa"/>
          </w:tcPr>
          <w:p w:rsidR="00FD54FC" w:rsidRPr="00392FFD" w:rsidDel="004A25FD" w:rsidRDefault="00FD54FC" w:rsidP="00FD54FC">
            <w:pPr>
              <w:spacing w:before="0" w:after="0"/>
              <w:ind w:left="33"/>
              <w:rPr>
                <w:rFonts w:ascii="Times New Roman" w:hAnsi="Times New Roman"/>
                <w:bCs/>
                <w:sz w:val="24"/>
              </w:rPr>
            </w:pPr>
            <w:r>
              <w:rPr>
                <w:rFonts w:ascii="Times New Roman" w:hAnsi="Times New Roman"/>
                <w:sz w:val="24"/>
              </w:rPr>
              <w:t>170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Akumulirane negativne spremembe poštene vrednosti zaradi kreditnega tveganja </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E863C1">
            <w:pPr>
              <w:spacing w:before="0" w:after="0"/>
              <w:ind w:left="33"/>
              <w:rPr>
                <w:rFonts w:ascii="Times New Roman" w:hAnsi="Times New Roman"/>
                <w:bCs/>
                <w:sz w:val="24"/>
              </w:rPr>
            </w:pPr>
            <w:r>
              <w:rPr>
                <w:rFonts w:ascii="Times New Roman" w:hAnsi="Times New Roman"/>
                <w:sz w:val="24"/>
              </w:rPr>
              <w:t>Seštevek akumuliranih negativnih sprememb poštene vrednosti zaradi kreditnega tv</w:t>
            </w:r>
            <w:r>
              <w:rPr>
                <w:rFonts w:ascii="Times New Roman" w:hAnsi="Times New Roman"/>
                <w:sz w:val="24"/>
              </w:rPr>
              <w:t>e</w:t>
            </w:r>
            <w:r>
              <w:rPr>
                <w:rFonts w:ascii="Times New Roman" w:hAnsi="Times New Roman"/>
                <w:sz w:val="24"/>
              </w:rPr>
              <w:t>ganja, povezanega s pozicijami, ki se poročajo v stolpcih 050, 060, 070, 080 in 090. [odstavek 69 dela 2 Priloge V]</w:t>
            </w:r>
          </w:p>
          <w:p w:rsidR="00FD54FC" w:rsidRPr="00392FFD" w:rsidDel="004A25FD" w:rsidRDefault="00FD54FC" w:rsidP="00BE47D8">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180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Akumulirane negativne spremembe poštene vrednosti zaradi kreditnega tveganja – od tega: iz </w:t>
            </w:r>
            <w:proofErr w:type="spellStart"/>
            <w:r>
              <w:rPr>
                <w:rFonts w:ascii="Times New Roman" w:hAnsi="Times New Roman"/>
                <w:b/>
                <w:sz w:val="24"/>
                <w:u w:val="single"/>
              </w:rPr>
              <w:t>netrgovalnih</w:t>
            </w:r>
            <w:proofErr w:type="spellEnd"/>
            <w:r>
              <w:rPr>
                <w:rFonts w:ascii="Times New Roman" w:hAnsi="Times New Roman"/>
                <w:b/>
                <w:sz w:val="24"/>
                <w:u w:val="single"/>
              </w:rPr>
              <w:t xml:space="preserve"> finančnih sredstev, obvezno merjenih po pošteni vre</w:t>
            </w:r>
            <w:r>
              <w:rPr>
                <w:rFonts w:ascii="Times New Roman" w:hAnsi="Times New Roman"/>
                <w:b/>
                <w:sz w:val="24"/>
                <w:u w:val="single"/>
              </w:rPr>
              <w:t>d</w:t>
            </w:r>
            <w:r>
              <w:rPr>
                <w:rFonts w:ascii="Times New Roman" w:hAnsi="Times New Roman"/>
                <w:b/>
                <w:sz w:val="24"/>
                <w:u w:val="single"/>
              </w:rPr>
              <w:t xml:space="preserve">nosti prek poslovnega izida, finančnih sredstev, označenih po pošteni vrednosti </w:t>
            </w:r>
            <w:r>
              <w:rPr>
                <w:rFonts w:ascii="Times New Roman" w:hAnsi="Times New Roman"/>
                <w:b/>
                <w:sz w:val="24"/>
                <w:u w:val="single"/>
              </w:rPr>
              <w:lastRenderedPageBreak/>
              <w:t xml:space="preserve">prek poslovnega izida, ali iz </w:t>
            </w:r>
            <w:proofErr w:type="spellStart"/>
            <w:r>
              <w:rPr>
                <w:rFonts w:ascii="Times New Roman" w:hAnsi="Times New Roman"/>
                <w:b/>
                <w:sz w:val="24"/>
                <w:u w:val="single"/>
              </w:rPr>
              <w:t>netrgovalnih</w:t>
            </w:r>
            <w:proofErr w:type="spellEnd"/>
            <w:r>
              <w:rPr>
                <w:rFonts w:ascii="Times New Roman" w:hAnsi="Times New Roman"/>
                <w:b/>
                <w:sz w:val="24"/>
                <w:u w:val="single"/>
              </w:rPr>
              <w:t xml:space="preserve"> finančnih sredstev, merjenih po pošteni vrednosti prek poslovnega izida</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Seštevek akumuliranih negativnih sprememb poštene vrednosti zaradi kreditnega tv</w:t>
            </w:r>
            <w:r>
              <w:rPr>
                <w:rFonts w:ascii="Times New Roman" w:hAnsi="Times New Roman"/>
                <w:sz w:val="24"/>
              </w:rPr>
              <w:t>e</w:t>
            </w:r>
            <w:r>
              <w:rPr>
                <w:rFonts w:ascii="Times New Roman" w:hAnsi="Times New Roman"/>
                <w:sz w:val="24"/>
              </w:rPr>
              <w:t>ganja, povezanega s pozicijami, ki se poročajo v stolpcih 050, 060 in 070.</w:t>
            </w:r>
          </w:p>
          <w:p w:rsidR="00FD54FC" w:rsidRPr="00392FFD" w:rsidRDefault="00FD54FC" w:rsidP="00FD54FC">
            <w:pPr>
              <w:spacing w:before="0" w:after="0"/>
              <w:ind w:left="33"/>
              <w:rPr>
                <w:rFonts w:ascii="Times New Roman" w:hAnsi="Times New Roman"/>
                <w:bCs/>
                <w:sz w:val="24"/>
              </w:rPr>
            </w:pPr>
            <w:r>
              <w:rPr>
                <w:rFonts w:ascii="Times New Roman" w:hAnsi="Times New Roman"/>
                <w:b/>
                <w:sz w:val="24"/>
                <w:u w:val="single"/>
              </w:rPr>
              <w:t xml:space="preserve"> </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190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Akumulirane negativne spremembe poštene vrednosti zaradi kreditnega tveganja – od tega: iz finančnih sredstev po pošteni vrednosti prek drugega vseobsegajoč</w:t>
            </w:r>
            <w:r>
              <w:rPr>
                <w:rFonts w:ascii="Times New Roman" w:hAnsi="Times New Roman"/>
                <w:b/>
                <w:sz w:val="24"/>
                <w:u w:val="single"/>
              </w:rPr>
              <w:t>e</w:t>
            </w:r>
            <w:r>
              <w:rPr>
                <w:rFonts w:ascii="Times New Roman" w:hAnsi="Times New Roman"/>
                <w:b/>
                <w:sz w:val="24"/>
                <w:u w:val="single"/>
              </w:rPr>
              <w:t xml:space="preserve">ga donosa ali iz </w:t>
            </w:r>
            <w:proofErr w:type="spellStart"/>
            <w:r>
              <w:rPr>
                <w:rFonts w:ascii="Times New Roman" w:hAnsi="Times New Roman"/>
                <w:b/>
                <w:sz w:val="24"/>
                <w:u w:val="single"/>
              </w:rPr>
              <w:t>netrgovalnih</w:t>
            </w:r>
            <w:proofErr w:type="spellEnd"/>
            <w:r>
              <w:rPr>
                <w:rFonts w:ascii="Times New Roman" w:hAnsi="Times New Roman"/>
                <w:b/>
                <w:sz w:val="24"/>
                <w:u w:val="single"/>
              </w:rPr>
              <w:t xml:space="preserve"> neizvedenih finančnih sredstev, merjenih po pošteni vrednosti prek lastniškega kapitala</w:t>
            </w:r>
          </w:p>
          <w:p w:rsidR="00FD54FC" w:rsidRPr="00392FFD" w:rsidRDefault="00FD54FC" w:rsidP="00FD54FC">
            <w:pPr>
              <w:spacing w:before="0" w:after="0"/>
              <w:ind w:left="33"/>
              <w:rPr>
                <w:rFonts w:ascii="Times New Roman" w:hAnsi="Times New Roman"/>
                <w:bCs/>
                <w:sz w:val="24"/>
              </w:rPr>
            </w:pPr>
          </w:p>
          <w:p w:rsidR="00FD54FC" w:rsidRDefault="00FD54FC" w:rsidP="00FD54FC">
            <w:pPr>
              <w:spacing w:before="0" w:after="0"/>
              <w:ind w:left="33"/>
              <w:rPr>
                <w:rFonts w:ascii="Times New Roman" w:hAnsi="Times New Roman"/>
                <w:bCs/>
                <w:sz w:val="24"/>
              </w:rPr>
            </w:pPr>
            <w:r>
              <w:rPr>
                <w:rFonts w:ascii="Times New Roman" w:hAnsi="Times New Roman"/>
                <w:sz w:val="24"/>
              </w:rPr>
              <w:t>Seštevek akumuliranih negativnih sprememb poštene vrednosti zaradi kreditnega tv</w:t>
            </w:r>
            <w:r>
              <w:rPr>
                <w:rFonts w:ascii="Times New Roman" w:hAnsi="Times New Roman"/>
                <w:sz w:val="24"/>
              </w:rPr>
              <w:t>e</w:t>
            </w:r>
            <w:r>
              <w:rPr>
                <w:rFonts w:ascii="Times New Roman" w:hAnsi="Times New Roman"/>
                <w:sz w:val="24"/>
              </w:rPr>
              <w:t>ganja, povezanega s pozicijami, ki se poročajo v stolpcih 080 in 090.</w:t>
            </w:r>
          </w:p>
          <w:p w:rsidR="00E863C1" w:rsidRPr="00392FFD" w:rsidRDefault="00E863C1"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200–230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IZVEDENI FINANČNI INSTRUMENTI</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Neposredne pozicije v izvedenih finančnih instrumentih se poročajo v stolpcih 200 do 230.</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Za poročanje izvedenih finančnih instrumentov, za katere veljajo kapitalske zahteve tako za kreditno tveganje nasprotne stranke kot tržno tveganje, glej navodila za razčl</w:t>
            </w:r>
            <w:r>
              <w:rPr>
                <w:rFonts w:ascii="Times New Roman" w:hAnsi="Times New Roman"/>
                <w:sz w:val="24"/>
              </w:rPr>
              <w:t>e</w:t>
            </w:r>
            <w:r>
              <w:rPr>
                <w:rFonts w:ascii="Times New Roman" w:hAnsi="Times New Roman"/>
                <w:sz w:val="24"/>
              </w:rPr>
              <w:t>nitev vrstic.</w:t>
            </w:r>
          </w:p>
          <w:p w:rsidR="00FD54FC" w:rsidRPr="00321A3B"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200–210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Izvedeni finančni instrumenti s pozitivno pošteno vrednostjo</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Vsi izvedeni finančni instrumenti z nasprotno stranko, ki je sektor država, s pozitivno pošteno vrednostjo za institucijo na datum poročanja, ne glede na to, ali se uporabljajo v ustreznem razmerju varovanja pred tveganjem, so v posesti za trgovanje ali vključeni v trgovalni portfelj v skladu z MSRP in nacionalnimi GAAP na podlagi direktive o računovodskih izkazih bank.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Izvedeni finančni instrumenti, ki se uporabljajo pri ekonomskem varovanju se poročajo tu, kadar so vključeni računovodska portfelja za trgovanje ali v posesti za trgovanje (odstavki 120, 124, 125 in 137 do 140 dela 2 Priloge V).</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200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Izvedeni finančni instrumenti s pozitivno pošteno vrednostjo: knjigovodska vre</w:t>
            </w:r>
            <w:r>
              <w:rPr>
                <w:rFonts w:ascii="Times New Roman" w:hAnsi="Times New Roman"/>
                <w:b/>
                <w:sz w:val="24"/>
                <w:u w:val="single"/>
              </w:rPr>
              <w:t>d</w:t>
            </w:r>
            <w:r>
              <w:rPr>
                <w:rFonts w:ascii="Times New Roman" w:hAnsi="Times New Roman"/>
                <w:b/>
                <w:sz w:val="24"/>
                <w:u w:val="single"/>
              </w:rPr>
              <w:t xml:space="preserve">nost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Knjigovodska vrednost izvedenih finančnih instrumentov, obračunanih kot finančna sredstva, na referenčni datum poročanja.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V skladu z GAAP na podlagi direktive o računovodskih izkazih bank izvedeni finančni instrumenti, ki se poročajo v teh stolpcih, vključujejo izvedene finančne instrumente, merjene po nabavni vrednosti ali po nižji izmed nabavne ali tržne vrednosti ter vklj</w:t>
            </w:r>
            <w:r>
              <w:rPr>
                <w:rFonts w:ascii="Times New Roman" w:hAnsi="Times New Roman"/>
                <w:sz w:val="24"/>
              </w:rPr>
              <w:t>u</w:t>
            </w:r>
            <w:r>
              <w:rPr>
                <w:rFonts w:ascii="Times New Roman" w:hAnsi="Times New Roman"/>
                <w:sz w:val="24"/>
              </w:rPr>
              <w:t xml:space="preserve">čene v trgovalni portfelj ali določene za instrumente za varovanje pred tveganji. </w:t>
            </w:r>
          </w:p>
          <w:p w:rsidR="00FD54FC" w:rsidRPr="00392FFD" w:rsidRDefault="00FD54FC" w:rsidP="00FD54FC">
            <w:pPr>
              <w:spacing w:before="0" w:after="0"/>
              <w:ind w:left="33"/>
              <w:rPr>
                <w:rFonts w:ascii="Times New Roman" w:hAnsi="Times New Roman"/>
                <w:b/>
                <w:bCs/>
                <w:sz w:val="24"/>
                <w:u w:val="single"/>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Izvedeni finančni instrumenti s pozitivno pošteno vrednostjo: hipotetični znesek</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V skladu z MSRP in nacionalnimi GAAP na podlagi direktive o računovodskih izkazih bank hipotetični znesek, kot je opredeljen v odstavkih 133 do 135 dela 2 Priloge V, </w:t>
            </w:r>
            <w:r>
              <w:rPr>
                <w:rFonts w:ascii="Times New Roman" w:hAnsi="Times New Roman"/>
                <w:sz w:val="24"/>
              </w:rPr>
              <w:lastRenderedPageBreak/>
              <w:t>vseh pogodb o izvedenih finančnih instrumentih, sklenjenih in še ne poravnanih na referenčni datum poročanja, pri katerih je nasprotna stranka sektor država, kot je opr</w:t>
            </w:r>
            <w:r>
              <w:rPr>
                <w:rFonts w:ascii="Times New Roman" w:hAnsi="Times New Roman"/>
                <w:sz w:val="24"/>
              </w:rPr>
              <w:t>e</w:t>
            </w:r>
            <w:r>
              <w:rPr>
                <w:rFonts w:ascii="Times New Roman" w:hAnsi="Times New Roman"/>
                <w:sz w:val="24"/>
              </w:rPr>
              <w:t>deljeno v odstavku 1 zgoraj, kadar je njegova poštena vrednost pozitivna za institucijo na referenčni datum poročanja.</w:t>
            </w:r>
          </w:p>
          <w:p w:rsidR="00FD54FC" w:rsidRPr="00321A3B"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220–230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Izvedeni finančni instrumenti z negativno pošteno vrednostjo</w:t>
            </w:r>
          </w:p>
          <w:p w:rsidR="00FD54FC" w:rsidRPr="00321A3B" w:rsidDel="00501397"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Vsi izvedeni finančni instrumenti z nasprotno stranko, ki je sektor država, z negativno pošteno vrednostjo za institucijo na referenčni datum poročanja, ne glede na to, ali se uporabljajo v ustreznem razmerju varovanja pred tveganjem ali so v posesti za trgov</w:t>
            </w:r>
            <w:r>
              <w:rPr>
                <w:rFonts w:ascii="Times New Roman" w:hAnsi="Times New Roman"/>
                <w:sz w:val="24"/>
              </w:rPr>
              <w:t>a</w:t>
            </w:r>
            <w:r>
              <w:rPr>
                <w:rFonts w:ascii="Times New Roman" w:hAnsi="Times New Roman"/>
                <w:sz w:val="24"/>
              </w:rPr>
              <w:t>nje ali vključeni v trgovalni portfelj v skladu z MSRP in nacionalnimi GAAP na po</w:t>
            </w:r>
            <w:r>
              <w:rPr>
                <w:rFonts w:ascii="Times New Roman" w:hAnsi="Times New Roman"/>
                <w:sz w:val="24"/>
              </w:rPr>
              <w:t>d</w:t>
            </w:r>
            <w:r>
              <w:rPr>
                <w:rFonts w:ascii="Times New Roman" w:hAnsi="Times New Roman"/>
                <w:sz w:val="24"/>
              </w:rPr>
              <w:t xml:space="preserve">lagi direktive o računovodskih izkazih bank.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Izvedeni finančni instrumenti, ki se uporabljajo pri ekonomskem varovanju se poročajo tu, kadar so vključeni računovodska portfelja za trgovanje ali v posesti za trgovanje (odstavki 120, 124, 125 in 137 do 140 dela 2 Priloge V).</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220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Izvedeni finančni instrumenti z negativno pošteno vrednostjo: knjigovodska vr</w:t>
            </w:r>
            <w:r>
              <w:rPr>
                <w:rFonts w:ascii="Times New Roman" w:hAnsi="Times New Roman"/>
                <w:b/>
                <w:sz w:val="24"/>
                <w:u w:val="single"/>
              </w:rPr>
              <w:t>e</w:t>
            </w:r>
            <w:r>
              <w:rPr>
                <w:rFonts w:ascii="Times New Roman" w:hAnsi="Times New Roman"/>
                <w:b/>
                <w:sz w:val="24"/>
                <w:u w:val="single"/>
              </w:rPr>
              <w:t xml:space="preserve">dnost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Knjigovodska vrednost izvedenih finančnih instrumentov, obračunanih kot finančne obveznosti, na referenčni datum poročanja.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V skladu z GAAP na podlagi direktive o računovodskih izkazih bank izvedeni finančni instrumenti, ki se poročajo v teh stolpcih, vključujejo izvedene finančne instrumente, merjene po nabavni vrednosti ali po nižji izmed nabavne ali tržne vrednosti ter vklj</w:t>
            </w:r>
            <w:r>
              <w:rPr>
                <w:rFonts w:ascii="Times New Roman" w:hAnsi="Times New Roman"/>
                <w:sz w:val="24"/>
              </w:rPr>
              <w:t>u</w:t>
            </w:r>
            <w:r>
              <w:rPr>
                <w:rFonts w:ascii="Times New Roman" w:hAnsi="Times New Roman"/>
                <w:sz w:val="24"/>
              </w:rPr>
              <w:t xml:space="preserve">čene v trgovalni portfelj ali določene za instrumente za varovanje pred tveganji. </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230</w:t>
            </w:r>
          </w:p>
        </w:tc>
        <w:tc>
          <w:tcPr>
            <w:tcW w:w="8640" w:type="dxa"/>
          </w:tcPr>
          <w:p w:rsidR="00FD54FC" w:rsidRPr="00392FFD" w:rsidRDefault="00FD54FC" w:rsidP="00FD54FC">
            <w:pPr>
              <w:spacing w:before="0" w:after="0"/>
              <w:rPr>
                <w:rFonts w:ascii="Times New Roman" w:hAnsi="Times New Roman"/>
                <w:b/>
                <w:bCs/>
                <w:sz w:val="24"/>
                <w:u w:val="single"/>
              </w:rPr>
            </w:pPr>
            <w:r>
              <w:rPr>
                <w:rFonts w:ascii="Times New Roman" w:hAnsi="Times New Roman"/>
                <w:b/>
                <w:sz w:val="24"/>
                <w:u w:val="single"/>
              </w:rPr>
              <w:t>Izvedeni finančni instrumenti z negativno pošteno vrednostjo: hipotetični znesek</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V skladu z MSRP in nacionalnimi GAAP na podlagi direktive o računovodskih izkazih bank hipotetični znesek, kot je opredeljen v odstavkih 133 do 135 dela 2 Priloge, vseh pogodb o izvedenih finančnih instrumentih, sklenjenih in še ne poravnanih na refere</w:t>
            </w:r>
            <w:r>
              <w:rPr>
                <w:rFonts w:ascii="Times New Roman" w:hAnsi="Times New Roman"/>
                <w:sz w:val="24"/>
              </w:rPr>
              <w:t>n</w:t>
            </w:r>
            <w:r>
              <w:rPr>
                <w:rFonts w:ascii="Times New Roman" w:hAnsi="Times New Roman"/>
                <w:sz w:val="24"/>
              </w:rPr>
              <w:t>čni datum, pri katerih je nasprotna stranka sektor država, kot je opredeljeno v odstavku 1 zgoraj, kadar je njegova poštena vrednost negativna za institucijo.</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rPr>
            </w:pPr>
            <w:r>
              <w:rPr>
                <w:rFonts w:ascii="Times New Roman" w:hAnsi="Times New Roman"/>
                <w:sz w:val="24"/>
              </w:rPr>
              <w:t>240–260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ZUNAJBILANČNE IZPOSTAVLJENOSTI</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Nominalni znesek</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Kadar je neposredna nasprotna stranka zunajbilančne postavke sektor država, kot je opredeljeno v odstavku 1 zgoraj, nominalni znesek obveznosti in finančnih poroštev, ki se ne štejejo kot izvedeni finančni instrumenti v skladu z MSRP ali v skladu z nac</w:t>
            </w:r>
            <w:r>
              <w:rPr>
                <w:rFonts w:ascii="Times New Roman" w:hAnsi="Times New Roman"/>
                <w:sz w:val="24"/>
              </w:rPr>
              <w:t>i</w:t>
            </w:r>
            <w:r>
              <w:rPr>
                <w:rFonts w:ascii="Times New Roman" w:hAnsi="Times New Roman"/>
                <w:sz w:val="24"/>
              </w:rPr>
              <w:t>onalnimi GAAP na podlagi direktive o računovodskih izkazih bank (odstavki 102–119 dela 2 Priloge V).</w:t>
            </w:r>
          </w:p>
          <w:p w:rsidR="00FD54FC" w:rsidRPr="00392FFD" w:rsidRDefault="00FD54FC" w:rsidP="00FD54FC">
            <w:pPr>
              <w:spacing w:before="0" w:after="0"/>
              <w:ind w:left="33"/>
              <w:rPr>
                <w:rFonts w:ascii="Times New Roman" w:hAnsi="Times New Roman"/>
                <w:bCs/>
                <w:sz w:val="24"/>
              </w:rPr>
            </w:pPr>
          </w:p>
          <w:p w:rsidR="00FD54FC" w:rsidRPr="00392FFD" w:rsidDel="00501397" w:rsidRDefault="00FD54FC" w:rsidP="00FD54FC">
            <w:pPr>
              <w:spacing w:before="0" w:after="0"/>
              <w:ind w:left="33"/>
              <w:rPr>
                <w:rFonts w:ascii="Times New Roman" w:hAnsi="Times New Roman"/>
                <w:b/>
                <w:bCs/>
                <w:sz w:val="24"/>
                <w:u w:val="single"/>
              </w:rPr>
            </w:pPr>
            <w:r>
              <w:rPr>
                <w:rFonts w:ascii="Times New Roman" w:hAnsi="Times New Roman"/>
                <w:sz w:val="24"/>
              </w:rPr>
              <w:t>V skladu z odstavkoma 43 in 44 dela 1 Priloge V je sektor država neposredna naspro</w:t>
            </w:r>
            <w:r>
              <w:rPr>
                <w:rFonts w:ascii="Times New Roman" w:hAnsi="Times New Roman"/>
                <w:sz w:val="24"/>
              </w:rPr>
              <w:t>t</w:t>
            </w:r>
            <w:r>
              <w:rPr>
                <w:rFonts w:ascii="Times New Roman" w:hAnsi="Times New Roman"/>
                <w:sz w:val="24"/>
              </w:rPr>
              <w:t xml:space="preserve">na stranka: (a) v danem finančnem poroštvu, kadar je neposredna nasprotna stranka dolžniškega instrumenta s poroštvom, in (b) v prevzeti obveznosti iz kreditov ter drugi prevzeti obveznosti, kadar je nasprotna stranka, katere kreditno tveganje prevzame institucija poročevalka. </w:t>
            </w:r>
          </w:p>
          <w:p w:rsidR="00FD54FC" w:rsidRPr="00392FFD"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250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Rezervacije</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Direktiva o računovodskih izkazih bank, člen 4, obveznosti (6)(c), zunajbilančne po</w:t>
            </w:r>
            <w:r>
              <w:rPr>
                <w:rFonts w:ascii="Times New Roman" w:hAnsi="Times New Roman"/>
                <w:sz w:val="24"/>
              </w:rPr>
              <w:t>s</w:t>
            </w:r>
            <w:r>
              <w:rPr>
                <w:rFonts w:ascii="Times New Roman" w:hAnsi="Times New Roman"/>
                <w:sz w:val="24"/>
              </w:rPr>
              <w:t>tavke, člen 27(11), člen 28(8), člen 33; MSRP 9, 4.2.1.(c)(</w:t>
            </w:r>
            <w:proofErr w:type="spellStart"/>
            <w:r>
              <w:rPr>
                <w:rFonts w:ascii="Times New Roman" w:hAnsi="Times New Roman"/>
                <w:sz w:val="24"/>
              </w:rPr>
              <w:t>ii</w:t>
            </w:r>
            <w:proofErr w:type="spellEnd"/>
            <w:r>
              <w:rPr>
                <w:rFonts w:ascii="Times New Roman" w:hAnsi="Times New Roman"/>
                <w:sz w:val="24"/>
              </w:rPr>
              <w:t>) in (d)(</w:t>
            </w:r>
            <w:proofErr w:type="spellStart"/>
            <w:r>
              <w:rPr>
                <w:rFonts w:ascii="Times New Roman" w:hAnsi="Times New Roman"/>
                <w:sz w:val="24"/>
              </w:rPr>
              <w:t>ii</w:t>
            </w:r>
            <w:proofErr w:type="spellEnd"/>
            <w:r>
              <w:rPr>
                <w:rFonts w:ascii="Times New Roman" w:hAnsi="Times New Roman"/>
                <w:sz w:val="24"/>
              </w:rPr>
              <w:t>) člen ter 5.5.20. člen; MRS 37; MSRP 4, odstavek 11 dela 2 Priloge V.</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Rezervacije za vse zunajbilančne izpostavljenosti, ne glede na to, kako so merjene, razen tistih, ki so merjene po pošteni vrednosti prek poslovnega izida v skladu z MSRP 9.</w:t>
            </w:r>
          </w:p>
          <w:p w:rsidR="00FD54FC" w:rsidRPr="00321A3B" w:rsidRDefault="00730040" w:rsidP="00FD54FC">
            <w:pPr>
              <w:spacing w:before="0" w:after="0"/>
              <w:ind w:left="33"/>
              <w:rPr>
                <w:rFonts w:ascii="Times New Roman" w:hAnsi="Times New Roman"/>
                <w:bCs/>
                <w:sz w:val="24"/>
              </w:rPr>
            </w:pPr>
            <w:r>
              <w:rPr>
                <w:rFonts w:ascii="Times New Roman" w:hAnsi="Times New Roman"/>
                <w:sz w:val="24"/>
              </w:rPr>
              <w:t xml:space="preserve"> </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V skladu z MSRP se oslabitev prevzete obveznosti iz kreditov poroča v stolpcu 150, kadar institucija ne more ločeno opredeliti pričakovanih kreditnih izgub, povezanih s črpanim in </w:t>
            </w:r>
            <w:proofErr w:type="spellStart"/>
            <w:r>
              <w:rPr>
                <w:rFonts w:ascii="Times New Roman" w:hAnsi="Times New Roman"/>
                <w:sz w:val="24"/>
              </w:rPr>
              <w:t>nečrpanim</w:t>
            </w:r>
            <w:proofErr w:type="spellEnd"/>
            <w:r>
              <w:rPr>
                <w:rFonts w:ascii="Times New Roman" w:hAnsi="Times New Roman"/>
                <w:sz w:val="24"/>
              </w:rPr>
              <w:t xml:space="preserve"> zneskom dolžniškega instrumenta. Če skupne pričakovane kr</w:t>
            </w:r>
            <w:r>
              <w:rPr>
                <w:rFonts w:ascii="Times New Roman" w:hAnsi="Times New Roman"/>
                <w:sz w:val="24"/>
              </w:rPr>
              <w:t>e</w:t>
            </w:r>
            <w:r>
              <w:rPr>
                <w:rFonts w:ascii="Times New Roman" w:hAnsi="Times New Roman"/>
                <w:sz w:val="24"/>
              </w:rPr>
              <w:t>ditne izgube za ta finančni instrument presegajo bruto knjigovodsko vrednost posoji</w:t>
            </w:r>
            <w:r>
              <w:rPr>
                <w:rFonts w:ascii="Times New Roman" w:hAnsi="Times New Roman"/>
                <w:sz w:val="24"/>
              </w:rPr>
              <w:t>l</w:t>
            </w:r>
            <w:r>
              <w:rPr>
                <w:rFonts w:ascii="Times New Roman" w:hAnsi="Times New Roman"/>
                <w:sz w:val="24"/>
              </w:rPr>
              <w:t>nega dela instrumenta, se preostalo stanje pričakovanih kreditnih izgub poroča kot rezervacija v stolpcu 250.</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Akumulirane negativne spremembe poštene vrednosti zaradi kreditnega tveganja </w:t>
            </w:r>
          </w:p>
          <w:p w:rsidR="00FD54FC" w:rsidRPr="00321A3B"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Za zunajbilančne postavke, merjene po pošteni vrednosti prek poslovnega izida v skl</w:t>
            </w:r>
            <w:r>
              <w:rPr>
                <w:rFonts w:ascii="Times New Roman" w:hAnsi="Times New Roman"/>
                <w:sz w:val="24"/>
              </w:rPr>
              <w:t>a</w:t>
            </w:r>
            <w:r>
              <w:rPr>
                <w:rFonts w:ascii="Times New Roman" w:hAnsi="Times New Roman"/>
                <w:sz w:val="24"/>
              </w:rPr>
              <w:t>du z MSRP 9, akumulirane negativne spremembe poštene vrednosti zaradi kreditnega tveganja (odstavek 110 dela 2 Priloge V).</w:t>
            </w:r>
          </w:p>
          <w:p w:rsidR="00FD54FC" w:rsidRPr="00392FFD" w:rsidRDefault="00730040" w:rsidP="00FD54FC">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B74792">
            <w:pPr>
              <w:spacing w:before="0" w:after="0"/>
              <w:ind w:left="33"/>
              <w:rPr>
                <w:rFonts w:ascii="Times New Roman" w:hAnsi="Times New Roman"/>
                <w:bCs/>
                <w:sz w:val="24"/>
              </w:rPr>
            </w:pPr>
            <w:r>
              <w:rPr>
                <w:rFonts w:ascii="Times New Roman" w:hAnsi="Times New Roman"/>
                <w:sz w:val="24"/>
              </w:rPr>
              <w:t>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Pojasnjevalna postavka: prodani kreditni izvedeni finančni instrumenti, katerih osnova je izpostavljenost do sektorja država</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Kreditne izvedene finančne instrumente, ki ne ustrezajo opredelitvi finančnih poroštev, ki jih je prevzela institucija poročevalka za nasprotne stranke, ki niso sektor država, ter katerih referenčna izpostavljenost je do sektorja država, je treba sporočiti.</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V teh stolpcih se ne poročajo izpostavljenosti, razčlenjene po kategoriji tveganja, reg</w:t>
            </w:r>
            <w:r>
              <w:rPr>
                <w:rFonts w:ascii="Times New Roman" w:hAnsi="Times New Roman"/>
                <w:sz w:val="24"/>
              </w:rPr>
              <w:t>u</w:t>
            </w:r>
            <w:r>
              <w:rPr>
                <w:rFonts w:ascii="Times New Roman" w:hAnsi="Times New Roman"/>
                <w:sz w:val="24"/>
              </w:rPr>
              <w:t>lativnega pristopa in kategoriji izpostavljenosti (vrstice 020 do 160).</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Izpostavljenosti, ki se poročajo v tem delu, se ne upoštevajo pri izračunu vrednosti izpostavljenosti in zneska tveganju prilagojene izpostavljenosti (stolpca 290 in 300), ki temelji izključno na neposrednih izpostavljenostih. </w:t>
            </w:r>
          </w:p>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 </w:t>
            </w: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Pr>
                <w:rFonts w:ascii="Times New Roman" w:hAnsi="Times New Roman"/>
                <w:sz w:val="24"/>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Izvedeni finančni instrumenti s pozitivno pošteno vrednostjo – knjigovodska vr</w:t>
            </w:r>
            <w:r>
              <w:rPr>
                <w:rFonts w:ascii="Times New Roman" w:hAnsi="Times New Roman"/>
                <w:b/>
                <w:sz w:val="24"/>
                <w:u w:val="single"/>
              </w:rPr>
              <w:t>e</w:t>
            </w:r>
            <w:r>
              <w:rPr>
                <w:rFonts w:ascii="Times New Roman" w:hAnsi="Times New Roman"/>
                <w:b/>
                <w:sz w:val="24"/>
                <w:u w:val="single"/>
              </w:rPr>
              <w:t>dnost</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Seštevek knjigovodske vrednosti poročanih prodanih kreditnih izvedenih finančnih instrumentov, katerih osnova je izpostavljenost do sektorja država, ki imajo pozitivno pošteno vrednost za institucijo na referenčni datum poročanja, brez upoštevanja pril</w:t>
            </w:r>
            <w:r>
              <w:rPr>
                <w:rFonts w:ascii="Times New Roman" w:hAnsi="Times New Roman"/>
                <w:sz w:val="24"/>
              </w:rPr>
              <w:t>a</w:t>
            </w:r>
            <w:r>
              <w:rPr>
                <w:rFonts w:ascii="Times New Roman" w:hAnsi="Times New Roman"/>
                <w:sz w:val="24"/>
              </w:rPr>
              <w:t>goditve preudarnega vrednotenja.</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Za izvedene finančne instrumente v skladu z MSRP je znesek, ki se poroča v tem st</w:t>
            </w:r>
            <w:r>
              <w:rPr>
                <w:rFonts w:ascii="Times New Roman" w:hAnsi="Times New Roman"/>
                <w:sz w:val="24"/>
              </w:rPr>
              <w:t>o</w:t>
            </w:r>
            <w:r>
              <w:rPr>
                <w:rFonts w:ascii="Times New Roman" w:hAnsi="Times New Roman"/>
                <w:sz w:val="24"/>
              </w:rPr>
              <w:t>lpcu, knjigovodska vrednost izvedenih finančnih instrumentov, ki so finančna sredstva, na datum poročanja.</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Za izvedene finančne instrumente v skladu z GAAP na podlagi direktive o računovo</w:t>
            </w:r>
            <w:r>
              <w:rPr>
                <w:rFonts w:ascii="Times New Roman" w:hAnsi="Times New Roman"/>
                <w:sz w:val="24"/>
              </w:rPr>
              <w:t>d</w:t>
            </w:r>
            <w:r>
              <w:rPr>
                <w:rFonts w:ascii="Times New Roman" w:hAnsi="Times New Roman"/>
                <w:sz w:val="24"/>
              </w:rPr>
              <w:t>skih izkazih bank se v tem stolpcu poroča znesek poštene vrednosti izvedenih finan</w:t>
            </w:r>
            <w:r>
              <w:rPr>
                <w:rFonts w:ascii="Times New Roman" w:hAnsi="Times New Roman"/>
                <w:sz w:val="24"/>
              </w:rPr>
              <w:t>č</w:t>
            </w:r>
            <w:r>
              <w:rPr>
                <w:rFonts w:ascii="Times New Roman" w:hAnsi="Times New Roman"/>
                <w:sz w:val="24"/>
              </w:rPr>
              <w:t>nih instrumentov s pozitivno pošteno vrednostjo na referenčni datum poročanja, neo</w:t>
            </w:r>
            <w:r>
              <w:rPr>
                <w:rFonts w:ascii="Times New Roman" w:hAnsi="Times New Roman"/>
                <w:sz w:val="24"/>
              </w:rPr>
              <w:t>d</w:t>
            </w:r>
            <w:r>
              <w:rPr>
                <w:rFonts w:ascii="Times New Roman" w:hAnsi="Times New Roman"/>
                <w:sz w:val="24"/>
              </w:rPr>
              <w:t>visno od tega, kako se obračunajo.</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Pr>
                <w:rFonts w:ascii="Times New Roman" w:hAnsi="Times New Roman"/>
                <w:sz w:val="24"/>
              </w:rPr>
              <w:lastRenderedPageBreak/>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Izvedeni finančni instrumenti z negativno pošteno vrednostjo – knjigovodska vrednost</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Seštevek knjigovodske vrednosti poročanih prodanih kreditnih izvedenih finančnih instrumentov, katerih osnova je izpostavljenost do sektorja država, ki imajo negativno pošteno vrednost za institucijo na referenčni datum poročanja, brez upoštevanja pril</w:t>
            </w:r>
            <w:r>
              <w:rPr>
                <w:rFonts w:ascii="Times New Roman" w:hAnsi="Times New Roman"/>
                <w:sz w:val="24"/>
              </w:rPr>
              <w:t>a</w:t>
            </w:r>
            <w:r>
              <w:rPr>
                <w:rFonts w:ascii="Times New Roman" w:hAnsi="Times New Roman"/>
                <w:sz w:val="24"/>
              </w:rPr>
              <w:t>goditve preudarnega vrednotenja.</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Za izvedene finančne instrumente v skladu z MSRP je znesek, ki se poroča v tem st</w:t>
            </w:r>
            <w:r>
              <w:rPr>
                <w:rFonts w:ascii="Times New Roman" w:hAnsi="Times New Roman"/>
                <w:sz w:val="24"/>
              </w:rPr>
              <w:t>o</w:t>
            </w:r>
            <w:r>
              <w:rPr>
                <w:rFonts w:ascii="Times New Roman" w:hAnsi="Times New Roman"/>
                <w:sz w:val="24"/>
              </w:rPr>
              <w:t>lpcu, knjigovodska vrednost izvedenih finančnih instrumentov, ki so finančne obve</w:t>
            </w:r>
            <w:r>
              <w:rPr>
                <w:rFonts w:ascii="Times New Roman" w:hAnsi="Times New Roman"/>
                <w:sz w:val="24"/>
              </w:rPr>
              <w:t>z</w:t>
            </w:r>
            <w:r>
              <w:rPr>
                <w:rFonts w:ascii="Times New Roman" w:hAnsi="Times New Roman"/>
                <w:sz w:val="24"/>
              </w:rPr>
              <w:t xml:space="preserve">nosti, na datum poročanja.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
                <w:bCs/>
                <w:sz w:val="24"/>
                <w:u w:val="single"/>
              </w:rPr>
            </w:pPr>
            <w:r>
              <w:rPr>
                <w:rFonts w:ascii="Times New Roman" w:hAnsi="Times New Roman"/>
                <w:sz w:val="24"/>
              </w:rPr>
              <w:t>Za izvedene finančne instrumente v skladu z GAAP na podlagi direktive o računovo</w:t>
            </w:r>
            <w:r>
              <w:rPr>
                <w:rFonts w:ascii="Times New Roman" w:hAnsi="Times New Roman"/>
                <w:sz w:val="24"/>
              </w:rPr>
              <w:t>d</w:t>
            </w:r>
            <w:r>
              <w:rPr>
                <w:rFonts w:ascii="Times New Roman" w:hAnsi="Times New Roman"/>
                <w:sz w:val="24"/>
              </w:rPr>
              <w:t>skih izkazih bank se v tem stolpcu poroča znesek poštene vrednosti izvedenih finan</w:t>
            </w:r>
            <w:r>
              <w:rPr>
                <w:rFonts w:ascii="Times New Roman" w:hAnsi="Times New Roman"/>
                <w:sz w:val="24"/>
              </w:rPr>
              <w:t>č</w:t>
            </w:r>
            <w:r>
              <w:rPr>
                <w:rFonts w:ascii="Times New Roman" w:hAnsi="Times New Roman"/>
                <w:sz w:val="24"/>
              </w:rPr>
              <w:t>nih instrumentov z negativno pošteno vrednostjo na referenčni datum poročanja, neo</w:t>
            </w:r>
            <w:r>
              <w:rPr>
                <w:rFonts w:ascii="Times New Roman" w:hAnsi="Times New Roman"/>
                <w:sz w:val="24"/>
              </w:rPr>
              <w:t>d</w:t>
            </w:r>
            <w:r>
              <w:rPr>
                <w:rFonts w:ascii="Times New Roman" w:hAnsi="Times New Roman"/>
                <w:sz w:val="24"/>
              </w:rPr>
              <w:t>visno od tega, kako se obračunajo.</w:t>
            </w:r>
            <w:r>
              <w:rPr>
                <w:rFonts w:ascii="Times New Roman" w:hAnsi="Times New Roman"/>
                <w:b/>
                <w:sz w:val="24"/>
                <w:u w:val="single"/>
              </w:rPr>
              <w:t xml:space="preserve"> </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Pr>
                <w:rFonts w:ascii="Times New Roman" w:hAnsi="Times New Roman"/>
                <w:sz w:val="24"/>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Vrednost izpostavljenosti</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Vrednost izpostavljenosti za izpostavljenosti, za katere velja okvir kreditnega tveganja.</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Za izpostavljenosti v skladu s standardiziranim pristopom (SA): glej člen 111 CRR. Za izpostavljenosti v skladu s pristopom IRB: glej člen 166 in drugi stavek člena 230(1) CRR.</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Za poročanje izvedenih finančnih instrumentov, za katere veljajo kapitalske zahteve tako za kreditno tveganje nasprotne stranke kot tržno tveganje, glej navodila za razčl</w:t>
            </w:r>
            <w:r>
              <w:rPr>
                <w:rFonts w:ascii="Times New Roman" w:hAnsi="Times New Roman"/>
                <w:sz w:val="24"/>
              </w:rPr>
              <w:t>e</w:t>
            </w:r>
            <w:r>
              <w:rPr>
                <w:rFonts w:ascii="Times New Roman" w:hAnsi="Times New Roman"/>
                <w:sz w:val="24"/>
              </w:rPr>
              <w:t>nitev vrstic.</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Znesek tveganju prilagojenih izpostavljenosti </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Znesek tveganju prilagojene izpostavljenosti za izpostavljenosti, za katere velja okvir kreditnega tveganja.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Za izpostavljenosti v skladu s standardiziranim pristopom (SA): glej člen 113(1) do (5) CRR. Za izpostavljenosti v skladu s pristopom IRB: glej člen 153(1) in (3) CRR.</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Za poročanje neposrednih izpostavljenosti iz področja uporabe člena 271 CRR, za katere veljajo kapitalske zahteve tako za kreditno tveganje nasprotne stranke kot tržno tveganje, glej navodila za razčlenitev vrstic.</w:t>
            </w:r>
          </w:p>
          <w:p w:rsidR="00FD54FC" w:rsidRPr="00392FFD" w:rsidRDefault="00FD54FC" w:rsidP="00FD54FC">
            <w:pPr>
              <w:spacing w:before="0" w:after="0"/>
              <w:ind w:left="33"/>
              <w:rPr>
                <w:rFonts w:ascii="Times New Roman" w:hAnsi="Times New Roman"/>
                <w:b/>
                <w:bCs/>
                <w:sz w:val="24"/>
                <w:u w:val="single"/>
              </w:rPr>
            </w:pPr>
          </w:p>
        </w:tc>
      </w:tr>
    </w:tbl>
    <w:p w:rsidR="00FD54FC" w:rsidRPr="00392FFD" w:rsidRDefault="00FD54FC" w:rsidP="00FD54FC">
      <w:pPr>
        <w:spacing w:before="0" w:after="0"/>
        <w:ind w:left="33"/>
        <w:rPr>
          <w:rFonts w:ascii="Times New Roman" w:hAnsi="Times New Roman"/>
          <w:bCs/>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392FFD" w:rsidTr="00672D2A">
        <w:tc>
          <w:tcPr>
            <w:tcW w:w="1188" w:type="dxa"/>
            <w:shd w:val="clear" w:color="auto" w:fill="CCCCCC"/>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Vrstice</w:t>
            </w:r>
          </w:p>
        </w:tc>
        <w:tc>
          <w:tcPr>
            <w:tcW w:w="8701" w:type="dxa"/>
            <w:shd w:val="clear" w:color="auto" w:fill="CCCCCC"/>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Navodila</w:t>
            </w:r>
          </w:p>
        </w:tc>
      </w:tr>
      <w:tr w:rsidR="00FD54FC" w:rsidRPr="00392FFD" w:rsidTr="00672D2A">
        <w:tc>
          <w:tcPr>
            <w:tcW w:w="9889" w:type="dxa"/>
            <w:gridSpan w:val="2"/>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RAZČLENITEV IZPOSTAVLJENOSTI PO REGULATIVNEM PRISTOPU</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shd w:val="clear"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010</w:t>
            </w:r>
          </w:p>
        </w:tc>
        <w:tc>
          <w:tcPr>
            <w:tcW w:w="8701" w:type="dxa"/>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Skupni znesek izpostavljenosti</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Seštevek izpostavljenosti do sektorja država, kot je opredeljeno v odstavku 1.</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A85E91">
            <w:pPr>
              <w:spacing w:before="0" w:after="0"/>
              <w:ind w:left="33"/>
              <w:rPr>
                <w:rFonts w:ascii="Times New Roman" w:hAnsi="Times New Roman"/>
                <w:bCs/>
                <w:sz w:val="24"/>
              </w:rPr>
            </w:pPr>
            <w:r>
              <w:rPr>
                <w:rFonts w:ascii="Times New Roman" w:hAnsi="Times New Roman"/>
                <w:sz w:val="24"/>
              </w:rPr>
              <w:t>020–155</w:t>
            </w:r>
          </w:p>
        </w:tc>
        <w:tc>
          <w:tcPr>
            <w:tcW w:w="8701" w:type="dxa"/>
          </w:tcPr>
          <w:p w:rsidR="00FD54FC" w:rsidRPr="00392FFD" w:rsidRDefault="00FD54FC" w:rsidP="00FD54FC">
            <w:pPr>
              <w:spacing w:before="0" w:after="0"/>
              <w:ind w:left="33"/>
              <w:rPr>
                <w:rFonts w:ascii="Times New Roman" w:hAnsi="Times New Roman"/>
                <w:bCs/>
                <w:sz w:val="24"/>
              </w:rPr>
            </w:pPr>
            <w:r>
              <w:rPr>
                <w:rFonts w:ascii="Times New Roman" w:hAnsi="Times New Roman"/>
                <w:b/>
                <w:sz w:val="24"/>
                <w:u w:val="single"/>
              </w:rPr>
              <w:t>Izpostavljenosti v skladu z okvirom kreditnega tveganja</w:t>
            </w:r>
          </w:p>
          <w:p w:rsidR="00FD54FC" w:rsidRPr="00392FFD" w:rsidRDefault="00FD54FC" w:rsidP="00542EAE">
            <w:pPr>
              <w:spacing w:before="0" w:after="0"/>
              <w:ind w:left="33"/>
              <w:rPr>
                <w:rFonts w:ascii="Times New Roman" w:hAnsi="Times New Roman"/>
                <w:bCs/>
                <w:sz w:val="24"/>
              </w:rPr>
            </w:pPr>
          </w:p>
          <w:p w:rsidR="00542EAE" w:rsidRDefault="00FD54FC" w:rsidP="009068C9">
            <w:pPr>
              <w:spacing w:before="0" w:after="0"/>
              <w:ind w:left="33"/>
              <w:rPr>
                <w:rFonts w:ascii="Times New Roman" w:hAnsi="Times New Roman"/>
                <w:bCs/>
                <w:sz w:val="24"/>
              </w:rPr>
            </w:pPr>
            <w:r>
              <w:rPr>
                <w:rFonts w:ascii="Times New Roman" w:hAnsi="Times New Roman"/>
                <w:sz w:val="24"/>
              </w:rPr>
              <w:t xml:space="preserve">Seštevek izpostavljenosti do sektorja država, ki se bodo prilagodile tveganjem v skladu z naslovom II dela 3 CRR. Izpostavljenosti v skladu z okvirom kreditnega tveganja vključujejo tako izpostavljenosti iz </w:t>
            </w:r>
            <w:proofErr w:type="spellStart"/>
            <w:r>
              <w:rPr>
                <w:rFonts w:ascii="Times New Roman" w:hAnsi="Times New Roman"/>
                <w:sz w:val="24"/>
              </w:rPr>
              <w:t>netrgovalne</w:t>
            </w:r>
            <w:proofErr w:type="spellEnd"/>
            <w:r>
              <w:rPr>
                <w:rFonts w:ascii="Times New Roman" w:hAnsi="Times New Roman"/>
                <w:sz w:val="24"/>
              </w:rPr>
              <w:t xml:space="preserve"> kot trgovalne knjige, za katere velja kapitalska zahteva za kreditno tveganje nasprotne stranke. </w:t>
            </w:r>
          </w:p>
          <w:p w:rsidR="00FD54FC" w:rsidRPr="00D95045" w:rsidRDefault="00FD54FC" w:rsidP="009068C9">
            <w:pPr>
              <w:spacing w:before="0" w:after="0"/>
              <w:ind w:left="33"/>
              <w:rPr>
                <w:rFonts w:ascii="Times New Roman" w:hAnsi="Times New Roman"/>
                <w:bCs/>
                <w:sz w:val="24"/>
              </w:rPr>
            </w:pPr>
          </w:p>
          <w:p w:rsidR="00542EAE" w:rsidRDefault="00FD54FC" w:rsidP="009068C9">
            <w:pPr>
              <w:spacing w:before="0" w:after="0"/>
              <w:ind w:left="33"/>
              <w:rPr>
                <w:rFonts w:ascii="Times New Roman" w:hAnsi="Times New Roman"/>
                <w:bCs/>
                <w:sz w:val="24"/>
              </w:rPr>
            </w:pPr>
            <w:r>
              <w:rPr>
                <w:rFonts w:ascii="Times New Roman" w:hAnsi="Times New Roman"/>
                <w:sz w:val="24"/>
              </w:rPr>
              <w:t>Neposredne izpostavljenosti iz področja uporabe člena 271 CRR, za katere veljajo kap</w:t>
            </w:r>
            <w:r>
              <w:rPr>
                <w:rFonts w:ascii="Times New Roman" w:hAnsi="Times New Roman"/>
                <w:sz w:val="24"/>
              </w:rPr>
              <w:t>i</w:t>
            </w:r>
            <w:r>
              <w:rPr>
                <w:rFonts w:ascii="Times New Roman" w:hAnsi="Times New Roman"/>
                <w:sz w:val="24"/>
              </w:rPr>
              <w:t>talske zahteve tako za kreditno tveganje nasprotne stranke kot tržno tveganje, se por</w:t>
            </w:r>
            <w:r>
              <w:rPr>
                <w:rFonts w:ascii="Times New Roman" w:hAnsi="Times New Roman"/>
                <w:sz w:val="24"/>
              </w:rPr>
              <w:t>o</w:t>
            </w:r>
            <w:r>
              <w:rPr>
                <w:rFonts w:ascii="Times New Roman" w:hAnsi="Times New Roman"/>
                <w:sz w:val="24"/>
              </w:rPr>
              <w:t>čajo v vrsticah za kreditno tveganje (020 do 155) in vrstici za tržno tveganje (vrstica 160): izpostavljenosti zaradi kreditnega tveganja nasprotne stranke se poročajo v vrst</w:t>
            </w:r>
            <w:r>
              <w:rPr>
                <w:rFonts w:ascii="Times New Roman" w:hAnsi="Times New Roman"/>
                <w:sz w:val="24"/>
              </w:rPr>
              <w:t>i</w:t>
            </w:r>
            <w:r>
              <w:rPr>
                <w:rFonts w:ascii="Times New Roman" w:hAnsi="Times New Roman"/>
                <w:sz w:val="24"/>
              </w:rPr>
              <w:t>cah za kreditno tveganje, medtem ko se izpostavljenosti zaradi tržnega tveganja poroč</w:t>
            </w:r>
            <w:r>
              <w:rPr>
                <w:rFonts w:ascii="Times New Roman" w:hAnsi="Times New Roman"/>
                <w:sz w:val="24"/>
              </w:rPr>
              <w:t>a</w:t>
            </w:r>
            <w:r>
              <w:rPr>
                <w:rFonts w:ascii="Times New Roman" w:hAnsi="Times New Roman"/>
                <w:sz w:val="24"/>
              </w:rPr>
              <w:t>jo v vrstici za tržno tveganje.</w:t>
            </w:r>
          </w:p>
          <w:p w:rsidR="00542EAE" w:rsidRPr="00392FFD" w:rsidRDefault="00542EAE" w:rsidP="009068C9">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030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Standardizirani pristop</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Izpostavljenosti do sektorja država, ki se prilagodijo tveganju v skladu s poglavjem 2 dela 3 naslova II CRR, vključno z izpostavljenostmi iz </w:t>
            </w:r>
            <w:proofErr w:type="spellStart"/>
            <w:r>
              <w:rPr>
                <w:rFonts w:ascii="Times New Roman" w:hAnsi="Times New Roman"/>
                <w:sz w:val="24"/>
              </w:rPr>
              <w:t>netrgovalne</w:t>
            </w:r>
            <w:proofErr w:type="spellEnd"/>
            <w:r>
              <w:rPr>
                <w:rFonts w:ascii="Times New Roman" w:hAnsi="Times New Roman"/>
                <w:sz w:val="24"/>
              </w:rPr>
              <w:t xml:space="preserve"> knjige, za katere se pri prilagoditvi tveganju v skladu z navedenim poglavjem upošteva kreditno tveganje nasprotne stranke.</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040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Enote centralne ravni držav</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Izpostavljenosti do sektorja država, ki so izpostavljenosti do enot centralne ravni drž</w:t>
            </w:r>
            <w:r>
              <w:rPr>
                <w:rFonts w:ascii="Times New Roman" w:hAnsi="Times New Roman"/>
                <w:sz w:val="24"/>
              </w:rPr>
              <w:t>a</w:t>
            </w:r>
            <w:r>
              <w:rPr>
                <w:rFonts w:ascii="Times New Roman" w:hAnsi="Times New Roman"/>
                <w:sz w:val="24"/>
              </w:rPr>
              <w:t>ve. Te izpostavljenosti se razvrstijo v kategorijo izpostavljenosti do „Enote centralne ravni države ali centralne banke“ v skladu s členoma 112 in 114 CRR, kot je določeno v navodilih za predlogo C 07.00, pri čemer so izjema specifikacije glede prerazporedi</w:t>
            </w:r>
            <w:r>
              <w:rPr>
                <w:rFonts w:ascii="Times New Roman" w:hAnsi="Times New Roman"/>
                <w:sz w:val="24"/>
              </w:rPr>
              <w:t>t</w:t>
            </w:r>
            <w:r>
              <w:rPr>
                <w:rFonts w:ascii="Times New Roman" w:hAnsi="Times New Roman"/>
                <w:sz w:val="24"/>
              </w:rPr>
              <w:t>ve izpostavljenosti do sektorja država v druge kategorije izpostavljenosti zaradi upor</w:t>
            </w:r>
            <w:r>
              <w:rPr>
                <w:rFonts w:ascii="Times New Roman" w:hAnsi="Times New Roman"/>
                <w:sz w:val="24"/>
              </w:rPr>
              <w:t>a</w:t>
            </w:r>
            <w:r>
              <w:rPr>
                <w:rFonts w:ascii="Times New Roman" w:hAnsi="Times New Roman"/>
                <w:sz w:val="24"/>
              </w:rPr>
              <w:t>be tehnik za zmanjšanje kreditnega tveganja z učinki zamenjave na izpostavljenost, ki se ne uporabljajo.</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050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Enote regionalne ali lokalne ravni držav</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Izpostavljenosti do sektorja država, ki so izpostavljenosti do enot regionalne ali lokalne ravni držav. Te izpostavljenosti se razvrstijo v kategorijo izpostavljenosti „Enote regi</w:t>
            </w:r>
            <w:r>
              <w:rPr>
                <w:rFonts w:ascii="Times New Roman" w:hAnsi="Times New Roman"/>
                <w:sz w:val="24"/>
              </w:rPr>
              <w:t>o</w:t>
            </w:r>
            <w:r>
              <w:rPr>
                <w:rFonts w:ascii="Times New Roman" w:hAnsi="Times New Roman"/>
                <w:sz w:val="24"/>
              </w:rPr>
              <w:t>nalne ali lokalne ravni držav“ v skladu s členoma 112 in 115 CRR, kot je določeno v navodilih za predlogo C 07.00, pri čemer so izjema specifikacije glede prerazporeditve izpostavljenosti do sektorja država v druge kategorije izpostavljenosti zaradi uporabe tehnik za zmanjšanje kreditnega tveganja z učinki zamenjave na izpostavljenosti, ki se ne uporabljajo.</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060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Subjekti javnega sektorja</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Izpostavljenosti do sektorja država, ki so izpostavljenosti do subjektov javnega sekto</w:t>
            </w:r>
            <w:r>
              <w:rPr>
                <w:rFonts w:ascii="Times New Roman" w:hAnsi="Times New Roman"/>
                <w:sz w:val="24"/>
              </w:rPr>
              <w:t>r</w:t>
            </w:r>
            <w:r>
              <w:rPr>
                <w:rFonts w:ascii="Times New Roman" w:hAnsi="Times New Roman"/>
                <w:sz w:val="24"/>
              </w:rPr>
              <w:t>ja. Te izpostavljenosti se razvrstijo v kategorijo izpostavljenosti „Subjekti javnega se</w:t>
            </w:r>
            <w:r>
              <w:rPr>
                <w:rFonts w:ascii="Times New Roman" w:hAnsi="Times New Roman"/>
                <w:sz w:val="24"/>
              </w:rPr>
              <w:t>k</w:t>
            </w:r>
            <w:r>
              <w:rPr>
                <w:rFonts w:ascii="Times New Roman" w:hAnsi="Times New Roman"/>
                <w:sz w:val="24"/>
              </w:rPr>
              <w:t xml:space="preserve">torja“ v skladu s členoma 112 in 116 CRR, kot je določeno v navodilih za predlogo C </w:t>
            </w:r>
            <w:r>
              <w:rPr>
                <w:rFonts w:ascii="Times New Roman" w:hAnsi="Times New Roman"/>
                <w:sz w:val="24"/>
              </w:rPr>
              <w:lastRenderedPageBreak/>
              <w:t>07.00, pri čemer so izjema specifikacije glede prerazporeditve izpostavljenosti do se</w:t>
            </w:r>
            <w:r>
              <w:rPr>
                <w:rFonts w:ascii="Times New Roman" w:hAnsi="Times New Roman"/>
                <w:sz w:val="24"/>
              </w:rPr>
              <w:t>k</w:t>
            </w:r>
            <w:r>
              <w:rPr>
                <w:rFonts w:ascii="Times New Roman" w:hAnsi="Times New Roman"/>
                <w:sz w:val="24"/>
              </w:rPr>
              <w:t>torja država v druge kategorije izpostavljenosti zaradi uporabe tehnik za zmanjšanje kreditnega tveganja z učinki zamenjave na izpostavljenosti, ki se ne uporabljajo.</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070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Mednarodne organizacije</w:t>
            </w:r>
          </w:p>
          <w:p w:rsidR="00FD54FC" w:rsidRPr="00392FFD" w:rsidRDefault="00FD54FC" w:rsidP="00FD54FC">
            <w:pPr>
              <w:spacing w:before="0" w:after="0"/>
              <w:ind w:left="33"/>
              <w:rPr>
                <w:rFonts w:ascii="Times New Roman" w:hAnsi="Times New Roman"/>
                <w:bCs/>
                <w:sz w:val="24"/>
              </w:rPr>
            </w:pPr>
          </w:p>
          <w:p w:rsidR="00FD54FC" w:rsidRPr="00392FFD" w:rsidRDefault="00530BA1" w:rsidP="00FD54FC">
            <w:pPr>
              <w:spacing w:before="0" w:after="0"/>
              <w:ind w:left="33"/>
              <w:rPr>
                <w:rFonts w:ascii="Times New Roman" w:hAnsi="Times New Roman"/>
                <w:bCs/>
                <w:sz w:val="24"/>
              </w:rPr>
            </w:pPr>
            <w:r>
              <w:rPr>
                <w:rFonts w:ascii="Times New Roman" w:hAnsi="Times New Roman"/>
                <w:sz w:val="24"/>
              </w:rPr>
              <w:t>Izpostavljenosti do sektorja država, ki vključujejo mednarodne organizacije. Te izpo</w:t>
            </w:r>
            <w:r>
              <w:rPr>
                <w:rFonts w:ascii="Times New Roman" w:hAnsi="Times New Roman"/>
                <w:sz w:val="24"/>
              </w:rPr>
              <w:t>s</w:t>
            </w:r>
            <w:r>
              <w:rPr>
                <w:rFonts w:ascii="Times New Roman" w:hAnsi="Times New Roman"/>
                <w:sz w:val="24"/>
              </w:rPr>
              <w:t>tavljenosti se razvrstijo v kategorijo izpostavljenosti „Mednarodne organizacije“ v skladu s členoma 112 in 118 CRR, kot je določeno v navodilih za predlogo C 07.00, pri čemer so izjema specifikacije glede prerazporeditve izpostavljenosti do sektorja država v druge kategorije izpostavljenosti zaradi uporabe tehnik za zmanjšanje kreditnega tv</w:t>
            </w:r>
            <w:r>
              <w:rPr>
                <w:rFonts w:ascii="Times New Roman" w:hAnsi="Times New Roman"/>
                <w:sz w:val="24"/>
              </w:rPr>
              <w:t>e</w:t>
            </w:r>
            <w:r>
              <w:rPr>
                <w:rFonts w:ascii="Times New Roman" w:hAnsi="Times New Roman"/>
                <w:sz w:val="24"/>
              </w:rPr>
              <w:t>ganja z učinki zamenjave na izpostavljenosti, ki se ne uporabljajo.</w:t>
            </w:r>
          </w:p>
          <w:p w:rsidR="00FD54FC" w:rsidRPr="00392FFD" w:rsidRDefault="00FD54FC" w:rsidP="00FD54FC">
            <w:pPr>
              <w:spacing w:before="0" w:after="0"/>
              <w:ind w:left="33"/>
              <w:rPr>
                <w:rFonts w:ascii="Times New Roman" w:hAnsi="Times New Roman"/>
                <w:b/>
                <w:bCs/>
                <w:sz w:val="24"/>
                <w:u w:val="single"/>
              </w:rPr>
            </w:pPr>
          </w:p>
        </w:tc>
      </w:tr>
      <w:tr w:rsidR="00CE47AF" w:rsidRPr="00392FFD" w:rsidTr="00672D2A">
        <w:tc>
          <w:tcPr>
            <w:tcW w:w="1188" w:type="dxa"/>
          </w:tcPr>
          <w:p w:rsidR="00CE47AF" w:rsidRPr="00392FFD" w:rsidRDefault="00CE47AF" w:rsidP="00FD54FC">
            <w:pPr>
              <w:spacing w:before="0" w:after="0"/>
              <w:ind w:left="33"/>
              <w:rPr>
                <w:rFonts w:ascii="Times New Roman" w:hAnsi="Times New Roman"/>
                <w:bCs/>
                <w:sz w:val="24"/>
              </w:rPr>
            </w:pPr>
            <w:r>
              <w:rPr>
                <w:rFonts w:ascii="Times New Roman" w:hAnsi="Times New Roman"/>
                <w:sz w:val="24"/>
              </w:rPr>
              <w:t>075</w:t>
            </w:r>
          </w:p>
        </w:tc>
        <w:tc>
          <w:tcPr>
            <w:tcW w:w="8701" w:type="dxa"/>
          </w:tcPr>
          <w:p w:rsidR="00CE47AF" w:rsidRDefault="00CE47AF" w:rsidP="00FD54FC">
            <w:pPr>
              <w:spacing w:before="0" w:after="0"/>
              <w:ind w:left="33"/>
              <w:rPr>
                <w:rFonts w:ascii="Times New Roman" w:hAnsi="Times New Roman"/>
                <w:b/>
                <w:bCs/>
                <w:sz w:val="24"/>
                <w:u w:val="single"/>
              </w:rPr>
            </w:pPr>
            <w:r>
              <w:rPr>
                <w:rFonts w:ascii="Times New Roman" w:hAnsi="Times New Roman"/>
                <w:b/>
                <w:sz w:val="24"/>
                <w:u w:val="single"/>
              </w:rPr>
              <w:t>Druge izpostavljenosti do sektorja država, za katere se uporablja standardizirani pristop</w:t>
            </w:r>
          </w:p>
          <w:p w:rsidR="00CE47AF" w:rsidRPr="00392FFD" w:rsidRDefault="00CE47AF" w:rsidP="00CE47AF">
            <w:pPr>
              <w:spacing w:before="0" w:after="0"/>
              <w:ind w:left="33"/>
              <w:rPr>
                <w:rFonts w:ascii="Times New Roman" w:hAnsi="Times New Roman"/>
                <w:bCs/>
                <w:sz w:val="24"/>
              </w:rPr>
            </w:pPr>
          </w:p>
          <w:p w:rsidR="00CE47AF" w:rsidRDefault="00530BA1" w:rsidP="00FD54FC">
            <w:pPr>
              <w:spacing w:before="0" w:after="0"/>
              <w:ind w:left="33"/>
              <w:rPr>
                <w:rFonts w:ascii="Times New Roman" w:hAnsi="Times New Roman"/>
                <w:bCs/>
                <w:sz w:val="24"/>
              </w:rPr>
            </w:pPr>
            <w:r>
              <w:rPr>
                <w:rFonts w:ascii="Times New Roman" w:hAnsi="Times New Roman"/>
                <w:sz w:val="24"/>
              </w:rPr>
              <w:t>Izpostavljenosti do sektorja država, razen tistih iz vrstic 040 do 070 zgoraj, ki se razp</w:t>
            </w:r>
            <w:r>
              <w:rPr>
                <w:rFonts w:ascii="Times New Roman" w:hAnsi="Times New Roman"/>
                <w:sz w:val="24"/>
              </w:rPr>
              <w:t>o</w:t>
            </w:r>
            <w:r>
              <w:rPr>
                <w:rFonts w:ascii="Times New Roman" w:hAnsi="Times New Roman"/>
                <w:sz w:val="24"/>
              </w:rPr>
              <w:t>redijo v kategorije izpostavljenosti na podlagi standardiziranega pristopa v skladu s členom 112 CRR za namene izračuna kapitalskih zahtev.</w:t>
            </w:r>
          </w:p>
          <w:p w:rsidR="00530BA1" w:rsidRPr="00392FFD" w:rsidRDefault="00530BA1" w:rsidP="00530BA1">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080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Pristop IRB</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Izpostavljenosti do sektorja država, ki se prilagodijo tveganju v skladu s poglavjem 3 dela 3 naslova II CRR, vključno z izpostavljenostmi iz </w:t>
            </w:r>
            <w:proofErr w:type="spellStart"/>
            <w:r>
              <w:rPr>
                <w:rFonts w:ascii="Times New Roman" w:hAnsi="Times New Roman"/>
                <w:sz w:val="24"/>
              </w:rPr>
              <w:t>netrgovalne</w:t>
            </w:r>
            <w:proofErr w:type="spellEnd"/>
            <w:r>
              <w:rPr>
                <w:rFonts w:ascii="Times New Roman" w:hAnsi="Times New Roman"/>
                <w:sz w:val="24"/>
              </w:rPr>
              <w:t xml:space="preserve"> knjige, za katere se pri prilagoditvi tveganju v skladu z navedenim poglavjem upošteva kreditno tveganje nasprotne stranke.</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090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Enote centralne ravni držav</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Izpostavljenosti do sektorja država, ki so izpostavljenosti do enot centralne ravni države in se razvrstijo v kategorijo izpostavljenosti „Enote centralne ravni države in centralne banke“ v skladu s členom 147(3)(a) CRR, kot je določeno v navodilih za predlogi C 08.01 in C 08.02, pri čemer so izjema specifikacije glede prerazporeditve izpostavlj</w:t>
            </w:r>
            <w:r>
              <w:rPr>
                <w:rFonts w:ascii="Times New Roman" w:hAnsi="Times New Roman"/>
                <w:sz w:val="24"/>
              </w:rPr>
              <w:t>e</w:t>
            </w:r>
            <w:r>
              <w:rPr>
                <w:rFonts w:ascii="Times New Roman" w:hAnsi="Times New Roman"/>
                <w:sz w:val="24"/>
              </w:rPr>
              <w:t>nosti do sektorja država v druge kategorije izpostavljenosti zaradi uporabe tehnik za zmanjšanje kreditnega tveganja z učinki zamenjave na izpostavljenosti, ki se ne upora</w:t>
            </w:r>
            <w:r>
              <w:rPr>
                <w:rFonts w:ascii="Times New Roman" w:hAnsi="Times New Roman"/>
                <w:sz w:val="24"/>
              </w:rPr>
              <w:t>b</w:t>
            </w:r>
            <w:r>
              <w:rPr>
                <w:rFonts w:ascii="Times New Roman" w:hAnsi="Times New Roman"/>
                <w:sz w:val="24"/>
              </w:rPr>
              <w:t>ljajo.</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100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Enote regionalne ali lokalne ravni države [enote centralne ravni države in ce</w:t>
            </w:r>
            <w:r>
              <w:rPr>
                <w:rFonts w:ascii="Times New Roman" w:hAnsi="Times New Roman"/>
                <w:b/>
                <w:sz w:val="24"/>
                <w:u w:val="single"/>
              </w:rPr>
              <w:t>n</w:t>
            </w:r>
            <w:r>
              <w:rPr>
                <w:rFonts w:ascii="Times New Roman" w:hAnsi="Times New Roman"/>
                <w:b/>
                <w:sz w:val="24"/>
                <w:u w:val="single"/>
              </w:rPr>
              <w:t>tralne banke]</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Izpostavljenosti do sektorja država, ki so izpostavljenosti do enot regionalne ali lokalne ravni države in se razvrstijo v kategorijo izpostavljenosti „Enote centralne ravni države in centralne banke“ v skladu s členom 147(3)(a) CRR, kot je določeno v navodilih za predlogi C 08.01 in C 08.02, pri čemer so izjema specifikacije glede prerazporeditve izpostavljenosti do sektorja država v druge kategorije izpostavljenosti zaradi uporabe tehnik za zmanjšanje kreditnega tveganja z učinki zamenjave na izpostavljenosti, ki se ne uporabljajo.</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110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Enote regionalne ali lokalne ravni države [institucije]</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Izpostavljenosti do sektorja država, ki so izpostavljenosti do enot regionalne ali lokalne ravni države in se razvrstijo v kategorijo izpostavljenosti „Institucije“ v skladu s čl</w:t>
            </w:r>
            <w:r>
              <w:rPr>
                <w:rFonts w:ascii="Times New Roman" w:hAnsi="Times New Roman"/>
                <w:sz w:val="24"/>
              </w:rPr>
              <w:t>e</w:t>
            </w:r>
            <w:r>
              <w:rPr>
                <w:rFonts w:ascii="Times New Roman" w:hAnsi="Times New Roman"/>
                <w:sz w:val="24"/>
              </w:rPr>
              <w:t>nom 147(4)(a) CRR, kot je določeno v navodilih za predlogi C 08.01 in C 08.02, pri čemer so izjema specifikacije glede prerazporeditve izpostavljenosti do države v druge kategorije izpostavljenosti zaradi uporabe tehnik za zmanjšanje kreditnega tveganja z učinki zamenjave na izpostavljenosti, ki se ne uporabljajo.</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120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Subjekti javnega sektorja [enote centralne ravni države in centralne banke]</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Izpostavljenosti do sektorja država, ki so izpostavljenosti do subjektov javnega sektorja v skladu s členom 4(8) CRR in se razvrstijo v kategorijo izpostavljenosti „Enote ce</w:t>
            </w:r>
            <w:r>
              <w:rPr>
                <w:rFonts w:ascii="Times New Roman" w:hAnsi="Times New Roman"/>
                <w:sz w:val="24"/>
              </w:rPr>
              <w:t>n</w:t>
            </w:r>
            <w:r>
              <w:rPr>
                <w:rFonts w:ascii="Times New Roman" w:hAnsi="Times New Roman"/>
                <w:sz w:val="24"/>
              </w:rPr>
              <w:t>tralne ravni države in centralne banke“ v skladu s členom 147(3)(a) CRR, kot je dol</w:t>
            </w:r>
            <w:r>
              <w:rPr>
                <w:rFonts w:ascii="Times New Roman" w:hAnsi="Times New Roman"/>
                <w:sz w:val="24"/>
              </w:rPr>
              <w:t>o</w:t>
            </w:r>
            <w:r>
              <w:rPr>
                <w:rFonts w:ascii="Times New Roman" w:hAnsi="Times New Roman"/>
                <w:sz w:val="24"/>
              </w:rPr>
              <w:t>čeno v navodilih za predlogi C 08.01 in C 08.02, pri čemer so izjema specifikacije gl</w:t>
            </w:r>
            <w:r>
              <w:rPr>
                <w:rFonts w:ascii="Times New Roman" w:hAnsi="Times New Roman"/>
                <w:sz w:val="24"/>
              </w:rPr>
              <w:t>e</w:t>
            </w:r>
            <w:r>
              <w:rPr>
                <w:rFonts w:ascii="Times New Roman" w:hAnsi="Times New Roman"/>
                <w:sz w:val="24"/>
              </w:rPr>
              <w:t>de prerazporeditve izpostavljenosti do sektorja država v druge kategorije izpostavljen</w:t>
            </w:r>
            <w:r>
              <w:rPr>
                <w:rFonts w:ascii="Times New Roman" w:hAnsi="Times New Roman"/>
                <w:sz w:val="24"/>
              </w:rPr>
              <w:t>o</w:t>
            </w:r>
            <w:r>
              <w:rPr>
                <w:rFonts w:ascii="Times New Roman" w:hAnsi="Times New Roman"/>
                <w:sz w:val="24"/>
              </w:rPr>
              <w:t>sti zaradi uporabe tehnik za zmanjšanje kreditnega tveganja z učinki zamenjave na izpostavljenosti, ki se ne uporabljajo.</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130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Subjekti javnega sektorja [institucije]</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Izpostavljenosti do sektorja država, ki so izpostavljenosti do subjektov javnega sektorja v skladu s členom 4(8) CRR in se razvrstijo v kategorijo izpostavljenosti „Institucije“ v skladu s členom 147(4)(b) CRR, kot je določeno v navodilih za predlogi C 08.01 in C 08.02, pri čemer so izjema specifikacije glede prerazporeditve izpostavljenosti do se</w:t>
            </w:r>
            <w:r>
              <w:rPr>
                <w:rFonts w:ascii="Times New Roman" w:hAnsi="Times New Roman"/>
                <w:sz w:val="24"/>
              </w:rPr>
              <w:t>k</w:t>
            </w:r>
            <w:r>
              <w:rPr>
                <w:rFonts w:ascii="Times New Roman" w:hAnsi="Times New Roman"/>
                <w:sz w:val="24"/>
              </w:rPr>
              <w:t>torja država v druge kategorije izpostavljenosti zaradi uporabe tehnik za zmanjšanje kreditnega tveganja z učinki zamenjave na izpostavljenosti, ki se ne uporabljajo.</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Del="00C211CB" w:rsidRDefault="00FD54FC" w:rsidP="00FD54FC">
            <w:pPr>
              <w:spacing w:before="0" w:after="0"/>
              <w:ind w:left="33"/>
              <w:rPr>
                <w:rFonts w:ascii="Times New Roman" w:hAnsi="Times New Roman"/>
                <w:bCs/>
                <w:sz w:val="24"/>
              </w:rPr>
            </w:pPr>
            <w:r>
              <w:rPr>
                <w:rFonts w:ascii="Times New Roman" w:hAnsi="Times New Roman"/>
                <w:sz w:val="24"/>
              </w:rPr>
              <w:t>140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Mednarodne organizacije [enote centralne ravni države in centralne banke]</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Izpostavljenosti do sektorja država, ki so izpostavljenosti do mednarodnih organizacij in se razvrstijo v kategorijo izpostavljenosti „Enote centralne ravni države in centralne banke“ v skladu s členom 147(3)(c) CRR, kot je določeno v navodilih za predlogi C 08.01 in C 08.02, pri čemer so izjema specifikacije glede prerazporeditve izpostavlj</w:t>
            </w:r>
            <w:r>
              <w:rPr>
                <w:rFonts w:ascii="Times New Roman" w:hAnsi="Times New Roman"/>
                <w:sz w:val="24"/>
              </w:rPr>
              <w:t>e</w:t>
            </w:r>
            <w:r>
              <w:rPr>
                <w:rFonts w:ascii="Times New Roman" w:hAnsi="Times New Roman"/>
                <w:sz w:val="24"/>
              </w:rPr>
              <w:t>nosti do sektorja država v druge kategorije izpostavljenosti zaradi uporabe tehnik za zmanjšanje kreditnega tveganja z učinki zamenjave na izpostavljenosti, ki se ne upora</w:t>
            </w:r>
            <w:r>
              <w:rPr>
                <w:rFonts w:ascii="Times New Roman" w:hAnsi="Times New Roman"/>
                <w:sz w:val="24"/>
              </w:rPr>
              <w:t>b</w:t>
            </w:r>
            <w:r>
              <w:rPr>
                <w:rFonts w:ascii="Times New Roman" w:hAnsi="Times New Roman"/>
                <w:sz w:val="24"/>
              </w:rPr>
              <w:t>ljajo.</w:t>
            </w:r>
          </w:p>
          <w:p w:rsidR="00FD54FC" w:rsidRPr="00392FFD" w:rsidRDefault="00FD54FC" w:rsidP="00FD54FC">
            <w:pPr>
              <w:spacing w:before="0" w:after="0"/>
              <w:ind w:left="33"/>
              <w:rPr>
                <w:rFonts w:ascii="Times New Roman" w:hAnsi="Times New Roman"/>
                <w:b/>
                <w:bCs/>
                <w:sz w:val="24"/>
                <w:u w:val="single"/>
              </w:rPr>
            </w:pPr>
          </w:p>
        </w:tc>
      </w:tr>
      <w:tr w:rsidR="00530BA1" w:rsidRPr="00392FFD" w:rsidTr="00672D2A">
        <w:tc>
          <w:tcPr>
            <w:tcW w:w="1188" w:type="dxa"/>
          </w:tcPr>
          <w:p w:rsidR="00530BA1" w:rsidRPr="00392FFD" w:rsidRDefault="00530BA1" w:rsidP="00FD54FC">
            <w:pPr>
              <w:spacing w:before="0" w:after="0"/>
              <w:ind w:left="33"/>
              <w:rPr>
                <w:rFonts w:ascii="Times New Roman" w:hAnsi="Times New Roman"/>
                <w:bCs/>
                <w:sz w:val="24"/>
              </w:rPr>
            </w:pPr>
            <w:r>
              <w:rPr>
                <w:rFonts w:ascii="Times New Roman" w:hAnsi="Times New Roman"/>
                <w:sz w:val="24"/>
              </w:rPr>
              <w:t>155</w:t>
            </w:r>
          </w:p>
        </w:tc>
        <w:tc>
          <w:tcPr>
            <w:tcW w:w="8701" w:type="dxa"/>
          </w:tcPr>
          <w:p w:rsidR="00530BA1" w:rsidRPr="00392FFD" w:rsidRDefault="00530BA1" w:rsidP="00530BA1">
            <w:pPr>
              <w:spacing w:before="0" w:after="0"/>
              <w:ind w:left="33"/>
              <w:rPr>
                <w:rFonts w:ascii="Times New Roman" w:hAnsi="Times New Roman"/>
                <w:b/>
                <w:bCs/>
                <w:sz w:val="24"/>
                <w:u w:val="single"/>
              </w:rPr>
            </w:pPr>
            <w:r>
              <w:rPr>
                <w:rFonts w:ascii="Times New Roman" w:hAnsi="Times New Roman"/>
                <w:b/>
                <w:sz w:val="24"/>
                <w:u w:val="single"/>
              </w:rPr>
              <w:t>Druge izpostavljenosti do sektorja država, za katere se uporablja pristop IRB</w:t>
            </w:r>
          </w:p>
          <w:p w:rsidR="00530BA1" w:rsidRPr="00392FFD" w:rsidRDefault="00530BA1" w:rsidP="00530BA1">
            <w:pPr>
              <w:spacing w:before="0" w:after="0"/>
              <w:ind w:left="33"/>
              <w:rPr>
                <w:rFonts w:ascii="Times New Roman" w:hAnsi="Times New Roman"/>
                <w:bCs/>
                <w:sz w:val="24"/>
              </w:rPr>
            </w:pPr>
          </w:p>
          <w:p w:rsidR="00530BA1" w:rsidRPr="00392FFD" w:rsidRDefault="00530BA1" w:rsidP="00530BA1">
            <w:pPr>
              <w:spacing w:before="0" w:after="0"/>
              <w:ind w:left="33"/>
              <w:rPr>
                <w:rFonts w:ascii="Times New Roman" w:hAnsi="Times New Roman"/>
                <w:bCs/>
                <w:sz w:val="24"/>
              </w:rPr>
            </w:pPr>
            <w:r>
              <w:rPr>
                <w:rFonts w:ascii="Times New Roman" w:hAnsi="Times New Roman"/>
                <w:sz w:val="24"/>
              </w:rPr>
              <w:t>Izpostavljenosti do sektorja država, razen tistih iz vrstic 090 do 140 zgoraj, ki se razp</w:t>
            </w:r>
            <w:r>
              <w:rPr>
                <w:rFonts w:ascii="Times New Roman" w:hAnsi="Times New Roman"/>
                <w:sz w:val="24"/>
              </w:rPr>
              <w:t>o</w:t>
            </w:r>
            <w:r>
              <w:rPr>
                <w:rFonts w:ascii="Times New Roman" w:hAnsi="Times New Roman"/>
                <w:sz w:val="24"/>
              </w:rPr>
              <w:t>redijo v kategorije izpostavljenosti na podlagi pristopa IRB v skladu s členom 147 CRR za namene izračuna kapitalskih zahtev.</w:t>
            </w:r>
          </w:p>
          <w:p w:rsidR="00530BA1" w:rsidRPr="00392FFD" w:rsidRDefault="00530BA1"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160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Izpostavljenosti, ki so predmet tržnega tveganja</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Izpostavljenosti tržnemu tveganju zajemajo pozicije, za katere se kapitalske zahteve izračunajo v skladu z naslovom IV dela 3 CRR.</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Neposredne izpostavljenosti iz področja uporabe člena 271 CRR, za katere veljajo kap</w:t>
            </w:r>
            <w:r>
              <w:rPr>
                <w:rFonts w:ascii="Times New Roman" w:hAnsi="Times New Roman"/>
                <w:sz w:val="24"/>
              </w:rPr>
              <w:t>i</w:t>
            </w:r>
            <w:r>
              <w:rPr>
                <w:rFonts w:ascii="Times New Roman" w:hAnsi="Times New Roman"/>
                <w:sz w:val="24"/>
              </w:rPr>
              <w:t>talske zahteve tako za kreditno tveganje nasprotne stranke kot tržno tveganje, se por</w:t>
            </w:r>
            <w:r>
              <w:rPr>
                <w:rFonts w:ascii="Times New Roman" w:hAnsi="Times New Roman"/>
                <w:sz w:val="24"/>
              </w:rPr>
              <w:t>o</w:t>
            </w:r>
            <w:r>
              <w:rPr>
                <w:rFonts w:ascii="Times New Roman" w:hAnsi="Times New Roman"/>
                <w:sz w:val="24"/>
              </w:rPr>
              <w:t xml:space="preserve">čajo v vrsticah za kreditno tveganje (020 do 155) in vrstici za tržno tveganje (vrstica </w:t>
            </w:r>
            <w:r>
              <w:rPr>
                <w:rFonts w:ascii="Times New Roman" w:hAnsi="Times New Roman"/>
                <w:sz w:val="24"/>
              </w:rPr>
              <w:lastRenderedPageBreak/>
              <w:t>160): izpostavljenost zaradi kreditnega tveganja nasprotne stranke se poroča v vrsticah za kreditno tveganje, medtem ko se izpostavljenost zaradi tržnega tveganja poroča v vrstici za tržno tveganje.</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rPr>
            </w:pPr>
            <w:r>
              <w:rPr>
                <w:rFonts w:ascii="Times New Roman" w:hAnsi="Times New Roman"/>
                <w:sz w:val="24"/>
              </w:rPr>
              <w:lastRenderedPageBreak/>
              <w:t>170–230</w:t>
            </w:r>
          </w:p>
        </w:tc>
        <w:tc>
          <w:tcPr>
            <w:tcW w:w="8701" w:type="dxa"/>
          </w:tcPr>
          <w:p w:rsidR="00FD54FC" w:rsidRPr="00392FFD" w:rsidRDefault="00FD54FC" w:rsidP="00FD54FC">
            <w:pPr>
              <w:spacing w:before="0" w:after="0"/>
              <w:ind w:left="33"/>
              <w:rPr>
                <w:rFonts w:ascii="Times New Roman" w:hAnsi="Times New Roman"/>
                <w:b/>
                <w:bCs/>
                <w:sz w:val="24"/>
              </w:rPr>
            </w:pPr>
            <w:r>
              <w:rPr>
                <w:rFonts w:ascii="Times New Roman" w:hAnsi="Times New Roman"/>
                <w:b/>
                <w:sz w:val="24"/>
              </w:rPr>
              <w:t>RAZČLENITEV IZPOSTAVLJENOSTI PO PREOSTALI ZAPADLOSTI</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Preostala zapadlost se izračuna v dneh med pogodbenim datumom zapadlosti in ref</w:t>
            </w:r>
            <w:r>
              <w:rPr>
                <w:rFonts w:ascii="Times New Roman" w:hAnsi="Times New Roman"/>
                <w:sz w:val="24"/>
              </w:rPr>
              <w:t>e</w:t>
            </w:r>
            <w:r>
              <w:rPr>
                <w:rFonts w:ascii="Times New Roman" w:hAnsi="Times New Roman"/>
                <w:sz w:val="24"/>
              </w:rPr>
              <w:t>renčnim datumom poročanja za vse pozicije.</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Izpostavljenosti do sektorja država se razčlenijo po preostali zapadlosti in razvrstijo po intervalih, kot sledi:</w:t>
            </w:r>
          </w:p>
          <w:p w:rsidR="00FD54FC" w:rsidRPr="00392FFD" w:rsidRDefault="00FD54FC" w:rsidP="00FD54FC">
            <w:pPr>
              <w:spacing w:before="0" w:after="0"/>
              <w:ind w:left="33"/>
              <w:rPr>
                <w:rFonts w:ascii="Times New Roman" w:hAnsi="Times New Roman"/>
                <w:bCs/>
                <w:sz w:val="24"/>
              </w:rPr>
            </w:pP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[ 0 – 3 M [</w:t>
            </w:r>
            <w:r>
              <w:rPr>
                <w:rFonts w:ascii="Times New Roman" w:hAnsi="Times New Roman"/>
                <w:sz w:val="24"/>
              </w:rPr>
              <w:t xml:space="preserve"> : manj kot 90 dni</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[ 3 M – 1 L [</w:t>
            </w:r>
            <w:r>
              <w:rPr>
                <w:rFonts w:ascii="Times New Roman" w:hAnsi="Times New Roman"/>
                <w:sz w:val="24"/>
              </w:rPr>
              <w:t xml:space="preserve"> : 90 dni ali več in manj kot 365 dni</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[ 1 L – 2 L [</w:t>
            </w:r>
            <w:r>
              <w:rPr>
                <w:rFonts w:ascii="Times New Roman" w:hAnsi="Times New Roman"/>
                <w:sz w:val="24"/>
              </w:rPr>
              <w:t xml:space="preserve"> : 365 dni ali več in manj kot 730 dni</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[ 2 L – 3 L [</w:t>
            </w:r>
            <w:r>
              <w:rPr>
                <w:rFonts w:ascii="Times New Roman" w:hAnsi="Times New Roman"/>
                <w:sz w:val="24"/>
              </w:rPr>
              <w:t xml:space="preserve"> : 730 dni ali več in manj kot 1 095 dni</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[ 3 L – 5 L [</w:t>
            </w:r>
            <w:r>
              <w:rPr>
                <w:rFonts w:ascii="Times New Roman" w:hAnsi="Times New Roman"/>
                <w:sz w:val="24"/>
              </w:rPr>
              <w:t xml:space="preserve"> : 1 095 dni ali več in manj kot 1 825 dni</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[ 5 L – 10 L [</w:t>
            </w:r>
            <w:r>
              <w:rPr>
                <w:rFonts w:ascii="Times New Roman" w:hAnsi="Times New Roman"/>
                <w:sz w:val="24"/>
              </w:rPr>
              <w:t xml:space="preserve"> : 1 825 dni ali več in manj kot 3 650 dni</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[ 10 L – več</w:t>
            </w:r>
            <w:r>
              <w:rPr>
                <w:rFonts w:ascii="Times New Roman" w:hAnsi="Times New Roman"/>
                <w:sz w:val="24"/>
              </w:rPr>
              <w:t xml:space="preserve"> : 3 650 dni ali več </w:t>
            </w:r>
          </w:p>
          <w:p w:rsidR="00FD54FC" w:rsidRPr="00392FFD" w:rsidRDefault="00FD54FC" w:rsidP="00FD54FC">
            <w:pPr>
              <w:spacing w:before="0" w:after="0"/>
              <w:ind w:left="33"/>
              <w:rPr>
                <w:rFonts w:ascii="Times New Roman" w:hAnsi="Times New Roman"/>
                <w:bCs/>
                <w:sz w:val="24"/>
              </w:rPr>
            </w:pPr>
          </w:p>
        </w:tc>
      </w:tr>
    </w:tbl>
    <w:p w:rsidR="00FD54FC" w:rsidRPr="00392FFD" w:rsidRDefault="004B34D1" w:rsidP="006452A4">
      <w:pPr>
        <w:spacing w:after="0"/>
        <w:rPr>
          <w:rStyle w:val="InstructionsTabelleText"/>
          <w:rFonts w:ascii="Times New Roman" w:hAnsi="Times New Roman"/>
          <w:sz w:val="24"/>
        </w:rPr>
      </w:pPr>
      <w:r>
        <w:rPr>
          <w:rStyle w:val="InstructionsTabelleText"/>
          <w:rFonts w:ascii="Times New Roman" w:hAnsi="Times New Roman"/>
          <w:sz w:val="24"/>
        </w:rPr>
        <w:t>“</w:t>
      </w:r>
      <w:bookmarkStart w:id="814" w:name="_GoBack"/>
      <w:bookmarkEnd w:id="814"/>
    </w:p>
    <w:sectPr w:rsidR="00FD54FC" w:rsidRPr="00392FFD" w:rsidSect="00B51F42">
      <w:footerReference w:type="even" r:id="rId14"/>
      <w:footerReference w:type="default" r:id="rId15"/>
      <w:headerReference w:type="first" r:id="rId16"/>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671" w:rsidRDefault="00EE0671" w:rsidP="00D946DB">
      <w:pPr>
        <w:spacing w:before="0" w:after="0"/>
      </w:pPr>
      <w:r>
        <w:separator/>
      </w:r>
    </w:p>
  </w:endnote>
  <w:endnote w:type="continuationSeparator" w:id="0">
    <w:p w:rsidR="00EE0671" w:rsidRDefault="00EE0671" w:rsidP="00D946DB">
      <w:pPr>
        <w:spacing w:before="0" w:after="0"/>
      </w:pPr>
      <w:r>
        <w:continuationSeparator/>
      </w:r>
    </w:p>
  </w:endnote>
  <w:endnote w:type="continuationNotice" w:id="1">
    <w:p w:rsidR="00EE0671" w:rsidRDefault="00EE067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671" w:rsidRPr="00ED1956" w:rsidRDefault="00EE0671">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9931CE">
      <w:rPr>
        <w:rFonts w:ascii="Times New Roman" w:hAnsi="Times New Roman"/>
        <w:noProof/>
        <w:sz w:val="22"/>
        <w:szCs w:val="22"/>
      </w:rPr>
      <w:t>6</w:t>
    </w:r>
    <w:r w:rsidRPr="00ED1956">
      <w:rPr>
        <w:rFonts w:ascii="Times New Roman" w:hAnsi="Times New Roman"/>
        <w:sz w:val="22"/>
        <w:szCs w:val="22"/>
      </w:rPr>
      <w:fldChar w:fldCharType="end"/>
    </w:r>
  </w:p>
  <w:p w:rsidR="00EE0671" w:rsidRDefault="00EE067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671" w:rsidRPr="00E85358" w:rsidRDefault="00EE0671">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9931CE">
      <w:rPr>
        <w:noProof/>
        <w:sz w:val="22"/>
        <w:szCs w:val="22"/>
      </w:rPr>
      <w:t>1</w:t>
    </w:r>
    <w:r w:rsidRPr="00E85358">
      <w:rPr>
        <w:noProof/>
        <w:sz w:val="22"/>
        <w:szCs w:val="22"/>
      </w:rPr>
      <w:fldChar w:fldCharType="end"/>
    </w:r>
  </w:p>
  <w:p w:rsidR="00EE0671" w:rsidRDefault="00EE067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671" w:rsidRDefault="00EE0671">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rsidR="00EE0671" w:rsidRDefault="00EE0671">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671" w:rsidRPr="00ED1956" w:rsidRDefault="00EE0671">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3C1977">
      <w:rPr>
        <w:rFonts w:ascii="Times New Roman" w:hAnsi="Times New Roman"/>
        <w:noProof/>
        <w:sz w:val="20"/>
        <w:szCs w:val="20"/>
      </w:rPr>
      <w:t>222</w:t>
    </w:r>
    <w:r w:rsidRPr="00ED1956">
      <w:rPr>
        <w:rFonts w:ascii="Times New Roman" w:hAnsi="Times New Roman"/>
        <w:sz w:val="20"/>
        <w:szCs w:val="20"/>
      </w:rPr>
      <w:fldChar w:fldCharType="end"/>
    </w:r>
  </w:p>
  <w:p w:rsidR="00EE0671" w:rsidRPr="00A772B4" w:rsidRDefault="00EE0671"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671" w:rsidRDefault="00EE0671" w:rsidP="00D946DB">
      <w:pPr>
        <w:spacing w:before="0" w:after="0"/>
      </w:pPr>
      <w:r>
        <w:separator/>
      </w:r>
    </w:p>
  </w:footnote>
  <w:footnote w:type="continuationSeparator" w:id="0">
    <w:p w:rsidR="00EE0671" w:rsidRDefault="00EE0671" w:rsidP="00D946DB">
      <w:pPr>
        <w:spacing w:before="0" w:after="0"/>
      </w:pPr>
      <w:r>
        <w:continuationSeparator/>
      </w:r>
    </w:p>
  </w:footnote>
  <w:footnote w:type="continuationNotice" w:id="1">
    <w:p w:rsidR="00EE0671" w:rsidRDefault="00EE0671">
      <w:pPr>
        <w:spacing w:before="0" w:after="0"/>
      </w:pPr>
    </w:p>
  </w:footnote>
  <w:footnote w:id="2">
    <w:p w:rsidR="00EE0671" w:rsidRPr="0017440D" w:rsidRDefault="00EE0671" w:rsidP="0061278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Podatki, ki se zahtevajo od institucij v tej predlogi, se sporočijo na akumulirani podlagi za naravno leto ali poročilo (tj. od 1. januarja tek</w:t>
      </w:r>
      <w:r>
        <w:rPr>
          <w:rFonts w:ascii="Times New Roman" w:hAnsi="Times New Roman"/>
        </w:rPr>
        <w:t>o</w:t>
      </w:r>
      <w:r>
        <w:rPr>
          <w:rFonts w:ascii="Times New Roman" w:hAnsi="Times New Roman"/>
        </w:rPr>
        <w:t>čega leta).</w:t>
      </w:r>
    </w:p>
  </w:footnote>
  <w:footnote w:id="3">
    <w:p w:rsidR="00EE0671" w:rsidRPr="0017440D" w:rsidRDefault="00EE0671" w:rsidP="0061278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„Samostojne institucije“ niso del skupine in niso konsolidirane v državi, v kateri so predmet kapitalskih zahtev.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671" w:rsidRDefault="00EE067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671" w:rsidRDefault="00EE0671">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nsid w:val="2F7D7F02"/>
    <w:multiLevelType w:val="multilevel"/>
    <w:tmpl w:val="0407001D"/>
    <w:numStyleLink w:val="Formatvorlage3"/>
  </w:abstractNum>
  <w:abstractNum w:abstractNumId="9">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nsid w:val="452C785C"/>
    <w:multiLevelType w:val="multilevel"/>
    <w:tmpl w:val="5D7A9F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nsid w:val="540874B6"/>
    <w:multiLevelType w:val="hybridMultilevel"/>
    <w:tmpl w:val="87D6BA38"/>
    <w:lvl w:ilvl="0" w:tplc="7594141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2">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6">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8">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3">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3"/>
  </w:num>
  <w:num w:numId="3">
    <w:abstractNumId w:val="32"/>
  </w:num>
  <w:num w:numId="4">
    <w:abstractNumId w:val="16"/>
  </w:num>
  <w:num w:numId="5">
    <w:abstractNumId w:val="28"/>
  </w:num>
  <w:num w:numId="6">
    <w:abstractNumId w:val="12"/>
  </w:num>
  <w:num w:numId="7">
    <w:abstractNumId w:val="31"/>
  </w:num>
  <w:num w:numId="8">
    <w:abstractNumId w:val="6"/>
  </w:num>
  <w:num w:numId="9">
    <w:abstractNumId w:val="25"/>
  </w:num>
  <w:num w:numId="10">
    <w:abstractNumId w:val="11"/>
  </w:num>
  <w:num w:numId="11">
    <w:abstractNumId w:val="18"/>
  </w:num>
  <w:num w:numId="12">
    <w:abstractNumId w:val="7"/>
  </w:num>
  <w:num w:numId="13">
    <w:abstractNumId w:val="27"/>
  </w:num>
  <w:num w:numId="14">
    <w:abstractNumId w:val="22"/>
  </w:num>
  <w:num w:numId="15">
    <w:abstractNumId w:val="9"/>
  </w:num>
  <w:num w:numId="16">
    <w:abstractNumId w:val="17"/>
  </w:num>
  <w:num w:numId="17">
    <w:abstractNumId w:val="8"/>
  </w:num>
  <w:num w:numId="18">
    <w:abstractNumId w:val="29"/>
  </w:num>
  <w:num w:numId="19">
    <w:abstractNumId w:val="1"/>
  </w:num>
  <w:num w:numId="20">
    <w:abstractNumId w:val="4"/>
  </w:num>
  <w:num w:numId="21">
    <w:abstractNumId w:val="10"/>
  </w:num>
  <w:num w:numId="22">
    <w:abstractNumId w:val="15"/>
  </w:num>
  <w:num w:numId="23">
    <w:abstractNumId w:val="21"/>
  </w:num>
  <w:num w:numId="24">
    <w:abstractNumId w:val="30"/>
  </w:num>
  <w:num w:numId="25">
    <w:abstractNumId w:val="5"/>
  </w:num>
  <w:num w:numId="26">
    <w:abstractNumId w:val="13"/>
  </w:num>
  <w:num w:numId="27">
    <w:abstractNumId w:val="19"/>
  </w:num>
  <w:num w:numId="28">
    <w:abstractNumId w:val="2"/>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20"/>
  </w:num>
  <w:num w:numId="40">
    <w:abstractNumId w:val="27"/>
  </w:num>
  <w:num w:numId="41">
    <w:abstractNumId w:val="26"/>
  </w:num>
  <w:num w:numId="42">
    <w:abstractNumId w:val="27"/>
  </w:num>
  <w:num w:numId="43">
    <w:abstractNumId w:val="27"/>
  </w:num>
  <w:num w:numId="44">
    <w:abstractNumId w:val="27"/>
  </w:num>
  <w:num w:numId="45">
    <w:abstractNumId w:val="9"/>
  </w:num>
  <w:num w:numId="46">
    <w:abstractNumId w:val="24"/>
  </w:num>
  <w:num w:numId="47">
    <w:abstractNumId w:val="9"/>
  </w:num>
  <w:num w:numId="48">
    <w:abstractNumId w:val="9"/>
  </w:num>
  <w:num w:numId="49">
    <w:abstractNumId w:val="9"/>
  </w:num>
  <w:num w:numId="50">
    <w:abstractNumId w:val="9"/>
  </w:num>
  <w:num w:numId="51">
    <w:abstractNumId w:val="27"/>
  </w:num>
  <w:num w:numId="52">
    <w:abstractNumId w:val="27"/>
  </w:num>
  <w:num w:numId="53">
    <w:abstractNumId w:val="9"/>
  </w:num>
  <w:num w:numId="54">
    <w:abstractNumId w:val="9"/>
  </w:num>
  <w:num w:numId="55">
    <w:abstractNumId w:val="9"/>
  </w:num>
  <w:num w:numId="56">
    <w:abstractNumId w:val="9"/>
  </w:num>
  <w:num w:numId="57">
    <w:abstractNumId w:val="33"/>
  </w:num>
  <w:num w:numId="58">
    <w:abstractNumId w:val="9"/>
  </w:num>
  <w:num w:numId="59">
    <w:abstractNumId w:val="9"/>
  </w:num>
  <w:num w:numId="60">
    <w:abstractNumId w:val="9"/>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9"/>
  </w:num>
  <w:num w:numId="70">
    <w:abstractNumId w:val="9"/>
  </w:num>
  <w:num w:numId="71">
    <w:abstractNumId w:val="9"/>
  </w:num>
  <w:num w:numId="72">
    <w:abstractNumId w:val="9"/>
  </w:num>
  <w:num w:numId="73">
    <w:abstractNumId w:val="9"/>
  </w:num>
  <w:num w:numId="74">
    <w:abstractNumId w:val="9"/>
  </w:num>
  <w:num w:numId="75">
    <w:abstractNumId w:val="9"/>
  </w:num>
  <w:num w:numId="76">
    <w:abstractNumId w:val="9"/>
  </w:num>
  <w:num w:numId="77">
    <w:abstractNumId w:val="9"/>
  </w:num>
  <w:num w:numId="78">
    <w:abstractNumId w:val="9"/>
  </w:num>
  <w:num w:numId="79">
    <w:abstractNumId w:val="9"/>
  </w:num>
  <w:num w:numId="80">
    <w:abstractNumId w:val="9"/>
  </w:num>
  <w:num w:numId="81">
    <w:abstractNumId w:val="9"/>
  </w:num>
  <w:num w:numId="82">
    <w:abstractNumId w:val="9"/>
  </w:num>
  <w:num w:numId="83">
    <w:abstractNumId w:val="9"/>
  </w:num>
  <w:num w:numId="84">
    <w:abstractNumId w:val="9"/>
  </w:num>
  <w:num w:numId="85">
    <w:abstractNumId w:val="9"/>
  </w:num>
  <w:num w:numId="86">
    <w:abstractNumId w:val="9"/>
  </w:num>
  <w:num w:numId="87">
    <w:abstractNumId w:val="9"/>
  </w:num>
  <w:num w:numId="88">
    <w:abstractNumId w:val="9"/>
  </w:num>
  <w:num w:numId="89">
    <w:abstractNumId w:val="9"/>
  </w:num>
  <w:num w:numId="90">
    <w:abstractNumId w:val="9"/>
  </w:num>
  <w:num w:numId="91">
    <w:abstractNumId w:val="9"/>
  </w:num>
  <w:num w:numId="92">
    <w:abstractNumId w:val="9"/>
  </w:num>
  <w:num w:numId="93">
    <w:abstractNumId w:val="9"/>
  </w:num>
  <w:num w:numId="94">
    <w:abstractNumId w:val="9"/>
  </w:num>
  <w:num w:numId="95">
    <w:abstractNumId w:val="9"/>
  </w:num>
  <w:num w:numId="96">
    <w:abstractNumId w:val="9"/>
  </w:num>
  <w:num w:numId="97">
    <w:abstractNumId w:val="9"/>
  </w:num>
  <w:num w:numId="98">
    <w:abstractNumId w:val="9"/>
  </w:num>
  <w:num w:numId="99">
    <w:abstractNumId w:val="9"/>
  </w:num>
  <w:num w:numId="100">
    <w:abstractNumId w:val="9"/>
  </w:num>
  <w:num w:numId="101">
    <w:abstractNumId w:val="9"/>
  </w:num>
  <w:num w:numId="102">
    <w:abstractNumId w:val="9"/>
  </w:num>
  <w:num w:numId="103">
    <w:abstractNumId w:val="9"/>
  </w:num>
  <w:num w:numId="104">
    <w:abstractNumId w:val="9"/>
  </w:num>
  <w:num w:numId="105">
    <w:abstractNumId w:val="9"/>
  </w:num>
  <w:num w:numId="106">
    <w:abstractNumId w:val="9"/>
  </w:num>
  <w:num w:numId="107">
    <w:abstractNumId w:val="9"/>
  </w:num>
  <w:num w:numId="108">
    <w:abstractNumId w:val="9"/>
  </w:num>
  <w:num w:numId="109">
    <w:abstractNumId w:val="9"/>
  </w:num>
  <w:num w:numId="110">
    <w:abstractNumId w:val="9"/>
  </w:num>
  <w:num w:numId="111">
    <w:abstractNumId w:val="9"/>
  </w:num>
  <w:num w:numId="112">
    <w:abstractNumId w:val="9"/>
  </w:num>
  <w:num w:numId="113">
    <w:abstractNumId w:val="9"/>
  </w:num>
  <w:num w:numId="114">
    <w:abstractNumId w:val="9"/>
  </w:num>
  <w:num w:numId="115">
    <w:abstractNumId w:val="9"/>
  </w:num>
  <w:num w:numId="116">
    <w:abstractNumId w:val="9"/>
  </w:num>
  <w:num w:numId="117">
    <w:abstractNumId w:val="9"/>
  </w:num>
  <w:num w:numId="118">
    <w:abstractNumId w:val="9"/>
  </w:num>
  <w:num w:numId="119">
    <w:abstractNumId w:val="9"/>
  </w:num>
  <w:num w:numId="120">
    <w:abstractNumId w:val="9"/>
  </w:num>
  <w:num w:numId="121">
    <w:abstractNumId w:val="9"/>
  </w:num>
  <w:num w:numId="122">
    <w:abstractNumId w:val="9"/>
  </w:num>
  <w:num w:numId="123">
    <w:abstractNumId w:val="9"/>
  </w:num>
  <w:num w:numId="124">
    <w:abstractNumId w:val="9"/>
  </w:num>
  <w:num w:numId="125">
    <w:abstractNumId w:val="9"/>
  </w:num>
  <w:num w:numId="126">
    <w:abstractNumId w:val="9"/>
  </w:num>
  <w:num w:numId="127">
    <w:abstractNumId w:val="9"/>
  </w:num>
  <w:num w:numId="128">
    <w:abstractNumId w:val="9"/>
  </w:num>
  <w:num w:numId="129">
    <w:abstractNumId w:val="9"/>
  </w:num>
  <w:num w:numId="130">
    <w:abstractNumId w:val="9"/>
  </w:num>
  <w:num w:numId="131">
    <w:abstractNumId w:val="9"/>
  </w:num>
  <w:num w:numId="132">
    <w:abstractNumId w:val="9"/>
  </w:num>
  <w:num w:numId="133">
    <w:abstractNumId w:val="9"/>
  </w:num>
  <w:num w:numId="134">
    <w:abstractNumId w:val="9"/>
  </w:num>
  <w:num w:numId="135">
    <w:abstractNumId w:val="9"/>
  </w:num>
  <w:num w:numId="136">
    <w:abstractNumId w:val="9"/>
  </w:num>
  <w:num w:numId="137">
    <w:abstractNumId w:val="9"/>
  </w:num>
  <w:num w:numId="138">
    <w:abstractNumId w:val="9"/>
  </w:num>
  <w:num w:numId="139">
    <w:abstractNumId w:val="9"/>
  </w:num>
  <w:num w:numId="140">
    <w:abstractNumId w:val="9"/>
  </w:num>
  <w:num w:numId="141">
    <w:abstractNumId w:val="9"/>
  </w:num>
  <w:num w:numId="142">
    <w:abstractNumId w:val="9"/>
  </w:num>
  <w:num w:numId="143">
    <w:abstractNumId w:val="9"/>
  </w:num>
  <w:num w:numId="144">
    <w:abstractNumId w:val="9"/>
  </w:num>
  <w:num w:numId="145">
    <w:abstractNumId w:val="9"/>
  </w:num>
  <w:num w:numId="146">
    <w:abstractNumId w:val="9"/>
  </w:num>
  <w:num w:numId="147">
    <w:abstractNumId w:val="9"/>
  </w:num>
  <w:num w:numId="148">
    <w:abstractNumId w:val="9"/>
  </w:num>
  <w:num w:numId="149">
    <w:abstractNumId w:val="9"/>
  </w:num>
  <w:num w:numId="150">
    <w:abstractNumId w:val="9"/>
  </w:num>
  <w:num w:numId="151">
    <w:abstractNumId w:val="9"/>
  </w:num>
  <w:num w:numId="152">
    <w:abstractNumId w:val="9"/>
  </w:num>
  <w:num w:numId="153">
    <w:abstractNumId w:val="9"/>
  </w:num>
  <w:num w:numId="154">
    <w:abstractNumId w:val="9"/>
  </w:num>
  <w:num w:numId="155">
    <w:abstractNumId w:val="9"/>
  </w:num>
  <w:num w:numId="156">
    <w:abstractNumId w:val="9"/>
  </w:num>
  <w:num w:numId="157">
    <w:abstractNumId w:val="9"/>
  </w:num>
  <w:num w:numId="158">
    <w:abstractNumId w:val="9"/>
  </w:num>
  <w:num w:numId="159">
    <w:abstractNumId w:val="9"/>
  </w:num>
  <w:num w:numId="160">
    <w:abstractNumId w:val="9"/>
  </w:num>
  <w:num w:numId="161">
    <w:abstractNumId w:val="9"/>
  </w:num>
  <w:num w:numId="162">
    <w:abstractNumId w:val="9"/>
  </w:num>
  <w:num w:numId="163">
    <w:abstractNumId w:val="9"/>
  </w:num>
  <w:num w:numId="164">
    <w:abstractNumId w:val="9"/>
  </w:num>
  <w:num w:numId="165">
    <w:abstractNumId w:val="9"/>
  </w:num>
  <w:num w:numId="166">
    <w:abstractNumId w:val="9"/>
  </w:num>
  <w:num w:numId="167">
    <w:abstractNumId w:val="9"/>
  </w:num>
  <w:num w:numId="168">
    <w:abstractNumId w:val="9"/>
  </w:num>
  <w:num w:numId="169">
    <w:abstractNumId w:val="9"/>
  </w:num>
  <w:num w:numId="170">
    <w:abstractNumId w:val="9"/>
  </w:num>
  <w:num w:numId="171">
    <w:abstractNumId w:val="9"/>
  </w:num>
  <w:num w:numId="172">
    <w:abstractNumId w:val="9"/>
  </w:num>
  <w:num w:numId="173">
    <w:abstractNumId w:val="9"/>
  </w:num>
  <w:num w:numId="174">
    <w:abstractNumId w:val="9"/>
  </w:num>
  <w:num w:numId="175">
    <w:abstractNumId w:val="9"/>
  </w:num>
  <w:num w:numId="176">
    <w:abstractNumId w:val="9"/>
  </w:num>
  <w:num w:numId="177">
    <w:abstractNumId w:val="9"/>
  </w:num>
  <w:num w:numId="178">
    <w:abstractNumId w:val="9"/>
  </w:num>
  <w:num w:numId="179">
    <w:abstractNumId w:val="9"/>
  </w:num>
  <w:num w:numId="180">
    <w:abstractNumId w:val="9"/>
  </w:num>
  <w:num w:numId="181">
    <w:abstractNumId w:val="9"/>
  </w:num>
  <w:num w:numId="182">
    <w:abstractNumId w:val="9"/>
  </w:num>
  <w:num w:numId="183">
    <w:abstractNumId w:val="9"/>
  </w:num>
  <w:num w:numId="184">
    <w:abstractNumId w:val="9"/>
  </w:num>
  <w:num w:numId="185">
    <w:abstractNumId w:val="9"/>
  </w:num>
  <w:num w:numId="186">
    <w:abstractNumId w:val="9"/>
  </w:num>
  <w:num w:numId="187">
    <w:abstractNumId w:val="9"/>
  </w:num>
  <w:num w:numId="188">
    <w:abstractNumId w:val="9"/>
  </w:num>
  <w:num w:numId="189">
    <w:abstractNumId w:val="9"/>
  </w:num>
  <w:num w:numId="190">
    <w:abstractNumId w:val="9"/>
  </w:num>
  <w:num w:numId="191">
    <w:abstractNumId w:val="9"/>
  </w:num>
  <w:num w:numId="192">
    <w:abstractNumId w:val="9"/>
  </w:num>
  <w:num w:numId="193">
    <w:abstractNumId w:val="9"/>
  </w:num>
  <w:num w:numId="194">
    <w:abstractNumId w:val="9"/>
  </w:num>
  <w:num w:numId="195">
    <w:abstractNumId w:val="9"/>
  </w:num>
  <w:num w:numId="196">
    <w:abstractNumId w:val="9"/>
  </w:num>
  <w:num w:numId="197">
    <w:abstractNumId w:val="9"/>
  </w:num>
  <w:num w:numId="198">
    <w:abstractNumId w:val="9"/>
  </w:num>
  <w:num w:numId="199">
    <w:abstractNumId w:val="9"/>
  </w:num>
  <w:num w:numId="200">
    <w:abstractNumId w:val="9"/>
  </w:num>
  <w:num w:numId="201">
    <w:abstractNumId w:val="9"/>
  </w:num>
  <w:num w:numId="202">
    <w:abstractNumId w:val="9"/>
  </w:num>
  <w:num w:numId="203">
    <w:abstractNumId w:val="9"/>
  </w:num>
  <w:num w:numId="204">
    <w:abstractNumId w:val="9"/>
  </w:num>
  <w:num w:numId="205">
    <w:abstractNumId w:val="9"/>
  </w:num>
  <w:num w:numId="206">
    <w:abstractNumId w:val="9"/>
  </w:num>
  <w:num w:numId="207">
    <w:abstractNumId w:val="9"/>
  </w:num>
  <w:num w:numId="208">
    <w:abstractNumId w:val="9"/>
  </w:num>
  <w:num w:numId="209">
    <w:abstractNumId w:val="9"/>
  </w:num>
  <w:num w:numId="210">
    <w:abstractNumId w:val="9"/>
  </w:num>
  <w:num w:numId="211">
    <w:abstractNumId w:val="9"/>
  </w:num>
  <w:num w:numId="212">
    <w:abstractNumId w:val="9"/>
  </w:num>
  <w:num w:numId="213">
    <w:abstractNumId w:val="9"/>
  </w:num>
  <w:num w:numId="214">
    <w:abstractNumId w:val="9"/>
  </w:num>
  <w:num w:numId="215">
    <w:abstractNumId w:val="9"/>
  </w:num>
  <w:num w:numId="216">
    <w:abstractNumId w:val="9"/>
  </w:num>
  <w:num w:numId="217">
    <w:abstractNumId w:val="9"/>
  </w:num>
  <w:num w:numId="218">
    <w:abstractNumId w:val="9"/>
  </w:num>
  <w:num w:numId="219">
    <w:abstractNumId w:val="9"/>
  </w:num>
  <w:num w:numId="220">
    <w:abstractNumId w:val="9"/>
  </w:num>
  <w:num w:numId="221">
    <w:abstractNumId w:val="9"/>
  </w:num>
  <w:num w:numId="222">
    <w:abstractNumId w:val="9"/>
  </w:num>
  <w:num w:numId="223">
    <w:abstractNumId w:val="9"/>
  </w:num>
  <w:num w:numId="224">
    <w:abstractNumId w:val="9"/>
  </w:num>
  <w:num w:numId="225">
    <w:abstractNumId w:val="9"/>
  </w:num>
  <w:num w:numId="226">
    <w:abstractNumId w:val="9"/>
  </w:num>
  <w:num w:numId="227">
    <w:abstractNumId w:val="9"/>
  </w:num>
  <w:num w:numId="228">
    <w:abstractNumId w:val="9"/>
  </w:num>
  <w:num w:numId="229">
    <w:abstractNumId w:val="9"/>
  </w:num>
  <w:num w:numId="230">
    <w:abstractNumId w:val="9"/>
  </w:num>
  <w:num w:numId="231">
    <w:abstractNumId w:val="9"/>
  </w:num>
  <w:num w:numId="232">
    <w:abstractNumId w:val="9"/>
  </w:num>
  <w:num w:numId="233">
    <w:abstractNumId w:val="9"/>
  </w:num>
  <w:num w:numId="234">
    <w:abstractNumId w:val="9"/>
  </w:num>
  <w:num w:numId="235">
    <w:abstractNumId w:val="9"/>
  </w:num>
  <w:num w:numId="236">
    <w:abstractNumId w:val="9"/>
  </w:num>
  <w:num w:numId="237">
    <w:abstractNumId w:val="9"/>
  </w:num>
  <w:num w:numId="238">
    <w:abstractNumId w:val="9"/>
  </w:num>
  <w:num w:numId="239">
    <w:abstractNumId w:val="9"/>
  </w:num>
  <w:num w:numId="240">
    <w:abstractNumId w:val="9"/>
  </w:num>
  <w:num w:numId="241">
    <w:abstractNumId w:val="9"/>
  </w:num>
  <w:num w:numId="242">
    <w:abstractNumId w:val="9"/>
  </w:num>
  <w:num w:numId="243">
    <w:abstractNumId w:val="9"/>
  </w:num>
  <w:num w:numId="244">
    <w:abstractNumId w:val="9"/>
  </w:num>
  <w:num w:numId="245">
    <w:abstractNumId w:val="9"/>
  </w:num>
  <w:num w:numId="246">
    <w:abstractNumId w:val="9"/>
  </w:num>
  <w:num w:numId="247">
    <w:abstractNumId w:val="9"/>
  </w:num>
  <w:num w:numId="248">
    <w:abstractNumId w:val="9"/>
  </w:num>
  <w:num w:numId="249">
    <w:abstractNumId w:val="9"/>
  </w:num>
  <w:num w:numId="250">
    <w:abstractNumId w:val="9"/>
  </w:num>
  <w:num w:numId="251">
    <w:abstractNumId w:val="9"/>
  </w:num>
  <w:num w:numId="252">
    <w:abstractNumId w:val="9"/>
  </w:num>
  <w:num w:numId="253">
    <w:abstractNumId w:val="9"/>
  </w:num>
  <w:num w:numId="254">
    <w:abstractNumId w:val="9"/>
  </w:num>
  <w:num w:numId="255">
    <w:abstractNumId w:val="9"/>
  </w:num>
  <w:num w:numId="256">
    <w:abstractNumId w:val="9"/>
  </w:num>
  <w:num w:numId="257">
    <w:abstractNumId w:val="9"/>
  </w:num>
  <w:num w:numId="258">
    <w:abstractNumId w:val="9"/>
  </w:num>
  <w:num w:numId="259">
    <w:abstractNumId w:val="9"/>
  </w:num>
  <w:num w:numId="260">
    <w:abstractNumId w:val="9"/>
  </w:num>
  <w:num w:numId="261">
    <w:abstractNumId w:val="9"/>
  </w:num>
  <w:num w:numId="262">
    <w:abstractNumId w:val="9"/>
  </w:num>
  <w:num w:numId="263">
    <w:abstractNumId w:val="9"/>
  </w:num>
  <w:num w:numId="264">
    <w:abstractNumId w:val="9"/>
  </w:num>
  <w:num w:numId="265">
    <w:abstractNumId w:val="9"/>
  </w:num>
  <w:num w:numId="266">
    <w:abstractNumId w:val="9"/>
  </w:num>
  <w:num w:numId="267">
    <w:abstractNumId w:val="9"/>
  </w:num>
  <w:num w:numId="268">
    <w:abstractNumId w:val="9"/>
  </w:num>
  <w:num w:numId="269">
    <w:abstractNumId w:val="9"/>
  </w:num>
  <w:num w:numId="270">
    <w:abstractNumId w:val="9"/>
  </w:num>
  <w:num w:numId="271">
    <w:abstractNumId w:val="9"/>
  </w:num>
  <w:num w:numId="272">
    <w:abstractNumId w:val="9"/>
  </w:num>
  <w:num w:numId="273">
    <w:abstractNumId w:val="9"/>
  </w:num>
  <w:num w:numId="274">
    <w:abstractNumId w:val="9"/>
  </w:num>
  <w:num w:numId="275">
    <w:abstractNumId w:val="9"/>
  </w:num>
  <w:num w:numId="276">
    <w:abstractNumId w:val="9"/>
  </w:num>
  <w:num w:numId="277">
    <w:abstractNumId w:val="9"/>
  </w:num>
  <w:num w:numId="278">
    <w:abstractNumId w:val="9"/>
  </w:num>
  <w:num w:numId="279">
    <w:abstractNumId w:val="9"/>
  </w:num>
  <w:num w:numId="280">
    <w:abstractNumId w:val="9"/>
  </w:num>
  <w:num w:numId="281">
    <w:abstractNumId w:val="9"/>
  </w:num>
  <w:num w:numId="282">
    <w:abstractNumId w:val="9"/>
  </w:num>
  <w:num w:numId="283">
    <w:abstractNumId w:val="9"/>
  </w:num>
  <w:num w:numId="284">
    <w:abstractNumId w:val="9"/>
  </w:num>
  <w:num w:numId="285">
    <w:abstractNumId w:val="9"/>
  </w:num>
  <w:num w:numId="286">
    <w:abstractNumId w:val="9"/>
  </w:num>
  <w:num w:numId="287">
    <w:abstractNumId w:val="9"/>
  </w:num>
  <w:num w:numId="288">
    <w:abstractNumId w:val="9"/>
  </w:num>
  <w:num w:numId="289">
    <w:abstractNumId w:val="9"/>
  </w:num>
  <w:num w:numId="290">
    <w:abstractNumId w:val="9"/>
  </w:num>
  <w:num w:numId="291">
    <w:abstractNumId w:val="9"/>
  </w:num>
  <w:num w:numId="292">
    <w:abstractNumId w:val="9"/>
  </w:num>
  <w:num w:numId="293">
    <w:abstractNumId w:val="9"/>
  </w:num>
  <w:num w:numId="294">
    <w:abstractNumId w:val="9"/>
  </w:num>
  <w:num w:numId="295">
    <w:abstractNumId w:val="9"/>
  </w:num>
  <w:num w:numId="296">
    <w:abstractNumId w:val="9"/>
  </w:num>
  <w:num w:numId="297">
    <w:abstractNumId w:val="9"/>
  </w:num>
  <w:num w:numId="298">
    <w:abstractNumId w:val="9"/>
  </w:num>
  <w:num w:numId="299">
    <w:abstractNumId w:val="9"/>
  </w:num>
  <w:num w:numId="300">
    <w:abstractNumId w:val="9"/>
  </w:num>
  <w:num w:numId="301">
    <w:abstractNumId w:val="9"/>
  </w:num>
  <w:num w:numId="302">
    <w:abstractNumId w:val="9"/>
  </w:num>
  <w:num w:numId="303">
    <w:abstractNumId w:val="9"/>
  </w:num>
  <w:num w:numId="304">
    <w:abstractNumId w:val="9"/>
  </w:num>
  <w:num w:numId="305">
    <w:abstractNumId w:val="9"/>
  </w:num>
  <w:num w:numId="306">
    <w:abstractNumId w:val="9"/>
  </w:num>
  <w:num w:numId="307">
    <w:abstractNumId w:val="9"/>
  </w:num>
  <w:num w:numId="308">
    <w:abstractNumId w:val="9"/>
  </w:num>
  <w:num w:numId="309">
    <w:abstractNumId w:val="9"/>
  </w:num>
  <w:num w:numId="310">
    <w:abstractNumId w:val="9"/>
  </w:num>
  <w:num w:numId="311">
    <w:abstractNumId w:val="9"/>
  </w:num>
  <w:num w:numId="312">
    <w:abstractNumId w:val="9"/>
  </w:num>
  <w:num w:numId="313">
    <w:abstractNumId w:val="9"/>
  </w:num>
  <w:num w:numId="314">
    <w:abstractNumId w:val="9"/>
  </w:num>
  <w:num w:numId="315">
    <w:abstractNumId w:val="9"/>
  </w:num>
  <w:num w:numId="316">
    <w:abstractNumId w:val="9"/>
  </w:num>
  <w:num w:numId="317">
    <w:abstractNumId w:val="9"/>
  </w:num>
  <w:num w:numId="318">
    <w:abstractNumId w:val="9"/>
  </w:num>
  <w:num w:numId="319">
    <w:abstractNumId w:val="9"/>
  </w:num>
  <w:num w:numId="320">
    <w:abstractNumId w:val="9"/>
  </w:num>
  <w:num w:numId="321">
    <w:abstractNumId w:val="9"/>
  </w:num>
  <w:num w:numId="322">
    <w:abstractNumId w:val="9"/>
  </w:num>
  <w:num w:numId="323">
    <w:abstractNumId w:val="9"/>
  </w:num>
  <w:num w:numId="324">
    <w:abstractNumId w:val="9"/>
  </w:num>
  <w:num w:numId="325">
    <w:abstractNumId w:val="9"/>
  </w:num>
  <w:num w:numId="326">
    <w:abstractNumId w:val="9"/>
  </w:num>
  <w:num w:numId="327">
    <w:abstractNumId w:val="9"/>
  </w:num>
  <w:num w:numId="328">
    <w:abstractNumId w:val="9"/>
  </w:num>
  <w:num w:numId="329">
    <w:abstractNumId w:val="9"/>
  </w:num>
  <w:num w:numId="330">
    <w:abstractNumId w:val="9"/>
  </w:num>
  <w:num w:numId="331">
    <w:abstractNumId w:val="9"/>
  </w:num>
  <w:num w:numId="332">
    <w:abstractNumId w:val="9"/>
  </w:num>
  <w:num w:numId="333">
    <w:abstractNumId w:val="9"/>
  </w:num>
  <w:num w:numId="334">
    <w:abstractNumId w:val="9"/>
  </w:num>
  <w:num w:numId="335">
    <w:abstractNumId w:val="9"/>
  </w:num>
  <w:num w:numId="336">
    <w:abstractNumId w:val="9"/>
  </w:num>
  <w:num w:numId="337">
    <w:abstractNumId w:val="9"/>
  </w:num>
  <w:num w:numId="338">
    <w:abstractNumId w:val="9"/>
  </w:num>
  <w:num w:numId="339">
    <w:abstractNumId w:val="9"/>
  </w:num>
  <w:num w:numId="340">
    <w:abstractNumId w:val="9"/>
  </w:num>
  <w:num w:numId="341">
    <w:abstractNumId w:val="9"/>
  </w:num>
  <w:num w:numId="342">
    <w:abstractNumId w:val="9"/>
  </w:num>
  <w:num w:numId="343">
    <w:abstractNumId w:val="9"/>
  </w:num>
  <w:num w:numId="344">
    <w:abstractNumId w:val="9"/>
  </w:num>
  <w:num w:numId="345">
    <w:abstractNumId w:val="9"/>
  </w:num>
  <w:num w:numId="346">
    <w:abstractNumId w:val="9"/>
  </w:num>
  <w:num w:numId="347">
    <w:abstractNumId w:val="9"/>
  </w:num>
  <w:num w:numId="348">
    <w:abstractNumId w:val="9"/>
  </w:num>
  <w:num w:numId="349">
    <w:abstractNumId w:val="9"/>
  </w:num>
  <w:num w:numId="350">
    <w:abstractNumId w:val="9"/>
  </w:num>
  <w:num w:numId="351">
    <w:abstractNumId w:val="9"/>
  </w:num>
  <w:num w:numId="352">
    <w:abstractNumId w:val="9"/>
  </w:num>
  <w:num w:numId="353">
    <w:abstractNumId w:val="9"/>
  </w:num>
  <w:num w:numId="354">
    <w:abstractNumId w:val="9"/>
  </w:num>
  <w:num w:numId="355">
    <w:abstractNumId w:val="9"/>
  </w:num>
  <w:num w:numId="356">
    <w:abstractNumId w:val="9"/>
  </w:num>
  <w:num w:numId="357">
    <w:abstractNumId w:val="9"/>
  </w:num>
  <w:num w:numId="358">
    <w:abstractNumId w:val="9"/>
  </w:num>
  <w:num w:numId="359">
    <w:abstractNumId w:val="9"/>
  </w:num>
  <w:num w:numId="360">
    <w:abstractNumId w:val="9"/>
  </w:num>
  <w:num w:numId="361">
    <w:abstractNumId w:val="9"/>
  </w:num>
  <w:num w:numId="362">
    <w:abstractNumId w:val="9"/>
  </w:num>
  <w:num w:numId="363">
    <w:abstractNumId w:val="9"/>
  </w:num>
  <w:num w:numId="364">
    <w:abstractNumId w:val="9"/>
  </w:num>
  <w:num w:numId="365">
    <w:abstractNumId w:val="9"/>
  </w:num>
  <w:num w:numId="366">
    <w:abstractNumId w:val="9"/>
  </w:num>
  <w:num w:numId="367">
    <w:abstractNumId w:val="9"/>
  </w:num>
  <w:num w:numId="368">
    <w:abstractNumId w:val="9"/>
  </w:num>
  <w:num w:numId="369">
    <w:abstractNumId w:val="9"/>
  </w:num>
  <w:num w:numId="370">
    <w:abstractNumId w:val="9"/>
  </w:num>
  <w:num w:numId="371">
    <w:abstractNumId w:val="9"/>
  </w:num>
  <w:num w:numId="372">
    <w:abstractNumId w:val="9"/>
  </w:num>
  <w:num w:numId="373">
    <w:abstractNumId w:val="9"/>
  </w:num>
  <w:num w:numId="374">
    <w:abstractNumId w:val="9"/>
  </w:num>
  <w:num w:numId="375">
    <w:abstractNumId w:val="9"/>
  </w:num>
  <w:num w:numId="376">
    <w:abstractNumId w:val="9"/>
  </w:num>
  <w:num w:numId="377">
    <w:abstractNumId w:val="9"/>
  </w:num>
  <w:num w:numId="378">
    <w:abstractNumId w:val="9"/>
  </w:num>
  <w:num w:numId="379">
    <w:abstractNumId w:val="9"/>
  </w:num>
  <w:num w:numId="380">
    <w:abstractNumId w:val="9"/>
  </w:num>
  <w:num w:numId="381">
    <w:abstractNumId w:val="9"/>
  </w:num>
  <w:num w:numId="382">
    <w:abstractNumId w:val="9"/>
  </w:num>
  <w:num w:numId="383">
    <w:abstractNumId w:val="9"/>
  </w:num>
  <w:num w:numId="384">
    <w:abstractNumId w:val="9"/>
  </w:num>
  <w:num w:numId="385">
    <w:abstractNumId w:val="9"/>
  </w:num>
  <w:num w:numId="386">
    <w:abstractNumId w:val="9"/>
  </w:num>
  <w:num w:numId="387">
    <w:abstractNumId w:val="9"/>
  </w:num>
  <w:num w:numId="388">
    <w:abstractNumId w:val="9"/>
  </w:num>
  <w:num w:numId="389">
    <w:abstractNumId w:val="9"/>
  </w:num>
  <w:num w:numId="390">
    <w:abstractNumId w:val="9"/>
  </w:num>
  <w:num w:numId="391">
    <w:abstractNumId w:val="9"/>
  </w:num>
  <w:num w:numId="392">
    <w:abstractNumId w:val="9"/>
  </w:num>
  <w:num w:numId="393">
    <w:abstractNumId w:val="9"/>
  </w:num>
  <w:num w:numId="394">
    <w:abstractNumId w:val="9"/>
  </w:num>
  <w:num w:numId="395">
    <w:abstractNumId w:val="9"/>
  </w:num>
  <w:num w:numId="396">
    <w:abstractNumId w:val="9"/>
  </w:num>
  <w:num w:numId="397">
    <w:abstractNumId w:val="9"/>
  </w:num>
  <w:num w:numId="398">
    <w:abstractNumId w:val="9"/>
  </w:num>
  <w:num w:numId="399">
    <w:abstractNumId w:val="9"/>
  </w:num>
  <w:num w:numId="400">
    <w:abstractNumId w:val="9"/>
  </w:num>
  <w:num w:numId="401">
    <w:abstractNumId w:val="9"/>
  </w:num>
  <w:num w:numId="402">
    <w:abstractNumId w:val="9"/>
  </w:num>
  <w:num w:numId="403">
    <w:abstractNumId w:val="9"/>
  </w:num>
  <w:num w:numId="404">
    <w:abstractNumId w:val="9"/>
  </w:num>
  <w:num w:numId="405">
    <w:abstractNumId w:val="9"/>
  </w:num>
  <w:num w:numId="406">
    <w:abstractNumId w:val="9"/>
  </w:num>
  <w:num w:numId="407">
    <w:abstractNumId w:val="9"/>
  </w:num>
  <w:num w:numId="408">
    <w:abstractNumId w:val="9"/>
  </w:num>
  <w:num w:numId="409">
    <w:abstractNumId w:val="9"/>
  </w:num>
  <w:num w:numId="410">
    <w:abstractNumId w:val="9"/>
  </w:num>
  <w:num w:numId="411">
    <w:abstractNumId w:val="9"/>
  </w:num>
  <w:num w:numId="412">
    <w:abstractNumId w:val="9"/>
  </w:num>
  <w:num w:numId="413">
    <w:abstractNumId w:val="9"/>
  </w:num>
  <w:num w:numId="414">
    <w:abstractNumId w:val="9"/>
  </w:num>
  <w:num w:numId="415">
    <w:abstractNumId w:val="9"/>
  </w:num>
  <w:num w:numId="416">
    <w:abstractNumId w:val="9"/>
  </w:num>
  <w:num w:numId="417">
    <w:abstractNumId w:val="9"/>
  </w:num>
  <w:num w:numId="418">
    <w:abstractNumId w:val="9"/>
  </w:num>
  <w:num w:numId="419">
    <w:abstractNumId w:val="9"/>
  </w:num>
  <w:num w:numId="420">
    <w:abstractNumId w:val="9"/>
  </w:num>
  <w:num w:numId="421">
    <w:abstractNumId w:val="9"/>
  </w:num>
  <w:num w:numId="422">
    <w:abstractNumId w:val="9"/>
  </w:num>
  <w:num w:numId="423">
    <w:abstractNumId w:val="9"/>
  </w:num>
  <w:num w:numId="424">
    <w:abstractNumId w:val="9"/>
  </w:num>
  <w:num w:numId="425">
    <w:abstractNumId w:val="9"/>
  </w:num>
  <w:num w:numId="426">
    <w:abstractNumId w:val="9"/>
  </w:num>
  <w:num w:numId="427">
    <w:abstractNumId w:val="9"/>
  </w:num>
  <w:num w:numId="428">
    <w:abstractNumId w:val="9"/>
  </w:num>
  <w:num w:numId="429">
    <w:abstractNumId w:val="9"/>
  </w:num>
  <w:num w:numId="430">
    <w:abstractNumId w:val="9"/>
  </w:num>
  <w:num w:numId="431">
    <w:abstractNumId w:val="9"/>
  </w:num>
  <w:num w:numId="432">
    <w:abstractNumId w:val="9"/>
  </w:num>
  <w:num w:numId="433">
    <w:abstractNumId w:val="9"/>
  </w:num>
  <w:num w:numId="434">
    <w:abstractNumId w:val="9"/>
  </w:num>
  <w:num w:numId="435">
    <w:abstractNumId w:val="9"/>
  </w:num>
  <w:num w:numId="436">
    <w:abstractNumId w:val="9"/>
  </w:num>
  <w:num w:numId="437">
    <w:abstractNumId w:val="9"/>
  </w:num>
  <w:num w:numId="438">
    <w:abstractNumId w:val="9"/>
  </w:num>
  <w:num w:numId="439">
    <w:abstractNumId w:val="9"/>
  </w:num>
  <w:num w:numId="440">
    <w:abstractNumId w:val="9"/>
  </w:num>
  <w:num w:numId="441">
    <w:abstractNumId w:val="9"/>
  </w:num>
  <w:num w:numId="442">
    <w:abstractNumId w:val="9"/>
  </w:num>
  <w:num w:numId="443">
    <w:abstractNumId w:val="9"/>
  </w:num>
  <w:num w:numId="444">
    <w:abstractNumId w:val="9"/>
  </w:num>
  <w:num w:numId="445">
    <w:abstractNumId w:val="9"/>
  </w:num>
  <w:num w:numId="446">
    <w:abstractNumId w:val="9"/>
  </w:num>
  <w:num w:numId="447">
    <w:abstractNumId w:val="9"/>
  </w:num>
  <w:num w:numId="448">
    <w:abstractNumId w:val="9"/>
  </w:num>
  <w:num w:numId="449">
    <w:abstractNumId w:val="9"/>
  </w:num>
  <w:num w:numId="450">
    <w:abstractNumId w:val="9"/>
  </w:num>
  <w:num w:numId="451">
    <w:abstractNumId w:val="9"/>
  </w:num>
  <w:num w:numId="452">
    <w:abstractNumId w:val="9"/>
  </w:num>
  <w:num w:numId="453">
    <w:abstractNumId w:val="9"/>
  </w:num>
  <w:num w:numId="454">
    <w:abstractNumId w:val="9"/>
  </w:num>
  <w:num w:numId="455">
    <w:abstractNumId w:val="9"/>
  </w:num>
  <w:num w:numId="456">
    <w:abstractNumId w:val="9"/>
  </w:num>
  <w:num w:numId="457">
    <w:abstractNumId w:val="9"/>
  </w:num>
  <w:num w:numId="458">
    <w:abstractNumId w:val="9"/>
  </w:num>
  <w:num w:numId="459">
    <w:abstractNumId w:val="9"/>
  </w:num>
  <w:num w:numId="460">
    <w:abstractNumId w:val="9"/>
  </w:num>
  <w:num w:numId="461">
    <w:abstractNumId w:val="9"/>
  </w:num>
  <w:num w:numId="462">
    <w:abstractNumId w:val="9"/>
  </w:num>
  <w:num w:numId="463">
    <w:abstractNumId w:val="9"/>
  </w:num>
  <w:num w:numId="464">
    <w:abstractNumId w:val="9"/>
  </w:num>
  <w:num w:numId="465">
    <w:abstractNumId w:val="9"/>
  </w:num>
  <w:num w:numId="466">
    <w:abstractNumId w:val="9"/>
  </w:num>
  <w:num w:numId="467">
    <w:abstractNumId w:val="9"/>
  </w:num>
  <w:num w:numId="468">
    <w:abstractNumId w:val="9"/>
  </w:num>
  <w:num w:numId="469">
    <w:abstractNumId w:val="9"/>
  </w:num>
  <w:num w:numId="470">
    <w:abstractNumId w:val="9"/>
  </w:num>
  <w:num w:numId="471">
    <w:abstractNumId w:val="9"/>
  </w:num>
  <w:num w:numId="472">
    <w:abstractNumId w:val="9"/>
  </w:num>
  <w:num w:numId="473">
    <w:abstractNumId w:val="9"/>
  </w:num>
  <w:num w:numId="474">
    <w:abstractNumId w:val="9"/>
  </w:num>
  <w:num w:numId="475">
    <w:abstractNumId w:val="9"/>
  </w:num>
  <w:num w:numId="476">
    <w:abstractNumId w:val="9"/>
  </w:num>
  <w:num w:numId="477">
    <w:abstractNumId w:val="9"/>
  </w:num>
  <w:num w:numId="478">
    <w:abstractNumId w:val="9"/>
  </w:num>
  <w:num w:numId="479">
    <w:abstractNumId w:val="9"/>
  </w:num>
  <w:num w:numId="480">
    <w:abstractNumId w:val="9"/>
  </w:num>
  <w:num w:numId="481">
    <w:abstractNumId w:val="9"/>
  </w:num>
  <w:num w:numId="482">
    <w:abstractNumId w:val="9"/>
  </w:num>
  <w:num w:numId="483">
    <w:abstractNumId w:val="9"/>
  </w:num>
  <w:num w:numId="484">
    <w:abstractNumId w:val="9"/>
  </w:num>
  <w:num w:numId="485">
    <w:abstractNumId w:val="9"/>
  </w:num>
  <w:num w:numId="486">
    <w:abstractNumId w:val="9"/>
  </w:num>
  <w:num w:numId="487">
    <w:abstractNumId w:val="9"/>
  </w:num>
  <w:num w:numId="488">
    <w:abstractNumId w:val="9"/>
  </w:num>
  <w:num w:numId="489">
    <w:abstractNumId w:val="9"/>
  </w:num>
  <w:num w:numId="490">
    <w:abstractNumId w:val="9"/>
  </w:num>
  <w:num w:numId="491">
    <w:abstractNumId w:val="9"/>
  </w:num>
  <w:num w:numId="492">
    <w:abstractNumId w:val="9"/>
  </w:num>
  <w:num w:numId="493">
    <w:abstractNumId w:val="9"/>
  </w:num>
  <w:num w:numId="494">
    <w:abstractNumId w:val="9"/>
  </w:num>
  <w:num w:numId="495">
    <w:abstractNumId w:val="9"/>
  </w:num>
  <w:num w:numId="496">
    <w:abstractNumId w:val="9"/>
  </w:num>
  <w:num w:numId="497">
    <w:abstractNumId w:val="9"/>
  </w:num>
  <w:num w:numId="498">
    <w:abstractNumId w:val="9"/>
  </w:num>
  <w:num w:numId="499">
    <w:abstractNumId w:val="9"/>
  </w:num>
  <w:num w:numId="500">
    <w:abstractNumId w:val="9"/>
  </w:num>
  <w:num w:numId="501">
    <w:abstractNumId w:val="9"/>
  </w:num>
  <w:num w:numId="502">
    <w:abstractNumId w:val="9"/>
  </w:num>
  <w:num w:numId="503">
    <w:abstractNumId w:val="9"/>
  </w:num>
  <w:num w:numId="504">
    <w:abstractNumId w:val="9"/>
  </w:num>
  <w:num w:numId="505">
    <w:abstractNumId w:val="9"/>
  </w:num>
  <w:num w:numId="506">
    <w:abstractNumId w:val="9"/>
  </w:num>
  <w:num w:numId="507">
    <w:abstractNumId w:val="9"/>
  </w:num>
  <w:num w:numId="508">
    <w:abstractNumId w:val="9"/>
  </w:num>
  <w:num w:numId="509">
    <w:abstractNumId w:val="9"/>
  </w:num>
  <w:num w:numId="510">
    <w:abstractNumId w:val="9"/>
  </w:num>
  <w:num w:numId="511">
    <w:abstractNumId w:val="9"/>
  </w:num>
  <w:num w:numId="512">
    <w:abstractNumId w:val="9"/>
  </w:num>
  <w:num w:numId="513">
    <w:abstractNumId w:val="9"/>
  </w:num>
  <w:num w:numId="514">
    <w:abstractNumId w:val="9"/>
  </w:num>
  <w:num w:numId="515">
    <w:abstractNumId w:val="9"/>
  </w:num>
  <w:num w:numId="516">
    <w:abstractNumId w:val="9"/>
  </w:num>
  <w:num w:numId="517">
    <w:abstractNumId w:val="9"/>
  </w:num>
  <w:num w:numId="518">
    <w:abstractNumId w:val="9"/>
  </w:num>
  <w:num w:numId="519">
    <w:abstractNumId w:val="9"/>
  </w:num>
  <w:num w:numId="520">
    <w:abstractNumId w:val="9"/>
  </w:num>
  <w:num w:numId="521">
    <w:abstractNumId w:val="9"/>
  </w:num>
  <w:num w:numId="522">
    <w:abstractNumId w:val="9"/>
  </w:num>
  <w:num w:numId="523">
    <w:abstractNumId w:val="9"/>
  </w:num>
  <w:num w:numId="524">
    <w:abstractNumId w:val="9"/>
  </w:num>
  <w:num w:numId="525">
    <w:abstractNumId w:val="9"/>
  </w:num>
  <w:num w:numId="526">
    <w:abstractNumId w:val="9"/>
  </w:num>
  <w:num w:numId="527">
    <w:abstractNumId w:val="9"/>
  </w:num>
  <w:num w:numId="528">
    <w:abstractNumId w:val="9"/>
  </w:num>
  <w:num w:numId="529">
    <w:abstractNumId w:val="9"/>
  </w:num>
  <w:num w:numId="530">
    <w:abstractNumId w:val="9"/>
  </w:num>
  <w:num w:numId="531">
    <w:abstractNumId w:val="9"/>
  </w:num>
  <w:num w:numId="532">
    <w:abstractNumId w:val="9"/>
  </w:num>
  <w:num w:numId="533">
    <w:abstractNumId w:val="9"/>
  </w:num>
  <w:num w:numId="534">
    <w:abstractNumId w:val="9"/>
  </w:num>
  <w:num w:numId="535">
    <w:abstractNumId w:val="9"/>
  </w:num>
  <w:num w:numId="536">
    <w:abstractNumId w:val="9"/>
  </w:num>
  <w:num w:numId="537">
    <w:abstractNumId w:val="9"/>
  </w:num>
  <w:num w:numId="538">
    <w:abstractNumId w:val="9"/>
  </w:num>
  <w:num w:numId="539">
    <w:abstractNumId w:val="9"/>
  </w:num>
  <w:num w:numId="540">
    <w:abstractNumId w:val="9"/>
  </w:num>
  <w:num w:numId="541">
    <w:abstractNumId w:val="9"/>
  </w:num>
  <w:num w:numId="542">
    <w:abstractNumId w:val="9"/>
  </w:num>
  <w:num w:numId="543">
    <w:abstractNumId w:val="9"/>
  </w:num>
  <w:num w:numId="544">
    <w:abstractNumId w:val="9"/>
  </w:num>
  <w:num w:numId="545">
    <w:abstractNumId w:val="9"/>
  </w:num>
  <w:num w:numId="546">
    <w:abstractNumId w:val="9"/>
  </w:num>
  <w:num w:numId="547">
    <w:abstractNumId w:val="9"/>
  </w:num>
  <w:num w:numId="548">
    <w:abstractNumId w:val="9"/>
  </w:num>
  <w:num w:numId="549">
    <w:abstractNumId w:val="9"/>
  </w:num>
  <w:num w:numId="550">
    <w:abstractNumId w:val="9"/>
  </w:num>
  <w:num w:numId="551">
    <w:abstractNumId w:val="9"/>
  </w:num>
  <w:num w:numId="552">
    <w:abstractNumId w:val="9"/>
  </w:num>
  <w:num w:numId="553">
    <w:abstractNumId w:val="9"/>
  </w:num>
  <w:num w:numId="554">
    <w:abstractNumId w:val="9"/>
  </w:num>
  <w:num w:numId="555">
    <w:abstractNumId w:val="9"/>
  </w:num>
  <w:num w:numId="556">
    <w:abstractNumId w:val="9"/>
  </w:num>
  <w:num w:numId="557">
    <w:abstractNumId w:val="9"/>
  </w:num>
  <w:num w:numId="558">
    <w:abstractNumId w:val="9"/>
  </w:num>
  <w:num w:numId="559">
    <w:abstractNumId w:val="9"/>
  </w:num>
  <w:num w:numId="560">
    <w:abstractNumId w:val="9"/>
  </w:num>
  <w:num w:numId="561">
    <w:abstractNumId w:val="9"/>
  </w:num>
  <w:num w:numId="562">
    <w:abstractNumId w:val="9"/>
  </w:num>
  <w:num w:numId="563">
    <w:abstractNumId w:val="9"/>
  </w:num>
  <w:num w:numId="564">
    <w:abstractNumId w:val="9"/>
  </w:num>
  <w:num w:numId="565">
    <w:abstractNumId w:val="9"/>
  </w:num>
  <w:num w:numId="566">
    <w:abstractNumId w:val="9"/>
  </w:num>
  <w:num w:numId="567">
    <w:abstractNumId w:val="9"/>
  </w:num>
  <w:num w:numId="568">
    <w:abstractNumId w:val="9"/>
  </w:num>
  <w:num w:numId="569">
    <w:abstractNumId w:val="9"/>
  </w:num>
  <w:num w:numId="570">
    <w:abstractNumId w:val="9"/>
  </w:num>
  <w:num w:numId="571">
    <w:abstractNumId w:val="9"/>
  </w:num>
  <w:num w:numId="572">
    <w:abstractNumId w:val="9"/>
  </w:num>
  <w:num w:numId="573">
    <w:abstractNumId w:val="9"/>
  </w:num>
  <w:num w:numId="574">
    <w:abstractNumId w:val="9"/>
  </w:num>
  <w:num w:numId="575">
    <w:abstractNumId w:val="9"/>
  </w:num>
  <w:num w:numId="576">
    <w:abstractNumId w:val="9"/>
  </w:num>
  <w:num w:numId="577">
    <w:abstractNumId w:val="9"/>
  </w:num>
  <w:num w:numId="578">
    <w:abstractNumId w:val="9"/>
  </w:num>
  <w:num w:numId="579">
    <w:abstractNumId w:val="9"/>
  </w:num>
  <w:num w:numId="580">
    <w:abstractNumId w:val="9"/>
  </w:num>
  <w:num w:numId="581">
    <w:abstractNumId w:val="9"/>
  </w:num>
  <w:num w:numId="582">
    <w:abstractNumId w:val="9"/>
  </w:num>
  <w:num w:numId="583">
    <w:abstractNumId w:val="9"/>
  </w:num>
  <w:num w:numId="584">
    <w:abstractNumId w:val="9"/>
  </w:num>
  <w:num w:numId="585">
    <w:abstractNumId w:val="9"/>
  </w:num>
  <w:num w:numId="586">
    <w:abstractNumId w:val="9"/>
  </w:num>
  <w:num w:numId="587">
    <w:abstractNumId w:val="9"/>
  </w:num>
  <w:num w:numId="588">
    <w:abstractNumId w:val="9"/>
  </w:num>
  <w:num w:numId="589">
    <w:abstractNumId w:val="9"/>
  </w:num>
  <w:num w:numId="590">
    <w:abstractNumId w:val="9"/>
  </w:num>
  <w:num w:numId="591">
    <w:abstractNumId w:val="9"/>
  </w:num>
  <w:num w:numId="592">
    <w:abstractNumId w:val="9"/>
  </w:num>
  <w:num w:numId="593">
    <w:abstractNumId w:val="9"/>
  </w:num>
  <w:num w:numId="594">
    <w:abstractNumId w:val="9"/>
  </w:num>
  <w:num w:numId="595">
    <w:abstractNumId w:val="9"/>
  </w:num>
  <w:num w:numId="596">
    <w:abstractNumId w:val="9"/>
  </w:num>
  <w:num w:numId="597">
    <w:abstractNumId w:val="9"/>
  </w:num>
  <w:num w:numId="598">
    <w:abstractNumId w:val="9"/>
  </w:num>
  <w:num w:numId="599">
    <w:abstractNumId w:val="9"/>
  </w:num>
  <w:num w:numId="600">
    <w:abstractNumId w:val="9"/>
  </w:num>
  <w:num w:numId="601">
    <w:abstractNumId w:val="9"/>
  </w:num>
  <w:num w:numId="602">
    <w:abstractNumId w:val="9"/>
  </w:num>
  <w:num w:numId="603">
    <w:abstractNumId w:val="9"/>
  </w:num>
  <w:num w:numId="604">
    <w:abstractNumId w:val="9"/>
  </w:num>
  <w:num w:numId="605">
    <w:abstractNumId w:val="9"/>
  </w:num>
  <w:num w:numId="606">
    <w:abstractNumId w:val="9"/>
  </w:num>
  <w:num w:numId="607">
    <w:abstractNumId w:val="9"/>
  </w:num>
  <w:num w:numId="608">
    <w:abstractNumId w:val="9"/>
  </w:num>
  <w:num w:numId="609">
    <w:abstractNumId w:val="9"/>
  </w:num>
  <w:num w:numId="610">
    <w:abstractNumId w:val="9"/>
  </w:num>
  <w:num w:numId="611">
    <w:abstractNumId w:val="9"/>
  </w:num>
  <w:num w:numId="612">
    <w:abstractNumId w:val="9"/>
  </w:num>
  <w:num w:numId="613">
    <w:abstractNumId w:val="9"/>
  </w:num>
  <w:num w:numId="614">
    <w:abstractNumId w:val="9"/>
  </w:num>
  <w:num w:numId="615">
    <w:abstractNumId w:val="9"/>
  </w:num>
  <w:num w:numId="616">
    <w:abstractNumId w:val="9"/>
  </w:num>
  <w:num w:numId="617">
    <w:abstractNumId w:val="9"/>
  </w:num>
  <w:num w:numId="618">
    <w:abstractNumId w:val="9"/>
  </w:num>
  <w:num w:numId="619">
    <w:abstractNumId w:val="9"/>
  </w:num>
  <w:num w:numId="620">
    <w:abstractNumId w:val="9"/>
  </w:num>
  <w:num w:numId="621">
    <w:abstractNumId w:val="9"/>
  </w:num>
  <w:num w:numId="622">
    <w:abstractNumId w:val="9"/>
  </w:num>
  <w:num w:numId="623">
    <w:abstractNumId w:val="9"/>
  </w:num>
  <w:num w:numId="624">
    <w:abstractNumId w:val="9"/>
  </w:num>
  <w:num w:numId="625">
    <w:abstractNumId w:val="9"/>
  </w:num>
  <w:num w:numId="626">
    <w:abstractNumId w:val="9"/>
  </w:num>
  <w:num w:numId="627">
    <w:abstractNumId w:val="9"/>
  </w:num>
  <w:num w:numId="628">
    <w:abstractNumId w:val="9"/>
  </w:num>
  <w:num w:numId="629">
    <w:abstractNumId w:val="9"/>
  </w:num>
  <w:num w:numId="630">
    <w:abstractNumId w:val="9"/>
  </w:num>
  <w:num w:numId="631">
    <w:abstractNumId w:val="9"/>
  </w:num>
  <w:num w:numId="632">
    <w:abstractNumId w:val="9"/>
  </w:num>
  <w:num w:numId="633">
    <w:abstractNumId w:val="9"/>
  </w:num>
  <w:num w:numId="634">
    <w:abstractNumId w:val="9"/>
  </w:num>
  <w:num w:numId="635">
    <w:abstractNumId w:val="9"/>
  </w:num>
  <w:num w:numId="636">
    <w:abstractNumId w:val="9"/>
  </w:num>
  <w:num w:numId="637">
    <w:abstractNumId w:val="9"/>
  </w:num>
  <w:num w:numId="638">
    <w:abstractNumId w:val="9"/>
  </w:num>
  <w:num w:numId="639">
    <w:abstractNumId w:val="9"/>
  </w:num>
  <w:num w:numId="640">
    <w:abstractNumId w:val="9"/>
  </w:num>
  <w:num w:numId="641">
    <w:abstractNumId w:val="9"/>
  </w:num>
  <w:num w:numId="642">
    <w:abstractNumId w:val="9"/>
  </w:num>
  <w:num w:numId="643">
    <w:abstractNumId w:val="9"/>
  </w:num>
  <w:num w:numId="644">
    <w:abstractNumId w:val="9"/>
  </w:num>
  <w:num w:numId="645">
    <w:abstractNumId w:val="9"/>
  </w:num>
  <w:num w:numId="646">
    <w:abstractNumId w:val="9"/>
  </w:num>
  <w:num w:numId="647">
    <w:abstractNumId w:val="9"/>
  </w:num>
  <w:num w:numId="648">
    <w:abstractNumId w:val="9"/>
  </w:num>
  <w:num w:numId="649">
    <w:abstractNumId w:val="9"/>
  </w:num>
  <w:num w:numId="650">
    <w:abstractNumId w:val="9"/>
  </w:num>
  <w:num w:numId="651">
    <w:abstractNumId w:val="9"/>
  </w:num>
  <w:num w:numId="652">
    <w:abstractNumId w:val="9"/>
  </w:num>
  <w:num w:numId="653">
    <w:abstractNumId w:val="9"/>
  </w:num>
  <w:num w:numId="654">
    <w:abstractNumId w:val="9"/>
  </w:num>
  <w:num w:numId="655">
    <w:abstractNumId w:val="9"/>
  </w:num>
  <w:num w:numId="656">
    <w:abstractNumId w:val="9"/>
  </w:num>
  <w:num w:numId="657">
    <w:abstractNumId w:val="9"/>
  </w:num>
  <w:numIdMacAtCleanup w:val="6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GrammaticalErrors/>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gNum" w:val="1"/>
    <w:docVar w:name="LW_DocType" w:val="NORMAL"/>
  </w:docVars>
  <w:rsids>
    <w:rsidRoot w:val="00884FEB"/>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157C"/>
    <w:rsid w:val="00023102"/>
    <w:rsid w:val="000232E2"/>
    <w:rsid w:val="00023383"/>
    <w:rsid w:val="000243CE"/>
    <w:rsid w:val="0002657F"/>
    <w:rsid w:val="00027235"/>
    <w:rsid w:val="000326C1"/>
    <w:rsid w:val="00033B7C"/>
    <w:rsid w:val="00033C55"/>
    <w:rsid w:val="00034834"/>
    <w:rsid w:val="000359E1"/>
    <w:rsid w:val="000364CE"/>
    <w:rsid w:val="00037093"/>
    <w:rsid w:val="000377CC"/>
    <w:rsid w:val="00041480"/>
    <w:rsid w:val="000433C4"/>
    <w:rsid w:val="00045036"/>
    <w:rsid w:val="0004590F"/>
    <w:rsid w:val="00052CAE"/>
    <w:rsid w:val="000530BC"/>
    <w:rsid w:val="0005400A"/>
    <w:rsid w:val="000548A2"/>
    <w:rsid w:val="0005609F"/>
    <w:rsid w:val="000565B6"/>
    <w:rsid w:val="00056C0F"/>
    <w:rsid w:val="00057154"/>
    <w:rsid w:val="00057362"/>
    <w:rsid w:val="0005746D"/>
    <w:rsid w:val="00061E48"/>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2265"/>
    <w:rsid w:val="000828C6"/>
    <w:rsid w:val="000843B3"/>
    <w:rsid w:val="00084A4D"/>
    <w:rsid w:val="000858A9"/>
    <w:rsid w:val="00087700"/>
    <w:rsid w:val="00087E1A"/>
    <w:rsid w:val="000903FA"/>
    <w:rsid w:val="0009195D"/>
    <w:rsid w:val="00091DE1"/>
    <w:rsid w:val="00092F67"/>
    <w:rsid w:val="00093686"/>
    <w:rsid w:val="00094D25"/>
    <w:rsid w:val="00095191"/>
    <w:rsid w:val="00096566"/>
    <w:rsid w:val="0009761E"/>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C0127"/>
    <w:rsid w:val="000C0A34"/>
    <w:rsid w:val="000C24B5"/>
    <w:rsid w:val="000C30A6"/>
    <w:rsid w:val="000C4A6C"/>
    <w:rsid w:val="000C5A1A"/>
    <w:rsid w:val="000C5EA7"/>
    <w:rsid w:val="000C7632"/>
    <w:rsid w:val="000C7EAA"/>
    <w:rsid w:val="000D194E"/>
    <w:rsid w:val="000D220D"/>
    <w:rsid w:val="000D3CBC"/>
    <w:rsid w:val="000D4352"/>
    <w:rsid w:val="000D5292"/>
    <w:rsid w:val="000D5958"/>
    <w:rsid w:val="000D6B9B"/>
    <w:rsid w:val="000E093A"/>
    <w:rsid w:val="000E1572"/>
    <w:rsid w:val="000E29C9"/>
    <w:rsid w:val="000E3F99"/>
    <w:rsid w:val="000E6835"/>
    <w:rsid w:val="000E7BA8"/>
    <w:rsid w:val="000E7F08"/>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3E45"/>
    <w:rsid w:val="00113EA5"/>
    <w:rsid w:val="001151C1"/>
    <w:rsid w:val="0011539B"/>
    <w:rsid w:val="00115685"/>
    <w:rsid w:val="0012049B"/>
    <w:rsid w:val="001219C2"/>
    <w:rsid w:val="00124A44"/>
    <w:rsid w:val="00124B85"/>
    <w:rsid w:val="001250CC"/>
    <w:rsid w:val="00125707"/>
    <w:rsid w:val="00125D44"/>
    <w:rsid w:val="001273B5"/>
    <w:rsid w:val="00130EEF"/>
    <w:rsid w:val="001323BF"/>
    <w:rsid w:val="00132778"/>
    <w:rsid w:val="00133107"/>
    <w:rsid w:val="001331F5"/>
    <w:rsid w:val="00133AC1"/>
    <w:rsid w:val="00136316"/>
    <w:rsid w:val="00137AC5"/>
    <w:rsid w:val="001402DB"/>
    <w:rsid w:val="001409D9"/>
    <w:rsid w:val="00140F6E"/>
    <w:rsid w:val="00141DD1"/>
    <w:rsid w:val="00142917"/>
    <w:rsid w:val="001432EE"/>
    <w:rsid w:val="00144F03"/>
    <w:rsid w:val="00146D50"/>
    <w:rsid w:val="001474E0"/>
    <w:rsid w:val="00151071"/>
    <w:rsid w:val="00151B44"/>
    <w:rsid w:val="00151D8A"/>
    <w:rsid w:val="0015288B"/>
    <w:rsid w:val="00152B33"/>
    <w:rsid w:val="00153BEC"/>
    <w:rsid w:val="00154859"/>
    <w:rsid w:val="00155114"/>
    <w:rsid w:val="00156555"/>
    <w:rsid w:val="001570C4"/>
    <w:rsid w:val="00157B19"/>
    <w:rsid w:val="0016072E"/>
    <w:rsid w:val="001628F4"/>
    <w:rsid w:val="00162CCF"/>
    <w:rsid w:val="00163DBA"/>
    <w:rsid w:val="00164970"/>
    <w:rsid w:val="00164B62"/>
    <w:rsid w:val="00167E59"/>
    <w:rsid w:val="001721BD"/>
    <w:rsid w:val="001734AB"/>
    <w:rsid w:val="0017440D"/>
    <w:rsid w:val="00175957"/>
    <w:rsid w:val="00181174"/>
    <w:rsid w:val="00181888"/>
    <w:rsid w:val="001822DF"/>
    <w:rsid w:val="00183B7A"/>
    <w:rsid w:val="00184E8A"/>
    <w:rsid w:val="0018533B"/>
    <w:rsid w:val="001854F6"/>
    <w:rsid w:val="00185877"/>
    <w:rsid w:val="00187348"/>
    <w:rsid w:val="00187488"/>
    <w:rsid w:val="00190FA3"/>
    <w:rsid w:val="001919E9"/>
    <w:rsid w:val="001924F4"/>
    <w:rsid w:val="001959EF"/>
    <w:rsid w:val="0019727D"/>
    <w:rsid w:val="001A2115"/>
    <w:rsid w:val="001A3980"/>
    <w:rsid w:val="001A44B3"/>
    <w:rsid w:val="001A523B"/>
    <w:rsid w:val="001A531E"/>
    <w:rsid w:val="001A7742"/>
    <w:rsid w:val="001B140A"/>
    <w:rsid w:val="001B1531"/>
    <w:rsid w:val="001B21AE"/>
    <w:rsid w:val="001B44EE"/>
    <w:rsid w:val="001B4EA5"/>
    <w:rsid w:val="001B5499"/>
    <w:rsid w:val="001B5725"/>
    <w:rsid w:val="001B6D4D"/>
    <w:rsid w:val="001B7D0F"/>
    <w:rsid w:val="001B7F1A"/>
    <w:rsid w:val="001C1392"/>
    <w:rsid w:val="001C2BA5"/>
    <w:rsid w:val="001C3D30"/>
    <w:rsid w:val="001C5557"/>
    <w:rsid w:val="001C5CA8"/>
    <w:rsid w:val="001C6416"/>
    <w:rsid w:val="001C7897"/>
    <w:rsid w:val="001C79CB"/>
    <w:rsid w:val="001C7AB7"/>
    <w:rsid w:val="001C7F2A"/>
    <w:rsid w:val="001D1F64"/>
    <w:rsid w:val="001D2FE6"/>
    <w:rsid w:val="001D3409"/>
    <w:rsid w:val="001D4848"/>
    <w:rsid w:val="001D4B9D"/>
    <w:rsid w:val="001D5403"/>
    <w:rsid w:val="001D7382"/>
    <w:rsid w:val="001E01BA"/>
    <w:rsid w:val="001E332C"/>
    <w:rsid w:val="001E38FD"/>
    <w:rsid w:val="001E39E5"/>
    <w:rsid w:val="001E5A75"/>
    <w:rsid w:val="001E6127"/>
    <w:rsid w:val="001E6B9D"/>
    <w:rsid w:val="001E7AE4"/>
    <w:rsid w:val="001E7EA7"/>
    <w:rsid w:val="001F0111"/>
    <w:rsid w:val="001F0D60"/>
    <w:rsid w:val="001F2830"/>
    <w:rsid w:val="001F2920"/>
    <w:rsid w:val="001F3BBE"/>
    <w:rsid w:val="001F4225"/>
    <w:rsid w:val="001F5AC3"/>
    <w:rsid w:val="001F73EA"/>
    <w:rsid w:val="00200D6E"/>
    <w:rsid w:val="00201704"/>
    <w:rsid w:val="00201F3E"/>
    <w:rsid w:val="00202198"/>
    <w:rsid w:val="00202742"/>
    <w:rsid w:val="0020282E"/>
    <w:rsid w:val="00206687"/>
    <w:rsid w:val="00206D7E"/>
    <w:rsid w:val="00211293"/>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1C6"/>
    <w:rsid w:val="002305D2"/>
    <w:rsid w:val="00232217"/>
    <w:rsid w:val="00232702"/>
    <w:rsid w:val="0023488F"/>
    <w:rsid w:val="00234E7D"/>
    <w:rsid w:val="0023571F"/>
    <w:rsid w:val="002357EA"/>
    <w:rsid w:val="00235897"/>
    <w:rsid w:val="002367E6"/>
    <w:rsid w:val="00236E33"/>
    <w:rsid w:val="0023700C"/>
    <w:rsid w:val="00237276"/>
    <w:rsid w:val="0023738B"/>
    <w:rsid w:val="0023769E"/>
    <w:rsid w:val="002376B2"/>
    <w:rsid w:val="00241190"/>
    <w:rsid w:val="00241845"/>
    <w:rsid w:val="002423CA"/>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5E2F"/>
    <w:rsid w:val="0028628A"/>
    <w:rsid w:val="00290CAD"/>
    <w:rsid w:val="002917CA"/>
    <w:rsid w:val="002920FF"/>
    <w:rsid w:val="00292409"/>
    <w:rsid w:val="00292A20"/>
    <w:rsid w:val="00295225"/>
    <w:rsid w:val="00297074"/>
    <w:rsid w:val="002A04D3"/>
    <w:rsid w:val="002A1B49"/>
    <w:rsid w:val="002A4B85"/>
    <w:rsid w:val="002A5969"/>
    <w:rsid w:val="002A6913"/>
    <w:rsid w:val="002A7C84"/>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37D9"/>
    <w:rsid w:val="002C41F1"/>
    <w:rsid w:val="002C5671"/>
    <w:rsid w:val="002C6263"/>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1163"/>
    <w:rsid w:val="002F170E"/>
    <w:rsid w:val="002F1920"/>
    <w:rsid w:val="002F19BB"/>
    <w:rsid w:val="002F1E8D"/>
    <w:rsid w:val="002F2663"/>
    <w:rsid w:val="002F39A7"/>
    <w:rsid w:val="002F4A67"/>
    <w:rsid w:val="002F4A87"/>
    <w:rsid w:val="002F5571"/>
    <w:rsid w:val="002F7E28"/>
    <w:rsid w:val="00300224"/>
    <w:rsid w:val="00304CA5"/>
    <w:rsid w:val="0030572F"/>
    <w:rsid w:val="00306AD1"/>
    <w:rsid w:val="00306F71"/>
    <w:rsid w:val="00306F8E"/>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969"/>
    <w:rsid w:val="0036415F"/>
    <w:rsid w:val="00366794"/>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3112"/>
    <w:rsid w:val="003B3DBB"/>
    <w:rsid w:val="003B7060"/>
    <w:rsid w:val="003C050A"/>
    <w:rsid w:val="003C0FB5"/>
    <w:rsid w:val="003C1977"/>
    <w:rsid w:val="003C1BB1"/>
    <w:rsid w:val="003C2409"/>
    <w:rsid w:val="003C2566"/>
    <w:rsid w:val="003C3168"/>
    <w:rsid w:val="003C3AAB"/>
    <w:rsid w:val="003C3B79"/>
    <w:rsid w:val="003C3FD5"/>
    <w:rsid w:val="003C4307"/>
    <w:rsid w:val="003C60B9"/>
    <w:rsid w:val="003C7853"/>
    <w:rsid w:val="003D090A"/>
    <w:rsid w:val="003D10E9"/>
    <w:rsid w:val="003D1657"/>
    <w:rsid w:val="003D17D0"/>
    <w:rsid w:val="003D199D"/>
    <w:rsid w:val="003D3CED"/>
    <w:rsid w:val="003D431C"/>
    <w:rsid w:val="003D485B"/>
    <w:rsid w:val="003D56DE"/>
    <w:rsid w:val="003D7822"/>
    <w:rsid w:val="003D7F50"/>
    <w:rsid w:val="003E098F"/>
    <w:rsid w:val="003E3102"/>
    <w:rsid w:val="003E4EF2"/>
    <w:rsid w:val="003E5145"/>
    <w:rsid w:val="003E52DA"/>
    <w:rsid w:val="003F05A0"/>
    <w:rsid w:val="003F1103"/>
    <w:rsid w:val="003F15BB"/>
    <w:rsid w:val="003F17BB"/>
    <w:rsid w:val="003F3523"/>
    <w:rsid w:val="003F40E8"/>
    <w:rsid w:val="00401111"/>
    <w:rsid w:val="0040521E"/>
    <w:rsid w:val="00405C0A"/>
    <w:rsid w:val="00407110"/>
    <w:rsid w:val="00407936"/>
    <w:rsid w:val="00410796"/>
    <w:rsid w:val="004120DF"/>
    <w:rsid w:val="004129D0"/>
    <w:rsid w:val="00412D44"/>
    <w:rsid w:val="004133D9"/>
    <w:rsid w:val="00415A1B"/>
    <w:rsid w:val="00417984"/>
    <w:rsid w:val="00422449"/>
    <w:rsid w:val="00423556"/>
    <w:rsid w:val="00423F7E"/>
    <w:rsid w:val="00425F4C"/>
    <w:rsid w:val="0042766A"/>
    <w:rsid w:val="0043001B"/>
    <w:rsid w:val="004304C0"/>
    <w:rsid w:val="00430F6F"/>
    <w:rsid w:val="0043168D"/>
    <w:rsid w:val="004317F7"/>
    <w:rsid w:val="0043231D"/>
    <w:rsid w:val="004350F2"/>
    <w:rsid w:val="004357B9"/>
    <w:rsid w:val="00436204"/>
    <w:rsid w:val="00436490"/>
    <w:rsid w:val="00436A46"/>
    <w:rsid w:val="004377DA"/>
    <w:rsid w:val="004377E2"/>
    <w:rsid w:val="004408E7"/>
    <w:rsid w:val="00443003"/>
    <w:rsid w:val="00443DD0"/>
    <w:rsid w:val="00445E06"/>
    <w:rsid w:val="0045099E"/>
    <w:rsid w:val="00450A2E"/>
    <w:rsid w:val="00451220"/>
    <w:rsid w:val="00451B63"/>
    <w:rsid w:val="00452FEF"/>
    <w:rsid w:val="00453999"/>
    <w:rsid w:val="00454082"/>
    <w:rsid w:val="00454139"/>
    <w:rsid w:val="00455364"/>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39A"/>
    <w:rsid w:val="00476566"/>
    <w:rsid w:val="004766D4"/>
    <w:rsid w:val="0047693D"/>
    <w:rsid w:val="00477CB6"/>
    <w:rsid w:val="00480A69"/>
    <w:rsid w:val="0048116C"/>
    <w:rsid w:val="0048143B"/>
    <w:rsid w:val="00483FC9"/>
    <w:rsid w:val="00484DDA"/>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3A58"/>
    <w:rsid w:val="004A3B3D"/>
    <w:rsid w:val="004A5880"/>
    <w:rsid w:val="004A6C52"/>
    <w:rsid w:val="004A705D"/>
    <w:rsid w:val="004A7B60"/>
    <w:rsid w:val="004B031B"/>
    <w:rsid w:val="004B135C"/>
    <w:rsid w:val="004B2A17"/>
    <w:rsid w:val="004B34D1"/>
    <w:rsid w:val="004B38D3"/>
    <w:rsid w:val="004B38D7"/>
    <w:rsid w:val="004B3B58"/>
    <w:rsid w:val="004B4DF9"/>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8B1"/>
    <w:rsid w:val="004E2BE7"/>
    <w:rsid w:val="004E5B02"/>
    <w:rsid w:val="004E6D5F"/>
    <w:rsid w:val="004E7936"/>
    <w:rsid w:val="004E7DF2"/>
    <w:rsid w:val="004F0D16"/>
    <w:rsid w:val="004F2B30"/>
    <w:rsid w:val="004F3766"/>
    <w:rsid w:val="004F458D"/>
    <w:rsid w:val="004F4775"/>
    <w:rsid w:val="004F4BB8"/>
    <w:rsid w:val="004F50AF"/>
    <w:rsid w:val="00502363"/>
    <w:rsid w:val="00502FC6"/>
    <w:rsid w:val="0050394C"/>
    <w:rsid w:val="0050399F"/>
    <w:rsid w:val="00503F93"/>
    <w:rsid w:val="00504A16"/>
    <w:rsid w:val="005050CE"/>
    <w:rsid w:val="00505B5C"/>
    <w:rsid w:val="005067A1"/>
    <w:rsid w:val="00512312"/>
    <w:rsid w:val="005130D9"/>
    <w:rsid w:val="005135D6"/>
    <w:rsid w:val="00513822"/>
    <w:rsid w:val="00514158"/>
    <w:rsid w:val="00514783"/>
    <w:rsid w:val="00521D56"/>
    <w:rsid w:val="00522F33"/>
    <w:rsid w:val="0052367C"/>
    <w:rsid w:val="00523DD6"/>
    <w:rsid w:val="0053078D"/>
    <w:rsid w:val="00530BA1"/>
    <w:rsid w:val="00530FC7"/>
    <w:rsid w:val="00531FC9"/>
    <w:rsid w:val="0053327A"/>
    <w:rsid w:val="00533D6A"/>
    <w:rsid w:val="00533E53"/>
    <w:rsid w:val="005342A5"/>
    <w:rsid w:val="00535350"/>
    <w:rsid w:val="00535A98"/>
    <w:rsid w:val="00536B6D"/>
    <w:rsid w:val="0053702D"/>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23E9"/>
    <w:rsid w:val="00572C82"/>
    <w:rsid w:val="0057350E"/>
    <w:rsid w:val="00573DB4"/>
    <w:rsid w:val="00576215"/>
    <w:rsid w:val="0057632A"/>
    <w:rsid w:val="005808DE"/>
    <w:rsid w:val="00581FA5"/>
    <w:rsid w:val="00582923"/>
    <w:rsid w:val="00584165"/>
    <w:rsid w:val="00585466"/>
    <w:rsid w:val="0058617B"/>
    <w:rsid w:val="0059042F"/>
    <w:rsid w:val="005911AC"/>
    <w:rsid w:val="00593E1F"/>
    <w:rsid w:val="0059657D"/>
    <w:rsid w:val="00597BBC"/>
    <w:rsid w:val="005A020C"/>
    <w:rsid w:val="005A18FB"/>
    <w:rsid w:val="005A2182"/>
    <w:rsid w:val="005A2363"/>
    <w:rsid w:val="005A43B1"/>
    <w:rsid w:val="005A6305"/>
    <w:rsid w:val="005A7CA9"/>
    <w:rsid w:val="005B02DE"/>
    <w:rsid w:val="005B0463"/>
    <w:rsid w:val="005B0C8D"/>
    <w:rsid w:val="005B13A0"/>
    <w:rsid w:val="005B321D"/>
    <w:rsid w:val="005B3B7C"/>
    <w:rsid w:val="005B54BB"/>
    <w:rsid w:val="005B5D85"/>
    <w:rsid w:val="005C1BC9"/>
    <w:rsid w:val="005C287F"/>
    <w:rsid w:val="005C2A1D"/>
    <w:rsid w:val="005C517E"/>
    <w:rsid w:val="005C6CF7"/>
    <w:rsid w:val="005C6DEB"/>
    <w:rsid w:val="005C7A91"/>
    <w:rsid w:val="005D2F62"/>
    <w:rsid w:val="005D3318"/>
    <w:rsid w:val="005D35A0"/>
    <w:rsid w:val="005D3E00"/>
    <w:rsid w:val="005D40D9"/>
    <w:rsid w:val="005D5914"/>
    <w:rsid w:val="005E0301"/>
    <w:rsid w:val="005E03B8"/>
    <w:rsid w:val="005E0917"/>
    <w:rsid w:val="005E3471"/>
    <w:rsid w:val="005E4BEC"/>
    <w:rsid w:val="005E7DF2"/>
    <w:rsid w:val="005F05ED"/>
    <w:rsid w:val="005F1095"/>
    <w:rsid w:val="005F12F9"/>
    <w:rsid w:val="005F1957"/>
    <w:rsid w:val="005F3409"/>
    <w:rsid w:val="005F5B6B"/>
    <w:rsid w:val="005F5DF8"/>
    <w:rsid w:val="005F6354"/>
    <w:rsid w:val="005F6603"/>
    <w:rsid w:val="005F6FDF"/>
    <w:rsid w:val="00600733"/>
    <w:rsid w:val="00601450"/>
    <w:rsid w:val="006015FF"/>
    <w:rsid w:val="0060179C"/>
    <w:rsid w:val="006022CB"/>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82E"/>
    <w:rsid w:val="0061552A"/>
    <w:rsid w:val="00616264"/>
    <w:rsid w:val="00616690"/>
    <w:rsid w:val="00616E90"/>
    <w:rsid w:val="00620AB3"/>
    <w:rsid w:val="00622B37"/>
    <w:rsid w:val="00622DF8"/>
    <w:rsid w:val="00623BD2"/>
    <w:rsid w:val="0062558D"/>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D5A"/>
    <w:rsid w:val="00650DB8"/>
    <w:rsid w:val="00651C18"/>
    <w:rsid w:val="00652DF7"/>
    <w:rsid w:val="00652F11"/>
    <w:rsid w:val="00656BF0"/>
    <w:rsid w:val="0066173C"/>
    <w:rsid w:val="0066186C"/>
    <w:rsid w:val="00662545"/>
    <w:rsid w:val="006646B6"/>
    <w:rsid w:val="006660B9"/>
    <w:rsid w:val="00666996"/>
    <w:rsid w:val="00672D2A"/>
    <w:rsid w:val="006746DB"/>
    <w:rsid w:val="006750B8"/>
    <w:rsid w:val="00676B42"/>
    <w:rsid w:val="00676B98"/>
    <w:rsid w:val="006771CE"/>
    <w:rsid w:val="006778A2"/>
    <w:rsid w:val="00681382"/>
    <w:rsid w:val="00685182"/>
    <w:rsid w:val="0068594D"/>
    <w:rsid w:val="00690D01"/>
    <w:rsid w:val="006916DC"/>
    <w:rsid w:val="00691F9C"/>
    <w:rsid w:val="00692A55"/>
    <w:rsid w:val="00692B10"/>
    <w:rsid w:val="0069572F"/>
    <w:rsid w:val="006966FF"/>
    <w:rsid w:val="00696F12"/>
    <w:rsid w:val="006972E8"/>
    <w:rsid w:val="006A01F5"/>
    <w:rsid w:val="006A14F6"/>
    <w:rsid w:val="006A20A0"/>
    <w:rsid w:val="006A3201"/>
    <w:rsid w:val="006A3A82"/>
    <w:rsid w:val="006A4B1B"/>
    <w:rsid w:val="006A6CCF"/>
    <w:rsid w:val="006A7AEE"/>
    <w:rsid w:val="006B08A5"/>
    <w:rsid w:val="006B19A0"/>
    <w:rsid w:val="006B1A77"/>
    <w:rsid w:val="006B2A31"/>
    <w:rsid w:val="006B36C2"/>
    <w:rsid w:val="006B4AC8"/>
    <w:rsid w:val="006B55D6"/>
    <w:rsid w:val="006B5A2B"/>
    <w:rsid w:val="006B5BA8"/>
    <w:rsid w:val="006B7228"/>
    <w:rsid w:val="006B72F3"/>
    <w:rsid w:val="006C0691"/>
    <w:rsid w:val="006C0915"/>
    <w:rsid w:val="006C11BB"/>
    <w:rsid w:val="006C163A"/>
    <w:rsid w:val="006C1FB5"/>
    <w:rsid w:val="006C3FF9"/>
    <w:rsid w:val="006C4136"/>
    <w:rsid w:val="006C4174"/>
    <w:rsid w:val="006C45C6"/>
    <w:rsid w:val="006C4D76"/>
    <w:rsid w:val="006C52E6"/>
    <w:rsid w:val="006C66DB"/>
    <w:rsid w:val="006C6D3F"/>
    <w:rsid w:val="006C6EE0"/>
    <w:rsid w:val="006C7201"/>
    <w:rsid w:val="006D35FC"/>
    <w:rsid w:val="006D3B1A"/>
    <w:rsid w:val="006D49F3"/>
    <w:rsid w:val="006D665A"/>
    <w:rsid w:val="006D6AE0"/>
    <w:rsid w:val="006E01DA"/>
    <w:rsid w:val="006E0809"/>
    <w:rsid w:val="006E3440"/>
    <w:rsid w:val="006E52E7"/>
    <w:rsid w:val="006E5D07"/>
    <w:rsid w:val="006E6778"/>
    <w:rsid w:val="006E6AEF"/>
    <w:rsid w:val="006F2637"/>
    <w:rsid w:val="006F2989"/>
    <w:rsid w:val="006F3626"/>
    <w:rsid w:val="006F503D"/>
    <w:rsid w:val="006F53D7"/>
    <w:rsid w:val="00700DE8"/>
    <w:rsid w:val="00700DFD"/>
    <w:rsid w:val="00703C87"/>
    <w:rsid w:val="007065FE"/>
    <w:rsid w:val="00706D25"/>
    <w:rsid w:val="007106FB"/>
    <w:rsid w:val="007111B3"/>
    <w:rsid w:val="00711F3A"/>
    <w:rsid w:val="007121C9"/>
    <w:rsid w:val="00712B6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81C"/>
    <w:rsid w:val="00736AD5"/>
    <w:rsid w:val="00736D27"/>
    <w:rsid w:val="00736F34"/>
    <w:rsid w:val="00741BA6"/>
    <w:rsid w:val="007420C6"/>
    <w:rsid w:val="007434D0"/>
    <w:rsid w:val="00745142"/>
    <w:rsid w:val="00745369"/>
    <w:rsid w:val="007463E2"/>
    <w:rsid w:val="007466A4"/>
    <w:rsid w:val="007503D4"/>
    <w:rsid w:val="0075112B"/>
    <w:rsid w:val="00752B94"/>
    <w:rsid w:val="0075517F"/>
    <w:rsid w:val="00757C76"/>
    <w:rsid w:val="007608E4"/>
    <w:rsid w:val="007615A8"/>
    <w:rsid w:val="00761856"/>
    <w:rsid w:val="00761891"/>
    <w:rsid w:val="0076257F"/>
    <w:rsid w:val="00763A4B"/>
    <w:rsid w:val="00764E61"/>
    <w:rsid w:val="00765008"/>
    <w:rsid w:val="007676ED"/>
    <w:rsid w:val="007679BF"/>
    <w:rsid w:val="00770830"/>
    <w:rsid w:val="00770EAF"/>
    <w:rsid w:val="007711E7"/>
    <w:rsid w:val="00771E97"/>
    <w:rsid w:val="0077276E"/>
    <w:rsid w:val="0077559A"/>
    <w:rsid w:val="0078015D"/>
    <w:rsid w:val="00781160"/>
    <w:rsid w:val="007827A3"/>
    <w:rsid w:val="00783881"/>
    <w:rsid w:val="00783DA7"/>
    <w:rsid w:val="00784477"/>
    <w:rsid w:val="0078506A"/>
    <w:rsid w:val="00785E60"/>
    <w:rsid w:val="00785F3E"/>
    <w:rsid w:val="007864CA"/>
    <w:rsid w:val="00787028"/>
    <w:rsid w:val="00787CDE"/>
    <w:rsid w:val="00791DA9"/>
    <w:rsid w:val="00795EC6"/>
    <w:rsid w:val="007969A4"/>
    <w:rsid w:val="00797715"/>
    <w:rsid w:val="00797C89"/>
    <w:rsid w:val="007A1067"/>
    <w:rsid w:val="007A1D61"/>
    <w:rsid w:val="007A1E2E"/>
    <w:rsid w:val="007A212A"/>
    <w:rsid w:val="007A40CB"/>
    <w:rsid w:val="007A49AC"/>
    <w:rsid w:val="007A4CFD"/>
    <w:rsid w:val="007B0068"/>
    <w:rsid w:val="007B025E"/>
    <w:rsid w:val="007B0AC3"/>
    <w:rsid w:val="007B16A3"/>
    <w:rsid w:val="007B4F0B"/>
    <w:rsid w:val="007B4FD3"/>
    <w:rsid w:val="007B5523"/>
    <w:rsid w:val="007C099C"/>
    <w:rsid w:val="007C3B71"/>
    <w:rsid w:val="007C4C33"/>
    <w:rsid w:val="007C5DF2"/>
    <w:rsid w:val="007C6E66"/>
    <w:rsid w:val="007C795D"/>
    <w:rsid w:val="007D1696"/>
    <w:rsid w:val="007D183F"/>
    <w:rsid w:val="007D2AEF"/>
    <w:rsid w:val="007D2CE6"/>
    <w:rsid w:val="007D4FF8"/>
    <w:rsid w:val="007D63B3"/>
    <w:rsid w:val="007D7D73"/>
    <w:rsid w:val="007E16E5"/>
    <w:rsid w:val="007E18BB"/>
    <w:rsid w:val="007E33D4"/>
    <w:rsid w:val="007E39E6"/>
    <w:rsid w:val="007E3DCF"/>
    <w:rsid w:val="007E475F"/>
    <w:rsid w:val="007E6F35"/>
    <w:rsid w:val="007E7340"/>
    <w:rsid w:val="007F0442"/>
    <w:rsid w:val="007F360A"/>
    <w:rsid w:val="007F5225"/>
    <w:rsid w:val="007F5488"/>
    <w:rsid w:val="007F6D99"/>
    <w:rsid w:val="007F7831"/>
    <w:rsid w:val="007F7A60"/>
    <w:rsid w:val="008004DF"/>
    <w:rsid w:val="008015A0"/>
    <w:rsid w:val="00802421"/>
    <w:rsid w:val="008024B2"/>
    <w:rsid w:val="00805255"/>
    <w:rsid w:val="00810F87"/>
    <w:rsid w:val="0081176B"/>
    <w:rsid w:val="00812582"/>
    <w:rsid w:val="008136B4"/>
    <w:rsid w:val="00816B32"/>
    <w:rsid w:val="00816F2D"/>
    <w:rsid w:val="00820E23"/>
    <w:rsid w:val="0082105B"/>
    <w:rsid w:val="008248E0"/>
    <w:rsid w:val="00830F86"/>
    <w:rsid w:val="0083278B"/>
    <w:rsid w:val="0083285E"/>
    <w:rsid w:val="008343BD"/>
    <w:rsid w:val="0083444D"/>
    <w:rsid w:val="00836845"/>
    <w:rsid w:val="00841322"/>
    <w:rsid w:val="008420D9"/>
    <w:rsid w:val="008427C5"/>
    <w:rsid w:val="00842A5C"/>
    <w:rsid w:val="00844689"/>
    <w:rsid w:val="00845545"/>
    <w:rsid w:val="008503E1"/>
    <w:rsid w:val="00850C75"/>
    <w:rsid w:val="00854E5A"/>
    <w:rsid w:val="0085520E"/>
    <w:rsid w:val="00855D5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4B3"/>
    <w:rsid w:val="00884B2C"/>
    <w:rsid w:val="00884FEB"/>
    <w:rsid w:val="00885185"/>
    <w:rsid w:val="00885309"/>
    <w:rsid w:val="0088630E"/>
    <w:rsid w:val="00887637"/>
    <w:rsid w:val="00887A83"/>
    <w:rsid w:val="0089010B"/>
    <w:rsid w:val="00893133"/>
    <w:rsid w:val="008932B5"/>
    <w:rsid w:val="00894221"/>
    <w:rsid w:val="008968A4"/>
    <w:rsid w:val="00897812"/>
    <w:rsid w:val="008A1A1E"/>
    <w:rsid w:val="008A1C51"/>
    <w:rsid w:val="008A301C"/>
    <w:rsid w:val="008A3152"/>
    <w:rsid w:val="008A49E8"/>
    <w:rsid w:val="008A509C"/>
    <w:rsid w:val="008A5DBC"/>
    <w:rsid w:val="008A61B3"/>
    <w:rsid w:val="008A7A5D"/>
    <w:rsid w:val="008B1A0F"/>
    <w:rsid w:val="008B2119"/>
    <w:rsid w:val="008B2F5E"/>
    <w:rsid w:val="008B37B1"/>
    <w:rsid w:val="008B6066"/>
    <w:rsid w:val="008B695F"/>
    <w:rsid w:val="008B7267"/>
    <w:rsid w:val="008B73EE"/>
    <w:rsid w:val="008C017D"/>
    <w:rsid w:val="008C09FE"/>
    <w:rsid w:val="008C122C"/>
    <w:rsid w:val="008C2DC4"/>
    <w:rsid w:val="008C5233"/>
    <w:rsid w:val="008C624D"/>
    <w:rsid w:val="008C6A9B"/>
    <w:rsid w:val="008C6E0B"/>
    <w:rsid w:val="008D2210"/>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1D51"/>
    <w:rsid w:val="008F2D4E"/>
    <w:rsid w:val="008F42E6"/>
    <w:rsid w:val="008F50DF"/>
    <w:rsid w:val="008F54B0"/>
    <w:rsid w:val="008F5BFE"/>
    <w:rsid w:val="00900C1D"/>
    <w:rsid w:val="00901501"/>
    <w:rsid w:val="00902EFC"/>
    <w:rsid w:val="00905EA9"/>
    <w:rsid w:val="009068C9"/>
    <w:rsid w:val="00907115"/>
    <w:rsid w:val="00907513"/>
    <w:rsid w:val="00910210"/>
    <w:rsid w:val="009118EE"/>
    <w:rsid w:val="00912DF5"/>
    <w:rsid w:val="00920491"/>
    <w:rsid w:val="009247A0"/>
    <w:rsid w:val="00924EEF"/>
    <w:rsid w:val="00924FE7"/>
    <w:rsid w:val="009270FE"/>
    <w:rsid w:val="00927A7A"/>
    <w:rsid w:val="00927A8B"/>
    <w:rsid w:val="0093055F"/>
    <w:rsid w:val="009308DB"/>
    <w:rsid w:val="00931528"/>
    <w:rsid w:val="009339C1"/>
    <w:rsid w:val="00934BDB"/>
    <w:rsid w:val="00934F04"/>
    <w:rsid w:val="00936395"/>
    <w:rsid w:val="00936BB3"/>
    <w:rsid w:val="00936DD1"/>
    <w:rsid w:val="009371BA"/>
    <w:rsid w:val="0094162B"/>
    <w:rsid w:val="00941843"/>
    <w:rsid w:val="00942368"/>
    <w:rsid w:val="009433BC"/>
    <w:rsid w:val="00944530"/>
    <w:rsid w:val="00947028"/>
    <w:rsid w:val="00947A01"/>
    <w:rsid w:val="00950950"/>
    <w:rsid w:val="00954485"/>
    <w:rsid w:val="00955AA6"/>
    <w:rsid w:val="00955C81"/>
    <w:rsid w:val="00955F25"/>
    <w:rsid w:val="00960B47"/>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78D"/>
    <w:rsid w:val="00991C37"/>
    <w:rsid w:val="00991D59"/>
    <w:rsid w:val="009921F0"/>
    <w:rsid w:val="0099270E"/>
    <w:rsid w:val="009931C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355E"/>
    <w:rsid w:val="009B511B"/>
    <w:rsid w:val="009B526D"/>
    <w:rsid w:val="009B591B"/>
    <w:rsid w:val="009B6CE4"/>
    <w:rsid w:val="009C001E"/>
    <w:rsid w:val="009C083D"/>
    <w:rsid w:val="009C2C58"/>
    <w:rsid w:val="009C3801"/>
    <w:rsid w:val="009C3D16"/>
    <w:rsid w:val="009C3DD6"/>
    <w:rsid w:val="009C4291"/>
    <w:rsid w:val="009C44E7"/>
    <w:rsid w:val="009C4702"/>
    <w:rsid w:val="009C5582"/>
    <w:rsid w:val="009C7899"/>
    <w:rsid w:val="009C7D6A"/>
    <w:rsid w:val="009D3244"/>
    <w:rsid w:val="009D50E7"/>
    <w:rsid w:val="009D5501"/>
    <w:rsid w:val="009D5D1A"/>
    <w:rsid w:val="009D6EDB"/>
    <w:rsid w:val="009D7A90"/>
    <w:rsid w:val="009E283E"/>
    <w:rsid w:val="009E2BBD"/>
    <w:rsid w:val="009E4FA0"/>
    <w:rsid w:val="009E563E"/>
    <w:rsid w:val="009E5DCC"/>
    <w:rsid w:val="009E655E"/>
    <w:rsid w:val="009E718A"/>
    <w:rsid w:val="009E7D4D"/>
    <w:rsid w:val="009F1084"/>
    <w:rsid w:val="009F2B54"/>
    <w:rsid w:val="009F3AD0"/>
    <w:rsid w:val="009F5262"/>
    <w:rsid w:val="009F78B4"/>
    <w:rsid w:val="009F7C08"/>
    <w:rsid w:val="00A01C72"/>
    <w:rsid w:val="00A02850"/>
    <w:rsid w:val="00A03C89"/>
    <w:rsid w:val="00A03DC9"/>
    <w:rsid w:val="00A045D1"/>
    <w:rsid w:val="00A0483F"/>
    <w:rsid w:val="00A04CFA"/>
    <w:rsid w:val="00A10C90"/>
    <w:rsid w:val="00A12B66"/>
    <w:rsid w:val="00A136CD"/>
    <w:rsid w:val="00A232F8"/>
    <w:rsid w:val="00A24751"/>
    <w:rsid w:val="00A248E2"/>
    <w:rsid w:val="00A26662"/>
    <w:rsid w:val="00A2674E"/>
    <w:rsid w:val="00A31125"/>
    <w:rsid w:val="00A320B1"/>
    <w:rsid w:val="00A325F5"/>
    <w:rsid w:val="00A33695"/>
    <w:rsid w:val="00A33C55"/>
    <w:rsid w:val="00A34026"/>
    <w:rsid w:val="00A369B8"/>
    <w:rsid w:val="00A402A8"/>
    <w:rsid w:val="00A4281F"/>
    <w:rsid w:val="00A4309F"/>
    <w:rsid w:val="00A4319E"/>
    <w:rsid w:val="00A50EB7"/>
    <w:rsid w:val="00A51AA9"/>
    <w:rsid w:val="00A5221E"/>
    <w:rsid w:val="00A53C11"/>
    <w:rsid w:val="00A60195"/>
    <w:rsid w:val="00A6394C"/>
    <w:rsid w:val="00A64421"/>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801A9"/>
    <w:rsid w:val="00A80A02"/>
    <w:rsid w:val="00A80C2E"/>
    <w:rsid w:val="00A840BE"/>
    <w:rsid w:val="00A840D5"/>
    <w:rsid w:val="00A85CE0"/>
    <w:rsid w:val="00A85E91"/>
    <w:rsid w:val="00A86139"/>
    <w:rsid w:val="00A86EB4"/>
    <w:rsid w:val="00A90BDF"/>
    <w:rsid w:val="00A92CF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48F1"/>
    <w:rsid w:val="00B049B4"/>
    <w:rsid w:val="00B04D23"/>
    <w:rsid w:val="00B057CA"/>
    <w:rsid w:val="00B11505"/>
    <w:rsid w:val="00B11D0D"/>
    <w:rsid w:val="00B12EA6"/>
    <w:rsid w:val="00B145A2"/>
    <w:rsid w:val="00B15280"/>
    <w:rsid w:val="00B15DB6"/>
    <w:rsid w:val="00B17100"/>
    <w:rsid w:val="00B171C0"/>
    <w:rsid w:val="00B17999"/>
    <w:rsid w:val="00B20E5D"/>
    <w:rsid w:val="00B21DE2"/>
    <w:rsid w:val="00B21E50"/>
    <w:rsid w:val="00B22110"/>
    <w:rsid w:val="00B23005"/>
    <w:rsid w:val="00B26927"/>
    <w:rsid w:val="00B30046"/>
    <w:rsid w:val="00B31D8A"/>
    <w:rsid w:val="00B32AFB"/>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939"/>
    <w:rsid w:val="00B542AB"/>
    <w:rsid w:val="00B6263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6114"/>
    <w:rsid w:val="00B86CA9"/>
    <w:rsid w:val="00B91440"/>
    <w:rsid w:val="00B93FA1"/>
    <w:rsid w:val="00B96FBD"/>
    <w:rsid w:val="00B976CF"/>
    <w:rsid w:val="00B97F1B"/>
    <w:rsid w:val="00BA1C6C"/>
    <w:rsid w:val="00BA2863"/>
    <w:rsid w:val="00BA325A"/>
    <w:rsid w:val="00BA58FE"/>
    <w:rsid w:val="00BA5C1F"/>
    <w:rsid w:val="00BA6384"/>
    <w:rsid w:val="00BA6E03"/>
    <w:rsid w:val="00BA7CE0"/>
    <w:rsid w:val="00BB169C"/>
    <w:rsid w:val="00BB3CBE"/>
    <w:rsid w:val="00BB50BB"/>
    <w:rsid w:val="00BB5B5D"/>
    <w:rsid w:val="00BB6397"/>
    <w:rsid w:val="00BB73C8"/>
    <w:rsid w:val="00BB7E19"/>
    <w:rsid w:val="00BC068F"/>
    <w:rsid w:val="00BC0A7F"/>
    <w:rsid w:val="00BC1220"/>
    <w:rsid w:val="00BC2C58"/>
    <w:rsid w:val="00BC3F13"/>
    <w:rsid w:val="00BC47BF"/>
    <w:rsid w:val="00BC4F1C"/>
    <w:rsid w:val="00BC61CD"/>
    <w:rsid w:val="00BC6F41"/>
    <w:rsid w:val="00BC793E"/>
    <w:rsid w:val="00BD1379"/>
    <w:rsid w:val="00BD36DE"/>
    <w:rsid w:val="00BD52C3"/>
    <w:rsid w:val="00BD5485"/>
    <w:rsid w:val="00BD661B"/>
    <w:rsid w:val="00BD687C"/>
    <w:rsid w:val="00BD75D1"/>
    <w:rsid w:val="00BE0A45"/>
    <w:rsid w:val="00BE1233"/>
    <w:rsid w:val="00BE1311"/>
    <w:rsid w:val="00BE19C2"/>
    <w:rsid w:val="00BE358B"/>
    <w:rsid w:val="00BE4109"/>
    <w:rsid w:val="00BE447B"/>
    <w:rsid w:val="00BE4782"/>
    <w:rsid w:val="00BE47D8"/>
    <w:rsid w:val="00BE4FD9"/>
    <w:rsid w:val="00BE5D73"/>
    <w:rsid w:val="00BE6DFE"/>
    <w:rsid w:val="00BF124A"/>
    <w:rsid w:val="00BF4770"/>
    <w:rsid w:val="00BF540A"/>
    <w:rsid w:val="00BF6EC1"/>
    <w:rsid w:val="00BF7257"/>
    <w:rsid w:val="00C017D1"/>
    <w:rsid w:val="00C029BC"/>
    <w:rsid w:val="00C04D37"/>
    <w:rsid w:val="00C05941"/>
    <w:rsid w:val="00C0657C"/>
    <w:rsid w:val="00C074C4"/>
    <w:rsid w:val="00C10CD4"/>
    <w:rsid w:val="00C11B8D"/>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6C8"/>
    <w:rsid w:val="00C367B4"/>
    <w:rsid w:val="00C36B2D"/>
    <w:rsid w:val="00C37615"/>
    <w:rsid w:val="00C37B29"/>
    <w:rsid w:val="00C40D60"/>
    <w:rsid w:val="00C43A7D"/>
    <w:rsid w:val="00C4425F"/>
    <w:rsid w:val="00C46DB1"/>
    <w:rsid w:val="00C4706F"/>
    <w:rsid w:val="00C47BD3"/>
    <w:rsid w:val="00C504D3"/>
    <w:rsid w:val="00C53B22"/>
    <w:rsid w:val="00C542A9"/>
    <w:rsid w:val="00C54763"/>
    <w:rsid w:val="00C55649"/>
    <w:rsid w:val="00C563A1"/>
    <w:rsid w:val="00C576F8"/>
    <w:rsid w:val="00C57F07"/>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AFD"/>
    <w:rsid w:val="00C95414"/>
    <w:rsid w:val="00C95E48"/>
    <w:rsid w:val="00C960CE"/>
    <w:rsid w:val="00C9673B"/>
    <w:rsid w:val="00C973FB"/>
    <w:rsid w:val="00CA0C40"/>
    <w:rsid w:val="00CA126C"/>
    <w:rsid w:val="00CA13B9"/>
    <w:rsid w:val="00CA270D"/>
    <w:rsid w:val="00CA2E80"/>
    <w:rsid w:val="00CA2E9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7195"/>
    <w:rsid w:val="00CD1420"/>
    <w:rsid w:val="00CD1B30"/>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D024BD"/>
    <w:rsid w:val="00D02770"/>
    <w:rsid w:val="00D02E89"/>
    <w:rsid w:val="00D054C0"/>
    <w:rsid w:val="00D05A94"/>
    <w:rsid w:val="00D06F70"/>
    <w:rsid w:val="00D10700"/>
    <w:rsid w:val="00D11D41"/>
    <w:rsid w:val="00D1223C"/>
    <w:rsid w:val="00D14A32"/>
    <w:rsid w:val="00D14EE0"/>
    <w:rsid w:val="00D15808"/>
    <w:rsid w:val="00D1690D"/>
    <w:rsid w:val="00D16FBF"/>
    <w:rsid w:val="00D1786A"/>
    <w:rsid w:val="00D2018B"/>
    <w:rsid w:val="00D20799"/>
    <w:rsid w:val="00D209AF"/>
    <w:rsid w:val="00D20C67"/>
    <w:rsid w:val="00D212FE"/>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457C"/>
    <w:rsid w:val="00D459F5"/>
    <w:rsid w:val="00D45B15"/>
    <w:rsid w:val="00D47551"/>
    <w:rsid w:val="00D51A17"/>
    <w:rsid w:val="00D52387"/>
    <w:rsid w:val="00D5285D"/>
    <w:rsid w:val="00D52FC3"/>
    <w:rsid w:val="00D52FEA"/>
    <w:rsid w:val="00D533DD"/>
    <w:rsid w:val="00D5433B"/>
    <w:rsid w:val="00D54C42"/>
    <w:rsid w:val="00D56AF5"/>
    <w:rsid w:val="00D60795"/>
    <w:rsid w:val="00D60F96"/>
    <w:rsid w:val="00D61651"/>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95045"/>
    <w:rsid w:val="00D96E61"/>
    <w:rsid w:val="00DA040A"/>
    <w:rsid w:val="00DA0B84"/>
    <w:rsid w:val="00DA0DB4"/>
    <w:rsid w:val="00DA1253"/>
    <w:rsid w:val="00DA1525"/>
    <w:rsid w:val="00DA3B36"/>
    <w:rsid w:val="00DA4727"/>
    <w:rsid w:val="00DA4A2F"/>
    <w:rsid w:val="00DA4AAA"/>
    <w:rsid w:val="00DA6CB8"/>
    <w:rsid w:val="00DA77E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30A"/>
    <w:rsid w:val="00DE26F2"/>
    <w:rsid w:val="00DE3389"/>
    <w:rsid w:val="00DE4001"/>
    <w:rsid w:val="00DE489B"/>
    <w:rsid w:val="00DE48EF"/>
    <w:rsid w:val="00DE4EF2"/>
    <w:rsid w:val="00DE5A31"/>
    <w:rsid w:val="00DF30EB"/>
    <w:rsid w:val="00DF65DF"/>
    <w:rsid w:val="00DF70AE"/>
    <w:rsid w:val="00E0175F"/>
    <w:rsid w:val="00E01F9D"/>
    <w:rsid w:val="00E02F76"/>
    <w:rsid w:val="00E050F3"/>
    <w:rsid w:val="00E052A9"/>
    <w:rsid w:val="00E0639C"/>
    <w:rsid w:val="00E06628"/>
    <w:rsid w:val="00E06E19"/>
    <w:rsid w:val="00E07C8E"/>
    <w:rsid w:val="00E10726"/>
    <w:rsid w:val="00E11F7B"/>
    <w:rsid w:val="00E143FD"/>
    <w:rsid w:val="00E14C4D"/>
    <w:rsid w:val="00E1696D"/>
    <w:rsid w:val="00E1750A"/>
    <w:rsid w:val="00E2178E"/>
    <w:rsid w:val="00E2447E"/>
    <w:rsid w:val="00E249EF"/>
    <w:rsid w:val="00E25862"/>
    <w:rsid w:val="00E26CB6"/>
    <w:rsid w:val="00E27969"/>
    <w:rsid w:val="00E32DA2"/>
    <w:rsid w:val="00E33BF7"/>
    <w:rsid w:val="00E340D7"/>
    <w:rsid w:val="00E41A58"/>
    <w:rsid w:val="00E41E4F"/>
    <w:rsid w:val="00E42A4D"/>
    <w:rsid w:val="00E43CD2"/>
    <w:rsid w:val="00E440D2"/>
    <w:rsid w:val="00E45F52"/>
    <w:rsid w:val="00E46936"/>
    <w:rsid w:val="00E47B54"/>
    <w:rsid w:val="00E47CCD"/>
    <w:rsid w:val="00E509EA"/>
    <w:rsid w:val="00E50E79"/>
    <w:rsid w:val="00E53E55"/>
    <w:rsid w:val="00E543B2"/>
    <w:rsid w:val="00E54B05"/>
    <w:rsid w:val="00E60B53"/>
    <w:rsid w:val="00E60C82"/>
    <w:rsid w:val="00E61840"/>
    <w:rsid w:val="00E6373B"/>
    <w:rsid w:val="00E63DC8"/>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C04"/>
    <w:rsid w:val="00E93AB5"/>
    <w:rsid w:val="00E96A85"/>
    <w:rsid w:val="00E9758A"/>
    <w:rsid w:val="00E979E9"/>
    <w:rsid w:val="00E97CD2"/>
    <w:rsid w:val="00EA050A"/>
    <w:rsid w:val="00EA0BAB"/>
    <w:rsid w:val="00EA11F0"/>
    <w:rsid w:val="00EA3FEF"/>
    <w:rsid w:val="00EA4108"/>
    <w:rsid w:val="00EA419C"/>
    <w:rsid w:val="00EA56D1"/>
    <w:rsid w:val="00EB154B"/>
    <w:rsid w:val="00EB1DBE"/>
    <w:rsid w:val="00EB5013"/>
    <w:rsid w:val="00EB5804"/>
    <w:rsid w:val="00EB5C9A"/>
    <w:rsid w:val="00EB6224"/>
    <w:rsid w:val="00EB62C2"/>
    <w:rsid w:val="00EB6DEA"/>
    <w:rsid w:val="00EB6E04"/>
    <w:rsid w:val="00EC0B74"/>
    <w:rsid w:val="00EC19AE"/>
    <w:rsid w:val="00EC5046"/>
    <w:rsid w:val="00EC53E0"/>
    <w:rsid w:val="00EC57C6"/>
    <w:rsid w:val="00EC5FA2"/>
    <w:rsid w:val="00ED1956"/>
    <w:rsid w:val="00ED4629"/>
    <w:rsid w:val="00ED52BC"/>
    <w:rsid w:val="00ED55F7"/>
    <w:rsid w:val="00ED66A4"/>
    <w:rsid w:val="00ED78AD"/>
    <w:rsid w:val="00ED7C8E"/>
    <w:rsid w:val="00EE0671"/>
    <w:rsid w:val="00EE0B9D"/>
    <w:rsid w:val="00EE2205"/>
    <w:rsid w:val="00EE2BDA"/>
    <w:rsid w:val="00EE34F2"/>
    <w:rsid w:val="00EE5691"/>
    <w:rsid w:val="00EE63B4"/>
    <w:rsid w:val="00EF0C0C"/>
    <w:rsid w:val="00EF0DA4"/>
    <w:rsid w:val="00EF36D2"/>
    <w:rsid w:val="00EF3F40"/>
    <w:rsid w:val="00F006CF"/>
    <w:rsid w:val="00F00A38"/>
    <w:rsid w:val="00F015E6"/>
    <w:rsid w:val="00F0322C"/>
    <w:rsid w:val="00F052D1"/>
    <w:rsid w:val="00F1041F"/>
    <w:rsid w:val="00F1062E"/>
    <w:rsid w:val="00F11185"/>
    <w:rsid w:val="00F117D1"/>
    <w:rsid w:val="00F12EA3"/>
    <w:rsid w:val="00F1455C"/>
    <w:rsid w:val="00F14B07"/>
    <w:rsid w:val="00F177C6"/>
    <w:rsid w:val="00F215C7"/>
    <w:rsid w:val="00F2228C"/>
    <w:rsid w:val="00F22648"/>
    <w:rsid w:val="00F249CD"/>
    <w:rsid w:val="00F26B14"/>
    <w:rsid w:val="00F271B3"/>
    <w:rsid w:val="00F30076"/>
    <w:rsid w:val="00F315FD"/>
    <w:rsid w:val="00F325B9"/>
    <w:rsid w:val="00F32D09"/>
    <w:rsid w:val="00F356CE"/>
    <w:rsid w:val="00F358AF"/>
    <w:rsid w:val="00F423F0"/>
    <w:rsid w:val="00F4393C"/>
    <w:rsid w:val="00F45359"/>
    <w:rsid w:val="00F46113"/>
    <w:rsid w:val="00F463F5"/>
    <w:rsid w:val="00F47628"/>
    <w:rsid w:val="00F47A9F"/>
    <w:rsid w:val="00F50709"/>
    <w:rsid w:val="00F52DF6"/>
    <w:rsid w:val="00F52FC6"/>
    <w:rsid w:val="00F535E7"/>
    <w:rsid w:val="00F5381F"/>
    <w:rsid w:val="00F5524C"/>
    <w:rsid w:val="00F56546"/>
    <w:rsid w:val="00F56641"/>
    <w:rsid w:val="00F56956"/>
    <w:rsid w:val="00F57838"/>
    <w:rsid w:val="00F57ED1"/>
    <w:rsid w:val="00F60315"/>
    <w:rsid w:val="00F60F37"/>
    <w:rsid w:val="00F61095"/>
    <w:rsid w:val="00F620A2"/>
    <w:rsid w:val="00F63080"/>
    <w:rsid w:val="00F63BA7"/>
    <w:rsid w:val="00F65282"/>
    <w:rsid w:val="00F66294"/>
    <w:rsid w:val="00F66830"/>
    <w:rsid w:val="00F67634"/>
    <w:rsid w:val="00F71DF2"/>
    <w:rsid w:val="00F75FD2"/>
    <w:rsid w:val="00F777C7"/>
    <w:rsid w:val="00F800B6"/>
    <w:rsid w:val="00F8071F"/>
    <w:rsid w:val="00F811F8"/>
    <w:rsid w:val="00F84B2D"/>
    <w:rsid w:val="00F85D06"/>
    <w:rsid w:val="00F87E46"/>
    <w:rsid w:val="00F913DC"/>
    <w:rsid w:val="00F9145F"/>
    <w:rsid w:val="00F91E30"/>
    <w:rsid w:val="00F93400"/>
    <w:rsid w:val="00F93B5F"/>
    <w:rsid w:val="00F9591C"/>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C019F"/>
    <w:rsid w:val="00FC0624"/>
    <w:rsid w:val="00FC0B81"/>
    <w:rsid w:val="00FC1030"/>
    <w:rsid w:val="00FC1715"/>
    <w:rsid w:val="00FC20DD"/>
    <w:rsid w:val="00FC371D"/>
    <w:rsid w:val="00FC41EC"/>
    <w:rsid w:val="00FC4D06"/>
    <w:rsid w:val="00FC6D7A"/>
    <w:rsid w:val="00FD0193"/>
    <w:rsid w:val="00FD0FAA"/>
    <w:rsid w:val="00FD16F5"/>
    <w:rsid w:val="00FD239F"/>
    <w:rsid w:val="00FD380B"/>
    <w:rsid w:val="00FD3883"/>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sl-SI" w:eastAsia="sl-SI" w:bidi="sl-SI"/>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sl-SI"/>
    </w:rPr>
  </w:style>
  <w:style w:type="character" w:customStyle="1" w:styleId="Heading2Char">
    <w:name w:val="Heading 2 Char"/>
    <w:link w:val="Heading2"/>
    <w:uiPriority w:val="99"/>
    <w:locked/>
    <w:rsid w:val="00EC5046"/>
    <w:rPr>
      <w:rFonts w:ascii="Verdana" w:hAnsi="Verdana" w:cs="Times New Roman"/>
      <w:b/>
      <w:sz w:val="24"/>
      <w:szCs w:val="24"/>
      <w:u w:val="single"/>
      <w:lang w:val="sl-SI"/>
    </w:rPr>
  </w:style>
  <w:style w:type="character" w:customStyle="1" w:styleId="Heading3Char">
    <w:name w:val="Heading 3 Char"/>
    <w:uiPriority w:val="99"/>
    <w:locked/>
    <w:rsid w:val="00884FEB"/>
    <w:rPr>
      <w:rFonts w:cs="Times New Roman"/>
      <w:sz w:val="24"/>
      <w:szCs w:val="24"/>
      <w:lang w:val="sl-SI" w:eastAsia="sl-SI"/>
    </w:rPr>
  </w:style>
  <w:style w:type="character" w:customStyle="1" w:styleId="Heading4Char">
    <w:name w:val="Heading 4 Char"/>
    <w:link w:val="Heading4"/>
    <w:uiPriority w:val="99"/>
    <w:locked/>
    <w:rsid w:val="00DE0962"/>
    <w:rPr>
      <w:rFonts w:ascii="Verdana" w:eastAsia="Times New Roman" w:hAnsi="Verdana"/>
      <w:b/>
      <w:szCs w:val="24"/>
      <w:u w:val="single"/>
      <w:lang w:eastAsia="sl-SI" w:bidi="sl-SI"/>
    </w:rPr>
  </w:style>
  <w:style w:type="character" w:customStyle="1" w:styleId="Heading5Char">
    <w:name w:val="Heading 5 Char"/>
    <w:link w:val="Heading5"/>
    <w:uiPriority w:val="1"/>
    <w:locked/>
    <w:rsid w:val="001E5A75"/>
    <w:rPr>
      <w:rFonts w:ascii="Arial" w:hAnsi="Arial" w:cs="Times New Roman"/>
      <w:b/>
      <w:i/>
      <w:sz w:val="20"/>
      <w:szCs w:val="20"/>
      <w:lang w:eastAsia="sl-SI"/>
    </w:rPr>
  </w:style>
  <w:style w:type="character" w:customStyle="1" w:styleId="Heading6Char">
    <w:name w:val="Heading 6 Char"/>
    <w:link w:val="Heading6"/>
    <w:semiHidden/>
    <w:locked/>
    <w:rsid w:val="001E5A75"/>
    <w:rPr>
      <w:rFonts w:ascii="Times New Roman" w:hAnsi="Times New Roman" w:cs="Times New Roman"/>
      <w:b/>
      <w:bCs/>
      <w:lang w:eastAsia="sl-SI"/>
    </w:rPr>
  </w:style>
  <w:style w:type="character" w:customStyle="1" w:styleId="Heading7Char">
    <w:name w:val="Heading 7 Char"/>
    <w:link w:val="Heading7"/>
    <w:semiHidden/>
    <w:locked/>
    <w:rsid w:val="001E5A75"/>
    <w:rPr>
      <w:rFonts w:ascii="Times New Roman" w:hAnsi="Times New Roman" w:cs="Times New Roman"/>
      <w:sz w:val="20"/>
      <w:szCs w:val="20"/>
      <w:lang w:eastAsia="sl-SI"/>
    </w:rPr>
  </w:style>
  <w:style w:type="character" w:customStyle="1" w:styleId="Heading8Char">
    <w:name w:val="Heading 8 Char"/>
    <w:link w:val="Heading8"/>
    <w:semiHidden/>
    <w:locked/>
    <w:rsid w:val="001E5A75"/>
    <w:rPr>
      <w:rFonts w:ascii="Times New Roman" w:hAnsi="Times New Roman" w:cs="Times New Roman"/>
      <w:i/>
      <w:iCs/>
      <w:sz w:val="20"/>
      <w:szCs w:val="20"/>
      <w:lang w:eastAsia="sl-SI"/>
    </w:rPr>
  </w:style>
  <w:style w:type="character" w:customStyle="1" w:styleId="Heading9Char">
    <w:name w:val="Heading 9 Char"/>
    <w:link w:val="Heading9"/>
    <w:semiHidden/>
    <w:locked/>
    <w:rsid w:val="001E5A75"/>
    <w:rPr>
      <w:rFonts w:ascii="Arial" w:hAnsi="Arial" w:cs="Arial"/>
      <w:lang w:eastAsia="sl-SI"/>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sl-SI"/>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sl-SI"/>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sl-SI"/>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sl-SI"/>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sl-SI"/>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sl-SI"/>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sl-SI"/>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sl-SI"/>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l-SI"/>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sl-SI" w:bidi="sl-SI"/>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sl-SI" w:bidi="sl-SI"/>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sl-SI" w:bidi="sl-SI"/>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sl-SI" w:eastAsia="sl-SI"/>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sl-SI" w:bidi="sl-SI"/>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l-SI" w:eastAsia="sl-SI" w:bidi="sl-SI"/>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sl-SI"/>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sl-SI"/>
    </w:rPr>
  </w:style>
  <w:style w:type="character" w:customStyle="1" w:styleId="NumPar1Char">
    <w:name w:val="NumPar 1 Char"/>
    <w:link w:val="NumPar1"/>
    <w:uiPriority w:val="99"/>
    <w:locked/>
    <w:rsid w:val="00D34F75"/>
    <w:rPr>
      <w:rFonts w:cs="Times New Roman"/>
      <w:sz w:val="24"/>
      <w:szCs w:val="24"/>
      <w:lang w:val="sl-SI" w:eastAsia="sl-SI"/>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sl-SI" w:eastAsia="sl-SI"/>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l-SI" w:eastAsia="sl-SI"/>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sl-SI" w:eastAsia="sl-SI" w:bidi="sl-SI"/>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sl-SI"/>
    </w:rPr>
  </w:style>
  <w:style w:type="character" w:customStyle="1" w:styleId="Heading2Char">
    <w:name w:val="Heading 2 Char"/>
    <w:link w:val="Heading2"/>
    <w:uiPriority w:val="99"/>
    <w:locked/>
    <w:rsid w:val="00EC5046"/>
    <w:rPr>
      <w:rFonts w:ascii="Verdana" w:hAnsi="Verdana" w:cs="Times New Roman"/>
      <w:b/>
      <w:sz w:val="24"/>
      <w:szCs w:val="24"/>
      <w:u w:val="single"/>
      <w:lang w:val="sl-SI"/>
    </w:rPr>
  </w:style>
  <w:style w:type="character" w:customStyle="1" w:styleId="Heading3Char">
    <w:name w:val="Heading 3 Char"/>
    <w:uiPriority w:val="99"/>
    <w:locked/>
    <w:rsid w:val="00884FEB"/>
    <w:rPr>
      <w:rFonts w:cs="Times New Roman"/>
      <w:sz w:val="24"/>
      <w:szCs w:val="24"/>
      <w:lang w:val="sl-SI" w:eastAsia="sl-SI"/>
    </w:rPr>
  </w:style>
  <w:style w:type="character" w:customStyle="1" w:styleId="Heading4Char">
    <w:name w:val="Heading 4 Char"/>
    <w:link w:val="Heading4"/>
    <w:uiPriority w:val="99"/>
    <w:locked/>
    <w:rsid w:val="00DE0962"/>
    <w:rPr>
      <w:rFonts w:ascii="Verdana" w:eastAsia="Times New Roman" w:hAnsi="Verdana"/>
      <w:b/>
      <w:szCs w:val="24"/>
      <w:u w:val="single"/>
      <w:lang w:eastAsia="sl-SI" w:bidi="sl-SI"/>
    </w:rPr>
  </w:style>
  <w:style w:type="character" w:customStyle="1" w:styleId="Heading5Char">
    <w:name w:val="Heading 5 Char"/>
    <w:link w:val="Heading5"/>
    <w:uiPriority w:val="1"/>
    <w:locked/>
    <w:rsid w:val="001E5A75"/>
    <w:rPr>
      <w:rFonts w:ascii="Arial" w:hAnsi="Arial" w:cs="Times New Roman"/>
      <w:b/>
      <w:i/>
      <w:sz w:val="20"/>
      <w:szCs w:val="20"/>
      <w:lang w:eastAsia="sl-SI"/>
    </w:rPr>
  </w:style>
  <w:style w:type="character" w:customStyle="1" w:styleId="Heading6Char">
    <w:name w:val="Heading 6 Char"/>
    <w:link w:val="Heading6"/>
    <w:semiHidden/>
    <w:locked/>
    <w:rsid w:val="001E5A75"/>
    <w:rPr>
      <w:rFonts w:ascii="Times New Roman" w:hAnsi="Times New Roman" w:cs="Times New Roman"/>
      <w:b/>
      <w:bCs/>
      <w:lang w:eastAsia="sl-SI"/>
    </w:rPr>
  </w:style>
  <w:style w:type="character" w:customStyle="1" w:styleId="Heading7Char">
    <w:name w:val="Heading 7 Char"/>
    <w:link w:val="Heading7"/>
    <w:semiHidden/>
    <w:locked/>
    <w:rsid w:val="001E5A75"/>
    <w:rPr>
      <w:rFonts w:ascii="Times New Roman" w:hAnsi="Times New Roman" w:cs="Times New Roman"/>
      <w:sz w:val="20"/>
      <w:szCs w:val="20"/>
      <w:lang w:eastAsia="sl-SI"/>
    </w:rPr>
  </w:style>
  <w:style w:type="character" w:customStyle="1" w:styleId="Heading8Char">
    <w:name w:val="Heading 8 Char"/>
    <w:link w:val="Heading8"/>
    <w:semiHidden/>
    <w:locked/>
    <w:rsid w:val="001E5A75"/>
    <w:rPr>
      <w:rFonts w:ascii="Times New Roman" w:hAnsi="Times New Roman" w:cs="Times New Roman"/>
      <w:i/>
      <w:iCs/>
      <w:sz w:val="20"/>
      <w:szCs w:val="20"/>
      <w:lang w:eastAsia="sl-SI"/>
    </w:rPr>
  </w:style>
  <w:style w:type="character" w:customStyle="1" w:styleId="Heading9Char">
    <w:name w:val="Heading 9 Char"/>
    <w:link w:val="Heading9"/>
    <w:semiHidden/>
    <w:locked/>
    <w:rsid w:val="001E5A75"/>
    <w:rPr>
      <w:rFonts w:ascii="Arial" w:hAnsi="Arial" w:cs="Arial"/>
      <w:lang w:eastAsia="sl-SI"/>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sl-SI"/>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sl-SI"/>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sl-SI"/>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sl-SI"/>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sl-SI"/>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sl-SI"/>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sl-SI"/>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sl-SI"/>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l-SI"/>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sl-SI" w:bidi="sl-SI"/>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sl-SI" w:bidi="sl-SI"/>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sl-SI" w:bidi="sl-SI"/>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sl-SI" w:eastAsia="sl-SI"/>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sl-SI" w:bidi="sl-SI"/>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l-SI" w:eastAsia="sl-SI" w:bidi="sl-SI"/>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sl-SI"/>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sl-SI"/>
    </w:rPr>
  </w:style>
  <w:style w:type="character" w:customStyle="1" w:styleId="NumPar1Char">
    <w:name w:val="NumPar 1 Char"/>
    <w:link w:val="NumPar1"/>
    <w:uiPriority w:val="99"/>
    <w:locked/>
    <w:rsid w:val="00D34F75"/>
    <w:rPr>
      <w:rFonts w:cs="Times New Roman"/>
      <w:sz w:val="24"/>
      <w:szCs w:val="24"/>
      <w:lang w:val="sl-SI" w:eastAsia="sl-SI"/>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sl-SI" w:eastAsia="sl-SI"/>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l-SI" w:eastAsia="sl-SI"/>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A64482-E123-43ED-8C46-E30AAE1AC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222</Pages>
  <Words>68238</Words>
  <Characters>415876</Characters>
  <Application>Microsoft Office Word</Application>
  <DocSecurity>0</DocSecurity>
  <Lines>10944</Lines>
  <Paragraphs>6206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477908</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VOLAVSEK Andrej (DGT)</cp:lastModifiedBy>
  <cp:revision>9</cp:revision>
  <cp:lastPrinted>2018-06-07T11:13:00Z</cp:lastPrinted>
  <dcterms:created xsi:type="dcterms:W3CDTF">2018-06-28T09:52:00Z</dcterms:created>
  <dcterms:modified xsi:type="dcterms:W3CDTF">2018-08-31T10:06:00Z</dcterms:modified>
</cp:coreProperties>
</file>