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0D" w:rsidRPr="00DE4798" w:rsidRDefault="00DD593B" w:rsidP="00DE4798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DAA030CC-8F10-4BE6-BD77-D9F0D1B5E122" style="width:450pt;height:381.75pt">
            <v:imagedata r:id="rId9" o:title=""/>
          </v:shape>
        </w:pict>
      </w:r>
    </w:p>
    <w:p w:rsidR="00075C77" w:rsidRPr="00DE4798" w:rsidRDefault="00075C77">
      <w:pPr>
        <w:sectPr w:rsidR="00075C77" w:rsidRPr="00DE4798" w:rsidSect="005F2EC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075C77" w:rsidRPr="00DE4798" w:rsidRDefault="00DE4798" w:rsidP="00DE4798">
      <w:pPr>
        <w:pStyle w:val="Typedudocument"/>
      </w:pPr>
      <w:r w:rsidRPr="00DE4798">
        <w:t>REGOLAMENT TA’ IMPLIMENTAZZJONI TAL-KUMMISSJONI (UE) .../...</w:t>
      </w:r>
    </w:p>
    <w:p w:rsidR="00075C77" w:rsidRPr="00DE4798" w:rsidRDefault="00DE4798" w:rsidP="00DE4798">
      <w:pPr>
        <w:pStyle w:val="Datedadoption"/>
      </w:pPr>
      <w:r w:rsidRPr="00DE4798">
        <w:t xml:space="preserve">ta’ </w:t>
      </w:r>
      <w:r w:rsidRPr="00DE4798">
        <w:rPr>
          <w:rStyle w:val="Marker2"/>
        </w:rPr>
        <w:t>XXX</w:t>
      </w:r>
    </w:p>
    <w:p w:rsidR="00075C77" w:rsidRPr="00DE4798" w:rsidRDefault="00DE4798" w:rsidP="00DE4798">
      <w:pPr>
        <w:pStyle w:val="Titreobjet"/>
      </w:pPr>
      <w:r w:rsidRPr="00DE4798">
        <w:t>li jemenda r-Regolament ta’ Implimentazzjoni (UE) Nru 680/2014 fir-rigward ta’ valwazzjoni prudenti għal rapportar superviżorju</w:t>
      </w:r>
    </w:p>
    <w:p w:rsidR="00F16FEC" w:rsidRPr="00DE4798" w:rsidRDefault="00DE4798" w:rsidP="00DE4798">
      <w:pPr>
        <w:pStyle w:val="IntrtEEE"/>
      </w:pPr>
      <w:r w:rsidRPr="00DE4798">
        <w:t>(Test b'rilevanza għaż-ŻEE)</w:t>
      </w:r>
    </w:p>
    <w:p w:rsidR="00075C77" w:rsidRPr="00DE4798" w:rsidRDefault="00075C77" w:rsidP="004E1EF9">
      <w:pPr>
        <w:pStyle w:val="Institutionquiagit"/>
      </w:pPr>
      <w:r w:rsidRPr="00DE4798">
        <w:t>IL-KUMMISSJONI EWROPEA</w:t>
      </w:r>
    </w:p>
    <w:p w:rsidR="00075C77" w:rsidRPr="00DE4798" w:rsidRDefault="00075C77" w:rsidP="004E1EF9">
      <w:r w:rsidRPr="00DE4798">
        <w:rPr>
          <w:color w:val="000000"/>
        </w:rPr>
        <w:t>Wara li kkunsidrat it-Trattat dwar il-Funzjonament tal-Unjoni Ewropea</w:t>
      </w:r>
      <w:r w:rsidRPr="00DE4798">
        <w:t>,</w:t>
      </w:r>
    </w:p>
    <w:p w:rsidR="00075C77" w:rsidRPr="00DE4798" w:rsidRDefault="00075C77" w:rsidP="004E1EF9">
      <w:r w:rsidRPr="00DE4798">
        <w:t>Wara li kkunsidrat ir-Regolament (UE) Nru 575/2013 tal-Parlament Ewropew u tal-Kunsill tas-26 ta’ Ġunju 2013 dwar ir-rekwiżiti prudenzjali għall-istituzzjonijiet ta' kreditu u d-ditti tal-investiment u li jemenda r-Regolament (UE) Nru 648/2012</w:t>
      </w:r>
      <w:r w:rsidRPr="00DE4798">
        <w:rPr>
          <w:rStyle w:val="FootnoteReference"/>
        </w:rPr>
        <w:footnoteReference w:id="2"/>
      </w:r>
      <w:r w:rsidRPr="00DE4798">
        <w:t xml:space="preserve"> u b'mod partikolari r-raba' subparagrafu tal-Artikolu 99(5), ir-raba' subparagrafu tal-Artikolu 99(6), it-tielet subparagrafu tal-Artikolu 394(4), ir-raba’ subparagrafu tal-Artikolu 415(3) u t-tielet subparagrafu tal-Artikolu 430(2) tiegħu,</w:t>
      </w:r>
    </w:p>
    <w:p w:rsidR="00075C77" w:rsidRPr="00DE4798" w:rsidRDefault="00075C77" w:rsidP="004E1EF9">
      <w:r w:rsidRPr="00DE4798">
        <w:t>Billi:</w:t>
      </w:r>
    </w:p>
    <w:p w:rsidR="00075C77" w:rsidRPr="00DE4798" w:rsidRDefault="00075C77" w:rsidP="003C1FB8">
      <w:pPr>
        <w:pStyle w:val="Considrant"/>
        <w:numPr>
          <w:ilvl w:val="0"/>
          <w:numId w:val="1"/>
        </w:numPr>
        <w:rPr>
          <w:noProof/>
          <w:color w:val="000000"/>
        </w:rPr>
      </w:pPr>
      <w:r w:rsidRPr="00DE4798">
        <w:rPr>
          <w:noProof/>
          <w:color w:val="000000"/>
        </w:rPr>
        <w:t>Ir-Regolament ta’ Implimentazzjoni tal-Kummissjoni (UE) Nru 680/2014</w:t>
      </w:r>
      <w:r w:rsidRPr="00DE4798">
        <w:rPr>
          <w:rStyle w:val="FootnoteReference"/>
          <w:noProof/>
          <w:color w:val="000000"/>
        </w:rPr>
        <w:footnoteReference w:id="3"/>
      </w:r>
      <w:r w:rsidRPr="00DE4798">
        <w:rPr>
          <w:noProof/>
          <w:color w:val="000000"/>
        </w:rPr>
        <w:t xml:space="preserve"> jispeċifika l-modalitajiet li skonthom l-istituzzjonijiet huma meħtieġa jirrappurtaw l-informazzjoni rilevanti għall-konformità tagħhom mar-Regolament (UE) Nru 575/2013. Il-qafas regolatorju stabbilit bir-Regolament (UE) Nru 575/2013 qiegħed jiġi gradwalment issupplimentat u emendat fl-elementi mhux essenzjali tiegħu permezz tal-adozzjoni ta’ standards tekniċi regolatorji ulterjuri. Ir-Regolament ta’ Implimentazzjoni (UE) Nru 680/2014 jeħtieġ li jiġi aġġornat biex ikun jirrifletti dawk il-bidliet.</w:t>
      </w:r>
    </w:p>
    <w:p w:rsidR="00075C77" w:rsidRPr="00DE4798" w:rsidRDefault="00075C77" w:rsidP="00075C77">
      <w:pPr>
        <w:pStyle w:val="Considrant"/>
        <w:rPr>
          <w:color w:val="000000"/>
        </w:rPr>
      </w:pPr>
      <w:r w:rsidRPr="00DE4798">
        <w:rPr>
          <w:color w:val="000000"/>
        </w:rPr>
        <w:t>Ir-Regolament (UE) Nru 575/2013 huwa ssupplementat permezz tal-adozzjoni tar-Regolament Delegat tal-Kummissjoni (UE) 2016/101</w:t>
      </w:r>
      <w:r w:rsidRPr="00DE4798">
        <w:rPr>
          <w:rStyle w:val="FootnoteReference"/>
          <w:color w:val="000000"/>
        </w:rPr>
        <w:footnoteReference w:id="4"/>
      </w:r>
      <w:r w:rsidRPr="00DE4798">
        <w:rPr>
          <w:color w:val="000000"/>
        </w:rPr>
        <w:t>, fir-rigward ta’ valwazzjoni prudenti u mir-Regolament tal-Parlament Ewropew u tal-Kunsill (UE) 2017/2401</w:t>
      </w:r>
      <w:r w:rsidRPr="00DE4798">
        <w:rPr>
          <w:rStyle w:val="FootnoteReference"/>
          <w:color w:val="000000"/>
        </w:rPr>
        <w:footnoteReference w:id="5"/>
      </w:r>
      <w:r w:rsidRPr="00DE4798">
        <w:rPr>
          <w:color w:val="000000"/>
        </w:rPr>
        <w:t>, fir-rigward ta’ titolizzazzjoni. Jenħtieġ li r-Regolament ta’ Implimentazzjoni (UE) Nru 680/2014 jiġi aġġornati biex isir jirrifletti dawk il-bidliet u sabiex joffri preċiżjoni akbar fl-istruzzjonijiet u d-definizzjonijiet użati għall-finijiet tar-rappurtar superviżorju tal-istituzzjonijiet. Jenħtieġ ukoll il jiġu ċċarati ċerti referenzi u inkonsistenzi fl-ifformattjar li nstabu li huma qarrieqa matul l-applikazzjoni tar-Regolament ta’ Implimentazzjoni (UE) Nru 680/2014.</w:t>
      </w:r>
    </w:p>
    <w:p w:rsidR="00075C77" w:rsidRPr="00DE4798" w:rsidRDefault="00195568" w:rsidP="00075C77">
      <w:pPr>
        <w:pStyle w:val="Considrant"/>
        <w:rPr>
          <w:noProof/>
          <w:color w:val="000000"/>
        </w:rPr>
      </w:pPr>
      <w:r w:rsidRPr="00DE4798">
        <w:rPr>
          <w:noProof/>
          <w:color w:val="000000"/>
        </w:rPr>
        <w:t>Ir-Regolament Delegat tal-Kummissjoni (UE) 2016/101 jistabbilixxi r-rekwiżiti relatati ma’ aġġustamenti tal-valwazzjoni prudenti tal-pożizzjonijiet b’valur ġust. Dan jipprovdi żewġ approċċi għall-implimentazzjoni tar-rekwiżiti tal-valwazzzjoni prudenti: approċċ ċentrali kif ukoll approċċ issimplifikat. Sabiex tinżamm taħt osservazzjoni l-konformità tal-istituzzjonijiet ma’ dawk ir-rekwiżiti u sabiex jiġi vvalutat l-impatt ta’ dak ir-Regolament fuq l-aġġustamenti tal-valwazzjoni, huwa meħtieġ li jkun hemm rappurtar addizzjonali li jkun marbut mar-rekwiżiti tal-valwazzjoni prudenti.</w:t>
      </w:r>
    </w:p>
    <w:p w:rsidR="00075C77" w:rsidRPr="00DE4798" w:rsidRDefault="00075C77" w:rsidP="00075C77">
      <w:pPr>
        <w:pStyle w:val="Considrant"/>
        <w:rPr>
          <w:noProof/>
          <w:color w:val="000000"/>
        </w:rPr>
      </w:pPr>
      <w:r w:rsidRPr="00DE4798">
        <w:rPr>
          <w:color w:val="000000"/>
        </w:rPr>
        <w:t>Ir-Regolament (UE) 2017/2401 jemenda r-Regolament (UE) Nru 575/2013 sabiex it-trattament kapitali tat-titolizzazzjonijiet isir aktar sensittiv għar-riskju u kapaċi li jirrifletti b’mod adegwat il-karatteristiċi speċifiċi ta’ titolizzazzjonijiet sempliċi, trasparenti u standardizzati. Ir-Regolament ta’ Implimentazzjoni (UE) Nru 680/2014 jeħtieġ li jiġi emendat biex jakkomoda r-rappurtar dwar il-pożizzjonijiet tat-titolizzazzjoni soġġetti għal dan il-qafas rivedut dwar it-titolizzazzjoni.</w:t>
      </w:r>
    </w:p>
    <w:p w:rsidR="00075C77" w:rsidRPr="00DE4798" w:rsidRDefault="00075C77" w:rsidP="00075C77">
      <w:pPr>
        <w:pStyle w:val="Considrant"/>
        <w:rPr>
          <w:noProof/>
          <w:color w:val="000000"/>
        </w:rPr>
      </w:pPr>
      <w:r w:rsidRPr="00DE4798">
        <w:rPr>
          <w:noProof/>
          <w:color w:val="000000"/>
        </w:rPr>
        <w:t>Huma wkoll neċessarji emendi għar-Regolament ta' Implimentazzjoni (UE) Nru 680/2014 għat-titjib tal-ħila tal-awtoritajiet kompetenti li b'mod effettiv jissorveljaw u jivvalutaw il-profil tar-riskju tal-istituzzjonijiet u biex jiksbu fehma dwar ir-riskji għas-settur finanzjarju, li jirrekjedi tibdiliet żgħar għar-rekwiżiti ta' rapportar dwar id-distribuzzjoni ġeografika tal-iskoperturi.</w:t>
      </w:r>
    </w:p>
    <w:p w:rsidR="00075C77" w:rsidRPr="00DE4798" w:rsidRDefault="00075C77" w:rsidP="00075C77">
      <w:pPr>
        <w:pStyle w:val="Considrant"/>
        <w:rPr>
          <w:noProof/>
        </w:rPr>
      </w:pPr>
      <w:r w:rsidRPr="00DE4798">
        <w:t xml:space="preserve">Dan ir-Regolament huwa bbażat fuq l-abbozz tal-istandards tekniċi ta’ implimentazzjoni ppreżentati mill-Awtorità Bankarja Ewropea (EBA) lill-Kummissjoni. </w:t>
      </w:r>
    </w:p>
    <w:p w:rsidR="00075C77" w:rsidRPr="00DE4798" w:rsidRDefault="00075C77" w:rsidP="00075C77">
      <w:pPr>
        <w:pStyle w:val="Considrant"/>
        <w:rPr>
          <w:noProof/>
        </w:rPr>
      </w:pPr>
      <w:r w:rsidRPr="00DE4798">
        <w:t>L-EBA wettqet konsultazzjonijiet pubbliċi miftuħa dwar l-istandards tekniċi ta' implimentazzjoni abozzati li fuqhom huwa bbażat dan ir-Regolament marbuta mal-valwazzjoni prudenti u mad-distribuzzjoni ġeografika totali, analizzat il-kostijiet u l-benefiċċji potenzjali relatati u talbet l-opinjoni tal-Grupp tal-Partijiet Bankarji Interessati stabbilit skont l-Artikolu 37 tar-Regolament (UE) Nru 1093/2010 tal-Parlament Ewropew u tal-Kunsill</w:t>
      </w:r>
      <w:r w:rsidRPr="00DE4798">
        <w:rPr>
          <w:rStyle w:val="FootnoteReference"/>
          <w:noProof/>
        </w:rPr>
        <w:footnoteReference w:id="6"/>
      </w:r>
      <w:r w:rsidRPr="00DE4798">
        <w:t>. Skont it-tieni subparagrafu tal-Artikolu 15(1) ta’ dak ir-Regolament, l-EBA ma wettqet ebda konsultazzjoni pubblika miftuħa fir-rigward ta’ dawk il-partijiet tal-abbozz tal-istandards tekniċi ta’ implimentazzjoni li fuqhom huwa bbażat dan ir-Regolament li huma jew ta’ natura editorjali jew li jintroduċu biss għadd limitat ta’ elementi fil-qafas tar-rapportar superviżorju, peress li tali konsultazzjoni tkun sproporzjonata fir-rigward tal-kamp ta’ applikazzjoni u l-impatt tal-abbozzi ta’ standards tekniċi ta’ implimentazzjoni kkonċernati.</w:t>
      </w:r>
    </w:p>
    <w:p w:rsidR="00075C77" w:rsidRPr="00DE4798" w:rsidRDefault="00075C77" w:rsidP="00075C77">
      <w:pPr>
        <w:pStyle w:val="Considrant"/>
      </w:pPr>
      <w:r w:rsidRPr="00DE4798">
        <w:t>Għaldaqstant, ir-Regolament ta’ Implimentazzjoni (UE) Nru 680/2014 jinħtieġ li jiġi emendat skont dan,</w:t>
      </w:r>
    </w:p>
    <w:p w:rsidR="00075C77" w:rsidRPr="00DE4798" w:rsidRDefault="00075C77" w:rsidP="004E1EF9">
      <w:pPr>
        <w:pStyle w:val="Formuledadoption"/>
      </w:pPr>
      <w:r w:rsidRPr="00DE4798">
        <w:t>ADOTTAT DAN IR-REGOLAMENT:</w:t>
      </w:r>
    </w:p>
    <w:p w:rsidR="00075C77" w:rsidRPr="00DE4798" w:rsidRDefault="00075C77" w:rsidP="004E1EF9">
      <w:pPr>
        <w:pStyle w:val="Titrearticle"/>
      </w:pPr>
      <w:r w:rsidRPr="00DE4798">
        <w:t>Artikolu 1</w:t>
      </w:r>
    </w:p>
    <w:p w:rsidR="00075C77" w:rsidRPr="00DE4798" w:rsidRDefault="00075C77" w:rsidP="00075C77">
      <w:pPr>
        <w:rPr>
          <w:noProof/>
        </w:rPr>
      </w:pPr>
      <w:r w:rsidRPr="00DE4798">
        <w:t>Ir-Regolament ta’ Implimentazzjoni (UE) Nru 680/2014 huwa emendat kif ġej:</w:t>
      </w:r>
    </w:p>
    <w:p w:rsidR="00591517" w:rsidRPr="00DE4798" w:rsidRDefault="00591517" w:rsidP="00591517">
      <w:pPr>
        <w:pStyle w:val="Point0number"/>
        <w:numPr>
          <w:ilvl w:val="0"/>
          <w:numId w:val="3"/>
        </w:numPr>
        <w:rPr>
          <w:noProof/>
        </w:rPr>
      </w:pPr>
      <w:r w:rsidRPr="00DE4798">
        <w:t>L-Artikolu 5 huwa emendat kif ġej:</w:t>
      </w:r>
    </w:p>
    <w:p w:rsidR="00591517" w:rsidRPr="00DE4798" w:rsidRDefault="00591517" w:rsidP="00703993">
      <w:pPr>
        <w:pStyle w:val="Point1letter"/>
      </w:pPr>
      <w:r w:rsidRPr="00DE4798">
        <w:t>il-punt (a) huwa emendat kif ġej:</w:t>
      </w:r>
    </w:p>
    <w:p w:rsidR="00075C77" w:rsidRPr="00DE4798" w:rsidRDefault="008F3946" w:rsidP="00BC47EF">
      <w:pPr>
        <w:pStyle w:val="Point1"/>
      </w:pPr>
      <w:r w:rsidRPr="00DE4798">
        <w:t xml:space="preserve">(i) </w:t>
      </w:r>
      <w:r w:rsidRPr="00DE4798">
        <w:tab/>
        <w:t>il-paragrafu (4) huwa sostitwit b’dan li ġej:</w:t>
      </w:r>
    </w:p>
    <w:p w:rsidR="00075C77" w:rsidRPr="00DE4798" w:rsidRDefault="00EA38CD" w:rsidP="00C34F30">
      <w:pPr>
        <w:pStyle w:val="Text2"/>
        <w:rPr>
          <w:noProof/>
        </w:rPr>
      </w:pPr>
      <w:r w:rsidRPr="00DE4798">
        <w:t>“(4)</w:t>
      </w:r>
      <w:r w:rsidRPr="00DE4798">
        <w:tab/>
        <w:t>l-informazzjoni dwar id-distribuzzjoni ġeografika tal-iskoperturi skont il-pajjiż, kif ukoll aggregata f’livell totali, kif speċifikat fil-Mudell 9 tal-Anness I, skont l-istruzzjonijiet fil-Parti II, il-punt 3.4 tal-Anness II. Għar-rigward tal-informazzjoni speċifikata fil-mudelli 9.1 u 9.2, b’mod partikolari,l-informazzjoni dwar id-distribuzzjoni ġeografika tal-iskoperturi skont il-pajjiż għandhom jiġu rrappurtati fejn skoperturi oriġinali mhux domestiċi fil-pajjiżi kollha "mhux domestiċi" fil-klassijiet ta' skoperturi kollha, kif irrapportat fir-ringiela 850 tal-Mudell 4 tal-Anness I, huma ugwali jew ogħla minn 10 % tal-iskoperturi totali domestiċi kif ukoll mhux domestiċi oriġinali kif irrappurtat fir-ringiela 860 tal-Mudell 4 tal-Anness I. Għal dan il-fini l-iskoperturi jiġu meqjusa bħala domestiċi fejn huma skoperturi għal kontropartijiet lokalizzati fl-Istat Membru fejn l-istituzzjoni tkun lokalizzata. Għandhom japplikaw il-kriterji tad-dħul u l-ħruġ tal-Artikolu 4;”;</w:t>
      </w:r>
    </w:p>
    <w:p w:rsidR="00075C77" w:rsidRPr="00DE4798" w:rsidRDefault="008F3946" w:rsidP="00BC47EF">
      <w:pPr>
        <w:pStyle w:val="Point1"/>
        <w:rPr>
          <w:noProof/>
        </w:rPr>
      </w:pPr>
      <w:r w:rsidRPr="00DE4798">
        <w:t xml:space="preserve">(ii) </w:t>
      </w:r>
      <w:r w:rsidRPr="00DE4798">
        <w:tab/>
        <w:t>jiżdied il-paragrafu (12) li ġej:</w:t>
      </w:r>
    </w:p>
    <w:p w:rsidR="00075C77" w:rsidRPr="00DE4798" w:rsidRDefault="00EA38CD" w:rsidP="00C34F30">
      <w:pPr>
        <w:pStyle w:val="Text2"/>
        <w:rPr>
          <w:noProof/>
        </w:rPr>
      </w:pPr>
      <w:r w:rsidRPr="00DE4798">
        <w:t>“(12)</w:t>
      </w:r>
      <w:r w:rsidRPr="00DE4798">
        <w:tab/>
        <w:t>l-informazzjoni dwar valwazzjoni prudenti speċifikata fil-formola 32 tal-Anness I, skont l-istruzzjonijiet fil-Parti II, il-punt 6 tal-Anness II kif ġej:</w:t>
      </w:r>
    </w:p>
    <w:p w:rsidR="00075C77" w:rsidRPr="00DE4798" w:rsidRDefault="008D3748" w:rsidP="00BC47EF">
      <w:pPr>
        <w:pStyle w:val="Text4"/>
        <w:rPr>
          <w:noProof/>
        </w:rPr>
      </w:pPr>
      <w:r w:rsidRPr="00DE4798">
        <w:t>(i) l-istituzzjonijiet kollha għandhom jirrappurtaw l-informazzjoni speċifikata fil-formola 32.1 tal-Anness I, skont l-istruzzjonijiet fil-Parti II, il-punt 6 tal-Anness II:</w:t>
      </w:r>
    </w:p>
    <w:p w:rsidR="00075C77" w:rsidRPr="00DE4798" w:rsidRDefault="008D3748" w:rsidP="00BC47EF">
      <w:pPr>
        <w:pStyle w:val="Text4"/>
        <w:rPr>
          <w:noProof/>
        </w:rPr>
      </w:pPr>
      <w:r w:rsidRPr="00DE4798">
        <w:t>(ii) minbarra r-rapportar imsemmija fil-punt (i), l-istituzzjonijiet li japplikaw l-approċċ ċentrali skont ir-Regolament (UE) 2016/101 għandhom ukoll jirrapportaw l-informazzjoni speċifikata fil-mudell 32.2 tal-Anness I skont l-istruzzjonijiet fil-Parti II, il-punt 6 tal-Anness II;</w:t>
      </w:r>
    </w:p>
    <w:p w:rsidR="00075C77" w:rsidRPr="00DE4798" w:rsidRDefault="008D3748" w:rsidP="00BC47EF">
      <w:pPr>
        <w:pStyle w:val="Text4"/>
        <w:rPr>
          <w:noProof/>
        </w:rPr>
      </w:pPr>
      <w:r w:rsidRPr="00DE4798">
        <w:t>(iii) minbarra r-rekwiżiti msemmija fil-punti (i) u (ii), l-istituzzjonijiet li japplikaw l-approċċ ċentrali skont ir-Regolament (UE) 2016/101 u li jeċċedu l-limitu li ssir referenza għalih fl-Artikolu 4(1) ta’ dak ir-Regolament fil-livell ta’ rappurtar rispettiv tagħhom, għandhom ukoll jirrapportaw l-informazzjoni speċifikata fil-mudelli 32.3 u 32.4 tal-Anness I skont l-istruzzjonijiet fil-Parti II, il-punt 6 tal-Anness II;</w:t>
      </w:r>
    </w:p>
    <w:p w:rsidR="00075C77" w:rsidRPr="00DE4798" w:rsidRDefault="00591517" w:rsidP="00703993">
      <w:pPr>
        <w:pStyle w:val="Text2"/>
        <w:rPr>
          <w:noProof/>
        </w:rPr>
      </w:pPr>
      <w:r w:rsidRPr="00DE4798">
        <w:t>Għall-finijiet tal-punt (a)(12), il-kriterji tad-dħul u l-ħruġ tal-Artikolu 4 ma għandhomx japplikaw.”;</w:t>
      </w:r>
    </w:p>
    <w:p w:rsidR="00591517" w:rsidRPr="00DE4798" w:rsidRDefault="00591517" w:rsidP="00703993">
      <w:pPr>
        <w:pStyle w:val="Point1letter"/>
        <w:rPr>
          <w:noProof/>
        </w:rPr>
      </w:pPr>
      <w:r w:rsidRPr="00DE4798">
        <w:t>il-punt (b) huwa emendat kif ġej:</w:t>
      </w:r>
    </w:p>
    <w:p w:rsidR="00075C77" w:rsidRPr="00DE4798" w:rsidRDefault="00075C77" w:rsidP="00BC47EF">
      <w:pPr>
        <w:pStyle w:val="Text1"/>
        <w:rPr>
          <w:noProof/>
        </w:rPr>
      </w:pPr>
      <w:r w:rsidRPr="00DE4798">
        <w:t>Fil-paragrafu (3), il-punti (a), (b) u (c), il-kliem “fil-punt 6 tal-Parti II tal-Anness II” huma sostitwiti bil-kliem “fil-punt 7 tal-Parti II tal-Anness II”;</w:t>
      </w:r>
    </w:p>
    <w:p w:rsidR="00075C77" w:rsidRPr="00DE4798" w:rsidRDefault="00FA5963" w:rsidP="00075C77">
      <w:pPr>
        <w:pStyle w:val="Point0number"/>
        <w:rPr>
          <w:noProof/>
        </w:rPr>
      </w:pPr>
      <w:r w:rsidRPr="00DE4798">
        <w:t>Fl-Artikolu 9(2), il-punt (d) huwa sostitwit b'dan li ġej:</w:t>
      </w:r>
    </w:p>
    <w:p w:rsidR="00075C77" w:rsidRPr="00DE4798" w:rsidRDefault="00EA38CD" w:rsidP="00C34F30">
      <w:pPr>
        <w:pStyle w:val="Text1"/>
        <w:rPr>
          <w:noProof/>
        </w:rPr>
      </w:pPr>
      <w:r w:rsidRPr="00DE4798">
        <w:t>“(d)</w:t>
      </w:r>
      <w:r w:rsidRPr="00DE4798">
        <w:tab/>
        <w:t>l-informazzjoni speċifikata fil-mudell 20 fil-Parti 2 tal-Anness III bi frekwenza trimestrali meta l-istituzzjoni teċċedi l-livell limitu definit fit-tieni sentenza tal-paragrafu (4) tal-Artikolu 5(a). Għandhom japplikaw il-kriterji tad-dħul u l-ħruġ imsemmija fl-Artikolu 4;”;</w:t>
      </w:r>
    </w:p>
    <w:p w:rsidR="00075C77" w:rsidRPr="00DE4798" w:rsidRDefault="00075C77" w:rsidP="00075C77">
      <w:pPr>
        <w:pStyle w:val="Point0number"/>
        <w:rPr>
          <w:noProof/>
        </w:rPr>
      </w:pPr>
      <w:r w:rsidRPr="00DE4798">
        <w:t xml:space="preserve">L-Anness I tar-Regolament ta’ Implimentazzjoni (UE) Nru 680/2014 jiġi sostitwit bit-test stipulat fl-Anness I ta’ dan ir-Regolament; </w:t>
      </w:r>
    </w:p>
    <w:p w:rsidR="00075C77" w:rsidRPr="00DE4798" w:rsidRDefault="00075C77" w:rsidP="00075C77">
      <w:pPr>
        <w:pStyle w:val="Point0number"/>
        <w:rPr>
          <w:noProof/>
        </w:rPr>
      </w:pPr>
      <w:r w:rsidRPr="00DE4798">
        <w:t xml:space="preserve">L-Anness II tar-Regolament ta’ Implimentazzjoni (UE) Nru 680/2014 jiġi sostitwit bit-test stipulat fl-Anness II ta’ dan ir-Regolament. </w:t>
      </w:r>
    </w:p>
    <w:p w:rsidR="00075C77" w:rsidRPr="00DE4798" w:rsidRDefault="00075C77" w:rsidP="00075C77">
      <w:pPr>
        <w:pStyle w:val="Point0number"/>
        <w:rPr>
          <w:noProof/>
        </w:rPr>
      </w:pPr>
      <w:r w:rsidRPr="00DE4798">
        <w:t>L-Anness V tar-Regolament ta’ Implimentazzjoni (UE) Nru 680/2014 jiġi sostitwit bit-test stipulat fl-Anness III ta’ dan ir-Regolament;</w:t>
      </w:r>
    </w:p>
    <w:p w:rsidR="00075C77" w:rsidRPr="00DE4798" w:rsidRDefault="00075C77" w:rsidP="00075C77">
      <w:pPr>
        <w:pStyle w:val="Point0number"/>
        <w:rPr>
          <w:noProof/>
        </w:rPr>
      </w:pPr>
      <w:r w:rsidRPr="00DE4798">
        <w:t>L-Anness IX tar-Regolament ta’ Implimentazzjoni (UE) Nru 680/2014 jiġi sostitwit bit-test stipulat fl-Anness IV ta’ dan ir-Regolament;</w:t>
      </w:r>
    </w:p>
    <w:p w:rsidR="00075C77" w:rsidRPr="00DE4798" w:rsidRDefault="00075C77" w:rsidP="00075C77">
      <w:pPr>
        <w:pStyle w:val="Point0number"/>
        <w:rPr>
          <w:noProof/>
        </w:rPr>
      </w:pPr>
      <w:r w:rsidRPr="00DE4798">
        <w:t>L-Anness XI tar-Regolament ta’ Implimentazzjoni (UE) Nru 680/2014 jiġi sostitwit bit-test stipulat fl-Anness V ta’ dan ir-Regolament;</w:t>
      </w:r>
    </w:p>
    <w:p w:rsidR="00075C77" w:rsidRPr="00DE4798" w:rsidRDefault="00075C77" w:rsidP="00075C77">
      <w:pPr>
        <w:pStyle w:val="Point0number"/>
        <w:rPr>
          <w:noProof/>
        </w:rPr>
      </w:pPr>
      <w:r w:rsidRPr="00DE4798">
        <w:t>L-Anness XVI tar-Regolament ta' Implimentazzjoni (UE) Nru 680/2014 jiġi sostitwit bl-Anness VI ta' dan ir-Regolament;</w:t>
      </w:r>
    </w:p>
    <w:p w:rsidR="00075C77" w:rsidRPr="00DE4798" w:rsidRDefault="00075C77" w:rsidP="00075C77">
      <w:pPr>
        <w:pStyle w:val="Point0number"/>
        <w:rPr>
          <w:noProof/>
        </w:rPr>
      </w:pPr>
      <w:r w:rsidRPr="00DE4798">
        <w:t>L-Anness XIX tar-Regolament ta’ Implimentazzjoni (UE) Nru 680/2014 jiġi sostitwit bit-test stipulat fl-Anness VII ta’ dan ir-Regolament;</w:t>
      </w:r>
    </w:p>
    <w:p w:rsidR="00075C77" w:rsidRPr="00DE4798" w:rsidRDefault="00075C77" w:rsidP="00075C77">
      <w:pPr>
        <w:pStyle w:val="Point0number"/>
        <w:rPr>
          <w:noProof/>
        </w:rPr>
      </w:pPr>
      <w:r w:rsidRPr="00DE4798">
        <w:t>L-Anness XXI tar-Regolament ta’ Implimentazzjoni (UE) Nru 680/2014 jiġi sostitwit bit-test stipulat fl-Anness VIII ta’ dan ir-Regolament;</w:t>
      </w:r>
    </w:p>
    <w:p w:rsidR="00075C77" w:rsidRPr="00DE4798" w:rsidRDefault="00075C77" w:rsidP="00075C77">
      <w:pPr>
        <w:pStyle w:val="Point0number"/>
        <w:rPr>
          <w:noProof/>
        </w:rPr>
      </w:pPr>
      <w:r w:rsidRPr="00DE4798">
        <w:t>L-Anness XXII tar-Regolament ta’ Implimentazzjoni (UE) Nru 680/2014 jiġi sostitwit bit-test stipulat fl-Anness IX ta’ dan ir-Regolament;</w:t>
      </w:r>
    </w:p>
    <w:p w:rsidR="00075C77" w:rsidRPr="00DE4798" w:rsidRDefault="00075C77" w:rsidP="00075C77">
      <w:pPr>
        <w:pStyle w:val="Point0number"/>
      </w:pPr>
      <w:r w:rsidRPr="00DE4798">
        <w:t>L-Anness XXIII tar-Regolament ta’ Implimentazzjoni (UE) Nru 680/2014 jiġi sostitwit bit-test stipulat fl-Anness X ta’ dan ir-Regolament;</w:t>
      </w:r>
    </w:p>
    <w:p w:rsidR="00075C77" w:rsidRPr="00DE4798" w:rsidRDefault="00075C77" w:rsidP="004E1EF9">
      <w:pPr>
        <w:pStyle w:val="Titrearticle"/>
      </w:pPr>
      <w:r w:rsidRPr="00DE4798">
        <w:t>Artikolu 2</w:t>
      </w:r>
    </w:p>
    <w:p w:rsidR="00075C77" w:rsidRPr="00DE4798" w:rsidRDefault="00075C77" w:rsidP="004E1EF9">
      <w:r w:rsidRPr="00DE4798">
        <w:t>Dan ir-Regolament għandu jidħol fis-seħħ fl-għoxrin jum wara l-pubblikazzjoni tiegħu f’</w:t>
      </w:r>
      <w:r w:rsidRPr="00DE4798">
        <w:rPr>
          <w:i/>
        </w:rPr>
        <w:t>Il-Ġurnal Uffiċjali tal-Unjoni Ewropea</w:t>
      </w:r>
      <w:r w:rsidRPr="00DE4798">
        <w:t>.</w:t>
      </w:r>
    </w:p>
    <w:p w:rsidR="00075C77" w:rsidRPr="00DE4798" w:rsidRDefault="00075C77" w:rsidP="004E1EF9">
      <w:r w:rsidRPr="00DE4798">
        <w:t>Għandu japplika mill-1 ta’ Diċembru 2018.</w:t>
      </w:r>
    </w:p>
    <w:p w:rsidR="00075C77" w:rsidRPr="00DE4798" w:rsidRDefault="00075C77" w:rsidP="004E1EF9">
      <w:pPr>
        <w:pStyle w:val="Applicationdirecte"/>
      </w:pPr>
      <w:r w:rsidRPr="00DE4798">
        <w:t>Dan ir-Regolament jorbot fl-intier tiegħu u japplika direttament fl-Istati Membri kollha.</w:t>
      </w:r>
    </w:p>
    <w:p w:rsidR="00075C77" w:rsidRPr="00DE4798" w:rsidRDefault="00DE4798" w:rsidP="00DE4798">
      <w:pPr>
        <w:pStyle w:val="Fait"/>
      </w:pPr>
      <w:r w:rsidRPr="00DE4798">
        <w:t>Magħmul fi Brussell,</w:t>
      </w:r>
    </w:p>
    <w:p w:rsidR="00C52F7E" w:rsidRPr="00DE4798" w:rsidRDefault="00075C77" w:rsidP="00C52F7E">
      <w:pPr>
        <w:pStyle w:val="Institutionquisigne"/>
      </w:pPr>
      <w:r w:rsidRPr="00DE4798">
        <w:tab/>
        <w:t>Għall-Kummissjoni</w:t>
      </w:r>
    </w:p>
    <w:p w:rsidR="00C52F7E" w:rsidRPr="00DE4798" w:rsidRDefault="00C52F7E" w:rsidP="00B44BBC">
      <w:pPr>
        <w:pStyle w:val="Personnequisigne"/>
      </w:pPr>
      <w:r w:rsidRPr="00DE4798">
        <w:tab/>
        <w:t>Il-President</w:t>
      </w:r>
    </w:p>
    <w:p w:rsidR="00075C77" w:rsidRPr="00DE4798" w:rsidRDefault="00C52F7E" w:rsidP="00B44BBC">
      <w:pPr>
        <w:pStyle w:val="Personnequisigne"/>
      </w:pPr>
      <w:r w:rsidRPr="00DE4798">
        <w:tab/>
        <w:t>Jean-Claude JUNCKER</w:t>
      </w:r>
      <w:r w:rsidRPr="00DE4798">
        <w:tab/>
      </w:r>
      <w:r w:rsidRPr="00DE4798">
        <w:br/>
      </w:r>
      <w:r w:rsidRPr="00DE4798">
        <w:tab/>
      </w:r>
      <w:r w:rsidRPr="00DE4798">
        <w:br/>
      </w:r>
    </w:p>
    <w:sectPr w:rsidR="00075C77" w:rsidRPr="00DE4798" w:rsidSect="005F2EC7">
      <w:footerReference w:type="default" r:id="rId16"/>
      <w:footerReference w:type="first" r:id="rId17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546" w:rsidRDefault="00C72546" w:rsidP="00075C77">
      <w:pPr>
        <w:spacing w:before="0" w:after="0"/>
      </w:pPr>
      <w:r>
        <w:separator/>
      </w:r>
    </w:p>
  </w:endnote>
  <w:endnote w:type="continuationSeparator" w:id="0">
    <w:p w:rsidR="00C72546" w:rsidRDefault="00C72546" w:rsidP="00075C77">
      <w:pPr>
        <w:spacing w:before="0" w:after="0"/>
      </w:pPr>
      <w:r>
        <w:continuationSeparator/>
      </w:r>
    </w:p>
  </w:endnote>
  <w:endnote w:type="continuationNotice" w:id="1">
    <w:p w:rsidR="00C72546" w:rsidRDefault="00C7254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C7" w:rsidRPr="005F2EC7" w:rsidRDefault="005F2EC7" w:rsidP="005F2E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490" w:rsidRPr="005F2EC7" w:rsidRDefault="005F2EC7" w:rsidP="005F2EC7">
    <w:pPr>
      <w:pStyle w:val="Footer"/>
      <w:rPr>
        <w:rFonts w:ascii="Arial" w:hAnsi="Arial" w:cs="Arial"/>
        <w:b/>
        <w:sz w:val="48"/>
      </w:rPr>
    </w:pPr>
    <w:r w:rsidRPr="005F2EC7">
      <w:rPr>
        <w:rFonts w:ascii="Arial" w:hAnsi="Arial" w:cs="Arial"/>
        <w:b/>
        <w:sz w:val="48"/>
      </w:rPr>
      <w:t>MT</w:t>
    </w:r>
    <w:r w:rsidRPr="005F2EC7">
      <w:rPr>
        <w:rFonts w:ascii="Arial" w:hAnsi="Arial" w:cs="Arial"/>
        <w:b/>
        <w:sz w:val="48"/>
      </w:rPr>
      <w:tab/>
    </w:r>
    <w:r w:rsidRPr="005F2EC7">
      <w:rPr>
        <w:rFonts w:ascii="Arial" w:hAnsi="Arial" w:cs="Arial"/>
        <w:b/>
        <w:sz w:val="48"/>
      </w:rPr>
      <w:tab/>
    </w:r>
    <w:r w:rsidRPr="005F2EC7">
      <w:tab/>
    </w:r>
    <w:r w:rsidRPr="005F2EC7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C7" w:rsidRPr="005F2EC7" w:rsidRDefault="005F2EC7" w:rsidP="005F2EC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C7" w:rsidRPr="005F2EC7" w:rsidRDefault="005F2EC7" w:rsidP="005F2EC7">
    <w:pPr>
      <w:pStyle w:val="Footer"/>
      <w:rPr>
        <w:rFonts w:ascii="Arial" w:hAnsi="Arial" w:cs="Arial"/>
        <w:b/>
        <w:sz w:val="48"/>
      </w:rPr>
    </w:pPr>
    <w:r w:rsidRPr="005F2EC7">
      <w:rPr>
        <w:rFonts w:ascii="Arial" w:hAnsi="Arial" w:cs="Arial"/>
        <w:b/>
        <w:sz w:val="48"/>
      </w:rPr>
      <w:t>MT</w:t>
    </w:r>
    <w:r w:rsidRPr="005F2EC7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5F2EC7">
      <w:tab/>
    </w:r>
    <w:r w:rsidRPr="005F2EC7">
      <w:rPr>
        <w:rFonts w:ascii="Arial" w:hAnsi="Arial" w:cs="Arial"/>
        <w:b/>
        <w:sz w:val="48"/>
      </w:rPr>
      <w:t>MT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C7" w:rsidRPr="005F2EC7" w:rsidRDefault="005F2EC7" w:rsidP="005F2E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546" w:rsidRDefault="00C72546" w:rsidP="00075C77">
      <w:pPr>
        <w:spacing w:before="0" w:after="0"/>
      </w:pPr>
      <w:r>
        <w:separator/>
      </w:r>
    </w:p>
  </w:footnote>
  <w:footnote w:type="continuationSeparator" w:id="0">
    <w:p w:rsidR="00C72546" w:rsidRDefault="00C72546" w:rsidP="00075C77">
      <w:pPr>
        <w:spacing w:before="0" w:after="0"/>
      </w:pPr>
      <w:r>
        <w:continuationSeparator/>
      </w:r>
    </w:p>
  </w:footnote>
  <w:footnote w:type="continuationNotice" w:id="1">
    <w:p w:rsidR="00C72546" w:rsidRDefault="00C72546">
      <w:pPr>
        <w:spacing w:before="0" w:after="0"/>
      </w:pPr>
    </w:p>
  </w:footnote>
  <w:footnote w:id="2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ĠU L 176, 27.6.2013, p. 1.</w:t>
      </w:r>
    </w:p>
  </w:footnote>
  <w:footnote w:id="3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Ir-Regolament ta’ Implimentazzjoni tal-Kummissjoni (UE) Nru 680/2014 tas-16 ta’ April 2014 li jistabbilixxi standards tekniċi ta’ implimentazzjoni fir-rigward tar-rapportar superviżorju ta’ istituzzjonijiet skont ir-Regolament (UE) Nru 575/2013 (ĠU L 191, 28.6.2014, p. 1).</w:t>
      </w:r>
    </w:p>
  </w:footnote>
  <w:footnote w:id="4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Ir-Regolament Delegat tal-Kummissjoni (UE) 2016/101 tas-26 ta' Ottubru 2015 li jissupplimenta r-Regolament (UE) Nru 575/2013 tal-Parlament Ewropew u tal-Kunsill fir-rigward ta' standards tekniċi regolatorji għall-valwazzjoni prudenti skont l-Artikolu 105(14) (ĠU L 21, 28.01.2016, p. 54).</w:t>
      </w:r>
    </w:p>
  </w:footnote>
  <w:footnote w:id="5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Ir-Regolament (UE) 2017/2401 tal-Parlament Ewropew u tal-Kunsill tat-12 ta’ Diċembru 2017 li jemenda r-Regolament (UE) Nru 575/2013 dwar ir-rekwiżiti prudenzjali għall-istituzzjonijiet ta’ kreditu u d-ditti tal-investiment (ĠU L 347, 28.12.2017, p.1).</w:t>
      </w:r>
    </w:p>
  </w:footnote>
  <w:footnote w:id="6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Ir-Regolament (UE) Nru 1093/2010 tal-Parlament Ewropew u tal-Kunsill tal-24 ta' Novembru 2010 li jistabbilixxi Awtorità Superviżorja Ewropea (Awtorità Bankarja Ewropea) u li jemenda d-Deċiżjoni Nru 716/2009/KE u jħassar id-Deċiżjoni tal-Kummissjoni 2009/78/KE (ĠU L 331, 15.12.2020, p. 12).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C7" w:rsidRPr="005F2EC7" w:rsidRDefault="005F2EC7" w:rsidP="005F2E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C7" w:rsidRPr="005F2EC7" w:rsidRDefault="005F2EC7" w:rsidP="005F2E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C7" w:rsidRPr="005F2EC7" w:rsidRDefault="005F2EC7" w:rsidP="005F2E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4CB058C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E3F2410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02C6A41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723AA5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3356B93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0D445FA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E186842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2C1EE9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18"/>
  </w:num>
  <w:num w:numId="12">
    <w:abstractNumId w:val="12"/>
  </w:num>
  <w:num w:numId="13">
    <w:abstractNumId w:val="20"/>
  </w:num>
  <w:num w:numId="14">
    <w:abstractNumId w:val="11"/>
  </w:num>
  <w:num w:numId="15">
    <w:abstractNumId w:val="13"/>
  </w:num>
  <w:num w:numId="16">
    <w:abstractNumId w:val="9"/>
  </w:num>
  <w:num w:numId="17">
    <w:abstractNumId w:val="19"/>
  </w:num>
  <w:num w:numId="18">
    <w:abstractNumId w:val="8"/>
  </w:num>
  <w:num w:numId="19">
    <w:abstractNumId w:val="14"/>
  </w:num>
  <w:num w:numId="20">
    <w:abstractNumId w:val="16"/>
  </w:num>
  <w:num w:numId="21">
    <w:abstractNumId w:val="17"/>
  </w:num>
  <w:num w:numId="22">
    <w:abstractNumId w:val="10"/>
  </w:num>
  <w:num w:numId="23">
    <w:abstractNumId w:val="15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attachedTemplate r:id="rId1"/>
  <w:defaultTabStop w:val="720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18-09-21 10:29:09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DAA030CC-8F10-4BE6-BD77-D9F0D1B5E122"/>
    <w:docVar w:name="LW_COVERPAGE_TYPE" w:val="1"/>
    <w:docVar w:name="LW_CROSSREFERENCE" w:val="&lt;UNUSED&gt;"/>
    <w:docVar w:name="LW_DATE.ADOPT.CP" w:val="ta\u8217? XXX"/>
    <w:docVar w:name="LW_DATE.ADOPT.CP_DATEFORMAT" w:val="ta\u8217?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ssell, 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st b'rilevanza g\u295?a\u380?-\u379?EE)"/>
    <w:docVar w:name="LW_LANGUE" w:val="MT"/>
    <w:docVar w:name="LW_LANGUESFAISANTFOI.CP" w:val="&lt;UNUSED&gt;"/>
    <w:docVar w:name="LW_LEVEL_OF_SENSITIVITY" w:val="Standard treatment"/>
    <w:docVar w:name="LW_NOM.INST" w:val="IL-KUMMISSJONI EWROPE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8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li jemenda r-Regolament ta\u8217? Implimentazzjoni (UE) Nru 680/2014 fir-rigward ta\u8217? valwazzjoni prudenti g\u295?al rapportar supervi\u380?orju"/>
    <w:docVar w:name="LW_TYPE.DOC.CP" w:val="REGOLAMENT TA\u8217? IMPLIMENTAZZJONI TAL-KUMMISSJONI (UE) .../..."/>
  </w:docVars>
  <w:rsids>
    <w:rsidRoot w:val="00075C77"/>
    <w:rsid w:val="000057D4"/>
    <w:rsid w:val="000059F6"/>
    <w:rsid w:val="00045213"/>
    <w:rsid w:val="00050818"/>
    <w:rsid w:val="00054D77"/>
    <w:rsid w:val="00075C77"/>
    <w:rsid w:val="000B1896"/>
    <w:rsid w:val="000B6375"/>
    <w:rsid w:val="000D4A87"/>
    <w:rsid w:val="000E01B6"/>
    <w:rsid w:val="00114009"/>
    <w:rsid w:val="0011702C"/>
    <w:rsid w:val="00117C0A"/>
    <w:rsid w:val="00153178"/>
    <w:rsid w:val="00183733"/>
    <w:rsid w:val="00187556"/>
    <w:rsid w:val="00195568"/>
    <w:rsid w:val="001B4957"/>
    <w:rsid w:val="001B7B9B"/>
    <w:rsid w:val="001D5ED6"/>
    <w:rsid w:val="0021262B"/>
    <w:rsid w:val="002265ED"/>
    <w:rsid w:val="002368E9"/>
    <w:rsid w:val="00245E42"/>
    <w:rsid w:val="00254390"/>
    <w:rsid w:val="00270069"/>
    <w:rsid w:val="002B2B93"/>
    <w:rsid w:val="002B7A5C"/>
    <w:rsid w:val="002C0C3E"/>
    <w:rsid w:val="002E30FD"/>
    <w:rsid w:val="002E476B"/>
    <w:rsid w:val="002F2F88"/>
    <w:rsid w:val="00316051"/>
    <w:rsid w:val="00322268"/>
    <w:rsid w:val="00337032"/>
    <w:rsid w:val="00345BFD"/>
    <w:rsid w:val="00352527"/>
    <w:rsid w:val="003805E1"/>
    <w:rsid w:val="003C1FB8"/>
    <w:rsid w:val="003C4B9E"/>
    <w:rsid w:val="003D0541"/>
    <w:rsid w:val="003D2AE0"/>
    <w:rsid w:val="003E1023"/>
    <w:rsid w:val="004739C1"/>
    <w:rsid w:val="00487658"/>
    <w:rsid w:val="004A2CE3"/>
    <w:rsid w:val="004B24D6"/>
    <w:rsid w:val="004D6264"/>
    <w:rsid w:val="004D64A2"/>
    <w:rsid w:val="004D69DD"/>
    <w:rsid w:val="004F6673"/>
    <w:rsid w:val="005235F9"/>
    <w:rsid w:val="00550B8C"/>
    <w:rsid w:val="00556044"/>
    <w:rsid w:val="00591517"/>
    <w:rsid w:val="005D65B6"/>
    <w:rsid w:val="005F2EC7"/>
    <w:rsid w:val="006063E0"/>
    <w:rsid w:val="00611636"/>
    <w:rsid w:val="0062608B"/>
    <w:rsid w:val="00635D8A"/>
    <w:rsid w:val="00644EC4"/>
    <w:rsid w:val="006572EF"/>
    <w:rsid w:val="00683624"/>
    <w:rsid w:val="00686C9B"/>
    <w:rsid w:val="00690FCA"/>
    <w:rsid w:val="00693969"/>
    <w:rsid w:val="006B0779"/>
    <w:rsid w:val="006C1BB8"/>
    <w:rsid w:val="006C3766"/>
    <w:rsid w:val="006D4BD3"/>
    <w:rsid w:val="006E6DF9"/>
    <w:rsid w:val="00703993"/>
    <w:rsid w:val="007137E5"/>
    <w:rsid w:val="0079753D"/>
    <w:rsid w:val="007A5482"/>
    <w:rsid w:val="007B6C11"/>
    <w:rsid w:val="007C5490"/>
    <w:rsid w:val="007D178B"/>
    <w:rsid w:val="007E3D3C"/>
    <w:rsid w:val="007F22F0"/>
    <w:rsid w:val="007F7024"/>
    <w:rsid w:val="00832BE2"/>
    <w:rsid w:val="00843C38"/>
    <w:rsid w:val="008548F9"/>
    <w:rsid w:val="00856A5A"/>
    <w:rsid w:val="00861E33"/>
    <w:rsid w:val="00876EF2"/>
    <w:rsid w:val="00877878"/>
    <w:rsid w:val="008831F5"/>
    <w:rsid w:val="00886F23"/>
    <w:rsid w:val="00894D1D"/>
    <w:rsid w:val="00896C0C"/>
    <w:rsid w:val="008A4D11"/>
    <w:rsid w:val="008B38C4"/>
    <w:rsid w:val="008D3748"/>
    <w:rsid w:val="008F190E"/>
    <w:rsid w:val="008F3946"/>
    <w:rsid w:val="00907ADD"/>
    <w:rsid w:val="00926443"/>
    <w:rsid w:val="00930743"/>
    <w:rsid w:val="009743F5"/>
    <w:rsid w:val="009848BD"/>
    <w:rsid w:val="009856E0"/>
    <w:rsid w:val="009A0F50"/>
    <w:rsid w:val="009A41B1"/>
    <w:rsid w:val="009A5117"/>
    <w:rsid w:val="009A5B09"/>
    <w:rsid w:val="009D1315"/>
    <w:rsid w:val="009D2666"/>
    <w:rsid w:val="00A011C2"/>
    <w:rsid w:val="00A44BB4"/>
    <w:rsid w:val="00A729A6"/>
    <w:rsid w:val="00A9549D"/>
    <w:rsid w:val="00AB57B6"/>
    <w:rsid w:val="00AB7C3D"/>
    <w:rsid w:val="00AE410E"/>
    <w:rsid w:val="00AF5D3B"/>
    <w:rsid w:val="00B356A6"/>
    <w:rsid w:val="00B37490"/>
    <w:rsid w:val="00B4358B"/>
    <w:rsid w:val="00B44BBC"/>
    <w:rsid w:val="00B6250D"/>
    <w:rsid w:val="00B8279F"/>
    <w:rsid w:val="00BB074E"/>
    <w:rsid w:val="00BC47EF"/>
    <w:rsid w:val="00BC5893"/>
    <w:rsid w:val="00BD6B06"/>
    <w:rsid w:val="00BD7EE1"/>
    <w:rsid w:val="00C34F30"/>
    <w:rsid w:val="00C3699D"/>
    <w:rsid w:val="00C36E0D"/>
    <w:rsid w:val="00C52F7E"/>
    <w:rsid w:val="00C72546"/>
    <w:rsid w:val="00C96B0B"/>
    <w:rsid w:val="00CC5469"/>
    <w:rsid w:val="00CE0EEF"/>
    <w:rsid w:val="00CE607F"/>
    <w:rsid w:val="00D0288C"/>
    <w:rsid w:val="00D07548"/>
    <w:rsid w:val="00D262BE"/>
    <w:rsid w:val="00D34F59"/>
    <w:rsid w:val="00D4733C"/>
    <w:rsid w:val="00D73215"/>
    <w:rsid w:val="00D826FC"/>
    <w:rsid w:val="00D87087"/>
    <w:rsid w:val="00DA1A91"/>
    <w:rsid w:val="00DA432F"/>
    <w:rsid w:val="00DB10A0"/>
    <w:rsid w:val="00DB10E3"/>
    <w:rsid w:val="00DD2DC1"/>
    <w:rsid w:val="00DD593B"/>
    <w:rsid w:val="00DE2170"/>
    <w:rsid w:val="00DE4798"/>
    <w:rsid w:val="00DF3CD5"/>
    <w:rsid w:val="00DF7E7B"/>
    <w:rsid w:val="00E16CC1"/>
    <w:rsid w:val="00E47203"/>
    <w:rsid w:val="00E85657"/>
    <w:rsid w:val="00EA38CD"/>
    <w:rsid w:val="00EA666D"/>
    <w:rsid w:val="00EC3C0C"/>
    <w:rsid w:val="00F1082F"/>
    <w:rsid w:val="00F16FEC"/>
    <w:rsid w:val="00F17515"/>
    <w:rsid w:val="00F2304B"/>
    <w:rsid w:val="00F23D69"/>
    <w:rsid w:val="00F351E1"/>
    <w:rsid w:val="00F37899"/>
    <w:rsid w:val="00F4523F"/>
    <w:rsid w:val="00F673EC"/>
    <w:rsid w:val="00F76AFA"/>
    <w:rsid w:val="00F847AC"/>
    <w:rsid w:val="00FA4EBB"/>
    <w:rsid w:val="00FA5963"/>
    <w:rsid w:val="00FB319D"/>
    <w:rsid w:val="00FC4E75"/>
    <w:rsid w:val="00FE50BF"/>
    <w:rsid w:val="00FE5C4A"/>
    <w:rsid w:val="00FE5CC0"/>
    <w:rsid w:val="00FF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17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17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17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17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4">
    <w:name w:val="List Number 4"/>
    <w:basedOn w:val="Normal"/>
    <w:rsid w:val="00075C77"/>
    <w:pPr>
      <w:numPr>
        <w:numId w:val="2"/>
      </w:numPr>
    </w:pPr>
    <w:rPr>
      <w:rFonts w:eastAsia="Times New Roman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607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E607F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CE607F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E607F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E607F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E607F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E607F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E607F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E607F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2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E3"/>
    <w:rPr>
      <w:rFonts w:ascii="Times New Roman" w:hAnsi="Times New Roman" w:cs="Times New Roman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CE3"/>
    <w:rPr>
      <w:rFonts w:ascii="Times New Roman" w:hAnsi="Times New Roman" w:cs="Times New Roman"/>
      <w:b/>
      <w:bCs/>
      <w:sz w:val="20"/>
      <w:szCs w:val="20"/>
      <w:lang w:val="mt-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CE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CE3"/>
    <w:rPr>
      <w:rFonts w:ascii="Segoe UI" w:hAnsi="Segoe UI" w:cs="Segoe UI"/>
      <w:sz w:val="18"/>
      <w:szCs w:val="18"/>
      <w:lang w:val="mt-MT"/>
    </w:rPr>
  </w:style>
  <w:style w:type="character" w:styleId="Hyperlink">
    <w:name w:val="Hyperlink"/>
    <w:basedOn w:val="DefaultParagraphFont"/>
    <w:uiPriority w:val="99"/>
    <w:unhideWhenUsed/>
    <w:rsid w:val="004A2CE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86C9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7787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778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778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778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11"/>
      </w:numPr>
    </w:pPr>
  </w:style>
  <w:style w:type="paragraph" w:customStyle="1" w:styleId="Tiret1">
    <w:name w:val="Tiret 1"/>
    <w:basedOn w:val="Point1"/>
    <w:rsid w:val="00877878"/>
    <w:pPr>
      <w:numPr>
        <w:numId w:val="12"/>
      </w:numPr>
    </w:pPr>
  </w:style>
  <w:style w:type="paragraph" w:customStyle="1" w:styleId="Tiret2">
    <w:name w:val="Tiret 2"/>
    <w:basedOn w:val="Point2"/>
    <w:rsid w:val="00877878"/>
    <w:pPr>
      <w:numPr>
        <w:numId w:val="13"/>
      </w:numPr>
    </w:pPr>
  </w:style>
  <w:style w:type="paragraph" w:customStyle="1" w:styleId="Tiret3">
    <w:name w:val="Tiret 3"/>
    <w:basedOn w:val="Point3"/>
    <w:rsid w:val="00877878"/>
    <w:pPr>
      <w:numPr>
        <w:numId w:val="14"/>
      </w:numPr>
    </w:pPr>
  </w:style>
  <w:style w:type="paragraph" w:customStyle="1" w:styleId="Tiret4">
    <w:name w:val="Tiret 4"/>
    <w:basedOn w:val="Point4"/>
    <w:rsid w:val="00877878"/>
    <w:pPr>
      <w:numPr>
        <w:numId w:val="15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16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16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16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16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18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18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18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18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18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18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18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18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18"/>
      </w:numPr>
    </w:pPr>
  </w:style>
  <w:style w:type="paragraph" w:customStyle="1" w:styleId="Bullet0">
    <w:name w:val="Bullet 0"/>
    <w:basedOn w:val="Normal"/>
    <w:rsid w:val="00877878"/>
    <w:pPr>
      <w:numPr>
        <w:numId w:val="19"/>
      </w:numPr>
    </w:pPr>
  </w:style>
  <w:style w:type="paragraph" w:customStyle="1" w:styleId="Bullet1">
    <w:name w:val="Bullet 1"/>
    <w:basedOn w:val="Normal"/>
    <w:rsid w:val="00877878"/>
    <w:pPr>
      <w:numPr>
        <w:numId w:val="20"/>
      </w:numPr>
    </w:pPr>
  </w:style>
  <w:style w:type="paragraph" w:customStyle="1" w:styleId="Bullet2">
    <w:name w:val="Bullet 2"/>
    <w:basedOn w:val="Normal"/>
    <w:rsid w:val="00877878"/>
    <w:pPr>
      <w:numPr>
        <w:numId w:val="21"/>
      </w:numPr>
    </w:pPr>
  </w:style>
  <w:style w:type="paragraph" w:customStyle="1" w:styleId="Bullet3">
    <w:name w:val="Bullet 3"/>
    <w:basedOn w:val="Normal"/>
    <w:rsid w:val="00877878"/>
    <w:pPr>
      <w:numPr>
        <w:numId w:val="22"/>
      </w:numPr>
    </w:pPr>
  </w:style>
  <w:style w:type="paragraph" w:customStyle="1" w:styleId="Bullet4">
    <w:name w:val="Bullet 4"/>
    <w:basedOn w:val="Normal"/>
    <w:rsid w:val="00877878"/>
    <w:pPr>
      <w:numPr>
        <w:numId w:val="23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24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17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17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17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17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4">
    <w:name w:val="List Number 4"/>
    <w:basedOn w:val="Normal"/>
    <w:rsid w:val="00075C77"/>
    <w:pPr>
      <w:numPr>
        <w:numId w:val="2"/>
      </w:numPr>
    </w:pPr>
    <w:rPr>
      <w:rFonts w:eastAsia="Times New Roman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607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E607F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CE607F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E607F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E607F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E607F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E607F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E607F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E607F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2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E3"/>
    <w:rPr>
      <w:rFonts w:ascii="Times New Roman" w:hAnsi="Times New Roman" w:cs="Times New Roman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CE3"/>
    <w:rPr>
      <w:rFonts w:ascii="Times New Roman" w:hAnsi="Times New Roman" w:cs="Times New Roman"/>
      <w:b/>
      <w:bCs/>
      <w:sz w:val="20"/>
      <w:szCs w:val="20"/>
      <w:lang w:val="mt-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CE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CE3"/>
    <w:rPr>
      <w:rFonts w:ascii="Segoe UI" w:hAnsi="Segoe UI" w:cs="Segoe UI"/>
      <w:sz w:val="18"/>
      <w:szCs w:val="18"/>
      <w:lang w:val="mt-MT"/>
    </w:rPr>
  </w:style>
  <w:style w:type="character" w:styleId="Hyperlink">
    <w:name w:val="Hyperlink"/>
    <w:basedOn w:val="DefaultParagraphFont"/>
    <w:uiPriority w:val="99"/>
    <w:unhideWhenUsed/>
    <w:rsid w:val="004A2CE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86C9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7787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778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778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778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11"/>
      </w:numPr>
    </w:pPr>
  </w:style>
  <w:style w:type="paragraph" w:customStyle="1" w:styleId="Tiret1">
    <w:name w:val="Tiret 1"/>
    <w:basedOn w:val="Point1"/>
    <w:rsid w:val="00877878"/>
    <w:pPr>
      <w:numPr>
        <w:numId w:val="12"/>
      </w:numPr>
    </w:pPr>
  </w:style>
  <w:style w:type="paragraph" w:customStyle="1" w:styleId="Tiret2">
    <w:name w:val="Tiret 2"/>
    <w:basedOn w:val="Point2"/>
    <w:rsid w:val="00877878"/>
    <w:pPr>
      <w:numPr>
        <w:numId w:val="13"/>
      </w:numPr>
    </w:pPr>
  </w:style>
  <w:style w:type="paragraph" w:customStyle="1" w:styleId="Tiret3">
    <w:name w:val="Tiret 3"/>
    <w:basedOn w:val="Point3"/>
    <w:rsid w:val="00877878"/>
    <w:pPr>
      <w:numPr>
        <w:numId w:val="14"/>
      </w:numPr>
    </w:pPr>
  </w:style>
  <w:style w:type="paragraph" w:customStyle="1" w:styleId="Tiret4">
    <w:name w:val="Tiret 4"/>
    <w:basedOn w:val="Point4"/>
    <w:rsid w:val="00877878"/>
    <w:pPr>
      <w:numPr>
        <w:numId w:val="15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16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16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16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16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18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18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18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18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18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18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18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18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18"/>
      </w:numPr>
    </w:pPr>
  </w:style>
  <w:style w:type="paragraph" w:customStyle="1" w:styleId="Bullet0">
    <w:name w:val="Bullet 0"/>
    <w:basedOn w:val="Normal"/>
    <w:rsid w:val="00877878"/>
    <w:pPr>
      <w:numPr>
        <w:numId w:val="19"/>
      </w:numPr>
    </w:pPr>
  </w:style>
  <w:style w:type="paragraph" w:customStyle="1" w:styleId="Bullet1">
    <w:name w:val="Bullet 1"/>
    <w:basedOn w:val="Normal"/>
    <w:rsid w:val="00877878"/>
    <w:pPr>
      <w:numPr>
        <w:numId w:val="20"/>
      </w:numPr>
    </w:pPr>
  </w:style>
  <w:style w:type="paragraph" w:customStyle="1" w:styleId="Bullet2">
    <w:name w:val="Bullet 2"/>
    <w:basedOn w:val="Normal"/>
    <w:rsid w:val="00877878"/>
    <w:pPr>
      <w:numPr>
        <w:numId w:val="21"/>
      </w:numPr>
    </w:pPr>
  </w:style>
  <w:style w:type="paragraph" w:customStyle="1" w:styleId="Bullet3">
    <w:name w:val="Bullet 3"/>
    <w:basedOn w:val="Normal"/>
    <w:rsid w:val="00877878"/>
    <w:pPr>
      <w:numPr>
        <w:numId w:val="22"/>
      </w:numPr>
    </w:pPr>
  </w:style>
  <w:style w:type="paragraph" w:customStyle="1" w:styleId="Bullet4">
    <w:name w:val="Bullet 4"/>
    <w:basedOn w:val="Normal"/>
    <w:rsid w:val="00877878"/>
    <w:pPr>
      <w:numPr>
        <w:numId w:val="23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24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2274143-B2D1-4583-A8F9-D92E6773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1</Pages>
  <Words>1134</Words>
  <Characters>8401</Characters>
  <Application>Microsoft Office Word</Application>
  <DocSecurity>0</DocSecurity>
  <Lines>146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GRIKSAS Gintaras (FISMA)</dc:creator>
  <cp:keywords/>
  <dc:description/>
  <cp:lastModifiedBy>CHENOZ-LAMBOT Stephanie (DGT-EXT)</cp:lastModifiedBy>
  <cp:revision>3</cp:revision>
  <cp:lastPrinted>2018-06-12T12:37:00Z</cp:lastPrinted>
  <dcterms:created xsi:type="dcterms:W3CDTF">2018-09-21T08:28:00Z</dcterms:created>
  <dcterms:modified xsi:type="dcterms:W3CDTF">2018-09-21T08:29:00Z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6.0.1, Build 20180503</vt:lpwstr>
  </property>
  <property fmtid="{D5CDD505-2E9C-101B-9397-08002B2CF9AE}" pid="3" name="Category">
    <vt:lpwstr>COM/AA</vt:lpwstr>
  </property>
  <property fmtid="{D5CDD505-2E9C-101B-9397-08002B2CF9AE}" pid="4" name="Level of sensitivity">
    <vt:lpwstr>Standard treatment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WTemplateID">
    <vt:lpwstr>SJ-004</vt:lpwstr>
  </property>
  <property fmtid="{D5CDD505-2E9C-101B-9397-08002B2CF9AE}" pid="8" name="Version">
    <vt:lpwstr>6.0.1.0</vt:lpwstr>
  </property>
  <property fmtid="{D5CDD505-2E9C-101B-9397-08002B2CF9AE}" pid="9" name="Created using">
    <vt:lpwstr>LW 6.0, Build 20171009</vt:lpwstr>
  </property>
  <property fmtid="{D5CDD505-2E9C-101B-9397-08002B2CF9AE}" pid="10" name="DQCStatus">
    <vt:lpwstr>Green (DQC version 03)</vt:lpwstr>
  </property>
</Properties>
</file>