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Pr="00583DD0" w:rsidRDefault="008934A4" w:rsidP="00A15D28">
      <w:pPr>
        <w:jc w:val="center"/>
        <w:rPr>
          <w:rFonts w:ascii="Times New Roman" w:hAnsi="Times New Roman"/>
          <w:b/>
          <w:sz w:val="24"/>
          <w:szCs w:val="24"/>
        </w:rPr>
      </w:pPr>
      <w:bookmarkStart w:id="0" w:name="_GoBack"/>
      <w:bookmarkEnd w:id="0"/>
      <w:r>
        <w:rPr>
          <w:rFonts w:ascii="Times New Roman" w:hAnsi="Times New Roman"/>
          <w:b/>
          <w:sz w:val="24"/>
        </w:rPr>
        <w:t>BG</w:t>
      </w:r>
    </w:p>
    <w:p w:rsidR="008934A4" w:rsidRDefault="008934A4" w:rsidP="00A15D28">
      <w:pPr>
        <w:jc w:val="center"/>
        <w:rPr>
          <w:rFonts w:ascii="Times New Roman" w:hAnsi="Times New Roman"/>
          <w:b/>
          <w:sz w:val="24"/>
          <w:szCs w:val="24"/>
        </w:rPr>
      </w:pPr>
      <w:r>
        <w:rPr>
          <w:rFonts w:ascii="Times New Roman" w:hAnsi="Times New Roman"/>
          <w:b/>
          <w:sz w:val="24"/>
        </w:rPr>
        <w:t>ПРИЛОЖЕНИЕ V</w:t>
      </w:r>
    </w:p>
    <w:p w:rsidR="001F0676" w:rsidRDefault="001F0676" w:rsidP="00A15D28">
      <w:pPr>
        <w:jc w:val="center"/>
        <w:rPr>
          <w:rFonts w:ascii="Times New Roman" w:hAnsi="Times New Roman"/>
          <w:sz w:val="24"/>
          <w:szCs w:val="24"/>
        </w:rPr>
      </w:pPr>
    </w:p>
    <w:p w:rsidR="00BB7DB0" w:rsidRDefault="00BB7DB0" w:rsidP="00A15D28">
      <w:pPr>
        <w:jc w:val="center"/>
        <w:rPr>
          <w:rFonts w:ascii="Times New Roman" w:hAnsi="Times New Roman"/>
          <w:sz w:val="24"/>
          <w:szCs w:val="24"/>
        </w:rPr>
      </w:pPr>
    </w:p>
    <w:p w:rsidR="001807E9" w:rsidRPr="00583DD0" w:rsidRDefault="001807E9" w:rsidP="00A15D28">
      <w:pPr>
        <w:jc w:val="center"/>
        <w:rPr>
          <w:rFonts w:ascii="Times New Roman" w:hAnsi="Times New Roman"/>
          <w:sz w:val="24"/>
          <w:szCs w:val="24"/>
        </w:rPr>
      </w:pPr>
    </w:p>
    <w:p w:rsidR="00A15D28" w:rsidRPr="00C0500B" w:rsidRDefault="002F29A9" w:rsidP="00A15D28">
      <w:pPr>
        <w:jc w:val="center"/>
        <w:rPr>
          <w:rFonts w:ascii="Times New Roman" w:hAnsi="Times New Roman"/>
          <w:sz w:val="28"/>
          <w:szCs w:val="28"/>
          <w:u w:val="single"/>
        </w:rPr>
      </w:pPr>
      <w:r>
        <w:rPr>
          <w:rFonts w:ascii="Times New Roman" w:hAnsi="Times New Roman"/>
          <w:sz w:val="24"/>
        </w:rPr>
        <w:t>„</w:t>
      </w:r>
      <w:r w:rsidR="00A15D28">
        <w:rPr>
          <w:rFonts w:ascii="Times New Roman" w:hAnsi="Times New Roman"/>
          <w:b/>
          <w:sz w:val="24"/>
          <w:u w:val="single"/>
        </w:rPr>
        <w:t>ПРИЛОЖЕНИЕ XI</w:t>
      </w:r>
    </w:p>
    <w:p w:rsidR="00A15D28" w:rsidRPr="00E94154" w:rsidRDefault="00A15D28" w:rsidP="00A15D28">
      <w:pPr>
        <w:jc w:val="center"/>
        <w:rPr>
          <w:rFonts w:ascii="Times New Roman" w:hAnsi="Times New Roman"/>
        </w:rPr>
      </w:pPr>
      <w:r>
        <w:rPr>
          <w:rFonts w:ascii="Times New Roman" w:hAnsi="Times New Roman"/>
          <w:b/>
          <w:sz w:val="24"/>
        </w:rPr>
        <w:t>ДОКЛАДВАНЕ НА ЛИВЪРИДЖА</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9112BB" w:rsidRPr="00E94154" w:rsidRDefault="009112BB" w:rsidP="009112BB">
      <w:pPr>
        <w:pStyle w:val="BodyText1"/>
        <w:ind w:left="720"/>
        <w:rPr>
          <w:rFonts w:ascii="Times New Roman" w:hAnsi="Times New Roman"/>
        </w:rPr>
      </w:pPr>
    </w:p>
    <w:p w:rsidR="00B858CC" w:rsidRDefault="002F29A9">
      <w:pPr>
        <w:pStyle w:val="TOC1"/>
        <w:rPr>
          <w:rFonts w:asciiTheme="minorHAnsi" w:eastAsiaTheme="minorEastAsia" w:hAnsiTheme="minorHAnsi" w:cstheme="minorBidi"/>
          <w:color w:val="auto"/>
          <w:sz w:val="22"/>
          <w:szCs w:val="22"/>
          <w:lang w:val="en-GB" w:eastAsia="en-GB" w:bidi="ar-SA"/>
        </w:rPr>
      </w:pPr>
      <w:r w:rsidRPr="00E94154">
        <w:rPr>
          <w:rFonts w:ascii="Times New Roman" w:hAnsi="Times New Roman"/>
          <w:b/>
        </w:rPr>
        <w:fldChar w:fldCharType="begin"/>
      </w:r>
      <w:r w:rsidR="00F4754B" w:rsidRPr="00E94154">
        <w:rPr>
          <w:rFonts w:ascii="Times New Roman" w:hAnsi="Times New Roman"/>
          <w:b/>
        </w:rPr>
        <w:instrText xml:space="preserve"> TOC \o "1-3" \h \z \u </w:instrText>
      </w:r>
      <w:r w:rsidRPr="00E94154">
        <w:rPr>
          <w:rFonts w:ascii="Times New Roman" w:hAnsi="Times New Roman"/>
          <w:b/>
        </w:rPr>
        <w:fldChar w:fldCharType="separate"/>
      </w:r>
      <w:hyperlink w:anchor="_Toc523907699" w:history="1">
        <w:r w:rsidR="00B858CC" w:rsidRPr="006C570E">
          <w:rPr>
            <w:rStyle w:val="Hyperlink"/>
            <w:rFonts w:ascii="Times New Roman" w:hAnsi="Times New Roman"/>
            <w:b/>
          </w:rPr>
          <w:t>ЧАСТ I: ОБЩИ УКАЗАНИЯ</w:t>
        </w:r>
        <w:r w:rsidR="00B858CC">
          <w:rPr>
            <w:webHidden/>
          </w:rPr>
          <w:tab/>
        </w:r>
        <w:r w:rsidR="00B858CC">
          <w:rPr>
            <w:webHidden/>
            <w:lang w:val="en-US"/>
          </w:rPr>
          <w:tab/>
        </w:r>
        <w:r w:rsidR="00B858CC">
          <w:rPr>
            <w:webHidden/>
            <w:lang w:val="en-US"/>
          </w:rPr>
          <w:tab/>
          <w:t xml:space="preserve">      </w:t>
        </w:r>
        <w:r w:rsidR="00B858CC">
          <w:rPr>
            <w:webHidden/>
          </w:rPr>
          <w:fldChar w:fldCharType="begin"/>
        </w:r>
        <w:r w:rsidR="00B858CC">
          <w:rPr>
            <w:webHidden/>
          </w:rPr>
          <w:instrText xml:space="preserve"> PAGEREF _Toc523907699 \h </w:instrText>
        </w:r>
        <w:r w:rsidR="00B858CC">
          <w:rPr>
            <w:webHidden/>
          </w:rPr>
        </w:r>
        <w:r w:rsidR="00B858CC">
          <w:rPr>
            <w:webHidden/>
          </w:rPr>
          <w:fldChar w:fldCharType="separate"/>
        </w:r>
        <w:r w:rsidR="00B858CC">
          <w:rPr>
            <w:webHidden/>
          </w:rPr>
          <w:t>2</w:t>
        </w:r>
        <w:r w:rsidR="00B858CC">
          <w:rPr>
            <w:webHidden/>
          </w:rPr>
          <w:fldChar w:fldCharType="end"/>
        </w:r>
      </w:hyperlink>
    </w:p>
    <w:p w:rsidR="00B858CC" w:rsidRDefault="00B858CC">
      <w:pPr>
        <w:pStyle w:val="TOC2"/>
        <w:rPr>
          <w:rFonts w:asciiTheme="minorHAnsi" w:eastAsiaTheme="minorEastAsia" w:hAnsiTheme="minorHAnsi" w:cstheme="minorBidi"/>
          <w:b w:val="0"/>
          <w:smallCaps w:val="0"/>
          <w:sz w:val="22"/>
          <w:lang w:val="en-GB" w:eastAsia="en-GB" w:bidi="ar-SA"/>
        </w:rPr>
      </w:pPr>
      <w:hyperlink w:anchor="_Toc523907700" w:history="1">
        <w:r w:rsidRPr="006C570E">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6C570E">
          <w:rPr>
            <w:rStyle w:val="Hyperlink"/>
            <w:rFonts w:ascii="Times New Roman" w:hAnsi="Times New Roman"/>
          </w:rPr>
          <w:t>Обозначаване на образците и други възприети практики</w:t>
        </w:r>
        <w:r>
          <w:rPr>
            <w:webHidden/>
          </w:rPr>
          <w:tab/>
        </w:r>
        <w:r>
          <w:rPr>
            <w:webHidden/>
          </w:rPr>
          <w:fldChar w:fldCharType="begin"/>
        </w:r>
        <w:r>
          <w:rPr>
            <w:webHidden/>
          </w:rPr>
          <w:instrText xml:space="preserve"> PAGEREF _Toc523907700 \h </w:instrText>
        </w:r>
        <w:r>
          <w:rPr>
            <w:webHidden/>
          </w:rPr>
        </w:r>
        <w:r>
          <w:rPr>
            <w:webHidden/>
          </w:rPr>
          <w:fldChar w:fldCharType="separate"/>
        </w:r>
        <w:r>
          <w:rPr>
            <w:webHidden/>
          </w:rPr>
          <w:t>2</w:t>
        </w:r>
        <w:r>
          <w:rPr>
            <w:webHidden/>
          </w:rPr>
          <w:fldChar w:fldCharType="end"/>
        </w:r>
      </w:hyperlink>
    </w:p>
    <w:p w:rsidR="00B858CC" w:rsidRDefault="00B858CC">
      <w:pPr>
        <w:pStyle w:val="TOC3"/>
        <w:rPr>
          <w:rFonts w:asciiTheme="minorHAnsi" w:eastAsiaTheme="minorEastAsia" w:hAnsiTheme="minorHAnsi" w:cstheme="minorBidi"/>
          <w:smallCaps w:val="0"/>
          <w:sz w:val="22"/>
          <w:szCs w:val="22"/>
          <w:lang w:val="en-GB" w:eastAsia="en-GB" w:bidi="ar-SA"/>
        </w:rPr>
      </w:pPr>
      <w:hyperlink w:anchor="_Toc523907701" w:history="1">
        <w:r w:rsidRPr="006C570E">
          <w:rPr>
            <w:rStyle w:val="Hyperlink"/>
            <w:rFonts w:ascii="Times New Roman" w:hAnsi="Times New Roman"/>
            <w:b/>
          </w:rPr>
          <w:t>1.1.</w:t>
        </w:r>
        <w:r>
          <w:rPr>
            <w:rFonts w:asciiTheme="minorHAnsi" w:eastAsiaTheme="minorEastAsia" w:hAnsiTheme="minorHAnsi" w:cstheme="minorBidi"/>
            <w:smallCaps w:val="0"/>
            <w:sz w:val="22"/>
            <w:szCs w:val="22"/>
            <w:lang w:val="en-GB" w:eastAsia="en-GB" w:bidi="ar-SA"/>
          </w:rPr>
          <w:tab/>
        </w:r>
        <w:r w:rsidRPr="006C570E">
          <w:rPr>
            <w:rStyle w:val="Hyperlink"/>
            <w:rFonts w:ascii="Times New Roman" w:hAnsi="Times New Roman"/>
            <w:b/>
          </w:rPr>
          <w:t>Обозначаване на образците</w:t>
        </w:r>
        <w:r>
          <w:rPr>
            <w:webHidden/>
          </w:rPr>
          <w:tab/>
        </w:r>
        <w:r>
          <w:rPr>
            <w:webHidden/>
          </w:rPr>
          <w:fldChar w:fldCharType="begin"/>
        </w:r>
        <w:r>
          <w:rPr>
            <w:webHidden/>
          </w:rPr>
          <w:instrText xml:space="preserve"> PAGEREF _Toc523907701 \h </w:instrText>
        </w:r>
        <w:r>
          <w:rPr>
            <w:webHidden/>
          </w:rPr>
        </w:r>
        <w:r>
          <w:rPr>
            <w:webHidden/>
          </w:rPr>
          <w:fldChar w:fldCharType="separate"/>
        </w:r>
        <w:r>
          <w:rPr>
            <w:webHidden/>
          </w:rPr>
          <w:t>2</w:t>
        </w:r>
        <w:r>
          <w:rPr>
            <w:webHidden/>
          </w:rPr>
          <w:fldChar w:fldCharType="end"/>
        </w:r>
      </w:hyperlink>
    </w:p>
    <w:p w:rsidR="00B858CC" w:rsidRDefault="00B858CC">
      <w:pPr>
        <w:pStyle w:val="TOC3"/>
        <w:rPr>
          <w:rFonts w:asciiTheme="minorHAnsi" w:eastAsiaTheme="minorEastAsia" w:hAnsiTheme="minorHAnsi" w:cstheme="minorBidi"/>
          <w:smallCaps w:val="0"/>
          <w:sz w:val="22"/>
          <w:szCs w:val="22"/>
          <w:lang w:val="en-GB" w:eastAsia="en-GB" w:bidi="ar-SA"/>
        </w:rPr>
      </w:pPr>
      <w:hyperlink w:anchor="_Toc523907702" w:history="1">
        <w:r w:rsidRPr="006C570E">
          <w:rPr>
            <w:rStyle w:val="Hyperlink"/>
            <w:rFonts w:ascii="Times New Roman" w:hAnsi="Times New Roman"/>
            <w:b/>
          </w:rPr>
          <w:t>1.2.</w:t>
        </w:r>
        <w:r>
          <w:rPr>
            <w:rFonts w:asciiTheme="minorHAnsi" w:eastAsiaTheme="minorEastAsia" w:hAnsiTheme="minorHAnsi" w:cstheme="minorBidi"/>
            <w:smallCaps w:val="0"/>
            <w:sz w:val="22"/>
            <w:szCs w:val="22"/>
            <w:lang w:val="en-GB" w:eastAsia="en-GB" w:bidi="ar-SA"/>
          </w:rPr>
          <w:tab/>
        </w:r>
        <w:r w:rsidRPr="006C570E">
          <w:rPr>
            <w:rStyle w:val="Hyperlink"/>
            <w:rFonts w:ascii="Times New Roman" w:hAnsi="Times New Roman"/>
            <w:b/>
          </w:rPr>
          <w:t>Номериране</w:t>
        </w:r>
        <w:r>
          <w:rPr>
            <w:webHidden/>
          </w:rPr>
          <w:tab/>
        </w:r>
        <w:r>
          <w:rPr>
            <w:webHidden/>
          </w:rPr>
          <w:fldChar w:fldCharType="begin"/>
        </w:r>
        <w:r>
          <w:rPr>
            <w:webHidden/>
          </w:rPr>
          <w:instrText xml:space="preserve"> PAGEREF _Toc523907702 \h </w:instrText>
        </w:r>
        <w:r>
          <w:rPr>
            <w:webHidden/>
          </w:rPr>
        </w:r>
        <w:r>
          <w:rPr>
            <w:webHidden/>
          </w:rPr>
          <w:fldChar w:fldCharType="separate"/>
        </w:r>
        <w:r>
          <w:rPr>
            <w:webHidden/>
          </w:rPr>
          <w:t>2</w:t>
        </w:r>
        <w:r>
          <w:rPr>
            <w:webHidden/>
          </w:rPr>
          <w:fldChar w:fldCharType="end"/>
        </w:r>
      </w:hyperlink>
    </w:p>
    <w:p w:rsidR="00B858CC" w:rsidRDefault="00B858CC">
      <w:pPr>
        <w:pStyle w:val="TOC3"/>
        <w:rPr>
          <w:rFonts w:asciiTheme="minorHAnsi" w:eastAsiaTheme="minorEastAsia" w:hAnsiTheme="minorHAnsi" w:cstheme="minorBidi"/>
          <w:smallCaps w:val="0"/>
          <w:sz w:val="22"/>
          <w:szCs w:val="22"/>
          <w:lang w:val="en-GB" w:eastAsia="en-GB" w:bidi="ar-SA"/>
        </w:rPr>
      </w:pPr>
      <w:hyperlink w:anchor="_Toc523907703" w:history="1">
        <w:r w:rsidRPr="006C570E">
          <w:rPr>
            <w:rStyle w:val="Hyperlink"/>
            <w:rFonts w:ascii="Times New Roman" w:hAnsi="Times New Roman"/>
            <w:b/>
          </w:rPr>
          <w:t>1.3.</w:t>
        </w:r>
        <w:r>
          <w:rPr>
            <w:rFonts w:asciiTheme="minorHAnsi" w:eastAsiaTheme="minorEastAsia" w:hAnsiTheme="minorHAnsi" w:cstheme="minorBidi"/>
            <w:smallCaps w:val="0"/>
            <w:sz w:val="22"/>
            <w:szCs w:val="22"/>
            <w:lang w:val="en-GB" w:eastAsia="en-GB" w:bidi="ar-SA"/>
          </w:rPr>
          <w:tab/>
        </w:r>
        <w:r w:rsidRPr="006C570E">
          <w:rPr>
            <w:rStyle w:val="Hyperlink"/>
            <w:rFonts w:ascii="Times New Roman" w:hAnsi="Times New Roman"/>
            <w:b/>
          </w:rPr>
          <w:t>Съкращения</w:t>
        </w:r>
        <w:r>
          <w:rPr>
            <w:webHidden/>
          </w:rPr>
          <w:tab/>
        </w:r>
        <w:r>
          <w:rPr>
            <w:webHidden/>
          </w:rPr>
          <w:fldChar w:fldCharType="begin"/>
        </w:r>
        <w:r>
          <w:rPr>
            <w:webHidden/>
          </w:rPr>
          <w:instrText xml:space="preserve"> PAGEREF _Toc523907703 \h </w:instrText>
        </w:r>
        <w:r>
          <w:rPr>
            <w:webHidden/>
          </w:rPr>
        </w:r>
        <w:r>
          <w:rPr>
            <w:webHidden/>
          </w:rPr>
          <w:fldChar w:fldCharType="separate"/>
        </w:r>
        <w:r>
          <w:rPr>
            <w:webHidden/>
          </w:rPr>
          <w:t>2</w:t>
        </w:r>
        <w:r>
          <w:rPr>
            <w:webHidden/>
          </w:rPr>
          <w:fldChar w:fldCharType="end"/>
        </w:r>
      </w:hyperlink>
    </w:p>
    <w:p w:rsidR="00B858CC" w:rsidRDefault="00B858CC">
      <w:pPr>
        <w:pStyle w:val="TOC3"/>
        <w:rPr>
          <w:rFonts w:asciiTheme="minorHAnsi" w:eastAsiaTheme="minorEastAsia" w:hAnsiTheme="minorHAnsi" w:cstheme="minorBidi"/>
          <w:smallCaps w:val="0"/>
          <w:sz w:val="22"/>
          <w:szCs w:val="22"/>
          <w:lang w:val="en-GB" w:eastAsia="en-GB" w:bidi="ar-SA"/>
        </w:rPr>
      </w:pPr>
      <w:hyperlink w:anchor="_Toc523907704" w:history="1">
        <w:r w:rsidRPr="006C570E">
          <w:rPr>
            <w:rStyle w:val="Hyperlink"/>
            <w:rFonts w:ascii="Times New Roman" w:hAnsi="Times New Roman"/>
            <w:b/>
          </w:rPr>
          <w:t>1.4.</w:t>
        </w:r>
        <w:r>
          <w:rPr>
            <w:rFonts w:asciiTheme="minorHAnsi" w:eastAsiaTheme="minorEastAsia" w:hAnsiTheme="minorHAnsi" w:cstheme="minorBidi"/>
            <w:smallCaps w:val="0"/>
            <w:sz w:val="22"/>
            <w:szCs w:val="22"/>
            <w:lang w:val="en-GB" w:eastAsia="en-GB" w:bidi="ar-SA"/>
          </w:rPr>
          <w:tab/>
        </w:r>
        <w:r w:rsidRPr="006C570E">
          <w:rPr>
            <w:rStyle w:val="Hyperlink"/>
            <w:rFonts w:ascii="Times New Roman" w:hAnsi="Times New Roman"/>
            <w:b/>
          </w:rPr>
          <w:t>Знаци</w:t>
        </w:r>
        <w:r>
          <w:rPr>
            <w:webHidden/>
          </w:rPr>
          <w:tab/>
        </w:r>
        <w:r>
          <w:rPr>
            <w:webHidden/>
          </w:rPr>
          <w:fldChar w:fldCharType="begin"/>
        </w:r>
        <w:r>
          <w:rPr>
            <w:webHidden/>
          </w:rPr>
          <w:instrText xml:space="preserve"> PAGEREF _Toc523907704 \h </w:instrText>
        </w:r>
        <w:r>
          <w:rPr>
            <w:webHidden/>
          </w:rPr>
        </w:r>
        <w:r>
          <w:rPr>
            <w:webHidden/>
          </w:rPr>
          <w:fldChar w:fldCharType="separate"/>
        </w:r>
        <w:r>
          <w:rPr>
            <w:webHidden/>
          </w:rPr>
          <w:t>3</w:t>
        </w:r>
        <w:r>
          <w:rPr>
            <w:webHidden/>
          </w:rPr>
          <w:fldChar w:fldCharType="end"/>
        </w:r>
      </w:hyperlink>
    </w:p>
    <w:p w:rsidR="00B858CC" w:rsidRDefault="00B858CC">
      <w:pPr>
        <w:pStyle w:val="TOC1"/>
        <w:rPr>
          <w:rFonts w:asciiTheme="minorHAnsi" w:eastAsiaTheme="minorEastAsia" w:hAnsiTheme="minorHAnsi" w:cstheme="minorBidi"/>
          <w:color w:val="auto"/>
          <w:sz w:val="22"/>
          <w:szCs w:val="22"/>
          <w:lang w:val="en-GB" w:eastAsia="en-GB" w:bidi="ar-SA"/>
        </w:rPr>
      </w:pPr>
      <w:hyperlink w:anchor="_Toc523907705" w:history="1">
        <w:r w:rsidRPr="006C570E">
          <w:rPr>
            <w:rStyle w:val="Hyperlink"/>
            <w:rFonts w:ascii="Times New Roman" w:hAnsi="Times New Roman"/>
            <w:b/>
          </w:rPr>
          <w:t>ЧАСТ II: УКАЗАНИЯ ЗА ОБРАЗЦИТЕ</w:t>
        </w:r>
        <w:r>
          <w:rPr>
            <w:webHidden/>
          </w:rPr>
          <w:tab/>
        </w:r>
        <w:r>
          <w:rPr>
            <w:webHidden/>
            <w:lang w:val="en-US"/>
          </w:rPr>
          <w:tab/>
        </w:r>
        <w:r>
          <w:rPr>
            <w:webHidden/>
            <w:lang w:val="en-US"/>
          </w:rPr>
          <w:tab/>
          <w:t xml:space="preserve">      </w:t>
        </w:r>
        <w:r>
          <w:rPr>
            <w:webHidden/>
          </w:rPr>
          <w:fldChar w:fldCharType="begin"/>
        </w:r>
        <w:r>
          <w:rPr>
            <w:webHidden/>
          </w:rPr>
          <w:instrText xml:space="preserve"> PAGEREF _Toc523907705 \h </w:instrText>
        </w:r>
        <w:r>
          <w:rPr>
            <w:webHidden/>
          </w:rPr>
        </w:r>
        <w:r>
          <w:rPr>
            <w:webHidden/>
          </w:rPr>
          <w:fldChar w:fldCharType="separate"/>
        </w:r>
        <w:r>
          <w:rPr>
            <w:webHidden/>
          </w:rPr>
          <w:t>4</w:t>
        </w:r>
        <w:r>
          <w:rPr>
            <w:webHidden/>
          </w:rPr>
          <w:fldChar w:fldCharType="end"/>
        </w:r>
      </w:hyperlink>
    </w:p>
    <w:p w:rsidR="00B858CC" w:rsidRDefault="00B858CC">
      <w:pPr>
        <w:pStyle w:val="TOC2"/>
        <w:rPr>
          <w:rFonts w:asciiTheme="minorHAnsi" w:eastAsiaTheme="minorEastAsia" w:hAnsiTheme="minorHAnsi" w:cstheme="minorBidi"/>
          <w:b w:val="0"/>
          <w:smallCaps w:val="0"/>
          <w:sz w:val="22"/>
          <w:lang w:val="en-GB" w:eastAsia="en-GB" w:bidi="ar-SA"/>
        </w:rPr>
      </w:pPr>
      <w:hyperlink w:anchor="_Toc523907706" w:history="1">
        <w:r w:rsidRPr="006C570E">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6C570E">
          <w:rPr>
            <w:rStyle w:val="Hyperlink"/>
            <w:rFonts w:ascii="Times New Roman" w:hAnsi="Times New Roman"/>
          </w:rPr>
          <w:t>Структура и честота</w:t>
        </w:r>
        <w:r>
          <w:rPr>
            <w:webHidden/>
          </w:rPr>
          <w:tab/>
        </w:r>
        <w:r>
          <w:rPr>
            <w:webHidden/>
          </w:rPr>
          <w:fldChar w:fldCharType="begin"/>
        </w:r>
        <w:r>
          <w:rPr>
            <w:webHidden/>
          </w:rPr>
          <w:instrText xml:space="preserve"> PAGEREF _Toc523907706 \h </w:instrText>
        </w:r>
        <w:r>
          <w:rPr>
            <w:webHidden/>
          </w:rPr>
        </w:r>
        <w:r>
          <w:rPr>
            <w:webHidden/>
          </w:rPr>
          <w:fldChar w:fldCharType="separate"/>
        </w:r>
        <w:r>
          <w:rPr>
            <w:webHidden/>
          </w:rPr>
          <w:t>4</w:t>
        </w:r>
        <w:r>
          <w:rPr>
            <w:webHidden/>
          </w:rPr>
          <w:fldChar w:fldCharType="end"/>
        </w:r>
      </w:hyperlink>
    </w:p>
    <w:p w:rsidR="00B858CC" w:rsidRDefault="00B858CC">
      <w:pPr>
        <w:pStyle w:val="TOC2"/>
        <w:rPr>
          <w:rFonts w:asciiTheme="minorHAnsi" w:eastAsiaTheme="minorEastAsia" w:hAnsiTheme="minorHAnsi" w:cstheme="minorBidi"/>
          <w:b w:val="0"/>
          <w:smallCaps w:val="0"/>
          <w:sz w:val="22"/>
          <w:lang w:val="en-GB" w:eastAsia="en-GB" w:bidi="ar-SA"/>
        </w:rPr>
      </w:pPr>
      <w:hyperlink w:anchor="_Toc523907707" w:history="1">
        <w:r w:rsidRPr="006C570E">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6C570E">
          <w:rPr>
            <w:rStyle w:val="Hyperlink"/>
            <w:rFonts w:ascii="Times New Roman" w:hAnsi="Times New Roman"/>
          </w:rPr>
          <w:t>Формули за изчисляване на отношението на ливъридж</w:t>
        </w:r>
        <w:r>
          <w:rPr>
            <w:webHidden/>
          </w:rPr>
          <w:tab/>
        </w:r>
        <w:r>
          <w:rPr>
            <w:webHidden/>
          </w:rPr>
          <w:fldChar w:fldCharType="begin"/>
        </w:r>
        <w:r>
          <w:rPr>
            <w:webHidden/>
          </w:rPr>
          <w:instrText xml:space="preserve"> PAGEREF _Toc523907707 \h </w:instrText>
        </w:r>
        <w:r>
          <w:rPr>
            <w:webHidden/>
          </w:rPr>
        </w:r>
        <w:r>
          <w:rPr>
            <w:webHidden/>
          </w:rPr>
          <w:fldChar w:fldCharType="separate"/>
        </w:r>
        <w:r>
          <w:rPr>
            <w:webHidden/>
          </w:rPr>
          <w:t>4</w:t>
        </w:r>
        <w:r>
          <w:rPr>
            <w:webHidden/>
          </w:rPr>
          <w:fldChar w:fldCharType="end"/>
        </w:r>
      </w:hyperlink>
    </w:p>
    <w:p w:rsidR="00B858CC" w:rsidRDefault="00B858CC">
      <w:pPr>
        <w:pStyle w:val="TOC2"/>
        <w:rPr>
          <w:rFonts w:asciiTheme="minorHAnsi" w:eastAsiaTheme="minorEastAsia" w:hAnsiTheme="minorHAnsi" w:cstheme="minorBidi"/>
          <w:b w:val="0"/>
          <w:smallCaps w:val="0"/>
          <w:sz w:val="22"/>
          <w:lang w:val="en-GB" w:eastAsia="en-GB" w:bidi="ar-SA"/>
        </w:rPr>
      </w:pPr>
      <w:hyperlink w:anchor="_Toc523907708" w:history="1">
        <w:r w:rsidRPr="006C570E">
          <w:rPr>
            <w:rStyle w:val="Hyperlink"/>
            <w:rFonts w:ascii="Times New Roman" w:hAnsi="Times New Roman"/>
          </w:rPr>
          <w:t>3.</w:t>
        </w:r>
        <w:r>
          <w:rPr>
            <w:rFonts w:asciiTheme="minorHAnsi" w:eastAsiaTheme="minorEastAsia" w:hAnsiTheme="minorHAnsi" w:cstheme="minorBidi"/>
            <w:b w:val="0"/>
            <w:smallCaps w:val="0"/>
            <w:sz w:val="22"/>
            <w:lang w:val="en-GB" w:eastAsia="en-GB" w:bidi="ar-SA"/>
          </w:rPr>
          <w:tab/>
        </w:r>
        <w:r w:rsidRPr="006C570E">
          <w:rPr>
            <w:rStyle w:val="Hyperlink"/>
            <w:rFonts w:ascii="Times New Roman" w:hAnsi="Times New Roman"/>
          </w:rPr>
          <w:t>Прагове на същественост за дериватите</w:t>
        </w:r>
        <w:r>
          <w:rPr>
            <w:webHidden/>
          </w:rPr>
          <w:tab/>
        </w:r>
        <w:r>
          <w:rPr>
            <w:webHidden/>
          </w:rPr>
          <w:fldChar w:fldCharType="begin"/>
        </w:r>
        <w:r>
          <w:rPr>
            <w:webHidden/>
          </w:rPr>
          <w:instrText xml:space="preserve"> PAGEREF _Toc523907708 \h </w:instrText>
        </w:r>
        <w:r>
          <w:rPr>
            <w:webHidden/>
          </w:rPr>
        </w:r>
        <w:r>
          <w:rPr>
            <w:webHidden/>
          </w:rPr>
          <w:fldChar w:fldCharType="separate"/>
        </w:r>
        <w:r>
          <w:rPr>
            <w:webHidden/>
          </w:rPr>
          <w:t>4</w:t>
        </w:r>
        <w:r>
          <w:rPr>
            <w:webHidden/>
          </w:rPr>
          <w:fldChar w:fldCharType="end"/>
        </w:r>
      </w:hyperlink>
    </w:p>
    <w:p w:rsidR="00B858CC" w:rsidRDefault="00B858CC">
      <w:pPr>
        <w:pStyle w:val="TOC2"/>
        <w:rPr>
          <w:rFonts w:asciiTheme="minorHAnsi" w:eastAsiaTheme="minorEastAsia" w:hAnsiTheme="minorHAnsi" w:cstheme="minorBidi"/>
          <w:b w:val="0"/>
          <w:smallCaps w:val="0"/>
          <w:sz w:val="22"/>
          <w:lang w:val="en-GB" w:eastAsia="en-GB" w:bidi="ar-SA"/>
        </w:rPr>
      </w:pPr>
      <w:hyperlink w:anchor="_Toc523907709" w:history="1">
        <w:r w:rsidRPr="006C570E">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6C570E">
          <w:rPr>
            <w:rStyle w:val="Hyperlink"/>
            <w:rFonts w:ascii="Times New Roman" w:hAnsi="Times New Roman"/>
          </w:rPr>
          <w:t>C47.00 — Изчисляване на отношението на ливъридж (LRCalc)</w:t>
        </w:r>
        <w:r>
          <w:rPr>
            <w:webHidden/>
          </w:rPr>
          <w:tab/>
        </w:r>
        <w:r>
          <w:rPr>
            <w:webHidden/>
          </w:rPr>
          <w:fldChar w:fldCharType="begin"/>
        </w:r>
        <w:r>
          <w:rPr>
            <w:webHidden/>
          </w:rPr>
          <w:instrText xml:space="preserve"> PAGEREF _Toc523907709 \h </w:instrText>
        </w:r>
        <w:r>
          <w:rPr>
            <w:webHidden/>
          </w:rPr>
        </w:r>
        <w:r>
          <w:rPr>
            <w:webHidden/>
          </w:rPr>
          <w:fldChar w:fldCharType="separate"/>
        </w:r>
        <w:r>
          <w:rPr>
            <w:webHidden/>
          </w:rPr>
          <w:t>5</w:t>
        </w:r>
        <w:r>
          <w:rPr>
            <w:webHidden/>
          </w:rPr>
          <w:fldChar w:fldCharType="end"/>
        </w:r>
      </w:hyperlink>
    </w:p>
    <w:p w:rsidR="00B858CC" w:rsidRDefault="00B858CC">
      <w:pPr>
        <w:pStyle w:val="TOC2"/>
        <w:rPr>
          <w:rFonts w:asciiTheme="minorHAnsi" w:eastAsiaTheme="minorEastAsia" w:hAnsiTheme="minorHAnsi" w:cstheme="minorBidi"/>
          <w:b w:val="0"/>
          <w:smallCaps w:val="0"/>
          <w:sz w:val="22"/>
          <w:lang w:val="en-GB" w:eastAsia="en-GB" w:bidi="ar-SA"/>
        </w:rPr>
      </w:pPr>
      <w:hyperlink w:anchor="_Toc523907710" w:history="1">
        <w:r w:rsidRPr="006C570E">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6C570E">
          <w:rPr>
            <w:rStyle w:val="Hyperlink"/>
            <w:rFonts w:ascii="Times New Roman" w:hAnsi="Times New Roman"/>
          </w:rPr>
          <w:t>Алтернативно третиране на мярката за експозиция (LR1)</w:t>
        </w:r>
        <w:r>
          <w:rPr>
            <w:webHidden/>
          </w:rPr>
          <w:tab/>
        </w:r>
        <w:r>
          <w:rPr>
            <w:webHidden/>
          </w:rPr>
          <w:fldChar w:fldCharType="begin"/>
        </w:r>
        <w:r>
          <w:rPr>
            <w:webHidden/>
          </w:rPr>
          <w:instrText xml:space="preserve"> PAGEREF _Toc523907710 \h </w:instrText>
        </w:r>
        <w:r>
          <w:rPr>
            <w:webHidden/>
          </w:rPr>
        </w:r>
        <w:r>
          <w:rPr>
            <w:webHidden/>
          </w:rPr>
          <w:fldChar w:fldCharType="separate"/>
        </w:r>
        <w:r>
          <w:rPr>
            <w:webHidden/>
          </w:rPr>
          <w:t>15</w:t>
        </w:r>
        <w:r>
          <w:rPr>
            <w:webHidden/>
          </w:rPr>
          <w:fldChar w:fldCharType="end"/>
        </w:r>
      </w:hyperlink>
    </w:p>
    <w:p w:rsidR="00B858CC" w:rsidRDefault="00B858CC">
      <w:pPr>
        <w:pStyle w:val="TOC2"/>
        <w:rPr>
          <w:rFonts w:asciiTheme="minorHAnsi" w:eastAsiaTheme="minorEastAsia" w:hAnsiTheme="minorHAnsi" w:cstheme="minorBidi"/>
          <w:b w:val="0"/>
          <w:smallCaps w:val="0"/>
          <w:sz w:val="22"/>
          <w:lang w:val="en-GB" w:eastAsia="en-GB" w:bidi="ar-SA"/>
        </w:rPr>
      </w:pPr>
      <w:hyperlink w:anchor="_Toc523907711" w:history="1">
        <w:r w:rsidRPr="006C570E">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6C570E">
          <w:rPr>
            <w:rStyle w:val="Hyperlink"/>
            <w:rFonts w:ascii="Times New Roman" w:hAnsi="Times New Roman"/>
          </w:rPr>
          <w:t>C 41.00 — Балансови и задбалансови позиции — допълнителна разбивка на експозициите (LR2)</w:t>
        </w:r>
        <w:r>
          <w:rPr>
            <w:webHidden/>
          </w:rPr>
          <w:tab/>
        </w:r>
        <w:r>
          <w:rPr>
            <w:webHidden/>
          </w:rPr>
          <w:fldChar w:fldCharType="begin"/>
        </w:r>
        <w:r>
          <w:rPr>
            <w:webHidden/>
          </w:rPr>
          <w:instrText xml:space="preserve"> PAGEREF _Toc523907711 \h </w:instrText>
        </w:r>
        <w:r>
          <w:rPr>
            <w:webHidden/>
          </w:rPr>
        </w:r>
        <w:r>
          <w:rPr>
            <w:webHidden/>
          </w:rPr>
          <w:fldChar w:fldCharType="separate"/>
        </w:r>
        <w:r>
          <w:rPr>
            <w:webHidden/>
          </w:rPr>
          <w:t>25</w:t>
        </w:r>
        <w:r>
          <w:rPr>
            <w:webHidden/>
          </w:rPr>
          <w:fldChar w:fldCharType="end"/>
        </w:r>
      </w:hyperlink>
    </w:p>
    <w:p w:rsidR="00B858CC" w:rsidRDefault="00B858CC">
      <w:pPr>
        <w:pStyle w:val="TOC2"/>
        <w:rPr>
          <w:rFonts w:asciiTheme="minorHAnsi" w:eastAsiaTheme="minorEastAsia" w:hAnsiTheme="minorHAnsi" w:cstheme="minorBidi"/>
          <w:b w:val="0"/>
          <w:smallCaps w:val="0"/>
          <w:sz w:val="22"/>
          <w:lang w:val="en-GB" w:eastAsia="en-GB" w:bidi="ar-SA"/>
        </w:rPr>
      </w:pPr>
      <w:hyperlink w:anchor="_Toc523907712" w:history="1">
        <w:r w:rsidRPr="006C570E">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6C570E">
          <w:rPr>
            <w:rStyle w:val="Hyperlink"/>
            <w:rFonts w:ascii="Times New Roman" w:hAnsi="Times New Roman"/>
          </w:rPr>
          <w:t>C 42.00 — Алтернативно определяне на капитала (LR3)</w:t>
        </w:r>
        <w:r>
          <w:rPr>
            <w:webHidden/>
          </w:rPr>
          <w:tab/>
        </w:r>
        <w:r>
          <w:rPr>
            <w:webHidden/>
          </w:rPr>
          <w:fldChar w:fldCharType="begin"/>
        </w:r>
        <w:r>
          <w:rPr>
            <w:webHidden/>
          </w:rPr>
          <w:instrText xml:space="preserve"> PAGEREF _Toc523907712 \h </w:instrText>
        </w:r>
        <w:r>
          <w:rPr>
            <w:webHidden/>
          </w:rPr>
        </w:r>
        <w:r>
          <w:rPr>
            <w:webHidden/>
          </w:rPr>
          <w:fldChar w:fldCharType="separate"/>
        </w:r>
        <w:r>
          <w:rPr>
            <w:webHidden/>
          </w:rPr>
          <w:t>27</w:t>
        </w:r>
        <w:r>
          <w:rPr>
            <w:webHidden/>
          </w:rPr>
          <w:fldChar w:fldCharType="end"/>
        </w:r>
      </w:hyperlink>
    </w:p>
    <w:p w:rsidR="00B858CC" w:rsidRDefault="00B858CC">
      <w:pPr>
        <w:pStyle w:val="TOC2"/>
        <w:rPr>
          <w:rFonts w:asciiTheme="minorHAnsi" w:eastAsiaTheme="minorEastAsia" w:hAnsiTheme="minorHAnsi" w:cstheme="minorBidi"/>
          <w:b w:val="0"/>
          <w:smallCaps w:val="0"/>
          <w:sz w:val="22"/>
          <w:lang w:val="en-GB" w:eastAsia="en-GB" w:bidi="ar-SA"/>
        </w:rPr>
      </w:pPr>
      <w:hyperlink w:anchor="_Toc523907713" w:history="1">
        <w:r w:rsidRPr="006C570E">
          <w:rPr>
            <w:rStyle w:val="Hyperlink"/>
            <w:rFonts w:ascii="Times New Roman" w:hAnsi="Times New Roman"/>
          </w:rPr>
          <w:t>8.</w:t>
        </w:r>
        <w:r>
          <w:rPr>
            <w:rFonts w:asciiTheme="minorHAnsi" w:eastAsiaTheme="minorEastAsia" w:hAnsiTheme="minorHAnsi" w:cstheme="minorBidi"/>
            <w:b w:val="0"/>
            <w:smallCaps w:val="0"/>
            <w:sz w:val="22"/>
            <w:lang w:val="en-GB" w:eastAsia="en-GB" w:bidi="ar-SA"/>
          </w:rPr>
          <w:tab/>
        </w:r>
        <w:r w:rsidRPr="006C570E">
          <w:rPr>
            <w:rStyle w:val="Hyperlink"/>
            <w:rFonts w:ascii="Times New Roman" w:hAnsi="Times New Roman"/>
          </w:rPr>
          <w:t>C 43.00 — Алтернативна разбивка на компонентите на мярката за експозицията с оглед на отношението на ливъридж (LR4)</w:t>
        </w:r>
        <w:r>
          <w:rPr>
            <w:webHidden/>
          </w:rPr>
          <w:tab/>
        </w:r>
        <w:r>
          <w:rPr>
            <w:webHidden/>
          </w:rPr>
          <w:fldChar w:fldCharType="begin"/>
        </w:r>
        <w:r>
          <w:rPr>
            <w:webHidden/>
          </w:rPr>
          <w:instrText xml:space="preserve"> PAGEREF _Toc523907713 \h </w:instrText>
        </w:r>
        <w:r>
          <w:rPr>
            <w:webHidden/>
          </w:rPr>
        </w:r>
        <w:r>
          <w:rPr>
            <w:webHidden/>
          </w:rPr>
          <w:fldChar w:fldCharType="separate"/>
        </w:r>
        <w:r>
          <w:rPr>
            <w:webHidden/>
          </w:rPr>
          <w:t>29</w:t>
        </w:r>
        <w:r>
          <w:rPr>
            <w:webHidden/>
          </w:rPr>
          <w:fldChar w:fldCharType="end"/>
        </w:r>
      </w:hyperlink>
    </w:p>
    <w:p w:rsidR="00B858CC" w:rsidRDefault="00B858CC">
      <w:pPr>
        <w:pStyle w:val="TOC2"/>
        <w:rPr>
          <w:rFonts w:asciiTheme="minorHAnsi" w:eastAsiaTheme="minorEastAsia" w:hAnsiTheme="minorHAnsi" w:cstheme="minorBidi"/>
          <w:b w:val="0"/>
          <w:smallCaps w:val="0"/>
          <w:sz w:val="22"/>
          <w:lang w:val="en-GB" w:eastAsia="en-GB" w:bidi="ar-SA"/>
        </w:rPr>
      </w:pPr>
      <w:hyperlink w:anchor="_Toc523907714" w:history="1">
        <w:r w:rsidRPr="006C570E">
          <w:rPr>
            <w:rStyle w:val="Hyperlink"/>
            <w:rFonts w:ascii="Times New Roman" w:hAnsi="Times New Roman"/>
          </w:rPr>
          <w:t>9.</w:t>
        </w:r>
        <w:r>
          <w:rPr>
            <w:rFonts w:asciiTheme="minorHAnsi" w:eastAsiaTheme="minorEastAsia" w:hAnsiTheme="minorHAnsi" w:cstheme="minorBidi"/>
            <w:b w:val="0"/>
            <w:smallCaps w:val="0"/>
            <w:sz w:val="22"/>
            <w:lang w:val="en-GB" w:eastAsia="en-GB" w:bidi="ar-SA"/>
          </w:rPr>
          <w:tab/>
        </w:r>
        <w:r w:rsidRPr="006C570E">
          <w:rPr>
            <w:rStyle w:val="Hyperlink"/>
            <w:rFonts w:ascii="Times New Roman" w:hAnsi="Times New Roman"/>
          </w:rPr>
          <w:t>C 44.00 — Обща информация (LR5)</w:t>
        </w:r>
        <w:r>
          <w:rPr>
            <w:webHidden/>
          </w:rPr>
          <w:tab/>
        </w:r>
        <w:r>
          <w:rPr>
            <w:webHidden/>
          </w:rPr>
          <w:fldChar w:fldCharType="begin"/>
        </w:r>
        <w:r>
          <w:rPr>
            <w:webHidden/>
          </w:rPr>
          <w:instrText xml:space="preserve"> PAGEREF _Toc523907714 \h </w:instrText>
        </w:r>
        <w:r>
          <w:rPr>
            <w:webHidden/>
          </w:rPr>
        </w:r>
        <w:r>
          <w:rPr>
            <w:webHidden/>
          </w:rPr>
          <w:fldChar w:fldCharType="separate"/>
        </w:r>
        <w:r>
          <w:rPr>
            <w:webHidden/>
          </w:rPr>
          <w:t>49</w:t>
        </w:r>
        <w:r>
          <w:rPr>
            <w:webHidden/>
          </w:rPr>
          <w:fldChar w:fldCharType="end"/>
        </w:r>
      </w:hyperlink>
    </w:p>
    <w:p w:rsidR="00B918E6" w:rsidRDefault="002F29A9">
      <w:pPr>
        <w:pStyle w:val="BodyText1"/>
        <w:rPr>
          <w:rFonts w:ascii="Times New Roman" w:eastAsiaTheme="minorEastAsia" w:hAnsi="Times New Roman"/>
          <w:color w:val="auto"/>
          <w:sz w:val="22"/>
          <w:szCs w:val="22"/>
        </w:rPr>
        <w:sectPr w:rsidR="00B918E6" w:rsidSect="00DC2C28">
          <w:footerReference w:type="default" r:id="rId11"/>
          <w:headerReference w:type="first" r:id="rId12"/>
          <w:footerReference w:type="first" r:id="rId13"/>
          <w:endnotePr>
            <w:numFmt w:val="decimal"/>
          </w:endnotePr>
          <w:pgSz w:w="11906" w:h="16838" w:code="9"/>
          <w:pgMar w:top="1417" w:right="1417" w:bottom="1134" w:left="1417" w:header="720" w:footer="720" w:gutter="0"/>
          <w:cols w:space="720"/>
          <w:titlePg/>
          <w:docGrid w:linePitch="360"/>
        </w:sectPr>
      </w:pPr>
      <w:r w:rsidRPr="00E94154">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23089060"/>
      <w:bookmarkStart w:id="6" w:name="_Toc523907699"/>
      <w:r>
        <w:rPr>
          <w:rFonts w:ascii="Times New Roman" w:hAnsi="Times New Roman"/>
          <w:b/>
          <w:sz w:val="24"/>
        </w:rPr>
        <w:t>ЧАСТ I:</w:t>
      </w:r>
      <w:bookmarkEnd w:id="1"/>
      <w:r>
        <w:rPr>
          <w:rFonts w:ascii="Times New Roman" w:hAnsi="Times New Roman"/>
          <w:b/>
          <w:sz w:val="24"/>
        </w:rPr>
        <w:t xml:space="preserve"> ОБЩИ УКАЗАНИЯ</w:t>
      </w:r>
      <w:bookmarkEnd w:id="2"/>
      <w:bookmarkEnd w:id="3"/>
      <w:bookmarkEnd w:id="4"/>
      <w:bookmarkEnd w:id="5"/>
      <w:bookmarkEnd w:id="6"/>
    </w:p>
    <w:p w:rsidR="00FF2091" w:rsidRPr="00CF306A" w:rsidRDefault="00FF2091" w:rsidP="00A860E1">
      <w:pPr>
        <w:pStyle w:val="BodyText1"/>
      </w:pPr>
      <w:bookmarkStart w:id="7" w:name="_Toc351048500"/>
    </w:p>
    <w:p w:rsidR="00217D1F" w:rsidRPr="00FE002E" w:rsidRDefault="00500508" w:rsidP="00500508">
      <w:pPr>
        <w:pStyle w:val="BodyText1"/>
        <w:ind w:left="357" w:hanging="357"/>
        <w:outlineLvl w:val="1"/>
        <w:rPr>
          <w:rFonts w:ascii="Times New Roman" w:hAnsi="Times New Roman"/>
          <w:b/>
        </w:rPr>
      </w:pPr>
      <w:bookmarkStart w:id="8" w:name="_Toc322687865"/>
      <w:bookmarkStart w:id="9" w:name="_Toc359414274"/>
      <w:bookmarkStart w:id="10" w:name="_Toc423089061"/>
      <w:bookmarkStart w:id="11" w:name="_Toc523907700"/>
      <w:r>
        <w:rPr>
          <w:rFonts w:ascii="Times New Roman" w:hAnsi="Times New Roman"/>
          <w:b/>
        </w:rPr>
        <w:t>1.</w:t>
      </w:r>
      <w:r>
        <w:tab/>
      </w:r>
      <w:r>
        <w:rPr>
          <w:rFonts w:ascii="Times New Roman" w:hAnsi="Times New Roman"/>
          <w:b/>
        </w:rPr>
        <w:t>Обозначаване на образците и други възприети практики</w:t>
      </w:r>
      <w:bookmarkEnd w:id="7"/>
      <w:bookmarkEnd w:id="8"/>
      <w:bookmarkEnd w:id="9"/>
      <w:bookmarkEnd w:id="10"/>
      <w:bookmarkEnd w:id="11"/>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12" w:name="_Toc322687866"/>
      <w:bookmarkStart w:id="13" w:name="_Toc359414275"/>
      <w:bookmarkStart w:id="14" w:name="_Toc423089062"/>
      <w:bookmarkStart w:id="15" w:name="_Toc264038399"/>
      <w:bookmarkStart w:id="16" w:name="_Toc294018834"/>
      <w:bookmarkStart w:id="17" w:name="_Toc523907701"/>
      <w:r>
        <w:rPr>
          <w:rFonts w:ascii="Times New Roman" w:hAnsi="Times New Roman"/>
          <w:b/>
        </w:rPr>
        <w:t>1.</w:t>
      </w:r>
      <w:proofErr w:type="spellStart"/>
      <w:r>
        <w:rPr>
          <w:rFonts w:ascii="Times New Roman" w:hAnsi="Times New Roman"/>
          <w:b/>
        </w:rPr>
        <w:t>1</w:t>
      </w:r>
      <w:proofErr w:type="spellEnd"/>
      <w:r>
        <w:rPr>
          <w:rFonts w:ascii="Times New Roman" w:hAnsi="Times New Roman"/>
          <w:b/>
        </w:rPr>
        <w:t>.</w:t>
      </w:r>
      <w:r>
        <w:tab/>
      </w:r>
      <w:r>
        <w:rPr>
          <w:rFonts w:ascii="Times New Roman" w:hAnsi="Times New Roman"/>
          <w:b/>
        </w:rPr>
        <w:t xml:space="preserve">Обозначаване на </w:t>
      </w:r>
      <w:bookmarkEnd w:id="12"/>
      <w:r>
        <w:rPr>
          <w:rFonts w:ascii="Times New Roman" w:hAnsi="Times New Roman"/>
          <w:b/>
        </w:rPr>
        <w:t>образците</w:t>
      </w:r>
      <w:bookmarkEnd w:id="13"/>
      <w:bookmarkEnd w:id="14"/>
      <w:bookmarkEnd w:id="17"/>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Pr>
          <w:rFonts w:ascii="Times New Roman" w:hAnsi="Times New Roman"/>
        </w:rPr>
        <w:t>1.</w:t>
      </w:r>
      <w:r>
        <w:tab/>
      </w:r>
      <w:r>
        <w:rPr>
          <w:rFonts w:ascii="Times New Roman" w:hAnsi="Times New Roman"/>
        </w:rPr>
        <w:t xml:space="preserve">В настоящото приложение са представени допълнителни указания за образците относно отношението на </w:t>
      </w:r>
      <w:proofErr w:type="spellStart"/>
      <w:r>
        <w:rPr>
          <w:rFonts w:ascii="Times New Roman" w:hAnsi="Times New Roman"/>
        </w:rPr>
        <w:t>ливъридж</w:t>
      </w:r>
      <w:proofErr w:type="spellEnd"/>
      <w:r>
        <w:rPr>
          <w:rFonts w:ascii="Times New Roman" w:hAnsi="Times New Roman"/>
        </w:rPr>
        <w:t xml:space="preserve"> (наричани по-долу за краткост „LR“), включени в приложение Х към настоящия регламент. </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rPr>
      </w:pPr>
      <w:r>
        <w:t>2.</w:t>
      </w:r>
      <w:r>
        <w:tab/>
        <w:t>Като цяло рамката съдържа шест образеца:</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 xml:space="preserve">C47.00: Изчисляване на отношението на </w:t>
      </w:r>
      <w:proofErr w:type="spellStart"/>
      <w:r>
        <w:t>ливъридж</w:t>
      </w:r>
      <w:proofErr w:type="spellEnd"/>
      <w:r>
        <w:t xml:space="preserve"> (</w:t>
      </w:r>
      <w:proofErr w:type="spellStart"/>
      <w:r>
        <w:t>LRCalc</w:t>
      </w:r>
      <w:proofErr w:type="spellEnd"/>
      <w:r>
        <w:t xml:space="preserve">): Изчисляване на отношението на </w:t>
      </w:r>
      <w:proofErr w:type="spellStart"/>
      <w:r>
        <w:t>ливъридж</w:t>
      </w:r>
      <w:proofErr w:type="spellEnd"/>
      <w:r>
        <w:t>;</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 xml:space="preserve">C40.00: Образец 1 относно отношението на </w:t>
      </w:r>
      <w:proofErr w:type="spellStart"/>
      <w:r>
        <w:t>ливъридж</w:t>
      </w:r>
      <w:proofErr w:type="spellEnd"/>
      <w:r>
        <w:t xml:space="preserve"> (LR1): Алтернативно третиране на мярката за експозиция;</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 xml:space="preserve">C41.00: Образец 2 относно отношението на </w:t>
      </w:r>
      <w:proofErr w:type="spellStart"/>
      <w:r>
        <w:t>ливъридж</w:t>
      </w:r>
      <w:proofErr w:type="spellEnd"/>
      <w:r>
        <w:t xml:space="preserve"> (LR2): Балансови и </w:t>
      </w:r>
      <w:proofErr w:type="spellStart"/>
      <w:r>
        <w:t>задбалансови</w:t>
      </w:r>
      <w:proofErr w:type="spellEnd"/>
      <w:r>
        <w:t xml:space="preserve"> позиции – допълнителна разбивка на експозициите;</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 xml:space="preserve">C42.00: Образец 3 относно отношението на </w:t>
      </w:r>
      <w:proofErr w:type="spellStart"/>
      <w:r>
        <w:t>ливъридж</w:t>
      </w:r>
      <w:proofErr w:type="spellEnd"/>
      <w:r>
        <w:t xml:space="preserve"> (LR3): Алтернативно определяне на капитала;</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 xml:space="preserve">C43.00: Образец 4 относно отношението на </w:t>
      </w:r>
      <w:proofErr w:type="spellStart"/>
      <w:r>
        <w:t>ливъридж</w:t>
      </w:r>
      <w:proofErr w:type="spellEnd"/>
      <w:r>
        <w:t xml:space="preserve"> (LR4): Разбивка на компонентите на мярката за експозицията с оглед на отношението на </w:t>
      </w:r>
      <w:proofErr w:type="spellStart"/>
      <w:r>
        <w:t>ливъридж</w:t>
      </w:r>
      <w:proofErr w:type="spellEnd"/>
      <w:r>
        <w:t>; както и</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 xml:space="preserve">C44.00: Образец 5 относно отношението на </w:t>
      </w:r>
      <w:proofErr w:type="spellStart"/>
      <w:r>
        <w:t>ливъридж</w:t>
      </w:r>
      <w:proofErr w:type="spellEnd"/>
      <w:r>
        <w:t xml:space="preserve"> (LR5): Обща информация.</w:t>
      </w:r>
    </w:p>
    <w:p w:rsidR="00F4754B" w:rsidRPr="00FE002E" w:rsidRDefault="00500508" w:rsidP="00500508">
      <w:pPr>
        <w:pStyle w:val="InstructionsText2"/>
        <w:numPr>
          <w:ilvl w:val="0"/>
          <w:numId w:val="0"/>
        </w:numPr>
        <w:ind w:left="720" w:hanging="360"/>
        <w:rPr>
          <w:rFonts w:eastAsia="Times New Roman"/>
          <w:bCs/>
          <w:szCs w:val="17"/>
        </w:rPr>
      </w:pPr>
      <w:r>
        <w:t>3.</w:t>
      </w:r>
      <w:r>
        <w:tab/>
        <w:t>За всеки образец са представени препратки към нормативни актове, както и допълнителна подробна информация относно по-общите аспекти на докладването.</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18" w:name="_Toc359414277"/>
      <w:bookmarkStart w:id="19" w:name="_Toc322687867"/>
      <w:bookmarkStart w:id="20" w:name="_Toc351048502"/>
      <w:bookmarkStart w:id="21" w:name="_Toc359414278"/>
      <w:bookmarkStart w:id="22" w:name="_Toc423089063"/>
      <w:bookmarkStart w:id="23" w:name="_Toc523907702"/>
      <w:bookmarkEnd w:id="18"/>
      <w:r>
        <w:rPr>
          <w:rFonts w:ascii="Times New Roman" w:hAnsi="Times New Roman"/>
          <w:b/>
        </w:rPr>
        <w:t>1.2.</w:t>
      </w:r>
      <w:r>
        <w:tab/>
      </w:r>
      <w:r>
        <w:rPr>
          <w:rFonts w:ascii="Times New Roman" w:hAnsi="Times New Roman"/>
          <w:b/>
        </w:rPr>
        <w:t>Номериране</w:t>
      </w:r>
      <w:bookmarkEnd w:id="19"/>
      <w:bookmarkEnd w:id="20"/>
      <w:bookmarkEnd w:id="21"/>
      <w:bookmarkEnd w:id="22"/>
      <w:bookmarkEnd w:id="23"/>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rPr>
      </w:pPr>
      <w:r>
        <w:t>4.</w:t>
      </w:r>
      <w:r>
        <w:tab/>
        <w:t>В документа се спазват практиките за обозначаване, установени в параграфите по-долу, при позоваване на колоните, редовете и полетата в образците. Тези цифрови кодове се използват широко в правилата за утвърждаване.</w:t>
      </w:r>
    </w:p>
    <w:p w:rsidR="00F4754B" w:rsidRPr="00FE002E" w:rsidRDefault="00500508" w:rsidP="00500508">
      <w:pPr>
        <w:pStyle w:val="InstructionsText2"/>
        <w:numPr>
          <w:ilvl w:val="0"/>
          <w:numId w:val="0"/>
        </w:numPr>
        <w:ind w:left="720" w:hanging="360"/>
        <w:rPr>
          <w:rFonts w:eastAsia="Times New Roman"/>
          <w:bCs/>
          <w:szCs w:val="17"/>
        </w:rPr>
      </w:pPr>
      <w:r>
        <w:t>5.</w:t>
      </w:r>
      <w:r>
        <w:tab/>
        <w:t>В указанията се съблюдават следните общи означения: {Образец;Ред;Колона}. Когато указанието се отнася за целия ред или колона, се използва звездичка.</w:t>
      </w:r>
    </w:p>
    <w:p w:rsidR="00F4754B" w:rsidRPr="00FE002E" w:rsidRDefault="00500508" w:rsidP="00500508">
      <w:pPr>
        <w:pStyle w:val="InstructionsText2"/>
        <w:numPr>
          <w:ilvl w:val="0"/>
          <w:numId w:val="0"/>
        </w:numPr>
        <w:ind w:left="720" w:hanging="360"/>
        <w:rPr>
          <w:rFonts w:eastAsia="Times New Roman"/>
          <w:bCs/>
          <w:szCs w:val="17"/>
        </w:rPr>
      </w:pPr>
      <w:r>
        <w:t>6.</w:t>
      </w:r>
      <w:r>
        <w:tab/>
        <w:t>При утвърждаванията в рамките на образеца, когато се използват само елементи от модела за описание на данните от този образец, в записа не се включва позоваване на образеца: {Ред;Колона}.</w:t>
      </w:r>
    </w:p>
    <w:p w:rsidR="00F4754B" w:rsidRPr="00FE002E" w:rsidRDefault="00500508" w:rsidP="00500508">
      <w:pPr>
        <w:pStyle w:val="InstructionsText2"/>
        <w:numPr>
          <w:ilvl w:val="0"/>
          <w:numId w:val="0"/>
        </w:numPr>
        <w:ind w:left="720" w:hanging="360"/>
        <w:rPr>
          <w:rFonts w:eastAsia="Times New Roman"/>
          <w:bCs/>
          <w:szCs w:val="17"/>
        </w:rPr>
      </w:pPr>
      <w:r>
        <w:t>7.</w:t>
      </w:r>
      <w:r>
        <w:tab/>
        <w:t xml:space="preserve">За целите на докладването на </w:t>
      </w:r>
      <w:proofErr w:type="spellStart"/>
      <w:r>
        <w:t>ливъриджа</w:t>
      </w:r>
      <w:proofErr w:type="spellEnd"/>
      <w:r>
        <w:t xml:space="preserve">, „в т.ч.“ се отнася до позиция, която е </w:t>
      </w:r>
      <w:proofErr w:type="spellStart"/>
      <w:r>
        <w:t>подраздел</w:t>
      </w:r>
      <w:proofErr w:type="spellEnd"/>
      <w:r>
        <w:t xml:space="preserve"> на категория от експозиции от по-високо ниво, а „поясняваща позиция“ се отнася до отделна позиция, която не е </w:t>
      </w:r>
      <w:proofErr w:type="spellStart"/>
      <w:r>
        <w:t>подраздел</w:t>
      </w:r>
      <w:proofErr w:type="spellEnd"/>
      <w:r>
        <w:t xml:space="preserve"> на клас от експозиции. Освен ако не е указано друго, докладването на двата вида полета е задължително. </w:t>
      </w:r>
    </w:p>
    <w:p w:rsidR="001D6F2F" w:rsidRPr="00FE002E" w:rsidRDefault="00500508" w:rsidP="00500508">
      <w:pPr>
        <w:pStyle w:val="BodyText1"/>
        <w:ind w:left="357" w:hanging="357"/>
        <w:outlineLvl w:val="2"/>
        <w:rPr>
          <w:rFonts w:ascii="Times New Roman" w:hAnsi="Times New Roman"/>
          <w:b/>
        </w:rPr>
      </w:pPr>
      <w:bookmarkStart w:id="24" w:name="_Toc423089064"/>
      <w:bookmarkStart w:id="25" w:name="_Toc523907703"/>
      <w:r>
        <w:rPr>
          <w:rFonts w:ascii="Times New Roman" w:hAnsi="Times New Roman"/>
          <w:b/>
        </w:rPr>
        <w:t>1.3.</w:t>
      </w:r>
      <w:r>
        <w:tab/>
      </w:r>
      <w:r>
        <w:rPr>
          <w:rFonts w:ascii="Times New Roman" w:hAnsi="Times New Roman"/>
          <w:b/>
        </w:rPr>
        <w:t>Съкращения</w:t>
      </w:r>
      <w:bookmarkEnd w:id="24"/>
      <w:bookmarkEnd w:id="25"/>
    </w:p>
    <w:p w:rsidR="001D6F2F" w:rsidRPr="00CF306A" w:rsidRDefault="001D6F2F" w:rsidP="001D6F2F">
      <w:pPr>
        <w:pStyle w:val="BodyText1"/>
      </w:pPr>
      <w:bookmarkStart w:id="26" w:name="_Toc359414279"/>
      <w:bookmarkStart w:id="27" w:name="_Toc322687868"/>
      <w:bookmarkStart w:id="28" w:name="_Toc351048503"/>
      <w:bookmarkStart w:id="29" w:name="_Toc359414280"/>
      <w:bookmarkEnd w:id="26"/>
    </w:p>
    <w:p w:rsidR="00627E07" w:rsidRDefault="00500508" w:rsidP="00500508">
      <w:pPr>
        <w:pStyle w:val="InstructionsText2"/>
        <w:numPr>
          <w:ilvl w:val="0"/>
          <w:numId w:val="0"/>
        </w:numPr>
        <w:ind w:left="720" w:hanging="360"/>
        <w:rPr>
          <w:rFonts w:eastAsia="Times New Roman"/>
          <w:bCs/>
          <w:szCs w:val="17"/>
        </w:rPr>
      </w:pPr>
      <w:r>
        <w:lastRenderedPageBreak/>
        <w:t>8.</w:t>
      </w:r>
      <w:r>
        <w:tab/>
        <w:t>За целите на настоящото приложение и свързаните с него образци са използвани следните съкращения:</w:t>
      </w:r>
    </w:p>
    <w:p w:rsidR="00627E07" w:rsidRDefault="00500508" w:rsidP="00500508">
      <w:pPr>
        <w:pStyle w:val="InstructionsText2"/>
        <w:numPr>
          <w:ilvl w:val="0"/>
          <w:numId w:val="0"/>
        </w:numPr>
        <w:ind w:left="1440" w:hanging="360"/>
        <w:rPr>
          <w:rFonts w:eastAsia="Times New Roman"/>
          <w:bCs/>
          <w:szCs w:val="17"/>
        </w:rPr>
      </w:pPr>
      <w:r>
        <w:t>а)</w:t>
      </w:r>
      <w:r>
        <w:tab/>
        <w:t>РКИ — Регламент за капиталовите изисквания, т.е. Регламент (ЕС) № 575/2013;</w:t>
      </w:r>
    </w:p>
    <w:p w:rsidR="00627E07" w:rsidRDefault="00500508" w:rsidP="00500508">
      <w:pPr>
        <w:pStyle w:val="InstructionsText2"/>
        <w:numPr>
          <w:ilvl w:val="0"/>
          <w:numId w:val="0"/>
        </w:numPr>
        <w:ind w:left="1440" w:hanging="360"/>
        <w:rPr>
          <w:rFonts w:eastAsia="Times New Roman"/>
          <w:bCs/>
          <w:szCs w:val="17"/>
        </w:rPr>
      </w:pPr>
      <w:r>
        <w:t>б)</w:t>
      </w:r>
      <w:r>
        <w:tab/>
        <w:t>СФЦК — сделка за финансиране с ценни книжа, което означава „</w:t>
      </w:r>
      <w:proofErr w:type="spellStart"/>
      <w:r>
        <w:t>репо</w:t>
      </w:r>
      <w:proofErr w:type="spellEnd"/>
      <w:r>
        <w:t xml:space="preserve"> сделка, </w:t>
      </w:r>
      <w:proofErr w:type="spellStart"/>
      <w:r>
        <w:t>сделка</w:t>
      </w:r>
      <w:proofErr w:type="spellEnd"/>
      <w:r>
        <w:t xml:space="preserve"> за предоставяне/получаване в заем на ценни книжа или стоки, трансакция с удължен </w:t>
      </w:r>
      <w:proofErr w:type="spellStart"/>
      <w:r>
        <w:t>сетълмент</w:t>
      </w:r>
      <w:proofErr w:type="spellEnd"/>
      <w:r>
        <w:t xml:space="preserve"> и </w:t>
      </w:r>
      <w:proofErr w:type="spellStart"/>
      <w:r>
        <w:t>маржин</w:t>
      </w:r>
      <w:proofErr w:type="spellEnd"/>
      <w:r>
        <w:t xml:space="preserve"> заемна сделка“ съгласно посоченото в Регламент (ЕС) № 575/2013;</w:t>
      </w:r>
    </w:p>
    <w:p w:rsidR="008E7068" w:rsidRPr="00627E07" w:rsidRDefault="00500508" w:rsidP="00500508">
      <w:pPr>
        <w:pStyle w:val="InstructionsText2"/>
        <w:numPr>
          <w:ilvl w:val="0"/>
          <w:numId w:val="0"/>
        </w:numPr>
        <w:ind w:left="1440" w:hanging="360"/>
        <w:rPr>
          <w:rFonts w:eastAsia="Times New Roman"/>
          <w:bCs/>
          <w:szCs w:val="17"/>
        </w:rPr>
      </w:pPr>
      <w:r>
        <w:t>в)</w:t>
      </w:r>
      <w:r>
        <w:tab/>
        <w:t>РКР — редуциране на кредитния риск.</w:t>
      </w:r>
    </w:p>
    <w:p w:rsidR="00217D1F" w:rsidRPr="00FE002E" w:rsidRDefault="00500508" w:rsidP="00500508">
      <w:pPr>
        <w:pStyle w:val="BodyText1"/>
        <w:ind w:left="357" w:hanging="357"/>
        <w:outlineLvl w:val="2"/>
        <w:rPr>
          <w:rFonts w:ascii="Times New Roman" w:hAnsi="Times New Roman"/>
          <w:b/>
        </w:rPr>
      </w:pPr>
      <w:bookmarkStart w:id="30" w:name="_Toc423089065"/>
      <w:bookmarkStart w:id="31" w:name="_Toc523907704"/>
      <w:r>
        <w:rPr>
          <w:rFonts w:ascii="Times New Roman" w:hAnsi="Times New Roman"/>
          <w:b/>
        </w:rPr>
        <w:t>1.4.</w:t>
      </w:r>
      <w:r>
        <w:tab/>
      </w:r>
      <w:r>
        <w:rPr>
          <w:rFonts w:ascii="Times New Roman" w:hAnsi="Times New Roman"/>
          <w:b/>
        </w:rPr>
        <w:t>Знаци</w:t>
      </w:r>
      <w:bookmarkEnd w:id="15"/>
      <w:bookmarkEnd w:id="16"/>
      <w:bookmarkEnd w:id="27"/>
      <w:bookmarkEnd w:id="28"/>
      <w:bookmarkEnd w:id="29"/>
      <w:bookmarkEnd w:id="30"/>
      <w:bookmarkEnd w:id="31"/>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rPr>
      </w:pPr>
      <w:bookmarkStart w:id="32" w:name="_Toc322687869"/>
      <w:r>
        <w:t>9.</w:t>
      </w:r>
      <w:r>
        <w:tab/>
        <w:t>Всички стойности се докладват като положителни числа.</w:t>
      </w:r>
      <w:bookmarkStart w:id="33" w:name="_Toc264033192"/>
      <w:bookmarkEnd w:id="33"/>
      <w:r>
        <w:t xml:space="preserve"> Изключение правят стойностите, докладвани в {</w:t>
      </w:r>
      <w:proofErr w:type="spellStart"/>
      <w:r>
        <w:t>LRCalc</w:t>
      </w:r>
      <w:proofErr w:type="spellEnd"/>
      <w:r>
        <w:t>;050;010}, {</w:t>
      </w:r>
      <w:proofErr w:type="spellStart"/>
      <w:r>
        <w:t>LRCalc</w:t>
      </w:r>
      <w:proofErr w:type="spellEnd"/>
      <w:r>
        <w:t>;070;010}, {</w:t>
      </w:r>
      <w:proofErr w:type="spellStart"/>
      <w:r>
        <w:t>LRCalc</w:t>
      </w:r>
      <w:proofErr w:type="spellEnd"/>
      <w:r>
        <w:t>;080;010}, {</w:t>
      </w:r>
      <w:proofErr w:type="spellStart"/>
      <w:r>
        <w:t>LRCalc</w:t>
      </w:r>
      <w:proofErr w:type="spellEnd"/>
      <w:r>
        <w:t>;100;010}, {</w:t>
      </w:r>
      <w:proofErr w:type="spellStart"/>
      <w:r>
        <w:t>LRCalc</w:t>
      </w:r>
      <w:proofErr w:type="spellEnd"/>
      <w:r>
        <w:t>;120;010}, {</w:t>
      </w:r>
      <w:proofErr w:type="spellStart"/>
      <w:r>
        <w:t>LRCalc</w:t>
      </w:r>
      <w:proofErr w:type="spellEnd"/>
      <w:r>
        <w:t>;140;010}, {</w:t>
      </w:r>
      <w:proofErr w:type="spellStart"/>
      <w:r>
        <w:t>LRCalc</w:t>
      </w:r>
      <w:proofErr w:type="spellEnd"/>
      <w:r>
        <w:t>;210;010}, {</w:t>
      </w:r>
      <w:proofErr w:type="spellStart"/>
      <w:r>
        <w:t>LRCalc</w:t>
      </w:r>
      <w:proofErr w:type="spellEnd"/>
      <w:r>
        <w:t>;220;010}, {</w:t>
      </w:r>
      <w:proofErr w:type="spellStart"/>
      <w:r>
        <w:t>LRCalc</w:t>
      </w:r>
      <w:proofErr w:type="spellEnd"/>
      <w:r>
        <w:t>;240;010}, {</w:t>
      </w:r>
      <w:proofErr w:type="spellStart"/>
      <w:r>
        <w:t>LRCalc</w:t>
      </w:r>
      <w:proofErr w:type="spellEnd"/>
      <w:r>
        <w:t>;250;010}, {</w:t>
      </w:r>
      <w:proofErr w:type="spellStart"/>
      <w:r>
        <w:t>LRCalc</w:t>
      </w:r>
      <w:proofErr w:type="spellEnd"/>
      <w:r>
        <w:t>;260;010}, {</w:t>
      </w:r>
      <w:proofErr w:type="spellStart"/>
      <w:r>
        <w:t>LRCalc</w:t>
      </w:r>
      <w:proofErr w:type="spellEnd"/>
      <w:r>
        <w:t>;310;010}, {</w:t>
      </w:r>
      <w:proofErr w:type="spellStart"/>
      <w:r>
        <w:t>LRCalc</w:t>
      </w:r>
      <w:proofErr w:type="spellEnd"/>
      <w:r>
        <w:t>;320;010}, {</w:t>
      </w:r>
      <w:proofErr w:type="spellStart"/>
      <w:r>
        <w:t>LRCalc</w:t>
      </w:r>
      <w:proofErr w:type="spellEnd"/>
      <w:r>
        <w:t>;270;010}, {</w:t>
      </w:r>
      <w:proofErr w:type="spellStart"/>
      <w:r>
        <w:t>LRCalc</w:t>
      </w:r>
      <w:proofErr w:type="spellEnd"/>
      <w:r>
        <w:t>;280;010}, {</w:t>
      </w:r>
      <w:proofErr w:type="spellStart"/>
      <w:r>
        <w:t>LRCalc</w:t>
      </w:r>
      <w:proofErr w:type="spellEnd"/>
      <w:r>
        <w:t>;330;010}, {</w:t>
      </w:r>
      <w:proofErr w:type="spellStart"/>
      <w:r>
        <w:t>LRCalc</w:t>
      </w:r>
      <w:proofErr w:type="spellEnd"/>
      <w:r>
        <w:t>;340;010}, {LR3;010;</w:t>
      </w:r>
      <w:proofErr w:type="spellStart"/>
      <w:r>
        <w:t>010</w:t>
      </w:r>
      <w:proofErr w:type="spellEnd"/>
      <w:r>
        <w:t>}, {LR3;020;010}, {LR3;030;010}, {LR3;040;010}, {LR3;055;010}, {LR3;065;010}, {LR3;075;010} и {LR3;085;010}. При това следва да се има предвид, че {</w:t>
      </w:r>
      <w:proofErr w:type="spellStart"/>
      <w:r>
        <w:t>LRCalc</w:t>
      </w:r>
      <w:proofErr w:type="spellEnd"/>
      <w:r>
        <w:t>;070;010}, {</w:t>
      </w:r>
      <w:proofErr w:type="spellStart"/>
      <w:r>
        <w:t>LRCalc</w:t>
      </w:r>
      <w:proofErr w:type="spellEnd"/>
      <w:r>
        <w:t>;080;010}, {</w:t>
      </w:r>
      <w:proofErr w:type="spellStart"/>
      <w:r>
        <w:t>LRCalc</w:t>
      </w:r>
      <w:proofErr w:type="spellEnd"/>
      <w:r>
        <w:t>;100;010}, {</w:t>
      </w:r>
      <w:proofErr w:type="spellStart"/>
      <w:r>
        <w:t>LRCalc</w:t>
      </w:r>
      <w:proofErr w:type="spellEnd"/>
      <w:r>
        <w:t>;120;010}, {</w:t>
      </w:r>
      <w:proofErr w:type="spellStart"/>
      <w:r>
        <w:t>LRCalc</w:t>
      </w:r>
      <w:proofErr w:type="spellEnd"/>
      <w:r>
        <w:t>;140;010}, {</w:t>
      </w:r>
      <w:proofErr w:type="spellStart"/>
      <w:r>
        <w:t>LRCalc</w:t>
      </w:r>
      <w:proofErr w:type="spellEnd"/>
      <w:r>
        <w:t>;210;010}, {</w:t>
      </w:r>
      <w:proofErr w:type="spellStart"/>
      <w:r>
        <w:t>LRCalc</w:t>
      </w:r>
      <w:proofErr w:type="spellEnd"/>
      <w:r>
        <w:t>;220;010}, {</w:t>
      </w:r>
      <w:proofErr w:type="spellStart"/>
      <w:r>
        <w:t>LRCalc</w:t>
      </w:r>
      <w:proofErr w:type="spellEnd"/>
      <w:r>
        <w:t>;240;010}, {</w:t>
      </w:r>
      <w:proofErr w:type="spellStart"/>
      <w:r>
        <w:t>LRCalc</w:t>
      </w:r>
      <w:proofErr w:type="spellEnd"/>
      <w:r>
        <w:t>;250;010}, {</w:t>
      </w:r>
      <w:proofErr w:type="spellStart"/>
      <w:r>
        <w:t>LRCalc</w:t>
      </w:r>
      <w:proofErr w:type="spellEnd"/>
      <w:r>
        <w:t>;260;010}, {</w:t>
      </w:r>
      <w:proofErr w:type="spellStart"/>
      <w:r>
        <w:t>LRCalc</w:t>
      </w:r>
      <w:proofErr w:type="spellEnd"/>
      <w:r>
        <w:t>;270;010}, {</w:t>
      </w:r>
      <w:proofErr w:type="spellStart"/>
      <w:r>
        <w:t>LRCalc</w:t>
      </w:r>
      <w:proofErr w:type="spellEnd"/>
      <w:r>
        <w:t>;280;010}, {LR3;055;010}, {LR3;065;010}, {LR3;075;010} и {LR3;085;010} могат да имат единствено отрицателни стойности. Следва също да се има предвид, че освен при изключителни обстоятелства {</w:t>
      </w:r>
      <w:proofErr w:type="spellStart"/>
      <w:r>
        <w:t>LRCalc</w:t>
      </w:r>
      <w:proofErr w:type="spellEnd"/>
      <w:r>
        <w:t>;310;010}, {</w:t>
      </w:r>
      <w:proofErr w:type="spellStart"/>
      <w:r>
        <w:t>LRCalc</w:t>
      </w:r>
      <w:proofErr w:type="spellEnd"/>
      <w:r>
        <w:t>;320;010}, {</w:t>
      </w:r>
      <w:proofErr w:type="spellStart"/>
      <w:r>
        <w:t>LRCalc</w:t>
      </w:r>
      <w:proofErr w:type="spellEnd"/>
      <w:r>
        <w:t>;330;010}, {</w:t>
      </w:r>
      <w:proofErr w:type="spellStart"/>
      <w:r>
        <w:t>LRCalc</w:t>
      </w:r>
      <w:proofErr w:type="spellEnd"/>
      <w:r>
        <w:t>;340;010}, {LR3;010;</w:t>
      </w:r>
      <w:proofErr w:type="spellStart"/>
      <w:r>
        <w:t>010</w:t>
      </w:r>
      <w:proofErr w:type="spellEnd"/>
      <w:r>
        <w:t>}, {LR3;020;010}, {LR3;030;010} и {LR3;040;010} могат да имат единствено положителни стойности.</w:t>
      </w:r>
    </w:p>
    <w:p w:rsidR="001F28C3" w:rsidRPr="00FD2C06" w:rsidRDefault="001F28C3" w:rsidP="00FD2C06">
      <w:pPr>
        <w:pStyle w:val="InstructionsText2"/>
        <w:numPr>
          <w:ilvl w:val="0"/>
          <w:numId w:val="0"/>
        </w:numPr>
        <w:ind w:left="720"/>
        <w:rPr>
          <w:rFonts w:eastAsia="Times New Roman"/>
          <w:bCs/>
          <w:szCs w:val="17"/>
        </w:rPr>
      </w:pPr>
    </w:p>
    <w:p w:rsidR="00217D1F" w:rsidRPr="00FE002E" w:rsidRDefault="00F4754B" w:rsidP="00217D1F">
      <w:pPr>
        <w:pStyle w:val="BodyText1"/>
        <w:outlineLvl w:val="0"/>
        <w:rPr>
          <w:rFonts w:ascii="Times New Roman" w:hAnsi="Times New Roman"/>
          <w:b/>
          <w:sz w:val="24"/>
          <w:szCs w:val="24"/>
        </w:rPr>
      </w:pPr>
      <w:r>
        <w:br w:type="page"/>
      </w:r>
      <w:bookmarkStart w:id="34" w:name="_Toc351048504"/>
      <w:bookmarkStart w:id="35" w:name="_Toc359414281"/>
      <w:bookmarkStart w:id="36" w:name="_Toc423089066"/>
      <w:bookmarkStart w:id="37" w:name="_Toc523907705"/>
      <w:r>
        <w:rPr>
          <w:rFonts w:ascii="Times New Roman" w:hAnsi="Times New Roman"/>
          <w:b/>
          <w:sz w:val="24"/>
        </w:rPr>
        <w:lastRenderedPageBreak/>
        <w:t>ЧАСТ II: УКАЗАНИЯ ЗА ОБРАЗЦИТЕ</w:t>
      </w:r>
      <w:bookmarkEnd w:id="32"/>
      <w:bookmarkEnd w:id="34"/>
      <w:bookmarkEnd w:id="35"/>
      <w:bookmarkEnd w:id="36"/>
      <w:bookmarkEnd w:id="37"/>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38" w:name="_Toc359414282"/>
      <w:bookmarkStart w:id="39" w:name="_Toc423089067"/>
      <w:bookmarkStart w:id="40" w:name="_Toc322631544"/>
      <w:bookmarkStart w:id="41" w:name="_Toc322687870"/>
      <w:bookmarkStart w:id="42" w:name="_Toc523907706"/>
      <w:r>
        <w:rPr>
          <w:rFonts w:ascii="Times New Roman" w:hAnsi="Times New Roman"/>
          <w:b/>
        </w:rPr>
        <w:t>1.</w:t>
      </w:r>
      <w:r>
        <w:tab/>
      </w:r>
      <w:r>
        <w:rPr>
          <w:rFonts w:ascii="Times New Roman" w:hAnsi="Times New Roman"/>
          <w:b/>
        </w:rPr>
        <w:t>Структура и честота</w:t>
      </w:r>
      <w:bookmarkEnd w:id="38"/>
      <w:bookmarkEnd w:id="39"/>
      <w:bookmarkEnd w:id="42"/>
      <w:r>
        <w:rPr>
          <w:rFonts w:ascii="Times New Roman" w:hAnsi="Times New Roman"/>
          <w:b/>
        </w:rPr>
        <w:t xml:space="preserve"> </w:t>
      </w:r>
      <w:bookmarkEnd w:id="40"/>
      <w:bookmarkEnd w:id="41"/>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43" w:name="_Toc322533849"/>
      <w:r>
        <w:rPr>
          <w:rFonts w:ascii="Times New Roman" w:hAnsi="Times New Roman"/>
        </w:rPr>
        <w:t>1.</w:t>
      </w:r>
      <w:r>
        <w:tab/>
      </w:r>
      <w:r>
        <w:rPr>
          <w:rFonts w:ascii="Times New Roman" w:hAnsi="Times New Roman"/>
        </w:rPr>
        <w:t xml:space="preserve">Образецът относно отношението на </w:t>
      </w:r>
      <w:proofErr w:type="spellStart"/>
      <w:r>
        <w:rPr>
          <w:rFonts w:ascii="Times New Roman" w:hAnsi="Times New Roman"/>
        </w:rPr>
        <w:t>ливъридж</w:t>
      </w:r>
      <w:proofErr w:type="spellEnd"/>
      <w:r>
        <w:rPr>
          <w:rFonts w:ascii="Times New Roman" w:hAnsi="Times New Roman"/>
        </w:rPr>
        <w:t xml:space="preserve"> е разделен на две части. Част А включва всички данни, които участват в изчисляването на отношението на </w:t>
      </w:r>
      <w:proofErr w:type="spellStart"/>
      <w:r>
        <w:rPr>
          <w:rFonts w:ascii="Times New Roman" w:hAnsi="Times New Roman"/>
        </w:rPr>
        <w:t>ливъридж</w:t>
      </w:r>
      <w:proofErr w:type="spellEnd"/>
      <w:r>
        <w:rPr>
          <w:rFonts w:ascii="Times New Roman" w:hAnsi="Times New Roman"/>
        </w:rPr>
        <w:t xml:space="preserve"> и които институциите предоставят на компетентните органи по силата на член 430, параграф 1, първа алинея от РКИ, а част Б включва всички данни, които институциите предоставят по силата на член 430, параграф 1, втора алинея от РКИ (т.е. за целите на доклада по член 511 от РКИ).</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Pr>
          <w:rFonts w:ascii="Times New Roman" w:hAnsi="Times New Roman"/>
        </w:rPr>
        <w:t>2.</w:t>
      </w:r>
      <w:r>
        <w:tab/>
      </w:r>
      <w:r>
        <w:rPr>
          <w:rFonts w:ascii="Times New Roman" w:hAnsi="Times New Roman"/>
        </w:rPr>
        <w:t>В съответствие с член 429, параграф 13 от РКИ, когато обединяват данните за настоящия технически стандарт за изпълнение, институциите вземат предвид третирането на активите, предмет на доверително управление.</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4" w:name="_Toc359414283"/>
      <w:bookmarkStart w:id="45" w:name="_Toc423089068"/>
      <w:bookmarkStart w:id="46" w:name="_Toc523907707"/>
      <w:r>
        <w:rPr>
          <w:rFonts w:ascii="Times New Roman" w:hAnsi="Times New Roman"/>
          <w:b/>
        </w:rPr>
        <w:t>2.</w:t>
      </w:r>
      <w:r>
        <w:tab/>
      </w:r>
      <w:r>
        <w:rPr>
          <w:rFonts w:ascii="Times New Roman" w:hAnsi="Times New Roman"/>
          <w:b/>
        </w:rPr>
        <w:t xml:space="preserve">Формули за изчисляване на отношението на </w:t>
      </w:r>
      <w:proofErr w:type="spellStart"/>
      <w:r>
        <w:rPr>
          <w:rFonts w:ascii="Times New Roman" w:hAnsi="Times New Roman"/>
          <w:b/>
        </w:rPr>
        <w:t>ливъридж</w:t>
      </w:r>
      <w:bookmarkEnd w:id="44"/>
      <w:bookmarkEnd w:id="45"/>
      <w:bookmarkEnd w:id="46"/>
      <w:proofErr w:type="spellEnd"/>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Pr>
          <w:rFonts w:ascii="Times New Roman" w:hAnsi="Times New Roman"/>
        </w:rPr>
        <w:t>3.</w:t>
      </w:r>
      <w:r>
        <w:tab/>
      </w:r>
      <w:r>
        <w:rPr>
          <w:rFonts w:ascii="Times New Roman" w:hAnsi="Times New Roman"/>
        </w:rPr>
        <w:t xml:space="preserve">Отношението на </w:t>
      </w:r>
      <w:proofErr w:type="spellStart"/>
      <w:r>
        <w:rPr>
          <w:rFonts w:ascii="Times New Roman" w:hAnsi="Times New Roman"/>
        </w:rPr>
        <w:t>ливъридж</w:t>
      </w:r>
      <w:proofErr w:type="spellEnd"/>
      <w:r>
        <w:rPr>
          <w:rFonts w:ascii="Times New Roman" w:hAnsi="Times New Roman"/>
        </w:rPr>
        <w:t xml:space="preserve"> се основава на мярката за капитала и мярката за общата експозиция, които могат да бъдат изчислени с полетата от част А.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4.</w:t>
      </w:r>
      <w:r>
        <w:tab/>
      </w:r>
      <w:r>
        <w:rPr>
          <w:rFonts w:ascii="Times New Roman" w:hAnsi="Times New Roman"/>
        </w:rPr>
        <w:t xml:space="preserve">Отношението на </w:t>
      </w:r>
      <w:proofErr w:type="spellStart"/>
      <w:r>
        <w:rPr>
          <w:rFonts w:ascii="Times New Roman" w:hAnsi="Times New Roman"/>
        </w:rPr>
        <w:t>ливъридж</w:t>
      </w:r>
      <w:proofErr w:type="spellEnd"/>
      <w:r>
        <w:rPr>
          <w:rFonts w:ascii="Times New Roman" w:hAnsi="Times New Roman"/>
        </w:rPr>
        <w:t xml:space="preserve"> — „окончателно“ определение = {</w:t>
      </w:r>
      <w:proofErr w:type="spellStart"/>
      <w:r>
        <w:rPr>
          <w:rFonts w:ascii="Times New Roman" w:hAnsi="Times New Roman"/>
        </w:rPr>
        <w:t>LRCalc</w:t>
      </w:r>
      <w:proofErr w:type="spellEnd"/>
      <w:r>
        <w:rPr>
          <w:rFonts w:ascii="Times New Roman" w:hAnsi="Times New Roman"/>
        </w:rPr>
        <w:t>;310;010} / {</w:t>
      </w:r>
      <w:proofErr w:type="spellStart"/>
      <w:r>
        <w:rPr>
          <w:rFonts w:ascii="Times New Roman" w:hAnsi="Times New Roman"/>
        </w:rPr>
        <w:t>LRCalc</w:t>
      </w:r>
      <w:proofErr w:type="spellEnd"/>
      <w:r>
        <w:rPr>
          <w:rFonts w:ascii="Times New Roman" w:hAnsi="Times New Roman"/>
        </w:rPr>
        <w:t>;290;010}.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5.</w:t>
      </w:r>
      <w:r>
        <w:tab/>
      </w:r>
      <w:r>
        <w:rPr>
          <w:rFonts w:ascii="Times New Roman" w:hAnsi="Times New Roman"/>
        </w:rPr>
        <w:t xml:space="preserve">Отношението на </w:t>
      </w:r>
      <w:proofErr w:type="spellStart"/>
      <w:r>
        <w:rPr>
          <w:rFonts w:ascii="Times New Roman" w:hAnsi="Times New Roman"/>
        </w:rPr>
        <w:t>ливъридж</w:t>
      </w:r>
      <w:proofErr w:type="spellEnd"/>
      <w:r>
        <w:rPr>
          <w:rFonts w:ascii="Times New Roman" w:hAnsi="Times New Roman"/>
        </w:rPr>
        <w:t xml:space="preserve"> — „преходно“ определение = {</w:t>
      </w:r>
      <w:proofErr w:type="spellStart"/>
      <w:r>
        <w:rPr>
          <w:rFonts w:ascii="Times New Roman" w:hAnsi="Times New Roman"/>
        </w:rPr>
        <w:t>LRCalc</w:t>
      </w:r>
      <w:proofErr w:type="spellEnd"/>
      <w:r>
        <w:rPr>
          <w:rFonts w:ascii="Times New Roman" w:hAnsi="Times New Roman"/>
        </w:rPr>
        <w:t>;320;010} / {</w:t>
      </w:r>
      <w:proofErr w:type="spellStart"/>
      <w:r>
        <w:rPr>
          <w:rFonts w:ascii="Times New Roman" w:hAnsi="Times New Roman"/>
        </w:rPr>
        <w:t>LRCalc</w:t>
      </w:r>
      <w:proofErr w:type="spellEnd"/>
      <w:r>
        <w:rPr>
          <w:rFonts w:ascii="Times New Roman" w:hAnsi="Times New Roman"/>
        </w:rPr>
        <w:t>;300;010}.</w:t>
      </w:r>
    </w:p>
    <w:p w:rsidR="00FC2664" w:rsidRPr="00FE002E" w:rsidRDefault="00FC2664" w:rsidP="007E2A41">
      <w:pPr>
        <w:pStyle w:val="BodyText1"/>
        <w:spacing w:line="240" w:lineRule="auto"/>
        <w:rPr>
          <w:rFonts w:ascii="Times New Roman" w:hAnsi="Times New Roman"/>
        </w:rPr>
      </w:pPr>
      <w:bookmarkStart w:id="47" w:name="_Toc322533852"/>
      <w:bookmarkEnd w:id="43"/>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48" w:name="_Toc359414284"/>
      <w:bookmarkStart w:id="49" w:name="_Toc423089069"/>
      <w:bookmarkStart w:id="50" w:name="_Toc523907708"/>
      <w:r>
        <w:rPr>
          <w:rFonts w:ascii="Times New Roman" w:hAnsi="Times New Roman"/>
          <w:b/>
        </w:rPr>
        <w:t>3.</w:t>
      </w:r>
      <w:r>
        <w:tab/>
      </w:r>
      <w:r>
        <w:rPr>
          <w:rFonts w:ascii="Times New Roman" w:hAnsi="Times New Roman"/>
          <w:b/>
        </w:rPr>
        <w:t>Прагове на същественост за дериватите</w:t>
      </w:r>
      <w:bookmarkEnd w:id="48"/>
      <w:bookmarkEnd w:id="49"/>
      <w:bookmarkEnd w:id="50"/>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6.</w:t>
      </w:r>
      <w:r>
        <w:tab/>
      </w:r>
      <w:r>
        <w:rPr>
          <w:rFonts w:ascii="Times New Roman" w:hAnsi="Times New Roman"/>
        </w:rPr>
        <w:t xml:space="preserve">С цел намаляване на свързаната с докладването тежест за институциите с ограничени експозиции в деривати, за измерване на относителната значимост на експозициите в деривати спрямо общата експозиция с оглед на отношението на </w:t>
      </w:r>
      <w:proofErr w:type="spellStart"/>
      <w:r>
        <w:rPr>
          <w:rFonts w:ascii="Times New Roman" w:hAnsi="Times New Roman"/>
        </w:rPr>
        <w:t>ливъридж</w:t>
      </w:r>
      <w:proofErr w:type="spellEnd"/>
      <w:r>
        <w:rPr>
          <w:rFonts w:ascii="Times New Roman" w:hAnsi="Times New Roman"/>
        </w:rPr>
        <w:t xml:space="preserve"> се използват следните мерки. Институциите изчисляват тези мерки по следния начин</w:t>
      </w:r>
      <w:bookmarkStart w:id="51" w:name="_Toc322533853"/>
      <w:bookmarkEnd w:id="47"/>
      <w:r>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52" w:name="_Toc322533854"/>
      <w:bookmarkEnd w:id="51"/>
      <w:r>
        <w:rPr>
          <w:rFonts w:ascii="Times New Roman" w:hAnsi="Times New Roman"/>
        </w:rPr>
        <w:t>7.</w:t>
      </w:r>
      <w:r>
        <w:tab/>
      </w:r>
      <w:r>
        <w:rPr>
          <w:rFonts w:ascii="Times New Roman" w:hAnsi="Times New Roman"/>
        </w:rPr>
        <w:t xml:space="preserve">Дял на дериватите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Pr>
          <w:rFonts w:ascii="Times New Roman" w:hAnsi="Times New Roman"/>
        </w:rPr>
        <w:t>8.</w:t>
      </w:r>
      <w:r>
        <w:tab/>
      </w:r>
      <w:r>
        <w:rPr>
          <w:rFonts w:ascii="Times New Roman" w:hAnsi="Times New Roman"/>
        </w:rPr>
        <w:t>Където мярката за общата експозиция е равна на: {</w:t>
      </w:r>
      <w:proofErr w:type="spellStart"/>
      <w:r>
        <w:rPr>
          <w:rFonts w:ascii="Times New Roman" w:hAnsi="Times New Roman"/>
        </w:rPr>
        <w:t>LRCalc</w:t>
      </w:r>
      <w:proofErr w:type="spellEnd"/>
      <w:r>
        <w:rPr>
          <w:rFonts w:ascii="Times New Roman" w:hAnsi="Times New Roman"/>
        </w:rPr>
        <w:t>;290;010}.</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9.</w:t>
      </w:r>
      <w:r>
        <w:tab/>
      </w:r>
      <w:r>
        <w:rPr>
          <w:rFonts w:ascii="Times New Roman" w:hAnsi="Times New Roman"/>
        </w:rPr>
        <w:t>Обща условна стойност по деривати = {LR1; 010;070}. Институциите винаги докладват това поле.</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10.</w:t>
      </w:r>
      <w:r>
        <w:tab/>
      </w:r>
      <w:r>
        <w:rPr>
          <w:rFonts w:ascii="Times New Roman" w:hAnsi="Times New Roman"/>
        </w:rPr>
        <w:t>Обем на кредитните деривати = {LR1;020;070} + {LR1;050;070}. Институциите винаги докладват това поле.</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11.</w:t>
      </w:r>
      <w:r>
        <w:tab/>
      </w:r>
      <w:r>
        <w:rPr>
          <w:rFonts w:ascii="Times New Roman" w:hAnsi="Times New Roman"/>
        </w:rPr>
        <w:t>Институциите докладват полетата, посочени в параграф 14, през следващия период на докладване, ако е изпълнено едно от следните условия:</w:t>
      </w:r>
    </w:p>
    <w:p w:rsidR="00607A1B" w:rsidRPr="00FE002E" w:rsidRDefault="00607A1B" w:rsidP="00607A1B">
      <w:pPr>
        <w:pStyle w:val="BodyText1"/>
        <w:spacing w:line="240" w:lineRule="auto"/>
        <w:ind w:left="720"/>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ab/>
        <w:t>делът на дериватите, посочен в параграф 7, е по-голям от 1,5 % към две последователни референтни дати на докладване;</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делът на дериватите, посочен в параграф 7, надвишава 2,0 %.</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lastRenderedPageBreak/>
        <w:t>12.</w:t>
      </w:r>
      <w:r>
        <w:tab/>
      </w:r>
      <w:r>
        <w:rPr>
          <w:rFonts w:ascii="Times New Roman" w:hAnsi="Times New Roman"/>
        </w:rPr>
        <w:t>Институциите, за които общата условна стойност по деривати, определена в параграф 9, надвишава 10 милиарда евро, докладват полетата, посочени в параграф 14, дори когато делът на дериватите не отговаря на условията по параграф 11.</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13.</w:t>
      </w:r>
      <w:r>
        <w:tab/>
      </w:r>
      <w:r>
        <w:rPr>
          <w:rFonts w:ascii="Times New Roman" w:hAnsi="Times New Roman"/>
        </w:rPr>
        <w:t>Институциите докладват полетата, посочени в параграф 15, ако е изпълнено едно от следните условия:</w:t>
      </w:r>
    </w:p>
    <w:p w:rsidR="00607A1B" w:rsidRPr="00FE002E" w:rsidRDefault="00607A1B" w:rsidP="00607A1B">
      <w:pPr>
        <w:pStyle w:val="BodyText1"/>
        <w:spacing w:line="240" w:lineRule="auto"/>
        <w:rPr>
          <w:rFonts w:ascii="Times New Roman" w:hAnsi="Times New Roman"/>
        </w:rPr>
      </w:pPr>
    </w:p>
    <w:p w:rsidR="00F4754B" w:rsidRPr="00FE002E" w:rsidRDefault="00500508" w:rsidP="00500508">
      <w:pPr>
        <w:pStyle w:val="InstructionsText2"/>
        <w:numPr>
          <w:ilvl w:val="0"/>
          <w:numId w:val="0"/>
        </w:numPr>
        <w:ind w:left="1080" w:hanging="360"/>
        <w:rPr>
          <w:rFonts w:ascii="Symbol" w:eastAsia="Times New Roman" w:hAnsi="Symbol"/>
          <w:bCs/>
          <w:szCs w:val="17"/>
        </w:rPr>
      </w:pPr>
      <w:r>
        <w:tab/>
        <w:t>обемът на кредитните деривати, посочени в параграф 10, е по-голям от 300 милиона евро към две последователни референтни дати на докладване;</w:t>
      </w:r>
    </w:p>
    <w:p w:rsidR="00675587" w:rsidRPr="00FE002E" w:rsidRDefault="00500508" w:rsidP="00500508">
      <w:pPr>
        <w:pStyle w:val="InstructionsText2"/>
        <w:numPr>
          <w:ilvl w:val="0"/>
          <w:numId w:val="0"/>
        </w:numPr>
        <w:ind w:left="1080" w:hanging="360"/>
        <w:rPr>
          <w:rFonts w:ascii="Symbol" w:eastAsia="Times New Roman" w:hAnsi="Symbol"/>
          <w:bCs/>
          <w:szCs w:val="17"/>
        </w:rPr>
      </w:pPr>
      <w:r>
        <w:tab/>
        <w:t>обемът на кредитните деривати, посочени в параграф 10, надвишава 500 милиона евро.</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14.</w:t>
      </w:r>
      <w:r>
        <w:tab/>
      </w:r>
      <w:r>
        <w:rPr>
          <w:rFonts w:ascii="Times New Roman" w:hAnsi="Times New Roman"/>
        </w:rPr>
        <w:t>Полетата, които институциите трябва да докладват в съответствие с параграф 11, са следните: {LR1;010;</w:t>
      </w:r>
      <w:proofErr w:type="spellStart"/>
      <w:r>
        <w:rPr>
          <w:rFonts w:ascii="Times New Roman" w:hAnsi="Times New Roman"/>
        </w:rPr>
        <w:t>010</w:t>
      </w:r>
      <w:proofErr w:type="spellEnd"/>
      <w:r>
        <w:rPr>
          <w:rFonts w:ascii="Times New Roman" w:hAnsi="Times New Roman"/>
        </w:rPr>
        <w:t>}, {LR1;010;020}, {LR1;010;050}, {LR1;020;010}, {LR1;020;</w:t>
      </w:r>
      <w:proofErr w:type="spellStart"/>
      <w:r>
        <w:rPr>
          <w:rFonts w:ascii="Times New Roman" w:hAnsi="Times New Roman"/>
        </w:rPr>
        <w:t>020</w:t>
      </w:r>
      <w:proofErr w:type="spellEnd"/>
      <w:r>
        <w:rPr>
          <w:rFonts w:ascii="Times New Roman" w:hAnsi="Times New Roman"/>
        </w:rPr>
        <w:t>}, {LR1;020;050}, {LR1;030;050}, {LR1;030;070}, {LR1;040;050}, {LR1;040;070}, {LR1;050;010}, {LR1;050;020}, {LR1;050;</w:t>
      </w:r>
      <w:proofErr w:type="spellStart"/>
      <w:r>
        <w:rPr>
          <w:rFonts w:ascii="Times New Roman" w:hAnsi="Times New Roman"/>
        </w:rPr>
        <w:t>050</w:t>
      </w:r>
      <w:proofErr w:type="spellEnd"/>
      <w:r>
        <w:rPr>
          <w:rFonts w:ascii="Times New Roman" w:hAnsi="Times New Roman"/>
        </w:rPr>
        <w:t>}, {LR1;060;010}, {LR1;060;020}, {LR1;060;050} и {LR1;060;070}.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15.</w:t>
      </w:r>
      <w:r>
        <w:tab/>
      </w:r>
      <w:r>
        <w:rPr>
          <w:rFonts w:ascii="Times New Roman" w:hAnsi="Times New Roman"/>
        </w:rPr>
        <w:t>Полетата, които институциите трябва да докладват в съответствие с параграф 13, са следните: {LR1;020;075}, {LR1;050;075} и {LR1;050;085}.</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53" w:name="_Toc351048506"/>
      <w:bookmarkStart w:id="54" w:name="_Toc322687879"/>
      <w:bookmarkStart w:id="55" w:name="_Toc315961853"/>
      <w:bookmarkEnd w:id="52"/>
    </w:p>
    <w:p w:rsidR="00217D1F" w:rsidRPr="00FE002E" w:rsidRDefault="00500508" w:rsidP="00500508">
      <w:pPr>
        <w:pStyle w:val="BodyText1"/>
        <w:ind w:left="357" w:hanging="357"/>
        <w:outlineLvl w:val="1"/>
        <w:rPr>
          <w:rFonts w:ascii="Times New Roman" w:hAnsi="Times New Roman"/>
          <w:b/>
        </w:rPr>
      </w:pPr>
      <w:bookmarkStart w:id="56" w:name="_Toc359414285"/>
      <w:bookmarkStart w:id="57" w:name="_Toc423089070"/>
      <w:bookmarkStart w:id="58" w:name="_Toc523907709"/>
      <w:r>
        <w:rPr>
          <w:rFonts w:ascii="Times New Roman" w:hAnsi="Times New Roman"/>
          <w:b/>
        </w:rPr>
        <w:t>4.</w:t>
      </w:r>
      <w:r>
        <w:tab/>
      </w:r>
      <w:r>
        <w:rPr>
          <w:rFonts w:ascii="Times New Roman" w:hAnsi="Times New Roman"/>
          <w:b/>
        </w:rPr>
        <w:t xml:space="preserve">C47.00 — Изчисляване на отношението на </w:t>
      </w:r>
      <w:proofErr w:type="spellStart"/>
      <w:r>
        <w:rPr>
          <w:rFonts w:ascii="Times New Roman" w:hAnsi="Times New Roman"/>
          <w:b/>
        </w:rPr>
        <w:t>ливъридж</w:t>
      </w:r>
      <w:bookmarkEnd w:id="53"/>
      <w:bookmarkEnd w:id="56"/>
      <w:proofErr w:type="spellEnd"/>
      <w:r>
        <w:rPr>
          <w:rFonts w:ascii="Times New Roman" w:hAnsi="Times New Roman"/>
          <w:b/>
        </w:rPr>
        <w:t xml:space="preserve"> (</w:t>
      </w:r>
      <w:proofErr w:type="spellStart"/>
      <w:r>
        <w:rPr>
          <w:rFonts w:ascii="Times New Roman" w:hAnsi="Times New Roman"/>
          <w:b/>
        </w:rPr>
        <w:t>LRCalc</w:t>
      </w:r>
      <w:proofErr w:type="spellEnd"/>
      <w:r>
        <w:rPr>
          <w:rFonts w:ascii="Times New Roman" w:hAnsi="Times New Roman"/>
          <w:b/>
        </w:rPr>
        <w:t>)</w:t>
      </w:r>
      <w:bookmarkEnd w:id="57"/>
      <w:bookmarkEnd w:id="58"/>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Pr>
          <w:rFonts w:ascii="Times New Roman" w:hAnsi="Times New Roman"/>
        </w:rPr>
        <w:t>16.</w:t>
      </w:r>
      <w:r>
        <w:tab/>
      </w:r>
      <w:r>
        <w:rPr>
          <w:rFonts w:ascii="Times New Roman" w:hAnsi="Times New Roman"/>
        </w:rPr>
        <w:t xml:space="preserve">В тази част от образеца се събират данните, необходими за изчисляването на отношението на </w:t>
      </w:r>
      <w:proofErr w:type="spellStart"/>
      <w:r>
        <w:rPr>
          <w:rFonts w:ascii="Times New Roman" w:hAnsi="Times New Roman"/>
        </w:rPr>
        <w:t>ливъридж</w:t>
      </w:r>
      <w:proofErr w:type="spellEnd"/>
      <w:r>
        <w:rPr>
          <w:rFonts w:ascii="Times New Roman" w:hAnsi="Times New Roman"/>
        </w:rPr>
        <w:t xml:space="preserve">, както е определено в членове 429, 429а и 429б от РКИ. </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Pr>
          <w:rFonts w:ascii="Times New Roman" w:hAnsi="Times New Roman"/>
        </w:rPr>
        <w:t>17.</w:t>
      </w:r>
      <w:r>
        <w:tab/>
      </w:r>
      <w:r>
        <w:rPr>
          <w:rFonts w:ascii="Times New Roman" w:hAnsi="Times New Roman"/>
        </w:rPr>
        <w:t xml:space="preserve">Институциите докладват на тримесечие отношението на </w:t>
      </w:r>
      <w:proofErr w:type="spellStart"/>
      <w:r>
        <w:rPr>
          <w:rFonts w:ascii="Times New Roman" w:hAnsi="Times New Roman"/>
        </w:rPr>
        <w:t>ливъридж</w:t>
      </w:r>
      <w:proofErr w:type="spellEnd"/>
      <w:r>
        <w:rPr>
          <w:rFonts w:ascii="Times New Roman" w:hAnsi="Times New Roman"/>
        </w:rPr>
        <w:t>. На всяко тримесечие стойността „към референтната дата на  докладване“ представлява стойността към последния календарен ден на третия месец от съответното тримесечие.</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Pr>
          <w:rFonts w:ascii="Times New Roman" w:hAnsi="Times New Roman"/>
        </w:rPr>
        <w:t>18.</w:t>
      </w:r>
      <w:r>
        <w:tab/>
      </w:r>
      <w:r>
        <w:rPr>
          <w:rFonts w:ascii="Times New Roman" w:hAnsi="Times New Roman"/>
        </w:rPr>
        <w:t>Институциите докладват {010;</w:t>
      </w:r>
      <w:proofErr w:type="spellStart"/>
      <w:r>
        <w:rPr>
          <w:rFonts w:ascii="Times New Roman" w:hAnsi="Times New Roman"/>
        </w:rPr>
        <w:t>010</w:t>
      </w:r>
      <w:proofErr w:type="spellEnd"/>
      <w:r>
        <w:rPr>
          <w:rFonts w:ascii="Times New Roman" w:hAnsi="Times New Roman"/>
        </w:rPr>
        <w:t>} — {030;010}, {060;010}, {090;010}, {110;010} и {150;010} — {190;010}, все едно че изключенията, посочени в {050;010}, {080;010}, {100;010}, {120;010} и {220;010}, не се прилагат.</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Pr>
          <w:rFonts w:ascii="Times New Roman" w:hAnsi="Times New Roman"/>
        </w:rPr>
        <w:t>19.</w:t>
      </w:r>
      <w:r>
        <w:tab/>
      </w:r>
      <w:r>
        <w:rPr>
          <w:rFonts w:ascii="Times New Roman" w:hAnsi="Times New Roman"/>
        </w:rPr>
        <w:t>Институциите докладват {010;</w:t>
      </w:r>
      <w:proofErr w:type="spellStart"/>
      <w:r>
        <w:rPr>
          <w:rFonts w:ascii="Times New Roman" w:hAnsi="Times New Roman"/>
        </w:rPr>
        <w:t>010</w:t>
      </w:r>
      <w:proofErr w:type="spellEnd"/>
      <w:r>
        <w:rPr>
          <w:rFonts w:ascii="Times New Roman" w:hAnsi="Times New Roman"/>
        </w:rPr>
        <w:t>} — {240;010}, все едно че изключенията, посочени в {250;010} и {260;010}, не се прилагат.</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t>20.</w:t>
      </w:r>
      <w:r>
        <w:tab/>
        <w:t xml:space="preserve">Всяка стойност, с която се увеличават собствените средства или експозицията с оглед на отношението на </w:t>
      </w:r>
      <w:proofErr w:type="spellStart"/>
      <w:r>
        <w:t>ливъридж</w:t>
      </w:r>
      <w:proofErr w:type="spellEnd"/>
      <w:r>
        <w:t xml:space="preserve">, се докладва като положително число. И обратно, всяка стойност, с която се намаляват общият размер на собствените средства или експозицията с оглед на отношението на </w:t>
      </w:r>
      <w:proofErr w:type="spellStart"/>
      <w:r>
        <w:t>ливъридж</w:t>
      </w:r>
      <w:proofErr w:type="spellEnd"/>
      <w:r>
        <w:t>, се докладва като отрицателно число. При наличие на отрицателен знак (–) пред обозначението на дадена позиция не се очаква докладване на положително число по нея.</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Pr>
                <w:rFonts w:ascii="Times New Roman" w:hAnsi="Times New Roman"/>
              </w:rPr>
              <w:t>Препратки към правни норми и указания</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Pr>
                <w:rFonts w:ascii="Times New Roman" w:hAnsi="Times New Roman"/>
                <w:b/>
              </w:rPr>
              <w:t>Ред и колона</w:t>
            </w:r>
          </w:p>
        </w:tc>
        <w:tc>
          <w:tcPr>
            <w:tcW w:w="7590" w:type="dxa"/>
            <w:shd w:val="clear" w:color="auto" w:fill="D9D9D9"/>
          </w:tcPr>
          <w:p w:rsidR="00AE2798" w:rsidRPr="00FE002E" w:rsidRDefault="00AE2798" w:rsidP="00FE0FF1">
            <w:pPr>
              <w:pStyle w:val="BodyText1"/>
              <w:rPr>
                <w:rFonts w:ascii="Times New Roman" w:hAnsi="Times New Roman"/>
                <w:b/>
                <w:bCs/>
              </w:rPr>
            </w:pPr>
            <w:r>
              <w:rPr>
                <w:rFonts w:ascii="Times New Roman" w:hAnsi="Times New Roman"/>
                <w:b/>
              </w:rPr>
              <w:t>Стойности на експозицията</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{010;</w:t>
            </w:r>
            <w:proofErr w:type="spellStart"/>
            <w:r>
              <w:rPr>
                <w:rFonts w:ascii="Times New Roman" w:hAnsi="Times New Roman"/>
              </w:rPr>
              <w:t>010</w:t>
            </w:r>
            <w:proofErr w:type="spellEnd"/>
            <w:r>
              <w:rPr>
                <w:rFonts w:ascii="Times New Roman" w:hAnsi="Times New Roman"/>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Pr>
                <w:rFonts w:ascii="Times New Roman" w:hAnsi="Times New Roman"/>
                <w:b/>
              </w:rPr>
              <w:t>СФЦК: Експозиция в съответствие с член 429, параграф 5 и член 429, параграф 8 от РКИ</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Член 429, параграф 5, буква г) и член 429, параграф 8 от РКИ</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Експозицията за СФЦК, изчислена в съответствие с член 429, параграф 5, буква г) и </w:t>
            </w:r>
            <w:r>
              <w:rPr>
                <w:rFonts w:ascii="Times New Roman" w:hAnsi="Times New Roman"/>
              </w:rPr>
              <w:lastRenderedPageBreak/>
              <w:t xml:space="preserve">параграф 8 от РКИ.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В това поле институциите включват сделките в съответствие с член 429б, параграф 6, буква в).</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Институциите не включват в това поле получените парични суми или </w:t>
            </w:r>
            <w:proofErr w:type="spellStart"/>
            <w:r>
              <w:rPr>
                <w:rFonts w:ascii="Times New Roman" w:hAnsi="Times New Roman"/>
              </w:rPr>
              <w:t>обезпеченията</w:t>
            </w:r>
            <w:proofErr w:type="spellEnd"/>
            <w:r>
              <w:rPr>
                <w:rFonts w:ascii="Times New Roman" w:hAnsi="Times New Roman"/>
              </w:rPr>
              <w:t>, предоставени на контрагент посредством горепосочените сделки и запазени в баланса (т.е. не са изпълнени счетоводните критерии за отписване). Вместо това институциите включват тези позиции в {190,010}.</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По силата на член 429б, параграф 6, буква а) от РКИ институциите не включват в това поле СФЦК, по които действат като посредник и предоставят на клиент или контрагент обезщетение или гаранция в размер до евентуалната разлика между стойността на ценните книжа или паричните средства, които клиентът е дал в заем, и стойността на обезпечението, предоставено от кредитополучателя.</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{020;010}</w:t>
            </w:r>
          </w:p>
        </w:tc>
        <w:tc>
          <w:tcPr>
            <w:tcW w:w="7590" w:type="dxa"/>
          </w:tcPr>
          <w:p w:rsidR="00AE2798" w:rsidRDefault="00AE2798" w:rsidP="00FE0FF1">
            <w:pPr>
              <w:pStyle w:val="BodyText1"/>
              <w:spacing w:line="240" w:lineRule="auto"/>
              <w:rPr>
                <w:rFonts w:ascii="Times New Roman" w:hAnsi="Times New Roman"/>
                <w:b/>
                <w:bCs/>
              </w:rPr>
            </w:pPr>
            <w:r>
              <w:rPr>
                <w:rFonts w:ascii="Times New Roman" w:hAnsi="Times New Roman"/>
                <w:b/>
              </w:rPr>
              <w:t>СФЦК: Добавка за кредитен риск от контрагента</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Член 429б, параграф 1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Добавката за кредитен риск от контрагента при СФЦК (в т.ч. и </w:t>
            </w:r>
            <w:proofErr w:type="spellStart"/>
            <w:r>
              <w:rPr>
                <w:rFonts w:ascii="Times New Roman" w:hAnsi="Times New Roman"/>
              </w:rPr>
              <w:t>задбалансовите</w:t>
            </w:r>
            <w:proofErr w:type="spellEnd"/>
            <w:r>
              <w:rPr>
                <w:rFonts w:ascii="Times New Roman" w:hAnsi="Times New Roman"/>
              </w:rPr>
              <w:t>), определена в съответствие с член 429б, параграф 2 или 3 от РКИ — както е приложимо.</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В това поле институциите включват сделките в съответствие с член 429б, параграф 6, буква в)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По силата на член 429б, параграф 6, буква а) от РКИ институциите не включват в това поле СФЦК, по които действат като посредник и предоставят на клиент или контрагент обезщетение или гаранция в размер до евентуалната разлика между стойността на ценните книжа или паричните средства, които клиентът е дал в заем, и стойността на обезпечението, предоставено от кредитополучателя. Вместо това институциите включват тези сделки в {040;010}.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{030;010}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proofErr w:type="spellStart"/>
            <w:r>
              <w:rPr>
                <w:rFonts w:ascii="Times New Roman" w:hAnsi="Times New Roman"/>
                <w:b/>
              </w:rPr>
              <w:t>Дерогация</w:t>
            </w:r>
            <w:proofErr w:type="spellEnd"/>
            <w:r>
              <w:rPr>
                <w:rFonts w:ascii="Times New Roman" w:hAnsi="Times New Roman"/>
                <w:b/>
              </w:rPr>
              <w:t xml:space="preserve"> за СФЦК: Добавка в съответствие с член 429б, параграф 4 и член 222 от РКИ</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Член 429б, параграф 4 и член 222 от РКИ</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Стойността на експозицията към СФЦК (в т.ч. и </w:t>
            </w:r>
            <w:proofErr w:type="spellStart"/>
            <w:r>
              <w:rPr>
                <w:rFonts w:ascii="Times New Roman" w:hAnsi="Times New Roman"/>
              </w:rPr>
              <w:t>задбалансовите</w:t>
            </w:r>
            <w:proofErr w:type="spellEnd"/>
            <w:r>
              <w:rPr>
                <w:rFonts w:ascii="Times New Roman" w:hAnsi="Times New Roman"/>
              </w:rPr>
              <w:t xml:space="preserve">), изчислена в съответствие с член 222 от РКИ, при спазване на долна граница от 20 % за приложимото рисково тегло.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В това поле институциите включват сделките в съответствие с член 429б, параграф 6, буква в) от РКИ.</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В това поле институциите не включват сделките, за които добавката към 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се определя по метода в член 429б, параграф 1 от РКИ.</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{040;010}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Кредитен риск от контрагента за СФЦК, при които институциите действат като посредник — в съответствие с член 429б, параграф 6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Член 429б, параграф 6, буква а) и член 429б, параграфи 2 и 3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Стойността на експозицията към СФЦК, по които институциите действат като посредник и предоставят на клиент или контрагент обезщетение или гаранция в размер до евентуалната разлика между стойността на ценните книжа или паричните средства, които клиентът е дал в заем, и стойността на обезпечението, предоставено </w:t>
            </w:r>
            <w:r>
              <w:rPr>
                <w:rFonts w:ascii="Times New Roman" w:hAnsi="Times New Roman"/>
              </w:rPr>
              <w:lastRenderedPageBreak/>
              <w:t>от кредитополучателя — в съответствие с член 429б, параграф 6, буква а) от РКИ, която стойност се състои единствено от добавката, определена в съответствие с член 429б, параграф 2 или 3 от РКИ — както е приложимо.</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В това поле институциите не включват сделките в съответствие с член 429б, параграф 6, буква в). Вместо това институциите включват тези сделки съответно в {010;</w:t>
            </w:r>
            <w:proofErr w:type="spellStart"/>
            <w:r>
              <w:rPr>
                <w:rFonts w:ascii="Times New Roman" w:hAnsi="Times New Roman"/>
              </w:rPr>
              <w:t>010</w:t>
            </w:r>
            <w:proofErr w:type="spellEnd"/>
            <w:r>
              <w:rPr>
                <w:rFonts w:ascii="Times New Roman" w:hAnsi="Times New Roman"/>
              </w:rPr>
              <w:t>} и {020;010} или {010;</w:t>
            </w:r>
            <w:proofErr w:type="spellStart"/>
            <w:r>
              <w:rPr>
                <w:rFonts w:ascii="Times New Roman" w:hAnsi="Times New Roman"/>
              </w:rPr>
              <w:t>010</w:t>
            </w:r>
            <w:proofErr w:type="spellEnd"/>
            <w:r>
              <w:rPr>
                <w:rFonts w:ascii="Times New Roman" w:hAnsi="Times New Roman"/>
              </w:rPr>
              <w:t>} и {030;010}.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{050;010}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Изключена част от експозициите към ЦК по СФЦК, обект на клиринг от клиенти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Член 429, параграф 11 и член 306, параграф 1, буква в)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Изключената част от експозициите към ЦК, произтичащи от СФЦК, обект на клиринг от клиенти, стига тези позиции да удовлетворяват условията по член 306, параграф 1, буква в) от РКИ.</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rPr>
              <w:t>Когато изключената част от експозицията към ЦК е ценна книга, тя не се докладва в това поле, освен когато е заложена повторно и съгласно приложимата счетоводна уредба (т.е. в съответствие с член 111, параграф 1, първо изречение от РКИ) е включена с пълната си стойност.</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rPr>
              <w:t>Институциите посочват докладваната в това поле стойност, все едно че не е имало изключване, и в {010;</w:t>
            </w:r>
            <w:proofErr w:type="spellStart"/>
            <w:r>
              <w:rPr>
                <w:rFonts w:ascii="Times New Roman" w:hAnsi="Times New Roman"/>
              </w:rPr>
              <w:t>010</w:t>
            </w:r>
            <w:proofErr w:type="spellEnd"/>
            <w:r>
              <w:rPr>
                <w:rFonts w:ascii="Times New Roman" w:hAnsi="Times New Roman"/>
              </w:rPr>
              <w:t>}, {020;010} и {030;010}, а ако условието от втората половина на предходното изречение е спазено — и в {190;010}.</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rPr>
              <w:t xml:space="preserve">Когато институцията предоставя първоначален </w:t>
            </w:r>
            <w:proofErr w:type="spellStart"/>
            <w:r>
              <w:rPr>
                <w:rFonts w:ascii="Times New Roman" w:hAnsi="Times New Roman"/>
              </w:rPr>
              <w:t>маржин</w:t>
            </w:r>
            <w:proofErr w:type="spellEnd"/>
            <w:r>
              <w:rPr>
                <w:rFonts w:ascii="Times New Roman" w:hAnsi="Times New Roman"/>
              </w:rPr>
              <w:t xml:space="preserve"> за изключената част от СФЦК, докладвана в {190;010}, а не в {020;010} или {030;010}, тогава тя може да го докладва в това поле.</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{060;010}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Деривати: Текуща разменна стойност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Членове 429а, 274, 295, 296, 297 и 298 от РКИ</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Текущата разменна стойност, посочена в член 274, параграф 1 от РКИ, за изброените в приложение II към РКИ договори и кредитните деривати, в т.ч. и </w:t>
            </w:r>
            <w:proofErr w:type="spellStart"/>
            <w:r>
              <w:rPr>
                <w:rFonts w:ascii="Times New Roman" w:hAnsi="Times New Roman"/>
              </w:rPr>
              <w:t>задбалансовите</w:t>
            </w:r>
            <w:proofErr w:type="spellEnd"/>
            <w:r>
              <w:rPr>
                <w:rFonts w:ascii="Times New Roman" w:hAnsi="Times New Roman"/>
              </w:rPr>
              <w:t xml:space="preserve">, докладвани, без да е приспаднат полученият вариационен </w:t>
            </w:r>
            <w:proofErr w:type="spellStart"/>
            <w:r>
              <w:rPr>
                <w:rFonts w:ascii="Times New Roman" w:hAnsi="Times New Roman"/>
              </w:rPr>
              <w:t>маржин</w:t>
            </w:r>
            <w:proofErr w:type="spellEnd"/>
            <w:r>
              <w:rPr>
                <w:rFonts w:ascii="Times New Roman" w:hAnsi="Times New Roman"/>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Както е определено с член 429а, параграф 1 от РКИ, институциите могат да вземат предвид ефекта на договорите за </w:t>
            </w:r>
            <w:proofErr w:type="spellStart"/>
            <w:r>
              <w:rPr>
                <w:rFonts w:ascii="Times New Roman" w:hAnsi="Times New Roman"/>
              </w:rPr>
              <w:t>новация</w:t>
            </w:r>
            <w:proofErr w:type="spellEnd"/>
            <w:r>
              <w:rPr>
                <w:rFonts w:ascii="Times New Roman" w:hAnsi="Times New Roman"/>
              </w:rPr>
              <w:t xml:space="preserve"> и другите споразумения за </w:t>
            </w:r>
            <w:proofErr w:type="spellStart"/>
            <w:r>
              <w:rPr>
                <w:rFonts w:ascii="Times New Roman" w:hAnsi="Times New Roman"/>
              </w:rPr>
              <w:t>нетиране</w:t>
            </w:r>
            <w:proofErr w:type="spellEnd"/>
            <w:r>
              <w:rPr>
                <w:rFonts w:ascii="Times New Roman" w:hAnsi="Times New Roman"/>
              </w:rPr>
              <w:t xml:space="preserve"> в съответствие с член 295 от РКИ. Не се прилага кръстосано </w:t>
            </w:r>
            <w:proofErr w:type="spellStart"/>
            <w:r>
              <w:rPr>
                <w:rFonts w:ascii="Times New Roman" w:hAnsi="Times New Roman"/>
              </w:rPr>
              <w:t>нетиране</w:t>
            </w:r>
            <w:proofErr w:type="spellEnd"/>
            <w:r>
              <w:rPr>
                <w:rFonts w:ascii="Times New Roman" w:hAnsi="Times New Roman"/>
              </w:rPr>
              <w:t xml:space="preserve"> на продукти. Институциите могат все пак да </w:t>
            </w:r>
            <w:proofErr w:type="spellStart"/>
            <w:r>
              <w:rPr>
                <w:rFonts w:ascii="Times New Roman" w:hAnsi="Times New Roman"/>
              </w:rPr>
              <w:t>нетират</w:t>
            </w:r>
            <w:proofErr w:type="spellEnd"/>
            <w:r>
              <w:rPr>
                <w:rFonts w:ascii="Times New Roman" w:hAnsi="Times New Roman"/>
              </w:rPr>
              <w:t xml:space="preserve"> в продуктовата категория, посочена в член 272, точка 25, буква в) от РКИ, и кредитни деривати, когато те са предмет на посоченото в член 295, буква в) от РКИ договорно споразумение за кръстосано </w:t>
            </w:r>
            <w:proofErr w:type="spellStart"/>
            <w:r>
              <w:rPr>
                <w:rFonts w:ascii="Times New Roman" w:hAnsi="Times New Roman"/>
              </w:rPr>
              <w:t>нетиране</w:t>
            </w:r>
            <w:proofErr w:type="spellEnd"/>
            <w:r>
              <w:rPr>
                <w:rFonts w:ascii="Times New Roman" w:hAnsi="Times New Roman"/>
              </w:rPr>
              <w:t xml:space="preserve"> на продукти.</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Pr>
                <w:rFonts w:ascii="Times New Roman" w:hAnsi="Times New Roman"/>
              </w:rPr>
              <w:t>Институциите не включват в това поле договорите, изчислени по метода на първоначалната експозиция в съответствие с член 429а, параграф 8 и член 275 от РКИ.</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t>{070;010}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xml:space="preserve">(–) Допустим получен вариационен </w:t>
            </w:r>
            <w:proofErr w:type="spellStart"/>
            <w:r>
              <w:rPr>
                <w:rFonts w:ascii="Times New Roman" w:hAnsi="Times New Roman"/>
                <w:b/>
              </w:rPr>
              <w:t>маржин</w:t>
            </w:r>
            <w:proofErr w:type="spellEnd"/>
            <w:r>
              <w:rPr>
                <w:rFonts w:ascii="Times New Roman" w:hAnsi="Times New Roman"/>
                <w:b/>
              </w:rPr>
              <w:t xml:space="preserve"> в парични средства, приспаднат от пазарната стойност на дериватите</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Член 429а, параграф 3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Вариационният </w:t>
            </w:r>
            <w:proofErr w:type="spellStart"/>
            <w:r>
              <w:rPr>
                <w:rFonts w:ascii="Times New Roman" w:hAnsi="Times New Roman"/>
              </w:rPr>
              <w:t>маржин</w:t>
            </w:r>
            <w:proofErr w:type="spellEnd"/>
            <w:r>
              <w:rPr>
                <w:rFonts w:ascii="Times New Roman" w:hAnsi="Times New Roman"/>
              </w:rPr>
              <w:t>, получен в парични средства от контрагента и който по силата на член 429а, параграф 3 от РКИ може да бъде приспаднат от частта от стойността на експозицията, представляваща разменна стойност.</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rPr>
              <w:lastRenderedPageBreak/>
              <w:t xml:space="preserve">Не се докладват вариационните </w:t>
            </w:r>
            <w:proofErr w:type="spellStart"/>
            <w:r>
              <w:rPr>
                <w:rFonts w:ascii="Times New Roman" w:hAnsi="Times New Roman"/>
              </w:rPr>
              <w:t>маржини</w:t>
            </w:r>
            <w:proofErr w:type="spellEnd"/>
            <w:r>
              <w:rPr>
                <w:rFonts w:ascii="Times New Roman" w:hAnsi="Times New Roman"/>
              </w:rPr>
              <w:t>, получени в парични средства по изключената по силата на член 429, параграф 11 от РКИ част от експозициите към ЦК.</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rPr>
              <w:lastRenderedPageBreak/>
              <w:t>{080;010}</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rPr>
              <w:t>(–) Изключена част от експозициите към ЦК по сделки, обект на клиринг от клиенти (разменни стойности)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Член 429, параграф 11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Представляващата разменна стойност част от изключените експозиции към КЦК, произтичащи от подлежащи на клиринг от клиенти сделки с деривати, при условие че тези позиции удовлетворяват условията по член 306, параграф 1, буква в) от РКИ. Тази стойност се докладва, без да се приспада вариационният </w:t>
            </w:r>
            <w:proofErr w:type="spellStart"/>
            <w:r>
              <w:rPr>
                <w:rFonts w:ascii="Times New Roman" w:hAnsi="Times New Roman"/>
              </w:rPr>
              <w:t>маржин</w:t>
            </w:r>
            <w:proofErr w:type="spellEnd"/>
            <w:r>
              <w:rPr>
                <w:rFonts w:ascii="Times New Roman" w:hAnsi="Times New Roman"/>
              </w:rPr>
              <w:t>, получен в парични средства по тази част.</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Pr>
                <w:rFonts w:ascii="Times New Roman" w:hAnsi="Times New Roman"/>
              </w:rPr>
              <w:t>Институциите включват докладваната в това поле стойност и в {060;010}, все едно че не е имало изключване.</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{090;010}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Деривати: Добавка по метода на пазарната оценка</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Членове 429a, 274, 295, 296, 297, 298 и член 299, параграф 2 от РКИ</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В това поле се посочва добавката за потенциалната бъдеща експозиция на договорите, изброени в приложение II към РКИ, и кредитните деривати, в т.ч. и </w:t>
            </w:r>
            <w:proofErr w:type="spellStart"/>
            <w:r>
              <w:rPr>
                <w:rFonts w:ascii="Times New Roman" w:hAnsi="Times New Roman"/>
              </w:rPr>
              <w:t>задбалансовите</w:t>
            </w:r>
            <w:proofErr w:type="spellEnd"/>
            <w:r>
              <w:rPr>
                <w:rFonts w:ascii="Times New Roman" w:hAnsi="Times New Roman"/>
              </w:rPr>
              <w:t xml:space="preserve">, изчислени в съответствие с метода на пазарната оценка (член 274 от РКИ — за договорите, изброени в приложение II към РКИ, и член 299, параграф 2 от РКИ — за кредитните деривати), при прилагане на правилата за </w:t>
            </w:r>
            <w:proofErr w:type="spellStart"/>
            <w:r>
              <w:rPr>
                <w:rFonts w:ascii="Times New Roman" w:hAnsi="Times New Roman"/>
              </w:rPr>
              <w:t>нетиране</w:t>
            </w:r>
            <w:proofErr w:type="spellEnd"/>
            <w:r>
              <w:rPr>
                <w:rFonts w:ascii="Times New Roman" w:hAnsi="Times New Roman"/>
              </w:rPr>
              <w:t xml:space="preserve"> съгласно член 429а, параграф 1 от РКИ. При определянето на стойността на експозицията по тези договори институциите могат да докладват ефекта на договорите за </w:t>
            </w:r>
            <w:proofErr w:type="spellStart"/>
            <w:r>
              <w:rPr>
                <w:rFonts w:ascii="Times New Roman" w:hAnsi="Times New Roman"/>
              </w:rPr>
              <w:t>новация</w:t>
            </w:r>
            <w:proofErr w:type="spellEnd"/>
            <w:r>
              <w:rPr>
                <w:rFonts w:ascii="Times New Roman" w:hAnsi="Times New Roman"/>
              </w:rPr>
              <w:t xml:space="preserve"> и другите споразумения за </w:t>
            </w:r>
            <w:proofErr w:type="spellStart"/>
            <w:r>
              <w:rPr>
                <w:rFonts w:ascii="Times New Roman" w:hAnsi="Times New Roman"/>
              </w:rPr>
              <w:t>нетиране</w:t>
            </w:r>
            <w:proofErr w:type="spellEnd"/>
            <w:r>
              <w:rPr>
                <w:rFonts w:ascii="Times New Roman" w:hAnsi="Times New Roman"/>
              </w:rPr>
              <w:t xml:space="preserve"> в съответствие с член 295 от РКИ. Не се прилага кръстосано </w:t>
            </w:r>
            <w:proofErr w:type="spellStart"/>
            <w:r>
              <w:rPr>
                <w:rFonts w:ascii="Times New Roman" w:hAnsi="Times New Roman"/>
              </w:rPr>
              <w:t>нетиране</w:t>
            </w:r>
            <w:proofErr w:type="spellEnd"/>
            <w:r>
              <w:rPr>
                <w:rFonts w:ascii="Times New Roman" w:hAnsi="Times New Roman"/>
              </w:rPr>
              <w:t xml:space="preserve"> на продукти. Институциите могат все пак да </w:t>
            </w:r>
            <w:proofErr w:type="spellStart"/>
            <w:r>
              <w:rPr>
                <w:rFonts w:ascii="Times New Roman" w:hAnsi="Times New Roman"/>
              </w:rPr>
              <w:t>нетират</w:t>
            </w:r>
            <w:proofErr w:type="spellEnd"/>
            <w:r>
              <w:rPr>
                <w:rFonts w:ascii="Times New Roman" w:hAnsi="Times New Roman"/>
              </w:rPr>
              <w:t xml:space="preserve"> в продуктовата категория, посочена в член 272, точка 25, буква в) от РКИ, и кредитни деривати, когато те са предмет на посоченото в член 295, буква в) от РКИ договорно споразумение за кръстосано </w:t>
            </w:r>
            <w:proofErr w:type="spellStart"/>
            <w:r>
              <w:rPr>
                <w:rFonts w:ascii="Times New Roman" w:hAnsi="Times New Roman"/>
              </w:rPr>
              <w:t>нетиране</w:t>
            </w:r>
            <w:proofErr w:type="spellEnd"/>
            <w:r>
              <w:rPr>
                <w:rFonts w:ascii="Times New Roman" w:hAnsi="Times New Roman"/>
              </w:rPr>
              <w:t xml:space="preserve"> на продукти.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По силата на член 429а, параграф 1, втора алинея от РКИ, при определянето на потенциалната бъдеща кредитна експозиция на кредитни деривати институциите прилагат посочените в член 299, параграф 2, буква а) от РКИ принципи за всичките си кредитни деривати, а не само за онези, които са включени в търговския портфейл.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Институциите не включват в това поле договорите, изчислени по метода на първоначалната експозиция в съответствие с член 429а, параграф 8 и член 275 от РКИ.</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t>{100;010}</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rPr>
              <w:t>(–) Изключена част от експозициите към ЦК по сделки, обект на клиринг от клиенти (потенциална бъдеща експозиция)</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Член 429, параграф 11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Потенциалната бъдеща експозиция на изключените експозиции към КЦК, произтичащи от подлежащи на клиринг от клиенти сделки с деривати, стига тези позиции да удовлетворяват условията по член 306, параграф 1, буква в) от РКИ.</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Институциите включват докладваната в това поле стойност и в {090;010}, все едно че не е имало изключване.</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{110;010}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proofErr w:type="spellStart"/>
            <w:r>
              <w:rPr>
                <w:rFonts w:ascii="Times New Roman" w:hAnsi="Times New Roman"/>
                <w:b/>
              </w:rPr>
              <w:t>Дерогация</w:t>
            </w:r>
            <w:proofErr w:type="spellEnd"/>
            <w:r>
              <w:rPr>
                <w:rFonts w:ascii="Times New Roman" w:hAnsi="Times New Roman"/>
                <w:b/>
              </w:rPr>
              <w:t xml:space="preserve"> за деривати: метод на първоначалната експозиция</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Член 429а, параграф 8 и член 275 от РКИ</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В това поле се посочва мярката за експозицията по договорите, изброени в точки 1 и 2 от приложение II към РКИ, изчислена по метода на първоначалната експозиция, посочен в член 275 от РКИ.</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rPr>
              <w:t xml:space="preserve">По силата на член 429а, параграф 8 от РКИ институциите, които прилагат метода на първоначалната експозиция, не намаляват мярката за експозицията с размера на вариационния </w:t>
            </w:r>
            <w:proofErr w:type="spellStart"/>
            <w:r>
              <w:rPr>
                <w:rFonts w:ascii="Times New Roman" w:hAnsi="Times New Roman"/>
              </w:rPr>
              <w:t>маржин</w:t>
            </w:r>
            <w:proofErr w:type="spellEnd"/>
            <w:r>
              <w:rPr>
                <w:rFonts w:ascii="Times New Roman" w:hAnsi="Times New Roman"/>
              </w:rPr>
              <w:t>, получен в парични средства.</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Институциите, които не прилагат метода на първоначалната експозиция, не докладват това поле.</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Pr>
                <w:rFonts w:ascii="Times New Roman" w:hAnsi="Times New Roman"/>
              </w:rPr>
              <w:t>Институциите не включват в това поле договорите, изчислени по метода на пазарната оценка в съответствие с член 429а, параграф 1 и член 274 от РКИ.</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rPr>
              <w:lastRenderedPageBreak/>
              <w:t>{120;010}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Изключена част от експозициите към ЦК по сделки, обект на клиринг от клиенти (метод на първоначалната експозиция)</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Член 429, параграф 11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Изключената част от експозициите към ЦК по сделки, обект на клиринг от клиенти, когато се прилага методът на първоначалната експозиция, посочен в член 275 от РКИ, стига тези позиции да удовлетворяват условията по член 306, параграф 1, буква в) от РКИ.</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Pr>
                <w:rFonts w:ascii="Times New Roman" w:hAnsi="Times New Roman"/>
              </w:rPr>
              <w:t>Институциите включват докладваната в това поле стойност и в {110;010}, все едно че не е имало изключване.</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{130;010}</w:t>
            </w:r>
          </w:p>
        </w:tc>
        <w:tc>
          <w:tcPr>
            <w:tcW w:w="7590" w:type="dxa"/>
          </w:tcPr>
          <w:p w:rsidR="00AE2798" w:rsidRDefault="00AE2798" w:rsidP="00FE0FF1">
            <w:pPr>
              <w:pStyle w:val="BodyText1"/>
              <w:spacing w:line="240" w:lineRule="auto"/>
              <w:rPr>
                <w:rFonts w:ascii="Times New Roman" w:hAnsi="Times New Roman"/>
                <w:bCs/>
              </w:rPr>
            </w:pPr>
            <w:r>
              <w:rPr>
                <w:rFonts w:ascii="Times New Roman" w:hAnsi="Times New Roman"/>
                <w:b/>
              </w:rPr>
              <w:t>Ограничена условна стойност на издадените кредитни деривати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Член 429а, параграфи 5—7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Ограничената условна стойност на издадените кредитни деривати (т.е. когато институция осигурява кредитна защита на контрагент), както е посочено в член 429а, параграфи 5—7 от РКИ.</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{140;010}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rPr>
              <w:t>(−) Допустими закупени кредитни деривати, приспаднати от издадените кредитни деривати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Член 429а, параграфи 5—7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Ограничената условна стойност на закупените кредитни деривати (т.е. когато институция закупува кредитна защита от контрагент) със същите референтни наименования като тези на кредитните деривати, издадени от институцията, когато остатъчният срок до падежа на закупената кредитна защита е равен или по-голям от остатъчния срок до падежа на продадената защита. Следователно стойността не трябва да бъде по-голяма от стойността, вписана в {130;010} за всяко референтно наименование.</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{150;010}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proofErr w:type="spellStart"/>
            <w:r>
              <w:rPr>
                <w:rFonts w:ascii="Times New Roman" w:hAnsi="Times New Roman"/>
                <w:b/>
              </w:rPr>
              <w:t>Задбалансови</w:t>
            </w:r>
            <w:proofErr w:type="spellEnd"/>
            <w:r>
              <w:rPr>
                <w:rFonts w:ascii="Times New Roman" w:hAnsi="Times New Roman"/>
                <w:b/>
              </w:rPr>
              <w:t xml:space="preserve"> позиции с кредитен </w:t>
            </w:r>
            <w:proofErr w:type="spellStart"/>
            <w:r>
              <w:rPr>
                <w:rFonts w:ascii="Times New Roman" w:hAnsi="Times New Roman"/>
                <w:b/>
              </w:rPr>
              <w:t>конверсионен</w:t>
            </w:r>
            <w:proofErr w:type="spellEnd"/>
            <w:r>
              <w:rPr>
                <w:rFonts w:ascii="Times New Roman" w:hAnsi="Times New Roman"/>
                <w:b/>
              </w:rPr>
              <w:t xml:space="preserve"> коефициент от 10 % в съответствие с член 429, параграф 10 от РКИ</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Член 429, параграф 10, член 111, параграф 1, буква г) и член 166, параграф 9 от РКИ</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В съответствие с член 429, параграф 10 и член 111, параграф 1, буква г) от РКИ — стойността на експозицията на </w:t>
            </w:r>
            <w:proofErr w:type="spellStart"/>
            <w:r>
              <w:rPr>
                <w:rFonts w:ascii="Times New Roman" w:hAnsi="Times New Roman"/>
              </w:rPr>
              <w:t>задбалансовите</w:t>
            </w:r>
            <w:proofErr w:type="spellEnd"/>
            <w:r>
              <w:rPr>
                <w:rFonts w:ascii="Times New Roman" w:hAnsi="Times New Roman"/>
              </w:rPr>
              <w:t xml:space="preserve"> позиции с нисък риск, спрямо които би се прилагал кредитен </w:t>
            </w:r>
            <w:proofErr w:type="spellStart"/>
            <w:r>
              <w:rPr>
                <w:rFonts w:ascii="Times New Roman" w:hAnsi="Times New Roman"/>
              </w:rPr>
              <w:t>конверсионен</w:t>
            </w:r>
            <w:proofErr w:type="spellEnd"/>
            <w:r>
              <w:rPr>
                <w:rFonts w:ascii="Times New Roman" w:hAnsi="Times New Roman"/>
              </w:rPr>
              <w:t xml:space="preserve"> коефициент от 0 %, съгласно посоченото в точка 4, букви а)—в) от приложение I към РКИ (припомня се, че посочената тук стойност на експозицията е 10 % от номиналната стойност). Това са поети </w:t>
            </w:r>
            <w:r>
              <w:rPr>
                <w:rFonts w:ascii="Times New Roman" w:hAnsi="Times New Roman"/>
              </w:rPr>
              <w:lastRenderedPageBreak/>
              <w:t>задължения, които могат да бъдат отменени безусловно по всяко време от институцията без предизвестие или които предвиждат автоматичното им фактическо прекратяване при влошаване на кредитоспособността на кредитополучателя.</w:t>
            </w:r>
            <w:r>
              <w:t xml:space="preserve"> </w:t>
            </w:r>
            <w:r>
              <w:rPr>
                <w:rFonts w:ascii="Times New Roman" w:hAnsi="Times New Roman"/>
              </w:rPr>
              <w:t>Припомня се, че номиналната стойност не се намалява с корекциите за специфичен кредитен риск.</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По силата на член 166, параграф 9 от РКИ, когато дадено поето задължение се отнася до продължаването на друго се използва по-ниският от двата </w:t>
            </w:r>
            <w:proofErr w:type="spellStart"/>
            <w:r>
              <w:rPr>
                <w:rFonts w:ascii="Times New Roman" w:hAnsi="Times New Roman"/>
              </w:rPr>
              <w:t>конверсионни</w:t>
            </w:r>
            <w:proofErr w:type="spellEnd"/>
            <w:r>
              <w:rPr>
                <w:rFonts w:ascii="Times New Roman" w:hAnsi="Times New Roman"/>
              </w:rPr>
              <w:t xml:space="preserve"> коефициента, приложими за съответните индивидуални задължения.</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По силата на член 429, параграф 10 от РКИ институциите не включват в това поле договорите, изброени в приложение II към РКИ, кредитните деривати и СФЦК.</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lastRenderedPageBreak/>
              <w:t>{160;010}</w:t>
            </w:r>
          </w:p>
        </w:tc>
        <w:tc>
          <w:tcPr>
            <w:tcW w:w="7590" w:type="dxa"/>
          </w:tcPr>
          <w:p w:rsidR="00AE2798" w:rsidRPr="00FE002E" w:rsidRDefault="00AE2798" w:rsidP="00FE0FF1">
            <w:pPr>
              <w:pStyle w:val="BodyText1"/>
              <w:spacing w:line="240" w:lineRule="auto"/>
              <w:rPr>
                <w:rFonts w:ascii="Times New Roman" w:hAnsi="Times New Roman"/>
                <w:b/>
                <w:bCs/>
              </w:rPr>
            </w:pPr>
            <w:proofErr w:type="spellStart"/>
            <w:r>
              <w:rPr>
                <w:rFonts w:ascii="Times New Roman" w:hAnsi="Times New Roman"/>
                <w:b/>
              </w:rPr>
              <w:t>Задбалансови</w:t>
            </w:r>
            <w:proofErr w:type="spellEnd"/>
            <w:r>
              <w:rPr>
                <w:rFonts w:ascii="Times New Roman" w:hAnsi="Times New Roman"/>
                <w:b/>
              </w:rPr>
              <w:t xml:space="preserve"> позиции с кредитен </w:t>
            </w:r>
            <w:proofErr w:type="spellStart"/>
            <w:r>
              <w:rPr>
                <w:rFonts w:ascii="Times New Roman" w:hAnsi="Times New Roman"/>
                <w:b/>
              </w:rPr>
              <w:t>конверсионен</w:t>
            </w:r>
            <w:proofErr w:type="spellEnd"/>
            <w:r>
              <w:rPr>
                <w:rFonts w:ascii="Times New Roman" w:hAnsi="Times New Roman"/>
                <w:b/>
              </w:rPr>
              <w:t xml:space="preserve"> коефициент от 20 % в съответствие с член 429, параграф 10 от РКИ</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Член 429, параграф 10, член 111, параграф 1, буква в) и член 166, параграф 9 от РКИ</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В съответствие с член 429, параграф 10 и член 111, параграф 1, буква в) от РКИ — стойността на експозицията на </w:t>
            </w:r>
            <w:proofErr w:type="spellStart"/>
            <w:r>
              <w:rPr>
                <w:rFonts w:ascii="Times New Roman" w:hAnsi="Times New Roman"/>
              </w:rPr>
              <w:t>задбалансовите</w:t>
            </w:r>
            <w:proofErr w:type="spellEnd"/>
            <w:r>
              <w:rPr>
                <w:rFonts w:ascii="Times New Roman" w:hAnsi="Times New Roman"/>
              </w:rPr>
              <w:t xml:space="preserve"> позиции със среден/нисък риск, спрямо които би се прилагал кредитен </w:t>
            </w:r>
            <w:proofErr w:type="spellStart"/>
            <w:r>
              <w:rPr>
                <w:rFonts w:ascii="Times New Roman" w:hAnsi="Times New Roman"/>
              </w:rPr>
              <w:t>конверсионен</w:t>
            </w:r>
            <w:proofErr w:type="spellEnd"/>
            <w:r>
              <w:rPr>
                <w:rFonts w:ascii="Times New Roman" w:hAnsi="Times New Roman"/>
              </w:rPr>
              <w:t xml:space="preserve"> коефициент от 20 %, съгласно посоченото в точка 3, букви а) и б) от приложение I към РКИ (припомня се, че посочената тук стойност на експозицията е 20 % от номиналната стойност).</w:t>
            </w:r>
            <w:r>
              <w:t xml:space="preserve"> </w:t>
            </w:r>
            <w:r>
              <w:rPr>
                <w:rFonts w:ascii="Times New Roman" w:hAnsi="Times New Roman"/>
              </w:rPr>
              <w:t>Припомня се, че номиналната стойност не се намалява с корекциите за специфичен кредитен риск.</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По силата на член 166, параграф 9 от РКИ, когато дадено поето задължение се отнася до продължаването на друго се използва по-ниският от двата </w:t>
            </w:r>
            <w:proofErr w:type="spellStart"/>
            <w:r>
              <w:rPr>
                <w:rFonts w:ascii="Times New Roman" w:hAnsi="Times New Roman"/>
              </w:rPr>
              <w:t>конверсионни</w:t>
            </w:r>
            <w:proofErr w:type="spellEnd"/>
            <w:r>
              <w:rPr>
                <w:rFonts w:ascii="Times New Roman" w:hAnsi="Times New Roman"/>
              </w:rPr>
              <w:t xml:space="preserve"> коефициента, приложими за съответните индивидуални задължения.</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Pr>
                <w:rFonts w:ascii="Times New Roman" w:hAnsi="Times New Roman"/>
              </w:rPr>
              <w:t>По силата на член 429, параграф 10 от РКИ институциите не включват в това поле договорите, изброени в приложение II към РКИ, кредитните деривати и СФЦК.</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rPr>
              <w:t>{170;010}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proofErr w:type="spellStart"/>
            <w:r>
              <w:rPr>
                <w:rFonts w:ascii="Times New Roman" w:hAnsi="Times New Roman"/>
                <w:b/>
              </w:rPr>
              <w:t>Задбалансови</w:t>
            </w:r>
            <w:proofErr w:type="spellEnd"/>
            <w:r>
              <w:rPr>
                <w:rFonts w:ascii="Times New Roman" w:hAnsi="Times New Roman"/>
                <w:b/>
              </w:rPr>
              <w:t xml:space="preserve"> позиции с кредитен </w:t>
            </w:r>
            <w:proofErr w:type="spellStart"/>
            <w:r>
              <w:rPr>
                <w:rFonts w:ascii="Times New Roman" w:hAnsi="Times New Roman"/>
                <w:b/>
              </w:rPr>
              <w:t>конверсионен</w:t>
            </w:r>
            <w:proofErr w:type="spellEnd"/>
            <w:r>
              <w:rPr>
                <w:rFonts w:ascii="Times New Roman" w:hAnsi="Times New Roman"/>
                <w:b/>
              </w:rPr>
              <w:t xml:space="preserve"> коефициент от 50 % в съответствие с член 429, параграф 10 от РКИ</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Член 429, параграф 10, член 111, параграф 1, буква б) и член 166, параграф 9 от РКИ</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В съответствие с член 429, параграф 10 и член 111, параграф 1, буква б) от РКИ — стойността на експозицията на </w:t>
            </w:r>
            <w:proofErr w:type="spellStart"/>
            <w:r>
              <w:rPr>
                <w:rFonts w:ascii="Times New Roman" w:hAnsi="Times New Roman"/>
              </w:rPr>
              <w:t>задбалансовите</w:t>
            </w:r>
            <w:proofErr w:type="spellEnd"/>
            <w:r>
              <w:rPr>
                <w:rFonts w:ascii="Times New Roman" w:hAnsi="Times New Roman"/>
              </w:rPr>
              <w:t xml:space="preserve"> позиции със среден риск, спрямо които би се прилагал кредитен </w:t>
            </w:r>
            <w:proofErr w:type="spellStart"/>
            <w:r>
              <w:rPr>
                <w:rFonts w:ascii="Times New Roman" w:hAnsi="Times New Roman"/>
              </w:rPr>
              <w:t>конверсионен</w:t>
            </w:r>
            <w:proofErr w:type="spellEnd"/>
            <w:r>
              <w:rPr>
                <w:rFonts w:ascii="Times New Roman" w:hAnsi="Times New Roman"/>
              </w:rPr>
              <w:t xml:space="preserve"> коефициент от 50 %, както е определен в стандартизирания подход за кредитен риск, посочен в точка 2, букви а) и б) от приложение I към РКИ (припомня се, че посочената тук стойност на експозицията е 50 % от номиналната стойност). Припомня се, че номиналната стойност не се намалява с корекциите за специфичен кредитен риск.</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В това поле се включват ликвидни улеснения и всякакви други ангажименти за </w:t>
            </w:r>
            <w:proofErr w:type="spellStart"/>
            <w:r>
              <w:rPr>
                <w:rFonts w:ascii="Times New Roman" w:hAnsi="Times New Roman"/>
              </w:rPr>
              <w:t>секюритизации</w:t>
            </w:r>
            <w:proofErr w:type="spellEnd"/>
            <w:r>
              <w:rPr>
                <w:rFonts w:ascii="Times New Roman" w:hAnsi="Times New Roman"/>
              </w:rPr>
              <w:t xml:space="preserve">. С други думи, в съответствие с член 255 от РКИ кредитният </w:t>
            </w:r>
            <w:proofErr w:type="spellStart"/>
            <w:r>
              <w:rPr>
                <w:rFonts w:ascii="Times New Roman" w:hAnsi="Times New Roman"/>
              </w:rPr>
              <w:t>конверсионен</w:t>
            </w:r>
            <w:proofErr w:type="spellEnd"/>
            <w:r>
              <w:rPr>
                <w:rFonts w:ascii="Times New Roman" w:hAnsi="Times New Roman"/>
              </w:rPr>
              <w:t xml:space="preserve"> коефициент за всички ликвидни улеснения е 50 %, независимо от срока до падеж.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rPr>
              <w:t xml:space="preserve">По силата на член 166, параграф 9 от РКИ, когато дадено поето задължение се отнася до продължаването на друго се използва по-ниският от двата </w:t>
            </w:r>
            <w:proofErr w:type="spellStart"/>
            <w:r>
              <w:rPr>
                <w:rFonts w:ascii="Times New Roman" w:hAnsi="Times New Roman"/>
              </w:rPr>
              <w:t>конверсионни</w:t>
            </w:r>
            <w:proofErr w:type="spellEnd"/>
            <w:r>
              <w:rPr>
                <w:rFonts w:ascii="Times New Roman" w:hAnsi="Times New Roman"/>
              </w:rPr>
              <w:t xml:space="preserve"> коефициента, приложими за съответните индивидуални задължения.</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По силата на член 429, параграф 10 от РКИ институциите не включват в това поле договорите, изброени в приложение II към РКИ, кредитните деривати и СФЦК.</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{180;010}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proofErr w:type="spellStart"/>
            <w:r>
              <w:rPr>
                <w:rFonts w:ascii="Times New Roman" w:hAnsi="Times New Roman"/>
                <w:b/>
              </w:rPr>
              <w:lastRenderedPageBreak/>
              <w:t>Задбалансови</w:t>
            </w:r>
            <w:proofErr w:type="spellEnd"/>
            <w:r>
              <w:rPr>
                <w:rFonts w:ascii="Times New Roman" w:hAnsi="Times New Roman"/>
                <w:b/>
              </w:rPr>
              <w:t xml:space="preserve"> позиции с кредитен </w:t>
            </w:r>
            <w:proofErr w:type="spellStart"/>
            <w:r>
              <w:rPr>
                <w:rFonts w:ascii="Times New Roman" w:hAnsi="Times New Roman"/>
                <w:b/>
              </w:rPr>
              <w:t>конверсионен</w:t>
            </w:r>
            <w:proofErr w:type="spellEnd"/>
            <w:r>
              <w:rPr>
                <w:rFonts w:ascii="Times New Roman" w:hAnsi="Times New Roman"/>
                <w:b/>
              </w:rPr>
              <w:t xml:space="preserve"> коефициент от 100 % в съответствие с член 429, параграф 10 от РКИ</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Член 429, параграф 10, член 111, параграф 1, буква а) и член 166, параграф 9 от РКИ</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Pr>
                <w:rFonts w:ascii="Times New Roman" w:hAnsi="Times New Roman"/>
              </w:rPr>
              <w:t xml:space="preserve">В съответствие с член 429, параграф 10 и член 111, параграф 1, буква а) от РКИ — стойността на експозицията на </w:t>
            </w:r>
            <w:proofErr w:type="spellStart"/>
            <w:r>
              <w:rPr>
                <w:rFonts w:ascii="Times New Roman" w:hAnsi="Times New Roman"/>
              </w:rPr>
              <w:t>задбалансовите</w:t>
            </w:r>
            <w:proofErr w:type="spellEnd"/>
            <w:r>
              <w:rPr>
                <w:rFonts w:ascii="Times New Roman" w:hAnsi="Times New Roman"/>
              </w:rPr>
              <w:t xml:space="preserve"> позиции с висок риск, спрямо които би се прилагал кредитен </w:t>
            </w:r>
            <w:proofErr w:type="spellStart"/>
            <w:r>
              <w:rPr>
                <w:rFonts w:ascii="Times New Roman" w:hAnsi="Times New Roman"/>
              </w:rPr>
              <w:t>конверсионен</w:t>
            </w:r>
            <w:proofErr w:type="spellEnd"/>
            <w:r>
              <w:rPr>
                <w:rFonts w:ascii="Times New Roman" w:hAnsi="Times New Roman"/>
              </w:rPr>
              <w:t xml:space="preserve"> коефициент от 100 %, съгласно посоченото в точка 1, букви а) — к) от приложение I към РКИ (припомня се, че посочената тук стойност на експозицията е 100 % от номиналната стойност). Припомня се, че номиналната стойност не се намалява с корекциите за специфичен кредитен риск.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В това поле се включват ликвидни улеснения и всякакви други ангажименти за </w:t>
            </w:r>
            <w:proofErr w:type="spellStart"/>
            <w:r>
              <w:rPr>
                <w:rFonts w:ascii="Times New Roman" w:hAnsi="Times New Roman"/>
              </w:rPr>
              <w:t>секюритизации</w:t>
            </w:r>
            <w:proofErr w:type="spellEnd"/>
            <w:r>
              <w:rPr>
                <w:rFonts w:ascii="Times New Roman" w:hAnsi="Times New Roman"/>
              </w:rPr>
              <w:t xml:space="preserve">.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По силата на член 166, параграф 9 от РКИ, когато дадено поето задължение се отнася до продължаването на друго се използва по-ниският от двата </w:t>
            </w:r>
            <w:proofErr w:type="spellStart"/>
            <w:r>
              <w:rPr>
                <w:rFonts w:ascii="Times New Roman" w:hAnsi="Times New Roman"/>
              </w:rPr>
              <w:t>конверсионни</w:t>
            </w:r>
            <w:proofErr w:type="spellEnd"/>
            <w:r>
              <w:rPr>
                <w:rFonts w:ascii="Times New Roman" w:hAnsi="Times New Roman"/>
              </w:rPr>
              <w:t xml:space="preserve"> коефициента, приложими за съответните индивидуални задължения.</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По силата на член 429, параграф 10 от РКИ институциите не включват в това поле договорите, изброени в приложение II към РКИ, кредитните деривати и СФЦК.</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{190;010}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Pr>
                <w:rFonts w:ascii="Times New Roman" w:hAnsi="Times New Roman"/>
                <w:b/>
              </w:rPr>
              <w:t xml:space="preserve">Други активи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Член 429, параграф 5 от РКИ</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Всички активи, различни от договорите, изброени в приложение II към РКИ, кредитните деривати и СФЦК (напр. наред с другите активи в това поле се докладват счетоводните вземания за предоставен вариационен </w:t>
            </w:r>
            <w:proofErr w:type="spellStart"/>
            <w:r>
              <w:rPr>
                <w:rFonts w:ascii="Times New Roman" w:hAnsi="Times New Roman"/>
              </w:rPr>
              <w:t>маржин</w:t>
            </w:r>
            <w:proofErr w:type="spellEnd"/>
            <w:r>
              <w:rPr>
                <w:rFonts w:ascii="Times New Roman" w:hAnsi="Times New Roman"/>
              </w:rPr>
              <w:t xml:space="preserve"> в парични средства, когато са признати съгласно приложимата счетоводна уредба, ликвидните активи по смисъла на коефициента на ликвидно покритие, неуспешните и неуредените сделки). Институциите извършват оценка въз основа на принципите, заложени в член 429, параграф 5 от РКИ.</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rPr>
              <w:t xml:space="preserve">Институциите включват в това поле получените парични суми или </w:t>
            </w:r>
            <w:proofErr w:type="spellStart"/>
            <w:r>
              <w:rPr>
                <w:rFonts w:ascii="Times New Roman" w:hAnsi="Times New Roman"/>
              </w:rPr>
              <w:t>обезпеченията</w:t>
            </w:r>
            <w:proofErr w:type="spellEnd"/>
            <w:r>
              <w:rPr>
                <w:rFonts w:ascii="Times New Roman" w:hAnsi="Times New Roman"/>
              </w:rPr>
              <w:t xml:space="preserve">, предоставени на контрагент посредством СФЦК и запазени в баланса (т.е. не са изпълнени счетоводните критерии за отписване). Освен това институциите признават тук позициите, които се приспадат от базовия собствен капитал от първи ред и допълнителния капитал от първи ред (напр. нематериалните активи, отсрочените данъчни активи и т.н.). </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{200;010}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Завишаване за предоставени по деривати обезпечения</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Член 429а, параграф 2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Размерът на всички предоставени по деривати обезпечения, при условие че предоставянето на обезпечения намалява размера на активите съгласно приложимата счетоводна уредба, както е посочено в член 429а, параграф 2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Институциите не включват в това поле първоначалния </w:t>
            </w:r>
            <w:proofErr w:type="spellStart"/>
            <w:r>
              <w:rPr>
                <w:rFonts w:ascii="Times New Roman" w:hAnsi="Times New Roman"/>
              </w:rPr>
              <w:t>маржин</w:t>
            </w:r>
            <w:proofErr w:type="spellEnd"/>
            <w:r>
              <w:rPr>
                <w:rFonts w:ascii="Times New Roman" w:hAnsi="Times New Roman"/>
              </w:rPr>
              <w:t xml:space="preserve"> за сделките с деривати, чиито клиринг е извършен от клиента чрез квалифициран ЦК (КЦК), нито допустимия вариационен </w:t>
            </w:r>
            <w:proofErr w:type="spellStart"/>
            <w:r>
              <w:rPr>
                <w:rFonts w:ascii="Times New Roman" w:hAnsi="Times New Roman"/>
              </w:rPr>
              <w:t>маржин</w:t>
            </w:r>
            <w:proofErr w:type="spellEnd"/>
            <w:r>
              <w:rPr>
                <w:rFonts w:ascii="Times New Roman" w:hAnsi="Times New Roman"/>
              </w:rPr>
              <w:t xml:space="preserve"> в парични средства, както е определен в член 429а, параграф 3 от РКИ.</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{210;010}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xml:space="preserve">(–) Вземания върху вариационен </w:t>
            </w:r>
            <w:proofErr w:type="spellStart"/>
            <w:r>
              <w:rPr>
                <w:rFonts w:ascii="Times New Roman" w:hAnsi="Times New Roman"/>
                <w:b/>
              </w:rPr>
              <w:t>маржин</w:t>
            </w:r>
            <w:proofErr w:type="spellEnd"/>
            <w:r>
              <w:rPr>
                <w:rFonts w:ascii="Times New Roman" w:hAnsi="Times New Roman"/>
                <w:b/>
              </w:rPr>
              <w:t xml:space="preserve"> в парични средства, предоставен при сделки с деривати</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rPr>
              <w:t>Член 429а, параграф 3, трета алинея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Вземанията върху вариационен </w:t>
            </w:r>
            <w:proofErr w:type="spellStart"/>
            <w:r>
              <w:rPr>
                <w:rFonts w:ascii="Times New Roman" w:hAnsi="Times New Roman"/>
              </w:rPr>
              <w:t>маржин</w:t>
            </w:r>
            <w:proofErr w:type="spellEnd"/>
            <w:r>
              <w:rPr>
                <w:rFonts w:ascii="Times New Roman" w:hAnsi="Times New Roman"/>
              </w:rPr>
              <w:t xml:space="preserve">, изплатен в парични средства на контрагента по сделки с деривати, ако от институцията съгласно приложимата счетоводна уредба </w:t>
            </w:r>
            <w:r>
              <w:rPr>
                <w:rFonts w:ascii="Times New Roman" w:hAnsi="Times New Roman"/>
              </w:rPr>
              <w:lastRenderedPageBreak/>
              <w:t>се изисква да признава тези вземания като актив и ако са изпълнени условията по член 429а, параграф 3, букви а) — д)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Докладваната стойност се включва и в другите активи, докладвани в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lastRenderedPageBreak/>
              <w:t>{220;010}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xml:space="preserve">(–) Изключена част от експозициите към ЦК по сделки, обект на клиринг от клиенти (първоначален </w:t>
            </w:r>
            <w:proofErr w:type="spellStart"/>
            <w:r>
              <w:rPr>
                <w:rFonts w:ascii="Times New Roman" w:hAnsi="Times New Roman"/>
                <w:b/>
              </w:rPr>
              <w:t>маржин</w:t>
            </w:r>
            <w:proofErr w:type="spellEnd"/>
            <w:r>
              <w:rPr>
                <w:rFonts w:ascii="Times New Roman" w:hAnsi="Times New Roman"/>
                <w:b/>
              </w:rPr>
              <w: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Член 429, параграф 11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Частта от първоначалния </w:t>
            </w:r>
            <w:proofErr w:type="spellStart"/>
            <w:r>
              <w:rPr>
                <w:rFonts w:ascii="Times New Roman" w:hAnsi="Times New Roman"/>
              </w:rPr>
              <w:t>маржин</w:t>
            </w:r>
            <w:proofErr w:type="spellEnd"/>
            <w:r>
              <w:rPr>
                <w:rFonts w:ascii="Times New Roman" w:hAnsi="Times New Roman"/>
              </w:rPr>
              <w:t xml:space="preserve"> (предоставен) на изключените експозиции към КЦК, произтичащи от обект на клиринг от клиенти сделки с деривати, стига тези позиции да удовлетворяват условията по член 306, параграф 1, буква в)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Докладваната стойност се включва и в другите активи, докладвани в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{230;010}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Pr>
                <w:rFonts w:ascii="Times New Roman" w:hAnsi="Times New Roman"/>
                <w:b/>
              </w:rPr>
              <w:t>Корекции за сделки, осчетоводени като продажба на СФЦК</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Член 429б, параграф 5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Стойността на ценните книжа, предоставени в заем по </w:t>
            </w:r>
            <w:proofErr w:type="spellStart"/>
            <w:r>
              <w:rPr>
                <w:rFonts w:ascii="Times New Roman" w:hAnsi="Times New Roman"/>
              </w:rPr>
              <w:t>репо</w:t>
            </w:r>
            <w:proofErr w:type="spellEnd"/>
            <w:r>
              <w:rPr>
                <w:rFonts w:ascii="Times New Roman" w:hAnsi="Times New Roman"/>
              </w:rPr>
              <w:t xml:space="preserve"> сделка, които са отписани поради сделка, осчетоводена като продажба съгласно приложимата счетоводна уредба.</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{240;010}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Активи, предмет на доверително управление</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Член 429, параграф 13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 xml:space="preserve">В съответствие с член 429, параграф 13 от РКИ — стойността на активите, предмет на доверително управление, които отговарят на критериите за непризнаване, предвидени в МСС 39 и, когато е приложимо, на критериите за изключване от обхвата на консолидацията, предвидени в МСФО 10, като се допуска, че няма ефект на счетоводно </w:t>
            </w:r>
            <w:proofErr w:type="spellStart"/>
            <w:r>
              <w:rPr>
                <w:rFonts w:ascii="Times New Roman" w:hAnsi="Times New Roman"/>
              </w:rPr>
              <w:t>нетиране</w:t>
            </w:r>
            <w:proofErr w:type="spellEnd"/>
            <w:r>
              <w:rPr>
                <w:rFonts w:ascii="Times New Roman" w:hAnsi="Times New Roman"/>
              </w:rPr>
              <w:t xml:space="preserve"> или друго РКР (т.е. са елиминирани всички евентуални ефекти на счетоводно </w:t>
            </w:r>
            <w:proofErr w:type="spellStart"/>
            <w:r>
              <w:rPr>
                <w:rFonts w:ascii="Times New Roman" w:hAnsi="Times New Roman"/>
              </w:rPr>
              <w:t>нетиране</w:t>
            </w:r>
            <w:proofErr w:type="spellEnd"/>
            <w:r>
              <w:rPr>
                <w:rFonts w:ascii="Times New Roman" w:hAnsi="Times New Roman"/>
              </w:rPr>
              <w:t xml:space="preserve"> или РКР върху балансовата стойност).</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Докладваната стойност се включва и в другите активи, докладвани в {190, 010}.</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rPr>
              <w:t>{250;010}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rPr>
              <w:t xml:space="preserve">(–) </w:t>
            </w:r>
            <w:proofErr w:type="spellStart"/>
            <w:r>
              <w:rPr>
                <w:rFonts w:ascii="Times New Roman" w:hAnsi="Times New Roman"/>
                <w:b/>
              </w:rPr>
              <w:t>Вътрешногрупови</w:t>
            </w:r>
            <w:proofErr w:type="spellEnd"/>
            <w:r>
              <w:rPr>
                <w:rFonts w:ascii="Times New Roman" w:hAnsi="Times New Roman"/>
                <w:b/>
              </w:rPr>
              <w:t xml:space="preserve"> експозиции (индивидуална основа), изключени в съответствие с член 429, параграф 7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Член 429, параграф 7 и член 113, параграф 6 от РКИ</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Експозициите, които не са били консолидирани на приложимото равнище на консолидация и които биха могли да бъдат третирани в съответствие с член 113, параграф 6 от РКИ, стига да са удовлетворени всички условия по член 113, параграф 6, букви а) — д) от РКИ и компетентните органи да са дали своето одобрение.</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rPr>
              <w:t>Докладваната стойност се включва и в съответните полета по-горе, все едно че не е имало изключване.</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rPr>
              <w:t>{260;010}</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rPr>
              <w:t>(–) Експозиции, изключени в съответствие с член 429, параграф 14 от РКИ</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Член 429, параграф 14 от РКИ</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t>Експозициите, изключени в съответствие с член 429, параграф 14 от РКИ, стига да са удовлетворени посочените там условия и компетентните органи да са дали своето одобрение.</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rPr>
              <w:lastRenderedPageBreak/>
              <w:t>Докладваната стойност се включва и в съответните полета по-горе, все едно че не е имало изключване.</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lastRenderedPageBreak/>
              <w:t>{270;010}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rPr>
              <w:t>(-) Стойност на активите, приспадната от капитала от първи ред — „окончателно“ определение</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Pr>
                <w:rFonts w:ascii="Times New Roman" w:hAnsi="Times New Roman"/>
              </w:rPr>
              <w:t>Член 429, параграф 4, буква а) и член 499, параграф 1, буква а) от РКИ</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Pr>
                <w:rFonts w:ascii="Times New Roman" w:hAnsi="Times New Roman"/>
              </w:rPr>
              <w:t>Тук се включват всички корекции по отношение на стойността на даден актив, изисквани по:</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членове 32—35 от РКИ или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членове 36—47 от РКИ или</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членове 56—60 от РКИ,</w:t>
            </w:r>
          </w:p>
          <w:p w:rsidR="006D3F98" w:rsidRDefault="006D3F98" w:rsidP="002573FC">
            <w:pPr>
              <w:pStyle w:val="BodyText1"/>
              <w:spacing w:line="240" w:lineRule="auto"/>
              <w:rPr>
                <w:rFonts w:ascii="Times New Roman" w:hAnsi="Times New Roman"/>
                <w:bCs/>
              </w:rPr>
            </w:pPr>
            <w:r>
              <w:rPr>
                <w:rFonts w:ascii="Times New Roman" w:hAnsi="Times New Roman"/>
              </w:rPr>
              <w:t>както е приложимо.</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 xml:space="preserve">Институциите взимат предвид изключенията, алтернативните подходи и освобождаванията по отношение на такива приспадания, предвидени в членове 48, 49 и 79 от РКИ, без да взимат предвид </w:t>
            </w:r>
            <w:proofErr w:type="spellStart"/>
            <w:r>
              <w:rPr>
                <w:rFonts w:ascii="Times New Roman" w:hAnsi="Times New Roman"/>
              </w:rPr>
              <w:t>дерогацията</w:t>
            </w:r>
            <w:proofErr w:type="spellEnd"/>
            <w:r>
              <w:rPr>
                <w:rFonts w:ascii="Times New Roman" w:hAnsi="Times New Roman"/>
              </w:rPr>
              <w:t>, предвидена в десета част, дял I, глави 1 и 2 от РКИ. За да се избегне двойното отчитане, при изчисляване на стойността на експозицията в {010;</w:t>
            </w:r>
            <w:proofErr w:type="spellStart"/>
            <w:r>
              <w:rPr>
                <w:rFonts w:ascii="Times New Roman" w:hAnsi="Times New Roman"/>
              </w:rPr>
              <w:t>010</w:t>
            </w:r>
            <w:proofErr w:type="spellEnd"/>
            <w:r>
              <w:rPr>
                <w:rFonts w:ascii="Times New Roman" w:hAnsi="Times New Roman"/>
              </w:rPr>
              <w:t>} — {260;010} институциите не докладват корекциите,</w:t>
            </w:r>
            <w:r>
              <w:t xml:space="preserve"> </w:t>
            </w:r>
            <w:r>
              <w:rPr>
                <w:rFonts w:ascii="Times New Roman" w:hAnsi="Times New Roman"/>
              </w:rPr>
              <w:t xml:space="preserve"> които вече са били приложени по силата на член 111 от РКИ, нито тези, които не водят до намаляване на стойността на определен актив.</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 xml:space="preserve">Тъй като тези стойности са вече приспаднати от мярката за капитала, те водят до намаляване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и се докладват като отрицателно число.</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{280;010}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rPr>
              <w:t>(-) Стойност на активите, приспадната от капитала от първи ред — „преходно“ определение</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Член 429, параграф 4, буква а) и член 499, параграф 1, буква б) от РКИ</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Тук се включват всички корекции по отношение на стойността на даден актив, изисквани по:</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членове 32—35 от РКИ или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 xml:space="preserve">членове 36—47 от РКИ или </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rPr>
              <w:t>-</w:t>
            </w:r>
            <w:r>
              <w:tab/>
            </w:r>
            <w:r>
              <w:rPr>
                <w:rFonts w:ascii="Times New Roman" w:hAnsi="Times New Roman"/>
              </w:rPr>
              <w:t>членове 56—60 от РКИ,</w:t>
            </w:r>
          </w:p>
          <w:p w:rsidR="009264ED" w:rsidRDefault="00316050" w:rsidP="002573FC">
            <w:pPr>
              <w:pStyle w:val="BodyText1"/>
              <w:spacing w:line="240" w:lineRule="auto"/>
              <w:rPr>
                <w:rFonts w:ascii="Times New Roman" w:hAnsi="Times New Roman"/>
                <w:bCs/>
              </w:rPr>
            </w:pPr>
            <w:r>
              <w:rPr>
                <w:rFonts w:ascii="Times New Roman" w:hAnsi="Times New Roman"/>
              </w:rPr>
              <w:t>както е приложимо.</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rPr>
              <w:t xml:space="preserve">Институциите взимат предвид изключенията, алтернативните подходи и освобождаванията по отношение на такива приспадания, предвидени в членове 48, 49 и 79 от РКИ, както и </w:t>
            </w:r>
            <w:proofErr w:type="spellStart"/>
            <w:r>
              <w:rPr>
                <w:rFonts w:ascii="Times New Roman" w:hAnsi="Times New Roman"/>
              </w:rPr>
              <w:t>дерогациите</w:t>
            </w:r>
            <w:proofErr w:type="spellEnd"/>
            <w:r>
              <w:rPr>
                <w:rFonts w:ascii="Times New Roman" w:hAnsi="Times New Roman"/>
              </w:rPr>
              <w:t>, предвидени в десета част, дял I, глави 1 и 2 от РКИ. За да се избегне двойното отчитане, при изчисляване на стойността на експозицията в {010;</w:t>
            </w:r>
            <w:proofErr w:type="spellStart"/>
            <w:r>
              <w:rPr>
                <w:rFonts w:ascii="Times New Roman" w:hAnsi="Times New Roman"/>
              </w:rPr>
              <w:t>010</w:t>
            </w:r>
            <w:proofErr w:type="spellEnd"/>
            <w:r>
              <w:rPr>
                <w:rFonts w:ascii="Times New Roman" w:hAnsi="Times New Roman"/>
              </w:rPr>
              <w:t>} — {260;010} институциите не докладват корекциите, които вече са били приложени по силата на член 111 от РКИ, нито тези, които не водят до намаляване на стойността на определен актив.</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Pr>
                <w:rFonts w:ascii="Times New Roman" w:hAnsi="Times New Roman"/>
              </w:rPr>
              <w:t xml:space="preserve">Тъй като тези стойности са вече приспаднати от мярката за капитала, те водят до намаляване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и се докладват като отрицателно число.</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t>{290;010}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 xml:space="preserve">Обща експозиция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при използване на „окончателно“ определение на капитал от първи ред</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Институциите докладват следната стойност:</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Pr>
                <w:rFonts w:ascii="Times New Roman" w:hAnsi="Times New Roman"/>
              </w:rPr>
              <w:t>{</w:t>
            </w:r>
            <w:proofErr w:type="spellStart"/>
            <w:r>
              <w:rPr>
                <w:rFonts w:ascii="Times New Roman" w:hAnsi="Times New Roman"/>
              </w:rPr>
              <w:t>LRCalc</w:t>
            </w:r>
            <w:proofErr w:type="spellEnd"/>
            <w:r>
              <w:rPr>
                <w:rFonts w:ascii="Times New Roman" w:hAnsi="Times New Roman"/>
              </w:rPr>
              <w:t>;010;</w:t>
            </w:r>
            <w:proofErr w:type="spellStart"/>
            <w:r>
              <w:rPr>
                <w:rFonts w:ascii="Times New Roman" w:hAnsi="Times New Roman"/>
              </w:rPr>
              <w:t>010</w:t>
            </w:r>
            <w:proofErr w:type="spellEnd"/>
            <w:r>
              <w:rPr>
                <w:rFonts w:ascii="Times New Roman" w:hAnsi="Times New Roman"/>
              </w:rPr>
              <w:t>} + {</w:t>
            </w:r>
            <w:proofErr w:type="spellStart"/>
            <w:r>
              <w:rPr>
                <w:rFonts w:ascii="Times New Roman" w:hAnsi="Times New Roman"/>
              </w:rPr>
              <w:t>LRCalc</w:t>
            </w:r>
            <w:proofErr w:type="spellEnd"/>
            <w:r>
              <w:rPr>
                <w:rFonts w:ascii="Times New Roman" w:hAnsi="Times New Roman"/>
              </w:rPr>
              <w:t>;020;010} + {</w:t>
            </w:r>
            <w:proofErr w:type="spellStart"/>
            <w:r>
              <w:rPr>
                <w:rFonts w:ascii="Times New Roman" w:hAnsi="Times New Roman"/>
              </w:rPr>
              <w:t>LRCalc</w:t>
            </w:r>
            <w:proofErr w:type="spellEnd"/>
            <w:r>
              <w:rPr>
                <w:rFonts w:ascii="Times New Roman" w:hAnsi="Times New Roman"/>
              </w:rPr>
              <w:t>;030;010} + {</w:t>
            </w:r>
            <w:proofErr w:type="spellStart"/>
            <w:r>
              <w:rPr>
                <w:rFonts w:ascii="Times New Roman" w:hAnsi="Times New Roman"/>
              </w:rPr>
              <w:t>LRCalc</w:t>
            </w:r>
            <w:proofErr w:type="spellEnd"/>
            <w:r>
              <w:rPr>
                <w:rFonts w:ascii="Times New Roman" w:hAnsi="Times New Roman"/>
              </w:rPr>
              <w:t>;040;010} + {</w:t>
            </w:r>
            <w:proofErr w:type="spellStart"/>
            <w:r>
              <w:rPr>
                <w:rFonts w:ascii="Times New Roman" w:hAnsi="Times New Roman"/>
              </w:rPr>
              <w:t>LRCalc</w:t>
            </w:r>
            <w:proofErr w:type="spellEnd"/>
            <w:r>
              <w:rPr>
                <w:rFonts w:ascii="Times New Roman" w:hAnsi="Times New Roman"/>
              </w:rPr>
              <w:t>;050;010} + {</w:t>
            </w:r>
            <w:proofErr w:type="spellStart"/>
            <w:r>
              <w:rPr>
                <w:rFonts w:ascii="Times New Roman" w:hAnsi="Times New Roman"/>
              </w:rPr>
              <w:t>LRCalc</w:t>
            </w:r>
            <w:proofErr w:type="spellEnd"/>
            <w:r>
              <w:rPr>
                <w:rFonts w:ascii="Times New Roman" w:hAnsi="Times New Roman"/>
              </w:rPr>
              <w:t>;060;010} + {</w:t>
            </w:r>
            <w:proofErr w:type="spellStart"/>
            <w:r>
              <w:rPr>
                <w:rFonts w:ascii="Times New Roman" w:hAnsi="Times New Roman"/>
              </w:rPr>
              <w:t>LRCalc</w:t>
            </w:r>
            <w:proofErr w:type="spellEnd"/>
            <w:r>
              <w:rPr>
                <w:rFonts w:ascii="Times New Roman" w:hAnsi="Times New Roman"/>
              </w:rPr>
              <w:t>;070;010} + {</w:t>
            </w:r>
            <w:proofErr w:type="spellStart"/>
            <w:r>
              <w:rPr>
                <w:rFonts w:ascii="Times New Roman" w:hAnsi="Times New Roman"/>
              </w:rPr>
              <w:t>LRCalc</w:t>
            </w:r>
            <w:proofErr w:type="spellEnd"/>
            <w:r>
              <w:rPr>
                <w:rFonts w:ascii="Times New Roman" w:hAnsi="Times New Roman"/>
              </w:rPr>
              <w:t>;080;010} + {</w:t>
            </w:r>
            <w:proofErr w:type="spellStart"/>
            <w:r>
              <w:rPr>
                <w:rFonts w:ascii="Times New Roman" w:hAnsi="Times New Roman"/>
              </w:rPr>
              <w:t>LRCalc</w:t>
            </w:r>
            <w:proofErr w:type="spellEnd"/>
            <w:r>
              <w:rPr>
                <w:rFonts w:ascii="Times New Roman" w:hAnsi="Times New Roman"/>
              </w:rPr>
              <w:t>;090;010} + {</w:t>
            </w:r>
            <w:proofErr w:type="spellStart"/>
            <w:r>
              <w:rPr>
                <w:rFonts w:ascii="Times New Roman" w:hAnsi="Times New Roman"/>
              </w:rPr>
              <w:t>LRCalc</w:t>
            </w:r>
            <w:proofErr w:type="spellEnd"/>
            <w:r>
              <w:rPr>
                <w:rFonts w:ascii="Times New Roman" w:hAnsi="Times New Roman"/>
              </w:rPr>
              <w:t>;100;010} + {</w:t>
            </w:r>
            <w:proofErr w:type="spellStart"/>
            <w:r>
              <w:rPr>
                <w:rFonts w:ascii="Times New Roman" w:hAnsi="Times New Roman"/>
              </w:rPr>
              <w:t>LRCalc</w:t>
            </w:r>
            <w:proofErr w:type="spellEnd"/>
            <w:r>
              <w:rPr>
                <w:rFonts w:ascii="Times New Roman" w:hAnsi="Times New Roman"/>
              </w:rPr>
              <w:t>;110;010} + {</w:t>
            </w:r>
            <w:proofErr w:type="spellStart"/>
            <w:r>
              <w:rPr>
                <w:rFonts w:ascii="Times New Roman" w:hAnsi="Times New Roman"/>
              </w:rPr>
              <w:t>LRCalc</w:t>
            </w:r>
            <w:proofErr w:type="spellEnd"/>
            <w:r>
              <w:rPr>
                <w:rFonts w:ascii="Times New Roman" w:hAnsi="Times New Roman"/>
              </w:rPr>
              <w:t xml:space="preserve">;120;010} + </w:t>
            </w:r>
            <w:r>
              <w:rPr>
                <w:rFonts w:ascii="Times New Roman" w:hAnsi="Times New Roman"/>
              </w:rPr>
              <w:lastRenderedPageBreak/>
              <w:t>{</w:t>
            </w:r>
            <w:proofErr w:type="spellStart"/>
            <w:r>
              <w:rPr>
                <w:rFonts w:ascii="Times New Roman" w:hAnsi="Times New Roman"/>
              </w:rPr>
              <w:t>LRCalc</w:t>
            </w:r>
            <w:proofErr w:type="spellEnd"/>
            <w:r>
              <w:rPr>
                <w:rFonts w:ascii="Times New Roman" w:hAnsi="Times New Roman"/>
              </w:rPr>
              <w:t>;130;010} + {</w:t>
            </w:r>
            <w:proofErr w:type="spellStart"/>
            <w:r>
              <w:rPr>
                <w:rFonts w:ascii="Times New Roman" w:hAnsi="Times New Roman"/>
              </w:rPr>
              <w:t>LRCalc</w:t>
            </w:r>
            <w:proofErr w:type="spellEnd"/>
            <w:r>
              <w:rPr>
                <w:rFonts w:ascii="Times New Roman" w:hAnsi="Times New Roman"/>
              </w:rPr>
              <w:t>;140;010} + {</w:t>
            </w:r>
            <w:proofErr w:type="spellStart"/>
            <w:r>
              <w:rPr>
                <w:rFonts w:ascii="Times New Roman" w:hAnsi="Times New Roman"/>
              </w:rPr>
              <w:t>LRCalc</w:t>
            </w:r>
            <w:proofErr w:type="spellEnd"/>
            <w:r>
              <w:rPr>
                <w:rFonts w:ascii="Times New Roman" w:hAnsi="Times New Roman"/>
              </w:rPr>
              <w:t>;150;010} + {</w:t>
            </w:r>
            <w:proofErr w:type="spellStart"/>
            <w:r>
              <w:rPr>
                <w:rFonts w:ascii="Times New Roman" w:hAnsi="Times New Roman"/>
              </w:rPr>
              <w:t>LRCalc</w:t>
            </w:r>
            <w:proofErr w:type="spellEnd"/>
            <w:r>
              <w:rPr>
                <w:rFonts w:ascii="Times New Roman" w:hAnsi="Times New Roman"/>
              </w:rPr>
              <w:t>;160;010} + {</w:t>
            </w:r>
            <w:proofErr w:type="spellStart"/>
            <w:r>
              <w:rPr>
                <w:rFonts w:ascii="Times New Roman" w:hAnsi="Times New Roman"/>
              </w:rPr>
              <w:t>LRCalc</w:t>
            </w:r>
            <w:proofErr w:type="spellEnd"/>
            <w:r>
              <w:rPr>
                <w:rFonts w:ascii="Times New Roman" w:hAnsi="Times New Roman"/>
              </w:rPr>
              <w:t>;170;010} + {</w:t>
            </w:r>
            <w:proofErr w:type="spellStart"/>
            <w:r>
              <w:rPr>
                <w:rFonts w:ascii="Times New Roman" w:hAnsi="Times New Roman"/>
              </w:rPr>
              <w:t>LRCalc</w:t>
            </w:r>
            <w:proofErr w:type="spellEnd"/>
            <w:r>
              <w:rPr>
                <w:rFonts w:ascii="Times New Roman" w:hAnsi="Times New Roman"/>
              </w:rPr>
              <w:t>;180;010} + {</w:t>
            </w:r>
            <w:proofErr w:type="spellStart"/>
            <w:r>
              <w:rPr>
                <w:rFonts w:ascii="Times New Roman" w:hAnsi="Times New Roman"/>
              </w:rPr>
              <w:t>LRCalc</w:t>
            </w:r>
            <w:proofErr w:type="spellEnd"/>
            <w:r>
              <w:rPr>
                <w:rFonts w:ascii="Times New Roman" w:hAnsi="Times New Roman"/>
              </w:rPr>
              <w:t>;190;010} + {</w:t>
            </w:r>
            <w:proofErr w:type="spellStart"/>
            <w:r>
              <w:rPr>
                <w:rFonts w:ascii="Times New Roman" w:hAnsi="Times New Roman"/>
              </w:rPr>
              <w:t>LRCalc</w:t>
            </w:r>
            <w:proofErr w:type="spellEnd"/>
            <w:r>
              <w:rPr>
                <w:rFonts w:ascii="Times New Roman" w:hAnsi="Times New Roman"/>
              </w:rPr>
              <w:t>;200;010} + {</w:t>
            </w:r>
            <w:proofErr w:type="spellStart"/>
            <w:r>
              <w:rPr>
                <w:rFonts w:ascii="Times New Roman" w:hAnsi="Times New Roman"/>
              </w:rPr>
              <w:t>LRCalc</w:t>
            </w:r>
            <w:proofErr w:type="spellEnd"/>
            <w:r>
              <w:rPr>
                <w:rFonts w:ascii="Times New Roman" w:hAnsi="Times New Roman"/>
              </w:rPr>
              <w:t>;210;010} + {</w:t>
            </w:r>
            <w:proofErr w:type="spellStart"/>
            <w:r>
              <w:rPr>
                <w:rFonts w:ascii="Times New Roman" w:hAnsi="Times New Roman"/>
              </w:rPr>
              <w:t>LRCalc</w:t>
            </w:r>
            <w:proofErr w:type="spellEnd"/>
            <w:r>
              <w:rPr>
                <w:rFonts w:ascii="Times New Roman" w:hAnsi="Times New Roman"/>
              </w:rPr>
              <w:t>;220;010} + {</w:t>
            </w:r>
            <w:proofErr w:type="spellStart"/>
            <w:r>
              <w:rPr>
                <w:rFonts w:ascii="Times New Roman" w:hAnsi="Times New Roman"/>
              </w:rPr>
              <w:t>LRCalc</w:t>
            </w:r>
            <w:proofErr w:type="spellEnd"/>
            <w:r>
              <w:rPr>
                <w:rFonts w:ascii="Times New Roman" w:hAnsi="Times New Roman"/>
              </w:rPr>
              <w:t>;230;010} + {</w:t>
            </w:r>
            <w:proofErr w:type="spellStart"/>
            <w:r>
              <w:rPr>
                <w:rFonts w:ascii="Times New Roman" w:hAnsi="Times New Roman"/>
              </w:rPr>
              <w:t>LRCalc</w:t>
            </w:r>
            <w:proofErr w:type="spellEnd"/>
            <w:r>
              <w:rPr>
                <w:rFonts w:ascii="Times New Roman" w:hAnsi="Times New Roman"/>
              </w:rPr>
              <w:t>;240;010} + {</w:t>
            </w:r>
            <w:proofErr w:type="spellStart"/>
            <w:r>
              <w:rPr>
                <w:rFonts w:ascii="Times New Roman" w:hAnsi="Times New Roman"/>
              </w:rPr>
              <w:t>LRCalc</w:t>
            </w:r>
            <w:proofErr w:type="spellEnd"/>
            <w:r>
              <w:rPr>
                <w:rFonts w:ascii="Times New Roman" w:hAnsi="Times New Roman"/>
              </w:rPr>
              <w:t>;250;010} + {</w:t>
            </w:r>
            <w:proofErr w:type="spellStart"/>
            <w:r>
              <w:rPr>
                <w:rFonts w:ascii="Times New Roman" w:hAnsi="Times New Roman"/>
              </w:rPr>
              <w:t>LRCalc</w:t>
            </w:r>
            <w:proofErr w:type="spellEnd"/>
            <w:r>
              <w:rPr>
                <w:rFonts w:ascii="Times New Roman" w:hAnsi="Times New Roman"/>
              </w:rPr>
              <w:t>;260;010} + {</w:t>
            </w:r>
            <w:proofErr w:type="spellStart"/>
            <w:r>
              <w:rPr>
                <w:rFonts w:ascii="Times New Roman" w:hAnsi="Times New Roman"/>
              </w:rPr>
              <w:t>LRCalc</w:t>
            </w:r>
            <w:proofErr w:type="spellEnd"/>
            <w:r>
              <w:rPr>
                <w:rFonts w:ascii="Times New Roman" w:hAnsi="Times New Roman"/>
              </w:rPr>
              <w:t>;270;010}.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Pr>
                <w:rFonts w:ascii="Times New Roman" w:hAnsi="Times New Roman"/>
              </w:rPr>
              <w:lastRenderedPageBreak/>
              <w:t>{300;010}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Pr>
                <w:rFonts w:ascii="Times New Roman" w:hAnsi="Times New Roman"/>
                <w:b/>
              </w:rPr>
              <w:t xml:space="preserve">Обща експозиция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при използване на „преходно“ определение на капитал от първи ред</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Институциите докладват следната стойност:</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rPr>
              <w:t>{</w:t>
            </w:r>
            <w:proofErr w:type="spellStart"/>
            <w:r>
              <w:rPr>
                <w:rFonts w:ascii="Times New Roman" w:hAnsi="Times New Roman"/>
              </w:rPr>
              <w:t>LRCalc</w:t>
            </w:r>
            <w:proofErr w:type="spellEnd"/>
            <w:r>
              <w:rPr>
                <w:rFonts w:ascii="Times New Roman" w:hAnsi="Times New Roman"/>
              </w:rPr>
              <w:t>;010;</w:t>
            </w:r>
            <w:proofErr w:type="spellStart"/>
            <w:r>
              <w:rPr>
                <w:rFonts w:ascii="Times New Roman" w:hAnsi="Times New Roman"/>
              </w:rPr>
              <w:t>010</w:t>
            </w:r>
            <w:proofErr w:type="spellEnd"/>
            <w:r>
              <w:rPr>
                <w:rFonts w:ascii="Times New Roman" w:hAnsi="Times New Roman"/>
              </w:rPr>
              <w:t>} + {</w:t>
            </w:r>
            <w:proofErr w:type="spellStart"/>
            <w:r>
              <w:rPr>
                <w:rFonts w:ascii="Times New Roman" w:hAnsi="Times New Roman"/>
              </w:rPr>
              <w:t>LRCalc</w:t>
            </w:r>
            <w:proofErr w:type="spellEnd"/>
            <w:r>
              <w:rPr>
                <w:rFonts w:ascii="Times New Roman" w:hAnsi="Times New Roman"/>
              </w:rPr>
              <w:t>;020;010} + {</w:t>
            </w:r>
            <w:proofErr w:type="spellStart"/>
            <w:r>
              <w:rPr>
                <w:rFonts w:ascii="Times New Roman" w:hAnsi="Times New Roman"/>
              </w:rPr>
              <w:t>LRCalc</w:t>
            </w:r>
            <w:proofErr w:type="spellEnd"/>
            <w:r>
              <w:rPr>
                <w:rFonts w:ascii="Times New Roman" w:hAnsi="Times New Roman"/>
              </w:rPr>
              <w:t>;030;010} + {</w:t>
            </w:r>
            <w:proofErr w:type="spellStart"/>
            <w:r>
              <w:rPr>
                <w:rFonts w:ascii="Times New Roman" w:hAnsi="Times New Roman"/>
              </w:rPr>
              <w:t>LRCalc</w:t>
            </w:r>
            <w:proofErr w:type="spellEnd"/>
            <w:r>
              <w:rPr>
                <w:rFonts w:ascii="Times New Roman" w:hAnsi="Times New Roman"/>
              </w:rPr>
              <w:t>;040;010} + {</w:t>
            </w:r>
            <w:proofErr w:type="spellStart"/>
            <w:r>
              <w:rPr>
                <w:rFonts w:ascii="Times New Roman" w:hAnsi="Times New Roman"/>
              </w:rPr>
              <w:t>LRCalc</w:t>
            </w:r>
            <w:proofErr w:type="spellEnd"/>
            <w:r>
              <w:rPr>
                <w:rFonts w:ascii="Times New Roman" w:hAnsi="Times New Roman"/>
              </w:rPr>
              <w:t>;050;010} + {</w:t>
            </w:r>
            <w:proofErr w:type="spellStart"/>
            <w:r>
              <w:rPr>
                <w:rFonts w:ascii="Times New Roman" w:hAnsi="Times New Roman"/>
              </w:rPr>
              <w:t>LRCalc</w:t>
            </w:r>
            <w:proofErr w:type="spellEnd"/>
            <w:r>
              <w:rPr>
                <w:rFonts w:ascii="Times New Roman" w:hAnsi="Times New Roman"/>
              </w:rPr>
              <w:t>;060;010} + {</w:t>
            </w:r>
            <w:proofErr w:type="spellStart"/>
            <w:r>
              <w:rPr>
                <w:rFonts w:ascii="Times New Roman" w:hAnsi="Times New Roman"/>
              </w:rPr>
              <w:t>LRCalc</w:t>
            </w:r>
            <w:proofErr w:type="spellEnd"/>
            <w:r>
              <w:rPr>
                <w:rFonts w:ascii="Times New Roman" w:hAnsi="Times New Roman"/>
              </w:rPr>
              <w:t>;070;010} + {</w:t>
            </w:r>
            <w:proofErr w:type="spellStart"/>
            <w:r>
              <w:rPr>
                <w:rFonts w:ascii="Times New Roman" w:hAnsi="Times New Roman"/>
              </w:rPr>
              <w:t>LRCalc</w:t>
            </w:r>
            <w:proofErr w:type="spellEnd"/>
            <w:r>
              <w:rPr>
                <w:rFonts w:ascii="Times New Roman" w:hAnsi="Times New Roman"/>
              </w:rPr>
              <w:t>;080;010} + {</w:t>
            </w:r>
            <w:proofErr w:type="spellStart"/>
            <w:r>
              <w:rPr>
                <w:rFonts w:ascii="Times New Roman" w:hAnsi="Times New Roman"/>
              </w:rPr>
              <w:t>LRCalc</w:t>
            </w:r>
            <w:proofErr w:type="spellEnd"/>
            <w:r>
              <w:rPr>
                <w:rFonts w:ascii="Times New Roman" w:hAnsi="Times New Roman"/>
              </w:rPr>
              <w:t>;090;010} + {</w:t>
            </w:r>
            <w:proofErr w:type="spellStart"/>
            <w:r>
              <w:rPr>
                <w:rFonts w:ascii="Times New Roman" w:hAnsi="Times New Roman"/>
              </w:rPr>
              <w:t>LRCalc</w:t>
            </w:r>
            <w:proofErr w:type="spellEnd"/>
            <w:r>
              <w:rPr>
                <w:rFonts w:ascii="Times New Roman" w:hAnsi="Times New Roman"/>
              </w:rPr>
              <w:t>;100;010} + {</w:t>
            </w:r>
            <w:proofErr w:type="spellStart"/>
            <w:r>
              <w:rPr>
                <w:rFonts w:ascii="Times New Roman" w:hAnsi="Times New Roman"/>
              </w:rPr>
              <w:t>LRCalc</w:t>
            </w:r>
            <w:proofErr w:type="spellEnd"/>
            <w:r>
              <w:rPr>
                <w:rFonts w:ascii="Times New Roman" w:hAnsi="Times New Roman"/>
              </w:rPr>
              <w:t>;110;010} + {</w:t>
            </w:r>
            <w:proofErr w:type="spellStart"/>
            <w:r>
              <w:rPr>
                <w:rFonts w:ascii="Times New Roman" w:hAnsi="Times New Roman"/>
              </w:rPr>
              <w:t>LRCalc</w:t>
            </w:r>
            <w:proofErr w:type="spellEnd"/>
            <w:r>
              <w:rPr>
                <w:rFonts w:ascii="Times New Roman" w:hAnsi="Times New Roman"/>
              </w:rPr>
              <w:t>;120;010} + {</w:t>
            </w:r>
            <w:proofErr w:type="spellStart"/>
            <w:r>
              <w:rPr>
                <w:rFonts w:ascii="Times New Roman" w:hAnsi="Times New Roman"/>
              </w:rPr>
              <w:t>LRCalc</w:t>
            </w:r>
            <w:proofErr w:type="spellEnd"/>
            <w:r>
              <w:rPr>
                <w:rFonts w:ascii="Times New Roman" w:hAnsi="Times New Roman"/>
              </w:rPr>
              <w:t>;130;010} - {</w:t>
            </w:r>
            <w:proofErr w:type="spellStart"/>
            <w:r>
              <w:rPr>
                <w:rFonts w:ascii="Times New Roman" w:hAnsi="Times New Roman"/>
              </w:rPr>
              <w:t>LRCalc</w:t>
            </w:r>
            <w:proofErr w:type="spellEnd"/>
            <w:r>
              <w:rPr>
                <w:rFonts w:ascii="Times New Roman" w:hAnsi="Times New Roman"/>
              </w:rPr>
              <w:t>;140;010} + {</w:t>
            </w:r>
            <w:proofErr w:type="spellStart"/>
            <w:r>
              <w:rPr>
                <w:rFonts w:ascii="Times New Roman" w:hAnsi="Times New Roman"/>
              </w:rPr>
              <w:t>LRCalc</w:t>
            </w:r>
            <w:proofErr w:type="spellEnd"/>
            <w:r>
              <w:rPr>
                <w:rFonts w:ascii="Times New Roman" w:hAnsi="Times New Roman"/>
              </w:rPr>
              <w:t>;150;010} + {</w:t>
            </w:r>
            <w:proofErr w:type="spellStart"/>
            <w:r>
              <w:rPr>
                <w:rFonts w:ascii="Times New Roman" w:hAnsi="Times New Roman"/>
              </w:rPr>
              <w:t>LRCalc</w:t>
            </w:r>
            <w:proofErr w:type="spellEnd"/>
            <w:r>
              <w:rPr>
                <w:rFonts w:ascii="Times New Roman" w:hAnsi="Times New Roman"/>
              </w:rPr>
              <w:t>;160;010} + {</w:t>
            </w:r>
            <w:proofErr w:type="spellStart"/>
            <w:r>
              <w:rPr>
                <w:rFonts w:ascii="Times New Roman" w:hAnsi="Times New Roman"/>
              </w:rPr>
              <w:t>LRCalc</w:t>
            </w:r>
            <w:proofErr w:type="spellEnd"/>
            <w:r>
              <w:rPr>
                <w:rFonts w:ascii="Times New Roman" w:hAnsi="Times New Roman"/>
              </w:rPr>
              <w:t>;170;010} + {</w:t>
            </w:r>
            <w:proofErr w:type="spellStart"/>
            <w:r>
              <w:rPr>
                <w:rFonts w:ascii="Times New Roman" w:hAnsi="Times New Roman"/>
              </w:rPr>
              <w:t>LRCalc</w:t>
            </w:r>
            <w:proofErr w:type="spellEnd"/>
            <w:r>
              <w:rPr>
                <w:rFonts w:ascii="Times New Roman" w:hAnsi="Times New Roman"/>
              </w:rPr>
              <w:t>;180;010} + {</w:t>
            </w:r>
            <w:proofErr w:type="spellStart"/>
            <w:r>
              <w:rPr>
                <w:rFonts w:ascii="Times New Roman" w:hAnsi="Times New Roman"/>
              </w:rPr>
              <w:t>LRCalc</w:t>
            </w:r>
            <w:proofErr w:type="spellEnd"/>
            <w:r>
              <w:rPr>
                <w:rFonts w:ascii="Times New Roman" w:hAnsi="Times New Roman"/>
              </w:rPr>
              <w:t>;190;010} + {</w:t>
            </w:r>
            <w:proofErr w:type="spellStart"/>
            <w:r>
              <w:rPr>
                <w:rFonts w:ascii="Times New Roman" w:hAnsi="Times New Roman"/>
              </w:rPr>
              <w:t>LRCalc</w:t>
            </w:r>
            <w:proofErr w:type="spellEnd"/>
            <w:r>
              <w:rPr>
                <w:rFonts w:ascii="Times New Roman" w:hAnsi="Times New Roman"/>
              </w:rPr>
              <w:t>;200;010} + {</w:t>
            </w:r>
            <w:proofErr w:type="spellStart"/>
            <w:r>
              <w:rPr>
                <w:rFonts w:ascii="Times New Roman" w:hAnsi="Times New Roman"/>
              </w:rPr>
              <w:t>LRCalc</w:t>
            </w:r>
            <w:proofErr w:type="spellEnd"/>
            <w:r>
              <w:rPr>
                <w:rFonts w:ascii="Times New Roman" w:hAnsi="Times New Roman"/>
              </w:rPr>
              <w:t>;210;010} + {</w:t>
            </w:r>
            <w:proofErr w:type="spellStart"/>
            <w:r>
              <w:rPr>
                <w:rFonts w:ascii="Times New Roman" w:hAnsi="Times New Roman"/>
              </w:rPr>
              <w:t>LRCalc</w:t>
            </w:r>
            <w:proofErr w:type="spellEnd"/>
            <w:r>
              <w:rPr>
                <w:rFonts w:ascii="Times New Roman" w:hAnsi="Times New Roman"/>
              </w:rPr>
              <w:t>;220;010} + {</w:t>
            </w:r>
            <w:proofErr w:type="spellStart"/>
            <w:r>
              <w:rPr>
                <w:rFonts w:ascii="Times New Roman" w:hAnsi="Times New Roman"/>
              </w:rPr>
              <w:t>LRCalc</w:t>
            </w:r>
            <w:proofErr w:type="spellEnd"/>
            <w:r>
              <w:rPr>
                <w:rFonts w:ascii="Times New Roman" w:hAnsi="Times New Roman"/>
              </w:rPr>
              <w:t>;230;010} + {</w:t>
            </w:r>
            <w:proofErr w:type="spellStart"/>
            <w:r>
              <w:rPr>
                <w:rFonts w:ascii="Times New Roman" w:hAnsi="Times New Roman"/>
              </w:rPr>
              <w:t>LRCalc</w:t>
            </w:r>
            <w:proofErr w:type="spellEnd"/>
            <w:r>
              <w:rPr>
                <w:rFonts w:ascii="Times New Roman" w:hAnsi="Times New Roman"/>
              </w:rPr>
              <w:t>;240;010} + {</w:t>
            </w:r>
            <w:proofErr w:type="spellStart"/>
            <w:r>
              <w:rPr>
                <w:rFonts w:ascii="Times New Roman" w:hAnsi="Times New Roman"/>
              </w:rPr>
              <w:t>LRCalc</w:t>
            </w:r>
            <w:proofErr w:type="spellEnd"/>
            <w:r>
              <w:rPr>
                <w:rFonts w:ascii="Times New Roman" w:hAnsi="Times New Roman"/>
              </w:rPr>
              <w:t>;250;010} + {</w:t>
            </w:r>
            <w:proofErr w:type="spellStart"/>
            <w:r>
              <w:rPr>
                <w:rFonts w:ascii="Times New Roman" w:hAnsi="Times New Roman"/>
              </w:rPr>
              <w:t>LRCalc</w:t>
            </w:r>
            <w:proofErr w:type="spellEnd"/>
            <w:r>
              <w:rPr>
                <w:rFonts w:ascii="Times New Roman" w:hAnsi="Times New Roman"/>
              </w:rPr>
              <w:t>;260;010} + {</w:t>
            </w:r>
            <w:proofErr w:type="spellStart"/>
            <w:r>
              <w:rPr>
                <w:rFonts w:ascii="Times New Roman" w:hAnsi="Times New Roman"/>
              </w:rPr>
              <w:t>LRCalc</w:t>
            </w:r>
            <w:proofErr w:type="spellEnd"/>
            <w:r>
              <w:rPr>
                <w:rFonts w:ascii="Times New Roman" w:hAnsi="Times New Roman"/>
              </w:rPr>
              <w:t>;280;010}.</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Pr>
                <w:rFonts w:ascii="Times New Roman" w:hAnsi="Times New Roman"/>
                <w:b/>
              </w:rPr>
              <w:t xml:space="preserve">Ред </w:t>
            </w:r>
          </w:p>
          <w:p w:rsidR="009264ED" w:rsidRPr="00FE002E" w:rsidRDefault="009264ED" w:rsidP="00FE0FF1">
            <w:pPr>
              <w:pStyle w:val="BodyText1"/>
              <w:rPr>
                <w:rFonts w:ascii="Times New Roman" w:hAnsi="Times New Roman"/>
                <w:b/>
                <w:bCs/>
              </w:rPr>
            </w:pPr>
            <w:r>
              <w:rPr>
                <w:rFonts w:ascii="Times New Roman" w:hAnsi="Times New Roman"/>
                <w:b/>
              </w:rPr>
              <w:t>и колона</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Pr>
                <w:rFonts w:ascii="Times New Roman" w:hAnsi="Times New Roman"/>
                <w:b/>
              </w:rPr>
              <w:t xml:space="preserve">Капитал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{310;010}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Pr>
                <w:rFonts w:ascii="Times New Roman" w:hAnsi="Times New Roman"/>
                <w:b/>
              </w:rPr>
              <w:t>Капитал от първи ред — „окончателно“ определение</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Член 429, параграф 3 и член 499, параграф 1 от РКИ</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Това е размерът на капитала от първи ред, изчислен в съответствие с член 25 от РКИ, без да се взема предвид </w:t>
            </w:r>
            <w:proofErr w:type="spellStart"/>
            <w:r>
              <w:rPr>
                <w:rFonts w:ascii="Times New Roman" w:hAnsi="Times New Roman"/>
              </w:rPr>
              <w:t>дерогацията</w:t>
            </w:r>
            <w:proofErr w:type="spellEnd"/>
            <w:r>
              <w:rPr>
                <w:rFonts w:ascii="Times New Roman" w:hAnsi="Times New Roman"/>
              </w:rPr>
              <w:t>, предвидена в десета част, дял I, глави 1 и 2 от РКИ.</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Pr>
                <w:rFonts w:ascii="Times New Roman" w:hAnsi="Times New Roman"/>
              </w:rPr>
              <w:t>{320;010}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Капитал от първи ред – „преходно“ определение</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Член 429, параграф 3 и член 499, параграф 1 от РКИ</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Това е размерът на капитала от първи ред, изчислен в съответствие с член 25 от РКИ, след като се вземе предвид </w:t>
            </w:r>
            <w:proofErr w:type="spellStart"/>
            <w:r>
              <w:rPr>
                <w:rFonts w:ascii="Times New Roman" w:hAnsi="Times New Roman"/>
              </w:rPr>
              <w:t>дерогацията</w:t>
            </w:r>
            <w:proofErr w:type="spellEnd"/>
            <w:r>
              <w:rPr>
                <w:rFonts w:ascii="Times New Roman" w:hAnsi="Times New Roman"/>
              </w:rPr>
              <w:t>, предвидена в десета част, дял I, глава 1 и 2 от РКИ.</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Pr>
                <w:rFonts w:ascii="Times New Roman" w:hAnsi="Times New Roman"/>
                <w:b/>
              </w:rPr>
              <w:t xml:space="preserve">Ред </w:t>
            </w:r>
          </w:p>
          <w:p w:rsidR="009264ED" w:rsidRPr="00FE002E" w:rsidRDefault="009264ED" w:rsidP="00FE0FF1">
            <w:pPr>
              <w:pStyle w:val="BodyText1"/>
              <w:rPr>
                <w:rFonts w:ascii="Times New Roman" w:hAnsi="Times New Roman"/>
                <w:b/>
                <w:bCs/>
              </w:rPr>
            </w:pPr>
            <w:r>
              <w:rPr>
                <w:rFonts w:ascii="Times New Roman" w:hAnsi="Times New Roman"/>
                <w:b/>
              </w:rPr>
              <w:t>и колона</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 xml:space="preserve">Коефициент на </w:t>
            </w:r>
            <w:proofErr w:type="spellStart"/>
            <w:r>
              <w:rPr>
                <w:rFonts w:ascii="Times New Roman" w:hAnsi="Times New Roman"/>
                <w:b/>
              </w:rPr>
              <w:t>ливъридж</w:t>
            </w:r>
            <w:proofErr w:type="spellEnd"/>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Pr>
                <w:rFonts w:ascii="Times New Roman" w:hAnsi="Times New Roman"/>
              </w:rPr>
              <w:t>{330;010}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 xml:space="preserve">Отношение на </w:t>
            </w:r>
            <w:proofErr w:type="spellStart"/>
            <w:r>
              <w:rPr>
                <w:rFonts w:ascii="Times New Roman" w:hAnsi="Times New Roman"/>
                <w:b/>
              </w:rPr>
              <w:t>ливъридж</w:t>
            </w:r>
            <w:proofErr w:type="spellEnd"/>
            <w:r>
              <w:rPr>
                <w:rFonts w:ascii="Times New Roman" w:hAnsi="Times New Roman"/>
                <w:b/>
              </w:rPr>
              <w:t xml:space="preserve"> — при използване на „окончателното“ определение на капитал от първи ред</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Член 429, параграф 2 и член 499, параграф 1 от РКИ</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 xml:space="preserve">Това е отношението на </w:t>
            </w:r>
            <w:proofErr w:type="spellStart"/>
            <w:r>
              <w:rPr>
                <w:rFonts w:ascii="Times New Roman" w:hAnsi="Times New Roman"/>
              </w:rPr>
              <w:t>ливъридж</w:t>
            </w:r>
            <w:proofErr w:type="spellEnd"/>
            <w:r>
              <w:rPr>
                <w:rFonts w:ascii="Times New Roman" w:hAnsi="Times New Roman"/>
              </w:rPr>
              <w:t xml:space="preserve">, изчислено съгласно част II, параграф 4 от настоящото приложение.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Pr>
                <w:rFonts w:ascii="Times New Roman" w:hAnsi="Times New Roman"/>
              </w:rPr>
              <w:t>{340;010}</w:t>
            </w:r>
          </w:p>
        </w:tc>
        <w:tc>
          <w:tcPr>
            <w:tcW w:w="7590" w:type="dxa"/>
          </w:tcPr>
          <w:p w:rsidR="009264ED" w:rsidRPr="00FE002E" w:rsidRDefault="009264ED" w:rsidP="00FE0FF1">
            <w:pPr>
              <w:pStyle w:val="BodyText1"/>
              <w:spacing w:line="240" w:lineRule="auto"/>
              <w:rPr>
                <w:rFonts w:ascii="Times New Roman" w:hAnsi="Times New Roman"/>
                <w:b/>
                <w:bCs/>
              </w:rPr>
            </w:pPr>
            <w:r>
              <w:rPr>
                <w:rFonts w:ascii="Times New Roman" w:hAnsi="Times New Roman"/>
                <w:b/>
              </w:rPr>
              <w:t xml:space="preserve">Отношение на </w:t>
            </w:r>
            <w:proofErr w:type="spellStart"/>
            <w:r>
              <w:rPr>
                <w:rFonts w:ascii="Times New Roman" w:hAnsi="Times New Roman"/>
                <w:b/>
              </w:rPr>
              <w:t>ливъридж</w:t>
            </w:r>
            <w:proofErr w:type="spellEnd"/>
            <w:r>
              <w:rPr>
                <w:rFonts w:ascii="Times New Roman" w:hAnsi="Times New Roman"/>
                <w:b/>
              </w:rPr>
              <w:t xml:space="preserve"> — при използване на „преходното“ определение на капитал от първи ред</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Pr>
                <w:rFonts w:ascii="Times New Roman" w:hAnsi="Times New Roman"/>
              </w:rPr>
              <w:t>Член 429, параграф 2 и член 499, параграф 1 от РКИ</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Pr>
                <w:rFonts w:ascii="Times New Roman" w:hAnsi="Times New Roman"/>
              </w:rPr>
              <w:t xml:space="preserve">Това е отношението на </w:t>
            </w:r>
            <w:proofErr w:type="spellStart"/>
            <w:r>
              <w:rPr>
                <w:rFonts w:ascii="Times New Roman" w:hAnsi="Times New Roman"/>
              </w:rPr>
              <w:t>ливъридж</w:t>
            </w:r>
            <w:proofErr w:type="spellEnd"/>
            <w:r>
              <w:rPr>
                <w:rFonts w:ascii="Times New Roman" w:hAnsi="Times New Roman"/>
              </w:rPr>
              <w:t>, изчислено съгласно част II, параграф 5 от настоящото приложение.</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59" w:name="_Toc351048507"/>
      <w:bookmarkStart w:id="60" w:name="_Toc359414286"/>
      <w:bookmarkStart w:id="61" w:name="_Toc423089071"/>
      <w:bookmarkStart w:id="62" w:name="_Toc523907710"/>
      <w:r>
        <w:rPr>
          <w:rFonts w:ascii="Times New Roman" w:hAnsi="Times New Roman"/>
          <w:b/>
        </w:rPr>
        <w:t>5.</w:t>
      </w:r>
      <w:r>
        <w:tab/>
      </w:r>
      <w:r>
        <w:rPr>
          <w:rFonts w:ascii="Times New Roman" w:hAnsi="Times New Roman"/>
          <w:b/>
        </w:rPr>
        <w:t>Алтернативно третиране на мярката за експозиция</w:t>
      </w:r>
      <w:bookmarkEnd w:id="54"/>
      <w:bookmarkEnd w:id="59"/>
      <w:bookmarkEnd w:id="60"/>
      <w:r>
        <w:rPr>
          <w:rFonts w:ascii="Times New Roman" w:hAnsi="Times New Roman"/>
          <w:b/>
        </w:rPr>
        <w:t xml:space="preserve"> (LR1)</w:t>
      </w:r>
      <w:bookmarkEnd w:id="61"/>
      <w:bookmarkEnd w:id="62"/>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21.</w:t>
      </w:r>
      <w:r>
        <w:tab/>
      </w:r>
      <w:r>
        <w:rPr>
          <w:rFonts w:ascii="Times New Roman" w:hAnsi="Times New Roman"/>
        </w:rPr>
        <w:t xml:space="preserve">В тази част от докладването се събират данни за алтернативното третиране на дериватите, СФЦК и </w:t>
      </w:r>
      <w:proofErr w:type="spellStart"/>
      <w:r>
        <w:rPr>
          <w:rFonts w:ascii="Times New Roman" w:hAnsi="Times New Roman"/>
        </w:rPr>
        <w:t>задбалансовите</w:t>
      </w:r>
      <w:proofErr w:type="spellEnd"/>
      <w:r>
        <w:rPr>
          <w:rFonts w:ascii="Times New Roman" w:hAnsi="Times New Roman"/>
        </w:rPr>
        <w:t xml:space="preserve"> позиции. </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Pr>
          <w:rFonts w:ascii="Times New Roman" w:hAnsi="Times New Roman"/>
        </w:rPr>
        <w:t>22.</w:t>
      </w:r>
      <w:r>
        <w:tab/>
      </w:r>
      <w:r>
        <w:rPr>
          <w:rFonts w:ascii="Times New Roman" w:hAnsi="Times New Roman"/>
        </w:rPr>
        <w:t xml:space="preserve">Институциите определят „отчетните балансови стойности“ в LR1 въз основа на приложимата счетоводна рамка, както е определена в член 4, параграф 1, точка 77 от РКИ. „Счетоводна стойност, без </w:t>
      </w:r>
      <w:proofErr w:type="spellStart"/>
      <w:r>
        <w:rPr>
          <w:rFonts w:ascii="Times New Roman" w:hAnsi="Times New Roman"/>
        </w:rPr>
        <w:t>нетиране</w:t>
      </w:r>
      <w:proofErr w:type="spellEnd"/>
      <w:r>
        <w:rPr>
          <w:rFonts w:ascii="Times New Roman" w:hAnsi="Times New Roman"/>
        </w:rPr>
        <w:t xml:space="preserve"> или друго РКР“ се отнася до счетоводната балансова стойност, без да се взимат предвид ефектите от </w:t>
      </w:r>
      <w:proofErr w:type="spellStart"/>
      <w:r>
        <w:rPr>
          <w:rFonts w:ascii="Times New Roman" w:hAnsi="Times New Roman"/>
        </w:rPr>
        <w:t>нетиране</w:t>
      </w:r>
      <w:proofErr w:type="spellEnd"/>
      <w:r>
        <w:rPr>
          <w:rFonts w:ascii="Times New Roman" w:hAnsi="Times New Roman"/>
        </w:rPr>
        <w:t xml:space="preserve"> или друго редуциране на кредитния риск. </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Pr>
          <w:rFonts w:ascii="Times New Roman" w:hAnsi="Times New Roman"/>
        </w:rPr>
        <w:t>23.</w:t>
      </w:r>
      <w:r>
        <w:tab/>
      </w:r>
      <w:r>
        <w:rPr>
          <w:rFonts w:ascii="Times New Roman" w:hAnsi="Times New Roman"/>
        </w:rPr>
        <w:t>Освен {250;120} и {260;120}, институциите докладват LR1, все едно че изключенията, посочени в полета </w:t>
      </w:r>
      <w:proofErr w:type="spellStart"/>
      <w:r>
        <w:rPr>
          <w:rFonts w:ascii="Times New Roman" w:hAnsi="Times New Roman"/>
        </w:rPr>
        <w:t>LRCalc</w:t>
      </w:r>
      <w:proofErr w:type="spellEnd"/>
      <w:r>
        <w:rPr>
          <w:rFonts w:ascii="Times New Roman" w:hAnsi="Times New Roman"/>
        </w:rPr>
        <w:t xml:space="preserve"> {050;010}, {080;010}, {100;010}, {120;010}, {220;010}, {250;010} и {260;010}, не се прилагат.</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Ред </w:t>
            </w:r>
          </w:p>
          <w:p w:rsidR="00F4754B" w:rsidRPr="00FE002E" w:rsidRDefault="00F4754B" w:rsidP="00F4754B">
            <w:pPr>
              <w:pStyle w:val="BodyText1"/>
              <w:rPr>
                <w:rFonts w:ascii="Times New Roman" w:hAnsi="Times New Roman"/>
                <w:b/>
              </w:rPr>
            </w:pPr>
            <w:r>
              <w:rPr>
                <w:rFonts w:ascii="Times New Roman" w:hAnsi="Times New Roman"/>
                <w:b/>
              </w:rPr>
              <w:t>и колона</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Препратки към правни норми и указания</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w:t>
            </w:r>
            <w:proofErr w:type="spellStart"/>
            <w:r>
              <w:rPr>
                <w:rFonts w:ascii="Times New Roman" w:hAnsi="Times New Roman"/>
              </w:rPr>
              <w:t>010</w:t>
            </w:r>
            <w:proofErr w:type="spellEnd"/>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Cs/>
                <w:u w:val="single"/>
              </w:rPr>
            </w:pPr>
            <w:r>
              <w:rPr>
                <w:rFonts w:ascii="Times New Roman" w:hAnsi="Times New Roman"/>
                <w:b/>
              </w:rPr>
              <w:t>Деривати — Счетоводна балансова стойност</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Това е сборът на {020;010}, {050;010} и {060;010}.</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{010;020}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Деривати — Счетоводна стойност, без </w:t>
            </w:r>
            <w:proofErr w:type="spellStart"/>
            <w:r>
              <w:rPr>
                <w:rFonts w:ascii="Times New Roman" w:hAnsi="Times New Roman"/>
                <w:b/>
              </w:rPr>
              <w:t>нетиране</w:t>
            </w:r>
            <w:proofErr w:type="spellEnd"/>
            <w:r>
              <w:rPr>
                <w:rFonts w:ascii="Times New Roman" w:hAnsi="Times New Roman"/>
                <w:b/>
              </w:rPr>
              <w:t xml:space="preserve"> или друго РКР</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Това е сборът на {020;</w:t>
            </w:r>
            <w:proofErr w:type="spellStart"/>
            <w:r>
              <w:rPr>
                <w:rFonts w:ascii="Times New Roman" w:hAnsi="Times New Roman"/>
              </w:rPr>
              <w:t>020</w:t>
            </w:r>
            <w:proofErr w:type="spellEnd"/>
            <w:r>
              <w:rPr>
                <w:rFonts w:ascii="Times New Roman" w:hAnsi="Times New Roman"/>
              </w:rPr>
              <w:t>}, {050;020} и {060;020}.</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{010;050}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Деривати — Добавка по метода на пазарната оценка (без </w:t>
            </w:r>
            <w:proofErr w:type="spellStart"/>
            <w:r>
              <w:rPr>
                <w:rFonts w:ascii="Times New Roman" w:hAnsi="Times New Roman"/>
                <w:b/>
              </w:rPr>
              <w:t>нетиране</w:t>
            </w:r>
            <w:proofErr w:type="spellEnd"/>
            <w:r>
              <w:rPr>
                <w:rFonts w:ascii="Times New Roman" w:hAnsi="Times New Roman"/>
                <w:b/>
              </w:rPr>
              <w:t xml:space="preserve"> или друго РКР)</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Това е сборът на {020;050}, {</w:t>
            </w:r>
            <w:proofErr w:type="spellStart"/>
            <w:r>
              <w:rPr>
                <w:rFonts w:ascii="Times New Roman" w:hAnsi="Times New Roman"/>
              </w:rPr>
              <w:t>050</w:t>
            </w:r>
            <w:proofErr w:type="spellEnd"/>
            <w:r>
              <w:rPr>
                <w:rFonts w:ascii="Times New Roman" w:hAnsi="Times New Roman"/>
              </w:rPr>
              <w:t>;050} и {060;050}.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{010;070}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Деривати — Условна стойност</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Това е сборът на {020;070}, {050;070} и {060;070}.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Кредитни деривати (продадена защита) — Отчетна балансова стойност</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Член 4, параграф 1, точка 77 от РКИ</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Счетоводната балансова стойност, по приложимата счетоводна уредба, на кредитните деривати, когато институцията продава кредитна защита на контрагент и договорът е признат като актив в баланса.</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w:t>
            </w:r>
            <w:proofErr w:type="spellStart"/>
            <w:r>
              <w:rPr>
                <w:rFonts w:ascii="Times New Roman" w:hAnsi="Times New Roman"/>
              </w:rPr>
              <w:t>020</w:t>
            </w:r>
            <w:proofErr w:type="spellEnd"/>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Кредитни деривати (продадена защита) — Счетоводна стойност, без </w:t>
            </w:r>
            <w:proofErr w:type="spellStart"/>
            <w:r>
              <w:rPr>
                <w:rFonts w:ascii="Times New Roman" w:hAnsi="Times New Roman"/>
                <w:b/>
              </w:rPr>
              <w:t>нетиране</w:t>
            </w:r>
            <w:proofErr w:type="spellEnd"/>
            <w:r>
              <w:rPr>
                <w:rFonts w:ascii="Times New Roman" w:hAnsi="Times New Roman"/>
                <w:b/>
              </w:rPr>
              <w:t xml:space="preserve"> или друго РКР</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Член 4, параграф 1, точка 77 от РКИ</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Счетоводната балансова стойност, по приложимата счетоводна уредба, на кредитните деривати, когато институцията продава кредитна защита на контрагент и договорът е вписан като актив в баланса, като се допуска, че няма ефект на счетоводно </w:t>
            </w:r>
            <w:proofErr w:type="spellStart"/>
            <w:r>
              <w:rPr>
                <w:rFonts w:ascii="Times New Roman" w:hAnsi="Times New Roman"/>
              </w:rPr>
              <w:t>нетиране</w:t>
            </w:r>
            <w:proofErr w:type="spellEnd"/>
            <w:r>
              <w:rPr>
                <w:rFonts w:ascii="Times New Roman" w:hAnsi="Times New Roman"/>
              </w:rPr>
              <w:t xml:space="preserve"> или друго РКР (т.е. са елиминирани всякакви ефекти на счетоводно </w:t>
            </w:r>
            <w:proofErr w:type="spellStart"/>
            <w:r>
              <w:rPr>
                <w:rFonts w:ascii="Times New Roman" w:hAnsi="Times New Roman"/>
              </w:rPr>
              <w:t>нетиране</w:t>
            </w:r>
            <w:proofErr w:type="spellEnd"/>
            <w:r>
              <w:rPr>
                <w:rFonts w:ascii="Times New Roman" w:hAnsi="Times New Roman"/>
              </w:rPr>
              <w:t xml:space="preserve"> или РКР върху балансовата стойност ).</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{020;050}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Кредитни деривати (продадена защита) — Добавка по метода на пазарната оценка (без </w:t>
            </w:r>
            <w:proofErr w:type="spellStart"/>
            <w:r>
              <w:rPr>
                <w:rFonts w:ascii="Times New Roman" w:hAnsi="Times New Roman"/>
                <w:b/>
              </w:rPr>
              <w:t>нетиране</w:t>
            </w:r>
            <w:proofErr w:type="spellEnd"/>
            <w:r>
              <w:rPr>
                <w:rFonts w:ascii="Times New Roman" w:hAnsi="Times New Roman"/>
                <w:b/>
              </w:rPr>
              <w:t xml:space="preserve"> или друго РКР)</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lastRenderedPageBreak/>
              <w:t>Това е сборът на {030;050} и {040;050}.</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{020;070}</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Кредитни деривати (продадена защита) — Условна стойност</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Това е сборът на полета {030;070} и {040;070}.</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{020;075}</w:t>
            </w:r>
          </w:p>
        </w:tc>
        <w:tc>
          <w:tcPr>
            <w:tcW w:w="7620" w:type="dxa"/>
          </w:tcPr>
          <w:p w:rsidR="00410E47" w:rsidRPr="00FE002E" w:rsidRDefault="00410E47" w:rsidP="006B5E42">
            <w:pPr>
              <w:pStyle w:val="BodyText1"/>
              <w:spacing w:line="240" w:lineRule="auto"/>
              <w:rPr>
                <w:rFonts w:ascii="Times New Roman" w:hAnsi="Times New Roman"/>
                <w:b/>
                <w:bCs/>
              </w:rPr>
            </w:pPr>
            <w:r>
              <w:rPr>
                <w:rFonts w:ascii="Times New Roman" w:hAnsi="Times New Roman"/>
                <w:b/>
              </w:rPr>
              <w:t>Кредитни деривати (продадена защита) — Ограничена условна стойност</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Pr>
                <w:rFonts w:ascii="Times New Roman" w:hAnsi="Times New Roman"/>
              </w:rPr>
              <w:t>В това поле се посочва условната стойност по кредитните деривати (продадена защита), както в {020; 070}, след намаляване с всички отрицателни изменения в справедливата стойност, включени в капитала от първи ред, по отношение на издадения кредитен дериват.</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{030;050}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Кредитни деривати (продадена защита), които са предмет на клауза за анулиране — Добавка по метода на пазарната оценка (без </w:t>
            </w:r>
            <w:proofErr w:type="spellStart"/>
            <w:r>
              <w:rPr>
                <w:rFonts w:ascii="Times New Roman" w:hAnsi="Times New Roman"/>
                <w:b/>
              </w:rPr>
              <w:t>нетиране</w:t>
            </w:r>
            <w:proofErr w:type="spellEnd"/>
            <w:r>
              <w:rPr>
                <w:rFonts w:ascii="Times New Roman" w:hAnsi="Times New Roman"/>
                <w:b/>
              </w:rPr>
              <w:t xml:space="preserve"> или друго РКР)</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299, параграф 2 от РКИ</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В това поле се посочва потенциалната бъдеща експозиция на кредитни деривати, когато институцията продава кредитна защита на контрагент, която е предмет на клауза за анулиране, без </w:t>
            </w:r>
            <w:proofErr w:type="spellStart"/>
            <w:r>
              <w:rPr>
                <w:rFonts w:ascii="Times New Roman" w:hAnsi="Times New Roman"/>
              </w:rPr>
              <w:t>нетиране</w:t>
            </w:r>
            <w:proofErr w:type="spellEnd"/>
            <w:r>
              <w:rPr>
                <w:rFonts w:ascii="Times New Roman" w:hAnsi="Times New Roman"/>
              </w:rPr>
              <w:t xml:space="preserve"> или друго РКР. Институциите не включват в това поле добавката за кредитни деривати, когато институцията продава кредитна защита на контрагент, която не е предмет на клауза за анулиране. Вместо това институциите я включват в {LR1;040;050}.</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Под клауза за анулиране се разбира клаузата, която дава на изправната страна правото да прекрати и приключи своевременно всички сделки по споразумението в случай на неизпълнение, включително в случай на несъстоятелност или неплатежоспособност на контрагента.</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Институциите взимат предвид всички кредитни деривати, а не само тези в търговския портфейл.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{030;070}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Кредитни деривати (продадена защита), които са предмет на клауза за анулиране — Условна стойност</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В това поле се вписва условната стойност по кредитните деривати, когато институцията продава кредитна защита на контрагент, която е предмет на клауза за анулиране.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Под клауза за анулиране се разбира клаузата, която дава на изправната страна правото да прекрати и приключи своевременно всички сделки по споразумението в случай на неизпълнение, включително в случай на несъстоятелност или неплатежоспособност на контрагента.</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Институциите взимат предвид всички кредитни деривати, а не само тези в търговския портфейл.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{040;050}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Кредитни деривати (продадена защита), които не са предмет на клауза за анулиране — Добавка по метода на пазарната оценка (без </w:t>
            </w:r>
            <w:proofErr w:type="spellStart"/>
            <w:r>
              <w:rPr>
                <w:rFonts w:ascii="Times New Roman" w:hAnsi="Times New Roman"/>
                <w:b/>
              </w:rPr>
              <w:t>нетиране</w:t>
            </w:r>
            <w:proofErr w:type="spellEnd"/>
            <w:r>
              <w:rPr>
                <w:rFonts w:ascii="Times New Roman" w:hAnsi="Times New Roman"/>
                <w:b/>
              </w:rPr>
              <w:t xml:space="preserve"> или друго РКР)</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299, параграф 2 от РКИ</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Pr>
                <w:rFonts w:ascii="Times New Roman" w:hAnsi="Times New Roman"/>
              </w:rPr>
              <w:t xml:space="preserve">В това поле се посочва потенциалната бъдеща експозиция на кредитни деривати, когато институцията продава кредитна защита на контрагент, която </w:t>
            </w:r>
            <w:r>
              <w:rPr>
                <w:rFonts w:ascii="Times New Roman" w:hAnsi="Times New Roman"/>
                <w:b/>
                <w:u w:val="single"/>
              </w:rPr>
              <w:t>не</w:t>
            </w:r>
            <w:r>
              <w:rPr>
                <w:rFonts w:ascii="Times New Roman" w:hAnsi="Times New Roman"/>
              </w:rPr>
              <w:t xml:space="preserve"> е предмет на клауза за анулиране, като се допуска, че няма </w:t>
            </w:r>
            <w:proofErr w:type="spellStart"/>
            <w:r>
              <w:rPr>
                <w:rFonts w:ascii="Times New Roman" w:hAnsi="Times New Roman"/>
              </w:rPr>
              <w:t>нетиране</w:t>
            </w:r>
            <w:proofErr w:type="spellEnd"/>
            <w:r>
              <w:rPr>
                <w:rFonts w:ascii="Times New Roman" w:hAnsi="Times New Roman"/>
              </w:rPr>
              <w:t xml:space="preserve"> или друго РКР.</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lastRenderedPageBreak/>
              <w:t>Под клауза за анулиране се разбира клаузата, която дава на изправната страна правото да прекрати и приключи своевременно всички сделки по споразумението в случай на неизпълнение, включително в случай на несъстоятелност или неплатежоспособност на контрагента.</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Институциите взимат предвид всички кредитни деривати, а не само тези в търговския портфейл.</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{040;070}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Кредитни деривати (продадена защита), които не са предмет на клауза за анулиране — Условна стойност</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Pr>
                <w:rFonts w:ascii="Times New Roman" w:hAnsi="Times New Roman"/>
              </w:rPr>
              <w:t xml:space="preserve">В това поле се вписва условната стойност по кредитните деривати, когато институцията продава кредитна защита на контрагент, която </w:t>
            </w:r>
            <w:r>
              <w:rPr>
                <w:rFonts w:ascii="Times New Roman" w:hAnsi="Times New Roman"/>
                <w:b/>
                <w:u w:val="single"/>
              </w:rPr>
              <w:t>не</w:t>
            </w:r>
            <w:r>
              <w:rPr>
                <w:rFonts w:ascii="Times New Roman" w:hAnsi="Times New Roman"/>
              </w:rPr>
              <w:t xml:space="preserve"> е предмет на клауза за анулиране.</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rPr>
            </w:pPr>
            <w:r>
              <w:rPr>
                <w:rFonts w:ascii="Times New Roman" w:hAnsi="Times New Roman"/>
              </w:rPr>
              <w:t>Под клауза за анулиране се разбира клаузата, която дава на изправната страна правото да прекрати и приключи своевременно всички сделки по споразумението в случай на неизпълнение, включително в случай на несъстоятелност или неплатежоспособност на контрагента.</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Институциите докладват всички кредитни деривати, а не само тези в търговския портфейл.</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Кредитни деривати (закупена защита) — Счетоводна балансова стойност</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4, параграф 1, точка 77 от РКИ</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Счетоводната балансова стойност, по приложимата счетоводна уредба, на кредитните деривати, когато институцията купува кредитна защита от контрагент и договорът е признат като актив в баланса.</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Институциите взимат предвид всички кредитни деривати, а не само тези в търговския портфейл.</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Кредитни деривати (закупена защита) — Счетоводна стойност, без </w:t>
            </w:r>
            <w:proofErr w:type="spellStart"/>
            <w:r>
              <w:rPr>
                <w:rFonts w:ascii="Times New Roman" w:hAnsi="Times New Roman"/>
                <w:b/>
              </w:rPr>
              <w:t>нетиране</w:t>
            </w:r>
            <w:proofErr w:type="spellEnd"/>
            <w:r>
              <w:rPr>
                <w:rFonts w:ascii="Times New Roman" w:hAnsi="Times New Roman"/>
                <w:b/>
              </w:rPr>
              <w:t xml:space="preserve"> или друго РКР</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4, параграф 1, точка 77 от РКИ</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Счетоводната балансова стойност, по приложимата счетоводна уредба, на кредитните деривати, когато институцията купува кредитна защита от контрагент и договорът е вписан като актив в баланса, като се допуска, че няма ефект на счетоводно </w:t>
            </w:r>
            <w:proofErr w:type="spellStart"/>
            <w:r>
              <w:rPr>
                <w:rFonts w:ascii="Times New Roman" w:hAnsi="Times New Roman"/>
              </w:rPr>
              <w:t>нетиране</w:t>
            </w:r>
            <w:proofErr w:type="spellEnd"/>
            <w:r>
              <w:rPr>
                <w:rFonts w:ascii="Times New Roman" w:hAnsi="Times New Roman"/>
              </w:rPr>
              <w:t xml:space="preserve"> или РКР (т.е. са елиминирани всякакви ефекти на счетоводно </w:t>
            </w:r>
            <w:proofErr w:type="spellStart"/>
            <w:r>
              <w:rPr>
                <w:rFonts w:ascii="Times New Roman" w:hAnsi="Times New Roman"/>
              </w:rPr>
              <w:t>нетиране</w:t>
            </w:r>
            <w:proofErr w:type="spellEnd"/>
            <w:r>
              <w:rPr>
                <w:rFonts w:ascii="Times New Roman" w:hAnsi="Times New Roman"/>
              </w:rPr>
              <w:t xml:space="preserve"> или РКР върху балансовата стойност).</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Институциите взимат предвид всички кредитни деривати, а не само тези в търговския портфейл.</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w:t>
            </w:r>
            <w:proofErr w:type="spellStart"/>
            <w:r>
              <w:rPr>
                <w:rFonts w:ascii="Times New Roman" w:hAnsi="Times New Roman"/>
              </w:rPr>
              <w:t>050</w:t>
            </w:r>
            <w:proofErr w:type="spellEnd"/>
            <w:r>
              <w:rPr>
                <w:rFonts w:ascii="Times New Roman" w:hAnsi="Times New Roman"/>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Кредитни деривати (закупена защита) — Добавка по метода на пазарната оценка (без </w:t>
            </w:r>
            <w:proofErr w:type="spellStart"/>
            <w:r>
              <w:rPr>
                <w:rFonts w:ascii="Times New Roman" w:hAnsi="Times New Roman"/>
                <w:b/>
              </w:rPr>
              <w:t>нетиране</w:t>
            </w:r>
            <w:proofErr w:type="spellEnd"/>
            <w:r>
              <w:rPr>
                <w:rFonts w:ascii="Times New Roman" w:hAnsi="Times New Roman"/>
                <w:b/>
              </w:rPr>
              <w:t xml:space="preserve"> или друго РКР)</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299, параграф 2 от РКИ</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В това поле се вписва потенциалната бъдеща експозиция на кредитни деривати, когато институцията продава кредитна защита на контрагент, без </w:t>
            </w:r>
            <w:proofErr w:type="spellStart"/>
            <w:r>
              <w:rPr>
                <w:rFonts w:ascii="Times New Roman" w:hAnsi="Times New Roman"/>
              </w:rPr>
              <w:t>нетиране</w:t>
            </w:r>
            <w:proofErr w:type="spellEnd"/>
            <w:r>
              <w:rPr>
                <w:rFonts w:ascii="Times New Roman" w:hAnsi="Times New Roman"/>
              </w:rPr>
              <w:t xml:space="preserve"> или друго РКР.</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Институциите взимат предвид всички кредитни деривати, а не само тези в търговския портфейл.</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lastRenderedPageBreak/>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{050;070}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Кредитни деривати (закупена защита) — Условна стойност</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В това поле се вписва условната стойност по кредитните деривати, когато институцията купува кредитна защита от контрагент.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Институциите взимат предвид всички кредитни деривати, а не само тези в търговския портфейл.</w:t>
            </w: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b/>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{050;075}</w:t>
            </w:r>
          </w:p>
        </w:tc>
        <w:tc>
          <w:tcPr>
            <w:tcW w:w="7620" w:type="dxa"/>
          </w:tcPr>
          <w:p w:rsidR="00410E47" w:rsidRDefault="00410E47" w:rsidP="007E2A41">
            <w:pPr>
              <w:pStyle w:val="BodyText1"/>
              <w:spacing w:line="240" w:lineRule="auto"/>
              <w:rPr>
                <w:rFonts w:ascii="Times New Roman" w:hAnsi="Times New Roman"/>
                <w:b/>
                <w:bCs/>
              </w:rPr>
            </w:pPr>
            <w:r>
              <w:rPr>
                <w:rFonts w:ascii="Times New Roman" w:hAnsi="Times New Roman"/>
                <w:b/>
              </w:rPr>
              <w:t>Кредитни деривати (закупена защита) — Ограничена условна стойност</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Pr>
                <w:rFonts w:ascii="Times New Roman" w:hAnsi="Times New Roman"/>
              </w:rPr>
              <w:t>В това поле се посочва условната стойност по кредитните деривати (закупена защита), както в {050;</w:t>
            </w:r>
            <w:proofErr w:type="spellStart"/>
            <w:r>
              <w:rPr>
                <w:rFonts w:ascii="Times New Roman" w:hAnsi="Times New Roman"/>
              </w:rPr>
              <w:t>050</w:t>
            </w:r>
            <w:proofErr w:type="spellEnd"/>
            <w:r>
              <w:rPr>
                <w:rFonts w:ascii="Times New Roman" w:hAnsi="Times New Roman"/>
              </w:rPr>
              <w:t>}, след намаляване с всички положителни изменения в справедливата стойност, включени в капитала от първи ред, по отношение на закупения кредитен дериват.</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{050;085}</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rPr>
              <w:t>Кредитни деривати (закупена защита) — Ограничена условна стойност (идентично референтно наименование)</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Условната стойност по кредитните деривати, когато институцията купува кредитна защита с идентично референтно наименование като това на кредитните деривати, издадени от докладващата институция.</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За целите на докладването на стойността в това поле, съответните референтни наименования се приемат за идентични, ако се отнасят до едно и също юридическо лице и ранг.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Закупената кредитна защита по отношение на група от референтни субекти се приема за идентична, ако защитата е икономически еквивалентна на закупуване на защита отделно по отношение на всяко отделно наименование в групата.</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Ако институцията купува кредитна защита по отношение на група от референтни наименования, то тази кредитна защита се приема за идентична, ако закупената кредитна защита обхваща изцяло компонентите на групата, по отношение на която е продадена кредитната защита. С други думи, приспадането може единствено да бъде признато, когато групата от референтни субекти и нивото на подчиненост при двете сделки са идентични. </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За всяко референтно наименование условната стойност на закупената кредитна защита, която се докладва в това поле, не надвишава стойностите, докладвани в {020;075} и {050;075}.</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{060;010}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Финансови деривати — Счетоводна балансова стойност</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4, параграф 1, точка 77 от РКИ</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Счетоводната балансова стойност, по приложимата счетоводна уредба, на договорите, изброени в приложение II към РКИ, когато договорите са признати като актив в баланса.</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{060;020}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Финансови деривати — Счетоводна стойност, без </w:t>
            </w:r>
            <w:proofErr w:type="spellStart"/>
            <w:r>
              <w:rPr>
                <w:rFonts w:ascii="Times New Roman" w:hAnsi="Times New Roman"/>
                <w:b/>
              </w:rPr>
              <w:t>нетиране</w:t>
            </w:r>
            <w:proofErr w:type="spellEnd"/>
            <w:r>
              <w:rPr>
                <w:rFonts w:ascii="Times New Roman" w:hAnsi="Times New Roman"/>
                <w:b/>
              </w:rPr>
              <w:t xml:space="preserve"> или друго РКР</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4, параграф 1, точка 77 от РКИ</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Счетоводната балансова стойност, по приложимата счетоводна уредба, на договорите, изброени в приложение II към РКИ, когато договорите са признати като актив в баланса, като се допуска, че няма ефект на счетоводно </w:t>
            </w:r>
            <w:proofErr w:type="spellStart"/>
            <w:r>
              <w:rPr>
                <w:rFonts w:ascii="Times New Roman" w:hAnsi="Times New Roman"/>
              </w:rPr>
              <w:t>нетиране</w:t>
            </w:r>
            <w:proofErr w:type="spellEnd"/>
            <w:r>
              <w:rPr>
                <w:rFonts w:ascii="Times New Roman" w:hAnsi="Times New Roman"/>
              </w:rPr>
              <w:t xml:space="preserve"> или друго РКР (т.е. са елиминирани всякакви ефекти на счетоводно </w:t>
            </w:r>
            <w:proofErr w:type="spellStart"/>
            <w:r>
              <w:rPr>
                <w:rFonts w:ascii="Times New Roman" w:hAnsi="Times New Roman"/>
              </w:rPr>
              <w:t>нетиране</w:t>
            </w:r>
            <w:proofErr w:type="spellEnd"/>
            <w:r>
              <w:rPr>
                <w:rFonts w:ascii="Times New Roman" w:hAnsi="Times New Roman"/>
              </w:rPr>
              <w:t xml:space="preserve"> или РКР върху балансовата стойност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{060;050}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Финансови деривати — Добавка по метода на пазарната оценка (без </w:t>
            </w:r>
            <w:proofErr w:type="spellStart"/>
            <w:r>
              <w:rPr>
                <w:rFonts w:ascii="Times New Roman" w:hAnsi="Times New Roman"/>
                <w:b/>
              </w:rPr>
              <w:t>нетиране</w:t>
            </w:r>
            <w:proofErr w:type="spellEnd"/>
            <w:r>
              <w:rPr>
                <w:rFonts w:ascii="Times New Roman" w:hAnsi="Times New Roman"/>
                <w:b/>
              </w:rPr>
              <w:t xml:space="preserve"> или друго РКР)</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274 от РКИ</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В това поле се посочва потенциалната регулаторна бъдеща експозиция по договорите, изброени в приложение II към РКИ, без </w:t>
            </w:r>
            <w:proofErr w:type="spellStart"/>
            <w:r>
              <w:rPr>
                <w:rFonts w:ascii="Times New Roman" w:hAnsi="Times New Roman"/>
              </w:rPr>
              <w:t>нетиране</w:t>
            </w:r>
            <w:proofErr w:type="spellEnd"/>
            <w:r>
              <w:rPr>
                <w:rFonts w:ascii="Times New Roman" w:hAnsi="Times New Roman"/>
              </w:rPr>
              <w:t xml:space="preserve"> или друго РКР.</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{060;070}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Финансови деривати – Условна стойност</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В това поле се вписва условната стойност по договорите, изброени в приложение II към РКИ.</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{070;010}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 xml:space="preserve">СФЦК, предмет на рамково споразумение за </w:t>
            </w:r>
            <w:proofErr w:type="spellStart"/>
            <w:r>
              <w:rPr>
                <w:rFonts w:ascii="Times New Roman" w:hAnsi="Times New Roman"/>
                <w:b/>
              </w:rPr>
              <w:t>нетиране</w:t>
            </w:r>
            <w:proofErr w:type="spellEnd"/>
            <w:r>
              <w:rPr>
                <w:rFonts w:ascii="Times New Roman" w:hAnsi="Times New Roman"/>
                <w:b/>
              </w:rPr>
              <w:t xml:space="preserve"> — Счетоводна балансова стойност</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4, параграф 1, точка 77 и член 206 от РКИ</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Счетоводната балансова стойност, по приложимата счетоводна уредба, на СФЦК, които са предмет на рамково споразумение за </w:t>
            </w:r>
            <w:proofErr w:type="spellStart"/>
            <w:r>
              <w:rPr>
                <w:rFonts w:ascii="Times New Roman" w:hAnsi="Times New Roman"/>
              </w:rPr>
              <w:t>нетиране</w:t>
            </w:r>
            <w:proofErr w:type="spellEnd"/>
            <w:r>
              <w:rPr>
                <w:rFonts w:ascii="Times New Roman" w:hAnsi="Times New Roman"/>
              </w:rPr>
              <w:t>, отговарящо на изискванията по член 206 от РКИ.</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Pr>
                <w:rFonts w:ascii="Times New Roman" w:hAnsi="Times New Roman"/>
              </w:rPr>
              <w:t xml:space="preserve">Институциите не включват в това поле получените парични суми или </w:t>
            </w:r>
            <w:proofErr w:type="spellStart"/>
            <w:r>
              <w:rPr>
                <w:rFonts w:ascii="Times New Roman" w:hAnsi="Times New Roman"/>
              </w:rPr>
              <w:t>обезпеченията</w:t>
            </w:r>
            <w:proofErr w:type="spellEnd"/>
            <w:r>
              <w:rPr>
                <w:rFonts w:ascii="Times New Roman" w:hAnsi="Times New Roman"/>
              </w:rPr>
              <w:t>, предоставени на контрагент посредством горепосочените сделки и запазени в баланса (т.е. не са изпълнени счетоводните критерии за отписване). Вместо това институциите ги включват в {090,010}.</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{070;020}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rPr>
              <w:t xml:space="preserve">СФЦК, предмет на рамково споразумение за </w:t>
            </w:r>
            <w:proofErr w:type="spellStart"/>
            <w:r>
              <w:rPr>
                <w:rFonts w:ascii="Times New Roman" w:hAnsi="Times New Roman"/>
                <w:b/>
              </w:rPr>
              <w:t>нетиране</w:t>
            </w:r>
            <w:proofErr w:type="spellEnd"/>
            <w:r>
              <w:rPr>
                <w:rFonts w:ascii="Times New Roman" w:hAnsi="Times New Roman"/>
                <w:b/>
              </w:rPr>
              <w:t xml:space="preserve"> — Счетоводна стойност, без </w:t>
            </w:r>
            <w:proofErr w:type="spellStart"/>
            <w:r>
              <w:rPr>
                <w:rFonts w:ascii="Times New Roman" w:hAnsi="Times New Roman"/>
                <w:b/>
              </w:rPr>
              <w:t>нетиране</w:t>
            </w:r>
            <w:proofErr w:type="spellEnd"/>
            <w:r>
              <w:rPr>
                <w:rFonts w:ascii="Times New Roman" w:hAnsi="Times New Roman"/>
                <w:b/>
              </w:rPr>
              <w:t xml:space="preserve"> или друго РКР</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4, параграф 1, точка 77 и член 206 от РКИ</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Счетоводната балансова стойност, по приложимата счетоводна уредба, на СФЦК, които са предмет на рамково споразумение за </w:t>
            </w:r>
            <w:proofErr w:type="spellStart"/>
            <w:r>
              <w:rPr>
                <w:rFonts w:ascii="Times New Roman" w:hAnsi="Times New Roman"/>
              </w:rPr>
              <w:t>нетиране</w:t>
            </w:r>
            <w:proofErr w:type="spellEnd"/>
            <w:r>
              <w:rPr>
                <w:rFonts w:ascii="Times New Roman" w:hAnsi="Times New Roman"/>
              </w:rPr>
              <w:t xml:space="preserve">, отговарящо на изискванията по член 206 от РКИ, когато договорите са признати като актив в баланса, като се допуска, че няма ефект на </w:t>
            </w:r>
            <w:proofErr w:type="spellStart"/>
            <w:r>
              <w:rPr>
                <w:rFonts w:ascii="Times New Roman" w:hAnsi="Times New Roman"/>
              </w:rPr>
              <w:t>пруденциално</w:t>
            </w:r>
            <w:proofErr w:type="spellEnd"/>
            <w:r>
              <w:rPr>
                <w:rFonts w:ascii="Times New Roman" w:hAnsi="Times New Roman"/>
              </w:rPr>
              <w:t xml:space="preserve"> или счетоводно </w:t>
            </w:r>
            <w:proofErr w:type="spellStart"/>
            <w:r>
              <w:rPr>
                <w:rFonts w:ascii="Times New Roman" w:hAnsi="Times New Roman"/>
              </w:rPr>
              <w:t>нетиране</w:t>
            </w:r>
            <w:proofErr w:type="spellEnd"/>
            <w:r>
              <w:rPr>
                <w:rFonts w:ascii="Times New Roman" w:hAnsi="Times New Roman"/>
              </w:rPr>
              <w:t xml:space="preserve"> или друго РКР (т.е. са елиминирани всякакви ефекти на счетоводно </w:t>
            </w:r>
            <w:proofErr w:type="spellStart"/>
            <w:r>
              <w:rPr>
                <w:rFonts w:ascii="Times New Roman" w:hAnsi="Times New Roman"/>
              </w:rPr>
              <w:t>нетиране</w:t>
            </w:r>
            <w:proofErr w:type="spellEnd"/>
            <w:r>
              <w:rPr>
                <w:rFonts w:ascii="Times New Roman" w:hAnsi="Times New Roman"/>
              </w:rPr>
              <w:t xml:space="preserve"> или РКР върху балансовата стойност ). Освен това, при осчетоводяването на продажбата по отношение на СФЦК съгласно приложимата счетоводна уредба, институциите елиминират всички свързани с продажбата счетоводни вписвания.</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Институциите не включват в това поле получените парични суми или </w:t>
            </w:r>
            <w:proofErr w:type="spellStart"/>
            <w:r>
              <w:rPr>
                <w:rFonts w:ascii="Times New Roman" w:hAnsi="Times New Roman"/>
              </w:rPr>
              <w:t>обезпеченията</w:t>
            </w:r>
            <w:proofErr w:type="spellEnd"/>
            <w:r>
              <w:rPr>
                <w:rFonts w:ascii="Times New Roman" w:hAnsi="Times New Roman"/>
              </w:rPr>
              <w:t>, предоставени на контрагент посредством горепосочените сделки и запазени в баланса (т.е. не са изпълнени счетоводните критерии за отписване). Вместо това институциите ги включват в {090 020}.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{070;040}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СФЦК, предмет на рамково споразумение за </w:t>
            </w:r>
            <w:proofErr w:type="spellStart"/>
            <w:r>
              <w:rPr>
                <w:rFonts w:ascii="Times New Roman" w:hAnsi="Times New Roman"/>
                <w:b/>
              </w:rPr>
              <w:t>нетиране</w:t>
            </w:r>
            <w:proofErr w:type="spellEnd"/>
            <w:r>
              <w:rPr>
                <w:rFonts w:ascii="Times New Roman" w:hAnsi="Times New Roman"/>
                <w:b/>
              </w:rPr>
              <w:t xml:space="preserve"> — Добавка за СФЦК</w:t>
            </w: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206 от РКИ</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 xml:space="preserve">Институциите образуват </w:t>
            </w:r>
            <w:proofErr w:type="spellStart"/>
            <w:r>
              <w:rPr>
                <w:rFonts w:ascii="Times New Roman" w:hAnsi="Times New Roman"/>
              </w:rPr>
              <w:t>нетиращи</w:t>
            </w:r>
            <w:proofErr w:type="spellEnd"/>
            <w:r>
              <w:rPr>
                <w:rFonts w:ascii="Times New Roman" w:hAnsi="Times New Roman"/>
              </w:rPr>
              <w:t xml:space="preserve"> съвкупности за СФЦК (в т.ч. </w:t>
            </w:r>
            <w:proofErr w:type="spellStart"/>
            <w:r>
              <w:rPr>
                <w:rFonts w:ascii="Times New Roman" w:hAnsi="Times New Roman"/>
              </w:rPr>
              <w:t>задбалансовите</w:t>
            </w:r>
            <w:proofErr w:type="spellEnd"/>
            <w:r>
              <w:rPr>
                <w:rFonts w:ascii="Times New Roman" w:hAnsi="Times New Roman"/>
              </w:rPr>
              <w:t xml:space="preserve">), които са предмет на споразумение за </w:t>
            </w:r>
            <w:proofErr w:type="spellStart"/>
            <w:r>
              <w:rPr>
                <w:rFonts w:ascii="Times New Roman" w:hAnsi="Times New Roman"/>
              </w:rPr>
              <w:t>нетиране</w:t>
            </w:r>
            <w:proofErr w:type="spellEnd"/>
            <w:r>
              <w:rPr>
                <w:rFonts w:ascii="Times New Roman" w:hAnsi="Times New Roman"/>
              </w:rPr>
              <w:t xml:space="preserve">, отговарящо на изискванията по член 206 от РКИ. За всяка </w:t>
            </w:r>
            <w:proofErr w:type="spellStart"/>
            <w:r>
              <w:rPr>
                <w:rFonts w:ascii="Times New Roman" w:hAnsi="Times New Roman"/>
              </w:rPr>
              <w:t>нетираща</w:t>
            </w:r>
            <w:proofErr w:type="spellEnd"/>
            <w:r>
              <w:rPr>
                <w:rFonts w:ascii="Times New Roman" w:hAnsi="Times New Roman"/>
              </w:rPr>
              <w:t xml:space="preserve"> съвкупност институциите изчисляват добавката за текуща експозиция от контрагент по следната формула</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 </w:t>
            </w:r>
          </w:p>
          <w:p w:rsidR="00410E47" w:rsidRPr="00FE002E" w:rsidRDefault="00410E47" w:rsidP="007E2A41">
            <w:pPr>
              <w:pStyle w:val="BodyText1"/>
              <w:spacing w:line="240" w:lineRule="auto"/>
              <w:rPr>
                <w:rFonts w:ascii="Times New Roman" w:hAnsi="Times New Roman"/>
                <w:bCs/>
              </w:rPr>
            </w:pPr>
            <w:r>
              <w:rPr>
                <w:rFonts w:ascii="Times New Roman" w:hAnsi="Times New Roman"/>
              </w:rPr>
              <w:t>където:</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i = всяка сделка, включена в </w:t>
            </w:r>
            <w:proofErr w:type="spellStart"/>
            <w:r>
              <w:rPr>
                <w:rFonts w:ascii="Times New Roman" w:hAnsi="Times New Roman"/>
              </w:rPr>
              <w:t>нетиращата</w:t>
            </w:r>
            <w:proofErr w:type="spellEnd"/>
            <w:r>
              <w:rPr>
                <w:rFonts w:ascii="Times New Roman" w:hAnsi="Times New Roman"/>
              </w:rPr>
              <w:t xml:space="preserve"> съвкупност</w:t>
            </w:r>
          </w:p>
          <w:p w:rsidR="00410E47" w:rsidRPr="00FE002E" w:rsidRDefault="00410E47" w:rsidP="007E2A41">
            <w:pPr>
              <w:pStyle w:val="BodyText1"/>
              <w:spacing w:line="240" w:lineRule="auto"/>
              <w:rPr>
                <w:rFonts w:ascii="Times New Roman" w:hAnsi="Times New Roman"/>
                <w:bCs/>
              </w:rPr>
            </w:pPr>
            <w:proofErr w:type="spellStart"/>
            <w:r>
              <w:rPr>
                <w:rFonts w:ascii="Times New Roman" w:hAnsi="Times New Roman"/>
              </w:rPr>
              <w:lastRenderedPageBreak/>
              <w:t>E</w:t>
            </w:r>
            <w:r>
              <w:rPr>
                <w:rFonts w:ascii="Times New Roman" w:hAnsi="Times New Roman"/>
                <w:vertAlign w:val="subscript"/>
              </w:rPr>
              <w:t>i</w:t>
            </w:r>
            <w:proofErr w:type="spellEnd"/>
            <w:r>
              <w:rPr>
                <w:rFonts w:ascii="Times New Roman" w:hAnsi="Times New Roman"/>
              </w:rPr>
              <w:t xml:space="preserve"> = за сделка i, стойността </w:t>
            </w:r>
            <w:proofErr w:type="spellStart"/>
            <w:r>
              <w:rPr>
                <w:rFonts w:ascii="Times New Roman" w:hAnsi="Times New Roman"/>
              </w:rPr>
              <w:t>E</w:t>
            </w:r>
            <w:r>
              <w:rPr>
                <w:rFonts w:ascii="Times New Roman" w:hAnsi="Times New Roman"/>
                <w:vertAlign w:val="subscript"/>
              </w:rPr>
              <w:t>i</w:t>
            </w:r>
            <w:proofErr w:type="spellEnd"/>
            <w:r>
              <w:rPr>
                <w:rFonts w:ascii="Times New Roman" w:hAnsi="Times New Roman"/>
              </w:rPr>
              <w:t>, както е определена в член 220, параграф 3 от РКИ;</w:t>
            </w:r>
          </w:p>
          <w:p w:rsidR="00410E47" w:rsidRPr="00FE002E" w:rsidRDefault="00410E47" w:rsidP="007E2A41">
            <w:pPr>
              <w:pStyle w:val="BodyText1"/>
              <w:spacing w:line="240" w:lineRule="auto"/>
              <w:rPr>
                <w:rFonts w:ascii="Times New Roman" w:hAnsi="Times New Roman"/>
                <w:bCs/>
              </w:rPr>
            </w:pPr>
            <w:proofErr w:type="spellStart"/>
            <w:r>
              <w:rPr>
                <w:rFonts w:ascii="Times New Roman" w:hAnsi="Times New Roman"/>
              </w:rPr>
              <w:t>С</w:t>
            </w:r>
            <w:r>
              <w:rPr>
                <w:rFonts w:ascii="Times New Roman" w:hAnsi="Times New Roman"/>
                <w:vertAlign w:val="subscript"/>
              </w:rPr>
              <w:t>i</w:t>
            </w:r>
            <w:proofErr w:type="spellEnd"/>
            <w:r>
              <w:rPr>
                <w:rFonts w:ascii="Times New Roman" w:hAnsi="Times New Roman"/>
              </w:rPr>
              <w:t xml:space="preserve"> = за сделка i, стойността </w:t>
            </w:r>
            <w:proofErr w:type="spellStart"/>
            <w:r>
              <w:rPr>
                <w:rFonts w:ascii="Times New Roman" w:hAnsi="Times New Roman"/>
              </w:rPr>
              <w:t>С</w:t>
            </w:r>
            <w:r>
              <w:rPr>
                <w:rFonts w:ascii="Times New Roman" w:hAnsi="Times New Roman"/>
                <w:vertAlign w:val="subscript"/>
              </w:rPr>
              <w:t>i</w:t>
            </w:r>
            <w:proofErr w:type="spellEnd"/>
            <w:r>
              <w:rPr>
                <w:rFonts w:ascii="Times New Roman" w:hAnsi="Times New Roman"/>
              </w:rPr>
              <w:t>, както е определена в член 220, параграф 3 от РКИ.</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 xml:space="preserve">Институциите сумират резултата от тази формула за всички </w:t>
            </w:r>
            <w:proofErr w:type="spellStart"/>
            <w:r>
              <w:rPr>
                <w:rFonts w:ascii="Times New Roman" w:hAnsi="Times New Roman"/>
              </w:rPr>
              <w:t>нетиращи</w:t>
            </w:r>
            <w:proofErr w:type="spellEnd"/>
            <w:r>
              <w:rPr>
                <w:rFonts w:ascii="Times New Roman" w:hAnsi="Times New Roman"/>
              </w:rPr>
              <w:t xml:space="preserve"> съвкупности и докладват крайния резултат в това поле.</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{080;010}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 xml:space="preserve">СФЦК, които не са предмет на рамково споразумение за </w:t>
            </w:r>
            <w:proofErr w:type="spellStart"/>
            <w:r>
              <w:rPr>
                <w:rFonts w:ascii="Times New Roman" w:hAnsi="Times New Roman"/>
                <w:b/>
              </w:rPr>
              <w:t>нетиране</w:t>
            </w:r>
            <w:proofErr w:type="spellEnd"/>
            <w:r>
              <w:rPr>
                <w:rFonts w:ascii="Times New Roman" w:hAnsi="Times New Roman"/>
                <w:b/>
              </w:rPr>
              <w:t xml:space="preserve"> — Счетоводна балансова стойност</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4, параграф 1, точка 77 от РКИ</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Счетоводната балансова стойност, по приложимата счетоводна уредба, на СФЦК, които </w:t>
            </w:r>
            <w:r>
              <w:rPr>
                <w:rFonts w:ascii="Times New Roman" w:hAnsi="Times New Roman"/>
                <w:b/>
                <w:u w:val="single"/>
              </w:rPr>
              <w:t>не</w:t>
            </w:r>
            <w:r>
              <w:rPr>
                <w:rFonts w:ascii="Times New Roman" w:hAnsi="Times New Roman"/>
              </w:rPr>
              <w:t xml:space="preserve"> са предмет на рамково споразумение за </w:t>
            </w:r>
            <w:proofErr w:type="spellStart"/>
            <w:r>
              <w:rPr>
                <w:rFonts w:ascii="Times New Roman" w:hAnsi="Times New Roman"/>
              </w:rPr>
              <w:t>нетиране</w:t>
            </w:r>
            <w:proofErr w:type="spellEnd"/>
            <w:r>
              <w:rPr>
                <w:rFonts w:ascii="Times New Roman" w:hAnsi="Times New Roman"/>
              </w:rPr>
              <w:t xml:space="preserve"> по член 206 от РКИ, когато договорите са признати като актив в баланса.</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Институциите не включват в това поле получените парични суми или </w:t>
            </w:r>
            <w:proofErr w:type="spellStart"/>
            <w:r>
              <w:rPr>
                <w:rFonts w:ascii="Times New Roman" w:hAnsi="Times New Roman"/>
              </w:rPr>
              <w:t>обезпеченията</w:t>
            </w:r>
            <w:proofErr w:type="spellEnd"/>
            <w:r>
              <w:rPr>
                <w:rFonts w:ascii="Times New Roman" w:hAnsi="Times New Roman"/>
              </w:rPr>
              <w:t>, предоставени на контрагент посредством горепосочените сделки и запазени в баланса (т.е. не са изпълнени счетоводните критерии за отписване). Вместо това институциите ги включват в {090,010}.</w:t>
            </w:r>
            <w:r>
              <w:rPr>
                <w:rFonts w:ascii="Times New Roman" w:hAnsi="Times New Roman"/>
                <w:b/>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{080;020}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 xml:space="preserve">СФЦК, които не са предмет на рамково споразумение за </w:t>
            </w:r>
            <w:proofErr w:type="spellStart"/>
            <w:r>
              <w:rPr>
                <w:rFonts w:ascii="Times New Roman" w:hAnsi="Times New Roman"/>
                <w:b/>
              </w:rPr>
              <w:t>нетиране</w:t>
            </w:r>
            <w:proofErr w:type="spellEnd"/>
            <w:r>
              <w:rPr>
                <w:rFonts w:ascii="Times New Roman" w:hAnsi="Times New Roman"/>
                <w:b/>
              </w:rPr>
              <w:t xml:space="preserve"> — Счетоводна стойност, без </w:t>
            </w:r>
            <w:proofErr w:type="spellStart"/>
            <w:r>
              <w:rPr>
                <w:rFonts w:ascii="Times New Roman" w:hAnsi="Times New Roman"/>
                <w:b/>
              </w:rPr>
              <w:t>нетиране</w:t>
            </w:r>
            <w:proofErr w:type="spellEnd"/>
            <w:r>
              <w:rPr>
                <w:rFonts w:ascii="Times New Roman" w:hAnsi="Times New Roman"/>
                <w:b/>
              </w:rPr>
              <w:t xml:space="preserve"> или друго РКР</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4, параграф 1, точка 77 от РКИ</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Счетоводната балансова стойност, по приложимата счетоводна уредба, на СФЦК, които </w:t>
            </w:r>
            <w:r>
              <w:rPr>
                <w:rFonts w:ascii="Times New Roman" w:hAnsi="Times New Roman"/>
                <w:b/>
                <w:u w:val="single"/>
              </w:rPr>
              <w:t>не</w:t>
            </w:r>
            <w:r>
              <w:rPr>
                <w:rFonts w:ascii="Times New Roman" w:hAnsi="Times New Roman"/>
              </w:rPr>
              <w:t xml:space="preserve"> са предмет на рамково споразумение за </w:t>
            </w:r>
            <w:proofErr w:type="spellStart"/>
            <w:r>
              <w:rPr>
                <w:rFonts w:ascii="Times New Roman" w:hAnsi="Times New Roman"/>
              </w:rPr>
              <w:t>нетиране</w:t>
            </w:r>
            <w:proofErr w:type="spellEnd"/>
            <w:r>
              <w:rPr>
                <w:rFonts w:ascii="Times New Roman" w:hAnsi="Times New Roman"/>
              </w:rPr>
              <w:t xml:space="preserve">, отговарящо на изискванията по член 206 от РКИ, когато договорите са признати като актив в баланса, като се допуска, че няма ефект на счетоводно </w:t>
            </w:r>
            <w:proofErr w:type="spellStart"/>
            <w:r>
              <w:rPr>
                <w:rFonts w:ascii="Times New Roman" w:hAnsi="Times New Roman"/>
              </w:rPr>
              <w:t>нетиране</w:t>
            </w:r>
            <w:proofErr w:type="spellEnd"/>
            <w:r>
              <w:rPr>
                <w:rFonts w:ascii="Times New Roman" w:hAnsi="Times New Roman"/>
              </w:rPr>
              <w:t xml:space="preserve"> или друго РКР (т.е. са елиминирани всякакви ефекти на счетоводно </w:t>
            </w:r>
            <w:proofErr w:type="spellStart"/>
            <w:r>
              <w:rPr>
                <w:rFonts w:ascii="Times New Roman" w:hAnsi="Times New Roman"/>
              </w:rPr>
              <w:t>нетиране</w:t>
            </w:r>
            <w:proofErr w:type="spellEnd"/>
            <w:r>
              <w:rPr>
                <w:rFonts w:ascii="Times New Roman" w:hAnsi="Times New Roman"/>
              </w:rPr>
              <w:t xml:space="preserve"> или РКР върху балансовата стойност). Освен това, при осчетоводяването на продажбата по отношение на СФЦК съгласно приложимата счетоводна уредба, институциите елиминират всички свързани с продажбата счетоводни вписвания.</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Институциите не включват в това поле получените парични суми или </w:t>
            </w:r>
            <w:proofErr w:type="spellStart"/>
            <w:r>
              <w:rPr>
                <w:rFonts w:ascii="Times New Roman" w:hAnsi="Times New Roman"/>
              </w:rPr>
              <w:t>обезпеченията</w:t>
            </w:r>
            <w:proofErr w:type="spellEnd"/>
            <w:r>
              <w:rPr>
                <w:rFonts w:ascii="Times New Roman" w:hAnsi="Times New Roman"/>
              </w:rPr>
              <w:t>, предоставени на контрагент посредством горепосочените сделки и запазени в баланса (т.е. не са изпълнени счетоводните критерии за отписване). Вместо това институциите ги включват в {090 020}.</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{080;040}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rPr>
              <w:t xml:space="preserve">СФЦК, които не са предмет на рамково споразумение за </w:t>
            </w:r>
            <w:proofErr w:type="spellStart"/>
            <w:r>
              <w:rPr>
                <w:rFonts w:ascii="Times New Roman" w:hAnsi="Times New Roman"/>
                <w:b/>
              </w:rPr>
              <w:t>нетиране</w:t>
            </w:r>
            <w:proofErr w:type="spellEnd"/>
            <w:r>
              <w:rPr>
                <w:rFonts w:ascii="Times New Roman" w:hAnsi="Times New Roman"/>
                <w:b/>
              </w:rPr>
              <w:t xml:space="preserve"> — Добавка за СФЦК</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206 от РКИ</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rPr>
            </w:pPr>
            <w:r>
              <w:rPr>
                <w:rFonts w:ascii="Times New Roman" w:hAnsi="Times New Roman"/>
              </w:rPr>
              <w:t xml:space="preserve">За СФЦК, в т.ч. и </w:t>
            </w:r>
            <w:proofErr w:type="spellStart"/>
            <w:r>
              <w:rPr>
                <w:rFonts w:ascii="Times New Roman" w:hAnsi="Times New Roman"/>
              </w:rPr>
              <w:t>задбалансовите</w:t>
            </w:r>
            <w:proofErr w:type="spellEnd"/>
            <w:r>
              <w:rPr>
                <w:rFonts w:ascii="Times New Roman" w:hAnsi="Times New Roman"/>
              </w:rPr>
              <w:t xml:space="preserve">, които </w:t>
            </w:r>
            <w:r>
              <w:rPr>
                <w:rFonts w:ascii="Times New Roman" w:hAnsi="Times New Roman"/>
                <w:b/>
                <w:u w:val="single"/>
              </w:rPr>
              <w:t>не</w:t>
            </w:r>
            <w:r>
              <w:rPr>
                <w:rFonts w:ascii="Times New Roman" w:hAnsi="Times New Roman"/>
              </w:rPr>
              <w:t xml:space="preserve"> са предмет на рамково споразумение за </w:t>
            </w:r>
            <w:proofErr w:type="spellStart"/>
            <w:r>
              <w:rPr>
                <w:rFonts w:ascii="Times New Roman" w:hAnsi="Times New Roman"/>
              </w:rPr>
              <w:t>нетиране</w:t>
            </w:r>
            <w:proofErr w:type="spellEnd"/>
            <w:r>
              <w:rPr>
                <w:rFonts w:ascii="Times New Roman" w:hAnsi="Times New Roman"/>
              </w:rPr>
              <w:t xml:space="preserve">, отговарящо на изискванията по член 206 от РКИ, институциите образуват </w:t>
            </w:r>
            <w:proofErr w:type="spellStart"/>
            <w:r>
              <w:rPr>
                <w:rFonts w:ascii="Times New Roman" w:hAnsi="Times New Roman"/>
              </w:rPr>
              <w:t>нетиращи</w:t>
            </w:r>
            <w:proofErr w:type="spellEnd"/>
            <w:r>
              <w:rPr>
                <w:rFonts w:ascii="Times New Roman" w:hAnsi="Times New Roman"/>
              </w:rPr>
              <w:t xml:space="preserve"> съвкупности, състоящи се от всички активи, включени в дадена сделка (т.е. всяка СФЦК се третира като самостоятелна съвкупност), и за всяка съвкупност изчисляват добавката за текуща експозиция от контрагент по следната формула: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CCE = </w:t>
            </w:r>
            <w:proofErr w:type="spellStart"/>
            <w:r>
              <w:rPr>
                <w:rFonts w:ascii="Times New Roman" w:hAnsi="Times New Roman"/>
              </w:rPr>
              <w:t>max</w:t>
            </w:r>
            <w:proofErr w:type="spellEnd"/>
            <w:r>
              <w:rPr>
                <w:rFonts w:ascii="Times New Roman" w:hAnsi="Times New Roman"/>
              </w:rPr>
              <w:t xml:space="preserve"> {(E – C); 0}</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където:</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E = стойността </w:t>
            </w:r>
            <w:proofErr w:type="spellStart"/>
            <w:r>
              <w:rPr>
                <w:rFonts w:ascii="Times New Roman" w:hAnsi="Times New Roman"/>
              </w:rPr>
              <w:t>E</w:t>
            </w:r>
            <w:r>
              <w:rPr>
                <w:rFonts w:ascii="Times New Roman" w:hAnsi="Times New Roman"/>
                <w:vertAlign w:val="subscript"/>
              </w:rPr>
              <w:t>i</w:t>
            </w:r>
            <w:proofErr w:type="spellEnd"/>
            <w:r>
              <w:rPr>
                <w:rFonts w:ascii="Times New Roman" w:hAnsi="Times New Roman"/>
              </w:rPr>
              <w:t>, както е определена в член 220, параграф 3 от РКИ;</w:t>
            </w: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С = стойността </w:t>
            </w:r>
            <w:proofErr w:type="spellStart"/>
            <w:r>
              <w:rPr>
                <w:rFonts w:ascii="Times New Roman" w:hAnsi="Times New Roman"/>
              </w:rPr>
              <w:t>С</w:t>
            </w:r>
            <w:r>
              <w:rPr>
                <w:rFonts w:ascii="Times New Roman" w:hAnsi="Times New Roman"/>
                <w:vertAlign w:val="subscript"/>
              </w:rPr>
              <w:t>i</w:t>
            </w:r>
            <w:proofErr w:type="spellEnd"/>
            <w:r>
              <w:rPr>
                <w:rFonts w:ascii="Times New Roman" w:hAnsi="Times New Roman"/>
              </w:rPr>
              <w:t>, както е определена в член 220, параграф 3 от РКИ.</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Институциите сумират резултата от тази формула за всички горепосочени съвкупности и докладват крайния резултат в това поле.</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lastRenderedPageBreak/>
              <w:t>{090;010}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Други активи — Счетоводна балансова стойност</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4, параграф 1, точка 77 от РКИ</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Счетоводната балансова стойност, по приложимата счетоводна уредба, на всички активи, различни от договорите, изброени в приложение II към РКИ, кредитни деривати и СФЦК.</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Pr>
                <w:rFonts w:ascii="Times New Roman" w:hAnsi="Times New Roman"/>
              </w:rPr>
              <w:t>{090;020}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Други активи — Счетоводна стойност, без </w:t>
            </w:r>
            <w:proofErr w:type="spellStart"/>
            <w:r>
              <w:rPr>
                <w:rFonts w:ascii="Times New Roman" w:hAnsi="Times New Roman"/>
                <w:b/>
              </w:rPr>
              <w:t>нетиране</w:t>
            </w:r>
            <w:proofErr w:type="spellEnd"/>
            <w:r>
              <w:rPr>
                <w:rFonts w:ascii="Times New Roman" w:hAnsi="Times New Roman"/>
                <w:b/>
              </w:rPr>
              <w:t xml:space="preserve"> или друго РКР</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4, параграф 1, точка 77 от РКИ</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Счетоводната балансова стойност, по приложимата счетоводна уредба, на всички активи, различни от договорите, изброени в приложение II към РКИ, кредитни деривати и СФЦК, като се допуска, че няма ефект на счетоводно </w:t>
            </w:r>
            <w:proofErr w:type="spellStart"/>
            <w:r>
              <w:rPr>
                <w:rFonts w:ascii="Times New Roman" w:hAnsi="Times New Roman"/>
              </w:rPr>
              <w:t>нетиране</w:t>
            </w:r>
            <w:proofErr w:type="spellEnd"/>
            <w:r>
              <w:rPr>
                <w:rFonts w:ascii="Times New Roman" w:hAnsi="Times New Roman"/>
              </w:rPr>
              <w:t xml:space="preserve"> или друго РКР (т.е. са елиминирани всякакви ефекти на счетоводно </w:t>
            </w:r>
            <w:proofErr w:type="spellStart"/>
            <w:r>
              <w:rPr>
                <w:rFonts w:ascii="Times New Roman" w:hAnsi="Times New Roman"/>
              </w:rPr>
              <w:t>нетиране</w:t>
            </w:r>
            <w:proofErr w:type="spellEnd"/>
            <w:r>
              <w:rPr>
                <w:rFonts w:ascii="Times New Roman" w:hAnsi="Times New Roman"/>
              </w:rPr>
              <w:t xml:space="preserve"> или РКР върху балансовата стойност).</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{100;070}</w:t>
            </w:r>
          </w:p>
        </w:tc>
        <w:tc>
          <w:tcPr>
            <w:tcW w:w="7620" w:type="dxa"/>
          </w:tcPr>
          <w:p w:rsidR="00410E47" w:rsidRPr="00FE002E" w:rsidRDefault="00410E47" w:rsidP="007E2A41">
            <w:pPr>
              <w:pStyle w:val="BodyText1"/>
              <w:spacing w:line="240" w:lineRule="auto"/>
              <w:rPr>
                <w:rFonts w:ascii="Times New Roman" w:hAnsi="Times New Roman"/>
                <w:b/>
                <w:bCs/>
              </w:rPr>
            </w:pPr>
            <w:proofErr w:type="spellStart"/>
            <w:r>
              <w:rPr>
                <w:rFonts w:ascii="Times New Roman" w:hAnsi="Times New Roman"/>
                <w:b/>
              </w:rPr>
              <w:t>Задбалансови</w:t>
            </w:r>
            <w:proofErr w:type="spellEnd"/>
            <w:r>
              <w:rPr>
                <w:rFonts w:ascii="Times New Roman" w:hAnsi="Times New Roman"/>
                <w:b/>
              </w:rPr>
              <w:t xml:space="preserve"> позиции с нисък риск по преразгледания стандартизиран подход (RSA); в т.ч. — Номинална стойност</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111 от РКИ</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В това поле се посочва номиналната стойност на </w:t>
            </w:r>
            <w:proofErr w:type="spellStart"/>
            <w:r>
              <w:rPr>
                <w:rFonts w:ascii="Times New Roman" w:hAnsi="Times New Roman"/>
              </w:rPr>
              <w:t>задбалансовите</w:t>
            </w:r>
            <w:proofErr w:type="spellEnd"/>
            <w:r>
              <w:rPr>
                <w:rFonts w:ascii="Times New Roman" w:hAnsi="Times New Roman"/>
              </w:rPr>
              <w:t xml:space="preserve"> позиции, спрямо които по стандартизирания подход за кредитен риск би се прилагал кредитен </w:t>
            </w:r>
            <w:proofErr w:type="spellStart"/>
            <w:r>
              <w:rPr>
                <w:rFonts w:ascii="Times New Roman" w:hAnsi="Times New Roman"/>
              </w:rPr>
              <w:t>конверсионен</w:t>
            </w:r>
            <w:proofErr w:type="spellEnd"/>
            <w:r>
              <w:rPr>
                <w:rFonts w:ascii="Times New Roman" w:hAnsi="Times New Roman"/>
              </w:rPr>
              <w:t xml:space="preserve"> коефициент от 0 %.</w:t>
            </w:r>
            <w:r>
              <w:t xml:space="preserve"> </w:t>
            </w:r>
            <w:r>
              <w:rPr>
                <w:rFonts w:ascii="Times New Roman" w:hAnsi="Times New Roman"/>
              </w:rPr>
              <w:t>Номиналната стойност не се намалява с корекциите за специфичен кредитен риск.</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По силата на член 429, параграф 10 от РКИ институциите не включват в това поле договорите, изброени в приложение II към РКИ, кредитните деривати и СФЦК.</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{110;070}</w:t>
            </w:r>
          </w:p>
        </w:tc>
        <w:tc>
          <w:tcPr>
            <w:tcW w:w="7620" w:type="dxa"/>
          </w:tcPr>
          <w:p w:rsidR="00410E47" w:rsidRPr="00FE002E" w:rsidRDefault="00410E47" w:rsidP="007E2A41">
            <w:pPr>
              <w:pStyle w:val="BodyText1"/>
              <w:spacing w:line="240" w:lineRule="auto"/>
              <w:rPr>
                <w:rFonts w:ascii="Times New Roman" w:hAnsi="Times New Roman"/>
                <w:b/>
                <w:bCs/>
              </w:rPr>
            </w:pPr>
            <w:proofErr w:type="spellStart"/>
            <w:r>
              <w:rPr>
                <w:rFonts w:ascii="Times New Roman" w:hAnsi="Times New Roman"/>
                <w:b/>
              </w:rPr>
              <w:t>Револвиращи</w:t>
            </w:r>
            <w:proofErr w:type="spellEnd"/>
            <w:r>
              <w:rPr>
                <w:rFonts w:ascii="Times New Roman" w:hAnsi="Times New Roman"/>
                <w:b/>
              </w:rPr>
              <w:t xml:space="preserve"> експозиции на дребно; в т.ч. — Номинална стойност</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111 и член 154, параграф 4 от РКИ</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Pr>
                <w:rFonts w:ascii="Times New Roman" w:hAnsi="Times New Roman"/>
              </w:rPr>
              <w:t xml:space="preserve">В това поле се попълва номиналната стойност на </w:t>
            </w:r>
            <w:proofErr w:type="spellStart"/>
            <w:r>
              <w:rPr>
                <w:rFonts w:ascii="Times New Roman" w:hAnsi="Times New Roman"/>
              </w:rPr>
              <w:t>задбалансовите</w:t>
            </w:r>
            <w:proofErr w:type="spellEnd"/>
            <w:r>
              <w:rPr>
                <w:rFonts w:ascii="Times New Roman" w:hAnsi="Times New Roman"/>
              </w:rPr>
              <w:t xml:space="preserve"> квалифицирани </w:t>
            </w:r>
            <w:proofErr w:type="spellStart"/>
            <w:r>
              <w:rPr>
                <w:rFonts w:ascii="Times New Roman" w:hAnsi="Times New Roman"/>
              </w:rPr>
              <w:t>револвиращи</w:t>
            </w:r>
            <w:proofErr w:type="spellEnd"/>
            <w:r>
              <w:rPr>
                <w:rFonts w:ascii="Times New Roman" w:hAnsi="Times New Roman"/>
              </w:rPr>
              <w:t xml:space="preserve"> експозиции на дребно, които отговарят на условията, заложени в член 154, параграф 4, букви а) — в) от РКИ. Номиналната стойност не се намалява с корекциите за специфичен кредитен риск.</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Това обхваща всички експозиции към физически лица, които са </w:t>
            </w:r>
            <w:proofErr w:type="spellStart"/>
            <w:r>
              <w:rPr>
                <w:rFonts w:ascii="Times New Roman" w:hAnsi="Times New Roman"/>
              </w:rPr>
              <w:t>револвиращи</w:t>
            </w:r>
            <w:proofErr w:type="spellEnd"/>
            <w:r>
              <w:rPr>
                <w:rFonts w:ascii="Times New Roman" w:hAnsi="Times New Roman"/>
              </w:rPr>
              <w:t xml:space="preserve"> и безусловно </w:t>
            </w:r>
            <w:proofErr w:type="spellStart"/>
            <w:r>
              <w:rPr>
                <w:rFonts w:ascii="Times New Roman" w:hAnsi="Times New Roman"/>
              </w:rPr>
              <w:t>отменяеми</w:t>
            </w:r>
            <w:proofErr w:type="spellEnd"/>
            <w:r>
              <w:rPr>
                <w:rFonts w:ascii="Times New Roman" w:hAnsi="Times New Roman"/>
              </w:rPr>
              <w:t xml:space="preserve"> съгласно посоченото в член 149, буква б) от РКИ и са ограничени до 100 000 евро общо за длъжник.</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По силата на член 429, параграф 10 от РКИ институциите не включват в това поле договорите, изброени в приложение II към РКИ, кредитните деривати и СФЦК.</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{120;070}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Безусловно </w:t>
            </w:r>
            <w:proofErr w:type="spellStart"/>
            <w:r>
              <w:rPr>
                <w:rFonts w:ascii="Times New Roman" w:hAnsi="Times New Roman"/>
                <w:b/>
              </w:rPr>
              <w:t>отменяеми</w:t>
            </w:r>
            <w:proofErr w:type="spellEnd"/>
            <w:r>
              <w:rPr>
                <w:rFonts w:ascii="Times New Roman" w:hAnsi="Times New Roman"/>
                <w:b/>
              </w:rPr>
              <w:t xml:space="preserve"> поети задължения по кредитни карти — Номинална стойност</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111 и член 154, параграф 4 от РКИ</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rPr>
              <w:t xml:space="preserve">В това поле се посочва номиналната стойност на поетите задължения по кредитни карти, които са безусловно </w:t>
            </w:r>
            <w:proofErr w:type="spellStart"/>
            <w:r>
              <w:rPr>
                <w:rFonts w:ascii="Times New Roman" w:hAnsi="Times New Roman"/>
              </w:rPr>
              <w:t>отменяеми</w:t>
            </w:r>
            <w:proofErr w:type="spellEnd"/>
            <w:r>
              <w:rPr>
                <w:rFonts w:ascii="Times New Roman" w:hAnsi="Times New Roman"/>
              </w:rPr>
              <w:t xml:space="preserve"> по всяко време от институцията без предизвестие и спрямо които по стандартизирания подход за кредитен риск би се прилагал кредитен </w:t>
            </w:r>
            <w:proofErr w:type="spellStart"/>
            <w:r>
              <w:rPr>
                <w:rFonts w:ascii="Times New Roman" w:hAnsi="Times New Roman"/>
              </w:rPr>
              <w:t>конверсионен</w:t>
            </w:r>
            <w:proofErr w:type="spellEnd"/>
            <w:r>
              <w:rPr>
                <w:rFonts w:ascii="Times New Roman" w:hAnsi="Times New Roman"/>
              </w:rPr>
              <w:t xml:space="preserve"> коефициент от 0 %.</w:t>
            </w:r>
            <w:r>
              <w:t xml:space="preserve"> </w:t>
            </w:r>
            <w:r>
              <w:rPr>
                <w:rFonts w:ascii="Times New Roman" w:hAnsi="Times New Roman"/>
              </w:rPr>
              <w:t>Номиналната стойност не се намалява с корекциите за специфичен кредитен риск.</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Институциите не включват в това поле кредитните ангажименти, които ефективно </w:t>
            </w:r>
            <w:r>
              <w:rPr>
                <w:rFonts w:ascii="Times New Roman" w:hAnsi="Times New Roman"/>
              </w:rPr>
              <w:lastRenderedPageBreak/>
              <w:t xml:space="preserve">позволяват автоматично прекратяване на ангажимента при влошаване на кредитоспособността на кредитополучателя, но не са безусловно </w:t>
            </w:r>
            <w:proofErr w:type="spellStart"/>
            <w:r>
              <w:rPr>
                <w:rFonts w:ascii="Times New Roman" w:hAnsi="Times New Roman"/>
              </w:rPr>
              <w:t>отменяеми</w:t>
            </w:r>
            <w:proofErr w:type="spellEnd"/>
            <w:r>
              <w:rPr>
                <w:rFonts w:ascii="Times New Roman" w:hAnsi="Times New Roman"/>
              </w:rPr>
              <w:t xml:space="preserve"> по всяко време без предизвестие.</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По силата на член 429, параграф 10 от РКИ институциите не включват в това поле договорите, изброени в приложение II към РКИ, кредитните деривати и СФЦК.</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{130;070}</w:t>
            </w:r>
          </w:p>
        </w:tc>
        <w:tc>
          <w:tcPr>
            <w:tcW w:w="7620" w:type="dxa"/>
          </w:tcPr>
          <w:p w:rsidR="00410E47" w:rsidRPr="00FE002E" w:rsidRDefault="00410E47" w:rsidP="007E2A41">
            <w:pPr>
              <w:pStyle w:val="BodyText1"/>
              <w:spacing w:line="240" w:lineRule="auto"/>
              <w:rPr>
                <w:rFonts w:ascii="Times New Roman" w:hAnsi="Times New Roman"/>
                <w:b/>
                <w:bCs/>
              </w:rPr>
            </w:pPr>
            <w:proofErr w:type="spellStart"/>
            <w:r>
              <w:rPr>
                <w:rFonts w:ascii="Times New Roman" w:hAnsi="Times New Roman"/>
                <w:b/>
              </w:rPr>
              <w:t>Нереволвиращи</w:t>
            </w:r>
            <w:proofErr w:type="spellEnd"/>
            <w:r>
              <w:rPr>
                <w:rFonts w:ascii="Times New Roman" w:hAnsi="Times New Roman"/>
                <w:b/>
              </w:rPr>
              <w:t xml:space="preserve"> безусловни </w:t>
            </w:r>
            <w:proofErr w:type="spellStart"/>
            <w:r>
              <w:rPr>
                <w:rFonts w:ascii="Times New Roman" w:hAnsi="Times New Roman"/>
                <w:b/>
              </w:rPr>
              <w:t>отменяеми</w:t>
            </w:r>
            <w:proofErr w:type="spellEnd"/>
            <w:r>
              <w:rPr>
                <w:rFonts w:ascii="Times New Roman" w:hAnsi="Times New Roman"/>
                <w:b/>
              </w:rPr>
              <w:t xml:space="preserve"> поети задължения — Номинална стойност</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111 и член 154, параграф 4 от РКИ</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Pr>
                <w:rFonts w:ascii="Times New Roman" w:hAnsi="Times New Roman"/>
              </w:rPr>
              <w:t xml:space="preserve">Посочва се номиналната стойност на другите поети задължения, които са безусловно </w:t>
            </w:r>
            <w:proofErr w:type="spellStart"/>
            <w:r>
              <w:rPr>
                <w:rFonts w:ascii="Times New Roman" w:hAnsi="Times New Roman"/>
              </w:rPr>
              <w:t>отменяеми</w:t>
            </w:r>
            <w:proofErr w:type="spellEnd"/>
            <w:r>
              <w:rPr>
                <w:rFonts w:ascii="Times New Roman" w:hAnsi="Times New Roman"/>
              </w:rPr>
              <w:t xml:space="preserve"> по всяко време от институцията без предизвестие и спрямо които по стандартизирания подход за кредитен риск би се прилагал кредитен </w:t>
            </w:r>
            <w:proofErr w:type="spellStart"/>
            <w:r>
              <w:rPr>
                <w:rFonts w:ascii="Times New Roman" w:hAnsi="Times New Roman"/>
              </w:rPr>
              <w:t>конверсионен</w:t>
            </w:r>
            <w:proofErr w:type="spellEnd"/>
            <w:r>
              <w:rPr>
                <w:rFonts w:ascii="Times New Roman" w:hAnsi="Times New Roman"/>
              </w:rPr>
              <w:t xml:space="preserve"> коефициент от 0 %. Номиналната стойност не се намалява с корекциите за специфичен кредитен риск.</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Институциите не включват в това поле кредитните ангажименти, които ефективно позволяват автоматично прекратяване на ангажимента при влошаване на кредитоспособността на кредитополучателя, но не са безусловно </w:t>
            </w:r>
            <w:proofErr w:type="spellStart"/>
            <w:r>
              <w:rPr>
                <w:rFonts w:ascii="Times New Roman" w:hAnsi="Times New Roman"/>
              </w:rPr>
              <w:t>отменяеми</w:t>
            </w:r>
            <w:proofErr w:type="spellEnd"/>
            <w:r>
              <w:rPr>
                <w:rFonts w:ascii="Times New Roman" w:hAnsi="Times New Roman"/>
              </w:rPr>
              <w:t xml:space="preserve"> по всяко време без предизвестие.</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По силата на член 429, параграф 10 от РКИ институциите не включват в това поле договорите, изброени в приложение II към РКИ, кредитните деривати и СФЦК.</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{140;070}</w:t>
            </w:r>
          </w:p>
        </w:tc>
        <w:tc>
          <w:tcPr>
            <w:tcW w:w="7620" w:type="dxa"/>
          </w:tcPr>
          <w:p w:rsidR="00410E47" w:rsidRPr="00FE002E" w:rsidRDefault="00410E47" w:rsidP="007E2A41">
            <w:pPr>
              <w:pStyle w:val="BodyText1"/>
              <w:spacing w:line="240" w:lineRule="auto"/>
              <w:rPr>
                <w:rFonts w:ascii="Times New Roman" w:hAnsi="Times New Roman"/>
                <w:b/>
                <w:bCs/>
              </w:rPr>
            </w:pPr>
            <w:proofErr w:type="spellStart"/>
            <w:r>
              <w:rPr>
                <w:rFonts w:ascii="Times New Roman" w:hAnsi="Times New Roman"/>
                <w:b/>
              </w:rPr>
              <w:t>Задбалансови</w:t>
            </w:r>
            <w:proofErr w:type="spellEnd"/>
            <w:r>
              <w:rPr>
                <w:rFonts w:ascii="Times New Roman" w:hAnsi="Times New Roman"/>
                <w:b/>
              </w:rPr>
              <w:t xml:space="preserve"> позиции с нисък/среден риск по RSA — Номинална стойност</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111 от РКИ</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В това поле се посочва номиналната стойност на </w:t>
            </w:r>
            <w:proofErr w:type="spellStart"/>
            <w:r>
              <w:rPr>
                <w:rFonts w:ascii="Times New Roman" w:hAnsi="Times New Roman"/>
              </w:rPr>
              <w:t>задбалансовите</w:t>
            </w:r>
            <w:proofErr w:type="spellEnd"/>
            <w:r>
              <w:rPr>
                <w:rFonts w:ascii="Times New Roman" w:hAnsi="Times New Roman"/>
              </w:rPr>
              <w:t xml:space="preserve"> позиции, спрямо които по стандартизирания подход за кредитен риск би се прилагал кредитен </w:t>
            </w:r>
            <w:proofErr w:type="spellStart"/>
            <w:r>
              <w:rPr>
                <w:rFonts w:ascii="Times New Roman" w:hAnsi="Times New Roman"/>
              </w:rPr>
              <w:t>конверсионен</w:t>
            </w:r>
            <w:proofErr w:type="spellEnd"/>
            <w:r>
              <w:rPr>
                <w:rFonts w:ascii="Times New Roman" w:hAnsi="Times New Roman"/>
              </w:rPr>
              <w:t xml:space="preserve"> коефициент от 20 %.</w:t>
            </w:r>
            <w:r>
              <w:t xml:space="preserve"> </w:t>
            </w:r>
            <w:r>
              <w:rPr>
                <w:rFonts w:ascii="Times New Roman" w:hAnsi="Times New Roman"/>
              </w:rPr>
              <w:t>Номиналната стойност не се намалява с корекциите за специфичен кредитен риск.</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По силата на член 429, параграф 10 от РКИ институциите не включват в това поле договорите, изброени в приложение II към РКИ, кредитните деривати и СФЦК.</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rPr>
              <w:t>{150;070}</w:t>
            </w:r>
          </w:p>
        </w:tc>
        <w:tc>
          <w:tcPr>
            <w:tcW w:w="7620" w:type="dxa"/>
          </w:tcPr>
          <w:p w:rsidR="00410E47" w:rsidRPr="00FE002E" w:rsidRDefault="00410E47" w:rsidP="007E2A41">
            <w:pPr>
              <w:pStyle w:val="BodyText1"/>
              <w:spacing w:line="240" w:lineRule="auto"/>
              <w:rPr>
                <w:rFonts w:ascii="Times New Roman" w:hAnsi="Times New Roman"/>
                <w:b/>
                <w:bCs/>
              </w:rPr>
            </w:pPr>
            <w:proofErr w:type="spellStart"/>
            <w:r>
              <w:rPr>
                <w:rFonts w:ascii="Times New Roman" w:hAnsi="Times New Roman"/>
                <w:b/>
              </w:rPr>
              <w:t>Задбалансови</w:t>
            </w:r>
            <w:proofErr w:type="spellEnd"/>
            <w:r>
              <w:rPr>
                <w:rFonts w:ascii="Times New Roman" w:hAnsi="Times New Roman"/>
                <w:b/>
              </w:rPr>
              <w:t xml:space="preserve"> позиции със среден риск по RSA — Номинална стойност</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111 от РКИ</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Pr>
                <w:rFonts w:ascii="Times New Roman" w:hAnsi="Times New Roman"/>
              </w:rPr>
              <w:t xml:space="preserve">В това поле се посочва номиналната стойност на </w:t>
            </w:r>
            <w:proofErr w:type="spellStart"/>
            <w:r>
              <w:rPr>
                <w:rFonts w:ascii="Times New Roman" w:hAnsi="Times New Roman"/>
              </w:rPr>
              <w:t>задбалансовите</w:t>
            </w:r>
            <w:proofErr w:type="spellEnd"/>
            <w:r>
              <w:rPr>
                <w:rFonts w:ascii="Times New Roman" w:hAnsi="Times New Roman"/>
              </w:rPr>
              <w:t xml:space="preserve"> позиции, спрямо които по стандартизирания подход за кредитен риск би се прилагал кредитен </w:t>
            </w:r>
            <w:proofErr w:type="spellStart"/>
            <w:r>
              <w:rPr>
                <w:rFonts w:ascii="Times New Roman" w:hAnsi="Times New Roman"/>
              </w:rPr>
              <w:t>конверсионен</w:t>
            </w:r>
            <w:proofErr w:type="spellEnd"/>
            <w:r>
              <w:rPr>
                <w:rFonts w:ascii="Times New Roman" w:hAnsi="Times New Roman"/>
              </w:rPr>
              <w:t xml:space="preserve"> коефициент от 50 %.</w:t>
            </w:r>
            <w:r>
              <w:t xml:space="preserve"> </w:t>
            </w:r>
            <w:r>
              <w:rPr>
                <w:rFonts w:ascii="Times New Roman" w:hAnsi="Times New Roman"/>
              </w:rPr>
              <w:t>Номиналната стойност не се намалява с корекциите за специфичен кредитен риск.</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Pr>
                <w:rFonts w:ascii="Times New Roman" w:hAnsi="Times New Roman"/>
              </w:rPr>
              <w:t>По силата на член 429, параграф 10 от РКИ институциите не включват в това поле договорите, изброени в приложение II към РКИ, кредитните деривати и СФЦК.</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{160;070}</w:t>
            </w:r>
          </w:p>
        </w:tc>
        <w:tc>
          <w:tcPr>
            <w:tcW w:w="7620" w:type="dxa"/>
          </w:tcPr>
          <w:p w:rsidR="00410E47" w:rsidRPr="00FE002E" w:rsidRDefault="00410E47" w:rsidP="007E2A41">
            <w:pPr>
              <w:pStyle w:val="BodyText1"/>
              <w:spacing w:line="240" w:lineRule="auto"/>
              <w:rPr>
                <w:rFonts w:ascii="Times New Roman" w:hAnsi="Times New Roman"/>
                <w:b/>
                <w:bCs/>
              </w:rPr>
            </w:pPr>
            <w:proofErr w:type="spellStart"/>
            <w:r>
              <w:rPr>
                <w:rFonts w:ascii="Times New Roman" w:hAnsi="Times New Roman"/>
                <w:b/>
              </w:rPr>
              <w:t>Задбалансови</w:t>
            </w:r>
            <w:proofErr w:type="spellEnd"/>
            <w:r>
              <w:rPr>
                <w:rFonts w:ascii="Times New Roman" w:hAnsi="Times New Roman"/>
                <w:b/>
              </w:rPr>
              <w:t xml:space="preserve"> позиции с висок риск по RSA — Номинална стойност</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111 от РКИ</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Pr>
                <w:rFonts w:ascii="Times New Roman" w:hAnsi="Times New Roman"/>
              </w:rPr>
              <w:t xml:space="preserve">В това поле се посочва номиналната стойност на </w:t>
            </w:r>
            <w:proofErr w:type="spellStart"/>
            <w:r>
              <w:rPr>
                <w:rFonts w:ascii="Times New Roman" w:hAnsi="Times New Roman"/>
              </w:rPr>
              <w:t>задбалансовите</w:t>
            </w:r>
            <w:proofErr w:type="spellEnd"/>
            <w:r>
              <w:rPr>
                <w:rFonts w:ascii="Times New Roman" w:hAnsi="Times New Roman"/>
              </w:rPr>
              <w:t xml:space="preserve"> позиции, спрямо които по стандартизирания подход за кредитен риск би се прилагал кредитен </w:t>
            </w:r>
            <w:proofErr w:type="spellStart"/>
            <w:r>
              <w:rPr>
                <w:rFonts w:ascii="Times New Roman" w:hAnsi="Times New Roman"/>
              </w:rPr>
              <w:t>конверсионен</w:t>
            </w:r>
            <w:proofErr w:type="spellEnd"/>
            <w:r>
              <w:rPr>
                <w:rFonts w:ascii="Times New Roman" w:hAnsi="Times New Roman"/>
              </w:rPr>
              <w:t xml:space="preserve"> коефициент от 100 %. Номиналната стойност не се намалява с корекциите за специфичен кредитен риск.</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Pr>
                <w:rFonts w:ascii="Times New Roman" w:hAnsi="Times New Roman"/>
              </w:rPr>
              <w:lastRenderedPageBreak/>
              <w:t>По силата на член 429, параграф 10 от РКИ институциите не включват в това поле договорите, изброени в приложение II към РКИ, кредитните деривати и СФЦК.</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{170;070}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(поясняващи позиции) Усвоени суми от </w:t>
            </w:r>
            <w:proofErr w:type="spellStart"/>
            <w:r>
              <w:rPr>
                <w:rFonts w:ascii="Times New Roman" w:hAnsi="Times New Roman"/>
                <w:b/>
              </w:rPr>
              <w:t>револвиращи</w:t>
            </w:r>
            <w:proofErr w:type="spellEnd"/>
            <w:r>
              <w:rPr>
                <w:rFonts w:ascii="Times New Roman" w:hAnsi="Times New Roman"/>
                <w:b/>
              </w:rPr>
              <w:t xml:space="preserve"> експозиции на дребно — Номинална стойност</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154, параграф 4 от РКИ</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В това поле се посочва номиналната стойност на усвоените суми от </w:t>
            </w:r>
            <w:proofErr w:type="spellStart"/>
            <w:r>
              <w:rPr>
                <w:rFonts w:ascii="Times New Roman" w:hAnsi="Times New Roman"/>
              </w:rPr>
              <w:t>задбалансовите</w:t>
            </w:r>
            <w:proofErr w:type="spellEnd"/>
            <w:r>
              <w:rPr>
                <w:rFonts w:ascii="Times New Roman" w:hAnsi="Times New Roman"/>
              </w:rPr>
              <w:t xml:space="preserve"> </w:t>
            </w:r>
            <w:proofErr w:type="spellStart"/>
            <w:r>
              <w:rPr>
                <w:rFonts w:ascii="Times New Roman" w:hAnsi="Times New Roman"/>
              </w:rPr>
              <w:t>револвиращи</w:t>
            </w:r>
            <w:proofErr w:type="spellEnd"/>
            <w:r>
              <w:rPr>
                <w:rFonts w:ascii="Times New Roman" w:hAnsi="Times New Roman"/>
              </w:rPr>
              <w:t xml:space="preserve"> експозиции на дребно.</w:t>
            </w:r>
            <w:r>
              <w:t xml:space="preserve"> </w:t>
            </w:r>
            <w:r>
              <w:rPr>
                <w:rFonts w:ascii="Times New Roman" w:hAnsi="Times New Roman"/>
              </w:rPr>
              <w:t>Номиналната стойност не се намалява с корекциите за специфичен кредитен риск.</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{180;070}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(поясняваща позиция) Усвоени суми от безусловно </w:t>
            </w:r>
            <w:proofErr w:type="spellStart"/>
            <w:r>
              <w:rPr>
                <w:rFonts w:ascii="Times New Roman" w:hAnsi="Times New Roman"/>
                <w:b/>
              </w:rPr>
              <w:t>отменяеми</w:t>
            </w:r>
            <w:proofErr w:type="spellEnd"/>
            <w:r>
              <w:rPr>
                <w:rFonts w:ascii="Times New Roman" w:hAnsi="Times New Roman"/>
                <w:b/>
              </w:rPr>
              <w:t xml:space="preserve"> ангажименти по кредитни карти — Номинална стойност</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111 и член 154, параграф 4 от РКИ</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В това поле се посочва номиналната стойност на усвоените суми от безусловно </w:t>
            </w:r>
            <w:proofErr w:type="spellStart"/>
            <w:r>
              <w:rPr>
                <w:rFonts w:ascii="Times New Roman" w:hAnsi="Times New Roman"/>
              </w:rPr>
              <w:t>отменяеми</w:t>
            </w:r>
            <w:proofErr w:type="spellEnd"/>
            <w:r>
              <w:rPr>
                <w:rFonts w:ascii="Times New Roman" w:hAnsi="Times New Roman"/>
              </w:rPr>
              <w:t xml:space="preserve"> ангажименти по кредитни карти. Номиналната стойност не се намалява с корекциите за специфичен кредитен риск.</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{190;070}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(поясняващи позиции) Усвоени суми от </w:t>
            </w:r>
            <w:proofErr w:type="spellStart"/>
            <w:r>
              <w:rPr>
                <w:rFonts w:ascii="Times New Roman" w:hAnsi="Times New Roman"/>
                <w:b/>
              </w:rPr>
              <w:t>нереволвиращи</w:t>
            </w:r>
            <w:proofErr w:type="spellEnd"/>
            <w:r>
              <w:rPr>
                <w:rFonts w:ascii="Times New Roman" w:hAnsi="Times New Roman"/>
                <w:b/>
              </w:rPr>
              <w:t xml:space="preserve"> безусловни </w:t>
            </w:r>
            <w:proofErr w:type="spellStart"/>
            <w:r>
              <w:rPr>
                <w:rFonts w:ascii="Times New Roman" w:hAnsi="Times New Roman"/>
                <w:b/>
              </w:rPr>
              <w:t>отменяеми</w:t>
            </w:r>
            <w:proofErr w:type="spellEnd"/>
            <w:r>
              <w:rPr>
                <w:rFonts w:ascii="Times New Roman" w:hAnsi="Times New Roman"/>
                <w:b/>
              </w:rPr>
              <w:t xml:space="preserve"> ангажименти — Номинална стойност</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Член 111 и член 154, параграф 4 от РКИ</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В това поле се посочва номиналната стойност на усвоените суми от </w:t>
            </w:r>
            <w:proofErr w:type="spellStart"/>
            <w:r>
              <w:rPr>
                <w:rFonts w:ascii="Times New Roman" w:hAnsi="Times New Roman"/>
              </w:rPr>
              <w:t>нереволвиращи</w:t>
            </w:r>
            <w:proofErr w:type="spellEnd"/>
            <w:r>
              <w:rPr>
                <w:rFonts w:ascii="Times New Roman" w:hAnsi="Times New Roman"/>
              </w:rPr>
              <w:t xml:space="preserve"> безусловни </w:t>
            </w:r>
            <w:proofErr w:type="spellStart"/>
            <w:r>
              <w:rPr>
                <w:rFonts w:ascii="Times New Roman" w:hAnsi="Times New Roman"/>
              </w:rPr>
              <w:t>отменяеми</w:t>
            </w:r>
            <w:proofErr w:type="spellEnd"/>
            <w:r>
              <w:rPr>
                <w:rFonts w:ascii="Times New Roman" w:hAnsi="Times New Roman"/>
              </w:rPr>
              <w:t xml:space="preserve"> ангажименти.</w:t>
            </w:r>
            <w:r>
              <w:t xml:space="preserve"> </w:t>
            </w:r>
            <w:r>
              <w:rPr>
                <w:rFonts w:ascii="Times New Roman" w:hAnsi="Times New Roman"/>
              </w:rPr>
              <w:t>Номиналната стойност не се намалява с корекциите за специфичен кредитен риск.</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{210;020}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Парични обезпечения, получени при сделки с деривати — Счетоводна стойност, без </w:t>
            </w:r>
            <w:proofErr w:type="spellStart"/>
            <w:r>
              <w:rPr>
                <w:rFonts w:ascii="Times New Roman" w:hAnsi="Times New Roman"/>
                <w:b/>
              </w:rPr>
              <w:t>нетиране</w:t>
            </w:r>
            <w:proofErr w:type="spellEnd"/>
            <w:r>
              <w:rPr>
                <w:rFonts w:ascii="Times New Roman" w:hAnsi="Times New Roman"/>
                <w:b/>
              </w:rPr>
              <w:t xml:space="preserve"> или друго РКР</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Pr>
                <w:rFonts w:ascii="Times New Roman" w:hAnsi="Times New Roman"/>
              </w:rPr>
              <w:t xml:space="preserve">Счетоводната балансова стойност, по приложимата счетоводна уредба, на паричните обезпечения, получени при сделки с деривати, като се допуска, че няма ефект на счетоводно </w:t>
            </w:r>
            <w:proofErr w:type="spellStart"/>
            <w:r>
              <w:rPr>
                <w:rFonts w:ascii="Times New Roman" w:hAnsi="Times New Roman"/>
              </w:rPr>
              <w:t>нетиране</w:t>
            </w:r>
            <w:proofErr w:type="spellEnd"/>
            <w:r>
              <w:rPr>
                <w:rFonts w:ascii="Times New Roman" w:hAnsi="Times New Roman"/>
              </w:rPr>
              <w:t xml:space="preserve"> или друго РКР (т.е. са елиминирани всякакви ефекти на счетоводно </w:t>
            </w:r>
            <w:proofErr w:type="spellStart"/>
            <w:r>
              <w:rPr>
                <w:rFonts w:ascii="Times New Roman" w:hAnsi="Times New Roman"/>
              </w:rPr>
              <w:t>нетиране</w:t>
            </w:r>
            <w:proofErr w:type="spellEnd"/>
            <w:r>
              <w:rPr>
                <w:rFonts w:ascii="Times New Roman" w:hAnsi="Times New Roman"/>
              </w:rPr>
              <w:t xml:space="preserve"> или РКР върху балансовата стойност).</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Pr>
                <w:rFonts w:ascii="Times New Roman" w:hAnsi="Times New Roman"/>
              </w:rPr>
              <w:t>За целите на докладването в това поле, „парични средства“ означава общият размер на паричните средства, включително монети и банкноти/валута. Тук се включва общият размер на депозитите, държани при централни банки, доколкото тези депозити могат да бъдат изтеглени в периоди на напрежение. В това поле институциите не докладват паричните средства по депозит при други институции.</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{220;020}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Вземания за парични обезпечения, предоставени при сделки с деривати — Счетоводна стойност, без </w:t>
            </w:r>
            <w:proofErr w:type="spellStart"/>
            <w:r>
              <w:rPr>
                <w:rFonts w:ascii="Times New Roman" w:hAnsi="Times New Roman"/>
                <w:b/>
              </w:rPr>
              <w:t>нетиране</w:t>
            </w:r>
            <w:proofErr w:type="spellEnd"/>
            <w:r>
              <w:rPr>
                <w:rFonts w:ascii="Times New Roman" w:hAnsi="Times New Roman"/>
                <w:b/>
              </w:rPr>
              <w:t xml:space="preserve"> или друго РКР</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t xml:space="preserve">Счетоводната балансова стойност, по приложимата счетоводна уредба, на вземанията за парични обезпечения, предоставени при сделки с деривати, като се допуска, че няма ефект на счетоводно </w:t>
            </w:r>
            <w:proofErr w:type="spellStart"/>
            <w:r>
              <w:rPr>
                <w:rFonts w:ascii="Times New Roman" w:hAnsi="Times New Roman"/>
              </w:rPr>
              <w:t>нетиране</w:t>
            </w:r>
            <w:proofErr w:type="spellEnd"/>
            <w:r>
              <w:rPr>
                <w:rFonts w:ascii="Times New Roman" w:hAnsi="Times New Roman"/>
              </w:rPr>
              <w:t xml:space="preserve"> или друго РКР (т.е. са елиминирани всякакви ефекти на счетоводно </w:t>
            </w:r>
            <w:proofErr w:type="spellStart"/>
            <w:r>
              <w:rPr>
                <w:rFonts w:ascii="Times New Roman" w:hAnsi="Times New Roman"/>
              </w:rPr>
              <w:t>нетиране</w:t>
            </w:r>
            <w:proofErr w:type="spellEnd"/>
            <w:r>
              <w:rPr>
                <w:rFonts w:ascii="Times New Roman" w:hAnsi="Times New Roman"/>
              </w:rPr>
              <w:t xml:space="preserve"> или РКР върху балансовата стойност). Институции, които по силата на приложимата счетоводна уредба имат право да </w:t>
            </w:r>
            <w:proofErr w:type="spellStart"/>
            <w:r>
              <w:rPr>
                <w:rFonts w:ascii="Times New Roman" w:hAnsi="Times New Roman"/>
              </w:rPr>
              <w:t>нетират</w:t>
            </w:r>
            <w:proofErr w:type="spellEnd"/>
            <w:r>
              <w:rPr>
                <w:rFonts w:ascii="Times New Roman" w:hAnsi="Times New Roman"/>
              </w:rPr>
              <w:t xml:space="preserve"> вземане за парично обезпечение, предоставено срещу свързаното </w:t>
            </w:r>
            <w:proofErr w:type="spellStart"/>
            <w:r>
              <w:rPr>
                <w:rFonts w:ascii="Times New Roman" w:hAnsi="Times New Roman"/>
              </w:rPr>
              <w:t>дериватно</w:t>
            </w:r>
            <w:proofErr w:type="spellEnd"/>
            <w:r>
              <w:rPr>
                <w:rFonts w:ascii="Times New Roman" w:hAnsi="Times New Roman"/>
              </w:rPr>
              <w:t xml:space="preserve"> задължение (отрицателна справедлива стойност) и които изберат да направят това, елиминират </w:t>
            </w:r>
            <w:proofErr w:type="spellStart"/>
            <w:r>
              <w:rPr>
                <w:rFonts w:ascii="Times New Roman" w:hAnsi="Times New Roman"/>
              </w:rPr>
              <w:t>нетирането</w:t>
            </w:r>
            <w:proofErr w:type="spellEnd"/>
            <w:r>
              <w:rPr>
                <w:rFonts w:ascii="Times New Roman" w:hAnsi="Times New Roman"/>
              </w:rPr>
              <w:t xml:space="preserve"> и докладват нетното парично вземане.</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t>{230;020}</w:t>
            </w:r>
          </w:p>
        </w:tc>
        <w:tc>
          <w:tcPr>
            <w:tcW w:w="7620" w:type="dxa"/>
          </w:tcPr>
          <w:p w:rsidR="00410E47" w:rsidRPr="00FE002E" w:rsidRDefault="00410E47" w:rsidP="007E2A41">
            <w:pPr>
              <w:pStyle w:val="BodyText1"/>
              <w:spacing w:line="240" w:lineRule="auto"/>
              <w:rPr>
                <w:rFonts w:ascii="Times New Roman" w:hAnsi="Times New Roman"/>
                <w:b/>
                <w:bCs/>
              </w:rPr>
            </w:pPr>
            <w:r>
              <w:rPr>
                <w:rFonts w:ascii="Times New Roman" w:hAnsi="Times New Roman"/>
                <w:b/>
              </w:rPr>
              <w:t xml:space="preserve">Ценни книжа, получени в резултат на СФЦК и признати като актив — Счетоводна стойност, без </w:t>
            </w:r>
            <w:proofErr w:type="spellStart"/>
            <w:r>
              <w:rPr>
                <w:rFonts w:ascii="Times New Roman" w:hAnsi="Times New Roman"/>
                <w:b/>
              </w:rPr>
              <w:t>нетиране</w:t>
            </w:r>
            <w:proofErr w:type="spellEnd"/>
            <w:r>
              <w:rPr>
                <w:rFonts w:ascii="Times New Roman" w:hAnsi="Times New Roman"/>
                <w:b/>
              </w:rPr>
              <w:t xml:space="preserve"> или друго РКР</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Pr>
                <w:rFonts w:ascii="Times New Roman" w:hAnsi="Times New Roman"/>
              </w:rPr>
              <w:lastRenderedPageBreak/>
              <w:t xml:space="preserve">Счетоводната балансова стойност, по приложимата счетоводна уредба, на СФЦК, които са признати като актив в баланса съгласно приложимата счетоводна уредба, като се допуска, че няма ефект на счетоводно </w:t>
            </w:r>
            <w:proofErr w:type="spellStart"/>
            <w:r>
              <w:rPr>
                <w:rFonts w:ascii="Times New Roman" w:hAnsi="Times New Roman"/>
              </w:rPr>
              <w:t>нетиране</w:t>
            </w:r>
            <w:proofErr w:type="spellEnd"/>
            <w:r>
              <w:rPr>
                <w:rFonts w:ascii="Times New Roman" w:hAnsi="Times New Roman"/>
              </w:rPr>
              <w:t xml:space="preserve"> или друго РКР (т.е. са елиминирани всякакви ефекти на счетоводно </w:t>
            </w:r>
            <w:proofErr w:type="spellStart"/>
            <w:r>
              <w:rPr>
                <w:rFonts w:ascii="Times New Roman" w:hAnsi="Times New Roman"/>
              </w:rPr>
              <w:t>нетиране</w:t>
            </w:r>
            <w:proofErr w:type="spellEnd"/>
            <w:r>
              <w:rPr>
                <w:rFonts w:ascii="Times New Roman" w:hAnsi="Times New Roman"/>
              </w:rPr>
              <w:t xml:space="preserve"> или РКР върху балансовата стойност).</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Pr>
                <w:rFonts w:ascii="Times New Roman" w:hAnsi="Times New Roman"/>
              </w:rPr>
              <w:lastRenderedPageBreak/>
              <w:t>{240;020}</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Pr>
                <w:rFonts w:ascii="Times New Roman" w:hAnsi="Times New Roman"/>
                <w:b/>
              </w:rPr>
              <w:t xml:space="preserve">Кредитна операция с посредничество при СФЦК (парични вземания) — Счетоводна стойност, без </w:t>
            </w:r>
            <w:proofErr w:type="spellStart"/>
            <w:r>
              <w:rPr>
                <w:rFonts w:ascii="Times New Roman" w:hAnsi="Times New Roman"/>
                <w:b/>
              </w:rPr>
              <w:t>нетиране</w:t>
            </w:r>
            <w:proofErr w:type="spellEnd"/>
            <w:r>
              <w:rPr>
                <w:rFonts w:ascii="Times New Roman" w:hAnsi="Times New Roman"/>
                <w:b/>
              </w:rPr>
              <w:t xml:space="preserve"> или друго РКР</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Счетоводната балансова стойност, по приложимата счетоводна уредба, на парично вземане при парично кредитиране на притежателя на ценни книжа в рамките на квалифицирана кредитна операция с посредничество (</w:t>
            </w:r>
            <w:proofErr w:type="spellStart"/>
            <w:r>
              <w:rPr>
                <w:rFonts w:ascii="Times New Roman" w:hAnsi="Times New Roman"/>
              </w:rPr>
              <w:t>qualifying</w:t>
            </w:r>
            <w:proofErr w:type="spellEnd"/>
            <w:r>
              <w:rPr>
                <w:rFonts w:ascii="Times New Roman" w:hAnsi="Times New Roman"/>
              </w:rPr>
              <w:t xml:space="preserve"> </w:t>
            </w:r>
            <w:proofErr w:type="spellStart"/>
            <w:r>
              <w:rPr>
                <w:rFonts w:ascii="Times New Roman" w:hAnsi="Times New Roman"/>
              </w:rPr>
              <w:t>cash</w:t>
            </w:r>
            <w:proofErr w:type="spellEnd"/>
            <w:r>
              <w:rPr>
                <w:rFonts w:ascii="Times New Roman" w:hAnsi="Times New Roman"/>
              </w:rPr>
              <w:t xml:space="preserve"> </w:t>
            </w:r>
            <w:proofErr w:type="spellStart"/>
            <w:r>
              <w:rPr>
                <w:rFonts w:ascii="Times New Roman" w:hAnsi="Times New Roman"/>
              </w:rPr>
              <w:t>conduit</w:t>
            </w:r>
            <w:proofErr w:type="spellEnd"/>
            <w:r>
              <w:rPr>
                <w:rFonts w:ascii="Times New Roman" w:hAnsi="Times New Roman"/>
              </w:rPr>
              <w:t xml:space="preserve"> </w:t>
            </w:r>
            <w:proofErr w:type="spellStart"/>
            <w:r>
              <w:rPr>
                <w:rFonts w:ascii="Times New Roman" w:hAnsi="Times New Roman"/>
              </w:rPr>
              <w:t>lending</w:t>
            </w:r>
            <w:proofErr w:type="spellEnd"/>
            <w:r>
              <w:rPr>
                <w:rFonts w:ascii="Times New Roman" w:hAnsi="Times New Roman"/>
              </w:rPr>
              <w:t xml:space="preserve"> </w:t>
            </w:r>
            <w:proofErr w:type="spellStart"/>
            <w:r>
              <w:rPr>
                <w:rFonts w:ascii="Times New Roman" w:hAnsi="Times New Roman"/>
              </w:rPr>
              <w:t>transaction</w:t>
            </w:r>
            <w:proofErr w:type="spellEnd"/>
            <w:r>
              <w:rPr>
                <w:rFonts w:ascii="Times New Roman" w:hAnsi="Times New Roman"/>
              </w:rPr>
              <w:t xml:space="preserve"> — CCLT), като се допуска, че няма ефект на счетоводно </w:t>
            </w:r>
            <w:proofErr w:type="spellStart"/>
            <w:r>
              <w:rPr>
                <w:rFonts w:ascii="Times New Roman" w:hAnsi="Times New Roman"/>
              </w:rPr>
              <w:t>нетиране</w:t>
            </w:r>
            <w:proofErr w:type="spellEnd"/>
            <w:r>
              <w:rPr>
                <w:rFonts w:ascii="Times New Roman" w:hAnsi="Times New Roman"/>
              </w:rPr>
              <w:t xml:space="preserve"> или друго РКР (т.е. са елиминирани всякакви ефекти на счетоводно </w:t>
            </w:r>
            <w:proofErr w:type="spellStart"/>
            <w:r>
              <w:rPr>
                <w:rFonts w:ascii="Times New Roman" w:hAnsi="Times New Roman"/>
              </w:rPr>
              <w:t>нетиране</w:t>
            </w:r>
            <w:proofErr w:type="spellEnd"/>
            <w:r>
              <w:rPr>
                <w:rFonts w:ascii="Times New Roman" w:hAnsi="Times New Roman"/>
              </w:rPr>
              <w:t xml:space="preserve"> или РКР върху балансовата стойност).</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За целите на докладването в това поле, „парични средства“ означава общият размер на паричните средства, включително монети и банкноти/валута. Тук се включва общият размер на депозитите, държани при централни банки, доколкото тези депозити могат да бъдат изтеглени в периоди на напрежение. Институциите не докладват в това поле паричните средства по депозитите при други институции.</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Pr>
                <w:rFonts w:ascii="Times New Roman" w:hAnsi="Times New Roman"/>
              </w:rPr>
              <w:t>Под CCLT се разбира комбинация от две сделки, при които институцията заема ценни книжа от притежателя им и ги предоставя в заем на трето лице (</w:t>
            </w:r>
            <w:proofErr w:type="spellStart"/>
            <w:r>
              <w:rPr>
                <w:rFonts w:ascii="Times New Roman" w:hAnsi="Times New Roman"/>
              </w:rPr>
              <w:t>заемополучател</w:t>
            </w:r>
            <w:proofErr w:type="spellEnd"/>
            <w:r>
              <w:rPr>
                <w:rFonts w:ascii="Times New Roman" w:hAnsi="Times New Roman"/>
              </w:rPr>
              <w:t xml:space="preserve"> на ценни книжа). Същевременно институцията получава парично обезпечение от </w:t>
            </w:r>
            <w:proofErr w:type="spellStart"/>
            <w:r>
              <w:rPr>
                <w:rFonts w:ascii="Times New Roman" w:hAnsi="Times New Roman"/>
              </w:rPr>
              <w:t>заемополучателя</w:t>
            </w:r>
            <w:proofErr w:type="spellEnd"/>
            <w:r>
              <w:rPr>
                <w:rFonts w:ascii="Times New Roman" w:hAnsi="Times New Roman"/>
              </w:rPr>
              <w:t xml:space="preserve"> и предоставя в заем получените парични средства на притежателя на ценните книжа. CCLT отговаря на всяко от следните условия:</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a)</w:t>
            </w:r>
            <w:r>
              <w:tab/>
            </w:r>
            <w:r>
              <w:rPr>
                <w:rFonts w:ascii="Times New Roman" w:hAnsi="Times New Roman"/>
                <w:color w:val="000000"/>
              </w:rPr>
              <w:t>двете отделни сделки, които съставляват CCLT, са извършени на една и съща дата на търговия или при международни сделки — в рамките на последователни работни дни;</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б)</w:t>
            </w:r>
            <w:r>
              <w:tab/>
            </w:r>
            <w:r>
              <w:rPr>
                <w:rFonts w:ascii="Times New Roman" w:hAnsi="Times New Roman"/>
                <w:color w:val="000000"/>
              </w:rPr>
              <w:t>когато по сделките, съставляващи CCLT, не е определен конкретен падеж, институцията има законното право да закрие всяка от позициите по CCLT, т.е. всяка от двете съставляващи я сделки, по всяко време и без предизвестие;</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в)</w:t>
            </w:r>
            <w:r>
              <w:tab/>
            </w:r>
            <w:r>
              <w:rPr>
                <w:rFonts w:ascii="Times New Roman" w:hAnsi="Times New Roman"/>
                <w:color w:val="000000"/>
              </w:rPr>
              <w:t xml:space="preserve">когато по сделките, съставляващи CCLT, е определен конкретен падеж, CCLT не е причина за възникване на падежни несъответствия за институцията; </w:t>
            </w:r>
            <w:proofErr w:type="spellStart"/>
            <w:r>
              <w:rPr>
                <w:rFonts w:ascii="Times New Roman" w:hAnsi="Times New Roman"/>
                <w:color w:val="000000"/>
              </w:rPr>
              <w:t>институцията</w:t>
            </w:r>
            <w:proofErr w:type="spellEnd"/>
            <w:r>
              <w:rPr>
                <w:rFonts w:ascii="Times New Roman" w:hAnsi="Times New Roman"/>
                <w:color w:val="000000"/>
              </w:rPr>
              <w:t xml:space="preserve"> има законното право да закрие всяка от позициите по CCLT, т.е. всяка от двете съставляващи я сделки, по всяко време и без предизвестие;</w:t>
            </w:r>
          </w:p>
          <w:p w:rsidR="00410E47" w:rsidRPr="00FE002E" w:rsidRDefault="00500508" w:rsidP="00500508">
            <w:pPr>
              <w:pStyle w:val="Paragraph"/>
              <w:ind w:left="794" w:hanging="794"/>
              <w:rPr>
                <w:rFonts w:ascii="Times New Roman" w:hAnsi="Times New Roman"/>
                <w:color w:val="000000"/>
              </w:rPr>
            </w:pPr>
            <w:r>
              <w:rPr>
                <w:rFonts w:ascii="Times New Roman" w:hAnsi="Times New Roman"/>
                <w:color w:val="000000"/>
              </w:rPr>
              <w:t>г)</w:t>
            </w:r>
            <w:r>
              <w:tab/>
            </w:r>
            <w:r>
              <w:rPr>
                <w:rFonts w:ascii="Times New Roman" w:hAnsi="Times New Roman"/>
                <w:color w:val="000000"/>
              </w:rPr>
              <w:t>тя не е причина за възникване на допълнителни експозиции.</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63" w:name="_Toc322687882"/>
            <w:bookmarkEnd w:id="55"/>
            <w:r>
              <w:rPr>
                <w:rFonts w:ascii="Times New Roman" w:hAnsi="Times New Roman"/>
              </w:rPr>
              <w:t>{250;120}</w:t>
            </w:r>
          </w:p>
        </w:tc>
        <w:tc>
          <w:tcPr>
            <w:tcW w:w="7620" w:type="dxa"/>
          </w:tcPr>
          <w:p w:rsidR="004B5877" w:rsidRDefault="004B5877" w:rsidP="004B5877">
            <w:pPr>
              <w:pStyle w:val="BodyText1"/>
              <w:tabs>
                <w:tab w:val="left" w:pos="4755"/>
              </w:tabs>
              <w:spacing w:line="240" w:lineRule="auto"/>
              <w:rPr>
                <w:rFonts w:ascii="Times New Roman" w:hAnsi="Times New Roman"/>
                <w:bCs/>
              </w:rPr>
            </w:pPr>
            <w:r>
              <w:rPr>
                <w:rFonts w:ascii="Times New Roman" w:hAnsi="Times New Roman"/>
                <w:b/>
              </w:rPr>
              <w:t xml:space="preserve">Експозиции, които могат бъдат третирани съгласно предвиденото в член 113, параграф 6 от РКИ — Хипотетично изключен размер на експозицията с оглед на отношението на </w:t>
            </w:r>
            <w:proofErr w:type="spellStart"/>
            <w:r>
              <w:rPr>
                <w:rFonts w:ascii="Times New Roman" w:hAnsi="Times New Roman"/>
                <w:b/>
              </w:rPr>
              <w:t>ливъридж</w:t>
            </w:r>
            <w:proofErr w:type="spellEnd"/>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Pr>
                <w:rFonts w:ascii="Times New Roman" w:hAnsi="Times New Roman"/>
              </w:rPr>
              <w:t xml:space="preserve">Размерът на общата експозиция с оглед на отношението на </w:t>
            </w:r>
            <w:proofErr w:type="spellStart"/>
            <w:r>
              <w:rPr>
                <w:rFonts w:ascii="Times New Roman" w:hAnsi="Times New Roman"/>
              </w:rPr>
              <w:t>ливъридж</w:t>
            </w:r>
            <w:proofErr w:type="spellEnd"/>
            <w:r>
              <w:rPr>
                <w:rFonts w:ascii="Times New Roman" w:hAnsi="Times New Roman"/>
              </w:rPr>
              <w:t>, който ще бъде изключен, ако компетентните органи разрешат в най-голяма степен изключването на експозициите, за които са изпълнени всички условия по член 113, параграф 6, букви а) — д) от РКИ и за които е било дадено одобрението по член 113, параграф 6 от РКИ. Ако компетентният орган вече е разрешил това в най-голяма степен, стойността в тази клетка е равна на тази в {</w:t>
            </w:r>
            <w:proofErr w:type="spellStart"/>
            <w:r>
              <w:rPr>
                <w:rFonts w:ascii="Times New Roman" w:hAnsi="Times New Roman"/>
              </w:rPr>
              <w:t>LRCalc</w:t>
            </w:r>
            <w:proofErr w:type="spellEnd"/>
            <w:r>
              <w:rPr>
                <w:rFonts w:ascii="Times New Roman" w:hAnsi="Times New Roman"/>
              </w:rPr>
              <w:t>;250;010}.</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Pr>
                <w:rFonts w:ascii="Times New Roman" w:hAnsi="Times New Roman"/>
              </w:rPr>
              <w:t>{260;120}</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Pr>
                <w:rFonts w:ascii="Times New Roman" w:hAnsi="Times New Roman"/>
                <w:b/>
              </w:rPr>
              <w:t xml:space="preserve">Експозиции, които отговарят на условията в член 429, параграф 14, букви а) — в) от РКИ — Хипотетично изключен размер на експозицията с оглед на отношението на </w:t>
            </w:r>
            <w:proofErr w:type="spellStart"/>
            <w:r>
              <w:rPr>
                <w:rFonts w:ascii="Times New Roman" w:hAnsi="Times New Roman"/>
                <w:b/>
              </w:rPr>
              <w:t>ливъридж</w:t>
            </w:r>
            <w:proofErr w:type="spellEnd"/>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Pr>
                <w:rFonts w:ascii="Times New Roman" w:hAnsi="Times New Roman"/>
              </w:rPr>
              <w:t xml:space="preserve">Размерът на общата експозиция с оглед на отношението на </w:t>
            </w:r>
            <w:proofErr w:type="spellStart"/>
            <w:r>
              <w:rPr>
                <w:rFonts w:ascii="Times New Roman" w:hAnsi="Times New Roman"/>
              </w:rPr>
              <w:t>ливъридж</w:t>
            </w:r>
            <w:proofErr w:type="spellEnd"/>
            <w:r>
              <w:rPr>
                <w:rFonts w:ascii="Times New Roman" w:hAnsi="Times New Roman"/>
              </w:rPr>
              <w:t>, който ще бъде изключен, ако компетентните органи разрешат в най-голяма степен изключването на експозициите, които отговарят на условията в член 429, параграф 14, букви а) — в) от РКИ. Ако компетентният орган вече е разрешил това в най-голяма степен, стойността в тази клетка е равна на тази в {</w:t>
            </w:r>
            <w:proofErr w:type="spellStart"/>
            <w:r>
              <w:rPr>
                <w:rFonts w:ascii="Times New Roman" w:hAnsi="Times New Roman"/>
              </w:rPr>
              <w:t>LRCalc</w:t>
            </w:r>
            <w:proofErr w:type="spellEnd"/>
            <w:r>
              <w:rPr>
                <w:rFonts w:ascii="Times New Roman" w:hAnsi="Times New Roman"/>
              </w:rPr>
              <w:t>;260;010}.</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64" w:name="_Toc338669914"/>
      <w:bookmarkStart w:id="65" w:name="_Toc338669915"/>
      <w:bookmarkStart w:id="66" w:name="_Toc338669918"/>
      <w:bookmarkStart w:id="67" w:name="_Toc351048508"/>
      <w:bookmarkStart w:id="68" w:name="_Toc359414287"/>
      <w:bookmarkStart w:id="69" w:name="_Toc423089072"/>
      <w:bookmarkStart w:id="70" w:name="_Toc523907711"/>
      <w:bookmarkEnd w:id="64"/>
      <w:bookmarkEnd w:id="65"/>
      <w:bookmarkEnd w:id="66"/>
      <w:r>
        <w:rPr>
          <w:rFonts w:ascii="Times New Roman" w:hAnsi="Times New Roman"/>
          <w:b/>
        </w:rPr>
        <w:t>6.</w:t>
      </w:r>
      <w:r>
        <w:tab/>
      </w:r>
      <w:r>
        <w:rPr>
          <w:rFonts w:ascii="Times New Roman" w:hAnsi="Times New Roman"/>
          <w:b/>
        </w:rPr>
        <w:t xml:space="preserve">C 41.00 — Балансови и </w:t>
      </w:r>
      <w:proofErr w:type="spellStart"/>
      <w:r>
        <w:rPr>
          <w:rFonts w:ascii="Times New Roman" w:hAnsi="Times New Roman"/>
          <w:b/>
        </w:rPr>
        <w:t>задбалансови</w:t>
      </w:r>
      <w:proofErr w:type="spellEnd"/>
      <w:r>
        <w:rPr>
          <w:rFonts w:ascii="Times New Roman" w:hAnsi="Times New Roman"/>
          <w:b/>
        </w:rPr>
        <w:t xml:space="preserve"> позиции — допълнителна разбивка на експозициите</w:t>
      </w:r>
      <w:bookmarkEnd w:id="67"/>
      <w:bookmarkEnd w:id="68"/>
      <w:r>
        <w:rPr>
          <w:rFonts w:ascii="Times New Roman" w:hAnsi="Times New Roman"/>
          <w:b/>
        </w:rPr>
        <w:t xml:space="preserve"> (LR2)</w:t>
      </w:r>
      <w:bookmarkEnd w:id="69"/>
      <w:bookmarkEnd w:id="70"/>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Pr>
          <w:rFonts w:ascii="Times New Roman" w:hAnsi="Times New Roman"/>
        </w:rPr>
        <w:t>24.</w:t>
      </w:r>
      <w:r>
        <w:tab/>
      </w:r>
      <w:r>
        <w:rPr>
          <w:rFonts w:ascii="Times New Roman" w:hAnsi="Times New Roman"/>
        </w:rPr>
        <w:t xml:space="preserve">В образец LR2 се представя информация за допълнителната разбивка на всички балансови и </w:t>
      </w:r>
      <w:proofErr w:type="spellStart"/>
      <w:r>
        <w:rPr>
          <w:rFonts w:ascii="Times New Roman" w:hAnsi="Times New Roman"/>
        </w:rPr>
        <w:t>задбалансови</w:t>
      </w:r>
      <w:proofErr w:type="spellEnd"/>
      <w:r>
        <w:rPr>
          <w:rFonts w:ascii="Times New Roman" w:hAnsi="Times New Roman"/>
        </w:rPr>
        <w:t xml:space="preserve"> експозиции</w:t>
      </w:r>
      <w:r>
        <w:rPr>
          <w:rFonts w:ascii="Times New Roman" w:hAnsi="Times New Roman"/>
          <w:vertAlign w:val="superscript"/>
        </w:rPr>
        <w:footnoteReference w:id="2"/>
      </w:r>
      <w:r>
        <w:rPr>
          <w:rFonts w:ascii="Times New Roman" w:hAnsi="Times New Roman"/>
        </w:rPr>
        <w:t xml:space="preserve">, които са част от банковия портфейл, и всички експозиции към кредитен риск от контрагента, които са част от търговския портфейл. Разбивката съответства на рисковите тегла, приложими съгласно раздела относно кредитния риск от РКИ. Информацията за експозициите е извлечена по различен начин според съответно стандартизирания и </w:t>
      </w:r>
      <w:proofErr w:type="spellStart"/>
      <w:r>
        <w:rPr>
          <w:rFonts w:ascii="Times New Roman" w:hAnsi="Times New Roman"/>
        </w:rPr>
        <w:t>вътрешнорейтинговия</w:t>
      </w:r>
      <w:proofErr w:type="spellEnd"/>
      <w:r>
        <w:rPr>
          <w:rFonts w:ascii="Times New Roman" w:hAnsi="Times New Roman"/>
        </w:rPr>
        <w:t xml:space="preserve"> подход.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25.</w:t>
      </w:r>
      <w:r>
        <w:tab/>
      </w:r>
      <w:r>
        <w:rPr>
          <w:rFonts w:ascii="Times New Roman" w:hAnsi="Times New Roman"/>
        </w:rPr>
        <w:t xml:space="preserve">За експозициите, по отношение на които се прилагат техники за РКР, което предполага заместване на рисковото тегло на контрагента с рисковото тегло на гаранцията, институциите посочват рисковото тегло след ефекта на заместване. Съгласно </w:t>
      </w:r>
      <w:proofErr w:type="spellStart"/>
      <w:r>
        <w:rPr>
          <w:rFonts w:ascii="Times New Roman" w:hAnsi="Times New Roman"/>
        </w:rPr>
        <w:t>вътрешнорейтинговия</w:t>
      </w:r>
      <w:proofErr w:type="spellEnd"/>
      <w:r>
        <w:rPr>
          <w:rFonts w:ascii="Times New Roman" w:hAnsi="Times New Roman"/>
        </w:rPr>
        <w:t xml:space="preserve"> подход институциите прилагат следното изчисление: за експозициите (различни от тези, за които са предвидени специфични регулаторни рискови тегла) при всяка категория </w:t>
      </w:r>
      <w:proofErr w:type="spellStart"/>
      <w:r>
        <w:rPr>
          <w:rFonts w:ascii="Times New Roman" w:hAnsi="Times New Roman"/>
        </w:rPr>
        <w:t>длъжници</w:t>
      </w:r>
      <w:proofErr w:type="spellEnd"/>
      <w:r>
        <w:rPr>
          <w:rFonts w:ascii="Times New Roman" w:hAnsi="Times New Roman"/>
        </w:rPr>
        <w:t xml:space="preserve"> рисковото тегло се извежда, като се раздели рисково претеглената експозиция, получена чрез формулата за рисковото тегло или чрез надзорната формула (съответно за кредитен риск и </w:t>
      </w:r>
      <w:proofErr w:type="spellStart"/>
      <w:r>
        <w:rPr>
          <w:rFonts w:ascii="Times New Roman" w:hAnsi="Times New Roman"/>
        </w:rPr>
        <w:t>секюритизиращи</w:t>
      </w:r>
      <w:proofErr w:type="spellEnd"/>
      <w:r>
        <w:rPr>
          <w:rFonts w:ascii="Times New Roman" w:hAnsi="Times New Roman"/>
        </w:rPr>
        <w:t xml:space="preserve"> експозиции), на стойността на експозицията, след като се отчетат входящите и изходящите потоци, породени от техниките за РКР с ефект на заместване върху експозицията. При </w:t>
      </w:r>
      <w:proofErr w:type="spellStart"/>
      <w:r>
        <w:rPr>
          <w:rFonts w:ascii="Times New Roman" w:hAnsi="Times New Roman"/>
        </w:rPr>
        <w:t>вътрешнорейтинговия</w:t>
      </w:r>
      <w:proofErr w:type="spellEnd"/>
      <w:r>
        <w:rPr>
          <w:rFonts w:ascii="Times New Roman" w:hAnsi="Times New Roman"/>
        </w:rPr>
        <w:t xml:space="preserve"> подход експозициите в неизпълнение се изключват от редове {020;010} — {090;010} и се включват в {100;010}. При стандартизирания подход експозициите, попадащи в обхвата на член 112, буква й) от РКИ, се изключват от редове {020;</w:t>
      </w:r>
      <w:proofErr w:type="spellStart"/>
      <w:r>
        <w:rPr>
          <w:rFonts w:ascii="Times New Roman" w:hAnsi="Times New Roman"/>
        </w:rPr>
        <w:t>020</w:t>
      </w:r>
      <w:proofErr w:type="spellEnd"/>
      <w:r>
        <w:rPr>
          <w:rFonts w:ascii="Times New Roman" w:hAnsi="Times New Roman"/>
        </w:rPr>
        <w:t>} — {090;020} 090;020 и се включват в {100;020}.</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26.</w:t>
      </w:r>
      <w:r>
        <w:tab/>
      </w:r>
      <w:r>
        <w:rPr>
          <w:rFonts w:ascii="Times New Roman" w:hAnsi="Times New Roman"/>
        </w:rPr>
        <w:t>И при двата подхода институциите третират експозициите, приспаднати от регулаторния капитал, като с приложено към тях рисково тегло от 1250 %.</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Pr>
                <w:rFonts w:ascii="Times New Roman" w:hAnsi="Times New Roman"/>
                <w:b/>
              </w:rPr>
              <w:t xml:space="preserve">Ред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Препратки към правни норми и указания</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Общо балансови и </w:t>
            </w:r>
            <w:proofErr w:type="spellStart"/>
            <w:r>
              <w:rPr>
                <w:rFonts w:ascii="Times New Roman" w:hAnsi="Times New Roman"/>
                <w:b/>
              </w:rPr>
              <w:t>задбалансови</w:t>
            </w:r>
            <w:proofErr w:type="spellEnd"/>
            <w:r>
              <w:rPr>
                <w:rFonts w:ascii="Times New Roman" w:hAnsi="Times New Roman"/>
                <w:b/>
              </w:rPr>
              <w:t xml:space="preserve"> експозиции, които са част от банковия портфейл, както и експозиции от търговския портфейл, изложени на кредитен риск от контрагента (разбивка в съответствие с рисковото тегло):</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Това е сборът на {020:*} до {100;*}.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 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Експозиции с рисково тегло от 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030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0 % и ≤ 12 %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Експозиции с рисково тегло, попадащо в рамките на поредица рискови тегла, строго по-големи от 0 % и по-малки или равни на 12 %.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12 % и ≤ 20 %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lastRenderedPageBreak/>
              <w:t xml:space="preserve">Експозиции с рисково тегло, попадащо в рамките на поредица рискови тегла, строго по-големи от 12 % и по-малки или равни на 20 %.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lastRenderedPageBreak/>
              <w:t>050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20 % и ≤ 50 %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Експозиции с рисково тегло, попадащо в рамките на поредица рискови тегла, строго по-големи от 20 % и по-малки или равни на 50 %.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50 % и ≤ 75 %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Експозиции с рисково тегло, попадащо в рамките на поредица рискови тегла, строго по-големи от 50 % и по-малки или равни на 75 %.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75 % и ≤ 100 %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Експозиции с рисково тегло, попадащо в рамките на поредица рискови тегла, строго по-големи от 75 % и по-малки или равни на 100 %.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100 % и ≤ 425 %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Експозиции с рисково тегло, попадащо в рамките на поредица рискови тегла, строго по-големи от 100 % и по-малки или равни на 425 %.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090</w:t>
            </w:r>
          </w:p>
        </w:tc>
        <w:tc>
          <w:tcPr>
            <w:tcW w:w="7620" w:type="dxa"/>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&gt; 425 % и ≤ 1250 %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 </w:t>
            </w:r>
          </w:p>
          <w:p w:rsidR="00F4754B" w:rsidRPr="00FE002E" w:rsidRDefault="00F4754B" w:rsidP="007E2A41">
            <w:pPr>
              <w:pStyle w:val="BodyText1"/>
              <w:spacing w:line="240" w:lineRule="auto"/>
              <w:rPr>
                <w:rFonts w:ascii="Times New Roman" w:hAnsi="Times New Roman"/>
                <w:bCs/>
              </w:rPr>
            </w:pPr>
            <w:r>
              <w:rPr>
                <w:rFonts w:ascii="Times New Roman" w:hAnsi="Times New Roman"/>
              </w:rPr>
              <w:t>Експозиции с рисково тегло, попадащо в рамките на поредица рискови тегла, строго по-големи от 425 % и по-малки или равни на 1250 %.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Експозиции в неизпълнение</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При стандартизирания подход — експозициите, които попадат в обхвата на член 112, буква й) от РКИ.</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При </w:t>
            </w:r>
            <w:proofErr w:type="spellStart"/>
            <w:r>
              <w:rPr>
                <w:rFonts w:ascii="Times New Roman" w:hAnsi="Times New Roman"/>
              </w:rPr>
              <w:t>вътрешнорейтинговия</w:t>
            </w:r>
            <w:proofErr w:type="spellEnd"/>
            <w:r>
              <w:rPr>
                <w:rFonts w:ascii="Times New Roman" w:hAnsi="Times New Roman"/>
              </w:rPr>
              <w:t xml:space="preserve"> подход — всички експозиции с вероятност за неизпълнение (PD) от 100 % са експозиции в неизпълнение.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rPr>
              <w:t xml:space="preserve">(поясняваща позиция) </w:t>
            </w:r>
            <w:proofErr w:type="spellStart"/>
            <w:r>
              <w:rPr>
                <w:rFonts w:ascii="Times New Roman" w:hAnsi="Times New Roman"/>
                <w:b/>
              </w:rPr>
              <w:t>Задбалансови</w:t>
            </w:r>
            <w:proofErr w:type="spellEnd"/>
            <w:r>
              <w:rPr>
                <w:rFonts w:ascii="Times New Roman" w:hAnsi="Times New Roman"/>
                <w:b/>
              </w:rPr>
              <w:t xml:space="preserve"> позиции с нисък риск или </w:t>
            </w:r>
            <w:proofErr w:type="spellStart"/>
            <w:r>
              <w:rPr>
                <w:rFonts w:ascii="Times New Roman" w:hAnsi="Times New Roman"/>
                <w:b/>
              </w:rPr>
              <w:t>задбалансови</w:t>
            </w:r>
            <w:proofErr w:type="spellEnd"/>
            <w:r>
              <w:rPr>
                <w:rFonts w:ascii="Times New Roman" w:hAnsi="Times New Roman"/>
                <w:b/>
              </w:rPr>
              <w:t xml:space="preserve"> позиции с </w:t>
            </w:r>
            <w:proofErr w:type="spellStart"/>
            <w:r>
              <w:rPr>
                <w:rFonts w:ascii="Times New Roman" w:hAnsi="Times New Roman"/>
                <w:b/>
              </w:rPr>
              <w:t>конверсионен</w:t>
            </w:r>
            <w:proofErr w:type="spellEnd"/>
            <w:r>
              <w:rPr>
                <w:rFonts w:ascii="Times New Roman" w:hAnsi="Times New Roman"/>
                <w:b/>
              </w:rPr>
              <w:t xml:space="preserve"> коефициент от 0 % при коефициента на платежоспособност</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proofErr w:type="spellStart"/>
            <w:r>
              <w:rPr>
                <w:rFonts w:ascii="Times New Roman" w:hAnsi="Times New Roman"/>
              </w:rPr>
              <w:t>Задбалансовите</w:t>
            </w:r>
            <w:proofErr w:type="spellEnd"/>
            <w:r>
              <w:rPr>
                <w:rFonts w:ascii="Times New Roman" w:hAnsi="Times New Roman"/>
              </w:rPr>
              <w:t xml:space="preserve"> позиции с нисък риск по член 111 от РКИ и </w:t>
            </w:r>
            <w:proofErr w:type="spellStart"/>
            <w:r>
              <w:rPr>
                <w:rFonts w:ascii="Times New Roman" w:hAnsi="Times New Roman"/>
              </w:rPr>
              <w:t>задбалансовите</w:t>
            </w:r>
            <w:proofErr w:type="spellEnd"/>
            <w:r>
              <w:rPr>
                <w:rFonts w:ascii="Times New Roman" w:hAnsi="Times New Roman"/>
              </w:rPr>
              <w:t xml:space="preserve"> позиции с </w:t>
            </w:r>
            <w:proofErr w:type="spellStart"/>
            <w:r>
              <w:rPr>
                <w:rFonts w:ascii="Times New Roman" w:hAnsi="Times New Roman"/>
              </w:rPr>
              <w:t>конверсионен</w:t>
            </w:r>
            <w:proofErr w:type="spellEnd"/>
            <w:r>
              <w:rPr>
                <w:rFonts w:ascii="Times New Roman" w:hAnsi="Times New Roman"/>
              </w:rPr>
              <w:t xml:space="preserve"> коефициент от 0 % по член 166 от РКИ.</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Pr>
                <w:rFonts w:ascii="Times New Roman" w:hAnsi="Times New Roman"/>
                <w:b/>
              </w:rPr>
              <w:t>Колона</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Pr>
                <w:rFonts w:ascii="Times New Roman" w:hAnsi="Times New Roman"/>
                <w:b/>
              </w:rPr>
              <w:t>Препратки към правни норми и указания</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Балансови и </w:t>
            </w:r>
            <w:proofErr w:type="spellStart"/>
            <w:r>
              <w:rPr>
                <w:rFonts w:ascii="Times New Roman" w:hAnsi="Times New Roman"/>
                <w:b/>
              </w:rPr>
              <w:t>задбалансови</w:t>
            </w:r>
            <w:proofErr w:type="spellEnd"/>
            <w:r>
              <w:rPr>
                <w:rFonts w:ascii="Times New Roman" w:hAnsi="Times New Roman"/>
                <w:b/>
              </w:rPr>
              <w:t xml:space="preserve"> експозиции (</w:t>
            </w:r>
            <w:proofErr w:type="spellStart"/>
            <w:r>
              <w:rPr>
                <w:rFonts w:ascii="Times New Roman" w:hAnsi="Times New Roman"/>
                <w:b/>
              </w:rPr>
              <w:t>експозиции</w:t>
            </w:r>
            <w:proofErr w:type="spellEnd"/>
            <w:r>
              <w:rPr>
                <w:rFonts w:ascii="Times New Roman" w:hAnsi="Times New Roman"/>
                <w:b/>
              </w:rPr>
              <w:t xml:space="preserve"> по стандартизирания подход)</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Стойността на балансовите и </w:t>
            </w:r>
            <w:proofErr w:type="spellStart"/>
            <w:r>
              <w:rPr>
                <w:rFonts w:ascii="Times New Roman" w:hAnsi="Times New Roman"/>
              </w:rPr>
              <w:t>задбалансовите</w:t>
            </w:r>
            <w:proofErr w:type="spellEnd"/>
            <w:r>
              <w:rPr>
                <w:rFonts w:ascii="Times New Roman" w:hAnsi="Times New Roman"/>
              </w:rPr>
              <w:t xml:space="preserve"> експозиции, след като бъдат взети предвид корекциите на стойността, всички редуциращи кредитния риск елементи и кредитните </w:t>
            </w:r>
            <w:proofErr w:type="spellStart"/>
            <w:r>
              <w:rPr>
                <w:rFonts w:ascii="Times New Roman" w:hAnsi="Times New Roman"/>
              </w:rPr>
              <w:t>конверсионни</w:t>
            </w:r>
            <w:proofErr w:type="spellEnd"/>
            <w:r>
              <w:rPr>
                <w:rFonts w:ascii="Times New Roman" w:hAnsi="Times New Roman"/>
              </w:rPr>
              <w:t xml:space="preserve"> коефициенти, изчислени съгласно част трета, дял II, глава 2 от РКИ.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t>020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Балансови и </w:t>
            </w:r>
            <w:proofErr w:type="spellStart"/>
            <w:r>
              <w:rPr>
                <w:rFonts w:ascii="Times New Roman" w:hAnsi="Times New Roman"/>
                <w:b/>
              </w:rPr>
              <w:t>задбалансови</w:t>
            </w:r>
            <w:proofErr w:type="spellEnd"/>
            <w:r>
              <w:rPr>
                <w:rFonts w:ascii="Times New Roman" w:hAnsi="Times New Roman"/>
                <w:b/>
              </w:rPr>
              <w:t xml:space="preserve"> експозиции (</w:t>
            </w:r>
            <w:proofErr w:type="spellStart"/>
            <w:r>
              <w:rPr>
                <w:rFonts w:ascii="Times New Roman" w:hAnsi="Times New Roman"/>
                <w:b/>
              </w:rPr>
              <w:t>експозиции</w:t>
            </w:r>
            <w:proofErr w:type="spellEnd"/>
            <w:r>
              <w:rPr>
                <w:rFonts w:ascii="Times New Roman" w:hAnsi="Times New Roman"/>
                <w:b/>
              </w:rPr>
              <w:t xml:space="preserve">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Стойността на балансовите и </w:t>
            </w:r>
            <w:proofErr w:type="spellStart"/>
            <w:r>
              <w:rPr>
                <w:rFonts w:ascii="Times New Roman" w:hAnsi="Times New Roman"/>
              </w:rPr>
              <w:t>задбалансовите</w:t>
            </w:r>
            <w:proofErr w:type="spellEnd"/>
            <w:r>
              <w:rPr>
                <w:rFonts w:ascii="Times New Roman" w:hAnsi="Times New Roman"/>
              </w:rPr>
              <w:t xml:space="preserve"> експозиции по член 166 от РКИ и член 230, параграф 1, втора алинея, първо изречение от РКИ след отчитане на изходящите и входящи потоци, породени от техниките за РКР с ефект на заместване </w:t>
            </w:r>
            <w:r>
              <w:rPr>
                <w:rFonts w:ascii="Times New Roman" w:hAnsi="Times New Roman"/>
              </w:rPr>
              <w:lastRenderedPageBreak/>
              <w:t>върху експозицията.</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За </w:t>
            </w:r>
            <w:proofErr w:type="spellStart"/>
            <w:r>
              <w:rPr>
                <w:rFonts w:ascii="Times New Roman" w:hAnsi="Times New Roman"/>
              </w:rPr>
              <w:t>задбалансовите</w:t>
            </w:r>
            <w:proofErr w:type="spellEnd"/>
            <w:r>
              <w:rPr>
                <w:rFonts w:ascii="Times New Roman" w:hAnsi="Times New Roman"/>
              </w:rPr>
              <w:t xml:space="preserve"> позиции институциите прилагат </w:t>
            </w:r>
            <w:proofErr w:type="spellStart"/>
            <w:r>
              <w:rPr>
                <w:rFonts w:ascii="Times New Roman" w:hAnsi="Times New Roman"/>
              </w:rPr>
              <w:t>конверсионните</w:t>
            </w:r>
            <w:proofErr w:type="spellEnd"/>
            <w:r>
              <w:rPr>
                <w:rFonts w:ascii="Times New Roman" w:hAnsi="Times New Roman"/>
              </w:rPr>
              <w:t xml:space="preserve"> коефициенти, определени в член 166, параграфи 8—10 от РКИ.</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rPr>
              <w:lastRenderedPageBreak/>
              <w:t>030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Номинална стойност</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експозициите на </w:t>
            </w:r>
            <w:proofErr w:type="spellStart"/>
            <w:r>
              <w:rPr>
                <w:rFonts w:ascii="Times New Roman" w:hAnsi="Times New Roman"/>
              </w:rPr>
              <w:t>задбалансовите</w:t>
            </w:r>
            <w:proofErr w:type="spellEnd"/>
            <w:r>
              <w:rPr>
                <w:rFonts w:ascii="Times New Roman" w:hAnsi="Times New Roman"/>
              </w:rPr>
              <w:t xml:space="preserve"> позиции, както това е посочено в членове 111 и 166 от РКИ, без прилагане на </w:t>
            </w:r>
            <w:proofErr w:type="spellStart"/>
            <w:r>
              <w:rPr>
                <w:rFonts w:ascii="Times New Roman" w:hAnsi="Times New Roman"/>
              </w:rPr>
              <w:t>конверсионни</w:t>
            </w:r>
            <w:proofErr w:type="spellEnd"/>
            <w:r>
              <w:rPr>
                <w:rFonts w:ascii="Times New Roman" w:hAnsi="Times New Roman"/>
              </w:rPr>
              <w:t xml:space="preserve"> коефициенти.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71" w:name="_Toc338669922"/>
      <w:bookmarkStart w:id="72" w:name="_Toc338669923"/>
      <w:bookmarkStart w:id="73" w:name="_Toc338669924"/>
      <w:bookmarkStart w:id="74" w:name="_Toc338669925"/>
      <w:bookmarkStart w:id="75" w:name="_Toc338669926"/>
      <w:bookmarkStart w:id="76" w:name="_Toc338669927"/>
      <w:bookmarkStart w:id="77" w:name="_Toc338669928"/>
      <w:bookmarkStart w:id="78" w:name="_Toc351048509"/>
      <w:bookmarkStart w:id="79" w:name="_Toc359414288"/>
      <w:bookmarkStart w:id="80" w:name="_Toc423089073"/>
      <w:bookmarkStart w:id="81" w:name="_Toc322687894"/>
      <w:bookmarkStart w:id="82" w:name="_Toc523907712"/>
      <w:bookmarkEnd w:id="63"/>
      <w:bookmarkEnd w:id="71"/>
      <w:bookmarkEnd w:id="72"/>
      <w:bookmarkEnd w:id="73"/>
      <w:bookmarkEnd w:id="74"/>
      <w:bookmarkEnd w:id="75"/>
      <w:bookmarkEnd w:id="76"/>
      <w:bookmarkEnd w:id="77"/>
      <w:r>
        <w:rPr>
          <w:rFonts w:ascii="Times New Roman" w:hAnsi="Times New Roman"/>
          <w:b/>
        </w:rPr>
        <w:t>7.</w:t>
      </w:r>
      <w:r>
        <w:tab/>
      </w:r>
      <w:r>
        <w:rPr>
          <w:rFonts w:ascii="Times New Roman" w:hAnsi="Times New Roman"/>
          <w:b/>
        </w:rPr>
        <w:t>C 42.00 — Алтернативно определяне на капитала</w:t>
      </w:r>
      <w:bookmarkEnd w:id="78"/>
      <w:bookmarkEnd w:id="79"/>
      <w:r>
        <w:rPr>
          <w:rFonts w:ascii="Times New Roman" w:hAnsi="Times New Roman"/>
          <w:b/>
        </w:rPr>
        <w:t xml:space="preserve"> (LR3)</w:t>
      </w:r>
      <w:bookmarkEnd w:id="80"/>
      <w:bookmarkEnd w:id="82"/>
      <w:r>
        <w:rPr>
          <w:rFonts w:ascii="Times New Roman" w:hAnsi="Times New Roman"/>
          <w:b/>
        </w:rPr>
        <w:t xml:space="preserve"> </w:t>
      </w:r>
      <w:bookmarkEnd w:id="81"/>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Pr>
          <w:rFonts w:ascii="Times New Roman" w:hAnsi="Times New Roman"/>
        </w:rPr>
        <w:t>27.</w:t>
      </w:r>
      <w:r>
        <w:tab/>
      </w:r>
      <w:r>
        <w:rPr>
          <w:rFonts w:ascii="Times New Roman" w:hAnsi="Times New Roman"/>
        </w:rPr>
        <w:t>В образец LR3 се представя информация за капиталовите мерки, необходими за прегледа по член 511 от РКИ.</w:t>
      </w:r>
    </w:p>
    <w:p w:rsidR="00F4754B" w:rsidRPr="00FE002E" w:rsidRDefault="00F4754B" w:rsidP="007E2A41">
      <w:pPr>
        <w:pStyle w:val="BodyText1"/>
        <w:spacing w:line="240" w:lineRule="auto"/>
        <w:ind w:left="720"/>
        <w:rPr>
          <w:rFonts w:ascii="Times New Roman" w:hAnsi="Times New Roman"/>
        </w:rPr>
      </w:pPr>
      <w:r>
        <w:rPr>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Ред </w:t>
            </w:r>
          </w:p>
          <w:p w:rsidR="00F4754B" w:rsidRPr="00FE002E" w:rsidRDefault="00F4754B" w:rsidP="00F4754B">
            <w:pPr>
              <w:pStyle w:val="BodyText1"/>
              <w:rPr>
                <w:rFonts w:ascii="Times New Roman" w:hAnsi="Times New Roman"/>
                <w:b/>
                <w:bCs/>
                <w:u w:val="single"/>
              </w:rPr>
            </w:pPr>
            <w:r>
              <w:rPr>
                <w:rFonts w:ascii="Times New Roman" w:hAnsi="Times New Roman"/>
                <w:b/>
              </w:rPr>
              <w:t>и колона</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Pr>
                <w:rFonts w:ascii="Times New Roman" w:hAnsi="Times New Roman"/>
                <w:b/>
              </w:rPr>
              <w:t>Препратки към правни норми и указания</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{010;</w:t>
            </w:r>
            <w:proofErr w:type="spellStart"/>
            <w:r>
              <w:rPr>
                <w:rFonts w:ascii="Times New Roman" w:hAnsi="Times New Roman"/>
              </w:rPr>
              <w:t>010</w:t>
            </w:r>
            <w:proofErr w:type="spellEnd"/>
            <w:r>
              <w:rPr>
                <w:rFonts w:ascii="Times New Roman" w:hAnsi="Times New Roman"/>
              </w:rPr>
              <w:t>}</w:t>
            </w:r>
          </w:p>
        </w:tc>
        <w:tc>
          <w:tcPr>
            <w:tcW w:w="7620" w:type="dxa"/>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Базов собствен капитал от първи ред — „окончателно“ определение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Член 50 от РКИ</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Pr>
                <w:rFonts w:ascii="Times New Roman" w:hAnsi="Times New Roman"/>
              </w:rPr>
              <w:t xml:space="preserve">Това е размерът на базовия собствен капитал от първи ред, определен в член 50 от РКИ, без да се взима предвид </w:t>
            </w:r>
            <w:proofErr w:type="spellStart"/>
            <w:r>
              <w:rPr>
                <w:rFonts w:ascii="Times New Roman" w:hAnsi="Times New Roman"/>
              </w:rPr>
              <w:t>дерогацията</w:t>
            </w:r>
            <w:proofErr w:type="spellEnd"/>
            <w:r>
              <w:rPr>
                <w:rFonts w:ascii="Times New Roman" w:hAnsi="Times New Roman"/>
              </w:rPr>
              <w:t>, предвидена в част 10, глави 1 и 2 от РКИ.</w:t>
            </w:r>
            <w:r>
              <w:rPr>
                <w:rFonts w:ascii="Times New Roman" w:hAnsi="Times New Roman"/>
                <w:b/>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7E2A41">
            <w:pPr>
              <w:pStyle w:val="BodyText1"/>
              <w:spacing w:line="240" w:lineRule="auto"/>
              <w:rPr>
                <w:rFonts w:ascii="Times New Roman" w:hAnsi="Times New Roman"/>
                <w:i/>
              </w:rPr>
            </w:pPr>
            <w:r>
              <w:rPr>
                <w:rFonts w:ascii="Times New Roman" w:hAnsi="Times New Roman"/>
                <w:b/>
              </w:rPr>
              <w:t>Базов собствен капитал от първи ред — „преходно“ определение</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Член 50 от РКИ</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Pr>
                <w:rFonts w:ascii="Times New Roman" w:hAnsi="Times New Roman"/>
              </w:rPr>
              <w:t xml:space="preserve">Това е размерът на базовия собствен капитал от първи ред, определен в член 50 от РКИ, след като се вземе предвид </w:t>
            </w:r>
            <w:proofErr w:type="spellStart"/>
            <w:r>
              <w:rPr>
                <w:rFonts w:ascii="Times New Roman" w:hAnsi="Times New Roman"/>
              </w:rPr>
              <w:t>дерогацията</w:t>
            </w:r>
            <w:proofErr w:type="spellEnd"/>
            <w:r>
              <w:rPr>
                <w:rFonts w:ascii="Times New Roman" w:hAnsi="Times New Roman"/>
              </w:rPr>
              <w:t>, предвидена в част 10, глави 1 и 2 от РКИ.</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Pr>
                <w:rFonts w:ascii="Times New Roman" w:hAnsi="Times New Roman"/>
              </w:rPr>
              <w:t>{030;010}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Pr>
                <w:rFonts w:ascii="Times New Roman" w:hAnsi="Times New Roman"/>
                <w:b/>
              </w:rPr>
              <w:t>Общо собствени средства — „окончателно“ определение</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Член 72 от РКИ</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Pr>
                <w:rFonts w:ascii="Times New Roman" w:hAnsi="Times New Roman"/>
              </w:rPr>
              <w:t xml:space="preserve">Това е размерът на собствените средства, както са определени в член 72 от РКИ, без да се взима предвид </w:t>
            </w:r>
            <w:proofErr w:type="spellStart"/>
            <w:r>
              <w:rPr>
                <w:rFonts w:ascii="Times New Roman" w:hAnsi="Times New Roman"/>
              </w:rPr>
              <w:t>дерогацията</w:t>
            </w:r>
            <w:proofErr w:type="spellEnd"/>
            <w:r>
              <w:rPr>
                <w:rFonts w:ascii="Times New Roman" w:hAnsi="Times New Roman"/>
              </w:rPr>
              <w:t>, предвидена в част 10, глави 1 и 2 от РКИ.</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Pr>
                <w:rFonts w:ascii="Times New Roman" w:hAnsi="Times New Roman"/>
              </w:rPr>
              <w:t>{040;010}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Общо собствени средства — „преходно“ определение</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Член 72 от РКИ</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Това е размерът на собствените средства, както са определени в член 72 от РКИ, след като се вземе предвид </w:t>
            </w:r>
            <w:proofErr w:type="spellStart"/>
            <w:r>
              <w:rPr>
                <w:rFonts w:ascii="Times New Roman" w:hAnsi="Times New Roman"/>
              </w:rPr>
              <w:t>дерогацията</w:t>
            </w:r>
            <w:proofErr w:type="spellEnd"/>
            <w:r>
              <w:rPr>
                <w:rFonts w:ascii="Times New Roman" w:hAnsi="Times New Roman"/>
              </w:rPr>
              <w:t>, предвидена в част 10, глави 1 и 2 от РКИ.</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{055;010}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Стойност на активите, приспадната от елементите на базовия собствен капитал от първи ред — „окончателно“ определение</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Pr>
                <w:rFonts w:ascii="Times New Roman" w:hAnsi="Times New Roman"/>
              </w:rPr>
              <w:t>Тук се включва стойността на регулаторните корекции на елементите на базовия собствен капитал от първи ред, с които се коригира стойността на актив и които са изисквани по:</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членове 32—35 от РКИ или</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членове 36—47 от РКИ,</w:t>
            </w:r>
          </w:p>
          <w:p w:rsidR="007A0E3A" w:rsidRPr="00FD2C06" w:rsidRDefault="007A0E3A" w:rsidP="006914A2">
            <w:pPr>
              <w:pStyle w:val="BodyText1"/>
              <w:spacing w:line="240" w:lineRule="auto"/>
              <w:rPr>
                <w:rFonts w:ascii="Times New Roman" w:hAnsi="Times New Roman"/>
                <w:b/>
                <w:bCs/>
              </w:rPr>
            </w:pPr>
            <w:r>
              <w:rPr>
                <w:rFonts w:ascii="Times New Roman" w:hAnsi="Times New Roman"/>
              </w:rPr>
              <w:t>в зависимост от случая.</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rPr>
              <w:t xml:space="preserve">Институциите взимат предвид изключенията, алтернативните подходи и </w:t>
            </w:r>
            <w:r>
              <w:rPr>
                <w:rFonts w:ascii="Times New Roman" w:hAnsi="Times New Roman"/>
              </w:rPr>
              <w:lastRenderedPageBreak/>
              <w:t xml:space="preserve">освобождаванията по отношение на такива приспадания, заложени в членове 48, 49 и 79 от РКИ, без да взимат предвид </w:t>
            </w:r>
            <w:proofErr w:type="spellStart"/>
            <w:r>
              <w:rPr>
                <w:rFonts w:ascii="Times New Roman" w:hAnsi="Times New Roman"/>
              </w:rPr>
              <w:t>дерогацията</w:t>
            </w:r>
            <w:proofErr w:type="spellEnd"/>
            <w:r>
              <w:rPr>
                <w:rFonts w:ascii="Times New Roman" w:hAnsi="Times New Roman"/>
              </w:rPr>
              <w:t>, предвидена в част 10, глави 1 и 2 от РКИ. За да се избегне двойното отчитане, при изчисляване на стойността на експозицията в {</w:t>
            </w:r>
            <w:proofErr w:type="spellStart"/>
            <w:r>
              <w:rPr>
                <w:rFonts w:ascii="Times New Roman" w:hAnsi="Times New Roman"/>
              </w:rPr>
              <w:t>LRCalc</w:t>
            </w:r>
            <w:proofErr w:type="spellEnd"/>
            <w:r>
              <w:rPr>
                <w:rFonts w:ascii="Times New Roman" w:hAnsi="Times New Roman"/>
              </w:rPr>
              <w:t>;10;</w:t>
            </w:r>
            <w:proofErr w:type="spellStart"/>
            <w:r>
              <w:rPr>
                <w:rFonts w:ascii="Times New Roman" w:hAnsi="Times New Roman"/>
              </w:rPr>
              <w:t>10</w:t>
            </w:r>
            <w:proofErr w:type="spellEnd"/>
            <w:r>
              <w:rPr>
                <w:rFonts w:ascii="Times New Roman" w:hAnsi="Times New Roman"/>
              </w:rPr>
              <w:t>} — {</w:t>
            </w:r>
            <w:proofErr w:type="spellStart"/>
            <w:r>
              <w:rPr>
                <w:rFonts w:ascii="Times New Roman" w:hAnsi="Times New Roman"/>
              </w:rPr>
              <w:t>LRCalc</w:t>
            </w:r>
            <w:proofErr w:type="spellEnd"/>
            <w:r>
              <w:rPr>
                <w:rFonts w:ascii="Times New Roman" w:hAnsi="Times New Roman"/>
              </w:rPr>
              <w:t>;260;10} институциите не докладват корекциите, които вече са били приложени по силата на член 111 от РКИ, нито тези, които не водят до намаляване на стойността на определен актив.</w:t>
            </w:r>
            <w:r>
              <w:rPr>
                <w:rFonts w:ascii="Times New Roman" w:hAnsi="Times New Roman"/>
                <w:b/>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Тъй като с тези корекции се намалява общият размер на собствените средства, те се докладват като отрицателна стойност.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lastRenderedPageBreak/>
              <w:t>{065;010}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Стойност на активите, приспадната от елементите на базовия собствен капитал от първи ред — „преходно“ определение</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Тук се включва стойността на регулаторните корекции на базовия собствен капитал от първи ред, с които се коригира стойността на актив и които са изисквани по:</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членове 32—35 от РКИ или</w:t>
            </w:r>
          </w:p>
          <w:p w:rsidR="00C81710" w:rsidRPr="006914A2"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членове 36—47 от РКИ,</w:t>
            </w:r>
          </w:p>
          <w:p w:rsidR="007A0E3A" w:rsidRPr="00D74CC1" w:rsidRDefault="007A0E3A" w:rsidP="006914A2">
            <w:pPr>
              <w:pStyle w:val="BodyText1"/>
              <w:spacing w:line="240" w:lineRule="auto"/>
              <w:rPr>
                <w:rFonts w:ascii="Times New Roman" w:hAnsi="Times New Roman"/>
                <w:b/>
                <w:bCs/>
              </w:rPr>
            </w:pPr>
            <w:r>
              <w:rPr>
                <w:rFonts w:ascii="Times New Roman" w:hAnsi="Times New Roman"/>
              </w:rPr>
              <w:t>както е приложимо.</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 xml:space="preserve">Институциите взимат предвид изключенията, алтернативните подходи и освобождаванията по отношение на такива приспадания, предвидени в членове 48, 49 и 79 от РКИ, както и </w:t>
            </w:r>
            <w:proofErr w:type="spellStart"/>
            <w:r>
              <w:rPr>
                <w:rFonts w:ascii="Times New Roman" w:hAnsi="Times New Roman"/>
              </w:rPr>
              <w:t>дерогацията</w:t>
            </w:r>
            <w:proofErr w:type="spellEnd"/>
            <w:r>
              <w:rPr>
                <w:rFonts w:ascii="Times New Roman" w:hAnsi="Times New Roman"/>
              </w:rPr>
              <w:t>, предвидена в част 10, глави 1 и 2 от РКИ. За да се избегне двойното отчитане, при изчисляване на стойността на експозицията в {</w:t>
            </w:r>
            <w:proofErr w:type="spellStart"/>
            <w:r>
              <w:rPr>
                <w:rFonts w:ascii="Times New Roman" w:hAnsi="Times New Roman"/>
              </w:rPr>
              <w:t>LRCalc</w:t>
            </w:r>
            <w:proofErr w:type="spellEnd"/>
            <w:r>
              <w:rPr>
                <w:rFonts w:ascii="Times New Roman" w:hAnsi="Times New Roman"/>
              </w:rPr>
              <w:t>;10;</w:t>
            </w:r>
            <w:proofErr w:type="spellStart"/>
            <w:r>
              <w:rPr>
                <w:rFonts w:ascii="Times New Roman" w:hAnsi="Times New Roman"/>
              </w:rPr>
              <w:t>10</w:t>
            </w:r>
            <w:proofErr w:type="spellEnd"/>
            <w:r>
              <w:rPr>
                <w:rFonts w:ascii="Times New Roman" w:hAnsi="Times New Roman"/>
              </w:rPr>
              <w:t>} — {</w:t>
            </w:r>
            <w:proofErr w:type="spellStart"/>
            <w:r>
              <w:rPr>
                <w:rFonts w:ascii="Times New Roman" w:hAnsi="Times New Roman"/>
              </w:rPr>
              <w:t>LRCalc</w:t>
            </w:r>
            <w:proofErr w:type="spellEnd"/>
            <w:r>
              <w:rPr>
                <w:rFonts w:ascii="Times New Roman" w:hAnsi="Times New Roman"/>
              </w:rPr>
              <w:t>;260;10} институциите не докладват корекциите, които вече са били приложени по силата на член 111 от РКИ, нито тези, които не водят до намаляване на стойността на определен актив.</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Pr>
                <w:rFonts w:ascii="Times New Roman" w:hAnsi="Times New Roman"/>
              </w:rPr>
              <w:t>Тъй като с тези корекции се намалява общият размер на собствените средства, те се докладват като отрицателна стойност.</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{075;010}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rPr>
              <w:t>Стойност на активите, приспадната от елементите на собствените средства — „окончателно“ определение</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Тук се включва стойността на регулаторните корекции на елементите на собствените средства, с които се коригира стойността на актив и които са изисквани по:</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членове 32—35 от РКИ или</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членове 36—47 от РКИ или</w:t>
            </w:r>
          </w:p>
          <w:p w:rsidR="00C81710" w:rsidRPr="00FD2C0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членове 56—60 от РКИ или</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членове 66—70 от РКИ,</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както е приложимо.</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 xml:space="preserve">Институциите взимат предвид изключенията, алтернативните подходи и освобождаванията по отношение на такива приспадания, заложени в членове 48, 49 и 79 от РКИ, без да взимат предвид </w:t>
            </w:r>
            <w:proofErr w:type="spellStart"/>
            <w:r>
              <w:rPr>
                <w:rFonts w:ascii="Times New Roman" w:hAnsi="Times New Roman"/>
              </w:rPr>
              <w:t>дерогацията</w:t>
            </w:r>
            <w:proofErr w:type="spellEnd"/>
            <w:r>
              <w:rPr>
                <w:rFonts w:ascii="Times New Roman" w:hAnsi="Times New Roman"/>
              </w:rPr>
              <w:t>, предвидена в част 10, глави 1 и 2 от РКИ. За да се избегне двойното отчитане, при изчисляване на стойността на експозицията в {</w:t>
            </w:r>
            <w:proofErr w:type="spellStart"/>
            <w:r>
              <w:rPr>
                <w:rFonts w:ascii="Times New Roman" w:hAnsi="Times New Roman"/>
              </w:rPr>
              <w:t>LRCalc</w:t>
            </w:r>
            <w:proofErr w:type="spellEnd"/>
            <w:r>
              <w:rPr>
                <w:rFonts w:ascii="Times New Roman" w:hAnsi="Times New Roman"/>
              </w:rPr>
              <w:t>;10;</w:t>
            </w:r>
            <w:proofErr w:type="spellStart"/>
            <w:r>
              <w:rPr>
                <w:rFonts w:ascii="Times New Roman" w:hAnsi="Times New Roman"/>
              </w:rPr>
              <w:t>10</w:t>
            </w:r>
            <w:proofErr w:type="spellEnd"/>
            <w:r>
              <w:rPr>
                <w:rFonts w:ascii="Times New Roman" w:hAnsi="Times New Roman"/>
              </w:rPr>
              <w:t>} — {</w:t>
            </w:r>
            <w:proofErr w:type="spellStart"/>
            <w:r>
              <w:rPr>
                <w:rFonts w:ascii="Times New Roman" w:hAnsi="Times New Roman"/>
              </w:rPr>
              <w:t>LRCalc</w:t>
            </w:r>
            <w:proofErr w:type="spellEnd"/>
            <w:r>
              <w:rPr>
                <w:rFonts w:ascii="Times New Roman" w:hAnsi="Times New Roman"/>
              </w:rPr>
              <w:t>;260;10} институциите не докладват корекциите, които вече са били приложени по силата на член 111 от РКИ, нито тези, които не водят до намаляване на стойността на определен актив.</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Тъй като с тези корекции се намалява общият размер на собствените средства, те се докладват като отрицателна стойност. </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Pr>
                <w:rFonts w:ascii="Times New Roman" w:hAnsi="Times New Roman"/>
              </w:rPr>
              <w:t>{085;010}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rPr>
              <w:t>Стойност на активите, приспадната от елементите на собствените средства — „преходно“ определение</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Pr>
                <w:rFonts w:ascii="Times New Roman" w:hAnsi="Times New Roman"/>
              </w:rPr>
              <w:t>Тук се включва стойността на регулаторните корекции на елементите на собствените средства, с които се коригира стойността на актив и които са изисквани по:</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членове 32—35 от РКИ или</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членове 36—47 от РКИ или</w:t>
            </w:r>
          </w:p>
          <w:p w:rsidR="00C81710" w:rsidRPr="00D74CC1" w:rsidRDefault="00500508" w:rsidP="00500508">
            <w:pPr>
              <w:pStyle w:val="BodyText1"/>
              <w:spacing w:line="240" w:lineRule="auto"/>
              <w:ind w:left="720" w:hanging="360"/>
              <w:rPr>
                <w:rFonts w:ascii="Times New Roman" w:hAnsi="Times New Roman"/>
                <w:b/>
                <w:bCs/>
              </w:rPr>
            </w:pPr>
            <w:r>
              <w:rPr>
                <w:rFonts w:ascii="Times New Roman" w:hAnsi="Times New Roman"/>
              </w:rPr>
              <w:t>-</w:t>
            </w:r>
            <w:r>
              <w:tab/>
            </w:r>
            <w:r>
              <w:rPr>
                <w:rFonts w:ascii="Times New Roman" w:hAnsi="Times New Roman"/>
              </w:rPr>
              <w:t>членове 56—60 от РКИ или</w:t>
            </w:r>
          </w:p>
          <w:p w:rsidR="00C81710" w:rsidRPr="00877186" w:rsidRDefault="00500508" w:rsidP="00500508">
            <w:pPr>
              <w:pStyle w:val="BodyText1"/>
              <w:spacing w:line="240" w:lineRule="auto"/>
              <w:ind w:left="720" w:hanging="360"/>
              <w:rPr>
                <w:rFonts w:ascii="Times New Roman" w:hAnsi="Times New Roman"/>
                <w:b/>
                <w:bCs/>
              </w:rPr>
            </w:pPr>
            <w:r>
              <w:rPr>
                <w:rFonts w:ascii="Times New Roman" w:hAnsi="Times New Roman"/>
              </w:rPr>
              <w:lastRenderedPageBreak/>
              <w:t>-</w:t>
            </w:r>
            <w:r>
              <w:tab/>
            </w:r>
            <w:r>
              <w:rPr>
                <w:rFonts w:ascii="Times New Roman" w:hAnsi="Times New Roman"/>
              </w:rPr>
              <w:t>членове 66—70 от РКИ,</w:t>
            </w:r>
          </w:p>
          <w:p w:rsidR="007A0E3A" w:rsidRPr="00D74CC1" w:rsidRDefault="007A0E3A" w:rsidP="00877186">
            <w:pPr>
              <w:pStyle w:val="BodyText1"/>
              <w:spacing w:line="240" w:lineRule="auto"/>
              <w:rPr>
                <w:rFonts w:ascii="Times New Roman" w:hAnsi="Times New Roman"/>
                <w:b/>
                <w:bCs/>
              </w:rPr>
            </w:pPr>
            <w:r>
              <w:rPr>
                <w:rFonts w:ascii="Times New Roman" w:hAnsi="Times New Roman"/>
              </w:rPr>
              <w:t>както е приложимо.</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rPr>
              <w:t xml:space="preserve">Институциите взимат предвид изключенията, алтернативните подходи и освобождаванията по отношение на такива приспадания, предвидени в членове 48, 49 и 79 от РКИ, както и </w:t>
            </w:r>
            <w:proofErr w:type="spellStart"/>
            <w:r>
              <w:rPr>
                <w:rFonts w:ascii="Times New Roman" w:hAnsi="Times New Roman"/>
              </w:rPr>
              <w:t>дерогацията</w:t>
            </w:r>
            <w:proofErr w:type="spellEnd"/>
            <w:r>
              <w:rPr>
                <w:rFonts w:ascii="Times New Roman" w:hAnsi="Times New Roman"/>
              </w:rPr>
              <w:t>, предвидена в част 10, глави 1 и 2 от РКИ. За да се избегне двойното отчитане, при изчисляване на стойността на експозицията в {</w:t>
            </w:r>
            <w:proofErr w:type="spellStart"/>
            <w:r>
              <w:rPr>
                <w:rFonts w:ascii="Times New Roman" w:hAnsi="Times New Roman"/>
              </w:rPr>
              <w:t>LRCalc</w:t>
            </w:r>
            <w:proofErr w:type="spellEnd"/>
            <w:r>
              <w:rPr>
                <w:rFonts w:ascii="Times New Roman" w:hAnsi="Times New Roman"/>
              </w:rPr>
              <w:t>;10;</w:t>
            </w:r>
            <w:proofErr w:type="spellStart"/>
            <w:r>
              <w:rPr>
                <w:rFonts w:ascii="Times New Roman" w:hAnsi="Times New Roman"/>
              </w:rPr>
              <w:t>10</w:t>
            </w:r>
            <w:proofErr w:type="spellEnd"/>
            <w:r>
              <w:rPr>
                <w:rFonts w:ascii="Times New Roman" w:hAnsi="Times New Roman"/>
              </w:rPr>
              <w:t>} — {</w:t>
            </w:r>
            <w:proofErr w:type="spellStart"/>
            <w:r>
              <w:rPr>
                <w:rFonts w:ascii="Times New Roman" w:hAnsi="Times New Roman"/>
              </w:rPr>
              <w:t>LRCalc</w:t>
            </w:r>
            <w:proofErr w:type="spellEnd"/>
            <w:r>
              <w:rPr>
                <w:rFonts w:ascii="Times New Roman" w:hAnsi="Times New Roman"/>
              </w:rPr>
              <w:t>;260;10} институциите не докладват корекциите, които вече са били приложени по силата на член 111 от РКИ, нито тези, които не водят до намаляване на стойността на определен актив.</w:t>
            </w:r>
            <w:r>
              <w:rPr>
                <w:rFonts w:ascii="Times New Roman" w:hAnsi="Times New Roman"/>
                <w:b/>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Pr>
                <w:rFonts w:ascii="Times New Roman" w:hAnsi="Times New Roman"/>
              </w:rPr>
              <w:t xml:space="preserve">Тъй като с тези корекции се намалява общият размер на собствените средства, те се докладват като отрицателна стойност. </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83" w:name="_Toc322687900"/>
      <w:bookmarkStart w:id="84" w:name="_Toc322533879"/>
    </w:p>
    <w:p w:rsidR="00217D1F" w:rsidRPr="00FE002E" w:rsidRDefault="00500508" w:rsidP="00500508">
      <w:pPr>
        <w:pStyle w:val="BodyText1"/>
        <w:ind w:left="357" w:hanging="357"/>
        <w:outlineLvl w:val="1"/>
        <w:rPr>
          <w:rFonts w:ascii="Times New Roman" w:hAnsi="Times New Roman"/>
          <w:b/>
        </w:rPr>
      </w:pPr>
      <w:bookmarkStart w:id="85" w:name="_Toc351048510"/>
      <w:bookmarkStart w:id="86" w:name="_Toc359414289"/>
      <w:bookmarkStart w:id="87" w:name="_Toc423089074"/>
      <w:bookmarkStart w:id="88" w:name="_Toc523907713"/>
      <w:r>
        <w:rPr>
          <w:rFonts w:ascii="Times New Roman" w:hAnsi="Times New Roman"/>
          <w:b/>
        </w:rPr>
        <w:t>8.</w:t>
      </w:r>
      <w:r>
        <w:tab/>
      </w:r>
      <w:r>
        <w:rPr>
          <w:rFonts w:ascii="Times New Roman" w:hAnsi="Times New Roman"/>
          <w:b/>
        </w:rPr>
        <w:t xml:space="preserve">C 43.00 — Алтернативна разбивка на компонентите на мярката за експозицията с оглед на отношението на </w:t>
      </w:r>
      <w:proofErr w:type="spellStart"/>
      <w:r>
        <w:rPr>
          <w:rFonts w:ascii="Times New Roman" w:hAnsi="Times New Roman"/>
          <w:b/>
        </w:rPr>
        <w:t>ливъридж</w:t>
      </w:r>
      <w:bookmarkEnd w:id="83"/>
      <w:bookmarkEnd w:id="85"/>
      <w:bookmarkEnd w:id="86"/>
      <w:proofErr w:type="spellEnd"/>
      <w:r>
        <w:rPr>
          <w:rFonts w:ascii="Times New Roman" w:hAnsi="Times New Roman"/>
          <w:b/>
        </w:rPr>
        <w:t xml:space="preserve"> (LR4)</w:t>
      </w:r>
      <w:bookmarkEnd w:id="87"/>
      <w:bookmarkEnd w:id="88"/>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Pr>
          <w:rFonts w:ascii="Times New Roman" w:hAnsi="Times New Roman"/>
        </w:rPr>
        <w:t>28.</w:t>
      </w:r>
      <w:r>
        <w:tab/>
      </w:r>
      <w:r>
        <w:rPr>
          <w:rFonts w:ascii="Times New Roman" w:hAnsi="Times New Roman"/>
        </w:rPr>
        <w:t xml:space="preserve">Институциите докладват 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в LR4, след прилагането на изключенията — където е приложимо, в следните полета </w:t>
      </w:r>
      <w:proofErr w:type="spellStart"/>
      <w:r>
        <w:rPr>
          <w:rFonts w:ascii="Times New Roman" w:hAnsi="Times New Roman"/>
        </w:rPr>
        <w:t>LRCalc</w:t>
      </w:r>
      <w:proofErr w:type="spellEnd"/>
      <w:r>
        <w:rPr>
          <w:rFonts w:ascii="Times New Roman" w:hAnsi="Times New Roman"/>
        </w:rPr>
        <w:t>: {050;010}, {080;010}, {100;010}, {120;010}, {220; 010}, {250;010} и {260;010}.</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29.</w:t>
      </w:r>
      <w:r>
        <w:tab/>
      </w:r>
      <w:r>
        <w:rPr>
          <w:rFonts w:ascii="Times New Roman" w:hAnsi="Times New Roman"/>
        </w:rPr>
        <w:t xml:space="preserve">С цел избягване на двойно отчитане институциите прилагат формулата, посочена в следния параграф: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30.</w:t>
      </w:r>
      <w:r>
        <w:tab/>
      </w:r>
      <w:r>
        <w:rPr>
          <w:rFonts w:ascii="Times New Roman" w:hAnsi="Times New Roman"/>
        </w:rPr>
        <w:t>Формулата, която институциите трябва да прилагат съгласно параграф 29, е: [{</w:t>
      </w:r>
      <w:proofErr w:type="spellStart"/>
      <w:r>
        <w:rPr>
          <w:rFonts w:ascii="Times New Roman" w:hAnsi="Times New Roman"/>
        </w:rPr>
        <w:t>LRCalc</w:t>
      </w:r>
      <w:proofErr w:type="spellEnd"/>
      <w:r>
        <w:rPr>
          <w:rFonts w:ascii="Times New Roman" w:hAnsi="Times New Roman"/>
        </w:rPr>
        <w:t>;010;</w:t>
      </w:r>
      <w:proofErr w:type="spellStart"/>
      <w:r>
        <w:rPr>
          <w:rFonts w:ascii="Times New Roman" w:hAnsi="Times New Roman"/>
        </w:rPr>
        <w:t>010</w:t>
      </w:r>
      <w:proofErr w:type="spellEnd"/>
      <w:r>
        <w:rPr>
          <w:rFonts w:ascii="Times New Roman" w:hAnsi="Times New Roman"/>
        </w:rPr>
        <w:t>} + {</w:t>
      </w:r>
      <w:proofErr w:type="spellStart"/>
      <w:r>
        <w:rPr>
          <w:rFonts w:ascii="Times New Roman" w:hAnsi="Times New Roman"/>
        </w:rPr>
        <w:t>LRCalc</w:t>
      </w:r>
      <w:proofErr w:type="spellEnd"/>
      <w:r>
        <w:rPr>
          <w:rFonts w:ascii="Times New Roman" w:hAnsi="Times New Roman"/>
        </w:rPr>
        <w:t>;020;010} + {</w:t>
      </w:r>
      <w:proofErr w:type="spellStart"/>
      <w:r>
        <w:rPr>
          <w:rFonts w:ascii="Times New Roman" w:hAnsi="Times New Roman"/>
        </w:rPr>
        <w:t>LRCalc</w:t>
      </w:r>
      <w:proofErr w:type="spellEnd"/>
      <w:r>
        <w:rPr>
          <w:rFonts w:ascii="Times New Roman" w:hAnsi="Times New Roman"/>
        </w:rPr>
        <w:t>;030;010} + {</w:t>
      </w:r>
      <w:proofErr w:type="spellStart"/>
      <w:r>
        <w:rPr>
          <w:rFonts w:ascii="Times New Roman" w:hAnsi="Times New Roman"/>
        </w:rPr>
        <w:t>LRCalc</w:t>
      </w:r>
      <w:proofErr w:type="spellEnd"/>
      <w:r>
        <w:rPr>
          <w:rFonts w:ascii="Times New Roman" w:hAnsi="Times New Roman"/>
        </w:rPr>
        <w:t>;040;010} + {</w:t>
      </w:r>
      <w:proofErr w:type="spellStart"/>
      <w:r>
        <w:rPr>
          <w:rFonts w:ascii="Times New Roman" w:hAnsi="Times New Roman"/>
        </w:rPr>
        <w:t>LRCalc</w:t>
      </w:r>
      <w:proofErr w:type="spellEnd"/>
      <w:r>
        <w:rPr>
          <w:rFonts w:ascii="Times New Roman" w:hAnsi="Times New Roman"/>
        </w:rPr>
        <w:t>;050;010} + {</w:t>
      </w:r>
      <w:proofErr w:type="spellStart"/>
      <w:r>
        <w:rPr>
          <w:rFonts w:ascii="Times New Roman" w:hAnsi="Times New Roman"/>
        </w:rPr>
        <w:t>LRCalc</w:t>
      </w:r>
      <w:proofErr w:type="spellEnd"/>
      <w:r>
        <w:rPr>
          <w:rFonts w:ascii="Times New Roman" w:hAnsi="Times New Roman"/>
        </w:rPr>
        <w:t>;060;010} + {</w:t>
      </w:r>
      <w:proofErr w:type="spellStart"/>
      <w:r>
        <w:rPr>
          <w:rFonts w:ascii="Times New Roman" w:hAnsi="Times New Roman"/>
        </w:rPr>
        <w:t>LRCalc</w:t>
      </w:r>
      <w:proofErr w:type="spellEnd"/>
      <w:r>
        <w:rPr>
          <w:rFonts w:ascii="Times New Roman" w:hAnsi="Times New Roman"/>
        </w:rPr>
        <w:t>;070;010} + {</w:t>
      </w:r>
      <w:proofErr w:type="spellStart"/>
      <w:r>
        <w:rPr>
          <w:rFonts w:ascii="Times New Roman" w:hAnsi="Times New Roman"/>
        </w:rPr>
        <w:t>LRCalc</w:t>
      </w:r>
      <w:proofErr w:type="spellEnd"/>
      <w:r>
        <w:rPr>
          <w:rFonts w:ascii="Times New Roman" w:hAnsi="Times New Roman"/>
        </w:rPr>
        <w:t>;080;010} + {</w:t>
      </w:r>
      <w:proofErr w:type="spellStart"/>
      <w:r>
        <w:rPr>
          <w:rFonts w:ascii="Times New Roman" w:hAnsi="Times New Roman"/>
        </w:rPr>
        <w:t>LRCalc</w:t>
      </w:r>
      <w:proofErr w:type="spellEnd"/>
      <w:r>
        <w:rPr>
          <w:rFonts w:ascii="Times New Roman" w:hAnsi="Times New Roman"/>
        </w:rPr>
        <w:t>;090;010} + {</w:t>
      </w:r>
      <w:proofErr w:type="spellStart"/>
      <w:r>
        <w:rPr>
          <w:rFonts w:ascii="Times New Roman" w:hAnsi="Times New Roman"/>
        </w:rPr>
        <w:t>LRCalc</w:t>
      </w:r>
      <w:proofErr w:type="spellEnd"/>
      <w:r>
        <w:rPr>
          <w:rFonts w:ascii="Times New Roman" w:hAnsi="Times New Roman"/>
        </w:rPr>
        <w:t>;100;010} + {</w:t>
      </w:r>
      <w:proofErr w:type="spellStart"/>
      <w:r>
        <w:rPr>
          <w:rFonts w:ascii="Times New Roman" w:hAnsi="Times New Roman"/>
        </w:rPr>
        <w:t>LRCalc</w:t>
      </w:r>
      <w:proofErr w:type="spellEnd"/>
      <w:r>
        <w:rPr>
          <w:rFonts w:ascii="Times New Roman" w:hAnsi="Times New Roman"/>
        </w:rPr>
        <w:t>;110;010} + {</w:t>
      </w:r>
      <w:proofErr w:type="spellStart"/>
      <w:r>
        <w:rPr>
          <w:rFonts w:ascii="Times New Roman" w:hAnsi="Times New Roman"/>
        </w:rPr>
        <w:t>LRCalc</w:t>
      </w:r>
      <w:proofErr w:type="spellEnd"/>
      <w:r>
        <w:rPr>
          <w:rFonts w:ascii="Times New Roman" w:hAnsi="Times New Roman"/>
        </w:rPr>
        <w:t>;120;010} + {</w:t>
      </w:r>
      <w:proofErr w:type="spellStart"/>
      <w:r>
        <w:rPr>
          <w:rFonts w:ascii="Times New Roman" w:hAnsi="Times New Roman"/>
        </w:rPr>
        <w:t>LRCalc</w:t>
      </w:r>
      <w:proofErr w:type="spellEnd"/>
      <w:r>
        <w:rPr>
          <w:rFonts w:ascii="Times New Roman" w:hAnsi="Times New Roman"/>
        </w:rPr>
        <w:t>;130;010} + {</w:t>
      </w:r>
      <w:proofErr w:type="spellStart"/>
      <w:r>
        <w:rPr>
          <w:rFonts w:ascii="Times New Roman" w:hAnsi="Times New Roman"/>
        </w:rPr>
        <w:t>LRCalc</w:t>
      </w:r>
      <w:proofErr w:type="spellEnd"/>
      <w:r>
        <w:rPr>
          <w:rFonts w:ascii="Times New Roman" w:hAnsi="Times New Roman"/>
        </w:rPr>
        <w:t>;140;010} + {</w:t>
      </w:r>
      <w:proofErr w:type="spellStart"/>
      <w:r>
        <w:rPr>
          <w:rFonts w:ascii="Times New Roman" w:hAnsi="Times New Roman"/>
        </w:rPr>
        <w:t>LRCalc</w:t>
      </w:r>
      <w:proofErr w:type="spellEnd"/>
      <w:r>
        <w:rPr>
          <w:rFonts w:ascii="Times New Roman" w:hAnsi="Times New Roman"/>
        </w:rPr>
        <w:t>;150;010} + {</w:t>
      </w:r>
      <w:proofErr w:type="spellStart"/>
      <w:r>
        <w:rPr>
          <w:rFonts w:ascii="Times New Roman" w:hAnsi="Times New Roman"/>
        </w:rPr>
        <w:t>LRCalc</w:t>
      </w:r>
      <w:proofErr w:type="spellEnd"/>
      <w:r>
        <w:rPr>
          <w:rFonts w:ascii="Times New Roman" w:hAnsi="Times New Roman"/>
        </w:rPr>
        <w:t>;160;010} + {</w:t>
      </w:r>
      <w:proofErr w:type="spellStart"/>
      <w:r>
        <w:rPr>
          <w:rFonts w:ascii="Times New Roman" w:hAnsi="Times New Roman"/>
        </w:rPr>
        <w:t>LRCalc</w:t>
      </w:r>
      <w:proofErr w:type="spellEnd"/>
      <w:r>
        <w:rPr>
          <w:rFonts w:ascii="Times New Roman" w:hAnsi="Times New Roman"/>
        </w:rPr>
        <w:t>;170;010} + {</w:t>
      </w:r>
      <w:proofErr w:type="spellStart"/>
      <w:r>
        <w:rPr>
          <w:rFonts w:ascii="Times New Roman" w:hAnsi="Times New Roman"/>
        </w:rPr>
        <w:t>LRCalc</w:t>
      </w:r>
      <w:proofErr w:type="spellEnd"/>
      <w:r>
        <w:rPr>
          <w:rFonts w:ascii="Times New Roman" w:hAnsi="Times New Roman"/>
        </w:rPr>
        <w:t>;180;010} + {</w:t>
      </w:r>
      <w:proofErr w:type="spellStart"/>
      <w:r>
        <w:rPr>
          <w:rFonts w:ascii="Times New Roman" w:hAnsi="Times New Roman"/>
        </w:rPr>
        <w:t>LRCalc</w:t>
      </w:r>
      <w:proofErr w:type="spellEnd"/>
      <w:r>
        <w:rPr>
          <w:rFonts w:ascii="Times New Roman" w:hAnsi="Times New Roman"/>
        </w:rPr>
        <w:t>;190;010} + {</w:t>
      </w:r>
      <w:proofErr w:type="spellStart"/>
      <w:r>
        <w:rPr>
          <w:rFonts w:ascii="Times New Roman" w:hAnsi="Times New Roman"/>
        </w:rPr>
        <w:t>LRCalc</w:t>
      </w:r>
      <w:proofErr w:type="spellEnd"/>
      <w:r>
        <w:rPr>
          <w:rFonts w:ascii="Times New Roman" w:hAnsi="Times New Roman"/>
        </w:rPr>
        <w:t>;200;010} + {</w:t>
      </w:r>
      <w:proofErr w:type="spellStart"/>
      <w:r>
        <w:rPr>
          <w:rFonts w:ascii="Times New Roman" w:hAnsi="Times New Roman"/>
        </w:rPr>
        <w:t>LRCalc</w:t>
      </w:r>
      <w:proofErr w:type="spellEnd"/>
      <w:r>
        <w:rPr>
          <w:rFonts w:ascii="Times New Roman" w:hAnsi="Times New Roman"/>
        </w:rPr>
        <w:t>;210;010} + {</w:t>
      </w:r>
      <w:proofErr w:type="spellStart"/>
      <w:r>
        <w:rPr>
          <w:rFonts w:ascii="Times New Roman" w:hAnsi="Times New Roman"/>
        </w:rPr>
        <w:t>LRCalc</w:t>
      </w:r>
      <w:proofErr w:type="spellEnd"/>
      <w:r>
        <w:rPr>
          <w:rFonts w:ascii="Times New Roman" w:hAnsi="Times New Roman"/>
        </w:rPr>
        <w:t>;220;010} + {</w:t>
      </w:r>
      <w:proofErr w:type="spellStart"/>
      <w:r>
        <w:rPr>
          <w:rFonts w:ascii="Times New Roman" w:hAnsi="Times New Roman"/>
        </w:rPr>
        <w:t>LRCalc</w:t>
      </w:r>
      <w:proofErr w:type="spellEnd"/>
      <w:r>
        <w:rPr>
          <w:rFonts w:ascii="Times New Roman" w:hAnsi="Times New Roman"/>
        </w:rPr>
        <w:t>;230;010} + {</w:t>
      </w:r>
      <w:proofErr w:type="spellStart"/>
      <w:r>
        <w:rPr>
          <w:rFonts w:ascii="Times New Roman" w:hAnsi="Times New Roman"/>
        </w:rPr>
        <w:t>LRCalc</w:t>
      </w:r>
      <w:proofErr w:type="spellEnd"/>
      <w:r>
        <w:rPr>
          <w:rFonts w:ascii="Times New Roman" w:hAnsi="Times New Roman"/>
        </w:rPr>
        <w:t>;240;010} + {</w:t>
      </w:r>
      <w:proofErr w:type="spellStart"/>
      <w:r>
        <w:rPr>
          <w:rFonts w:ascii="Times New Roman" w:hAnsi="Times New Roman"/>
        </w:rPr>
        <w:t>LRCalc</w:t>
      </w:r>
      <w:proofErr w:type="spellEnd"/>
      <w:r>
        <w:rPr>
          <w:rFonts w:ascii="Times New Roman" w:hAnsi="Times New Roman"/>
        </w:rPr>
        <w:t>;250;010} + {</w:t>
      </w:r>
      <w:proofErr w:type="spellStart"/>
      <w:r>
        <w:rPr>
          <w:rFonts w:ascii="Times New Roman" w:hAnsi="Times New Roman"/>
        </w:rPr>
        <w:t>LRCalc</w:t>
      </w:r>
      <w:proofErr w:type="spellEnd"/>
      <w:r>
        <w:rPr>
          <w:rFonts w:ascii="Times New Roman" w:hAnsi="Times New Roman"/>
        </w:rPr>
        <w:t>;260;010}] = [{LR4;010;</w:t>
      </w:r>
      <w:proofErr w:type="spellStart"/>
      <w:r>
        <w:rPr>
          <w:rFonts w:ascii="Times New Roman" w:hAnsi="Times New Roman"/>
        </w:rPr>
        <w:t>010</w:t>
      </w:r>
      <w:proofErr w:type="spellEnd"/>
      <w:r>
        <w:rPr>
          <w:rFonts w:ascii="Times New Roman" w:hAnsi="Times New Roman"/>
        </w:rPr>
        <w:t>} + {LR4;040;010} + {LR4;050;010} + {LR4;060;010} + {LR4;065;010} + {LR4;070;010} + {LR4;080;010} + {LR4;080;020} + {LR4;090;010} + {LR4;090;020} + {LR4;140;010} + {LR4;140;020} + {LR4;180;010} + {LR4;180;020} + {LR4;190;010} + {LR4;190;020} + {LR4;210;010} + {LR4;210;020} + {LR4;230;010} + {LR4;230;020} + {LR4;280;010} + {LR4;280;020} + {LR4;290;010} + {LR4;290;020}].</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Ред и колона</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Pr>
                <w:rFonts w:ascii="Times New Roman" w:hAnsi="Times New Roman"/>
                <w:b/>
              </w:rPr>
              <w:t>Препратки към правни норми и указания</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w:t>
            </w:r>
            <w:proofErr w:type="spellStart"/>
            <w:r>
              <w:rPr>
                <w:rFonts w:ascii="Times New Roman" w:hAnsi="Times New Roman"/>
              </w:rPr>
              <w:t>010</w:t>
            </w:r>
            <w:proofErr w:type="spellEnd"/>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proofErr w:type="spellStart"/>
            <w:r>
              <w:rPr>
                <w:rFonts w:ascii="Times New Roman" w:hAnsi="Times New Roman"/>
                <w:b/>
              </w:rPr>
              <w:t>Задбалансови</w:t>
            </w:r>
            <w:proofErr w:type="spellEnd"/>
            <w:r>
              <w:rPr>
                <w:rFonts w:ascii="Times New Roman" w:hAnsi="Times New Roman"/>
                <w:b/>
              </w:rPr>
              <w:t xml:space="preserve"> позиции; в т.ч. — Стойност на експозицията с оглед на отношението на </w:t>
            </w:r>
            <w:proofErr w:type="spellStart"/>
            <w:r>
              <w:rPr>
                <w:rFonts w:ascii="Times New Roman" w:hAnsi="Times New Roman"/>
                <w:b/>
              </w:rPr>
              <w:t>ливъридж</w:t>
            </w:r>
            <w:proofErr w:type="spellEnd"/>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изчислена като сбора на {</w:t>
            </w:r>
            <w:proofErr w:type="spellStart"/>
            <w:r>
              <w:rPr>
                <w:rFonts w:ascii="Times New Roman" w:hAnsi="Times New Roman"/>
              </w:rPr>
              <w:t>LRCalc</w:t>
            </w:r>
            <w:proofErr w:type="spellEnd"/>
            <w:r>
              <w:rPr>
                <w:rFonts w:ascii="Times New Roman" w:hAnsi="Times New Roman"/>
              </w:rPr>
              <w:t>;150;010}, {</w:t>
            </w:r>
            <w:proofErr w:type="spellStart"/>
            <w:r>
              <w:rPr>
                <w:rFonts w:ascii="Times New Roman" w:hAnsi="Times New Roman"/>
              </w:rPr>
              <w:t>LRCalc</w:t>
            </w:r>
            <w:proofErr w:type="spellEnd"/>
            <w:r>
              <w:rPr>
                <w:rFonts w:ascii="Times New Roman" w:hAnsi="Times New Roman"/>
              </w:rPr>
              <w:t>;160;010}, {</w:t>
            </w:r>
            <w:proofErr w:type="spellStart"/>
            <w:r>
              <w:rPr>
                <w:rFonts w:ascii="Times New Roman" w:hAnsi="Times New Roman"/>
              </w:rPr>
              <w:t>LRCalc</w:t>
            </w:r>
            <w:proofErr w:type="spellEnd"/>
            <w:r>
              <w:rPr>
                <w:rFonts w:ascii="Times New Roman" w:hAnsi="Times New Roman"/>
              </w:rPr>
              <w:t>;170;010} и {</w:t>
            </w:r>
            <w:proofErr w:type="spellStart"/>
            <w:r>
              <w:rPr>
                <w:rFonts w:ascii="Times New Roman" w:hAnsi="Times New Roman"/>
              </w:rPr>
              <w:t>LRCalc</w:t>
            </w:r>
            <w:proofErr w:type="spellEnd"/>
            <w:r>
              <w:rPr>
                <w:rFonts w:ascii="Times New Roman" w:hAnsi="Times New Roman"/>
              </w:rPr>
              <w:t xml:space="preserve">;180;010}, без съответните </w:t>
            </w:r>
            <w:proofErr w:type="spellStart"/>
            <w:r>
              <w:rPr>
                <w:rFonts w:ascii="Times New Roman" w:hAnsi="Times New Roman"/>
              </w:rPr>
              <w:t>вътрешногрупови</w:t>
            </w:r>
            <w:proofErr w:type="spellEnd"/>
            <w:r>
              <w:rPr>
                <w:rFonts w:ascii="Times New Roman" w:hAnsi="Times New Roman"/>
              </w:rPr>
              <w:t xml:space="preserve"> експозиции (индивидуална основа), изключени по силата на член 429, параграф 7 от РКИ.</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proofErr w:type="spellStart"/>
            <w:r>
              <w:rPr>
                <w:rFonts w:ascii="Times New Roman" w:hAnsi="Times New Roman"/>
                <w:b/>
              </w:rPr>
              <w:t>Задбалансови</w:t>
            </w:r>
            <w:proofErr w:type="spellEnd"/>
            <w:r>
              <w:rPr>
                <w:rFonts w:ascii="Times New Roman" w:hAnsi="Times New Roman"/>
                <w:b/>
              </w:rPr>
              <w:t xml:space="preserve"> позиции; в т.ч. — Рисково претеглени активи</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претеглените експозиции на </w:t>
            </w:r>
            <w:proofErr w:type="spellStart"/>
            <w:r>
              <w:rPr>
                <w:rFonts w:ascii="Times New Roman" w:hAnsi="Times New Roman"/>
              </w:rPr>
              <w:t>задбалансовите</w:t>
            </w:r>
            <w:proofErr w:type="spellEnd"/>
            <w:r>
              <w:rPr>
                <w:rFonts w:ascii="Times New Roman" w:hAnsi="Times New Roman"/>
              </w:rPr>
              <w:t xml:space="preserve"> позиции — с изключение на СФЦК и дериватите — по стандартизирания подход и </w:t>
            </w:r>
            <w:proofErr w:type="spellStart"/>
            <w:r>
              <w:rPr>
                <w:rFonts w:ascii="Times New Roman" w:hAnsi="Times New Roman"/>
              </w:rPr>
              <w:t>вътрешнорейтинговия</w:t>
            </w:r>
            <w:proofErr w:type="spellEnd"/>
            <w:r>
              <w:rPr>
                <w:rFonts w:ascii="Times New Roman" w:hAnsi="Times New Roman"/>
              </w:rPr>
              <w:t xml:space="preserve"> подход. При експозициите по стандартизирания подход институциите определят размера на рисково претеглените експозиции в съответствие с глава 2, дял II, част 3 от РКИ. При експозициите по </w:t>
            </w:r>
            <w:proofErr w:type="spellStart"/>
            <w:r>
              <w:rPr>
                <w:rFonts w:ascii="Times New Roman" w:hAnsi="Times New Roman"/>
              </w:rPr>
              <w:t>вътрешнорейтинговия</w:t>
            </w:r>
            <w:proofErr w:type="spellEnd"/>
            <w:r>
              <w:rPr>
                <w:rFonts w:ascii="Times New Roman" w:hAnsi="Times New Roman"/>
              </w:rPr>
              <w:t xml:space="preserve"> подход </w:t>
            </w:r>
            <w:r>
              <w:rPr>
                <w:rFonts w:ascii="Times New Roman" w:hAnsi="Times New Roman"/>
              </w:rPr>
              <w:lastRenderedPageBreak/>
              <w:t>институциите определят размера на рисково претеглените експозиции в съответствие с глава 3, дял II, част 3 от РКИ.</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{020;010}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Търговско финансиране; в т.ч. — Стойност на експозицията с оглед на отношението на </w:t>
            </w:r>
            <w:proofErr w:type="spellStart"/>
            <w:r>
              <w:rPr>
                <w:rFonts w:ascii="Times New Roman" w:hAnsi="Times New Roman"/>
                <w:b/>
              </w:rPr>
              <w:t>ливъридж</w:t>
            </w:r>
            <w:proofErr w:type="spell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w:t>
            </w:r>
            <w:proofErr w:type="spellStart"/>
            <w:r>
              <w:rPr>
                <w:rFonts w:ascii="Times New Roman" w:hAnsi="Times New Roman"/>
              </w:rPr>
              <w:t>задбалансовите</w:t>
            </w:r>
            <w:proofErr w:type="spellEnd"/>
            <w:r>
              <w:rPr>
                <w:rFonts w:ascii="Times New Roman" w:hAnsi="Times New Roman"/>
              </w:rPr>
              <w:t xml:space="preserve"> позиции, свързани с търговско финансиране. С оглед на докладването в LR4, „</w:t>
            </w:r>
            <w:proofErr w:type="spellStart"/>
            <w:r>
              <w:rPr>
                <w:rFonts w:ascii="Times New Roman" w:hAnsi="Times New Roman"/>
              </w:rPr>
              <w:t>задбалансови</w:t>
            </w:r>
            <w:proofErr w:type="spellEnd"/>
            <w:r>
              <w:rPr>
                <w:rFonts w:ascii="Times New Roman" w:hAnsi="Times New Roman"/>
              </w:rPr>
              <w:t xml:space="preserve"> позиции, свързани с търговско финансиране“, са издадените и потвърдени акредитиви за внос и износ, които са краткосрочни и </w:t>
            </w:r>
            <w:proofErr w:type="spellStart"/>
            <w:r>
              <w:rPr>
                <w:rFonts w:ascii="Times New Roman" w:hAnsi="Times New Roman"/>
              </w:rPr>
              <w:t>самоликвидиращи</w:t>
            </w:r>
            <w:proofErr w:type="spellEnd"/>
            <w:r>
              <w:rPr>
                <w:rFonts w:ascii="Times New Roman" w:hAnsi="Times New Roman"/>
              </w:rPr>
              <w:t xml:space="preserve"> се, както и сходните сделки.</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{020;</w:t>
            </w:r>
            <w:proofErr w:type="spellStart"/>
            <w:r>
              <w:rPr>
                <w:rFonts w:ascii="Times New Roman" w:hAnsi="Times New Roman"/>
              </w:rPr>
              <w:t>020</w:t>
            </w:r>
            <w:proofErr w:type="spellEnd"/>
            <w:r>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Търговско финансиране; в т.ч. — Рисково претеглени активи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претеглените експозиции на </w:t>
            </w:r>
            <w:proofErr w:type="spellStart"/>
            <w:r>
              <w:rPr>
                <w:rFonts w:ascii="Times New Roman" w:hAnsi="Times New Roman"/>
              </w:rPr>
              <w:t>задбалансовите</w:t>
            </w:r>
            <w:proofErr w:type="spellEnd"/>
            <w:r>
              <w:rPr>
                <w:rFonts w:ascii="Times New Roman" w:hAnsi="Times New Roman"/>
              </w:rPr>
              <w:t xml:space="preserve"> позиции — с изключение на СФЦК и дериватите — свързани с търговско финансиране. С оглед на докладването в LR4, „</w:t>
            </w:r>
            <w:proofErr w:type="spellStart"/>
            <w:r>
              <w:rPr>
                <w:rFonts w:ascii="Times New Roman" w:hAnsi="Times New Roman"/>
              </w:rPr>
              <w:t>задбалансови</w:t>
            </w:r>
            <w:proofErr w:type="spellEnd"/>
            <w:r>
              <w:rPr>
                <w:rFonts w:ascii="Times New Roman" w:hAnsi="Times New Roman"/>
              </w:rPr>
              <w:t xml:space="preserve"> позиции, свързани с търговско финансиране“, са издадените и потвърдени акредитиви за внос и износ, които са краткосрочни и </w:t>
            </w:r>
            <w:proofErr w:type="spellStart"/>
            <w:r>
              <w:rPr>
                <w:rFonts w:ascii="Times New Roman" w:hAnsi="Times New Roman"/>
              </w:rPr>
              <w:t>самоликвидиращи</w:t>
            </w:r>
            <w:proofErr w:type="spellEnd"/>
            <w:r>
              <w:rPr>
                <w:rFonts w:ascii="Times New Roman" w:hAnsi="Times New Roman"/>
              </w:rPr>
              <w:t xml:space="preserve"> се, както и сходните сделки.</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В рамките на официална схема за застраховане на експортни кредити — Стойност на експозицията с оглед на отношението на </w:t>
            </w:r>
            <w:proofErr w:type="spellStart"/>
            <w:r>
              <w:rPr>
                <w:rFonts w:ascii="Times New Roman" w:hAnsi="Times New Roman"/>
                <w:b/>
              </w:rPr>
              <w:t>ливъридж</w:t>
            </w:r>
            <w:proofErr w:type="spellEnd"/>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w:t>
            </w:r>
            <w:proofErr w:type="spellStart"/>
            <w:r>
              <w:rPr>
                <w:rFonts w:ascii="Times New Roman" w:hAnsi="Times New Roman"/>
              </w:rPr>
              <w:t>задбалансовите</w:t>
            </w:r>
            <w:proofErr w:type="spellEnd"/>
            <w:r>
              <w:rPr>
                <w:rFonts w:ascii="Times New Roman" w:hAnsi="Times New Roman"/>
              </w:rPr>
              <w:t xml:space="preserve"> позиции, свързани с търговско финансиране по линия на официална схема за застраховане на експортни кредити.</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финансиране по помощни програми (кредити и безвъзмездни средства), застраховане и гаранции при експортно кредитиране.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Pr>
                <w:rFonts w:ascii="Times New Roman" w:hAnsi="Times New Roman"/>
              </w:rPr>
              <w:t>{030;020}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В рамките на официална схема за застраховане на експортни кредити — Рисково претеглени активи</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Pr>
                <w:rFonts w:ascii="Times New Roman" w:hAnsi="Times New Roman"/>
              </w:rPr>
              <w:t xml:space="preserve">Стойността на рисково претеглените експозиции на </w:t>
            </w:r>
            <w:proofErr w:type="spellStart"/>
            <w:r>
              <w:rPr>
                <w:rFonts w:ascii="Times New Roman" w:hAnsi="Times New Roman"/>
              </w:rPr>
              <w:t>задбалансовите</w:t>
            </w:r>
            <w:proofErr w:type="spellEnd"/>
            <w:r>
              <w:rPr>
                <w:rFonts w:ascii="Times New Roman" w:hAnsi="Times New Roman"/>
              </w:rPr>
              <w:t xml:space="preserve"> позиции — с изключение на СФЦК и деривати — свързани с търговско финансиране по линия на официална схема за застраховане на експортни кредити.</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Pr>
                <w:rFonts w:ascii="Times New Roman" w:hAnsi="Times New Roman"/>
              </w:rPr>
              <w:t xml:space="preserve">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финансиране по помощни програми (кредити и безвъзмездни средства), застраховане и гаранции при експортно кредитиране.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Деривати и СФЦК, предмет на договорно споразумение за кръстосано </w:t>
            </w:r>
            <w:proofErr w:type="spellStart"/>
            <w:r>
              <w:rPr>
                <w:rFonts w:ascii="Times New Roman" w:hAnsi="Times New Roman"/>
                <w:b/>
              </w:rPr>
              <w:t>нетиране</w:t>
            </w:r>
            <w:proofErr w:type="spellEnd"/>
            <w:r>
              <w:rPr>
                <w:rFonts w:ascii="Times New Roman" w:hAnsi="Times New Roman"/>
                <w:b/>
              </w:rPr>
              <w:t xml:space="preserve"> на продукти — Стойност на експозицията с оглед на отношението на </w:t>
            </w:r>
            <w:proofErr w:type="spellStart"/>
            <w:r>
              <w:rPr>
                <w:rFonts w:ascii="Times New Roman" w:hAnsi="Times New Roman"/>
                <w:b/>
              </w:rPr>
              <w:t>ливъридж</w:t>
            </w:r>
            <w:proofErr w:type="spell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дериватите и СФЦК, ако са предмет на определеното в член 272, точка 25 от РКИ договорно споразумение за кръстосано </w:t>
            </w:r>
            <w:proofErr w:type="spellStart"/>
            <w:r>
              <w:rPr>
                <w:rFonts w:ascii="Times New Roman" w:hAnsi="Times New Roman"/>
              </w:rPr>
              <w:t>нетиране</w:t>
            </w:r>
            <w:proofErr w:type="spellEnd"/>
            <w:r>
              <w:rPr>
                <w:rFonts w:ascii="Times New Roman" w:hAnsi="Times New Roman"/>
              </w:rPr>
              <w:t xml:space="preserve"> на продукти.</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Деривати и СФЦК, предмет на договорно споразумение за кръстосано </w:t>
            </w:r>
            <w:proofErr w:type="spellStart"/>
            <w:r>
              <w:rPr>
                <w:rFonts w:ascii="Times New Roman" w:hAnsi="Times New Roman"/>
                <w:b/>
              </w:rPr>
              <w:t>нетиране</w:t>
            </w:r>
            <w:proofErr w:type="spellEnd"/>
            <w:r>
              <w:rPr>
                <w:rFonts w:ascii="Times New Roman" w:hAnsi="Times New Roman"/>
                <w:b/>
              </w:rPr>
              <w:t xml:space="preserve"> на продукти — Рисково претеглени активи</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претеглените експозиции за кредитен риск и кредитен риск от контрагента, според изчисленията по част трета, дял II от РКИ, на дериватите и СФЦК, в т.ч. и </w:t>
            </w:r>
            <w:proofErr w:type="spellStart"/>
            <w:r>
              <w:rPr>
                <w:rFonts w:ascii="Times New Roman" w:hAnsi="Times New Roman"/>
              </w:rPr>
              <w:t>задбалансовите</w:t>
            </w:r>
            <w:proofErr w:type="spellEnd"/>
            <w:r>
              <w:rPr>
                <w:rFonts w:ascii="Times New Roman" w:hAnsi="Times New Roman"/>
              </w:rPr>
              <w:t xml:space="preserve">, ако са предмет на определеното в член 272, точка 25 от РКИ договорно споразумение за кръстосано </w:t>
            </w:r>
            <w:proofErr w:type="spellStart"/>
            <w:r>
              <w:rPr>
                <w:rFonts w:ascii="Times New Roman" w:hAnsi="Times New Roman"/>
              </w:rPr>
              <w:t>нетиране</w:t>
            </w:r>
            <w:proofErr w:type="spellEnd"/>
            <w:r>
              <w:rPr>
                <w:rFonts w:ascii="Times New Roman" w:hAnsi="Times New Roman"/>
              </w:rPr>
              <w:t xml:space="preserve"> на продукти.</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lastRenderedPageBreak/>
              <w:t>{050;010}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Деривати, които не са предмет на договорно споразумение за кръстосано </w:t>
            </w:r>
            <w:proofErr w:type="spellStart"/>
            <w:r>
              <w:rPr>
                <w:rFonts w:ascii="Times New Roman" w:hAnsi="Times New Roman"/>
                <w:b/>
              </w:rPr>
              <w:t>нетиране</w:t>
            </w:r>
            <w:proofErr w:type="spellEnd"/>
            <w:r>
              <w:rPr>
                <w:rFonts w:ascii="Times New Roman" w:hAnsi="Times New Roman"/>
                <w:b/>
              </w:rPr>
              <w:t xml:space="preserve"> на продукти — Стойност на експозицията с оглед на отношението на </w:t>
            </w:r>
            <w:proofErr w:type="spellStart"/>
            <w:r>
              <w:rPr>
                <w:rFonts w:ascii="Times New Roman" w:hAnsi="Times New Roman"/>
                <w:b/>
              </w:rPr>
              <w:t>ливъридж</w:t>
            </w:r>
            <w:proofErr w:type="spell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деривати, ако </w:t>
            </w:r>
            <w:r>
              <w:rPr>
                <w:rFonts w:ascii="Times New Roman" w:hAnsi="Times New Roman"/>
                <w:b/>
                <w:u w:val="single"/>
              </w:rPr>
              <w:t>не</w:t>
            </w:r>
            <w:r>
              <w:rPr>
                <w:rFonts w:ascii="Times New Roman" w:hAnsi="Times New Roman"/>
              </w:rPr>
              <w:t xml:space="preserve"> са предмет на определеното в член 272, точка 25 от РКИ договорно споразумение за кръстосано </w:t>
            </w:r>
            <w:proofErr w:type="spellStart"/>
            <w:r>
              <w:rPr>
                <w:rFonts w:ascii="Times New Roman" w:hAnsi="Times New Roman"/>
              </w:rPr>
              <w:t>нетиране</w:t>
            </w:r>
            <w:proofErr w:type="spellEnd"/>
            <w:r>
              <w:rPr>
                <w:rFonts w:ascii="Times New Roman" w:hAnsi="Times New Roman"/>
              </w:rPr>
              <w:t xml:space="preserve"> на продукти.</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{050;020}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Деривати, които не са предмет на договорно споразумение за кръстосано </w:t>
            </w:r>
            <w:proofErr w:type="spellStart"/>
            <w:r>
              <w:rPr>
                <w:rFonts w:ascii="Times New Roman" w:hAnsi="Times New Roman"/>
                <w:b/>
              </w:rPr>
              <w:t>нетиране</w:t>
            </w:r>
            <w:proofErr w:type="spellEnd"/>
            <w:r>
              <w:rPr>
                <w:rFonts w:ascii="Times New Roman" w:hAnsi="Times New Roman"/>
                <w:b/>
              </w:rPr>
              <w:t xml:space="preserve"> на продукти — Рисково претеглени активи</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претеглените експозиции за кредитен риск и кредитен риск от контрагента, според изчисленията по част трета, дял II от РКИ, на дериватите, в т.ч. и </w:t>
            </w:r>
            <w:proofErr w:type="spellStart"/>
            <w:r>
              <w:rPr>
                <w:rFonts w:ascii="Times New Roman" w:hAnsi="Times New Roman"/>
              </w:rPr>
              <w:t>задбалансовите</w:t>
            </w:r>
            <w:proofErr w:type="spellEnd"/>
            <w:r>
              <w:rPr>
                <w:rFonts w:ascii="Times New Roman" w:hAnsi="Times New Roman"/>
              </w:rPr>
              <w:t xml:space="preserve">, ако не са предмет на определеното в член 272, точка 25 от РКИ договорно споразумение за кръстосано </w:t>
            </w:r>
            <w:proofErr w:type="spellStart"/>
            <w:r>
              <w:rPr>
                <w:rFonts w:ascii="Times New Roman" w:hAnsi="Times New Roman"/>
              </w:rPr>
              <w:t>нетиране</w:t>
            </w:r>
            <w:proofErr w:type="spellEnd"/>
            <w:r>
              <w:rPr>
                <w:rFonts w:ascii="Times New Roman" w:hAnsi="Times New Roman"/>
              </w:rPr>
              <w:t xml:space="preserve"> на продукти.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СФЦК, които не са предмет на договорно споразумение за кръстосано </w:t>
            </w:r>
            <w:proofErr w:type="spellStart"/>
            <w:r>
              <w:rPr>
                <w:rFonts w:ascii="Times New Roman" w:hAnsi="Times New Roman"/>
                <w:b/>
              </w:rPr>
              <w:t>нетиране</w:t>
            </w:r>
            <w:proofErr w:type="spellEnd"/>
            <w:r>
              <w:rPr>
                <w:rFonts w:ascii="Times New Roman" w:hAnsi="Times New Roman"/>
                <w:b/>
              </w:rPr>
              <w:t xml:space="preserve"> на продукти — Стойност на експозицията с оглед на отношението на </w:t>
            </w:r>
            <w:proofErr w:type="spellStart"/>
            <w:r>
              <w:rPr>
                <w:rFonts w:ascii="Times New Roman" w:hAnsi="Times New Roman"/>
                <w:b/>
              </w:rPr>
              <w:t>ливъридж</w:t>
            </w:r>
            <w:proofErr w:type="spell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СФЦК, ако </w:t>
            </w:r>
            <w:r>
              <w:rPr>
                <w:rFonts w:ascii="Times New Roman" w:hAnsi="Times New Roman"/>
                <w:b/>
                <w:u w:val="single"/>
              </w:rPr>
              <w:t>не</w:t>
            </w:r>
            <w:r>
              <w:rPr>
                <w:rFonts w:ascii="Times New Roman" w:hAnsi="Times New Roman"/>
              </w:rPr>
              <w:t xml:space="preserve"> са предмет на определеното в член 272, точка 25 от РКИ договорно споразумение за кръстосано </w:t>
            </w:r>
            <w:proofErr w:type="spellStart"/>
            <w:r>
              <w:rPr>
                <w:rFonts w:ascii="Times New Roman" w:hAnsi="Times New Roman"/>
              </w:rPr>
              <w:t>нетиране</w:t>
            </w:r>
            <w:proofErr w:type="spellEnd"/>
            <w:r>
              <w:rPr>
                <w:rFonts w:ascii="Times New Roman" w:hAnsi="Times New Roman"/>
              </w:rPr>
              <w:t xml:space="preserve"> на продукти.</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СФЦК, които не са предмет на договорно споразумение за кръстосано </w:t>
            </w:r>
            <w:proofErr w:type="spellStart"/>
            <w:r>
              <w:rPr>
                <w:rFonts w:ascii="Times New Roman" w:hAnsi="Times New Roman"/>
                <w:b/>
              </w:rPr>
              <w:t>нетиране</w:t>
            </w:r>
            <w:proofErr w:type="spellEnd"/>
            <w:r>
              <w:rPr>
                <w:rFonts w:ascii="Times New Roman" w:hAnsi="Times New Roman"/>
                <w:b/>
              </w:rPr>
              <w:t xml:space="preserve"> на продукти — Рисково претеглени активи</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претеглените експозиции за кредитен риск и кредитен риск от контрагента, според изчисленията по част трета, дял II от РКИ, на СФЦК, в т.ч. и </w:t>
            </w:r>
            <w:proofErr w:type="spellStart"/>
            <w:r>
              <w:rPr>
                <w:rFonts w:ascii="Times New Roman" w:hAnsi="Times New Roman"/>
              </w:rPr>
              <w:t>задбалансовите</w:t>
            </w:r>
            <w:proofErr w:type="spellEnd"/>
            <w:r>
              <w:rPr>
                <w:rFonts w:ascii="Times New Roman" w:hAnsi="Times New Roman"/>
              </w:rPr>
              <w:t xml:space="preserve">, ако </w:t>
            </w:r>
            <w:r>
              <w:rPr>
                <w:rFonts w:ascii="Times New Roman" w:hAnsi="Times New Roman"/>
                <w:b/>
                <w:u w:val="single"/>
              </w:rPr>
              <w:t>не</w:t>
            </w:r>
            <w:r>
              <w:rPr>
                <w:rFonts w:ascii="Times New Roman" w:hAnsi="Times New Roman"/>
              </w:rPr>
              <w:t xml:space="preserve"> са предмет на определеното в член 272, точка 25 от РКИ договорно споразумение за кръстосано </w:t>
            </w:r>
            <w:proofErr w:type="spellStart"/>
            <w:r>
              <w:rPr>
                <w:rFonts w:ascii="Times New Roman" w:hAnsi="Times New Roman"/>
              </w:rPr>
              <w:t>нетиране</w:t>
            </w:r>
            <w:proofErr w:type="spellEnd"/>
            <w:r>
              <w:rPr>
                <w:rFonts w:ascii="Times New Roman" w:hAnsi="Times New Roman"/>
              </w:rPr>
              <w:t xml:space="preserve"> на продукти. </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rPr>
              <w:t>{065;010}</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rPr>
              <w:t xml:space="preserve">Размер на експозициите, произтичащи от допълнително третиране за кредитни деривати — Стойност на експозицията с оглед на отношението на </w:t>
            </w:r>
            <w:proofErr w:type="spellStart"/>
            <w:r>
              <w:rPr>
                <w:rFonts w:ascii="Times New Roman" w:hAnsi="Times New Roman"/>
                <w:b/>
              </w:rPr>
              <w:t>ливъридж</w:t>
            </w:r>
            <w:proofErr w:type="spellEnd"/>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rPr>
              <w:t>Стойността в това поле е равна на разликата между {</w:t>
            </w:r>
            <w:proofErr w:type="spellStart"/>
            <w:r>
              <w:rPr>
                <w:rFonts w:ascii="Times New Roman" w:hAnsi="Times New Roman"/>
              </w:rPr>
              <w:t>LRCalc</w:t>
            </w:r>
            <w:proofErr w:type="spellEnd"/>
            <w:r>
              <w:rPr>
                <w:rFonts w:ascii="Times New Roman" w:hAnsi="Times New Roman"/>
              </w:rPr>
              <w:t>;130;010} и {</w:t>
            </w:r>
            <w:proofErr w:type="spellStart"/>
            <w:r>
              <w:rPr>
                <w:rFonts w:ascii="Times New Roman" w:hAnsi="Times New Roman"/>
              </w:rPr>
              <w:t>LRCalc</w:t>
            </w:r>
            <w:proofErr w:type="spellEnd"/>
            <w:r>
              <w:rPr>
                <w:rFonts w:ascii="Times New Roman" w:hAnsi="Times New Roman"/>
              </w:rPr>
              <w:t xml:space="preserve">;140;010}, без съответните </w:t>
            </w:r>
            <w:proofErr w:type="spellStart"/>
            <w:r>
              <w:rPr>
                <w:rFonts w:ascii="Times New Roman" w:hAnsi="Times New Roman"/>
              </w:rPr>
              <w:t>вътрешногрупови</w:t>
            </w:r>
            <w:proofErr w:type="spellEnd"/>
            <w:r>
              <w:rPr>
                <w:rFonts w:ascii="Times New Roman" w:hAnsi="Times New Roman"/>
              </w:rPr>
              <w:t xml:space="preserve"> експозиции (индивидуална основа), изключени по силата на член 429, параграф 7 от РКИ.</w:t>
            </w:r>
            <w:r>
              <w:rPr>
                <w:rFonts w:ascii="Times New Roman" w:hAnsi="Times New Roman"/>
                <w:b/>
              </w:rPr>
              <w:t xml:space="preserve"> </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Pr>
                <w:rFonts w:ascii="Times New Roman" w:hAnsi="Times New Roman"/>
              </w:rPr>
              <w:t>{070;010}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Други активи от търговския портфейл — Стойност на експозицията с оглед на отношението на </w:t>
            </w:r>
            <w:proofErr w:type="spellStart"/>
            <w:r>
              <w:rPr>
                <w:rFonts w:ascii="Times New Roman" w:hAnsi="Times New Roman"/>
                <w:b/>
              </w:rPr>
              <w:t>ливъридж</w:t>
            </w:r>
            <w:proofErr w:type="spellEnd"/>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докладвана в {</w:t>
            </w:r>
            <w:proofErr w:type="spellStart"/>
            <w:r>
              <w:rPr>
                <w:rFonts w:ascii="Times New Roman" w:hAnsi="Times New Roman"/>
              </w:rPr>
              <w:t>LRCalc</w:t>
            </w:r>
            <w:proofErr w:type="spellEnd"/>
            <w:r>
              <w:rPr>
                <w:rFonts w:ascii="Times New Roman" w:hAnsi="Times New Roman"/>
              </w:rPr>
              <w:t>;190;010}, с изключение на позициите от банковия портфейл.</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Pr>
                <w:rFonts w:ascii="Times New Roman" w:hAnsi="Times New Roman"/>
              </w:rPr>
              <w:t>{070;020}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Други активи от търговския портфейл — Рисково претеглени активи</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Капиталовите изисквания, умножени по 12,5, за позициите, предмет на част трета, дял IV от РКИ.</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{080;010}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Покрити облигации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w:t>
            </w:r>
            <w:r>
              <w:rPr>
                <w:rFonts w:ascii="Times New Roman" w:hAnsi="Times New Roman"/>
              </w:rPr>
              <w:lastRenderedPageBreak/>
              <w:t xml:space="preserve">представляват експозиции под формата на покрити облигации по смисъла на член 129 от РКИ.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{080;020}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Покрити облигации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под формата на покрити облигации по смисъла на член 161, параграф 1, буква г) от РКИ.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Покрити облигации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под формата на покрити облигации по смисъла на член 129 от РКИ. </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Pr>
                <w:rFonts w:ascii="Times New Roman" w:hAnsi="Times New Roman"/>
              </w:rPr>
              <w:t>Докладваните от институциите стойности са нето от експозициите в неизпълнение.</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Покрити облигации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под формата на покрити облигации по смисъла на член 161, параграф 1, буква г) от РКИ. </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{090;010}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Експозиции, третирани като към държави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Това е сборът на полетата от {100,010} до {130,010}.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Експозиции, третирани като към държави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Това е сборът на полетата от {100 020} до {130 020}.</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Експозиции, третирани като към държави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Това е сборът на полетата от {100 030} до {130 030}.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{090;040}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Експозиции, третирани като към държави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Това е сборът на полетата от {100 040} до {130 040}.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 xml:space="preserve">Централни правителства и централни банки </w:t>
            </w:r>
            <w:r>
              <w:rPr>
                <w:rFonts w:ascii="Times New Roman" w:hAnsi="Times New Roman"/>
              </w:rPr>
              <w:t xml:space="preserve"> </w:t>
            </w:r>
            <w:r>
              <w:rPr>
                <w:rFonts w:ascii="Times New Roman" w:hAnsi="Times New Roman"/>
                <w:b/>
              </w:rPr>
              <w:t xml:space="preserve">—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централни правителства или централни банки по смисъла на член 114 от РКИ.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 xml:space="preserve">Централни правителства и централни банки </w:t>
            </w:r>
            <w:r>
              <w:rPr>
                <w:rFonts w:ascii="Times New Roman" w:hAnsi="Times New Roman"/>
              </w:rPr>
              <w:t xml:space="preserve"> </w:t>
            </w:r>
            <w:r>
              <w:rPr>
                <w:rFonts w:ascii="Times New Roman" w:hAnsi="Times New Roman"/>
                <w:b/>
              </w:rPr>
              <w:t xml:space="preserve">—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централни правителства или централни банки по смисъла на член 147, параграф 2, буква а) от РКИ.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Централни правителства и централни банки</w:t>
            </w:r>
            <w:r>
              <w:rPr>
                <w:rFonts w:ascii="Times New Roman" w:hAnsi="Times New Roman"/>
              </w:rPr>
              <w:t xml:space="preserve"> </w:t>
            </w:r>
            <w:r>
              <w:rPr>
                <w:rFonts w:ascii="Times New Roman" w:hAnsi="Times New Roman"/>
                <w:b/>
              </w:rPr>
              <w:t xml:space="preserve">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централни правителства или централни банки по смисъла на член 114 от РКИ.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Pr>
                <w:rFonts w:ascii="Times New Roman" w:hAnsi="Times New Roman"/>
                <w:b/>
              </w:rPr>
              <w:t>Централни правителства и централни банки</w:t>
            </w:r>
            <w:r>
              <w:rPr>
                <w:rFonts w:ascii="Times New Roman" w:hAnsi="Times New Roman"/>
              </w:rPr>
              <w:t xml:space="preserve"> </w:t>
            </w:r>
            <w:r>
              <w:rPr>
                <w:rFonts w:ascii="Times New Roman" w:hAnsi="Times New Roman"/>
                <w:b/>
              </w:rPr>
              <w:t xml:space="preserve">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централни правителства или централни банки по смисъла на член 147, параграф 2, буква а) от РКИ.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Регионални правителства и местни органи на властта, третирани като държави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регионални правителства и местни органи на властта, третирани като към държави, попадащи в обхвата на член 115, параграфи 2 и 4 от РКИ.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Регионални правителства и местни органи на властта, третирани като държави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регионални правителства и местни органи на властта, попадащи в обхвата на член 147, параграф 3, буква а) от РКИ. </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rPr>
              <w:t>Докладваните от институциите стойности са нето от експозициите в неизпълнение.</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Регионални правителства и местни органи на властта, третирани като държави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lastRenderedPageBreak/>
              <w:t>Стойността на рисково претеглената експозиция на активите, които представляват експозиции към регионални правителства и местни органи на властта, третирани като към държави, попадащи в обхвата на член 115, параграфи 2 и 4 от РКИ.</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Регионални правителства и местни органи на властта, третирани като държави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регионални правителства и местните органи на властта, попадащи в обхвата на член 147, параграф 3, буква а) от РКИ.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Многостранни банки за развитие и международни организации, третирани като държави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многостранни банки за развитие и международни организации, попадащи в обхвата на член 117, параграф 2 и член 118 от РКИ.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Многостранни банки за развитие и международни организации, третирани като държави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многостранни банки за развитие и международни организации, попадащи в обхвата на член 147, параграф 3, букви б) и в) от РКИ.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Многостранни банки за развитие и международни организации, третирани като държави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многостранни банки за развитие и международни организации, попадащи в обхвата на член 117, параграф 2 и член 118 от РКИ.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Pr>
                <w:rFonts w:ascii="Times New Roman" w:hAnsi="Times New Roman"/>
              </w:rPr>
              <w:t>{120;040}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Многостранни банки за развитие и международни организации, третирани като държави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многостранни банки за развитие и международни организации, попадащи в обхвата на член 147, параграф 3, букви б) и в) от РКИ.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{130;010}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Субекти от публичния сектор, третирани като държави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субекти от публичния сектор, попадащи в обхвата на </w:t>
            </w:r>
            <w:r>
              <w:rPr>
                <w:rFonts w:ascii="Times New Roman" w:hAnsi="Times New Roman"/>
              </w:rPr>
              <w:lastRenderedPageBreak/>
              <w:t xml:space="preserve">член 116, параграф 4 от РКИ.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lastRenderedPageBreak/>
              <w:t>{130;020}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Субекти от публичния сектор, третирани като държави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субекти от публичния сектор, попадащи в обхвата на член 147, параграф 3, буква а) от РКИ.</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Субекти от публичния сектор, третирани като държави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субекти от публичния сектор, попадащи в обхвата на член 116, параграф 4 от РКИ.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Субекти от публичния сектор, третирани като държави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субекти от публичния сектор, попадащи в обхвата на член 147, параграф 3, буква а) от РКИ.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Експозиции към регионални правителства, многостранни банки за развитие, международни организации и субекти от публичния сектор, които </w:t>
            </w:r>
            <w:r>
              <w:rPr>
                <w:rFonts w:ascii="Times New Roman" w:hAnsi="Times New Roman"/>
                <w:b/>
                <w:u w:val="single"/>
              </w:rPr>
              <w:t>не</w:t>
            </w:r>
            <w:r>
              <w:rPr>
                <w:rFonts w:ascii="Times New Roman" w:hAnsi="Times New Roman"/>
                <w:b/>
              </w:rPr>
              <w:t xml:space="preserve"> са третирани като към държави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Това е сборът на полетата от {150;010} до {170;010}.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Експозиции към регионални правителства, многостранни банки за развитие, международни организации и субекти от публичния сектор, които </w:t>
            </w:r>
            <w:r>
              <w:rPr>
                <w:rFonts w:ascii="Times New Roman" w:hAnsi="Times New Roman"/>
                <w:b/>
                <w:u w:val="single"/>
              </w:rPr>
              <w:t>не</w:t>
            </w:r>
            <w:r>
              <w:rPr>
                <w:rFonts w:ascii="Times New Roman" w:hAnsi="Times New Roman"/>
                <w:b/>
              </w:rPr>
              <w:t xml:space="preserve"> са третирани като към държави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Това е сборът на полетата от {150;020} до {170;020}.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Експозиции към регионални правителства, многостранни банки за развитие, международни организации и субекти от публичния сектор, които </w:t>
            </w:r>
            <w:r>
              <w:rPr>
                <w:rFonts w:ascii="Times New Roman" w:hAnsi="Times New Roman"/>
                <w:b/>
                <w:u w:val="single"/>
              </w:rPr>
              <w:t>не</w:t>
            </w:r>
            <w:r>
              <w:rPr>
                <w:rFonts w:ascii="Times New Roman" w:hAnsi="Times New Roman"/>
                <w:b/>
              </w:rPr>
              <w:t xml:space="preserve"> са третирани като към държави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Това е сборът на полетата от {150;030} до {170;030}.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Експозиции към регионални правителства, многостранни банки за развитие, международни организации и субекти от публичния сектор, които </w:t>
            </w:r>
            <w:r>
              <w:rPr>
                <w:rFonts w:ascii="Times New Roman" w:hAnsi="Times New Roman"/>
                <w:b/>
                <w:u w:val="single"/>
              </w:rPr>
              <w:t>не</w:t>
            </w:r>
            <w:r>
              <w:rPr>
                <w:rFonts w:ascii="Times New Roman" w:hAnsi="Times New Roman"/>
                <w:b/>
              </w:rPr>
              <w:t xml:space="preserve"> са третирани като към държави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Това е сборът на полетата от {150;040} до {170;040}.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{150;010}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Регионални правителства и местни органи на властта, които </w:t>
            </w:r>
            <w:r>
              <w:rPr>
                <w:rFonts w:ascii="Times New Roman" w:hAnsi="Times New Roman"/>
                <w:b/>
                <w:u w:val="single"/>
              </w:rPr>
              <w:t>не</w:t>
            </w:r>
            <w:r>
              <w:rPr>
                <w:rFonts w:ascii="Times New Roman" w:hAnsi="Times New Roman"/>
                <w:b/>
              </w:rPr>
              <w:t xml:space="preserve"> са третирани като държави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регионални правителства и местни органи на власт, които не са третирани като към държави, попадащи в обхвата на член 115, параграфи 1, 3 и 5 от РКИ.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{150;020}</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Pr>
                <w:rFonts w:ascii="Times New Roman" w:hAnsi="Times New Roman"/>
                <w:b/>
              </w:rPr>
              <w:t xml:space="preserve">Регионални правителства и местни органи на властта, които </w:t>
            </w:r>
            <w:r>
              <w:rPr>
                <w:rFonts w:ascii="Times New Roman" w:hAnsi="Times New Roman"/>
                <w:b/>
                <w:u w:val="single"/>
              </w:rPr>
              <w:t>не</w:t>
            </w:r>
            <w:r>
              <w:rPr>
                <w:rFonts w:ascii="Times New Roman" w:hAnsi="Times New Roman"/>
                <w:b/>
              </w:rPr>
              <w:t xml:space="preserve"> са третирани като държави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 </w:t>
            </w:r>
          </w:p>
          <w:p w:rsidR="002509B1"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регионални правителства и местни органи на властта, които не са третирани като към държави, попадащи в обхвата на член 147, параграфи 4, буква а) от РКИ.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F4754B" w:rsidRPr="00FE002E" w:rsidDel="00F559E6" w:rsidRDefault="00F4754B" w:rsidP="007E2A41">
            <w:pPr>
              <w:pStyle w:val="BodyText1"/>
              <w:spacing w:line="240" w:lineRule="auto"/>
              <w:rPr>
                <w:rFonts w:ascii="Times New Roman" w:hAnsi="Times New Roman"/>
                <w:b/>
                <w:bCs/>
                <w:u w:val="single"/>
              </w:rPr>
            </w:pPr>
            <w:r>
              <w:rPr>
                <w:rFonts w:ascii="Times New Roman" w:hAnsi="Times New Roman"/>
              </w:rPr>
              <w:t xml:space="preserve"> </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{150;030}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Регионални правителства и местни органи на власт, които </w:t>
            </w:r>
            <w:r>
              <w:rPr>
                <w:rFonts w:ascii="Times New Roman" w:hAnsi="Times New Roman"/>
                <w:b/>
                <w:u w:val="single"/>
              </w:rPr>
              <w:t>не</w:t>
            </w:r>
            <w:r>
              <w:rPr>
                <w:rFonts w:ascii="Times New Roman" w:hAnsi="Times New Roman"/>
                <w:b/>
              </w:rPr>
              <w:t xml:space="preserve"> са третирани като държави — Рисково претеглени активи — експозиции по стандартизирания подход </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регионални правителства и местни органи на властта, които не са третирани като към държави, попадащи в обхвата на член 115, параграфи 1, 3 и 5 от РКИ.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{150;040}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Регионални правителства и местни органи на властта, които </w:t>
            </w:r>
            <w:r>
              <w:rPr>
                <w:rFonts w:ascii="Times New Roman" w:hAnsi="Times New Roman"/>
                <w:b/>
                <w:u w:val="single"/>
              </w:rPr>
              <w:t>не</w:t>
            </w:r>
            <w:r>
              <w:rPr>
                <w:rFonts w:ascii="Times New Roman" w:hAnsi="Times New Roman"/>
                <w:b/>
              </w:rPr>
              <w:t xml:space="preserve"> са третирани като държави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Стойността на рисково претеглената експозиция на активите, които представляват експозиции към регионални правителства и местни органи на властта, които не са третирани като към държави, попадащи в обхвата на член 147, параграфи 4, буква а) от РКИ.</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Многостранни банки за развитие, които </w:t>
            </w:r>
            <w:r>
              <w:rPr>
                <w:rFonts w:ascii="Times New Roman" w:hAnsi="Times New Roman"/>
                <w:b/>
                <w:u w:val="single"/>
              </w:rPr>
              <w:t>не</w:t>
            </w:r>
            <w:r>
              <w:rPr>
                <w:rFonts w:ascii="Times New Roman" w:hAnsi="Times New Roman"/>
                <w:b/>
              </w:rPr>
              <w:t xml:space="preserve"> са третирани като държави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многостранни банки за развитие, попадащи в обхвата на член 117, параграфи 1 и 3 от РКИ.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lastRenderedPageBreak/>
              <w:t>{160;020}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Многостранни банки за развитие, които </w:t>
            </w:r>
            <w:r>
              <w:rPr>
                <w:rFonts w:ascii="Times New Roman" w:hAnsi="Times New Roman"/>
                <w:b/>
                <w:u w:val="single"/>
              </w:rPr>
              <w:t>не</w:t>
            </w:r>
            <w:r>
              <w:rPr>
                <w:rFonts w:ascii="Times New Roman" w:hAnsi="Times New Roman"/>
                <w:b/>
              </w:rPr>
              <w:t xml:space="preserve"> са третирани като държави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многостранни банки за развитие, които не са третирани като към държави, попадащи в обхвата на член 147, параграфи 4, буква в) от РКИ. </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Многостранни банки за развитие, които </w:t>
            </w:r>
            <w:r>
              <w:rPr>
                <w:rFonts w:ascii="Times New Roman" w:hAnsi="Times New Roman"/>
                <w:b/>
                <w:u w:val="single"/>
              </w:rPr>
              <w:t>не</w:t>
            </w:r>
            <w:r>
              <w:rPr>
                <w:rFonts w:ascii="Times New Roman" w:hAnsi="Times New Roman"/>
                <w:b/>
              </w:rPr>
              <w:t xml:space="preserve"> са третирани като държави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Стойността на рисково претеглената експозиция на активите, които представляват експозиции към многостранни банки за развитие, попадащи в обхвата на член 117, параграфи 1 и 3 от РКИ.</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Многостранни банки за развитие, които </w:t>
            </w:r>
            <w:r>
              <w:rPr>
                <w:rFonts w:ascii="Times New Roman" w:hAnsi="Times New Roman"/>
                <w:b/>
                <w:u w:val="single"/>
              </w:rPr>
              <w:t>не</w:t>
            </w:r>
            <w:r>
              <w:rPr>
                <w:rFonts w:ascii="Times New Roman" w:hAnsi="Times New Roman"/>
                <w:b/>
              </w:rPr>
              <w:t xml:space="preserve"> са третирани като държави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многостранни банки за развитие, които не са третирани като към държави, попадащи в обхвата на член 147, параграфи 4, буква в) от РКИ.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{170;010}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Субекти от публичния сектор, които </w:t>
            </w:r>
            <w:r>
              <w:rPr>
                <w:rFonts w:ascii="Times New Roman" w:hAnsi="Times New Roman"/>
                <w:b/>
                <w:u w:val="single"/>
              </w:rPr>
              <w:t>не</w:t>
            </w:r>
            <w:r>
              <w:rPr>
                <w:rFonts w:ascii="Times New Roman" w:hAnsi="Times New Roman"/>
                <w:b/>
              </w:rPr>
              <w:t xml:space="preserve"> са третирани като държави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субекти от публичния сектор, попадащи в обхвата на член 116, параграфи 1, 2, 3 и 5 от РКИ.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{170;020}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Субекти от публичния сектор, които </w:t>
            </w:r>
            <w:r>
              <w:rPr>
                <w:rFonts w:ascii="Times New Roman" w:hAnsi="Times New Roman"/>
                <w:b/>
                <w:u w:val="single"/>
              </w:rPr>
              <w:t>не</w:t>
            </w:r>
            <w:r>
              <w:rPr>
                <w:rFonts w:ascii="Times New Roman" w:hAnsi="Times New Roman"/>
                <w:b/>
              </w:rPr>
              <w:t xml:space="preserve"> са третирани като държави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субекти от публичния сектор, които не са третирани като към държави, попадащи в обхвата на член 147, параграфи 4, буква б) от РКИ.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{170;030}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Субекти от публичния сектор, които </w:t>
            </w:r>
            <w:r>
              <w:rPr>
                <w:rFonts w:ascii="Times New Roman" w:hAnsi="Times New Roman"/>
                <w:b/>
                <w:u w:val="single"/>
              </w:rPr>
              <w:t>не</w:t>
            </w:r>
            <w:r>
              <w:rPr>
                <w:rFonts w:ascii="Times New Roman" w:hAnsi="Times New Roman"/>
                <w:b/>
              </w:rPr>
              <w:t xml:space="preserve"> са третирани като държави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субекти от публичния сектор, попадащи в обхвата на член 116, параграфи 1, 2, 3 и 5 от РКИ.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{170;040}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Субекти от публичния сектор, които </w:t>
            </w:r>
            <w:r>
              <w:rPr>
                <w:rFonts w:ascii="Times New Roman" w:hAnsi="Times New Roman"/>
                <w:b/>
                <w:u w:val="single"/>
              </w:rPr>
              <w:t>не</w:t>
            </w:r>
            <w:r>
              <w:rPr>
                <w:rFonts w:ascii="Times New Roman" w:hAnsi="Times New Roman"/>
                <w:b/>
              </w:rPr>
              <w:t xml:space="preserve"> са третирани като държави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субекти от публичния сектор, които не са третирани като към държави, попадащи в обхвата на член 147, параграфи 4, буква б) от РКИ.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 xml:space="preserve">Институции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институции, попадащи в обхвата на членове 119—121 от РКИ.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Институции</w:t>
            </w:r>
            <w:r>
              <w:rPr>
                <w:rFonts w:ascii="Times New Roman" w:hAnsi="Times New Roman"/>
              </w:rPr>
              <w:t xml:space="preserve"> </w:t>
            </w:r>
            <w:r>
              <w:rPr>
                <w:rFonts w:ascii="Times New Roman" w:hAnsi="Times New Roman"/>
                <w:b/>
              </w:rPr>
              <w:t xml:space="preserve">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институции, попадащи в обхвата на член 147, параграф 2, буква б) от РКИ, и които </w:t>
            </w:r>
            <w:r>
              <w:rPr>
                <w:rFonts w:ascii="Times New Roman" w:hAnsi="Times New Roman"/>
                <w:b/>
                <w:u w:val="single"/>
              </w:rPr>
              <w:t>не</w:t>
            </w:r>
            <w:r>
              <w:rPr>
                <w:rFonts w:ascii="Times New Roman" w:hAnsi="Times New Roman"/>
              </w:rPr>
              <w:t xml:space="preserve"> са експозиции под формата на покрити облигации по член 161, параграф 1, буква г) от РКИ и </w:t>
            </w:r>
            <w:r>
              <w:rPr>
                <w:rFonts w:ascii="Times New Roman" w:hAnsi="Times New Roman"/>
                <w:b/>
                <w:u w:val="single"/>
              </w:rPr>
              <w:t>не</w:t>
            </w:r>
            <w:r>
              <w:rPr>
                <w:rFonts w:ascii="Times New Roman" w:hAnsi="Times New Roman"/>
              </w:rPr>
              <w:t xml:space="preserve"> попадат в обхвата на член 147, параграф 4, букви а) — в) от РКИ.</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Институции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институции, попадащи в обхвата на членове 119—121 от РКИ.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Институции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институции, попадащи в обхвата на член 147, параграф 2, буква б) от РКИ, и които </w:t>
            </w:r>
            <w:r>
              <w:rPr>
                <w:rFonts w:ascii="Times New Roman" w:hAnsi="Times New Roman"/>
                <w:b/>
                <w:u w:val="single"/>
              </w:rPr>
              <w:t>не</w:t>
            </w:r>
            <w:r>
              <w:rPr>
                <w:rFonts w:ascii="Times New Roman" w:hAnsi="Times New Roman"/>
              </w:rPr>
              <w:t xml:space="preserve"> са експозиции под формата на покрити облигации по член 161, параграф 1, буква г) от РКИ и </w:t>
            </w:r>
            <w:r>
              <w:rPr>
                <w:rFonts w:ascii="Times New Roman" w:hAnsi="Times New Roman"/>
                <w:b/>
                <w:u w:val="single"/>
              </w:rPr>
              <w:t>не</w:t>
            </w:r>
            <w:r>
              <w:rPr>
                <w:rFonts w:ascii="Times New Roman" w:hAnsi="Times New Roman"/>
              </w:rPr>
              <w:t xml:space="preserve"> попадат в обхвата на член 147, параграф 4, букви а)—в) от РКИ.</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{190;010}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Обезпечени с ипотека върху недвижим имот; в т.ч.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обезпечени с ипотека върху недвижим имот, попадащи в обхвата на член 124 от РКИ.</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{190;020}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Обезпечени с ипотека върху недвижим имот; в т.ч.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lastRenderedPageBreak/>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предприятие, попадащи в обхвата на член 147, параграф 2, буква в), или експозиции на дребно, попадащи в обхвата на член 147, параграф 2, буква г) от РКИ, ако тези експозиции са обезпечени с ипотеки върху недвижим имот в съответствие с член 199, параграф 1, буква а) от РКИ.</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{190;030}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Обезпечени с ипотека върху недвижим имот; в т.ч.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Стойността на рисково претеглената експозиция на активите, които представляват експозиции, обезпечени с ипотеки върху недвижим имот, попадащи в обхвата на член 124 от РКИ.</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{190;040}</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Pr>
                <w:rFonts w:ascii="Times New Roman" w:hAnsi="Times New Roman"/>
                <w:b/>
              </w:rPr>
              <w:t xml:space="preserve">Обезпечени с ипотека върху недвижим имот; в т.ч.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Размер на рисково претеглената експозиция на активи, които представляват експозиции към предприятие, попадащи в обхвата на член 147, параграф 2, буква в), или експозиции на дребно, попадащи в обхвата на член 147, параграф 2, буква г) от РКИ, ако тези експозиции са обезпечени с ипотеки върху недвижим имот в съответствие с член 199, параграф 1, буква а) от РКИ.</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{200;010}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Обезпечени с ипотеки върху жилищни имоти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напълно и изцяло обезпечени с ипотека върху жилищен имот, попадащи в обхвата на член 125 от РКИ.</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Pr>
                <w:rFonts w:ascii="Times New Roman" w:hAnsi="Times New Roman"/>
                <w:b/>
              </w:rPr>
              <w:t xml:space="preserve">Обезпечени с ипотеки върху жилищни имоти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предприятие, попадащи в обхвата на член 147, параграф 2, буква в), или експозиции на дребно, попадащи в обхвата на член 147, параграф 2, буква г) от РКИ, ако тези експозиции са обезпечени с ипотеки върху жилищен имот в съответствие с член 199, параграф 1, буква а) от РКИ.</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rPr>
              <w:t>Докладваните от институциите стойности са нето от експозициите в неизпълнение.</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{200;030}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Обезпечени с ипотеки върху жилищни имоти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Стойността на рисково претеглената експозиция на активите, които представляват експозиции, напълно и изцяло обезпечени с ипотека върху жилищен имот, попадащи в обхвата на член 125 от РКИ.</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Обезпечени с ипотеки върху жилищни имоти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lastRenderedPageBreak/>
              <w:t xml:space="preserve">Стойността на рисково претеглената експозиция на активите, които представляват експозиции към предприятие, попадащи в обхвата на член 147, параграф 2, буква в), или експозиции на дребно, попадащи в обхвата на член 147, параграф 2, буква г) от РКИ, ако тези експозиции са обезпечени с ипотека върху жилищен имот в съответствие с член 199, параграф 1, буква а) от РКИ. </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rPr>
              <w:t>Докладваните от институциите стойности са нето от експозициите в неизпълнение.</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{210;010}</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Pr>
                <w:rFonts w:ascii="Times New Roman" w:hAnsi="Times New Roman"/>
                <w:b/>
              </w:rPr>
              <w:t xml:space="preserve">Експозиции на дребно; в т.ч.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на дребно, попадащи в обхвата на член 123 от РКИ.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Експозиции на дребно; в т.ч.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на дребно, попадащи в обхвата на член 147, параграф 2, буква г) от РКИ, ако тези експозиции </w:t>
            </w:r>
            <w:r>
              <w:rPr>
                <w:rFonts w:ascii="Times New Roman" w:hAnsi="Times New Roman"/>
                <w:b/>
                <w:u w:val="single"/>
              </w:rPr>
              <w:t>не</w:t>
            </w:r>
            <w:r>
              <w:rPr>
                <w:rFonts w:ascii="Times New Roman" w:hAnsi="Times New Roman"/>
              </w:rPr>
              <w:t xml:space="preserve"> са обезпечени с ипотека върху недвижим имот в съответствие с член 199, параграф 1, буква а) от РКИ. </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{210;030}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Експозиции на дребно; в т.ч. — Рисково претеглени активи — експозиции по стандартизирания подход</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на дребно, попадащи в обхвата на член 123 от РКИ.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Експозиции на дребно; в т.ч.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на дребно, попадащи в обхвата на член 147, параграф 2, буква г) от РКИ, ако тези експозиции </w:t>
            </w:r>
            <w:r>
              <w:rPr>
                <w:rFonts w:ascii="Times New Roman" w:hAnsi="Times New Roman"/>
                <w:b/>
                <w:u w:val="single"/>
              </w:rPr>
              <w:t>не</w:t>
            </w:r>
            <w:r>
              <w:rPr>
                <w:rFonts w:ascii="Times New Roman" w:hAnsi="Times New Roman"/>
              </w:rPr>
              <w:t xml:space="preserve"> са обезпечени с ипотека върху недвижим имот в съответствие с член 199, параграф 1, буква а) от РКИ.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 xml:space="preserve">МСП на дребно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малки и средни предприятия, попадащи в обхвата на член 123 от РКИ.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С оглед на докладването на това поле, терминът „малко и средно предприятие“ е определен в съответствие с член 501, параграф 2, буква б) от РКИ.</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МСП на дребно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w:t>
            </w:r>
            <w:r>
              <w:rPr>
                <w:rFonts w:ascii="Times New Roman" w:hAnsi="Times New Roman"/>
              </w:rPr>
              <w:lastRenderedPageBreak/>
              <w:t xml:space="preserve">представляват експозиции на дребно, попадащи в обхвата на член 147, параграф 2, буква г) от РКИ, ако това са експозиции към малки и средни предприятия и </w:t>
            </w:r>
            <w:r>
              <w:rPr>
                <w:rFonts w:ascii="Times New Roman" w:hAnsi="Times New Roman"/>
                <w:b/>
                <w:u w:val="single"/>
              </w:rPr>
              <w:t>не</w:t>
            </w:r>
            <w:r>
              <w:rPr>
                <w:rFonts w:ascii="Times New Roman" w:hAnsi="Times New Roman"/>
              </w:rPr>
              <w:t xml:space="preserve"> са обезпечени с ипотека върху недвижим имот в съответствие с член 199, параграф 1, буква а) от РКИ.</w:t>
            </w:r>
          </w:p>
          <w:p w:rsidR="00F4754B" w:rsidRPr="00FE002E" w:rsidRDefault="00315160" w:rsidP="007E2A41">
            <w:pPr>
              <w:pStyle w:val="BodyText1"/>
              <w:spacing w:line="240" w:lineRule="auto"/>
              <w:rPr>
                <w:rFonts w:ascii="Times New Roman" w:hAnsi="Times New Roman"/>
                <w:bCs/>
              </w:rPr>
            </w:pPr>
            <w:r>
              <w:rPr>
                <w:rFonts w:ascii="Times New Roman" w:hAnsi="Times New Roman"/>
              </w:rPr>
              <w:t xml:space="preserve"> </w:t>
            </w:r>
          </w:p>
          <w:p w:rsidR="004B653A" w:rsidRDefault="004B653A" w:rsidP="007E2A41">
            <w:pPr>
              <w:pStyle w:val="BodyText1"/>
              <w:spacing w:line="240" w:lineRule="auto"/>
              <w:rPr>
                <w:rFonts w:ascii="Times New Roman" w:hAnsi="Times New Roman"/>
                <w:bCs/>
              </w:rPr>
            </w:pPr>
            <w:r>
              <w:rPr>
                <w:rFonts w:ascii="Times New Roman" w:hAnsi="Times New Roman"/>
              </w:rPr>
              <w:t>С оглед на докладването на това поле, терминът „малко и средно предприятие“ е определен в съответствие с член 501, параграф 2, буква б) от РКИ.</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{220;030}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МСП на дребно — Рисково претеглени активи — експозиции по стандартизирания подход</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малки и средни предприятия, попадащи в обхвата на член 123 от РКИ.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Pr>
                <w:rFonts w:ascii="Times New Roman" w:hAnsi="Times New Roman"/>
              </w:rPr>
              <w:t>С оглед на докладването на това поле, терминът „малко и средно предприятие“ е определен в съответствие с член 501, параграф 2, буква б) от РКИ.</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МСП на дребно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на дребно, попадащи в обхвата на член 147, параграф 2, буква г) от РКИ, ако това са експозиции към малки и средни предприятия и </w:t>
            </w:r>
            <w:r>
              <w:rPr>
                <w:rFonts w:ascii="Times New Roman" w:hAnsi="Times New Roman"/>
                <w:b/>
                <w:u w:val="single"/>
              </w:rPr>
              <w:t>не</w:t>
            </w:r>
            <w:r>
              <w:rPr>
                <w:rFonts w:ascii="Times New Roman" w:hAnsi="Times New Roman"/>
              </w:rPr>
              <w:t xml:space="preserve"> са обезпечени с ипотека върху недвижим имот в съответствие с член 199, параграф 1, буква а) от РКИ.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Pr>
                <w:rFonts w:ascii="Times New Roman" w:hAnsi="Times New Roman"/>
              </w:rPr>
              <w:t>С оглед на докладването на това поле, терминът „малко и средно предприятие“ е определен в съответствие с член 501, параграф 2, буква б) от РКИ.</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Предприятия; в т.ч.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Това е сборът на {240;010} и {250;010}.</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{230;020}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Предприятия; в т.ч.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Това е сборът на {240;020} и {250;020}.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Pr>
                <w:rFonts w:ascii="Times New Roman" w:hAnsi="Times New Roman"/>
                <w:b/>
              </w:rPr>
              <w:t>Предприятия; в т.ч. — Рисково претеглени активи — експозиции по стандартизирания подход</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Това е сборът на {240;030} и {250;030}.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{230;040}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Предприятия; в т.ч.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Това е сборът на {240;040} и {250;040}.</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lastRenderedPageBreak/>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{240;010}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 xml:space="preserve">Финансови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финансови предприятия, попадащи в обхвата на член 122 от РКИ. С оглед на докладването в LR4, „финансови предприятия“ означава регулирани или нерегулирани предприятия, различни от институциите, посочени в {180;10}, чиято основна дейност е придобиване на дялови участия или извършване на една или повече от дейностите, изброени в приложение I към Директива 2013/36/ЕС, както и предприятията, определени в член 4, параграф 1, точка 27 от РКИ, различни от институциите, посочени в {180;10}. </w:t>
            </w:r>
          </w:p>
          <w:p w:rsidR="00086A8A" w:rsidRDefault="00BB5324" w:rsidP="007E2A41">
            <w:pPr>
              <w:pStyle w:val="BodyText1"/>
              <w:spacing w:line="240" w:lineRule="auto"/>
              <w:rPr>
                <w:rFonts w:ascii="Times New Roman" w:hAnsi="Times New Roman"/>
                <w:bCs/>
              </w:rPr>
            </w:pPr>
            <w:r>
              <w:rPr>
                <w:rFonts w:ascii="Times New Roman" w:hAnsi="Times New Roman"/>
              </w:rPr>
              <w:t>.</w:t>
            </w: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{240;020}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Финансови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финансови предприятия, попадащи в обхвата на член 147, параграф 2, буква в) от РКИ, ако тези експозиции </w:t>
            </w:r>
            <w:r>
              <w:rPr>
                <w:rFonts w:ascii="Times New Roman" w:hAnsi="Times New Roman"/>
                <w:b/>
                <w:u w:val="single"/>
              </w:rPr>
              <w:t>не</w:t>
            </w:r>
            <w:r>
              <w:rPr>
                <w:rFonts w:ascii="Times New Roman" w:hAnsi="Times New Roman"/>
              </w:rPr>
              <w:t xml:space="preserve"> са обезпечени с ипотека върху недвижим имот в съответствие с член 199, параграф 1, буква а) от РКИ. С оглед на докладването в LR4, „финансови предприятия“ означава регулирани или нерегулирани предприятия, различни от институциите, посочени в {180;10}, чиято основна дейност е придобиване на дялови участия или извършване на една или повече от дейностите, изброени в приложение I към Директива 2013/36/ЕС, както и предприятията, определени в член 4, параграф 1, точка 27 от РКИ, различни от институциите, посочени в {180;10}.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Финансови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финансови предприятия, попадащи в обхвата на член 122 от РКИ. С оглед на докладването в LR4, „финансови предприятия“ означава регулирани или нерегулирани предприятия, различни от институциите, посочени в {180;10}, чиято основна дейност е придобиване на дялови участия или извършване на една или повече от дейностите, изброени в приложение I към Директива 2013/36/ЕС, както и предприятията, определени в член 4, параграф 1, точка 27 от РКИ, различни от институциите, посочени в {180;10}.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{240;040}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Финансови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финансови предприятия, попадащи в обхвата на член 147, параграф 2, буква в) от РКИ, ако тези експозиции </w:t>
            </w:r>
            <w:r>
              <w:rPr>
                <w:rFonts w:ascii="Times New Roman" w:hAnsi="Times New Roman"/>
                <w:b/>
                <w:u w:val="single"/>
              </w:rPr>
              <w:t>не</w:t>
            </w:r>
            <w:r>
              <w:rPr>
                <w:rFonts w:ascii="Times New Roman" w:hAnsi="Times New Roman"/>
              </w:rPr>
              <w:t xml:space="preserve"> са обезпечени с </w:t>
            </w:r>
            <w:proofErr w:type="spellStart"/>
            <w:r>
              <w:rPr>
                <w:rFonts w:ascii="Times New Roman" w:hAnsi="Times New Roman"/>
              </w:rPr>
              <w:t>ипотекa</w:t>
            </w:r>
            <w:proofErr w:type="spellEnd"/>
            <w:r>
              <w:rPr>
                <w:rFonts w:ascii="Times New Roman" w:hAnsi="Times New Roman"/>
              </w:rPr>
              <w:t xml:space="preserve"> върху недвижим имот в съответствие с член 199, параграф 1, буква а) от РКИ. С оглед на докладването в LR4, „финансови предприятия“ означава регулирани или нерегулирани предприятия, различни от институциите, посочени в {180;10}, чиято основна дейност е придобиване на дялови участия или извършване на една или повече от дейностите, изброени в приложение I към Директива 2013/36/ЕС, както и предприятията, определени в член 4, параграф 1, точка 27 от РКИ, различни от институциите, посочени в {180;10}.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{250;010}</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Pr>
                <w:rFonts w:ascii="Times New Roman" w:hAnsi="Times New Roman"/>
                <w:b/>
              </w:rPr>
              <w:t xml:space="preserve">Нефинансови; в т.ч.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w:t>
            </w:r>
            <w:r>
              <w:rPr>
                <w:rFonts w:ascii="Times New Roman" w:hAnsi="Times New Roman"/>
                <w:b/>
                <w:u w:val="single"/>
              </w:rPr>
              <w:t>не</w:t>
            </w:r>
            <w:r>
              <w:rPr>
                <w:rFonts w:ascii="Times New Roman" w:hAnsi="Times New Roman"/>
              </w:rPr>
              <w:t xml:space="preserve">финансови предприятия, попадащи в обхвата на член 122 от РКИ.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Това е сборът на {260;010} и {270;010}.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{250;020}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 xml:space="preserve">Нефинансови; в т.ч.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w:t>
            </w:r>
            <w:r>
              <w:rPr>
                <w:rFonts w:ascii="Times New Roman" w:hAnsi="Times New Roman"/>
                <w:b/>
                <w:u w:val="single"/>
              </w:rPr>
              <w:t>не</w:t>
            </w:r>
            <w:r>
              <w:rPr>
                <w:rFonts w:ascii="Times New Roman" w:hAnsi="Times New Roman"/>
              </w:rPr>
              <w:t xml:space="preserve">финансови предприятия, попадащи в обхвата на член 147, параграф 2, буква в) от РКИ, ако тези експозиции </w:t>
            </w:r>
            <w:r>
              <w:rPr>
                <w:rFonts w:ascii="Times New Roman" w:hAnsi="Times New Roman"/>
                <w:b/>
                <w:u w:val="single"/>
              </w:rPr>
              <w:t>не</w:t>
            </w:r>
            <w:r>
              <w:rPr>
                <w:rFonts w:ascii="Times New Roman" w:hAnsi="Times New Roman"/>
              </w:rPr>
              <w:t xml:space="preserve"> са обезпечени с ипотека върху недвижим имот в съответствие с член 199, параграф 1, буква а) от РКИ. </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Това е сборът на {260;020} и {270;020}.</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{250;030}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Нефинансови; в т.ч.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w:t>
            </w:r>
            <w:r>
              <w:rPr>
                <w:rFonts w:ascii="Times New Roman" w:hAnsi="Times New Roman"/>
                <w:b/>
                <w:u w:val="single"/>
              </w:rPr>
              <w:t>не</w:t>
            </w:r>
            <w:r>
              <w:rPr>
                <w:rFonts w:ascii="Times New Roman" w:hAnsi="Times New Roman"/>
              </w:rPr>
              <w:t xml:space="preserve">финансови предприятия, попадащи в обхвата на член 122 от РКИ.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Това е сборът на {260;030} и {270;030}.</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Pr>
                <w:rFonts w:ascii="Times New Roman" w:hAnsi="Times New Roman"/>
              </w:rPr>
              <w:t>{250;040}</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rPr>
              <w:t xml:space="preserve">Нефинансови; в т.ч.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w:t>
            </w:r>
            <w:r>
              <w:rPr>
                <w:rFonts w:ascii="Times New Roman" w:hAnsi="Times New Roman"/>
                <w:b/>
                <w:u w:val="single"/>
              </w:rPr>
              <w:t>не</w:t>
            </w:r>
            <w:r>
              <w:rPr>
                <w:rFonts w:ascii="Times New Roman" w:hAnsi="Times New Roman"/>
              </w:rPr>
              <w:t xml:space="preserve">финансови предприятия, попадащи в обхвата на член 147, параграф 2, буква в) от РКИ, ако тези експозиции </w:t>
            </w:r>
            <w:r>
              <w:rPr>
                <w:rFonts w:ascii="Times New Roman" w:hAnsi="Times New Roman"/>
                <w:b/>
                <w:u w:val="single"/>
              </w:rPr>
              <w:t>не</w:t>
            </w:r>
            <w:r>
              <w:rPr>
                <w:rFonts w:ascii="Times New Roman" w:hAnsi="Times New Roman"/>
              </w:rPr>
              <w:t xml:space="preserve"> са обезпечени с </w:t>
            </w:r>
            <w:proofErr w:type="spellStart"/>
            <w:r>
              <w:rPr>
                <w:rFonts w:ascii="Times New Roman" w:hAnsi="Times New Roman"/>
              </w:rPr>
              <w:t>ипотекa</w:t>
            </w:r>
            <w:proofErr w:type="spellEnd"/>
            <w:r>
              <w:rPr>
                <w:rFonts w:ascii="Times New Roman" w:hAnsi="Times New Roman"/>
              </w:rPr>
              <w:t xml:space="preserve"> върху недвижим имот в съответствие с член 199, параграф 1, буква а) от РКИ.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Това е сборът на {260;040} и {270;040}.</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{260;010}</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rPr>
            </w:pPr>
            <w:r>
              <w:rPr>
                <w:rFonts w:ascii="Times New Roman" w:hAnsi="Times New Roman"/>
                <w:b/>
              </w:rPr>
              <w:t xml:space="preserve">Експозиции към МСП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70675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малки и средни предприятия, попадащи в обхвата на член 122 от РКИ.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С оглед на докладването на това поле, терминът „малко и средно предприятие“ е определен в съответствие с член 501, параграф 2, буква б) от РКИ.</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{260;020}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Експозиции към МСП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предприятия, попадащи в обхвата на член 147, параграф 2, буква в) от РКИ, ако това са експозиции към малки и средни предприятия и </w:t>
            </w:r>
            <w:r>
              <w:rPr>
                <w:rFonts w:ascii="Times New Roman" w:hAnsi="Times New Roman"/>
                <w:b/>
                <w:u w:val="single"/>
              </w:rPr>
              <w:t>не</w:t>
            </w:r>
            <w:r>
              <w:rPr>
                <w:rFonts w:ascii="Times New Roman" w:hAnsi="Times New Roman"/>
              </w:rPr>
              <w:t xml:space="preserve"> са обезпечени с ипотека върху недвижим имот в съответствие с член 199, параграф 1, буква а) от РКИ.</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Pr>
                <w:rFonts w:ascii="Times New Roman" w:hAnsi="Times New Roman"/>
              </w:rPr>
              <w:t>С оглед на докладването на това поле, терминът „малко и средно предприятие“ е определен в съответствие с член 501, параграф 2, буква б) от РКИ.</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{260;030}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Експозиции към МСП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малки и средни предприятия, попадащи в обхвата на член 122 от РКИ.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С оглед на докладването на това поле, терминът „малко и средно предприятие“ е определен в съответствие с член 501, параграф 2, буква б) от РКИ.</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{260;040}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Експозиции към МСП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предприятия, попадащи в обхвата на член 147, параграф 2, буква в) от РКИ, ако това са експозиции към малки и средни предприятия и </w:t>
            </w:r>
            <w:r>
              <w:rPr>
                <w:rFonts w:ascii="Times New Roman" w:hAnsi="Times New Roman"/>
                <w:b/>
                <w:u w:val="single"/>
              </w:rPr>
              <w:t>не</w:t>
            </w:r>
            <w:r>
              <w:rPr>
                <w:rFonts w:ascii="Times New Roman" w:hAnsi="Times New Roman"/>
              </w:rPr>
              <w:t xml:space="preserve"> са обезпечени с ипотеки върху недвижим имот в съответствие с член 199, параграф 1, буква а) от РКИ.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Pr>
                <w:rFonts w:ascii="Times New Roman" w:hAnsi="Times New Roman"/>
              </w:rPr>
              <w:t>С оглед на докладването на това поле, терминът „малко и средно предприятие“ е определен в съответствие с член 501, параграф 2, буква б) от РКИ.</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{270;010}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rPr>
              <w:t xml:space="preserve">Експозиции, различни от експозиции към МСП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предприятия, попадащи в обхвата на член 122 от РКИ и недокладвани в {230;040} и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{270;020}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 xml:space="preserve">Експозиции, различни от експозиции към МСП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предприятия, попадащи в обхвата на член 147, параграф 2, буква в) от РКИ, ако тези експозиции </w:t>
            </w:r>
            <w:r>
              <w:rPr>
                <w:rFonts w:ascii="Times New Roman" w:hAnsi="Times New Roman"/>
                <w:b/>
                <w:u w:val="single"/>
              </w:rPr>
              <w:t>не</w:t>
            </w:r>
            <w:r>
              <w:rPr>
                <w:rFonts w:ascii="Times New Roman" w:hAnsi="Times New Roman"/>
              </w:rPr>
              <w:t xml:space="preserve"> са обезпечени с ипотека върху недвижим имот в съответствие с член 199, параграф 1, буква а) от РКИ и не са докладвани в {230;040} и {250;040}.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{270;030}</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rPr>
              <w:t>Експозиции, различни от експозиции към МСП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lastRenderedPageBreak/>
              <w:t xml:space="preserve">Стойността на рисково претеглената експозиция на активите, които представляват експозиции към предприятия, попадащи в обхвата на член 122 от РКИ и недокладвани в {230;040} и {250;040}.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lastRenderedPageBreak/>
              <w:t>{270;040}</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rPr>
              <w:t xml:space="preserve">Експозиции, различни от експозиции към МСП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предприятия, попадащи в обхвата на член 147, параграф 2, буква в) от РКИ, ако тези експозиции </w:t>
            </w:r>
            <w:r>
              <w:rPr>
                <w:rFonts w:ascii="Times New Roman" w:hAnsi="Times New Roman"/>
                <w:b/>
                <w:u w:val="single"/>
              </w:rPr>
              <w:t>не</w:t>
            </w:r>
            <w:r>
              <w:rPr>
                <w:rFonts w:ascii="Times New Roman" w:hAnsi="Times New Roman"/>
              </w:rPr>
              <w:t xml:space="preserve"> са обезпечени с ипотеки върху недвижим имот в съответствие с член 199, параграф 1, буква а) от РКИ и не са докладвани в {230;040} и {250;040}.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{280;010}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Експозиции в неизпълнение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в неизпълнение и като такива попадат в обхвата на член 127 от РКИ.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{280;020}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Експозиции в неизпълнение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попадат в категориите експозиции, изброени в член 147, параграф 2 от РКИ, ако е настъпило неизпълнение по смисъла на член 178 от РКИ.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{280;030}</w:t>
            </w:r>
          </w:p>
        </w:tc>
        <w:tc>
          <w:tcPr>
            <w:tcW w:w="8133" w:type="dxa"/>
            <w:shd w:val="clear" w:color="auto" w:fill="FFFFFF"/>
          </w:tcPr>
          <w:p w:rsidR="00F4754B" w:rsidRPr="00BB7DB0" w:rsidRDefault="00F4754B" w:rsidP="007E2A41">
            <w:pPr>
              <w:pStyle w:val="BodyText1"/>
              <w:spacing w:line="240" w:lineRule="auto"/>
              <w:rPr>
                <w:rFonts w:ascii="Times New Roman" w:hAnsi="Times New Roman"/>
                <w:b/>
                <w:bCs/>
              </w:rPr>
            </w:pPr>
            <w:r>
              <w:rPr>
                <w:rFonts w:ascii="Times New Roman" w:hAnsi="Times New Roman"/>
                <w:b/>
              </w:rPr>
              <w:t>Експозиции в неизпълнение — Рисково претеглени активи — експозиции по стандартизирания подход</w:t>
            </w:r>
          </w:p>
          <w:p w:rsidR="002509B1" w:rsidRPr="00BB7DB0"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в неизпълнение и като такива попадат в обхвата на член 127 от РКИ.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{280;040}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Експозиции в неизпълнение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попадат в категориите експозиции, изброени в член 147, параграф 2 от РКИ, ако е настъпило неизпълнение по смисъла на член 178 от РКИ.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Pr>
                <w:rFonts w:ascii="Times New Roman" w:hAnsi="Times New Roman"/>
              </w:rPr>
              <w:t>{290;010}</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Pr>
                <w:rFonts w:ascii="Times New Roman" w:hAnsi="Times New Roman"/>
                <w:b/>
              </w:rPr>
              <w:t xml:space="preserve">Други експозиции; в т.ч.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попадат в категориите експозиции, изброени в член 112, букви к), м), н), о), п) и р) от РКИ. </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rPr>
              <w:t>Институциите докладват тук активите, които са приспаднати от собствените средства (напр. нематериални активи), но не попадат в никоя друга категория, дори ако подобна категоризация не се изисква за определяне на капиталовите изисквания с оглед на риска в колони {*;030} и {*;040}.</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{290;020}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Други експозиции; в т.ч.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lastRenderedPageBreak/>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попадат в категориите експозиции, изброени в член 147, параграф 2, букви д), е) и ж) от РКИ. </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rPr>
              <w:t>Институциите докладват тук активите, които са приспаднати от собствените средства (напр. нематериални активи), но не попадат в никоя друга категория, дори ако подобна категоризация не се изисква за определяне на капиталовите изисквания с оглед на риска в колони {*;030} и {*;040}.</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{290;030}</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Pr>
                <w:rFonts w:ascii="Times New Roman" w:hAnsi="Times New Roman"/>
                <w:b/>
              </w:rPr>
              <w:t>Други експозиции; в т.ч.</w:t>
            </w:r>
            <w:r>
              <w:rPr>
                <w:rFonts w:ascii="Times New Roman" w:hAnsi="Times New Roman"/>
              </w:rPr>
              <w:t xml:space="preserve"> </w:t>
            </w:r>
            <w:r>
              <w:rPr>
                <w:rFonts w:ascii="Times New Roman" w:hAnsi="Times New Roman"/>
                <w:b/>
              </w:rPr>
              <w:t>—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Стойността на рисково претеглената експозиция на активите, които попадат в категориите експозиции, изброени в член 112, букви к), м), н), о), п) и р) от РКИ.</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t>{290;040}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Pr>
                <w:rFonts w:ascii="Times New Roman" w:hAnsi="Times New Roman"/>
                <w:b/>
              </w:rPr>
              <w:t>Други експозиции; в т.ч.</w:t>
            </w:r>
            <w:r>
              <w:rPr>
                <w:rFonts w:ascii="Times New Roman" w:hAnsi="Times New Roman"/>
              </w:rPr>
              <w:t xml:space="preserve"> </w:t>
            </w:r>
            <w:r>
              <w:rPr>
                <w:rFonts w:ascii="Times New Roman" w:hAnsi="Times New Roman"/>
                <w:b/>
              </w:rPr>
              <w:t xml:space="preserve">—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попадат в категориите експозиции, изброени в член 147, параграф 2, букви д), е) и ж) от РКИ. </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{300;010}</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proofErr w:type="spellStart"/>
            <w:r>
              <w:rPr>
                <w:rFonts w:ascii="Times New Roman" w:hAnsi="Times New Roman"/>
                <w:b/>
              </w:rPr>
              <w:t>Секюритизиращи</w:t>
            </w:r>
            <w:proofErr w:type="spellEnd"/>
            <w:r>
              <w:rPr>
                <w:rFonts w:ascii="Times New Roman" w:hAnsi="Times New Roman"/>
                <w:b/>
              </w:rPr>
              <w:t xml:space="preserve"> експозиции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706750"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w:t>
            </w:r>
            <w:proofErr w:type="spellStart"/>
            <w:r>
              <w:rPr>
                <w:rFonts w:ascii="Times New Roman" w:hAnsi="Times New Roman"/>
              </w:rPr>
              <w:t>секюритизации</w:t>
            </w:r>
            <w:proofErr w:type="spellEnd"/>
            <w:r>
              <w:rPr>
                <w:rFonts w:ascii="Times New Roman" w:hAnsi="Times New Roman"/>
              </w:rPr>
              <w:t>, попадащи в обхвата на член 112, буква м) от РКИ.</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{300;020}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spellStart"/>
            <w:r>
              <w:rPr>
                <w:rFonts w:ascii="Times New Roman" w:hAnsi="Times New Roman"/>
                <w:b/>
              </w:rPr>
              <w:t>Секюритизиращи</w:t>
            </w:r>
            <w:proofErr w:type="spellEnd"/>
            <w:r>
              <w:rPr>
                <w:rFonts w:ascii="Times New Roman" w:hAnsi="Times New Roman"/>
                <w:b/>
              </w:rPr>
              <w:t xml:space="preserve"> експозиции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активите, които представляват експозиции към </w:t>
            </w:r>
            <w:proofErr w:type="spellStart"/>
            <w:r>
              <w:rPr>
                <w:rFonts w:ascii="Times New Roman" w:hAnsi="Times New Roman"/>
              </w:rPr>
              <w:t>секюритизации</w:t>
            </w:r>
            <w:proofErr w:type="spellEnd"/>
            <w:r>
              <w:rPr>
                <w:rFonts w:ascii="Times New Roman" w:hAnsi="Times New Roman"/>
              </w:rPr>
              <w:t xml:space="preserve">, попадащи в обхвата на член 147, параграф 2, буква е) от РКИ.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{300;030}</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proofErr w:type="spellStart"/>
            <w:r>
              <w:rPr>
                <w:rFonts w:ascii="Times New Roman" w:hAnsi="Times New Roman"/>
                <w:b/>
              </w:rPr>
              <w:t>Секюритизиращи</w:t>
            </w:r>
            <w:proofErr w:type="spellEnd"/>
            <w:r>
              <w:rPr>
                <w:rFonts w:ascii="Times New Roman" w:hAnsi="Times New Roman"/>
                <w:b/>
              </w:rPr>
              <w:t xml:space="preserve"> експозиции — Рисково претеглени активи — експозиции по стандартизирания подход</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w:t>
            </w:r>
            <w:proofErr w:type="spellStart"/>
            <w:r>
              <w:rPr>
                <w:rFonts w:ascii="Times New Roman" w:hAnsi="Times New Roman"/>
              </w:rPr>
              <w:t>секюритизации</w:t>
            </w:r>
            <w:proofErr w:type="spellEnd"/>
            <w:r>
              <w:rPr>
                <w:rFonts w:ascii="Times New Roman" w:hAnsi="Times New Roman"/>
              </w:rPr>
              <w:t xml:space="preserve">, попадащи в обхвата на член 112, буква м) от РКИ.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{300;040}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proofErr w:type="spellStart"/>
            <w:r>
              <w:rPr>
                <w:rFonts w:ascii="Times New Roman" w:hAnsi="Times New Roman"/>
                <w:b/>
              </w:rPr>
              <w:t>Секюритизиращи</w:t>
            </w:r>
            <w:proofErr w:type="spellEnd"/>
            <w:r>
              <w:rPr>
                <w:rFonts w:ascii="Times New Roman" w:hAnsi="Times New Roman"/>
                <w:b/>
              </w:rPr>
              <w:t xml:space="preserve"> експозиции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Стойността на рисково претеглената експозиция на активите, които представляват експозиции към </w:t>
            </w:r>
            <w:proofErr w:type="spellStart"/>
            <w:r>
              <w:rPr>
                <w:rFonts w:ascii="Times New Roman" w:hAnsi="Times New Roman"/>
              </w:rPr>
              <w:t>секюритизации</w:t>
            </w:r>
            <w:proofErr w:type="spellEnd"/>
            <w:r>
              <w:rPr>
                <w:rFonts w:ascii="Times New Roman" w:hAnsi="Times New Roman"/>
              </w:rPr>
              <w:t xml:space="preserve">, попадащи в обхвата на член 147, параграф 2, буква е) от РКИ.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Pr>
                <w:rFonts w:ascii="Times New Roman" w:hAnsi="Times New Roman"/>
              </w:rPr>
              <w:lastRenderedPageBreak/>
              <w:t>{310;010}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Търговско финансиране (поясняваща позиция); в т.ч.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Стойност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балансовите позиции, свързани с кредитиране на износител или вносител на стоки или услуги посредством импортни и експортни кредити и сходни трансакции.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{310;020}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Търговско финансиране (поясняваща позиция); в т.ч.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Pr>
                <w:rFonts w:ascii="Times New Roman" w:hAnsi="Times New Roman"/>
              </w:rPr>
              <w:t xml:space="preserve">Размер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балансовите позиции, свързани с кредитиране на износител или вносител на стоки или услуги посредством импортни и експортни кредити и сходни трансакции. </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{310;030}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Търговско финансиране (поясняваща позиция); в т.ч.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Pr>
                <w:rFonts w:ascii="Times New Roman" w:hAnsi="Times New Roman"/>
              </w:rPr>
              <w:t xml:space="preserve">Стойност на рисково претеглената експозиция на балансовите позиции, свързани с кредитиране на износител или вносител на стоки или услуги посредством импортни и експортни кредити и сходни трансакции.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{310;040}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Търговско финансиране (поясняваща позиция); в т.ч.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Pr>
                <w:rFonts w:ascii="Times New Roman" w:hAnsi="Times New Roman"/>
              </w:rPr>
              <w:t xml:space="preserve">Размер на рисково претеглената експозиция на балансовите позиции, свързани с кредитиране на износител или вносител на стоки или услуги посредством импортни и експортни кредити и сходни трансакции.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rPr>
              <w:t>Докладваните от институциите стойности са нето от експозициите в неизпълнение.</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Pr>
                <w:rFonts w:ascii="Times New Roman" w:hAnsi="Times New Roman"/>
              </w:rPr>
              <w:t>{320;010}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В рамките на официална схема за застраховане на експортни кредити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Стойност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балансовите позиции, свързани с търговско финансиране в рамките на официална схема за застраховане на експортни кредити. 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финансиране по помощни програми (кредити и безвъзмездни средства), застраховане и гаранции при експортно кредитиране.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Pr>
                <w:rFonts w:ascii="Times New Roman" w:hAnsi="Times New Roman"/>
              </w:rPr>
              <w:t>{320;020}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В рамките на официална схема за застраховане на експортни кредити — Стойност на експозицията с оглед на отношението на </w:t>
            </w:r>
            <w:proofErr w:type="spellStart"/>
            <w:r>
              <w:rPr>
                <w:rFonts w:ascii="Times New Roman" w:hAnsi="Times New Roman"/>
                <w:b/>
              </w:rPr>
              <w:t>ливъридж</w:t>
            </w:r>
            <w:proofErr w:type="spellEnd"/>
            <w:r>
              <w:rPr>
                <w:rFonts w:ascii="Times New Roman" w:hAnsi="Times New Roman"/>
                <w:b/>
              </w:rPr>
              <w:t xml:space="preserve">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Размер на експозицията с оглед на отношението на </w:t>
            </w:r>
            <w:proofErr w:type="spellStart"/>
            <w:r>
              <w:rPr>
                <w:rFonts w:ascii="Times New Roman" w:hAnsi="Times New Roman"/>
              </w:rPr>
              <w:t>ливъридж</w:t>
            </w:r>
            <w:proofErr w:type="spellEnd"/>
            <w:r>
              <w:rPr>
                <w:rFonts w:ascii="Times New Roman" w:hAnsi="Times New Roman"/>
              </w:rPr>
              <w:t xml:space="preserve"> на балансовите позиции, </w:t>
            </w:r>
            <w:r>
              <w:rPr>
                <w:rFonts w:ascii="Times New Roman" w:hAnsi="Times New Roman"/>
              </w:rPr>
              <w:lastRenderedPageBreak/>
              <w:t xml:space="preserve">свързани с търговско финансиране в рамките на официална схема за застраховане на експортни кредити. 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финансиране по помощни програми (кредити и безвъзмездни средства), застраховане и гаранции при експортно кредитиране. </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rPr>
              <w:t>Докладваните от институциите стойности са нето от експозициите в неизпълнение.</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lastRenderedPageBreak/>
              <w:t>{320;030}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В рамките на официална схема за застраховане на експортни кредити — Рисково претеглени активи — експозиции по стандартизирания подход</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Pr>
                <w:rFonts w:ascii="Times New Roman" w:hAnsi="Times New Roman"/>
              </w:rPr>
              <w:t xml:space="preserve">Стойност на рисково претеглената експозиция на балансовите позиции, свързани с търговско финансиране в рамките на официална схема за застраховане на експортни кредити. 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финансиране по помощни програми (кредити и безвъзмездни средства), застраховане и гаранции при експортно кредитиране.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Pr>
                <w:rFonts w:ascii="Times New Roman" w:hAnsi="Times New Roman"/>
              </w:rPr>
              <w:t>{320;040}</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Pr>
                <w:rFonts w:ascii="Times New Roman" w:hAnsi="Times New Roman"/>
                <w:b/>
              </w:rPr>
              <w:t xml:space="preserve">В рамките на официална схема за застраховане на експортни кредити — Рисково претеглени активи — експозиции по </w:t>
            </w:r>
            <w:proofErr w:type="spellStart"/>
            <w:r>
              <w:rPr>
                <w:rFonts w:ascii="Times New Roman" w:hAnsi="Times New Roman"/>
                <w:b/>
              </w:rPr>
              <w:t>вътрешнорейтинговия</w:t>
            </w:r>
            <w:proofErr w:type="spellEnd"/>
            <w:r>
              <w:rPr>
                <w:rFonts w:ascii="Times New Roman" w:hAnsi="Times New Roman"/>
                <w:b/>
              </w:rPr>
              <w:t xml:space="preserve"> подход</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Pr>
                <w:rFonts w:ascii="Times New Roman" w:hAnsi="Times New Roman"/>
              </w:rPr>
              <w:t xml:space="preserve">Размер на рисково претеглената експозиция на балансовите позиции, свързани с търговско финансиране в рамките на официална схема за застраховане на експортни кредити. 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финансиране по помощни програми (кредити и безвъзмездни средства), застраховане и гаранции при експортно кредитиране. </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rPr>
              <w:t>Докладваните от институциите стойности са нето от експозициите в неизпълнение.</w:t>
            </w:r>
          </w:p>
          <w:p w:rsidR="002509B1" w:rsidRPr="00FE002E" w:rsidRDefault="002509B1" w:rsidP="007E2A41">
            <w:pPr>
              <w:pStyle w:val="BodyText1"/>
              <w:spacing w:line="240" w:lineRule="auto"/>
              <w:rPr>
                <w:rFonts w:ascii="Times New Roman" w:hAnsi="Times New Roman"/>
                <w:b/>
                <w:bCs/>
                <w:u w:val="single"/>
              </w:rPr>
            </w:pPr>
          </w:p>
        </w:tc>
      </w:tr>
      <w:bookmarkEnd w:id="84"/>
    </w:tbl>
    <w:p w:rsidR="00217D1F" w:rsidRPr="00FE002E" w:rsidRDefault="00F4754B" w:rsidP="00500508">
      <w:pPr>
        <w:pStyle w:val="BodyText1"/>
        <w:ind w:left="357" w:hanging="357"/>
        <w:outlineLvl w:val="1"/>
        <w:rPr>
          <w:rFonts w:ascii="Times New Roman" w:hAnsi="Times New Roman"/>
          <w:b/>
        </w:rPr>
      </w:pPr>
      <w:r>
        <w:br w:type="page"/>
      </w:r>
      <w:bookmarkStart w:id="89" w:name="_Toc351048511"/>
      <w:bookmarkStart w:id="90" w:name="_Toc359414290"/>
      <w:bookmarkStart w:id="91" w:name="_Toc423089075"/>
      <w:bookmarkStart w:id="92" w:name="_Toc523907714"/>
      <w:r>
        <w:rPr>
          <w:rFonts w:ascii="Times New Roman" w:hAnsi="Times New Roman"/>
          <w:b/>
        </w:rPr>
        <w:lastRenderedPageBreak/>
        <w:t>9.</w:t>
      </w:r>
      <w:r>
        <w:tab/>
      </w:r>
      <w:r>
        <w:rPr>
          <w:rFonts w:ascii="Times New Roman" w:hAnsi="Times New Roman"/>
          <w:b/>
        </w:rPr>
        <w:t>C 44.00 — Обща информация</w:t>
      </w:r>
      <w:bookmarkEnd w:id="89"/>
      <w:bookmarkEnd w:id="90"/>
      <w:r>
        <w:rPr>
          <w:rFonts w:ascii="Times New Roman" w:hAnsi="Times New Roman"/>
          <w:b/>
        </w:rPr>
        <w:t xml:space="preserve"> (LR5)</w:t>
      </w:r>
      <w:bookmarkEnd w:id="91"/>
      <w:bookmarkEnd w:id="92"/>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Pr>
          <w:rFonts w:ascii="Times New Roman" w:hAnsi="Times New Roman"/>
        </w:rPr>
        <w:t>31.</w:t>
      </w:r>
      <w:r>
        <w:tab/>
      </w:r>
      <w:r>
        <w:rPr>
          <w:rFonts w:ascii="Times New Roman" w:hAnsi="Times New Roman"/>
        </w:rPr>
        <w:t>Тук се събира допълнителна информация за целите на категоризирането на дейностите на институцията и избраните от нея регулаторни варианти.</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Pr>
                <w:rFonts w:ascii="Times New Roman" w:hAnsi="Times New Roman"/>
                <w:b/>
              </w:rPr>
              <w:t xml:space="preserve">Ред </w:t>
            </w:r>
          </w:p>
          <w:p w:rsidR="00F4754B" w:rsidRPr="00FE002E" w:rsidRDefault="00F4754B" w:rsidP="00F4754B">
            <w:pPr>
              <w:pStyle w:val="BodyText1"/>
              <w:rPr>
                <w:rFonts w:ascii="Times New Roman" w:hAnsi="Times New Roman"/>
                <w:b/>
                <w:bCs/>
              </w:rPr>
            </w:pPr>
            <w:r>
              <w:rPr>
                <w:rFonts w:ascii="Times New Roman" w:hAnsi="Times New Roman"/>
                <w:b/>
              </w:rPr>
              <w:t>и колона</w:t>
            </w:r>
          </w:p>
        </w:tc>
        <w:tc>
          <w:tcPr>
            <w:tcW w:w="7620" w:type="dxa"/>
            <w:shd w:val="clear" w:color="auto" w:fill="D9D9D9"/>
          </w:tcPr>
          <w:p w:rsidR="00F4754B" w:rsidRPr="00FE002E" w:rsidRDefault="00F4754B" w:rsidP="00F4754B">
            <w:pPr>
              <w:pStyle w:val="BodyText1"/>
              <w:rPr>
                <w:rFonts w:ascii="Times New Roman" w:hAnsi="Times New Roman"/>
                <w:b/>
                <w:bCs/>
              </w:rPr>
            </w:pPr>
            <w:r>
              <w:rPr>
                <w:rFonts w:ascii="Times New Roman" w:hAnsi="Times New Roman"/>
                <w:b/>
              </w:rPr>
              <w:t>Указания</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Pr>
                <w:rFonts w:ascii="Times New Roman" w:hAnsi="Times New Roman"/>
              </w:rPr>
              <w:t>{010;</w:t>
            </w:r>
            <w:proofErr w:type="spellStart"/>
            <w:r>
              <w:rPr>
                <w:rFonts w:ascii="Times New Roman" w:hAnsi="Times New Roman"/>
              </w:rPr>
              <w:t>010</w:t>
            </w:r>
            <w:proofErr w:type="spellEnd"/>
            <w:r>
              <w:rPr>
                <w:rFonts w:ascii="Times New Roman" w:hAnsi="Times New Roman"/>
              </w:rPr>
              <w:t>}</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Дружествена структура на институцията</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Институцията класифицира дружествената си структура в съответствие с представените по-долу категории:</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Акционерно дружество;</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Взаимоспомагателно дружество/кооперация;</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Други неакционерни дружества.</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{020;010}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Третиране на деривати</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Институцията уточнява регулаторното третиране на дериватите в съответствие с представените по-долу категории:</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Метод на първоначалната експозиция;</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Метод на пазарната оценка.</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Pr>
                <w:rFonts w:ascii="Times New Roman" w:hAnsi="Times New Roman"/>
              </w:rPr>
              <w:t>{040;010}</w:t>
            </w:r>
          </w:p>
        </w:tc>
        <w:tc>
          <w:tcPr>
            <w:tcW w:w="7620" w:type="dxa"/>
          </w:tcPr>
          <w:p w:rsidR="00F4754B" w:rsidRPr="00FE002E" w:rsidRDefault="00F4754B" w:rsidP="002509B1">
            <w:pPr>
              <w:pStyle w:val="BodyText1"/>
              <w:spacing w:line="240" w:lineRule="auto"/>
              <w:rPr>
                <w:rFonts w:ascii="Times New Roman" w:hAnsi="Times New Roman"/>
                <w:b/>
                <w:bCs/>
              </w:rPr>
            </w:pPr>
            <w:r>
              <w:rPr>
                <w:rFonts w:ascii="Times New Roman" w:hAnsi="Times New Roman"/>
                <w:b/>
              </w:rPr>
              <w:t>Вид институция</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Pr>
                <w:rFonts w:ascii="Times New Roman" w:hAnsi="Times New Roman"/>
              </w:rPr>
              <w:t>Видът на институцията се класифицира в съответствие с представените по-долу категории:</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Универсално банкиране (на дребно/търговско и инвестиционно банкиране);</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Банкиране на дребно/търговско банкиране;</w:t>
            </w:r>
          </w:p>
          <w:p w:rsidR="00F4754B" w:rsidRPr="00FE002E"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Инвестиционно банкиране;</w:t>
            </w:r>
          </w:p>
          <w:p w:rsidR="00875832" w:rsidRDefault="00500508"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Специализиран заемодател;</w:t>
            </w:r>
          </w:p>
          <w:p w:rsidR="00F4754B" w:rsidRDefault="00875832" w:rsidP="0077269C">
            <w:pPr>
              <w:pStyle w:val="BodyText1"/>
              <w:spacing w:line="240" w:lineRule="auto"/>
              <w:ind w:left="360" w:hanging="360"/>
              <w:rPr>
                <w:rFonts w:ascii="Times New Roman" w:hAnsi="Times New Roman"/>
                <w:bCs/>
              </w:rPr>
            </w:pPr>
            <w:r>
              <w:rPr>
                <w:rFonts w:ascii="Times New Roman" w:hAnsi="Times New Roman"/>
              </w:rPr>
              <w:t>-</w:t>
            </w:r>
            <w:r>
              <w:tab/>
            </w:r>
            <w:r>
              <w:rPr>
                <w:rFonts w:ascii="Times New Roman" w:hAnsi="Times New Roman"/>
              </w:rPr>
              <w:t>Друг вид стопанска дейност.</w:t>
            </w:r>
          </w:p>
          <w:p w:rsidR="00BE6AC4" w:rsidRPr="00FE002E" w:rsidRDefault="00BE6AC4" w:rsidP="00BE6AC4">
            <w:pPr>
              <w:pStyle w:val="BodyText1"/>
              <w:spacing w:line="240" w:lineRule="auto"/>
              <w:rPr>
                <w:rFonts w:ascii="Times New Roman" w:hAnsi="Times New Roman"/>
                <w:bCs/>
              </w:rPr>
            </w:pPr>
          </w:p>
        </w:tc>
      </w:tr>
    </w:tbl>
    <w:p w:rsidR="00565261" w:rsidRPr="00C743F2" w:rsidRDefault="006D1C09" w:rsidP="008717E3">
      <w:pPr>
        <w:pStyle w:val="BodyText1"/>
        <w:ind w:left="567"/>
        <w:rPr>
          <w:rFonts w:ascii="Times New Roman" w:hAnsi="Times New Roman"/>
        </w:rPr>
      </w:pPr>
      <w:r>
        <w:rPr>
          <w:rFonts w:ascii="Times New Roman" w:hAnsi="Times New Roman"/>
          <w:sz w:val="24"/>
        </w:rPr>
        <w:t>“</w:t>
      </w:r>
    </w:p>
    <w:sectPr w:rsidR="00565261" w:rsidRPr="00C743F2" w:rsidSect="005315D3">
      <w:headerReference w:type="default" r:id="rId14"/>
      <w:footerReference w:type="default" r:id="rId15"/>
      <w:headerReference w:type="first" r:id="rId16"/>
      <w:footerReference w:type="first" r:id="rId17"/>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C4" w:rsidRDefault="00BE6AC4">
      <w:r>
        <w:separator/>
      </w:r>
    </w:p>
  </w:endnote>
  <w:endnote w:type="continuationSeparator" w:id="0">
    <w:p w:rsidR="00BE6AC4" w:rsidRDefault="00BE6AC4">
      <w:r>
        <w:continuationSeparator/>
      </w:r>
    </w:p>
  </w:endnote>
  <w:endnote w:type="continuationNotice" w:id="1">
    <w:p w:rsidR="00BE6AC4" w:rsidRDefault="00BE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BE6AC4" w:rsidRDefault="00BE6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665BBB" w:rsidRDefault="00665BBB">
        <w:pPr>
          <w:pStyle w:val="Footer"/>
          <w:jc w:val="center"/>
        </w:pPr>
        <w:r>
          <w:fldChar w:fldCharType="begin"/>
        </w:r>
        <w:r>
          <w:instrText xml:space="preserve"> PAGE   \* MERGEFORMAT </w:instrText>
        </w:r>
        <w:r>
          <w:fldChar w:fldCharType="separate"/>
        </w:r>
        <w:r w:rsidR="00B858CC">
          <w:rPr>
            <w:noProof/>
          </w:rPr>
          <w:t>1</w:t>
        </w:r>
        <w:r>
          <w:rPr>
            <w:noProof/>
          </w:rPr>
          <w:fldChar w:fldCharType="end"/>
        </w:r>
      </w:p>
    </w:sdtContent>
  </w:sdt>
  <w:p w:rsidR="00665BBB" w:rsidRDefault="00665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B858CC">
          <w:rPr>
            <w:rFonts w:ascii="Times New Roman" w:hAnsi="Times New Roman"/>
            <w:noProof/>
            <w:sz w:val="20"/>
          </w:rPr>
          <w:t>49</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BE6AC4" w:rsidRDefault="00BE6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C4" w:rsidRPr="004D223F" w:rsidRDefault="00BE6AC4" w:rsidP="00C7701D">
      <w:r>
        <w:continuationSeparator/>
      </w:r>
    </w:p>
  </w:footnote>
  <w:footnote w:type="continuationSeparator" w:id="0">
    <w:p w:rsidR="00BE6AC4" w:rsidRDefault="00BE6AC4">
      <w:r>
        <w:continuationSeparator/>
      </w:r>
    </w:p>
  </w:footnote>
  <w:footnote w:type="continuationNotice" w:id="1">
    <w:p w:rsidR="00BE6AC4" w:rsidRDefault="00BE6AC4"/>
  </w:footnote>
  <w:footnote w:id="2">
    <w:p w:rsidR="00BE6AC4" w:rsidRPr="00AD756F" w:rsidRDefault="00BE6AC4" w:rsidP="00F4754B">
      <w:pPr>
        <w:pStyle w:val="FootnoteText"/>
        <w:rPr>
          <w:sz w:val="12"/>
          <w:szCs w:val="12"/>
          <w:lang w:val="en-US"/>
        </w:rPr>
      </w:pPr>
      <w:r>
        <w:rPr>
          <w:rStyle w:val="FootnoteReference"/>
        </w:rPr>
        <w:footnoteRef/>
      </w:r>
      <w:r>
        <w:t xml:space="preserve"> </w:t>
      </w:r>
      <w:r>
        <w:rPr>
          <w:sz w:val="12"/>
        </w:rPr>
        <w:t xml:space="preserve">Тук се включват </w:t>
      </w:r>
      <w:proofErr w:type="spellStart"/>
      <w:r>
        <w:rPr>
          <w:sz w:val="12"/>
        </w:rPr>
        <w:t>секюритизации</w:t>
      </w:r>
      <w:proofErr w:type="spellEnd"/>
      <w:r>
        <w:rPr>
          <w:sz w:val="12"/>
        </w:rPr>
        <w:t xml:space="preserve"> и експозиции в капиталови инструменти, изложени на кредитен риск.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r>
      <w:rPr>
        <w:noProof/>
        <w:lang w:val="en-GB" w:eastAsia="en-GB" w:bidi="ar-SA"/>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4042D745" id="_x0000_t32" coordsize="21600,21600" o:spt="32" o:oned="t" path="m,l21600,21600e" filled="f">
              <v:path arrowok="t" fillok="f" o:connecttype="none"/>
              <o:lock v:ext="edit" shapetype="t"/>
            </v:shapetype>
            <v:shape xmlns:o="urn:schemas-microsoft-com:office:office" xmlns:v="urn:schemas-microsoft-com:vml"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tabs>
        <w:tab w:val="clear" w:pos="8306"/>
        <w:tab w:val="right" w:pos="9072"/>
      </w:tabs>
      <w:jc w:val="right"/>
      <w:rPr>
        <w:noProof/>
      </w:rPr>
    </w:pPr>
    <w:r>
      <w:rPr>
        <w:noProof/>
        <w:lang w:val="en-GB" w:eastAsia="en-GB" w:bidi="ar-SA"/>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xmlns:o="urn:schemas-microsoft-com:office:office" xmlns:w14="http://schemas.microsoft.com/office/word/2010/wordml" xmlns:v="urn:schemas-microsoft-com:vml" w14:anchorId="28BB0DC1"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75777"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1057"/>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7E9"/>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676"/>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2F29A9"/>
    <w:rsid w:val="00300E22"/>
    <w:rsid w:val="0030136E"/>
    <w:rsid w:val="003027FE"/>
    <w:rsid w:val="00302FB6"/>
    <w:rsid w:val="003032DF"/>
    <w:rsid w:val="0030524E"/>
    <w:rsid w:val="003113EE"/>
    <w:rsid w:val="00315160"/>
    <w:rsid w:val="00316050"/>
    <w:rsid w:val="003167BD"/>
    <w:rsid w:val="00316905"/>
    <w:rsid w:val="00317861"/>
    <w:rsid w:val="00321B6C"/>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83DD0"/>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1C09"/>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58CC"/>
    <w:rsid w:val="00B86FAE"/>
    <w:rsid w:val="00B90346"/>
    <w:rsid w:val="00B90CB5"/>
    <w:rsid w:val="00B9185D"/>
    <w:rsid w:val="00B918E6"/>
    <w:rsid w:val="00B92777"/>
    <w:rsid w:val="00B92BB0"/>
    <w:rsid w:val="00B95087"/>
    <w:rsid w:val="00B9736E"/>
    <w:rsid w:val="00BA422E"/>
    <w:rsid w:val="00BA59EB"/>
    <w:rsid w:val="00BB31BD"/>
    <w:rsid w:val="00BB388D"/>
    <w:rsid w:val="00BB3FA1"/>
    <w:rsid w:val="00BB4B8A"/>
    <w:rsid w:val="00BB4F8E"/>
    <w:rsid w:val="00BB5324"/>
    <w:rsid w:val="00BB71B3"/>
    <w:rsid w:val="00BB7DB0"/>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500B"/>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43F2"/>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bg-BG"/>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bg-BG"/>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bg-BG"/>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bg-BG"/>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bg-BG"/>
    </w:rPr>
  </w:style>
  <w:style w:type="character" w:customStyle="1" w:styleId="Heading6Char">
    <w:name w:val="Heading 6 Char"/>
    <w:basedOn w:val="DefaultParagraphFont"/>
    <w:link w:val="Heading6"/>
    <w:rsid w:val="00F4754B"/>
    <w:rPr>
      <w:b/>
      <w:bCs/>
      <w:szCs w:val="22"/>
      <w:lang w:eastAsia="bg-BG"/>
    </w:rPr>
  </w:style>
  <w:style w:type="character" w:customStyle="1" w:styleId="Heading7Char">
    <w:name w:val="Heading 7 Char"/>
    <w:basedOn w:val="DefaultParagraphFont"/>
    <w:link w:val="Heading7"/>
    <w:rsid w:val="00F4754B"/>
    <w:rPr>
      <w:sz w:val="24"/>
      <w:szCs w:val="24"/>
      <w:lang w:eastAsia="bg-BG"/>
    </w:rPr>
  </w:style>
  <w:style w:type="character" w:customStyle="1" w:styleId="Heading8Char">
    <w:name w:val="Heading 8 Char"/>
    <w:basedOn w:val="DefaultParagraphFont"/>
    <w:link w:val="Heading8"/>
    <w:rsid w:val="00F4754B"/>
    <w:rPr>
      <w:i/>
      <w:iCs/>
      <w:sz w:val="24"/>
      <w:szCs w:val="24"/>
      <w:lang w:eastAsia="bg-BG"/>
    </w:rPr>
  </w:style>
  <w:style w:type="character" w:customStyle="1" w:styleId="Heading9Char">
    <w:name w:val="Heading 9 Char"/>
    <w:basedOn w:val="DefaultParagraphFont"/>
    <w:link w:val="Heading9"/>
    <w:rsid w:val="00F4754B"/>
    <w:rPr>
      <w:rFonts w:ascii="Verdana" w:hAnsi="Verdana" w:cs="Arial"/>
      <w:szCs w:val="22"/>
      <w:lang w:eastAsia="bg-BG"/>
    </w:rPr>
  </w:style>
  <w:style w:type="character" w:customStyle="1" w:styleId="Heading1Char">
    <w:name w:val="Heading 1 Char"/>
    <w:basedOn w:val="DefaultParagraphFont"/>
    <w:link w:val="Heading1"/>
    <w:rsid w:val="00F4754B"/>
    <w:rPr>
      <w:rFonts w:ascii="Arial" w:hAnsi="Arial"/>
      <w:color w:val="48748F" w:themeColor="accent1"/>
      <w:sz w:val="36"/>
      <w:lang w:eastAsia="bg-BG"/>
    </w:rPr>
  </w:style>
  <w:style w:type="character" w:customStyle="1" w:styleId="Heading2Char">
    <w:name w:val="Heading 2 Char"/>
    <w:basedOn w:val="DefaultParagraphFont"/>
    <w:link w:val="Heading2"/>
    <w:rsid w:val="00F4754B"/>
    <w:rPr>
      <w:rFonts w:ascii="Arial" w:hAnsi="Arial"/>
      <w:color w:val="48748F" w:themeColor="accent1"/>
      <w:sz w:val="24"/>
      <w:lang w:eastAsia="bg-BG"/>
    </w:rPr>
  </w:style>
  <w:style w:type="character" w:customStyle="1" w:styleId="Heading3Char">
    <w:name w:val="Heading 3 Char"/>
    <w:basedOn w:val="DefaultParagraphFont"/>
    <w:link w:val="Heading3"/>
    <w:rsid w:val="00F4754B"/>
    <w:rPr>
      <w:rFonts w:ascii="Arial" w:hAnsi="Arial"/>
      <w:b/>
      <w:color w:val="48748F" w:themeColor="accent1"/>
      <w:szCs w:val="22"/>
      <w:lang w:eastAsia="bg-BG"/>
    </w:rPr>
  </w:style>
  <w:style w:type="character" w:customStyle="1" w:styleId="Heading4Char">
    <w:name w:val="Heading 4 Char"/>
    <w:basedOn w:val="DefaultParagraphFont"/>
    <w:link w:val="Heading4"/>
    <w:rsid w:val="00F4754B"/>
    <w:rPr>
      <w:rFonts w:ascii="Arial" w:hAnsi="Arial"/>
      <w:color w:val="48748F" w:themeColor="accent1"/>
      <w:lang w:eastAsia="bg-BG"/>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bg-BG"/>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bg-BG"/>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bg-BG"/>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bg-BG"/>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bg-BG"/>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bg-BG"/>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bg-BG"/>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bg-BG"/>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bg-BG"/>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bg-BG" w:eastAsia="bg-BG"/>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bg-BG"/>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bg-BG" w:eastAsia="bg-BG" w:bidi="bg-BG"/>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bg-BG"/>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bg-BG"/>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bg-BG"/>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bg-BG"/>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bg-BG"/>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bg-BG"/>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semiHidden="0" w:uiPriority="10" w:unhideWhenUsed="0" w:qFormat="1"/>
    <w:lsdException w:name="Default Paragraph Font" w:uiPriority="1"/>
    <w:lsdException w:name="Body Text" w:uiPriority="0"/>
    <w:lsdException w:name="Subtitle" w:uiPriority="11"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bg-BG"/>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bg-BG"/>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bg-BG"/>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bg-BG"/>
    </w:rPr>
  </w:style>
  <w:style w:type="character" w:customStyle="1" w:styleId="Heading6Char">
    <w:name w:val="Heading 6 Char"/>
    <w:basedOn w:val="DefaultParagraphFont"/>
    <w:link w:val="Heading6"/>
    <w:rsid w:val="00F4754B"/>
    <w:rPr>
      <w:b/>
      <w:bCs/>
      <w:szCs w:val="22"/>
      <w:lang w:eastAsia="bg-BG"/>
    </w:rPr>
  </w:style>
  <w:style w:type="character" w:customStyle="1" w:styleId="Heading7Char">
    <w:name w:val="Heading 7 Char"/>
    <w:basedOn w:val="DefaultParagraphFont"/>
    <w:link w:val="Heading7"/>
    <w:rsid w:val="00F4754B"/>
    <w:rPr>
      <w:sz w:val="24"/>
      <w:szCs w:val="24"/>
      <w:lang w:eastAsia="bg-BG"/>
    </w:rPr>
  </w:style>
  <w:style w:type="character" w:customStyle="1" w:styleId="Heading8Char">
    <w:name w:val="Heading 8 Char"/>
    <w:basedOn w:val="DefaultParagraphFont"/>
    <w:link w:val="Heading8"/>
    <w:rsid w:val="00F4754B"/>
    <w:rPr>
      <w:i/>
      <w:iCs/>
      <w:sz w:val="24"/>
      <w:szCs w:val="24"/>
      <w:lang w:eastAsia="bg-BG"/>
    </w:rPr>
  </w:style>
  <w:style w:type="character" w:customStyle="1" w:styleId="Heading9Char">
    <w:name w:val="Heading 9 Char"/>
    <w:basedOn w:val="DefaultParagraphFont"/>
    <w:link w:val="Heading9"/>
    <w:rsid w:val="00F4754B"/>
    <w:rPr>
      <w:rFonts w:ascii="Verdana" w:hAnsi="Verdana" w:cs="Arial"/>
      <w:szCs w:val="22"/>
      <w:lang w:eastAsia="bg-BG"/>
    </w:rPr>
  </w:style>
  <w:style w:type="character" w:customStyle="1" w:styleId="Heading1Char">
    <w:name w:val="Heading 1 Char"/>
    <w:basedOn w:val="DefaultParagraphFont"/>
    <w:link w:val="Heading1"/>
    <w:rsid w:val="00F4754B"/>
    <w:rPr>
      <w:rFonts w:ascii="Arial" w:hAnsi="Arial"/>
      <w:color w:val="48748F" w:themeColor="accent1"/>
      <w:sz w:val="36"/>
      <w:lang w:eastAsia="bg-BG"/>
    </w:rPr>
  </w:style>
  <w:style w:type="character" w:customStyle="1" w:styleId="Heading2Char">
    <w:name w:val="Heading 2 Char"/>
    <w:basedOn w:val="DefaultParagraphFont"/>
    <w:link w:val="Heading2"/>
    <w:rsid w:val="00F4754B"/>
    <w:rPr>
      <w:rFonts w:ascii="Arial" w:hAnsi="Arial"/>
      <w:color w:val="48748F" w:themeColor="accent1"/>
      <w:sz w:val="24"/>
      <w:lang w:eastAsia="bg-BG"/>
    </w:rPr>
  </w:style>
  <w:style w:type="character" w:customStyle="1" w:styleId="Heading3Char">
    <w:name w:val="Heading 3 Char"/>
    <w:basedOn w:val="DefaultParagraphFont"/>
    <w:link w:val="Heading3"/>
    <w:rsid w:val="00F4754B"/>
    <w:rPr>
      <w:rFonts w:ascii="Arial" w:hAnsi="Arial"/>
      <w:b/>
      <w:color w:val="48748F" w:themeColor="accent1"/>
      <w:szCs w:val="22"/>
      <w:lang w:eastAsia="bg-BG"/>
    </w:rPr>
  </w:style>
  <w:style w:type="character" w:customStyle="1" w:styleId="Heading4Char">
    <w:name w:val="Heading 4 Char"/>
    <w:basedOn w:val="DefaultParagraphFont"/>
    <w:link w:val="Heading4"/>
    <w:rsid w:val="00F4754B"/>
    <w:rPr>
      <w:rFonts w:ascii="Arial" w:hAnsi="Arial"/>
      <w:color w:val="48748F" w:themeColor="accent1"/>
      <w:lang w:eastAsia="bg-BG"/>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bg-BG"/>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bg-BG"/>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bg-BG"/>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bg-BG"/>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bg-BG"/>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bg-BG"/>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bg-BG"/>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bg-BG"/>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bg-BG"/>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bg-BG" w:eastAsia="bg-BG"/>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bg-BG"/>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bg-BG" w:eastAsia="bg-BG" w:bidi="bg-BG"/>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bg-BG"/>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bg-BG"/>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bg-BG"/>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bg-BG"/>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bg-BG"/>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FFE63F-1C4D-4A6E-A47A-A0626FE4584B}">
  <ds:schemaRefs>
    <ds:schemaRef ds:uri="http://schemas.openxmlformats.org/officeDocument/2006/bibliography"/>
  </ds:schemaRefs>
</ds:datastoreItem>
</file>

<file path=customXml/itemProps2.xml><?xml version="1.0" encoding="utf-8"?>
<ds:datastoreItem xmlns:ds="http://schemas.openxmlformats.org/officeDocument/2006/customXml" ds:itemID="{868EBD5A-FD39-4316-BDC8-9C5F1AD8D0F6}">
  <ds:schemaRefs>
    <ds:schemaRef ds:uri="http://schemas.openxmlformats.org/officeDocument/2006/bibliography"/>
  </ds:schemaRefs>
</ds:datastoreItem>
</file>

<file path=customXml/itemProps3.xml><?xml version="1.0" encoding="utf-8"?>
<ds:datastoreItem xmlns:ds="http://schemas.openxmlformats.org/officeDocument/2006/customXml" ds:itemID="{FE931A12-CF1C-497A-B4FE-CD4CA3FE1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49</Pages>
  <Words>18212</Words>
  <Characters>109999</Characters>
  <Application>Microsoft Office Word</Application>
  <DocSecurity>0</DocSecurity>
  <Lines>3055</Lines>
  <Paragraphs>1282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126929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TOLCHEV Kaloyan (DGT)</cp:lastModifiedBy>
  <cp:revision>14</cp:revision>
  <cp:lastPrinted>2015-04-10T08:05:00Z</cp:lastPrinted>
  <dcterms:created xsi:type="dcterms:W3CDTF">2018-02-06T16:20:00Z</dcterms:created>
  <dcterms:modified xsi:type="dcterms:W3CDTF">2018-09-05T08:48:00Z</dcterms:modified>
</cp:coreProperties>
</file>