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A10F09" w:rsidRDefault="00D22435" w:rsidP="00C93BCF">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9C6202E-491B-409B-8B26-899CE2AB56F8" style="width:450.75pt;height:381.75pt">
            <v:imagedata r:id="rId8" o:title=""/>
          </v:shape>
        </w:pict>
      </w:r>
    </w:p>
    <w:p w:rsidR="00075C77" w:rsidRPr="00A10F09" w:rsidRDefault="00075C77">
      <w:pPr>
        <w:sectPr w:rsidR="00075C77" w:rsidRPr="00A10F09" w:rsidSect="00C93BCF">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A10F09" w:rsidRDefault="00C93BCF" w:rsidP="00C93BCF">
      <w:pPr>
        <w:pStyle w:val="Typedudocument"/>
      </w:pPr>
      <w:r w:rsidRPr="00C93BCF">
        <w:t>UITVOERINGSVERORDENING (EU) …/... VAN DE COMMISSIE</w:t>
      </w:r>
    </w:p>
    <w:p w:rsidR="00075C77" w:rsidRPr="00A10F09" w:rsidRDefault="00C93BCF" w:rsidP="00C93BCF">
      <w:pPr>
        <w:pStyle w:val="Datedadoption"/>
      </w:pPr>
      <w:r w:rsidRPr="00C93BCF">
        <w:t xml:space="preserve">van </w:t>
      </w:r>
      <w:r w:rsidRPr="00C93BCF">
        <w:rPr>
          <w:rStyle w:val="Marker2"/>
        </w:rPr>
        <w:t>XXX</w:t>
      </w:r>
    </w:p>
    <w:p w:rsidR="00075C77" w:rsidRDefault="00C93BCF" w:rsidP="00C93BCF">
      <w:pPr>
        <w:pStyle w:val="Titreobjet"/>
      </w:pPr>
      <w:r w:rsidRPr="00C93BCF">
        <w:t>tot wijziging van Uitvoeringsverordening (EU) nr. 680/2014 wat prudente waardering ten behoeve van de rapportage voor toezichtdoeleinden betreft</w:t>
      </w:r>
    </w:p>
    <w:p w:rsidR="003144E2" w:rsidRPr="003144E2" w:rsidRDefault="00C93BCF" w:rsidP="00C93BCF">
      <w:pPr>
        <w:pStyle w:val="IntrtEEE"/>
      </w:pPr>
      <w:r w:rsidRPr="00C93BCF">
        <w:t>(Voor de EER relevante tekst)</w:t>
      </w:r>
    </w:p>
    <w:p w:rsidR="00075C77" w:rsidRPr="00A10F09" w:rsidRDefault="00075C77" w:rsidP="004E1EF9">
      <w:pPr>
        <w:pStyle w:val="Institutionquiagit"/>
      </w:pPr>
      <w:r w:rsidRPr="00A10F09">
        <w:t>DE EUROPESE COMMISSIE,</w:t>
      </w:r>
    </w:p>
    <w:p w:rsidR="00075C77" w:rsidRPr="00A10F09" w:rsidRDefault="00075C77" w:rsidP="004E1EF9">
      <w:r w:rsidRPr="00A10F09">
        <w:t>Gezien het Verdrag betreffende de werking van de Europese Unie,</w:t>
      </w:r>
    </w:p>
    <w:p w:rsidR="00075C77" w:rsidRPr="00A10F09" w:rsidRDefault="00075C77" w:rsidP="004E1EF9">
      <w:r w:rsidRPr="00A10F09">
        <w:t xml:space="preserve">Gezien Verordening (EU) nr. </w:t>
      </w:r>
      <w:r w:rsidRPr="00A579CC">
        <w:t>575</w:t>
      </w:r>
      <w:r w:rsidRPr="00A10F09">
        <w:t>/</w:t>
      </w:r>
      <w:r w:rsidRPr="00A579CC">
        <w:t>2013</w:t>
      </w:r>
      <w:r w:rsidRPr="00A10F09">
        <w:t xml:space="preserve"> van het Europees Parlement en de Raad van </w:t>
      </w:r>
      <w:r w:rsidRPr="00A579CC">
        <w:t>26</w:t>
      </w:r>
      <w:r w:rsidRPr="00A10F09">
        <w:t xml:space="preserve"> juni </w:t>
      </w:r>
      <w:r w:rsidRPr="00A579CC">
        <w:t>2013</w:t>
      </w:r>
      <w:r w:rsidRPr="00A10F09">
        <w:t xml:space="preserve"> betreffende prudentiële vereisten voor kredietinstellingen en beleggingsondernemingen en tot wijziging van Verordening (EU) nr. </w:t>
      </w:r>
      <w:r w:rsidRPr="00A579CC">
        <w:t>648</w:t>
      </w:r>
      <w:r w:rsidRPr="00A10F09">
        <w:t>/</w:t>
      </w:r>
      <w:r w:rsidRPr="00A579CC">
        <w:t>2012</w:t>
      </w:r>
      <w:r w:rsidRPr="00A10F09">
        <w:rPr>
          <w:rStyle w:val="FootnoteReference"/>
        </w:rPr>
        <w:footnoteReference w:id="2"/>
      </w:r>
      <w:r w:rsidRPr="00A10F09">
        <w:t>, en met name artikel </w:t>
      </w:r>
      <w:r w:rsidRPr="00A579CC">
        <w:t>99</w:t>
      </w:r>
      <w:r w:rsidRPr="00A10F09">
        <w:t>, lid </w:t>
      </w:r>
      <w:r w:rsidRPr="00A579CC">
        <w:t>5</w:t>
      </w:r>
      <w:r w:rsidRPr="00A10F09">
        <w:t>, vierde alinea, artikel </w:t>
      </w:r>
      <w:r w:rsidRPr="00A579CC">
        <w:t>99</w:t>
      </w:r>
      <w:r w:rsidRPr="00A10F09">
        <w:t>, lid </w:t>
      </w:r>
      <w:r w:rsidRPr="00A579CC">
        <w:t>6</w:t>
      </w:r>
      <w:r w:rsidRPr="00A10F09">
        <w:t>, vierde alinea, artikel </w:t>
      </w:r>
      <w:r w:rsidRPr="00A579CC">
        <w:t>394</w:t>
      </w:r>
      <w:r w:rsidRPr="00A10F09">
        <w:t>, lid </w:t>
      </w:r>
      <w:r w:rsidRPr="00A579CC">
        <w:t>4</w:t>
      </w:r>
      <w:r w:rsidRPr="00A10F09">
        <w:t>, derde alinea, artikel </w:t>
      </w:r>
      <w:r w:rsidRPr="00A579CC">
        <w:t>415</w:t>
      </w:r>
      <w:r w:rsidRPr="00A10F09">
        <w:t>, lid </w:t>
      </w:r>
      <w:r w:rsidRPr="00A579CC">
        <w:t>3</w:t>
      </w:r>
      <w:r w:rsidRPr="00A10F09">
        <w:t>, vierde alinea, en artikel </w:t>
      </w:r>
      <w:r w:rsidRPr="00A579CC">
        <w:t>430</w:t>
      </w:r>
      <w:r w:rsidRPr="00A10F09">
        <w:t>, lid </w:t>
      </w:r>
      <w:r w:rsidRPr="00A579CC">
        <w:t>2</w:t>
      </w:r>
      <w:r w:rsidRPr="00A10F09">
        <w:t>, derde alinea,</w:t>
      </w:r>
    </w:p>
    <w:p w:rsidR="00075C77" w:rsidRPr="00A10F09" w:rsidRDefault="00075C77" w:rsidP="004E1EF9">
      <w:r w:rsidRPr="00A10F09">
        <w:t>Overwegende hetgeen volgt:</w:t>
      </w:r>
    </w:p>
    <w:p w:rsidR="00075C77" w:rsidRPr="00A10F09" w:rsidRDefault="00075C77" w:rsidP="003C1FB8">
      <w:pPr>
        <w:pStyle w:val="Considrant"/>
        <w:numPr>
          <w:ilvl w:val="0"/>
          <w:numId w:val="1"/>
        </w:numPr>
        <w:rPr>
          <w:noProof/>
          <w:color w:val="000000"/>
        </w:rPr>
      </w:pPr>
      <w:r w:rsidRPr="00A10F09">
        <w:rPr>
          <w:noProof/>
          <w:color w:val="000000"/>
        </w:rPr>
        <w:t xml:space="preserve">Uitvoeringsverordening (EU) nr. </w:t>
      </w:r>
      <w:r w:rsidRPr="00A579CC">
        <w:rPr>
          <w:noProof/>
          <w:color w:val="000000"/>
        </w:rPr>
        <w:t>680</w:t>
      </w:r>
      <w:r w:rsidRPr="00A10F09">
        <w:rPr>
          <w:noProof/>
          <w:color w:val="000000"/>
        </w:rPr>
        <w:t>/</w:t>
      </w:r>
      <w:r w:rsidRPr="00A579CC">
        <w:rPr>
          <w:noProof/>
          <w:color w:val="000000"/>
        </w:rPr>
        <w:t>2014</w:t>
      </w:r>
      <w:r w:rsidRPr="00A10F09">
        <w:rPr>
          <w:noProof/>
          <w:color w:val="000000"/>
        </w:rPr>
        <w:t xml:space="preserve"> van de Commissie</w:t>
      </w:r>
      <w:r w:rsidRPr="00A10F09">
        <w:rPr>
          <w:rStyle w:val="FootnoteReference"/>
          <w:noProof/>
          <w:color w:val="000000"/>
        </w:rPr>
        <w:footnoteReference w:id="3"/>
      </w:r>
      <w:r w:rsidRPr="00A10F09">
        <w:rPr>
          <w:noProof/>
          <w:color w:val="000000"/>
        </w:rPr>
        <w:t xml:space="preserve"> specificeert de modaliteiten overeenkomstig welke instellingen informatie moeten rapporteren die relevant is voor hun naleving van Verordening (EU) nr. </w:t>
      </w:r>
      <w:r w:rsidRPr="00A579CC">
        <w:rPr>
          <w:noProof/>
          <w:color w:val="000000"/>
        </w:rPr>
        <w:t>575</w:t>
      </w:r>
      <w:r w:rsidRPr="00A10F09">
        <w:rPr>
          <w:noProof/>
          <w:color w:val="000000"/>
        </w:rPr>
        <w:t>/</w:t>
      </w:r>
      <w:r w:rsidRPr="00A579CC">
        <w:rPr>
          <w:noProof/>
          <w:color w:val="000000"/>
        </w:rPr>
        <w:t>2013</w:t>
      </w:r>
      <w:r w:rsidRPr="00A10F09">
        <w:rPr>
          <w:noProof/>
          <w:color w:val="000000"/>
        </w:rPr>
        <w:t xml:space="preserve">. Niet-essentiële onderdelen van het bij Verordening (EU) nr. </w:t>
      </w:r>
      <w:r w:rsidRPr="00A579CC">
        <w:rPr>
          <w:noProof/>
          <w:color w:val="000000"/>
        </w:rPr>
        <w:t>575</w:t>
      </w:r>
      <w:r w:rsidRPr="00A10F09">
        <w:rPr>
          <w:noProof/>
          <w:color w:val="000000"/>
        </w:rPr>
        <w:t>/</w:t>
      </w:r>
      <w:r w:rsidRPr="00A579CC">
        <w:rPr>
          <w:noProof/>
          <w:color w:val="000000"/>
        </w:rPr>
        <w:t>2013</w:t>
      </w:r>
      <w:r w:rsidRPr="00A10F09">
        <w:rPr>
          <w:noProof/>
          <w:color w:val="000000"/>
        </w:rPr>
        <w:t xml:space="preserve"> ingestelde regelgevingskader worden geleidelijk aangevuld en gewijzigd door de vaststelling van verdere technische reguleringsnormen. Uitvoeringsverordening (EU) nr. </w:t>
      </w:r>
      <w:r w:rsidRPr="00A579CC">
        <w:rPr>
          <w:noProof/>
          <w:color w:val="000000"/>
        </w:rPr>
        <w:t>680</w:t>
      </w:r>
      <w:r w:rsidRPr="00A10F09">
        <w:rPr>
          <w:noProof/>
          <w:color w:val="000000"/>
        </w:rPr>
        <w:t>/</w:t>
      </w:r>
      <w:r w:rsidRPr="00A579CC">
        <w:rPr>
          <w:noProof/>
          <w:color w:val="000000"/>
        </w:rPr>
        <w:t>2014</w:t>
      </w:r>
      <w:r w:rsidRPr="00A10F09">
        <w:rPr>
          <w:noProof/>
          <w:color w:val="000000"/>
        </w:rPr>
        <w:t xml:space="preserve"> moet worden bijgewerkt om met die wijzigingen rekening te houden.</w:t>
      </w:r>
    </w:p>
    <w:p w:rsidR="00075C77" w:rsidRPr="00A10F09" w:rsidRDefault="00075C77" w:rsidP="00075C77">
      <w:pPr>
        <w:pStyle w:val="Considrant"/>
        <w:rPr>
          <w:color w:val="000000"/>
        </w:rPr>
      </w:pPr>
      <w:r w:rsidRPr="00A10F09">
        <w:rPr>
          <w:color w:val="000000"/>
        </w:rPr>
        <w:t xml:space="preserve">Verordening (EU) nr. </w:t>
      </w:r>
      <w:r w:rsidRPr="00A579CC">
        <w:rPr>
          <w:color w:val="000000"/>
        </w:rPr>
        <w:t>575</w:t>
      </w:r>
      <w:r w:rsidRPr="00A10F09">
        <w:rPr>
          <w:color w:val="000000"/>
        </w:rPr>
        <w:t>/</w:t>
      </w:r>
      <w:r w:rsidRPr="00A579CC">
        <w:rPr>
          <w:color w:val="000000"/>
        </w:rPr>
        <w:t>2013</w:t>
      </w:r>
      <w:r w:rsidRPr="00A10F09">
        <w:rPr>
          <w:color w:val="000000"/>
        </w:rPr>
        <w:t xml:space="preserve"> is aangevuld door de vaststelling van Gedelegeerde Verordening (EU) </w:t>
      </w:r>
      <w:r w:rsidRPr="00A579CC">
        <w:rPr>
          <w:color w:val="000000"/>
        </w:rPr>
        <w:t>2016</w:t>
      </w:r>
      <w:r w:rsidRPr="00A10F09">
        <w:rPr>
          <w:color w:val="000000"/>
        </w:rPr>
        <w:t>/</w:t>
      </w:r>
      <w:r w:rsidRPr="00A579CC">
        <w:rPr>
          <w:color w:val="000000"/>
        </w:rPr>
        <w:t>101</w:t>
      </w:r>
      <w:r w:rsidRPr="00A10F09">
        <w:rPr>
          <w:color w:val="000000"/>
        </w:rPr>
        <w:t xml:space="preserve"> van de Commissie</w:t>
      </w:r>
      <w:r w:rsidRPr="00A10F09">
        <w:rPr>
          <w:rStyle w:val="FootnoteReference"/>
          <w:color w:val="000000"/>
        </w:rPr>
        <w:footnoteReference w:id="4"/>
      </w:r>
      <w:r w:rsidRPr="00A10F09">
        <w:rPr>
          <w:color w:val="000000"/>
        </w:rPr>
        <w:t xml:space="preserve">, met betrekking tot prudente waardering, en door Verordening (EU) </w:t>
      </w:r>
      <w:r w:rsidRPr="00A579CC">
        <w:rPr>
          <w:color w:val="000000"/>
        </w:rPr>
        <w:t>2017</w:t>
      </w:r>
      <w:r w:rsidRPr="00A10F09">
        <w:rPr>
          <w:color w:val="000000"/>
        </w:rPr>
        <w:t>/</w:t>
      </w:r>
      <w:r w:rsidRPr="00A579CC">
        <w:rPr>
          <w:color w:val="000000"/>
        </w:rPr>
        <w:t>2401</w:t>
      </w:r>
      <w:r w:rsidRPr="00A10F09">
        <w:rPr>
          <w:color w:val="000000"/>
        </w:rPr>
        <w:t xml:space="preserve"> van het Europees Parlement en de Raad</w:t>
      </w:r>
      <w:r w:rsidRPr="00A10F09">
        <w:rPr>
          <w:rStyle w:val="FootnoteReference"/>
          <w:color w:val="000000"/>
        </w:rPr>
        <w:footnoteReference w:id="5"/>
      </w:r>
      <w:r w:rsidRPr="00A10F09">
        <w:rPr>
          <w:color w:val="000000"/>
        </w:rPr>
        <w:t xml:space="preserve">, met betrekking tot securitisatie. Uitvoeringsverordening (EU) nr. </w:t>
      </w:r>
      <w:r w:rsidRPr="00A579CC">
        <w:rPr>
          <w:color w:val="000000"/>
        </w:rPr>
        <w:t>680</w:t>
      </w:r>
      <w:r w:rsidRPr="00A10F09">
        <w:rPr>
          <w:color w:val="000000"/>
        </w:rPr>
        <w:t>/</w:t>
      </w:r>
      <w:r w:rsidRPr="00A579CC">
        <w:rPr>
          <w:color w:val="000000"/>
        </w:rPr>
        <w:t>2014</w:t>
      </w:r>
      <w:r w:rsidRPr="00A10F09">
        <w:rPr>
          <w:color w:val="000000"/>
        </w:rPr>
        <w:t xml:space="preserve"> moet worden bijgewerkt om met die wijzigingen rekening te houden en om de instructies en definities ten behoeve van de rapportage voor toezichtdoeleinden door de instellingen nader te preciseren. Bepaalde verwijzingen en inconsistenties in de formattering, waarvan in de loop van de toepassing van Uitvoeringsverordening (EU) nr. </w:t>
      </w:r>
      <w:r w:rsidRPr="00A579CC">
        <w:rPr>
          <w:color w:val="000000"/>
        </w:rPr>
        <w:t>680</w:t>
      </w:r>
      <w:r w:rsidRPr="00A10F09">
        <w:rPr>
          <w:color w:val="000000"/>
        </w:rPr>
        <w:t>/</w:t>
      </w:r>
      <w:r w:rsidRPr="00A579CC">
        <w:rPr>
          <w:color w:val="000000"/>
        </w:rPr>
        <w:t>2014</w:t>
      </w:r>
      <w:r w:rsidRPr="00A10F09">
        <w:rPr>
          <w:color w:val="000000"/>
        </w:rPr>
        <w:t xml:space="preserve"> werd vastgesteld dat ze misleidend zijn, moeten ook worden verduidelijkt.</w:t>
      </w:r>
    </w:p>
    <w:p w:rsidR="00075C77" w:rsidRPr="00A10F09" w:rsidRDefault="00195568" w:rsidP="00075C77">
      <w:pPr>
        <w:pStyle w:val="Considrant"/>
        <w:rPr>
          <w:noProof/>
          <w:color w:val="000000"/>
        </w:rPr>
      </w:pPr>
      <w:r w:rsidRPr="00A10F09">
        <w:rPr>
          <w:noProof/>
          <w:color w:val="000000"/>
        </w:rPr>
        <w:t xml:space="preserve">Gedelegeerde Verordening (EU) </w:t>
      </w:r>
      <w:r w:rsidRPr="00A579CC">
        <w:rPr>
          <w:noProof/>
          <w:color w:val="000000"/>
        </w:rPr>
        <w:t>2016</w:t>
      </w:r>
      <w:r w:rsidRPr="00A10F09">
        <w:rPr>
          <w:noProof/>
          <w:color w:val="000000"/>
        </w:rPr>
        <w:t>/</w:t>
      </w:r>
      <w:r w:rsidRPr="00A579CC">
        <w:rPr>
          <w:noProof/>
          <w:color w:val="000000"/>
        </w:rPr>
        <w:t>101</w:t>
      </w:r>
      <w:r w:rsidRPr="00A10F09">
        <w:rPr>
          <w:noProof/>
          <w:color w:val="000000"/>
        </w:rPr>
        <w:t xml:space="preserve"> van de Commissie stelt vereisten vast betreffende prudente waardeaanpassingen van tegen reële waarde gewaardeerde posities. Zij voorziet in twee benaderingen voor de toepassing van de vereisten op het gebied van prudente waardering: een kernbenadering en een vereenvoudigde benadering. Om te monitoren hoe de instellingen die vereisten naleven en om het effect van die verordening op waardeaanpassingen te beoordelen, moet worden voorzien in aanvullende rapportage met betrekking tot vereisten op het gebied van prudente waardering.</w:t>
      </w:r>
    </w:p>
    <w:p w:rsidR="00075C77" w:rsidRPr="00A10F09" w:rsidRDefault="00075C77" w:rsidP="00075C77">
      <w:pPr>
        <w:pStyle w:val="Considrant"/>
        <w:rPr>
          <w:noProof/>
          <w:color w:val="000000"/>
        </w:rPr>
      </w:pPr>
      <w:r w:rsidRPr="00A10F09">
        <w:rPr>
          <w:color w:val="000000"/>
        </w:rPr>
        <w:t xml:space="preserve">Verordening (EU) </w:t>
      </w:r>
      <w:r w:rsidRPr="00A579CC">
        <w:rPr>
          <w:color w:val="000000"/>
        </w:rPr>
        <w:t>2017</w:t>
      </w:r>
      <w:r w:rsidRPr="00A10F09">
        <w:rPr>
          <w:color w:val="000000"/>
        </w:rPr>
        <w:t>/</w:t>
      </w:r>
      <w:r w:rsidRPr="00A579CC">
        <w:rPr>
          <w:color w:val="000000"/>
        </w:rPr>
        <w:t>2401</w:t>
      </w:r>
      <w:r w:rsidRPr="00A10F09">
        <w:rPr>
          <w:color w:val="000000"/>
        </w:rPr>
        <w:t xml:space="preserve"> wijzigt Verordening (EU) nr. </w:t>
      </w:r>
      <w:r w:rsidRPr="00A579CC">
        <w:rPr>
          <w:color w:val="000000"/>
        </w:rPr>
        <w:t>575</w:t>
      </w:r>
      <w:r w:rsidRPr="00A10F09">
        <w:rPr>
          <w:color w:val="000000"/>
        </w:rPr>
        <w:t>/</w:t>
      </w:r>
      <w:r w:rsidRPr="00A579CC">
        <w:rPr>
          <w:color w:val="000000"/>
        </w:rPr>
        <w:t>2013</w:t>
      </w:r>
      <w:r w:rsidRPr="00A10F09">
        <w:rPr>
          <w:color w:val="000000"/>
        </w:rPr>
        <w:t xml:space="preserve"> om de vermogensbehandeling van securitisaties risicogevoeliger te maken en het mogelijk te maken dat de vermogensbehandeling de specifieke kenmerken van eenvoudige, transparante en gestandaardiseerde securitisaties correct weergeeft. Uitvoeringsverordening (EU) nr. </w:t>
      </w:r>
      <w:r w:rsidRPr="00A579CC">
        <w:rPr>
          <w:color w:val="000000"/>
        </w:rPr>
        <w:t>680</w:t>
      </w:r>
      <w:r w:rsidRPr="00A10F09">
        <w:rPr>
          <w:color w:val="000000"/>
        </w:rPr>
        <w:t>/</w:t>
      </w:r>
      <w:r w:rsidRPr="00A579CC">
        <w:rPr>
          <w:color w:val="000000"/>
        </w:rPr>
        <w:t>2014</w:t>
      </w:r>
      <w:r w:rsidRPr="00A10F09">
        <w:rPr>
          <w:color w:val="000000"/>
        </w:rPr>
        <w:t xml:space="preserve"> moet worden gewijzigd om de rapportage over securitisatieposities die onder dit herziene securitisatiekader vallen, mogelijk te maken.</w:t>
      </w:r>
    </w:p>
    <w:p w:rsidR="00075C77" w:rsidRPr="00A10F09" w:rsidRDefault="00075C77" w:rsidP="00075C77">
      <w:pPr>
        <w:pStyle w:val="Considrant"/>
        <w:rPr>
          <w:noProof/>
          <w:color w:val="000000"/>
        </w:rPr>
      </w:pPr>
      <w:r w:rsidRPr="00A10F09">
        <w:rPr>
          <w:noProof/>
          <w:color w:val="000000"/>
        </w:rPr>
        <w:t xml:space="preserve">Uitvoeringsverordening (EU) nr. </w:t>
      </w:r>
      <w:r w:rsidRPr="00A579CC">
        <w:rPr>
          <w:noProof/>
          <w:color w:val="000000"/>
        </w:rPr>
        <w:t>680</w:t>
      </w:r>
      <w:r w:rsidRPr="00A10F09">
        <w:rPr>
          <w:noProof/>
          <w:color w:val="000000"/>
        </w:rPr>
        <w:t>/</w:t>
      </w:r>
      <w:r w:rsidRPr="00A579CC">
        <w:rPr>
          <w:noProof/>
          <w:color w:val="000000"/>
        </w:rPr>
        <w:t>2014</w:t>
      </w:r>
      <w:r w:rsidRPr="00A10F09">
        <w:rPr>
          <w:noProof/>
          <w:color w:val="000000"/>
        </w:rPr>
        <w:t xml:space="preserve"> moet voorts worden gewijzigd om de bevoegde autoriteiten beter in staat te stellen het risicoprofiel van instellingen doeltreffend te monitoren en te beoordelen en een beeld te krijgen van de risico's voor de financiële sector; daartoe zijn kleine wijzigingen van de rapportagevereisten over de geografische verdeling van blootstellingen nodig.</w:t>
      </w:r>
    </w:p>
    <w:p w:rsidR="00075C77" w:rsidRPr="00A10F09" w:rsidRDefault="00075C77" w:rsidP="00075C77">
      <w:pPr>
        <w:pStyle w:val="Considrant"/>
        <w:rPr>
          <w:noProof/>
        </w:rPr>
      </w:pPr>
      <w:r w:rsidRPr="00A10F09">
        <w:t>Deze verordening is gebaseerd op de ontwerpen van technische uitvoeringsnormen die de Europese Bankautoriteit (EBA) aan</w:t>
      </w:r>
      <w:r w:rsidR="00DB2690" w:rsidRPr="00A10F09">
        <w:t xml:space="preserve"> de Commissie heeft voorgelegd.</w:t>
      </w:r>
    </w:p>
    <w:p w:rsidR="00075C77" w:rsidRPr="00A10F09" w:rsidRDefault="00075C77" w:rsidP="00075C77">
      <w:pPr>
        <w:pStyle w:val="Considrant"/>
        <w:rPr>
          <w:noProof/>
        </w:rPr>
      </w:pPr>
      <w:r w:rsidRPr="00A10F09">
        <w:t>EBA heeft openbare publieksraadplegingen gehouden over de ontwerpen van technische uitvoeringsnormen waarop deze verordening is gebaseerd en die betrekking hebben op prudente waardering en de totale geografische uitsplitsing, en heeft de mogelijke desbetreffende kosten en baten geanalyseerd en het advies van de in overeenstemming met artikel </w:t>
      </w:r>
      <w:r w:rsidRPr="00A579CC">
        <w:t>37</w:t>
      </w:r>
      <w:r w:rsidRPr="00A10F09">
        <w:t xml:space="preserve"> van Verordening (EU) nr. </w:t>
      </w:r>
      <w:r w:rsidRPr="00A579CC">
        <w:t>1093</w:t>
      </w:r>
      <w:r w:rsidRPr="00A10F09">
        <w:t>/</w:t>
      </w:r>
      <w:r w:rsidRPr="00A579CC">
        <w:t>2010</w:t>
      </w:r>
      <w:r w:rsidRPr="00A10F09">
        <w:t xml:space="preserve"> van het Europees Parlement en de Raad</w:t>
      </w:r>
      <w:r w:rsidRPr="00A10F09">
        <w:rPr>
          <w:rStyle w:val="FootnoteReference"/>
          <w:noProof/>
        </w:rPr>
        <w:footnoteReference w:id="6"/>
      </w:r>
      <w:r w:rsidRPr="00A10F09">
        <w:t xml:space="preserve"> opgerichte Stakeholdergroep Bankwezen ingewonnen. Overeenkomstig artikel </w:t>
      </w:r>
      <w:r w:rsidRPr="00A579CC">
        <w:t>15</w:t>
      </w:r>
      <w:r w:rsidRPr="00A10F09">
        <w:t>, lid </w:t>
      </w:r>
      <w:r w:rsidRPr="00A579CC">
        <w:t>1</w:t>
      </w:r>
      <w:r w:rsidRPr="00A10F09">
        <w:t>, tweede alinea, van die verordening heeft EBA geen andere openbare publieksraadpleging gehouden met betrekking tot die delen van de ontwerpen van technische uitvoeringsnormen waarop deze verordening is gebaseerd, die ofwel redactioneel van aard zijn ofwel slechts een beperkt aantal punten in het kader voor rapportage voor toezichtdoeleinden invoeren, omdat een dergelijke raadpleging niet in een evenredige verhouding zou staan tot het toepassingsgebied en het effect van de ontwerpen van de technische uitvoeringsnormen in kwestie.</w:t>
      </w:r>
    </w:p>
    <w:p w:rsidR="00075C77" w:rsidRPr="00A10F09" w:rsidRDefault="00075C77" w:rsidP="00075C77">
      <w:pPr>
        <w:pStyle w:val="Considrant"/>
      </w:pPr>
      <w:r w:rsidRPr="00A10F09">
        <w:t xml:space="preserve">Uitvoeringsverordening (EU) nr. </w:t>
      </w:r>
      <w:r w:rsidRPr="00A579CC">
        <w:t>680</w:t>
      </w:r>
      <w:r w:rsidRPr="00A10F09">
        <w:t>/</w:t>
      </w:r>
      <w:r w:rsidRPr="00A579CC">
        <w:t>2014</w:t>
      </w:r>
      <w:r w:rsidRPr="00A10F09">
        <w:t xml:space="preserve"> moet derhalve dienovereenkomstig worden gewijzigd,</w:t>
      </w:r>
    </w:p>
    <w:p w:rsidR="00075C77" w:rsidRPr="00A10F09" w:rsidRDefault="00075C77" w:rsidP="004E1EF9">
      <w:pPr>
        <w:pStyle w:val="Formuledadoption"/>
      </w:pPr>
      <w:r w:rsidRPr="00A10F09">
        <w:t>HEEFT DE VOLGENDE VERORDENING VASTGESTELD:</w:t>
      </w:r>
    </w:p>
    <w:p w:rsidR="00075C77" w:rsidRPr="00A10F09" w:rsidRDefault="00075C77" w:rsidP="004E1EF9">
      <w:pPr>
        <w:pStyle w:val="Titrearticle"/>
      </w:pPr>
      <w:r w:rsidRPr="00A10F09">
        <w:t xml:space="preserve">Artikel </w:t>
      </w:r>
      <w:r w:rsidRPr="00A579CC">
        <w:t>1</w:t>
      </w:r>
    </w:p>
    <w:p w:rsidR="00075C77" w:rsidRPr="00A10F09" w:rsidRDefault="00075C77" w:rsidP="00075C77">
      <w:pPr>
        <w:rPr>
          <w:noProof/>
        </w:rPr>
      </w:pPr>
      <w:r w:rsidRPr="00A10F09">
        <w:t xml:space="preserve">Uitvoeringsverordening (EU) nr. </w:t>
      </w:r>
      <w:r w:rsidRPr="00A579CC">
        <w:t>680</w:t>
      </w:r>
      <w:r w:rsidRPr="00A10F09">
        <w:t>/</w:t>
      </w:r>
      <w:r w:rsidRPr="00A579CC">
        <w:t>2014</w:t>
      </w:r>
      <w:r w:rsidRPr="00A10F09">
        <w:t xml:space="preserve"> wordt als volgt gewijzigd:</w:t>
      </w:r>
    </w:p>
    <w:p w:rsidR="00591517" w:rsidRPr="00A10F09" w:rsidRDefault="00591517" w:rsidP="00591517">
      <w:pPr>
        <w:pStyle w:val="Point0number"/>
        <w:numPr>
          <w:ilvl w:val="0"/>
          <w:numId w:val="3"/>
        </w:numPr>
        <w:rPr>
          <w:noProof/>
        </w:rPr>
      </w:pPr>
      <w:r w:rsidRPr="00A10F09">
        <w:t>artikel </w:t>
      </w:r>
      <w:r w:rsidRPr="00A579CC">
        <w:t>5</w:t>
      </w:r>
      <w:r w:rsidRPr="00A10F09">
        <w:t xml:space="preserve"> wordt als volgt gewijzigd:</w:t>
      </w:r>
    </w:p>
    <w:p w:rsidR="00591517" w:rsidRPr="00A10F09" w:rsidRDefault="00591517" w:rsidP="00703993">
      <w:pPr>
        <w:pStyle w:val="Point1letter"/>
      </w:pPr>
      <w:r w:rsidRPr="00A10F09">
        <w:t>punt a) wordt als volgt gewijzigd:</w:t>
      </w:r>
    </w:p>
    <w:p w:rsidR="00075C77" w:rsidRPr="00A10F09" w:rsidRDefault="008F3946" w:rsidP="00BC47EF">
      <w:pPr>
        <w:pStyle w:val="Point1"/>
      </w:pPr>
      <w:r w:rsidRPr="00A10F09">
        <w:t xml:space="preserve">(i) </w:t>
      </w:r>
      <w:r w:rsidRPr="00A10F09">
        <w:tab/>
        <w:t>punt </w:t>
      </w:r>
      <w:r w:rsidRPr="00A579CC">
        <w:t>4</w:t>
      </w:r>
      <w:r w:rsidRPr="00A10F09">
        <w:t xml:space="preserve"> wordt vervangen door:</w:t>
      </w:r>
    </w:p>
    <w:p w:rsidR="00075C77" w:rsidRPr="00A10F09" w:rsidRDefault="00EA38CD" w:rsidP="00C34F30">
      <w:pPr>
        <w:pStyle w:val="Text2"/>
        <w:rPr>
          <w:noProof/>
        </w:rPr>
      </w:pPr>
      <w:r w:rsidRPr="00A10F09">
        <w:t>"</w:t>
      </w:r>
      <w:r w:rsidRPr="00A579CC">
        <w:t>4</w:t>
      </w:r>
      <w:r w:rsidRPr="00A10F09">
        <w:t>)</w:t>
      </w:r>
      <w:r w:rsidRPr="00A10F09">
        <w:tab/>
        <w:t>de informatie over de geografische verdeling van blootstellingen per land, zowel op geaggregeerd niveau als op totaal niveau, zoals gespecificeerd in template </w:t>
      </w:r>
      <w:r w:rsidRPr="00A579CC">
        <w:t>9</w:t>
      </w:r>
      <w:r w:rsidRPr="00A10F09">
        <w:t xml:space="preserve"> van bijlage I, overeenkomstig de instructies in deel II, punt </w:t>
      </w:r>
      <w:r w:rsidRPr="00A579CC">
        <w:t>3</w:t>
      </w:r>
      <w:r w:rsidRPr="00A10F09">
        <w:t>.</w:t>
      </w:r>
      <w:r w:rsidRPr="00A579CC">
        <w:t>4</w:t>
      </w:r>
      <w:r w:rsidRPr="00A10F09">
        <w:t>, van bijlage II. Met name met betrekking tot de in de templates </w:t>
      </w:r>
      <w:r w:rsidRPr="00A579CC">
        <w:t>9</w:t>
      </w:r>
      <w:r w:rsidRPr="00A10F09">
        <w:t>.</w:t>
      </w:r>
      <w:r w:rsidRPr="00A579CC">
        <w:t>1</w:t>
      </w:r>
      <w:r w:rsidRPr="00A10F09">
        <w:t xml:space="preserve"> en </w:t>
      </w:r>
      <w:r w:rsidRPr="00A579CC">
        <w:t>9</w:t>
      </w:r>
      <w:r w:rsidRPr="00A10F09">
        <w:t>.</w:t>
      </w:r>
      <w:r w:rsidRPr="00A579CC">
        <w:t>2</w:t>
      </w:r>
      <w:r w:rsidRPr="00A10F09">
        <w:t xml:space="preserve"> gespecificeerde informatie wordt informatie over de geografische verdeling van blootstellingen per land gerapporteerd, indien buitenlandse oorspronkelijke blootstellingen in alle landen "van het buitenland" in alle blootstellingscategorieën, zoals gerapporteerd in rij </w:t>
      </w:r>
      <w:r w:rsidRPr="00A579CC">
        <w:t>850</w:t>
      </w:r>
      <w:r w:rsidRPr="00A10F09">
        <w:t xml:space="preserve"> van template </w:t>
      </w:r>
      <w:r w:rsidRPr="00A579CC">
        <w:t>4</w:t>
      </w:r>
      <w:r w:rsidRPr="00A10F09">
        <w:t xml:space="preserve"> van bijlage I, ten minste </w:t>
      </w:r>
      <w:r w:rsidRPr="00A579CC">
        <w:t>10</w:t>
      </w:r>
      <w:r w:rsidRPr="00A10F09">
        <w:t> % uitmaken van de totale binnenlandse en buitenlandse oorspronkelijke blootstellingen, zoals gerapporteerd in rij </w:t>
      </w:r>
      <w:r w:rsidRPr="00A579CC">
        <w:t>860</w:t>
      </w:r>
      <w:r w:rsidRPr="00A10F09">
        <w:t xml:space="preserve"> van template </w:t>
      </w:r>
      <w:r w:rsidRPr="00A579CC">
        <w:t>4</w:t>
      </w:r>
      <w:r w:rsidRPr="00A10F09">
        <w:t xml:space="preserve"> van bijlage I. In dit verband worden blootstellingen geacht binnenlands te zijn indien het blootstellingen betreft aan tegenpartijen die gevestigd zijn in de lidstaat waar de instelling is gevestigd. De in artikel </w:t>
      </w:r>
      <w:r w:rsidRPr="00A579CC">
        <w:t>4</w:t>
      </w:r>
      <w:r w:rsidRPr="00A10F09">
        <w:t xml:space="preserve"> genoemde instap- en uitstapcriteria zijn van toepassing;";</w:t>
      </w:r>
    </w:p>
    <w:p w:rsidR="00075C77" w:rsidRPr="00A10F09" w:rsidRDefault="008F3946" w:rsidP="00BC47EF">
      <w:pPr>
        <w:pStyle w:val="Point1"/>
        <w:rPr>
          <w:noProof/>
        </w:rPr>
      </w:pPr>
      <w:r w:rsidRPr="00A10F09">
        <w:t xml:space="preserve">ii) </w:t>
      </w:r>
      <w:r w:rsidRPr="00A10F09">
        <w:tab/>
        <w:t xml:space="preserve">het volgende punt </w:t>
      </w:r>
      <w:r w:rsidRPr="00A579CC">
        <w:t>12</w:t>
      </w:r>
      <w:r w:rsidRPr="00A10F09">
        <w:t xml:space="preserve"> wordt toegevoegd:</w:t>
      </w:r>
    </w:p>
    <w:p w:rsidR="00075C77" w:rsidRPr="00A10F09" w:rsidRDefault="00EA38CD" w:rsidP="00C34F30">
      <w:pPr>
        <w:pStyle w:val="Text2"/>
        <w:rPr>
          <w:noProof/>
        </w:rPr>
      </w:pPr>
      <w:r w:rsidRPr="00A10F09">
        <w:t>"</w:t>
      </w:r>
      <w:r w:rsidRPr="00A579CC">
        <w:t>12</w:t>
      </w:r>
      <w:r w:rsidRPr="00A10F09">
        <w:t>)</w:t>
      </w:r>
      <w:r w:rsidRPr="00A10F09">
        <w:tab/>
        <w:t>de informatie over prudente waardering zoals gespecificeerd in template </w:t>
      </w:r>
      <w:r w:rsidRPr="00A579CC">
        <w:t>32</w:t>
      </w:r>
      <w:r w:rsidRPr="00A10F09">
        <w:t xml:space="preserve"> van bijlage I, overeenkomstig de instructies in deel II, punt </w:t>
      </w:r>
      <w:r w:rsidRPr="00A579CC">
        <w:t>6</w:t>
      </w:r>
      <w:r w:rsidRPr="00A10F09">
        <w:t>, van bijlage II, als volgt:</w:t>
      </w:r>
    </w:p>
    <w:p w:rsidR="00075C77" w:rsidRPr="00A10F09" w:rsidRDefault="008D3748" w:rsidP="00BC47EF">
      <w:pPr>
        <w:pStyle w:val="Text4"/>
        <w:rPr>
          <w:noProof/>
        </w:rPr>
      </w:pPr>
      <w:r w:rsidRPr="00A10F09">
        <w:t>(i) alle instellingen rapporteren de informatie zoals gespecificeerd in template </w:t>
      </w:r>
      <w:r w:rsidRPr="00A579CC">
        <w:t>32</w:t>
      </w:r>
      <w:r w:rsidRPr="00A10F09">
        <w:t>.</w:t>
      </w:r>
      <w:r w:rsidRPr="00A579CC">
        <w:t>1</w:t>
      </w:r>
      <w:r w:rsidRPr="00A10F09">
        <w:t xml:space="preserve"> van bijlage I, overeenkomstig de instructies in deel II, punt </w:t>
      </w:r>
      <w:r w:rsidRPr="00A579CC">
        <w:t>6</w:t>
      </w:r>
      <w:r w:rsidRPr="00A10F09">
        <w:t>, van bijlage II;</w:t>
      </w:r>
    </w:p>
    <w:p w:rsidR="00075C77" w:rsidRPr="00A10F09" w:rsidRDefault="008D3748" w:rsidP="00BC47EF">
      <w:pPr>
        <w:pStyle w:val="Text4"/>
        <w:rPr>
          <w:noProof/>
        </w:rPr>
      </w:pPr>
      <w:r w:rsidRPr="00A10F09">
        <w:t xml:space="preserve">(ii) naast de onder i) bedoelde rapportage rapporteren instellingen die de kernbenadering toepassen overeenkomstig Verordening (EU) </w:t>
      </w:r>
      <w:r w:rsidRPr="00A579CC">
        <w:t>2016</w:t>
      </w:r>
      <w:r w:rsidRPr="00A10F09">
        <w:t>/</w:t>
      </w:r>
      <w:r w:rsidRPr="00A579CC">
        <w:t>101</w:t>
      </w:r>
      <w:r w:rsidRPr="00A10F09">
        <w:t>, ook de informatie zoals gespecificeerd in template </w:t>
      </w:r>
      <w:r w:rsidRPr="00A579CC">
        <w:t>32</w:t>
      </w:r>
      <w:r w:rsidRPr="00A10F09">
        <w:t>.</w:t>
      </w:r>
      <w:r w:rsidRPr="00A579CC">
        <w:t>2</w:t>
      </w:r>
      <w:r w:rsidRPr="00A10F09">
        <w:t xml:space="preserve"> van bijlage I, overeenkomstig de instructies in deel II, punt </w:t>
      </w:r>
      <w:r w:rsidRPr="00A579CC">
        <w:t>6</w:t>
      </w:r>
      <w:r w:rsidRPr="00A10F09">
        <w:t>, van bijlage II;</w:t>
      </w:r>
    </w:p>
    <w:p w:rsidR="00075C77" w:rsidRPr="00A10F09" w:rsidRDefault="008D3748" w:rsidP="00BC47EF">
      <w:pPr>
        <w:pStyle w:val="Text4"/>
        <w:rPr>
          <w:noProof/>
        </w:rPr>
      </w:pPr>
      <w:r w:rsidRPr="00A10F09">
        <w:t xml:space="preserve">(iii) naast de onder i) en ii) bedoelde vereisten rapporteren instellingen die de kernbenadering toepassen overeenkomstig Verordening (EU) </w:t>
      </w:r>
      <w:r w:rsidRPr="00A579CC">
        <w:t>2016</w:t>
      </w:r>
      <w:r w:rsidRPr="00A10F09">
        <w:t>/</w:t>
      </w:r>
      <w:r w:rsidRPr="00A579CC">
        <w:t>101</w:t>
      </w:r>
      <w:r w:rsidRPr="00A10F09">
        <w:t xml:space="preserve"> en die de in artikel </w:t>
      </w:r>
      <w:r w:rsidRPr="00A579CC">
        <w:t>4</w:t>
      </w:r>
      <w:r w:rsidRPr="00A10F09">
        <w:t>, lid </w:t>
      </w:r>
      <w:r w:rsidRPr="00A579CC">
        <w:t>1</w:t>
      </w:r>
      <w:r w:rsidRPr="00A10F09">
        <w:t>, van die verordening bedoelde drempel overschrijden op hun respectieve rapportageniveau, ook de informatie zoals gespecificeerd in de templates </w:t>
      </w:r>
      <w:r w:rsidRPr="00A579CC">
        <w:t>32</w:t>
      </w:r>
      <w:r w:rsidRPr="00A10F09">
        <w:t>.</w:t>
      </w:r>
      <w:r w:rsidRPr="00A579CC">
        <w:t>3</w:t>
      </w:r>
      <w:r w:rsidRPr="00A10F09">
        <w:t xml:space="preserve"> en </w:t>
      </w:r>
      <w:r w:rsidRPr="00A579CC">
        <w:t>32</w:t>
      </w:r>
      <w:r w:rsidRPr="00A10F09">
        <w:t>.</w:t>
      </w:r>
      <w:r w:rsidRPr="00A579CC">
        <w:t>4</w:t>
      </w:r>
      <w:r w:rsidRPr="00A10F09">
        <w:t xml:space="preserve"> van bijlage I, overeenkomstig de instructies in deel II, punt </w:t>
      </w:r>
      <w:r w:rsidRPr="00A579CC">
        <w:t>6</w:t>
      </w:r>
      <w:r w:rsidRPr="00A10F09">
        <w:t>, van bijlage II.</w:t>
      </w:r>
    </w:p>
    <w:p w:rsidR="00075C77" w:rsidRPr="00A10F09" w:rsidRDefault="00591517" w:rsidP="00703993">
      <w:pPr>
        <w:pStyle w:val="Text2"/>
        <w:rPr>
          <w:noProof/>
        </w:rPr>
      </w:pPr>
      <w:r w:rsidRPr="00A10F09">
        <w:t>Voor de toepassing van punt </w:t>
      </w:r>
      <w:r w:rsidRPr="00A579CC">
        <w:t>12</w:t>
      </w:r>
      <w:r w:rsidRPr="00A10F09">
        <w:t xml:space="preserve"> van punt a) zijn de in artikel </w:t>
      </w:r>
      <w:r w:rsidRPr="00A579CC">
        <w:t>4</w:t>
      </w:r>
      <w:r w:rsidRPr="00A10F09">
        <w:t xml:space="preserve"> genoemde instap- en uitstapcriteria niet van toepassing.";</w:t>
      </w:r>
    </w:p>
    <w:p w:rsidR="00591517" w:rsidRPr="00A10F09" w:rsidRDefault="00591517" w:rsidP="00703993">
      <w:pPr>
        <w:pStyle w:val="Point1letter"/>
        <w:rPr>
          <w:noProof/>
        </w:rPr>
      </w:pPr>
      <w:r w:rsidRPr="00A10F09">
        <w:t>punt b) wordt als volgt gewijzigd:</w:t>
      </w:r>
    </w:p>
    <w:p w:rsidR="00075C77" w:rsidRPr="00A10F09" w:rsidRDefault="00075C77" w:rsidP="00BC47EF">
      <w:pPr>
        <w:pStyle w:val="Text1"/>
        <w:rPr>
          <w:noProof/>
        </w:rPr>
      </w:pPr>
      <w:r w:rsidRPr="00A10F09">
        <w:t>in punt </w:t>
      </w:r>
      <w:r w:rsidRPr="00A579CC">
        <w:t>3</w:t>
      </w:r>
      <w:r w:rsidRPr="00A10F09">
        <w:t xml:space="preserve"> worden onder a), b) en c) de woorden "deel II, punt </w:t>
      </w:r>
      <w:r w:rsidRPr="00A579CC">
        <w:t>6</w:t>
      </w:r>
      <w:r w:rsidRPr="00A10F09">
        <w:t>, van bijlage II" vervangen door de woorden "deel II, punt </w:t>
      </w:r>
      <w:r w:rsidRPr="00A579CC">
        <w:t>7</w:t>
      </w:r>
      <w:r w:rsidRPr="00A10F09">
        <w:t>, van bijlage II";</w:t>
      </w:r>
    </w:p>
    <w:p w:rsidR="00075C77" w:rsidRPr="00A10F09" w:rsidRDefault="00FA5963" w:rsidP="00075C77">
      <w:pPr>
        <w:pStyle w:val="Point0number"/>
        <w:rPr>
          <w:noProof/>
        </w:rPr>
      </w:pPr>
      <w:r w:rsidRPr="00A10F09">
        <w:t>in artikel </w:t>
      </w:r>
      <w:r w:rsidRPr="00A579CC">
        <w:t>9</w:t>
      </w:r>
      <w:r w:rsidRPr="00A10F09">
        <w:t>, lid </w:t>
      </w:r>
      <w:r w:rsidRPr="00A579CC">
        <w:t>2</w:t>
      </w:r>
      <w:r w:rsidRPr="00A10F09">
        <w:t>, wordt punt d) vervangen door:</w:t>
      </w:r>
    </w:p>
    <w:p w:rsidR="00075C77" w:rsidRPr="00A10F09" w:rsidRDefault="00EA38CD" w:rsidP="00C34F30">
      <w:pPr>
        <w:pStyle w:val="Text1"/>
        <w:rPr>
          <w:noProof/>
        </w:rPr>
      </w:pPr>
      <w:r w:rsidRPr="00A10F09">
        <w:t>"d)</w:t>
      </w:r>
      <w:r w:rsidRPr="00A10F09">
        <w:tab/>
        <w:t>de in template </w:t>
      </w:r>
      <w:r w:rsidRPr="00A579CC">
        <w:t>20</w:t>
      </w:r>
      <w:r w:rsidRPr="00A10F09">
        <w:t xml:space="preserve"> van deel </w:t>
      </w:r>
      <w:r w:rsidRPr="00A579CC">
        <w:t>2</w:t>
      </w:r>
      <w:r w:rsidRPr="00A10F09">
        <w:t xml:space="preserve"> van bijlage III gespecificeerde informatie met een driemaandelijkse frequentie wanneer de instelling de in artikel </w:t>
      </w:r>
      <w:r w:rsidRPr="00A579CC">
        <w:t>5</w:t>
      </w:r>
      <w:r w:rsidRPr="00A10F09">
        <w:t>, onder a), punt </w:t>
      </w:r>
      <w:r w:rsidRPr="00A579CC">
        <w:t>4</w:t>
      </w:r>
      <w:r w:rsidRPr="00A10F09">
        <w:t>, tweede zin, omschreven drempel overschrijdt. De in artikel </w:t>
      </w:r>
      <w:r w:rsidRPr="00A579CC">
        <w:t>4</w:t>
      </w:r>
      <w:r w:rsidRPr="00A10F09">
        <w:t xml:space="preserve"> genoemde instap- en uitstapcriteria zijn van toepassing;";</w:t>
      </w:r>
    </w:p>
    <w:p w:rsidR="00075C77" w:rsidRPr="00A10F09" w:rsidRDefault="00075C77" w:rsidP="00075C77">
      <w:pPr>
        <w:pStyle w:val="Point0number"/>
        <w:rPr>
          <w:noProof/>
        </w:rPr>
      </w:pPr>
      <w:r w:rsidRPr="00A10F09">
        <w:t xml:space="preserve">bijlage I bij Uitvoeringsverordening (EU) nr. </w:t>
      </w:r>
      <w:r w:rsidRPr="00A579CC">
        <w:t>680</w:t>
      </w:r>
      <w:r w:rsidRPr="00A10F09">
        <w:t>/</w:t>
      </w:r>
      <w:r w:rsidRPr="00A579CC">
        <w:t>2014</w:t>
      </w:r>
      <w:r w:rsidRPr="00A10F09">
        <w:t xml:space="preserve"> wordt vervangen door de tekst opgenomen in bijlage I bij deze verordening; </w:t>
      </w:r>
    </w:p>
    <w:p w:rsidR="00075C77" w:rsidRPr="00A10F09" w:rsidRDefault="00075C77" w:rsidP="00075C77">
      <w:pPr>
        <w:pStyle w:val="Point0number"/>
        <w:rPr>
          <w:noProof/>
        </w:rPr>
      </w:pPr>
      <w:r w:rsidRPr="00A10F09">
        <w:t xml:space="preserve">bijlage II bij Uitvoeringsverordening (EU) nr. </w:t>
      </w:r>
      <w:r w:rsidRPr="00A579CC">
        <w:t>680</w:t>
      </w:r>
      <w:r w:rsidRPr="00A10F09">
        <w:t>/</w:t>
      </w:r>
      <w:r w:rsidRPr="00A579CC">
        <w:t>2014</w:t>
      </w:r>
      <w:r w:rsidRPr="00A10F09">
        <w:t xml:space="preserve"> wordt vervangen door de tekst opgenomen in bijlage II bij deze verordening; </w:t>
      </w:r>
    </w:p>
    <w:p w:rsidR="00075C77" w:rsidRPr="00A10F09" w:rsidRDefault="00075C77" w:rsidP="00075C77">
      <w:pPr>
        <w:pStyle w:val="Point0number"/>
        <w:rPr>
          <w:noProof/>
        </w:rPr>
      </w:pPr>
      <w:r w:rsidRPr="00A10F09">
        <w:t>bijlage V bij Uitvoeringsverordening (EU) nr. </w:t>
      </w:r>
      <w:r w:rsidRPr="00A579CC">
        <w:t>680</w:t>
      </w:r>
      <w:r w:rsidRPr="00A10F09">
        <w:t>/</w:t>
      </w:r>
      <w:r w:rsidRPr="00A579CC">
        <w:t>2014</w:t>
      </w:r>
      <w:r w:rsidRPr="00A10F09">
        <w:t xml:space="preserve"> wordt vervangen door de tekst opgenomen in bijlage III bij deze verordening;</w:t>
      </w:r>
    </w:p>
    <w:p w:rsidR="00075C77" w:rsidRPr="00A10F09" w:rsidRDefault="00075C77" w:rsidP="00075C77">
      <w:pPr>
        <w:pStyle w:val="Point0number"/>
        <w:rPr>
          <w:noProof/>
        </w:rPr>
      </w:pPr>
      <w:r w:rsidRPr="00A10F09">
        <w:t xml:space="preserve">bijlage IX bij Uitvoeringsverordening (EU) nr. </w:t>
      </w:r>
      <w:r w:rsidRPr="00A579CC">
        <w:t>680</w:t>
      </w:r>
      <w:r w:rsidRPr="00A10F09">
        <w:t>/</w:t>
      </w:r>
      <w:r w:rsidRPr="00A579CC">
        <w:t>2014</w:t>
      </w:r>
      <w:r w:rsidRPr="00A10F09">
        <w:t xml:space="preserve"> wordt vervangen door de tekst opgenomen in bijlage IV bij deze verordening;</w:t>
      </w:r>
    </w:p>
    <w:p w:rsidR="00075C77" w:rsidRPr="00A10F09" w:rsidRDefault="00075C77" w:rsidP="00075C77">
      <w:pPr>
        <w:pStyle w:val="Point0number"/>
        <w:rPr>
          <w:noProof/>
        </w:rPr>
      </w:pPr>
      <w:r w:rsidRPr="00A10F09">
        <w:t xml:space="preserve">bijlage XI bij Uitvoeringsverordening (EU) nr. </w:t>
      </w:r>
      <w:r w:rsidRPr="00A579CC">
        <w:t>680</w:t>
      </w:r>
      <w:r w:rsidRPr="00A10F09">
        <w:t>/</w:t>
      </w:r>
      <w:r w:rsidRPr="00A579CC">
        <w:t>2014</w:t>
      </w:r>
      <w:r w:rsidRPr="00A10F09">
        <w:t xml:space="preserve"> wordt vervangen door de tekst opgenomen in bijlage V bij deze verordening;</w:t>
      </w:r>
    </w:p>
    <w:p w:rsidR="00075C77" w:rsidRPr="00A10F09" w:rsidRDefault="00075C77" w:rsidP="00075C77">
      <w:pPr>
        <w:pStyle w:val="Point0number"/>
        <w:rPr>
          <w:noProof/>
        </w:rPr>
      </w:pPr>
      <w:r w:rsidRPr="00A10F09">
        <w:t xml:space="preserve">bijlage XVI bij Uitvoeringsverordening (EU) nr. </w:t>
      </w:r>
      <w:r w:rsidRPr="00A579CC">
        <w:t>680</w:t>
      </w:r>
      <w:r w:rsidRPr="00A10F09">
        <w:t>/</w:t>
      </w:r>
      <w:r w:rsidRPr="00A579CC">
        <w:t>2014</w:t>
      </w:r>
      <w:r w:rsidRPr="00A10F09">
        <w:t xml:space="preserve"> wordt vervangen door de tekst opgenomen in bijlage VI bij deze verordening;</w:t>
      </w:r>
    </w:p>
    <w:p w:rsidR="00075C77" w:rsidRPr="00A10F09" w:rsidRDefault="00075C77" w:rsidP="00075C77">
      <w:pPr>
        <w:pStyle w:val="Point0number"/>
        <w:rPr>
          <w:noProof/>
        </w:rPr>
      </w:pPr>
      <w:r w:rsidRPr="00A10F09">
        <w:t xml:space="preserve">bijlage XIX bij Uitvoeringsverordening (EU) nr. </w:t>
      </w:r>
      <w:r w:rsidRPr="00A579CC">
        <w:t>680</w:t>
      </w:r>
      <w:r w:rsidRPr="00A10F09">
        <w:t>/</w:t>
      </w:r>
      <w:r w:rsidRPr="00A579CC">
        <w:t>2014</w:t>
      </w:r>
      <w:r w:rsidRPr="00A10F09">
        <w:t xml:space="preserve"> wordt vervangen door de tekst opgenomen in bijlage VII bij deze verordening;</w:t>
      </w:r>
    </w:p>
    <w:p w:rsidR="00075C77" w:rsidRPr="00A10F09" w:rsidRDefault="00075C77" w:rsidP="00075C77">
      <w:pPr>
        <w:pStyle w:val="Point0number"/>
        <w:rPr>
          <w:noProof/>
        </w:rPr>
      </w:pPr>
      <w:r w:rsidRPr="00A10F09">
        <w:t xml:space="preserve">bijlage XXI bij Uitvoeringsverordening (EU) nr. </w:t>
      </w:r>
      <w:r w:rsidRPr="00A579CC">
        <w:t>680</w:t>
      </w:r>
      <w:r w:rsidRPr="00A10F09">
        <w:t>/</w:t>
      </w:r>
      <w:r w:rsidRPr="00A579CC">
        <w:t>2014</w:t>
      </w:r>
      <w:r w:rsidRPr="00A10F09">
        <w:t xml:space="preserve"> wordt vervangen door de tekst opgenomen in bijlage VIII bij deze verordening;</w:t>
      </w:r>
    </w:p>
    <w:p w:rsidR="00075C77" w:rsidRPr="00A10F09" w:rsidRDefault="00075C77" w:rsidP="00075C77">
      <w:pPr>
        <w:pStyle w:val="Point0number"/>
        <w:rPr>
          <w:noProof/>
        </w:rPr>
      </w:pPr>
      <w:r w:rsidRPr="00A10F09">
        <w:t xml:space="preserve">bijlage XXII bij Uitvoeringsverordening (EU) nr. </w:t>
      </w:r>
      <w:r w:rsidRPr="00A579CC">
        <w:t>680</w:t>
      </w:r>
      <w:r w:rsidRPr="00A10F09">
        <w:t>/</w:t>
      </w:r>
      <w:r w:rsidRPr="00A579CC">
        <w:t>2014</w:t>
      </w:r>
      <w:r w:rsidRPr="00A10F09">
        <w:t xml:space="preserve"> wordt vervangen door de tekst opgenomen in bijlage IX bij deze verordening;</w:t>
      </w:r>
    </w:p>
    <w:p w:rsidR="00075C77" w:rsidRPr="00A10F09" w:rsidRDefault="00075C77" w:rsidP="00075C77">
      <w:pPr>
        <w:pStyle w:val="Point0number"/>
      </w:pPr>
      <w:r w:rsidRPr="00A10F09">
        <w:t xml:space="preserve">bijlage XXIII bij Uitvoeringsverordening (EU) nr. </w:t>
      </w:r>
      <w:r w:rsidRPr="00A579CC">
        <w:t>680</w:t>
      </w:r>
      <w:r w:rsidRPr="00A10F09">
        <w:t>/</w:t>
      </w:r>
      <w:r w:rsidRPr="00A579CC">
        <w:t>2014</w:t>
      </w:r>
      <w:r w:rsidRPr="00A10F09">
        <w:t xml:space="preserve"> wordt vervangen door de tekst opgenomen in bijlage X bij deze verordening.</w:t>
      </w:r>
    </w:p>
    <w:p w:rsidR="00075C77" w:rsidRPr="00A10F09" w:rsidRDefault="00075C77" w:rsidP="004E1EF9">
      <w:pPr>
        <w:pStyle w:val="Titrearticle"/>
      </w:pPr>
      <w:r w:rsidRPr="00A10F09">
        <w:t xml:space="preserve">Artikel </w:t>
      </w:r>
      <w:r w:rsidRPr="00A579CC">
        <w:t>2</w:t>
      </w:r>
    </w:p>
    <w:p w:rsidR="00075C77" w:rsidRPr="00A10F09" w:rsidRDefault="00075C77" w:rsidP="004E1EF9">
      <w:r w:rsidRPr="00A10F09">
        <w:t xml:space="preserve">Deze verordening treedt in werking op de twintigste dag na die van de bekendmaking ervan in het </w:t>
      </w:r>
      <w:r w:rsidRPr="00A10F09">
        <w:rPr>
          <w:i/>
        </w:rPr>
        <w:t>Publicatieblad van de Europese Unie</w:t>
      </w:r>
      <w:r w:rsidRPr="00A10F09">
        <w:t>.</w:t>
      </w:r>
    </w:p>
    <w:p w:rsidR="00075C77" w:rsidRPr="00A10F09" w:rsidRDefault="00075C77" w:rsidP="004E1EF9">
      <w:r w:rsidRPr="00A10F09">
        <w:t xml:space="preserve">Zij is van toepassing met ingang van </w:t>
      </w:r>
      <w:r w:rsidRPr="00A579CC">
        <w:t>1</w:t>
      </w:r>
      <w:r w:rsidRPr="00A10F09">
        <w:t xml:space="preserve"> december </w:t>
      </w:r>
      <w:r w:rsidRPr="00A579CC">
        <w:t>2018</w:t>
      </w:r>
      <w:r w:rsidRPr="00A10F09">
        <w:t>.</w:t>
      </w:r>
    </w:p>
    <w:p w:rsidR="00075C77" w:rsidRPr="00A10F09" w:rsidRDefault="00075C77" w:rsidP="004E1EF9">
      <w:pPr>
        <w:pStyle w:val="Applicationdirecte"/>
      </w:pPr>
      <w:r w:rsidRPr="00A10F09">
        <w:t>Deze verordening is verbindend in al haar onderdelen en is rechtstreeks toepasselijk in elke lidstaat.</w:t>
      </w:r>
    </w:p>
    <w:p w:rsidR="00075C77" w:rsidRPr="00A10F09" w:rsidRDefault="00C93BCF" w:rsidP="00C93BCF">
      <w:pPr>
        <w:pStyle w:val="Fait"/>
      </w:pPr>
      <w:r w:rsidRPr="00C93BCF">
        <w:t>Gedaan te Brussel,</w:t>
      </w:r>
    </w:p>
    <w:p w:rsidR="00C52F7E" w:rsidRPr="00A10F09" w:rsidRDefault="00075C77" w:rsidP="00C52F7E">
      <w:pPr>
        <w:pStyle w:val="Institutionquisigne"/>
      </w:pPr>
      <w:r w:rsidRPr="00A10F09">
        <w:tab/>
        <w:t>Voor de Commissie</w:t>
      </w:r>
    </w:p>
    <w:p w:rsidR="00C52F7E" w:rsidRPr="00A10F09" w:rsidRDefault="00C52F7E" w:rsidP="00B44BBC">
      <w:pPr>
        <w:pStyle w:val="Personnequisigne"/>
      </w:pPr>
      <w:r w:rsidRPr="00A10F09">
        <w:tab/>
        <w:t>De voorzitter</w:t>
      </w:r>
    </w:p>
    <w:p w:rsidR="00075C77" w:rsidRPr="00A10F09" w:rsidRDefault="00DB2690" w:rsidP="00B44BBC">
      <w:pPr>
        <w:pStyle w:val="Personnequisigne"/>
        <w:rPr>
          <w:i w:val="0"/>
        </w:rPr>
      </w:pPr>
      <w:r w:rsidRPr="00A10F09">
        <w:tab/>
        <w:t>Jean-Claude JUNCKER</w:t>
      </w:r>
    </w:p>
    <w:sectPr w:rsidR="00075C77" w:rsidRPr="00A10F09" w:rsidSect="00C93BCF">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Footer"/>
      <w:rPr>
        <w:rFonts w:ascii="Arial" w:hAnsi="Arial" w:cs="Arial"/>
        <w:b/>
        <w:sz w:val="48"/>
      </w:rPr>
    </w:pPr>
    <w:r w:rsidRPr="00C93BCF">
      <w:rPr>
        <w:rFonts w:ascii="Arial" w:hAnsi="Arial" w:cs="Arial"/>
        <w:b/>
        <w:sz w:val="48"/>
      </w:rPr>
      <w:t>NL</w:t>
    </w:r>
    <w:r w:rsidRPr="00C93BCF">
      <w:rPr>
        <w:rFonts w:ascii="Arial" w:hAnsi="Arial" w:cs="Arial"/>
        <w:b/>
        <w:sz w:val="48"/>
      </w:rPr>
      <w:tab/>
    </w:r>
    <w:r w:rsidRPr="00C93BCF">
      <w:rPr>
        <w:rFonts w:ascii="Arial" w:hAnsi="Arial" w:cs="Arial"/>
        <w:b/>
        <w:sz w:val="48"/>
      </w:rPr>
      <w:tab/>
    </w:r>
    <w:r w:rsidRPr="00C93BCF">
      <w:tab/>
    </w:r>
    <w:r w:rsidRPr="00C93BCF">
      <w:rPr>
        <w:rFonts w:ascii="Arial" w:hAnsi="Arial" w:cs="Arial"/>
        <w:b/>
        <w:sz w:val="48"/>
      </w:rPr>
      <w:t>NL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Footer"/>
      <w:rPr>
        <w:rFonts w:ascii="Arial" w:hAnsi="Arial" w:cs="Arial"/>
        <w:b/>
        <w:sz w:val="48"/>
      </w:rPr>
    </w:pPr>
    <w:r w:rsidRPr="00C93BCF">
      <w:rPr>
        <w:rFonts w:ascii="Arial" w:hAnsi="Arial" w:cs="Arial"/>
        <w:b/>
        <w:sz w:val="48"/>
      </w:rPr>
      <w:t>NL</w:t>
    </w:r>
    <w:r w:rsidRPr="00C93BC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C93BCF">
      <w:tab/>
    </w:r>
    <w:r w:rsidRPr="00C93BCF">
      <w:rPr>
        <w:rFonts w:ascii="Arial" w:hAnsi="Arial" w:cs="Arial"/>
        <w:b/>
        <w:sz w:val="48"/>
      </w:rPr>
      <w:t>NL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Pr="00DB2690" w:rsidRDefault="00075C77" w:rsidP="00075C77">
      <w:pPr>
        <w:pStyle w:val="FootnoteText"/>
      </w:pPr>
      <w:r>
        <w:rPr>
          <w:rStyle w:val="FootnoteReference"/>
        </w:rPr>
        <w:footnoteRef/>
      </w:r>
      <w:r w:rsidRPr="00DB2690">
        <w:tab/>
        <w:t>PB L </w:t>
      </w:r>
      <w:r w:rsidRPr="00A579CC">
        <w:t>176</w:t>
      </w:r>
      <w:r w:rsidRPr="00DB2690">
        <w:t xml:space="preserve"> van </w:t>
      </w:r>
      <w:r w:rsidRPr="00A579CC">
        <w:t>27</w:t>
      </w:r>
      <w:r w:rsidRPr="00DB2690">
        <w:t>.</w:t>
      </w:r>
      <w:r w:rsidRPr="00A579CC">
        <w:t>6</w:t>
      </w:r>
      <w:r w:rsidRPr="00DB2690">
        <w:t>.</w:t>
      </w:r>
      <w:r w:rsidRPr="00A579CC">
        <w:t>2013</w:t>
      </w:r>
      <w:r w:rsidRPr="00DB2690">
        <w:t>, blz. </w:t>
      </w:r>
      <w:r w:rsidRPr="00A579CC">
        <w:t>1</w:t>
      </w:r>
      <w:r w:rsidRPr="00DB2690">
        <w:t>.</w:t>
      </w:r>
    </w:p>
  </w:footnote>
  <w:footnote w:id="3">
    <w:p w:rsidR="00075C77" w:rsidRPr="00DB2690" w:rsidRDefault="00075C77" w:rsidP="00075C77">
      <w:pPr>
        <w:pStyle w:val="FootnoteText"/>
      </w:pPr>
      <w:r>
        <w:rPr>
          <w:rStyle w:val="FootnoteReference"/>
        </w:rPr>
        <w:footnoteRef/>
      </w:r>
      <w:r w:rsidRPr="00DB2690">
        <w:tab/>
        <w:t xml:space="preserve">Uitvoeringsverordening (EU) nr. </w:t>
      </w:r>
      <w:r w:rsidRPr="00A579CC">
        <w:t>680</w:t>
      </w:r>
      <w:r w:rsidRPr="00DB2690">
        <w:t>/</w:t>
      </w:r>
      <w:r w:rsidRPr="00A579CC">
        <w:t>2014</w:t>
      </w:r>
      <w:r w:rsidRPr="00DB2690">
        <w:t xml:space="preserve"> van de Commissie van </w:t>
      </w:r>
      <w:r w:rsidRPr="00A579CC">
        <w:t>16</w:t>
      </w:r>
      <w:r w:rsidRPr="00DB2690">
        <w:t xml:space="preserve"> april </w:t>
      </w:r>
      <w:r w:rsidRPr="00A579CC">
        <w:t>2014</w:t>
      </w:r>
      <w:r w:rsidRPr="00DB2690">
        <w:t xml:space="preserve"> tot vaststelling van technische uitvoeringsnormen voor wat betreft de rapportage aan de toezichthoudende autoriteit door instellingen overeenkomstig Verordening (EU) nr. </w:t>
      </w:r>
      <w:r w:rsidRPr="00A579CC">
        <w:t>575</w:t>
      </w:r>
      <w:r w:rsidRPr="00DB2690">
        <w:t>/</w:t>
      </w:r>
      <w:r w:rsidRPr="00A579CC">
        <w:t>2013</w:t>
      </w:r>
      <w:r w:rsidRPr="00DB2690">
        <w:t xml:space="preserve"> van het Europees Parlement en de Raad (PB L </w:t>
      </w:r>
      <w:r w:rsidRPr="00A579CC">
        <w:t>191</w:t>
      </w:r>
      <w:r w:rsidRPr="00DB2690">
        <w:t xml:space="preserve"> van </w:t>
      </w:r>
      <w:r w:rsidRPr="00A579CC">
        <w:t>28</w:t>
      </w:r>
      <w:r w:rsidRPr="00DB2690">
        <w:t>.</w:t>
      </w:r>
      <w:r w:rsidRPr="00A579CC">
        <w:t>6</w:t>
      </w:r>
      <w:r w:rsidRPr="00DB2690">
        <w:t>.</w:t>
      </w:r>
      <w:r w:rsidRPr="00A579CC">
        <w:t>2014</w:t>
      </w:r>
      <w:r w:rsidRPr="00DB2690">
        <w:t>, blz. </w:t>
      </w:r>
      <w:r w:rsidRPr="00A579CC">
        <w:t>1</w:t>
      </w:r>
      <w:r w:rsidRPr="00DB2690">
        <w:t>).</w:t>
      </w:r>
    </w:p>
  </w:footnote>
  <w:footnote w:id="4">
    <w:p w:rsidR="00075C77" w:rsidRPr="00DB2690" w:rsidRDefault="00075C77" w:rsidP="00075C77">
      <w:pPr>
        <w:pStyle w:val="FootnoteText"/>
      </w:pPr>
      <w:r>
        <w:rPr>
          <w:rStyle w:val="FootnoteReference"/>
        </w:rPr>
        <w:footnoteRef/>
      </w:r>
      <w:r w:rsidRPr="00DB2690">
        <w:tab/>
        <w:t xml:space="preserve">Gedelegeerde Verordening (EU) </w:t>
      </w:r>
      <w:r w:rsidRPr="00A579CC">
        <w:t>2016</w:t>
      </w:r>
      <w:r w:rsidRPr="00DB2690">
        <w:t>/</w:t>
      </w:r>
      <w:r w:rsidRPr="00A579CC">
        <w:t>101</w:t>
      </w:r>
      <w:r w:rsidRPr="00DB2690">
        <w:t xml:space="preserve"> van de Commissie van </w:t>
      </w:r>
      <w:r w:rsidRPr="00A579CC">
        <w:t>26</w:t>
      </w:r>
      <w:r w:rsidRPr="00DB2690">
        <w:t xml:space="preserve"> oktober </w:t>
      </w:r>
      <w:r w:rsidRPr="00A579CC">
        <w:t>2015</w:t>
      </w:r>
      <w:r w:rsidRPr="00DB2690">
        <w:t xml:space="preserve"> tot aanvulling van Verordening (EU) nr. </w:t>
      </w:r>
      <w:r w:rsidRPr="00A579CC">
        <w:t>575</w:t>
      </w:r>
      <w:r w:rsidRPr="00DB2690">
        <w:t>/</w:t>
      </w:r>
      <w:r w:rsidRPr="00A579CC">
        <w:t>2013</w:t>
      </w:r>
      <w:r w:rsidRPr="00DB2690">
        <w:t xml:space="preserve"> van het Europees Parlement en de Raad met technische reguleringsnormen betreffende prudente waardering op grond van artikel </w:t>
      </w:r>
      <w:r w:rsidRPr="00A579CC">
        <w:t>105</w:t>
      </w:r>
      <w:r w:rsidRPr="00DB2690">
        <w:t>, lid </w:t>
      </w:r>
      <w:r w:rsidRPr="00A579CC">
        <w:t>14</w:t>
      </w:r>
      <w:r w:rsidRPr="00DB2690">
        <w:t xml:space="preserve"> (PB L </w:t>
      </w:r>
      <w:r w:rsidRPr="00A579CC">
        <w:t>21</w:t>
      </w:r>
      <w:r w:rsidRPr="00DB2690">
        <w:t xml:space="preserve"> van </w:t>
      </w:r>
      <w:r w:rsidRPr="00A579CC">
        <w:t>28</w:t>
      </w:r>
      <w:r w:rsidRPr="00DB2690">
        <w:t>.</w:t>
      </w:r>
      <w:r w:rsidRPr="00A579CC">
        <w:t>1</w:t>
      </w:r>
      <w:r w:rsidRPr="00DB2690">
        <w:t>.</w:t>
      </w:r>
      <w:r w:rsidRPr="00A579CC">
        <w:t>2016</w:t>
      </w:r>
      <w:r w:rsidRPr="00DB2690">
        <w:t>, blz. </w:t>
      </w:r>
      <w:r w:rsidRPr="00A579CC">
        <w:t>54</w:t>
      </w:r>
      <w:r w:rsidRPr="00DB2690">
        <w:t>).</w:t>
      </w:r>
    </w:p>
  </w:footnote>
  <w:footnote w:id="5">
    <w:p w:rsidR="00075C77" w:rsidRPr="00DB2690" w:rsidRDefault="00075C77" w:rsidP="00075C77">
      <w:pPr>
        <w:pStyle w:val="FootnoteText"/>
      </w:pPr>
      <w:r>
        <w:rPr>
          <w:rStyle w:val="FootnoteReference"/>
        </w:rPr>
        <w:footnoteRef/>
      </w:r>
      <w:r w:rsidRPr="00DB2690">
        <w:tab/>
        <w:t xml:space="preserve">Verordening (EU) </w:t>
      </w:r>
      <w:r w:rsidRPr="00A579CC">
        <w:t>2017</w:t>
      </w:r>
      <w:r w:rsidRPr="00DB2690">
        <w:t>/</w:t>
      </w:r>
      <w:r w:rsidRPr="00A579CC">
        <w:t>2401</w:t>
      </w:r>
      <w:r w:rsidRPr="00DB2690">
        <w:t xml:space="preserve"> van het Europees Parlement en de Raad van </w:t>
      </w:r>
      <w:r w:rsidRPr="00A579CC">
        <w:t>12</w:t>
      </w:r>
      <w:r w:rsidRPr="00DB2690">
        <w:t xml:space="preserve"> december </w:t>
      </w:r>
      <w:r w:rsidRPr="00A579CC">
        <w:t>2017</w:t>
      </w:r>
      <w:r w:rsidRPr="00DB2690">
        <w:t xml:space="preserve"> tot wijziging van Verordening (EU) nr. </w:t>
      </w:r>
      <w:r w:rsidRPr="00A579CC">
        <w:t>575</w:t>
      </w:r>
      <w:r w:rsidRPr="00DB2690">
        <w:t>/</w:t>
      </w:r>
      <w:r w:rsidRPr="00A579CC">
        <w:t>2013</w:t>
      </w:r>
      <w:r w:rsidRPr="00DB2690">
        <w:t xml:space="preserve"> betreffende prudentiële vereisten voor kredietinstellingen en beleggingsondernemingen (PB L </w:t>
      </w:r>
      <w:r w:rsidRPr="00A579CC">
        <w:t>347</w:t>
      </w:r>
      <w:r w:rsidRPr="00DB2690">
        <w:t xml:space="preserve"> van </w:t>
      </w:r>
      <w:r w:rsidRPr="00A579CC">
        <w:t>28</w:t>
      </w:r>
      <w:r w:rsidRPr="00DB2690">
        <w:t>.</w:t>
      </w:r>
      <w:r w:rsidRPr="00A579CC">
        <w:t>12</w:t>
      </w:r>
      <w:r w:rsidRPr="00DB2690">
        <w:t>.</w:t>
      </w:r>
      <w:r w:rsidRPr="00A579CC">
        <w:t>2017</w:t>
      </w:r>
      <w:r w:rsidRPr="00DB2690">
        <w:t>, blz. </w:t>
      </w:r>
      <w:r w:rsidRPr="00A579CC">
        <w:t>1</w:t>
      </w:r>
      <w:r w:rsidRPr="00DB2690">
        <w:t>).</w:t>
      </w:r>
    </w:p>
  </w:footnote>
  <w:footnote w:id="6">
    <w:p w:rsidR="00075C77" w:rsidRPr="00DB2690" w:rsidRDefault="00075C77" w:rsidP="00075C77">
      <w:pPr>
        <w:pStyle w:val="FootnoteText"/>
      </w:pPr>
      <w:r>
        <w:rPr>
          <w:rStyle w:val="FootnoteReference"/>
        </w:rPr>
        <w:footnoteRef/>
      </w:r>
      <w:r w:rsidRPr="00DB2690">
        <w:tab/>
        <w:t xml:space="preserve">Verordening (EU) nr. </w:t>
      </w:r>
      <w:r w:rsidRPr="00A579CC">
        <w:t>1093</w:t>
      </w:r>
      <w:r w:rsidRPr="00DB2690">
        <w:t>/</w:t>
      </w:r>
      <w:r w:rsidRPr="00A579CC">
        <w:t>2010</w:t>
      </w:r>
      <w:r w:rsidRPr="00DB2690">
        <w:t xml:space="preserve"> van het Europees Parlement en de Raad van </w:t>
      </w:r>
      <w:r w:rsidRPr="00A579CC">
        <w:t>24</w:t>
      </w:r>
      <w:r w:rsidRPr="00DB2690">
        <w:t xml:space="preserve"> november </w:t>
      </w:r>
      <w:r w:rsidRPr="00A579CC">
        <w:t>2010</w:t>
      </w:r>
      <w:r w:rsidRPr="00DB2690">
        <w:t xml:space="preserve"> tot oprichting van een Europese toezichthoudende autoriteit (Europese Bankautoriteit), tot wijziging van Besluit nr. </w:t>
      </w:r>
      <w:r w:rsidRPr="00A579CC">
        <w:t>716</w:t>
      </w:r>
      <w:r w:rsidRPr="00DB2690">
        <w:t>/</w:t>
      </w:r>
      <w:r w:rsidRPr="00A579CC">
        <w:t>2009</w:t>
      </w:r>
      <w:r w:rsidRPr="00DB2690">
        <w:t xml:space="preserve">/EG en tot intrekking van Besluit </w:t>
      </w:r>
      <w:r w:rsidRPr="00A579CC">
        <w:t>2009</w:t>
      </w:r>
      <w:r w:rsidRPr="00DB2690">
        <w:t>/</w:t>
      </w:r>
      <w:r w:rsidRPr="00A579CC">
        <w:t>78</w:t>
      </w:r>
      <w:r w:rsidRPr="00DB2690">
        <w:t>/EG van de Commissie (PB L </w:t>
      </w:r>
      <w:r w:rsidRPr="00A579CC">
        <w:t>331</w:t>
      </w:r>
      <w:r w:rsidRPr="00DB2690">
        <w:t xml:space="preserve"> van </w:t>
      </w:r>
      <w:r w:rsidRPr="00A579CC">
        <w:t>15</w:t>
      </w:r>
      <w:r w:rsidRPr="00DB2690">
        <w:t>.</w:t>
      </w:r>
      <w:r w:rsidRPr="00A579CC">
        <w:t>12</w:t>
      </w:r>
      <w:r w:rsidRPr="00DB2690">
        <w:t>.</w:t>
      </w:r>
      <w:r w:rsidRPr="00A579CC">
        <w:t>2010</w:t>
      </w:r>
      <w:r w:rsidRPr="00DB2690">
        <w:t>, blz. </w:t>
      </w:r>
      <w:r w:rsidRPr="00A579CC">
        <w:t>12</w:t>
      </w:r>
      <w:r w:rsidRPr="00DB269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BCF" w:rsidRPr="00C93BCF" w:rsidRDefault="00C93BCF" w:rsidP="00C93B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19 15:41:0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F9C6202E-491B-409B-8B26-899CE2AB56F8"/>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lt;EMPTY&gt;"/>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tot wijziging van Uitvoeringsverordening (EU) nr. 680/2014 wat prudente waardering ten behoeve van de rapportage voor toezichtdoeleinden betreft"/>
    <w:docVar w:name="LW_TYPE.DOC.CP" w:val="UITVOERINGSVERORDENING (EU) \u8230?/... VAN DE COMMISSIE"/>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368E9"/>
    <w:rsid w:val="00245E42"/>
    <w:rsid w:val="00254390"/>
    <w:rsid w:val="00270069"/>
    <w:rsid w:val="002B2B93"/>
    <w:rsid w:val="002B7A5C"/>
    <w:rsid w:val="002C0C3E"/>
    <w:rsid w:val="002E30FD"/>
    <w:rsid w:val="002E476B"/>
    <w:rsid w:val="002F2F88"/>
    <w:rsid w:val="003144E2"/>
    <w:rsid w:val="00316051"/>
    <w:rsid w:val="00322268"/>
    <w:rsid w:val="00337032"/>
    <w:rsid w:val="00345BFD"/>
    <w:rsid w:val="00352527"/>
    <w:rsid w:val="003805E1"/>
    <w:rsid w:val="00390ED3"/>
    <w:rsid w:val="003C1FB8"/>
    <w:rsid w:val="003C4B9E"/>
    <w:rsid w:val="003D0541"/>
    <w:rsid w:val="003D2AE0"/>
    <w:rsid w:val="003E1023"/>
    <w:rsid w:val="004739C1"/>
    <w:rsid w:val="004A2CE3"/>
    <w:rsid w:val="004B24D6"/>
    <w:rsid w:val="004C3340"/>
    <w:rsid w:val="004D6264"/>
    <w:rsid w:val="004D64A2"/>
    <w:rsid w:val="004D69DD"/>
    <w:rsid w:val="004F6673"/>
    <w:rsid w:val="00550B8C"/>
    <w:rsid w:val="00556044"/>
    <w:rsid w:val="00591517"/>
    <w:rsid w:val="005C3F7E"/>
    <w:rsid w:val="005E52A7"/>
    <w:rsid w:val="006063E0"/>
    <w:rsid w:val="00611636"/>
    <w:rsid w:val="00635D8A"/>
    <w:rsid w:val="00644EC4"/>
    <w:rsid w:val="0065598E"/>
    <w:rsid w:val="006572EF"/>
    <w:rsid w:val="00683624"/>
    <w:rsid w:val="00686C9B"/>
    <w:rsid w:val="00693969"/>
    <w:rsid w:val="006B0779"/>
    <w:rsid w:val="006C1BB8"/>
    <w:rsid w:val="006C3766"/>
    <w:rsid w:val="006D4BD3"/>
    <w:rsid w:val="006E6DF9"/>
    <w:rsid w:val="00703993"/>
    <w:rsid w:val="007137E5"/>
    <w:rsid w:val="0079753D"/>
    <w:rsid w:val="007A5482"/>
    <w:rsid w:val="007D178B"/>
    <w:rsid w:val="007E3D3C"/>
    <w:rsid w:val="007F22F0"/>
    <w:rsid w:val="007F7024"/>
    <w:rsid w:val="00832BE2"/>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10F09"/>
    <w:rsid w:val="00A44BB4"/>
    <w:rsid w:val="00A579CC"/>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3BCF"/>
    <w:rsid w:val="00C96B0B"/>
    <w:rsid w:val="00CC5469"/>
    <w:rsid w:val="00CE0EEF"/>
    <w:rsid w:val="00CE607F"/>
    <w:rsid w:val="00D0288C"/>
    <w:rsid w:val="00D07548"/>
    <w:rsid w:val="00D22435"/>
    <w:rsid w:val="00D262BE"/>
    <w:rsid w:val="00D34F59"/>
    <w:rsid w:val="00D4733C"/>
    <w:rsid w:val="00D73215"/>
    <w:rsid w:val="00D826FC"/>
    <w:rsid w:val="00D87087"/>
    <w:rsid w:val="00DA1A91"/>
    <w:rsid w:val="00DA432F"/>
    <w:rsid w:val="00DB10A0"/>
    <w:rsid w:val="00DB10E3"/>
    <w:rsid w:val="00DB2690"/>
    <w:rsid w:val="00DD2DC1"/>
    <w:rsid w:val="00DE2170"/>
    <w:rsid w:val="00DF3CD5"/>
    <w:rsid w:val="00DF7E7B"/>
    <w:rsid w:val="00E16CC1"/>
    <w:rsid w:val="00E47203"/>
    <w:rsid w:val="00E85657"/>
    <w:rsid w:val="00EA38CD"/>
    <w:rsid w:val="00EA666D"/>
    <w:rsid w:val="00EC3C0C"/>
    <w:rsid w:val="00F1082F"/>
    <w:rsid w:val="00F17515"/>
    <w:rsid w:val="00F2304B"/>
    <w:rsid w:val="00F351E1"/>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nl-NL"/>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nl-NL"/>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Pages>
  <Words>1359</Words>
  <Characters>8147</Characters>
  <Application>Microsoft Office Word</Application>
  <DocSecurity>0</DocSecurity>
  <Lines>148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IDZERDA Renee (DGT)</cp:lastModifiedBy>
  <cp:revision>3</cp:revision>
  <cp:lastPrinted>2018-06-12T12:37:00Z</cp:lastPrinted>
  <dcterms:created xsi:type="dcterms:W3CDTF">2018-09-19T13:40:00Z</dcterms:created>
  <dcterms:modified xsi:type="dcterms:W3CDTF">2018-09-19T13:41:00Z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