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108408" w14:textId="0DB20592" w:rsidR="001B7C2B" w:rsidRDefault="001B7C2B" w:rsidP="001B7C2B">
      <w:pPr>
        <w:jc w:val="center"/>
        <w:rPr>
          <w:rFonts w:ascii="Times New Roman" w:hAnsi="Times New Roman"/>
          <w:b/>
          <w:sz w:val="24"/>
        </w:rPr>
      </w:pPr>
      <w:r>
        <w:rPr>
          <w:rFonts w:ascii="Times New Roman" w:hAnsi="Times New Roman"/>
          <w:b/>
          <w:sz w:val="24"/>
        </w:rPr>
        <w:t>SL</w:t>
      </w:r>
      <w:r>
        <w:rPr>
          <w:rFonts w:ascii="Times New Roman" w:hAnsi="Times New Roman"/>
          <w:b/>
          <w:sz w:val="24"/>
        </w:rPr>
        <w:br/>
        <w:t>PRILOGA VII</w:t>
      </w:r>
    </w:p>
    <w:p w14:paraId="72104D4D" w14:textId="77777777" w:rsidR="006339CC" w:rsidRPr="008B5E16" w:rsidRDefault="006339CC" w:rsidP="001B7C2B">
      <w:pPr>
        <w:jc w:val="center"/>
        <w:rPr>
          <w:rFonts w:ascii="Times New Roman" w:hAnsi="Times New Roman"/>
          <w:b/>
          <w:sz w:val="24"/>
        </w:rPr>
      </w:pPr>
    </w:p>
    <w:p w14:paraId="01904AEC" w14:textId="4FFC9EE4" w:rsidR="007F5684" w:rsidRPr="006339CC" w:rsidRDefault="008F2AB0" w:rsidP="001B7C2B">
      <w:pPr>
        <w:jc w:val="center"/>
        <w:rPr>
          <w:b/>
          <w:szCs w:val="20"/>
          <w:u w:val="single"/>
        </w:rPr>
      </w:pPr>
      <w:r>
        <w:rPr>
          <w:b/>
          <w:u w:val="single"/>
        </w:rPr>
        <w:t>„</w:t>
      </w:r>
      <w:r w:rsidR="007F5684">
        <w:rPr>
          <w:b/>
          <w:u w:val="single"/>
        </w:rPr>
        <w:t>PRILOGA XIX</w:t>
      </w:r>
    </w:p>
    <w:p w14:paraId="1796FE74" w14:textId="29CC78AB" w:rsidR="007F5684" w:rsidRPr="00F30436" w:rsidRDefault="007F5684" w:rsidP="00F30436">
      <w:pPr>
        <w:jc w:val="center"/>
        <w:rPr>
          <w:b/>
          <w:szCs w:val="20"/>
        </w:rPr>
      </w:pPr>
      <w:r>
        <w:rPr>
          <w:b/>
        </w:rPr>
        <w:t>NAVODILA ZA IZPOLNJEVANJE PREDLOGE ZA DODATNA ORODJA ZA SPREMLJANJE IZ PRILOGE XVIII</w:t>
      </w:r>
    </w:p>
    <w:p w14:paraId="16AC5CE5" w14:textId="77777777" w:rsidR="00D02FE4" w:rsidRPr="007F5684" w:rsidRDefault="00181260" w:rsidP="00432D9F">
      <w:pPr>
        <w:pStyle w:val="Instructionsberschrift2"/>
        <w:numPr>
          <w:ilvl w:val="0"/>
          <w:numId w:val="2"/>
        </w:numPr>
        <w:rPr>
          <w:rFonts w:ascii="Times New Roman" w:hAnsi="Times New Roman" w:cs="Times New Roman"/>
          <w:szCs w:val="20"/>
        </w:rPr>
      </w:pPr>
      <w:r>
        <w:rPr>
          <w:rFonts w:ascii="Times New Roman" w:hAnsi="Times New Roman"/>
        </w:rPr>
        <w:t>Dodatna orodja za spremljanje</w:t>
      </w:r>
    </w:p>
    <w:p w14:paraId="6D74775F" w14:textId="243E01B4" w:rsidR="00D02FE4" w:rsidRPr="007F5684" w:rsidRDefault="00D02FE4" w:rsidP="00432D9F">
      <w:pPr>
        <w:pStyle w:val="Instructionsberschrift2"/>
        <w:numPr>
          <w:ilvl w:val="1"/>
          <w:numId w:val="2"/>
        </w:numPr>
        <w:rPr>
          <w:rFonts w:ascii="Times New Roman" w:hAnsi="Times New Roman" w:cs="Times New Roman"/>
          <w:szCs w:val="20"/>
        </w:rPr>
      </w:pPr>
      <w:bookmarkStart w:id="0" w:name="_Toc308175819"/>
      <w:bookmarkStart w:id="1" w:name="_Toc310414966"/>
      <w:r>
        <w:rPr>
          <w:rFonts w:ascii="Times New Roman" w:hAnsi="Times New Roman"/>
        </w:rPr>
        <w:t xml:space="preserve">Splošno </w:t>
      </w:r>
      <w:bookmarkEnd w:id="0"/>
      <w:bookmarkEnd w:id="1"/>
    </w:p>
    <w:p w14:paraId="28146638" w14:textId="3B48FC46" w:rsidR="00A344AA" w:rsidRDefault="004D4244" w:rsidP="008A3AEA">
      <w:pPr>
        <w:pStyle w:val="InstructionsText2"/>
        <w:numPr>
          <w:ilvl w:val="0"/>
          <w:numId w:val="4"/>
        </w:numPr>
        <w:rPr>
          <w:szCs w:val="20"/>
          <w:u w:val="none"/>
        </w:rPr>
      </w:pPr>
      <w:r>
        <w:rPr>
          <w:u w:val="none"/>
        </w:rPr>
        <w:t>Za spremljanje likvidnostnega tveganja institucije, ki ne spada na področje uporabe poročil o likvidnostnem kritju in stabilnem financiranju, institucije izpolnijo predlogo v Prilogi XVIII v skladu z navodili iz te Priloge.</w:t>
      </w:r>
    </w:p>
    <w:p w14:paraId="39998106" w14:textId="1169C0B2" w:rsidR="00A344AA" w:rsidRPr="007F5684" w:rsidRDefault="00A344AA" w:rsidP="004D4244">
      <w:pPr>
        <w:pStyle w:val="InstructionsText2"/>
        <w:numPr>
          <w:ilvl w:val="0"/>
          <w:numId w:val="4"/>
        </w:numPr>
        <w:rPr>
          <w:szCs w:val="20"/>
          <w:u w:val="none"/>
        </w:rPr>
      </w:pPr>
      <w:r>
        <w:rPr>
          <w:u w:val="none"/>
        </w:rPr>
        <w:t>Skupno financiranje so vse finančne obveznosti, razen izvedenih finančnih instrumentov in kratkih pozicij.</w:t>
      </w:r>
    </w:p>
    <w:p w14:paraId="50F797C6" w14:textId="2BEA0B9F" w:rsidR="00A344AA" w:rsidRPr="005C26CD" w:rsidRDefault="00A344AA" w:rsidP="004D4244">
      <w:pPr>
        <w:pStyle w:val="InstructionsText2"/>
        <w:numPr>
          <w:ilvl w:val="0"/>
          <w:numId w:val="4"/>
        </w:numPr>
        <w:rPr>
          <w:szCs w:val="20"/>
          <w:u w:val="none"/>
        </w:rPr>
      </w:pPr>
      <w:r>
        <w:rPr>
          <w:u w:val="none"/>
        </w:rPr>
        <w:t xml:space="preserve">Za financiranje z odprto zapadlostjo, vključno z vlogami na vpogled, se šteje, da zapade čez noč. </w:t>
      </w:r>
    </w:p>
    <w:p w14:paraId="4586638B" w14:textId="7526809A" w:rsidR="00A344AA" w:rsidRPr="005C26CD" w:rsidRDefault="00A344AA" w:rsidP="004D4244">
      <w:pPr>
        <w:pStyle w:val="InstructionsText2"/>
        <w:numPr>
          <w:ilvl w:val="0"/>
          <w:numId w:val="4"/>
        </w:numPr>
        <w:rPr>
          <w:szCs w:val="20"/>
          <w:u w:val="none"/>
        </w:rPr>
      </w:pPr>
      <w:r>
        <w:rPr>
          <w:u w:val="none"/>
        </w:rPr>
        <w:t xml:space="preserve">Prvotna zapadlost predstavlja čas med datumom odobritve in datumom zapadlosti financiranja. Datum zapadlosti financiranja se določi v skladu z odstavkom 12 Priloge XXIII. To pomeni, da je lahko v primeru izbirnosti, kot v primeru odstavka 12 Priloge XXIII, prvotna zapadlost postavke financiranja krajša kot čas, ki je potekel od njene odobritve. </w:t>
      </w:r>
    </w:p>
    <w:p w14:paraId="4FA59274" w14:textId="20DE3BF0" w:rsidR="00A344AA" w:rsidRPr="004D4244" w:rsidRDefault="00A344AA" w:rsidP="004D4244">
      <w:pPr>
        <w:pStyle w:val="InstructionsText2"/>
        <w:numPr>
          <w:ilvl w:val="0"/>
          <w:numId w:val="4"/>
        </w:numPr>
        <w:rPr>
          <w:szCs w:val="20"/>
          <w:u w:val="none"/>
        </w:rPr>
      </w:pPr>
      <w:r>
        <w:rPr>
          <w:u w:val="none"/>
        </w:rPr>
        <w:t>Preostala zapadlost predstavlja čas med koncem obdobja poročanja in datumom zapadlosti financiranja. Datum zapadlosti financiranja se določi v skladu z odstavkom 12 Priloge XXIII.</w:t>
      </w:r>
    </w:p>
    <w:p w14:paraId="1DF04682" w14:textId="0F5CD7EB" w:rsidR="007462FE" w:rsidRPr="004D4244" w:rsidRDefault="007462FE" w:rsidP="004D4244">
      <w:pPr>
        <w:pStyle w:val="InstructionsText2"/>
        <w:numPr>
          <w:ilvl w:val="0"/>
          <w:numId w:val="4"/>
        </w:numPr>
        <w:rPr>
          <w:szCs w:val="20"/>
          <w:u w:val="none"/>
        </w:rPr>
      </w:pPr>
      <w:r>
        <w:rPr>
          <w:u w:val="none"/>
        </w:rPr>
        <w:t>Za potrebe izračuna prvotne ali preostale tehtane povprečne zapadlosti se za vloge, ki zapadejo čez noč, štejejo, da je njihova zapadlost en dan.</w:t>
      </w:r>
    </w:p>
    <w:p w14:paraId="25CD9EF4" w14:textId="173EC59C" w:rsidR="007462FE" w:rsidRPr="005C26CD" w:rsidRDefault="007462FE" w:rsidP="004D4244">
      <w:pPr>
        <w:pStyle w:val="InstructionsText2"/>
        <w:numPr>
          <w:ilvl w:val="0"/>
          <w:numId w:val="4"/>
        </w:numPr>
        <w:rPr>
          <w:szCs w:val="20"/>
          <w:u w:val="none"/>
        </w:rPr>
      </w:pPr>
      <w:r>
        <w:rPr>
          <w:u w:val="none"/>
        </w:rPr>
        <w:t>Za namene izračuna prvotne in preostale zapadlosti se v primeru financiranja z rokom za predhodno obvestilo ali s klavzulo o preklicu ali predčasnem dvigu, ki velja za nasprotno stranko institucije, predpostavlja dvig na prvi možen datum.</w:t>
      </w:r>
    </w:p>
    <w:p w14:paraId="2B81E2EC" w14:textId="77D4003A" w:rsidR="00A344AA" w:rsidRPr="005C26CD" w:rsidRDefault="00A344AA" w:rsidP="004D4244">
      <w:pPr>
        <w:pStyle w:val="InstructionsText2"/>
        <w:numPr>
          <w:ilvl w:val="0"/>
          <w:numId w:val="4"/>
        </w:numPr>
        <w:rPr>
          <w:szCs w:val="20"/>
          <w:u w:val="none"/>
        </w:rPr>
      </w:pPr>
      <w:r>
        <w:rPr>
          <w:u w:val="none"/>
        </w:rPr>
        <w:t>Za obveznosti brez zapadlosti, razen kadar so predmet izbirnosti, kot je navedeno v odstavku 12 Priloge XXIII, se predpostavlja fiksna dvajsetletna prvotna in preostala zapadlost.</w:t>
      </w:r>
    </w:p>
    <w:p w14:paraId="30EB5133" w14:textId="46DCEFBD" w:rsidR="00A344AA" w:rsidRDefault="00A344AA" w:rsidP="004D4244">
      <w:pPr>
        <w:pStyle w:val="InstructionsText2"/>
        <w:numPr>
          <w:ilvl w:val="0"/>
          <w:numId w:val="4"/>
        </w:numPr>
        <w:rPr>
          <w:szCs w:val="20"/>
          <w:u w:val="none"/>
        </w:rPr>
      </w:pPr>
      <w:r>
        <w:rPr>
          <w:u w:val="none"/>
        </w:rPr>
        <w:t>Za izračun pragov v skladu s predlogama za poročanje C 67.00 in C 68.00 po pomembni valuti institucije uporabijo prag, ki znaša 1 % skupnih obveznosti v vseh valutah.</w:t>
      </w:r>
    </w:p>
    <w:p w14:paraId="0E1E0ED8" w14:textId="77777777" w:rsidR="00A344AA" w:rsidRPr="007F5684" w:rsidRDefault="00A344AA" w:rsidP="00A344AA">
      <w:pPr>
        <w:pStyle w:val="Instructionsberschrift2"/>
        <w:numPr>
          <w:ilvl w:val="1"/>
          <w:numId w:val="2"/>
        </w:numPr>
        <w:spacing w:before="0"/>
        <w:rPr>
          <w:rFonts w:ascii="Times New Roman" w:hAnsi="Times New Roman" w:cs="Times New Roman"/>
          <w:szCs w:val="20"/>
        </w:rPr>
      </w:pPr>
      <w:r>
        <w:rPr>
          <w:rFonts w:ascii="Times New Roman" w:hAnsi="Times New Roman"/>
        </w:rPr>
        <w:t>Koncentracija financiranja glede na nasprotno stranko (C 67.00)</w:t>
      </w:r>
    </w:p>
    <w:p w14:paraId="322C1A75" w14:textId="525ED095" w:rsidR="00A344AA" w:rsidRPr="007F5684" w:rsidRDefault="00490B62" w:rsidP="00432D9F">
      <w:pPr>
        <w:pStyle w:val="InstructionsText2"/>
        <w:numPr>
          <w:ilvl w:val="0"/>
          <w:numId w:val="6"/>
        </w:numPr>
        <w:rPr>
          <w:szCs w:val="20"/>
          <w:u w:val="none"/>
        </w:rPr>
      </w:pPr>
      <w:r>
        <w:rPr>
          <w:u w:val="none"/>
        </w:rPr>
        <w:t>Za zbiranje informacij o koncentraciji financiranja institucije poročevalke glede na nasprotno stranko v predlogi C 67.00 institucije uporabijo navodila iz tega dela.</w:t>
      </w:r>
    </w:p>
    <w:p w14:paraId="52091F90" w14:textId="16D35E11" w:rsidR="00A344AA" w:rsidRPr="00422131" w:rsidRDefault="00A344AA" w:rsidP="00E067B1">
      <w:pPr>
        <w:pStyle w:val="InstructionsText2"/>
        <w:numPr>
          <w:ilvl w:val="0"/>
          <w:numId w:val="6"/>
        </w:numPr>
        <w:rPr>
          <w:szCs w:val="20"/>
          <w:u w:val="none"/>
        </w:rPr>
      </w:pPr>
      <w:r>
        <w:rPr>
          <w:u w:val="none"/>
        </w:rPr>
        <w:t xml:space="preserve">Institucije sporočijo deset največjih nasprotnih strank ali skupino povezanih strank v skladu s členom 4(39) Uredbe št. 575/2013, če financiranje, pridobljeno od posamezne nasprotne stranke ali skupine povezanih strank, presega 1-odstotni prag v višini skupnih obveznosti v </w:t>
      </w:r>
      <w:proofErr w:type="spellStart"/>
      <w:r>
        <w:rPr>
          <w:u w:val="none"/>
        </w:rPr>
        <w:t>podvrsticah</w:t>
      </w:r>
      <w:proofErr w:type="spellEnd"/>
      <w:r>
        <w:rPr>
          <w:u w:val="none"/>
        </w:rPr>
        <w:t xml:space="preserve"> oddelka 1 predloge. Nasprotna stranka, ki se poroča v postavki 1.01, je nasprotna stranka, od katere institucija prejme največji znesek financiranja od ene nasprotne stranke ali skupine povezanih strank, ki presega 1-odstotni prag na datum poročanja; v postavki 1.02 se poroča druga največja nasprotna stranka, ki presega 1-odstotni prag; in tako naprej v preostalih postavkah.</w:t>
      </w:r>
    </w:p>
    <w:p w14:paraId="430CAED4" w14:textId="505B6732" w:rsidR="00A344AA" w:rsidRPr="00422131" w:rsidRDefault="00A344AA" w:rsidP="00490B62">
      <w:pPr>
        <w:pStyle w:val="InstructionsText2"/>
        <w:numPr>
          <w:ilvl w:val="0"/>
          <w:numId w:val="6"/>
        </w:numPr>
        <w:rPr>
          <w:szCs w:val="20"/>
          <w:u w:val="none"/>
        </w:rPr>
      </w:pPr>
      <w:r>
        <w:rPr>
          <w:u w:val="none"/>
        </w:rPr>
        <w:lastRenderedPageBreak/>
        <w:t xml:space="preserve">Kadar nasprotna stranka pripada več skupinam povezanih strank, se poroča samo enkrat v skupini z najvišjim zneskom financiranja. </w:t>
      </w:r>
    </w:p>
    <w:p w14:paraId="589BDAD9" w14:textId="67079620" w:rsidR="00A344AA" w:rsidRPr="00422131" w:rsidRDefault="00A344AA" w:rsidP="00490B62">
      <w:pPr>
        <w:pStyle w:val="InstructionsText2"/>
        <w:numPr>
          <w:ilvl w:val="0"/>
          <w:numId w:val="6"/>
        </w:numPr>
        <w:rPr>
          <w:szCs w:val="20"/>
          <w:u w:val="none"/>
        </w:rPr>
      </w:pPr>
      <w:r>
        <w:rPr>
          <w:u w:val="none"/>
        </w:rPr>
        <w:t>Institucije sporočijo skupni znesek vsega drugega preostalega financiranja v oddelku 2.</w:t>
      </w:r>
    </w:p>
    <w:p w14:paraId="6E279CE2" w14:textId="29172BB5" w:rsidR="00A344AA" w:rsidRPr="00422131" w:rsidRDefault="00A344AA" w:rsidP="00490B62">
      <w:pPr>
        <w:pStyle w:val="InstructionsText2"/>
        <w:numPr>
          <w:ilvl w:val="0"/>
          <w:numId w:val="6"/>
        </w:numPr>
        <w:rPr>
          <w:szCs w:val="20"/>
          <w:u w:val="none"/>
        </w:rPr>
      </w:pPr>
      <w:r>
        <w:rPr>
          <w:u w:val="none"/>
        </w:rPr>
        <w:t>Vsota oddelka 1 in oddelka 2 je enaka skupnemu financiranju institucije, kot je navedeno v njeni bilanci stanja, sporočeni v okviru računovodskega poročanja (FINREP).</w:t>
      </w:r>
    </w:p>
    <w:p w14:paraId="00BA7315" w14:textId="71355B4D" w:rsidR="00A344AA" w:rsidRPr="007F5684" w:rsidRDefault="00A344AA" w:rsidP="00AF270F">
      <w:pPr>
        <w:pStyle w:val="InstructionsText2"/>
        <w:numPr>
          <w:ilvl w:val="0"/>
          <w:numId w:val="6"/>
        </w:numPr>
        <w:rPr>
          <w:szCs w:val="20"/>
          <w:u w:val="none"/>
        </w:rPr>
      </w:pPr>
      <w:r>
        <w:rPr>
          <w:u w:val="none"/>
        </w:rPr>
        <w:t>Institucije za vsako nasprotno stranko izpolnijo vse stolpce 010 do 080.</w:t>
      </w:r>
    </w:p>
    <w:p w14:paraId="3425ECF0" w14:textId="65ED6564" w:rsidR="00A344AA" w:rsidRPr="0005060D" w:rsidRDefault="00A344AA" w:rsidP="00B90134">
      <w:pPr>
        <w:pStyle w:val="InstructionsText2"/>
        <w:numPr>
          <w:ilvl w:val="0"/>
          <w:numId w:val="6"/>
        </w:numPr>
        <w:rPr>
          <w:szCs w:val="20"/>
          <w:u w:val="none"/>
        </w:rPr>
      </w:pPr>
      <w:r>
        <w:rPr>
          <w:u w:val="none"/>
        </w:rPr>
        <w:t>Kadar se financiranje pridobi v obliki več vrst produktov, se poroča vrsta produkta, v obliki katerega je bil pridobljen največji delež financiranja. Opredelitev osnovnega imetnika vrednostnih papirjev se lahko izvede po najboljših prizadevanjih. Kadar ima institucija informacije o imetniku vrednostnih papirjev na podlagi svoje vloge skrbniške banke, ta znesek upošteva pri poročanju o koncentraciji nasprotnih strank. Kadar informacije o imetniku vrednostnih papirjev niso na voljo, ustreznega zneska ni treba sporočiti.</w:t>
      </w:r>
    </w:p>
    <w:p w14:paraId="2DFF75CD" w14:textId="77777777" w:rsidR="00A344AA" w:rsidRPr="007F5684" w:rsidRDefault="00A344AA" w:rsidP="009032C6">
      <w:pPr>
        <w:pStyle w:val="InstructionsText2"/>
        <w:numPr>
          <w:ilvl w:val="0"/>
          <w:numId w:val="6"/>
        </w:numPr>
        <w:rPr>
          <w:szCs w:val="20"/>
          <w:u w:val="none"/>
        </w:rPr>
      </w:pPr>
      <w:r>
        <w:rPr>
          <w:u w:val="none"/>
        </w:rPr>
        <w:t>Navodila za posamezne stolpce:</w:t>
      </w:r>
    </w:p>
    <w:tbl>
      <w:tblPr>
        <w:tblW w:w="5000" w:type="pct"/>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3641"/>
        <w:gridCol w:w="3639"/>
      </w:tblGrid>
      <w:tr w:rsidR="00A344AA" w:rsidRPr="007F5684" w14:paraId="74B455E0" w14:textId="77777777" w:rsidTr="003F0706">
        <w:trPr>
          <w:trHeight w:val="548"/>
        </w:trPr>
        <w:tc>
          <w:tcPr>
            <w:tcW w:w="729" w:type="pct"/>
            <w:shd w:val="clear" w:color="auto" w:fill="D9D9D9"/>
            <w:noWrap/>
            <w:vAlign w:val="center"/>
          </w:tcPr>
          <w:p w14:paraId="3C56FF4E" w14:textId="77777777" w:rsidR="00A344AA" w:rsidRPr="00811F18" w:rsidRDefault="00A344AA" w:rsidP="000B288B">
            <w:pPr>
              <w:spacing w:before="0" w:after="0"/>
              <w:jc w:val="left"/>
              <w:rPr>
                <w:color w:val="000000"/>
              </w:rPr>
            </w:pPr>
            <w:r>
              <w:rPr>
                <w:rStyle w:val="InstructionsTabelleText"/>
                <w:rFonts w:ascii="Times New Roman" w:hAnsi="Times New Roman"/>
                <w:color w:val="000000"/>
              </w:rPr>
              <w:t>Stolpec</w:t>
            </w:r>
          </w:p>
        </w:tc>
        <w:tc>
          <w:tcPr>
            <w:tcW w:w="4271" w:type="pct"/>
            <w:gridSpan w:val="2"/>
            <w:shd w:val="clear" w:color="auto" w:fill="D9D9D9"/>
            <w:vAlign w:val="center"/>
          </w:tcPr>
          <w:p w14:paraId="708D3843" w14:textId="77777777" w:rsidR="00A344AA" w:rsidRPr="00811F18" w:rsidRDefault="00A344AA" w:rsidP="000B288B">
            <w:pPr>
              <w:spacing w:before="0" w:after="0"/>
              <w:jc w:val="left"/>
            </w:pPr>
            <w:r>
              <w:rPr>
                <w:rStyle w:val="InstructionsTabelleText"/>
                <w:rFonts w:ascii="Times New Roman" w:hAnsi="Times New Roman"/>
              </w:rPr>
              <w:t>Pravna sklicevanja in navodila</w:t>
            </w:r>
          </w:p>
        </w:tc>
      </w:tr>
      <w:tr w:rsidR="00A344AA" w:rsidRPr="007F5684" w14:paraId="03B6122B" w14:textId="77777777" w:rsidTr="003F0706">
        <w:trPr>
          <w:trHeight w:val="765"/>
        </w:trPr>
        <w:tc>
          <w:tcPr>
            <w:tcW w:w="729" w:type="pct"/>
            <w:shd w:val="clear" w:color="auto" w:fill="auto"/>
            <w:noWrap/>
          </w:tcPr>
          <w:p w14:paraId="454F7606" w14:textId="77777777" w:rsidR="00A344AA" w:rsidRPr="007F5684" w:rsidRDefault="00A344AA">
            <w:pPr>
              <w:spacing w:before="0" w:after="0"/>
              <w:jc w:val="left"/>
              <w:rPr>
                <w:rFonts w:ascii="Times New Roman" w:hAnsi="Times New Roman"/>
                <w:color w:val="000000"/>
                <w:szCs w:val="20"/>
              </w:rPr>
            </w:pPr>
            <w:r>
              <w:rPr>
                <w:rFonts w:ascii="Times New Roman" w:hAnsi="Times New Roman"/>
                <w:color w:val="000000"/>
              </w:rPr>
              <w:t>010</w:t>
            </w:r>
          </w:p>
        </w:tc>
        <w:tc>
          <w:tcPr>
            <w:tcW w:w="4271" w:type="pct"/>
            <w:gridSpan w:val="2"/>
            <w:shd w:val="clear" w:color="auto" w:fill="auto"/>
          </w:tcPr>
          <w:p w14:paraId="146FA391" w14:textId="77777777" w:rsidR="00A344AA" w:rsidRPr="007F5684" w:rsidRDefault="00A344AA" w:rsidP="003A2647">
            <w:pPr>
              <w:spacing w:before="0" w:after="0"/>
              <w:rPr>
                <w:rFonts w:ascii="Times New Roman" w:hAnsi="Times New Roman"/>
                <w:b/>
                <w:szCs w:val="20"/>
                <w:u w:val="single"/>
              </w:rPr>
            </w:pPr>
            <w:r>
              <w:rPr>
                <w:rFonts w:ascii="Times New Roman" w:hAnsi="Times New Roman"/>
                <w:b/>
                <w:u w:val="single"/>
              </w:rPr>
              <w:t>Ime nasprotne stranke</w:t>
            </w:r>
          </w:p>
          <w:p w14:paraId="19E2ADEC" w14:textId="77777777" w:rsidR="00A344AA" w:rsidRPr="007F5684" w:rsidRDefault="00A344AA" w:rsidP="003A2647">
            <w:pPr>
              <w:spacing w:before="0" w:after="0"/>
              <w:rPr>
                <w:rFonts w:ascii="Times New Roman" w:hAnsi="Times New Roman"/>
                <w:b/>
                <w:szCs w:val="20"/>
                <w:u w:val="single"/>
              </w:rPr>
            </w:pPr>
          </w:p>
          <w:p w14:paraId="2836EBB6" w14:textId="3EE49AEF" w:rsidR="00A344AA" w:rsidRPr="007F5684" w:rsidRDefault="00A344AA" w:rsidP="00763448">
            <w:pPr>
              <w:spacing w:before="0" w:after="0"/>
              <w:rPr>
                <w:rFonts w:ascii="Times New Roman" w:hAnsi="Times New Roman"/>
                <w:szCs w:val="20"/>
              </w:rPr>
            </w:pPr>
            <w:r>
              <w:rPr>
                <w:rFonts w:ascii="Times New Roman" w:hAnsi="Times New Roman"/>
              </w:rPr>
              <w:t>Ime posamezne nasprotne stranke, ki je zagotovila financiranje, ki presega 1 % skupnih obveznosti, se navede v stolpcu 010 v padajočem vrstnem redu, tj. v vrstnem redu glede na velikost pridobljenega financiranja.</w:t>
            </w:r>
          </w:p>
          <w:p w14:paraId="5DFD68B3" w14:textId="77777777" w:rsidR="00A344AA" w:rsidRPr="007F5684" w:rsidRDefault="00A344AA" w:rsidP="00490B62">
            <w:pPr>
              <w:spacing w:before="0" w:after="0"/>
              <w:rPr>
                <w:rFonts w:ascii="Times New Roman" w:hAnsi="Times New Roman"/>
                <w:szCs w:val="20"/>
              </w:rPr>
            </w:pPr>
          </w:p>
          <w:p w14:paraId="5DA69516" w14:textId="05AEBC96" w:rsidR="00A344AA" w:rsidRPr="007F5684" w:rsidRDefault="00C663BC" w:rsidP="00490B62">
            <w:pPr>
              <w:spacing w:before="0" w:after="0"/>
              <w:rPr>
                <w:rFonts w:ascii="Times New Roman" w:hAnsi="Times New Roman"/>
                <w:szCs w:val="20"/>
              </w:rPr>
            </w:pPr>
            <w:r>
              <w:rPr>
                <w:rFonts w:ascii="Times New Roman" w:hAnsi="Times New Roman"/>
              </w:rPr>
              <w:t xml:space="preserve">Sporoči se ime nasprotne stranke, ne glede na to, ali je pravni subjekt ali fizična oseba. Če je nasprotna stranka pravni subjekt, je ime nasprotne stranke polno ime pravnega subjekta, ki zagotavlja financiranje, vključno z vsemi sklici na vrsto podjetja v skladu z nacionalnim pravom gospodarskih družb. </w:t>
            </w:r>
          </w:p>
          <w:p w14:paraId="5AB242B5" w14:textId="77777777" w:rsidR="00A344AA" w:rsidRPr="007F5684" w:rsidRDefault="00A344AA" w:rsidP="003A2647">
            <w:pPr>
              <w:spacing w:before="0" w:after="0"/>
              <w:rPr>
                <w:rFonts w:ascii="Times New Roman" w:hAnsi="Times New Roman"/>
                <w:szCs w:val="20"/>
              </w:rPr>
            </w:pPr>
          </w:p>
        </w:tc>
      </w:tr>
      <w:tr w:rsidR="00A344AA" w:rsidRPr="007F5684" w14:paraId="38D9E163" w14:textId="77777777" w:rsidTr="003F0706">
        <w:trPr>
          <w:trHeight w:val="765"/>
        </w:trPr>
        <w:tc>
          <w:tcPr>
            <w:tcW w:w="729" w:type="pct"/>
            <w:shd w:val="clear" w:color="auto" w:fill="auto"/>
            <w:noWrap/>
          </w:tcPr>
          <w:p w14:paraId="7AE3AB1F" w14:textId="77777777" w:rsidR="00A344AA" w:rsidRPr="007F5684" w:rsidRDefault="00A344AA" w:rsidP="000B288B">
            <w:pPr>
              <w:spacing w:before="0" w:after="0"/>
              <w:jc w:val="left"/>
              <w:rPr>
                <w:rFonts w:ascii="Times New Roman" w:hAnsi="Times New Roman"/>
                <w:color w:val="000000"/>
                <w:szCs w:val="20"/>
              </w:rPr>
            </w:pPr>
            <w:r>
              <w:rPr>
                <w:rFonts w:ascii="Times New Roman" w:hAnsi="Times New Roman"/>
                <w:color w:val="000000"/>
              </w:rPr>
              <w:t>020</w:t>
            </w:r>
          </w:p>
        </w:tc>
        <w:tc>
          <w:tcPr>
            <w:tcW w:w="4271" w:type="pct"/>
            <w:gridSpan w:val="2"/>
            <w:shd w:val="clear" w:color="auto" w:fill="auto"/>
          </w:tcPr>
          <w:p w14:paraId="0B28CA9D" w14:textId="77777777" w:rsidR="00A344AA" w:rsidRPr="007F5684" w:rsidRDefault="00A344AA" w:rsidP="00763448">
            <w:pPr>
              <w:pStyle w:val="InstructionsText"/>
              <w:rPr>
                <w:rStyle w:val="InstructionsTabelleberschrift"/>
                <w:rFonts w:ascii="Times New Roman" w:hAnsi="Times New Roman"/>
                <w:szCs w:val="20"/>
              </w:rPr>
            </w:pPr>
            <w:r>
              <w:rPr>
                <w:rStyle w:val="InstructionsTabelleberschrift"/>
                <w:rFonts w:ascii="Times New Roman" w:hAnsi="Times New Roman"/>
              </w:rPr>
              <w:t>Koda LEI</w:t>
            </w:r>
          </w:p>
          <w:p w14:paraId="36F19060" w14:textId="77777777" w:rsidR="00A344AA" w:rsidRPr="007F5684" w:rsidRDefault="00A344AA" w:rsidP="00490B62">
            <w:pPr>
              <w:pStyle w:val="InstructionsText"/>
              <w:rPr>
                <w:rStyle w:val="InstructionsTabelleberschrift"/>
                <w:rFonts w:ascii="Times New Roman" w:hAnsi="Times New Roman"/>
                <w:szCs w:val="20"/>
              </w:rPr>
            </w:pPr>
          </w:p>
          <w:p w14:paraId="6C3C7436" w14:textId="77777777" w:rsidR="00A344AA" w:rsidRDefault="00A344AA" w:rsidP="00490B62">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 xml:space="preserve">Koda identifikatorja pravnih subjektov nasprotne stranke. </w:t>
            </w:r>
          </w:p>
          <w:p w14:paraId="66432471" w14:textId="77777777" w:rsidR="00A344AA" w:rsidRPr="007F5684" w:rsidRDefault="00A344AA" w:rsidP="00A862BD">
            <w:pPr>
              <w:pStyle w:val="InstructionsText"/>
              <w:rPr>
                <w:b/>
                <w:szCs w:val="20"/>
              </w:rPr>
            </w:pPr>
          </w:p>
        </w:tc>
      </w:tr>
      <w:tr w:rsidR="00A344AA" w:rsidRPr="007F5684" w14:paraId="51607CEC" w14:textId="77777777" w:rsidTr="003D0976">
        <w:trPr>
          <w:trHeight w:val="510"/>
        </w:trPr>
        <w:tc>
          <w:tcPr>
            <w:tcW w:w="729" w:type="pct"/>
            <w:tcBorders>
              <w:bottom w:val="single" w:sz="4" w:space="0" w:color="auto"/>
            </w:tcBorders>
            <w:shd w:val="clear" w:color="auto" w:fill="auto"/>
            <w:noWrap/>
          </w:tcPr>
          <w:p w14:paraId="19A860BE" w14:textId="77777777" w:rsidR="00A344AA" w:rsidRPr="007F5684" w:rsidRDefault="00A344AA" w:rsidP="000B288B">
            <w:pPr>
              <w:spacing w:before="0" w:after="0"/>
              <w:jc w:val="left"/>
              <w:rPr>
                <w:rFonts w:ascii="Times New Roman" w:hAnsi="Times New Roman"/>
                <w:color w:val="000000"/>
                <w:szCs w:val="20"/>
              </w:rPr>
            </w:pPr>
            <w:r>
              <w:rPr>
                <w:rFonts w:ascii="Times New Roman" w:hAnsi="Times New Roman"/>
                <w:color w:val="000000"/>
              </w:rPr>
              <w:t>030</w:t>
            </w:r>
          </w:p>
        </w:tc>
        <w:tc>
          <w:tcPr>
            <w:tcW w:w="4271" w:type="pct"/>
            <w:gridSpan w:val="2"/>
            <w:tcBorders>
              <w:bottom w:val="single" w:sz="4" w:space="0" w:color="auto"/>
            </w:tcBorders>
            <w:shd w:val="clear" w:color="auto" w:fill="auto"/>
          </w:tcPr>
          <w:p w14:paraId="6B942154" w14:textId="77777777" w:rsidR="00A344AA" w:rsidRPr="007F5684" w:rsidRDefault="00A344AA" w:rsidP="003A2647">
            <w:pPr>
              <w:spacing w:before="0" w:after="0"/>
              <w:rPr>
                <w:rFonts w:ascii="Times New Roman" w:hAnsi="Times New Roman"/>
                <w:b/>
                <w:szCs w:val="20"/>
                <w:u w:val="single"/>
              </w:rPr>
            </w:pPr>
            <w:r>
              <w:rPr>
                <w:rFonts w:ascii="Times New Roman" w:hAnsi="Times New Roman"/>
                <w:b/>
                <w:u w:val="single"/>
              </w:rPr>
              <w:t>Sektor nasprotne stranke</w:t>
            </w:r>
          </w:p>
          <w:p w14:paraId="2CCF7839" w14:textId="77777777" w:rsidR="00A344AA" w:rsidRPr="007F5684" w:rsidRDefault="00A344AA" w:rsidP="003A2647">
            <w:pPr>
              <w:spacing w:before="0" w:after="0"/>
              <w:rPr>
                <w:rFonts w:ascii="Times New Roman" w:hAnsi="Times New Roman"/>
                <w:b/>
                <w:szCs w:val="20"/>
                <w:u w:val="single"/>
              </w:rPr>
            </w:pPr>
          </w:p>
          <w:p w14:paraId="2E43DAFB" w14:textId="2C4B739F" w:rsidR="00A344AA" w:rsidRPr="007F5684" w:rsidRDefault="00A344AA" w:rsidP="00763448">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Vsaki nasprotni stranki se dodeli en sektor glede na razrede gospodarskega sektorja na podlagi FINREP:</w:t>
            </w:r>
          </w:p>
          <w:p w14:paraId="7C349277" w14:textId="77777777" w:rsidR="00A344AA" w:rsidRPr="007F5684" w:rsidRDefault="00A344AA" w:rsidP="00490B62">
            <w:pPr>
              <w:pStyle w:val="InstructionsText"/>
              <w:rPr>
                <w:rStyle w:val="FormatvorlageInstructionsTabelleText"/>
                <w:rFonts w:ascii="Times New Roman" w:hAnsi="Times New Roman"/>
                <w:szCs w:val="20"/>
              </w:rPr>
            </w:pPr>
          </w:p>
          <w:p w14:paraId="07E3E3C8" w14:textId="77777777" w:rsidR="00A344AA" w:rsidRPr="007F5684" w:rsidRDefault="00A344AA" w:rsidP="00490B62">
            <w:pPr>
              <w:pStyle w:val="InstructionsText"/>
              <w:ind w:left="714"/>
              <w:rPr>
                <w:rStyle w:val="FormatvorlageInstructionsTabelleText"/>
                <w:rFonts w:ascii="Times New Roman" w:hAnsi="Times New Roman"/>
                <w:szCs w:val="20"/>
              </w:rPr>
            </w:pPr>
            <w:r>
              <w:rPr>
                <w:rStyle w:val="FormatvorlageInstructionsTabelleText"/>
                <w:rFonts w:ascii="Times New Roman" w:hAnsi="Times New Roman"/>
              </w:rPr>
              <w:t>(i) centralne banke; (</w:t>
            </w:r>
            <w:proofErr w:type="spellStart"/>
            <w:r>
              <w:rPr>
                <w:rStyle w:val="FormatvorlageInstructionsTabelleText"/>
                <w:rFonts w:ascii="Times New Roman" w:hAnsi="Times New Roman"/>
              </w:rPr>
              <w:t>ii</w:t>
            </w:r>
            <w:proofErr w:type="spellEnd"/>
            <w:r>
              <w:rPr>
                <w:rStyle w:val="FormatvorlageInstructionsTabelleText"/>
                <w:rFonts w:ascii="Times New Roman" w:hAnsi="Times New Roman"/>
              </w:rPr>
              <w:t>) sektor država; (</w:t>
            </w:r>
            <w:proofErr w:type="spellStart"/>
            <w:r>
              <w:rPr>
                <w:rStyle w:val="FormatvorlageInstructionsTabelleText"/>
                <w:rFonts w:ascii="Times New Roman" w:hAnsi="Times New Roman"/>
              </w:rPr>
              <w:t>iii</w:t>
            </w:r>
            <w:proofErr w:type="spellEnd"/>
            <w:r>
              <w:rPr>
                <w:rStyle w:val="FormatvorlageInstructionsTabelleText"/>
                <w:rFonts w:ascii="Times New Roman" w:hAnsi="Times New Roman"/>
              </w:rPr>
              <w:t xml:space="preserve">) kreditne institucije; (iv) druge finančne družbe; (v) nefinančne družbe; (vi) gospodinjstva. </w:t>
            </w:r>
          </w:p>
          <w:p w14:paraId="4CA62F92" w14:textId="77777777" w:rsidR="00A344AA" w:rsidRPr="007F5684" w:rsidRDefault="00A344AA" w:rsidP="00FA63BD">
            <w:pPr>
              <w:pStyle w:val="InstructionsText"/>
              <w:ind w:left="714"/>
              <w:rPr>
                <w:rStyle w:val="FormatvorlageInstructionsTabelleText"/>
                <w:rFonts w:ascii="Times New Roman" w:hAnsi="Times New Roman"/>
                <w:szCs w:val="20"/>
              </w:rPr>
            </w:pPr>
          </w:p>
          <w:p w14:paraId="1E7BCB8F" w14:textId="77777777" w:rsidR="00A344AA" w:rsidRPr="007F5684" w:rsidRDefault="00A344AA" w:rsidP="00FA63BD">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Pri skupinah povezanih strank se sektor ne poroča.</w:t>
            </w:r>
          </w:p>
          <w:p w14:paraId="0E3CE66C" w14:textId="77777777" w:rsidR="00A344AA" w:rsidRPr="007F5684" w:rsidRDefault="00A344AA" w:rsidP="006339CC">
            <w:pPr>
              <w:pStyle w:val="InstructionsText2"/>
              <w:numPr>
                <w:ilvl w:val="0"/>
                <w:numId w:val="0"/>
              </w:numPr>
              <w:spacing w:after="0"/>
              <w:ind w:left="714"/>
              <w:rPr>
                <w:szCs w:val="20"/>
              </w:rPr>
            </w:pPr>
          </w:p>
        </w:tc>
      </w:tr>
      <w:tr w:rsidR="00A344AA" w:rsidRPr="007F5684" w14:paraId="159CB0CE" w14:textId="77777777" w:rsidTr="003D0976">
        <w:trPr>
          <w:trHeight w:val="510"/>
        </w:trPr>
        <w:tc>
          <w:tcPr>
            <w:tcW w:w="729" w:type="pct"/>
            <w:tcBorders>
              <w:bottom w:val="nil"/>
            </w:tcBorders>
            <w:shd w:val="clear" w:color="auto" w:fill="auto"/>
            <w:noWrap/>
          </w:tcPr>
          <w:p w14:paraId="7DA552B5" w14:textId="77777777" w:rsidR="00A344AA" w:rsidRPr="007F5684" w:rsidRDefault="00A344AA" w:rsidP="000B288B">
            <w:pPr>
              <w:spacing w:before="0" w:after="0"/>
              <w:jc w:val="left"/>
              <w:rPr>
                <w:rFonts w:ascii="Times New Roman" w:hAnsi="Times New Roman"/>
                <w:color w:val="000000"/>
                <w:szCs w:val="20"/>
              </w:rPr>
            </w:pPr>
            <w:r>
              <w:rPr>
                <w:rFonts w:ascii="Times New Roman" w:hAnsi="Times New Roman"/>
                <w:color w:val="000000"/>
              </w:rPr>
              <w:t>040</w:t>
            </w:r>
          </w:p>
        </w:tc>
        <w:tc>
          <w:tcPr>
            <w:tcW w:w="4271" w:type="pct"/>
            <w:gridSpan w:val="2"/>
            <w:tcBorders>
              <w:bottom w:val="nil"/>
            </w:tcBorders>
            <w:shd w:val="clear" w:color="auto" w:fill="auto"/>
          </w:tcPr>
          <w:p w14:paraId="4A62D5F3" w14:textId="77777777" w:rsidR="00A344AA" w:rsidRPr="007F5684" w:rsidRDefault="00A344AA" w:rsidP="003A2647">
            <w:pPr>
              <w:spacing w:before="0" w:after="0"/>
              <w:rPr>
                <w:rFonts w:ascii="Times New Roman" w:hAnsi="Times New Roman"/>
                <w:b/>
                <w:szCs w:val="20"/>
                <w:u w:val="single"/>
              </w:rPr>
            </w:pPr>
            <w:r>
              <w:rPr>
                <w:rFonts w:ascii="Times New Roman" w:hAnsi="Times New Roman"/>
                <w:b/>
                <w:u w:val="single"/>
              </w:rPr>
              <w:t xml:space="preserve">Sedež nasprotne stranke </w:t>
            </w:r>
          </w:p>
          <w:p w14:paraId="4CB6B035" w14:textId="77777777" w:rsidR="00A344AA" w:rsidRPr="007F5684" w:rsidRDefault="00A344AA" w:rsidP="00763448">
            <w:pPr>
              <w:pStyle w:val="InstructionsText"/>
              <w:rPr>
                <w:rStyle w:val="FormatvorlageInstructionsTabelleText"/>
                <w:rFonts w:ascii="Times New Roman" w:hAnsi="Times New Roman"/>
                <w:b/>
                <w:szCs w:val="20"/>
              </w:rPr>
            </w:pPr>
          </w:p>
          <w:p w14:paraId="1792AE6F" w14:textId="7E5ED76F" w:rsidR="00A344AA" w:rsidRPr="00B261DB" w:rsidRDefault="00A344AA" w:rsidP="00490B62">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 xml:space="preserve">Uporabi se koda ISO 3166-1-alfa-2 države registracije nasprotne stranke, vključno s </w:t>
            </w:r>
            <w:proofErr w:type="spellStart"/>
            <w:r>
              <w:rPr>
                <w:rStyle w:val="FormatvorlageInstructionsTabelleText"/>
                <w:rFonts w:ascii="Times New Roman" w:hAnsi="Times New Roman"/>
              </w:rPr>
              <w:t>psevdo</w:t>
            </w:r>
            <w:proofErr w:type="spellEnd"/>
            <w:r>
              <w:rPr>
                <w:rStyle w:val="FormatvorlageInstructionsTabelleText"/>
                <w:rFonts w:ascii="Times New Roman" w:hAnsi="Times New Roman"/>
              </w:rPr>
              <w:t xml:space="preserve"> kodami ISO za mednarodne organizacije, ki so na voljo v</w:t>
            </w:r>
            <w:r>
              <w:rPr>
                <w:u w:val="none"/>
              </w:rPr>
              <w:t xml:space="preserve"> zadnji izdaji </w:t>
            </w:r>
            <w:proofErr w:type="spellStart"/>
            <w:r>
              <w:rPr>
                <w:u w:val="none"/>
              </w:rPr>
              <w:t>Eurostatovega</w:t>
            </w:r>
            <w:proofErr w:type="spellEnd"/>
            <w:r>
              <w:rPr>
                <w:u w:val="none"/>
              </w:rPr>
              <w:t xml:space="preserve"> priročnika za posredovanje podatkov o bilancah stanja (</w:t>
            </w:r>
            <w:proofErr w:type="spellStart"/>
            <w:r>
              <w:rPr>
                <w:u w:val="none"/>
              </w:rPr>
              <w:t>Balance</w:t>
            </w:r>
            <w:proofErr w:type="spellEnd"/>
            <w:r>
              <w:rPr>
                <w:u w:val="none"/>
              </w:rPr>
              <w:t xml:space="preserve"> </w:t>
            </w:r>
            <w:proofErr w:type="spellStart"/>
            <w:r>
              <w:rPr>
                <w:u w:val="none"/>
              </w:rPr>
              <w:t>of</w:t>
            </w:r>
            <w:proofErr w:type="spellEnd"/>
            <w:r>
              <w:rPr>
                <w:u w:val="none"/>
              </w:rPr>
              <w:t xml:space="preserve"> </w:t>
            </w:r>
            <w:proofErr w:type="spellStart"/>
            <w:r>
              <w:rPr>
                <w:u w:val="none"/>
              </w:rPr>
              <w:t>Payments</w:t>
            </w:r>
            <w:proofErr w:type="spellEnd"/>
            <w:r>
              <w:rPr>
                <w:u w:val="none"/>
              </w:rPr>
              <w:t xml:space="preserve"> </w:t>
            </w:r>
            <w:proofErr w:type="spellStart"/>
            <w:r>
              <w:rPr>
                <w:u w:val="none"/>
              </w:rPr>
              <w:t>Vademecum</w:t>
            </w:r>
            <w:proofErr w:type="spellEnd"/>
            <w:r>
              <w:rPr>
                <w:u w:val="none"/>
              </w:rPr>
              <w:t>)</w:t>
            </w:r>
            <w:r>
              <w:rPr>
                <w:rStyle w:val="FormatvorlageInstructionsTabelleText"/>
                <w:rFonts w:ascii="Times New Roman" w:hAnsi="Times New Roman"/>
              </w:rPr>
              <w:t xml:space="preserve">. </w:t>
            </w:r>
          </w:p>
          <w:p w14:paraId="713A8F3E" w14:textId="77777777" w:rsidR="00A344AA" w:rsidRPr="007F5684" w:rsidRDefault="00A344AA" w:rsidP="00490B62">
            <w:pPr>
              <w:pStyle w:val="InstructionsText"/>
              <w:rPr>
                <w:rStyle w:val="FormatvorlageInstructionsTabelleText"/>
                <w:rFonts w:ascii="Times New Roman" w:hAnsi="Times New Roman"/>
                <w:szCs w:val="20"/>
              </w:rPr>
            </w:pPr>
          </w:p>
          <w:p w14:paraId="6E964331" w14:textId="77777777" w:rsidR="00A344AA" w:rsidRPr="007F5684" w:rsidRDefault="00A344AA" w:rsidP="003A2647">
            <w:pPr>
              <w:spacing w:before="0" w:after="0"/>
              <w:rPr>
                <w:rFonts w:ascii="Times New Roman" w:hAnsi="Times New Roman"/>
                <w:b/>
                <w:szCs w:val="20"/>
                <w:u w:val="single"/>
              </w:rPr>
            </w:pPr>
            <w:r>
              <w:rPr>
                <w:rStyle w:val="FormatvorlageInstructionsTabelleText"/>
                <w:rFonts w:ascii="Times New Roman" w:hAnsi="Times New Roman"/>
              </w:rPr>
              <w:t xml:space="preserve">Pri skupinah povezanih strank se država ne poroča. </w:t>
            </w:r>
          </w:p>
        </w:tc>
      </w:tr>
      <w:tr w:rsidR="00A344AA" w:rsidRPr="007F5684" w14:paraId="6AA91692" w14:textId="77777777" w:rsidTr="003D0976">
        <w:trPr>
          <w:trHeight w:val="510"/>
        </w:trPr>
        <w:tc>
          <w:tcPr>
            <w:tcW w:w="729" w:type="pct"/>
            <w:tcBorders>
              <w:top w:val="nil"/>
              <w:bottom w:val="single" w:sz="4" w:space="0" w:color="auto"/>
            </w:tcBorders>
            <w:shd w:val="clear" w:color="auto" w:fill="auto"/>
            <w:noWrap/>
          </w:tcPr>
          <w:p w14:paraId="37378802" w14:textId="77777777" w:rsidR="00A344AA" w:rsidRPr="007F5684" w:rsidRDefault="00A344AA" w:rsidP="000B288B">
            <w:pPr>
              <w:spacing w:before="0" w:after="0"/>
              <w:jc w:val="left"/>
              <w:rPr>
                <w:rFonts w:ascii="Times New Roman" w:hAnsi="Times New Roman"/>
                <w:color w:val="000000"/>
                <w:szCs w:val="20"/>
              </w:rPr>
            </w:pPr>
          </w:p>
        </w:tc>
        <w:tc>
          <w:tcPr>
            <w:tcW w:w="2136" w:type="pct"/>
            <w:tcBorders>
              <w:top w:val="nil"/>
              <w:bottom w:val="single" w:sz="4" w:space="0" w:color="auto"/>
              <w:right w:val="nil"/>
            </w:tcBorders>
            <w:shd w:val="clear" w:color="auto" w:fill="auto"/>
          </w:tcPr>
          <w:p w14:paraId="68697EE7" w14:textId="77777777" w:rsidR="00A344AA" w:rsidRPr="007F5684" w:rsidRDefault="00A344AA" w:rsidP="003A2647">
            <w:pPr>
              <w:spacing w:before="0" w:after="0"/>
              <w:rPr>
                <w:rFonts w:ascii="Times New Roman" w:hAnsi="Times New Roman"/>
                <w:b/>
                <w:szCs w:val="20"/>
                <w:u w:val="single"/>
              </w:rPr>
            </w:pPr>
          </w:p>
        </w:tc>
        <w:tc>
          <w:tcPr>
            <w:tcW w:w="2135" w:type="pct"/>
            <w:tcBorders>
              <w:top w:val="nil"/>
              <w:left w:val="nil"/>
              <w:bottom w:val="single" w:sz="4" w:space="0" w:color="auto"/>
            </w:tcBorders>
            <w:shd w:val="clear" w:color="auto" w:fill="auto"/>
          </w:tcPr>
          <w:p w14:paraId="32365D61" w14:textId="77777777" w:rsidR="00A344AA" w:rsidRPr="007F5684" w:rsidRDefault="00A344AA" w:rsidP="003A2647">
            <w:pPr>
              <w:spacing w:before="0" w:after="0"/>
              <w:rPr>
                <w:rFonts w:ascii="Times New Roman" w:hAnsi="Times New Roman"/>
                <w:b/>
                <w:szCs w:val="20"/>
                <w:u w:val="single"/>
              </w:rPr>
            </w:pPr>
          </w:p>
        </w:tc>
      </w:tr>
      <w:tr w:rsidR="00A344AA" w:rsidRPr="007F5684" w14:paraId="693D372B" w14:textId="77777777" w:rsidTr="003D0976">
        <w:trPr>
          <w:trHeight w:val="765"/>
        </w:trPr>
        <w:tc>
          <w:tcPr>
            <w:tcW w:w="729" w:type="pct"/>
            <w:tcBorders>
              <w:top w:val="single" w:sz="4" w:space="0" w:color="auto"/>
              <w:bottom w:val="single" w:sz="4" w:space="0" w:color="auto"/>
            </w:tcBorders>
            <w:shd w:val="clear" w:color="auto" w:fill="auto"/>
            <w:noWrap/>
          </w:tcPr>
          <w:p w14:paraId="73D3D20D" w14:textId="77777777" w:rsidR="00A344AA" w:rsidRPr="007F5684" w:rsidRDefault="00A344AA" w:rsidP="000B288B">
            <w:pPr>
              <w:spacing w:before="0" w:after="0"/>
              <w:jc w:val="left"/>
              <w:rPr>
                <w:rFonts w:ascii="Times New Roman" w:hAnsi="Times New Roman"/>
                <w:color w:val="000000"/>
                <w:szCs w:val="20"/>
              </w:rPr>
            </w:pPr>
            <w:r>
              <w:rPr>
                <w:rFonts w:ascii="Times New Roman" w:hAnsi="Times New Roman"/>
                <w:color w:val="000000"/>
              </w:rPr>
              <w:lastRenderedPageBreak/>
              <w:t>050</w:t>
            </w:r>
          </w:p>
        </w:tc>
        <w:tc>
          <w:tcPr>
            <w:tcW w:w="4271" w:type="pct"/>
            <w:gridSpan w:val="2"/>
            <w:tcBorders>
              <w:top w:val="single" w:sz="4" w:space="0" w:color="auto"/>
              <w:bottom w:val="single" w:sz="4" w:space="0" w:color="auto"/>
            </w:tcBorders>
            <w:shd w:val="clear" w:color="auto" w:fill="auto"/>
          </w:tcPr>
          <w:p w14:paraId="202E35F5" w14:textId="77777777" w:rsidR="00A344AA" w:rsidRPr="007F5684" w:rsidRDefault="00A344AA" w:rsidP="003A2647">
            <w:pPr>
              <w:spacing w:before="0" w:after="0"/>
              <w:rPr>
                <w:rFonts w:ascii="Times New Roman" w:hAnsi="Times New Roman"/>
                <w:b/>
                <w:szCs w:val="20"/>
                <w:u w:val="single"/>
              </w:rPr>
            </w:pPr>
            <w:r>
              <w:rPr>
                <w:rFonts w:ascii="Times New Roman" w:hAnsi="Times New Roman"/>
                <w:b/>
                <w:u w:val="single"/>
              </w:rPr>
              <w:t>Vrsta produkta</w:t>
            </w:r>
          </w:p>
          <w:p w14:paraId="27D8CDCC" w14:textId="77777777" w:rsidR="00A344AA" w:rsidRPr="007F5684" w:rsidRDefault="00A344AA" w:rsidP="003A2647">
            <w:pPr>
              <w:spacing w:before="0" w:after="0"/>
              <w:rPr>
                <w:rFonts w:ascii="Times New Roman" w:hAnsi="Times New Roman"/>
                <w:b/>
                <w:szCs w:val="20"/>
                <w:u w:val="single"/>
              </w:rPr>
            </w:pPr>
          </w:p>
          <w:p w14:paraId="435BE420" w14:textId="00C0FA31" w:rsidR="00A344AA" w:rsidRPr="007F5684" w:rsidRDefault="00A344AA" w:rsidP="00763448">
            <w:pPr>
              <w:spacing w:before="0" w:after="0"/>
              <w:rPr>
                <w:rFonts w:ascii="Times New Roman" w:hAnsi="Times New Roman"/>
                <w:szCs w:val="20"/>
              </w:rPr>
            </w:pPr>
            <w:r>
              <w:rPr>
                <w:rFonts w:ascii="Times New Roman" w:hAnsi="Times New Roman"/>
              </w:rPr>
              <w:t>Nasprotnim strankam iz stolpca 010 se dodeli vrsta produkta, ki ustreza izdanemu produktu, v obliki katerega je bilo prejeto financiranje ali v obliki katerega je bil zagotovljen največji delež financiranja pri mešanih vrstah produktov, pri čemer se uporabijo naslednje kode, ki so navedene v krepkem tisku:</w:t>
            </w:r>
          </w:p>
          <w:p w14:paraId="374B715F" w14:textId="77777777" w:rsidR="00A344AA" w:rsidRPr="007F5684" w:rsidRDefault="00A344AA" w:rsidP="003A2647">
            <w:pPr>
              <w:spacing w:before="0" w:after="0"/>
              <w:ind w:left="108"/>
              <w:rPr>
                <w:rFonts w:ascii="Times New Roman" w:hAnsi="Times New Roman"/>
                <w:color w:val="000000"/>
                <w:szCs w:val="20"/>
              </w:rPr>
            </w:pPr>
          </w:p>
          <w:p w14:paraId="644929DE" w14:textId="77777777" w:rsidR="00A344AA" w:rsidRPr="007F5684" w:rsidRDefault="00A344AA" w:rsidP="003A2647">
            <w:pPr>
              <w:spacing w:before="0" w:after="0"/>
              <w:ind w:left="108"/>
              <w:rPr>
                <w:rFonts w:ascii="Times New Roman" w:hAnsi="Times New Roman"/>
                <w:color w:val="000000"/>
                <w:szCs w:val="20"/>
              </w:rPr>
            </w:pPr>
            <w:r>
              <w:rPr>
                <w:rFonts w:ascii="Times New Roman" w:hAnsi="Times New Roman"/>
                <w:b/>
                <w:color w:val="000000"/>
              </w:rPr>
              <w:t>UWF</w:t>
            </w:r>
            <w:r>
              <w:rPr>
                <w:rFonts w:ascii="Times New Roman" w:hAnsi="Times New Roman"/>
                <w:color w:val="000000"/>
              </w:rPr>
              <w:t xml:space="preserve"> (nezavarovano grosistično financiranje, pridobljeno od finančnih strank, vključno z medbančnimi denarnimi sredstvi)</w:t>
            </w:r>
          </w:p>
          <w:p w14:paraId="65D81A1D" w14:textId="77777777" w:rsidR="00A344AA" w:rsidRPr="007F5684" w:rsidRDefault="00A344AA" w:rsidP="003A2647">
            <w:pPr>
              <w:spacing w:before="0" w:after="0"/>
              <w:ind w:left="108"/>
              <w:rPr>
                <w:rFonts w:ascii="Times New Roman" w:hAnsi="Times New Roman"/>
                <w:color w:val="000000"/>
                <w:szCs w:val="20"/>
              </w:rPr>
            </w:pPr>
          </w:p>
          <w:p w14:paraId="2E6EBD07" w14:textId="77777777" w:rsidR="00A344AA" w:rsidRPr="007F5684" w:rsidRDefault="00A344AA" w:rsidP="003A2647">
            <w:pPr>
              <w:spacing w:before="0" w:after="0"/>
              <w:ind w:left="108"/>
              <w:rPr>
                <w:rFonts w:ascii="Times New Roman" w:hAnsi="Times New Roman"/>
                <w:color w:val="000000"/>
                <w:szCs w:val="20"/>
              </w:rPr>
            </w:pPr>
            <w:r>
              <w:rPr>
                <w:rFonts w:ascii="Times New Roman" w:hAnsi="Times New Roman"/>
                <w:b/>
                <w:color w:val="000000"/>
              </w:rPr>
              <w:t>UWNF</w:t>
            </w:r>
            <w:r>
              <w:rPr>
                <w:rFonts w:ascii="Times New Roman" w:hAnsi="Times New Roman"/>
                <w:color w:val="000000"/>
              </w:rPr>
              <w:t xml:space="preserve"> (nezavarovano grosistično financiranje, pridobljeno od nefinančnih strank)</w:t>
            </w:r>
          </w:p>
          <w:p w14:paraId="69567DFF" w14:textId="77777777" w:rsidR="00A344AA" w:rsidRPr="007F5684" w:rsidRDefault="00A344AA" w:rsidP="003A2647">
            <w:pPr>
              <w:spacing w:before="0" w:after="0"/>
              <w:ind w:left="108"/>
              <w:rPr>
                <w:rFonts w:ascii="Times New Roman" w:hAnsi="Times New Roman"/>
                <w:color w:val="000000"/>
                <w:szCs w:val="20"/>
              </w:rPr>
            </w:pPr>
          </w:p>
          <w:p w14:paraId="362C9247" w14:textId="3E33B3E9" w:rsidR="00A344AA" w:rsidRPr="007F5684" w:rsidRDefault="00792E65" w:rsidP="003A2647">
            <w:pPr>
              <w:spacing w:before="0" w:after="0"/>
              <w:ind w:left="108"/>
              <w:rPr>
                <w:rFonts w:ascii="Times New Roman" w:hAnsi="Times New Roman"/>
                <w:color w:val="000000"/>
                <w:szCs w:val="20"/>
              </w:rPr>
            </w:pPr>
            <w:r>
              <w:rPr>
                <w:rFonts w:ascii="Times New Roman" w:hAnsi="Times New Roman"/>
                <w:b/>
                <w:color w:val="000000"/>
              </w:rPr>
              <w:t>SFT</w:t>
            </w:r>
            <w:r>
              <w:rPr>
                <w:rFonts w:ascii="Times New Roman" w:hAnsi="Times New Roman"/>
                <w:color w:val="000000"/>
              </w:rPr>
              <w:t xml:space="preserve"> (financiranje, pridobljeno prek pogodb o začasni prodaji, kot so opredeljene v členu 4(1)(82) Uredbe (EU) št. 575/2013)</w:t>
            </w:r>
          </w:p>
          <w:p w14:paraId="66F4842F" w14:textId="77777777" w:rsidR="00A344AA" w:rsidRPr="007F5684" w:rsidRDefault="00A344AA" w:rsidP="003A2647">
            <w:pPr>
              <w:spacing w:before="0" w:after="0"/>
              <w:ind w:left="108"/>
              <w:rPr>
                <w:rFonts w:ascii="Times New Roman" w:hAnsi="Times New Roman"/>
                <w:color w:val="000000"/>
                <w:szCs w:val="20"/>
              </w:rPr>
            </w:pPr>
          </w:p>
          <w:p w14:paraId="4D7FE979" w14:textId="00122A3D" w:rsidR="00A344AA" w:rsidRPr="007F5684" w:rsidRDefault="00A344AA" w:rsidP="003A2647">
            <w:pPr>
              <w:spacing w:before="0" w:after="0"/>
              <w:ind w:left="108"/>
              <w:rPr>
                <w:rFonts w:ascii="Times New Roman" w:hAnsi="Times New Roman"/>
                <w:color w:val="000000"/>
                <w:szCs w:val="20"/>
              </w:rPr>
            </w:pPr>
            <w:r>
              <w:rPr>
                <w:rFonts w:ascii="Times New Roman" w:hAnsi="Times New Roman"/>
                <w:b/>
                <w:color w:val="000000"/>
              </w:rPr>
              <w:t>CB</w:t>
            </w:r>
            <w:r>
              <w:rPr>
                <w:rFonts w:ascii="Times New Roman" w:hAnsi="Times New Roman"/>
                <w:color w:val="000000"/>
              </w:rPr>
              <w:t xml:space="preserve"> (financiranje, pridobljeno prek izdaje kritih obveznic, kot so opredeljene v členu 129(4) ali (5) Uredbe (EU) št. 575/2013 ali členu 52(4) Direktive 2009/65/ES)</w:t>
            </w:r>
          </w:p>
          <w:p w14:paraId="3F2C9E19" w14:textId="77777777" w:rsidR="00A344AA" w:rsidRPr="007F5684" w:rsidRDefault="00A344AA" w:rsidP="003A2647">
            <w:pPr>
              <w:spacing w:before="0" w:after="0"/>
              <w:ind w:left="108"/>
              <w:rPr>
                <w:rFonts w:ascii="Times New Roman" w:hAnsi="Times New Roman"/>
                <w:color w:val="000000"/>
                <w:szCs w:val="20"/>
              </w:rPr>
            </w:pPr>
          </w:p>
          <w:p w14:paraId="2DBA0870" w14:textId="77777777" w:rsidR="00A344AA" w:rsidRPr="007F5684" w:rsidRDefault="00A344AA" w:rsidP="003A2647">
            <w:pPr>
              <w:spacing w:before="0" w:after="0"/>
              <w:ind w:left="108"/>
              <w:rPr>
                <w:rFonts w:ascii="Times New Roman" w:hAnsi="Times New Roman"/>
                <w:color w:val="000000"/>
                <w:szCs w:val="20"/>
              </w:rPr>
            </w:pPr>
            <w:r>
              <w:rPr>
                <w:rFonts w:ascii="Times New Roman" w:hAnsi="Times New Roman"/>
                <w:b/>
                <w:color w:val="000000"/>
              </w:rPr>
              <w:t>ABS</w:t>
            </w:r>
            <w:r>
              <w:rPr>
                <w:rFonts w:ascii="Times New Roman" w:hAnsi="Times New Roman"/>
                <w:color w:val="000000"/>
              </w:rPr>
              <w:t xml:space="preserve"> (financiranje, pridobljeno prek izdaje vrednostnih papirjev s premoženjskim kritjem, vključno s komercialnim zapisom s premoženjskim kritjem)</w:t>
            </w:r>
          </w:p>
          <w:p w14:paraId="54E284FB" w14:textId="77777777" w:rsidR="00A344AA" w:rsidRPr="007F5684" w:rsidRDefault="00A344AA" w:rsidP="003A2647">
            <w:pPr>
              <w:spacing w:before="0" w:after="0"/>
              <w:ind w:left="108"/>
              <w:rPr>
                <w:rFonts w:ascii="Times New Roman" w:hAnsi="Times New Roman"/>
                <w:color w:val="000000"/>
                <w:szCs w:val="20"/>
              </w:rPr>
            </w:pPr>
          </w:p>
          <w:p w14:paraId="1114784A" w14:textId="77777777" w:rsidR="00A344AA" w:rsidRDefault="00A344AA" w:rsidP="003A2647">
            <w:pPr>
              <w:spacing w:before="0" w:after="0"/>
              <w:ind w:left="108"/>
              <w:rPr>
                <w:rFonts w:ascii="Times New Roman" w:hAnsi="Times New Roman"/>
                <w:color w:val="000000"/>
                <w:szCs w:val="20"/>
              </w:rPr>
            </w:pPr>
            <w:r>
              <w:rPr>
                <w:rFonts w:ascii="Times New Roman" w:hAnsi="Times New Roman"/>
                <w:b/>
                <w:color w:val="000000"/>
              </w:rPr>
              <w:t>IGCP</w:t>
            </w:r>
            <w:r>
              <w:rPr>
                <w:rFonts w:ascii="Times New Roman" w:hAnsi="Times New Roman"/>
                <w:color w:val="000000"/>
              </w:rPr>
              <w:t xml:space="preserve"> (financiranje, pridobljeno od nasprotnih strank znotraj skupine)</w:t>
            </w:r>
          </w:p>
          <w:p w14:paraId="59575FF6" w14:textId="77777777" w:rsidR="00A344AA" w:rsidRDefault="00A344AA" w:rsidP="003A2647">
            <w:pPr>
              <w:spacing w:before="0" w:after="0"/>
              <w:ind w:left="108"/>
              <w:rPr>
                <w:rFonts w:ascii="Times New Roman" w:hAnsi="Times New Roman"/>
                <w:color w:val="000000"/>
                <w:szCs w:val="20"/>
              </w:rPr>
            </w:pPr>
          </w:p>
          <w:p w14:paraId="0809393C" w14:textId="77777777" w:rsidR="00A344AA" w:rsidRDefault="00A344AA" w:rsidP="003A2647">
            <w:pPr>
              <w:spacing w:before="0" w:after="0"/>
              <w:ind w:left="108"/>
              <w:rPr>
                <w:rFonts w:ascii="Times New Roman" w:hAnsi="Times New Roman"/>
                <w:color w:val="000000"/>
                <w:szCs w:val="20"/>
              </w:rPr>
            </w:pPr>
            <w:r>
              <w:rPr>
                <w:rFonts w:ascii="Times New Roman" w:hAnsi="Times New Roman"/>
                <w:b/>
                <w:color w:val="000000"/>
              </w:rPr>
              <w:t>OSWF</w:t>
            </w:r>
            <w:r>
              <w:rPr>
                <w:rFonts w:ascii="Times New Roman" w:hAnsi="Times New Roman"/>
                <w:color w:val="000000"/>
              </w:rPr>
              <w:t xml:space="preserve"> (drugo zavarovano grosistično financiranje)</w:t>
            </w:r>
          </w:p>
          <w:p w14:paraId="64E5769B" w14:textId="77777777" w:rsidR="00A344AA" w:rsidRDefault="00A344AA" w:rsidP="003A2647">
            <w:pPr>
              <w:spacing w:before="0" w:after="0"/>
              <w:ind w:left="108"/>
              <w:rPr>
                <w:rFonts w:ascii="Times New Roman" w:hAnsi="Times New Roman"/>
                <w:color w:val="000000"/>
                <w:szCs w:val="20"/>
              </w:rPr>
            </w:pPr>
          </w:p>
          <w:p w14:paraId="520400E8" w14:textId="77777777" w:rsidR="00A344AA" w:rsidRPr="007F5684" w:rsidRDefault="00A344AA" w:rsidP="003A2647">
            <w:pPr>
              <w:spacing w:before="0" w:after="0"/>
              <w:ind w:left="108"/>
              <w:rPr>
                <w:rFonts w:ascii="Times New Roman" w:hAnsi="Times New Roman"/>
                <w:color w:val="000000"/>
                <w:szCs w:val="20"/>
              </w:rPr>
            </w:pPr>
            <w:r>
              <w:rPr>
                <w:rFonts w:ascii="Times New Roman" w:hAnsi="Times New Roman"/>
                <w:b/>
                <w:color w:val="000000"/>
              </w:rPr>
              <w:t>OFP</w:t>
            </w:r>
            <w:r>
              <w:rPr>
                <w:rFonts w:ascii="Times New Roman" w:hAnsi="Times New Roman"/>
                <w:color w:val="000000"/>
              </w:rPr>
              <w:t xml:space="preserve"> (drugi produkti za financiranje, npr. financiranje na drobno)</w:t>
            </w:r>
          </w:p>
          <w:p w14:paraId="7EA3B3FF" w14:textId="77777777" w:rsidR="00A344AA" w:rsidRPr="007F5684" w:rsidRDefault="00A344AA" w:rsidP="003A2647">
            <w:pPr>
              <w:spacing w:before="0" w:after="0"/>
              <w:rPr>
                <w:rFonts w:ascii="Times New Roman" w:hAnsi="Times New Roman"/>
                <w:b/>
                <w:szCs w:val="20"/>
                <w:u w:val="single"/>
              </w:rPr>
            </w:pPr>
          </w:p>
        </w:tc>
      </w:tr>
      <w:tr w:rsidR="00A344AA" w:rsidRPr="007F5684" w14:paraId="5F88F47E" w14:textId="77777777" w:rsidTr="003D0976">
        <w:trPr>
          <w:trHeight w:val="510"/>
        </w:trPr>
        <w:tc>
          <w:tcPr>
            <w:tcW w:w="729" w:type="pct"/>
            <w:shd w:val="clear" w:color="auto" w:fill="auto"/>
            <w:noWrap/>
          </w:tcPr>
          <w:p w14:paraId="6C7A5E49" w14:textId="77777777" w:rsidR="00A344AA" w:rsidRPr="007F5684" w:rsidRDefault="00A344AA" w:rsidP="000B288B">
            <w:pPr>
              <w:spacing w:before="0" w:after="0"/>
              <w:jc w:val="left"/>
              <w:rPr>
                <w:rFonts w:ascii="Times New Roman" w:hAnsi="Times New Roman"/>
                <w:color w:val="000000"/>
                <w:szCs w:val="20"/>
              </w:rPr>
            </w:pPr>
            <w:r>
              <w:rPr>
                <w:rFonts w:ascii="Times New Roman" w:hAnsi="Times New Roman"/>
                <w:color w:val="000000"/>
              </w:rPr>
              <w:t>060</w:t>
            </w:r>
          </w:p>
        </w:tc>
        <w:tc>
          <w:tcPr>
            <w:tcW w:w="4271" w:type="pct"/>
            <w:gridSpan w:val="2"/>
            <w:tcBorders>
              <w:top w:val="single" w:sz="4" w:space="0" w:color="auto"/>
            </w:tcBorders>
            <w:shd w:val="clear" w:color="auto" w:fill="auto"/>
          </w:tcPr>
          <w:p w14:paraId="2D80056A" w14:textId="77777777" w:rsidR="00A344AA" w:rsidRPr="007F5684" w:rsidRDefault="00A344AA" w:rsidP="003A2647">
            <w:pPr>
              <w:spacing w:before="0" w:after="0"/>
              <w:rPr>
                <w:rFonts w:ascii="Times New Roman" w:hAnsi="Times New Roman"/>
                <w:b/>
                <w:szCs w:val="20"/>
                <w:u w:val="single"/>
              </w:rPr>
            </w:pPr>
            <w:r>
              <w:rPr>
                <w:rFonts w:ascii="Times New Roman" w:hAnsi="Times New Roman"/>
                <w:b/>
                <w:u w:val="single"/>
              </w:rPr>
              <w:t>Prejeti znesek</w:t>
            </w:r>
          </w:p>
          <w:p w14:paraId="235C86C1" w14:textId="77777777" w:rsidR="00A344AA" w:rsidRPr="007F5684" w:rsidRDefault="00A344AA" w:rsidP="003A2647">
            <w:pPr>
              <w:spacing w:before="0" w:after="0"/>
              <w:rPr>
                <w:rFonts w:ascii="Times New Roman" w:hAnsi="Times New Roman"/>
                <w:b/>
                <w:szCs w:val="20"/>
                <w:u w:val="single"/>
              </w:rPr>
            </w:pPr>
          </w:p>
          <w:p w14:paraId="2FAA6C63" w14:textId="53EB1C12" w:rsidR="00A344AA" w:rsidRPr="007F5684" w:rsidRDefault="00A344AA" w:rsidP="00763448">
            <w:pPr>
              <w:spacing w:before="0" w:after="0"/>
              <w:rPr>
                <w:rFonts w:ascii="Times New Roman" w:hAnsi="Times New Roman"/>
                <w:szCs w:val="20"/>
              </w:rPr>
            </w:pPr>
            <w:r>
              <w:rPr>
                <w:rFonts w:ascii="Times New Roman" w:hAnsi="Times New Roman"/>
              </w:rPr>
              <w:t xml:space="preserve">Skupni znesek financiranja, prejetega od nasprotnih strank iz stolpca 010, se navede v stolpcu 060, kjer institucije navedejo knjigovodske vrednosti. </w:t>
            </w:r>
          </w:p>
          <w:p w14:paraId="380CD660" w14:textId="77777777" w:rsidR="00A344AA" w:rsidRPr="007F5684" w:rsidRDefault="00A344AA" w:rsidP="003A2647">
            <w:pPr>
              <w:spacing w:before="0" w:after="0"/>
              <w:rPr>
                <w:rFonts w:ascii="Times New Roman" w:hAnsi="Times New Roman"/>
                <w:b/>
                <w:szCs w:val="20"/>
                <w:u w:val="single"/>
              </w:rPr>
            </w:pPr>
          </w:p>
        </w:tc>
      </w:tr>
      <w:tr w:rsidR="00A344AA" w:rsidRPr="007F5684" w14:paraId="12BAF631" w14:textId="77777777" w:rsidTr="003F0706">
        <w:trPr>
          <w:trHeight w:val="1020"/>
        </w:trPr>
        <w:tc>
          <w:tcPr>
            <w:tcW w:w="729" w:type="pct"/>
            <w:shd w:val="clear" w:color="auto" w:fill="auto"/>
            <w:noWrap/>
          </w:tcPr>
          <w:p w14:paraId="24187AE3" w14:textId="77777777" w:rsidR="00A344AA" w:rsidRPr="007F5684" w:rsidRDefault="00A344AA" w:rsidP="000B288B">
            <w:pPr>
              <w:spacing w:before="0" w:after="0"/>
              <w:jc w:val="left"/>
              <w:rPr>
                <w:rFonts w:ascii="Times New Roman" w:hAnsi="Times New Roman"/>
                <w:color w:val="000000"/>
                <w:szCs w:val="20"/>
              </w:rPr>
            </w:pPr>
            <w:r>
              <w:rPr>
                <w:rFonts w:ascii="Times New Roman" w:hAnsi="Times New Roman"/>
                <w:color w:val="000000"/>
              </w:rPr>
              <w:t>070</w:t>
            </w:r>
          </w:p>
        </w:tc>
        <w:tc>
          <w:tcPr>
            <w:tcW w:w="4271" w:type="pct"/>
            <w:gridSpan w:val="2"/>
            <w:shd w:val="clear" w:color="auto" w:fill="auto"/>
          </w:tcPr>
          <w:p w14:paraId="5A2F2CA2" w14:textId="7DA0BFAE" w:rsidR="00A344AA" w:rsidRPr="007F5684" w:rsidRDefault="00A344AA" w:rsidP="003A2647">
            <w:pPr>
              <w:spacing w:before="0" w:after="0"/>
              <w:rPr>
                <w:rFonts w:ascii="Times New Roman" w:hAnsi="Times New Roman"/>
                <w:b/>
                <w:szCs w:val="20"/>
                <w:u w:val="single"/>
              </w:rPr>
            </w:pPr>
            <w:r>
              <w:rPr>
                <w:rFonts w:ascii="Times New Roman" w:hAnsi="Times New Roman"/>
                <w:b/>
                <w:u w:val="single"/>
              </w:rPr>
              <w:t>Tehtana povprečna prvotna zapadlost</w:t>
            </w:r>
          </w:p>
          <w:p w14:paraId="5ED01858" w14:textId="77777777" w:rsidR="00A344AA" w:rsidRPr="007F5684" w:rsidRDefault="00A344AA" w:rsidP="003A2647">
            <w:pPr>
              <w:spacing w:before="0" w:after="0"/>
              <w:rPr>
                <w:rFonts w:ascii="Times New Roman" w:hAnsi="Times New Roman"/>
                <w:b/>
                <w:szCs w:val="20"/>
                <w:u w:val="single"/>
              </w:rPr>
            </w:pPr>
          </w:p>
          <w:p w14:paraId="7042CB79" w14:textId="1AE683FA" w:rsidR="00A344AA" w:rsidRPr="007F5684" w:rsidRDefault="00A344AA" w:rsidP="003A2647">
            <w:pPr>
              <w:spacing w:before="0" w:after="0"/>
              <w:rPr>
                <w:rFonts w:ascii="Times New Roman" w:hAnsi="Times New Roman"/>
                <w:szCs w:val="20"/>
              </w:rPr>
            </w:pPr>
            <w:r>
              <w:rPr>
                <w:rFonts w:ascii="Times New Roman" w:hAnsi="Times New Roman"/>
              </w:rPr>
              <w:t>Za znesek prejetega financiranja iz stolpca 060, prejetega od nasprotne stranke iz stolpca 010, se v stolpcu 070 navede tehtana povprečna prvotna zapadlost (v dneh) tega financiranja.</w:t>
            </w:r>
          </w:p>
          <w:p w14:paraId="4D84C330" w14:textId="77777777" w:rsidR="00A344AA" w:rsidRPr="007F5684" w:rsidRDefault="00A344AA" w:rsidP="003A2647">
            <w:pPr>
              <w:spacing w:before="0" w:after="0"/>
              <w:rPr>
                <w:rFonts w:ascii="Times New Roman" w:hAnsi="Times New Roman"/>
                <w:szCs w:val="20"/>
              </w:rPr>
            </w:pPr>
          </w:p>
          <w:p w14:paraId="7940E75E" w14:textId="645EFCBA" w:rsidR="00A344AA" w:rsidRPr="007F5684" w:rsidRDefault="008563C0" w:rsidP="003A2647">
            <w:pPr>
              <w:spacing w:before="0" w:after="0"/>
              <w:rPr>
                <w:rFonts w:ascii="Times New Roman" w:hAnsi="Times New Roman"/>
                <w:szCs w:val="20"/>
              </w:rPr>
            </w:pPr>
            <w:r>
              <w:rPr>
                <w:rFonts w:ascii="Times New Roman" w:hAnsi="Times New Roman"/>
              </w:rPr>
              <w:t>Tehtana povprečna prvotna zapadlost se izračuna kot povprečna prvotna zapadlost (v dneh) financiranja, prejetega od te nasprotne stranke. Povprečje se tehta glede na velikost, in sicer na podlagi velikosti različnih zneskov prejetega financiranja v primerjavi s skupnim financiranjem, prejetim od te nasprotne stranke.</w:t>
            </w:r>
          </w:p>
          <w:p w14:paraId="49F906AC" w14:textId="77777777" w:rsidR="00A344AA" w:rsidRPr="007F5684" w:rsidRDefault="00A344AA" w:rsidP="003A2647">
            <w:pPr>
              <w:spacing w:before="0" w:after="0"/>
              <w:rPr>
                <w:rFonts w:ascii="Times New Roman" w:hAnsi="Times New Roman"/>
                <w:szCs w:val="20"/>
              </w:rPr>
            </w:pPr>
          </w:p>
          <w:p w14:paraId="33D52360" w14:textId="6B07F50B" w:rsidR="00A344AA" w:rsidRPr="007F5684" w:rsidRDefault="00A344AA" w:rsidP="003A2647">
            <w:pPr>
              <w:spacing w:before="0" w:after="0"/>
              <w:rPr>
                <w:rFonts w:ascii="Times New Roman" w:hAnsi="Times New Roman"/>
                <w:szCs w:val="20"/>
              </w:rPr>
            </w:pPr>
          </w:p>
        </w:tc>
      </w:tr>
      <w:tr w:rsidR="00A344AA" w:rsidRPr="007F5684" w14:paraId="3227884A" w14:textId="77777777" w:rsidTr="00856DF7">
        <w:trPr>
          <w:trHeight w:val="1020"/>
        </w:trPr>
        <w:tc>
          <w:tcPr>
            <w:tcW w:w="729" w:type="pct"/>
            <w:tcBorders>
              <w:bottom w:val="single" w:sz="4" w:space="0" w:color="auto"/>
            </w:tcBorders>
            <w:shd w:val="clear" w:color="auto" w:fill="auto"/>
            <w:noWrap/>
          </w:tcPr>
          <w:p w14:paraId="298360E3" w14:textId="77777777" w:rsidR="00A344AA" w:rsidRPr="007F5684" w:rsidRDefault="00A344AA" w:rsidP="000B288B">
            <w:pPr>
              <w:spacing w:before="0" w:after="0"/>
              <w:jc w:val="left"/>
              <w:rPr>
                <w:rFonts w:ascii="Times New Roman" w:hAnsi="Times New Roman"/>
                <w:color w:val="000000"/>
                <w:szCs w:val="20"/>
              </w:rPr>
            </w:pPr>
            <w:r>
              <w:rPr>
                <w:rFonts w:ascii="Times New Roman" w:hAnsi="Times New Roman"/>
                <w:color w:val="000000"/>
              </w:rPr>
              <w:t>080</w:t>
            </w:r>
          </w:p>
        </w:tc>
        <w:tc>
          <w:tcPr>
            <w:tcW w:w="4271" w:type="pct"/>
            <w:gridSpan w:val="2"/>
            <w:tcBorders>
              <w:bottom w:val="single" w:sz="4" w:space="0" w:color="auto"/>
            </w:tcBorders>
            <w:shd w:val="clear" w:color="auto" w:fill="auto"/>
          </w:tcPr>
          <w:p w14:paraId="3028A8F3" w14:textId="77777777" w:rsidR="00A344AA" w:rsidRPr="007F5684" w:rsidRDefault="00A344AA" w:rsidP="003A2647">
            <w:pPr>
              <w:spacing w:before="0" w:after="0"/>
              <w:rPr>
                <w:rFonts w:ascii="Times New Roman" w:hAnsi="Times New Roman"/>
                <w:b/>
                <w:szCs w:val="20"/>
                <w:u w:val="single"/>
              </w:rPr>
            </w:pPr>
            <w:r>
              <w:rPr>
                <w:rFonts w:ascii="Times New Roman" w:hAnsi="Times New Roman"/>
                <w:b/>
                <w:u w:val="single"/>
              </w:rPr>
              <w:t>Tehtana povprečna preostala zapadlost</w:t>
            </w:r>
          </w:p>
          <w:p w14:paraId="22E64CDE" w14:textId="77777777" w:rsidR="00A344AA" w:rsidRPr="007F5684" w:rsidRDefault="00A344AA" w:rsidP="003A2647">
            <w:pPr>
              <w:spacing w:before="0" w:after="0"/>
              <w:rPr>
                <w:rFonts w:ascii="Times New Roman" w:hAnsi="Times New Roman"/>
                <w:b/>
                <w:szCs w:val="20"/>
                <w:u w:val="single"/>
              </w:rPr>
            </w:pPr>
          </w:p>
          <w:p w14:paraId="781FAB46" w14:textId="75715CD7" w:rsidR="00A344AA" w:rsidRPr="007F5684" w:rsidRDefault="00A344AA" w:rsidP="003A2647">
            <w:pPr>
              <w:spacing w:before="0" w:after="0"/>
              <w:rPr>
                <w:rFonts w:ascii="Times New Roman" w:hAnsi="Times New Roman"/>
                <w:szCs w:val="20"/>
              </w:rPr>
            </w:pPr>
            <w:r>
              <w:rPr>
                <w:rFonts w:ascii="Times New Roman" w:hAnsi="Times New Roman"/>
              </w:rPr>
              <w:t>Za znesek prejetega financiranja iz stolpca 060, prejetega od nasprotne stranke iz stolpca 010, se v stolpcu 080 sporoči tehtana povprečna preostala zapadlost (v dneh) tega financiranja.</w:t>
            </w:r>
          </w:p>
          <w:p w14:paraId="71FA9955" w14:textId="77777777" w:rsidR="00A344AA" w:rsidRPr="007F5684" w:rsidRDefault="00A344AA" w:rsidP="003A2647">
            <w:pPr>
              <w:spacing w:before="0" w:after="0"/>
              <w:rPr>
                <w:rFonts w:ascii="Times New Roman" w:hAnsi="Times New Roman"/>
                <w:szCs w:val="20"/>
              </w:rPr>
            </w:pPr>
          </w:p>
          <w:p w14:paraId="35D94A4A" w14:textId="5B1D2D39" w:rsidR="00A344AA" w:rsidRPr="007F5684" w:rsidRDefault="009C059B" w:rsidP="003A2647">
            <w:pPr>
              <w:spacing w:before="0" w:after="0"/>
              <w:rPr>
                <w:rFonts w:ascii="Times New Roman" w:hAnsi="Times New Roman"/>
                <w:szCs w:val="20"/>
              </w:rPr>
            </w:pPr>
            <w:r>
              <w:rPr>
                <w:rFonts w:ascii="Times New Roman" w:hAnsi="Times New Roman"/>
              </w:rPr>
              <w:t>Tehtana povprečna preostala zapadlost se izračuna kot povprečna zapadlost (v preostalih dneh) financiranja, prejetega od te nasprotne stranke. Povprečje se tehta glede na velikost, in sicer na podlagi velikosti različnih zneskov prejetega financiranja v primerjavi s skupnim financiranjem, prejetim od te nasprotne stranke.</w:t>
            </w:r>
          </w:p>
          <w:p w14:paraId="6C03CED3" w14:textId="77777777" w:rsidR="00A344AA" w:rsidRPr="007F5684" w:rsidRDefault="00A344AA" w:rsidP="003A2647">
            <w:pPr>
              <w:spacing w:before="0" w:after="0"/>
              <w:rPr>
                <w:rFonts w:ascii="Times New Roman" w:hAnsi="Times New Roman"/>
                <w:szCs w:val="20"/>
              </w:rPr>
            </w:pPr>
          </w:p>
          <w:p w14:paraId="4CB0B549" w14:textId="16B9E4AA" w:rsidR="00A344AA" w:rsidRPr="007F5684" w:rsidRDefault="00A344AA" w:rsidP="003A2647">
            <w:pPr>
              <w:spacing w:before="0" w:after="0"/>
              <w:rPr>
                <w:rFonts w:ascii="Times New Roman" w:hAnsi="Times New Roman"/>
                <w:b/>
                <w:szCs w:val="20"/>
                <w:u w:val="single"/>
              </w:rPr>
            </w:pPr>
          </w:p>
        </w:tc>
      </w:tr>
    </w:tbl>
    <w:p w14:paraId="0520EE98" w14:textId="77777777" w:rsidR="00A344AA" w:rsidRPr="007F5684" w:rsidRDefault="00A344AA" w:rsidP="00A344AA">
      <w:pPr>
        <w:pStyle w:val="Instructionsberschrift2"/>
        <w:numPr>
          <w:ilvl w:val="1"/>
          <w:numId w:val="2"/>
        </w:numPr>
        <w:spacing w:before="0"/>
        <w:rPr>
          <w:rFonts w:ascii="Times New Roman" w:hAnsi="Times New Roman" w:cs="Times New Roman"/>
          <w:szCs w:val="20"/>
        </w:rPr>
      </w:pPr>
      <w:r>
        <w:rPr>
          <w:rFonts w:ascii="Times New Roman" w:hAnsi="Times New Roman"/>
        </w:rPr>
        <w:lastRenderedPageBreak/>
        <w:t>Koncentracija financiranja glede na vrsto produkta (C 68.00)</w:t>
      </w:r>
    </w:p>
    <w:p w14:paraId="5B6DFC15" w14:textId="095CCDBC" w:rsidR="00A344AA" w:rsidRDefault="00A344AA" w:rsidP="00DE2988">
      <w:pPr>
        <w:pStyle w:val="InstructionsText2"/>
        <w:numPr>
          <w:ilvl w:val="0"/>
          <w:numId w:val="13"/>
        </w:numPr>
        <w:rPr>
          <w:szCs w:val="20"/>
          <w:u w:val="none"/>
        </w:rPr>
      </w:pPr>
      <w:r>
        <w:rPr>
          <w:u w:val="none"/>
        </w:rPr>
        <w:t>Ta predloga je namenjena zbiranju informacij o koncentraciji financiranja institucij poročevalk glede na vrsto produkta, razčlenjeni na vrste financiranja, kot je določeno v spodnjih navodilih v zvezi z vrsticami: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3"/>
        <w:gridCol w:w="7279"/>
      </w:tblGrid>
      <w:tr w:rsidR="003439C5" w:rsidRPr="007F5684" w14:paraId="4806820B" w14:textId="77777777" w:rsidTr="00D75947">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60B78C9D" w14:textId="2D8C2365" w:rsidR="003439C5" w:rsidRPr="007F5684" w:rsidRDefault="003439C5" w:rsidP="00D75947">
            <w:pPr>
              <w:spacing w:before="0" w:after="0"/>
              <w:jc w:val="left"/>
              <w:rPr>
                <w:rStyle w:val="InstructionsTabelleText"/>
                <w:rFonts w:ascii="Times New Roman" w:hAnsi="Times New Roman"/>
                <w:szCs w:val="20"/>
              </w:rPr>
            </w:pPr>
            <w:r>
              <w:rPr>
                <w:rStyle w:val="InstructionsTabelleText"/>
                <w:rFonts w:ascii="Times New Roman" w:hAnsi="Times New Roman"/>
              </w:rPr>
              <w:t>Vrstica</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7C9A56F2" w14:textId="77777777" w:rsidR="003439C5" w:rsidRPr="007F5684" w:rsidRDefault="003439C5" w:rsidP="00D75947">
            <w:pPr>
              <w:spacing w:before="0" w:after="0"/>
              <w:jc w:val="left"/>
              <w:rPr>
                <w:rStyle w:val="InstructionsTabelleText"/>
                <w:rFonts w:ascii="Times New Roman" w:hAnsi="Times New Roman"/>
                <w:szCs w:val="20"/>
              </w:rPr>
            </w:pPr>
            <w:r>
              <w:rPr>
                <w:rStyle w:val="InstructionsTabelleText"/>
                <w:rFonts w:ascii="Times New Roman" w:hAnsi="Times New Roman"/>
              </w:rPr>
              <w:t>Pravna sklicevanja in navodila</w:t>
            </w:r>
          </w:p>
        </w:tc>
      </w:tr>
      <w:tr w:rsidR="003439C5" w:rsidRPr="007F5684" w14:paraId="72F8A6C8"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3CB7AAB3" w14:textId="77777777" w:rsidR="003439C5" w:rsidRPr="007F5684" w:rsidRDefault="003439C5" w:rsidP="00D75947">
            <w:pPr>
              <w:spacing w:before="0" w:after="0"/>
              <w:jc w:val="left"/>
              <w:rPr>
                <w:rFonts w:ascii="Times New Roman" w:hAnsi="Times New Roman"/>
                <w:color w:val="000000"/>
                <w:szCs w:val="20"/>
              </w:rPr>
            </w:pPr>
            <w:r>
              <w:rPr>
                <w:rFonts w:ascii="Times New Roman" w:hAnsi="Times New Roman"/>
                <w:color w:val="000000"/>
              </w:rPr>
              <w:t>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6D1C7289" w14:textId="04B11E69" w:rsidR="003439C5" w:rsidRPr="007F5684" w:rsidRDefault="003439C5" w:rsidP="00D75947">
            <w:pPr>
              <w:spacing w:before="0" w:after="0"/>
              <w:rPr>
                <w:rFonts w:ascii="Times New Roman" w:hAnsi="Times New Roman"/>
                <w:b/>
                <w:szCs w:val="20"/>
                <w:u w:val="single"/>
              </w:rPr>
            </w:pPr>
            <w:r>
              <w:rPr>
                <w:rFonts w:ascii="Times New Roman" w:hAnsi="Times New Roman"/>
                <w:b/>
                <w:u w:val="single"/>
              </w:rPr>
              <w:t>1.</w:t>
            </w:r>
            <w:r w:rsidR="00DC49E8" w:rsidRPr="00DC49E8">
              <w:rPr>
                <w:u w:val="single"/>
              </w:rPr>
              <w:tab/>
            </w:r>
            <w:r>
              <w:rPr>
                <w:rFonts w:ascii="Times New Roman" w:hAnsi="Times New Roman"/>
                <w:b/>
                <w:u w:val="single"/>
              </w:rPr>
              <w:t>Financiranje na drobno</w:t>
            </w:r>
          </w:p>
          <w:p w14:paraId="7762E5FB" w14:textId="77777777" w:rsidR="003439C5" w:rsidRPr="007F5684" w:rsidRDefault="003439C5" w:rsidP="00D75947">
            <w:pPr>
              <w:spacing w:before="0" w:after="0"/>
              <w:rPr>
                <w:rFonts w:ascii="Times New Roman" w:hAnsi="Times New Roman"/>
                <w:b/>
                <w:szCs w:val="20"/>
                <w:u w:val="single"/>
              </w:rPr>
            </w:pPr>
          </w:p>
          <w:p w14:paraId="281DC3E6" w14:textId="047B4283" w:rsidR="003439C5" w:rsidRDefault="00E87A50" w:rsidP="00D75947">
            <w:pPr>
              <w:spacing w:before="0" w:after="0"/>
              <w:rPr>
                <w:szCs w:val="20"/>
              </w:rPr>
            </w:pPr>
            <w:r>
              <w:rPr>
                <w:rFonts w:ascii="Times New Roman" w:hAnsi="Times New Roman"/>
              </w:rPr>
              <w:t>Vloge na drobno, kot so opredeljene v členu 3(8) Delegirane uredbe 2015/61.</w:t>
            </w:r>
          </w:p>
          <w:p w14:paraId="18F10FD2" w14:textId="77777777" w:rsidR="003439C5" w:rsidRPr="007F5684" w:rsidRDefault="003439C5" w:rsidP="00D75947">
            <w:pPr>
              <w:spacing w:before="0" w:after="0"/>
              <w:rPr>
                <w:rFonts w:ascii="Times New Roman" w:hAnsi="Times New Roman"/>
                <w:b/>
                <w:szCs w:val="20"/>
                <w:u w:val="single"/>
              </w:rPr>
            </w:pPr>
          </w:p>
        </w:tc>
      </w:tr>
      <w:tr w:rsidR="003439C5" w:rsidRPr="007F5684" w14:paraId="1A68CA37"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8232909" w14:textId="77777777" w:rsidR="003439C5" w:rsidRPr="007F5684" w:rsidRDefault="003439C5" w:rsidP="00D75947">
            <w:pPr>
              <w:spacing w:before="0" w:after="0"/>
              <w:jc w:val="left"/>
              <w:rPr>
                <w:rFonts w:ascii="Times New Roman" w:hAnsi="Times New Roman"/>
                <w:color w:val="000000"/>
                <w:szCs w:val="20"/>
              </w:rPr>
            </w:pPr>
            <w:r>
              <w:rPr>
                <w:rFonts w:ascii="Times New Roman" w:hAnsi="Times New Roman"/>
                <w:color w:val="000000"/>
              </w:rPr>
              <w:t>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236458" w14:textId="4EA3EC40" w:rsidR="003439C5" w:rsidRPr="003439C5" w:rsidRDefault="00F40FD4" w:rsidP="003439C5">
            <w:pPr>
              <w:spacing w:before="0" w:after="0"/>
              <w:rPr>
                <w:rFonts w:ascii="Times New Roman" w:hAnsi="Times New Roman"/>
                <w:b/>
                <w:szCs w:val="20"/>
                <w:u w:val="single"/>
              </w:rPr>
            </w:pPr>
            <w:r>
              <w:rPr>
                <w:rFonts w:ascii="Times New Roman" w:hAnsi="Times New Roman"/>
                <w:b/>
                <w:u w:val="single"/>
              </w:rPr>
              <w:t>1.1</w:t>
            </w:r>
            <w:r w:rsidR="00DC49E8" w:rsidRPr="00DC49E8">
              <w:rPr>
                <w:u w:val="single"/>
              </w:rPr>
              <w:tab/>
            </w:r>
            <w:r>
              <w:rPr>
                <w:rFonts w:ascii="Times New Roman" w:hAnsi="Times New Roman"/>
                <w:b/>
                <w:u w:val="single"/>
              </w:rPr>
              <w:t>od tega vloge na vpogled</w:t>
            </w:r>
          </w:p>
          <w:p w14:paraId="3D85DAFF" w14:textId="77777777" w:rsidR="003439C5" w:rsidRPr="007F5684" w:rsidRDefault="003439C5" w:rsidP="00D75947">
            <w:pPr>
              <w:spacing w:before="0" w:after="0"/>
              <w:rPr>
                <w:rFonts w:ascii="Times New Roman" w:hAnsi="Times New Roman"/>
                <w:b/>
                <w:szCs w:val="20"/>
                <w:u w:val="single"/>
              </w:rPr>
            </w:pPr>
          </w:p>
          <w:p w14:paraId="6F473929" w14:textId="0E2878E2" w:rsidR="003439C5" w:rsidRPr="007F5684" w:rsidRDefault="003439C5" w:rsidP="00E87A50">
            <w:pPr>
              <w:spacing w:before="0" w:after="0"/>
              <w:rPr>
                <w:rFonts w:ascii="Times New Roman" w:hAnsi="Times New Roman"/>
                <w:b/>
                <w:szCs w:val="20"/>
                <w:u w:val="single"/>
              </w:rPr>
            </w:pPr>
            <w:r>
              <w:rPr>
                <w:rFonts w:ascii="Times New Roman" w:hAnsi="Times New Roman"/>
              </w:rPr>
              <w:t>Od financiranja na drobno v vrstici 010 vloge, ki so vloge na vpogled.</w:t>
            </w:r>
          </w:p>
        </w:tc>
      </w:tr>
      <w:tr w:rsidR="003439C5" w:rsidRPr="007F5684" w14:paraId="79D365ED"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1225E3F" w14:textId="732B510C" w:rsidR="003439C5" w:rsidRPr="007F5684" w:rsidRDefault="003439C5" w:rsidP="00D75947">
            <w:pPr>
              <w:spacing w:before="0" w:after="0"/>
              <w:jc w:val="left"/>
              <w:rPr>
                <w:rFonts w:ascii="Times New Roman" w:hAnsi="Times New Roman"/>
                <w:color w:val="000000"/>
                <w:szCs w:val="20"/>
              </w:rPr>
            </w:pPr>
            <w:r>
              <w:rPr>
                <w:rFonts w:ascii="Times New Roman" w:hAnsi="Times New Roman"/>
                <w:color w:val="000000"/>
              </w:rPr>
              <w:t>031</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9FFD85" w14:textId="20B0E8BA" w:rsidR="003439C5" w:rsidRPr="003439C5" w:rsidRDefault="00F40FD4" w:rsidP="003439C5">
            <w:pPr>
              <w:spacing w:before="0" w:after="0"/>
              <w:rPr>
                <w:rFonts w:ascii="Times New Roman" w:hAnsi="Times New Roman"/>
                <w:b/>
                <w:szCs w:val="20"/>
                <w:u w:val="single"/>
              </w:rPr>
            </w:pPr>
            <w:r>
              <w:rPr>
                <w:rFonts w:ascii="Times New Roman" w:hAnsi="Times New Roman"/>
                <w:b/>
                <w:u w:val="single"/>
              </w:rPr>
              <w:t>1.2</w:t>
            </w:r>
            <w:r w:rsidR="00DC49E8" w:rsidRPr="00DC49E8">
              <w:rPr>
                <w:u w:val="single"/>
              </w:rPr>
              <w:tab/>
            </w:r>
            <w:r>
              <w:rPr>
                <w:rFonts w:ascii="Times New Roman" w:hAnsi="Times New Roman"/>
                <w:b/>
                <w:u w:val="single"/>
              </w:rPr>
              <w:t>od tega vezane vloge, ki jih ni mogoče dvigniti v naslednjih 30 dneh</w:t>
            </w:r>
          </w:p>
          <w:p w14:paraId="664C04FE" w14:textId="77777777" w:rsidR="003439C5" w:rsidRPr="007F5684" w:rsidRDefault="003439C5" w:rsidP="00D75947">
            <w:pPr>
              <w:spacing w:before="0" w:after="0"/>
              <w:rPr>
                <w:rFonts w:ascii="Times New Roman" w:hAnsi="Times New Roman"/>
                <w:b/>
                <w:szCs w:val="20"/>
                <w:u w:val="single"/>
              </w:rPr>
            </w:pPr>
          </w:p>
          <w:p w14:paraId="3F7154EA" w14:textId="6CD4F7E9" w:rsidR="003439C5" w:rsidRPr="007F5684" w:rsidRDefault="003439C5" w:rsidP="00F40FD4">
            <w:pPr>
              <w:spacing w:before="0" w:after="0"/>
              <w:rPr>
                <w:rFonts w:ascii="Times New Roman" w:hAnsi="Times New Roman"/>
                <w:b/>
                <w:szCs w:val="20"/>
                <w:u w:val="single"/>
              </w:rPr>
            </w:pPr>
            <w:r>
              <w:rPr>
                <w:rFonts w:ascii="Times New Roman" w:hAnsi="Times New Roman"/>
              </w:rPr>
              <w:t>Od financiranja na drobno v vrstici 010 vloge, ki so vezane vloge, ki jih ni mogoče dvigniti v naslednjih 30 dneh.</w:t>
            </w:r>
          </w:p>
        </w:tc>
      </w:tr>
      <w:tr w:rsidR="003439C5" w:rsidRPr="007F5684" w14:paraId="69E1811C" w14:textId="77777777" w:rsidTr="00D75947">
        <w:trPr>
          <w:trHeight w:val="1020"/>
        </w:trPr>
        <w:tc>
          <w:tcPr>
            <w:tcW w:w="729" w:type="pct"/>
            <w:shd w:val="clear" w:color="auto" w:fill="auto"/>
            <w:noWrap/>
          </w:tcPr>
          <w:p w14:paraId="3DFA3BE5" w14:textId="7508042F" w:rsidR="003439C5" w:rsidRPr="007F5684" w:rsidRDefault="003439C5" w:rsidP="00D75947">
            <w:pPr>
              <w:spacing w:before="0" w:after="0"/>
              <w:jc w:val="left"/>
              <w:rPr>
                <w:rFonts w:ascii="Times New Roman" w:hAnsi="Times New Roman"/>
                <w:color w:val="000000"/>
                <w:szCs w:val="20"/>
              </w:rPr>
            </w:pPr>
            <w:r>
              <w:rPr>
                <w:rFonts w:ascii="Times New Roman" w:hAnsi="Times New Roman"/>
                <w:color w:val="000000"/>
              </w:rPr>
              <w:t>041</w:t>
            </w:r>
          </w:p>
        </w:tc>
        <w:tc>
          <w:tcPr>
            <w:tcW w:w="4271" w:type="pct"/>
            <w:shd w:val="clear" w:color="auto" w:fill="auto"/>
          </w:tcPr>
          <w:p w14:paraId="155ED8D2" w14:textId="5D815BE3" w:rsidR="003439C5" w:rsidRPr="003439C5" w:rsidRDefault="00F40FD4" w:rsidP="003439C5">
            <w:pPr>
              <w:spacing w:before="0" w:after="0"/>
              <w:rPr>
                <w:rFonts w:ascii="Times New Roman" w:hAnsi="Times New Roman"/>
                <w:b/>
                <w:szCs w:val="20"/>
                <w:u w:val="single"/>
              </w:rPr>
            </w:pPr>
            <w:r>
              <w:rPr>
                <w:rFonts w:ascii="Times New Roman" w:hAnsi="Times New Roman"/>
                <w:b/>
                <w:u w:val="single"/>
              </w:rPr>
              <w:t>1.3</w:t>
            </w:r>
            <w:r w:rsidR="00DC49E8" w:rsidRPr="00DC49E8">
              <w:rPr>
                <w:u w:val="single"/>
              </w:rPr>
              <w:tab/>
            </w:r>
            <w:r>
              <w:rPr>
                <w:rFonts w:ascii="Times New Roman" w:hAnsi="Times New Roman"/>
                <w:b/>
                <w:u w:val="single"/>
              </w:rPr>
              <w:t>od tega vezane vloge, ki jih je mogoče dvigniti v naslednjih 30 dneh</w:t>
            </w:r>
          </w:p>
          <w:p w14:paraId="16BCACF7" w14:textId="77777777" w:rsidR="003439C5" w:rsidRDefault="003439C5" w:rsidP="003439C5">
            <w:pPr>
              <w:spacing w:before="0" w:after="0"/>
              <w:rPr>
                <w:rFonts w:ascii="Times New Roman" w:hAnsi="Times New Roman"/>
                <w:b/>
                <w:szCs w:val="20"/>
                <w:u w:val="single"/>
              </w:rPr>
            </w:pPr>
          </w:p>
          <w:p w14:paraId="291A1D44" w14:textId="0FAEC826" w:rsidR="003439C5" w:rsidRPr="007F5684" w:rsidRDefault="00F40FD4" w:rsidP="00F40FD4">
            <w:pPr>
              <w:spacing w:before="0" w:after="0"/>
              <w:rPr>
                <w:rFonts w:ascii="Times New Roman" w:hAnsi="Times New Roman"/>
                <w:szCs w:val="20"/>
              </w:rPr>
            </w:pPr>
            <w:r>
              <w:rPr>
                <w:rFonts w:ascii="Times New Roman" w:hAnsi="Times New Roman"/>
              </w:rPr>
              <w:t>Od financiranja na drobno v vrstici 010 vloge, ki so vezane vloge, ki jih je mogoče dvigniti v naslednjih 30 dneh.</w:t>
            </w:r>
          </w:p>
        </w:tc>
      </w:tr>
      <w:tr w:rsidR="003439C5" w:rsidRPr="007F5684" w14:paraId="10740494" w14:textId="77777777" w:rsidTr="00D75947">
        <w:trPr>
          <w:trHeight w:val="1020"/>
        </w:trPr>
        <w:tc>
          <w:tcPr>
            <w:tcW w:w="729" w:type="pct"/>
            <w:shd w:val="clear" w:color="auto" w:fill="auto"/>
            <w:noWrap/>
          </w:tcPr>
          <w:p w14:paraId="0B22ECFC" w14:textId="3166A4D3" w:rsidR="003439C5" w:rsidRPr="007F5684" w:rsidRDefault="003439C5" w:rsidP="00DD136C">
            <w:pPr>
              <w:spacing w:before="0" w:after="0"/>
              <w:jc w:val="left"/>
              <w:rPr>
                <w:rFonts w:ascii="Times New Roman" w:hAnsi="Times New Roman"/>
                <w:color w:val="000000"/>
                <w:szCs w:val="20"/>
              </w:rPr>
            </w:pPr>
            <w:r>
              <w:rPr>
                <w:rFonts w:ascii="Times New Roman" w:hAnsi="Times New Roman"/>
                <w:color w:val="000000"/>
              </w:rPr>
              <w:t>070</w:t>
            </w:r>
          </w:p>
        </w:tc>
        <w:tc>
          <w:tcPr>
            <w:tcW w:w="4271" w:type="pct"/>
            <w:shd w:val="clear" w:color="auto" w:fill="auto"/>
          </w:tcPr>
          <w:p w14:paraId="7A9B7AD4" w14:textId="3FBB9C0B" w:rsidR="003439C5" w:rsidRPr="003439C5" w:rsidRDefault="00F40FD4" w:rsidP="003439C5">
            <w:pPr>
              <w:spacing w:before="0" w:after="0"/>
              <w:rPr>
                <w:rFonts w:ascii="Times New Roman" w:hAnsi="Times New Roman"/>
                <w:b/>
                <w:szCs w:val="20"/>
                <w:u w:val="single"/>
              </w:rPr>
            </w:pPr>
            <w:r>
              <w:rPr>
                <w:rFonts w:ascii="Times New Roman" w:hAnsi="Times New Roman"/>
                <w:b/>
                <w:u w:val="single"/>
              </w:rPr>
              <w:t>1.4</w:t>
            </w:r>
            <w:r w:rsidR="00DC49E8" w:rsidRPr="00DC49E8">
              <w:rPr>
                <w:u w:val="single"/>
              </w:rPr>
              <w:tab/>
            </w:r>
            <w:r>
              <w:rPr>
                <w:rFonts w:ascii="Times New Roman" w:hAnsi="Times New Roman"/>
                <w:b/>
                <w:u w:val="single"/>
              </w:rPr>
              <w:t>od tega varčevalni računi s katero koli izmed spodnjih značilnosti</w:t>
            </w:r>
          </w:p>
          <w:p w14:paraId="1715A370" w14:textId="77777777" w:rsidR="003439C5" w:rsidRPr="007F5684" w:rsidRDefault="003439C5" w:rsidP="00D75947">
            <w:pPr>
              <w:spacing w:before="0" w:after="0"/>
              <w:rPr>
                <w:rFonts w:ascii="Times New Roman" w:hAnsi="Times New Roman"/>
                <w:b/>
                <w:szCs w:val="20"/>
                <w:u w:val="single"/>
              </w:rPr>
            </w:pPr>
          </w:p>
          <w:p w14:paraId="1F5A77EE" w14:textId="77777777" w:rsidR="00F40FD4" w:rsidRDefault="00F40FD4" w:rsidP="00E87A50">
            <w:pPr>
              <w:spacing w:before="0" w:after="0"/>
              <w:rPr>
                <w:rFonts w:ascii="Times New Roman" w:hAnsi="Times New Roman"/>
                <w:szCs w:val="20"/>
              </w:rPr>
            </w:pPr>
            <w:r>
              <w:rPr>
                <w:rFonts w:ascii="Times New Roman" w:hAnsi="Times New Roman"/>
              </w:rPr>
              <w:t xml:space="preserve">Od financiranja na drobno </w:t>
            </w:r>
            <w:bookmarkStart w:id="2" w:name="_GoBack"/>
            <w:bookmarkEnd w:id="2"/>
            <w:r>
              <w:rPr>
                <w:rFonts w:ascii="Times New Roman" w:hAnsi="Times New Roman"/>
              </w:rPr>
              <w:t>v vrstici 010 tiste, ki so varčevalni računi s katero koli izmed spodnjih značilnosti:</w:t>
            </w:r>
          </w:p>
          <w:p w14:paraId="7001BAD2" w14:textId="2A97E8F3" w:rsidR="003439C5" w:rsidRDefault="00F40FD4" w:rsidP="00E87A50">
            <w:pPr>
              <w:spacing w:before="0" w:after="0"/>
              <w:rPr>
                <w:rFonts w:ascii="Times New Roman" w:hAnsi="Times New Roman"/>
                <w:szCs w:val="20"/>
              </w:rPr>
            </w:pPr>
            <w:r>
              <w:rPr>
                <w:rFonts w:ascii="Times New Roman" w:hAnsi="Times New Roman"/>
              </w:rPr>
              <w:t>– z rokom za predhodno obvestilo za dvig, daljšim od 30 dni;</w:t>
            </w:r>
          </w:p>
          <w:p w14:paraId="471376E8" w14:textId="6B5CE87D" w:rsidR="00F40FD4" w:rsidRDefault="00F40FD4" w:rsidP="00E87A50">
            <w:pPr>
              <w:spacing w:before="0" w:after="0"/>
              <w:rPr>
                <w:rFonts w:ascii="Times New Roman" w:hAnsi="Times New Roman"/>
                <w:szCs w:val="20"/>
              </w:rPr>
            </w:pPr>
            <w:r>
              <w:rPr>
                <w:rFonts w:ascii="Times New Roman" w:hAnsi="Times New Roman"/>
              </w:rPr>
              <w:t xml:space="preserve">– brez roka za predhodno obvestilo za dvig, daljšega od 30 dni. </w:t>
            </w:r>
          </w:p>
          <w:p w14:paraId="73B00647" w14:textId="77777777" w:rsidR="00B96DDB" w:rsidRDefault="00B96DDB" w:rsidP="00E87A50">
            <w:pPr>
              <w:spacing w:before="0" w:after="0"/>
              <w:rPr>
                <w:rFonts w:ascii="Times New Roman" w:hAnsi="Times New Roman"/>
                <w:szCs w:val="20"/>
              </w:rPr>
            </w:pPr>
          </w:p>
          <w:p w14:paraId="393C0E32" w14:textId="77777777" w:rsidR="00B96DDB" w:rsidRDefault="00B96DDB" w:rsidP="00B96DDB">
            <w:pPr>
              <w:spacing w:before="0" w:after="0"/>
              <w:rPr>
                <w:szCs w:val="20"/>
              </w:rPr>
            </w:pPr>
            <w:r>
              <w:rPr>
                <w:rFonts w:ascii="Times New Roman" w:hAnsi="Times New Roman"/>
              </w:rPr>
              <w:t>V to vrstico se ne poroča.</w:t>
            </w:r>
          </w:p>
          <w:p w14:paraId="0D6901BA" w14:textId="77777777" w:rsidR="003439C5" w:rsidRPr="007F5684" w:rsidRDefault="003439C5" w:rsidP="00D75947">
            <w:pPr>
              <w:spacing w:before="0" w:after="0"/>
              <w:rPr>
                <w:rFonts w:ascii="Times New Roman" w:hAnsi="Times New Roman"/>
                <w:b/>
                <w:szCs w:val="20"/>
                <w:u w:val="single"/>
              </w:rPr>
            </w:pPr>
          </w:p>
        </w:tc>
      </w:tr>
      <w:tr w:rsidR="003439C5" w:rsidRPr="007F5684" w14:paraId="36C0FB22" w14:textId="77777777" w:rsidTr="00D75947">
        <w:trPr>
          <w:trHeight w:val="1020"/>
        </w:trPr>
        <w:tc>
          <w:tcPr>
            <w:tcW w:w="729" w:type="pct"/>
            <w:shd w:val="clear" w:color="auto" w:fill="auto"/>
            <w:noWrap/>
          </w:tcPr>
          <w:p w14:paraId="167C152B" w14:textId="7FCDBA6F" w:rsidR="003439C5" w:rsidRDefault="003439C5" w:rsidP="00DD136C">
            <w:pPr>
              <w:spacing w:before="0" w:after="0"/>
              <w:jc w:val="left"/>
              <w:rPr>
                <w:rFonts w:ascii="Times New Roman" w:hAnsi="Times New Roman"/>
                <w:color w:val="000000"/>
                <w:szCs w:val="20"/>
              </w:rPr>
            </w:pPr>
            <w:r>
              <w:rPr>
                <w:rFonts w:ascii="Times New Roman" w:hAnsi="Times New Roman"/>
                <w:color w:val="000000"/>
              </w:rPr>
              <w:t>080</w:t>
            </w:r>
          </w:p>
        </w:tc>
        <w:tc>
          <w:tcPr>
            <w:tcW w:w="4271" w:type="pct"/>
            <w:shd w:val="clear" w:color="auto" w:fill="auto"/>
          </w:tcPr>
          <w:p w14:paraId="208924A1" w14:textId="05E44C81" w:rsidR="003439C5" w:rsidRPr="003439C5" w:rsidRDefault="00F40FD4" w:rsidP="003439C5">
            <w:pPr>
              <w:spacing w:before="0" w:after="0"/>
              <w:rPr>
                <w:rFonts w:ascii="Times New Roman" w:hAnsi="Times New Roman"/>
                <w:b/>
                <w:szCs w:val="20"/>
                <w:u w:val="single"/>
              </w:rPr>
            </w:pPr>
            <w:r>
              <w:rPr>
                <w:rFonts w:ascii="Times New Roman" w:hAnsi="Times New Roman"/>
                <w:b/>
                <w:u w:val="single"/>
              </w:rPr>
              <w:t xml:space="preserve">1.4.1 </w:t>
            </w:r>
            <w:r w:rsidR="00DC49E8" w:rsidRPr="00DC49E8">
              <w:rPr>
                <w:u w:val="single"/>
              </w:rPr>
              <w:tab/>
            </w:r>
            <w:r>
              <w:rPr>
                <w:rFonts w:ascii="Times New Roman" w:hAnsi="Times New Roman"/>
                <w:b/>
                <w:u w:val="single"/>
              </w:rPr>
              <w:t>z rokom za predhodno obvestilo za dvig, daljšim od 30 dni</w:t>
            </w:r>
          </w:p>
          <w:p w14:paraId="2CB5668A" w14:textId="468A8913" w:rsidR="00F40FD4" w:rsidRDefault="00F40FD4" w:rsidP="00F40FD4">
            <w:pPr>
              <w:spacing w:before="0" w:after="0"/>
              <w:rPr>
                <w:rFonts w:ascii="Times New Roman" w:hAnsi="Times New Roman"/>
                <w:szCs w:val="20"/>
              </w:rPr>
            </w:pPr>
            <w:r>
              <w:rPr>
                <w:rFonts w:ascii="Times New Roman" w:hAnsi="Times New Roman"/>
              </w:rPr>
              <w:t>Od financiranja na drobno v vrstici 010 tiste, ki so varčevalni računi z rokom za predhodno obvestilo za dvig, daljšim od 30 dni.</w:t>
            </w:r>
          </w:p>
          <w:p w14:paraId="3144C832" w14:textId="3416971B" w:rsidR="003439C5" w:rsidRPr="003439C5" w:rsidRDefault="003439C5" w:rsidP="00E87A50">
            <w:pPr>
              <w:spacing w:before="0" w:after="0"/>
              <w:rPr>
                <w:rFonts w:ascii="Times New Roman" w:hAnsi="Times New Roman"/>
                <w:b/>
                <w:szCs w:val="20"/>
                <w:u w:val="single"/>
              </w:rPr>
            </w:pPr>
          </w:p>
        </w:tc>
      </w:tr>
      <w:tr w:rsidR="003439C5" w:rsidRPr="007F5684" w14:paraId="29C0B503" w14:textId="77777777" w:rsidTr="00D75947">
        <w:trPr>
          <w:trHeight w:val="1020"/>
        </w:trPr>
        <w:tc>
          <w:tcPr>
            <w:tcW w:w="729" w:type="pct"/>
            <w:shd w:val="clear" w:color="auto" w:fill="auto"/>
            <w:noWrap/>
          </w:tcPr>
          <w:p w14:paraId="6665A670" w14:textId="5C7948D3" w:rsidR="003439C5" w:rsidRDefault="003439C5" w:rsidP="00DD136C">
            <w:pPr>
              <w:spacing w:before="0" w:after="0"/>
              <w:jc w:val="left"/>
              <w:rPr>
                <w:rFonts w:ascii="Times New Roman" w:hAnsi="Times New Roman"/>
                <w:color w:val="000000"/>
                <w:szCs w:val="20"/>
              </w:rPr>
            </w:pPr>
            <w:r>
              <w:rPr>
                <w:rFonts w:ascii="Times New Roman" w:hAnsi="Times New Roman"/>
                <w:color w:val="000000"/>
              </w:rPr>
              <w:t>090</w:t>
            </w:r>
          </w:p>
        </w:tc>
        <w:tc>
          <w:tcPr>
            <w:tcW w:w="4271" w:type="pct"/>
            <w:shd w:val="clear" w:color="auto" w:fill="auto"/>
          </w:tcPr>
          <w:p w14:paraId="41FDDED5" w14:textId="1964D6F7" w:rsidR="003439C5" w:rsidRPr="007F5684" w:rsidRDefault="00F40FD4" w:rsidP="003439C5">
            <w:pPr>
              <w:spacing w:before="0" w:after="0"/>
              <w:rPr>
                <w:rFonts w:ascii="Times New Roman" w:hAnsi="Times New Roman"/>
                <w:b/>
                <w:szCs w:val="20"/>
                <w:u w:val="single"/>
              </w:rPr>
            </w:pPr>
            <w:r>
              <w:rPr>
                <w:rFonts w:ascii="Times New Roman" w:hAnsi="Times New Roman"/>
                <w:b/>
                <w:u w:val="single"/>
              </w:rPr>
              <w:t xml:space="preserve">1.4.2 </w:t>
            </w:r>
            <w:r w:rsidR="00DC49E8" w:rsidRPr="00DC49E8">
              <w:rPr>
                <w:u w:val="single"/>
              </w:rPr>
              <w:tab/>
            </w:r>
            <w:r>
              <w:rPr>
                <w:rFonts w:ascii="Times New Roman" w:hAnsi="Times New Roman"/>
                <w:b/>
                <w:u w:val="single"/>
              </w:rPr>
              <w:t>brez roka za predhodno obvestilo za dvig, daljšega od 30 dni</w:t>
            </w:r>
          </w:p>
          <w:p w14:paraId="435A673F" w14:textId="77777777" w:rsidR="003439C5" w:rsidRPr="007F5684" w:rsidRDefault="003439C5" w:rsidP="003439C5">
            <w:pPr>
              <w:spacing w:before="0" w:after="0"/>
              <w:rPr>
                <w:rFonts w:ascii="Times New Roman" w:hAnsi="Times New Roman"/>
                <w:b/>
                <w:szCs w:val="20"/>
                <w:u w:val="single"/>
              </w:rPr>
            </w:pPr>
          </w:p>
          <w:p w14:paraId="1B1078F3" w14:textId="218E6A80" w:rsidR="003439C5" w:rsidRPr="007F5684" w:rsidRDefault="00F40FD4" w:rsidP="00E87A50">
            <w:pPr>
              <w:spacing w:before="0" w:after="0"/>
              <w:rPr>
                <w:rFonts w:ascii="Times New Roman" w:hAnsi="Times New Roman"/>
                <w:szCs w:val="20"/>
              </w:rPr>
            </w:pPr>
            <w:r>
              <w:rPr>
                <w:rFonts w:ascii="Times New Roman" w:hAnsi="Times New Roman"/>
              </w:rPr>
              <w:t>Od financiranja na drobno v vrstici 010 tiste, ki so varčevalni računi brez roka za predhodno obvestilo za dvig, daljšega od 30 dni.</w:t>
            </w:r>
          </w:p>
          <w:p w14:paraId="64AF0787" w14:textId="77777777" w:rsidR="003439C5" w:rsidRPr="003439C5" w:rsidRDefault="003439C5" w:rsidP="003439C5">
            <w:pPr>
              <w:spacing w:before="0" w:after="0"/>
              <w:rPr>
                <w:rFonts w:ascii="Times New Roman" w:hAnsi="Times New Roman"/>
                <w:b/>
                <w:szCs w:val="20"/>
                <w:u w:val="single"/>
              </w:rPr>
            </w:pPr>
          </w:p>
        </w:tc>
      </w:tr>
      <w:tr w:rsidR="003439C5" w:rsidRPr="007F5684" w14:paraId="3EAE3ABC" w14:textId="77777777" w:rsidTr="00D75947">
        <w:trPr>
          <w:trHeight w:val="1020"/>
        </w:trPr>
        <w:tc>
          <w:tcPr>
            <w:tcW w:w="729" w:type="pct"/>
            <w:shd w:val="clear" w:color="auto" w:fill="auto"/>
            <w:noWrap/>
          </w:tcPr>
          <w:p w14:paraId="45013687" w14:textId="7E7DAB46" w:rsidR="003439C5" w:rsidRDefault="00DD136C" w:rsidP="003439C5">
            <w:pPr>
              <w:spacing w:before="0" w:after="0"/>
              <w:jc w:val="left"/>
              <w:rPr>
                <w:rFonts w:ascii="Times New Roman" w:hAnsi="Times New Roman"/>
                <w:color w:val="000000"/>
                <w:szCs w:val="20"/>
              </w:rPr>
            </w:pPr>
            <w:r>
              <w:rPr>
                <w:rFonts w:ascii="Times New Roman" w:hAnsi="Times New Roman"/>
                <w:color w:val="000000"/>
              </w:rPr>
              <w:t>100</w:t>
            </w:r>
          </w:p>
        </w:tc>
        <w:tc>
          <w:tcPr>
            <w:tcW w:w="4271" w:type="pct"/>
            <w:shd w:val="clear" w:color="auto" w:fill="auto"/>
          </w:tcPr>
          <w:p w14:paraId="2DB2F0A4" w14:textId="6E074F6B" w:rsidR="003439C5" w:rsidRPr="007F5684" w:rsidRDefault="00F40FD4" w:rsidP="00D75947">
            <w:pPr>
              <w:spacing w:before="0" w:after="0"/>
              <w:rPr>
                <w:rFonts w:ascii="Times New Roman" w:hAnsi="Times New Roman"/>
                <w:b/>
                <w:szCs w:val="20"/>
                <w:u w:val="single"/>
              </w:rPr>
            </w:pPr>
            <w:r>
              <w:rPr>
                <w:rFonts w:ascii="Times New Roman" w:hAnsi="Times New Roman"/>
                <w:b/>
                <w:u w:val="single"/>
              </w:rPr>
              <w:t>2.</w:t>
            </w:r>
            <w:r w:rsidR="00DC49E8" w:rsidRPr="00DC49E8">
              <w:rPr>
                <w:u w:val="single"/>
              </w:rPr>
              <w:tab/>
            </w:r>
            <w:r>
              <w:rPr>
                <w:rFonts w:ascii="Times New Roman" w:hAnsi="Times New Roman"/>
                <w:b/>
                <w:u w:val="single"/>
              </w:rPr>
              <w:t>Za grosistično financiranje se šteje, da vključuje kar koli izmed naslednjega:</w:t>
            </w:r>
          </w:p>
          <w:p w14:paraId="44C69ED7" w14:textId="77777777" w:rsidR="003439C5" w:rsidRPr="007F5684" w:rsidRDefault="003439C5" w:rsidP="00D75947">
            <w:pPr>
              <w:spacing w:before="0" w:after="0"/>
              <w:rPr>
                <w:rFonts w:ascii="Times New Roman" w:hAnsi="Times New Roman"/>
                <w:b/>
                <w:szCs w:val="20"/>
                <w:u w:val="single"/>
              </w:rPr>
            </w:pPr>
          </w:p>
          <w:p w14:paraId="2A1113B0" w14:textId="2BCCD9C5" w:rsidR="006624FA" w:rsidRDefault="006624FA" w:rsidP="006624FA">
            <w:pPr>
              <w:spacing w:before="0" w:after="0"/>
              <w:rPr>
                <w:rFonts w:ascii="Times New Roman" w:hAnsi="Times New Roman"/>
                <w:szCs w:val="20"/>
              </w:rPr>
            </w:pPr>
            <w:r>
              <w:rPr>
                <w:rFonts w:ascii="Times New Roman" w:hAnsi="Times New Roman"/>
              </w:rPr>
              <w:t xml:space="preserve">Vse nasprotne stranke, razen vlog na drobno, kot so opredeljene v členu 3(8) Delegirane uredbe 2015/61.  </w:t>
            </w:r>
          </w:p>
          <w:p w14:paraId="70E19694" w14:textId="77777777" w:rsidR="00D75947" w:rsidRDefault="00D75947" w:rsidP="006624FA">
            <w:pPr>
              <w:spacing w:before="0" w:after="0"/>
              <w:rPr>
                <w:rFonts w:ascii="Times New Roman" w:hAnsi="Times New Roman"/>
                <w:szCs w:val="20"/>
              </w:rPr>
            </w:pPr>
          </w:p>
          <w:p w14:paraId="195A99EA" w14:textId="4C20BC3D" w:rsidR="00D75947" w:rsidRDefault="00D75947" w:rsidP="006624FA">
            <w:pPr>
              <w:spacing w:before="0" w:after="0"/>
              <w:rPr>
                <w:szCs w:val="20"/>
              </w:rPr>
            </w:pPr>
            <w:r>
              <w:rPr>
                <w:rFonts w:ascii="Times New Roman" w:hAnsi="Times New Roman"/>
              </w:rPr>
              <w:t>V to vrstico se ne poroča.</w:t>
            </w:r>
          </w:p>
          <w:p w14:paraId="5A95C4DD" w14:textId="50C842AE" w:rsidR="003439C5" w:rsidRPr="003439C5" w:rsidRDefault="003439C5" w:rsidP="003439C5">
            <w:pPr>
              <w:spacing w:before="0" w:after="0"/>
              <w:rPr>
                <w:rFonts w:ascii="Times New Roman" w:hAnsi="Times New Roman"/>
                <w:b/>
                <w:szCs w:val="20"/>
                <w:u w:val="single"/>
              </w:rPr>
            </w:pPr>
          </w:p>
        </w:tc>
      </w:tr>
      <w:tr w:rsidR="003439C5" w:rsidRPr="007F5684" w14:paraId="0F613C49" w14:textId="77777777" w:rsidTr="00D75947">
        <w:trPr>
          <w:trHeight w:val="1020"/>
        </w:trPr>
        <w:tc>
          <w:tcPr>
            <w:tcW w:w="729" w:type="pct"/>
            <w:shd w:val="clear" w:color="auto" w:fill="auto"/>
            <w:noWrap/>
          </w:tcPr>
          <w:p w14:paraId="4517EFDE" w14:textId="7DD7A036" w:rsidR="003439C5" w:rsidRDefault="00DD136C" w:rsidP="003439C5">
            <w:pPr>
              <w:spacing w:before="0" w:after="0"/>
              <w:jc w:val="left"/>
              <w:rPr>
                <w:rFonts w:ascii="Times New Roman" w:hAnsi="Times New Roman"/>
                <w:color w:val="000000"/>
                <w:szCs w:val="20"/>
              </w:rPr>
            </w:pPr>
            <w:r>
              <w:rPr>
                <w:rFonts w:ascii="Times New Roman" w:hAnsi="Times New Roman"/>
                <w:color w:val="000000"/>
              </w:rPr>
              <w:t>110</w:t>
            </w:r>
          </w:p>
        </w:tc>
        <w:tc>
          <w:tcPr>
            <w:tcW w:w="4271" w:type="pct"/>
            <w:shd w:val="clear" w:color="auto" w:fill="auto"/>
          </w:tcPr>
          <w:p w14:paraId="123E76B1" w14:textId="7A6A2008" w:rsidR="003439C5" w:rsidRDefault="00F40FD4" w:rsidP="00D75947">
            <w:pPr>
              <w:spacing w:before="0" w:after="0"/>
              <w:rPr>
                <w:rFonts w:ascii="Times New Roman" w:hAnsi="Times New Roman"/>
                <w:b/>
                <w:szCs w:val="20"/>
                <w:u w:val="single"/>
              </w:rPr>
            </w:pPr>
            <w:r>
              <w:rPr>
                <w:rFonts w:ascii="Times New Roman" w:hAnsi="Times New Roman"/>
                <w:b/>
                <w:u w:val="single"/>
              </w:rPr>
              <w:t>2.1</w:t>
            </w:r>
            <w:r w:rsidR="00DC49E8" w:rsidRPr="00DC49E8">
              <w:rPr>
                <w:u w:val="single"/>
              </w:rPr>
              <w:tab/>
            </w:r>
            <w:r>
              <w:rPr>
                <w:rFonts w:ascii="Times New Roman" w:hAnsi="Times New Roman"/>
                <w:b/>
                <w:u w:val="single"/>
              </w:rPr>
              <w:t>nezavarovano grosistično financiranje</w:t>
            </w:r>
          </w:p>
          <w:p w14:paraId="08EF0039" w14:textId="77777777" w:rsidR="00E87A50" w:rsidRPr="007F5684" w:rsidRDefault="00E87A50" w:rsidP="00D75947">
            <w:pPr>
              <w:spacing w:before="0" w:after="0"/>
              <w:rPr>
                <w:rFonts w:ascii="Times New Roman" w:hAnsi="Times New Roman"/>
                <w:b/>
                <w:szCs w:val="20"/>
                <w:u w:val="single"/>
              </w:rPr>
            </w:pPr>
          </w:p>
          <w:p w14:paraId="765487C0" w14:textId="44FBCA3A" w:rsidR="00AD3ACF" w:rsidRDefault="00AD3ACF" w:rsidP="00AD3ACF">
            <w:pPr>
              <w:spacing w:before="0" w:after="0"/>
              <w:rPr>
                <w:szCs w:val="20"/>
              </w:rPr>
            </w:pPr>
            <w:r>
              <w:rPr>
                <w:rFonts w:ascii="Times New Roman" w:hAnsi="Times New Roman"/>
              </w:rPr>
              <w:t>Vse nasprotne stranke, razen vlog na drobno, kot so opredeljene v členu 3(8) Delegirane uredbe 2015/61, kadar financiranje ni zavarovano.</w:t>
            </w:r>
          </w:p>
          <w:p w14:paraId="4259F037" w14:textId="77777777" w:rsidR="003439C5" w:rsidRPr="003439C5" w:rsidRDefault="003439C5" w:rsidP="003439C5">
            <w:pPr>
              <w:spacing w:before="0" w:after="0"/>
              <w:rPr>
                <w:rFonts w:ascii="Times New Roman" w:hAnsi="Times New Roman"/>
                <w:b/>
                <w:szCs w:val="20"/>
                <w:u w:val="single"/>
              </w:rPr>
            </w:pPr>
          </w:p>
        </w:tc>
      </w:tr>
      <w:tr w:rsidR="003439C5" w:rsidRPr="007F5684" w14:paraId="53E051F8" w14:textId="77777777" w:rsidTr="00D75947">
        <w:trPr>
          <w:trHeight w:val="1020"/>
        </w:trPr>
        <w:tc>
          <w:tcPr>
            <w:tcW w:w="729" w:type="pct"/>
            <w:shd w:val="clear" w:color="auto" w:fill="auto"/>
            <w:noWrap/>
          </w:tcPr>
          <w:p w14:paraId="6B94D89A" w14:textId="75267786" w:rsidR="003439C5" w:rsidRDefault="00DD136C" w:rsidP="003439C5">
            <w:pPr>
              <w:spacing w:before="0" w:after="0"/>
              <w:jc w:val="left"/>
              <w:rPr>
                <w:rFonts w:ascii="Times New Roman" w:hAnsi="Times New Roman"/>
                <w:color w:val="000000"/>
                <w:szCs w:val="20"/>
              </w:rPr>
            </w:pPr>
            <w:r>
              <w:rPr>
                <w:rFonts w:ascii="Times New Roman" w:hAnsi="Times New Roman"/>
                <w:color w:val="000000"/>
              </w:rPr>
              <w:lastRenderedPageBreak/>
              <w:t>120</w:t>
            </w:r>
          </w:p>
        </w:tc>
        <w:tc>
          <w:tcPr>
            <w:tcW w:w="4271" w:type="pct"/>
            <w:shd w:val="clear" w:color="auto" w:fill="auto"/>
          </w:tcPr>
          <w:p w14:paraId="6C6FDC97" w14:textId="5F20E8FA" w:rsidR="003439C5" w:rsidRDefault="00F40FD4" w:rsidP="00D75947">
            <w:pPr>
              <w:spacing w:before="0" w:after="0"/>
              <w:rPr>
                <w:rFonts w:ascii="Times New Roman" w:hAnsi="Times New Roman"/>
                <w:b/>
                <w:szCs w:val="20"/>
                <w:u w:val="single"/>
              </w:rPr>
            </w:pPr>
            <w:r>
              <w:rPr>
                <w:rFonts w:ascii="Times New Roman" w:hAnsi="Times New Roman"/>
                <w:b/>
                <w:u w:val="single"/>
              </w:rPr>
              <w:t>2.1.1</w:t>
            </w:r>
            <w:r w:rsidR="00DC49E8" w:rsidRPr="00DC49E8">
              <w:rPr>
                <w:u w:val="single"/>
              </w:rPr>
              <w:tab/>
            </w:r>
            <w:r>
              <w:rPr>
                <w:rFonts w:ascii="Times New Roman" w:hAnsi="Times New Roman"/>
                <w:b/>
                <w:u w:val="single"/>
              </w:rPr>
              <w:t>od tega krediti in vloge finančnih strank</w:t>
            </w:r>
          </w:p>
          <w:p w14:paraId="3BB695C9" w14:textId="77777777" w:rsidR="003439C5" w:rsidRPr="007F5684" w:rsidRDefault="003439C5" w:rsidP="00D75947">
            <w:pPr>
              <w:spacing w:before="0" w:after="0"/>
              <w:rPr>
                <w:rFonts w:ascii="Times New Roman" w:hAnsi="Times New Roman"/>
                <w:b/>
                <w:szCs w:val="20"/>
                <w:u w:val="single"/>
              </w:rPr>
            </w:pPr>
          </w:p>
          <w:p w14:paraId="0788F5FB" w14:textId="3CF5EEE5" w:rsidR="00AD3ACF" w:rsidRDefault="00AD3ACF" w:rsidP="00AD3ACF">
            <w:pPr>
              <w:spacing w:before="0" w:after="0"/>
              <w:rPr>
                <w:rFonts w:ascii="Times New Roman" w:hAnsi="Times New Roman"/>
                <w:szCs w:val="20"/>
              </w:rPr>
            </w:pPr>
            <w:r>
              <w:rPr>
                <w:rFonts w:ascii="Times New Roman" w:hAnsi="Times New Roman"/>
              </w:rPr>
              <w:t>Od financiranja v vrstici 110 financiranje, ki ga sestavljajo krediti in vloge finančnih strank.</w:t>
            </w:r>
          </w:p>
          <w:p w14:paraId="1EBF28E1" w14:textId="77777777" w:rsidR="00D75947" w:rsidRDefault="00D75947" w:rsidP="00AD3ACF">
            <w:pPr>
              <w:spacing w:before="0" w:after="0"/>
              <w:rPr>
                <w:rFonts w:ascii="Times New Roman" w:hAnsi="Times New Roman"/>
                <w:szCs w:val="20"/>
              </w:rPr>
            </w:pPr>
          </w:p>
          <w:p w14:paraId="268FF204" w14:textId="60AA5C50" w:rsidR="00D75947" w:rsidRPr="00EB2AD3" w:rsidRDefault="00D75947" w:rsidP="00AD3ACF">
            <w:pPr>
              <w:spacing w:before="0" w:after="0"/>
              <w:rPr>
                <w:rFonts w:ascii="Times New Roman" w:hAnsi="Times New Roman"/>
                <w:szCs w:val="20"/>
              </w:rPr>
            </w:pPr>
            <w:r>
              <w:rPr>
                <w:rFonts w:ascii="Times New Roman" w:hAnsi="Times New Roman"/>
              </w:rPr>
              <w:t xml:space="preserve">Financiranje s strani centralnih bank se izključi iz te vrstice. </w:t>
            </w:r>
          </w:p>
          <w:p w14:paraId="4846816F" w14:textId="4CB99B55" w:rsidR="003439C5" w:rsidRPr="003439C5" w:rsidRDefault="003439C5" w:rsidP="003439C5">
            <w:pPr>
              <w:spacing w:before="0" w:after="0"/>
              <w:rPr>
                <w:rFonts w:ascii="Times New Roman" w:hAnsi="Times New Roman"/>
                <w:b/>
                <w:szCs w:val="20"/>
                <w:u w:val="single"/>
              </w:rPr>
            </w:pPr>
          </w:p>
        </w:tc>
      </w:tr>
      <w:tr w:rsidR="003439C5" w:rsidRPr="007F5684" w14:paraId="63BC41F1" w14:textId="77777777" w:rsidTr="00D75947">
        <w:trPr>
          <w:trHeight w:val="1020"/>
        </w:trPr>
        <w:tc>
          <w:tcPr>
            <w:tcW w:w="729" w:type="pct"/>
            <w:shd w:val="clear" w:color="auto" w:fill="auto"/>
            <w:noWrap/>
          </w:tcPr>
          <w:p w14:paraId="7837B5F4" w14:textId="08872ADF" w:rsidR="003439C5" w:rsidRDefault="003439C5" w:rsidP="00DD136C">
            <w:pPr>
              <w:spacing w:before="0" w:after="0"/>
              <w:jc w:val="left"/>
              <w:rPr>
                <w:rFonts w:ascii="Times New Roman" w:hAnsi="Times New Roman"/>
                <w:color w:val="000000"/>
                <w:szCs w:val="20"/>
              </w:rPr>
            </w:pPr>
            <w:r>
              <w:rPr>
                <w:rFonts w:ascii="Times New Roman" w:hAnsi="Times New Roman"/>
                <w:color w:val="000000"/>
              </w:rPr>
              <w:t>130</w:t>
            </w:r>
          </w:p>
        </w:tc>
        <w:tc>
          <w:tcPr>
            <w:tcW w:w="4271" w:type="pct"/>
            <w:shd w:val="clear" w:color="auto" w:fill="auto"/>
          </w:tcPr>
          <w:p w14:paraId="06A755FB" w14:textId="08853BE8" w:rsidR="003439C5" w:rsidRDefault="00F40FD4" w:rsidP="00D75947">
            <w:pPr>
              <w:spacing w:before="0" w:after="0"/>
              <w:rPr>
                <w:rFonts w:ascii="Times New Roman" w:hAnsi="Times New Roman"/>
                <w:b/>
                <w:szCs w:val="20"/>
                <w:u w:val="single"/>
              </w:rPr>
            </w:pPr>
            <w:r>
              <w:rPr>
                <w:rFonts w:ascii="Times New Roman" w:hAnsi="Times New Roman"/>
                <w:b/>
                <w:u w:val="single"/>
              </w:rPr>
              <w:t>2.1.2</w:t>
            </w:r>
            <w:r w:rsidR="00DC49E8" w:rsidRPr="00DC49E8">
              <w:rPr>
                <w:u w:val="single"/>
              </w:rPr>
              <w:tab/>
            </w:r>
            <w:r>
              <w:rPr>
                <w:rFonts w:ascii="Times New Roman" w:hAnsi="Times New Roman"/>
                <w:b/>
                <w:u w:val="single"/>
              </w:rPr>
              <w:t>od tega krediti in vloge nefinančnih strank</w:t>
            </w:r>
          </w:p>
          <w:p w14:paraId="02E65316" w14:textId="77777777" w:rsidR="003439C5" w:rsidRPr="007F5684" w:rsidRDefault="003439C5" w:rsidP="00D75947">
            <w:pPr>
              <w:spacing w:before="0" w:after="0"/>
              <w:rPr>
                <w:rFonts w:ascii="Times New Roman" w:hAnsi="Times New Roman"/>
                <w:b/>
                <w:szCs w:val="20"/>
                <w:u w:val="single"/>
              </w:rPr>
            </w:pPr>
          </w:p>
          <w:p w14:paraId="6E637B97" w14:textId="1F384B1E" w:rsidR="00AD3ACF" w:rsidRDefault="00AD3ACF" w:rsidP="00AD3ACF">
            <w:pPr>
              <w:spacing w:before="0" w:after="0"/>
              <w:rPr>
                <w:rFonts w:ascii="Times New Roman" w:hAnsi="Times New Roman"/>
                <w:szCs w:val="20"/>
              </w:rPr>
            </w:pPr>
            <w:r>
              <w:rPr>
                <w:rFonts w:ascii="Times New Roman" w:hAnsi="Times New Roman"/>
              </w:rPr>
              <w:t>Od financiranja v vrstici 110 financiranje, ki ga sestavljajo krediti in vloge nefinančnih strank.</w:t>
            </w:r>
          </w:p>
          <w:p w14:paraId="4A6E9ABD" w14:textId="77777777" w:rsidR="00D75947" w:rsidRDefault="00D75947" w:rsidP="00AD3ACF">
            <w:pPr>
              <w:spacing w:before="0" w:after="0"/>
              <w:rPr>
                <w:rFonts w:ascii="Times New Roman" w:hAnsi="Times New Roman"/>
                <w:szCs w:val="20"/>
              </w:rPr>
            </w:pPr>
          </w:p>
          <w:p w14:paraId="1033118A" w14:textId="655EE402" w:rsidR="00D75947" w:rsidRPr="00EB2AD3" w:rsidRDefault="00D75947" w:rsidP="00AD3ACF">
            <w:pPr>
              <w:spacing w:before="0" w:after="0"/>
              <w:rPr>
                <w:rFonts w:ascii="Times New Roman" w:hAnsi="Times New Roman"/>
                <w:szCs w:val="20"/>
              </w:rPr>
            </w:pPr>
            <w:r>
              <w:rPr>
                <w:rFonts w:ascii="Times New Roman" w:hAnsi="Times New Roman"/>
              </w:rPr>
              <w:t>Financiranje s strani centralnih bank se izključi iz te vrstice.</w:t>
            </w:r>
          </w:p>
          <w:p w14:paraId="0C4C3C91" w14:textId="4533C6EE" w:rsidR="003439C5" w:rsidRPr="003439C5" w:rsidRDefault="003439C5" w:rsidP="003439C5">
            <w:pPr>
              <w:spacing w:before="0" w:after="0"/>
              <w:rPr>
                <w:rFonts w:ascii="Times New Roman" w:hAnsi="Times New Roman"/>
                <w:b/>
                <w:szCs w:val="20"/>
                <w:u w:val="single"/>
              </w:rPr>
            </w:pPr>
          </w:p>
        </w:tc>
      </w:tr>
      <w:tr w:rsidR="003439C5" w:rsidRPr="007F5684" w14:paraId="445F9D74" w14:textId="77777777" w:rsidTr="00D75947">
        <w:trPr>
          <w:trHeight w:val="1020"/>
        </w:trPr>
        <w:tc>
          <w:tcPr>
            <w:tcW w:w="729" w:type="pct"/>
            <w:shd w:val="clear" w:color="auto" w:fill="auto"/>
            <w:noWrap/>
          </w:tcPr>
          <w:p w14:paraId="6F6E6B72" w14:textId="51559B88" w:rsidR="003439C5" w:rsidRDefault="00DD136C" w:rsidP="003439C5">
            <w:pPr>
              <w:spacing w:before="0" w:after="0"/>
              <w:jc w:val="left"/>
              <w:rPr>
                <w:rFonts w:ascii="Times New Roman" w:hAnsi="Times New Roman"/>
                <w:color w:val="000000"/>
                <w:szCs w:val="20"/>
              </w:rPr>
            </w:pPr>
            <w:r>
              <w:rPr>
                <w:rFonts w:ascii="Times New Roman" w:hAnsi="Times New Roman"/>
                <w:color w:val="000000"/>
              </w:rPr>
              <w:t>140</w:t>
            </w:r>
          </w:p>
        </w:tc>
        <w:tc>
          <w:tcPr>
            <w:tcW w:w="4271" w:type="pct"/>
            <w:shd w:val="clear" w:color="auto" w:fill="auto"/>
          </w:tcPr>
          <w:p w14:paraId="08468F41" w14:textId="195C10BA" w:rsidR="003439C5" w:rsidRPr="007F5684" w:rsidRDefault="00F40FD4" w:rsidP="00D75947">
            <w:pPr>
              <w:spacing w:before="0" w:after="0"/>
              <w:rPr>
                <w:rFonts w:ascii="Times New Roman" w:hAnsi="Times New Roman"/>
                <w:b/>
                <w:szCs w:val="20"/>
                <w:u w:val="single"/>
              </w:rPr>
            </w:pPr>
            <w:r>
              <w:rPr>
                <w:rFonts w:ascii="Times New Roman" w:hAnsi="Times New Roman"/>
                <w:b/>
                <w:u w:val="single"/>
              </w:rPr>
              <w:t>2.1.3</w:t>
            </w:r>
            <w:r w:rsidR="00DC49E8" w:rsidRPr="00DC49E8">
              <w:rPr>
                <w:u w:val="single"/>
              </w:rPr>
              <w:tab/>
            </w:r>
            <w:r>
              <w:rPr>
                <w:rFonts w:ascii="Times New Roman" w:hAnsi="Times New Roman"/>
                <w:b/>
                <w:u w:val="single"/>
              </w:rPr>
              <w:t>od tega krediti in vloge subjektov znotraj skupine</w:t>
            </w:r>
          </w:p>
          <w:p w14:paraId="19D87853" w14:textId="77777777" w:rsidR="00AD3ACF" w:rsidRDefault="00AD3ACF" w:rsidP="00AD3ACF">
            <w:pPr>
              <w:spacing w:before="0" w:after="0"/>
              <w:rPr>
                <w:rFonts w:ascii="Times New Roman" w:hAnsi="Times New Roman"/>
                <w:szCs w:val="20"/>
              </w:rPr>
            </w:pPr>
          </w:p>
          <w:p w14:paraId="1FDA6EC6" w14:textId="6EA4ADBF" w:rsidR="00AD3ACF" w:rsidRDefault="00AD3ACF" w:rsidP="00AD3ACF">
            <w:pPr>
              <w:spacing w:before="0" w:after="0"/>
              <w:rPr>
                <w:rFonts w:ascii="Times New Roman" w:hAnsi="Times New Roman"/>
                <w:szCs w:val="20"/>
              </w:rPr>
            </w:pPr>
            <w:r>
              <w:rPr>
                <w:rFonts w:ascii="Times New Roman" w:hAnsi="Times New Roman"/>
              </w:rPr>
              <w:t>Od financiranja v vrstici 110 financiranje, ki ga sestavljajo krediti in vloge subjektov znotraj skupine.</w:t>
            </w:r>
          </w:p>
          <w:p w14:paraId="2FC0AC9F" w14:textId="77777777" w:rsidR="00274EE9" w:rsidRDefault="00274EE9" w:rsidP="00AD3ACF">
            <w:pPr>
              <w:spacing w:before="0" w:after="0"/>
              <w:rPr>
                <w:rFonts w:ascii="Times New Roman" w:hAnsi="Times New Roman"/>
                <w:szCs w:val="20"/>
              </w:rPr>
            </w:pPr>
          </w:p>
          <w:p w14:paraId="7A1CF7E9" w14:textId="13D494D6" w:rsidR="003439C5" w:rsidRPr="003439C5" w:rsidRDefault="00274EE9" w:rsidP="00274EE9">
            <w:pPr>
              <w:spacing w:before="0" w:after="0"/>
              <w:rPr>
                <w:rFonts w:ascii="Times New Roman" w:hAnsi="Times New Roman"/>
                <w:b/>
                <w:szCs w:val="20"/>
                <w:u w:val="single"/>
              </w:rPr>
            </w:pPr>
            <w:r>
              <w:rPr>
                <w:rFonts w:ascii="Times New Roman" w:hAnsi="Times New Roman"/>
              </w:rPr>
              <w:t xml:space="preserve">Grosistično financiranje s strani subjektov znotraj skupine se poroča zgolj na posamični ali </w:t>
            </w:r>
            <w:proofErr w:type="spellStart"/>
            <w:r>
              <w:rPr>
                <w:rFonts w:ascii="Times New Roman" w:hAnsi="Times New Roman"/>
              </w:rPr>
              <w:t>podkonsolidirani</w:t>
            </w:r>
            <w:proofErr w:type="spellEnd"/>
            <w:r>
              <w:rPr>
                <w:rFonts w:ascii="Times New Roman" w:hAnsi="Times New Roman"/>
              </w:rPr>
              <w:t xml:space="preserve"> podlagi.</w:t>
            </w:r>
          </w:p>
        </w:tc>
      </w:tr>
      <w:tr w:rsidR="003439C5" w:rsidRPr="007F5684" w14:paraId="658E2622" w14:textId="77777777" w:rsidTr="00D75947">
        <w:trPr>
          <w:trHeight w:val="1020"/>
        </w:trPr>
        <w:tc>
          <w:tcPr>
            <w:tcW w:w="729" w:type="pct"/>
            <w:shd w:val="clear" w:color="auto" w:fill="auto"/>
            <w:noWrap/>
          </w:tcPr>
          <w:p w14:paraId="1089A569" w14:textId="39FA57DE" w:rsidR="003439C5" w:rsidRDefault="00DD136C" w:rsidP="003439C5">
            <w:pPr>
              <w:spacing w:before="0" w:after="0"/>
              <w:jc w:val="left"/>
              <w:rPr>
                <w:rFonts w:ascii="Times New Roman" w:hAnsi="Times New Roman"/>
                <w:color w:val="000000"/>
                <w:szCs w:val="20"/>
              </w:rPr>
            </w:pPr>
            <w:r>
              <w:rPr>
                <w:rFonts w:ascii="Times New Roman" w:hAnsi="Times New Roman"/>
                <w:color w:val="000000"/>
              </w:rPr>
              <w:t>150</w:t>
            </w:r>
          </w:p>
        </w:tc>
        <w:tc>
          <w:tcPr>
            <w:tcW w:w="4271" w:type="pct"/>
            <w:shd w:val="clear" w:color="auto" w:fill="auto"/>
          </w:tcPr>
          <w:p w14:paraId="46EF8EC5" w14:textId="545C9F7D" w:rsidR="003439C5" w:rsidRDefault="00F40FD4" w:rsidP="003439C5">
            <w:pPr>
              <w:spacing w:before="0" w:after="0"/>
              <w:rPr>
                <w:rFonts w:ascii="Times New Roman" w:hAnsi="Times New Roman"/>
                <w:b/>
                <w:szCs w:val="20"/>
                <w:u w:val="single"/>
              </w:rPr>
            </w:pPr>
            <w:r>
              <w:rPr>
                <w:rFonts w:ascii="Times New Roman" w:hAnsi="Times New Roman"/>
                <w:b/>
                <w:u w:val="single"/>
              </w:rPr>
              <w:t>2.2</w:t>
            </w:r>
            <w:r w:rsidR="00DC49E8" w:rsidRPr="00DC49E8">
              <w:rPr>
                <w:u w:val="single"/>
              </w:rPr>
              <w:tab/>
            </w:r>
            <w:r>
              <w:rPr>
                <w:rFonts w:ascii="Times New Roman" w:hAnsi="Times New Roman"/>
                <w:b/>
                <w:u w:val="single"/>
              </w:rPr>
              <w:t xml:space="preserve">zavarovano grosistično financiranje </w:t>
            </w:r>
          </w:p>
          <w:p w14:paraId="4AE66107" w14:textId="77777777" w:rsidR="00274EE9" w:rsidRDefault="00274EE9" w:rsidP="00274EE9">
            <w:pPr>
              <w:spacing w:before="0" w:after="0"/>
              <w:rPr>
                <w:rFonts w:ascii="Times New Roman" w:hAnsi="Times New Roman"/>
                <w:szCs w:val="20"/>
              </w:rPr>
            </w:pPr>
          </w:p>
          <w:p w14:paraId="235C9947" w14:textId="133A7734" w:rsidR="00274EE9" w:rsidRDefault="00274EE9" w:rsidP="00274EE9">
            <w:pPr>
              <w:spacing w:before="0" w:after="0"/>
              <w:rPr>
                <w:szCs w:val="20"/>
              </w:rPr>
            </w:pPr>
            <w:r>
              <w:rPr>
                <w:rFonts w:ascii="Times New Roman" w:hAnsi="Times New Roman"/>
              </w:rPr>
              <w:t>Vse nasprotne stranke, razen vlog na drobno, kot so opredeljene v členu 3(8) Delegirane uredbe 2015/61, kadar je financiranje zavarovano.</w:t>
            </w:r>
          </w:p>
          <w:p w14:paraId="0B9B72C2" w14:textId="273E7D60" w:rsidR="003439C5" w:rsidRPr="003439C5" w:rsidRDefault="003439C5" w:rsidP="003439C5">
            <w:pPr>
              <w:spacing w:before="0" w:after="0"/>
              <w:rPr>
                <w:rFonts w:ascii="Times New Roman" w:hAnsi="Times New Roman"/>
                <w:b/>
                <w:szCs w:val="20"/>
                <w:u w:val="single"/>
              </w:rPr>
            </w:pPr>
          </w:p>
        </w:tc>
      </w:tr>
      <w:tr w:rsidR="003439C5" w:rsidRPr="007F5684" w14:paraId="2EB68234" w14:textId="77777777" w:rsidTr="00D75947">
        <w:trPr>
          <w:trHeight w:val="1020"/>
        </w:trPr>
        <w:tc>
          <w:tcPr>
            <w:tcW w:w="729" w:type="pct"/>
            <w:shd w:val="clear" w:color="auto" w:fill="auto"/>
            <w:noWrap/>
          </w:tcPr>
          <w:p w14:paraId="62D3C328" w14:textId="1D97D2A1" w:rsidR="003439C5" w:rsidRDefault="00DD136C" w:rsidP="003439C5">
            <w:pPr>
              <w:spacing w:before="0" w:after="0"/>
              <w:jc w:val="left"/>
              <w:rPr>
                <w:rFonts w:ascii="Times New Roman" w:hAnsi="Times New Roman"/>
                <w:color w:val="000000"/>
                <w:szCs w:val="20"/>
              </w:rPr>
            </w:pPr>
            <w:r>
              <w:rPr>
                <w:rFonts w:ascii="Times New Roman" w:hAnsi="Times New Roman"/>
                <w:color w:val="000000"/>
              </w:rPr>
              <w:t>160</w:t>
            </w:r>
          </w:p>
        </w:tc>
        <w:tc>
          <w:tcPr>
            <w:tcW w:w="4271" w:type="pct"/>
            <w:shd w:val="clear" w:color="auto" w:fill="auto"/>
          </w:tcPr>
          <w:p w14:paraId="26450696" w14:textId="67C03EC7" w:rsidR="003439C5" w:rsidRPr="007F5684" w:rsidRDefault="00F40FD4" w:rsidP="003439C5">
            <w:pPr>
              <w:spacing w:before="0" w:after="0"/>
              <w:rPr>
                <w:rFonts w:ascii="Times New Roman" w:hAnsi="Times New Roman"/>
                <w:b/>
                <w:szCs w:val="20"/>
                <w:u w:val="single"/>
              </w:rPr>
            </w:pPr>
            <w:r>
              <w:rPr>
                <w:rFonts w:ascii="Times New Roman" w:hAnsi="Times New Roman"/>
                <w:b/>
                <w:u w:val="single"/>
              </w:rPr>
              <w:t>2.2.1</w:t>
            </w:r>
            <w:r w:rsidR="00DC49E8" w:rsidRPr="00DC49E8">
              <w:rPr>
                <w:u w:val="single"/>
              </w:rPr>
              <w:tab/>
            </w:r>
            <w:r>
              <w:rPr>
                <w:rFonts w:ascii="Times New Roman" w:hAnsi="Times New Roman"/>
                <w:b/>
                <w:u w:val="single"/>
              </w:rPr>
              <w:t>od tega posli financiranja z vrednostnimi papirji</w:t>
            </w:r>
          </w:p>
          <w:p w14:paraId="07691F9D" w14:textId="77777777" w:rsidR="00274EE9" w:rsidRDefault="00274EE9" w:rsidP="00274EE9">
            <w:pPr>
              <w:spacing w:before="0" w:after="0"/>
              <w:rPr>
                <w:rFonts w:ascii="Times New Roman" w:hAnsi="Times New Roman"/>
                <w:szCs w:val="20"/>
              </w:rPr>
            </w:pPr>
          </w:p>
          <w:p w14:paraId="56E76DB8" w14:textId="2CEF69E2" w:rsidR="00274EE9" w:rsidRDefault="00274EE9" w:rsidP="00274EE9">
            <w:pPr>
              <w:spacing w:before="0" w:after="0"/>
              <w:rPr>
                <w:szCs w:val="20"/>
              </w:rPr>
            </w:pPr>
            <w:r>
              <w:rPr>
                <w:rFonts w:ascii="Times New Roman" w:hAnsi="Times New Roman"/>
              </w:rPr>
              <w:t>Od financiranja v vrstici 150 financiranje, ki je pridobljeno iz naslova pogodb o začasni prodaji, kot so opredeljene v členu 4(1)(82) Uredbe (EU) št. 575/2013.</w:t>
            </w:r>
          </w:p>
          <w:p w14:paraId="70F2D3DC" w14:textId="6524FC14" w:rsidR="003439C5" w:rsidRPr="003439C5" w:rsidRDefault="003439C5" w:rsidP="003439C5">
            <w:pPr>
              <w:spacing w:before="0" w:after="0"/>
              <w:rPr>
                <w:rFonts w:ascii="Times New Roman" w:hAnsi="Times New Roman"/>
                <w:b/>
                <w:szCs w:val="20"/>
                <w:u w:val="single"/>
              </w:rPr>
            </w:pPr>
          </w:p>
        </w:tc>
      </w:tr>
      <w:tr w:rsidR="003439C5" w:rsidRPr="007F5684" w14:paraId="1B268195" w14:textId="77777777" w:rsidTr="00D75947">
        <w:trPr>
          <w:trHeight w:val="1020"/>
        </w:trPr>
        <w:tc>
          <w:tcPr>
            <w:tcW w:w="729" w:type="pct"/>
            <w:shd w:val="clear" w:color="auto" w:fill="auto"/>
            <w:noWrap/>
          </w:tcPr>
          <w:p w14:paraId="636EECA5" w14:textId="495BD9D1" w:rsidR="003439C5" w:rsidRDefault="00DD136C" w:rsidP="003439C5">
            <w:pPr>
              <w:spacing w:before="0" w:after="0"/>
              <w:jc w:val="left"/>
              <w:rPr>
                <w:rFonts w:ascii="Times New Roman" w:hAnsi="Times New Roman"/>
                <w:color w:val="000000"/>
                <w:szCs w:val="20"/>
              </w:rPr>
            </w:pPr>
            <w:r>
              <w:rPr>
                <w:rFonts w:ascii="Times New Roman" w:hAnsi="Times New Roman"/>
                <w:color w:val="000000"/>
              </w:rPr>
              <w:t>170</w:t>
            </w:r>
          </w:p>
        </w:tc>
        <w:tc>
          <w:tcPr>
            <w:tcW w:w="4271" w:type="pct"/>
            <w:shd w:val="clear" w:color="auto" w:fill="auto"/>
          </w:tcPr>
          <w:p w14:paraId="3FE9A1CB" w14:textId="786EB8C3" w:rsidR="003439C5" w:rsidRPr="007F5684" w:rsidRDefault="00F40FD4" w:rsidP="00D75947">
            <w:pPr>
              <w:spacing w:before="0" w:after="0"/>
              <w:rPr>
                <w:rFonts w:ascii="Times New Roman" w:hAnsi="Times New Roman"/>
                <w:b/>
                <w:szCs w:val="20"/>
                <w:u w:val="single"/>
              </w:rPr>
            </w:pPr>
            <w:r>
              <w:rPr>
                <w:rFonts w:ascii="Times New Roman" w:hAnsi="Times New Roman"/>
                <w:b/>
                <w:u w:val="single"/>
              </w:rPr>
              <w:t>2.2.2</w:t>
            </w:r>
            <w:r w:rsidR="00DC49E8" w:rsidRPr="00DC49E8">
              <w:rPr>
                <w:u w:val="single"/>
              </w:rPr>
              <w:tab/>
            </w:r>
            <w:r>
              <w:rPr>
                <w:rFonts w:ascii="Times New Roman" w:hAnsi="Times New Roman"/>
                <w:b/>
                <w:u w:val="single"/>
              </w:rPr>
              <w:t>od tega izdaje kritih obveznic</w:t>
            </w:r>
          </w:p>
          <w:p w14:paraId="00F0B9AC" w14:textId="77777777" w:rsidR="003439C5" w:rsidRPr="007F5684" w:rsidRDefault="003439C5" w:rsidP="00D75947">
            <w:pPr>
              <w:spacing w:before="0" w:after="0"/>
              <w:rPr>
                <w:rFonts w:ascii="Times New Roman" w:hAnsi="Times New Roman"/>
                <w:b/>
                <w:szCs w:val="20"/>
                <w:u w:val="single"/>
              </w:rPr>
            </w:pPr>
          </w:p>
          <w:p w14:paraId="31797266" w14:textId="46AA1F90" w:rsidR="003439C5" w:rsidRPr="003439C5" w:rsidRDefault="00274EE9" w:rsidP="00A84FD7">
            <w:pPr>
              <w:spacing w:before="0" w:after="0"/>
              <w:rPr>
                <w:rFonts w:ascii="Times New Roman" w:hAnsi="Times New Roman"/>
                <w:b/>
                <w:szCs w:val="20"/>
                <w:u w:val="single"/>
              </w:rPr>
            </w:pPr>
            <w:r>
              <w:rPr>
                <w:rFonts w:ascii="Times New Roman" w:hAnsi="Times New Roman"/>
              </w:rPr>
              <w:t>Od financiranja v vrstici 150 financiranje, ki je pridobljeno iz naslova izdaje kritih obveznic, kot so opredeljene v členu 129(4) ali (5) Uredbe (EU) št. 575/2013 ali členu 52(4) Direktive 2009/65/ES.</w:t>
            </w:r>
          </w:p>
        </w:tc>
      </w:tr>
      <w:tr w:rsidR="003439C5" w:rsidRPr="007F5684" w14:paraId="03D91A24" w14:textId="77777777" w:rsidTr="00D75947">
        <w:trPr>
          <w:trHeight w:val="1020"/>
        </w:trPr>
        <w:tc>
          <w:tcPr>
            <w:tcW w:w="729" w:type="pct"/>
            <w:shd w:val="clear" w:color="auto" w:fill="auto"/>
            <w:noWrap/>
          </w:tcPr>
          <w:p w14:paraId="66BC9574" w14:textId="666BAE99" w:rsidR="003439C5" w:rsidRDefault="00DD136C" w:rsidP="003439C5">
            <w:pPr>
              <w:spacing w:before="0" w:after="0"/>
              <w:jc w:val="left"/>
              <w:rPr>
                <w:rFonts w:ascii="Times New Roman" w:hAnsi="Times New Roman"/>
                <w:color w:val="000000"/>
                <w:szCs w:val="20"/>
              </w:rPr>
            </w:pPr>
            <w:r>
              <w:rPr>
                <w:rFonts w:ascii="Times New Roman" w:hAnsi="Times New Roman"/>
                <w:color w:val="000000"/>
              </w:rPr>
              <w:t>180</w:t>
            </w:r>
          </w:p>
        </w:tc>
        <w:tc>
          <w:tcPr>
            <w:tcW w:w="4271" w:type="pct"/>
            <w:shd w:val="clear" w:color="auto" w:fill="auto"/>
          </w:tcPr>
          <w:p w14:paraId="6F3DFEBC" w14:textId="543412A3" w:rsidR="003439C5" w:rsidRPr="007F5684" w:rsidRDefault="00F40FD4" w:rsidP="00D75947">
            <w:pPr>
              <w:spacing w:before="0" w:after="0"/>
              <w:rPr>
                <w:rFonts w:ascii="Times New Roman" w:hAnsi="Times New Roman"/>
                <w:b/>
                <w:szCs w:val="20"/>
                <w:u w:val="single"/>
              </w:rPr>
            </w:pPr>
            <w:r>
              <w:rPr>
                <w:rFonts w:ascii="Times New Roman" w:hAnsi="Times New Roman"/>
                <w:b/>
                <w:u w:val="single"/>
              </w:rPr>
              <w:t>2.2.3</w:t>
            </w:r>
            <w:r w:rsidR="00DC49E8" w:rsidRPr="00DC49E8">
              <w:rPr>
                <w:u w:val="single"/>
              </w:rPr>
              <w:tab/>
            </w:r>
            <w:r>
              <w:rPr>
                <w:rFonts w:ascii="Times New Roman" w:hAnsi="Times New Roman"/>
                <w:b/>
                <w:u w:val="single"/>
              </w:rPr>
              <w:t>od tega izdaja vrednostnih papirjev s premoženjskim kritjem</w:t>
            </w:r>
          </w:p>
          <w:p w14:paraId="38626DC8" w14:textId="77777777" w:rsidR="003439C5" w:rsidRPr="007F5684" w:rsidRDefault="003439C5" w:rsidP="00D75947">
            <w:pPr>
              <w:spacing w:before="0" w:after="0"/>
              <w:rPr>
                <w:rFonts w:ascii="Times New Roman" w:hAnsi="Times New Roman"/>
                <w:b/>
                <w:szCs w:val="20"/>
                <w:u w:val="single"/>
              </w:rPr>
            </w:pPr>
          </w:p>
          <w:p w14:paraId="6BBE6FEF" w14:textId="4960AB33" w:rsidR="003439C5" w:rsidRPr="003439C5" w:rsidRDefault="00274EE9" w:rsidP="00A84FD7">
            <w:pPr>
              <w:spacing w:before="0" w:after="0"/>
              <w:rPr>
                <w:rFonts w:ascii="Times New Roman" w:hAnsi="Times New Roman"/>
                <w:b/>
                <w:szCs w:val="20"/>
                <w:u w:val="single"/>
              </w:rPr>
            </w:pPr>
            <w:r>
              <w:rPr>
                <w:rFonts w:ascii="Times New Roman" w:hAnsi="Times New Roman"/>
              </w:rPr>
              <w:t>Od financiranja v vrstici 150 financiranje, ki je pridobljeno iz naslova izdaje vrednostnih papirjev s premoženjskim kritjem, vključno s komercialnim zapisom s premoženjskim kritjem.</w:t>
            </w:r>
          </w:p>
        </w:tc>
      </w:tr>
      <w:tr w:rsidR="003439C5" w:rsidRPr="007F5684" w14:paraId="597FCB34" w14:textId="77777777" w:rsidTr="00D75947">
        <w:trPr>
          <w:trHeight w:val="1020"/>
        </w:trPr>
        <w:tc>
          <w:tcPr>
            <w:tcW w:w="729" w:type="pct"/>
            <w:shd w:val="clear" w:color="auto" w:fill="auto"/>
            <w:noWrap/>
          </w:tcPr>
          <w:p w14:paraId="4E4276DD" w14:textId="58CFA0DA" w:rsidR="003439C5" w:rsidRDefault="00DD136C" w:rsidP="003439C5">
            <w:pPr>
              <w:spacing w:before="0" w:after="0"/>
              <w:jc w:val="left"/>
              <w:rPr>
                <w:rFonts w:ascii="Times New Roman" w:hAnsi="Times New Roman"/>
                <w:color w:val="000000"/>
                <w:szCs w:val="20"/>
              </w:rPr>
            </w:pPr>
            <w:r>
              <w:rPr>
                <w:rFonts w:ascii="Times New Roman" w:hAnsi="Times New Roman"/>
                <w:color w:val="000000"/>
              </w:rPr>
              <w:t>190</w:t>
            </w:r>
          </w:p>
        </w:tc>
        <w:tc>
          <w:tcPr>
            <w:tcW w:w="4271" w:type="pct"/>
            <w:shd w:val="clear" w:color="auto" w:fill="auto"/>
          </w:tcPr>
          <w:p w14:paraId="4610D9F3" w14:textId="7D106F17" w:rsidR="003439C5" w:rsidRDefault="00F40FD4" w:rsidP="00D75947">
            <w:pPr>
              <w:spacing w:before="0" w:after="0"/>
              <w:rPr>
                <w:rFonts w:ascii="Times New Roman" w:hAnsi="Times New Roman"/>
                <w:b/>
                <w:szCs w:val="20"/>
                <w:u w:val="single"/>
              </w:rPr>
            </w:pPr>
            <w:r>
              <w:rPr>
                <w:rFonts w:ascii="Times New Roman" w:hAnsi="Times New Roman"/>
                <w:b/>
                <w:u w:val="single"/>
              </w:rPr>
              <w:t>2.2.4</w:t>
            </w:r>
            <w:r w:rsidR="00DC49E8" w:rsidRPr="00DC49E8">
              <w:rPr>
                <w:u w:val="single"/>
              </w:rPr>
              <w:tab/>
            </w:r>
            <w:r>
              <w:rPr>
                <w:rFonts w:ascii="Times New Roman" w:hAnsi="Times New Roman"/>
                <w:b/>
                <w:u w:val="single"/>
              </w:rPr>
              <w:t>od tega krediti in vloge subjektov znotraj skupine</w:t>
            </w:r>
          </w:p>
          <w:p w14:paraId="39B4FABF" w14:textId="77777777" w:rsidR="003439C5" w:rsidRPr="007F5684" w:rsidRDefault="003439C5" w:rsidP="00D75947">
            <w:pPr>
              <w:spacing w:before="0" w:after="0"/>
              <w:rPr>
                <w:rFonts w:ascii="Times New Roman" w:hAnsi="Times New Roman"/>
                <w:b/>
                <w:szCs w:val="20"/>
                <w:u w:val="single"/>
              </w:rPr>
            </w:pPr>
          </w:p>
          <w:p w14:paraId="10DC82D6" w14:textId="0E3D5B9D" w:rsidR="003439C5" w:rsidRDefault="00274EE9" w:rsidP="003439C5">
            <w:pPr>
              <w:spacing w:before="0" w:after="0"/>
              <w:rPr>
                <w:rFonts w:ascii="Times New Roman" w:hAnsi="Times New Roman"/>
                <w:szCs w:val="20"/>
              </w:rPr>
            </w:pPr>
            <w:r>
              <w:rPr>
                <w:rFonts w:ascii="Times New Roman" w:hAnsi="Times New Roman"/>
              </w:rPr>
              <w:t>Od financiranja v vrstici 150 financiranje, ki je pridobljeno od subjektov znotraj skupine.</w:t>
            </w:r>
          </w:p>
          <w:p w14:paraId="7693FB65" w14:textId="77777777" w:rsidR="00274EE9" w:rsidRDefault="00274EE9" w:rsidP="003439C5">
            <w:pPr>
              <w:spacing w:before="0" w:after="0"/>
              <w:rPr>
                <w:rFonts w:ascii="Times New Roman" w:hAnsi="Times New Roman"/>
                <w:szCs w:val="20"/>
              </w:rPr>
            </w:pPr>
          </w:p>
          <w:p w14:paraId="2A9F2247" w14:textId="77777777" w:rsidR="00274EE9" w:rsidRPr="00EB2AD3" w:rsidRDefault="00274EE9" w:rsidP="003439C5">
            <w:pPr>
              <w:spacing w:before="0" w:after="0"/>
              <w:rPr>
                <w:rFonts w:ascii="Times New Roman" w:hAnsi="Times New Roman"/>
                <w:szCs w:val="20"/>
              </w:rPr>
            </w:pPr>
            <w:r>
              <w:rPr>
                <w:rFonts w:ascii="Times New Roman" w:hAnsi="Times New Roman"/>
              </w:rPr>
              <w:t xml:space="preserve">Grosistično financiranje s strani subjektov znotraj skupine se poroča zgolj na posamični ali </w:t>
            </w:r>
            <w:proofErr w:type="spellStart"/>
            <w:r>
              <w:rPr>
                <w:rFonts w:ascii="Times New Roman" w:hAnsi="Times New Roman"/>
              </w:rPr>
              <w:t>podkonsolidirani</w:t>
            </w:r>
            <w:proofErr w:type="spellEnd"/>
            <w:r>
              <w:rPr>
                <w:rFonts w:ascii="Times New Roman" w:hAnsi="Times New Roman"/>
              </w:rPr>
              <w:t xml:space="preserve"> podlagi.</w:t>
            </w:r>
          </w:p>
          <w:p w14:paraId="66D6CCE8" w14:textId="326011FF" w:rsidR="00274EE9" w:rsidRPr="003439C5" w:rsidRDefault="00274EE9" w:rsidP="003439C5">
            <w:pPr>
              <w:spacing w:before="0" w:after="0"/>
              <w:rPr>
                <w:rFonts w:ascii="Times New Roman" w:hAnsi="Times New Roman"/>
                <w:b/>
                <w:szCs w:val="20"/>
                <w:u w:val="single"/>
              </w:rPr>
            </w:pPr>
          </w:p>
        </w:tc>
      </w:tr>
    </w:tbl>
    <w:p w14:paraId="7D6D2F2B" w14:textId="77777777" w:rsidR="003439C5" w:rsidRPr="007F5684" w:rsidRDefault="003439C5" w:rsidP="00DD136C">
      <w:pPr>
        <w:pStyle w:val="InstructionsText2"/>
        <w:numPr>
          <w:ilvl w:val="0"/>
          <w:numId w:val="0"/>
        </w:numPr>
        <w:ind w:left="714"/>
        <w:rPr>
          <w:szCs w:val="20"/>
          <w:u w:val="none"/>
        </w:rPr>
      </w:pPr>
    </w:p>
    <w:p w14:paraId="6D82C3A1" w14:textId="6F9861A6" w:rsidR="00A344AA" w:rsidRPr="007F5684" w:rsidRDefault="00A344AA" w:rsidP="00DE2988">
      <w:pPr>
        <w:pStyle w:val="InstructionsText2"/>
        <w:numPr>
          <w:ilvl w:val="0"/>
          <w:numId w:val="13"/>
        </w:numPr>
        <w:rPr>
          <w:szCs w:val="20"/>
          <w:u w:val="none"/>
        </w:rPr>
      </w:pPr>
      <w:r>
        <w:rPr>
          <w:u w:val="none"/>
        </w:rPr>
        <w:t xml:space="preserve">Pri izpolnjevanju te predloge institucije sporočijo skupni znesek financiranja, prejetega iz naslova vsake posamezne vrste produkta, ki presega 1-odstotni prag skupnih obveznosti. </w:t>
      </w:r>
    </w:p>
    <w:p w14:paraId="4C97EC73" w14:textId="5A096FC4" w:rsidR="00A344AA" w:rsidRPr="007F5684" w:rsidRDefault="00A344AA" w:rsidP="00476C32">
      <w:pPr>
        <w:pStyle w:val="InstructionsText2"/>
        <w:numPr>
          <w:ilvl w:val="0"/>
          <w:numId w:val="13"/>
        </w:numPr>
        <w:rPr>
          <w:szCs w:val="20"/>
          <w:u w:val="none"/>
        </w:rPr>
      </w:pPr>
      <w:r>
        <w:rPr>
          <w:u w:val="none"/>
        </w:rPr>
        <w:t>Institucije za vsako vrsto produkta izpolnijo vse stolpce 010 do 050.</w:t>
      </w:r>
    </w:p>
    <w:p w14:paraId="2BCBF128" w14:textId="4AA518CD" w:rsidR="00EF0ADB" w:rsidRDefault="00A344AA" w:rsidP="00EB2AD3">
      <w:pPr>
        <w:pStyle w:val="InstructionsText2"/>
        <w:numPr>
          <w:ilvl w:val="0"/>
          <w:numId w:val="13"/>
        </w:numPr>
        <w:rPr>
          <w:szCs w:val="20"/>
          <w:u w:val="none"/>
        </w:rPr>
      </w:pPr>
      <w:r>
        <w:rPr>
          <w:u w:val="none"/>
        </w:rPr>
        <w:t>1-odstotni prag skupnih obveznosti se uporabi za določitev tistih vrst produktov, iz katerih je bilo pridobljeno financiranje v skladu z naslednjim:</w:t>
      </w:r>
    </w:p>
    <w:p w14:paraId="3AF457D4" w14:textId="2BCBD01F" w:rsidR="00A344AA" w:rsidRPr="00C13077" w:rsidRDefault="00EF0ADB" w:rsidP="00684947">
      <w:pPr>
        <w:pStyle w:val="InstructionsText2"/>
        <w:numPr>
          <w:ilvl w:val="0"/>
          <w:numId w:val="0"/>
        </w:numPr>
        <w:ind w:left="714"/>
        <w:rPr>
          <w:szCs w:val="20"/>
          <w:u w:val="none"/>
        </w:rPr>
      </w:pPr>
      <w:r>
        <w:rPr>
          <w:u w:val="none"/>
        </w:rPr>
        <w:lastRenderedPageBreak/>
        <w:t xml:space="preserve">(a) 1-odstotni prag skupnih obveznosti se uporabi za vrste produktov, ki so navedene v vseh naslednjih vrsticah: 1.1 „Vloga na vpogled“; 1.2 „Vezane vloge, ki jih ni mogoče dvigniti v naslednjih 30 dneh“; 1.3 „Vezane vloge, ki jih je mogoče dvigniti v naslednjih 30 dneh“; 1.4 „Varčevalni računi“;  2.1 „Nezavarovano grosistično financiranje“; 2.2 „Zavarovano grosistično financiranje“; </w:t>
      </w:r>
    </w:p>
    <w:p w14:paraId="7CD07C23" w14:textId="3CF106E1" w:rsidR="00EF0ADB" w:rsidRDefault="00EF0ADB" w:rsidP="00684947">
      <w:pPr>
        <w:pStyle w:val="InstructionsText2"/>
        <w:numPr>
          <w:ilvl w:val="0"/>
          <w:numId w:val="0"/>
        </w:numPr>
        <w:ind w:left="714"/>
        <w:rPr>
          <w:szCs w:val="20"/>
          <w:u w:val="none"/>
        </w:rPr>
      </w:pPr>
      <w:r>
        <w:rPr>
          <w:u w:val="none"/>
        </w:rPr>
        <w:t>(b) v zvezi z izračunom 1-odstotnega praga skupnih obveznosti za vrstico 1.4 „Varčevalni računi“ se prag uporabi za vsoto vrstic 1.4.1 in 1.4.2;</w:t>
      </w:r>
    </w:p>
    <w:p w14:paraId="636F886A" w14:textId="2E150A7D" w:rsidR="00AE0498" w:rsidRDefault="00AE0498" w:rsidP="00684947">
      <w:pPr>
        <w:pStyle w:val="InstructionsText2"/>
        <w:numPr>
          <w:ilvl w:val="0"/>
          <w:numId w:val="0"/>
        </w:numPr>
        <w:ind w:left="714"/>
        <w:rPr>
          <w:szCs w:val="20"/>
          <w:u w:val="none"/>
        </w:rPr>
      </w:pPr>
      <w:r>
        <w:rPr>
          <w:u w:val="none"/>
        </w:rPr>
        <w:t>(c) za vrstici 1 „Financiranje na drobno“ in 2 „Grosistično financiranje“ velja 1-odstotni prag skupnih obveznosti samo na skupni ravni.</w:t>
      </w:r>
    </w:p>
    <w:p w14:paraId="2935E76B" w14:textId="65226D7D" w:rsidR="00792E65" w:rsidRDefault="00792E65" w:rsidP="00DE2988">
      <w:pPr>
        <w:pStyle w:val="InstructionsText2"/>
        <w:numPr>
          <w:ilvl w:val="0"/>
          <w:numId w:val="13"/>
        </w:numPr>
        <w:rPr>
          <w:szCs w:val="20"/>
          <w:u w:val="none"/>
        </w:rPr>
      </w:pPr>
      <w:r>
        <w:rPr>
          <w:u w:val="none"/>
        </w:rPr>
        <w:t xml:space="preserve">Številke, ki se poročajo v vrsticah 1 „Financiranje na drobno“, 2.1 „Nezavarovano grosistično financiranje“ in 2.2 „Zavarovano grosistično financiranje“ lahko vključujejo širše vrste produktov kot osnovne postavke „od tega“.  </w:t>
      </w:r>
    </w:p>
    <w:p w14:paraId="2FED639D" w14:textId="77777777" w:rsidR="00A344AA" w:rsidRPr="007F5684" w:rsidRDefault="00A344AA" w:rsidP="00DE2988">
      <w:pPr>
        <w:pStyle w:val="InstructionsText2"/>
        <w:numPr>
          <w:ilvl w:val="0"/>
          <w:numId w:val="13"/>
        </w:numPr>
        <w:rPr>
          <w:szCs w:val="20"/>
          <w:u w:val="none"/>
        </w:rPr>
      </w:pPr>
      <w:r>
        <w:rPr>
          <w:u w:val="none"/>
        </w:rPr>
        <w:t>Navodila za posamezne stolpce: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3"/>
        <w:gridCol w:w="7279"/>
      </w:tblGrid>
      <w:tr w:rsidR="00A344AA" w:rsidRPr="007F5684" w14:paraId="735A9F04" w14:textId="77777777" w:rsidTr="00775F73">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41134272" w14:textId="77777777" w:rsidR="00A344AA" w:rsidRPr="007F5684" w:rsidRDefault="00A344AA" w:rsidP="00ED2EE2">
            <w:pPr>
              <w:spacing w:before="0" w:after="0"/>
              <w:jc w:val="left"/>
              <w:rPr>
                <w:rStyle w:val="InstructionsTabelleText"/>
                <w:rFonts w:ascii="Times New Roman" w:hAnsi="Times New Roman"/>
                <w:szCs w:val="20"/>
              </w:rPr>
            </w:pPr>
            <w:r>
              <w:rPr>
                <w:rStyle w:val="InstructionsTabelleText"/>
                <w:rFonts w:ascii="Times New Roman" w:hAnsi="Times New Roman"/>
              </w:rPr>
              <w:t>Stolpec</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1AE8E309" w14:textId="77777777" w:rsidR="00A344AA" w:rsidRPr="007F5684" w:rsidRDefault="00A344AA" w:rsidP="00ED2EE2">
            <w:pPr>
              <w:spacing w:before="0" w:after="0"/>
              <w:jc w:val="left"/>
              <w:rPr>
                <w:rStyle w:val="InstructionsTabelleText"/>
                <w:rFonts w:ascii="Times New Roman" w:hAnsi="Times New Roman"/>
                <w:szCs w:val="20"/>
              </w:rPr>
            </w:pPr>
            <w:r>
              <w:rPr>
                <w:rStyle w:val="InstructionsTabelleText"/>
                <w:rFonts w:ascii="Times New Roman" w:hAnsi="Times New Roman"/>
              </w:rPr>
              <w:t>Pravna sklicevanja in navodila</w:t>
            </w:r>
          </w:p>
        </w:tc>
      </w:tr>
      <w:tr w:rsidR="00A344AA" w:rsidRPr="007F5684" w14:paraId="0B67BCAB"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769358FB" w14:textId="77777777" w:rsidR="00A344AA" w:rsidRPr="007F5684" w:rsidRDefault="00A344AA">
            <w:pPr>
              <w:spacing w:before="0" w:after="0"/>
              <w:jc w:val="left"/>
              <w:rPr>
                <w:rFonts w:ascii="Times New Roman" w:hAnsi="Times New Roman"/>
                <w:color w:val="000000"/>
                <w:szCs w:val="20"/>
              </w:rPr>
            </w:pPr>
            <w:r>
              <w:rPr>
                <w:rFonts w:ascii="Times New Roman" w:hAnsi="Times New Roman"/>
                <w:color w:val="000000"/>
              </w:rPr>
              <w:t>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0DC9910B" w14:textId="05DD65EB" w:rsidR="00A344AA" w:rsidRPr="007F5684" w:rsidRDefault="00A344AA" w:rsidP="00476C32">
            <w:pPr>
              <w:spacing w:before="0" w:after="0"/>
              <w:rPr>
                <w:rFonts w:ascii="Times New Roman" w:hAnsi="Times New Roman"/>
                <w:b/>
                <w:szCs w:val="20"/>
                <w:u w:val="single"/>
              </w:rPr>
            </w:pPr>
            <w:r>
              <w:rPr>
                <w:rFonts w:ascii="Times New Roman" w:hAnsi="Times New Roman"/>
                <w:b/>
                <w:u w:val="single"/>
              </w:rPr>
              <w:t>Prejeti knjigovodski znesek</w:t>
            </w:r>
          </w:p>
          <w:p w14:paraId="08CE1037" w14:textId="77777777" w:rsidR="00A344AA" w:rsidRPr="007F5684" w:rsidRDefault="00A344AA" w:rsidP="00476C32">
            <w:pPr>
              <w:spacing w:before="0" w:after="0"/>
              <w:rPr>
                <w:rFonts w:ascii="Times New Roman" w:hAnsi="Times New Roman"/>
                <w:b/>
                <w:szCs w:val="20"/>
                <w:u w:val="single"/>
              </w:rPr>
            </w:pPr>
          </w:p>
          <w:p w14:paraId="3436EC68" w14:textId="77777777" w:rsidR="00A344AA" w:rsidRDefault="00A344AA" w:rsidP="00476C32">
            <w:pPr>
              <w:spacing w:before="0" w:after="0"/>
              <w:rPr>
                <w:szCs w:val="20"/>
              </w:rPr>
            </w:pPr>
            <w:r>
              <w:rPr>
                <w:rFonts w:ascii="Times New Roman" w:hAnsi="Times New Roman"/>
              </w:rPr>
              <w:t xml:space="preserve">V stolpcu 010 predloge se poroča knjigovodski znesek prejetega financiranja za vsako kategorijo produktov iz stolpca „Ime produkta“. </w:t>
            </w:r>
            <w:r>
              <w:t xml:space="preserve"> </w:t>
            </w:r>
          </w:p>
          <w:p w14:paraId="6450D0D1" w14:textId="583458BA" w:rsidR="00FC506E" w:rsidRPr="007F5684" w:rsidRDefault="00FC506E" w:rsidP="00476C32">
            <w:pPr>
              <w:spacing w:before="0" w:after="0"/>
              <w:rPr>
                <w:rFonts w:ascii="Times New Roman" w:hAnsi="Times New Roman"/>
                <w:b/>
                <w:szCs w:val="20"/>
                <w:u w:val="single"/>
              </w:rPr>
            </w:pPr>
          </w:p>
        </w:tc>
      </w:tr>
      <w:tr w:rsidR="00A344AA" w:rsidRPr="007F5684" w14:paraId="48340044"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25BD9E53" w14:textId="77777777" w:rsidR="00A344AA" w:rsidRPr="007F5684" w:rsidRDefault="00A344AA">
            <w:pPr>
              <w:spacing w:before="0" w:after="0"/>
              <w:jc w:val="left"/>
              <w:rPr>
                <w:rFonts w:ascii="Times New Roman" w:hAnsi="Times New Roman"/>
                <w:color w:val="000000"/>
                <w:szCs w:val="20"/>
              </w:rPr>
            </w:pPr>
            <w:r>
              <w:rPr>
                <w:rFonts w:ascii="Times New Roman" w:hAnsi="Times New Roman"/>
                <w:color w:val="000000"/>
              </w:rPr>
              <w:t>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66FA473" w14:textId="7C8587CB" w:rsidR="00A344AA" w:rsidRPr="007F5684" w:rsidRDefault="00A344AA" w:rsidP="00476C32">
            <w:pPr>
              <w:spacing w:before="0" w:after="0"/>
              <w:rPr>
                <w:rFonts w:ascii="Times New Roman" w:hAnsi="Times New Roman"/>
                <w:b/>
                <w:szCs w:val="20"/>
                <w:u w:val="single"/>
              </w:rPr>
            </w:pPr>
            <w:r>
              <w:rPr>
                <w:rFonts w:ascii="Times New Roman" w:hAnsi="Times New Roman"/>
                <w:b/>
                <w:u w:val="single"/>
              </w:rPr>
              <w:t>Znesek, ki ga krije sistem jamstva za vloge v skladu z Direktivo 2014/49/EU ali enakovreden sistem jamstva za vloge v tretji državi</w:t>
            </w:r>
          </w:p>
          <w:p w14:paraId="3404C8DD" w14:textId="77777777" w:rsidR="00A344AA" w:rsidRPr="007F5684" w:rsidRDefault="00A344AA" w:rsidP="00763448">
            <w:pPr>
              <w:spacing w:before="0" w:after="0"/>
              <w:rPr>
                <w:rFonts w:ascii="Times New Roman" w:hAnsi="Times New Roman"/>
                <w:b/>
                <w:szCs w:val="20"/>
                <w:u w:val="single"/>
              </w:rPr>
            </w:pPr>
          </w:p>
          <w:p w14:paraId="369A8E24" w14:textId="36123A01" w:rsidR="00A344AA" w:rsidRPr="007F5684" w:rsidRDefault="00A344AA" w:rsidP="00490B62">
            <w:pPr>
              <w:spacing w:before="0" w:after="0"/>
              <w:rPr>
                <w:rFonts w:ascii="Times New Roman" w:hAnsi="Times New Roman"/>
                <w:szCs w:val="20"/>
              </w:rPr>
            </w:pPr>
            <w:r>
              <w:rPr>
                <w:rFonts w:ascii="Times New Roman" w:hAnsi="Times New Roman"/>
              </w:rPr>
              <w:t xml:space="preserve">V tem stolpcu se od skupnega zneska prejetega financiranja za vsako kategorijo produktov iz stolpca „Ime produkta“ in navedenega v stolpcu 010 poroča znesek, ki ga krije sistem jamstva za vloge v skladu z Direktivo 2014/49/EU ali enakovreden sistem jamstva za vloge v tretji državi. </w:t>
            </w:r>
          </w:p>
          <w:p w14:paraId="624BDC55" w14:textId="77777777" w:rsidR="00A344AA" w:rsidRPr="007F5684" w:rsidRDefault="00A344AA" w:rsidP="00490B62">
            <w:pPr>
              <w:spacing w:before="0" w:after="0"/>
              <w:rPr>
                <w:rFonts w:ascii="Times New Roman" w:hAnsi="Times New Roman"/>
                <w:szCs w:val="20"/>
              </w:rPr>
            </w:pPr>
          </w:p>
          <w:p w14:paraId="1350A03E" w14:textId="309AA59A" w:rsidR="00A344AA" w:rsidRPr="007F5684" w:rsidRDefault="00A344AA" w:rsidP="00FA63BD">
            <w:pPr>
              <w:spacing w:before="0" w:after="0"/>
              <w:rPr>
                <w:rFonts w:ascii="Times New Roman" w:hAnsi="Times New Roman"/>
                <w:szCs w:val="20"/>
              </w:rPr>
            </w:pPr>
            <w:r>
              <w:rPr>
                <w:rFonts w:ascii="Times New Roman" w:hAnsi="Times New Roman"/>
              </w:rPr>
              <w:t>Opomba: zneski, ki se poročajo v stolpcih 020 in 030 za vsako kategorijo produktov iz stolpca „Ime produkta“, so enaki skupnemu prejetemu znesku iz stolpca 010.</w:t>
            </w:r>
          </w:p>
          <w:p w14:paraId="17202B90" w14:textId="77777777" w:rsidR="00A344AA" w:rsidRPr="007F5684" w:rsidRDefault="00A344AA" w:rsidP="00476C32">
            <w:pPr>
              <w:spacing w:before="0" w:after="0"/>
              <w:rPr>
                <w:rFonts w:ascii="Times New Roman" w:hAnsi="Times New Roman"/>
                <w:b/>
                <w:szCs w:val="20"/>
                <w:u w:val="single"/>
              </w:rPr>
            </w:pPr>
          </w:p>
        </w:tc>
      </w:tr>
      <w:tr w:rsidR="00A344AA" w:rsidRPr="007F5684" w14:paraId="2F048CBA"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0DFAF916" w14:textId="77777777" w:rsidR="00A344AA" w:rsidRPr="007F5684" w:rsidRDefault="00A344AA">
            <w:pPr>
              <w:spacing w:before="0" w:after="0"/>
              <w:jc w:val="left"/>
              <w:rPr>
                <w:rFonts w:ascii="Times New Roman" w:hAnsi="Times New Roman"/>
                <w:color w:val="000000"/>
                <w:szCs w:val="20"/>
              </w:rPr>
            </w:pPr>
            <w:r>
              <w:rPr>
                <w:rFonts w:ascii="Times New Roman" w:hAnsi="Times New Roman"/>
                <w:color w:val="000000"/>
              </w:rPr>
              <w:t>030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032864C" w14:textId="61C6474D" w:rsidR="00A344AA" w:rsidRPr="007F5684" w:rsidRDefault="00A344AA" w:rsidP="00476C32">
            <w:pPr>
              <w:spacing w:before="0" w:after="0"/>
              <w:rPr>
                <w:rFonts w:ascii="Times New Roman" w:hAnsi="Times New Roman"/>
                <w:b/>
                <w:szCs w:val="20"/>
                <w:u w:val="single"/>
              </w:rPr>
            </w:pPr>
            <w:r>
              <w:rPr>
                <w:rFonts w:ascii="Times New Roman" w:hAnsi="Times New Roman"/>
                <w:b/>
                <w:u w:val="single"/>
              </w:rPr>
              <w:t>Znesek, ki ga ne krije sistem jamstva za vloge v skladu z Direktivo 2014/49/EU ali enakovreden sistem jamstva za vloge v tretji državi</w:t>
            </w:r>
          </w:p>
          <w:p w14:paraId="5D57127C" w14:textId="77777777" w:rsidR="00A344AA" w:rsidRPr="007F5684" w:rsidRDefault="00A344AA" w:rsidP="00476C32">
            <w:pPr>
              <w:spacing w:before="0" w:after="0"/>
              <w:rPr>
                <w:rFonts w:ascii="Times New Roman" w:hAnsi="Times New Roman"/>
                <w:b/>
                <w:szCs w:val="20"/>
                <w:u w:val="single"/>
              </w:rPr>
            </w:pPr>
          </w:p>
          <w:p w14:paraId="706D0911" w14:textId="36AAF7A9" w:rsidR="00A344AA" w:rsidRPr="007F5684" w:rsidRDefault="00A344AA" w:rsidP="00763448">
            <w:pPr>
              <w:spacing w:before="0" w:after="0"/>
              <w:rPr>
                <w:rFonts w:ascii="Times New Roman" w:hAnsi="Times New Roman"/>
                <w:szCs w:val="20"/>
              </w:rPr>
            </w:pPr>
            <w:r>
              <w:rPr>
                <w:rFonts w:ascii="Times New Roman" w:hAnsi="Times New Roman"/>
              </w:rPr>
              <w:t xml:space="preserve">V tem stolpcu se od skupnega zneska prejetega financiranja za vsako kategorijo produktov iz stolpca „Ime produkta“ in navedenega v stolpcu 010 poroča znesek, ki ga </w:t>
            </w:r>
            <w:r>
              <w:rPr>
                <w:rFonts w:ascii="Times New Roman" w:hAnsi="Times New Roman"/>
                <w:u w:val="single"/>
              </w:rPr>
              <w:t>ne</w:t>
            </w:r>
            <w:r>
              <w:rPr>
                <w:rFonts w:ascii="Times New Roman" w:hAnsi="Times New Roman"/>
              </w:rPr>
              <w:t xml:space="preserve"> krije sistem jamstva za vloge v skladu z Direktivo 2014/49/EU ali enakovreden sistem jamstva za vloge v tretji državi. </w:t>
            </w:r>
          </w:p>
          <w:p w14:paraId="2201D234" w14:textId="77777777" w:rsidR="00A344AA" w:rsidRPr="007F5684" w:rsidRDefault="00A344AA" w:rsidP="00490B62">
            <w:pPr>
              <w:spacing w:before="0" w:after="0"/>
              <w:rPr>
                <w:rFonts w:ascii="Times New Roman" w:hAnsi="Times New Roman"/>
                <w:szCs w:val="20"/>
              </w:rPr>
            </w:pPr>
          </w:p>
          <w:p w14:paraId="3AE9E67D" w14:textId="3B789BDE" w:rsidR="00A344AA" w:rsidRPr="007F5684" w:rsidRDefault="00A344AA" w:rsidP="00490B62">
            <w:pPr>
              <w:spacing w:before="0" w:after="0"/>
              <w:rPr>
                <w:rFonts w:ascii="Times New Roman" w:hAnsi="Times New Roman"/>
                <w:szCs w:val="20"/>
              </w:rPr>
            </w:pPr>
            <w:r>
              <w:rPr>
                <w:rFonts w:ascii="Times New Roman" w:hAnsi="Times New Roman"/>
              </w:rPr>
              <w:t>Opomba: zneski, ki se poročajo v stolpcih 020 in 030 za vsako kategorijo produktov iz stolpca „Ime produkta“, so enaki skupnemu prejetemu znesku iz stolpca 010.</w:t>
            </w:r>
          </w:p>
          <w:p w14:paraId="3A3C1BD5" w14:textId="77777777" w:rsidR="00A344AA" w:rsidRPr="007F5684" w:rsidRDefault="00A344AA" w:rsidP="00476C32">
            <w:pPr>
              <w:spacing w:before="0" w:after="0"/>
              <w:rPr>
                <w:rFonts w:ascii="Times New Roman" w:hAnsi="Times New Roman"/>
                <w:b/>
                <w:szCs w:val="20"/>
                <w:u w:val="single"/>
              </w:rPr>
            </w:pPr>
          </w:p>
        </w:tc>
      </w:tr>
      <w:tr w:rsidR="00A344AA" w:rsidRPr="007F5684" w14:paraId="451E213E" w14:textId="77777777" w:rsidTr="00ED2EE2">
        <w:trPr>
          <w:trHeight w:val="1020"/>
        </w:trPr>
        <w:tc>
          <w:tcPr>
            <w:tcW w:w="729" w:type="pct"/>
            <w:shd w:val="clear" w:color="auto" w:fill="auto"/>
            <w:noWrap/>
          </w:tcPr>
          <w:p w14:paraId="5C9786F2" w14:textId="77777777" w:rsidR="00A344AA" w:rsidRPr="007F5684" w:rsidRDefault="00A344AA" w:rsidP="00ED2EE2">
            <w:pPr>
              <w:spacing w:before="0" w:after="0"/>
              <w:jc w:val="left"/>
              <w:rPr>
                <w:rFonts w:ascii="Times New Roman" w:hAnsi="Times New Roman"/>
                <w:color w:val="000000"/>
                <w:szCs w:val="20"/>
              </w:rPr>
            </w:pPr>
            <w:r>
              <w:rPr>
                <w:rFonts w:ascii="Times New Roman" w:hAnsi="Times New Roman"/>
                <w:color w:val="000000"/>
              </w:rPr>
              <w:t>040</w:t>
            </w:r>
          </w:p>
        </w:tc>
        <w:tc>
          <w:tcPr>
            <w:tcW w:w="4271" w:type="pct"/>
            <w:shd w:val="clear" w:color="auto" w:fill="auto"/>
          </w:tcPr>
          <w:p w14:paraId="3C20E7C7" w14:textId="1D00688B" w:rsidR="00A344AA" w:rsidRPr="007F5684" w:rsidRDefault="00A344AA" w:rsidP="00476C32">
            <w:pPr>
              <w:spacing w:before="0" w:after="0"/>
              <w:rPr>
                <w:rFonts w:ascii="Times New Roman" w:hAnsi="Times New Roman"/>
                <w:b/>
                <w:szCs w:val="20"/>
                <w:u w:val="single"/>
              </w:rPr>
            </w:pPr>
            <w:r>
              <w:rPr>
                <w:rFonts w:ascii="Times New Roman" w:hAnsi="Times New Roman"/>
                <w:b/>
                <w:u w:val="single"/>
              </w:rPr>
              <w:t>Tehtana povprečna prvotna zapadlost</w:t>
            </w:r>
          </w:p>
          <w:p w14:paraId="55688C6B" w14:textId="77777777" w:rsidR="00A344AA" w:rsidRPr="007F5684" w:rsidRDefault="00A344AA" w:rsidP="00476C32">
            <w:pPr>
              <w:spacing w:before="0" w:after="0"/>
              <w:rPr>
                <w:rFonts w:ascii="Times New Roman" w:hAnsi="Times New Roman"/>
                <w:b/>
                <w:szCs w:val="20"/>
                <w:u w:val="single"/>
              </w:rPr>
            </w:pPr>
          </w:p>
          <w:p w14:paraId="26DFB785" w14:textId="7D1359A8" w:rsidR="00A344AA" w:rsidRPr="007F5684" w:rsidRDefault="00A344AA" w:rsidP="00763448">
            <w:pPr>
              <w:spacing w:before="0" w:after="0"/>
              <w:rPr>
                <w:rFonts w:ascii="Times New Roman" w:hAnsi="Times New Roman"/>
                <w:szCs w:val="20"/>
              </w:rPr>
            </w:pPr>
            <w:r>
              <w:rPr>
                <w:rFonts w:ascii="Times New Roman" w:hAnsi="Times New Roman"/>
              </w:rPr>
              <w:t>Za znesek prejetega financiranja, ki se poroča v stolpcu 010, iz kategorij produktov, navedenih v stolpcu „Ime produkta“, se v stolpcu 040 navede tehtana povprečna prvotna zapadlost (v dneh) tega financiranja.</w:t>
            </w:r>
          </w:p>
          <w:p w14:paraId="6F902A34" w14:textId="77777777" w:rsidR="00A344AA" w:rsidRPr="007F5684" w:rsidRDefault="00A344AA" w:rsidP="00490B62">
            <w:pPr>
              <w:spacing w:before="0" w:after="0"/>
              <w:rPr>
                <w:rFonts w:ascii="Times New Roman" w:hAnsi="Times New Roman"/>
                <w:szCs w:val="20"/>
              </w:rPr>
            </w:pPr>
          </w:p>
          <w:p w14:paraId="60EE11C3" w14:textId="7258EFD6" w:rsidR="00A344AA" w:rsidRPr="007F5684" w:rsidRDefault="00B06740" w:rsidP="00476C32">
            <w:pPr>
              <w:spacing w:before="0" w:after="0"/>
              <w:rPr>
                <w:rFonts w:ascii="Times New Roman" w:hAnsi="Times New Roman"/>
                <w:szCs w:val="20"/>
              </w:rPr>
            </w:pPr>
            <w:r>
              <w:rPr>
                <w:rFonts w:ascii="Times New Roman" w:hAnsi="Times New Roman"/>
              </w:rPr>
              <w:t>Tehtana povprečna prvotna zapadlost se izračuna kot povprečna prvotna zapadlost (v dneh) prejetega financiranja za to vrsto produkta. Povprečje se tehta glede na velikost, in sicer na podlagi velikosti različnih zneskov prejetega financiranja v primerjavi s celotnim financiranjem, prejetim iz vseh izdaj te vrste produkta.</w:t>
            </w:r>
          </w:p>
          <w:p w14:paraId="4993C5F5" w14:textId="77777777" w:rsidR="00A344AA" w:rsidRPr="007F5684" w:rsidRDefault="00A344AA" w:rsidP="00476C32">
            <w:pPr>
              <w:spacing w:before="0" w:after="0"/>
              <w:rPr>
                <w:rFonts w:ascii="Times New Roman" w:hAnsi="Times New Roman"/>
                <w:szCs w:val="20"/>
              </w:rPr>
            </w:pPr>
          </w:p>
        </w:tc>
      </w:tr>
      <w:tr w:rsidR="00A344AA" w:rsidRPr="007F5684" w14:paraId="42EE78BF" w14:textId="77777777" w:rsidTr="00ED2EE2">
        <w:trPr>
          <w:trHeight w:val="1020"/>
        </w:trPr>
        <w:tc>
          <w:tcPr>
            <w:tcW w:w="729" w:type="pct"/>
            <w:shd w:val="clear" w:color="auto" w:fill="auto"/>
            <w:noWrap/>
          </w:tcPr>
          <w:p w14:paraId="2FEE2E2D" w14:textId="77777777" w:rsidR="00A344AA" w:rsidRPr="007F5684" w:rsidRDefault="00A344AA" w:rsidP="00ED2EE2">
            <w:pPr>
              <w:spacing w:before="0" w:after="0"/>
              <w:jc w:val="left"/>
              <w:rPr>
                <w:rFonts w:ascii="Times New Roman" w:hAnsi="Times New Roman"/>
                <w:color w:val="000000"/>
                <w:szCs w:val="20"/>
              </w:rPr>
            </w:pPr>
            <w:r>
              <w:rPr>
                <w:rFonts w:ascii="Times New Roman" w:hAnsi="Times New Roman"/>
                <w:color w:val="000000"/>
              </w:rPr>
              <w:lastRenderedPageBreak/>
              <w:t>050</w:t>
            </w:r>
          </w:p>
        </w:tc>
        <w:tc>
          <w:tcPr>
            <w:tcW w:w="4271" w:type="pct"/>
            <w:shd w:val="clear" w:color="auto" w:fill="auto"/>
          </w:tcPr>
          <w:p w14:paraId="5F6E4857" w14:textId="77777777" w:rsidR="00A344AA" w:rsidRPr="007F5684" w:rsidRDefault="00A344AA" w:rsidP="00476C32">
            <w:pPr>
              <w:spacing w:before="0" w:after="0"/>
              <w:rPr>
                <w:rFonts w:ascii="Times New Roman" w:hAnsi="Times New Roman"/>
                <w:b/>
                <w:szCs w:val="20"/>
                <w:u w:val="single"/>
              </w:rPr>
            </w:pPr>
            <w:r>
              <w:rPr>
                <w:rFonts w:ascii="Times New Roman" w:hAnsi="Times New Roman"/>
                <w:b/>
                <w:u w:val="single"/>
              </w:rPr>
              <w:t>Tehtana povprečna preostala zapadlost</w:t>
            </w:r>
          </w:p>
          <w:p w14:paraId="24DA2333" w14:textId="77777777" w:rsidR="00A344AA" w:rsidRPr="007F5684" w:rsidRDefault="00A344AA" w:rsidP="00476C32">
            <w:pPr>
              <w:spacing w:before="0" w:after="0"/>
              <w:rPr>
                <w:rFonts w:ascii="Times New Roman" w:hAnsi="Times New Roman"/>
                <w:b/>
                <w:szCs w:val="20"/>
                <w:u w:val="single"/>
              </w:rPr>
            </w:pPr>
          </w:p>
          <w:p w14:paraId="5F851D17" w14:textId="70719BB2" w:rsidR="00A344AA" w:rsidRPr="007F5684" w:rsidRDefault="00A344AA" w:rsidP="00763448">
            <w:pPr>
              <w:spacing w:before="0" w:after="0"/>
              <w:rPr>
                <w:rFonts w:ascii="Times New Roman" w:hAnsi="Times New Roman"/>
                <w:szCs w:val="20"/>
              </w:rPr>
            </w:pPr>
            <w:r>
              <w:rPr>
                <w:rFonts w:ascii="Times New Roman" w:hAnsi="Times New Roman"/>
              </w:rPr>
              <w:t>Za znesek prejetega financiranja iz stolpca 010 iz kategorij produktov, navedenih v stolpcu „Ime produkta“, se v stolpcu 050 navede tehtana povprečna preostala zapadlost (v dneh) tega financiranja.</w:t>
            </w:r>
          </w:p>
          <w:p w14:paraId="10B9D2BA" w14:textId="77777777" w:rsidR="00A344AA" w:rsidRPr="007F5684" w:rsidRDefault="00A344AA" w:rsidP="00490B62">
            <w:pPr>
              <w:spacing w:before="0" w:after="0"/>
              <w:rPr>
                <w:rFonts w:ascii="Times New Roman" w:hAnsi="Times New Roman"/>
                <w:szCs w:val="20"/>
              </w:rPr>
            </w:pPr>
          </w:p>
          <w:p w14:paraId="7D5D34BD" w14:textId="7C13E3AC" w:rsidR="00A344AA" w:rsidRPr="007F5684" w:rsidRDefault="00B06740" w:rsidP="00476C32">
            <w:pPr>
              <w:spacing w:before="0" w:after="0"/>
              <w:rPr>
                <w:rFonts w:ascii="Times New Roman" w:hAnsi="Times New Roman"/>
                <w:szCs w:val="20"/>
              </w:rPr>
            </w:pPr>
            <w:r>
              <w:rPr>
                <w:rFonts w:ascii="Times New Roman" w:hAnsi="Times New Roman"/>
              </w:rPr>
              <w:t>Tehtana povprečna preostala zapadlost se izračuna kot povprečna zapadlost (v preostalih dneh) prejetega financiranja za to vrsto produkta. Povprečje se tehta glede na velikost, in sicer na podlagi velikosti različnih zneskov prejetega financiranja v primerjavi s celotnim financiranjem, prejetim iz vseh izdaj te vrste produkta.</w:t>
            </w:r>
          </w:p>
          <w:p w14:paraId="7FC1A546" w14:textId="77777777" w:rsidR="00A344AA" w:rsidRPr="007F5684" w:rsidRDefault="00A344AA" w:rsidP="00476C32">
            <w:pPr>
              <w:spacing w:before="0" w:after="0"/>
              <w:rPr>
                <w:rFonts w:ascii="Times New Roman" w:hAnsi="Times New Roman"/>
                <w:b/>
                <w:szCs w:val="20"/>
                <w:u w:val="single"/>
              </w:rPr>
            </w:pPr>
          </w:p>
        </w:tc>
      </w:tr>
    </w:tbl>
    <w:p w14:paraId="519B1D10" w14:textId="77777777" w:rsidR="00A344AA" w:rsidRPr="007F5684" w:rsidRDefault="00A344AA" w:rsidP="00DD5897">
      <w:pPr>
        <w:pStyle w:val="InstructionsText2"/>
        <w:numPr>
          <w:ilvl w:val="0"/>
          <w:numId w:val="0"/>
        </w:numPr>
        <w:spacing w:after="0"/>
        <w:rPr>
          <w:szCs w:val="20"/>
          <w:u w:val="none"/>
        </w:rPr>
      </w:pPr>
    </w:p>
    <w:p w14:paraId="46B6DB4F" w14:textId="77777777" w:rsidR="00A344AA" w:rsidRDefault="00A344AA"/>
    <w:p w14:paraId="70084023" w14:textId="77777777" w:rsidR="00775F73" w:rsidRPr="007F5684" w:rsidRDefault="00775F73" w:rsidP="00DD5897">
      <w:pPr>
        <w:pStyle w:val="InstructionsText2"/>
        <w:numPr>
          <w:ilvl w:val="0"/>
          <w:numId w:val="0"/>
        </w:numPr>
        <w:spacing w:after="0"/>
        <w:rPr>
          <w:szCs w:val="20"/>
          <w:u w:val="none"/>
        </w:rPr>
      </w:pPr>
    </w:p>
    <w:p w14:paraId="079161C6" w14:textId="77777777" w:rsidR="00D02FE4" w:rsidRPr="007F5684" w:rsidRDefault="00181260" w:rsidP="00DD5897">
      <w:pPr>
        <w:pStyle w:val="Instructionsberschrift2"/>
        <w:numPr>
          <w:ilvl w:val="1"/>
          <w:numId w:val="2"/>
        </w:numPr>
        <w:spacing w:before="0"/>
        <w:rPr>
          <w:rFonts w:ascii="Times New Roman" w:hAnsi="Times New Roman" w:cs="Times New Roman"/>
          <w:szCs w:val="20"/>
        </w:rPr>
      </w:pPr>
      <w:r>
        <w:rPr>
          <w:rFonts w:ascii="Times New Roman" w:hAnsi="Times New Roman"/>
        </w:rPr>
        <w:t>Cene za različna trajanja financiranja (C 69.00)</w:t>
      </w:r>
    </w:p>
    <w:p w14:paraId="6F60A159" w14:textId="77777777" w:rsidR="00DD5897" w:rsidRPr="007F5684" w:rsidRDefault="00DD5897" w:rsidP="00DD5897">
      <w:pPr>
        <w:pStyle w:val="InstructionsText2"/>
        <w:numPr>
          <w:ilvl w:val="0"/>
          <w:numId w:val="0"/>
        </w:numPr>
        <w:spacing w:after="0"/>
        <w:rPr>
          <w:szCs w:val="20"/>
          <w:u w:val="none"/>
        </w:rPr>
      </w:pPr>
    </w:p>
    <w:p w14:paraId="691ACAEA" w14:textId="182EF00F" w:rsidR="002C154A" w:rsidRPr="007F5684" w:rsidRDefault="00DD76F0" w:rsidP="0019013A">
      <w:pPr>
        <w:pStyle w:val="InstructionsText2"/>
        <w:numPr>
          <w:ilvl w:val="0"/>
          <w:numId w:val="7"/>
        </w:numPr>
        <w:rPr>
          <w:szCs w:val="20"/>
          <w:u w:val="none"/>
        </w:rPr>
      </w:pPr>
      <w:r>
        <w:rPr>
          <w:u w:val="none"/>
        </w:rPr>
        <w:t xml:space="preserve">Institucije v predlogi C 69.00 poročajo informacije o obsegu posla in cenah, ki jih plačajo institucije za financiranje, pridobljeno med poročevalskim obdobjem in še vedno prisotno ob koncu poročevalskega obdobja, in sicer v skladu z naslednjimi prvotnimi zapadlostmi: </w:t>
      </w:r>
    </w:p>
    <w:p w14:paraId="43E76F50" w14:textId="57D72AF1" w:rsidR="0019013A" w:rsidRPr="008336E2" w:rsidRDefault="00C13077" w:rsidP="00DE2988">
      <w:pPr>
        <w:pStyle w:val="InstructionsText2"/>
        <w:numPr>
          <w:ilvl w:val="1"/>
          <w:numId w:val="13"/>
        </w:numPr>
        <w:ind w:left="993" w:hanging="284"/>
        <w:rPr>
          <w:szCs w:val="20"/>
          <w:u w:val="none"/>
        </w:rPr>
      </w:pPr>
      <w:r w:rsidRPr="008336E2">
        <w:rPr>
          <w:u w:val="none"/>
        </w:rPr>
        <w:tab/>
        <w:t>čez noč v stolpcih 010 in 020;</w:t>
      </w:r>
    </w:p>
    <w:p w14:paraId="20A63704" w14:textId="5F2A3152" w:rsidR="0019013A" w:rsidRPr="008336E2" w:rsidRDefault="00325582" w:rsidP="00325582">
      <w:pPr>
        <w:pStyle w:val="InstructionsText2"/>
        <w:numPr>
          <w:ilvl w:val="0"/>
          <w:numId w:val="0"/>
        </w:numPr>
        <w:ind w:left="714"/>
        <w:rPr>
          <w:szCs w:val="20"/>
          <w:u w:val="none"/>
        </w:rPr>
      </w:pPr>
      <w:r w:rsidRPr="008336E2">
        <w:rPr>
          <w:u w:val="none"/>
        </w:rPr>
        <w:t>(b)</w:t>
      </w:r>
      <w:r w:rsidRPr="008336E2">
        <w:rPr>
          <w:u w:val="none"/>
        </w:rPr>
        <w:tab/>
        <w:t>daljša kot čez noč in krajša ali enaka 1 tednu v stolpcih 030 in 040;</w:t>
      </w:r>
    </w:p>
    <w:p w14:paraId="23995DF6" w14:textId="6B8F5FD2" w:rsidR="0019013A" w:rsidRPr="008336E2" w:rsidRDefault="00325582" w:rsidP="00325582">
      <w:pPr>
        <w:pStyle w:val="InstructionsText2"/>
        <w:numPr>
          <w:ilvl w:val="0"/>
          <w:numId w:val="0"/>
        </w:numPr>
        <w:ind w:left="714"/>
        <w:rPr>
          <w:szCs w:val="20"/>
          <w:u w:val="none"/>
        </w:rPr>
      </w:pPr>
      <w:r w:rsidRPr="008336E2">
        <w:rPr>
          <w:u w:val="none"/>
        </w:rPr>
        <w:t>(c)</w:t>
      </w:r>
      <w:r w:rsidRPr="008336E2">
        <w:rPr>
          <w:u w:val="none"/>
        </w:rPr>
        <w:tab/>
        <w:t>daljša kot 1 teden in krajša ali enaka 1 mesecu v stolpcih 050 in 060;</w:t>
      </w:r>
    </w:p>
    <w:p w14:paraId="4DB6611C" w14:textId="4078B1C8" w:rsidR="0019013A" w:rsidRPr="008336E2" w:rsidRDefault="00325582" w:rsidP="00325582">
      <w:pPr>
        <w:pStyle w:val="InstructionsText2"/>
        <w:numPr>
          <w:ilvl w:val="0"/>
          <w:numId w:val="0"/>
        </w:numPr>
        <w:ind w:left="714"/>
        <w:rPr>
          <w:szCs w:val="20"/>
          <w:u w:val="none"/>
        </w:rPr>
      </w:pPr>
      <w:r w:rsidRPr="008336E2">
        <w:rPr>
          <w:u w:val="none"/>
        </w:rPr>
        <w:t>(d)</w:t>
      </w:r>
      <w:r w:rsidRPr="008336E2">
        <w:rPr>
          <w:u w:val="none"/>
        </w:rPr>
        <w:tab/>
        <w:t>daljša kot 1 mesec in krajša ali enaka 3 mesecem v stolpcih 070 in 080;</w:t>
      </w:r>
    </w:p>
    <w:p w14:paraId="68B85898" w14:textId="1C69E6E6" w:rsidR="0019013A" w:rsidRPr="008336E2" w:rsidRDefault="00325582" w:rsidP="00325582">
      <w:pPr>
        <w:pStyle w:val="InstructionsText2"/>
        <w:numPr>
          <w:ilvl w:val="0"/>
          <w:numId w:val="0"/>
        </w:numPr>
        <w:ind w:left="714"/>
        <w:rPr>
          <w:szCs w:val="20"/>
          <w:u w:val="none"/>
        </w:rPr>
      </w:pPr>
      <w:r w:rsidRPr="008336E2">
        <w:rPr>
          <w:u w:val="none"/>
        </w:rPr>
        <w:t>(e)</w:t>
      </w:r>
      <w:r w:rsidRPr="008336E2">
        <w:rPr>
          <w:u w:val="none"/>
        </w:rPr>
        <w:tab/>
        <w:t>daljša kot 3 mesece in krajša ali enaka 6 mesecem v stolpcih 090 in 100;</w:t>
      </w:r>
    </w:p>
    <w:p w14:paraId="032BAEDE" w14:textId="15A2A145" w:rsidR="00172727" w:rsidRPr="008336E2" w:rsidRDefault="00325582" w:rsidP="00325582">
      <w:pPr>
        <w:pStyle w:val="InstructionsText2"/>
        <w:numPr>
          <w:ilvl w:val="0"/>
          <w:numId w:val="0"/>
        </w:numPr>
        <w:ind w:left="714"/>
        <w:rPr>
          <w:szCs w:val="20"/>
          <w:u w:val="none"/>
        </w:rPr>
      </w:pPr>
      <w:r w:rsidRPr="008336E2">
        <w:rPr>
          <w:u w:val="none"/>
        </w:rPr>
        <w:t>(f)</w:t>
      </w:r>
      <w:r w:rsidRPr="008336E2">
        <w:rPr>
          <w:u w:val="none"/>
        </w:rPr>
        <w:tab/>
        <w:t>daljša kot 6 mesecev in krajša ali enaka 1 letu v stolpcih 110 in 120;</w:t>
      </w:r>
    </w:p>
    <w:p w14:paraId="3DE0207D" w14:textId="0958FEE1" w:rsidR="0019013A" w:rsidRPr="008336E2" w:rsidRDefault="00325582" w:rsidP="00325582">
      <w:pPr>
        <w:pStyle w:val="InstructionsText2"/>
        <w:numPr>
          <w:ilvl w:val="0"/>
          <w:numId w:val="0"/>
        </w:numPr>
        <w:ind w:left="714"/>
        <w:rPr>
          <w:szCs w:val="20"/>
          <w:u w:val="none"/>
        </w:rPr>
      </w:pPr>
      <w:r w:rsidRPr="008336E2">
        <w:rPr>
          <w:u w:val="none"/>
        </w:rPr>
        <w:t>(g)</w:t>
      </w:r>
      <w:r w:rsidRPr="008336E2">
        <w:rPr>
          <w:u w:val="none"/>
        </w:rPr>
        <w:tab/>
        <w:t>daljša kot 1 leto in krajša ali enaka 2 letoma v stolpcih 130 in 140;</w:t>
      </w:r>
    </w:p>
    <w:p w14:paraId="5A4B2AD6" w14:textId="6D6143D2" w:rsidR="0019013A" w:rsidRPr="008336E2" w:rsidRDefault="00325582" w:rsidP="00325582">
      <w:pPr>
        <w:pStyle w:val="InstructionsText2"/>
        <w:numPr>
          <w:ilvl w:val="0"/>
          <w:numId w:val="0"/>
        </w:numPr>
        <w:ind w:left="714"/>
        <w:rPr>
          <w:szCs w:val="20"/>
          <w:u w:val="none"/>
        </w:rPr>
      </w:pPr>
      <w:r w:rsidRPr="008336E2">
        <w:rPr>
          <w:u w:val="none"/>
        </w:rPr>
        <w:t>(h)</w:t>
      </w:r>
      <w:r w:rsidRPr="008336E2">
        <w:rPr>
          <w:u w:val="none"/>
        </w:rPr>
        <w:tab/>
        <w:t>daljša kot 2 leti in krajša ali enaka 5 letom v stolpcih 150 in 160;</w:t>
      </w:r>
    </w:p>
    <w:p w14:paraId="10B732E8" w14:textId="3D42D0AE" w:rsidR="0019013A" w:rsidRPr="008336E2" w:rsidRDefault="00325582" w:rsidP="00325582">
      <w:pPr>
        <w:pStyle w:val="InstructionsText2"/>
        <w:numPr>
          <w:ilvl w:val="0"/>
          <w:numId w:val="0"/>
        </w:numPr>
        <w:ind w:left="714"/>
        <w:rPr>
          <w:szCs w:val="20"/>
          <w:u w:val="none"/>
        </w:rPr>
      </w:pPr>
      <w:r w:rsidRPr="008336E2">
        <w:rPr>
          <w:u w:val="none"/>
        </w:rPr>
        <w:t>(i)</w:t>
      </w:r>
      <w:r w:rsidRPr="008336E2">
        <w:rPr>
          <w:u w:val="none"/>
        </w:rPr>
        <w:tab/>
        <w:t>daljša kot 5 let in krajša ali enaka 10 letom v stolpcih 170 in 180.</w:t>
      </w:r>
    </w:p>
    <w:p w14:paraId="5F28959E" w14:textId="1A5C591C" w:rsidR="0019013A" w:rsidRPr="007F5684" w:rsidRDefault="0019013A" w:rsidP="00DE2988">
      <w:pPr>
        <w:pStyle w:val="InstructionsText2"/>
        <w:numPr>
          <w:ilvl w:val="0"/>
          <w:numId w:val="20"/>
        </w:numPr>
        <w:rPr>
          <w:szCs w:val="20"/>
          <w:u w:val="none"/>
        </w:rPr>
      </w:pPr>
      <w:r>
        <w:rPr>
          <w:u w:val="none"/>
        </w:rPr>
        <w:t>Institucije pri določanju zapadlosti pridobljenega financiranja ne upoštevajo obdobja med datumom sklenitve posla in datumom poravnave, npr. trimesečna obveznost, poravnana v dveh tednih, se poroča v stolpcu za trimesečno zapadlost (stolpca 070 in 080).</w:t>
      </w:r>
    </w:p>
    <w:p w14:paraId="3300B61A" w14:textId="77777777" w:rsidR="00A211F3" w:rsidRPr="007F5684" w:rsidRDefault="002C154A" w:rsidP="00DE2988">
      <w:pPr>
        <w:pStyle w:val="InstructionsText2"/>
        <w:numPr>
          <w:ilvl w:val="0"/>
          <w:numId w:val="20"/>
        </w:numPr>
        <w:rPr>
          <w:szCs w:val="20"/>
          <w:u w:val="none"/>
        </w:rPr>
      </w:pPr>
      <w:r>
        <w:rPr>
          <w:u w:val="none"/>
        </w:rPr>
        <w:t>Razmik, naveden v levem stolpcu posameznega časovnega intervala, je eden od naslednjih:</w:t>
      </w:r>
    </w:p>
    <w:p w14:paraId="3D56C5E8" w14:textId="5BBC2BEA" w:rsidR="0050708F" w:rsidRPr="007F5684" w:rsidRDefault="0050708F" w:rsidP="00DE2988">
      <w:pPr>
        <w:pStyle w:val="InstructionsText2"/>
        <w:numPr>
          <w:ilvl w:val="1"/>
          <w:numId w:val="20"/>
        </w:numPr>
        <w:ind w:left="993" w:hanging="284"/>
        <w:rPr>
          <w:szCs w:val="20"/>
          <w:u w:val="none"/>
        </w:rPr>
      </w:pPr>
      <w:r>
        <w:rPr>
          <w:u w:val="none"/>
        </w:rPr>
        <w:t xml:space="preserve">razmik, ki ga plača institucija za obveznosti z zapadlostjo največ enega leta, če bi prišlo do njihove zamenjave v referenčni indeks čez noč za ustrezno valuto najpozneje do zaključka poslovanja na dan izvedbe posla; </w:t>
      </w:r>
    </w:p>
    <w:p w14:paraId="44F3338B" w14:textId="4D0D0648" w:rsidR="0050708F" w:rsidRDefault="0050708F" w:rsidP="00DE2988">
      <w:pPr>
        <w:pStyle w:val="InstructionsText2"/>
        <w:numPr>
          <w:ilvl w:val="1"/>
          <w:numId w:val="20"/>
        </w:numPr>
        <w:ind w:left="993" w:hanging="284"/>
        <w:rPr>
          <w:szCs w:val="20"/>
          <w:u w:val="none"/>
        </w:rPr>
      </w:pPr>
      <w:r>
        <w:rPr>
          <w:u w:val="none"/>
        </w:rPr>
        <w:t>razmik, ki ga plača podjetje ob izdaji za obveznosti s prvotno zapadlostjo več kot eno leto, če bi prišlo do njihove zamenjave v referenčni indeks za ustrezno valuto, ki je trimesečna obrestna mera EURIBOR za EUR ali LIBOR za GBP in USD, najpozneje do zaključka poslovanja na dan izvedbe posla.</w:t>
      </w:r>
    </w:p>
    <w:p w14:paraId="0C9A9801" w14:textId="3ADD5BDC" w:rsidR="006661EC" w:rsidRPr="007F5684" w:rsidRDefault="006661EC" w:rsidP="00723CCD">
      <w:pPr>
        <w:pStyle w:val="InstructionsText2"/>
        <w:numPr>
          <w:ilvl w:val="0"/>
          <w:numId w:val="0"/>
        </w:numPr>
        <w:ind w:left="993"/>
        <w:rPr>
          <w:szCs w:val="20"/>
          <w:u w:val="none"/>
        </w:rPr>
      </w:pPr>
      <w:r>
        <w:rPr>
          <w:u w:val="none"/>
        </w:rPr>
        <w:t>Zgolj za namene izračuna razmika v točkah a) in b) zgoraj lahko institucija na podlagi preteklih izkušenj določi prvotno zapadlost ob upoštevanju izbirnosti ali brez, kot je primerno.</w:t>
      </w:r>
    </w:p>
    <w:p w14:paraId="5EBCC42F" w14:textId="0D3FAA90" w:rsidR="00A211F3" w:rsidRPr="007F5684" w:rsidRDefault="0019013A" w:rsidP="009406E9">
      <w:pPr>
        <w:pStyle w:val="InstructionsText2"/>
        <w:numPr>
          <w:ilvl w:val="0"/>
          <w:numId w:val="20"/>
        </w:numPr>
        <w:rPr>
          <w:szCs w:val="20"/>
          <w:u w:val="none"/>
        </w:rPr>
      </w:pPr>
      <w:r>
        <w:rPr>
          <w:u w:val="none"/>
        </w:rPr>
        <w:lastRenderedPageBreak/>
        <w:t xml:space="preserve">Razmiki se poročajo v bazičnih točkah z negativnim predznakom, če je novo financiranje cenejše kot na podlagi ustrezne </w:t>
      </w:r>
      <w:proofErr w:type="spellStart"/>
      <w:r>
        <w:rPr>
          <w:u w:val="none"/>
        </w:rPr>
        <w:t>normne</w:t>
      </w:r>
      <w:proofErr w:type="spellEnd"/>
      <w:r>
        <w:rPr>
          <w:u w:val="none"/>
        </w:rPr>
        <w:t xml:space="preserve"> obrestne mere. Izračunajo se na podlagi tehtanega povprečja. </w:t>
      </w:r>
    </w:p>
    <w:p w14:paraId="0ABF1B64" w14:textId="5E7F2177" w:rsidR="0050708F" w:rsidRPr="00144FB8" w:rsidRDefault="0050708F" w:rsidP="00144FB8">
      <w:pPr>
        <w:pStyle w:val="InstructionsText2"/>
        <w:numPr>
          <w:ilvl w:val="0"/>
          <w:numId w:val="20"/>
        </w:numPr>
        <w:rPr>
          <w:szCs w:val="20"/>
          <w:u w:val="none"/>
        </w:rPr>
      </w:pPr>
      <w:r>
        <w:rPr>
          <w:u w:val="none"/>
        </w:rPr>
        <w:t>Institucije za namene izračuna povprečnega razmika, ki ga je treba plačati za več izdaj/vlog/kreditov, izračunajo skupni strošek v valuti izdaje, pri čemer ne upoštevajo morebitnih valutnih zamenjav, v izračun pa vključijo morebitno plačano ali prejeto premijo ali diskont in opravnine, pri čemer je osnova obdobje veljavnosti teoretične ali dejanske zamenjave obrestnih mer, ki ustreza obdobju veljavnosti obveznosti. Razmik je mera obveznosti, od katere se odšteje mera zamenjave.</w:t>
      </w:r>
    </w:p>
    <w:p w14:paraId="608A7669" w14:textId="7761DC23" w:rsidR="00DD5897" w:rsidRDefault="0019013A" w:rsidP="00DE2988">
      <w:pPr>
        <w:pStyle w:val="InstructionsText2"/>
        <w:numPr>
          <w:ilvl w:val="0"/>
          <w:numId w:val="20"/>
        </w:numPr>
        <w:rPr>
          <w:szCs w:val="20"/>
          <w:u w:val="none"/>
        </w:rPr>
      </w:pPr>
      <w:r>
        <w:rPr>
          <w:u w:val="none"/>
        </w:rPr>
        <w:t xml:space="preserve">Znesek financiranja, prejetega za kategorije financiranja, navedene v stolpcu „Postavka“, se sporoči v stolpcu „Znesek“ ustreznega časovnega intervala. </w:t>
      </w:r>
    </w:p>
    <w:p w14:paraId="3AED84FE" w14:textId="0FDF0268" w:rsidR="004B3AC2" w:rsidRDefault="004B3AC2" w:rsidP="00DE2988">
      <w:pPr>
        <w:pStyle w:val="InstructionsText2"/>
        <w:numPr>
          <w:ilvl w:val="0"/>
          <w:numId w:val="20"/>
        </w:numPr>
        <w:rPr>
          <w:szCs w:val="20"/>
          <w:u w:val="none"/>
        </w:rPr>
      </w:pPr>
      <w:r>
        <w:rPr>
          <w:u w:val="none"/>
        </w:rPr>
        <w:t>V stolpcu „Znesek“ institucije navedejo zneske, ki predstavljajo knjigovodski znesek pridobljenega novega financiranja, v veljavnem časovnem intervalu v skladu s prvotno zapadlostjo.</w:t>
      </w:r>
    </w:p>
    <w:p w14:paraId="4513DEDD" w14:textId="4B15A911" w:rsidR="004B3AC2" w:rsidRDefault="00144FB8" w:rsidP="00DE2988">
      <w:pPr>
        <w:pStyle w:val="InstructionsText2"/>
        <w:numPr>
          <w:ilvl w:val="0"/>
          <w:numId w:val="20"/>
        </w:numPr>
        <w:rPr>
          <w:szCs w:val="20"/>
          <w:u w:val="none"/>
        </w:rPr>
      </w:pPr>
      <w:r>
        <w:rPr>
          <w:u w:val="none"/>
        </w:rPr>
        <w:t xml:space="preserve">Tako kot za vse postavke institucije tudi za zunajbilančne obveznosti poročajo samo povezane zneske iz bilance stanja. </w:t>
      </w:r>
      <w:proofErr w:type="spellStart"/>
      <w:r>
        <w:rPr>
          <w:u w:val="none"/>
        </w:rPr>
        <w:t>Zunajbilančna</w:t>
      </w:r>
      <w:proofErr w:type="spellEnd"/>
      <w:r>
        <w:rPr>
          <w:u w:val="none"/>
        </w:rPr>
        <w:t xml:space="preserve"> obveznost, zagotovljena instituciji, se poroča v predlogi C 69.00 šele potem, ko se začne črpati. V primeru postopnega črpanja sta znesek in razmik, ki se poročata, </w:t>
      </w:r>
      <w:proofErr w:type="spellStart"/>
      <w:r>
        <w:rPr>
          <w:u w:val="none"/>
        </w:rPr>
        <w:t>počrpani</w:t>
      </w:r>
      <w:proofErr w:type="spellEnd"/>
      <w:r>
        <w:rPr>
          <w:u w:val="none"/>
        </w:rPr>
        <w:t xml:space="preserve"> znesek in razmik, ki se uporablja ob koncu poročevalskega obdobja. Kadar postopnega črpanja ni mogoče obnoviti po presoji institucije, se poroča dejanska zapadlost postopnega črpanja. Kadar je institucija že črpala okvirni kredit ob koncu prejšnjega poročevalskega obdobja in kadar institucija naknadno poveča uporabo okvirnega kredita, se poroča samo dodatno črpani znesek. </w:t>
      </w:r>
    </w:p>
    <w:p w14:paraId="26598EEA" w14:textId="77777777" w:rsidR="00473407" w:rsidRDefault="00473407" w:rsidP="00DE2988">
      <w:pPr>
        <w:pStyle w:val="InstructionsText2"/>
        <w:numPr>
          <w:ilvl w:val="0"/>
          <w:numId w:val="20"/>
        </w:numPr>
        <w:rPr>
          <w:szCs w:val="20"/>
          <w:u w:val="none"/>
        </w:rPr>
      </w:pPr>
      <w:r>
        <w:rPr>
          <w:u w:val="none"/>
        </w:rPr>
        <w:t>Vloge, ki jih položijo stranke na drobno, sestavljajo vloge, kot so opredeljene v členu 3(8) Delegirane uredbe 2015/61.</w:t>
      </w:r>
    </w:p>
    <w:p w14:paraId="54CC7D8D" w14:textId="5C6E191B" w:rsidR="00B96CA8" w:rsidRPr="00473407" w:rsidRDefault="00287BD7" w:rsidP="00DE2988">
      <w:pPr>
        <w:pStyle w:val="InstructionsText2"/>
        <w:numPr>
          <w:ilvl w:val="0"/>
          <w:numId w:val="20"/>
        </w:numPr>
        <w:rPr>
          <w:szCs w:val="20"/>
          <w:u w:val="none"/>
        </w:rPr>
      </w:pPr>
      <w:r>
        <w:rPr>
          <w:u w:val="none"/>
        </w:rPr>
        <w:t>Za financiranje, ki je bilo obnovljeno med poročevalskim obdobjem in ob koncu poročevalskega obdobja še ni poravnano, se poroča povprečje razmikov, ki se uporabljajo takrat (tj. ob koncu poročevalskega obdobja). Za namene predloge C 69.00 se financiranje, ki je bilo obnovljeno in je še prisotno ob koncu poročevalskega obdobja, šteje kot novo financiranje.</w:t>
      </w:r>
    </w:p>
    <w:p w14:paraId="43F95C32" w14:textId="05666D10" w:rsidR="00BB3757" w:rsidRDefault="00CD20D9" w:rsidP="00DE2988">
      <w:pPr>
        <w:pStyle w:val="InstructionsText2"/>
        <w:numPr>
          <w:ilvl w:val="0"/>
          <w:numId w:val="20"/>
        </w:numPr>
        <w:rPr>
          <w:szCs w:val="20"/>
          <w:u w:val="none"/>
        </w:rPr>
      </w:pPr>
      <w:r>
        <w:rPr>
          <w:u w:val="none"/>
        </w:rPr>
        <w:t xml:space="preserve">Z odstopanjem od preostalega dela Oddelka 1.4 se znesek in razmik vlog na vpogled poročata le, kadar vlagatelj v prejšnjem poročevalskem obdobju ni imel vlog na vpogled ali kadar se znesek vlog poveča v primerjavi s prejšnjim referenčnim datumom, pri čemer se v tem primeru povečanje obravnava kot novo financiranje. Razmik je razmik ob koncu obdobja. </w:t>
      </w:r>
    </w:p>
    <w:p w14:paraId="10927EEB" w14:textId="776A1E6F" w:rsidR="00270986" w:rsidRPr="007F5684" w:rsidRDefault="00270986" w:rsidP="00DE2988">
      <w:pPr>
        <w:pStyle w:val="InstructionsText2"/>
        <w:numPr>
          <w:ilvl w:val="0"/>
          <w:numId w:val="20"/>
        </w:numPr>
        <w:rPr>
          <w:szCs w:val="20"/>
          <w:u w:val="none"/>
        </w:rPr>
      </w:pPr>
      <w:r>
        <w:rPr>
          <w:u w:val="none"/>
        </w:rPr>
        <w:t>Če ni ničesar za poročati, se celice v zvezi z razmiki pustijo prazne.</w:t>
      </w:r>
    </w:p>
    <w:p w14:paraId="5F1BCA9F" w14:textId="77777777" w:rsidR="002C154A" w:rsidRPr="007F5684" w:rsidRDefault="002C154A" w:rsidP="00DE2988">
      <w:pPr>
        <w:pStyle w:val="InstructionsText2"/>
        <w:numPr>
          <w:ilvl w:val="0"/>
          <w:numId w:val="20"/>
        </w:numPr>
        <w:rPr>
          <w:szCs w:val="20"/>
          <w:u w:val="none"/>
        </w:rPr>
      </w:pPr>
      <w:r>
        <w:rPr>
          <w:u w:val="none"/>
        </w:rPr>
        <w:t>Navodila za posamezne vrstice: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7705"/>
      </w:tblGrid>
      <w:tr w:rsidR="00E332B3" w:rsidRPr="007F5684" w14:paraId="3147FD97" w14:textId="77777777" w:rsidTr="00ED41A4">
        <w:trPr>
          <w:trHeight w:val="567"/>
        </w:trPr>
        <w:tc>
          <w:tcPr>
            <w:tcW w:w="817" w:type="dxa"/>
            <w:shd w:val="clear" w:color="auto" w:fill="E0E0E0"/>
            <w:noWrap/>
            <w:vAlign w:val="center"/>
          </w:tcPr>
          <w:p w14:paraId="48391A04" w14:textId="77777777" w:rsidR="002C154A" w:rsidRPr="007F5684" w:rsidRDefault="002C154A" w:rsidP="00ED41A4">
            <w:pPr>
              <w:spacing w:before="0" w:after="0"/>
              <w:jc w:val="left"/>
              <w:rPr>
                <w:rFonts w:ascii="Times New Roman" w:hAnsi="Times New Roman"/>
                <w:szCs w:val="20"/>
              </w:rPr>
            </w:pPr>
            <w:r>
              <w:rPr>
                <w:rStyle w:val="InstructionsTabelleText"/>
                <w:rFonts w:ascii="Times New Roman" w:hAnsi="Times New Roman"/>
              </w:rPr>
              <w:t>Vrstica</w:t>
            </w:r>
          </w:p>
        </w:tc>
        <w:tc>
          <w:tcPr>
            <w:tcW w:w="7705" w:type="dxa"/>
            <w:shd w:val="clear" w:color="auto" w:fill="E0E0E0"/>
            <w:noWrap/>
            <w:vAlign w:val="center"/>
          </w:tcPr>
          <w:p w14:paraId="51A7E6A4" w14:textId="77777777" w:rsidR="002C154A" w:rsidRPr="007F5684" w:rsidRDefault="002C154A" w:rsidP="00ED41A4">
            <w:pPr>
              <w:spacing w:before="0" w:after="0"/>
              <w:jc w:val="left"/>
              <w:rPr>
                <w:rFonts w:ascii="Times New Roman" w:hAnsi="Times New Roman"/>
                <w:szCs w:val="20"/>
              </w:rPr>
            </w:pPr>
            <w:r>
              <w:rPr>
                <w:rStyle w:val="InstructionsTabelleText"/>
                <w:rFonts w:ascii="Times New Roman" w:hAnsi="Times New Roman"/>
              </w:rPr>
              <w:t>Pravna sklicevanja in navodila</w:t>
            </w:r>
          </w:p>
        </w:tc>
      </w:tr>
      <w:tr w:rsidR="00E332B3" w:rsidRPr="007F5684" w14:paraId="5B055368" w14:textId="77777777" w:rsidTr="00ED41A4">
        <w:trPr>
          <w:trHeight w:val="255"/>
        </w:trPr>
        <w:tc>
          <w:tcPr>
            <w:tcW w:w="817" w:type="dxa"/>
            <w:shd w:val="clear" w:color="auto" w:fill="auto"/>
            <w:noWrap/>
          </w:tcPr>
          <w:p w14:paraId="31D865CB" w14:textId="77777777" w:rsidR="002C154A" w:rsidRPr="007F5684" w:rsidRDefault="00AF1439" w:rsidP="00ED41A4">
            <w:pPr>
              <w:spacing w:before="0" w:after="0"/>
              <w:jc w:val="left"/>
              <w:rPr>
                <w:rFonts w:ascii="Times New Roman" w:hAnsi="Times New Roman"/>
                <w:szCs w:val="20"/>
              </w:rPr>
            </w:pPr>
            <w:r>
              <w:rPr>
                <w:rFonts w:ascii="Times New Roman" w:hAnsi="Times New Roman"/>
              </w:rPr>
              <w:t>010</w:t>
            </w:r>
          </w:p>
        </w:tc>
        <w:tc>
          <w:tcPr>
            <w:tcW w:w="7705" w:type="dxa"/>
            <w:shd w:val="clear" w:color="auto" w:fill="auto"/>
            <w:noWrap/>
          </w:tcPr>
          <w:p w14:paraId="55C5F1B7" w14:textId="77777777" w:rsidR="002C154A" w:rsidRPr="007F5684" w:rsidRDefault="002C154A" w:rsidP="008E1558">
            <w:pPr>
              <w:rPr>
                <w:rFonts w:ascii="Times New Roman" w:hAnsi="Times New Roman"/>
                <w:b/>
                <w:szCs w:val="20"/>
                <w:u w:val="single"/>
              </w:rPr>
            </w:pPr>
            <w:r>
              <w:rPr>
                <w:rFonts w:ascii="Times New Roman" w:hAnsi="Times New Roman"/>
                <w:b/>
                <w:u w:val="single"/>
              </w:rPr>
              <w:t>1 Financiranje skupaj</w:t>
            </w:r>
          </w:p>
          <w:p w14:paraId="25D6D292" w14:textId="5B9BFF82" w:rsidR="002C154A" w:rsidRPr="007F5684" w:rsidRDefault="00E42487" w:rsidP="008E1558">
            <w:pPr>
              <w:rPr>
                <w:rFonts w:ascii="Times New Roman" w:hAnsi="Times New Roman"/>
                <w:szCs w:val="20"/>
              </w:rPr>
            </w:pPr>
            <w:r>
              <w:rPr>
                <w:rFonts w:ascii="Times New Roman" w:hAnsi="Times New Roman"/>
              </w:rPr>
              <w:t>Skupni znesek in tehtan povprečni razmik celotnega financiranja se pridobita za vsa naslednja trajanja, kot sledi:</w:t>
            </w:r>
          </w:p>
          <w:p w14:paraId="3D5903C1" w14:textId="2E3AE74B" w:rsidR="007778A0" w:rsidRPr="007F5684" w:rsidRDefault="00CD20D9" w:rsidP="00763448">
            <w:pPr>
              <w:pStyle w:val="InstructionsText2"/>
              <w:numPr>
                <w:ilvl w:val="1"/>
                <w:numId w:val="12"/>
              </w:numPr>
              <w:rPr>
                <w:szCs w:val="20"/>
                <w:u w:val="none"/>
              </w:rPr>
            </w:pPr>
            <w:r>
              <w:rPr>
                <w:u w:val="none"/>
              </w:rPr>
              <w:t>čez noč v stolpcih 010 in 020;</w:t>
            </w:r>
          </w:p>
          <w:p w14:paraId="1AF1DF5A" w14:textId="2735E0FA" w:rsidR="007778A0" w:rsidRPr="007F5684" w:rsidRDefault="00CD20D9" w:rsidP="00490B62">
            <w:pPr>
              <w:pStyle w:val="InstructionsText2"/>
              <w:numPr>
                <w:ilvl w:val="1"/>
                <w:numId w:val="12"/>
              </w:numPr>
              <w:rPr>
                <w:szCs w:val="20"/>
                <w:u w:val="none"/>
              </w:rPr>
            </w:pPr>
            <w:r>
              <w:rPr>
                <w:u w:val="none"/>
              </w:rPr>
              <w:t>daljša kot čez noč in krajša ali enaka 1 tednu v stolpcih 030 in 040;</w:t>
            </w:r>
          </w:p>
          <w:p w14:paraId="4C124A2C" w14:textId="2261E76F" w:rsidR="007778A0" w:rsidRPr="007F5684" w:rsidRDefault="00CD20D9" w:rsidP="00490B62">
            <w:pPr>
              <w:pStyle w:val="InstructionsText2"/>
              <w:numPr>
                <w:ilvl w:val="1"/>
                <w:numId w:val="12"/>
              </w:numPr>
              <w:rPr>
                <w:szCs w:val="20"/>
                <w:u w:val="none"/>
              </w:rPr>
            </w:pPr>
            <w:r>
              <w:rPr>
                <w:u w:val="none"/>
              </w:rPr>
              <w:t>daljša kot 1 teden in krajša ali enaka 1 mesecu v stolpcih 050 in 060;</w:t>
            </w:r>
          </w:p>
          <w:p w14:paraId="74B468F3" w14:textId="703F3A1B" w:rsidR="007778A0" w:rsidRPr="007F5684" w:rsidRDefault="00CD20D9" w:rsidP="00FA63BD">
            <w:pPr>
              <w:pStyle w:val="InstructionsText2"/>
              <w:numPr>
                <w:ilvl w:val="1"/>
                <w:numId w:val="12"/>
              </w:numPr>
              <w:rPr>
                <w:szCs w:val="20"/>
                <w:u w:val="none"/>
              </w:rPr>
            </w:pPr>
            <w:r>
              <w:rPr>
                <w:u w:val="none"/>
              </w:rPr>
              <w:lastRenderedPageBreak/>
              <w:t>daljša kot 1 mesec in krajša ali enaka 3 mesecem v stolpcih 070 in 080;</w:t>
            </w:r>
          </w:p>
          <w:p w14:paraId="482B32DB" w14:textId="0B9480D3" w:rsidR="007778A0" w:rsidRPr="007F5684" w:rsidRDefault="00CD20D9" w:rsidP="00FA63BD">
            <w:pPr>
              <w:pStyle w:val="InstructionsText2"/>
              <w:numPr>
                <w:ilvl w:val="1"/>
                <w:numId w:val="12"/>
              </w:numPr>
              <w:rPr>
                <w:szCs w:val="20"/>
                <w:u w:val="none"/>
              </w:rPr>
            </w:pPr>
            <w:r>
              <w:rPr>
                <w:u w:val="none"/>
              </w:rPr>
              <w:t>daljša kot 3 mesece in krajša ali enaka 6 mesecem v stolpcih 090 in 100;</w:t>
            </w:r>
          </w:p>
          <w:p w14:paraId="3C4AC9B6" w14:textId="4AEB5114" w:rsidR="007778A0" w:rsidRPr="007F5684" w:rsidRDefault="00CD20D9" w:rsidP="00FA63BD">
            <w:pPr>
              <w:pStyle w:val="InstructionsText2"/>
              <w:numPr>
                <w:ilvl w:val="1"/>
                <w:numId w:val="12"/>
              </w:numPr>
              <w:rPr>
                <w:szCs w:val="20"/>
                <w:u w:val="none"/>
              </w:rPr>
            </w:pPr>
            <w:r>
              <w:rPr>
                <w:u w:val="none"/>
              </w:rPr>
              <w:t>daljša kot 6 mesecev in krajša ali enaka 1 letu v stolpcih 110 in 120;</w:t>
            </w:r>
          </w:p>
          <w:p w14:paraId="1C290FE7" w14:textId="48055B0E" w:rsidR="007778A0" w:rsidRPr="007F5684" w:rsidRDefault="00CD20D9" w:rsidP="00FA63BD">
            <w:pPr>
              <w:pStyle w:val="InstructionsText2"/>
              <w:numPr>
                <w:ilvl w:val="1"/>
                <w:numId w:val="12"/>
              </w:numPr>
              <w:rPr>
                <w:szCs w:val="20"/>
                <w:u w:val="none"/>
              </w:rPr>
            </w:pPr>
            <w:r>
              <w:rPr>
                <w:u w:val="none"/>
              </w:rPr>
              <w:t>daljša kot 1 leto in krajša ali enaka 2 letoma v stolpcih 130 in 140;</w:t>
            </w:r>
          </w:p>
          <w:p w14:paraId="6E53E104" w14:textId="0EEA7BE2" w:rsidR="007778A0" w:rsidRPr="007F5684" w:rsidRDefault="00CD20D9" w:rsidP="00FA63BD">
            <w:pPr>
              <w:pStyle w:val="InstructionsText2"/>
              <w:numPr>
                <w:ilvl w:val="1"/>
                <w:numId w:val="12"/>
              </w:numPr>
              <w:rPr>
                <w:szCs w:val="20"/>
                <w:u w:val="none"/>
              </w:rPr>
            </w:pPr>
            <w:r>
              <w:rPr>
                <w:u w:val="none"/>
              </w:rPr>
              <w:t>daljša kot 2 leti in krajša ali enaka 5 letom v stolpcih 150 in 160;</w:t>
            </w:r>
          </w:p>
          <w:p w14:paraId="22EC36F6" w14:textId="7C57E11E" w:rsidR="00CE333E" w:rsidRPr="007F5684" w:rsidRDefault="00CD20D9" w:rsidP="00237D15">
            <w:pPr>
              <w:pStyle w:val="InstructionsText2"/>
              <w:numPr>
                <w:ilvl w:val="1"/>
                <w:numId w:val="12"/>
              </w:numPr>
              <w:rPr>
                <w:szCs w:val="20"/>
                <w:u w:val="none"/>
              </w:rPr>
            </w:pPr>
            <w:r>
              <w:rPr>
                <w:u w:val="none"/>
              </w:rPr>
              <w:t>daljša kot 5 let in krajša ali enaka 10 letom v stolpcih 170 in 180.</w:t>
            </w:r>
          </w:p>
        </w:tc>
      </w:tr>
      <w:tr w:rsidR="00E332B3" w:rsidRPr="007F5684" w14:paraId="2F05E0FC" w14:textId="77777777" w:rsidTr="00ED41A4">
        <w:trPr>
          <w:trHeight w:val="255"/>
        </w:trPr>
        <w:tc>
          <w:tcPr>
            <w:tcW w:w="817" w:type="dxa"/>
            <w:shd w:val="clear" w:color="auto" w:fill="auto"/>
            <w:noWrap/>
          </w:tcPr>
          <w:p w14:paraId="765DA707" w14:textId="77777777" w:rsidR="002C154A" w:rsidRPr="007F5684" w:rsidRDefault="00AF1439">
            <w:pPr>
              <w:spacing w:before="0" w:after="0"/>
              <w:jc w:val="left"/>
              <w:rPr>
                <w:rFonts w:ascii="Times New Roman" w:hAnsi="Times New Roman"/>
                <w:szCs w:val="20"/>
              </w:rPr>
            </w:pPr>
            <w:r>
              <w:rPr>
                <w:rFonts w:ascii="Times New Roman" w:hAnsi="Times New Roman"/>
              </w:rPr>
              <w:lastRenderedPageBreak/>
              <w:t>020</w:t>
            </w:r>
          </w:p>
        </w:tc>
        <w:tc>
          <w:tcPr>
            <w:tcW w:w="7705" w:type="dxa"/>
            <w:shd w:val="clear" w:color="auto" w:fill="auto"/>
            <w:noWrap/>
          </w:tcPr>
          <w:p w14:paraId="01DDA71E" w14:textId="5264247F" w:rsidR="002C154A" w:rsidRPr="007F5684" w:rsidRDefault="002C154A" w:rsidP="008E1558">
            <w:pPr>
              <w:rPr>
                <w:rFonts w:ascii="Times New Roman" w:hAnsi="Times New Roman"/>
                <w:b/>
                <w:szCs w:val="20"/>
                <w:u w:val="single"/>
              </w:rPr>
            </w:pPr>
            <w:r>
              <w:rPr>
                <w:rFonts w:ascii="Times New Roman" w:hAnsi="Times New Roman"/>
                <w:b/>
                <w:u w:val="single"/>
              </w:rPr>
              <w:t>1.1 od tega: financiranje na drobno</w:t>
            </w:r>
          </w:p>
          <w:p w14:paraId="2F60C8D8" w14:textId="2FA8A3BB" w:rsidR="002C154A" w:rsidRPr="007F5684" w:rsidRDefault="00CE333E" w:rsidP="001C1BA1">
            <w:pPr>
              <w:rPr>
                <w:rFonts w:ascii="Times New Roman" w:hAnsi="Times New Roman"/>
                <w:szCs w:val="20"/>
              </w:rPr>
            </w:pPr>
            <w:r>
              <w:rPr>
                <w:rFonts w:ascii="Times New Roman" w:hAnsi="Times New Roman"/>
              </w:rPr>
              <w:t>Skupni znesek in tehtani povprečni razmik pridobljenega financiranja na drobno glede na skupno financiranje iz postavke 1.</w:t>
            </w:r>
          </w:p>
        </w:tc>
      </w:tr>
      <w:tr w:rsidR="00AF1439" w:rsidRPr="007F5684" w14:paraId="2AEBF8C4" w14:textId="77777777" w:rsidTr="00ED41A4">
        <w:trPr>
          <w:trHeight w:val="255"/>
        </w:trPr>
        <w:tc>
          <w:tcPr>
            <w:tcW w:w="817" w:type="dxa"/>
            <w:shd w:val="clear" w:color="auto" w:fill="auto"/>
            <w:noWrap/>
          </w:tcPr>
          <w:p w14:paraId="0F94FE37" w14:textId="77777777" w:rsidR="00AF1439" w:rsidRPr="007F5684" w:rsidRDefault="00AF1439" w:rsidP="00ED41A4">
            <w:pPr>
              <w:spacing w:before="0" w:after="0"/>
              <w:jc w:val="left"/>
              <w:rPr>
                <w:rFonts w:ascii="Times New Roman" w:hAnsi="Times New Roman"/>
                <w:szCs w:val="20"/>
              </w:rPr>
            </w:pPr>
            <w:r>
              <w:rPr>
                <w:rFonts w:ascii="Times New Roman" w:hAnsi="Times New Roman"/>
              </w:rPr>
              <w:t>030</w:t>
            </w:r>
          </w:p>
        </w:tc>
        <w:tc>
          <w:tcPr>
            <w:tcW w:w="7705" w:type="dxa"/>
            <w:shd w:val="clear" w:color="auto" w:fill="auto"/>
            <w:noWrap/>
          </w:tcPr>
          <w:p w14:paraId="61E92F36" w14:textId="739E083C" w:rsidR="00AF1439" w:rsidRDefault="00AF1439" w:rsidP="008E1558">
            <w:pPr>
              <w:rPr>
                <w:rFonts w:ascii="Times New Roman" w:hAnsi="Times New Roman"/>
                <w:b/>
                <w:szCs w:val="20"/>
                <w:u w:val="single"/>
              </w:rPr>
            </w:pPr>
            <w:r>
              <w:rPr>
                <w:rFonts w:ascii="Times New Roman" w:hAnsi="Times New Roman"/>
                <w:b/>
                <w:u w:val="single"/>
              </w:rPr>
              <w:t>1.2 od tega: nezavarovano grosistično financiranje</w:t>
            </w:r>
          </w:p>
          <w:p w14:paraId="49C52367" w14:textId="79C0122B" w:rsidR="00AF1439" w:rsidRPr="00ED28A5" w:rsidRDefault="00AF1439" w:rsidP="001C1BA1">
            <w:pPr>
              <w:rPr>
                <w:rFonts w:ascii="Times New Roman" w:hAnsi="Times New Roman"/>
                <w:szCs w:val="20"/>
              </w:rPr>
            </w:pPr>
            <w:r>
              <w:rPr>
                <w:rFonts w:ascii="Times New Roman" w:hAnsi="Times New Roman"/>
              </w:rPr>
              <w:t>Skupni znesek in tehtani povprečni razmik pridobljenega nezavarovanega grosističnega financiranja glede na skupno financiranje iz postavke 1.</w:t>
            </w:r>
          </w:p>
        </w:tc>
      </w:tr>
      <w:tr w:rsidR="00DD5897" w:rsidRPr="007F5684" w14:paraId="6186F1AE" w14:textId="77777777" w:rsidTr="00ED41A4">
        <w:trPr>
          <w:trHeight w:val="255"/>
        </w:trPr>
        <w:tc>
          <w:tcPr>
            <w:tcW w:w="817" w:type="dxa"/>
            <w:shd w:val="clear" w:color="auto" w:fill="auto"/>
            <w:noWrap/>
          </w:tcPr>
          <w:p w14:paraId="39B34295" w14:textId="77777777" w:rsidR="00DD5897" w:rsidRPr="007F5684" w:rsidRDefault="00AF1439" w:rsidP="00ED41A4">
            <w:pPr>
              <w:spacing w:before="0" w:after="0"/>
              <w:jc w:val="left"/>
              <w:rPr>
                <w:rFonts w:ascii="Times New Roman" w:hAnsi="Times New Roman"/>
                <w:szCs w:val="20"/>
              </w:rPr>
            </w:pPr>
            <w:r>
              <w:rPr>
                <w:rFonts w:ascii="Times New Roman" w:hAnsi="Times New Roman"/>
              </w:rPr>
              <w:t>040</w:t>
            </w:r>
          </w:p>
        </w:tc>
        <w:tc>
          <w:tcPr>
            <w:tcW w:w="7705" w:type="dxa"/>
            <w:shd w:val="clear" w:color="auto" w:fill="auto"/>
            <w:noWrap/>
          </w:tcPr>
          <w:p w14:paraId="2D0E1DA1" w14:textId="77777777" w:rsidR="00DD5897" w:rsidRPr="007F5684" w:rsidRDefault="00DD5897" w:rsidP="00193B6D">
            <w:pPr>
              <w:rPr>
                <w:rFonts w:ascii="Times New Roman" w:hAnsi="Times New Roman"/>
                <w:b/>
                <w:szCs w:val="20"/>
                <w:u w:val="single"/>
              </w:rPr>
            </w:pPr>
            <w:r>
              <w:rPr>
                <w:rFonts w:ascii="Times New Roman" w:hAnsi="Times New Roman"/>
                <w:b/>
                <w:u w:val="single"/>
              </w:rPr>
              <w:t>1.3 od tega: zavarovano financiranje</w:t>
            </w:r>
          </w:p>
          <w:p w14:paraId="1193789E" w14:textId="77777777" w:rsidR="00DD5897" w:rsidRPr="007F5684" w:rsidRDefault="00CE333E" w:rsidP="00193B6D">
            <w:pPr>
              <w:rPr>
                <w:rFonts w:ascii="Times New Roman" w:hAnsi="Times New Roman"/>
                <w:b/>
                <w:szCs w:val="20"/>
                <w:u w:val="single"/>
              </w:rPr>
            </w:pPr>
            <w:r>
              <w:rPr>
                <w:rFonts w:ascii="Times New Roman" w:hAnsi="Times New Roman"/>
              </w:rPr>
              <w:t>Skupni znesek in tehtani povprečni razmik pridobljenega zavarovanega financiranja glede na skupno financiranje iz postavke 1.</w:t>
            </w:r>
          </w:p>
        </w:tc>
      </w:tr>
      <w:tr w:rsidR="00E332B3" w:rsidRPr="007F5684" w14:paraId="1D56DA27" w14:textId="77777777" w:rsidTr="00ED41A4">
        <w:trPr>
          <w:trHeight w:val="255"/>
        </w:trPr>
        <w:tc>
          <w:tcPr>
            <w:tcW w:w="817" w:type="dxa"/>
            <w:shd w:val="clear" w:color="auto" w:fill="auto"/>
            <w:noWrap/>
          </w:tcPr>
          <w:p w14:paraId="10F28777" w14:textId="77777777" w:rsidR="002C154A" w:rsidRPr="007F5684" w:rsidRDefault="00AF1439">
            <w:pPr>
              <w:spacing w:before="0" w:after="0"/>
              <w:jc w:val="left"/>
              <w:rPr>
                <w:rFonts w:ascii="Times New Roman" w:hAnsi="Times New Roman"/>
                <w:szCs w:val="20"/>
              </w:rPr>
            </w:pPr>
            <w:r>
              <w:rPr>
                <w:rFonts w:ascii="Times New Roman" w:hAnsi="Times New Roman"/>
              </w:rPr>
              <w:t>050</w:t>
            </w:r>
          </w:p>
        </w:tc>
        <w:tc>
          <w:tcPr>
            <w:tcW w:w="7705" w:type="dxa"/>
            <w:shd w:val="clear" w:color="auto" w:fill="auto"/>
            <w:noWrap/>
          </w:tcPr>
          <w:p w14:paraId="43439F3F" w14:textId="77777777" w:rsidR="002C154A" w:rsidRPr="007F5684" w:rsidRDefault="002C154A" w:rsidP="00193B6D">
            <w:pPr>
              <w:rPr>
                <w:rFonts w:ascii="Times New Roman" w:hAnsi="Times New Roman"/>
                <w:b/>
                <w:szCs w:val="20"/>
                <w:u w:val="single"/>
              </w:rPr>
            </w:pPr>
            <w:r>
              <w:rPr>
                <w:rFonts w:ascii="Times New Roman" w:hAnsi="Times New Roman"/>
                <w:b/>
                <w:u w:val="single"/>
              </w:rPr>
              <w:t>1.4 od tega: nadrejeni nezavarovani vrednostni papirji</w:t>
            </w:r>
          </w:p>
          <w:p w14:paraId="14410483" w14:textId="77777777" w:rsidR="00E332B3" w:rsidRPr="007F5684" w:rsidRDefault="00CE333E" w:rsidP="00193B6D">
            <w:pPr>
              <w:rPr>
                <w:rFonts w:ascii="Times New Roman" w:hAnsi="Times New Roman"/>
                <w:b/>
                <w:szCs w:val="20"/>
                <w:u w:val="single"/>
              </w:rPr>
            </w:pPr>
            <w:r>
              <w:rPr>
                <w:rFonts w:ascii="Times New Roman" w:hAnsi="Times New Roman"/>
              </w:rPr>
              <w:t>Skupni znesek in tehtani povprečni razmik pridobljenih nadrejenih nezavarovanih vrednostnih papirjev glede na skupno financiranje iz postavke 1.</w:t>
            </w:r>
          </w:p>
        </w:tc>
      </w:tr>
      <w:tr w:rsidR="00E332B3" w:rsidRPr="007F5684" w14:paraId="28F41CB6" w14:textId="77777777" w:rsidTr="00ED41A4">
        <w:trPr>
          <w:trHeight w:val="255"/>
        </w:trPr>
        <w:tc>
          <w:tcPr>
            <w:tcW w:w="817" w:type="dxa"/>
            <w:shd w:val="clear" w:color="auto" w:fill="auto"/>
            <w:noWrap/>
          </w:tcPr>
          <w:p w14:paraId="27FBC55D" w14:textId="77777777" w:rsidR="002C154A" w:rsidRPr="007F5684" w:rsidRDefault="00AF1439" w:rsidP="00ED41A4">
            <w:pPr>
              <w:spacing w:before="0" w:after="0"/>
              <w:jc w:val="left"/>
              <w:rPr>
                <w:rFonts w:ascii="Times New Roman" w:hAnsi="Times New Roman"/>
                <w:szCs w:val="20"/>
              </w:rPr>
            </w:pPr>
            <w:r>
              <w:rPr>
                <w:rFonts w:ascii="Times New Roman" w:hAnsi="Times New Roman"/>
              </w:rPr>
              <w:t>060</w:t>
            </w:r>
          </w:p>
        </w:tc>
        <w:tc>
          <w:tcPr>
            <w:tcW w:w="7705" w:type="dxa"/>
            <w:shd w:val="clear" w:color="auto" w:fill="auto"/>
            <w:noWrap/>
          </w:tcPr>
          <w:p w14:paraId="00CF474C" w14:textId="77777777" w:rsidR="002C154A" w:rsidRPr="007F5684" w:rsidRDefault="002C154A" w:rsidP="00193B6D">
            <w:pPr>
              <w:rPr>
                <w:rFonts w:ascii="Times New Roman" w:hAnsi="Times New Roman"/>
                <w:b/>
                <w:szCs w:val="20"/>
                <w:u w:val="single"/>
              </w:rPr>
            </w:pPr>
            <w:r>
              <w:rPr>
                <w:rFonts w:ascii="Times New Roman" w:hAnsi="Times New Roman"/>
                <w:b/>
                <w:u w:val="single"/>
              </w:rPr>
              <w:t>1.5 od tega: krite obveznice</w:t>
            </w:r>
          </w:p>
          <w:p w14:paraId="2AEEDF2A" w14:textId="77777777" w:rsidR="00E332B3" w:rsidRPr="007F5684" w:rsidRDefault="00CE333E" w:rsidP="00193B6D">
            <w:pPr>
              <w:rPr>
                <w:rFonts w:ascii="Times New Roman" w:hAnsi="Times New Roman"/>
                <w:b/>
                <w:szCs w:val="20"/>
                <w:u w:val="single"/>
              </w:rPr>
            </w:pPr>
            <w:r>
              <w:rPr>
                <w:rFonts w:ascii="Times New Roman" w:hAnsi="Times New Roman"/>
              </w:rPr>
              <w:t>Skupni znesek in tehtani povprečni razmik celotne izdaje kritih obveznic, ki bremenijo lastna sredstva institucij, glede na skupno financiranje iz postavke 1.</w:t>
            </w:r>
          </w:p>
        </w:tc>
      </w:tr>
      <w:tr w:rsidR="00E332B3" w:rsidRPr="007F5684" w14:paraId="7E2EC114" w14:textId="77777777" w:rsidTr="00ED41A4">
        <w:trPr>
          <w:trHeight w:val="255"/>
        </w:trPr>
        <w:tc>
          <w:tcPr>
            <w:tcW w:w="817" w:type="dxa"/>
            <w:shd w:val="clear" w:color="auto" w:fill="auto"/>
            <w:noWrap/>
          </w:tcPr>
          <w:p w14:paraId="37FE37EA" w14:textId="77777777" w:rsidR="002C154A" w:rsidRPr="007F5684" w:rsidRDefault="00AF1439" w:rsidP="00ED41A4">
            <w:pPr>
              <w:spacing w:before="0" w:after="0"/>
              <w:jc w:val="left"/>
              <w:rPr>
                <w:rFonts w:ascii="Times New Roman" w:hAnsi="Times New Roman"/>
                <w:szCs w:val="20"/>
              </w:rPr>
            </w:pPr>
            <w:r>
              <w:rPr>
                <w:rFonts w:ascii="Times New Roman" w:hAnsi="Times New Roman"/>
              </w:rPr>
              <w:t>070</w:t>
            </w:r>
          </w:p>
        </w:tc>
        <w:tc>
          <w:tcPr>
            <w:tcW w:w="7705" w:type="dxa"/>
            <w:shd w:val="clear" w:color="auto" w:fill="auto"/>
            <w:noWrap/>
          </w:tcPr>
          <w:p w14:paraId="2EB3DA46" w14:textId="77777777" w:rsidR="002C154A" w:rsidRPr="007F5684" w:rsidRDefault="002C154A" w:rsidP="00193B6D">
            <w:pPr>
              <w:rPr>
                <w:rFonts w:ascii="Times New Roman" w:hAnsi="Times New Roman"/>
                <w:b/>
                <w:szCs w:val="20"/>
                <w:u w:val="single"/>
              </w:rPr>
            </w:pPr>
            <w:r>
              <w:rPr>
                <w:rFonts w:ascii="Times New Roman" w:hAnsi="Times New Roman"/>
                <w:b/>
                <w:u w:val="single"/>
              </w:rPr>
              <w:t>1.6 od tega: vrednostni papirji s premoženjskim kritjem, vključno z ABCP</w:t>
            </w:r>
          </w:p>
          <w:p w14:paraId="44C96B86" w14:textId="77777777" w:rsidR="00E332B3" w:rsidRPr="007F5684" w:rsidRDefault="00CE333E" w:rsidP="00193B6D">
            <w:pPr>
              <w:rPr>
                <w:rFonts w:ascii="Times New Roman" w:hAnsi="Times New Roman"/>
                <w:b/>
                <w:szCs w:val="20"/>
                <w:u w:val="single"/>
              </w:rPr>
            </w:pPr>
            <w:r>
              <w:rPr>
                <w:rFonts w:ascii="Times New Roman" w:hAnsi="Times New Roman"/>
              </w:rPr>
              <w:t>Skupni znesek in tehtani povprečni razmik izdanih vrednostnih papirjev s premoženjskim kritjem, vključno s komercialnimi zapisi s premoženjskim kritjem, glede na skupno financiranje iz postavke 1.</w:t>
            </w:r>
          </w:p>
        </w:tc>
      </w:tr>
    </w:tbl>
    <w:p w14:paraId="5029EEE5" w14:textId="77777777" w:rsidR="00953ED6" w:rsidRPr="000343B1" w:rsidRDefault="00953ED6" w:rsidP="000343B1">
      <w:pPr>
        <w:pStyle w:val="InstructionsText"/>
        <w:rPr>
          <w:rStyle w:val="InstructionsTabelleText"/>
          <w:rFonts w:ascii="Times New Roman" w:hAnsi="Times New Roman"/>
          <w:u w:val="none"/>
        </w:rPr>
      </w:pPr>
    </w:p>
    <w:p w14:paraId="63E17173" w14:textId="77777777" w:rsidR="00181260" w:rsidRPr="007F5684" w:rsidRDefault="006000DF" w:rsidP="00DD5897">
      <w:pPr>
        <w:pStyle w:val="Instructionsberschrift2"/>
        <w:numPr>
          <w:ilvl w:val="1"/>
          <w:numId w:val="2"/>
        </w:numPr>
        <w:spacing w:before="0"/>
        <w:rPr>
          <w:rFonts w:ascii="Times New Roman" w:hAnsi="Times New Roman" w:cs="Times New Roman"/>
          <w:szCs w:val="20"/>
        </w:rPr>
      </w:pPr>
      <w:r>
        <w:rPr>
          <w:rFonts w:ascii="Times New Roman" w:hAnsi="Times New Roman"/>
        </w:rPr>
        <w:t>Obnavljanje financiranja (C 70.00)</w:t>
      </w:r>
    </w:p>
    <w:p w14:paraId="5ACA258A" w14:textId="276B9622" w:rsidR="00DD5897" w:rsidRPr="007F5684" w:rsidRDefault="00DD5897" w:rsidP="00DD5897">
      <w:pPr>
        <w:pStyle w:val="InstructionsText2"/>
        <w:numPr>
          <w:ilvl w:val="0"/>
          <w:numId w:val="8"/>
        </w:numPr>
        <w:rPr>
          <w:szCs w:val="20"/>
          <w:u w:val="none"/>
        </w:rPr>
      </w:pPr>
      <w:bookmarkStart w:id="3" w:name="_Toc308175821"/>
      <w:bookmarkStart w:id="4" w:name="_Toc310414968"/>
      <w:r>
        <w:rPr>
          <w:u w:val="none"/>
        </w:rPr>
        <w:t>Ta predloga je namenjena zbiranju informacij o znesku zapadajočih sredstev in novih pridobljenih sredstev, tj. „obnavljanju financiranja“ na dnevni ravni v mesecu pred datumom poročanja.</w:t>
      </w:r>
    </w:p>
    <w:p w14:paraId="180EF408" w14:textId="5A266611" w:rsidR="00DB3C37" w:rsidRPr="007F5684" w:rsidRDefault="00DB3C37" w:rsidP="00DD5897">
      <w:pPr>
        <w:pStyle w:val="InstructionsText2"/>
        <w:numPr>
          <w:ilvl w:val="0"/>
          <w:numId w:val="8"/>
        </w:numPr>
        <w:rPr>
          <w:szCs w:val="20"/>
          <w:u w:val="none"/>
        </w:rPr>
      </w:pPr>
      <w:r>
        <w:rPr>
          <w:u w:val="none"/>
        </w:rPr>
        <w:t>Institucije po koledarskih dneh poročajo financiranje, ki zapade v skladu z naslednjimi časovnimi intervali, glede na prvotno zapadlost:</w:t>
      </w:r>
    </w:p>
    <w:p w14:paraId="10B482AB" w14:textId="6285BE75" w:rsidR="00DB3C37" w:rsidRPr="007F5684" w:rsidRDefault="00237D15" w:rsidP="0094416B">
      <w:pPr>
        <w:pStyle w:val="InstructionsText2"/>
        <w:numPr>
          <w:ilvl w:val="1"/>
          <w:numId w:val="5"/>
        </w:numPr>
        <w:ind w:left="1276" w:hanging="283"/>
        <w:rPr>
          <w:szCs w:val="20"/>
          <w:u w:val="none"/>
        </w:rPr>
      </w:pPr>
      <w:r>
        <w:rPr>
          <w:u w:val="none"/>
        </w:rPr>
        <w:t>čez noč v stolpcih 010 do 040;</w:t>
      </w:r>
    </w:p>
    <w:p w14:paraId="78059097" w14:textId="4572B97B" w:rsidR="00DB3C37" w:rsidRPr="007F5684" w:rsidRDefault="00237D15" w:rsidP="00DB3C37">
      <w:pPr>
        <w:pStyle w:val="InstructionsText2"/>
        <w:numPr>
          <w:ilvl w:val="1"/>
          <w:numId w:val="5"/>
        </w:numPr>
        <w:ind w:left="1276" w:hanging="283"/>
        <w:rPr>
          <w:szCs w:val="20"/>
          <w:u w:val="none"/>
        </w:rPr>
      </w:pPr>
      <w:r>
        <w:rPr>
          <w:u w:val="none"/>
        </w:rPr>
        <w:t>med 1 in 7 dnevi v stolpcih 050 do 080;</w:t>
      </w:r>
    </w:p>
    <w:p w14:paraId="0888F316" w14:textId="5C20E07A" w:rsidR="00DB3C37" w:rsidRPr="007F5684" w:rsidRDefault="00237D15" w:rsidP="00DB3C37">
      <w:pPr>
        <w:pStyle w:val="InstructionsText2"/>
        <w:numPr>
          <w:ilvl w:val="1"/>
          <w:numId w:val="5"/>
        </w:numPr>
        <w:ind w:left="1276" w:hanging="283"/>
        <w:rPr>
          <w:szCs w:val="20"/>
          <w:u w:val="none"/>
        </w:rPr>
      </w:pPr>
      <w:r>
        <w:rPr>
          <w:u w:val="none"/>
        </w:rPr>
        <w:t>med 7 in 14 dnevi v stolpcih 090 do 120;</w:t>
      </w:r>
    </w:p>
    <w:p w14:paraId="08E23AA2" w14:textId="53446689" w:rsidR="00DB3C37" w:rsidRPr="007F5684" w:rsidRDefault="00237D15" w:rsidP="00DB3C37">
      <w:pPr>
        <w:pStyle w:val="InstructionsText2"/>
        <w:numPr>
          <w:ilvl w:val="1"/>
          <w:numId w:val="5"/>
        </w:numPr>
        <w:ind w:left="1276" w:hanging="283"/>
        <w:rPr>
          <w:szCs w:val="20"/>
          <w:u w:val="none"/>
        </w:rPr>
      </w:pPr>
      <w:r>
        <w:rPr>
          <w:u w:val="none"/>
        </w:rPr>
        <w:t>med 14 dnevi in 1 mesecem v stolpcih 130 do 160;</w:t>
      </w:r>
    </w:p>
    <w:p w14:paraId="69F00FB2" w14:textId="021E729C" w:rsidR="00DB3C37" w:rsidRPr="007F5684" w:rsidRDefault="00237D15" w:rsidP="00DB3C37">
      <w:pPr>
        <w:pStyle w:val="InstructionsText2"/>
        <w:numPr>
          <w:ilvl w:val="1"/>
          <w:numId w:val="5"/>
        </w:numPr>
        <w:ind w:left="1276" w:hanging="283"/>
        <w:rPr>
          <w:szCs w:val="20"/>
          <w:u w:val="none"/>
        </w:rPr>
      </w:pPr>
      <w:r>
        <w:rPr>
          <w:u w:val="none"/>
        </w:rPr>
        <w:lastRenderedPageBreak/>
        <w:t>med 1 in 3 meseci v stolpcih 170 do 200;</w:t>
      </w:r>
    </w:p>
    <w:p w14:paraId="39971E5E" w14:textId="651F802B" w:rsidR="00DB3C37" w:rsidRPr="007F5684" w:rsidRDefault="00237D15" w:rsidP="00DB3C37">
      <w:pPr>
        <w:pStyle w:val="InstructionsText2"/>
        <w:numPr>
          <w:ilvl w:val="1"/>
          <w:numId w:val="5"/>
        </w:numPr>
        <w:ind w:left="1276" w:hanging="283"/>
        <w:rPr>
          <w:szCs w:val="20"/>
          <w:u w:val="none"/>
        </w:rPr>
      </w:pPr>
      <w:r>
        <w:rPr>
          <w:u w:val="none"/>
        </w:rPr>
        <w:t>med 3 in 6 meseci v stolpcih 210 do 240;</w:t>
      </w:r>
    </w:p>
    <w:p w14:paraId="7574DBE7" w14:textId="7977E8C2" w:rsidR="009A329A" w:rsidRPr="007F5684" w:rsidRDefault="00144FB8" w:rsidP="009A329A">
      <w:pPr>
        <w:pStyle w:val="InstructionsText2"/>
        <w:numPr>
          <w:ilvl w:val="1"/>
          <w:numId w:val="5"/>
        </w:numPr>
        <w:ind w:left="1276" w:hanging="283"/>
        <w:rPr>
          <w:szCs w:val="20"/>
          <w:u w:val="none"/>
        </w:rPr>
      </w:pPr>
      <w:r>
        <w:rPr>
          <w:u w:val="none"/>
        </w:rPr>
        <w:t>v več kot 6 mesecih v stolpcih 250 do 280.</w:t>
      </w:r>
    </w:p>
    <w:p w14:paraId="1F25325E" w14:textId="0E268387" w:rsidR="00DB3C37" w:rsidRPr="007F5684" w:rsidRDefault="00DB3C37" w:rsidP="00ED41A4">
      <w:pPr>
        <w:pStyle w:val="InstructionsText2"/>
        <w:numPr>
          <w:ilvl w:val="0"/>
          <w:numId w:val="8"/>
        </w:numPr>
        <w:rPr>
          <w:szCs w:val="20"/>
          <w:u w:val="none"/>
        </w:rPr>
      </w:pPr>
      <w:r>
        <w:rPr>
          <w:u w:val="none"/>
        </w:rPr>
        <w:t>Za vsak časovni interval iz odstavka 2 se zapadajoči znesek navede v levem stolpcu, znesek sredstev, ki se obnovijo, se navede v stolpcu „Obnovljeno“, nova pridobljena sredstva se navedejo v stolpcu „Nova sredstva“, neto razlika med novimi sredstvi na eni strani in obnovljenimi sredstvi, od katerih se odštejejo zapadajoča sredstva, na drugi strani pa v desnem stolpcu.</w:t>
      </w:r>
      <w:r>
        <w:rPr>
          <w:rFonts w:ascii="Verdana" w:hAnsi="Verdana"/>
          <w:u w:val="none"/>
        </w:rPr>
        <w:t xml:space="preserve"> </w:t>
      </w:r>
    </w:p>
    <w:p w14:paraId="710A06F4" w14:textId="219179A7" w:rsidR="00DB3C37" w:rsidRPr="007F5684" w:rsidRDefault="00DB3C37" w:rsidP="00DB3C37">
      <w:pPr>
        <w:pStyle w:val="InstructionsText2"/>
        <w:numPr>
          <w:ilvl w:val="0"/>
          <w:numId w:val="8"/>
        </w:numPr>
        <w:rPr>
          <w:szCs w:val="20"/>
          <w:u w:val="none"/>
        </w:rPr>
      </w:pPr>
      <w:r>
        <w:rPr>
          <w:u w:val="none"/>
        </w:rPr>
        <w:t>Skupni neto denarni tokovi se navedejo v stolpcu 290 in so enaki vsoti vseh naslednjih stolpcev „Neto“: 040, 080, 120, 160, 200, 240 in 280.</w:t>
      </w:r>
    </w:p>
    <w:p w14:paraId="28B9B16F" w14:textId="51F3D036" w:rsidR="00BD24C1" w:rsidRDefault="00DB3C37" w:rsidP="00397ABE">
      <w:pPr>
        <w:pStyle w:val="InstructionsText2"/>
        <w:numPr>
          <w:ilvl w:val="0"/>
          <w:numId w:val="8"/>
        </w:numPr>
        <w:rPr>
          <w:szCs w:val="20"/>
          <w:u w:val="none"/>
        </w:rPr>
      </w:pPr>
      <w:r>
        <w:rPr>
          <w:u w:val="none"/>
        </w:rPr>
        <w:t>Povprečno trajanje financiranja (v dneh) za zapadajoča terminska sredstva se poroča v stolpcu 300.</w:t>
      </w:r>
    </w:p>
    <w:p w14:paraId="76D8AD49" w14:textId="16CEB38F" w:rsidR="003E371A" w:rsidRPr="00397ABE" w:rsidRDefault="003E371A" w:rsidP="00397ABE">
      <w:pPr>
        <w:pStyle w:val="InstructionsText2"/>
        <w:numPr>
          <w:ilvl w:val="0"/>
          <w:numId w:val="8"/>
        </w:numPr>
        <w:rPr>
          <w:szCs w:val="20"/>
          <w:u w:val="none"/>
        </w:rPr>
      </w:pPr>
      <w:r>
        <w:rPr>
          <w:u w:val="none"/>
        </w:rPr>
        <w:t>Povprečno trajanje financiranja (v dneh) sredstev, ki se obnovijo, se poroča v stolpcu 310.</w:t>
      </w:r>
    </w:p>
    <w:p w14:paraId="717CD209" w14:textId="16BDF091" w:rsidR="00BD24C1" w:rsidRDefault="00DB3C37" w:rsidP="00397ABE">
      <w:pPr>
        <w:pStyle w:val="InstructionsText2"/>
        <w:numPr>
          <w:ilvl w:val="0"/>
          <w:numId w:val="8"/>
        </w:numPr>
        <w:rPr>
          <w:szCs w:val="20"/>
          <w:u w:val="none"/>
        </w:rPr>
      </w:pPr>
      <w:r>
        <w:rPr>
          <w:u w:val="none"/>
        </w:rPr>
        <w:t xml:space="preserve"> Povprečno trajanje financiranja (v dneh) za nova terminska sredstva se poroča v stolpcu 320.</w:t>
      </w:r>
    </w:p>
    <w:p w14:paraId="5C92A186" w14:textId="6F4BC0FE" w:rsidR="00A7751A" w:rsidRPr="00AC205E" w:rsidRDefault="00A7751A" w:rsidP="00A7751A">
      <w:pPr>
        <w:pStyle w:val="InstructionsText2"/>
        <w:numPr>
          <w:ilvl w:val="0"/>
          <w:numId w:val="8"/>
        </w:numPr>
        <w:rPr>
          <w:szCs w:val="20"/>
          <w:u w:val="none"/>
        </w:rPr>
      </w:pPr>
      <w:r>
        <w:rPr>
          <w:u w:val="none"/>
        </w:rPr>
        <w:t>„Zapadajoči“ znesek vsebuje vse obveznosti, ki jih je ponudnik financiranja po pogodbi lahko dvignil ali so zapadle na zadevni dan v poročevalskem obdobju. Vedno se poroča s pozitivnim predznakom.</w:t>
      </w:r>
    </w:p>
    <w:p w14:paraId="004B6E12" w14:textId="0B826D76" w:rsidR="00A7751A" w:rsidRPr="00AC205E" w:rsidRDefault="00A7751A" w:rsidP="00850B28">
      <w:pPr>
        <w:pStyle w:val="InstructionsText2"/>
        <w:numPr>
          <w:ilvl w:val="0"/>
          <w:numId w:val="8"/>
        </w:numPr>
        <w:rPr>
          <w:szCs w:val="20"/>
          <w:u w:val="none"/>
        </w:rPr>
      </w:pPr>
      <w:r>
        <w:rPr>
          <w:u w:val="none"/>
        </w:rPr>
        <w:t>„Obnovljeni“ znesek vsebuje zapadajoči znesek, kot je opredeljen v odstavkih 2 in 3, ki ostane v instituciji na zadevni dan poročevalskega obdobja. Vedno se poroča s pozitivnim predznakom. Kadar se zapadlost financiranja spremeni zaradi obnovitve, se „obnovljeni“ znesek poroča v časovnem intervalu v skladu z novo zapadlostjo.</w:t>
      </w:r>
    </w:p>
    <w:p w14:paraId="68CA5A97" w14:textId="694BA31F" w:rsidR="00A7751A" w:rsidRPr="00AC205E" w:rsidRDefault="00A7751A" w:rsidP="00850B28">
      <w:pPr>
        <w:pStyle w:val="InstructionsText2"/>
        <w:numPr>
          <w:ilvl w:val="0"/>
          <w:numId w:val="8"/>
        </w:numPr>
        <w:rPr>
          <w:szCs w:val="20"/>
          <w:u w:val="none"/>
        </w:rPr>
      </w:pPr>
      <w:r>
        <w:rPr>
          <w:u w:val="none"/>
        </w:rPr>
        <w:t>Znesek „novih sredstev“ vsebuje dejanske prilive financiranja na zadevni dan poročevalskega obdobja. Vedno se poroča s pozitivnim predznakom.</w:t>
      </w:r>
    </w:p>
    <w:p w14:paraId="36023996" w14:textId="52F7601E" w:rsidR="00A7751A" w:rsidRPr="00AC205E" w:rsidRDefault="00A7751A" w:rsidP="00850B28">
      <w:pPr>
        <w:pStyle w:val="InstructionsText2"/>
        <w:numPr>
          <w:ilvl w:val="0"/>
          <w:numId w:val="8"/>
        </w:numPr>
        <w:rPr>
          <w:szCs w:val="20"/>
          <w:u w:val="none"/>
        </w:rPr>
      </w:pPr>
      <w:r>
        <w:rPr>
          <w:u w:val="none"/>
        </w:rPr>
        <w:t xml:space="preserve">„Neto“ znesek se obravnava kot sprememba financiranja znotraj določenega prvotnega časovnega pasu zapadlosti na zadevni dan poročevalskega obdobja ter se izračuna tako, da se v stolpec „Neto“ dodajo nova sredstva, ki se jim prištejejo obnovljena sredstva in odštejejo zapadajoča sredstva.  </w:t>
      </w:r>
    </w:p>
    <w:bookmarkEnd w:id="3"/>
    <w:bookmarkEnd w:id="4"/>
    <w:p w14:paraId="0E67F27B" w14:textId="64F4C758" w:rsidR="00ED41A4" w:rsidRPr="007F5684" w:rsidRDefault="00ED41A4" w:rsidP="00F723C5">
      <w:pPr>
        <w:pStyle w:val="InstructionsText2"/>
        <w:numPr>
          <w:ilvl w:val="0"/>
          <w:numId w:val="8"/>
        </w:numPr>
        <w:rPr>
          <w:szCs w:val="20"/>
          <w:u w:val="none"/>
        </w:rPr>
      </w:pPr>
      <w:r>
        <w:rPr>
          <w:u w:val="none"/>
        </w:rPr>
        <w:t>Navodila za posamezne stolpce: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3"/>
        <w:gridCol w:w="7279"/>
      </w:tblGrid>
      <w:tr w:rsidR="00ED41A4" w:rsidRPr="007F5684" w14:paraId="24A3446B" w14:textId="77777777" w:rsidTr="005F4FE0">
        <w:trPr>
          <w:trHeight w:val="548"/>
        </w:trPr>
        <w:tc>
          <w:tcPr>
            <w:tcW w:w="729" w:type="pct"/>
            <w:shd w:val="clear" w:color="auto" w:fill="D9D9D9"/>
            <w:noWrap/>
            <w:vAlign w:val="center"/>
          </w:tcPr>
          <w:p w14:paraId="44CE1AFF" w14:textId="77777777" w:rsidR="00ED41A4" w:rsidRPr="007F5684" w:rsidRDefault="00ED41A4" w:rsidP="005F4FE0">
            <w:pPr>
              <w:spacing w:before="0" w:after="0"/>
              <w:jc w:val="left"/>
              <w:rPr>
                <w:rFonts w:ascii="Times New Roman" w:hAnsi="Times New Roman"/>
                <w:color w:val="000000"/>
                <w:szCs w:val="20"/>
              </w:rPr>
            </w:pPr>
            <w:r>
              <w:rPr>
                <w:rStyle w:val="InstructionsTabelleText"/>
                <w:rFonts w:ascii="Times New Roman" w:hAnsi="Times New Roman"/>
                <w:color w:val="000000"/>
              </w:rPr>
              <w:t>Stolpec</w:t>
            </w:r>
          </w:p>
        </w:tc>
        <w:tc>
          <w:tcPr>
            <w:tcW w:w="4271" w:type="pct"/>
            <w:shd w:val="clear" w:color="auto" w:fill="D9D9D9"/>
            <w:vAlign w:val="center"/>
          </w:tcPr>
          <w:p w14:paraId="31EE78F6" w14:textId="77777777" w:rsidR="00ED41A4" w:rsidRPr="007F5684" w:rsidRDefault="00ED41A4" w:rsidP="005F4FE0">
            <w:pPr>
              <w:spacing w:before="0" w:after="0"/>
              <w:jc w:val="left"/>
              <w:rPr>
                <w:rFonts w:ascii="Times New Roman" w:hAnsi="Times New Roman"/>
                <w:szCs w:val="20"/>
              </w:rPr>
            </w:pPr>
            <w:r>
              <w:rPr>
                <w:rStyle w:val="InstructionsTabelleText"/>
                <w:rFonts w:ascii="Times New Roman" w:hAnsi="Times New Roman"/>
              </w:rPr>
              <w:t>Pravna sklicevanja in navodila</w:t>
            </w:r>
          </w:p>
        </w:tc>
      </w:tr>
      <w:tr w:rsidR="00ED41A4" w:rsidRPr="007F5684" w14:paraId="1F75C2D4" w14:textId="77777777" w:rsidTr="00ED41A4">
        <w:trPr>
          <w:trHeight w:val="765"/>
        </w:trPr>
        <w:tc>
          <w:tcPr>
            <w:tcW w:w="729" w:type="pct"/>
            <w:shd w:val="clear" w:color="auto" w:fill="auto"/>
            <w:noWrap/>
          </w:tcPr>
          <w:p w14:paraId="2684888D" w14:textId="77777777" w:rsidR="00ED41A4" w:rsidRPr="007F5684" w:rsidRDefault="00BD24C1" w:rsidP="00BD24C1">
            <w:pPr>
              <w:spacing w:before="0" w:after="0"/>
              <w:jc w:val="left"/>
              <w:rPr>
                <w:rFonts w:ascii="Times New Roman" w:hAnsi="Times New Roman"/>
                <w:color w:val="000000"/>
                <w:szCs w:val="20"/>
              </w:rPr>
            </w:pPr>
            <w:r>
              <w:rPr>
                <w:rFonts w:ascii="Times New Roman" w:hAnsi="Times New Roman"/>
                <w:color w:val="000000"/>
              </w:rPr>
              <w:t>010 do 040</w:t>
            </w:r>
          </w:p>
        </w:tc>
        <w:tc>
          <w:tcPr>
            <w:tcW w:w="4271" w:type="pct"/>
            <w:shd w:val="clear" w:color="auto" w:fill="auto"/>
          </w:tcPr>
          <w:p w14:paraId="45774E3B" w14:textId="77777777" w:rsidR="00ED41A4" w:rsidRPr="007F5684" w:rsidRDefault="00BD24C1" w:rsidP="00193B6D">
            <w:pPr>
              <w:rPr>
                <w:rFonts w:ascii="Times New Roman" w:hAnsi="Times New Roman"/>
                <w:b/>
                <w:szCs w:val="20"/>
                <w:u w:val="single"/>
              </w:rPr>
            </w:pPr>
            <w:r>
              <w:rPr>
                <w:rFonts w:ascii="Times New Roman" w:hAnsi="Times New Roman"/>
                <w:b/>
                <w:u w:val="single"/>
              </w:rPr>
              <w:t>Čez noč</w:t>
            </w:r>
          </w:p>
          <w:p w14:paraId="0D011271" w14:textId="3E284E08" w:rsidR="00B83BF9" w:rsidRDefault="00ED41A4" w:rsidP="00193B6D">
            <w:pPr>
              <w:rPr>
                <w:rFonts w:ascii="Times New Roman" w:hAnsi="Times New Roman"/>
                <w:szCs w:val="20"/>
              </w:rPr>
            </w:pPr>
            <w:r>
              <w:rPr>
                <w:rFonts w:ascii="Times New Roman" w:hAnsi="Times New Roman"/>
              </w:rPr>
              <w:t>Skupni znesek financiranja, ki zapade na zadevni dan poročevalskega obdobja, s prvotno zapadlostjo čez noč se poroča v stolpcu 010 vrstične postavke 1.1–1.31. Pri mesecih, ki imajo manj kot 31 dni, kot tudi za konce tedna, se odvečne vrstice pustijo prazne.</w:t>
            </w:r>
          </w:p>
          <w:p w14:paraId="7D2D26D4" w14:textId="2B464E25" w:rsidR="003E371A" w:rsidRPr="007F5684" w:rsidRDefault="003E371A" w:rsidP="00193B6D">
            <w:pPr>
              <w:rPr>
                <w:rFonts w:ascii="Times New Roman" w:hAnsi="Times New Roman"/>
                <w:szCs w:val="20"/>
              </w:rPr>
            </w:pPr>
            <w:r>
              <w:rPr>
                <w:rFonts w:ascii="Times New Roman" w:hAnsi="Times New Roman"/>
              </w:rPr>
              <w:t>Skupni znesek financiranja, ki se obnovi na zadevni dan poročevalskega obdobja, s prvotno zapadlostjo čez noč se poroča v stolpcu 020 vrstične postavke 1.1–1.31.</w:t>
            </w:r>
          </w:p>
          <w:p w14:paraId="4837928B" w14:textId="43309A16" w:rsidR="00ED41A4" w:rsidRPr="007F5684" w:rsidRDefault="00ED41A4" w:rsidP="00193B6D">
            <w:pPr>
              <w:rPr>
                <w:rFonts w:ascii="Times New Roman" w:hAnsi="Times New Roman"/>
                <w:szCs w:val="20"/>
              </w:rPr>
            </w:pPr>
            <w:r>
              <w:rPr>
                <w:rFonts w:ascii="Times New Roman" w:hAnsi="Times New Roman"/>
              </w:rPr>
              <w:t>Skupni znesek novega financiranja, pridobljenega na zadevni dan poročevalskega obdobja, s prvotno zapadlostjo čez noč se poroča v stolpcu 030 vrstične postavke 1.1–1.31.</w:t>
            </w:r>
          </w:p>
          <w:p w14:paraId="16FDBE2F" w14:textId="3BEB2550" w:rsidR="00ED41A4" w:rsidRPr="007F5684" w:rsidRDefault="00ED41A4" w:rsidP="00193B6D">
            <w:pPr>
              <w:rPr>
                <w:rFonts w:ascii="Times New Roman" w:hAnsi="Times New Roman"/>
                <w:szCs w:val="20"/>
              </w:rPr>
            </w:pPr>
            <w:r>
              <w:rPr>
                <w:rFonts w:ascii="Times New Roman" w:hAnsi="Times New Roman"/>
              </w:rPr>
              <w:t>Neto razlika med financiranjem, ki zapade dnevno, na eni strani in obnovljenim financiranjem, ki se mu prišteje novo dnevno pridobljeno financiranje, na drugi strani se poroča v stolpcu 040 vrstičnih postavk 1.1–1.31.</w:t>
            </w:r>
          </w:p>
        </w:tc>
      </w:tr>
      <w:tr w:rsidR="00ED41A4" w:rsidRPr="007F5684" w14:paraId="66A496F1" w14:textId="77777777" w:rsidTr="00ED41A4">
        <w:trPr>
          <w:trHeight w:val="765"/>
        </w:trPr>
        <w:tc>
          <w:tcPr>
            <w:tcW w:w="729" w:type="pct"/>
            <w:shd w:val="clear" w:color="auto" w:fill="auto"/>
            <w:noWrap/>
          </w:tcPr>
          <w:p w14:paraId="03C009DF" w14:textId="77777777" w:rsidR="00ED41A4" w:rsidRPr="007F5684" w:rsidRDefault="00BD24C1" w:rsidP="00BD24C1">
            <w:pPr>
              <w:spacing w:before="0" w:after="0"/>
              <w:jc w:val="left"/>
              <w:rPr>
                <w:rFonts w:ascii="Times New Roman" w:hAnsi="Times New Roman"/>
                <w:color w:val="000000"/>
                <w:szCs w:val="20"/>
              </w:rPr>
            </w:pPr>
            <w:r>
              <w:rPr>
                <w:rFonts w:ascii="Times New Roman" w:hAnsi="Times New Roman"/>
                <w:color w:val="000000"/>
              </w:rPr>
              <w:lastRenderedPageBreak/>
              <w:t>050 do 080</w:t>
            </w:r>
          </w:p>
        </w:tc>
        <w:tc>
          <w:tcPr>
            <w:tcW w:w="4271" w:type="pct"/>
            <w:shd w:val="clear" w:color="auto" w:fill="auto"/>
          </w:tcPr>
          <w:p w14:paraId="79477518" w14:textId="77777777" w:rsidR="00ED41A4" w:rsidRPr="007F5684" w:rsidRDefault="00ED41A4" w:rsidP="00193B6D">
            <w:pPr>
              <w:rPr>
                <w:rFonts w:ascii="Times New Roman" w:hAnsi="Times New Roman"/>
                <w:b/>
                <w:szCs w:val="20"/>
                <w:u w:val="single"/>
              </w:rPr>
            </w:pPr>
            <w:r>
              <w:rPr>
                <w:rFonts w:ascii="Times New Roman" w:hAnsi="Times New Roman"/>
                <w:b/>
                <w:u w:val="single"/>
              </w:rPr>
              <w:t>&gt; 1 dan ≤ 7 dni</w:t>
            </w:r>
          </w:p>
          <w:p w14:paraId="456405B1" w14:textId="23DE58B7" w:rsidR="00ED41A4" w:rsidRDefault="00ED41A4" w:rsidP="00193B6D">
            <w:pPr>
              <w:rPr>
                <w:rFonts w:ascii="Times New Roman" w:hAnsi="Times New Roman"/>
                <w:szCs w:val="20"/>
              </w:rPr>
            </w:pPr>
            <w:r>
              <w:rPr>
                <w:rFonts w:ascii="Times New Roman" w:hAnsi="Times New Roman"/>
              </w:rPr>
              <w:t>Skupni znesek financiranja, ki zapade na zadevni dan poročevalskega obdobja, s prvotno zapadlostjo med enim dnem in enim tednom se poroča v stolpcu 050 vrstične postavke 1.1–1.31. Pri mesecih, ki imajo manj kot 31 dni, kot tudi za konce tedna, se odvečne vrstice pustijo prazne.</w:t>
            </w:r>
          </w:p>
          <w:p w14:paraId="293B2767" w14:textId="3A94241F" w:rsidR="003E371A" w:rsidRPr="007F5684" w:rsidRDefault="003E371A" w:rsidP="00193B6D">
            <w:pPr>
              <w:rPr>
                <w:rFonts w:ascii="Times New Roman" w:hAnsi="Times New Roman"/>
                <w:szCs w:val="20"/>
              </w:rPr>
            </w:pPr>
            <w:r>
              <w:rPr>
                <w:rFonts w:ascii="Times New Roman" w:hAnsi="Times New Roman"/>
              </w:rPr>
              <w:t>Skupni znesek financiranja, ki se obnovi na zadevni dan poročevalskega obdobja, s prvotno zapadlostjo med enim dnem in enim tednom se poroča v stolpcu 060 vrstične postavke 1.1–1.31.</w:t>
            </w:r>
          </w:p>
          <w:p w14:paraId="5D635490" w14:textId="3FBA5A2E" w:rsidR="00ED41A4" w:rsidRPr="007F5684" w:rsidRDefault="00ED41A4" w:rsidP="00193B6D">
            <w:pPr>
              <w:rPr>
                <w:rFonts w:ascii="Times New Roman" w:hAnsi="Times New Roman"/>
                <w:szCs w:val="20"/>
              </w:rPr>
            </w:pPr>
            <w:r>
              <w:rPr>
                <w:rFonts w:ascii="Times New Roman" w:hAnsi="Times New Roman"/>
              </w:rPr>
              <w:t>Skupni znesek novega financiranja, pridobljenega na zadevni dan poročevalskega obdobja, s prvotno zapadlostjo med enim dnem in enim tednom se poroča v stolpcu 70 vrstične postavke 1.1–1.31.</w:t>
            </w:r>
          </w:p>
          <w:p w14:paraId="46AFF05A" w14:textId="769E0BE0" w:rsidR="00ED41A4" w:rsidRPr="007F5684" w:rsidRDefault="00ED41A4" w:rsidP="00193B6D">
            <w:pPr>
              <w:rPr>
                <w:rFonts w:ascii="Times New Roman" w:hAnsi="Times New Roman"/>
                <w:b/>
                <w:szCs w:val="20"/>
                <w:u w:val="single"/>
              </w:rPr>
            </w:pPr>
            <w:r>
              <w:rPr>
                <w:rFonts w:ascii="Times New Roman" w:hAnsi="Times New Roman"/>
              </w:rPr>
              <w:t>Neto razlika med zapadajočim financiranjem na eni strani in obnovljenim financiranjem, ki se mu prišteje novo pridobljeno financiranje, na drugi strani se poroča v stolpcu 080 vrstičnih postavk 1.1–1.31.</w:t>
            </w:r>
          </w:p>
        </w:tc>
      </w:tr>
      <w:tr w:rsidR="00ED41A4" w:rsidRPr="007F5684" w14:paraId="7A4EE419" w14:textId="77777777" w:rsidTr="00ED41A4">
        <w:trPr>
          <w:trHeight w:val="765"/>
        </w:trPr>
        <w:tc>
          <w:tcPr>
            <w:tcW w:w="729" w:type="pct"/>
            <w:shd w:val="clear" w:color="auto" w:fill="auto"/>
            <w:noWrap/>
          </w:tcPr>
          <w:p w14:paraId="533F8B1E" w14:textId="77777777" w:rsidR="00ED41A4" w:rsidRPr="007F5684" w:rsidRDefault="00BD24C1" w:rsidP="00BD24C1">
            <w:pPr>
              <w:spacing w:before="0" w:after="0"/>
              <w:jc w:val="left"/>
              <w:rPr>
                <w:rFonts w:ascii="Times New Roman" w:hAnsi="Times New Roman"/>
                <w:color w:val="000000"/>
                <w:szCs w:val="20"/>
              </w:rPr>
            </w:pPr>
            <w:r>
              <w:rPr>
                <w:rFonts w:ascii="Times New Roman" w:hAnsi="Times New Roman"/>
                <w:color w:val="000000"/>
              </w:rPr>
              <w:t>090 do 120</w:t>
            </w:r>
          </w:p>
        </w:tc>
        <w:tc>
          <w:tcPr>
            <w:tcW w:w="4271" w:type="pct"/>
            <w:shd w:val="clear" w:color="auto" w:fill="auto"/>
          </w:tcPr>
          <w:p w14:paraId="47C8E97F" w14:textId="77777777" w:rsidR="00ED41A4" w:rsidRPr="007F5684" w:rsidRDefault="00ED41A4" w:rsidP="00193B6D">
            <w:pPr>
              <w:rPr>
                <w:rFonts w:ascii="Times New Roman" w:hAnsi="Times New Roman"/>
                <w:b/>
                <w:szCs w:val="20"/>
                <w:u w:val="single"/>
              </w:rPr>
            </w:pPr>
            <w:r>
              <w:rPr>
                <w:rFonts w:ascii="Times New Roman" w:hAnsi="Times New Roman"/>
                <w:b/>
                <w:u w:val="single"/>
              </w:rPr>
              <w:t>&gt; 7 dni ≤ 14 dni</w:t>
            </w:r>
          </w:p>
          <w:p w14:paraId="01B280B0" w14:textId="290C8E5F" w:rsidR="007C6B89" w:rsidRDefault="007C6B89" w:rsidP="00193B6D">
            <w:pPr>
              <w:rPr>
                <w:rFonts w:ascii="Times New Roman" w:hAnsi="Times New Roman"/>
                <w:szCs w:val="20"/>
              </w:rPr>
            </w:pPr>
            <w:r>
              <w:rPr>
                <w:rFonts w:ascii="Times New Roman" w:hAnsi="Times New Roman"/>
              </w:rPr>
              <w:t>Skupni znesek financiranja, ki zapade na zadevni dan poročevalskega obdobja, s prvotno zapadlostjo med enim in dvema tednoma se poroča v stolpcu 090 vrstične postavke 1.1–1.31. Pri mesecih, ki imajo manj kot 31 dni, kot tudi za konce tedna, se odvečne vrstice pustijo prazne.</w:t>
            </w:r>
          </w:p>
          <w:p w14:paraId="37FF815B" w14:textId="6B227C03" w:rsidR="003E371A" w:rsidRPr="007F5684" w:rsidRDefault="003E371A" w:rsidP="00193B6D">
            <w:pPr>
              <w:rPr>
                <w:rFonts w:ascii="Times New Roman" w:hAnsi="Times New Roman"/>
                <w:szCs w:val="20"/>
              </w:rPr>
            </w:pPr>
            <w:r>
              <w:rPr>
                <w:rFonts w:ascii="Times New Roman" w:hAnsi="Times New Roman"/>
              </w:rPr>
              <w:t>Skupni znesek financiranja, ki se obnovi na zadevni dan poročevalskega obdobja, s prvotno zapadlostjo med enim in dvema tednoma se poroča v stolpcu 100 vrstične postavke 1.1–1.31.</w:t>
            </w:r>
          </w:p>
          <w:p w14:paraId="60125A59" w14:textId="24FC6F1C" w:rsidR="007C6B89" w:rsidRPr="007F5684" w:rsidRDefault="007C6B89" w:rsidP="00193B6D">
            <w:pPr>
              <w:rPr>
                <w:rFonts w:ascii="Times New Roman" w:hAnsi="Times New Roman"/>
                <w:szCs w:val="20"/>
              </w:rPr>
            </w:pPr>
            <w:r>
              <w:rPr>
                <w:rFonts w:ascii="Times New Roman" w:hAnsi="Times New Roman"/>
              </w:rPr>
              <w:t>Skupni znesek novega financiranja, pridobljenega na zadevni dan poročevalskega obdobja, s prvotno zapadlostjo med enim in dvema tednoma se poroča v stolpcu 110 vrstične postavke 1.1–1.31.</w:t>
            </w:r>
          </w:p>
          <w:p w14:paraId="3B20F474" w14:textId="6F4C73DF" w:rsidR="00ED41A4" w:rsidRPr="007F5684" w:rsidRDefault="007C6B89" w:rsidP="00193B6D">
            <w:pPr>
              <w:rPr>
                <w:rFonts w:ascii="Times New Roman" w:hAnsi="Times New Roman"/>
                <w:b/>
                <w:szCs w:val="20"/>
                <w:u w:val="single"/>
              </w:rPr>
            </w:pPr>
            <w:r>
              <w:rPr>
                <w:rFonts w:ascii="Times New Roman" w:hAnsi="Times New Roman"/>
              </w:rPr>
              <w:t>Neto razlika med zapadajočim financiranjem na eni strani in obnovljenim financiranjem, ki se mu prišteje novo pridobljeno financiranje, na drugi strani se poroča v stolpcu 120 vrstičnih postavk 1.1–1.31.</w:t>
            </w:r>
          </w:p>
        </w:tc>
      </w:tr>
      <w:tr w:rsidR="00ED41A4" w:rsidRPr="007F5684" w14:paraId="4111D590" w14:textId="77777777" w:rsidTr="00ED41A4">
        <w:trPr>
          <w:trHeight w:val="765"/>
        </w:trPr>
        <w:tc>
          <w:tcPr>
            <w:tcW w:w="729" w:type="pct"/>
            <w:shd w:val="clear" w:color="auto" w:fill="auto"/>
            <w:noWrap/>
          </w:tcPr>
          <w:p w14:paraId="3F918ABE" w14:textId="77777777" w:rsidR="00ED41A4" w:rsidRPr="007F5684" w:rsidRDefault="00BD24C1" w:rsidP="00BD24C1">
            <w:pPr>
              <w:spacing w:before="0" w:after="0"/>
              <w:jc w:val="left"/>
              <w:rPr>
                <w:rFonts w:ascii="Times New Roman" w:hAnsi="Times New Roman"/>
                <w:color w:val="000000"/>
                <w:szCs w:val="20"/>
              </w:rPr>
            </w:pPr>
            <w:r>
              <w:rPr>
                <w:rFonts w:ascii="Times New Roman" w:hAnsi="Times New Roman"/>
                <w:color w:val="000000"/>
              </w:rPr>
              <w:t>130 do 160</w:t>
            </w:r>
          </w:p>
        </w:tc>
        <w:tc>
          <w:tcPr>
            <w:tcW w:w="4271" w:type="pct"/>
            <w:shd w:val="clear" w:color="auto" w:fill="auto"/>
          </w:tcPr>
          <w:p w14:paraId="4D847802" w14:textId="77777777" w:rsidR="00ED41A4" w:rsidRPr="007F5684" w:rsidRDefault="00ED41A4" w:rsidP="00193B6D">
            <w:pPr>
              <w:rPr>
                <w:rFonts w:ascii="Times New Roman" w:hAnsi="Times New Roman"/>
                <w:b/>
                <w:szCs w:val="20"/>
                <w:u w:val="single"/>
              </w:rPr>
            </w:pPr>
            <w:r>
              <w:rPr>
                <w:rFonts w:ascii="Times New Roman" w:hAnsi="Times New Roman"/>
                <w:b/>
                <w:u w:val="single"/>
              </w:rPr>
              <w:t>&gt; 14 dni ≤ 1 mesec</w:t>
            </w:r>
          </w:p>
          <w:p w14:paraId="6DFCCE86" w14:textId="56D7C337" w:rsidR="007C6B89" w:rsidRDefault="007C6B89" w:rsidP="00193B6D">
            <w:pPr>
              <w:rPr>
                <w:rFonts w:ascii="Times New Roman" w:hAnsi="Times New Roman"/>
                <w:szCs w:val="20"/>
              </w:rPr>
            </w:pPr>
            <w:r>
              <w:rPr>
                <w:rFonts w:ascii="Times New Roman" w:hAnsi="Times New Roman"/>
              </w:rPr>
              <w:t>Skupni znesek financiranja, ki zapade na zadevni dan poročevalskega obdobja, s prvotno zapadlostjo med dvema tednoma in enim mesecem se poroča v stolpcu 130 vrstične postavke 1.1–1.31. Pri mesecih, ki imajo manj kot 31 dni, kot tudi za konce tedna, se odvečne vrstice pustijo prazne.</w:t>
            </w:r>
          </w:p>
          <w:p w14:paraId="168BD6CE" w14:textId="033F4DEE" w:rsidR="003E371A" w:rsidRPr="007F5684" w:rsidRDefault="003E371A" w:rsidP="00193B6D">
            <w:pPr>
              <w:rPr>
                <w:rFonts w:ascii="Times New Roman" w:hAnsi="Times New Roman"/>
                <w:szCs w:val="20"/>
              </w:rPr>
            </w:pPr>
            <w:r>
              <w:rPr>
                <w:rFonts w:ascii="Times New Roman" w:hAnsi="Times New Roman"/>
              </w:rPr>
              <w:t>Skupni znesek financiranja, ki se obnovi na zadevni dan poročevalskega obdobja, s prvotno zapadlostjo med dvema tednoma in enim mesecem se poroča v stolpcu 140 vrstične postavke 1.1–1.31.</w:t>
            </w:r>
          </w:p>
          <w:p w14:paraId="0DBC5483" w14:textId="2E9D6540" w:rsidR="007C6B89" w:rsidRPr="007F5684" w:rsidRDefault="007C6B89" w:rsidP="00193B6D">
            <w:pPr>
              <w:rPr>
                <w:rFonts w:ascii="Times New Roman" w:hAnsi="Times New Roman"/>
                <w:szCs w:val="20"/>
              </w:rPr>
            </w:pPr>
            <w:r>
              <w:rPr>
                <w:rFonts w:ascii="Times New Roman" w:hAnsi="Times New Roman"/>
              </w:rPr>
              <w:t>Skupni znesek novega financiranja, pridobljenega na zadevni dan poročevalskega obdobja, s prvotno zapadlostjo med dvema tednoma in enim mesecem se poroča v stolpcu 150 vrstične postavke 1.1–1.31.</w:t>
            </w:r>
          </w:p>
          <w:p w14:paraId="0D02D77F" w14:textId="63063429" w:rsidR="00ED41A4" w:rsidRPr="007F5684" w:rsidRDefault="007C6B89" w:rsidP="00193B6D">
            <w:pPr>
              <w:rPr>
                <w:rFonts w:ascii="Times New Roman" w:hAnsi="Times New Roman"/>
                <w:b/>
                <w:szCs w:val="20"/>
                <w:u w:val="single"/>
              </w:rPr>
            </w:pPr>
            <w:r>
              <w:rPr>
                <w:rFonts w:ascii="Times New Roman" w:hAnsi="Times New Roman"/>
              </w:rPr>
              <w:t>Neto razlika med zapadajočim financiranjem na eni strani in obnovljenim financiranjem, ki se mu prišteje novo pridobljeno financiranje, na drugi strani se poroča v stolpcu 160 vrstičnih postavk 1.1–1.31.</w:t>
            </w:r>
          </w:p>
        </w:tc>
      </w:tr>
      <w:tr w:rsidR="00ED41A4" w:rsidRPr="007F5684" w14:paraId="0A45C671" w14:textId="77777777" w:rsidTr="00ED41A4">
        <w:trPr>
          <w:trHeight w:val="765"/>
        </w:trPr>
        <w:tc>
          <w:tcPr>
            <w:tcW w:w="729" w:type="pct"/>
            <w:shd w:val="clear" w:color="auto" w:fill="auto"/>
            <w:noWrap/>
          </w:tcPr>
          <w:p w14:paraId="643AD884" w14:textId="77777777" w:rsidR="00ED41A4" w:rsidRPr="007F5684" w:rsidRDefault="00BD24C1" w:rsidP="00BD24C1">
            <w:pPr>
              <w:spacing w:before="0" w:after="0"/>
              <w:jc w:val="left"/>
              <w:rPr>
                <w:rFonts w:ascii="Times New Roman" w:hAnsi="Times New Roman"/>
                <w:color w:val="000000"/>
                <w:szCs w:val="20"/>
              </w:rPr>
            </w:pPr>
            <w:r>
              <w:rPr>
                <w:rFonts w:ascii="Times New Roman" w:hAnsi="Times New Roman"/>
                <w:color w:val="000000"/>
              </w:rPr>
              <w:t>170 do 200</w:t>
            </w:r>
          </w:p>
        </w:tc>
        <w:tc>
          <w:tcPr>
            <w:tcW w:w="4271" w:type="pct"/>
            <w:shd w:val="clear" w:color="auto" w:fill="auto"/>
          </w:tcPr>
          <w:p w14:paraId="40912CAD" w14:textId="77777777" w:rsidR="00ED41A4" w:rsidRPr="007F5684" w:rsidRDefault="00ED41A4" w:rsidP="00193B6D">
            <w:pPr>
              <w:rPr>
                <w:rFonts w:ascii="Times New Roman" w:hAnsi="Times New Roman"/>
                <w:b/>
                <w:szCs w:val="20"/>
                <w:u w:val="single"/>
              </w:rPr>
            </w:pPr>
            <w:r>
              <w:rPr>
                <w:rFonts w:ascii="Times New Roman" w:hAnsi="Times New Roman"/>
                <w:b/>
                <w:u w:val="single"/>
              </w:rPr>
              <w:t>&gt; 1 mesec ≤ 3 meseci</w:t>
            </w:r>
          </w:p>
          <w:p w14:paraId="1C6BB1D5" w14:textId="18A59A44" w:rsidR="007C6B89" w:rsidRDefault="007C6B89" w:rsidP="00193B6D">
            <w:pPr>
              <w:rPr>
                <w:rFonts w:ascii="Times New Roman" w:hAnsi="Times New Roman"/>
                <w:szCs w:val="20"/>
              </w:rPr>
            </w:pPr>
            <w:r>
              <w:rPr>
                <w:rFonts w:ascii="Times New Roman" w:hAnsi="Times New Roman"/>
              </w:rPr>
              <w:t>Skupni znesek financiranja, ki zapade na zadevni dan poročevalskega obdobja, s prvotno zapadlostjo med enim in tremi meseci se poroča v stolpcu 170 vrstične postavke 1.1–1.31. Pri mesecih, ki imajo manj kot 31 dni, kot tudi za konce tedna, se odvečne vrstice pustijo prazne.</w:t>
            </w:r>
          </w:p>
          <w:p w14:paraId="6A91E8B5" w14:textId="67420E29" w:rsidR="003E371A" w:rsidRPr="007F5684" w:rsidRDefault="003E371A" w:rsidP="00193B6D">
            <w:pPr>
              <w:rPr>
                <w:rFonts w:ascii="Times New Roman" w:hAnsi="Times New Roman"/>
                <w:szCs w:val="20"/>
              </w:rPr>
            </w:pPr>
            <w:r>
              <w:rPr>
                <w:rFonts w:ascii="Times New Roman" w:hAnsi="Times New Roman"/>
              </w:rPr>
              <w:t xml:space="preserve">Skupni znesek financiranja, ki se obnovi na zadevni dan poročevalskega obdobja, s prvotno zapadlostjo med enim in tremi meseci se poroča v stolpcu 180 vrstične </w:t>
            </w:r>
            <w:r>
              <w:rPr>
                <w:rFonts w:ascii="Times New Roman" w:hAnsi="Times New Roman"/>
              </w:rPr>
              <w:lastRenderedPageBreak/>
              <w:t>postavke 1.1–1.31.</w:t>
            </w:r>
          </w:p>
          <w:p w14:paraId="7A9947A9" w14:textId="6C26176E" w:rsidR="007C6B89" w:rsidRPr="007F5684" w:rsidRDefault="007C6B89" w:rsidP="00193B6D">
            <w:pPr>
              <w:rPr>
                <w:rFonts w:ascii="Times New Roman" w:hAnsi="Times New Roman"/>
                <w:szCs w:val="20"/>
              </w:rPr>
            </w:pPr>
            <w:r>
              <w:rPr>
                <w:rFonts w:ascii="Times New Roman" w:hAnsi="Times New Roman"/>
              </w:rPr>
              <w:t>Skupni znesek novega financiranja, pridobljenega na zadevni dan poročevalskega obdobja, s prvotno zapadlostjo med enim in tremi meseci se poroča v stolpcu 190 vrstične postavke 1.1–1.31.</w:t>
            </w:r>
          </w:p>
          <w:p w14:paraId="655F0B6A" w14:textId="000BF65E" w:rsidR="00ED41A4" w:rsidRPr="007F5684" w:rsidRDefault="007C6B89" w:rsidP="00193B6D">
            <w:pPr>
              <w:rPr>
                <w:rFonts w:ascii="Times New Roman" w:hAnsi="Times New Roman"/>
                <w:b/>
                <w:szCs w:val="20"/>
                <w:u w:val="single"/>
              </w:rPr>
            </w:pPr>
            <w:r>
              <w:rPr>
                <w:rFonts w:ascii="Times New Roman" w:hAnsi="Times New Roman"/>
              </w:rPr>
              <w:t>Neto razlika med zapadajočim financiranjem na eni strani in obnovljenim financiranjem, ki se mu prišteje novo pridobljeno financiranje, na drugi strani se poroča v stolpcu 200 vrstičnih postavk 1.1–1.31.</w:t>
            </w:r>
          </w:p>
        </w:tc>
      </w:tr>
      <w:tr w:rsidR="00ED41A4" w:rsidRPr="007F5684" w14:paraId="0C7B73A0" w14:textId="77777777" w:rsidTr="00ED41A4">
        <w:trPr>
          <w:trHeight w:val="765"/>
        </w:trPr>
        <w:tc>
          <w:tcPr>
            <w:tcW w:w="729" w:type="pct"/>
            <w:shd w:val="clear" w:color="auto" w:fill="auto"/>
            <w:noWrap/>
          </w:tcPr>
          <w:p w14:paraId="31DA83DD" w14:textId="77777777" w:rsidR="00ED41A4" w:rsidRPr="007F5684" w:rsidRDefault="00BD24C1" w:rsidP="00BD24C1">
            <w:pPr>
              <w:spacing w:before="0" w:after="0"/>
              <w:jc w:val="left"/>
              <w:rPr>
                <w:rFonts w:ascii="Times New Roman" w:hAnsi="Times New Roman"/>
                <w:color w:val="000000"/>
                <w:szCs w:val="20"/>
              </w:rPr>
            </w:pPr>
            <w:r>
              <w:rPr>
                <w:rFonts w:ascii="Times New Roman" w:hAnsi="Times New Roman"/>
                <w:color w:val="000000"/>
              </w:rPr>
              <w:lastRenderedPageBreak/>
              <w:t>210 do 240</w:t>
            </w:r>
          </w:p>
        </w:tc>
        <w:tc>
          <w:tcPr>
            <w:tcW w:w="4271" w:type="pct"/>
            <w:shd w:val="clear" w:color="auto" w:fill="auto"/>
          </w:tcPr>
          <w:p w14:paraId="27019293" w14:textId="77777777" w:rsidR="005A40BE" w:rsidRPr="007F5684" w:rsidRDefault="005A40BE" w:rsidP="00193B6D">
            <w:pPr>
              <w:rPr>
                <w:rFonts w:ascii="Times New Roman" w:hAnsi="Times New Roman"/>
                <w:b/>
                <w:szCs w:val="20"/>
                <w:u w:val="single"/>
              </w:rPr>
            </w:pPr>
            <w:r>
              <w:rPr>
                <w:rFonts w:ascii="Times New Roman" w:hAnsi="Times New Roman"/>
                <w:b/>
                <w:u w:val="single"/>
              </w:rPr>
              <w:t>&gt; 3 meseci ≤ 6 mesecev</w:t>
            </w:r>
          </w:p>
          <w:p w14:paraId="0260CA5A" w14:textId="10CDCA93" w:rsidR="006044FF" w:rsidRDefault="005A40BE" w:rsidP="00193B6D">
            <w:pPr>
              <w:rPr>
                <w:rFonts w:ascii="Times New Roman" w:hAnsi="Times New Roman"/>
                <w:szCs w:val="20"/>
              </w:rPr>
            </w:pPr>
            <w:r>
              <w:rPr>
                <w:rFonts w:ascii="Times New Roman" w:hAnsi="Times New Roman"/>
              </w:rPr>
              <w:t>Skupni znesek financiranja, ki zapade na zadevni dan poročevalskega obdobja, s prvotno zapadlostjo med tremi in šestimi meseci se poroča v stolpcu 210 vrstične postavke 1.1–1.31. Pri mesecih, ki imajo manj kot 31 dni, kot tudi za konce tedna, se odvečne vrstice pustijo prazne.</w:t>
            </w:r>
          </w:p>
          <w:p w14:paraId="563F93F8" w14:textId="56788554" w:rsidR="003E371A" w:rsidRPr="00331993" w:rsidRDefault="003E371A" w:rsidP="00193B6D">
            <w:pPr>
              <w:rPr>
                <w:rFonts w:ascii="Times New Roman" w:hAnsi="Times New Roman"/>
                <w:szCs w:val="20"/>
              </w:rPr>
            </w:pPr>
            <w:r>
              <w:rPr>
                <w:rFonts w:ascii="Times New Roman" w:hAnsi="Times New Roman"/>
              </w:rPr>
              <w:t>Skupni znesek financiranja, ki se obnovi na zadevni dan poročevalskega obdobja, s prvotno zapadlostjo med tremi in šestimi meseci se poroča v stolpcu 220 vrstične postavke 1.1–1.31.</w:t>
            </w:r>
          </w:p>
          <w:p w14:paraId="601C708E" w14:textId="41E12978" w:rsidR="005A40BE" w:rsidRPr="007F5684" w:rsidRDefault="005A40BE" w:rsidP="00193B6D">
            <w:pPr>
              <w:rPr>
                <w:rFonts w:ascii="Times New Roman" w:hAnsi="Times New Roman"/>
                <w:szCs w:val="20"/>
              </w:rPr>
            </w:pPr>
            <w:r>
              <w:rPr>
                <w:rFonts w:ascii="Times New Roman" w:hAnsi="Times New Roman"/>
              </w:rPr>
              <w:t>Skupni znesek novega financiranja, pridobljenega na zadevni dan poročevalskega obdobja, s prvotno zapadlostjo med tremi in šestimi meseci se poroča v stolpcu 230 vrstične postavke 1.1–1.31.</w:t>
            </w:r>
          </w:p>
          <w:p w14:paraId="3E16D1CD" w14:textId="65F73615" w:rsidR="00ED41A4" w:rsidRPr="007F5684" w:rsidRDefault="005A40BE" w:rsidP="00193B6D">
            <w:pPr>
              <w:rPr>
                <w:rFonts w:ascii="Times New Roman" w:hAnsi="Times New Roman"/>
                <w:b/>
                <w:szCs w:val="20"/>
                <w:u w:val="single"/>
              </w:rPr>
            </w:pPr>
            <w:r>
              <w:rPr>
                <w:rFonts w:ascii="Times New Roman" w:hAnsi="Times New Roman"/>
              </w:rPr>
              <w:t>Neto razlika med zapadajočim financiranjem na eni strani in obnovljenim financiranjem, ki se mu prišteje novo pridobljeno financiranje, na drugi strani se poroča v stolpcu 240 vrstičnih postavk 1.1–1.31.</w:t>
            </w:r>
          </w:p>
        </w:tc>
      </w:tr>
      <w:tr w:rsidR="00ED41A4" w:rsidRPr="007F5684" w14:paraId="3D6EC655" w14:textId="77777777" w:rsidTr="00ED41A4">
        <w:trPr>
          <w:trHeight w:val="765"/>
        </w:trPr>
        <w:tc>
          <w:tcPr>
            <w:tcW w:w="729" w:type="pct"/>
            <w:shd w:val="clear" w:color="auto" w:fill="auto"/>
            <w:noWrap/>
          </w:tcPr>
          <w:p w14:paraId="770F85E8" w14:textId="77777777" w:rsidR="00ED41A4" w:rsidRPr="007F5684" w:rsidRDefault="00BD24C1" w:rsidP="00BD24C1">
            <w:pPr>
              <w:spacing w:before="0" w:after="0"/>
              <w:jc w:val="left"/>
              <w:rPr>
                <w:rFonts w:ascii="Times New Roman" w:hAnsi="Times New Roman"/>
                <w:color w:val="000000"/>
                <w:szCs w:val="20"/>
              </w:rPr>
            </w:pPr>
            <w:r>
              <w:rPr>
                <w:rFonts w:ascii="Times New Roman" w:hAnsi="Times New Roman"/>
                <w:color w:val="000000"/>
              </w:rPr>
              <w:t>250 do 280</w:t>
            </w:r>
          </w:p>
        </w:tc>
        <w:tc>
          <w:tcPr>
            <w:tcW w:w="4271" w:type="pct"/>
            <w:shd w:val="clear" w:color="auto" w:fill="auto"/>
          </w:tcPr>
          <w:p w14:paraId="29910BBF" w14:textId="77777777" w:rsidR="00ED41A4" w:rsidRPr="007F5684" w:rsidRDefault="005A40BE" w:rsidP="00193B6D">
            <w:pPr>
              <w:rPr>
                <w:rFonts w:ascii="Times New Roman" w:hAnsi="Times New Roman"/>
                <w:b/>
                <w:szCs w:val="20"/>
                <w:u w:val="single"/>
              </w:rPr>
            </w:pPr>
            <w:r>
              <w:rPr>
                <w:rFonts w:ascii="Times New Roman" w:hAnsi="Times New Roman"/>
                <w:b/>
                <w:u w:val="single"/>
              </w:rPr>
              <w:t>&gt; 6 mesecev</w:t>
            </w:r>
          </w:p>
          <w:p w14:paraId="3C7C589B" w14:textId="6F0EC1DA" w:rsidR="007C6B89" w:rsidRDefault="007C6B89" w:rsidP="00193B6D">
            <w:pPr>
              <w:rPr>
                <w:rFonts w:ascii="Times New Roman" w:hAnsi="Times New Roman"/>
                <w:szCs w:val="20"/>
              </w:rPr>
            </w:pPr>
            <w:r>
              <w:rPr>
                <w:rFonts w:ascii="Times New Roman" w:hAnsi="Times New Roman"/>
              </w:rPr>
              <w:t>Skupni znesek financiranja, ki zapade na zadevni dan poročevalskega obdobja, s prvotno zapadlostjo več kot šest mesecev se poroča v stolpcu 250 vrstične postavke 1.1–1.31. Pri mesecih, ki imajo manj kot 31 dni, kot tudi za konce tedna, se odvečne vrstice pustijo prazne.</w:t>
            </w:r>
          </w:p>
          <w:p w14:paraId="09601152" w14:textId="7600B6AF" w:rsidR="003E371A" w:rsidRPr="007F5684" w:rsidRDefault="003E371A" w:rsidP="00193B6D">
            <w:pPr>
              <w:rPr>
                <w:rFonts w:ascii="Times New Roman" w:hAnsi="Times New Roman"/>
                <w:szCs w:val="20"/>
              </w:rPr>
            </w:pPr>
            <w:r>
              <w:rPr>
                <w:rFonts w:ascii="Times New Roman" w:hAnsi="Times New Roman"/>
              </w:rPr>
              <w:t>Skupni znesek financiranja, ki se obnovi na zadevni dan poročevalskega obdobja, s prvotno zapadlostjo več kot šest mesecev se poroča v stolpcu 260 vrstične postavke 1.1–1.31.</w:t>
            </w:r>
          </w:p>
          <w:p w14:paraId="4585368E" w14:textId="146D4C77" w:rsidR="007C6B89" w:rsidRPr="007F5684" w:rsidRDefault="007C6B89" w:rsidP="00193B6D">
            <w:pPr>
              <w:rPr>
                <w:rFonts w:ascii="Times New Roman" w:hAnsi="Times New Roman"/>
                <w:szCs w:val="20"/>
              </w:rPr>
            </w:pPr>
            <w:r>
              <w:rPr>
                <w:rFonts w:ascii="Times New Roman" w:hAnsi="Times New Roman"/>
              </w:rPr>
              <w:t>Skupni znesek novega financiranja, pridobljenega na zadevni dan poročevalskega obdobja, s prvotno zapadlostjo več kot šest mesecev se poroča v stolpcu 270 vrstične postavke 1.1–1.31.</w:t>
            </w:r>
          </w:p>
          <w:p w14:paraId="228AAF2B" w14:textId="57E2BDD6" w:rsidR="00ED41A4" w:rsidRPr="007F5684" w:rsidRDefault="007C6B89" w:rsidP="00193B6D">
            <w:pPr>
              <w:rPr>
                <w:rFonts w:ascii="Times New Roman" w:hAnsi="Times New Roman"/>
                <w:b/>
                <w:szCs w:val="20"/>
                <w:u w:val="single"/>
              </w:rPr>
            </w:pPr>
            <w:r>
              <w:rPr>
                <w:rFonts w:ascii="Times New Roman" w:hAnsi="Times New Roman"/>
              </w:rPr>
              <w:t>Neto razlika med zapadajočim financiranjem na eni strani in obnovljenim financiranjem, ki se mu prišteje novo pridobljeno financiranje, na drugi strani se poroča v stolpcu 280 vrstičnih postavk 1.1–1.31.</w:t>
            </w:r>
          </w:p>
        </w:tc>
      </w:tr>
      <w:tr w:rsidR="00ED41A4" w:rsidRPr="007F5684" w14:paraId="26CA8238" w14:textId="77777777" w:rsidTr="00ED41A4">
        <w:trPr>
          <w:trHeight w:val="765"/>
        </w:trPr>
        <w:tc>
          <w:tcPr>
            <w:tcW w:w="729" w:type="pct"/>
            <w:shd w:val="clear" w:color="auto" w:fill="auto"/>
            <w:noWrap/>
          </w:tcPr>
          <w:p w14:paraId="5DBB902E" w14:textId="77777777" w:rsidR="00ED41A4" w:rsidRPr="007F5684" w:rsidRDefault="00BD24C1" w:rsidP="00BD24C1">
            <w:pPr>
              <w:spacing w:before="0" w:after="0"/>
              <w:jc w:val="left"/>
              <w:rPr>
                <w:rFonts w:ascii="Times New Roman" w:hAnsi="Times New Roman"/>
                <w:color w:val="000000"/>
                <w:szCs w:val="20"/>
              </w:rPr>
            </w:pPr>
            <w:r>
              <w:rPr>
                <w:rFonts w:ascii="Times New Roman" w:hAnsi="Times New Roman"/>
                <w:color w:val="000000"/>
              </w:rPr>
              <w:t>290</w:t>
            </w:r>
          </w:p>
        </w:tc>
        <w:tc>
          <w:tcPr>
            <w:tcW w:w="4271" w:type="pct"/>
            <w:shd w:val="clear" w:color="auto" w:fill="auto"/>
          </w:tcPr>
          <w:p w14:paraId="7F9724BA" w14:textId="77777777" w:rsidR="00ED41A4" w:rsidRPr="007F5684" w:rsidRDefault="00ED41A4" w:rsidP="00193B6D">
            <w:pPr>
              <w:rPr>
                <w:rFonts w:ascii="Times New Roman" w:hAnsi="Times New Roman"/>
                <w:b/>
                <w:szCs w:val="20"/>
                <w:u w:val="single"/>
              </w:rPr>
            </w:pPr>
            <w:r>
              <w:rPr>
                <w:rFonts w:ascii="Times New Roman" w:hAnsi="Times New Roman"/>
                <w:b/>
                <w:u w:val="single"/>
              </w:rPr>
              <w:t>Skupaj neto denarni tokovi</w:t>
            </w:r>
          </w:p>
          <w:p w14:paraId="6468E29D" w14:textId="2FE5E4DD" w:rsidR="007C6B89" w:rsidRPr="007F5684" w:rsidRDefault="007C6B89" w:rsidP="001861B7">
            <w:pPr>
              <w:rPr>
                <w:rFonts w:ascii="Times New Roman" w:hAnsi="Times New Roman"/>
                <w:b/>
                <w:szCs w:val="20"/>
                <w:u w:val="single"/>
              </w:rPr>
            </w:pPr>
            <w:r>
              <w:rPr>
                <w:rFonts w:ascii="Times New Roman" w:hAnsi="Times New Roman"/>
              </w:rPr>
              <w:t>Skupaj neto denarni tokovi, enaki vsoti vseh naslednjih stolpcih „Neto“: 040, 080, 120, 160, 200, 240 in 280, se sporočijo v stolpcu 290.</w:t>
            </w:r>
          </w:p>
        </w:tc>
      </w:tr>
      <w:tr w:rsidR="00ED41A4" w:rsidRPr="007F5684" w14:paraId="18A531BD" w14:textId="77777777" w:rsidTr="00ED41A4">
        <w:trPr>
          <w:trHeight w:val="765"/>
        </w:trPr>
        <w:tc>
          <w:tcPr>
            <w:tcW w:w="729" w:type="pct"/>
            <w:shd w:val="clear" w:color="auto" w:fill="auto"/>
            <w:noWrap/>
          </w:tcPr>
          <w:p w14:paraId="41F26860" w14:textId="401B327E" w:rsidR="00ED41A4" w:rsidRPr="007F5684" w:rsidRDefault="00BD24C1" w:rsidP="002C0AF3">
            <w:pPr>
              <w:spacing w:before="0" w:after="0"/>
              <w:jc w:val="left"/>
              <w:rPr>
                <w:rFonts w:ascii="Times New Roman" w:hAnsi="Times New Roman"/>
                <w:color w:val="000000"/>
                <w:szCs w:val="20"/>
              </w:rPr>
            </w:pPr>
            <w:r>
              <w:rPr>
                <w:rFonts w:ascii="Times New Roman" w:hAnsi="Times New Roman"/>
                <w:color w:val="000000"/>
              </w:rPr>
              <w:t>300 do 320</w:t>
            </w:r>
          </w:p>
        </w:tc>
        <w:tc>
          <w:tcPr>
            <w:tcW w:w="4271" w:type="pct"/>
            <w:shd w:val="clear" w:color="auto" w:fill="auto"/>
          </w:tcPr>
          <w:p w14:paraId="0B9AF00A" w14:textId="77777777" w:rsidR="00ED41A4" w:rsidRPr="007F5684" w:rsidRDefault="00ED41A4" w:rsidP="00193B6D">
            <w:pPr>
              <w:rPr>
                <w:rFonts w:ascii="Times New Roman" w:hAnsi="Times New Roman"/>
                <w:b/>
                <w:szCs w:val="20"/>
                <w:u w:val="single"/>
              </w:rPr>
            </w:pPr>
            <w:r>
              <w:rPr>
                <w:rFonts w:ascii="Times New Roman" w:hAnsi="Times New Roman"/>
                <w:b/>
                <w:u w:val="single"/>
              </w:rPr>
              <w:t>Povprečno trajanje (v dneh)</w:t>
            </w:r>
          </w:p>
          <w:p w14:paraId="51F755D8" w14:textId="4DE32C79" w:rsidR="007C6B89" w:rsidRPr="007F5684" w:rsidRDefault="007C6B89" w:rsidP="00193B6D">
            <w:pPr>
              <w:rPr>
                <w:rFonts w:ascii="Times New Roman" w:hAnsi="Times New Roman"/>
                <w:b/>
                <w:szCs w:val="20"/>
                <w:u w:val="single"/>
              </w:rPr>
            </w:pPr>
            <w:r>
              <w:rPr>
                <w:rFonts w:ascii="Times New Roman" w:hAnsi="Times New Roman"/>
              </w:rPr>
              <w:t>Tehtano povprečno trajanje (v dneh) vseh zapadajočih sredstev se sporoči v stolpcu 300. Tehtano povprečno trajanje (v dneh) vseh sredstev, ki se obnovijo, se sporoči v stolpcu 310, tehtano povprečno trajanje (v dneh) vseh novih sredstev pa se sporoči v stolpcu 320.</w:t>
            </w:r>
          </w:p>
        </w:tc>
      </w:tr>
    </w:tbl>
    <w:p w14:paraId="1471D337" w14:textId="2968693F" w:rsidR="00ED41A4" w:rsidRPr="003A1E85" w:rsidRDefault="008F2AB0" w:rsidP="005E07FE">
      <w:pPr>
        <w:pStyle w:val="InstructionsText2"/>
        <w:numPr>
          <w:ilvl w:val="0"/>
          <w:numId w:val="0"/>
        </w:numPr>
        <w:rPr>
          <w:u w:val="none"/>
        </w:rPr>
      </w:pPr>
      <w:r>
        <w:rPr>
          <w:u w:val="none"/>
        </w:rPr>
        <w:t>“</w:t>
      </w:r>
    </w:p>
    <w:sectPr w:rsidR="00ED41A4" w:rsidRPr="003A1E85" w:rsidSect="00EA0D1D">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1304"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35845F" w14:textId="77777777" w:rsidR="00167536" w:rsidRDefault="00167536">
      <w:r>
        <w:separator/>
      </w:r>
    </w:p>
  </w:endnote>
  <w:endnote w:type="continuationSeparator" w:id="0">
    <w:p w14:paraId="7485B22D" w14:textId="77777777" w:rsidR="00167536" w:rsidRDefault="00167536">
      <w:r>
        <w:continuationSeparator/>
      </w:r>
    </w:p>
  </w:endnote>
  <w:endnote w:type="continuationNotice" w:id="1">
    <w:p w14:paraId="351FC6CF" w14:textId="77777777" w:rsidR="00167536" w:rsidRDefault="0016753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96E837" w14:textId="77777777" w:rsidR="00167536" w:rsidRDefault="0016753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7624507"/>
      <w:docPartObj>
        <w:docPartGallery w:val="Page Numbers (Bottom of Page)"/>
        <w:docPartUnique/>
      </w:docPartObj>
    </w:sdtPr>
    <w:sdtEndPr>
      <w:rPr>
        <w:noProof/>
      </w:rPr>
    </w:sdtEndPr>
    <w:sdtContent>
      <w:p w14:paraId="211434C3" w14:textId="6C7975EA" w:rsidR="003E009D" w:rsidRDefault="003E009D">
        <w:pPr>
          <w:pStyle w:val="Footer"/>
          <w:jc w:val="center"/>
        </w:pPr>
        <w:r>
          <w:fldChar w:fldCharType="begin"/>
        </w:r>
        <w:r>
          <w:instrText xml:space="preserve"> PAGE   \* MERGEFORMAT </w:instrText>
        </w:r>
        <w:r>
          <w:fldChar w:fldCharType="separate"/>
        </w:r>
        <w:r w:rsidR="00DC49E8">
          <w:rPr>
            <w:noProof/>
          </w:rPr>
          <w:t>12</w:t>
        </w:r>
        <w:r>
          <w:rPr>
            <w:noProof/>
          </w:rPr>
          <w:fldChar w:fldCharType="end"/>
        </w:r>
      </w:p>
    </w:sdtContent>
  </w:sdt>
  <w:p w14:paraId="4D75317D" w14:textId="77777777" w:rsidR="003E009D" w:rsidRDefault="003E009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51974065"/>
      <w:docPartObj>
        <w:docPartGallery w:val="Page Numbers (Bottom of Page)"/>
        <w:docPartUnique/>
      </w:docPartObj>
    </w:sdtPr>
    <w:sdtEndPr>
      <w:rPr>
        <w:noProof/>
      </w:rPr>
    </w:sdtEndPr>
    <w:sdtContent>
      <w:p w14:paraId="0BAAC0BA" w14:textId="10220D67" w:rsidR="00EA0D1D" w:rsidRDefault="00EA0D1D">
        <w:pPr>
          <w:pStyle w:val="Footer"/>
          <w:jc w:val="center"/>
        </w:pPr>
        <w:r>
          <w:fldChar w:fldCharType="begin"/>
        </w:r>
        <w:r>
          <w:instrText xml:space="preserve"> PAGE   \* MERGEFORMAT </w:instrText>
        </w:r>
        <w:r>
          <w:fldChar w:fldCharType="separate"/>
        </w:r>
        <w:r w:rsidR="00DC49E8">
          <w:rPr>
            <w:noProof/>
          </w:rPr>
          <w:t>1</w:t>
        </w:r>
        <w:r>
          <w:rPr>
            <w:noProof/>
          </w:rPr>
          <w:fldChar w:fldCharType="end"/>
        </w:r>
      </w:p>
    </w:sdtContent>
  </w:sdt>
  <w:p w14:paraId="40D79854" w14:textId="77777777" w:rsidR="00F04F6C" w:rsidRDefault="00F04F6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63CF24" w14:textId="77777777" w:rsidR="00167536" w:rsidRDefault="00167536">
      <w:r>
        <w:separator/>
      </w:r>
    </w:p>
  </w:footnote>
  <w:footnote w:type="continuationSeparator" w:id="0">
    <w:p w14:paraId="19B8F927" w14:textId="77777777" w:rsidR="00167536" w:rsidRDefault="00167536">
      <w:r>
        <w:continuationSeparator/>
      </w:r>
    </w:p>
  </w:footnote>
  <w:footnote w:type="continuationNotice" w:id="1">
    <w:p w14:paraId="3A75644C" w14:textId="77777777" w:rsidR="00167536" w:rsidRDefault="00167536">
      <w:pPr>
        <w:spacing w:before="0"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CA6B90" w14:textId="77777777" w:rsidR="00167536" w:rsidRDefault="0016753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44754C" w14:textId="77777777" w:rsidR="00167536" w:rsidRDefault="0016753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34AAC3" w14:textId="77777777" w:rsidR="00167536" w:rsidRDefault="0016753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5A04180"/>
    <w:lvl w:ilvl="0">
      <w:start w:val="1"/>
      <w:numFmt w:val="decimal"/>
      <w:lvlText w:val="%1."/>
      <w:lvlJc w:val="left"/>
      <w:pPr>
        <w:tabs>
          <w:tab w:val="num" w:pos="1492"/>
        </w:tabs>
        <w:ind w:left="1492" w:hanging="360"/>
      </w:pPr>
    </w:lvl>
  </w:abstractNum>
  <w:abstractNum w:abstractNumId="1">
    <w:nsid w:val="FFFFFF7D"/>
    <w:multiLevelType w:val="singleLevel"/>
    <w:tmpl w:val="42E82F6E"/>
    <w:lvl w:ilvl="0">
      <w:start w:val="1"/>
      <w:numFmt w:val="decimal"/>
      <w:lvlText w:val="%1."/>
      <w:lvlJc w:val="left"/>
      <w:pPr>
        <w:tabs>
          <w:tab w:val="num" w:pos="1209"/>
        </w:tabs>
        <w:ind w:left="1209" w:hanging="360"/>
      </w:pPr>
    </w:lvl>
  </w:abstractNum>
  <w:abstractNum w:abstractNumId="2">
    <w:nsid w:val="FFFFFF7E"/>
    <w:multiLevelType w:val="singleLevel"/>
    <w:tmpl w:val="BC885B20"/>
    <w:lvl w:ilvl="0">
      <w:start w:val="1"/>
      <w:numFmt w:val="decimal"/>
      <w:lvlText w:val="%1."/>
      <w:lvlJc w:val="left"/>
      <w:pPr>
        <w:tabs>
          <w:tab w:val="num" w:pos="926"/>
        </w:tabs>
        <w:ind w:left="926" w:hanging="360"/>
      </w:pPr>
    </w:lvl>
  </w:abstractNum>
  <w:abstractNum w:abstractNumId="3">
    <w:nsid w:val="FFFFFF7F"/>
    <w:multiLevelType w:val="singleLevel"/>
    <w:tmpl w:val="8E84EA72"/>
    <w:lvl w:ilvl="0">
      <w:start w:val="1"/>
      <w:numFmt w:val="decimal"/>
      <w:lvlText w:val="%1."/>
      <w:lvlJc w:val="left"/>
      <w:pPr>
        <w:tabs>
          <w:tab w:val="num" w:pos="643"/>
        </w:tabs>
        <w:ind w:left="643" w:hanging="360"/>
      </w:pPr>
    </w:lvl>
  </w:abstractNum>
  <w:abstractNum w:abstractNumId="4">
    <w:nsid w:val="FFFFFF80"/>
    <w:multiLevelType w:val="singleLevel"/>
    <w:tmpl w:val="7BB8C2C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EFC4DE2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280480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B96C52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630B300"/>
    <w:lvl w:ilvl="0">
      <w:start w:val="1"/>
      <w:numFmt w:val="decimal"/>
      <w:lvlText w:val="%1."/>
      <w:lvlJc w:val="left"/>
      <w:pPr>
        <w:tabs>
          <w:tab w:val="num" w:pos="360"/>
        </w:tabs>
        <w:ind w:left="360" w:hanging="360"/>
      </w:pPr>
    </w:lvl>
  </w:abstractNum>
  <w:abstractNum w:abstractNumId="9">
    <w:nsid w:val="FFFFFF89"/>
    <w:multiLevelType w:val="singleLevel"/>
    <w:tmpl w:val="31AE6630"/>
    <w:lvl w:ilvl="0">
      <w:start w:val="1"/>
      <w:numFmt w:val="bullet"/>
      <w:lvlText w:val=""/>
      <w:lvlJc w:val="left"/>
      <w:pPr>
        <w:tabs>
          <w:tab w:val="num" w:pos="360"/>
        </w:tabs>
        <w:ind w:left="360" w:hanging="360"/>
      </w:pPr>
      <w:rPr>
        <w:rFonts w:ascii="Symbol" w:hAnsi="Symbol" w:hint="default"/>
      </w:rPr>
    </w:lvl>
  </w:abstractNum>
  <w:abstractNum w:abstractNumId="10">
    <w:nsid w:val="0233208F"/>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1">
    <w:nsid w:val="043D5720"/>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2">
    <w:nsid w:val="058D2501"/>
    <w:multiLevelType w:val="multilevel"/>
    <w:tmpl w:val="ABB242F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3">
    <w:nsid w:val="0BE619A9"/>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4">
    <w:nsid w:val="11A94165"/>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5">
    <w:nsid w:val="179E3A92"/>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6">
    <w:nsid w:val="1B084130"/>
    <w:multiLevelType w:val="multilevel"/>
    <w:tmpl w:val="6B088EB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7">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18">
    <w:nsid w:val="23674DE4"/>
    <w:multiLevelType w:val="multilevel"/>
    <w:tmpl w:val="3E1C1DAC"/>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9">
    <w:nsid w:val="24A74FA7"/>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0">
    <w:nsid w:val="26387793"/>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1">
    <w:nsid w:val="2C29681E"/>
    <w:multiLevelType w:val="multilevel"/>
    <w:tmpl w:val="1C52F916"/>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2">
    <w:nsid w:val="2F3E25B0"/>
    <w:multiLevelType w:val="hybridMultilevel"/>
    <w:tmpl w:val="13BC82D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nsid w:val="33057CB8"/>
    <w:multiLevelType w:val="hybridMultilevel"/>
    <w:tmpl w:val="1BD64C78"/>
    <w:lvl w:ilvl="0" w:tplc="236EA62C">
      <w:start w:val="1"/>
      <w:numFmt w:val="decimal"/>
      <w:pStyle w:val="InstructionsText2"/>
      <w:lvlText w:val="%1."/>
      <w:lvlJc w:val="left"/>
      <w:pPr>
        <w:ind w:left="720" w:hanging="360"/>
      </w:pPr>
    </w:lvl>
    <w:lvl w:ilvl="1" w:tplc="DABE385E">
      <w:start w:val="1"/>
      <w:numFmt w:val="lowerRoman"/>
      <w:lvlText w:val="(%2)"/>
      <w:lvlJc w:val="left"/>
      <w:pPr>
        <w:tabs>
          <w:tab w:val="num" w:pos="1800"/>
        </w:tabs>
        <w:ind w:left="1800" w:hanging="720"/>
      </w:pPr>
      <w:rPr>
        <w:rFonts w:hint="default"/>
      </w:rPr>
    </w:lvl>
    <w:lvl w:ilvl="2" w:tplc="58287F7C">
      <w:start w:val="1"/>
      <w:numFmt w:val="lowerLetter"/>
      <w:lvlText w:val="(%3)"/>
      <w:lvlJc w:val="left"/>
      <w:pPr>
        <w:tabs>
          <w:tab w:val="num" w:pos="2340"/>
        </w:tabs>
        <w:ind w:left="2340" w:hanging="360"/>
      </w:pPr>
      <w:rPr>
        <w:rFonts w:hint="default"/>
      </w:r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4">
    <w:nsid w:val="35B81F9C"/>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5">
    <w:nsid w:val="45452DE3"/>
    <w:multiLevelType w:val="multilevel"/>
    <w:tmpl w:val="6D2CB84C"/>
    <w:lvl w:ilvl="0">
      <w:start w:val="1"/>
      <w:numFmt w:val="bullet"/>
      <w:lvlText w:val=""/>
      <w:lvlJc w:val="left"/>
      <w:pPr>
        <w:ind w:left="714" w:hanging="357"/>
      </w:pPr>
      <w:rPr>
        <w:rFonts w:ascii="Symbol" w:hAnsi="Symbol"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6">
    <w:nsid w:val="4EE02518"/>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7">
    <w:nsid w:val="528A4FD9"/>
    <w:multiLevelType w:val="multilevel"/>
    <w:tmpl w:val="CF661F5E"/>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8">
    <w:nsid w:val="55AB371B"/>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9">
    <w:nsid w:val="62D85371"/>
    <w:multiLevelType w:val="hybridMultilevel"/>
    <w:tmpl w:val="B0E0EE44"/>
    <w:lvl w:ilvl="0" w:tplc="CD3AC596">
      <w:start w:val="1"/>
      <w:numFmt w:val="lowerLetter"/>
      <w:lvlText w:val="(%1)"/>
      <w:lvlJc w:val="left"/>
      <w:pPr>
        <w:ind w:left="1074" w:hanging="360"/>
      </w:pPr>
      <w:rPr>
        <w:rFonts w:hint="default"/>
      </w:rPr>
    </w:lvl>
    <w:lvl w:ilvl="1" w:tplc="08090019">
      <w:start w:val="1"/>
      <w:numFmt w:val="lowerLetter"/>
      <w:lvlText w:val="%2."/>
      <w:lvlJc w:val="left"/>
      <w:pPr>
        <w:ind w:left="1794" w:hanging="360"/>
      </w:pPr>
    </w:lvl>
    <w:lvl w:ilvl="2" w:tplc="0809001B">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3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1">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2">
    <w:nsid w:val="67917771"/>
    <w:multiLevelType w:val="multilevel"/>
    <w:tmpl w:val="C082CA12"/>
    <w:lvl w:ilvl="0">
      <w:start w:val="2"/>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3">
    <w:nsid w:val="67E51AD2"/>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4">
    <w:nsid w:val="68E61726"/>
    <w:multiLevelType w:val="multilevel"/>
    <w:tmpl w:val="5D4CC182"/>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17"/>
        </w:tabs>
        <w:ind w:left="717" w:hanging="360"/>
      </w:pPr>
      <w:rPr>
        <w:rFonts w:ascii="Times New Roman" w:eastAsia="Times New Roman" w:hAnsi="Times New Roman" w:cs="Times New Roman"/>
      </w:rPr>
    </w:lvl>
    <w:lvl w:ilvl="2">
      <w:start w:val="1"/>
      <w:numFmt w:val="lowerRoman"/>
      <w:lvlText w:val="(%3)"/>
      <w:lvlJc w:val="left"/>
      <w:pPr>
        <w:tabs>
          <w:tab w:val="num" w:pos="1434"/>
        </w:tabs>
        <w:ind w:left="1434" w:hanging="720"/>
      </w:pPr>
      <w:rPr>
        <w:rFonts w:ascii="Times New Roman" w:eastAsia="Times New Roman" w:hAnsi="Times New Roman" w:cs="Times New Roman"/>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35">
    <w:nsid w:val="69C97FF4"/>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6">
    <w:nsid w:val="73CB7C62"/>
    <w:multiLevelType w:val="multilevel"/>
    <w:tmpl w:val="1C28AC2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7">
    <w:nsid w:val="76DC309E"/>
    <w:multiLevelType w:val="multilevel"/>
    <w:tmpl w:val="9542A638"/>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8">
    <w:nsid w:val="7970223E"/>
    <w:multiLevelType w:val="multilevel"/>
    <w:tmpl w:val="A9826576"/>
    <w:lvl w:ilvl="0">
      <w:start w:val="1"/>
      <w:numFmt w:val="decimal"/>
      <w:lvlText w:val="%1."/>
      <w:lvlJc w:val="left"/>
      <w:pPr>
        <w:ind w:left="714" w:hanging="357"/>
      </w:pPr>
      <w:rPr>
        <w:rFonts w:hint="default"/>
      </w:rPr>
    </w:lvl>
    <w:lvl w:ilvl="1">
      <w:start w:val="2"/>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9">
    <w:nsid w:val="7F8E441D"/>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num w:numId="1">
    <w:abstractNumId w:val="31"/>
  </w:num>
  <w:num w:numId="2">
    <w:abstractNumId w:val="30"/>
  </w:num>
  <w:num w:numId="3">
    <w:abstractNumId w:val="23"/>
  </w:num>
  <w:num w:numId="4">
    <w:abstractNumId w:val="39"/>
  </w:num>
  <w:num w:numId="5">
    <w:abstractNumId w:val="37"/>
  </w:num>
  <w:num w:numId="6">
    <w:abstractNumId w:val="26"/>
  </w:num>
  <w:num w:numId="7">
    <w:abstractNumId w:val="13"/>
  </w:num>
  <w:num w:numId="8">
    <w:abstractNumId w:val="24"/>
  </w:num>
  <w:num w:numId="9">
    <w:abstractNumId w:val="20"/>
  </w:num>
  <w:num w:numId="10">
    <w:abstractNumId w:val="35"/>
  </w:num>
  <w:num w:numId="11">
    <w:abstractNumId w:val="27"/>
  </w:num>
  <w:num w:numId="12">
    <w:abstractNumId w:val="18"/>
  </w:num>
  <w:num w:numId="13">
    <w:abstractNumId w:val="21"/>
  </w:num>
  <w:num w:numId="14">
    <w:abstractNumId w:val="34"/>
  </w:num>
  <w:num w:numId="15">
    <w:abstractNumId w:val="12"/>
  </w:num>
  <w:num w:numId="16">
    <w:abstractNumId w:val="17"/>
  </w:num>
  <w:num w:numId="17">
    <w:abstractNumId w:val="29"/>
  </w:num>
  <w:num w:numId="18">
    <w:abstractNumId w:val="36"/>
  </w:num>
  <w:num w:numId="19">
    <w:abstractNumId w:val="38"/>
  </w:num>
  <w:num w:numId="20">
    <w:abstractNumId w:val="32"/>
  </w:num>
  <w:num w:numId="21">
    <w:abstractNumId w:val="33"/>
  </w:num>
  <w:num w:numId="22">
    <w:abstractNumId w:val="14"/>
  </w:num>
  <w:num w:numId="23">
    <w:abstractNumId w:val="22"/>
  </w:num>
  <w:num w:numId="24">
    <w:abstractNumId w:val="25"/>
  </w:num>
  <w:num w:numId="25">
    <w:abstractNumId w:val="23"/>
  </w:num>
  <w:num w:numId="26">
    <w:abstractNumId w:val="23"/>
  </w:num>
  <w:num w:numId="27">
    <w:abstractNumId w:val="23"/>
  </w:num>
  <w:num w:numId="28">
    <w:abstractNumId w:val="19"/>
  </w:num>
  <w:num w:numId="29">
    <w:abstractNumId w:val="28"/>
  </w:num>
  <w:num w:numId="30">
    <w:abstractNumId w:val="23"/>
  </w:num>
  <w:num w:numId="31">
    <w:abstractNumId w:val="11"/>
  </w:num>
  <w:num w:numId="32">
    <w:abstractNumId w:val="10"/>
  </w:num>
  <w:num w:numId="33">
    <w:abstractNumId w:val="16"/>
  </w:num>
  <w:num w:numId="34">
    <w:abstractNumId w:val="15"/>
  </w:num>
  <w:num w:numId="3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num>
  <w:num w:numId="37">
    <w:abstractNumId w:val="7"/>
  </w:num>
  <w:num w:numId="38">
    <w:abstractNumId w:val="6"/>
  </w:num>
  <w:num w:numId="39">
    <w:abstractNumId w:val="5"/>
  </w:num>
  <w:num w:numId="40">
    <w:abstractNumId w:val="4"/>
  </w:num>
  <w:num w:numId="41">
    <w:abstractNumId w:val="8"/>
  </w:num>
  <w:num w:numId="42">
    <w:abstractNumId w:val="3"/>
  </w:num>
  <w:num w:numId="43">
    <w:abstractNumId w:val="2"/>
  </w:num>
  <w:num w:numId="44">
    <w:abstractNumId w:val="1"/>
  </w:num>
  <w:num w:numId="45">
    <w:abstractNumId w:val="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5120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8F90A0E3"/>
  </w:docVars>
  <w:rsids>
    <w:rsidRoot w:val="00D02FE4"/>
    <w:rsid w:val="00003323"/>
    <w:rsid w:val="00007D41"/>
    <w:rsid w:val="000109BC"/>
    <w:rsid w:val="0001172F"/>
    <w:rsid w:val="00016B30"/>
    <w:rsid w:val="00017710"/>
    <w:rsid w:val="000257D9"/>
    <w:rsid w:val="000275A3"/>
    <w:rsid w:val="00027E58"/>
    <w:rsid w:val="00032055"/>
    <w:rsid w:val="00032AC7"/>
    <w:rsid w:val="0003410D"/>
    <w:rsid w:val="000343B1"/>
    <w:rsid w:val="00036812"/>
    <w:rsid w:val="0004271F"/>
    <w:rsid w:val="00042E1E"/>
    <w:rsid w:val="000473FA"/>
    <w:rsid w:val="00047A6F"/>
    <w:rsid w:val="000502BD"/>
    <w:rsid w:val="0005060D"/>
    <w:rsid w:val="0005230B"/>
    <w:rsid w:val="00055633"/>
    <w:rsid w:val="00055E1B"/>
    <w:rsid w:val="00060360"/>
    <w:rsid w:val="00060467"/>
    <w:rsid w:val="00061951"/>
    <w:rsid w:val="000643F7"/>
    <w:rsid w:val="000761EA"/>
    <w:rsid w:val="00084050"/>
    <w:rsid w:val="0008780B"/>
    <w:rsid w:val="00093DE8"/>
    <w:rsid w:val="00094436"/>
    <w:rsid w:val="00095FE4"/>
    <w:rsid w:val="000A22EF"/>
    <w:rsid w:val="000A4E1D"/>
    <w:rsid w:val="000A676C"/>
    <w:rsid w:val="000A76B5"/>
    <w:rsid w:val="000B288B"/>
    <w:rsid w:val="000B2BA0"/>
    <w:rsid w:val="000B2DF2"/>
    <w:rsid w:val="000B45B9"/>
    <w:rsid w:val="000B5A28"/>
    <w:rsid w:val="000B7D7C"/>
    <w:rsid w:val="000B7DC9"/>
    <w:rsid w:val="000C3837"/>
    <w:rsid w:val="000C45A2"/>
    <w:rsid w:val="000D04E1"/>
    <w:rsid w:val="000D18F9"/>
    <w:rsid w:val="000E16DD"/>
    <w:rsid w:val="000E2CA5"/>
    <w:rsid w:val="000E43D6"/>
    <w:rsid w:val="000E5F08"/>
    <w:rsid w:val="000F0DF9"/>
    <w:rsid w:val="000F32F6"/>
    <w:rsid w:val="00100F57"/>
    <w:rsid w:val="00104F31"/>
    <w:rsid w:val="0011112D"/>
    <w:rsid w:val="001113B1"/>
    <w:rsid w:val="001126F1"/>
    <w:rsid w:val="001128AA"/>
    <w:rsid w:val="00112DBB"/>
    <w:rsid w:val="00121D11"/>
    <w:rsid w:val="00124814"/>
    <w:rsid w:val="0012571F"/>
    <w:rsid w:val="00126802"/>
    <w:rsid w:val="0013252E"/>
    <w:rsid w:val="0013515D"/>
    <w:rsid w:val="00143B75"/>
    <w:rsid w:val="00144FB8"/>
    <w:rsid w:val="001456E6"/>
    <w:rsid w:val="00147C46"/>
    <w:rsid w:val="001507A4"/>
    <w:rsid w:val="0015358C"/>
    <w:rsid w:val="00155567"/>
    <w:rsid w:val="0016014D"/>
    <w:rsid w:val="00162424"/>
    <w:rsid w:val="00167536"/>
    <w:rsid w:val="0017142A"/>
    <w:rsid w:val="00172727"/>
    <w:rsid w:val="001741B0"/>
    <w:rsid w:val="00174208"/>
    <w:rsid w:val="00174660"/>
    <w:rsid w:val="001754E1"/>
    <w:rsid w:val="00181260"/>
    <w:rsid w:val="00181A4F"/>
    <w:rsid w:val="001861B7"/>
    <w:rsid w:val="0019013A"/>
    <w:rsid w:val="001922E6"/>
    <w:rsid w:val="00193B6D"/>
    <w:rsid w:val="001A331C"/>
    <w:rsid w:val="001B36EE"/>
    <w:rsid w:val="001B5CC0"/>
    <w:rsid w:val="001B6D1B"/>
    <w:rsid w:val="001B7C2B"/>
    <w:rsid w:val="001C1BA1"/>
    <w:rsid w:val="001C4004"/>
    <w:rsid w:val="001D08C2"/>
    <w:rsid w:val="001D2E2C"/>
    <w:rsid w:val="001D37A9"/>
    <w:rsid w:val="001E385E"/>
    <w:rsid w:val="001F2B49"/>
    <w:rsid w:val="001F5BAD"/>
    <w:rsid w:val="001F6807"/>
    <w:rsid w:val="001F6D35"/>
    <w:rsid w:val="001F787F"/>
    <w:rsid w:val="00203985"/>
    <w:rsid w:val="00206923"/>
    <w:rsid w:val="002113FD"/>
    <w:rsid w:val="00211C11"/>
    <w:rsid w:val="002126FB"/>
    <w:rsid w:val="00217076"/>
    <w:rsid w:val="002237BD"/>
    <w:rsid w:val="00223C2C"/>
    <w:rsid w:val="00223CEB"/>
    <w:rsid w:val="00224CAE"/>
    <w:rsid w:val="0023001A"/>
    <w:rsid w:val="002352E7"/>
    <w:rsid w:val="00235A84"/>
    <w:rsid w:val="00237D15"/>
    <w:rsid w:val="002403E3"/>
    <w:rsid w:val="00242FE4"/>
    <w:rsid w:val="00245F6F"/>
    <w:rsid w:val="00253D66"/>
    <w:rsid w:val="0026098F"/>
    <w:rsid w:val="00262B14"/>
    <w:rsid w:val="0026454F"/>
    <w:rsid w:val="00270986"/>
    <w:rsid w:val="00271F35"/>
    <w:rsid w:val="00274077"/>
    <w:rsid w:val="00274EE9"/>
    <w:rsid w:val="00275B8D"/>
    <w:rsid w:val="0027642B"/>
    <w:rsid w:val="0027646A"/>
    <w:rsid w:val="002812E3"/>
    <w:rsid w:val="00287BD7"/>
    <w:rsid w:val="0029485D"/>
    <w:rsid w:val="00294CE9"/>
    <w:rsid w:val="00296254"/>
    <w:rsid w:val="002A1620"/>
    <w:rsid w:val="002A24DB"/>
    <w:rsid w:val="002A575B"/>
    <w:rsid w:val="002A71AB"/>
    <w:rsid w:val="002A7582"/>
    <w:rsid w:val="002B09BC"/>
    <w:rsid w:val="002B49E8"/>
    <w:rsid w:val="002B660B"/>
    <w:rsid w:val="002C0AF3"/>
    <w:rsid w:val="002C0F1A"/>
    <w:rsid w:val="002C154A"/>
    <w:rsid w:val="002C34E6"/>
    <w:rsid w:val="002C5557"/>
    <w:rsid w:val="002D6BD8"/>
    <w:rsid w:val="002E06C8"/>
    <w:rsid w:val="002E0FBD"/>
    <w:rsid w:val="002E2F93"/>
    <w:rsid w:val="002F687B"/>
    <w:rsid w:val="00301708"/>
    <w:rsid w:val="00304092"/>
    <w:rsid w:val="003040AA"/>
    <w:rsid w:val="00313B00"/>
    <w:rsid w:val="00314E4D"/>
    <w:rsid w:val="00315C5E"/>
    <w:rsid w:val="00317DC4"/>
    <w:rsid w:val="00324A53"/>
    <w:rsid w:val="00325582"/>
    <w:rsid w:val="00327A13"/>
    <w:rsid w:val="00331993"/>
    <w:rsid w:val="0033279C"/>
    <w:rsid w:val="003354A5"/>
    <w:rsid w:val="00340393"/>
    <w:rsid w:val="003412B3"/>
    <w:rsid w:val="00341376"/>
    <w:rsid w:val="003439C5"/>
    <w:rsid w:val="00350137"/>
    <w:rsid w:val="0035239A"/>
    <w:rsid w:val="00366EC4"/>
    <w:rsid w:val="003719B4"/>
    <w:rsid w:val="00380C76"/>
    <w:rsid w:val="00381264"/>
    <w:rsid w:val="00385DC8"/>
    <w:rsid w:val="0038768C"/>
    <w:rsid w:val="00392C32"/>
    <w:rsid w:val="00397ABE"/>
    <w:rsid w:val="003A05A8"/>
    <w:rsid w:val="003A0D73"/>
    <w:rsid w:val="003A1E85"/>
    <w:rsid w:val="003A2647"/>
    <w:rsid w:val="003A3AA0"/>
    <w:rsid w:val="003A4AA3"/>
    <w:rsid w:val="003A7E7D"/>
    <w:rsid w:val="003B4362"/>
    <w:rsid w:val="003B54AC"/>
    <w:rsid w:val="003B5902"/>
    <w:rsid w:val="003B5E4E"/>
    <w:rsid w:val="003B5F96"/>
    <w:rsid w:val="003B7F4E"/>
    <w:rsid w:val="003C1F55"/>
    <w:rsid w:val="003C64F7"/>
    <w:rsid w:val="003C6A18"/>
    <w:rsid w:val="003D0976"/>
    <w:rsid w:val="003D2C8A"/>
    <w:rsid w:val="003D2F58"/>
    <w:rsid w:val="003D41F7"/>
    <w:rsid w:val="003D627C"/>
    <w:rsid w:val="003D6D3D"/>
    <w:rsid w:val="003E009D"/>
    <w:rsid w:val="003E371A"/>
    <w:rsid w:val="003E50B7"/>
    <w:rsid w:val="003F0706"/>
    <w:rsid w:val="003F09BA"/>
    <w:rsid w:val="003F1434"/>
    <w:rsid w:val="003F37A5"/>
    <w:rsid w:val="003F5D4F"/>
    <w:rsid w:val="00402D60"/>
    <w:rsid w:val="004072AF"/>
    <w:rsid w:val="004127AC"/>
    <w:rsid w:val="00416255"/>
    <w:rsid w:val="004173CF"/>
    <w:rsid w:val="00422131"/>
    <w:rsid w:val="00425AFD"/>
    <w:rsid w:val="0043033C"/>
    <w:rsid w:val="00432D9F"/>
    <w:rsid w:val="004359C5"/>
    <w:rsid w:val="00436A29"/>
    <w:rsid w:val="004379DA"/>
    <w:rsid w:val="00440C0A"/>
    <w:rsid w:val="00441A60"/>
    <w:rsid w:val="00445D5F"/>
    <w:rsid w:val="00455BBB"/>
    <w:rsid w:val="00455CE5"/>
    <w:rsid w:val="0046083F"/>
    <w:rsid w:val="004624E7"/>
    <w:rsid w:val="00462B4D"/>
    <w:rsid w:val="0046736B"/>
    <w:rsid w:val="00470033"/>
    <w:rsid w:val="00472557"/>
    <w:rsid w:val="00473407"/>
    <w:rsid w:val="004748D6"/>
    <w:rsid w:val="00476C32"/>
    <w:rsid w:val="00477625"/>
    <w:rsid w:val="00481BB2"/>
    <w:rsid w:val="00486752"/>
    <w:rsid w:val="00487DD3"/>
    <w:rsid w:val="00490B62"/>
    <w:rsid w:val="00493BAC"/>
    <w:rsid w:val="00495614"/>
    <w:rsid w:val="00497AF4"/>
    <w:rsid w:val="004A3BCA"/>
    <w:rsid w:val="004A584F"/>
    <w:rsid w:val="004A5A92"/>
    <w:rsid w:val="004A6491"/>
    <w:rsid w:val="004B0B5A"/>
    <w:rsid w:val="004B0C66"/>
    <w:rsid w:val="004B11F8"/>
    <w:rsid w:val="004B1998"/>
    <w:rsid w:val="004B3AC2"/>
    <w:rsid w:val="004B4083"/>
    <w:rsid w:val="004B5FB9"/>
    <w:rsid w:val="004B7BE6"/>
    <w:rsid w:val="004C07D7"/>
    <w:rsid w:val="004C2178"/>
    <w:rsid w:val="004C3B19"/>
    <w:rsid w:val="004C3E5C"/>
    <w:rsid w:val="004C6B4F"/>
    <w:rsid w:val="004C7F74"/>
    <w:rsid w:val="004D0CA9"/>
    <w:rsid w:val="004D4244"/>
    <w:rsid w:val="004D51D0"/>
    <w:rsid w:val="004E185F"/>
    <w:rsid w:val="004E23F1"/>
    <w:rsid w:val="004E36B0"/>
    <w:rsid w:val="004F085D"/>
    <w:rsid w:val="004F50F4"/>
    <w:rsid w:val="004F6C3F"/>
    <w:rsid w:val="00500809"/>
    <w:rsid w:val="0050144D"/>
    <w:rsid w:val="00502876"/>
    <w:rsid w:val="005048E9"/>
    <w:rsid w:val="0050708F"/>
    <w:rsid w:val="00510426"/>
    <w:rsid w:val="00510487"/>
    <w:rsid w:val="00516E8A"/>
    <w:rsid w:val="00516EE0"/>
    <w:rsid w:val="0052095B"/>
    <w:rsid w:val="0052128F"/>
    <w:rsid w:val="005222CE"/>
    <w:rsid w:val="005237F1"/>
    <w:rsid w:val="005277AA"/>
    <w:rsid w:val="00530802"/>
    <w:rsid w:val="00534094"/>
    <w:rsid w:val="00540C96"/>
    <w:rsid w:val="00544A62"/>
    <w:rsid w:val="005537CE"/>
    <w:rsid w:val="00556DCD"/>
    <w:rsid w:val="00557135"/>
    <w:rsid w:val="00561DD9"/>
    <w:rsid w:val="00564FAC"/>
    <w:rsid w:val="00565D1E"/>
    <w:rsid w:val="00566674"/>
    <w:rsid w:val="00571F2D"/>
    <w:rsid w:val="00574D81"/>
    <w:rsid w:val="0057741E"/>
    <w:rsid w:val="005815BE"/>
    <w:rsid w:val="005816E8"/>
    <w:rsid w:val="00584AF0"/>
    <w:rsid w:val="00584FCE"/>
    <w:rsid w:val="005870D3"/>
    <w:rsid w:val="005873D9"/>
    <w:rsid w:val="005923E9"/>
    <w:rsid w:val="005A40BE"/>
    <w:rsid w:val="005B0C3C"/>
    <w:rsid w:val="005B3F16"/>
    <w:rsid w:val="005B47BD"/>
    <w:rsid w:val="005B58D2"/>
    <w:rsid w:val="005B6F53"/>
    <w:rsid w:val="005C0634"/>
    <w:rsid w:val="005C26CD"/>
    <w:rsid w:val="005D249C"/>
    <w:rsid w:val="005D5337"/>
    <w:rsid w:val="005D5C0B"/>
    <w:rsid w:val="005E07FE"/>
    <w:rsid w:val="005E3727"/>
    <w:rsid w:val="005E6140"/>
    <w:rsid w:val="005E6B42"/>
    <w:rsid w:val="005E7F28"/>
    <w:rsid w:val="005F3E51"/>
    <w:rsid w:val="005F4FE0"/>
    <w:rsid w:val="006000DF"/>
    <w:rsid w:val="00600B36"/>
    <w:rsid w:val="006044FF"/>
    <w:rsid w:val="00606AA5"/>
    <w:rsid w:val="00607141"/>
    <w:rsid w:val="00610C25"/>
    <w:rsid w:val="0061365F"/>
    <w:rsid w:val="00613F86"/>
    <w:rsid w:val="00613FC0"/>
    <w:rsid w:val="00615E05"/>
    <w:rsid w:val="00616BFA"/>
    <w:rsid w:val="00616D31"/>
    <w:rsid w:val="0062073A"/>
    <w:rsid w:val="006242C9"/>
    <w:rsid w:val="006339CC"/>
    <w:rsid w:val="00635DC7"/>
    <w:rsid w:val="00636713"/>
    <w:rsid w:val="00640F5C"/>
    <w:rsid w:val="0064308D"/>
    <w:rsid w:val="006508B3"/>
    <w:rsid w:val="00652D30"/>
    <w:rsid w:val="00657CA9"/>
    <w:rsid w:val="006624FA"/>
    <w:rsid w:val="00665B17"/>
    <w:rsid w:val="006661EC"/>
    <w:rsid w:val="00667FEE"/>
    <w:rsid w:val="0067111B"/>
    <w:rsid w:val="006761DC"/>
    <w:rsid w:val="00680C97"/>
    <w:rsid w:val="00681960"/>
    <w:rsid w:val="00684947"/>
    <w:rsid w:val="00684EB5"/>
    <w:rsid w:val="00685C79"/>
    <w:rsid w:val="00687C6A"/>
    <w:rsid w:val="006935AA"/>
    <w:rsid w:val="006942B2"/>
    <w:rsid w:val="00696661"/>
    <w:rsid w:val="006A0084"/>
    <w:rsid w:val="006A5806"/>
    <w:rsid w:val="006A7234"/>
    <w:rsid w:val="006B3AAE"/>
    <w:rsid w:val="006C1A6F"/>
    <w:rsid w:val="006C4D88"/>
    <w:rsid w:val="006C6F24"/>
    <w:rsid w:val="006D1965"/>
    <w:rsid w:val="006D7758"/>
    <w:rsid w:val="006D7E61"/>
    <w:rsid w:val="006E1314"/>
    <w:rsid w:val="006E4C0A"/>
    <w:rsid w:val="006E50C4"/>
    <w:rsid w:val="006E6767"/>
    <w:rsid w:val="006F59C7"/>
    <w:rsid w:val="006F5ADF"/>
    <w:rsid w:val="006F651B"/>
    <w:rsid w:val="007031DF"/>
    <w:rsid w:val="00705BE3"/>
    <w:rsid w:val="007074DB"/>
    <w:rsid w:val="007103AD"/>
    <w:rsid w:val="00711871"/>
    <w:rsid w:val="00712B67"/>
    <w:rsid w:val="00714B02"/>
    <w:rsid w:val="007201EC"/>
    <w:rsid w:val="00723CCD"/>
    <w:rsid w:val="00727410"/>
    <w:rsid w:val="007352EA"/>
    <w:rsid w:val="007359FE"/>
    <w:rsid w:val="00735EFC"/>
    <w:rsid w:val="00737FA8"/>
    <w:rsid w:val="007462FE"/>
    <w:rsid w:val="0075288E"/>
    <w:rsid w:val="0075488E"/>
    <w:rsid w:val="00754ADB"/>
    <w:rsid w:val="007566B5"/>
    <w:rsid w:val="00756AD5"/>
    <w:rsid w:val="00763448"/>
    <w:rsid w:val="007672C3"/>
    <w:rsid w:val="0077329F"/>
    <w:rsid w:val="00775422"/>
    <w:rsid w:val="00775828"/>
    <w:rsid w:val="00775F73"/>
    <w:rsid w:val="007764E5"/>
    <w:rsid w:val="007778A0"/>
    <w:rsid w:val="0077793E"/>
    <w:rsid w:val="00780636"/>
    <w:rsid w:val="007809C6"/>
    <w:rsid w:val="007823C2"/>
    <w:rsid w:val="00783120"/>
    <w:rsid w:val="00783AE6"/>
    <w:rsid w:val="00784AE2"/>
    <w:rsid w:val="00784C4E"/>
    <w:rsid w:val="00786634"/>
    <w:rsid w:val="00792387"/>
    <w:rsid w:val="00792E65"/>
    <w:rsid w:val="00795808"/>
    <w:rsid w:val="00795B89"/>
    <w:rsid w:val="007A3F5F"/>
    <w:rsid w:val="007A5E1D"/>
    <w:rsid w:val="007A6BC6"/>
    <w:rsid w:val="007B18A5"/>
    <w:rsid w:val="007B1E78"/>
    <w:rsid w:val="007B5DF6"/>
    <w:rsid w:val="007B6E8C"/>
    <w:rsid w:val="007C1380"/>
    <w:rsid w:val="007C2CF7"/>
    <w:rsid w:val="007C6B89"/>
    <w:rsid w:val="007D3E81"/>
    <w:rsid w:val="007D7732"/>
    <w:rsid w:val="007E0FDF"/>
    <w:rsid w:val="007E1D00"/>
    <w:rsid w:val="007E35CC"/>
    <w:rsid w:val="007E4564"/>
    <w:rsid w:val="007E45CF"/>
    <w:rsid w:val="007E60E5"/>
    <w:rsid w:val="007F1A5A"/>
    <w:rsid w:val="007F2A5B"/>
    <w:rsid w:val="007F5684"/>
    <w:rsid w:val="0080226A"/>
    <w:rsid w:val="0081105A"/>
    <w:rsid w:val="00811F18"/>
    <w:rsid w:val="00822C02"/>
    <w:rsid w:val="00822CBC"/>
    <w:rsid w:val="0082643B"/>
    <w:rsid w:val="00830614"/>
    <w:rsid w:val="00830C80"/>
    <w:rsid w:val="008336E2"/>
    <w:rsid w:val="0083376D"/>
    <w:rsid w:val="00834FEF"/>
    <w:rsid w:val="0084065D"/>
    <w:rsid w:val="008450BB"/>
    <w:rsid w:val="00845767"/>
    <w:rsid w:val="00847047"/>
    <w:rsid w:val="00847872"/>
    <w:rsid w:val="008509FB"/>
    <w:rsid w:val="00850B28"/>
    <w:rsid w:val="00853590"/>
    <w:rsid w:val="0085361D"/>
    <w:rsid w:val="008563C0"/>
    <w:rsid w:val="00856DF7"/>
    <w:rsid w:val="008572F0"/>
    <w:rsid w:val="00860F92"/>
    <w:rsid w:val="00861C38"/>
    <w:rsid w:val="00861F0B"/>
    <w:rsid w:val="00874AD1"/>
    <w:rsid w:val="0087541C"/>
    <w:rsid w:val="008805C2"/>
    <w:rsid w:val="00882C3B"/>
    <w:rsid w:val="008866F8"/>
    <w:rsid w:val="00895D8D"/>
    <w:rsid w:val="008A3AEA"/>
    <w:rsid w:val="008A5A8E"/>
    <w:rsid w:val="008A6BEE"/>
    <w:rsid w:val="008A6DB0"/>
    <w:rsid w:val="008A7BBD"/>
    <w:rsid w:val="008B0FFF"/>
    <w:rsid w:val="008B5E16"/>
    <w:rsid w:val="008B6F84"/>
    <w:rsid w:val="008C0684"/>
    <w:rsid w:val="008C2A4F"/>
    <w:rsid w:val="008C5FE9"/>
    <w:rsid w:val="008C6044"/>
    <w:rsid w:val="008C6E36"/>
    <w:rsid w:val="008C7508"/>
    <w:rsid w:val="008D06D7"/>
    <w:rsid w:val="008E1558"/>
    <w:rsid w:val="008E246F"/>
    <w:rsid w:val="008E6F7E"/>
    <w:rsid w:val="008F1100"/>
    <w:rsid w:val="008F2AB0"/>
    <w:rsid w:val="008F713F"/>
    <w:rsid w:val="008F741B"/>
    <w:rsid w:val="009032C6"/>
    <w:rsid w:val="009033C4"/>
    <w:rsid w:val="00903920"/>
    <w:rsid w:val="00905BEA"/>
    <w:rsid w:val="00915FB9"/>
    <w:rsid w:val="00917EBF"/>
    <w:rsid w:val="00924773"/>
    <w:rsid w:val="0093588E"/>
    <w:rsid w:val="009406E9"/>
    <w:rsid w:val="00941293"/>
    <w:rsid w:val="00942656"/>
    <w:rsid w:val="009439F8"/>
    <w:rsid w:val="0094416B"/>
    <w:rsid w:val="0095349A"/>
    <w:rsid w:val="00953ED6"/>
    <w:rsid w:val="00967FEB"/>
    <w:rsid w:val="009716FC"/>
    <w:rsid w:val="00973AB9"/>
    <w:rsid w:val="00984332"/>
    <w:rsid w:val="00984E98"/>
    <w:rsid w:val="009858E2"/>
    <w:rsid w:val="00993639"/>
    <w:rsid w:val="00993FD7"/>
    <w:rsid w:val="00996171"/>
    <w:rsid w:val="00997FF8"/>
    <w:rsid w:val="009A007E"/>
    <w:rsid w:val="009A1AF1"/>
    <w:rsid w:val="009A1C01"/>
    <w:rsid w:val="009A329A"/>
    <w:rsid w:val="009A3C44"/>
    <w:rsid w:val="009A6003"/>
    <w:rsid w:val="009A7D3C"/>
    <w:rsid w:val="009B3023"/>
    <w:rsid w:val="009B6ECF"/>
    <w:rsid w:val="009C0493"/>
    <w:rsid w:val="009C059B"/>
    <w:rsid w:val="009C1A02"/>
    <w:rsid w:val="009C7466"/>
    <w:rsid w:val="009D10DD"/>
    <w:rsid w:val="009D253B"/>
    <w:rsid w:val="009D3AC9"/>
    <w:rsid w:val="009D4C95"/>
    <w:rsid w:val="009E271C"/>
    <w:rsid w:val="009E3431"/>
    <w:rsid w:val="009E68DD"/>
    <w:rsid w:val="009E6B2D"/>
    <w:rsid w:val="009F10A9"/>
    <w:rsid w:val="00A007A8"/>
    <w:rsid w:val="00A03A3D"/>
    <w:rsid w:val="00A047C0"/>
    <w:rsid w:val="00A05C63"/>
    <w:rsid w:val="00A101DF"/>
    <w:rsid w:val="00A11BBD"/>
    <w:rsid w:val="00A12862"/>
    <w:rsid w:val="00A16318"/>
    <w:rsid w:val="00A170B7"/>
    <w:rsid w:val="00A17921"/>
    <w:rsid w:val="00A20F92"/>
    <w:rsid w:val="00A211F3"/>
    <w:rsid w:val="00A344AA"/>
    <w:rsid w:val="00A34A28"/>
    <w:rsid w:val="00A366AF"/>
    <w:rsid w:val="00A37110"/>
    <w:rsid w:val="00A4093C"/>
    <w:rsid w:val="00A41693"/>
    <w:rsid w:val="00A422D1"/>
    <w:rsid w:val="00A439AE"/>
    <w:rsid w:val="00A45DCF"/>
    <w:rsid w:val="00A4773A"/>
    <w:rsid w:val="00A50B28"/>
    <w:rsid w:val="00A51CE6"/>
    <w:rsid w:val="00A52505"/>
    <w:rsid w:val="00A56552"/>
    <w:rsid w:val="00A6082D"/>
    <w:rsid w:val="00A70F42"/>
    <w:rsid w:val="00A73C82"/>
    <w:rsid w:val="00A7682F"/>
    <w:rsid w:val="00A7751A"/>
    <w:rsid w:val="00A84FD7"/>
    <w:rsid w:val="00A85919"/>
    <w:rsid w:val="00A86077"/>
    <w:rsid w:val="00A862BD"/>
    <w:rsid w:val="00A86C96"/>
    <w:rsid w:val="00A92645"/>
    <w:rsid w:val="00A93596"/>
    <w:rsid w:val="00A94567"/>
    <w:rsid w:val="00A97E02"/>
    <w:rsid w:val="00AA444D"/>
    <w:rsid w:val="00AB115A"/>
    <w:rsid w:val="00AB3F48"/>
    <w:rsid w:val="00AB511C"/>
    <w:rsid w:val="00AB5368"/>
    <w:rsid w:val="00AB571E"/>
    <w:rsid w:val="00AB5B18"/>
    <w:rsid w:val="00AC0317"/>
    <w:rsid w:val="00AC22EE"/>
    <w:rsid w:val="00AC39DB"/>
    <w:rsid w:val="00AC3BFE"/>
    <w:rsid w:val="00AC4973"/>
    <w:rsid w:val="00AC59C8"/>
    <w:rsid w:val="00AD3ACF"/>
    <w:rsid w:val="00AE0498"/>
    <w:rsid w:val="00AE1776"/>
    <w:rsid w:val="00AE4DC6"/>
    <w:rsid w:val="00AE57CE"/>
    <w:rsid w:val="00AE7A7C"/>
    <w:rsid w:val="00AF1439"/>
    <w:rsid w:val="00AF270F"/>
    <w:rsid w:val="00B004BB"/>
    <w:rsid w:val="00B00D6E"/>
    <w:rsid w:val="00B01BCD"/>
    <w:rsid w:val="00B0397B"/>
    <w:rsid w:val="00B05DAC"/>
    <w:rsid w:val="00B06740"/>
    <w:rsid w:val="00B115F0"/>
    <w:rsid w:val="00B15576"/>
    <w:rsid w:val="00B25A1B"/>
    <w:rsid w:val="00B25A8F"/>
    <w:rsid w:val="00B261DB"/>
    <w:rsid w:val="00B36E31"/>
    <w:rsid w:val="00B37656"/>
    <w:rsid w:val="00B4190D"/>
    <w:rsid w:val="00B44BEB"/>
    <w:rsid w:val="00B46A1C"/>
    <w:rsid w:val="00B47B29"/>
    <w:rsid w:val="00B5260F"/>
    <w:rsid w:val="00B53634"/>
    <w:rsid w:val="00B53EFA"/>
    <w:rsid w:val="00B61B93"/>
    <w:rsid w:val="00B664FB"/>
    <w:rsid w:val="00B7256A"/>
    <w:rsid w:val="00B75B03"/>
    <w:rsid w:val="00B77BC1"/>
    <w:rsid w:val="00B80BC8"/>
    <w:rsid w:val="00B83A09"/>
    <w:rsid w:val="00B83BF9"/>
    <w:rsid w:val="00B8464D"/>
    <w:rsid w:val="00B86EF3"/>
    <w:rsid w:val="00B8775C"/>
    <w:rsid w:val="00B90134"/>
    <w:rsid w:val="00B96CA8"/>
    <w:rsid w:val="00B96DDB"/>
    <w:rsid w:val="00BA7966"/>
    <w:rsid w:val="00BB076A"/>
    <w:rsid w:val="00BB3757"/>
    <w:rsid w:val="00BB59F4"/>
    <w:rsid w:val="00BC7B32"/>
    <w:rsid w:val="00BD24C1"/>
    <w:rsid w:val="00BD5CAC"/>
    <w:rsid w:val="00BF17A2"/>
    <w:rsid w:val="00BF1FBB"/>
    <w:rsid w:val="00BF2952"/>
    <w:rsid w:val="00BF3AAF"/>
    <w:rsid w:val="00BF7037"/>
    <w:rsid w:val="00C0050B"/>
    <w:rsid w:val="00C079B7"/>
    <w:rsid w:val="00C116F4"/>
    <w:rsid w:val="00C13077"/>
    <w:rsid w:val="00C14248"/>
    <w:rsid w:val="00C20ADC"/>
    <w:rsid w:val="00C21AFF"/>
    <w:rsid w:val="00C30367"/>
    <w:rsid w:val="00C31512"/>
    <w:rsid w:val="00C32630"/>
    <w:rsid w:val="00C334A1"/>
    <w:rsid w:val="00C40DC8"/>
    <w:rsid w:val="00C41BF6"/>
    <w:rsid w:val="00C439B6"/>
    <w:rsid w:val="00C4472D"/>
    <w:rsid w:val="00C549F7"/>
    <w:rsid w:val="00C56B32"/>
    <w:rsid w:val="00C633BF"/>
    <w:rsid w:val="00C649CE"/>
    <w:rsid w:val="00C64C94"/>
    <w:rsid w:val="00C65E28"/>
    <w:rsid w:val="00C663BC"/>
    <w:rsid w:val="00C667B4"/>
    <w:rsid w:val="00C70407"/>
    <w:rsid w:val="00C70A5E"/>
    <w:rsid w:val="00C7615B"/>
    <w:rsid w:val="00C81E99"/>
    <w:rsid w:val="00C84012"/>
    <w:rsid w:val="00C854E6"/>
    <w:rsid w:val="00C85FA6"/>
    <w:rsid w:val="00C93CDB"/>
    <w:rsid w:val="00CA22C7"/>
    <w:rsid w:val="00CA44A9"/>
    <w:rsid w:val="00CB458B"/>
    <w:rsid w:val="00CB4B2D"/>
    <w:rsid w:val="00CC075F"/>
    <w:rsid w:val="00CC4622"/>
    <w:rsid w:val="00CC5F0C"/>
    <w:rsid w:val="00CC72E1"/>
    <w:rsid w:val="00CD0CF5"/>
    <w:rsid w:val="00CD20D9"/>
    <w:rsid w:val="00CD37EB"/>
    <w:rsid w:val="00CD413A"/>
    <w:rsid w:val="00CD5D3A"/>
    <w:rsid w:val="00CD7B74"/>
    <w:rsid w:val="00CE0E41"/>
    <w:rsid w:val="00CE333E"/>
    <w:rsid w:val="00CE34DF"/>
    <w:rsid w:val="00CE3BDB"/>
    <w:rsid w:val="00CE420B"/>
    <w:rsid w:val="00CE49E3"/>
    <w:rsid w:val="00CF0055"/>
    <w:rsid w:val="00CF04F0"/>
    <w:rsid w:val="00CF3ECE"/>
    <w:rsid w:val="00CF4286"/>
    <w:rsid w:val="00CF44ED"/>
    <w:rsid w:val="00D01436"/>
    <w:rsid w:val="00D018AE"/>
    <w:rsid w:val="00D02D53"/>
    <w:rsid w:val="00D02FE4"/>
    <w:rsid w:val="00D07684"/>
    <w:rsid w:val="00D079A1"/>
    <w:rsid w:val="00D1173F"/>
    <w:rsid w:val="00D12E38"/>
    <w:rsid w:val="00D15A94"/>
    <w:rsid w:val="00D248F3"/>
    <w:rsid w:val="00D30BA0"/>
    <w:rsid w:val="00D30E7B"/>
    <w:rsid w:val="00D34AC4"/>
    <w:rsid w:val="00D41A18"/>
    <w:rsid w:val="00D465FB"/>
    <w:rsid w:val="00D468AB"/>
    <w:rsid w:val="00D479FD"/>
    <w:rsid w:val="00D60611"/>
    <w:rsid w:val="00D60F58"/>
    <w:rsid w:val="00D71AC6"/>
    <w:rsid w:val="00D7280B"/>
    <w:rsid w:val="00D75947"/>
    <w:rsid w:val="00D77F26"/>
    <w:rsid w:val="00DA1AB6"/>
    <w:rsid w:val="00DA2E00"/>
    <w:rsid w:val="00DA44F7"/>
    <w:rsid w:val="00DA7531"/>
    <w:rsid w:val="00DA76E3"/>
    <w:rsid w:val="00DB0D87"/>
    <w:rsid w:val="00DB37D2"/>
    <w:rsid w:val="00DB3C37"/>
    <w:rsid w:val="00DC0505"/>
    <w:rsid w:val="00DC14B6"/>
    <w:rsid w:val="00DC49E8"/>
    <w:rsid w:val="00DC4E51"/>
    <w:rsid w:val="00DC68D4"/>
    <w:rsid w:val="00DC7D6C"/>
    <w:rsid w:val="00DD0ADF"/>
    <w:rsid w:val="00DD136C"/>
    <w:rsid w:val="00DD1BB6"/>
    <w:rsid w:val="00DD34EA"/>
    <w:rsid w:val="00DD5897"/>
    <w:rsid w:val="00DD76F0"/>
    <w:rsid w:val="00DD7A78"/>
    <w:rsid w:val="00DE09C3"/>
    <w:rsid w:val="00DE0BC0"/>
    <w:rsid w:val="00DE1247"/>
    <w:rsid w:val="00DE2988"/>
    <w:rsid w:val="00DE7034"/>
    <w:rsid w:val="00DF1814"/>
    <w:rsid w:val="00DF4384"/>
    <w:rsid w:val="00DF637D"/>
    <w:rsid w:val="00E0539D"/>
    <w:rsid w:val="00E067B1"/>
    <w:rsid w:val="00E06CC2"/>
    <w:rsid w:val="00E122AF"/>
    <w:rsid w:val="00E13119"/>
    <w:rsid w:val="00E147D3"/>
    <w:rsid w:val="00E14DE5"/>
    <w:rsid w:val="00E179DF"/>
    <w:rsid w:val="00E17B5E"/>
    <w:rsid w:val="00E20AF6"/>
    <w:rsid w:val="00E23238"/>
    <w:rsid w:val="00E251C6"/>
    <w:rsid w:val="00E263EA"/>
    <w:rsid w:val="00E332B3"/>
    <w:rsid w:val="00E40009"/>
    <w:rsid w:val="00E42487"/>
    <w:rsid w:val="00E438CE"/>
    <w:rsid w:val="00E45292"/>
    <w:rsid w:val="00E47DCC"/>
    <w:rsid w:val="00E5380D"/>
    <w:rsid w:val="00E542C4"/>
    <w:rsid w:val="00E600BD"/>
    <w:rsid w:val="00E60FCF"/>
    <w:rsid w:val="00E61B2A"/>
    <w:rsid w:val="00E7382F"/>
    <w:rsid w:val="00E82B0B"/>
    <w:rsid w:val="00E83154"/>
    <w:rsid w:val="00E851E7"/>
    <w:rsid w:val="00E872E3"/>
    <w:rsid w:val="00E87A50"/>
    <w:rsid w:val="00E930DD"/>
    <w:rsid w:val="00E95ABE"/>
    <w:rsid w:val="00EA0D1D"/>
    <w:rsid w:val="00EA16D9"/>
    <w:rsid w:val="00EA295B"/>
    <w:rsid w:val="00EB2AD3"/>
    <w:rsid w:val="00EB6257"/>
    <w:rsid w:val="00EB74E5"/>
    <w:rsid w:val="00EC7812"/>
    <w:rsid w:val="00ED04E4"/>
    <w:rsid w:val="00ED28A5"/>
    <w:rsid w:val="00ED2EE2"/>
    <w:rsid w:val="00ED3FFF"/>
    <w:rsid w:val="00ED41A4"/>
    <w:rsid w:val="00ED6567"/>
    <w:rsid w:val="00EE1E64"/>
    <w:rsid w:val="00EF01F9"/>
    <w:rsid w:val="00EF0ADB"/>
    <w:rsid w:val="00EF3B32"/>
    <w:rsid w:val="00EF5386"/>
    <w:rsid w:val="00EF78E3"/>
    <w:rsid w:val="00F006B1"/>
    <w:rsid w:val="00F04F6C"/>
    <w:rsid w:val="00F1425C"/>
    <w:rsid w:val="00F16DD6"/>
    <w:rsid w:val="00F23C23"/>
    <w:rsid w:val="00F24D3D"/>
    <w:rsid w:val="00F26C5B"/>
    <w:rsid w:val="00F30436"/>
    <w:rsid w:val="00F341DC"/>
    <w:rsid w:val="00F35864"/>
    <w:rsid w:val="00F37CCE"/>
    <w:rsid w:val="00F40DDD"/>
    <w:rsid w:val="00F40FD4"/>
    <w:rsid w:val="00F4679A"/>
    <w:rsid w:val="00F60EBD"/>
    <w:rsid w:val="00F63871"/>
    <w:rsid w:val="00F641F7"/>
    <w:rsid w:val="00F66827"/>
    <w:rsid w:val="00F723C5"/>
    <w:rsid w:val="00F726D6"/>
    <w:rsid w:val="00F73C93"/>
    <w:rsid w:val="00F8179F"/>
    <w:rsid w:val="00F82329"/>
    <w:rsid w:val="00F90BC3"/>
    <w:rsid w:val="00F930B6"/>
    <w:rsid w:val="00F9633E"/>
    <w:rsid w:val="00F976A1"/>
    <w:rsid w:val="00FA3DF6"/>
    <w:rsid w:val="00FA4B50"/>
    <w:rsid w:val="00FA63BD"/>
    <w:rsid w:val="00FB19FD"/>
    <w:rsid w:val="00FB23B6"/>
    <w:rsid w:val="00FB62A2"/>
    <w:rsid w:val="00FB6A85"/>
    <w:rsid w:val="00FB793B"/>
    <w:rsid w:val="00FB7D8F"/>
    <w:rsid w:val="00FB7E07"/>
    <w:rsid w:val="00FC0D7C"/>
    <w:rsid w:val="00FC506E"/>
    <w:rsid w:val="00FD1CD2"/>
    <w:rsid w:val="00FD37BD"/>
    <w:rsid w:val="00FD4FDD"/>
    <w:rsid w:val="00FE09A8"/>
    <w:rsid w:val="00FE0A24"/>
    <w:rsid w:val="00FE1C81"/>
    <w:rsid w:val="00FE3C4C"/>
    <w:rsid w:val="00FE6E65"/>
    <w:rsid w:val="00FF20D9"/>
    <w:rsid w:val="00FF25FE"/>
    <w:rsid w:val="00FF4C8C"/>
    <w:rsid w:val="00FF6A83"/>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14:docId w14:val="3D7F6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l-SI" w:eastAsia="sl-SI" w:bidi="sl-SI"/>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2FE4"/>
    <w:pPr>
      <w:spacing w:before="120" w:after="120"/>
      <w:jc w:val="both"/>
    </w:pPr>
    <w:rPr>
      <w:rFonts w:ascii="Verdana" w:hAnsi="Verdana"/>
      <w:szCs w:val="24"/>
    </w:rPr>
  </w:style>
  <w:style w:type="paragraph" w:styleId="Heading1">
    <w:name w:val="heading 1"/>
    <w:basedOn w:val="Normal"/>
    <w:link w:val="Heading1Char"/>
    <w:uiPriority w:val="9"/>
    <w:qFormat/>
    <w:rsid w:val="00556DCD"/>
    <w:pPr>
      <w:spacing w:before="100" w:beforeAutospacing="1" w:after="100" w:afterAutospacing="1"/>
      <w:jc w:val="left"/>
      <w:outlineLvl w:val="0"/>
    </w:pPr>
    <w:rPr>
      <w:rFonts w:ascii="Times New Roman" w:hAnsi="Times New Roman"/>
      <w:b/>
      <w:bCs/>
      <w:color w:val="3E2E98"/>
      <w:kern w:val="36"/>
      <w:sz w:val="30"/>
      <w:szCs w:val="30"/>
    </w:rPr>
  </w:style>
  <w:style w:type="paragraph" w:styleId="Heading2">
    <w:name w:val="heading 2"/>
    <w:basedOn w:val="Normal"/>
    <w:next w:val="Normal"/>
    <w:link w:val="Heading2Char"/>
    <w:autoRedefine/>
    <w:uiPriority w:val="9"/>
    <w:qFormat/>
    <w:rsid w:val="00D02FE4"/>
    <w:pPr>
      <w:keepNext/>
      <w:spacing w:before="240"/>
      <w:outlineLvl w:val="1"/>
    </w:pPr>
    <w:rPr>
      <w:b/>
      <w:sz w:val="24"/>
    </w:rPr>
  </w:style>
  <w:style w:type="paragraph" w:styleId="Heading3">
    <w:name w:val="heading 3"/>
    <w:basedOn w:val="Normal"/>
    <w:link w:val="Heading3Char"/>
    <w:uiPriority w:val="9"/>
    <w:qFormat/>
    <w:rsid w:val="00556DCD"/>
    <w:pPr>
      <w:spacing w:before="100" w:beforeAutospacing="1" w:after="100" w:afterAutospacing="1"/>
      <w:jc w:val="left"/>
      <w:outlineLvl w:val="2"/>
    </w:pPr>
    <w:rPr>
      <w:rFonts w:ascii="Times New Roman" w:hAnsi="Times New Roman"/>
      <w:b/>
      <w:bCs/>
      <w:color w:val="777777"/>
      <w:sz w:val="26"/>
      <w:szCs w:val="26"/>
    </w:rPr>
  </w:style>
  <w:style w:type="paragraph" w:styleId="Heading4">
    <w:name w:val="heading 4"/>
    <w:basedOn w:val="Normal"/>
    <w:link w:val="Heading4Char"/>
    <w:uiPriority w:val="9"/>
    <w:qFormat/>
    <w:rsid w:val="00556DCD"/>
    <w:pPr>
      <w:spacing w:before="100" w:beforeAutospacing="1" w:after="100" w:afterAutospacing="1"/>
      <w:jc w:val="left"/>
      <w:outlineLvl w:val="3"/>
    </w:pPr>
    <w:rPr>
      <w:rFonts w:ascii="Times New Roman" w:hAnsi="Times New Roman"/>
      <w:b/>
      <w:bCs/>
      <w:color w:val="444444"/>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D02FE4"/>
    <w:rPr>
      <w:rFonts w:ascii="Verdana" w:hAnsi="Verdana"/>
      <w:b/>
      <w:sz w:val="24"/>
      <w:szCs w:val="24"/>
      <w:lang w:val="sl-SI" w:eastAsia="sl-SI" w:bidi="sl-SI"/>
    </w:rPr>
  </w:style>
  <w:style w:type="paragraph" w:styleId="FootnoteText">
    <w:name w:val="footnote text"/>
    <w:aliases w:val="Fußnote, Char"/>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
    <w:link w:val="FootnoteText"/>
    <w:rsid w:val="00D02FE4"/>
    <w:rPr>
      <w:rFonts w:ascii="Verdana" w:hAnsi="Verdana"/>
      <w:sz w:val="16"/>
      <w:szCs w:val="16"/>
      <w:lang w:val="sl-SI" w:eastAsia="sl-SI" w:bidi="sl-SI"/>
    </w:rPr>
  </w:style>
  <w:style w:type="character" w:styleId="FootnoteReference">
    <w:name w:val="footnote reference"/>
    <w:rsid w:val="00D02FE4"/>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1B5CC0"/>
    <w:pPr>
      <w:spacing w:before="0" w:after="0"/>
      <w:ind w:left="33"/>
    </w:pPr>
    <w:rPr>
      <w:rFonts w:ascii="Times New Roman" w:hAnsi="Times New Roman"/>
      <w:szCs w:val="17"/>
      <w:u w:val="single"/>
    </w:rPr>
  </w:style>
  <w:style w:type="character" w:customStyle="1" w:styleId="InstructionsTextChar">
    <w:name w:val="Instructions Text Char"/>
    <w:link w:val="InstructionsText"/>
    <w:locked/>
    <w:rsid w:val="001B5CC0"/>
    <w:rPr>
      <w:szCs w:val="17"/>
      <w:u w:val="single"/>
      <w:lang w:val="sl-SI" w:eastAsia="sl-SI" w:bidi="sl-SI"/>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paragraph" w:customStyle="1" w:styleId="InstructionsText2">
    <w:name w:val="Instructions Text 2"/>
    <w:basedOn w:val="InstructionsText"/>
    <w:qFormat/>
    <w:rsid w:val="00D02FE4"/>
    <w:pPr>
      <w:numPr>
        <w:numId w:val="3"/>
      </w:numPr>
      <w:spacing w:after="24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sl-SI" w:eastAsia="sl-SI" w:bidi="sl-SI"/>
    </w:rPr>
  </w:style>
  <w:style w:type="character" w:customStyle="1" w:styleId="FunoteChar">
    <w:name w:val="Fußnote Char"/>
    <w:aliases w:val=" Char Char Char"/>
    <w:semiHidden/>
    <w:rsid w:val="009D253B"/>
    <w:rPr>
      <w:rFonts w:ascii="Arial" w:hAnsi="Arial"/>
      <w:sz w:val="18"/>
      <w:lang w:val="sl-SI" w:eastAsia="sl-SI" w:bidi="sl-SI"/>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rPr>
  </w:style>
  <w:style w:type="character" w:customStyle="1" w:styleId="BulletsChar">
    <w:name w:val="Bullets Char"/>
    <w:link w:val="Bullets"/>
    <w:locked/>
    <w:rsid w:val="009D253B"/>
    <w:rPr>
      <w:rFonts w:ascii="Arial" w:eastAsia="MS Mincho" w:hAnsi="Arial"/>
      <w:sz w:val="22"/>
      <w:lang w:val="sl-SI" w:eastAsia="sl-SI" w:bidi="sl-SI"/>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link w:val="BalloonTextChar"/>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sl-SI" w:eastAsia="sl-SI"/>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sl-SI" w:eastAsia="sl-SI"/>
    </w:rPr>
  </w:style>
  <w:style w:type="paragraph" w:styleId="PlainText">
    <w:name w:val="Plain Text"/>
    <w:basedOn w:val="Normal"/>
    <w:link w:val="PlainTextChar"/>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rPr>
  </w:style>
  <w:style w:type="character" w:styleId="Hyperlink">
    <w:name w:val="Hyperlink"/>
    <w:basedOn w:val="DefaultParagraphFont"/>
    <w:uiPriority w:val="99"/>
    <w:unhideWhenUsed/>
    <w:rsid w:val="0035239A"/>
    <w:rPr>
      <w:color w:val="0000FF"/>
      <w:u w:val="single"/>
    </w:rPr>
  </w:style>
  <w:style w:type="table" w:styleId="TableGrid">
    <w:name w:val="Table Grid"/>
    <w:basedOn w:val="TableNormal"/>
    <w:rsid w:val="000C4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56DCD"/>
    <w:rPr>
      <w:b/>
      <w:bCs/>
      <w:color w:val="3E2E98"/>
      <w:kern w:val="36"/>
      <w:sz w:val="30"/>
      <w:szCs w:val="30"/>
    </w:rPr>
  </w:style>
  <w:style w:type="character" w:customStyle="1" w:styleId="Heading3Char">
    <w:name w:val="Heading 3 Char"/>
    <w:basedOn w:val="DefaultParagraphFont"/>
    <w:link w:val="Heading3"/>
    <w:uiPriority w:val="9"/>
    <w:rsid w:val="00556DCD"/>
    <w:rPr>
      <w:b/>
      <w:bCs/>
      <w:color w:val="777777"/>
      <w:sz w:val="26"/>
      <w:szCs w:val="26"/>
    </w:rPr>
  </w:style>
  <w:style w:type="character" w:customStyle="1" w:styleId="Heading4Char">
    <w:name w:val="Heading 4 Char"/>
    <w:basedOn w:val="DefaultParagraphFont"/>
    <w:link w:val="Heading4"/>
    <w:uiPriority w:val="9"/>
    <w:rsid w:val="00556DCD"/>
    <w:rPr>
      <w:b/>
      <w:bCs/>
      <w:color w:val="444444"/>
      <w:sz w:val="24"/>
      <w:szCs w:val="24"/>
    </w:rPr>
  </w:style>
  <w:style w:type="paragraph" w:customStyle="1" w:styleId="Numberedheadinglevel1">
    <w:name w:val="Numbered heading level 1"/>
    <w:basedOn w:val="Normal"/>
    <w:next w:val="Normal"/>
    <w:qFormat/>
    <w:rsid w:val="004E36B0"/>
    <w:pPr>
      <w:numPr>
        <w:numId w:val="16"/>
      </w:numPr>
      <w:tabs>
        <w:tab w:val="left" w:pos="0"/>
      </w:tabs>
      <w:spacing w:before="360" w:after="360"/>
      <w:ind w:left="714" w:hanging="357"/>
    </w:pPr>
    <w:rPr>
      <w:rFonts w:ascii="Arial" w:hAnsi="Arial"/>
      <w:color w:val="4F81BD" w:themeColor="accent1"/>
      <w:sz w:val="28"/>
      <w:szCs w:val="28"/>
    </w:rPr>
  </w:style>
  <w:style w:type="paragraph" w:customStyle="1" w:styleId="Numberedheadinglevel2">
    <w:name w:val="Numbered heading level 2"/>
    <w:basedOn w:val="Normal"/>
    <w:next w:val="Normal"/>
    <w:link w:val="Numberedheadinglevel2Char"/>
    <w:qFormat/>
    <w:rsid w:val="00A56552"/>
    <w:pPr>
      <w:numPr>
        <w:ilvl w:val="1"/>
        <w:numId w:val="16"/>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A56552"/>
    <w:pPr>
      <w:numPr>
        <w:ilvl w:val="2"/>
        <w:numId w:val="16"/>
      </w:numPr>
      <w:tabs>
        <w:tab w:val="left" w:pos="567"/>
      </w:tabs>
      <w:spacing w:before="240"/>
    </w:pPr>
    <w:rPr>
      <w:rFonts w:ascii="Arial" w:hAnsi="Arial"/>
      <w:color w:val="4F81BD" w:themeColor="accent1"/>
      <w:szCs w:val="20"/>
    </w:rPr>
  </w:style>
  <w:style w:type="character" w:styleId="FollowedHyperlink">
    <w:name w:val="FollowedHyperlink"/>
    <w:basedOn w:val="DefaultParagraphFont"/>
    <w:uiPriority w:val="99"/>
    <w:rsid w:val="00FB7E07"/>
    <w:rPr>
      <w:color w:val="800080" w:themeColor="followedHyperlink"/>
      <w:u w:val="single"/>
    </w:rPr>
  </w:style>
  <w:style w:type="paragraph" w:styleId="ListParagraph">
    <w:name w:val="List Paragraph"/>
    <w:basedOn w:val="Normal"/>
    <w:uiPriority w:val="34"/>
    <w:qFormat/>
    <w:rsid w:val="0094416B"/>
    <w:pPr>
      <w:ind w:left="720"/>
      <w:contextualSpacing/>
    </w:pPr>
  </w:style>
  <w:style w:type="paragraph" w:customStyle="1" w:styleId="DocTitle">
    <w:name w:val="Doc Title"/>
    <w:basedOn w:val="Normal"/>
    <w:qFormat/>
    <w:rsid w:val="00DC14B6"/>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DC14B6"/>
    <w:pPr>
      <w:keepNext w:val="0"/>
      <w:spacing w:before="120" w:after="0"/>
      <w:contextualSpacing/>
      <w:jc w:val="left"/>
    </w:pPr>
    <w:rPr>
      <w:rFonts w:ascii="Arial" w:hAnsi="Arial"/>
      <w:b w:val="0"/>
      <w:color w:val="4F81BD" w:themeColor="accent1"/>
      <w:szCs w:val="20"/>
    </w:rPr>
  </w:style>
  <w:style w:type="paragraph" w:styleId="Header">
    <w:name w:val="header"/>
    <w:basedOn w:val="Normal"/>
    <w:link w:val="HeaderChar"/>
    <w:uiPriority w:val="99"/>
    <w:rsid w:val="00DC14B6"/>
    <w:pPr>
      <w:tabs>
        <w:tab w:val="center" w:pos="4513"/>
        <w:tab w:val="right" w:pos="9026"/>
      </w:tabs>
      <w:spacing w:before="0" w:after="0"/>
    </w:pPr>
  </w:style>
  <w:style w:type="character" w:customStyle="1" w:styleId="HeaderChar">
    <w:name w:val="Header Char"/>
    <w:basedOn w:val="DefaultParagraphFont"/>
    <w:link w:val="Header"/>
    <w:uiPriority w:val="99"/>
    <w:rsid w:val="00DC14B6"/>
    <w:rPr>
      <w:rFonts w:ascii="Verdana" w:hAnsi="Verdana"/>
      <w:szCs w:val="24"/>
      <w:lang w:val="sl-SI" w:eastAsia="sl-SI"/>
    </w:rPr>
  </w:style>
  <w:style w:type="paragraph" w:styleId="Revision">
    <w:name w:val="Revision"/>
    <w:hidden/>
    <w:uiPriority w:val="99"/>
    <w:semiHidden/>
    <w:rsid w:val="007462FE"/>
    <w:rPr>
      <w:rFonts w:ascii="Verdana" w:hAnsi="Verdana"/>
      <w:szCs w:val="24"/>
    </w:rPr>
  </w:style>
  <w:style w:type="character" w:customStyle="1" w:styleId="FooterChar">
    <w:name w:val="Footer Char"/>
    <w:basedOn w:val="DefaultParagraphFont"/>
    <w:link w:val="Footer"/>
    <w:uiPriority w:val="99"/>
    <w:rsid w:val="00F04F6C"/>
    <w:rPr>
      <w:sz w:val="24"/>
      <w:szCs w:val="24"/>
      <w:lang w:val="sl-SI" w:eastAsia="sl-SI"/>
    </w:rPr>
  </w:style>
  <w:style w:type="character" w:customStyle="1" w:styleId="BalloonTextChar">
    <w:name w:val="Balloon Text Char"/>
    <w:link w:val="BalloonText"/>
    <w:semiHidden/>
    <w:rsid w:val="00167536"/>
    <w:rPr>
      <w:rFonts w:ascii="Tahoma" w:hAnsi="Tahoma" w:cs="Tahoma"/>
      <w:sz w:val="16"/>
      <w:szCs w:val="16"/>
      <w:lang w:val="sl-SI" w:eastAsia="sl-SI"/>
    </w:rPr>
  </w:style>
  <w:style w:type="character" w:customStyle="1" w:styleId="PlainTextChar">
    <w:name w:val="Plain Text Char"/>
    <w:link w:val="PlainText"/>
    <w:semiHidden/>
    <w:rsid w:val="00167536"/>
    <w:rPr>
      <w:rFonts w:ascii="Consolas" w:hAnsi="Consolas"/>
      <w:sz w:val="21"/>
      <w:szCs w:val="21"/>
      <w:lang w:val="sl-SI" w:eastAsia="sl-SI"/>
    </w:rPr>
  </w:style>
  <w:style w:type="character" w:customStyle="1" w:styleId="Marker">
    <w:name w:val="Marker"/>
    <w:rsid w:val="00167536"/>
    <w:rPr>
      <w:color w:val="0000FF"/>
      <w:shd w:val="clear" w:color="auto" w:fill="auto"/>
    </w:rPr>
  </w:style>
  <w:style w:type="paragraph" w:customStyle="1" w:styleId="Pagedecouverture">
    <w:name w:val="Page de couverture"/>
    <w:basedOn w:val="Normal"/>
    <w:next w:val="Normal"/>
    <w:rsid w:val="00167536"/>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167536"/>
    <w:pPr>
      <w:tabs>
        <w:tab w:val="center" w:pos="4535"/>
        <w:tab w:val="right" w:pos="9071"/>
        <w:tab w:val="right" w:pos="9921"/>
      </w:tabs>
      <w:spacing w:before="360" w:after="0"/>
      <w:ind w:left="-850" w:right="-850" w:hanging="567"/>
      <w:jc w:val="left"/>
    </w:pPr>
    <w:rPr>
      <w:rFonts w:ascii="Times New Roman" w:hAnsi="Times New Roman"/>
      <w:color w:val="4F81BD"/>
      <w:sz w:val="24"/>
    </w:rPr>
  </w:style>
  <w:style w:type="character" w:customStyle="1" w:styleId="Numberedheadinglevel2Char">
    <w:name w:val="Numbered heading level 2 Char"/>
    <w:link w:val="Numberedheadinglevel2"/>
    <w:rsid w:val="00167536"/>
    <w:rPr>
      <w:rFonts w:ascii="Arial" w:hAnsi="Arial"/>
      <w:color w:val="4F81BD" w:themeColor="accent1"/>
      <w:sz w:val="24"/>
      <w:szCs w:val="24"/>
      <w:lang w:val="sl-SI" w:eastAsia="sl-SI"/>
    </w:rPr>
  </w:style>
  <w:style w:type="character" w:customStyle="1" w:styleId="FooterCoverPageChar">
    <w:name w:val="Footer Cover Page Char"/>
    <w:link w:val="FooterCoverPage"/>
    <w:rsid w:val="00167536"/>
    <w:rPr>
      <w:color w:val="4F81BD"/>
      <w:sz w:val="24"/>
      <w:szCs w:val="24"/>
      <w:lang w:val="sl-SI" w:eastAsia="sl-SI"/>
    </w:rPr>
  </w:style>
  <w:style w:type="paragraph" w:customStyle="1" w:styleId="HeaderCoverPage">
    <w:name w:val="Header Cover Page"/>
    <w:basedOn w:val="Normal"/>
    <w:link w:val="HeaderCoverPageChar"/>
    <w:rsid w:val="00167536"/>
    <w:pPr>
      <w:tabs>
        <w:tab w:val="center" w:pos="4535"/>
        <w:tab w:val="right" w:pos="9071"/>
      </w:tabs>
      <w:spacing w:before="0"/>
      <w:ind w:hanging="567"/>
    </w:pPr>
    <w:rPr>
      <w:rFonts w:ascii="Times New Roman" w:hAnsi="Times New Roman"/>
      <w:color w:val="4F81BD"/>
      <w:sz w:val="24"/>
    </w:rPr>
  </w:style>
  <w:style w:type="character" w:customStyle="1" w:styleId="HeaderCoverPageChar">
    <w:name w:val="Header Cover Page Char"/>
    <w:link w:val="HeaderCoverPage"/>
    <w:rsid w:val="00167536"/>
    <w:rPr>
      <w:color w:val="4F81BD"/>
      <w:sz w:val="24"/>
      <w:szCs w:val="24"/>
      <w:lang w:val="sl-SI" w:eastAsia="sl-S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l-SI" w:eastAsia="sl-SI" w:bidi="sl-SI"/>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2FE4"/>
    <w:pPr>
      <w:spacing w:before="120" w:after="120"/>
      <w:jc w:val="both"/>
    </w:pPr>
    <w:rPr>
      <w:rFonts w:ascii="Verdana" w:hAnsi="Verdana"/>
      <w:szCs w:val="24"/>
    </w:rPr>
  </w:style>
  <w:style w:type="paragraph" w:styleId="Heading1">
    <w:name w:val="heading 1"/>
    <w:basedOn w:val="Normal"/>
    <w:link w:val="Heading1Char"/>
    <w:uiPriority w:val="9"/>
    <w:qFormat/>
    <w:rsid w:val="00556DCD"/>
    <w:pPr>
      <w:spacing w:before="100" w:beforeAutospacing="1" w:after="100" w:afterAutospacing="1"/>
      <w:jc w:val="left"/>
      <w:outlineLvl w:val="0"/>
    </w:pPr>
    <w:rPr>
      <w:rFonts w:ascii="Times New Roman" w:hAnsi="Times New Roman"/>
      <w:b/>
      <w:bCs/>
      <w:color w:val="3E2E98"/>
      <w:kern w:val="36"/>
      <w:sz w:val="30"/>
      <w:szCs w:val="30"/>
    </w:rPr>
  </w:style>
  <w:style w:type="paragraph" w:styleId="Heading2">
    <w:name w:val="heading 2"/>
    <w:basedOn w:val="Normal"/>
    <w:next w:val="Normal"/>
    <w:link w:val="Heading2Char"/>
    <w:autoRedefine/>
    <w:uiPriority w:val="9"/>
    <w:qFormat/>
    <w:rsid w:val="00D02FE4"/>
    <w:pPr>
      <w:keepNext/>
      <w:spacing w:before="240"/>
      <w:outlineLvl w:val="1"/>
    </w:pPr>
    <w:rPr>
      <w:b/>
      <w:sz w:val="24"/>
    </w:rPr>
  </w:style>
  <w:style w:type="paragraph" w:styleId="Heading3">
    <w:name w:val="heading 3"/>
    <w:basedOn w:val="Normal"/>
    <w:link w:val="Heading3Char"/>
    <w:uiPriority w:val="9"/>
    <w:qFormat/>
    <w:rsid w:val="00556DCD"/>
    <w:pPr>
      <w:spacing w:before="100" w:beforeAutospacing="1" w:after="100" w:afterAutospacing="1"/>
      <w:jc w:val="left"/>
      <w:outlineLvl w:val="2"/>
    </w:pPr>
    <w:rPr>
      <w:rFonts w:ascii="Times New Roman" w:hAnsi="Times New Roman"/>
      <w:b/>
      <w:bCs/>
      <w:color w:val="777777"/>
      <w:sz w:val="26"/>
      <w:szCs w:val="26"/>
    </w:rPr>
  </w:style>
  <w:style w:type="paragraph" w:styleId="Heading4">
    <w:name w:val="heading 4"/>
    <w:basedOn w:val="Normal"/>
    <w:link w:val="Heading4Char"/>
    <w:uiPriority w:val="9"/>
    <w:qFormat/>
    <w:rsid w:val="00556DCD"/>
    <w:pPr>
      <w:spacing w:before="100" w:beforeAutospacing="1" w:after="100" w:afterAutospacing="1"/>
      <w:jc w:val="left"/>
      <w:outlineLvl w:val="3"/>
    </w:pPr>
    <w:rPr>
      <w:rFonts w:ascii="Times New Roman" w:hAnsi="Times New Roman"/>
      <w:b/>
      <w:bCs/>
      <w:color w:val="444444"/>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D02FE4"/>
    <w:rPr>
      <w:rFonts w:ascii="Verdana" w:hAnsi="Verdana"/>
      <w:b/>
      <w:sz w:val="24"/>
      <w:szCs w:val="24"/>
      <w:lang w:val="sl-SI" w:eastAsia="sl-SI" w:bidi="sl-SI"/>
    </w:rPr>
  </w:style>
  <w:style w:type="paragraph" w:styleId="FootnoteText">
    <w:name w:val="footnote text"/>
    <w:aliases w:val="Fußnote, Char"/>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
    <w:link w:val="FootnoteText"/>
    <w:rsid w:val="00D02FE4"/>
    <w:rPr>
      <w:rFonts w:ascii="Verdana" w:hAnsi="Verdana"/>
      <w:sz w:val="16"/>
      <w:szCs w:val="16"/>
      <w:lang w:val="sl-SI" w:eastAsia="sl-SI" w:bidi="sl-SI"/>
    </w:rPr>
  </w:style>
  <w:style w:type="character" w:styleId="FootnoteReference">
    <w:name w:val="footnote reference"/>
    <w:rsid w:val="00D02FE4"/>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1B5CC0"/>
    <w:pPr>
      <w:spacing w:before="0" w:after="0"/>
      <w:ind w:left="33"/>
    </w:pPr>
    <w:rPr>
      <w:rFonts w:ascii="Times New Roman" w:hAnsi="Times New Roman"/>
      <w:szCs w:val="17"/>
      <w:u w:val="single"/>
    </w:rPr>
  </w:style>
  <w:style w:type="character" w:customStyle="1" w:styleId="InstructionsTextChar">
    <w:name w:val="Instructions Text Char"/>
    <w:link w:val="InstructionsText"/>
    <w:locked/>
    <w:rsid w:val="001B5CC0"/>
    <w:rPr>
      <w:szCs w:val="17"/>
      <w:u w:val="single"/>
      <w:lang w:val="sl-SI" w:eastAsia="sl-SI" w:bidi="sl-SI"/>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paragraph" w:customStyle="1" w:styleId="InstructionsText2">
    <w:name w:val="Instructions Text 2"/>
    <w:basedOn w:val="InstructionsText"/>
    <w:qFormat/>
    <w:rsid w:val="00D02FE4"/>
    <w:pPr>
      <w:numPr>
        <w:numId w:val="3"/>
      </w:numPr>
      <w:spacing w:after="24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sl-SI" w:eastAsia="sl-SI" w:bidi="sl-SI"/>
    </w:rPr>
  </w:style>
  <w:style w:type="character" w:customStyle="1" w:styleId="FunoteChar">
    <w:name w:val="Fußnote Char"/>
    <w:aliases w:val=" Char Char Char"/>
    <w:semiHidden/>
    <w:rsid w:val="009D253B"/>
    <w:rPr>
      <w:rFonts w:ascii="Arial" w:hAnsi="Arial"/>
      <w:sz w:val="18"/>
      <w:lang w:val="sl-SI" w:eastAsia="sl-SI" w:bidi="sl-SI"/>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rPr>
  </w:style>
  <w:style w:type="character" w:customStyle="1" w:styleId="BulletsChar">
    <w:name w:val="Bullets Char"/>
    <w:link w:val="Bullets"/>
    <w:locked/>
    <w:rsid w:val="009D253B"/>
    <w:rPr>
      <w:rFonts w:ascii="Arial" w:eastAsia="MS Mincho" w:hAnsi="Arial"/>
      <w:sz w:val="22"/>
      <w:lang w:val="sl-SI" w:eastAsia="sl-SI" w:bidi="sl-SI"/>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link w:val="BalloonTextChar"/>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sl-SI" w:eastAsia="sl-SI"/>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sl-SI" w:eastAsia="sl-SI"/>
    </w:rPr>
  </w:style>
  <w:style w:type="paragraph" w:styleId="PlainText">
    <w:name w:val="Plain Text"/>
    <w:basedOn w:val="Normal"/>
    <w:link w:val="PlainTextChar"/>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rPr>
  </w:style>
  <w:style w:type="character" w:styleId="Hyperlink">
    <w:name w:val="Hyperlink"/>
    <w:basedOn w:val="DefaultParagraphFont"/>
    <w:uiPriority w:val="99"/>
    <w:unhideWhenUsed/>
    <w:rsid w:val="0035239A"/>
    <w:rPr>
      <w:color w:val="0000FF"/>
      <w:u w:val="single"/>
    </w:rPr>
  </w:style>
  <w:style w:type="table" w:styleId="TableGrid">
    <w:name w:val="Table Grid"/>
    <w:basedOn w:val="TableNormal"/>
    <w:rsid w:val="000C4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56DCD"/>
    <w:rPr>
      <w:b/>
      <w:bCs/>
      <w:color w:val="3E2E98"/>
      <w:kern w:val="36"/>
      <w:sz w:val="30"/>
      <w:szCs w:val="30"/>
    </w:rPr>
  </w:style>
  <w:style w:type="character" w:customStyle="1" w:styleId="Heading3Char">
    <w:name w:val="Heading 3 Char"/>
    <w:basedOn w:val="DefaultParagraphFont"/>
    <w:link w:val="Heading3"/>
    <w:uiPriority w:val="9"/>
    <w:rsid w:val="00556DCD"/>
    <w:rPr>
      <w:b/>
      <w:bCs/>
      <w:color w:val="777777"/>
      <w:sz w:val="26"/>
      <w:szCs w:val="26"/>
    </w:rPr>
  </w:style>
  <w:style w:type="character" w:customStyle="1" w:styleId="Heading4Char">
    <w:name w:val="Heading 4 Char"/>
    <w:basedOn w:val="DefaultParagraphFont"/>
    <w:link w:val="Heading4"/>
    <w:uiPriority w:val="9"/>
    <w:rsid w:val="00556DCD"/>
    <w:rPr>
      <w:b/>
      <w:bCs/>
      <w:color w:val="444444"/>
      <w:sz w:val="24"/>
      <w:szCs w:val="24"/>
    </w:rPr>
  </w:style>
  <w:style w:type="paragraph" w:customStyle="1" w:styleId="Numberedheadinglevel1">
    <w:name w:val="Numbered heading level 1"/>
    <w:basedOn w:val="Normal"/>
    <w:next w:val="Normal"/>
    <w:qFormat/>
    <w:rsid w:val="004E36B0"/>
    <w:pPr>
      <w:numPr>
        <w:numId w:val="16"/>
      </w:numPr>
      <w:tabs>
        <w:tab w:val="left" w:pos="0"/>
      </w:tabs>
      <w:spacing w:before="360" w:after="360"/>
      <w:ind w:left="714" w:hanging="357"/>
    </w:pPr>
    <w:rPr>
      <w:rFonts w:ascii="Arial" w:hAnsi="Arial"/>
      <w:color w:val="4F81BD" w:themeColor="accent1"/>
      <w:sz w:val="28"/>
      <w:szCs w:val="28"/>
    </w:rPr>
  </w:style>
  <w:style w:type="paragraph" w:customStyle="1" w:styleId="Numberedheadinglevel2">
    <w:name w:val="Numbered heading level 2"/>
    <w:basedOn w:val="Normal"/>
    <w:next w:val="Normal"/>
    <w:link w:val="Numberedheadinglevel2Char"/>
    <w:qFormat/>
    <w:rsid w:val="00A56552"/>
    <w:pPr>
      <w:numPr>
        <w:ilvl w:val="1"/>
        <w:numId w:val="16"/>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A56552"/>
    <w:pPr>
      <w:numPr>
        <w:ilvl w:val="2"/>
        <w:numId w:val="16"/>
      </w:numPr>
      <w:tabs>
        <w:tab w:val="left" w:pos="567"/>
      </w:tabs>
      <w:spacing w:before="240"/>
    </w:pPr>
    <w:rPr>
      <w:rFonts w:ascii="Arial" w:hAnsi="Arial"/>
      <w:color w:val="4F81BD" w:themeColor="accent1"/>
      <w:szCs w:val="20"/>
    </w:rPr>
  </w:style>
  <w:style w:type="character" w:styleId="FollowedHyperlink">
    <w:name w:val="FollowedHyperlink"/>
    <w:basedOn w:val="DefaultParagraphFont"/>
    <w:uiPriority w:val="99"/>
    <w:rsid w:val="00FB7E07"/>
    <w:rPr>
      <w:color w:val="800080" w:themeColor="followedHyperlink"/>
      <w:u w:val="single"/>
    </w:rPr>
  </w:style>
  <w:style w:type="paragraph" w:styleId="ListParagraph">
    <w:name w:val="List Paragraph"/>
    <w:basedOn w:val="Normal"/>
    <w:uiPriority w:val="34"/>
    <w:qFormat/>
    <w:rsid w:val="0094416B"/>
    <w:pPr>
      <w:ind w:left="720"/>
      <w:contextualSpacing/>
    </w:pPr>
  </w:style>
  <w:style w:type="paragraph" w:customStyle="1" w:styleId="DocTitle">
    <w:name w:val="Doc Title"/>
    <w:basedOn w:val="Normal"/>
    <w:qFormat/>
    <w:rsid w:val="00DC14B6"/>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DC14B6"/>
    <w:pPr>
      <w:keepNext w:val="0"/>
      <w:spacing w:before="120" w:after="0"/>
      <w:contextualSpacing/>
      <w:jc w:val="left"/>
    </w:pPr>
    <w:rPr>
      <w:rFonts w:ascii="Arial" w:hAnsi="Arial"/>
      <w:b w:val="0"/>
      <w:color w:val="4F81BD" w:themeColor="accent1"/>
      <w:szCs w:val="20"/>
    </w:rPr>
  </w:style>
  <w:style w:type="paragraph" w:styleId="Header">
    <w:name w:val="header"/>
    <w:basedOn w:val="Normal"/>
    <w:link w:val="HeaderChar"/>
    <w:uiPriority w:val="99"/>
    <w:rsid w:val="00DC14B6"/>
    <w:pPr>
      <w:tabs>
        <w:tab w:val="center" w:pos="4513"/>
        <w:tab w:val="right" w:pos="9026"/>
      </w:tabs>
      <w:spacing w:before="0" w:after="0"/>
    </w:pPr>
  </w:style>
  <w:style w:type="character" w:customStyle="1" w:styleId="HeaderChar">
    <w:name w:val="Header Char"/>
    <w:basedOn w:val="DefaultParagraphFont"/>
    <w:link w:val="Header"/>
    <w:uiPriority w:val="99"/>
    <w:rsid w:val="00DC14B6"/>
    <w:rPr>
      <w:rFonts w:ascii="Verdana" w:hAnsi="Verdana"/>
      <w:szCs w:val="24"/>
      <w:lang w:val="sl-SI" w:eastAsia="sl-SI"/>
    </w:rPr>
  </w:style>
  <w:style w:type="paragraph" w:styleId="Revision">
    <w:name w:val="Revision"/>
    <w:hidden/>
    <w:uiPriority w:val="99"/>
    <w:semiHidden/>
    <w:rsid w:val="007462FE"/>
    <w:rPr>
      <w:rFonts w:ascii="Verdana" w:hAnsi="Verdana"/>
      <w:szCs w:val="24"/>
    </w:rPr>
  </w:style>
  <w:style w:type="character" w:customStyle="1" w:styleId="FooterChar">
    <w:name w:val="Footer Char"/>
    <w:basedOn w:val="DefaultParagraphFont"/>
    <w:link w:val="Footer"/>
    <w:uiPriority w:val="99"/>
    <w:rsid w:val="00F04F6C"/>
    <w:rPr>
      <w:sz w:val="24"/>
      <w:szCs w:val="24"/>
      <w:lang w:val="sl-SI" w:eastAsia="sl-SI"/>
    </w:rPr>
  </w:style>
  <w:style w:type="character" w:customStyle="1" w:styleId="BalloonTextChar">
    <w:name w:val="Balloon Text Char"/>
    <w:link w:val="BalloonText"/>
    <w:semiHidden/>
    <w:rsid w:val="00167536"/>
    <w:rPr>
      <w:rFonts w:ascii="Tahoma" w:hAnsi="Tahoma" w:cs="Tahoma"/>
      <w:sz w:val="16"/>
      <w:szCs w:val="16"/>
      <w:lang w:val="sl-SI" w:eastAsia="sl-SI"/>
    </w:rPr>
  </w:style>
  <w:style w:type="character" w:customStyle="1" w:styleId="PlainTextChar">
    <w:name w:val="Plain Text Char"/>
    <w:link w:val="PlainText"/>
    <w:semiHidden/>
    <w:rsid w:val="00167536"/>
    <w:rPr>
      <w:rFonts w:ascii="Consolas" w:hAnsi="Consolas"/>
      <w:sz w:val="21"/>
      <w:szCs w:val="21"/>
      <w:lang w:val="sl-SI" w:eastAsia="sl-SI"/>
    </w:rPr>
  </w:style>
  <w:style w:type="character" w:customStyle="1" w:styleId="Marker">
    <w:name w:val="Marker"/>
    <w:rsid w:val="00167536"/>
    <w:rPr>
      <w:color w:val="0000FF"/>
      <w:shd w:val="clear" w:color="auto" w:fill="auto"/>
    </w:rPr>
  </w:style>
  <w:style w:type="paragraph" w:customStyle="1" w:styleId="Pagedecouverture">
    <w:name w:val="Page de couverture"/>
    <w:basedOn w:val="Normal"/>
    <w:next w:val="Normal"/>
    <w:rsid w:val="00167536"/>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167536"/>
    <w:pPr>
      <w:tabs>
        <w:tab w:val="center" w:pos="4535"/>
        <w:tab w:val="right" w:pos="9071"/>
        <w:tab w:val="right" w:pos="9921"/>
      </w:tabs>
      <w:spacing w:before="360" w:after="0"/>
      <w:ind w:left="-850" w:right="-850" w:hanging="567"/>
      <w:jc w:val="left"/>
    </w:pPr>
    <w:rPr>
      <w:rFonts w:ascii="Times New Roman" w:hAnsi="Times New Roman"/>
      <w:color w:val="4F81BD"/>
      <w:sz w:val="24"/>
    </w:rPr>
  </w:style>
  <w:style w:type="character" w:customStyle="1" w:styleId="Numberedheadinglevel2Char">
    <w:name w:val="Numbered heading level 2 Char"/>
    <w:link w:val="Numberedheadinglevel2"/>
    <w:rsid w:val="00167536"/>
    <w:rPr>
      <w:rFonts w:ascii="Arial" w:hAnsi="Arial"/>
      <w:color w:val="4F81BD" w:themeColor="accent1"/>
      <w:sz w:val="24"/>
      <w:szCs w:val="24"/>
      <w:lang w:val="sl-SI" w:eastAsia="sl-SI"/>
    </w:rPr>
  </w:style>
  <w:style w:type="character" w:customStyle="1" w:styleId="FooterCoverPageChar">
    <w:name w:val="Footer Cover Page Char"/>
    <w:link w:val="FooterCoverPage"/>
    <w:rsid w:val="00167536"/>
    <w:rPr>
      <w:color w:val="4F81BD"/>
      <w:sz w:val="24"/>
      <w:szCs w:val="24"/>
      <w:lang w:val="sl-SI" w:eastAsia="sl-SI"/>
    </w:rPr>
  </w:style>
  <w:style w:type="paragraph" w:customStyle="1" w:styleId="HeaderCoverPage">
    <w:name w:val="Header Cover Page"/>
    <w:basedOn w:val="Normal"/>
    <w:link w:val="HeaderCoverPageChar"/>
    <w:rsid w:val="00167536"/>
    <w:pPr>
      <w:tabs>
        <w:tab w:val="center" w:pos="4535"/>
        <w:tab w:val="right" w:pos="9071"/>
      </w:tabs>
      <w:spacing w:before="0"/>
      <w:ind w:hanging="567"/>
    </w:pPr>
    <w:rPr>
      <w:rFonts w:ascii="Times New Roman" w:hAnsi="Times New Roman"/>
      <w:color w:val="4F81BD"/>
      <w:sz w:val="24"/>
    </w:rPr>
  </w:style>
  <w:style w:type="character" w:customStyle="1" w:styleId="HeaderCoverPageChar">
    <w:name w:val="Header Cover Page Char"/>
    <w:link w:val="HeaderCoverPage"/>
    <w:rsid w:val="00167536"/>
    <w:rPr>
      <w:color w:val="4F81BD"/>
      <w:sz w:val="24"/>
      <w:szCs w:val="24"/>
      <w:lang w:val="sl-SI"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8250482">
      <w:bodyDiv w:val="1"/>
      <w:marLeft w:val="0"/>
      <w:marRight w:val="0"/>
      <w:marTop w:val="0"/>
      <w:marBottom w:val="0"/>
      <w:divBdr>
        <w:top w:val="none" w:sz="0" w:space="0" w:color="auto"/>
        <w:left w:val="none" w:sz="0" w:space="0" w:color="auto"/>
        <w:bottom w:val="none" w:sz="0" w:space="0" w:color="auto"/>
        <w:right w:val="none" w:sz="0" w:space="0" w:color="auto"/>
      </w:divBdr>
      <w:divsChild>
        <w:div w:id="1974216560">
          <w:marLeft w:val="0"/>
          <w:marRight w:val="0"/>
          <w:marTop w:val="0"/>
          <w:marBottom w:val="0"/>
          <w:divBdr>
            <w:top w:val="none" w:sz="0" w:space="0" w:color="auto"/>
            <w:left w:val="none" w:sz="0" w:space="0" w:color="auto"/>
            <w:bottom w:val="none" w:sz="0" w:space="0" w:color="auto"/>
            <w:right w:val="none" w:sz="0" w:space="0" w:color="auto"/>
          </w:divBdr>
          <w:divsChild>
            <w:div w:id="758604029">
              <w:marLeft w:val="0"/>
              <w:marRight w:val="0"/>
              <w:marTop w:val="0"/>
              <w:marBottom w:val="0"/>
              <w:divBdr>
                <w:top w:val="none" w:sz="0" w:space="0" w:color="auto"/>
                <w:left w:val="none" w:sz="0" w:space="0" w:color="auto"/>
                <w:bottom w:val="none" w:sz="0" w:space="0" w:color="auto"/>
                <w:right w:val="none" w:sz="0" w:space="0" w:color="auto"/>
              </w:divBdr>
              <w:divsChild>
                <w:div w:id="2129467565">
                  <w:marLeft w:val="0"/>
                  <w:marRight w:val="0"/>
                  <w:marTop w:val="0"/>
                  <w:marBottom w:val="0"/>
                  <w:divBdr>
                    <w:top w:val="none" w:sz="0" w:space="0" w:color="auto"/>
                    <w:left w:val="none" w:sz="0" w:space="0" w:color="auto"/>
                    <w:bottom w:val="none" w:sz="0" w:space="0" w:color="auto"/>
                    <w:right w:val="none" w:sz="0" w:space="0" w:color="auto"/>
                  </w:divBdr>
                  <w:divsChild>
                    <w:div w:id="919944066">
                      <w:marLeft w:val="1"/>
                      <w:marRight w:val="1"/>
                      <w:marTop w:val="0"/>
                      <w:marBottom w:val="0"/>
                      <w:divBdr>
                        <w:top w:val="none" w:sz="0" w:space="0" w:color="auto"/>
                        <w:left w:val="none" w:sz="0" w:space="0" w:color="auto"/>
                        <w:bottom w:val="none" w:sz="0" w:space="0" w:color="auto"/>
                        <w:right w:val="none" w:sz="0" w:space="0" w:color="auto"/>
                      </w:divBdr>
                      <w:divsChild>
                        <w:div w:id="1175456607">
                          <w:marLeft w:val="0"/>
                          <w:marRight w:val="0"/>
                          <w:marTop w:val="0"/>
                          <w:marBottom w:val="0"/>
                          <w:divBdr>
                            <w:top w:val="none" w:sz="0" w:space="0" w:color="auto"/>
                            <w:left w:val="none" w:sz="0" w:space="0" w:color="auto"/>
                            <w:bottom w:val="none" w:sz="0" w:space="0" w:color="auto"/>
                            <w:right w:val="none" w:sz="0" w:space="0" w:color="auto"/>
                          </w:divBdr>
                          <w:divsChild>
                            <w:div w:id="1427724986">
                              <w:marLeft w:val="0"/>
                              <w:marRight w:val="0"/>
                              <w:marTop w:val="0"/>
                              <w:marBottom w:val="360"/>
                              <w:divBdr>
                                <w:top w:val="none" w:sz="0" w:space="0" w:color="auto"/>
                                <w:left w:val="none" w:sz="0" w:space="0" w:color="auto"/>
                                <w:bottom w:val="none" w:sz="0" w:space="0" w:color="auto"/>
                                <w:right w:val="none" w:sz="0" w:space="0" w:color="auto"/>
                              </w:divBdr>
                              <w:divsChild>
                                <w:div w:id="1621379700">
                                  <w:marLeft w:val="0"/>
                                  <w:marRight w:val="0"/>
                                  <w:marTop w:val="0"/>
                                  <w:marBottom w:val="0"/>
                                  <w:divBdr>
                                    <w:top w:val="none" w:sz="0" w:space="0" w:color="auto"/>
                                    <w:left w:val="none" w:sz="0" w:space="0" w:color="auto"/>
                                    <w:bottom w:val="none" w:sz="0" w:space="0" w:color="auto"/>
                                    <w:right w:val="none" w:sz="0" w:space="0" w:color="auto"/>
                                  </w:divBdr>
                                  <w:divsChild>
                                    <w:div w:id="1816800789">
                                      <w:marLeft w:val="0"/>
                                      <w:marRight w:val="0"/>
                                      <w:marTop w:val="0"/>
                                      <w:marBottom w:val="0"/>
                                      <w:divBdr>
                                        <w:top w:val="none" w:sz="0" w:space="0" w:color="auto"/>
                                        <w:left w:val="none" w:sz="0" w:space="0" w:color="auto"/>
                                        <w:bottom w:val="none" w:sz="0" w:space="0" w:color="auto"/>
                                        <w:right w:val="none" w:sz="0" w:space="0" w:color="auto"/>
                                      </w:divBdr>
                                      <w:divsChild>
                                        <w:div w:id="635599496">
                                          <w:marLeft w:val="0"/>
                                          <w:marRight w:val="0"/>
                                          <w:marTop w:val="0"/>
                                          <w:marBottom w:val="0"/>
                                          <w:divBdr>
                                            <w:top w:val="none" w:sz="0" w:space="0" w:color="auto"/>
                                            <w:left w:val="none" w:sz="0" w:space="0" w:color="auto"/>
                                            <w:bottom w:val="none" w:sz="0" w:space="0" w:color="auto"/>
                                            <w:right w:val="none" w:sz="0" w:space="0" w:color="auto"/>
                                          </w:divBdr>
                                          <w:divsChild>
                                            <w:div w:id="633565853">
                                              <w:marLeft w:val="0"/>
                                              <w:marRight w:val="0"/>
                                              <w:marTop w:val="0"/>
                                              <w:marBottom w:val="0"/>
                                              <w:divBdr>
                                                <w:top w:val="none" w:sz="0" w:space="0" w:color="auto"/>
                                                <w:left w:val="none" w:sz="0" w:space="0" w:color="auto"/>
                                                <w:bottom w:val="none" w:sz="0" w:space="0" w:color="auto"/>
                                                <w:right w:val="none" w:sz="0" w:space="0" w:color="auto"/>
                                              </w:divBdr>
                                              <w:divsChild>
                                                <w:div w:id="42171311">
                                                  <w:marLeft w:val="0"/>
                                                  <w:marRight w:val="0"/>
                                                  <w:marTop w:val="0"/>
                                                  <w:marBottom w:val="0"/>
                                                  <w:divBdr>
                                                    <w:top w:val="none" w:sz="0" w:space="0" w:color="auto"/>
                                                    <w:left w:val="none" w:sz="0" w:space="0" w:color="auto"/>
                                                    <w:bottom w:val="none" w:sz="0" w:space="0" w:color="auto"/>
                                                    <w:right w:val="none" w:sz="0" w:space="0" w:color="auto"/>
                                                  </w:divBdr>
                                                  <w:divsChild>
                                                    <w:div w:id="714935153">
                                                      <w:marLeft w:val="0"/>
                                                      <w:marRight w:val="0"/>
                                                      <w:marTop w:val="0"/>
                                                      <w:marBottom w:val="0"/>
                                                      <w:divBdr>
                                                        <w:top w:val="none" w:sz="0" w:space="0" w:color="auto"/>
                                                        <w:left w:val="none" w:sz="0" w:space="0" w:color="auto"/>
                                                        <w:bottom w:val="none" w:sz="0" w:space="0" w:color="auto"/>
                                                        <w:right w:val="none" w:sz="0" w:space="0" w:color="auto"/>
                                                      </w:divBdr>
                                                      <w:divsChild>
                                                        <w:div w:id="3286844">
                                                          <w:marLeft w:val="0"/>
                                                          <w:marRight w:val="0"/>
                                                          <w:marTop w:val="0"/>
                                                          <w:marBottom w:val="0"/>
                                                          <w:divBdr>
                                                            <w:top w:val="none" w:sz="0" w:space="0" w:color="auto"/>
                                                            <w:left w:val="none" w:sz="0" w:space="0" w:color="auto"/>
                                                            <w:bottom w:val="none" w:sz="0" w:space="0" w:color="auto"/>
                                                            <w:right w:val="none" w:sz="0" w:space="0" w:color="auto"/>
                                                          </w:divBdr>
                                                          <w:divsChild>
                                                            <w:div w:id="197447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5058328">
      <w:bodyDiv w:val="1"/>
      <w:marLeft w:val="0"/>
      <w:marRight w:val="0"/>
      <w:marTop w:val="0"/>
      <w:marBottom w:val="0"/>
      <w:divBdr>
        <w:top w:val="none" w:sz="0" w:space="0" w:color="auto"/>
        <w:left w:val="none" w:sz="0" w:space="0" w:color="auto"/>
        <w:bottom w:val="none" w:sz="0" w:space="0" w:color="auto"/>
        <w:right w:val="none" w:sz="0" w:space="0" w:color="auto"/>
      </w:divBdr>
    </w:div>
    <w:div w:id="1584290442">
      <w:bodyDiv w:val="1"/>
      <w:marLeft w:val="0"/>
      <w:marRight w:val="0"/>
      <w:marTop w:val="0"/>
      <w:marBottom w:val="0"/>
      <w:divBdr>
        <w:top w:val="none" w:sz="0" w:space="0" w:color="auto"/>
        <w:left w:val="none" w:sz="0" w:space="0" w:color="auto"/>
        <w:bottom w:val="none" w:sz="0" w:space="0" w:color="auto"/>
        <w:right w:val="none" w:sz="0" w:space="0" w:color="auto"/>
      </w:divBdr>
    </w:div>
    <w:div w:id="2089114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5820CEA-10B6-4AC8-A25D-71A41227A9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12</Pages>
  <Words>4745</Words>
  <Characters>26313</Characters>
  <Application>Microsoft Office Word</Application>
  <DocSecurity>0</DocSecurity>
  <Lines>219</Lines>
  <Paragraphs>61</Paragraphs>
  <ScaleCrop>false</ScaleCrop>
  <HeadingPairs>
    <vt:vector size="6" baseType="variant">
      <vt:variant>
        <vt:lpstr>Title</vt:lpstr>
      </vt:variant>
      <vt:variant>
        <vt:i4>1</vt:i4>
      </vt:variant>
      <vt:variant>
        <vt:lpstr>Titel</vt:lpstr>
      </vt:variant>
      <vt:variant>
        <vt:i4>1</vt:i4>
      </vt:variant>
      <vt:variant>
        <vt:lpstr>Název</vt:lpstr>
      </vt:variant>
      <vt:variant>
        <vt:i4>1</vt:i4>
      </vt:variant>
    </vt:vector>
  </HeadingPairs>
  <TitlesOfParts>
    <vt:vector size="3" baseType="lpstr">
      <vt:lpstr>PART II: TEMPLATE RELATED INSTRUCTIONS</vt:lpstr>
      <vt:lpstr>PART II: TEMPLATE RELATED INSTRUCTIONS</vt:lpstr>
      <vt:lpstr>PART II: TEMPLATE RELATED INSTRUCTIONS</vt:lpstr>
    </vt:vector>
  </TitlesOfParts>
  <Company>Financial Services Authority</Company>
  <LinksUpToDate>false</LinksUpToDate>
  <CharactersWithSpaces>30997</CharactersWithSpaces>
  <SharedDoc>false</SharedDoc>
  <HLinks>
    <vt:vector size="6" baseType="variant">
      <vt:variant>
        <vt:i4>6422655</vt:i4>
      </vt:variant>
      <vt:variant>
        <vt:i4>0</vt:i4>
      </vt:variant>
      <vt:variant>
        <vt:i4>0</vt:i4>
      </vt:variant>
      <vt:variant>
        <vt:i4>5</vt:i4>
      </vt:variant>
      <vt:variant>
        <vt:lpwstr>http://eur-lex.europa.eu/LexUriServ/LexUriServ.do?uri=COM:2011:0656:FIN:EN:PDF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II: TEMPLATE RELATED INSTRUCTIONS</dc:title>
  <dc:creator>gvanderkamp</dc:creator>
  <cp:lastModifiedBy>VOLAVSEK Andrej (DGT)</cp:lastModifiedBy>
  <cp:revision>15</cp:revision>
  <cp:lastPrinted>2014-06-12T08:34:00Z</cp:lastPrinted>
  <dcterms:created xsi:type="dcterms:W3CDTF">2018-02-06T16:20:00Z</dcterms:created>
  <dcterms:modified xsi:type="dcterms:W3CDTF">2018-09-03T10:02:00Z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