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SV</w:t>
      </w:r>
      <w:r>
        <w:rPr>
          <w:rFonts w:ascii="Times New Roman" w:hAnsi="Times New Roman"/>
          <w:b/>
          <w:sz w:val="24"/>
        </w:rPr>
        <w:br/>
        <w:t>BILAGA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”BILAGA XIX</w:t>
      </w:r>
    </w:p>
    <w:p w14:paraId="1796FE74" w14:textId="29CC78AB" w:rsidR="007F5684" w:rsidRPr="00F30436" w:rsidRDefault="007F5684" w:rsidP="00F30436">
      <w:pPr>
        <w:jc w:val="center"/>
        <w:rPr>
          <w:b/>
          <w:szCs w:val="20"/>
        </w:rPr>
      </w:pPr>
      <w:r>
        <w:rPr>
          <w:b/>
        </w:rPr>
        <w:t>INSTRUKTIONER FÖR ATT FYLLA I MALLEN FÖR DE YTTERLIGARE ÖVERVAKNINGSVERKTYGEN I BILAGA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Ytterligare övervakningsverktyg</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Allmänt </w:t>
      </w:r>
      <w:bookmarkEnd w:id="0"/>
      <w:bookmarkEnd w:id="1"/>
    </w:p>
    <w:p w14:paraId="28146638" w14:textId="3B48FC46" w:rsidR="00A344AA" w:rsidRDefault="004D4244" w:rsidP="008A3AEA">
      <w:pPr>
        <w:pStyle w:val="InstructionsText2"/>
        <w:numPr>
          <w:ilvl w:val="0"/>
          <w:numId w:val="4"/>
        </w:numPr>
        <w:rPr>
          <w:szCs w:val="20"/>
          <w:u w:val="none"/>
        </w:rPr>
      </w:pPr>
      <w:r>
        <w:rPr>
          <w:u w:val="none"/>
        </w:rPr>
        <w:t>För att göra det möjligt att övervaka instituts likviditetsrisker som inte omfattas av rapporterna om likviditetstäckning och stabil finansiering ska institut fylla i mallen i bilaga XVIII i enlighet med instruktionerna i den här bilagan.</w:t>
      </w:r>
    </w:p>
    <w:p w14:paraId="39998106" w14:textId="1169C0B2" w:rsidR="00A344AA" w:rsidRPr="007F5684" w:rsidRDefault="00A344AA" w:rsidP="004D4244">
      <w:pPr>
        <w:pStyle w:val="InstructionsText2"/>
        <w:numPr>
          <w:ilvl w:val="0"/>
          <w:numId w:val="4"/>
        </w:numPr>
        <w:rPr>
          <w:szCs w:val="20"/>
          <w:u w:val="none"/>
        </w:rPr>
      </w:pPr>
      <w:r>
        <w:rPr>
          <w:u w:val="none"/>
        </w:rPr>
        <w:t>Total finansiering omfattar alla finansiella skulder utom derivat och korta positioner.</w:t>
      </w:r>
    </w:p>
    <w:p w14:paraId="50F797C6" w14:textId="2BEA0B9F" w:rsidR="00A344AA" w:rsidRPr="005C26CD" w:rsidRDefault="00A344AA" w:rsidP="004D4244">
      <w:pPr>
        <w:pStyle w:val="InstructionsText2"/>
        <w:numPr>
          <w:ilvl w:val="0"/>
          <w:numId w:val="4"/>
        </w:numPr>
        <w:rPr>
          <w:szCs w:val="20"/>
          <w:u w:val="none"/>
        </w:rPr>
      </w:pPr>
      <w:r>
        <w:rPr>
          <w:u w:val="none"/>
        </w:rPr>
        <w:t xml:space="preserve">Finansiering med obestämd löptid, inklusive avistainlåning, ska betraktas som finansiering med löptid över natten. </w:t>
      </w:r>
    </w:p>
    <w:p w14:paraId="4586638B" w14:textId="7526809A" w:rsidR="00A344AA" w:rsidRPr="005C26CD" w:rsidRDefault="00A344AA" w:rsidP="004D4244">
      <w:pPr>
        <w:pStyle w:val="InstructionsText2"/>
        <w:numPr>
          <w:ilvl w:val="0"/>
          <w:numId w:val="4"/>
        </w:numPr>
        <w:rPr>
          <w:szCs w:val="20"/>
          <w:u w:val="none"/>
        </w:rPr>
      </w:pPr>
      <w:r>
        <w:rPr>
          <w:u w:val="none"/>
        </w:rPr>
        <w:t xml:space="preserve">Den ursprungliga löptiden ska utgöra tiden mellan upplåningens originering och förfallodag. Upplåningens förfallodag ska fastställas i enlighet med punkt 12 i bilaga XXIII. Det betyder att om det finns sådan optionalitet som avses i punkt 12 i bilaga XXIII kan den ursprungliga löptiden för en upplåningspost vara kortare än den tid som har förflutit sedan upplåningen originerades. </w:t>
      </w:r>
    </w:p>
    <w:p w14:paraId="4FA59274" w14:textId="20DE3BF0" w:rsidR="00A344AA" w:rsidRPr="004D4244" w:rsidRDefault="00A344AA" w:rsidP="004D4244">
      <w:pPr>
        <w:pStyle w:val="InstructionsText2"/>
        <w:numPr>
          <w:ilvl w:val="0"/>
          <w:numId w:val="4"/>
        </w:numPr>
        <w:rPr>
          <w:szCs w:val="20"/>
          <w:u w:val="none"/>
        </w:rPr>
      </w:pPr>
      <w:r>
        <w:rPr>
          <w:u w:val="none"/>
        </w:rPr>
        <w:t>Den återstående löptiden är tiden mellan rapporteringsperiodens utgång och upplåningens förfallodag. Upplåningens förfallodag ska fastställas i enlighet med punkt 12 i bilaga XXIII.</w:t>
      </w:r>
    </w:p>
    <w:p w14:paraId="1DF04682" w14:textId="0F5CD7EB" w:rsidR="007462FE" w:rsidRPr="004D4244" w:rsidRDefault="007462FE" w:rsidP="004D4244">
      <w:pPr>
        <w:pStyle w:val="InstructionsText2"/>
        <w:numPr>
          <w:ilvl w:val="0"/>
          <w:numId w:val="4"/>
        </w:numPr>
        <w:rPr>
          <w:szCs w:val="20"/>
          <w:u w:val="none"/>
        </w:rPr>
      </w:pPr>
      <w:r>
        <w:rPr>
          <w:u w:val="none"/>
        </w:rPr>
        <w:t>Vid beräkning av ursprunglig eller återstående viktad genomsnittlig löptid ska inlåning med löptid över natten anses ha en dags löptid.</w:t>
      </w:r>
    </w:p>
    <w:p w14:paraId="25CD9EF4" w14:textId="173EC59C" w:rsidR="007462FE" w:rsidRPr="005C26CD" w:rsidRDefault="007462FE" w:rsidP="004D4244">
      <w:pPr>
        <w:pStyle w:val="InstructionsText2"/>
        <w:numPr>
          <w:ilvl w:val="0"/>
          <w:numId w:val="4"/>
        </w:numPr>
        <w:rPr>
          <w:szCs w:val="20"/>
          <w:u w:val="none"/>
        </w:rPr>
      </w:pPr>
      <w:r>
        <w:rPr>
          <w:u w:val="none"/>
        </w:rPr>
        <w:t>Beräkningen av ursprunglig och återstående löptid ska, om det handlar om upplåning med en uppsägningstid för båda parter eller klausul om förtida uttag för institutets motpart, utgå från uttag vid tidigast möjliga datum.</w:t>
      </w:r>
    </w:p>
    <w:p w14:paraId="2B81E2EC" w14:textId="77D4003A" w:rsidR="00A344AA" w:rsidRPr="005C26CD" w:rsidRDefault="00A344AA" w:rsidP="004D4244">
      <w:pPr>
        <w:pStyle w:val="InstructionsText2"/>
        <w:numPr>
          <w:ilvl w:val="0"/>
          <w:numId w:val="4"/>
        </w:numPr>
        <w:rPr>
          <w:szCs w:val="20"/>
          <w:u w:val="none"/>
        </w:rPr>
      </w:pPr>
      <w:r>
        <w:rPr>
          <w:u w:val="none"/>
        </w:rPr>
        <w:t>För skulder med obegränsad löptid ska, utom om det finns sådan optionalitet som avses i punkt 12 i bilaga XXIII, det antas en ursprunglig och återstående löptid på 20 år.</w:t>
      </w:r>
    </w:p>
    <w:p w14:paraId="30EB5133" w14:textId="46DCEFBD" w:rsidR="00A344AA" w:rsidRDefault="00A344AA" w:rsidP="004D4244">
      <w:pPr>
        <w:pStyle w:val="InstructionsText2"/>
        <w:numPr>
          <w:ilvl w:val="0"/>
          <w:numId w:val="4"/>
        </w:numPr>
        <w:rPr>
          <w:szCs w:val="20"/>
          <w:u w:val="none"/>
        </w:rPr>
      </w:pPr>
      <w:r>
        <w:rPr>
          <w:u w:val="none"/>
        </w:rPr>
        <w:t>För att beräkna tröskelvärdet enligt rapporteringsmallarna C 67.00 och C 68.00 fördelat på väsentlig valuta ska institut använda ett tröskelvärde på 1 % av de totala skulderna i alla valutor.</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av finansiering per motpart (C 67.00)</w:t>
      </w:r>
    </w:p>
    <w:p w14:paraId="322C1A75" w14:textId="525ED095" w:rsidR="00A344AA" w:rsidRPr="007F5684" w:rsidRDefault="00490B62" w:rsidP="00432D9F">
      <w:pPr>
        <w:pStyle w:val="InstructionsText2"/>
        <w:numPr>
          <w:ilvl w:val="0"/>
          <w:numId w:val="6"/>
        </w:numPr>
        <w:rPr>
          <w:szCs w:val="20"/>
          <w:u w:val="none"/>
        </w:rPr>
      </w:pPr>
      <w:r>
        <w:rPr>
          <w:u w:val="none"/>
        </w:rPr>
        <w:t>För att göra det möjligt att samla in information om koncentrationen i de rapporterande institutens finansiering, fördelat på motpart, i mall C 67.00 ska instituten följa instruktionerna i detta avsnitt.</w:t>
      </w:r>
    </w:p>
    <w:p w14:paraId="52091F90" w14:textId="16D35E11" w:rsidR="00A344AA" w:rsidRPr="00422131" w:rsidRDefault="00A344AA" w:rsidP="00E067B1">
      <w:pPr>
        <w:pStyle w:val="InstructionsText2"/>
        <w:numPr>
          <w:ilvl w:val="0"/>
          <w:numId w:val="6"/>
        </w:numPr>
        <w:rPr>
          <w:szCs w:val="20"/>
          <w:u w:val="none"/>
        </w:rPr>
      </w:pPr>
      <w:r>
        <w:rPr>
          <w:u w:val="none"/>
        </w:rPr>
        <w:t xml:space="preserve">Institut ska rapportera de tio största motparterna eller en grupp av kunder med inbördes anknytning enligt artikel 4.39 i förordning (EU) nr 575/2013, om finansieringen från varje motpart eller grupp av grupper med inbördes anknytning överstiger ett tröskelvärde på 1 % av de totala skulderna i delposterna i avsnitt 1 av mallen. Den motpart som rapporteras i post 1.01 ska vara den som svarar för det största finansieringsbelopp som på rapporteringsdatumet mottagits från en motpart eller grupp av kunder med inbördes anknytning över tröskelvärdet </w:t>
      </w:r>
      <w:r>
        <w:rPr>
          <w:u w:val="none"/>
        </w:rPr>
        <w:lastRenderedPageBreak/>
        <w:t>på 1 %. Post 1.02 ska vara den näst största över tröskelvärdet på 1 % osv. för återstående poster.</w:t>
      </w:r>
    </w:p>
    <w:p w14:paraId="430CAED4" w14:textId="505B6732" w:rsidR="00A344AA" w:rsidRPr="00422131" w:rsidRDefault="00A344AA" w:rsidP="00490B62">
      <w:pPr>
        <w:pStyle w:val="InstructionsText2"/>
        <w:numPr>
          <w:ilvl w:val="0"/>
          <w:numId w:val="6"/>
        </w:numPr>
        <w:rPr>
          <w:szCs w:val="20"/>
          <w:u w:val="none"/>
        </w:rPr>
      </w:pPr>
      <w:r>
        <w:rPr>
          <w:u w:val="none"/>
        </w:rPr>
        <w:t xml:space="preserve">Om en motpart tillhör flera grupper av kunder med inbördes anknytning ska den bara rapporteras en gång i den grupp som svarar för det största finansieringsbeloppet. </w:t>
      </w:r>
    </w:p>
    <w:p w14:paraId="589BDAD9" w14:textId="67079620" w:rsidR="00A344AA" w:rsidRPr="00422131" w:rsidRDefault="00A344AA" w:rsidP="00490B62">
      <w:pPr>
        <w:pStyle w:val="InstructionsText2"/>
        <w:numPr>
          <w:ilvl w:val="0"/>
          <w:numId w:val="6"/>
        </w:numPr>
        <w:rPr>
          <w:szCs w:val="20"/>
          <w:u w:val="none"/>
        </w:rPr>
      </w:pPr>
      <w:r>
        <w:rPr>
          <w:u w:val="none"/>
        </w:rPr>
        <w:t>Institut ska rapportera summan av all återstående finansiering i avsnitt 2.</w:t>
      </w:r>
    </w:p>
    <w:p w14:paraId="6E279CE2" w14:textId="29172BB5" w:rsidR="00A344AA" w:rsidRPr="00422131" w:rsidRDefault="00A344AA" w:rsidP="00490B62">
      <w:pPr>
        <w:pStyle w:val="InstructionsText2"/>
        <w:numPr>
          <w:ilvl w:val="0"/>
          <w:numId w:val="6"/>
        </w:numPr>
        <w:rPr>
          <w:szCs w:val="20"/>
          <w:u w:val="none"/>
        </w:rPr>
      </w:pPr>
      <w:r>
        <w:rPr>
          <w:u w:val="none"/>
        </w:rPr>
        <w:t>Summorna i avsnitt 1 och 2 ska motsvara ett instituts totala skulder enligt balansräkningen i det tillämpliga regelverket för finansiell rapportering (Finrep).</w:t>
      </w:r>
    </w:p>
    <w:p w14:paraId="00BA7315" w14:textId="71355B4D" w:rsidR="00A344AA" w:rsidRPr="007F5684" w:rsidRDefault="00A344AA" w:rsidP="00AF270F">
      <w:pPr>
        <w:pStyle w:val="InstructionsText2"/>
        <w:numPr>
          <w:ilvl w:val="0"/>
          <w:numId w:val="6"/>
        </w:numPr>
        <w:rPr>
          <w:szCs w:val="20"/>
          <w:u w:val="none"/>
        </w:rPr>
      </w:pPr>
      <w:r>
        <w:rPr>
          <w:u w:val="none"/>
        </w:rPr>
        <w:t>För varje motpart ska instituten rapportera alla kolumnerna 010–080.</w:t>
      </w:r>
    </w:p>
    <w:p w14:paraId="3425ECF0" w14:textId="65ED6564" w:rsidR="00A344AA" w:rsidRPr="0005060D" w:rsidRDefault="00A344AA" w:rsidP="00B90134">
      <w:pPr>
        <w:pStyle w:val="InstructionsText2"/>
        <w:numPr>
          <w:ilvl w:val="0"/>
          <w:numId w:val="6"/>
        </w:numPr>
        <w:rPr>
          <w:szCs w:val="20"/>
          <w:u w:val="none"/>
        </w:rPr>
      </w:pPr>
      <w:r>
        <w:rPr>
          <w:u w:val="none"/>
        </w:rPr>
        <w:t>Om finansiering har erhållits genom fler än en produkttyp ska den rapporterade produkten vara den där den största delen av finansieringen erhölls. Identifiering av innehavare av värdepapper får ske enligt bästa förmåga. Om institutet har uppgifter om värdepappersinnehavaren i egenskap av depåbank ska det beakta detta belopp vid rapporteringen av motpartskoncentration. Om det inte finns tillgängliga uppgifter om värdepappersinnehavaren behöver motsvarande belopp inte rapporteras.</w:t>
      </w:r>
    </w:p>
    <w:p w14:paraId="2DFF75CD" w14:textId="77777777" w:rsidR="00A344AA" w:rsidRPr="007F5684" w:rsidRDefault="00A344AA" w:rsidP="009032C6">
      <w:pPr>
        <w:pStyle w:val="InstructionsText2"/>
        <w:numPr>
          <w:ilvl w:val="0"/>
          <w:numId w:val="6"/>
        </w:numPr>
        <w:rPr>
          <w:szCs w:val="20"/>
          <w:u w:val="none"/>
        </w:rPr>
      </w:pPr>
      <w:r>
        <w:rPr>
          <w:u w:val="none"/>
        </w:rPr>
        <w:t>Instruktioner för särskilda kolumner: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Kolumn</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Rättsliga hänvisningar och instruktioner</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Motpartens namn</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Namnen på alla motparter som har bidragit med minst 1 % av den totala finansieringen ska anges i kolumn 010 i fallande ordning, dvs. efter finansieringens omfattning.</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Motpartens namn ska rapporteras både för juridiska personer och fysiska personer. Om motparten är en juridisk person ska motpartens namn vara det fullständiga namnet på den juridiska person som finansieringen kommer ifrån, inbegripet eventuella hänvisningar till företagsform i enlighet med nationell bolagsrätt.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LEI-kod</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Motpartens LEI-kod (identifieringskod för juridiska personer).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Motpartssektor</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En sektor ska hänföras till varje motpart på grundval av näringsgrensklasserna i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Centralbanker. (ii) Offentlig sektor. (iii) Kreditinstitut. (iv) Övriga finansiella företag. (v) Icke-finansiella företag. (vi) Hushåll.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För grupper av kunder med inbördes anknytning ska ingen sektor rapporteras.</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Motpartens hemvist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Alfa-2-landskoden enligt ISO 3166-1 för det land där motparten är registrerad ska anges, inklusive pseudo-ISO-koder för internationella organisationer, som finns i den senaste utgåvan av Eurostats anvisningar för uppgifter om betalningsbalansen (Balance of Payments Vademecum).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Inget land ska anges för grupper av kunder med inbördes anknytning.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Produkttyp</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De motparter som rapporteras i kolumn 010 ska åsättas produkttyper som motsvarar den produkt som finansieringen erhölls genom eller genom vilken den största delen av finansieringen erhölls när det gäller blandade produkttyper, med hjälp av följande koder (med fetstil):</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(kapitalmarknadsfinansiering utan säkerhet från finansiella kunder inklusive interbanklån)</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(kapitalmarknadsfinansiering utan säkerhet från icke-finansiella kunder)</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(finansiering genom återköpsavtal enligt definitionen i artikel 4.1.82 i förordning (EU nr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(finansiering genom emission av säkerställda obligationer enligt definitionen i artikel 129.4 eller 129.5 i förordning (EU) nr 575/2013 eller artikel 52.4 i direktiv 2009/65/EG)</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(finansiering genom emission av tillgångssäkrade värdepapper inklusive tillgångsbaserade certifikat)</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(finansiering från motparter inom samma företagsgrupp)</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(annan kapitalmarknadsfinansiering mot säkerhet)</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(andra finansieringsprodukter, t.ex. inlåning från allmänheten)</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Erhållet belopp</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Den totala finansiering från motparter som rapporteras i kolumn 010 ska anges i kolumn 060 och instituten ska där rapportera bokförda belopp.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Viktad genomsnittlig ursprunglig löptid</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En viktad genomsnittlig ursprunglig löptid (i dagar) för den finansiering som rapporteras i kolumn 060 från motparten i kolumn 010 ska anges i kolumn 070.</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Den viktade genomsnittliga ursprungliga löptiden ska beräknas som den genomsnittliga ursprungliga löptiden (i dagar) för finansieringen från den motparten. Genomsnittet ska vara storleksvägt, baserat på storleken på de olika finansieringsbelopp som erhållits i proportion till den totala finansiering som erhållits från den motparten.</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Viktad genomsnittlig återstående löptid</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En viktad genomsnittlig återstående löptid (i dagar) för den finansiering som rapporteras i kolumn 060 från motparten i kolumn 010 ska anges i kolumn 080.</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Den viktade genomsnittliga återstående löptiden ska beräknas som den genomsnittliga löptiden (i dagar) för finansieringen från den motparten. Genomsnittet ska vara storleksvägt, baserat på storleken på de olika finansieringsbelopp som erhållits i proportion till den totala finansiering som erhållits från den motparten.</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Koncentration av finansiering per produkttyp (C 68.00)</w:t>
      </w:r>
    </w:p>
    <w:p w14:paraId="5B6DFC15" w14:textId="095CCDBC" w:rsidR="00A344AA" w:rsidRDefault="00A344AA" w:rsidP="00DE2988">
      <w:pPr>
        <w:pStyle w:val="InstructionsText2"/>
        <w:numPr>
          <w:ilvl w:val="0"/>
          <w:numId w:val="13"/>
        </w:numPr>
        <w:rPr>
          <w:szCs w:val="20"/>
          <w:u w:val="none"/>
        </w:rPr>
      </w:pPr>
      <w:r>
        <w:rPr>
          <w:u w:val="none"/>
        </w:rPr>
        <w:t>Den här mallen används för insamling av uppgifter om det rapporterande institutets koncentration av finansiering per produkttyp, fördelat på de typer av finansiering som anges i följande instruktioner om olika rader: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Rad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Rättsliga hänvisningar och instruktioner</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Inlåning från allmänheten</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Inlåning från allmänheten enligt definitionen i artikel 3.8 i delegerad förordning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varav avistainlåning</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Den del av inlåning från allmänheten i rad 010 som utgör avistainlåning.</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varav tidsbunden inlåning utan möjlighet till uttag inom de närmaste 30 dagarna</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Den del av inlåning från allmänheten i rad 010 som utgör tidsbunden inlåning utan möjlighet till uttag inom de närmast 30 dagarna</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varav tidsbunden inlåning med möjlighet till uttag inom de närmaste 30 dagarna</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Den del av inlåning från allmänheten i rad 010 som utgör tidsbunden inlåning med möjlighet till uttag inom de närmast 30 dagarna</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varav sparkonton med något av följande kännetecken:</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Den del av inlåning från allmänheten i rad 010 som utgör sparkonton med något av följande kännetecken:</w:t>
            </w:r>
          </w:p>
          <w:p w14:paraId="7001BAD2" w14:textId="2A97E8F3" w:rsidR="003439C5" w:rsidRDefault="00F40FD4" w:rsidP="00E87A50">
            <w:pPr>
              <w:spacing w:before="0" w:after="0"/>
              <w:rPr>
                <w:rFonts w:ascii="Times New Roman" w:hAnsi="Times New Roman"/>
                <w:szCs w:val="20"/>
              </w:rPr>
            </w:pPr>
            <w:r>
              <w:rPr>
                <w:rFonts w:ascii="Times New Roman" w:hAnsi="Times New Roman"/>
              </w:rPr>
              <w:t>– uttag måste meddelas mer än 30 dagar i förväg</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uttag måste inte meddelas mer än 30 dagar i förväg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Denna rad ska inte rapporteras.</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uttag måste meddelas mer än 30 dagar i förväg</w:t>
            </w:r>
          </w:p>
          <w:p w14:paraId="2CB5668A" w14:textId="468A8913" w:rsidR="00F40FD4" w:rsidRDefault="00F40FD4" w:rsidP="00F40FD4">
            <w:pPr>
              <w:spacing w:before="0" w:after="0"/>
              <w:rPr>
                <w:rFonts w:ascii="Times New Roman" w:hAnsi="Times New Roman"/>
                <w:szCs w:val="20"/>
              </w:rPr>
            </w:pPr>
            <w:r>
              <w:rPr>
                <w:rFonts w:ascii="Times New Roman" w:hAnsi="Times New Roman"/>
              </w:rPr>
              <w:t>Den del av inlåning från allmänheten i rad 010 som utgör sparkonton där uttag måste meddelas mer än 30 dagar i förväg</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uttag måste inte meddelas mer än 30 dagar i förväg</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Den del av inlåning från allmänheten i rad 010 som utgör sparkonton där uttag inte måste meddelas mer än 30 dagar i förväg</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Kapitalmarknadsfinansiering ska anses bestå av något av följande:</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Alla motparter utom motparter i inlåning från allmänheten enligt definitionen i artikel 3.8 i delegerad förordning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Denna rad ska inte rapporteras.</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Kapitalmarknadsfinansiering utan säkerhet</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Alla motparter utom motparter i inlåning från allmänheten enligt definitionen i artikel 3.8 i delegerad förordning 2015/61 om det handlar om finansiering utan säkerhet.</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varav ut- och inlåning från finansiella kunder</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Den del av finansieringen i rad 110 som utgör ut- och inlåning från finansiella kunder.</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Finansiering från centralbanker ska inte ingå i denna rad.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varav ut- och inlåning från icke-finansiella kunder</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Den del av finansieringen i rad 110 som utgör ut- och inlåning från icke-finansiella kunder.</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Finansiering från centralbanker ska inte ingå i denna rad.</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varav ut- och inlåning från enheter inom samma företagsgrupp</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Den del av finansieringen i rad 110 som utgör ut- och inlåning från företag inom samma företagsgrupp.</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Kapitalmarknadsfinansiering från företag inom samma företagsgrupp ska bara rapporteras på individuell nivå eller undergruppsnivå.</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Kapitalmarknadsfinansiering mot säkerhet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Alla motparter utom motparter i inlåning från allmänheten enligt definitionen i artikel 3.8 i delegerad förordning 2015/61 om det handlar om finansiering mot säkerhet.</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varav transaktioner för värdepappersfinansiering</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Den del av finansieringen i rad 150 som utgör finansiering genom återköpsavtal enligt definitionen i artikel 4.1.82 i förordning (EU nr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varav emissioner av säkerställda obligationer</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Den del av finansieringen i rad 150 som utgör finansiering genom emissioner av säkerställda obligationer enligt definitionen i artikel 129.4 eller 129.5 i förordning (EU) nr 575/2013 eller artikel 52.4 i direktiv 2009/65/EG</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varav emissioner av tillgångssäkrade värdepapper</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Den del av finansieringen i rad 150 som utgör finansiering genom emissioner av tillgångssäkrade värdepapper, inklusive tillgångsbaserade certifikat</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varav ut- och inlåning från enheter inom samma företagsgrupp</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Den del av finansieringen i rad 150 som utgör finansiering från företag inom samma företagsgrupp.</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Kapitalmarknadsfinansiering från företag inom samma företagsgrupp ska bara rapporteras på individuell nivå eller undergruppsnivå.</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I den här mallen ska instituten rapportera den totala finansieringen i varje produkttypsom överstiger 1 % av de totala skulderna. </w:t>
      </w:r>
    </w:p>
    <w:p w14:paraId="4C97EC73" w14:textId="5A096FC4" w:rsidR="00A344AA" w:rsidRPr="007F5684" w:rsidRDefault="00A344AA" w:rsidP="00476C32">
      <w:pPr>
        <w:pStyle w:val="InstructionsText2"/>
        <w:numPr>
          <w:ilvl w:val="0"/>
          <w:numId w:val="13"/>
        </w:numPr>
        <w:rPr>
          <w:szCs w:val="20"/>
          <w:u w:val="none"/>
        </w:rPr>
      </w:pPr>
      <w:r>
        <w:rPr>
          <w:u w:val="none"/>
        </w:rPr>
        <w:t>För varje produkttyp ska instituten rapportera alla kolumnerna 010–080.</w:t>
      </w:r>
    </w:p>
    <w:p w14:paraId="2BCBF128" w14:textId="4AA518CD" w:rsidR="00EF0ADB" w:rsidRDefault="00A344AA" w:rsidP="00EB2AD3">
      <w:pPr>
        <w:pStyle w:val="InstructionsText2"/>
        <w:numPr>
          <w:ilvl w:val="0"/>
          <w:numId w:val="13"/>
        </w:numPr>
        <w:rPr>
          <w:szCs w:val="20"/>
          <w:u w:val="none"/>
        </w:rPr>
      </w:pPr>
      <w:r>
        <w:rPr>
          <w:u w:val="none"/>
        </w:rPr>
        <w:t>Tröskelvärdet på 1 % av de totala skulderna ska användas för att fastställa produkttyper från vilka finansiering har erhållits enligt följande:</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Tröskelvärdet på 1 % av de totala skulderna ska tillämpas på de produkttyper som avses i samtliga följande rader: 1.1 ”Avistainlåning”, 1.2 ”Tidsbunden inlåning utan möjlighet till </w:t>
      </w:r>
      <w:r>
        <w:rPr>
          <w:u w:val="none"/>
        </w:rPr>
        <w:lastRenderedPageBreak/>
        <w:t xml:space="preserve">uttag inom de närmaste 30 dagarna”, 1.3 ”Tidsbunden inlåning med möjlighet till uttag inom de närmaste 30 dagarna”, 1.4 ”Sparkonton”,  2.1 ”Kapitalmarknadsfinansiering utan säkerhet”, 2.2 ”Kapitalmarknadsfinansiering mot säkerhet”. </w:t>
      </w:r>
    </w:p>
    <w:p w14:paraId="7CD07C23" w14:textId="3CF106E1" w:rsidR="00EF0ADB" w:rsidRDefault="00EF0ADB" w:rsidP="00684947">
      <w:pPr>
        <w:pStyle w:val="InstructionsText2"/>
        <w:numPr>
          <w:ilvl w:val="0"/>
          <w:numId w:val="0"/>
        </w:numPr>
        <w:ind w:left="714"/>
        <w:rPr>
          <w:szCs w:val="20"/>
          <w:u w:val="none"/>
        </w:rPr>
      </w:pPr>
      <w:r>
        <w:rPr>
          <w:u w:val="none"/>
        </w:rPr>
        <w:t>(b) När det gäller beräkningen av tröskelvärdet på 1 % av de totala skulderna för rad 1.4 ”Sparkonton” ska tröskelvärdet tillämpas på summan av 1.4.1 och 1.4.2.</w:t>
      </w:r>
    </w:p>
    <w:p w14:paraId="636F886A" w14:textId="2E150A7D" w:rsidR="00AE0498" w:rsidRDefault="00AE0498" w:rsidP="00684947">
      <w:pPr>
        <w:pStyle w:val="InstructionsText2"/>
        <w:numPr>
          <w:ilvl w:val="0"/>
          <w:numId w:val="0"/>
        </w:numPr>
        <w:ind w:left="714"/>
        <w:rPr>
          <w:szCs w:val="20"/>
          <w:u w:val="none"/>
        </w:rPr>
      </w:pPr>
      <w:r>
        <w:rPr>
          <w:u w:val="none"/>
        </w:rPr>
        <w:t>(c) För raderna 1. ”Inlåning från allmänheten” och 2. ”Kapitalmarknadsfinansiering” ska tröskelvärdet på 1 % av de totala skulderna bara tillämpas på aggregerad nivå.</w:t>
      </w:r>
    </w:p>
    <w:p w14:paraId="2935E76B" w14:textId="65226D7D" w:rsidR="00792E65" w:rsidRDefault="00792E65" w:rsidP="00DE2988">
      <w:pPr>
        <w:pStyle w:val="InstructionsText2"/>
        <w:numPr>
          <w:ilvl w:val="0"/>
          <w:numId w:val="13"/>
        </w:numPr>
        <w:rPr>
          <w:szCs w:val="20"/>
          <w:u w:val="none"/>
        </w:rPr>
      </w:pPr>
      <w:r>
        <w:rPr>
          <w:u w:val="none"/>
        </w:rPr>
        <w:t xml:space="preserve">Siffrorna som rapporteras i raderna 1. ”Inlåning från allmänheten”, 2.1 ”Kapitalmarknadsfinansiering utan säkerhet”, 2.2 ”Kapitalmarknadsfinansiering mot säkerhet” kan inkludera mer övergripande produkttyper än ”varav”-posterna.  </w:t>
      </w:r>
    </w:p>
    <w:p w14:paraId="2FED639D" w14:textId="77777777" w:rsidR="00A344AA" w:rsidRPr="007F5684" w:rsidRDefault="00A344AA" w:rsidP="00DE2988">
      <w:pPr>
        <w:pStyle w:val="InstructionsText2"/>
        <w:numPr>
          <w:ilvl w:val="0"/>
          <w:numId w:val="13"/>
        </w:numPr>
        <w:rPr>
          <w:szCs w:val="20"/>
          <w:u w:val="none"/>
        </w:rPr>
      </w:pPr>
      <w:r>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Rättsliga hänvisningar och instruktioner</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Erhållet belopp</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Det bokförda finansieringsbelopp som erhållits för var och en av de produktkategorier som anges i kolumnen ”Produktnamn” ska rapporteras i kolumn 010 i mallen.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Belopp som omfattas av ett insättningsgarantisystem enligt direktiv 2014/49/EU eller av ett likvärdigt insättningsgarantisystem i ett tredjeland</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Det belopp av det totala finansieringsbeloppet för var och en av de produktkategorier som anges i kolumnen ”Produktnamn” som rapporteras i kolumn 010 som omfattas av ett insättningsgarantisystem enligt direktiv 2014/49/EU eller av ett likvärdigt insättningsgarantisystem i ett tredjeland.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Märk: De belopp som rapporteras i kolumnerna 020 och 030 för var och en av de produktkategorier som anges i kolumnen "Produktnamn" ska vara lika med det totala erhållna belopp som rapporteras i kolumn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Belopp som inte omfattas av ett insättningsgarantisystem enligt direktiv 2014/49/EU eller ett likvärdigt insättningsgarantisystem i ett tredjeland</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Det belopp av det totala finansieringsbeloppet för var och en av de produktkategorier som anges i kolumnen "Produktnamn" som rapporteras i kolumn 010 som </w:t>
            </w:r>
            <w:r>
              <w:rPr>
                <w:rFonts w:ascii="Times New Roman" w:hAnsi="Times New Roman"/>
                <w:u w:val="single"/>
              </w:rPr>
              <w:t>inte</w:t>
            </w:r>
            <w:r>
              <w:rPr>
                <w:rFonts w:ascii="Times New Roman" w:hAnsi="Times New Roman"/>
              </w:rPr>
              <w:t xml:space="preserve"> omfattas av ett insättningsgarantisystem enligt direktiv 2014/49/EG eller av ett likvärdigt insättningsgarantisystem i ett tredjeland.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Märk: De belopp som rapporteras i kolumnerna 020 och 030 för var och en av de produktkategorier som anges i kolumnen "Produktnamn" ska vara lika med det totala erhållna belopp som rapporteras i kolumn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Viktad genomsnittlig ursprunglig löptid</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En viktad genomsnittlig ursprunglig löptid (i dagar) för den finansiering som rapporteras i kolumn 010 från de produktkategorier som anges i kolumnen ”Produktnamn” ska anges i kolumn 040.</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Den viktade genomsnittliga ursprungliga löptiden ska beräknas som den genomsnittliga ursprungliga löptiden (i dagar) för finansieringen för den produkttypen. Genomsnittet ska vara storleksviktat, baserat på storleken på de olika finansieringsbelopp som erhållits i proportion till den totala finansiering som erhållits från alla emissioner av den produkttypen.</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Viktad genomsnittlig återstående löptid</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En viktad genomsnittlig återstående löptid (i dagar) för den finansiering som rapporteras i kolumn 010 från de produktkategorier som anges i kolumnen ”Produktnamn” ska anges i kolumn 050.</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Den viktade genomsnittliga återstående löptiden ska beräknas som den genomsnittliga löptiden (i dagar) för finansieringen för den produkttypen. Genomsnittet ska vara storleksviktat, baserat på storleken på de olika finansieringsbelopp som erhållits i proportion till den totala finansiering som erhållits från alla emissioner av den produkttypen.</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Priser för olika finansieringstider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Institut ska rapportera informationen i mall C 69.00 om transaktionsvolym och priser som de betalat för finansiering under rapporteringsperioden som kvarstår efter rapporteringsperioden slut i följande ursprungliga löptider: </w:t>
      </w:r>
    </w:p>
    <w:p w14:paraId="43E76F50" w14:textId="57D72AF1" w:rsidR="0019013A" w:rsidRPr="007F5684" w:rsidRDefault="00C13077" w:rsidP="00DE2988">
      <w:pPr>
        <w:pStyle w:val="InstructionsText2"/>
        <w:numPr>
          <w:ilvl w:val="1"/>
          <w:numId w:val="13"/>
        </w:numPr>
        <w:ind w:left="993" w:hanging="284"/>
        <w:rPr>
          <w:szCs w:val="20"/>
          <w:u w:val="none"/>
        </w:rPr>
      </w:pPr>
      <w:r w:rsidRPr="005849D5">
        <w:rPr>
          <w:u w:val="none"/>
        </w:rPr>
        <w:tab/>
      </w:r>
      <w:r>
        <w:rPr>
          <w:u w:val="none"/>
        </w:rPr>
        <w:t>1 dag i kolumnerna 010 och 020.</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rsidRPr="005849D5">
        <w:rPr>
          <w:u w:val="none"/>
        </w:rPr>
        <w:tab/>
      </w:r>
      <w:r>
        <w:rPr>
          <w:u w:val="none"/>
        </w:rPr>
        <w:t>mer än 1 dag och mindre eller lika med 1 vecka (kolumnerna 030 and 040).</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rsidRPr="005849D5">
        <w:rPr>
          <w:u w:val="none"/>
        </w:rPr>
        <w:tab/>
      </w:r>
      <w:r>
        <w:rPr>
          <w:u w:val="none"/>
        </w:rPr>
        <w:t>mer än 1 vecka och mindre eller lika med 1 månad (kolumnerna 050 and 060).</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rsidRPr="005849D5">
        <w:rPr>
          <w:u w:val="none"/>
        </w:rPr>
        <w:tab/>
      </w:r>
      <w:r>
        <w:rPr>
          <w:u w:val="none"/>
        </w:rPr>
        <w:t>mer än 1 månad och mindre eller lika med 3 månader (kolumnerna 070 and 080).</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rsidRPr="005849D5">
        <w:rPr>
          <w:u w:val="none"/>
        </w:rPr>
        <w:tab/>
      </w:r>
      <w:r>
        <w:rPr>
          <w:u w:val="none"/>
        </w:rPr>
        <w:t>mer än 3 månader och mindre eller lika med 6 månader (kolumnerna 090 and 100).</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rsidRPr="005849D5">
        <w:rPr>
          <w:u w:val="none"/>
        </w:rPr>
        <w:tab/>
      </w:r>
      <w:r>
        <w:rPr>
          <w:u w:val="none"/>
        </w:rPr>
        <w:t>mer än 6 månader och mindre eller lika med 1 år (kolumnerna 110 and 120).</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rsidRPr="005849D5">
        <w:rPr>
          <w:u w:val="none"/>
        </w:rPr>
        <w:tab/>
      </w:r>
      <w:r>
        <w:rPr>
          <w:u w:val="none"/>
        </w:rPr>
        <w:t>mer än 1 år och mindre eller lika med 2 år (kolumnerna 130 and 140).</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rsidRPr="005849D5">
        <w:rPr>
          <w:u w:val="none"/>
        </w:rPr>
        <w:tab/>
      </w:r>
      <w:r>
        <w:rPr>
          <w:u w:val="none"/>
        </w:rPr>
        <w:t>mer än 2 år och mindre eller lika med 5 år (kolumnerna 150 and 160).</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rsidRPr="005849D5">
        <w:rPr>
          <w:u w:val="none"/>
        </w:rPr>
        <w:tab/>
      </w:r>
      <w:r>
        <w:rPr>
          <w:u w:val="none"/>
        </w:rPr>
        <w:t>mer än 5 år och mindre eller lika med 10 år (kolumnerna 170 and 180).</w:t>
      </w:r>
      <w:bookmarkStart w:id="2" w:name="_GoBack"/>
      <w:bookmarkEnd w:id="2"/>
    </w:p>
    <w:p w14:paraId="5F28959E" w14:textId="1A5C591C" w:rsidR="0019013A" w:rsidRPr="007F5684" w:rsidRDefault="0019013A" w:rsidP="00DE2988">
      <w:pPr>
        <w:pStyle w:val="InstructionsText2"/>
        <w:numPr>
          <w:ilvl w:val="0"/>
          <w:numId w:val="20"/>
        </w:numPr>
        <w:rPr>
          <w:szCs w:val="20"/>
          <w:u w:val="none"/>
        </w:rPr>
      </w:pPr>
      <w:r>
        <w:rPr>
          <w:u w:val="none"/>
        </w:rPr>
        <w:t>Vid fastställandet av den erhållna finansieringens löptider ska instituten bortse ifrån perioden mellan affärsdag och likviddag, det vill säga att en tremånadersskuld som ska regleras om två veckor ska rapporteras som en skuld med tre månaders löptid (kolumnerna 070 och 080).</w:t>
      </w:r>
    </w:p>
    <w:p w14:paraId="3300B61A" w14:textId="77777777" w:rsidR="00A211F3" w:rsidRPr="007F5684" w:rsidRDefault="002C154A" w:rsidP="00DE2988">
      <w:pPr>
        <w:pStyle w:val="InstructionsText2"/>
        <w:numPr>
          <w:ilvl w:val="0"/>
          <w:numId w:val="20"/>
        </w:numPr>
        <w:rPr>
          <w:szCs w:val="20"/>
          <w:u w:val="none"/>
        </w:rPr>
      </w:pPr>
      <w:r>
        <w:rPr>
          <w:u w:val="none"/>
        </w:rPr>
        <w:t>Den spread som rapporteras i den vänstra kolumnen för varje tidsintervall ska vara antingen</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den spread som institutet skulle betala för skulder med kortare löptid än ett år om det hade övergått till jämförelseindexet för dagslån för valutan i fråga senast vid stängning på transaktionsdagen, </w:t>
      </w:r>
    </w:p>
    <w:p w14:paraId="44F3338B" w14:textId="4D0D0648" w:rsidR="0050708F" w:rsidRDefault="0050708F" w:rsidP="00DE2988">
      <w:pPr>
        <w:pStyle w:val="InstructionsText2"/>
        <w:numPr>
          <w:ilvl w:val="1"/>
          <w:numId w:val="20"/>
        </w:numPr>
        <w:ind w:left="993" w:hanging="284"/>
        <w:rPr>
          <w:szCs w:val="20"/>
          <w:u w:val="none"/>
        </w:rPr>
      </w:pPr>
      <w:r>
        <w:rPr>
          <w:u w:val="none"/>
        </w:rPr>
        <w:t>den spread som företaget skulle betala vid emitteringen för skulder med längre ursprunglig löptid än ett år om det hade övergått till relevant jämförelseindex för valutan i fråga vilket är tremånaders Euribor för EUR eller Libor för GBP och USD, senast vid stängning på transaktionsdagen.</w:t>
      </w:r>
    </w:p>
    <w:p w14:paraId="0C9A9801" w14:textId="3ADD5BDC" w:rsidR="006661EC" w:rsidRPr="007F5684" w:rsidRDefault="006661EC" w:rsidP="00723CCD">
      <w:pPr>
        <w:pStyle w:val="InstructionsText2"/>
        <w:numPr>
          <w:ilvl w:val="0"/>
          <w:numId w:val="0"/>
        </w:numPr>
        <w:ind w:left="993"/>
        <w:rPr>
          <w:szCs w:val="20"/>
          <w:u w:val="none"/>
        </w:rPr>
      </w:pPr>
      <w:r>
        <w:rPr>
          <w:u w:val="none"/>
        </w:rPr>
        <w:t>Institutet får, endast för att beräkna spreaden i led a och b ovan fastställa den ursprungliga löptiden på grundval av de historiska erfarenheterna med eller utan hänsyn till valmöjligheter, beroende på vad som är tillämpligt.</w:t>
      </w:r>
    </w:p>
    <w:p w14:paraId="5EBCC42F" w14:textId="0D3FAA90" w:rsidR="00A211F3" w:rsidRPr="007F5684" w:rsidRDefault="0019013A" w:rsidP="009406E9">
      <w:pPr>
        <w:pStyle w:val="InstructionsText2"/>
        <w:numPr>
          <w:ilvl w:val="0"/>
          <w:numId w:val="20"/>
        </w:numPr>
        <w:rPr>
          <w:szCs w:val="20"/>
          <w:u w:val="none"/>
        </w:rPr>
      </w:pPr>
      <w:r>
        <w:rPr>
          <w:u w:val="none"/>
        </w:rPr>
        <w:lastRenderedPageBreak/>
        <w:t xml:space="preserve">Spreadar ska rapporteras i punkter med ett negativt tecken om den nya finansieringen är billigare än enligt relevant referensränta. De ska beräknas på viktad genomsnittsbasis. </w:t>
      </w:r>
    </w:p>
    <w:p w14:paraId="0ABF1B64" w14:textId="5E7F2177" w:rsidR="0050708F" w:rsidRPr="00144FB8" w:rsidRDefault="0050708F" w:rsidP="00144FB8">
      <w:pPr>
        <w:pStyle w:val="InstructionsText2"/>
        <w:numPr>
          <w:ilvl w:val="0"/>
          <w:numId w:val="20"/>
        </w:numPr>
        <w:rPr>
          <w:szCs w:val="20"/>
          <w:u w:val="none"/>
        </w:rPr>
      </w:pPr>
      <w:r>
        <w:rPr>
          <w:u w:val="none"/>
        </w:rPr>
        <w:t>Vid beräkningen av genomsnittlig spread att betala för flera emissioner/inlåning/utlåning ska instituten beräkna den totala kostnaden i emissionsvalutan utan hänsyn till eventuella valutaswappar, men ta med eventuella över- eller underkurser och avgifter som ska betalas eller erhållas, så att löptiden för en teoretisk eller faktisk ränteswapp motsvarar skuldens löptid. Spreaden ska vara skuldräntan minus swappräntan.</w:t>
      </w:r>
    </w:p>
    <w:p w14:paraId="608A7669" w14:textId="7761DC23" w:rsidR="00DD5897" w:rsidRDefault="0019013A" w:rsidP="00DE2988">
      <w:pPr>
        <w:pStyle w:val="InstructionsText2"/>
        <w:numPr>
          <w:ilvl w:val="0"/>
          <w:numId w:val="20"/>
        </w:numPr>
        <w:rPr>
          <w:szCs w:val="20"/>
          <w:u w:val="none"/>
        </w:rPr>
      </w:pPr>
      <w:r>
        <w:rPr>
          <w:u w:val="none"/>
        </w:rPr>
        <w:t xml:space="preserve">Den erhållna finansieringen för de finansieringskategorier som anges i kolumnen ”Post” ska rapporteras i kolumnen ”Volym” för tillämpligt tidsintervall. </w:t>
      </w:r>
    </w:p>
    <w:p w14:paraId="3AED84FE" w14:textId="0FDF0268" w:rsidR="004B3AC2" w:rsidRDefault="004B3AC2" w:rsidP="00DE2988">
      <w:pPr>
        <w:pStyle w:val="InstructionsText2"/>
        <w:numPr>
          <w:ilvl w:val="0"/>
          <w:numId w:val="20"/>
        </w:numPr>
        <w:rPr>
          <w:szCs w:val="20"/>
          <w:u w:val="none"/>
        </w:rPr>
      </w:pPr>
      <w:r>
        <w:rPr>
          <w:u w:val="none"/>
        </w:rPr>
        <w:t>I kolumnen ”Volym” ska institut ange det bokförda beloppet av den nya finansiering som har erhållits i lämpligt tidsintervall utifrån den ursprungliga löptiden.</w:t>
      </w:r>
    </w:p>
    <w:p w14:paraId="4513DEDD" w14:textId="4B15A911" w:rsidR="004B3AC2" w:rsidRDefault="00144FB8" w:rsidP="00DE2988">
      <w:pPr>
        <w:pStyle w:val="InstructionsText2"/>
        <w:numPr>
          <w:ilvl w:val="0"/>
          <w:numId w:val="20"/>
        </w:numPr>
        <w:rPr>
          <w:szCs w:val="20"/>
          <w:u w:val="none"/>
        </w:rPr>
      </w:pPr>
      <w:r>
        <w:rPr>
          <w:u w:val="none"/>
        </w:rPr>
        <w:t xml:space="preserve">I likhet med alla poster, även för åtaganden utanför balansräkningen, ska institut bara rapportera de berörda belopp som återspeglas i balansräkningen. Ett åtagande utanför balansräkningen gentemot institutet ska bara rapporteras i C 69.00 när det har utnyttjats. I samband med utnyttjande ska den volym och spread som ska rapporteras vara det utnyttjade beloppet och gällande spread i slutet av rapporteringsperioden. Om institutet inte kan välja att förlänga utnyttjandet ska den faktiska löptiden för utnyttjandet rapporteras. Om institutet redan har utnyttjat faciliteten i slutet av föregående rapporteringsperiod och det därefter ökar utnyttjandet av faciliteten ska bara det ytterligare belopp som har utnyttjats rapporteras. </w:t>
      </w:r>
    </w:p>
    <w:p w14:paraId="26598EEA" w14:textId="77777777" w:rsidR="00473407" w:rsidRDefault="00473407" w:rsidP="00DE2988">
      <w:pPr>
        <w:pStyle w:val="InstructionsText2"/>
        <w:numPr>
          <w:ilvl w:val="0"/>
          <w:numId w:val="20"/>
        </w:numPr>
        <w:rPr>
          <w:szCs w:val="20"/>
          <w:u w:val="none"/>
        </w:rPr>
      </w:pPr>
      <w:r>
        <w:rPr>
          <w:u w:val="none"/>
        </w:rPr>
        <w:t>Inlåning från allmänheten ska utgöra inlåning enligt definitionen i artikel 3.8 i delegerad förordning 2015/61.</w:t>
      </w:r>
    </w:p>
    <w:p w14:paraId="54CC7D8D" w14:textId="5C6E191B" w:rsidR="00B96CA8" w:rsidRPr="00473407" w:rsidRDefault="00287BD7" w:rsidP="00DE2988">
      <w:pPr>
        <w:pStyle w:val="InstructionsText2"/>
        <w:numPr>
          <w:ilvl w:val="0"/>
          <w:numId w:val="20"/>
        </w:numPr>
        <w:rPr>
          <w:szCs w:val="20"/>
          <w:u w:val="none"/>
        </w:rPr>
      </w:pPr>
      <w:r>
        <w:rPr>
          <w:u w:val="none"/>
        </w:rPr>
        <w:t>För finansiering som har förlängts under rapporteringsperioden och ännu är utestående vid rapporteringsperiodens slut ska genomsnittet av spreadar vid denna tidpunkt (dvs. vid rapporteringsperiodens slut) rapporteras. När det gäller C 69.00 ska finansiering som har förlängts och finns kvar vid rapporteringsperiodens slut betraktas som ny finansiering.</w:t>
      </w:r>
    </w:p>
    <w:p w14:paraId="43F95C32" w14:textId="05666D10" w:rsidR="00BB3757" w:rsidRDefault="00CD20D9" w:rsidP="00DE2988">
      <w:pPr>
        <w:pStyle w:val="InstructionsText2"/>
        <w:numPr>
          <w:ilvl w:val="0"/>
          <w:numId w:val="20"/>
        </w:numPr>
        <w:rPr>
          <w:szCs w:val="20"/>
          <w:u w:val="none"/>
        </w:rPr>
      </w:pPr>
      <w:r>
        <w:rPr>
          <w:u w:val="none"/>
        </w:rPr>
        <w:t xml:space="preserve">Till skillnad från resten av avsnitt 1.4 ska volym och spread avseende avistainlåning bara rapporteras om insättaren inte hade avistainlåning under föregående rapproteringsperiod eller inlåningsbeloppet har ökat jämfört med föregående referensdatum, i vilket fall ökningen ska behandlas som ny finansiering. Med spread avses spreaden vid rapporteringsperiodens slut. </w:t>
      </w:r>
    </w:p>
    <w:p w14:paraId="10927EEB" w14:textId="776A1E6F" w:rsidR="00270986" w:rsidRPr="007F5684" w:rsidRDefault="00270986" w:rsidP="00DE2988">
      <w:pPr>
        <w:pStyle w:val="InstructionsText2"/>
        <w:numPr>
          <w:ilvl w:val="0"/>
          <w:numId w:val="20"/>
        </w:numPr>
        <w:rPr>
          <w:szCs w:val="20"/>
          <w:u w:val="none"/>
        </w:rPr>
      </w:pPr>
      <w:r>
        <w:rPr>
          <w:u w:val="none"/>
        </w:rPr>
        <w:t>Om det inte finns något att rapportera, ska celler som avser spreadar lämnas tomma.</w:t>
      </w:r>
    </w:p>
    <w:p w14:paraId="5F1BCA9F" w14:textId="77777777" w:rsidR="002C154A" w:rsidRPr="007F5684" w:rsidRDefault="002C154A" w:rsidP="00DE2988">
      <w:pPr>
        <w:pStyle w:val="InstructionsText2"/>
        <w:numPr>
          <w:ilvl w:val="0"/>
          <w:numId w:val="20"/>
        </w:numPr>
        <w:rPr>
          <w:szCs w:val="20"/>
          <w:u w:val="none"/>
        </w:rPr>
      </w:pPr>
      <w:r>
        <w:rPr>
          <w:u w:val="none"/>
        </w:rPr>
        <w:t>Instruktioner för särskilda 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Rad</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Rättsliga hänvisningar och instruktioner</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Total finansiering</w:t>
            </w:r>
          </w:p>
          <w:p w14:paraId="25D6D292" w14:textId="5B9BFF82" w:rsidR="002C154A" w:rsidRPr="007F5684" w:rsidRDefault="00E42487" w:rsidP="008E1558">
            <w:pPr>
              <w:rPr>
                <w:rFonts w:ascii="Times New Roman" w:hAnsi="Times New Roman"/>
                <w:szCs w:val="20"/>
              </w:rPr>
            </w:pPr>
            <w:r>
              <w:rPr>
                <w:rFonts w:ascii="Times New Roman" w:hAnsi="Times New Roman"/>
              </w:rPr>
              <w:t>Total volym och viktad genomsnittlig spread för all erhållen finansiering med följande löptider:</w:t>
            </w:r>
          </w:p>
          <w:p w14:paraId="3D5903C1" w14:textId="2E3AE74B" w:rsidR="007778A0" w:rsidRPr="007F5684" w:rsidRDefault="00CD20D9" w:rsidP="00763448">
            <w:pPr>
              <w:pStyle w:val="InstructionsText2"/>
              <w:numPr>
                <w:ilvl w:val="1"/>
                <w:numId w:val="12"/>
              </w:numPr>
              <w:rPr>
                <w:szCs w:val="20"/>
                <w:u w:val="none"/>
              </w:rPr>
            </w:pPr>
            <w:r>
              <w:rPr>
                <w:u w:val="none"/>
              </w:rPr>
              <w:t>1 dag i kolumnerna 010 och 020.</w:t>
            </w:r>
          </w:p>
          <w:p w14:paraId="1AF1DF5A" w14:textId="2735E0FA" w:rsidR="007778A0" w:rsidRPr="007F5684" w:rsidRDefault="00CD20D9" w:rsidP="00490B62">
            <w:pPr>
              <w:pStyle w:val="InstructionsText2"/>
              <w:numPr>
                <w:ilvl w:val="1"/>
                <w:numId w:val="12"/>
              </w:numPr>
              <w:rPr>
                <w:szCs w:val="20"/>
                <w:u w:val="none"/>
              </w:rPr>
            </w:pPr>
            <w:r>
              <w:rPr>
                <w:u w:val="none"/>
              </w:rPr>
              <w:t>mer än 1 dag och mindre eller lika med 1 vecka (kolumnerna 030 and 040).</w:t>
            </w:r>
          </w:p>
          <w:p w14:paraId="4C124A2C" w14:textId="2261E76F" w:rsidR="007778A0" w:rsidRPr="007F5684" w:rsidRDefault="00CD20D9" w:rsidP="00490B62">
            <w:pPr>
              <w:pStyle w:val="InstructionsText2"/>
              <w:numPr>
                <w:ilvl w:val="1"/>
                <w:numId w:val="12"/>
              </w:numPr>
              <w:rPr>
                <w:szCs w:val="20"/>
                <w:u w:val="none"/>
              </w:rPr>
            </w:pPr>
            <w:r>
              <w:rPr>
                <w:u w:val="none"/>
              </w:rPr>
              <w:t>mer än 1 vecka och mindre eller lika med 1 månad (kolumnerna 050 and 060).</w:t>
            </w:r>
          </w:p>
          <w:p w14:paraId="74B468F3" w14:textId="703F3A1B" w:rsidR="007778A0" w:rsidRPr="007F5684" w:rsidRDefault="00CD20D9" w:rsidP="00FA63BD">
            <w:pPr>
              <w:pStyle w:val="InstructionsText2"/>
              <w:numPr>
                <w:ilvl w:val="1"/>
                <w:numId w:val="12"/>
              </w:numPr>
              <w:rPr>
                <w:szCs w:val="20"/>
                <w:u w:val="none"/>
              </w:rPr>
            </w:pPr>
            <w:r>
              <w:rPr>
                <w:u w:val="none"/>
              </w:rPr>
              <w:t>mer än 1 månad och mindre eller lika med 3 månader (kolumnerna 070 and 080).</w:t>
            </w:r>
          </w:p>
          <w:p w14:paraId="482B32DB" w14:textId="0B9480D3" w:rsidR="007778A0" w:rsidRPr="007F5684" w:rsidRDefault="00CD20D9" w:rsidP="00FA63BD">
            <w:pPr>
              <w:pStyle w:val="InstructionsText2"/>
              <w:numPr>
                <w:ilvl w:val="1"/>
                <w:numId w:val="12"/>
              </w:numPr>
              <w:rPr>
                <w:szCs w:val="20"/>
                <w:u w:val="none"/>
              </w:rPr>
            </w:pPr>
            <w:r>
              <w:rPr>
                <w:u w:val="none"/>
              </w:rPr>
              <w:t>mer än 3 månader och mindre eller lika med 6 månader (kolumnerna 090 and 100).</w:t>
            </w:r>
          </w:p>
          <w:p w14:paraId="3C4AC9B6" w14:textId="4AEB5114" w:rsidR="007778A0" w:rsidRPr="007F5684" w:rsidRDefault="00CD20D9" w:rsidP="00FA63BD">
            <w:pPr>
              <w:pStyle w:val="InstructionsText2"/>
              <w:numPr>
                <w:ilvl w:val="1"/>
                <w:numId w:val="12"/>
              </w:numPr>
              <w:rPr>
                <w:szCs w:val="20"/>
                <w:u w:val="none"/>
              </w:rPr>
            </w:pPr>
            <w:r>
              <w:rPr>
                <w:u w:val="none"/>
              </w:rPr>
              <w:lastRenderedPageBreak/>
              <w:t>mer än 6 månader och mindre eller lika med 1 år (kolumnerna 110 and 120).</w:t>
            </w:r>
          </w:p>
          <w:p w14:paraId="1C290FE7" w14:textId="48055B0E" w:rsidR="007778A0" w:rsidRPr="007F5684" w:rsidRDefault="00CD20D9" w:rsidP="00FA63BD">
            <w:pPr>
              <w:pStyle w:val="InstructionsText2"/>
              <w:numPr>
                <w:ilvl w:val="1"/>
                <w:numId w:val="12"/>
              </w:numPr>
              <w:rPr>
                <w:szCs w:val="20"/>
                <w:u w:val="none"/>
              </w:rPr>
            </w:pPr>
            <w:r>
              <w:rPr>
                <w:u w:val="none"/>
              </w:rPr>
              <w:t>mer än 1 år och mindre eller lika med 2 år (kolumnerna 130 and 140).</w:t>
            </w:r>
          </w:p>
          <w:p w14:paraId="6E53E104" w14:textId="0EEA7BE2" w:rsidR="007778A0" w:rsidRPr="007F5684" w:rsidRDefault="00CD20D9" w:rsidP="00FA63BD">
            <w:pPr>
              <w:pStyle w:val="InstructionsText2"/>
              <w:numPr>
                <w:ilvl w:val="1"/>
                <w:numId w:val="12"/>
              </w:numPr>
              <w:rPr>
                <w:szCs w:val="20"/>
                <w:u w:val="none"/>
              </w:rPr>
            </w:pPr>
            <w:r>
              <w:rPr>
                <w:u w:val="none"/>
              </w:rPr>
              <w:t>mer än 2 år och mindre eller lika med 5 år (kolumnerna 150 and 160).</w:t>
            </w:r>
          </w:p>
          <w:p w14:paraId="22EC36F6" w14:textId="7C57E11E" w:rsidR="00CE333E" w:rsidRPr="007F5684" w:rsidRDefault="00CD20D9" w:rsidP="00237D15">
            <w:pPr>
              <w:pStyle w:val="InstructionsText2"/>
              <w:numPr>
                <w:ilvl w:val="1"/>
                <w:numId w:val="12"/>
              </w:numPr>
              <w:rPr>
                <w:szCs w:val="20"/>
                <w:u w:val="none"/>
              </w:rPr>
            </w:pPr>
            <w:r>
              <w:rPr>
                <w:u w:val="none"/>
              </w:rPr>
              <w:t>mer än 5 år och mindre eller lika med 10 år (kolumnerna 170 and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varav: inlåning från allmänheten</w:t>
            </w:r>
          </w:p>
          <w:p w14:paraId="2F60C8D8" w14:textId="2FA8A3BB" w:rsidR="002C154A" w:rsidRPr="007F5684" w:rsidRDefault="00CE333E" w:rsidP="001C1BA1">
            <w:pPr>
              <w:rPr>
                <w:rFonts w:ascii="Times New Roman" w:hAnsi="Times New Roman"/>
                <w:szCs w:val="20"/>
              </w:rPr>
            </w:pPr>
            <w:r>
              <w:rPr>
                <w:rFonts w:ascii="Times New Roman" w:hAnsi="Times New Roman"/>
              </w:rPr>
              <w:t>Det belopp av den totala finansiering som rapporteras i post 1 som avser den totala volymen och den viktade genomsnittliga spreaden för inlåning från allmänheten.</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varav: kapitalmarknadsfinansiering utan säkerhet</w:t>
            </w:r>
          </w:p>
          <w:p w14:paraId="49C52367" w14:textId="79C0122B" w:rsidR="00AF1439" w:rsidRPr="00ED28A5" w:rsidRDefault="00AF1439" w:rsidP="001C1BA1">
            <w:pPr>
              <w:rPr>
                <w:rFonts w:ascii="Times New Roman" w:hAnsi="Times New Roman"/>
                <w:szCs w:val="20"/>
              </w:rPr>
            </w:pPr>
            <w:r>
              <w:rPr>
                <w:rFonts w:ascii="Times New Roman" w:hAnsi="Times New Roman"/>
              </w:rPr>
              <w:t>Det belopp av den totala finansiering som rapporteras i post 1 som avser den totala volymen och den viktade genomsnittliga spreaden för kapitalmarknadsfinansiering utan säkerhet.</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varav: finansiering mot säkerhet</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Det belopp av den totala finansiering som rapporteras i post 1 som avser den totala volymen och den viktade genomsnittliga spreaden för finansiering mot säkerhet.</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varav: icke efterställda värdepapper utan säkerhet</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Det belopp av den totala finansiering som rapporteras i post 1 som avser den totala volymen och den viktade genomsnittliga spreaden för icke efterställda värdepapper utan säkerhet.</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varav: säkerställda obligationer</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Det belopp av den totala finansiering som rapporteras i post 1 som avser den totala volymen och den viktade genomsnittliga spreaden för säkerställda obligationer som belastar institutets egna tillgångar.</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varav: tillgångssäkrade värdepapper inklusive tillgångsbaserade certifikat</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Det belopp av den totala finansiering som rapporteras i post 1 som avser den totala volymen och den viktade genomsnittliga spreaden för värdepapper med bakomliggande tillgångar som säkerhet inklusive tillgångsbaserade certifikat.</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Förlängning av finansiering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Den här mallen används för insamling av uppgifter om finansieringsvolymer som löper ut och ny finansiering som erhålls, dvs. ”förlängning av finansiering” på dagsbasis under den månad som föregår rapporteringsdatumet.</w:t>
      </w:r>
    </w:p>
    <w:p w14:paraId="180EF408" w14:textId="5A266611" w:rsidR="00DB3C37" w:rsidRPr="007F5684" w:rsidRDefault="00DB3C37" w:rsidP="00DD5897">
      <w:pPr>
        <w:pStyle w:val="InstructionsText2"/>
        <w:numPr>
          <w:ilvl w:val="0"/>
          <w:numId w:val="8"/>
        </w:numPr>
        <w:rPr>
          <w:szCs w:val="20"/>
          <w:u w:val="none"/>
        </w:rPr>
      </w:pPr>
      <w:r>
        <w:rPr>
          <w:u w:val="none"/>
        </w:rPr>
        <w:t>Institut ska rapportera i kalenderdagar sin finansiering som förfaller i alla följande tidsintervall i enlighet med ursprunglig löptid:</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1 dag i kolumnerna 010–040.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mellan 1 dag och 7 dagar i kolumnerna 050–080.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mellan 7 och 14 dagar i kolumnerna 090–120.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mellan 14 dagar och 1 månad i kolumnerna 130–160.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mellan 1 månad och 3 månader i kolumnerna 170–200.</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mellan 3 och 6 månader i kolumnerna 210–240.</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lastRenderedPageBreak/>
        <w:t>mer än 6 månader i kolumnerna 250–280.</w:t>
      </w:r>
    </w:p>
    <w:p w14:paraId="1F25325E" w14:textId="0E268387" w:rsidR="00DB3C37" w:rsidRPr="007F5684" w:rsidRDefault="00DB3C37" w:rsidP="00ED41A4">
      <w:pPr>
        <w:pStyle w:val="InstructionsText2"/>
        <w:numPr>
          <w:ilvl w:val="0"/>
          <w:numId w:val="8"/>
        </w:numPr>
        <w:rPr>
          <w:szCs w:val="20"/>
          <w:u w:val="none"/>
        </w:rPr>
      </w:pPr>
      <w:r>
        <w:rPr>
          <w:u w:val="none"/>
        </w:rPr>
        <w:t>För varje tidsintervall som anges i punkt 2 ska det belopp som förfaller rapporteras i den vänstra kolumnen, de belopp som förlängs rapporteras i kolumnen ”Förlängning”, ny finansiering rapporteras i kolumnen ”Nya medel” och nettoskillnaden mellan dels ny finansiering, dels förlängd finansiering minus finansiering som förfaller ska rapporteras i den högra kolumnen.</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De totala nettokassaflödena ska rapporteras i kolumn 290 och vara lika med summan av alla ”nettokolumner”, dvs. 040, 080, 120, 160, 200, 240 och 280).</w:t>
      </w:r>
    </w:p>
    <w:p w14:paraId="28B9B16F" w14:textId="51F3D036" w:rsidR="00BD24C1" w:rsidRDefault="00DB3C37" w:rsidP="00397ABE">
      <w:pPr>
        <w:pStyle w:val="InstructionsText2"/>
        <w:numPr>
          <w:ilvl w:val="0"/>
          <w:numId w:val="8"/>
        </w:numPr>
        <w:rPr>
          <w:szCs w:val="20"/>
          <w:u w:val="none"/>
        </w:rPr>
      </w:pPr>
      <w:r>
        <w:rPr>
          <w:u w:val="none"/>
        </w:rPr>
        <w:t>Den genomsnittliga löptiden (i dagar) för finansiering som förfaller ska rapporteras i kolumn 300.</w:t>
      </w:r>
    </w:p>
    <w:p w14:paraId="76D8AD49" w14:textId="16CEB38F" w:rsidR="003E371A" w:rsidRPr="00397ABE" w:rsidRDefault="003E371A" w:rsidP="00397ABE">
      <w:pPr>
        <w:pStyle w:val="InstructionsText2"/>
        <w:numPr>
          <w:ilvl w:val="0"/>
          <w:numId w:val="8"/>
        </w:numPr>
        <w:rPr>
          <w:szCs w:val="20"/>
          <w:u w:val="none"/>
        </w:rPr>
      </w:pPr>
      <w:r>
        <w:rPr>
          <w:u w:val="none"/>
        </w:rPr>
        <w:t>Den genomsnittliga löptiden (i dagar) för finansiering som förlängts ska rapporteras i kolumn 310.</w:t>
      </w:r>
    </w:p>
    <w:p w14:paraId="717CD209" w14:textId="16BDF091" w:rsidR="00BD24C1" w:rsidRDefault="00DB3C37" w:rsidP="00397ABE">
      <w:pPr>
        <w:pStyle w:val="InstructionsText2"/>
        <w:numPr>
          <w:ilvl w:val="0"/>
          <w:numId w:val="8"/>
        </w:numPr>
        <w:rPr>
          <w:szCs w:val="20"/>
          <w:u w:val="none"/>
        </w:rPr>
      </w:pPr>
      <w:r>
        <w:rPr>
          <w:u w:val="none"/>
        </w:rPr>
        <w:t xml:space="preserve"> Den genomsnittliga löptiden (i dagar) för ny finansiering ska rapporteras i kolumn 320.</w:t>
      </w:r>
    </w:p>
    <w:p w14:paraId="5C92A186" w14:textId="6F4BC0FE" w:rsidR="00A7751A" w:rsidRPr="00AC205E" w:rsidRDefault="00A7751A" w:rsidP="00A7751A">
      <w:pPr>
        <w:pStyle w:val="InstructionsText2"/>
        <w:numPr>
          <w:ilvl w:val="0"/>
          <w:numId w:val="8"/>
        </w:numPr>
        <w:rPr>
          <w:szCs w:val="20"/>
          <w:u w:val="none"/>
        </w:rPr>
      </w:pPr>
      <w:r>
        <w:rPr>
          <w:u w:val="none"/>
        </w:rPr>
        <w:t>Beloppet under ”Förfall till betalning” ska omfatta alla skulder som långivaren enligt avtal hade rätt att ta ut eller som förföll den relevanta dagen i rapporteringsperioden. Det ska alltid rapporteras med positivt tecken.</w:t>
      </w:r>
    </w:p>
    <w:p w14:paraId="004B6E12" w14:textId="0B826D76" w:rsidR="00A7751A" w:rsidRPr="00AC205E" w:rsidRDefault="00A7751A" w:rsidP="00850B28">
      <w:pPr>
        <w:pStyle w:val="InstructionsText2"/>
        <w:numPr>
          <w:ilvl w:val="0"/>
          <w:numId w:val="8"/>
        </w:numPr>
        <w:rPr>
          <w:szCs w:val="20"/>
          <w:u w:val="none"/>
        </w:rPr>
      </w:pPr>
      <w:r>
        <w:rPr>
          <w:u w:val="none"/>
        </w:rPr>
        <w:t>Beloppet under ”Förlängning” ska omfatta det belopp som förfaller enligt definitionen i punkterna 2 och 3 som finns kvar hos institutet den relevanta dagen i rapporteringsperioden. Det ska alltid rapporteras med ett positivt tecken. Om finansieringens löptid har förändrats till följd av förlängningen ska det belopp som har förlängts rapporteras i ett tidsintervall baserat på den nya löptiden.</w:t>
      </w:r>
    </w:p>
    <w:p w14:paraId="68CA5A97" w14:textId="694BA31F" w:rsidR="00A7751A" w:rsidRPr="00AC205E" w:rsidRDefault="00A7751A" w:rsidP="00850B28">
      <w:pPr>
        <w:pStyle w:val="InstructionsText2"/>
        <w:numPr>
          <w:ilvl w:val="0"/>
          <w:numId w:val="8"/>
        </w:numPr>
        <w:rPr>
          <w:szCs w:val="20"/>
          <w:u w:val="none"/>
        </w:rPr>
      </w:pPr>
      <w:r>
        <w:rPr>
          <w:u w:val="none"/>
        </w:rPr>
        <w:t>Beloppet under ”Nya medel” ska omfatta faktiska inflöden eller finansiering på den relevanta dagen i rapporteringsperioden. Det ska alltid rapporteras med positivt tecken.</w:t>
      </w:r>
    </w:p>
    <w:p w14:paraId="36023996" w14:textId="52F7601E" w:rsidR="00A7751A" w:rsidRPr="00AC205E" w:rsidRDefault="00A7751A" w:rsidP="00850B28">
      <w:pPr>
        <w:pStyle w:val="InstructionsText2"/>
        <w:numPr>
          <w:ilvl w:val="0"/>
          <w:numId w:val="8"/>
        </w:numPr>
        <w:rPr>
          <w:szCs w:val="20"/>
          <w:u w:val="none"/>
        </w:rPr>
      </w:pPr>
      <w:r>
        <w:rPr>
          <w:u w:val="none"/>
        </w:rPr>
        <w:t xml:space="preserve">Nettobeloppet ska betraktas som en förändring i finansieringen inom ett visst ”ursprunglig löptids”-intervall på den relevanta dagen i rapporteringsperioden och beräknas genom att kolumnen ”Netto” fylls i med ny finansiering plus förlängd finansiering minus finansiering som förfaller.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Kolumn</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Rättsliga hänvisningar och instruktioner</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1 dag</w:t>
            </w:r>
          </w:p>
          <w:p w14:paraId="0D011271" w14:textId="3E284E08" w:rsidR="00B83BF9" w:rsidRDefault="00ED41A4" w:rsidP="00193B6D">
            <w:pPr>
              <w:rPr>
                <w:rFonts w:ascii="Times New Roman" w:hAnsi="Times New Roman"/>
                <w:szCs w:val="20"/>
              </w:rPr>
            </w:pPr>
            <w:r>
              <w:rPr>
                <w:rFonts w:ascii="Times New Roman" w:hAnsi="Times New Roman"/>
              </w:rPr>
              <w:t>Total finansiering som förfaller den relevanta dagen i rapporteringsperioden med en ursprunglig löptid på 1 dag ska rapporteras i kolumn 010 för post 1.1–1.31. För månader som består av färre än 31 dagar, liksom för veckoslut, ska rader som inte är relevanta lämnas tomma.</w:t>
            </w:r>
          </w:p>
          <w:p w14:paraId="7D2D26D4" w14:textId="2B464E25"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1 dag ska rapporteras i kolumn 020 för post 1.1–1.31.</w:t>
            </w:r>
          </w:p>
          <w:p w14:paraId="4837928B" w14:textId="43309A16" w:rsidR="00ED41A4" w:rsidRPr="007F5684" w:rsidRDefault="00ED41A4"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1 dag ska rapporteras i kolumn 030 för post 1.1–1.31.</w:t>
            </w:r>
          </w:p>
          <w:p w14:paraId="16FDBE2F" w14:textId="3BEB2550" w:rsidR="00ED41A4" w:rsidRPr="007F5684" w:rsidRDefault="00ED41A4" w:rsidP="00193B6D">
            <w:pPr>
              <w:rPr>
                <w:rFonts w:ascii="Times New Roman" w:hAnsi="Times New Roman"/>
                <w:szCs w:val="20"/>
              </w:rPr>
            </w:pPr>
            <w:r>
              <w:rPr>
                <w:rFonts w:ascii="Times New Roman" w:hAnsi="Times New Roman"/>
              </w:rPr>
              <w:t>Nettoskillnaden mellan å ena sidan dagslån som förfaller och å andra sida förlängda plus nya dagslån ska rapporteras i kolumn 040 för post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dag ≤ 7 dagar</w:t>
            </w:r>
          </w:p>
          <w:p w14:paraId="456405B1" w14:textId="23DE58B7" w:rsidR="00ED41A4" w:rsidRDefault="00ED41A4" w:rsidP="00193B6D">
            <w:pPr>
              <w:rPr>
                <w:rFonts w:ascii="Times New Roman" w:hAnsi="Times New Roman"/>
                <w:szCs w:val="20"/>
              </w:rPr>
            </w:pPr>
            <w:r>
              <w:rPr>
                <w:rFonts w:ascii="Times New Roman" w:hAnsi="Times New Roman"/>
              </w:rPr>
              <w:t xml:space="preserve">Total finansiering som förfaller den relevanta dagen i rapporteringsperioden med en ursprunglig löptid på mellan 1 dag och 1 vecka ska rapporteras i kolumn 050 för post </w:t>
            </w:r>
            <w:r>
              <w:rPr>
                <w:rFonts w:ascii="Times New Roman" w:hAnsi="Times New Roman"/>
              </w:rPr>
              <w:lastRenderedPageBreak/>
              <w:t>1.1–1.31. För månader som består av färre än 31 dagar, liksom för veckoslut, ska rader som inte är relevanta lämnas tomma.</w:t>
            </w:r>
          </w:p>
          <w:p w14:paraId="293B2767" w14:textId="3A94241F"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dag och 1 vecka ska rapporteras i kolumn 060 för post 1.1–1.31.</w:t>
            </w:r>
          </w:p>
          <w:p w14:paraId="5D635490" w14:textId="3FBA5A2E" w:rsidR="00ED41A4" w:rsidRPr="007F5684" w:rsidRDefault="00ED41A4"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dag och 1 vecka ska rapporteras i kolumn 70 för post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080 för post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090 –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dagar ≤ 14 dagar</w:t>
            </w:r>
          </w:p>
          <w:p w14:paraId="01B280B0" w14:textId="290C8E5F" w:rsidR="007C6B89"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 vecka och 14 dagar ska rapporteras i kolumn 090 för post 1.1–1.31. För månader som består av färre än 31 dagar, liksom för veckoslut, ska rader som inte är relevanta lämnas tomma.</w:t>
            </w:r>
          </w:p>
          <w:p w14:paraId="37FF815B" w14:textId="6B227C03"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vecka och 14 dagar ska rapporteras i kolumn 100 för post 1.1–1.31.</w:t>
            </w:r>
          </w:p>
          <w:p w14:paraId="60125A59" w14:textId="24FC6F1C" w:rsidR="007C6B89" w:rsidRPr="007F5684"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vecka och 14 dagar ska rapporteras i kolumn 110 för post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120 för post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 –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dagar ≤ 1 månad</w:t>
            </w:r>
          </w:p>
          <w:p w14:paraId="6DFCCE86" w14:textId="56D7C337" w:rsidR="007C6B89"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14 dagar och 1 månad ska rapporteras i kolumn 130 för post 1.1–1.31. För månader som består av färre än 31 dagar, liksom för veckoslut, ska rader som inte är relevanta lämnas tomma.</w:t>
            </w:r>
          </w:p>
          <w:p w14:paraId="168BD6CE" w14:textId="033F4DEE"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14 dagar och 1 månad ska rapporteras i kolumn 140 för post 1.1–1.31.</w:t>
            </w:r>
          </w:p>
          <w:p w14:paraId="0DBC5483" w14:textId="2E9D6540" w:rsidR="007C6B89" w:rsidRPr="007F5684"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14 dagar och 1 månad ska rapporteras i kolumn 150 för post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160 för post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månad ≤ 3 månader</w:t>
            </w:r>
          </w:p>
          <w:p w14:paraId="1C6BB1D5" w14:textId="18A59A44" w:rsidR="007C6B89"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 månad och 3 månader ska rapporteras i kolumn 170 för post 1.1–1.31. För månader som består av färre än 31 dagar, liksom för veckoslut, ska rader som inte är relevanta lämnas tomma.</w:t>
            </w:r>
          </w:p>
          <w:p w14:paraId="6A91E8B5" w14:textId="67420E29"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månad och 3 månader ska rapporteras i kolumn 180 för post 1.1–1.31.</w:t>
            </w:r>
          </w:p>
          <w:p w14:paraId="7A9947A9" w14:textId="6C26176E" w:rsidR="007C6B89" w:rsidRPr="007F5684"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månad och 3 månader ska rapporteras i kolumn 190 för post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Nettoskillnaden mellan å ena sidan finansiering som förfaller och å andra sidan </w:t>
            </w:r>
            <w:r>
              <w:rPr>
                <w:rFonts w:ascii="Times New Roman" w:hAnsi="Times New Roman"/>
              </w:rPr>
              <w:lastRenderedPageBreak/>
              <w:t>förlängd plus ny finansiering ska rapporteras i kolumn 200 för post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210 –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månader ≤ 6 månader</w:t>
            </w:r>
          </w:p>
          <w:p w14:paraId="0260CA5A" w14:textId="10CDCA93" w:rsidR="006044FF" w:rsidRDefault="005A40BE"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3 och 6 månader ska rapporteras i kolumn 210 för post 1.1–1.31. För månader som består av färre än 31 dagar, liksom för veckoslut, ska rader som inte är relevanta lämnas tomma.</w:t>
            </w:r>
          </w:p>
          <w:p w14:paraId="563F93F8" w14:textId="56788554" w:rsidR="003E371A" w:rsidRPr="00331993"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3 och 6 månader ska rapporteras i kolumn 220 för post 1.1–1.31.</w:t>
            </w:r>
          </w:p>
          <w:p w14:paraId="601C708E" w14:textId="41E12978" w:rsidR="005A40BE" w:rsidRPr="007F5684" w:rsidRDefault="005A40BE"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3 och 6 månader ska rapporteras i kolumn 230 för post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240 för post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250 –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månader</w:t>
            </w:r>
          </w:p>
          <w:p w14:paraId="3C7C589B" w14:textId="6F0EC1DA" w:rsidR="007C6B89"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mer än 6 månader ska rapporteras i kolumn 250 för post 1.1–1.31. För månader som består av färre än 31 dagar, liksom för veckoslut, ska rader som inte är relevanta lämnas tomma.</w:t>
            </w:r>
          </w:p>
          <w:p w14:paraId="09601152" w14:textId="7600B6AF" w:rsidR="003E371A" w:rsidRPr="007F5684"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mer än 6 månader ska rapporteras i kolumn 260 för post 1.1–1.31.</w:t>
            </w:r>
          </w:p>
          <w:p w14:paraId="4585368E" w14:textId="146D4C77" w:rsidR="007C6B89" w:rsidRPr="007F5684"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mer än 6 månader ska rapporteras i kolumn 270 för post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280 för post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Totalt nettokassaflöde</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De totala nettokassaflödena ska vara lika med summan av alla ”nettokolumner”, dvs. 040, 080, 120, 160, 200, 240 och 280) ska rapporteras i kolumn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Genomsnittlig avtalstid (dagar)</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Den viktade genomsnittliga löptiden (i dagar) för finansiering som förfaller ska rapporteras i kolumn 300. Den viktade genomsnittliga löptiden, i dagar, för all finansiering som förlängts ska rapporteras i kolumn 310, den viktade genomsnittliga löptiden, i dagar, för all ny finansiering ska rapporteras i kolumn 320.</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5849D5">
          <w:rPr>
            <w:noProof/>
          </w:rPr>
          <w:t>7</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5849D5">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9D5"/>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sv-SE" w:bidi="sv-S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sv-SE" w:bidi="sv-S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sv-SE" w:eastAsia="sv-SE" w:bidi="sv-S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sv-SE" w:bidi="sv-SE"/>
    </w:rPr>
  </w:style>
  <w:style w:type="character" w:customStyle="1" w:styleId="FunoteChar">
    <w:name w:val="Fußnote Char"/>
    <w:aliases w:val=" Char Char Char"/>
    <w:semiHidden/>
    <w:rsid w:val="009D253B"/>
    <w:rPr>
      <w:rFonts w:ascii="Arial" w:hAnsi="Arial"/>
      <w:sz w:val="18"/>
      <w:lang w:val="sv-SE" w:eastAsia="sv-SE" w:bidi="sv-S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sv-SE" w:eastAsia="sv-SE" w:bidi="sv-S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sv-S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sv-S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sv-S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sv-SE" w:eastAsia="sv-SE"/>
    </w:rPr>
  </w:style>
  <w:style w:type="character" w:customStyle="1" w:styleId="BalloonTextChar">
    <w:name w:val="Balloon Text Char"/>
    <w:link w:val="BalloonText"/>
    <w:semiHidden/>
    <w:rsid w:val="00167536"/>
    <w:rPr>
      <w:rFonts w:ascii="Tahoma" w:hAnsi="Tahoma" w:cs="Tahoma"/>
      <w:sz w:val="16"/>
      <w:szCs w:val="16"/>
      <w:lang w:val="sv-SE" w:eastAsia="sv-SE"/>
    </w:rPr>
  </w:style>
  <w:style w:type="character" w:customStyle="1" w:styleId="PlainTextChar">
    <w:name w:val="Plain Text Char"/>
    <w:link w:val="PlainText"/>
    <w:semiHidden/>
    <w:rsid w:val="00167536"/>
    <w:rPr>
      <w:rFonts w:ascii="Consolas" w:hAnsi="Consolas"/>
      <w:sz w:val="21"/>
      <w:szCs w:val="21"/>
      <w:lang w:val="sv-SE" w:eastAsia="sv-S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sv-SE"/>
    </w:rPr>
  </w:style>
  <w:style w:type="character" w:customStyle="1" w:styleId="FooterCoverPageChar">
    <w:name w:val="Footer Cover Page Char"/>
    <w:link w:val="FooterCoverPage"/>
    <w:rsid w:val="00167536"/>
    <w:rPr>
      <w:color w:val="4F81BD"/>
      <w:sz w:val="24"/>
      <w:szCs w:val="24"/>
      <w:lang w:val="sv-SE" w:eastAsia="sv-S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sv-SE" w:bidi="sv-S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sv-SE" w:bidi="sv-S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sv-SE" w:eastAsia="sv-SE" w:bidi="sv-S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sv-SE" w:bidi="sv-SE"/>
    </w:rPr>
  </w:style>
  <w:style w:type="character" w:customStyle="1" w:styleId="FunoteChar">
    <w:name w:val="Fußnote Char"/>
    <w:aliases w:val=" Char Char Char"/>
    <w:semiHidden/>
    <w:rsid w:val="009D253B"/>
    <w:rPr>
      <w:rFonts w:ascii="Arial" w:hAnsi="Arial"/>
      <w:sz w:val="18"/>
      <w:lang w:val="sv-SE" w:eastAsia="sv-SE" w:bidi="sv-S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sv-SE" w:eastAsia="sv-SE" w:bidi="sv-S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sv-S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sv-S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sv-S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sv-SE" w:eastAsia="sv-SE"/>
    </w:rPr>
  </w:style>
  <w:style w:type="character" w:customStyle="1" w:styleId="BalloonTextChar">
    <w:name w:val="Balloon Text Char"/>
    <w:link w:val="BalloonText"/>
    <w:semiHidden/>
    <w:rsid w:val="00167536"/>
    <w:rPr>
      <w:rFonts w:ascii="Tahoma" w:hAnsi="Tahoma" w:cs="Tahoma"/>
      <w:sz w:val="16"/>
      <w:szCs w:val="16"/>
      <w:lang w:val="sv-SE" w:eastAsia="sv-SE"/>
    </w:rPr>
  </w:style>
  <w:style w:type="character" w:customStyle="1" w:styleId="PlainTextChar">
    <w:name w:val="Plain Text Char"/>
    <w:link w:val="PlainText"/>
    <w:semiHidden/>
    <w:rsid w:val="00167536"/>
    <w:rPr>
      <w:rFonts w:ascii="Consolas" w:hAnsi="Consolas"/>
      <w:sz w:val="21"/>
      <w:szCs w:val="21"/>
      <w:lang w:val="sv-SE" w:eastAsia="sv-S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sv-SE"/>
    </w:rPr>
  </w:style>
  <w:style w:type="character" w:customStyle="1" w:styleId="FooterCoverPageChar">
    <w:name w:val="Footer Cover Page Char"/>
    <w:link w:val="FooterCoverPage"/>
    <w:rsid w:val="00167536"/>
    <w:rPr>
      <w:color w:val="4F81BD"/>
      <w:sz w:val="24"/>
      <w:szCs w:val="24"/>
      <w:lang w:val="sv-SE" w:eastAsia="sv-S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D2E70-2426-42B5-94B0-5F31C5C0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4718</Words>
  <Characters>26705</Characters>
  <Application>Microsoft Office Word</Application>
  <DocSecurity>0</DocSecurity>
  <Lines>606</Lines>
  <Paragraphs>330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31093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ANETORP Lena (DGT)</cp:lastModifiedBy>
  <cp:revision>13</cp:revision>
  <cp:lastPrinted>2014-06-12T08:34:00Z</cp:lastPrinted>
  <dcterms:created xsi:type="dcterms:W3CDTF">2018-02-06T16:20:00Z</dcterms:created>
  <dcterms:modified xsi:type="dcterms:W3CDTF">2018-09-06T13:48:00Z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