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11054E" w:rsidRDefault="00D72D6E" w:rsidP="00AB7F42">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3322B11-319D-485E-8F85-0D2D882603B6" style="width:450.6pt;height:381.6pt">
            <v:imagedata r:id="rId8" o:title=""/>
          </v:shape>
        </w:pict>
      </w:r>
    </w:p>
    <w:p w:rsidR="00075C77" w:rsidRPr="0011054E" w:rsidRDefault="00075C77">
      <w:pPr>
        <w:sectPr w:rsidR="00075C77" w:rsidRPr="0011054E" w:rsidSect="00831728">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075C77" w:rsidRPr="0011054E" w:rsidRDefault="00AB7F42" w:rsidP="00AB7F42">
      <w:pPr>
        <w:pStyle w:val="Typedudocument"/>
      </w:pPr>
      <w:r w:rsidRPr="00AB7F42">
        <w:t>IZVEDBENA UREDBA KOMISIJE (EU) …/…</w:t>
      </w:r>
    </w:p>
    <w:p w:rsidR="00075C77" w:rsidRPr="0011054E" w:rsidRDefault="00AB7F42" w:rsidP="00AB7F42">
      <w:pPr>
        <w:pStyle w:val="Datedadoption"/>
      </w:pPr>
      <w:r w:rsidRPr="00AB7F42">
        <w:t xml:space="preserve">z dne </w:t>
      </w:r>
      <w:r w:rsidRPr="00AB7F42">
        <w:rPr>
          <w:rStyle w:val="Marker2"/>
        </w:rPr>
        <w:t>XXX</w:t>
      </w:r>
    </w:p>
    <w:p w:rsidR="00075C77" w:rsidRPr="0011054E" w:rsidRDefault="00AB7F42" w:rsidP="00AB7F42">
      <w:pPr>
        <w:pStyle w:val="Titreobjet"/>
      </w:pPr>
      <w:r w:rsidRPr="00AB7F42">
        <w:t>o spremembi Izvedbene uredbe (EU) št. 680/2014 v zvezi s preudarnim vrednotenjem za namene nadzorniškega poročanja</w:t>
      </w:r>
    </w:p>
    <w:p w:rsidR="00AB7F42" w:rsidRDefault="00AB7F42" w:rsidP="00AB7F42">
      <w:pPr>
        <w:pStyle w:val="IntrtEEE"/>
      </w:pPr>
      <w:r w:rsidRPr="00AB7F42">
        <w:t>(Besedilo velja za EGP)</w:t>
      </w:r>
    </w:p>
    <w:p w:rsidR="00075C77" w:rsidRPr="0011054E" w:rsidRDefault="00075C77" w:rsidP="004E1EF9">
      <w:pPr>
        <w:pStyle w:val="Institutionquiagit"/>
      </w:pPr>
      <w:r w:rsidRPr="0011054E">
        <w:t>EVROPSKA KOMISIJA JE –</w:t>
      </w:r>
    </w:p>
    <w:p w:rsidR="00075C77" w:rsidRPr="0011054E" w:rsidRDefault="00075C77" w:rsidP="004E1EF9">
      <w:r w:rsidRPr="0011054E">
        <w:rPr>
          <w:color w:val="000000"/>
        </w:rPr>
        <w:t>ob upoštevanju Pogodbe o delovanju Evropske unije</w:t>
      </w:r>
      <w:r w:rsidRPr="0011054E">
        <w:t>,</w:t>
      </w:r>
    </w:p>
    <w:p w:rsidR="00075C77" w:rsidRPr="0011054E" w:rsidRDefault="00075C77" w:rsidP="004E1EF9">
      <w:r w:rsidRPr="0011054E">
        <w:t>ob upoštevanju Uredbe (EU) št. 575/2013 Evropskega parlamenta in Sveta z dne 26. junija 2013 o bonitetnih zahtevah za kreditne institucije in investicijska podjetja ter o spremembi Uredbe (EU) št. 648/2012</w:t>
      </w:r>
      <w:r w:rsidRPr="0011054E">
        <w:rPr>
          <w:rStyle w:val="FootnoteReference"/>
        </w:rPr>
        <w:footnoteReference w:id="2"/>
      </w:r>
      <w:r w:rsidRPr="0011054E">
        <w:t xml:space="preserve"> in zlasti četrtega pododstavka člena 99(5), četrtega pododstavka člena 99(6), tretjega pododstavka člena 394(4), četrtega pododstavka člena 415(3) in tretjega pododstavka člena 430(2) Uredbe,</w:t>
      </w:r>
    </w:p>
    <w:p w:rsidR="00075C77" w:rsidRPr="0011054E" w:rsidRDefault="00075C77" w:rsidP="004E1EF9">
      <w:r w:rsidRPr="0011054E">
        <w:t>ob upoštevanju naslednjega:</w:t>
      </w:r>
    </w:p>
    <w:p w:rsidR="00075C77" w:rsidRPr="0011054E" w:rsidRDefault="00075C77" w:rsidP="003C1FB8">
      <w:pPr>
        <w:pStyle w:val="Considrant"/>
        <w:numPr>
          <w:ilvl w:val="0"/>
          <w:numId w:val="1"/>
        </w:numPr>
        <w:rPr>
          <w:noProof/>
          <w:color w:val="000000"/>
        </w:rPr>
      </w:pPr>
      <w:r w:rsidRPr="0011054E">
        <w:rPr>
          <w:noProof/>
          <w:color w:val="000000"/>
        </w:rPr>
        <w:t>Izvedbena uredba Komisije (EU) št. 680/2014</w:t>
      </w:r>
      <w:r w:rsidRPr="0011054E">
        <w:rPr>
          <w:rStyle w:val="FootnoteReference"/>
          <w:noProof/>
          <w:color w:val="000000"/>
        </w:rPr>
        <w:footnoteReference w:id="3"/>
      </w:r>
      <w:r w:rsidRPr="0011054E">
        <w:rPr>
          <w:noProof/>
          <w:color w:val="000000"/>
        </w:rPr>
        <w:t xml:space="preserve"> določa, na katere načine morajo institucije poročati informacije, ki so relevantne za spoštovanje določb Uredbe (EU) št. 575/2013. V regulativnem okviru, vzpostavljenem z Uredbo (EU) št. 575/2013, se s sprejemanjem novih regulativnih tehničnih standardov postopoma dopolnjujejo in spreminjajo njegovi nebistveni elementi. Izvedbeno uredbo (EU) št. 680/2014 je treba posodobiti, da bodo te spremembe upoštevane.</w:t>
      </w:r>
    </w:p>
    <w:p w:rsidR="00075C77" w:rsidRPr="0011054E" w:rsidRDefault="00075C77" w:rsidP="00075C77">
      <w:pPr>
        <w:pStyle w:val="Considrant"/>
        <w:rPr>
          <w:color w:val="000000"/>
        </w:rPr>
      </w:pPr>
      <w:r w:rsidRPr="0011054E">
        <w:rPr>
          <w:color w:val="000000"/>
        </w:rPr>
        <w:t>Uredba (EU) št. 575/2013 je bila dopolnjena s sprejetjem Delegirane uredbe Komisije (EU) 2016/101</w:t>
      </w:r>
      <w:r w:rsidRPr="0011054E">
        <w:rPr>
          <w:rStyle w:val="FootnoteReference"/>
          <w:color w:val="000000"/>
        </w:rPr>
        <w:footnoteReference w:id="4"/>
      </w:r>
      <w:r w:rsidRPr="0011054E">
        <w:rPr>
          <w:color w:val="000000"/>
        </w:rPr>
        <w:t xml:space="preserve"> glede preudarnega vrednotenja in Uredbe Evropskega parlamenta in Sveta (EU) 2017/2401</w:t>
      </w:r>
      <w:r w:rsidRPr="0011054E">
        <w:rPr>
          <w:rStyle w:val="FootnoteReference"/>
          <w:color w:val="000000"/>
        </w:rPr>
        <w:footnoteReference w:id="5"/>
      </w:r>
      <w:r w:rsidRPr="0011054E">
        <w:rPr>
          <w:color w:val="000000"/>
        </w:rPr>
        <w:t xml:space="preserve"> glede listinjenja. Izvedbeno uredbo (EU) št. 680/2014 bi bilo treba posodobiti, da se bodo upoštevale te spremembe in zagotovile dodatne podrobnosti v navodilih ter opredelitvah, uporabljenih za namene nadzorniškega poročanja institucij. Prav tako bi bilo treba pojasniti nekatera sklicevanja in nedoslednosti pri oblikovanju, ki so se pri uporabi Izvedbene uredbe (EU) št. 680/2014 izkazali za zavajajoče.</w:t>
      </w:r>
    </w:p>
    <w:p w:rsidR="00075C77" w:rsidRPr="0011054E" w:rsidRDefault="00195568" w:rsidP="00075C77">
      <w:pPr>
        <w:pStyle w:val="Considrant"/>
        <w:rPr>
          <w:noProof/>
          <w:color w:val="000000"/>
        </w:rPr>
      </w:pPr>
      <w:r w:rsidRPr="0011054E">
        <w:rPr>
          <w:noProof/>
          <w:color w:val="000000"/>
        </w:rPr>
        <w:t>V Delegirani uredbi Komisije (EU) 2016/101 so določene zahteve v zvezi s prilagoditvami zaradi preudarnega vrednotenja pozicij, merjenih po pošteni vrednosti. Vsebuje dva pristopa za izvajanje zahtev po preudarnem vrednotenju: temeljni pristop in poenostavljeni pristop. Za spremljanje, ali institucije izpolnjujejo te zahteve, in za oceno učinka navedene uredbe je potrebno dodatno poročanje v zvezi z zahtevami po preudarnem vrednotenju.</w:t>
      </w:r>
    </w:p>
    <w:p w:rsidR="00075C77" w:rsidRPr="0011054E" w:rsidRDefault="00075C77" w:rsidP="00075C77">
      <w:pPr>
        <w:pStyle w:val="Considrant"/>
        <w:rPr>
          <w:noProof/>
          <w:color w:val="000000"/>
        </w:rPr>
      </w:pPr>
      <w:r w:rsidRPr="0011054E">
        <w:rPr>
          <w:color w:val="000000"/>
        </w:rPr>
        <w:t>Z Uredbo (EU) 2017/2401 se spreminja Uredba (EU) št. 575/2013, da bi se pri kapitalski obravnavi listinjenj v večji meri upoštevala tveganja in da bi se lahko ustrezno odražale posebne lastnosti enostavnih, preglednih in standardiziranih listinjenj. Izvedbeno uredbo (EU) št. 680/2014 je treba spremeniti, da bo primerna za poročanje pozicij v listinjenju, za katere se uporablja ta revidirani okvir za listinjenja.</w:t>
      </w:r>
    </w:p>
    <w:p w:rsidR="00075C77" w:rsidRPr="0011054E" w:rsidRDefault="00075C77" w:rsidP="00075C77">
      <w:pPr>
        <w:pStyle w:val="Considrant"/>
        <w:rPr>
          <w:noProof/>
          <w:color w:val="000000"/>
        </w:rPr>
      </w:pPr>
      <w:r w:rsidRPr="0011054E">
        <w:rPr>
          <w:noProof/>
          <w:color w:val="000000"/>
        </w:rPr>
        <w:t>Spremembe Izvedbene uredbe (EU) št. 680/2014 so potrebne tudi, da se upošteva sposobnost pristojnih organov za učinkovit nadzor in oceno profila tveganja institucij ter zaradi pregleda nad tveganji za finančni sektor, za kar so potrebne manjše spremembe zahtev po poročanju o geografski porazdelitvi izpostavljenosti.</w:t>
      </w:r>
    </w:p>
    <w:p w:rsidR="00075C77" w:rsidRPr="0011054E" w:rsidRDefault="00075C77" w:rsidP="00075C77">
      <w:pPr>
        <w:pStyle w:val="Considrant"/>
        <w:rPr>
          <w:noProof/>
        </w:rPr>
      </w:pPr>
      <w:r w:rsidRPr="0011054E">
        <w:t xml:space="preserve">Ta uredba temelji na osnutku izvedbenih tehničnih standardov, ki ga je Evropski bančni organ (v nadaljnjem besedilu: EBA) predložil Komisiji. </w:t>
      </w:r>
    </w:p>
    <w:p w:rsidR="00075C77" w:rsidRPr="0011054E" w:rsidRDefault="00075C77" w:rsidP="00075C77">
      <w:pPr>
        <w:pStyle w:val="Considrant"/>
        <w:rPr>
          <w:noProof/>
        </w:rPr>
      </w:pPr>
      <w:r w:rsidRPr="0011054E">
        <w:t>EBA je o osnutku izvedbenih tehničnih standardov, na katerih temelji ta uredba, ki se nanašajo na preudarno vrednotenje in skupno geografsko porazdelitev, izvedel odprta javna posvetovanja, analiziral morebitne s tem povezane stroške in koristi ter zaprosil za mnenje v zvezi s tem interesno skupino za bančništvo, ustanovljeno v skladu s členom 37 Uredbe (EU) št. 1093/2010 Evropskega parlamenta in Sveta</w:t>
      </w:r>
      <w:r w:rsidRPr="0011054E">
        <w:rPr>
          <w:rStyle w:val="FootnoteReference"/>
          <w:noProof/>
        </w:rPr>
        <w:footnoteReference w:id="6"/>
      </w:r>
      <w:r w:rsidRPr="0011054E">
        <w:t>. V skladu z drugim pododstavkom člena 15(1) navedene uredbe EBA ni izvedel nobenega javnega posvetovanja v zvezi s tistimi deli osnutka izvedbenih tehničnih standardov, na katerem temelji ta uredba, ki so redakcijske narave ali uvajajo samo omejeno število postavk v okvir za nadzorniško poročanje, saj bi bilo to nesorazmerno glede na področje uporabe in učinek zadevnega osnutka izvedbenih tehničnih standardov.</w:t>
      </w:r>
    </w:p>
    <w:p w:rsidR="00075C77" w:rsidRPr="0011054E" w:rsidRDefault="00075C77" w:rsidP="00075C77">
      <w:pPr>
        <w:pStyle w:val="Considrant"/>
      </w:pPr>
      <w:r w:rsidRPr="0011054E">
        <w:t>Izvedbeno uredbo (EU) št. 680/2014 bi bilo zato treba ustrezno spremeniti –</w:t>
      </w:r>
    </w:p>
    <w:p w:rsidR="00075C77" w:rsidRPr="0011054E" w:rsidRDefault="00075C77" w:rsidP="004E1EF9">
      <w:pPr>
        <w:pStyle w:val="Formuledadoption"/>
      </w:pPr>
      <w:r w:rsidRPr="0011054E">
        <w:t>SPREJELA NASLEDNJO UREDBO:</w:t>
      </w:r>
    </w:p>
    <w:p w:rsidR="00075C77" w:rsidRPr="0011054E" w:rsidRDefault="00075C77" w:rsidP="004E1EF9">
      <w:pPr>
        <w:pStyle w:val="Titrearticle"/>
      </w:pPr>
      <w:r w:rsidRPr="0011054E">
        <w:t>Člen 1</w:t>
      </w:r>
    </w:p>
    <w:p w:rsidR="00075C77" w:rsidRPr="0011054E" w:rsidRDefault="00075C77" w:rsidP="00075C77">
      <w:pPr>
        <w:rPr>
          <w:noProof/>
        </w:rPr>
      </w:pPr>
      <w:r w:rsidRPr="0011054E">
        <w:t>Izvedbena uredba (EU) št. 680/2014 se spremeni:</w:t>
      </w:r>
    </w:p>
    <w:p w:rsidR="00591517" w:rsidRPr="0011054E" w:rsidRDefault="00591517" w:rsidP="00591517">
      <w:pPr>
        <w:pStyle w:val="Point0number"/>
        <w:numPr>
          <w:ilvl w:val="0"/>
          <w:numId w:val="3"/>
        </w:numPr>
        <w:rPr>
          <w:noProof/>
        </w:rPr>
      </w:pPr>
      <w:r w:rsidRPr="0011054E">
        <w:t>člen 5 se spremeni:</w:t>
      </w:r>
    </w:p>
    <w:p w:rsidR="00591517" w:rsidRPr="0011054E" w:rsidRDefault="00591517" w:rsidP="00703993">
      <w:pPr>
        <w:pStyle w:val="Point1letter"/>
      </w:pPr>
      <w:r w:rsidRPr="0011054E">
        <w:t>točka (a) se spremeni:</w:t>
      </w:r>
    </w:p>
    <w:p w:rsidR="00075C77" w:rsidRPr="0011054E" w:rsidRDefault="008F3946" w:rsidP="00BC47EF">
      <w:pPr>
        <w:pStyle w:val="Point1"/>
      </w:pPr>
      <w:r w:rsidRPr="0011054E">
        <w:t xml:space="preserve">(i) </w:t>
      </w:r>
      <w:r w:rsidRPr="0011054E">
        <w:tab/>
        <w:t>odstavek (4) se nadomesti z naslednjim:</w:t>
      </w:r>
    </w:p>
    <w:p w:rsidR="00075C77" w:rsidRPr="0011054E" w:rsidRDefault="00EA38CD" w:rsidP="00C34F30">
      <w:pPr>
        <w:pStyle w:val="Text2"/>
        <w:rPr>
          <w:noProof/>
        </w:rPr>
      </w:pPr>
      <w:r w:rsidRPr="0011054E">
        <w:t>„(4)</w:t>
      </w:r>
      <w:r w:rsidRPr="0011054E">
        <w:tab/>
        <w:t>informacije o geografski porazdelitvi izpostavljenosti po posameznih državah in združeno na skupni ravni, kot so določene v predlogi 9 iz Priloge I, v skladu z navodili iz točke 3.4 dela II Priloge II. Kar zadeva zlasti informacije iz predlog 9.1 in 9.2, se informacije o geografski porazdelitvi izpostavljenosti po posameznih državah poročajo, če so nedomače originalne izpostavljenosti v vseh „nedomačih“ državah v vseh razredih izpostavljenosti, kot se poročajo v vrstici 850 predloge 4 iz Priloge I, enake ali večje od 10 % skupnih domačih in nedomačih originalnih izpostavljenosti, kot se poročajo v vrstici 860 predloge 4 iz Priloge I. Za te potrebe se izpostavljenosti štejejo za domače, če so izpostavljenosti do nasprotnih strank, ki se nahajajo v državi članici, v kateri se nahaja institucija. Uporabljajo se vstopna in izstopna merila iz člena 4.“;</w:t>
      </w:r>
    </w:p>
    <w:p w:rsidR="00075C77" w:rsidRPr="0011054E" w:rsidRDefault="008F3946" w:rsidP="00BC47EF">
      <w:pPr>
        <w:pStyle w:val="Point1"/>
        <w:rPr>
          <w:noProof/>
        </w:rPr>
      </w:pPr>
      <w:r w:rsidRPr="0011054E">
        <w:t xml:space="preserve">(ii) </w:t>
      </w:r>
      <w:r w:rsidRPr="0011054E">
        <w:tab/>
        <w:t>doda se naslednji odstavek (12):</w:t>
      </w:r>
    </w:p>
    <w:p w:rsidR="00075C77" w:rsidRPr="0011054E" w:rsidRDefault="00EA38CD" w:rsidP="00C34F30">
      <w:pPr>
        <w:pStyle w:val="Text2"/>
        <w:rPr>
          <w:noProof/>
        </w:rPr>
      </w:pPr>
      <w:r w:rsidRPr="0011054E">
        <w:t>„(12)</w:t>
      </w:r>
      <w:r w:rsidRPr="0011054E">
        <w:tab/>
        <w:t>informacije o preudarnem vrednotenju iz predloge 32 Priloge I v skladu z navodili iz točke 6 dela II Priloge II, kot sledi:</w:t>
      </w:r>
    </w:p>
    <w:p w:rsidR="00075C77" w:rsidRPr="0011054E" w:rsidRDefault="008D3748" w:rsidP="00BC47EF">
      <w:pPr>
        <w:pStyle w:val="Text4"/>
        <w:rPr>
          <w:noProof/>
        </w:rPr>
      </w:pPr>
      <w:r w:rsidRPr="0011054E">
        <w:t>(i) vse institucije poročajo informacije, določene v predlogi 32.1 Priloge I, v skladu z navodili iz točke 6 dela II Priloge II;</w:t>
      </w:r>
    </w:p>
    <w:p w:rsidR="00075C77" w:rsidRPr="0011054E" w:rsidRDefault="008D3748" w:rsidP="00BC47EF">
      <w:pPr>
        <w:pStyle w:val="Text4"/>
        <w:rPr>
          <w:noProof/>
        </w:rPr>
      </w:pPr>
      <w:r w:rsidRPr="0011054E">
        <w:t>(ii) poleg poročanja iz točke (</w:t>
      </w:r>
      <w:r w:rsidR="00A37096">
        <w:t>i</w:t>
      </w:r>
      <w:r w:rsidRPr="0011054E">
        <w:t>) institucije, ki uporabljajo temeljni pristop v skladu z Uredbo (EU) 2016/101, poročajo tudi informacije, določene v predlogi 32.2 Priloge I v skladu z navodili iz točke 6 dela II Priloge II;</w:t>
      </w:r>
    </w:p>
    <w:p w:rsidR="00075C77" w:rsidRPr="0011054E" w:rsidRDefault="008D3748" w:rsidP="00BC47EF">
      <w:pPr>
        <w:pStyle w:val="Text4"/>
        <w:rPr>
          <w:noProof/>
        </w:rPr>
      </w:pPr>
      <w:r w:rsidRPr="0011054E">
        <w:t>(iii) poleg zahtev iz točk (</w:t>
      </w:r>
      <w:r w:rsidR="00A37096">
        <w:t>i</w:t>
      </w:r>
      <w:r w:rsidRPr="0011054E">
        <w:t>) in (</w:t>
      </w:r>
      <w:r w:rsidR="00A37096">
        <w:t>ii</w:t>
      </w:r>
      <w:r w:rsidRPr="0011054E">
        <w:t>) institucije, ki uporabljajo temeljni pristop v skladu z Uredbo (EU) 2016/101 in ki presegajo prag iz člena 4(1) navedene uredbe na svoji zadevni ravni poročanja, poročajo tudi informacije, določene v predlogah 32.3 in 32.4 Priloge I v skladu z navodili iz točke 6 dela II Priloge II.</w:t>
      </w:r>
    </w:p>
    <w:p w:rsidR="00075C77" w:rsidRPr="0011054E" w:rsidRDefault="00591517" w:rsidP="00703993">
      <w:pPr>
        <w:pStyle w:val="Text2"/>
        <w:rPr>
          <w:noProof/>
        </w:rPr>
      </w:pPr>
      <w:r w:rsidRPr="0011054E">
        <w:t>Za namene točke (a)(12) se vstopna in izstopna merila iz člena 4 ne uporabljajo.“;</w:t>
      </w:r>
    </w:p>
    <w:p w:rsidR="00591517" w:rsidRPr="0011054E" w:rsidRDefault="00591517" w:rsidP="00703993">
      <w:pPr>
        <w:pStyle w:val="Point1letter"/>
        <w:rPr>
          <w:noProof/>
        </w:rPr>
      </w:pPr>
      <w:r w:rsidRPr="0011054E">
        <w:t>točka (b) se spremeni:</w:t>
      </w:r>
    </w:p>
    <w:p w:rsidR="00075C77" w:rsidRPr="0011054E" w:rsidRDefault="00075C77" w:rsidP="00BC47EF">
      <w:pPr>
        <w:pStyle w:val="Text1"/>
        <w:rPr>
          <w:noProof/>
        </w:rPr>
      </w:pPr>
      <w:r w:rsidRPr="0011054E">
        <w:t>v točkah (a), (b) in (c) odstavka (3) se besedilo ‚točki 6 dela II Priloge II‘ nadomesti z besedilom ‚točki 7 dela II Priloge II‘;</w:t>
      </w:r>
    </w:p>
    <w:p w:rsidR="00075C77" w:rsidRPr="0011054E" w:rsidRDefault="00FA5963" w:rsidP="00075C77">
      <w:pPr>
        <w:pStyle w:val="Point0number"/>
        <w:rPr>
          <w:noProof/>
        </w:rPr>
      </w:pPr>
      <w:r w:rsidRPr="0011054E">
        <w:t>v členu 9(2) se točka (d) nadomesti z naslednjim:</w:t>
      </w:r>
    </w:p>
    <w:p w:rsidR="00075C77" w:rsidRPr="0011054E" w:rsidRDefault="00EA38CD" w:rsidP="00C34F30">
      <w:pPr>
        <w:pStyle w:val="Text1"/>
        <w:rPr>
          <w:noProof/>
        </w:rPr>
      </w:pPr>
      <w:r w:rsidRPr="0011054E">
        <w:t>„(d)</w:t>
      </w:r>
      <w:r w:rsidRPr="0011054E">
        <w:tab/>
        <w:t>vsako četrtletje informacije, določene v predlogi 20 dela 2 Priloge III, če institucija presega prag iz drugega stavka odstavka (4) člena 5(a). Uporabljajo se vstopna in izstopna merila iz člena 4;“;</w:t>
      </w:r>
    </w:p>
    <w:p w:rsidR="00075C77" w:rsidRPr="0011054E" w:rsidRDefault="00075C77" w:rsidP="00075C77">
      <w:pPr>
        <w:pStyle w:val="Point0number"/>
        <w:rPr>
          <w:noProof/>
        </w:rPr>
      </w:pPr>
      <w:r w:rsidRPr="0011054E">
        <w:t xml:space="preserve">Priloga I k Izvedbeni uredbi (EU) št. 680/2014 se nadomesti z besedilom iz Priloge I k tej uredbi; </w:t>
      </w:r>
    </w:p>
    <w:p w:rsidR="00075C77" w:rsidRPr="0011054E" w:rsidRDefault="00075C77" w:rsidP="00075C77">
      <w:pPr>
        <w:pStyle w:val="Point0number"/>
        <w:rPr>
          <w:noProof/>
        </w:rPr>
      </w:pPr>
      <w:r w:rsidRPr="0011054E">
        <w:t xml:space="preserve">Priloga II k Izvedbeni uredbi (EU) št. 680/2014 se nadomesti z besedilom iz Priloge II k tej uredbi; </w:t>
      </w:r>
    </w:p>
    <w:p w:rsidR="00075C77" w:rsidRPr="0011054E" w:rsidRDefault="00075C77" w:rsidP="00075C77">
      <w:pPr>
        <w:pStyle w:val="Point0number"/>
        <w:rPr>
          <w:noProof/>
        </w:rPr>
      </w:pPr>
      <w:r w:rsidRPr="0011054E">
        <w:t>Priloga V k Izvedbeni uredbi (EU) št. 680/2014 se nadomesti z besedilom iz Priloge III k tej uredbi;</w:t>
      </w:r>
    </w:p>
    <w:p w:rsidR="00075C77" w:rsidRPr="0011054E" w:rsidRDefault="00075C77" w:rsidP="00075C77">
      <w:pPr>
        <w:pStyle w:val="Point0number"/>
        <w:rPr>
          <w:noProof/>
        </w:rPr>
      </w:pPr>
      <w:r w:rsidRPr="0011054E">
        <w:t>Priloga IX k Izvedbeni uredbi (EU) št. 680/2014 se nadomesti z besedilom iz Priloge IV k tej uredbi;</w:t>
      </w:r>
    </w:p>
    <w:p w:rsidR="00075C77" w:rsidRPr="0011054E" w:rsidRDefault="00075C77" w:rsidP="00075C77">
      <w:pPr>
        <w:pStyle w:val="Point0number"/>
        <w:rPr>
          <w:noProof/>
        </w:rPr>
      </w:pPr>
      <w:r w:rsidRPr="0011054E">
        <w:t>Priloga XI k Izvedbeni uredbi (EU) št. 680/2014 se nadomesti z besedilom iz Priloge V k tej uredbi;</w:t>
      </w:r>
    </w:p>
    <w:p w:rsidR="00075C77" w:rsidRPr="0011054E" w:rsidRDefault="00075C77" w:rsidP="00075C77">
      <w:pPr>
        <w:pStyle w:val="Point0number"/>
        <w:rPr>
          <w:noProof/>
        </w:rPr>
      </w:pPr>
      <w:r w:rsidRPr="0011054E">
        <w:t>Priloga XVI k Izvedbeni uredbi (EU) št. 680/2014 se nadomesti z besedilom iz Priloge VI k tej uredbi;</w:t>
      </w:r>
    </w:p>
    <w:p w:rsidR="00075C77" w:rsidRPr="0011054E" w:rsidRDefault="00075C77" w:rsidP="00075C77">
      <w:pPr>
        <w:pStyle w:val="Point0number"/>
        <w:rPr>
          <w:noProof/>
        </w:rPr>
      </w:pPr>
      <w:r w:rsidRPr="0011054E">
        <w:t>Priloga XIX k Izvedbeni uredbi (EU) št. 680/2014 se nadomesti z besedilom iz Priloge VII k tej uredbi;</w:t>
      </w:r>
    </w:p>
    <w:p w:rsidR="00075C77" w:rsidRPr="0011054E" w:rsidRDefault="00075C77" w:rsidP="00075C77">
      <w:pPr>
        <w:pStyle w:val="Point0number"/>
        <w:rPr>
          <w:noProof/>
        </w:rPr>
      </w:pPr>
      <w:r w:rsidRPr="0011054E">
        <w:t>Priloga XXI k Izvedbeni uredbi (EU) št. 680/2014 se nadomesti z besedilom iz Priloge VIII k tej uredbi;</w:t>
      </w:r>
    </w:p>
    <w:p w:rsidR="00075C77" w:rsidRPr="0011054E" w:rsidRDefault="00075C77" w:rsidP="00075C77">
      <w:pPr>
        <w:pStyle w:val="Point0number"/>
        <w:rPr>
          <w:noProof/>
        </w:rPr>
      </w:pPr>
      <w:r w:rsidRPr="0011054E">
        <w:t>Priloga XXII k Izvedbeni uredbi (EU) št. 680/2014 se nadomesti z besedilom iz Priloge IX k tej uredbi;</w:t>
      </w:r>
    </w:p>
    <w:p w:rsidR="00075C77" w:rsidRPr="0011054E" w:rsidRDefault="00075C77" w:rsidP="00075C77">
      <w:pPr>
        <w:pStyle w:val="Point0number"/>
      </w:pPr>
      <w:r w:rsidRPr="0011054E">
        <w:t>Priloga XXIII k Izvedbeni uredbi (EU) št. 680/2014 se nadomesti z besedilom iz Priloge X k tej uredbi.</w:t>
      </w:r>
    </w:p>
    <w:p w:rsidR="00075C77" w:rsidRPr="0011054E" w:rsidRDefault="00075C77" w:rsidP="004E1EF9">
      <w:pPr>
        <w:pStyle w:val="Titrearticle"/>
      </w:pPr>
      <w:r w:rsidRPr="0011054E">
        <w:t>Člen 2</w:t>
      </w:r>
    </w:p>
    <w:p w:rsidR="00075C77" w:rsidRPr="0011054E" w:rsidRDefault="00075C77" w:rsidP="004E1EF9">
      <w:r w:rsidRPr="0011054E">
        <w:t xml:space="preserve">Ta uredba začne veljati </w:t>
      </w:r>
      <w:r w:rsidRPr="0011054E">
        <w:rPr>
          <w:noProof/>
          <w:color w:val="000000"/>
        </w:rPr>
        <w:t xml:space="preserve">dvajseti </w:t>
      </w:r>
      <w:r w:rsidRPr="0011054E">
        <w:t xml:space="preserve">dan po objavi v </w:t>
      </w:r>
      <w:r w:rsidRPr="0011054E">
        <w:rPr>
          <w:i/>
        </w:rPr>
        <w:t>Uradnem listu Evropske unije</w:t>
      </w:r>
      <w:r w:rsidRPr="0011054E">
        <w:t>.</w:t>
      </w:r>
    </w:p>
    <w:p w:rsidR="00075C77" w:rsidRPr="0011054E" w:rsidRDefault="00075C77" w:rsidP="004E1EF9">
      <w:r w:rsidRPr="0011054E">
        <w:t>Uporablja se od 1. decembra 2018.</w:t>
      </w:r>
    </w:p>
    <w:p w:rsidR="00075C77" w:rsidRPr="0011054E" w:rsidRDefault="00075C77" w:rsidP="004E1EF9">
      <w:pPr>
        <w:pStyle w:val="Applicationdirecte"/>
      </w:pPr>
      <w:r w:rsidRPr="0011054E">
        <w:t>Ta uredba je v celoti zavezujoča in se neposredno uporablja v vseh državah članicah.</w:t>
      </w:r>
    </w:p>
    <w:p w:rsidR="00075C77" w:rsidRPr="0011054E" w:rsidRDefault="00AB7F42" w:rsidP="00AB7F42">
      <w:pPr>
        <w:pStyle w:val="Fait"/>
      </w:pPr>
      <w:r w:rsidRPr="00AB7F42">
        <w:t>V Bruslju,</w:t>
      </w:r>
    </w:p>
    <w:p w:rsidR="00C52F7E" w:rsidRPr="0011054E" w:rsidRDefault="00075C77" w:rsidP="00C52F7E">
      <w:pPr>
        <w:pStyle w:val="Institutionquisigne"/>
      </w:pPr>
      <w:r w:rsidRPr="0011054E">
        <w:tab/>
        <w:t>Za Komisijo</w:t>
      </w:r>
    </w:p>
    <w:p w:rsidR="00C52F7E" w:rsidRPr="0011054E" w:rsidRDefault="00C52F7E" w:rsidP="00B44BBC">
      <w:pPr>
        <w:pStyle w:val="Personnequisigne"/>
      </w:pPr>
      <w:r w:rsidRPr="0011054E">
        <w:tab/>
        <w:t>Predsednik</w:t>
      </w:r>
    </w:p>
    <w:p w:rsidR="00075C77" w:rsidRPr="0011054E" w:rsidRDefault="00C52F7E" w:rsidP="00B44BBC">
      <w:pPr>
        <w:pStyle w:val="Personnequisigne"/>
      </w:pPr>
      <w:r w:rsidRPr="0011054E">
        <w:tab/>
        <w:t>Jean-Claude JUNCKER</w:t>
      </w:r>
      <w:r w:rsidRPr="0011054E">
        <w:tab/>
      </w:r>
      <w:r w:rsidRPr="0011054E">
        <w:br/>
      </w:r>
      <w:r w:rsidRPr="0011054E">
        <w:tab/>
      </w:r>
      <w:r w:rsidRPr="0011054E">
        <w:br/>
      </w:r>
    </w:p>
    <w:sectPr w:rsidR="00075C77" w:rsidRPr="0011054E" w:rsidSect="00831728">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268" w:rsidRDefault="00322268" w:rsidP="00075C77">
      <w:pPr>
        <w:spacing w:before="0" w:after="0"/>
      </w:pPr>
      <w:r>
        <w:separator/>
      </w:r>
    </w:p>
  </w:endnote>
  <w:endnote w:type="continuationSeparator" w:id="0">
    <w:p w:rsidR="00322268" w:rsidRDefault="00322268" w:rsidP="00075C77">
      <w:pPr>
        <w:spacing w:before="0" w:after="0"/>
      </w:pPr>
      <w:r>
        <w:continuationSeparator/>
      </w:r>
    </w:p>
  </w:endnote>
  <w:endnote w:type="continuationNotice" w:id="1">
    <w:p w:rsidR="00322268" w:rsidRDefault="003222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728" w:rsidRPr="00831728" w:rsidRDefault="00831728" w:rsidP="008317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4E" w:rsidRPr="00831728" w:rsidRDefault="00831728" w:rsidP="00831728">
    <w:pPr>
      <w:pStyle w:val="Footer"/>
      <w:rPr>
        <w:rFonts w:ascii="Arial" w:hAnsi="Arial" w:cs="Arial"/>
        <w:b/>
        <w:sz w:val="48"/>
      </w:rPr>
    </w:pPr>
    <w:r w:rsidRPr="00831728">
      <w:rPr>
        <w:rFonts w:ascii="Arial" w:hAnsi="Arial" w:cs="Arial"/>
        <w:b/>
        <w:sz w:val="48"/>
      </w:rPr>
      <w:t>SL</w:t>
    </w:r>
    <w:r w:rsidRPr="00831728">
      <w:rPr>
        <w:rFonts w:ascii="Arial" w:hAnsi="Arial" w:cs="Arial"/>
        <w:b/>
        <w:sz w:val="48"/>
      </w:rPr>
      <w:tab/>
    </w:r>
    <w:r w:rsidRPr="00831728">
      <w:rPr>
        <w:rFonts w:ascii="Arial" w:hAnsi="Arial" w:cs="Arial"/>
        <w:b/>
        <w:sz w:val="48"/>
      </w:rPr>
      <w:tab/>
    </w:r>
    <w:r w:rsidRPr="00831728">
      <w:tab/>
    </w:r>
    <w:r w:rsidRPr="00831728">
      <w:rPr>
        <w:rFonts w:ascii="Arial" w:hAnsi="Arial" w:cs="Arial"/>
        <w:b/>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728" w:rsidRPr="00831728" w:rsidRDefault="00831728" w:rsidP="0083172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728" w:rsidRPr="00831728" w:rsidRDefault="00831728" w:rsidP="00831728">
    <w:pPr>
      <w:pStyle w:val="Footer"/>
      <w:rPr>
        <w:rFonts w:ascii="Arial" w:hAnsi="Arial" w:cs="Arial"/>
        <w:b/>
        <w:sz w:val="48"/>
      </w:rPr>
    </w:pPr>
    <w:r w:rsidRPr="00831728">
      <w:rPr>
        <w:rFonts w:ascii="Arial" w:hAnsi="Arial" w:cs="Arial"/>
        <w:b/>
        <w:sz w:val="48"/>
      </w:rPr>
      <w:t>SL</w:t>
    </w:r>
    <w:r w:rsidRPr="00831728">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831728">
      <w:tab/>
    </w:r>
    <w:r w:rsidRPr="00831728">
      <w:rPr>
        <w:rFonts w:ascii="Arial" w:hAnsi="Arial" w:cs="Arial"/>
        <w:b/>
        <w:sz w:val="48"/>
      </w:rPr>
      <w:t>SL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728" w:rsidRPr="00831728" w:rsidRDefault="00831728" w:rsidP="008317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268" w:rsidRDefault="00322268" w:rsidP="00075C77">
      <w:pPr>
        <w:spacing w:before="0" w:after="0"/>
      </w:pPr>
      <w:r>
        <w:separator/>
      </w:r>
    </w:p>
  </w:footnote>
  <w:footnote w:type="continuationSeparator" w:id="0">
    <w:p w:rsidR="00322268" w:rsidRDefault="00322268" w:rsidP="00075C77">
      <w:pPr>
        <w:spacing w:before="0" w:after="0"/>
      </w:pPr>
      <w:r>
        <w:continuationSeparator/>
      </w:r>
    </w:p>
  </w:footnote>
  <w:footnote w:type="continuationNotice" w:id="1">
    <w:p w:rsidR="00322268" w:rsidRDefault="00322268">
      <w:pPr>
        <w:spacing w:before="0" w:after="0"/>
      </w:pPr>
    </w:p>
  </w:footnote>
  <w:footnote w:id="2">
    <w:p w:rsidR="00075C77" w:rsidRDefault="00075C77" w:rsidP="00075C77">
      <w:pPr>
        <w:pStyle w:val="FootnoteText"/>
      </w:pPr>
      <w:r>
        <w:rPr>
          <w:rStyle w:val="FootnoteReference"/>
        </w:rPr>
        <w:footnoteRef/>
      </w:r>
      <w:r>
        <w:tab/>
        <w:t>UL L 176, 27.6.2013, str. 1.</w:t>
      </w:r>
    </w:p>
  </w:footnote>
  <w:footnote w:id="3">
    <w:p w:rsidR="00075C77" w:rsidRDefault="00075C77" w:rsidP="00075C77">
      <w:pPr>
        <w:pStyle w:val="FootnoteText"/>
      </w:pPr>
      <w:r>
        <w:rPr>
          <w:rStyle w:val="FootnoteReference"/>
        </w:rPr>
        <w:footnoteRef/>
      </w:r>
      <w:r>
        <w:tab/>
        <w:t>Izvedbena uredba Komisije (EU) št. 680/2014 o določitvi izvedbenih tehničnih standardov v zvezi z nadzorniškim poročanjem institucij v skladu z Uredbo (EU) št. 575/2013 Evropskega parlamenta in Sveta (UL L 191, 28.6.2014, str. 1).</w:t>
      </w:r>
    </w:p>
  </w:footnote>
  <w:footnote w:id="4">
    <w:p w:rsidR="00075C77" w:rsidRDefault="00075C77" w:rsidP="00075C77">
      <w:pPr>
        <w:pStyle w:val="FootnoteText"/>
      </w:pPr>
      <w:r>
        <w:rPr>
          <w:rStyle w:val="FootnoteReference"/>
        </w:rPr>
        <w:footnoteRef/>
      </w:r>
      <w:r>
        <w:tab/>
        <w:t>Delegirana uredba Komisije (EU) 2016/101 z dne 26. oktobra 2015 o dopolnitvi Uredbe (EU) št. 575/2013 Evropskega parlamenta in Sveta v zvezi z regulativnimi tehničnimi standardi za preudarno vrednotenje v skladu s členom 105(14) (UL L 21, 28.1.2016, str. 54).</w:t>
      </w:r>
    </w:p>
  </w:footnote>
  <w:footnote w:id="5">
    <w:p w:rsidR="00075C77" w:rsidRDefault="00075C77" w:rsidP="00075C77">
      <w:pPr>
        <w:pStyle w:val="FootnoteText"/>
      </w:pPr>
      <w:r>
        <w:rPr>
          <w:rStyle w:val="FootnoteReference"/>
        </w:rPr>
        <w:footnoteRef/>
      </w:r>
      <w:r>
        <w:tab/>
        <w:t>Uredba (EU) 2017/2401 Evropskega parlamenta in Sveta z dne 12. decembra 2017 o spremembi Uredbe (EU) št. 575/2013 o bonitetnih zahtevah za kreditne institucije in investicijska podjetja (UL L 347, 28.12.2017, str. 1).</w:t>
      </w:r>
    </w:p>
  </w:footnote>
  <w:footnote w:id="6">
    <w:p w:rsidR="00075C77" w:rsidRDefault="00075C77" w:rsidP="00075C77">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728" w:rsidRPr="00831728" w:rsidRDefault="00831728" w:rsidP="008317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728" w:rsidRPr="00831728" w:rsidRDefault="00831728" w:rsidP="008317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728" w:rsidRPr="00831728" w:rsidRDefault="00831728" w:rsidP="008317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0 11:19:0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F3322B11-319D-485E-8F85-0D2D882603B6"/>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lt;EMPTY&gt;"/>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 spremembi Izvedbene uredbe (EU) \u353?t. 680/2014 v zvezi s preudarnim vrednotenjem za namene nadzorni\u353?kega poro\u269?anja"/>
    <w:docVar w:name="LW_TYPE.DOC.CP" w:val="IZVEDBENA UREDBA KOMISIJE (EU) \u8230?/\u8230?"/>
  </w:docVars>
  <w:rsids>
    <w:rsidRoot w:val="00075C77"/>
    <w:rsid w:val="000057D4"/>
    <w:rsid w:val="000059F6"/>
    <w:rsid w:val="00050818"/>
    <w:rsid w:val="00075C77"/>
    <w:rsid w:val="000B1896"/>
    <w:rsid w:val="000B6375"/>
    <w:rsid w:val="000E01B6"/>
    <w:rsid w:val="0011054E"/>
    <w:rsid w:val="00114009"/>
    <w:rsid w:val="0011702C"/>
    <w:rsid w:val="00153178"/>
    <w:rsid w:val="00183733"/>
    <w:rsid w:val="00187556"/>
    <w:rsid w:val="00195568"/>
    <w:rsid w:val="001B4957"/>
    <w:rsid w:val="001B7B9B"/>
    <w:rsid w:val="001D5ED6"/>
    <w:rsid w:val="002368E9"/>
    <w:rsid w:val="00245E42"/>
    <w:rsid w:val="00254390"/>
    <w:rsid w:val="00270069"/>
    <w:rsid w:val="002B2B93"/>
    <w:rsid w:val="002B7A5C"/>
    <w:rsid w:val="002C0C3E"/>
    <w:rsid w:val="002E1143"/>
    <w:rsid w:val="002E30FD"/>
    <w:rsid w:val="002E476B"/>
    <w:rsid w:val="002F2F88"/>
    <w:rsid w:val="00316051"/>
    <w:rsid w:val="00322268"/>
    <w:rsid w:val="00337032"/>
    <w:rsid w:val="00345BFD"/>
    <w:rsid w:val="00352527"/>
    <w:rsid w:val="003805E1"/>
    <w:rsid w:val="003C1FB8"/>
    <w:rsid w:val="003C4B9E"/>
    <w:rsid w:val="003D0541"/>
    <w:rsid w:val="003D2AE0"/>
    <w:rsid w:val="003E1023"/>
    <w:rsid w:val="004A2CE3"/>
    <w:rsid w:val="004B24D6"/>
    <w:rsid w:val="004D6264"/>
    <w:rsid w:val="004D64A2"/>
    <w:rsid w:val="004D69DD"/>
    <w:rsid w:val="004F6673"/>
    <w:rsid w:val="00550B8C"/>
    <w:rsid w:val="00556044"/>
    <w:rsid w:val="00591517"/>
    <w:rsid w:val="006063E0"/>
    <w:rsid w:val="00611636"/>
    <w:rsid w:val="00635D8A"/>
    <w:rsid w:val="00644EC4"/>
    <w:rsid w:val="006572EF"/>
    <w:rsid w:val="00683624"/>
    <w:rsid w:val="00686C9B"/>
    <w:rsid w:val="00693969"/>
    <w:rsid w:val="006B0779"/>
    <w:rsid w:val="006C1BB8"/>
    <w:rsid w:val="006C3766"/>
    <w:rsid w:val="006D4BD3"/>
    <w:rsid w:val="006E6DF9"/>
    <w:rsid w:val="00703993"/>
    <w:rsid w:val="00710ED6"/>
    <w:rsid w:val="007137E5"/>
    <w:rsid w:val="0079753D"/>
    <w:rsid w:val="007A5482"/>
    <w:rsid w:val="007D178B"/>
    <w:rsid w:val="007D231E"/>
    <w:rsid w:val="007E3D3C"/>
    <w:rsid w:val="007F22F0"/>
    <w:rsid w:val="007F7024"/>
    <w:rsid w:val="00831728"/>
    <w:rsid w:val="00832BE2"/>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848BD"/>
    <w:rsid w:val="009856E0"/>
    <w:rsid w:val="009A0F50"/>
    <w:rsid w:val="009A41B1"/>
    <w:rsid w:val="009A5117"/>
    <w:rsid w:val="009D1315"/>
    <w:rsid w:val="009D2666"/>
    <w:rsid w:val="00A011C2"/>
    <w:rsid w:val="00A37096"/>
    <w:rsid w:val="00A44BB4"/>
    <w:rsid w:val="00A729A6"/>
    <w:rsid w:val="00AB374A"/>
    <w:rsid w:val="00AB57B6"/>
    <w:rsid w:val="00AB7C3D"/>
    <w:rsid w:val="00AB7F42"/>
    <w:rsid w:val="00AE410E"/>
    <w:rsid w:val="00AF5D3B"/>
    <w:rsid w:val="00B00630"/>
    <w:rsid w:val="00B356A6"/>
    <w:rsid w:val="00B37490"/>
    <w:rsid w:val="00B4358B"/>
    <w:rsid w:val="00B44BBC"/>
    <w:rsid w:val="00B6250D"/>
    <w:rsid w:val="00B82382"/>
    <w:rsid w:val="00B8279F"/>
    <w:rsid w:val="00BB074E"/>
    <w:rsid w:val="00BC47EF"/>
    <w:rsid w:val="00BC5893"/>
    <w:rsid w:val="00BD6B06"/>
    <w:rsid w:val="00BD7EE1"/>
    <w:rsid w:val="00BE3FE2"/>
    <w:rsid w:val="00C34F30"/>
    <w:rsid w:val="00C3699D"/>
    <w:rsid w:val="00C36E0D"/>
    <w:rsid w:val="00C52F7E"/>
    <w:rsid w:val="00C96B0B"/>
    <w:rsid w:val="00CA67F0"/>
    <w:rsid w:val="00CC5469"/>
    <w:rsid w:val="00CE607F"/>
    <w:rsid w:val="00D0288C"/>
    <w:rsid w:val="00D07548"/>
    <w:rsid w:val="00D262BE"/>
    <w:rsid w:val="00D34F59"/>
    <w:rsid w:val="00D4733C"/>
    <w:rsid w:val="00D72D6E"/>
    <w:rsid w:val="00D73215"/>
    <w:rsid w:val="00D826FC"/>
    <w:rsid w:val="00D87087"/>
    <w:rsid w:val="00D94862"/>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7515"/>
    <w:rsid w:val="00F2304B"/>
    <w:rsid w:val="00F351E1"/>
    <w:rsid w:val="00F4523F"/>
    <w:rsid w:val="00F673EC"/>
    <w:rsid w:val="00F76AFA"/>
    <w:rsid w:val="00F847AC"/>
    <w:rsid w:val="00FA4EBB"/>
    <w:rsid w:val="00FA5963"/>
    <w:rsid w:val="00FB319D"/>
    <w:rsid w:val="00FC4E75"/>
    <w:rsid w:val="00FE50BF"/>
    <w:rsid w:val="00FE5C4A"/>
    <w:rsid w:val="00FE5CC0"/>
    <w:rsid w:val="00FF0F33"/>
    <w:rsid w:val="00FF40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sl-SI"/>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sl-SI"/>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sl-SI"/>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sl-SI"/>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TotalTime>
  <Pages>1</Pages>
  <Words>1185</Words>
  <Characters>6500</Characters>
  <Application>Microsoft Office Word</Application>
  <DocSecurity>0</DocSecurity>
  <Lines>126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JEZOVNIK Viktorija (DGT)</cp:lastModifiedBy>
  <cp:revision>3</cp:revision>
  <cp:lastPrinted>2018-06-12T12:37:00Z</cp:lastPrinted>
  <dcterms:created xsi:type="dcterms:W3CDTF">2018-09-20T09:18:00Z</dcterms:created>
  <dcterms:modified xsi:type="dcterms:W3CDTF">2018-09-20T09:19:00Z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