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2E9" w:rsidRPr="00E83F90" w:rsidRDefault="009502E9" w:rsidP="00A33695">
      <w:pPr>
        <w:jc w:val="center"/>
        <w:rPr>
          <w:rFonts w:ascii="Times New Roman" w:hAnsi="Times New Roman"/>
          <w:b/>
          <w:sz w:val="24"/>
        </w:rPr>
      </w:pPr>
      <w:bookmarkStart w:id="0" w:name="_Toc262568021"/>
      <w:bookmarkStart w:id="1" w:name="_Toc295829847"/>
      <w:r>
        <w:rPr>
          <w:rFonts w:ascii="Times New Roman" w:hAnsi="Times New Roman"/>
          <w:b/>
          <w:sz w:val="24"/>
        </w:rPr>
        <w:t>EL</w:t>
      </w:r>
    </w:p>
    <w:p w:rsidR="00FF3ED5" w:rsidRDefault="00FF3ED5" w:rsidP="00A33695">
      <w:pPr>
        <w:jc w:val="center"/>
        <w:rPr>
          <w:rFonts w:ascii="Times New Roman" w:hAnsi="Times New Roman"/>
          <w:b/>
          <w:sz w:val="24"/>
        </w:rPr>
      </w:pPr>
      <w:r>
        <w:rPr>
          <w:rFonts w:ascii="Times New Roman" w:hAnsi="Times New Roman"/>
          <w:b/>
          <w:sz w:val="24"/>
        </w:rPr>
        <w:t>ΠΑΡAΡΤΗΜΑ IV</w:t>
      </w:r>
    </w:p>
    <w:p w:rsidR="008F53AF" w:rsidRPr="00E83F90" w:rsidRDefault="008F53AF" w:rsidP="00A33695">
      <w:pPr>
        <w:jc w:val="center"/>
        <w:rPr>
          <w:rFonts w:ascii="Times New Roman" w:hAnsi="Times New Roman"/>
          <w:b/>
          <w:sz w:val="24"/>
        </w:rPr>
      </w:pPr>
    </w:p>
    <w:p w:rsidR="00C87CEE" w:rsidRPr="00C81874" w:rsidRDefault="00530C90" w:rsidP="00A33695">
      <w:pPr>
        <w:jc w:val="center"/>
        <w:rPr>
          <w:rFonts w:ascii="Times New Roman" w:hAnsi="Times New Roman"/>
          <w:b/>
          <w:sz w:val="24"/>
          <w:u w:val="single"/>
        </w:rPr>
      </w:pPr>
      <w:r>
        <w:rPr>
          <w:rFonts w:ascii="Times New Roman" w:hAnsi="Times New Roman"/>
          <w:b/>
          <w:sz w:val="24"/>
          <w:u w:val="single"/>
        </w:rPr>
        <w:t>«ΠΑΡΑΡΤΗΜΑ IX</w:t>
      </w:r>
    </w:p>
    <w:p w:rsidR="00307ABE" w:rsidRDefault="00F41B3A" w:rsidP="00C87CEE">
      <w:pPr>
        <w:jc w:val="center"/>
        <w:rPr>
          <w:rFonts w:ascii="Times New Roman" w:hAnsi="Times New Roman"/>
          <w:b/>
          <w:sz w:val="24"/>
        </w:rPr>
      </w:pPr>
      <w:r>
        <w:rPr>
          <w:rFonts w:ascii="Times New Roman" w:hAnsi="Times New Roman"/>
          <w:b/>
          <w:sz w:val="24"/>
        </w:rPr>
        <w:t xml:space="preserve">ΟΔΗΓΙΕΣ ΓΙΑ ΤΗΝ ΥΠΟΒΟΛΗ ΑΝΑΦΟΡΩΝ ΣΧΕΤΙΚΑ ΜΕ ΤΑ ΜΕΓΑΛΑ </w:t>
      </w:r>
    </w:p>
    <w:p w:rsidR="00DD58A5" w:rsidRDefault="00F41B3A" w:rsidP="00C87CEE">
      <w:pPr>
        <w:jc w:val="center"/>
        <w:rPr>
          <w:rFonts w:ascii="Times New Roman" w:hAnsi="Times New Roman"/>
          <w:b/>
          <w:sz w:val="24"/>
        </w:rPr>
      </w:pPr>
      <w:r>
        <w:rPr>
          <w:rFonts w:ascii="Times New Roman" w:hAnsi="Times New Roman"/>
          <w:b/>
          <w:sz w:val="24"/>
        </w:rPr>
        <w:t>ΧΡ</w:t>
      </w:r>
      <w:r>
        <w:rPr>
          <w:rFonts w:ascii="Times New Roman" w:hAnsi="Times New Roman"/>
          <w:b/>
          <w:sz w:val="24"/>
        </w:rPr>
        <w:t>Η</w:t>
      </w:r>
      <w:r>
        <w:rPr>
          <w:rFonts w:ascii="Times New Roman" w:hAnsi="Times New Roman"/>
          <w:b/>
          <w:sz w:val="24"/>
        </w:rPr>
        <w:t>ΜΑΤΟΔΟΤΙΚΑ</w:t>
      </w:r>
      <w:r w:rsidR="00307ABE">
        <w:rPr>
          <w:rFonts w:ascii="Times New Roman" w:hAnsi="Times New Roman"/>
          <w:b/>
          <w:sz w:val="24"/>
        </w:rPr>
        <w:t> </w:t>
      </w:r>
      <w:r>
        <w:rPr>
          <w:rFonts w:ascii="Times New Roman" w:hAnsi="Times New Roman"/>
          <w:b/>
          <w:sz w:val="24"/>
        </w:rPr>
        <w:t xml:space="preserve">ΑΝΟΙΓΜΑΤΑ ΚΑΙ </w:t>
      </w:r>
    </w:p>
    <w:p w:rsidR="00C87CEE" w:rsidRPr="00EF13C2" w:rsidRDefault="00F41B3A" w:rsidP="00C87CEE">
      <w:pPr>
        <w:jc w:val="center"/>
        <w:rPr>
          <w:rFonts w:ascii="Times New Roman" w:hAnsi="Times New Roman"/>
          <w:b/>
          <w:sz w:val="24"/>
        </w:rPr>
      </w:pPr>
      <w:r>
        <w:rPr>
          <w:rFonts w:ascii="Times New Roman" w:hAnsi="Times New Roman"/>
          <w:b/>
          <w:sz w:val="24"/>
        </w:rPr>
        <w:t>ΤΟΝ ΚΙΝΔΥΝΟ ΣΥΓΚΕΝΤΡΩΣΗΣ</w:t>
      </w:r>
    </w:p>
    <w:p w:rsidR="00224E73" w:rsidRPr="00384ADB" w:rsidRDefault="00224E73" w:rsidP="00317768">
      <w:pPr>
        <w:pStyle w:val="Heading6"/>
        <w:rPr>
          <w:sz w:val="24"/>
          <w:szCs w:val="24"/>
        </w:rPr>
      </w:pPr>
    </w:p>
    <w:p w:rsidR="00224E73" w:rsidRPr="00384ADB" w:rsidRDefault="00224E73" w:rsidP="00317768">
      <w:pPr>
        <w:pStyle w:val="Heading6"/>
        <w:rPr>
          <w:sz w:val="24"/>
          <w:szCs w:val="24"/>
        </w:rPr>
      </w:pPr>
    </w:p>
    <w:p w:rsidR="001D23F1" w:rsidRPr="00384ADB" w:rsidRDefault="001D23F1" w:rsidP="001D23F1">
      <w:pPr>
        <w:rPr>
          <w:rFonts w:ascii="Times New Roman" w:hAnsi="Times New Roman"/>
          <w:sz w:val="24"/>
        </w:rPr>
      </w:pPr>
    </w:p>
    <w:p w:rsidR="00D64B66" w:rsidRPr="00384ADB" w:rsidRDefault="003105C6" w:rsidP="00317768">
      <w:pPr>
        <w:pStyle w:val="Heading6"/>
        <w:rPr>
          <w:sz w:val="24"/>
          <w:szCs w:val="24"/>
        </w:rPr>
      </w:pPr>
      <w:r>
        <w:rPr>
          <w:sz w:val="24"/>
        </w:rPr>
        <w:t>Πίνακας περιεχομένων</w:t>
      </w:r>
    </w:p>
    <w:bookmarkStart w:id="2" w:name="_GoBack"/>
    <w:bookmarkEnd w:id="2"/>
    <w:p w:rsidR="009377B2" w:rsidRDefault="009377B2">
      <w:pPr>
        <w:pStyle w:val="TOC2"/>
        <w:rPr>
          <w:rFonts w:asciiTheme="minorHAnsi" w:eastAsiaTheme="minorEastAsia" w:hAnsiTheme="minorHAnsi" w:cstheme="minorBidi"/>
          <w:b w:val="0"/>
          <w:smallCaps w:val="0"/>
          <w:sz w:val="22"/>
          <w:lang w:val="en-GB" w:eastAsia="en-GB" w:bidi="ar-SA"/>
        </w:rPr>
      </w:pPr>
      <w:r>
        <w:rPr>
          <w:rFonts w:ascii="Times New Roman" w:hAnsi="Times New Roman"/>
          <w:noProof w:val="0"/>
          <w:sz w:val="24"/>
          <w:szCs w:val="24"/>
        </w:rPr>
        <w:fldChar w:fldCharType="begin"/>
      </w:r>
      <w:r w:rsidR="00621F98">
        <w:rPr>
          <w:rFonts w:ascii="Times New Roman" w:hAnsi="Times New Roman"/>
          <w:noProof w:val="0"/>
          <w:sz w:val="24"/>
          <w:szCs w:val="24"/>
        </w:rPr>
        <w:instrText xml:space="preserve"> TOC \o "1-3" \h \z \u </w:instrText>
      </w:r>
      <w:r>
        <w:rPr>
          <w:rFonts w:ascii="Times New Roman" w:hAnsi="Times New Roman"/>
          <w:noProof w:val="0"/>
          <w:sz w:val="24"/>
          <w:szCs w:val="24"/>
        </w:rPr>
        <w:fldChar w:fldCharType="separate"/>
      </w:r>
      <w:hyperlink w:anchor="_Toc524267391" w:history="1">
        <w:r w:rsidRPr="008B5044">
          <w:rPr>
            <w:rStyle w:val="Hyperlink"/>
            <w:rFonts w:ascii="Times New Roman" w:hAnsi="Times New Roman"/>
          </w:rPr>
          <w:t>ΜΕΡΟΣ I: ΓΕΝΙΚΕΣ ΟΔΗΓΙΕΣ</w:t>
        </w:r>
        <w:r>
          <w:rPr>
            <w:webHidden/>
          </w:rPr>
          <w:tab/>
        </w:r>
        <w:r>
          <w:rPr>
            <w:webHidden/>
          </w:rPr>
          <w:fldChar w:fldCharType="begin"/>
        </w:r>
        <w:r>
          <w:rPr>
            <w:webHidden/>
          </w:rPr>
          <w:instrText xml:space="preserve"> PAGEREF _Toc524267391 \h </w:instrText>
        </w:r>
        <w:r>
          <w:rPr>
            <w:webHidden/>
          </w:rPr>
        </w:r>
        <w:r>
          <w:rPr>
            <w:webHidden/>
          </w:rPr>
          <w:fldChar w:fldCharType="separate"/>
        </w:r>
        <w:r>
          <w:rPr>
            <w:webHidden/>
          </w:rPr>
          <w:t>2</w:t>
        </w:r>
        <w:r>
          <w:rPr>
            <w:webHidden/>
          </w:rPr>
          <w:fldChar w:fldCharType="end"/>
        </w:r>
      </w:hyperlink>
    </w:p>
    <w:p w:rsidR="009377B2" w:rsidRDefault="009377B2">
      <w:pPr>
        <w:pStyle w:val="TOC2"/>
        <w:rPr>
          <w:rFonts w:asciiTheme="minorHAnsi" w:eastAsiaTheme="minorEastAsia" w:hAnsiTheme="minorHAnsi" w:cstheme="minorBidi"/>
          <w:b w:val="0"/>
          <w:smallCaps w:val="0"/>
          <w:sz w:val="22"/>
          <w:lang w:val="en-GB" w:eastAsia="en-GB" w:bidi="ar-SA"/>
        </w:rPr>
      </w:pPr>
      <w:hyperlink w:anchor="_Toc524267392" w:history="1">
        <w:r w:rsidRPr="008B5044">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8B5044">
          <w:rPr>
            <w:rStyle w:val="Hyperlink"/>
            <w:rFonts w:ascii="Times New Roman" w:hAnsi="Times New Roman"/>
          </w:rPr>
          <w:t>Δομή και συμβάσεις</w:t>
        </w:r>
        <w:r>
          <w:rPr>
            <w:webHidden/>
          </w:rPr>
          <w:tab/>
        </w:r>
        <w:r>
          <w:rPr>
            <w:webHidden/>
          </w:rPr>
          <w:fldChar w:fldCharType="begin"/>
        </w:r>
        <w:r>
          <w:rPr>
            <w:webHidden/>
          </w:rPr>
          <w:instrText xml:space="preserve"> PAGEREF _Toc524267392 \h </w:instrText>
        </w:r>
        <w:r>
          <w:rPr>
            <w:webHidden/>
          </w:rPr>
        </w:r>
        <w:r>
          <w:rPr>
            <w:webHidden/>
          </w:rPr>
          <w:fldChar w:fldCharType="separate"/>
        </w:r>
        <w:r>
          <w:rPr>
            <w:webHidden/>
          </w:rPr>
          <w:t>2</w:t>
        </w:r>
        <w:r>
          <w:rPr>
            <w:webHidden/>
          </w:rPr>
          <w:fldChar w:fldCharType="end"/>
        </w:r>
      </w:hyperlink>
    </w:p>
    <w:p w:rsidR="009377B2" w:rsidRDefault="009377B2">
      <w:pPr>
        <w:pStyle w:val="TOC2"/>
        <w:rPr>
          <w:rFonts w:asciiTheme="minorHAnsi" w:eastAsiaTheme="minorEastAsia" w:hAnsiTheme="minorHAnsi" w:cstheme="minorBidi"/>
          <w:b w:val="0"/>
          <w:smallCaps w:val="0"/>
          <w:sz w:val="22"/>
          <w:lang w:val="en-GB" w:eastAsia="en-GB" w:bidi="ar-SA"/>
        </w:rPr>
      </w:pPr>
      <w:hyperlink w:anchor="_Toc524267393" w:history="1">
        <w:r w:rsidRPr="008B5044">
          <w:rPr>
            <w:rStyle w:val="Hyperlink"/>
          </w:rPr>
          <w:t>2.</w:t>
        </w:r>
        <w:r>
          <w:rPr>
            <w:rFonts w:asciiTheme="minorHAnsi" w:eastAsiaTheme="minorEastAsia" w:hAnsiTheme="minorHAnsi" w:cstheme="minorBidi"/>
            <w:b w:val="0"/>
            <w:smallCaps w:val="0"/>
            <w:sz w:val="22"/>
            <w:lang w:val="en-GB" w:eastAsia="en-GB" w:bidi="ar-SA"/>
          </w:rPr>
          <w:tab/>
        </w:r>
        <w:r w:rsidRPr="008B5044">
          <w:rPr>
            <w:rStyle w:val="Hyperlink"/>
            <w:rFonts w:ascii="Times New Roman" w:hAnsi="Times New Roman"/>
          </w:rPr>
          <w:t>Συντομογραφίες</w:t>
        </w:r>
        <w:r>
          <w:rPr>
            <w:webHidden/>
          </w:rPr>
          <w:tab/>
        </w:r>
        <w:r>
          <w:rPr>
            <w:webHidden/>
          </w:rPr>
          <w:fldChar w:fldCharType="begin"/>
        </w:r>
        <w:r>
          <w:rPr>
            <w:webHidden/>
          </w:rPr>
          <w:instrText xml:space="preserve"> PAGEREF _Toc524267393 \h </w:instrText>
        </w:r>
        <w:r>
          <w:rPr>
            <w:webHidden/>
          </w:rPr>
        </w:r>
        <w:r>
          <w:rPr>
            <w:webHidden/>
          </w:rPr>
          <w:fldChar w:fldCharType="separate"/>
        </w:r>
        <w:r>
          <w:rPr>
            <w:webHidden/>
          </w:rPr>
          <w:t>2</w:t>
        </w:r>
        <w:r>
          <w:rPr>
            <w:webHidden/>
          </w:rPr>
          <w:fldChar w:fldCharType="end"/>
        </w:r>
      </w:hyperlink>
    </w:p>
    <w:p w:rsidR="009377B2" w:rsidRDefault="009377B2">
      <w:pPr>
        <w:pStyle w:val="TOC2"/>
        <w:rPr>
          <w:rFonts w:asciiTheme="minorHAnsi" w:eastAsiaTheme="minorEastAsia" w:hAnsiTheme="minorHAnsi" w:cstheme="minorBidi"/>
          <w:b w:val="0"/>
          <w:smallCaps w:val="0"/>
          <w:sz w:val="22"/>
          <w:lang w:val="en-GB" w:eastAsia="en-GB" w:bidi="ar-SA"/>
        </w:rPr>
      </w:pPr>
      <w:hyperlink w:anchor="_Toc524267394" w:history="1">
        <w:r w:rsidRPr="008B5044">
          <w:rPr>
            <w:rStyle w:val="Hyperlink"/>
            <w:rFonts w:ascii="Times New Roman" w:hAnsi="Times New Roman"/>
          </w:rPr>
          <w:t>ΜΕΡΟΣ ΙΙ: ΟΔΗΓΙΕΣ ΣΧΕΤΙΚΑ ΜΕ ΤΑ ΥΠΟΔΕΙΓΜΑΤΑ</w:t>
        </w:r>
        <w:r>
          <w:rPr>
            <w:webHidden/>
          </w:rPr>
          <w:tab/>
        </w:r>
        <w:r>
          <w:rPr>
            <w:webHidden/>
          </w:rPr>
          <w:fldChar w:fldCharType="begin"/>
        </w:r>
        <w:r>
          <w:rPr>
            <w:webHidden/>
          </w:rPr>
          <w:instrText xml:space="preserve"> PAGEREF _Toc524267394 \h </w:instrText>
        </w:r>
        <w:r>
          <w:rPr>
            <w:webHidden/>
          </w:rPr>
        </w:r>
        <w:r>
          <w:rPr>
            <w:webHidden/>
          </w:rPr>
          <w:fldChar w:fldCharType="separate"/>
        </w:r>
        <w:r>
          <w:rPr>
            <w:webHidden/>
          </w:rPr>
          <w:t>3</w:t>
        </w:r>
        <w:r>
          <w:rPr>
            <w:webHidden/>
          </w:rPr>
          <w:fldChar w:fldCharType="end"/>
        </w:r>
      </w:hyperlink>
    </w:p>
    <w:p w:rsidR="009377B2" w:rsidRDefault="009377B2">
      <w:pPr>
        <w:pStyle w:val="TOC2"/>
        <w:rPr>
          <w:rFonts w:asciiTheme="minorHAnsi" w:eastAsiaTheme="minorEastAsia" w:hAnsiTheme="minorHAnsi" w:cstheme="minorBidi"/>
          <w:b w:val="0"/>
          <w:smallCaps w:val="0"/>
          <w:sz w:val="22"/>
          <w:lang w:val="en-GB" w:eastAsia="en-GB" w:bidi="ar-SA"/>
        </w:rPr>
      </w:pPr>
      <w:hyperlink w:anchor="_Toc524267395" w:history="1">
        <w:r w:rsidRPr="008B5044">
          <w:rPr>
            <w:rStyle w:val="Hyperlink"/>
            <w:rFonts w:ascii="Times New Roman" w:hAnsi="Times New Roman"/>
          </w:rPr>
          <w:t>1.</w:t>
        </w:r>
        <w:r>
          <w:rPr>
            <w:rFonts w:asciiTheme="minorHAnsi" w:eastAsiaTheme="minorEastAsia" w:hAnsiTheme="minorHAnsi" w:cstheme="minorBidi"/>
            <w:b w:val="0"/>
            <w:smallCaps w:val="0"/>
            <w:sz w:val="22"/>
            <w:lang w:val="en-GB" w:eastAsia="en-GB" w:bidi="ar-SA"/>
          </w:rPr>
          <w:tab/>
        </w:r>
        <w:r w:rsidRPr="008B5044">
          <w:rPr>
            <w:rStyle w:val="Hyperlink"/>
            <w:rFonts w:ascii="Times New Roman" w:hAnsi="Times New Roman"/>
          </w:rPr>
          <w:t>Πεδίο εφαρμογής και επίπεδο των αναφορών LE</w:t>
        </w:r>
        <w:r>
          <w:rPr>
            <w:webHidden/>
          </w:rPr>
          <w:tab/>
        </w:r>
        <w:r>
          <w:rPr>
            <w:webHidden/>
          </w:rPr>
          <w:fldChar w:fldCharType="begin"/>
        </w:r>
        <w:r>
          <w:rPr>
            <w:webHidden/>
          </w:rPr>
          <w:instrText xml:space="preserve"> PAGEREF _Toc524267395 \h </w:instrText>
        </w:r>
        <w:r>
          <w:rPr>
            <w:webHidden/>
          </w:rPr>
        </w:r>
        <w:r>
          <w:rPr>
            <w:webHidden/>
          </w:rPr>
          <w:fldChar w:fldCharType="separate"/>
        </w:r>
        <w:r>
          <w:rPr>
            <w:webHidden/>
          </w:rPr>
          <w:t>3</w:t>
        </w:r>
        <w:r>
          <w:rPr>
            <w:webHidden/>
          </w:rPr>
          <w:fldChar w:fldCharType="end"/>
        </w:r>
      </w:hyperlink>
    </w:p>
    <w:p w:rsidR="009377B2" w:rsidRDefault="009377B2">
      <w:pPr>
        <w:pStyle w:val="TOC2"/>
        <w:rPr>
          <w:rFonts w:asciiTheme="minorHAnsi" w:eastAsiaTheme="minorEastAsia" w:hAnsiTheme="minorHAnsi" w:cstheme="minorBidi"/>
          <w:b w:val="0"/>
          <w:smallCaps w:val="0"/>
          <w:sz w:val="22"/>
          <w:lang w:val="en-GB" w:eastAsia="en-GB" w:bidi="ar-SA"/>
        </w:rPr>
      </w:pPr>
      <w:hyperlink w:anchor="_Toc524267396" w:history="1">
        <w:r w:rsidRPr="008B5044">
          <w:rPr>
            <w:rStyle w:val="Hyperlink"/>
            <w:rFonts w:ascii="Times New Roman" w:hAnsi="Times New Roman"/>
          </w:rPr>
          <w:t>2.</w:t>
        </w:r>
        <w:r>
          <w:rPr>
            <w:rFonts w:asciiTheme="minorHAnsi" w:eastAsiaTheme="minorEastAsia" w:hAnsiTheme="minorHAnsi" w:cstheme="minorBidi"/>
            <w:b w:val="0"/>
            <w:smallCaps w:val="0"/>
            <w:sz w:val="22"/>
            <w:lang w:val="en-GB" w:eastAsia="en-GB" w:bidi="ar-SA"/>
          </w:rPr>
          <w:tab/>
        </w:r>
        <w:r w:rsidRPr="008B5044">
          <w:rPr>
            <w:rStyle w:val="Hyperlink"/>
            <w:rFonts w:ascii="Times New Roman" w:hAnsi="Times New Roman"/>
          </w:rPr>
          <w:t>Δομή του υποδείγματος LE</w:t>
        </w:r>
        <w:r>
          <w:rPr>
            <w:webHidden/>
          </w:rPr>
          <w:tab/>
        </w:r>
        <w:r>
          <w:rPr>
            <w:webHidden/>
          </w:rPr>
          <w:fldChar w:fldCharType="begin"/>
        </w:r>
        <w:r>
          <w:rPr>
            <w:webHidden/>
          </w:rPr>
          <w:instrText xml:space="preserve"> PAGEREF _Toc524267396 \h </w:instrText>
        </w:r>
        <w:r>
          <w:rPr>
            <w:webHidden/>
          </w:rPr>
        </w:r>
        <w:r>
          <w:rPr>
            <w:webHidden/>
          </w:rPr>
          <w:fldChar w:fldCharType="separate"/>
        </w:r>
        <w:r>
          <w:rPr>
            <w:webHidden/>
          </w:rPr>
          <w:t>4</w:t>
        </w:r>
        <w:r>
          <w:rPr>
            <w:webHidden/>
          </w:rPr>
          <w:fldChar w:fldCharType="end"/>
        </w:r>
      </w:hyperlink>
    </w:p>
    <w:p w:rsidR="009377B2" w:rsidRDefault="009377B2">
      <w:pPr>
        <w:pStyle w:val="TOC2"/>
        <w:rPr>
          <w:rFonts w:asciiTheme="minorHAnsi" w:eastAsiaTheme="minorEastAsia" w:hAnsiTheme="minorHAnsi" w:cstheme="minorBidi"/>
          <w:b w:val="0"/>
          <w:smallCaps w:val="0"/>
          <w:sz w:val="22"/>
          <w:lang w:val="en-GB" w:eastAsia="en-GB" w:bidi="ar-SA"/>
        </w:rPr>
      </w:pPr>
      <w:hyperlink w:anchor="_Toc524267397" w:history="1">
        <w:r w:rsidRPr="008B5044">
          <w:rPr>
            <w:rStyle w:val="Hyperlink"/>
            <w:rFonts w:ascii="Times New Roman" w:eastAsia="Arial" w:hAnsi="Times New Roman"/>
          </w:rPr>
          <w:t>3.</w:t>
        </w:r>
        <w:r>
          <w:rPr>
            <w:rFonts w:asciiTheme="minorHAnsi" w:eastAsiaTheme="minorEastAsia" w:hAnsiTheme="minorHAnsi" w:cstheme="minorBidi"/>
            <w:b w:val="0"/>
            <w:smallCaps w:val="0"/>
            <w:sz w:val="22"/>
            <w:lang w:val="en-GB" w:eastAsia="en-GB" w:bidi="ar-SA"/>
          </w:rPr>
          <w:tab/>
        </w:r>
        <w:r w:rsidRPr="008B5044">
          <w:rPr>
            <w:rStyle w:val="Hyperlink"/>
            <w:rFonts w:ascii="Times New Roman" w:hAnsi="Times New Roman"/>
          </w:rPr>
          <w:t>Ορισμοί και γενικές οδηγίες για τους σκοπούς των αναφορών LE</w:t>
        </w:r>
        <w:r>
          <w:rPr>
            <w:webHidden/>
          </w:rPr>
          <w:tab/>
        </w:r>
        <w:r>
          <w:rPr>
            <w:webHidden/>
          </w:rPr>
          <w:fldChar w:fldCharType="begin"/>
        </w:r>
        <w:r>
          <w:rPr>
            <w:webHidden/>
          </w:rPr>
          <w:instrText xml:space="preserve"> PAGEREF _Toc524267397 \h </w:instrText>
        </w:r>
        <w:r>
          <w:rPr>
            <w:webHidden/>
          </w:rPr>
        </w:r>
        <w:r>
          <w:rPr>
            <w:webHidden/>
          </w:rPr>
          <w:fldChar w:fldCharType="separate"/>
        </w:r>
        <w:r>
          <w:rPr>
            <w:webHidden/>
          </w:rPr>
          <w:t>4</w:t>
        </w:r>
        <w:r>
          <w:rPr>
            <w:webHidden/>
          </w:rPr>
          <w:fldChar w:fldCharType="end"/>
        </w:r>
      </w:hyperlink>
    </w:p>
    <w:p w:rsidR="009377B2" w:rsidRDefault="009377B2">
      <w:pPr>
        <w:pStyle w:val="TOC2"/>
        <w:rPr>
          <w:rFonts w:asciiTheme="minorHAnsi" w:eastAsiaTheme="minorEastAsia" w:hAnsiTheme="minorHAnsi" w:cstheme="minorBidi"/>
          <w:b w:val="0"/>
          <w:smallCaps w:val="0"/>
          <w:sz w:val="22"/>
          <w:lang w:val="en-GB" w:eastAsia="en-GB" w:bidi="ar-SA"/>
        </w:rPr>
      </w:pPr>
      <w:hyperlink w:anchor="_Toc524267398" w:history="1">
        <w:r w:rsidRPr="008B5044">
          <w:rPr>
            <w:rStyle w:val="Hyperlink"/>
            <w:rFonts w:ascii="Times New Roman" w:hAnsi="Times New Roman"/>
          </w:rPr>
          <w:t>4.</w:t>
        </w:r>
        <w:r>
          <w:rPr>
            <w:rFonts w:asciiTheme="minorHAnsi" w:eastAsiaTheme="minorEastAsia" w:hAnsiTheme="minorHAnsi" w:cstheme="minorBidi"/>
            <w:b w:val="0"/>
            <w:smallCaps w:val="0"/>
            <w:sz w:val="22"/>
            <w:lang w:val="en-GB" w:eastAsia="en-GB" w:bidi="ar-SA"/>
          </w:rPr>
          <w:tab/>
        </w:r>
        <w:r w:rsidRPr="008B5044">
          <w:rPr>
            <w:rStyle w:val="Hyperlink"/>
            <w:rFonts w:ascii="Times New Roman" w:hAnsi="Times New Roman"/>
          </w:rPr>
          <w:t>C 26.00 – Υπόδειγμα LE Limits</w:t>
        </w:r>
        <w:r>
          <w:rPr>
            <w:webHidden/>
          </w:rPr>
          <w:tab/>
        </w:r>
        <w:r>
          <w:rPr>
            <w:webHidden/>
          </w:rPr>
          <w:fldChar w:fldCharType="begin"/>
        </w:r>
        <w:r>
          <w:rPr>
            <w:webHidden/>
          </w:rPr>
          <w:instrText xml:space="preserve"> PAGEREF _Toc524267398 \h </w:instrText>
        </w:r>
        <w:r>
          <w:rPr>
            <w:webHidden/>
          </w:rPr>
        </w:r>
        <w:r>
          <w:rPr>
            <w:webHidden/>
          </w:rPr>
          <w:fldChar w:fldCharType="separate"/>
        </w:r>
        <w:r>
          <w:rPr>
            <w:webHidden/>
          </w:rPr>
          <w:t>6</w:t>
        </w:r>
        <w:r>
          <w:rPr>
            <w:webHidden/>
          </w:rPr>
          <w:fldChar w:fldCharType="end"/>
        </w:r>
      </w:hyperlink>
    </w:p>
    <w:p w:rsidR="009377B2" w:rsidRDefault="009377B2">
      <w:pPr>
        <w:pStyle w:val="TOC2"/>
        <w:rPr>
          <w:rFonts w:asciiTheme="minorHAnsi" w:eastAsiaTheme="minorEastAsia" w:hAnsiTheme="minorHAnsi" w:cstheme="minorBidi"/>
          <w:b w:val="0"/>
          <w:smallCaps w:val="0"/>
          <w:sz w:val="22"/>
          <w:lang w:val="en-GB" w:eastAsia="en-GB" w:bidi="ar-SA"/>
        </w:rPr>
      </w:pPr>
      <w:hyperlink w:anchor="_Toc524267399" w:history="1">
        <w:r w:rsidRPr="008B5044">
          <w:rPr>
            <w:rStyle w:val="Hyperlink"/>
            <w:rFonts w:ascii="Times New Roman" w:hAnsi="Times New Roman"/>
          </w:rPr>
          <w:t>4.1.</w:t>
        </w:r>
        <w:r>
          <w:rPr>
            <w:rFonts w:asciiTheme="minorHAnsi" w:eastAsiaTheme="minorEastAsia" w:hAnsiTheme="minorHAnsi" w:cstheme="minorBidi"/>
            <w:b w:val="0"/>
            <w:smallCaps w:val="0"/>
            <w:sz w:val="22"/>
            <w:lang w:val="en-GB" w:eastAsia="en-GB" w:bidi="ar-SA"/>
          </w:rPr>
          <w:tab/>
        </w:r>
        <w:r w:rsidRPr="008B5044">
          <w:rPr>
            <w:rStyle w:val="Hyperlink"/>
            <w:rFonts w:ascii="Times New Roman" w:hAnsi="Times New Roman"/>
          </w:rPr>
          <w:t>Οδηγίες για συγκεκριμένες γραμμές</w:t>
        </w:r>
        <w:r>
          <w:rPr>
            <w:webHidden/>
          </w:rPr>
          <w:tab/>
        </w:r>
        <w:r>
          <w:rPr>
            <w:webHidden/>
          </w:rPr>
          <w:fldChar w:fldCharType="begin"/>
        </w:r>
        <w:r>
          <w:rPr>
            <w:webHidden/>
          </w:rPr>
          <w:instrText xml:space="preserve"> PAGEREF _Toc524267399 \h </w:instrText>
        </w:r>
        <w:r>
          <w:rPr>
            <w:webHidden/>
          </w:rPr>
        </w:r>
        <w:r>
          <w:rPr>
            <w:webHidden/>
          </w:rPr>
          <w:fldChar w:fldCharType="separate"/>
        </w:r>
        <w:r>
          <w:rPr>
            <w:webHidden/>
          </w:rPr>
          <w:t>6</w:t>
        </w:r>
        <w:r>
          <w:rPr>
            <w:webHidden/>
          </w:rPr>
          <w:fldChar w:fldCharType="end"/>
        </w:r>
      </w:hyperlink>
    </w:p>
    <w:p w:rsidR="009377B2" w:rsidRDefault="009377B2">
      <w:pPr>
        <w:pStyle w:val="TOC2"/>
        <w:rPr>
          <w:rFonts w:asciiTheme="minorHAnsi" w:eastAsiaTheme="minorEastAsia" w:hAnsiTheme="minorHAnsi" w:cstheme="minorBidi"/>
          <w:b w:val="0"/>
          <w:smallCaps w:val="0"/>
          <w:sz w:val="22"/>
          <w:lang w:val="en-GB" w:eastAsia="en-GB" w:bidi="ar-SA"/>
        </w:rPr>
      </w:pPr>
      <w:hyperlink w:anchor="_Toc524267400" w:history="1">
        <w:r w:rsidRPr="008B5044">
          <w:rPr>
            <w:rStyle w:val="Hyperlink"/>
            <w:rFonts w:ascii="Times New Roman" w:hAnsi="Times New Roman"/>
          </w:rPr>
          <w:t>5.</w:t>
        </w:r>
        <w:r>
          <w:rPr>
            <w:rFonts w:asciiTheme="minorHAnsi" w:eastAsiaTheme="minorEastAsia" w:hAnsiTheme="minorHAnsi" w:cstheme="minorBidi"/>
            <w:b w:val="0"/>
            <w:smallCaps w:val="0"/>
            <w:sz w:val="22"/>
            <w:lang w:val="en-GB" w:eastAsia="en-GB" w:bidi="ar-SA"/>
          </w:rPr>
          <w:tab/>
        </w:r>
        <w:r w:rsidRPr="008B5044">
          <w:rPr>
            <w:rStyle w:val="Hyperlink"/>
            <w:rFonts w:ascii="Times New Roman" w:hAnsi="Times New Roman"/>
          </w:rPr>
          <w:t>C 27.00 – Ταυτότητα του αντισυμβαλλομένου (LE 1)</w:t>
        </w:r>
        <w:r>
          <w:rPr>
            <w:webHidden/>
          </w:rPr>
          <w:tab/>
        </w:r>
        <w:r>
          <w:rPr>
            <w:webHidden/>
          </w:rPr>
          <w:fldChar w:fldCharType="begin"/>
        </w:r>
        <w:r>
          <w:rPr>
            <w:webHidden/>
          </w:rPr>
          <w:instrText xml:space="preserve"> PAGEREF _Toc524267400 \h </w:instrText>
        </w:r>
        <w:r>
          <w:rPr>
            <w:webHidden/>
          </w:rPr>
        </w:r>
        <w:r>
          <w:rPr>
            <w:webHidden/>
          </w:rPr>
          <w:fldChar w:fldCharType="separate"/>
        </w:r>
        <w:r>
          <w:rPr>
            <w:webHidden/>
          </w:rPr>
          <w:t>7</w:t>
        </w:r>
        <w:r>
          <w:rPr>
            <w:webHidden/>
          </w:rPr>
          <w:fldChar w:fldCharType="end"/>
        </w:r>
      </w:hyperlink>
    </w:p>
    <w:p w:rsidR="009377B2" w:rsidRDefault="009377B2">
      <w:pPr>
        <w:pStyle w:val="TOC2"/>
        <w:rPr>
          <w:rFonts w:asciiTheme="minorHAnsi" w:eastAsiaTheme="minorEastAsia" w:hAnsiTheme="minorHAnsi" w:cstheme="minorBidi"/>
          <w:b w:val="0"/>
          <w:smallCaps w:val="0"/>
          <w:sz w:val="22"/>
          <w:lang w:val="en-GB" w:eastAsia="en-GB" w:bidi="ar-SA"/>
        </w:rPr>
      </w:pPr>
      <w:hyperlink w:anchor="_Toc524267401" w:history="1">
        <w:r w:rsidRPr="008B5044">
          <w:rPr>
            <w:rStyle w:val="Hyperlink"/>
            <w:rFonts w:ascii="Times New Roman" w:hAnsi="Times New Roman"/>
          </w:rPr>
          <w:t>5.1.</w:t>
        </w:r>
        <w:r>
          <w:rPr>
            <w:rFonts w:asciiTheme="minorHAnsi" w:eastAsiaTheme="minorEastAsia" w:hAnsiTheme="minorHAnsi" w:cstheme="minorBidi"/>
            <w:b w:val="0"/>
            <w:smallCaps w:val="0"/>
            <w:sz w:val="22"/>
            <w:lang w:val="en-GB" w:eastAsia="en-GB" w:bidi="ar-SA"/>
          </w:rPr>
          <w:tab/>
        </w:r>
        <w:r w:rsidRPr="008B5044">
          <w:rPr>
            <w:rStyle w:val="Hyperlink"/>
            <w:rFonts w:ascii="Times New Roman" w:hAnsi="Times New Roman"/>
          </w:rPr>
          <w:t>Οδηγίες για συγκεκριμένες στήλες</w:t>
        </w:r>
        <w:r>
          <w:rPr>
            <w:webHidden/>
          </w:rPr>
          <w:tab/>
        </w:r>
        <w:r>
          <w:rPr>
            <w:webHidden/>
          </w:rPr>
          <w:fldChar w:fldCharType="begin"/>
        </w:r>
        <w:r>
          <w:rPr>
            <w:webHidden/>
          </w:rPr>
          <w:instrText xml:space="preserve"> PAGEREF _Toc524267401 \h </w:instrText>
        </w:r>
        <w:r>
          <w:rPr>
            <w:webHidden/>
          </w:rPr>
        </w:r>
        <w:r>
          <w:rPr>
            <w:webHidden/>
          </w:rPr>
          <w:fldChar w:fldCharType="separate"/>
        </w:r>
        <w:r>
          <w:rPr>
            <w:webHidden/>
          </w:rPr>
          <w:t>7</w:t>
        </w:r>
        <w:r>
          <w:rPr>
            <w:webHidden/>
          </w:rPr>
          <w:fldChar w:fldCharType="end"/>
        </w:r>
      </w:hyperlink>
    </w:p>
    <w:p w:rsidR="009377B2" w:rsidRDefault="009377B2">
      <w:pPr>
        <w:pStyle w:val="TOC2"/>
        <w:rPr>
          <w:rFonts w:asciiTheme="minorHAnsi" w:eastAsiaTheme="minorEastAsia" w:hAnsiTheme="minorHAnsi" w:cstheme="minorBidi"/>
          <w:b w:val="0"/>
          <w:smallCaps w:val="0"/>
          <w:sz w:val="22"/>
          <w:lang w:val="en-GB" w:eastAsia="en-GB" w:bidi="ar-SA"/>
        </w:rPr>
      </w:pPr>
      <w:hyperlink w:anchor="_Toc524267402" w:history="1">
        <w:r w:rsidRPr="008B5044">
          <w:rPr>
            <w:rStyle w:val="Hyperlink"/>
            <w:rFonts w:ascii="Times New Roman" w:hAnsi="Times New Roman"/>
          </w:rPr>
          <w:t>6.</w:t>
        </w:r>
        <w:r>
          <w:rPr>
            <w:rFonts w:asciiTheme="minorHAnsi" w:eastAsiaTheme="minorEastAsia" w:hAnsiTheme="minorHAnsi" w:cstheme="minorBidi"/>
            <w:b w:val="0"/>
            <w:smallCaps w:val="0"/>
            <w:sz w:val="22"/>
            <w:lang w:val="en-GB" w:eastAsia="en-GB" w:bidi="ar-SA"/>
          </w:rPr>
          <w:tab/>
        </w:r>
        <w:r w:rsidRPr="008B5044">
          <w:rPr>
            <w:rStyle w:val="Hyperlink"/>
            <w:rFonts w:ascii="Times New Roman" w:hAnsi="Times New Roman"/>
          </w:rPr>
          <w:t>C 28.00 – Ανοίγματα εκτός και εντός χαρτοφυλακίου συναλλαγών (LE 2)</w:t>
        </w:r>
        <w:r>
          <w:rPr>
            <w:webHidden/>
          </w:rPr>
          <w:tab/>
        </w:r>
        <w:r>
          <w:rPr>
            <w:webHidden/>
          </w:rPr>
          <w:fldChar w:fldCharType="begin"/>
        </w:r>
        <w:r>
          <w:rPr>
            <w:webHidden/>
          </w:rPr>
          <w:instrText xml:space="preserve"> PAGEREF _Toc524267402 \h </w:instrText>
        </w:r>
        <w:r>
          <w:rPr>
            <w:webHidden/>
          </w:rPr>
        </w:r>
        <w:r>
          <w:rPr>
            <w:webHidden/>
          </w:rPr>
          <w:fldChar w:fldCharType="separate"/>
        </w:r>
        <w:r>
          <w:rPr>
            <w:webHidden/>
          </w:rPr>
          <w:t>9</w:t>
        </w:r>
        <w:r>
          <w:rPr>
            <w:webHidden/>
          </w:rPr>
          <w:fldChar w:fldCharType="end"/>
        </w:r>
      </w:hyperlink>
    </w:p>
    <w:p w:rsidR="009377B2" w:rsidRDefault="009377B2">
      <w:pPr>
        <w:pStyle w:val="TOC2"/>
        <w:rPr>
          <w:rFonts w:asciiTheme="minorHAnsi" w:eastAsiaTheme="minorEastAsia" w:hAnsiTheme="minorHAnsi" w:cstheme="minorBidi"/>
          <w:b w:val="0"/>
          <w:smallCaps w:val="0"/>
          <w:sz w:val="22"/>
          <w:lang w:val="en-GB" w:eastAsia="en-GB" w:bidi="ar-SA"/>
        </w:rPr>
      </w:pPr>
      <w:hyperlink w:anchor="_Toc524267403" w:history="1">
        <w:r w:rsidRPr="008B5044">
          <w:rPr>
            <w:rStyle w:val="Hyperlink"/>
            <w:rFonts w:ascii="Times New Roman" w:hAnsi="Times New Roman"/>
          </w:rPr>
          <w:t>6.1.</w:t>
        </w:r>
        <w:r>
          <w:rPr>
            <w:rFonts w:asciiTheme="minorHAnsi" w:eastAsiaTheme="minorEastAsia" w:hAnsiTheme="minorHAnsi" w:cstheme="minorBidi"/>
            <w:b w:val="0"/>
            <w:smallCaps w:val="0"/>
            <w:sz w:val="22"/>
            <w:lang w:val="en-GB" w:eastAsia="en-GB" w:bidi="ar-SA"/>
          </w:rPr>
          <w:tab/>
        </w:r>
        <w:r w:rsidRPr="008B5044">
          <w:rPr>
            <w:rStyle w:val="Hyperlink"/>
            <w:rFonts w:ascii="Times New Roman" w:hAnsi="Times New Roman"/>
          </w:rPr>
          <w:t>Οδηγίες για συγκεκριμένες στήλες</w:t>
        </w:r>
        <w:r>
          <w:rPr>
            <w:webHidden/>
          </w:rPr>
          <w:tab/>
        </w:r>
        <w:r>
          <w:rPr>
            <w:webHidden/>
          </w:rPr>
          <w:fldChar w:fldCharType="begin"/>
        </w:r>
        <w:r>
          <w:rPr>
            <w:webHidden/>
          </w:rPr>
          <w:instrText xml:space="preserve"> PAGEREF _Toc524267403 \h </w:instrText>
        </w:r>
        <w:r>
          <w:rPr>
            <w:webHidden/>
          </w:rPr>
        </w:r>
        <w:r>
          <w:rPr>
            <w:webHidden/>
          </w:rPr>
          <w:fldChar w:fldCharType="separate"/>
        </w:r>
        <w:r>
          <w:rPr>
            <w:webHidden/>
          </w:rPr>
          <w:t>9</w:t>
        </w:r>
        <w:r>
          <w:rPr>
            <w:webHidden/>
          </w:rPr>
          <w:fldChar w:fldCharType="end"/>
        </w:r>
      </w:hyperlink>
    </w:p>
    <w:p w:rsidR="009377B2" w:rsidRDefault="009377B2">
      <w:pPr>
        <w:pStyle w:val="TOC2"/>
        <w:rPr>
          <w:rFonts w:asciiTheme="minorHAnsi" w:eastAsiaTheme="minorEastAsia" w:hAnsiTheme="minorHAnsi" w:cstheme="minorBidi"/>
          <w:b w:val="0"/>
          <w:smallCaps w:val="0"/>
          <w:sz w:val="22"/>
          <w:lang w:val="en-GB" w:eastAsia="en-GB" w:bidi="ar-SA"/>
        </w:rPr>
      </w:pPr>
      <w:hyperlink w:anchor="_Toc524267404" w:history="1">
        <w:r w:rsidRPr="008B5044">
          <w:rPr>
            <w:rStyle w:val="Hyperlink"/>
            <w:rFonts w:ascii="Times New Roman" w:hAnsi="Times New Roman"/>
          </w:rPr>
          <w:t>7.</w:t>
        </w:r>
        <w:r>
          <w:rPr>
            <w:rFonts w:asciiTheme="minorHAnsi" w:eastAsiaTheme="minorEastAsia" w:hAnsiTheme="minorHAnsi" w:cstheme="minorBidi"/>
            <w:b w:val="0"/>
            <w:smallCaps w:val="0"/>
            <w:sz w:val="22"/>
            <w:lang w:val="en-GB" w:eastAsia="en-GB" w:bidi="ar-SA"/>
          </w:rPr>
          <w:tab/>
        </w:r>
        <w:r w:rsidRPr="008B5044">
          <w:rPr>
            <w:rStyle w:val="Hyperlink"/>
            <w:rFonts w:ascii="Times New Roman" w:hAnsi="Times New Roman"/>
          </w:rPr>
          <w:t>C 29.00 – Λεπτομέρειες των ανοιγμάτων έναντι μεμονωμένων πελατών εντός ομάδων συνδεδεμένων πελατών (LE 3)</w:t>
        </w:r>
        <w:r>
          <w:rPr>
            <w:webHidden/>
          </w:rPr>
          <w:tab/>
        </w:r>
        <w:r>
          <w:rPr>
            <w:webHidden/>
          </w:rPr>
          <w:fldChar w:fldCharType="begin"/>
        </w:r>
        <w:r>
          <w:rPr>
            <w:webHidden/>
          </w:rPr>
          <w:instrText xml:space="preserve"> PAGEREF _Toc524267404 \h </w:instrText>
        </w:r>
        <w:r>
          <w:rPr>
            <w:webHidden/>
          </w:rPr>
        </w:r>
        <w:r>
          <w:rPr>
            <w:webHidden/>
          </w:rPr>
          <w:fldChar w:fldCharType="separate"/>
        </w:r>
        <w:r>
          <w:rPr>
            <w:webHidden/>
          </w:rPr>
          <w:t>17</w:t>
        </w:r>
        <w:r>
          <w:rPr>
            <w:webHidden/>
          </w:rPr>
          <w:fldChar w:fldCharType="end"/>
        </w:r>
      </w:hyperlink>
    </w:p>
    <w:p w:rsidR="009377B2" w:rsidRDefault="009377B2">
      <w:pPr>
        <w:pStyle w:val="TOC2"/>
        <w:rPr>
          <w:rFonts w:asciiTheme="minorHAnsi" w:eastAsiaTheme="minorEastAsia" w:hAnsiTheme="minorHAnsi" w:cstheme="minorBidi"/>
          <w:b w:val="0"/>
          <w:smallCaps w:val="0"/>
          <w:sz w:val="22"/>
          <w:lang w:val="en-GB" w:eastAsia="en-GB" w:bidi="ar-SA"/>
        </w:rPr>
      </w:pPr>
      <w:hyperlink w:anchor="_Toc524267405" w:history="1">
        <w:r w:rsidRPr="008B5044">
          <w:rPr>
            <w:rStyle w:val="Hyperlink"/>
            <w:rFonts w:ascii="Times New Roman" w:hAnsi="Times New Roman"/>
          </w:rPr>
          <w:t>7.1.</w:t>
        </w:r>
        <w:r>
          <w:rPr>
            <w:rFonts w:asciiTheme="minorHAnsi" w:eastAsiaTheme="minorEastAsia" w:hAnsiTheme="minorHAnsi" w:cstheme="minorBidi"/>
            <w:b w:val="0"/>
            <w:smallCaps w:val="0"/>
            <w:sz w:val="22"/>
            <w:lang w:val="en-GB" w:eastAsia="en-GB" w:bidi="ar-SA"/>
          </w:rPr>
          <w:tab/>
        </w:r>
        <w:r w:rsidRPr="008B5044">
          <w:rPr>
            <w:rStyle w:val="Hyperlink"/>
            <w:rFonts w:ascii="Times New Roman" w:hAnsi="Times New Roman"/>
          </w:rPr>
          <w:t>Οδηγίες για συγκεκριμένες στήλες</w:t>
        </w:r>
        <w:r>
          <w:rPr>
            <w:webHidden/>
          </w:rPr>
          <w:tab/>
        </w:r>
        <w:r>
          <w:rPr>
            <w:webHidden/>
          </w:rPr>
          <w:fldChar w:fldCharType="begin"/>
        </w:r>
        <w:r>
          <w:rPr>
            <w:webHidden/>
          </w:rPr>
          <w:instrText xml:space="preserve"> PAGEREF _Toc524267405 \h </w:instrText>
        </w:r>
        <w:r>
          <w:rPr>
            <w:webHidden/>
          </w:rPr>
        </w:r>
        <w:r>
          <w:rPr>
            <w:webHidden/>
          </w:rPr>
          <w:fldChar w:fldCharType="separate"/>
        </w:r>
        <w:r>
          <w:rPr>
            <w:webHidden/>
          </w:rPr>
          <w:t>17</w:t>
        </w:r>
        <w:r>
          <w:rPr>
            <w:webHidden/>
          </w:rPr>
          <w:fldChar w:fldCharType="end"/>
        </w:r>
      </w:hyperlink>
    </w:p>
    <w:p w:rsidR="009377B2" w:rsidRDefault="009377B2">
      <w:pPr>
        <w:pStyle w:val="TOC2"/>
        <w:rPr>
          <w:rFonts w:asciiTheme="minorHAnsi" w:eastAsiaTheme="minorEastAsia" w:hAnsiTheme="minorHAnsi" w:cstheme="minorBidi"/>
          <w:b w:val="0"/>
          <w:smallCaps w:val="0"/>
          <w:sz w:val="22"/>
          <w:lang w:val="en-GB" w:eastAsia="en-GB" w:bidi="ar-SA"/>
        </w:rPr>
      </w:pPr>
      <w:hyperlink w:anchor="_Toc524267406" w:history="1">
        <w:r w:rsidRPr="008B5044">
          <w:rPr>
            <w:rStyle w:val="Hyperlink"/>
            <w:rFonts w:ascii="Times New Roman" w:hAnsi="Times New Roman"/>
          </w:rPr>
          <w:t>8.</w:t>
        </w:r>
        <w:r>
          <w:rPr>
            <w:rFonts w:asciiTheme="minorHAnsi" w:eastAsiaTheme="minorEastAsia" w:hAnsiTheme="minorHAnsi" w:cstheme="minorBidi"/>
            <w:b w:val="0"/>
            <w:smallCaps w:val="0"/>
            <w:sz w:val="22"/>
            <w:lang w:val="en-GB" w:eastAsia="en-GB" w:bidi="ar-SA"/>
          </w:rPr>
          <w:tab/>
        </w:r>
        <w:r w:rsidRPr="008B5044">
          <w:rPr>
            <w:rStyle w:val="Hyperlink"/>
            <w:rFonts w:ascii="Times New Roman" w:hAnsi="Times New Roman"/>
          </w:rPr>
          <w:t>C 30.00 – Περίοδοι ληκτότητας των 10 μεγαλύτερων ανοιγμάτων σε ιδρύματα και των 10 μεγαλύτερων ανοιγμάτων σε μη ρυθμιζόμενες οντότητες του χρηματοπιστωτικού τομέα (υπόδειγμα LE 4)</w:t>
        </w:r>
        <w:r>
          <w:rPr>
            <w:webHidden/>
          </w:rPr>
          <w:tab/>
        </w:r>
        <w:r>
          <w:rPr>
            <w:webHidden/>
          </w:rPr>
          <w:fldChar w:fldCharType="begin"/>
        </w:r>
        <w:r>
          <w:rPr>
            <w:webHidden/>
          </w:rPr>
          <w:instrText xml:space="preserve"> PAGEREF _Toc524267406 \h </w:instrText>
        </w:r>
        <w:r>
          <w:rPr>
            <w:webHidden/>
          </w:rPr>
        </w:r>
        <w:r>
          <w:rPr>
            <w:webHidden/>
          </w:rPr>
          <w:fldChar w:fldCharType="separate"/>
        </w:r>
        <w:r>
          <w:rPr>
            <w:webHidden/>
          </w:rPr>
          <w:t>19</w:t>
        </w:r>
        <w:r>
          <w:rPr>
            <w:webHidden/>
          </w:rPr>
          <w:fldChar w:fldCharType="end"/>
        </w:r>
      </w:hyperlink>
    </w:p>
    <w:p w:rsidR="009377B2" w:rsidRDefault="009377B2">
      <w:pPr>
        <w:pStyle w:val="TOC2"/>
        <w:rPr>
          <w:rFonts w:asciiTheme="minorHAnsi" w:eastAsiaTheme="minorEastAsia" w:hAnsiTheme="minorHAnsi" w:cstheme="minorBidi"/>
          <w:b w:val="0"/>
          <w:smallCaps w:val="0"/>
          <w:sz w:val="22"/>
          <w:lang w:val="en-GB" w:eastAsia="en-GB" w:bidi="ar-SA"/>
        </w:rPr>
      </w:pPr>
      <w:hyperlink w:anchor="_Toc524267407" w:history="1">
        <w:r w:rsidRPr="008B5044">
          <w:rPr>
            <w:rStyle w:val="Hyperlink"/>
            <w:rFonts w:ascii="Times New Roman" w:hAnsi="Times New Roman"/>
          </w:rPr>
          <w:t>8.1.</w:t>
        </w:r>
        <w:r>
          <w:rPr>
            <w:rFonts w:asciiTheme="minorHAnsi" w:eastAsiaTheme="minorEastAsia" w:hAnsiTheme="minorHAnsi" w:cstheme="minorBidi"/>
            <w:b w:val="0"/>
            <w:smallCaps w:val="0"/>
            <w:sz w:val="22"/>
            <w:lang w:val="en-GB" w:eastAsia="en-GB" w:bidi="ar-SA"/>
          </w:rPr>
          <w:tab/>
        </w:r>
        <w:r w:rsidRPr="008B5044">
          <w:rPr>
            <w:rStyle w:val="Hyperlink"/>
            <w:rFonts w:ascii="Times New Roman" w:hAnsi="Times New Roman"/>
          </w:rPr>
          <w:t>Οδηγίες για συγκεκριμένες στήλες</w:t>
        </w:r>
        <w:r>
          <w:rPr>
            <w:webHidden/>
          </w:rPr>
          <w:tab/>
        </w:r>
        <w:r>
          <w:rPr>
            <w:webHidden/>
          </w:rPr>
          <w:fldChar w:fldCharType="begin"/>
        </w:r>
        <w:r>
          <w:rPr>
            <w:webHidden/>
          </w:rPr>
          <w:instrText xml:space="preserve"> PAGEREF _Toc524267407 \h </w:instrText>
        </w:r>
        <w:r>
          <w:rPr>
            <w:webHidden/>
          </w:rPr>
        </w:r>
        <w:r>
          <w:rPr>
            <w:webHidden/>
          </w:rPr>
          <w:fldChar w:fldCharType="separate"/>
        </w:r>
        <w:r>
          <w:rPr>
            <w:webHidden/>
          </w:rPr>
          <w:t>19</w:t>
        </w:r>
        <w:r>
          <w:rPr>
            <w:webHidden/>
          </w:rPr>
          <w:fldChar w:fldCharType="end"/>
        </w:r>
      </w:hyperlink>
    </w:p>
    <w:p w:rsidR="009377B2" w:rsidRDefault="009377B2">
      <w:pPr>
        <w:pStyle w:val="TOC2"/>
        <w:rPr>
          <w:rFonts w:asciiTheme="minorHAnsi" w:eastAsiaTheme="minorEastAsia" w:hAnsiTheme="minorHAnsi" w:cstheme="minorBidi"/>
          <w:b w:val="0"/>
          <w:smallCaps w:val="0"/>
          <w:sz w:val="22"/>
          <w:lang w:val="en-GB" w:eastAsia="en-GB" w:bidi="ar-SA"/>
        </w:rPr>
      </w:pPr>
      <w:hyperlink w:anchor="_Toc524267408" w:history="1">
        <w:r w:rsidRPr="008B5044">
          <w:rPr>
            <w:rStyle w:val="Hyperlink"/>
            <w:rFonts w:ascii="Times New Roman" w:hAnsi="Times New Roman"/>
          </w:rPr>
          <w:t>9.</w:t>
        </w:r>
        <w:r>
          <w:rPr>
            <w:rFonts w:asciiTheme="minorHAnsi" w:eastAsiaTheme="minorEastAsia" w:hAnsiTheme="minorHAnsi" w:cstheme="minorBidi"/>
            <w:b w:val="0"/>
            <w:smallCaps w:val="0"/>
            <w:sz w:val="22"/>
            <w:lang w:val="en-GB" w:eastAsia="en-GB" w:bidi="ar-SA"/>
          </w:rPr>
          <w:tab/>
        </w:r>
        <w:r w:rsidRPr="008B5044">
          <w:rPr>
            <w:rStyle w:val="Hyperlink"/>
            <w:rFonts w:ascii="Times New Roman" w:hAnsi="Times New Roman"/>
          </w:rPr>
          <w:t>C 31.00 – Περίοδοι ληκτότητας των 10 μεγαλύτερων ανοιγμάτων σε ιδρύματα και των 10 μεγαλύτερων ανοιγμάτων σε μη ρυθμιζόμενες οντότητες του χρηματοπιστωτικού τομέα: λεπτομέρειες των ανοιγμάτων έναντι μεμονωμένων πελατών εντός ομάδων συνδεδεμένων πελατών (υπόδειγμα LE 5)</w:t>
        </w:r>
        <w:r>
          <w:rPr>
            <w:webHidden/>
          </w:rPr>
          <w:tab/>
        </w:r>
        <w:r>
          <w:rPr>
            <w:webHidden/>
          </w:rPr>
          <w:fldChar w:fldCharType="begin"/>
        </w:r>
        <w:r>
          <w:rPr>
            <w:webHidden/>
          </w:rPr>
          <w:instrText xml:space="preserve"> PAGEREF _Toc524267408 \h </w:instrText>
        </w:r>
        <w:r>
          <w:rPr>
            <w:webHidden/>
          </w:rPr>
        </w:r>
        <w:r>
          <w:rPr>
            <w:webHidden/>
          </w:rPr>
          <w:fldChar w:fldCharType="separate"/>
        </w:r>
        <w:r>
          <w:rPr>
            <w:webHidden/>
          </w:rPr>
          <w:t>20</w:t>
        </w:r>
        <w:r>
          <w:rPr>
            <w:webHidden/>
          </w:rPr>
          <w:fldChar w:fldCharType="end"/>
        </w:r>
      </w:hyperlink>
    </w:p>
    <w:p w:rsidR="009377B2" w:rsidRDefault="009377B2">
      <w:pPr>
        <w:pStyle w:val="TOC2"/>
        <w:rPr>
          <w:rFonts w:asciiTheme="minorHAnsi" w:eastAsiaTheme="minorEastAsia" w:hAnsiTheme="minorHAnsi" w:cstheme="minorBidi"/>
          <w:b w:val="0"/>
          <w:smallCaps w:val="0"/>
          <w:sz w:val="22"/>
          <w:lang w:val="en-GB" w:eastAsia="en-GB" w:bidi="ar-SA"/>
        </w:rPr>
      </w:pPr>
      <w:hyperlink w:anchor="_Toc524267409" w:history="1">
        <w:r w:rsidRPr="008B5044">
          <w:rPr>
            <w:rStyle w:val="Hyperlink"/>
            <w:rFonts w:ascii="Times New Roman" w:hAnsi="Times New Roman"/>
          </w:rPr>
          <w:t>9.1.</w:t>
        </w:r>
        <w:r>
          <w:rPr>
            <w:rFonts w:asciiTheme="minorHAnsi" w:eastAsiaTheme="minorEastAsia" w:hAnsiTheme="minorHAnsi" w:cstheme="minorBidi"/>
            <w:b w:val="0"/>
            <w:smallCaps w:val="0"/>
            <w:sz w:val="22"/>
            <w:lang w:val="en-GB" w:eastAsia="en-GB" w:bidi="ar-SA"/>
          </w:rPr>
          <w:tab/>
        </w:r>
        <w:r w:rsidRPr="008B5044">
          <w:rPr>
            <w:rStyle w:val="Hyperlink"/>
            <w:rFonts w:ascii="Times New Roman" w:hAnsi="Times New Roman"/>
          </w:rPr>
          <w:t>Οδηγίες για συγκεκριμένες στήλες</w:t>
        </w:r>
        <w:r>
          <w:rPr>
            <w:webHidden/>
          </w:rPr>
          <w:tab/>
        </w:r>
        <w:r>
          <w:rPr>
            <w:webHidden/>
          </w:rPr>
          <w:fldChar w:fldCharType="begin"/>
        </w:r>
        <w:r>
          <w:rPr>
            <w:webHidden/>
          </w:rPr>
          <w:instrText xml:space="preserve"> PAGEREF _Toc524267409 \h </w:instrText>
        </w:r>
        <w:r>
          <w:rPr>
            <w:webHidden/>
          </w:rPr>
        </w:r>
        <w:r>
          <w:rPr>
            <w:webHidden/>
          </w:rPr>
          <w:fldChar w:fldCharType="separate"/>
        </w:r>
        <w:r>
          <w:rPr>
            <w:webHidden/>
          </w:rPr>
          <w:t>20</w:t>
        </w:r>
        <w:r>
          <w:rPr>
            <w:webHidden/>
          </w:rPr>
          <w:fldChar w:fldCharType="end"/>
        </w:r>
      </w:hyperlink>
    </w:p>
    <w:p w:rsidR="00B32179" w:rsidRDefault="009377B2">
      <w:pPr>
        <w:rPr>
          <w:rFonts w:ascii="Times New Roman" w:eastAsia="SimSun" w:hAnsi="Times New Roman"/>
          <w:sz w:val="24"/>
        </w:rPr>
        <w:sectPr w:rsidR="00B32179" w:rsidSect="00A772B4">
          <w:footerReference w:type="default" r:id="rId10"/>
          <w:footerReference w:type="first" r:id="rId11"/>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9777FB" w:rsidRPr="009777FB" w:rsidRDefault="003105C6" w:rsidP="0093135A">
      <w:pPr>
        <w:pStyle w:val="Heading2"/>
        <w:rPr>
          <w:bCs/>
        </w:rPr>
      </w:pPr>
      <w:bookmarkStart w:id="3" w:name="_Toc264038394"/>
      <w:bookmarkStart w:id="4" w:name="_Toc393461951"/>
      <w:bookmarkStart w:id="5" w:name="_Toc524267391"/>
      <w:r>
        <w:rPr>
          <w:rFonts w:ascii="Times New Roman" w:hAnsi="Times New Roman"/>
        </w:rPr>
        <w:lastRenderedPageBreak/>
        <w:t>ΜΕΡΟΣ I:</w:t>
      </w:r>
      <w:bookmarkEnd w:id="3"/>
      <w:r>
        <w:rPr>
          <w:rFonts w:ascii="Times New Roman" w:hAnsi="Times New Roman"/>
        </w:rPr>
        <w:t xml:space="preserve"> ΓΕΝΙΚΕΣ ΟΔΗΓΙΕΣ</w:t>
      </w:r>
      <w:bookmarkEnd w:id="4"/>
      <w:bookmarkEnd w:id="5"/>
    </w:p>
    <w:p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6" w:name="_Toc393461952"/>
      <w:bookmarkStart w:id="7" w:name="_Toc524267392"/>
      <w:r>
        <w:rPr>
          <w:rFonts w:ascii="Times New Roman" w:hAnsi="Times New Roman"/>
          <w:b/>
          <w:sz w:val="24"/>
          <w:u w:val="none"/>
        </w:rPr>
        <w:t>Δομή και συμβάσεις</w:t>
      </w:r>
      <w:bookmarkEnd w:id="6"/>
      <w:bookmarkEnd w:id="7"/>
    </w:p>
    <w:p w:rsidR="00393539" w:rsidRPr="0039317F" w:rsidRDefault="00D40975" w:rsidP="0039317F">
      <w:pPr>
        <w:pStyle w:val="InstructionsText2"/>
      </w:pPr>
      <w:bookmarkStart w:id="8" w:name="_Toc264038399"/>
      <w:bookmarkStart w:id="9" w:name="_Toc294018834"/>
      <w:r>
        <w:t>Το πλαίσιο υποβολής αναφορών για τα μεγάλα χρηματοδοτικά ανοίγματα (large exposures – «LE») αποτελείται από έξι υποδείγματα, τα οποία συμπληρώνονται με τα ακόλουθα στοιχεία:</w:t>
      </w:r>
    </w:p>
    <w:p w:rsidR="00DA54E3" w:rsidRPr="0039317F" w:rsidRDefault="004C60F6" w:rsidP="004C60F6">
      <w:pPr>
        <w:pStyle w:val="InstructionsText2"/>
        <w:numPr>
          <w:ilvl w:val="0"/>
          <w:numId w:val="0"/>
        </w:numPr>
        <w:ind w:left="1418" w:hanging="338"/>
        <w:rPr>
          <w:rFonts w:eastAsia="Arial"/>
        </w:rPr>
      </w:pPr>
      <w:r>
        <w:t>α)</w:t>
      </w:r>
      <w:r>
        <w:tab/>
      </w:r>
      <w:r w:rsidR="00CC2429">
        <w:t>όρια μεγάλων ανοιγμάτων·</w:t>
      </w:r>
    </w:p>
    <w:p w:rsidR="00DA54E3" w:rsidRPr="0039317F" w:rsidRDefault="004C60F6" w:rsidP="004C60F6">
      <w:pPr>
        <w:pStyle w:val="InstructionsText2"/>
        <w:numPr>
          <w:ilvl w:val="0"/>
          <w:numId w:val="0"/>
        </w:numPr>
        <w:ind w:left="1418" w:hanging="338"/>
        <w:rPr>
          <w:rFonts w:eastAsia="Arial"/>
        </w:rPr>
      </w:pPr>
      <w:r>
        <w:t>β)</w:t>
      </w:r>
      <w:r>
        <w:tab/>
      </w:r>
      <w:r w:rsidR="00CC2429">
        <w:t>ταυτότητα του αντισυμβαλλομένου (υπόδειγμα LE1)·</w:t>
      </w:r>
    </w:p>
    <w:p w:rsidR="00393539" w:rsidRPr="0039317F" w:rsidRDefault="004C60F6" w:rsidP="004C60F6">
      <w:pPr>
        <w:pStyle w:val="InstructionsText2"/>
        <w:numPr>
          <w:ilvl w:val="0"/>
          <w:numId w:val="0"/>
        </w:numPr>
        <w:ind w:left="1418" w:hanging="338"/>
        <w:rPr>
          <w:rFonts w:eastAsia="Arial"/>
        </w:rPr>
      </w:pPr>
      <w:r>
        <w:t>γ)</w:t>
      </w:r>
      <w:r>
        <w:tab/>
      </w:r>
      <w:r w:rsidR="00CC2429">
        <w:t xml:space="preserve">ανοίγματα εκτός και εντός χαρτοφυλακίου συναλλαγών (υπόδειγμα LE2)· </w:t>
      </w:r>
    </w:p>
    <w:p w:rsidR="00393539" w:rsidRPr="0039317F" w:rsidRDefault="004C60F6" w:rsidP="004C60F6">
      <w:pPr>
        <w:pStyle w:val="InstructionsText2"/>
        <w:numPr>
          <w:ilvl w:val="0"/>
          <w:numId w:val="0"/>
        </w:numPr>
        <w:ind w:left="1418" w:hanging="338"/>
        <w:rPr>
          <w:rFonts w:eastAsia="Arial"/>
        </w:rPr>
      </w:pPr>
      <w:r>
        <w:t>δ)</w:t>
      </w:r>
      <w:r>
        <w:tab/>
      </w:r>
      <w:r w:rsidR="00CC2429">
        <w:t>λεπτομέρειες των ανοιγμάτων έναντι μεμονωμένων πελατών εντός ομάδων συνδεδεμένων πελατών (υπόδειγμα LE3)·</w:t>
      </w:r>
    </w:p>
    <w:p w:rsidR="00627430" w:rsidRPr="0039317F" w:rsidRDefault="004C60F6" w:rsidP="004C60F6">
      <w:pPr>
        <w:pStyle w:val="InstructionsText2"/>
        <w:numPr>
          <w:ilvl w:val="0"/>
          <w:numId w:val="0"/>
        </w:numPr>
        <w:ind w:left="1418" w:hanging="338"/>
        <w:rPr>
          <w:rFonts w:eastAsia="Arial"/>
        </w:rPr>
      </w:pPr>
      <w:r>
        <w:t>ε)</w:t>
      </w:r>
      <w:r>
        <w:tab/>
      </w:r>
      <w:r w:rsidR="00CC2429">
        <w:t>περίοδοι ληκτότητας των 10 μεγαλύτερων ανοιγμάτων σε ιδρύματα και των 10 μεγαλύτερων ανοιγμάτων σε μη ρυθμιζόμενες οντότητες του χρηματοπιστωτ</w:t>
      </w:r>
      <w:r w:rsidR="00CC2429">
        <w:t>ι</w:t>
      </w:r>
      <w:r w:rsidR="00CC2429">
        <w:t xml:space="preserve">κού τομέα (υπόδειγμα LE4)· </w:t>
      </w:r>
    </w:p>
    <w:p w:rsidR="00DA54E3" w:rsidRPr="0039317F" w:rsidRDefault="004C60F6" w:rsidP="004C60F6">
      <w:pPr>
        <w:pStyle w:val="InstructionsText2"/>
        <w:numPr>
          <w:ilvl w:val="0"/>
          <w:numId w:val="0"/>
        </w:numPr>
        <w:ind w:left="1418" w:hanging="338"/>
        <w:rPr>
          <w:rFonts w:eastAsia="Arial"/>
        </w:rPr>
      </w:pPr>
      <w:r>
        <w:t>στ)</w:t>
      </w:r>
      <w:r>
        <w:tab/>
      </w:r>
      <w:r w:rsidR="00CC2429">
        <w:t>περίοδοι ληκτότητας των 10 μεγαλύτερων ανοιγμάτων σε ιδρύματα και των 10 μεγαλύτερων ανοιγμάτων σε μη ρυθμιζόμενες οντότητες του χρηματοπιστωτ</w:t>
      </w:r>
      <w:r w:rsidR="00CC2429">
        <w:t>ι</w:t>
      </w:r>
      <w:r w:rsidR="00CC2429">
        <w:t>κού τομέα: λεπτομέρειες των ανοιγμάτων έναντι μεμονωμένων πελατών εντός ομάδων συνδεδεμένων πελατών (υπόδειγμα LE5).</w:t>
      </w:r>
    </w:p>
    <w:p w:rsidR="003D56DE" w:rsidRPr="0039317F" w:rsidRDefault="00756759" w:rsidP="0039317F">
      <w:pPr>
        <w:pStyle w:val="InstructionsText2"/>
      </w:pPr>
      <w:r>
        <w:t>Οι οδηγίες περιλαμβάνουν νομικά κείμενα αναφοράς, καθώς και λεπτομερείς πληρ</w:t>
      </w:r>
      <w:r>
        <w:t>ο</w:t>
      </w:r>
      <w:r>
        <w:t>φορίες σχετικά με τα δεδομένα που αναφέρονται σε κάθε υπόδειγμα.</w:t>
      </w:r>
    </w:p>
    <w:p w:rsidR="00B0191A" w:rsidRPr="0039317F" w:rsidRDefault="003105C6" w:rsidP="0039317F">
      <w:pPr>
        <w:pStyle w:val="InstructionsText2"/>
      </w:pPr>
      <w:r>
        <w:t>Οι οδηγίες και οι κανόνες επικύρωσης ακολουθούν τους κανόνες σήμανσης που ορ</w:t>
      </w:r>
      <w:r>
        <w:t>ί</w:t>
      </w:r>
      <w:r>
        <w:t>ζονται στις ακόλουθες παραγράφους, όταν γίνεται παραπομπή στις στήλες, τις γρα</w:t>
      </w:r>
      <w:r>
        <w:t>μ</w:t>
      </w:r>
      <w:r>
        <w:t xml:space="preserve">μές και τα κελιά των υποδειγμάτων. </w:t>
      </w:r>
    </w:p>
    <w:p w:rsidR="00B0191A" w:rsidRPr="0039317F" w:rsidRDefault="00F36707" w:rsidP="0039317F">
      <w:pPr>
        <w:pStyle w:val="InstructionsText2"/>
      </w:pPr>
      <w:r>
        <w:t>Στις οδηγίες και στους κανόνες επικύρωσης χρησιμοποιείται γενικά η ακόλουθη σύ</w:t>
      </w:r>
      <w:r>
        <w:t>μ</w:t>
      </w:r>
      <w:r>
        <w:t>βαση: {Υπόδειγμα, Γραμμή, Στήλη}. Ο αστερίσκος χρησιμοποιείται για να εκφράσει την επικύρωση όλων των γραμμών που αναφέρονται.</w:t>
      </w:r>
    </w:p>
    <w:p w:rsidR="00B0191A" w:rsidRPr="0039317F" w:rsidRDefault="003105C6" w:rsidP="0039317F">
      <w:pPr>
        <w:pStyle w:val="InstructionsText2"/>
        <w:rPr>
          <w:rFonts w:eastAsia="Arial"/>
        </w:rPr>
      </w:pPr>
      <w:r>
        <w:t>Στην περίπτωση επικυρώσεων εντός ενός υποδείγματος, στο οποίο χρησιμοποιούνται μόνο τα σημεία δεδομένων του συγκεκριμένου υποδείγματος, τα σύμβολα δεν αναφ</w:t>
      </w:r>
      <w:r>
        <w:t>έ</w:t>
      </w:r>
      <w:r>
        <w:t>ρονται σε ένα υπόδειγμα: {Γραμμή, Στήλη}.</w:t>
      </w:r>
    </w:p>
    <w:p w:rsidR="00B0191A" w:rsidRDefault="006217F1" w:rsidP="0039317F">
      <w:pPr>
        <w:pStyle w:val="InstructionsText2"/>
      </w:pPr>
      <w:r>
        <w:t xml:space="preserve">ABS (τιμή): απόλυτη τιμή χωρίς πρόσημο. </w:t>
      </w:r>
      <w:bookmarkEnd w:id="8"/>
      <w:bookmarkEnd w:id="9"/>
      <w:r>
        <w:t>Οποιοδήποτε ποσό αυξάνει τα ανοίγματα αναφέρεται ως θετικό. Αντιθέτως, οποιοδήποτε ποσό μειώνει τα ανοίγματα αναφέρ</w:t>
      </w:r>
      <w:r>
        <w:t>ε</w:t>
      </w:r>
      <w:r>
        <w:t>ται ως αρνητικό. Όπου υπάρχει αρνητικό πρόσημο (-) πριν από τον τίτλο ενός στο</w:t>
      </w:r>
      <w:r>
        <w:t>ι</w:t>
      </w:r>
      <w:r>
        <w:t>χείου, δεν αναφέρεται θετική τιμή για το στοιχείο αυτό.</w:t>
      </w:r>
    </w:p>
    <w:p w:rsidR="0093135A" w:rsidRPr="0078562D" w:rsidRDefault="0078562D" w:rsidP="0078562D">
      <w:pPr>
        <w:pStyle w:val="Instructionsberschrift2"/>
        <w:numPr>
          <w:ilvl w:val="0"/>
          <w:numId w:val="20"/>
        </w:numPr>
        <w:rPr>
          <w:b/>
        </w:rPr>
      </w:pPr>
      <w:bookmarkStart w:id="10" w:name="_Toc524267393"/>
      <w:r>
        <w:rPr>
          <w:rFonts w:ascii="Times New Roman" w:hAnsi="Times New Roman"/>
          <w:b/>
          <w:sz w:val="24"/>
          <w:u w:val="none"/>
        </w:rPr>
        <w:t>Συντομογραφίες</w:t>
      </w:r>
      <w:bookmarkEnd w:id="10"/>
    </w:p>
    <w:p w:rsidR="0093135A" w:rsidRDefault="0093135A" w:rsidP="0093135A">
      <w:pPr>
        <w:pStyle w:val="InstructionsText2"/>
      </w:pPr>
      <w:r>
        <w:t>Για τους σκοπούς του παρόντος παραρτήματος, ο κανονισμός (ΕΕ) αριθ. 575/2013 αναφέρεται ως «ΚΚΑ».</w:t>
      </w:r>
    </w:p>
    <w:p w:rsidR="00A801A9" w:rsidRPr="00384ADB" w:rsidRDefault="00A801A9" w:rsidP="00005FFC">
      <w:pPr>
        <w:rPr>
          <w:rFonts w:ascii="Times New Roman" w:hAnsi="Times New Roman"/>
          <w:sz w:val="24"/>
        </w:rPr>
        <w:sectPr w:rsidR="00A801A9" w:rsidRPr="00384ADB" w:rsidSect="00C41ABD">
          <w:endnotePr>
            <w:numFmt w:val="decimal"/>
          </w:endnotePr>
          <w:pgSz w:w="11906" w:h="16838"/>
          <w:pgMar w:top="1417" w:right="1417" w:bottom="1134" w:left="1417" w:header="708" w:footer="708" w:gutter="0"/>
          <w:pgNumType w:start="2"/>
          <w:cols w:space="708"/>
          <w:docGrid w:linePitch="360"/>
        </w:sectPr>
      </w:pPr>
      <w:bookmarkStart w:id="11" w:name="_Toc264033192"/>
      <w:bookmarkEnd w:id="11"/>
    </w:p>
    <w:p w:rsidR="00A801A9" w:rsidRPr="00F40CD9" w:rsidRDefault="003105C6" w:rsidP="00D64B66">
      <w:pPr>
        <w:pStyle w:val="Heading2"/>
        <w:rPr>
          <w:rFonts w:ascii="Times New Roman" w:hAnsi="Times New Roman"/>
        </w:rPr>
      </w:pPr>
      <w:bookmarkStart w:id="12" w:name="_Toc393461953"/>
      <w:bookmarkStart w:id="13" w:name="_Toc524267394"/>
      <w:r>
        <w:rPr>
          <w:rFonts w:ascii="Times New Roman" w:hAnsi="Times New Roman"/>
        </w:rPr>
        <w:lastRenderedPageBreak/>
        <w:t>ΜΕΡΟΣ ΙΙ: ΟΔΗΓΙΕΣ ΣΧΕΤΙΚΑ ΜΕ ΤΑ ΥΠΟΔΕΙΓΜΑΤΑ</w:t>
      </w:r>
      <w:bookmarkEnd w:id="12"/>
      <w:bookmarkEnd w:id="13"/>
    </w:p>
    <w:p w:rsidR="00F41B3A" w:rsidRPr="00384ADB" w:rsidRDefault="00F41B3A" w:rsidP="00EA549E">
      <w:pPr>
        <w:rPr>
          <w:rFonts w:ascii="Times New Roman" w:hAnsi="Times New Roman"/>
          <w:sz w:val="24"/>
        </w:rPr>
      </w:pPr>
      <w:r>
        <w:rPr>
          <w:rFonts w:ascii="Times New Roman" w:hAnsi="Times New Roman"/>
          <w:sz w:val="24"/>
        </w:rPr>
        <w:t>Στο παρόν παράρτημα, οι οδηγίες σχετικά με την υποβολή αναφορών για τα μεγάλα χρημ</w:t>
      </w:r>
      <w:r>
        <w:rPr>
          <w:rFonts w:ascii="Times New Roman" w:hAnsi="Times New Roman"/>
          <w:sz w:val="24"/>
        </w:rPr>
        <w:t>α</w:t>
      </w:r>
      <w:r>
        <w:rPr>
          <w:rFonts w:ascii="Times New Roman" w:hAnsi="Times New Roman"/>
          <w:sz w:val="24"/>
        </w:rPr>
        <w:t>τοδοτικά ανοίγματα εφαρμόζονται επίσης και για την υποβολή αναφορών για σημαντικά χρηματοδοτικά ανοίγματα, που απαιτούνται βάσει των άρθρων 9 και 11, σύμφωνα με το π</w:t>
      </w:r>
      <w:r>
        <w:rPr>
          <w:rFonts w:ascii="Times New Roman" w:hAnsi="Times New Roman"/>
          <w:sz w:val="24"/>
        </w:rPr>
        <w:t>ε</w:t>
      </w:r>
      <w:r>
        <w:rPr>
          <w:rFonts w:ascii="Times New Roman" w:hAnsi="Times New Roman"/>
          <w:sz w:val="24"/>
        </w:rPr>
        <w:t>δίο εφαρμογής που καθορίζεται στα εν λόγω άρθρα.</w:t>
      </w:r>
    </w:p>
    <w:p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4" w:name="_Toc393461954"/>
      <w:bookmarkStart w:id="15" w:name="_Toc524267395"/>
      <w:r>
        <w:rPr>
          <w:rFonts w:ascii="Times New Roman" w:hAnsi="Times New Roman"/>
          <w:b/>
          <w:sz w:val="24"/>
          <w:u w:val="none"/>
        </w:rPr>
        <w:t>Πεδίο εφαρμογής και επίπεδο των αναφορών LE</w:t>
      </w:r>
      <w:bookmarkEnd w:id="14"/>
      <w:bookmarkEnd w:id="15"/>
    </w:p>
    <w:p w:rsidR="000F13EA" w:rsidRPr="0039317F" w:rsidRDefault="000F13EA" w:rsidP="0039317F">
      <w:pPr>
        <w:pStyle w:val="InstructionsText2"/>
        <w:numPr>
          <w:ilvl w:val="0"/>
          <w:numId w:val="27"/>
        </w:numPr>
        <w:rPr>
          <w:rFonts w:eastAsia="Arial"/>
        </w:rPr>
      </w:pPr>
      <w:r>
        <w:t>Προκειμένου να παρέχουν πληροφορίες σχετικά με τα μεγάλα χρηματοδοτικά ανοί</w:t>
      </w:r>
      <w:r>
        <w:t>γ</w:t>
      </w:r>
      <w:r>
        <w:t xml:space="preserve">ματα έναντι πελατών ή ομάδων συνδεδεμένων πελατών, σύμφωνα με το άρθρο 394 παράγραφος 1 του κανονισμού (EE) αριθ. 575/2013 («ΚΚΑ»), σε ατομική βάση, τα ιδρύματα χρησιμοποιούν τα υποδείγματα LE1, LE2 και LE3. </w:t>
      </w:r>
    </w:p>
    <w:p w:rsidR="00B0191A" w:rsidRPr="0039317F" w:rsidRDefault="000F13EA" w:rsidP="0039317F">
      <w:pPr>
        <w:pStyle w:val="InstructionsText2"/>
        <w:rPr>
          <w:rFonts w:eastAsia="Arial"/>
        </w:rPr>
      </w:pPr>
      <w:r>
        <w:t>Προκειμένου να παρέχουν πληροφορίες σχετικά με τα μεγάλα χρηματοδοτικά ανοί</w:t>
      </w:r>
      <w:r>
        <w:t>γ</w:t>
      </w:r>
      <w:r>
        <w:t xml:space="preserve">ματα έναντι πελατών ή ομάδων συνδεδεμένων πελατών, σύμφωνα με το άρθρο 394 παράγραφος 1 του ΚΚΑ, σε ενοποιημένη βάση, τα μητρικά ιδρύματα σε ένα κράτος μέλος χρησιμοποιούν τα υποδείγματα LE1, LE2 και LE3. </w:t>
      </w:r>
    </w:p>
    <w:p w:rsidR="00B0191A" w:rsidRPr="0039317F" w:rsidRDefault="00A11FB0" w:rsidP="000F0ADE">
      <w:pPr>
        <w:pStyle w:val="InstructionsText2"/>
        <w:rPr>
          <w:rFonts w:eastAsia="Arial"/>
        </w:rPr>
      </w:pPr>
      <w:r>
        <w:t>Αναφέρεται κάθε μεγάλο χρηματοδοτικό άνοιγμα, που ορίζεται σύμφωνα με το άρθρο 392 του ΚΚΑ, συμπεριλαμβανομένων και των μεγάλων χρηματοδοτικών ανοιγμάτων που δεν λαμβάνονται υπόψη για τη συμμόρφωση με τα όρια των μεγάλων χρηματοδ</w:t>
      </w:r>
      <w:r>
        <w:t>ο</w:t>
      </w:r>
      <w:r>
        <w:t xml:space="preserve">τικών ανοιγμάτων, που προβλέπονται στο άρθρο 395 του ΚΚΑ. </w:t>
      </w:r>
    </w:p>
    <w:p w:rsidR="00B0191A" w:rsidRPr="0039317F" w:rsidRDefault="001C7BF0" w:rsidP="000F0ADE">
      <w:pPr>
        <w:pStyle w:val="InstructionsText2"/>
        <w:rPr>
          <w:rFonts w:eastAsia="Arial"/>
        </w:rPr>
      </w:pPr>
      <w:r>
        <w:t>Προκειμένου να παρέχουν πληροφορίες σχετικά με τα 20 μεγαλύτερα ανοίγματα έν</w:t>
      </w:r>
      <w:r>
        <w:t>α</w:t>
      </w:r>
      <w:r>
        <w:t>ντι πελατών ή ομάδων συνδεδεμένων πελατών, σύμφωνα με το άρθρο 394 παράγρ</w:t>
      </w:r>
      <w:r>
        <w:t>α</w:t>
      </w:r>
      <w:r>
        <w:t>φος 1 τελευταία περίοδος του ΚΚΑ, σε ενοποιημένη βάση, τα μητρικά ιδρύματα σε ένα κράτος μέλος, τα οποία υπόκεινται στο τρίτο μέρος τίτλος II κεφάλαιο 3 του ΚΚΑ χρησιμοποιούν τα υποδείγματα LE1, LE2 και LE3. Η αξία ανοίγματος που προκύπτει από την αφαίρεση του ποσού της στήλης 320 («Ποσά που εξαιρούνται») του υποδεί</w:t>
      </w:r>
      <w:r>
        <w:t>γ</w:t>
      </w:r>
      <w:r>
        <w:t>ματος LE2 από το ποσό της στήλης 210 («Σύνολο») του ιδίου υποδείγματος είναι το ποσό που χρησιμοποιείται για τον προσδιορισμό αυτών των 20 μεγαλύτερων ανοιγμ</w:t>
      </w:r>
      <w:r>
        <w:t>ά</w:t>
      </w:r>
      <w:r>
        <w:t xml:space="preserve">των. </w:t>
      </w:r>
    </w:p>
    <w:p w:rsidR="00B0191A" w:rsidRPr="0039317F" w:rsidRDefault="00C1644D">
      <w:pPr>
        <w:pStyle w:val="InstructionsText2"/>
        <w:rPr>
          <w:rFonts w:eastAsia="Arial"/>
        </w:rPr>
      </w:pPr>
      <w:r>
        <w:t>Προκειμένου να παρέχουν πληροφορίες σχετικά με τα 10 μεγαλύτερα ανοίγματα έν</w:t>
      </w:r>
      <w:r>
        <w:t>α</w:t>
      </w:r>
      <w:r>
        <w:t>ντι ιδρυμάτων, καθώς και για τα 10 μεγαλύτερα ανοίγματα έναντι μη ρυθμιζόμενων οντοτήτων του χρηματοπιστωτικού τομέα, σύμφωνα με το άρθρο 394 παράγραφος 2 στοιχεία α) έως δ) του ΚΚΑ σε ενοποιημένη βάση, τα μητρικά ιδρύματα σε ένα κρ</w:t>
      </w:r>
      <w:r>
        <w:t>ά</w:t>
      </w:r>
      <w:r>
        <w:t>τος μέλος χρησιμοποιούν τα υποδείγματα LE1, LE2 και LE3. Για την αναφορά της δομής ληκτότητας αυτών των ανοιγμάτων, σύμφωνα με το άρθρο 394 παράγραφος 2 στοιχείο ε) του ΚΚΑ, τα μητρικά ιδρύματα σε ένα κράτος μέλος χρησιμοποιούν τα υποδείγματα LE4 και LE5. Η αξία ανοίγματος που υπολογίζεται στη στήλη 210 («Σ</w:t>
      </w:r>
      <w:r>
        <w:t>ύ</w:t>
      </w:r>
      <w:r>
        <w:t>νολο») του υποδείγματος LE2 είναι το ποσό που χρησιμοποιείται για τον προσδιορ</w:t>
      </w:r>
      <w:r>
        <w:t>ι</w:t>
      </w:r>
      <w:r>
        <w:t>σμό αυτών των 20 μεγαλύτερων ανοιγμάτων.</w:t>
      </w:r>
    </w:p>
    <w:p w:rsidR="00B0191A" w:rsidRPr="0039317F" w:rsidRDefault="001E0F83">
      <w:pPr>
        <w:pStyle w:val="InstructionsText2"/>
        <w:rPr>
          <w:rFonts w:eastAsia="Arial"/>
        </w:rPr>
      </w:pPr>
      <w:r>
        <w:t xml:space="preserve">Τα δεδομένα για τα μεγάλα ανοίγματα και τα σχετικά μεγαλύτερα ανοίγματα έναντι ομάδων συνδεδεμένων πελατών και μεμονωμένων πελατών που δεν ανήκουν σε μια ομάδα συνδεδεμένων πελατών αναφέρονται στο υπόδειγμα LE2 (στο οποίο μια ομάδα συνδεδεμένων πελατών αναφέρεται ως ένα ενιαίο άνοιγμα). </w:t>
      </w:r>
    </w:p>
    <w:p w:rsidR="00B0191A" w:rsidRPr="0039317F" w:rsidRDefault="008A4511">
      <w:pPr>
        <w:pStyle w:val="InstructionsText2"/>
        <w:rPr>
          <w:rFonts w:eastAsia="Arial"/>
        </w:rPr>
      </w:pPr>
      <w:r>
        <w:lastRenderedPageBreak/>
        <w:t>Τα ιδρύματα αναφέρουν στο υπόδειγμα LE3 δεδομένα για τα ανοίγματα προς μεμ</w:t>
      </w:r>
      <w:r>
        <w:t>ο</w:t>
      </w:r>
      <w:r>
        <w:t>νωμένους πελάτες που ανήκουν στις ομάδες συνδεδεμένων πελατών, που αναφέρ</w:t>
      </w:r>
      <w:r>
        <w:t>ο</w:t>
      </w:r>
      <w:r>
        <w:t xml:space="preserve">νται στο υπόδειγμα LE2. Η αναφορά ενός ανοίγματος σε μεμονωμένο πελάτη στο </w:t>
      </w:r>
      <w:r>
        <w:t>υ</w:t>
      </w:r>
      <w:r>
        <w:t xml:space="preserve">πόδειγμα LE2 δεν επαναλαμβάνεται στο υπόδειγμα LE3. </w:t>
      </w:r>
    </w:p>
    <w:p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6" w:name="_Toc393461955"/>
      <w:bookmarkStart w:id="17" w:name="_Toc524267396"/>
      <w:r>
        <w:rPr>
          <w:rFonts w:ascii="Times New Roman" w:hAnsi="Times New Roman"/>
          <w:b/>
          <w:sz w:val="24"/>
          <w:u w:val="none"/>
        </w:rPr>
        <w:t>Δομή του υποδείγματος LE</w:t>
      </w:r>
      <w:bookmarkEnd w:id="16"/>
      <w:bookmarkEnd w:id="17"/>
    </w:p>
    <w:p w:rsidR="00A11EC0" w:rsidRPr="0039317F" w:rsidRDefault="00B945FE" w:rsidP="0039317F">
      <w:pPr>
        <w:pStyle w:val="InstructionsText2"/>
        <w:rPr>
          <w:rFonts w:eastAsia="Arial"/>
        </w:rPr>
      </w:pPr>
      <w:r>
        <w:t>Οι στήλες του υποδείγματος LE1 συμπληρώνονται με τις πληροφορίες που αφορούν την ταυτότητα μεμονωμένων πελατών ή ομάδων συνδεδεμένων πελατών έναντι των οποίων έχει άνοιγμα ένα ίδρυμα.</w:t>
      </w:r>
    </w:p>
    <w:p w:rsidR="00B0191A" w:rsidRPr="0039317F" w:rsidRDefault="009362E7" w:rsidP="0039317F">
      <w:pPr>
        <w:pStyle w:val="InstructionsText2"/>
        <w:rPr>
          <w:rFonts w:eastAsia="Arial"/>
        </w:rPr>
      </w:pPr>
      <w:r>
        <w:t xml:space="preserve">Οι στήλες των υποδειγμάτων LE2 και LE3 συμπληρώνονται με τις ακόλουθες δέσμες πληροφοριών:   </w:t>
      </w:r>
    </w:p>
    <w:p w:rsidR="00B0191A" w:rsidRPr="0039317F" w:rsidRDefault="00ED0491" w:rsidP="00B028ED">
      <w:pPr>
        <w:pStyle w:val="InstructionsText2"/>
        <w:numPr>
          <w:ilvl w:val="0"/>
          <w:numId w:val="0"/>
        </w:numPr>
        <w:ind w:left="1418" w:hanging="338"/>
        <w:rPr>
          <w:rFonts w:eastAsia="Arial"/>
        </w:rPr>
      </w:pPr>
      <w:r>
        <w:t>α)</w:t>
      </w:r>
      <w:r>
        <w:tab/>
      </w:r>
      <w:r w:rsidR="001E0F83">
        <w:t>την αξία ανοίγματος πριν από την εφαρμογή των εξαιρέσεων και προτού λη</w:t>
      </w:r>
      <w:r w:rsidR="001E0F83">
        <w:t>φ</w:t>
      </w:r>
      <w:r w:rsidR="001E0F83">
        <w:t>θεί υπόψη η επίδραση των τεχνικών μείωσης του πιστωτικού κινδύνου, συμπ</w:t>
      </w:r>
      <w:r w:rsidR="001E0F83">
        <w:t>ε</w:t>
      </w:r>
      <w:r w:rsidR="001E0F83">
        <w:t xml:space="preserve">ριλαμβανομένων των άμεσων, έμμεσων ανοιγμάτων και των πρόσθετων </w:t>
      </w:r>
      <w:r w:rsidR="001E0F83">
        <w:t>α</w:t>
      </w:r>
      <w:r w:rsidR="001E0F83">
        <w:t>νοιγμάτων που προκύπτουν από συναλλαγές όπου υπάρχει άνοιγμα σε υποκε</w:t>
      </w:r>
      <w:r w:rsidR="001E0F83">
        <w:t>ί</w:t>
      </w:r>
      <w:r w:rsidR="001E0F83">
        <w:t>μενα στοιχεία ενεργητικού·</w:t>
      </w:r>
    </w:p>
    <w:p w:rsidR="00B0191A" w:rsidRPr="0039317F" w:rsidRDefault="00ED0491" w:rsidP="00B028ED">
      <w:pPr>
        <w:pStyle w:val="InstructionsText2"/>
        <w:numPr>
          <w:ilvl w:val="0"/>
          <w:numId w:val="0"/>
        </w:numPr>
        <w:ind w:left="1418" w:hanging="338"/>
        <w:rPr>
          <w:rFonts w:eastAsia="Arial"/>
        </w:rPr>
      </w:pPr>
      <w:r>
        <w:t>β)</w:t>
      </w:r>
      <w:r>
        <w:tab/>
      </w:r>
      <w:r w:rsidR="001E0F83">
        <w:t>την επίδραση των εξαιρέσεων και των τεχνικών μείωσης του πιστωτικού κι</w:t>
      </w:r>
      <w:r w:rsidR="001E0F83">
        <w:t>ν</w:t>
      </w:r>
      <w:r w:rsidR="001E0F83">
        <w:t>δύνου·</w:t>
      </w:r>
    </w:p>
    <w:p w:rsidR="00B0191A" w:rsidRPr="0039317F" w:rsidRDefault="00ED0491" w:rsidP="00B028ED">
      <w:pPr>
        <w:pStyle w:val="InstructionsText2"/>
        <w:numPr>
          <w:ilvl w:val="0"/>
          <w:numId w:val="0"/>
        </w:numPr>
        <w:ind w:left="1418" w:hanging="338"/>
        <w:rPr>
          <w:rFonts w:eastAsia="Arial"/>
        </w:rPr>
      </w:pPr>
      <w:r>
        <w:t>γ)</w:t>
      </w:r>
      <w:r>
        <w:tab/>
      </w:r>
      <w:r w:rsidR="001E0F83">
        <w:t xml:space="preserve">την αξία ανοίγματος μετά την εφαρμογή των εξαιρέσεων και αφού ληφθεί </w:t>
      </w:r>
      <w:r w:rsidR="001E0F83">
        <w:t>υ</w:t>
      </w:r>
      <w:r w:rsidR="001E0F83">
        <w:t>πόψη η επίδραση των τεχνικών μείωσης του πιστωτικού κινδύνου, όπως υπ</w:t>
      </w:r>
      <w:r w:rsidR="001E0F83">
        <w:t>ο</w:t>
      </w:r>
      <w:r w:rsidR="001E0F83">
        <w:t>λογ</w:t>
      </w:r>
      <w:r w:rsidR="001E0F83">
        <w:t>ί</w:t>
      </w:r>
      <w:r w:rsidR="001E0F83">
        <w:t xml:space="preserve">ζεται για τους σκοπούς του άρθρου 395 παράγραφος 1 του ΚΚΑ. </w:t>
      </w:r>
    </w:p>
    <w:p w:rsidR="00B0191A" w:rsidRPr="0039317F" w:rsidRDefault="00B4530A" w:rsidP="0039317F">
      <w:pPr>
        <w:pStyle w:val="InstructionsText2"/>
        <w:rPr>
          <w:rFonts w:eastAsia="Arial"/>
        </w:rPr>
      </w:pPr>
      <w:r>
        <w:t xml:space="preserve">Οι στήλες των υποδειγμάτων LE4 και LE5 παρουσιάζουν πληροφορίες σχετικά με τις περιόδους ληκτότητας, στις οποίες κατανέμονται τα αναμενόμενα ποσά κατά τη λήξη των 10 μεγαλύτερων ανοιγμάτων έναντι ιδρυμάτων, καθώς και των 10 μεγαλύτερων ανοιγμάτων έναντι μη ρυθμιζόμενων οντοτήτων του χρηματοπιστωτικού τομέα. </w:t>
      </w:r>
    </w:p>
    <w:p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8" w:name="_Toc393461956"/>
      <w:bookmarkStart w:id="19" w:name="_Toc524267397"/>
      <w:r>
        <w:rPr>
          <w:rFonts w:ascii="Times New Roman" w:hAnsi="Times New Roman"/>
          <w:b/>
          <w:sz w:val="24"/>
          <w:u w:val="none"/>
        </w:rPr>
        <w:t>Ορισμοί και γενικές οδηγίες για τους σκοπούς των αναφορών LE</w:t>
      </w:r>
      <w:bookmarkEnd w:id="18"/>
      <w:bookmarkEnd w:id="19"/>
    </w:p>
    <w:p w:rsidR="001E0F83" w:rsidRPr="0039317F" w:rsidRDefault="00B945FE" w:rsidP="0039317F">
      <w:pPr>
        <w:pStyle w:val="InstructionsText2"/>
        <w:rPr>
          <w:rFonts w:eastAsia="Arial"/>
        </w:rPr>
      </w:pPr>
      <w:r>
        <w:t>Η «ομάδα συνδεδεμένων πελατών» ορίζεται στο άρθρο 4 παράγραφος 1 σημείο 39) του ΚΚΑ.</w:t>
      </w:r>
    </w:p>
    <w:p w:rsidR="00B0191A" w:rsidRPr="0039317F" w:rsidRDefault="00915A9C" w:rsidP="0039317F">
      <w:pPr>
        <w:pStyle w:val="InstructionsText2"/>
        <w:rPr>
          <w:rFonts w:eastAsia="Arial"/>
        </w:rPr>
      </w:pPr>
      <w:r>
        <w:t xml:space="preserve">Οι «μη ρυθμιζόμενες οντότητες του χρηματοπιστωτικού τομέα» ορίζονται στο άρθρο 142 παράγραφος 1 σημείο 5) του ΚΚΑ.  </w:t>
      </w:r>
    </w:p>
    <w:p w:rsidR="00B0191A" w:rsidRPr="0039317F" w:rsidRDefault="00D441A7" w:rsidP="0039317F">
      <w:pPr>
        <w:pStyle w:val="InstructionsText2"/>
        <w:rPr>
          <w:rFonts w:eastAsia="Arial"/>
        </w:rPr>
      </w:pPr>
      <w:r>
        <w:t xml:space="preserve">Το «ίδρυμα» ορίζεται στο άρθρο 4 παράγραφος 1 σημείο 3) του ΚΚΑ.  </w:t>
      </w:r>
    </w:p>
    <w:p w:rsidR="00B0191A" w:rsidRPr="0039317F" w:rsidRDefault="009B34D1" w:rsidP="0039317F">
      <w:pPr>
        <w:pStyle w:val="InstructionsText2"/>
        <w:rPr>
          <w:rFonts w:eastAsia="Arial"/>
        </w:rPr>
      </w:pPr>
      <w:r>
        <w:t>Τα ανοίγματα έναντι «εταιρειών αστικού δικαίου» αναφέρονται. Επιπλέον, τα ιδρύμ</w:t>
      </w:r>
      <w:r>
        <w:t>α</w:t>
      </w:r>
      <w:r>
        <w:t>τα προσθέτουν τα ποσά πίστωσης της εταιρείας αστικού δικαίου στο χρέος του κάθε εταίρου. Τα ανοίγματα έναντι εταιρειών αστικού δικαίου που αναγράφουν ποσοστ</w:t>
      </w:r>
      <w:r>
        <w:t>ώ</w:t>
      </w:r>
      <w:r>
        <w:t>σεις διαιρούνται ή κατανέμονται στους εταίρους σύμφωνα με τις αντίστοιχες ποσ</w:t>
      </w:r>
      <w:r>
        <w:t>ο</w:t>
      </w:r>
      <w:r>
        <w:t>στώσεις τους. Ορισμένοι μηχανισμοί (π.χ. κοινοί λογαριασμοί, κοινωνίες κληρον</w:t>
      </w:r>
      <w:r>
        <w:t>ό</w:t>
      </w:r>
      <w:r>
        <w:t>μων, δάνεια αχυράνθρωπων) που λειτουργούν στην πράξη ως εταιρείες αστικού δ</w:t>
      </w:r>
      <w:r>
        <w:t>ι</w:t>
      </w:r>
      <w:r>
        <w:t xml:space="preserve">καίου πρέπει να αναφέρονται ακριβώς με τον ίδιο τρόπο. </w:t>
      </w:r>
    </w:p>
    <w:p w:rsidR="00910E26" w:rsidRPr="0039317F" w:rsidRDefault="00D441A7" w:rsidP="0039317F">
      <w:pPr>
        <w:pStyle w:val="InstructionsText2"/>
        <w:rPr>
          <w:rFonts w:eastAsia="Arial"/>
        </w:rPr>
      </w:pPr>
      <w:r>
        <w:lastRenderedPageBreak/>
        <w:t>Τα στοιχεία ενεργητικού και τα στοιχεία εκτός ισολογισμού χρησιμοποιούνται χωρίς συντελεστές στάθμισης κινδύνου ή βαθμούς κινδύνου, σύμφωνα με το άρθρο 389 του ΚΚΑ. Συγκεκριμένα, οι συντελεστές μετατροπής δεν εφαρμόζονται σε στοιχεία εκτός ισολογισμού.</w:t>
      </w:r>
    </w:p>
    <w:p w:rsidR="00B0191A" w:rsidRPr="0039317F" w:rsidRDefault="0039317F" w:rsidP="0039317F">
      <w:pPr>
        <w:pStyle w:val="InstructionsText2"/>
        <w:rPr>
          <w:rFonts w:eastAsia="Arial"/>
        </w:rPr>
      </w:pPr>
      <w:r>
        <w:t xml:space="preserve"> Τα «χρηματοδοτικά ανοίγματα» ορίζονται στο άρθρο 389 του ΚΚΑ. </w:t>
      </w:r>
    </w:p>
    <w:p w:rsidR="00B0191A" w:rsidRPr="0039317F" w:rsidRDefault="00443876" w:rsidP="00443876">
      <w:pPr>
        <w:pStyle w:val="InstructionsText2"/>
        <w:numPr>
          <w:ilvl w:val="0"/>
          <w:numId w:val="0"/>
        </w:numPr>
        <w:ind w:left="1418" w:hanging="338"/>
        <w:rPr>
          <w:rFonts w:eastAsia="Arial"/>
        </w:rPr>
      </w:pPr>
      <w:r>
        <w:t>α)</w:t>
      </w:r>
      <w:r>
        <w:tab/>
      </w:r>
      <w:r w:rsidR="001243C8">
        <w:t>κάθε στοιχείο ενεργητικού ή στοιχείο εκτός ισολογισμού, εκτός και εντός χα</w:t>
      </w:r>
      <w:r w:rsidR="001243C8">
        <w:t>ρ</w:t>
      </w:r>
      <w:r w:rsidR="001243C8">
        <w:t>τοφυλακίου συναλλαγών, συμπεριλαμβανομένων των στοιχείων που καθορ</w:t>
      </w:r>
      <w:r w:rsidR="001243C8">
        <w:t>ί</w:t>
      </w:r>
      <w:r w:rsidR="001243C8">
        <w:t>ζονται στο άρθρο 400 του ΚΚΑ, αλλά εξαιρουμένων των στοιχείων που εμπ</w:t>
      </w:r>
      <w:r w:rsidR="001243C8">
        <w:t>ί</w:t>
      </w:r>
      <w:r w:rsidR="001243C8">
        <w:t xml:space="preserve">πτουν στο πεδίο εφαρμογής του άρθρου 390 παράγραφος 6 στοιχεία α) έως δ) του ΚΚΑ. </w:t>
      </w:r>
    </w:p>
    <w:p w:rsidR="00B0191A" w:rsidRPr="0039317F" w:rsidRDefault="00443876" w:rsidP="00443876">
      <w:pPr>
        <w:pStyle w:val="InstructionsText2"/>
        <w:numPr>
          <w:ilvl w:val="0"/>
          <w:numId w:val="0"/>
        </w:numPr>
        <w:ind w:left="1418" w:hanging="338"/>
        <w:rPr>
          <w:rFonts w:eastAsia="Arial"/>
        </w:rPr>
      </w:pPr>
      <w:r>
        <w:t>β)</w:t>
      </w:r>
      <w:r>
        <w:tab/>
      </w:r>
      <w:r w:rsidR="00AB5AE4">
        <w:t>ως «έμμεσα ανοίγματα» νοούνται τα ανοίγματα που κατανέμονται στον εγγυ</w:t>
      </w:r>
      <w:r w:rsidR="00AB5AE4">
        <w:t>η</w:t>
      </w:r>
      <w:r w:rsidR="00AB5AE4">
        <w:t xml:space="preserve">τή ή στον εκδότη της εξασφάλισης και όχι στον άμεσο δανειολήπτη, σύμφωνα με το άρθρο 403 του ΚΚΑ. </w:t>
      </w:r>
      <w:r w:rsidR="00AB5AE4">
        <w:rPr>
          <w:i/>
        </w:rPr>
        <w:t xml:space="preserve">[Οι ορισμοί στο παρόν δεν μπορούν να διαφέρουν με </w:t>
      </w:r>
      <w:r w:rsidR="00AB5AE4">
        <w:rPr>
          <w:i/>
        </w:rPr>
        <w:t>ο</w:t>
      </w:r>
      <w:r w:rsidR="00AB5AE4">
        <w:rPr>
          <w:i/>
        </w:rPr>
        <w:t>ποιοδήποτε δυνατό τρόπο από τους ορισμούς που προβλέπονται στη βασική πράξη.]</w:t>
      </w:r>
    </w:p>
    <w:p w:rsidR="00B0191A" w:rsidRPr="0039317F" w:rsidRDefault="00F40CD9" w:rsidP="0039317F">
      <w:pPr>
        <w:pStyle w:val="InstructionsText2"/>
        <w:rPr>
          <w:rFonts w:eastAsia="Arial"/>
        </w:rPr>
      </w:pPr>
      <w:r>
        <w:t>Τα ανοίγματα έναντι ομάδων συνδεδεμένων πελατών υπολογίζονται σύμφωνα με το άρθρο 390 παράγραφος 5.</w:t>
      </w:r>
    </w:p>
    <w:p w:rsidR="0008722B" w:rsidRPr="0039317F" w:rsidRDefault="008645CF" w:rsidP="0039317F">
      <w:pPr>
        <w:pStyle w:val="InstructionsText2"/>
        <w:rPr>
          <w:rFonts w:eastAsia="Arial"/>
        </w:rPr>
      </w:pPr>
      <w:r>
        <w:t>Οι «συμφωνίες συμψηφισμού» επιτρέπονται, ώστε να λαμβάνονται υπόψη στα αποτ</w:t>
      </w:r>
      <w:r>
        <w:t>ε</w:t>
      </w:r>
      <w:r>
        <w:t>λέσματα της αξίας ανοίγματος των μεγάλων χρηματοδοτικών ανοιγμάτων, όπως πρ</w:t>
      </w:r>
      <w:r>
        <w:t>ο</w:t>
      </w:r>
      <w:r>
        <w:t>βλέπεται στο άρθρο 390 παράγραφοι 1, 2 και 3 του ΚΚΑ. Η αξία ανοίγματος ενός π</w:t>
      </w:r>
      <w:r>
        <w:t>α</w:t>
      </w:r>
      <w:r>
        <w:t>ράγωγου μέσου που περιλαμβάνεται στο παράρτημα II του ΚΚΑ προσδιορίζεται σύμφωνα με το τρίτο μέρος τίτλος II κεφάλαιο 6 του ΚΚΑ, λαμβάνοντας υπόψη τα αποτελέσματα συμβάσεων ανανέωσης και άλλων συμψηφιστικών συμφωνιών για τους σκοπούς των εν λόγω μεθόδων, σύμφωνα με το τρίτο μέρος τίτλος II κεφάλαιο 6 του ΚΚΑ. Η αξία ανοίγματος των πράξεων επαναγοράς, των πράξεων δανειοδοσίας ή δανειοληψίας τίτλων ή εμπορευμάτων, των πράξεων με μακρά προθεσμία διακανον</w:t>
      </w:r>
      <w:r>
        <w:t>ι</w:t>
      </w:r>
      <w:r>
        <w:t>σμού και των πράξεων δανεισμού περιθωρίου μπορεί να προσδιορίζεται είτε σύμφωνα με το τρίτο μέρος τίτλος II κεφάλαιο 4 είτε σύμφωνα με το τρίτο μέρος τίτλος II κ</w:t>
      </w:r>
      <w:r>
        <w:t>ε</w:t>
      </w:r>
      <w:r>
        <w:t xml:space="preserve">φάλαιο 6 του ΚΚΑ. Σύμφωνα με το άρθρο 296 του ΚΚΑ, η αξία ανοίγματος μιας </w:t>
      </w:r>
      <w:r>
        <w:t>ε</w:t>
      </w:r>
      <w:r>
        <w:t>νιαίας νομικής υποχρέωσης που απορρέει από τη συμφωνία συμβατικού συμψηφ</w:t>
      </w:r>
      <w:r>
        <w:t>ι</w:t>
      </w:r>
      <w:r>
        <w:t xml:space="preserve">σμού μεταξύ προϊόντων με αντισυμβαλλόμενο του ιδρύματος που υποβάλλει την </w:t>
      </w:r>
      <w:r>
        <w:t>α</w:t>
      </w:r>
      <w:r>
        <w:t>ναφορά αναφέρεται ως «άλλες δεσμεύσεις» στα υποδείγματα LE.</w:t>
      </w:r>
    </w:p>
    <w:p w:rsidR="00AB28E2" w:rsidRPr="0039317F" w:rsidRDefault="001E0F83" w:rsidP="0039317F">
      <w:pPr>
        <w:pStyle w:val="InstructionsText2"/>
        <w:rPr>
          <w:rFonts w:eastAsia="Arial"/>
        </w:rPr>
      </w:pPr>
      <w:r>
        <w:t>Η «αξία ανοίγματος» υπολογίζεται σύμφωνα με το άρθρο 390 του ΚΚΑ.</w:t>
      </w:r>
    </w:p>
    <w:p w:rsidR="00B0191A" w:rsidRPr="0039317F" w:rsidRDefault="001E0F83" w:rsidP="0039317F">
      <w:pPr>
        <w:pStyle w:val="InstructionsText2"/>
        <w:rPr>
          <w:rFonts w:eastAsia="Arial"/>
        </w:rPr>
      </w:pPr>
      <w:r>
        <w:t>Η επίδραση της πλήρους ή μερικής εφαρμογής των εξαιρέσεων και των επιλέξιμων τεχνικών μείωσης του πιστωτικού κινδύνου (CRM) για τον υπολογισμό των ανοιγμ</w:t>
      </w:r>
      <w:r>
        <w:t>ά</w:t>
      </w:r>
      <w:r>
        <w:t xml:space="preserve">των, για τους σκοπούς του άρθρου 395 παράγραφος 1 του ΚΚΑ, περιγράφεται στα άρθρα 399 έως 403 του ΚΚΑ. </w:t>
      </w:r>
    </w:p>
    <w:p w:rsidR="00AB28E2" w:rsidRPr="0039317F" w:rsidRDefault="0017740A" w:rsidP="0039317F">
      <w:pPr>
        <w:pStyle w:val="InstructionsText2"/>
        <w:rPr>
          <w:rFonts w:eastAsia="Arial"/>
        </w:rPr>
      </w:pPr>
      <w:r>
        <w:t>Οι συμφωνίες αγοράς και επαναπώλησης που εμπίπτουν στην υποβολή αναφορών για μεγάλα χρηματοδοτικά ανοίγματα αναφέρονται σύμφωνα με το άρθρο 402 παράγρ</w:t>
      </w:r>
      <w:r>
        <w:t>α</w:t>
      </w:r>
      <w:r>
        <w:t>φος 3 του ΚΚΑ. Υπό την προϋπόθεση ότι πληρούνται τα κριτήρια του άρθρου 402 παράγραφος 3 του ΚΚΑ, το ίδρυμα αναφέρει τα μεγάλα χρηματοδοτικά ανοίγματα προς κάθε τρίτο για το ποσό της απαίτησης που έχει ο αντισυμβαλλόμενος στη σ</w:t>
      </w:r>
      <w:r>
        <w:t>υ</w:t>
      </w:r>
      <w:r>
        <w:lastRenderedPageBreak/>
        <w:t xml:space="preserve">ναλλαγή έναντι αυτού του τρίτου, και όχι για το ποσό του ανοίγματος έναντι του </w:t>
      </w:r>
      <w:r>
        <w:t>α</w:t>
      </w:r>
      <w:r>
        <w:t>ντισυμβαλλομένου.</w:t>
      </w:r>
    </w:p>
    <w:p w:rsidR="00B0191A" w:rsidRPr="00384ADB" w:rsidRDefault="00B0191A" w:rsidP="00FD4656">
      <w:pPr>
        <w:rPr>
          <w:rFonts w:eastAsia="Arial"/>
        </w:rPr>
      </w:pPr>
    </w:p>
    <w:p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20" w:name="_Toc393461957"/>
      <w:bookmarkStart w:id="21" w:name="_Toc524267398"/>
      <w:r>
        <w:rPr>
          <w:rFonts w:ascii="Times New Roman" w:hAnsi="Times New Roman"/>
          <w:b/>
          <w:sz w:val="24"/>
          <w:u w:val="none"/>
        </w:rPr>
        <w:t>C 26.00 – Υπόδειγμα LE Limits</w:t>
      </w:r>
      <w:bookmarkEnd w:id="20"/>
      <w:bookmarkEnd w:id="21"/>
    </w:p>
    <w:p w:rsidR="00C83135" w:rsidRPr="00384ADB" w:rsidRDefault="00C83135" w:rsidP="00C52CE2">
      <w:pPr>
        <w:pStyle w:val="Instructionsberschrift2"/>
        <w:numPr>
          <w:ilvl w:val="1"/>
          <w:numId w:val="22"/>
        </w:numPr>
        <w:rPr>
          <w:rFonts w:ascii="Times New Roman" w:hAnsi="Times New Roman" w:cs="Times New Roman"/>
          <w:sz w:val="24"/>
        </w:rPr>
      </w:pPr>
      <w:bookmarkStart w:id="22" w:name="_Toc393461958"/>
      <w:bookmarkStart w:id="23" w:name="_Toc524267399"/>
      <w:r>
        <w:rPr>
          <w:rFonts w:ascii="Times New Roman" w:hAnsi="Times New Roman"/>
          <w:sz w:val="24"/>
        </w:rPr>
        <w:t>Οδηγίες για συγκεκριμένες γραμμές</w:t>
      </w:r>
      <w:bookmarkEnd w:id="22"/>
      <w:bookmarkEnd w:id="23"/>
    </w:p>
    <w:p w:rsidR="00C83135" w:rsidRPr="00384ADB" w:rsidRDefault="00C83135"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rsidTr="00C83135">
        <w:tc>
          <w:tcPr>
            <w:tcW w:w="1418" w:type="dxa"/>
            <w:shd w:val="clear" w:color="auto" w:fill="D9D9D9"/>
          </w:tcPr>
          <w:p w:rsidR="00C83135" w:rsidRPr="00384ADB" w:rsidRDefault="00C83135"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Γραμμές</w:t>
            </w:r>
          </w:p>
        </w:tc>
        <w:tc>
          <w:tcPr>
            <w:tcW w:w="7620" w:type="dxa"/>
            <w:shd w:val="clear" w:color="auto" w:fill="D9D9D9"/>
          </w:tcPr>
          <w:p w:rsidR="00B0191A" w:rsidRPr="00384ADB" w:rsidRDefault="00C83135"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Νομικά κείμενα αναφοράς και οδηγίες</w:t>
            </w: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702E1B" w:rsidRPr="00384ADB" w:rsidRDefault="00702E1B"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Δεν είναι ιδρύματα</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2F1033"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395 παράγραφος 1, άρθρο 458 παράγραφος 2 στοιχείο α) σημείο ii), άρθρο 458 παράγραφος 10 και άρθρο 459 στοιχείο β) του ΚΚΑ</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702E1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Αναφέρεται το ποσό του εφαρμοστέου ορίου για τους αντισυμβαλλομένους, πλην των ιδρυμάτων. Το ποσό αυτό ανέρχεται στο 25 % του αποδεκτού κ</w:t>
            </w:r>
            <w:r>
              <w:rPr>
                <w:rStyle w:val="FormatvorlageInstructionsTabelleText"/>
                <w:rFonts w:ascii="Times New Roman" w:hAnsi="Times New Roman"/>
                <w:sz w:val="24"/>
              </w:rPr>
              <w:t>ε</w:t>
            </w:r>
            <w:r>
              <w:rPr>
                <w:rStyle w:val="FormatvorlageInstructionsTabelleText"/>
                <w:rFonts w:ascii="Times New Roman" w:hAnsi="Times New Roman"/>
                <w:sz w:val="24"/>
              </w:rPr>
              <w:t>φαλαίου, το οποίο αναφέρεται στη γραμμή 226 του υποδείγματος 4 του π</w:t>
            </w:r>
            <w:r>
              <w:rPr>
                <w:rStyle w:val="FormatvorlageInstructionsTabelleText"/>
                <w:rFonts w:ascii="Times New Roman" w:hAnsi="Times New Roman"/>
                <w:sz w:val="24"/>
              </w:rPr>
              <w:t>α</w:t>
            </w:r>
            <w:r>
              <w:rPr>
                <w:rStyle w:val="FormatvorlageInstructionsTabelleText"/>
                <w:rFonts w:ascii="Times New Roman" w:hAnsi="Times New Roman"/>
                <w:sz w:val="24"/>
              </w:rPr>
              <w:t xml:space="preserve">ραρτήματος I, εκτός εάν καθορίζεται πιο περιοριστικό ποσοστό, λόγω της εφαρμογής εθνικών μέτρων, σύμφωνα με το άρθρο 458 του ΚΚΑ ή τις κατ’ εξουσιοδότηση πράξεις που εκδίδονται σύμφωνα με το άρθρο 459 στοιχείο β) του ΚΚΑ. </w:t>
            </w:r>
          </w:p>
          <w:p w:rsidR="00B0191A" w:rsidRPr="00384ADB" w:rsidRDefault="002F4A3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 </w:t>
            </w: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C83135" w:rsidRPr="00384ADB" w:rsidRDefault="001A4F5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Ιδρύματα</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1A4F56"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395 παράγραφος 1, άρθρο 458 παράγραφος 2 στοιχείο α) σημείο ii), άρθρο 458 παράγραφος 10 και άρθρο 459 στοιχείο β) του ΚΚΑ</w:t>
            </w:r>
          </w:p>
          <w:p w:rsidR="00B0191A" w:rsidRPr="00384ADB" w:rsidRDefault="00B0191A" w:rsidP="000F0ADE">
            <w:pPr>
              <w:pStyle w:val="InstructionsText"/>
              <w:rPr>
                <w:rStyle w:val="FormatvorlageInstructionsTabelleText"/>
                <w:rFonts w:ascii="Times New Roman" w:hAnsi="Times New Roman"/>
                <w:sz w:val="24"/>
              </w:rPr>
            </w:pPr>
          </w:p>
          <w:p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Αναφέρεται το ποσό του εφαρμοστέου ορίου για τους αντισυμβαλλομένους που είναι ιδρύματα. Σύμφωνα με το άρθρο 395 παράγραφος 1 του ΚΚΑ, το ποσό αυτό είναι το ακόλουθο:</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F7508F">
            <w:pPr>
              <w:pStyle w:val="InstructionsText"/>
              <w:numPr>
                <w:ilvl w:val="0"/>
                <w:numId w:val="26"/>
              </w:numPr>
              <w:rPr>
                <w:rStyle w:val="FormatvorlageInstructionsTabelleText"/>
                <w:rFonts w:ascii="Times New Roman" w:hAnsi="Times New Roman"/>
                <w:sz w:val="24"/>
              </w:rPr>
            </w:pPr>
            <w:r>
              <w:rPr>
                <w:rStyle w:val="FormatvorlageInstructionsTabelleText"/>
                <w:rFonts w:ascii="Times New Roman" w:hAnsi="Times New Roman"/>
                <w:sz w:val="24"/>
              </w:rPr>
              <w:t>εάν το 25 % του αποδεκτού κεφαλαίου είναι μεγαλύτερο από 150 εκατ. EUR (ή ένα όριο χαμηλότερο από 150 εκατ. EUR, το οποίο καθορίζεται από την αρμόδια αρχή σύμφωνα με το άρθρο 395 παρ</w:t>
            </w:r>
            <w:r>
              <w:rPr>
                <w:rStyle w:val="FormatvorlageInstructionsTabelleText"/>
                <w:rFonts w:ascii="Times New Roman" w:hAnsi="Times New Roman"/>
                <w:sz w:val="24"/>
              </w:rPr>
              <w:t>ά</w:t>
            </w:r>
            <w:r>
              <w:rPr>
                <w:rStyle w:val="FormatvorlageInstructionsTabelleText"/>
                <w:rFonts w:ascii="Times New Roman" w:hAnsi="Times New Roman"/>
                <w:sz w:val="24"/>
              </w:rPr>
              <w:t>γραφος 1 τρίτο εδάφιο του ΚΚΑ), αναφέρεται το 25 % του αποδ</w:t>
            </w:r>
            <w:r>
              <w:rPr>
                <w:rStyle w:val="FormatvorlageInstructionsTabelleText"/>
                <w:rFonts w:ascii="Times New Roman" w:hAnsi="Times New Roman"/>
                <w:sz w:val="24"/>
              </w:rPr>
              <w:t>ε</w:t>
            </w:r>
            <w:r>
              <w:rPr>
                <w:rStyle w:val="FormatvorlageInstructionsTabelleText"/>
                <w:rFonts w:ascii="Times New Roman" w:hAnsi="Times New Roman"/>
                <w:sz w:val="24"/>
              </w:rPr>
              <w:t>κτού κεφαλαίου·</w:t>
            </w:r>
          </w:p>
          <w:p w:rsidR="00704405" w:rsidRPr="00384ADB" w:rsidRDefault="00704405">
            <w:pPr>
              <w:pStyle w:val="InstructionsText"/>
              <w:rPr>
                <w:rStyle w:val="FormatvorlageInstructionsTabelleText"/>
                <w:rFonts w:ascii="Times New Roman" w:hAnsi="Times New Roman"/>
                <w:sz w:val="24"/>
              </w:rPr>
            </w:pPr>
          </w:p>
          <w:p w:rsidR="00B0191A" w:rsidRPr="00384ADB" w:rsidRDefault="00F7508F">
            <w:pPr>
              <w:pStyle w:val="InstructionsText"/>
              <w:numPr>
                <w:ilvl w:val="0"/>
                <w:numId w:val="26"/>
              </w:numPr>
              <w:rPr>
                <w:rStyle w:val="FormatvorlageInstructionsTabelleText"/>
                <w:rFonts w:ascii="Times New Roman" w:hAnsi="Times New Roman"/>
                <w:sz w:val="24"/>
              </w:rPr>
            </w:pPr>
            <w:r>
              <w:rPr>
                <w:rStyle w:val="FormatvorlageInstructionsTabelleText"/>
                <w:rFonts w:ascii="Times New Roman" w:hAnsi="Times New Roman"/>
                <w:sz w:val="24"/>
              </w:rPr>
              <w:t>εάν το ποσό των 150 εκατ. EUR (ή ένα χαμηλότερο όριο, το οποίο καθορίζεται από την αρμόδια αρχή σύμφωνα με το άρθρο 395 παρ</w:t>
            </w:r>
            <w:r>
              <w:rPr>
                <w:rStyle w:val="FormatvorlageInstructionsTabelleText"/>
                <w:rFonts w:ascii="Times New Roman" w:hAnsi="Times New Roman"/>
                <w:sz w:val="24"/>
              </w:rPr>
              <w:t>ά</w:t>
            </w:r>
            <w:r>
              <w:rPr>
                <w:rStyle w:val="FormatvorlageInstructionsTabelleText"/>
                <w:rFonts w:ascii="Times New Roman" w:hAnsi="Times New Roman"/>
                <w:sz w:val="24"/>
              </w:rPr>
              <w:t>γραφος 1 τρίτο εδάφιο του ΚΚΑ) είναι μεγαλύτερο από το 25 % του αποδεκτού κεφαλαίου του ιδρύματος, αναφέρονται 150 εκατ. EUR (ή το χαμηλότερο όριο, εάν έχει καθοριστεί από την αρμόδια αρχή). Εάν το ίδρυμα έχει προσδιορίσει χαμηλότερο όριο όσον αφορά το αποδεκτό κεφάλαιό του, όπως προβλέπεται στο άρθρο 395 παρ</w:t>
            </w:r>
            <w:r>
              <w:rPr>
                <w:rStyle w:val="FormatvorlageInstructionsTabelleText"/>
                <w:rFonts w:ascii="Times New Roman" w:hAnsi="Times New Roman"/>
                <w:sz w:val="24"/>
              </w:rPr>
              <w:t>ά</w:t>
            </w:r>
            <w:r>
              <w:rPr>
                <w:rStyle w:val="FormatvorlageInstructionsTabelleText"/>
                <w:rFonts w:ascii="Times New Roman" w:hAnsi="Times New Roman"/>
                <w:sz w:val="24"/>
              </w:rPr>
              <w:t xml:space="preserve">γραφος 1 δεύτερο εδάφιο του ΚΚΑ, αναφέρεται αυτό το όριο. </w:t>
            </w:r>
          </w:p>
          <w:p w:rsidR="007F3F93" w:rsidRPr="00384ADB" w:rsidRDefault="007F3F93">
            <w:pPr>
              <w:pStyle w:val="InstructionsText"/>
              <w:rPr>
                <w:rStyle w:val="FormatvorlageInstructionsTabelleText"/>
                <w:rFonts w:ascii="Times New Roman" w:hAnsi="Times New Roman"/>
                <w:sz w:val="24"/>
              </w:rPr>
            </w:pPr>
          </w:p>
          <w:p w:rsidR="007F3F93"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Τα όρια αυτά μπορούν να είναι αυστηρότερα στην περίπτωση εφαρμογής εθνικών μέτρων, σύμφωνα με το άρθρο 395 παράγραφος 6 ή το άρθρο 458 </w:t>
            </w:r>
            <w:r>
              <w:rPr>
                <w:rStyle w:val="FormatvorlageInstructionsTabelleText"/>
                <w:rFonts w:ascii="Times New Roman" w:hAnsi="Times New Roman"/>
                <w:sz w:val="24"/>
              </w:rPr>
              <w:lastRenderedPageBreak/>
              <w:t>του ΚΚΑ ή τις κατ’ εξουσιοδότηση πράξεις που εκδίδονται σύμφωνα με το άρθρο 459 στοιχείο β) του ΚΚΑ.</w:t>
            </w:r>
          </w:p>
          <w:p w:rsidR="00B0191A" w:rsidRPr="00384ADB" w:rsidRDefault="00B0191A">
            <w:pPr>
              <w:pStyle w:val="InstructionsText"/>
              <w:rPr>
                <w:rStyle w:val="FormatvorlageInstructionsTabelleText"/>
                <w:rFonts w:ascii="Times New Roman" w:hAnsi="Times New Roman"/>
                <w:sz w:val="24"/>
              </w:rPr>
            </w:pP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w:t>
            </w:r>
          </w:p>
        </w:tc>
        <w:tc>
          <w:tcPr>
            <w:tcW w:w="7620" w:type="dxa"/>
          </w:tcPr>
          <w:p w:rsidR="00702E1B" w:rsidRPr="00384ADB" w:rsidRDefault="001A4F5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Ιδρύματα σε %</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1A4F56"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395 παράγραφος 1 και άρθρο 459 στοιχείο α) του ΚΚΑ</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586D8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ποσό που αναφέρεται είναι το απόλυτο όριο (που αναφέρεται στη γρα</w:t>
            </w:r>
            <w:r>
              <w:rPr>
                <w:rStyle w:val="FormatvorlageInstructionsTabelleText"/>
                <w:rFonts w:ascii="Times New Roman" w:hAnsi="Times New Roman"/>
                <w:sz w:val="24"/>
              </w:rPr>
              <w:t>μ</w:t>
            </w:r>
            <w:r>
              <w:rPr>
                <w:rStyle w:val="FormatvorlageInstructionsTabelleText"/>
                <w:rFonts w:ascii="Times New Roman" w:hAnsi="Times New Roman"/>
                <w:sz w:val="24"/>
              </w:rPr>
              <w:t>μή 020), εκφρασμένο ως ποσοστό του αποδεκτού κεφαλαίου.</w:t>
            </w:r>
          </w:p>
          <w:p w:rsidR="00B0191A" w:rsidRPr="00384ADB" w:rsidRDefault="00B0191A">
            <w:pPr>
              <w:pStyle w:val="InstructionsText"/>
              <w:rPr>
                <w:rStyle w:val="FormatvorlageInstructionsTabelleText"/>
                <w:rFonts w:ascii="Times New Roman" w:hAnsi="Times New Roman"/>
                <w:b/>
                <w:sz w:val="24"/>
              </w:rPr>
            </w:pPr>
          </w:p>
        </w:tc>
      </w:tr>
    </w:tbl>
    <w:p w:rsidR="00C83135" w:rsidRPr="00384ADB" w:rsidRDefault="00C83135" w:rsidP="0039317F">
      <w:pPr>
        <w:pStyle w:val="InstructionsText"/>
      </w:pPr>
    </w:p>
    <w:p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24" w:name="_Toc393461959"/>
      <w:bookmarkStart w:id="25" w:name="_Toc524267400"/>
      <w:r>
        <w:rPr>
          <w:rFonts w:ascii="Times New Roman" w:hAnsi="Times New Roman"/>
          <w:b/>
          <w:sz w:val="24"/>
          <w:u w:val="none"/>
        </w:rPr>
        <w:t>C 27.00 – Ταυτότητα του αντισυμβαλλομένου (LE 1)</w:t>
      </w:r>
      <w:bookmarkEnd w:id="24"/>
      <w:bookmarkEnd w:id="25"/>
    </w:p>
    <w:p w:rsidR="00634B45" w:rsidRPr="00384ADB" w:rsidRDefault="00634B45" w:rsidP="00C52CE2">
      <w:pPr>
        <w:pStyle w:val="Instructionsberschrift2"/>
        <w:numPr>
          <w:ilvl w:val="1"/>
          <w:numId w:val="22"/>
        </w:numPr>
        <w:rPr>
          <w:rFonts w:ascii="Times New Roman" w:hAnsi="Times New Roman" w:cs="Times New Roman"/>
          <w:sz w:val="24"/>
        </w:rPr>
      </w:pPr>
      <w:bookmarkStart w:id="26" w:name="_Toc393461960"/>
      <w:bookmarkStart w:id="27" w:name="_Toc524267401"/>
      <w:r>
        <w:rPr>
          <w:rFonts w:ascii="Times New Roman" w:hAnsi="Times New Roman"/>
          <w:sz w:val="24"/>
        </w:rPr>
        <w:t>Οδηγίες για συγκεκριμένες στήλες</w:t>
      </w:r>
      <w:bookmarkEnd w:id="26"/>
      <w:bookmarkEnd w:id="2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rsidTr="00634B45">
        <w:tc>
          <w:tcPr>
            <w:tcW w:w="1418" w:type="dxa"/>
            <w:shd w:val="clear" w:color="auto" w:fill="D9D9D9"/>
          </w:tcPr>
          <w:p w:rsidR="00634B45" w:rsidRPr="00384ADB" w:rsidRDefault="00634B45"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Στήλη</w:t>
            </w:r>
          </w:p>
        </w:tc>
        <w:tc>
          <w:tcPr>
            <w:tcW w:w="7620" w:type="dxa"/>
            <w:shd w:val="clear" w:color="auto" w:fill="D9D9D9"/>
          </w:tcPr>
          <w:p w:rsidR="00634B45" w:rsidRPr="00384ADB" w:rsidRDefault="00634B45"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Νομικά κείμενα αναφοράς και οδηγίες</w:t>
            </w:r>
          </w:p>
        </w:tc>
      </w:tr>
      <w:tr w:rsidR="00634B45" w:rsidRPr="00384ADB" w:rsidTr="00634B45">
        <w:tc>
          <w:tcPr>
            <w:tcW w:w="1418" w:type="dxa"/>
          </w:tcPr>
          <w:p w:rsidR="00634B45" w:rsidRPr="00384ADB" w:rsidRDefault="00634B4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rsidR="00634B45" w:rsidRPr="00384ADB" w:rsidRDefault="00634B45"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Ταυτότητα του αντισυμβαλλομένου:</w:t>
            </w:r>
          </w:p>
          <w:p w:rsidR="00B0191A" w:rsidRPr="0039317F" w:rsidRDefault="00B0191A" w:rsidP="0039317F">
            <w:pPr>
              <w:pStyle w:val="InstructionsText"/>
              <w:rPr>
                <w:rStyle w:val="FormatvorlageInstructionsTabelleText"/>
                <w:rFonts w:ascii="Times New Roman" w:hAnsi="Times New Roman"/>
                <w:b/>
                <w:sz w:val="24"/>
              </w:rPr>
            </w:pPr>
          </w:p>
          <w:p w:rsidR="00290EFB" w:rsidRPr="0039317F" w:rsidRDefault="0031054B"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ιδρύματα αναφέρουν την ταυτότητα του κάθε αντισυμβαλλομένου για τον οποίο υποβάλλονται πληροφορίες σε οποιοδήποτε από τα υποδείγματα C 28.00 έως C 31.00. Δεν αναφέρεται η ταυτότητα της ομάδας συνδεδεμ</w:t>
            </w:r>
            <w:r>
              <w:rPr>
                <w:rStyle w:val="FormatvorlageInstructionsTabelleText"/>
                <w:rFonts w:ascii="Times New Roman" w:hAnsi="Times New Roman"/>
                <w:sz w:val="24"/>
              </w:rPr>
              <w:t>έ</w:t>
            </w:r>
            <w:r>
              <w:rPr>
                <w:rStyle w:val="FormatvorlageInstructionsTabelleText"/>
                <w:rFonts w:ascii="Times New Roman" w:hAnsi="Times New Roman"/>
                <w:sz w:val="24"/>
              </w:rPr>
              <w:t>νων πελατών, εκτός εάν το εθνικό σύστημα υποβολής αναφορών προβλέπει μοναδικό κωδικό για την ομάδα συνδεδεμένων πελατών.</w:t>
            </w:r>
          </w:p>
          <w:p w:rsidR="00B0191A" w:rsidRPr="0039317F" w:rsidRDefault="00B0191A">
            <w:pPr>
              <w:pStyle w:val="InstructionsText"/>
              <w:rPr>
                <w:rStyle w:val="FormatvorlageInstructionsTabelleText"/>
                <w:rFonts w:ascii="Times New Roman" w:hAnsi="Times New Roman"/>
                <w:sz w:val="24"/>
              </w:rPr>
            </w:pPr>
          </w:p>
          <w:p w:rsidR="00B0191A" w:rsidRPr="0039317F"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Σύμφωνα με το άρθρο 394 παράγραφος 1 στοιχείο α) του ΚΚΑ, τα ιδρύματα αναφέρουν την ταυτότητα του αντισυμβαλλομένου έναντι του οποίου έχουν μεγάλο άνοιγμα, όπως ορίζεται στο άρθρο 392 του ΚΚΑ. </w:t>
            </w:r>
          </w:p>
          <w:p w:rsidR="00B0191A" w:rsidRPr="0039317F" w:rsidRDefault="00B0191A">
            <w:pPr>
              <w:pStyle w:val="InstructionsText"/>
              <w:rPr>
                <w:rStyle w:val="FormatvorlageInstructionsTabelleText"/>
                <w:rFonts w:ascii="Times New Roman" w:hAnsi="Times New Roman"/>
                <w:sz w:val="24"/>
              </w:rPr>
            </w:pPr>
          </w:p>
          <w:p w:rsidR="00B0191A" w:rsidRPr="0039317F"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Σύμφωνα με το άρθρο 394 παράγραφος 2 στοιχείο α) του ΚΚΑ, τα ιδρύματα αναφέρουν την ταυτότητα του αντισυμβαλλομένου έναντι του οποίου έχουν τα μεγαλύτερα ανοίγματα (στις περιπτώσεις όπου ο αντισυμβαλλόμενος ε</w:t>
            </w:r>
            <w:r>
              <w:rPr>
                <w:rStyle w:val="FormatvorlageInstructionsTabelleText"/>
                <w:rFonts w:ascii="Times New Roman" w:hAnsi="Times New Roman"/>
                <w:sz w:val="24"/>
              </w:rPr>
              <w:t>ί</w:t>
            </w:r>
            <w:r>
              <w:rPr>
                <w:rStyle w:val="FormatvorlageInstructionsTabelleText"/>
                <w:rFonts w:ascii="Times New Roman" w:hAnsi="Times New Roman"/>
                <w:sz w:val="24"/>
              </w:rPr>
              <w:t>ναι ίδρυμα ή μη ρυθμιζόμενη οντότητα του χρηματοπιστωτικού τομέα).</w:t>
            </w:r>
          </w:p>
          <w:p w:rsidR="00B0191A" w:rsidRPr="00384ADB" w:rsidRDefault="00B0191A">
            <w:pPr>
              <w:pStyle w:val="InstructionsText"/>
              <w:rPr>
                <w:rStyle w:val="InstructionsTabelleberschrift"/>
                <w:rFonts w:ascii="Times New Roman" w:hAnsi="Times New Roman"/>
                <w:b w:val="0"/>
                <w:sz w:val="24"/>
                <w:u w:val="none"/>
              </w:rPr>
            </w:pPr>
          </w:p>
        </w:tc>
      </w:tr>
      <w:tr w:rsidR="00CA42A9" w:rsidRPr="00384ADB" w:rsidTr="00186D4E">
        <w:trPr>
          <w:trHeight w:val="992"/>
        </w:trPr>
        <w:tc>
          <w:tcPr>
            <w:tcW w:w="1418" w:type="dxa"/>
          </w:tcPr>
          <w:p w:rsidR="00CA42A9"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CA42A9" w:rsidRPr="00384ADB" w:rsidRDefault="00CA42A9"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Κωδικός</w:t>
            </w:r>
          </w:p>
          <w:p w:rsidR="00B0191A" w:rsidRPr="00384ADB" w:rsidRDefault="00B0191A" w:rsidP="0039317F">
            <w:pPr>
              <w:pStyle w:val="InstructionsText"/>
              <w:rPr>
                <w:rStyle w:val="FormatvorlageInstructionsTabelleText"/>
                <w:rFonts w:ascii="Times New Roman" w:hAnsi="Times New Roman"/>
                <w:sz w:val="24"/>
              </w:rPr>
            </w:pPr>
          </w:p>
          <w:p w:rsidR="00296D72" w:rsidRPr="00384ADB" w:rsidRDefault="00296D72"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 κωδικός είναι αναγνωριστικός κωδικός γραμμής, και πρέπει να είναι μ</w:t>
            </w:r>
            <w:r>
              <w:rPr>
                <w:rStyle w:val="FormatvorlageInstructionsTabelleText"/>
                <w:rFonts w:ascii="Times New Roman" w:hAnsi="Times New Roman"/>
                <w:sz w:val="24"/>
              </w:rPr>
              <w:t>ο</w:t>
            </w:r>
            <w:r>
              <w:rPr>
                <w:rStyle w:val="FormatvorlageInstructionsTabelleText"/>
                <w:rFonts w:ascii="Times New Roman" w:hAnsi="Times New Roman"/>
                <w:sz w:val="24"/>
              </w:rPr>
              <w:t>ναδικός για κάθε γραμμή του πίνακα.</w:t>
            </w:r>
          </w:p>
          <w:p w:rsidR="00296D72" w:rsidRDefault="00296D72">
            <w:pPr>
              <w:pStyle w:val="InstructionsText"/>
              <w:rPr>
                <w:rStyle w:val="FormatvorlageInstructionsTabelleText"/>
                <w:rFonts w:ascii="Times New Roman" w:hAnsi="Times New Roman"/>
                <w:sz w:val="24"/>
              </w:rPr>
            </w:pPr>
          </w:p>
          <w:p w:rsidR="00290EFB" w:rsidRPr="00384ADB" w:rsidRDefault="00290EF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 κωδικός χρησιμοποιείται για τον προσδιορισμό του μεμονωμένου αντ</w:t>
            </w:r>
            <w:r>
              <w:rPr>
                <w:rStyle w:val="FormatvorlageInstructionsTabelleText"/>
                <w:rFonts w:ascii="Times New Roman" w:hAnsi="Times New Roman"/>
                <w:sz w:val="24"/>
              </w:rPr>
              <w:t>ι</w:t>
            </w:r>
            <w:r>
              <w:rPr>
                <w:rStyle w:val="FormatvorlageInstructionsTabelleText"/>
                <w:rFonts w:ascii="Times New Roman" w:hAnsi="Times New Roman"/>
                <w:sz w:val="24"/>
              </w:rPr>
              <w:t>συμβαλλομένου. Ωστόσο, σκοπός της παρούσας στήλης είναι να συνδεθούν οι λεπτομέρειες για τους αντισυμβαλλομένους στο υπόδειγμα C 27.00 με τα ανοίγματα που αναφέρονται στα υποδείγματα C 28.00 – C 31.00. Δεν αν</w:t>
            </w:r>
            <w:r>
              <w:rPr>
                <w:rStyle w:val="FormatvorlageInstructionsTabelleText"/>
                <w:rFonts w:ascii="Times New Roman" w:hAnsi="Times New Roman"/>
                <w:sz w:val="24"/>
              </w:rPr>
              <w:t>α</w:t>
            </w:r>
            <w:r>
              <w:rPr>
                <w:rStyle w:val="FormatvorlageInstructionsTabelleText"/>
                <w:rFonts w:ascii="Times New Roman" w:hAnsi="Times New Roman"/>
                <w:sz w:val="24"/>
              </w:rPr>
              <w:t>φέρεται ο κωδικός της ομάδας συνδεδεμένων πελατών, εκτός εάν το εθνικό σύστημα υποβολής αναφορών προβλέπει μοναδικό κωδικό για την ομάδα συνδεδεμένων πελατών. Χρησιμοποιούνται πάντοτε αυτοί οι κωδικοί, για λόγους συνέπειας.</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CA42A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Η σύνθεση του κωδικού εξαρτάται από το εθνικό σύστημα υποβολής αν</w:t>
            </w:r>
            <w:r>
              <w:rPr>
                <w:rStyle w:val="FormatvorlageInstructionsTabelleText"/>
                <w:rFonts w:ascii="Times New Roman" w:hAnsi="Times New Roman"/>
                <w:sz w:val="24"/>
              </w:rPr>
              <w:t>α</w:t>
            </w:r>
            <w:r>
              <w:rPr>
                <w:rStyle w:val="FormatvorlageInstructionsTabelleText"/>
                <w:rFonts w:ascii="Times New Roman" w:hAnsi="Times New Roman"/>
                <w:sz w:val="24"/>
              </w:rPr>
              <w:t>φορών, εκτός εάν υφίσταται ενιαία κωδικοποίηση στην Ένωση.</w:t>
            </w:r>
          </w:p>
          <w:p w:rsidR="00264B52" w:rsidRPr="00384ADB" w:rsidRDefault="00264B52">
            <w:pPr>
              <w:pStyle w:val="InstructionsText"/>
              <w:rPr>
                <w:rStyle w:val="InstructionsTabelleberschrift"/>
                <w:rFonts w:ascii="Times New Roman" w:hAnsi="Times New Roman"/>
                <w:sz w:val="24"/>
              </w:rPr>
            </w:pPr>
          </w:p>
        </w:tc>
      </w:tr>
      <w:tr w:rsidR="00634B45" w:rsidRPr="00384ADB" w:rsidTr="0039317F">
        <w:trPr>
          <w:trHeight w:val="60"/>
        </w:trPr>
        <w:tc>
          <w:tcPr>
            <w:tcW w:w="1418" w:type="dxa"/>
          </w:tcPr>
          <w:p w:rsidR="00634B45" w:rsidRPr="00384ADB" w:rsidRDefault="00634B4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rsidR="00634B45" w:rsidRPr="00384ADB" w:rsidRDefault="00634B45"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Όνομα</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634B45"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όνομα αντιστοιχεί στο όνομα της ομάδας, όταν αναφέρεται ομάδα συ</w:t>
            </w:r>
            <w:r>
              <w:rPr>
                <w:rStyle w:val="FormatvorlageInstructionsTabelleText"/>
                <w:rFonts w:ascii="Times New Roman" w:hAnsi="Times New Roman"/>
                <w:sz w:val="24"/>
              </w:rPr>
              <w:t>ν</w:t>
            </w:r>
            <w:r>
              <w:rPr>
                <w:rStyle w:val="FormatvorlageInstructionsTabelleText"/>
                <w:rFonts w:ascii="Times New Roman" w:hAnsi="Times New Roman"/>
                <w:sz w:val="24"/>
              </w:rPr>
              <w:t>δεδεμένων πελατών. Σε κάθε άλλη περίπτωση, το όνομα αντιστοιχεί στον μεμονωμένο αντισυμβαλλόμενο.</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Για ομάδα συνδεδεμένων πελατών, το όνομα που αναφέρεται είναι το όνομα της μητρικής επιχείρησης ή, όταν η ομάδα συνδεδεμένων πελατών δεν έχει μητρική, είναι η εμπορική επωνυμία της ομάδας.</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Κωδικός LEI</w:t>
            </w:r>
          </w:p>
          <w:p w:rsidR="00B0191A" w:rsidRPr="00384ADB" w:rsidRDefault="00B0191A" w:rsidP="0039317F">
            <w:pPr>
              <w:pStyle w:val="InstructionsText"/>
              <w:rPr>
                <w:rStyle w:val="InstructionsTabelleberschrif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Ο αναγνωριστικός κωδικός νομικής οντότητας του αντισυμβαλλομένου. </w:t>
            </w:r>
          </w:p>
          <w:p w:rsidR="00B0191A" w:rsidRPr="00384ADB" w:rsidRDefault="00B0191A">
            <w:pPr>
              <w:pStyle w:val="InstructionsText"/>
              <w:rPr>
                <w:rStyle w:val="InstructionsTabelleberschrift"/>
                <w:rFonts w:ascii="Times New Roman" w:hAnsi="Times New Roman"/>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Τόπος κατοικίας του αντισυμβαλλομένου</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8927C3"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Χρησιμοποιείται ο κωδικός ISO 3166-1-alpha-2 της χώρας σύστασης του αντισυμβαλλομένου (περιλαμβανομένων των ψευδοκωδικών ISO για τους διεθνείς οργανισμούς, που είναι διαθέσιμοι στην τελευταία έκδοση του «</w:t>
            </w:r>
            <w:r>
              <w:rPr>
                <w:rStyle w:val="FormatvorlageInstructionsTabelleText"/>
                <w:rFonts w:ascii="Times New Roman" w:hAnsi="Times New Roman"/>
                <w:sz w:val="24"/>
              </w:rPr>
              <w:t>Ο</w:t>
            </w:r>
            <w:r>
              <w:rPr>
                <w:rStyle w:val="FormatvorlageInstructionsTabelleText"/>
                <w:rFonts w:ascii="Times New Roman" w:hAnsi="Times New Roman"/>
                <w:sz w:val="24"/>
              </w:rPr>
              <w:t xml:space="preserve">δηγού ισοζυγίου πληρωμών» της Eurostat).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Για ομάδες συνδεδεμένων πελατών, δεν αναφέρεται τόπος κατοικίας. </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Τομέας του αντισυμβαλλομένου</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Κάθε αντισυμβαλλόμενος κατανέμεται σε έναν τομέα βάσει των κατηγ</w:t>
            </w:r>
            <w:r>
              <w:rPr>
                <w:rStyle w:val="FormatvorlageInstructionsTabelleText"/>
                <w:rFonts w:ascii="Times New Roman" w:hAnsi="Times New Roman"/>
                <w:sz w:val="24"/>
              </w:rPr>
              <w:t>ο</w:t>
            </w:r>
            <w:r>
              <w:rPr>
                <w:rStyle w:val="FormatvorlageInstructionsTabelleText"/>
                <w:rFonts w:ascii="Times New Roman" w:hAnsi="Times New Roman"/>
                <w:sz w:val="24"/>
              </w:rPr>
              <w:t>ριών οικονομικών τομέων, στο πλαίσιο της χρηματοοικονομικής αναφοράς (FINREP):</w:t>
            </w:r>
          </w:p>
          <w:p w:rsidR="00B0191A" w:rsidRPr="00384ADB" w:rsidRDefault="00B0191A">
            <w:pPr>
              <w:pStyle w:val="InstructionsText"/>
              <w:rPr>
                <w:rStyle w:val="FormatvorlageInstructionsTabelleText"/>
                <w:rFonts w:ascii="Times New Roman" w:hAnsi="Times New Roman"/>
                <w:sz w:val="24"/>
              </w:rPr>
            </w:pP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κεντρικές τράπεζες·</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w:t>
            </w:r>
            <w:r>
              <w:tab/>
            </w:r>
            <w:r>
              <w:rPr>
                <w:rStyle w:val="FormatvorlageInstructionsTabelleText"/>
                <w:rFonts w:ascii="Times New Roman" w:hAnsi="Times New Roman"/>
                <w:sz w:val="24"/>
              </w:rPr>
              <w:t>γενικές κυβερνήσεις·</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w:t>
            </w:r>
            <w:r>
              <w:tab/>
            </w:r>
            <w:r>
              <w:rPr>
                <w:rStyle w:val="FormatvorlageInstructionsTabelleText"/>
                <w:rFonts w:ascii="Times New Roman" w:hAnsi="Times New Roman"/>
                <w:sz w:val="24"/>
              </w:rPr>
              <w:t>πιστωτικά ιδρύματα·</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tab/>
            </w:r>
            <w:r>
              <w:rPr>
                <w:rStyle w:val="FormatvorlageInstructionsTabelleText"/>
                <w:rFonts w:ascii="Times New Roman" w:hAnsi="Times New Roman"/>
                <w:sz w:val="24"/>
              </w:rPr>
              <w:t>επιχειρήσεις επενδύσεων, όπως ορίζονται στο άρθρο 4 παράγραφος 1 σημείο 2) του ΚΚΑ·</w:t>
            </w:r>
          </w:p>
          <w:p w:rsidR="00470630" w:rsidRDefault="00470630"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άλλες χρηματοδοτικές εταιρείες (πλην των επιχειρήσεων επενδύσεων)·</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tab/>
            </w:r>
            <w:r>
              <w:rPr>
                <w:rStyle w:val="FormatvorlageInstructionsTabelleText"/>
                <w:rFonts w:ascii="Times New Roman" w:hAnsi="Times New Roman"/>
                <w:sz w:val="24"/>
              </w:rPr>
              <w:t>μη χρηματοδοτικές εταιρείες·</w:t>
            </w:r>
          </w:p>
          <w:p w:rsidR="00B0191A" w:rsidRPr="00384ADB"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 xml:space="preserve">νοικοκυριά. </w:t>
            </w:r>
          </w:p>
          <w:p w:rsidR="00B0191A"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Για ομάδες συνδεδεμένων πελατών, δεν αναφέρεται τομέας.</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Κωδικός NACE</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Για τον οικονομικό τομέα, χρησιμοποιούνται οι κωδικοί NACE (Nomenclature statistique des activités économiques dans l’Union européenne = Στατιστική ταξινόμηση των οικονομικών δραστηριοτήτων στην Ευρωπαϊκή Ένωση).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Η στήλη αυτή ισχύει μόνο για τους αντισυμβαλλομένους «Άλλες χρηματ</w:t>
            </w:r>
            <w:r>
              <w:rPr>
                <w:rStyle w:val="FormatvorlageInstructionsTabelleText"/>
                <w:rFonts w:ascii="Times New Roman" w:hAnsi="Times New Roman"/>
                <w:sz w:val="24"/>
              </w:rPr>
              <w:t>ο</w:t>
            </w:r>
            <w:r>
              <w:rPr>
                <w:rStyle w:val="FormatvorlageInstructionsTabelleText"/>
                <w:rFonts w:ascii="Times New Roman" w:hAnsi="Times New Roman"/>
                <w:sz w:val="24"/>
              </w:rPr>
              <w:t xml:space="preserve">δοτικές εταιρείες» και «Μη χρηματοδοτικές εταιρείες».  Οι κωδικοί NACE χρησιμοποιούνται για «Μη χρηματοδοτικές εταιρείες» με λεπτομέρειες πρώτου επιπέδου (π.χ. «ΣΤ – Κατασκευές») και για «Άλλες χρηματοδοτικές εταιρείες» με λεπτομέρειες δεύτερου επιπέδου, οι οποίες παρέχουν χωριστά στοιχεία για τις ασφαλιστικές δραστηριότητες (π.χ. «K65 – Ασφαλιστικά, αντασφαλιστικά και συνταξιοδοτικά ταμεία, εκτός από την υποχρεωτική κοινωνική ασφάλιση»). .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οικονομικοί τομείς «Άλλες χρηματοδοτικές εταιρείες» και «Μη χρημ</w:t>
            </w:r>
            <w:r>
              <w:rPr>
                <w:rStyle w:val="FormatvorlageInstructionsTabelleText"/>
                <w:rFonts w:ascii="Times New Roman" w:hAnsi="Times New Roman"/>
                <w:sz w:val="24"/>
              </w:rPr>
              <w:t>α</w:t>
            </w:r>
            <w:r>
              <w:rPr>
                <w:rStyle w:val="FormatvorlageInstructionsTabelleText"/>
                <w:rFonts w:ascii="Times New Roman" w:hAnsi="Times New Roman"/>
                <w:sz w:val="24"/>
              </w:rPr>
              <w:t>τοδοτικές εταιρείες» ταξινομούνται με βάση την κατάταξη αντισυμβαλλ</w:t>
            </w:r>
            <w:r>
              <w:rPr>
                <w:rStyle w:val="FormatvorlageInstructionsTabelleText"/>
                <w:rFonts w:ascii="Times New Roman" w:hAnsi="Times New Roman"/>
                <w:sz w:val="24"/>
              </w:rPr>
              <w:t>ο</w:t>
            </w:r>
            <w:r>
              <w:rPr>
                <w:rStyle w:val="FormatvorlageInstructionsTabelleText"/>
                <w:rFonts w:ascii="Times New Roman" w:hAnsi="Times New Roman"/>
                <w:sz w:val="24"/>
              </w:rPr>
              <w:t>μένου στο πλαίσιο της χρηματοοικονομικής αναφοράς (FINREP).</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Για ομάδες συνδεδεμένων πελατών, δεν αναφέρεται κωδικός NACE.</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070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Είδος αντισυμβαλλομένου </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Fonts w:eastAsia="Arial"/>
              </w:rPr>
            </w:pPr>
            <w:r>
              <w:t xml:space="preserve">Άρθρο 394 παράγραφος 2 του ΚΚΑ </w:t>
            </w:r>
            <w:r>
              <w:rPr>
                <w:i/>
              </w:rPr>
              <w:t xml:space="preserve"> </w:t>
            </w:r>
          </w:p>
          <w:p w:rsidR="00B0191A" w:rsidRPr="00384ADB" w:rsidRDefault="00B0191A">
            <w:pPr>
              <w:pStyle w:val="InstructionsText"/>
              <w:rPr>
                <w:rFonts w:eastAsia="Arial"/>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είδος του αντισυμβαλλομένου των 10 μεγαλύτερων ανοιγμάτων σε ιδρ</w:t>
            </w:r>
            <w:r>
              <w:rPr>
                <w:rStyle w:val="FormatvorlageInstructionsTabelleText"/>
                <w:rFonts w:ascii="Times New Roman" w:hAnsi="Times New Roman"/>
                <w:sz w:val="24"/>
              </w:rPr>
              <w:t>ύ</w:t>
            </w:r>
            <w:r>
              <w:rPr>
                <w:rStyle w:val="FormatvorlageInstructionsTabelleText"/>
                <w:rFonts w:ascii="Times New Roman" w:hAnsi="Times New Roman"/>
                <w:sz w:val="24"/>
              </w:rPr>
              <w:t>ματα και των 10 μεγαλύτερων ανοιγμάτων σε μη ρυθμιζόμενες οντότητες του χρηματοπιστωτικού τομέα προσδιορίζεται με τη χρήση του «Ι» για τα ιδρύματα ή του «U» για τις μη ρυθμιζόμενες οντότητες του χρηματοπιστ</w:t>
            </w:r>
            <w:r>
              <w:rPr>
                <w:rStyle w:val="FormatvorlageInstructionsTabelleText"/>
                <w:rFonts w:ascii="Times New Roman" w:hAnsi="Times New Roman"/>
                <w:sz w:val="24"/>
              </w:rPr>
              <w:t>ω</w:t>
            </w:r>
            <w:r>
              <w:rPr>
                <w:rStyle w:val="FormatvorlageInstructionsTabelleText"/>
                <w:rFonts w:ascii="Times New Roman" w:hAnsi="Times New Roman"/>
                <w:sz w:val="24"/>
              </w:rPr>
              <w:t xml:space="preserve">τικού τομέα. </w:t>
            </w:r>
          </w:p>
          <w:p w:rsidR="00B0191A" w:rsidRPr="00384ADB" w:rsidRDefault="00B0191A">
            <w:pPr>
              <w:pStyle w:val="InstructionsText"/>
              <w:rPr>
                <w:rStyle w:val="InstructionsTabelleberschrift"/>
                <w:rFonts w:ascii="Times New Roman" w:hAnsi="Times New Roman"/>
                <w:sz w:val="24"/>
              </w:rPr>
            </w:pPr>
          </w:p>
        </w:tc>
      </w:tr>
    </w:tbl>
    <w:p w:rsidR="00634B45" w:rsidRPr="00384ADB" w:rsidRDefault="00634B45" w:rsidP="0039317F"/>
    <w:p w:rsidR="003105C6" w:rsidRPr="00384ADB" w:rsidRDefault="00296D72" w:rsidP="00C52CE2">
      <w:pPr>
        <w:pStyle w:val="Instructionsberschrift2"/>
        <w:numPr>
          <w:ilvl w:val="0"/>
          <w:numId w:val="22"/>
        </w:numPr>
        <w:rPr>
          <w:rFonts w:ascii="Times New Roman" w:hAnsi="Times New Roman" w:cs="Times New Roman"/>
          <w:sz w:val="24"/>
          <w:u w:val="none"/>
        </w:rPr>
      </w:pPr>
      <w:bookmarkStart w:id="28" w:name="_Toc393461961"/>
      <w:bookmarkStart w:id="29" w:name="_Toc524267402"/>
      <w:r>
        <w:rPr>
          <w:rFonts w:ascii="Times New Roman" w:hAnsi="Times New Roman"/>
          <w:b/>
          <w:sz w:val="24"/>
          <w:u w:val="none"/>
        </w:rPr>
        <w:t>C 28.00 – Ανοίγματα εκτός και εντός χαρτοφυλακίου συναλλαγών (LE 2)</w:t>
      </w:r>
      <w:bookmarkEnd w:id="28"/>
      <w:bookmarkEnd w:id="29"/>
    </w:p>
    <w:p w:rsidR="003105C6" w:rsidRPr="00384ADB" w:rsidRDefault="003105C6" w:rsidP="00C52CE2">
      <w:pPr>
        <w:pStyle w:val="Instructionsberschrift2"/>
        <w:numPr>
          <w:ilvl w:val="1"/>
          <w:numId w:val="22"/>
        </w:numPr>
        <w:rPr>
          <w:rFonts w:ascii="Times New Roman" w:hAnsi="Times New Roman" w:cs="Times New Roman"/>
          <w:sz w:val="24"/>
        </w:rPr>
      </w:pPr>
      <w:bookmarkStart w:id="30" w:name="_Toc308175821"/>
      <w:bookmarkStart w:id="31" w:name="_Toc310414968"/>
      <w:bookmarkStart w:id="32" w:name="_Toc393461962"/>
      <w:bookmarkStart w:id="33" w:name="_Toc524267403"/>
      <w:r>
        <w:rPr>
          <w:rFonts w:ascii="Times New Roman" w:hAnsi="Times New Roman"/>
          <w:sz w:val="24"/>
        </w:rPr>
        <w:t xml:space="preserve">Οδηγίες για συγκεκριμένες </w:t>
      </w:r>
      <w:bookmarkEnd w:id="30"/>
      <w:bookmarkEnd w:id="31"/>
      <w:r>
        <w:rPr>
          <w:rFonts w:ascii="Times New Roman" w:hAnsi="Times New Roman"/>
          <w:sz w:val="24"/>
        </w:rPr>
        <w:t>στήλες</w:t>
      </w:r>
      <w:bookmarkEnd w:id="32"/>
      <w:bookmarkEnd w:id="33"/>
    </w:p>
    <w:p w:rsidR="00D946DB" w:rsidRPr="00384ADB" w:rsidRDefault="00D946DB"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rsidTr="00E17043">
        <w:tc>
          <w:tcPr>
            <w:tcW w:w="1418" w:type="dxa"/>
            <w:shd w:val="clear" w:color="auto" w:fill="D9D9D9"/>
          </w:tcPr>
          <w:p w:rsidR="00D946DB" w:rsidRPr="00384ADB" w:rsidRDefault="005E7263"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Στήλη</w:t>
            </w:r>
          </w:p>
        </w:tc>
        <w:tc>
          <w:tcPr>
            <w:tcW w:w="7620" w:type="dxa"/>
            <w:shd w:val="clear" w:color="auto" w:fill="D9D9D9"/>
          </w:tcPr>
          <w:p w:rsidR="00B0191A" w:rsidRPr="00384ADB" w:rsidRDefault="003105C6"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Νομικά κείμενα αναφοράς και οδηγίες</w:t>
            </w:r>
          </w:p>
        </w:tc>
      </w:tr>
      <w:tr w:rsidR="00D946DB" w:rsidRPr="00384ADB" w:rsidTr="00E17043">
        <w:tc>
          <w:tcPr>
            <w:tcW w:w="1418" w:type="dxa"/>
          </w:tcPr>
          <w:p w:rsidR="00D946DB"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rsidR="00CA42A9" w:rsidRPr="00384ADB" w:rsidRDefault="00CA42A9" w:rsidP="0039317F">
            <w:pPr>
              <w:pStyle w:val="InstructionsText"/>
              <w:rPr>
                <w:rStyle w:val="FormatvorlageInstructionsTabelleText"/>
                <w:rFonts w:ascii="Times New Roman" w:hAnsi="Times New Roman"/>
                <w:b/>
                <w:sz w:val="24"/>
              </w:rPr>
            </w:pPr>
          </w:p>
        </w:tc>
        <w:tc>
          <w:tcPr>
            <w:tcW w:w="7620" w:type="dxa"/>
          </w:tcPr>
          <w:p w:rsidR="00B0191A" w:rsidRPr="00384ADB" w:rsidRDefault="00394753"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Κωδικός</w:t>
            </w:r>
          </w:p>
          <w:p w:rsidR="00B0191A" w:rsidRPr="00384ADB" w:rsidRDefault="00B0191A" w:rsidP="000F0ADE">
            <w:pPr>
              <w:pStyle w:val="InstructionsText"/>
              <w:rPr>
                <w:rStyle w:val="FormatvorlageInstructionsTabelleText"/>
                <w:rFonts w:ascii="Times New Roman" w:hAnsi="Times New Roman"/>
                <w:b/>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Για μια ομάδα συνδεδεμένων πελατών, εάν είναι διαθέσιμος μοναδικός κ</w:t>
            </w:r>
            <w:r>
              <w:rPr>
                <w:rStyle w:val="FormatvorlageInstructionsTabelleText"/>
                <w:rFonts w:ascii="Times New Roman" w:hAnsi="Times New Roman"/>
                <w:sz w:val="24"/>
              </w:rPr>
              <w:t>ω</w:t>
            </w:r>
            <w:r>
              <w:rPr>
                <w:rStyle w:val="FormatvorlageInstructionsTabelleText"/>
                <w:rFonts w:ascii="Times New Roman" w:hAnsi="Times New Roman"/>
                <w:sz w:val="24"/>
              </w:rPr>
              <w:t>δικός σε εθνικό επίπεδο, ο κωδικός αυτός αναφέρεται ως κωδικός της ομ</w:t>
            </w:r>
            <w:r>
              <w:rPr>
                <w:rStyle w:val="FormatvorlageInstructionsTabelleText"/>
                <w:rFonts w:ascii="Times New Roman" w:hAnsi="Times New Roman"/>
                <w:sz w:val="24"/>
              </w:rPr>
              <w:t>ά</w:t>
            </w:r>
            <w:r>
              <w:rPr>
                <w:rStyle w:val="FormatvorlageInstructionsTabelleText"/>
                <w:rFonts w:ascii="Times New Roman" w:hAnsi="Times New Roman"/>
                <w:sz w:val="24"/>
              </w:rPr>
              <w:t>δας συνδεδεμένων πελατών. Εάν δεν υπάρχει μοναδικός κωδικός σε εθνικό επίπεδο, ο κωδικός που αναφέρεται είναι ο κωδικός της μητρικής εταιρείας στο υπόδειγμα C 27.00.</w:t>
            </w:r>
          </w:p>
          <w:p w:rsidR="007449CB" w:rsidRPr="007449CB" w:rsidRDefault="007449CB">
            <w:pPr>
              <w:pStyle w:val="InstructionsText"/>
              <w:rPr>
                <w:rStyle w:val="FormatvorlageInstructionsTabelleText"/>
                <w:rFonts w:ascii="Times New Roman" w:hAnsi="Times New Roman"/>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Στις περιπτώσεις που η ομάδα συνδεδεμένων πελατών δεν έχει μητρική, ο κωδικός που αναφέρεται είναι ο κωδικός της μεμονωμένης οντότητας που θεωρείται από το ίδρυμα ως η πλέον σημαντική στην ομάδα συνδεδεμένων πελατών. Σε κάθε άλλη περίπτωση, ο κωδικός αντιστοιχεί στον μεμονωμένο αντισυμβαλλόμενο.</w:t>
            </w:r>
          </w:p>
          <w:p w:rsidR="007449CB" w:rsidRPr="007449CB" w:rsidRDefault="007449CB">
            <w:pPr>
              <w:pStyle w:val="InstructionsText"/>
              <w:rPr>
                <w:rStyle w:val="FormatvorlageInstructionsTabelleText"/>
                <w:rFonts w:ascii="Times New Roman" w:hAnsi="Times New Roman"/>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Χρησιμοποιούνται πάντοτε αυτοί οι κωδικοί, για λόγους συνέπειας. </w:t>
            </w:r>
          </w:p>
          <w:p w:rsidR="007449CB" w:rsidRPr="007449CB" w:rsidRDefault="007449CB">
            <w:pPr>
              <w:pStyle w:val="InstructionsText"/>
              <w:rPr>
                <w:rStyle w:val="FormatvorlageInstructionsTabelleText"/>
                <w:rFonts w:ascii="Times New Roman" w:hAnsi="Times New Roman"/>
                <w:sz w:val="24"/>
              </w:rPr>
            </w:pPr>
          </w:p>
          <w:p w:rsid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Η σύνθεση του κωδικού εξαρτάται από το εθνικό σύστημα υποβολής αν</w:t>
            </w:r>
            <w:r>
              <w:rPr>
                <w:rStyle w:val="FormatvorlageInstructionsTabelleText"/>
                <w:rFonts w:ascii="Times New Roman" w:hAnsi="Times New Roman"/>
                <w:sz w:val="24"/>
              </w:rPr>
              <w:t>α</w:t>
            </w:r>
            <w:r>
              <w:rPr>
                <w:rStyle w:val="FormatvorlageInstructionsTabelleText"/>
                <w:rFonts w:ascii="Times New Roman" w:hAnsi="Times New Roman"/>
                <w:sz w:val="24"/>
              </w:rPr>
              <w:t>φορών, εκτός εάν υφίσταται ενιαία κωδικοποίηση στην ΕΕ.</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Ομάδα ή μεμονωμένος</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ίδρυμα αναφέρει «1» για την αναφορά των ανοιγμάτων έναντι μεμον</w:t>
            </w:r>
            <w:r>
              <w:rPr>
                <w:rStyle w:val="FormatvorlageInstructionsTabelleText"/>
                <w:rFonts w:ascii="Times New Roman" w:hAnsi="Times New Roman"/>
                <w:sz w:val="24"/>
              </w:rPr>
              <w:t>ω</w:t>
            </w:r>
            <w:r>
              <w:rPr>
                <w:rStyle w:val="FormatvorlageInstructionsTabelleText"/>
                <w:rFonts w:ascii="Times New Roman" w:hAnsi="Times New Roman"/>
                <w:sz w:val="24"/>
              </w:rPr>
              <w:t>μένων πελατών ή «2» για την αναφορά των ανοιγμάτων έναντι ομάδων συ</w:t>
            </w:r>
            <w:r>
              <w:rPr>
                <w:rStyle w:val="FormatvorlageInstructionsTabelleText"/>
                <w:rFonts w:ascii="Times New Roman" w:hAnsi="Times New Roman"/>
                <w:sz w:val="24"/>
              </w:rPr>
              <w:t>ν</w:t>
            </w:r>
            <w:r>
              <w:rPr>
                <w:rStyle w:val="FormatvorlageInstructionsTabelleText"/>
                <w:rFonts w:ascii="Times New Roman" w:hAnsi="Times New Roman"/>
                <w:sz w:val="24"/>
              </w:rPr>
              <w:t>δεδεμένων πελατών.</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Συναλλαγές όπου υπάρχει άνοιγμα σε υποκείμενα στοιχεία ενεργητικού </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390 παράγραφος 7 του ΚΚΑ</w:t>
            </w:r>
          </w:p>
          <w:p w:rsidR="00B0191A" w:rsidRPr="00384ADB" w:rsidRDefault="00B0191A" w:rsidP="000F0ADE">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Σύμφωνα με περαιτέρω τεχνικές προδιαγραφές από τις αρμόδιες εθνικές α</w:t>
            </w:r>
            <w:r>
              <w:rPr>
                <w:rStyle w:val="FormatvorlageInstructionsTabelleText"/>
                <w:rFonts w:ascii="Times New Roman" w:hAnsi="Times New Roman"/>
                <w:sz w:val="24"/>
              </w:rPr>
              <w:t>ρ</w:t>
            </w:r>
            <w:r>
              <w:rPr>
                <w:rStyle w:val="FormatvorlageInstructionsTabelleText"/>
                <w:rFonts w:ascii="Times New Roman" w:hAnsi="Times New Roman"/>
                <w:sz w:val="24"/>
              </w:rPr>
              <w:t>χές, όταν το ίδρυμα έχει ανοίγματα προς τον αναφερόμενο αντισυμβαλλόμ</w:t>
            </w:r>
            <w:r>
              <w:rPr>
                <w:rStyle w:val="FormatvorlageInstructionsTabelleText"/>
                <w:rFonts w:ascii="Times New Roman" w:hAnsi="Times New Roman"/>
                <w:sz w:val="24"/>
              </w:rPr>
              <w:t>ε</w:t>
            </w:r>
            <w:r>
              <w:rPr>
                <w:rStyle w:val="FormatvorlageInstructionsTabelleText"/>
                <w:rFonts w:ascii="Times New Roman" w:hAnsi="Times New Roman"/>
                <w:sz w:val="24"/>
              </w:rPr>
              <w:t xml:space="preserve">νο μέσω μιας συναλλαγής όπου υπάρχει άνοιγμα σε υποκείμενα στοιχεία </w:t>
            </w:r>
            <w:r>
              <w:rPr>
                <w:rStyle w:val="FormatvorlageInstructionsTabelleText"/>
                <w:rFonts w:ascii="Times New Roman" w:hAnsi="Times New Roman"/>
                <w:sz w:val="24"/>
              </w:rPr>
              <w:t>ε</w:t>
            </w:r>
            <w:r>
              <w:rPr>
                <w:rStyle w:val="FormatvorlageInstructionsTabelleText"/>
                <w:rFonts w:ascii="Times New Roman" w:hAnsi="Times New Roman"/>
                <w:sz w:val="24"/>
              </w:rPr>
              <w:t xml:space="preserve">νεργητικού, αναφέρεται «ναι»· ειδάλλως, αναφέρεται «όχι». </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Αρχικά ανοίγματα</w:t>
            </w:r>
          </w:p>
          <w:p w:rsidR="00B0191A" w:rsidRPr="00384ADB" w:rsidRDefault="00B0191A" w:rsidP="0039317F">
            <w:pPr>
              <w:pStyle w:val="InstructionsText"/>
              <w:rPr>
                <w:rStyle w:val="InstructionsTabelleberschrift"/>
                <w:rFonts w:ascii="Times New Roman" w:hAnsi="Times New Roman"/>
                <w:b w:val="0"/>
                <w:sz w:val="24"/>
                <w:u w:val="none"/>
              </w:rPr>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Άρθρα 24, 389, 390 και 392 του</w:t>
            </w:r>
            <w:r>
              <w:rPr>
                <w:rStyle w:val="FormatvorlageInstructionsTabelleText"/>
                <w:rFonts w:ascii="Times New Roman" w:hAnsi="Times New Roman"/>
                <w:sz w:val="24"/>
              </w:rPr>
              <w:t xml:space="preserve"> ΚΚΑ</w:t>
            </w:r>
          </w:p>
          <w:p w:rsidR="00B0191A" w:rsidRPr="00384ADB" w:rsidRDefault="00B0191A" w:rsidP="000F0ADE">
            <w:pPr>
              <w:pStyle w:val="InstructionsText"/>
              <w:rPr>
                <w:rStyle w:val="InstructionsTabelleberschrift"/>
                <w:rFonts w:ascii="Times New Roman" w:hAnsi="Times New Roman"/>
                <w:b w:val="0"/>
                <w:sz w:val="24"/>
                <w:u w:val="none"/>
              </w:rPr>
            </w:pPr>
          </w:p>
          <w:p w:rsidR="00B0191A" w:rsidRPr="0039317F" w:rsidRDefault="00C92E0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Το ίδρυμα αναφέρει σε αυτή τη δέσμη στηλών τα αρχικά ανοίγματα των </w:t>
            </w:r>
            <w:r>
              <w:rPr>
                <w:rStyle w:val="InstructionsTabelleberschrift"/>
                <w:rFonts w:ascii="Times New Roman" w:hAnsi="Times New Roman"/>
                <w:b w:val="0"/>
                <w:sz w:val="24"/>
                <w:u w:val="none"/>
              </w:rPr>
              <w:t>ά</w:t>
            </w:r>
            <w:r>
              <w:rPr>
                <w:rStyle w:val="InstructionsTabelleberschrift"/>
                <w:rFonts w:ascii="Times New Roman" w:hAnsi="Times New Roman"/>
                <w:b w:val="0"/>
                <w:sz w:val="24"/>
                <w:u w:val="none"/>
              </w:rPr>
              <w:t>μεσων ανοιγμάτων, των έμμεσων ανοιγμάτων και των πρόσθετων ανοιγμ</w:t>
            </w:r>
            <w:r>
              <w:rPr>
                <w:rStyle w:val="InstructionsTabelleberschrift"/>
                <w:rFonts w:ascii="Times New Roman" w:hAnsi="Times New Roman"/>
                <w:b w:val="0"/>
                <w:sz w:val="24"/>
                <w:u w:val="none"/>
              </w:rPr>
              <w:t>ά</w:t>
            </w:r>
            <w:r>
              <w:rPr>
                <w:rStyle w:val="InstructionsTabelleberschrift"/>
                <w:rFonts w:ascii="Times New Roman" w:hAnsi="Times New Roman"/>
                <w:b w:val="0"/>
                <w:sz w:val="24"/>
                <w:u w:val="none"/>
              </w:rPr>
              <w:t>των που προκύπτουν από συναλλαγές όπου υπάρχει άνοιγμα σε υποκείμενα στοιχεία ενεργητικού.</w:t>
            </w:r>
          </w:p>
          <w:p w:rsidR="00B0191A" w:rsidRPr="0039317F" w:rsidRDefault="00B0191A">
            <w:pPr>
              <w:pStyle w:val="InstructionsText"/>
              <w:rPr>
                <w:rStyle w:val="InstructionsTabelleberschrift"/>
                <w:rFonts w:ascii="Times New Roman" w:hAnsi="Times New Roman"/>
                <w:b w:val="0"/>
                <w:bCs w:val="0"/>
                <w:sz w:val="24"/>
                <w:u w:val="none"/>
              </w:rPr>
            </w:pPr>
          </w:p>
          <w:p w:rsidR="00B0191A" w:rsidRPr="0039317F" w:rsidRDefault="00BB3751" w:rsidP="0039317F">
            <w:pPr>
              <w:pStyle w:val="InstructionsText"/>
            </w:pPr>
            <w:r>
              <w:t xml:space="preserve">Σύμφωνα με το άρθρο 389 του </w:t>
            </w:r>
            <w:r>
              <w:rPr>
                <w:rStyle w:val="FormatvorlageInstructionsTabelleText"/>
                <w:rFonts w:ascii="Times New Roman" w:hAnsi="Times New Roman"/>
                <w:sz w:val="24"/>
              </w:rPr>
              <w:t>ΚΚΑ</w:t>
            </w:r>
            <w:r>
              <w:t>, τα στοιχεία ενεργητικού και τα εκτός ισολογισμού στοιχεία χρησιμοποιούνται χωρίς συντελεστές στάθμισης κι</w:t>
            </w:r>
            <w:r>
              <w:t>ν</w:t>
            </w:r>
            <w:r>
              <w:t xml:space="preserve">δύνου ή βαθμούς κινδύνου. Συγκεκριμένα, οι συντελεστές μετατροπής δεν εφαρμόζονται σε στοιχεία εκτός ισολογισμού.  </w:t>
            </w:r>
          </w:p>
          <w:p w:rsidR="00B0191A" w:rsidRPr="0039317F" w:rsidRDefault="00B0191A" w:rsidP="0039317F">
            <w:pPr>
              <w:pStyle w:val="InstructionsText"/>
            </w:pPr>
          </w:p>
          <w:p w:rsidR="00B0191A" w:rsidRPr="0039317F" w:rsidRDefault="00BB3751" w:rsidP="0039317F">
            <w:pPr>
              <w:pStyle w:val="InstructionsText"/>
            </w:pPr>
            <w:r>
              <w:t>Οι στήλες αυτές συμπληρώνονται με το αρχικό άνοιγμα, δηλαδή την αξία του ανοίγματος χωρίς να λαμβάνονται υπόψη προσαρμογές αξίας και πρ</w:t>
            </w:r>
            <w:r>
              <w:t>ο</w:t>
            </w:r>
            <w:r>
              <w:t>βλέψεις, οι οποίες αφαιρούνται στη στήλη 210.</w:t>
            </w:r>
          </w:p>
          <w:p w:rsidR="00B0191A" w:rsidRPr="0039317F" w:rsidRDefault="00B0191A" w:rsidP="0039317F">
            <w:pPr>
              <w:pStyle w:val="InstructionsText"/>
            </w:pPr>
          </w:p>
          <w:p w:rsidR="00B0191A" w:rsidRPr="0039317F" w:rsidRDefault="00C92E09" w:rsidP="0039317F">
            <w:pPr>
              <w:pStyle w:val="InstructionsText"/>
            </w:pPr>
            <w:r>
              <w:t xml:space="preserve">Ο ορισμός και ο υπολογισμός της αξίας ανοίγματος καθορίζονται στα άρθρα 389 και 390 του </w:t>
            </w:r>
            <w:r>
              <w:rPr>
                <w:rStyle w:val="FormatvorlageInstructionsTabelleText"/>
                <w:rFonts w:ascii="Times New Roman" w:hAnsi="Times New Roman"/>
                <w:sz w:val="24"/>
              </w:rPr>
              <w:t>ΚΚΑ</w:t>
            </w:r>
            <w:r>
              <w:t>. Η αποτίμηση των στοιχείων ενεργητικού και των στοιχείων εκτός ισολογισμού πραγματοποιείται βάσει του λογιστικού πλα</w:t>
            </w:r>
            <w:r>
              <w:t>ι</w:t>
            </w:r>
            <w:r>
              <w:t xml:space="preserve">σίου στο οποίο υπόκειται το ίδρυμα, σύμφωνα με το άρθρο 24 του </w:t>
            </w:r>
            <w:r>
              <w:rPr>
                <w:rStyle w:val="FormatvorlageInstructionsTabelleText"/>
                <w:rFonts w:ascii="Times New Roman" w:hAnsi="Times New Roman"/>
                <w:sz w:val="24"/>
              </w:rPr>
              <w:t>ΚΚΑ</w:t>
            </w:r>
            <w:r>
              <w:t>.</w:t>
            </w:r>
          </w:p>
          <w:p w:rsidR="00B0191A" w:rsidRPr="0039317F" w:rsidRDefault="00B0191A" w:rsidP="0039317F">
            <w:pPr>
              <w:pStyle w:val="InstructionsText"/>
            </w:pPr>
          </w:p>
          <w:p w:rsidR="00B0191A" w:rsidRPr="0039317F" w:rsidRDefault="00BB3751" w:rsidP="0039317F">
            <w:pPr>
              <w:pStyle w:val="InstructionsText"/>
            </w:pPr>
            <w:r>
              <w:t>Τα ανοίγματα που αφαιρούνται από τα ίδια κεφάλαια, τα οποία δεν αποτ</w:t>
            </w:r>
            <w:r>
              <w:t>ε</w:t>
            </w:r>
            <w:r>
              <w:t>λούν ανοίγματα σύμφωνα με το άρθρο 390 παράγραφος 6 στοιχείο ε), περ</w:t>
            </w:r>
            <w:r>
              <w:t>ι</w:t>
            </w:r>
            <w:r>
              <w:t>λαμβάνονται στις στήλες αυτές. Τα ανοίγματα αυτά αφαιρούνται στη στήλη 200.</w:t>
            </w:r>
          </w:p>
          <w:p w:rsidR="00B0191A" w:rsidRPr="0039317F" w:rsidRDefault="00B0191A" w:rsidP="0039317F">
            <w:pPr>
              <w:pStyle w:val="InstructionsText"/>
            </w:pPr>
          </w:p>
          <w:p w:rsidR="00B0191A" w:rsidRPr="0039317F" w:rsidRDefault="00BB3751" w:rsidP="0039317F">
            <w:pPr>
              <w:pStyle w:val="InstructionsText"/>
            </w:pPr>
            <w:r>
              <w:t xml:space="preserve">Τα ανοίγματα που αναφέρονται στο άρθρο 390 παράγραφος 6 στοιχεία α) έως δ) του </w:t>
            </w:r>
            <w:r>
              <w:rPr>
                <w:rStyle w:val="FormatvorlageInstructionsTabelleText"/>
                <w:rFonts w:ascii="Times New Roman" w:hAnsi="Times New Roman"/>
                <w:sz w:val="24"/>
              </w:rPr>
              <w:t>ΚΚΑ</w:t>
            </w:r>
            <w:r>
              <w:t xml:space="preserve"> δεν περιλαμβάνονται στις στήλες αυτές. </w:t>
            </w:r>
          </w:p>
          <w:p w:rsidR="00B0191A" w:rsidRPr="0039317F" w:rsidRDefault="00B0191A" w:rsidP="0039317F">
            <w:pPr>
              <w:pStyle w:val="InstructionsText"/>
            </w:pPr>
          </w:p>
          <w:p w:rsidR="00B0191A" w:rsidRPr="0039317F" w:rsidRDefault="00BB3751" w:rsidP="0039317F">
            <w:pPr>
              <w:pStyle w:val="InstructionsText"/>
              <w:rPr>
                <w:rFonts w:eastAsia="Arial"/>
              </w:rPr>
            </w:pPr>
            <w:r>
              <w:t>Τα αρχικά ανοίγματα περιλαμβάνουν κάθε στοιχείο ενεργητικού και στο</w:t>
            </w:r>
            <w:r>
              <w:t>ι</w:t>
            </w:r>
            <w:r>
              <w:lastRenderedPageBreak/>
              <w:t xml:space="preserve">χείο εκτός ισολογισμού, σύμφωνα με το άρθρο 400 του </w:t>
            </w:r>
            <w:r>
              <w:rPr>
                <w:rStyle w:val="FormatvorlageInstructionsTabelleText"/>
                <w:rFonts w:ascii="Times New Roman" w:hAnsi="Times New Roman"/>
                <w:sz w:val="24"/>
              </w:rPr>
              <w:t>ΚΚΑ</w:t>
            </w:r>
            <w:r>
              <w:t xml:space="preserve">. Οι εξαιρέσεις αφαιρούνται για τους σκοπούς του άρθρου 395 παράγραφος 1 του </w:t>
            </w:r>
            <w:r>
              <w:rPr>
                <w:rStyle w:val="FormatvorlageInstructionsTabelleText"/>
                <w:rFonts w:ascii="Times New Roman" w:hAnsi="Times New Roman"/>
                <w:sz w:val="24"/>
              </w:rPr>
              <w:t>ΚΚΑ</w:t>
            </w:r>
            <w:r>
              <w:t xml:space="preserve"> στη στήλη 320.</w:t>
            </w:r>
          </w:p>
          <w:p w:rsidR="00B0191A" w:rsidRPr="00384ADB" w:rsidRDefault="00B0191A" w:rsidP="0039317F">
            <w:pPr>
              <w:pStyle w:val="InstructionsText"/>
              <w:rPr>
                <w:rFonts w:eastAsia="Arial"/>
              </w:rPr>
            </w:pPr>
          </w:p>
          <w:p w:rsidR="00B0191A" w:rsidRPr="00384ADB" w:rsidRDefault="00BB3751" w:rsidP="000F0ADE">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Συμπεριλαμβάνονται τα ανοίγματα τόσο εκτός όσο και εντός του χαρτοφ</w:t>
            </w:r>
            <w:r>
              <w:rPr>
                <w:rStyle w:val="InstructionsTabelleberschrift"/>
                <w:rFonts w:ascii="Times New Roman" w:hAnsi="Times New Roman"/>
                <w:b w:val="0"/>
                <w:sz w:val="24"/>
                <w:u w:val="none"/>
              </w:rPr>
              <w:t>υ</w:t>
            </w:r>
            <w:r>
              <w:rPr>
                <w:rStyle w:val="InstructionsTabelleberschrift"/>
                <w:rFonts w:ascii="Times New Roman" w:hAnsi="Times New Roman"/>
                <w:b w:val="0"/>
                <w:sz w:val="24"/>
                <w:u w:val="none"/>
              </w:rPr>
              <w:t>λακίου συναλλαγών.</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pPr>
            <w:r>
              <w:rPr>
                <w:rStyle w:val="InstructionsTabelleberschrift"/>
                <w:rFonts w:ascii="Times New Roman" w:hAnsi="Times New Roman"/>
                <w:b w:val="0"/>
                <w:sz w:val="24"/>
                <w:u w:val="none"/>
              </w:rPr>
              <w:t>Ως προς την κατανομή των ανοιγμάτων σε χρηματοοικονομικά μέσα, στις περιπτώσεις όπου τα διάφορα ανοίγματα που προκύπτουν από συμφωνίες συμψηφισμού αποτελούν ένα ενιαίο άνοιγμα, αυτό κατανέμεται στο χρημ</w:t>
            </w:r>
            <w:r>
              <w:rPr>
                <w:rStyle w:val="InstructionsTabelleberschrift"/>
                <w:rFonts w:ascii="Times New Roman" w:hAnsi="Times New Roman"/>
                <w:b w:val="0"/>
                <w:sz w:val="24"/>
                <w:u w:val="none"/>
              </w:rPr>
              <w:t>α</w:t>
            </w:r>
            <w:r>
              <w:rPr>
                <w:rStyle w:val="InstructionsTabelleberschrift"/>
                <w:rFonts w:ascii="Times New Roman" w:hAnsi="Times New Roman"/>
                <w:b w:val="0"/>
                <w:sz w:val="24"/>
                <w:u w:val="none"/>
              </w:rPr>
              <w:t>τοοικονομικό μέσο που αντιστοιχεί στο κύριο στοιχείο ενεργητικού που π</w:t>
            </w:r>
            <w:r>
              <w:rPr>
                <w:rStyle w:val="InstructionsTabelleberschrift"/>
                <w:rFonts w:ascii="Times New Roman" w:hAnsi="Times New Roman"/>
                <w:b w:val="0"/>
                <w:sz w:val="24"/>
                <w:u w:val="none"/>
              </w:rPr>
              <w:t>ε</w:t>
            </w:r>
            <w:r>
              <w:rPr>
                <w:rStyle w:val="InstructionsTabelleberschrift"/>
                <w:rFonts w:ascii="Times New Roman" w:hAnsi="Times New Roman"/>
                <w:b w:val="0"/>
                <w:sz w:val="24"/>
                <w:u w:val="none"/>
              </w:rPr>
              <w:t>ριλαμβάνεται στη συμφωνία συμψηφισμού (βλέπε, επιπλέον, το εισαγωγικό τμήμα).</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Συνολικό αρχικό άνοιγμα</w:t>
            </w:r>
          </w:p>
          <w:p w:rsidR="00B0191A" w:rsidRPr="00384ADB" w:rsidRDefault="00B0191A" w:rsidP="0039317F">
            <w:pPr>
              <w:pStyle w:val="InstructionsText"/>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ίδρυμα αναφέρει το σύνολο των άμεσων ανοιγμάτων και των έμμεσων ανοιγμάτων, καθώς και των</w:t>
            </w:r>
            <w:r>
              <w:rPr>
                <w:rStyle w:val="FormatvorlageInstructionsTabelleText"/>
                <w:rFonts w:ascii="Times New Roman" w:hAnsi="Times New Roman"/>
                <w:sz w:val="24"/>
              </w:rPr>
              <w:t xml:space="preserve"> πρόσθετων ανοιγμάτων που προκύπτουν από το άνοιγμα έναντι συναλλαγών όπου υπάρχει άνοιγμα σε υποκείμενα στοιχεία ενεργητικού</w:t>
            </w:r>
            <w:r>
              <w:rPr>
                <w:rStyle w:val="InstructionsTabelleberschrift"/>
                <w:rFonts w:ascii="Times New Roman" w:hAnsi="Times New Roman"/>
                <w:b w:val="0"/>
                <w:sz w:val="24"/>
                <w:u w:val="none"/>
              </w:rPr>
              <w: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σε αθέτηση</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178 του ΚΚΑ</w:t>
            </w:r>
          </w:p>
          <w:p w:rsidR="00B0191A" w:rsidRPr="00384ADB" w:rsidRDefault="00B0191A">
            <w:pPr>
              <w:pStyle w:val="InstructionsText"/>
              <w:rPr>
                <w:rStyle w:val="FormatvorlageInstructionsTabelleText"/>
                <w:rFonts w:ascii="Times New Roman" w:hAnsi="Times New Roman"/>
                <w:b/>
                <w:sz w:val="24"/>
              </w:rPr>
            </w:pPr>
          </w:p>
          <w:p w:rsidR="00B0191A" w:rsidRPr="00384ADB" w:rsidRDefault="009B2EE9">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Το ίδρυμα αναφέρει</w:t>
            </w:r>
            <w:r>
              <w:rPr>
                <w:rStyle w:val="FormatvorlageInstructionsTabelleText"/>
                <w:rFonts w:ascii="Times New Roman" w:hAnsi="Times New Roman"/>
                <w:sz w:val="24"/>
              </w:rPr>
              <w:t xml:space="preserve"> το τμήμα του συνολικού αρχικού ανοίγματος που αντ</w:t>
            </w:r>
            <w:r>
              <w:rPr>
                <w:rStyle w:val="FormatvorlageInstructionsTabelleText"/>
                <w:rFonts w:ascii="Times New Roman" w:hAnsi="Times New Roman"/>
                <w:sz w:val="24"/>
              </w:rPr>
              <w:t>ι</w:t>
            </w:r>
            <w:r>
              <w:rPr>
                <w:rStyle w:val="FormatvorlageInstructionsTabelleText"/>
                <w:rFonts w:ascii="Times New Roman" w:hAnsi="Times New Roman"/>
                <w:sz w:val="24"/>
              </w:rPr>
              <w:t xml:space="preserve">στοιχεί σε ανοίγματα σε αθέτηση. </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Άμεσα ανοίγματα</w:t>
            </w:r>
          </w:p>
          <w:p w:rsidR="00B0191A" w:rsidRPr="00384ADB" w:rsidRDefault="00B0191A" w:rsidP="0039317F">
            <w:pPr>
              <w:pStyle w:val="InstructionsText"/>
              <w:rPr>
                <w:rStyle w:val="InstructionsTabelleberschrift"/>
                <w:rFonts w:ascii="Times New Roman" w:hAnsi="Times New Roman"/>
                <w:sz w:val="24"/>
                <w:u w:val="none"/>
              </w:rPr>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Ως άμεσα ανοίγματα νοούνται τα ανοίγματα σε βάση «άμεσου δανειολ</w:t>
            </w:r>
            <w:r>
              <w:rPr>
                <w:rStyle w:val="InstructionsTabelleberschrift"/>
                <w:rFonts w:ascii="Times New Roman" w:hAnsi="Times New Roman"/>
                <w:b w:val="0"/>
                <w:sz w:val="24"/>
                <w:u w:val="none"/>
              </w:rPr>
              <w:t>ή</w:t>
            </w:r>
            <w:r>
              <w:rPr>
                <w:rStyle w:val="InstructionsTabelleberschrift"/>
                <w:rFonts w:ascii="Times New Roman" w:hAnsi="Times New Roman"/>
                <w:b w:val="0"/>
                <w:sz w:val="24"/>
                <w:u w:val="none"/>
              </w:rPr>
              <w:t>πτη».</w:t>
            </w:r>
          </w:p>
          <w:p w:rsidR="00B0191A" w:rsidRPr="00384ADB" w:rsidRDefault="00B0191A">
            <w:pPr>
              <w:pStyle w:val="InstructionsText"/>
              <w:rPr>
                <w:rStyle w:val="InstructionsTabelleberschrift"/>
                <w:rFonts w:ascii="Times New Roman" w:hAnsi="Times New Roman"/>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Χρεωστικοί τίτλοι</w:t>
            </w:r>
          </w:p>
          <w:p w:rsidR="00B0191A" w:rsidRPr="00384ADB" w:rsidRDefault="00B0191A" w:rsidP="0039317F">
            <w:pPr>
              <w:pStyle w:val="InstructionsText"/>
            </w:pPr>
          </w:p>
          <w:p w:rsidR="00B0191A" w:rsidRPr="0039317F" w:rsidRDefault="00193DDC" w:rsidP="0039317F">
            <w:pPr>
              <w:pStyle w:val="InstructionsText"/>
            </w:pPr>
            <w:r>
              <w:t>Κανονισμός (ΕΕ) αριθ. 1071/2013 («ΕΚΤ/2013/33») παράρτημα ΙΙ, μέρος 2, πίνακας, κατηγορίες 2 και 3</w:t>
            </w:r>
          </w:p>
          <w:p w:rsidR="00B0191A" w:rsidRPr="0039317F" w:rsidRDefault="00B0191A" w:rsidP="0039317F">
            <w:pPr>
              <w:pStyle w:val="InstructionsText"/>
            </w:pPr>
          </w:p>
          <w:p w:rsidR="00B0191A" w:rsidRPr="0039317F" w:rsidRDefault="00BB3751"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χρεωστικοί τίτλοι περιλαμβάνουν χρεόγραφα, και δάνεια και προκατ</w:t>
            </w:r>
            <w:r>
              <w:rPr>
                <w:rStyle w:val="FormatvorlageInstructionsTabelleText"/>
                <w:rFonts w:ascii="Times New Roman" w:hAnsi="Times New Roman"/>
                <w:sz w:val="24"/>
              </w:rPr>
              <w:t>α</w:t>
            </w:r>
            <w:r>
              <w:rPr>
                <w:rStyle w:val="FormatvorlageInstructionsTabelleText"/>
                <w:rFonts w:ascii="Times New Roman" w:hAnsi="Times New Roman"/>
                <w:sz w:val="24"/>
              </w:rPr>
              <w:t xml:space="preserve">βολές. </w:t>
            </w:r>
          </w:p>
          <w:p w:rsidR="00B0191A" w:rsidRPr="0039317F" w:rsidRDefault="00B0191A" w:rsidP="0039317F">
            <w:pPr>
              <w:pStyle w:val="InstructionsText"/>
              <w:rPr>
                <w:rStyle w:val="FormatvorlageInstructionsTabelleText"/>
                <w:rFonts w:ascii="Times New Roman" w:hAnsi="Times New Roman"/>
                <w:sz w:val="24"/>
              </w:rPr>
            </w:pPr>
          </w:p>
          <w:p w:rsidR="00B0191A" w:rsidRPr="0039317F" w:rsidRDefault="00BB3751" w:rsidP="0039317F">
            <w:pPr>
              <w:pStyle w:val="InstructionsText"/>
            </w:pPr>
            <w:r>
              <w:rPr>
                <w:rStyle w:val="FormatvorlageInstructionsTabelleText"/>
                <w:rFonts w:ascii="Times New Roman" w:hAnsi="Times New Roman"/>
                <w:sz w:val="24"/>
              </w:rPr>
              <w:t>Τα μέσα που περιλαμβάνονται στη στήλη αυτή είναι εκείνα που χαρακτηρ</w:t>
            </w:r>
            <w:r>
              <w:rPr>
                <w:rStyle w:val="FormatvorlageInstructionsTabelleText"/>
                <w:rFonts w:ascii="Times New Roman" w:hAnsi="Times New Roman"/>
                <w:sz w:val="24"/>
              </w:rPr>
              <w:t>ί</w:t>
            </w:r>
            <w:r>
              <w:rPr>
                <w:rStyle w:val="FormatvorlageInstructionsTabelleText"/>
                <w:rFonts w:ascii="Times New Roman" w:hAnsi="Times New Roman"/>
                <w:sz w:val="24"/>
              </w:rPr>
              <w:t>ζονται ως «</w:t>
            </w:r>
            <w:r>
              <w:t>Δάνεια αρχικής διάρκειας έως και ενός έτους/άνω του ενός έτους και έως πέντε ετών/άνω των πέντε ετών</w:t>
            </w:r>
            <w:r>
              <w:rPr>
                <w:rStyle w:val="FormatvorlageInstructionsTabelleText"/>
                <w:rFonts w:ascii="Times New Roman" w:hAnsi="Times New Roman"/>
                <w:sz w:val="24"/>
              </w:rPr>
              <w:t>» ή ως «Χρεόγραφα», σύμφωνα με τον κανονισμό</w:t>
            </w:r>
            <w:r>
              <w:t xml:space="preserve"> ΕΚΤ/2013/33.</w:t>
            </w:r>
          </w:p>
          <w:p w:rsidR="00B0191A" w:rsidRPr="0039317F" w:rsidRDefault="00B0191A" w:rsidP="0039317F">
            <w:pPr>
              <w:pStyle w:val="InstructionsText"/>
              <w:rPr>
                <w:rStyle w:val="FormatvorlageInstructionsTabelleText"/>
                <w:rFonts w:ascii="Times New Roman" w:hAnsi="Times New Roman"/>
                <w:sz w:val="24"/>
              </w:rPr>
            </w:pPr>
          </w:p>
          <w:p w:rsidR="00B0191A" w:rsidRPr="0039317F" w:rsidRDefault="00D95A62"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w:t>
            </w:r>
            <w:r>
              <w:t xml:space="preserve"> συναλλαγές επαναγοράς, οι συναλλαγές δανειοδοσίας ή δανειοληψίας τίτλων ή εμπορευμάτων (συναλλαγές χρηματοδότησης τίτλων) και οι σ</w:t>
            </w:r>
            <w:r>
              <w:t>υ</w:t>
            </w:r>
            <w:r>
              <w:t>ναλλαγές δανεισμού περιθωρίου περιλαμβάνονται σε αυτή τη στήλη.</w:t>
            </w:r>
          </w:p>
          <w:p w:rsidR="00B0191A" w:rsidRPr="00384ADB" w:rsidRDefault="00B0191A"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Μέσα μετοχικού κεφαλαίου</w:t>
            </w:r>
          </w:p>
          <w:p w:rsidR="00B0191A" w:rsidRPr="0039317F" w:rsidRDefault="00B0191A" w:rsidP="0039317F">
            <w:pPr>
              <w:pStyle w:val="InstructionsText"/>
              <w:rPr>
                <w:rStyle w:val="FormatvorlageInstructionsTabelleText"/>
                <w:rFonts w:ascii="Times New Roman" w:hAnsi="Times New Roman"/>
                <w:b/>
                <w:sz w:val="24"/>
              </w:rPr>
            </w:pPr>
          </w:p>
          <w:p w:rsidR="00B0191A" w:rsidRPr="0039317F" w:rsidRDefault="00DF008D" w:rsidP="0039317F">
            <w:pPr>
              <w:pStyle w:val="InstructionsText"/>
            </w:pPr>
            <w:r>
              <w:t>ΕΚΤ/2013/33 παράρτημα II, μέρος 2, πίνακας, κατηγορίες 4 και 5</w:t>
            </w:r>
          </w:p>
          <w:p w:rsidR="00B0191A" w:rsidRPr="0039317F" w:rsidRDefault="00B0191A" w:rsidP="0039317F">
            <w:pPr>
              <w:pStyle w:val="InstructionsText"/>
            </w:pPr>
          </w:p>
          <w:p w:rsidR="00B0191A" w:rsidRPr="0039317F" w:rsidRDefault="00BB3751" w:rsidP="0039317F">
            <w:pPr>
              <w:pStyle w:val="InstructionsText"/>
            </w:pPr>
            <w:r>
              <w:rPr>
                <w:rStyle w:val="FormatvorlageInstructionsTabelleText"/>
                <w:rFonts w:ascii="Times New Roman" w:hAnsi="Times New Roman"/>
                <w:sz w:val="24"/>
              </w:rPr>
              <w:t>Τα μέσα που περιλαμβάνονται στη στήλη αυτή είναι εκείνα που χαρακτηρ</w:t>
            </w:r>
            <w:r>
              <w:rPr>
                <w:rStyle w:val="FormatvorlageInstructionsTabelleText"/>
                <w:rFonts w:ascii="Times New Roman" w:hAnsi="Times New Roman"/>
                <w:sz w:val="24"/>
              </w:rPr>
              <w:t>ί</w:t>
            </w:r>
            <w:r>
              <w:rPr>
                <w:rStyle w:val="FormatvorlageInstructionsTabelleText"/>
                <w:rFonts w:ascii="Times New Roman" w:hAnsi="Times New Roman"/>
                <w:sz w:val="24"/>
              </w:rPr>
              <w:t>ζονται ως «Συμμετοχικοί τίτλοι» ή ως «Μετοχές/μερίδια επενδυτικών οργ</w:t>
            </w:r>
            <w:r>
              <w:rPr>
                <w:rStyle w:val="FormatvorlageInstructionsTabelleText"/>
                <w:rFonts w:ascii="Times New Roman" w:hAnsi="Times New Roman"/>
                <w:sz w:val="24"/>
              </w:rPr>
              <w:t>α</w:t>
            </w:r>
            <w:r>
              <w:rPr>
                <w:rStyle w:val="FormatvorlageInstructionsTabelleText"/>
                <w:rFonts w:ascii="Times New Roman" w:hAnsi="Times New Roman"/>
                <w:sz w:val="24"/>
              </w:rPr>
              <w:t>νισμών», σύμφωνα με τον κανονισμό</w:t>
            </w:r>
            <w:r>
              <w:t xml:space="preserve"> ΕΚΤ/2013/33.</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Παράγωγα </w:t>
            </w:r>
          </w:p>
          <w:p w:rsidR="00B0191A" w:rsidRPr="0039317F" w:rsidRDefault="00B0191A" w:rsidP="0039317F">
            <w:pPr>
              <w:pStyle w:val="InstructionsText"/>
              <w:rPr>
                <w:rStyle w:val="FormatvorlageInstructionsTabelleText"/>
                <w:rFonts w:ascii="Times New Roman" w:hAnsi="Times New Roman"/>
                <w:b/>
                <w:sz w:val="24"/>
              </w:rPr>
            </w:pPr>
          </w:p>
          <w:p w:rsidR="00B0191A" w:rsidRPr="0039317F" w:rsidRDefault="00BB3751" w:rsidP="0039317F">
            <w:pPr>
              <w:pStyle w:val="InstructionsText"/>
              <w:rPr>
                <w:rStyle w:val="FormatvorlageInstructionsTabelleText"/>
                <w:rFonts w:ascii="Times New Roman" w:hAnsi="Times New Roman"/>
                <w:sz w:val="24"/>
              </w:rPr>
            </w:pPr>
            <w:r>
              <w:t xml:space="preserve">Άρθρο 272 παράγραφος 2 και παράρτημα ΙΙ του </w:t>
            </w:r>
            <w:r>
              <w:rPr>
                <w:rStyle w:val="FormatvorlageInstructionsTabelleText"/>
                <w:rFonts w:ascii="Times New Roman" w:hAnsi="Times New Roman"/>
                <w:sz w:val="24"/>
              </w:rPr>
              <w:t>ΚΚΑ</w:t>
            </w:r>
          </w:p>
          <w:p w:rsidR="00B0191A" w:rsidRPr="0039317F" w:rsidRDefault="00B0191A" w:rsidP="000F0ADE">
            <w:pPr>
              <w:pStyle w:val="InstructionsText"/>
            </w:pPr>
          </w:p>
          <w:p w:rsidR="00B0191A" w:rsidRPr="0039317F" w:rsidRDefault="009E58B0">
            <w:pPr>
              <w:pStyle w:val="InstructionsText"/>
            </w:pPr>
            <w:r>
              <w:t xml:space="preserve">Τα μέσα που αναφέρονται στη στήλη αυτή περιλαμβάνουν τα παράγωγα που απαριθμούνται στο παράρτημα ΙΙ του </w:t>
            </w:r>
            <w:r>
              <w:rPr>
                <w:rStyle w:val="FormatvorlageInstructionsTabelleText"/>
                <w:rFonts w:ascii="Times New Roman" w:hAnsi="Times New Roman"/>
                <w:sz w:val="24"/>
              </w:rPr>
              <w:t>ΚΚΑ</w:t>
            </w:r>
            <w:r>
              <w:t xml:space="preserve"> και τις πράξεις με μακρά προθεσμία διακανονισμού, όπως ορίζονται στο άρθρο 272 παράγραφος 2 του </w:t>
            </w:r>
            <w:r>
              <w:rPr>
                <w:rStyle w:val="FormatvorlageInstructionsTabelleText"/>
                <w:rFonts w:ascii="Times New Roman" w:hAnsi="Times New Roman"/>
                <w:sz w:val="24"/>
              </w:rPr>
              <w:t>ΚΚΑ</w:t>
            </w:r>
            <w:r>
              <w:t xml:space="preserve">. </w:t>
            </w:r>
          </w:p>
          <w:p w:rsidR="00B0191A" w:rsidRPr="0039317F" w:rsidRDefault="00B0191A">
            <w:pPr>
              <w:pStyle w:val="InstructionsText"/>
            </w:pPr>
          </w:p>
          <w:p w:rsidR="00B0191A" w:rsidRPr="0039317F" w:rsidRDefault="00BB3751">
            <w:pPr>
              <w:pStyle w:val="InstructionsText"/>
            </w:pPr>
            <w:r>
              <w:t>Τα πιστωτικά παράγωγα που υπόκεινται σε πιστωτικό κίνδυνο αντισυμβα</w:t>
            </w:r>
            <w:r>
              <w:t>λ</w:t>
            </w:r>
            <w:r>
              <w:t>λομένου περιλαμβάνονται στην παρούσα στήλη.</w:t>
            </w:r>
          </w:p>
          <w:p w:rsidR="00B0191A" w:rsidRPr="00384ADB" w:rsidRDefault="00B0191A">
            <w:pPr>
              <w:pStyle w:val="InstructionsText"/>
              <w:rPr>
                <w:rStyle w:val="FormatvorlageInstructionsTabelleTex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Στοιχεία εκτός ισολογισμού</w:t>
            </w:r>
          </w:p>
          <w:p w:rsidR="00BB3751" w:rsidRPr="00384ADB" w:rsidRDefault="00BB3751" w:rsidP="004675B7">
            <w:pPr>
              <w:spacing w:before="0" w:after="0"/>
              <w:rPr>
                <w:rFonts w:ascii="Times New Roman" w:hAnsi="Times New Roman"/>
                <w:b/>
                <w:bCs/>
                <w:sz w:val="24"/>
              </w:rPr>
            </w:pPr>
          </w:p>
          <w:p w:rsidR="00BB3751" w:rsidRPr="00384ADB" w:rsidRDefault="00BB3751" w:rsidP="004675B7">
            <w:pPr>
              <w:spacing w:before="0" w:after="0"/>
              <w:rPr>
                <w:rFonts w:ascii="Times New Roman" w:hAnsi="Times New Roman"/>
                <w:sz w:val="24"/>
              </w:rPr>
            </w:pPr>
            <w:r>
              <w:rPr>
                <w:rFonts w:ascii="Times New Roman" w:hAnsi="Times New Roman"/>
                <w:sz w:val="24"/>
              </w:rPr>
              <w:t xml:space="preserve">Παράρτημα Ι του </w:t>
            </w:r>
            <w:r>
              <w:rPr>
                <w:rStyle w:val="FormatvorlageInstructionsTabelleText"/>
                <w:rFonts w:ascii="Times New Roman" w:hAnsi="Times New Roman"/>
                <w:sz w:val="24"/>
              </w:rPr>
              <w:t>ΚΚΑ</w:t>
            </w:r>
          </w:p>
          <w:p w:rsidR="00BB3751" w:rsidRPr="00384ADB" w:rsidRDefault="00BB3751" w:rsidP="004675B7">
            <w:pPr>
              <w:spacing w:before="0" w:after="0"/>
              <w:rPr>
                <w:rFonts w:ascii="Times New Roman" w:hAnsi="Times New Roman"/>
                <w:bCs/>
                <w:sz w:val="24"/>
              </w:rPr>
            </w:pPr>
          </w:p>
          <w:p w:rsidR="00BB3751" w:rsidRPr="00384ADB" w:rsidRDefault="00BB3751" w:rsidP="004675B7">
            <w:pPr>
              <w:spacing w:before="0" w:after="0"/>
              <w:rPr>
                <w:rFonts w:ascii="Times New Roman" w:hAnsi="Times New Roman"/>
                <w:bCs/>
                <w:sz w:val="24"/>
              </w:rPr>
            </w:pPr>
            <w:r>
              <w:rPr>
                <w:rFonts w:ascii="Times New Roman" w:hAnsi="Times New Roman"/>
                <w:sz w:val="24"/>
              </w:rPr>
              <w:t>Οι στήλες αυτές συμπληρώνονται με την ονομαστική αξία, πριν από οποι</w:t>
            </w:r>
            <w:r>
              <w:rPr>
                <w:rFonts w:ascii="Times New Roman" w:hAnsi="Times New Roman"/>
                <w:sz w:val="24"/>
              </w:rPr>
              <w:t>α</w:t>
            </w:r>
            <w:r>
              <w:rPr>
                <w:rFonts w:ascii="Times New Roman" w:hAnsi="Times New Roman"/>
                <w:sz w:val="24"/>
              </w:rPr>
              <w:t>δήποτε μείωση των ειδικών προσαρμογών πιστωτικού κινδύνου και χωρίς εφαρμογή των συντελεστών μετατροπής.</w:t>
            </w:r>
          </w:p>
          <w:p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Δανειακές δεσμεύσεις</w:t>
            </w:r>
          </w:p>
          <w:p w:rsidR="00BB3751" w:rsidRPr="00384ADB" w:rsidRDefault="00BB3751" w:rsidP="0039317F">
            <w:pPr>
              <w:pStyle w:val="InstructionsText"/>
              <w:rPr>
                <w:rStyle w:val="FormatvorlageInstructionsTabelleText"/>
                <w:rFonts w:ascii="Times New Roman" w:hAnsi="Times New Roman"/>
                <w:b/>
                <w:sz w:val="24"/>
              </w:rPr>
            </w:pPr>
          </w:p>
          <w:p w:rsidR="009A7666" w:rsidRPr="0039317F" w:rsidRDefault="0045752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Παράρτημα I σημείο 1 στοιχεία γ) και η), σημείο 2 στοιχείο β) σημείο ii), σημείο 3 στοιχείο β) σημείο i) και σημείο 4 στοιχείο α) του ΚΚΑ </w:t>
            </w:r>
          </w:p>
          <w:p w:rsidR="00B0191A" w:rsidRPr="0039317F" w:rsidRDefault="00B0191A">
            <w:pPr>
              <w:pStyle w:val="InstructionsText"/>
            </w:pPr>
          </w:p>
          <w:p w:rsidR="00B0191A" w:rsidRPr="0039317F" w:rsidRDefault="00BB3751">
            <w:pPr>
              <w:pStyle w:val="InstructionsText"/>
            </w:pPr>
            <w:r>
              <w:t>Οι δανειακές δεσμεύσεις είναι σταθερές δεσμεύσεις για την παροχή πιστ</w:t>
            </w:r>
            <w:r>
              <w:t>ώ</w:t>
            </w:r>
            <w:r>
              <w:t>σεων σύμφωνα με προκαθορισμένους όρους και προϋποθέσεις, εκτός από εκείνες που είναι παράγωγα, επειδή μπορούν να διακανονιστούν συμψηφ</w:t>
            </w:r>
            <w:r>
              <w:t>ι</w:t>
            </w:r>
            <w:r>
              <w:t xml:space="preserve">στικά τοις μετρητοίς ή με παράδοση ή έκδοση άλλου χρηματοοικονομικού μέσου. </w:t>
            </w:r>
          </w:p>
          <w:p w:rsidR="00B0191A" w:rsidRPr="00384ADB" w:rsidRDefault="00B0191A">
            <w:pPr>
              <w:pStyle w:val="InstructionsText"/>
              <w:rPr>
                <w:rStyle w:val="FormatvorlageInstructionsTabelleTex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Χρηματοοικονομικές εγγυήσεις</w:t>
            </w:r>
          </w:p>
          <w:p w:rsidR="009A7666" w:rsidRPr="00384ADB" w:rsidRDefault="009A7666" w:rsidP="0039317F">
            <w:pPr>
              <w:pStyle w:val="InstructionsText"/>
              <w:rPr>
                <w:rStyle w:val="FormatvorlageInstructionsTabelleText"/>
                <w:rFonts w:ascii="Times New Roman" w:hAnsi="Times New Roman"/>
                <w:b/>
                <w:sz w:val="24"/>
              </w:rPr>
            </w:pPr>
          </w:p>
          <w:p w:rsidR="00BB3751" w:rsidRPr="00384ADB" w:rsidRDefault="00965D5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Παράρτημα I σημείο 1 στοιχεία α), β) και στ) του ΚΚΑ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χρηματοοικονομικές εγγυήσεις είναι συμβάσεις βάσει των οποίων απα</w:t>
            </w:r>
            <w:r>
              <w:rPr>
                <w:rStyle w:val="FormatvorlageInstructionsTabelleText"/>
                <w:rFonts w:ascii="Times New Roman" w:hAnsi="Times New Roman"/>
                <w:sz w:val="24"/>
              </w:rPr>
              <w:t>ι</w:t>
            </w:r>
            <w:r>
              <w:rPr>
                <w:rStyle w:val="FormatvorlageInstructionsTabelleText"/>
                <w:rFonts w:ascii="Times New Roman" w:hAnsi="Times New Roman"/>
                <w:sz w:val="24"/>
              </w:rPr>
              <w:t>τείται από τον εκδότη να πραγματοποιήσει συγκεκριμένες πληρωμές για την αποζημίωση του κατόχου, λόγω ζημίας που υφίσταται από την αδυναμία συγκεκριμένου οφειλέτη να καταβάλει οφειλόμενες πληρωμές, σύμφωνα με τους αρχικούς ή τροποποιημένους όρους ενός χρεωστικού τίτλου. Τα πιστ</w:t>
            </w:r>
            <w:r>
              <w:rPr>
                <w:rStyle w:val="FormatvorlageInstructionsTabelleText"/>
                <w:rFonts w:ascii="Times New Roman" w:hAnsi="Times New Roman"/>
                <w:sz w:val="24"/>
              </w:rPr>
              <w:t>ω</w:t>
            </w:r>
            <w:r>
              <w:rPr>
                <w:rStyle w:val="FormatvorlageInstructionsTabelleText"/>
                <w:rFonts w:ascii="Times New Roman" w:hAnsi="Times New Roman"/>
                <w:sz w:val="24"/>
              </w:rPr>
              <w:t>τικά παράγωγα που δεν περιλαμβάνονται στη στήλη «παράγωγα» αναφέρ</w:t>
            </w:r>
            <w:r>
              <w:rPr>
                <w:rStyle w:val="FormatvorlageInstructionsTabelleText"/>
                <w:rFonts w:ascii="Times New Roman" w:hAnsi="Times New Roman"/>
                <w:sz w:val="24"/>
              </w:rPr>
              <w:t>ο</w:t>
            </w:r>
            <w:r>
              <w:rPr>
                <w:rStyle w:val="FormatvorlageInstructionsTabelleText"/>
                <w:rFonts w:ascii="Times New Roman" w:hAnsi="Times New Roman"/>
                <w:sz w:val="24"/>
              </w:rPr>
              <w:t>νται στην παρούσα στήλη.</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Άλλες δεσμεύσεις</w:t>
            </w:r>
          </w:p>
          <w:p w:rsidR="00B0191A" w:rsidRPr="00384ADB" w:rsidRDefault="00B0191A" w:rsidP="0039317F">
            <w:pPr>
              <w:pStyle w:val="InstructionsText"/>
              <w:rPr>
                <w:rStyle w:val="FormatvorlageInstructionsTabelleText"/>
                <w:rFonts w:ascii="Times New Roman" w:hAnsi="Times New Roman"/>
                <w:b/>
                <w:sz w:val="24"/>
              </w:rPr>
            </w:pPr>
          </w:p>
          <w:p w:rsidR="00BB3751" w:rsidRPr="00384ADB" w:rsidRDefault="00BB3751" w:rsidP="0070440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 xml:space="preserve">Άλλες δεσμεύσεις είναι τα στοιχεία του παραρτήματος I του ΚΚΑ που δεν περιλαμβάνονται στις προηγούμενες κατηγορίες. Η αξία ανοίγματος μιας </w:t>
            </w:r>
            <w:r>
              <w:rPr>
                <w:rStyle w:val="FormatvorlageInstructionsTabelleText"/>
                <w:rFonts w:ascii="Times New Roman" w:hAnsi="Times New Roman"/>
                <w:sz w:val="24"/>
              </w:rPr>
              <w:t>ε</w:t>
            </w:r>
            <w:r>
              <w:rPr>
                <w:rStyle w:val="FormatvorlageInstructionsTabelleText"/>
                <w:rFonts w:ascii="Times New Roman" w:hAnsi="Times New Roman"/>
                <w:sz w:val="24"/>
              </w:rPr>
              <w:t>νιαίας νομικής υποχρέωσης που απορρέει από τη συμφωνία συμβατικού συμψηφισμού μεταξύ προϊόντων με αντισυμβαλλόμενο του ιδρύματος αν</w:t>
            </w:r>
            <w:r>
              <w:rPr>
                <w:rStyle w:val="FormatvorlageInstructionsTabelleText"/>
                <w:rFonts w:ascii="Times New Roman" w:hAnsi="Times New Roman"/>
                <w:sz w:val="24"/>
              </w:rPr>
              <w:t>α</w:t>
            </w:r>
            <w:r>
              <w:rPr>
                <w:rStyle w:val="FormatvorlageInstructionsTabelleText"/>
                <w:rFonts w:ascii="Times New Roman" w:hAnsi="Times New Roman"/>
                <w:sz w:val="24"/>
              </w:rPr>
              <w:t>φέρεται στην παρούσα στήλη.</w:t>
            </w:r>
            <w:r>
              <w:rPr>
                <w:rStyle w:val="InstructionsTabelleberschrift"/>
                <w:rFonts w:ascii="Times New Roman" w:hAnsi="Times New Roman"/>
                <w:b w:val="0"/>
                <w:sz w:val="24"/>
                <w:u w:val="none"/>
              </w:rPr>
              <w:t xml:space="preserve"> </w:t>
            </w:r>
          </w:p>
          <w:p w:rsidR="00BB3751" w:rsidRPr="00384ADB" w:rsidRDefault="00BB3751"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Έμμεσα ανοίγματα</w:t>
            </w:r>
          </w:p>
          <w:p w:rsidR="00BB3751" w:rsidRPr="00384ADB" w:rsidRDefault="00BB3751" w:rsidP="0039317F">
            <w:pPr>
              <w:pStyle w:val="InstructionsText"/>
              <w:rPr>
                <w:rStyle w:val="InstructionsTabelleberschrift"/>
                <w:rFonts w:ascii="Times New Roman" w:hAnsi="Times New Roman"/>
                <w:sz w:val="24"/>
                <w:u w:val="none"/>
              </w:rPr>
            </w:pPr>
          </w:p>
          <w:p w:rsidR="00B0191A" w:rsidRPr="00384ADB" w:rsidRDefault="00BB3751" w:rsidP="000F0ADE">
            <w:pPr>
              <w:pStyle w:val="InstructionsText"/>
            </w:pPr>
            <w:r>
              <w:t xml:space="preserve">Άρθρο 403 του </w:t>
            </w:r>
            <w:r>
              <w:rPr>
                <w:rStyle w:val="FormatvorlageInstructionsTabelleText"/>
                <w:rFonts w:ascii="Times New Roman" w:hAnsi="Times New Roman"/>
                <w:sz w:val="24"/>
              </w:rPr>
              <w:t>ΚΚΑ</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Σύμφωνα με το άρθρο 403 του</w:t>
            </w:r>
            <w:r>
              <w:rPr>
                <w:rStyle w:val="FormatvorlageInstructionsTabelleText"/>
                <w:rFonts w:ascii="Times New Roman" w:hAnsi="Times New Roman"/>
                <w:sz w:val="24"/>
              </w:rPr>
              <w:t xml:space="preserve"> ΚΚΑ</w:t>
            </w:r>
            <w:r>
              <w:rPr>
                <w:rStyle w:val="InstructionsTabelleberschrift"/>
                <w:rFonts w:ascii="Times New Roman" w:hAnsi="Times New Roman"/>
                <w:b w:val="0"/>
                <w:sz w:val="24"/>
                <w:u w:val="none"/>
              </w:rPr>
              <w:t>, ένα πιστωτικό ίδρυμα μπορεί να χρ</w:t>
            </w:r>
            <w:r>
              <w:rPr>
                <w:rStyle w:val="InstructionsTabelleberschrift"/>
                <w:rFonts w:ascii="Times New Roman" w:hAnsi="Times New Roman"/>
                <w:b w:val="0"/>
                <w:sz w:val="24"/>
                <w:u w:val="none"/>
              </w:rPr>
              <w:t>η</w:t>
            </w:r>
            <w:r>
              <w:rPr>
                <w:rStyle w:val="InstructionsTabelleberschrift"/>
                <w:rFonts w:ascii="Times New Roman" w:hAnsi="Times New Roman"/>
                <w:b w:val="0"/>
                <w:sz w:val="24"/>
                <w:u w:val="none"/>
              </w:rPr>
              <w:t xml:space="preserve">σιμοποιεί την προσέγγιση υποκατάστασης, όταν το άνοιγμα έναντι πελάτη καλύπτεται από εγγύηση τρίτου ή καλύπτεται από εξασφάλιση που εξέδωσε τρίτος. </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Το ίδρυμα αναφέρει σε αυτή τη δέσμη στηλών τα νέα ποσά των άμεσων </w:t>
            </w:r>
            <w:r>
              <w:rPr>
                <w:rStyle w:val="InstructionsTabelleberschrift"/>
                <w:rFonts w:ascii="Times New Roman" w:hAnsi="Times New Roman"/>
                <w:b w:val="0"/>
                <w:sz w:val="24"/>
                <w:u w:val="none"/>
              </w:rPr>
              <w:t>α</w:t>
            </w:r>
            <w:r>
              <w:rPr>
                <w:rStyle w:val="InstructionsTabelleberschrift"/>
                <w:rFonts w:ascii="Times New Roman" w:hAnsi="Times New Roman"/>
                <w:b w:val="0"/>
                <w:sz w:val="24"/>
                <w:u w:val="none"/>
              </w:rPr>
              <w:t>νοιγμάτων έναντι του εγγυητή ή του εκδότη των εξασφαλίσεων, υπό την προϋπόθεση ότι αυτές θα υπόκεινται σε ίσο ή χαμηλότερο συντελεστή στάθμισης κινδύνου από τον συντελεστή στάθμισης κινδύνου που θα εφα</w:t>
            </w:r>
            <w:r>
              <w:rPr>
                <w:rStyle w:val="InstructionsTabelleberschrift"/>
                <w:rFonts w:ascii="Times New Roman" w:hAnsi="Times New Roman"/>
                <w:b w:val="0"/>
                <w:sz w:val="24"/>
                <w:u w:val="none"/>
              </w:rPr>
              <w:t>ρ</w:t>
            </w:r>
            <w:r>
              <w:rPr>
                <w:rStyle w:val="InstructionsTabelleberschrift"/>
                <w:rFonts w:ascii="Times New Roman" w:hAnsi="Times New Roman"/>
                <w:b w:val="0"/>
                <w:sz w:val="24"/>
                <w:u w:val="none"/>
              </w:rPr>
              <w:t>μοζόταν στον τρίτο, σύμφωνα με το τρίτο μέρος τίτλος II κεφάλαιο 2 του ΚΚΑ. Το προστατευόμενο αρχικό</w:t>
            </w:r>
            <w:r>
              <w:t xml:space="preserve"> </w:t>
            </w:r>
            <w:r>
              <w:rPr>
                <w:rStyle w:val="InstructionsTabelleberschrift"/>
                <w:rFonts w:ascii="Times New Roman" w:hAnsi="Times New Roman"/>
                <w:b w:val="0"/>
                <w:sz w:val="24"/>
                <w:u w:val="none"/>
              </w:rPr>
              <w:t xml:space="preserve">άνοιγμα αναφοράς (άμεσο άνοιγμα) </w:t>
            </w:r>
            <w:r>
              <w:rPr>
                <w:rStyle w:val="InstructionsTabelleberschrift"/>
                <w:rFonts w:ascii="Times New Roman" w:hAnsi="Times New Roman"/>
                <w:b w:val="0"/>
                <w:sz w:val="24"/>
                <w:u w:val="none"/>
              </w:rPr>
              <w:t>α</w:t>
            </w:r>
            <w:r>
              <w:rPr>
                <w:rStyle w:val="InstructionsTabelleberschrift"/>
                <w:rFonts w:ascii="Times New Roman" w:hAnsi="Times New Roman"/>
                <w:b w:val="0"/>
                <w:sz w:val="24"/>
                <w:u w:val="none"/>
              </w:rPr>
              <w:t>φαιρείται από το άνοιγμα στον αρχικό δανειολήπτη στις στήλες «Επιλέξιμες τεχνικές μείωσης του πιστωτικού κινδύνου». Το έμμεσο άνοιγμα αυξάνει το άνοιγμα έναντι του εγγυητή ή του εκδότη των εξασφαλίσεων μέσω αποτ</w:t>
            </w:r>
            <w:r>
              <w:rPr>
                <w:rStyle w:val="InstructionsTabelleberschrift"/>
                <w:rFonts w:ascii="Times New Roman" w:hAnsi="Times New Roman"/>
                <w:b w:val="0"/>
                <w:sz w:val="24"/>
                <w:u w:val="none"/>
              </w:rPr>
              <w:t>ε</w:t>
            </w:r>
            <w:r>
              <w:rPr>
                <w:rStyle w:val="InstructionsTabelleberschrift"/>
                <w:rFonts w:ascii="Times New Roman" w:hAnsi="Times New Roman"/>
                <w:b w:val="0"/>
                <w:sz w:val="24"/>
                <w:u w:val="none"/>
              </w:rPr>
              <w:t>λέσματος υποκατάστασης. Αυτό ισχύει επίσης και για εγγυήσεις που δίδ</w:t>
            </w:r>
            <w:r>
              <w:rPr>
                <w:rStyle w:val="InstructionsTabelleberschrift"/>
                <w:rFonts w:ascii="Times New Roman" w:hAnsi="Times New Roman"/>
                <w:b w:val="0"/>
                <w:sz w:val="24"/>
                <w:u w:val="none"/>
              </w:rPr>
              <w:t>ο</w:t>
            </w:r>
            <w:r>
              <w:rPr>
                <w:rStyle w:val="InstructionsTabelleberschrift"/>
                <w:rFonts w:ascii="Times New Roman" w:hAnsi="Times New Roman"/>
                <w:b w:val="0"/>
                <w:sz w:val="24"/>
                <w:u w:val="none"/>
              </w:rPr>
              <w:t>νται στο πλαίσιο ομάδας συνδεδεμένων πελατών.</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ίδρυμα αναφέρει το αρχικό ποσό των έμμεσων ανοιγμάτων στη στήλη που αντιστοιχεί στο είδος του άμεσου ανοίγματος που καλύπτεται από εγγ</w:t>
            </w:r>
            <w:r>
              <w:rPr>
                <w:rStyle w:val="InstructionsTabelleberschrift"/>
                <w:rFonts w:ascii="Times New Roman" w:hAnsi="Times New Roman"/>
                <w:b w:val="0"/>
                <w:sz w:val="24"/>
                <w:u w:val="none"/>
              </w:rPr>
              <w:t>ύ</w:t>
            </w:r>
            <w:r>
              <w:rPr>
                <w:rStyle w:val="InstructionsTabelleberschrift"/>
                <w:rFonts w:ascii="Times New Roman" w:hAnsi="Times New Roman"/>
                <w:b w:val="0"/>
                <w:sz w:val="24"/>
                <w:u w:val="none"/>
              </w:rPr>
              <w:t>ηση ή από εξασφάλιση· όταν, για παράδειγμα, το άμεσο άνοιγμα που καλ</w:t>
            </w:r>
            <w:r>
              <w:rPr>
                <w:rStyle w:val="InstructionsTabelleberschrift"/>
                <w:rFonts w:ascii="Times New Roman" w:hAnsi="Times New Roman"/>
                <w:b w:val="0"/>
                <w:sz w:val="24"/>
                <w:u w:val="none"/>
              </w:rPr>
              <w:t>ύ</w:t>
            </w:r>
            <w:r>
              <w:rPr>
                <w:rStyle w:val="InstructionsTabelleberschrift"/>
                <w:rFonts w:ascii="Times New Roman" w:hAnsi="Times New Roman"/>
                <w:b w:val="0"/>
                <w:sz w:val="24"/>
                <w:u w:val="none"/>
              </w:rPr>
              <w:t xml:space="preserve">πτεται από εγγύηση είναι χρεωστικός τίτλος, το ποσό για το «Έμμεσο </w:t>
            </w:r>
            <w:r>
              <w:rPr>
                <w:rStyle w:val="InstructionsTabelleberschrift"/>
                <w:rFonts w:ascii="Times New Roman" w:hAnsi="Times New Roman"/>
                <w:b w:val="0"/>
                <w:sz w:val="24"/>
                <w:u w:val="none"/>
              </w:rPr>
              <w:t>ά</w:t>
            </w:r>
            <w:r>
              <w:rPr>
                <w:rStyle w:val="InstructionsTabelleberschrift"/>
                <w:rFonts w:ascii="Times New Roman" w:hAnsi="Times New Roman"/>
                <w:b w:val="0"/>
                <w:sz w:val="24"/>
                <w:u w:val="none"/>
              </w:rPr>
              <w:t>νοιγμα» έναντι του εγγυητή αναφέρεται στη στήλη «Χρεωστικοί τίτλοι».</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Τα ανοίγματα που προκύπτουν από ομόλογα συνδεδεμένα με τον πιστωτικό κίνδυνο υποκείμενου μέσου αναφέρονται επίσης στην παρούσα δέσμη στ</w:t>
            </w:r>
            <w:r>
              <w:rPr>
                <w:rStyle w:val="InstructionsTabelleberschrift"/>
                <w:rFonts w:ascii="Times New Roman" w:hAnsi="Times New Roman"/>
                <w:b w:val="0"/>
                <w:sz w:val="24"/>
                <w:u w:val="none"/>
              </w:rPr>
              <w:t>η</w:t>
            </w:r>
            <w:r>
              <w:rPr>
                <w:rStyle w:val="InstructionsTabelleberschrift"/>
                <w:rFonts w:ascii="Times New Roman" w:hAnsi="Times New Roman"/>
                <w:b w:val="0"/>
                <w:sz w:val="24"/>
                <w:u w:val="none"/>
              </w:rPr>
              <w:t>λών, σύμφωνα με το άρθρο 399 του</w:t>
            </w:r>
            <w:r>
              <w:rPr>
                <w:rStyle w:val="FormatvorlageInstructionsTabelleText"/>
                <w:rFonts w:ascii="Times New Roman" w:hAnsi="Times New Roman"/>
                <w:sz w:val="24"/>
              </w:rPr>
              <w:t xml:space="preserve"> ΚΚΑ</w:t>
            </w:r>
            <w:r>
              <w:rPr>
                <w:rStyle w:val="InstructionsTabelleberschrift"/>
                <w:rFonts w:ascii="Times New Roman" w:hAnsi="Times New Roman"/>
                <w:b w:val="0"/>
                <w:sz w:val="24"/>
                <w:u w:val="none"/>
              </w:rPr>
              <w:t>.</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Χρεωστικοί τίτλοι</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στήλη 060.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AE2F75">
        <w:tc>
          <w:tcPr>
            <w:tcW w:w="1418" w:type="dxa"/>
            <w:shd w:val="clear" w:color="auto" w:fill="FFFFFF"/>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Μέσα μετοχικού κεφαλαίου</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Βλέπε στήλη 070.</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Παράγωγα</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Βλέπε στήλη 080.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150-170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Στοιχεία εκτός ισολογισμού</w:t>
            </w:r>
          </w:p>
          <w:p w:rsidR="00BB3751" w:rsidRPr="00384ADB" w:rsidRDefault="00BB3751" w:rsidP="0039317F">
            <w:pPr>
              <w:pStyle w:val="InstructionsText"/>
              <w:rPr>
                <w:rStyle w:val="InstructionsTabelleberschrift"/>
                <w:rFonts w:ascii="Times New Roman" w:hAnsi="Times New Roman"/>
                <w:sz w:val="24"/>
              </w:rPr>
            </w:pPr>
          </w:p>
          <w:p w:rsidR="00BB3751" w:rsidRPr="00384ADB" w:rsidRDefault="00BB3751" w:rsidP="00B9340F">
            <w:pPr>
              <w:spacing w:before="0" w:after="0"/>
              <w:rPr>
                <w:rFonts w:ascii="Times New Roman" w:hAnsi="Times New Roman"/>
                <w:bCs/>
                <w:sz w:val="24"/>
              </w:rPr>
            </w:pPr>
            <w:r>
              <w:rPr>
                <w:rFonts w:ascii="Times New Roman" w:hAnsi="Times New Roman"/>
                <w:sz w:val="24"/>
              </w:rPr>
              <w:t>Η αξία στις στήλες αυτές είναι η ονομαστική αξία, πριν από οποιαδήποτε μείωση των ειδικών προσαρμογών πιστωτικού κινδύνου και πριν από την εφαρμογή συντελεστών μετατροπής.</w:t>
            </w:r>
          </w:p>
          <w:p w:rsidR="00BB3751" w:rsidRPr="00384ADB" w:rsidRDefault="00BB3751" w:rsidP="0039317F">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Δανειακές δεσμεύσεις</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στήλη 090.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Χρηματοοικονομικές εγγυήσεις</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στήλη 100.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Άλλες δεσμεύσεις</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στήλη 110.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Πρόσθετα ανοίγματα που προκύπτουν από συναλλαγές όπου υπάρχει άνοιγμα σε υποκείμενα στοιχεία ενεργητικού</w:t>
            </w:r>
          </w:p>
          <w:p w:rsidR="00BB3751" w:rsidRPr="00384ADB" w:rsidRDefault="00BB3751" w:rsidP="0039317F">
            <w:pPr>
              <w:pStyle w:val="InstructionsText"/>
              <w:rPr>
                <w:rStyle w:val="FormatvorlageInstructionsTabelleTex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390 παράγραφος 7 του ΚΚΑ</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Πρόσθετα ανοίγματα που προκύπτουν από συναλλαγές όπου υπάρχει άνοι</w:t>
            </w:r>
            <w:r>
              <w:rPr>
                <w:rStyle w:val="FormatvorlageInstructionsTabelleText"/>
                <w:rFonts w:ascii="Times New Roman" w:hAnsi="Times New Roman"/>
                <w:sz w:val="24"/>
              </w:rPr>
              <w:t>γ</w:t>
            </w:r>
            <w:r>
              <w:rPr>
                <w:rStyle w:val="FormatvorlageInstructionsTabelleText"/>
                <w:rFonts w:ascii="Times New Roman" w:hAnsi="Times New Roman"/>
                <w:sz w:val="24"/>
              </w:rPr>
              <w:t>μα σε υποκείμενα στοιχεία ενεργητικού.</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Προσαρμογές αξίας και προβλέψεις</w:t>
            </w:r>
          </w:p>
          <w:p w:rsidR="00BB3751" w:rsidRPr="00384ADB" w:rsidRDefault="00BB3751" w:rsidP="004675B7">
            <w:pPr>
              <w:pStyle w:val="Default"/>
              <w:jc w:val="both"/>
              <w:rPr>
                <w:rStyle w:val="FormatvorlageInstructionsTabelleText"/>
                <w:rFonts w:ascii="Times New Roman" w:eastAsia="Times New Roman" w:hAnsi="Times New Roman"/>
                <w:b/>
                <w:color w:val="auto"/>
                <w:sz w:val="24"/>
              </w:rPr>
            </w:pP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Άρθρα 34, 24, 110 και 111 του ΚΚΑ</w:t>
            </w: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p>
          <w:p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Η προσαρμογή αξίας και οι προβλέψεις που περιλαμβάνονται στο αντίστο</w:t>
            </w:r>
            <w:r>
              <w:rPr>
                <w:rStyle w:val="FormatvorlageInstructionsTabelleText"/>
                <w:rFonts w:ascii="Times New Roman" w:hAnsi="Times New Roman"/>
                <w:color w:val="auto"/>
                <w:sz w:val="24"/>
              </w:rPr>
              <w:t>ι</w:t>
            </w:r>
            <w:r>
              <w:rPr>
                <w:rStyle w:val="FormatvorlageInstructionsTabelleText"/>
                <w:rFonts w:ascii="Times New Roman" w:hAnsi="Times New Roman"/>
                <w:color w:val="auto"/>
                <w:sz w:val="24"/>
              </w:rPr>
              <w:t xml:space="preserve">χο λογιστικό πλαίσιο (οδηγία 86/635/ΕΟΚ ή κανονισμός (ΕΚ) </w:t>
            </w:r>
            <w:r>
              <w:rPr>
                <w:rStyle w:val="FormatvorlageInstructionsTabelleText"/>
                <w:rFonts w:ascii="Times New Roman" w:hAnsi="Times New Roman"/>
                <w:color w:val="auto"/>
                <w:sz w:val="24"/>
              </w:rPr>
              <w:t>α</w:t>
            </w:r>
            <w:r>
              <w:rPr>
                <w:rStyle w:val="FormatvorlageInstructionsTabelleText"/>
                <w:rFonts w:ascii="Times New Roman" w:hAnsi="Times New Roman"/>
                <w:color w:val="auto"/>
                <w:sz w:val="24"/>
              </w:rPr>
              <w:t>ριθ. 1606/2002) οι οποίες επηρεάζουν την αποτίμηση των ανοιγμάτων σύ</w:t>
            </w:r>
            <w:r>
              <w:rPr>
                <w:rStyle w:val="FormatvorlageInstructionsTabelleText"/>
                <w:rFonts w:ascii="Times New Roman" w:hAnsi="Times New Roman"/>
                <w:color w:val="auto"/>
                <w:sz w:val="24"/>
              </w:rPr>
              <w:t>μ</w:t>
            </w:r>
            <w:r>
              <w:rPr>
                <w:rStyle w:val="FormatvorlageInstructionsTabelleText"/>
                <w:rFonts w:ascii="Times New Roman" w:hAnsi="Times New Roman"/>
                <w:color w:val="auto"/>
                <w:sz w:val="24"/>
              </w:rPr>
              <w:t>φωνα με τα άρθρα 24 και 110 του</w:t>
            </w:r>
            <w:r>
              <w:rPr>
                <w:rStyle w:val="FormatvorlageInstructionsTabelleText"/>
                <w:rFonts w:ascii="Times New Roman" w:hAnsi="Times New Roman"/>
                <w:sz w:val="24"/>
              </w:rPr>
              <w:t>ΚΚΑ</w:t>
            </w:r>
            <w:r>
              <w:rPr>
                <w:rStyle w:val="FormatvorlageInstructionsTabelleText"/>
                <w:rFonts w:ascii="Times New Roman" w:hAnsi="Times New Roman"/>
                <w:color w:val="auto"/>
                <w:sz w:val="24"/>
              </w:rPr>
              <w:t>.</w:t>
            </w:r>
            <w:r>
              <w:rPr>
                <w:rFonts w:ascii="Times New Roman" w:hAnsi="Times New Roman"/>
              </w:rPr>
              <w:t xml:space="preserve"> </w:t>
            </w: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p>
          <w:p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color w:val="auto"/>
                <w:sz w:val="24"/>
              </w:rPr>
              <w:t>Οι προσαρμογές αξίας και οι προβλέψεις έναντι του μικτού ανοίγματος της στήλης 040</w:t>
            </w:r>
            <w:r>
              <w:rPr>
                <w:rStyle w:val="FormatvorlageInstructionsTabelleText"/>
                <w:rFonts w:ascii="Times New Roman" w:hAnsi="Times New Roman"/>
                <w:sz w:val="24"/>
              </w:rPr>
              <w:t xml:space="preserve"> αναφέρονται στην παρούσα στήλη. </w:t>
            </w:r>
          </w:p>
          <w:p w:rsidR="00BB3751" w:rsidRPr="00384ADB" w:rsidRDefault="00BB3751" w:rsidP="00751BC8">
            <w:pPr>
              <w:pStyle w:val="Default"/>
              <w:jc w:val="both"/>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Ανοίγματα που αφαιρούνται από τα ίδια κεφάλαια</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Άρθρο 390 παράγραφος 6 στοιχείο ε) του</w:t>
            </w:r>
            <w:r>
              <w:t xml:space="preserve"> </w:t>
            </w:r>
            <w:r>
              <w:rPr>
                <w:rStyle w:val="FormatvorlageInstructionsTabelleText"/>
                <w:rFonts w:ascii="Times New Roman" w:hAnsi="Times New Roman"/>
                <w:sz w:val="24"/>
              </w:rPr>
              <w:t xml:space="preserve">ΚΚΑ </w:t>
            </w:r>
          </w:p>
          <w:p w:rsidR="00B0191A" w:rsidRPr="00384ADB" w:rsidRDefault="00B0191A">
            <w:pPr>
              <w:pStyle w:val="InstructionsText"/>
              <w:rPr>
                <w:rStyle w:val="FormatvorlageInstructionsTabelleText"/>
                <w:rFonts w:ascii="Times New Roman" w:eastAsia="Calibri" w:hAnsi="Times New Roman"/>
                <w:color w:val="000000"/>
                <w:sz w:val="24"/>
              </w:rPr>
            </w:pPr>
          </w:p>
          <w:p w:rsidR="00B0191A" w:rsidRPr="00384ADB" w:rsidRDefault="00BB3751">
            <w:pPr>
              <w:pStyle w:val="InstructionsText"/>
              <w:rPr>
                <w:rStyle w:val="FormatvorlageInstructionsTabelleText"/>
                <w:rFonts w:ascii="Times New Roman" w:eastAsia="Calibri" w:hAnsi="Times New Roman"/>
                <w:color w:val="000000"/>
                <w:sz w:val="24"/>
              </w:rPr>
            </w:pPr>
            <w:r>
              <w:rPr>
                <w:rStyle w:val="FormatvorlageInstructionsTabelleText"/>
                <w:rFonts w:ascii="Times New Roman" w:hAnsi="Times New Roman"/>
                <w:sz w:val="24"/>
              </w:rPr>
              <w:t>Αναφέρονται τα ανοίγματα που αφαιρούνται από τα ίδια κεφάλαια, τα οποία συμπεριλαμβάνονται στις διάφορες στήλες του συνολικού αρχικού ανοίγμ</w:t>
            </w:r>
            <w:r>
              <w:rPr>
                <w:rStyle w:val="FormatvorlageInstructionsTabelleText"/>
                <w:rFonts w:ascii="Times New Roman" w:hAnsi="Times New Roman"/>
                <w:sz w:val="24"/>
              </w:rPr>
              <w:t>α</w:t>
            </w:r>
            <w:r>
              <w:rPr>
                <w:rStyle w:val="FormatvorlageInstructionsTabelleText"/>
                <w:rFonts w:ascii="Times New Roman" w:hAnsi="Times New Roman"/>
                <w:sz w:val="24"/>
              </w:rPr>
              <w:t xml:space="preserve">τος. </w:t>
            </w:r>
          </w:p>
          <w:p w:rsidR="00BB3751" w:rsidRPr="00F40CD9" w:rsidRDefault="00BB3751" w:rsidP="001E6FAF">
            <w:pPr>
              <w:pStyle w:val="Default"/>
              <w:jc w:val="both"/>
              <w:rPr>
                <w:rStyle w:val="FormatvorlageInstructionsTabelleText"/>
                <w:rFonts w:ascii="Times New Roman" w:hAnsi="Times New Roman"/>
                <w:b/>
                <w:sz w:val="24"/>
              </w:rPr>
            </w:pPr>
          </w:p>
        </w:tc>
      </w:tr>
      <w:tr w:rsidR="00BB3751" w:rsidRPr="00384ADB" w:rsidTr="00E17043">
        <w:tc>
          <w:tcPr>
            <w:tcW w:w="1418" w:type="dxa"/>
            <w:vAlign w:val="center"/>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210-230</w:t>
            </w:r>
          </w:p>
        </w:tc>
        <w:tc>
          <w:tcPr>
            <w:tcW w:w="7620" w:type="dxa"/>
            <w:vAlign w:val="center"/>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Αξία ανοίγματος πριν από την εφαρμογή των εξαιρέσεων και των τεχν</w:t>
            </w:r>
            <w:r>
              <w:rPr>
                <w:rStyle w:val="InstructionsTabelleberschrift"/>
                <w:rFonts w:ascii="Times New Roman" w:hAnsi="Times New Roman"/>
                <w:sz w:val="24"/>
              </w:rPr>
              <w:t>ι</w:t>
            </w:r>
            <w:r>
              <w:rPr>
                <w:rStyle w:val="InstructionsTabelleberschrift"/>
                <w:rFonts w:ascii="Times New Roman" w:hAnsi="Times New Roman"/>
                <w:sz w:val="24"/>
              </w:rPr>
              <w:lastRenderedPageBreak/>
              <w:t>κών CRM</w:t>
            </w:r>
          </w:p>
          <w:p w:rsidR="00BB3751" w:rsidRPr="00384ADB" w:rsidRDefault="00BB3751" w:rsidP="005149C1">
            <w:pPr>
              <w:pStyle w:val="Default"/>
              <w:rPr>
                <w:rFonts w:ascii="Times New Roman" w:hAnsi="Times New Roman" w:cs="Times New Roman"/>
                <w:b/>
              </w:rPr>
            </w:pPr>
          </w:p>
          <w:p w:rsidR="00BB3751" w:rsidRPr="00384ADB" w:rsidRDefault="00BB3751" w:rsidP="0039317F">
            <w:pPr>
              <w:pStyle w:val="InstructionsText"/>
            </w:pPr>
            <w:r>
              <w:t xml:space="preserve">Άρθρο 394 παράγραφος 1 στοιχείο β) του </w:t>
            </w:r>
            <w:r>
              <w:rPr>
                <w:rStyle w:val="FormatvorlageInstructionsTabelleText"/>
                <w:rFonts w:ascii="Times New Roman" w:hAnsi="Times New Roman"/>
                <w:sz w:val="24"/>
              </w:rPr>
              <w:t>ΚΚΑ</w:t>
            </w:r>
          </w:p>
          <w:p w:rsidR="00BB3751" w:rsidRPr="00384ADB" w:rsidRDefault="00BB3751" w:rsidP="0039317F">
            <w:pPr>
              <w:pStyle w:val="InstructionsText"/>
            </w:pPr>
          </w:p>
          <w:p w:rsidR="00BB3751" w:rsidRPr="00384ADB" w:rsidRDefault="008A4511" w:rsidP="0039317F">
            <w:pPr>
              <w:pStyle w:val="InstructionsText"/>
            </w:pPr>
            <w:r>
              <w:t>Τα ιδρύματα αναφέρουν την αξία ανοίγματος προτού ληφθεί υπόψη η επ</w:t>
            </w:r>
            <w:r>
              <w:t>ί</w:t>
            </w:r>
            <w:r>
              <w:t>δραση των τεχνικών μείωσης του πιστωτικού κινδύνου, όταν συντρέχει π</w:t>
            </w:r>
            <w:r>
              <w:t>ε</w:t>
            </w:r>
            <w:r>
              <w:t>ρίπτωση.</w:t>
            </w:r>
          </w:p>
          <w:p w:rsidR="00BB3751" w:rsidRPr="00384ADB" w:rsidRDefault="00BB3751" w:rsidP="000F0ADE">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Σύνολο</w:t>
            </w:r>
          </w:p>
          <w:p w:rsidR="00BB3751" w:rsidRPr="0039317F" w:rsidRDefault="00BB3751" w:rsidP="0039317F">
            <w:pPr>
              <w:pStyle w:val="InstructionsText"/>
            </w:pPr>
          </w:p>
          <w:p w:rsidR="00BB3751" w:rsidRPr="0039317F" w:rsidRDefault="00BB3751" w:rsidP="0039317F">
            <w:pPr>
              <w:pStyle w:val="InstructionsText"/>
            </w:pPr>
            <w:r>
              <w:t>Η αξία ανοίγματος που αναφέρεται στη στήλη αυτή είναι το ποσό που χρ</w:t>
            </w:r>
            <w:r>
              <w:t>η</w:t>
            </w:r>
            <w:r>
              <w:t>σιμοποιείται για τον προσδιορισμό του κατά πόσον ένα άνοιγμα είναι μεγ</w:t>
            </w:r>
            <w:r>
              <w:t>ά</w:t>
            </w:r>
            <w:r>
              <w:t xml:space="preserve">λο άνοιγμα, σύμφωνα με τον ορισμό του άρθρου 392 του </w:t>
            </w:r>
            <w:r>
              <w:rPr>
                <w:rStyle w:val="FormatvorlageInstructionsTabelleText"/>
                <w:rFonts w:ascii="Times New Roman" w:hAnsi="Times New Roman"/>
                <w:sz w:val="24"/>
              </w:rPr>
              <w:t>ΚΚΑ</w:t>
            </w:r>
            <w:r>
              <w:t>.</w:t>
            </w:r>
          </w:p>
          <w:p w:rsidR="00B0191A" w:rsidRPr="0039317F" w:rsidRDefault="00B0191A" w:rsidP="000F0ADE">
            <w:pPr>
              <w:pStyle w:val="InstructionsText"/>
            </w:pPr>
          </w:p>
          <w:p w:rsidR="00B0191A" w:rsidRPr="0039317F" w:rsidRDefault="00BB3751">
            <w:pPr>
              <w:pStyle w:val="InstructionsText"/>
            </w:pPr>
            <w:r>
              <w:t>Περιλαμβάνει το αρχικό άνοιγμα μετά την αφαίρεση των προσαρμογών αξ</w:t>
            </w:r>
            <w:r>
              <w:t>ί</w:t>
            </w:r>
            <w:r>
              <w:t>ας και των προβλέψεων και του ποσού των ανοιγμάτων που αφαιρούνται από τα ίδια κεφάλαια.</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εκτός χαρτοφυλακίου συναλλαγών</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Το ποσό εκτός χαρτοφυλακίου συναλλαγών επί του συνολικού ανοίγματος πριν από τις εξαιρέσεις και τη μείωση του πιστωτικού κινδύνου. </w:t>
            </w:r>
          </w:p>
          <w:p w:rsidR="00BB3751" w:rsidRPr="00384ADB" w:rsidRDefault="00BB3751"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του αποδεκτού κεφαλαίου</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4 παράγραφος 1 σημείο 71) στοιχείο β) και άρθρο 395 του</w:t>
            </w:r>
            <w:r>
              <w:rPr>
                <w:rStyle w:val="FormatvorlageInstructionsTabelleText"/>
                <w:rFonts w:ascii="Times New Roman" w:hAnsi="Times New Roman"/>
                <w:sz w:val="24"/>
              </w:rPr>
              <w:t xml:space="preserve"> ΚΚΑ</w:t>
            </w:r>
          </w:p>
          <w:p w:rsidR="00BB3751" w:rsidRPr="00384ADB" w:rsidRDefault="00BB3751" w:rsidP="004675B7">
            <w:pPr>
              <w:spacing w:before="0" w:after="0"/>
              <w:rPr>
                <w:rStyle w:val="InstructionsTabelleberschrift"/>
                <w:rFonts w:ascii="Times New Roman" w:hAnsi="Times New Roman"/>
                <w:b w:val="0"/>
                <w:bCs w:val="0"/>
                <w:sz w:val="24"/>
                <w:u w:val="none"/>
              </w:rPr>
            </w:pPr>
          </w:p>
          <w:p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Το ποσό που αναφέρεται είναι το ποσοστό της αξίας ανοίγματος, πριν από την εφαρμογή των εξαιρέσεων και των τεχνικών CRM, ως προς το αποδ</w:t>
            </w:r>
            <w:r>
              <w:rPr>
                <w:rStyle w:val="InstructionsTabelleberschrift"/>
                <w:rFonts w:ascii="Times New Roman" w:hAnsi="Times New Roman"/>
                <w:b w:val="0"/>
                <w:sz w:val="24"/>
                <w:u w:val="none"/>
              </w:rPr>
              <w:t>ε</w:t>
            </w:r>
            <w:r>
              <w:rPr>
                <w:rStyle w:val="InstructionsTabelleberschrift"/>
                <w:rFonts w:ascii="Times New Roman" w:hAnsi="Times New Roman"/>
                <w:b w:val="0"/>
                <w:sz w:val="24"/>
                <w:u w:val="none"/>
              </w:rPr>
              <w:t>κτό κεφάλαιο του ιδρύματος, όπως ορίζεται στο άρθρο 4 παράγραφος 1 σ</w:t>
            </w:r>
            <w:r>
              <w:rPr>
                <w:rStyle w:val="InstructionsTabelleberschrift"/>
                <w:rFonts w:ascii="Times New Roman" w:hAnsi="Times New Roman"/>
                <w:b w:val="0"/>
                <w:sz w:val="24"/>
                <w:u w:val="none"/>
              </w:rPr>
              <w:t>η</w:t>
            </w:r>
            <w:r>
              <w:rPr>
                <w:rStyle w:val="InstructionsTabelleberschrift"/>
                <w:rFonts w:ascii="Times New Roman" w:hAnsi="Times New Roman"/>
                <w:b w:val="0"/>
                <w:sz w:val="24"/>
                <w:u w:val="none"/>
              </w:rPr>
              <w:t>μείο 71) στοιχείο β) του</w:t>
            </w:r>
            <w:r>
              <w:rPr>
                <w:rStyle w:val="FormatvorlageInstructionsTabelleText"/>
                <w:rFonts w:ascii="Times New Roman" w:hAnsi="Times New Roman"/>
                <w:sz w:val="24"/>
              </w:rPr>
              <w:t xml:space="preserve"> ΚΚΑ</w:t>
            </w:r>
            <w:r>
              <w:rPr>
                <w:rStyle w:val="InstructionsTabelleberschrift"/>
                <w:rFonts w:ascii="Times New Roman" w:hAnsi="Times New Roman"/>
                <w:b w:val="0"/>
                <w:sz w:val="24"/>
                <w:u w:val="none"/>
              </w:rPr>
              <w:t>.</w:t>
            </w:r>
          </w:p>
          <w:p w:rsidR="00BB3751" w:rsidRPr="00384ADB" w:rsidRDefault="00BB3751" w:rsidP="00151B6A">
            <w:pPr>
              <w:spacing w:before="0" w:after="0"/>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Επιλέξιμες τεχνικές μείωσης του πιστωτικού κινδύνου (CRM)</w:t>
            </w:r>
          </w:p>
          <w:p w:rsidR="00BB3751" w:rsidRPr="00384ADB" w:rsidRDefault="00BB3751" w:rsidP="004675B7">
            <w:pPr>
              <w:spacing w:before="0" w:after="0"/>
              <w:rPr>
                <w:rStyle w:val="InstructionsTabelleberschrift"/>
                <w:rFonts w:ascii="Times New Roman" w:hAnsi="Times New Roman"/>
                <w:sz w:val="24"/>
                <w:u w:val="none"/>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399 και άρθρα 401 έως 403 του </w:t>
            </w:r>
            <w:r>
              <w:rPr>
                <w:rStyle w:val="FormatvorlageInstructionsTabelleText"/>
                <w:rFonts w:ascii="Times New Roman" w:hAnsi="Times New Roman"/>
                <w:sz w:val="24"/>
              </w:rPr>
              <w:t>ΚΚΑ</w:t>
            </w:r>
          </w:p>
          <w:p w:rsidR="00BB3751" w:rsidRPr="00384ADB" w:rsidRDefault="00BB3751" w:rsidP="004675B7">
            <w:pPr>
              <w:spacing w:before="0" w:after="0"/>
              <w:rPr>
                <w:rStyle w:val="InstructionsTabelleberschrift"/>
                <w:rFonts w:ascii="Times New Roman" w:hAnsi="Times New Roman"/>
                <w:sz w:val="24"/>
                <w:u w:val="none"/>
              </w:rPr>
            </w:pPr>
          </w:p>
          <w:p w:rsidR="00BB3751" w:rsidRPr="00384ADB" w:rsidRDefault="00BB3751" w:rsidP="004675B7">
            <w:pPr>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Τεχνικές μείωσης του πιστωτικού κινδύνου (CRM), όπως ορίζονται στο ά</w:t>
            </w:r>
            <w:r>
              <w:rPr>
                <w:rStyle w:val="FormatvorlageInstructionsTabelleText"/>
                <w:rFonts w:ascii="Times New Roman" w:hAnsi="Times New Roman"/>
                <w:sz w:val="24"/>
              </w:rPr>
              <w:t>ρ</w:t>
            </w:r>
            <w:r>
              <w:rPr>
                <w:rStyle w:val="FormatvorlageInstructionsTabelleText"/>
                <w:rFonts w:ascii="Times New Roman" w:hAnsi="Times New Roman"/>
                <w:sz w:val="24"/>
              </w:rPr>
              <w:t>θρο 4 παράγραφος 1 σημείο 57) του ΚΚΑ.</w:t>
            </w:r>
          </w:p>
          <w:p w:rsidR="00BB3751" w:rsidRPr="00384ADB" w:rsidRDefault="00BB3751" w:rsidP="004675B7">
            <w:pPr>
              <w:spacing w:before="0" w:after="0"/>
              <w:rPr>
                <w:rStyle w:val="FormatvorlageInstructionsTabelleText"/>
                <w:rFonts w:ascii="Times New Roman" w:hAnsi="Times New Roman"/>
                <w:sz w:val="24"/>
              </w:rPr>
            </w:pPr>
          </w:p>
          <w:p w:rsidR="00BB3751" w:rsidRPr="00384ADB" w:rsidRDefault="00BB3751"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Για τους σκοπούς της παρούσας υποβολής αναφορών, χρησιμοποιούνται οι τεχνικές CRM που αναγνωρίζονται στο τρίτο μέρος τίτλος II κεφάλαια 3 και 4 του ΚΚΑ,</w:t>
            </w:r>
            <w:r>
              <w:rPr>
                <w:rStyle w:val="InstructionsTabelleberschrift"/>
                <w:rFonts w:ascii="Times New Roman" w:hAnsi="Times New Roman"/>
                <w:b w:val="0"/>
                <w:sz w:val="24"/>
                <w:u w:val="none"/>
              </w:rPr>
              <w:t xml:space="preserve"> σύμφωνα με τα άρθρα 401 έως 403 του</w:t>
            </w:r>
            <w:r>
              <w:rPr>
                <w:rStyle w:val="FormatvorlageInstructionsTabelleText"/>
                <w:rFonts w:ascii="Times New Roman" w:hAnsi="Times New Roman"/>
                <w:sz w:val="24"/>
              </w:rPr>
              <w:t xml:space="preserve"> ΚΚΑ</w:t>
            </w:r>
            <w:r>
              <w:rPr>
                <w:rStyle w:val="InstructionsTabelleberschrift"/>
                <w:rFonts w:ascii="Times New Roman" w:hAnsi="Times New Roman"/>
                <w:b w:val="0"/>
                <w:sz w:val="24"/>
                <w:u w:val="none"/>
              </w:rPr>
              <w:t xml:space="preserve">. </w:t>
            </w:r>
          </w:p>
          <w:p w:rsidR="00BB3751" w:rsidRPr="00384ADB" w:rsidRDefault="00BB3751" w:rsidP="004675B7">
            <w:pPr>
              <w:spacing w:before="0" w:after="0"/>
              <w:rPr>
                <w:rStyle w:val="InstructionsTabelleberschrift"/>
                <w:rFonts w:ascii="Times New Roman" w:hAnsi="Times New Roman"/>
                <w:b w:val="0"/>
                <w:sz w:val="24"/>
                <w:u w:val="none"/>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Οι τεχνικές CRM μπορούν να έχουν τρία διαφορετικά αποτελέσματα στο καθεστώς για τα μεγάλα ανοίγματα: αποτέλεσμα υποκατάστασης· χρηματ</w:t>
            </w:r>
            <w:r>
              <w:rPr>
                <w:rStyle w:val="InstructionsTabelleberschrift"/>
                <w:rFonts w:ascii="Times New Roman" w:hAnsi="Times New Roman"/>
                <w:b w:val="0"/>
                <w:sz w:val="24"/>
                <w:u w:val="none"/>
              </w:rPr>
              <w:t>ο</w:t>
            </w:r>
            <w:r>
              <w:rPr>
                <w:rStyle w:val="InstructionsTabelleberschrift"/>
                <w:rFonts w:ascii="Times New Roman" w:hAnsi="Times New Roman"/>
                <w:b w:val="0"/>
                <w:sz w:val="24"/>
                <w:u w:val="none"/>
              </w:rPr>
              <w:t>δοτούμενη πιστωτική προστασία εκτός του αποτελέσματος υποκατάστασης· και αντιμετώπιση των ακινήτων.</w:t>
            </w:r>
          </w:p>
          <w:p w:rsidR="00BB3751" w:rsidRPr="00384ADB" w:rsidRDefault="00BB3751" w:rsidP="00E02226">
            <w:pPr>
              <w:spacing w:before="0" w:after="0"/>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240-290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Αποτέλεσμα υποκατάστασης των επιλέξιμων τεχνικών μείωσης του πιστωτικού κινδύνου</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9317F"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403 του </w:t>
            </w:r>
            <w:r>
              <w:rPr>
                <w:rStyle w:val="FormatvorlageInstructionsTabelleText"/>
                <w:rFonts w:ascii="Times New Roman" w:hAnsi="Times New Roman"/>
                <w:sz w:val="24"/>
              </w:rPr>
              <w:t>ΚΚΑ</w:t>
            </w:r>
          </w:p>
          <w:p w:rsidR="00B0191A" w:rsidRPr="0039317F" w:rsidRDefault="00B0191A" w:rsidP="000F0ADE">
            <w:pPr>
              <w:pStyle w:val="InstructionsText"/>
              <w:rPr>
                <w:rStyle w:val="InstructionsTabelleberschrift"/>
                <w:rFonts w:ascii="Times New Roman" w:hAnsi="Times New Roman"/>
                <w:b w:val="0"/>
                <w:sz w:val="24"/>
                <w:u w:val="none"/>
              </w:rPr>
            </w:pPr>
          </w:p>
          <w:p w:rsidR="00B0191A" w:rsidRPr="0039317F" w:rsidRDefault="00BB3751" w:rsidP="000F0ADE">
            <w:pPr>
              <w:pStyle w:val="InstructionsText"/>
            </w:pPr>
            <w:r>
              <w:rPr>
                <w:rStyle w:val="InstructionsTabelleberschrift"/>
                <w:rFonts w:ascii="Times New Roman" w:hAnsi="Times New Roman"/>
                <w:b w:val="0"/>
                <w:sz w:val="24"/>
                <w:u w:val="none"/>
              </w:rPr>
              <w:t>Το ποσό της χρηματοδοτούμενης και μη χρηματοδοτούμενης πιστωτικής προστασίας που αναφέρεται στις στήλες αυτές αντιστοιχεί στα ανοίγματα που καλύπτονται από εγγύηση</w:t>
            </w:r>
            <w:r>
              <w:t xml:space="preserve"> από τρίτους ή καλύπτονται από εξασφαλίσεις που εξέδωσε τρίτος, εάν το ίδρυμα αποφασίσει να αντιμετωπίσει το άνοιγμα όπως υφίσταται έναντι του εγγυητή ή του εκδότη των εξασφαλίσεων.</w:t>
            </w:r>
          </w:p>
          <w:p w:rsidR="00B0191A" w:rsidRPr="00384ADB" w:rsidRDefault="00B0191A">
            <w:pPr>
              <w:pStyle w:val="InstructionsText"/>
              <w:rPr>
                <w:rStyle w:val="InstructionsTabelleberschrift"/>
                <w:rFonts w:ascii="Times New Roman" w:hAnsi="Times New Roman"/>
                <w:b w:val="0"/>
                <w:bCs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Χρεωστικοί τίτλοι</w:t>
            </w:r>
          </w:p>
          <w:p w:rsidR="00BB3751" w:rsidRPr="00384ADB" w:rsidRDefault="00BB3751" w:rsidP="0039317F">
            <w:pPr>
              <w:pStyle w:val="InstructionsText"/>
              <w:rPr>
                <w:rStyle w:val="InstructionsTabelleberschrif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στήλη 060.</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Μέσα μετοχικού κεφαλαίου</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Βλέπε στήλη 070.</w:t>
            </w:r>
          </w:p>
          <w:p w:rsidR="00B0191A" w:rsidRPr="00384ADB" w:rsidRDefault="00B0191A" w:rsidP="000F0ADE">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Παράγωγα</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στήλη 080.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rsidR="00BB3751" w:rsidRPr="00384ADB" w:rsidRDefault="00BB3751" w:rsidP="0039317F">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Στοιχεία εκτός ισολογισμού</w:t>
            </w:r>
          </w:p>
          <w:p w:rsidR="00BB3751" w:rsidRPr="00384ADB" w:rsidRDefault="00BB3751" w:rsidP="0039317F">
            <w:pPr>
              <w:pStyle w:val="InstructionsText"/>
              <w:rPr>
                <w:rStyle w:val="InstructionsTabelleberschrift"/>
                <w:rFonts w:ascii="Times New Roman" w:hAnsi="Times New Roman"/>
                <w:b w:val="0"/>
                <w:sz w:val="24"/>
              </w:rPr>
            </w:pPr>
          </w:p>
          <w:p w:rsidR="00BB3751" w:rsidRPr="00384ADB" w:rsidRDefault="00BB3751" w:rsidP="00B9340F">
            <w:pPr>
              <w:spacing w:before="0" w:after="0"/>
              <w:rPr>
                <w:rFonts w:ascii="Times New Roman" w:hAnsi="Times New Roman"/>
                <w:bCs/>
                <w:sz w:val="24"/>
              </w:rPr>
            </w:pPr>
            <w:r>
              <w:rPr>
                <w:rFonts w:ascii="Times New Roman" w:hAnsi="Times New Roman"/>
                <w:sz w:val="24"/>
              </w:rPr>
              <w:t>Οι στήλες αυτές συμπληρώνονται με την αξία, χωρίς την εφαρμογή των σ</w:t>
            </w:r>
            <w:r>
              <w:rPr>
                <w:rFonts w:ascii="Times New Roman" w:hAnsi="Times New Roman"/>
                <w:sz w:val="24"/>
              </w:rPr>
              <w:t>υ</w:t>
            </w:r>
            <w:r>
              <w:rPr>
                <w:rFonts w:ascii="Times New Roman" w:hAnsi="Times New Roman"/>
                <w:sz w:val="24"/>
              </w:rPr>
              <w:t>ντελεστών μετατροπής.</w:t>
            </w:r>
          </w:p>
          <w:p w:rsidR="00BB3751" w:rsidRPr="00384ADB" w:rsidRDefault="00BB3751" w:rsidP="0039317F">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Δανειακές δεσμεύσεις</w:t>
            </w:r>
          </w:p>
          <w:p w:rsidR="00BB3751" w:rsidRPr="00384ADB" w:rsidRDefault="00BB3751" w:rsidP="0039317F">
            <w:pPr>
              <w:pStyle w:val="InstructionsText"/>
              <w:rPr>
                <w:rStyle w:val="FormatvorlageInstructionsTabelleTex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στήλη 090.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Χρηματοοικονομικές εγγυήσεις</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στήλη 100.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Άλλες δεσμεύσεις</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στήλη 110.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Χρηματοδοτούμενη πιστωτική προστασία εκτός του αποτελέσματος υποκατάστασης</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401 του </w:t>
            </w:r>
            <w:r>
              <w:rPr>
                <w:rStyle w:val="FormatvorlageInstructionsTabelleText"/>
                <w:rFonts w:ascii="Times New Roman" w:hAnsi="Times New Roman"/>
                <w:sz w:val="24"/>
              </w:rPr>
              <w:t>ΚΚΑ</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ίδρυμα αναφέρει τα ποσά της χρηματοδοτούμενης πιστωτικής προστασ</w:t>
            </w:r>
            <w:r>
              <w:rPr>
                <w:rStyle w:val="InstructionsTabelleberschrift"/>
                <w:rFonts w:ascii="Times New Roman" w:hAnsi="Times New Roman"/>
                <w:b w:val="0"/>
                <w:sz w:val="24"/>
                <w:u w:val="none"/>
              </w:rPr>
              <w:t>ί</w:t>
            </w:r>
            <w:r>
              <w:rPr>
                <w:rStyle w:val="InstructionsTabelleberschrift"/>
                <w:rFonts w:ascii="Times New Roman" w:hAnsi="Times New Roman"/>
                <w:b w:val="0"/>
                <w:sz w:val="24"/>
                <w:u w:val="none"/>
              </w:rPr>
              <w:t>ας, όπως ορίζεται στο άρθρο 4 παράγραφος 1 σημείο 58) του</w:t>
            </w:r>
            <w:r>
              <w:rPr>
                <w:rStyle w:val="FormatvorlageInstructionsTabelleText"/>
                <w:rFonts w:ascii="Times New Roman" w:hAnsi="Times New Roman"/>
                <w:sz w:val="24"/>
              </w:rPr>
              <w:t xml:space="preserve"> ΚΚΑ</w:t>
            </w:r>
            <w:r>
              <w:rPr>
                <w:rStyle w:val="InstructionsTabelleberschrift"/>
                <w:rFonts w:ascii="Times New Roman" w:hAnsi="Times New Roman"/>
                <w:b w:val="0"/>
                <w:sz w:val="24"/>
                <w:u w:val="none"/>
              </w:rPr>
              <w:t xml:space="preserve">, που </w:t>
            </w:r>
            <w:r>
              <w:rPr>
                <w:rStyle w:val="InstructionsTabelleberschrift"/>
                <w:rFonts w:ascii="Times New Roman" w:hAnsi="Times New Roman"/>
                <w:b w:val="0"/>
                <w:sz w:val="24"/>
                <w:u w:val="none"/>
              </w:rPr>
              <w:t>α</w:t>
            </w:r>
            <w:r>
              <w:rPr>
                <w:rStyle w:val="InstructionsTabelleberschrift"/>
                <w:rFonts w:ascii="Times New Roman" w:hAnsi="Times New Roman"/>
                <w:b w:val="0"/>
                <w:sz w:val="24"/>
                <w:u w:val="none"/>
              </w:rPr>
              <w:t>φαιρούνται από την αξία ανοίγματος λόγω της εφαρμογής του άρθρου 401 του</w:t>
            </w:r>
            <w:r>
              <w:rPr>
                <w:rStyle w:val="FormatvorlageInstructionsTabelleText"/>
                <w:rFonts w:ascii="Times New Roman" w:hAnsi="Times New Roman"/>
                <w:sz w:val="24"/>
              </w:rPr>
              <w:t xml:space="preserve"> ΚΚΑ</w:t>
            </w:r>
            <w:r>
              <w:rPr>
                <w:rStyle w:val="InstructionsTabelleberschrift"/>
                <w:rFonts w:ascii="Times New Roman" w:hAnsi="Times New Roman"/>
                <w:b w:val="0"/>
                <w:sz w:val="24"/>
                <w:u w:val="none"/>
              </w:rPr>
              <w:t>.</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Ακίνητα</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402 του </w:t>
            </w:r>
            <w:r>
              <w:rPr>
                <w:rStyle w:val="FormatvorlageInstructionsTabelleText"/>
                <w:rFonts w:ascii="Times New Roman" w:hAnsi="Times New Roman"/>
                <w:sz w:val="24"/>
              </w:rPr>
              <w:t>ΚΚΑ</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ίδρυμα αναφέρει τα ποσά που αφαιρούνται από την αξία ανοίγματος λ</w:t>
            </w:r>
            <w:r>
              <w:rPr>
                <w:rStyle w:val="InstructionsTabelleberschrift"/>
                <w:rFonts w:ascii="Times New Roman" w:hAnsi="Times New Roman"/>
                <w:b w:val="0"/>
                <w:sz w:val="24"/>
                <w:u w:val="none"/>
              </w:rPr>
              <w:t>ό</w:t>
            </w:r>
            <w:r>
              <w:rPr>
                <w:rStyle w:val="InstructionsTabelleberschrift"/>
                <w:rFonts w:ascii="Times New Roman" w:hAnsi="Times New Roman"/>
                <w:b w:val="0"/>
                <w:sz w:val="24"/>
                <w:u w:val="none"/>
              </w:rPr>
              <w:t xml:space="preserve">γω της εφαρμογής του άρθρου 402 του </w:t>
            </w:r>
            <w:r>
              <w:rPr>
                <w:rStyle w:val="FormatvorlageInstructionsTabelleText"/>
                <w:rFonts w:ascii="Times New Roman" w:hAnsi="Times New Roman"/>
                <w:sz w:val="24"/>
              </w:rPr>
              <w:t>ΚΚΑ</w:t>
            </w:r>
            <w:r>
              <w:rPr>
                <w:rStyle w:val="InstructionsTabelleberschrift"/>
                <w:rFonts w:ascii="Times New Roman" w:hAnsi="Times New Roman"/>
                <w:b w:val="0"/>
                <w:sz w:val="24"/>
                <w:u w:val="none"/>
              </w:rPr>
              <w:t>.</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Ποσά που εξαιρούνται</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Άρθρο 400 του </w:t>
            </w:r>
            <w:r>
              <w:rPr>
                <w:rStyle w:val="FormatvorlageInstructionsTabelleText"/>
                <w:rFonts w:ascii="Times New Roman" w:hAnsi="Times New Roman"/>
                <w:sz w:val="24"/>
              </w:rPr>
              <w:t>ΚΚΑ</w:t>
            </w:r>
          </w:p>
          <w:p w:rsidR="00BB3751" w:rsidRPr="00384ADB" w:rsidRDefault="00BB3751" w:rsidP="00054652">
            <w:pPr>
              <w:spacing w:before="0" w:after="0"/>
              <w:rPr>
                <w:rStyle w:val="FormatvorlageInstructionsTabelleText"/>
                <w:rFonts w:ascii="Times New Roman" w:hAnsi="Times New Roman"/>
                <w:sz w:val="24"/>
              </w:rPr>
            </w:pPr>
          </w:p>
          <w:p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Το ίδρυμα αναφέρει τα </w:t>
            </w:r>
            <w:r>
              <w:rPr>
                <w:rStyle w:val="FormatvorlageInstructionsTabelleText"/>
                <w:rFonts w:ascii="Times New Roman" w:hAnsi="Times New Roman"/>
                <w:sz w:val="24"/>
              </w:rPr>
              <w:t>ποσά που εξαιρούνται από το καθεστώς για τα μεγ</w:t>
            </w:r>
            <w:r>
              <w:rPr>
                <w:rStyle w:val="FormatvorlageInstructionsTabelleText"/>
                <w:rFonts w:ascii="Times New Roman" w:hAnsi="Times New Roman"/>
                <w:sz w:val="24"/>
              </w:rPr>
              <w:t>ά</w:t>
            </w:r>
            <w:r>
              <w:rPr>
                <w:rStyle w:val="FormatvorlageInstructionsTabelleText"/>
                <w:rFonts w:ascii="Times New Roman" w:hAnsi="Times New Roman"/>
                <w:sz w:val="24"/>
              </w:rPr>
              <w:t>λα ανοίγματα.</w:t>
            </w:r>
          </w:p>
          <w:p w:rsidR="00BB3751" w:rsidRPr="00384ADB" w:rsidRDefault="00BB3751" w:rsidP="006344BC">
            <w:pPr>
              <w:spacing w:before="0" w:after="0"/>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Αξία ανοίγματος μετά την εφαρμογή των εξαιρέσεων και των τεχνικών CRM</w:t>
            </w:r>
          </w:p>
          <w:p w:rsidR="00BB3751" w:rsidRPr="0039317F" w:rsidRDefault="00BB3751" w:rsidP="0039317F">
            <w:pPr>
              <w:pStyle w:val="InstructionsText"/>
            </w:pPr>
          </w:p>
          <w:p w:rsidR="00BB3751" w:rsidRPr="0039317F" w:rsidRDefault="00BB3751" w:rsidP="0039317F">
            <w:pPr>
              <w:pStyle w:val="InstructionsText"/>
            </w:pPr>
            <w:r>
              <w:t xml:space="preserve">Άρθρο 394 παράγραφος 1 στοιχείο δ) του </w:t>
            </w:r>
            <w:r>
              <w:rPr>
                <w:rStyle w:val="FormatvorlageInstructionsTabelleText"/>
                <w:rFonts w:ascii="Times New Roman" w:hAnsi="Times New Roman"/>
                <w:sz w:val="24"/>
              </w:rPr>
              <w:t>ΚΚΑ</w:t>
            </w:r>
          </w:p>
          <w:p w:rsidR="00B0191A" w:rsidRPr="0039317F" w:rsidRDefault="00B0191A" w:rsidP="000F0ADE">
            <w:pPr>
              <w:pStyle w:val="InstructionsText"/>
            </w:pPr>
          </w:p>
          <w:p w:rsidR="00B0191A" w:rsidRPr="0039317F" w:rsidRDefault="0054768B">
            <w:pPr>
              <w:pStyle w:val="InstructionsText"/>
            </w:pPr>
            <w:r>
              <w:t>Το ίδρυμα αναφέρει την αξία του ανοίγματος, αφού ληφθεί υπόψη η επ</w:t>
            </w:r>
            <w:r>
              <w:t>ί</w:t>
            </w:r>
            <w:r>
              <w:t xml:space="preserve">δραση των εξαιρέσεων και των τεχνικών μείωσης του πιστωτικού κινδύνου, όπως υπολογίζεται για τους σκοπούς του άρθρου 395 παράγραφος 1 του </w:t>
            </w:r>
            <w:r>
              <w:rPr>
                <w:rStyle w:val="FormatvorlageInstructionsTabelleText"/>
                <w:rFonts w:ascii="Times New Roman" w:hAnsi="Times New Roman"/>
                <w:sz w:val="24"/>
              </w:rPr>
              <w:t>ΚΚΑ</w:t>
            </w:r>
            <w:r>
              <w:t>.</w:t>
            </w:r>
          </w:p>
          <w:p w:rsidR="00B0191A" w:rsidRPr="00384ADB" w:rsidRDefault="00B0191A">
            <w:pPr>
              <w:pStyle w:val="InstructionsText"/>
              <w:rPr>
                <w:rStyle w:val="InstructionsTabelleberschrift"/>
                <w:rFonts w:ascii="Times New Roman" w:hAnsi="Times New Roman"/>
                <w:bCs w:val="0"/>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Σύνολο</w:t>
            </w:r>
          </w:p>
          <w:p w:rsidR="00BB3751" w:rsidRPr="00384ADB" w:rsidRDefault="00BB3751" w:rsidP="0039317F">
            <w:pPr>
              <w:pStyle w:val="InstructionsText"/>
            </w:pPr>
          </w:p>
          <w:p w:rsidR="00BB3751" w:rsidRPr="0039317F" w:rsidRDefault="00BB3751" w:rsidP="000F0ADE">
            <w:pPr>
              <w:pStyle w:val="InstructionsText"/>
            </w:pPr>
            <w:r>
              <w:t>Η στήλη αυτή συμπληρώνεται με το ποσό που λαμβάνεται υπόψη για τη συμμόρφωση προς το όριο για μεγάλα ανοίγματα, που καθορίζεται στο ά</w:t>
            </w:r>
            <w:r>
              <w:t>ρ</w:t>
            </w:r>
            <w:r>
              <w:t>θρο 395 του ΚΚΑ.</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εκτός χαρτοφυλακίου συναλλαγών</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54768B"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ίδρυμα αναφέρει το συνολικό άνοιγμα μετά την εφαρμογή των εξαιρ</w:t>
            </w:r>
            <w:r>
              <w:rPr>
                <w:rStyle w:val="FormatvorlageInstructionsTabelleText"/>
                <w:rFonts w:ascii="Times New Roman" w:hAnsi="Times New Roman"/>
                <w:sz w:val="24"/>
              </w:rPr>
              <w:t>έ</w:t>
            </w:r>
            <w:r>
              <w:rPr>
                <w:rStyle w:val="FormatvorlageInstructionsTabelleText"/>
                <w:rFonts w:ascii="Times New Roman" w:hAnsi="Times New Roman"/>
                <w:sz w:val="24"/>
              </w:rPr>
              <w:t>σεων και αφού ληφθεί υπόψη η επίδραση των τεχνικών CRM για τα στο</w:t>
            </w:r>
            <w:r>
              <w:rPr>
                <w:rStyle w:val="FormatvorlageInstructionsTabelleText"/>
                <w:rFonts w:ascii="Times New Roman" w:hAnsi="Times New Roman"/>
                <w:sz w:val="24"/>
              </w:rPr>
              <w:t>ι</w:t>
            </w:r>
            <w:r>
              <w:rPr>
                <w:rStyle w:val="FormatvorlageInstructionsTabelleText"/>
                <w:rFonts w:ascii="Times New Roman" w:hAnsi="Times New Roman"/>
                <w:sz w:val="24"/>
              </w:rPr>
              <w:t>χεία εκτός χαρτοφυλακίου συναλλαγών.</w:t>
            </w:r>
          </w:p>
          <w:p w:rsidR="00BB3751" w:rsidRPr="00384ADB" w:rsidRDefault="00BB3751">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του αποδεκτού κεφαλαίου</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54768B" w:rsidP="00BE2D91">
            <w:pPr>
              <w:spacing w:before="0" w:after="0"/>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Το ίδρυμα αναφέρει </w:t>
            </w:r>
            <w:r>
              <w:rPr>
                <w:rStyle w:val="InstructionsTabelleberschrift"/>
                <w:rFonts w:ascii="Times New Roman" w:hAnsi="Times New Roman"/>
                <w:b w:val="0"/>
                <w:sz w:val="24"/>
                <w:u w:val="none"/>
              </w:rPr>
              <w:t xml:space="preserve">το ποσοστό της αξίας ανοίγματος, μετά την εφαρμογή των εξαιρέσεων και των τεχνικών CRM, ως προς το αποδεκτό κεφάλαιο του ιδρύματος, όπως ορίζεται στο άρθρο 4 παράγραφος 1 σημείο 71) στοιχείο β) του </w:t>
            </w:r>
            <w:r>
              <w:rPr>
                <w:rStyle w:val="FormatvorlageInstructionsTabelleText"/>
                <w:rFonts w:ascii="Times New Roman" w:hAnsi="Times New Roman"/>
                <w:sz w:val="24"/>
              </w:rPr>
              <w:t>ΚΚΑ</w:t>
            </w:r>
            <w:r>
              <w:rPr>
                <w:rStyle w:val="InstructionsTabelleberschrift"/>
                <w:rFonts w:ascii="Times New Roman" w:hAnsi="Times New Roman"/>
                <w:b w:val="0"/>
                <w:sz w:val="24"/>
                <w:u w:val="none"/>
              </w:rPr>
              <w:t>.</w:t>
            </w:r>
          </w:p>
          <w:p w:rsidR="00BB3751" w:rsidRPr="00384ADB" w:rsidRDefault="00BB3751" w:rsidP="0039317F">
            <w:pPr>
              <w:pStyle w:val="InstructionsText"/>
              <w:rPr>
                <w:rStyle w:val="InstructionsTabelleberschrift"/>
                <w:rFonts w:ascii="Times New Roman" w:hAnsi="Times New Roman"/>
                <w:sz w:val="24"/>
              </w:rPr>
            </w:pPr>
          </w:p>
        </w:tc>
      </w:tr>
    </w:tbl>
    <w:p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34" w:name="_Toc358305157"/>
      <w:bookmarkStart w:id="35" w:name="_Toc393461963"/>
      <w:bookmarkStart w:id="36" w:name="_Toc524267404"/>
      <w:r>
        <w:rPr>
          <w:rFonts w:ascii="Times New Roman" w:hAnsi="Times New Roman"/>
          <w:b/>
          <w:sz w:val="24"/>
          <w:u w:val="none"/>
        </w:rPr>
        <w:t>C 29.00 – Λεπτομέρειες των ανοιγμάτων έναντι μεμονωμένων πελατών εντός ομάδων συνδεδεμένων πελατών</w:t>
      </w:r>
      <w:bookmarkEnd w:id="34"/>
      <w:r>
        <w:rPr>
          <w:rFonts w:ascii="Times New Roman" w:hAnsi="Times New Roman"/>
          <w:b/>
          <w:sz w:val="24"/>
          <w:u w:val="none"/>
        </w:rPr>
        <w:t xml:space="preserve"> (LE 3)</w:t>
      </w:r>
      <w:bookmarkEnd w:id="35"/>
      <w:bookmarkEnd w:id="36"/>
    </w:p>
    <w:p w:rsidR="003105C6" w:rsidRPr="00384ADB" w:rsidRDefault="003105C6" w:rsidP="00C52CE2">
      <w:pPr>
        <w:pStyle w:val="Instructionsberschrift2"/>
        <w:numPr>
          <w:ilvl w:val="1"/>
          <w:numId w:val="22"/>
        </w:numPr>
        <w:rPr>
          <w:rFonts w:ascii="Times New Roman" w:hAnsi="Times New Roman" w:cs="Times New Roman"/>
          <w:sz w:val="24"/>
        </w:rPr>
      </w:pPr>
      <w:bookmarkStart w:id="37" w:name="_Toc308175824"/>
      <w:bookmarkStart w:id="38" w:name="_Toc310414970"/>
      <w:bookmarkStart w:id="39" w:name="_Toc358305158"/>
      <w:bookmarkStart w:id="40" w:name="_Toc393461964"/>
      <w:bookmarkStart w:id="41" w:name="_Toc524267405"/>
      <w:r>
        <w:rPr>
          <w:rFonts w:ascii="Times New Roman" w:hAnsi="Times New Roman"/>
          <w:sz w:val="24"/>
        </w:rPr>
        <w:t xml:space="preserve">Οδηγίες για συγκεκριμένες </w:t>
      </w:r>
      <w:bookmarkEnd w:id="37"/>
      <w:bookmarkEnd w:id="38"/>
      <w:r>
        <w:rPr>
          <w:rFonts w:ascii="Times New Roman" w:hAnsi="Times New Roman"/>
          <w:sz w:val="24"/>
        </w:rPr>
        <w:t>στήλες</w:t>
      </w:r>
      <w:bookmarkEnd w:id="39"/>
      <w:bookmarkEnd w:id="40"/>
      <w:bookmarkEnd w:id="41"/>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rsidTr="00E17043">
        <w:tc>
          <w:tcPr>
            <w:tcW w:w="1418" w:type="dxa"/>
            <w:shd w:val="clear" w:color="auto" w:fill="D9D9D9"/>
          </w:tcPr>
          <w:p w:rsidR="005514AF" w:rsidRPr="00384ADB" w:rsidRDefault="005514AF"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Στήλη</w:t>
            </w:r>
          </w:p>
        </w:tc>
        <w:tc>
          <w:tcPr>
            <w:tcW w:w="7620" w:type="dxa"/>
            <w:shd w:val="clear" w:color="auto" w:fill="D9D9D9"/>
          </w:tcPr>
          <w:p w:rsidR="005514AF" w:rsidRPr="00384ADB" w:rsidRDefault="005514AF"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Νομικά κείμενα αναφοράς και οδηγίες</w:t>
            </w:r>
          </w:p>
        </w:tc>
      </w:tr>
      <w:tr w:rsidR="005514AF" w:rsidRPr="00384ADB" w:rsidTr="00E17043">
        <w:tc>
          <w:tcPr>
            <w:tcW w:w="1418" w:type="dxa"/>
          </w:tcPr>
          <w:p w:rsidR="005514A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rsidR="00704405" w:rsidRPr="00384ADB" w:rsidRDefault="00704405" w:rsidP="0039317F">
            <w:pPr>
              <w:pStyle w:val="InstructionsText"/>
            </w:pPr>
          </w:p>
          <w:p w:rsidR="005514AF" w:rsidRPr="00384ADB" w:rsidRDefault="00BA7374" w:rsidP="0039317F">
            <w:pPr>
              <w:pStyle w:val="InstructionsText"/>
              <w:rPr>
                <w:rStyle w:val="FormatvorlageInstructionsTabelleText"/>
                <w:rFonts w:ascii="Times New Roman" w:hAnsi="Times New Roman"/>
                <w:sz w:val="24"/>
              </w:rPr>
            </w:pPr>
            <w:r>
              <w:lastRenderedPageBreak/>
              <w:t>Το ίδρυμα αναφέρει στο υπόδειγμα LE3 τα στοιχεία των μεμονωμένων π</w:t>
            </w:r>
            <w:r>
              <w:t>ε</w:t>
            </w:r>
            <w:r>
              <w:t>λατών που ανήκουν στις ομάδες συνδεδεμένων πελατών που περιλαμβάν</w:t>
            </w:r>
            <w:r>
              <w:t>ο</w:t>
            </w:r>
            <w:r>
              <w:t xml:space="preserve">νται στις γραμμές του υποδείγματος LE2. </w:t>
            </w:r>
          </w:p>
          <w:p w:rsidR="009F75EC" w:rsidRPr="00384ADB" w:rsidRDefault="009F75EC" w:rsidP="000F0ADE">
            <w:pPr>
              <w:pStyle w:val="InstructionsText"/>
              <w:rPr>
                <w:rStyle w:val="InstructionsTabelleberschrift"/>
                <w:rFonts w:ascii="Times New Roman" w:hAnsi="Times New Roman"/>
                <w:b w:val="0"/>
                <w:sz w:val="24"/>
                <w:u w:val="none"/>
              </w:rPr>
            </w:pPr>
          </w:p>
        </w:tc>
      </w:tr>
      <w:tr w:rsidR="006E7C46" w:rsidRPr="00384ADB" w:rsidTr="00383747">
        <w:trPr>
          <w:trHeight w:val="1203"/>
        </w:trPr>
        <w:tc>
          <w:tcPr>
            <w:tcW w:w="1418" w:type="dxa"/>
          </w:tcPr>
          <w:p w:rsidR="006E7C46"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010</w:t>
            </w:r>
          </w:p>
        </w:tc>
        <w:tc>
          <w:tcPr>
            <w:tcW w:w="7620" w:type="dxa"/>
          </w:tcPr>
          <w:p w:rsidR="006E7C46" w:rsidRPr="00384ADB" w:rsidRDefault="006E7C4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Κωδικός</w:t>
            </w:r>
          </w:p>
          <w:p w:rsidR="006E7C46" w:rsidRPr="00384ADB" w:rsidRDefault="006E7C46" w:rsidP="0039317F">
            <w:pPr>
              <w:pStyle w:val="InstructionsText"/>
              <w:rPr>
                <w:rStyle w:val="InstructionsTabelleberschrift"/>
                <w:rFonts w:ascii="Times New Roman" w:hAnsi="Times New Roman"/>
                <w:b w:val="0"/>
                <w:sz w:val="24"/>
                <w:u w:val="none"/>
              </w:rPr>
            </w:pPr>
          </w:p>
          <w:p w:rsidR="00BD0674" w:rsidRPr="00384ADB" w:rsidRDefault="00BD0674"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Οι στήλες 010 και 020 είναι σύνθετος αναγνωριστικός κωδικός γραμμής, και από κοινού πρέπει να είναι μοναδικός για κάθε γραμμή του πίνακα.</w:t>
            </w:r>
          </w:p>
          <w:p w:rsidR="00C53963" w:rsidRPr="00384ADB"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Αναφέρεται ο κωδικός των μεμονωμένων αντισυμβαλλομένων που ανήκουν στις ομάδες συνδεδεμένων πελατών.</w:t>
            </w:r>
          </w:p>
          <w:p w:rsidR="00C53963" w:rsidRPr="00384ADB" w:rsidRDefault="00C53963">
            <w:pPr>
              <w:pStyle w:val="InstructionsText"/>
              <w:rPr>
                <w:rStyle w:val="InstructionsTabelleberschrift"/>
                <w:rFonts w:ascii="Times New Roman" w:hAnsi="Times New Roman"/>
                <w:sz w:val="24"/>
              </w:rPr>
            </w:pPr>
          </w:p>
        </w:tc>
      </w:tr>
      <w:tr w:rsidR="00FC221F" w:rsidRPr="00384ADB" w:rsidTr="00383747">
        <w:trPr>
          <w:trHeight w:val="1203"/>
        </w:trPr>
        <w:tc>
          <w:tcPr>
            <w:tcW w:w="1418" w:type="dxa"/>
          </w:tcPr>
          <w:p w:rsidR="00FC221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FC221F" w:rsidRPr="00384ADB" w:rsidRDefault="00FC221F"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Κωδικός ομάδας</w:t>
            </w:r>
          </w:p>
          <w:p w:rsidR="00FC221F" w:rsidRPr="00384ADB" w:rsidRDefault="00FC221F" w:rsidP="0039317F">
            <w:pPr>
              <w:pStyle w:val="InstructionsText"/>
              <w:rPr>
                <w:rStyle w:val="InstructionsTabelleberschrift"/>
                <w:rFonts w:ascii="Times New Roman" w:hAnsi="Times New Roman"/>
                <w:sz w:val="24"/>
              </w:rPr>
            </w:pPr>
          </w:p>
          <w:p w:rsidR="00BD0674" w:rsidRDefault="00BD0674"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Οι στήλες 010 και 020 είναι σύνθετος αναγνωριστικός κωδικός γραμμής, και από κοινού πρέπει να είναι μοναδικός για κάθε γραμμή του πίνακα.</w:t>
            </w:r>
          </w:p>
          <w:p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Εάν είναι διαθέσιμος σε εθνικό επίπεδο μοναδικός κωδικός για μια ομάδα συνδεδεμένων πελατών, αναφέρεται ο κωδικός αυτός. Εάν δεν υπάρχει μ</w:t>
            </w:r>
            <w:r>
              <w:rPr>
                <w:rStyle w:val="InstructionsTabelleberschrift"/>
                <w:rFonts w:ascii="Times New Roman" w:hAnsi="Times New Roman"/>
                <w:b w:val="0"/>
                <w:sz w:val="24"/>
                <w:u w:val="none"/>
              </w:rPr>
              <w:t>ο</w:t>
            </w:r>
            <w:r>
              <w:rPr>
                <w:rStyle w:val="InstructionsTabelleberschrift"/>
                <w:rFonts w:ascii="Times New Roman" w:hAnsi="Times New Roman"/>
                <w:b w:val="0"/>
                <w:sz w:val="24"/>
                <w:u w:val="none"/>
              </w:rPr>
              <w:t>ναδικός κωδικός σε εθνικό επίπεδο, ο κωδικός που αναφέρεται είναι ο κωδ</w:t>
            </w:r>
            <w:r>
              <w:rPr>
                <w:rStyle w:val="InstructionsTabelleberschrift"/>
                <w:rFonts w:ascii="Times New Roman" w:hAnsi="Times New Roman"/>
                <w:b w:val="0"/>
                <w:sz w:val="24"/>
                <w:u w:val="none"/>
              </w:rPr>
              <w:t>ι</w:t>
            </w:r>
            <w:r>
              <w:rPr>
                <w:rStyle w:val="InstructionsTabelleberschrift"/>
                <w:rFonts w:ascii="Times New Roman" w:hAnsi="Times New Roman"/>
                <w:b w:val="0"/>
                <w:sz w:val="24"/>
                <w:u w:val="none"/>
              </w:rPr>
              <w:t>κός που χρησιμοποιείται για την αναφορά ανοιγμάτων στο στοιχείο «Ομάδα συνδεδεμένων πελατών» στο υπόδειγμα C 28.00 (LE2).</w:t>
            </w:r>
          </w:p>
          <w:p w:rsidR="00B0191A" w:rsidRPr="00384ADB" w:rsidRDefault="00D46F08">
            <w:pPr>
              <w:pStyle w:val="InstructionsText"/>
              <w:rPr>
                <w:rStyle w:val="InstructionsTabelleberschrift"/>
                <w:rFonts w:ascii="Times New Roman" w:hAnsi="Times New Roman"/>
                <w:b w:val="0"/>
                <w:sz w:val="24"/>
                <w:u w:val="none"/>
              </w:rPr>
            </w:pPr>
            <w:r>
              <w:t xml:space="preserve">Όταν ένας πελάτης ανήκει σε διάφορες ομάδες συνδεδεμένων πελατών, </w:t>
            </w:r>
            <w:r>
              <w:t>α</w:t>
            </w:r>
            <w:r>
              <w:t>ναφέρεται ως μέλος όλων των ομάδων συνδεδεμένων πελατών.</w:t>
            </w:r>
            <w:r>
              <w:rPr>
                <w:rStyle w:val="InstructionsTabelleberschrift"/>
                <w:rFonts w:ascii="Times New Roman" w:hAnsi="Times New Roman"/>
                <w:b w:val="0"/>
                <w:sz w:val="24"/>
                <w:u w:val="none"/>
              </w:rPr>
              <w:t xml:space="preserve"> </w:t>
            </w:r>
          </w:p>
          <w:p w:rsidR="00B0191A" w:rsidRPr="00384ADB" w:rsidRDefault="00B0191A">
            <w:pPr>
              <w:pStyle w:val="InstructionsText"/>
              <w:rPr>
                <w:rStyle w:val="InstructionsTabelleberschrift"/>
                <w:rFonts w:ascii="Times New Roman" w:hAnsi="Times New Roman"/>
                <w:sz w:val="24"/>
              </w:rPr>
            </w:pPr>
          </w:p>
        </w:tc>
      </w:tr>
      <w:tr w:rsidR="006E7C46" w:rsidRPr="00384ADB" w:rsidTr="00E17043">
        <w:tc>
          <w:tcPr>
            <w:tcW w:w="1418" w:type="dxa"/>
          </w:tcPr>
          <w:p w:rsidR="006E7C46"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6E7C46" w:rsidRPr="00384ADB" w:rsidRDefault="006E7C4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Συναλλαγές όπου υπάρχει άνοιγμα σε υποκείμενα στοιχεία ενεργητικού </w:t>
            </w:r>
          </w:p>
          <w:p w:rsidR="006E7C46" w:rsidRPr="00384ADB" w:rsidRDefault="006E7C46" w:rsidP="0039317F">
            <w:pPr>
              <w:pStyle w:val="InstructionsText"/>
              <w:rPr>
                <w:rStyle w:val="FormatvorlageInstructionsTabelleText"/>
                <w:rFonts w:ascii="Times New Roman" w:hAnsi="Times New Roman"/>
                <w:sz w:val="24"/>
              </w:rPr>
            </w:pPr>
          </w:p>
          <w:p w:rsidR="003D3140" w:rsidRPr="00384ADB" w:rsidRDefault="003D3140"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στήλη 030 του υποδείγματος LE2.</w:t>
            </w:r>
          </w:p>
          <w:p w:rsidR="00B0191A" w:rsidRPr="00384ADB" w:rsidRDefault="00B0191A">
            <w:pPr>
              <w:pStyle w:val="InstructionsText"/>
              <w:rPr>
                <w:rStyle w:val="InstructionsTabelleberschrift"/>
                <w:rFonts w:ascii="Times New Roman" w:hAnsi="Times New Roman"/>
                <w:sz w:val="24"/>
              </w:rPr>
            </w:pPr>
          </w:p>
        </w:tc>
      </w:tr>
      <w:tr w:rsidR="005514AF" w:rsidRPr="00384ADB" w:rsidTr="00E17043">
        <w:tc>
          <w:tcPr>
            <w:tcW w:w="1418" w:type="dxa"/>
          </w:tcPr>
          <w:p w:rsidR="005514A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rsidR="005514AF" w:rsidRPr="00384ADB" w:rsidRDefault="00FC221F"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Είδος σύνδεσης</w:t>
            </w:r>
          </w:p>
          <w:p w:rsidR="005514AF" w:rsidRPr="00384ADB" w:rsidRDefault="005514AF" w:rsidP="0039317F">
            <w:pPr>
              <w:pStyle w:val="InstructionsText"/>
              <w:rPr>
                <w:rStyle w:val="FormatvorlageInstructionsTabelleText"/>
                <w:rFonts w:ascii="Times New Roman" w:hAnsi="Times New Roman"/>
                <w:b/>
                <w:sz w:val="24"/>
              </w:rPr>
            </w:pPr>
          </w:p>
          <w:p w:rsidR="00B05254" w:rsidRPr="00384ADB" w:rsidRDefault="00D46F08"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είδος της σύνδεσης μεταξύ της μεμονωμένης οντότητας και της ομάδας συνδεδεμένων πελατών προσδιορίζεται με τη χρήση είτε:</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052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«α», κατά την έννοια του άρθρου 4 παράγραφος 1 σημείο 39) στοιχείο α) του ΚΚΑ (έλεγχος)· είτε</w:t>
            </w:r>
          </w:p>
          <w:p w:rsidR="00B0191A" w:rsidRPr="00384ADB" w:rsidRDefault="00B052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 κατά την έννοια του άρθρου 4 παράγραφος 1 σημείο 39) στοιχείο β) του ΚΚΑ (διασύνδεση).</w:t>
            </w:r>
          </w:p>
          <w:p w:rsidR="00B0191A" w:rsidRPr="00384ADB" w:rsidRDefault="00B0191A">
            <w:pPr>
              <w:pStyle w:val="InstructionsText"/>
              <w:rPr>
                <w:rStyle w:val="FormatvorlageInstructionsTabelleText"/>
                <w:rFonts w:ascii="Times New Roman" w:hAnsi="Times New Roman"/>
                <w:b/>
                <w:sz w:val="24"/>
              </w:rPr>
            </w:pPr>
          </w:p>
        </w:tc>
      </w:tr>
      <w:tr w:rsidR="009F75EC" w:rsidRPr="00384ADB" w:rsidTr="009F75EC">
        <w:tc>
          <w:tcPr>
            <w:tcW w:w="1418" w:type="dxa"/>
          </w:tcPr>
          <w:p w:rsidR="009F75E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rsidR="00464111" w:rsidRPr="00384ADB" w:rsidRDefault="00464111" w:rsidP="0039317F">
            <w:pPr>
              <w:pStyle w:val="InstructionsText"/>
              <w:rPr>
                <w:rStyle w:val="InstructionsTabelleberschrift"/>
                <w:rFonts w:ascii="Times New Roman" w:hAnsi="Times New Roman"/>
                <w:b w:val="0"/>
                <w:sz w:val="24"/>
                <w:u w:val="none"/>
              </w:rPr>
            </w:pPr>
          </w:p>
          <w:p w:rsidR="00464111" w:rsidRPr="00384ADB" w:rsidRDefault="0046411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Όταν τα χρηματοοικονομικά μέσα του υποδείγματος LE2 παρέχονται σε </w:t>
            </w:r>
            <w:r>
              <w:rPr>
                <w:rStyle w:val="InstructionsTabelleberschrift"/>
                <w:rFonts w:ascii="Times New Roman" w:hAnsi="Times New Roman"/>
                <w:b w:val="0"/>
                <w:sz w:val="24"/>
                <w:u w:val="none"/>
              </w:rPr>
              <w:t>ο</w:t>
            </w:r>
            <w:r>
              <w:rPr>
                <w:rStyle w:val="InstructionsTabelleberschrift"/>
                <w:rFonts w:ascii="Times New Roman" w:hAnsi="Times New Roman"/>
                <w:b w:val="0"/>
                <w:sz w:val="24"/>
                <w:u w:val="none"/>
              </w:rPr>
              <w:t xml:space="preserve">λόκληρη την ομάδα συνδεδεμένων πελατών, κατανέμονται στους επιμέρους αντισυμβαλλομένους στο υπόδειγμα LE3, σύμφωνα με τα επιχειρηματικά κριτήρια του ιδρύματος. </w:t>
            </w:r>
          </w:p>
          <w:p w:rsidR="00667F2D" w:rsidRPr="00384ADB" w:rsidRDefault="00667F2D" w:rsidP="000F0ADE">
            <w:pPr>
              <w:pStyle w:val="InstructionsText"/>
              <w:rPr>
                <w:rStyle w:val="InstructionsTabelleberschrift"/>
                <w:rFonts w:ascii="Times New Roman" w:hAnsi="Times New Roman"/>
                <w:sz w:val="24"/>
              </w:rPr>
            </w:pPr>
          </w:p>
          <w:p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Οι υπόλοιπες οδηγίες είναι ίδιες με αυτές του υποδείγματος LE2.</w:t>
            </w:r>
          </w:p>
          <w:p w:rsidR="00B0191A" w:rsidRPr="00384ADB" w:rsidRDefault="00B0191A">
            <w:pPr>
              <w:pStyle w:val="InstructionsText"/>
              <w:rPr>
                <w:rStyle w:val="InstructionsTabelleberschrift"/>
                <w:rFonts w:ascii="Times New Roman" w:hAnsi="Times New Roman"/>
                <w:sz w:val="24"/>
              </w:rPr>
            </w:pPr>
          </w:p>
        </w:tc>
      </w:tr>
    </w:tbl>
    <w:p w:rsidR="00915A9C" w:rsidRPr="00384ADB" w:rsidRDefault="00BD0674" w:rsidP="00C52CE2">
      <w:pPr>
        <w:pStyle w:val="Instructionsberschrift2"/>
        <w:numPr>
          <w:ilvl w:val="0"/>
          <w:numId w:val="22"/>
        </w:numPr>
        <w:rPr>
          <w:rFonts w:ascii="Times New Roman" w:hAnsi="Times New Roman" w:cs="Times New Roman"/>
          <w:b/>
          <w:sz w:val="24"/>
          <w:u w:val="none"/>
        </w:rPr>
      </w:pPr>
      <w:bookmarkStart w:id="42" w:name="_Toc358305159"/>
      <w:bookmarkStart w:id="43" w:name="_Toc393461965"/>
      <w:bookmarkStart w:id="44" w:name="_Toc524267406"/>
      <w:bookmarkEnd w:id="0"/>
      <w:bookmarkEnd w:id="1"/>
      <w:r>
        <w:rPr>
          <w:rFonts w:ascii="Times New Roman" w:hAnsi="Times New Roman"/>
          <w:b/>
          <w:sz w:val="24"/>
          <w:u w:val="none"/>
        </w:rPr>
        <w:lastRenderedPageBreak/>
        <w:t>C 30.00 – Περίοδοι ληκτότητας των 10 μεγαλύτερων ανοιγμάτων σε ιδρύματα και των 10 μεγαλύτερων ανοιγμάτων σε μη ρυθμιζόμενες οντότητες του χρηματοπιστ</w:t>
      </w:r>
      <w:r>
        <w:rPr>
          <w:rFonts w:ascii="Times New Roman" w:hAnsi="Times New Roman"/>
          <w:b/>
          <w:sz w:val="24"/>
          <w:u w:val="none"/>
        </w:rPr>
        <w:t>ω</w:t>
      </w:r>
      <w:r>
        <w:rPr>
          <w:rFonts w:ascii="Times New Roman" w:hAnsi="Times New Roman"/>
          <w:b/>
          <w:sz w:val="24"/>
          <w:u w:val="none"/>
        </w:rPr>
        <w:t>τικού τομέα</w:t>
      </w:r>
      <w:bookmarkEnd w:id="42"/>
      <w:r>
        <w:rPr>
          <w:rFonts w:ascii="Times New Roman" w:hAnsi="Times New Roman"/>
          <w:b/>
          <w:sz w:val="24"/>
          <w:u w:val="none"/>
        </w:rPr>
        <w:t xml:space="preserve"> (υπόδειγμα LE 4)</w:t>
      </w:r>
      <w:bookmarkEnd w:id="43"/>
      <w:bookmarkEnd w:id="44"/>
    </w:p>
    <w:p w:rsidR="00915A9C" w:rsidRPr="00384ADB" w:rsidRDefault="00915A9C" w:rsidP="00C52CE2">
      <w:pPr>
        <w:pStyle w:val="Instructionsberschrift2"/>
        <w:numPr>
          <w:ilvl w:val="1"/>
          <w:numId w:val="22"/>
        </w:numPr>
        <w:rPr>
          <w:rFonts w:ascii="Times New Roman" w:hAnsi="Times New Roman" w:cs="Times New Roman"/>
          <w:sz w:val="24"/>
        </w:rPr>
      </w:pPr>
      <w:bookmarkStart w:id="45" w:name="_Toc358305160"/>
      <w:bookmarkStart w:id="46" w:name="_Toc393461966"/>
      <w:bookmarkStart w:id="47" w:name="_Toc524267407"/>
      <w:r>
        <w:rPr>
          <w:rFonts w:ascii="Times New Roman" w:hAnsi="Times New Roman"/>
          <w:sz w:val="24"/>
        </w:rPr>
        <w:t>Οδηγίες για συγκεκριμένες στήλες</w:t>
      </w:r>
      <w:bookmarkEnd w:id="45"/>
      <w:bookmarkEnd w:id="46"/>
      <w:bookmarkEnd w:id="4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915A9C" w:rsidRPr="00384ADB" w:rsidTr="00915A9C">
        <w:tc>
          <w:tcPr>
            <w:tcW w:w="1418" w:type="dxa"/>
            <w:shd w:val="clear" w:color="auto" w:fill="D9D9D9"/>
          </w:tcPr>
          <w:p w:rsidR="00915A9C" w:rsidRPr="00384ADB" w:rsidRDefault="00915A9C"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Στήλη</w:t>
            </w:r>
          </w:p>
        </w:tc>
        <w:tc>
          <w:tcPr>
            <w:tcW w:w="7620" w:type="dxa"/>
            <w:shd w:val="clear" w:color="auto" w:fill="D9D9D9"/>
          </w:tcPr>
          <w:p w:rsidR="00915A9C" w:rsidRPr="00384ADB" w:rsidRDefault="00915A9C"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Νομικά κείμενα αναφοράς και οδηγίες</w:t>
            </w:r>
          </w:p>
        </w:tc>
      </w:tr>
      <w:tr w:rsidR="00915A9C" w:rsidRPr="00384ADB" w:rsidTr="00915A9C">
        <w:tc>
          <w:tcPr>
            <w:tcW w:w="1418" w:type="dxa"/>
          </w:tcPr>
          <w:p w:rsidR="00915A9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915A9C" w:rsidRPr="00384ADB" w:rsidRDefault="00915A9C"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Κωδικός</w:t>
            </w:r>
          </w:p>
          <w:p w:rsidR="00915A9C" w:rsidRPr="00384ADB" w:rsidRDefault="00915A9C"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 κωδικός είναι αναγνωριστικός κωδικός γραμμής, και πρέπει να είναι μ</w:t>
            </w:r>
            <w:r>
              <w:rPr>
                <w:rStyle w:val="FormatvorlageInstructionsTabelleText"/>
                <w:rFonts w:ascii="Times New Roman" w:hAnsi="Times New Roman"/>
                <w:sz w:val="24"/>
              </w:rPr>
              <w:t>ο</w:t>
            </w:r>
            <w:r>
              <w:rPr>
                <w:rStyle w:val="FormatvorlageInstructionsTabelleText"/>
                <w:rFonts w:ascii="Times New Roman" w:hAnsi="Times New Roman"/>
                <w:sz w:val="24"/>
              </w:rPr>
              <w:t>ναδικός για κάθε γραμμή του πίνακα.</w:t>
            </w:r>
          </w:p>
          <w:p w:rsidR="00B0191A" w:rsidRPr="00384ADB" w:rsidRDefault="00915A9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στήλη 010 του υποδείγματος LE1.</w:t>
            </w:r>
          </w:p>
          <w:p w:rsidR="00B0191A" w:rsidRPr="00384ADB" w:rsidRDefault="00B0191A">
            <w:pPr>
              <w:pStyle w:val="InstructionsText"/>
              <w:rPr>
                <w:rStyle w:val="FormatvorlageInstructionsTabelleText"/>
                <w:rFonts w:ascii="Times New Roman" w:hAnsi="Times New Roman"/>
                <w:b/>
                <w:sz w:val="24"/>
              </w:rPr>
            </w:pPr>
          </w:p>
        </w:tc>
      </w:tr>
      <w:tr w:rsidR="00915A9C" w:rsidRPr="00384ADB" w:rsidTr="00915A9C">
        <w:tc>
          <w:tcPr>
            <w:tcW w:w="1418" w:type="dxa"/>
          </w:tcPr>
          <w:p w:rsidR="00915A9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020-250</w:t>
            </w:r>
          </w:p>
        </w:tc>
        <w:tc>
          <w:tcPr>
            <w:tcW w:w="7620" w:type="dxa"/>
          </w:tcPr>
          <w:p w:rsidR="00915A9C" w:rsidRPr="00384ADB" w:rsidRDefault="00915A9C"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Περίοδοι ληκτότητας του ανοίγματος</w:t>
            </w:r>
          </w:p>
          <w:p w:rsidR="00915A9C" w:rsidRPr="00384ADB" w:rsidRDefault="00915A9C" w:rsidP="0039317F">
            <w:pPr>
              <w:pStyle w:val="InstructionsText"/>
              <w:rPr>
                <w:rStyle w:val="InstructionsTabelleberschrift"/>
                <w:rFonts w:ascii="Times New Roman" w:hAnsi="Times New Roman"/>
                <w:sz w:val="24"/>
              </w:rPr>
            </w:pPr>
          </w:p>
          <w:p w:rsidR="00ED1EF3" w:rsidRPr="00384ADB" w:rsidRDefault="00915A9C"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394 παράγραφος 2 στοιχείο ε) του</w:t>
            </w:r>
            <w:r>
              <w:t xml:space="preserve"> </w:t>
            </w:r>
            <w:r>
              <w:rPr>
                <w:rStyle w:val="FormatvorlageInstructionsTabelleText"/>
                <w:rFonts w:ascii="Times New Roman" w:hAnsi="Times New Roman"/>
                <w:sz w:val="24"/>
              </w:rPr>
              <w:t>ΚΚΑ</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E6A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Το ίδρυμα αναφέρει τις πληροφορίες αυτές για τα 10 μεγαλύτερα ανοίγματα σε ιδρύματα και τα 10 μεγαλύτερα ανοίγματα σε μη ρυθμιζόμενες οντότητες του χρηματοπιστωτικού τομέα.  </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ED1EF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Οι περίοδοι ληκτότητας καθορίζονται με μηνιαία διαστήματα έως το ένα </w:t>
            </w:r>
            <w:r>
              <w:rPr>
                <w:rStyle w:val="InstructionsTabelleberschrift"/>
                <w:rFonts w:ascii="Times New Roman" w:hAnsi="Times New Roman"/>
                <w:b w:val="0"/>
                <w:sz w:val="24"/>
                <w:u w:val="none"/>
              </w:rPr>
              <w:t>έ</w:t>
            </w:r>
            <w:r>
              <w:rPr>
                <w:rStyle w:val="InstructionsTabelleberschrift"/>
                <w:rFonts w:ascii="Times New Roman" w:hAnsi="Times New Roman"/>
                <w:b w:val="0"/>
                <w:sz w:val="24"/>
                <w:u w:val="none"/>
              </w:rPr>
              <w:t>τος, με τριμηνιαία διαστήματα από το ένα έτος έως τα τρία έτη και με μεγ</w:t>
            </w:r>
            <w:r>
              <w:rPr>
                <w:rStyle w:val="InstructionsTabelleberschrift"/>
                <w:rFonts w:ascii="Times New Roman" w:hAnsi="Times New Roman"/>
                <w:b w:val="0"/>
                <w:sz w:val="24"/>
                <w:u w:val="none"/>
              </w:rPr>
              <w:t>α</w:t>
            </w:r>
            <w:r>
              <w:rPr>
                <w:rStyle w:val="InstructionsTabelleberschrift"/>
                <w:rFonts w:ascii="Times New Roman" w:hAnsi="Times New Roman"/>
                <w:b w:val="0"/>
                <w:sz w:val="24"/>
                <w:u w:val="none"/>
              </w:rPr>
              <w:t xml:space="preserve">λύτερα διαστήματα από τα τρία έτη και εξής. </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Κάθε αξία ανοίγματος, πριν από την εφαρμογή των εξαιρέσεων και των τ</w:t>
            </w:r>
            <w:r>
              <w:rPr>
                <w:rStyle w:val="InstructionsTabelleberschrift"/>
                <w:rFonts w:ascii="Times New Roman" w:hAnsi="Times New Roman"/>
                <w:b w:val="0"/>
                <w:sz w:val="24"/>
                <w:u w:val="none"/>
              </w:rPr>
              <w:t>ε</w:t>
            </w:r>
            <w:r>
              <w:rPr>
                <w:rStyle w:val="InstructionsTabelleberschrift"/>
                <w:rFonts w:ascii="Times New Roman" w:hAnsi="Times New Roman"/>
                <w:b w:val="0"/>
                <w:sz w:val="24"/>
                <w:u w:val="none"/>
              </w:rPr>
              <w:t>χνικών CRM (στήλη 210 του υποδείγματος LE2), αναφέρεται με ολόκληρο το οφειλόμενο ποσό στην αντίστοιχη περίοδο ληκτότητας της αναμενόμενης εναπομένουσας ληκτότητάς του. Σε περίπτωση που πρόκειται για διάφορες χωριστές σχέσεις που αποτελούν χρηματοδοτικό άνοιγμα έναντι ενός πελ</w:t>
            </w:r>
            <w:r>
              <w:rPr>
                <w:rStyle w:val="InstructionsTabelleberschrift"/>
                <w:rFonts w:ascii="Times New Roman" w:hAnsi="Times New Roman"/>
                <w:b w:val="0"/>
                <w:sz w:val="24"/>
                <w:u w:val="none"/>
              </w:rPr>
              <w:t>ά</w:t>
            </w:r>
            <w:r>
              <w:rPr>
                <w:rStyle w:val="InstructionsTabelleberschrift"/>
                <w:rFonts w:ascii="Times New Roman" w:hAnsi="Times New Roman"/>
                <w:b w:val="0"/>
                <w:sz w:val="24"/>
                <w:u w:val="none"/>
              </w:rPr>
              <w:t>τη, καθένα από τα τμήματα αυτά του ανοίγματος αναφέρεται με ολόκληρο το οφειλόμενο ποσό στην αντίστοιχη περίοδο ληκτότητας της αναμενόμενης εναπομένουσας ληκτότητάς του.  Τα μέσα τα οποία δεν έχουν συγκεκριμένη λήξη, όπως οι μετοχές, περιλαμβάνονται στη στήλη «μη καθορισμένη λ</w:t>
            </w:r>
            <w:r>
              <w:rPr>
                <w:rStyle w:val="InstructionsTabelleberschrift"/>
                <w:rFonts w:ascii="Times New Roman" w:hAnsi="Times New Roman"/>
                <w:b w:val="0"/>
                <w:sz w:val="24"/>
                <w:u w:val="none"/>
              </w:rPr>
              <w:t>η</w:t>
            </w:r>
            <w:r>
              <w:rPr>
                <w:rStyle w:val="InstructionsTabelleberschrift"/>
                <w:rFonts w:ascii="Times New Roman" w:hAnsi="Times New Roman"/>
                <w:b w:val="0"/>
                <w:sz w:val="24"/>
                <w:u w:val="none"/>
              </w:rPr>
              <w:t>κτότητα».</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Η αναμενόμενη ληκτότητα του ανοίγματος αναφέρεται τόσο για τα άμεσα όσο και τα έμμεσα ανοίγματα.</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15A9C"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Για τα άμεσα ανοίγματα, κατά την κατανομή των αναμενόμενων ποσών των χρεωστικών τίτλων και των παραγώγων στις διάφορες περιόδους ληκτότ</w:t>
            </w:r>
            <w:r>
              <w:rPr>
                <w:rStyle w:val="InstructionsTabelleberschrift"/>
                <w:rFonts w:ascii="Times New Roman" w:hAnsi="Times New Roman"/>
                <w:b w:val="0"/>
                <w:sz w:val="24"/>
                <w:u w:val="none"/>
              </w:rPr>
              <w:t>η</w:t>
            </w:r>
            <w:r>
              <w:rPr>
                <w:rStyle w:val="InstructionsTabelleberschrift"/>
                <w:rFonts w:ascii="Times New Roman" w:hAnsi="Times New Roman"/>
                <w:b w:val="0"/>
                <w:sz w:val="24"/>
                <w:u w:val="none"/>
              </w:rPr>
              <w:t>τας του παρόντος υποδείγματος, χρησιμοποιούνται οι οδηγίες του υποδεί</w:t>
            </w:r>
            <w:r>
              <w:rPr>
                <w:rStyle w:val="InstructionsTabelleberschrift"/>
                <w:rFonts w:ascii="Times New Roman" w:hAnsi="Times New Roman"/>
                <w:b w:val="0"/>
                <w:sz w:val="24"/>
                <w:u w:val="none"/>
              </w:rPr>
              <w:t>γ</w:t>
            </w:r>
            <w:r>
              <w:rPr>
                <w:rStyle w:val="InstructionsTabelleberschrift"/>
                <w:rFonts w:ascii="Times New Roman" w:hAnsi="Times New Roman"/>
                <w:b w:val="0"/>
                <w:sz w:val="24"/>
                <w:u w:val="none"/>
              </w:rPr>
              <w:t xml:space="preserve">ματος του πίνακα ληκτότητας πρόσθετων μέτρων παρακολούθησης της ρευστότητας (βλέπε παράρτημα XXIII του παρόντος κανονισμού). </w:t>
            </w:r>
          </w:p>
          <w:p w:rsidR="00B0191A" w:rsidRPr="00384ADB" w:rsidRDefault="00B0191A" w:rsidP="000F0ADE">
            <w:pPr>
              <w:pStyle w:val="InstructionsText"/>
              <w:rPr>
                <w:rStyle w:val="InstructionsTabelleberschrift"/>
                <w:rFonts w:ascii="Times New Roman" w:hAnsi="Times New Roman"/>
                <w:b w:val="0"/>
                <w:sz w:val="24"/>
                <w:u w:val="none"/>
              </w:rPr>
            </w:pPr>
          </w:p>
          <w:p w:rsidR="00B0191A" w:rsidRPr="00384ADB"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Στην περίπτωση των στοιχείων εκτός ισολογισμού, κατά την κατανομή των αναμενόμενων ποσών σε περιόδους ληκτότητας, χρησιμοποιείται η ληκτ</w:t>
            </w:r>
            <w:r>
              <w:rPr>
                <w:rStyle w:val="InstructionsTabelleberschrift"/>
                <w:rFonts w:ascii="Times New Roman" w:hAnsi="Times New Roman"/>
                <w:b w:val="0"/>
                <w:sz w:val="24"/>
                <w:u w:val="none"/>
              </w:rPr>
              <w:t>ό</w:t>
            </w:r>
            <w:r>
              <w:rPr>
                <w:rStyle w:val="InstructionsTabelleberschrift"/>
                <w:rFonts w:ascii="Times New Roman" w:hAnsi="Times New Roman"/>
                <w:b w:val="0"/>
                <w:sz w:val="24"/>
                <w:u w:val="none"/>
              </w:rPr>
              <w:t>τητα του υποκείμενου κινδύνου. Πιο συγκεκριμένα, για τις καταθέσεις πρ</w:t>
            </w:r>
            <w:r>
              <w:rPr>
                <w:rStyle w:val="InstructionsTabelleberschrift"/>
                <w:rFonts w:ascii="Times New Roman" w:hAnsi="Times New Roman"/>
                <w:b w:val="0"/>
                <w:sz w:val="24"/>
                <w:u w:val="none"/>
              </w:rPr>
              <w:t>ο</w:t>
            </w:r>
            <w:r>
              <w:rPr>
                <w:rStyle w:val="InstructionsTabelleberschrift"/>
                <w:rFonts w:ascii="Times New Roman" w:hAnsi="Times New Roman"/>
                <w:b w:val="0"/>
                <w:sz w:val="24"/>
                <w:u w:val="none"/>
              </w:rPr>
              <w:t>θεσμίας επί προθεσμία, αυτό σημαίνει τη δομή ληκτότητας της κατάθεσης· για τις χρηματοοικονομικές εγγυήσεις, τη δομή ληκτότητας του υποκείμ</w:t>
            </w:r>
            <w:r>
              <w:rPr>
                <w:rStyle w:val="InstructionsTabelleberschrift"/>
                <w:rFonts w:ascii="Times New Roman" w:hAnsi="Times New Roman"/>
                <w:b w:val="0"/>
                <w:sz w:val="24"/>
                <w:u w:val="none"/>
              </w:rPr>
              <w:t>ε</w:t>
            </w:r>
            <w:r>
              <w:rPr>
                <w:rStyle w:val="InstructionsTabelleberschrift"/>
                <w:rFonts w:ascii="Times New Roman" w:hAnsi="Times New Roman"/>
                <w:b w:val="0"/>
                <w:sz w:val="24"/>
                <w:u w:val="none"/>
              </w:rPr>
              <w:lastRenderedPageBreak/>
              <w:t>νου χρηματοοικονομικού στοιχείου ενεργητικού· για μη αναληφθείσες διε</w:t>
            </w:r>
            <w:r>
              <w:rPr>
                <w:rStyle w:val="InstructionsTabelleberschrift"/>
                <w:rFonts w:ascii="Times New Roman" w:hAnsi="Times New Roman"/>
                <w:b w:val="0"/>
                <w:sz w:val="24"/>
                <w:u w:val="none"/>
              </w:rPr>
              <w:t>υ</w:t>
            </w:r>
            <w:r>
              <w:rPr>
                <w:rStyle w:val="InstructionsTabelleberschrift"/>
                <w:rFonts w:ascii="Times New Roman" w:hAnsi="Times New Roman"/>
                <w:b w:val="0"/>
                <w:sz w:val="24"/>
                <w:u w:val="none"/>
              </w:rPr>
              <w:t>κολύνσεις από δανειακές δεσμεύσεις, τη δομή ληκτότητας του δανείου· και για τις άλλες δεσμεύσεις, τη δομή ληκτότητας της δέσμευσης.</w:t>
            </w:r>
          </w:p>
          <w:p w:rsidR="00B0191A" w:rsidRPr="00384ADB" w:rsidRDefault="00B0191A">
            <w:pPr>
              <w:pStyle w:val="InstructionsText"/>
              <w:rPr>
                <w:rStyle w:val="InstructionsTabelleberschrift"/>
                <w:rFonts w:ascii="Times New Roman" w:hAnsi="Times New Roman"/>
                <w:b w:val="0"/>
                <w:sz w:val="24"/>
                <w:u w:val="none"/>
              </w:rPr>
            </w:pPr>
          </w:p>
          <w:p w:rsidR="00B0191A"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Στην περίπτωση των έμμεσων ανοιγμάτων, η κατανομή σε περιόδους λ</w:t>
            </w:r>
            <w:r>
              <w:rPr>
                <w:rStyle w:val="InstructionsTabelleberschrift"/>
                <w:rFonts w:ascii="Times New Roman" w:hAnsi="Times New Roman"/>
                <w:b w:val="0"/>
                <w:sz w:val="24"/>
                <w:u w:val="none"/>
              </w:rPr>
              <w:t>η</w:t>
            </w:r>
            <w:r>
              <w:rPr>
                <w:rStyle w:val="InstructionsTabelleberschrift"/>
                <w:rFonts w:ascii="Times New Roman" w:hAnsi="Times New Roman"/>
                <w:b w:val="0"/>
                <w:sz w:val="24"/>
                <w:u w:val="none"/>
              </w:rPr>
              <w:t>κτότητας βασίζεται στη ληκτότητα των εγγυημένων πράξεων που δημιου</w:t>
            </w:r>
            <w:r>
              <w:rPr>
                <w:rStyle w:val="InstructionsTabelleberschrift"/>
                <w:rFonts w:ascii="Times New Roman" w:hAnsi="Times New Roman"/>
                <w:b w:val="0"/>
                <w:sz w:val="24"/>
                <w:u w:val="none"/>
              </w:rPr>
              <w:t>ρ</w:t>
            </w:r>
            <w:r>
              <w:rPr>
                <w:rStyle w:val="InstructionsTabelleberschrift"/>
                <w:rFonts w:ascii="Times New Roman" w:hAnsi="Times New Roman"/>
                <w:b w:val="0"/>
                <w:sz w:val="24"/>
                <w:u w:val="none"/>
              </w:rPr>
              <w:t>γούν το άμεσο άνοιγμα.</w:t>
            </w:r>
          </w:p>
          <w:p w:rsidR="001D319A" w:rsidRPr="000448EA" w:rsidRDefault="001D319A">
            <w:pPr>
              <w:pStyle w:val="InstructionsText"/>
              <w:rPr>
                <w:rStyle w:val="InstructionsTabelleberschrift"/>
                <w:rFonts w:ascii="Times New Roman" w:hAnsi="Times New Roman"/>
                <w:b w:val="0"/>
                <w:sz w:val="24"/>
                <w:u w:val="none"/>
              </w:rPr>
            </w:pPr>
          </w:p>
          <w:p w:rsidR="001D319A" w:rsidRPr="000448EA" w:rsidRDefault="001D319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Σε περίπτωση που ένα άνοιγμα ή τμήμα ανοίγματος θεωρείται σε αθέτηση και αναφέρεται στην κατηγορία αυτή στα υποδείγματα C 28.00 (LE 2, στ</w:t>
            </w:r>
            <w:r>
              <w:rPr>
                <w:rStyle w:val="InstructionsTabelleberschrift"/>
                <w:rFonts w:ascii="Times New Roman" w:hAnsi="Times New Roman"/>
                <w:b w:val="0"/>
                <w:sz w:val="24"/>
                <w:u w:val="none"/>
              </w:rPr>
              <w:t>ή</w:t>
            </w:r>
            <w:r>
              <w:rPr>
                <w:rStyle w:val="InstructionsTabelleberschrift"/>
                <w:rFonts w:ascii="Times New Roman" w:hAnsi="Times New Roman"/>
                <w:b w:val="0"/>
                <w:sz w:val="24"/>
                <w:u w:val="none"/>
              </w:rPr>
              <w:t>λη 050) και C 29.00 (LE 3, στήλη 060), η αναμενόμενη εξέλιξη του ανοί</w:t>
            </w:r>
            <w:r>
              <w:rPr>
                <w:rStyle w:val="InstructionsTabelleberschrift"/>
                <w:rFonts w:ascii="Times New Roman" w:hAnsi="Times New Roman"/>
                <w:b w:val="0"/>
                <w:sz w:val="24"/>
                <w:u w:val="none"/>
              </w:rPr>
              <w:t>γ</w:t>
            </w:r>
            <w:r>
              <w:rPr>
                <w:rStyle w:val="InstructionsTabelleberschrift"/>
                <w:rFonts w:ascii="Times New Roman" w:hAnsi="Times New Roman"/>
                <w:b w:val="0"/>
                <w:sz w:val="24"/>
                <w:u w:val="none"/>
              </w:rPr>
              <w:t>ματος σε αθέτηση πρέπει να κατανέμεται στην αντίστοιχη περίοδο ληκτότ</w:t>
            </w:r>
            <w:r>
              <w:rPr>
                <w:rStyle w:val="InstructionsTabelleberschrift"/>
                <w:rFonts w:ascii="Times New Roman" w:hAnsi="Times New Roman"/>
                <w:b w:val="0"/>
                <w:sz w:val="24"/>
                <w:u w:val="none"/>
              </w:rPr>
              <w:t>η</w:t>
            </w:r>
            <w:r>
              <w:rPr>
                <w:rStyle w:val="InstructionsTabelleberschrift"/>
                <w:rFonts w:ascii="Times New Roman" w:hAnsi="Times New Roman"/>
                <w:b w:val="0"/>
                <w:sz w:val="24"/>
                <w:u w:val="none"/>
              </w:rPr>
              <w:t>τας ως εξής:</w:t>
            </w:r>
          </w:p>
          <w:p w:rsidR="001D319A" w:rsidRPr="000448EA"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Εφόσον η αναφέρουσα οντότητα, παρά την αθέτηση, διαθέτει σαφές χρονοδιάγραμμα των αναμενόμενων αποπληρωμών του ανοίγματος, τις κατανέμει αναλόγως στις αντίστοιχες περιόδους.</w:t>
            </w:r>
          </w:p>
          <w:p w:rsidR="001D319A" w:rsidRPr="000448EA"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Εφόσον η αναφέρουσα οντότητα δε γνωρίζει εμπεριστατωμένα κατά πόσον και πότε θα αποπληρωθούν τα ποσά σε αθέτηση, τα κατανέμει στην κατηγορία «μη καθορισμένη ληκτότητα».</w:t>
            </w:r>
          </w:p>
          <w:p w:rsidR="00B0191A" w:rsidRPr="00384ADB" w:rsidRDefault="00B0191A" w:rsidP="000F0ADE">
            <w:pPr>
              <w:pStyle w:val="InstructionsText"/>
              <w:rPr>
                <w:rStyle w:val="InstructionsTabelleberschrift"/>
                <w:rFonts w:ascii="Times New Roman" w:hAnsi="Times New Roman"/>
                <w:sz w:val="24"/>
              </w:rPr>
            </w:pPr>
          </w:p>
        </w:tc>
      </w:tr>
    </w:tbl>
    <w:p w:rsidR="00915A9C" w:rsidRPr="00384ADB" w:rsidRDefault="00915A9C" w:rsidP="009A77CD">
      <w:pPr>
        <w:spacing w:after="0"/>
        <w:rPr>
          <w:rFonts w:ascii="Times New Roman" w:hAnsi="Times New Roman"/>
          <w:b/>
          <w:sz w:val="24"/>
        </w:rPr>
      </w:pPr>
    </w:p>
    <w:p w:rsidR="003D3140" w:rsidRPr="00384ADB" w:rsidRDefault="00BD0674" w:rsidP="00C52CE2">
      <w:pPr>
        <w:pStyle w:val="Instructionsberschrift2"/>
        <w:numPr>
          <w:ilvl w:val="0"/>
          <w:numId w:val="22"/>
        </w:numPr>
        <w:rPr>
          <w:rFonts w:ascii="Times New Roman" w:hAnsi="Times New Roman" w:cs="Times New Roman"/>
          <w:b/>
          <w:sz w:val="24"/>
          <w:u w:val="none"/>
        </w:rPr>
      </w:pPr>
      <w:bookmarkStart w:id="48" w:name="_Toc393461967"/>
      <w:bookmarkStart w:id="49" w:name="_Toc524267408"/>
      <w:r>
        <w:rPr>
          <w:rFonts w:ascii="Times New Roman" w:hAnsi="Times New Roman"/>
          <w:b/>
          <w:sz w:val="24"/>
          <w:u w:val="none"/>
        </w:rPr>
        <w:t>C 31.00 – Περίοδοι ληκτότητας των 10 μεγαλύτερων ανοιγμάτων σε ιδρύματα και των 10 μεγαλύτερων ανοιγμάτων σε μη ρυθμιζόμενες οντότητες του χρηματοπιστ</w:t>
      </w:r>
      <w:r>
        <w:rPr>
          <w:rFonts w:ascii="Times New Roman" w:hAnsi="Times New Roman"/>
          <w:b/>
          <w:sz w:val="24"/>
          <w:u w:val="none"/>
        </w:rPr>
        <w:t>ω</w:t>
      </w:r>
      <w:r>
        <w:rPr>
          <w:rFonts w:ascii="Times New Roman" w:hAnsi="Times New Roman"/>
          <w:b/>
          <w:sz w:val="24"/>
          <w:u w:val="none"/>
        </w:rPr>
        <w:t>τικού τομέα: λεπτομέρειες των ανοιγμάτων έναντι μεμονωμένων πελατών εντός ομ</w:t>
      </w:r>
      <w:r>
        <w:rPr>
          <w:rFonts w:ascii="Times New Roman" w:hAnsi="Times New Roman"/>
          <w:b/>
          <w:sz w:val="24"/>
          <w:u w:val="none"/>
        </w:rPr>
        <w:t>ά</w:t>
      </w:r>
      <w:r>
        <w:rPr>
          <w:rFonts w:ascii="Times New Roman" w:hAnsi="Times New Roman"/>
          <w:b/>
          <w:sz w:val="24"/>
          <w:u w:val="none"/>
        </w:rPr>
        <w:t>δων συνδεδεμένων πελατών (υπόδειγμα LE 5)</w:t>
      </w:r>
      <w:bookmarkEnd w:id="48"/>
      <w:bookmarkEnd w:id="49"/>
    </w:p>
    <w:p w:rsidR="003D3140" w:rsidRPr="00384ADB" w:rsidRDefault="003D3140" w:rsidP="00C52CE2">
      <w:pPr>
        <w:pStyle w:val="Instructionsberschrift2"/>
        <w:numPr>
          <w:ilvl w:val="1"/>
          <w:numId w:val="22"/>
        </w:numPr>
        <w:rPr>
          <w:rFonts w:ascii="Times New Roman" w:hAnsi="Times New Roman" w:cs="Times New Roman"/>
          <w:sz w:val="24"/>
        </w:rPr>
      </w:pPr>
      <w:bookmarkStart w:id="50" w:name="_Toc393461968"/>
      <w:bookmarkStart w:id="51" w:name="_Toc524267409"/>
      <w:r>
        <w:rPr>
          <w:rFonts w:ascii="Times New Roman" w:hAnsi="Times New Roman"/>
          <w:sz w:val="24"/>
        </w:rPr>
        <w:t>Οδηγίες για συγκεκριμένες στήλες</w:t>
      </w:r>
      <w:bookmarkEnd w:id="50"/>
      <w:bookmarkEnd w:id="51"/>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3D3140" w:rsidRPr="00384ADB" w:rsidTr="00AF0271">
        <w:tc>
          <w:tcPr>
            <w:tcW w:w="1418" w:type="dxa"/>
            <w:shd w:val="clear" w:color="auto" w:fill="D9D9D9"/>
          </w:tcPr>
          <w:p w:rsidR="003D3140" w:rsidRPr="00384ADB" w:rsidRDefault="003D3140"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Στήλη</w:t>
            </w:r>
          </w:p>
        </w:tc>
        <w:tc>
          <w:tcPr>
            <w:tcW w:w="7620" w:type="dxa"/>
            <w:shd w:val="clear" w:color="auto" w:fill="D9D9D9"/>
          </w:tcPr>
          <w:p w:rsidR="003D3140" w:rsidRPr="00384ADB" w:rsidRDefault="003D3140"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Νομικά κείμενα αναφοράς και οδηγίες</w:t>
            </w:r>
          </w:p>
        </w:tc>
      </w:tr>
      <w:tr w:rsidR="00B80B0E" w:rsidRPr="00384ADB" w:rsidTr="00AF0271">
        <w:tc>
          <w:tcPr>
            <w:tcW w:w="1418" w:type="dxa"/>
          </w:tcPr>
          <w:p w:rsidR="00B80B0E"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010-260</w:t>
            </w:r>
          </w:p>
        </w:tc>
        <w:tc>
          <w:tcPr>
            <w:tcW w:w="7620" w:type="dxa"/>
          </w:tcPr>
          <w:p w:rsidR="00B80B0E" w:rsidRPr="00384ADB" w:rsidRDefault="00B80B0E" w:rsidP="0039317F">
            <w:pPr>
              <w:pStyle w:val="InstructionsText"/>
            </w:pPr>
          </w:p>
          <w:p w:rsidR="00B80B0E" w:rsidRPr="00384ADB" w:rsidRDefault="00186D4E" w:rsidP="0039317F">
            <w:pPr>
              <w:pStyle w:val="InstructionsText"/>
            </w:pPr>
            <w:r>
              <w:t xml:space="preserve">Το ίδρυμα αναφέρει στο υπόδειγμα LE5 τα στοιχεία των μεμονωμένων </w:t>
            </w:r>
            <w:r>
              <w:t>α</w:t>
            </w:r>
            <w:r>
              <w:t>ντισυμβαλλομένων που ανήκουν στις ομάδες συνδεδεμένων πελατών που περιλαμβάνονται στις γραμμές του υποδείγματος LE4.</w:t>
            </w:r>
          </w:p>
          <w:p w:rsidR="00B80B0E" w:rsidRPr="00384ADB" w:rsidRDefault="00B80B0E" w:rsidP="000F0ADE">
            <w:pPr>
              <w:pStyle w:val="InstructionsText"/>
              <w:rPr>
                <w:rStyle w:val="InstructionsTabelleberschrift"/>
                <w:rFonts w:ascii="Times New Roman" w:hAnsi="Times New Roman"/>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3D3140" w:rsidRPr="00384ADB" w:rsidRDefault="003D3140"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Κωδικός</w:t>
            </w:r>
          </w:p>
          <w:p w:rsidR="003D3140" w:rsidRPr="00384ADB" w:rsidRDefault="003D3140"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στήλες 010 και 020 είναι σύνθετος αναγνωριστικός κωδικός γραμμής, και από κοινού πρέπει να είναι μοναδικός για κάθε γραμμή του πίνακα.</w:t>
            </w:r>
          </w:p>
          <w:p w:rsidR="003D3140" w:rsidRPr="00384ADB" w:rsidRDefault="003D314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στήλη 010 του υποδείγματος LE3.</w:t>
            </w:r>
          </w:p>
          <w:p w:rsidR="00B0191A" w:rsidRPr="00384ADB" w:rsidRDefault="00B0191A" w:rsidP="000F0ADE">
            <w:pPr>
              <w:pStyle w:val="InstructionsText"/>
              <w:rPr>
                <w:rStyle w:val="FormatvorlageInstructionsTabelleText"/>
                <w:rFonts w:ascii="Times New Roman" w:hAnsi="Times New Roman"/>
                <w:b/>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B80B0E" w:rsidRPr="00384ADB" w:rsidRDefault="00B80B0E"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Κωδικός ομάδας</w:t>
            </w:r>
          </w:p>
          <w:p w:rsidR="00BD0674" w:rsidRPr="00384ADB" w:rsidRDefault="00BD0674"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στήλες 010 και 020 είναι σύνθετος αναγνωριστικός κωδικός γραμμής, και από κοινού πρέπει να είναι μοναδικός για κάθε γραμμή του πίνακα.</w:t>
            </w:r>
          </w:p>
          <w:p w:rsidR="00B80B0E" w:rsidRPr="00384ADB" w:rsidRDefault="00B80B0E" w:rsidP="000F0AD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Βλέπε στήλη 020 του υποδείγματος LE3.</w:t>
            </w:r>
          </w:p>
          <w:p w:rsidR="00B0191A" w:rsidRPr="00384ADB" w:rsidRDefault="00B0191A">
            <w:pPr>
              <w:pStyle w:val="InstructionsText"/>
              <w:rPr>
                <w:rStyle w:val="InstructionsTabelleberschrift"/>
                <w:rFonts w:ascii="Times New Roman" w:hAnsi="Times New Roman"/>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030-260</w:t>
            </w:r>
          </w:p>
        </w:tc>
        <w:tc>
          <w:tcPr>
            <w:tcW w:w="7620" w:type="dxa"/>
          </w:tcPr>
          <w:p w:rsidR="003D3140" w:rsidRPr="00384ADB" w:rsidRDefault="003D3140"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Περίοδοι ληκτότητας των ανοιγμάτων</w:t>
            </w:r>
          </w:p>
          <w:p w:rsidR="003D3140" w:rsidRPr="00384ADB" w:rsidRDefault="003D3140" w:rsidP="0039317F">
            <w:pPr>
              <w:pStyle w:val="InstructionsText"/>
              <w:rPr>
                <w:rStyle w:val="InstructionsTabelleberschrift"/>
                <w:rFonts w:ascii="Times New Roman" w:hAnsi="Times New Roman"/>
                <w:sz w:val="24"/>
              </w:rPr>
            </w:pPr>
          </w:p>
          <w:p w:rsidR="003D3140" w:rsidRPr="00384ADB" w:rsidRDefault="00B80B0E"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Βλέπε στήλες 020-250 του υποδείγματος LE4.</w:t>
            </w:r>
          </w:p>
          <w:p w:rsidR="00264B52" w:rsidRPr="00384ADB" w:rsidRDefault="00264B52" w:rsidP="000F0ADE">
            <w:pPr>
              <w:pStyle w:val="InstructionsText"/>
              <w:rPr>
                <w:rStyle w:val="InstructionsTabelleberschrift"/>
                <w:rFonts w:ascii="Times New Roman" w:hAnsi="Times New Roman"/>
                <w:sz w:val="24"/>
              </w:rPr>
            </w:pPr>
          </w:p>
        </w:tc>
      </w:tr>
    </w:tbl>
    <w:p w:rsidR="003D3140" w:rsidRPr="00E83F90" w:rsidRDefault="003D3140" w:rsidP="0078562D">
      <w:pPr>
        <w:spacing w:after="0"/>
        <w:rPr>
          <w:rFonts w:ascii="Times New Roman" w:hAnsi="Times New Roman"/>
          <w:sz w:val="24"/>
        </w:rPr>
      </w:pPr>
    </w:p>
    <w:sectPr w:rsidR="003D3140" w:rsidRPr="00E83F90" w:rsidSect="00B51F42">
      <w:footerReference w:type="even" r:id="rId12"/>
      <w:footerReference w:type="default" r:id="rId13"/>
      <w:headerReference w:type="first" r:id="rId14"/>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E40" w:rsidRDefault="005A2E40" w:rsidP="00D946DB">
      <w:pPr>
        <w:spacing w:before="0" w:after="0"/>
      </w:pPr>
      <w:r>
        <w:separator/>
      </w:r>
    </w:p>
  </w:endnote>
  <w:endnote w:type="continuationSeparator" w:id="0">
    <w:p w:rsidR="005A2E40" w:rsidRDefault="005A2E40"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Pr="00A772B4" w:rsidRDefault="0039317F">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9377B2">
      <w:rPr>
        <w:rFonts w:ascii="Times New Roman" w:hAnsi="Times New Roman"/>
        <w:noProof/>
      </w:rPr>
      <w:t>2</w:t>
    </w:r>
    <w:r w:rsidRPr="00A772B4">
      <w:rPr>
        <w:rFonts w:ascii="Times New Roman" w:hAnsi="Times New Roman"/>
      </w:rPr>
      <w:fldChar w:fldCharType="end"/>
    </w:r>
  </w:p>
  <w:p w:rsidR="0039317F" w:rsidRDefault="003931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pStyle w:val="Footer"/>
      <w:jc w:val="right"/>
    </w:pPr>
    <w:r>
      <w:fldChar w:fldCharType="begin"/>
    </w:r>
    <w:r>
      <w:instrText xml:space="preserve"> PAGE   \* MERGEFORMAT </w:instrText>
    </w:r>
    <w:r>
      <w:fldChar w:fldCharType="separate"/>
    </w:r>
    <w:r w:rsidR="009377B2">
      <w:rPr>
        <w:noProof/>
      </w:rPr>
      <w:t>1</w:t>
    </w:r>
    <w:r>
      <w:rPr>
        <w:noProof/>
      </w:rPr>
      <w:fldChar w:fldCharType="end"/>
    </w:r>
  </w:p>
  <w:p w:rsidR="0039317F" w:rsidRDefault="003931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9317F" w:rsidRDefault="0039317F">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Pr="00A772B4" w:rsidRDefault="0039317F">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9377B2">
      <w:rPr>
        <w:rFonts w:ascii="Times New Roman" w:hAnsi="Times New Roman"/>
        <w:noProof/>
      </w:rPr>
      <w:t>21</w:t>
    </w:r>
    <w:r w:rsidRPr="00A772B4">
      <w:rPr>
        <w:rFonts w:ascii="Times New Roman" w:hAnsi="Times New Roman"/>
      </w:rPr>
      <w:fldChar w:fldCharType="end"/>
    </w:r>
  </w:p>
  <w:p w:rsidR="0039317F" w:rsidRPr="00A772B4" w:rsidRDefault="0039317F"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E40" w:rsidRDefault="005A2E40" w:rsidP="00D946DB">
      <w:pPr>
        <w:spacing w:before="0" w:after="0"/>
      </w:pPr>
      <w:r>
        <w:separator/>
      </w:r>
    </w:p>
  </w:footnote>
  <w:footnote w:type="continuationSeparator" w:id="0">
    <w:p w:rsidR="005A2E40" w:rsidRDefault="005A2E40" w:rsidP="00D946D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7">
    <w:nsid w:val="2F7D7F02"/>
    <w:multiLevelType w:val="multilevel"/>
    <w:tmpl w:val="0407001D"/>
    <w:numStyleLink w:val="Formatvorlage3"/>
  </w:abstractNum>
  <w:abstractNum w:abstractNumId="8">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7">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2">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4">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3"/>
  </w:num>
  <w:num w:numId="4">
    <w:abstractNumId w:val="11"/>
  </w:num>
  <w:num w:numId="5">
    <w:abstractNumId w:val="20"/>
  </w:num>
  <w:num w:numId="6">
    <w:abstractNumId w:val="10"/>
  </w:num>
  <w:num w:numId="7">
    <w:abstractNumId w:val="22"/>
  </w:num>
  <w:num w:numId="8">
    <w:abstractNumId w:val="2"/>
  </w:num>
  <w:num w:numId="9">
    <w:abstractNumId w:val="17"/>
  </w:num>
  <w:num w:numId="10">
    <w:abstractNumId w:val="9"/>
  </w:num>
  <w:num w:numId="11">
    <w:abstractNumId w:val="13"/>
  </w:num>
  <w:num w:numId="12">
    <w:abstractNumId w:val="4"/>
  </w:num>
  <w:num w:numId="13">
    <w:abstractNumId w:val="19"/>
  </w:num>
  <w:num w:numId="14">
    <w:abstractNumId w:val="15"/>
  </w:num>
  <w:num w:numId="15">
    <w:abstractNumId w:val="8"/>
  </w:num>
  <w:num w:numId="16">
    <w:abstractNumId w:val="12"/>
  </w:num>
  <w:num w:numId="17">
    <w:abstractNumId w:val="7"/>
  </w:num>
  <w:num w:numId="18">
    <w:abstractNumId w:val="21"/>
  </w:num>
  <w:num w:numId="19">
    <w:abstractNumId w:val="1"/>
  </w:num>
  <w:num w:numId="20">
    <w:abstractNumId w:val="3"/>
  </w:num>
  <w:num w:numId="21">
    <w:abstractNumId w:val="6"/>
  </w:num>
  <w:num w:numId="22">
    <w:abstractNumId w:val="5"/>
  </w:num>
  <w:num w:numId="23">
    <w:abstractNumId w:val="8"/>
    <w:lvlOverride w:ilvl="0">
      <w:startOverride w:val="1"/>
    </w:lvlOverride>
  </w:num>
  <w:num w:numId="24">
    <w:abstractNumId w:val="8"/>
    <w:lvlOverride w:ilvl="0">
      <w:startOverride w:val="1"/>
    </w:lvlOverride>
  </w:num>
  <w:num w:numId="25">
    <w:abstractNumId w:val="14"/>
  </w:num>
  <w:num w:numId="26">
    <w:abstractNumId w:val="18"/>
  </w:num>
  <w:num w:numId="27">
    <w:abstractNumId w:val="8"/>
    <w:lvlOverride w:ilvl="0">
      <w:startOverride w:val="1"/>
    </w:lvlOverride>
  </w:num>
  <w:num w:numId="28">
    <w:abstractNumId w:val="8"/>
  </w:num>
  <w:num w:numId="29">
    <w:abstractNumId w:val="8"/>
  </w:num>
  <w:num w:numId="30">
    <w:abstractNumId w:val="25"/>
  </w:num>
  <w:num w:numId="31">
    <w:abstractNumId w:val="24"/>
  </w:num>
  <w:num w:numId="32">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4FEB"/>
    <w:rsid w:val="00000989"/>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43CE"/>
    <w:rsid w:val="0002657F"/>
    <w:rsid w:val="00026A0E"/>
    <w:rsid w:val="000326C1"/>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76091"/>
    <w:rsid w:val="00076880"/>
    <w:rsid w:val="000828C6"/>
    <w:rsid w:val="00083F35"/>
    <w:rsid w:val="0008578E"/>
    <w:rsid w:val="000858A9"/>
    <w:rsid w:val="0008722B"/>
    <w:rsid w:val="00087415"/>
    <w:rsid w:val="000903FA"/>
    <w:rsid w:val="0009490B"/>
    <w:rsid w:val="00095702"/>
    <w:rsid w:val="00097F16"/>
    <w:rsid w:val="000A27BA"/>
    <w:rsid w:val="000A4EAF"/>
    <w:rsid w:val="000A63A8"/>
    <w:rsid w:val="000B0EBE"/>
    <w:rsid w:val="000B1C14"/>
    <w:rsid w:val="000B6880"/>
    <w:rsid w:val="000B6A14"/>
    <w:rsid w:val="000B7CB9"/>
    <w:rsid w:val="000C0208"/>
    <w:rsid w:val="000C14C3"/>
    <w:rsid w:val="000C7E9F"/>
    <w:rsid w:val="000D220D"/>
    <w:rsid w:val="000D44E0"/>
    <w:rsid w:val="000D65D1"/>
    <w:rsid w:val="000D702E"/>
    <w:rsid w:val="000D735D"/>
    <w:rsid w:val="000E1572"/>
    <w:rsid w:val="000E29C9"/>
    <w:rsid w:val="000E657C"/>
    <w:rsid w:val="000E7BA8"/>
    <w:rsid w:val="000F0519"/>
    <w:rsid w:val="000F0ADE"/>
    <w:rsid w:val="000F13EA"/>
    <w:rsid w:val="000F2F09"/>
    <w:rsid w:val="000F4702"/>
    <w:rsid w:val="000F6A80"/>
    <w:rsid w:val="000F6B25"/>
    <w:rsid w:val="000F7A95"/>
    <w:rsid w:val="001047F8"/>
    <w:rsid w:val="00106801"/>
    <w:rsid w:val="00107B30"/>
    <w:rsid w:val="00111654"/>
    <w:rsid w:val="00117214"/>
    <w:rsid w:val="0012049B"/>
    <w:rsid w:val="001243C8"/>
    <w:rsid w:val="00124B85"/>
    <w:rsid w:val="001273B5"/>
    <w:rsid w:val="00127E0D"/>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3351"/>
    <w:rsid w:val="001E5519"/>
    <w:rsid w:val="001E5A75"/>
    <w:rsid w:val="001E6B9D"/>
    <w:rsid w:val="001E6FAF"/>
    <w:rsid w:val="001F2920"/>
    <w:rsid w:val="001F488E"/>
    <w:rsid w:val="001F5AC3"/>
    <w:rsid w:val="002021E2"/>
    <w:rsid w:val="00206E56"/>
    <w:rsid w:val="0021104F"/>
    <w:rsid w:val="0021389C"/>
    <w:rsid w:val="00213DC3"/>
    <w:rsid w:val="00215C5A"/>
    <w:rsid w:val="0021767A"/>
    <w:rsid w:val="00221103"/>
    <w:rsid w:val="0022244D"/>
    <w:rsid w:val="00222596"/>
    <w:rsid w:val="00222AC6"/>
    <w:rsid w:val="00223787"/>
    <w:rsid w:val="00223CA3"/>
    <w:rsid w:val="00224E73"/>
    <w:rsid w:val="00225D42"/>
    <w:rsid w:val="002273C8"/>
    <w:rsid w:val="0023488F"/>
    <w:rsid w:val="002357EA"/>
    <w:rsid w:val="00237276"/>
    <w:rsid w:val="002413AE"/>
    <w:rsid w:val="00245325"/>
    <w:rsid w:val="00245670"/>
    <w:rsid w:val="00245BDE"/>
    <w:rsid w:val="00250176"/>
    <w:rsid w:val="002506A3"/>
    <w:rsid w:val="002514E5"/>
    <w:rsid w:val="00253022"/>
    <w:rsid w:val="00254DF6"/>
    <w:rsid w:val="00262C1B"/>
    <w:rsid w:val="00264B52"/>
    <w:rsid w:val="00266178"/>
    <w:rsid w:val="002664C7"/>
    <w:rsid w:val="00271C8B"/>
    <w:rsid w:val="00276B41"/>
    <w:rsid w:val="002775CC"/>
    <w:rsid w:val="00280FC6"/>
    <w:rsid w:val="00285E2F"/>
    <w:rsid w:val="00290AA2"/>
    <w:rsid w:val="00290EFB"/>
    <w:rsid w:val="00291346"/>
    <w:rsid w:val="002920FF"/>
    <w:rsid w:val="00292678"/>
    <w:rsid w:val="0029325B"/>
    <w:rsid w:val="00294411"/>
    <w:rsid w:val="00296D72"/>
    <w:rsid w:val="002A04D3"/>
    <w:rsid w:val="002A08BC"/>
    <w:rsid w:val="002A2A16"/>
    <w:rsid w:val="002A499D"/>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07ABE"/>
    <w:rsid w:val="003104B3"/>
    <w:rsid w:val="003104F4"/>
    <w:rsid w:val="0031054B"/>
    <w:rsid w:val="003105C6"/>
    <w:rsid w:val="00310F05"/>
    <w:rsid w:val="00311729"/>
    <w:rsid w:val="00311B2D"/>
    <w:rsid w:val="003137B9"/>
    <w:rsid w:val="003154FF"/>
    <w:rsid w:val="00317768"/>
    <w:rsid w:val="003209F9"/>
    <w:rsid w:val="00331FE6"/>
    <w:rsid w:val="00333A44"/>
    <w:rsid w:val="00335A13"/>
    <w:rsid w:val="00337738"/>
    <w:rsid w:val="00340901"/>
    <w:rsid w:val="003455BC"/>
    <w:rsid w:val="00345E53"/>
    <w:rsid w:val="003462BE"/>
    <w:rsid w:val="003472A8"/>
    <w:rsid w:val="00347FF9"/>
    <w:rsid w:val="00350F29"/>
    <w:rsid w:val="0035181B"/>
    <w:rsid w:val="00352D3A"/>
    <w:rsid w:val="00353D6B"/>
    <w:rsid w:val="00353F4C"/>
    <w:rsid w:val="003572D8"/>
    <w:rsid w:val="00357F63"/>
    <w:rsid w:val="0036045A"/>
    <w:rsid w:val="00361699"/>
    <w:rsid w:val="003616A1"/>
    <w:rsid w:val="003618E5"/>
    <w:rsid w:val="00363E1B"/>
    <w:rsid w:val="00364B2F"/>
    <w:rsid w:val="00371593"/>
    <w:rsid w:val="00382DA8"/>
    <w:rsid w:val="00383747"/>
    <w:rsid w:val="00383FF2"/>
    <w:rsid w:val="00384ADB"/>
    <w:rsid w:val="00387E40"/>
    <w:rsid w:val="00390A6B"/>
    <w:rsid w:val="00390DDA"/>
    <w:rsid w:val="003912BF"/>
    <w:rsid w:val="0039317F"/>
    <w:rsid w:val="00393539"/>
    <w:rsid w:val="00394753"/>
    <w:rsid w:val="00394FF1"/>
    <w:rsid w:val="00395EED"/>
    <w:rsid w:val="003A0C05"/>
    <w:rsid w:val="003A200A"/>
    <w:rsid w:val="003A449C"/>
    <w:rsid w:val="003A5D8C"/>
    <w:rsid w:val="003A67FF"/>
    <w:rsid w:val="003B09B9"/>
    <w:rsid w:val="003B28ED"/>
    <w:rsid w:val="003B3DBB"/>
    <w:rsid w:val="003C0FB5"/>
    <w:rsid w:val="003C227A"/>
    <w:rsid w:val="003C2566"/>
    <w:rsid w:val="003C4D23"/>
    <w:rsid w:val="003C60B9"/>
    <w:rsid w:val="003D10E9"/>
    <w:rsid w:val="003D24A1"/>
    <w:rsid w:val="003D2721"/>
    <w:rsid w:val="003D3140"/>
    <w:rsid w:val="003D431C"/>
    <w:rsid w:val="003D56DE"/>
    <w:rsid w:val="003D6268"/>
    <w:rsid w:val="003E1667"/>
    <w:rsid w:val="003E5145"/>
    <w:rsid w:val="003E6D37"/>
    <w:rsid w:val="003E79B9"/>
    <w:rsid w:val="003F0D24"/>
    <w:rsid w:val="003F15BB"/>
    <w:rsid w:val="003F1C2D"/>
    <w:rsid w:val="003F2734"/>
    <w:rsid w:val="00401111"/>
    <w:rsid w:val="004012D1"/>
    <w:rsid w:val="00402F1D"/>
    <w:rsid w:val="00412D44"/>
    <w:rsid w:val="00414FB3"/>
    <w:rsid w:val="00415A1B"/>
    <w:rsid w:val="004201CB"/>
    <w:rsid w:val="00420322"/>
    <w:rsid w:val="00423ADC"/>
    <w:rsid w:val="00424AD4"/>
    <w:rsid w:val="00426E6A"/>
    <w:rsid w:val="0043001B"/>
    <w:rsid w:val="00433DC8"/>
    <w:rsid w:val="00434B3C"/>
    <w:rsid w:val="004351CC"/>
    <w:rsid w:val="004377DA"/>
    <w:rsid w:val="004377E2"/>
    <w:rsid w:val="004408E7"/>
    <w:rsid w:val="00443003"/>
    <w:rsid w:val="00443876"/>
    <w:rsid w:val="00444394"/>
    <w:rsid w:val="00445B97"/>
    <w:rsid w:val="00445E06"/>
    <w:rsid w:val="00446CDE"/>
    <w:rsid w:val="00450232"/>
    <w:rsid w:val="0045025C"/>
    <w:rsid w:val="00452FEF"/>
    <w:rsid w:val="00453169"/>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284E"/>
    <w:rsid w:val="00484A6F"/>
    <w:rsid w:val="00484DDA"/>
    <w:rsid w:val="00484EDB"/>
    <w:rsid w:val="004867E5"/>
    <w:rsid w:val="004901BE"/>
    <w:rsid w:val="00490746"/>
    <w:rsid w:val="004969CB"/>
    <w:rsid w:val="00496F5D"/>
    <w:rsid w:val="004A2728"/>
    <w:rsid w:val="004A4555"/>
    <w:rsid w:val="004A5880"/>
    <w:rsid w:val="004A6C52"/>
    <w:rsid w:val="004B2A17"/>
    <w:rsid w:val="004B4DF9"/>
    <w:rsid w:val="004C285B"/>
    <w:rsid w:val="004C60F6"/>
    <w:rsid w:val="004D2F50"/>
    <w:rsid w:val="004D3678"/>
    <w:rsid w:val="004D71FD"/>
    <w:rsid w:val="004E04BF"/>
    <w:rsid w:val="004E4FFB"/>
    <w:rsid w:val="004E672C"/>
    <w:rsid w:val="004F0828"/>
    <w:rsid w:val="004F4EAC"/>
    <w:rsid w:val="004F50AF"/>
    <w:rsid w:val="005020DE"/>
    <w:rsid w:val="005027FA"/>
    <w:rsid w:val="00502BDF"/>
    <w:rsid w:val="00502FC6"/>
    <w:rsid w:val="0050399F"/>
    <w:rsid w:val="0050588B"/>
    <w:rsid w:val="005067A1"/>
    <w:rsid w:val="005068E6"/>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57B"/>
    <w:rsid w:val="00553F7B"/>
    <w:rsid w:val="0055791B"/>
    <w:rsid w:val="00563313"/>
    <w:rsid w:val="00564A89"/>
    <w:rsid w:val="00565031"/>
    <w:rsid w:val="005666F4"/>
    <w:rsid w:val="00570953"/>
    <w:rsid w:val="00571BF6"/>
    <w:rsid w:val="00574DEE"/>
    <w:rsid w:val="00583AD3"/>
    <w:rsid w:val="00585466"/>
    <w:rsid w:val="00586D84"/>
    <w:rsid w:val="00590D39"/>
    <w:rsid w:val="005911AC"/>
    <w:rsid w:val="00593E1F"/>
    <w:rsid w:val="005A18FB"/>
    <w:rsid w:val="005A2363"/>
    <w:rsid w:val="005A2E40"/>
    <w:rsid w:val="005A6305"/>
    <w:rsid w:val="005A682F"/>
    <w:rsid w:val="005B02DE"/>
    <w:rsid w:val="005B0C8D"/>
    <w:rsid w:val="005B13A0"/>
    <w:rsid w:val="005C1BC9"/>
    <w:rsid w:val="005C287F"/>
    <w:rsid w:val="005C2A35"/>
    <w:rsid w:val="005C2ADF"/>
    <w:rsid w:val="005C6DEB"/>
    <w:rsid w:val="005C7A91"/>
    <w:rsid w:val="005D4CF2"/>
    <w:rsid w:val="005E456E"/>
    <w:rsid w:val="005E6669"/>
    <w:rsid w:val="005E7263"/>
    <w:rsid w:val="005E7B06"/>
    <w:rsid w:val="005F2B02"/>
    <w:rsid w:val="005F5B6B"/>
    <w:rsid w:val="005F6C23"/>
    <w:rsid w:val="005F6FDF"/>
    <w:rsid w:val="00600198"/>
    <w:rsid w:val="00601450"/>
    <w:rsid w:val="0060520C"/>
    <w:rsid w:val="006108B8"/>
    <w:rsid w:val="00611073"/>
    <w:rsid w:val="00611819"/>
    <w:rsid w:val="006128D7"/>
    <w:rsid w:val="0061482E"/>
    <w:rsid w:val="0061552A"/>
    <w:rsid w:val="00616264"/>
    <w:rsid w:val="00616690"/>
    <w:rsid w:val="00616E90"/>
    <w:rsid w:val="0061723E"/>
    <w:rsid w:val="00617700"/>
    <w:rsid w:val="006204A8"/>
    <w:rsid w:val="006217F1"/>
    <w:rsid w:val="00621F98"/>
    <w:rsid w:val="00623A72"/>
    <w:rsid w:val="00627143"/>
    <w:rsid w:val="00627430"/>
    <w:rsid w:val="006317A9"/>
    <w:rsid w:val="0063275A"/>
    <w:rsid w:val="006340C6"/>
    <w:rsid w:val="006344BC"/>
    <w:rsid w:val="00634B45"/>
    <w:rsid w:val="00641181"/>
    <w:rsid w:val="00643011"/>
    <w:rsid w:val="00643F3B"/>
    <w:rsid w:val="006443CC"/>
    <w:rsid w:val="006455BC"/>
    <w:rsid w:val="0064641B"/>
    <w:rsid w:val="00650DB8"/>
    <w:rsid w:val="00651C18"/>
    <w:rsid w:val="00652A45"/>
    <w:rsid w:val="00652DF7"/>
    <w:rsid w:val="00652F11"/>
    <w:rsid w:val="00655444"/>
    <w:rsid w:val="0066173C"/>
    <w:rsid w:val="00662957"/>
    <w:rsid w:val="006644E6"/>
    <w:rsid w:val="00667F2D"/>
    <w:rsid w:val="006746DB"/>
    <w:rsid w:val="00675DA2"/>
    <w:rsid w:val="006771CE"/>
    <w:rsid w:val="006778A2"/>
    <w:rsid w:val="00677A1D"/>
    <w:rsid w:val="006834A9"/>
    <w:rsid w:val="006916CC"/>
    <w:rsid w:val="006916DC"/>
    <w:rsid w:val="00695E99"/>
    <w:rsid w:val="00696F12"/>
    <w:rsid w:val="006A01F5"/>
    <w:rsid w:val="006A0C55"/>
    <w:rsid w:val="006A210B"/>
    <w:rsid w:val="006A3382"/>
    <w:rsid w:val="006A483F"/>
    <w:rsid w:val="006A5132"/>
    <w:rsid w:val="006A5184"/>
    <w:rsid w:val="006B0FE2"/>
    <w:rsid w:val="006B19A0"/>
    <w:rsid w:val="006B2A31"/>
    <w:rsid w:val="006B55D6"/>
    <w:rsid w:val="006B5BA8"/>
    <w:rsid w:val="006B68BC"/>
    <w:rsid w:val="006B6945"/>
    <w:rsid w:val="006B7228"/>
    <w:rsid w:val="006B72EF"/>
    <w:rsid w:val="006C0915"/>
    <w:rsid w:val="006C11BB"/>
    <w:rsid w:val="006C399A"/>
    <w:rsid w:val="006C3FF9"/>
    <w:rsid w:val="006C4174"/>
    <w:rsid w:val="006C45C6"/>
    <w:rsid w:val="006D49F3"/>
    <w:rsid w:val="006D6677"/>
    <w:rsid w:val="006E3FCC"/>
    <w:rsid w:val="006E52E7"/>
    <w:rsid w:val="006E7C46"/>
    <w:rsid w:val="006F1806"/>
    <w:rsid w:val="006F4E86"/>
    <w:rsid w:val="006F50E2"/>
    <w:rsid w:val="006F773D"/>
    <w:rsid w:val="00702E1B"/>
    <w:rsid w:val="00704405"/>
    <w:rsid w:val="00704B2D"/>
    <w:rsid w:val="0070633D"/>
    <w:rsid w:val="007063C4"/>
    <w:rsid w:val="0070714B"/>
    <w:rsid w:val="00707659"/>
    <w:rsid w:val="007111B3"/>
    <w:rsid w:val="00711E1C"/>
    <w:rsid w:val="00711F3A"/>
    <w:rsid w:val="00712B6C"/>
    <w:rsid w:val="00721227"/>
    <w:rsid w:val="00721A22"/>
    <w:rsid w:val="00721C5C"/>
    <w:rsid w:val="00721CEA"/>
    <w:rsid w:val="007247ED"/>
    <w:rsid w:val="00727756"/>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57F"/>
    <w:rsid w:val="00763360"/>
    <w:rsid w:val="00763A4B"/>
    <w:rsid w:val="00764E61"/>
    <w:rsid w:val="00767423"/>
    <w:rsid w:val="0077061D"/>
    <w:rsid w:val="00775951"/>
    <w:rsid w:val="00775AA6"/>
    <w:rsid w:val="0078015D"/>
    <w:rsid w:val="00781160"/>
    <w:rsid w:val="007827A3"/>
    <w:rsid w:val="007846BD"/>
    <w:rsid w:val="0078562D"/>
    <w:rsid w:val="00785E60"/>
    <w:rsid w:val="00785E90"/>
    <w:rsid w:val="007864CA"/>
    <w:rsid w:val="00787CDE"/>
    <w:rsid w:val="007A1D61"/>
    <w:rsid w:val="007A4CFD"/>
    <w:rsid w:val="007A6B64"/>
    <w:rsid w:val="007B0068"/>
    <w:rsid w:val="007B025E"/>
    <w:rsid w:val="007B0AC3"/>
    <w:rsid w:val="007B0B53"/>
    <w:rsid w:val="007B5523"/>
    <w:rsid w:val="007B693F"/>
    <w:rsid w:val="007B7F68"/>
    <w:rsid w:val="007C1912"/>
    <w:rsid w:val="007C4C33"/>
    <w:rsid w:val="007C796B"/>
    <w:rsid w:val="007D0BDE"/>
    <w:rsid w:val="007D1FD8"/>
    <w:rsid w:val="007D2AEF"/>
    <w:rsid w:val="007D2CE6"/>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24B2"/>
    <w:rsid w:val="00803A7B"/>
    <w:rsid w:val="00804EE8"/>
    <w:rsid w:val="00816B32"/>
    <w:rsid w:val="00820E23"/>
    <w:rsid w:val="0082105B"/>
    <w:rsid w:val="00822FDF"/>
    <w:rsid w:val="00823FC1"/>
    <w:rsid w:val="00826F85"/>
    <w:rsid w:val="0083444D"/>
    <w:rsid w:val="008420D9"/>
    <w:rsid w:val="008427C5"/>
    <w:rsid w:val="0084379F"/>
    <w:rsid w:val="00845545"/>
    <w:rsid w:val="00854E7A"/>
    <w:rsid w:val="008551B9"/>
    <w:rsid w:val="00855342"/>
    <w:rsid w:val="0085621E"/>
    <w:rsid w:val="00856854"/>
    <w:rsid w:val="00860094"/>
    <w:rsid w:val="00861ECE"/>
    <w:rsid w:val="008645CF"/>
    <w:rsid w:val="008662E0"/>
    <w:rsid w:val="00866E26"/>
    <w:rsid w:val="008707F8"/>
    <w:rsid w:val="00872488"/>
    <w:rsid w:val="0087489F"/>
    <w:rsid w:val="00875044"/>
    <w:rsid w:val="00875C7F"/>
    <w:rsid w:val="008761B4"/>
    <w:rsid w:val="00880323"/>
    <w:rsid w:val="008815DE"/>
    <w:rsid w:val="0088172D"/>
    <w:rsid w:val="0088232A"/>
    <w:rsid w:val="00884B2C"/>
    <w:rsid w:val="00884FEB"/>
    <w:rsid w:val="0088630E"/>
    <w:rsid w:val="00891DBA"/>
    <w:rsid w:val="008927C3"/>
    <w:rsid w:val="00894520"/>
    <w:rsid w:val="00895503"/>
    <w:rsid w:val="008A4511"/>
    <w:rsid w:val="008A49E8"/>
    <w:rsid w:val="008A5292"/>
    <w:rsid w:val="008A53B5"/>
    <w:rsid w:val="008A66B9"/>
    <w:rsid w:val="008A76C7"/>
    <w:rsid w:val="008A7A5D"/>
    <w:rsid w:val="008A7C50"/>
    <w:rsid w:val="008B2F5E"/>
    <w:rsid w:val="008B6066"/>
    <w:rsid w:val="008B7267"/>
    <w:rsid w:val="008C11CD"/>
    <w:rsid w:val="008C122C"/>
    <w:rsid w:val="008C624D"/>
    <w:rsid w:val="008C62D0"/>
    <w:rsid w:val="008C6E0B"/>
    <w:rsid w:val="008D1E70"/>
    <w:rsid w:val="008D2210"/>
    <w:rsid w:val="008D6194"/>
    <w:rsid w:val="008D68F4"/>
    <w:rsid w:val="008D6D5B"/>
    <w:rsid w:val="008E0BAF"/>
    <w:rsid w:val="008E0E86"/>
    <w:rsid w:val="008E0F08"/>
    <w:rsid w:val="008E3CA9"/>
    <w:rsid w:val="008E416F"/>
    <w:rsid w:val="008E47D2"/>
    <w:rsid w:val="008E6B72"/>
    <w:rsid w:val="008F024A"/>
    <w:rsid w:val="008F1D51"/>
    <w:rsid w:val="008F53AF"/>
    <w:rsid w:val="008F5876"/>
    <w:rsid w:val="009007C6"/>
    <w:rsid w:val="00900C1D"/>
    <w:rsid w:val="00903390"/>
    <w:rsid w:val="00906D99"/>
    <w:rsid w:val="009079AD"/>
    <w:rsid w:val="00910E26"/>
    <w:rsid w:val="00915A15"/>
    <w:rsid w:val="00915A9C"/>
    <w:rsid w:val="00917FAE"/>
    <w:rsid w:val="00920EBF"/>
    <w:rsid w:val="00924EEF"/>
    <w:rsid w:val="0093135A"/>
    <w:rsid w:val="00931490"/>
    <w:rsid w:val="00934B81"/>
    <w:rsid w:val="009362E7"/>
    <w:rsid w:val="009371BA"/>
    <w:rsid w:val="009377B2"/>
    <w:rsid w:val="00942368"/>
    <w:rsid w:val="00945316"/>
    <w:rsid w:val="00946F8D"/>
    <w:rsid w:val="009502E9"/>
    <w:rsid w:val="00950950"/>
    <w:rsid w:val="0095231B"/>
    <w:rsid w:val="00955F25"/>
    <w:rsid w:val="009637EA"/>
    <w:rsid w:val="009641EA"/>
    <w:rsid w:val="00965272"/>
    <w:rsid w:val="00965D5D"/>
    <w:rsid w:val="00965DED"/>
    <w:rsid w:val="009660C0"/>
    <w:rsid w:val="00971A2C"/>
    <w:rsid w:val="0097361F"/>
    <w:rsid w:val="00974222"/>
    <w:rsid w:val="0097529F"/>
    <w:rsid w:val="009770DD"/>
    <w:rsid w:val="009777FB"/>
    <w:rsid w:val="00981993"/>
    <w:rsid w:val="0098245F"/>
    <w:rsid w:val="00983EE0"/>
    <w:rsid w:val="00985397"/>
    <w:rsid w:val="0098778D"/>
    <w:rsid w:val="009900AD"/>
    <w:rsid w:val="00991C37"/>
    <w:rsid w:val="0099328D"/>
    <w:rsid w:val="00994ECA"/>
    <w:rsid w:val="00995730"/>
    <w:rsid w:val="00995EC9"/>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212D"/>
    <w:rsid w:val="009C273D"/>
    <w:rsid w:val="009C2C58"/>
    <w:rsid w:val="009C3801"/>
    <w:rsid w:val="009C4291"/>
    <w:rsid w:val="009C7D6A"/>
    <w:rsid w:val="009D3244"/>
    <w:rsid w:val="009D3500"/>
    <w:rsid w:val="009E250B"/>
    <w:rsid w:val="009E44AD"/>
    <w:rsid w:val="009E58B0"/>
    <w:rsid w:val="009E6A9F"/>
    <w:rsid w:val="009F3AD0"/>
    <w:rsid w:val="009F75EC"/>
    <w:rsid w:val="00A01C72"/>
    <w:rsid w:val="00A02743"/>
    <w:rsid w:val="00A02850"/>
    <w:rsid w:val="00A03C89"/>
    <w:rsid w:val="00A03DC9"/>
    <w:rsid w:val="00A0483F"/>
    <w:rsid w:val="00A0649B"/>
    <w:rsid w:val="00A11EC0"/>
    <w:rsid w:val="00A11FB0"/>
    <w:rsid w:val="00A1286F"/>
    <w:rsid w:val="00A136CD"/>
    <w:rsid w:val="00A14B7E"/>
    <w:rsid w:val="00A21A2C"/>
    <w:rsid w:val="00A24751"/>
    <w:rsid w:val="00A27BA8"/>
    <w:rsid w:val="00A320B1"/>
    <w:rsid w:val="00A32542"/>
    <w:rsid w:val="00A33695"/>
    <w:rsid w:val="00A35C0D"/>
    <w:rsid w:val="00A36D27"/>
    <w:rsid w:val="00A36D70"/>
    <w:rsid w:val="00A4309F"/>
    <w:rsid w:val="00A431AF"/>
    <w:rsid w:val="00A449A6"/>
    <w:rsid w:val="00A45C17"/>
    <w:rsid w:val="00A469C9"/>
    <w:rsid w:val="00A46B32"/>
    <w:rsid w:val="00A51E27"/>
    <w:rsid w:val="00A60BA6"/>
    <w:rsid w:val="00A61994"/>
    <w:rsid w:val="00A64421"/>
    <w:rsid w:val="00A72569"/>
    <w:rsid w:val="00A72DF3"/>
    <w:rsid w:val="00A76A5D"/>
    <w:rsid w:val="00A772B4"/>
    <w:rsid w:val="00A801A9"/>
    <w:rsid w:val="00A80A02"/>
    <w:rsid w:val="00A81836"/>
    <w:rsid w:val="00A827EF"/>
    <w:rsid w:val="00A83F80"/>
    <w:rsid w:val="00A85CE0"/>
    <w:rsid w:val="00A86139"/>
    <w:rsid w:val="00A8655C"/>
    <w:rsid w:val="00A90BDF"/>
    <w:rsid w:val="00A91DBC"/>
    <w:rsid w:val="00A921D0"/>
    <w:rsid w:val="00A9707B"/>
    <w:rsid w:val="00A97B12"/>
    <w:rsid w:val="00AA02BE"/>
    <w:rsid w:val="00AA0B7E"/>
    <w:rsid w:val="00AA21F3"/>
    <w:rsid w:val="00AA2AD2"/>
    <w:rsid w:val="00AA40D1"/>
    <w:rsid w:val="00AB233A"/>
    <w:rsid w:val="00AB28E2"/>
    <w:rsid w:val="00AB2F46"/>
    <w:rsid w:val="00AB4E51"/>
    <w:rsid w:val="00AB5AE4"/>
    <w:rsid w:val="00AB5E31"/>
    <w:rsid w:val="00AB62B3"/>
    <w:rsid w:val="00AC14E2"/>
    <w:rsid w:val="00AC2688"/>
    <w:rsid w:val="00AC5975"/>
    <w:rsid w:val="00AC5F45"/>
    <w:rsid w:val="00AC69C3"/>
    <w:rsid w:val="00AD061B"/>
    <w:rsid w:val="00AD1C09"/>
    <w:rsid w:val="00AD4571"/>
    <w:rsid w:val="00AE1CD7"/>
    <w:rsid w:val="00AE2F75"/>
    <w:rsid w:val="00AE34DF"/>
    <w:rsid w:val="00AE5923"/>
    <w:rsid w:val="00AF0271"/>
    <w:rsid w:val="00AF06DB"/>
    <w:rsid w:val="00AF172A"/>
    <w:rsid w:val="00AF62BC"/>
    <w:rsid w:val="00AF672F"/>
    <w:rsid w:val="00AF7FA5"/>
    <w:rsid w:val="00B01163"/>
    <w:rsid w:val="00B0191A"/>
    <w:rsid w:val="00B028ED"/>
    <w:rsid w:val="00B0468D"/>
    <w:rsid w:val="00B05254"/>
    <w:rsid w:val="00B057CA"/>
    <w:rsid w:val="00B063D0"/>
    <w:rsid w:val="00B12EA6"/>
    <w:rsid w:val="00B141BC"/>
    <w:rsid w:val="00B15280"/>
    <w:rsid w:val="00B1595E"/>
    <w:rsid w:val="00B17100"/>
    <w:rsid w:val="00B200D4"/>
    <w:rsid w:val="00B207F4"/>
    <w:rsid w:val="00B22A44"/>
    <w:rsid w:val="00B244CF"/>
    <w:rsid w:val="00B2596F"/>
    <w:rsid w:val="00B27616"/>
    <w:rsid w:val="00B27865"/>
    <w:rsid w:val="00B27962"/>
    <w:rsid w:val="00B32179"/>
    <w:rsid w:val="00B33244"/>
    <w:rsid w:val="00B35C1A"/>
    <w:rsid w:val="00B36BA6"/>
    <w:rsid w:val="00B414D0"/>
    <w:rsid w:val="00B42ABA"/>
    <w:rsid w:val="00B439B1"/>
    <w:rsid w:val="00B4530A"/>
    <w:rsid w:val="00B50194"/>
    <w:rsid w:val="00B51F42"/>
    <w:rsid w:val="00B53030"/>
    <w:rsid w:val="00B65F23"/>
    <w:rsid w:val="00B679C2"/>
    <w:rsid w:val="00B7024C"/>
    <w:rsid w:val="00B70632"/>
    <w:rsid w:val="00B80B0E"/>
    <w:rsid w:val="00B822A4"/>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D0674"/>
    <w:rsid w:val="00BD26B2"/>
    <w:rsid w:val="00BD2B86"/>
    <w:rsid w:val="00BE0698"/>
    <w:rsid w:val="00BE1311"/>
    <w:rsid w:val="00BE2D91"/>
    <w:rsid w:val="00BE3226"/>
    <w:rsid w:val="00BE358B"/>
    <w:rsid w:val="00BE6DFE"/>
    <w:rsid w:val="00BF27C4"/>
    <w:rsid w:val="00BF3C7F"/>
    <w:rsid w:val="00BF4825"/>
    <w:rsid w:val="00BF4DBA"/>
    <w:rsid w:val="00BF640E"/>
    <w:rsid w:val="00BF666D"/>
    <w:rsid w:val="00BF67A2"/>
    <w:rsid w:val="00C000FD"/>
    <w:rsid w:val="00C01264"/>
    <w:rsid w:val="00C02143"/>
    <w:rsid w:val="00C029BC"/>
    <w:rsid w:val="00C04D37"/>
    <w:rsid w:val="00C0662F"/>
    <w:rsid w:val="00C066B8"/>
    <w:rsid w:val="00C07304"/>
    <w:rsid w:val="00C074C4"/>
    <w:rsid w:val="00C101C6"/>
    <w:rsid w:val="00C12FEB"/>
    <w:rsid w:val="00C15B08"/>
    <w:rsid w:val="00C1644D"/>
    <w:rsid w:val="00C16AD7"/>
    <w:rsid w:val="00C2230F"/>
    <w:rsid w:val="00C25670"/>
    <w:rsid w:val="00C2609F"/>
    <w:rsid w:val="00C2636B"/>
    <w:rsid w:val="00C277FB"/>
    <w:rsid w:val="00C3194E"/>
    <w:rsid w:val="00C338A5"/>
    <w:rsid w:val="00C356C8"/>
    <w:rsid w:val="00C367B4"/>
    <w:rsid w:val="00C368A1"/>
    <w:rsid w:val="00C36B2D"/>
    <w:rsid w:val="00C4072C"/>
    <w:rsid w:val="00C40D60"/>
    <w:rsid w:val="00C41ABD"/>
    <w:rsid w:val="00C43339"/>
    <w:rsid w:val="00C43A7D"/>
    <w:rsid w:val="00C46DB1"/>
    <w:rsid w:val="00C47BD3"/>
    <w:rsid w:val="00C50300"/>
    <w:rsid w:val="00C521E5"/>
    <w:rsid w:val="00C52B89"/>
    <w:rsid w:val="00C52CE2"/>
    <w:rsid w:val="00C53963"/>
    <w:rsid w:val="00C54763"/>
    <w:rsid w:val="00C563A1"/>
    <w:rsid w:val="00C569F8"/>
    <w:rsid w:val="00C57601"/>
    <w:rsid w:val="00C57B68"/>
    <w:rsid w:val="00C624CC"/>
    <w:rsid w:val="00C635CF"/>
    <w:rsid w:val="00C65806"/>
    <w:rsid w:val="00C707EE"/>
    <w:rsid w:val="00C71A90"/>
    <w:rsid w:val="00C8129D"/>
    <w:rsid w:val="00C81874"/>
    <w:rsid w:val="00C81D53"/>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604B"/>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3C12"/>
    <w:rsid w:val="00D054C0"/>
    <w:rsid w:val="00D06F70"/>
    <w:rsid w:val="00D07BD7"/>
    <w:rsid w:val="00D10700"/>
    <w:rsid w:val="00D10C3F"/>
    <w:rsid w:val="00D115F3"/>
    <w:rsid w:val="00D12FB2"/>
    <w:rsid w:val="00D14A32"/>
    <w:rsid w:val="00D2018B"/>
    <w:rsid w:val="00D20309"/>
    <w:rsid w:val="00D204FD"/>
    <w:rsid w:val="00D207BF"/>
    <w:rsid w:val="00D209F9"/>
    <w:rsid w:val="00D20C67"/>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2D05"/>
    <w:rsid w:val="00DC40DA"/>
    <w:rsid w:val="00DD12B7"/>
    <w:rsid w:val="00DD1906"/>
    <w:rsid w:val="00DD2C19"/>
    <w:rsid w:val="00DD58A5"/>
    <w:rsid w:val="00DD72AA"/>
    <w:rsid w:val="00DE0962"/>
    <w:rsid w:val="00DE230A"/>
    <w:rsid w:val="00DE35BA"/>
    <w:rsid w:val="00DE4035"/>
    <w:rsid w:val="00DE4821"/>
    <w:rsid w:val="00DE4EF2"/>
    <w:rsid w:val="00DE55EC"/>
    <w:rsid w:val="00DE5729"/>
    <w:rsid w:val="00DE6063"/>
    <w:rsid w:val="00DF008D"/>
    <w:rsid w:val="00DF6633"/>
    <w:rsid w:val="00DF7226"/>
    <w:rsid w:val="00E02226"/>
    <w:rsid w:val="00E02A1B"/>
    <w:rsid w:val="00E02C8A"/>
    <w:rsid w:val="00E050F3"/>
    <w:rsid w:val="00E052A9"/>
    <w:rsid w:val="00E07C8E"/>
    <w:rsid w:val="00E108C2"/>
    <w:rsid w:val="00E11F7B"/>
    <w:rsid w:val="00E12946"/>
    <w:rsid w:val="00E143FD"/>
    <w:rsid w:val="00E1696D"/>
    <w:rsid w:val="00E17043"/>
    <w:rsid w:val="00E1750A"/>
    <w:rsid w:val="00E2063E"/>
    <w:rsid w:val="00E21328"/>
    <w:rsid w:val="00E25528"/>
    <w:rsid w:val="00E27969"/>
    <w:rsid w:val="00E27CC9"/>
    <w:rsid w:val="00E32DA2"/>
    <w:rsid w:val="00E33B0C"/>
    <w:rsid w:val="00E33BF7"/>
    <w:rsid w:val="00E41415"/>
    <w:rsid w:val="00E417A7"/>
    <w:rsid w:val="00E41A58"/>
    <w:rsid w:val="00E42511"/>
    <w:rsid w:val="00E457D2"/>
    <w:rsid w:val="00E45FB9"/>
    <w:rsid w:val="00E4605F"/>
    <w:rsid w:val="00E46936"/>
    <w:rsid w:val="00E479DE"/>
    <w:rsid w:val="00E47CCD"/>
    <w:rsid w:val="00E5098D"/>
    <w:rsid w:val="00E509EA"/>
    <w:rsid w:val="00E528E4"/>
    <w:rsid w:val="00E543B2"/>
    <w:rsid w:val="00E54B05"/>
    <w:rsid w:val="00E5608A"/>
    <w:rsid w:val="00E56E29"/>
    <w:rsid w:val="00E57916"/>
    <w:rsid w:val="00E60049"/>
    <w:rsid w:val="00E60B50"/>
    <w:rsid w:val="00E63DC8"/>
    <w:rsid w:val="00E66040"/>
    <w:rsid w:val="00E669ED"/>
    <w:rsid w:val="00E70299"/>
    <w:rsid w:val="00E7112F"/>
    <w:rsid w:val="00E73B3F"/>
    <w:rsid w:val="00E748E2"/>
    <w:rsid w:val="00E75993"/>
    <w:rsid w:val="00E80172"/>
    <w:rsid w:val="00E802E3"/>
    <w:rsid w:val="00E804CC"/>
    <w:rsid w:val="00E83D25"/>
    <w:rsid w:val="00E83F90"/>
    <w:rsid w:val="00E84465"/>
    <w:rsid w:val="00E93275"/>
    <w:rsid w:val="00E9580A"/>
    <w:rsid w:val="00E96FFE"/>
    <w:rsid w:val="00EA3219"/>
    <w:rsid w:val="00EA3FEF"/>
    <w:rsid w:val="00EA419C"/>
    <w:rsid w:val="00EA549E"/>
    <w:rsid w:val="00EB154B"/>
    <w:rsid w:val="00EB24B3"/>
    <w:rsid w:val="00EB3D2B"/>
    <w:rsid w:val="00EB5804"/>
    <w:rsid w:val="00EB6AF6"/>
    <w:rsid w:val="00EB6B66"/>
    <w:rsid w:val="00EB7B94"/>
    <w:rsid w:val="00EC0D9E"/>
    <w:rsid w:val="00EC43A5"/>
    <w:rsid w:val="00EC5046"/>
    <w:rsid w:val="00EC5298"/>
    <w:rsid w:val="00EC69A1"/>
    <w:rsid w:val="00ED0491"/>
    <w:rsid w:val="00ED1EF3"/>
    <w:rsid w:val="00ED55F7"/>
    <w:rsid w:val="00ED7234"/>
    <w:rsid w:val="00ED7C8E"/>
    <w:rsid w:val="00EE2205"/>
    <w:rsid w:val="00EE2934"/>
    <w:rsid w:val="00EE385F"/>
    <w:rsid w:val="00EE651E"/>
    <w:rsid w:val="00EE6B9E"/>
    <w:rsid w:val="00EF0BD5"/>
    <w:rsid w:val="00EF0DA4"/>
    <w:rsid w:val="00EF13C2"/>
    <w:rsid w:val="00EF253C"/>
    <w:rsid w:val="00EF39E3"/>
    <w:rsid w:val="00EF735A"/>
    <w:rsid w:val="00F015E6"/>
    <w:rsid w:val="00F0322C"/>
    <w:rsid w:val="00F04906"/>
    <w:rsid w:val="00F04F29"/>
    <w:rsid w:val="00F12EA3"/>
    <w:rsid w:val="00F1455C"/>
    <w:rsid w:val="00F150E9"/>
    <w:rsid w:val="00F16CD7"/>
    <w:rsid w:val="00F174C5"/>
    <w:rsid w:val="00F20C92"/>
    <w:rsid w:val="00F21A1B"/>
    <w:rsid w:val="00F24AD1"/>
    <w:rsid w:val="00F276A6"/>
    <w:rsid w:val="00F30076"/>
    <w:rsid w:val="00F30757"/>
    <w:rsid w:val="00F325B9"/>
    <w:rsid w:val="00F33A0C"/>
    <w:rsid w:val="00F33AD3"/>
    <w:rsid w:val="00F356CE"/>
    <w:rsid w:val="00F35FFD"/>
    <w:rsid w:val="00F360BF"/>
    <w:rsid w:val="00F36707"/>
    <w:rsid w:val="00F40CD9"/>
    <w:rsid w:val="00F41952"/>
    <w:rsid w:val="00F41B3A"/>
    <w:rsid w:val="00F423F0"/>
    <w:rsid w:val="00F44F8A"/>
    <w:rsid w:val="00F4557F"/>
    <w:rsid w:val="00F463F5"/>
    <w:rsid w:val="00F51302"/>
    <w:rsid w:val="00F5381F"/>
    <w:rsid w:val="00F5524C"/>
    <w:rsid w:val="00F56926"/>
    <w:rsid w:val="00F60F37"/>
    <w:rsid w:val="00F61095"/>
    <w:rsid w:val="00F620A2"/>
    <w:rsid w:val="00F63BA7"/>
    <w:rsid w:val="00F7508F"/>
    <w:rsid w:val="00F7650D"/>
    <w:rsid w:val="00F777C7"/>
    <w:rsid w:val="00F800B6"/>
    <w:rsid w:val="00F84B2D"/>
    <w:rsid w:val="00F91572"/>
    <w:rsid w:val="00F93B5F"/>
    <w:rsid w:val="00F940AE"/>
    <w:rsid w:val="00F94F7D"/>
    <w:rsid w:val="00F94FFF"/>
    <w:rsid w:val="00F966F4"/>
    <w:rsid w:val="00FB199D"/>
    <w:rsid w:val="00FB1C26"/>
    <w:rsid w:val="00FB1D44"/>
    <w:rsid w:val="00FB2C3F"/>
    <w:rsid w:val="00FB3348"/>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B2D"/>
    <w:rsid w:val="00FE4AE0"/>
    <w:rsid w:val="00FE4D22"/>
    <w:rsid w:val="00FF0EEE"/>
    <w:rsid w:val="00FF28DF"/>
    <w:rsid w:val="00FF3A9F"/>
    <w:rsid w:val="00FF3ED5"/>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l-GR" w:eastAsia="el-GR" w:bidi="el-G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l-GR"/>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el-GR"/>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el-GR"/>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el-GR"/>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l-GR"/>
    </w:rPr>
  </w:style>
  <w:style w:type="character" w:customStyle="1" w:styleId="Heading3Char1">
    <w:name w:val="Heading 3 Char1"/>
    <w:link w:val="Heading3"/>
    <w:uiPriority w:val="99"/>
    <w:rsid w:val="001E5A75"/>
    <w:rPr>
      <w:rFonts w:ascii="Arial" w:hAnsi="Arial"/>
      <w:b/>
      <w:szCs w:val="20"/>
      <w:lang w:eastAsia="el-GR"/>
    </w:rPr>
  </w:style>
  <w:style w:type="character" w:customStyle="1" w:styleId="Heading4Char">
    <w:name w:val="Heading 4 Char"/>
    <w:link w:val="Heading4"/>
    <w:uiPriority w:val="99"/>
    <w:rsid w:val="00DE0962"/>
    <w:rPr>
      <w:rFonts w:ascii="Verdana" w:eastAsia="Times New Roman" w:hAnsi="Verdana"/>
      <w:b/>
      <w:szCs w:val="24"/>
      <w:u w:val="single"/>
      <w:lang w:eastAsia="el-GR"/>
    </w:rPr>
  </w:style>
  <w:style w:type="character" w:customStyle="1" w:styleId="Heading5Char">
    <w:name w:val="Heading 5 Char"/>
    <w:link w:val="Heading5"/>
    <w:uiPriority w:val="1"/>
    <w:rsid w:val="001E5A75"/>
    <w:rPr>
      <w:rFonts w:ascii="Arial" w:hAnsi="Arial"/>
      <w:b/>
      <w:i/>
      <w:szCs w:val="20"/>
      <w:lang w:eastAsia="el-GR"/>
    </w:rPr>
  </w:style>
  <w:style w:type="character" w:customStyle="1" w:styleId="Heading6Char">
    <w:name w:val="Heading 6 Char"/>
    <w:link w:val="Heading6"/>
    <w:semiHidden/>
    <w:rsid w:val="001E5A75"/>
    <w:rPr>
      <w:rFonts w:ascii="Times New Roman" w:hAnsi="Times New Roman"/>
      <w:b/>
      <w:bCs/>
      <w:lang w:eastAsia="el-GR"/>
    </w:rPr>
  </w:style>
  <w:style w:type="character" w:customStyle="1" w:styleId="Heading7Char">
    <w:name w:val="Heading 7 Char"/>
    <w:link w:val="Heading7"/>
    <w:semiHidden/>
    <w:rsid w:val="001E5A75"/>
    <w:rPr>
      <w:rFonts w:ascii="Times New Roman" w:hAnsi="Times New Roman"/>
      <w:sz w:val="24"/>
      <w:szCs w:val="20"/>
      <w:lang w:eastAsia="el-GR"/>
    </w:rPr>
  </w:style>
  <w:style w:type="character" w:customStyle="1" w:styleId="Heading8Char">
    <w:name w:val="Heading 8 Char"/>
    <w:link w:val="Heading8"/>
    <w:semiHidden/>
    <w:rsid w:val="001E5A75"/>
    <w:rPr>
      <w:rFonts w:ascii="Times New Roman" w:hAnsi="Times New Roman"/>
      <w:i/>
      <w:iCs/>
      <w:sz w:val="24"/>
      <w:szCs w:val="20"/>
      <w:lang w:eastAsia="el-GR"/>
    </w:rPr>
  </w:style>
  <w:style w:type="character" w:customStyle="1" w:styleId="Heading9Char">
    <w:name w:val="Heading 9 Char"/>
    <w:link w:val="Heading9"/>
    <w:semiHidden/>
    <w:rsid w:val="001E5A75"/>
    <w:rPr>
      <w:rFonts w:ascii="Arial" w:hAnsi="Arial" w:cs="Arial"/>
      <w:lang w:eastAsia="el-GR"/>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el-GR"/>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el-GR"/>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l-GR" w:eastAsia="el-GR"/>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l-G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el-G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l-G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l-GR"/>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l-GR"/>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l-GR"/>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el-GR" w:eastAsia="el-GR"/>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el-GR"/>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el-GR" w:eastAsia="el-GR" w:bidi="el-GR"/>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l-GR"/>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el-GR" w:eastAsia="el-GR" w:bidi="el-G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l-GR"/>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el-GR"/>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el-GR"/>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el-GR"/>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l-GR"/>
    </w:rPr>
  </w:style>
  <w:style w:type="character" w:customStyle="1" w:styleId="Heading3Char1">
    <w:name w:val="Heading 3 Char1"/>
    <w:link w:val="Heading3"/>
    <w:uiPriority w:val="99"/>
    <w:rsid w:val="001E5A75"/>
    <w:rPr>
      <w:rFonts w:ascii="Arial" w:hAnsi="Arial"/>
      <w:b/>
      <w:szCs w:val="20"/>
      <w:lang w:eastAsia="el-GR"/>
    </w:rPr>
  </w:style>
  <w:style w:type="character" w:customStyle="1" w:styleId="Heading4Char">
    <w:name w:val="Heading 4 Char"/>
    <w:link w:val="Heading4"/>
    <w:uiPriority w:val="99"/>
    <w:rsid w:val="00DE0962"/>
    <w:rPr>
      <w:rFonts w:ascii="Verdana" w:eastAsia="Times New Roman" w:hAnsi="Verdana"/>
      <w:b/>
      <w:szCs w:val="24"/>
      <w:u w:val="single"/>
      <w:lang w:eastAsia="el-GR"/>
    </w:rPr>
  </w:style>
  <w:style w:type="character" w:customStyle="1" w:styleId="Heading5Char">
    <w:name w:val="Heading 5 Char"/>
    <w:link w:val="Heading5"/>
    <w:uiPriority w:val="1"/>
    <w:rsid w:val="001E5A75"/>
    <w:rPr>
      <w:rFonts w:ascii="Arial" w:hAnsi="Arial"/>
      <w:b/>
      <w:i/>
      <w:szCs w:val="20"/>
      <w:lang w:eastAsia="el-GR"/>
    </w:rPr>
  </w:style>
  <w:style w:type="character" w:customStyle="1" w:styleId="Heading6Char">
    <w:name w:val="Heading 6 Char"/>
    <w:link w:val="Heading6"/>
    <w:semiHidden/>
    <w:rsid w:val="001E5A75"/>
    <w:rPr>
      <w:rFonts w:ascii="Times New Roman" w:hAnsi="Times New Roman"/>
      <w:b/>
      <w:bCs/>
      <w:lang w:eastAsia="el-GR"/>
    </w:rPr>
  </w:style>
  <w:style w:type="character" w:customStyle="1" w:styleId="Heading7Char">
    <w:name w:val="Heading 7 Char"/>
    <w:link w:val="Heading7"/>
    <w:semiHidden/>
    <w:rsid w:val="001E5A75"/>
    <w:rPr>
      <w:rFonts w:ascii="Times New Roman" w:hAnsi="Times New Roman"/>
      <w:sz w:val="24"/>
      <w:szCs w:val="20"/>
      <w:lang w:eastAsia="el-GR"/>
    </w:rPr>
  </w:style>
  <w:style w:type="character" w:customStyle="1" w:styleId="Heading8Char">
    <w:name w:val="Heading 8 Char"/>
    <w:link w:val="Heading8"/>
    <w:semiHidden/>
    <w:rsid w:val="001E5A75"/>
    <w:rPr>
      <w:rFonts w:ascii="Times New Roman" w:hAnsi="Times New Roman"/>
      <w:i/>
      <w:iCs/>
      <w:sz w:val="24"/>
      <w:szCs w:val="20"/>
      <w:lang w:eastAsia="el-GR"/>
    </w:rPr>
  </w:style>
  <w:style w:type="character" w:customStyle="1" w:styleId="Heading9Char">
    <w:name w:val="Heading 9 Char"/>
    <w:link w:val="Heading9"/>
    <w:semiHidden/>
    <w:rsid w:val="001E5A75"/>
    <w:rPr>
      <w:rFonts w:ascii="Arial" w:hAnsi="Arial" w:cs="Arial"/>
      <w:lang w:eastAsia="el-GR"/>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el-GR"/>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el-GR"/>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l-GR" w:eastAsia="el-GR"/>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l-G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el-G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l-G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l-GR"/>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l-GR"/>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l-GR"/>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el-GR" w:eastAsia="el-GR"/>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el-GR"/>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el-GR" w:eastAsia="el-GR" w:bidi="el-GR"/>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l-GR"/>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87F39-4941-46AF-8CAF-D6CC511FDE9C}">
  <ds:schemaRefs>
    <ds:schemaRef ds:uri="http://schemas.openxmlformats.org/officeDocument/2006/bibliography"/>
  </ds:schemaRefs>
</ds:datastoreItem>
</file>

<file path=customXml/itemProps2.xml><?xml version="1.0" encoding="utf-8"?>
<ds:datastoreItem xmlns:ds="http://schemas.openxmlformats.org/officeDocument/2006/customXml" ds:itemID="{342667AC-410F-44B2-8402-5F447D87C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21</Pages>
  <Words>5951</Words>
  <Characters>33922</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39794</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ΒΕL1834</cp:lastModifiedBy>
  <cp:revision>11</cp:revision>
  <dcterms:created xsi:type="dcterms:W3CDTF">2018-06-13T13:34:00Z</dcterms:created>
  <dcterms:modified xsi:type="dcterms:W3CDTF">2018-09-09T12:42:00Z</dcterms:modified>
</cp:coreProperties>
</file>