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34A4" w:rsidRPr="00583DD0" w:rsidRDefault="008934A4" w:rsidP="00A15D28">
      <w:pPr>
        <w:jc w:val="center"/>
        <w:rPr>
          <w:rFonts w:ascii="Times New Roman" w:hAnsi="Times New Roman"/>
          <w:b/>
          <w:sz w:val="24"/>
          <w:szCs w:val="24"/>
        </w:rPr>
      </w:pPr>
      <w:bookmarkStart w:id="0" w:name="_GoBack"/>
      <w:r>
        <w:rPr>
          <w:rFonts w:ascii="Times New Roman" w:hAnsi="Times New Roman"/>
          <w:b/>
          <w:sz w:val="24"/>
        </w:rPr>
        <w:t>DE</w:t>
      </w:r>
    </w:p>
    <w:p w:rsidR="008934A4" w:rsidRDefault="008934A4" w:rsidP="00A15D28">
      <w:pPr>
        <w:jc w:val="center"/>
        <w:rPr>
          <w:rFonts w:ascii="Times New Roman" w:hAnsi="Times New Roman"/>
          <w:b/>
          <w:sz w:val="24"/>
          <w:szCs w:val="24"/>
        </w:rPr>
      </w:pPr>
      <w:r>
        <w:rPr>
          <w:rFonts w:ascii="Times New Roman" w:hAnsi="Times New Roman"/>
          <w:b/>
          <w:sz w:val="24"/>
        </w:rPr>
        <w:t>ANHANG V</w:t>
      </w:r>
    </w:p>
    <w:p w:rsidR="001F0676" w:rsidRDefault="001F0676" w:rsidP="00A15D28">
      <w:pPr>
        <w:jc w:val="center"/>
        <w:rPr>
          <w:rFonts w:ascii="Times New Roman" w:hAnsi="Times New Roman"/>
          <w:sz w:val="24"/>
          <w:szCs w:val="24"/>
        </w:rPr>
      </w:pPr>
    </w:p>
    <w:p w:rsidR="00BB7DB0" w:rsidRDefault="00BB7DB0" w:rsidP="00A15D28">
      <w:pPr>
        <w:jc w:val="center"/>
        <w:rPr>
          <w:rFonts w:ascii="Times New Roman" w:hAnsi="Times New Roman"/>
          <w:sz w:val="24"/>
          <w:szCs w:val="24"/>
        </w:rPr>
      </w:pPr>
    </w:p>
    <w:p w:rsidR="001807E9" w:rsidRPr="00583DD0" w:rsidRDefault="001807E9" w:rsidP="00A15D28">
      <w:pPr>
        <w:jc w:val="center"/>
        <w:rPr>
          <w:rFonts w:ascii="Times New Roman" w:hAnsi="Times New Roman"/>
          <w:sz w:val="24"/>
          <w:szCs w:val="24"/>
        </w:rPr>
      </w:pPr>
    </w:p>
    <w:p w:rsidR="00A15D28" w:rsidRPr="00C0500B" w:rsidRDefault="00A15D28" w:rsidP="00A15D28">
      <w:pPr>
        <w:jc w:val="center"/>
        <w:rPr>
          <w:rFonts w:ascii="Times New Roman" w:hAnsi="Times New Roman"/>
          <w:sz w:val="28"/>
          <w:szCs w:val="28"/>
          <w:u w:val="single"/>
        </w:rPr>
      </w:pPr>
      <w:r>
        <w:rPr>
          <w:rFonts w:ascii="Times New Roman" w:hAnsi="Times New Roman"/>
          <w:b/>
          <w:sz w:val="24"/>
          <w:u w:val="single"/>
        </w:rPr>
        <w:t>ANHANG XI</w:t>
      </w:r>
    </w:p>
    <w:p w:rsidR="00A15D28" w:rsidRPr="00E94154" w:rsidRDefault="00A15D28" w:rsidP="00A15D28">
      <w:pPr>
        <w:jc w:val="center"/>
        <w:rPr>
          <w:rFonts w:ascii="Times New Roman" w:hAnsi="Times New Roman"/>
        </w:rPr>
      </w:pPr>
      <w:r>
        <w:rPr>
          <w:rFonts w:ascii="Times New Roman" w:hAnsi="Times New Roman"/>
          <w:b/>
          <w:sz w:val="24"/>
        </w:rPr>
        <w:t>VERSCHULDUNG</w:t>
      </w:r>
    </w:p>
    <w:p w:rsidR="00F4754B" w:rsidRPr="00E94154" w:rsidRDefault="00F4754B" w:rsidP="00F4754B">
      <w:pPr>
        <w:pStyle w:val="BodyText1"/>
        <w:rPr>
          <w:rFonts w:ascii="Times New Roman" w:hAnsi="Times New Roman"/>
        </w:rPr>
      </w:pPr>
    </w:p>
    <w:p w:rsidR="00A15D28" w:rsidRPr="00E94154" w:rsidRDefault="00A15D28" w:rsidP="00F4754B">
      <w:pPr>
        <w:pStyle w:val="BodyText1"/>
        <w:rPr>
          <w:rFonts w:ascii="Times New Roman" w:hAnsi="Times New Roman"/>
        </w:rPr>
      </w:pPr>
    </w:p>
    <w:p w:rsidR="00F4754B" w:rsidRPr="00E94154" w:rsidRDefault="00F4754B" w:rsidP="00F4754B">
      <w:pPr>
        <w:pStyle w:val="BodyText1"/>
        <w:rPr>
          <w:rFonts w:ascii="Times New Roman" w:hAnsi="Times New Roman"/>
        </w:rPr>
      </w:pPr>
    </w:p>
    <w:p w:rsidR="009112BB" w:rsidRPr="00E94154" w:rsidRDefault="009112BB" w:rsidP="009112BB">
      <w:pPr>
        <w:pStyle w:val="BodyText1"/>
        <w:ind w:left="720"/>
        <w:rPr>
          <w:rFonts w:ascii="Times New Roman" w:hAnsi="Times New Roman"/>
        </w:rPr>
      </w:pPr>
    </w:p>
    <w:p w:rsidR="00546A55" w:rsidRPr="00554D48" w:rsidRDefault="00546A55">
      <w:pPr>
        <w:pStyle w:val="TOC1"/>
        <w:rPr>
          <w:rFonts w:asciiTheme="minorHAnsi" w:eastAsiaTheme="minorEastAsia" w:hAnsiTheme="minorHAnsi" w:cstheme="minorBidi"/>
          <w:b/>
          <w:color w:val="auto"/>
          <w:sz w:val="22"/>
          <w:szCs w:val="22"/>
          <w:lang w:val="en-GB" w:eastAsia="en-GB" w:bidi="ar-SA"/>
        </w:rPr>
      </w:pPr>
      <w:r w:rsidRPr="00554D48">
        <w:rPr>
          <w:rFonts w:ascii="Times New Roman" w:hAnsi="Times New Roman"/>
          <w:b/>
        </w:rPr>
        <w:fldChar w:fldCharType="begin"/>
      </w:r>
      <w:r w:rsidRPr="00554D48">
        <w:rPr>
          <w:rFonts w:ascii="Times New Roman" w:hAnsi="Times New Roman"/>
          <w:b/>
        </w:rPr>
        <w:instrText xml:space="preserve"> TOC \o "1-3" \h \z \u </w:instrText>
      </w:r>
      <w:r w:rsidRPr="00554D48">
        <w:rPr>
          <w:rFonts w:ascii="Times New Roman" w:hAnsi="Times New Roman"/>
          <w:b/>
        </w:rPr>
        <w:fldChar w:fldCharType="separate"/>
      </w:r>
      <w:hyperlink w:anchor="_Toc524078168" w:history="1">
        <w:r w:rsidRPr="00554D48">
          <w:rPr>
            <w:rStyle w:val="Hyperlink"/>
            <w:rFonts w:ascii="Times New Roman" w:hAnsi="Times New Roman"/>
            <w:b/>
          </w:rPr>
          <w:t>TEIL I: ALLGEMEINE ERLÄUTERUNGEN</w:t>
        </w:r>
        <w:r w:rsidRPr="00554D48">
          <w:rPr>
            <w:b/>
            <w:webHidden/>
          </w:rPr>
          <w:tab/>
        </w:r>
        <w:r w:rsidRPr="00554D48">
          <w:rPr>
            <w:b/>
            <w:webHidden/>
          </w:rPr>
          <w:fldChar w:fldCharType="begin"/>
        </w:r>
        <w:r w:rsidRPr="00554D48">
          <w:rPr>
            <w:b/>
            <w:webHidden/>
          </w:rPr>
          <w:instrText xml:space="preserve"> PAGEREF _Toc524078168 \h </w:instrText>
        </w:r>
        <w:r w:rsidRPr="00554D48">
          <w:rPr>
            <w:b/>
            <w:webHidden/>
          </w:rPr>
        </w:r>
        <w:r w:rsidRPr="00554D48">
          <w:rPr>
            <w:b/>
            <w:webHidden/>
          </w:rPr>
          <w:fldChar w:fldCharType="separate"/>
        </w:r>
        <w:r w:rsidRPr="00554D48">
          <w:rPr>
            <w:b/>
            <w:webHidden/>
          </w:rPr>
          <w:t>2</w:t>
        </w:r>
        <w:r w:rsidRPr="00554D48">
          <w:rPr>
            <w:b/>
            <w:webHidden/>
          </w:rPr>
          <w:fldChar w:fldCharType="end"/>
        </w:r>
      </w:hyperlink>
    </w:p>
    <w:p w:rsidR="00546A55" w:rsidRPr="00554D48" w:rsidRDefault="00546A55">
      <w:pPr>
        <w:pStyle w:val="TOC2"/>
        <w:rPr>
          <w:rFonts w:asciiTheme="minorHAnsi" w:eastAsiaTheme="minorEastAsia" w:hAnsiTheme="minorHAnsi" w:cstheme="minorBidi"/>
          <w:smallCaps w:val="0"/>
          <w:sz w:val="22"/>
          <w:lang w:val="en-GB" w:eastAsia="en-GB" w:bidi="ar-SA"/>
        </w:rPr>
      </w:pPr>
      <w:hyperlink w:anchor="_Toc524078169" w:history="1">
        <w:r w:rsidRPr="00554D48">
          <w:rPr>
            <w:rStyle w:val="Hyperlink"/>
            <w:rFonts w:ascii="Times New Roman" w:hAnsi="Times New Roman"/>
          </w:rPr>
          <w:t>1.</w:t>
        </w:r>
        <w:r w:rsidRPr="00554D48">
          <w:rPr>
            <w:rFonts w:asciiTheme="minorHAnsi" w:eastAsiaTheme="minorEastAsia" w:hAnsiTheme="minorHAnsi" w:cstheme="minorBidi"/>
            <w:smallCaps w:val="0"/>
            <w:sz w:val="22"/>
            <w:lang w:val="en-GB" w:eastAsia="en-GB" w:bidi="ar-SA"/>
          </w:rPr>
          <w:tab/>
        </w:r>
        <w:r w:rsidRPr="00554D48">
          <w:rPr>
            <w:rStyle w:val="Hyperlink"/>
            <w:rFonts w:ascii="Times New Roman" w:hAnsi="Times New Roman"/>
          </w:rPr>
          <w:t>Bezeichnung der Meldebögen und sonstige Konventionen</w:t>
        </w:r>
        <w:r w:rsidRPr="00554D48">
          <w:rPr>
            <w:webHidden/>
          </w:rPr>
          <w:tab/>
        </w:r>
        <w:r w:rsidRPr="00554D48">
          <w:rPr>
            <w:webHidden/>
          </w:rPr>
          <w:fldChar w:fldCharType="begin"/>
        </w:r>
        <w:r w:rsidRPr="00554D48">
          <w:rPr>
            <w:webHidden/>
          </w:rPr>
          <w:instrText xml:space="preserve"> PAGEREF _Toc524078169 \h </w:instrText>
        </w:r>
        <w:r w:rsidRPr="00554D48">
          <w:rPr>
            <w:webHidden/>
          </w:rPr>
        </w:r>
        <w:r w:rsidRPr="00554D48">
          <w:rPr>
            <w:webHidden/>
          </w:rPr>
          <w:fldChar w:fldCharType="separate"/>
        </w:r>
        <w:r w:rsidRPr="00554D48">
          <w:rPr>
            <w:webHidden/>
          </w:rPr>
          <w:t>2</w:t>
        </w:r>
        <w:r w:rsidRPr="00554D48">
          <w:rPr>
            <w:webHidden/>
          </w:rPr>
          <w:fldChar w:fldCharType="end"/>
        </w:r>
      </w:hyperlink>
    </w:p>
    <w:p w:rsidR="00546A55" w:rsidRPr="00554D48" w:rsidRDefault="00546A55">
      <w:pPr>
        <w:pStyle w:val="TOC3"/>
        <w:rPr>
          <w:rFonts w:asciiTheme="minorHAnsi" w:eastAsiaTheme="minorEastAsia" w:hAnsiTheme="minorHAnsi" w:cstheme="minorBidi"/>
          <w:b/>
          <w:smallCaps w:val="0"/>
          <w:sz w:val="22"/>
          <w:szCs w:val="22"/>
          <w:lang w:val="en-GB" w:eastAsia="en-GB" w:bidi="ar-SA"/>
        </w:rPr>
      </w:pPr>
      <w:hyperlink w:anchor="_Toc524078170" w:history="1">
        <w:r w:rsidRPr="00554D48">
          <w:rPr>
            <w:rStyle w:val="Hyperlink"/>
            <w:rFonts w:ascii="Times New Roman" w:hAnsi="Times New Roman"/>
            <w:b/>
          </w:rPr>
          <w:t>1.1.</w:t>
        </w:r>
        <w:r w:rsidRPr="00554D48">
          <w:rPr>
            <w:rFonts w:asciiTheme="minorHAnsi" w:eastAsiaTheme="minorEastAsia" w:hAnsiTheme="minorHAnsi" w:cstheme="minorBidi"/>
            <w:b/>
            <w:smallCaps w:val="0"/>
            <w:sz w:val="22"/>
            <w:szCs w:val="22"/>
            <w:lang w:val="en-GB" w:eastAsia="en-GB" w:bidi="ar-SA"/>
          </w:rPr>
          <w:tab/>
        </w:r>
        <w:r w:rsidRPr="00554D48">
          <w:rPr>
            <w:rStyle w:val="Hyperlink"/>
            <w:rFonts w:ascii="Times New Roman" w:hAnsi="Times New Roman"/>
            <w:b/>
          </w:rPr>
          <w:t>Bezeichnung der Meldebögen</w:t>
        </w:r>
        <w:r w:rsidRPr="00554D48">
          <w:rPr>
            <w:b/>
            <w:webHidden/>
          </w:rPr>
          <w:tab/>
        </w:r>
        <w:r w:rsidRPr="00554D48">
          <w:rPr>
            <w:b/>
            <w:webHidden/>
          </w:rPr>
          <w:fldChar w:fldCharType="begin"/>
        </w:r>
        <w:r w:rsidRPr="00554D48">
          <w:rPr>
            <w:b/>
            <w:webHidden/>
          </w:rPr>
          <w:instrText xml:space="preserve"> PAGEREF _Toc524078170 \h </w:instrText>
        </w:r>
        <w:r w:rsidRPr="00554D48">
          <w:rPr>
            <w:b/>
            <w:webHidden/>
          </w:rPr>
        </w:r>
        <w:r w:rsidRPr="00554D48">
          <w:rPr>
            <w:b/>
            <w:webHidden/>
          </w:rPr>
          <w:fldChar w:fldCharType="separate"/>
        </w:r>
        <w:r w:rsidRPr="00554D48">
          <w:rPr>
            <w:b/>
            <w:webHidden/>
          </w:rPr>
          <w:t>2</w:t>
        </w:r>
        <w:r w:rsidRPr="00554D48">
          <w:rPr>
            <w:b/>
            <w:webHidden/>
          </w:rPr>
          <w:fldChar w:fldCharType="end"/>
        </w:r>
      </w:hyperlink>
    </w:p>
    <w:p w:rsidR="00546A55" w:rsidRPr="00554D48" w:rsidRDefault="00546A55">
      <w:pPr>
        <w:pStyle w:val="TOC3"/>
        <w:rPr>
          <w:rFonts w:asciiTheme="minorHAnsi" w:eastAsiaTheme="minorEastAsia" w:hAnsiTheme="minorHAnsi" w:cstheme="minorBidi"/>
          <w:b/>
          <w:smallCaps w:val="0"/>
          <w:sz w:val="22"/>
          <w:szCs w:val="22"/>
          <w:lang w:val="en-GB" w:eastAsia="en-GB" w:bidi="ar-SA"/>
        </w:rPr>
      </w:pPr>
      <w:hyperlink w:anchor="_Toc524078171" w:history="1">
        <w:r w:rsidRPr="00554D48">
          <w:rPr>
            <w:rStyle w:val="Hyperlink"/>
            <w:rFonts w:ascii="Times New Roman" w:hAnsi="Times New Roman"/>
            <w:b/>
          </w:rPr>
          <w:t>1.2.</w:t>
        </w:r>
        <w:r w:rsidRPr="00554D48">
          <w:rPr>
            <w:rFonts w:asciiTheme="minorHAnsi" w:eastAsiaTheme="minorEastAsia" w:hAnsiTheme="minorHAnsi" w:cstheme="minorBidi"/>
            <w:b/>
            <w:smallCaps w:val="0"/>
            <w:sz w:val="22"/>
            <w:szCs w:val="22"/>
            <w:lang w:val="en-GB" w:eastAsia="en-GB" w:bidi="ar-SA"/>
          </w:rPr>
          <w:tab/>
        </w:r>
        <w:r w:rsidRPr="00554D48">
          <w:rPr>
            <w:rStyle w:val="Hyperlink"/>
            <w:rFonts w:ascii="Times New Roman" w:hAnsi="Times New Roman"/>
            <w:b/>
          </w:rPr>
          <w:t>Nummerierungskonvention</w:t>
        </w:r>
        <w:r w:rsidRPr="00554D48">
          <w:rPr>
            <w:b/>
            <w:webHidden/>
          </w:rPr>
          <w:tab/>
        </w:r>
        <w:r w:rsidRPr="00554D48">
          <w:rPr>
            <w:b/>
            <w:webHidden/>
          </w:rPr>
          <w:fldChar w:fldCharType="begin"/>
        </w:r>
        <w:r w:rsidRPr="00554D48">
          <w:rPr>
            <w:b/>
            <w:webHidden/>
          </w:rPr>
          <w:instrText xml:space="preserve"> PAGEREF _Toc524078171 \h </w:instrText>
        </w:r>
        <w:r w:rsidRPr="00554D48">
          <w:rPr>
            <w:b/>
            <w:webHidden/>
          </w:rPr>
        </w:r>
        <w:r w:rsidRPr="00554D48">
          <w:rPr>
            <w:b/>
            <w:webHidden/>
          </w:rPr>
          <w:fldChar w:fldCharType="separate"/>
        </w:r>
        <w:r w:rsidRPr="00554D48">
          <w:rPr>
            <w:b/>
            <w:webHidden/>
          </w:rPr>
          <w:t>2</w:t>
        </w:r>
        <w:r w:rsidRPr="00554D48">
          <w:rPr>
            <w:b/>
            <w:webHidden/>
          </w:rPr>
          <w:fldChar w:fldCharType="end"/>
        </w:r>
      </w:hyperlink>
    </w:p>
    <w:p w:rsidR="00546A55" w:rsidRPr="00554D48" w:rsidRDefault="00546A55">
      <w:pPr>
        <w:pStyle w:val="TOC3"/>
        <w:rPr>
          <w:rFonts w:asciiTheme="minorHAnsi" w:eastAsiaTheme="minorEastAsia" w:hAnsiTheme="minorHAnsi" w:cstheme="minorBidi"/>
          <w:b/>
          <w:smallCaps w:val="0"/>
          <w:sz w:val="22"/>
          <w:szCs w:val="22"/>
          <w:lang w:val="en-GB" w:eastAsia="en-GB" w:bidi="ar-SA"/>
        </w:rPr>
      </w:pPr>
      <w:hyperlink w:anchor="_Toc524078172" w:history="1">
        <w:r w:rsidRPr="00554D48">
          <w:rPr>
            <w:rStyle w:val="Hyperlink"/>
            <w:rFonts w:ascii="Times New Roman" w:hAnsi="Times New Roman"/>
            <w:b/>
          </w:rPr>
          <w:t>1.3.</w:t>
        </w:r>
        <w:r w:rsidRPr="00554D48">
          <w:rPr>
            <w:rFonts w:asciiTheme="minorHAnsi" w:eastAsiaTheme="minorEastAsia" w:hAnsiTheme="minorHAnsi" w:cstheme="minorBidi"/>
            <w:b/>
            <w:smallCaps w:val="0"/>
            <w:sz w:val="22"/>
            <w:szCs w:val="22"/>
            <w:lang w:val="en-GB" w:eastAsia="en-GB" w:bidi="ar-SA"/>
          </w:rPr>
          <w:tab/>
        </w:r>
        <w:r w:rsidRPr="00554D48">
          <w:rPr>
            <w:rStyle w:val="Hyperlink"/>
            <w:rFonts w:ascii="Times New Roman" w:hAnsi="Times New Roman"/>
            <w:b/>
          </w:rPr>
          <w:t>Abkürzungen</w:t>
        </w:r>
        <w:r w:rsidRPr="00554D48">
          <w:rPr>
            <w:b/>
            <w:webHidden/>
          </w:rPr>
          <w:tab/>
        </w:r>
        <w:r w:rsidRPr="00554D48">
          <w:rPr>
            <w:b/>
            <w:webHidden/>
          </w:rPr>
          <w:fldChar w:fldCharType="begin"/>
        </w:r>
        <w:r w:rsidRPr="00554D48">
          <w:rPr>
            <w:b/>
            <w:webHidden/>
          </w:rPr>
          <w:instrText xml:space="preserve"> PAGEREF _Toc524078172 \h </w:instrText>
        </w:r>
        <w:r w:rsidRPr="00554D48">
          <w:rPr>
            <w:b/>
            <w:webHidden/>
          </w:rPr>
        </w:r>
        <w:r w:rsidRPr="00554D48">
          <w:rPr>
            <w:b/>
            <w:webHidden/>
          </w:rPr>
          <w:fldChar w:fldCharType="separate"/>
        </w:r>
        <w:r w:rsidRPr="00554D48">
          <w:rPr>
            <w:b/>
            <w:webHidden/>
          </w:rPr>
          <w:t>2</w:t>
        </w:r>
        <w:r w:rsidRPr="00554D48">
          <w:rPr>
            <w:b/>
            <w:webHidden/>
          </w:rPr>
          <w:fldChar w:fldCharType="end"/>
        </w:r>
      </w:hyperlink>
    </w:p>
    <w:p w:rsidR="00546A55" w:rsidRPr="00554D48" w:rsidRDefault="00546A55">
      <w:pPr>
        <w:pStyle w:val="TOC3"/>
        <w:rPr>
          <w:rFonts w:asciiTheme="minorHAnsi" w:eastAsiaTheme="minorEastAsia" w:hAnsiTheme="minorHAnsi" w:cstheme="minorBidi"/>
          <w:b/>
          <w:smallCaps w:val="0"/>
          <w:sz w:val="22"/>
          <w:szCs w:val="22"/>
          <w:lang w:val="en-GB" w:eastAsia="en-GB" w:bidi="ar-SA"/>
        </w:rPr>
      </w:pPr>
      <w:hyperlink w:anchor="_Toc524078173" w:history="1">
        <w:r w:rsidRPr="00554D48">
          <w:rPr>
            <w:rStyle w:val="Hyperlink"/>
            <w:rFonts w:ascii="Times New Roman" w:hAnsi="Times New Roman"/>
            <w:b/>
          </w:rPr>
          <w:t>1.4.</w:t>
        </w:r>
        <w:r w:rsidRPr="00554D48">
          <w:rPr>
            <w:rFonts w:asciiTheme="minorHAnsi" w:eastAsiaTheme="minorEastAsia" w:hAnsiTheme="minorHAnsi" w:cstheme="minorBidi"/>
            <w:b/>
            <w:smallCaps w:val="0"/>
            <w:sz w:val="22"/>
            <w:szCs w:val="22"/>
            <w:lang w:val="en-GB" w:eastAsia="en-GB" w:bidi="ar-SA"/>
          </w:rPr>
          <w:tab/>
        </w:r>
        <w:r w:rsidRPr="00554D48">
          <w:rPr>
            <w:rStyle w:val="Hyperlink"/>
            <w:rFonts w:ascii="Times New Roman" w:hAnsi="Times New Roman"/>
            <w:b/>
          </w:rPr>
          <w:t>Vorzeichenkonvention</w:t>
        </w:r>
        <w:r w:rsidRPr="00554D48">
          <w:rPr>
            <w:b/>
            <w:webHidden/>
          </w:rPr>
          <w:tab/>
        </w:r>
        <w:r w:rsidRPr="00554D48">
          <w:rPr>
            <w:b/>
            <w:webHidden/>
          </w:rPr>
          <w:fldChar w:fldCharType="begin"/>
        </w:r>
        <w:r w:rsidRPr="00554D48">
          <w:rPr>
            <w:b/>
            <w:webHidden/>
          </w:rPr>
          <w:instrText xml:space="preserve"> PAGEREF _Toc524078173 \h </w:instrText>
        </w:r>
        <w:r w:rsidRPr="00554D48">
          <w:rPr>
            <w:b/>
            <w:webHidden/>
          </w:rPr>
        </w:r>
        <w:r w:rsidRPr="00554D48">
          <w:rPr>
            <w:b/>
            <w:webHidden/>
          </w:rPr>
          <w:fldChar w:fldCharType="separate"/>
        </w:r>
        <w:r w:rsidRPr="00554D48">
          <w:rPr>
            <w:b/>
            <w:webHidden/>
          </w:rPr>
          <w:t>3</w:t>
        </w:r>
        <w:r w:rsidRPr="00554D48">
          <w:rPr>
            <w:b/>
            <w:webHidden/>
          </w:rPr>
          <w:fldChar w:fldCharType="end"/>
        </w:r>
      </w:hyperlink>
    </w:p>
    <w:p w:rsidR="00546A55" w:rsidRPr="00554D48" w:rsidRDefault="00546A55">
      <w:pPr>
        <w:pStyle w:val="TOC1"/>
        <w:rPr>
          <w:rFonts w:asciiTheme="minorHAnsi" w:eastAsiaTheme="minorEastAsia" w:hAnsiTheme="minorHAnsi" w:cstheme="minorBidi"/>
          <w:b/>
          <w:color w:val="auto"/>
          <w:sz w:val="22"/>
          <w:szCs w:val="22"/>
          <w:lang w:val="en-GB" w:eastAsia="en-GB" w:bidi="ar-SA"/>
        </w:rPr>
      </w:pPr>
      <w:hyperlink w:anchor="_Toc524078174" w:history="1">
        <w:r w:rsidRPr="00554D48">
          <w:rPr>
            <w:rStyle w:val="Hyperlink"/>
            <w:rFonts w:ascii="Times New Roman" w:hAnsi="Times New Roman"/>
            <w:b/>
          </w:rPr>
          <w:t>TEIL II: ERLÄUTERUNGEN ZU DEN EINZELNEN MELDEBÖGEN</w:t>
        </w:r>
        <w:r w:rsidRPr="00554D48">
          <w:rPr>
            <w:b/>
            <w:webHidden/>
          </w:rPr>
          <w:tab/>
        </w:r>
        <w:r w:rsidRPr="00554D48">
          <w:rPr>
            <w:b/>
            <w:webHidden/>
          </w:rPr>
          <w:fldChar w:fldCharType="begin"/>
        </w:r>
        <w:r w:rsidRPr="00554D48">
          <w:rPr>
            <w:b/>
            <w:webHidden/>
          </w:rPr>
          <w:instrText xml:space="preserve"> PAGEREF _Toc524078174 \h </w:instrText>
        </w:r>
        <w:r w:rsidRPr="00554D48">
          <w:rPr>
            <w:b/>
            <w:webHidden/>
          </w:rPr>
        </w:r>
        <w:r w:rsidRPr="00554D48">
          <w:rPr>
            <w:b/>
            <w:webHidden/>
          </w:rPr>
          <w:fldChar w:fldCharType="separate"/>
        </w:r>
        <w:r w:rsidRPr="00554D48">
          <w:rPr>
            <w:b/>
            <w:webHidden/>
          </w:rPr>
          <w:t>4</w:t>
        </w:r>
        <w:r w:rsidRPr="00554D48">
          <w:rPr>
            <w:b/>
            <w:webHidden/>
          </w:rPr>
          <w:fldChar w:fldCharType="end"/>
        </w:r>
      </w:hyperlink>
    </w:p>
    <w:p w:rsidR="00546A55" w:rsidRPr="00554D48" w:rsidRDefault="00546A55">
      <w:pPr>
        <w:pStyle w:val="TOC2"/>
        <w:rPr>
          <w:rFonts w:asciiTheme="minorHAnsi" w:eastAsiaTheme="minorEastAsia" w:hAnsiTheme="minorHAnsi" w:cstheme="minorBidi"/>
          <w:smallCaps w:val="0"/>
          <w:sz w:val="22"/>
          <w:lang w:val="en-GB" w:eastAsia="en-GB" w:bidi="ar-SA"/>
        </w:rPr>
      </w:pPr>
      <w:hyperlink w:anchor="_Toc524078175" w:history="1">
        <w:r w:rsidRPr="00554D48">
          <w:rPr>
            <w:rStyle w:val="Hyperlink"/>
            <w:rFonts w:ascii="Times New Roman" w:hAnsi="Times New Roman"/>
          </w:rPr>
          <w:t>1.</w:t>
        </w:r>
        <w:r w:rsidRPr="00554D48">
          <w:rPr>
            <w:rFonts w:asciiTheme="minorHAnsi" w:eastAsiaTheme="minorEastAsia" w:hAnsiTheme="minorHAnsi" w:cstheme="minorBidi"/>
            <w:smallCaps w:val="0"/>
            <w:sz w:val="22"/>
            <w:lang w:val="en-GB" w:eastAsia="en-GB" w:bidi="ar-SA"/>
          </w:rPr>
          <w:tab/>
        </w:r>
        <w:r w:rsidRPr="00554D48">
          <w:rPr>
            <w:rStyle w:val="Hyperlink"/>
            <w:rFonts w:ascii="Times New Roman" w:hAnsi="Times New Roman"/>
          </w:rPr>
          <w:t>Aufbau und Meldeintervalle</w:t>
        </w:r>
        <w:r w:rsidRPr="00554D48">
          <w:rPr>
            <w:webHidden/>
          </w:rPr>
          <w:tab/>
        </w:r>
        <w:r w:rsidRPr="00554D48">
          <w:rPr>
            <w:webHidden/>
          </w:rPr>
          <w:fldChar w:fldCharType="begin"/>
        </w:r>
        <w:r w:rsidRPr="00554D48">
          <w:rPr>
            <w:webHidden/>
          </w:rPr>
          <w:instrText xml:space="preserve"> PAGEREF _Toc524078175 \h </w:instrText>
        </w:r>
        <w:r w:rsidRPr="00554D48">
          <w:rPr>
            <w:webHidden/>
          </w:rPr>
        </w:r>
        <w:r w:rsidRPr="00554D48">
          <w:rPr>
            <w:webHidden/>
          </w:rPr>
          <w:fldChar w:fldCharType="separate"/>
        </w:r>
        <w:r w:rsidRPr="00554D48">
          <w:rPr>
            <w:webHidden/>
          </w:rPr>
          <w:t>4</w:t>
        </w:r>
        <w:r w:rsidRPr="00554D48">
          <w:rPr>
            <w:webHidden/>
          </w:rPr>
          <w:fldChar w:fldCharType="end"/>
        </w:r>
      </w:hyperlink>
    </w:p>
    <w:p w:rsidR="00546A55" w:rsidRPr="00554D48" w:rsidRDefault="00546A55">
      <w:pPr>
        <w:pStyle w:val="TOC2"/>
        <w:rPr>
          <w:rFonts w:asciiTheme="minorHAnsi" w:eastAsiaTheme="minorEastAsia" w:hAnsiTheme="minorHAnsi" w:cstheme="minorBidi"/>
          <w:smallCaps w:val="0"/>
          <w:sz w:val="22"/>
          <w:lang w:val="en-GB" w:eastAsia="en-GB" w:bidi="ar-SA"/>
        </w:rPr>
      </w:pPr>
      <w:hyperlink w:anchor="_Toc524078176" w:history="1">
        <w:r w:rsidRPr="00554D48">
          <w:rPr>
            <w:rStyle w:val="Hyperlink"/>
            <w:rFonts w:ascii="Times New Roman" w:hAnsi="Times New Roman"/>
          </w:rPr>
          <w:t>2.</w:t>
        </w:r>
        <w:r w:rsidRPr="00554D48">
          <w:rPr>
            <w:rFonts w:asciiTheme="minorHAnsi" w:eastAsiaTheme="minorEastAsia" w:hAnsiTheme="minorHAnsi" w:cstheme="minorBidi"/>
            <w:smallCaps w:val="0"/>
            <w:sz w:val="22"/>
            <w:lang w:val="en-GB" w:eastAsia="en-GB" w:bidi="ar-SA"/>
          </w:rPr>
          <w:tab/>
        </w:r>
        <w:r w:rsidRPr="00554D48">
          <w:rPr>
            <w:rStyle w:val="Hyperlink"/>
            <w:rFonts w:ascii="Times New Roman" w:hAnsi="Times New Roman"/>
          </w:rPr>
          <w:t>Formeln zur Berechnung der Verschuldungsquote</w:t>
        </w:r>
        <w:r w:rsidRPr="00554D48">
          <w:rPr>
            <w:webHidden/>
          </w:rPr>
          <w:tab/>
        </w:r>
        <w:r w:rsidRPr="00554D48">
          <w:rPr>
            <w:webHidden/>
          </w:rPr>
          <w:fldChar w:fldCharType="begin"/>
        </w:r>
        <w:r w:rsidRPr="00554D48">
          <w:rPr>
            <w:webHidden/>
          </w:rPr>
          <w:instrText xml:space="preserve"> PAGEREF _Toc524078176 \h </w:instrText>
        </w:r>
        <w:r w:rsidRPr="00554D48">
          <w:rPr>
            <w:webHidden/>
          </w:rPr>
        </w:r>
        <w:r w:rsidRPr="00554D48">
          <w:rPr>
            <w:webHidden/>
          </w:rPr>
          <w:fldChar w:fldCharType="separate"/>
        </w:r>
        <w:r w:rsidRPr="00554D48">
          <w:rPr>
            <w:webHidden/>
          </w:rPr>
          <w:t>4</w:t>
        </w:r>
        <w:r w:rsidRPr="00554D48">
          <w:rPr>
            <w:webHidden/>
          </w:rPr>
          <w:fldChar w:fldCharType="end"/>
        </w:r>
      </w:hyperlink>
    </w:p>
    <w:p w:rsidR="00546A55" w:rsidRPr="00554D48" w:rsidRDefault="00546A55">
      <w:pPr>
        <w:pStyle w:val="TOC2"/>
        <w:rPr>
          <w:rFonts w:asciiTheme="minorHAnsi" w:eastAsiaTheme="minorEastAsia" w:hAnsiTheme="minorHAnsi" w:cstheme="minorBidi"/>
          <w:smallCaps w:val="0"/>
          <w:sz w:val="22"/>
          <w:lang w:val="en-GB" w:eastAsia="en-GB" w:bidi="ar-SA"/>
        </w:rPr>
      </w:pPr>
      <w:hyperlink w:anchor="_Toc524078177" w:history="1">
        <w:r w:rsidRPr="00554D48">
          <w:rPr>
            <w:rStyle w:val="Hyperlink"/>
            <w:rFonts w:ascii="Times New Roman" w:hAnsi="Times New Roman"/>
          </w:rPr>
          <w:t>3.</w:t>
        </w:r>
        <w:r w:rsidRPr="00554D48">
          <w:rPr>
            <w:rFonts w:asciiTheme="minorHAnsi" w:eastAsiaTheme="minorEastAsia" w:hAnsiTheme="minorHAnsi" w:cstheme="minorBidi"/>
            <w:smallCaps w:val="0"/>
            <w:sz w:val="22"/>
            <w:lang w:val="en-GB" w:eastAsia="en-GB" w:bidi="ar-SA"/>
          </w:rPr>
          <w:tab/>
        </w:r>
        <w:r w:rsidRPr="00554D48">
          <w:rPr>
            <w:rStyle w:val="Hyperlink"/>
            <w:rFonts w:ascii="Times New Roman" w:hAnsi="Times New Roman"/>
          </w:rPr>
          <w:t>Erheblichkeitsschwellen für Derivate</w:t>
        </w:r>
        <w:r w:rsidRPr="00554D48">
          <w:rPr>
            <w:webHidden/>
          </w:rPr>
          <w:tab/>
        </w:r>
        <w:r w:rsidRPr="00554D48">
          <w:rPr>
            <w:webHidden/>
          </w:rPr>
          <w:fldChar w:fldCharType="begin"/>
        </w:r>
        <w:r w:rsidRPr="00554D48">
          <w:rPr>
            <w:webHidden/>
          </w:rPr>
          <w:instrText xml:space="preserve"> PAGEREF _Toc524078177 \h </w:instrText>
        </w:r>
        <w:r w:rsidRPr="00554D48">
          <w:rPr>
            <w:webHidden/>
          </w:rPr>
        </w:r>
        <w:r w:rsidRPr="00554D48">
          <w:rPr>
            <w:webHidden/>
          </w:rPr>
          <w:fldChar w:fldCharType="separate"/>
        </w:r>
        <w:r w:rsidRPr="00554D48">
          <w:rPr>
            <w:webHidden/>
          </w:rPr>
          <w:t>4</w:t>
        </w:r>
        <w:r w:rsidRPr="00554D48">
          <w:rPr>
            <w:webHidden/>
          </w:rPr>
          <w:fldChar w:fldCharType="end"/>
        </w:r>
      </w:hyperlink>
    </w:p>
    <w:p w:rsidR="00546A55" w:rsidRPr="00554D48" w:rsidRDefault="00546A55">
      <w:pPr>
        <w:pStyle w:val="TOC2"/>
        <w:rPr>
          <w:rFonts w:asciiTheme="minorHAnsi" w:eastAsiaTheme="minorEastAsia" w:hAnsiTheme="minorHAnsi" w:cstheme="minorBidi"/>
          <w:smallCaps w:val="0"/>
          <w:sz w:val="22"/>
          <w:lang w:val="en-GB" w:eastAsia="en-GB" w:bidi="ar-SA"/>
        </w:rPr>
      </w:pPr>
      <w:hyperlink w:anchor="_Toc524078178" w:history="1">
        <w:r w:rsidRPr="00554D48">
          <w:rPr>
            <w:rStyle w:val="Hyperlink"/>
            <w:rFonts w:ascii="Times New Roman" w:hAnsi="Times New Roman"/>
          </w:rPr>
          <w:t>4.</w:t>
        </w:r>
        <w:r w:rsidRPr="00554D48">
          <w:rPr>
            <w:rFonts w:asciiTheme="minorHAnsi" w:eastAsiaTheme="minorEastAsia" w:hAnsiTheme="minorHAnsi" w:cstheme="minorBidi"/>
            <w:smallCaps w:val="0"/>
            <w:sz w:val="22"/>
            <w:lang w:val="en-GB" w:eastAsia="en-GB" w:bidi="ar-SA"/>
          </w:rPr>
          <w:tab/>
        </w:r>
        <w:r w:rsidRPr="00554D48">
          <w:rPr>
            <w:rStyle w:val="Hyperlink"/>
            <w:rFonts w:ascii="Times New Roman" w:hAnsi="Times New Roman"/>
          </w:rPr>
          <w:t>C 47.00 — BERECHNUNG DER VERSCHULDUNGSQUOTE (LRCalc)</w:t>
        </w:r>
        <w:r w:rsidRPr="00554D48">
          <w:rPr>
            <w:webHidden/>
          </w:rPr>
          <w:tab/>
        </w:r>
        <w:r w:rsidRPr="00554D48">
          <w:rPr>
            <w:webHidden/>
          </w:rPr>
          <w:fldChar w:fldCharType="begin"/>
        </w:r>
        <w:r w:rsidRPr="00554D48">
          <w:rPr>
            <w:webHidden/>
          </w:rPr>
          <w:instrText xml:space="preserve"> PAGEREF _Toc524078178 \h </w:instrText>
        </w:r>
        <w:r w:rsidRPr="00554D48">
          <w:rPr>
            <w:webHidden/>
          </w:rPr>
        </w:r>
        <w:r w:rsidRPr="00554D48">
          <w:rPr>
            <w:webHidden/>
          </w:rPr>
          <w:fldChar w:fldCharType="separate"/>
        </w:r>
        <w:r w:rsidRPr="00554D48">
          <w:rPr>
            <w:webHidden/>
          </w:rPr>
          <w:t>5</w:t>
        </w:r>
        <w:r w:rsidRPr="00554D48">
          <w:rPr>
            <w:webHidden/>
          </w:rPr>
          <w:fldChar w:fldCharType="end"/>
        </w:r>
      </w:hyperlink>
    </w:p>
    <w:p w:rsidR="00546A55" w:rsidRPr="00554D48" w:rsidRDefault="00546A55">
      <w:pPr>
        <w:pStyle w:val="TOC2"/>
        <w:rPr>
          <w:rFonts w:asciiTheme="minorHAnsi" w:eastAsiaTheme="minorEastAsia" w:hAnsiTheme="minorHAnsi" w:cstheme="minorBidi"/>
          <w:smallCaps w:val="0"/>
          <w:sz w:val="22"/>
          <w:lang w:val="en-GB" w:eastAsia="en-GB" w:bidi="ar-SA"/>
        </w:rPr>
      </w:pPr>
      <w:hyperlink w:anchor="_Toc524078179" w:history="1">
        <w:r w:rsidRPr="00554D48">
          <w:rPr>
            <w:rStyle w:val="Hyperlink"/>
            <w:rFonts w:ascii="Times New Roman" w:hAnsi="Times New Roman"/>
          </w:rPr>
          <w:t>5.</w:t>
        </w:r>
        <w:r w:rsidRPr="00554D48">
          <w:rPr>
            <w:rFonts w:asciiTheme="minorHAnsi" w:eastAsiaTheme="minorEastAsia" w:hAnsiTheme="minorHAnsi" w:cstheme="minorBidi"/>
            <w:smallCaps w:val="0"/>
            <w:sz w:val="22"/>
            <w:lang w:val="en-GB" w:eastAsia="en-GB" w:bidi="ar-SA"/>
          </w:rPr>
          <w:tab/>
        </w:r>
        <w:r w:rsidRPr="00554D48">
          <w:rPr>
            <w:rStyle w:val="Hyperlink"/>
            <w:rFonts w:ascii="Times New Roman" w:hAnsi="Times New Roman"/>
          </w:rPr>
          <w:t>C 40.00 — ALTERNATIVE BEHANDLUNG DER RISIKOMESSGRÖßE (LR1)</w:t>
        </w:r>
        <w:r w:rsidRPr="00554D48">
          <w:rPr>
            <w:webHidden/>
          </w:rPr>
          <w:tab/>
        </w:r>
        <w:r w:rsidRPr="00554D48">
          <w:rPr>
            <w:webHidden/>
          </w:rPr>
          <w:fldChar w:fldCharType="begin"/>
        </w:r>
        <w:r w:rsidRPr="00554D48">
          <w:rPr>
            <w:webHidden/>
          </w:rPr>
          <w:instrText xml:space="preserve"> PAGEREF _Toc524078179 \h </w:instrText>
        </w:r>
        <w:r w:rsidRPr="00554D48">
          <w:rPr>
            <w:webHidden/>
          </w:rPr>
        </w:r>
        <w:r w:rsidRPr="00554D48">
          <w:rPr>
            <w:webHidden/>
          </w:rPr>
          <w:fldChar w:fldCharType="separate"/>
        </w:r>
        <w:r w:rsidRPr="00554D48">
          <w:rPr>
            <w:webHidden/>
          </w:rPr>
          <w:t>14</w:t>
        </w:r>
        <w:r w:rsidRPr="00554D48">
          <w:rPr>
            <w:webHidden/>
          </w:rPr>
          <w:fldChar w:fldCharType="end"/>
        </w:r>
      </w:hyperlink>
    </w:p>
    <w:p w:rsidR="00546A55" w:rsidRPr="00554D48" w:rsidRDefault="00546A55">
      <w:pPr>
        <w:pStyle w:val="TOC2"/>
        <w:rPr>
          <w:rFonts w:asciiTheme="minorHAnsi" w:eastAsiaTheme="minorEastAsia" w:hAnsiTheme="minorHAnsi" w:cstheme="minorBidi"/>
          <w:smallCaps w:val="0"/>
          <w:sz w:val="22"/>
          <w:lang w:val="en-GB" w:eastAsia="en-GB" w:bidi="ar-SA"/>
        </w:rPr>
      </w:pPr>
      <w:hyperlink w:anchor="_Toc524078180" w:history="1">
        <w:r w:rsidRPr="00554D48">
          <w:rPr>
            <w:rStyle w:val="Hyperlink"/>
            <w:rFonts w:ascii="Times New Roman" w:hAnsi="Times New Roman"/>
          </w:rPr>
          <w:t>6.</w:t>
        </w:r>
        <w:r w:rsidRPr="00554D48">
          <w:rPr>
            <w:rFonts w:asciiTheme="minorHAnsi" w:eastAsiaTheme="minorEastAsia" w:hAnsiTheme="minorHAnsi" w:cstheme="minorBidi"/>
            <w:smallCaps w:val="0"/>
            <w:sz w:val="22"/>
            <w:lang w:val="en-GB" w:eastAsia="en-GB" w:bidi="ar-SA"/>
          </w:rPr>
          <w:tab/>
        </w:r>
        <w:r w:rsidRPr="00554D48">
          <w:rPr>
            <w:rStyle w:val="Hyperlink"/>
            <w:rFonts w:ascii="Times New Roman" w:hAnsi="Times New Roman"/>
          </w:rPr>
          <w:t>C 41.00 — Bilanzielle und außerbilanzielle Posten — zusätzliche Aufgliederung der Risikopositionen (LR2)</w:t>
        </w:r>
        <w:r w:rsidRPr="00554D48">
          <w:rPr>
            <w:webHidden/>
          </w:rPr>
          <w:tab/>
        </w:r>
        <w:r w:rsidRPr="00554D48">
          <w:rPr>
            <w:webHidden/>
          </w:rPr>
          <w:fldChar w:fldCharType="begin"/>
        </w:r>
        <w:r w:rsidRPr="00554D48">
          <w:rPr>
            <w:webHidden/>
          </w:rPr>
          <w:instrText xml:space="preserve"> PAGEREF _Toc524078180 \h </w:instrText>
        </w:r>
        <w:r w:rsidRPr="00554D48">
          <w:rPr>
            <w:webHidden/>
          </w:rPr>
        </w:r>
        <w:r w:rsidRPr="00554D48">
          <w:rPr>
            <w:webHidden/>
          </w:rPr>
          <w:fldChar w:fldCharType="separate"/>
        </w:r>
        <w:r w:rsidRPr="00554D48">
          <w:rPr>
            <w:webHidden/>
          </w:rPr>
          <w:t>24</w:t>
        </w:r>
        <w:r w:rsidRPr="00554D48">
          <w:rPr>
            <w:webHidden/>
          </w:rPr>
          <w:fldChar w:fldCharType="end"/>
        </w:r>
      </w:hyperlink>
    </w:p>
    <w:p w:rsidR="00546A55" w:rsidRPr="00554D48" w:rsidRDefault="00546A55">
      <w:pPr>
        <w:pStyle w:val="TOC2"/>
        <w:rPr>
          <w:rFonts w:asciiTheme="minorHAnsi" w:eastAsiaTheme="minorEastAsia" w:hAnsiTheme="minorHAnsi" w:cstheme="minorBidi"/>
          <w:smallCaps w:val="0"/>
          <w:sz w:val="22"/>
          <w:lang w:val="en-GB" w:eastAsia="en-GB" w:bidi="ar-SA"/>
        </w:rPr>
      </w:pPr>
      <w:hyperlink w:anchor="_Toc524078181" w:history="1">
        <w:r w:rsidRPr="00554D48">
          <w:rPr>
            <w:rStyle w:val="Hyperlink"/>
            <w:rFonts w:ascii="Times New Roman" w:hAnsi="Times New Roman"/>
          </w:rPr>
          <w:t>7.</w:t>
        </w:r>
        <w:r w:rsidRPr="00554D48">
          <w:rPr>
            <w:rFonts w:asciiTheme="minorHAnsi" w:eastAsiaTheme="minorEastAsia" w:hAnsiTheme="minorHAnsi" w:cstheme="minorBidi"/>
            <w:smallCaps w:val="0"/>
            <w:sz w:val="22"/>
            <w:lang w:val="en-GB" w:eastAsia="en-GB" w:bidi="ar-SA"/>
          </w:rPr>
          <w:tab/>
        </w:r>
        <w:r w:rsidRPr="00554D48">
          <w:rPr>
            <w:rStyle w:val="Hyperlink"/>
            <w:rFonts w:ascii="Times New Roman" w:hAnsi="Times New Roman"/>
          </w:rPr>
          <w:t>C 42.00 — Alternative Eigenkapitaldefinition (LR3)</w:t>
        </w:r>
        <w:r w:rsidRPr="00554D48">
          <w:rPr>
            <w:webHidden/>
          </w:rPr>
          <w:tab/>
        </w:r>
        <w:r w:rsidRPr="00554D48">
          <w:rPr>
            <w:webHidden/>
          </w:rPr>
          <w:fldChar w:fldCharType="begin"/>
        </w:r>
        <w:r w:rsidRPr="00554D48">
          <w:rPr>
            <w:webHidden/>
          </w:rPr>
          <w:instrText xml:space="preserve"> PAGEREF _Toc524078181 \h </w:instrText>
        </w:r>
        <w:r w:rsidRPr="00554D48">
          <w:rPr>
            <w:webHidden/>
          </w:rPr>
        </w:r>
        <w:r w:rsidRPr="00554D48">
          <w:rPr>
            <w:webHidden/>
          </w:rPr>
          <w:fldChar w:fldCharType="separate"/>
        </w:r>
        <w:r w:rsidRPr="00554D48">
          <w:rPr>
            <w:webHidden/>
          </w:rPr>
          <w:t>26</w:t>
        </w:r>
        <w:r w:rsidRPr="00554D48">
          <w:rPr>
            <w:webHidden/>
          </w:rPr>
          <w:fldChar w:fldCharType="end"/>
        </w:r>
      </w:hyperlink>
    </w:p>
    <w:p w:rsidR="00546A55" w:rsidRPr="00554D48" w:rsidRDefault="00546A55">
      <w:pPr>
        <w:pStyle w:val="TOC2"/>
        <w:rPr>
          <w:rFonts w:asciiTheme="minorHAnsi" w:eastAsiaTheme="minorEastAsia" w:hAnsiTheme="minorHAnsi" w:cstheme="minorBidi"/>
          <w:smallCaps w:val="0"/>
          <w:sz w:val="22"/>
          <w:lang w:val="en-GB" w:eastAsia="en-GB" w:bidi="ar-SA"/>
        </w:rPr>
      </w:pPr>
      <w:hyperlink w:anchor="_Toc524078182" w:history="1">
        <w:r w:rsidRPr="00554D48">
          <w:rPr>
            <w:rStyle w:val="Hyperlink"/>
            <w:rFonts w:ascii="Times New Roman" w:hAnsi="Times New Roman"/>
          </w:rPr>
          <w:t>8.</w:t>
        </w:r>
        <w:r w:rsidRPr="00554D48">
          <w:rPr>
            <w:rFonts w:asciiTheme="minorHAnsi" w:eastAsiaTheme="minorEastAsia" w:hAnsiTheme="minorHAnsi" w:cstheme="minorBidi"/>
            <w:smallCaps w:val="0"/>
            <w:sz w:val="22"/>
            <w:lang w:val="en-GB" w:eastAsia="en-GB" w:bidi="ar-SA"/>
          </w:rPr>
          <w:tab/>
        </w:r>
        <w:r w:rsidRPr="00554D48">
          <w:rPr>
            <w:rStyle w:val="Hyperlink"/>
            <w:rFonts w:ascii="Times New Roman" w:hAnsi="Times New Roman"/>
          </w:rPr>
          <w:t>C 43.00 — Alternative Aufgliederung der Bestandteile der Risikomessgröße für die Verschuldungsquote (LR4)</w:t>
        </w:r>
        <w:r w:rsidRPr="00554D48">
          <w:rPr>
            <w:webHidden/>
          </w:rPr>
          <w:tab/>
        </w:r>
        <w:r w:rsidRPr="00554D48">
          <w:rPr>
            <w:webHidden/>
          </w:rPr>
          <w:fldChar w:fldCharType="begin"/>
        </w:r>
        <w:r w:rsidRPr="00554D48">
          <w:rPr>
            <w:webHidden/>
          </w:rPr>
          <w:instrText xml:space="preserve"> PAGEREF _Toc524078182 \h </w:instrText>
        </w:r>
        <w:r w:rsidRPr="00554D48">
          <w:rPr>
            <w:webHidden/>
          </w:rPr>
        </w:r>
        <w:r w:rsidRPr="00554D48">
          <w:rPr>
            <w:webHidden/>
          </w:rPr>
          <w:fldChar w:fldCharType="separate"/>
        </w:r>
        <w:r w:rsidRPr="00554D48">
          <w:rPr>
            <w:webHidden/>
          </w:rPr>
          <w:t>28</w:t>
        </w:r>
        <w:r w:rsidRPr="00554D48">
          <w:rPr>
            <w:webHidden/>
          </w:rPr>
          <w:fldChar w:fldCharType="end"/>
        </w:r>
      </w:hyperlink>
    </w:p>
    <w:p w:rsidR="00546A55" w:rsidRPr="00554D48" w:rsidRDefault="00546A55">
      <w:pPr>
        <w:pStyle w:val="TOC2"/>
        <w:rPr>
          <w:rFonts w:asciiTheme="minorHAnsi" w:eastAsiaTheme="minorEastAsia" w:hAnsiTheme="minorHAnsi" w:cstheme="minorBidi"/>
          <w:smallCaps w:val="0"/>
          <w:sz w:val="22"/>
          <w:lang w:val="en-GB" w:eastAsia="en-GB" w:bidi="ar-SA"/>
        </w:rPr>
      </w:pPr>
      <w:hyperlink w:anchor="_Toc524078183" w:history="1">
        <w:r w:rsidRPr="00554D48">
          <w:rPr>
            <w:rStyle w:val="Hyperlink"/>
            <w:rFonts w:ascii="Times New Roman" w:hAnsi="Times New Roman"/>
          </w:rPr>
          <w:t>9.</w:t>
        </w:r>
        <w:r w:rsidRPr="00554D48">
          <w:rPr>
            <w:rFonts w:asciiTheme="minorHAnsi" w:eastAsiaTheme="minorEastAsia" w:hAnsiTheme="minorHAnsi" w:cstheme="minorBidi"/>
            <w:smallCaps w:val="0"/>
            <w:sz w:val="22"/>
            <w:lang w:val="en-GB" w:eastAsia="en-GB" w:bidi="ar-SA"/>
          </w:rPr>
          <w:tab/>
        </w:r>
        <w:r w:rsidRPr="00554D48">
          <w:rPr>
            <w:rStyle w:val="Hyperlink"/>
            <w:rFonts w:ascii="Times New Roman" w:hAnsi="Times New Roman"/>
          </w:rPr>
          <w:t>C 44.00 — Allgemeine Angaben (LR5)</w:t>
        </w:r>
        <w:r w:rsidRPr="00554D48">
          <w:rPr>
            <w:webHidden/>
          </w:rPr>
          <w:tab/>
        </w:r>
        <w:r w:rsidRPr="00554D48">
          <w:rPr>
            <w:webHidden/>
          </w:rPr>
          <w:fldChar w:fldCharType="begin"/>
        </w:r>
        <w:r w:rsidRPr="00554D48">
          <w:rPr>
            <w:webHidden/>
          </w:rPr>
          <w:instrText xml:space="preserve"> PAGEREF _Toc524078183 \h </w:instrText>
        </w:r>
        <w:r w:rsidRPr="00554D48">
          <w:rPr>
            <w:webHidden/>
          </w:rPr>
        </w:r>
        <w:r w:rsidRPr="00554D48">
          <w:rPr>
            <w:webHidden/>
          </w:rPr>
          <w:fldChar w:fldCharType="separate"/>
        </w:r>
        <w:r w:rsidRPr="00554D48">
          <w:rPr>
            <w:webHidden/>
          </w:rPr>
          <w:t>49</w:t>
        </w:r>
        <w:r w:rsidRPr="00554D48">
          <w:rPr>
            <w:webHidden/>
          </w:rPr>
          <w:fldChar w:fldCharType="end"/>
        </w:r>
      </w:hyperlink>
    </w:p>
    <w:p w:rsidR="00546A55" w:rsidRDefault="00546A55">
      <w:pPr>
        <w:pStyle w:val="BodyText1"/>
        <w:rPr>
          <w:rFonts w:ascii="Times New Roman" w:hAnsi="Times New Roman"/>
        </w:rPr>
      </w:pPr>
      <w:r w:rsidRPr="00554D48">
        <w:rPr>
          <w:rFonts w:ascii="Times New Roman" w:hAnsi="Times New Roman"/>
          <w:b/>
          <w:noProof/>
        </w:rPr>
        <w:fldChar w:fldCharType="end"/>
      </w:r>
    </w:p>
    <w:p w:rsidR="00546A55" w:rsidRDefault="00546A55">
      <w:pPr>
        <w:pStyle w:val="BodyText1"/>
        <w:rPr>
          <w:rFonts w:ascii="Times New Roman" w:eastAsiaTheme="minorEastAsia" w:hAnsi="Times New Roman"/>
          <w:color w:val="auto"/>
          <w:sz w:val="22"/>
          <w:szCs w:val="22"/>
        </w:rPr>
        <w:sectPr w:rsidR="00546A55" w:rsidSect="00DC2C28">
          <w:footerReference w:type="default" r:id="rId11"/>
          <w:footerReference w:type="first" r:id="rId12"/>
          <w:endnotePr>
            <w:numFmt w:val="decimal"/>
          </w:endnotePr>
          <w:pgSz w:w="11906" w:h="16838" w:code="9"/>
          <w:pgMar w:top="1417" w:right="1417" w:bottom="1134" w:left="1417" w:header="720" w:footer="720" w:gutter="0"/>
          <w:cols w:space="720"/>
          <w:titlePg/>
          <w:docGrid w:linePitch="360"/>
        </w:sectPr>
      </w:pPr>
    </w:p>
    <w:p w:rsidR="00F4754B" w:rsidRPr="00FE002E" w:rsidRDefault="00F4754B" w:rsidP="00F4754B">
      <w:pPr>
        <w:pStyle w:val="BodyText1"/>
        <w:rPr>
          <w:rFonts w:ascii="Times New Roman" w:hAnsi="Times New Roman"/>
        </w:rPr>
      </w:pPr>
    </w:p>
    <w:p w:rsidR="00217D1F" w:rsidRPr="00FE002E" w:rsidRDefault="00F4754B" w:rsidP="00217D1F">
      <w:pPr>
        <w:pStyle w:val="BodyText1"/>
        <w:outlineLvl w:val="0"/>
        <w:rPr>
          <w:rFonts w:ascii="Times New Roman" w:hAnsi="Times New Roman"/>
          <w:b/>
          <w:sz w:val="24"/>
          <w:szCs w:val="24"/>
        </w:rPr>
      </w:pPr>
      <w:bookmarkStart w:id="1" w:name="_Toc264038394"/>
      <w:bookmarkStart w:id="2" w:name="_Toc322687864"/>
      <w:bookmarkStart w:id="3" w:name="_Toc351048499"/>
      <w:bookmarkStart w:id="4" w:name="_Toc359414273"/>
      <w:bookmarkStart w:id="5" w:name="_Toc423089060"/>
      <w:bookmarkStart w:id="6" w:name="_Toc524078168"/>
      <w:r>
        <w:rPr>
          <w:rFonts w:ascii="Times New Roman" w:hAnsi="Times New Roman"/>
          <w:b/>
          <w:sz w:val="24"/>
        </w:rPr>
        <w:t>TEIL I:</w:t>
      </w:r>
      <w:bookmarkEnd w:id="1"/>
      <w:r>
        <w:rPr>
          <w:rFonts w:ascii="Times New Roman" w:hAnsi="Times New Roman"/>
          <w:b/>
          <w:sz w:val="24"/>
        </w:rPr>
        <w:t xml:space="preserve"> ALLGEMEINE ERLÄUTERUNGEN</w:t>
      </w:r>
      <w:bookmarkEnd w:id="2"/>
      <w:bookmarkEnd w:id="3"/>
      <w:bookmarkEnd w:id="4"/>
      <w:bookmarkEnd w:id="5"/>
      <w:bookmarkEnd w:id="6"/>
    </w:p>
    <w:p w:rsidR="00FF2091" w:rsidRPr="00CF306A" w:rsidRDefault="00FF2091" w:rsidP="00A860E1">
      <w:pPr>
        <w:pStyle w:val="BodyText1"/>
      </w:pPr>
      <w:bookmarkStart w:id="7" w:name="_Toc351048500"/>
    </w:p>
    <w:p w:rsidR="00217D1F" w:rsidRPr="00FE002E" w:rsidRDefault="00500508" w:rsidP="00500508">
      <w:pPr>
        <w:pStyle w:val="BodyText1"/>
        <w:ind w:left="357" w:hanging="357"/>
        <w:outlineLvl w:val="1"/>
        <w:rPr>
          <w:rFonts w:ascii="Times New Roman" w:hAnsi="Times New Roman"/>
          <w:b/>
        </w:rPr>
      </w:pPr>
      <w:bookmarkStart w:id="8" w:name="_Toc322687865"/>
      <w:bookmarkStart w:id="9" w:name="_Toc359414274"/>
      <w:bookmarkStart w:id="10" w:name="_Toc423089061"/>
      <w:bookmarkStart w:id="11" w:name="_Toc524078169"/>
      <w:r w:rsidRPr="00532F3A">
        <w:rPr>
          <w:rFonts w:ascii="Times New Roman" w:hAnsi="Times New Roman"/>
          <w:b/>
        </w:rPr>
        <w:t>1</w:t>
      </w:r>
      <w:r>
        <w:rPr>
          <w:rFonts w:ascii="Times New Roman" w:hAnsi="Times New Roman"/>
          <w:b/>
        </w:rPr>
        <w:t>.</w:t>
      </w:r>
      <w:r>
        <w:tab/>
      </w:r>
      <w:r>
        <w:rPr>
          <w:rFonts w:ascii="Times New Roman" w:hAnsi="Times New Roman"/>
          <w:b/>
        </w:rPr>
        <w:t>Bezeichnung der Meldebögen und sonstige Konventionen</w:t>
      </w:r>
      <w:bookmarkEnd w:id="7"/>
      <w:bookmarkEnd w:id="8"/>
      <w:bookmarkEnd w:id="9"/>
      <w:bookmarkEnd w:id="10"/>
      <w:bookmarkEnd w:id="11"/>
    </w:p>
    <w:p w:rsidR="00FF2091" w:rsidRPr="00CF306A" w:rsidRDefault="00FF2091" w:rsidP="00A860E1">
      <w:pPr>
        <w:pStyle w:val="BodyText1"/>
      </w:pPr>
    </w:p>
    <w:p w:rsidR="00217D1F" w:rsidRPr="00FE002E" w:rsidRDefault="00500508" w:rsidP="00500508">
      <w:pPr>
        <w:pStyle w:val="BodyText1"/>
        <w:ind w:left="357" w:hanging="357"/>
        <w:outlineLvl w:val="2"/>
        <w:rPr>
          <w:rFonts w:ascii="Times New Roman" w:hAnsi="Times New Roman"/>
          <w:b/>
        </w:rPr>
      </w:pPr>
      <w:bookmarkStart w:id="12" w:name="_Toc322687866"/>
      <w:bookmarkStart w:id="13" w:name="_Toc359414275"/>
      <w:bookmarkStart w:id="14" w:name="_Toc423089062"/>
      <w:bookmarkStart w:id="15" w:name="_Toc264038399"/>
      <w:bookmarkStart w:id="16" w:name="_Toc294018834"/>
      <w:bookmarkStart w:id="17" w:name="_Toc524078170"/>
      <w:r w:rsidRPr="00532F3A">
        <w:rPr>
          <w:rFonts w:ascii="Times New Roman" w:hAnsi="Times New Roman"/>
          <w:b/>
        </w:rPr>
        <w:t>1</w:t>
      </w:r>
      <w:r>
        <w:rPr>
          <w:rFonts w:ascii="Times New Roman" w:hAnsi="Times New Roman"/>
          <w:b/>
        </w:rPr>
        <w:t>.</w:t>
      </w:r>
      <w:r w:rsidRPr="00532F3A">
        <w:rPr>
          <w:rFonts w:ascii="Times New Roman" w:hAnsi="Times New Roman"/>
          <w:b/>
        </w:rPr>
        <w:t>1</w:t>
      </w:r>
      <w:r>
        <w:rPr>
          <w:rFonts w:ascii="Times New Roman" w:hAnsi="Times New Roman"/>
          <w:b/>
        </w:rPr>
        <w:t>.</w:t>
      </w:r>
      <w:r>
        <w:tab/>
      </w:r>
      <w:r>
        <w:rPr>
          <w:rFonts w:ascii="Times New Roman" w:hAnsi="Times New Roman"/>
          <w:b/>
        </w:rPr>
        <w:t xml:space="preserve">Bezeichnung der </w:t>
      </w:r>
      <w:bookmarkEnd w:id="12"/>
      <w:r>
        <w:rPr>
          <w:rFonts w:ascii="Times New Roman" w:hAnsi="Times New Roman"/>
          <w:b/>
        </w:rPr>
        <w:t>Meldebögen</w:t>
      </w:r>
      <w:bookmarkEnd w:id="13"/>
      <w:bookmarkEnd w:id="14"/>
      <w:bookmarkEnd w:id="17"/>
    </w:p>
    <w:p w:rsidR="00FF2091" w:rsidRPr="00CF306A" w:rsidRDefault="00FF2091" w:rsidP="00A860E1">
      <w:pPr>
        <w:pStyle w:val="BodyText1"/>
      </w:pPr>
    </w:p>
    <w:p w:rsidR="00E22856" w:rsidRPr="00FE002E" w:rsidRDefault="00500508" w:rsidP="00500508">
      <w:pPr>
        <w:pStyle w:val="BodyText1"/>
        <w:ind w:left="720" w:hanging="360"/>
        <w:rPr>
          <w:rFonts w:ascii="Times New Roman" w:hAnsi="Times New Roman"/>
        </w:rPr>
      </w:pPr>
      <w:r w:rsidRPr="00532F3A">
        <w:rPr>
          <w:rFonts w:ascii="Times New Roman" w:hAnsi="Times New Roman"/>
        </w:rPr>
        <w:t>1</w:t>
      </w:r>
      <w:r>
        <w:rPr>
          <w:rFonts w:ascii="Times New Roman" w:hAnsi="Times New Roman"/>
        </w:rPr>
        <w:t>.</w:t>
      </w:r>
      <w:r>
        <w:tab/>
      </w:r>
      <w:r>
        <w:rPr>
          <w:rFonts w:ascii="Times New Roman" w:hAnsi="Times New Roman"/>
        </w:rPr>
        <w:t xml:space="preserve">Dieser Anhang beinhaltet zusätzliche Hinweise, wie die in Anhang X enthaltenen Meldebögen (im Folgenden als „LR“ bezeichnet = Leverage Ratio, Verschuldungsquote) auszufüllen sind. </w:t>
      </w:r>
    </w:p>
    <w:p w:rsidR="00E22856" w:rsidRPr="00FE002E" w:rsidRDefault="00E22856" w:rsidP="00E22856">
      <w:pPr>
        <w:pStyle w:val="BodyText1"/>
        <w:ind w:left="720"/>
        <w:rPr>
          <w:rFonts w:ascii="Times New Roman" w:hAnsi="Times New Roman"/>
        </w:rPr>
      </w:pPr>
    </w:p>
    <w:p w:rsidR="00F4754B" w:rsidRPr="00FE002E" w:rsidRDefault="00500508" w:rsidP="00500508">
      <w:pPr>
        <w:pStyle w:val="InstructionsText2"/>
        <w:numPr>
          <w:ilvl w:val="0"/>
          <w:numId w:val="0"/>
        </w:numPr>
        <w:ind w:left="720" w:hanging="360"/>
        <w:rPr>
          <w:rFonts w:eastAsia="Times New Roman"/>
          <w:bCs/>
          <w:szCs w:val="17"/>
        </w:rPr>
      </w:pPr>
      <w:r w:rsidRPr="00532F3A">
        <w:t>2</w:t>
      </w:r>
      <w:r>
        <w:t>.</w:t>
      </w:r>
      <w:r>
        <w:tab/>
        <w:t>Insgesamt besteht der Rahmen aus sechs Meldebögen:</w:t>
      </w:r>
    </w:p>
    <w:p w:rsidR="00675587" w:rsidRPr="00FE002E" w:rsidRDefault="00500508" w:rsidP="00500508">
      <w:pPr>
        <w:pStyle w:val="InstructionsText2"/>
        <w:numPr>
          <w:ilvl w:val="0"/>
          <w:numId w:val="0"/>
        </w:numPr>
        <w:ind w:left="1080" w:hanging="360"/>
        <w:rPr>
          <w:rFonts w:ascii="Symbol" w:eastAsia="Times New Roman" w:hAnsi="Symbol"/>
          <w:bCs/>
          <w:szCs w:val="17"/>
        </w:rPr>
      </w:pPr>
      <w:r>
        <w:tab/>
        <w:t>C</w:t>
      </w:r>
      <w:r w:rsidRPr="00532F3A">
        <w:t>47</w:t>
      </w:r>
      <w:r>
        <w:t>.</w:t>
      </w:r>
      <w:r w:rsidRPr="00532F3A">
        <w:t>00</w:t>
      </w:r>
      <w:r>
        <w:t>: Berechnung der Verschuldungsquote (LRCalc): Berechnung der Verschuldungsquote;</w:t>
      </w:r>
    </w:p>
    <w:p w:rsidR="00675587" w:rsidRPr="00FE002E" w:rsidRDefault="00500508" w:rsidP="00500508">
      <w:pPr>
        <w:pStyle w:val="InstructionsText2"/>
        <w:numPr>
          <w:ilvl w:val="0"/>
          <w:numId w:val="0"/>
        </w:numPr>
        <w:ind w:left="1080" w:hanging="360"/>
        <w:rPr>
          <w:rFonts w:ascii="Symbol" w:eastAsia="Times New Roman" w:hAnsi="Symbol"/>
          <w:bCs/>
          <w:szCs w:val="17"/>
        </w:rPr>
      </w:pPr>
      <w:r>
        <w:tab/>
        <w:t>C</w:t>
      </w:r>
      <w:r w:rsidRPr="00532F3A">
        <w:t>40</w:t>
      </w:r>
      <w:r>
        <w:t>.</w:t>
      </w:r>
      <w:r w:rsidRPr="00532F3A">
        <w:t>00</w:t>
      </w:r>
      <w:r>
        <w:t xml:space="preserve">: Verschuldungsquote — Meldebogen </w:t>
      </w:r>
      <w:r w:rsidRPr="00532F3A">
        <w:t>1</w:t>
      </w:r>
      <w:r>
        <w:t xml:space="preserve"> (LR</w:t>
      </w:r>
      <w:r w:rsidRPr="00532F3A">
        <w:t>1</w:t>
      </w:r>
      <w:r>
        <w:t>): Alternative Behandlung der Risikomessgröße;</w:t>
      </w:r>
    </w:p>
    <w:p w:rsidR="00675587" w:rsidRPr="00FE002E" w:rsidRDefault="00500508" w:rsidP="00500508">
      <w:pPr>
        <w:pStyle w:val="InstructionsText2"/>
        <w:numPr>
          <w:ilvl w:val="0"/>
          <w:numId w:val="0"/>
        </w:numPr>
        <w:ind w:left="1080" w:hanging="360"/>
        <w:rPr>
          <w:rFonts w:ascii="Symbol" w:eastAsia="Times New Roman" w:hAnsi="Symbol"/>
          <w:bCs/>
          <w:szCs w:val="17"/>
        </w:rPr>
      </w:pPr>
      <w:r>
        <w:tab/>
        <w:t>C</w:t>
      </w:r>
      <w:r w:rsidRPr="00532F3A">
        <w:t>41</w:t>
      </w:r>
      <w:r>
        <w:t>.</w:t>
      </w:r>
      <w:r w:rsidRPr="00532F3A">
        <w:t>00</w:t>
      </w:r>
      <w:r>
        <w:t xml:space="preserve">: Verschuldungsquote — Meldebogen </w:t>
      </w:r>
      <w:r w:rsidRPr="00532F3A">
        <w:t>2</w:t>
      </w:r>
      <w:r>
        <w:t xml:space="preserve"> (LR</w:t>
      </w:r>
      <w:r w:rsidRPr="00532F3A">
        <w:t>2</w:t>
      </w:r>
      <w:r>
        <w:t>): Bilanzielle und außerbilanzielle Posten — zusätzliche Aufgliederung der Risikopositionen;</w:t>
      </w:r>
    </w:p>
    <w:p w:rsidR="00675587" w:rsidRPr="00FE002E" w:rsidRDefault="00500508" w:rsidP="00500508">
      <w:pPr>
        <w:pStyle w:val="InstructionsText2"/>
        <w:numPr>
          <w:ilvl w:val="0"/>
          <w:numId w:val="0"/>
        </w:numPr>
        <w:ind w:left="1080" w:hanging="360"/>
        <w:rPr>
          <w:rFonts w:ascii="Symbol" w:eastAsia="Times New Roman" w:hAnsi="Symbol"/>
          <w:bCs/>
          <w:szCs w:val="17"/>
        </w:rPr>
      </w:pPr>
      <w:r>
        <w:tab/>
        <w:t>C</w:t>
      </w:r>
      <w:r w:rsidRPr="00532F3A">
        <w:t>42</w:t>
      </w:r>
      <w:r>
        <w:t>.</w:t>
      </w:r>
      <w:r w:rsidRPr="00532F3A">
        <w:t>00</w:t>
      </w:r>
      <w:r>
        <w:t xml:space="preserve">: Verschuldungsquote — Meldebogen </w:t>
      </w:r>
      <w:r w:rsidRPr="00532F3A">
        <w:t>3</w:t>
      </w:r>
      <w:r>
        <w:t xml:space="preserve"> (LR</w:t>
      </w:r>
      <w:r w:rsidRPr="00532F3A">
        <w:t>3</w:t>
      </w:r>
      <w:r>
        <w:t>): Alternative Eigenkapitaldefinition;</w:t>
      </w:r>
    </w:p>
    <w:p w:rsidR="00675587" w:rsidRPr="00FE002E" w:rsidRDefault="00500508" w:rsidP="00500508">
      <w:pPr>
        <w:pStyle w:val="InstructionsText2"/>
        <w:numPr>
          <w:ilvl w:val="0"/>
          <w:numId w:val="0"/>
        </w:numPr>
        <w:ind w:left="1080" w:hanging="360"/>
        <w:rPr>
          <w:rFonts w:ascii="Symbol" w:eastAsia="Times New Roman" w:hAnsi="Symbol"/>
          <w:bCs/>
          <w:szCs w:val="17"/>
        </w:rPr>
      </w:pPr>
      <w:r>
        <w:tab/>
        <w:t>C</w:t>
      </w:r>
      <w:r w:rsidRPr="00532F3A">
        <w:t>43</w:t>
      </w:r>
      <w:r>
        <w:t>.</w:t>
      </w:r>
      <w:r w:rsidRPr="00532F3A">
        <w:t>00</w:t>
      </w:r>
      <w:r>
        <w:t xml:space="preserve">: Verschuldungsquote — Meldebogen </w:t>
      </w:r>
      <w:r w:rsidRPr="00532F3A">
        <w:t>4</w:t>
      </w:r>
      <w:r>
        <w:t xml:space="preserve"> (LR</w:t>
      </w:r>
      <w:r w:rsidRPr="00532F3A">
        <w:t>4</w:t>
      </w:r>
      <w:r>
        <w:t>): Aufgliederung der Bestandteile der Risikomessgröße für die Verschuldungsquote und</w:t>
      </w:r>
    </w:p>
    <w:p w:rsidR="00675587" w:rsidRPr="00FE002E" w:rsidRDefault="00500508" w:rsidP="00500508">
      <w:pPr>
        <w:pStyle w:val="InstructionsText2"/>
        <w:numPr>
          <w:ilvl w:val="0"/>
          <w:numId w:val="0"/>
        </w:numPr>
        <w:ind w:left="1080" w:hanging="360"/>
        <w:rPr>
          <w:rFonts w:ascii="Symbol" w:eastAsia="Times New Roman" w:hAnsi="Symbol"/>
          <w:bCs/>
          <w:szCs w:val="17"/>
        </w:rPr>
      </w:pPr>
      <w:r>
        <w:tab/>
        <w:t>C</w:t>
      </w:r>
      <w:r w:rsidRPr="00532F3A">
        <w:t>44</w:t>
      </w:r>
      <w:r>
        <w:t>.</w:t>
      </w:r>
      <w:r w:rsidRPr="00532F3A">
        <w:t>00</w:t>
      </w:r>
      <w:r>
        <w:t xml:space="preserve">: Verschuldungsquote — Meldebogen </w:t>
      </w:r>
      <w:r w:rsidRPr="00532F3A">
        <w:t>5</w:t>
      </w:r>
      <w:r>
        <w:t xml:space="preserve"> (LR</w:t>
      </w:r>
      <w:r w:rsidRPr="00532F3A">
        <w:t>5</w:t>
      </w:r>
      <w:r>
        <w:t>): Allgemeine Angaben.</w:t>
      </w:r>
    </w:p>
    <w:p w:rsidR="00F4754B" w:rsidRPr="00FE002E" w:rsidRDefault="00500508" w:rsidP="00500508">
      <w:pPr>
        <w:pStyle w:val="InstructionsText2"/>
        <w:numPr>
          <w:ilvl w:val="0"/>
          <w:numId w:val="0"/>
        </w:numPr>
        <w:ind w:left="720" w:hanging="360"/>
        <w:rPr>
          <w:rFonts w:eastAsia="Times New Roman"/>
          <w:bCs/>
          <w:szCs w:val="17"/>
        </w:rPr>
      </w:pPr>
      <w:r w:rsidRPr="00532F3A">
        <w:t>3</w:t>
      </w:r>
      <w:r>
        <w:t>.</w:t>
      </w:r>
      <w:r>
        <w:tab/>
        <w:t>Zu jedem Meldebogen werden die Rechtsgrundlage sowie weitere, detaillierte Angaben zu allgemeineren Gesichtspunkten der Meldung übermittelt.</w:t>
      </w:r>
    </w:p>
    <w:p w:rsidR="00FC2664" w:rsidRPr="00FE002E" w:rsidRDefault="00FC2664" w:rsidP="007E2A41">
      <w:pPr>
        <w:pStyle w:val="BodyText1"/>
        <w:spacing w:line="240" w:lineRule="auto"/>
        <w:ind w:left="720"/>
        <w:rPr>
          <w:rFonts w:ascii="Times New Roman" w:hAnsi="Times New Roman"/>
        </w:rPr>
      </w:pPr>
    </w:p>
    <w:p w:rsidR="00217D1F" w:rsidRPr="00FE002E" w:rsidRDefault="00500508" w:rsidP="00500508">
      <w:pPr>
        <w:pStyle w:val="BodyText1"/>
        <w:ind w:left="357" w:hanging="357"/>
        <w:outlineLvl w:val="2"/>
        <w:rPr>
          <w:rFonts w:ascii="Times New Roman" w:hAnsi="Times New Roman"/>
          <w:b/>
        </w:rPr>
      </w:pPr>
      <w:bookmarkStart w:id="18" w:name="_Toc359414277"/>
      <w:bookmarkStart w:id="19" w:name="_Toc322687867"/>
      <w:bookmarkStart w:id="20" w:name="_Toc351048502"/>
      <w:bookmarkStart w:id="21" w:name="_Toc359414278"/>
      <w:bookmarkStart w:id="22" w:name="_Toc423089063"/>
      <w:bookmarkStart w:id="23" w:name="_Toc524078171"/>
      <w:bookmarkEnd w:id="18"/>
      <w:r w:rsidRPr="00532F3A">
        <w:rPr>
          <w:rFonts w:ascii="Times New Roman" w:hAnsi="Times New Roman"/>
          <w:b/>
        </w:rPr>
        <w:t>1</w:t>
      </w:r>
      <w:r>
        <w:rPr>
          <w:rFonts w:ascii="Times New Roman" w:hAnsi="Times New Roman"/>
          <w:b/>
        </w:rPr>
        <w:t>.</w:t>
      </w:r>
      <w:r w:rsidRPr="00532F3A">
        <w:rPr>
          <w:rFonts w:ascii="Times New Roman" w:hAnsi="Times New Roman"/>
          <w:b/>
        </w:rPr>
        <w:t>2</w:t>
      </w:r>
      <w:r>
        <w:rPr>
          <w:rFonts w:ascii="Times New Roman" w:hAnsi="Times New Roman"/>
          <w:b/>
        </w:rPr>
        <w:t>.</w:t>
      </w:r>
      <w:r>
        <w:tab/>
      </w:r>
      <w:r>
        <w:rPr>
          <w:rFonts w:ascii="Times New Roman" w:hAnsi="Times New Roman"/>
          <w:b/>
        </w:rPr>
        <w:t>Nummerierungskonvention</w:t>
      </w:r>
      <w:bookmarkEnd w:id="19"/>
      <w:bookmarkEnd w:id="20"/>
      <w:bookmarkEnd w:id="21"/>
      <w:bookmarkEnd w:id="22"/>
      <w:bookmarkEnd w:id="23"/>
    </w:p>
    <w:p w:rsidR="007E2A41" w:rsidRPr="00CF306A" w:rsidRDefault="007E2A41" w:rsidP="00217B44">
      <w:pPr>
        <w:pStyle w:val="BodyText1"/>
      </w:pPr>
    </w:p>
    <w:p w:rsidR="00F4754B" w:rsidRPr="00FE002E" w:rsidRDefault="00500508" w:rsidP="00500508">
      <w:pPr>
        <w:pStyle w:val="InstructionsText2"/>
        <w:numPr>
          <w:ilvl w:val="0"/>
          <w:numId w:val="0"/>
        </w:numPr>
        <w:ind w:left="720" w:hanging="360"/>
        <w:rPr>
          <w:rFonts w:eastAsia="Times New Roman"/>
          <w:bCs/>
          <w:szCs w:val="17"/>
        </w:rPr>
      </w:pPr>
      <w:r w:rsidRPr="00532F3A">
        <w:t>4</w:t>
      </w:r>
      <w:r>
        <w:t>.</w:t>
      </w:r>
      <w:r>
        <w:tab/>
        <w:t>Bei Bezugnahme auf Spalten, Zeilen und Felder der Meldebögen folgt das Dokument den in den folgenden Abschnitten festgelegten Bezeichnungskonventionen. Von diesen Zahlencodes wird in den Validierungsregeln ausführlich Gebrauch gemacht.</w:t>
      </w:r>
    </w:p>
    <w:p w:rsidR="00F4754B" w:rsidRPr="00FE002E" w:rsidRDefault="00500508" w:rsidP="00500508">
      <w:pPr>
        <w:pStyle w:val="InstructionsText2"/>
        <w:numPr>
          <w:ilvl w:val="0"/>
          <w:numId w:val="0"/>
        </w:numPr>
        <w:ind w:left="720" w:hanging="360"/>
        <w:rPr>
          <w:rFonts w:eastAsia="Times New Roman"/>
          <w:bCs/>
          <w:szCs w:val="17"/>
        </w:rPr>
      </w:pPr>
      <w:r w:rsidRPr="00532F3A">
        <w:t>5</w:t>
      </w:r>
      <w:r>
        <w:t>.</w:t>
      </w:r>
      <w:r>
        <w:tab/>
        <w:t>In den Erläuterungen wird folgende allgemeine Notation verwendet: {Meldebogen;Zeile;Spalte}. Ein Sternchen verweist auf die gesamte Zeile oder Spalte.</w:t>
      </w:r>
    </w:p>
    <w:p w:rsidR="00F4754B" w:rsidRPr="00FE002E" w:rsidRDefault="00500508" w:rsidP="00500508">
      <w:pPr>
        <w:pStyle w:val="InstructionsText2"/>
        <w:numPr>
          <w:ilvl w:val="0"/>
          <w:numId w:val="0"/>
        </w:numPr>
        <w:ind w:left="720" w:hanging="360"/>
        <w:rPr>
          <w:rFonts w:eastAsia="Times New Roman"/>
          <w:bCs/>
          <w:szCs w:val="17"/>
        </w:rPr>
      </w:pPr>
      <w:r w:rsidRPr="00532F3A">
        <w:t>6</w:t>
      </w:r>
      <w:r>
        <w:t>.</w:t>
      </w:r>
      <w:r>
        <w:tab/>
        <w:t>Bei Validierungen innerhalb eines Meldebogens, bei denen nur Datenpunkte aus diesem Meldebogen benutzt werden, verweisen die Notationen nicht auf einen Meldebogen: {Zeile;Spalte}.</w:t>
      </w:r>
    </w:p>
    <w:p w:rsidR="00F4754B" w:rsidRPr="00FE002E" w:rsidRDefault="00500508" w:rsidP="00500508">
      <w:pPr>
        <w:pStyle w:val="InstructionsText2"/>
        <w:numPr>
          <w:ilvl w:val="0"/>
          <w:numId w:val="0"/>
        </w:numPr>
        <w:ind w:left="720" w:hanging="360"/>
        <w:rPr>
          <w:rFonts w:eastAsia="Times New Roman"/>
          <w:bCs/>
          <w:szCs w:val="17"/>
        </w:rPr>
      </w:pPr>
      <w:r w:rsidRPr="00532F3A">
        <w:t>7</w:t>
      </w:r>
      <w:r>
        <w:t>.</w:t>
      </w:r>
      <w:r>
        <w:tab/>
        <w:t xml:space="preserve">Bei der Meldung der Verschuldung bezieht sich der Begriff „davon“ auf eine Position, die Teilmenge einer übergeordneten Risikopositionskategorie ist, während „Zusatzinformationen“ einen separaten Posten darstellen, bei dem es sich nicht um eine Untergruppe einer Forderungsklasse handelt. In beiden Feldtypen müssen zwingend Angaben gemacht werden, sofern nichts anderes angegeben ist. </w:t>
      </w:r>
    </w:p>
    <w:p w:rsidR="001D6F2F" w:rsidRPr="00FE002E" w:rsidRDefault="00500508" w:rsidP="00500508">
      <w:pPr>
        <w:pStyle w:val="BodyText1"/>
        <w:ind w:left="357" w:hanging="357"/>
        <w:outlineLvl w:val="2"/>
        <w:rPr>
          <w:rFonts w:ascii="Times New Roman" w:hAnsi="Times New Roman"/>
          <w:b/>
        </w:rPr>
      </w:pPr>
      <w:bookmarkStart w:id="24" w:name="_Toc423089064"/>
      <w:bookmarkStart w:id="25" w:name="_Toc524078172"/>
      <w:r w:rsidRPr="00532F3A">
        <w:rPr>
          <w:rFonts w:ascii="Times New Roman" w:hAnsi="Times New Roman"/>
          <w:b/>
        </w:rPr>
        <w:t>1</w:t>
      </w:r>
      <w:r>
        <w:rPr>
          <w:rFonts w:ascii="Times New Roman" w:hAnsi="Times New Roman"/>
          <w:b/>
        </w:rPr>
        <w:t>.</w:t>
      </w:r>
      <w:r w:rsidRPr="00532F3A">
        <w:rPr>
          <w:rFonts w:ascii="Times New Roman" w:hAnsi="Times New Roman"/>
          <w:b/>
        </w:rPr>
        <w:t>3</w:t>
      </w:r>
      <w:r>
        <w:rPr>
          <w:rFonts w:ascii="Times New Roman" w:hAnsi="Times New Roman"/>
          <w:b/>
        </w:rPr>
        <w:t>.</w:t>
      </w:r>
      <w:r>
        <w:tab/>
      </w:r>
      <w:r>
        <w:rPr>
          <w:rFonts w:ascii="Times New Roman" w:hAnsi="Times New Roman"/>
          <w:b/>
        </w:rPr>
        <w:t>Abkürzungen</w:t>
      </w:r>
      <w:bookmarkEnd w:id="24"/>
      <w:bookmarkEnd w:id="25"/>
    </w:p>
    <w:p w:rsidR="001D6F2F" w:rsidRPr="00CF306A" w:rsidRDefault="001D6F2F" w:rsidP="001D6F2F">
      <w:pPr>
        <w:pStyle w:val="BodyText1"/>
      </w:pPr>
      <w:bookmarkStart w:id="26" w:name="_Toc359414279"/>
      <w:bookmarkStart w:id="27" w:name="_Toc322687868"/>
      <w:bookmarkStart w:id="28" w:name="_Toc351048503"/>
      <w:bookmarkStart w:id="29" w:name="_Toc359414280"/>
      <w:bookmarkEnd w:id="26"/>
    </w:p>
    <w:p w:rsidR="00627E07" w:rsidRDefault="00500508" w:rsidP="00500508">
      <w:pPr>
        <w:pStyle w:val="InstructionsText2"/>
        <w:numPr>
          <w:ilvl w:val="0"/>
          <w:numId w:val="0"/>
        </w:numPr>
        <w:ind w:left="720" w:hanging="360"/>
        <w:rPr>
          <w:rFonts w:eastAsia="Times New Roman"/>
          <w:bCs/>
          <w:szCs w:val="17"/>
        </w:rPr>
      </w:pPr>
      <w:r w:rsidRPr="00532F3A">
        <w:t>8</w:t>
      </w:r>
      <w:r>
        <w:t>.</w:t>
      </w:r>
      <w:r>
        <w:tab/>
        <w:t>Für die Zwecke dieses Anhangs und der damit zusammenhängenden Meldebögen werden folgende Abkürzungen verwendet:</w:t>
      </w:r>
    </w:p>
    <w:p w:rsidR="00627E07" w:rsidRDefault="00500508" w:rsidP="00500508">
      <w:pPr>
        <w:pStyle w:val="InstructionsText2"/>
        <w:numPr>
          <w:ilvl w:val="0"/>
          <w:numId w:val="0"/>
        </w:numPr>
        <w:ind w:left="1440" w:hanging="360"/>
        <w:rPr>
          <w:rFonts w:eastAsia="Times New Roman"/>
          <w:bCs/>
          <w:szCs w:val="17"/>
        </w:rPr>
      </w:pPr>
      <w:r>
        <w:t>a.</w:t>
      </w:r>
      <w:r>
        <w:tab/>
        <w:t xml:space="preserve">CRR — Eigenmittelverordnung, d. h. Verordnung (EU) Nr. </w:t>
      </w:r>
      <w:r w:rsidRPr="00532F3A">
        <w:t>575</w:t>
      </w:r>
      <w:r>
        <w:t>/</w:t>
      </w:r>
      <w:r w:rsidRPr="00532F3A">
        <w:t>2013</w:t>
      </w:r>
      <w:r>
        <w:t>;</w:t>
      </w:r>
    </w:p>
    <w:p w:rsidR="00627E07" w:rsidRDefault="00500508" w:rsidP="00500508">
      <w:pPr>
        <w:pStyle w:val="InstructionsText2"/>
        <w:numPr>
          <w:ilvl w:val="0"/>
          <w:numId w:val="0"/>
        </w:numPr>
        <w:ind w:left="1440" w:hanging="360"/>
        <w:rPr>
          <w:rFonts w:eastAsia="Times New Roman"/>
          <w:bCs/>
          <w:szCs w:val="17"/>
        </w:rPr>
      </w:pPr>
      <w:r>
        <w:lastRenderedPageBreak/>
        <w:t>b.</w:t>
      </w:r>
      <w:r>
        <w:tab/>
        <w:t xml:space="preserve">SFT — Wertpapierfinanzierungsgeschäft, d. h. „Pensionsgeschäfte, Wertpapier- oder Warenverleih- oder -leihgeschäfte, Geschäfte mit langer Abwicklungsfrist und Lombardgeschäfte“ nach der Verordnung (EU) Nr. </w:t>
      </w:r>
      <w:r w:rsidRPr="00532F3A">
        <w:t>575</w:t>
      </w:r>
      <w:r>
        <w:t>/</w:t>
      </w:r>
      <w:r w:rsidRPr="00532F3A">
        <w:t>2013</w:t>
      </w:r>
      <w:r>
        <w:t>.</w:t>
      </w:r>
    </w:p>
    <w:p w:rsidR="008E7068" w:rsidRPr="00627E07" w:rsidRDefault="00500508" w:rsidP="00500508">
      <w:pPr>
        <w:pStyle w:val="InstructionsText2"/>
        <w:numPr>
          <w:ilvl w:val="0"/>
          <w:numId w:val="0"/>
        </w:numPr>
        <w:ind w:left="1440" w:hanging="360"/>
        <w:rPr>
          <w:rFonts w:eastAsia="Times New Roman"/>
          <w:bCs/>
          <w:szCs w:val="17"/>
        </w:rPr>
      </w:pPr>
      <w:r>
        <w:t>c.</w:t>
      </w:r>
      <w:r>
        <w:tab/>
        <w:t>CRM — Kreditrisikominderung.</w:t>
      </w:r>
    </w:p>
    <w:p w:rsidR="00217D1F" w:rsidRPr="00FE002E" w:rsidRDefault="00500508" w:rsidP="00500508">
      <w:pPr>
        <w:pStyle w:val="BodyText1"/>
        <w:ind w:left="357" w:hanging="357"/>
        <w:outlineLvl w:val="2"/>
        <w:rPr>
          <w:rFonts w:ascii="Times New Roman" w:hAnsi="Times New Roman"/>
          <w:b/>
        </w:rPr>
      </w:pPr>
      <w:bookmarkStart w:id="30" w:name="_Toc423089065"/>
      <w:bookmarkStart w:id="31" w:name="_Toc524078173"/>
      <w:r w:rsidRPr="00532F3A">
        <w:rPr>
          <w:rFonts w:ascii="Times New Roman" w:hAnsi="Times New Roman"/>
          <w:b/>
        </w:rPr>
        <w:t>1</w:t>
      </w:r>
      <w:r>
        <w:rPr>
          <w:rFonts w:ascii="Times New Roman" w:hAnsi="Times New Roman"/>
          <w:b/>
        </w:rPr>
        <w:t>.</w:t>
      </w:r>
      <w:r w:rsidRPr="00532F3A">
        <w:rPr>
          <w:rFonts w:ascii="Times New Roman" w:hAnsi="Times New Roman"/>
          <w:b/>
        </w:rPr>
        <w:t>4</w:t>
      </w:r>
      <w:r>
        <w:rPr>
          <w:rFonts w:ascii="Times New Roman" w:hAnsi="Times New Roman"/>
          <w:b/>
        </w:rPr>
        <w:t>.</w:t>
      </w:r>
      <w:r>
        <w:tab/>
      </w:r>
      <w:r>
        <w:rPr>
          <w:rFonts w:ascii="Times New Roman" w:hAnsi="Times New Roman"/>
          <w:b/>
        </w:rPr>
        <w:t>Vorzeichenkonvention</w:t>
      </w:r>
      <w:bookmarkEnd w:id="15"/>
      <w:bookmarkEnd w:id="16"/>
      <w:bookmarkEnd w:id="27"/>
      <w:bookmarkEnd w:id="28"/>
      <w:bookmarkEnd w:id="29"/>
      <w:bookmarkEnd w:id="30"/>
      <w:bookmarkEnd w:id="31"/>
    </w:p>
    <w:p w:rsidR="00FF2091" w:rsidRPr="00217B44" w:rsidRDefault="00FF2091" w:rsidP="007C2D57">
      <w:pPr>
        <w:pStyle w:val="BodyText1"/>
      </w:pPr>
    </w:p>
    <w:p w:rsidR="00B90CB5" w:rsidRPr="00FD2C06" w:rsidRDefault="00500508" w:rsidP="00500508">
      <w:pPr>
        <w:pStyle w:val="InstructionsText2"/>
        <w:numPr>
          <w:ilvl w:val="0"/>
          <w:numId w:val="0"/>
        </w:numPr>
        <w:ind w:left="720" w:hanging="360"/>
        <w:rPr>
          <w:rFonts w:eastAsia="Times New Roman"/>
          <w:bCs/>
          <w:szCs w:val="17"/>
        </w:rPr>
      </w:pPr>
      <w:bookmarkStart w:id="32" w:name="_Toc322687869"/>
      <w:r w:rsidRPr="00532F3A">
        <w:t>9</w:t>
      </w:r>
      <w:r>
        <w:t>.</w:t>
      </w:r>
      <w:r>
        <w:tab/>
        <w:t>Alle Beträge sind als positive Werte auszuweisen.</w:t>
      </w:r>
      <w:bookmarkStart w:id="33" w:name="_Toc264033192"/>
      <w:bookmarkEnd w:id="33"/>
      <w:r>
        <w:t xml:space="preserve"> Davon ausgenommen sind die in {LRCalc;</w:t>
      </w:r>
      <w:r w:rsidRPr="00532F3A">
        <w:t>050</w:t>
      </w:r>
      <w:r>
        <w:t>;</w:t>
      </w:r>
      <w:r w:rsidRPr="00532F3A">
        <w:t>010</w:t>
      </w:r>
      <w:r>
        <w:t>}, {LRCalc;</w:t>
      </w:r>
      <w:r w:rsidRPr="00532F3A">
        <w:t>070</w:t>
      </w:r>
      <w:r>
        <w:t>;</w:t>
      </w:r>
      <w:r w:rsidRPr="00532F3A">
        <w:t>010</w:t>
      </w:r>
      <w:r>
        <w:t>}, {LRCalc;</w:t>
      </w:r>
      <w:r w:rsidRPr="00532F3A">
        <w:t>080</w:t>
      </w:r>
      <w:r>
        <w:t>;</w:t>
      </w:r>
      <w:r w:rsidRPr="00532F3A">
        <w:t>010</w:t>
      </w:r>
      <w:r>
        <w:t>}, {LRCalc;</w:t>
      </w:r>
      <w:r w:rsidRPr="00532F3A">
        <w:t>100</w:t>
      </w:r>
      <w:r>
        <w:t>;</w:t>
      </w:r>
      <w:r w:rsidRPr="00532F3A">
        <w:t>010</w:t>
      </w:r>
      <w:r>
        <w:t>}, {LRCalc;</w:t>
      </w:r>
      <w:r w:rsidRPr="00532F3A">
        <w:t>120</w:t>
      </w:r>
      <w:r>
        <w:t>;</w:t>
      </w:r>
      <w:r w:rsidRPr="00532F3A">
        <w:t>010</w:t>
      </w:r>
      <w:r>
        <w:t>}, {LRCalc;</w:t>
      </w:r>
      <w:r w:rsidRPr="00532F3A">
        <w:t>140</w:t>
      </w:r>
      <w:r>
        <w:t>;</w:t>
      </w:r>
      <w:r w:rsidRPr="00532F3A">
        <w:t>010</w:t>
      </w:r>
      <w:r>
        <w:t>}, {LRCalc;</w:t>
      </w:r>
      <w:r w:rsidRPr="00532F3A">
        <w:t>210</w:t>
      </w:r>
      <w:r>
        <w:t>;</w:t>
      </w:r>
      <w:r w:rsidRPr="00532F3A">
        <w:t>010</w:t>
      </w:r>
      <w:r>
        <w:t>}, {LRCalc;</w:t>
      </w:r>
      <w:r w:rsidRPr="00532F3A">
        <w:t>220</w:t>
      </w:r>
      <w:r>
        <w:t>;</w:t>
      </w:r>
      <w:r w:rsidRPr="00532F3A">
        <w:t>010</w:t>
      </w:r>
      <w:r>
        <w:t>}, {LRCalc;</w:t>
      </w:r>
      <w:r w:rsidRPr="00532F3A">
        <w:t>240</w:t>
      </w:r>
      <w:r>
        <w:t>;</w:t>
      </w:r>
      <w:r w:rsidRPr="00532F3A">
        <w:t>010</w:t>
      </w:r>
      <w:r>
        <w:t>}, {LRCalc;</w:t>
      </w:r>
      <w:r w:rsidRPr="00532F3A">
        <w:t>250</w:t>
      </w:r>
      <w:r>
        <w:t>;</w:t>
      </w:r>
      <w:r w:rsidRPr="00532F3A">
        <w:t>010</w:t>
      </w:r>
      <w:r>
        <w:t>}, {LRCalc;</w:t>
      </w:r>
      <w:r w:rsidRPr="00532F3A">
        <w:t>260</w:t>
      </w:r>
      <w:r>
        <w:t>;</w:t>
      </w:r>
      <w:r w:rsidRPr="00532F3A">
        <w:t>010</w:t>
      </w:r>
      <w:r>
        <w:t>}, {LRCalc;</w:t>
      </w:r>
      <w:r w:rsidRPr="00532F3A">
        <w:t>310</w:t>
      </w:r>
      <w:r>
        <w:t>;</w:t>
      </w:r>
      <w:r w:rsidRPr="00532F3A">
        <w:t>010</w:t>
      </w:r>
      <w:r>
        <w:t>}, {LRCalc;</w:t>
      </w:r>
      <w:r w:rsidRPr="00532F3A">
        <w:t>320</w:t>
      </w:r>
      <w:r>
        <w:t>;</w:t>
      </w:r>
      <w:r w:rsidRPr="00532F3A">
        <w:t>010</w:t>
      </w:r>
      <w:r>
        <w:t>}, {LRCalc;</w:t>
      </w:r>
      <w:r w:rsidRPr="00532F3A">
        <w:t>270</w:t>
      </w:r>
      <w:r>
        <w:t>;</w:t>
      </w:r>
      <w:r w:rsidRPr="00532F3A">
        <w:t>010</w:t>
      </w:r>
      <w:r>
        <w:t>}, {LRCalc;</w:t>
      </w:r>
      <w:r w:rsidRPr="00532F3A">
        <w:t>280</w:t>
      </w:r>
      <w:r>
        <w:t>;</w:t>
      </w:r>
      <w:r w:rsidRPr="00532F3A">
        <w:t>010</w:t>
      </w:r>
      <w:r>
        <w:t>}, {LRCalc;</w:t>
      </w:r>
      <w:r w:rsidRPr="00532F3A">
        <w:t>330</w:t>
      </w:r>
      <w:r>
        <w:t>;</w:t>
      </w:r>
      <w:r w:rsidRPr="00532F3A">
        <w:t>010</w:t>
      </w:r>
      <w:r>
        <w:t>}, {LRCalc;</w:t>
      </w:r>
      <w:r w:rsidRPr="00532F3A">
        <w:t>340</w:t>
      </w:r>
      <w:r>
        <w:t>;</w:t>
      </w:r>
      <w:r w:rsidRPr="00532F3A">
        <w:t>010</w:t>
      </w:r>
      <w:r>
        <w:t>}, {LR</w:t>
      </w:r>
      <w:r w:rsidRPr="00532F3A">
        <w:t>3</w:t>
      </w:r>
      <w:r>
        <w:t>;</w:t>
      </w:r>
      <w:r w:rsidRPr="00532F3A">
        <w:t>010</w:t>
      </w:r>
      <w:r>
        <w:t>;</w:t>
      </w:r>
      <w:r w:rsidRPr="00532F3A">
        <w:t>010</w:t>
      </w:r>
      <w:r>
        <w:t>}, {LR</w:t>
      </w:r>
      <w:r w:rsidRPr="00532F3A">
        <w:t>3</w:t>
      </w:r>
      <w:r>
        <w:t>;</w:t>
      </w:r>
      <w:r w:rsidRPr="00532F3A">
        <w:t>020</w:t>
      </w:r>
      <w:r>
        <w:t>;</w:t>
      </w:r>
      <w:r w:rsidRPr="00532F3A">
        <w:t>010</w:t>
      </w:r>
      <w:r>
        <w:t>}, {LR</w:t>
      </w:r>
      <w:r w:rsidRPr="00532F3A">
        <w:t>3</w:t>
      </w:r>
      <w:r>
        <w:t>;</w:t>
      </w:r>
      <w:r w:rsidRPr="00532F3A">
        <w:t>030</w:t>
      </w:r>
      <w:r>
        <w:t>;</w:t>
      </w:r>
      <w:r w:rsidRPr="00532F3A">
        <w:t>010</w:t>
      </w:r>
      <w:r>
        <w:t>}, {LR</w:t>
      </w:r>
      <w:r w:rsidRPr="00532F3A">
        <w:t>3</w:t>
      </w:r>
      <w:r>
        <w:t>;</w:t>
      </w:r>
      <w:r w:rsidRPr="00532F3A">
        <w:t>040</w:t>
      </w:r>
      <w:r>
        <w:t>;</w:t>
      </w:r>
      <w:r w:rsidRPr="00532F3A">
        <w:t>010</w:t>
      </w:r>
      <w:r>
        <w:t>}, {LR</w:t>
      </w:r>
      <w:r w:rsidRPr="00532F3A">
        <w:t>3</w:t>
      </w:r>
      <w:r>
        <w:t>;</w:t>
      </w:r>
      <w:r w:rsidRPr="00532F3A">
        <w:t>055</w:t>
      </w:r>
      <w:r>
        <w:t>;</w:t>
      </w:r>
      <w:r w:rsidRPr="00532F3A">
        <w:t>010</w:t>
      </w:r>
      <w:r>
        <w:t>}, {LR</w:t>
      </w:r>
      <w:r w:rsidRPr="00532F3A">
        <w:t>3</w:t>
      </w:r>
      <w:r>
        <w:t>;</w:t>
      </w:r>
      <w:r w:rsidRPr="00532F3A">
        <w:t>065</w:t>
      </w:r>
      <w:r>
        <w:t>;</w:t>
      </w:r>
      <w:r w:rsidRPr="00532F3A">
        <w:t>010</w:t>
      </w:r>
      <w:r>
        <w:t>}, {LR</w:t>
      </w:r>
      <w:r w:rsidRPr="00532F3A">
        <w:t>3</w:t>
      </w:r>
      <w:r>
        <w:t>;</w:t>
      </w:r>
      <w:r w:rsidRPr="00532F3A">
        <w:t>075</w:t>
      </w:r>
      <w:r>
        <w:t>;</w:t>
      </w:r>
      <w:r w:rsidRPr="00532F3A">
        <w:t>010</w:t>
      </w:r>
      <w:r>
        <w:t>} und {LR</w:t>
      </w:r>
      <w:r w:rsidRPr="00532F3A">
        <w:t>3</w:t>
      </w:r>
      <w:r>
        <w:t>;</w:t>
      </w:r>
      <w:r w:rsidRPr="00532F3A">
        <w:t>085</w:t>
      </w:r>
      <w:r>
        <w:t>;</w:t>
      </w:r>
      <w:r w:rsidRPr="00532F3A">
        <w:t>010</w:t>
      </w:r>
      <w:r>
        <w:t>} auszuweisenden Beträge. Bitte beachten Sie, dass {LRCalc;</w:t>
      </w:r>
      <w:r w:rsidRPr="00532F3A">
        <w:t>050</w:t>
      </w:r>
      <w:r>
        <w:t>;</w:t>
      </w:r>
      <w:r w:rsidRPr="00532F3A">
        <w:t>010</w:t>
      </w:r>
      <w:r>
        <w:t>}, {LRCalc;</w:t>
      </w:r>
      <w:r w:rsidRPr="00532F3A">
        <w:t>070</w:t>
      </w:r>
      <w:r>
        <w:t>;</w:t>
      </w:r>
      <w:r w:rsidRPr="00532F3A">
        <w:t>010</w:t>
      </w:r>
      <w:r>
        <w:t>}, {LRCalc;</w:t>
      </w:r>
      <w:r w:rsidRPr="00532F3A">
        <w:t>080</w:t>
      </w:r>
      <w:r>
        <w:t>;</w:t>
      </w:r>
      <w:r w:rsidRPr="00532F3A">
        <w:t>010</w:t>
      </w:r>
      <w:r>
        <w:t>}, {LRCalc;</w:t>
      </w:r>
      <w:r w:rsidRPr="00532F3A">
        <w:t>100</w:t>
      </w:r>
      <w:r>
        <w:t>;</w:t>
      </w:r>
      <w:r w:rsidRPr="00532F3A">
        <w:t>010</w:t>
      </w:r>
      <w:r>
        <w:t>}, {LRCalc;</w:t>
      </w:r>
      <w:r w:rsidRPr="00532F3A">
        <w:t>120</w:t>
      </w:r>
      <w:r>
        <w:t>;</w:t>
      </w:r>
      <w:r w:rsidRPr="00532F3A">
        <w:t>010</w:t>
      </w:r>
      <w:r>
        <w:t>}, {LRCalc;</w:t>
      </w:r>
      <w:r w:rsidRPr="00532F3A">
        <w:t>140</w:t>
      </w:r>
      <w:r>
        <w:t>;</w:t>
      </w:r>
      <w:r w:rsidRPr="00532F3A">
        <w:t>010</w:t>
      </w:r>
      <w:r>
        <w:t>}, {LRCalc;</w:t>
      </w:r>
      <w:r w:rsidRPr="00532F3A">
        <w:t>210</w:t>
      </w:r>
      <w:r>
        <w:t>;</w:t>
      </w:r>
      <w:r w:rsidRPr="00532F3A">
        <w:t>010</w:t>
      </w:r>
      <w:r>
        <w:t>}, {LRCalc;</w:t>
      </w:r>
      <w:r w:rsidRPr="00532F3A">
        <w:t>220</w:t>
      </w:r>
      <w:r>
        <w:t>;</w:t>
      </w:r>
      <w:r w:rsidRPr="00532F3A">
        <w:t>010</w:t>
      </w:r>
      <w:r>
        <w:t>}, {LRCalc;</w:t>
      </w:r>
      <w:r w:rsidRPr="00532F3A">
        <w:t>240</w:t>
      </w:r>
      <w:r>
        <w:t>;</w:t>
      </w:r>
      <w:r w:rsidRPr="00532F3A">
        <w:t>010</w:t>
      </w:r>
      <w:r>
        <w:t>}, {LRCalc;</w:t>
      </w:r>
      <w:r w:rsidRPr="00532F3A">
        <w:t>250</w:t>
      </w:r>
      <w:r>
        <w:t>;</w:t>
      </w:r>
      <w:r w:rsidRPr="00532F3A">
        <w:t>010</w:t>
      </w:r>
      <w:r>
        <w:t>}, {LRCalc;</w:t>
      </w:r>
      <w:r w:rsidRPr="00532F3A">
        <w:t>260</w:t>
      </w:r>
      <w:r>
        <w:t>;</w:t>
      </w:r>
      <w:r w:rsidRPr="00532F3A">
        <w:t>010</w:t>
      </w:r>
      <w:r>
        <w:t>}, {LRCalc;</w:t>
      </w:r>
      <w:r w:rsidRPr="00532F3A">
        <w:t>270</w:t>
      </w:r>
      <w:r>
        <w:t>;</w:t>
      </w:r>
      <w:r w:rsidRPr="00532F3A">
        <w:t>010</w:t>
      </w:r>
      <w:r>
        <w:t>}, {LRCalc;</w:t>
      </w:r>
      <w:r w:rsidRPr="00532F3A">
        <w:t>280</w:t>
      </w:r>
      <w:r>
        <w:t>;</w:t>
      </w:r>
      <w:r w:rsidRPr="00532F3A">
        <w:t>010</w:t>
      </w:r>
      <w:r>
        <w:t>}, {LR</w:t>
      </w:r>
      <w:r w:rsidRPr="00532F3A">
        <w:t>3</w:t>
      </w:r>
      <w:r>
        <w:t>;</w:t>
      </w:r>
      <w:r w:rsidRPr="00532F3A">
        <w:t>055</w:t>
      </w:r>
      <w:r>
        <w:t>;</w:t>
      </w:r>
      <w:r w:rsidRPr="00532F3A">
        <w:t>010</w:t>
      </w:r>
      <w:r>
        <w:t>}, {LR</w:t>
      </w:r>
      <w:r w:rsidRPr="00532F3A">
        <w:t>3</w:t>
      </w:r>
      <w:r>
        <w:t>;</w:t>
      </w:r>
      <w:r w:rsidRPr="00532F3A">
        <w:t>065</w:t>
      </w:r>
      <w:r>
        <w:t>;</w:t>
      </w:r>
      <w:r w:rsidRPr="00532F3A">
        <w:t>010</w:t>
      </w:r>
      <w:r>
        <w:t>}, {LR</w:t>
      </w:r>
      <w:r w:rsidRPr="00532F3A">
        <w:t>3</w:t>
      </w:r>
      <w:r>
        <w:t>;</w:t>
      </w:r>
      <w:r w:rsidRPr="00532F3A">
        <w:t>075</w:t>
      </w:r>
      <w:r>
        <w:t>;</w:t>
      </w:r>
      <w:r w:rsidRPr="00532F3A">
        <w:t>010</w:t>
      </w:r>
      <w:r>
        <w:t>} und {LR</w:t>
      </w:r>
      <w:r w:rsidRPr="00532F3A">
        <w:t>3</w:t>
      </w:r>
      <w:r>
        <w:t>;</w:t>
      </w:r>
      <w:r w:rsidRPr="00532F3A">
        <w:t>085</w:t>
      </w:r>
      <w:r>
        <w:t>;</w:t>
      </w:r>
      <w:r w:rsidRPr="00532F3A">
        <w:t>010</w:t>
      </w:r>
      <w:r>
        <w:t>} nur einen negativen Wert haben können. Bitte beachten Sie auch, dass – außer in Extremfällen – {LRCalc;</w:t>
      </w:r>
      <w:r w:rsidRPr="00532F3A">
        <w:t>310</w:t>
      </w:r>
      <w:r>
        <w:t>;</w:t>
      </w:r>
      <w:r w:rsidRPr="00532F3A">
        <w:t>010</w:t>
      </w:r>
      <w:r>
        <w:t>}, {LRCalc;</w:t>
      </w:r>
      <w:r w:rsidRPr="00532F3A">
        <w:t>320</w:t>
      </w:r>
      <w:r>
        <w:t>;</w:t>
      </w:r>
      <w:r w:rsidRPr="00532F3A">
        <w:t>010</w:t>
      </w:r>
      <w:r>
        <w:t>}, {LRCalc;</w:t>
      </w:r>
      <w:r w:rsidRPr="00532F3A">
        <w:t>330</w:t>
      </w:r>
      <w:r>
        <w:t>;</w:t>
      </w:r>
      <w:r w:rsidRPr="00532F3A">
        <w:t>010</w:t>
      </w:r>
      <w:r>
        <w:t>}, {LRCalc;</w:t>
      </w:r>
      <w:r w:rsidRPr="00532F3A">
        <w:t>340</w:t>
      </w:r>
      <w:r>
        <w:t>;</w:t>
      </w:r>
      <w:r w:rsidRPr="00532F3A">
        <w:t>010</w:t>
      </w:r>
      <w:r>
        <w:t>}, {LR</w:t>
      </w:r>
      <w:r w:rsidRPr="00532F3A">
        <w:t>3</w:t>
      </w:r>
      <w:r>
        <w:t>;</w:t>
      </w:r>
      <w:r w:rsidRPr="00532F3A">
        <w:t>010</w:t>
      </w:r>
      <w:r>
        <w:t>;</w:t>
      </w:r>
      <w:r w:rsidRPr="00532F3A">
        <w:t>010</w:t>
      </w:r>
      <w:r>
        <w:t>}, {LR</w:t>
      </w:r>
      <w:r w:rsidRPr="00532F3A">
        <w:t>3</w:t>
      </w:r>
      <w:r>
        <w:t>;</w:t>
      </w:r>
      <w:r w:rsidRPr="00532F3A">
        <w:t>020</w:t>
      </w:r>
      <w:r>
        <w:t>;</w:t>
      </w:r>
      <w:r w:rsidRPr="00532F3A">
        <w:t>010</w:t>
      </w:r>
      <w:r>
        <w:t>}, {LR</w:t>
      </w:r>
      <w:r w:rsidRPr="00532F3A">
        <w:t>3</w:t>
      </w:r>
      <w:r>
        <w:t>;</w:t>
      </w:r>
      <w:r w:rsidRPr="00532F3A">
        <w:t>030</w:t>
      </w:r>
      <w:r>
        <w:t>;</w:t>
      </w:r>
      <w:r w:rsidRPr="00532F3A">
        <w:t>010</w:t>
      </w:r>
      <w:r>
        <w:t>} und {LR</w:t>
      </w:r>
      <w:r w:rsidRPr="00532F3A">
        <w:t>3</w:t>
      </w:r>
      <w:r>
        <w:t>;</w:t>
      </w:r>
      <w:r w:rsidRPr="00532F3A">
        <w:t>040</w:t>
      </w:r>
      <w:r>
        <w:t>;</w:t>
      </w:r>
      <w:r w:rsidRPr="00532F3A">
        <w:t>010</w:t>
      </w:r>
      <w:r>
        <w:t>} nur einen positiven Wert haben können.</w:t>
      </w:r>
    </w:p>
    <w:p w:rsidR="001F28C3" w:rsidRPr="00FD2C06" w:rsidRDefault="001F28C3" w:rsidP="00FD2C06">
      <w:pPr>
        <w:pStyle w:val="InstructionsText2"/>
        <w:numPr>
          <w:ilvl w:val="0"/>
          <w:numId w:val="0"/>
        </w:numPr>
        <w:ind w:left="720"/>
        <w:rPr>
          <w:rFonts w:eastAsia="Times New Roman"/>
          <w:bCs/>
          <w:szCs w:val="17"/>
        </w:rPr>
      </w:pPr>
    </w:p>
    <w:p w:rsidR="00217D1F" w:rsidRPr="00FE002E" w:rsidRDefault="00F4754B" w:rsidP="00217D1F">
      <w:pPr>
        <w:pStyle w:val="BodyText1"/>
        <w:outlineLvl w:val="0"/>
        <w:rPr>
          <w:rFonts w:ascii="Times New Roman" w:hAnsi="Times New Roman"/>
          <w:b/>
          <w:sz w:val="24"/>
          <w:szCs w:val="24"/>
        </w:rPr>
      </w:pPr>
      <w:r>
        <w:br w:type="page"/>
      </w:r>
      <w:bookmarkStart w:id="34" w:name="_Toc351048504"/>
      <w:bookmarkStart w:id="35" w:name="_Toc359414281"/>
      <w:bookmarkStart w:id="36" w:name="_Toc423089066"/>
      <w:bookmarkStart w:id="37" w:name="_Toc524078174"/>
      <w:r>
        <w:rPr>
          <w:rFonts w:ascii="Times New Roman" w:hAnsi="Times New Roman"/>
          <w:b/>
          <w:sz w:val="24"/>
        </w:rPr>
        <w:lastRenderedPageBreak/>
        <w:t>TEIL II: ERLÄUTERUNGEN ZU DEN EINZELNEN MELDEBÖGEN</w:t>
      </w:r>
      <w:bookmarkEnd w:id="32"/>
      <w:bookmarkEnd w:id="34"/>
      <w:bookmarkEnd w:id="35"/>
      <w:bookmarkEnd w:id="36"/>
      <w:bookmarkEnd w:id="37"/>
    </w:p>
    <w:p w:rsidR="00D91BC3" w:rsidRPr="00CF306A" w:rsidRDefault="00D91BC3" w:rsidP="00217B44">
      <w:pPr>
        <w:pStyle w:val="BodyText1"/>
      </w:pPr>
    </w:p>
    <w:p w:rsidR="00217D1F" w:rsidRPr="00FE002E" w:rsidRDefault="00500508" w:rsidP="00500508">
      <w:pPr>
        <w:pStyle w:val="BodyText1"/>
        <w:ind w:left="357" w:hanging="357"/>
        <w:outlineLvl w:val="1"/>
        <w:rPr>
          <w:rFonts w:ascii="Times New Roman" w:hAnsi="Times New Roman"/>
          <w:b/>
        </w:rPr>
      </w:pPr>
      <w:bookmarkStart w:id="38" w:name="_Toc359414282"/>
      <w:bookmarkStart w:id="39" w:name="_Toc423089067"/>
      <w:bookmarkStart w:id="40" w:name="_Toc322631544"/>
      <w:bookmarkStart w:id="41" w:name="_Toc322687870"/>
      <w:bookmarkStart w:id="42" w:name="_Toc524078175"/>
      <w:r w:rsidRPr="00532F3A">
        <w:rPr>
          <w:rFonts w:ascii="Times New Roman" w:hAnsi="Times New Roman"/>
          <w:b/>
        </w:rPr>
        <w:t>1</w:t>
      </w:r>
      <w:r>
        <w:rPr>
          <w:rFonts w:ascii="Times New Roman" w:hAnsi="Times New Roman"/>
          <w:b/>
        </w:rPr>
        <w:t>.</w:t>
      </w:r>
      <w:r>
        <w:tab/>
      </w:r>
      <w:r>
        <w:rPr>
          <w:rFonts w:ascii="Times New Roman" w:hAnsi="Times New Roman"/>
          <w:b/>
        </w:rPr>
        <w:t>Aufbau und Meldeintervalle</w:t>
      </w:r>
      <w:bookmarkEnd w:id="38"/>
      <w:bookmarkEnd w:id="39"/>
      <w:bookmarkEnd w:id="42"/>
      <w:r>
        <w:rPr>
          <w:rFonts w:ascii="Times New Roman" w:hAnsi="Times New Roman"/>
          <w:b/>
        </w:rPr>
        <w:t xml:space="preserve"> </w:t>
      </w:r>
      <w:bookmarkEnd w:id="40"/>
      <w:bookmarkEnd w:id="41"/>
    </w:p>
    <w:p w:rsidR="00D91BC3" w:rsidRPr="00CF306A" w:rsidRDefault="00D91BC3" w:rsidP="00217B44">
      <w:pPr>
        <w:pStyle w:val="BodyText1"/>
      </w:pPr>
    </w:p>
    <w:p w:rsidR="00F4754B" w:rsidRPr="00FE002E" w:rsidRDefault="00500508" w:rsidP="00500508">
      <w:pPr>
        <w:pStyle w:val="BodyText1"/>
        <w:spacing w:line="240" w:lineRule="auto"/>
        <w:ind w:left="720" w:hanging="360"/>
        <w:rPr>
          <w:rFonts w:ascii="Times New Roman" w:hAnsi="Times New Roman"/>
        </w:rPr>
      </w:pPr>
      <w:bookmarkStart w:id="43" w:name="_Toc322533849"/>
      <w:r w:rsidRPr="00532F3A">
        <w:rPr>
          <w:rFonts w:ascii="Times New Roman" w:hAnsi="Times New Roman"/>
        </w:rPr>
        <w:t>1</w:t>
      </w:r>
      <w:r>
        <w:rPr>
          <w:rFonts w:ascii="Times New Roman" w:hAnsi="Times New Roman"/>
        </w:rPr>
        <w:t>.</w:t>
      </w:r>
      <w:r>
        <w:tab/>
      </w:r>
      <w:r>
        <w:rPr>
          <w:rFonts w:ascii="Times New Roman" w:hAnsi="Times New Roman"/>
        </w:rPr>
        <w:t>Der Meldebogen zur Verschuldungsquote besteht aus zwei Teilen. Teil A beinhaltet alle Datenpositionen, die in die Berechnung der Verschuldungsquote einfließen, die die Institute den zuständigen Behörden nach Artikel </w:t>
      </w:r>
      <w:r w:rsidRPr="00532F3A">
        <w:rPr>
          <w:rFonts w:ascii="Times New Roman" w:hAnsi="Times New Roman"/>
        </w:rPr>
        <w:t>430</w:t>
      </w:r>
      <w:r>
        <w:rPr>
          <w:rFonts w:ascii="Times New Roman" w:hAnsi="Times New Roman"/>
        </w:rPr>
        <w:t xml:space="preserve"> Absatz </w:t>
      </w:r>
      <w:r w:rsidRPr="00532F3A">
        <w:rPr>
          <w:rFonts w:ascii="Times New Roman" w:hAnsi="Times New Roman"/>
        </w:rPr>
        <w:t>1</w:t>
      </w:r>
      <w:r>
        <w:rPr>
          <w:rFonts w:ascii="Times New Roman" w:hAnsi="Times New Roman"/>
        </w:rPr>
        <w:t xml:space="preserve"> Unterabsatz </w:t>
      </w:r>
      <w:r w:rsidRPr="00532F3A">
        <w:rPr>
          <w:rFonts w:ascii="Times New Roman" w:hAnsi="Times New Roman"/>
        </w:rPr>
        <w:t>1</w:t>
      </w:r>
      <w:r>
        <w:rPr>
          <w:rFonts w:ascii="Times New Roman" w:hAnsi="Times New Roman"/>
        </w:rPr>
        <w:t xml:space="preserve"> CRR melden müssen, während Teil B alle Datenpositionen beinhaltet, die die Institute nach Artikel </w:t>
      </w:r>
      <w:r w:rsidRPr="00532F3A">
        <w:rPr>
          <w:rFonts w:ascii="Times New Roman" w:hAnsi="Times New Roman"/>
        </w:rPr>
        <w:t>430</w:t>
      </w:r>
      <w:r>
        <w:rPr>
          <w:rFonts w:ascii="Times New Roman" w:hAnsi="Times New Roman"/>
        </w:rPr>
        <w:t xml:space="preserve"> Absatz </w:t>
      </w:r>
      <w:r w:rsidRPr="00532F3A">
        <w:rPr>
          <w:rFonts w:ascii="Times New Roman" w:hAnsi="Times New Roman"/>
        </w:rPr>
        <w:t>1</w:t>
      </w:r>
      <w:r>
        <w:rPr>
          <w:rFonts w:ascii="Times New Roman" w:hAnsi="Times New Roman"/>
        </w:rPr>
        <w:t xml:space="preserve"> Unterabsatz </w:t>
      </w:r>
      <w:r w:rsidRPr="00532F3A">
        <w:rPr>
          <w:rFonts w:ascii="Times New Roman" w:hAnsi="Times New Roman"/>
        </w:rPr>
        <w:t>2</w:t>
      </w:r>
      <w:r>
        <w:rPr>
          <w:rFonts w:ascii="Times New Roman" w:hAnsi="Times New Roman"/>
        </w:rPr>
        <w:t xml:space="preserve"> CRR melden müssen (d. h. für den in Artikel </w:t>
      </w:r>
      <w:r w:rsidRPr="00532F3A">
        <w:rPr>
          <w:rFonts w:ascii="Times New Roman" w:hAnsi="Times New Roman"/>
        </w:rPr>
        <w:t>511</w:t>
      </w:r>
      <w:r>
        <w:rPr>
          <w:rFonts w:ascii="Times New Roman" w:hAnsi="Times New Roman"/>
        </w:rPr>
        <w:t xml:space="preserve"> CRR genannten Bericht).</w:t>
      </w:r>
    </w:p>
    <w:p w:rsidR="00FC2664" w:rsidRPr="00FE002E" w:rsidRDefault="00FC2664" w:rsidP="00F4754B">
      <w:pPr>
        <w:pStyle w:val="BodyText1"/>
        <w:rPr>
          <w:rFonts w:ascii="Times New Roman" w:hAnsi="Times New Roman"/>
        </w:rPr>
      </w:pPr>
    </w:p>
    <w:p w:rsidR="00FF2091" w:rsidRPr="00FE002E" w:rsidRDefault="00500508" w:rsidP="00500508">
      <w:pPr>
        <w:pStyle w:val="BodyText1"/>
        <w:spacing w:line="240" w:lineRule="auto"/>
        <w:ind w:left="720" w:hanging="360"/>
        <w:rPr>
          <w:rFonts w:ascii="Times New Roman" w:hAnsi="Times New Roman"/>
        </w:rPr>
      </w:pPr>
      <w:r w:rsidRPr="00532F3A">
        <w:rPr>
          <w:rFonts w:ascii="Times New Roman" w:hAnsi="Times New Roman"/>
        </w:rPr>
        <w:t>2</w:t>
      </w:r>
      <w:r>
        <w:rPr>
          <w:rFonts w:ascii="Times New Roman" w:hAnsi="Times New Roman"/>
        </w:rPr>
        <w:t>.</w:t>
      </w:r>
      <w:r>
        <w:tab/>
      </w:r>
      <w:r>
        <w:rPr>
          <w:rFonts w:ascii="Times New Roman" w:hAnsi="Times New Roman"/>
        </w:rPr>
        <w:t>Bei der Zusammenstellung der Daten für diesen ITS (Implementing Technical Standard) haben die Institute die Behandlung von Treuhandvermögen gemäß Artikel </w:t>
      </w:r>
      <w:r w:rsidRPr="00532F3A">
        <w:rPr>
          <w:rFonts w:ascii="Times New Roman" w:hAnsi="Times New Roman"/>
        </w:rPr>
        <w:t>429</w:t>
      </w:r>
      <w:r>
        <w:rPr>
          <w:rFonts w:ascii="Times New Roman" w:hAnsi="Times New Roman"/>
        </w:rPr>
        <w:t xml:space="preserve"> Absatz </w:t>
      </w:r>
      <w:r w:rsidRPr="00532F3A">
        <w:rPr>
          <w:rFonts w:ascii="Times New Roman" w:hAnsi="Times New Roman"/>
        </w:rPr>
        <w:t>13</w:t>
      </w:r>
      <w:r>
        <w:rPr>
          <w:rFonts w:ascii="Times New Roman" w:hAnsi="Times New Roman"/>
        </w:rPr>
        <w:t xml:space="preserve"> CRR zu beachten.</w:t>
      </w:r>
    </w:p>
    <w:p w:rsidR="00FC2664" w:rsidRPr="00FE002E" w:rsidRDefault="00FC2664" w:rsidP="00F4754B">
      <w:pPr>
        <w:pStyle w:val="BodyText1"/>
        <w:rPr>
          <w:rFonts w:ascii="Times New Roman" w:hAnsi="Times New Roman"/>
        </w:rPr>
      </w:pPr>
    </w:p>
    <w:p w:rsidR="00505096" w:rsidRPr="00FE002E" w:rsidRDefault="00500508" w:rsidP="00500508">
      <w:pPr>
        <w:pStyle w:val="BodyText1"/>
        <w:ind w:left="357" w:hanging="357"/>
        <w:outlineLvl w:val="1"/>
        <w:rPr>
          <w:rFonts w:ascii="Times New Roman" w:hAnsi="Times New Roman"/>
          <w:b/>
        </w:rPr>
      </w:pPr>
      <w:bookmarkStart w:id="44" w:name="_Toc359414283"/>
      <w:bookmarkStart w:id="45" w:name="_Toc423089068"/>
      <w:bookmarkStart w:id="46" w:name="_Toc524078176"/>
      <w:r w:rsidRPr="00532F3A">
        <w:rPr>
          <w:rFonts w:ascii="Times New Roman" w:hAnsi="Times New Roman"/>
          <w:b/>
        </w:rPr>
        <w:t>2</w:t>
      </w:r>
      <w:r>
        <w:rPr>
          <w:rFonts w:ascii="Times New Roman" w:hAnsi="Times New Roman"/>
          <w:b/>
        </w:rPr>
        <w:t>.</w:t>
      </w:r>
      <w:r>
        <w:tab/>
      </w:r>
      <w:r>
        <w:rPr>
          <w:rFonts w:ascii="Times New Roman" w:hAnsi="Times New Roman"/>
          <w:b/>
        </w:rPr>
        <w:t>Formeln zur Berechnung der Verschuldungsquote</w:t>
      </w:r>
      <w:bookmarkEnd w:id="44"/>
      <w:bookmarkEnd w:id="45"/>
      <w:bookmarkEnd w:id="46"/>
    </w:p>
    <w:p w:rsidR="00B9185D" w:rsidRPr="00FE002E" w:rsidRDefault="00B9185D" w:rsidP="00FF2091">
      <w:pPr>
        <w:pStyle w:val="BodyText1"/>
        <w:spacing w:line="240" w:lineRule="auto"/>
        <w:rPr>
          <w:rFonts w:ascii="Times New Roman" w:hAnsi="Times New Roman"/>
        </w:rPr>
      </w:pPr>
    </w:p>
    <w:p w:rsidR="00505096" w:rsidRPr="00FE002E" w:rsidRDefault="00500508" w:rsidP="00500508">
      <w:pPr>
        <w:pStyle w:val="BodyText1"/>
        <w:spacing w:line="240" w:lineRule="auto"/>
        <w:ind w:left="720" w:hanging="360"/>
        <w:rPr>
          <w:rFonts w:ascii="Times New Roman" w:hAnsi="Times New Roman"/>
        </w:rPr>
      </w:pPr>
      <w:r w:rsidRPr="00532F3A">
        <w:rPr>
          <w:rFonts w:ascii="Times New Roman" w:hAnsi="Times New Roman"/>
        </w:rPr>
        <w:t>3</w:t>
      </w:r>
      <w:r>
        <w:rPr>
          <w:rFonts w:ascii="Times New Roman" w:hAnsi="Times New Roman"/>
        </w:rPr>
        <w:t>.</w:t>
      </w:r>
      <w:r>
        <w:tab/>
      </w:r>
      <w:r>
        <w:rPr>
          <w:rFonts w:ascii="Times New Roman" w:hAnsi="Times New Roman"/>
        </w:rPr>
        <w:t xml:space="preserve">Die Verschuldungsquote basiert auf einer Kapitalmessgröße und einer Gesamtrisikopositionsmessgröße, die anhand der Felder aus Teil A berechnet werden kann. </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sidRPr="00532F3A">
        <w:rPr>
          <w:rFonts w:ascii="Times New Roman" w:hAnsi="Times New Roman"/>
        </w:rPr>
        <w:t>4</w:t>
      </w:r>
      <w:r>
        <w:rPr>
          <w:rFonts w:ascii="Times New Roman" w:hAnsi="Times New Roman"/>
        </w:rPr>
        <w:t>.</w:t>
      </w:r>
      <w:r>
        <w:tab/>
      </w:r>
      <w:r>
        <w:rPr>
          <w:rFonts w:ascii="Times New Roman" w:hAnsi="Times New Roman"/>
        </w:rPr>
        <w:t>Verschuldungsquote — unter Verwendung der Definition nach vollständiger Einführung der neuen Bestimmungen = {LRCalc;</w:t>
      </w:r>
      <w:r w:rsidRPr="00532F3A">
        <w:rPr>
          <w:rFonts w:ascii="Times New Roman" w:hAnsi="Times New Roman"/>
        </w:rPr>
        <w:t>310</w:t>
      </w:r>
      <w:r>
        <w:rPr>
          <w:rFonts w:ascii="Times New Roman" w:hAnsi="Times New Roman"/>
        </w:rPr>
        <w:t>;</w:t>
      </w:r>
      <w:r w:rsidRPr="00532F3A">
        <w:rPr>
          <w:rFonts w:ascii="Times New Roman" w:hAnsi="Times New Roman"/>
        </w:rPr>
        <w:t>010</w:t>
      </w:r>
      <w:r>
        <w:rPr>
          <w:rFonts w:ascii="Times New Roman" w:hAnsi="Times New Roman"/>
        </w:rPr>
        <w:t>}/{LRCalc;</w:t>
      </w:r>
      <w:r w:rsidRPr="00532F3A">
        <w:rPr>
          <w:rFonts w:ascii="Times New Roman" w:hAnsi="Times New Roman"/>
        </w:rPr>
        <w:t>290</w:t>
      </w:r>
      <w:r>
        <w:rPr>
          <w:rFonts w:ascii="Times New Roman" w:hAnsi="Times New Roman"/>
        </w:rPr>
        <w:t>;</w:t>
      </w:r>
      <w:r w:rsidRPr="00532F3A">
        <w:rPr>
          <w:rFonts w:ascii="Times New Roman" w:hAnsi="Times New Roman"/>
        </w:rPr>
        <w:t>010</w:t>
      </w:r>
      <w:r>
        <w:rPr>
          <w:rFonts w:ascii="Times New Roman" w:hAnsi="Times New Roman"/>
        </w:rPr>
        <w:t>}.</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sidRPr="00532F3A">
        <w:rPr>
          <w:rFonts w:ascii="Times New Roman" w:hAnsi="Times New Roman"/>
        </w:rPr>
        <w:t>5</w:t>
      </w:r>
      <w:r>
        <w:rPr>
          <w:rFonts w:ascii="Times New Roman" w:hAnsi="Times New Roman"/>
        </w:rPr>
        <w:t>.</w:t>
      </w:r>
      <w:r>
        <w:tab/>
      </w:r>
      <w:r>
        <w:rPr>
          <w:rFonts w:ascii="Times New Roman" w:hAnsi="Times New Roman"/>
        </w:rPr>
        <w:t>Verschuldungsquote — unter Verwendung der Übergangsdefinition = {LRCalc;</w:t>
      </w:r>
      <w:r w:rsidRPr="00532F3A">
        <w:rPr>
          <w:rFonts w:ascii="Times New Roman" w:hAnsi="Times New Roman"/>
        </w:rPr>
        <w:t>320</w:t>
      </w:r>
      <w:r>
        <w:rPr>
          <w:rFonts w:ascii="Times New Roman" w:hAnsi="Times New Roman"/>
        </w:rPr>
        <w:t>;</w:t>
      </w:r>
      <w:r w:rsidRPr="00532F3A">
        <w:rPr>
          <w:rFonts w:ascii="Times New Roman" w:hAnsi="Times New Roman"/>
        </w:rPr>
        <w:t>010</w:t>
      </w:r>
      <w:r>
        <w:rPr>
          <w:rFonts w:ascii="Times New Roman" w:hAnsi="Times New Roman"/>
        </w:rPr>
        <w:t>}/{LRCalc;</w:t>
      </w:r>
      <w:r w:rsidRPr="00532F3A">
        <w:rPr>
          <w:rFonts w:ascii="Times New Roman" w:hAnsi="Times New Roman"/>
        </w:rPr>
        <w:t>300</w:t>
      </w:r>
      <w:r>
        <w:rPr>
          <w:rFonts w:ascii="Times New Roman" w:hAnsi="Times New Roman"/>
        </w:rPr>
        <w:t>;</w:t>
      </w:r>
      <w:r w:rsidRPr="00532F3A">
        <w:rPr>
          <w:rFonts w:ascii="Times New Roman" w:hAnsi="Times New Roman"/>
        </w:rPr>
        <w:t>010</w:t>
      </w:r>
      <w:r>
        <w:rPr>
          <w:rFonts w:ascii="Times New Roman" w:hAnsi="Times New Roman"/>
        </w:rPr>
        <w:t>}.</w:t>
      </w:r>
    </w:p>
    <w:p w:rsidR="00FC2664" w:rsidRPr="00FE002E" w:rsidRDefault="00FC2664" w:rsidP="007E2A41">
      <w:pPr>
        <w:pStyle w:val="BodyText1"/>
        <w:spacing w:line="240" w:lineRule="auto"/>
        <w:rPr>
          <w:rFonts w:ascii="Times New Roman" w:hAnsi="Times New Roman"/>
        </w:rPr>
      </w:pPr>
      <w:bookmarkStart w:id="47" w:name="_Toc322533852"/>
      <w:bookmarkEnd w:id="43"/>
    </w:p>
    <w:p w:rsidR="00FC2664" w:rsidRPr="00FE002E" w:rsidRDefault="00FC2664" w:rsidP="007E2A41">
      <w:pPr>
        <w:pStyle w:val="BodyText1"/>
        <w:spacing w:line="240" w:lineRule="auto"/>
        <w:rPr>
          <w:rFonts w:ascii="Times New Roman" w:hAnsi="Times New Roman"/>
        </w:rPr>
      </w:pPr>
    </w:p>
    <w:p w:rsidR="00505096" w:rsidRPr="00FE002E" w:rsidRDefault="00500508" w:rsidP="00500508">
      <w:pPr>
        <w:pStyle w:val="BodyText1"/>
        <w:ind w:left="357" w:hanging="357"/>
        <w:outlineLvl w:val="1"/>
        <w:rPr>
          <w:rFonts w:ascii="Times New Roman" w:hAnsi="Times New Roman"/>
          <w:b/>
        </w:rPr>
      </w:pPr>
      <w:bookmarkStart w:id="48" w:name="_Toc359414284"/>
      <w:bookmarkStart w:id="49" w:name="_Toc423089069"/>
      <w:bookmarkStart w:id="50" w:name="_Toc524078177"/>
      <w:r w:rsidRPr="00532F3A">
        <w:rPr>
          <w:rFonts w:ascii="Times New Roman" w:hAnsi="Times New Roman"/>
          <w:b/>
        </w:rPr>
        <w:t>3</w:t>
      </w:r>
      <w:r>
        <w:rPr>
          <w:rFonts w:ascii="Times New Roman" w:hAnsi="Times New Roman"/>
          <w:b/>
        </w:rPr>
        <w:t>.</w:t>
      </w:r>
      <w:r>
        <w:tab/>
      </w:r>
      <w:r>
        <w:rPr>
          <w:rFonts w:ascii="Times New Roman" w:hAnsi="Times New Roman"/>
          <w:b/>
        </w:rPr>
        <w:t>Erheblichkeitsschwellen für Derivate</w:t>
      </w:r>
      <w:bookmarkEnd w:id="48"/>
      <w:bookmarkEnd w:id="49"/>
      <w:bookmarkEnd w:id="50"/>
    </w:p>
    <w:p w:rsidR="00505096" w:rsidRPr="00FE002E" w:rsidRDefault="00505096" w:rsidP="007E2A41">
      <w:pPr>
        <w:pStyle w:val="BodyText1"/>
        <w:spacing w:line="240" w:lineRule="auto"/>
        <w:rPr>
          <w:rFonts w:ascii="Times New Roman" w:hAnsi="Times New Roman"/>
        </w:rPr>
      </w:pPr>
    </w:p>
    <w:p w:rsidR="00505096" w:rsidRPr="00FE002E" w:rsidRDefault="00505096"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sidRPr="00532F3A">
        <w:rPr>
          <w:rFonts w:ascii="Times New Roman" w:hAnsi="Times New Roman"/>
        </w:rPr>
        <w:t>6</w:t>
      </w:r>
      <w:r>
        <w:rPr>
          <w:rFonts w:ascii="Times New Roman" w:hAnsi="Times New Roman"/>
        </w:rPr>
        <w:t>.</w:t>
      </w:r>
      <w:r>
        <w:tab/>
      </w:r>
      <w:r>
        <w:rPr>
          <w:rFonts w:ascii="Times New Roman" w:hAnsi="Times New Roman"/>
        </w:rPr>
        <w:t>Um den Meldeaufwand für Institute mit begrenztem Derivate-Engagement zu reduzieren, wird anhand folgender Messgrößen beurteilt, wie hoch die relative Erheblichkeit der Derivate-Risikopositionen im Verhältnis zum Gesamtrisiko der Verschuldungsquote ist. Die Institute berechnen diese Messgrößen wie folgt</w:t>
      </w:r>
      <w:bookmarkStart w:id="51" w:name="_Toc322533853"/>
      <w:bookmarkEnd w:id="47"/>
      <w:r>
        <w:rPr>
          <w:rFonts w:ascii="Times New Roman" w:hAnsi="Times New Roman"/>
        </w:rPr>
        <w:t>:</w:t>
      </w:r>
    </w:p>
    <w:p w:rsidR="00A30899" w:rsidRPr="00FE002E" w:rsidRDefault="00A30899" w:rsidP="007E2A41">
      <w:pPr>
        <w:pStyle w:val="ListParagraph"/>
        <w:rPr>
          <w:rFonts w:ascii="Times New Roman" w:hAnsi="Times New Roman"/>
          <w:szCs w:val="20"/>
        </w:rPr>
      </w:pPr>
    </w:p>
    <w:p w:rsidR="00A30899" w:rsidRPr="00E5591F" w:rsidRDefault="00500508" w:rsidP="00500508">
      <w:pPr>
        <w:pStyle w:val="BodyText1"/>
        <w:spacing w:line="240" w:lineRule="auto"/>
        <w:ind w:left="720" w:hanging="360"/>
        <w:jc w:val="left"/>
        <w:rPr>
          <w:rFonts w:ascii="Times New Roman" w:hAnsi="Times New Roman"/>
        </w:rPr>
      </w:pPr>
      <w:bookmarkStart w:id="52" w:name="_Toc322533854"/>
      <w:bookmarkEnd w:id="51"/>
      <w:r w:rsidRPr="00532F3A">
        <w:rPr>
          <w:rFonts w:ascii="Times New Roman" w:hAnsi="Times New Roman"/>
        </w:rPr>
        <w:t>7</w:t>
      </w:r>
      <w:r>
        <w:rPr>
          <w:rFonts w:ascii="Times New Roman" w:hAnsi="Times New Roman"/>
        </w:rPr>
        <w:t>.</w:t>
      </w:r>
      <w:r>
        <w:tab/>
      </w:r>
      <w:r>
        <w:rPr>
          <w:rFonts w:ascii="Times New Roman" w:hAnsi="Times New Roman"/>
        </w:rPr>
        <w:t xml:space="preserve">Derivate-Anteil= </w:t>
      </w:r>
      <m:oMath>
        <m:f>
          <m:fPr>
            <m:ctrlPr>
              <w:rPr>
                <w:rFonts w:ascii="Cambria Math" w:hAnsi="Times New Roman"/>
              </w:rPr>
            </m:ctrlPr>
          </m:fPr>
          <m:num>
            <m:eqArr>
              <m:eqArrPr>
                <m:ctrlPr>
                  <w:rPr>
                    <w:rFonts w:ascii="Cambria Math" w:hAnsi="Times New Roman"/>
                  </w:rPr>
                </m:ctrlPr>
              </m:eqArrPr>
              <m:e>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m:t>
                    </m:r>
                    <m:r>
                      <m:rPr>
                        <m:sty m:val="p"/>
                      </m:rPr>
                      <w:rPr>
                        <w:rFonts w:ascii="Cambria Math" w:hAnsi="Times New Roman"/>
                      </w:rPr>
                      <m:t>060</m:t>
                    </m:r>
                    <m:r>
                      <m:rPr>
                        <m:sty m:val="p"/>
                      </m:rPr>
                      <w:rPr>
                        <w:rFonts w:ascii="Cambria Math" w:hAnsi="Times New Roman"/>
                      </w:rPr>
                      <m:t>;</m:t>
                    </m:r>
                    <m:r>
                      <m:rPr>
                        <m:sty m:val="p"/>
                      </m:rPr>
                      <w:rPr>
                        <w:rFonts w:ascii="Cambria Math" w:hAnsi="Times New Roman"/>
                      </w:rPr>
                      <m:t>010</m:t>
                    </m:r>
                  </m:e>
                </m:d>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m:t>
                    </m:r>
                    <m:r>
                      <m:rPr>
                        <m:sty m:val="p"/>
                      </m:rPr>
                      <w:rPr>
                        <w:rFonts w:ascii="Cambria Math" w:hAnsi="Times New Roman"/>
                      </w:rPr>
                      <m:t>070</m:t>
                    </m:r>
                    <m:r>
                      <m:rPr>
                        <m:sty m:val="p"/>
                      </m:rPr>
                      <w:rPr>
                        <w:rFonts w:ascii="Cambria Math" w:hAnsi="Times New Roman"/>
                      </w:rPr>
                      <m:t>;</m:t>
                    </m:r>
                    <m:r>
                      <m:rPr>
                        <m:sty m:val="p"/>
                      </m:rPr>
                      <w:rPr>
                        <w:rFonts w:ascii="Cambria Math" w:hAnsi="Times New Roman"/>
                      </w:rPr>
                      <m:t>010</m:t>
                    </m:r>
                  </m:e>
                </m:d>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m:t>
                    </m:r>
                    <m:r>
                      <m:rPr>
                        <m:sty m:val="p"/>
                      </m:rPr>
                      <w:rPr>
                        <w:rFonts w:ascii="Cambria Math" w:hAnsi="Times New Roman"/>
                      </w:rPr>
                      <m:t>080</m:t>
                    </m:r>
                    <m:r>
                      <m:rPr>
                        <m:sty m:val="p"/>
                      </m:rPr>
                      <w:rPr>
                        <w:rFonts w:ascii="Cambria Math" w:hAnsi="Times New Roman"/>
                      </w:rPr>
                      <m:t>;</m:t>
                    </m:r>
                    <m:r>
                      <m:rPr>
                        <m:sty m:val="p"/>
                      </m:rPr>
                      <w:rPr>
                        <w:rFonts w:ascii="Cambria Math" w:hAnsi="Times New Roman"/>
                      </w:rPr>
                      <m:t>010</m:t>
                    </m:r>
                  </m:e>
                </m:d>
                <m:r>
                  <w:rPr>
                    <w:rFonts w:ascii="Cambria Math" w:hAnsi="Times New Roman"/>
                  </w:rPr>
                  <m:t>+</m:t>
                </m:r>
                <m:d>
                  <m:dPr>
                    <m:begChr m:val="{"/>
                    <m:endChr m:val="}"/>
                    <m:ctrlPr>
                      <w:rPr>
                        <w:rFonts w:ascii="Cambria Math" w:hAnsi="Times New Roman"/>
                      </w:rPr>
                    </m:ctrlPr>
                  </m:dPr>
                  <m:e>
                    <m:r>
                      <m:rPr>
                        <m:sty m:val="p"/>
                      </m:rPr>
                      <w:rPr>
                        <w:rFonts w:ascii="Cambria Math" w:hAnsi="Times New Roman"/>
                      </w:rPr>
                      <m:t>LRCalc;</m:t>
                    </m:r>
                    <m:r>
                      <m:rPr>
                        <m:sty m:val="p"/>
                      </m:rPr>
                      <w:rPr>
                        <w:rFonts w:ascii="Cambria Math" w:hAnsi="Times New Roman"/>
                      </w:rPr>
                      <m:t>090</m:t>
                    </m:r>
                    <m:r>
                      <m:rPr>
                        <m:sty m:val="p"/>
                      </m:rPr>
                      <w:rPr>
                        <w:rFonts w:ascii="Cambria Math" w:hAnsi="Times New Roman"/>
                      </w:rPr>
                      <m:t>;</m:t>
                    </m:r>
                    <m:r>
                      <m:rPr>
                        <m:sty m:val="p"/>
                      </m:rPr>
                      <w:rPr>
                        <w:rFonts w:ascii="Cambria Math" w:hAnsi="Times New Roman"/>
                      </w:rPr>
                      <m:t>010</m:t>
                    </m:r>
                  </m:e>
                </m:d>
                <m:r>
                  <w:rPr>
                    <w:rFonts w:ascii="Cambria Math" w:hAnsi="Times New Roman"/>
                  </w:rPr>
                  <m:t>+</m:t>
                </m:r>
                <m:d>
                  <m:dPr>
                    <m:begChr m:val="{"/>
                    <m:endChr m:val="}"/>
                    <m:ctrlPr>
                      <w:rPr>
                        <w:rFonts w:ascii="Cambria Math" w:hAnsi="Times New Roman"/>
                      </w:rPr>
                    </m:ctrlPr>
                  </m:dPr>
                  <m:e>
                    <m:r>
                      <m:rPr>
                        <m:sty m:val="p"/>
                      </m:rPr>
                      <w:rPr>
                        <w:rFonts w:ascii="Cambria Math" w:hAnsi="Times New Roman"/>
                      </w:rPr>
                      <m:t>LRCalc;</m:t>
                    </m:r>
                    <m:r>
                      <m:rPr>
                        <m:sty m:val="p"/>
                      </m:rPr>
                      <w:rPr>
                        <w:rFonts w:ascii="Cambria Math" w:hAnsi="Times New Roman"/>
                      </w:rPr>
                      <m:t>100</m:t>
                    </m:r>
                    <m:r>
                      <m:rPr>
                        <m:sty m:val="p"/>
                      </m:rPr>
                      <w:rPr>
                        <w:rFonts w:ascii="Cambria Math" w:hAnsi="Times New Roman"/>
                      </w:rPr>
                      <m:t>;</m:t>
                    </m:r>
                    <m:r>
                      <m:rPr>
                        <m:sty m:val="p"/>
                      </m:rPr>
                      <w:rPr>
                        <w:rFonts w:ascii="Cambria Math" w:hAnsi="Times New Roman"/>
                      </w:rPr>
                      <m:t>010</m:t>
                    </m:r>
                  </m:e>
                </m:d>
                <m:ctrlPr>
                  <w:rPr>
                    <w:rFonts w:ascii="Cambria Math" w:eastAsia="Cambria Math" w:hAnsi="Cambria Math" w:cs="Cambria Math"/>
                  </w:rPr>
                </m:ctrlPr>
              </m:e>
              <m:e>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m:t>
                    </m:r>
                    <m:r>
                      <m:rPr>
                        <m:sty m:val="p"/>
                      </m:rPr>
                      <w:rPr>
                        <w:rFonts w:ascii="Cambria Math" w:hAnsi="Times New Roman"/>
                      </w:rPr>
                      <m:t>110</m:t>
                    </m:r>
                    <m:r>
                      <m:rPr>
                        <m:sty m:val="p"/>
                      </m:rPr>
                      <w:rPr>
                        <w:rFonts w:ascii="Cambria Math" w:hAnsi="Times New Roman"/>
                      </w:rPr>
                      <m:t>;</m:t>
                    </m:r>
                    <m:r>
                      <m:rPr>
                        <m:sty m:val="p"/>
                      </m:rPr>
                      <w:rPr>
                        <w:rFonts w:ascii="Cambria Math" w:hAnsi="Times New Roman"/>
                      </w:rPr>
                      <m:t>010</m:t>
                    </m:r>
                  </m:e>
                </m:d>
                <m:r>
                  <m:rPr>
                    <m:sty m:val="p"/>
                  </m:rPr>
                  <w:rPr>
                    <w:rFonts w:ascii="Cambria Math" w:hAnsi="Times New Roman"/>
                  </w:rPr>
                  <m:t xml:space="preserve">+ </m:t>
                </m:r>
                <m:d>
                  <m:dPr>
                    <m:begChr m:val="{"/>
                    <m:endChr m:val="}"/>
                    <m:ctrlPr>
                      <w:rPr>
                        <w:rFonts w:ascii="Cambria Math" w:hAnsi="Times New Roman"/>
                      </w:rPr>
                    </m:ctrlPr>
                  </m:dPr>
                  <m:e>
                    <m:r>
                      <m:rPr>
                        <m:sty m:val="p"/>
                      </m:rPr>
                      <w:rPr>
                        <w:rFonts w:ascii="Cambria Math" w:hAnsi="Times New Roman"/>
                      </w:rPr>
                      <m:t>LRCalc;</m:t>
                    </m:r>
                    <m:r>
                      <m:rPr>
                        <m:sty m:val="p"/>
                      </m:rPr>
                      <w:rPr>
                        <w:rFonts w:ascii="Cambria Math" w:hAnsi="Times New Roman"/>
                      </w:rPr>
                      <m:t>120</m:t>
                    </m:r>
                    <m:r>
                      <m:rPr>
                        <m:sty m:val="p"/>
                      </m:rPr>
                      <w:rPr>
                        <w:rFonts w:ascii="Cambria Math" w:hAnsi="Times New Roman"/>
                      </w:rPr>
                      <m:t>;</m:t>
                    </m:r>
                    <m:r>
                      <m:rPr>
                        <m:sty m:val="p"/>
                      </m:rPr>
                      <w:rPr>
                        <w:rFonts w:ascii="Cambria Math" w:hAnsi="Times New Roman"/>
                      </w:rPr>
                      <m:t>010</m:t>
                    </m:r>
                  </m:e>
                </m:d>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m:t>
                    </m:r>
                    <m:r>
                      <m:rPr>
                        <m:sty m:val="p"/>
                      </m:rPr>
                      <w:rPr>
                        <w:rFonts w:ascii="Cambria Math" w:hAnsi="Times New Roman"/>
                      </w:rPr>
                      <m:t>130</m:t>
                    </m:r>
                    <m:r>
                      <m:rPr>
                        <m:sty m:val="p"/>
                      </m:rPr>
                      <w:rPr>
                        <w:rFonts w:ascii="Cambria Math" w:hAnsi="Times New Roman"/>
                      </w:rPr>
                      <m:t>;</m:t>
                    </m:r>
                    <m:r>
                      <m:rPr>
                        <m:sty m:val="p"/>
                      </m:rPr>
                      <w:rPr>
                        <w:rFonts w:ascii="Cambria Math" w:hAnsi="Times New Roman"/>
                      </w:rPr>
                      <m:t>010</m:t>
                    </m:r>
                  </m:e>
                </m:d>
                <m:r>
                  <m:rPr>
                    <m:sty m:val="p"/>
                  </m:rPr>
                  <w:rPr>
                    <w:rFonts w:ascii="Cambria Math" w:hAnsi="Times New Roman"/>
                  </w:rPr>
                  <m:t>+{LRCalc;</m:t>
                </m:r>
                <m:r>
                  <m:rPr>
                    <m:sty m:val="p"/>
                  </m:rPr>
                  <w:rPr>
                    <w:rFonts w:ascii="Cambria Math" w:hAnsi="Times New Roman"/>
                  </w:rPr>
                  <m:t>140</m:t>
                </m:r>
                <m:r>
                  <m:rPr>
                    <m:sty m:val="p"/>
                  </m:rPr>
                  <w:rPr>
                    <w:rFonts w:ascii="Cambria Math" w:hAnsi="Times New Roman"/>
                  </w:rPr>
                  <m:t>;</m:t>
                </m:r>
                <m:r>
                  <m:rPr>
                    <m:sty m:val="p"/>
                  </m:rPr>
                  <w:rPr>
                    <w:rFonts w:ascii="Cambria Math" w:hAnsi="Times New Roman"/>
                  </w:rPr>
                  <m:t>010</m:t>
                </m:r>
                <m:r>
                  <m:rPr>
                    <m:sty m:val="p"/>
                  </m:rPr>
                  <w:rPr>
                    <w:rFonts w:ascii="Cambria Math" w:hAnsi="Times New Roman"/>
                  </w:rPr>
                  <m:t>}]</m:t>
                </m:r>
              </m:e>
            </m:eqArr>
          </m:num>
          <m:den>
            <m:r>
              <m:rPr>
                <m:sty m:val="p"/>
              </m:rPr>
              <w:rPr>
                <w:rFonts w:ascii="Cambria Math" w:hAnsi="Times New Roman"/>
              </w:rPr>
              <m:t>Total exposure measure</m:t>
            </m:r>
          </m:den>
        </m:f>
      </m:oMath>
      <w:r>
        <w:rPr>
          <w:rFonts w:ascii="Times New Roman" w:hAnsi="Times New Roman"/>
        </w:rPr>
        <w:t>.</w:t>
      </w:r>
    </w:p>
    <w:p w:rsidR="00FC2664" w:rsidRPr="00FE002E" w:rsidRDefault="00FC2664" w:rsidP="007E2A41">
      <w:pPr>
        <w:pStyle w:val="BodyText1"/>
        <w:spacing w:line="240" w:lineRule="auto"/>
        <w:rPr>
          <w:rFonts w:ascii="Times New Roman" w:hAnsi="Times New Roman"/>
        </w:rPr>
      </w:pPr>
    </w:p>
    <w:p w:rsidR="00EB7F64" w:rsidRDefault="00500508" w:rsidP="00500508">
      <w:pPr>
        <w:pStyle w:val="BodyText1"/>
        <w:spacing w:line="240" w:lineRule="auto"/>
        <w:ind w:left="720" w:hanging="360"/>
        <w:rPr>
          <w:rFonts w:ascii="Times New Roman" w:hAnsi="Times New Roman"/>
        </w:rPr>
      </w:pPr>
      <w:r w:rsidRPr="00532F3A">
        <w:rPr>
          <w:rFonts w:ascii="Times New Roman" w:hAnsi="Times New Roman"/>
        </w:rPr>
        <w:t>8</w:t>
      </w:r>
      <w:r>
        <w:rPr>
          <w:rFonts w:ascii="Times New Roman" w:hAnsi="Times New Roman"/>
        </w:rPr>
        <w:t>.</w:t>
      </w:r>
      <w:r>
        <w:tab/>
      </w:r>
      <w:r>
        <w:rPr>
          <w:rFonts w:ascii="Times New Roman" w:hAnsi="Times New Roman"/>
        </w:rPr>
        <w:t>Wobei die Gesamtrisikopositionsmessgröße gleich {LRCalc;</w:t>
      </w:r>
      <w:r w:rsidRPr="00532F3A">
        <w:rPr>
          <w:rFonts w:ascii="Times New Roman" w:hAnsi="Times New Roman"/>
        </w:rPr>
        <w:t>290</w:t>
      </w:r>
      <w:r>
        <w:rPr>
          <w:rFonts w:ascii="Times New Roman" w:hAnsi="Times New Roman"/>
        </w:rPr>
        <w:t>;</w:t>
      </w:r>
      <w:r w:rsidRPr="00532F3A">
        <w:rPr>
          <w:rFonts w:ascii="Times New Roman" w:hAnsi="Times New Roman"/>
        </w:rPr>
        <w:t>010</w:t>
      </w:r>
      <w:r>
        <w:rPr>
          <w:rFonts w:ascii="Times New Roman" w:hAnsi="Times New Roman"/>
        </w:rPr>
        <w:t>} ist.</w:t>
      </w:r>
    </w:p>
    <w:p w:rsidR="00F4754B" w:rsidRPr="00EB7F64" w:rsidRDefault="00F4754B" w:rsidP="00E5591F">
      <w:pPr>
        <w:pStyle w:val="BodyText1"/>
        <w:spacing w:line="240" w:lineRule="auto"/>
        <w:ind w:left="720"/>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sidRPr="00532F3A">
        <w:rPr>
          <w:rFonts w:ascii="Times New Roman" w:hAnsi="Times New Roman"/>
        </w:rPr>
        <w:t>9</w:t>
      </w:r>
      <w:r>
        <w:rPr>
          <w:rFonts w:ascii="Times New Roman" w:hAnsi="Times New Roman"/>
        </w:rPr>
        <w:t>.</w:t>
      </w:r>
      <w:r>
        <w:tab/>
      </w:r>
      <w:r>
        <w:rPr>
          <w:rFonts w:ascii="Times New Roman" w:hAnsi="Times New Roman"/>
        </w:rPr>
        <w:t>Durch Derivate referenzierter Gesamt-Nominalwert = {LR</w:t>
      </w:r>
      <w:r w:rsidRPr="00532F3A">
        <w:rPr>
          <w:rFonts w:ascii="Times New Roman" w:hAnsi="Times New Roman"/>
        </w:rPr>
        <w:t>1</w:t>
      </w:r>
      <w:r>
        <w:rPr>
          <w:rFonts w:ascii="Times New Roman" w:hAnsi="Times New Roman"/>
        </w:rPr>
        <w:t xml:space="preserve">; </w:t>
      </w:r>
      <w:r w:rsidRPr="00532F3A">
        <w:rPr>
          <w:rFonts w:ascii="Times New Roman" w:hAnsi="Times New Roman"/>
        </w:rPr>
        <w:t>010</w:t>
      </w:r>
      <w:r>
        <w:rPr>
          <w:rFonts w:ascii="Times New Roman" w:hAnsi="Times New Roman"/>
        </w:rPr>
        <w:t>;</w:t>
      </w:r>
      <w:r w:rsidRPr="00532F3A">
        <w:rPr>
          <w:rFonts w:ascii="Times New Roman" w:hAnsi="Times New Roman"/>
        </w:rPr>
        <w:t>070</w:t>
      </w:r>
      <w:r>
        <w:rPr>
          <w:rFonts w:ascii="Times New Roman" w:hAnsi="Times New Roman"/>
        </w:rPr>
        <w:t>}. In diesem Feld sind von den Instituten stets Angaben zu machen.</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sidRPr="00532F3A">
        <w:rPr>
          <w:rFonts w:ascii="Times New Roman" w:hAnsi="Times New Roman"/>
        </w:rPr>
        <w:t>10</w:t>
      </w:r>
      <w:r>
        <w:rPr>
          <w:rFonts w:ascii="Times New Roman" w:hAnsi="Times New Roman"/>
        </w:rPr>
        <w:t>.</w:t>
      </w:r>
      <w:r>
        <w:tab/>
      </w:r>
      <w:r>
        <w:rPr>
          <w:rFonts w:ascii="Times New Roman" w:hAnsi="Times New Roman"/>
        </w:rPr>
        <w:t>Kreditderivate-Volumen = {LR</w:t>
      </w:r>
      <w:r w:rsidRPr="00532F3A">
        <w:rPr>
          <w:rFonts w:ascii="Times New Roman" w:hAnsi="Times New Roman"/>
        </w:rPr>
        <w:t>1</w:t>
      </w:r>
      <w:r>
        <w:rPr>
          <w:rFonts w:ascii="Times New Roman" w:hAnsi="Times New Roman"/>
        </w:rPr>
        <w:t>;</w:t>
      </w:r>
      <w:r w:rsidRPr="00532F3A">
        <w:rPr>
          <w:rFonts w:ascii="Times New Roman" w:hAnsi="Times New Roman"/>
        </w:rPr>
        <w:t>020</w:t>
      </w:r>
      <w:r>
        <w:rPr>
          <w:rFonts w:ascii="Times New Roman" w:hAnsi="Times New Roman"/>
        </w:rPr>
        <w:t>;</w:t>
      </w:r>
      <w:r w:rsidRPr="00532F3A">
        <w:rPr>
          <w:rFonts w:ascii="Times New Roman" w:hAnsi="Times New Roman"/>
        </w:rPr>
        <w:t>070</w:t>
      </w:r>
      <w:r>
        <w:rPr>
          <w:rFonts w:ascii="Times New Roman" w:hAnsi="Times New Roman"/>
        </w:rPr>
        <w:t>} + {LR</w:t>
      </w:r>
      <w:r w:rsidRPr="00532F3A">
        <w:rPr>
          <w:rFonts w:ascii="Times New Roman" w:hAnsi="Times New Roman"/>
        </w:rPr>
        <w:t>1</w:t>
      </w:r>
      <w:r>
        <w:rPr>
          <w:rFonts w:ascii="Times New Roman" w:hAnsi="Times New Roman"/>
        </w:rPr>
        <w:t>;</w:t>
      </w:r>
      <w:r w:rsidRPr="00532F3A">
        <w:rPr>
          <w:rFonts w:ascii="Times New Roman" w:hAnsi="Times New Roman"/>
        </w:rPr>
        <w:t>050</w:t>
      </w:r>
      <w:r>
        <w:rPr>
          <w:rFonts w:ascii="Times New Roman" w:hAnsi="Times New Roman"/>
        </w:rPr>
        <w:t>;</w:t>
      </w:r>
      <w:r w:rsidRPr="00532F3A">
        <w:rPr>
          <w:rFonts w:ascii="Times New Roman" w:hAnsi="Times New Roman"/>
        </w:rPr>
        <w:t>070</w:t>
      </w:r>
      <w:r>
        <w:rPr>
          <w:rFonts w:ascii="Times New Roman" w:hAnsi="Times New Roman"/>
        </w:rPr>
        <w:t>}. In diesen Feldern sind von den Instituten stets Angaben zu machen.</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sidRPr="00532F3A">
        <w:rPr>
          <w:rFonts w:ascii="Times New Roman" w:hAnsi="Times New Roman"/>
        </w:rPr>
        <w:t>11</w:t>
      </w:r>
      <w:r>
        <w:rPr>
          <w:rFonts w:ascii="Times New Roman" w:hAnsi="Times New Roman"/>
        </w:rPr>
        <w:t>.</w:t>
      </w:r>
      <w:r>
        <w:tab/>
      </w:r>
      <w:r>
        <w:rPr>
          <w:rFonts w:ascii="Times New Roman" w:hAnsi="Times New Roman"/>
        </w:rPr>
        <w:t>Wenn eine der folgenden Bedingungen erfüllt ist, müssen die Institute in der darauffolgenden Berichtsperiode in den unter Nummer </w:t>
      </w:r>
      <w:r w:rsidRPr="00532F3A">
        <w:rPr>
          <w:rFonts w:ascii="Times New Roman" w:hAnsi="Times New Roman"/>
        </w:rPr>
        <w:t>14</w:t>
      </w:r>
      <w:r>
        <w:rPr>
          <w:rFonts w:ascii="Times New Roman" w:hAnsi="Times New Roman"/>
        </w:rPr>
        <w:t xml:space="preserve"> genannten Feldern Angaben machen:</w:t>
      </w:r>
    </w:p>
    <w:p w:rsidR="00607A1B" w:rsidRPr="00FE002E" w:rsidRDefault="00607A1B" w:rsidP="00607A1B">
      <w:pPr>
        <w:pStyle w:val="BodyText1"/>
        <w:spacing w:line="240" w:lineRule="auto"/>
        <w:ind w:left="720"/>
        <w:rPr>
          <w:rFonts w:ascii="Times New Roman" w:hAnsi="Times New Roman"/>
        </w:rPr>
      </w:pPr>
    </w:p>
    <w:p w:rsidR="00F4754B" w:rsidRPr="00FE002E" w:rsidRDefault="00500508" w:rsidP="00500508">
      <w:pPr>
        <w:pStyle w:val="InstructionsText2"/>
        <w:numPr>
          <w:ilvl w:val="0"/>
          <w:numId w:val="0"/>
        </w:numPr>
        <w:ind w:left="1080" w:hanging="360"/>
        <w:rPr>
          <w:rFonts w:ascii="Symbol" w:eastAsia="Times New Roman" w:hAnsi="Symbol"/>
          <w:bCs/>
          <w:szCs w:val="17"/>
        </w:rPr>
      </w:pPr>
      <w:r>
        <w:tab/>
        <w:t>Der nach der Formel unter Nummer </w:t>
      </w:r>
      <w:r w:rsidRPr="00532F3A">
        <w:t>7</w:t>
      </w:r>
      <w:r>
        <w:t xml:space="preserve"> berechnete Derivate-Anteil beträgt an zwei aufeinanderfolgenden Meldestichtagen mehr als </w:t>
      </w:r>
      <w:r w:rsidRPr="00532F3A">
        <w:t>1</w:t>
      </w:r>
      <w:r>
        <w:t>,</w:t>
      </w:r>
      <w:r w:rsidRPr="00532F3A">
        <w:t>5</w:t>
      </w:r>
      <w:r>
        <w:t> %;</w:t>
      </w:r>
    </w:p>
    <w:p w:rsidR="00675587" w:rsidRPr="00FE002E" w:rsidRDefault="00500508" w:rsidP="00500508">
      <w:pPr>
        <w:pStyle w:val="InstructionsText2"/>
        <w:numPr>
          <w:ilvl w:val="0"/>
          <w:numId w:val="0"/>
        </w:numPr>
        <w:ind w:left="1080" w:hanging="360"/>
        <w:rPr>
          <w:rFonts w:ascii="Symbol" w:eastAsia="Times New Roman" w:hAnsi="Symbol"/>
          <w:bCs/>
          <w:szCs w:val="17"/>
        </w:rPr>
      </w:pPr>
      <w:r>
        <w:tab/>
        <w:t>der nach der Formel unter Nummer </w:t>
      </w:r>
      <w:r w:rsidRPr="00532F3A">
        <w:t>7</w:t>
      </w:r>
      <w:r>
        <w:t xml:space="preserve"> berechnete Derivate-Anteil übersteigt </w:t>
      </w:r>
      <w:r w:rsidRPr="00532F3A">
        <w:t>2</w:t>
      </w:r>
      <w:r>
        <w:t>,</w:t>
      </w:r>
      <w:r w:rsidRPr="00532F3A">
        <w:t>0</w:t>
      </w:r>
      <w:r>
        <w:t> %.</w:t>
      </w:r>
    </w:p>
    <w:p w:rsidR="00F4754B" w:rsidRPr="00FE002E" w:rsidRDefault="00F4754B"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sidRPr="00532F3A">
        <w:rPr>
          <w:rFonts w:ascii="Times New Roman" w:hAnsi="Times New Roman"/>
        </w:rPr>
        <w:lastRenderedPageBreak/>
        <w:t>12</w:t>
      </w:r>
      <w:r>
        <w:rPr>
          <w:rFonts w:ascii="Times New Roman" w:hAnsi="Times New Roman"/>
        </w:rPr>
        <w:t>.</w:t>
      </w:r>
      <w:r>
        <w:tab/>
      </w:r>
      <w:r>
        <w:rPr>
          <w:rFonts w:ascii="Times New Roman" w:hAnsi="Times New Roman"/>
        </w:rPr>
        <w:t>Institute, bei denen der durch Derivate referenzierte Gesamt-Nominalwert (nach der Definition unter Nummer </w:t>
      </w:r>
      <w:r w:rsidRPr="00532F3A">
        <w:rPr>
          <w:rFonts w:ascii="Times New Roman" w:hAnsi="Times New Roman"/>
        </w:rPr>
        <w:t>9</w:t>
      </w:r>
      <w:r>
        <w:rPr>
          <w:rFonts w:ascii="Times New Roman" w:hAnsi="Times New Roman"/>
        </w:rPr>
        <w:t xml:space="preserve">) </w:t>
      </w:r>
      <w:r w:rsidRPr="00532F3A">
        <w:rPr>
          <w:rFonts w:ascii="Times New Roman" w:hAnsi="Times New Roman"/>
        </w:rPr>
        <w:t>10</w:t>
      </w:r>
      <w:r>
        <w:rPr>
          <w:rFonts w:ascii="Times New Roman" w:hAnsi="Times New Roman"/>
        </w:rPr>
        <w:t> Mrd. EUR übersteigt, machen in den unter Nummer </w:t>
      </w:r>
      <w:r w:rsidRPr="00532F3A">
        <w:rPr>
          <w:rFonts w:ascii="Times New Roman" w:hAnsi="Times New Roman"/>
        </w:rPr>
        <w:t>14</w:t>
      </w:r>
      <w:r>
        <w:rPr>
          <w:rFonts w:ascii="Times New Roman" w:hAnsi="Times New Roman"/>
        </w:rPr>
        <w:t xml:space="preserve"> genannten Feldern auch dann Angaben, wenn ihr Derivate-Anteil die unter Nummer </w:t>
      </w:r>
      <w:r w:rsidRPr="00532F3A">
        <w:rPr>
          <w:rFonts w:ascii="Times New Roman" w:hAnsi="Times New Roman"/>
        </w:rPr>
        <w:t>11</w:t>
      </w:r>
      <w:r>
        <w:rPr>
          <w:rFonts w:ascii="Times New Roman" w:hAnsi="Times New Roman"/>
        </w:rPr>
        <w:t xml:space="preserve"> beschriebenen Bedingungen nicht erfüllt.</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sidRPr="00532F3A">
        <w:rPr>
          <w:rFonts w:ascii="Times New Roman" w:hAnsi="Times New Roman"/>
        </w:rPr>
        <w:t>13</w:t>
      </w:r>
      <w:r>
        <w:rPr>
          <w:rFonts w:ascii="Times New Roman" w:hAnsi="Times New Roman"/>
        </w:rPr>
        <w:t>.</w:t>
      </w:r>
      <w:r>
        <w:tab/>
      </w:r>
      <w:r>
        <w:rPr>
          <w:rFonts w:ascii="Times New Roman" w:hAnsi="Times New Roman"/>
        </w:rPr>
        <w:t>Wenn eine der folgenden Bedingungen erfüllt ist, müssen die Institute in den unter Nummer </w:t>
      </w:r>
      <w:r w:rsidRPr="00532F3A">
        <w:rPr>
          <w:rFonts w:ascii="Times New Roman" w:hAnsi="Times New Roman"/>
        </w:rPr>
        <w:t>15</w:t>
      </w:r>
      <w:r>
        <w:rPr>
          <w:rFonts w:ascii="Times New Roman" w:hAnsi="Times New Roman"/>
        </w:rPr>
        <w:t xml:space="preserve"> genannten Feldern Angaben machen:</w:t>
      </w:r>
    </w:p>
    <w:p w:rsidR="00607A1B" w:rsidRPr="00FE002E" w:rsidRDefault="00607A1B" w:rsidP="00607A1B">
      <w:pPr>
        <w:pStyle w:val="BodyText1"/>
        <w:spacing w:line="240" w:lineRule="auto"/>
        <w:rPr>
          <w:rFonts w:ascii="Times New Roman" w:hAnsi="Times New Roman"/>
        </w:rPr>
      </w:pPr>
    </w:p>
    <w:p w:rsidR="00F4754B" w:rsidRPr="00FE002E" w:rsidRDefault="00500508" w:rsidP="00500508">
      <w:pPr>
        <w:pStyle w:val="InstructionsText2"/>
        <w:numPr>
          <w:ilvl w:val="0"/>
          <w:numId w:val="0"/>
        </w:numPr>
        <w:ind w:left="1080" w:hanging="360"/>
        <w:rPr>
          <w:rFonts w:ascii="Symbol" w:eastAsia="Times New Roman" w:hAnsi="Symbol"/>
          <w:bCs/>
          <w:szCs w:val="17"/>
        </w:rPr>
      </w:pPr>
      <w:r>
        <w:tab/>
        <w:t>Das nach Nummer </w:t>
      </w:r>
      <w:r w:rsidRPr="00532F3A">
        <w:t>10</w:t>
      </w:r>
      <w:r>
        <w:t xml:space="preserve"> berechnete Kreditderivate-Volumen beträgt an zwei aufeinanderfolgenden Meldestichtagen mehr als </w:t>
      </w:r>
      <w:r w:rsidRPr="00532F3A">
        <w:t>300</w:t>
      </w:r>
      <w:r>
        <w:t> Mio. EUR;</w:t>
      </w:r>
    </w:p>
    <w:p w:rsidR="00675587" w:rsidRPr="00FE002E" w:rsidRDefault="00500508" w:rsidP="00500508">
      <w:pPr>
        <w:pStyle w:val="InstructionsText2"/>
        <w:numPr>
          <w:ilvl w:val="0"/>
          <w:numId w:val="0"/>
        </w:numPr>
        <w:ind w:left="1080" w:hanging="360"/>
        <w:rPr>
          <w:rFonts w:ascii="Symbol" w:eastAsia="Times New Roman" w:hAnsi="Symbol"/>
          <w:bCs/>
          <w:szCs w:val="17"/>
        </w:rPr>
      </w:pPr>
      <w:r>
        <w:tab/>
        <w:t>das nach Nummer </w:t>
      </w:r>
      <w:r w:rsidRPr="00532F3A">
        <w:t>10</w:t>
      </w:r>
      <w:r>
        <w:t xml:space="preserve"> berechnete Kreditderivate-Volumen übersteigt </w:t>
      </w:r>
      <w:r w:rsidRPr="00532F3A">
        <w:t>500</w:t>
      </w:r>
      <w:r>
        <w:t> Mio. EUR.</w:t>
      </w:r>
    </w:p>
    <w:p w:rsidR="00F4754B" w:rsidRPr="00FE002E" w:rsidRDefault="00F4754B" w:rsidP="00E5591F">
      <w:pPr>
        <w:pStyle w:val="BodyText1"/>
        <w:spacing w:line="240" w:lineRule="auto"/>
        <w:jc w:val="left"/>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sidRPr="00532F3A">
        <w:rPr>
          <w:rFonts w:ascii="Times New Roman" w:hAnsi="Times New Roman"/>
        </w:rPr>
        <w:t>14</w:t>
      </w:r>
      <w:r>
        <w:rPr>
          <w:rFonts w:ascii="Times New Roman" w:hAnsi="Times New Roman"/>
        </w:rPr>
        <w:t>.</w:t>
      </w:r>
      <w:r>
        <w:tab/>
      </w:r>
      <w:r>
        <w:rPr>
          <w:rFonts w:ascii="Times New Roman" w:hAnsi="Times New Roman"/>
        </w:rPr>
        <w:t>In folgenden Feldern müssen die Institute gemäß Nummer </w:t>
      </w:r>
      <w:r w:rsidRPr="00532F3A">
        <w:rPr>
          <w:rFonts w:ascii="Times New Roman" w:hAnsi="Times New Roman"/>
        </w:rPr>
        <w:t>11</w:t>
      </w:r>
      <w:r>
        <w:rPr>
          <w:rFonts w:ascii="Times New Roman" w:hAnsi="Times New Roman"/>
        </w:rPr>
        <w:t xml:space="preserve"> Angaben machen: {LR</w:t>
      </w:r>
      <w:r w:rsidRPr="00532F3A">
        <w:rPr>
          <w:rFonts w:ascii="Times New Roman" w:hAnsi="Times New Roman"/>
        </w:rPr>
        <w:t>1</w:t>
      </w:r>
      <w:r>
        <w:rPr>
          <w:rFonts w:ascii="Times New Roman" w:hAnsi="Times New Roman"/>
        </w:rPr>
        <w:t>;</w:t>
      </w:r>
      <w:r w:rsidRPr="00532F3A">
        <w:rPr>
          <w:rFonts w:ascii="Times New Roman" w:hAnsi="Times New Roman"/>
        </w:rPr>
        <w:t>010</w:t>
      </w:r>
      <w:r>
        <w:rPr>
          <w:rFonts w:ascii="Times New Roman" w:hAnsi="Times New Roman"/>
        </w:rPr>
        <w:t>;</w:t>
      </w:r>
      <w:r w:rsidRPr="00532F3A">
        <w:rPr>
          <w:rFonts w:ascii="Times New Roman" w:hAnsi="Times New Roman"/>
        </w:rPr>
        <w:t>010</w:t>
      </w:r>
      <w:r>
        <w:rPr>
          <w:rFonts w:ascii="Times New Roman" w:hAnsi="Times New Roman"/>
        </w:rPr>
        <w:t>}, {LR</w:t>
      </w:r>
      <w:r w:rsidRPr="00532F3A">
        <w:rPr>
          <w:rFonts w:ascii="Times New Roman" w:hAnsi="Times New Roman"/>
        </w:rPr>
        <w:t>1</w:t>
      </w:r>
      <w:r>
        <w:rPr>
          <w:rFonts w:ascii="Times New Roman" w:hAnsi="Times New Roman"/>
        </w:rPr>
        <w:t>;</w:t>
      </w:r>
      <w:r w:rsidRPr="00532F3A">
        <w:rPr>
          <w:rFonts w:ascii="Times New Roman" w:hAnsi="Times New Roman"/>
        </w:rPr>
        <w:t>010</w:t>
      </w:r>
      <w:r>
        <w:rPr>
          <w:rFonts w:ascii="Times New Roman" w:hAnsi="Times New Roman"/>
        </w:rPr>
        <w:t>;</w:t>
      </w:r>
      <w:r w:rsidRPr="00532F3A">
        <w:rPr>
          <w:rFonts w:ascii="Times New Roman" w:hAnsi="Times New Roman"/>
        </w:rPr>
        <w:t>020</w:t>
      </w:r>
      <w:r>
        <w:rPr>
          <w:rFonts w:ascii="Times New Roman" w:hAnsi="Times New Roman"/>
        </w:rPr>
        <w:t>}, {LR</w:t>
      </w:r>
      <w:r w:rsidRPr="00532F3A">
        <w:rPr>
          <w:rFonts w:ascii="Times New Roman" w:hAnsi="Times New Roman"/>
        </w:rPr>
        <w:t>1</w:t>
      </w:r>
      <w:r>
        <w:rPr>
          <w:rFonts w:ascii="Times New Roman" w:hAnsi="Times New Roman"/>
        </w:rPr>
        <w:t>;</w:t>
      </w:r>
      <w:r w:rsidRPr="00532F3A">
        <w:rPr>
          <w:rFonts w:ascii="Times New Roman" w:hAnsi="Times New Roman"/>
        </w:rPr>
        <w:t>010</w:t>
      </w:r>
      <w:r>
        <w:rPr>
          <w:rFonts w:ascii="Times New Roman" w:hAnsi="Times New Roman"/>
        </w:rPr>
        <w:t>;</w:t>
      </w:r>
      <w:r w:rsidRPr="00532F3A">
        <w:rPr>
          <w:rFonts w:ascii="Times New Roman" w:hAnsi="Times New Roman"/>
        </w:rPr>
        <w:t>050</w:t>
      </w:r>
      <w:r>
        <w:rPr>
          <w:rFonts w:ascii="Times New Roman" w:hAnsi="Times New Roman"/>
        </w:rPr>
        <w:t>}, {LR</w:t>
      </w:r>
      <w:r w:rsidRPr="00532F3A">
        <w:rPr>
          <w:rFonts w:ascii="Times New Roman" w:hAnsi="Times New Roman"/>
        </w:rPr>
        <w:t>1</w:t>
      </w:r>
      <w:r>
        <w:rPr>
          <w:rFonts w:ascii="Times New Roman" w:hAnsi="Times New Roman"/>
        </w:rPr>
        <w:t>;</w:t>
      </w:r>
      <w:r w:rsidRPr="00532F3A">
        <w:rPr>
          <w:rFonts w:ascii="Times New Roman" w:hAnsi="Times New Roman"/>
        </w:rPr>
        <w:t>020</w:t>
      </w:r>
      <w:r>
        <w:rPr>
          <w:rFonts w:ascii="Times New Roman" w:hAnsi="Times New Roman"/>
        </w:rPr>
        <w:t>;</w:t>
      </w:r>
      <w:r w:rsidRPr="00532F3A">
        <w:rPr>
          <w:rFonts w:ascii="Times New Roman" w:hAnsi="Times New Roman"/>
        </w:rPr>
        <w:t>010</w:t>
      </w:r>
      <w:r>
        <w:rPr>
          <w:rFonts w:ascii="Times New Roman" w:hAnsi="Times New Roman"/>
        </w:rPr>
        <w:t>}, {LR</w:t>
      </w:r>
      <w:r w:rsidRPr="00532F3A">
        <w:rPr>
          <w:rFonts w:ascii="Times New Roman" w:hAnsi="Times New Roman"/>
        </w:rPr>
        <w:t>1</w:t>
      </w:r>
      <w:r>
        <w:rPr>
          <w:rFonts w:ascii="Times New Roman" w:hAnsi="Times New Roman"/>
        </w:rPr>
        <w:t>;</w:t>
      </w:r>
      <w:r w:rsidRPr="00532F3A">
        <w:rPr>
          <w:rFonts w:ascii="Times New Roman" w:hAnsi="Times New Roman"/>
        </w:rPr>
        <w:t>020</w:t>
      </w:r>
      <w:r>
        <w:rPr>
          <w:rFonts w:ascii="Times New Roman" w:hAnsi="Times New Roman"/>
        </w:rPr>
        <w:t>;</w:t>
      </w:r>
      <w:r w:rsidRPr="00532F3A">
        <w:rPr>
          <w:rFonts w:ascii="Times New Roman" w:hAnsi="Times New Roman"/>
        </w:rPr>
        <w:t>020</w:t>
      </w:r>
      <w:r>
        <w:rPr>
          <w:rFonts w:ascii="Times New Roman" w:hAnsi="Times New Roman"/>
        </w:rPr>
        <w:t>}, {LR</w:t>
      </w:r>
      <w:r w:rsidRPr="00532F3A">
        <w:rPr>
          <w:rFonts w:ascii="Times New Roman" w:hAnsi="Times New Roman"/>
        </w:rPr>
        <w:t>1</w:t>
      </w:r>
      <w:r>
        <w:rPr>
          <w:rFonts w:ascii="Times New Roman" w:hAnsi="Times New Roman"/>
        </w:rPr>
        <w:t>;</w:t>
      </w:r>
      <w:r w:rsidRPr="00532F3A">
        <w:rPr>
          <w:rFonts w:ascii="Times New Roman" w:hAnsi="Times New Roman"/>
        </w:rPr>
        <w:t>020</w:t>
      </w:r>
      <w:r>
        <w:rPr>
          <w:rFonts w:ascii="Times New Roman" w:hAnsi="Times New Roman"/>
        </w:rPr>
        <w:t>;</w:t>
      </w:r>
      <w:r w:rsidRPr="00532F3A">
        <w:rPr>
          <w:rFonts w:ascii="Times New Roman" w:hAnsi="Times New Roman"/>
        </w:rPr>
        <w:t>050</w:t>
      </w:r>
      <w:r>
        <w:rPr>
          <w:rFonts w:ascii="Times New Roman" w:hAnsi="Times New Roman"/>
        </w:rPr>
        <w:t>}, {LR</w:t>
      </w:r>
      <w:r w:rsidRPr="00532F3A">
        <w:rPr>
          <w:rFonts w:ascii="Times New Roman" w:hAnsi="Times New Roman"/>
        </w:rPr>
        <w:t>1</w:t>
      </w:r>
      <w:r>
        <w:rPr>
          <w:rFonts w:ascii="Times New Roman" w:hAnsi="Times New Roman"/>
        </w:rPr>
        <w:t>;</w:t>
      </w:r>
      <w:r w:rsidRPr="00532F3A">
        <w:rPr>
          <w:rFonts w:ascii="Times New Roman" w:hAnsi="Times New Roman"/>
        </w:rPr>
        <w:t>030</w:t>
      </w:r>
      <w:r>
        <w:rPr>
          <w:rFonts w:ascii="Times New Roman" w:hAnsi="Times New Roman"/>
        </w:rPr>
        <w:t>;</w:t>
      </w:r>
      <w:r w:rsidRPr="00532F3A">
        <w:rPr>
          <w:rFonts w:ascii="Times New Roman" w:hAnsi="Times New Roman"/>
        </w:rPr>
        <w:t>050</w:t>
      </w:r>
      <w:r>
        <w:rPr>
          <w:rFonts w:ascii="Times New Roman" w:hAnsi="Times New Roman"/>
        </w:rPr>
        <w:t>}, {LR</w:t>
      </w:r>
      <w:r w:rsidRPr="00532F3A">
        <w:rPr>
          <w:rFonts w:ascii="Times New Roman" w:hAnsi="Times New Roman"/>
        </w:rPr>
        <w:t>1</w:t>
      </w:r>
      <w:r>
        <w:rPr>
          <w:rFonts w:ascii="Times New Roman" w:hAnsi="Times New Roman"/>
        </w:rPr>
        <w:t>;</w:t>
      </w:r>
      <w:r w:rsidRPr="00532F3A">
        <w:rPr>
          <w:rFonts w:ascii="Times New Roman" w:hAnsi="Times New Roman"/>
        </w:rPr>
        <w:t>030</w:t>
      </w:r>
      <w:r>
        <w:rPr>
          <w:rFonts w:ascii="Times New Roman" w:hAnsi="Times New Roman"/>
        </w:rPr>
        <w:t>;</w:t>
      </w:r>
      <w:r w:rsidRPr="00532F3A">
        <w:rPr>
          <w:rFonts w:ascii="Times New Roman" w:hAnsi="Times New Roman"/>
        </w:rPr>
        <w:t>070</w:t>
      </w:r>
      <w:r>
        <w:rPr>
          <w:rFonts w:ascii="Times New Roman" w:hAnsi="Times New Roman"/>
        </w:rPr>
        <w:t>}, {LR</w:t>
      </w:r>
      <w:r w:rsidRPr="00532F3A">
        <w:rPr>
          <w:rFonts w:ascii="Times New Roman" w:hAnsi="Times New Roman"/>
        </w:rPr>
        <w:t>1</w:t>
      </w:r>
      <w:r>
        <w:rPr>
          <w:rFonts w:ascii="Times New Roman" w:hAnsi="Times New Roman"/>
        </w:rPr>
        <w:t>;</w:t>
      </w:r>
      <w:r w:rsidRPr="00532F3A">
        <w:rPr>
          <w:rFonts w:ascii="Times New Roman" w:hAnsi="Times New Roman"/>
        </w:rPr>
        <w:t>040</w:t>
      </w:r>
      <w:r>
        <w:rPr>
          <w:rFonts w:ascii="Times New Roman" w:hAnsi="Times New Roman"/>
        </w:rPr>
        <w:t>;</w:t>
      </w:r>
      <w:r w:rsidRPr="00532F3A">
        <w:rPr>
          <w:rFonts w:ascii="Times New Roman" w:hAnsi="Times New Roman"/>
        </w:rPr>
        <w:t>050</w:t>
      </w:r>
      <w:r>
        <w:rPr>
          <w:rFonts w:ascii="Times New Roman" w:hAnsi="Times New Roman"/>
        </w:rPr>
        <w:t>}, {LR</w:t>
      </w:r>
      <w:r w:rsidRPr="00532F3A">
        <w:rPr>
          <w:rFonts w:ascii="Times New Roman" w:hAnsi="Times New Roman"/>
        </w:rPr>
        <w:t>1</w:t>
      </w:r>
      <w:r>
        <w:rPr>
          <w:rFonts w:ascii="Times New Roman" w:hAnsi="Times New Roman"/>
        </w:rPr>
        <w:t>;</w:t>
      </w:r>
      <w:r w:rsidRPr="00532F3A">
        <w:rPr>
          <w:rFonts w:ascii="Times New Roman" w:hAnsi="Times New Roman"/>
        </w:rPr>
        <w:t>040</w:t>
      </w:r>
      <w:r>
        <w:rPr>
          <w:rFonts w:ascii="Times New Roman" w:hAnsi="Times New Roman"/>
        </w:rPr>
        <w:t>;</w:t>
      </w:r>
      <w:r w:rsidRPr="00532F3A">
        <w:rPr>
          <w:rFonts w:ascii="Times New Roman" w:hAnsi="Times New Roman"/>
        </w:rPr>
        <w:t>070</w:t>
      </w:r>
      <w:r>
        <w:rPr>
          <w:rFonts w:ascii="Times New Roman" w:hAnsi="Times New Roman"/>
        </w:rPr>
        <w:t>}, {LR</w:t>
      </w:r>
      <w:r w:rsidRPr="00532F3A">
        <w:rPr>
          <w:rFonts w:ascii="Times New Roman" w:hAnsi="Times New Roman"/>
        </w:rPr>
        <w:t>1</w:t>
      </w:r>
      <w:r>
        <w:rPr>
          <w:rFonts w:ascii="Times New Roman" w:hAnsi="Times New Roman"/>
        </w:rPr>
        <w:t>;</w:t>
      </w:r>
      <w:r w:rsidRPr="00532F3A">
        <w:rPr>
          <w:rFonts w:ascii="Times New Roman" w:hAnsi="Times New Roman"/>
        </w:rPr>
        <w:t>050</w:t>
      </w:r>
      <w:r>
        <w:rPr>
          <w:rFonts w:ascii="Times New Roman" w:hAnsi="Times New Roman"/>
        </w:rPr>
        <w:t>;</w:t>
      </w:r>
      <w:r w:rsidRPr="00532F3A">
        <w:rPr>
          <w:rFonts w:ascii="Times New Roman" w:hAnsi="Times New Roman"/>
        </w:rPr>
        <w:t>010</w:t>
      </w:r>
      <w:r>
        <w:rPr>
          <w:rFonts w:ascii="Times New Roman" w:hAnsi="Times New Roman"/>
        </w:rPr>
        <w:t>}, {LR</w:t>
      </w:r>
      <w:r w:rsidRPr="00532F3A">
        <w:rPr>
          <w:rFonts w:ascii="Times New Roman" w:hAnsi="Times New Roman"/>
        </w:rPr>
        <w:t>1</w:t>
      </w:r>
      <w:r>
        <w:rPr>
          <w:rFonts w:ascii="Times New Roman" w:hAnsi="Times New Roman"/>
        </w:rPr>
        <w:t>;</w:t>
      </w:r>
      <w:r w:rsidRPr="00532F3A">
        <w:rPr>
          <w:rFonts w:ascii="Times New Roman" w:hAnsi="Times New Roman"/>
        </w:rPr>
        <w:t>050</w:t>
      </w:r>
      <w:r>
        <w:rPr>
          <w:rFonts w:ascii="Times New Roman" w:hAnsi="Times New Roman"/>
        </w:rPr>
        <w:t>;</w:t>
      </w:r>
      <w:r w:rsidRPr="00532F3A">
        <w:rPr>
          <w:rFonts w:ascii="Times New Roman" w:hAnsi="Times New Roman"/>
        </w:rPr>
        <w:t>020</w:t>
      </w:r>
      <w:r>
        <w:rPr>
          <w:rFonts w:ascii="Times New Roman" w:hAnsi="Times New Roman"/>
        </w:rPr>
        <w:t>}, {LR</w:t>
      </w:r>
      <w:r w:rsidRPr="00532F3A">
        <w:rPr>
          <w:rFonts w:ascii="Times New Roman" w:hAnsi="Times New Roman"/>
        </w:rPr>
        <w:t>1</w:t>
      </w:r>
      <w:r>
        <w:rPr>
          <w:rFonts w:ascii="Times New Roman" w:hAnsi="Times New Roman"/>
        </w:rPr>
        <w:t>;</w:t>
      </w:r>
      <w:r w:rsidRPr="00532F3A">
        <w:rPr>
          <w:rFonts w:ascii="Times New Roman" w:hAnsi="Times New Roman"/>
        </w:rPr>
        <w:t>050</w:t>
      </w:r>
      <w:r>
        <w:rPr>
          <w:rFonts w:ascii="Times New Roman" w:hAnsi="Times New Roman"/>
        </w:rPr>
        <w:t>;</w:t>
      </w:r>
      <w:r w:rsidRPr="00532F3A">
        <w:rPr>
          <w:rFonts w:ascii="Times New Roman" w:hAnsi="Times New Roman"/>
        </w:rPr>
        <w:t>050</w:t>
      </w:r>
      <w:r>
        <w:rPr>
          <w:rFonts w:ascii="Times New Roman" w:hAnsi="Times New Roman"/>
        </w:rPr>
        <w:t>}, {LR</w:t>
      </w:r>
      <w:r w:rsidRPr="00532F3A">
        <w:rPr>
          <w:rFonts w:ascii="Times New Roman" w:hAnsi="Times New Roman"/>
        </w:rPr>
        <w:t>1</w:t>
      </w:r>
      <w:r>
        <w:rPr>
          <w:rFonts w:ascii="Times New Roman" w:hAnsi="Times New Roman"/>
        </w:rPr>
        <w:t>;</w:t>
      </w:r>
      <w:r w:rsidRPr="00532F3A">
        <w:rPr>
          <w:rFonts w:ascii="Times New Roman" w:hAnsi="Times New Roman"/>
        </w:rPr>
        <w:t>060</w:t>
      </w:r>
      <w:r>
        <w:rPr>
          <w:rFonts w:ascii="Times New Roman" w:hAnsi="Times New Roman"/>
        </w:rPr>
        <w:t>;</w:t>
      </w:r>
      <w:r w:rsidRPr="00532F3A">
        <w:rPr>
          <w:rFonts w:ascii="Times New Roman" w:hAnsi="Times New Roman"/>
        </w:rPr>
        <w:t>010</w:t>
      </w:r>
      <w:r>
        <w:rPr>
          <w:rFonts w:ascii="Times New Roman" w:hAnsi="Times New Roman"/>
        </w:rPr>
        <w:t>}, {LR</w:t>
      </w:r>
      <w:r w:rsidRPr="00532F3A">
        <w:rPr>
          <w:rFonts w:ascii="Times New Roman" w:hAnsi="Times New Roman"/>
        </w:rPr>
        <w:t>1</w:t>
      </w:r>
      <w:r>
        <w:rPr>
          <w:rFonts w:ascii="Times New Roman" w:hAnsi="Times New Roman"/>
        </w:rPr>
        <w:t>;</w:t>
      </w:r>
      <w:r w:rsidRPr="00532F3A">
        <w:rPr>
          <w:rFonts w:ascii="Times New Roman" w:hAnsi="Times New Roman"/>
        </w:rPr>
        <w:t>060</w:t>
      </w:r>
      <w:r>
        <w:rPr>
          <w:rFonts w:ascii="Times New Roman" w:hAnsi="Times New Roman"/>
        </w:rPr>
        <w:t>;</w:t>
      </w:r>
      <w:r w:rsidRPr="00532F3A">
        <w:rPr>
          <w:rFonts w:ascii="Times New Roman" w:hAnsi="Times New Roman"/>
        </w:rPr>
        <w:t>020</w:t>
      </w:r>
      <w:r>
        <w:rPr>
          <w:rFonts w:ascii="Times New Roman" w:hAnsi="Times New Roman"/>
        </w:rPr>
        <w:t>}, {LR</w:t>
      </w:r>
      <w:r w:rsidRPr="00532F3A">
        <w:rPr>
          <w:rFonts w:ascii="Times New Roman" w:hAnsi="Times New Roman"/>
        </w:rPr>
        <w:t>1</w:t>
      </w:r>
      <w:r>
        <w:rPr>
          <w:rFonts w:ascii="Times New Roman" w:hAnsi="Times New Roman"/>
        </w:rPr>
        <w:t>;</w:t>
      </w:r>
      <w:r w:rsidRPr="00532F3A">
        <w:rPr>
          <w:rFonts w:ascii="Times New Roman" w:hAnsi="Times New Roman"/>
        </w:rPr>
        <w:t>060</w:t>
      </w:r>
      <w:r>
        <w:rPr>
          <w:rFonts w:ascii="Times New Roman" w:hAnsi="Times New Roman"/>
        </w:rPr>
        <w:t>;</w:t>
      </w:r>
      <w:r w:rsidRPr="00532F3A">
        <w:rPr>
          <w:rFonts w:ascii="Times New Roman" w:hAnsi="Times New Roman"/>
        </w:rPr>
        <w:t>050</w:t>
      </w:r>
      <w:r>
        <w:rPr>
          <w:rFonts w:ascii="Times New Roman" w:hAnsi="Times New Roman"/>
        </w:rPr>
        <w:t>} und {LR</w:t>
      </w:r>
      <w:r w:rsidRPr="00532F3A">
        <w:rPr>
          <w:rFonts w:ascii="Times New Roman" w:hAnsi="Times New Roman"/>
        </w:rPr>
        <w:t>1</w:t>
      </w:r>
      <w:r>
        <w:rPr>
          <w:rFonts w:ascii="Times New Roman" w:hAnsi="Times New Roman"/>
        </w:rPr>
        <w:t>;</w:t>
      </w:r>
      <w:r w:rsidRPr="00532F3A">
        <w:rPr>
          <w:rFonts w:ascii="Times New Roman" w:hAnsi="Times New Roman"/>
        </w:rPr>
        <w:t>060</w:t>
      </w:r>
      <w:r>
        <w:rPr>
          <w:rFonts w:ascii="Times New Roman" w:hAnsi="Times New Roman"/>
        </w:rPr>
        <w:t>;</w:t>
      </w:r>
      <w:r w:rsidRPr="00532F3A">
        <w:rPr>
          <w:rFonts w:ascii="Times New Roman" w:hAnsi="Times New Roman"/>
        </w:rPr>
        <w:t>070</w:t>
      </w:r>
      <w:r>
        <w:rPr>
          <w:rFonts w:ascii="Times New Roman" w:hAnsi="Times New Roman"/>
        </w:rPr>
        <w:t>}.</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sidRPr="00532F3A">
        <w:rPr>
          <w:rFonts w:ascii="Times New Roman" w:hAnsi="Times New Roman"/>
        </w:rPr>
        <w:t>15</w:t>
      </w:r>
      <w:r>
        <w:rPr>
          <w:rFonts w:ascii="Times New Roman" w:hAnsi="Times New Roman"/>
        </w:rPr>
        <w:t>.</w:t>
      </w:r>
      <w:r>
        <w:tab/>
      </w:r>
      <w:r>
        <w:rPr>
          <w:rFonts w:ascii="Times New Roman" w:hAnsi="Times New Roman"/>
        </w:rPr>
        <w:t>In folgenden Feldern müssen die Institute gemäß Nummer </w:t>
      </w:r>
      <w:r w:rsidRPr="00532F3A">
        <w:rPr>
          <w:rFonts w:ascii="Times New Roman" w:hAnsi="Times New Roman"/>
        </w:rPr>
        <w:t>13</w:t>
      </w:r>
      <w:r>
        <w:rPr>
          <w:rFonts w:ascii="Times New Roman" w:hAnsi="Times New Roman"/>
        </w:rPr>
        <w:t xml:space="preserve"> Angaben machen: {LR</w:t>
      </w:r>
      <w:r w:rsidRPr="00532F3A">
        <w:rPr>
          <w:rFonts w:ascii="Times New Roman" w:hAnsi="Times New Roman"/>
        </w:rPr>
        <w:t>1</w:t>
      </w:r>
      <w:r>
        <w:rPr>
          <w:rFonts w:ascii="Times New Roman" w:hAnsi="Times New Roman"/>
        </w:rPr>
        <w:t>;</w:t>
      </w:r>
      <w:r w:rsidRPr="00532F3A">
        <w:rPr>
          <w:rFonts w:ascii="Times New Roman" w:hAnsi="Times New Roman"/>
        </w:rPr>
        <w:t>020</w:t>
      </w:r>
      <w:r>
        <w:rPr>
          <w:rFonts w:ascii="Times New Roman" w:hAnsi="Times New Roman"/>
        </w:rPr>
        <w:t>;</w:t>
      </w:r>
      <w:r w:rsidRPr="00532F3A">
        <w:rPr>
          <w:rFonts w:ascii="Times New Roman" w:hAnsi="Times New Roman"/>
        </w:rPr>
        <w:t>075</w:t>
      </w:r>
      <w:r>
        <w:rPr>
          <w:rFonts w:ascii="Times New Roman" w:hAnsi="Times New Roman"/>
        </w:rPr>
        <w:t>}, {LR</w:t>
      </w:r>
      <w:r w:rsidRPr="00532F3A">
        <w:rPr>
          <w:rFonts w:ascii="Times New Roman" w:hAnsi="Times New Roman"/>
        </w:rPr>
        <w:t>1</w:t>
      </w:r>
      <w:r>
        <w:rPr>
          <w:rFonts w:ascii="Times New Roman" w:hAnsi="Times New Roman"/>
        </w:rPr>
        <w:t>;</w:t>
      </w:r>
      <w:r w:rsidRPr="00532F3A">
        <w:rPr>
          <w:rFonts w:ascii="Times New Roman" w:hAnsi="Times New Roman"/>
        </w:rPr>
        <w:t>050</w:t>
      </w:r>
      <w:r>
        <w:rPr>
          <w:rFonts w:ascii="Times New Roman" w:hAnsi="Times New Roman"/>
        </w:rPr>
        <w:t>;</w:t>
      </w:r>
      <w:r w:rsidRPr="00532F3A">
        <w:rPr>
          <w:rFonts w:ascii="Times New Roman" w:hAnsi="Times New Roman"/>
        </w:rPr>
        <w:t>075</w:t>
      </w:r>
      <w:r>
        <w:rPr>
          <w:rFonts w:ascii="Times New Roman" w:hAnsi="Times New Roman"/>
        </w:rPr>
        <w:t>} und {LR</w:t>
      </w:r>
      <w:r w:rsidRPr="00532F3A">
        <w:rPr>
          <w:rFonts w:ascii="Times New Roman" w:hAnsi="Times New Roman"/>
        </w:rPr>
        <w:t>1</w:t>
      </w:r>
      <w:r>
        <w:rPr>
          <w:rFonts w:ascii="Times New Roman" w:hAnsi="Times New Roman"/>
        </w:rPr>
        <w:t>;</w:t>
      </w:r>
      <w:r w:rsidRPr="00532F3A">
        <w:rPr>
          <w:rFonts w:ascii="Times New Roman" w:hAnsi="Times New Roman"/>
        </w:rPr>
        <w:t>050</w:t>
      </w:r>
      <w:r>
        <w:rPr>
          <w:rFonts w:ascii="Times New Roman" w:hAnsi="Times New Roman"/>
        </w:rPr>
        <w:t>;</w:t>
      </w:r>
      <w:r w:rsidRPr="00532F3A">
        <w:rPr>
          <w:rFonts w:ascii="Times New Roman" w:hAnsi="Times New Roman"/>
        </w:rPr>
        <w:t>085</w:t>
      </w:r>
      <w:r>
        <w:rPr>
          <w:rFonts w:ascii="Times New Roman" w:hAnsi="Times New Roman"/>
        </w:rPr>
        <w:t>}.</w:t>
      </w:r>
    </w:p>
    <w:p w:rsidR="00FC2664" w:rsidRPr="00FE002E" w:rsidRDefault="00FC2664" w:rsidP="007E2A41">
      <w:pPr>
        <w:pStyle w:val="BodyText1"/>
        <w:spacing w:line="240" w:lineRule="auto"/>
        <w:rPr>
          <w:rFonts w:ascii="Times New Roman" w:hAnsi="Times New Roman"/>
        </w:rPr>
      </w:pPr>
    </w:p>
    <w:p w:rsidR="00FC2664" w:rsidRPr="00FE002E" w:rsidRDefault="00FC2664" w:rsidP="007E2A41">
      <w:pPr>
        <w:pStyle w:val="BodyText1"/>
        <w:spacing w:line="240" w:lineRule="auto"/>
        <w:rPr>
          <w:rFonts w:ascii="Times New Roman" w:hAnsi="Times New Roman"/>
          <w:b/>
        </w:rPr>
      </w:pPr>
      <w:bookmarkStart w:id="53" w:name="_Toc351048506"/>
      <w:bookmarkStart w:id="54" w:name="_Toc322687879"/>
      <w:bookmarkStart w:id="55" w:name="_Toc315961853"/>
      <w:bookmarkEnd w:id="52"/>
    </w:p>
    <w:p w:rsidR="00217D1F" w:rsidRPr="00FE002E" w:rsidRDefault="00500508" w:rsidP="00500508">
      <w:pPr>
        <w:pStyle w:val="BodyText1"/>
        <w:ind w:left="357" w:hanging="357"/>
        <w:outlineLvl w:val="1"/>
        <w:rPr>
          <w:rFonts w:ascii="Times New Roman" w:hAnsi="Times New Roman"/>
          <w:b/>
        </w:rPr>
      </w:pPr>
      <w:bookmarkStart w:id="56" w:name="_Toc359414285"/>
      <w:bookmarkStart w:id="57" w:name="_Toc423089070"/>
      <w:bookmarkStart w:id="58" w:name="_Toc524078178"/>
      <w:r w:rsidRPr="00532F3A">
        <w:rPr>
          <w:rFonts w:ascii="Times New Roman" w:hAnsi="Times New Roman"/>
          <w:b/>
        </w:rPr>
        <w:t>4</w:t>
      </w:r>
      <w:r>
        <w:rPr>
          <w:rFonts w:ascii="Times New Roman" w:hAnsi="Times New Roman"/>
          <w:b/>
        </w:rPr>
        <w:t>.</w:t>
      </w:r>
      <w:r>
        <w:tab/>
      </w:r>
      <w:r>
        <w:rPr>
          <w:rFonts w:ascii="Times New Roman" w:hAnsi="Times New Roman"/>
          <w:b/>
        </w:rPr>
        <w:t xml:space="preserve">C </w:t>
      </w:r>
      <w:r w:rsidRPr="00532F3A">
        <w:rPr>
          <w:rFonts w:ascii="Times New Roman" w:hAnsi="Times New Roman"/>
          <w:b/>
        </w:rPr>
        <w:t>47</w:t>
      </w:r>
      <w:r>
        <w:rPr>
          <w:rFonts w:ascii="Times New Roman" w:hAnsi="Times New Roman"/>
          <w:b/>
        </w:rPr>
        <w:t>.</w:t>
      </w:r>
      <w:r w:rsidRPr="00532F3A">
        <w:rPr>
          <w:rFonts w:ascii="Times New Roman" w:hAnsi="Times New Roman"/>
          <w:b/>
        </w:rPr>
        <w:t>00</w:t>
      </w:r>
      <w:r>
        <w:rPr>
          <w:rFonts w:ascii="Times New Roman" w:hAnsi="Times New Roman"/>
          <w:b/>
        </w:rPr>
        <w:t xml:space="preserve"> — BERECHNUNG DER VERSCHULDUNGSQUOTE</w:t>
      </w:r>
      <w:bookmarkEnd w:id="53"/>
      <w:bookmarkEnd w:id="56"/>
      <w:r>
        <w:rPr>
          <w:rFonts w:ascii="Times New Roman" w:hAnsi="Times New Roman"/>
          <w:b/>
        </w:rPr>
        <w:t xml:space="preserve"> (LRCalc)</w:t>
      </w:r>
      <w:bookmarkEnd w:id="57"/>
      <w:bookmarkEnd w:id="58"/>
    </w:p>
    <w:p w:rsidR="00F4754B" w:rsidRDefault="00F4754B" w:rsidP="00F4754B">
      <w:pPr>
        <w:pStyle w:val="BodyText1"/>
        <w:rPr>
          <w:rFonts w:ascii="Times New Roman" w:hAnsi="Times New Roman"/>
        </w:rPr>
      </w:pPr>
    </w:p>
    <w:p w:rsidR="00AE2798" w:rsidRPr="00FE002E" w:rsidRDefault="00AE2798" w:rsidP="00AE2798">
      <w:pPr>
        <w:pStyle w:val="BodyText1"/>
        <w:spacing w:line="240" w:lineRule="auto"/>
        <w:rPr>
          <w:rFonts w:ascii="Times New Roman" w:hAnsi="Times New Roman"/>
        </w:rPr>
      </w:pPr>
    </w:p>
    <w:p w:rsidR="00AE2798" w:rsidRPr="00FE002E" w:rsidRDefault="00500508" w:rsidP="00500508">
      <w:pPr>
        <w:pStyle w:val="BodyText1"/>
        <w:spacing w:line="240" w:lineRule="auto"/>
        <w:ind w:left="720" w:hanging="360"/>
        <w:rPr>
          <w:rFonts w:ascii="Times New Roman" w:hAnsi="Times New Roman"/>
        </w:rPr>
      </w:pPr>
      <w:r w:rsidRPr="00532F3A">
        <w:rPr>
          <w:rFonts w:ascii="Times New Roman" w:hAnsi="Times New Roman"/>
        </w:rPr>
        <w:t>16</w:t>
      </w:r>
      <w:r>
        <w:rPr>
          <w:rFonts w:ascii="Times New Roman" w:hAnsi="Times New Roman"/>
        </w:rPr>
        <w:t>.</w:t>
      </w:r>
      <w:r>
        <w:tab/>
      </w:r>
      <w:r>
        <w:rPr>
          <w:rFonts w:ascii="Times New Roman" w:hAnsi="Times New Roman"/>
        </w:rPr>
        <w:t>In diesem Teil des Meldebogens werden die Daten erhoben, die zur Berechnung der Verschuldungsquote nach der Definition in den Artikeln </w:t>
      </w:r>
      <w:r w:rsidRPr="00532F3A">
        <w:rPr>
          <w:rFonts w:ascii="Times New Roman" w:hAnsi="Times New Roman"/>
        </w:rPr>
        <w:t>429</w:t>
      </w:r>
      <w:r>
        <w:rPr>
          <w:rFonts w:ascii="Times New Roman" w:hAnsi="Times New Roman"/>
        </w:rPr>
        <w:t xml:space="preserve">, </w:t>
      </w:r>
      <w:r w:rsidRPr="00532F3A">
        <w:rPr>
          <w:rFonts w:ascii="Times New Roman" w:hAnsi="Times New Roman"/>
        </w:rPr>
        <w:t>429</w:t>
      </w:r>
      <w:r>
        <w:rPr>
          <w:rFonts w:ascii="Times New Roman" w:hAnsi="Times New Roman"/>
        </w:rPr>
        <w:t xml:space="preserve">a und </w:t>
      </w:r>
      <w:r w:rsidRPr="00532F3A">
        <w:rPr>
          <w:rFonts w:ascii="Times New Roman" w:hAnsi="Times New Roman"/>
        </w:rPr>
        <w:t>429</w:t>
      </w:r>
      <w:r>
        <w:rPr>
          <w:rFonts w:ascii="Times New Roman" w:hAnsi="Times New Roman"/>
        </w:rPr>
        <w:t xml:space="preserve">b CRR benötigt werden. </w:t>
      </w:r>
    </w:p>
    <w:p w:rsidR="00AE2798" w:rsidRPr="00FE002E" w:rsidRDefault="00AE2798" w:rsidP="00AE2798">
      <w:pPr>
        <w:pStyle w:val="BodyText1"/>
        <w:spacing w:line="240" w:lineRule="auto"/>
        <w:rPr>
          <w:rFonts w:ascii="Times New Roman" w:hAnsi="Times New Roman"/>
        </w:rPr>
      </w:pPr>
    </w:p>
    <w:p w:rsidR="00AE2798" w:rsidRDefault="00500508" w:rsidP="00500508">
      <w:pPr>
        <w:pStyle w:val="BodyText1"/>
        <w:spacing w:line="240" w:lineRule="auto"/>
        <w:ind w:left="720" w:hanging="360"/>
        <w:rPr>
          <w:rFonts w:ascii="Times New Roman" w:hAnsi="Times New Roman"/>
        </w:rPr>
      </w:pPr>
      <w:r w:rsidRPr="00532F3A">
        <w:rPr>
          <w:rFonts w:ascii="Times New Roman" w:hAnsi="Times New Roman"/>
        </w:rPr>
        <w:t>17</w:t>
      </w:r>
      <w:r>
        <w:rPr>
          <w:rFonts w:ascii="Times New Roman" w:hAnsi="Times New Roman"/>
        </w:rPr>
        <w:t>.</w:t>
      </w:r>
      <w:r>
        <w:tab/>
      </w:r>
      <w:r>
        <w:rPr>
          <w:rFonts w:ascii="Times New Roman" w:hAnsi="Times New Roman"/>
        </w:rPr>
        <w:t>Die Institute müssen die Verschuldungsquote vierteljährlich melden. In jedem Quartal entspricht der Wert „am Meldestichtag“ dem Wert zum letzten Kalendertag des dritten Monats des jeweiligen Quartals.</w:t>
      </w:r>
    </w:p>
    <w:p w:rsidR="00C151ED" w:rsidRDefault="00C151ED" w:rsidP="00FD2C06">
      <w:pPr>
        <w:pStyle w:val="BodyText1"/>
        <w:spacing w:line="240" w:lineRule="auto"/>
        <w:ind w:left="720"/>
        <w:rPr>
          <w:rFonts w:ascii="Times New Roman" w:hAnsi="Times New Roman"/>
        </w:rPr>
      </w:pPr>
    </w:p>
    <w:p w:rsidR="00B011A0" w:rsidRPr="00FE002E" w:rsidRDefault="00500508" w:rsidP="00500508">
      <w:pPr>
        <w:pStyle w:val="BodyText1"/>
        <w:spacing w:line="240" w:lineRule="auto"/>
        <w:ind w:left="720" w:hanging="360"/>
        <w:rPr>
          <w:rFonts w:ascii="Times New Roman" w:hAnsi="Times New Roman"/>
        </w:rPr>
      </w:pPr>
      <w:r w:rsidRPr="00532F3A">
        <w:rPr>
          <w:rFonts w:ascii="Times New Roman" w:hAnsi="Times New Roman"/>
        </w:rPr>
        <w:t>18</w:t>
      </w:r>
      <w:r>
        <w:rPr>
          <w:rFonts w:ascii="Times New Roman" w:hAnsi="Times New Roman"/>
        </w:rPr>
        <w:t>.</w:t>
      </w:r>
      <w:r>
        <w:tab/>
      </w:r>
      <w:r>
        <w:rPr>
          <w:rFonts w:ascii="Times New Roman" w:hAnsi="Times New Roman"/>
        </w:rPr>
        <w:t>Die Institute melden {</w:t>
      </w:r>
      <w:r w:rsidRPr="00532F3A">
        <w:rPr>
          <w:rFonts w:ascii="Times New Roman" w:hAnsi="Times New Roman"/>
        </w:rPr>
        <w:t>010</w:t>
      </w:r>
      <w:r>
        <w:rPr>
          <w:rFonts w:ascii="Times New Roman" w:hAnsi="Times New Roman"/>
        </w:rPr>
        <w:t>;</w:t>
      </w:r>
      <w:r w:rsidRPr="00532F3A">
        <w:rPr>
          <w:rFonts w:ascii="Times New Roman" w:hAnsi="Times New Roman"/>
        </w:rPr>
        <w:t>010</w:t>
      </w:r>
      <w:r>
        <w:rPr>
          <w:rFonts w:ascii="Times New Roman" w:hAnsi="Times New Roman"/>
        </w:rPr>
        <w:t>} bis {</w:t>
      </w:r>
      <w:r w:rsidRPr="00532F3A">
        <w:rPr>
          <w:rFonts w:ascii="Times New Roman" w:hAnsi="Times New Roman"/>
        </w:rPr>
        <w:t>030</w:t>
      </w:r>
      <w:r>
        <w:rPr>
          <w:rFonts w:ascii="Times New Roman" w:hAnsi="Times New Roman"/>
        </w:rPr>
        <w:t>;</w:t>
      </w:r>
      <w:r w:rsidRPr="00532F3A">
        <w:rPr>
          <w:rFonts w:ascii="Times New Roman" w:hAnsi="Times New Roman"/>
        </w:rPr>
        <w:t>010</w:t>
      </w:r>
      <w:r>
        <w:rPr>
          <w:rFonts w:ascii="Times New Roman" w:hAnsi="Times New Roman"/>
        </w:rPr>
        <w:t>}, {</w:t>
      </w:r>
      <w:r w:rsidRPr="00532F3A">
        <w:rPr>
          <w:rFonts w:ascii="Times New Roman" w:hAnsi="Times New Roman"/>
        </w:rPr>
        <w:t>060</w:t>
      </w:r>
      <w:r>
        <w:rPr>
          <w:rFonts w:ascii="Times New Roman" w:hAnsi="Times New Roman"/>
        </w:rPr>
        <w:t>;</w:t>
      </w:r>
      <w:r w:rsidRPr="00532F3A">
        <w:rPr>
          <w:rFonts w:ascii="Times New Roman" w:hAnsi="Times New Roman"/>
        </w:rPr>
        <w:t>010</w:t>
      </w:r>
      <w:r>
        <w:rPr>
          <w:rFonts w:ascii="Times New Roman" w:hAnsi="Times New Roman"/>
        </w:rPr>
        <w:t>}, {</w:t>
      </w:r>
      <w:r w:rsidRPr="00532F3A">
        <w:rPr>
          <w:rFonts w:ascii="Times New Roman" w:hAnsi="Times New Roman"/>
        </w:rPr>
        <w:t>090</w:t>
      </w:r>
      <w:r>
        <w:rPr>
          <w:rFonts w:ascii="Times New Roman" w:hAnsi="Times New Roman"/>
        </w:rPr>
        <w:t>;</w:t>
      </w:r>
      <w:r w:rsidRPr="00532F3A">
        <w:rPr>
          <w:rFonts w:ascii="Times New Roman" w:hAnsi="Times New Roman"/>
        </w:rPr>
        <w:t>010</w:t>
      </w:r>
      <w:r>
        <w:rPr>
          <w:rFonts w:ascii="Times New Roman" w:hAnsi="Times New Roman"/>
        </w:rPr>
        <w:t>}, {</w:t>
      </w:r>
      <w:r w:rsidRPr="00532F3A">
        <w:rPr>
          <w:rFonts w:ascii="Times New Roman" w:hAnsi="Times New Roman"/>
        </w:rPr>
        <w:t>110</w:t>
      </w:r>
      <w:r>
        <w:rPr>
          <w:rFonts w:ascii="Times New Roman" w:hAnsi="Times New Roman"/>
        </w:rPr>
        <w:t>;</w:t>
      </w:r>
      <w:r w:rsidRPr="00532F3A">
        <w:rPr>
          <w:rFonts w:ascii="Times New Roman" w:hAnsi="Times New Roman"/>
        </w:rPr>
        <w:t>010</w:t>
      </w:r>
      <w:r>
        <w:rPr>
          <w:rFonts w:ascii="Times New Roman" w:hAnsi="Times New Roman"/>
        </w:rPr>
        <w:t>} und {</w:t>
      </w:r>
      <w:r w:rsidRPr="00532F3A">
        <w:rPr>
          <w:rFonts w:ascii="Times New Roman" w:hAnsi="Times New Roman"/>
        </w:rPr>
        <w:t>150</w:t>
      </w:r>
      <w:r>
        <w:rPr>
          <w:rFonts w:ascii="Times New Roman" w:hAnsi="Times New Roman"/>
        </w:rPr>
        <w:t>;</w:t>
      </w:r>
      <w:r w:rsidRPr="00532F3A">
        <w:rPr>
          <w:rFonts w:ascii="Times New Roman" w:hAnsi="Times New Roman"/>
        </w:rPr>
        <w:t>010</w:t>
      </w:r>
      <w:r>
        <w:rPr>
          <w:rFonts w:ascii="Times New Roman" w:hAnsi="Times New Roman"/>
        </w:rPr>
        <w:t>} bis{</w:t>
      </w:r>
      <w:r w:rsidRPr="00532F3A">
        <w:rPr>
          <w:rFonts w:ascii="Times New Roman" w:hAnsi="Times New Roman"/>
        </w:rPr>
        <w:t>190</w:t>
      </w:r>
      <w:r>
        <w:rPr>
          <w:rFonts w:ascii="Times New Roman" w:hAnsi="Times New Roman"/>
        </w:rPr>
        <w:t>;</w:t>
      </w:r>
      <w:r w:rsidRPr="00532F3A">
        <w:rPr>
          <w:rFonts w:ascii="Times New Roman" w:hAnsi="Times New Roman"/>
        </w:rPr>
        <w:t>010</w:t>
      </w:r>
      <w:r>
        <w:rPr>
          <w:rFonts w:ascii="Times New Roman" w:hAnsi="Times New Roman"/>
        </w:rPr>
        <w:t>}, so als gälten die in {</w:t>
      </w:r>
      <w:r w:rsidRPr="00532F3A">
        <w:rPr>
          <w:rFonts w:ascii="Times New Roman" w:hAnsi="Times New Roman"/>
        </w:rPr>
        <w:t>050</w:t>
      </w:r>
      <w:r>
        <w:rPr>
          <w:rFonts w:ascii="Times New Roman" w:hAnsi="Times New Roman"/>
        </w:rPr>
        <w:t>;</w:t>
      </w:r>
      <w:r w:rsidRPr="00532F3A">
        <w:rPr>
          <w:rFonts w:ascii="Times New Roman" w:hAnsi="Times New Roman"/>
        </w:rPr>
        <w:t>010</w:t>
      </w:r>
      <w:r>
        <w:rPr>
          <w:rFonts w:ascii="Times New Roman" w:hAnsi="Times New Roman"/>
        </w:rPr>
        <w:t>}, {</w:t>
      </w:r>
      <w:r w:rsidRPr="00532F3A">
        <w:rPr>
          <w:rFonts w:ascii="Times New Roman" w:hAnsi="Times New Roman"/>
        </w:rPr>
        <w:t>080</w:t>
      </w:r>
      <w:r>
        <w:rPr>
          <w:rFonts w:ascii="Times New Roman" w:hAnsi="Times New Roman"/>
        </w:rPr>
        <w:t>;</w:t>
      </w:r>
      <w:r w:rsidRPr="00532F3A">
        <w:rPr>
          <w:rFonts w:ascii="Times New Roman" w:hAnsi="Times New Roman"/>
        </w:rPr>
        <w:t>010</w:t>
      </w:r>
      <w:r>
        <w:rPr>
          <w:rFonts w:ascii="Times New Roman" w:hAnsi="Times New Roman"/>
        </w:rPr>
        <w:t>}, {</w:t>
      </w:r>
      <w:r w:rsidRPr="00532F3A">
        <w:rPr>
          <w:rFonts w:ascii="Times New Roman" w:hAnsi="Times New Roman"/>
        </w:rPr>
        <w:t>100</w:t>
      </w:r>
      <w:r>
        <w:rPr>
          <w:rFonts w:ascii="Times New Roman" w:hAnsi="Times New Roman"/>
        </w:rPr>
        <w:t>;</w:t>
      </w:r>
      <w:r w:rsidRPr="00532F3A">
        <w:rPr>
          <w:rFonts w:ascii="Times New Roman" w:hAnsi="Times New Roman"/>
        </w:rPr>
        <w:t>010</w:t>
      </w:r>
      <w:r>
        <w:rPr>
          <w:rFonts w:ascii="Times New Roman" w:hAnsi="Times New Roman"/>
        </w:rPr>
        <w:t>}, {</w:t>
      </w:r>
      <w:r w:rsidRPr="00532F3A">
        <w:rPr>
          <w:rFonts w:ascii="Times New Roman" w:hAnsi="Times New Roman"/>
        </w:rPr>
        <w:t>120</w:t>
      </w:r>
      <w:r>
        <w:rPr>
          <w:rFonts w:ascii="Times New Roman" w:hAnsi="Times New Roman"/>
        </w:rPr>
        <w:t>;</w:t>
      </w:r>
      <w:r w:rsidRPr="00532F3A">
        <w:rPr>
          <w:rFonts w:ascii="Times New Roman" w:hAnsi="Times New Roman"/>
        </w:rPr>
        <w:t>010</w:t>
      </w:r>
      <w:r>
        <w:rPr>
          <w:rFonts w:ascii="Times New Roman" w:hAnsi="Times New Roman"/>
        </w:rPr>
        <w:t>} und {</w:t>
      </w:r>
      <w:r w:rsidRPr="00532F3A">
        <w:rPr>
          <w:rFonts w:ascii="Times New Roman" w:hAnsi="Times New Roman"/>
        </w:rPr>
        <w:t>220</w:t>
      </w:r>
      <w:r>
        <w:rPr>
          <w:rFonts w:ascii="Times New Roman" w:hAnsi="Times New Roman"/>
        </w:rPr>
        <w:t>;</w:t>
      </w:r>
      <w:r w:rsidRPr="00532F3A">
        <w:rPr>
          <w:rFonts w:ascii="Times New Roman" w:hAnsi="Times New Roman"/>
        </w:rPr>
        <w:t>010</w:t>
      </w:r>
      <w:r>
        <w:rPr>
          <w:rFonts w:ascii="Times New Roman" w:hAnsi="Times New Roman"/>
        </w:rPr>
        <w:t>} genannten Ausnahmen nicht.</w:t>
      </w:r>
    </w:p>
    <w:p w:rsidR="00F36D5B" w:rsidRDefault="00F36D5B" w:rsidP="00FD2C06">
      <w:pPr>
        <w:pStyle w:val="BodyText1"/>
        <w:spacing w:line="240" w:lineRule="auto"/>
        <w:ind w:left="720"/>
        <w:rPr>
          <w:rFonts w:ascii="Times New Roman" w:hAnsi="Times New Roman"/>
        </w:rPr>
      </w:pPr>
    </w:p>
    <w:p w:rsidR="00F36D5B" w:rsidRDefault="00500508" w:rsidP="00500508">
      <w:pPr>
        <w:pStyle w:val="BodyText1"/>
        <w:spacing w:line="240" w:lineRule="auto"/>
        <w:ind w:left="720" w:hanging="360"/>
        <w:rPr>
          <w:rFonts w:ascii="Times New Roman" w:hAnsi="Times New Roman"/>
        </w:rPr>
      </w:pPr>
      <w:r w:rsidRPr="00532F3A">
        <w:rPr>
          <w:rFonts w:ascii="Times New Roman" w:hAnsi="Times New Roman"/>
        </w:rPr>
        <w:t>19</w:t>
      </w:r>
      <w:r>
        <w:rPr>
          <w:rFonts w:ascii="Times New Roman" w:hAnsi="Times New Roman"/>
        </w:rPr>
        <w:t>.</w:t>
      </w:r>
      <w:r>
        <w:tab/>
      </w:r>
      <w:r>
        <w:rPr>
          <w:rFonts w:ascii="Times New Roman" w:hAnsi="Times New Roman"/>
        </w:rPr>
        <w:t>Die Institute melden{</w:t>
      </w:r>
      <w:r w:rsidRPr="00532F3A">
        <w:rPr>
          <w:rFonts w:ascii="Times New Roman" w:hAnsi="Times New Roman"/>
        </w:rPr>
        <w:t>010</w:t>
      </w:r>
      <w:r>
        <w:rPr>
          <w:rFonts w:ascii="Times New Roman" w:hAnsi="Times New Roman"/>
        </w:rPr>
        <w:t>;</w:t>
      </w:r>
      <w:r w:rsidRPr="00532F3A">
        <w:rPr>
          <w:rFonts w:ascii="Times New Roman" w:hAnsi="Times New Roman"/>
        </w:rPr>
        <w:t>010</w:t>
      </w:r>
      <w:r>
        <w:rPr>
          <w:rFonts w:ascii="Times New Roman" w:hAnsi="Times New Roman"/>
        </w:rPr>
        <w:t>} bis{</w:t>
      </w:r>
      <w:r w:rsidRPr="00532F3A">
        <w:rPr>
          <w:rFonts w:ascii="Times New Roman" w:hAnsi="Times New Roman"/>
        </w:rPr>
        <w:t>240</w:t>
      </w:r>
      <w:r>
        <w:rPr>
          <w:rFonts w:ascii="Times New Roman" w:hAnsi="Times New Roman"/>
        </w:rPr>
        <w:t>;</w:t>
      </w:r>
      <w:r w:rsidRPr="00532F3A">
        <w:rPr>
          <w:rFonts w:ascii="Times New Roman" w:hAnsi="Times New Roman"/>
        </w:rPr>
        <w:t>010</w:t>
      </w:r>
      <w:r>
        <w:rPr>
          <w:rFonts w:ascii="Times New Roman" w:hAnsi="Times New Roman"/>
        </w:rPr>
        <w:t>}, so als gälten die in {</w:t>
      </w:r>
      <w:r w:rsidRPr="00532F3A">
        <w:rPr>
          <w:rFonts w:ascii="Times New Roman" w:hAnsi="Times New Roman"/>
        </w:rPr>
        <w:t>250</w:t>
      </w:r>
      <w:r>
        <w:rPr>
          <w:rFonts w:ascii="Times New Roman" w:hAnsi="Times New Roman"/>
        </w:rPr>
        <w:t>;</w:t>
      </w:r>
      <w:r w:rsidRPr="00532F3A">
        <w:rPr>
          <w:rFonts w:ascii="Times New Roman" w:hAnsi="Times New Roman"/>
        </w:rPr>
        <w:t>010</w:t>
      </w:r>
      <w:r>
        <w:rPr>
          <w:rFonts w:ascii="Times New Roman" w:hAnsi="Times New Roman"/>
        </w:rPr>
        <w:t>} und {</w:t>
      </w:r>
      <w:r w:rsidRPr="00532F3A">
        <w:rPr>
          <w:rFonts w:ascii="Times New Roman" w:hAnsi="Times New Roman"/>
        </w:rPr>
        <w:t>260</w:t>
      </w:r>
      <w:r>
        <w:rPr>
          <w:rFonts w:ascii="Times New Roman" w:hAnsi="Times New Roman"/>
        </w:rPr>
        <w:t>;</w:t>
      </w:r>
      <w:r w:rsidRPr="00532F3A">
        <w:rPr>
          <w:rFonts w:ascii="Times New Roman" w:hAnsi="Times New Roman"/>
        </w:rPr>
        <w:t>010</w:t>
      </w:r>
      <w:r>
        <w:rPr>
          <w:rFonts w:ascii="Times New Roman" w:hAnsi="Times New Roman"/>
        </w:rPr>
        <w:t>} genannten Ausnahmen nicht.</w:t>
      </w:r>
    </w:p>
    <w:p w:rsidR="00720503" w:rsidRDefault="00720503" w:rsidP="00FD2C06">
      <w:pPr>
        <w:pStyle w:val="ListParagraph"/>
        <w:rPr>
          <w:rFonts w:ascii="Times New Roman" w:hAnsi="Times New Roman"/>
        </w:rPr>
      </w:pPr>
    </w:p>
    <w:p w:rsidR="00720503" w:rsidRPr="00B811B0" w:rsidRDefault="00500508" w:rsidP="00500508">
      <w:pPr>
        <w:pStyle w:val="InstructionsText2"/>
        <w:numPr>
          <w:ilvl w:val="0"/>
          <w:numId w:val="0"/>
        </w:numPr>
        <w:ind w:left="720" w:hanging="360"/>
      </w:pPr>
      <w:r w:rsidRPr="00532F3A">
        <w:t>20</w:t>
      </w:r>
      <w:r>
        <w:t>.</w:t>
      </w:r>
      <w:r>
        <w:tab/>
        <w:t>Jeder Betrag, um den die Eigenmittel oder die Risikoposition für die Verschuldungsquote erhöht wird, ist als Positivwert anzugeben. Beträge dagegen, um die die Eigenmittel insgesamt oder die Risikoposition für die Verschuldungsquote vermindert werden, sind als Negativwert auszuweisen. Steht vor der Bezeichnung einer Position ein negatives Vorzeichen (-), wird davon ausgegangen, dass für die betreffende Position kein positiver Wert ausgewiesen wird.</w:t>
      </w:r>
    </w:p>
    <w:p w:rsidR="00720503" w:rsidRPr="00FE002E" w:rsidRDefault="00720503" w:rsidP="00FD2C06">
      <w:pPr>
        <w:pStyle w:val="BodyText1"/>
        <w:spacing w:line="240" w:lineRule="auto"/>
        <w:ind w:left="720"/>
        <w:rPr>
          <w:rFonts w:ascii="Times New Roman" w:hAnsi="Times New Roman"/>
        </w:rPr>
      </w:pPr>
    </w:p>
    <w:p w:rsidR="00AE2798" w:rsidRPr="00FE002E" w:rsidRDefault="00AE2798" w:rsidP="00AE2798">
      <w:pPr>
        <w:pStyle w:val="BodyText1"/>
        <w:rPr>
          <w:rFonts w:ascii="Times New Roman" w:hAnsi="Times New Roman"/>
        </w:rPr>
      </w:pP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E2798" w:rsidRPr="00FE002E" w:rsidTr="00FE0FF1">
        <w:trPr>
          <w:trHeight w:val="304"/>
        </w:trPr>
        <w:tc>
          <w:tcPr>
            <w:tcW w:w="1418" w:type="dxa"/>
            <w:shd w:val="clear" w:color="auto" w:fill="D9D9D9"/>
          </w:tcPr>
          <w:p w:rsidR="00AE2798" w:rsidRPr="00FE002E" w:rsidRDefault="00AE2798" w:rsidP="00FE0FF1">
            <w:pPr>
              <w:pStyle w:val="BodyText1"/>
              <w:rPr>
                <w:rFonts w:ascii="Times New Roman" w:hAnsi="Times New Roman"/>
              </w:rPr>
            </w:pPr>
          </w:p>
        </w:tc>
        <w:tc>
          <w:tcPr>
            <w:tcW w:w="7590" w:type="dxa"/>
            <w:shd w:val="clear" w:color="auto" w:fill="D9D9D9"/>
          </w:tcPr>
          <w:p w:rsidR="00AE2798" w:rsidRPr="00FE002E" w:rsidRDefault="00AE2798" w:rsidP="00FE0FF1">
            <w:pPr>
              <w:pStyle w:val="BodyText1"/>
              <w:rPr>
                <w:rFonts w:ascii="Times New Roman" w:hAnsi="Times New Roman"/>
                <w:bCs/>
                <w:u w:val="single"/>
              </w:rPr>
            </w:pPr>
            <w:r>
              <w:rPr>
                <w:rFonts w:ascii="Times New Roman" w:hAnsi="Times New Roman"/>
              </w:rPr>
              <w:t>Rechtsgrundlagen und Erläuterungen</w:t>
            </w:r>
          </w:p>
        </w:tc>
      </w:tr>
      <w:tr w:rsidR="00AE2798" w:rsidRPr="00FE002E" w:rsidTr="00FE0FF1">
        <w:trPr>
          <w:trHeight w:val="304"/>
        </w:trPr>
        <w:tc>
          <w:tcPr>
            <w:tcW w:w="1418" w:type="dxa"/>
            <w:shd w:val="clear" w:color="auto" w:fill="D9D9D9"/>
          </w:tcPr>
          <w:p w:rsidR="00AE2798" w:rsidRPr="00FE002E" w:rsidRDefault="00AE2798" w:rsidP="00500508">
            <w:pPr>
              <w:pStyle w:val="BodyText1"/>
              <w:rPr>
                <w:rFonts w:ascii="Times New Roman" w:hAnsi="Times New Roman"/>
                <w:b/>
              </w:rPr>
            </w:pPr>
            <w:r>
              <w:rPr>
                <w:rFonts w:ascii="Times New Roman" w:hAnsi="Times New Roman"/>
                <w:b/>
              </w:rPr>
              <w:t>Zeile und Spalte</w:t>
            </w:r>
          </w:p>
        </w:tc>
        <w:tc>
          <w:tcPr>
            <w:tcW w:w="7590" w:type="dxa"/>
            <w:shd w:val="clear" w:color="auto" w:fill="D9D9D9"/>
          </w:tcPr>
          <w:p w:rsidR="00AE2798" w:rsidRPr="00FE002E" w:rsidRDefault="00AE2798" w:rsidP="00FE0FF1">
            <w:pPr>
              <w:pStyle w:val="BodyText1"/>
              <w:rPr>
                <w:rFonts w:ascii="Times New Roman" w:hAnsi="Times New Roman"/>
                <w:b/>
                <w:bCs/>
              </w:rPr>
            </w:pPr>
            <w:r>
              <w:rPr>
                <w:rFonts w:ascii="Times New Roman" w:hAnsi="Times New Roman"/>
                <w:b/>
              </w:rPr>
              <w:t>Risikopositionswerte</w:t>
            </w: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Pr>
                <w:rFonts w:ascii="Times New Roman" w:hAnsi="Times New Roman"/>
              </w:rPr>
              <w:t>{</w:t>
            </w:r>
            <w:r w:rsidRPr="00532F3A">
              <w:rPr>
                <w:rFonts w:ascii="Times New Roman" w:hAnsi="Times New Roman"/>
              </w:rPr>
              <w:t>010</w:t>
            </w:r>
            <w:r>
              <w:rPr>
                <w:rFonts w:ascii="Times New Roman" w:hAnsi="Times New Roman"/>
              </w:rPr>
              <w:t>;</w:t>
            </w:r>
            <w:r w:rsidRPr="00532F3A">
              <w:rPr>
                <w:rFonts w:ascii="Times New Roman" w:hAnsi="Times New Roman"/>
              </w:rPr>
              <w:t>010</w:t>
            </w:r>
            <w:r>
              <w:rPr>
                <w:rFonts w:ascii="Times New Roman" w:hAnsi="Times New Roman"/>
              </w:rPr>
              <w:t>}</w:t>
            </w:r>
          </w:p>
          <w:p w:rsidR="00AE2798" w:rsidRPr="00FE002E" w:rsidRDefault="00AE2798" w:rsidP="00FE0FF1">
            <w:pPr>
              <w:pStyle w:val="BodyText1"/>
              <w:rPr>
                <w:rFonts w:ascii="Times New Roman" w:hAnsi="Times New Roman"/>
                <w:bCs/>
              </w:rPr>
            </w:pPr>
          </w:p>
        </w:tc>
        <w:tc>
          <w:tcPr>
            <w:tcW w:w="7590" w:type="dxa"/>
          </w:tcPr>
          <w:p w:rsidR="00AE2798" w:rsidRPr="00FE002E" w:rsidRDefault="00AE2798" w:rsidP="00FE0FF1">
            <w:pPr>
              <w:pStyle w:val="BodyText1"/>
              <w:spacing w:line="240" w:lineRule="auto"/>
              <w:rPr>
                <w:rFonts w:ascii="Times New Roman" w:hAnsi="Times New Roman"/>
                <w:b/>
                <w:bCs/>
                <w:u w:val="single"/>
              </w:rPr>
            </w:pPr>
            <w:r>
              <w:rPr>
                <w:rFonts w:ascii="Times New Roman" w:hAnsi="Times New Roman"/>
                <w:b/>
              </w:rPr>
              <w:t>SFTs: Risikoposition gemäß Artikel </w:t>
            </w:r>
            <w:r w:rsidRPr="00532F3A">
              <w:rPr>
                <w:rFonts w:ascii="Times New Roman" w:hAnsi="Times New Roman"/>
                <w:b/>
              </w:rPr>
              <w:t>429</w:t>
            </w:r>
            <w:r>
              <w:rPr>
                <w:rFonts w:ascii="Times New Roman" w:hAnsi="Times New Roman"/>
                <w:b/>
              </w:rPr>
              <w:t xml:space="preserve"> Absätze </w:t>
            </w:r>
            <w:r w:rsidRPr="00532F3A">
              <w:rPr>
                <w:rFonts w:ascii="Times New Roman" w:hAnsi="Times New Roman"/>
                <w:b/>
              </w:rPr>
              <w:t>5</w:t>
            </w:r>
            <w:r>
              <w:rPr>
                <w:rFonts w:ascii="Times New Roman" w:hAnsi="Times New Roman"/>
                <w:b/>
              </w:rPr>
              <w:t xml:space="preserve"> und </w:t>
            </w:r>
            <w:r w:rsidRPr="00532F3A">
              <w:rPr>
                <w:rFonts w:ascii="Times New Roman" w:hAnsi="Times New Roman"/>
                <w:b/>
              </w:rPr>
              <w:t>8</w:t>
            </w:r>
            <w:r>
              <w:rPr>
                <w:rFonts w:ascii="Times New Roman" w:hAnsi="Times New Roman"/>
                <w:b/>
              </w:rPr>
              <w:t xml:space="preserve"> CRR</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Artikel </w:t>
            </w:r>
            <w:r w:rsidRPr="00532F3A">
              <w:rPr>
                <w:rFonts w:ascii="Times New Roman" w:hAnsi="Times New Roman"/>
              </w:rPr>
              <w:t>429</w:t>
            </w:r>
            <w:r>
              <w:rPr>
                <w:rFonts w:ascii="Times New Roman" w:hAnsi="Times New Roman"/>
              </w:rPr>
              <w:t xml:space="preserve"> Absatz </w:t>
            </w:r>
            <w:r w:rsidRPr="00532F3A">
              <w:rPr>
                <w:rFonts w:ascii="Times New Roman" w:hAnsi="Times New Roman"/>
              </w:rPr>
              <w:t>5</w:t>
            </w:r>
            <w:r>
              <w:rPr>
                <w:rFonts w:ascii="Times New Roman" w:hAnsi="Times New Roman"/>
              </w:rPr>
              <w:t xml:space="preserve"> Buchstabe d und Artikel </w:t>
            </w:r>
            <w:r w:rsidRPr="00532F3A">
              <w:rPr>
                <w:rFonts w:ascii="Times New Roman" w:hAnsi="Times New Roman"/>
              </w:rPr>
              <w:t>429</w:t>
            </w:r>
            <w:r>
              <w:rPr>
                <w:rFonts w:ascii="Times New Roman" w:hAnsi="Times New Roman"/>
              </w:rPr>
              <w:t xml:space="preserve"> Absatz </w:t>
            </w:r>
            <w:r w:rsidRPr="00532F3A">
              <w:rPr>
                <w:rFonts w:ascii="Times New Roman" w:hAnsi="Times New Roman"/>
              </w:rPr>
              <w:t>8</w:t>
            </w:r>
            <w:r>
              <w:rPr>
                <w:rFonts w:ascii="Times New Roman" w:hAnsi="Times New Roman"/>
              </w:rPr>
              <w:t xml:space="preserve"> CRR</w:t>
            </w:r>
          </w:p>
          <w:p w:rsidR="00AE2798" w:rsidRPr="00FE002E" w:rsidRDefault="00AE2798" w:rsidP="00FE0FF1">
            <w:pPr>
              <w:pStyle w:val="BodyText1"/>
              <w:spacing w:line="240" w:lineRule="auto"/>
              <w:rPr>
                <w:rFonts w:ascii="Times New Roman" w:hAnsi="Times New Roman"/>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Der gemäß Artikel </w:t>
            </w:r>
            <w:r w:rsidRPr="00532F3A">
              <w:rPr>
                <w:rFonts w:ascii="Times New Roman" w:hAnsi="Times New Roman"/>
              </w:rPr>
              <w:t>429</w:t>
            </w:r>
            <w:r>
              <w:rPr>
                <w:rFonts w:ascii="Times New Roman" w:hAnsi="Times New Roman"/>
              </w:rPr>
              <w:t xml:space="preserve"> Absatz </w:t>
            </w:r>
            <w:r w:rsidRPr="00532F3A">
              <w:rPr>
                <w:rFonts w:ascii="Times New Roman" w:hAnsi="Times New Roman"/>
              </w:rPr>
              <w:t>5</w:t>
            </w:r>
            <w:r>
              <w:rPr>
                <w:rFonts w:ascii="Times New Roman" w:hAnsi="Times New Roman"/>
              </w:rPr>
              <w:t xml:space="preserve"> Buchstabe d und Artikel </w:t>
            </w:r>
            <w:r w:rsidRPr="00532F3A">
              <w:rPr>
                <w:rFonts w:ascii="Times New Roman" w:hAnsi="Times New Roman"/>
              </w:rPr>
              <w:t>429</w:t>
            </w:r>
            <w:r>
              <w:rPr>
                <w:rFonts w:ascii="Times New Roman" w:hAnsi="Times New Roman"/>
              </w:rPr>
              <w:t xml:space="preserve"> Absatz </w:t>
            </w:r>
            <w:r w:rsidRPr="00532F3A">
              <w:rPr>
                <w:rFonts w:ascii="Times New Roman" w:hAnsi="Times New Roman"/>
              </w:rPr>
              <w:t>8</w:t>
            </w:r>
            <w:r>
              <w:rPr>
                <w:rFonts w:ascii="Times New Roman" w:hAnsi="Times New Roman"/>
              </w:rPr>
              <w:t xml:space="preserve"> CRR berechnete Risikopositionswert für SFTs. </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In diesem Feld weisen die Institute Geschäfte nach Artikel </w:t>
            </w:r>
            <w:r w:rsidRPr="00532F3A">
              <w:rPr>
                <w:rFonts w:ascii="Times New Roman" w:hAnsi="Times New Roman"/>
              </w:rPr>
              <w:t>429</w:t>
            </w:r>
            <w:r>
              <w:rPr>
                <w:rFonts w:ascii="Times New Roman" w:hAnsi="Times New Roman"/>
              </w:rPr>
              <w:t xml:space="preserve">b Absatz </w:t>
            </w:r>
            <w:r w:rsidRPr="00532F3A">
              <w:rPr>
                <w:rFonts w:ascii="Times New Roman" w:hAnsi="Times New Roman"/>
              </w:rPr>
              <w:t>6</w:t>
            </w:r>
            <w:r>
              <w:rPr>
                <w:rFonts w:ascii="Times New Roman" w:hAnsi="Times New Roman"/>
              </w:rPr>
              <w:t xml:space="preserve"> Buchstabe c CRR aus.</w:t>
            </w:r>
          </w:p>
          <w:p w:rsidR="00AE2798" w:rsidRPr="00FE002E"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In diesem Feld weisen die Institute keine entgegengenommenen Barmittel oder Sicherheiten aus, die einer Gegenpartei über die vorgenannten Geschäfte zur Verfügung gestellt werden und die weiter in der Bilanz geführt werden (d. h. bei denen die nach dem geltenden Rechnungslegungsrahmen anwendbaren Ausbuchungskriterien nicht erfüllt sind). Diese Positionen werden stattdessen in {</w:t>
            </w:r>
            <w:r w:rsidRPr="00532F3A">
              <w:rPr>
                <w:rFonts w:ascii="Times New Roman" w:hAnsi="Times New Roman"/>
              </w:rPr>
              <w:t>190</w:t>
            </w:r>
            <w:r>
              <w:rPr>
                <w:rFonts w:ascii="Times New Roman" w:hAnsi="Times New Roman"/>
              </w:rPr>
              <w:t>,</w:t>
            </w:r>
            <w:r w:rsidRPr="00532F3A">
              <w:rPr>
                <w:rFonts w:ascii="Times New Roman" w:hAnsi="Times New Roman"/>
              </w:rPr>
              <w:t>010</w:t>
            </w:r>
            <w:r>
              <w:rPr>
                <w:rFonts w:ascii="Times New Roman" w:hAnsi="Times New Roman"/>
              </w:rPr>
              <w:t>} ausgewiesen.</w:t>
            </w:r>
          </w:p>
          <w:p w:rsidR="00AE2798"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In diesem Feld weisen die Institute keine als Beauftragter getätigten SFTs aus, bei denen sie einem Kunden oder einer Gegenpartei für eine etwaige Differenz zwischen dem Wert der Sicherheit oder der Barmittel, die der Kunde verliehen, und dem Wert der Sicherheiten, die der Schuldner gemäß Artikel </w:t>
            </w:r>
            <w:r w:rsidRPr="00532F3A">
              <w:rPr>
                <w:rFonts w:ascii="Times New Roman" w:hAnsi="Times New Roman"/>
              </w:rPr>
              <w:t>429</w:t>
            </w:r>
            <w:r>
              <w:rPr>
                <w:rFonts w:ascii="Times New Roman" w:hAnsi="Times New Roman"/>
              </w:rPr>
              <w:t xml:space="preserve">b Absatz </w:t>
            </w:r>
            <w:r w:rsidRPr="00532F3A">
              <w:rPr>
                <w:rFonts w:ascii="Times New Roman" w:hAnsi="Times New Roman"/>
              </w:rPr>
              <w:t>6</w:t>
            </w:r>
            <w:r>
              <w:rPr>
                <w:rFonts w:ascii="Times New Roman" w:hAnsi="Times New Roman"/>
              </w:rPr>
              <w:t xml:space="preserve"> Buchstabe a CRR gestellt hat, eine Gewährleistung oder Garantie gegeben haben.</w:t>
            </w:r>
          </w:p>
          <w:p w:rsidR="00AE2798" w:rsidRPr="00FE002E" w:rsidRDefault="00AE2798" w:rsidP="00FE0FF1">
            <w:pPr>
              <w:pStyle w:val="BodyText1"/>
              <w:spacing w:line="240" w:lineRule="auto"/>
              <w:rPr>
                <w:rFonts w:ascii="Times New Roman" w:hAnsi="Times New Roman"/>
                <w:bCs/>
                <w:u w:val="single"/>
              </w:rPr>
            </w:pPr>
          </w:p>
        </w:tc>
      </w:tr>
      <w:tr w:rsidR="00AE2798" w:rsidRPr="00FE002E" w:rsidTr="00FE0FF1">
        <w:trPr>
          <w:trHeight w:val="304"/>
        </w:trPr>
        <w:tc>
          <w:tcPr>
            <w:tcW w:w="1418" w:type="dxa"/>
          </w:tcPr>
          <w:p w:rsidR="00AE2798" w:rsidRPr="00FE002E" w:rsidRDefault="00AE2798" w:rsidP="00F71081">
            <w:pPr>
              <w:pStyle w:val="BodyText1"/>
              <w:rPr>
                <w:rFonts w:ascii="Times New Roman" w:hAnsi="Times New Roman"/>
                <w:bCs/>
              </w:rPr>
            </w:pPr>
            <w:r>
              <w:rPr>
                <w:rFonts w:ascii="Times New Roman" w:hAnsi="Times New Roman"/>
              </w:rPr>
              <w:lastRenderedPageBreak/>
              <w:t>{</w:t>
            </w:r>
            <w:r w:rsidRPr="00532F3A">
              <w:rPr>
                <w:rFonts w:ascii="Times New Roman" w:hAnsi="Times New Roman"/>
              </w:rPr>
              <w:t>020</w:t>
            </w:r>
            <w:r>
              <w:rPr>
                <w:rFonts w:ascii="Times New Roman" w:hAnsi="Times New Roman"/>
              </w:rPr>
              <w:t>;</w:t>
            </w:r>
            <w:r w:rsidRPr="00532F3A">
              <w:rPr>
                <w:rFonts w:ascii="Times New Roman" w:hAnsi="Times New Roman"/>
              </w:rPr>
              <w:t>010</w:t>
            </w:r>
            <w:r>
              <w:rPr>
                <w:rFonts w:ascii="Times New Roman" w:hAnsi="Times New Roman"/>
              </w:rPr>
              <w:t>}</w:t>
            </w:r>
          </w:p>
        </w:tc>
        <w:tc>
          <w:tcPr>
            <w:tcW w:w="7590" w:type="dxa"/>
          </w:tcPr>
          <w:p w:rsidR="00AE2798" w:rsidRDefault="00AE2798" w:rsidP="00FE0FF1">
            <w:pPr>
              <w:pStyle w:val="BodyText1"/>
              <w:spacing w:line="240" w:lineRule="auto"/>
              <w:rPr>
                <w:rFonts w:ascii="Times New Roman" w:hAnsi="Times New Roman"/>
                <w:b/>
                <w:bCs/>
              </w:rPr>
            </w:pPr>
            <w:r>
              <w:rPr>
                <w:rFonts w:ascii="Times New Roman" w:hAnsi="Times New Roman"/>
                <w:b/>
              </w:rPr>
              <w:t>SFTs: Aufschlag für das Gegenparteiausfallrisiko</w:t>
            </w:r>
          </w:p>
          <w:p w:rsidR="00AE2798" w:rsidRPr="0084012A"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Artikel </w:t>
            </w:r>
            <w:r w:rsidRPr="00532F3A">
              <w:rPr>
                <w:rFonts w:ascii="Times New Roman" w:hAnsi="Times New Roman"/>
              </w:rPr>
              <w:t>429</w:t>
            </w:r>
            <w:r>
              <w:rPr>
                <w:rFonts w:ascii="Times New Roman" w:hAnsi="Times New Roman"/>
              </w:rPr>
              <w:t xml:space="preserve">b Absatz </w:t>
            </w:r>
            <w:r w:rsidRPr="00532F3A">
              <w:rPr>
                <w:rFonts w:ascii="Times New Roman" w:hAnsi="Times New Roman"/>
              </w:rPr>
              <w:t>1</w:t>
            </w:r>
            <w:r>
              <w:rPr>
                <w:rFonts w:ascii="Times New Roman" w:hAnsi="Times New Roman"/>
              </w:rPr>
              <w:t xml:space="preserve">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Der gemäß Artikel </w:t>
            </w:r>
            <w:r w:rsidRPr="00532F3A">
              <w:rPr>
                <w:rFonts w:ascii="Times New Roman" w:hAnsi="Times New Roman"/>
              </w:rPr>
              <w:t>429</w:t>
            </w:r>
            <w:r>
              <w:rPr>
                <w:rFonts w:ascii="Times New Roman" w:hAnsi="Times New Roman"/>
              </w:rPr>
              <w:t xml:space="preserve">b Absatz </w:t>
            </w:r>
            <w:r w:rsidRPr="00532F3A">
              <w:rPr>
                <w:rFonts w:ascii="Times New Roman" w:hAnsi="Times New Roman"/>
              </w:rPr>
              <w:t>2</w:t>
            </w:r>
            <w:r>
              <w:rPr>
                <w:rFonts w:ascii="Times New Roman" w:hAnsi="Times New Roman"/>
              </w:rPr>
              <w:t xml:space="preserve"> oder gegebenenfalls </w:t>
            </w:r>
            <w:r w:rsidRPr="00532F3A">
              <w:rPr>
                <w:rFonts w:ascii="Times New Roman" w:hAnsi="Times New Roman"/>
              </w:rPr>
              <w:t>3</w:t>
            </w:r>
            <w:r>
              <w:rPr>
                <w:rFonts w:ascii="Times New Roman" w:hAnsi="Times New Roman"/>
              </w:rPr>
              <w:t xml:space="preserve"> CRR ermittelte Aufschlag für das Gegenparteiausfallrisiko von SFTs, einschließlich solcher, die nicht in der Bilanz erfasst werden.</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In diesem Feld weisen die Institute Geschäfte nach Artikel </w:t>
            </w:r>
            <w:r w:rsidRPr="00532F3A">
              <w:rPr>
                <w:rFonts w:ascii="Times New Roman" w:hAnsi="Times New Roman"/>
              </w:rPr>
              <w:t>429</w:t>
            </w:r>
            <w:r>
              <w:rPr>
                <w:rFonts w:ascii="Times New Roman" w:hAnsi="Times New Roman"/>
              </w:rPr>
              <w:t xml:space="preserve">b Absatz </w:t>
            </w:r>
            <w:r w:rsidRPr="00532F3A">
              <w:rPr>
                <w:rFonts w:ascii="Times New Roman" w:hAnsi="Times New Roman"/>
              </w:rPr>
              <w:t>6</w:t>
            </w:r>
            <w:r>
              <w:rPr>
                <w:rFonts w:ascii="Times New Roman" w:hAnsi="Times New Roman"/>
              </w:rPr>
              <w:t xml:space="preserve"> Buchstabe c CRR aus.</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In diesem Feld weisen die Institute keine als Beauftragter getätigten SFTs aus, bei denen sie einem Kunden oder einer Gegenpartei für eine etwaige Differenz zwischen dem Wert der Sicherheit oder der Barmittel, die der Kunde verliehen, und dem Wert der Sicherheiten, die der Schuldner gemäß Artikel </w:t>
            </w:r>
            <w:r w:rsidRPr="00532F3A">
              <w:rPr>
                <w:rFonts w:ascii="Times New Roman" w:hAnsi="Times New Roman"/>
              </w:rPr>
              <w:t>429</w:t>
            </w:r>
            <w:r>
              <w:rPr>
                <w:rFonts w:ascii="Times New Roman" w:hAnsi="Times New Roman"/>
              </w:rPr>
              <w:t xml:space="preserve">b Absatz </w:t>
            </w:r>
            <w:r w:rsidRPr="00532F3A">
              <w:rPr>
                <w:rFonts w:ascii="Times New Roman" w:hAnsi="Times New Roman"/>
              </w:rPr>
              <w:t>6</w:t>
            </w:r>
            <w:r>
              <w:rPr>
                <w:rFonts w:ascii="Times New Roman" w:hAnsi="Times New Roman"/>
              </w:rPr>
              <w:t xml:space="preserve"> Buchstabe a CRR gestellt hat, eine Gewährleistung oder Garantie gegeben haben. Diese Positionen werden stattdessen in {</w:t>
            </w:r>
            <w:r w:rsidRPr="00532F3A">
              <w:rPr>
                <w:rFonts w:ascii="Times New Roman" w:hAnsi="Times New Roman"/>
              </w:rPr>
              <w:t>040</w:t>
            </w:r>
            <w:r>
              <w:rPr>
                <w:rFonts w:ascii="Times New Roman" w:hAnsi="Times New Roman"/>
              </w:rPr>
              <w:t>;</w:t>
            </w:r>
            <w:r w:rsidRPr="00532F3A">
              <w:rPr>
                <w:rFonts w:ascii="Times New Roman" w:hAnsi="Times New Roman"/>
              </w:rPr>
              <w:t>010</w:t>
            </w:r>
            <w:r>
              <w:rPr>
                <w:rFonts w:ascii="Times New Roman" w:hAnsi="Times New Roman"/>
              </w:rPr>
              <w:t>} ausgewiesen.</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Pr>
                <w:rFonts w:ascii="Times New Roman" w:hAnsi="Times New Roman"/>
              </w:rPr>
              <w:t>{</w:t>
            </w:r>
            <w:r w:rsidRPr="00532F3A">
              <w:rPr>
                <w:rFonts w:ascii="Times New Roman" w:hAnsi="Times New Roman"/>
              </w:rPr>
              <w:t>030</w:t>
            </w:r>
            <w:r>
              <w:rPr>
                <w:rFonts w:ascii="Times New Roman" w:hAnsi="Times New Roman"/>
              </w:rPr>
              <w:t>;</w:t>
            </w:r>
            <w:r w:rsidRPr="00532F3A">
              <w:rPr>
                <w:rFonts w:ascii="Times New Roman" w:hAnsi="Times New Roman"/>
              </w:rPr>
              <w:t>010</w:t>
            </w:r>
            <w:r>
              <w:rPr>
                <w:rFonts w:ascii="Times New Roman" w:hAnsi="Times New Roman"/>
              </w:rPr>
              <w:t>}</w:t>
            </w:r>
          </w:p>
          <w:p w:rsidR="00AE2798" w:rsidRPr="00FE002E" w:rsidRDefault="00AE2798" w:rsidP="00FE0FF1">
            <w:pPr>
              <w:pStyle w:val="BodyText1"/>
              <w:rPr>
                <w:rFonts w:ascii="Times New Roman" w:hAnsi="Times New Roman"/>
                <w:bCs/>
              </w:rPr>
            </w:pPr>
          </w:p>
        </w:tc>
        <w:tc>
          <w:tcPr>
            <w:tcW w:w="7590" w:type="dxa"/>
          </w:tcPr>
          <w:p w:rsidR="00AE2798" w:rsidRPr="00FE002E" w:rsidRDefault="00AE2798" w:rsidP="00FE0FF1">
            <w:pPr>
              <w:pStyle w:val="BodyText1"/>
              <w:spacing w:line="240" w:lineRule="auto"/>
              <w:rPr>
                <w:rFonts w:ascii="Times New Roman" w:hAnsi="Times New Roman"/>
                <w:b/>
                <w:bCs/>
              </w:rPr>
            </w:pPr>
            <w:r>
              <w:rPr>
                <w:rFonts w:ascii="Times New Roman" w:hAnsi="Times New Roman"/>
                <w:b/>
              </w:rPr>
              <w:t xml:space="preserve">Abweichende Regelung für SFTs: Aufschlag gemäß Artikel </w:t>
            </w:r>
            <w:r w:rsidRPr="00532F3A">
              <w:rPr>
                <w:rFonts w:ascii="Times New Roman" w:hAnsi="Times New Roman"/>
                <w:b/>
              </w:rPr>
              <w:t>429</w:t>
            </w:r>
            <w:r>
              <w:rPr>
                <w:rFonts w:ascii="Times New Roman" w:hAnsi="Times New Roman"/>
                <w:b/>
              </w:rPr>
              <w:t xml:space="preserve">b Absatz </w:t>
            </w:r>
            <w:r w:rsidRPr="00532F3A">
              <w:rPr>
                <w:rFonts w:ascii="Times New Roman" w:hAnsi="Times New Roman"/>
                <w:b/>
              </w:rPr>
              <w:t>4</w:t>
            </w:r>
            <w:r>
              <w:rPr>
                <w:rFonts w:ascii="Times New Roman" w:hAnsi="Times New Roman"/>
                <w:b/>
              </w:rPr>
              <w:t xml:space="preserve"> und Artikel </w:t>
            </w:r>
            <w:r w:rsidRPr="00532F3A">
              <w:rPr>
                <w:rFonts w:ascii="Times New Roman" w:hAnsi="Times New Roman"/>
                <w:b/>
              </w:rPr>
              <w:t>222</w:t>
            </w:r>
            <w:r>
              <w:rPr>
                <w:rFonts w:ascii="Times New Roman" w:hAnsi="Times New Roman"/>
                <w:b/>
              </w:rPr>
              <w:t xml:space="preserve"> CRR</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Artikel </w:t>
            </w:r>
            <w:r w:rsidRPr="00532F3A">
              <w:rPr>
                <w:rFonts w:ascii="Times New Roman" w:hAnsi="Times New Roman"/>
              </w:rPr>
              <w:t>429</w:t>
            </w:r>
            <w:r>
              <w:rPr>
                <w:rFonts w:ascii="Times New Roman" w:hAnsi="Times New Roman"/>
              </w:rPr>
              <w:t xml:space="preserve">b Absatz </w:t>
            </w:r>
            <w:r w:rsidRPr="00532F3A">
              <w:rPr>
                <w:rFonts w:ascii="Times New Roman" w:hAnsi="Times New Roman"/>
              </w:rPr>
              <w:t>4</w:t>
            </w:r>
            <w:r>
              <w:rPr>
                <w:rFonts w:ascii="Times New Roman" w:hAnsi="Times New Roman"/>
              </w:rPr>
              <w:t xml:space="preserve"> und Artikel </w:t>
            </w:r>
            <w:r w:rsidRPr="00532F3A">
              <w:rPr>
                <w:rFonts w:ascii="Times New Roman" w:hAnsi="Times New Roman"/>
              </w:rPr>
              <w:t>222</w:t>
            </w:r>
            <w:r>
              <w:rPr>
                <w:rFonts w:ascii="Times New Roman" w:hAnsi="Times New Roman"/>
              </w:rPr>
              <w:t xml:space="preserve"> CRR</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Der gemäß Artikel </w:t>
            </w:r>
            <w:r w:rsidRPr="00532F3A">
              <w:rPr>
                <w:rFonts w:ascii="Times New Roman" w:hAnsi="Times New Roman"/>
              </w:rPr>
              <w:t>222</w:t>
            </w:r>
            <w:r>
              <w:rPr>
                <w:rFonts w:ascii="Times New Roman" w:hAnsi="Times New Roman"/>
              </w:rPr>
              <w:t xml:space="preserve"> CRR berechnete Risikopositionswert für SFTs, einschließlich der außerbilanziellen, vorbehaltlich einer Untergrenze von </w:t>
            </w:r>
            <w:r w:rsidRPr="00532F3A">
              <w:rPr>
                <w:rFonts w:ascii="Times New Roman" w:hAnsi="Times New Roman"/>
              </w:rPr>
              <w:t>20</w:t>
            </w:r>
            <w:r>
              <w:rPr>
                <w:rFonts w:ascii="Times New Roman" w:hAnsi="Times New Roman"/>
              </w:rPr>
              <w:t xml:space="preserve"> % für das anwendbare Risikogewicht. </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In diesem Feld weisen die Institute Geschäfte nach Artikel </w:t>
            </w:r>
            <w:r w:rsidRPr="00532F3A">
              <w:rPr>
                <w:rFonts w:ascii="Times New Roman" w:hAnsi="Times New Roman"/>
              </w:rPr>
              <w:t>429</w:t>
            </w:r>
            <w:r>
              <w:rPr>
                <w:rFonts w:ascii="Times New Roman" w:hAnsi="Times New Roman"/>
              </w:rPr>
              <w:t xml:space="preserve">b Absatz </w:t>
            </w:r>
            <w:r w:rsidRPr="00532F3A">
              <w:rPr>
                <w:rFonts w:ascii="Times New Roman" w:hAnsi="Times New Roman"/>
              </w:rPr>
              <w:t>6</w:t>
            </w:r>
            <w:r>
              <w:rPr>
                <w:rFonts w:ascii="Times New Roman" w:hAnsi="Times New Roman"/>
              </w:rPr>
              <w:t xml:space="preserve"> Buchstabe c CRR aus.</w:t>
            </w:r>
          </w:p>
          <w:p w:rsidR="00AE2798" w:rsidRPr="00FE002E"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In diesem Feld weisen die Institute keine Geschäfte aus, bei denen der Aufschlag-Anteil des Risikopositionswerts für die Verschuldungsquote nach der in Artikel </w:t>
            </w:r>
            <w:r w:rsidRPr="00532F3A">
              <w:rPr>
                <w:rFonts w:ascii="Times New Roman" w:hAnsi="Times New Roman"/>
              </w:rPr>
              <w:t>429</w:t>
            </w:r>
            <w:r>
              <w:rPr>
                <w:rFonts w:ascii="Times New Roman" w:hAnsi="Times New Roman"/>
              </w:rPr>
              <w:t xml:space="preserve">b Absatz </w:t>
            </w:r>
            <w:r w:rsidRPr="00532F3A">
              <w:rPr>
                <w:rFonts w:ascii="Times New Roman" w:hAnsi="Times New Roman"/>
              </w:rPr>
              <w:t>1</w:t>
            </w:r>
            <w:r>
              <w:rPr>
                <w:rFonts w:ascii="Times New Roman" w:hAnsi="Times New Roman"/>
              </w:rPr>
              <w:t xml:space="preserve"> CRR definierten Methode ermittelt wird.</w:t>
            </w:r>
          </w:p>
          <w:p w:rsidR="00AE2798" w:rsidRPr="00FE002E"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71081">
            <w:pPr>
              <w:pStyle w:val="BodyText1"/>
              <w:rPr>
                <w:rFonts w:ascii="Times New Roman" w:hAnsi="Times New Roman"/>
                <w:bCs/>
              </w:rPr>
            </w:pPr>
            <w:r>
              <w:rPr>
                <w:rFonts w:ascii="Times New Roman" w:hAnsi="Times New Roman"/>
              </w:rPr>
              <w:t>{</w:t>
            </w:r>
            <w:r w:rsidRPr="00532F3A">
              <w:rPr>
                <w:rFonts w:ascii="Times New Roman" w:hAnsi="Times New Roman"/>
              </w:rPr>
              <w:t>040</w:t>
            </w:r>
            <w:r>
              <w:rPr>
                <w:rFonts w:ascii="Times New Roman" w:hAnsi="Times New Roman"/>
              </w:rPr>
              <w:t>;</w:t>
            </w:r>
            <w:r w:rsidRPr="00532F3A">
              <w:rPr>
                <w:rFonts w:ascii="Times New Roman" w:hAnsi="Times New Roman"/>
              </w:rPr>
              <w:t>010</w:t>
            </w:r>
            <w:r>
              <w:rPr>
                <w:rFonts w:ascii="Times New Roman" w:hAnsi="Times New Roman"/>
              </w:rPr>
              <w:t>}</w:t>
            </w:r>
          </w:p>
        </w:tc>
        <w:tc>
          <w:tcPr>
            <w:tcW w:w="7590" w:type="dxa"/>
          </w:tcPr>
          <w:p w:rsidR="00AE2798" w:rsidRDefault="00AE2798" w:rsidP="00FE0FF1">
            <w:pPr>
              <w:pStyle w:val="BodyText1"/>
              <w:spacing w:line="240" w:lineRule="auto"/>
              <w:rPr>
                <w:rFonts w:ascii="Times New Roman" w:hAnsi="Times New Roman"/>
                <w:bCs/>
              </w:rPr>
            </w:pPr>
            <w:r>
              <w:rPr>
                <w:rFonts w:ascii="Times New Roman" w:hAnsi="Times New Roman"/>
                <w:b/>
              </w:rPr>
              <w:t xml:space="preserve">Gegenparteiausfallrisiko von als Beauftragter getätigten SFT-Geschäften gemäß Artikel </w:t>
            </w:r>
            <w:r w:rsidRPr="00532F3A">
              <w:rPr>
                <w:rFonts w:ascii="Times New Roman" w:hAnsi="Times New Roman"/>
                <w:b/>
              </w:rPr>
              <w:t>429</w:t>
            </w:r>
            <w:r>
              <w:rPr>
                <w:rFonts w:ascii="Times New Roman" w:hAnsi="Times New Roman"/>
                <w:b/>
              </w:rPr>
              <w:t xml:space="preserve">b Absatz </w:t>
            </w:r>
            <w:r w:rsidRPr="00532F3A">
              <w:rPr>
                <w:rFonts w:ascii="Times New Roman" w:hAnsi="Times New Roman"/>
                <w:b/>
              </w:rPr>
              <w:t>6</w:t>
            </w:r>
            <w:r>
              <w:rPr>
                <w:rFonts w:ascii="Times New Roman" w:hAnsi="Times New Roman"/>
                <w:b/>
              </w:rPr>
              <w:t xml:space="preserve">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Artikel </w:t>
            </w:r>
            <w:r w:rsidRPr="00532F3A">
              <w:rPr>
                <w:rFonts w:ascii="Times New Roman" w:hAnsi="Times New Roman"/>
              </w:rPr>
              <w:t>429</w:t>
            </w:r>
            <w:r>
              <w:rPr>
                <w:rFonts w:ascii="Times New Roman" w:hAnsi="Times New Roman"/>
              </w:rPr>
              <w:t xml:space="preserve">b Absatz </w:t>
            </w:r>
            <w:r w:rsidRPr="00532F3A">
              <w:rPr>
                <w:rFonts w:ascii="Times New Roman" w:hAnsi="Times New Roman"/>
              </w:rPr>
              <w:t>6</w:t>
            </w:r>
            <w:r>
              <w:rPr>
                <w:rFonts w:ascii="Times New Roman" w:hAnsi="Times New Roman"/>
              </w:rPr>
              <w:t xml:space="preserve"> Buchstabe a, Artikel </w:t>
            </w:r>
            <w:r w:rsidRPr="00532F3A">
              <w:rPr>
                <w:rFonts w:ascii="Times New Roman" w:hAnsi="Times New Roman"/>
              </w:rPr>
              <w:t>429</w:t>
            </w:r>
            <w:r>
              <w:rPr>
                <w:rFonts w:ascii="Times New Roman" w:hAnsi="Times New Roman"/>
              </w:rPr>
              <w:t xml:space="preserve">b Absätze </w:t>
            </w:r>
            <w:r w:rsidRPr="00532F3A">
              <w:rPr>
                <w:rFonts w:ascii="Times New Roman" w:hAnsi="Times New Roman"/>
              </w:rPr>
              <w:t>2</w:t>
            </w:r>
            <w:r>
              <w:rPr>
                <w:rFonts w:ascii="Times New Roman" w:hAnsi="Times New Roman"/>
              </w:rPr>
              <w:t xml:space="preserve"> und </w:t>
            </w:r>
            <w:r w:rsidRPr="00532F3A">
              <w:rPr>
                <w:rFonts w:ascii="Times New Roman" w:hAnsi="Times New Roman"/>
              </w:rPr>
              <w:t>3</w:t>
            </w:r>
            <w:r>
              <w:rPr>
                <w:rFonts w:ascii="Times New Roman" w:hAnsi="Times New Roman"/>
              </w:rPr>
              <w:t xml:space="preserve">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Der Risikopositionswert für als Beauftragter getätigte SFTs, bei denen das Institut einem Kunden oder einer Gegenpartei für eine etwaige Differenz zwischen dem Wert der Sicherheit oder der Barmittel, die der Kunde verliehen, und dem Wert der Sicherheiten, die der Schuldner gemäß Artikel </w:t>
            </w:r>
            <w:r w:rsidRPr="00532F3A">
              <w:rPr>
                <w:rFonts w:ascii="Times New Roman" w:hAnsi="Times New Roman"/>
              </w:rPr>
              <w:t>429</w:t>
            </w:r>
            <w:r>
              <w:rPr>
                <w:rFonts w:ascii="Times New Roman" w:hAnsi="Times New Roman"/>
              </w:rPr>
              <w:t xml:space="preserve">b Absatz </w:t>
            </w:r>
            <w:r w:rsidRPr="00532F3A">
              <w:rPr>
                <w:rFonts w:ascii="Times New Roman" w:hAnsi="Times New Roman"/>
              </w:rPr>
              <w:t>6</w:t>
            </w:r>
            <w:r>
              <w:rPr>
                <w:rFonts w:ascii="Times New Roman" w:hAnsi="Times New Roman"/>
              </w:rPr>
              <w:t xml:space="preserve"> Buchstabe a CRR gestellt hat, eine </w:t>
            </w:r>
            <w:r>
              <w:rPr>
                <w:rFonts w:ascii="Times New Roman" w:hAnsi="Times New Roman"/>
              </w:rPr>
              <w:lastRenderedPageBreak/>
              <w:t xml:space="preserve">Gewährleistung oder Garantie gegeben hat, besteht nur aus dem gemäß Artikel </w:t>
            </w:r>
            <w:r w:rsidRPr="00532F3A">
              <w:rPr>
                <w:rFonts w:ascii="Times New Roman" w:hAnsi="Times New Roman"/>
              </w:rPr>
              <w:t>429</w:t>
            </w:r>
            <w:r>
              <w:rPr>
                <w:rFonts w:ascii="Times New Roman" w:hAnsi="Times New Roman"/>
              </w:rPr>
              <w:t xml:space="preserve">b Absatz </w:t>
            </w:r>
            <w:r w:rsidRPr="00532F3A">
              <w:rPr>
                <w:rFonts w:ascii="Times New Roman" w:hAnsi="Times New Roman"/>
              </w:rPr>
              <w:t>2</w:t>
            </w:r>
            <w:r>
              <w:rPr>
                <w:rFonts w:ascii="Times New Roman" w:hAnsi="Times New Roman"/>
              </w:rPr>
              <w:t xml:space="preserve"> oder gegebenenfalls </w:t>
            </w:r>
            <w:r w:rsidRPr="00532F3A">
              <w:rPr>
                <w:rFonts w:ascii="Times New Roman" w:hAnsi="Times New Roman"/>
              </w:rPr>
              <w:t>3</w:t>
            </w:r>
            <w:r>
              <w:rPr>
                <w:rFonts w:ascii="Times New Roman" w:hAnsi="Times New Roman"/>
              </w:rPr>
              <w:t xml:space="preserve"> CRR ermittelten Aufschlag.</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In diesem Feld weisen die Institute keine Geschäfte nach Artikel </w:t>
            </w:r>
            <w:r w:rsidRPr="00532F3A">
              <w:rPr>
                <w:rFonts w:ascii="Times New Roman" w:hAnsi="Times New Roman"/>
              </w:rPr>
              <w:t>429</w:t>
            </w:r>
            <w:r>
              <w:rPr>
                <w:rFonts w:ascii="Times New Roman" w:hAnsi="Times New Roman"/>
              </w:rPr>
              <w:t xml:space="preserve">b Absatz </w:t>
            </w:r>
            <w:r w:rsidRPr="00532F3A">
              <w:rPr>
                <w:rFonts w:ascii="Times New Roman" w:hAnsi="Times New Roman"/>
              </w:rPr>
              <w:t>6</w:t>
            </w:r>
            <w:r>
              <w:rPr>
                <w:rFonts w:ascii="Times New Roman" w:hAnsi="Times New Roman"/>
              </w:rPr>
              <w:t xml:space="preserve"> Buchstabe c CRR aus. Diese Positionen werden stattdessen je nach Anwendbarkeit in {</w:t>
            </w:r>
            <w:r w:rsidRPr="00532F3A">
              <w:rPr>
                <w:rFonts w:ascii="Times New Roman" w:hAnsi="Times New Roman"/>
              </w:rPr>
              <w:t>010</w:t>
            </w:r>
            <w:r>
              <w:rPr>
                <w:rFonts w:ascii="Times New Roman" w:hAnsi="Times New Roman"/>
              </w:rPr>
              <w:t>;</w:t>
            </w:r>
            <w:r w:rsidRPr="00532F3A">
              <w:rPr>
                <w:rFonts w:ascii="Times New Roman" w:hAnsi="Times New Roman"/>
              </w:rPr>
              <w:t>010</w:t>
            </w:r>
            <w:r>
              <w:rPr>
                <w:rFonts w:ascii="Times New Roman" w:hAnsi="Times New Roman"/>
              </w:rPr>
              <w:t>} und {</w:t>
            </w:r>
            <w:r w:rsidRPr="00532F3A">
              <w:rPr>
                <w:rFonts w:ascii="Times New Roman" w:hAnsi="Times New Roman"/>
              </w:rPr>
              <w:t>020</w:t>
            </w:r>
            <w:r>
              <w:rPr>
                <w:rFonts w:ascii="Times New Roman" w:hAnsi="Times New Roman"/>
              </w:rPr>
              <w:t>;</w:t>
            </w:r>
            <w:r w:rsidRPr="00532F3A">
              <w:rPr>
                <w:rFonts w:ascii="Times New Roman" w:hAnsi="Times New Roman"/>
              </w:rPr>
              <w:t>010</w:t>
            </w:r>
            <w:r>
              <w:rPr>
                <w:rFonts w:ascii="Times New Roman" w:hAnsi="Times New Roman"/>
              </w:rPr>
              <w:t>} oder {</w:t>
            </w:r>
            <w:r w:rsidRPr="00532F3A">
              <w:rPr>
                <w:rFonts w:ascii="Times New Roman" w:hAnsi="Times New Roman"/>
              </w:rPr>
              <w:t>010</w:t>
            </w:r>
            <w:r>
              <w:rPr>
                <w:rFonts w:ascii="Times New Roman" w:hAnsi="Times New Roman"/>
              </w:rPr>
              <w:t>;</w:t>
            </w:r>
            <w:r w:rsidRPr="00532F3A">
              <w:rPr>
                <w:rFonts w:ascii="Times New Roman" w:hAnsi="Times New Roman"/>
              </w:rPr>
              <w:t>010</w:t>
            </w:r>
            <w:r>
              <w:rPr>
                <w:rFonts w:ascii="Times New Roman" w:hAnsi="Times New Roman"/>
              </w:rPr>
              <w:t>} und {</w:t>
            </w:r>
            <w:r w:rsidRPr="00532F3A">
              <w:rPr>
                <w:rFonts w:ascii="Times New Roman" w:hAnsi="Times New Roman"/>
              </w:rPr>
              <w:t>030</w:t>
            </w:r>
            <w:r>
              <w:rPr>
                <w:rFonts w:ascii="Times New Roman" w:hAnsi="Times New Roman"/>
              </w:rPr>
              <w:t>;</w:t>
            </w:r>
            <w:r w:rsidRPr="00532F3A">
              <w:rPr>
                <w:rFonts w:ascii="Times New Roman" w:hAnsi="Times New Roman"/>
              </w:rPr>
              <w:t>010</w:t>
            </w:r>
            <w:r>
              <w:rPr>
                <w:rFonts w:ascii="Times New Roman" w:hAnsi="Times New Roman"/>
              </w:rPr>
              <w:t>} ausgewiesen.</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71081">
            <w:pPr>
              <w:pStyle w:val="BodyText1"/>
              <w:rPr>
                <w:rFonts w:ascii="Times New Roman" w:hAnsi="Times New Roman"/>
                <w:bCs/>
              </w:rPr>
            </w:pPr>
            <w:r>
              <w:rPr>
                <w:rFonts w:ascii="Times New Roman" w:hAnsi="Times New Roman"/>
              </w:rPr>
              <w:lastRenderedPageBreak/>
              <w:t>{</w:t>
            </w:r>
            <w:r w:rsidRPr="00532F3A">
              <w:rPr>
                <w:rFonts w:ascii="Times New Roman" w:hAnsi="Times New Roman"/>
              </w:rPr>
              <w:t>050</w:t>
            </w:r>
            <w:r>
              <w:rPr>
                <w:rFonts w:ascii="Times New Roman" w:hAnsi="Times New Roman"/>
              </w:rPr>
              <w:t>;</w:t>
            </w:r>
            <w:r w:rsidRPr="00532F3A">
              <w:rPr>
                <w:rFonts w:ascii="Times New Roman" w:hAnsi="Times New Roman"/>
              </w:rPr>
              <w:t>010</w:t>
            </w:r>
            <w:r>
              <w:rPr>
                <w:rFonts w:ascii="Times New Roman" w:hAnsi="Times New Roman"/>
              </w:rPr>
              <w:t>}</w:t>
            </w:r>
          </w:p>
        </w:tc>
        <w:tc>
          <w:tcPr>
            <w:tcW w:w="7590" w:type="dxa"/>
          </w:tcPr>
          <w:p w:rsidR="00AE2798" w:rsidRDefault="005556DC" w:rsidP="00FE0FF1">
            <w:pPr>
              <w:pStyle w:val="BodyText1"/>
              <w:spacing w:line="240" w:lineRule="auto"/>
              <w:rPr>
                <w:rFonts w:ascii="Times New Roman" w:hAnsi="Times New Roman"/>
                <w:bCs/>
              </w:rPr>
            </w:pPr>
            <w:r>
              <w:rPr>
                <w:rFonts w:ascii="Times New Roman" w:hAnsi="Times New Roman"/>
                <w:b/>
              </w:rPr>
              <w:t>(-) Aus kundengeclearten Risikopositionen im Zusammenhang mit SFTs ausgeschlossener ZGP-Teil</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Artikel </w:t>
            </w:r>
            <w:r w:rsidRPr="00532F3A">
              <w:rPr>
                <w:rFonts w:ascii="Times New Roman" w:hAnsi="Times New Roman"/>
              </w:rPr>
              <w:t>429</w:t>
            </w:r>
            <w:r>
              <w:rPr>
                <w:rFonts w:ascii="Times New Roman" w:hAnsi="Times New Roman"/>
              </w:rPr>
              <w:t xml:space="preserve"> Absatz </w:t>
            </w:r>
            <w:r w:rsidRPr="00532F3A">
              <w:rPr>
                <w:rFonts w:ascii="Times New Roman" w:hAnsi="Times New Roman"/>
              </w:rPr>
              <w:t>11</w:t>
            </w:r>
            <w:r>
              <w:rPr>
                <w:rFonts w:ascii="Times New Roman" w:hAnsi="Times New Roman"/>
              </w:rPr>
              <w:t xml:space="preserve"> und Artikel </w:t>
            </w:r>
            <w:r w:rsidRPr="00532F3A">
              <w:rPr>
                <w:rFonts w:ascii="Times New Roman" w:hAnsi="Times New Roman"/>
              </w:rPr>
              <w:t>306</w:t>
            </w:r>
            <w:r>
              <w:rPr>
                <w:rFonts w:ascii="Times New Roman" w:hAnsi="Times New Roman"/>
              </w:rPr>
              <w:t xml:space="preserve"> Absatz </w:t>
            </w:r>
            <w:r w:rsidRPr="00532F3A">
              <w:rPr>
                <w:rFonts w:ascii="Times New Roman" w:hAnsi="Times New Roman"/>
              </w:rPr>
              <w:t>1</w:t>
            </w:r>
            <w:r>
              <w:rPr>
                <w:rFonts w:ascii="Times New Roman" w:hAnsi="Times New Roman"/>
              </w:rPr>
              <w:t xml:space="preserve"> Buchstabe c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Der aus kundengeclearten Handelsrisikopositionen im Zusammenhang mit SFTs ausgeschlossene ZGP-Teil, sofern diese Positionen die in Artikel </w:t>
            </w:r>
            <w:r w:rsidRPr="00532F3A">
              <w:rPr>
                <w:rFonts w:ascii="Times New Roman" w:hAnsi="Times New Roman"/>
              </w:rPr>
              <w:t>306</w:t>
            </w:r>
            <w:r>
              <w:rPr>
                <w:rFonts w:ascii="Times New Roman" w:hAnsi="Times New Roman"/>
              </w:rPr>
              <w:t xml:space="preserve"> Absatz </w:t>
            </w:r>
            <w:r w:rsidRPr="00532F3A">
              <w:rPr>
                <w:rFonts w:ascii="Times New Roman" w:hAnsi="Times New Roman"/>
              </w:rPr>
              <w:t>1</w:t>
            </w:r>
            <w:r>
              <w:rPr>
                <w:rFonts w:ascii="Times New Roman" w:hAnsi="Times New Roman"/>
              </w:rPr>
              <w:t xml:space="preserve"> Buchstabe c CRR genannten Bedingungen erfüllen.</w:t>
            </w:r>
          </w:p>
          <w:p w:rsidR="004052F0" w:rsidRDefault="004052F0" w:rsidP="00FE0FF1">
            <w:pPr>
              <w:pStyle w:val="BodyText1"/>
              <w:spacing w:line="240" w:lineRule="auto"/>
              <w:rPr>
                <w:rFonts w:ascii="Times New Roman" w:hAnsi="Times New Roman"/>
                <w:bCs/>
              </w:rPr>
            </w:pPr>
          </w:p>
          <w:p w:rsidR="004052F0" w:rsidRDefault="004052F0" w:rsidP="00FE0FF1">
            <w:pPr>
              <w:pStyle w:val="BodyText1"/>
              <w:spacing w:line="240" w:lineRule="auto"/>
              <w:rPr>
                <w:rFonts w:ascii="Times New Roman" w:hAnsi="Times New Roman"/>
                <w:bCs/>
              </w:rPr>
            </w:pPr>
            <w:r>
              <w:rPr>
                <w:rFonts w:ascii="Times New Roman" w:hAnsi="Times New Roman"/>
              </w:rPr>
              <w:t xml:space="preserve">Ist der gegenüber der ZGP ausgenommene Teil eine Sicherheit, wird dieser hier nicht ausgewiesen, es sei denn, es handelt sich um eine weiterverpfändete Sicherheit, die nach dem geltenden Rechnungslegungsrahmen (d. h. gemäß Artikel </w:t>
            </w:r>
            <w:r w:rsidRPr="00532F3A">
              <w:rPr>
                <w:rFonts w:ascii="Times New Roman" w:hAnsi="Times New Roman"/>
              </w:rPr>
              <w:t>111</w:t>
            </w:r>
            <w:r>
              <w:rPr>
                <w:rFonts w:ascii="Times New Roman" w:hAnsi="Times New Roman"/>
              </w:rPr>
              <w:t xml:space="preserve"> Absatz </w:t>
            </w:r>
            <w:r w:rsidRPr="00532F3A">
              <w:rPr>
                <w:rFonts w:ascii="Times New Roman" w:hAnsi="Times New Roman"/>
              </w:rPr>
              <w:t>1</w:t>
            </w:r>
            <w:r>
              <w:rPr>
                <w:rFonts w:ascii="Times New Roman" w:hAnsi="Times New Roman"/>
              </w:rPr>
              <w:t xml:space="preserve"> Satz </w:t>
            </w:r>
            <w:r w:rsidRPr="00532F3A">
              <w:rPr>
                <w:rFonts w:ascii="Times New Roman" w:hAnsi="Times New Roman"/>
              </w:rPr>
              <w:t>1</w:t>
            </w:r>
            <w:r>
              <w:rPr>
                <w:rFonts w:ascii="Times New Roman" w:hAnsi="Times New Roman"/>
              </w:rPr>
              <w:t xml:space="preserve"> CRR) mit ihrem vollen Wert angesetzt wird.</w:t>
            </w:r>
          </w:p>
          <w:p w:rsidR="004052F0" w:rsidRDefault="004052F0" w:rsidP="00FE0FF1">
            <w:pPr>
              <w:pStyle w:val="BodyText1"/>
              <w:spacing w:line="240" w:lineRule="auto"/>
              <w:rPr>
                <w:rFonts w:ascii="Times New Roman" w:hAnsi="Times New Roman"/>
                <w:bCs/>
              </w:rPr>
            </w:pPr>
          </w:p>
          <w:p w:rsidR="004052F0" w:rsidRDefault="004052F0" w:rsidP="00FD2C06">
            <w:pPr>
              <w:pStyle w:val="BodyText1"/>
              <w:spacing w:line="240" w:lineRule="auto"/>
              <w:rPr>
                <w:rFonts w:ascii="Times New Roman" w:hAnsi="Times New Roman"/>
                <w:bCs/>
              </w:rPr>
            </w:pPr>
            <w:r>
              <w:rPr>
                <w:rFonts w:ascii="Times New Roman" w:hAnsi="Times New Roman"/>
              </w:rPr>
              <w:t>Die Institute weisen den in diesem Feld angegebenen Betrag auch in {</w:t>
            </w:r>
            <w:r w:rsidRPr="00532F3A">
              <w:rPr>
                <w:rFonts w:ascii="Times New Roman" w:hAnsi="Times New Roman"/>
              </w:rPr>
              <w:t>010</w:t>
            </w:r>
            <w:r>
              <w:rPr>
                <w:rFonts w:ascii="Times New Roman" w:hAnsi="Times New Roman"/>
              </w:rPr>
              <w:t>;</w:t>
            </w:r>
            <w:r w:rsidRPr="00532F3A">
              <w:rPr>
                <w:rFonts w:ascii="Times New Roman" w:hAnsi="Times New Roman"/>
              </w:rPr>
              <w:t>010</w:t>
            </w:r>
            <w:r>
              <w:rPr>
                <w:rFonts w:ascii="Times New Roman" w:hAnsi="Times New Roman"/>
              </w:rPr>
              <w:t>}, {</w:t>
            </w:r>
            <w:r w:rsidRPr="00532F3A">
              <w:rPr>
                <w:rFonts w:ascii="Times New Roman" w:hAnsi="Times New Roman"/>
              </w:rPr>
              <w:t>020</w:t>
            </w:r>
            <w:r>
              <w:rPr>
                <w:rFonts w:ascii="Times New Roman" w:hAnsi="Times New Roman"/>
              </w:rPr>
              <w:t>;</w:t>
            </w:r>
            <w:r w:rsidRPr="00532F3A">
              <w:rPr>
                <w:rFonts w:ascii="Times New Roman" w:hAnsi="Times New Roman"/>
              </w:rPr>
              <w:t>010</w:t>
            </w:r>
            <w:r>
              <w:rPr>
                <w:rFonts w:ascii="Times New Roman" w:hAnsi="Times New Roman"/>
              </w:rPr>
              <w:t>} und {</w:t>
            </w:r>
            <w:r w:rsidRPr="00532F3A">
              <w:rPr>
                <w:rFonts w:ascii="Times New Roman" w:hAnsi="Times New Roman"/>
              </w:rPr>
              <w:t>030</w:t>
            </w:r>
            <w:r>
              <w:rPr>
                <w:rFonts w:ascii="Times New Roman" w:hAnsi="Times New Roman"/>
              </w:rPr>
              <w:t>;</w:t>
            </w:r>
            <w:r w:rsidRPr="00532F3A">
              <w:rPr>
                <w:rFonts w:ascii="Times New Roman" w:hAnsi="Times New Roman"/>
              </w:rPr>
              <w:t>010</w:t>
            </w:r>
            <w:r>
              <w:rPr>
                <w:rFonts w:ascii="Times New Roman" w:hAnsi="Times New Roman"/>
              </w:rPr>
              <w:t>} aus, so als gälte keine Ausnahme, und, falls die in der zweiten Hälfte des vorangehenden Satzes genannte Bedingung erfüllt ist, in {</w:t>
            </w:r>
            <w:r w:rsidRPr="00532F3A">
              <w:rPr>
                <w:rFonts w:ascii="Times New Roman" w:hAnsi="Times New Roman"/>
              </w:rPr>
              <w:t>190</w:t>
            </w:r>
            <w:r>
              <w:rPr>
                <w:rFonts w:ascii="Times New Roman" w:hAnsi="Times New Roman"/>
              </w:rPr>
              <w:t>;</w:t>
            </w:r>
            <w:r w:rsidRPr="00532F3A">
              <w:rPr>
                <w:rFonts w:ascii="Times New Roman" w:hAnsi="Times New Roman"/>
              </w:rPr>
              <w:t>010</w:t>
            </w:r>
            <w:r>
              <w:rPr>
                <w:rFonts w:ascii="Times New Roman" w:hAnsi="Times New Roman"/>
              </w:rPr>
              <w:t>}.</w:t>
            </w:r>
          </w:p>
          <w:p w:rsidR="00AF6C6D" w:rsidRDefault="00AF6C6D" w:rsidP="00FD2C06">
            <w:pPr>
              <w:pStyle w:val="BodyText1"/>
              <w:spacing w:line="240" w:lineRule="auto"/>
              <w:rPr>
                <w:rFonts w:ascii="Times New Roman" w:hAnsi="Times New Roman"/>
                <w:bCs/>
              </w:rPr>
            </w:pPr>
          </w:p>
          <w:p w:rsidR="00AF6C6D" w:rsidRPr="00FE002E" w:rsidRDefault="00AF6C6D" w:rsidP="00FD2C06">
            <w:pPr>
              <w:pStyle w:val="BodyText1"/>
              <w:spacing w:line="240" w:lineRule="auto"/>
              <w:rPr>
                <w:rFonts w:ascii="Times New Roman" w:hAnsi="Times New Roman"/>
                <w:bCs/>
              </w:rPr>
            </w:pPr>
            <w:r>
              <w:rPr>
                <w:rFonts w:ascii="Times New Roman" w:hAnsi="Times New Roman"/>
              </w:rPr>
              <w:t>Gibt das Institut für einen ausgeschlossenen Teil eines SFT, der in {</w:t>
            </w:r>
            <w:r w:rsidRPr="00532F3A">
              <w:rPr>
                <w:rFonts w:ascii="Times New Roman" w:hAnsi="Times New Roman"/>
              </w:rPr>
              <w:t>190</w:t>
            </w:r>
            <w:r>
              <w:rPr>
                <w:rFonts w:ascii="Times New Roman" w:hAnsi="Times New Roman"/>
              </w:rPr>
              <w:t>;</w:t>
            </w:r>
            <w:r w:rsidRPr="00532F3A">
              <w:rPr>
                <w:rFonts w:ascii="Times New Roman" w:hAnsi="Times New Roman"/>
              </w:rPr>
              <w:t>010</w:t>
            </w:r>
            <w:r>
              <w:rPr>
                <w:rFonts w:ascii="Times New Roman" w:hAnsi="Times New Roman"/>
              </w:rPr>
              <w:t>} und nicht in {</w:t>
            </w:r>
            <w:r w:rsidRPr="00532F3A">
              <w:rPr>
                <w:rFonts w:ascii="Times New Roman" w:hAnsi="Times New Roman"/>
              </w:rPr>
              <w:t>020</w:t>
            </w:r>
            <w:r>
              <w:rPr>
                <w:rFonts w:ascii="Times New Roman" w:hAnsi="Times New Roman"/>
              </w:rPr>
              <w:t>;</w:t>
            </w:r>
            <w:r w:rsidRPr="00532F3A">
              <w:rPr>
                <w:rFonts w:ascii="Times New Roman" w:hAnsi="Times New Roman"/>
              </w:rPr>
              <w:t>010</w:t>
            </w:r>
            <w:r>
              <w:rPr>
                <w:rFonts w:ascii="Times New Roman" w:hAnsi="Times New Roman"/>
              </w:rPr>
              <w:t>} oder {</w:t>
            </w:r>
            <w:r w:rsidRPr="00532F3A">
              <w:rPr>
                <w:rFonts w:ascii="Times New Roman" w:hAnsi="Times New Roman"/>
              </w:rPr>
              <w:t>030</w:t>
            </w:r>
            <w:r>
              <w:rPr>
                <w:rFonts w:ascii="Times New Roman" w:hAnsi="Times New Roman"/>
              </w:rPr>
              <w:t>;</w:t>
            </w:r>
            <w:r w:rsidRPr="00532F3A">
              <w:rPr>
                <w:rFonts w:ascii="Times New Roman" w:hAnsi="Times New Roman"/>
              </w:rPr>
              <w:t>010</w:t>
            </w:r>
            <w:r>
              <w:rPr>
                <w:rFonts w:ascii="Times New Roman" w:hAnsi="Times New Roman"/>
              </w:rPr>
              <w:t>} ausgewiesen wird, Einschüsse an, so kann es den Betrag in diesem Feld ausweisen.</w:t>
            </w:r>
          </w:p>
          <w:p w:rsidR="00AE2798" w:rsidRPr="0084012A" w:rsidRDefault="00AE2798" w:rsidP="00C0429A">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Pr>
                <w:rFonts w:ascii="Times New Roman" w:hAnsi="Times New Roman"/>
              </w:rPr>
              <w:t>{</w:t>
            </w:r>
            <w:r w:rsidRPr="00532F3A">
              <w:rPr>
                <w:rFonts w:ascii="Times New Roman" w:hAnsi="Times New Roman"/>
              </w:rPr>
              <w:t>060</w:t>
            </w:r>
            <w:r>
              <w:rPr>
                <w:rFonts w:ascii="Times New Roman" w:hAnsi="Times New Roman"/>
              </w:rPr>
              <w:t>;</w:t>
            </w:r>
            <w:r w:rsidRPr="00532F3A">
              <w:rPr>
                <w:rFonts w:ascii="Times New Roman" w:hAnsi="Times New Roman"/>
              </w:rPr>
              <w:t>010</w:t>
            </w:r>
            <w:r>
              <w:rPr>
                <w:rFonts w:ascii="Times New Roman" w:hAnsi="Times New Roman"/>
              </w:rPr>
              <w:t>}</w:t>
            </w:r>
          </w:p>
          <w:p w:rsidR="00AE2798" w:rsidRPr="00FE002E" w:rsidRDefault="00AE2798" w:rsidP="00FE0FF1">
            <w:pPr>
              <w:pStyle w:val="BodyText1"/>
              <w:rPr>
                <w:rFonts w:ascii="Times New Roman" w:hAnsi="Times New Roman"/>
                <w:bCs/>
              </w:rPr>
            </w:pPr>
          </w:p>
        </w:tc>
        <w:tc>
          <w:tcPr>
            <w:tcW w:w="7590" w:type="dxa"/>
          </w:tcPr>
          <w:p w:rsidR="00AE2798" w:rsidRPr="00FE002E" w:rsidRDefault="00AE2798" w:rsidP="00FE0FF1">
            <w:pPr>
              <w:pStyle w:val="BodyText1"/>
              <w:spacing w:line="240" w:lineRule="auto"/>
              <w:rPr>
                <w:rFonts w:ascii="Times New Roman" w:hAnsi="Times New Roman"/>
                <w:bCs/>
              </w:rPr>
            </w:pPr>
            <w:r>
              <w:rPr>
                <w:rFonts w:ascii="Times New Roman" w:hAnsi="Times New Roman"/>
                <w:b/>
              </w:rPr>
              <w:t xml:space="preserve">Derivate: Aktueller Wiederbeschaffungswert </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Artikel </w:t>
            </w:r>
            <w:r w:rsidRPr="00532F3A">
              <w:rPr>
                <w:rFonts w:ascii="Times New Roman" w:hAnsi="Times New Roman"/>
              </w:rPr>
              <w:t>429</w:t>
            </w:r>
            <w:r>
              <w:rPr>
                <w:rFonts w:ascii="Times New Roman" w:hAnsi="Times New Roman"/>
              </w:rPr>
              <w:t xml:space="preserve">a, </w:t>
            </w:r>
            <w:r w:rsidRPr="00532F3A">
              <w:rPr>
                <w:rFonts w:ascii="Times New Roman" w:hAnsi="Times New Roman"/>
              </w:rPr>
              <w:t>274</w:t>
            </w:r>
            <w:r>
              <w:rPr>
                <w:rFonts w:ascii="Times New Roman" w:hAnsi="Times New Roman"/>
              </w:rPr>
              <w:t xml:space="preserve">, </w:t>
            </w:r>
            <w:r w:rsidRPr="00532F3A">
              <w:rPr>
                <w:rFonts w:ascii="Times New Roman" w:hAnsi="Times New Roman"/>
              </w:rPr>
              <w:t>295</w:t>
            </w:r>
            <w:r>
              <w:rPr>
                <w:rFonts w:ascii="Times New Roman" w:hAnsi="Times New Roman"/>
              </w:rPr>
              <w:t xml:space="preserve">, </w:t>
            </w:r>
            <w:r w:rsidRPr="00532F3A">
              <w:rPr>
                <w:rFonts w:ascii="Times New Roman" w:hAnsi="Times New Roman"/>
              </w:rPr>
              <w:t>296</w:t>
            </w:r>
            <w:r>
              <w:rPr>
                <w:rFonts w:ascii="Times New Roman" w:hAnsi="Times New Roman"/>
              </w:rPr>
              <w:t xml:space="preserve">, </w:t>
            </w:r>
            <w:r w:rsidRPr="00532F3A">
              <w:rPr>
                <w:rFonts w:ascii="Times New Roman" w:hAnsi="Times New Roman"/>
              </w:rPr>
              <w:t>297</w:t>
            </w:r>
            <w:r>
              <w:rPr>
                <w:rFonts w:ascii="Times New Roman" w:hAnsi="Times New Roman"/>
              </w:rPr>
              <w:t xml:space="preserve"> und </w:t>
            </w:r>
            <w:r w:rsidRPr="00532F3A">
              <w:rPr>
                <w:rFonts w:ascii="Times New Roman" w:hAnsi="Times New Roman"/>
              </w:rPr>
              <w:t>298</w:t>
            </w:r>
            <w:r>
              <w:rPr>
                <w:rFonts w:ascii="Times New Roman" w:hAnsi="Times New Roman"/>
              </w:rPr>
              <w:t xml:space="preserve"> CRR.</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Der nach Artikel </w:t>
            </w:r>
            <w:r w:rsidRPr="00532F3A">
              <w:rPr>
                <w:rFonts w:ascii="Times New Roman" w:hAnsi="Times New Roman"/>
              </w:rPr>
              <w:t>274</w:t>
            </w:r>
            <w:r>
              <w:rPr>
                <w:rFonts w:ascii="Times New Roman" w:hAnsi="Times New Roman"/>
              </w:rPr>
              <w:t xml:space="preserve"> Absatz </w:t>
            </w:r>
            <w:r w:rsidRPr="00532F3A">
              <w:rPr>
                <w:rFonts w:ascii="Times New Roman" w:hAnsi="Times New Roman"/>
              </w:rPr>
              <w:t>1</w:t>
            </w:r>
            <w:r>
              <w:rPr>
                <w:rFonts w:ascii="Times New Roman" w:hAnsi="Times New Roman"/>
              </w:rPr>
              <w:t xml:space="preserve"> der CRR bestimmte aktuelle Wiederbeschaffungswert der in Anhang II CRR aufgeführten Geschäfte und von Kreditderivaten, einschließlich der außerbilanziellen, der einschließlich der erhaltenen Barnachschüsse gemeldet wird.</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Wie in Artikel </w:t>
            </w:r>
            <w:r w:rsidRPr="00532F3A">
              <w:rPr>
                <w:rFonts w:ascii="Times New Roman" w:hAnsi="Times New Roman"/>
              </w:rPr>
              <w:t>429</w:t>
            </w:r>
            <w:r>
              <w:rPr>
                <w:rFonts w:ascii="Times New Roman" w:hAnsi="Times New Roman"/>
              </w:rPr>
              <w:t xml:space="preserve">a Absatz </w:t>
            </w:r>
            <w:r w:rsidRPr="00532F3A">
              <w:rPr>
                <w:rFonts w:ascii="Times New Roman" w:hAnsi="Times New Roman"/>
              </w:rPr>
              <w:t>1</w:t>
            </w:r>
            <w:r>
              <w:rPr>
                <w:rFonts w:ascii="Times New Roman" w:hAnsi="Times New Roman"/>
              </w:rPr>
              <w:t xml:space="preserve"> CRR bestimmt, dürfen die Institute die Auswirkungen von Schuldumwandlungsverträgen und sonstigen Nettingvereinbarungen gemäß Artikel </w:t>
            </w:r>
            <w:r w:rsidRPr="00532F3A">
              <w:rPr>
                <w:rFonts w:ascii="Times New Roman" w:hAnsi="Times New Roman"/>
              </w:rPr>
              <w:t>295</w:t>
            </w:r>
            <w:r>
              <w:rPr>
                <w:rFonts w:ascii="Times New Roman" w:hAnsi="Times New Roman"/>
              </w:rPr>
              <w:t xml:space="preserve"> CRR berücksichtigen. Dies gilt nicht für produktübergreifendes Netting. Die Institute dürfen jedoch innerhalb der in Artikel </w:t>
            </w:r>
            <w:r w:rsidRPr="00532F3A">
              <w:rPr>
                <w:rFonts w:ascii="Times New Roman" w:hAnsi="Times New Roman"/>
              </w:rPr>
              <w:t>272</w:t>
            </w:r>
            <w:r>
              <w:rPr>
                <w:rFonts w:ascii="Times New Roman" w:hAnsi="Times New Roman"/>
              </w:rPr>
              <w:t xml:space="preserve"> Nummer </w:t>
            </w:r>
            <w:r w:rsidRPr="00532F3A">
              <w:rPr>
                <w:rFonts w:ascii="Times New Roman" w:hAnsi="Times New Roman"/>
              </w:rPr>
              <w:t>25</w:t>
            </w:r>
            <w:r>
              <w:rPr>
                <w:rFonts w:ascii="Times New Roman" w:hAnsi="Times New Roman"/>
              </w:rPr>
              <w:t xml:space="preserve"> Buchstabe c CRR genannten Produktkategorie sowie Kreditderivate aufrechnen, wenn diese einer in Artikel </w:t>
            </w:r>
            <w:r w:rsidRPr="00532F3A">
              <w:rPr>
                <w:rFonts w:ascii="Times New Roman" w:hAnsi="Times New Roman"/>
              </w:rPr>
              <w:t>295</w:t>
            </w:r>
            <w:r>
              <w:rPr>
                <w:rFonts w:ascii="Times New Roman" w:hAnsi="Times New Roman"/>
              </w:rPr>
              <w:t xml:space="preserve"> Buchstabe c CRR genannten produktübergreifenden vertraglichen Nettingvereinbarungen unterliegen.</w:t>
            </w:r>
          </w:p>
          <w:p w:rsidR="00AE2798" w:rsidRPr="00FE002E" w:rsidRDefault="00AE2798" w:rsidP="00FE0FF1">
            <w:pPr>
              <w:pStyle w:val="BodyText1"/>
              <w:spacing w:line="240" w:lineRule="auto"/>
              <w:rPr>
                <w:rFonts w:ascii="Times New Roman" w:hAnsi="Times New Roman"/>
              </w:rPr>
            </w:pPr>
          </w:p>
          <w:p w:rsidR="00AE2798" w:rsidRPr="00FE002E" w:rsidRDefault="00AE2798" w:rsidP="00FE0FF1">
            <w:pPr>
              <w:pStyle w:val="BodyText1"/>
              <w:spacing w:line="240" w:lineRule="auto"/>
              <w:rPr>
                <w:rFonts w:ascii="Times New Roman" w:hAnsi="Times New Roman"/>
              </w:rPr>
            </w:pPr>
            <w:r>
              <w:rPr>
                <w:rFonts w:ascii="Times New Roman" w:hAnsi="Times New Roman"/>
              </w:rPr>
              <w:t xml:space="preserve">Die Institute weisen in diesem Feld keine Geschäfte aus, die gemäß Artikel </w:t>
            </w:r>
            <w:r w:rsidRPr="00532F3A">
              <w:rPr>
                <w:rFonts w:ascii="Times New Roman" w:hAnsi="Times New Roman"/>
              </w:rPr>
              <w:t>429</w:t>
            </w:r>
            <w:r>
              <w:rPr>
                <w:rFonts w:ascii="Times New Roman" w:hAnsi="Times New Roman"/>
              </w:rPr>
              <w:t xml:space="preserve">a Absatz </w:t>
            </w:r>
            <w:r w:rsidRPr="00532F3A">
              <w:rPr>
                <w:rFonts w:ascii="Times New Roman" w:hAnsi="Times New Roman"/>
              </w:rPr>
              <w:t>8</w:t>
            </w:r>
            <w:r>
              <w:rPr>
                <w:rFonts w:ascii="Times New Roman" w:hAnsi="Times New Roman"/>
              </w:rPr>
              <w:t xml:space="preserve"> und Artikel </w:t>
            </w:r>
            <w:r w:rsidRPr="00532F3A">
              <w:rPr>
                <w:rFonts w:ascii="Times New Roman" w:hAnsi="Times New Roman"/>
              </w:rPr>
              <w:t>275</w:t>
            </w:r>
            <w:r>
              <w:rPr>
                <w:rFonts w:ascii="Times New Roman" w:hAnsi="Times New Roman"/>
              </w:rPr>
              <w:t xml:space="preserve"> CRR nach der Ursprungsrisikomethode bewertet werden.</w:t>
            </w:r>
          </w:p>
          <w:p w:rsidR="00AE2798" w:rsidRPr="00FE002E" w:rsidRDefault="00AE2798" w:rsidP="00FE0FF1">
            <w:pPr>
              <w:pStyle w:val="BodyText1"/>
              <w:spacing w:line="240" w:lineRule="auto"/>
              <w:rPr>
                <w:rFonts w:ascii="Times New Roman" w:hAnsi="Times New Roman"/>
                <w:u w:val="single"/>
              </w:rPr>
            </w:pPr>
          </w:p>
        </w:tc>
      </w:tr>
      <w:tr w:rsidR="00AE2798" w:rsidRPr="00FE002E" w:rsidTr="00FE0FF1">
        <w:trPr>
          <w:trHeight w:val="304"/>
        </w:trPr>
        <w:tc>
          <w:tcPr>
            <w:tcW w:w="1418" w:type="dxa"/>
            <w:tcBorders>
              <w:bottom w:val="single" w:sz="4" w:space="0" w:color="auto"/>
            </w:tcBorders>
          </w:tcPr>
          <w:p w:rsidR="00AE2798" w:rsidRPr="00FE002E" w:rsidRDefault="00AE2798" w:rsidP="00F71081">
            <w:pPr>
              <w:pStyle w:val="BodyText1"/>
              <w:rPr>
                <w:rFonts w:ascii="Times New Roman" w:hAnsi="Times New Roman"/>
                <w:bCs/>
              </w:rPr>
            </w:pPr>
            <w:r>
              <w:rPr>
                <w:rFonts w:ascii="Times New Roman" w:hAnsi="Times New Roman"/>
              </w:rPr>
              <w:t>{</w:t>
            </w:r>
            <w:r w:rsidRPr="00532F3A">
              <w:rPr>
                <w:rFonts w:ascii="Times New Roman" w:hAnsi="Times New Roman"/>
              </w:rPr>
              <w:t>070</w:t>
            </w:r>
            <w:r>
              <w:rPr>
                <w:rFonts w:ascii="Times New Roman" w:hAnsi="Times New Roman"/>
              </w:rPr>
              <w:t>;</w:t>
            </w:r>
            <w:r w:rsidRPr="00532F3A">
              <w:rPr>
                <w:rFonts w:ascii="Times New Roman" w:hAnsi="Times New Roman"/>
              </w:rPr>
              <w:t>010</w:t>
            </w:r>
            <w:r>
              <w:rPr>
                <w:rFonts w:ascii="Times New Roman" w:hAnsi="Times New Roman"/>
              </w:rPr>
              <w:t>}</w:t>
            </w:r>
          </w:p>
        </w:tc>
        <w:tc>
          <w:tcPr>
            <w:tcW w:w="7590" w:type="dxa"/>
            <w:tcBorders>
              <w:bottom w:val="single" w:sz="4" w:space="0" w:color="auto"/>
            </w:tcBorders>
          </w:tcPr>
          <w:p w:rsidR="00AE2798" w:rsidRDefault="005556DC" w:rsidP="00FE0FF1">
            <w:pPr>
              <w:pStyle w:val="BodyText1"/>
              <w:spacing w:line="240" w:lineRule="auto"/>
              <w:rPr>
                <w:rFonts w:ascii="Times New Roman" w:hAnsi="Times New Roman"/>
                <w:bCs/>
              </w:rPr>
            </w:pPr>
            <w:r>
              <w:rPr>
                <w:rFonts w:ascii="Times New Roman" w:hAnsi="Times New Roman"/>
                <w:b/>
              </w:rPr>
              <w:t>(-) Anrechenbare erhaltene Barnachschüsse, aufgerechnet mit dem Derivate-Marktwert</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Artikel </w:t>
            </w:r>
            <w:r w:rsidRPr="00532F3A">
              <w:rPr>
                <w:rFonts w:ascii="Times New Roman" w:hAnsi="Times New Roman"/>
              </w:rPr>
              <w:t>429</w:t>
            </w:r>
            <w:r>
              <w:rPr>
                <w:rFonts w:ascii="Times New Roman" w:hAnsi="Times New Roman"/>
              </w:rPr>
              <w:t xml:space="preserve">a Absatz </w:t>
            </w:r>
            <w:r w:rsidRPr="00532F3A">
              <w:rPr>
                <w:rFonts w:ascii="Times New Roman" w:hAnsi="Times New Roman"/>
              </w:rPr>
              <w:t>3</w:t>
            </w:r>
            <w:r>
              <w:rPr>
                <w:rFonts w:ascii="Times New Roman" w:hAnsi="Times New Roman"/>
              </w:rPr>
              <w:t xml:space="preserve">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Von der Gegenpartei in bar erhaltene Nachschüsse, die gemäß Artikel </w:t>
            </w:r>
            <w:r w:rsidRPr="00532F3A">
              <w:rPr>
                <w:rFonts w:ascii="Times New Roman" w:hAnsi="Times New Roman"/>
              </w:rPr>
              <w:t>429</w:t>
            </w:r>
            <w:r>
              <w:rPr>
                <w:rFonts w:ascii="Times New Roman" w:hAnsi="Times New Roman"/>
              </w:rPr>
              <w:t xml:space="preserve">a Absatz </w:t>
            </w:r>
            <w:r w:rsidRPr="00532F3A">
              <w:rPr>
                <w:rFonts w:ascii="Times New Roman" w:hAnsi="Times New Roman"/>
              </w:rPr>
              <w:t>3</w:t>
            </w:r>
            <w:r>
              <w:rPr>
                <w:rFonts w:ascii="Times New Roman" w:hAnsi="Times New Roman"/>
              </w:rPr>
              <w:t xml:space="preserve"> CRR mit dem dem Wiederbeschaffungswert entsprechenden Anteil der Derivate-Risikoposition aufgerechnet werden dürfen.</w:t>
            </w:r>
          </w:p>
          <w:p w:rsidR="00291B93" w:rsidRDefault="00291B93" w:rsidP="00FE0FF1">
            <w:pPr>
              <w:pStyle w:val="BodyText1"/>
              <w:spacing w:line="240" w:lineRule="auto"/>
              <w:rPr>
                <w:rFonts w:ascii="Times New Roman" w:hAnsi="Times New Roman"/>
                <w:bCs/>
              </w:rPr>
            </w:pPr>
          </w:p>
          <w:p w:rsidR="00291B93" w:rsidRDefault="00291B93" w:rsidP="00FE0FF1">
            <w:pPr>
              <w:pStyle w:val="BodyText1"/>
              <w:spacing w:line="240" w:lineRule="auto"/>
              <w:rPr>
                <w:rFonts w:ascii="Times New Roman" w:hAnsi="Times New Roman"/>
                <w:bCs/>
              </w:rPr>
            </w:pPr>
            <w:r>
              <w:rPr>
                <w:rFonts w:ascii="Times New Roman" w:hAnsi="Times New Roman"/>
              </w:rPr>
              <w:t xml:space="preserve">Im Rahmen eines ausgeschlossenen ZGP-Teils erhaltene Barnachschüsse gemäß Artikel </w:t>
            </w:r>
            <w:r w:rsidRPr="00532F3A">
              <w:rPr>
                <w:rFonts w:ascii="Times New Roman" w:hAnsi="Times New Roman"/>
              </w:rPr>
              <w:t>429</w:t>
            </w:r>
            <w:r>
              <w:rPr>
                <w:rFonts w:ascii="Times New Roman" w:hAnsi="Times New Roman"/>
              </w:rPr>
              <w:t xml:space="preserve"> Absatz </w:t>
            </w:r>
            <w:r w:rsidRPr="00532F3A">
              <w:rPr>
                <w:rFonts w:ascii="Times New Roman" w:hAnsi="Times New Roman"/>
              </w:rPr>
              <w:t>11</w:t>
            </w:r>
            <w:r>
              <w:rPr>
                <w:rFonts w:ascii="Times New Roman" w:hAnsi="Times New Roman"/>
              </w:rPr>
              <w:t xml:space="preserve"> CRR werden nicht ausgewiesen.</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71081">
            <w:pPr>
              <w:pStyle w:val="BodyText1"/>
              <w:rPr>
                <w:rFonts w:ascii="Times New Roman" w:hAnsi="Times New Roman"/>
                <w:bCs/>
              </w:rPr>
            </w:pPr>
            <w:r>
              <w:rPr>
                <w:rFonts w:ascii="Times New Roman" w:hAnsi="Times New Roman"/>
              </w:rPr>
              <w:lastRenderedPageBreak/>
              <w:t>{</w:t>
            </w:r>
            <w:r w:rsidRPr="00532F3A">
              <w:rPr>
                <w:rFonts w:ascii="Times New Roman" w:hAnsi="Times New Roman"/>
              </w:rPr>
              <w:t>080</w:t>
            </w:r>
            <w:r>
              <w:rPr>
                <w:rFonts w:ascii="Times New Roman" w:hAnsi="Times New Roman"/>
              </w:rPr>
              <w:t>;</w:t>
            </w:r>
            <w:r w:rsidRPr="00532F3A">
              <w:rPr>
                <w:rFonts w:ascii="Times New Roman" w:hAnsi="Times New Roman"/>
              </w:rPr>
              <w:t>010</w:t>
            </w:r>
            <w:r>
              <w:rPr>
                <w:rFonts w:ascii="Times New Roman" w:hAnsi="Times New Roman"/>
              </w:rPr>
              <w:t>}</w:t>
            </w:r>
          </w:p>
        </w:tc>
        <w:tc>
          <w:tcPr>
            <w:tcW w:w="7590" w:type="dxa"/>
            <w:tcBorders>
              <w:bottom w:val="single" w:sz="4" w:space="0" w:color="auto"/>
            </w:tcBorders>
          </w:tcPr>
          <w:p w:rsidR="00AE2798" w:rsidRDefault="005556DC" w:rsidP="00FE0FF1">
            <w:pPr>
              <w:pStyle w:val="BodyText1"/>
              <w:spacing w:line="240" w:lineRule="auto"/>
              <w:rPr>
                <w:rFonts w:ascii="Times New Roman" w:hAnsi="Times New Roman"/>
                <w:bCs/>
              </w:rPr>
            </w:pPr>
            <w:r>
              <w:rPr>
                <w:rFonts w:ascii="Times New Roman" w:hAnsi="Times New Roman"/>
                <w:b/>
              </w:rPr>
              <w:t>(-) Aus kundengeclearten Handelsrisikopositionen ausgeschlossener ZGP-Teil (Wiederbeschaffungswert)</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Artikel </w:t>
            </w:r>
            <w:r w:rsidRPr="00532F3A">
              <w:rPr>
                <w:rFonts w:ascii="Times New Roman" w:hAnsi="Times New Roman"/>
              </w:rPr>
              <w:t>429</w:t>
            </w:r>
            <w:r>
              <w:rPr>
                <w:rFonts w:ascii="Times New Roman" w:hAnsi="Times New Roman"/>
              </w:rPr>
              <w:t xml:space="preserve"> Absatz </w:t>
            </w:r>
            <w:r w:rsidRPr="00532F3A">
              <w:rPr>
                <w:rFonts w:ascii="Times New Roman" w:hAnsi="Times New Roman"/>
              </w:rPr>
              <w:t>11</w:t>
            </w:r>
            <w:r>
              <w:rPr>
                <w:rFonts w:ascii="Times New Roman" w:hAnsi="Times New Roman"/>
              </w:rPr>
              <w:t xml:space="preserve">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Der dem Wiederbeschaffungswert entsprechende Anteil der aus kundengeclearten Derivatgeschäften ausgeschlossenen Handelsrisikopositionen gegenüber einer qualifizierten ZGP, sofern diese Positionen die in Artikel </w:t>
            </w:r>
            <w:r w:rsidRPr="00532F3A">
              <w:rPr>
                <w:rFonts w:ascii="Times New Roman" w:hAnsi="Times New Roman"/>
              </w:rPr>
              <w:t>306</w:t>
            </w:r>
            <w:r>
              <w:rPr>
                <w:rFonts w:ascii="Times New Roman" w:hAnsi="Times New Roman"/>
              </w:rPr>
              <w:t xml:space="preserve"> Absatz </w:t>
            </w:r>
            <w:r w:rsidRPr="00532F3A">
              <w:rPr>
                <w:rFonts w:ascii="Times New Roman" w:hAnsi="Times New Roman"/>
              </w:rPr>
              <w:t>1</w:t>
            </w:r>
            <w:r>
              <w:rPr>
                <w:rFonts w:ascii="Times New Roman" w:hAnsi="Times New Roman"/>
              </w:rPr>
              <w:t xml:space="preserve"> Buchstabe c CRR festgelegten Bedingungen erfüllen. Dieser Betrag ist einschließlich der im Rahmen dieses ausgeschlossenen Teils erhaltenen Barnachschüsse auszuweisen.</w:t>
            </w:r>
          </w:p>
          <w:p w:rsidR="00AE2798" w:rsidRDefault="00AE2798" w:rsidP="00FE0FF1">
            <w:pPr>
              <w:pStyle w:val="BodyText1"/>
              <w:spacing w:line="240" w:lineRule="auto"/>
              <w:rPr>
                <w:rFonts w:ascii="Times New Roman" w:hAnsi="Times New Roman"/>
                <w:bCs/>
              </w:rPr>
            </w:pPr>
          </w:p>
          <w:p w:rsidR="00184D76" w:rsidRDefault="00184D76" w:rsidP="00184D76">
            <w:pPr>
              <w:pStyle w:val="BodyText1"/>
              <w:spacing w:line="240" w:lineRule="auto"/>
              <w:rPr>
                <w:rFonts w:ascii="Times New Roman" w:hAnsi="Times New Roman"/>
                <w:bCs/>
              </w:rPr>
            </w:pPr>
            <w:r>
              <w:rPr>
                <w:rFonts w:ascii="Times New Roman" w:hAnsi="Times New Roman"/>
              </w:rPr>
              <w:t>Die Institute weisen den in diesem Feld gemeldeten Betrag auch in {</w:t>
            </w:r>
            <w:r w:rsidRPr="00532F3A">
              <w:rPr>
                <w:rFonts w:ascii="Times New Roman" w:hAnsi="Times New Roman"/>
              </w:rPr>
              <w:t>060</w:t>
            </w:r>
            <w:r>
              <w:rPr>
                <w:rFonts w:ascii="Times New Roman" w:hAnsi="Times New Roman"/>
              </w:rPr>
              <w:t>;</w:t>
            </w:r>
            <w:r w:rsidRPr="00532F3A">
              <w:rPr>
                <w:rFonts w:ascii="Times New Roman" w:hAnsi="Times New Roman"/>
              </w:rPr>
              <w:t>010</w:t>
            </w:r>
            <w:r>
              <w:rPr>
                <w:rFonts w:ascii="Times New Roman" w:hAnsi="Times New Roman"/>
              </w:rPr>
              <w:t>} aus, so als gälte keine Ausnahme.</w:t>
            </w:r>
          </w:p>
          <w:p w:rsidR="00184D76" w:rsidRPr="0084012A" w:rsidRDefault="00184D76"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rPr>
              <w:t>{</w:t>
            </w:r>
            <w:r w:rsidRPr="00532F3A">
              <w:rPr>
                <w:rFonts w:ascii="Times New Roman" w:hAnsi="Times New Roman"/>
              </w:rPr>
              <w:t>090</w:t>
            </w:r>
            <w:r>
              <w:rPr>
                <w:rFonts w:ascii="Times New Roman" w:hAnsi="Times New Roman"/>
              </w:rPr>
              <w:t>;</w:t>
            </w:r>
            <w:r w:rsidRPr="00532F3A">
              <w:rPr>
                <w:rFonts w:ascii="Times New Roman" w:hAnsi="Times New Roman"/>
              </w:rPr>
              <w:t>010</w:t>
            </w:r>
            <w:r>
              <w:rPr>
                <w:rFonts w:ascii="Times New Roman" w:hAnsi="Times New Roman"/>
              </w:rPr>
              <w:t>}</w:t>
            </w:r>
          </w:p>
          <w:p w:rsidR="00AE2798" w:rsidRPr="00FE002E" w:rsidRDefault="00AE2798" w:rsidP="00FE0FF1">
            <w:pPr>
              <w:pStyle w:val="BodyText1"/>
              <w:rPr>
                <w:rFonts w:ascii="Times New Roman" w:hAnsi="Times New Roman"/>
                <w:bCs/>
              </w:rPr>
            </w:pPr>
          </w:p>
        </w:tc>
        <w:tc>
          <w:tcPr>
            <w:tcW w:w="7590" w:type="dxa"/>
            <w:tcBorders>
              <w:bottom w:val="single" w:sz="4" w:space="0" w:color="auto"/>
            </w:tcBorders>
          </w:tcPr>
          <w:p w:rsidR="00AE2798" w:rsidRPr="00FE002E" w:rsidRDefault="00AE2798" w:rsidP="00FE0FF1">
            <w:pPr>
              <w:pStyle w:val="BodyText1"/>
              <w:spacing w:line="240" w:lineRule="auto"/>
              <w:rPr>
                <w:rFonts w:ascii="Times New Roman" w:hAnsi="Times New Roman"/>
                <w:bCs/>
              </w:rPr>
            </w:pPr>
            <w:r>
              <w:rPr>
                <w:rFonts w:ascii="Times New Roman" w:hAnsi="Times New Roman"/>
                <w:b/>
              </w:rPr>
              <w:t>Derivate: Aufschlag nach der Marktbewertungsmethode</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Artikel </w:t>
            </w:r>
            <w:r w:rsidRPr="00532F3A">
              <w:rPr>
                <w:rFonts w:ascii="Times New Roman" w:hAnsi="Times New Roman"/>
              </w:rPr>
              <w:t>429</w:t>
            </w:r>
            <w:r>
              <w:rPr>
                <w:rFonts w:ascii="Times New Roman" w:hAnsi="Times New Roman"/>
              </w:rPr>
              <w:t xml:space="preserve">a, </w:t>
            </w:r>
            <w:r w:rsidRPr="00532F3A">
              <w:rPr>
                <w:rFonts w:ascii="Times New Roman" w:hAnsi="Times New Roman"/>
              </w:rPr>
              <w:t>274</w:t>
            </w:r>
            <w:r>
              <w:rPr>
                <w:rFonts w:ascii="Times New Roman" w:hAnsi="Times New Roman"/>
              </w:rPr>
              <w:t xml:space="preserve">, </w:t>
            </w:r>
            <w:r w:rsidRPr="00532F3A">
              <w:rPr>
                <w:rFonts w:ascii="Times New Roman" w:hAnsi="Times New Roman"/>
              </w:rPr>
              <w:t>295</w:t>
            </w:r>
            <w:r>
              <w:rPr>
                <w:rFonts w:ascii="Times New Roman" w:hAnsi="Times New Roman"/>
              </w:rPr>
              <w:t xml:space="preserve">, </w:t>
            </w:r>
            <w:r w:rsidRPr="00532F3A">
              <w:rPr>
                <w:rFonts w:ascii="Times New Roman" w:hAnsi="Times New Roman"/>
              </w:rPr>
              <w:t>296</w:t>
            </w:r>
            <w:r>
              <w:rPr>
                <w:rFonts w:ascii="Times New Roman" w:hAnsi="Times New Roman"/>
              </w:rPr>
              <w:t xml:space="preserve">, </w:t>
            </w:r>
            <w:r w:rsidRPr="00532F3A">
              <w:rPr>
                <w:rFonts w:ascii="Times New Roman" w:hAnsi="Times New Roman"/>
              </w:rPr>
              <w:t>297</w:t>
            </w:r>
            <w:r>
              <w:rPr>
                <w:rFonts w:ascii="Times New Roman" w:hAnsi="Times New Roman"/>
              </w:rPr>
              <w:t xml:space="preserve">, </w:t>
            </w:r>
            <w:r w:rsidRPr="00532F3A">
              <w:rPr>
                <w:rFonts w:ascii="Times New Roman" w:hAnsi="Times New Roman"/>
              </w:rPr>
              <w:t>298</w:t>
            </w:r>
            <w:r>
              <w:rPr>
                <w:rFonts w:ascii="Times New Roman" w:hAnsi="Times New Roman"/>
              </w:rPr>
              <w:t xml:space="preserve"> und </w:t>
            </w:r>
            <w:r w:rsidRPr="00532F3A">
              <w:rPr>
                <w:rFonts w:ascii="Times New Roman" w:hAnsi="Times New Roman"/>
              </w:rPr>
              <w:t>299</w:t>
            </w:r>
            <w:r>
              <w:rPr>
                <w:rFonts w:ascii="Times New Roman" w:hAnsi="Times New Roman"/>
              </w:rPr>
              <w:t xml:space="preserve"> Absatz </w:t>
            </w:r>
            <w:r w:rsidRPr="00532F3A">
              <w:rPr>
                <w:rFonts w:ascii="Times New Roman" w:hAnsi="Times New Roman"/>
              </w:rPr>
              <w:t>2</w:t>
            </w:r>
            <w:r>
              <w:rPr>
                <w:rFonts w:ascii="Times New Roman" w:hAnsi="Times New Roman"/>
              </w:rPr>
              <w:t xml:space="preserve"> CRR</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In diesem Feld wird der Aufschlag für den potenziellen künftigen Wiederbeschaffungswert der in Anhang II CRR genannten Geschäfte und für Kreditderivate, einschließlich der außerbilanziellen, angegeben, wobei die Berechnung nach der Marktbewertungsmethode (für die in Anhang II CRR genannten Geschäfte gemäß Artikel </w:t>
            </w:r>
            <w:r w:rsidRPr="00532F3A">
              <w:rPr>
                <w:rFonts w:ascii="Times New Roman" w:hAnsi="Times New Roman"/>
              </w:rPr>
              <w:t>274</w:t>
            </w:r>
            <w:r>
              <w:rPr>
                <w:rFonts w:ascii="Times New Roman" w:hAnsi="Times New Roman"/>
              </w:rPr>
              <w:t xml:space="preserve"> CRR und für Kreditderivate gemäß Artikel </w:t>
            </w:r>
            <w:r w:rsidRPr="00532F3A">
              <w:rPr>
                <w:rFonts w:ascii="Times New Roman" w:hAnsi="Times New Roman"/>
              </w:rPr>
              <w:t>299</w:t>
            </w:r>
            <w:r>
              <w:rPr>
                <w:rFonts w:ascii="Times New Roman" w:hAnsi="Times New Roman"/>
              </w:rPr>
              <w:t xml:space="preserve"> Absatz </w:t>
            </w:r>
            <w:r w:rsidRPr="00532F3A">
              <w:rPr>
                <w:rFonts w:ascii="Times New Roman" w:hAnsi="Times New Roman"/>
              </w:rPr>
              <w:t>2</w:t>
            </w:r>
            <w:r>
              <w:rPr>
                <w:rFonts w:ascii="Times New Roman" w:hAnsi="Times New Roman"/>
              </w:rPr>
              <w:t xml:space="preserve"> CRR) durchgeführt wird und die Netting-Regeln gemäß Artikel </w:t>
            </w:r>
            <w:r w:rsidRPr="00532F3A">
              <w:rPr>
                <w:rFonts w:ascii="Times New Roman" w:hAnsi="Times New Roman"/>
              </w:rPr>
              <w:t>429</w:t>
            </w:r>
            <w:r>
              <w:rPr>
                <w:rFonts w:ascii="Times New Roman" w:hAnsi="Times New Roman"/>
              </w:rPr>
              <w:t xml:space="preserve">a Absatz </w:t>
            </w:r>
            <w:r w:rsidRPr="00532F3A">
              <w:rPr>
                <w:rFonts w:ascii="Times New Roman" w:hAnsi="Times New Roman"/>
              </w:rPr>
              <w:t>1</w:t>
            </w:r>
            <w:r>
              <w:rPr>
                <w:rFonts w:ascii="Times New Roman" w:hAnsi="Times New Roman"/>
              </w:rPr>
              <w:t xml:space="preserve"> CRR angewandt werden. Bei der Ermittlung des Risikopositionswerts dieser Geschäfte dürfen die Institute die Auswirkungen von Schuldumwandlungsverträgen und sonstigen Nettingvereinbarungen gemäß Artikel </w:t>
            </w:r>
            <w:r w:rsidRPr="00532F3A">
              <w:rPr>
                <w:rFonts w:ascii="Times New Roman" w:hAnsi="Times New Roman"/>
              </w:rPr>
              <w:t>295</w:t>
            </w:r>
            <w:r>
              <w:rPr>
                <w:rFonts w:ascii="Times New Roman" w:hAnsi="Times New Roman"/>
              </w:rPr>
              <w:t xml:space="preserve"> CRR berücksichtigen. Dies gilt nicht für produktübergreifendes Netting. Die Institute dürfen jedoch innerhalb der in Artikel </w:t>
            </w:r>
            <w:r w:rsidRPr="00532F3A">
              <w:rPr>
                <w:rFonts w:ascii="Times New Roman" w:hAnsi="Times New Roman"/>
              </w:rPr>
              <w:t>272</w:t>
            </w:r>
            <w:r>
              <w:rPr>
                <w:rFonts w:ascii="Times New Roman" w:hAnsi="Times New Roman"/>
              </w:rPr>
              <w:t xml:space="preserve"> Nummer </w:t>
            </w:r>
            <w:r w:rsidRPr="00532F3A">
              <w:rPr>
                <w:rFonts w:ascii="Times New Roman" w:hAnsi="Times New Roman"/>
              </w:rPr>
              <w:t>25</w:t>
            </w:r>
            <w:r>
              <w:rPr>
                <w:rFonts w:ascii="Times New Roman" w:hAnsi="Times New Roman"/>
              </w:rPr>
              <w:t xml:space="preserve"> Buchstabe c CRR genannten Produktkategorie sowie Kreditderivate aufrechnen, wenn diese einer in Artikel </w:t>
            </w:r>
            <w:r w:rsidRPr="00532F3A">
              <w:rPr>
                <w:rFonts w:ascii="Times New Roman" w:hAnsi="Times New Roman"/>
              </w:rPr>
              <w:t>295</w:t>
            </w:r>
            <w:r>
              <w:rPr>
                <w:rFonts w:ascii="Times New Roman" w:hAnsi="Times New Roman"/>
              </w:rPr>
              <w:t xml:space="preserve"> Buchstabe c CRR genannten produktübergreifenden vertraglichen Nettingvereinbarungen unterliegen. </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Gemäß Artikel </w:t>
            </w:r>
            <w:r w:rsidRPr="00532F3A">
              <w:rPr>
                <w:rFonts w:ascii="Times New Roman" w:hAnsi="Times New Roman"/>
              </w:rPr>
              <w:t>429</w:t>
            </w:r>
            <w:r>
              <w:rPr>
                <w:rFonts w:ascii="Times New Roman" w:hAnsi="Times New Roman"/>
              </w:rPr>
              <w:t xml:space="preserve">a Absatz </w:t>
            </w:r>
            <w:r w:rsidRPr="00532F3A">
              <w:rPr>
                <w:rFonts w:ascii="Times New Roman" w:hAnsi="Times New Roman"/>
              </w:rPr>
              <w:t>1</w:t>
            </w:r>
            <w:r>
              <w:rPr>
                <w:rFonts w:ascii="Times New Roman" w:hAnsi="Times New Roman"/>
              </w:rPr>
              <w:t xml:space="preserve"> Unterabsatz </w:t>
            </w:r>
            <w:r w:rsidRPr="00532F3A">
              <w:rPr>
                <w:rFonts w:ascii="Times New Roman" w:hAnsi="Times New Roman"/>
              </w:rPr>
              <w:t>2</w:t>
            </w:r>
            <w:r>
              <w:rPr>
                <w:rFonts w:ascii="Times New Roman" w:hAnsi="Times New Roman"/>
              </w:rPr>
              <w:t xml:space="preserve"> CRR wenden die Institute bei der Ermittlung des potenziellen künftigen Wiederbeschaffungswerts von Kreditderivaten die in Artikel </w:t>
            </w:r>
            <w:r w:rsidRPr="00532F3A">
              <w:rPr>
                <w:rFonts w:ascii="Times New Roman" w:hAnsi="Times New Roman"/>
              </w:rPr>
              <w:t>299</w:t>
            </w:r>
            <w:r>
              <w:rPr>
                <w:rFonts w:ascii="Times New Roman" w:hAnsi="Times New Roman"/>
              </w:rPr>
              <w:t xml:space="preserve"> Absatz </w:t>
            </w:r>
            <w:r w:rsidRPr="00532F3A">
              <w:rPr>
                <w:rFonts w:ascii="Times New Roman" w:hAnsi="Times New Roman"/>
              </w:rPr>
              <w:t>2</w:t>
            </w:r>
            <w:r>
              <w:rPr>
                <w:rFonts w:ascii="Times New Roman" w:hAnsi="Times New Roman"/>
              </w:rPr>
              <w:t xml:space="preserve"> Buchstabe a CRR niedergelegten Grundsätze auf all ihre Kreditderivate, nicht nur auf die im Handelsbuch geführten, an. </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rPr>
            </w:pPr>
            <w:r>
              <w:rPr>
                <w:rFonts w:ascii="Times New Roman" w:hAnsi="Times New Roman"/>
              </w:rPr>
              <w:t xml:space="preserve">Die Institute weisen in diesem Feld keine Geschäfte aus, die gemäß Artikel </w:t>
            </w:r>
            <w:r w:rsidRPr="00532F3A">
              <w:rPr>
                <w:rFonts w:ascii="Times New Roman" w:hAnsi="Times New Roman"/>
              </w:rPr>
              <w:t>429</w:t>
            </w:r>
            <w:r>
              <w:rPr>
                <w:rFonts w:ascii="Times New Roman" w:hAnsi="Times New Roman"/>
              </w:rPr>
              <w:t xml:space="preserve">a Absatz </w:t>
            </w:r>
            <w:r w:rsidRPr="00532F3A">
              <w:rPr>
                <w:rFonts w:ascii="Times New Roman" w:hAnsi="Times New Roman"/>
              </w:rPr>
              <w:t>8</w:t>
            </w:r>
            <w:r>
              <w:rPr>
                <w:rFonts w:ascii="Times New Roman" w:hAnsi="Times New Roman"/>
              </w:rPr>
              <w:t xml:space="preserve"> und Artikel </w:t>
            </w:r>
            <w:r w:rsidRPr="00532F3A">
              <w:rPr>
                <w:rFonts w:ascii="Times New Roman" w:hAnsi="Times New Roman"/>
              </w:rPr>
              <w:t>275</w:t>
            </w:r>
            <w:r>
              <w:rPr>
                <w:rFonts w:ascii="Times New Roman" w:hAnsi="Times New Roman"/>
              </w:rPr>
              <w:t xml:space="preserve"> CRR nach der Ursprungsrisikomethode bewertet werden.</w:t>
            </w:r>
          </w:p>
          <w:p w:rsidR="00AE2798" w:rsidRPr="00FE002E" w:rsidRDefault="00AE2798" w:rsidP="00FE0FF1">
            <w:pPr>
              <w:pStyle w:val="BodyText1"/>
              <w:spacing w:line="240" w:lineRule="auto"/>
              <w:rPr>
                <w:rFonts w:ascii="Times New Roman" w:hAnsi="Times New Roman"/>
                <w:bCs/>
                <w:u w:val="single"/>
              </w:rPr>
            </w:pPr>
          </w:p>
        </w:tc>
      </w:tr>
      <w:tr w:rsidR="00AE2798" w:rsidRPr="00FE002E" w:rsidTr="00FE0FF1">
        <w:trPr>
          <w:trHeight w:val="304"/>
        </w:trPr>
        <w:tc>
          <w:tcPr>
            <w:tcW w:w="1418" w:type="dxa"/>
          </w:tcPr>
          <w:p w:rsidR="00AE2798" w:rsidRPr="00FE002E" w:rsidRDefault="00AE2798" w:rsidP="00F71081">
            <w:pPr>
              <w:pStyle w:val="BodyText1"/>
              <w:rPr>
                <w:rFonts w:ascii="Times New Roman" w:hAnsi="Times New Roman"/>
                <w:bCs/>
              </w:rPr>
            </w:pPr>
            <w:r>
              <w:rPr>
                <w:rFonts w:ascii="Times New Roman" w:hAnsi="Times New Roman"/>
              </w:rPr>
              <w:t>{</w:t>
            </w:r>
            <w:r w:rsidRPr="00532F3A">
              <w:rPr>
                <w:rFonts w:ascii="Times New Roman" w:hAnsi="Times New Roman"/>
              </w:rPr>
              <w:t>100</w:t>
            </w:r>
            <w:r>
              <w:rPr>
                <w:rFonts w:ascii="Times New Roman" w:hAnsi="Times New Roman"/>
              </w:rPr>
              <w:t>;</w:t>
            </w:r>
            <w:r w:rsidRPr="00532F3A">
              <w:rPr>
                <w:rFonts w:ascii="Times New Roman" w:hAnsi="Times New Roman"/>
              </w:rPr>
              <w:t>010</w:t>
            </w:r>
            <w:r>
              <w:rPr>
                <w:rFonts w:ascii="Times New Roman" w:hAnsi="Times New Roman"/>
              </w:rPr>
              <w:t>}</w:t>
            </w:r>
          </w:p>
        </w:tc>
        <w:tc>
          <w:tcPr>
            <w:tcW w:w="7590" w:type="dxa"/>
          </w:tcPr>
          <w:p w:rsidR="00AE2798" w:rsidRDefault="005556DC" w:rsidP="00FE0FF1">
            <w:pPr>
              <w:pStyle w:val="BodyText1"/>
              <w:spacing w:line="240" w:lineRule="auto"/>
              <w:rPr>
                <w:rFonts w:ascii="Times New Roman" w:hAnsi="Times New Roman"/>
                <w:bCs/>
              </w:rPr>
            </w:pPr>
            <w:r>
              <w:rPr>
                <w:rFonts w:ascii="Times New Roman" w:hAnsi="Times New Roman"/>
                <w:b/>
              </w:rPr>
              <w:t>(-) Aus kundengeclearten Handelsrisikopositionen ausgeschlossener ZGP-Teil (potenzieller künftiger Wiederbeschaffungswert)</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Artikel </w:t>
            </w:r>
            <w:r w:rsidRPr="00532F3A">
              <w:rPr>
                <w:rFonts w:ascii="Times New Roman" w:hAnsi="Times New Roman"/>
              </w:rPr>
              <w:t>429</w:t>
            </w:r>
            <w:r>
              <w:rPr>
                <w:rFonts w:ascii="Times New Roman" w:hAnsi="Times New Roman"/>
              </w:rPr>
              <w:t xml:space="preserve"> Absatz </w:t>
            </w:r>
            <w:r w:rsidRPr="00532F3A">
              <w:rPr>
                <w:rFonts w:ascii="Times New Roman" w:hAnsi="Times New Roman"/>
              </w:rPr>
              <w:t>11</w:t>
            </w:r>
            <w:r>
              <w:rPr>
                <w:rFonts w:ascii="Times New Roman" w:hAnsi="Times New Roman"/>
              </w:rPr>
              <w:t xml:space="preserve">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Der potenzielle künftige Wiederbeschaffungswert der aus den kundengeclearten Derivatgeschäften ausgeschlossenen Handelsrisikopositionen gegenüber einer qualifizierten ZGP, sofern diese Positionen die in Artikel </w:t>
            </w:r>
            <w:r w:rsidRPr="00532F3A">
              <w:rPr>
                <w:rFonts w:ascii="Times New Roman" w:hAnsi="Times New Roman"/>
              </w:rPr>
              <w:t>306</w:t>
            </w:r>
            <w:r>
              <w:rPr>
                <w:rFonts w:ascii="Times New Roman" w:hAnsi="Times New Roman"/>
              </w:rPr>
              <w:t xml:space="preserve"> Absatz </w:t>
            </w:r>
            <w:r w:rsidRPr="00532F3A">
              <w:rPr>
                <w:rFonts w:ascii="Times New Roman" w:hAnsi="Times New Roman"/>
              </w:rPr>
              <w:t>1</w:t>
            </w:r>
            <w:r>
              <w:rPr>
                <w:rFonts w:ascii="Times New Roman" w:hAnsi="Times New Roman"/>
              </w:rPr>
              <w:t xml:space="preserve"> Buchstabe c CRR festgelegten Bedingungen erfüllen.</w:t>
            </w:r>
          </w:p>
          <w:p w:rsidR="001B3BF0" w:rsidRDefault="001B3BF0" w:rsidP="00FE0FF1">
            <w:pPr>
              <w:pStyle w:val="BodyText1"/>
              <w:spacing w:line="240" w:lineRule="auto"/>
              <w:rPr>
                <w:rFonts w:ascii="Times New Roman" w:hAnsi="Times New Roman"/>
                <w:bCs/>
              </w:rPr>
            </w:pPr>
          </w:p>
          <w:p w:rsidR="001B3BF0" w:rsidRDefault="001B3BF0" w:rsidP="00FE0FF1">
            <w:pPr>
              <w:pStyle w:val="BodyText1"/>
              <w:spacing w:line="240" w:lineRule="auto"/>
              <w:rPr>
                <w:rFonts w:ascii="Times New Roman" w:hAnsi="Times New Roman"/>
                <w:bCs/>
              </w:rPr>
            </w:pPr>
            <w:r>
              <w:rPr>
                <w:rFonts w:ascii="Times New Roman" w:hAnsi="Times New Roman"/>
              </w:rPr>
              <w:t>Die Institute weisen den in diesem Feld gemeldeten Betrag auch in {</w:t>
            </w:r>
            <w:r w:rsidRPr="00532F3A">
              <w:rPr>
                <w:rFonts w:ascii="Times New Roman" w:hAnsi="Times New Roman"/>
              </w:rPr>
              <w:t>090</w:t>
            </w:r>
            <w:r>
              <w:rPr>
                <w:rFonts w:ascii="Times New Roman" w:hAnsi="Times New Roman"/>
              </w:rPr>
              <w:t>;</w:t>
            </w:r>
            <w:r w:rsidRPr="00532F3A">
              <w:rPr>
                <w:rFonts w:ascii="Times New Roman" w:hAnsi="Times New Roman"/>
              </w:rPr>
              <w:t>010</w:t>
            </w:r>
            <w:r>
              <w:rPr>
                <w:rFonts w:ascii="Times New Roman" w:hAnsi="Times New Roman"/>
              </w:rPr>
              <w:t>} aus, so als gälte keine Ausnahme.</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Pr>
                <w:rFonts w:ascii="Times New Roman" w:hAnsi="Times New Roman"/>
              </w:rPr>
              <w:t>{</w:t>
            </w:r>
            <w:r w:rsidRPr="00532F3A">
              <w:rPr>
                <w:rFonts w:ascii="Times New Roman" w:hAnsi="Times New Roman"/>
              </w:rPr>
              <w:t>110</w:t>
            </w:r>
            <w:r>
              <w:rPr>
                <w:rFonts w:ascii="Times New Roman" w:hAnsi="Times New Roman"/>
              </w:rPr>
              <w:t>;</w:t>
            </w:r>
            <w:r w:rsidRPr="00532F3A">
              <w:rPr>
                <w:rFonts w:ascii="Times New Roman" w:hAnsi="Times New Roman"/>
              </w:rPr>
              <w:t>010</w:t>
            </w:r>
            <w:r>
              <w:rPr>
                <w:rFonts w:ascii="Times New Roman" w:hAnsi="Times New Roman"/>
              </w:rPr>
              <w:t>}</w:t>
            </w:r>
          </w:p>
          <w:p w:rsidR="00AE2798" w:rsidRPr="00FE002E" w:rsidRDefault="00AE2798" w:rsidP="00FE0FF1">
            <w:pPr>
              <w:pStyle w:val="BodyText1"/>
              <w:rPr>
                <w:rFonts w:ascii="Times New Roman" w:hAnsi="Times New Roman"/>
                <w:bCs/>
              </w:rPr>
            </w:pPr>
          </w:p>
        </w:tc>
        <w:tc>
          <w:tcPr>
            <w:tcW w:w="7590" w:type="dxa"/>
          </w:tcPr>
          <w:p w:rsidR="00AE2798" w:rsidRPr="00FE002E" w:rsidRDefault="00AE2798" w:rsidP="00FE0FF1">
            <w:pPr>
              <w:pStyle w:val="BodyText1"/>
              <w:spacing w:line="240" w:lineRule="auto"/>
              <w:rPr>
                <w:rFonts w:ascii="Times New Roman" w:hAnsi="Times New Roman"/>
                <w:bCs/>
              </w:rPr>
            </w:pPr>
            <w:r>
              <w:rPr>
                <w:rFonts w:ascii="Times New Roman" w:hAnsi="Times New Roman"/>
                <w:b/>
              </w:rPr>
              <w:t>Abweichende Regelung für Derivate: Ursprungsrisikomethode</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Artikel </w:t>
            </w:r>
            <w:r w:rsidRPr="00532F3A">
              <w:rPr>
                <w:rFonts w:ascii="Times New Roman" w:hAnsi="Times New Roman"/>
              </w:rPr>
              <w:t>429</w:t>
            </w:r>
            <w:r>
              <w:rPr>
                <w:rFonts w:ascii="Times New Roman" w:hAnsi="Times New Roman"/>
              </w:rPr>
              <w:t xml:space="preserve">a Absatz </w:t>
            </w:r>
            <w:r w:rsidRPr="00532F3A">
              <w:rPr>
                <w:rFonts w:ascii="Times New Roman" w:hAnsi="Times New Roman"/>
              </w:rPr>
              <w:t>8</w:t>
            </w:r>
            <w:r>
              <w:rPr>
                <w:rFonts w:ascii="Times New Roman" w:hAnsi="Times New Roman"/>
              </w:rPr>
              <w:t xml:space="preserve"> und Artikel </w:t>
            </w:r>
            <w:r w:rsidRPr="00532F3A">
              <w:rPr>
                <w:rFonts w:ascii="Times New Roman" w:hAnsi="Times New Roman"/>
              </w:rPr>
              <w:t>275</w:t>
            </w:r>
            <w:r>
              <w:rPr>
                <w:rFonts w:ascii="Times New Roman" w:hAnsi="Times New Roman"/>
              </w:rPr>
              <w:t xml:space="preserve"> CRR</w:t>
            </w:r>
          </w:p>
          <w:p w:rsidR="00AE2798" w:rsidRPr="00FE002E"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lastRenderedPageBreak/>
              <w:t xml:space="preserve">In diesem Feld wird die nach der Ursprungsrisikomethode in Artikel </w:t>
            </w:r>
            <w:r w:rsidRPr="00532F3A">
              <w:rPr>
                <w:rFonts w:ascii="Times New Roman" w:hAnsi="Times New Roman"/>
              </w:rPr>
              <w:t>275</w:t>
            </w:r>
            <w:r>
              <w:rPr>
                <w:rFonts w:ascii="Times New Roman" w:hAnsi="Times New Roman"/>
              </w:rPr>
              <w:t xml:space="preserve"> CRR berechnete Risikopositionsmessgröße der in Anhang II Nummern </w:t>
            </w:r>
            <w:r w:rsidRPr="00532F3A">
              <w:rPr>
                <w:rFonts w:ascii="Times New Roman" w:hAnsi="Times New Roman"/>
              </w:rPr>
              <w:t>1</w:t>
            </w:r>
            <w:r>
              <w:rPr>
                <w:rFonts w:ascii="Times New Roman" w:hAnsi="Times New Roman"/>
              </w:rPr>
              <w:t xml:space="preserve"> und </w:t>
            </w:r>
            <w:r w:rsidRPr="00532F3A">
              <w:rPr>
                <w:rFonts w:ascii="Times New Roman" w:hAnsi="Times New Roman"/>
              </w:rPr>
              <w:t>2</w:t>
            </w:r>
            <w:r>
              <w:rPr>
                <w:rFonts w:ascii="Times New Roman" w:hAnsi="Times New Roman"/>
              </w:rPr>
              <w:t xml:space="preserve"> CRR genannten Geschäfte angegeben.</w:t>
            </w:r>
          </w:p>
          <w:p w:rsidR="00AE2798" w:rsidRDefault="00AE2798" w:rsidP="00FE0FF1">
            <w:pPr>
              <w:pStyle w:val="BodyText1"/>
              <w:spacing w:line="240" w:lineRule="auto"/>
              <w:rPr>
                <w:rFonts w:ascii="Times New Roman" w:hAnsi="Times New Roman"/>
                <w:bCs/>
              </w:rPr>
            </w:pPr>
          </w:p>
          <w:p w:rsidR="00AE2798" w:rsidRPr="00FE002E" w:rsidRDefault="003F598C" w:rsidP="00FE0FF1">
            <w:pPr>
              <w:pStyle w:val="BodyText1"/>
              <w:spacing w:line="240" w:lineRule="auto"/>
              <w:rPr>
                <w:rFonts w:ascii="Times New Roman" w:hAnsi="Times New Roman"/>
                <w:bCs/>
              </w:rPr>
            </w:pPr>
            <w:r>
              <w:rPr>
                <w:rFonts w:ascii="Times New Roman" w:hAnsi="Times New Roman"/>
              </w:rPr>
              <w:t xml:space="preserve">Gemäß Artikel </w:t>
            </w:r>
            <w:r w:rsidRPr="00532F3A">
              <w:rPr>
                <w:rFonts w:ascii="Times New Roman" w:hAnsi="Times New Roman"/>
              </w:rPr>
              <w:t>429</w:t>
            </w:r>
            <w:r>
              <w:rPr>
                <w:rFonts w:ascii="Times New Roman" w:hAnsi="Times New Roman"/>
              </w:rPr>
              <w:t xml:space="preserve">a Absatz </w:t>
            </w:r>
            <w:r w:rsidRPr="00532F3A">
              <w:rPr>
                <w:rFonts w:ascii="Times New Roman" w:hAnsi="Times New Roman"/>
              </w:rPr>
              <w:t>8</w:t>
            </w:r>
            <w:r>
              <w:rPr>
                <w:rFonts w:ascii="Times New Roman" w:hAnsi="Times New Roman"/>
              </w:rPr>
              <w:t xml:space="preserve"> CRR verringern Institute, die die Ursprungsrisikomethode anwenden, die Risikopositionsmessgröße nicht um den Betrag der in bar erhaltenen Nachschüsse.</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Institute, die die Ursprungsrisikomethode nicht anwenden, füllen dieses Feld nicht aus.</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rPr>
            </w:pPr>
            <w:r>
              <w:rPr>
                <w:rFonts w:ascii="Times New Roman" w:hAnsi="Times New Roman"/>
              </w:rPr>
              <w:t xml:space="preserve">Die Institute weisen in diesem Feld keine Geschäfte aus, die gemäß Artikel </w:t>
            </w:r>
            <w:r w:rsidRPr="00532F3A">
              <w:rPr>
                <w:rFonts w:ascii="Times New Roman" w:hAnsi="Times New Roman"/>
              </w:rPr>
              <w:t>429</w:t>
            </w:r>
            <w:r>
              <w:rPr>
                <w:rFonts w:ascii="Times New Roman" w:hAnsi="Times New Roman"/>
              </w:rPr>
              <w:t xml:space="preserve">a Absatz </w:t>
            </w:r>
            <w:r w:rsidRPr="00532F3A">
              <w:rPr>
                <w:rFonts w:ascii="Times New Roman" w:hAnsi="Times New Roman"/>
              </w:rPr>
              <w:t>1</w:t>
            </w:r>
            <w:r>
              <w:rPr>
                <w:rFonts w:ascii="Times New Roman" w:hAnsi="Times New Roman"/>
              </w:rPr>
              <w:t xml:space="preserve"> und Artikel </w:t>
            </w:r>
            <w:r w:rsidRPr="00532F3A">
              <w:rPr>
                <w:rFonts w:ascii="Times New Roman" w:hAnsi="Times New Roman"/>
              </w:rPr>
              <w:t>274</w:t>
            </w:r>
            <w:r>
              <w:rPr>
                <w:rFonts w:ascii="Times New Roman" w:hAnsi="Times New Roman"/>
              </w:rPr>
              <w:t xml:space="preserve"> CRR nach der Marktbewertungsmethode bewertet werden.</w:t>
            </w:r>
          </w:p>
          <w:p w:rsidR="00AE2798" w:rsidRPr="00FE002E" w:rsidRDefault="00AE2798" w:rsidP="00FE0FF1">
            <w:pPr>
              <w:pStyle w:val="BodyText1"/>
              <w:spacing w:line="240" w:lineRule="auto"/>
              <w:rPr>
                <w:rFonts w:ascii="Times New Roman" w:hAnsi="Times New Roman"/>
                <w:bCs/>
                <w:u w:val="single"/>
              </w:rPr>
            </w:pPr>
          </w:p>
        </w:tc>
      </w:tr>
      <w:tr w:rsidR="00AE2798" w:rsidRPr="00FE002E" w:rsidTr="00FE0FF1">
        <w:trPr>
          <w:trHeight w:val="304"/>
        </w:trPr>
        <w:tc>
          <w:tcPr>
            <w:tcW w:w="1418" w:type="dxa"/>
          </w:tcPr>
          <w:p w:rsidR="00AE2798" w:rsidRPr="00FE002E" w:rsidRDefault="00AE2798" w:rsidP="00F71081">
            <w:pPr>
              <w:pStyle w:val="BodyText1"/>
              <w:rPr>
                <w:rFonts w:ascii="Times New Roman" w:hAnsi="Times New Roman"/>
                <w:bCs/>
              </w:rPr>
            </w:pPr>
            <w:r>
              <w:rPr>
                <w:rFonts w:ascii="Times New Roman" w:hAnsi="Times New Roman"/>
              </w:rPr>
              <w:lastRenderedPageBreak/>
              <w:t>{</w:t>
            </w:r>
            <w:r w:rsidRPr="00532F3A">
              <w:rPr>
                <w:rFonts w:ascii="Times New Roman" w:hAnsi="Times New Roman"/>
              </w:rPr>
              <w:t>120</w:t>
            </w:r>
            <w:r>
              <w:rPr>
                <w:rFonts w:ascii="Times New Roman" w:hAnsi="Times New Roman"/>
              </w:rPr>
              <w:t>;</w:t>
            </w:r>
            <w:r w:rsidRPr="00532F3A">
              <w:rPr>
                <w:rFonts w:ascii="Times New Roman" w:hAnsi="Times New Roman"/>
              </w:rPr>
              <w:t>010</w:t>
            </w:r>
            <w:r>
              <w:rPr>
                <w:rFonts w:ascii="Times New Roman" w:hAnsi="Times New Roman"/>
              </w:rPr>
              <w:t>}</w:t>
            </w:r>
          </w:p>
        </w:tc>
        <w:tc>
          <w:tcPr>
            <w:tcW w:w="7590" w:type="dxa"/>
          </w:tcPr>
          <w:p w:rsidR="00AE2798" w:rsidRDefault="00422C76" w:rsidP="00FE0FF1">
            <w:pPr>
              <w:pStyle w:val="BodyText1"/>
              <w:spacing w:line="240" w:lineRule="auto"/>
              <w:rPr>
                <w:rFonts w:ascii="Times New Roman" w:hAnsi="Times New Roman"/>
                <w:bCs/>
              </w:rPr>
            </w:pPr>
            <w:r>
              <w:rPr>
                <w:rFonts w:ascii="Times New Roman" w:hAnsi="Times New Roman"/>
                <w:b/>
              </w:rPr>
              <w:t>(-) Aus kundengeclearten Handelsrisikopositionen ausgeschlossener ZGP-Teil (Ursprungsrisikomethode)</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Artikel </w:t>
            </w:r>
            <w:r w:rsidRPr="00532F3A">
              <w:rPr>
                <w:rFonts w:ascii="Times New Roman" w:hAnsi="Times New Roman"/>
              </w:rPr>
              <w:t>429</w:t>
            </w:r>
            <w:r>
              <w:rPr>
                <w:rFonts w:ascii="Times New Roman" w:hAnsi="Times New Roman"/>
              </w:rPr>
              <w:t xml:space="preserve"> Absatz </w:t>
            </w:r>
            <w:r w:rsidRPr="00532F3A">
              <w:rPr>
                <w:rFonts w:ascii="Times New Roman" w:hAnsi="Times New Roman"/>
              </w:rPr>
              <w:t>11</w:t>
            </w:r>
            <w:r>
              <w:rPr>
                <w:rFonts w:ascii="Times New Roman" w:hAnsi="Times New Roman"/>
              </w:rPr>
              <w:t xml:space="preserve">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Der aus den kundengeclearten Handelsrisikopositionen ausgeschlossene ZGP-Teil bei Anwendung der Ursprungsrisikomethode nach Artikel </w:t>
            </w:r>
            <w:r w:rsidRPr="00532F3A">
              <w:rPr>
                <w:rFonts w:ascii="Times New Roman" w:hAnsi="Times New Roman"/>
              </w:rPr>
              <w:t>275</w:t>
            </w:r>
            <w:r>
              <w:rPr>
                <w:rFonts w:ascii="Times New Roman" w:hAnsi="Times New Roman"/>
              </w:rPr>
              <w:t xml:space="preserve"> CRR, sofern diese Positionen die in Artikel </w:t>
            </w:r>
            <w:r w:rsidRPr="00532F3A">
              <w:rPr>
                <w:rFonts w:ascii="Times New Roman" w:hAnsi="Times New Roman"/>
              </w:rPr>
              <w:t>306</w:t>
            </w:r>
            <w:r>
              <w:rPr>
                <w:rFonts w:ascii="Times New Roman" w:hAnsi="Times New Roman"/>
              </w:rPr>
              <w:t xml:space="preserve"> Absatz </w:t>
            </w:r>
            <w:r w:rsidRPr="00532F3A">
              <w:rPr>
                <w:rFonts w:ascii="Times New Roman" w:hAnsi="Times New Roman"/>
              </w:rPr>
              <w:t>1</w:t>
            </w:r>
            <w:r>
              <w:rPr>
                <w:rFonts w:ascii="Times New Roman" w:hAnsi="Times New Roman"/>
              </w:rPr>
              <w:t xml:space="preserve"> Buchstabe c CRR festgelegten Bedingungen erfüllen.</w:t>
            </w:r>
          </w:p>
          <w:p w:rsidR="001B3BF0" w:rsidRDefault="001B3BF0" w:rsidP="00FE0FF1">
            <w:pPr>
              <w:pStyle w:val="BodyText1"/>
              <w:spacing w:line="240" w:lineRule="auto"/>
              <w:rPr>
                <w:rFonts w:ascii="Times New Roman" w:hAnsi="Times New Roman"/>
                <w:bCs/>
              </w:rPr>
            </w:pPr>
          </w:p>
          <w:p w:rsidR="001B3BF0" w:rsidRDefault="001B3BF0" w:rsidP="00FE0FF1">
            <w:pPr>
              <w:pStyle w:val="BodyText1"/>
              <w:spacing w:line="240" w:lineRule="auto"/>
              <w:rPr>
                <w:rFonts w:ascii="Times New Roman" w:hAnsi="Times New Roman"/>
                <w:bCs/>
              </w:rPr>
            </w:pPr>
            <w:r>
              <w:rPr>
                <w:rFonts w:ascii="Times New Roman" w:hAnsi="Times New Roman"/>
              </w:rPr>
              <w:t>Die Institute weisen den in diesem Feld gemeldeten Betrag auch in {</w:t>
            </w:r>
            <w:r w:rsidRPr="00532F3A">
              <w:rPr>
                <w:rFonts w:ascii="Times New Roman" w:hAnsi="Times New Roman"/>
              </w:rPr>
              <w:t>110</w:t>
            </w:r>
            <w:r>
              <w:rPr>
                <w:rFonts w:ascii="Times New Roman" w:hAnsi="Times New Roman"/>
              </w:rPr>
              <w:t>;</w:t>
            </w:r>
            <w:r w:rsidRPr="00532F3A">
              <w:rPr>
                <w:rFonts w:ascii="Times New Roman" w:hAnsi="Times New Roman"/>
              </w:rPr>
              <w:t>010</w:t>
            </w:r>
            <w:r>
              <w:rPr>
                <w:rFonts w:ascii="Times New Roman" w:hAnsi="Times New Roman"/>
              </w:rPr>
              <w:t>} aus, so als gälte keine Ausnahme.</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Pr>
                <w:rFonts w:ascii="Times New Roman" w:hAnsi="Times New Roman"/>
              </w:rPr>
              <w:t>{</w:t>
            </w:r>
            <w:r w:rsidRPr="00532F3A">
              <w:rPr>
                <w:rFonts w:ascii="Times New Roman" w:hAnsi="Times New Roman"/>
              </w:rPr>
              <w:t>130</w:t>
            </w:r>
            <w:r>
              <w:rPr>
                <w:rFonts w:ascii="Times New Roman" w:hAnsi="Times New Roman"/>
              </w:rPr>
              <w:t>;</w:t>
            </w:r>
            <w:r w:rsidRPr="00532F3A">
              <w:rPr>
                <w:rFonts w:ascii="Times New Roman" w:hAnsi="Times New Roman"/>
              </w:rPr>
              <w:t>010</w:t>
            </w:r>
            <w:r>
              <w:rPr>
                <w:rFonts w:ascii="Times New Roman" w:hAnsi="Times New Roman"/>
              </w:rPr>
              <w:t>}</w:t>
            </w:r>
          </w:p>
        </w:tc>
        <w:tc>
          <w:tcPr>
            <w:tcW w:w="7590" w:type="dxa"/>
          </w:tcPr>
          <w:p w:rsidR="00AE2798" w:rsidRDefault="00AE2798" w:rsidP="00FE0FF1">
            <w:pPr>
              <w:pStyle w:val="BodyText1"/>
              <w:spacing w:line="240" w:lineRule="auto"/>
              <w:rPr>
                <w:rFonts w:ascii="Times New Roman" w:hAnsi="Times New Roman"/>
                <w:bCs/>
              </w:rPr>
            </w:pPr>
            <w:r>
              <w:rPr>
                <w:rFonts w:ascii="Times New Roman" w:hAnsi="Times New Roman"/>
                <w:b/>
              </w:rPr>
              <w:t>Gedeckelter Nominalbetrag geschriebener Kreditderivate</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Artikel </w:t>
            </w:r>
            <w:r w:rsidRPr="00532F3A">
              <w:rPr>
                <w:rFonts w:ascii="Times New Roman" w:hAnsi="Times New Roman"/>
              </w:rPr>
              <w:t>429</w:t>
            </w:r>
            <w:r>
              <w:rPr>
                <w:rFonts w:ascii="Times New Roman" w:hAnsi="Times New Roman"/>
              </w:rPr>
              <w:t xml:space="preserve">a Absätze </w:t>
            </w:r>
            <w:r w:rsidRPr="00532F3A">
              <w:rPr>
                <w:rFonts w:ascii="Times New Roman" w:hAnsi="Times New Roman"/>
              </w:rPr>
              <w:t>5</w:t>
            </w:r>
            <w:r>
              <w:rPr>
                <w:rFonts w:ascii="Times New Roman" w:hAnsi="Times New Roman"/>
              </w:rPr>
              <w:t xml:space="preserve"> bis </w:t>
            </w:r>
            <w:r w:rsidRPr="00532F3A">
              <w:rPr>
                <w:rFonts w:ascii="Times New Roman" w:hAnsi="Times New Roman"/>
              </w:rPr>
              <w:t>7</w:t>
            </w:r>
            <w:r>
              <w:rPr>
                <w:rFonts w:ascii="Times New Roman" w:hAnsi="Times New Roman"/>
              </w:rPr>
              <w:t xml:space="preserve">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Gedeckelter Nominalwert geschriebener Kreditderivate (bei denen das Institut einer Gegenpartei eine Besicherung stellt) gemäß Artikel </w:t>
            </w:r>
            <w:r w:rsidRPr="00532F3A">
              <w:rPr>
                <w:rFonts w:ascii="Times New Roman" w:hAnsi="Times New Roman"/>
              </w:rPr>
              <w:t>429</w:t>
            </w:r>
            <w:r>
              <w:rPr>
                <w:rFonts w:ascii="Times New Roman" w:hAnsi="Times New Roman"/>
              </w:rPr>
              <w:t xml:space="preserve">a Absätze </w:t>
            </w:r>
            <w:r w:rsidRPr="00532F3A">
              <w:rPr>
                <w:rFonts w:ascii="Times New Roman" w:hAnsi="Times New Roman"/>
              </w:rPr>
              <w:t>5</w:t>
            </w:r>
            <w:r>
              <w:rPr>
                <w:rFonts w:ascii="Times New Roman" w:hAnsi="Times New Roman"/>
              </w:rPr>
              <w:t xml:space="preserve"> bis </w:t>
            </w:r>
            <w:r w:rsidRPr="00532F3A">
              <w:rPr>
                <w:rFonts w:ascii="Times New Roman" w:hAnsi="Times New Roman"/>
              </w:rPr>
              <w:t>7</w:t>
            </w:r>
            <w:r>
              <w:rPr>
                <w:rFonts w:ascii="Times New Roman" w:hAnsi="Times New Roman"/>
              </w:rPr>
              <w:t xml:space="preserve"> CRR.</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Pr>
                <w:rFonts w:ascii="Times New Roman" w:hAnsi="Times New Roman"/>
              </w:rPr>
              <w:t>{</w:t>
            </w:r>
            <w:r w:rsidRPr="00532F3A">
              <w:rPr>
                <w:rFonts w:ascii="Times New Roman" w:hAnsi="Times New Roman"/>
              </w:rPr>
              <w:t>140</w:t>
            </w:r>
            <w:r>
              <w:rPr>
                <w:rFonts w:ascii="Times New Roman" w:hAnsi="Times New Roman"/>
              </w:rPr>
              <w:t>;</w:t>
            </w:r>
            <w:r w:rsidRPr="00532F3A">
              <w:rPr>
                <w:rFonts w:ascii="Times New Roman" w:hAnsi="Times New Roman"/>
              </w:rPr>
              <w:t>010</w:t>
            </w:r>
            <w:r>
              <w:rPr>
                <w:rFonts w:ascii="Times New Roman" w:hAnsi="Times New Roman"/>
              </w:rPr>
              <w:t>}</w:t>
            </w:r>
          </w:p>
        </w:tc>
        <w:tc>
          <w:tcPr>
            <w:tcW w:w="7590" w:type="dxa"/>
          </w:tcPr>
          <w:p w:rsidR="00AE2798" w:rsidRDefault="00422C76" w:rsidP="00FE0FF1">
            <w:pPr>
              <w:pStyle w:val="BodyText1"/>
              <w:spacing w:line="240" w:lineRule="auto"/>
              <w:rPr>
                <w:rFonts w:ascii="Times New Roman" w:hAnsi="Times New Roman"/>
                <w:bCs/>
              </w:rPr>
            </w:pPr>
            <w:r>
              <w:rPr>
                <w:rFonts w:ascii="Times New Roman" w:hAnsi="Times New Roman"/>
                <w:b/>
              </w:rPr>
              <w:t>(-) Anrechenbare erworbene Kreditderivate, aufgerechnet mit geschriebenen Kreditderivaten</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Artikel </w:t>
            </w:r>
            <w:r w:rsidRPr="00532F3A">
              <w:rPr>
                <w:rFonts w:ascii="Times New Roman" w:hAnsi="Times New Roman"/>
              </w:rPr>
              <w:t>429</w:t>
            </w:r>
            <w:r>
              <w:rPr>
                <w:rFonts w:ascii="Times New Roman" w:hAnsi="Times New Roman"/>
              </w:rPr>
              <w:t xml:space="preserve">a Absätze </w:t>
            </w:r>
            <w:r w:rsidRPr="00532F3A">
              <w:rPr>
                <w:rFonts w:ascii="Times New Roman" w:hAnsi="Times New Roman"/>
              </w:rPr>
              <w:t>5</w:t>
            </w:r>
            <w:r>
              <w:rPr>
                <w:rFonts w:ascii="Times New Roman" w:hAnsi="Times New Roman"/>
              </w:rPr>
              <w:t xml:space="preserve"> bis </w:t>
            </w:r>
            <w:r w:rsidRPr="00532F3A">
              <w:rPr>
                <w:rFonts w:ascii="Times New Roman" w:hAnsi="Times New Roman"/>
              </w:rPr>
              <w:t>7</w:t>
            </w:r>
            <w:r>
              <w:rPr>
                <w:rFonts w:ascii="Times New Roman" w:hAnsi="Times New Roman"/>
              </w:rPr>
              <w:t xml:space="preserve">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Gedeckelter Nominalwert erworbener Kreditderivate (bei denen das Institut von einer Gegenpartei eine Kreditbesicherung erwirbt) auf derselben Referenzadresse wie die geschriebenen Kreditderivate des Instituts, sofern die Restlaufzeit der erworbenen Besicherung der Restlaufzeit der veräußerten Besicherung entspricht oder diese überschreitet. Folglich darf der Wert für jede Referenzadresse nicht größer sein als der in {</w:t>
            </w:r>
            <w:r w:rsidRPr="00532F3A">
              <w:rPr>
                <w:rFonts w:ascii="Times New Roman" w:hAnsi="Times New Roman"/>
              </w:rPr>
              <w:t>130</w:t>
            </w:r>
            <w:r>
              <w:rPr>
                <w:rFonts w:ascii="Times New Roman" w:hAnsi="Times New Roman"/>
              </w:rPr>
              <w:t>;</w:t>
            </w:r>
            <w:r w:rsidRPr="00532F3A">
              <w:rPr>
                <w:rFonts w:ascii="Times New Roman" w:hAnsi="Times New Roman"/>
              </w:rPr>
              <w:t>010</w:t>
            </w:r>
            <w:r>
              <w:rPr>
                <w:rFonts w:ascii="Times New Roman" w:hAnsi="Times New Roman"/>
              </w:rPr>
              <w:t>} ausgewiesene Wert.</w:t>
            </w:r>
          </w:p>
          <w:p w:rsidR="00AE2798" w:rsidRPr="0084012A" w:rsidRDefault="00AE2798" w:rsidP="00FE0FF1">
            <w:pPr>
              <w:pStyle w:val="BodyText1"/>
              <w:spacing w:line="240" w:lineRule="auto"/>
              <w:rPr>
                <w:rFonts w:ascii="Times New Roman" w:hAnsi="Times New Roman"/>
                <w:bCs/>
              </w:rPr>
            </w:pPr>
          </w:p>
        </w:tc>
      </w:tr>
      <w:tr w:rsidR="00AE2798" w:rsidRPr="00FE002E" w:rsidTr="006E259E">
        <w:trPr>
          <w:trHeight w:val="983"/>
        </w:trPr>
        <w:tc>
          <w:tcPr>
            <w:tcW w:w="1418" w:type="dxa"/>
          </w:tcPr>
          <w:p w:rsidR="00AE2798" w:rsidRPr="00FE002E" w:rsidRDefault="00AE2798" w:rsidP="00FE0FF1">
            <w:pPr>
              <w:pStyle w:val="BodyText1"/>
              <w:rPr>
                <w:rFonts w:ascii="Times New Roman" w:hAnsi="Times New Roman"/>
                <w:bCs/>
              </w:rPr>
            </w:pPr>
            <w:r>
              <w:rPr>
                <w:rFonts w:ascii="Times New Roman" w:hAnsi="Times New Roman"/>
              </w:rPr>
              <w:t>{</w:t>
            </w:r>
            <w:r w:rsidRPr="00532F3A">
              <w:rPr>
                <w:rFonts w:ascii="Times New Roman" w:hAnsi="Times New Roman"/>
              </w:rPr>
              <w:t>150</w:t>
            </w:r>
            <w:r>
              <w:rPr>
                <w:rFonts w:ascii="Times New Roman" w:hAnsi="Times New Roman"/>
              </w:rPr>
              <w:t>;</w:t>
            </w:r>
            <w:r w:rsidRPr="00532F3A">
              <w:rPr>
                <w:rFonts w:ascii="Times New Roman" w:hAnsi="Times New Roman"/>
              </w:rPr>
              <w:t>010</w:t>
            </w:r>
            <w:r>
              <w:rPr>
                <w:rFonts w:ascii="Times New Roman" w:hAnsi="Times New Roman"/>
              </w:rPr>
              <w:t>}</w:t>
            </w:r>
          </w:p>
          <w:p w:rsidR="00AE2798" w:rsidRPr="00FE002E" w:rsidRDefault="00AE2798" w:rsidP="00FE0FF1">
            <w:pPr>
              <w:pStyle w:val="BodyText1"/>
              <w:rPr>
                <w:rFonts w:ascii="Times New Roman" w:hAnsi="Times New Roman"/>
                <w:bCs/>
              </w:rPr>
            </w:pPr>
          </w:p>
        </w:tc>
        <w:tc>
          <w:tcPr>
            <w:tcW w:w="7590" w:type="dxa"/>
          </w:tcPr>
          <w:p w:rsidR="00AE2798" w:rsidRPr="00FE002E" w:rsidRDefault="00AE2798" w:rsidP="00FE0FF1">
            <w:pPr>
              <w:pStyle w:val="BodyText1"/>
              <w:spacing w:line="240" w:lineRule="auto"/>
              <w:rPr>
                <w:rFonts w:ascii="Times New Roman" w:hAnsi="Times New Roman"/>
                <w:bCs/>
              </w:rPr>
            </w:pPr>
            <w:r>
              <w:rPr>
                <w:rFonts w:ascii="Times New Roman" w:hAnsi="Times New Roman"/>
                <w:b/>
              </w:rPr>
              <w:t xml:space="preserve">Außerbilanzielle Geschäfte mit einem Kreditumrechnungsfaktor (CCF) von </w:t>
            </w:r>
            <w:r w:rsidRPr="00532F3A">
              <w:rPr>
                <w:rFonts w:ascii="Times New Roman" w:hAnsi="Times New Roman"/>
                <w:b/>
              </w:rPr>
              <w:t>10</w:t>
            </w:r>
            <w:r>
              <w:rPr>
                <w:rFonts w:ascii="Times New Roman" w:hAnsi="Times New Roman"/>
                <w:b/>
              </w:rPr>
              <w:t xml:space="preserve"> % gemäß Artikel </w:t>
            </w:r>
            <w:r w:rsidRPr="00532F3A">
              <w:rPr>
                <w:rFonts w:ascii="Times New Roman" w:hAnsi="Times New Roman"/>
                <w:b/>
              </w:rPr>
              <w:t>429</w:t>
            </w:r>
            <w:r>
              <w:rPr>
                <w:rFonts w:ascii="Times New Roman" w:hAnsi="Times New Roman"/>
                <w:b/>
              </w:rPr>
              <w:t xml:space="preserve"> Absatz </w:t>
            </w:r>
            <w:r w:rsidRPr="00532F3A">
              <w:rPr>
                <w:rFonts w:ascii="Times New Roman" w:hAnsi="Times New Roman"/>
                <w:b/>
              </w:rPr>
              <w:t>10</w:t>
            </w:r>
            <w:r>
              <w:rPr>
                <w:rFonts w:ascii="Times New Roman" w:hAnsi="Times New Roman"/>
                <w:b/>
              </w:rPr>
              <w:t xml:space="preserve"> CRR</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Artikel </w:t>
            </w:r>
            <w:r w:rsidRPr="00532F3A">
              <w:rPr>
                <w:rFonts w:ascii="Times New Roman" w:hAnsi="Times New Roman"/>
              </w:rPr>
              <w:t>429</w:t>
            </w:r>
            <w:r>
              <w:rPr>
                <w:rFonts w:ascii="Times New Roman" w:hAnsi="Times New Roman"/>
              </w:rPr>
              <w:t xml:space="preserve"> Absatz </w:t>
            </w:r>
            <w:r w:rsidRPr="00532F3A">
              <w:rPr>
                <w:rFonts w:ascii="Times New Roman" w:hAnsi="Times New Roman"/>
              </w:rPr>
              <w:t>10</w:t>
            </w:r>
            <w:r>
              <w:rPr>
                <w:rFonts w:ascii="Times New Roman" w:hAnsi="Times New Roman"/>
              </w:rPr>
              <w:t xml:space="preserve">, Artikel </w:t>
            </w:r>
            <w:r w:rsidRPr="00532F3A">
              <w:rPr>
                <w:rFonts w:ascii="Times New Roman" w:hAnsi="Times New Roman"/>
              </w:rPr>
              <w:t>111</w:t>
            </w:r>
            <w:r>
              <w:rPr>
                <w:rFonts w:ascii="Times New Roman" w:hAnsi="Times New Roman"/>
              </w:rPr>
              <w:t xml:space="preserve"> Absatz </w:t>
            </w:r>
            <w:r w:rsidRPr="00532F3A">
              <w:rPr>
                <w:rFonts w:ascii="Times New Roman" w:hAnsi="Times New Roman"/>
              </w:rPr>
              <w:t>1</w:t>
            </w:r>
            <w:r>
              <w:rPr>
                <w:rFonts w:ascii="Times New Roman" w:hAnsi="Times New Roman"/>
              </w:rPr>
              <w:t xml:space="preserve"> Buchstabe d und Artikel </w:t>
            </w:r>
            <w:r w:rsidRPr="00532F3A">
              <w:rPr>
                <w:rFonts w:ascii="Times New Roman" w:hAnsi="Times New Roman"/>
              </w:rPr>
              <w:t>166</w:t>
            </w:r>
            <w:r>
              <w:rPr>
                <w:rFonts w:ascii="Times New Roman" w:hAnsi="Times New Roman"/>
              </w:rPr>
              <w:t xml:space="preserve"> Absatz </w:t>
            </w:r>
            <w:r w:rsidRPr="00532F3A">
              <w:rPr>
                <w:rFonts w:ascii="Times New Roman" w:hAnsi="Times New Roman"/>
              </w:rPr>
              <w:t>9</w:t>
            </w:r>
            <w:r>
              <w:rPr>
                <w:rFonts w:ascii="Times New Roman" w:hAnsi="Times New Roman"/>
              </w:rPr>
              <w:t xml:space="preserve"> CRR</w:t>
            </w:r>
          </w:p>
          <w:p w:rsidR="00AE2798" w:rsidRPr="00FE002E"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Der gemäß Artikel </w:t>
            </w:r>
            <w:r w:rsidRPr="00532F3A">
              <w:rPr>
                <w:rFonts w:ascii="Times New Roman" w:hAnsi="Times New Roman"/>
              </w:rPr>
              <w:t>429</w:t>
            </w:r>
            <w:r>
              <w:rPr>
                <w:rFonts w:ascii="Times New Roman" w:hAnsi="Times New Roman"/>
              </w:rPr>
              <w:t xml:space="preserve"> Absatz </w:t>
            </w:r>
            <w:r w:rsidRPr="00532F3A">
              <w:rPr>
                <w:rFonts w:ascii="Times New Roman" w:hAnsi="Times New Roman"/>
              </w:rPr>
              <w:t>10</w:t>
            </w:r>
            <w:r>
              <w:rPr>
                <w:rFonts w:ascii="Times New Roman" w:hAnsi="Times New Roman"/>
              </w:rPr>
              <w:t xml:space="preserve"> und Artikel </w:t>
            </w:r>
            <w:r w:rsidRPr="00532F3A">
              <w:rPr>
                <w:rFonts w:ascii="Times New Roman" w:hAnsi="Times New Roman"/>
              </w:rPr>
              <w:t>111</w:t>
            </w:r>
            <w:r>
              <w:rPr>
                <w:rFonts w:ascii="Times New Roman" w:hAnsi="Times New Roman"/>
              </w:rPr>
              <w:t xml:space="preserve"> Absatz </w:t>
            </w:r>
            <w:r w:rsidRPr="00532F3A">
              <w:rPr>
                <w:rFonts w:ascii="Times New Roman" w:hAnsi="Times New Roman"/>
              </w:rPr>
              <w:t>1</w:t>
            </w:r>
            <w:r>
              <w:rPr>
                <w:rFonts w:ascii="Times New Roman" w:hAnsi="Times New Roman"/>
              </w:rPr>
              <w:t xml:space="preserve"> Buchstabe d CRR ermittelte Risikopositionswert außerbilanzieller Geschäfte mit niedrigem Risiko, denen gemäß Anhang I Nummer </w:t>
            </w:r>
            <w:r w:rsidRPr="00532F3A">
              <w:rPr>
                <w:rFonts w:ascii="Times New Roman" w:hAnsi="Times New Roman"/>
              </w:rPr>
              <w:t>4</w:t>
            </w:r>
            <w:r>
              <w:rPr>
                <w:rFonts w:ascii="Times New Roman" w:hAnsi="Times New Roman"/>
              </w:rPr>
              <w:t xml:space="preserve"> Buchstaben a bis c CRR ein Kreditumrechnungsfaktor von </w:t>
            </w:r>
            <w:r w:rsidRPr="00532F3A">
              <w:rPr>
                <w:rFonts w:ascii="Times New Roman" w:hAnsi="Times New Roman"/>
              </w:rPr>
              <w:t>0</w:t>
            </w:r>
            <w:r>
              <w:rPr>
                <w:rFonts w:ascii="Times New Roman" w:hAnsi="Times New Roman"/>
              </w:rPr>
              <w:t xml:space="preserve"> % zugeordnet würde (zur Erinnerung: als Risikopositionswert sind hier </w:t>
            </w:r>
            <w:r w:rsidRPr="00532F3A">
              <w:rPr>
                <w:rFonts w:ascii="Times New Roman" w:hAnsi="Times New Roman"/>
              </w:rPr>
              <w:t>10</w:t>
            </w:r>
            <w:r>
              <w:rPr>
                <w:rFonts w:ascii="Times New Roman" w:hAnsi="Times New Roman"/>
              </w:rPr>
              <w:t> % des Nominalwerts anzugeben). D. h. Zusagen, die das Institut jederzeit unangekündigt und bedingungslos kündigen kann oder die bei einer Verschlechterung der Bonität eines Kreditnehmers automatisch eine Kündigung nach sich ziehen.</w:t>
            </w:r>
            <w:r>
              <w:t xml:space="preserve"> </w:t>
            </w:r>
            <w:r>
              <w:rPr>
                <w:rFonts w:ascii="Times New Roman" w:hAnsi="Times New Roman"/>
              </w:rPr>
              <w:t>Zur Erinnerung: der Nominalwert darf nicht durch spezifische Kreditrisikoanpassungen herabgesetzt werden.</w:t>
            </w:r>
          </w:p>
          <w:p w:rsidR="00AE2798"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Bezieht eine Zusage sich auf eine Verlängerung einer anderen Zusage, so wird gemäß </w:t>
            </w:r>
            <w:r>
              <w:rPr>
                <w:rFonts w:ascii="Times New Roman" w:hAnsi="Times New Roman"/>
              </w:rPr>
              <w:lastRenderedPageBreak/>
              <w:t xml:space="preserve">Artikel </w:t>
            </w:r>
            <w:r w:rsidRPr="00532F3A">
              <w:rPr>
                <w:rFonts w:ascii="Times New Roman" w:hAnsi="Times New Roman"/>
              </w:rPr>
              <w:t>166</w:t>
            </w:r>
            <w:r>
              <w:rPr>
                <w:rFonts w:ascii="Times New Roman" w:hAnsi="Times New Roman"/>
              </w:rPr>
              <w:t xml:space="preserve"> Absatz </w:t>
            </w:r>
            <w:r w:rsidRPr="00532F3A">
              <w:rPr>
                <w:rFonts w:ascii="Times New Roman" w:hAnsi="Times New Roman"/>
              </w:rPr>
              <w:t>9</w:t>
            </w:r>
            <w:r>
              <w:rPr>
                <w:rFonts w:ascii="Times New Roman" w:hAnsi="Times New Roman"/>
              </w:rPr>
              <w:t xml:space="preserve"> CRR der niedrigere der für die einzelnen Zusagen geltenden Umrechnungsfaktoren verwendet.</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Gemäß Artikel </w:t>
            </w:r>
            <w:r w:rsidRPr="00532F3A">
              <w:rPr>
                <w:rFonts w:ascii="Times New Roman" w:hAnsi="Times New Roman"/>
              </w:rPr>
              <w:t>429</w:t>
            </w:r>
            <w:r>
              <w:rPr>
                <w:rFonts w:ascii="Times New Roman" w:hAnsi="Times New Roman"/>
              </w:rPr>
              <w:t xml:space="preserve"> Absatz </w:t>
            </w:r>
            <w:r w:rsidRPr="00532F3A">
              <w:rPr>
                <w:rFonts w:ascii="Times New Roman" w:hAnsi="Times New Roman"/>
              </w:rPr>
              <w:t>10</w:t>
            </w:r>
            <w:r>
              <w:rPr>
                <w:rFonts w:ascii="Times New Roman" w:hAnsi="Times New Roman"/>
              </w:rPr>
              <w:t xml:space="preserve"> CRR weisen die Institute in diesem Feld weder die in Anhang II CRR genannten Geschäfte, noch Kreditderivate und SFTs aus.</w:t>
            </w:r>
          </w:p>
          <w:p w:rsidR="00AE2798" w:rsidRPr="00FE002E" w:rsidRDefault="00AE2798" w:rsidP="00FE0FF1">
            <w:pPr>
              <w:pStyle w:val="BodyText1"/>
              <w:spacing w:line="240" w:lineRule="auto"/>
              <w:rPr>
                <w:rFonts w:ascii="Times New Roman" w:hAnsi="Times New Roman"/>
                <w:bCs/>
                <w:u w:val="single"/>
              </w:rPr>
            </w:pPr>
          </w:p>
        </w:tc>
      </w:tr>
      <w:tr w:rsidR="00AE2798" w:rsidRPr="00FE002E" w:rsidTr="00FD2C06">
        <w:trPr>
          <w:trHeight w:val="712"/>
        </w:trPr>
        <w:tc>
          <w:tcPr>
            <w:tcW w:w="1418" w:type="dxa"/>
          </w:tcPr>
          <w:p w:rsidR="00AE2798" w:rsidRPr="00FE002E" w:rsidRDefault="00AE2798" w:rsidP="00FE0FF1">
            <w:pPr>
              <w:pStyle w:val="BodyText1"/>
              <w:rPr>
                <w:rFonts w:ascii="Times New Roman" w:hAnsi="Times New Roman"/>
                <w:bCs/>
              </w:rPr>
            </w:pPr>
            <w:r>
              <w:rPr>
                <w:rFonts w:ascii="Times New Roman" w:hAnsi="Times New Roman"/>
              </w:rPr>
              <w:lastRenderedPageBreak/>
              <w:t>{</w:t>
            </w:r>
            <w:r w:rsidRPr="00532F3A">
              <w:rPr>
                <w:rFonts w:ascii="Times New Roman" w:hAnsi="Times New Roman"/>
              </w:rPr>
              <w:t>160</w:t>
            </w:r>
            <w:r>
              <w:rPr>
                <w:rFonts w:ascii="Times New Roman" w:hAnsi="Times New Roman"/>
              </w:rPr>
              <w:t>;</w:t>
            </w:r>
            <w:r w:rsidRPr="00532F3A">
              <w:rPr>
                <w:rFonts w:ascii="Times New Roman" w:hAnsi="Times New Roman"/>
              </w:rPr>
              <w:t>010</w:t>
            </w:r>
            <w:r>
              <w:rPr>
                <w:rFonts w:ascii="Times New Roman" w:hAnsi="Times New Roman"/>
              </w:rPr>
              <w:t>}</w:t>
            </w:r>
          </w:p>
        </w:tc>
        <w:tc>
          <w:tcPr>
            <w:tcW w:w="7590" w:type="dxa"/>
          </w:tcPr>
          <w:p w:rsidR="00AE2798" w:rsidRPr="00FE002E" w:rsidRDefault="00AE2798" w:rsidP="00FE0FF1">
            <w:pPr>
              <w:pStyle w:val="BodyText1"/>
              <w:spacing w:line="240" w:lineRule="auto"/>
              <w:rPr>
                <w:rFonts w:ascii="Times New Roman" w:hAnsi="Times New Roman"/>
                <w:b/>
                <w:bCs/>
              </w:rPr>
            </w:pPr>
            <w:r>
              <w:rPr>
                <w:rFonts w:ascii="Times New Roman" w:hAnsi="Times New Roman"/>
                <w:b/>
              </w:rPr>
              <w:t xml:space="preserve">Außerbilanzielle Geschäfte mit einem Kreditumrechnungsfaktor (CCF) von </w:t>
            </w:r>
            <w:r w:rsidRPr="00532F3A">
              <w:rPr>
                <w:rFonts w:ascii="Times New Roman" w:hAnsi="Times New Roman"/>
                <w:b/>
              </w:rPr>
              <w:t>20</w:t>
            </w:r>
            <w:r>
              <w:rPr>
                <w:rFonts w:ascii="Times New Roman" w:hAnsi="Times New Roman"/>
                <w:b/>
              </w:rPr>
              <w:t xml:space="preserve"> % gemäß Artikel </w:t>
            </w:r>
            <w:r w:rsidRPr="00532F3A">
              <w:rPr>
                <w:rFonts w:ascii="Times New Roman" w:hAnsi="Times New Roman"/>
                <w:b/>
              </w:rPr>
              <w:t>429</w:t>
            </w:r>
            <w:r>
              <w:rPr>
                <w:rFonts w:ascii="Times New Roman" w:hAnsi="Times New Roman"/>
                <w:b/>
              </w:rPr>
              <w:t xml:space="preserve"> Absatz </w:t>
            </w:r>
            <w:r w:rsidRPr="00532F3A">
              <w:rPr>
                <w:rFonts w:ascii="Times New Roman" w:hAnsi="Times New Roman"/>
                <w:b/>
              </w:rPr>
              <w:t>10</w:t>
            </w:r>
            <w:r>
              <w:rPr>
                <w:rFonts w:ascii="Times New Roman" w:hAnsi="Times New Roman"/>
                <w:b/>
              </w:rPr>
              <w:t xml:space="preserve"> CRR</w:t>
            </w:r>
          </w:p>
          <w:p w:rsidR="00AE2798" w:rsidRPr="00FE002E" w:rsidRDefault="00AE2798" w:rsidP="00FE0FF1">
            <w:pPr>
              <w:pStyle w:val="BodyText1"/>
              <w:spacing w:line="240" w:lineRule="auto"/>
              <w:rPr>
                <w:rFonts w:ascii="Times New Roman" w:hAnsi="Times New Roman"/>
                <w:b/>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Artikel </w:t>
            </w:r>
            <w:r w:rsidRPr="00532F3A">
              <w:rPr>
                <w:rFonts w:ascii="Times New Roman" w:hAnsi="Times New Roman"/>
              </w:rPr>
              <w:t>429</w:t>
            </w:r>
            <w:r>
              <w:rPr>
                <w:rFonts w:ascii="Times New Roman" w:hAnsi="Times New Roman"/>
              </w:rPr>
              <w:t xml:space="preserve"> Absatz </w:t>
            </w:r>
            <w:r w:rsidRPr="00532F3A">
              <w:rPr>
                <w:rFonts w:ascii="Times New Roman" w:hAnsi="Times New Roman"/>
              </w:rPr>
              <w:t>10</w:t>
            </w:r>
            <w:r>
              <w:rPr>
                <w:rFonts w:ascii="Times New Roman" w:hAnsi="Times New Roman"/>
              </w:rPr>
              <w:t xml:space="preserve">, Artikel </w:t>
            </w:r>
            <w:r w:rsidRPr="00532F3A">
              <w:rPr>
                <w:rFonts w:ascii="Times New Roman" w:hAnsi="Times New Roman"/>
              </w:rPr>
              <w:t>111</w:t>
            </w:r>
            <w:r>
              <w:rPr>
                <w:rFonts w:ascii="Times New Roman" w:hAnsi="Times New Roman"/>
              </w:rPr>
              <w:t xml:space="preserve"> Absatz </w:t>
            </w:r>
            <w:r w:rsidRPr="00532F3A">
              <w:rPr>
                <w:rFonts w:ascii="Times New Roman" w:hAnsi="Times New Roman"/>
              </w:rPr>
              <w:t>1</w:t>
            </w:r>
            <w:r>
              <w:rPr>
                <w:rFonts w:ascii="Times New Roman" w:hAnsi="Times New Roman"/>
              </w:rPr>
              <w:t xml:space="preserve"> Buchstabe c und Artikel </w:t>
            </w:r>
            <w:r w:rsidRPr="00532F3A">
              <w:rPr>
                <w:rFonts w:ascii="Times New Roman" w:hAnsi="Times New Roman"/>
              </w:rPr>
              <w:t>166</w:t>
            </w:r>
            <w:r>
              <w:rPr>
                <w:rFonts w:ascii="Times New Roman" w:hAnsi="Times New Roman"/>
              </w:rPr>
              <w:t xml:space="preserve"> Absatz </w:t>
            </w:r>
            <w:r w:rsidRPr="00532F3A">
              <w:rPr>
                <w:rFonts w:ascii="Times New Roman" w:hAnsi="Times New Roman"/>
              </w:rPr>
              <w:t>9</w:t>
            </w:r>
            <w:r>
              <w:rPr>
                <w:rFonts w:ascii="Times New Roman" w:hAnsi="Times New Roman"/>
              </w:rPr>
              <w:t xml:space="preserve"> CRR</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Der gemäß Artikel </w:t>
            </w:r>
            <w:r w:rsidRPr="00532F3A">
              <w:rPr>
                <w:rFonts w:ascii="Times New Roman" w:hAnsi="Times New Roman"/>
              </w:rPr>
              <w:t>429</w:t>
            </w:r>
            <w:r>
              <w:rPr>
                <w:rFonts w:ascii="Times New Roman" w:hAnsi="Times New Roman"/>
              </w:rPr>
              <w:t xml:space="preserve"> Absatz </w:t>
            </w:r>
            <w:r w:rsidRPr="00532F3A">
              <w:rPr>
                <w:rFonts w:ascii="Times New Roman" w:hAnsi="Times New Roman"/>
              </w:rPr>
              <w:t>10</w:t>
            </w:r>
            <w:r>
              <w:rPr>
                <w:rFonts w:ascii="Times New Roman" w:hAnsi="Times New Roman"/>
              </w:rPr>
              <w:t xml:space="preserve"> und Artikel </w:t>
            </w:r>
            <w:r w:rsidRPr="00532F3A">
              <w:rPr>
                <w:rFonts w:ascii="Times New Roman" w:hAnsi="Times New Roman"/>
              </w:rPr>
              <w:t>111</w:t>
            </w:r>
            <w:r>
              <w:rPr>
                <w:rFonts w:ascii="Times New Roman" w:hAnsi="Times New Roman"/>
              </w:rPr>
              <w:t xml:space="preserve"> Absatz </w:t>
            </w:r>
            <w:r w:rsidRPr="00532F3A">
              <w:rPr>
                <w:rFonts w:ascii="Times New Roman" w:hAnsi="Times New Roman"/>
              </w:rPr>
              <w:t>1</w:t>
            </w:r>
            <w:r>
              <w:rPr>
                <w:rFonts w:ascii="Times New Roman" w:hAnsi="Times New Roman"/>
              </w:rPr>
              <w:t xml:space="preserve"> Buchstabe c CRR ermittelte Risikopositionswert außerbilanzieller Geschäfte mit mittlerem/niedrigem Risiko, denen gemäß Anhang I Nummer </w:t>
            </w:r>
            <w:r w:rsidRPr="00532F3A">
              <w:rPr>
                <w:rFonts w:ascii="Times New Roman" w:hAnsi="Times New Roman"/>
              </w:rPr>
              <w:t>3</w:t>
            </w:r>
            <w:r>
              <w:rPr>
                <w:rFonts w:ascii="Times New Roman" w:hAnsi="Times New Roman"/>
              </w:rPr>
              <w:t xml:space="preserve"> Buchstaben a und b CRR ein Kreditumrechnungsfaktor von </w:t>
            </w:r>
            <w:r w:rsidRPr="00532F3A">
              <w:rPr>
                <w:rFonts w:ascii="Times New Roman" w:hAnsi="Times New Roman"/>
              </w:rPr>
              <w:t>20</w:t>
            </w:r>
            <w:r>
              <w:rPr>
                <w:rFonts w:ascii="Times New Roman" w:hAnsi="Times New Roman"/>
              </w:rPr>
              <w:t xml:space="preserve"> % zugeordnet würde (zur Erinnerung: als Risikopositionswert sind hier </w:t>
            </w:r>
            <w:r w:rsidRPr="00532F3A">
              <w:rPr>
                <w:rFonts w:ascii="Times New Roman" w:hAnsi="Times New Roman"/>
              </w:rPr>
              <w:t>20</w:t>
            </w:r>
            <w:r>
              <w:rPr>
                <w:rFonts w:ascii="Times New Roman" w:hAnsi="Times New Roman"/>
              </w:rPr>
              <w:t> % des Nominalwerts anzugeben).</w:t>
            </w:r>
            <w:r>
              <w:t xml:space="preserve"> </w:t>
            </w:r>
            <w:r>
              <w:rPr>
                <w:rFonts w:ascii="Times New Roman" w:hAnsi="Times New Roman"/>
              </w:rPr>
              <w:t>Zur Erinnerung: der Nominalwert darf nicht durch spezifische Kreditrisikoanpassungen herabgesetzt werden.</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Bezieht eine Zusage sich auf eine Verlängerung einer anderen Zusage, so wird gemäß Artikel </w:t>
            </w:r>
            <w:r w:rsidRPr="00532F3A">
              <w:rPr>
                <w:rFonts w:ascii="Times New Roman" w:hAnsi="Times New Roman"/>
              </w:rPr>
              <w:t>166</w:t>
            </w:r>
            <w:r>
              <w:rPr>
                <w:rFonts w:ascii="Times New Roman" w:hAnsi="Times New Roman"/>
              </w:rPr>
              <w:t xml:space="preserve"> Absatz </w:t>
            </w:r>
            <w:r w:rsidRPr="00532F3A">
              <w:rPr>
                <w:rFonts w:ascii="Times New Roman" w:hAnsi="Times New Roman"/>
              </w:rPr>
              <w:t>9</w:t>
            </w:r>
            <w:r>
              <w:rPr>
                <w:rFonts w:ascii="Times New Roman" w:hAnsi="Times New Roman"/>
              </w:rPr>
              <w:t xml:space="preserve"> CRR der niedrigere der für die einzelnen Zusagen geltenden Umrechnungsfaktoren verwendet.</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433E1A">
            <w:pPr>
              <w:pStyle w:val="BodyText1"/>
              <w:spacing w:line="240" w:lineRule="auto"/>
              <w:rPr>
                <w:rFonts w:ascii="Times New Roman" w:hAnsi="Times New Roman"/>
                <w:b/>
                <w:bCs/>
              </w:rPr>
            </w:pPr>
            <w:r>
              <w:rPr>
                <w:rFonts w:ascii="Times New Roman" w:hAnsi="Times New Roman"/>
              </w:rPr>
              <w:t xml:space="preserve">Gemäß Artikel </w:t>
            </w:r>
            <w:r w:rsidRPr="00532F3A">
              <w:rPr>
                <w:rFonts w:ascii="Times New Roman" w:hAnsi="Times New Roman"/>
              </w:rPr>
              <w:t>429</w:t>
            </w:r>
            <w:r>
              <w:rPr>
                <w:rFonts w:ascii="Times New Roman" w:hAnsi="Times New Roman"/>
              </w:rPr>
              <w:t xml:space="preserve"> Absatz </w:t>
            </w:r>
            <w:r w:rsidRPr="00532F3A">
              <w:rPr>
                <w:rFonts w:ascii="Times New Roman" w:hAnsi="Times New Roman"/>
              </w:rPr>
              <w:t>10</w:t>
            </w:r>
            <w:r>
              <w:rPr>
                <w:rFonts w:ascii="Times New Roman" w:hAnsi="Times New Roman"/>
              </w:rPr>
              <w:t xml:space="preserve"> CRR weisen die Institute in diesem Feld weder die in Anhang II CRR genannten Geschäfte, noch Kreditderivate und SFTs aus.</w:t>
            </w: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Pr>
                <w:rFonts w:ascii="Times New Roman" w:hAnsi="Times New Roman"/>
              </w:rPr>
              <w:t>{</w:t>
            </w:r>
            <w:r w:rsidRPr="00532F3A">
              <w:rPr>
                <w:rFonts w:ascii="Times New Roman" w:hAnsi="Times New Roman"/>
              </w:rPr>
              <w:t>170</w:t>
            </w:r>
            <w:r>
              <w:rPr>
                <w:rFonts w:ascii="Times New Roman" w:hAnsi="Times New Roman"/>
              </w:rPr>
              <w:t>;</w:t>
            </w:r>
            <w:r w:rsidRPr="00532F3A">
              <w:rPr>
                <w:rFonts w:ascii="Times New Roman" w:hAnsi="Times New Roman"/>
              </w:rPr>
              <w:t>010</w:t>
            </w:r>
            <w:r>
              <w:rPr>
                <w:rFonts w:ascii="Times New Roman" w:hAnsi="Times New Roman"/>
              </w:rPr>
              <w:t>}</w:t>
            </w:r>
          </w:p>
          <w:p w:rsidR="00AE2798" w:rsidRPr="00FE002E" w:rsidRDefault="00AE2798" w:rsidP="00FE0FF1">
            <w:pPr>
              <w:pStyle w:val="BodyText1"/>
              <w:rPr>
                <w:rFonts w:ascii="Times New Roman" w:hAnsi="Times New Roman"/>
                <w:bCs/>
              </w:rPr>
            </w:pPr>
          </w:p>
        </w:tc>
        <w:tc>
          <w:tcPr>
            <w:tcW w:w="7590" w:type="dxa"/>
          </w:tcPr>
          <w:p w:rsidR="00AE2798" w:rsidRPr="00FE002E" w:rsidRDefault="00AE2798" w:rsidP="00FE0FF1">
            <w:pPr>
              <w:pStyle w:val="BodyText1"/>
              <w:spacing w:line="240" w:lineRule="auto"/>
              <w:rPr>
                <w:rFonts w:ascii="Times New Roman" w:hAnsi="Times New Roman"/>
                <w:b/>
                <w:bCs/>
              </w:rPr>
            </w:pPr>
            <w:r>
              <w:rPr>
                <w:rFonts w:ascii="Times New Roman" w:hAnsi="Times New Roman"/>
                <w:b/>
              </w:rPr>
              <w:t xml:space="preserve">Außerbilanzielle Geschäfte mit einem Kreditumrechnungsfaktor (CCF) von </w:t>
            </w:r>
            <w:r w:rsidRPr="00532F3A">
              <w:rPr>
                <w:rFonts w:ascii="Times New Roman" w:hAnsi="Times New Roman"/>
                <w:b/>
              </w:rPr>
              <w:t>50</w:t>
            </w:r>
            <w:r>
              <w:rPr>
                <w:rFonts w:ascii="Times New Roman" w:hAnsi="Times New Roman"/>
                <w:b/>
              </w:rPr>
              <w:t xml:space="preserve"> % gemäß Artikel </w:t>
            </w:r>
            <w:r w:rsidRPr="00532F3A">
              <w:rPr>
                <w:rFonts w:ascii="Times New Roman" w:hAnsi="Times New Roman"/>
                <w:b/>
              </w:rPr>
              <w:t>429</w:t>
            </w:r>
            <w:r>
              <w:rPr>
                <w:rFonts w:ascii="Times New Roman" w:hAnsi="Times New Roman"/>
                <w:b/>
              </w:rPr>
              <w:t xml:space="preserve"> Absatz </w:t>
            </w:r>
            <w:r w:rsidRPr="00532F3A">
              <w:rPr>
                <w:rFonts w:ascii="Times New Roman" w:hAnsi="Times New Roman"/>
                <w:b/>
              </w:rPr>
              <w:t>10</w:t>
            </w:r>
            <w:r>
              <w:rPr>
                <w:rFonts w:ascii="Times New Roman" w:hAnsi="Times New Roman"/>
                <w:b/>
              </w:rPr>
              <w:t xml:space="preserve"> CRR</w:t>
            </w:r>
          </w:p>
          <w:p w:rsidR="00AE2798" w:rsidRPr="00FE002E" w:rsidRDefault="00AE2798" w:rsidP="00FE0FF1">
            <w:pPr>
              <w:pStyle w:val="BodyText1"/>
              <w:spacing w:line="240" w:lineRule="auto"/>
              <w:rPr>
                <w:rFonts w:ascii="Times New Roman" w:hAnsi="Times New Roman"/>
                <w:b/>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Artikel </w:t>
            </w:r>
            <w:r w:rsidRPr="00532F3A">
              <w:rPr>
                <w:rFonts w:ascii="Times New Roman" w:hAnsi="Times New Roman"/>
              </w:rPr>
              <w:t>429</w:t>
            </w:r>
            <w:r>
              <w:rPr>
                <w:rFonts w:ascii="Times New Roman" w:hAnsi="Times New Roman"/>
              </w:rPr>
              <w:t xml:space="preserve"> Absatz </w:t>
            </w:r>
            <w:r w:rsidRPr="00532F3A">
              <w:rPr>
                <w:rFonts w:ascii="Times New Roman" w:hAnsi="Times New Roman"/>
              </w:rPr>
              <w:t>10</w:t>
            </w:r>
            <w:r>
              <w:rPr>
                <w:rFonts w:ascii="Times New Roman" w:hAnsi="Times New Roman"/>
              </w:rPr>
              <w:t xml:space="preserve">, Artikel </w:t>
            </w:r>
            <w:r w:rsidRPr="00532F3A">
              <w:rPr>
                <w:rFonts w:ascii="Times New Roman" w:hAnsi="Times New Roman"/>
              </w:rPr>
              <w:t>111</w:t>
            </w:r>
            <w:r>
              <w:rPr>
                <w:rFonts w:ascii="Times New Roman" w:hAnsi="Times New Roman"/>
              </w:rPr>
              <w:t xml:space="preserve"> Absatz </w:t>
            </w:r>
            <w:r w:rsidRPr="00532F3A">
              <w:rPr>
                <w:rFonts w:ascii="Times New Roman" w:hAnsi="Times New Roman"/>
              </w:rPr>
              <w:t>1</w:t>
            </w:r>
            <w:r>
              <w:rPr>
                <w:rFonts w:ascii="Times New Roman" w:hAnsi="Times New Roman"/>
              </w:rPr>
              <w:t xml:space="preserve"> Buchstabe b und Artikel </w:t>
            </w:r>
            <w:r w:rsidRPr="00532F3A">
              <w:rPr>
                <w:rFonts w:ascii="Times New Roman" w:hAnsi="Times New Roman"/>
              </w:rPr>
              <w:t>166</w:t>
            </w:r>
            <w:r>
              <w:rPr>
                <w:rFonts w:ascii="Times New Roman" w:hAnsi="Times New Roman"/>
              </w:rPr>
              <w:t xml:space="preserve"> Absatz </w:t>
            </w:r>
            <w:r w:rsidRPr="00532F3A">
              <w:rPr>
                <w:rFonts w:ascii="Times New Roman" w:hAnsi="Times New Roman"/>
              </w:rPr>
              <w:t>9</w:t>
            </w:r>
            <w:r>
              <w:rPr>
                <w:rFonts w:ascii="Times New Roman" w:hAnsi="Times New Roman"/>
              </w:rPr>
              <w:t xml:space="preserve"> CRR</w:t>
            </w:r>
          </w:p>
          <w:p w:rsidR="00AE2798" w:rsidRPr="00FE002E" w:rsidRDefault="00AE2798" w:rsidP="00FE0FF1">
            <w:pPr>
              <w:pStyle w:val="BodyText1"/>
              <w:spacing w:line="240" w:lineRule="auto"/>
              <w:rPr>
                <w:rFonts w:ascii="Times New Roman" w:hAnsi="Times New Roman"/>
                <w:bCs/>
              </w:rPr>
            </w:pPr>
          </w:p>
          <w:p w:rsidR="008C7B98" w:rsidRDefault="00AE2798" w:rsidP="00FE0FF1">
            <w:pPr>
              <w:pStyle w:val="BodyText1"/>
              <w:spacing w:line="240" w:lineRule="auto"/>
              <w:rPr>
                <w:rFonts w:ascii="Times New Roman" w:hAnsi="Times New Roman"/>
                <w:bCs/>
              </w:rPr>
            </w:pPr>
            <w:r>
              <w:rPr>
                <w:rFonts w:ascii="Times New Roman" w:hAnsi="Times New Roman"/>
              </w:rPr>
              <w:t xml:space="preserve">Der gemäß Artikel </w:t>
            </w:r>
            <w:r w:rsidRPr="00532F3A">
              <w:rPr>
                <w:rFonts w:ascii="Times New Roman" w:hAnsi="Times New Roman"/>
              </w:rPr>
              <w:t>429</w:t>
            </w:r>
            <w:r>
              <w:rPr>
                <w:rFonts w:ascii="Times New Roman" w:hAnsi="Times New Roman"/>
              </w:rPr>
              <w:t xml:space="preserve"> Absatz </w:t>
            </w:r>
            <w:r w:rsidRPr="00532F3A">
              <w:rPr>
                <w:rFonts w:ascii="Times New Roman" w:hAnsi="Times New Roman"/>
              </w:rPr>
              <w:t>10</w:t>
            </w:r>
            <w:r>
              <w:rPr>
                <w:rFonts w:ascii="Times New Roman" w:hAnsi="Times New Roman"/>
              </w:rPr>
              <w:t xml:space="preserve"> und Artikel </w:t>
            </w:r>
            <w:r w:rsidRPr="00532F3A">
              <w:rPr>
                <w:rFonts w:ascii="Times New Roman" w:hAnsi="Times New Roman"/>
              </w:rPr>
              <w:t>111</w:t>
            </w:r>
            <w:r>
              <w:rPr>
                <w:rFonts w:ascii="Times New Roman" w:hAnsi="Times New Roman"/>
              </w:rPr>
              <w:t xml:space="preserve"> Absatz </w:t>
            </w:r>
            <w:r w:rsidRPr="00532F3A">
              <w:rPr>
                <w:rFonts w:ascii="Times New Roman" w:hAnsi="Times New Roman"/>
              </w:rPr>
              <w:t>1</w:t>
            </w:r>
            <w:r>
              <w:rPr>
                <w:rFonts w:ascii="Times New Roman" w:hAnsi="Times New Roman"/>
              </w:rPr>
              <w:t xml:space="preserve"> Buchstabe b CRR ermittelte Risikopositionswert außerbilanzieller Geschäfte mit mittlerem Risiko, denen gemäß Anhang I Nummer </w:t>
            </w:r>
            <w:r w:rsidRPr="00532F3A">
              <w:rPr>
                <w:rFonts w:ascii="Times New Roman" w:hAnsi="Times New Roman"/>
              </w:rPr>
              <w:t>2</w:t>
            </w:r>
            <w:r>
              <w:rPr>
                <w:rFonts w:ascii="Times New Roman" w:hAnsi="Times New Roman"/>
              </w:rPr>
              <w:t xml:space="preserve"> Buchstaben a und b CRR ein Kreditumrechnungsfaktor von </w:t>
            </w:r>
            <w:r w:rsidRPr="00532F3A">
              <w:rPr>
                <w:rFonts w:ascii="Times New Roman" w:hAnsi="Times New Roman"/>
              </w:rPr>
              <w:t>50</w:t>
            </w:r>
            <w:r>
              <w:rPr>
                <w:rFonts w:ascii="Times New Roman" w:hAnsi="Times New Roman"/>
              </w:rPr>
              <w:t xml:space="preserve"> %, wie im Standardansatz für das Kreditrisiko definiert, zugeordnet würde (zur Erinnerung: als Risikopositionswert sind hier </w:t>
            </w:r>
            <w:r w:rsidRPr="00532F3A">
              <w:rPr>
                <w:rFonts w:ascii="Times New Roman" w:hAnsi="Times New Roman"/>
              </w:rPr>
              <w:t>50</w:t>
            </w:r>
            <w:r>
              <w:rPr>
                <w:rFonts w:ascii="Times New Roman" w:hAnsi="Times New Roman"/>
              </w:rPr>
              <w:t> % des Nominalwerts anzugeben). Zur Erinnerung: der Nominalwert darf nicht durch spezifische Kreditrisikoanpassungen herabgesetzt werden.</w:t>
            </w:r>
          </w:p>
          <w:p w:rsidR="008C7B98" w:rsidRDefault="008C7B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In diesem Feld werden Liquiditätsfazilitäten und andere Zusagen für Verbriefungen ausgewiesen. Anders ausgedrückt: der Kreditumrechnungsfaktor für alle Liquiditätsfazilitäten gemäß Artikel </w:t>
            </w:r>
            <w:r w:rsidRPr="00532F3A">
              <w:rPr>
                <w:rFonts w:ascii="Times New Roman" w:hAnsi="Times New Roman"/>
              </w:rPr>
              <w:t>255</w:t>
            </w:r>
            <w:r>
              <w:rPr>
                <w:rFonts w:ascii="Times New Roman" w:hAnsi="Times New Roman"/>
              </w:rPr>
              <w:t xml:space="preserve"> CRR beträgt unabhängig von der Laufzeit </w:t>
            </w:r>
            <w:r w:rsidRPr="00532F3A">
              <w:rPr>
                <w:rFonts w:ascii="Times New Roman" w:hAnsi="Times New Roman"/>
              </w:rPr>
              <w:t>50</w:t>
            </w:r>
            <w:r>
              <w:rPr>
                <w:rFonts w:ascii="Times New Roman" w:hAnsi="Times New Roman"/>
              </w:rPr>
              <w:t xml:space="preserve"> %. </w:t>
            </w:r>
          </w:p>
          <w:p w:rsidR="00AE2798" w:rsidRDefault="00AE2798" w:rsidP="00FE0FF1">
            <w:pPr>
              <w:pStyle w:val="BodyText1"/>
              <w:spacing w:line="240" w:lineRule="auto"/>
              <w:rPr>
                <w:rFonts w:ascii="Times New Roman" w:hAnsi="Times New Roman"/>
                <w:bCs/>
              </w:rPr>
            </w:pPr>
          </w:p>
          <w:p w:rsidR="00AE2798" w:rsidRPr="0044777F" w:rsidRDefault="00AE2798" w:rsidP="00FE0FF1">
            <w:pPr>
              <w:pStyle w:val="BodyText1"/>
              <w:spacing w:line="240" w:lineRule="auto"/>
              <w:rPr>
                <w:rFonts w:ascii="Times New Roman" w:hAnsi="Times New Roman"/>
                <w:bCs/>
              </w:rPr>
            </w:pPr>
            <w:r>
              <w:rPr>
                <w:rFonts w:ascii="Times New Roman" w:hAnsi="Times New Roman"/>
              </w:rPr>
              <w:t xml:space="preserve">Bezieht eine Zusage sich auf eine Verlängerung einer anderen Zusage, so wird gemäß Artikel </w:t>
            </w:r>
            <w:r w:rsidRPr="00532F3A">
              <w:rPr>
                <w:rFonts w:ascii="Times New Roman" w:hAnsi="Times New Roman"/>
              </w:rPr>
              <w:t>166</w:t>
            </w:r>
            <w:r>
              <w:rPr>
                <w:rFonts w:ascii="Times New Roman" w:hAnsi="Times New Roman"/>
              </w:rPr>
              <w:t xml:space="preserve"> Absatz </w:t>
            </w:r>
            <w:r w:rsidRPr="00532F3A">
              <w:rPr>
                <w:rFonts w:ascii="Times New Roman" w:hAnsi="Times New Roman"/>
              </w:rPr>
              <w:t>9</w:t>
            </w:r>
            <w:r>
              <w:rPr>
                <w:rFonts w:ascii="Times New Roman" w:hAnsi="Times New Roman"/>
              </w:rPr>
              <w:t xml:space="preserve"> CRR der niedrigere der für die einzelnen Zusagen geltenden Umrechnungsfaktoren verwendet.</w:t>
            </w:r>
          </w:p>
          <w:p w:rsidR="00AE2798" w:rsidRPr="0044777F"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Gemäß Artikel </w:t>
            </w:r>
            <w:r w:rsidRPr="00532F3A">
              <w:rPr>
                <w:rFonts w:ascii="Times New Roman" w:hAnsi="Times New Roman"/>
              </w:rPr>
              <w:t>429</w:t>
            </w:r>
            <w:r>
              <w:rPr>
                <w:rFonts w:ascii="Times New Roman" w:hAnsi="Times New Roman"/>
              </w:rPr>
              <w:t xml:space="preserve"> Absatz </w:t>
            </w:r>
            <w:r w:rsidRPr="00532F3A">
              <w:rPr>
                <w:rFonts w:ascii="Times New Roman" w:hAnsi="Times New Roman"/>
              </w:rPr>
              <w:t>10</w:t>
            </w:r>
            <w:r>
              <w:rPr>
                <w:rFonts w:ascii="Times New Roman" w:hAnsi="Times New Roman"/>
              </w:rPr>
              <w:t xml:space="preserve"> CRR weisen die Institute in diesem Feld weder die in Anhang II CRR genannten Geschäfte, noch Kreditderivate und SFTs aus.</w:t>
            </w:r>
          </w:p>
          <w:p w:rsidR="00AE2798" w:rsidRPr="00FE002E" w:rsidRDefault="00AE2798" w:rsidP="00FE0FF1">
            <w:pPr>
              <w:pStyle w:val="BodyText1"/>
              <w:spacing w:line="240" w:lineRule="auto"/>
              <w:rPr>
                <w:rFonts w:ascii="Times New Roman" w:hAnsi="Times New Roman"/>
                <w:b/>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rPr>
              <w:t>{</w:t>
            </w:r>
            <w:r w:rsidRPr="00532F3A">
              <w:rPr>
                <w:rFonts w:ascii="Times New Roman" w:hAnsi="Times New Roman"/>
              </w:rPr>
              <w:t>180</w:t>
            </w:r>
            <w:r>
              <w:rPr>
                <w:rFonts w:ascii="Times New Roman" w:hAnsi="Times New Roman"/>
              </w:rPr>
              <w:t>;</w:t>
            </w:r>
            <w:r w:rsidRPr="00532F3A">
              <w:rPr>
                <w:rFonts w:ascii="Times New Roman" w:hAnsi="Times New Roman"/>
              </w:rPr>
              <w:t>010</w:t>
            </w:r>
            <w:r>
              <w:rPr>
                <w:rFonts w:ascii="Times New Roman" w:hAnsi="Times New Roman"/>
              </w:rPr>
              <w:t>}</w:t>
            </w:r>
          </w:p>
          <w:p w:rsidR="00AE2798" w:rsidRPr="00FE002E" w:rsidRDefault="00AE2798" w:rsidP="00FE0FF1">
            <w:pPr>
              <w:pStyle w:val="BodyText1"/>
              <w:rPr>
                <w:rFonts w:ascii="Times New Roman" w:hAnsi="Times New Roman"/>
                <w:bCs/>
              </w:rPr>
            </w:pPr>
          </w:p>
        </w:tc>
        <w:tc>
          <w:tcPr>
            <w:tcW w:w="7590" w:type="dxa"/>
            <w:tcBorders>
              <w:bottom w:val="single" w:sz="4" w:space="0" w:color="auto"/>
            </w:tcBorders>
          </w:tcPr>
          <w:p w:rsidR="00AE2798" w:rsidRPr="00FE002E" w:rsidRDefault="00AE2798" w:rsidP="00FE0FF1">
            <w:pPr>
              <w:pStyle w:val="BodyText1"/>
              <w:spacing w:line="240" w:lineRule="auto"/>
              <w:rPr>
                <w:rFonts w:ascii="Times New Roman" w:hAnsi="Times New Roman"/>
                <w:bCs/>
              </w:rPr>
            </w:pPr>
            <w:r>
              <w:rPr>
                <w:rFonts w:ascii="Times New Roman" w:hAnsi="Times New Roman"/>
                <w:b/>
              </w:rPr>
              <w:t xml:space="preserve">Außerbilanzielle Geschäfte mit einem Kreditumrechnungsfaktor (CCF) von </w:t>
            </w:r>
            <w:r w:rsidRPr="00532F3A">
              <w:rPr>
                <w:rFonts w:ascii="Times New Roman" w:hAnsi="Times New Roman"/>
                <w:b/>
              </w:rPr>
              <w:t>100</w:t>
            </w:r>
            <w:r>
              <w:rPr>
                <w:rFonts w:ascii="Times New Roman" w:hAnsi="Times New Roman"/>
                <w:b/>
              </w:rPr>
              <w:t xml:space="preserve"> % gemäß Artikel </w:t>
            </w:r>
            <w:r w:rsidRPr="00532F3A">
              <w:rPr>
                <w:rFonts w:ascii="Times New Roman" w:hAnsi="Times New Roman"/>
                <w:b/>
              </w:rPr>
              <w:t>429</w:t>
            </w:r>
            <w:r>
              <w:rPr>
                <w:rFonts w:ascii="Times New Roman" w:hAnsi="Times New Roman"/>
                <w:b/>
              </w:rPr>
              <w:t xml:space="preserve"> Absatz </w:t>
            </w:r>
            <w:r w:rsidRPr="00532F3A">
              <w:rPr>
                <w:rFonts w:ascii="Times New Roman" w:hAnsi="Times New Roman"/>
                <w:b/>
              </w:rPr>
              <w:t>10</w:t>
            </w:r>
            <w:r>
              <w:rPr>
                <w:rFonts w:ascii="Times New Roman" w:hAnsi="Times New Roman"/>
                <w:b/>
              </w:rPr>
              <w:t xml:space="preserve"> CRR</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Artikel </w:t>
            </w:r>
            <w:r w:rsidRPr="00532F3A">
              <w:rPr>
                <w:rFonts w:ascii="Times New Roman" w:hAnsi="Times New Roman"/>
              </w:rPr>
              <w:t>429</w:t>
            </w:r>
            <w:r>
              <w:rPr>
                <w:rFonts w:ascii="Times New Roman" w:hAnsi="Times New Roman"/>
              </w:rPr>
              <w:t xml:space="preserve"> Absatz </w:t>
            </w:r>
            <w:r w:rsidRPr="00532F3A">
              <w:rPr>
                <w:rFonts w:ascii="Times New Roman" w:hAnsi="Times New Roman"/>
              </w:rPr>
              <w:t>10</w:t>
            </w:r>
            <w:r>
              <w:rPr>
                <w:rFonts w:ascii="Times New Roman" w:hAnsi="Times New Roman"/>
              </w:rPr>
              <w:t xml:space="preserve">, Artikel </w:t>
            </w:r>
            <w:r w:rsidRPr="00532F3A">
              <w:rPr>
                <w:rFonts w:ascii="Times New Roman" w:hAnsi="Times New Roman"/>
              </w:rPr>
              <w:t>111</w:t>
            </w:r>
            <w:r>
              <w:rPr>
                <w:rFonts w:ascii="Times New Roman" w:hAnsi="Times New Roman"/>
              </w:rPr>
              <w:t xml:space="preserve"> Absatz </w:t>
            </w:r>
            <w:r w:rsidRPr="00532F3A">
              <w:rPr>
                <w:rFonts w:ascii="Times New Roman" w:hAnsi="Times New Roman"/>
              </w:rPr>
              <w:t>1</w:t>
            </w:r>
            <w:r>
              <w:rPr>
                <w:rFonts w:ascii="Times New Roman" w:hAnsi="Times New Roman"/>
              </w:rPr>
              <w:t xml:space="preserve"> Buchstabe a und Artikel </w:t>
            </w:r>
            <w:r w:rsidRPr="00532F3A">
              <w:rPr>
                <w:rFonts w:ascii="Times New Roman" w:hAnsi="Times New Roman"/>
              </w:rPr>
              <w:t>166</w:t>
            </w:r>
            <w:r>
              <w:rPr>
                <w:rFonts w:ascii="Times New Roman" w:hAnsi="Times New Roman"/>
              </w:rPr>
              <w:t xml:space="preserve"> Absatz </w:t>
            </w:r>
            <w:r w:rsidRPr="00532F3A">
              <w:rPr>
                <w:rFonts w:ascii="Times New Roman" w:hAnsi="Times New Roman"/>
              </w:rPr>
              <w:t>9</w:t>
            </w:r>
            <w:r>
              <w:rPr>
                <w:rFonts w:ascii="Times New Roman" w:hAnsi="Times New Roman"/>
              </w:rPr>
              <w:t xml:space="preserve"> CRR</w:t>
            </w:r>
          </w:p>
          <w:p w:rsidR="00AE2798" w:rsidRPr="00FE002E" w:rsidRDefault="00AE2798" w:rsidP="00FE0FF1">
            <w:pPr>
              <w:pStyle w:val="BodyText1"/>
              <w:spacing w:line="240" w:lineRule="auto"/>
              <w:rPr>
                <w:rFonts w:ascii="Times New Roman" w:hAnsi="Times New Roman"/>
                <w:bCs/>
              </w:rPr>
            </w:pPr>
          </w:p>
          <w:p w:rsidR="008C7B98" w:rsidRDefault="00AE2798" w:rsidP="00FE0FF1">
            <w:pPr>
              <w:pStyle w:val="BodyText1"/>
              <w:spacing w:line="240" w:lineRule="auto"/>
              <w:rPr>
                <w:rFonts w:ascii="Times New Roman" w:hAnsi="Times New Roman"/>
                <w:bCs/>
              </w:rPr>
            </w:pPr>
            <w:r>
              <w:rPr>
                <w:rFonts w:ascii="Times New Roman" w:hAnsi="Times New Roman"/>
              </w:rPr>
              <w:t xml:space="preserve">Der gemäß Artikel </w:t>
            </w:r>
            <w:r w:rsidRPr="00532F3A">
              <w:rPr>
                <w:rFonts w:ascii="Times New Roman" w:hAnsi="Times New Roman"/>
              </w:rPr>
              <w:t>429</w:t>
            </w:r>
            <w:r>
              <w:rPr>
                <w:rFonts w:ascii="Times New Roman" w:hAnsi="Times New Roman"/>
              </w:rPr>
              <w:t xml:space="preserve"> Absatz </w:t>
            </w:r>
            <w:r w:rsidRPr="00532F3A">
              <w:rPr>
                <w:rFonts w:ascii="Times New Roman" w:hAnsi="Times New Roman"/>
              </w:rPr>
              <w:t>10</w:t>
            </w:r>
            <w:r>
              <w:rPr>
                <w:rFonts w:ascii="Times New Roman" w:hAnsi="Times New Roman"/>
              </w:rPr>
              <w:t xml:space="preserve"> und Artikel </w:t>
            </w:r>
            <w:r w:rsidRPr="00532F3A">
              <w:rPr>
                <w:rFonts w:ascii="Times New Roman" w:hAnsi="Times New Roman"/>
              </w:rPr>
              <w:t>111</w:t>
            </w:r>
            <w:r>
              <w:rPr>
                <w:rFonts w:ascii="Times New Roman" w:hAnsi="Times New Roman"/>
              </w:rPr>
              <w:t xml:space="preserve"> Absatz </w:t>
            </w:r>
            <w:r w:rsidRPr="00532F3A">
              <w:rPr>
                <w:rFonts w:ascii="Times New Roman" w:hAnsi="Times New Roman"/>
              </w:rPr>
              <w:t>1</w:t>
            </w:r>
            <w:r>
              <w:rPr>
                <w:rFonts w:ascii="Times New Roman" w:hAnsi="Times New Roman"/>
              </w:rPr>
              <w:t xml:space="preserve"> Buchstabe a CRR ermittelte Risikopositionswert außerbilanzieller Geschäfte mit hohem Risiko, denen gemäß Anhang I Nummer </w:t>
            </w:r>
            <w:r w:rsidRPr="00532F3A">
              <w:rPr>
                <w:rFonts w:ascii="Times New Roman" w:hAnsi="Times New Roman"/>
              </w:rPr>
              <w:t>1</w:t>
            </w:r>
            <w:r>
              <w:rPr>
                <w:rFonts w:ascii="Times New Roman" w:hAnsi="Times New Roman"/>
              </w:rPr>
              <w:t xml:space="preserve"> Buchstaben a bis k CRR ein Kreditumrechnungsfaktor von </w:t>
            </w:r>
            <w:r w:rsidRPr="00532F3A">
              <w:rPr>
                <w:rFonts w:ascii="Times New Roman" w:hAnsi="Times New Roman"/>
              </w:rPr>
              <w:t>100</w:t>
            </w:r>
            <w:r>
              <w:rPr>
                <w:rFonts w:ascii="Times New Roman" w:hAnsi="Times New Roman"/>
              </w:rPr>
              <w:t xml:space="preserve"> % zugeordnet würde (zur Erinnerung: als Risikopositionswert sind hier </w:t>
            </w:r>
            <w:r w:rsidRPr="00532F3A">
              <w:rPr>
                <w:rFonts w:ascii="Times New Roman" w:hAnsi="Times New Roman"/>
              </w:rPr>
              <w:t>100</w:t>
            </w:r>
            <w:r>
              <w:rPr>
                <w:rFonts w:ascii="Times New Roman" w:hAnsi="Times New Roman"/>
              </w:rPr>
              <w:t xml:space="preserve"> % des Nominalwerts anzugeben). Zur Erinnerung: Zur Erinnerung: der Nominalwert darf nicht durch spezifische Kreditrisikoanpassungen herabgesetzt werden. </w:t>
            </w:r>
          </w:p>
          <w:p w:rsidR="008C7B98" w:rsidRDefault="008C7B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lastRenderedPageBreak/>
              <w:t xml:space="preserve">In diesem Feld werden Liquiditätsfazilitäten und andere Zusagen für Verbriefungen ausgewiesen. </w:t>
            </w:r>
          </w:p>
          <w:p w:rsidR="00AE2798"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Bezieht eine Zusage sich auf eine Verlängerung einer anderen Zusage, so wird gemäß Artikel </w:t>
            </w:r>
            <w:r w:rsidRPr="00532F3A">
              <w:rPr>
                <w:rFonts w:ascii="Times New Roman" w:hAnsi="Times New Roman"/>
              </w:rPr>
              <w:t>166</w:t>
            </w:r>
            <w:r>
              <w:rPr>
                <w:rFonts w:ascii="Times New Roman" w:hAnsi="Times New Roman"/>
              </w:rPr>
              <w:t xml:space="preserve"> Absatz </w:t>
            </w:r>
            <w:r w:rsidRPr="00532F3A">
              <w:rPr>
                <w:rFonts w:ascii="Times New Roman" w:hAnsi="Times New Roman"/>
              </w:rPr>
              <w:t>9</w:t>
            </w:r>
            <w:r>
              <w:rPr>
                <w:rFonts w:ascii="Times New Roman" w:hAnsi="Times New Roman"/>
              </w:rPr>
              <w:t xml:space="preserve"> CRR der niedrigere der für die einzelnen Zusagen geltenden Umrechnungsfaktoren verwendet.</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Gemäß Artikel </w:t>
            </w:r>
            <w:r w:rsidRPr="00532F3A">
              <w:rPr>
                <w:rFonts w:ascii="Times New Roman" w:hAnsi="Times New Roman"/>
              </w:rPr>
              <w:t>429</w:t>
            </w:r>
            <w:r>
              <w:rPr>
                <w:rFonts w:ascii="Times New Roman" w:hAnsi="Times New Roman"/>
              </w:rPr>
              <w:t xml:space="preserve"> Absatz </w:t>
            </w:r>
            <w:r w:rsidRPr="00532F3A">
              <w:rPr>
                <w:rFonts w:ascii="Times New Roman" w:hAnsi="Times New Roman"/>
              </w:rPr>
              <w:t>10</w:t>
            </w:r>
            <w:r>
              <w:rPr>
                <w:rFonts w:ascii="Times New Roman" w:hAnsi="Times New Roman"/>
              </w:rPr>
              <w:t xml:space="preserve"> CRR weisen die Institute in diesem Feld weder die in Anhang II CRR genannten Geschäfte, noch Kreditderivate und SFTs aus.</w:t>
            </w:r>
          </w:p>
          <w:p w:rsidR="00AE2798" w:rsidRPr="00FE002E" w:rsidRDefault="00AE2798" w:rsidP="00FE0FF1">
            <w:pPr>
              <w:pStyle w:val="BodyText1"/>
              <w:spacing w:line="240" w:lineRule="auto"/>
              <w:rPr>
                <w:rFonts w:ascii="Times New Roman" w:hAnsi="Times New Roman"/>
                <w:bCs/>
                <w:u w:val="single"/>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rPr>
              <w:lastRenderedPageBreak/>
              <w:t>{</w:t>
            </w:r>
            <w:r w:rsidRPr="00532F3A">
              <w:rPr>
                <w:rFonts w:ascii="Times New Roman" w:hAnsi="Times New Roman"/>
              </w:rPr>
              <w:t>190</w:t>
            </w:r>
            <w:r>
              <w:rPr>
                <w:rFonts w:ascii="Times New Roman" w:hAnsi="Times New Roman"/>
              </w:rPr>
              <w:t>;</w:t>
            </w:r>
            <w:r w:rsidRPr="00532F3A">
              <w:rPr>
                <w:rFonts w:ascii="Times New Roman" w:hAnsi="Times New Roman"/>
              </w:rPr>
              <w:t>010</w:t>
            </w:r>
            <w:r>
              <w:rPr>
                <w:rFonts w:ascii="Times New Roman" w:hAnsi="Times New Roman"/>
              </w:rPr>
              <w:t>}</w:t>
            </w:r>
          </w:p>
          <w:p w:rsidR="00AE2798" w:rsidRPr="00FE002E" w:rsidRDefault="00AE2798" w:rsidP="00FE0FF1">
            <w:pPr>
              <w:pStyle w:val="BodyText1"/>
              <w:rPr>
                <w:rFonts w:ascii="Times New Roman" w:hAnsi="Times New Roman"/>
                <w:bCs/>
              </w:rPr>
            </w:pPr>
          </w:p>
        </w:tc>
        <w:tc>
          <w:tcPr>
            <w:tcW w:w="7590" w:type="dxa"/>
            <w:tcBorders>
              <w:bottom w:val="single" w:sz="4" w:space="0" w:color="auto"/>
            </w:tcBorders>
          </w:tcPr>
          <w:p w:rsidR="00AE2798" w:rsidRPr="00FE002E" w:rsidRDefault="00AE2798" w:rsidP="00FE0FF1">
            <w:pPr>
              <w:pStyle w:val="BodyText1"/>
              <w:spacing w:line="240" w:lineRule="auto"/>
              <w:rPr>
                <w:rFonts w:ascii="Times New Roman" w:hAnsi="Times New Roman"/>
                <w:bCs/>
              </w:rPr>
            </w:pPr>
            <w:r>
              <w:rPr>
                <w:rFonts w:ascii="Times New Roman" w:hAnsi="Times New Roman"/>
                <w:b/>
              </w:rPr>
              <w:t xml:space="preserve">Sonstige Vermögenswerte </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Artikel </w:t>
            </w:r>
            <w:r w:rsidRPr="00532F3A">
              <w:rPr>
                <w:rFonts w:ascii="Times New Roman" w:hAnsi="Times New Roman"/>
              </w:rPr>
              <w:t>429</w:t>
            </w:r>
            <w:r>
              <w:rPr>
                <w:rFonts w:ascii="Times New Roman" w:hAnsi="Times New Roman"/>
              </w:rPr>
              <w:t xml:space="preserve"> Absatz </w:t>
            </w:r>
            <w:r w:rsidRPr="00532F3A">
              <w:rPr>
                <w:rFonts w:ascii="Times New Roman" w:hAnsi="Times New Roman"/>
              </w:rPr>
              <w:t>5</w:t>
            </w:r>
            <w:r>
              <w:rPr>
                <w:rFonts w:ascii="Times New Roman" w:hAnsi="Times New Roman"/>
              </w:rPr>
              <w:t xml:space="preserve"> CRR</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Alle Aktiva, ausgenommen der in Anhang II CRR genannten Geschäfte, Kreditderivate, SFTs (zu den in diesen Feldern zu meldenden sonstigen Aktiva zählen Forderungen für in bar geleistete Nachschüsse, wenn sie im geltenden Rechnungslegungsrahmen erfasst werden, liquide Aktiva im Sinne der Mindestliquiditätsquote (Liquidity Coverage Ratio) sowie fehlgeschlagene und noch nicht abgewickelte Geschäfte). Die Institute haben die Bewertung nach den in Artikel </w:t>
            </w:r>
            <w:r w:rsidRPr="00532F3A">
              <w:rPr>
                <w:rFonts w:ascii="Times New Roman" w:hAnsi="Times New Roman"/>
              </w:rPr>
              <w:t>429</w:t>
            </w:r>
            <w:r>
              <w:rPr>
                <w:rFonts w:ascii="Times New Roman" w:hAnsi="Times New Roman"/>
              </w:rPr>
              <w:t xml:space="preserve"> Absatz </w:t>
            </w:r>
            <w:r w:rsidRPr="00532F3A">
              <w:rPr>
                <w:rFonts w:ascii="Times New Roman" w:hAnsi="Times New Roman"/>
              </w:rPr>
              <w:t>5</w:t>
            </w:r>
            <w:r>
              <w:rPr>
                <w:rFonts w:ascii="Times New Roman" w:hAnsi="Times New Roman"/>
              </w:rPr>
              <w:t xml:space="preserve"> CRR dargestellten Grundsätzen vorzunehmen.</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In diesem Feld weisen die Institute entgegengenommene Barmittel oder Sicherheiten aus, die einer Gegenpartei über SFTs zur Verfügung gestellt werden und die weiter in der Bilanz geführt werden (d. h. bei denen die Ausbuchungskriterien nicht erfüllt sind). Darüber hinaus erfassen die Institute hier vom harten Kernkapital abgezogene Posten sowie Posten des zusätzlichen Kernkapitals (z. B. immaterielle Vermögenswerte, latente Steueransprüche usw.). </w:t>
            </w:r>
          </w:p>
          <w:p w:rsidR="00AE2798" w:rsidRPr="00FE002E" w:rsidRDefault="00AE2798" w:rsidP="00FE0FF1">
            <w:pPr>
              <w:pStyle w:val="BodyText1"/>
              <w:spacing w:line="240" w:lineRule="auto"/>
              <w:rPr>
                <w:rFonts w:ascii="Times New Roman" w:hAnsi="Times New Roman"/>
                <w:bCs/>
                <w:u w:val="single"/>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rPr>
              <w:t>{</w:t>
            </w:r>
            <w:r w:rsidRPr="00532F3A">
              <w:rPr>
                <w:rFonts w:ascii="Times New Roman" w:hAnsi="Times New Roman"/>
              </w:rPr>
              <w:t>200</w:t>
            </w:r>
            <w:r>
              <w:rPr>
                <w:rFonts w:ascii="Times New Roman" w:hAnsi="Times New Roman"/>
              </w:rPr>
              <w:t>;</w:t>
            </w:r>
            <w:r w:rsidRPr="00532F3A">
              <w:rPr>
                <w:rFonts w:ascii="Times New Roman" w:hAnsi="Times New Roman"/>
              </w:rPr>
              <w:t>010</w:t>
            </w:r>
            <w:r>
              <w:rPr>
                <w:rFonts w:ascii="Times New Roman" w:hAnsi="Times New Roman"/>
              </w:rPr>
              <w:t>}</w:t>
            </w:r>
          </w:p>
        </w:tc>
        <w:tc>
          <w:tcPr>
            <w:tcW w:w="7590" w:type="dxa"/>
            <w:tcBorders>
              <w:bottom w:val="single" w:sz="4" w:space="0" w:color="auto"/>
            </w:tcBorders>
          </w:tcPr>
          <w:p w:rsidR="00AE2798" w:rsidRDefault="00AE2798" w:rsidP="00FE0FF1">
            <w:pPr>
              <w:pStyle w:val="BodyText1"/>
              <w:spacing w:line="240" w:lineRule="auto"/>
              <w:rPr>
                <w:rFonts w:ascii="Times New Roman" w:hAnsi="Times New Roman"/>
                <w:bCs/>
              </w:rPr>
            </w:pPr>
            <w:r>
              <w:rPr>
                <w:rFonts w:ascii="Times New Roman" w:hAnsi="Times New Roman"/>
                <w:b/>
              </w:rPr>
              <w:t>Hinzurechnung des Betrags von im Zusammenhang mit Derivaten gestellten Sicherheiten</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Artikel </w:t>
            </w:r>
            <w:r w:rsidRPr="00532F3A">
              <w:rPr>
                <w:rFonts w:ascii="Times New Roman" w:hAnsi="Times New Roman"/>
              </w:rPr>
              <w:t>429</w:t>
            </w:r>
            <w:r>
              <w:rPr>
                <w:rFonts w:ascii="Times New Roman" w:hAnsi="Times New Roman"/>
              </w:rPr>
              <w:t xml:space="preserve">a Absatz </w:t>
            </w:r>
            <w:r w:rsidRPr="00532F3A">
              <w:rPr>
                <w:rFonts w:ascii="Times New Roman" w:hAnsi="Times New Roman"/>
              </w:rPr>
              <w:t>2</w:t>
            </w:r>
            <w:r>
              <w:rPr>
                <w:rFonts w:ascii="Times New Roman" w:hAnsi="Times New Roman"/>
              </w:rPr>
              <w:t xml:space="preserve">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Der Betrag der im Zusammenhang mit Derivaten gestellten Sicherheiten, wenn die Bereitstellung dieser Sicherheiten die Summe der Aktiva im Sinne des geltenden Rechnungslegungsrahmens gemäß Artikel </w:t>
            </w:r>
            <w:r w:rsidRPr="00532F3A">
              <w:rPr>
                <w:rFonts w:ascii="Times New Roman" w:hAnsi="Times New Roman"/>
              </w:rPr>
              <w:t>429</w:t>
            </w:r>
            <w:r>
              <w:rPr>
                <w:rFonts w:ascii="Times New Roman" w:hAnsi="Times New Roman"/>
              </w:rPr>
              <w:t xml:space="preserve">a Absatz </w:t>
            </w:r>
            <w:r w:rsidRPr="00532F3A">
              <w:rPr>
                <w:rFonts w:ascii="Times New Roman" w:hAnsi="Times New Roman"/>
              </w:rPr>
              <w:t>2</w:t>
            </w:r>
            <w:r>
              <w:rPr>
                <w:rFonts w:ascii="Times New Roman" w:hAnsi="Times New Roman"/>
              </w:rPr>
              <w:t xml:space="preserve"> CRR reduziert.</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In diesem Feld weisen die Institute keine Einschüsse für kundengeclearte Derivatgeschäfte mit einer qualifizierten ZGP oder abzugsfähige Barnachschüsse im Sinne von Artikel </w:t>
            </w:r>
            <w:r w:rsidRPr="00532F3A">
              <w:rPr>
                <w:rFonts w:ascii="Times New Roman" w:hAnsi="Times New Roman"/>
              </w:rPr>
              <w:t>429</w:t>
            </w:r>
            <w:r>
              <w:rPr>
                <w:rFonts w:ascii="Times New Roman" w:hAnsi="Times New Roman"/>
              </w:rPr>
              <w:t xml:space="preserve">a Absatz </w:t>
            </w:r>
            <w:r w:rsidRPr="00532F3A">
              <w:rPr>
                <w:rFonts w:ascii="Times New Roman" w:hAnsi="Times New Roman"/>
              </w:rPr>
              <w:t>3</w:t>
            </w:r>
            <w:r>
              <w:rPr>
                <w:rFonts w:ascii="Times New Roman" w:hAnsi="Times New Roman"/>
              </w:rPr>
              <w:t xml:space="preserve"> CRR aus.</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rPr>
              <w:t>{</w:t>
            </w:r>
            <w:r w:rsidRPr="00532F3A">
              <w:rPr>
                <w:rFonts w:ascii="Times New Roman" w:hAnsi="Times New Roman"/>
              </w:rPr>
              <w:t>210</w:t>
            </w:r>
            <w:r>
              <w:rPr>
                <w:rFonts w:ascii="Times New Roman" w:hAnsi="Times New Roman"/>
              </w:rPr>
              <w:t>;</w:t>
            </w:r>
            <w:r w:rsidRPr="00532F3A">
              <w:rPr>
                <w:rFonts w:ascii="Times New Roman" w:hAnsi="Times New Roman"/>
              </w:rPr>
              <w:t>010</w:t>
            </w:r>
            <w:r>
              <w:rPr>
                <w:rFonts w:ascii="Times New Roman" w:hAnsi="Times New Roman"/>
              </w:rPr>
              <w:t>}</w:t>
            </w:r>
          </w:p>
        </w:tc>
        <w:tc>
          <w:tcPr>
            <w:tcW w:w="7590" w:type="dxa"/>
            <w:tcBorders>
              <w:bottom w:val="single" w:sz="4" w:space="0" w:color="auto"/>
            </w:tcBorders>
          </w:tcPr>
          <w:p w:rsidR="00AE2798" w:rsidRDefault="00422C76" w:rsidP="00FE0FF1">
            <w:pPr>
              <w:pStyle w:val="BodyText1"/>
              <w:spacing w:line="240" w:lineRule="auto"/>
              <w:rPr>
                <w:rFonts w:ascii="Times New Roman" w:hAnsi="Times New Roman"/>
                <w:bCs/>
              </w:rPr>
            </w:pPr>
            <w:r>
              <w:rPr>
                <w:rFonts w:ascii="Times New Roman" w:hAnsi="Times New Roman"/>
                <w:b/>
              </w:rPr>
              <w:t>(-) Forderungen für in bar geleistete Nachschüsse bei Derivatgeschäften</w:t>
            </w:r>
          </w:p>
          <w:p w:rsidR="00AE2798" w:rsidRDefault="00AE2798" w:rsidP="00FE0FF1">
            <w:pPr>
              <w:pStyle w:val="BodyText1"/>
              <w:spacing w:line="240" w:lineRule="auto"/>
              <w:rPr>
                <w:rFonts w:ascii="Times New Roman" w:hAnsi="Times New Roman"/>
                <w:bCs/>
              </w:rPr>
            </w:pPr>
          </w:p>
          <w:p w:rsidR="00AE2798" w:rsidRDefault="006D3F98" w:rsidP="00FE0FF1">
            <w:pPr>
              <w:pStyle w:val="BodyText1"/>
              <w:spacing w:line="240" w:lineRule="auto"/>
              <w:rPr>
                <w:rFonts w:ascii="Times New Roman" w:hAnsi="Times New Roman"/>
                <w:bCs/>
              </w:rPr>
            </w:pPr>
            <w:r>
              <w:rPr>
                <w:rFonts w:ascii="Times New Roman" w:hAnsi="Times New Roman"/>
              </w:rPr>
              <w:t xml:space="preserve">Artikel </w:t>
            </w:r>
            <w:r w:rsidRPr="00532F3A">
              <w:rPr>
                <w:rFonts w:ascii="Times New Roman" w:hAnsi="Times New Roman"/>
              </w:rPr>
              <w:t>429</w:t>
            </w:r>
            <w:r>
              <w:rPr>
                <w:rFonts w:ascii="Times New Roman" w:hAnsi="Times New Roman"/>
              </w:rPr>
              <w:t xml:space="preserve">a Absatz </w:t>
            </w:r>
            <w:r w:rsidRPr="00532F3A">
              <w:rPr>
                <w:rFonts w:ascii="Times New Roman" w:hAnsi="Times New Roman"/>
              </w:rPr>
              <w:t>3</w:t>
            </w:r>
            <w:r>
              <w:rPr>
                <w:rFonts w:ascii="Times New Roman" w:hAnsi="Times New Roman"/>
              </w:rPr>
              <w:t xml:space="preserve"> Unterabsatz </w:t>
            </w:r>
            <w:r w:rsidRPr="00532F3A">
              <w:rPr>
                <w:rFonts w:ascii="Times New Roman" w:hAnsi="Times New Roman"/>
              </w:rPr>
              <w:t>3</w:t>
            </w:r>
            <w:r>
              <w:rPr>
                <w:rFonts w:ascii="Times New Roman" w:hAnsi="Times New Roman"/>
              </w:rPr>
              <w:t xml:space="preserve">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Die Forderungen für in bar an die Gegenpartei von Derivatgeschäften geleistete Nachschüsse, wenn das Institut nach dem geltenden Rechnungslegungsrahmen zur Erfassung dieser Forderungen als Aktiva verpflichtet ist, sofern die in Artikel </w:t>
            </w:r>
            <w:r w:rsidRPr="00532F3A">
              <w:rPr>
                <w:rFonts w:ascii="Times New Roman" w:hAnsi="Times New Roman"/>
              </w:rPr>
              <w:t>429</w:t>
            </w:r>
            <w:r>
              <w:rPr>
                <w:rFonts w:ascii="Times New Roman" w:hAnsi="Times New Roman"/>
              </w:rPr>
              <w:t xml:space="preserve">a Absatz </w:t>
            </w:r>
            <w:r w:rsidRPr="00532F3A">
              <w:rPr>
                <w:rFonts w:ascii="Times New Roman" w:hAnsi="Times New Roman"/>
              </w:rPr>
              <w:t>3</w:t>
            </w:r>
            <w:r>
              <w:rPr>
                <w:rFonts w:ascii="Times New Roman" w:hAnsi="Times New Roman"/>
              </w:rPr>
              <w:t xml:space="preserve"> Buchstaben a bis e CRR genannten Bedingungen erfüllt sind.</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Der gemeldete Betrag wird auch in den in {</w:t>
            </w:r>
            <w:r w:rsidRPr="00532F3A">
              <w:rPr>
                <w:rFonts w:ascii="Times New Roman" w:hAnsi="Times New Roman"/>
              </w:rPr>
              <w:t>190</w:t>
            </w:r>
            <w:r>
              <w:rPr>
                <w:rFonts w:ascii="Times New Roman" w:hAnsi="Times New Roman"/>
              </w:rPr>
              <w:t xml:space="preserve">, </w:t>
            </w:r>
            <w:r w:rsidRPr="00532F3A">
              <w:rPr>
                <w:rFonts w:ascii="Times New Roman" w:hAnsi="Times New Roman"/>
              </w:rPr>
              <w:t>010</w:t>
            </w:r>
            <w:r>
              <w:rPr>
                <w:rFonts w:ascii="Times New Roman" w:hAnsi="Times New Roman"/>
              </w:rPr>
              <w:t>} erfassten sonstigen Aktiva ausgewiesen.</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rPr>
              <w:t>{</w:t>
            </w:r>
            <w:r w:rsidRPr="00532F3A">
              <w:rPr>
                <w:rFonts w:ascii="Times New Roman" w:hAnsi="Times New Roman"/>
              </w:rPr>
              <w:t>220</w:t>
            </w:r>
            <w:r>
              <w:rPr>
                <w:rFonts w:ascii="Times New Roman" w:hAnsi="Times New Roman"/>
              </w:rPr>
              <w:t>;</w:t>
            </w:r>
            <w:r w:rsidRPr="00532F3A">
              <w:rPr>
                <w:rFonts w:ascii="Times New Roman" w:hAnsi="Times New Roman"/>
              </w:rPr>
              <w:t>010</w:t>
            </w:r>
            <w:r>
              <w:rPr>
                <w:rFonts w:ascii="Times New Roman" w:hAnsi="Times New Roman"/>
              </w:rPr>
              <w:t>}</w:t>
            </w:r>
          </w:p>
        </w:tc>
        <w:tc>
          <w:tcPr>
            <w:tcW w:w="7590" w:type="dxa"/>
            <w:tcBorders>
              <w:bottom w:val="single" w:sz="4" w:space="0" w:color="auto"/>
            </w:tcBorders>
          </w:tcPr>
          <w:p w:rsidR="00AE2798" w:rsidRDefault="00422C76" w:rsidP="00FE0FF1">
            <w:pPr>
              <w:pStyle w:val="BodyText1"/>
              <w:spacing w:line="240" w:lineRule="auto"/>
              <w:rPr>
                <w:rFonts w:ascii="Times New Roman" w:hAnsi="Times New Roman"/>
                <w:bCs/>
              </w:rPr>
            </w:pPr>
            <w:r>
              <w:rPr>
                <w:rFonts w:ascii="Times New Roman" w:hAnsi="Times New Roman"/>
                <w:b/>
              </w:rPr>
              <w:t>(-) Aus kundengeclearten Handelsrisikopositionen ausgeschlossener ZGP-Teil (Einschüsse)</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Artikel </w:t>
            </w:r>
            <w:r w:rsidRPr="00532F3A">
              <w:rPr>
                <w:rFonts w:ascii="Times New Roman" w:hAnsi="Times New Roman"/>
              </w:rPr>
              <w:t>429</w:t>
            </w:r>
            <w:r>
              <w:rPr>
                <w:rFonts w:ascii="Times New Roman" w:hAnsi="Times New Roman"/>
              </w:rPr>
              <w:t xml:space="preserve"> Absatz </w:t>
            </w:r>
            <w:r w:rsidRPr="00532F3A">
              <w:rPr>
                <w:rFonts w:ascii="Times New Roman" w:hAnsi="Times New Roman"/>
              </w:rPr>
              <w:t>11</w:t>
            </w:r>
            <w:r>
              <w:rPr>
                <w:rFonts w:ascii="Times New Roman" w:hAnsi="Times New Roman"/>
              </w:rPr>
              <w:t xml:space="preserve">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Der Anteil der (erfassten) Einschüsse für aus den kundengeclearten Derivatgeschäften </w:t>
            </w:r>
            <w:r>
              <w:rPr>
                <w:rFonts w:ascii="Times New Roman" w:hAnsi="Times New Roman"/>
              </w:rPr>
              <w:lastRenderedPageBreak/>
              <w:t xml:space="preserve">ausgeschlossene Handelsrisikopositionen gegenüber einer qualifizierten ZGP, sofern diese Positionen die in Artikel </w:t>
            </w:r>
            <w:r w:rsidRPr="00532F3A">
              <w:rPr>
                <w:rFonts w:ascii="Times New Roman" w:hAnsi="Times New Roman"/>
              </w:rPr>
              <w:t>306</w:t>
            </w:r>
            <w:r>
              <w:rPr>
                <w:rFonts w:ascii="Times New Roman" w:hAnsi="Times New Roman"/>
              </w:rPr>
              <w:t xml:space="preserve"> Absatz </w:t>
            </w:r>
            <w:r w:rsidRPr="00532F3A">
              <w:rPr>
                <w:rFonts w:ascii="Times New Roman" w:hAnsi="Times New Roman"/>
              </w:rPr>
              <w:t>1</w:t>
            </w:r>
            <w:r>
              <w:rPr>
                <w:rFonts w:ascii="Times New Roman" w:hAnsi="Times New Roman"/>
              </w:rPr>
              <w:t xml:space="preserve"> Buchstabe c CRR festgelegten Bedingungen erfüllen.</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Der gemeldete Betrag wird auch in den in {</w:t>
            </w:r>
            <w:r w:rsidRPr="00532F3A">
              <w:rPr>
                <w:rFonts w:ascii="Times New Roman" w:hAnsi="Times New Roman"/>
              </w:rPr>
              <w:t>190</w:t>
            </w:r>
            <w:r>
              <w:rPr>
                <w:rFonts w:ascii="Times New Roman" w:hAnsi="Times New Roman"/>
              </w:rPr>
              <w:t xml:space="preserve">, </w:t>
            </w:r>
            <w:r w:rsidRPr="00532F3A">
              <w:rPr>
                <w:rFonts w:ascii="Times New Roman" w:hAnsi="Times New Roman"/>
              </w:rPr>
              <w:t>010</w:t>
            </w:r>
            <w:r>
              <w:rPr>
                <w:rFonts w:ascii="Times New Roman" w:hAnsi="Times New Roman"/>
              </w:rPr>
              <w:t>} erfassten sonstigen Aktiva ausgewiesen.</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rPr>
              <w:lastRenderedPageBreak/>
              <w:t>{</w:t>
            </w:r>
            <w:r w:rsidRPr="00532F3A">
              <w:rPr>
                <w:rFonts w:ascii="Times New Roman" w:hAnsi="Times New Roman"/>
              </w:rPr>
              <w:t>230</w:t>
            </w:r>
            <w:r>
              <w:rPr>
                <w:rFonts w:ascii="Times New Roman" w:hAnsi="Times New Roman"/>
              </w:rPr>
              <w:t>;</w:t>
            </w:r>
            <w:r w:rsidRPr="00532F3A">
              <w:rPr>
                <w:rFonts w:ascii="Times New Roman" w:hAnsi="Times New Roman"/>
              </w:rPr>
              <w:t>010</w:t>
            </w:r>
            <w:r>
              <w:rPr>
                <w:rFonts w:ascii="Times New Roman" w:hAnsi="Times New Roman"/>
              </w:rPr>
              <w:t>}</w:t>
            </w:r>
          </w:p>
        </w:tc>
        <w:tc>
          <w:tcPr>
            <w:tcW w:w="7590" w:type="dxa"/>
            <w:tcBorders>
              <w:bottom w:val="single" w:sz="4" w:space="0" w:color="auto"/>
            </w:tcBorders>
          </w:tcPr>
          <w:p w:rsidR="00AE2798" w:rsidRDefault="00AE2798" w:rsidP="00FE0FF1">
            <w:pPr>
              <w:pStyle w:val="BodyText1"/>
              <w:spacing w:line="240" w:lineRule="auto"/>
              <w:rPr>
                <w:rFonts w:ascii="Times New Roman" w:hAnsi="Times New Roman"/>
                <w:bCs/>
              </w:rPr>
            </w:pPr>
            <w:r>
              <w:rPr>
                <w:rFonts w:ascii="Times New Roman" w:hAnsi="Times New Roman"/>
                <w:b/>
              </w:rPr>
              <w:t>Bereinigung um als Verkauf von SFTs verbuchte Geschäfte</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Artikel </w:t>
            </w:r>
            <w:r w:rsidRPr="00532F3A">
              <w:rPr>
                <w:rFonts w:ascii="Times New Roman" w:hAnsi="Times New Roman"/>
              </w:rPr>
              <w:t>429</w:t>
            </w:r>
            <w:r>
              <w:rPr>
                <w:rFonts w:ascii="Times New Roman" w:hAnsi="Times New Roman"/>
              </w:rPr>
              <w:t xml:space="preserve">b Absatz </w:t>
            </w:r>
            <w:r w:rsidRPr="00532F3A">
              <w:rPr>
                <w:rFonts w:ascii="Times New Roman" w:hAnsi="Times New Roman"/>
              </w:rPr>
              <w:t>5</w:t>
            </w:r>
            <w:r>
              <w:rPr>
                <w:rFonts w:ascii="Times New Roman" w:hAnsi="Times New Roman"/>
              </w:rPr>
              <w:t xml:space="preserve">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Der Wert der bei einem Pensionsgeschäft verliehenen Wertpapiere, die aufgrund eines als Verkauf verbuchten Geschäfts nach dem geltenden Rechnungslegungsrahmen ausgebucht wurden.</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rPr>
              <w:t>{</w:t>
            </w:r>
            <w:r w:rsidRPr="00532F3A">
              <w:rPr>
                <w:rFonts w:ascii="Times New Roman" w:hAnsi="Times New Roman"/>
              </w:rPr>
              <w:t>240</w:t>
            </w:r>
            <w:r>
              <w:rPr>
                <w:rFonts w:ascii="Times New Roman" w:hAnsi="Times New Roman"/>
              </w:rPr>
              <w:t>;</w:t>
            </w:r>
            <w:r w:rsidRPr="00532F3A">
              <w:rPr>
                <w:rFonts w:ascii="Times New Roman" w:hAnsi="Times New Roman"/>
              </w:rPr>
              <w:t>010</w:t>
            </w:r>
            <w:r>
              <w:rPr>
                <w:rFonts w:ascii="Times New Roman" w:hAnsi="Times New Roman"/>
              </w:rPr>
              <w:t>}</w:t>
            </w:r>
          </w:p>
        </w:tc>
        <w:tc>
          <w:tcPr>
            <w:tcW w:w="7590" w:type="dxa"/>
            <w:tcBorders>
              <w:bottom w:val="single" w:sz="4" w:space="0" w:color="auto"/>
            </w:tcBorders>
          </w:tcPr>
          <w:p w:rsidR="00AE2798" w:rsidRDefault="00422C76" w:rsidP="00FE0FF1">
            <w:pPr>
              <w:pStyle w:val="BodyText1"/>
              <w:spacing w:line="240" w:lineRule="auto"/>
              <w:rPr>
                <w:rFonts w:ascii="Times New Roman" w:hAnsi="Times New Roman"/>
                <w:bCs/>
              </w:rPr>
            </w:pPr>
            <w:r>
              <w:rPr>
                <w:rFonts w:ascii="Times New Roman" w:hAnsi="Times New Roman"/>
                <w:b/>
              </w:rPr>
              <w:t>(-) Treuhandvermögen</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Artikel </w:t>
            </w:r>
            <w:r w:rsidRPr="00532F3A">
              <w:rPr>
                <w:rFonts w:ascii="Times New Roman" w:hAnsi="Times New Roman"/>
              </w:rPr>
              <w:t>429</w:t>
            </w:r>
            <w:r>
              <w:rPr>
                <w:rFonts w:ascii="Times New Roman" w:hAnsi="Times New Roman"/>
              </w:rPr>
              <w:t xml:space="preserve"> Absatz </w:t>
            </w:r>
            <w:r w:rsidRPr="00532F3A">
              <w:rPr>
                <w:rFonts w:ascii="Times New Roman" w:hAnsi="Times New Roman"/>
              </w:rPr>
              <w:t>13</w:t>
            </w:r>
            <w:r>
              <w:rPr>
                <w:rFonts w:ascii="Times New Roman" w:hAnsi="Times New Roman"/>
              </w:rPr>
              <w:t xml:space="preserve">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Gemäß Artikel </w:t>
            </w:r>
            <w:r w:rsidRPr="00532F3A">
              <w:rPr>
                <w:rFonts w:ascii="Times New Roman" w:hAnsi="Times New Roman"/>
              </w:rPr>
              <w:t>429</w:t>
            </w:r>
            <w:r>
              <w:rPr>
                <w:rFonts w:ascii="Times New Roman" w:hAnsi="Times New Roman"/>
              </w:rPr>
              <w:t xml:space="preserve"> Absatz </w:t>
            </w:r>
            <w:r w:rsidRPr="00532F3A">
              <w:rPr>
                <w:rFonts w:ascii="Times New Roman" w:hAnsi="Times New Roman"/>
              </w:rPr>
              <w:t>13</w:t>
            </w:r>
            <w:r>
              <w:rPr>
                <w:rFonts w:ascii="Times New Roman" w:hAnsi="Times New Roman"/>
              </w:rPr>
              <w:t xml:space="preserve"> CRR der Wert des Treuhandvermögens, das die Ausbuchungskriterien des IAS </w:t>
            </w:r>
            <w:r w:rsidRPr="00532F3A">
              <w:rPr>
                <w:rFonts w:ascii="Times New Roman" w:hAnsi="Times New Roman"/>
              </w:rPr>
              <w:t>39</w:t>
            </w:r>
            <w:r>
              <w:rPr>
                <w:rFonts w:ascii="Times New Roman" w:hAnsi="Times New Roman"/>
              </w:rPr>
              <w:t xml:space="preserve"> und gegebenenfalls die Entkonsolidierungskriterien des IFRS </w:t>
            </w:r>
            <w:r w:rsidRPr="00532F3A">
              <w:rPr>
                <w:rFonts w:ascii="Times New Roman" w:hAnsi="Times New Roman"/>
              </w:rPr>
              <w:t>10</w:t>
            </w:r>
            <w:r>
              <w:rPr>
                <w:rFonts w:ascii="Times New Roman" w:hAnsi="Times New Roman"/>
              </w:rPr>
              <w:t xml:space="preserve"> erfüllt, in der Annahme, dass es keine Bilanzierungs-Netting- oder anderen CRM-Effekte gibt (d. h. die Bilanzierungs-Netting- oder CRM-Effekte in Bezug auf den Bilanzwert werden zurückgenommen).</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Der gemeldete Betrag wird auch in den in {</w:t>
            </w:r>
            <w:r w:rsidRPr="00532F3A">
              <w:rPr>
                <w:rFonts w:ascii="Times New Roman" w:hAnsi="Times New Roman"/>
              </w:rPr>
              <w:t>190</w:t>
            </w:r>
            <w:r>
              <w:rPr>
                <w:rFonts w:ascii="Times New Roman" w:hAnsi="Times New Roman"/>
              </w:rPr>
              <w:t xml:space="preserve">, </w:t>
            </w:r>
            <w:r w:rsidRPr="00532F3A">
              <w:rPr>
                <w:rFonts w:ascii="Times New Roman" w:hAnsi="Times New Roman"/>
              </w:rPr>
              <w:t>010</w:t>
            </w:r>
            <w:r>
              <w:rPr>
                <w:rFonts w:ascii="Times New Roman" w:hAnsi="Times New Roman"/>
              </w:rPr>
              <w:t>} erfassten sonstigen Aktiva ausgewiesen.</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rPr>
              <w:t>{</w:t>
            </w:r>
            <w:r w:rsidRPr="00532F3A">
              <w:rPr>
                <w:rFonts w:ascii="Times New Roman" w:hAnsi="Times New Roman"/>
              </w:rPr>
              <w:t>250</w:t>
            </w:r>
            <w:r>
              <w:rPr>
                <w:rFonts w:ascii="Times New Roman" w:hAnsi="Times New Roman"/>
              </w:rPr>
              <w:t>;</w:t>
            </w:r>
            <w:r w:rsidRPr="00532F3A">
              <w:rPr>
                <w:rFonts w:ascii="Times New Roman" w:hAnsi="Times New Roman"/>
              </w:rPr>
              <w:t>010</w:t>
            </w:r>
            <w:r>
              <w:rPr>
                <w:rFonts w:ascii="Times New Roman" w:hAnsi="Times New Roman"/>
              </w:rPr>
              <w:t>}</w:t>
            </w:r>
          </w:p>
        </w:tc>
        <w:tc>
          <w:tcPr>
            <w:tcW w:w="7590" w:type="dxa"/>
            <w:tcBorders>
              <w:bottom w:val="single" w:sz="4" w:space="0" w:color="auto"/>
            </w:tcBorders>
          </w:tcPr>
          <w:p w:rsidR="00AE2798" w:rsidRDefault="00422C76" w:rsidP="00FE0FF1">
            <w:pPr>
              <w:pStyle w:val="BodyText1"/>
              <w:spacing w:line="240" w:lineRule="auto"/>
              <w:rPr>
                <w:rFonts w:ascii="Times New Roman" w:hAnsi="Times New Roman"/>
                <w:bCs/>
              </w:rPr>
            </w:pPr>
            <w:r>
              <w:rPr>
                <w:rFonts w:ascii="Times New Roman" w:hAnsi="Times New Roman"/>
                <w:b/>
              </w:rPr>
              <w:t xml:space="preserve">(-) Gruppeninterne Risikopositionen, die gemäß Artikel </w:t>
            </w:r>
            <w:r w:rsidRPr="00532F3A">
              <w:rPr>
                <w:rFonts w:ascii="Times New Roman" w:hAnsi="Times New Roman"/>
                <w:b/>
              </w:rPr>
              <w:t>429</w:t>
            </w:r>
            <w:r>
              <w:rPr>
                <w:rFonts w:ascii="Times New Roman" w:hAnsi="Times New Roman"/>
                <w:b/>
              </w:rPr>
              <w:t xml:space="preserve"> Absatz </w:t>
            </w:r>
            <w:r w:rsidRPr="00532F3A">
              <w:rPr>
                <w:rFonts w:ascii="Times New Roman" w:hAnsi="Times New Roman"/>
                <w:b/>
              </w:rPr>
              <w:t>7</w:t>
            </w:r>
            <w:r>
              <w:rPr>
                <w:rFonts w:ascii="Times New Roman" w:hAnsi="Times New Roman"/>
                <w:b/>
              </w:rPr>
              <w:t xml:space="preserve"> der CRR unberücksichtigt bleiben dürfen (Einzelbasis)</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Artikel </w:t>
            </w:r>
            <w:r w:rsidRPr="00532F3A">
              <w:rPr>
                <w:rFonts w:ascii="Times New Roman" w:hAnsi="Times New Roman"/>
              </w:rPr>
              <w:t>429</w:t>
            </w:r>
            <w:r>
              <w:rPr>
                <w:rFonts w:ascii="Times New Roman" w:hAnsi="Times New Roman"/>
              </w:rPr>
              <w:t xml:space="preserve"> Absatz </w:t>
            </w:r>
            <w:r w:rsidRPr="00532F3A">
              <w:rPr>
                <w:rFonts w:ascii="Times New Roman" w:hAnsi="Times New Roman"/>
              </w:rPr>
              <w:t>7</w:t>
            </w:r>
            <w:r>
              <w:rPr>
                <w:rFonts w:ascii="Times New Roman" w:hAnsi="Times New Roman"/>
              </w:rPr>
              <w:t xml:space="preserve"> und Artikel </w:t>
            </w:r>
            <w:r w:rsidRPr="00532F3A">
              <w:rPr>
                <w:rFonts w:ascii="Times New Roman" w:hAnsi="Times New Roman"/>
              </w:rPr>
              <w:t>113</w:t>
            </w:r>
            <w:r>
              <w:rPr>
                <w:rFonts w:ascii="Times New Roman" w:hAnsi="Times New Roman"/>
              </w:rPr>
              <w:t xml:space="preserve"> Absatz </w:t>
            </w:r>
            <w:r w:rsidRPr="00532F3A">
              <w:rPr>
                <w:rFonts w:ascii="Times New Roman" w:hAnsi="Times New Roman"/>
              </w:rPr>
              <w:t>6</w:t>
            </w:r>
            <w:r>
              <w:rPr>
                <w:rFonts w:ascii="Times New Roman" w:hAnsi="Times New Roman"/>
              </w:rPr>
              <w:t xml:space="preserve">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Risikopositionen, die auf der anwendbaren Konsolidierungsebene nicht konsolidiert wurden und bei denen nach Artikel </w:t>
            </w:r>
            <w:r w:rsidRPr="00532F3A">
              <w:rPr>
                <w:rFonts w:ascii="Times New Roman" w:hAnsi="Times New Roman"/>
              </w:rPr>
              <w:t>113</w:t>
            </w:r>
            <w:r>
              <w:rPr>
                <w:rFonts w:ascii="Times New Roman" w:hAnsi="Times New Roman"/>
              </w:rPr>
              <w:t xml:space="preserve"> Absatz </w:t>
            </w:r>
            <w:r w:rsidRPr="00532F3A">
              <w:rPr>
                <w:rFonts w:ascii="Times New Roman" w:hAnsi="Times New Roman"/>
              </w:rPr>
              <w:t>6</w:t>
            </w:r>
            <w:r>
              <w:rPr>
                <w:rFonts w:ascii="Times New Roman" w:hAnsi="Times New Roman"/>
              </w:rPr>
              <w:t xml:space="preserve"> CRR verfahren werden kann, sofern alle in Artikel </w:t>
            </w:r>
            <w:r w:rsidRPr="00532F3A">
              <w:rPr>
                <w:rFonts w:ascii="Times New Roman" w:hAnsi="Times New Roman"/>
              </w:rPr>
              <w:t>113</w:t>
            </w:r>
            <w:r>
              <w:rPr>
                <w:rFonts w:ascii="Times New Roman" w:hAnsi="Times New Roman"/>
              </w:rPr>
              <w:t xml:space="preserve"> Absatz </w:t>
            </w:r>
            <w:r w:rsidRPr="00532F3A">
              <w:rPr>
                <w:rFonts w:ascii="Times New Roman" w:hAnsi="Times New Roman"/>
              </w:rPr>
              <w:t>6</w:t>
            </w:r>
            <w:r>
              <w:rPr>
                <w:rFonts w:ascii="Times New Roman" w:hAnsi="Times New Roman"/>
              </w:rPr>
              <w:t xml:space="preserve"> Buchstaben a bis e CRR genannten Bedingungen erfüllt sind und die zuständigen Behörden eine entsprechende Erlaubnis erteilt haben.</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Der gemeldete Betrag ist auch in den vorangehenden anwendbaren Feldern auszuweisen, so als gälte keine Ausnahme.</w:t>
            </w:r>
          </w:p>
          <w:p w:rsidR="00AE2798" w:rsidRPr="0084012A" w:rsidRDefault="00AE2798" w:rsidP="00FE0FF1">
            <w:pPr>
              <w:pStyle w:val="BodyText1"/>
              <w:spacing w:line="240" w:lineRule="auto"/>
              <w:rPr>
                <w:rFonts w:ascii="Times New Roman" w:hAnsi="Times New Roman"/>
                <w:bCs/>
              </w:rPr>
            </w:pPr>
          </w:p>
        </w:tc>
      </w:tr>
      <w:tr w:rsidR="004A1A27" w:rsidRPr="00FE002E" w:rsidTr="00FE0FF1">
        <w:trPr>
          <w:trHeight w:val="304"/>
        </w:trPr>
        <w:tc>
          <w:tcPr>
            <w:tcW w:w="1418" w:type="dxa"/>
            <w:tcBorders>
              <w:bottom w:val="single" w:sz="4" w:space="0" w:color="auto"/>
            </w:tcBorders>
          </w:tcPr>
          <w:p w:rsidR="004A1A27" w:rsidRDefault="004A1A27" w:rsidP="00FE0FF1">
            <w:pPr>
              <w:pStyle w:val="BodyText1"/>
              <w:rPr>
                <w:rFonts w:ascii="Times New Roman" w:hAnsi="Times New Roman"/>
                <w:bCs/>
              </w:rPr>
            </w:pPr>
            <w:r>
              <w:rPr>
                <w:rFonts w:ascii="Times New Roman" w:hAnsi="Times New Roman"/>
              </w:rPr>
              <w:t>{</w:t>
            </w:r>
            <w:r w:rsidRPr="00532F3A">
              <w:rPr>
                <w:rFonts w:ascii="Times New Roman" w:hAnsi="Times New Roman"/>
              </w:rPr>
              <w:t>260</w:t>
            </w:r>
            <w:r>
              <w:rPr>
                <w:rFonts w:ascii="Times New Roman" w:hAnsi="Times New Roman"/>
              </w:rPr>
              <w:t>;</w:t>
            </w:r>
            <w:r w:rsidRPr="00532F3A">
              <w:rPr>
                <w:rFonts w:ascii="Times New Roman" w:hAnsi="Times New Roman"/>
              </w:rPr>
              <w:t>010</w:t>
            </w:r>
            <w:r>
              <w:rPr>
                <w:rFonts w:ascii="Times New Roman" w:hAnsi="Times New Roman"/>
              </w:rPr>
              <w:t>}</w:t>
            </w:r>
          </w:p>
        </w:tc>
        <w:tc>
          <w:tcPr>
            <w:tcW w:w="7590" w:type="dxa"/>
            <w:tcBorders>
              <w:bottom w:val="single" w:sz="4" w:space="0" w:color="auto"/>
            </w:tcBorders>
          </w:tcPr>
          <w:p w:rsidR="004A1A27" w:rsidRDefault="00422C76" w:rsidP="003113EE">
            <w:pPr>
              <w:pStyle w:val="BodyText1"/>
              <w:spacing w:line="240" w:lineRule="auto"/>
              <w:rPr>
                <w:rFonts w:ascii="Times New Roman" w:hAnsi="Times New Roman"/>
                <w:bCs/>
              </w:rPr>
            </w:pPr>
            <w:r>
              <w:rPr>
                <w:rFonts w:ascii="Times New Roman" w:hAnsi="Times New Roman"/>
                <w:b/>
              </w:rPr>
              <w:t xml:space="preserve">(-) Risikopositionen, die gemäß Artikel </w:t>
            </w:r>
            <w:r w:rsidRPr="00532F3A">
              <w:rPr>
                <w:rFonts w:ascii="Times New Roman" w:hAnsi="Times New Roman"/>
                <w:b/>
              </w:rPr>
              <w:t>429</w:t>
            </w:r>
            <w:r>
              <w:rPr>
                <w:rFonts w:ascii="Times New Roman" w:hAnsi="Times New Roman"/>
                <w:b/>
              </w:rPr>
              <w:t xml:space="preserve"> Absatz </w:t>
            </w:r>
            <w:r w:rsidRPr="00532F3A">
              <w:rPr>
                <w:rFonts w:ascii="Times New Roman" w:hAnsi="Times New Roman"/>
                <w:b/>
              </w:rPr>
              <w:t>14</w:t>
            </w:r>
            <w:r>
              <w:rPr>
                <w:rFonts w:ascii="Times New Roman" w:hAnsi="Times New Roman"/>
                <w:b/>
              </w:rPr>
              <w:t xml:space="preserve"> der CRR unberücksichtigt bleiben dürfen</w:t>
            </w:r>
          </w:p>
          <w:p w:rsidR="004A1A27" w:rsidRDefault="004A1A27" w:rsidP="003113EE">
            <w:pPr>
              <w:pStyle w:val="BodyText1"/>
              <w:spacing w:line="240" w:lineRule="auto"/>
              <w:rPr>
                <w:rFonts w:ascii="Times New Roman" w:hAnsi="Times New Roman"/>
                <w:bCs/>
              </w:rPr>
            </w:pPr>
          </w:p>
          <w:p w:rsidR="004A1A27" w:rsidRDefault="004A1A27" w:rsidP="003113EE">
            <w:pPr>
              <w:pStyle w:val="BodyText1"/>
              <w:spacing w:line="240" w:lineRule="auto"/>
              <w:rPr>
                <w:rFonts w:ascii="Times New Roman" w:hAnsi="Times New Roman"/>
                <w:bCs/>
              </w:rPr>
            </w:pPr>
            <w:r>
              <w:rPr>
                <w:rFonts w:ascii="Times New Roman" w:hAnsi="Times New Roman"/>
              </w:rPr>
              <w:t xml:space="preserve">Artikel </w:t>
            </w:r>
            <w:r w:rsidRPr="00532F3A">
              <w:rPr>
                <w:rFonts w:ascii="Times New Roman" w:hAnsi="Times New Roman"/>
              </w:rPr>
              <w:t>429</w:t>
            </w:r>
            <w:r>
              <w:rPr>
                <w:rFonts w:ascii="Times New Roman" w:hAnsi="Times New Roman"/>
              </w:rPr>
              <w:t xml:space="preserve"> Absatz </w:t>
            </w:r>
            <w:r w:rsidRPr="00532F3A">
              <w:rPr>
                <w:rFonts w:ascii="Times New Roman" w:hAnsi="Times New Roman"/>
              </w:rPr>
              <w:t>14</w:t>
            </w:r>
            <w:r>
              <w:rPr>
                <w:rFonts w:ascii="Times New Roman" w:hAnsi="Times New Roman"/>
              </w:rPr>
              <w:t xml:space="preserve"> CRR</w:t>
            </w:r>
          </w:p>
          <w:p w:rsidR="004A1A27" w:rsidRDefault="004A1A27" w:rsidP="003113EE">
            <w:pPr>
              <w:pStyle w:val="BodyText1"/>
              <w:spacing w:line="240" w:lineRule="auto"/>
              <w:rPr>
                <w:rFonts w:ascii="Times New Roman" w:hAnsi="Times New Roman"/>
                <w:bCs/>
              </w:rPr>
            </w:pPr>
          </w:p>
          <w:p w:rsidR="004A1A27" w:rsidRDefault="004A1A27" w:rsidP="003113EE">
            <w:pPr>
              <w:pStyle w:val="BodyText1"/>
              <w:spacing w:line="240" w:lineRule="auto"/>
              <w:rPr>
                <w:rFonts w:ascii="Times New Roman" w:hAnsi="Times New Roman"/>
                <w:bCs/>
              </w:rPr>
            </w:pPr>
            <w:r>
              <w:rPr>
                <w:rFonts w:ascii="Times New Roman" w:hAnsi="Times New Roman"/>
              </w:rPr>
              <w:t xml:space="preserve">Risikopositionen, die gemäß Artikel </w:t>
            </w:r>
            <w:r w:rsidRPr="00532F3A">
              <w:rPr>
                <w:rFonts w:ascii="Times New Roman" w:hAnsi="Times New Roman"/>
              </w:rPr>
              <w:t>429</w:t>
            </w:r>
            <w:r>
              <w:rPr>
                <w:rFonts w:ascii="Times New Roman" w:hAnsi="Times New Roman"/>
              </w:rPr>
              <w:t xml:space="preserve"> Absatz </w:t>
            </w:r>
            <w:r w:rsidRPr="00532F3A">
              <w:rPr>
                <w:rFonts w:ascii="Times New Roman" w:hAnsi="Times New Roman"/>
              </w:rPr>
              <w:t>14</w:t>
            </w:r>
            <w:r>
              <w:rPr>
                <w:rFonts w:ascii="Times New Roman" w:hAnsi="Times New Roman"/>
              </w:rPr>
              <w:t xml:space="preserve"> CRR unberücksichtigt geblieben sind, sofern die dort genannten Anforderungen erfüllt sind und die zuständigen Behörden eine entsprechende Erlaubnis erteilt haben.</w:t>
            </w:r>
          </w:p>
          <w:p w:rsidR="004A1A27" w:rsidRDefault="004A1A27" w:rsidP="003113EE">
            <w:pPr>
              <w:pStyle w:val="BodyText1"/>
              <w:spacing w:line="240" w:lineRule="auto"/>
              <w:rPr>
                <w:rFonts w:ascii="Times New Roman" w:hAnsi="Times New Roman"/>
                <w:bCs/>
              </w:rPr>
            </w:pPr>
          </w:p>
          <w:p w:rsidR="004A1A27" w:rsidRDefault="004A1A27" w:rsidP="003113EE">
            <w:pPr>
              <w:pStyle w:val="BodyText1"/>
              <w:spacing w:line="240" w:lineRule="auto"/>
              <w:rPr>
                <w:rFonts w:ascii="Times New Roman" w:hAnsi="Times New Roman"/>
                <w:bCs/>
              </w:rPr>
            </w:pPr>
            <w:r>
              <w:rPr>
                <w:rFonts w:ascii="Times New Roman" w:hAnsi="Times New Roman"/>
              </w:rPr>
              <w:t>Der gemeldete Betrag ist auch in den vorangehenden anwendbaren Feldern auszuweisen, so als gälte keine Ausnahme.</w:t>
            </w:r>
          </w:p>
          <w:p w:rsidR="004A1A27" w:rsidRDefault="004A1A27" w:rsidP="00FE0FF1">
            <w:pPr>
              <w:pStyle w:val="BodyText1"/>
              <w:spacing w:line="240" w:lineRule="auto"/>
              <w:rPr>
                <w:rFonts w:ascii="Times New Roman" w:hAnsi="Times New Roman"/>
                <w:b/>
                <w:bCs/>
              </w:rPr>
            </w:pPr>
          </w:p>
        </w:tc>
      </w:tr>
      <w:tr w:rsidR="009264ED" w:rsidRPr="00FE002E" w:rsidTr="00FE0FF1">
        <w:trPr>
          <w:trHeight w:val="304"/>
        </w:trPr>
        <w:tc>
          <w:tcPr>
            <w:tcW w:w="1418" w:type="dxa"/>
            <w:tcBorders>
              <w:bottom w:val="single" w:sz="4" w:space="0" w:color="auto"/>
            </w:tcBorders>
          </w:tcPr>
          <w:p w:rsidR="009264ED" w:rsidRPr="00FE002E" w:rsidRDefault="009264ED" w:rsidP="009264ED">
            <w:pPr>
              <w:pStyle w:val="BodyText1"/>
              <w:rPr>
                <w:rFonts w:ascii="Times New Roman" w:hAnsi="Times New Roman"/>
                <w:bCs/>
              </w:rPr>
            </w:pPr>
            <w:r>
              <w:rPr>
                <w:rFonts w:ascii="Times New Roman" w:hAnsi="Times New Roman"/>
              </w:rPr>
              <w:t>{</w:t>
            </w:r>
            <w:r w:rsidRPr="00532F3A">
              <w:rPr>
                <w:rFonts w:ascii="Times New Roman" w:hAnsi="Times New Roman"/>
              </w:rPr>
              <w:t>270</w:t>
            </w:r>
            <w:r>
              <w:rPr>
                <w:rFonts w:ascii="Times New Roman" w:hAnsi="Times New Roman"/>
              </w:rPr>
              <w:t>;</w:t>
            </w:r>
            <w:r w:rsidRPr="00532F3A">
              <w:rPr>
                <w:rFonts w:ascii="Times New Roman" w:hAnsi="Times New Roman"/>
              </w:rPr>
              <w:t>010</w:t>
            </w:r>
            <w:r>
              <w:rPr>
                <w:rFonts w:ascii="Times New Roman" w:hAnsi="Times New Roman"/>
              </w:rPr>
              <w:t>}</w:t>
            </w:r>
          </w:p>
          <w:p w:rsidR="009264ED" w:rsidRDefault="009264ED" w:rsidP="00FE0FF1">
            <w:pPr>
              <w:pStyle w:val="BodyText1"/>
              <w:rPr>
                <w:rFonts w:ascii="Times New Roman" w:hAnsi="Times New Roman"/>
                <w:bCs/>
              </w:rPr>
            </w:pPr>
          </w:p>
        </w:tc>
        <w:tc>
          <w:tcPr>
            <w:tcW w:w="7590" w:type="dxa"/>
            <w:tcBorders>
              <w:bottom w:val="single" w:sz="4" w:space="0" w:color="auto"/>
            </w:tcBorders>
          </w:tcPr>
          <w:p w:rsidR="009264ED" w:rsidRPr="00FE002E" w:rsidRDefault="009264ED" w:rsidP="009264ED">
            <w:pPr>
              <w:pStyle w:val="BodyText1"/>
              <w:spacing w:line="240" w:lineRule="auto"/>
              <w:rPr>
                <w:rFonts w:ascii="Times New Roman" w:hAnsi="Times New Roman"/>
              </w:rPr>
            </w:pPr>
            <w:r>
              <w:rPr>
                <w:rFonts w:ascii="Times New Roman" w:hAnsi="Times New Roman"/>
                <w:b/>
              </w:rPr>
              <w:t>(-) Von Posten des Kernkapitals abgezogener Aktivbetrag — Definition nach vollständiger Einführung der neuen Bestimmungen</w:t>
            </w:r>
          </w:p>
          <w:p w:rsidR="009264ED" w:rsidRPr="00FE002E" w:rsidRDefault="009264ED" w:rsidP="009264ED">
            <w:pPr>
              <w:pStyle w:val="BodyText1"/>
              <w:spacing w:line="240" w:lineRule="auto"/>
              <w:rPr>
                <w:rFonts w:ascii="Times New Roman" w:hAnsi="Times New Roman"/>
              </w:rPr>
            </w:pPr>
          </w:p>
          <w:p w:rsidR="009264ED" w:rsidRPr="00FE002E" w:rsidRDefault="009264ED" w:rsidP="009264ED">
            <w:pPr>
              <w:pStyle w:val="BodyText1"/>
              <w:spacing w:line="240" w:lineRule="auto"/>
              <w:rPr>
                <w:rFonts w:ascii="Times New Roman" w:hAnsi="Times New Roman"/>
              </w:rPr>
            </w:pPr>
            <w:r>
              <w:rPr>
                <w:rFonts w:ascii="Times New Roman" w:hAnsi="Times New Roman"/>
              </w:rPr>
              <w:t xml:space="preserve">Artikel </w:t>
            </w:r>
            <w:r w:rsidRPr="00532F3A">
              <w:rPr>
                <w:rFonts w:ascii="Times New Roman" w:hAnsi="Times New Roman"/>
              </w:rPr>
              <w:t>429</w:t>
            </w:r>
            <w:r>
              <w:rPr>
                <w:rFonts w:ascii="Times New Roman" w:hAnsi="Times New Roman"/>
              </w:rPr>
              <w:t xml:space="preserve"> Absatz </w:t>
            </w:r>
            <w:r w:rsidRPr="00532F3A">
              <w:rPr>
                <w:rFonts w:ascii="Times New Roman" w:hAnsi="Times New Roman"/>
              </w:rPr>
              <w:t>4</w:t>
            </w:r>
            <w:r>
              <w:rPr>
                <w:rFonts w:ascii="Times New Roman" w:hAnsi="Times New Roman"/>
              </w:rPr>
              <w:t xml:space="preserve"> Buchstabe a und Artikel </w:t>
            </w:r>
            <w:r w:rsidRPr="00532F3A">
              <w:rPr>
                <w:rFonts w:ascii="Times New Roman" w:hAnsi="Times New Roman"/>
              </w:rPr>
              <w:t>499</w:t>
            </w:r>
            <w:r>
              <w:rPr>
                <w:rFonts w:ascii="Times New Roman" w:hAnsi="Times New Roman"/>
              </w:rPr>
              <w:t xml:space="preserve"> Absatz </w:t>
            </w:r>
            <w:r w:rsidRPr="00532F3A">
              <w:rPr>
                <w:rFonts w:ascii="Times New Roman" w:hAnsi="Times New Roman"/>
              </w:rPr>
              <w:t>1</w:t>
            </w:r>
            <w:r>
              <w:rPr>
                <w:rFonts w:ascii="Times New Roman" w:hAnsi="Times New Roman"/>
              </w:rPr>
              <w:t xml:space="preserve"> Buchstabe a CRR</w:t>
            </w:r>
          </w:p>
          <w:p w:rsidR="009264ED" w:rsidRPr="00FE002E" w:rsidRDefault="009264ED" w:rsidP="009264ED">
            <w:pPr>
              <w:pStyle w:val="BodyText1"/>
              <w:spacing w:line="240" w:lineRule="auto"/>
              <w:rPr>
                <w:rFonts w:ascii="Times New Roman" w:hAnsi="Times New Roman"/>
              </w:rPr>
            </w:pPr>
          </w:p>
          <w:p w:rsidR="009264ED" w:rsidRDefault="009264ED" w:rsidP="009264ED">
            <w:pPr>
              <w:pStyle w:val="BodyText1"/>
              <w:spacing w:line="240" w:lineRule="auto"/>
              <w:rPr>
                <w:rFonts w:ascii="Times New Roman" w:hAnsi="Times New Roman"/>
                <w:bCs/>
              </w:rPr>
            </w:pPr>
            <w:r>
              <w:rPr>
                <w:rFonts w:ascii="Times New Roman" w:hAnsi="Times New Roman"/>
              </w:rPr>
              <w:t xml:space="preserve">Enthält alle Wertberichtigungen von Aktiva, die durch eine der folgenden Bestimmungen </w:t>
            </w:r>
            <w:r>
              <w:rPr>
                <w:rFonts w:ascii="Times New Roman" w:hAnsi="Times New Roman"/>
              </w:rPr>
              <w:lastRenderedPageBreak/>
              <w:t>vorgeschrieben sind:</w:t>
            </w:r>
          </w:p>
          <w:p w:rsidR="009264ED" w:rsidRDefault="00500508" w:rsidP="00500508">
            <w:pPr>
              <w:pStyle w:val="BodyText1"/>
              <w:spacing w:line="240" w:lineRule="auto"/>
              <w:ind w:left="720" w:hanging="360"/>
              <w:rPr>
                <w:rFonts w:ascii="Times New Roman" w:hAnsi="Times New Roman"/>
                <w:bCs/>
              </w:rPr>
            </w:pPr>
            <w:r>
              <w:rPr>
                <w:rFonts w:ascii="Times New Roman" w:hAnsi="Times New Roman"/>
              </w:rPr>
              <w:t>-</w:t>
            </w:r>
            <w:r>
              <w:tab/>
            </w:r>
            <w:r>
              <w:rPr>
                <w:rFonts w:ascii="Times New Roman" w:hAnsi="Times New Roman"/>
              </w:rPr>
              <w:t xml:space="preserve">Artikel </w:t>
            </w:r>
            <w:r w:rsidRPr="00532F3A">
              <w:rPr>
                <w:rFonts w:ascii="Times New Roman" w:hAnsi="Times New Roman"/>
              </w:rPr>
              <w:t>32</w:t>
            </w:r>
            <w:r>
              <w:rPr>
                <w:rFonts w:ascii="Times New Roman" w:hAnsi="Times New Roman"/>
              </w:rPr>
              <w:t xml:space="preserve"> bis </w:t>
            </w:r>
            <w:r w:rsidRPr="00532F3A">
              <w:rPr>
                <w:rFonts w:ascii="Times New Roman" w:hAnsi="Times New Roman"/>
              </w:rPr>
              <w:t>35</w:t>
            </w:r>
            <w:r>
              <w:rPr>
                <w:rFonts w:ascii="Times New Roman" w:hAnsi="Times New Roman"/>
              </w:rPr>
              <w:t xml:space="preserve"> CRR oder </w:t>
            </w:r>
          </w:p>
          <w:p w:rsidR="009264ED" w:rsidRDefault="00500508" w:rsidP="00500508">
            <w:pPr>
              <w:pStyle w:val="BodyText1"/>
              <w:spacing w:line="240" w:lineRule="auto"/>
              <w:ind w:left="720" w:hanging="360"/>
              <w:rPr>
                <w:rFonts w:ascii="Times New Roman" w:hAnsi="Times New Roman"/>
                <w:bCs/>
              </w:rPr>
            </w:pPr>
            <w:r>
              <w:rPr>
                <w:rFonts w:ascii="Times New Roman" w:hAnsi="Times New Roman"/>
              </w:rPr>
              <w:t>-</w:t>
            </w:r>
            <w:r>
              <w:tab/>
            </w:r>
            <w:r>
              <w:rPr>
                <w:rFonts w:ascii="Times New Roman" w:hAnsi="Times New Roman"/>
              </w:rPr>
              <w:t xml:space="preserve">Artikel </w:t>
            </w:r>
            <w:r w:rsidRPr="00532F3A">
              <w:rPr>
                <w:rFonts w:ascii="Times New Roman" w:hAnsi="Times New Roman"/>
              </w:rPr>
              <w:t>36</w:t>
            </w:r>
            <w:r>
              <w:rPr>
                <w:rFonts w:ascii="Times New Roman" w:hAnsi="Times New Roman"/>
              </w:rPr>
              <w:t xml:space="preserve"> bis </w:t>
            </w:r>
            <w:r w:rsidRPr="00532F3A">
              <w:rPr>
                <w:rFonts w:ascii="Times New Roman" w:hAnsi="Times New Roman"/>
              </w:rPr>
              <w:t>47</w:t>
            </w:r>
            <w:r>
              <w:rPr>
                <w:rFonts w:ascii="Times New Roman" w:hAnsi="Times New Roman"/>
              </w:rPr>
              <w:t xml:space="preserve"> CRR oder</w:t>
            </w:r>
          </w:p>
          <w:p w:rsidR="009264ED" w:rsidRDefault="00500508" w:rsidP="00500508">
            <w:pPr>
              <w:pStyle w:val="BodyText1"/>
              <w:spacing w:line="240" w:lineRule="auto"/>
              <w:ind w:left="720" w:hanging="360"/>
              <w:rPr>
                <w:rFonts w:ascii="Times New Roman" w:hAnsi="Times New Roman"/>
                <w:bCs/>
              </w:rPr>
            </w:pPr>
            <w:r>
              <w:rPr>
                <w:rFonts w:ascii="Times New Roman" w:hAnsi="Times New Roman"/>
              </w:rPr>
              <w:t>-</w:t>
            </w:r>
            <w:r>
              <w:tab/>
            </w:r>
            <w:r>
              <w:rPr>
                <w:rFonts w:ascii="Times New Roman" w:hAnsi="Times New Roman"/>
              </w:rPr>
              <w:t xml:space="preserve">Artikel </w:t>
            </w:r>
            <w:r w:rsidRPr="00532F3A">
              <w:rPr>
                <w:rFonts w:ascii="Times New Roman" w:hAnsi="Times New Roman"/>
              </w:rPr>
              <w:t>56</w:t>
            </w:r>
            <w:r>
              <w:rPr>
                <w:rFonts w:ascii="Times New Roman" w:hAnsi="Times New Roman"/>
              </w:rPr>
              <w:t xml:space="preserve"> bis </w:t>
            </w:r>
            <w:r w:rsidRPr="00532F3A">
              <w:rPr>
                <w:rFonts w:ascii="Times New Roman" w:hAnsi="Times New Roman"/>
              </w:rPr>
              <w:t>60</w:t>
            </w:r>
            <w:r>
              <w:rPr>
                <w:rFonts w:ascii="Times New Roman" w:hAnsi="Times New Roman"/>
              </w:rPr>
              <w:t xml:space="preserve"> CRR,</w:t>
            </w:r>
          </w:p>
          <w:p w:rsidR="006D3F98" w:rsidRDefault="006D3F98" w:rsidP="002573FC">
            <w:pPr>
              <w:pStyle w:val="BodyText1"/>
              <w:spacing w:line="240" w:lineRule="auto"/>
              <w:rPr>
                <w:rFonts w:ascii="Times New Roman" w:hAnsi="Times New Roman"/>
                <w:bCs/>
              </w:rPr>
            </w:pPr>
            <w:r>
              <w:rPr>
                <w:rFonts w:ascii="Times New Roman" w:hAnsi="Times New Roman"/>
              </w:rPr>
              <w:t>je nachdem, welche Bestimmung anwendbar ist.</w:t>
            </w:r>
          </w:p>
          <w:p w:rsidR="009264ED" w:rsidRDefault="009264ED" w:rsidP="009264ED">
            <w:pPr>
              <w:pStyle w:val="BodyText1"/>
              <w:spacing w:line="240" w:lineRule="auto"/>
              <w:rPr>
                <w:rFonts w:ascii="Times New Roman" w:hAnsi="Times New Roman"/>
                <w:bCs/>
              </w:rPr>
            </w:pPr>
          </w:p>
          <w:p w:rsidR="009264ED" w:rsidRPr="00FE002E" w:rsidRDefault="009264ED" w:rsidP="009264ED">
            <w:pPr>
              <w:pStyle w:val="BodyText1"/>
              <w:spacing w:line="240" w:lineRule="auto"/>
              <w:rPr>
                <w:rFonts w:ascii="Times New Roman" w:hAnsi="Times New Roman"/>
                <w:bCs/>
              </w:rPr>
            </w:pPr>
            <w:r>
              <w:rPr>
                <w:rFonts w:ascii="Times New Roman" w:hAnsi="Times New Roman"/>
              </w:rPr>
              <w:t xml:space="preserve">Die Institute berücksichtigen die in den Artikeln </w:t>
            </w:r>
            <w:r w:rsidRPr="00532F3A">
              <w:rPr>
                <w:rFonts w:ascii="Times New Roman" w:hAnsi="Times New Roman"/>
              </w:rPr>
              <w:t>48</w:t>
            </w:r>
            <w:r>
              <w:rPr>
                <w:rFonts w:ascii="Times New Roman" w:hAnsi="Times New Roman"/>
              </w:rPr>
              <w:t xml:space="preserve">, </w:t>
            </w:r>
            <w:r w:rsidRPr="00532F3A">
              <w:rPr>
                <w:rFonts w:ascii="Times New Roman" w:hAnsi="Times New Roman"/>
              </w:rPr>
              <w:t>49</w:t>
            </w:r>
            <w:r>
              <w:rPr>
                <w:rFonts w:ascii="Times New Roman" w:hAnsi="Times New Roman"/>
              </w:rPr>
              <w:t xml:space="preserve"> und </w:t>
            </w:r>
            <w:r w:rsidRPr="00532F3A">
              <w:rPr>
                <w:rFonts w:ascii="Times New Roman" w:hAnsi="Times New Roman"/>
              </w:rPr>
              <w:t>79</w:t>
            </w:r>
            <w:r>
              <w:rPr>
                <w:rFonts w:ascii="Times New Roman" w:hAnsi="Times New Roman"/>
              </w:rPr>
              <w:t xml:space="preserve"> CRR vorgesehenen Ausnahmen und Alternativen, nicht aber die in Teil </w:t>
            </w:r>
            <w:r w:rsidRPr="00532F3A">
              <w:rPr>
                <w:rFonts w:ascii="Times New Roman" w:hAnsi="Times New Roman"/>
              </w:rPr>
              <w:t>10</w:t>
            </w:r>
            <w:r>
              <w:rPr>
                <w:rFonts w:ascii="Times New Roman" w:hAnsi="Times New Roman"/>
              </w:rPr>
              <w:t xml:space="preserve"> Titel I Kapitel </w:t>
            </w:r>
            <w:r w:rsidRPr="00532F3A">
              <w:rPr>
                <w:rFonts w:ascii="Times New Roman" w:hAnsi="Times New Roman"/>
              </w:rPr>
              <w:t>1</w:t>
            </w:r>
            <w:r>
              <w:rPr>
                <w:rFonts w:ascii="Times New Roman" w:hAnsi="Times New Roman"/>
              </w:rPr>
              <w:t xml:space="preserve"> und </w:t>
            </w:r>
            <w:r w:rsidRPr="00532F3A">
              <w:rPr>
                <w:rFonts w:ascii="Times New Roman" w:hAnsi="Times New Roman"/>
              </w:rPr>
              <w:t>2</w:t>
            </w:r>
            <w:r>
              <w:rPr>
                <w:rFonts w:ascii="Times New Roman" w:hAnsi="Times New Roman"/>
              </w:rPr>
              <w:t xml:space="preserve"> CRR niedergelegten abweichenden Regelungen. Um eine Doppelzählung zu vermeiden, geben die Institute bei der Berechnung der Risikopositionswerte in {</w:t>
            </w:r>
            <w:r w:rsidRPr="00532F3A">
              <w:rPr>
                <w:rFonts w:ascii="Times New Roman" w:hAnsi="Times New Roman"/>
              </w:rPr>
              <w:t>010</w:t>
            </w:r>
            <w:r>
              <w:rPr>
                <w:rFonts w:ascii="Times New Roman" w:hAnsi="Times New Roman"/>
              </w:rPr>
              <w:t>;</w:t>
            </w:r>
            <w:r w:rsidRPr="00532F3A">
              <w:rPr>
                <w:rFonts w:ascii="Times New Roman" w:hAnsi="Times New Roman"/>
              </w:rPr>
              <w:t>010</w:t>
            </w:r>
            <w:r>
              <w:rPr>
                <w:rFonts w:ascii="Times New Roman" w:hAnsi="Times New Roman"/>
              </w:rPr>
              <w:t>} bis {</w:t>
            </w:r>
            <w:r w:rsidRPr="00532F3A">
              <w:rPr>
                <w:rFonts w:ascii="Times New Roman" w:hAnsi="Times New Roman"/>
              </w:rPr>
              <w:t>260</w:t>
            </w:r>
            <w:r>
              <w:rPr>
                <w:rFonts w:ascii="Times New Roman" w:hAnsi="Times New Roman"/>
              </w:rPr>
              <w:t>;</w:t>
            </w:r>
            <w:r w:rsidRPr="00532F3A">
              <w:rPr>
                <w:rFonts w:ascii="Times New Roman" w:hAnsi="Times New Roman"/>
              </w:rPr>
              <w:t>010</w:t>
            </w:r>
            <w:r>
              <w:rPr>
                <w:rFonts w:ascii="Times New Roman" w:hAnsi="Times New Roman"/>
              </w:rPr>
              <w:t xml:space="preserve">} weder Anpassungen an, die bereits nach Artikel </w:t>
            </w:r>
            <w:r w:rsidRPr="00532F3A">
              <w:rPr>
                <w:rFonts w:ascii="Times New Roman" w:hAnsi="Times New Roman"/>
              </w:rPr>
              <w:t>111</w:t>
            </w:r>
            <w:r>
              <w:rPr>
                <w:rFonts w:ascii="Times New Roman" w:hAnsi="Times New Roman"/>
              </w:rPr>
              <w:t xml:space="preserve"> CRR vorgenommen wurden, noch solche, die nicht den Abzug eines bestimmten Aktivpostens zur Folge haben.</w:t>
            </w:r>
          </w:p>
          <w:p w:rsidR="009264ED" w:rsidRPr="00FE002E" w:rsidRDefault="009264ED" w:rsidP="009264ED">
            <w:pPr>
              <w:pStyle w:val="BodyText1"/>
              <w:spacing w:line="240" w:lineRule="auto"/>
              <w:rPr>
                <w:rFonts w:ascii="Times New Roman" w:hAnsi="Times New Roman"/>
                <w:bCs/>
              </w:rPr>
            </w:pPr>
          </w:p>
          <w:p w:rsidR="009264ED" w:rsidRPr="00FE002E" w:rsidRDefault="009264ED" w:rsidP="009264ED">
            <w:pPr>
              <w:pStyle w:val="BodyText1"/>
              <w:spacing w:line="240" w:lineRule="auto"/>
              <w:rPr>
                <w:rFonts w:ascii="Times New Roman" w:hAnsi="Times New Roman"/>
                <w:bCs/>
              </w:rPr>
            </w:pPr>
            <w:r>
              <w:rPr>
                <w:rFonts w:ascii="Times New Roman" w:hAnsi="Times New Roman"/>
              </w:rPr>
              <w:t>Da diese Beträge bereits von der Kapitalmessgröße abgezogen sind, verringern sie die Risikoposition für die Verschuldungsquote und werden als negativer Wert gemeldet.</w:t>
            </w:r>
          </w:p>
          <w:p w:rsidR="009264ED" w:rsidRDefault="009264ED" w:rsidP="003113EE">
            <w:pPr>
              <w:pStyle w:val="BodyText1"/>
              <w:spacing w:line="240" w:lineRule="auto"/>
              <w:rPr>
                <w:rFonts w:ascii="Times New Roman" w:hAnsi="Times New Roman"/>
                <w:b/>
                <w:bCs/>
              </w:rPr>
            </w:pPr>
          </w:p>
        </w:tc>
      </w:tr>
      <w:tr w:rsidR="009264ED" w:rsidRPr="00FE002E" w:rsidTr="00FE0FF1">
        <w:trPr>
          <w:trHeight w:val="304"/>
        </w:trPr>
        <w:tc>
          <w:tcPr>
            <w:tcW w:w="1418" w:type="dxa"/>
            <w:tcBorders>
              <w:bottom w:val="single" w:sz="4" w:space="0" w:color="auto"/>
            </w:tcBorders>
          </w:tcPr>
          <w:p w:rsidR="009264ED" w:rsidRPr="00FE002E" w:rsidRDefault="009264ED" w:rsidP="009264ED">
            <w:pPr>
              <w:pStyle w:val="BodyText1"/>
              <w:rPr>
                <w:rFonts w:ascii="Times New Roman" w:hAnsi="Times New Roman"/>
                <w:bCs/>
              </w:rPr>
            </w:pPr>
            <w:r>
              <w:rPr>
                <w:rFonts w:ascii="Times New Roman" w:hAnsi="Times New Roman"/>
              </w:rPr>
              <w:lastRenderedPageBreak/>
              <w:t>{</w:t>
            </w:r>
            <w:r w:rsidRPr="00532F3A">
              <w:rPr>
                <w:rFonts w:ascii="Times New Roman" w:hAnsi="Times New Roman"/>
              </w:rPr>
              <w:t>280</w:t>
            </w:r>
            <w:r>
              <w:rPr>
                <w:rFonts w:ascii="Times New Roman" w:hAnsi="Times New Roman"/>
              </w:rPr>
              <w:t>;</w:t>
            </w:r>
            <w:r w:rsidRPr="00532F3A">
              <w:rPr>
                <w:rFonts w:ascii="Times New Roman" w:hAnsi="Times New Roman"/>
              </w:rPr>
              <w:t>010</w:t>
            </w:r>
            <w:r>
              <w:rPr>
                <w:rFonts w:ascii="Times New Roman" w:hAnsi="Times New Roman"/>
              </w:rPr>
              <w:t>}</w:t>
            </w:r>
          </w:p>
          <w:p w:rsidR="009264ED" w:rsidRDefault="009264ED" w:rsidP="00FE0FF1">
            <w:pPr>
              <w:pStyle w:val="BodyText1"/>
              <w:rPr>
                <w:rFonts w:ascii="Times New Roman" w:hAnsi="Times New Roman"/>
                <w:bCs/>
              </w:rPr>
            </w:pPr>
          </w:p>
        </w:tc>
        <w:tc>
          <w:tcPr>
            <w:tcW w:w="7590" w:type="dxa"/>
            <w:tcBorders>
              <w:bottom w:val="single" w:sz="4" w:space="0" w:color="auto"/>
            </w:tcBorders>
          </w:tcPr>
          <w:p w:rsidR="009264ED" w:rsidRPr="00FE002E" w:rsidRDefault="009264ED" w:rsidP="009264ED">
            <w:pPr>
              <w:pStyle w:val="BodyText1"/>
              <w:spacing w:line="240" w:lineRule="auto"/>
              <w:rPr>
                <w:rFonts w:ascii="Times New Roman" w:hAnsi="Times New Roman"/>
                <w:bCs/>
              </w:rPr>
            </w:pPr>
            <w:r>
              <w:rPr>
                <w:rFonts w:ascii="Times New Roman" w:hAnsi="Times New Roman"/>
                <w:b/>
              </w:rPr>
              <w:t>(-) Von Posten des Kernkapitals abgezogener Aktivbetrag — Übergangsdefinition</w:t>
            </w:r>
          </w:p>
          <w:p w:rsidR="009264ED" w:rsidRPr="00FE002E" w:rsidRDefault="009264ED" w:rsidP="009264ED">
            <w:pPr>
              <w:pStyle w:val="BodyText1"/>
              <w:spacing w:line="240" w:lineRule="auto"/>
              <w:rPr>
                <w:rFonts w:ascii="Times New Roman" w:hAnsi="Times New Roman"/>
                <w:bCs/>
              </w:rPr>
            </w:pPr>
          </w:p>
          <w:p w:rsidR="009264ED" w:rsidRPr="00FE002E" w:rsidRDefault="009264ED" w:rsidP="009264ED">
            <w:pPr>
              <w:pStyle w:val="BodyText1"/>
              <w:spacing w:line="240" w:lineRule="auto"/>
              <w:rPr>
                <w:rFonts w:ascii="Times New Roman" w:hAnsi="Times New Roman"/>
                <w:bCs/>
              </w:rPr>
            </w:pPr>
            <w:r>
              <w:rPr>
                <w:rFonts w:ascii="Times New Roman" w:hAnsi="Times New Roman"/>
              </w:rPr>
              <w:t xml:space="preserve">Artikel </w:t>
            </w:r>
            <w:r w:rsidRPr="00532F3A">
              <w:rPr>
                <w:rFonts w:ascii="Times New Roman" w:hAnsi="Times New Roman"/>
              </w:rPr>
              <w:t>429</w:t>
            </w:r>
            <w:r>
              <w:rPr>
                <w:rFonts w:ascii="Times New Roman" w:hAnsi="Times New Roman"/>
              </w:rPr>
              <w:t xml:space="preserve"> Absatz </w:t>
            </w:r>
            <w:r w:rsidRPr="00532F3A">
              <w:rPr>
                <w:rFonts w:ascii="Times New Roman" w:hAnsi="Times New Roman"/>
              </w:rPr>
              <w:t>4</w:t>
            </w:r>
            <w:r>
              <w:rPr>
                <w:rFonts w:ascii="Times New Roman" w:hAnsi="Times New Roman"/>
              </w:rPr>
              <w:t xml:space="preserve"> Buchstabe a und Artikel </w:t>
            </w:r>
            <w:r w:rsidRPr="00532F3A">
              <w:rPr>
                <w:rFonts w:ascii="Times New Roman" w:hAnsi="Times New Roman"/>
              </w:rPr>
              <w:t>499</w:t>
            </w:r>
            <w:r>
              <w:rPr>
                <w:rFonts w:ascii="Times New Roman" w:hAnsi="Times New Roman"/>
              </w:rPr>
              <w:t xml:space="preserve"> Absatz </w:t>
            </w:r>
            <w:r w:rsidRPr="00532F3A">
              <w:rPr>
                <w:rFonts w:ascii="Times New Roman" w:hAnsi="Times New Roman"/>
              </w:rPr>
              <w:t>1</w:t>
            </w:r>
            <w:r>
              <w:rPr>
                <w:rFonts w:ascii="Times New Roman" w:hAnsi="Times New Roman"/>
              </w:rPr>
              <w:t xml:space="preserve"> Buchstabe b CRR</w:t>
            </w:r>
          </w:p>
          <w:p w:rsidR="009264ED" w:rsidRPr="00FE002E" w:rsidRDefault="009264ED" w:rsidP="009264ED">
            <w:pPr>
              <w:pStyle w:val="BodyText1"/>
              <w:spacing w:line="240" w:lineRule="auto"/>
              <w:rPr>
                <w:rFonts w:ascii="Times New Roman" w:hAnsi="Times New Roman"/>
                <w:bCs/>
              </w:rPr>
            </w:pPr>
          </w:p>
          <w:p w:rsidR="009264ED" w:rsidRDefault="009264ED" w:rsidP="009264ED">
            <w:pPr>
              <w:pStyle w:val="BodyText1"/>
              <w:spacing w:line="240" w:lineRule="auto"/>
              <w:rPr>
                <w:rFonts w:ascii="Times New Roman" w:hAnsi="Times New Roman"/>
                <w:bCs/>
              </w:rPr>
            </w:pPr>
            <w:r>
              <w:rPr>
                <w:rFonts w:ascii="Times New Roman" w:hAnsi="Times New Roman"/>
              </w:rPr>
              <w:t>Enthält alle Wertberichtigungen von Aktiva, die durch eine der folgenden Bestimmungen vorgeschrieben sind:</w:t>
            </w:r>
          </w:p>
          <w:p w:rsidR="009264ED" w:rsidRDefault="00500508" w:rsidP="00500508">
            <w:pPr>
              <w:pStyle w:val="BodyText1"/>
              <w:spacing w:line="240" w:lineRule="auto"/>
              <w:ind w:left="720" w:hanging="360"/>
              <w:rPr>
                <w:rFonts w:ascii="Times New Roman" w:hAnsi="Times New Roman"/>
                <w:bCs/>
              </w:rPr>
            </w:pPr>
            <w:r>
              <w:rPr>
                <w:rFonts w:ascii="Times New Roman" w:hAnsi="Times New Roman"/>
              </w:rPr>
              <w:t>-</w:t>
            </w:r>
            <w:r>
              <w:tab/>
            </w:r>
            <w:r>
              <w:rPr>
                <w:rFonts w:ascii="Times New Roman" w:hAnsi="Times New Roman"/>
              </w:rPr>
              <w:t xml:space="preserve">Artikel </w:t>
            </w:r>
            <w:r w:rsidRPr="00532F3A">
              <w:rPr>
                <w:rFonts w:ascii="Times New Roman" w:hAnsi="Times New Roman"/>
              </w:rPr>
              <w:t>32</w:t>
            </w:r>
            <w:r>
              <w:rPr>
                <w:rFonts w:ascii="Times New Roman" w:hAnsi="Times New Roman"/>
              </w:rPr>
              <w:t xml:space="preserve"> bis </w:t>
            </w:r>
            <w:r w:rsidRPr="00532F3A">
              <w:rPr>
                <w:rFonts w:ascii="Times New Roman" w:hAnsi="Times New Roman"/>
              </w:rPr>
              <w:t>35</w:t>
            </w:r>
            <w:r>
              <w:rPr>
                <w:rFonts w:ascii="Times New Roman" w:hAnsi="Times New Roman"/>
              </w:rPr>
              <w:t xml:space="preserve"> CRR oder </w:t>
            </w:r>
          </w:p>
          <w:p w:rsidR="009264ED" w:rsidRDefault="00500508" w:rsidP="00500508">
            <w:pPr>
              <w:pStyle w:val="BodyText1"/>
              <w:spacing w:line="240" w:lineRule="auto"/>
              <w:ind w:left="720" w:hanging="360"/>
              <w:rPr>
                <w:rFonts w:ascii="Times New Roman" w:hAnsi="Times New Roman"/>
                <w:bCs/>
              </w:rPr>
            </w:pPr>
            <w:r>
              <w:rPr>
                <w:rFonts w:ascii="Times New Roman" w:hAnsi="Times New Roman"/>
              </w:rPr>
              <w:t>-</w:t>
            </w:r>
            <w:r>
              <w:tab/>
            </w:r>
            <w:r>
              <w:rPr>
                <w:rFonts w:ascii="Times New Roman" w:hAnsi="Times New Roman"/>
              </w:rPr>
              <w:t xml:space="preserve">Artikel </w:t>
            </w:r>
            <w:r w:rsidRPr="00532F3A">
              <w:rPr>
                <w:rFonts w:ascii="Times New Roman" w:hAnsi="Times New Roman"/>
              </w:rPr>
              <w:t>36</w:t>
            </w:r>
            <w:r>
              <w:rPr>
                <w:rFonts w:ascii="Times New Roman" w:hAnsi="Times New Roman"/>
              </w:rPr>
              <w:t xml:space="preserve"> bis </w:t>
            </w:r>
            <w:r w:rsidRPr="00532F3A">
              <w:rPr>
                <w:rFonts w:ascii="Times New Roman" w:hAnsi="Times New Roman"/>
              </w:rPr>
              <w:t>47</w:t>
            </w:r>
            <w:r>
              <w:rPr>
                <w:rFonts w:ascii="Times New Roman" w:hAnsi="Times New Roman"/>
              </w:rPr>
              <w:t xml:space="preserve"> CRR oder </w:t>
            </w:r>
          </w:p>
          <w:p w:rsidR="00316050" w:rsidRDefault="00500508" w:rsidP="00500508">
            <w:pPr>
              <w:pStyle w:val="BodyText1"/>
              <w:spacing w:line="240" w:lineRule="auto"/>
              <w:ind w:left="720" w:hanging="360"/>
              <w:rPr>
                <w:rFonts w:ascii="Times New Roman" w:hAnsi="Times New Roman"/>
                <w:bCs/>
              </w:rPr>
            </w:pPr>
            <w:r>
              <w:rPr>
                <w:rFonts w:ascii="Times New Roman" w:hAnsi="Times New Roman"/>
              </w:rPr>
              <w:t>-</w:t>
            </w:r>
            <w:r>
              <w:tab/>
            </w:r>
            <w:r>
              <w:rPr>
                <w:rFonts w:ascii="Times New Roman" w:hAnsi="Times New Roman"/>
              </w:rPr>
              <w:t xml:space="preserve">Artikel </w:t>
            </w:r>
            <w:r w:rsidRPr="00532F3A">
              <w:rPr>
                <w:rFonts w:ascii="Times New Roman" w:hAnsi="Times New Roman"/>
              </w:rPr>
              <w:t>56</w:t>
            </w:r>
            <w:r>
              <w:rPr>
                <w:rFonts w:ascii="Times New Roman" w:hAnsi="Times New Roman"/>
              </w:rPr>
              <w:t xml:space="preserve"> bis </w:t>
            </w:r>
            <w:r w:rsidRPr="00532F3A">
              <w:rPr>
                <w:rFonts w:ascii="Times New Roman" w:hAnsi="Times New Roman"/>
              </w:rPr>
              <w:t>60</w:t>
            </w:r>
            <w:r>
              <w:rPr>
                <w:rFonts w:ascii="Times New Roman" w:hAnsi="Times New Roman"/>
              </w:rPr>
              <w:t xml:space="preserve"> CRR,</w:t>
            </w:r>
          </w:p>
          <w:p w:rsidR="009264ED" w:rsidRDefault="00316050" w:rsidP="002573FC">
            <w:pPr>
              <w:pStyle w:val="BodyText1"/>
              <w:spacing w:line="240" w:lineRule="auto"/>
              <w:rPr>
                <w:rFonts w:ascii="Times New Roman" w:hAnsi="Times New Roman"/>
                <w:bCs/>
              </w:rPr>
            </w:pPr>
            <w:r>
              <w:rPr>
                <w:rFonts w:ascii="Times New Roman" w:hAnsi="Times New Roman"/>
              </w:rPr>
              <w:t>je nachdem, welche Bestimmung anwendbar ist.</w:t>
            </w:r>
          </w:p>
          <w:p w:rsidR="009264ED" w:rsidRDefault="009264ED" w:rsidP="009264ED">
            <w:pPr>
              <w:pStyle w:val="BodyText1"/>
              <w:spacing w:line="240" w:lineRule="auto"/>
              <w:rPr>
                <w:rFonts w:ascii="Times New Roman" w:hAnsi="Times New Roman"/>
                <w:bCs/>
              </w:rPr>
            </w:pPr>
          </w:p>
          <w:p w:rsidR="009264ED" w:rsidRPr="00FE002E" w:rsidRDefault="009264ED" w:rsidP="009264ED">
            <w:pPr>
              <w:pStyle w:val="BodyText1"/>
              <w:spacing w:line="240" w:lineRule="auto"/>
              <w:rPr>
                <w:rFonts w:ascii="Times New Roman" w:hAnsi="Times New Roman"/>
                <w:bCs/>
              </w:rPr>
            </w:pPr>
            <w:r>
              <w:rPr>
                <w:rFonts w:ascii="Times New Roman" w:hAnsi="Times New Roman"/>
              </w:rPr>
              <w:t xml:space="preserve">Zusätzlich zu den in Teil </w:t>
            </w:r>
            <w:r w:rsidRPr="00532F3A">
              <w:rPr>
                <w:rFonts w:ascii="Times New Roman" w:hAnsi="Times New Roman"/>
              </w:rPr>
              <w:t>10</w:t>
            </w:r>
            <w:r>
              <w:rPr>
                <w:rFonts w:ascii="Times New Roman" w:hAnsi="Times New Roman"/>
              </w:rPr>
              <w:t xml:space="preserve"> Titel I Kapitel </w:t>
            </w:r>
            <w:r w:rsidRPr="00532F3A">
              <w:rPr>
                <w:rFonts w:ascii="Times New Roman" w:hAnsi="Times New Roman"/>
              </w:rPr>
              <w:t>1</w:t>
            </w:r>
            <w:r>
              <w:rPr>
                <w:rFonts w:ascii="Times New Roman" w:hAnsi="Times New Roman"/>
              </w:rPr>
              <w:t xml:space="preserve"> und </w:t>
            </w:r>
            <w:r w:rsidRPr="00532F3A">
              <w:rPr>
                <w:rFonts w:ascii="Times New Roman" w:hAnsi="Times New Roman"/>
              </w:rPr>
              <w:t>2</w:t>
            </w:r>
            <w:r>
              <w:rPr>
                <w:rFonts w:ascii="Times New Roman" w:hAnsi="Times New Roman"/>
              </w:rPr>
              <w:t xml:space="preserve"> CRR niedergelegten abweichenden Regelungen tragen die Institute den in den Artikeln </w:t>
            </w:r>
            <w:r w:rsidRPr="00532F3A">
              <w:rPr>
                <w:rFonts w:ascii="Times New Roman" w:hAnsi="Times New Roman"/>
              </w:rPr>
              <w:t>48</w:t>
            </w:r>
            <w:r>
              <w:rPr>
                <w:rFonts w:ascii="Times New Roman" w:hAnsi="Times New Roman"/>
              </w:rPr>
              <w:t xml:space="preserve">, </w:t>
            </w:r>
            <w:r w:rsidRPr="00532F3A">
              <w:rPr>
                <w:rFonts w:ascii="Times New Roman" w:hAnsi="Times New Roman"/>
              </w:rPr>
              <w:t>49</w:t>
            </w:r>
            <w:r>
              <w:rPr>
                <w:rFonts w:ascii="Times New Roman" w:hAnsi="Times New Roman"/>
              </w:rPr>
              <w:t xml:space="preserve"> und </w:t>
            </w:r>
            <w:r w:rsidRPr="00532F3A">
              <w:rPr>
                <w:rFonts w:ascii="Times New Roman" w:hAnsi="Times New Roman"/>
              </w:rPr>
              <w:t>79</w:t>
            </w:r>
            <w:r>
              <w:rPr>
                <w:rFonts w:ascii="Times New Roman" w:hAnsi="Times New Roman"/>
              </w:rPr>
              <w:t xml:space="preserve"> CRR vorgesehenen Ausnahmen und Alternativen Rechnung. Um eine Doppelzählung zu vermeiden, geben die Institute bei der Berechnung der Risikopositionswerte in {</w:t>
            </w:r>
            <w:r w:rsidRPr="00532F3A">
              <w:rPr>
                <w:rFonts w:ascii="Times New Roman" w:hAnsi="Times New Roman"/>
              </w:rPr>
              <w:t>010</w:t>
            </w:r>
            <w:r>
              <w:rPr>
                <w:rFonts w:ascii="Times New Roman" w:hAnsi="Times New Roman"/>
              </w:rPr>
              <w:t>;</w:t>
            </w:r>
            <w:r w:rsidRPr="00532F3A">
              <w:rPr>
                <w:rFonts w:ascii="Times New Roman" w:hAnsi="Times New Roman"/>
              </w:rPr>
              <w:t>010</w:t>
            </w:r>
            <w:r>
              <w:rPr>
                <w:rFonts w:ascii="Times New Roman" w:hAnsi="Times New Roman"/>
              </w:rPr>
              <w:t>} bis {</w:t>
            </w:r>
            <w:r w:rsidRPr="00532F3A">
              <w:rPr>
                <w:rFonts w:ascii="Times New Roman" w:hAnsi="Times New Roman"/>
              </w:rPr>
              <w:t>260</w:t>
            </w:r>
            <w:r>
              <w:rPr>
                <w:rFonts w:ascii="Times New Roman" w:hAnsi="Times New Roman"/>
              </w:rPr>
              <w:t>;</w:t>
            </w:r>
            <w:r w:rsidRPr="00532F3A">
              <w:rPr>
                <w:rFonts w:ascii="Times New Roman" w:hAnsi="Times New Roman"/>
              </w:rPr>
              <w:t>010</w:t>
            </w:r>
            <w:r>
              <w:rPr>
                <w:rFonts w:ascii="Times New Roman" w:hAnsi="Times New Roman"/>
              </w:rPr>
              <w:t xml:space="preserve">} weder Anpassungen an, die bereits nach Artikel </w:t>
            </w:r>
            <w:r w:rsidRPr="00532F3A">
              <w:rPr>
                <w:rFonts w:ascii="Times New Roman" w:hAnsi="Times New Roman"/>
              </w:rPr>
              <w:t>111</w:t>
            </w:r>
            <w:r>
              <w:rPr>
                <w:rFonts w:ascii="Times New Roman" w:hAnsi="Times New Roman"/>
              </w:rPr>
              <w:t xml:space="preserve"> CRR vorgenommen wurden, noch solche, die nicht den Abzug eines bestimmten Aktivpostens zur Folge haben.</w:t>
            </w:r>
          </w:p>
          <w:p w:rsidR="009264ED" w:rsidRPr="00FE002E" w:rsidRDefault="009264ED" w:rsidP="009264ED">
            <w:pPr>
              <w:pStyle w:val="BodyText1"/>
              <w:spacing w:line="240" w:lineRule="auto"/>
              <w:rPr>
                <w:rFonts w:ascii="Times New Roman" w:hAnsi="Times New Roman"/>
                <w:bCs/>
              </w:rPr>
            </w:pPr>
          </w:p>
          <w:p w:rsidR="00F2347A" w:rsidRPr="00FE002E" w:rsidRDefault="00F2347A" w:rsidP="00F2347A">
            <w:pPr>
              <w:pStyle w:val="BodyText1"/>
              <w:spacing w:line="240" w:lineRule="auto"/>
              <w:rPr>
                <w:rFonts w:ascii="Times New Roman" w:hAnsi="Times New Roman"/>
                <w:bCs/>
              </w:rPr>
            </w:pPr>
            <w:r>
              <w:rPr>
                <w:rFonts w:ascii="Times New Roman" w:hAnsi="Times New Roman"/>
              </w:rPr>
              <w:t>Da diese Beträge bereits von der Kapitalmessgröße abgezogen sind, verringern sie die Risikoposition für die Verschuldungsquote und werden als negativer Wert gemeldet.</w:t>
            </w:r>
          </w:p>
          <w:p w:rsidR="009264ED" w:rsidRDefault="009264ED" w:rsidP="003113EE">
            <w:pPr>
              <w:pStyle w:val="BodyText1"/>
              <w:spacing w:line="240" w:lineRule="auto"/>
              <w:rPr>
                <w:rFonts w:ascii="Times New Roman" w:hAnsi="Times New Roman"/>
                <w:b/>
                <w:bCs/>
              </w:rPr>
            </w:pPr>
          </w:p>
        </w:tc>
      </w:tr>
      <w:tr w:rsidR="009264ED" w:rsidRPr="00FE002E" w:rsidTr="00FE0FF1">
        <w:trPr>
          <w:trHeight w:val="304"/>
        </w:trPr>
        <w:tc>
          <w:tcPr>
            <w:tcW w:w="1418" w:type="dxa"/>
            <w:tcBorders>
              <w:bottom w:val="single" w:sz="4" w:space="0" w:color="auto"/>
            </w:tcBorders>
          </w:tcPr>
          <w:p w:rsidR="009264ED" w:rsidRPr="00FE002E" w:rsidRDefault="009264ED" w:rsidP="009264ED">
            <w:pPr>
              <w:pStyle w:val="BodyText1"/>
              <w:rPr>
                <w:rFonts w:ascii="Times New Roman" w:hAnsi="Times New Roman"/>
                <w:bCs/>
              </w:rPr>
            </w:pPr>
            <w:r>
              <w:rPr>
                <w:rFonts w:ascii="Times New Roman" w:hAnsi="Times New Roman"/>
              </w:rPr>
              <w:t>{</w:t>
            </w:r>
            <w:r w:rsidRPr="00532F3A">
              <w:rPr>
                <w:rFonts w:ascii="Times New Roman" w:hAnsi="Times New Roman"/>
              </w:rPr>
              <w:t>290</w:t>
            </w:r>
            <w:r>
              <w:rPr>
                <w:rFonts w:ascii="Times New Roman" w:hAnsi="Times New Roman"/>
              </w:rPr>
              <w:t>;</w:t>
            </w:r>
            <w:r w:rsidRPr="00532F3A">
              <w:rPr>
                <w:rFonts w:ascii="Times New Roman" w:hAnsi="Times New Roman"/>
              </w:rPr>
              <w:t>010</w:t>
            </w:r>
            <w:r>
              <w:rPr>
                <w:rFonts w:ascii="Times New Roman" w:hAnsi="Times New Roman"/>
              </w:rPr>
              <w:t>}</w:t>
            </w:r>
          </w:p>
          <w:p w:rsidR="009264ED" w:rsidRPr="00FE002E" w:rsidRDefault="009264ED" w:rsidP="009264ED">
            <w:pPr>
              <w:pStyle w:val="BodyText1"/>
              <w:rPr>
                <w:rFonts w:ascii="Times New Roman" w:hAnsi="Times New Roman"/>
                <w:bCs/>
              </w:rPr>
            </w:pPr>
          </w:p>
        </w:tc>
        <w:tc>
          <w:tcPr>
            <w:tcW w:w="7590" w:type="dxa"/>
            <w:tcBorders>
              <w:bottom w:val="single" w:sz="4" w:space="0" w:color="auto"/>
            </w:tcBorders>
          </w:tcPr>
          <w:p w:rsidR="009264ED" w:rsidRDefault="009264ED" w:rsidP="009264ED">
            <w:pPr>
              <w:pStyle w:val="BodyText1"/>
              <w:spacing w:line="240" w:lineRule="auto"/>
              <w:rPr>
                <w:rFonts w:ascii="Times New Roman" w:hAnsi="Times New Roman"/>
                <w:b/>
                <w:bCs/>
              </w:rPr>
            </w:pPr>
            <w:r>
              <w:rPr>
                <w:rFonts w:ascii="Times New Roman" w:hAnsi="Times New Roman"/>
                <w:b/>
              </w:rPr>
              <w:t>Gesamtrisikoposition für die Verschuldungsquote – unter Verwendung einer Definition des Kernkapitals nach vollständiger Einführung der neuen Bestimmungen</w:t>
            </w:r>
          </w:p>
          <w:p w:rsidR="009264ED" w:rsidRDefault="009264ED" w:rsidP="009264ED">
            <w:pPr>
              <w:pStyle w:val="BodyText1"/>
              <w:spacing w:line="240" w:lineRule="auto"/>
              <w:rPr>
                <w:rFonts w:ascii="Times New Roman" w:hAnsi="Times New Roman"/>
                <w:bCs/>
              </w:rPr>
            </w:pPr>
          </w:p>
          <w:p w:rsidR="009264ED" w:rsidRDefault="009264ED" w:rsidP="009264ED">
            <w:pPr>
              <w:pStyle w:val="BodyText1"/>
              <w:spacing w:line="240" w:lineRule="auto"/>
              <w:rPr>
                <w:rFonts w:ascii="Times New Roman" w:hAnsi="Times New Roman"/>
                <w:bCs/>
              </w:rPr>
            </w:pPr>
            <w:r>
              <w:rPr>
                <w:rFonts w:ascii="Times New Roman" w:hAnsi="Times New Roman"/>
              </w:rPr>
              <w:t>Die Institute melden folgenden Betrag:</w:t>
            </w:r>
          </w:p>
          <w:p w:rsidR="009264ED" w:rsidRDefault="009264ED" w:rsidP="009264ED">
            <w:pPr>
              <w:pStyle w:val="BodyText1"/>
              <w:spacing w:line="240" w:lineRule="auto"/>
              <w:rPr>
                <w:rFonts w:ascii="Times New Roman" w:hAnsi="Times New Roman"/>
                <w:bCs/>
              </w:rPr>
            </w:pPr>
          </w:p>
          <w:p w:rsidR="009264ED" w:rsidRPr="006A32F5" w:rsidRDefault="009264ED" w:rsidP="009264ED">
            <w:pPr>
              <w:pStyle w:val="BodyText1"/>
              <w:spacing w:line="240" w:lineRule="auto"/>
              <w:rPr>
                <w:rFonts w:ascii="Times New Roman" w:hAnsi="Times New Roman"/>
                <w:bCs/>
              </w:rPr>
            </w:pPr>
            <w:r>
              <w:rPr>
                <w:rFonts w:ascii="Times New Roman" w:hAnsi="Times New Roman"/>
              </w:rPr>
              <w:t>{LRCalc;</w:t>
            </w:r>
            <w:r w:rsidRPr="00532F3A">
              <w:rPr>
                <w:rFonts w:ascii="Times New Roman" w:hAnsi="Times New Roman"/>
              </w:rPr>
              <w:t>010</w:t>
            </w:r>
            <w:r>
              <w:rPr>
                <w:rFonts w:ascii="Times New Roman" w:hAnsi="Times New Roman"/>
              </w:rPr>
              <w:t>;</w:t>
            </w:r>
            <w:r w:rsidRPr="00532F3A">
              <w:rPr>
                <w:rFonts w:ascii="Times New Roman" w:hAnsi="Times New Roman"/>
              </w:rPr>
              <w:t>010</w:t>
            </w:r>
            <w:r>
              <w:rPr>
                <w:rFonts w:ascii="Times New Roman" w:hAnsi="Times New Roman"/>
              </w:rPr>
              <w:t>} + {LRCalc;</w:t>
            </w:r>
            <w:r w:rsidRPr="00532F3A">
              <w:rPr>
                <w:rFonts w:ascii="Times New Roman" w:hAnsi="Times New Roman"/>
              </w:rPr>
              <w:t>020</w:t>
            </w:r>
            <w:r>
              <w:rPr>
                <w:rFonts w:ascii="Times New Roman" w:hAnsi="Times New Roman"/>
              </w:rPr>
              <w:t>;</w:t>
            </w:r>
            <w:r w:rsidRPr="00532F3A">
              <w:rPr>
                <w:rFonts w:ascii="Times New Roman" w:hAnsi="Times New Roman"/>
              </w:rPr>
              <w:t>010</w:t>
            </w:r>
            <w:r>
              <w:rPr>
                <w:rFonts w:ascii="Times New Roman" w:hAnsi="Times New Roman"/>
              </w:rPr>
              <w:t>} + {LRCalc;</w:t>
            </w:r>
            <w:r w:rsidRPr="00532F3A">
              <w:rPr>
                <w:rFonts w:ascii="Times New Roman" w:hAnsi="Times New Roman"/>
              </w:rPr>
              <w:t>030</w:t>
            </w:r>
            <w:r>
              <w:rPr>
                <w:rFonts w:ascii="Times New Roman" w:hAnsi="Times New Roman"/>
              </w:rPr>
              <w:t>;</w:t>
            </w:r>
            <w:r w:rsidRPr="00532F3A">
              <w:rPr>
                <w:rFonts w:ascii="Times New Roman" w:hAnsi="Times New Roman"/>
              </w:rPr>
              <w:t>010</w:t>
            </w:r>
            <w:r>
              <w:rPr>
                <w:rFonts w:ascii="Times New Roman" w:hAnsi="Times New Roman"/>
              </w:rPr>
              <w:t>} + {LRCalc;</w:t>
            </w:r>
            <w:r w:rsidRPr="00532F3A">
              <w:rPr>
                <w:rFonts w:ascii="Times New Roman" w:hAnsi="Times New Roman"/>
              </w:rPr>
              <w:t>040</w:t>
            </w:r>
            <w:r>
              <w:rPr>
                <w:rFonts w:ascii="Times New Roman" w:hAnsi="Times New Roman"/>
              </w:rPr>
              <w:t>;</w:t>
            </w:r>
            <w:r w:rsidRPr="00532F3A">
              <w:rPr>
                <w:rFonts w:ascii="Times New Roman" w:hAnsi="Times New Roman"/>
              </w:rPr>
              <w:t>010</w:t>
            </w:r>
            <w:r>
              <w:rPr>
                <w:rFonts w:ascii="Times New Roman" w:hAnsi="Times New Roman"/>
              </w:rPr>
              <w:t>} + {LRCalc;</w:t>
            </w:r>
            <w:r w:rsidRPr="00532F3A">
              <w:rPr>
                <w:rFonts w:ascii="Times New Roman" w:hAnsi="Times New Roman"/>
              </w:rPr>
              <w:t>050</w:t>
            </w:r>
            <w:r>
              <w:rPr>
                <w:rFonts w:ascii="Times New Roman" w:hAnsi="Times New Roman"/>
              </w:rPr>
              <w:t>;</w:t>
            </w:r>
            <w:r w:rsidRPr="00532F3A">
              <w:rPr>
                <w:rFonts w:ascii="Times New Roman" w:hAnsi="Times New Roman"/>
              </w:rPr>
              <w:t>010</w:t>
            </w:r>
            <w:r>
              <w:rPr>
                <w:rFonts w:ascii="Times New Roman" w:hAnsi="Times New Roman"/>
              </w:rPr>
              <w:t>} + {LRCalc;</w:t>
            </w:r>
            <w:r w:rsidRPr="00532F3A">
              <w:rPr>
                <w:rFonts w:ascii="Times New Roman" w:hAnsi="Times New Roman"/>
              </w:rPr>
              <w:t>060</w:t>
            </w:r>
            <w:r>
              <w:rPr>
                <w:rFonts w:ascii="Times New Roman" w:hAnsi="Times New Roman"/>
              </w:rPr>
              <w:t>;</w:t>
            </w:r>
            <w:r w:rsidRPr="00532F3A">
              <w:rPr>
                <w:rFonts w:ascii="Times New Roman" w:hAnsi="Times New Roman"/>
              </w:rPr>
              <w:t>010</w:t>
            </w:r>
            <w:r>
              <w:rPr>
                <w:rFonts w:ascii="Times New Roman" w:hAnsi="Times New Roman"/>
              </w:rPr>
              <w:t>} + {LRCalc;</w:t>
            </w:r>
            <w:r w:rsidRPr="00532F3A">
              <w:rPr>
                <w:rFonts w:ascii="Times New Roman" w:hAnsi="Times New Roman"/>
              </w:rPr>
              <w:t>070</w:t>
            </w:r>
            <w:r>
              <w:rPr>
                <w:rFonts w:ascii="Times New Roman" w:hAnsi="Times New Roman"/>
              </w:rPr>
              <w:t>;</w:t>
            </w:r>
            <w:r w:rsidRPr="00532F3A">
              <w:rPr>
                <w:rFonts w:ascii="Times New Roman" w:hAnsi="Times New Roman"/>
              </w:rPr>
              <w:t>010</w:t>
            </w:r>
            <w:r>
              <w:rPr>
                <w:rFonts w:ascii="Times New Roman" w:hAnsi="Times New Roman"/>
              </w:rPr>
              <w:t>} + {LRCalc;</w:t>
            </w:r>
            <w:r w:rsidRPr="00532F3A">
              <w:rPr>
                <w:rFonts w:ascii="Times New Roman" w:hAnsi="Times New Roman"/>
              </w:rPr>
              <w:t>080</w:t>
            </w:r>
            <w:r>
              <w:rPr>
                <w:rFonts w:ascii="Times New Roman" w:hAnsi="Times New Roman"/>
              </w:rPr>
              <w:t>;</w:t>
            </w:r>
            <w:r w:rsidRPr="00532F3A">
              <w:rPr>
                <w:rFonts w:ascii="Times New Roman" w:hAnsi="Times New Roman"/>
              </w:rPr>
              <w:t>010</w:t>
            </w:r>
            <w:r>
              <w:rPr>
                <w:rFonts w:ascii="Times New Roman" w:hAnsi="Times New Roman"/>
              </w:rPr>
              <w:t>} + {LRCalc;</w:t>
            </w:r>
            <w:r w:rsidRPr="00532F3A">
              <w:rPr>
                <w:rFonts w:ascii="Times New Roman" w:hAnsi="Times New Roman"/>
              </w:rPr>
              <w:t>090</w:t>
            </w:r>
            <w:r>
              <w:rPr>
                <w:rFonts w:ascii="Times New Roman" w:hAnsi="Times New Roman"/>
              </w:rPr>
              <w:t>;</w:t>
            </w:r>
            <w:r w:rsidRPr="00532F3A">
              <w:rPr>
                <w:rFonts w:ascii="Times New Roman" w:hAnsi="Times New Roman"/>
              </w:rPr>
              <w:t>010</w:t>
            </w:r>
            <w:r>
              <w:rPr>
                <w:rFonts w:ascii="Times New Roman" w:hAnsi="Times New Roman"/>
              </w:rPr>
              <w:t>} + {LRCalc;</w:t>
            </w:r>
            <w:r w:rsidRPr="00532F3A">
              <w:rPr>
                <w:rFonts w:ascii="Times New Roman" w:hAnsi="Times New Roman"/>
              </w:rPr>
              <w:t>100</w:t>
            </w:r>
            <w:r>
              <w:rPr>
                <w:rFonts w:ascii="Times New Roman" w:hAnsi="Times New Roman"/>
              </w:rPr>
              <w:t>;</w:t>
            </w:r>
            <w:r w:rsidRPr="00532F3A">
              <w:rPr>
                <w:rFonts w:ascii="Times New Roman" w:hAnsi="Times New Roman"/>
              </w:rPr>
              <w:t>010</w:t>
            </w:r>
            <w:r>
              <w:rPr>
                <w:rFonts w:ascii="Times New Roman" w:hAnsi="Times New Roman"/>
              </w:rPr>
              <w:t>} + {LRCalc;</w:t>
            </w:r>
            <w:r w:rsidRPr="00532F3A">
              <w:rPr>
                <w:rFonts w:ascii="Times New Roman" w:hAnsi="Times New Roman"/>
              </w:rPr>
              <w:t>110</w:t>
            </w:r>
            <w:r>
              <w:rPr>
                <w:rFonts w:ascii="Times New Roman" w:hAnsi="Times New Roman"/>
              </w:rPr>
              <w:t>;</w:t>
            </w:r>
            <w:r w:rsidRPr="00532F3A">
              <w:rPr>
                <w:rFonts w:ascii="Times New Roman" w:hAnsi="Times New Roman"/>
              </w:rPr>
              <w:t>010</w:t>
            </w:r>
            <w:r>
              <w:rPr>
                <w:rFonts w:ascii="Times New Roman" w:hAnsi="Times New Roman"/>
              </w:rPr>
              <w:t>} + {LRCalc;</w:t>
            </w:r>
            <w:r w:rsidRPr="00532F3A">
              <w:rPr>
                <w:rFonts w:ascii="Times New Roman" w:hAnsi="Times New Roman"/>
              </w:rPr>
              <w:t>120</w:t>
            </w:r>
            <w:r>
              <w:rPr>
                <w:rFonts w:ascii="Times New Roman" w:hAnsi="Times New Roman"/>
              </w:rPr>
              <w:t>;</w:t>
            </w:r>
            <w:r w:rsidRPr="00532F3A">
              <w:rPr>
                <w:rFonts w:ascii="Times New Roman" w:hAnsi="Times New Roman"/>
              </w:rPr>
              <w:t>010</w:t>
            </w:r>
            <w:r>
              <w:rPr>
                <w:rFonts w:ascii="Times New Roman" w:hAnsi="Times New Roman"/>
              </w:rPr>
              <w:t>} + {LRCalc;</w:t>
            </w:r>
            <w:r w:rsidRPr="00532F3A">
              <w:rPr>
                <w:rFonts w:ascii="Times New Roman" w:hAnsi="Times New Roman"/>
              </w:rPr>
              <w:t>130</w:t>
            </w:r>
            <w:r>
              <w:rPr>
                <w:rFonts w:ascii="Times New Roman" w:hAnsi="Times New Roman"/>
              </w:rPr>
              <w:t>;</w:t>
            </w:r>
            <w:r w:rsidRPr="00532F3A">
              <w:rPr>
                <w:rFonts w:ascii="Times New Roman" w:hAnsi="Times New Roman"/>
              </w:rPr>
              <w:t>010</w:t>
            </w:r>
            <w:r>
              <w:rPr>
                <w:rFonts w:ascii="Times New Roman" w:hAnsi="Times New Roman"/>
              </w:rPr>
              <w:t>} + {LRCalc;</w:t>
            </w:r>
            <w:r w:rsidRPr="00532F3A">
              <w:rPr>
                <w:rFonts w:ascii="Times New Roman" w:hAnsi="Times New Roman"/>
              </w:rPr>
              <w:t>140</w:t>
            </w:r>
            <w:r>
              <w:rPr>
                <w:rFonts w:ascii="Times New Roman" w:hAnsi="Times New Roman"/>
              </w:rPr>
              <w:t>;</w:t>
            </w:r>
            <w:r w:rsidRPr="00532F3A">
              <w:rPr>
                <w:rFonts w:ascii="Times New Roman" w:hAnsi="Times New Roman"/>
              </w:rPr>
              <w:t>010</w:t>
            </w:r>
            <w:r>
              <w:rPr>
                <w:rFonts w:ascii="Times New Roman" w:hAnsi="Times New Roman"/>
              </w:rPr>
              <w:t>} + {LRCalc;</w:t>
            </w:r>
            <w:r w:rsidRPr="00532F3A">
              <w:rPr>
                <w:rFonts w:ascii="Times New Roman" w:hAnsi="Times New Roman"/>
              </w:rPr>
              <w:t>150</w:t>
            </w:r>
            <w:r>
              <w:rPr>
                <w:rFonts w:ascii="Times New Roman" w:hAnsi="Times New Roman"/>
              </w:rPr>
              <w:t>;</w:t>
            </w:r>
            <w:r w:rsidRPr="00532F3A">
              <w:rPr>
                <w:rFonts w:ascii="Times New Roman" w:hAnsi="Times New Roman"/>
              </w:rPr>
              <w:t>010</w:t>
            </w:r>
            <w:r>
              <w:rPr>
                <w:rFonts w:ascii="Times New Roman" w:hAnsi="Times New Roman"/>
              </w:rPr>
              <w:t>} + {LRCalc;</w:t>
            </w:r>
            <w:r w:rsidRPr="00532F3A">
              <w:rPr>
                <w:rFonts w:ascii="Times New Roman" w:hAnsi="Times New Roman"/>
              </w:rPr>
              <w:t>160</w:t>
            </w:r>
            <w:r>
              <w:rPr>
                <w:rFonts w:ascii="Times New Roman" w:hAnsi="Times New Roman"/>
              </w:rPr>
              <w:t>;</w:t>
            </w:r>
            <w:r w:rsidRPr="00532F3A">
              <w:rPr>
                <w:rFonts w:ascii="Times New Roman" w:hAnsi="Times New Roman"/>
              </w:rPr>
              <w:t>010</w:t>
            </w:r>
            <w:r>
              <w:rPr>
                <w:rFonts w:ascii="Times New Roman" w:hAnsi="Times New Roman"/>
              </w:rPr>
              <w:t>} + {LRCalc;</w:t>
            </w:r>
            <w:r w:rsidRPr="00532F3A">
              <w:rPr>
                <w:rFonts w:ascii="Times New Roman" w:hAnsi="Times New Roman"/>
              </w:rPr>
              <w:t>170</w:t>
            </w:r>
            <w:r>
              <w:rPr>
                <w:rFonts w:ascii="Times New Roman" w:hAnsi="Times New Roman"/>
              </w:rPr>
              <w:t>;</w:t>
            </w:r>
            <w:r w:rsidRPr="00532F3A">
              <w:rPr>
                <w:rFonts w:ascii="Times New Roman" w:hAnsi="Times New Roman"/>
              </w:rPr>
              <w:t>010</w:t>
            </w:r>
            <w:r>
              <w:rPr>
                <w:rFonts w:ascii="Times New Roman" w:hAnsi="Times New Roman"/>
              </w:rPr>
              <w:t>} + {LRCalc;</w:t>
            </w:r>
            <w:r w:rsidRPr="00532F3A">
              <w:rPr>
                <w:rFonts w:ascii="Times New Roman" w:hAnsi="Times New Roman"/>
              </w:rPr>
              <w:t>180</w:t>
            </w:r>
            <w:r>
              <w:rPr>
                <w:rFonts w:ascii="Times New Roman" w:hAnsi="Times New Roman"/>
              </w:rPr>
              <w:t>;</w:t>
            </w:r>
            <w:r w:rsidRPr="00532F3A">
              <w:rPr>
                <w:rFonts w:ascii="Times New Roman" w:hAnsi="Times New Roman"/>
              </w:rPr>
              <w:t>010</w:t>
            </w:r>
            <w:r>
              <w:rPr>
                <w:rFonts w:ascii="Times New Roman" w:hAnsi="Times New Roman"/>
              </w:rPr>
              <w:t>} + {LRCalc;</w:t>
            </w:r>
            <w:r w:rsidRPr="00532F3A">
              <w:rPr>
                <w:rFonts w:ascii="Times New Roman" w:hAnsi="Times New Roman"/>
              </w:rPr>
              <w:t>190</w:t>
            </w:r>
            <w:r>
              <w:rPr>
                <w:rFonts w:ascii="Times New Roman" w:hAnsi="Times New Roman"/>
              </w:rPr>
              <w:t>;</w:t>
            </w:r>
            <w:r w:rsidRPr="00532F3A">
              <w:rPr>
                <w:rFonts w:ascii="Times New Roman" w:hAnsi="Times New Roman"/>
              </w:rPr>
              <w:t>010</w:t>
            </w:r>
            <w:r>
              <w:rPr>
                <w:rFonts w:ascii="Times New Roman" w:hAnsi="Times New Roman"/>
              </w:rPr>
              <w:t>} + {LRCalc;</w:t>
            </w:r>
            <w:r w:rsidRPr="00532F3A">
              <w:rPr>
                <w:rFonts w:ascii="Times New Roman" w:hAnsi="Times New Roman"/>
              </w:rPr>
              <w:t>200</w:t>
            </w:r>
            <w:r>
              <w:rPr>
                <w:rFonts w:ascii="Times New Roman" w:hAnsi="Times New Roman"/>
              </w:rPr>
              <w:t>;</w:t>
            </w:r>
            <w:r w:rsidRPr="00532F3A">
              <w:rPr>
                <w:rFonts w:ascii="Times New Roman" w:hAnsi="Times New Roman"/>
              </w:rPr>
              <w:t>010</w:t>
            </w:r>
            <w:r>
              <w:rPr>
                <w:rFonts w:ascii="Times New Roman" w:hAnsi="Times New Roman"/>
              </w:rPr>
              <w:t>} + {LRCalc;</w:t>
            </w:r>
            <w:r w:rsidRPr="00532F3A">
              <w:rPr>
                <w:rFonts w:ascii="Times New Roman" w:hAnsi="Times New Roman"/>
              </w:rPr>
              <w:t>210</w:t>
            </w:r>
            <w:r>
              <w:rPr>
                <w:rFonts w:ascii="Times New Roman" w:hAnsi="Times New Roman"/>
              </w:rPr>
              <w:t>;</w:t>
            </w:r>
            <w:r w:rsidRPr="00532F3A">
              <w:rPr>
                <w:rFonts w:ascii="Times New Roman" w:hAnsi="Times New Roman"/>
              </w:rPr>
              <w:t>010</w:t>
            </w:r>
            <w:r>
              <w:rPr>
                <w:rFonts w:ascii="Times New Roman" w:hAnsi="Times New Roman"/>
              </w:rPr>
              <w:t>} + {LRCalc;</w:t>
            </w:r>
            <w:r w:rsidRPr="00532F3A">
              <w:rPr>
                <w:rFonts w:ascii="Times New Roman" w:hAnsi="Times New Roman"/>
              </w:rPr>
              <w:t>220</w:t>
            </w:r>
            <w:r>
              <w:rPr>
                <w:rFonts w:ascii="Times New Roman" w:hAnsi="Times New Roman"/>
              </w:rPr>
              <w:t>;</w:t>
            </w:r>
            <w:r w:rsidRPr="00532F3A">
              <w:rPr>
                <w:rFonts w:ascii="Times New Roman" w:hAnsi="Times New Roman"/>
              </w:rPr>
              <w:t>010</w:t>
            </w:r>
            <w:r>
              <w:rPr>
                <w:rFonts w:ascii="Times New Roman" w:hAnsi="Times New Roman"/>
              </w:rPr>
              <w:t>} + {LRCalc;</w:t>
            </w:r>
            <w:r w:rsidRPr="00532F3A">
              <w:rPr>
                <w:rFonts w:ascii="Times New Roman" w:hAnsi="Times New Roman"/>
              </w:rPr>
              <w:t>230</w:t>
            </w:r>
            <w:r>
              <w:rPr>
                <w:rFonts w:ascii="Times New Roman" w:hAnsi="Times New Roman"/>
              </w:rPr>
              <w:t>;</w:t>
            </w:r>
            <w:r w:rsidRPr="00532F3A">
              <w:rPr>
                <w:rFonts w:ascii="Times New Roman" w:hAnsi="Times New Roman"/>
              </w:rPr>
              <w:t>010</w:t>
            </w:r>
            <w:r>
              <w:rPr>
                <w:rFonts w:ascii="Times New Roman" w:hAnsi="Times New Roman"/>
              </w:rPr>
              <w:t>} + {LRCalc;</w:t>
            </w:r>
            <w:r w:rsidRPr="00532F3A">
              <w:rPr>
                <w:rFonts w:ascii="Times New Roman" w:hAnsi="Times New Roman"/>
              </w:rPr>
              <w:t>240</w:t>
            </w:r>
            <w:r>
              <w:rPr>
                <w:rFonts w:ascii="Times New Roman" w:hAnsi="Times New Roman"/>
              </w:rPr>
              <w:t>;</w:t>
            </w:r>
            <w:r w:rsidRPr="00532F3A">
              <w:rPr>
                <w:rFonts w:ascii="Times New Roman" w:hAnsi="Times New Roman"/>
              </w:rPr>
              <w:t>010</w:t>
            </w:r>
            <w:r>
              <w:rPr>
                <w:rFonts w:ascii="Times New Roman" w:hAnsi="Times New Roman"/>
              </w:rPr>
              <w:t>} + {LRCalc;</w:t>
            </w:r>
            <w:r w:rsidRPr="00532F3A">
              <w:rPr>
                <w:rFonts w:ascii="Times New Roman" w:hAnsi="Times New Roman"/>
              </w:rPr>
              <w:t>250</w:t>
            </w:r>
            <w:r>
              <w:rPr>
                <w:rFonts w:ascii="Times New Roman" w:hAnsi="Times New Roman"/>
              </w:rPr>
              <w:t>;</w:t>
            </w:r>
            <w:r w:rsidRPr="00532F3A">
              <w:rPr>
                <w:rFonts w:ascii="Times New Roman" w:hAnsi="Times New Roman"/>
              </w:rPr>
              <w:t>010</w:t>
            </w:r>
            <w:r>
              <w:rPr>
                <w:rFonts w:ascii="Times New Roman" w:hAnsi="Times New Roman"/>
              </w:rPr>
              <w:t>} + {LRCalc;</w:t>
            </w:r>
            <w:r w:rsidRPr="00532F3A">
              <w:rPr>
                <w:rFonts w:ascii="Times New Roman" w:hAnsi="Times New Roman"/>
              </w:rPr>
              <w:t>260</w:t>
            </w:r>
            <w:r>
              <w:rPr>
                <w:rFonts w:ascii="Times New Roman" w:hAnsi="Times New Roman"/>
              </w:rPr>
              <w:t>;</w:t>
            </w:r>
            <w:r w:rsidRPr="00532F3A">
              <w:rPr>
                <w:rFonts w:ascii="Times New Roman" w:hAnsi="Times New Roman"/>
              </w:rPr>
              <w:t>010</w:t>
            </w:r>
            <w:r>
              <w:rPr>
                <w:rFonts w:ascii="Times New Roman" w:hAnsi="Times New Roman"/>
              </w:rPr>
              <w:t>} + {LRCalc;</w:t>
            </w:r>
            <w:r w:rsidRPr="00532F3A">
              <w:rPr>
                <w:rFonts w:ascii="Times New Roman" w:hAnsi="Times New Roman"/>
              </w:rPr>
              <w:t>270</w:t>
            </w:r>
            <w:r>
              <w:rPr>
                <w:rFonts w:ascii="Times New Roman" w:hAnsi="Times New Roman"/>
              </w:rPr>
              <w:t>;</w:t>
            </w:r>
            <w:r w:rsidRPr="00532F3A">
              <w:rPr>
                <w:rFonts w:ascii="Times New Roman" w:hAnsi="Times New Roman"/>
              </w:rPr>
              <w:t>010</w:t>
            </w:r>
            <w:r>
              <w:rPr>
                <w:rFonts w:ascii="Times New Roman" w:hAnsi="Times New Roman"/>
              </w:rPr>
              <w:t>}.</w:t>
            </w:r>
          </w:p>
          <w:p w:rsidR="009264ED" w:rsidRDefault="009264ED" w:rsidP="009264ED">
            <w:pPr>
              <w:pStyle w:val="BodyText1"/>
              <w:spacing w:line="240" w:lineRule="auto"/>
              <w:rPr>
                <w:rFonts w:ascii="Times New Roman" w:hAnsi="Times New Roman"/>
                <w:b/>
                <w:bCs/>
              </w:rPr>
            </w:pPr>
          </w:p>
        </w:tc>
      </w:tr>
      <w:tr w:rsidR="009264ED" w:rsidRPr="00FE002E" w:rsidTr="00FE0FF1">
        <w:trPr>
          <w:trHeight w:val="304"/>
        </w:trPr>
        <w:tc>
          <w:tcPr>
            <w:tcW w:w="1418" w:type="dxa"/>
            <w:tcBorders>
              <w:bottom w:val="single" w:sz="4" w:space="0" w:color="auto"/>
            </w:tcBorders>
          </w:tcPr>
          <w:p w:rsidR="009264ED" w:rsidRPr="00FE002E" w:rsidRDefault="009264ED" w:rsidP="009264ED">
            <w:pPr>
              <w:pStyle w:val="BodyText1"/>
              <w:rPr>
                <w:rFonts w:ascii="Times New Roman" w:hAnsi="Times New Roman"/>
                <w:bCs/>
              </w:rPr>
            </w:pPr>
            <w:r>
              <w:rPr>
                <w:rFonts w:ascii="Times New Roman" w:hAnsi="Times New Roman"/>
              </w:rPr>
              <w:t>{</w:t>
            </w:r>
            <w:r w:rsidRPr="00532F3A">
              <w:rPr>
                <w:rFonts w:ascii="Times New Roman" w:hAnsi="Times New Roman"/>
              </w:rPr>
              <w:t>300</w:t>
            </w:r>
            <w:r>
              <w:rPr>
                <w:rFonts w:ascii="Times New Roman" w:hAnsi="Times New Roman"/>
              </w:rPr>
              <w:t>;</w:t>
            </w:r>
            <w:r w:rsidRPr="00532F3A">
              <w:rPr>
                <w:rFonts w:ascii="Times New Roman" w:hAnsi="Times New Roman"/>
              </w:rPr>
              <w:t>010</w:t>
            </w:r>
            <w:r>
              <w:rPr>
                <w:rFonts w:ascii="Times New Roman" w:hAnsi="Times New Roman"/>
              </w:rPr>
              <w:t>}</w:t>
            </w:r>
          </w:p>
          <w:p w:rsidR="009264ED" w:rsidRPr="00FE002E" w:rsidRDefault="009264ED" w:rsidP="009264ED">
            <w:pPr>
              <w:pStyle w:val="BodyText1"/>
              <w:rPr>
                <w:rFonts w:ascii="Times New Roman" w:hAnsi="Times New Roman"/>
                <w:bCs/>
              </w:rPr>
            </w:pPr>
          </w:p>
        </w:tc>
        <w:tc>
          <w:tcPr>
            <w:tcW w:w="7590" w:type="dxa"/>
            <w:tcBorders>
              <w:bottom w:val="single" w:sz="4" w:space="0" w:color="auto"/>
            </w:tcBorders>
          </w:tcPr>
          <w:p w:rsidR="009264ED" w:rsidRDefault="009264ED" w:rsidP="009264ED">
            <w:pPr>
              <w:pStyle w:val="BodyText1"/>
              <w:spacing w:line="240" w:lineRule="auto"/>
              <w:rPr>
                <w:rFonts w:ascii="Times New Roman" w:hAnsi="Times New Roman"/>
                <w:b/>
                <w:bCs/>
              </w:rPr>
            </w:pPr>
            <w:r>
              <w:rPr>
                <w:rFonts w:ascii="Times New Roman" w:hAnsi="Times New Roman"/>
                <w:b/>
              </w:rPr>
              <w:t>Gesamtrisikoposition für die Verschuldungsquote — unter Verwendung einer Übergangsdefinition des Kernkapitals</w:t>
            </w:r>
          </w:p>
          <w:p w:rsidR="009264ED" w:rsidRDefault="009264ED" w:rsidP="009264ED">
            <w:pPr>
              <w:pStyle w:val="BodyText1"/>
              <w:spacing w:line="240" w:lineRule="auto"/>
              <w:rPr>
                <w:rFonts w:ascii="Times New Roman" w:hAnsi="Times New Roman"/>
                <w:bCs/>
              </w:rPr>
            </w:pPr>
          </w:p>
          <w:p w:rsidR="009264ED" w:rsidRDefault="009264ED" w:rsidP="009264ED">
            <w:pPr>
              <w:pStyle w:val="BodyText1"/>
              <w:spacing w:line="240" w:lineRule="auto"/>
              <w:rPr>
                <w:rFonts w:ascii="Times New Roman" w:hAnsi="Times New Roman"/>
                <w:bCs/>
              </w:rPr>
            </w:pPr>
            <w:r>
              <w:rPr>
                <w:rFonts w:ascii="Times New Roman" w:hAnsi="Times New Roman"/>
              </w:rPr>
              <w:t>Die Institute melden folgenden Betrag:</w:t>
            </w:r>
          </w:p>
          <w:p w:rsidR="009264ED" w:rsidRDefault="009264ED" w:rsidP="009264ED">
            <w:pPr>
              <w:pStyle w:val="BodyText1"/>
              <w:spacing w:line="240" w:lineRule="auto"/>
              <w:rPr>
                <w:rFonts w:ascii="Times New Roman" w:hAnsi="Times New Roman"/>
                <w:bCs/>
              </w:rPr>
            </w:pPr>
          </w:p>
          <w:p w:rsidR="009264ED" w:rsidRDefault="009264ED" w:rsidP="009264ED">
            <w:pPr>
              <w:pStyle w:val="BodyText1"/>
              <w:spacing w:line="240" w:lineRule="auto"/>
              <w:rPr>
                <w:rFonts w:ascii="Times New Roman" w:hAnsi="Times New Roman"/>
                <w:bCs/>
              </w:rPr>
            </w:pPr>
            <w:r>
              <w:rPr>
                <w:rFonts w:ascii="Times New Roman" w:hAnsi="Times New Roman"/>
              </w:rPr>
              <w:t>{LRCalc;</w:t>
            </w:r>
            <w:r w:rsidRPr="00532F3A">
              <w:rPr>
                <w:rFonts w:ascii="Times New Roman" w:hAnsi="Times New Roman"/>
              </w:rPr>
              <w:t>010</w:t>
            </w:r>
            <w:r>
              <w:rPr>
                <w:rFonts w:ascii="Times New Roman" w:hAnsi="Times New Roman"/>
              </w:rPr>
              <w:t>;</w:t>
            </w:r>
            <w:r w:rsidRPr="00532F3A">
              <w:rPr>
                <w:rFonts w:ascii="Times New Roman" w:hAnsi="Times New Roman"/>
              </w:rPr>
              <w:t>010</w:t>
            </w:r>
            <w:r>
              <w:rPr>
                <w:rFonts w:ascii="Times New Roman" w:hAnsi="Times New Roman"/>
              </w:rPr>
              <w:t>} + {LRCalc;</w:t>
            </w:r>
            <w:r w:rsidRPr="00532F3A">
              <w:rPr>
                <w:rFonts w:ascii="Times New Roman" w:hAnsi="Times New Roman"/>
              </w:rPr>
              <w:t>020</w:t>
            </w:r>
            <w:r>
              <w:rPr>
                <w:rFonts w:ascii="Times New Roman" w:hAnsi="Times New Roman"/>
              </w:rPr>
              <w:t>;</w:t>
            </w:r>
            <w:r w:rsidRPr="00532F3A">
              <w:rPr>
                <w:rFonts w:ascii="Times New Roman" w:hAnsi="Times New Roman"/>
              </w:rPr>
              <w:t>010</w:t>
            </w:r>
            <w:r>
              <w:rPr>
                <w:rFonts w:ascii="Times New Roman" w:hAnsi="Times New Roman"/>
              </w:rPr>
              <w:t>} + {LRCalc;</w:t>
            </w:r>
            <w:r w:rsidRPr="00532F3A">
              <w:rPr>
                <w:rFonts w:ascii="Times New Roman" w:hAnsi="Times New Roman"/>
              </w:rPr>
              <w:t>030</w:t>
            </w:r>
            <w:r>
              <w:rPr>
                <w:rFonts w:ascii="Times New Roman" w:hAnsi="Times New Roman"/>
              </w:rPr>
              <w:t>;</w:t>
            </w:r>
            <w:r w:rsidRPr="00532F3A">
              <w:rPr>
                <w:rFonts w:ascii="Times New Roman" w:hAnsi="Times New Roman"/>
              </w:rPr>
              <w:t>010</w:t>
            </w:r>
            <w:r>
              <w:rPr>
                <w:rFonts w:ascii="Times New Roman" w:hAnsi="Times New Roman"/>
              </w:rPr>
              <w:t>} + {LRCalc;</w:t>
            </w:r>
            <w:r w:rsidRPr="00532F3A">
              <w:rPr>
                <w:rFonts w:ascii="Times New Roman" w:hAnsi="Times New Roman"/>
              </w:rPr>
              <w:t>040</w:t>
            </w:r>
            <w:r>
              <w:rPr>
                <w:rFonts w:ascii="Times New Roman" w:hAnsi="Times New Roman"/>
              </w:rPr>
              <w:t>;</w:t>
            </w:r>
            <w:r w:rsidRPr="00532F3A">
              <w:rPr>
                <w:rFonts w:ascii="Times New Roman" w:hAnsi="Times New Roman"/>
              </w:rPr>
              <w:t>010</w:t>
            </w:r>
            <w:r>
              <w:rPr>
                <w:rFonts w:ascii="Times New Roman" w:hAnsi="Times New Roman"/>
              </w:rPr>
              <w:t>} + {LRCalc;</w:t>
            </w:r>
            <w:r w:rsidRPr="00532F3A">
              <w:rPr>
                <w:rFonts w:ascii="Times New Roman" w:hAnsi="Times New Roman"/>
              </w:rPr>
              <w:t>050</w:t>
            </w:r>
            <w:r>
              <w:rPr>
                <w:rFonts w:ascii="Times New Roman" w:hAnsi="Times New Roman"/>
              </w:rPr>
              <w:t>;</w:t>
            </w:r>
            <w:r w:rsidRPr="00532F3A">
              <w:rPr>
                <w:rFonts w:ascii="Times New Roman" w:hAnsi="Times New Roman"/>
              </w:rPr>
              <w:t>010</w:t>
            </w:r>
            <w:r>
              <w:rPr>
                <w:rFonts w:ascii="Times New Roman" w:hAnsi="Times New Roman"/>
              </w:rPr>
              <w:t>} + {LRCalc;</w:t>
            </w:r>
            <w:r w:rsidRPr="00532F3A">
              <w:rPr>
                <w:rFonts w:ascii="Times New Roman" w:hAnsi="Times New Roman"/>
              </w:rPr>
              <w:t>060</w:t>
            </w:r>
            <w:r>
              <w:rPr>
                <w:rFonts w:ascii="Times New Roman" w:hAnsi="Times New Roman"/>
              </w:rPr>
              <w:t>;</w:t>
            </w:r>
            <w:r w:rsidRPr="00532F3A">
              <w:rPr>
                <w:rFonts w:ascii="Times New Roman" w:hAnsi="Times New Roman"/>
              </w:rPr>
              <w:t>010</w:t>
            </w:r>
            <w:r>
              <w:rPr>
                <w:rFonts w:ascii="Times New Roman" w:hAnsi="Times New Roman"/>
              </w:rPr>
              <w:t>} + {LRCalc;</w:t>
            </w:r>
            <w:r w:rsidRPr="00532F3A">
              <w:rPr>
                <w:rFonts w:ascii="Times New Roman" w:hAnsi="Times New Roman"/>
              </w:rPr>
              <w:t>070</w:t>
            </w:r>
            <w:r>
              <w:rPr>
                <w:rFonts w:ascii="Times New Roman" w:hAnsi="Times New Roman"/>
              </w:rPr>
              <w:t>;</w:t>
            </w:r>
            <w:r w:rsidRPr="00532F3A">
              <w:rPr>
                <w:rFonts w:ascii="Times New Roman" w:hAnsi="Times New Roman"/>
              </w:rPr>
              <w:t>010</w:t>
            </w:r>
            <w:r>
              <w:rPr>
                <w:rFonts w:ascii="Times New Roman" w:hAnsi="Times New Roman"/>
              </w:rPr>
              <w:t>} + {LRCalc;</w:t>
            </w:r>
            <w:r w:rsidRPr="00532F3A">
              <w:rPr>
                <w:rFonts w:ascii="Times New Roman" w:hAnsi="Times New Roman"/>
              </w:rPr>
              <w:t>080</w:t>
            </w:r>
            <w:r>
              <w:rPr>
                <w:rFonts w:ascii="Times New Roman" w:hAnsi="Times New Roman"/>
              </w:rPr>
              <w:t>;</w:t>
            </w:r>
            <w:r w:rsidRPr="00532F3A">
              <w:rPr>
                <w:rFonts w:ascii="Times New Roman" w:hAnsi="Times New Roman"/>
              </w:rPr>
              <w:t>010</w:t>
            </w:r>
            <w:r>
              <w:rPr>
                <w:rFonts w:ascii="Times New Roman" w:hAnsi="Times New Roman"/>
              </w:rPr>
              <w:t>} + {LRCalc;</w:t>
            </w:r>
            <w:r w:rsidRPr="00532F3A">
              <w:rPr>
                <w:rFonts w:ascii="Times New Roman" w:hAnsi="Times New Roman"/>
              </w:rPr>
              <w:t>090</w:t>
            </w:r>
            <w:r>
              <w:rPr>
                <w:rFonts w:ascii="Times New Roman" w:hAnsi="Times New Roman"/>
              </w:rPr>
              <w:t>;</w:t>
            </w:r>
            <w:r w:rsidRPr="00532F3A">
              <w:rPr>
                <w:rFonts w:ascii="Times New Roman" w:hAnsi="Times New Roman"/>
              </w:rPr>
              <w:t>010</w:t>
            </w:r>
            <w:r>
              <w:rPr>
                <w:rFonts w:ascii="Times New Roman" w:hAnsi="Times New Roman"/>
              </w:rPr>
              <w:t>} + {LRCalc;</w:t>
            </w:r>
            <w:r w:rsidRPr="00532F3A">
              <w:rPr>
                <w:rFonts w:ascii="Times New Roman" w:hAnsi="Times New Roman"/>
              </w:rPr>
              <w:t>100</w:t>
            </w:r>
            <w:r>
              <w:rPr>
                <w:rFonts w:ascii="Times New Roman" w:hAnsi="Times New Roman"/>
              </w:rPr>
              <w:t>;</w:t>
            </w:r>
            <w:r w:rsidRPr="00532F3A">
              <w:rPr>
                <w:rFonts w:ascii="Times New Roman" w:hAnsi="Times New Roman"/>
              </w:rPr>
              <w:t>010</w:t>
            </w:r>
            <w:r>
              <w:rPr>
                <w:rFonts w:ascii="Times New Roman" w:hAnsi="Times New Roman"/>
              </w:rPr>
              <w:t>} + {LRCalc;</w:t>
            </w:r>
            <w:r w:rsidRPr="00532F3A">
              <w:rPr>
                <w:rFonts w:ascii="Times New Roman" w:hAnsi="Times New Roman"/>
              </w:rPr>
              <w:t>110</w:t>
            </w:r>
            <w:r>
              <w:rPr>
                <w:rFonts w:ascii="Times New Roman" w:hAnsi="Times New Roman"/>
              </w:rPr>
              <w:t>;</w:t>
            </w:r>
            <w:r w:rsidRPr="00532F3A">
              <w:rPr>
                <w:rFonts w:ascii="Times New Roman" w:hAnsi="Times New Roman"/>
              </w:rPr>
              <w:t>010</w:t>
            </w:r>
            <w:r>
              <w:rPr>
                <w:rFonts w:ascii="Times New Roman" w:hAnsi="Times New Roman"/>
              </w:rPr>
              <w:t>} + {LRCalc;</w:t>
            </w:r>
            <w:r w:rsidRPr="00532F3A">
              <w:rPr>
                <w:rFonts w:ascii="Times New Roman" w:hAnsi="Times New Roman"/>
              </w:rPr>
              <w:t>120</w:t>
            </w:r>
            <w:r>
              <w:rPr>
                <w:rFonts w:ascii="Times New Roman" w:hAnsi="Times New Roman"/>
              </w:rPr>
              <w:t>;</w:t>
            </w:r>
            <w:r w:rsidRPr="00532F3A">
              <w:rPr>
                <w:rFonts w:ascii="Times New Roman" w:hAnsi="Times New Roman"/>
              </w:rPr>
              <w:t>010</w:t>
            </w:r>
            <w:r>
              <w:rPr>
                <w:rFonts w:ascii="Times New Roman" w:hAnsi="Times New Roman"/>
              </w:rPr>
              <w:t>} + {LRCalc;</w:t>
            </w:r>
            <w:r w:rsidRPr="00532F3A">
              <w:rPr>
                <w:rFonts w:ascii="Times New Roman" w:hAnsi="Times New Roman"/>
              </w:rPr>
              <w:t>130</w:t>
            </w:r>
            <w:r>
              <w:rPr>
                <w:rFonts w:ascii="Times New Roman" w:hAnsi="Times New Roman"/>
              </w:rPr>
              <w:t>;</w:t>
            </w:r>
            <w:r w:rsidRPr="00532F3A">
              <w:rPr>
                <w:rFonts w:ascii="Times New Roman" w:hAnsi="Times New Roman"/>
              </w:rPr>
              <w:t>010</w:t>
            </w:r>
            <w:r>
              <w:rPr>
                <w:rFonts w:ascii="Times New Roman" w:hAnsi="Times New Roman"/>
              </w:rPr>
              <w:t>} — {LRCalc;</w:t>
            </w:r>
            <w:r w:rsidRPr="00532F3A">
              <w:rPr>
                <w:rFonts w:ascii="Times New Roman" w:hAnsi="Times New Roman"/>
              </w:rPr>
              <w:t>140</w:t>
            </w:r>
            <w:r>
              <w:rPr>
                <w:rFonts w:ascii="Times New Roman" w:hAnsi="Times New Roman"/>
              </w:rPr>
              <w:t>;</w:t>
            </w:r>
            <w:r w:rsidRPr="00532F3A">
              <w:rPr>
                <w:rFonts w:ascii="Times New Roman" w:hAnsi="Times New Roman"/>
              </w:rPr>
              <w:t>010</w:t>
            </w:r>
            <w:r>
              <w:rPr>
                <w:rFonts w:ascii="Times New Roman" w:hAnsi="Times New Roman"/>
              </w:rPr>
              <w:t>} + {LRCalc;</w:t>
            </w:r>
            <w:r w:rsidRPr="00532F3A">
              <w:rPr>
                <w:rFonts w:ascii="Times New Roman" w:hAnsi="Times New Roman"/>
              </w:rPr>
              <w:t>150</w:t>
            </w:r>
            <w:r>
              <w:rPr>
                <w:rFonts w:ascii="Times New Roman" w:hAnsi="Times New Roman"/>
              </w:rPr>
              <w:t>;</w:t>
            </w:r>
            <w:r w:rsidRPr="00532F3A">
              <w:rPr>
                <w:rFonts w:ascii="Times New Roman" w:hAnsi="Times New Roman"/>
              </w:rPr>
              <w:t>010</w:t>
            </w:r>
            <w:r>
              <w:rPr>
                <w:rFonts w:ascii="Times New Roman" w:hAnsi="Times New Roman"/>
              </w:rPr>
              <w:t>} + {LRCalc;</w:t>
            </w:r>
            <w:r w:rsidRPr="00532F3A">
              <w:rPr>
                <w:rFonts w:ascii="Times New Roman" w:hAnsi="Times New Roman"/>
              </w:rPr>
              <w:t>160</w:t>
            </w:r>
            <w:r>
              <w:rPr>
                <w:rFonts w:ascii="Times New Roman" w:hAnsi="Times New Roman"/>
              </w:rPr>
              <w:t>;</w:t>
            </w:r>
            <w:r w:rsidRPr="00532F3A">
              <w:rPr>
                <w:rFonts w:ascii="Times New Roman" w:hAnsi="Times New Roman"/>
              </w:rPr>
              <w:t>010</w:t>
            </w:r>
            <w:r>
              <w:rPr>
                <w:rFonts w:ascii="Times New Roman" w:hAnsi="Times New Roman"/>
              </w:rPr>
              <w:t xml:space="preserve">} + </w:t>
            </w:r>
            <w:r>
              <w:rPr>
                <w:rFonts w:ascii="Times New Roman" w:hAnsi="Times New Roman"/>
              </w:rPr>
              <w:lastRenderedPageBreak/>
              <w:t>{LRCalc;</w:t>
            </w:r>
            <w:r w:rsidRPr="00532F3A">
              <w:rPr>
                <w:rFonts w:ascii="Times New Roman" w:hAnsi="Times New Roman"/>
              </w:rPr>
              <w:t>170</w:t>
            </w:r>
            <w:r>
              <w:rPr>
                <w:rFonts w:ascii="Times New Roman" w:hAnsi="Times New Roman"/>
              </w:rPr>
              <w:t>;</w:t>
            </w:r>
            <w:r w:rsidRPr="00532F3A">
              <w:rPr>
                <w:rFonts w:ascii="Times New Roman" w:hAnsi="Times New Roman"/>
              </w:rPr>
              <w:t>010</w:t>
            </w:r>
            <w:r>
              <w:rPr>
                <w:rFonts w:ascii="Times New Roman" w:hAnsi="Times New Roman"/>
              </w:rPr>
              <w:t>} + {LRCalc;</w:t>
            </w:r>
            <w:r w:rsidRPr="00532F3A">
              <w:rPr>
                <w:rFonts w:ascii="Times New Roman" w:hAnsi="Times New Roman"/>
              </w:rPr>
              <w:t>180</w:t>
            </w:r>
            <w:r>
              <w:rPr>
                <w:rFonts w:ascii="Times New Roman" w:hAnsi="Times New Roman"/>
              </w:rPr>
              <w:t>;</w:t>
            </w:r>
            <w:r w:rsidRPr="00532F3A">
              <w:rPr>
                <w:rFonts w:ascii="Times New Roman" w:hAnsi="Times New Roman"/>
              </w:rPr>
              <w:t>010</w:t>
            </w:r>
            <w:r>
              <w:rPr>
                <w:rFonts w:ascii="Times New Roman" w:hAnsi="Times New Roman"/>
              </w:rPr>
              <w:t>} + {LRCalc;</w:t>
            </w:r>
            <w:r w:rsidRPr="00532F3A">
              <w:rPr>
                <w:rFonts w:ascii="Times New Roman" w:hAnsi="Times New Roman"/>
              </w:rPr>
              <w:t>190</w:t>
            </w:r>
            <w:r>
              <w:rPr>
                <w:rFonts w:ascii="Times New Roman" w:hAnsi="Times New Roman"/>
              </w:rPr>
              <w:t>;</w:t>
            </w:r>
            <w:r w:rsidRPr="00532F3A">
              <w:rPr>
                <w:rFonts w:ascii="Times New Roman" w:hAnsi="Times New Roman"/>
              </w:rPr>
              <w:t>010</w:t>
            </w:r>
            <w:r>
              <w:rPr>
                <w:rFonts w:ascii="Times New Roman" w:hAnsi="Times New Roman"/>
              </w:rPr>
              <w:t>} + {LRCalc;</w:t>
            </w:r>
            <w:r w:rsidRPr="00532F3A">
              <w:rPr>
                <w:rFonts w:ascii="Times New Roman" w:hAnsi="Times New Roman"/>
              </w:rPr>
              <w:t>200</w:t>
            </w:r>
            <w:r>
              <w:rPr>
                <w:rFonts w:ascii="Times New Roman" w:hAnsi="Times New Roman"/>
              </w:rPr>
              <w:t>;</w:t>
            </w:r>
            <w:r w:rsidRPr="00532F3A">
              <w:rPr>
                <w:rFonts w:ascii="Times New Roman" w:hAnsi="Times New Roman"/>
              </w:rPr>
              <w:t>010</w:t>
            </w:r>
            <w:r>
              <w:rPr>
                <w:rFonts w:ascii="Times New Roman" w:hAnsi="Times New Roman"/>
              </w:rPr>
              <w:t>} + {LRCalc;</w:t>
            </w:r>
            <w:r w:rsidRPr="00532F3A">
              <w:rPr>
                <w:rFonts w:ascii="Times New Roman" w:hAnsi="Times New Roman"/>
              </w:rPr>
              <w:t>210</w:t>
            </w:r>
            <w:r>
              <w:rPr>
                <w:rFonts w:ascii="Times New Roman" w:hAnsi="Times New Roman"/>
              </w:rPr>
              <w:t>;</w:t>
            </w:r>
            <w:r w:rsidRPr="00532F3A">
              <w:rPr>
                <w:rFonts w:ascii="Times New Roman" w:hAnsi="Times New Roman"/>
              </w:rPr>
              <w:t>010</w:t>
            </w:r>
            <w:r>
              <w:rPr>
                <w:rFonts w:ascii="Times New Roman" w:hAnsi="Times New Roman"/>
              </w:rPr>
              <w:t>} + {LRCalc;</w:t>
            </w:r>
            <w:r w:rsidRPr="00532F3A">
              <w:rPr>
                <w:rFonts w:ascii="Times New Roman" w:hAnsi="Times New Roman"/>
              </w:rPr>
              <w:t>220</w:t>
            </w:r>
            <w:r>
              <w:rPr>
                <w:rFonts w:ascii="Times New Roman" w:hAnsi="Times New Roman"/>
              </w:rPr>
              <w:t>;</w:t>
            </w:r>
            <w:r w:rsidRPr="00532F3A">
              <w:rPr>
                <w:rFonts w:ascii="Times New Roman" w:hAnsi="Times New Roman"/>
              </w:rPr>
              <w:t>010</w:t>
            </w:r>
            <w:r>
              <w:rPr>
                <w:rFonts w:ascii="Times New Roman" w:hAnsi="Times New Roman"/>
              </w:rPr>
              <w:t>} + {LRCalc;</w:t>
            </w:r>
            <w:r w:rsidRPr="00532F3A">
              <w:rPr>
                <w:rFonts w:ascii="Times New Roman" w:hAnsi="Times New Roman"/>
              </w:rPr>
              <w:t>230</w:t>
            </w:r>
            <w:r>
              <w:rPr>
                <w:rFonts w:ascii="Times New Roman" w:hAnsi="Times New Roman"/>
              </w:rPr>
              <w:t>;</w:t>
            </w:r>
            <w:r w:rsidRPr="00532F3A">
              <w:rPr>
                <w:rFonts w:ascii="Times New Roman" w:hAnsi="Times New Roman"/>
              </w:rPr>
              <w:t>010</w:t>
            </w:r>
            <w:r>
              <w:rPr>
                <w:rFonts w:ascii="Times New Roman" w:hAnsi="Times New Roman"/>
              </w:rPr>
              <w:t>} + {LRCalc;</w:t>
            </w:r>
            <w:r w:rsidRPr="00532F3A">
              <w:rPr>
                <w:rFonts w:ascii="Times New Roman" w:hAnsi="Times New Roman"/>
              </w:rPr>
              <w:t>240</w:t>
            </w:r>
            <w:r>
              <w:rPr>
                <w:rFonts w:ascii="Times New Roman" w:hAnsi="Times New Roman"/>
              </w:rPr>
              <w:t>;</w:t>
            </w:r>
            <w:r w:rsidRPr="00532F3A">
              <w:rPr>
                <w:rFonts w:ascii="Times New Roman" w:hAnsi="Times New Roman"/>
              </w:rPr>
              <w:t>010</w:t>
            </w:r>
            <w:r>
              <w:rPr>
                <w:rFonts w:ascii="Times New Roman" w:hAnsi="Times New Roman"/>
              </w:rPr>
              <w:t>} + {LRCalc;</w:t>
            </w:r>
            <w:r w:rsidRPr="00532F3A">
              <w:rPr>
                <w:rFonts w:ascii="Times New Roman" w:hAnsi="Times New Roman"/>
              </w:rPr>
              <w:t>250</w:t>
            </w:r>
            <w:r>
              <w:rPr>
                <w:rFonts w:ascii="Times New Roman" w:hAnsi="Times New Roman"/>
              </w:rPr>
              <w:t>;</w:t>
            </w:r>
            <w:r w:rsidRPr="00532F3A">
              <w:rPr>
                <w:rFonts w:ascii="Times New Roman" w:hAnsi="Times New Roman"/>
              </w:rPr>
              <w:t>010</w:t>
            </w:r>
            <w:r>
              <w:rPr>
                <w:rFonts w:ascii="Times New Roman" w:hAnsi="Times New Roman"/>
              </w:rPr>
              <w:t>} + {LRCalc;</w:t>
            </w:r>
            <w:r w:rsidRPr="00532F3A">
              <w:rPr>
                <w:rFonts w:ascii="Times New Roman" w:hAnsi="Times New Roman"/>
              </w:rPr>
              <w:t>260</w:t>
            </w:r>
            <w:r>
              <w:rPr>
                <w:rFonts w:ascii="Times New Roman" w:hAnsi="Times New Roman"/>
              </w:rPr>
              <w:t>;</w:t>
            </w:r>
            <w:r w:rsidRPr="00532F3A">
              <w:rPr>
                <w:rFonts w:ascii="Times New Roman" w:hAnsi="Times New Roman"/>
              </w:rPr>
              <w:t>010</w:t>
            </w:r>
            <w:r>
              <w:rPr>
                <w:rFonts w:ascii="Times New Roman" w:hAnsi="Times New Roman"/>
              </w:rPr>
              <w:t>} + {LRCalc;</w:t>
            </w:r>
            <w:r w:rsidRPr="00532F3A">
              <w:rPr>
                <w:rFonts w:ascii="Times New Roman" w:hAnsi="Times New Roman"/>
              </w:rPr>
              <w:t>280</w:t>
            </w:r>
            <w:r>
              <w:rPr>
                <w:rFonts w:ascii="Times New Roman" w:hAnsi="Times New Roman"/>
              </w:rPr>
              <w:t>;</w:t>
            </w:r>
            <w:r w:rsidRPr="00532F3A">
              <w:rPr>
                <w:rFonts w:ascii="Times New Roman" w:hAnsi="Times New Roman"/>
              </w:rPr>
              <w:t>010</w:t>
            </w:r>
            <w:r>
              <w:rPr>
                <w:rFonts w:ascii="Times New Roman" w:hAnsi="Times New Roman"/>
              </w:rPr>
              <w:t>}.</w:t>
            </w:r>
          </w:p>
          <w:p w:rsidR="009264ED" w:rsidRDefault="009264ED" w:rsidP="009264ED">
            <w:pPr>
              <w:pStyle w:val="BodyText1"/>
              <w:spacing w:line="240" w:lineRule="auto"/>
              <w:rPr>
                <w:rFonts w:ascii="Times New Roman" w:hAnsi="Times New Roman"/>
                <w:b/>
                <w:bCs/>
              </w:rPr>
            </w:pPr>
          </w:p>
        </w:tc>
      </w:tr>
      <w:tr w:rsidR="009264ED" w:rsidRPr="00FE002E" w:rsidTr="00FE0FF1">
        <w:trPr>
          <w:trHeight w:val="304"/>
        </w:trPr>
        <w:tc>
          <w:tcPr>
            <w:tcW w:w="1418" w:type="dxa"/>
            <w:shd w:val="pct25" w:color="auto" w:fill="auto"/>
          </w:tcPr>
          <w:p w:rsidR="009264ED" w:rsidRPr="00FE002E" w:rsidRDefault="009264ED" w:rsidP="00FE0FF1">
            <w:pPr>
              <w:pStyle w:val="BodyText1"/>
              <w:rPr>
                <w:rFonts w:ascii="Times New Roman" w:hAnsi="Times New Roman"/>
                <w:b/>
              </w:rPr>
            </w:pPr>
            <w:r>
              <w:rPr>
                <w:rFonts w:ascii="Times New Roman" w:hAnsi="Times New Roman"/>
                <w:b/>
              </w:rPr>
              <w:lastRenderedPageBreak/>
              <w:t xml:space="preserve">Zeile </w:t>
            </w:r>
          </w:p>
          <w:p w:rsidR="009264ED" w:rsidRPr="00FE002E" w:rsidRDefault="009264ED" w:rsidP="00FE0FF1">
            <w:pPr>
              <w:pStyle w:val="BodyText1"/>
              <w:rPr>
                <w:rFonts w:ascii="Times New Roman" w:hAnsi="Times New Roman"/>
                <w:b/>
                <w:bCs/>
              </w:rPr>
            </w:pPr>
            <w:r>
              <w:rPr>
                <w:rFonts w:ascii="Times New Roman" w:hAnsi="Times New Roman"/>
                <w:b/>
              </w:rPr>
              <w:t>und Spalte</w:t>
            </w:r>
          </w:p>
        </w:tc>
        <w:tc>
          <w:tcPr>
            <w:tcW w:w="7590" w:type="dxa"/>
            <w:shd w:val="pct25" w:color="auto" w:fill="auto"/>
          </w:tcPr>
          <w:p w:rsidR="009264ED" w:rsidRPr="00FE002E" w:rsidRDefault="009264ED" w:rsidP="00970A0D">
            <w:pPr>
              <w:pStyle w:val="BodyText1"/>
              <w:spacing w:line="240" w:lineRule="auto"/>
              <w:rPr>
                <w:rFonts w:ascii="Times New Roman" w:hAnsi="Times New Roman"/>
                <w:b/>
                <w:bCs/>
              </w:rPr>
            </w:pPr>
            <w:r>
              <w:rPr>
                <w:rFonts w:ascii="Times New Roman" w:hAnsi="Times New Roman"/>
                <w:b/>
              </w:rPr>
              <w:t xml:space="preserve">Kapital </w:t>
            </w:r>
          </w:p>
        </w:tc>
      </w:tr>
      <w:tr w:rsidR="009264ED" w:rsidRPr="00FE002E" w:rsidTr="00FE0FF1">
        <w:trPr>
          <w:trHeight w:val="304"/>
        </w:trPr>
        <w:tc>
          <w:tcPr>
            <w:tcW w:w="1418" w:type="dxa"/>
          </w:tcPr>
          <w:p w:rsidR="009264ED" w:rsidRPr="00FE002E" w:rsidRDefault="009264ED" w:rsidP="00FE0FF1">
            <w:pPr>
              <w:pStyle w:val="BodyText1"/>
              <w:rPr>
                <w:rFonts w:ascii="Times New Roman" w:hAnsi="Times New Roman"/>
                <w:bCs/>
              </w:rPr>
            </w:pPr>
            <w:r>
              <w:rPr>
                <w:rFonts w:ascii="Times New Roman" w:hAnsi="Times New Roman"/>
              </w:rPr>
              <w:t>{</w:t>
            </w:r>
            <w:r w:rsidRPr="00532F3A">
              <w:rPr>
                <w:rFonts w:ascii="Times New Roman" w:hAnsi="Times New Roman"/>
              </w:rPr>
              <w:t>310</w:t>
            </w:r>
            <w:r>
              <w:rPr>
                <w:rFonts w:ascii="Times New Roman" w:hAnsi="Times New Roman"/>
              </w:rPr>
              <w:t>;</w:t>
            </w:r>
            <w:r w:rsidRPr="00532F3A">
              <w:rPr>
                <w:rFonts w:ascii="Times New Roman" w:hAnsi="Times New Roman"/>
              </w:rPr>
              <w:t>010</w:t>
            </w:r>
            <w:r>
              <w:rPr>
                <w:rFonts w:ascii="Times New Roman" w:hAnsi="Times New Roman"/>
              </w:rPr>
              <w:t>}</w:t>
            </w:r>
          </w:p>
          <w:p w:rsidR="009264ED" w:rsidRPr="00FE002E" w:rsidRDefault="009264ED" w:rsidP="00FE0FF1">
            <w:pPr>
              <w:pStyle w:val="BodyText1"/>
              <w:rPr>
                <w:rFonts w:ascii="Times New Roman" w:hAnsi="Times New Roman"/>
                <w:bCs/>
              </w:rPr>
            </w:pPr>
          </w:p>
        </w:tc>
        <w:tc>
          <w:tcPr>
            <w:tcW w:w="7590" w:type="dxa"/>
          </w:tcPr>
          <w:p w:rsidR="009264ED" w:rsidRPr="00FE002E" w:rsidRDefault="009264ED" w:rsidP="00FE0FF1">
            <w:pPr>
              <w:pStyle w:val="BodyText1"/>
              <w:spacing w:line="240" w:lineRule="auto"/>
              <w:rPr>
                <w:rFonts w:ascii="Times New Roman" w:hAnsi="Times New Roman"/>
                <w:bCs/>
              </w:rPr>
            </w:pPr>
            <w:r>
              <w:rPr>
                <w:rFonts w:ascii="Times New Roman" w:hAnsi="Times New Roman"/>
                <w:b/>
              </w:rPr>
              <w:t>Kernkapital — Definition nach vollständiger Einführung der neuen Bestimmungen</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Pr>
                <w:rFonts w:ascii="Times New Roman" w:hAnsi="Times New Roman"/>
              </w:rPr>
              <w:t xml:space="preserve">Artikel </w:t>
            </w:r>
            <w:r w:rsidRPr="00532F3A">
              <w:rPr>
                <w:rFonts w:ascii="Times New Roman" w:hAnsi="Times New Roman"/>
              </w:rPr>
              <w:t>429</w:t>
            </w:r>
            <w:r>
              <w:rPr>
                <w:rFonts w:ascii="Times New Roman" w:hAnsi="Times New Roman"/>
              </w:rPr>
              <w:t xml:space="preserve"> Absatz </w:t>
            </w:r>
            <w:r w:rsidRPr="00532F3A">
              <w:rPr>
                <w:rFonts w:ascii="Times New Roman" w:hAnsi="Times New Roman"/>
              </w:rPr>
              <w:t>3</w:t>
            </w:r>
            <w:r>
              <w:rPr>
                <w:rFonts w:ascii="Times New Roman" w:hAnsi="Times New Roman"/>
              </w:rPr>
              <w:t xml:space="preserve"> und Artikel </w:t>
            </w:r>
            <w:r w:rsidRPr="00532F3A">
              <w:rPr>
                <w:rFonts w:ascii="Times New Roman" w:hAnsi="Times New Roman"/>
              </w:rPr>
              <w:t>499</w:t>
            </w:r>
            <w:r>
              <w:rPr>
                <w:rFonts w:ascii="Times New Roman" w:hAnsi="Times New Roman"/>
              </w:rPr>
              <w:t xml:space="preserve"> Absatz </w:t>
            </w:r>
            <w:r w:rsidRPr="00532F3A">
              <w:rPr>
                <w:rFonts w:ascii="Times New Roman" w:hAnsi="Times New Roman"/>
              </w:rPr>
              <w:t>1</w:t>
            </w:r>
            <w:r>
              <w:rPr>
                <w:rFonts w:ascii="Times New Roman" w:hAnsi="Times New Roman"/>
              </w:rPr>
              <w:t xml:space="preserve"> CRR</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Pr>
                <w:rFonts w:ascii="Times New Roman" w:hAnsi="Times New Roman"/>
              </w:rPr>
              <w:t xml:space="preserve">Dies ist die Höhe des nach Artikel </w:t>
            </w:r>
            <w:r w:rsidRPr="00532F3A">
              <w:rPr>
                <w:rFonts w:ascii="Times New Roman" w:hAnsi="Times New Roman"/>
              </w:rPr>
              <w:t>25</w:t>
            </w:r>
            <w:r>
              <w:rPr>
                <w:rFonts w:ascii="Times New Roman" w:hAnsi="Times New Roman"/>
              </w:rPr>
              <w:t xml:space="preserve"> CRR berechneten Kernkapitals ohne Berücksichtigung der in Teil </w:t>
            </w:r>
            <w:r w:rsidRPr="00532F3A">
              <w:rPr>
                <w:rFonts w:ascii="Times New Roman" w:hAnsi="Times New Roman"/>
              </w:rPr>
              <w:t>10</w:t>
            </w:r>
            <w:r>
              <w:rPr>
                <w:rFonts w:ascii="Times New Roman" w:hAnsi="Times New Roman"/>
              </w:rPr>
              <w:t xml:space="preserve"> Titel I Kapitel </w:t>
            </w:r>
            <w:r w:rsidRPr="00532F3A">
              <w:rPr>
                <w:rFonts w:ascii="Times New Roman" w:hAnsi="Times New Roman"/>
              </w:rPr>
              <w:t>1</w:t>
            </w:r>
            <w:r>
              <w:rPr>
                <w:rFonts w:ascii="Times New Roman" w:hAnsi="Times New Roman"/>
              </w:rPr>
              <w:t xml:space="preserve"> und </w:t>
            </w:r>
            <w:r w:rsidRPr="00532F3A">
              <w:rPr>
                <w:rFonts w:ascii="Times New Roman" w:hAnsi="Times New Roman"/>
              </w:rPr>
              <w:t>2</w:t>
            </w:r>
            <w:r>
              <w:rPr>
                <w:rFonts w:ascii="Times New Roman" w:hAnsi="Times New Roman"/>
              </w:rPr>
              <w:t xml:space="preserve"> CRR festgelegten abweichenden Regelungen.</w:t>
            </w:r>
          </w:p>
          <w:p w:rsidR="009264ED" w:rsidRPr="00FE002E" w:rsidRDefault="009264ED" w:rsidP="00FE0FF1">
            <w:pPr>
              <w:pStyle w:val="BodyText1"/>
              <w:spacing w:line="240" w:lineRule="auto"/>
              <w:rPr>
                <w:rFonts w:ascii="Times New Roman" w:hAnsi="Times New Roman"/>
                <w:bCs/>
              </w:rPr>
            </w:pPr>
          </w:p>
        </w:tc>
      </w:tr>
      <w:tr w:rsidR="009264ED" w:rsidRPr="00FE002E" w:rsidTr="00FE0FF1">
        <w:trPr>
          <w:trHeight w:val="304"/>
        </w:trPr>
        <w:tc>
          <w:tcPr>
            <w:tcW w:w="1418" w:type="dxa"/>
          </w:tcPr>
          <w:p w:rsidR="009264ED" w:rsidRPr="00FE002E" w:rsidRDefault="009264ED" w:rsidP="00FE0FF1">
            <w:pPr>
              <w:pStyle w:val="BodyText1"/>
              <w:rPr>
                <w:rFonts w:ascii="Times New Roman" w:hAnsi="Times New Roman"/>
                <w:bCs/>
              </w:rPr>
            </w:pPr>
            <w:r>
              <w:rPr>
                <w:rFonts w:ascii="Times New Roman" w:hAnsi="Times New Roman"/>
              </w:rPr>
              <w:t>{</w:t>
            </w:r>
            <w:r w:rsidRPr="00532F3A">
              <w:rPr>
                <w:rFonts w:ascii="Times New Roman" w:hAnsi="Times New Roman"/>
              </w:rPr>
              <w:t>320</w:t>
            </w:r>
            <w:r>
              <w:rPr>
                <w:rFonts w:ascii="Times New Roman" w:hAnsi="Times New Roman"/>
              </w:rPr>
              <w:t>;</w:t>
            </w:r>
            <w:r w:rsidRPr="00532F3A">
              <w:rPr>
                <w:rFonts w:ascii="Times New Roman" w:hAnsi="Times New Roman"/>
              </w:rPr>
              <w:t>010</w:t>
            </w:r>
            <w:r>
              <w:rPr>
                <w:rFonts w:ascii="Times New Roman" w:hAnsi="Times New Roman"/>
              </w:rPr>
              <w:t>}</w:t>
            </w:r>
          </w:p>
          <w:p w:rsidR="009264ED" w:rsidRPr="00FE002E" w:rsidRDefault="009264ED" w:rsidP="00FE0FF1">
            <w:pPr>
              <w:pStyle w:val="BodyText1"/>
              <w:rPr>
                <w:rFonts w:ascii="Times New Roman" w:hAnsi="Times New Roman"/>
                <w:bCs/>
              </w:rPr>
            </w:pPr>
          </w:p>
        </w:tc>
        <w:tc>
          <w:tcPr>
            <w:tcW w:w="7590" w:type="dxa"/>
          </w:tcPr>
          <w:p w:rsidR="009264ED" w:rsidRPr="00FE002E" w:rsidRDefault="009264ED" w:rsidP="00FE0FF1">
            <w:pPr>
              <w:pStyle w:val="BodyText1"/>
              <w:spacing w:line="240" w:lineRule="auto"/>
              <w:rPr>
                <w:rFonts w:ascii="Times New Roman" w:hAnsi="Times New Roman"/>
                <w:b/>
                <w:bCs/>
              </w:rPr>
            </w:pPr>
            <w:r>
              <w:rPr>
                <w:rFonts w:ascii="Times New Roman" w:hAnsi="Times New Roman"/>
                <w:b/>
              </w:rPr>
              <w:t>Kernkapital — Übergangsdefinition</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Pr>
                <w:rFonts w:ascii="Times New Roman" w:hAnsi="Times New Roman"/>
              </w:rPr>
              <w:t xml:space="preserve">Artikel </w:t>
            </w:r>
            <w:r w:rsidRPr="00532F3A">
              <w:rPr>
                <w:rFonts w:ascii="Times New Roman" w:hAnsi="Times New Roman"/>
              </w:rPr>
              <w:t>429</w:t>
            </w:r>
            <w:r>
              <w:rPr>
                <w:rFonts w:ascii="Times New Roman" w:hAnsi="Times New Roman"/>
              </w:rPr>
              <w:t xml:space="preserve"> Absatz </w:t>
            </w:r>
            <w:r w:rsidRPr="00532F3A">
              <w:rPr>
                <w:rFonts w:ascii="Times New Roman" w:hAnsi="Times New Roman"/>
              </w:rPr>
              <w:t>3</w:t>
            </w:r>
            <w:r>
              <w:rPr>
                <w:rFonts w:ascii="Times New Roman" w:hAnsi="Times New Roman"/>
              </w:rPr>
              <w:t xml:space="preserve"> und Artikel </w:t>
            </w:r>
            <w:r w:rsidRPr="00532F3A">
              <w:rPr>
                <w:rFonts w:ascii="Times New Roman" w:hAnsi="Times New Roman"/>
              </w:rPr>
              <w:t>499</w:t>
            </w:r>
            <w:r>
              <w:rPr>
                <w:rFonts w:ascii="Times New Roman" w:hAnsi="Times New Roman"/>
              </w:rPr>
              <w:t xml:space="preserve"> Absatz </w:t>
            </w:r>
            <w:r w:rsidRPr="00532F3A">
              <w:rPr>
                <w:rFonts w:ascii="Times New Roman" w:hAnsi="Times New Roman"/>
              </w:rPr>
              <w:t>1</w:t>
            </w:r>
            <w:r>
              <w:rPr>
                <w:rFonts w:ascii="Times New Roman" w:hAnsi="Times New Roman"/>
              </w:rPr>
              <w:t xml:space="preserve"> CRR</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Pr>
                <w:rFonts w:ascii="Times New Roman" w:hAnsi="Times New Roman"/>
              </w:rPr>
              <w:t xml:space="preserve">Dies ist die Höhe des nach Artikel </w:t>
            </w:r>
            <w:r w:rsidRPr="00532F3A">
              <w:rPr>
                <w:rFonts w:ascii="Times New Roman" w:hAnsi="Times New Roman"/>
              </w:rPr>
              <w:t>25</w:t>
            </w:r>
            <w:r>
              <w:rPr>
                <w:rFonts w:ascii="Times New Roman" w:hAnsi="Times New Roman"/>
              </w:rPr>
              <w:t xml:space="preserve"> CRR berechneten Kernkapitals nach Berücksichtigung der in Teil </w:t>
            </w:r>
            <w:r w:rsidRPr="00532F3A">
              <w:rPr>
                <w:rFonts w:ascii="Times New Roman" w:hAnsi="Times New Roman"/>
              </w:rPr>
              <w:t>10</w:t>
            </w:r>
            <w:r>
              <w:rPr>
                <w:rFonts w:ascii="Times New Roman" w:hAnsi="Times New Roman"/>
              </w:rPr>
              <w:t xml:space="preserve"> Titel I Kapitel </w:t>
            </w:r>
            <w:r w:rsidRPr="00532F3A">
              <w:rPr>
                <w:rFonts w:ascii="Times New Roman" w:hAnsi="Times New Roman"/>
              </w:rPr>
              <w:t>1</w:t>
            </w:r>
            <w:r>
              <w:rPr>
                <w:rFonts w:ascii="Times New Roman" w:hAnsi="Times New Roman"/>
              </w:rPr>
              <w:t xml:space="preserve"> und </w:t>
            </w:r>
            <w:r w:rsidRPr="00532F3A">
              <w:rPr>
                <w:rFonts w:ascii="Times New Roman" w:hAnsi="Times New Roman"/>
              </w:rPr>
              <w:t>2</w:t>
            </w:r>
            <w:r>
              <w:rPr>
                <w:rFonts w:ascii="Times New Roman" w:hAnsi="Times New Roman"/>
              </w:rPr>
              <w:t xml:space="preserve"> CRR festgelegten abweichenden Regelungen.</w:t>
            </w:r>
          </w:p>
          <w:p w:rsidR="009264ED" w:rsidRPr="00FE002E" w:rsidRDefault="009264ED" w:rsidP="00FE0FF1">
            <w:pPr>
              <w:pStyle w:val="BodyText1"/>
              <w:spacing w:line="240" w:lineRule="auto"/>
              <w:rPr>
                <w:rFonts w:ascii="Times New Roman" w:hAnsi="Times New Roman"/>
                <w:bCs/>
              </w:rPr>
            </w:pPr>
          </w:p>
        </w:tc>
      </w:tr>
      <w:tr w:rsidR="009264ED" w:rsidRPr="00FE002E" w:rsidTr="00FE0FF1">
        <w:trPr>
          <w:trHeight w:val="304"/>
        </w:trPr>
        <w:tc>
          <w:tcPr>
            <w:tcW w:w="1418" w:type="dxa"/>
            <w:shd w:val="clear" w:color="auto" w:fill="A6A6A6" w:themeFill="background1" w:themeFillShade="A6"/>
          </w:tcPr>
          <w:p w:rsidR="009264ED" w:rsidRPr="00FE002E" w:rsidRDefault="009264ED" w:rsidP="00FE0FF1">
            <w:pPr>
              <w:pStyle w:val="BodyText1"/>
              <w:rPr>
                <w:rFonts w:ascii="Times New Roman" w:hAnsi="Times New Roman"/>
                <w:b/>
              </w:rPr>
            </w:pPr>
            <w:r>
              <w:rPr>
                <w:rFonts w:ascii="Times New Roman" w:hAnsi="Times New Roman"/>
                <w:b/>
              </w:rPr>
              <w:t xml:space="preserve">Zeile </w:t>
            </w:r>
          </w:p>
          <w:p w:rsidR="009264ED" w:rsidRPr="00FE002E" w:rsidRDefault="009264ED" w:rsidP="00FE0FF1">
            <w:pPr>
              <w:pStyle w:val="BodyText1"/>
              <w:rPr>
                <w:rFonts w:ascii="Times New Roman" w:hAnsi="Times New Roman"/>
                <w:b/>
                <w:bCs/>
              </w:rPr>
            </w:pPr>
            <w:r>
              <w:rPr>
                <w:rFonts w:ascii="Times New Roman" w:hAnsi="Times New Roman"/>
                <w:b/>
              </w:rPr>
              <w:t>und Spalte</w:t>
            </w:r>
          </w:p>
        </w:tc>
        <w:tc>
          <w:tcPr>
            <w:tcW w:w="7590" w:type="dxa"/>
            <w:shd w:val="clear" w:color="auto" w:fill="A6A6A6" w:themeFill="background1" w:themeFillShade="A6"/>
          </w:tcPr>
          <w:p w:rsidR="009264ED" w:rsidRPr="00FE002E" w:rsidRDefault="009264ED" w:rsidP="00FE0FF1">
            <w:pPr>
              <w:pStyle w:val="BodyText1"/>
              <w:spacing w:line="240" w:lineRule="auto"/>
              <w:rPr>
                <w:rFonts w:ascii="Times New Roman" w:hAnsi="Times New Roman"/>
                <w:b/>
                <w:bCs/>
              </w:rPr>
            </w:pPr>
            <w:r>
              <w:rPr>
                <w:rFonts w:ascii="Times New Roman" w:hAnsi="Times New Roman"/>
                <w:b/>
              </w:rPr>
              <w:t>Verschuldungsquote</w:t>
            </w:r>
          </w:p>
        </w:tc>
      </w:tr>
      <w:tr w:rsidR="009264ED" w:rsidRPr="00FE002E" w:rsidTr="00FE0FF1">
        <w:trPr>
          <w:trHeight w:val="304"/>
        </w:trPr>
        <w:tc>
          <w:tcPr>
            <w:tcW w:w="1418" w:type="dxa"/>
          </w:tcPr>
          <w:p w:rsidR="009264ED" w:rsidRPr="00FE002E" w:rsidRDefault="009264ED" w:rsidP="00FF01D7">
            <w:pPr>
              <w:pStyle w:val="BodyText1"/>
              <w:rPr>
                <w:rFonts w:ascii="Times New Roman" w:hAnsi="Times New Roman"/>
                <w:bCs/>
              </w:rPr>
            </w:pPr>
            <w:r>
              <w:rPr>
                <w:rFonts w:ascii="Times New Roman" w:hAnsi="Times New Roman"/>
              </w:rPr>
              <w:t>{</w:t>
            </w:r>
            <w:r w:rsidRPr="00532F3A">
              <w:rPr>
                <w:rFonts w:ascii="Times New Roman" w:hAnsi="Times New Roman"/>
              </w:rPr>
              <w:t>330</w:t>
            </w:r>
            <w:r>
              <w:rPr>
                <w:rFonts w:ascii="Times New Roman" w:hAnsi="Times New Roman"/>
              </w:rPr>
              <w:t>;</w:t>
            </w:r>
            <w:r w:rsidRPr="00532F3A">
              <w:rPr>
                <w:rFonts w:ascii="Times New Roman" w:hAnsi="Times New Roman"/>
              </w:rPr>
              <w:t>010</w:t>
            </w:r>
            <w:r>
              <w:rPr>
                <w:rFonts w:ascii="Times New Roman" w:hAnsi="Times New Roman"/>
              </w:rPr>
              <w:t>}</w:t>
            </w:r>
          </w:p>
        </w:tc>
        <w:tc>
          <w:tcPr>
            <w:tcW w:w="7590" w:type="dxa"/>
          </w:tcPr>
          <w:p w:rsidR="009264ED" w:rsidRPr="00FE002E" w:rsidRDefault="009264ED" w:rsidP="00FE0FF1">
            <w:pPr>
              <w:pStyle w:val="BodyText1"/>
              <w:spacing w:line="240" w:lineRule="auto"/>
              <w:rPr>
                <w:rFonts w:ascii="Times New Roman" w:hAnsi="Times New Roman"/>
                <w:b/>
                <w:bCs/>
              </w:rPr>
            </w:pPr>
            <w:r>
              <w:rPr>
                <w:rFonts w:ascii="Times New Roman" w:hAnsi="Times New Roman"/>
                <w:b/>
              </w:rPr>
              <w:t>Verschuldungsquote — unter Verwendung einer Definition des Kernkapitals nach vollständiger Einführung der neuen Bestimmungen</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Pr>
                <w:rFonts w:ascii="Times New Roman" w:hAnsi="Times New Roman"/>
              </w:rPr>
              <w:t xml:space="preserve">Artikel </w:t>
            </w:r>
            <w:r w:rsidRPr="00532F3A">
              <w:rPr>
                <w:rFonts w:ascii="Times New Roman" w:hAnsi="Times New Roman"/>
              </w:rPr>
              <w:t>429</w:t>
            </w:r>
            <w:r>
              <w:rPr>
                <w:rFonts w:ascii="Times New Roman" w:hAnsi="Times New Roman"/>
              </w:rPr>
              <w:t xml:space="preserve"> Absatz </w:t>
            </w:r>
            <w:r w:rsidRPr="00532F3A">
              <w:rPr>
                <w:rFonts w:ascii="Times New Roman" w:hAnsi="Times New Roman"/>
              </w:rPr>
              <w:t>2</w:t>
            </w:r>
            <w:r>
              <w:rPr>
                <w:rFonts w:ascii="Times New Roman" w:hAnsi="Times New Roman"/>
              </w:rPr>
              <w:t xml:space="preserve"> und Artikel </w:t>
            </w:r>
            <w:r w:rsidRPr="00532F3A">
              <w:rPr>
                <w:rFonts w:ascii="Times New Roman" w:hAnsi="Times New Roman"/>
              </w:rPr>
              <w:t>499</w:t>
            </w:r>
            <w:r>
              <w:rPr>
                <w:rFonts w:ascii="Times New Roman" w:hAnsi="Times New Roman"/>
              </w:rPr>
              <w:t xml:space="preserve"> Absatz </w:t>
            </w:r>
            <w:r w:rsidRPr="00532F3A">
              <w:rPr>
                <w:rFonts w:ascii="Times New Roman" w:hAnsi="Times New Roman"/>
              </w:rPr>
              <w:t>1</w:t>
            </w:r>
            <w:r>
              <w:rPr>
                <w:rFonts w:ascii="Times New Roman" w:hAnsi="Times New Roman"/>
              </w:rPr>
              <w:t xml:space="preserve"> CRR</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Pr>
                <w:rFonts w:ascii="Times New Roman" w:hAnsi="Times New Roman"/>
              </w:rPr>
              <w:t xml:space="preserve">Dies ist die nach Teil II Abschnitt </w:t>
            </w:r>
            <w:r w:rsidRPr="00532F3A">
              <w:rPr>
                <w:rFonts w:ascii="Times New Roman" w:hAnsi="Times New Roman"/>
              </w:rPr>
              <w:t>4</w:t>
            </w:r>
            <w:r>
              <w:rPr>
                <w:rFonts w:ascii="Times New Roman" w:hAnsi="Times New Roman"/>
              </w:rPr>
              <w:t xml:space="preserve"> dieses Anhangs berechnete Verschuldungsquote. </w:t>
            </w:r>
          </w:p>
          <w:p w:rsidR="009264ED" w:rsidRPr="00FE002E" w:rsidRDefault="009264ED" w:rsidP="00FE0FF1">
            <w:pPr>
              <w:pStyle w:val="BodyText1"/>
              <w:spacing w:line="240" w:lineRule="auto"/>
              <w:rPr>
                <w:rFonts w:ascii="Times New Roman" w:hAnsi="Times New Roman"/>
                <w:b/>
                <w:bCs/>
              </w:rPr>
            </w:pPr>
          </w:p>
        </w:tc>
      </w:tr>
      <w:tr w:rsidR="009264ED" w:rsidRPr="00FE002E" w:rsidTr="00FE0FF1">
        <w:trPr>
          <w:trHeight w:val="304"/>
        </w:trPr>
        <w:tc>
          <w:tcPr>
            <w:tcW w:w="1418" w:type="dxa"/>
          </w:tcPr>
          <w:p w:rsidR="009264ED" w:rsidRPr="00FE002E" w:rsidRDefault="009264ED" w:rsidP="009264ED">
            <w:pPr>
              <w:pStyle w:val="BodyText1"/>
              <w:rPr>
                <w:rFonts w:ascii="Times New Roman" w:hAnsi="Times New Roman"/>
                <w:bCs/>
              </w:rPr>
            </w:pPr>
            <w:r>
              <w:rPr>
                <w:rFonts w:ascii="Times New Roman" w:hAnsi="Times New Roman"/>
              </w:rPr>
              <w:t>{</w:t>
            </w:r>
            <w:r w:rsidRPr="00532F3A">
              <w:rPr>
                <w:rFonts w:ascii="Times New Roman" w:hAnsi="Times New Roman"/>
              </w:rPr>
              <w:t>340</w:t>
            </w:r>
            <w:r>
              <w:rPr>
                <w:rFonts w:ascii="Times New Roman" w:hAnsi="Times New Roman"/>
              </w:rPr>
              <w:t>;</w:t>
            </w:r>
            <w:r w:rsidRPr="00532F3A">
              <w:rPr>
                <w:rFonts w:ascii="Times New Roman" w:hAnsi="Times New Roman"/>
              </w:rPr>
              <w:t>010</w:t>
            </w:r>
            <w:r>
              <w:rPr>
                <w:rFonts w:ascii="Times New Roman" w:hAnsi="Times New Roman"/>
              </w:rPr>
              <w:t>}</w:t>
            </w:r>
          </w:p>
        </w:tc>
        <w:tc>
          <w:tcPr>
            <w:tcW w:w="7590" w:type="dxa"/>
          </w:tcPr>
          <w:p w:rsidR="009264ED" w:rsidRPr="00FE002E" w:rsidRDefault="009264ED" w:rsidP="00FE0FF1">
            <w:pPr>
              <w:pStyle w:val="BodyText1"/>
              <w:spacing w:line="240" w:lineRule="auto"/>
              <w:rPr>
                <w:rFonts w:ascii="Times New Roman" w:hAnsi="Times New Roman"/>
                <w:b/>
                <w:bCs/>
              </w:rPr>
            </w:pPr>
            <w:r>
              <w:rPr>
                <w:rFonts w:ascii="Times New Roman" w:hAnsi="Times New Roman"/>
                <w:b/>
              </w:rPr>
              <w:t>Verschuldungsquote — unter Verwendung einer Übergangsdefinition des Kernkapitals</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Pr>
                <w:rFonts w:ascii="Times New Roman" w:hAnsi="Times New Roman"/>
              </w:rPr>
              <w:t xml:space="preserve">Artikel </w:t>
            </w:r>
            <w:r w:rsidRPr="00532F3A">
              <w:rPr>
                <w:rFonts w:ascii="Times New Roman" w:hAnsi="Times New Roman"/>
              </w:rPr>
              <w:t>429</w:t>
            </w:r>
            <w:r>
              <w:rPr>
                <w:rFonts w:ascii="Times New Roman" w:hAnsi="Times New Roman"/>
              </w:rPr>
              <w:t xml:space="preserve"> Absatz </w:t>
            </w:r>
            <w:r w:rsidRPr="00532F3A">
              <w:rPr>
                <w:rFonts w:ascii="Times New Roman" w:hAnsi="Times New Roman"/>
              </w:rPr>
              <w:t>2</w:t>
            </w:r>
            <w:r>
              <w:rPr>
                <w:rFonts w:ascii="Times New Roman" w:hAnsi="Times New Roman"/>
              </w:rPr>
              <w:t xml:space="preserve"> und Artikel </w:t>
            </w:r>
            <w:r w:rsidRPr="00532F3A">
              <w:rPr>
                <w:rFonts w:ascii="Times New Roman" w:hAnsi="Times New Roman"/>
              </w:rPr>
              <w:t>499</w:t>
            </w:r>
            <w:r>
              <w:rPr>
                <w:rFonts w:ascii="Times New Roman" w:hAnsi="Times New Roman"/>
              </w:rPr>
              <w:t xml:space="preserve"> Absatz </w:t>
            </w:r>
            <w:r w:rsidRPr="00532F3A">
              <w:rPr>
                <w:rFonts w:ascii="Times New Roman" w:hAnsi="Times New Roman"/>
              </w:rPr>
              <w:t>1</w:t>
            </w:r>
            <w:r>
              <w:rPr>
                <w:rFonts w:ascii="Times New Roman" w:hAnsi="Times New Roman"/>
              </w:rPr>
              <w:t xml:space="preserve"> CRR</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rPr>
            </w:pPr>
            <w:r>
              <w:rPr>
                <w:rFonts w:ascii="Times New Roman" w:hAnsi="Times New Roman"/>
              </w:rPr>
              <w:t xml:space="preserve">Dies ist die nach Teil II Abschnitt </w:t>
            </w:r>
            <w:r w:rsidRPr="00532F3A">
              <w:rPr>
                <w:rFonts w:ascii="Times New Roman" w:hAnsi="Times New Roman"/>
              </w:rPr>
              <w:t>5</w:t>
            </w:r>
            <w:r>
              <w:rPr>
                <w:rFonts w:ascii="Times New Roman" w:hAnsi="Times New Roman"/>
              </w:rPr>
              <w:t xml:space="preserve"> dieses Anhangs berechnete Verschuldungsquote.</w:t>
            </w:r>
          </w:p>
          <w:p w:rsidR="009264ED" w:rsidRPr="00FE002E" w:rsidRDefault="009264ED" w:rsidP="00FE0FF1">
            <w:pPr>
              <w:pStyle w:val="BodyText1"/>
              <w:spacing w:line="240" w:lineRule="auto"/>
              <w:rPr>
                <w:rFonts w:ascii="Times New Roman" w:hAnsi="Times New Roman"/>
                <w:b/>
                <w:bCs/>
              </w:rPr>
            </w:pPr>
          </w:p>
        </w:tc>
      </w:tr>
    </w:tbl>
    <w:p w:rsidR="00AE2798" w:rsidRPr="00FE002E" w:rsidRDefault="00AE2798" w:rsidP="00AE2798">
      <w:pPr>
        <w:pStyle w:val="BodyText1"/>
        <w:rPr>
          <w:rFonts w:ascii="Times New Roman" w:hAnsi="Times New Roman"/>
        </w:rPr>
      </w:pPr>
    </w:p>
    <w:p w:rsidR="00AE2798" w:rsidRDefault="00AE2798" w:rsidP="00F4754B">
      <w:pPr>
        <w:pStyle w:val="BodyText1"/>
        <w:rPr>
          <w:rFonts w:ascii="Times New Roman" w:hAnsi="Times New Roman"/>
        </w:rPr>
      </w:pPr>
    </w:p>
    <w:p w:rsidR="00AE2798" w:rsidRPr="00FE002E" w:rsidRDefault="00AE2798" w:rsidP="00F4754B">
      <w:pPr>
        <w:pStyle w:val="BodyText1"/>
        <w:rPr>
          <w:rFonts w:ascii="Times New Roman" w:hAnsi="Times New Roman"/>
        </w:rPr>
      </w:pPr>
    </w:p>
    <w:p w:rsidR="00700DA6" w:rsidRPr="00FE002E" w:rsidRDefault="00500508" w:rsidP="00500508">
      <w:pPr>
        <w:pStyle w:val="BodyText1"/>
        <w:ind w:left="357" w:hanging="357"/>
        <w:outlineLvl w:val="1"/>
        <w:rPr>
          <w:rFonts w:ascii="Times New Roman" w:hAnsi="Times New Roman"/>
          <w:b/>
        </w:rPr>
      </w:pPr>
      <w:bookmarkStart w:id="59" w:name="_Toc351048507"/>
      <w:bookmarkStart w:id="60" w:name="_Toc359414286"/>
      <w:bookmarkStart w:id="61" w:name="_Toc423089071"/>
      <w:bookmarkStart w:id="62" w:name="_Toc524078179"/>
      <w:r w:rsidRPr="00532F3A">
        <w:rPr>
          <w:rFonts w:ascii="Times New Roman" w:hAnsi="Times New Roman"/>
          <w:b/>
        </w:rPr>
        <w:t>5</w:t>
      </w:r>
      <w:r>
        <w:rPr>
          <w:rFonts w:ascii="Times New Roman" w:hAnsi="Times New Roman"/>
          <w:b/>
        </w:rPr>
        <w:t>.</w:t>
      </w:r>
      <w:r>
        <w:tab/>
      </w:r>
      <w:r>
        <w:rPr>
          <w:rFonts w:ascii="Times New Roman" w:hAnsi="Times New Roman"/>
          <w:b/>
        </w:rPr>
        <w:t xml:space="preserve">C </w:t>
      </w:r>
      <w:r w:rsidRPr="00532F3A">
        <w:rPr>
          <w:rFonts w:ascii="Times New Roman" w:hAnsi="Times New Roman"/>
          <w:b/>
        </w:rPr>
        <w:t>40</w:t>
      </w:r>
      <w:r>
        <w:rPr>
          <w:rFonts w:ascii="Times New Roman" w:hAnsi="Times New Roman"/>
          <w:b/>
        </w:rPr>
        <w:t>.</w:t>
      </w:r>
      <w:r w:rsidRPr="00532F3A">
        <w:rPr>
          <w:rFonts w:ascii="Times New Roman" w:hAnsi="Times New Roman"/>
          <w:b/>
        </w:rPr>
        <w:t>00</w:t>
      </w:r>
      <w:r>
        <w:rPr>
          <w:rFonts w:ascii="Times New Roman" w:hAnsi="Times New Roman"/>
          <w:b/>
        </w:rPr>
        <w:t xml:space="preserve"> — ALTERNATIVE BEHANDLUNG DER RISIKOMESSGRÖßE</w:t>
      </w:r>
      <w:bookmarkEnd w:id="54"/>
      <w:bookmarkEnd w:id="59"/>
      <w:bookmarkEnd w:id="60"/>
      <w:r>
        <w:rPr>
          <w:rFonts w:ascii="Times New Roman" w:hAnsi="Times New Roman"/>
          <w:b/>
        </w:rPr>
        <w:t xml:space="preserve"> (LR</w:t>
      </w:r>
      <w:r w:rsidRPr="00532F3A">
        <w:rPr>
          <w:rFonts w:ascii="Times New Roman" w:hAnsi="Times New Roman"/>
          <w:b/>
        </w:rPr>
        <w:t>1</w:t>
      </w:r>
      <w:r>
        <w:rPr>
          <w:rFonts w:ascii="Times New Roman" w:hAnsi="Times New Roman"/>
          <w:b/>
        </w:rPr>
        <w:t>)</w:t>
      </w:r>
      <w:bookmarkEnd w:id="61"/>
      <w:bookmarkEnd w:id="62"/>
    </w:p>
    <w:p w:rsidR="006033AB" w:rsidRPr="00FE002E" w:rsidRDefault="006033AB" w:rsidP="006033AB">
      <w:pPr>
        <w:pStyle w:val="BodyText1"/>
        <w:spacing w:line="240" w:lineRule="auto"/>
        <w:ind w:left="720"/>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sidRPr="00532F3A">
        <w:rPr>
          <w:rFonts w:ascii="Times New Roman" w:hAnsi="Times New Roman"/>
        </w:rPr>
        <w:t>21</w:t>
      </w:r>
      <w:r>
        <w:rPr>
          <w:rFonts w:ascii="Times New Roman" w:hAnsi="Times New Roman"/>
        </w:rPr>
        <w:t>.</w:t>
      </w:r>
      <w:r>
        <w:tab/>
      </w:r>
      <w:r>
        <w:rPr>
          <w:rFonts w:ascii="Times New Roman" w:hAnsi="Times New Roman"/>
        </w:rPr>
        <w:t xml:space="preserve">In diesem Teil des Meldebogens werden Angaben zur alternativen Behandlung von Derivaten, SFTs sowie außerbilanziellen Posten erhoben. </w:t>
      </w:r>
    </w:p>
    <w:p w:rsidR="00FC2664" w:rsidRPr="00FE002E" w:rsidRDefault="00FC2664" w:rsidP="007E2A41">
      <w:pPr>
        <w:pStyle w:val="BodyText1"/>
        <w:spacing w:line="240" w:lineRule="auto"/>
        <w:rPr>
          <w:rFonts w:ascii="Times New Roman" w:hAnsi="Times New Roman"/>
        </w:rPr>
      </w:pPr>
    </w:p>
    <w:p w:rsidR="00F4754B" w:rsidRDefault="00500508" w:rsidP="00500508">
      <w:pPr>
        <w:pStyle w:val="BodyText1"/>
        <w:spacing w:line="240" w:lineRule="auto"/>
        <w:ind w:left="720" w:hanging="360"/>
        <w:rPr>
          <w:rFonts w:ascii="Times New Roman" w:hAnsi="Times New Roman"/>
        </w:rPr>
      </w:pPr>
      <w:r w:rsidRPr="00532F3A">
        <w:rPr>
          <w:rFonts w:ascii="Times New Roman" w:hAnsi="Times New Roman"/>
        </w:rPr>
        <w:t>22</w:t>
      </w:r>
      <w:r>
        <w:rPr>
          <w:rFonts w:ascii="Times New Roman" w:hAnsi="Times New Roman"/>
        </w:rPr>
        <w:t>.</w:t>
      </w:r>
      <w:r>
        <w:tab/>
      </w:r>
      <w:r>
        <w:rPr>
          <w:rFonts w:ascii="Times New Roman" w:hAnsi="Times New Roman"/>
        </w:rPr>
        <w:t>Die Institute ermitteln die „Bilanzwerte“ in LR</w:t>
      </w:r>
      <w:r w:rsidRPr="00532F3A">
        <w:rPr>
          <w:rFonts w:ascii="Times New Roman" w:hAnsi="Times New Roman"/>
        </w:rPr>
        <w:t>1</w:t>
      </w:r>
      <w:r>
        <w:rPr>
          <w:rFonts w:ascii="Times New Roman" w:hAnsi="Times New Roman"/>
        </w:rPr>
        <w:t xml:space="preserve"> auf der Grundlage des geltenden Rechnungslegungsrahmens im Sinne von Artikel </w:t>
      </w:r>
      <w:r w:rsidRPr="00532F3A">
        <w:rPr>
          <w:rFonts w:ascii="Times New Roman" w:hAnsi="Times New Roman"/>
        </w:rPr>
        <w:t>4</w:t>
      </w:r>
      <w:r>
        <w:rPr>
          <w:rFonts w:ascii="Times New Roman" w:hAnsi="Times New Roman"/>
        </w:rPr>
        <w:t xml:space="preserve"> Absatz </w:t>
      </w:r>
      <w:r w:rsidRPr="00532F3A">
        <w:rPr>
          <w:rFonts w:ascii="Times New Roman" w:hAnsi="Times New Roman"/>
        </w:rPr>
        <w:t>1</w:t>
      </w:r>
      <w:r>
        <w:rPr>
          <w:rFonts w:ascii="Times New Roman" w:hAnsi="Times New Roman"/>
        </w:rPr>
        <w:t xml:space="preserve"> Nummer </w:t>
      </w:r>
      <w:r w:rsidRPr="00532F3A">
        <w:rPr>
          <w:rFonts w:ascii="Times New Roman" w:hAnsi="Times New Roman"/>
        </w:rPr>
        <w:t>77</w:t>
      </w:r>
      <w:r>
        <w:rPr>
          <w:rFonts w:ascii="Times New Roman" w:hAnsi="Times New Roman"/>
        </w:rPr>
        <w:t xml:space="preserve"> CRR. Der Begriff „Buchwert unter der Annahme: kein Netting oder andere CRM“ (CRM = Credit Risk Mitigation, Kreditrisikominderung) bezeichnet den Bilanzwert ohne Berücksichtigung der Auswirkungen des Netting oder einer anderen Risikominderung. </w:t>
      </w:r>
    </w:p>
    <w:p w:rsidR="005556DC" w:rsidRDefault="005556DC" w:rsidP="00FD2C06">
      <w:pPr>
        <w:pStyle w:val="BodyText1"/>
        <w:spacing w:line="240" w:lineRule="auto"/>
        <w:rPr>
          <w:rFonts w:ascii="Times New Roman" w:hAnsi="Times New Roman"/>
        </w:rPr>
      </w:pPr>
    </w:p>
    <w:p w:rsidR="005556DC" w:rsidRPr="00FE002E" w:rsidRDefault="00500508" w:rsidP="00500508">
      <w:pPr>
        <w:pStyle w:val="BodyText1"/>
        <w:spacing w:line="240" w:lineRule="auto"/>
        <w:ind w:left="720" w:hanging="360"/>
        <w:rPr>
          <w:rFonts w:ascii="Times New Roman" w:hAnsi="Times New Roman"/>
        </w:rPr>
      </w:pPr>
      <w:r w:rsidRPr="00532F3A">
        <w:rPr>
          <w:rFonts w:ascii="Times New Roman" w:hAnsi="Times New Roman"/>
        </w:rPr>
        <w:t>23</w:t>
      </w:r>
      <w:r>
        <w:rPr>
          <w:rFonts w:ascii="Times New Roman" w:hAnsi="Times New Roman"/>
        </w:rPr>
        <w:t>.</w:t>
      </w:r>
      <w:r>
        <w:tab/>
      </w:r>
      <w:r>
        <w:rPr>
          <w:rFonts w:ascii="Times New Roman" w:hAnsi="Times New Roman"/>
        </w:rPr>
        <w:t>Außer {</w:t>
      </w:r>
      <w:r w:rsidRPr="00532F3A">
        <w:rPr>
          <w:rFonts w:ascii="Times New Roman" w:hAnsi="Times New Roman"/>
        </w:rPr>
        <w:t>250</w:t>
      </w:r>
      <w:r>
        <w:rPr>
          <w:rFonts w:ascii="Times New Roman" w:hAnsi="Times New Roman"/>
        </w:rPr>
        <w:t>;</w:t>
      </w:r>
      <w:r w:rsidRPr="00532F3A">
        <w:rPr>
          <w:rFonts w:ascii="Times New Roman" w:hAnsi="Times New Roman"/>
        </w:rPr>
        <w:t>120</w:t>
      </w:r>
      <w:r>
        <w:rPr>
          <w:rFonts w:ascii="Times New Roman" w:hAnsi="Times New Roman"/>
        </w:rPr>
        <w:t>} und {</w:t>
      </w:r>
      <w:r w:rsidRPr="00532F3A">
        <w:rPr>
          <w:rFonts w:ascii="Times New Roman" w:hAnsi="Times New Roman"/>
        </w:rPr>
        <w:t>260</w:t>
      </w:r>
      <w:r>
        <w:rPr>
          <w:rFonts w:ascii="Times New Roman" w:hAnsi="Times New Roman"/>
        </w:rPr>
        <w:t>;</w:t>
      </w:r>
      <w:r w:rsidRPr="00532F3A">
        <w:rPr>
          <w:rFonts w:ascii="Times New Roman" w:hAnsi="Times New Roman"/>
        </w:rPr>
        <w:t>120</w:t>
      </w:r>
      <w:r>
        <w:rPr>
          <w:rFonts w:ascii="Times New Roman" w:hAnsi="Times New Roman"/>
        </w:rPr>
        <w:t>} weisen die Institute LR</w:t>
      </w:r>
      <w:r w:rsidRPr="00532F3A">
        <w:rPr>
          <w:rFonts w:ascii="Times New Roman" w:hAnsi="Times New Roman"/>
        </w:rPr>
        <w:t>1</w:t>
      </w:r>
      <w:r>
        <w:rPr>
          <w:rFonts w:ascii="Times New Roman" w:hAnsi="Times New Roman"/>
        </w:rPr>
        <w:t xml:space="preserve"> aus, als gälten keine Ausnahmen im Sinne der folgenden LRCalc-Felder {</w:t>
      </w:r>
      <w:r w:rsidRPr="00532F3A">
        <w:rPr>
          <w:rFonts w:ascii="Times New Roman" w:hAnsi="Times New Roman"/>
        </w:rPr>
        <w:t>050</w:t>
      </w:r>
      <w:r>
        <w:rPr>
          <w:rFonts w:ascii="Times New Roman" w:hAnsi="Times New Roman"/>
        </w:rPr>
        <w:t>;</w:t>
      </w:r>
      <w:r w:rsidRPr="00532F3A">
        <w:rPr>
          <w:rFonts w:ascii="Times New Roman" w:hAnsi="Times New Roman"/>
        </w:rPr>
        <w:t>010</w:t>
      </w:r>
      <w:r>
        <w:rPr>
          <w:rFonts w:ascii="Times New Roman" w:hAnsi="Times New Roman"/>
        </w:rPr>
        <w:t>}, {</w:t>
      </w:r>
      <w:r w:rsidRPr="00532F3A">
        <w:rPr>
          <w:rFonts w:ascii="Times New Roman" w:hAnsi="Times New Roman"/>
        </w:rPr>
        <w:t>080</w:t>
      </w:r>
      <w:r>
        <w:rPr>
          <w:rFonts w:ascii="Times New Roman" w:hAnsi="Times New Roman"/>
        </w:rPr>
        <w:t>;</w:t>
      </w:r>
      <w:r w:rsidRPr="00532F3A">
        <w:rPr>
          <w:rFonts w:ascii="Times New Roman" w:hAnsi="Times New Roman"/>
        </w:rPr>
        <w:t>010</w:t>
      </w:r>
      <w:r>
        <w:rPr>
          <w:rFonts w:ascii="Times New Roman" w:hAnsi="Times New Roman"/>
        </w:rPr>
        <w:t>}, {</w:t>
      </w:r>
      <w:r w:rsidRPr="00532F3A">
        <w:rPr>
          <w:rFonts w:ascii="Times New Roman" w:hAnsi="Times New Roman"/>
        </w:rPr>
        <w:t>100</w:t>
      </w:r>
      <w:r>
        <w:rPr>
          <w:rFonts w:ascii="Times New Roman" w:hAnsi="Times New Roman"/>
        </w:rPr>
        <w:t>;</w:t>
      </w:r>
      <w:r w:rsidRPr="00532F3A">
        <w:rPr>
          <w:rFonts w:ascii="Times New Roman" w:hAnsi="Times New Roman"/>
        </w:rPr>
        <w:t>010</w:t>
      </w:r>
      <w:r>
        <w:rPr>
          <w:rFonts w:ascii="Times New Roman" w:hAnsi="Times New Roman"/>
        </w:rPr>
        <w:t>}, {</w:t>
      </w:r>
      <w:r w:rsidRPr="00532F3A">
        <w:rPr>
          <w:rFonts w:ascii="Times New Roman" w:hAnsi="Times New Roman"/>
        </w:rPr>
        <w:t>120</w:t>
      </w:r>
      <w:r>
        <w:rPr>
          <w:rFonts w:ascii="Times New Roman" w:hAnsi="Times New Roman"/>
        </w:rPr>
        <w:t>;</w:t>
      </w:r>
      <w:r w:rsidRPr="00532F3A">
        <w:rPr>
          <w:rFonts w:ascii="Times New Roman" w:hAnsi="Times New Roman"/>
        </w:rPr>
        <w:t>010</w:t>
      </w:r>
      <w:r>
        <w:rPr>
          <w:rFonts w:ascii="Times New Roman" w:hAnsi="Times New Roman"/>
        </w:rPr>
        <w:t>}, {</w:t>
      </w:r>
      <w:r w:rsidRPr="00532F3A">
        <w:rPr>
          <w:rFonts w:ascii="Times New Roman" w:hAnsi="Times New Roman"/>
        </w:rPr>
        <w:t>220</w:t>
      </w:r>
      <w:r>
        <w:rPr>
          <w:rFonts w:ascii="Times New Roman" w:hAnsi="Times New Roman"/>
        </w:rPr>
        <w:t>;</w:t>
      </w:r>
      <w:r w:rsidRPr="00532F3A">
        <w:rPr>
          <w:rFonts w:ascii="Times New Roman" w:hAnsi="Times New Roman"/>
        </w:rPr>
        <w:t>010</w:t>
      </w:r>
      <w:r>
        <w:rPr>
          <w:rFonts w:ascii="Times New Roman" w:hAnsi="Times New Roman"/>
        </w:rPr>
        <w:t>}, {</w:t>
      </w:r>
      <w:r w:rsidRPr="00532F3A">
        <w:rPr>
          <w:rFonts w:ascii="Times New Roman" w:hAnsi="Times New Roman"/>
        </w:rPr>
        <w:t>250</w:t>
      </w:r>
      <w:r>
        <w:rPr>
          <w:rFonts w:ascii="Times New Roman" w:hAnsi="Times New Roman"/>
        </w:rPr>
        <w:t>;</w:t>
      </w:r>
      <w:r w:rsidRPr="00532F3A">
        <w:rPr>
          <w:rFonts w:ascii="Times New Roman" w:hAnsi="Times New Roman"/>
        </w:rPr>
        <w:t>010</w:t>
      </w:r>
      <w:r>
        <w:rPr>
          <w:rFonts w:ascii="Times New Roman" w:hAnsi="Times New Roman"/>
        </w:rPr>
        <w:t>} und {</w:t>
      </w:r>
      <w:r w:rsidRPr="00532F3A">
        <w:rPr>
          <w:rFonts w:ascii="Times New Roman" w:hAnsi="Times New Roman"/>
        </w:rPr>
        <w:t>260</w:t>
      </w:r>
      <w:r>
        <w:rPr>
          <w:rFonts w:ascii="Times New Roman" w:hAnsi="Times New Roman"/>
        </w:rPr>
        <w:t>;</w:t>
      </w:r>
      <w:r w:rsidRPr="00532F3A">
        <w:rPr>
          <w:rFonts w:ascii="Times New Roman" w:hAnsi="Times New Roman"/>
        </w:rPr>
        <w:t>010</w:t>
      </w:r>
      <w:r>
        <w:rPr>
          <w:rFonts w:ascii="Times New Roman" w:hAnsi="Times New Roman"/>
        </w:rPr>
        <w:t>}.</w:t>
      </w:r>
    </w:p>
    <w:p w:rsidR="005556DC" w:rsidRDefault="005556DC" w:rsidP="005556DC">
      <w:pPr>
        <w:pStyle w:val="BodyText1"/>
        <w:spacing w:line="240" w:lineRule="auto"/>
        <w:ind w:left="720"/>
        <w:rPr>
          <w:rFonts w:ascii="Times New Roman" w:hAnsi="Times New Roman"/>
        </w:rPr>
      </w:pPr>
    </w:p>
    <w:p w:rsidR="00675587" w:rsidRPr="00FE002E" w:rsidRDefault="00675587" w:rsidP="00675587">
      <w:pPr>
        <w:pStyle w:val="BodyText1"/>
        <w:rPr>
          <w:rFonts w:ascii="Times New Roman" w:hAnsi="Times New Roman"/>
        </w:rPr>
      </w:pP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FE002E" w:rsidTr="00FC2664">
        <w:tc>
          <w:tcPr>
            <w:tcW w:w="1418" w:type="dxa"/>
            <w:shd w:val="clear" w:color="auto" w:fill="D9D9D9"/>
          </w:tcPr>
          <w:p w:rsidR="00F4754B" w:rsidRPr="00FE002E" w:rsidRDefault="00F4754B" w:rsidP="00F4754B">
            <w:pPr>
              <w:pStyle w:val="BodyText1"/>
              <w:rPr>
                <w:rFonts w:ascii="Times New Roman" w:hAnsi="Times New Roman"/>
                <w:b/>
              </w:rPr>
            </w:pPr>
            <w:r>
              <w:rPr>
                <w:rFonts w:ascii="Times New Roman" w:hAnsi="Times New Roman"/>
                <w:b/>
              </w:rPr>
              <w:t xml:space="preserve">Zeile </w:t>
            </w:r>
          </w:p>
          <w:p w:rsidR="00F4754B" w:rsidRPr="00FE002E" w:rsidRDefault="00F4754B" w:rsidP="00F4754B">
            <w:pPr>
              <w:pStyle w:val="BodyText1"/>
              <w:rPr>
                <w:rFonts w:ascii="Times New Roman" w:hAnsi="Times New Roman"/>
                <w:b/>
              </w:rPr>
            </w:pPr>
            <w:r>
              <w:rPr>
                <w:rFonts w:ascii="Times New Roman" w:hAnsi="Times New Roman"/>
                <w:b/>
              </w:rPr>
              <w:t>und Spalte</w:t>
            </w:r>
          </w:p>
        </w:tc>
        <w:tc>
          <w:tcPr>
            <w:tcW w:w="7620" w:type="dxa"/>
            <w:shd w:val="clear" w:color="auto" w:fill="D9D9D9"/>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Rechtsgrundlagen und Erläuterungen</w:t>
            </w: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w:t>
            </w:r>
            <w:r w:rsidRPr="00532F3A">
              <w:rPr>
                <w:rFonts w:ascii="Times New Roman" w:hAnsi="Times New Roman"/>
              </w:rPr>
              <w:t>010</w:t>
            </w:r>
            <w:r>
              <w:rPr>
                <w:rFonts w:ascii="Times New Roman" w:hAnsi="Times New Roman"/>
              </w:rPr>
              <w:t>;</w:t>
            </w:r>
            <w:r w:rsidRPr="00532F3A">
              <w:rPr>
                <w:rFonts w:ascii="Times New Roman" w:hAnsi="Times New Roman"/>
              </w:rPr>
              <w:t>010</w:t>
            </w:r>
            <w:r>
              <w:rPr>
                <w:rFonts w:ascii="Times New Roman" w:hAnsi="Times New Roman"/>
              </w:rPr>
              <w:t>}</w:t>
            </w:r>
          </w:p>
        </w:tc>
        <w:tc>
          <w:tcPr>
            <w:tcW w:w="7620" w:type="dxa"/>
          </w:tcPr>
          <w:p w:rsidR="00F4754B" w:rsidRPr="00FE002E" w:rsidRDefault="00F4754B" w:rsidP="007E2A41">
            <w:pPr>
              <w:pStyle w:val="BodyText1"/>
              <w:spacing w:line="240" w:lineRule="auto"/>
              <w:rPr>
                <w:rFonts w:ascii="Times New Roman" w:hAnsi="Times New Roman"/>
                <w:bCs/>
                <w:u w:val="single"/>
              </w:rPr>
            </w:pPr>
            <w:r>
              <w:rPr>
                <w:rFonts w:ascii="Times New Roman" w:hAnsi="Times New Roman"/>
                <w:b/>
              </w:rPr>
              <w:t>Derivate — Bilanzwert</w:t>
            </w:r>
          </w:p>
          <w:p w:rsidR="00F4754B" w:rsidRPr="00FE002E" w:rsidRDefault="00F4754B"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Summe der Felder {</w:t>
            </w:r>
            <w:r w:rsidRPr="00532F3A">
              <w:rPr>
                <w:rFonts w:ascii="Times New Roman" w:hAnsi="Times New Roman"/>
              </w:rPr>
              <w:t>020</w:t>
            </w:r>
            <w:r>
              <w:rPr>
                <w:rFonts w:ascii="Times New Roman" w:hAnsi="Times New Roman"/>
              </w:rPr>
              <w:t>;</w:t>
            </w:r>
            <w:r w:rsidRPr="00532F3A">
              <w:rPr>
                <w:rFonts w:ascii="Times New Roman" w:hAnsi="Times New Roman"/>
              </w:rPr>
              <w:t>010</w:t>
            </w:r>
            <w:r>
              <w:rPr>
                <w:rFonts w:ascii="Times New Roman" w:hAnsi="Times New Roman"/>
              </w:rPr>
              <w:t>}, {</w:t>
            </w:r>
            <w:r w:rsidRPr="00532F3A">
              <w:rPr>
                <w:rFonts w:ascii="Times New Roman" w:hAnsi="Times New Roman"/>
              </w:rPr>
              <w:t>050</w:t>
            </w:r>
            <w:r>
              <w:rPr>
                <w:rFonts w:ascii="Times New Roman" w:hAnsi="Times New Roman"/>
              </w:rPr>
              <w:t>;</w:t>
            </w:r>
            <w:r w:rsidRPr="00532F3A">
              <w:rPr>
                <w:rFonts w:ascii="Times New Roman" w:hAnsi="Times New Roman"/>
              </w:rPr>
              <w:t>010</w:t>
            </w:r>
            <w:r>
              <w:rPr>
                <w:rFonts w:ascii="Times New Roman" w:hAnsi="Times New Roman"/>
              </w:rPr>
              <w:t>} und {</w:t>
            </w:r>
            <w:r w:rsidRPr="00532F3A">
              <w:rPr>
                <w:rFonts w:ascii="Times New Roman" w:hAnsi="Times New Roman"/>
              </w:rPr>
              <w:t>060</w:t>
            </w:r>
            <w:r>
              <w:rPr>
                <w:rFonts w:ascii="Times New Roman" w:hAnsi="Times New Roman"/>
              </w:rPr>
              <w:t>;</w:t>
            </w:r>
            <w:r w:rsidRPr="00532F3A">
              <w:rPr>
                <w:rFonts w:ascii="Times New Roman" w:hAnsi="Times New Roman"/>
              </w:rPr>
              <w:t>010</w:t>
            </w:r>
            <w:r>
              <w:rPr>
                <w:rFonts w:ascii="Times New Roman" w:hAnsi="Times New Roman"/>
              </w:rPr>
              <w:t>}.</w:t>
            </w:r>
          </w:p>
          <w:p w:rsidR="000A6437" w:rsidRPr="00FE002E" w:rsidRDefault="000A6437"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w:t>
            </w:r>
            <w:r w:rsidRPr="00532F3A">
              <w:rPr>
                <w:rFonts w:ascii="Times New Roman" w:hAnsi="Times New Roman"/>
              </w:rPr>
              <w:t>010</w:t>
            </w:r>
            <w:r>
              <w:rPr>
                <w:rFonts w:ascii="Times New Roman" w:hAnsi="Times New Roman"/>
              </w:rPr>
              <w:t>;</w:t>
            </w:r>
            <w:r w:rsidRPr="00532F3A">
              <w:rPr>
                <w:rFonts w:ascii="Times New Roman" w:hAnsi="Times New Roman"/>
              </w:rPr>
              <w:t>020</w:t>
            </w:r>
            <w:r>
              <w:rPr>
                <w:rFonts w:ascii="Times New Roman" w:hAnsi="Times New Roman"/>
              </w:rPr>
              <w:t>}</w:t>
            </w:r>
          </w:p>
        </w:tc>
        <w:tc>
          <w:tcPr>
            <w:tcW w:w="7620" w:type="dxa"/>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Derivate — Buchwert unter der Annahme: kein Netting oder andere Kreditrisikominderung (CRM)</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Summe der Felder {</w:t>
            </w:r>
            <w:r w:rsidRPr="00532F3A">
              <w:rPr>
                <w:rFonts w:ascii="Times New Roman" w:hAnsi="Times New Roman"/>
              </w:rPr>
              <w:t>020</w:t>
            </w:r>
            <w:r>
              <w:rPr>
                <w:rFonts w:ascii="Times New Roman" w:hAnsi="Times New Roman"/>
              </w:rPr>
              <w:t>;</w:t>
            </w:r>
            <w:r w:rsidRPr="00532F3A">
              <w:rPr>
                <w:rFonts w:ascii="Times New Roman" w:hAnsi="Times New Roman"/>
              </w:rPr>
              <w:t>020</w:t>
            </w:r>
            <w:r>
              <w:rPr>
                <w:rFonts w:ascii="Times New Roman" w:hAnsi="Times New Roman"/>
              </w:rPr>
              <w:t>}, {</w:t>
            </w:r>
            <w:r w:rsidRPr="00532F3A">
              <w:rPr>
                <w:rFonts w:ascii="Times New Roman" w:hAnsi="Times New Roman"/>
              </w:rPr>
              <w:t>050</w:t>
            </w:r>
            <w:r>
              <w:rPr>
                <w:rFonts w:ascii="Times New Roman" w:hAnsi="Times New Roman"/>
              </w:rPr>
              <w:t>;</w:t>
            </w:r>
            <w:r w:rsidRPr="00532F3A">
              <w:rPr>
                <w:rFonts w:ascii="Times New Roman" w:hAnsi="Times New Roman"/>
              </w:rPr>
              <w:t>020</w:t>
            </w:r>
            <w:r>
              <w:rPr>
                <w:rFonts w:ascii="Times New Roman" w:hAnsi="Times New Roman"/>
              </w:rPr>
              <w:t>} und {</w:t>
            </w:r>
            <w:r w:rsidRPr="00532F3A">
              <w:rPr>
                <w:rFonts w:ascii="Times New Roman" w:hAnsi="Times New Roman"/>
              </w:rPr>
              <w:t>060</w:t>
            </w:r>
            <w:r>
              <w:rPr>
                <w:rFonts w:ascii="Times New Roman" w:hAnsi="Times New Roman"/>
              </w:rPr>
              <w:t>;</w:t>
            </w:r>
            <w:r w:rsidRPr="00532F3A">
              <w:rPr>
                <w:rFonts w:ascii="Times New Roman" w:hAnsi="Times New Roman"/>
              </w:rPr>
              <w:t>020</w:t>
            </w:r>
            <w:r>
              <w:rPr>
                <w:rFonts w:ascii="Times New Roman" w:hAnsi="Times New Roman"/>
              </w:rPr>
              <w:t>}.</w:t>
            </w:r>
          </w:p>
          <w:p w:rsidR="00FF3AC1" w:rsidRPr="00FE002E" w:rsidRDefault="00FF3AC1"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w:t>
            </w:r>
            <w:r w:rsidRPr="00532F3A">
              <w:rPr>
                <w:rFonts w:ascii="Times New Roman" w:hAnsi="Times New Roman"/>
              </w:rPr>
              <w:t>010</w:t>
            </w:r>
            <w:r>
              <w:rPr>
                <w:rFonts w:ascii="Times New Roman" w:hAnsi="Times New Roman"/>
              </w:rPr>
              <w:t>;</w:t>
            </w:r>
            <w:r w:rsidRPr="00532F3A">
              <w:rPr>
                <w:rFonts w:ascii="Times New Roman" w:hAnsi="Times New Roman"/>
              </w:rPr>
              <w:t>050</w:t>
            </w:r>
            <w:r>
              <w:rPr>
                <w:rFonts w:ascii="Times New Roman" w:hAnsi="Times New Roman"/>
              </w:rPr>
              <w:t>}</w:t>
            </w:r>
          </w:p>
          <w:p w:rsidR="00F4754B" w:rsidRPr="00FE002E" w:rsidRDefault="00F4754B" w:rsidP="00F4754B">
            <w:pPr>
              <w:pStyle w:val="BodyText1"/>
              <w:rPr>
                <w:rFonts w:ascii="Times New Roman" w:hAnsi="Times New Roman"/>
                <w:bCs/>
              </w:rPr>
            </w:pPr>
          </w:p>
        </w:tc>
        <w:tc>
          <w:tcPr>
            <w:tcW w:w="7620" w:type="dxa"/>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Derivate — Aufschlag nach der Marktbewertungsmethode (unter der Annahme: kein Netting oder andere Kreditrisikominderung (CRM))</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Summe der Felder {</w:t>
            </w:r>
            <w:r w:rsidRPr="00532F3A">
              <w:rPr>
                <w:rFonts w:ascii="Times New Roman" w:hAnsi="Times New Roman"/>
              </w:rPr>
              <w:t>020</w:t>
            </w:r>
            <w:r>
              <w:rPr>
                <w:rFonts w:ascii="Times New Roman" w:hAnsi="Times New Roman"/>
              </w:rPr>
              <w:t>;</w:t>
            </w:r>
            <w:r w:rsidRPr="00532F3A">
              <w:rPr>
                <w:rFonts w:ascii="Times New Roman" w:hAnsi="Times New Roman"/>
              </w:rPr>
              <w:t>050</w:t>
            </w:r>
            <w:r>
              <w:rPr>
                <w:rFonts w:ascii="Times New Roman" w:hAnsi="Times New Roman"/>
              </w:rPr>
              <w:t>}, {</w:t>
            </w:r>
            <w:r w:rsidRPr="00532F3A">
              <w:rPr>
                <w:rFonts w:ascii="Times New Roman" w:hAnsi="Times New Roman"/>
              </w:rPr>
              <w:t>050</w:t>
            </w:r>
            <w:r>
              <w:rPr>
                <w:rFonts w:ascii="Times New Roman" w:hAnsi="Times New Roman"/>
              </w:rPr>
              <w:t>;</w:t>
            </w:r>
            <w:r w:rsidRPr="00532F3A">
              <w:rPr>
                <w:rFonts w:ascii="Times New Roman" w:hAnsi="Times New Roman"/>
              </w:rPr>
              <w:t>050</w:t>
            </w:r>
            <w:r>
              <w:rPr>
                <w:rFonts w:ascii="Times New Roman" w:hAnsi="Times New Roman"/>
              </w:rPr>
              <w:t>} und {</w:t>
            </w:r>
            <w:r w:rsidRPr="00532F3A">
              <w:rPr>
                <w:rFonts w:ascii="Times New Roman" w:hAnsi="Times New Roman"/>
              </w:rPr>
              <w:t>060</w:t>
            </w:r>
            <w:r>
              <w:rPr>
                <w:rFonts w:ascii="Times New Roman" w:hAnsi="Times New Roman"/>
              </w:rPr>
              <w:t>;</w:t>
            </w:r>
            <w:r w:rsidRPr="00532F3A">
              <w:rPr>
                <w:rFonts w:ascii="Times New Roman" w:hAnsi="Times New Roman"/>
              </w:rPr>
              <w:t>050</w:t>
            </w:r>
            <w:r>
              <w:rPr>
                <w:rFonts w:ascii="Times New Roman" w:hAnsi="Times New Roman"/>
              </w:rPr>
              <w:t>}.</w:t>
            </w:r>
          </w:p>
          <w:p w:rsidR="00F4754B" w:rsidRPr="00FE002E" w:rsidRDefault="00F4754B"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70A83">
            <w:pPr>
              <w:pStyle w:val="BodyText1"/>
              <w:rPr>
                <w:rFonts w:ascii="Times New Roman" w:hAnsi="Times New Roman"/>
                <w:bCs/>
              </w:rPr>
            </w:pPr>
            <w:r>
              <w:rPr>
                <w:rFonts w:ascii="Times New Roman" w:hAnsi="Times New Roman"/>
              </w:rPr>
              <w:t>{</w:t>
            </w:r>
            <w:r w:rsidRPr="00532F3A">
              <w:rPr>
                <w:rFonts w:ascii="Times New Roman" w:hAnsi="Times New Roman"/>
              </w:rPr>
              <w:t>010</w:t>
            </w:r>
            <w:r>
              <w:rPr>
                <w:rFonts w:ascii="Times New Roman" w:hAnsi="Times New Roman"/>
              </w:rPr>
              <w:t>;</w:t>
            </w:r>
            <w:r w:rsidRPr="00532F3A">
              <w:rPr>
                <w:rFonts w:ascii="Times New Roman" w:hAnsi="Times New Roman"/>
              </w:rPr>
              <w:t>070</w:t>
            </w:r>
            <w:r>
              <w:rPr>
                <w:rFonts w:ascii="Times New Roman" w:hAnsi="Times New Roman"/>
              </w:rPr>
              <w:t>}</w:t>
            </w:r>
          </w:p>
        </w:tc>
        <w:tc>
          <w:tcPr>
            <w:tcW w:w="7620" w:type="dxa"/>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Derivate — Nominalbetrag</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Summe der Felder {</w:t>
            </w:r>
            <w:r w:rsidRPr="00532F3A">
              <w:rPr>
                <w:rFonts w:ascii="Times New Roman" w:hAnsi="Times New Roman"/>
              </w:rPr>
              <w:t>020</w:t>
            </w:r>
            <w:r>
              <w:rPr>
                <w:rFonts w:ascii="Times New Roman" w:hAnsi="Times New Roman"/>
              </w:rPr>
              <w:t>;</w:t>
            </w:r>
            <w:r w:rsidRPr="00532F3A">
              <w:rPr>
                <w:rFonts w:ascii="Times New Roman" w:hAnsi="Times New Roman"/>
              </w:rPr>
              <w:t>070</w:t>
            </w:r>
            <w:r>
              <w:rPr>
                <w:rFonts w:ascii="Times New Roman" w:hAnsi="Times New Roman"/>
              </w:rPr>
              <w:t>}, {</w:t>
            </w:r>
            <w:r w:rsidRPr="00532F3A">
              <w:rPr>
                <w:rFonts w:ascii="Times New Roman" w:hAnsi="Times New Roman"/>
              </w:rPr>
              <w:t>050</w:t>
            </w:r>
            <w:r>
              <w:rPr>
                <w:rFonts w:ascii="Times New Roman" w:hAnsi="Times New Roman"/>
              </w:rPr>
              <w:t>;</w:t>
            </w:r>
            <w:r w:rsidRPr="00532F3A">
              <w:rPr>
                <w:rFonts w:ascii="Times New Roman" w:hAnsi="Times New Roman"/>
              </w:rPr>
              <w:t>070</w:t>
            </w:r>
            <w:r>
              <w:rPr>
                <w:rFonts w:ascii="Times New Roman" w:hAnsi="Times New Roman"/>
              </w:rPr>
              <w:t>} und {</w:t>
            </w:r>
            <w:r w:rsidRPr="00532F3A">
              <w:rPr>
                <w:rFonts w:ascii="Times New Roman" w:hAnsi="Times New Roman"/>
              </w:rPr>
              <w:t>060</w:t>
            </w:r>
            <w:r>
              <w:rPr>
                <w:rFonts w:ascii="Times New Roman" w:hAnsi="Times New Roman"/>
              </w:rPr>
              <w:t>;</w:t>
            </w:r>
            <w:r w:rsidRPr="00532F3A">
              <w:rPr>
                <w:rFonts w:ascii="Times New Roman" w:hAnsi="Times New Roman"/>
              </w:rPr>
              <w:t>070</w:t>
            </w:r>
            <w:r>
              <w:rPr>
                <w:rFonts w:ascii="Times New Roman" w:hAnsi="Times New Roman"/>
              </w:rPr>
              <w:t>}.</w:t>
            </w:r>
          </w:p>
          <w:p w:rsidR="00F4754B" w:rsidRPr="00FE002E" w:rsidRDefault="00F4754B"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w:t>
            </w:r>
            <w:r w:rsidRPr="00532F3A">
              <w:rPr>
                <w:rFonts w:ascii="Times New Roman" w:hAnsi="Times New Roman"/>
              </w:rPr>
              <w:t>020</w:t>
            </w:r>
            <w:r>
              <w:rPr>
                <w:rFonts w:ascii="Times New Roman" w:hAnsi="Times New Roman"/>
              </w:rPr>
              <w:t>;</w:t>
            </w:r>
            <w:r w:rsidRPr="00532F3A">
              <w:rPr>
                <w:rFonts w:ascii="Times New Roman" w:hAnsi="Times New Roman"/>
              </w:rPr>
              <w:t>010</w:t>
            </w:r>
            <w:r>
              <w:rPr>
                <w:rFonts w:ascii="Times New Roman" w:hAnsi="Times New Roman"/>
              </w:rPr>
              <w:t>}</w:t>
            </w:r>
          </w:p>
        </w:tc>
        <w:tc>
          <w:tcPr>
            <w:tcW w:w="7620" w:type="dxa"/>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Kreditderivate (Besicherung veräußert) — Bilanzwert</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Artikel </w:t>
            </w:r>
            <w:r w:rsidRPr="00532F3A">
              <w:rPr>
                <w:rFonts w:ascii="Times New Roman" w:hAnsi="Times New Roman"/>
              </w:rPr>
              <w:t>4</w:t>
            </w:r>
            <w:r>
              <w:rPr>
                <w:rFonts w:ascii="Times New Roman" w:hAnsi="Times New Roman"/>
              </w:rPr>
              <w:t xml:space="preserve"> Absatz </w:t>
            </w:r>
            <w:r w:rsidRPr="00532F3A">
              <w:rPr>
                <w:rFonts w:ascii="Times New Roman" w:hAnsi="Times New Roman"/>
              </w:rPr>
              <w:t>1</w:t>
            </w:r>
            <w:r>
              <w:rPr>
                <w:rFonts w:ascii="Times New Roman" w:hAnsi="Times New Roman"/>
              </w:rPr>
              <w:t xml:space="preserve"> Nummer </w:t>
            </w:r>
            <w:r w:rsidRPr="00532F3A">
              <w:rPr>
                <w:rFonts w:ascii="Times New Roman" w:hAnsi="Times New Roman"/>
              </w:rPr>
              <w:t>77</w:t>
            </w:r>
            <w:r>
              <w:rPr>
                <w:rFonts w:ascii="Times New Roman" w:hAnsi="Times New Roman"/>
              </w:rPr>
              <w:t xml:space="preserve"> CRR</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Der nach dem geltenden Rechnungslegungsrahmen ermittelte Bilanzwert für Kreditderivate, wenn das Institut eine Kreditbesicherung an eine Gegenpartei veräußert und das Geschäft in der Bilanz erfasst wird.</w:t>
            </w:r>
          </w:p>
          <w:p w:rsidR="00F4754B" w:rsidRPr="00FE002E" w:rsidRDefault="00F4754B"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w:t>
            </w:r>
            <w:r w:rsidRPr="00532F3A">
              <w:rPr>
                <w:rFonts w:ascii="Times New Roman" w:hAnsi="Times New Roman"/>
              </w:rPr>
              <w:t>020</w:t>
            </w:r>
            <w:r>
              <w:rPr>
                <w:rFonts w:ascii="Times New Roman" w:hAnsi="Times New Roman"/>
              </w:rPr>
              <w:t>;</w:t>
            </w:r>
            <w:r w:rsidRPr="00532F3A">
              <w:rPr>
                <w:rFonts w:ascii="Times New Roman" w:hAnsi="Times New Roman"/>
              </w:rPr>
              <w:t>020</w:t>
            </w:r>
            <w:r>
              <w:rPr>
                <w:rFonts w:ascii="Times New Roman" w:hAnsi="Times New Roman"/>
              </w:rPr>
              <w:t>}</w:t>
            </w:r>
          </w:p>
        </w:tc>
        <w:tc>
          <w:tcPr>
            <w:tcW w:w="7620" w:type="dxa"/>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Kreditderivate (Besicherung veräußert) — Buchwert unter der Annahme: kein Netting oder andere Kreditrisikominderung (CRM)</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Artikel </w:t>
            </w:r>
            <w:r w:rsidRPr="00532F3A">
              <w:rPr>
                <w:rFonts w:ascii="Times New Roman" w:hAnsi="Times New Roman"/>
              </w:rPr>
              <w:t>4</w:t>
            </w:r>
            <w:r>
              <w:rPr>
                <w:rFonts w:ascii="Times New Roman" w:hAnsi="Times New Roman"/>
              </w:rPr>
              <w:t xml:space="preserve"> Absatz </w:t>
            </w:r>
            <w:r w:rsidRPr="00532F3A">
              <w:rPr>
                <w:rFonts w:ascii="Times New Roman" w:hAnsi="Times New Roman"/>
              </w:rPr>
              <w:t>1</w:t>
            </w:r>
            <w:r>
              <w:rPr>
                <w:rFonts w:ascii="Times New Roman" w:hAnsi="Times New Roman"/>
              </w:rPr>
              <w:t xml:space="preserve"> Nummer </w:t>
            </w:r>
            <w:r w:rsidRPr="00532F3A">
              <w:rPr>
                <w:rFonts w:ascii="Times New Roman" w:hAnsi="Times New Roman"/>
              </w:rPr>
              <w:t>77</w:t>
            </w:r>
            <w:r>
              <w:rPr>
                <w:rFonts w:ascii="Times New Roman" w:hAnsi="Times New Roman"/>
              </w:rPr>
              <w:t xml:space="preserve"> CRR</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Der nach dem geltenden Rechnungslegungsrahmen ermittelte Bilanzwert von Kreditderivaten, wenn das Institut eine Kreditbesicherung an eine Gegenpartei veräußert und das Geschäft in der Bilanz erfasst wird, in der Annahme, dass es keine aufsichtlichen oder Bilanzierungs-Netting- oder anderen CRM-Effekte gibt (d. h. die Bilanzierungs-Netting- oder CRM-Effekte in Bezug auf den Bilanzwert werden zurückgenommen).</w:t>
            </w:r>
          </w:p>
          <w:p w:rsidR="00F4754B" w:rsidRPr="00FE002E" w:rsidRDefault="00F4754B"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70A83">
            <w:pPr>
              <w:pStyle w:val="BodyText1"/>
              <w:rPr>
                <w:rFonts w:ascii="Times New Roman" w:hAnsi="Times New Roman"/>
                <w:bCs/>
              </w:rPr>
            </w:pPr>
            <w:r>
              <w:rPr>
                <w:rFonts w:ascii="Times New Roman" w:hAnsi="Times New Roman"/>
              </w:rPr>
              <w:t>{</w:t>
            </w:r>
            <w:r w:rsidRPr="00532F3A">
              <w:rPr>
                <w:rFonts w:ascii="Times New Roman" w:hAnsi="Times New Roman"/>
              </w:rPr>
              <w:t>020</w:t>
            </w:r>
            <w:r>
              <w:rPr>
                <w:rFonts w:ascii="Times New Roman" w:hAnsi="Times New Roman"/>
              </w:rPr>
              <w:t>;</w:t>
            </w:r>
            <w:r w:rsidRPr="00532F3A">
              <w:rPr>
                <w:rFonts w:ascii="Times New Roman" w:hAnsi="Times New Roman"/>
              </w:rPr>
              <w:t>050</w:t>
            </w:r>
            <w:r>
              <w:rPr>
                <w:rFonts w:ascii="Times New Roman" w:hAnsi="Times New Roman"/>
              </w:rPr>
              <w:t>}</w:t>
            </w:r>
          </w:p>
        </w:tc>
        <w:tc>
          <w:tcPr>
            <w:tcW w:w="7620" w:type="dxa"/>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Kreditderivate (Besicherung veräußert) — Aufschlag nach der Marktbewertungsmethode (unter der Annahme: kein Netting oder andere Kreditrisikominderung (CRM))</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Summe der Felder {</w:t>
            </w:r>
            <w:r w:rsidRPr="00532F3A">
              <w:rPr>
                <w:rFonts w:ascii="Times New Roman" w:hAnsi="Times New Roman"/>
              </w:rPr>
              <w:t>030</w:t>
            </w:r>
            <w:r>
              <w:rPr>
                <w:rFonts w:ascii="Times New Roman" w:hAnsi="Times New Roman"/>
              </w:rPr>
              <w:t>;</w:t>
            </w:r>
            <w:r w:rsidRPr="00532F3A">
              <w:rPr>
                <w:rFonts w:ascii="Times New Roman" w:hAnsi="Times New Roman"/>
              </w:rPr>
              <w:t>050</w:t>
            </w:r>
            <w:r>
              <w:rPr>
                <w:rFonts w:ascii="Times New Roman" w:hAnsi="Times New Roman"/>
              </w:rPr>
              <w:t>} und {</w:t>
            </w:r>
            <w:r w:rsidRPr="00532F3A">
              <w:rPr>
                <w:rFonts w:ascii="Times New Roman" w:hAnsi="Times New Roman"/>
              </w:rPr>
              <w:t>040</w:t>
            </w:r>
            <w:r>
              <w:rPr>
                <w:rFonts w:ascii="Times New Roman" w:hAnsi="Times New Roman"/>
              </w:rPr>
              <w:t>;</w:t>
            </w:r>
            <w:r w:rsidRPr="00532F3A">
              <w:rPr>
                <w:rFonts w:ascii="Times New Roman" w:hAnsi="Times New Roman"/>
              </w:rPr>
              <w:t>050</w:t>
            </w:r>
            <w:r>
              <w:rPr>
                <w:rFonts w:ascii="Times New Roman" w:hAnsi="Times New Roman"/>
              </w:rPr>
              <w:t>}.</w:t>
            </w:r>
          </w:p>
          <w:p w:rsidR="00F4754B" w:rsidRPr="00FE002E" w:rsidRDefault="00F4754B"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70A83">
            <w:pPr>
              <w:pStyle w:val="BodyText1"/>
              <w:rPr>
                <w:rFonts w:ascii="Times New Roman" w:hAnsi="Times New Roman"/>
                <w:bCs/>
              </w:rPr>
            </w:pPr>
            <w:r>
              <w:rPr>
                <w:rFonts w:ascii="Times New Roman" w:hAnsi="Times New Roman"/>
              </w:rPr>
              <w:t>{</w:t>
            </w:r>
            <w:r w:rsidRPr="00532F3A">
              <w:rPr>
                <w:rFonts w:ascii="Times New Roman" w:hAnsi="Times New Roman"/>
              </w:rPr>
              <w:t>020</w:t>
            </w:r>
            <w:r>
              <w:rPr>
                <w:rFonts w:ascii="Times New Roman" w:hAnsi="Times New Roman"/>
              </w:rPr>
              <w:t>;</w:t>
            </w:r>
            <w:r w:rsidRPr="00532F3A">
              <w:rPr>
                <w:rFonts w:ascii="Times New Roman" w:hAnsi="Times New Roman"/>
              </w:rPr>
              <w:t>070</w:t>
            </w:r>
            <w:r>
              <w:rPr>
                <w:rFonts w:ascii="Times New Roman" w:hAnsi="Times New Roman"/>
              </w:rPr>
              <w:t>}</w:t>
            </w:r>
          </w:p>
        </w:tc>
        <w:tc>
          <w:tcPr>
            <w:tcW w:w="7620" w:type="dxa"/>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Kreditderivate (Besicherung veräußert) — Nominalbetrag</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Summe der Felder {</w:t>
            </w:r>
            <w:r w:rsidRPr="00532F3A">
              <w:rPr>
                <w:rFonts w:ascii="Times New Roman" w:hAnsi="Times New Roman"/>
              </w:rPr>
              <w:t>030</w:t>
            </w:r>
            <w:r>
              <w:rPr>
                <w:rFonts w:ascii="Times New Roman" w:hAnsi="Times New Roman"/>
              </w:rPr>
              <w:t>;</w:t>
            </w:r>
            <w:r w:rsidRPr="00532F3A">
              <w:rPr>
                <w:rFonts w:ascii="Times New Roman" w:hAnsi="Times New Roman"/>
              </w:rPr>
              <w:t>070</w:t>
            </w:r>
            <w:r>
              <w:rPr>
                <w:rFonts w:ascii="Times New Roman" w:hAnsi="Times New Roman"/>
              </w:rPr>
              <w:t>} und {</w:t>
            </w:r>
            <w:r w:rsidRPr="00532F3A">
              <w:rPr>
                <w:rFonts w:ascii="Times New Roman" w:hAnsi="Times New Roman"/>
              </w:rPr>
              <w:t>040</w:t>
            </w:r>
            <w:r>
              <w:rPr>
                <w:rFonts w:ascii="Times New Roman" w:hAnsi="Times New Roman"/>
              </w:rPr>
              <w:t>;</w:t>
            </w:r>
            <w:r w:rsidRPr="00532F3A">
              <w:rPr>
                <w:rFonts w:ascii="Times New Roman" w:hAnsi="Times New Roman"/>
              </w:rPr>
              <w:t>070</w:t>
            </w:r>
            <w:r>
              <w:rPr>
                <w:rFonts w:ascii="Times New Roman" w:hAnsi="Times New Roman"/>
              </w:rPr>
              <w:t>}.</w:t>
            </w:r>
          </w:p>
          <w:p w:rsidR="00F4754B" w:rsidRPr="00FE002E" w:rsidRDefault="00F4754B"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1081">
            <w:pPr>
              <w:pStyle w:val="BodyText1"/>
              <w:rPr>
                <w:rFonts w:ascii="Times New Roman" w:hAnsi="Times New Roman"/>
                <w:bCs/>
              </w:rPr>
            </w:pPr>
            <w:r>
              <w:rPr>
                <w:rFonts w:ascii="Times New Roman" w:hAnsi="Times New Roman"/>
              </w:rPr>
              <w:t>{</w:t>
            </w:r>
            <w:r w:rsidRPr="00532F3A">
              <w:rPr>
                <w:rFonts w:ascii="Times New Roman" w:hAnsi="Times New Roman"/>
              </w:rPr>
              <w:t>020</w:t>
            </w:r>
            <w:r>
              <w:rPr>
                <w:rFonts w:ascii="Times New Roman" w:hAnsi="Times New Roman"/>
              </w:rPr>
              <w:t>;</w:t>
            </w:r>
            <w:r w:rsidRPr="00532F3A">
              <w:rPr>
                <w:rFonts w:ascii="Times New Roman" w:hAnsi="Times New Roman"/>
              </w:rPr>
              <w:t>075</w:t>
            </w:r>
            <w:r>
              <w:rPr>
                <w:rFonts w:ascii="Times New Roman" w:hAnsi="Times New Roman"/>
              </w:rPr>
              <w:t>}</w:t>
            </w:r>
          </w:p>
        </w:tc>
        <w:tc>
          <w:tcPr>
            <w:tcW w:w="7620" w:type="dxa"/>
          </w:tcPr>
          <w:p w:rsidR="00410E47" w:rsidRPr="00FE002E" w:rsidRDefault="00410E47" w:rsidP="006B5E42">
            <w:pPr>
              <w:pStyle w:val="BodyText1"/>
              <w:spacing w:line="240" w:lineRule="auto"/>
              <w:rPr>
                <w:rFonts w:ascii="Times New Roman" w:hAnsi="Times New Roman"/>
                <w:b/>
                <w:bCs/>
              </w:rPr>
            </w:pPr>
            <w:r>
              <w:rPr>
                <w:rFonts w:ascii="Times New Roman" w:hAnsi="Times New Roman"/>
                <w:b/>
              </w:rPr>
              <w:t>Kreditderivate (Besicherung veräußert) — Gedeckelter Nominalbetrag</w:t>
            </w:r>
          </w:p>
          <w:p w:rsidR="00410E47" w:rsidRPr="00FE002E" w:rsidRDefault="00410E47" w:rsidP="006B5E42">
            <w:pPr>
              <w:pStyle w:val="BodyText1"/>
              <w:spacing w:line="240" w:lineRule="auto"/>
              <w:rPr>
                <w:rFonts w:ascii="Times New Roman" w:hAnsi="Times New Roman"/>
                <w:bCs/>
              </w:rPr>
            </w:pPr>
          </w:p>
          <w:p w:rsidR="00410E47" w:rsidRPr="00FE002E" w:rsidRDefault="00410E47" w:rsidP="006B5E42">
            <w:pPr>
              <w:pStyle w:val="BodyText1"/>
              <w:spacing w:line="240" w:lineRule="auto"/>
              <w:rPr>
                <w:rFonts w:ascii="Times New Roman" w:hAnsi="Times New Roman"/>
                <w:bCs/>
              </w:rPr>
            </w:pPr>
            <w:r>
              <w:rPr>
                <w:rFonts w:ascii="Times New Roman" w:hAnsi="Times New Roman"/>
              </w:rPr>
              <w:t>In diesem Feld wird der durch Kreditderivate (Besicherung veräußert) referenzierte Nominalbetrag wie in {</w:t>
            </w:r>
            <w:r w:rsidRPr="00532F3A">
              <w:rPr>
                <w:rFonts w:ascii="Times New Roman" w:hAnsi="Times New Roman"/>
              </w:rPr>
              <w:t>020</w:t>
            </w:r>
            <w:r>
              <w:rPr>
                <w:rFonts w:ascii="Times New Roman" w:hAnsi="Times New Roman"/>
              </w:rPr>
              <w:t xml:space="preserve">; </w:t>
            </w:r>
            <w:r w:rsidRPr="00532F3A">
              <w:rPr>
                <w:rFonts w:ascii="Times New Roman" w:hAnsi="Times New Roman"/>
              </w:rPr>
              <w:t>070</w:t>
            </w:r>
            <w:r>
              <w:rPr>
                <w:rFonts w:ascii="Times New Roman" w:hAnsi="Times New Roman"/>
              </w:rPr>
              <w:t>} abzüglich etwaiger Veränderungen des negativen Zeitwerts, die in das Kernkapital in Bezug auf die geschriebenen Kreditderivate aufgenommen wurden, angegeben.</w:t>
            </w:r>
          </w:p>
          <w:p w:rsidR="00410E47" w:rsidRPr="00FE002E" w:rsidRDefault="00410E47" w:rsidP="006B5E42">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lastRenderedPageBreak/>
              <w:t>{</w:t>
            </w:r>
            <w:r w:rsidRPr="00532F3A">
              <w:rPr>
                <w:rFonts w:ascii="Times New Roman" w:hAnsi="Times New Roman"/>
              </w:rPr>
              <w:t>030</w:t>
            </w:r>
            <w:r>
              <w:rPr>
                <w:rFonts w:ascii="Times New Roman" w:hAnsi="Times New Roman"/>
              </w:rPr>
              <w:t>;</w:t>
            </w:r>
            <w:r w:rsidRPr="00532F3A">
              <w:rPr>
                <w:rFonts w:ascii="Times New Roman" w:hAnsi="Times New Roman"/>
              </w:rPr>
              <w:t>050</w:t>
            </w:r>
            <w:r>
              <w:rPr>
                <w:rFonts w:ascii="Times New Roman" w:hAnsi="Times New Roman"/>
              </w:rPr>
              <w:t>}</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Kreditderivate (Besicherung veräußert) mit Glattstellungsklausel — Aufschlag nach der Marktbewertungsmethode (unter der Annahme: kein Netting oder andere Kreditrisikominderung (CRM))</w:t>
            </w:r>
          </w:p>
          <w:p w:rsidR="00410E47" w:rsidRPr="00FE002E" w:rsidRDefault="00410E47" w:rsidP="00406605">
            <w:pPr>
              <w:pStyle w:val="BodyText1"/>
              <w:spacing w:line="240" w:lineRule="auto"/>
              <w:jc w:val="center"/>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Artikel </w:t>
            </w:r>
            <w:r w:rsidRPr="00532F3A">
              <w:rPr>
                <w:rFonts w:ascii="Times New Roman" w:hAnsi="Times New Roman"/>
              </w:rPr>
              <w:t>299</w:t>
            </w:r>
            <w:r>
              <w:rPr>
                <w:rFonts w:ascii="Times New Roman" w:hAnsi="Times New Roman"/>
              </w:rPr>
              <w:t xml:space="preserve"> Absatz </w:t>
            </w:r>
            <w:r w:rsidRPr="00532F3A">
              <w:rPr>
                <w:rFonts w:ascii="Times New Roman" w:hAnsi="Times New Roman"/>
              </w:rPr>
              <w:t>2</w:t>
            </w:r>
            <w:r>
              <w:rPr>
                <w:rFonts w:ascii="Times New Roman" w:hAnsi="Times New Roman"/>
              </w:rPr>
              <w:t xml:space="preserve"> CRR</w:t>
            </w:r>
          </w:p>
          <w:p w:rsidR="00410E47" w:rsidRPr="00FE002E" w:rsidRDefault="00410E47" w:rsidP="007E2A41">
            <w:pPr>
              <w:pStyle w:val="BodyText1"/>
              <w:spacing w:line="240" w:lineRule="auto"/>
              <w:rPr>
                <w:rFonts w:ascii="Times New Roman" w:hAnsi="Times New Roman"/>
                <w:b/>
                <w:bCs/>
              </w:rPr>
            </w:pPr>
          </w:p>
          <w:p w:rsidR="00410E47" w:rsidRDefault="00410E47" w:rsidP="007E2A41">
            <w:pPr>
              <w:pStyle w:val="BodyText1"/>
              <w:spacing w:line="240" w:lineRule="auto"/>
              <w:rPr>
                <w:rFonts w:ascii="Times New Roman" w:hAnsi="Times New Roman"/>
                <w:bCs/>
              </w:rPr>
            </w:pPr>
            <w:r>
              <w:rPr>
                <w:rFonts w:ascii="Times New Roman" w:hAnsi="Times New Roman"/>
              </w:rPr>
              <w:t>In diesem Feld ist die mögliche künftige Risikoposition von Kreditderivaten anzugeben, wenn das Institut eine Kreditbesicherung mit Glattstellungsklausel veräußert und davon ausgegangen wird, dass kein Netting und keine andere CRM erfolgt. In diesem Feld weisen die Institute nicht den Aufschlag für Kreditderivate aus, wenn sie eine Kreditbesicherung ohne Glattstellungsklausel veräußern. Dieser wird stattdessen in {LR</w:t>
            </w:r>
            <w:r w:rsidRPr="00532F3A">
              <w:rPr>
                <w:rFonts w:ascii="Times New Roman" w:hAnsi="Times New Roman"/>
              </w:rPr>
              <w:t>1</w:t>
            </w:r>
            <w:r>
              <w:rPr>
                <w:rFonts w:ascii="Times New Roman" w:hAnsi="Times New Roman"/>
              </w:rPr>
              <w:t>;</w:t>
            </w:r>
            <w:r w:rsidRPr="00532F3A">
              <w:rPr>
                <w:rFonts w:ascii="Times New Roman" w:hAnsi="Times New Roman"/>
              </w:rPr>
              <w:t>040</w:t>
            </w:r>
            <w:r>
              <w:rPr>
                <w:rFonts w:ascii="Times New Roman" w:hAnsi="Times New Roman"/>
              </w:rPr>
              <w:t>;</w:t>
            </w:r>
            <w:r w:rsidRPr="00532F3A">
              <w:rPr>
                <w:rFonts w:ascii="Times New Roman" w:hAnsi="Times New Roman"/>
              </w:rPr>
              <w:t>050</w:t>
            </w:r>
            <w:r>
              <w:rPr>
                <w:rFonts w:ascii="Times New Roman" w:hAnsi="Times New Roman"/>
              </w:rPr>
              <w:t>} ausgewiesen.</w:t>
            </w:r>
          </w:p>
          <w:p w:rsidR="00994DCE" w:rsidRPr="00FE002E" w:rsidRDefault="00994DCE"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Eine Glattstellungsklausel ist definiert als Klausel, die der nicht ausfallenden Partei das Recht verleiht, bei einem Ausfall, einschließlich Insolvenz oder Konkurs der Gegenpartei, alle unter die Vereinbarung fallenden Geschäfte zeitnah zu beenden und glattzustellen.</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Die Institute berücksichtigen alle Kreditderivate, nicht nur die, die dem Handelsbuch zugeordnet sind. </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1081">
            <w:pPr>
              <w:pStyle w:val="BodyText1"/>
              <w:rPr>
                <w:rFonts w:ascii="Times New Roman" w:hAnsi="Times New Roman"/>
                <w:bCs/>
              </w:rPr>
            </w:pPr>
            <w:r>
              <w:rPr>
                <w:rFonts w:ascii="Times New Roman" w:hAnsi="Times New Roman"/>
              </w:rPr>
              <w:t>{</w:t>
            </w:r>
            <w:r w:rsidRPr="00532F3A">
              <w:rPr>
                <w:rFonts w:ascii="Times New Roman" w:hAnsi="Times New Roman"/>
              </w:rPr>
              <w:t>030</w:t>
            </w:r>
            <w:r>
              <w:rPr>
                <w:rFonts w:ascii="Times New Roman" w:hAnsi="Times New Roman"/>
              </w:rPr>
              <w:t>;</w:t>
            </w:r>
            <w:r w:rsidRPr="00532F3A">
              <w:rPr>
                <w:rFonts w:ascii="Times New Roman" w:hAnsi="Times New Roman"/>
              </w:rPr>
              <w:t>070</w:t>
            </w:r>
            <w:r>
              <w:rPr>
                <w:rFonts w:ascii="Times New Roman" w:hAnsi="Times New Roman"/>
              </w:rPr>
              <w:t>}</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Kreditderivate (Besicherung veräußert) mit Glattstellungsklausel — Nominalbetrag</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In diesem Feld ist der durch Kreditderivate referenzierte Nominalbetrag anzugeben, wenn das Institut eine Kreditbesicherung mit Glattstellungsklausel veräußert. </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rPr>
            </w:pPr>
            <w:r>
              <w:rPr>
                <w:rFonts w:ascii="Times New Roman" w:hAnsi="Times New Roman"/>
              </w:rPr>
              <w:t>Eine Glattstellungsklausel ist definiert als Klausel, die der nicht ausfallenden Partei das Recht verleiht, bei einem Ausfall, einschließlich Insolvenz oder Konkurs der Gegenpartei, alle unter die Vereinbarung fallenden Geschäfte zeitnah zu beenden und glattzustellen.</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Die Institute berücksichtigen alle Kreditderivate, nicht nur die, die dem Handelsbuch zugeordnet sind. </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w:t>
            </w:r>
            <w:r w:rsidRPr="00532F3A">
              <w:rPr>
                <w:rFonts w:ascii="Times New Roman" w:hAnsi="Times New Roman"/>
              </w:rPr>
              <w:t>040</w:t>
            </w:r>
            <w:r>
              <w:rPr>
                <w:rFonts w:ascii="Times New Roman" w:hAnsi="Times New Roman"/>
              </w:rPr>
              <w:t>;</w:t>
            </w:r>
            <w:r w:rsidRPr="00532F3A">
              <w:rPr>
                <w:rFonts w:ascii="Times New Roman" w:hAnsi="Times New Roman"/>
              </w:rPr>
              <w:t>050</w:t>
            </w:r>
            <w:r>
              <w:rPr>
                <w:rFonts w:ascii="Times New Roman" w:hAnsi="Times New Roman"/>
              </w:rPr>
              <w:t>}</w:t>
            </w:r>
          </w:p>
          <w:p w:rsidR="00410E47" w:rsidRPr="00FE002E" w:rsidRDefault="00410E47" w:rsidP="00F4754B">
            <w:pPr>
              <w:pStyle w:val="BodyText1"/>
              <w:rPr>
                <w:rFonts w:ascii="Times New Roman" w:hAnsi="Times New Roman"/>
                <w:bCs/>
              </w:rPr>
            </w:pP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Kreditderivate (Besicherung veräußert) ohne Glattstellungsklausel — Aufschlag nach der Marktbewertungsmethode (unter der Annahme: kein Netting oder andere Kreditrisikominderung (CRM))</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Artikel </w:t>
            </w:r>
            <w:r w:rsidRPr="00532F3A">
              <w:rPr>
                <w:rFonts w:ascii="Times New Roman" w:hAnsi="Times New Roman"/>
              </w:rPr>
              <w:t>299</w:t>
            </w:r>
            <w:r>
              <w:rPr>
                <w:rFonts w:ascii="Times New Roman" w:hAnsi="Times New Roman"/>
              </w:rPr>
              <w:t xml:space="preserve"> Absatz </w:t>
            </w:r>
            <w:r w:rsidRPr="00532F3A">
              <w:rPr>
                <w:rFonts w:ascii="Times New Roman" w:hAnsi="Times New Roman"/>
              </w:rPr>
              <w:t>2</w:t>
            </w:r>
            <w:r>
              <w:rPr>
                <w:rFonts w:ascii="Times New Roman" w:hAnsi="Times New Roman"/>
              </w:rPr>
              <w:t xml:space="preserve"> CRR</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tabs>
                <w:tab w:val="center" w:pos="4153"/>
                <w:tab w:val="right" w:pos="8306"/>
              </w:tabs>
              <w:spacing w:line="240" w:lineRule="auto"/>
              <w:rPr>
                <w:rFonts w:ascii="Times New Roman" w:hAnsi="Times New Roman"/>
                <w:bCs/>
              </w:rPr>
            </w:pPr>
            <w:r>
              <w:rPr>
                <w:rFonts w:ascii="Times New Roman" w:hAnsi="Times New Roman"/>
              </w:rPr>
              <w:t xml:space="preserve">In diesem Feld ist die mögliche künftige Risikoposition von Kreditderivaten anzugeben, wenn das Institut eine Kreditbesicherung </w:t>
            </w:r>
            <w:r>
              <w:rPr>
                <w:rFonts w:ascii="Times New Roman" w:hAnsi="Times New Roman"/>
                <w:b/>
                <w:u w:val="single"/>
              </w:rPr>
              <w:t>ohne</w:t>
            </w:r>
            <w:r>
              <w:rPr>
                <w:rFonts w:ascii="Times New Roman" w:hAnsi="Times New Roman"/>
              </w:rPr>
              <w:t xml:space="preserve"> Glattstellungsklausel veräußert und davon ausgegangen wird, dass kein Netting und keine andere CRM erfolgt.</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rPr>
            </w:pPr>
            <w:r>
              <w:rPr>
                <w:rFonts w:ascii="Times New Roman" w:hAnsi="Times New Roman"/>
              </w:rPr>
              <w:t>Eine Glattstellungsklausel ist definiert als Klausel, die der nicht ausfallenden Partei das Recht verleiht, bei einem Ausfall, einschließlich Insolvenz oder Konkurs der Gegenpartei, alle unter die Vereinbarung fallenden Geschäfte zeitnah zu beenden und glattzustellen.</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
                <w:bCs/>
                <w:u w:val="single"/>
              </w:rPr>
            </w:pPr>
            <w:r>
              <w:rPr>
                <w:rFonts w:ascii="Times New Roman" w:hAnsi="Times New Roman"/>
              </w:rPr>
              <w:t>Die Institute berücksichtigen alle Kreditderivate, nicht nur die, die dem Handelsbuch zugeordnet sind.</w:t>
            </w:r>
            <w:r>
              <w:rPr>
                <w:rFonts w:ascii="Times New Roman" w:hAnsi="Times New Roman"/>
                <w:b/>
                <w:u w:val="single"/>
              </w:rPr>
              <w:t xml:space="preserve"> </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w:t>
            </w:r>
            <w:r w:rsidRPr="00532F3A">
              <w:rPr>
                <w:rFonts w:ascii="Times New Roman" w:hAnsi="Times New Roman"/>
              </w:rPr>
              <w:t>040</w:t>
            </w:r>
            <w:r>
              <w:rPr>
                <w:rFonts w:ascii="Times New Roman" w:hAnsi="Times New Roman"/>
              </w:rPr>
              <w:t>;</w:t>
            </w:r>
            <w:r w:rsidRPr="00532F3A">
              <w:rPr>
                <w:rFonts w:ascii="Times New Roman" w:hAnsi="Times New Roman"/>
              </w:rPr>
              <w:t>070</w:t>
            </w:r>
            <w:r>
              <w:rPr>
                <w:rFonts w:ascii="Times New Roman" w:hAnsi="Times New Roman"/>
              </w:rPr>
              <w:t>}</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Kreditderivate (Besicherung veräußert) ohne Glattstellungsklausel — Nominalbetrag</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rPr>
            </w:pPr>
            <w:r>
              <w:rPr>
                <w:rFonts w:ascii="Times New Roman" w:hAnsi="Times New Roman"/>
              </w:rPr>
              <w:t xml:space="preserve">In diesem Feld ist der durch Kreditderivate referenzierte Nominalbetrag anzugeben, wenn das Institut eine Kreditbesicherung </w:t>
            </w:r>
            <w:r>
              <w:rPr>
                <w:rFonts w:ascii="Times New Roman" w:hAnsi="Times New Roman"/>
                <w:b/>
                <w:u w:val="single"/>
              </w:rPr>
              <w:t>ohne</w:t>
            </w:r>
            <w:r>
              <w:rPr>
                <w:rFonts w:ascii="Times New Roman" w:hAnsi="Times New Roman"/>
              </w:rPr>
              <w:t xml:space="preserve"> Glattstellungsklausel veräußert.</w:t>
            </w:r>
          </w:p>
          <w:p w:rsidR="00410E47" w:rsidRPr="00FE002E" w:rsidRDefault="00410E47" w:rsidP="007E2A41">
            <w:pPr>
              <w:pStyle w:val="BodyText1"/>
              <w:spacing w:line="240" w:lineRule="auto"/>
              <w:rPr>
                <w:rFonts w:ascii="Times New Roman" w:hAnsi="Times New Roman"/>
              </w:rPr>
            </w:pPr>
          </w:p>
          <w:p w:rsidR="00410E47" w:rsidRPr="00FE002E" w:rsidRDefault="00410E47" w:rsidP="007E2A41">
            <w:pPr>
              <w:pStyle w:val="BodyText1"/>
              <w:spacing w:line="240" w:lineRule="auto"/>
              <w:rPr>
                <w:rFonts w:ascii="Times New Roman" w:hAnsi="Times New Roman"/>
              </w:rPr>
            </w:pPr>
            <w:r>
              <w:rPr>
                <w:rFonts w:ascii="Times New Roman" w:hAnsi="Times New Roman"/>
              </w:rPr>
              <w:t>Eine Glattstellungsklausel ist definiert als Klausel, die der nicht ausfallenden Partei das Recht verleiht, bei einem Ausfall, einschließlich Insolvenz oder Konkurs der Gegenpartei, alle unter die Vereinbarung fallenden Geschäfte zeitnah zu beenden und glattzustellen.</w:t>
            </w:r>
          </w:p>
          <w:p w:rsidR="00410E47" w:rsidRPr="00FE002E" w:rsidRDefault="00410E47" w:rsidP="007E2A41">
            <w:pPr>
              <w:pStyle w:val="BodyText1"/>
              <w:spacing w:line="240" w:lineRule="auto"/>
              <w:rPr>
                <w:rFonts w:ascii="Times New Roman" w:hAnsi="Times New Roman"/>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Die Institute berücksichtigen alle Kreditderivate, nicht nur die, die dem Handelsbuch </w:t>
            </w:r>
            <w:r>
              <w:rPr>
                <w:rFonts w:ascii="Times New Roman" w:hAnsi="Times New Roman"/>
              </w:rPr>
              <w:lastRenderedPageBreak/>
              <w:t>zugeordnet sind.</w:t>
            </w:r>
          </w:p>
          <w:p w:rsidR="00410E47" w:rsidRPr="00FE002E" w:rsidRDefault="00410E47" w:rsidP="007E2A41">
            <w:pPr>
              <w:pStyle w:val="BodyText1"/>
              <w:spacing w:line="240" w:lineRule="auto"/>
              <w:rPr>
                <w:rFonts w:ascii="Times New Roman" w:hAnsi="Times New Roman"/>
                <w:b/>
                <w:bCs/>
                <w:u w:val="single"/>
              </w:rPr>
            </w:pPr>
            <w:r>
              <w:rPr>
                <w:rFonts w:ascii="Times New Roman" w:hAnsi="Times New Roman"/>
                <w:b/>
                <w:u w:val="single"/>
              </w:rPr>
              <w:t xml:space="preserve"> </w:t>
            </w: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lastRenderedPageBreak/>
              <w:t>{</w:t>
            </w:r>
            <w:r w:rsidRPr="00532F3A">
              <w:rPr>
                <w:rFonts w:ascii="Times New Roman" w:hAnsi="Times New Roman"/>
              </w:rPr>
              <w:t>050</w:t>
            </w:r>
            <w:r>
              <w:rPr>
                <w:rFonts w:ascii="Times New Roman" w:hAnsi="Times New Roman"/>
              </w:rPr>
              <w:t>;</w:t>
            </w:r>
            <w:r w:rsidRPr="00532F3A">
              <w:rPr>
                <w:rFonts w:ascii="Times New Roman" w:hAnsi="Times New Roman"/>
              </w:rPr>
              <w:t>010</w:t>
            </w:r>
            <w:r>
              <w:rPr>
                <w:rFonts w:ascii="Times New Roman" w:hAnsi="Times New Roman"/>
              </w:rPr>
              <w:t>}</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Kreditderivate (Besicherung erworben) — Bilanzwert</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Artikel </w:t>
            </w:r>
            <w:r w:rsidRPr="00532F3A">
              <w:rPr>
                <w:rFonts w:ascii="Times New Roman" w:hAnsi="Times New Roman"/>
              </w:rPr>
              <w:t>4</w:t>
            </w:r>
            <w:r>
              <w:rPr>
                <w:rFonts w:ascii="Times New Roman" w:hAnsi="Times New Roman"/>
              </w:rPr>
              <w:t xml:space="preserve"> Absatz </w:t>
            </w:r>
            <w:r w:rsidRPr="00532F3A">
              <w:rPr>
                <w:rFonts w:ascii="Times New Roman" w:hAnsi="Times New Roman"/>
              </w:rPr>
              <w:t>1</w:t>
            </w:r>
            <w:r>
              <w:rPr>
                <w:rFonts w:ascii="Times New Roman" w:hAnsi="Times New Roman"/>
              </w:rPr>
              <w:t xml:space="preserve"> Nummer </w:t>
            </w:r>
            <w:r w:rsidRPr="00532F3A">
              <w:rPr>
                <w:rFonts w:ascii="Times New Roman" w:hAnsi="Times New Roman"/>
              </w:rPr>
              <w:t>77</w:t>
            </w:r>
            <w:r>
              <w:rPr>
                <w:rFonts w:ascii="Times New Roman" w:hAnsi="Times New Roman"/>
              </w:rPr>
              <w:t xml:space="preserve"> CRR</w:t>
            </w:r>
          </w:p>
          <w:p w:rsidR="00410E47" w:rsidRPr="00FE002E" w:rsidRDefault="00410E47" w:rsidP="007E2A41">
            <w:pPr>
              <w:pStyle w:val="BodyText1"/>
              <w:spacing w:line="240" w:lineRule="auto"/>
              <w:rPr>
                <w:rFonts w:ascii="Times New Roman" w:hAnsi="Times New Roman"/>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Der nach dem geltenden Rechnungslegungsrahmen ermittelte Bilanzwert für Kreditderivate, wenn das Institut von einer Gegenpartei eine Kreditbesicherung erwirbt und das Geschäft in der Bilanz erfasst wird.</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Die Institute berücksichtigen alle Kreditderivate, nicht nur die, die dem Handelsbuch zugeordnet sind.</w:t>
            </w:r>
          </w:p>
          <w:p w:rsidR="00410E47" w:rsidRPr="00FE002E" w:rsidRDefault="00410E47" w:rsidP="007E2A41">
            <w:pPr>
              <w:pStyle w:val="BodyText1"/>
              <w:spacing w:line="240" w:lineRule="auto"/>
              <w:rPr>
                <w:rFonts w:ascii="Times New Roman" w:hAnsi="Times New Roman"/>
                <w:b/>
                <w:bCs/>
                <w:u w:val="single"/>
              </w:rPr>
            </w:pPr>
            <w:r>
              <w:rPr>
                <w:rFonts w:ascii="Times New Roman" w:hAnsi="Times New Roman"/>
                <w:b/>
                <w:u w:val="single"/>
              </w:rPr>
              <w:t xml:space="preserve"> </w:t>
            </w: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w:t>
            </w:r>
            <w:r w:rsidRPr="00532F3A">
              <w:rPr>
                <w:rFonts w:ascii="Times New Roman" w:hAnsi="Times New Roman"/>
              </w:rPr>
              <w:t>050</w:t>
            </w:r>
            <w:r>
              <w:rPr>
                <w:rFonts w:ascii="Times New Roman" w:hAnsi="Times New Roman"/>
              </w:rPr>
              <w:t>;</w:t>
            </w:r>
            <w:r w:rsidRPr="00532F3A">
              <w:rPr>
                <w:rFonts w:ascii="Times New Roman" w:hAnsi="Times New Roman"/>
              </w:rPr>
              <w:t>020</w:t>
            </w:r>
            <w:r>
              <w:rPr>
                <w:rFonts w:ascii="Times New Roman" w:hAnsi="Times New Roman"/>
              </w:rPr>
              <w:t>}</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Kreditderivate (Besicherung erworben) — Buchwert unter der Annahme: kein Netting oder andere Kreditrisikominderung (CRM)</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Artikel </w:t>
            </w:r>
            <w:r w:rsidRPr="00532F3A">
              <w:rPr>
                <w:rFonts w:ascii="Times New Roman" w:hAnsi="Times New Roman"/>
              </w:rPr>
              <w:t>4</w:t>
            </w:r>
            <w:r>
              <w:rPr>
                <w:rFonts w:ascii="Times New Roman" w:hAnsi="Times New Roman"/>
              </w:rPr>
              <w:t xml:space="preserve"> Absatz </w:t>
            </w:r>
            <w:r w:rsidRPr="00532F3A">
              <w:rPr>
                <w:rFonts w:ascii="Times New Roman" w:hAnsi="Times New Roman"/>
              </w:rPr>
              <w:t>1</w:t>
            </w:r>
            <w:r>
              <w:rPr>
                <w:rFonts w:ascii="Times New Roman" w:hAnsi="Times New Roman"/>
              </w:rPr>
              <w:t xml:space="preserve"> Nummer </w:t>
            </w:r>
            <w:r w:rsidRPr="00532F3A">
              <w:rPr>
                <w:rFonts w:ascii="Times New Roman" w:hAnsi="Times New Roman"/>
              </w:rPr>
              <w:t>77</w:t>
            </w:r>
            <w:r>
              <w:rPr>
                <w:rFonts w:ascii="Times New Roman" w:hAnsi="Times New Roman"/>
              </w:rPr>
              <w:t xml:space="preserve"> CRR</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Der nach dem geltenden Rechnungslegungsrahmen ermittelte Bilanzwert von Kreditderivaten, wenn das Institut von einer Gegenpartei eine Kreditbesicherung erwirbt und das Geschäft in der Bilanz erfasst wird, in der Annahme, dass es keine aufsichtlichen oder Bilanzierungs-Netting- oder CRM-Effekte gibt (d. h. die Bilanzierungs-Netting- oder CRM-Effekte in Bezug auf den Bilanzwert werden zurückgenommen).</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Die Institute berücksichtigen alle Kreditderivate, nicht nur die, die dem Handelsbuch zugeordnet sind.</w:t>
            </w:r>
          </w:p>
          <w:p w:rsidR="00410E47" w:rsidRPr="00FE002E" w:rsidRDefault="00410E47" w:rsidP="007E2A41">
            <w:pPr>
              <w:pStyle w:val="BodyText1"/>
              <w:spacing w:line="240" w:lineRule="auto"/>
              <w:rPr>
                <w:rFonts w:ascii="Times New Roman" w:hAnsi="Times New Roman"/>
                <w:b/>
                <w:bCs/>
                <w:u w:val="single"/>
              </w:rPr>
            </w:pPr>
            <w:r>
              <w:rPr>
                <w:rFonts w:ascii="Times New Roman" w:hAnsi="Times New Roman"/>
                <w:b/>
                <w:u w:val="single"/>
              </w:rPr>
              <w:t xml:space="preserve"> </w:t>
            </w: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w:t>
            </w:r>
            <w:r w:rsidRPr="00532F3A">
              <w:rPr>
                <w:rFonts w:ascii="Times New Roman" w:hAnsi="Times New Roman"/>
              </w:rPr>
              <w:t>050</w:t>
            </w:r>
            <w:r>
              <w:rPr>
                <w:rFonts w:ascii="Times New Roman" w:hAnsi="Times New Roman"/>
              </w:rPr>
              <w:t>;</w:t>
            </w:r>
            <w:r w:rsidRPr="00532F3A">
              <w:rPr>
                <w:rFonts w:ascii="Times New Roman" w:hAnsi="Times New Roman"/>
              </w:rPr>
              <w:t>050</w:t>
            </w:r>
            <w:r>
              <w:rPr>
                <w:rFonts w:ascii="Times New Roman" w:hAnsi="Times New Roman"/>
              </w:rPr>
              <w:t>}</w:t>
            </w:r>
          </w:p>
          <w:p w:rsidR="00410E47" w:rsidRPr="00FE002E" w:rsidRDefault="00410E47" w:rsidP="00F4754B">
            <w:pPr>
              <w:pStyle w:val="BodyText1"/>
              <w:rPr>
                <w:rFonts w:ascii="Times New Roman" w:hAnsi="Times New Roman"/>
                <w:bCs/>
              </w:rPr>
            </w:pP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Kreditderivate (Besicherung erworben) — Aufschlag nach der Marktbewertungsmethode (unter der Annahme: kein Netting oder andere Kreditrisikominderung (CRM))</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Artikel </w:t>
            </w:r>
            <w:r w:rsidRPr="00532F3A">
              <w:rPr>
                <w:rFonts w:ascii="Times New Roman" w:hAnsi="Times New Roman"/>
              </w:rPr>
              <w:t>299</w:t>
            </w:r>
            <w:r>
              <w:rPr>
                <w:rFonts w:ascii="Times New Roman" w:hAnsi="Times New Roman"/>
              </w:rPr>
              <w:t xml:space="preserve"> Absatz </w:t>
            </w:r>
            <w:r w:rsidRPr="00532F3A">
              <w:rPr>
                <w:rFonts w:ascii="Times New Roman" w:hAnsi="Times New Roman"/>
              </w:rPr>
              <w:t>2</w:t>
            </w:r>
            <w:r>
              <w:rPr>
                <w:rFonts w:ascii="Times New Roman" w:hAnsi="Times New Roman"/>
              </w:rPr>
              <w:t xml:space="preserve"> CRR</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In diesem Feld ist die mögliche künftige Risikoposition von Kreditderivaten anzugeben, wenn das Institut von einer Gegenpartei eine Kreditbesicherung erwirbt, in der Annahme, dass kein Netting und keine andere CRM erfolgt.</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Die Institute berücksichtigen alle Kreditderivate, nicht nur die, die dem Handelsbuch zugeordnet sind.</w:t>
            </w:r>
          </w:p>
          <w:p w:rsidR="00410E47" w:rsidRPr="00FE002E" w:rsidRDefault="00410E47" w:rsidP="007E2A41">
            <w:pPr>
              <w:pStyle w:val="BodyText1"/>
              <w:spacing w:line="240" w:lineRule="auto"/>
              <w:rPr>
                <w:rFonts w:ascii="Times New Roman" w:hAnsi="Times New Roman"/>
                <w:b/>
                <w:bCs/>
                <w:u w:val="single"/>
              </w:rPr>
            </w:pPr>
            <w:r>
              <w:rPr>
                <w:rFonts w:ascii="Times New Roman" w:hAnsi="Times New Roman"/>
                <w:b/>
                <w:u w:val="single"/>
              </w:rPr>
              <w:t xml:space="preserve"> </w:t>
            </w: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w:t>
            </w:r>
            <w:r w:rsidRPr="00532F3A">
              <w:rPr>
                <w:rFonts w:ascii="Times New Roman" w:hAnsi="Times New Roman"/>
              </w:rPr>
              <w:t>050</w:t>
            </w:r>
            <w:r>
              <w:rPr>
                <w:rFonts w:ascii="Times New Roman" w:hAnsi="Times New Roman"/>
              </w:rPr>
              <w:t>;</w:t>
            </w:r>
            <w:r w:rsidRPr="00532F3A">
              <w:rPr>
                <w:rFonts w:ascii="Times New Roman" w:hAnsi="Times New Roman"/>
              </w:rPr>
              <w:t>070</w:t>
            </w:r>
            <w:r>
              <w:rPr>
                <w:rFonts w:ascii="Times New Roman" w:hAnsi="Times New Roman"/>
              </w:rPr>
              <w:t>}</w:t>
            </w:r>
          </w:p>
          <w:p w:rsidR="00410E47" w:rsidRPr="00FE002E" w:rsidRDefault="00410E47" w:rsidP="00F4754B">
            <w:pPr>
              <w:pStyle w:val="BodyText1"/>
              <w:rPr>
                <w:rFonts w:ascii="Times New Roman" w:hAnsi="Times New Roman"/>
                <w:bCs/>
              </w:rPr>
            </w:pP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Kreditderivate (Besicherung erworben) — Nominalbetrag</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In diesem Feld ist der durch Kreditderivate referenzierte Nominalbetrag anzugeben, wenn das Institut von einer Gegenpartei eine Kreditbesicherung erwirbt. </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Die Institute berücksichtigen alle Kreditderivate, nicht nur die, die dem Handelsbuch zugeordnet sind.</w:t>
            </w:r>
          </w:p>
          <w:p w:rsidR="00410E47" w:rsidRPr="00FE002E" w:rsidRDefault="00410E47" w:rsidP="007E2A41">
            <w:pPr>
              <w:pStyle w:val="BodyText1"/>
              <w:spacing w:line="240" w:lineRule="auto"/>
              <w:rPr>
                <w:rFonts w:ascii="Times New Roman" w:hAnsi="Times New Roman"/>
                <w:b/>
                <w:bCs/>
                <w:u w:val="single"/>
              </w:rPr>
            </w:pPr>
            <w:r>
              <w:rPr>
                <w:rFonts w:ascii="Times New Roman" w:hAnsi="Times New Roman"/>
                <w:b/>
                <w:u w:val="single"/>
              </w:rPr>
              <w:t xml:space="preserve"> </w:t>
            </w:r>
          </w:p>
        </w:tc>
      </w:tr>
      <w:tr w:rsidR="00410E47" w:rsidRPr="00FE002E" w:rsidTr="00FC2664">
        <w:tc>
          <w:tcPr>
            <w:tcW w:w="1418" w:type="dxa"/>
          </w:tcPr>
          <w:p w:rsidR="00410E47" w:rsidRPr="00FE002E" w:rsidRDefault="00410E47" w:rsidP="00F71081">
            <w:pPr>
              <w:pStyle w:val="BodyText1"/>
              <w:rPr>
                <w:rFonts w:ascii="Times New Roman" w:hAnsi="Times New Roman"/>
                <w:bCs/>
              </w:rPr>
            </w:pPr>
            <w:r>
              <w:rPr>
                <w:rFonts w:ascii="Times New Roman" w:hAnsi="Times New Roman"/>
              </w:rPr>
              <w:t>{</w:t>
            </w:r>
            <w:r w:rsidRPr="00532F3A">
              <w:rPr>
                <w:rFonts w:ascii="Times New Roman" w:hAnsi="Times New Roman"/>
              </w:rPr>
              <w:t>050</w:t>
            </w:r>
            <w:r>
              <w:rPr>
                <w:rFonts w:ascii="Times New Roman" w:hAnsi="Times New Roman"/>
              </w:rPr>
              <w:t>;</w:t>
            </w:r>
            <w:r w:rsidRPr="00532F3A">
              <w:rPr>
                <w:rFonts w:ascii="Times New Roman" w:hAnsi="Times New Roman"/>
              </w:rPr>
              <w:t>075</w:t>
            </w:r>
            <w:r>
              <w:rPr>
                <w:rFonts w:ascii="Times New Roman" w:hAnsi="Times New Roman"/>
              </w:rPr>
              <w:t>}</w:t>
            </w:r>
          </w:p>
        </w:tc>
        <w:tc>
          <w:tcPr>
            <w:tcW w:w="7620" w:type="dxa"/>
          </w:tcPr>
          <w:p w:rsidR="00410E47" w:rsidRDefault="00410E47" w:rsidP="007E2A41">
            <w:pPr>
              <w:pStyle w:val="BodyText1"/>
              <w:spacing w:line="240" w:lineRule="auto"/>
              <w:rPr>
                <w:rFonts w:ascii="Times New Roman" w:hAnsi="Times New Roman"/>
                <w:b/>
                <w:bCs/>
              </w:rPr>
            </w:pPr>
            <w:r>
              <w:rPr>
                <w:rFonts w:ascii="Times New Roman" w:hAnsi="Times New Roman"/>
                <w:b/>
              </w:rPr>
              <w:t>Kreditderivate (Besicherung erworben) — Gedeckelter Nominalbetrag</w:t>
            </w:r>
          </w:p>
          <w:p w:rsidR="00410E47" w:rsidRDefault="00410E47" w:rsidP="007E2A41">
            <w:pPr>
              <w:pStyle w:val="BodyText1"/>
              <w:spacing w:line="240" w:lineRule="auto"/>
              <w:rPr>
                <w:rFonts w:ascii="Times New Roman" w:hAnsi="Times New Roman"/>
                <w:b/>
                <w:bCs/>
              </w:rPr>
            </w:pPr>
          </w:p>
          <w:p w:rsidR="00410E47" w:rsidRPr="00FE002E" w:rsidRDefault="00410E47" w:rsidP="00410E47">
            <w:pPr>
              <w:pStyle w:val="BodyText1"/>
              <w:spacing w:line="240" w:lineRule="auto"/>
              <w:rPr>
                <w:rFonts w:ascii="Times New Roman" w:hAnsi="Times New Roman"/>
                <w:bCs/>
              </w:rPr>
            </w:pPr>
            <w:r>
              <w:rPr>
                <w:rFonts w:ascii="Times New Roman" w:hAnsi="Times New Roman"/>
              </w:rPr>
              <w:t>In diesem Feld wird der durch Kreditderivate (Besicherung erworben) referenzierte Nominalbetrag wie in {</w:t>
            </w:r>
            <w:r w:rsidRPr="00532F3A">
              <w:rPr>
                <w:rFonts w:ascii="Times New Roman" w:hAnsi="Times New Roman"/>
              </w:rPr>
              <w:t>050</w:t>
            </w:r>
            <w:r>
              <w:rPr>
                <w:rFonts w:ascii="Times New Roman" w:hAnsi="Times New Roman"/>
              </w:rPr>
              <w:t>;</w:t>
            </w:r>
            <w:r w:rsidRPr="00532F3A">
              <w:rPr>
                <w:rFonts w:ascii="Times New Roman" w:hAnsi="Times New Roman"/>
              </w:rPr>
              <w:t>050</w:t>
            </w:r>
            <w:r>
              <w:rPr>
                <w:rFonts w:ascii="Times New Roman" w:hAnsi="Times New Roman"/>
              </w:rPr>
              <w:t>} abzüglich etwaiger Veränderungen des positiven Zeitwerts, die in das Kernkapital in Bezug auf die erworbenen Kreditderivate aufgenommen wurden, angegeben.</w:t>
            </w:r>
          </w:p>
          <w:p w:rsidR="00410E47" w:rsidRPr="00FE002E" w:rsidRDefault="00410E47" w:rsidP="007E2A41">
            <w:pPr>
              <w:pStyle w:val="BodyText1"/>
              <w:spacing w:line="240" w:lineRule="auto"/>
              <w:rPr>
                <w:rFonts w:ascii="Times New Roman" w:hAnsi="Times New Roman"/>
                <w:b/>
                <w:bCs/>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w:t>
            </w:r>
            <w:r w:rsidRPr="00532F3A">
              <w:rPr>
                <w:rFonts w:ascii="Times New Roman" w:hAnsi="Times New Roman"/>
              </w:rPr>
              <w:t>050</w:t>
            </w:r>
            <w:r>
              <w:rPr>
                <w:rFonts w:ascii="Times New Roman" w:hAnsi="Times New Roman"/>
              </w:rPr>
              <w:t>;</w:t>
            </w:r>
            <w:r w:rsidRPr="00532F3A">
              <w:rPr>
                <w:rFonts w:ascii="Times New Roman" w:hAnsi="Times New Roman"/>
              </w:rPr>
              <w:t>085</w:t>
            </w:r>
            <w:r>
              <w:rPr>
                <w:rFonts w:ascii="Times New Roman" w:hAnsi="Times New Roman"/>
              </w:rPr>
              <w:t>}</w:t>
            </w:r>
          </w:p>
          <w:p w:rsidR="00410E47" w:rsidRPr="00FE002E" w:rsidRDefault="00410E47" w:rsidP="00F4754B">
            <w:pPr>
              <w:pStyle w:val="BodyText1"/>
              <w:rPr>
                <w:rFonts w:ascii="Times New Roman" w:hAnsi="Times New Roman"/>
                <w:bCs/>
              </w:rPr>
            </w:pPr>
          </w:p>
        </w:tc>
        <w:tc>
          <w:tcPr>
            <w:tcW w:w="7620" w:type="dxa"/>
          </w:tcPr>
          <w:p w:rsidR="00410E47" w:rsidRPr="00FE002E" w:rsidRDefault="00ED7412" w:rsidP="007E2A41">
            <w:pPr>
              <w:pStyle w:val="BodyText1"/>
              <w:spacing w:line="240" w:lineRule="auto"/>
              <w:rPr>
                <w:rFonts w:ascii="Times New Roman" w:hAnsi="Times New Roman"/>
                <w:b/>
                <w:bCs/>
              </w:rPr>
            </w:pPr>
            <w:r>
              <w:rPr>
                <w:rFonts w:ascii="Times New Roman" w:hAnsi="Times New Roman"/>
                <w:b/>
              </w:rPr>
              <w:t>Kreditderivate (Besicherung erworben) — Gedeckelter Nominalbetrag (selbe Referenzadresse)</w:t>
            </w:r>
          </w:p>
          <w:p w:rsidR="00410E47" w:rsidRPr="00FE002E" w:rsidRDefault="00410E47" w:rsidP="007E2A41">
            <w:pPr>
              <w:pStyle w:val="BodyText1"/>
              <w:spacing w:line="240" w:lineRule="auto"/>
              <w:rPr>
                <w:rFonts w:ascii="Times New Roman" w:hAnsi="Times New Roman"/>
                <w:b/>
                <w:bCs/>
                <w:u w:val="single"/>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Der durch Kreditderivate referenzierte Nominalbetrag, wenn das Institut eine </w:t>
            </w:r>
            <w:r>
              <w:rPr>
                <w:rFonts w:ascii="Times New Roman" w:hAnsi="Times New Roman"/>
              </w:rPr>
              <w:lastRenderedPageBreak/>
              <w:t>Kreditbesicherung auf dieselbe Basiswert-Referenzadresse erwirbt wie die vom berichtenden Institut ausgestellten Derivate.</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Bei der Ausfüllung dieses Felds wird davon ausgegangen, dass es sich bei Basiswert-Referenzadressen, die sich auf denselben Rechtsträger und dieselbe Rangstufe beziehen, um dieselben handelt. </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Eine auf einen Pool von Referenzadressen erworbene Kreditbesicherung gilt als Kreditbesicherung auf dieselbe Adresse, wenn sie dem separaten Erwerb von Besicherungen für jede der im Pool enthaltenen einzelnen Adressen wirtschaftlich gleichwertig ist.</w:t>
            </w:r>
          </w:p>
          <w:p w:rsidR="00410E47" w:rsidRPr="00FE002E" w:rsidRDefault="00410E47" w:rsidP="007E2A41">
            <w:pPr>
              <w:pStyle w:val="BodyText1"/>
              <w:spacing w:line="240" w:lineRule="auto"/>
              <w:rPr>
                <w:rFonts w:ascii="Times New Roman" w:hAnsi="Times New Roman"/>
                <w:bCs/>
              </w:rPr>
            </w:pPr>
          </w:p>
          <w:p w:rsidR="00410E47" w:rsidRDefault="00410E47" w:rsidP="007E2A41">
            <w:pPr>
              <w:pStyle w:val="BodyText1"/>
              <w:spacing w:line="240" w:lineRule="auto"/>
              <w:rPr>
                <w:rFonts w:ascii="Times New Roman" w:hAnsi="Times New Roman"/>
                <w:bCs/>
              </w:rPr>
            </w:pPr>
            <w:r>
              <w:rPr>
                <w:rFonts w:ascii="Times New Roman" w:hAnsi="Times New Roman"/>
              </w:rPr>
              <w:t xml:space="preserve">Wenn ein Institut eine Kreditbesicherung auf einen Pool von Referenzadressen erwirbt, gilt diese Kreditbesicherung nur dann als Kreditbesicherung auf dieselbe Adresse, wenn die erworbene Kreditbesicherung die Gesamtheit der Untergruppen des Pools abdeckt, auf den die Kreditbesicherung veräußert wurde. Anders ausgedrückt: eine Aufrechnung kann nur dann ausgewiesen werden, wenn der Pool der Referenzadressen und die Position in der Rangfolge bei beiden Geschäften identisch sind. </w:t>
            </w:r>
          </w:p>
          <w:p w:rsidR="006B3B83" w:rsidRPr="00FE002E" w:rsidRDefault="006B3B83"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Bei keiner Referenzadresse dürfen die Nominalbeträge der erworbenen Kreditbesicherung, die in diesem Feld zu berücksichtigen sind, die in {</w:t>
            </w:r>
            <w:r w:rsidRPr="00532F3A">
              <w:rPr>
                <w:rFonts w:ascii="Times New Roman" w:hAnsi="Times New Roman"/>
              </w:rPr>
              <w:t>020</w:t>
            </w:r>
            <w:r>
              <w:rPr>
                <w:rFonts w:ascii="Times New Roman" w:hAnsi="Times New Roman"/>
              </w:rPr>
              <w:t>;</w:t>
            </w:r>
            <w:r w:rsidRPr="00532F3A">
              <w:rPr>
                <w:rFonts w:ascii="Times New Roman" w:hAnsi="Times New Roman"/>
              </w:rPr>
              <w:t>075</w:t>
            </w:r>
            <w:r>
              <w:rPr>
                <w:rFonts w:ascii="Times New Roman" w:hAnsi="Times New Roman"/>
              </w:rPr>
              <w:t>} und {</w:t>
            </w:r>
            <w:r w:rsidRPr="00532F3A">
              <w:rPr>
                <w:rFonts w:ascii="Times New Roman" w:hAnsi="Times New Roman"/>
              </w:rPr>
              <w:t>050</w:t>
            </w:r>
            <w:r>
              <w:rPr>
                <w:rFonts w:ascii="Times New Roman" w:hAnsi="Times New Roman"/>
              </w:rPr>
              <w:t>;</w:t>
            </w:r>
            <w:r w:rsidRPr="00532F3A">
              <w:rPr>
                <w:rFonts w:ascii="Times New Roman" w:hAnsi="Times New Roman"/>
              </w:rPr>
              <w:t>075</w:t>
            </w:r>
            <w:r>
              <w:rPr>
                <w:rFonts w:ascii="Times New Roman" w:hAnsi="Times New Roman"/>
              </w:rPr>
              <w:t>} angegebenen Beträge übersteigen.</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lastRenderedPageBreak/>
              <w:t>{</w:t>
            </w:r>
            <w:r w:rsidRPr="00532F3A">
              <w:rPr>
                <w:rFonts w:ascii="Times New Roman" w:hAnsi="Times New Roman"/>
              </w:rPr>
              <w:t>060</w:t>
            </w:r>
            <w:r>
              <w:rPr>
                <w:rFonts w:ascii="Times New Roman" w:hAnsi="Times New Roman"/>
              </w:rPr>
              <w:t>;</w:t>
            </w:r>
            <w:r w:rsidRPr="00532F3A">
              <w:rPr>
                <w:rFonts w:ascii="Times New Roman" w:hAnsi="Times New Roman"/>
              </w:rPr>
              <w:t>010</w:t>
            </w:r>
            <w:r>
              <w:rPr>
                <w:rFonts w:ascii="Times New Roman" w:hAnsi="Times New Roman"/>
              </w:rPr>
              <w:t>}</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Finanzderivate — Bilanzwert</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Artikel </w:t>
            </w:r>
            <w:r w:rsidRPr="00532F3A">
              <w:rPr>
                <w:rFonts w:ascii="Times New Roman" w:hAnsi="Times New Roman"/>
              </w:rPr>
              <w:t>4</w:t>
            </w:r>
            <w:r>
              <w:rPr>
                <w:rFonts w:ascii="Times New Roman" w:hAnsi="Times New Roman"/>
              </w:rPr>
              <w:t xml:space="preserve"> Absatz </w:t>
            </w:r>
            <w:r w:rsidRPr="00532F3A">
              <w:rPr>
                <w:rFonts w:ascii="Times New Roman" w:hAnsi="Times New Roman"/>
              </w:rPr>
              <w:t>1</w:t>
            </w:r>
            <w:r>
              <w:rPr>
                <w:rFonts w:ascii="Times New Roman" w:hAnsi="Times New Roman"/>
              </w:rPr>
              <w:t xml:space="preserve"> Nummer </w:t>
            </w:r>
            <w:r w:rsidRPr="00532F3A">
              <w:rPr>
                <w:rFonts w:ascii="Times New Roman" w:hAnsi="Times New Roman"/>
              </w:rPr>
              <w:t>77</w:t>
            </w:r>
            <w:r>
              <w:rPr>
                <w:rFonts w:ascii="Times New Roman" w:hAnsi="Times New Roman"/>
              </w:rPr>
              <w:t xml:space="preserve"> CRR</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Der nach dem geltenden Rechnungslegungsrahmen ermittelte Bilanzwert für die in Anhang II CRR aufgeführten Geschäfte, wenn die Geschäfte als Aktiva in der Bilanz erfasst sind.</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w:t>
            </w:r>
            <w:r w:rsidRPr="00532F3A">
              <w:rPr>
                <w:rFonts w:ascii="Times New Roman" w:hAnsi="Times New Roman"/>
              </w:rPr>
              <w:t>060</w:t>
            </w:r>
            <w:r>
              <w:rPr>
                <w:rFonts w:ascii="Times New Roman" w:hAnsi="Times New Roman"/>
              </w:rPr>
              <w:t>;</w:t>
            </w:r>
            <w:r w:rsidRPr="00532F3A">
              <w:rPr>
                <w:rFonts w:ascii="Times New Roman" w:hAnsi="Times New Roman"/>
              </w:rPr>
              <w:t>020</w:t>
            </w:r>
            <w:r>
              <w:rPr>
                <w:rFonts w:ascii="Times New Roman" w:hAnsi="Times New Roman"/>
              </w:rPr>
              <w:t>}</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Finanzderivate — Buchwert unter der Annahme: kein Netting oder andere Kreditrisikominderung (CRM)</w:t>
            </w:r>
          </w:p>
          <w:p w:rsidR="00410E47" w:rsidRPr="00FE002E" w:rsidRDefault="00410E47" w:rsidP="006162F0">
            <w:pPr>
              <w:pStyle w:val="BodyText1"/>
              <w:spacing w:line="240" w:lineRule="auto"/>
              <w:ind w:firstLine="720"/>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Artikel </w:t>
            </w:r>
            <w:r w:rsidRPr="00532F3A">
              <w:rPr>
                <w:rFonts w:ascii="Times New Roman" w:hAnsi="Times New Roman"/>
              </w:rPr>
              <w:t>4</w:t>
            </w:r>
            <w:r>
              <w:rPr>
                <w:rFonts w:ascii="Times New Roman" w:hAnsi="Times New Roman"/>
              </w:rPr>
              <w:t xml:space="preserve"> Absatz </w:t>
            </w:r>
            <w:r w:rsidRPr="00532F3A">
              <w:rPr>
                <w:rFonts w:ascii="Times New Roman" w:hAnsi="Times New Roman"/>
              </w:rPr>
              <w:t>1</w:t>
            </w:r>
            <w:r>
              <w:rPr>
                <w:rFonts w:ascii="Times New Roman" w:hAnsi="Times New Roman"/>
              </w:rPr>
              <w:t xml:space="preserve"> Nummer </w:t>
            </w:r>
            <w:r w:rsidRPr="00532F3A">
              <w:rPr>
                <w:rFonts w:ascii="Times New Roman" w:hAnsi="Times New Roman"/>
              </w:rPr>
              <w:t>77</w:t>
            </w:r>
            <w:r>
              <w:rPr>
                <w:rFonts w:ascii="Times New Roman" w:hAnsi="Times New Roman"/>
              </w:rPr>
              <w:t xml:space="preserve"> CRR</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Der nach dem geltenden Rechnungslegungsrahmen ermittelte Bilanzwert für die in Anhang II CRR aufgeführten Geschäfte, wenn die Geschäfte ohne Annahme von aufsichtlichen oder Bilanzierungs-Netting- oder anderen CRM-Effekten als Aktiva in der Bilanz erfasst sind (d. h. die Bilanzierungs-Netting- oder CRM-Effekte in Bezug auf den Bilanzwert werden zurückgenommen).</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w:t>
            </w:r>
            <w:r w:rsidRPr="00532F3A">
              <w:rPr>
                <w:rFonts w:ascii="Times New Roman" w:hAnsi="Times New Roman"/>
              </w:rPr>
              <w:t>060</w:t>
            </w:r>
            <w:r>
              <w:rPr>
                <w:rFonts w:ascii="Times New Roman" w:hAnsi="Times New Roman"/>
              </w:rPr>
              <w:t>;</w:t>
            </w:r>
            <w:r w:rsidRPr="00532F3A">
              <w:rPr>
                <w:rFonts w:ascii="Times New Roman" w:hAnsi="Times New Roman"/>
              </w:rPr>
              <w:t>050</w:t>
            </w:r>
            <w:r>
              <w:rPr>
                <w:rFonts w:ascii="Times New Roman" w:hAnsi="Times New Roman"/>
              </w:rPr>
              <w:t>}</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Finanzderivate — Aufschlag nach der Marktbewertungsmethode (unter der Annahme: kein Netting oder andere Kreditrisikominderung (CRM))</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Artikel </w:t>
            </w:r>
            <w:r w:rsidRPr="00532F3A">
              <w:rPr>
                <w:rFonts w:ascii="Times New Roman" w:hAnsi="Times New Roman"/>
              </w:rPr>
              <w:t>274</w:t>
            </w:r>
            <w:r>
              <w:rPr>
                <w:rFonts w:ascii="Times New Roman" w:hAnsi="Times New Roman"/>
              </w:rPr>
              <w:t xml:space="preserve"> CRR</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In diesem Feld ist die mögliche künftige aufsichtliche Risikoposition der in Anhang II CRR aufgeführten Geschäfte anzugeben, in der Annahme, dass kein Netting und keine andere CRM erfolgt.</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1081">
            <w:pPr>
              <w:pStyle w:val="BodyText1"/>
              <w:rPr>
                <w:rFonts w:ascii="Times New Roman" w:hAnsi="Times New Roman"/>
                <w:bCs/>
              </w:rPr>
            </w:pPr>
            <w:r>
              <w:rPr>
                <w:rFonts w:ascii="Times New Roman" w:hAnsi="Times New Roman"/>
              </w:rPr>
              <w:t>{</w:t>
            </w:r>
            <w:r w:rsidRPr="00532F3A">
              <w:rPr>
                <w:rFonts w:ascii="Times New Roman" w:hAnsi="Times New Roman"/>
              </w:rPr>
              <w:t>060</w:t>
            </w:r>
            <w:r>
              <w:rPr>
                <w:rFonts w:ascii="Times New Roman" w:hAnsi="Times New Roman"/>
              </w:rPr>
              <w:t>;</w:t>
            </w:r>
            <w:r w:rsidRPr="00532F3A">
              <w:rPr>
                <w:rFonts w:ascii="Times New Roman" w:hAnsi="Times New Roman"/>
              </w:rPr>
              <w:t>070</w:t>
            </w:r>
            <w:r>
              <w:rPr>
                <w:rFonts w:ascii="Times New Roman" w:hAnsi="Times New Roman"/>
              </w:rPr>
              <w:t>}</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Finanzderivate — Nominalbetrag</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In diesem Feld ist der durch in Anhang II CRR aufgeführte Geschäfte referenzierte Nominalbetrag anzugeben.</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w:t>
            </w:r>
            <w:r w:rsidRPr="00532F3A">
              <w:rPr>
                <w:rFonts w:ascii="Times New Roman" w:hAnsi="Times New Roman"/>
              </w:rPr>
              <w:t>070</w:t>
            </w:r>
            <w:r>
              <w:rPr>
                <w:rFonts w:ascii="Times New Roman" w:hAnsi="Times New Roman"/>
              </w:rPr>
              <w:t>;</w:t>
            </w:r>
            <w:r w:rsidRPr="00532F3A">
              <w:rPr>
                <w:rFonts w:ascii="Times New Roman" w:hAnsi="Times New Roman"/>
              </w:rPr>
              <w:t>010</w:t>
            </w:r>
            <w:r>
              <w:rPr>
                <w:rFonts w:ascii="Times New Roman" w:hAnsi="Times New Roman"/>
              </w:rPr>
              <w:t>}</w:t>
            </w:r>
          </w:p>
        </w:tc>
        <w:tc>
          <w:tcPr>
            <w:tcW w:w="7620" w:type="dxa"/>
          </w:tcPr>
          <w:p w:rsidR="00410E47" w:rsidRPr="00FE002E" w:rsidRDefault="00A36A43" w:rsidP="007E2A41">
            <w:pPr>
              <w:pStyle w:val="BodyText1"/>
              <w:spacing w:line="240" w:lineRule="auto"/>
              <w:rPr>
                <w:rFonts w:ascii="Times New Roman" w:hAnsi="Times New Roman"/>
                <w:b/>
                <w:bCs/>
              </w:rPr>
            </w:pPr>
            <w:r>
              <w:rPr>
                <w:rFonts w:ascii="Times New Roman" w:hAnsi="Times New Roman"/>
                <w:b/>
              </w:rPr>
              <w:t>Von einer Netting-Rahmenvereinbarung abgedeckte SFTs — Bilanzwert</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Artikel </w:t>
            </w:r>
            <w:r w:rsidRPr="00532F3A">
              <w:rPr>
                <w:rFonts w:ascii="Times New Roman" w:hAnsi="Times New Roman"/>
              </w:rPr>
              <w:t>4</w:t>
            </w:r>
            <w:r>
              <w:rPr>
                <w:rFonts w:ascii="Times New Roman" w:hAnsi="Times New Roman"/>
              </w:rPr>
              <w:t xml:space="preserve"> Absatz </w:t>
            </w:r>
            <w:r w:rsidRPr="00532F3A">
              <w:rPr>
                <w:rFonts w:ascii="Times New Roman" w:hAnsi="Times New Roman"/>
              </w:rPr>
              <w:t>1</w:t>
            </w:r>
            <w:r>
              <w:rPr>
                <w:rFonts w:ascii="Times New Roman" w:hAnsi="Times New Roman"/>
              </w:rPr>
              <w:t xml:space="preserve"> Nummer </w:t>
            </w:r>
            <w:r w:rsidRPr="00532F3A">
              <w:rPr>
                <w:rFonts w:ascii="Times New Roman" w:hAnsi="Times New Roman"/>
              </w:rPr>
              <w:t>77</w:t>
            </w:r>
            <w:r>
              <w:rPr>
                <w:rFonts w:ascii="Times New Roman" w:hAnsi="Times New Roman"/>
              </w:rPr>
              <w:t xml:space="preserve"> und Artikel </w:t>
            </w:r>
            <w:r w:rsidRPr="00532F3A">
              <w:rPr>
                <w:rFonts w:ascii="Times New Roman" w:hAnsi="Times New Roman"/>
              </w:rPr>
              <w:t>206</w:t>
            </w:r>
            <w:r>
              <w:rPr>
                <w:rFonts w:ascii="Times New Roman" w:hAnsi="Times New Roman"/>
              </w:rPr>
              <w:t xml:space="preserve"> CRR</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lastRenderedPageBreak/>
              <w:t xml:space="preserve">Der Bilanzwert von SFTs gemäß dem geltenden Rechnungslegungsrahmen, die von einer nach Artikel </w:t>
            </w:r>
            <w:r w:rsidRPr="00532F3A">
              <w:rPr>
                <w:rFonts w:ascii="Times New Roman" w:hAnsi="Times New Roman"/>
              </w:rPr>
              <w:t>206</w:t>
            </w:r>
            <w:r>
              <w:rPr>
                <w:rFonts w:ascii="Times New Roman" w:hAnsi="Times New Roman"/>
              </w:rPr>
              <w:t xml:space="preserve"> CRR anerkennungsfähigen Netting-Rahmenvereinbarung abgedeckt sind.</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
                <w:bCs/>
                <w:u w:val="single"/>
              </w:rPr>
            </w:pPr>
            <w:r>
              <w:rPr>
                <w:rFonts w:ascii="Times New Roman" w:hAnsi="Times New Roman"/>
              </w:rPr>
              <w:t>In diesem Feld weisen die Institute keine entgegengenommenen Barmittel oder Sicherheiten aus, die einer Gegenpartei über die vorgenannten Geschäfte zur Verfügung gestellt werden und die weiter in der Bilanz geführt werden (d. h. bei denen die nach dem geltenden Rechnungslegungsrahmen anwendbaren Ausbuchungskriterien nicht erfüllt sind). Diese werden stattdessen in {</w:t>
            </w:r>
            <w:r w:rsidRPr="00532F3A">
              <w:rPr>
                <w:rFonts w:ascii="Times New Roman" w:hAnsi="Times New Roman"/>
              </w:rPr>
              <w:t>090</w:t>
            </w:r>
            <w:r>
              <w:rPr>
                <w:rFonts w:ascii="Times New Roman" w:hAnsi="Times New Roman"/>
              </w:rPr>
              <w:t>,</w:t>
            </w:r>
            <w:r w:rsidRPr="00532F3A">
              <w:rPr>
                <w:rFonts w:ascii="Times New Roman" w:hAnsi="Times New Roman"/>
              </w:rPr>
              <w:t>010</w:t>
            </w:r>
            <w:r>
              <w:rPr>
                <w:rFonts w:ascii="Times New Roman" w:hAnsi="Times New Roman"/>
              </w:rPr>
              <w:t>} ausgewiesen.</w:t>
            </w:r>
            <w:r>
              <w:rPr>
                <w:rFonts w:ascii="Times New Roman" w:hAnsi="Times New Roman"/>
                <w:b/>
                <w:u w:val="single"/>
              </w:rPr>
              <w:t xml:space="preserve"> </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lastRenderedPageBreak/>
              <w:t>{</w:t>
            </w:r>
            <w:r w:rsidRPr="00532F3A">
              <w:rPr>
                <w:rFonts w:ascii="Times New Roman" w:hAnsi="Times New Roman"/>
              </w:rPr>
              <w:t>070</w:t>
            </w:r>
            <w:r>
              <w:rPr>
                <w:rFonts w:ascii="Times New Roman" w:hAnsi="Times New Roman"/>
              </w:rPr>
              <w:t>;</w:t>
            </w:r>
            <w:r w:rsidRPr="00532F3A">
              <w:rPr>
                <w:rFonts w:ascii="Times New Roman" w:hAnsi="Times New Roman"/>
              </w:rPr>
              <w:t>020</w:t>
            </w:r>
            <w:r>
              <w:rPr>
                <w:rFonts w:ascii="Times New Roman" w:hAnsi="Times New Roman"/>
              </w:rPr>
              <w:t>}</w:t>
            </w:r>
          </w:p>
        </w:tc>
        <w:tc>
          <w:tcPr>
            <w:tcW w:w="7620" w:type="dxa"/>
          </w:tcPr>
          <w:p w:rsidR="00410E47" w:rsidRPr="00FE002E" w:rsidRDefault="00A36A43" w:rsidP="007E2A41">
            <w:pPr>
              <w:pStyle w:val="BodyText1"/>
              <w:spacing w:line="240" w:lineRule="auto"/>
              <w:rPr>
                <w:rFonts w:ascii="Times New Roman" w:hAnsi="Times New Roman"/>
                <w:b/>
                <w:bCs/>
              </w:rPr>
            </w:pPr>
            <w:r>
              <w:rPr>
                <w:rFonts w:ascii="Times New Roman" w:hAnsi="Times New Roman"/>
                <w:b/>
              </w:rPr>
              <w:t>Von einer Netting-Rahmenvereinbarung abgedeckte SFTs — Buchwert unter der Annahme: kein Netting oder andere Kreditrisikominderung (CRM)</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Artikel </w:t>
            </w:r>
            <w:r w:rsidRPr="00532F3A">
              <w:rPr>
                <w:rFonts w:ascii="Times New Roman" w:hAnsi="Times New Roman"/>
              </w:rPr>
              <w:t>4</w:t>
            </w:r>
            <w:r>
              <w:rPr>
                <w:rFonts w:ascii="Times New Roman" w:hAnsi="Times New Roman"/>
              </w:rPr>
              <w:t xml:space="preserve"> Nummer </w:t>
            </w:r>
            <w:r w:rsidRPr="00532F3A">
              <w:rPr>
                <w:rFonts w:ascii="Times New Roman" w:hAnsi="Times New Roman"/>
              </w:rPr>
              <w:t>77</w:t>
            </w:r>
            <w:r>
              <w:rPr>
                <w:rFonts w:ascii="Times New Roman" w:hAnsi="Times New Roman"/>
              </w:rPr>
              <w:t xml:space="preserve"> und Artikel </w:t>
            </w:r>
            <w:r w:rsidRPr="00532F3A">
              <w:rPr>
                <w:rFonts w:ascii="Times New Roman" w:hAnsi="Times New Roman"/>
              </w:rPr>
              <w:t>206</w:t>
            </w:r>
            <w:r>
              <w:rPr>
                <w:rFonts w:ascii="Times New Roman" w:hAnsi="Times New Roman"/>
              </w:rPr>
              <w:t xml:space="preserve"> CRR</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Der nach dem geltenden Rechnungslegungsrahmen für Wertpapierfinanzierungsgeschäfte ermittelte Bilanzwert für SFTs, die von einer nach Artikel </w:t>
            </w:r>
            <w:r w:rsidRPr="00532F3A">
              <w:rPr>
                <w:rFonts w:ascii="Times New Roman" w:hAnsi="Times New Roman"/>
              </w:rPr>
              <w:t>206</w:t>
            </w:r>
            <w:r>
              <w:rPr>
                <w:rFonts w:ascii="Times New Roman" w:hAnsi="Times New Roman"/>
              </w:rPr>
              <w:t xml:space="preserve"> CRR anerkennungsfähigen Netting-Rahmenvereinbarung abgedeckt sind, wenn die Geschäfte als Vermögenswerte in der Bilanz erfasst sind, in der Annahme, dass es keine aufsichtlichen oder Bilanzierungs-Netting- oder anderen CRM-Effekte gibt (d. h. die Bilanzierungs-Netting- oder CRM-Effekte in Bezug auf den Bilanzwert werden zurückgenommen). Wird ein SFT nach dem geltendem Rechnungslegungsrahmen als Verkauf verbucht, nehmen die Institute für alle verkaufsverbundenen Vorgänge Rückbuchungen vor.</w:t>
            </w:r>
          </w:p>
          <w:p w:rsidR="00410E47" w:rsidRPr="00FE002E" w:rsidRDefault="00410E47" w:rsidP="007E2A41">
            <w:pPr>
              <w:pStyle w:val="BodyText1"/>
              <w:spacing w:line="240" w:lineRule="auto"/>
              <w:rPr>
                <w:rFonts w:ascii="Times New Roman" w:hAnsi="Times New Roman"/>
                <w:b/>
                <w:bCs/>
                <w:u w:val="single"/>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In diesem Feld weisen die Institute keine entgegengenommenen Barmittel oder Sicherheiten aus, die einer Gegenpartei über die vorgenannten Geschäfte zur Verfügung gestellt werden und die weiter in der Bilanz geführt werden (d. h. bei denen die nach dem geltenden Rechnungslegungsrahmen anwendbaren Ausbuchungskriterien nicht erfüllt sind). Diese werden stattdessen in {</w:t>
            </w:r>
            <w:r w:rsidRPr="00532F3A">
              <w:rPr>
                <w:rFonts w:ascii="Times New Roman" w:hAnsi="Times New Roman"/>
              </w:rPr>
              <w:t>090</w:t>
            </w:r>
            <w:r>
              <w:rPr>
                <w:rFonts w:ascii="Times New Roman" w:hAnsi="Times New Roman"/>
              </w:rPr>
              <w:t>,</w:t>
            </w:r>
            <w:r w:rsidRPr="00532F3A">
              <w:rPr>
                <w:rFonts w:ascii="Times New Roman" w:hAnsi="Times New Roman"/>
              </w:rPr>
              <w:t>020</w:t>
            </w:r>
            <w:r>
              <w:rPr>
                <w:rFonts w:ascii="Times New Roman" w:hAnsi="Times New Roman"/>
              </w:rPr>
              <w:t>} ausgewiesen.</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1081">
            <w:pPr>
              <w:pStyle w:val="BodyText1"/>
              <w:rPr>
                <w:rFonts w:ascii="Times New Roman" w:hAnsi="Times New Roman"/>
                <w:bCs/>
              </w:rPr>
            </w:pPr>
            <w:r>
              <w:rPr>
                <w:rFonts w:ascii="Times New Roman" w:hAnsi="Times New Roman"/>
              </w:rPr>
              <w:t>{</w:t>
            </w:r>
            <w:r w:rsidRPr="00532F3A">
              <w:rPr>
                <w:rFonts w:ascii="Times New Roman" w:hAnsi="Times New Roman"/>
              </w:rPr>
              <w:t>070</w:t>
            </w:r>
            <w:r>
              <w:rPr>
                <w:rFonts w:ascii="Times New Roman" w:hAnsi="Times New Roman"/>
              </w:rPr>
              <w:t>;</w:t>
            </w:r>
            <w:r w:rsidRPr="00532F3A">
              <w:rPr>
                <w:rFonts w:ascii="Times New Roman" w:hAnsi="Times New Roman"/>
              </w:rPr>
              <w:t>040</w:t>
            </w:r>
            <w:r>
              <w:rPr>
                <w:rFonts w:ascii="Times New Roman" w:hAnsi="Times New Roman"/>
              </w:rPr>
              <w:t>}</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Von einer Netting-Rahmenvereinbarung abgedeckte Wertpapierfinanzierungsgeschäfte — Aufschlag für SFT</w:t>
            </w: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Artikel </w:t>
            </w:r>
            <w:r w:rsidRPr="00532F3A">
              <w:rPr>
                <w:rFonts w:ascii="Times New Roman" w:hAnsi="Times New Roman"/>
              </w:rPr>
              <w:t>206</w:t>
            </w:r>
            <w:r>
              <w:rPr>
                <w:rFonts w:ascii="Times New Roman" w:hAnsi="Times New Roman"/>
              </w:rPr>
              <w:t xml:space="preserve"> CRR</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
                <w:bCs/>
              </w:rPr>
            </w:pPr>
            <w:r>
              <w:rPr>
                <w:rFonts w:ascii="Times New Roman" w:hAnsi="Times New Roman"/>
              </w:rPr>
              <w:t xml:space="preserve">Für SFTs, einschließlich der außerbilanziellen, die von einer Netting-Vereinbarung abgedeckt sind, welche die in Artikel </w:t>
            </w:r>
            <w:r w:rsidRPr="00532F3A">
              <w:rPr>
                <w:rFonts w:ascii="Times New Roman" w:hAnsi="Times New Roman"/>
              </w:rPr>
              <w:t>206</w:t>
            </w:r>
            <w:r>
              <w:rPr>
                <w:rFonts w:ascii="Times New Roman" w:hAnsi="Times New Roman"/>
              </w:rPr>
              <w:t xml:space="preserve"> CRR genannten Anforderungen erfüllt, haben die Institute Netting-Sätze zu bilden. Für jeden Netting-Satz haben die Institute den Aufschlag für das aktuelle Kontrahentenrisiko (CCE, Current Counterparty Exposure) nach folgender Formel zu berechnen</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m:oMath>
              <m:r>
                <w:rPr>
                  <w:rFonts w:ascii="Cambria Math" w:hAnsi="Cambria Math"/>
                </w:rPr>
                <m:t>CCE</m:t>
              </m:r>
              <m:r>
                <w:rPr>
                  <w:rFonts w:ascii="Cambria Math" w:hAnsi="Times New Roman"/>
                </w:rPr>
                <m:t xml:space="preserve">= </m:t>
              </m:r>
              <m:r>
                <w:rPr>
                  <w:rFonts w:ascii="Cambria Math" w:hAnsi="Cambria Math"/>
                </w:rPr>
                <m:t>max</m:t>
              </m:r>
              <m:d>
                <m:dPr>
                  <m:begChr m:val="{"/>
                  <m:endChr m:val="}"/>
                  <m:ctrlPr>
                    <w:rPr>
                      <w:rFonts w:ascii="Cambria Math" w:hAnsi="Times New Roman"/>
                      <w:bCs/>
                      <w:i/>
                    </w:rPr>
                  </m:ctrlPr>
                </m:dPr>
                <m:e>
                  <m:d>
                    <m:dPr>
                      <m:ctrlPr>
                        <w:rPr>
                          <w:rFonts w:ascii="Cambria Math" w:hAnsi="Times New Roman"/>
                          <w:bCs/>
                          <w:i/>
                        </w:rPr>
                      </m:ctrlPr>
                    </m:dPr>
                    <m:e>
                      <m:nary>
                        <m:naryPr>
                          <m:chr m:val="∑"/>
                          <m:limLoc m:val="undOvr"/>
                          <m:supHide m:val="1"/>
                          <m:ctrlPr>
                            <w:rPr>
                              <w:rFonts w:ascii="Cambria Math" w:hAnsi="Times New Roman"/>
                              <w:bCs/>
                              <w:i/>
                            </w:rPr>
                          </m:ctrlPr>
                        </m:naryPr>
                        <m:sub>
                          <m:r>
                            <w:rPr>
                              <w:rFonts w:ascii="Cambria Math" w:hAnsi="Cambria Math"/>
                            </w:rPr>
                            <m:t>i</m:t>
                          </m:r>
                        </m:sub>
                        <m:sup/>
                        <m:e>
                          <m:sSub>
                            <m:sSubPr>
                              <m:ctrlPr>
                                <w:rPr>
                                  <w:rFonts w:ascii="Cambria Math" w:hAnsi="Times New Roman"/>
                                  <w:bCs/>
                                  <w:i/>
                                </w:rPr>
                              </m:ctrlPr>
                            </m:sSubPr>
                            <m:e>
                              <m:r>
                                <w:rPr>
                                  <w:rFonts w:ascii="Cambria Math" w:hAnsi="Cambria Math"/>
                                </w:rPr>
                                <m:t>E</m:t>
                              </m:r>
                            </m:e>
                            <m:sub>
                              <m:r>
                                <w:rPr>
                                  <w:rFonts w:ascii="Cambria Math" w:hAnsi="Cambria Math"/>
                                </w:rPr>
                                <m:t>i</m:t>
                              </m:r>
                            </m:sub>
                          </m:sSub>
                          <m:r>
                            <w:rPr>
                              <w:rFonts w:ascii="Times New Roman" w:hAnsi="Times New Roman"/>
                            </w:rPr>
                            <m:t>-</m:t>
                          </m:r>
                          <m:nary>
                            <m:naryPr>
                              <m:chr m:val="∑"/>
                              <m:limLoc m:val="undOvr"/>
                              <m:supHide m:val="1"/>
                              <m:ctrlPr>
                                <w:rPr>
                                  <w:rFonts w:ascii="Cambria Math" w:hAnsi="Times New Roman"/>
                                  <w:bCs/>
                                  <w:i/>
                                </w:rPr>
                              </m:ctrlPr>
                            </m:naryPr>
                            <m:sub>
                              <m:r>
                                <w:rPr>
                                  <w:rFonts w:ascii="Cambria Math" w:hAnsi="Cambria Math"/>
                                </w:rPr>
                                <m:t>i</m:t>
                              </m:r>
                            </m:sub>
                            <m:sup/>
                            <m:e>
                              <m:sSub>
                                <m:sSubPr>
                                  <m:ctrlPr>
                                    <w:rPr>
                                      <w:rFonts w:ascii="Cambria Math" w:hAnsi="Times New Roman"/>
                                      <w:bCs/>
                                      <w:i/>
                                    </w:rPr>
                                  </m:ctrlPr>
                                </m:sSubPr>
                                <m:e>
                                  <m:r>
                                    <w:rPr>
                                      <w:rFonts w:ascii="Cambria Math" w:hAnsi="Cambria Math"/>
                                    </w:rPr>
                                    <m:t>C</m:t>
                                  </m:r>
                                </m:e>
                                <m:sub>
                                  <m:r>
                                    <w:rPr>
                                      <w:rFonts w:ascii="Cambria Math" w:hAnsi="Cambria Math"/>
                                    </w:rPr>
                                    <m:t>i</m:t>
                                  </m:r>
                                </m:sub>
                              </m:sSub>
                            </m:e>
                          </m:nary>
                        </m:e>
                      </m:nary>
                    </m:e>
                  </m:d>
                  <m:r>
                    <w:rPr>
                      <w:rFonts w:ascii="Cambria Math" w:hAnsi="Times New Roman"/>
                    </w:rPr>
                    <m:t>;</m:t>
                  </m:r>
                  <m:r>
                    <w:rPr>
                      <w:rFonts w:ascii="Cambria Math" w:hAnsi="Times New Roman"/>
                    </w:rPr>
                    <m:t>0</m:t>
                  </m:r>
                </m:e>
              </m:d>
            </m:oMath>
            <w:r>
              <w:rPr>
                <w:rFonts w:ascii="Times New Roman" w:hAnsi="Times New Roman"/>
              </w:rPr>
              <w:t xml:space="preserve"> </w:t>
            </w: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 </w:t>
            </w:r>
          </w:p>
          <w:p w:rsidR="00410E47" w:rsidRPr="00FE002E" w:rsidRDefault="00410E47" w:rsidP="007E2A41">
            <w:pPr>
              <w:pStyle w:val="BodyText1"/>
              <w:spacing w:line="240" w:lineRule="auto"/>
              <w:rPr>
                <w:rFonts w:ascii="Times New Roman" w:hAnsi="Times New Roman"/>
                <w:bCs/>
              </w:rPr>
            </w:pPr>
            <w:r>
              <w:rPr>
                <w:rFonts w:ascii="Times New Roman" w:hAnsi="Times New Roman"/>
              </w:rPr>
              <w:t>Dabei ist</w:t>
            </w:r>
          </w:p>
          <w:p w:rsidR="00410E47" w:rsidRPr="00FE002E" w:rsidRDefault="00410E47" w:rsidP="007E2A41">
            <w:pPr>
              <w:pStyle w:val="BodyText1"/>
              <w:spacing w:line="240" w:lineRule="auto"/>
              <w:rPr>
                <w:rFonts w:ascii="Times New Roman" w:hAnsi="Times New Roman"/>
                <w:bCs/>
              </w:rPr>
            </w:pPr>
            <w:r>
              <w:rPr>
                <w:rFonts w:ascii="Times New Roman" w:hAnsi="Times New Roman"/>
              </w:rPr>
              <w:t>i = jedes im Netting-Satz enthaltene Geschäft.</w:t>
            </w:r>
          </w:p>
          <w:p w:rsidR="00410E47" w:rsidRPr="00FE002E" w:rsidRDefault="00410E47" w:rsidP="007E2A41">
            <w:pPr>
              <w:pStyle w:val="BodyText1"/>
              <w:spacing w:line="240" w:lineRule="auto"/>
              <w:rPr>
                <w:rFonts w:ascii="Times New Roman" w:hAnsi="Times New Roman"/>
                <w:bCs/>
              </w:rPr>
            </w:pPr>
            <w:r>
              <w:rPr>
                <w:rFonts w:ascii="Times New Roman" w:hAnsi="Times New Roman"/>
              </w:rPr>
              <w:t>E</w:t>
            </w:r>
            <w:r>
              <w:rPr>
                <w:rFonts w:ascii="Times New Roman" w:hAnsi="Times New Roman"/>
                <w:vertAlign w:val="subscript"/>
              </w:rPr>
              <w:t>i</w:t>
            </w:r>
            <w:r>
              <w:rPr>
                <w:rFonts w:ascii="Times New Roman" w:hAnsi="Times New Roman"/>
              </w:rPr>
              <w:t xml:space="preserve"> = für Geschäft i der Wert E</w:t>
            </w:r>
            <w:r>
              <w:rPr>
                <w:rFonts w:ascii="Times New Roman" w:hAnsi="Times New Roman"/>
                <w:vertAlign w:val="subscript"/>
              </w:rPr>
              <w:t>i</w:t>
            </w:r>
            <w:r>
              <w:rPr>
                <w:rFonts w:ascii="Times New Roman" w:hAnsi="Times New Roman"/>
              </w:rPr>
              <w:t xml:space="preserve"> nach der Definition in Artikel </w:t>
            </w:r>
            <w:r w:rsidRPr="00532F3A">
              <w:rPr>
                <w:rFonts w:ascii="Times New Roman" w:hAnsi="Times New Roman"/>
              </w:rPr>
              <w:t>220</w:t>
            </w:r>
            <w:r>
              <w:rPr>
                <w:rFonts w:ascii="Times New Roman" w:hAnsi="Times New Roman"/>
              </w:rPr>
              <w:t xml:space="preserve"> Absatz </w:t>
            </w:r>
            <w:r w:rsidRPr="00532F3A">
              <w:rPr>
                <w:rFonts w:ascii="Times New Roman" w:hAnsi="Times New Roman"/>
              </w:rPr>
              <w:t>3</w:t>
            </w:r>
            <w:r>
              <w:rPr>
                <w:rFonts w:ascii="Times New Roman" w:hAnsi="Times New Roman"/>
              </w:rPr>
              <w:t xml:space="preserve"> CRR.</w:t>
            </w:r>
          </w:p>
          <w:p w:rsidR="00410E47" w:rsidRPr="00FE002E" w:rsidRDefault="00410E47" w:rsidP="007E2A41">
            <w:pPr>
              <w:pStyle w:val="BodyText1"/>
              <w:spacing w:line="240" w:lineRule="auto"/>
              <w:rPr>
                <w:rFonts w:ascii="Times New Roman" w:hAnsi="Times New Roman"/>
                <w:bCs/>
              </w:rPr>
            </w:pPr>
            <w:r>
              <w:rPr>
                <w:rFonts w:ascii="Times New Roman" w:hAnsi="Times New Roman"/>
              </w:rPr>
              <w:t>C</w:t>
            </w:r>
            <w:r>
              <w:rPr>
                <w:rFonts w:ascii="Times New Roman" w:hAnsi="Times New Roman"/>
                <w:vertAlign w:val="subscript"/>
              </w:rPr>
              <w:t>i</w:t>
            </w:r>
            <w:r>
              <w:rPr>
                <w:rFonts w:ascii="Times New Roman" w:hAnsi="Times New Roman"/>
              </w:rPr>
              <w:t xml:space="preserve"> = für Geschäft i der Wert C</w:t>
            </w:r>
            <w:r>
              <w:rPr>
                <w:rFonts w:ascii="Times New Roman" w:hAnsi="Times New Roman"/>
                <w:vertAlign w:val="subscript"/>
              </w:rPr>
              <w:t>i</w:t>
            </w:r>
            <w:r>
              <w:rPr>
                <w:rFonts w:ascii="Times New Roman" w:hAnsi="Times New Roman"/>
              </w:rPr>
              <w:t xml:space="preserve"> nach der Definition in Artikel </w:t>
            </w:r>
            <w:r w:rsidRPr="00532F3A">
              <w:rPr>
                <w:rFonts w:ascii="Times New Roman" w:hAnsi="Times New Roman"/>
              </w:rPr>
              <w:t>220</w:t>
            </w:r>
            <w:r>
              <w:rPr>
                <w:rFonts w:ascii="Times New Roman" w:hAnsi="Times New Roman"/>
              </w:rPr>
              <w:t xml:space="preserve"> Absatz </w:t>
            </w:r>
            <w:r w:rsidRPr="00532F3A">
              <w:rPr>
                <w:rFonts w:ascii="Times New Roman" w:hAnsi="Times New Roman"/>
              </w:rPr>
              <w:t>3</w:t>
            </w:r>
            <w:r>
              <w:rPr>
                <w:rFonts w:ascii="Times New Roman" w:hAnsi="Times New Roman"/>
              </w:rPr>
              <w:t xml:space="preserve"> CRR.</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
                <w:bCs/>
              </w:rPr>
            </w:pPr>
            <w:r>
              <w:rPr>
                <w:rFonts w:ascii="Times New Roman" w:hAnsi="Times New Roman"/>
              </w:rPr>
              <w:t>Die Institute aggregieren das Ergebnis der Berechnung nach dieser Formel für alle Netting-Sätze und geben das Ergebnis in diesem Feld an.</w:t>
            </w:r>
          </w:p>
          <w:p w:rsidR="00410E47" w:rsidRPr="00FE002E" w:rsidRDefault="00410E47" w:rsidP="007E2A41">
            <w:pPr>
              <w:pStyle w:val="BodyText1"/>
              <w:spacing w:line="240" w:lineRule="auto"/>
              <w:rPr>
                <w:rFonts w:ascii="Times New Roman" w:hAnsi="Times New Roman"/>
                <w:b/>
                <w:bCs/>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w:t>
            </w:r>
            <w:r w:rsidRPr="00532F3A">
              <w:rPr>
                <w:rFonts w:ascii="Times New Roman" w:hAnsi="Times New Roman"/>
              </w:rPr>
              <w:t>080</w:t>
            </w:r>
            <w:r>
              <w:rPr>
                <w:rFonts w:ascii="Times New Roman" w:hAnsi="Times New Roman"/>
              </w:rPr>
              <w:t>;</w:t>
            </w:r>
            <w:r w:rsidRPr="00532F3A">
              <w:rPr>
                <w:rFonts w:ascii="Times New Roman" w:hAnsi="Times New Roman"/>
              </w:rPr>
              <w:t>010</w:t>
            </w:r>
            <w:r>
              <w:rPr>
                <w:rFonts w:ascii="Times New Roman" w:hAnsi="Times New Roman"/>
              </w:rPr>
              <w:t>}</w:t>
            </w:r>
          </w:p>
        </w:tc>
        <w:tc>
          <w:tcPr>
            <w:tcW w:w="7620" w:type="dxa"/>
          </w:tcPr>
          <w:p w:rsidR="00410E47" w:rsidRPr="00FE002E" w:rsidRDefault="00CF66B5" w:rsidP="007E2A41">
            <w:pPr>
              <w:pStyle w:val="BodyText1"/>
              <w:spacing w:line="240" w:lineRule="auto"/>
              <w:rPr>
                <w:rFonts w:ascii="Times New Roman" w:hAnsi="Times New Roman"/>
                <w:b/>
                <w:bCs/>
              </w:rPr>
            </w:pPr>
            <w:r>
              <w:rPr>
                <w:rFonts w:ascii="Times New Roman" w:hAnsi="Times New Roman"/>
                <w:b/>
              </w:rPr>
              <w:t>Nicht von einer Netting-Rahmenvereinbarung abgedeckte SFTs — Bilanzwert</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Artikel </w:t>
            </w:r>
            <w:r w:rsidRPr="00532F3A">
              <w:rPr>
                <w:rFonts w:ascii="Times New Roman" w:hAnsi="Times New Roman"/>
              </w:rPr>
              <w:t>4</w:t>
            </w:r>
            <w:r>
              <w:rPr>
                <w:rFonts w:ascii="Times New Roman" w:hAnsi="Times New Roman"/>
              </w:rPr>
              <w:t xml:space="preserve"> Absatz </w:t>
            </w:r>
            <w:r w:rsidRPr="00532F3A">
              <w:rPr>
                <w:rFonts w:ascii="Times New Roman" w:hAnsi="Times New Roman"/>
              </w:rPr>
              <w:t>1</w:t>
            </w:r>
            <w:r>
              <w:rPr>
                <w:rFonts w:ascii="Times New Roman" w:hAnsi="Times New Roman"/>
              </w:rPr>
              <w:t xml:space="preserve"> Nummer </w:t>
            </w:r>
            <w:r w:rsidRPr="00532F3A">
              <w:rPr>
                <w:rFonts w:ascii="Times New Roman" w:hAnsi="Times New Roman"/>
              </w:rPr>
              <w:t>77</w:t>
            </w:r>
            <w:r>
              <w:rPr>
                <w:rFonts w:ascii="Times New Roman" w:hAnsi="Times New Roman"/>
              </w:rPr>
              <w:t xml:space="preserve"> CRR</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Der nach dem geltenden Rechnungslegungsrahmen ermittelte Bilanzwert für SFTs, die </w:t>
            </w:r>
            <w:r>
              <w:rPr>
                <w:rFonts w:ascii="Times New Roman" w:hAnsi="Times New Roman"/>
                <w:b/>
                <w:u w:val="single"/>
              </w:rPr>
              <w:t>nicht</w:t>
            </w:r>
            <w:r>
              <w:rPr>
                <w:rFonts w:ascii="Times New Roman" w:hAnsi="Times New Roman"/>
              </w:rPr>
              <w:t xml:space="preserve"> von einer nach Artikel </w:t>
            </w:r>
            <w:r w:rsidRPr="00532F3A">
              <w:rPr>
                <w:rFonts w:ascii="Times New Roman" w:hAnsi="Times New Roman"/>
              </w:rPr>
              <w:t>206</w:t>
            </w:r>
            <w:r>
              <w:rPr>
                <w:rFonts w:ascii="Times New Roman" w:hAnsi="Times New Roman"/>
              </w:rPr>
              <w:t xml:space="preserve"> CRR anerkennungsfähigen Netting-Rahmenvereinbarung abgedeckt sind, wenn die Geschäfte als Aktiva in der Bilanz erfasst sind.</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In diesem Feld weisen die Institute keine entgegengenommenen Barmittel oder Sicherheiten aus, die einer Gegenpartei über die vorgenannten Geschäfte zur Verfügung gestellt werden </w:t>
            </w:r>
            <w:r>
              <w:rPr>
                <w:rFonts w:ascii="Times New Roman" w:hAnsi="Times New Roman"/>
              </w:rPr>
              <w:lastRenderedPageBreak/>
              <w:t>und die weiter in der Bilanz geführt werden (d. h. bei denen die nach dem geltenden Rechnungslegungsrahmen anwendbaren Ausbuchungskriterien nicht erfüllt sind). Diese werden stattdessen in {</w:t>
            </w:r>
            <w:r w:rsidRPr="00532F3A">
              <w:rPr>
                <w:rFonts w:ascii="Times New Roman" w:hAnsi="Times New Roman"/>
              </w:rPr>
              <w:t>090</w:t>
            </w:r>
            <w:r>
              <w:rPr>
                <w:rFonts w:ascii="Times New Roman" w:hAnsi="Times New Roman"/>
              </w:rPr>
              <w:t>,</w:t>
            </w:r>
            <w:r w:rsidRPr="00532F3A">
              <w:rPr>
                <w:rFonts w:ascii="Times New Roman" w:hAnsi="Times New Roman"/>
              </w:rPr>
              <w:t>010</w:t>
            </w:r>
            <w:r>
              <w:rPr>
                <w:rFonts w:ascii="Times New Roman" w:hAnsi="Times New Roman"/>
              </w:rPr>
              <w:t>} ausgewiesen.</w:t>
            </w:r>
            <w:r>
              <w:rPr>
                <w:rFonts w:ascii="Times New Roman" w:hAnsi="Times New Roman"/>
                <w:b/>
                <w:u w:val="single"/>
              </w:rPr>
              <w:t xml:space="preserve"> </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lastRenderedPageBreak/>
              <w:t>{</w:t>
            </w:r>
            <w:r w:rsidRPr="00532F3A">
              <w:rPr>
                <w:rFonts w:ascii="Times New Roman" w:hAnsi="Times New Roman"/>
              </w:rPr>
              <w:t>080</w:t>
            </w:r>
            <w:r>
              <w:rPr>
                <w:rFonts w:ascii="Times New Roman" w:hAnsi="Times New Roman"/>
              </w:rPr>
              <w:t>;</w:t>
            </w:r>
            <w:r w:rsidRPr="00532F3A">
              <w:rPr>
                <w:rFonts w:ascii="Times New Roman" w:hAnsi="Times New Roman"/>
              </w:rPr>
              <w:t>020</w:t>
            </w:r>
            <w:r>
              <w:rPr>
                <w:rFonts w:ascii="Times New Roman" w:hAnsi="Times New Roman"/>
              </w:rPr>
              <w:t>}</w:t>
            </w:r>
          </w:p>
        </w:tc>
        <w:tc>
          <w:tcPr>
            <w:tcW w:w="7620" w:type="dxa"/>
          </w:tcPr>
          <w:p w:rsidR="00410E47" w:rsidRPr="00FE002E" w:rsidRDefault="00CF66B5" w:rsidP="007E2A41">
            <w:pPr>
              <w:pStyle w:val="BodyText1"/>
              <w:spacing w:line="240" w:lineRule="auto"/>
              <w:rPr>
                <w:rFonts w:ascii="Times New Roman" w:hAnsi="Times New Roman"/>
                <w:b/>
                <w:bCs/>
              </w:rPr>
            </w:pPr>
            <w:r>
              <w:rPr>
                <w:rFonts w:ascii="Times New Roman" w:hAnsi="Times New Roman"/>
                <w:b/>
              </w:rPr>
              <w:t>Nicht von einer Netting-Rahmenvereinbarung abgedeckte SFTs — Buchwert unter der Annahme: kein Netting oder andere Kreditrisikominderung (CRM)</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Artikel </w:t>
            </w:r>
            <w:r w:rsidRPr="00532F3A">
              <w:rPr>
                <w:rFonts w:ascii="Times New Roman" w:hAnsi="Times New Roman"/>
              </w:rPr>
              <w:t>4</w:t>
            </w:r>
            <w:r>
              <w:rPr>
                <w:rFonts w:ascii="Times New Roman" w:hAnsi="Times New Roman"/>
              </w:rPr>
              <w:t xml:space="preserve"> Absatz </w:t>
            </w:r>
            <w:r w:rsidRPr="00532F3A">
              <w:rPr>
                <w:rFonts w:ascii="Times New Roman" w:hAnsi="Times New Roman"/>
              </w:rPr>
              <w:t>1</w:t>
            </w:r>
            <w:r>
              <w:rPr>
                <w:rFonts w:ascii="Times New Roman" w:hAnsi="Times New Roman"/>
              </w:rPr>
              <w:t xml:space="preserve"> Nummer </w:t>
            </w:r>
            <w:r w:rsidRPr="00532F3A">
              <w:rPr>
                <w:rFonts w:ascii="Times New Roman" w:hAnsi="Times New Roman"/>
              </w:rPr>
              <w:t>77</w:t>
            </w:r>
            <w:r>
              <w:rPr>
                <w:rFonts w:ascii="Times New Roman" w:hAnsi="Times New Roman"/>
              </w:rPr>
              <w:t xml:space="preserve"> CRR</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Der nach dem geltenden Rechnungslegungsrahmen für Wertpapierfinanzierungsgeschäfte ermittelte Bilanzwert für SFTs, die </w:t>
            </w:r>
            <w:r>
              <w:rPr>
                <w:rFonts w:ascii="Times New Roman" w:hAnsi="Times New Roman"/>
                <w:b/>
                <w:u w:val="single"/>
              </w:rPr>
              <w:t>nicht</w:t>
            </w:r>
            <w:r>
              <w:rPr>
                <w:rFonts w:ascii="Times New Roman" w:hAnsi="Times New Roman"/>
              </w:rPr>
              <w:t xml:space="preserve"> von einer nach Artikel </w:t>
            </w:r>
            <w:r w:rsidRPr="00532F3A">
              <w:rPr>
                <w:rFonts w:ascii="Times New Roman" w:hAnsi="Times New Roman"/>
              </w:rPr>
              <w:t>206</w:t>
            </w:r>
            <w:r>
              <w:rPr>
                <w:rFonts w:ascii="Times New Roman" w:hAnsi="Times New Roman"/>
              </w:rPr>
              <w:t xml:space="preserve"> CRR anerkennungsfähigen Netting-Rahmenvereinbarung abgedeckt sind, wenn die Geschäfte als Aktiva in der Bilanz erfasst sind, in der Annahme, dass es keine Bilanzierungs-Netting- oder anderen CRM-Effekte gibt (d. h. die Bilanzierungs-Netting- oder CRM-Effekte in Bezug auf den Bilanzwert werden zurückgenommen). Wird ein SFT nach dem geltendem Rechnungslegungsrahmen als Verkauf verbucht, nehmen die Institute für alle verkaufsverbundenen Vorgänge Rückbuchungen vor.</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In diesem Feld weisen die Institute keine entgegengenommenen Barmittel oder Sicherheiten aus, die einer Gegenpartei über die vorgenannten Geschäfte zur Verfügung gestellt werden und die weiter in der Bilanz geführt werden (d. h. bei denen die nach dem geltenden Rechnungslegungsrahmen anwendbaren Ausbuchungskriterien nicht erfüllt sind). Diese werden stattdessen in {</w:t>
            </w:r>
            <w:r w:rsidRPr="00532F3A">
              <w:rPr>
                <w:rFonts w:ascii="Times New Roman" w:hAnsi="Times New Roman"/>
              </w:rPr>
              <w:t>090</w:t>
            </w:r>
            <w:r>
              <w:rPr>
                <w:rFonts w:ascii="Times New Roman" w:hAnsi="Times New Roman"/>
              </w:rPr>
              <w:t>,</w:t>
            </w:r>
            <w:r w:rsidRPr="00532F3A">
              <w:rPr>
                <w:rFonts w:ascii="Times New Roman" w:hAnsi="Times New Roman"/>
              </w:rPr>
              <w:t>020</w:t>
            </w:r>
            <w:r>
              <w:rPr>
                <w:rFonts w:ascii="Times New Roman" w:hAnsi="Times New Roman"/>
              </w:rPr>
              <w:t>} ausgewiesen.</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w:t>
            </w:r>
            <w:r w:rsidRPr="00532F3A">
              <w:rPr>
                <w:rFonts w:ascii="Times New Roman" w:hAnsi="Times New Roman"/>
              </w:rPr>
              <w:t>080</w:t>
            </w:r>
            <w:r>
              <w:rPr>
                <w:rFonts w:ascii="Times New Roman" w:hAnsi="Times New Roman"/>
              </w:rPr>
              <w:t>;</w:t>
            </w:r>
            <w:r w:rsidRPr="00532F3A">
              <w:rPr>
                <w:rFonts w:ascii="Times New Roman" w:hAnsi="Times New Roman"/>
              </w:rPr>
              <w:t>040</w:t>
            </w:r>
            <w:r>
              <w:rPr>
                <w:rFonts w:ascii="Times New Roman" w:hAnsi="Times New Roman"/>
              </w:rPr>
              <w:t>}</w:t>
            </w:r>
          </w:p>
        </w:tc>
        <w:tc>
          <w:tcPr>
            <w:tcW w:w="7620" w:type="dxa"/>
          </w:tcPr>
          <w:p w:rsidR="00410E47" w:rsidRPr="00FE002E" w:rsidRDefault="00CF66B5" w:rsidP="007E2A41">
            <w:pPr>
              <w:pStyle w:val="BodyText1"/>
              <w:spacing w:line="240" w:lineRule="auto"/>
              <w:rPr>
                <w:rFonts w:ascii="Times New Roman" w:hAnsi="Times New Roman"/>
                <w:b/>
                <w:bCs/>
              </w:rPr>
            </w:pPr>
            <w:r>
              <w:rPr>
                <w:rFonts w:ascii="Times New Roman" w:hAnsi="Times New Roman"/>
                <w:b/>
              </w:rPr>
              <w:t>Nicht von einer Netting-Rahmenvereinbarung abgedeckte SFTs — Aufschlag für SFT</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Artikel </w:t>
            </w:r>
            <w:r w:rsidRPr="00532F3A">
              <w:rPr>
                <w:rFonts w:ascii="Times New Roman" w:hAnsi="Times New Roman"/>
              </w:rPr>
              <w:t>206</w:t>
            </w:r>
            <w:r>
              <w:rPr>
                <w:rFonts w:ascii="Times New Roman" w:hAnsi="Times New Roman"/>
              </w:rPr>
              <w:t xml:space="preserve"> CRR</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217B44">
            <w:pPr>
              <w:pStyle w:val="BodyText1"/>
              <w:spacing w:line="240" w:lineRule="auto"/>
              <w:rPr>
                <w:color w:val="auto"/>
              </w:rPr>
            </w:pPr>
            <w:r>
              <w:rPr>
                <w:rFonts w:ascii="Times New Roman" w:hAnsi="Times New Roman"/>
              </w:rPr>
              <w:t xml:space="preserve">Für SFTs, auch die außerbilanziellen, die </w:t>
            </w:r>
            <w:r>
              <w:rPr>
                <w:rFonts w:ascii="Times New Roman" w:hAnsi="Times New Roman"/>
                <w:b/>
                <w:u w:val="single"/>
              </w:rPr>
              <w:t>nicht</w:t>
            </w:r>
            <w:r>
              <w:rPr>
                <w:rFonts w:ascii="Times New Roman" w:hAnsi="Times New Roman"/>
              </w:rPr>
              <w:t xml:space="preserve"> von einer nach Artikel </w:t>
            </w:r>
            <w:r w:rsidRPr="00532F3A">
              <w:rPr>
                <w:rFonts w:ascii="Times New Roman" w:hAnsi="Times New Roman"/>
              </w:rPr>
              <w:t>206</w:t>
            </w:r>
            <w:r>
              <w:rPr>
                <w:rFonts w:ascii="Times New Roman" w:hAnsi="Times New Roman"/>
              </w:rPr>
              <w:t xml:space="preserve"> CRR anerkennungsfähigen Netting-Rahmenvereinbarung abgedeckt sind, bilden die Institute Sätze aus allen Vermögenswerten, die Teil eines Geschäfts sind (d. h. jedes SFT wird als eigener Satz behandelt), und bestimmen für jeden Satz den Zuschlag für das aktuelle Kontrahentenrisiko (CEE, Current Counterparty Exposure) nach der Formel </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CCE = max {(E – C); </w:t>
            </w:r>
            <w:r w:rsidRPr="00532F3A">
              <w:rPr>
                <w:rFonts w:ascii="Times New Roman" w:hAnsi="Times New Roman"/>
              </w:rPr>
              <w:t>0</w:t>
            </w:r>
            <w:r>
              <w:rPr>
                <w:rFonts w:ascii="Times New Roman" w:hAnsi="Times New Roman"/>
              </w:rPr>
              <w:t>}</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Dabei ist</w:t>
            </w:r>
          </w:p>
          <w:p w:rsidR="00410E47" w:rsidRPr="00FE002E" w:rsidRDefault="00410E47" w:rsidP="007E2A41">
            <w:pPr>
              <w:pStyle w:val="BodyText1"/>
              <w:spacing w:line="240" w:lineRule="auto"/>
              <w:rPr>
                <w:rFonts w:ascii="Times New Roman" w:hAnsi="Times New Roman"/>
                <w:bCs/>
              </w:rPr>
            </w:pPr>
            <w:r>
              <w:rPr>
                <w:rFonts w:ascii="Times New Roman" w:hAnsi="Times New Roman"/>
              </w:rPr>
              <w:t>E = der Wert E</w:t>
            </w:r>
            <w:r>
              <w:rPr>
                <w:rFonts w:ascii="Times New Roman" w:hAnsi="Times New Roman"/>
                <w:vertAlign w:val="subscript"/>
              </w:rPr>
              <w:t>i</w:t>
            </w:r>
            <w:r>
              <w:rPr>
                <w:rFonts w:ascii="Times New Roman" w:hAnsi="Times New Roman"/>
              </w:rPr>
              <w:t xml:space="preserve"> nach der Definition in Artikel </w:t>
            </w:r>
            <w:r w:rsidRPr="00532F3A">
              <w:rPr>
                <w:rFonts w:ascii="Times New Roman" w:hAnsi="Times New Roman"/>
              </w:rPr>
              <w:t>220</w:t>
            </w:r>
            <w:r>
              <w:rPr>
                <w:rFonts w:ascii="Times New Roman" w:hAnsi="Times New Roman"/>
              </w:rPr>
              <w:t xml:space="preserve"> Absatz </w:t>
            </w:r>
            <w:r w:rsidRPr="00532F3A">
              <w:rPr>
                <w:rFonts w:ascii="Times New Roman" w:hAnsi="Times New Roman"/>
              </w:rPr>
              <w:t>3</w:t>
            </w:r>
            <w:r>
              <w:rPr>
                <w:rFonts w:ascii="Times New Roman" w:hAnsi="Times New Roman"/>
              </w:rPr>
              <w:t xml:space="preserve"> CRR.</w:t>
            </w:r>
          </w:p>
          <w:p w:rsidR="00410E47" w:rsidRPr="00FE002E" w:rsidRDefault="00410E47" w:rsidP="007E2A41">
            <w:pPr>
              <w:pStyle w:val="BodyText1"/>
              <w:spacing w:line="240" w:lineRule="auto"/>
              <w:rPr>
                <w:rFonts w:ascii="Times New Roman" w:hAnsi="Times New Roman"/>
                <w:bCs/>
              </w:rPr>
            </w:pPr>
            <w:r>
              <w:rPr>
                <w:rFonts w:ascii="Times New Roman" w:hAnsi="Times New Roman"/>
              </w:rPr>
              <w:t>C = der Wert C</w:t>
            </w:r>
            <w:r>
              <w:rPr>
                <w:rFonts w:ascii="Times New Roman" w:hAnsi="Times New Roman"/>
                <w:vertAlign w:val="subscript"/>
              </w:rPr>
              <w:t>i</w:t>
            </w:r>
            <w:r>
              <w:rPr>
                <w:rFonts w:ascii="Times New Roman" w:hAnsi="Times New Roman"/>
              </w:rPr>
              <w:t xml:space="preserve"> nach der Definition in Artikel </w:t>
            </w:r>
            <w:r w:rsidRPr="00532F3A">
              <w:rPr>
                <w:rFonts w:ascii="Times New Roman" w:hAnsi="Times New Roman"/>
              </w:rPr>
              <w:t>220</w:t>
            </w:r>
            <w:r>
              <w:rPr>
                <w:rFonts w:ascii="Times New Roman" w:hAnsi="Times New Roman"/>
              </w:rPr>
              <w:t xml:space="preserve"> Absatz </w:t>
            </w:r>
            <w:r w:rsidRPr="00532F3A">
              <w:rPr>
                <w:rFonts w:ascii="Times New Roman" w:hAnsi="Times New Roman"/>
              </w:rPr>
              <w:t>3</w:t>
            </w:r>
            <w:r>
              <w:rPr>
                <w:rFonts w:ascii="Times New Roman" w:hAnsi="Times New Roman"/>
              </w:rPr>
              <w:t xml:space="preserve"> CRR.</w:t>
            </w:r>
          </w:p>
          <w:p w:rsidR="00410E47" w:rsidRPr="00FE002E" w:rsidRDefault="00410E47" w:rsidP="007E2A41">
            <w:pPr>
              <w:pStyle w:val="BodyText1"/>
              <w:spacing w:line="240" w:lineRule="auto"/>
              <w:rPr>
                <w:rFonts w:ascii="Times New Roman" w:hAnsi="Times New Roman"/>
                <w:b/>
                <w:bCs/>
                <w:u w:val="single"/>
              </w:rPr>
            </w:pPr>
          </w:p>
          <w:p w:rsidR="00410E47" w:rsidRPr="00FE002E" w:rsidRDefault="00410E47" w:rsidP="007E2A41">
            <w:pPr>
              <w:pStyle w:val="BodyText1"/>
              <w:spacing w:line="240" w:lineRule="auto"/>
              <w:rPr>
                <w:rFonts w:ascii="Times New Roman" w:hAnsi="Times New Roman"/>
                <w:b/>
                <w:bCs/>
              </w:rPr>
            </w:pPr>
            <w:r>
              <w:rPr>
                <w:rFonts w:ascii="Times New Roman" w:hAnsi="Times New Roman"/>
              </w:rPr>
              <w:t>Die Institute aggregieren das Ergebnis der Berechnung nach dieser Formel für alle oben aufgeführten Sätze und geben das Ergebnis in diesem Feld an.</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w:t>
            </w:r>
            <w:r w:rsidRPr="00532F3A">
              <w:rPr>
                <w:rFonts w:ascii="Times New Roman" w:hAnsi="Times New Roman"/>
              </w:rPr>
              <w:t>090</w:t>
            </w:r>
            <w:r>
              <w:rPr>
                <w:rFonts w:ascii="Times New Roman" w:hAnsi="Times New Roman"/>
              </w:rPr>
              <w:t>;</w:t>
            </w:r>
            <w:r w:rsidRPr="00532F3A">
              <w:rPr>
                <w:rFonts w:ascii="Times New Roman" w:hAnsi="Times New Roman"/>
              </w:rPr>
              <w:t>010</w:t>
            </w:r>
            <w:r>
              <w:rPr>
                <w:rFonts w:ascii="Times New Roman" w:hAnsi="Times New Roman"/>
              </w:rPr>
              <w:t>}</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Andere Vermögenswerte — Bilanzwert</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Artikel </w:t>
            </w:r>
            <w:r w:rsidRPr="00532F3A">
              <w:rPr>
                <w:rFonts w:ascii="Times New Roman" w:hAnsi="Times New Roman"/>
              </w:rPr>
              <w:t>4</w:t>
            </w:r>
            <w:r>
              <w:rPr>
                <w:rFonts w:ascii="Times New Roman" w:hAnsi="Times New Roman"/>
              </w:rPr>
              <w:t xml:space="preserve"> Absatz </w:t>
            </w:r>
            <w:r w:rsidRPr="00532F3A">
              <w:rPr>
                <w:rFonts w:ascii="Times New Roman" w:hAnsi="Times New Roman"/>
              </w:rPr>
              <w:t>1</w:t>
            </w:r>
            <w:r>
              <w:rPr>
                <w:rFonts w:ascii="Times New Roman" w:hAnsi="Times New Roman"/>
              </w:rPr>
              <w:t xml:space="preserve"> Nummer </w:t>
            </w:r>
            <w:r w:rsidRPr="00532F3A">
              <w:rPr>
                <w:rFonts w:ascii="Times New Roman" w:hAnsi="Times New Roman"/>
              </w:rPr>
              <w:t>77</w:t>
            </w:r>
            <w:r>
              <w:rPr>
                <w:rFonts w:ascii="Times New Roman" w:hAnsi="Times New Roman"/>
              </w:rPr>
              <w:t xml:space="preserve"> CRR</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Der nach dem geltenden Rechnungslegungsrahmen ermittelte Bilanzwert aller Vermögenswerte außer den in Anhang II CRR genannten Geschäften, Kreditderivaten und SFTs. Andere Vermögenswerte — Buchwert unter der Annahme:</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w:t>
            </w:r>
            <w:r w:rsidRPr="00532F3A">
              <w:rPr>
                <w:rFonts w:ascii="Times New Roman" w:hAnsi="Times New Roman"/>
              </w:rPr>
              <w:t>090</w:t>
            </w:r>
            <w:r>
              <w:rPr>
                <w:rFonts w:ascii="Times New Roman" w:hAnsi="Times New Roman"/>
              </w:rPr>
              <w:t>;</w:t>
            </w:r>
            <w:r w:rsidRPr="00532F3A">
              <w:rPr>
                <w:rFonts w:ascii="Times New Roman" w:hAnsi="Times New Roman"/>
              </w:rPr>
              <w:t>020</w:t>
            </w:r>
            <w:r>
              <w:rPr>
                <w:rFonts w:ascii="Times New Roman" w:hAnsi="Times New Roman"/>
              </w:rPr>
              <w:t>}</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kein Netting oder andere Kreditrisikominderung (CRM)</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Artikel </w:t>
            </w:r>
            <w:r w:rsidRPr="00532F3A">
              <w:rPr>
                <w:rFonts w:ascii="Times New Roman" w:hAnsi="Times New Roman"/>
              </w:rPr>
              <w:t>4</w:t>
            </w:r>
            <w:r>
              <w:rPr>
                <w:rFonts w:ascii="Times New Roman" w:hAnsi="Times New Roman"/>
              </w:rPr>
              <w:t xml:space="preserve"> Absatz </w:t>
            </w:r>
            <w:r w:rsidRPr="00532F3A">
              <w:rPr>
                <w:rFonts w:ascii="Times New Roman" w:hAnsi="Times New Roman"/>
              </w:rPr>
              <w:t>1</w:t>
            </w:r>
            <w:r>
              <w:rPr>
                <w:rFonts w:ascii="Times New Roman" w:hAnsi="Times New Roman"/>
              </w:rPr>
              <w:t xml:space="preserve"> Nummer </w:t>
            </w:r>
            <w:r w:rsidRPr="00532F3A">
              <w:rPr>
                <w:rFonts w:ascii="Times New Roman" w:hAnsi="Times New Roman"/>
              </w:rPr>
              <w:t>77</w:t>
            </w:r>
            <w:r>
              <w:rPr>
                <w:rFonts w:ascii="Times New Roman" w:hAnsi="Times New Roman"/>
              </w:rPr>
              <w:t xml:space="preserve"> CRR</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Der nach dem geltenden Rechnungslegungsrahmen ermittelte Bilanzwert für alle Vermögenswerte außer den Geschäften, die in Anhang II CRR aufgeführt sind, Kreditderivaten und SFTs, in der Annahme, dass es keine Bilanzierungs-Netting- oder anderen CRM-Effekte gibt (d. h. die Bilanzierungs-Netting- oder CRM-Effekte in Bezug </w:t>
            </w:r>
            <w:r>
              <w:rPr>
                <w:rFonts w:ascii="Times New Roman" w:hAnsi="Times New Roman"/>
              </w:rPr>
              <w:lastRenderedPageBreak/>
              <w:t>auf den Bilanzwert werden zurückgenommen).</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lastRenderedPageBreak/>
              <w:t>{</w:t>
            </w:r>
            <w:r w:rsidRPr="00532F3A">
              <w:rPr>
                <w:rFonts w:ascii="Times New Roman" w:hAnsi="Times New Roman"/>
              </w:rPr>
              <w:t>100</w:t>
            </w:r>
            <w:r>
              <w:rPr>
                <w:rFonts w:ascii="Times New Roman" w:hAnsi="Times New Roman"/>
              </w:rPr>
              <w:t>;</w:t>
            </w:r>
            <w:r w:rsidRPr="00532F3A">
              <w:rPr>
                <w:rFonts w:ascii="Times New Roman" w:hAnsi="Times New Roman"/>
              </w:rPr>
              <w:t>070</w:t>
            </w:r>
            <w:r>
              <w:rPr>
                <w:rFonts w:ascii="Times New Roman" w:hAnsi="Times New Roman"/>
              </w:rPr>
              <w:t>}</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Außerbilanzielle Posten mit geringem Risiko nach dem überarbeiteten Standardansatz (RSA, Revised Standardised Approach); davon — Nominalwert</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Artikel </w:t>
            </w:r>
            <w:r w:rsidRPr="00532F3A">
              <w:rPr>
                <w:rFonts w:ascii="Times New Roman" w:hAnsi="Times New Roman"/>
              </w:rPr>
              <w:t>111</w:t>
            </w:r>
            <w:r>
              <w:rPr>
                <w:rFonts w:ascii="Times New Roman" w:hAnsi="Times New Roman"/>
              </w:rPr>
              <w:t xml:space="preserve"> CRR</w:t>
            </w:r>
          </w:p>
          <w:p w:rsidR="00410E47" w:rsidRPr="00FE002E" w:rsidRDefault="00410E47" w:rsidP="007E2A41">
            <w:pPr>
              <w:pStyle w:val="BodyText1"/>
              <w:spacing w:line="240" w:lineRule="auto"/>
              <w:rPr>
                <w:rFonts w:ascii="Times New Roman" w:hAnsi="Times New Roman"/>
                <w:b/>
                <w:bCs/>
              </w:rPr>
            </w:pPr>
          </w:p>
          <w:p w:rsidR="00410E47" w:rsidRDefault="00410E47" w:rsidP="007E2A41">
            <w:pPr>
              <w:pStyle w:val="BodyText1"/>
              <w:spacing w:line="240" w:lineRule="auto"/>
              <w:rPr>
                <w:rFonts w:ascii="Times New Roman" w:hAnsi="Times New Roman"/>
                <w:bCs/>
              </w:rPr>
            </w:pPr>
            <w:r>
              <w:rPr>
                <w:rFonts w:ascii="Times New Roman" w:hAnsi="Times New Roman"/>
              </w:rPr>
              <w:t xml:space="preserve">In diesem Feld ist der Nominalwert der außerbilanziellen Posten anzugeben, denen nach dem Standardansatz für das Kreditrisiko ein Kreditumrechnungsfaktor von </w:t>
            </w:r>
            <w:r w:rsidRPr="00532F3A">
              <w:rPr>
                <w:rFonts w:ascii="Times New Roman" w:hAnsi="Times New Roman"/>
              </w:rPr>
              <w:t>0</w:t>
            </w:r>
            <w:r>
              <w:rPr>
                <w:rFonts w:ascii="Times New Roman" w:hAnsi="Times New Roman"/>
              </w:rPr>
              <w:t> % zugewiesen würde.</w:t>
            </w:r>
            <w:r>
              <w:t xml:space="preserve"> </w:t>
            </w:r>
            <w:r>
              <w:rPr>
                <w:rFonts w:ascii="Times New Roman" w:hAnsi="Times New Roman"/>
              </w:rPr>
              <w:t>Dieser Wert darf nicht durch spezifische Kreditrisikoanpassungen herabgesetzt werden.</w:t>
            </w:r>
          </w:p>
          <w:p w:rsidR="004D36F1" w:rsidRDefault="004D36F1" w:rsidP="007E2A41">
            <w:pPr>
              <w:pStyle w:val="BodyText1"/>
              <w:spacing w:line="240" w:lineRule="auto"/>
              <w:rPr>
                <w:rFonts w:ascii="Times New Roman" w:hAnsi="Times New Roman"/>
                <w:bCs/>
              </w:rPr>
            </w:pPr>
          </w:p>
          <w:p w:rsidR="004D36F1" w:rsidRPr="00FE002E" w:rsidRDefault="004D36F1" w:rsidP="007E2A41">
            <w:pPr>
              <w:pStyle w:val="BodyText1"/>
              <w:spacing w:line="240" w:lineRule="auto"/>
              <w:rPr>
                <w:rFonts w:ascii="Times New Roman" w:hAnsi="Times New Roman"/>
                <w:bCs/>
              </w:rPr>
            </w:pPr>
            <w:r>
              <w:rPr>
                <w:rFonts w:ascii="Times New Roman" w:hAnsi="Times New Roman"/>
              </w:rPr>
              <w:t xml:space="preserve">Gemäß Artikel </w:t>
            </w:r>
            <w:r w:rsidRPr="00532F3A">
              <w:rPr>
                <w:rFonts w:ascii="Times New Roman" w:hAnsi="Times New Roman"/>
              </w:rPr>
              <w:t>429</w:t>
            </w:r>
            <w:r>
              <w:rPr>
                <w:rFonts w:ascii="Times New Roman" w:hAnsi="Times New Roman"/>
              </w:rPr>
              <w:t xml:space="preserve"> Absatz </w:t>
            </w:r>
            <w:r w:rsidRPr="00532F3A">
              <w:rPr>
                <w:rFonts w:ascii="Times New Roman" w:hAnsi="Times New Roman"/>
              </w:rPr>
              <w:t>10</w:t>
            </w:r>
            <w:r>
              <w:rPr>
                <w:rFonts w:ascii="Times New Roman" w:hAnsi="Times New Roman"/>
              </w:rPr>
              <w:t xml:space="preserve"> CRR weisen die Institute in diesem Feld weder die in Anhang II CRR genannten Geschäfte, noch Kreditderivate und SFTs aus.</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w:t>
            </w:r>
            <w:r w:rsidRPr="00532F3A">
              <w:rPr>
                <w:rFonts w:ascii="Times New Roman" w:hAnsi="Times New Roman"/>
              </w:rPr>
              <w:t>110</w:t>
            </w:r>
            <w:r>
              <w:rPr>
                <w:rFonts w:ascii="Times New Roman" w:hAnsi="Times New Roman"/>
              </w:rPr>
              <w:t>;</w:t>
            </w:r>
            <w:r w:rsidRPr="00532F3A">
              <w:rPr>
                <w:rFonts w:ascii="Times New Roman" w:hAnsi="Times New Roman"/>
              </w:rPr>
              <w:t>070</w:t>
            </w:r>
            <w:r>
              <w:rPr>
                <w:rFonts w:ascii="Times New Roman" w:hAnsi="Times New Roman"/>
              </w:rPr>
              <w:t>}</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Revolvierende Risikopositionen aus dem Mengengeschäft; davon — Nominalwert</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Artikel </w:t>
            </w:r>
            <w:r w:rsidRPr="00532F3A">
              <w:rPr>
                <w:rFonts w:ascii="Times New Roman" w:hAnsi="Times New Roman"/>
              </w:rPr>
              <w:t>111</w:t>
            </w:r>
            <w:r>
              <w:rPr>
                <w:rFonts w:ascii="Times New Roman" w:hAnsi="Times New Roman"/>
              </w:rPr>
              <w:t xml:space="preserve"> und Artikel </w:t>
            </w:r>
            <w:r w:rsidRPr="00532F3A">
              <w:rPr>
                <w:rFonts w:ascii="Times New Roman" w:hAnsi="Times New Roman"/>
              </w:rPr>
              <w:t>154</w:t>
            </w:r>
            <w:r>
              <w:rPr>
                <w:rFonts w:ascii="Times New Roman" w:hAnsi="Times New Roman"/>
              </w:rPr>
              <w:t xml:space="preserve"> Absatz </w:t>
            </w:r>
            <w:r w:rsidRPr="00532F3A">
              <w:rPr>
                <w:rFonts w:ascii="Times New Roman" w:hAnsi="Times New Roman"/>
              </w:rPr>
              <w:t>4</w:t>
            </w:r>
            <w:r>
              <w:rPr>
                <w:rFonts w:ascii="Times New Roman" w:hAnsi="Times New Roman"/>
              </w:rPr>
              <w:t xml:space="preserve"> CRR</w:t>
            </w:r>
          </w:p>
          <w:p w:rsidR="00410E47" w:rsidRPr="00FE002E" w:rsidRDefault="00410E47" w:rsidP="007E2A41">
            <w:pPr>
              <w:pStyle w:val="BodyText1"/>
              <w:spacing w:line="240" w:lineRule="auto"/>
              <w:rPr>
                <w:rFonts w:ascii="Times New Roman" w:hAnsi="Times New Roman"/>
                <w:bCs/>
              </w:rPr>
            </w:pPr>
          </w:p>
          <w:p w:rsidR="00CF66B5" w:rsidRDefault="00410E47" w:rsidP="007E2A41">
            <w:pPr>
              <w:pStyle w:val="BodyText1"/>
              <w:spacing w:line="240" w:lineRule="auto"/>
              <w:rPr>
                <w:rFonts w:ascii="Times New Roman" w:hAnsi="Times New Roman"/>
                <w:bCs/>
              </w:rPr>
            </w:pPr>
            <w:r>
              <w:rPr>
                <w:rFonts w:ascii="Times New Roman" w:hAnsi="Times New Roman"/>
              </w:rPr>
              <w:t xml:space="preserve">In diesem Feld ist der Nominalwert der außerbilanziellen qualifizierten revolvierenden Risikopositionen aus dem Mengengeschäft anzugeben, die die in Artikel </w:t>
            </w:r>
            <w:r w:rsidRPr="00532F3A">
              <w:rPr>
                <w:rFonts w:ascii="Times New Roman" w:hAnsi="Times New Roman"/>
              </w:rPr>
              <w:t>154</w:t>
            </w:r>
            <w:r>
              <w:rPr>
                <w:rFonts w:ascii="Times New Roman" w:hAnsi="Times New Roman"/>
              </w:rPr>
              <w:t xml:space="preserve"> Absatz </w:t>
            </w:r>
            <w:r w:rsidRPr="00532F3A">
              <w:rPr>
                <w:rFonts w:ascii="Times New Roman" w:hAnsi="Times New Roman"/>
              </w:rPr>
              <w:t>4</w:t>
            </w:r>
            <w:r>
              <w:rPr>
                <w:rFonts w:ascii="Times New Roman" w:hAnsi="Times New Roman"/>
              </w:rPr>
              <w:t xml:space="preserve"> Buchstaben a bis c CRR festgelegten Bedingungen erfüllen. Dieser Wert darf nicht durch spezifische Kreditrisikoanpassungen herabgesetzt werden.</w:t>
            </w:r>
          </w:p>
          <w:p w:rsidR="00CF66B5" w:rsidRDefault="00CF66B5" w:rsidP="007E2A41">
            <w:pPr>
              <w:pStyle w:val="BodyText1"/>
              <w:spacing w:line="240" w:lineRule="auto"/>
              <w:rPr>
                <w:rFonts w:ascii="Times New Roman" w:hAnsi="Times New Roman"/>
                <w:bCs/>
              </w:rPr>
            </w:pPr>
          </w:p>
          <w:p w:rsidR="00410E47" w:rsidRDefault="00410E47" w:rsidP="007E2A41">
            <w:pPr>
              <w:pStyle w:val="BodyText1"/>
              <w:spacing w:line="240" w:lineRule="auto"/>
              <w:rPr>
                <w:rFonts w:ascii="Times New Roman" w:hAnsi="Times New Roman"/>
                <w:bCs/>
              </w:rPr>
            </w:pPr>
            <w:r>
              <w:rPr>
                <w:rFonts w:ascii="Times New Roman" w:hAnsi="Times New Roman"/>
              </w:rPr>
              <w:t xml:space="preserve">Dies deckt alle Risikopositionen gegenüber natürlichen Personen ab, die revolvierend und unbedingt kündbar sind — wie in Artikel </w:t>
            </w:r>
            <w:r w:rsidRPr="00532F3A">
              <w:rPr>
                <w:rFonts w:ascii="Times New Roman" w:hAnsi="Times New Roman"/>
              </w:rPr>
              <w:t>149</w:t>
            </w:r>
            <w:r>
              <w:rPr>
                <w:rFonts w:ascii="Times New Roman" w:hAnsi="Times New Roman"/>
              </w:rPr>
              <w:t xml:space="preserve"> Buchstabe b CRR beschrieben — und die insgesamt auf höchstens </w:t>
            </w:r>
            <w:r w:rsidRPr="00532F3A">
              <w:rPr>
                <w:rFonts w:ascii="Times New Roman" w:hAnsi="Times New Roman"/>
              </w:rPr>
              <w:t>100</w:t>
            </w:r>
            <w:r>
              <w:rPr>
                <w:rFonts w:ascii="Times New Roman" w:hAnsi="Times New Roman"/>
              </w:rPr>
              <w:t> </w:t>
            </w:r>
            <w:r w:rsidRPr="00532F3A">
              <w:rPr>
                <w:rFonts w:ascii="Times New Roman" w:hAnsi="Times New Roman"/>
              </w:rPr>
              <w:t>000</w:t>
            </w:r>
            <w:r>
              <w:rPr>
                <w:rFonts w:ascii="Times New Roman" w:hAnsi="Times New Roman"/>
              </w:rPr>
              <w:t> EUR pro Schuldner begrenzt sind.</w:t>
            </w:r>
          </w:p>
          <w:p w:rsidR="004D36F1" w:rsidRDefault="004D36F1" w:rsidP="007E2A41">
            <w:pPr>
              <w:pStyle w:val="BodyText1"/>
              <w:spacing w:line="240" w:lineRule="auto"/>
              <w:rPr>
                <w:rFonts w:ascii="Times New Roman" w:hAnsi="Times New Roman"/>
                <w:bCs/>
              </w:rPr>
            </w:pPr>
          </w:p>
          <w:p w:rsidR="004D36F1" w:rsidRPr="00FE002E" w:rsidRDefault="004D36F1" w:rsidP="007E2A41">
            <w:pPr>
              <w:pStyle w:val="BodyText1"/>
              <w:spacing w:line="240" w:lineRule="auto"/>
              <w:rPr>
                <w:rFonts w:ascii="Times New Roman" w:hAnsi="Times New Roman"/>
                <w:bCs/>
              </w:rPr>
            </w:pPr>
            <w:r>
              <w:rPr>
                <w:rFonts w:ascii="Times New Roman" w:hAnsi="Times New Roman"/>
              </w:rPr>
              <w:t xml:space="preserve">Gemäß Artikel </w:t>
            </w:r>
            <w:r w:rsidRPr="00532F3A">
              <w:rPr>
                <w:rFonts w:ascii="Times New Roman" w:hAnsi="Times New Roman"/>
              </w:rPr>
              <w:t>429</w:t>
            </w:r>
            <w:r>
              <w:rPr>
                <w:rFonts w:ascii="Times New Roman" w:hAnsi="Times New Roman"/>
              </w:rPr>
              <w:t xml:space="preserve"> Absatz </w:t>
            </w:r>
            <w:r w:rsidRPr="00532F3A">
              <w:rPr>
                <w:rFonts w:ascii="Times New Roman" w:hAnsi="Times New Roman"/>
              </w:rPr>
              <w:t>10</w:t>
            </w:r>
            <w:r>
              <w:rPr>
                <w:rFonts w:ascii="Times New Roman" w:hAnsi="Times New Roman"/>
              </w:rPr>
              <w:t xml:space="preserve"> CRR weisen die Institute in diesem Feld weder die in Anhang II CRR genannten Geschäfte, noch Kreditderivate und SFTs aus.</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w:t>
            </w:r>
            <w:r w:rsidRPr="00532F3A">
              <w:rPr>
                <w:rFonts w:ascii="Times New Roman" w:hAnsi="Times New Roman"/>
              </w:rPr>
              <w:t>120</w:t>
            </w:r>
            <w:r>
              <w:rPr>
                <w:rFonts w:ascii="Times New Roman" w:hAnsi="Times New Roman"/>
              </w:rPr>
              <w:t>;</w:t>
            </w:r>
            <w:r w:rsidRPr="00532F3A">
              <w:rPr>
                <w:rFonts w:ascii="Times New Roman" w:hAnsi="Times New Roman"/>
              </w:rPr>
              <w:t>070</w:t>
            </w:r>
            <w:r>
              <w:rPr>
                <w:rFonts w:ascii="Times New Roman" w:hAnsi="Times New Roman"/>
              </w:rPr>
              <w:t>}</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Bedingungslos kündbare Kreditkartenverpflichtungen — Nominalwert</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Artikel </w:t>
            </w:r>
            <w:r w:rsidRPr="00532F3A">
              <w:rPr>
                <w:rFonts w:ascii="Times New Roman" w:hAnsi="Times New Roman"/>
              </w:rPr>
              <w:t>111</w:t>
            </w:r>
            <w:r>
              <w:rPr>
                <w:rFonts w:ascii="Times New Roman" w:hAnsi="Times New Roman"/>
              </w:rPr>
              <w:t xml:space="preserve"> und Artikel </w:t>
            </w:r>
            <w:r w:rsidRPr="00532F3A">
              <w:rPr>
                <w:rFonts w:ascii="Times New Roman" w:hAnsi="Times New Roman"/>
              </w:rPr>
              <w:t>154</w:t>
            </w:r>
            <w:r>
              <w:rPr>
                <w:rFonts w:ascii="Times New Roman" w:hAnsi="Times New Roman"/>
              </w:rPr>
              <w:t xml:space="preserve"> Absatz </w:t>
            </w:r>
            <w:r w:rsidRPr="00532F3A">
              <w:rPr>
                <w:rFonts w:ascii="Times New Roman" w:hAnsi="Times New Roman"/>
              </w:rPr>
              <w:t>4</w:t>
            </w:r>
            <w:r>
              <w:rPr>
                <w:rFonts w:ascii="Times New Roman" w:hAnsi="Times New Roman"/>
              </w:rPr>
              <w:t xml:space="preserve"> CRR</w:t>
            </w:r>
          </w:p>
          <w:p w:rsidR="00410E47" w:rsidRPr="00FE002E" w:rsidRDefault="00410E47" w:rsidP="007E2A41">
            <w:pPr>
              <w:pStyle w:val="BodyText1"/>
              <w:spacing w:line="240" w:lineRule="auto"/>
              <w:rPr>
                <w:rFonts w:ascii="Times New Roman" w:hAnsi="Times New Roman"/>
                <w:bCs/>
              </w:rPr>
            </w:pPr>
          </w:p>
          <w:p w:rsidR="00A51BD1" w:rsidRDefault="001005A7" w:rsidP="007E2A41">
            <w:pPr>
              <w:pStyle w:val="BodyText1"/>
              <w:spacing w:line="240" w:lineRule="auto"/>
              <w:rPr>
                <w:rFonts w:ascii="Times New Roman" w:hAnsi="Times New Roman"/>
                <w:bCs/>
              </w:rPr>
            </w:pPr>
            <w:r>
              <w:rPr>
                <w:rFonts w:ascii="Times New Roman" w:hAnsi="Times New Roman"/>
              </w:rPr>
              <w:t xml:space="preserve">In diesem Feld ist der Nominalwert von Kreditkartenverpflichtungen anzugeben, die ein Institut jederzeit unangekündigt und bedingungslos kündigen kann und denen nach dem Standardansatz für das Kreditrisiko ein Kreditumrechnungsfaktor von </w:t>
            </w:r>
            <w:r w:rsidRPr="00532F3A">
              <w:rPr>
                <w:rFonts w:ascii="Times New Roman" w:hAnsi="Times New Roman"/>
              </w:rPr>
              <w:t>0</w:t>
            </w:r>
            <w:r>
              <w:rPr>
                <w:rFonts w:ascii="Times New Roman" w:hAnsi="Times New Roman"/>
              </w:rPr>
              <w:t> % zugewiesen würde.</w:t>
            </w:r>
            <w:r>
              <w:t xml:space="preserve"> </w:t>
            </w:r>
            <w:r>
              <w:rPr>
                <w:rFonts w:ascii="Times New Roman" w:hAnsi="Times New Roman"/>
              </w:rPr>
              <w:t>Dieser Wert darf nicht durch spezifische Kreditrisikoanpassungen herabgesetzt werden.</w:t>
            </w:r>
          </w:p>
          <w:p w:rsidR="00A51BD1" w:rsidRDefault="00A51BD1" w:rsidP="007E2A41">
            <w:pPr>
              <w:pStyle w:val="BodyText1"/>
              <w:spacing w:line="240" w:lineRule="auto"/>
              <w:rPr>
                <w:rFonts w:ascii="Times New Roman" w:hAnsi="Times New Roman"/>
                <w:bCs/>
              </w:rPr>
            </w:pPr>
          </w:p>
          <w:p w:rsidR="00410E47" w:rsidRDefault="00410E47" w:rsidP="007E2A41">
            <w:pPr>
              <w:pStyle w:val="BodyText1"/>
              <w:spacing w:line="240" w:lineRule="auto"/>
              <w:rPr>
                <w:rFonts w:ascii="Times New Roman" w:hAnsi="Times New Roman"/>
                <w:bCs/>
              </w:rPr>
            </w:pPr>
            <w:r>
              <w:rPr>
                <w:rFonts w:ascii="Times New Roman" w:hAnsi="Times New Roman"/>
              </w:rPr>
              <w:t>Die Institute berücksichtigen in diesem Feld keine Kreditverpflichtungen, die bei einer Verschlechterung der Bonität eines Kreditnehmers effektiv eine automatische Kündigung vorsehen, die jedoch nicht bedingungslos kündbar sind.</w:t>
            </w:r>
          </w:p>
          <w:p w:rsidR="004D36F1" w:rsidRDefault="004D36F1" w:rsidP="007E2A41">
            <w:pPr>
              <w:pStyle w:val="BodyText1"/>
              <w:spacing w:line="240" w:lineRule="auto"/>
              <w:rPr>
                <w:rFonts w:ascii="Times New Roman" w:hAnsi="Times New Roman"/>
                <w:bCs/>
              </w:rPr>
            </w:pPr>
          </w:p>
          <w:p w:rsidR="004D36F1" w:rsidRPr="00FE002E" w:rsidRDefault="004D36F1" w:rsidP="007E2A41">
            <w:pPr>
              <w:pStyle w:val="BodyText1"/>
              <w:spacing w:line="240" w:lineRule="auto"/>
              <w:rPr>
                <w:rFonts w:ascii="Times New Roman" w:hAnsi="Times New Roman"/>
                <w:bCs/>
              </w:rPr>
            </w:pPr>
            <w:r>
              <w:rPr>
                <w:rFonts w:ascii="Times New Roman" w:hAnsi="Times New Roman"/>
              </w:rPr>
              <w:t xml:space="preserve">Gemäß Artikel </w:t>
            </w:r>
            <w:r w:rsidRPr="00532F3A">
              <w:rPr>
                <w:rFonts w:ascii="Times New Roman" w:hAnsi="Times New Roman"/>
              </w:rPr>
              <w:t>429</w:t>
            </w:r>
            <w:r>
              <w:rPr>
                <w:rFonts w:ascii="Times New Roman" w:hAnsi="Times New Roman"/>
              </w:rPr>
              <w:t xml:space="preserve"> Absatz </w:t>
            </w:r>
            <w:r w:rsidRPr="00532F3A">
              <w:rPr>
                <w:rFonts w:ascii="Times New Roman" w:hAnsi="Times New Roman"/>
              </w:rPr>
              <w:t>10</w:t>
            </w:r>
            <w:r>
              <w:rPr>
                <w:rFonts w:ascii="Times New Roman" w:hAnsi="Times New Roman"/>
              </w:rPr>
              <w:t xml:space="preserve"> CRR weisen die Institute in diesem Feld weder die in Anhang II CRR genannten Geschäfte, noch Kreditderivate und SFTs aus.</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w:t>
            </w:r>
            <w:r w:rsidRPr="00532F3A">
              <w:rPr>
                <w:rFonts w:ascii="Times New Roman" w:hAnsi="Times New Roman"/>
              </w:rPr>
              <w:t>130</w:t>
            </w:r>
            <w:r>
              <w:rPr>
                <w:rFonts w:ascii="Times New Roman" w:hAnsi="Times New Roman"/>
              </w:rPr>
              <w:t>;</w:t>
            </w:r>
            <w:r w:rsidRPr="00532F3A">
              <w:rPr>
                <w:rFonts w:ascii="Times New Roman" w:hAnsi="Times New Roman"/>
              </w:rPr>
              <w:t>070</w:t>
            </w:r>
            <w:r>
              <w:rPr>
                <w:rFonts w:ascii="Times New Roman" w:hAnsi="Times New Roman"/>
              </w:rPr>
              <w:t>}</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Nicht revolvierende bedingungslos kündbare Verpflichtungen — Nominalwert</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Artikel </w:t>
            </w:r>
            <w:r w:rsidRPr="00532F3A">
              <w:rPr>
                <w:rFonts w:ascii="Times New Roman" w:hAnsi="Times New Roman"/>
              </w:rPr>
              <w:t>111</w:t>
            </w:r>
            <w:r>
              <w:rPr>
                <w:rFonts w:ascii="Times New Roman" w:hAnsi="Times New Roman"/>
              </w:rPr>
              <w:t xml:space="preserve"> und Artikel </w:t>
            </w:r>
            <w:r w:rsidRPr="00532F3A">
              <w:rPr>
                <w:rFonts w:ascii="Times New Roman" w:hAnsi="Times New Roman"/>
              </w:rPr>
              <w:t>154</w:t>
            </w:r>
            <w:r>
              <w:rPr>
                <w:rFonts w:ascii="Times New Roman" w:hAnsi="Times New Roman"/>
              </w:rPr>
              <w:t xml:space="preserve"> Absatz </w:t>
            </w:r>
            <w:r w:rsidRPr="00532F3A">
              <w:rPr>
                <w:rFonts w:ascii="Times New Roman" w:hAnsi="Times New Roman"/>
              </w:rPr>
              <w:t>4</w:t>
            </w:r>
            <w:r>
              <w:rPr>
                <w:rFonts w:ascii="Times New Roman" w:hAnsi="Times New Roman"/>
              </w:rPr>
              <w:t xml:space="preserve"> CRR</w:t>
            </w:r>
          </w:p>
          <w:p w:rsidR="00410E47" w:rsidRPr="00FE002E" w:rsidRDefault="00410E47" w:rsidP="007E2A41">
            <w:pPr>
              <w:pStyle w:val="BodyText1"/>
              <w:spacing w:line="240" w:lineRule="auto"/>
              <w:rPr>
                <w:rFonts w:ascii="Times New Roman" w:hAnsi="Times New Roman"/>
                <w:b/>
                <w:bCs/>
              </w:rPr>
            </w:pPr>
          </w:p>
          <w:p w:rsidR="00A51BD1" w:rsidRDefault="00410E47" w:rsidP="007E2A41">
            <w:pPr>
              <w:pStyle w:val="BodyText1"/>
              <w:spacing w:line="240" w:lineRule="auto"/>
              <w:rPr>
                <w:rFonts w:ascii="Times New Roman" w:hAnsi="Times New Roman"/>
                <w:bCs/>
              </w:rPr>
            </w:pPr>
            <w:r>
              <w:rPr>
                <w:rFonts w:ascii="Times New Roman" w:hAnsi="Times New Roman"/>
              </w:rPr>
              <w:t xml:space="preserve">In diesem Feld ist der Nominalwert anderer Verpflichtungen anzugeben, die ein Institut jederzeit unangekündigt und bedingungslos kündigen kann, denen nach dem Standardansatz für das Kreditrisiko ein Kreditumrechnungsfaktor von </w:t>
            </w:r>
            <w:r w:rsidRPr="00532F3A">
              <w:rPr>
                <w:rFonts w:ascii="Times New Roman" w:hAnsi="Times New Roman"/>
              </w:rPr>
              <w:t>0</w:t>
            </w:r>
            <w:r>
              <w:rPr>
                <w:rFonts w:ascii="Times New Roman" w:hAnsi="Times New Roman"/>
              </w:rPr>
              <w:t> % zugewiesen würde. Dieser Wert darf nicht durch spezifische Kreditrisikoanpassungen herabgesetzt werden.</w:t>
            </w:r>
          </w:p>
          <w:p w:rsidR="00A51BD1" w:rsidRDefault="00A51BD1" w:rsidP="007E2A41">
            <w:pPr>
              <w:pStyle w:val="BodyText1"/>
              <w:spacing w:line="240" w:lineRule="auto"/>
              <w:rPr>
                <w:rFonts w:ascii="Times New Roman" w:hAnsi="Times New Roman"/>
                <w:bCs/>
              </w:rPr>
            </w:pPr>
          </w:p>
          <w:p w:rsidR="00410E47" w:rsidRDefault="00410E47" w:rsidP="007E2A41">
            <w:pPr>
              <w:pStyle w:val="BodyText1"/>
              <w:spacing w:line="240" w:lineRule="auto"/>
              <w:rPr>
                <w:rFonts w:ascii="Times New Roman" w:hAnsi="Times New Roman"/>
                <w:bCs/>
              </w:rPr>
            </w:pPr>
            <w:r>
              <w:rPr>
                <w:rFonts w:ascii="Times New Roman" w:hAnsi="Times New Roman"/>
              </w:rPr>
              <w:t xml:space="preserve">Die Institute berücksichtigen in diesem Feld keine Kreditverpflichtungen, die bei einer Verschlechterung der Bonität eines Kreditnehmers effektiv eine automatische Kündigung </w:t>
            </w:r>
            <w:r>
              <w:rPr>
                <w:rFonts w:ascii="Times New Roman" w:hAnsi="Times New Roman"/>
              </w:rPr>
              <w:lastRenderedPageBreak/>
              <w:t>vorsehen, die jedoch nicht bedingungslos kündbar sind.</w:t>
            </w:r>
          </w:p>
          <w:p w:rsidR="004D36F1" w:rsidRDefault="004D36F1" w:rsidP="007E2A41">
            <w:pPr>
              <w:pStyle w:val="BodyText1"/>
              <w:spacing w:line="240" w:lineRule="auto"/>
              <w:rPr>
                <w:rFonts w:ascii="Times New Roman" w:hAnsi="Times New Roman"/>
                <w:bCs/>
              </w:rPr>
            </w:pPr>
          </w:p>
          <w:p w:rsidR="004D36F1" w:rsidRPr="00FE002E" w:rsidRDefault="004D36F1" w:rsidP="007E2A41">
            <w:pPr>
              <w:pStyle w:val="BodyText1"/>
              <w:spacing w:line="240" w:lineRule="auto"/>
              <w:rPr>
                <w:rFonts w:ascii="Times New Roman" w:hAnsi="Times New Roman"/>
                <w:bCs/>
              </w:rPr>
            </w:pPr>
            <w:r>
              <w:rPr>
                <w:rFonts w:ascii="Times New Roman" w:hAnsi="Times New Roman"/>
              </w:rPr>
              <w:t xml:space="preserve">Gemäß Artikel </w:t>
            </w:r>
            <w:r w:rsidRPr="00532F3A">
              <w:rPr>
                <w:rFonts w:ascii="Times New Roman" w:hAnsi="Times New Roman"/>
              </w:rPr>
              <w:t>429</w:t>
            </w:r>
            <w:r>
              <w:rPr>
                <w:rFonts w:ascii="Times New Roman" w:hAnsi="Times New Roman"/>
              </w:rPr>
              <w:t xml:space="preserve"> Absatz </w:t>
            </w:r>
            <w:r w:rsidRPr="00532F3A">
              <w:rPr>
                <w:rFonts w:ascii="Times New Roman" w:hAnsi="Times New Roman"/>
              </w:rPr>
              <w:t>10</w:t>
            </w:r>
            <w:r>
              <w:rPr>
                <w:rFonts w:ascii="Times New Roman" w:hAnsi="Times New Roman"/>
              </w:rPr>
              <w:t xml:space="preserve"> CRR weisen die Institute in diesem Feld weder die in Anhang II CRR genannten Geschäfte, noch Kreditderivate und SFTs aus.</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lastRenderedPageBreak/>
              <w:t>{</w:t>
            </w:r>
            <w:r w:rsidRPr="00532F3A">
              <w:rPr>
                <w:rFonts w:ascii="Times New Roman" w:hAnsi="Times New Roman"/>
              </w:rPr>
              <w:t>140</w:t>
            </w:r>
            <w:r>
              <w:rPr>
                <w:rFonts w:ascii="Times New Roman" w:hAnsi="Times New Roman"/>
              </w:rPr>
              <w:t>;</w:t>
            </w:r>
            <w:r w:rsidRPr="00532F3A">
              <w:rPr>
                <w:rFonts w:ascii="Times New Roman" w:hAnsi="Times New Roman"/>
              </w:rPr>
              <w:t>070</w:t>
            </w:r>
            <w:r>
              <w:rPr>
                <w:rFonts w:ascii="Times New Roman" w:hAnsi="Times New Roman"/>
              </w:rPr>
              <w:t>}</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Außerbilanzielle Posten mit mittlerem/niedrigem Risiko nach dem überarbeiteten Standardansatz (RSA, Revised Standardised Approach) — Nominalwert</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Artikel </w:t>
            </w:r>
            <w:r w:rsidRPr="00532F3A">
              <w:rPr>
                <w:rFonts w:ascii="Times New Roman" w:hAnsi="Times New Roman"/>
              </w:rPr>
              <w:t>111</w:t>
            </w:r>
            <w:r>
              <w:rPr>
                <w:rFonts w:ascii="Times New Roman" w:hAnsi="Times New Roman"/>
              </w:rPr>
              <w:t xml:space="preserve"> CRR</w:t>
            </w:r>
          </w:p>
          <w:p w:rsidR="00410E47" w:rsidRPr="00FE002E" w:rsidRDefault="00410E47" w:rsidP="007E2A41">
            <w:pPr>
              <w:pStyle w:val="BodyText1"/>
              <w:spacing w:line="240" w:lineRule="auto"/>
              <w:rPr>
                <w:rFonts w:ascii="Times New Roman" w:hAnsi="Times New Roman"/>
                <w:b/>
                <w:bCs/>
              </w:rPr>
            </w:pPr>
          </w:p>
          <w:p w:rsidR="00410E47" w:rsidRDefault="00410E47" w:rsidP="007E2A41">
            <w:pPr>
              <w:pStyle w:val="BodyText1"/>
              <w:spacing w:line="240" w:lineRule="auto"/>
              <w:rPr>
                <w:rFonts w:ascii="Times New Roman" w:hAnsi="Times New Roman"/>
                <w:bCs/>
              </w:rPr>
            </w:pPr>
            <w:r>
              <w:rPr>
                <w:rFonts w:ascii="Times New Roman" w:hAnsi="Times New Roman"/>
              </w:rPr>
              <w:t xml:space="preserve">In diesem Feld ist der Nominalwert der außerbilanziellen Posten anzugeben, denen nach dem Standardansatz für das Kreditrisiko ein Kreditumrechnungsfaktor von </w:t>
            </w:r>
            <w:r w:rsidRPr="00532F3A">
              <w:rPr>
                <w:rFonts w:ascii="Times New Roman" w:hAnsi="Times New Roman"/>
              </w:rPr>
              <w:t>20</w:t>
            </w:r>
            <w:r>
              <w:rPr>
                <w:rFonts w:ascii="Times New Roman" w:hAnsi="Times New Roman"/>
              </w:rPr>
              <w:t> % zugewiesen würde.</w:t>
            </w:r>
            <w:r>
              <w:t xml:space="preserve"> </w:t>
            </w:r>
            <w:r>
              <w:rPr>
                <w:rFonts w:ascii="Times New Roman" w:hAnsi="Times New Roman"/>
              </w:rPr>
              <w:t>Dieser Wert darf nicht durch spezifische Kreditrisikoanpassungen herabgesetzt werden.</w:t>
            </w:r>
          </w:p>
          <w:p w:rsidR="004D36F1" w:rsidRDefault="004D36F1" w:rsidP="007E2A41">
            <w:pPr>
              <w:pStyle w:val="BodyText1"/>
              <w:spacing w:line="240" w:lineRule="auto"/>
              <w:rPr>
                <w:rFonts w:ascii="Times New Roman" w:hAnsi="Times New Roman"/>
                <w:bCs/>
              </w:rPr>
            </w:pPr>
          </w:p>
          <w:p w:rsidR="004D36F1" w:rsidRPr="00FE002E" w:rsidRDefault="004D36F1" w:rsidP="007E2A41">
            <w:pPr>
              <w:pStyle w:val="BodyText1"/>
              <w:spacing w:line="240" w:lineRule="auto"/>
              <w:rPr>
                <w:rFonts w:ascii="Times New Roman" w:hAnsi="Times New Roman"/>
                <w:bCs/>
              </w:rPr>
            </w:pPr>
            <w:r>
              <w:rPr>
                <w:rFonts w:ascii="Times New Roman" w:hAnsi="Times New Roman"/>
              </w:rPr>
              <w:t xml:space="preserve">Gemäß Artikel </w:t>
            </w:r>
            <w:r w:rsidRPr="00532F3A">
              <w:rPr>
                <w:rFonts w:ascii="Times New Roman" w:hAnsi="Times New Roman"/>
              </w:rPr>
              <w:t>429</w:t>
            </w:r>
            <w:r>
              <w:rPr>
                <w:rFonts w:ascii="Times New Roman" w:hAnsi="Times New Roman"/>
              </w:rPr>
              <w:t xml:space="preserve"> Absatz </w:t>
            </w:r>
            <w:r w:rsidRPr="00532F3A">
              <w:rPr>
                <w:rFonts w:ascii="Times New Roman" w:hAnsi="Times New Roman"/>
              </w:rPr>
              <w:t>10</w:t>
            </w:r>
            <w:r>
              <w:rPr>
                <w:rFonts w:ascii="Times New Roman" w:hAnsi="Times New Roman"/>
              </w:rPr>
              <w:t xml:space="preserve"> CRR weisen die Institute in diesem Feld weder die in Anhang II CRR genannten Geschäfte, noch Kreditderivate und SFTs aus.</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1081">
            <w:pPr>
              <w:pStyle w:val="BodyText1"/>
              <w:rPr>
                <w:rFonts w:ascii="Times New Roman" w:hAnsi="Times New Roman"/>
                <w:bCs/>
              </w:rPr>
            </w:pPr>
            <w:r>
              <w:rPr>
                <w:rFonts w:ascii="Times New Roman" w:hAnsi="Times New Roman"/>
              </w:rPr>
              <w:t>{</w:t>
            </w:r>
            <w:r w:rsidRPr="00532F3A">
              <w:rPr>
                <w:rFonts w:ascii="Times New Roman" w:hAnsi="Times New Roman"/>
              </w:rPr>
              <w:t>150</w:t>
            </w:r>
            <w:r>
              <w:rPr>
                <w:rFonts w:ascii="Times New Roman" w:hAnsi="Times New Roman"/>
              </w:rPr>
              <w:t>;</w:t>
            </w:r>
            <w:r w:rsidRPr="00532F3A">
              <w:rPr>
                <w:rFonts w:ascii="Times New Roman" w:hAnsi="Times New Roman"/>
              </w:rPr>
              <w:t>070</w:t>
            </w:r>
            <w:r>
              <w:rPr>
                <w:rFonts w:ascii="Times New Roman" w:hAnsi="Times New Roman"/>
              </w:rPr>
              <w:t>}</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Außerbilanzielle Posten mit mittlerem Risiko nach dem überarbeiteten Standardansatz (RSA, Revised Standardised Approach) — Nominalwert</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Artikel </w:t>
            </w:r>
            <w:r w:rsidRPr="00532F3A">
              <w:rPr>
                <w:rFonts w:ascii="Times New Roman" w:hAnsi="Times New Roman"/>
              </w:rPr>
              <w:t>111</w:t>
            </w:r>
            <w:r>
              <w:rPr>
                <w:rFonts w:ascii="Times New Roman" w:hAnsi="Times New Roman"/>
              </w:rPr>
              <w:t xml:space="preserve"> CRR</w:t>
            </w:r>
          </w:p>
          <w:p w:rsidR="00410E47" w:rsidRPr="00FE002E" w:rsidRDefault="00410E47" w:rsidP="007E2A41">
            <w:pPr>
              <w:pStyle w:val="BodyText1"/>
              <w:spacing w:line="240" w:lineRule="auto"/>
              <w:rPr>
                <w:rFonts w:ascii="Times New Roman" w:hAnsi="Times New Roman"/>
                <w:b/>
                <w:bCs/>
              </w:rPr>
            </w:pPr>
          </w:p>
          <w:p w:rsidR="00410E47" w:rsidRDefault="00410E47" w:rsidP="007E2A41">
            <w:pPr>
              <w:pStyle w:val="BodyText1"/>
              <w:spacing w:line="240" w:lineRule="auto"/>
              <w:rPr>
                <w:rFonts w:ascii="Times New Roman" w:hAnsi="Times New Roman"/>
                <w:bCs/>
              </w:rPr>
            </w:pPr>
            <w:r>
              <w:rPr>
                <w:rFonts w:ascii="Times New Roman" w:hAnsi="Times New Roman"/>
              </w:rPr>
              <w:t xml:space="preserve">In diesem Feld ist der Nominalwert der außerbilanziellen Posten anzugeben, denen nach dem Standardansatz für das Kreditrisiko ein Kreditumrechnungsfaktor von </w:t>
            </w:r>
            <w:r w:rsidRPr="00532F3A">
              <w:rPr>
                <w:rFonts w:ascii="Times New Roman" w:hAnsi="Times New Roman"/>
              </w:rPr>
              <w:t>50</w:t>
            </w:r>
            <w:r>
              <w:rPr>
                <w:rFonts w:ascii="Times New Roman" w:hAnsi="Times New Roman"/>
              </w:rPr>
              <w:t> % zugewiesen würde.</w:t>
            </w:r>
            <w:r>
              <w:t xml:space="preserve"> </w:t>
            </w:r>
            <w:r>
              <w:rPr>
                <w:rFonts w:ascii="Times New Roman" w:hAnsi="Times New Roman"/>
              </w:rPr>
              <w:t>Dieser Wert darf nicht durch spezifische Kreditrisikoanpassungen herabgesetzt werden.</w:t>
            </w:r>
          </w:p>
          <w:p w:rsidR="004D36F1" w:rsidRDefault="004D36F1" w:rsidP="007E2A41">
            <w:pPr>
              <w:pStyle w:val="BodyText1"/>
              <w:spacing w:line="240" w:lineRule="auto"/>
              <w:rPr>
                <w:rFonts w:ascii="Times New Roman" w:hAnsi="Times New Roman"/>
                <w:bCs/>
              </w:rPr>
            </w:pPr>
          </w:p>
          <w:p w:rsidR="004D36F1" w:rsidRPr="00FE002E" w:rsidRDefault="004D36F1" w:rsidP="007E2A41">
            <w:pPr>
              <w:pStyle w:val="BodyText1"/>
              <w:spacing w:line="240" w:lineRule="auto"/>
              <w:rPr>
                <w:rFonts w:ascii="Times New Roman" w:hAnsi="Times New Roman"/>
                <w:bCs/>
              </w:rPr>
            </w:pPr>
            <w:r>
              <w:rPr>
                <w:rFonts w:ascii="Times New Roman" w:hAnsi="Times New Roman"/>
              </w:rPr>
              <w:t xml:space="preserve">Gemäß Artikel </w:t>
            </w:r>
            <w:r w:rsidRPr="00532F3A">
              <w:rPr>
                <w:rFonts w:ascii="Times New Roman" w:hAnsi="Times New Roman"/>
              </w:rPr>
              <w:t>429</w:t>
            </w:r>
            <w:r>
              <w:rPr>
                <w:rFonts w:ascii="Times New Roman" w:hAnsi="Times New Roman"/>
              </w:rPr>
              <w:t xml:space="preserve"> Absatz </w:t>
            </w:r>
            <w:r w:rsidRPr="00532F3A">
              <w:rPr>
                <w:rFonts w:ascii="Times New Roman" w:hAnsi="Times New Roman"/>
              </w:rPr>
              <w:t>10</w:t>
            </w:r>
            <w:r>
              <w:rPr>
                <w:rFonts w:ascii="Times New Roman" w:hAnsi="Times New Roman"/>
              </w:rPr>
              <w:t xml:space="preserve"> CRR weisen die Institute in diesem Feld weder die in Anhang II CRR genannten Geschäfte, noch Kreditderivate und SFTs aus.</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w:t>
            </w:r>
            <w:r w:rsidRPr="00532F3A">
              <w:rPr>
                <w:rFonts w:ascii="Times New Roman" w:hAnsi="Times New Roman"/>
              </w:rPr>
              <w:t>160</w:t>
            </w:r>
            <w:r>
              <w:rPr>
                <w:rFonts w:ascii="Times New Roman" w:hAnsi="Times New Roman"/>
              </w:rPr>
              <w:t>;</w:t>
            </w:r>
            <w:r w:rsidRPr="00532F3A">
              <w:rPr>
                <w:rFonts w:ascii="Times New Roman" w:hAnsi="Times New Roman"/>
              </w:rPr>
              <w:t>070</w:t>
            </w:r>
            <w:r>
              <w:rPr>
                <w:rFonts w:ascii="Times New Roman" w:hAnsi="Times New Roman"/>
              </w:rPr>
              <w:t>}</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Außerbilanzielle Posten mit vollem Risiko nach dem überarbeiteten Standardansatz (RSA, Revised Standardised Approach) — Nominalwert</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Artikel </w:t>
            </w:r>
            <w:r w:rsidRPr="00532F3A">
              <w:rPr>
                <w:rFonts w:ascii="Times New Roman" w:hAnsi="Times New Roman"/>
              </w:rPr>
              <w:t>111</w:t>
            </w:r>
            <w:r>
              <w:rPr>
                <w:rFonts w:ascii="Times New Roman" w:hAnsi="Times New Roman"/>
              </w:rPr>
              <w:t xml:space="preserve"> CRR</w:t>
            </w:r>
          </w:p>
          <w:p w:rsidR="00410E47" w:rsidRPr="00FE002E" w:rsidRDefault="00410E47" w:rsidP="007E2A41">
            <w:pPr>
              <w:pStyle w:val="BodyText1"/>
              <w:spacing w:line="240" w:lineRule="auto"/>
              <w:rPr>
                <w:rFonts w:ascii="Times New Roman" w:hAnsi="Times New Roman"/>
                <w:b/>
                <w:bCs/>
              </w:rPr>
            </w:pPr>
          </w:p>
          <w:p w:rsidR="00A51BD1" w:rsidRDefault="00410E47" w:rsidP="00A51BD1">
            <w:pPr>
              <w:pStyle w:val="BodyText1"/>
              <w:spacing w:line="240" w:lineRule="auto"/>
              <w:rPr>
                <w:rFonts w:ascii="Times New Roman" w:hAnsi="Times New Roman"/>
                <w:bCs/>
              </w:rPr>
            </w:pPr>
            <w:r>
              <w:rPr>
                <w:rFonts w:ascii="Times New Roman" w:hAnsi="Times New Roman"/>
              </w:rPr>
              <w:t xml:space="preserve">In diesem Feld ist der Nominalwert der außerbilanziellen Posten anzugeben, denen nach dem Standardansatz für das Kreditrisiko ein Kreditumrechnungsfaktor von </w:t>
            </w:r>
            <w:r w:rsidRPr="00532F3A">
              <w:rPr>
                <w:rFonts w:ascii="Times New Roman" w:hAnsi="Times New Roman"/>
              </w:rPr>
              <w:t>100</w:t>
            </w:r>
            <w:r>
              <w:rPr>
                <w:rFonts w:ascii="Times New Roman" w:hAnsi="Times New Roman"/>
              </w:rPr>
              <w:t> % zugewiesen würde. Dieser Wert darf nicht durch spezifische Kreditrisikoanpassungen herabgesetzt werden.</w:t>
            </w:r>
          </w:p>
          <w:p w:rsidR="00410E47" w:rsidRPr="00FE002E" w:rsidRDefault="00410E47" w:rsidP="007E2A41">
            <w:pPr>
              <w:pStyle w:val="BodyText1"/>
              <w:spacing w:line="240" w:lineRule="auto"/>
              <w:rPr>
                <w:rFonts w:ascii="Times New Roman" w:hAnsi="Times New Roman"/>
                <w:bCs/>
              </w:rPr>
            </w:pPr>
          </w:p>
          <w:p w:rsidR="00410E47" w:rsidRPr="00FE002E" w:rsidRDefault="0034348F" w:rsidP="007E2A41">
            <w:pPr>
              <w:pStyle w:val="BodyText1"/>
              <w:spacing w:line="240" w:lineRule="auto"/>
              <w:rPr>
                <w:rFonts w:ascii="Times New Roman" w:hAnsi="Times New Roman"/>
                <w:bCs/>
              </w:rPr>
            </w:pPr>
            <w:r>
              <w:rPr>
                <w:rFonts w:ascii="Times New Roman" w:hAnsi="Times New Roman"/>
              </w:rPr>
              <w:t xml:space="preserve">Gemäß Artikel </w:t>
            </w:r>
            <w:r w:rsidRPr="00532F3A">
              <w:rPr>
                <w:rFonts w:ascii="Times New Roman" w:hAnsi="Times New Roman"/>
              </w:rPr>
              <w:t>429</w:t>
            </w:r>
            <w:r>
              <w:rPr>
                <w:rFonts w:ascii="Times New Roman" w:hAnsi="Times New Roman"/>
              </w:rPr>
              <w:t xml:space="preserve"> Absatz </w:t>
            </w:r>
            <w:r w:rsidRPr="00532F3A">
              <w:rPr>
                <w:rFonts w:ascii="Times New Roman" w:hAnsi="Times New Roman"/>
              </w:rPr>
              <w:t>10</w:t>
            </w:r>
            <w:r>
              <w:rPr>
                <w:rFonts w:ascii="Times New Roman" w:hAnsi="Times New Roman"/>
              </w:rPr>
              <w:t xml:space="preserve"> CRR weisen die Institute in diesem Feld weder die in Anhang II CRR genannten Geschäfte, noch Kreditderivate und SFTs aus.</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w:t>
            </w:r>
            <w:r w:rsidRPr="00532F3A">
              <w:rPr>
                <w:rFonts w:ascii="Times New Roman" w:hAnsi="Times New Roman"/>
              </w:rPr>
              <w:t>170</w:t>
            </w:r>
            <w:r>
              <w:rPr>
                <w:rFonts w:ascii="Times New Roman" w:hAnsi="Times New Roman"/>
              </w:rPr>
              <w:t>;</w:t>
            </w:r>
            <w:r w:rsidRPr="00532F3A">
              <w:rPr>
                <w:rFonts w:ascii="Times New Roman" w:hAnsi="Times New Roman"/>
              </w:rPr>
              <w:t>070</w:t>
            </w:r>
            <w:r>
              <w:rPr>
                <w:rFonts w:ascii="Times New Roman" w:hAnsi="Times New Roman"/>
              </w:rPr>
              <w:t>}</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(Zusatzinformationen) Auf revolvierende Risikopositionen aus dem Mengengeschäft in Anspruch genommene Beträge — Nominalwert</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Artikel </w:t>
            </w:r>
            <w:r w:rsidRPr="00532F3A">
              <w:rPr>
                <w:rFonts w:ascii="Times New Roman" w:hAnsi="Times New Roman"/>
              </w:rPr>
              <w:t>154</w:t>
            </w:r>
            <w:r>
              <w:rPr>
                <w:rFonts w:ascii="Times New Roman" w:hAnsi="Times New Roman"/>
              </w:rPr>
              <w:t xml:space="preserve"> Absatz </w:t>
            </w:r>
            <w:r w:rsidRPr="00532F3A">
              <w:rPr>
                <w:rFonts w:ascii="Times New Roman" w:hAnsi="Times New Roman"/>
              </w:rPr>
              <w:t>4</w:t>
            </w:r>
            <w:r>
              <w:rPr>
                <w:rFonts w:ascii="Times New Roman" w:hAnsi="Times New Roman"/>
              </w:rPr>
              <w:t xml:space="preserve"> CRR</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In diesem Feld ist der Nominalwert der auf außerbilanzielle revolvierende Risikopositionen aus dem Mengengeschäft in Anspruch genommenen Beträge anzugeben.</w:t>
            </w:r>
            <w:r>
              <w:t xml:space="preserve"> </w:t>
            </w:r>
            <w:r>
              <w:rPr>
                <w:rFonts w:ascii="Times New Roman" w:hAnsi="Times New Roman"/>
              </w:rPr>
              <w:t>Dieser Wert darf nicht durch spezifische Kreditrisikoanpassungen herabgesetzt werden.</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w:t>
            </w:r>
            <w:r w:rsidRPr="00532F3A">
              <w:rPr>
                <w:rFonts w:ascii="Times New Roman" w:hAnsi="Times New Roman"/>
              </w:rPr>
              <w:t>180</w:t>
            </w:r>
            <w:r>
              <w:rPr>
                <w:rFonts w:ascii="Times New Roman" w:hAnsi="Times New Roman"/>
              </w:rPr>
              <w:t>;</w:t>
            </w:r>
            <w:r w:rsidRPr="00532F3A">
              <w:rPr>
                <w:rFonts w:ascii="Times New Roman" w:hAnsi="Times New Roman"/>
              </w:rPr>
              <w:t>070</w:t>
            </w:r>
            <w:r>
              <w:rPr>
                <w:rFonts w:ascii="Times New Roman" w:hAnsi="Times New Roman"/>
              </w:rPr>
              <w:t>}</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(Zusatzinformationen) Auf bedingungslos kündbare Kreditkartenverpflichtungen in Anspruch genommene Beträge — Nominalwert</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Artikel </w:t>
            </w:r>
            <w:r w:rsidRPr="00532F3A">
              <w:rPr>
                <w:rFonts w:ascii="Times New Roman" w:hAnsi="Times New Roman"/>
              </w:rPr>
              <w:t>111</w:t>
            </w:r>
            <w:r>
              <w:rPr>
                <w:rFonts w:ascii="Times New Roman" w:hAnsi="Times New Roman"/>
              </w:rPr>
              <w:t xml:space="preserve"> und Artikel </w:t>
            </w:r>
            <w:r w:rsidRPr="00532F3A">
              <w:rPr>
                <w:rFonts w:ascii="Times New Roman" w:hAnsi="Times New Roman"/>
              </w:rPr>
              <w:t>154</w:t>
            </w:r>
            <w:r>
              <w:rPr>
                <w:rFonts w:ascii="Times New Roman" w:hAnsi="Times New Roman"/>
              </w:rPr>
              <w:t xml:space="preserve"> Absatz </w:t>
            </w:r>
            <w:r w:rsidRPr="00532F3A">
              <w:rPr>
                <w:rFonts w:ascii="Times New Roman" w:hAnsi="Times New Roman"/>
              </w:rPr>
              <w:t>4</w:t>
            </w:r>
            <w:r>
              <w:rPr>
                <w:rFonts w:ascii="Times New Roman" w:hAnsi="Times New Roman"/>
              </w:rPr>
              <w:t xml:space="preserve"> CRR</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In diesem Feld ist der Nominalwert der auf bedingungslos kündbare </w:t>
            </w:r>
            <w:r>
              <w:rPr>
                <w:rFonts w:ascii="Times New Roman" w:hAnsi="Times New Roman"/>
              </w:rPr>
              <w:lastRenderedPageBreak/>
              <w:t>Kreditkartenverpflichtungen in Anspruch genommenen Beträge anzugeben. Dieser Wert darf nicht durch spezifische Kreditrisikoanpassungen herabgesetzt werden.</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lastRenderedPageBreak/>
              <w:t>{</w:t>
            </w:r>
            <w:r w:rsidRPr="00532F3A">
              <w:rPr>
                <w:rFonts w:ascii="Times New Roman" w:hAnsi="Times New Roman"/>
              </w:rPr>
              <w:t>190</w:t>
            </w:r>
            <w:r>
              <w:rPr>
                <w:rFonts w:ascii="Times New Roman" w:hAnsi="Times New Roman"/>
              </w:rPr>
              <w:t>;</w:t>
            </w:r>
            <w:r w:rsidRPr="00532F3A">
              <w:rPr>
                <w:rFonts w:ascii="Times New Roman" w:hAnsi="Times New Roman"/>
              </w:rPr>
              <w:t>070</w:t>
            </w:r>
            <w:r>
              <w:rPr>
                <w:rFonts w:ascii="Times New Roman" w:hAnsi="Times New Roman"/>
              </w:rPr>
              <w:t>}</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(Zusatzinformationen) Auf nicht-revolvierende bedingungslos kündbare Verpflichtungen in Anspruch genommene Beträge — Nominalwert</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Artikel </w:t>
            </w:r>
            <w:r w:rsidRPr="00532F3A">
              <w:rPr>
                <w:rFonts w:ascii="Times New Roman" w:hAnsi="Times New Roman"/>
              </w:rPr>
              <w:t>111</w:t>
            </w:r>
            <w:r>
              <w:rPr>
                <w:rFonts w:ascii="Times New Roman" w:hAnsi="Times New Roman"/>
              </w:rPr>
              <w:t xml:space="preserve"> und Artikel </w:t>
            </w:r>
            <w:r w:rsidRPr="00532F3A">
              <w:rPr>
                <w:rFonts w:ascii="Times New Roman" w:hAnsi="Times New Roman"/>
              </w:rPr>
              <w:t>154</w:t>
            </w:r>
            <w:r>
              <w:rPr>
                <w:rFonts w:ascii="Times New Roman" w:hAnsi="Times New Roman"/>
              </w:rPr>
              <w:t xml:space="preserve"> Absatz </w:t>
            </w:r>
            <w:r w:rsidRPr="00532F3A">
              <w:rPr>
                <w:rFonts w:ascii="Times New Roman" w:hAnsi="Times New Roman"/>
              </w:rPr>
              <w:t>4</w:t>
            </w:r>
            <w:r>
              <w:rPr>
                <w:rFonts w:ascii="Times New Roman" w:hAnsi="Times New Roman"/>
              </w:rPr>
              <w:t xml:space="preserve"> CRR</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In diesem Feld ist der Nominalwert der auf nicht-revolvierende bedingungslos kündbare Verpflichtungen in Anspruch genommenen Beträge anzugeben.</w:t>
            </w:r>
            <w:r>
              <w:t xml:space="preserve"> </w:t>
            </w:r>
            <w:r>
              <w:rPr>
                <w:rFonts w:ascii="Times New Roman" w:hAnsi="Times New Roman"/>
              </w:rPr>
              <w:t>Dieser Wert darf nicht durch spezifische Kreditrisikoanpassungen herabgesetzt werden.</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w:t>
            </w:r>
            <w:r w:rsidRPr="00532F3A">
              <w:rPr>
                <w:rFonts w:ascii="Times New Roman" w:hAnsi="Times New Roman"/>
              </w:rPr>
              <w:t>210</w:t>
            </w:r>
            <w:r>
              <w:rPr>
                <w:rFonts w:ascii="Times New Roman" w:hAnsi="Times New Roman"/>
              </w:rPr>
              <w:t>;</w:t>
            </w:r>
            <w:r w:rsidRPr="00532F3A">
              <w:rPr>
                <w:rFonts w:ascii="Times New Roman" w:hAnsi="Times New Roman"/>
              </w:rPr>
              <w:t>020</w:t>
            </w:r>
            <w:r>
              <w:rPr>
                <w:rFonts w:ascii="Times New Roman" w:hAnsi="Times New Roman"/>
              </w:rPr>
              <w:t>}</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Bei Derivatgeschäften entgegengenommene Barsicherheiten — Buchwert unter der Annahme: kein Netting oder andere Kreditrisikominderung (CRM)</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Der nach dem geltenden Rechnungslegungsrahmen ermittelte Bilanzwert für bei Derivatgeschäften entgegengenommene Barsicherheiten, in der Annahme, dass es keine Bilanzierungs-Netting- oder anderen CRM-Effekte gibt (d. h. die Bilanzierungs-Netting- oder CRM-Effekte in Bezug auf den Bilanzwert werden zurückgenommen).</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217B44">
            <w:pPr>
              <w:pStyle w:val="BodyText1"/>
              <w:tabs>
                <w:tab w:val="left" w:pos="4755"/>
              </w:tabs>
              <w:spacing w:line="240" w:lineRule="auto"/>
              <w:rPr>
                <w:rFonts w:ascii="Times New Roman" w:hAnsi="Times New Roman"/>
                <w:b/>
                <w:bCs/>
              </w:rPr>
            </w:pPr>
            <w:r>
              <w:rPr>
                <w:rFonts w:ascii="Times New Roman" w:hAnsi="Times New Roman"/>
              </w:rPr>
              <w:t>Für dieses Feld ist der Begriff Barmittel definiert als der Gesamtbetrag der Barbestände, einschließlich Münzen und Banknoten pro Währung. Die Gesamthöhe der Einlagen bei Zentralbanken wird berücksichtigt, soweit diese Einlagen in Stressphasen aufgelöst werden können. Bareinlagen bei anderen Instituten sind in diesem Feld nicht auszuweisen.</w:t>
            </w:r>
          </w:p>
          <w:p w:rsidR="00410E47" w:rsidRPr="00FE002E" w:rsidRDefault="00410E47" w:rsidP="007E2A41">
            <w:pPr>
              <w:pStyle w:val="BodyText1"/>
              <w:spacing w:line="240" w:lineRule="auto"/>
              <w:rPr>
                <w:rFonts w:ascii="Times New Roman" w:hAnsi="Times New Roman"/>
                <w:b/>
                <w:bCs/>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w:t>
            </w:r>
            <w:r w:rsidRPr="00532F3A">
              <w:rPr>
                <w:rFonts w:ascii="Times New Roman" w:hAnsi="Times New Roman"/>
              </w:rPr>
              <w:t>220</w:t>
            </w:r>
            <w:r>
              <w:rPr>
                <w:rFonts w:ascii="Times New Roman" w:hAnsi="Times New Roman"/>
              </w:rPr>
              <w:t>;</w:t>
            </w:r>
            <w:r w:rsidRPr="00532F3A">
              <w:rPr>
                <w:rFonts w:ascii="Times New Roman" w:hAnsi="Times New Roman"/>
              </w:rPr>
              <w:t>020</w:t>
            </w:r>
            <w:r>
              <w:rPr>
                <w:rFonts w:ascii="Times New Roman" w:hAnsi="Times New Roman"/>
              </w:rPr>
              <w:t>}</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Forderungen für Barsicherheiten, die bei Derivatgeschäften hinterlegt wurden — Buchwert unter der Annahme: kein Netting oder andere Kreditrisikominderung (CRM)</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
                <w:bCs/>
              </w:rPr>
            </w:pPr>
            <w:r>
              <w:rPr>
                <w:rFonts w:ascii="Times New Roman" w:hAnsi="Times New Roman"/>
              </w:rPr>
              <w:t>Der nach dem geltenden Rechnungslegungsrahmen ermittelte Bilanzwert von Forderungen für bei Derivatgeschäften hinterlegte Barsicherheiten, unter der Annahme, dass es keine Bilanzierungs-Netting- oder CRM-Effekte gibt (d. h. die Bilanzierungs-Netting- oder CRM-Effekte in Bezug auf den Bilanzwert werden zurückgenommen). Institute, die die Forderung für hinterlegte Barsicherheiten dem geltenden Rechnungslegungsrahmen zufolge gegen die entsprechende Derivate-Verbindlichkeit (negativer Zeitwert) aufrechnen dürfen und dies auch tun, machen diese Aufrechnung wieder rückgängig und geben die Höhe der Netto-Barforderung an.</w:t>
            </w:r>
          </w:p>
          <w:p w:rsidR="00410E47" w:rsidRPr="00FE002E" w:rsidRDefault="00410E47" w:rsidP="007E2A41">
            <w:pPr>
              <w:pStyle w:val="BodyText1"/>
              <w:spacing w:line="240" w:lineRule="auto"/>
              <w:rPr>
                <w:rFonts w:ascii="Times New Roman" w:hAnsi="Times New Roman"/>
                <w:b/>
                <w:bCs/>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w:t>
            </w:r>
            <w:r w:rsidRPr="00532F3A">
              <w:rPr>
                <w:rFonts w:ascii="Times New Roman" w:hAnsi="Times New Roman"/>
              </w:rPr>
              <w:t>230</w:t>
            </w:r>
            <w:r>
              <w:rPr>
                <w:rFonts w:ascii="Times New Roman" w:hAnsi="Times New Roman"/>
              </w:rPr>
              <w:t>;</w:t>
            </w:r>
            <w:r w:rsidRPr="00532F3A">
              <w:rPr>
                <w:rFonts w:ascii="Times New Roman" w:hAnsi="Times New Roman"/>
              </w:rPr>
              <w:t>020</w:t>
            </w:r>
            <w:r>
              <w:rPr>
                <w:rFonts w:ascii="Times New Roman" w:hAnsi="Times New Roman"/>
              </w:rPr>
              <w:t>}</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Bei einem SFT entgegengenommene Wertpapiere, die als Aktiva erfasst werden — Buchwert unter der Annahme: kein Netting oder andere Kreditrisikominderung (CRM)</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
                <w:bCs/>
              </w:rPr>
            </w:pPr>
            <w:r>
              <w:rPr>
                <w:rFonts w:ascii="Times New Roman" w:hAnsi="Times New Roman"/>
              </w:rPr>
              <w:t>Der nach dem geltenden Rechnungslegungsrahmen ermittelte Bilanzwert von bei einem SFT entgegengenommenen Wertpapieren, die nach dem geltenden Rechnungslegungsrahmen als Aktiva erfasst werden, in der Annahme, dass es keine Bilanzierungs-Netting- oder anderen CRM-Effekte gibt (d. h. die Bilanzierungs-Netting- oder CRM-Effekte in Bezug auf den Bilanzwert werden zurückgenommen).</w:t>
            </w:r>
          </w:p>
          <w:p w:rsidR="00410E47" w:rsidRPr="00FE002E" w:rsidRDefault="00410E47" w:rsidP="007E2A41">
            <w:pPr>
              <w:pStyle w:val="BodyText1"/>
              <w:spacing w:line="240" w:lineRule="auto"/>
              <w:rPr>
                <w:rFonts w:ascii="Times New Roman" w:hAnsi="Times New Roman"/>
                <w:b/>
                <w:bCs/>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w:t>
            </w:r>
            <w:r w:rsidRPr="00532F3A">
              <w:rPr>
                <w:rFonts w:ascii="Times New Roman" w:hAnsi="Times New Roman"/>
              </w:rPr>
              <w:t>240</w:t>
            </w:r>
            <w:r>
              <w:rPr>
                <w:rFonts w:ascii="Times New Roman" w:hAnsi="Times New Roman"/>
              </w:rPr>
              <w:t>;</w:t>
            </w:r>
            <w:r w:rsidRPr="00532F3A">
              <w:rPr>
                <w:rFonts w:ascii="Times New Roman" w:hAnsi="Times New Roman"/>
              </w:rPr>
              <w:t>020</w:t>
            </w:r>
            <w:r>
              <w:rPr>
                <w:rFonts w:ascii="Times New Roman" w:hAnsi="Times New Roman"/>
              </w:rPr>
              <w:t>}</w:t>
            </w:r>
          </w:p>
        </w:tc>
        <w:tc>
          <w:tcPr>
            <w:tcW w:w="7620" w:type="dxa"/>
          </w:tcPr>
          <w:p w:rsidR="00410E47" w:rsidRPr="00FE002E" w:rsidRDefault="00410E47" w:rsidP="007E2A41">
            <w:pPr>
              <w:pStyle w:val="BodyText1"/>
              <w:tabs>
                <w:tab w:val="left" w:pos="4755"/>
              </w:tabs>
              <w:spacing w:line="240" w:lineRule="auto"/>
              <w:rPr>
                <w:rFonts w:ascii="Times New Roman" w:hAnsi="Times New Roman"/>
                <w:b/>
                <w:bCs/>
              </w:rPr>
            </w:pPr>
            <w:r>
              <w:rPr>
                <w:rFonts w:ascii="Times New Roman" w:hAnsi="Times New Roman"/>
                <w:b/>
              </w:rPr>
              <w:t>SFT Cash Conduit Lending (Barforderungen) — Buchwert unter der Annahme: kein Netting oder andere Kreditrisikominderung (CRM)</w:t>
            </w:r>
          </w:p>
          <w:p w:rsidR="00410E47" w:rsidRPr="00FE002E" w:rsidRDefault="00410E47" w:rsidP="007E2A41">
            <w:pPr>
              <w:pStyle w:val="BodyText1"/>
              <w:tabs>
                <w:tab w:val="left" w:pos="4755"/>
              </w:tabs>
              <w:spacing w:line="240" w:lineRule="auto"/>
              <w:rPr>
                <w:rFonts w:ascii="Times New Roman" w:hAnsi="Times New Roman"/>
                <w:b/>
                <w:bCs/>
              </w:rPr>
            </w:pPr>
          </w:p>
          <w:p w:rsidR="00410E47" w:rsidRPr="00FE002E" w:rsidRDefault="00410E47" w:rsidP="007E2A41">
            <w:pPr>
              <w:pStyle w:val="BodyText1"/>
              <w:tabs>
                <w:tab w:val="left" w:pos="4755"/>
              </w:tabs>
              <w:spacing w:line="240" w:lineRule="auto"/>
              <w:rPr>
                <w:rFonts w:ascii="Times New Roman" w:hAnsi="Times New Roman"/>
              </w:rPr>
            </w:pPr>
            <w:r>
              <w:rPr>
                <w:rFonts w:ascii="Times New Roman" w:hAnsi="Times New Roman"/>
              </w:rPr>
              <w:t>Der nach dem geltenden Rechnungslegungsrahmen ermittelte Bilanzwert der Barforderung für die im Rahmen einer anerkennungsfähigen Cash Conduit Lending Transaction (CCLT) an den Wertpapier-Inhaber weiterverliehenen Barmittel, in der Annahme, dass es keine Bilanzierungs-Netting- oder anderen CRM-Effekte gibt (d. h. die Bilanzierungs-Netting- oder CRM-Effekte in Bezug auf den Bilanzwert werden zurückgenommen).</w:t>
            </w:r>
          </w:p>
          <w:p w:rsidR="00410E47" w:rsidRPr="00FE002E" w:rsidRDefault="00410E47" w:rsidP="007E2A41">
            <w:pPr>
              <w:pStyle w:val="BodyText1"/>
              <w:tabs>
                <w:tab w:val="left" w:pos="4755"/>
              </w:tabs>
              <w:spacing w:line="240" w:lineRule="auto"/>
              <w:rPr>
                <w:rFonts w:ascii="Times New Roman" w:hAnsi="Times New Roman"/>
              </w:rPr>
            </w:pPr>
          </w:p>
          <w:p w:rsidR="00410E47" w:rsidRPr="00FE002E" w:rsidRDefault="00410E47" w:rsidP="007E2A41">
            <w:pPr>
              <w:pStyle w:val="BodyText1"/>
              <w:tabs>
                <w:tab w:val="left" w:pos="4755"/>
              </w:tabs>
              <w:spacing w:line="240" w:lineRule="auto"/>
              <w:rPr>
                <w:rFonts w:ascii="Times New Roman" w:hAnsi="Times New Roman"/>
              </w:rPr>
            </w:pPr>
            <w:r>
              <w:rPr>
                <w:rFonts w:ascii="Times New Roman" w:hAnsi="Times New Roman"/>
              </w:rPr>
              <w:t xml:space="preserve">Für dieses Feld ist der Begriff Barmittel definiert als der Gesamtbetrag der Barbestände, einschließlich Münzen und Banknoten pro Währung. Die Gesamthöhe der Einlagen bei </w:t>
            </w:r>
            <w:r>
              <w:rPr>
                <w:rFonts w:ascii="Times New Roman" w:hAnsi="Times New Roman"/>
              </w:rPr>
              <w:lastRenderedPageBreak/>
              <w:t>Zentralbanken wird berücksichtigt, soweit diese Einlagen in Stressphasen aufgelöst werden können. Bareinlagen bei anderen Instituten sind in diesem Feld nicht auszuweisen.</w:t>
            </w:r>
          </w:p>
          <w:p w:rsidR="00410E47" w:rsidRPr="00FE002E" w:rsidRDefault="00410E47" w:rsidP="007E2A41">
            <w:pPr>
              <w:pStyle w:val="BodyText1"/>
              <w:tabs>
                <w:tab w:val="left" w:pos="4755"/>
              </w:tabs>
              <w:spacing w:line="240" w:lineRule="auto"/>
              <w:rPr>
                <w:rFonts w:ascii="Times New Roman" w:hAnsi="Times New Roman"/>
              </w:rPr>
            </w:pPr>
          </w:p>
          <w:p w:rsidR="00410E47" w:rsidRPr="00FE002E" w:rsidRDefault="00410E47" w:rsidP="007E2A41">
            <w:pPr>
              <w:pStyle w:val="BodyText1"/>
              <w:tabs>
                <w:tab w:val="left" w:pos="4755"/>
              </w:tabs>
              <w:spacing w:line="240" w:lineRule="auto"/>
              <w:rPr>
                <w:rFonts w:ascii="Times New Roman" w:hAnsi="Times New Roman"/>
              </w:rPr>
            </w:pPr>
            <w:r>
              <w:rPr>
                <w:rFonts w:ascii="Times New Roman" w:hAnsi="Times New Roman"/>
              </w:rPr>
              <w:t>Ein CCLT ist definiert als Kombination aus zwei Geschäften, wobei ein Institut Wertpapiere vom Wertpapier-Inhaber ausleiht und diese Wertpapiere an den Wertpapier-Entleiher weiter verleiht. Parallel dazu erhält das Institut vom Wertpapier-Entleiher Barsicherheiten und verleiht diese entgegengenommenen Barmittel weiter an den Wertpapier-Inhaber. Ein anerkennungsfähiges CCLT muss alle folgenden Anforderungen erfüllen:</w:t>
            </w:r>
          </w:p>
          <w:p w:rsidR="00410E47" w:rsidRPr="00FE002E" w:rsidRDefault="00410E47" w:rsidP="007E2A41">
            <w:pPr>
              <w:pStyle w:val="BodyText1"/>
              <w:tabs>
                <w:tab w:val="left" w:pos="4755"/>
              </w:tabs>
              <w:spacing w:line="240" w:lineRule="auto"/>
              <w:rPr>
                <w:rFonts w:ascii="Times New Roman" w:hAnsi="Times New Roman"/>
              </w:rPr>
            </w:pPr>
          </w:p>
          <w:p w:rsidR="00410E47" w:rsidRPr="00FE002E" w:rsidRDefault="00500508" w:rsidP="00500508">
            <w:pPr>
              <w:pStyle w:val="Paragraph"/>
              <w:ind w:left="794" w:hanging="794"/>
              <w:rPr>
                <w:rFonts w:ascii="Times New Roman" w:hAnsi="Times New Roman"/>
                <w:color w:val="000000"/>
              </w:rPr>
            </w:pPr>
            <w:r>
              <w:rPr>
                <w:rFonts w:ascii="Times New Roman" w:hAnsi="Times New Roman"/>
                <w:color w:val="000000"/>
              </w:rPr>
              <w:t>a)</w:t>
            </w:r>
            <w:r>
              <w:tab/>
            </w:r>
            <w:r>
              <w:rPr>
                <w:rFonts w:ascii="Times New Roman" w:hAnsi="Times New Roman"/>
                <w:color w:val="000000"/>
              </w:rPr>
              <w:t>Die beiden einzelnen Geschäfte, aus denen das anerkennungsfähige CCLT besteht, werden beide am gleichen Handelstag ausgeführt, bzw. bei internationalen Geschäften an aufeinanderfolgenden Geschäftstagen;</w:t>
            </w:r>
          </w:p>
          <w:p w:rsidR="00410E47" w:rsidRPr="00FE002E" w:rsidRDefault="00500508" w:rsidP="00500508">
            <w:pPr>
              <w:pStyle w:val="Paragraph"/>
              <w:ind w:left="794" w:hanging="794"/>
              <w:rPr>
                <w:rFonts w:ascii="Times New Roman" w:hAnsi="Times New Roman"/>
                <w:color w:val="000000"/>
              </w:rPr>
            </w:pPr>
            <w:r>
              <w:rPr>
                <w:rFonts w:ascii="Times New Roman" w:hAnsi="Times New Roman"/>
                <w:color w:val="000000"/>
              </w:rPr>
              <w:t>b)</w:t>
            </w:r>
            <w:r>
              <w:tab/>
            </w:r>
            <w:r>
              <w:rPr>
                <w:rFonts w:ascii="Times New Roman" w:hAnsi="Times New Roman"/>
                <w:color w:val="000000"/>
              </w:rPr>
              <w:t>wenn bei den Geschäften, aus denen das CCLT besteht, keine Laufzeit angegeben ist, ist das Institut gesetzlich dazu berechtigt, jede der beiden Seiten des CCLT, d. h. also beide Geschäfte, aus denen das CCLT besteht, jederzeit und unangekündigt glattzustellen;</w:t>
            </w:r>
          </w:p>
          <w:p w:rsidR="00410E47" w:rsidRPr="00FE002E" w:rsidRDefault="00500508" w:rsidP="00500508">
            <w:pPr>
              <w:pStyle w:val="Paragraph"/>
              <w:ind w:left="794" w:hanging="794"/>
              <w:rPr>
                <w:rFonts w:ascii="Times New Roman" w:hAnsi="Times New Roman"/>
                <w:color w:val="000000"/>
              </w:rPr>
            </w:pPr>
            <w:r>
              <w:rPr>
                <w:rFonts w:ascii="Times New Roman" w:hAnsi="Times New Roman"/>
                <w:color w:val="000000"/>
              </w:rPr>
              <w:t>c)</w:t>
            </w:r>
            <w:r>
              <w:tab/>
            </w:r>
            <w:r>
              <w:rPr>
                <w:rFonts w:ascii="Times New Roman" w:hAnsi="Times New Roman"/>
                <w:color w:val="000000"/>
              </w:rPr>
              <w:t>wenn bei den Geschäften, aus denen das CCLT besteht, eine Laufzeit angegeben ist, gibt es bei dem CCLT für das Institut keine Diskrepanz zwischen den beiden Laufzeiten und ist das Institut gesetzlich dazu berechtigt, jede der beiden Seiten des CCLT, d. h. also beide Geschäfte, aus denen das CCLT besteht, jederzeit und unangekündigt glattzustellen;</w:t>
            </w:r>
          </w:p>
          <w:p w:rsidR="00410E47" w:rsidRPr="00FE002E" w:rsidRDefault="00500508" w:rsidP="00500508">
            <w:pPr>
              <w:pStyle w:val="Paragraph"/>
              <w:ind w:left="794" w:hanging="794"/>
              <w:rPr>
                <w:rFonts w:ascii="Times New Roman" w:hAnsi="Times New Roman"/>
                <w:color w:val="000000"/>
              </w:rPr>
            </w:pPr>
            <w:r>
              <w:rPr>
                <w:rFonts w:ascii="Times New Roman" w:hAnsi="Times New Roman"/>
                <w:color w:val="000000"/>
              </w:rPr>
              <w:t>d)</w:t>
            </w:r>
            <w:r>
              <w:tab/>
            </w:r>
            <w:r>
              <w:rPr>
                <w:rFonts w:ascii="Times New Roman" w:hAnsi="Times New Roman"/>
                <w:color w:val="000000"/>
              </w:rPr>
              <w:t>das CCLT zieht keine anderen zusätzlichen Risiken nach sich.</w:t>
            </w:r>
          </w:p>
          <w:p w:rsidR="00410E47" w:rsidRPr="00FE002E" w:rsidRDefault="00410E47" w:rsidP="007E2A41">
            <w:pPr>
              <w:pStyle w:val="BodyText1"/>
              <w:spacing w:line="240" w:lineRule="auto"/>
              <w:rPr>
                <w:rFonts w:ascii="Times New Roman" w:hAnsi="Times New Roman"/>
                <w:b/>
                <w:bCs/>
              </w:rPr>
            </w:pPr>
          </w:p>
        </w:tc>
      </w:tr>
      <w:tr w:rsidR="004B5877" w:rsidRPr="00FE002E" w:rsidTr="004B5877">
        <w:tc>
          <w:tcPr>
            <w:tcW w:w="1418" w:type="dxa"/>
          </w:tcPr>
          <w:p w:rsidR="004B5877" w:rsidRPr="00FE002E" w:rsidRDefault="004B5877" w:rsidP="004178C8">
            <w:pPr>
              <w:pStyle w:val="BodyText1"/>
              <w:rPr>
                <w:rFonts w:ascii="Times New Roman" w:hAnsi="Times New Roman"/>
                <w:bCs/>
              </w:rPr>
            </w:pPr>
            <w:bookmarkStart w:id="63" w:name="_Toc322687882"/>
            <w:bookmarkEnd w:id="55"/>
            <w:r>
              <w:rPr>
                <w:rFonts w:ascii="Times New Roman" w:hAnsi="Times New Roman"/>
              </w:rPr>
              <w:lastRenderedPageBreak/>
              <w:t>{</w:t>
            </w:r>
            <w:r w:rsidRPr="00532F3A">
              <w:rPr>
                <w:rFonts w:ascii="Times New Roman" w:hAnsi="Times New Roman"/>
              </w:rPr>
              <w:t>250</w:t>
            </w:r>
            <w:r>
              <w:rPr>
                <w:rFonts w:ascii="Times New Roman" w:hAnsi="Times New Roman"/>
              </w:rPr>
              <w:t>;</w:t>
            </w:r>
            <w:r w:rsidRPr="00532F3A">
              <w:rPr>
                <w:rFonts w:ascii="Times New Roman" w:hAnsi="Times New Roman"/>
              </w:rPr>
              <w:t>120</w:t>
            </w:r>
            <w:r>
              <w:rPr>
                <w:rFonts w:ascii="Times New Roman" w:hAnsi="Times New Roman"/>
              </w:rPr>
              <w:t>}</w:t>
            </w:r>
          </w:p>
        </w:tc>
        <w:tc>
          <w:tcPr>
            <w:tcW w:w="7620" w:type="dxa"/>
          </w:tcPr>
          <w:p w:rsidR="004B5877" w:rsidRDefault="004B5877" w:rsidP="004B5877">
            <w:pPr>
              <w:pStyle w:val="BodyText1"/>
              <w:tabs>
                <w:tab w:val="left" w:pos="4755"/>
              </w:tabs>
              <w:spacing w:line="240" w:lineRule="auto"/>
              <w:rPr>
                <w:rFonts w:ascii="Times New Roman" w:hAnsi="Times New Roman"/>
                <w:bCs/>
              </w:rPr>
            </w:pPr>
            <w:r>
              <w:rPr>
                <w:rFonts w:ascii="Times New Roman" w:hAnsi="Times New Roman"/>
                <w:b/>
              </w:rPr>
              <w:t xml:space="preserve">Risikopositionen, bei denen nach Artikel </w:t>
            </w:r>
            <w:r w:rsidRPr="00532F3A">
              <w:rPr>
                <w:rFonts w:ascii="Times New Roman" w:hAnsi="Times New Roman"/>
                <w:b/>
              </w:rPr>
              <w:t>113</w:t>
            </w:r>
            <w:r>
              <w:rPr>
                <w:rFonts w:ascii="Times New Roman" w:hAnsi="Times New Roman"/>
                <w:b/>
              </w:rPr>
              <w:t xml:space="preserve"> Absatz </w:t>
            </w:r>
            <w:r w:rsidRPr="00532F3A">
              <w:rPr>
                <w:rFonts w:ascii="Times New Roman" w:hAnsi="Times New Roman"/>
                <w:b/>
              </w:rPr>
              <w:t>6</w:t>
            </w:r>
            <w:r>
              <w:rPr>
                <w:rFonts w:ascii="Times New Roman" w:hAnsi="Times New Roman"/>
                <w:b/>
              </w:rPr>
              <w:t xml:space="preserve"> CRR verfahren werden kann — hypothetisch ausgenommener Risikopositionsbetrag für die Verschuldungsquote</w:t>
            </w:r>
          </w:p>
          <w:p w:rsidR="00A46F6B" w:rsidRDefault="00A46F6B" w:rsidP="004178C8">
            <w:pPr>
              <w:pStyle w:val="BodyText1"/>
              <w:tabs>
                <w:tab w:val="left" w:pos="4755"/>
              </w:tabs>
              <w:spacing w:line="240" w:lineRule="auto"/>
              <w:rPr>
                <w:rFonts w:ascii="Times New Roman" w:hAnsi="Times New Roman"/>
                <w:bCs/>
              </w:rPr>
            </w:pPr>
          </w:p>
          <w:p w:rsidR="004B5877" w:rsidRDefault="004B5877" w:rsidP="004178C8">
            <w:pPr>
              <w:pStyle w:val="BodyText1"/>
              <w:tabs>
                <w:tab w:val="left" w:pos="4755"/>
              </w:tabs>
              <w:spacing w:line="240" w:lineRule="auto"/>
              <w:rPr>
                <w:rFonts w:ascii="Times New Roman" w:hAnsi="Times New Roman"/>
                <w:bCs/>
              </w:rPr>
            </w:pPr>
            <w:r>
              <w:rPr>
                <w:rFonts w:ascii="Times New Roman" w:hAnsi="Times New Roman"/>
              </w:rPr>
              <w:t xml:space="preserve">Der gesamte Risikopositionsbetrag für die Verschuldungsquote, der ausgenommen bliebe, würden die zuständigen Behörden in vollem Umfang die Ausnahme von Risikopositionen gestatten, die alle in Artikel </w:t>
            </w:r>
            <w:r w:rsidRPr="00532F3A">
              <w:rPr>
                <w:rFonts w:ascii="Times New Roman" w:hAnsi="Times New Roman"/>
              </w:rPr>
              <w:t>113</w:t>
            </w:r>
            <w:r>
              <w:rPr>
                <w:rFonts w:ascii="Times New Roman" w:hAnsi="Times New Roman"/>
              </w:rPr>
              <w:t xml:space="preserve"> Absatz </w:t>
            </w:r>
            <w:r w:rsidRPr="00532F3A">
              <w:rPr>
                <w:rFonts w:ascii="Times New Roman" w:hAnsi="Times New Roman"/>
              </w:rPr>
              <w:t>6</w:t>
            </w:r>
            <w:r>
              <w:rPr>
                <w:rFonts w:ascii="Times New Roman" w:hAnsi="Times New Roman"/>
              </w:rPr>
              <w:t xml:space="preserve"> Buchstaben a bis e CRR genannten Bedingungen erfüllen und für die eine Genehmigung nach Artikel </w:t>
            </w:r>
            <w:r w:rsidRPr="00532F3A">
              <w:rPr>
                <w:rFonts w:ascii="Times New Roman" w:hAnsi="Times New Roman"/>
              </w:rPr>
              <w:t>113</w:t>
            </w:r>
            <w:r>
              <w:rPr>
                <w:rFonts w:ascii="Times New Roman" w:hAnsi="Times New Roman"/>
              </w:rPr>
              <w:t xml:space="preserve"> Absatz </w:t>
            </w:r>
            <w:r w:rsidRPr="00532F3A">
              <w:rPr>
                <w:rFonts w:ascii="Times New Roman" w:hAnsi="Times New Roman"/>
              </w:rPr>
              <w:t>6</w:t>
            </w:r>
            <w:r>
              <w:rPr>
                <w:rFonts w:ascii="Times New Roman" w:hAnsi="Times New Roman"/>
              </w:rPr>
              <w:t xml:space="preserve"> CRR erteilt wurde. Hat die zuständige Behörde eine solche Erlaubnis bereits in vollem Umfang erteilt, entspricht der Wert in diesem Feld dem Wert in {LRCalc;</w:t>
            </w:r>
            <w:r w:rsidRPr="00532F3A">
              <w:rPr>
                <w:rFonts w:ascii="Times New Roman" w:hAnsi="Times New Roman"/>
              </w:rPr>
              <w:t>250</w:t>
            </w:r>
            <w:r>
              <w:rPr>
                <w:rFonts w:ascii="Times New Roman" w:hAnsi="Times New Roman"/>
              </w:rPr>
              <w:t>;</w:t>
            </w:r>
            <w:r w:rsidRPr="00532F3A">
              <w:rPr>
                <w:rFonts w:ascii="Times New Roman" w:hAnsi="Times New Roman"/>
              </w:rPr>
              <w:t>010</w:t>
            </w:r>
            <w:r>
              <w:rPr>
                <w:rFonts w:ascii="Times New Roman" w:hAnsi="Times New Roman"/>
              </w:rPr>
              <w:t>}.</w:t>
            </w:r>
          </w:p>
          <w:p w:rsidR="004B5877" w:rsidRPr="00FE002E" w:rsidRDefault="004B5877" w:rsidP="006A32F5">
            <w:pPr>
              <w:pStyle w:val="Paragraph"/>
              <w:ind w:firstLine="0"/>
              <w:rPr>
                <w:rFonts w:ascii="Times New Roman" w:hAnsi="Times New Roman"/>
                <w:b/>
                <w:bCs/>
              </w:rPr>
            </w:pPr>
          </w:p>
        </w:tc>
      </w:tr>
      <w:tr w:rsidR="004B5877" w:rsidRPr="00FE002E" w:rsidTr="004B5877">
        <w:tc>
          <w:tcPr>
            <w:tcW w:w="1418" w:type="dxa"/>
          </w:tcPr>
          <w:p w:rsidR="004B5877" w:rsidRPr="00FE002E" w:rsidRDefault="004B5877" w:rsidP="004178C8">
            <w:pPr>
              <w:pStyle w:val="BodyText1"/>
              <w:rPr>
                <w:rFonts w:ascii="Times New Roman" w:hAnsi="Times New Roman"/>
                <w:bCs/>
              </w:rPr>
            </w:pPr>
            <w:r>
              <w:rPr>
                <w:rFonts w:ascii="Times New Roman" w:hAnsi="Times New Roman"/>
              </w:rPr>
              <w:t>{</w:t>
            </w:r>
            <w:r w:rsidRPr="00532F3A">
              <w:rPr>
                <w:rFonts w:ascii="Times New Roman" w:hAnsi="Times New Roman"/>
              </w:rPr>
              <w:t>260</w:t>
            </w:r>
            <w:r>
              <w:rPr>
                <w:rFonts w:ascii="Times New Roman" w:hAnsi="Times New Roman"/>
              </w:rPr>
              <w:t>;</w:t>
            </w:r>
            <w:r w:rsidRPr="00532F3A">
              <w:rPr>
                <w:rFonts w:ascii="Times New Roman" w:hAnsi="Times New Roman"/>
              </w:rPr>
              <w:t>120</w:t>
            </w:r>
            <w:r>
              <w:rPr>
                <w:rFonts w:ascii="Times New Roman" w:hAnsi="Times New Roman"/>
              </w:rPr>
              <w:t>}</w:t>
            </w:r>
          </w:p>
        </w:tc>
        <w:tc>
          <w:tcPr>
            <w:tcW w:w="7620" w:type="dxa"/>
          </w:tcPr>
          <w:p w:rsidR="004B5877" w:rsidRPr="00FE002E" w:rsidRDefault="004B5877" w:rsidP="004B5877">
            <w:pPr>
              <w:pStyle w:val="BodyText1"/>
              <w:tabs>
                <w:tab w:val="left" w:pos="4755"/>
              </w:tabs>
              <w:spacing w:line="240" w:lineRule="auto"/>
              <w:rPr>
                <w:rFonts w:ascii="Times New Roman" w:hAnsi="Times New Roman"/>
                <w:b/>
                <w:bCs/>
              </w:rPr>
            </w:pPr>
            <w:r>
              <w:rPr>
                <w:rFonts w:ascii="Times New Roman" w:hAnsi="Times New Roman"/>
                <w:b/>
              </w:rPr>
              <w:t xml:space="preserve">Risikopositionen, die die in Artikel </w:t>
            </w:r>
            <w:r w:rsidRPr="00532F3A">
              <w:rPr>
                <w:rFonts w:ascii="Times New Roman" w:hAnsi="Times New Roman"/>
                <w:b/>
              </w:rPr>
              <w:t>429</w:t>
            </w:r>
            <w:r>
              <w:rPr>
                <w:rFonts w:ascii="Times New Roman" w:hAnsi="Times New Roman"/>
                <w:b/>
              </w:rPr>
              <w:t xml:space="preserve"> Absatz </w:t>
            </w:r>
            <w:r w:rsidRPr="00532F3A">
              <w:rPr>
                <w:rFonts w:ascii="Times New Roman" w:hAnsi="Times New Roman"/>
                <w:b/>
              </w:rPr>
              <w:t>14</w:t>
            </w:r>
            <w:r>
              <w:rPr>
                <w:rFonts w:ascii="Times New Roman" w:hAnsi="Times New Roman"/>
                <w:b/>
              </w:rPr>
              <w:t xml:space="preserve"> Buchstaben a bis c CRR genannten Anforderungen erfüllen — hypothetisch ausgenommener Risikopositionsbetrag für die Verschuldungsquote</w:t>
            </w:r>
          </w:p>
          <w:p w:rsidR="004B5877" w:rsidRDefault="004B5877" w:rsidP="004B5877">
            <w:pPr>
              <w:pStyle w:val="BodyText1"/>
              <w:tabs>
                <w:tab w:val="left" w:pos="4755"/>
              </w:tabs>
              <w:spacing w:line="240" w:lineRule="auto"/>
              <w:rPr>
                <w:rFonts w:ascii="Times New Roman" w:hAnsi="Times New Roman"/>
                <w:bCs/>
              </w:rPr>
            </w:pPr>
          </w:p>
          <w:p w:rsidR="00214D62" w:rsidRDefault="00214D62" w:rsidP="004B5877">
            <w:pPr>
              <w:pStyle w:val="BodyText1"/>
              <w:tabs>
                <w:tab w:val="left" w:pos="4755"/>
              </w:tabs>
              <w:spacing w:line="240" w:lineRule="auto"/>
              <w:rPr>
                <w:rFonts w:ascii="Times New Roman" w:hAnsi="Times New Roman"/>
                <w:bCs/>
              </w:rPr>
            </w:pPr>
            <w:r>
              <w:rPr>
                <w:rFonts w:ascii="Times New Roman" w:hAnsi="Times New Roman"/>
              </w:rPr>
              <w:t xml:space="preserve">Der gesamte Risikopositionsbetrag für die Verschuldungsquote, der ausgenommen bliebe, würden die zuständigen Behörden in vollem Umfang die Ausnahme von Risikopositionen gestatten, die die in Artikel </w:t>
            </w:r>
            <w:r w:rsidRPr="00532F3A">
              <w:rPr>
                <w:rFonts w:ascii="Times New Roman" w:hAnsi="Times New Roman"/>
              </w:rPr>
              <w:t>429</w:t>
            </w:r>
            <w:r>
              <w:rPr>
                <w:rFonts w:ascii="Times New Roman" w:hAnsi="Times New Roman"/>
              </w:rPr>
              <w:t xml:space="preserve"> Absatz </w:t>
            </w:r>
            <w:r w:rsidRPr="00532F3A">
              <w:rPr>
                <w:rFonts w:ascii="Times New Roman" w:hAnsi="Times New Roman"/>
              </w:rPr>
              <w:t>14</w:t>
            </w:r>
            <w:r>
              <w:rPr>
                <w:rFonts w:ascii="Times New Roman" w:hAnsi="Times New Roman"/>
              </w:rPr>
              <w:t xml:space="preserve"> Buchstaben a bis c CRR genannten Bedingungen erfüllen. Hat die zuständige Behörde eine solche Erlaubnis bereits in vollem Umfang erteilt, entspricht der Wert in diesem Feld dem Wert in {LRCalc;</w:t>
            </w:r>
            <w:r w:rsidRPr="00532F3A">
              <w:rPr>
                <w:rFonts w:ascii="Times New Roman" w:hAnsi="Times New Roman"/>
              </w:rPr>
              <w:t>260</w:t>
            </w:r>
            <w:r>
              <w:rPr>
                <w:rFonts w:ascii="Times New Roman" w:hAnsi="Times New Roman"/>
              </w:rPr>
              <w:t>;</w:t>
            </w:r>
            <w:r w:rsidRPr="00532F3A">
              <w:rPr>
                <w:rFonts w:ascii="Times New Roman" w:hAnsi="Times New Roman"/>
              </w:rPr>
              <w:t>010</w:t>
            </w:r>
            <w:r>
              <w:rPr>
                <w:rFonts w:ascii="Times New Roman" w:hAnsi="Times New Roman"/>
              </w:rPr>
              <w:t>}.</w:t>
            </w:r>
          </w:p>
          <w:p w:rsidR="004B5877" w:rsidRPr="00FE002E" w:rsidRDefault="004B5877" w:rsidP="006A32F5">
            <w:pPr>
              <w:pStyle w:val="Paragraph"/>
              <w:ind w:left="794" w:firstLine="0"/>
              <w:rPr>
                <w:rFonts w:ascii="Times New Roman" w:hAnsi="Times New Roman"/>
                <w:b/>
                <w:bCs/>
              </w:rPr>
            </w:pPr>
          </w:p>
        </w:tc>
      </w:tr>
    </w:tbl>
    <w:p w:rsidR="00F4754B" w:rsidRPr="00FE002E" w:rsidRDefault="00F4754B" w:rsidP="00F4754B">
      <w:pPr>
        <w:pStyle w:val="BodyText1"/>
        <w:rPr>
          <w:rFonts w:ascii="Times New Roman" w:hAnsi="Times New Roman"/>
          <w:b/>
        </w:rPr>
      </w:pPr>
    </w:p>
    <w:p w:rsidR="00217D1F" w:rsidRPr="00FE002E" w:rsidRDefault="00500508" w:rsidP="00500508">
      <w:pPr>
        <w:pStyle w:val="BodyText1"/>
        <w:ind w:left="357" w:hanging="357"/>
        <w:outlineLvl w:val="1"/>
        <w:rPr>
          <w:rFonts w:ascii="Times New Roman" w:hAnsi="Times New Roman"/>
          <w:b/>
        </w:rPr>
      </w:pPr>
      <w:bookmarkStart w:id="64" w:name="_Toc338669914"/>
      <w:bookmarkStart w:id="65" w:name="_Toc338669915"/>
      <w:bookmarkStart w:id="66" w:name="_Toc338669918"/>
      <w:bookmarkStart w:id="67" w:name="_Toc351048508"/>
      <w:bookmarkStart w:id="68" w:name="_Toc359414287"/>
      <w:bookmarkStart w:id="69" w:name="_Toc423089072"/>
      <w:bookmarkStart w:id="70" w:name="_Toc524078180"/>
      <w:bookmarkEnd w:id="64"/>
      <w:bookmarkEnd w:id="65"/>
      <w:bookmarkEnd w:id="66"/>
      <w:r w:rsidRPr="00532F3A">
        <w:rPr>
          <w:rFonts w:ascii="Times New Roman" w:hAnsi="Times New Roman"/>
          <w:b/>
        </w:rPr>
        <w:t>6</w:t>
      </w:r>
      <w:r>
        <w:rPr>
          <w:rFonts w:ascii="Times New Roman" w:hAnsi="Times New Roman"/>
          <w:b/>
        </w:rPr>
        <w:t>.</w:t>
      </w:r>
      <w:r>
        <w:tab/>
      </w:r>
      <w:r>
        <w:rPr>
          <w:rFonts w:ascii="Times New Roman" w:hAnsi="Times New Roman"/>
          <w:b/>
        </w:rPr>
        <w:t xml:space="preserve">C </w:t>
      </w:r>
      <w:r w:rsidRPr="00532F3A">
        <w:rPr>
          <w:rFonts w:ascii="Times New Roman" w:hAnsi="Times New Roman"/>
          <w:b/>
        </w:rPr>
        <w:t>41</w:t>
      </w:r>
      <w:r>
        <w:rPr>
          <w:rFonts w:ascii="Times New Roman" w:hAnsi="Times New Roman"/>
          <w:b/>
        </w:rPr>
        <w:t>.</w:t>
      </w:r>
      <w:r w:rsidRPr="00532F3A">
        <w:rPr>
          <w:rFonts w:ascii="Times New Roman" w:hAnsi="Times New Roman"/>
          <w:b/>
        </w:rPr>
        <w:t>00</w:t>
      </w:r>
      <w:r>
        <w:rPr>
          <w:rFonts w:ascii="Times New Roman" w:hAnsi="Times New Roman"/>
          <w:b/>
        </w:rPr>
        <w:t xml:space="preserve"> — Bilanzielle und außerbilanzielle Posten — zusätzliche Aufgliederung der Risikopositionen</w:t>
      </w:r>
      <w:bookmarkEnd w:id="67"/>
      <w:bookmarkEnd w:id="68"/>
      <w:r>
        <w:rPr>
          <w:rFonts w:ascii="Times New Roman" w:hAnsi="Times New Roman"/>
          <w:b/>
        </w:rPr>
        <w:t xml:space="preserve"> (LR</w:t>
      </w:r>
      <w:r w:rsidRPr="00532F3A">
        <w:rPr>
          <w:rFonts w:ascii="Times New Roman" w:hAnsi="Times New Roman"/>
          <w:b/>
        </w:rPr>
        <w:t>2</w:t>
      </w:r>
      <w:r>
        <w:rPr>
          <w:rFonts w:ascii="Times New Roman" w:hAnsi="Times New Roman"/>
          <w:b/>
        </w:rPr>
        <w:t>)</w:t>
      </w:r>
      <w:bookmarkEnd w:id="69"/>
      <w:bookmarkEnd w:id="70"/>
    </w:p>
    <w:p w:rsidR="00675587" w:rsidRPr="00FE002E" w:rsidRDefault="00675587" w:rsidP="007E2A41">
      <w:pPr>
        <w:pStyle w:val="BodyText1"/>
        <w:spacing w:line="240" w:lineRule="auto"/>
        <w:ind w:left="720"/>
        <w:rPr>
          <w:rFonts w:ascii="Times New Roman" w:hAnsi="Times New Roman"/>
          <w:bCs/>
        </w:rPr>
      </w:pPr>
    </w:p>
    <w:p w:rsidR="00F4754B" w:rsidRPr="00FE002E" w:rsidRDefault="00500508" w:rsidP="00500508">
      <w:pPr>
        <w:pStyle w:val="BodyText1"/>
        <w:spacing w:line="240" w:lineRule="auto"/>
        <w:ind w:left="720" w:hanging="360"/>
        <w:rPr>
          <w:rFonts w:ascii="Times New Roman" w:hAnsi="Times New Roman"/>
          <w:bCs/>
        </w:rPr>
      </w:pPr>
      <w:r w:rsidRPr="00532F3A">
        <w:rPr>
          <w:rFonts w:ascii="Times New Roman" w:hAnsi="Times New Roman"/>
        </w:rPr>
        <w:t>24</w:t>
      </w:r>
      <w:r>
        <w:rPr>
          <w:rFonts w:ascii="Times New Roman" w:hAnsi="Times New Roman"/>
        </w:rPr>
        <w:t>.</w:t>
      </w:r>
      <w:r>
        <w:tab/>
      </w:r>
      <w:r>
        <w:rPr>
          <w:rFonts w:ascii="Times New Roman" w:hAnsi="Times New Roman"/>
        </w:rPr>
        <w:t>In Meldebogen LR</w:t>
      </w:r>
      <w:r w:rsidRPr="00532F3A">
        <w:rPr>
          <w:rFonts w:ascii="Times New Roman" w:hAnsi="Times New Roman"/>
        </w:rPr>
        <w:t>2</w:t>
      </w:r>
      <w:r>
        <w:rPr>
          <w:rFonts w:ascii="Times New Roman" w:hAnsi="Times New Roman"/>
        </w:rPr>
        <w:t xml:space="preserve"> sind Angaben zu den zusätzlichen Aufgliederungsposten aller zum Anlagebuch gehörigen bilanziellen und außerbilanziellen Risikopositionen</w:t>
      </w:r>
      <w:r>
        <w:rPr>
          <w:rFonts w:ascii="Times New Roman" w:hAnsi="Times New Roman"/>
          <w:vertAlign w:val="superscript"/>
        </w:rPr>
        <w:footnoteReference w:id="2"/>
      </w:r>
      <w:r>
        <w:rPr>
          <w:rFonts w:ascii="Times New Roman" w:hAnsi="Times New Roman"/>
        </w:rPr>
        <w:t xml:space="preserve"> und aller zum Handelsbuch gehörigen Risikopositionen mit Gegenparteiausfallrisiko zu machen. Die Aufgliederung erfolgt nach den Risikogewichten gemäß dem Abschnitt „Kreditrisiko“ der CRR. Diese Angaben werden für </w:t>
      </w:r>
      <w:r>
        <w:rPr>
          <w:rFonts w:ascii="Times New Roman" w:hAnsi="Times New Roman"/>
        </w:rPr>
        <w:lastRenderedPageBreak/>
        <w:t xml:space="preserve">Risikopositionen nach dem Standardansatz und dem IRB-Ansatz (dem auf internen Beurteilungen basierenden Ansatz) jeweils anders abgeleitet. </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sidRPr="00532F3A">
        <w:rPr>
          <w:rFonts w:ascii="Times New Roman" w:hAnsi="Times New Roman"/>
        </w:rPr>
        <w:t>25</w:t>
      </w:r>
      <w:r>
        <w:rPr>
          <w:rFonts w:ascii="Times New Roman" w:hAnsi="Times New Roman"/>
        </w:rPr>
        <w:t>.</w:t>
      </w:r>
      <w:r>
        <w:tab/>
      </w:r>
      <w:r>
        <w:rPr>
          <w:rFonts w:ascii="Times New Roman" w:hAnsi="Times New Roman"/>
        </w:rPr>
        <w:t>Bei Risikopositionen, die durch CRM-Verfahren gestützt werden, die eine Substitution der Risikogewichtung der Gegenpartei durch die Risikogewichtung der Garantie vorsehen, haben die Institute das Risikogewicht nach dem Substitutionseffekt anzugeben. Nach dem IRB-Ansatz führen die Institute folgende Berechnung durch: bei Risikopositionen (außer solchen, für die spezifische aufsichtliche Risikogewichte vorgesehen sind), die zu jeder Schuldner-Bonitätsstufe gehören, ist das Risikogewicht durch Division abzuleiten: die nach der Formel zur Risikogewichtsberechnung oder der aufsichtlichen Formel (für das Kreditrisiko bzw. das Besicherungsrisiko) berechnete risikogewichtete Risikoposition wird durch den Wert der Risikoposition unter Berücksichtigung der Zu- und Abflüsse aufgrund von CRM-Verfahren mit Substitutionswirkung auf die Risikoposition dividiert. Nach dem IRB-Ansatz sind Risikopositionen, die als ausgefallen einzustufen sind, von {</w:t>
      </w:r>
      <w:r w:rsidRPr="00532F3A">
        <w:rPr>
          <w:rFonts w:ascii="Times New Roman" w:hAnsi="Times New Roman"/>
        </w:rPr>
        <w:t>020</w:t>
      </w:r>
      <w:r>
        <w:rPr>
          <w:rFonts w:ascii="Times New Roman" w:hAnsi="Times New Roman"/>
        </w:rPr>
        <w:t>;</w:t>
      </w:r>
      <w:r w:rsidRPr="00532F3A">
        <w:rPr>
          <w:rFonts w:ascii="Times New Roman" w:hAnsi="Times New Roman"/>
        </w:rPr>
        <w:t>010</w:t>
      </w:r>
      <w:r>
        <w:rPr>
          <w:rFonts w:ascii="Times New Roman" w:hAnsi="Times New Roman"/>
        </w:rPr>
        <w:t>} bis {</w:t>
      </w:r>
      <w:r w:rsidRPr="00532F3A">
        <w:rPr>
          <w:rFonts w:ascii="Times New Roman" w:hAnsi="Times New Roman"/>
        </w:rPr>
        <w:t>090</w:t>
      </w:r>
      <w:r>
        <w:rPr>
          <w:rFonts w:ascii="Times New Roman" w:hAnsi="Times New Roman"/>
        </w:rPr>
        <w:t>;</w:t>
      </w:r>
      <w:r w:rsidRPr="00532F3A">
        <w:rPr>
          <w:rFonts w:ascii="Times New Roman" w:hAnsi="Times New Roman"/>
        </w:rPr>
        <w:t>010</w:t>
      </w:r>
      <w:r>
        <w:rPr>
          <w:rFonts w:ascii="Times New Roman" w:hAnsi="Times New Roman"/>
        </w:rPr>
        <w:t>} auszuschließen und in{</w:t>
      </w:r>
      <w:r w:rsidRPr="00532F3A">
        <w:rPr>
          <w:rFonts w:ascii="Times New Roman" w:hAnsi="Times New Roman"/>
        </w:rPr>
        <w:t>100</w:t>
      </w:r>
      <w:r>
        <w:rPr>
          <w:rFonts w:ascii="Times New Roman" w:hAnsi="Times New Roman"/>
        </w:rPr>
        <w:t>;</w:t>
      </w:r>
      <w:r w:rsidRPr="00532F3A">
        <w:rPr>
          <w:rFonts w:ascii="Times New Roman" w:hAnsi="Times New Roman"/>
        </w:rPr>
        <w:t>010</w:t>
      </w:r>
      <w:r>
        <w:rPr>
          <w:rFonts w:ascii="Times New Roman" w:hAnsi="Times New Roman"/>
        </w:rPr>
        <w:t xml:space="preserve">} aufzunehmen. Nach dem Standardansatz sind Risikopositionen, die unter Artikel </w:t>
      </w:r>
      <w:r w:rsidRPr="00532F3A">
        <w:rPr>
          <w:rFonts w:ascii="Times New Roman" w:hAnsi="Times New Roman"/>
        </w:rPr>
        <w:t>112</w:t>
      </w:r>
      <w:r>
        <w:rPr>
          <w:rFonts w:ascii="Times New Roman" w:hAnsi="Times New Roman"/>
        </w:rPr>
        <w:t xml:space="preserve"> Buchstabe j CRR fallen, von {</w:t>
      </w:r>
      <w:r w:rsidRPr="00532F3A">
        <w:rPr>
          <w:rFonts w:ascii="Times New Roman" w:hAnsi="Times New Roman"/>
        </w:rPr>
        <w:t>020</w:t>
      </w:r>
      <w:r>
        <w:rPr>
          <w:rFonts w:ascii="Times New Roman" w:hAnsi="Times New Roman"/>
        </w:rPr>
        <w:t>;</w:t>
      </w:r>
      <w:r w:rsidRPr="00532F3A">
        <w:rPr>
          <w:rFonts w:ascii="Times New Roman" w:hAnsi="Times New Roman"/>
        </w:rPr>
        <w:t>020</w:t>
      </w:r>
      <w:r>
        <w:rPr>
          <w:rFonts w:ascii="Times New Roman" w:hAnsi="Times New Roman"/>
        </w:rPr>
        <w:t>} bis {</w:t>
      </w:r>
      <w:r w:rsidRPr="00532F3A">
        <w:rPr>
          <w:rFonts w:ascii="Times New Roman" w:hAnsi="Times New Roman"/>
        </w:rPr>
        <w:t>090</w:t>
      </w:r>
      <w:r>
        <w:rPr>
          <w:rFonts w:ascii="Times New Roman" w:hAnsi="Times New Roman"/>
        </w:rPr>
        <w:t>;</w:t>
      </w:r>
      <w:r w:rsidRPr="00532F3A">
        <w:rPr>
          <w:rFonts w:ascii="Times New Roman" w:hAnsi="Times New Roman"/>
        </w:rPr>
        <w:t>020</w:t>
      </w:r>
      <w:r>
        <w:rPr>
          <w:rFonts w:ascii="Times New Roman" w:hAnsi="Times New Roman"/>
        </w:rPr>
        <w:t>} auszuschließen und in{</w:t>
      </w:r>
      <w:r w:rsidRPr="00532F3A">
        <w:rPr>
          <w:rFonts w:ascii="Times New Roman" w:hAnsi="Times New Roman"/>
        </w:rPr>
        <w:t>100</w:t>
      </w:r>
      <w:r>
        <w:rPr>
          <w:rFonts w:ascii="Times New Roman" w:hAnsi="Times New Roman"/>
        </w:rPr>
        <w:t>;</w:t>
      </w:r>
      <w:r w:rsidRPr="00532F3A">
        <w:rPr>
          <w:rFonts w:ascii="Times New Roman" w:hAnsi="Times New Roman"/>
        </w:rPr>
        <w:t>020</w:t>
      </w:r>
      <w:r>
        <w:rPr>
          <w:rFonts w:ascii="Times New Roman" w:hAnsi="Times New Roman"/>
        </w:rPr>
        <w:t>} aufzunehmen.</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sidRPr="00532F3A">
        <w:rPr>
          <w:rFonts w:ascii="Times New Roman" w:hAnsi="Times New Roman"/>
        </w:rPr>
        <w:t>26</w:t>
      </w:r>
      <w:r>
        <w:rPr>
          <w:rFonts w:ascii="Times New Roman" w:hAnsi="Times New Roman"/>
        </w:rPr>
        <w:t>.</w:t>
      </w:r>
      <w:r>
        <w:tab/>
      </w:r>
      <w:r>
        <w:rPr>
          <w:rFonts w:ascii="Times New Roman" w:hAnsi="Times New Roman"/>
        </w:rPr>
        <w:t xml:space="preserve">Bei beiden Ansätzen gehen die Institute davon aus, dass Risikopositionen, die vom aufsichtsrechtlichen Eigenkapital abgezogen werden, ein Risikogewicht von </w:t>
      </w:r>
      <w:r w:rsidRPr="00532F3A">
        <w:rPr>
          <w:rFonts w:ascii="Times New Roman" w:hAnsi="Times New Roman"/>
        </w:rPr>
        <w:t>1250</w:t>
      </w:r>
      <w:r>
        <w:rPr>
          <w:rFonts w:ascii="Times New Roman" w:hAnsi="Times New Roman"/>
        </w:rPr>
        <w:t> % zugewiesen wird.</w:t>
      </w:r>
    </w:p>
    <w:p w:rsidR="00675587" w:rsidRPr="00FE002E" w:rsidRDefault="00675587" w:rsidP="00675587">
      <w:pPr>
        <w:pStyle w:val="BodyText1"/>
        <w:rPr>
          <w:rFonts w:ascii="Times New Roman" w:hAnsi="Times New Roman"/>
        </w:rPr>
      </w:pP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FE002E" w:rsidTr="00FC2664">
        <w:tc>
          <w:tcPr>
            <w:tcW w:w="1418" w:type="dxa"/>
            <w:shd w:val="clear" w:color="auto" w:fill="D9D9D9"/>
          </w:tcPr>
          <w:p w:rsidR="00F4754B" w:rsidRPr="00FE002E" w:rsidRDefault="00F4754B" w:rsidP="00F0756A">
            <w:pPr>
              <w:pStyle w:val="BodyText1"/>
              <w:spacing w:line="240" w:lineRule="auto"/>
              <w:rPr>
                <w:rFonts w:ascii="Times New Roman" w:hAnsi="Times New Roman"/>
                <w:b/>
              </w:rPr>
            </w:pPr>
            <w:r>
              <w:rPr>
                <w:rFonts w:ascii="Times New Roman" w:hAnsi="Times New Roman"/>
                <w:b/>
              </w:rPr>
              <w:t xml:space="preserve">Zeile </w:t>
            </w:r>
          </w:p>
          <w:p w:rsidR="00F4754B" w:rsidRPr="00FE002E" w:rsidRDefault="00F4754B" w:rsidP="00F0756A">
            <w:pPr>
              <w:pStyle w:val="BodyText1"/>
              <w:spacing w:line="240" w:lineRule="auto"/>
              <w:rPr>
                <w:rFonts w:ascii="Times New Roman" w:hAnsi="Times New Roman"/>
                <w:b/>
                <w:bCs/>
              </w:rPr>
            </w:pPr>
          </w:p>
        </w:tc>
        <w:tc>
          <w:tcPr>
            <w:tcW w:w="7620" w:type="dxa"/>
            <w:shd w:val="clear" w:color="auto" w:fill="D9D9D9"/>
          </w:tcPr>
          <w:p w:rsidR="00F4754B" w:rsidRPr="00FE002E" w:rsidRDefault="00F4754B" w:rsidP="00F0756A">
            <w:pPr>
              <w:pStyle w:val="BodyText1"/>
              <w:spacing w:line="240" w:lineRule="auto"/>
              <w:rPr>
                <w:rFonts w:ascii="Times New Roman" w:hAnsi="Times New Roman"/>
                <w:b/>
                <w:bCs/>
              </w:rPr>
            </w:pPr>
            <w:r>
              <w:rPr>
                <w:rFonts w:ascii="Times New Roman" w:hAnsi="Times New Roman"/>
                <w:b/>
              </w:rPr>
              <w:t>Rechtsgrundlagen und Erläuterungen</w:t>
            </w:r>
          </w:p>
          <w:p w:rsidR="00F4754B" w:rsidRPr="00FE002E" w:rsidRDefault="00F4754B" w:rsidP="00F0756A">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532F3A">
              <w:rPr>
                <w:rFonts w:ascii="Times New Roman" w:hAnsi="Times New Roman"/>
              </w:rPr>
              <w:t>010</w:t>
            </w:r>
          </w:p>
          <w:p w:rsidR="00F4754B" w:rsidRPr="00FE002E" w:rsidRDefault="00F4754B" w:rsidP="00F4754B">
            <w:pPr>
              <w:pStyle w:val="BodyText1"/>
              <w:rPr>
                <w:rFonts w:ascii="Times New Roman" w:hAnsi="Times New Roman"/>
                <w:bCs/>
              </w:rPr>
            </w:pPr>
          </w:p>
        </w:tc>
        <w:tc>
          <w:tcPr>
            <w:tcW w:w="7620" w:type="dxa"/>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Summe der dem Anlagebuch zugehörigen bilanziellen und außerbilanziellen Risikopositionen sowie Risikopositionen des Handelsbuchs, die einem Gegenparteiausfallrisiko unterliegen (Aufgliederung nach dem Risikogewicht):</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Summe der Felder {</w:t>
            </w:r>
            <w:r w:rsidRPr="00532F3A">
              <w:rPr>
                <w:rFonts w:ascii="Times New Roman" w:hAnsi="Times New Roman"/>
              </w:rPr>
              <w:t>020</w:t>
            </w:r>
            <w:r>
              <w:rPr>
                <w:rFonts w:ascii="Times New Roman" w:hAnsi="Times New Roman"/>
              </w:rPr>
              <w:t>:*} bis {</w:t>
            </w:r>
            <w:r w:rsidRPr="00532F3A">
              <w:rPr>
                <w:rFonts w:ascii="Times New Roman" w:hAnsi="Times New Roman"/>
              </w:rPr>
              <w:t>100</w:t>
            </w:r>
            <w:r>
              <w:rPr>
                <w:rFonts w:ascii="Times New Roman" w:hAnsi="Times New Roman"/>
              </w:rPr>
              <w:t>;*}.</w:t>
            </w:r>
          </w:p>
          <w:p w:rsidR="002509B1" w:rsidRPr="00FE002E" w:rsidRDefault="002509B1"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532F3A">
              <w:rPr>
                <w:rFonts w:ascii="Times New Roman" w:hAnsi="Times New Roman"/>
              </w:rPr>
              <w:t>020</w:t>
            </w:r>
          </w:p>
          <w:p w:rsidR="00F4754B" w:rsidRPr="00FE002E" w:rsidRDefault="00F4754B" w:rsidP="00F4754B">
            <w:pPr>
              <w:pStyle w:val="BodyText1"/>
              <w:rPr>
                <w:rFonts w:ascii="Times New Roman" w:hAnsi="Times New Roman"/>
                <w:b/>
                <w:bCs/>
                <w:u w:val="single"/>
              </w:rPr>
            </w:pPr>
          </w:p>
        </w:tc>
        <w:tc>
          <w:tcPr>
            <w:tcW w:w="7620" w:type="dxa"/>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 xml:space="preserve">= </w:t>
            </w:r>
            <w:r w:rsidRPr="00532F3A">
              <w:rPr>
                <w:rFonts w:ascii="Times New Roman" w:hAnsi="Times New Roman"/>
                <w:b/>
              </w:rPr>
              <w:t>0</w:t>
            </w:r>
            <w:r>
              <w:rPr>
                <w:rFonts w:ascii="Times New Roman" w:hAnsi="Times New Roman"/>
                <w:b/>
              </w:rPr>
              <w:t> %</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Risikopositionen mit einem Risikogewicht von </w:t>
            </w:r>
            <w:r w:rsidRPr="00532F3A">
              <w:rPr>
                <w:rFonts w:ascii="Times New Roman" w:hAnsi="Times New Roman"/>
              </w:rPr>
              <w:t>0</w:t>
            </w:r>
            <w:r>
              <w:rPr>
                <w:rFonts w:ascii="Times New Roman" w:hAnsi="Times New Roman"/>
              </w:rPr>
              <w:t> %.</w:t>
            </w:r>
          </w:p>
          <w:p w:rsidR="002509B1" w:rsidRPr="00FE002E" w:rsidRDefault="002509B1"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532F3A">
              <w:rPr>
                <w:rFonts w:ascii="Times New Roman" w:hAnsi="Times New Roman"/>
              </w:rPr>
              <w:t>030</w:t>
            </w:r>
          </w:p>
        </w:tc>
        <w:tc>
          <w:tcPr>
            <w:tcW w:w="7620" w:type="dxa"/>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 xml:space="preserve">&gt; </w:t>
            </w:r>
            <w:r w:rsidRPr="00532F3A">
              <w:rPr>
                <w:rFonts w:ascii="Times New Roman" w:hAnsi="Times New Roman"/>
                <w:b/>
              </w:rPr>
              <w:t>0</w:t>
            </w:r>
            <w:r>
              <w:rPr>
                <w:rFonts w:ascii="Times New Roman" w:hAnsi="Times New Roman"/>
                <w:b/>
              </w:rPr>
              <w:t xml:space="preserve"> % und ≤ </w:t>
            </w:r>
            <w:r w:rsidRPr="00532F3A">
              <w:rPr>
                <w:rFonts w:ascii="Times New Roman" w:hAnsi="Times New Roman"/>
                <w:b/>
              </w:rPr>
              <w:t>12</w:t>
            </w:r>
            <w:r>
              <w:rPr>
                <w:rFonts w:ascii="Times New Roman" w:hAnsi="Times New Roman"/>
                <w:b/>
              </w:rPr>
              <w:t> %</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Risikopositionen mit einem Risikogewicht innerhalb einer Bandbreite von Risikogewichten, die strikt größer als </w:t>
            </w:r>
            <w:r w:rsidRPr="00532F3A">
              <w:rPr>
                <w:rFonts w:ascii="Times New Roman" w:hAnsi="Times New Roman"/>
              </w:rPr>
              <w:t>0</w:t>
            </w:r>
            <w:r>
              <w:rPr>
                <w:rFonts w:ascii="Times New Roman" w:hAnsi="Times New Roman"/>
              </w:rPr>
              <w:t xml:space="preserve"> % und kleiner gleich </w:t>
            </w:r>
            <w:r w:rsidRPr="00532F3A">
              <w:rPr>
                <w:rFonts w:ascii="Times New Roman" w:hAnsi="Times New Roman"/>
              </w:rPr>
              <w:t>12</w:t>
            </w:r>
            <w:r>
              <w:rPr>
                <w:rFonts w:ascii="Times New Roman" w:hAnsi="Times New Roman"/>
              </w:rPr>
              <w:t> % sind.</w:t>
            </w:r>
          </w:p>
          <w:p w:rsidR="002509B1" w:rsidRPr="00FE002E" w:rsidRDefault="002509B1" w:rsidP="007E2A41">
            <w:pPr>
              <w:pStyle w:val="BodyText1"/>
              <w:spacing w:line="240" w:lineRule="auto"/>
              <w:rPr>
                <w:rFonts w:ascii="Times New Roman" w:hAnsi="Times New Roman"/>
              </w:rPr>
            </w:pPr>
          </w:p>
        </w:tc>
      </w:tr>
      <w:tr w:rsidR="00F4754B" w:rsidRPr="00FE002E" w:rsidTr="00FC2664">
        <w:tc>
          <w:tcPr>
            <w:tcW w:w="1418" w:type="dxa"/>
            <w:tcBorders>
              <w:bottom w:val="single" w:sz="4" w:space="0" w:color="auto"/>
            </w:tcBorders>
          </w:tcPr>
          <w:p w:rsidR="00F4754B" w:rsidRPr="00FE002E" w:rsidRDefault="00F4754B" w:rsidP="00F4754B">
            <w:pPr>
              <w:pStyle w:val="BodyText1"/>
              <w:rPr>
                <w:rFonts w:ascii="Times New Roman" w:hAnsi="Times New Roman"/>
                <w:bCs/>
              </w:rPr>
            </w:pPr>
            <w:r w:rsidRPr="00532F3A">
              <w:rPr>
                <w:rFonts w:ascii="Times New Roman" w:hAnsi="Times New Roman"/>
              </w:rPr>
              <w:t>040</w:t>
            </w:r>
          </w:p>
        </w:tc>
        <w:tc>
          <w:tcPr>
            <w:tcW w:w="7620" w:type="dxa"/>
            <w:tcBorders>
              <w:bottom w:val="single" w:sz="4" w:space="0" w:color="auto"/>
            </w:tcBorders>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 xml:space="preserve">&gt; </w:t>
            </w:r>
            <w:r w:rsidRPr="00532F3A">
              <w:rPr>
                <w:rFonts w:ascii="Times New Roman" w:hAnsi="Times New Roman"/>
                <w:b/>
              </w:rPr>
              <w:t>12</w:t>
            </w:r>
            <w:r>
              <w:rPr>
                <w:rFonts w:ascii="Times New Roman" w:hAnsi="Times New Roman"/>
                <w:b/>
              </w:rPr>
              <w:t xml:space="preserve"> % und ≤ </w:t>
            </w:r>
            <w:r w:rsidRPr="00532F3A">
              <w:rPr>
                <w:rFonts w:ascii="Times New Roman" w:hAnsi="Times New Roman"/>
                <w:b/>
              </w:rPr>
              <w:t>20</w:t>
            </w:r>
            <w:r>
              <w:rPr>
                <w:rFonts w:ascii="Times New Roman" w:hAnsi="Times New Roman"/>
                <w:b/>
              </w:rPr>
              <w:t> %</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Risikopositionen mit einem Risikogewicht innerhalb einer Bandbreite von Risikogewichten, die strikt größer als </w:t>
            </w:r>
            <w:r w:rsidRPr="00532F3A">
              <w:rPr>
                <w:rFonts w:ascii="Times New Roman" w:hAnsi="Times New Roman"/>
              </w:rPr>
              <w:t>12</w:t>
            </w:r>
            <w:r>
              <w:rPr>
                <w:rFonts w:ascii="Times New Roman" w:hAnsi="Times New Roman"/>
              </w:rPr>
              <w:t xml:space="preserve"> % und kleiner gleich </w:t>
            </w:r>
            <w:r w:rsidRPr="00532F3A">
              <w:rPr>
                <w:rFonts w:ascii="Times New Roman" w:hAnsi="Times New Roman"/>
              </w:rPr>
              <w:t>20</w:t>
            </w:r>
            <w:r>
              <w:rPr>
                <w:rFonts w:ascii="Times New Roman" w:hAnsi="Times New Roman"/>
              </w:rPr>
              <w:t xml:space="preserve"> % sind. </w:t>
            </w:r>
          </w:p>
          <w:p w:rsidR="002509B1" w:rsidRPr="00FE002E" w:rsidRDefault="002509B1"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532F3A">
              <w:rPr>
                <w:rFonts w:ascii="Times New Roman" w:hAnsi="Times New Roman"/>
              </w:rPr>
              <w:t>050</w:t>
            </w:r>
          </w:p>
        </w:tc>
        <w:tc>
          <w:tcPr>
            <w:tcW w:w="7620" w:type="dxa"/>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 xml:space="preserve">&gt; </w:t>
            </w:r>
            <w:r w:rsidRPr="00532F3A">
              <w:rPr>
                <w:rFonts w:ascii="Times New Roman" w:hAnsi="Times New Roman"/>
                <w:b/>
              </w:rPr>
              <w:t>20</w:t>
            </w:r>
            <w:r>
              <w:rPr>
                <w:rFonts w:ascii="Times New Roman" w:hAnsi="Times New Roman"/>
                <w:b/>
              </w:rPr>
              <w:t xml:space="preserve"> % und ≤ </w:t>
            </w:r>
            <w:r w:rsidRPr="00532F3A">
              <w:rPr>
                <w:rFonts w:ascii="Times New Roman" w:hAnsi="Times New Roman"/>
                <w:b/>
              </w:rPr>
              <w:t>50</w:t>
            </w:r>
            <w:r>
              <w:rPr>
                <w:rFonts w:ascii="Times New Roman" w:hAnsi="Times New Roman"/>
                <w:b/>
              </w:rPr>
              <w:t> %</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Risikopositionen mit einem Risikogewicht innerhalb einer Bandbreite von Risikogewichten, die strikt größer als </w:t>
            </w:r>
            <w:r w:rsidRPr="00532F3A">
              <w:rPr>
                <w:rFonts w:ascii="Times New Roman" w:hAnsi="Times New Roman"/>
              </w:rPr>
              <w:t>20</w:t>
            </w:r>
            <w:r>
              <w:rPr>
                <w:rFonts w:ascii="Times New Roman" w:hAnsi="Times New Roman"/>
              </w:rPr>
              <w:t xml:space="preserve"> % und kleiner gleich </w:t>
            </w:r>
            <w:r w:rsidRPr="00532F3A">
              <w:rPr>
                <w:rFonts w:ascii="Times New Roman" w:hAnsi="Times New Roman"/>
              </w:rPr>
              <w:t>50</w:t>
            </w:r>
            <w:r>
              <w:rPr>
                <w:rFonts w:ascii="Times New Roman" w:hAnsi="Times New Roman"/>
              </w:rPr>
              <w:t> % sind.</w:t>
            </w:r>
          </w:p>
          <w:p w:rsidR="002509B1" w:rsidRPr="00FE002E" w:rsidRDefault="002509B1"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532F3A">
              <w:rPr>
                <w:rFonts w:ascii="Times New Roman" w:hAnsi="Times New Roman"/>
              </w:rPr>
              <w:t>060</w:t>
            </w:r>
          </w:p>
          <w:p w:rsidR="00F4754B" w:rsidRPr="00FE002E" w:rsidRDefault="00F4754B" w:rsidP="00F4754B">
            <w:pPr>
              <w:pStyle w:val="BodyText1"/>
              <w:rPr>
                <w:rFonts w:ascii="Times New Roman" w:hAnsi="Times New Roman"/>
                <w:bCs/>
              </w:rPr>
            </w:pPr>
          </w:p>
        </w:tc>
        <w:tc>
          <w:tcPr>
            <w:tcW w:w="7620" w:type="dxa"/>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 xml:space="preserve">&gt; </w:t>
            </w:r>
            <w:r w:rsidRPr="00532F3A">
              <w:rPr>
                <w:rFonts w:ascii="Times New Roman" w:hAnsi="Times New Roman"/>
                <w:b/>
              </w:rPr>
              <w:t>50</w:t>
            </w:r>
            <w:r>
              <w:rPr>
                <w:rFonts w:ascii="Times New Roman" w:hAnsi="Times New Roman"/>
                <w:b/>
              </w:rPr>
              <w:t xml:space="preserve"> % und ≤ </w:t>
            </w:r>
            <w:r w:rsidRPr="00532F3A">
              <w:rPr>
                <w:rFonts w:ascii="Times New Roman" w:hAnsi="Times New Roman"/>
                <w:b/>
              </w:rPr>
              <w:t>75</w:t>
            </w:r>
            <w:r>
              <w:rPr>
                <w:rFonts w:ascii="Times New Roman" w:hAnsi="Times New Roman"/>
                <w:b/>
              </w:rPr>
              <w:t> %</w:t>
            </w: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 </w:t>
            </w: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Risikopositionen mit einem Risikogewicht innerhalb einer Bandbreite von Risikogewichten, die strikt größer als </w:t>
            </w:r>
            <w:r w:rsidRPr="00532F3A">
              <w:rPr>
                <w:rFonts w:ascii="Times New Roman" w:hAnsi="Times New Roman"/>
              </w:rPr>
              <w:t>50</w:t>
            </w:r>
            <w:r>
              <w:rPr>
                <w:rFonts w:ascii="Times New Roman" w:hAnsi="Times New Roman"/>
              </w:rPr>
              <w:t xml:space="preserve"> % und kleiner gleich </w:t>
            </w:r>
            <w:r w:rsidRPr="00532F3A">
              <w:rPr>
                <w:rFonts w:ascii="Times New Roman" w:hAnsi="Times New Roman"/>
              </w:rPr>
              <w:t>75</w:t>
            </w:r>
            <w:r>
              <w:rPr>
                <w:rFonts w:ascii="Times New Roman" w:hAnsi="Times New Roman"/>
              </w:rPr>
              <w:t> % sind.</w:t>
            </w:r>
          </w:p>
          <w:p w:rsidR="002509B1" w:rsidRPr="00FE002E" w:rsidRDefault="002509B1"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532F3A">
              <w:rPr>
                <w:rFonts w:ascii="Times New Roman" w:hAnsi="Times New Roman"/>
              </w:rPr>
              <w:t>070</w:t>
            </w:r>
          </w:p>
          <w:p w:rsidR="00F4754B" w:rsidRPr="00FE002E" w:rsidRDefault="00F4754B" w:rsidP="00F4754B">
            <w:pPr>
              <w:pStyle w:val="BodyText1"/>
              <w:rPr>
                <w:rFonts w:ascii="Times New Roman" w:hAnsi="Times New Roman"/>
                <w:bCs/>
              </w:rPr>
            </w:pPr>
          </w:p>
        </w:tc>
        <w:tc>
          <w:tcPr>
            <w:tcW w:w="7620" w:type="dxa"/>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 xml:space="preserve">&gt; </w:t>
            </w:r>
            <w:r w:rsidRPr="00532F3A">
              <w:rPr>
                <w:rFonts w:ascii="Times New Roman" w:hAnsi="Times New Roman"/>
                <w:b/>
              </w:rPr>
              <w:t>75</w:t>
            </w:r>
            <w:r>
              <w:rPr>
                <w:rFonts w:ascii="Times New Roman" w:hAnsi="Times New Roman"/>
                <w:b/>
              </w:rPr>
              <w:t xml:space="preserve"> % und ≤ </w:t>
            </w:r>
            <w:r w:rsidRPr="00532F3A">
              <w:rPr>
                <w:rFonts w:ascii="Times New Roman" w:hAnsi="Times New Roman"/>
                <w:b/>
              </w:rPr>
              <w:t>100</w:t>
            </w:r>
            <w:r>
              <w:rPr>
                <w:rFonts w:ascii="Times New Roman" w:hAnsi="Times New Roman"/>
                <w:b/>
              </w:rPr>
              <w:t> %</w:t>
            </w: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 </w:t>
            </w: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Risikopositionen mit einem Risikogewicht innerhalb einer Bandbreite von Risikogewichten, die strikt größer als </w:t>
            </w:r>
            <w:r w:rsidRPr="00532F3A">
              <w:rPr>
                <w:rFonts w:ascii="Times New Roman" w:hAnsi="Times New Roman"/>
              </w:rPr>
              <w:t>75</w:t>
            </w:r>
            <w:r>
              <w:rPr>
                <w:rFonts w:ascii="Times New Roman" w:hAnsi="Times New Roman"/>
              </w:rPr>
              <w:t xml:space="preserve"> % und kleiner gleich </w:t>
            </w:r>
            <w:r w:rsidRPr="00532F3A">
              <w:rPr>
                <w:rFonts w:ascii="Times New Roman" w:hAnsi="Times New Roman"/>
              </w:rPr>
              <w:t>100</w:t>
            </w:r>
            <w:r>
              <w:rPr>
                <w:rFonts w:ascii="Times New Roman" w:hAnsi="Times New Roman"/>
              </w:rPr>
              <w:t> % sind.</w:t>
            </w:r>
          </w:p>
          <w:p w:rsidR="002509B1" w:rsidRPr="00FE002E" w:rsidRDefault="002509B1"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532F3A">
              <w:rPr>
                <w:rFonts w:ascii="Times New Roman" w:hAnsi="Times New Roman"/>
              </w:rPr>
              <w:t>080</w:t>
            </w:r>
          </w:p>
          <w:p w:rsidR="00F4754B" w:rsidRPr="00FE002E" w:rsidRDefault="00F4754B" w:rsidP="00F4754B">
            <w:pPr>
              <w:pStyle w:val="BodyText1"/>
              <w:rPr>
                <w:rFonts w:ascii="Times New Roman" w:hAnsi="Times New Roman"/>
                <w:bCs/>
              </w:rPr>
            </w:pPr>
          </w:p>
        </w:tc>
        <w:tc>
          <w:tcPr>
            <w:tcW w:w="7620" w:type="dxa"/>
          </w:tcPr>
          <w:p w:rsidR="00F4754B" w:rsidRPr="00FE002E" w:rsidRDefault="00F4754B" w:rsidP="007E2A41">
            <w:pPr>
              <w:pStyle w:val="BodyText1"/>
              <w:spacing w:line="240" w:lineRule="auto"/>
              <w:rPr>
                <w:rFonts w:ascii="Times New Roman" w:hAnsi="Times New Roman"/>
                <w:bCs/>
              </w:rPr>
            </w:pPr>
            <w:r>
              <w:rPr>
                <w:rFonts w:ascii="Times New Roman" w:hAnsi="Times New Roman"/>
                <w:b/>
              </w:rPr>
              <w:lastRenderedPageBreak/>
              <w:t xml:space="preserve">&gt; </w:t>
            </w:r>
            <w:r w:rsidRPr="00532F3A">
              <w:rPr>
                <w:rFonts w:ascii="Times New Roman" w:hAnsi="Times New Roman"/>
                <w:b/>
              </w:rPr>
              <w:t>100</w:t>
            </w:r>
            <w:r>
              <w:rPr>
                <w:rFonts w:ascii="Times New Roman" w:hAnsi="Times New Roman"/>
                <w:b/>
              </w:rPr>
              <w:t xml:space="preserve"> % und ≤ </w:t>
            </w:r>
            <w:r w:rsidRPr="00532F3A">
              <w:rPr>
                <w:rFonts w:ascii="Times New Roman" w:hAnsi="Times New Roman"/>
                <w:b/>
              </w:rPr>
              <w:t>425</w:t>
            </w:r>
            <w:r>
              <w:rPr>
                <w:rFonts w:ascii="Times New Roman" w:hAnsi="Times New Roman"/>
                <w:b/>
              </w:rPr>
              <w:t> %</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Risikopositionen mit einem Risikogewicht innerhalb einer Bandbreite von Risikogewichten, die strikt größer als </w:t>
            </w:r>
            <w:r w:rsidRPr="00532F3A">
              <w:rPr>
                <w:rFonts w:ascii="Times New Roman" w:hAnsi="Times New Roman"/>
              </w:rPr>
              <w:t>100</w:t>
            </w:r>
            <w:r>
              <w:rPr>
                <w:rFonts w:ascii="Times New Roman" w:hAnsi="Times New Roman"/>
              </w:rPr>
              <w:t xml:space="preserve"> % und kleiner gleich </w:t>
            </w:r>
            <w:r w:rsidRPr="00532F3A">
              <w:rPr>
                <w:rFonts w:ascii="Times New Roman" w:hAnsi="Times New Roman"/>
              </w:rPr>
              <w:t>425</w:t>
            </w:r>
            <w:r>
              <w:rPr>
                <w:rFonts w:ascii="Times New Roman" w:hAnsi="Times New Roman"/>
              </w:rPr>
              <w:t> % sind.</w:t>
            </w:r>
          </w:p>
          <w:p w:rsidR="002509B1" w:rsidRPr="00FE002E" w:rsidRDefault="002509B1" w:rsidP="007E2A41">
            <w:pPr>
              <w:pStyle w:val="BodyText1"/>
              <w:spacing w:line="240" w:lineRule="auto"/>
              <w:rPr>
                <w:rFonts w:ascii="Times New Roman" w:hAnsi="Times New Roman"/>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532F3A">
              <w:rPr>
                <w:rFonts w:ascii="Times New Roman" w:hAnsi="Times New Roman"/>
              </w:rPr>
              <w:lastRenderedPageBreak/>
              <w:t>090</w:t>
            </w:r>
          </w:p>
        </w:tc>
        <w:tc>
          <w:tcPr>
            <w:tcW w:w="7620" w:type="dxa"/>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 xml:space="preserve">&gt; </w:t>
            </w:r>
            <w:r w:rsidRPr="00532F3A">
              <w:rPr>
                <w:rFonts w:ascii="Times New Roman" w:hAnsi="Times New Roman"/>
                <w:b/>
              </w:rPr>
              <w:t>425</w:t>
            </w:r>
            <w:r>
              <w:rPr>
                <w:rFonts w:ascii="Times New Roman" w:hAnsi="Times New Roman"/>
                <w:b/>
              </w:rPr>
              <w:t xml:space="preserve"> % und ≤ </w:t>
            </w:r>
            <w:r w:rsidRPr="00532F3A">
              <w:rPr>
                <w:rFonts w:ascii="Times New Roman" w:hAnsi="Times New Roman"/>
                <w:b/>
              </w:rPr>
              <w:t>1250</w:t>
            </w:r>
            <w:r>
              <w:rPr>
                <w:rFonts w:ascii="Times New Roman" w:hAnsi="Times New Roman"/>
                <w:b/>
              </w:rPr>
              <w:t> %</w:t>
            </w: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 </w:t>
            </w: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Risikopositionen mit einem Risikogewicht innerhalb einer Bandbreite von Risikogewichten, die strikt größer als </w:t>
            </w:r>
            <w:r w:rsidRPr="00532F3A">
              <w:rPr>
                <w:rFonts w:ascii="Times New Roman" w:hAnsi="Times New Roman"/>
              </w:rPr>
              <w:t>425</w:t>
            </w:r>
            <w:r>
              <w:rPr>
                <w:rFonts w:ascii="Times New Roman" w:hAnsi="Times New Roman"/>
              </w:rPr>
              <w:t xml:space="preserve"> % und kleiner gleich </w:t>
            </w:r>
            <w:r w:rsidRPr="00532F3A">
              <w:rPr>
                <w:rFonts w:ascii="Times New Roman" w:hAnsi="Times New Roman"/>
              </w:rPr>
              <w:t>1250</w:t>
            </w:r>
            <w:r>
              <w:rPr>
                <w:rFonts w:ascii="Times New Roman" w:hAnsi="Times New Roman"/>
              </w:rPr>
              <w:t> % sind.</w:t>
            </w:r>
          </w:p>
          <w:p w:rsidR="002509B1" w:rsidRPr="00FE002E" w:rsidRDefault="002509B1" w:rsidP="007E2A41">
            <w:pPr>
              <w:pStyle w:val="BodyText1"/>
              <w:spacing w:line="240" w:lineRule="auto"/>
              <w:rPr>
                <w:rFonts w:ascii="Times New Roman" w:hAnsi="Times New Roman"/>
              </w:rPr>
            </w:pPr>
          </w:p>
        </w:tc>
      </w:tr>
      <w:tr w:rsidR="00F4754B" w:rsidRPr="00FE002E" w:rsidTr="00FC2664">
        <w:tc>
          <w:tcPr>
            <w:tcW w:w="1418" w:type="dxa"/>
            <w:tcBorders>
              <w:top w:val="single" w:sz="4" w:space="0" w:color="auto"/>
              <w:left w:val="single" w:sz="4" w:space="0" w:color="auto"/>
              <w:bottom w:val="single" w:sz="4" w:space="0" w:color="auto"/>
              <w:right w:val="single" w:sz="4" w:space="0" w:color="auto"/>
            </w:tcBorders>
          </w:tcPr>
          <w:p w:rsidR="00F4754B" w:rsidRPr="00FE002E" w:rsidRDefault="00F4754B" w:rsidP="00F4754B">
            <w:pPr>
              <w:pStyle w:val="BodyText1"/>
              <w:rPr>
                <w:rFonts w:ascii="Times New Roman" w:hAnsi="Times New Roman"/>
                <w:bCs/>
              </w:rPr>
            </w:pPr>
            <w:r w:rsidRPr="00532F3A">
              <w:rPr>
                <w:rFonts w:ascii="Times New Roman" w:hAnsi="Times New Roman"/>
              </w:rPr>
              <w:t>100</w:t>
            </w:r>
          </w:p>
        </w:tc>
        <w:tc>
          <w:tcPr>
            <w:tcW w:w="7620" w:type="dxa"/>
            <w:tcBorders>
              <w:top w:val="single" w:sz="4" w:space="0" w:color="auto"/>
              <w:left w:val="single" w:sz="4" w:space="0" w:color="auto"/>
              <w:bottom w:val="single" w:sz="4" w:space="0" w:color="auto"/>
              <w:right w:val="single" w:sz="4" w:space="0" w:color="auto"/>
            </w:tcBorders>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Ausgefallene Positionen</w:t>
            </w:r>
          </w:p>
          <w:p w:rsidR="00F4754B" w:rsidRPr="00FE002E" w:rsidRDefault="00F4754B" w:rsidP="007E2A41">
            <w:pPr>
              <w:pStyle w:val="BodyText1"/>
              <w:spacing w:line="240" w:lineRule="auto"/>
              <w:rPr>
                <w:rFonts w:ascii="Times New Roman" w:hAnsi="Times New Roman"/>
                <w:b/>
                <w:bCs/>
                <w:u w:val="single"/>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Nach dem Standardansatz Risikopositionen, die unter Artikel </w:t>
            </w:r>
            <w:r w:rsidRPr="00532F3A">
              <w:rPr>
                <w:rFonts w:ascii="Times New Roman" w:hAnsi="Times New Roman"/>
              </w:rPr>
              <w:t>112</w:t>
            </w:r>
            <w:r>
              <w:rPr>
                <w:rFonts w:ascii="Times New Roman" w:hAnsi="Times New Roman"/>
              </w:rPr>
              <w:t xml:space="preserve"> Buchstabe j CRR fallen.</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Nach dem IRB-Ansatz gelten alle Risikopositionen mit einer Ausfallwahrscheinlichkeit von </w:t>
            </w:r>
            <w:r w:rsidRPr="00532F3A">
              <w:rPr>
                <w:rFonts w:ascii="Times New Roman" w:hAnsi="Times New Roman"/>
              </w:rPr>
              <w:t>100</w:t>
            </w:r>
            <w:r>
              <w:rPr>
                <w:rFonts w:ascii="Times New Roman" w:hAnsi="Times New Roman"/>
              </w:rPr>
              <w:t xml:space="preserve"> % als ausgefallen. </w:t>
            </w:r>
          </w:p>
          <w:p w:rsidR="00F4754B" w:rsidRPr="00FE002E" w:rsidRDefault="00F4754B" w:rsidP="007E2A41">
            <w:pPr>
              <w:pStyle w:val="BodyText1"/>
              <w:spacing w:line="240" w:lineRule="auto"/>
              <w:rPr>
                <w:rFonts w:ascii="Times New Roman" w:hAnsi="Times New Roman"/>
                <w:bCs/>
                <w:u w:val="single"/>
              </w:rPr>
            </w:pPr>
          </w:p>
        </w:tc>
      </w:tr>
      <w:tr w:rsidR="00F4754B" w:rsidRPr="00FE002E" w:rsidTr="00FC2664">
        <w:tc>
          <w:tcPr>
            <w:tcW w:w="1418" w:type="dxa"/>
            <w:tcBorders>
              <w:top w:val="single" w:sz="4" w:space="0" w:color="auto"/>
              <w:left w:val="single" w:sz="4" w:space="0" w:color="auto"/>
              <w:bottom w:val="single" w:sz="4" w:space="0" w:color="auto"/>
              <w:right w:val="single" w:sz="4" w:space="0" w:color="auto"/>
            </w:tcBorders>
          </w:tcPr>
          <w:p w:rsidR="00F4754B" w:rsidRPr="00FE002E" w:rsidRDefault="00F4754B" w:rsidP="00F4754B">
            <w:pPr>
              <w:pStyle w:val="BodyText1"/>
              <w:rPr>
                <w:rFonts w:ascii="Times New Roman" w:hAnsi="Times New Roman"/>
                <w:bCs/>
              </w:rPr>
            </w:pPr>
            <w:r w:rsidRPr="00532F3A">
              <w:rPr>
                <w:rFonts w:ascii="Times New Roman" w:hAnsi="Times New Roman"/>
              </w:rPr>
              <w:t>110</w:t>
            </w:r>
          </w:p>
        </w:tc>
        <w:tc>
          <w:tcPr>
            <w:tcW w:w="7620" w:type="dxa"/>
            <w:tcBorders>
              <w:top w:val="single" w:sz="4" w:space="0" w:color="auto"/>
              <w:left w:val="single" w:sz="4" w:space="0" w:color="auto"/>
              <w:bottom w:val="single" w:sz="4" w:space="0" w:color="auto"/>
              <w:right w:val="single" w:sz="4" w:space="0" w:color="auto"/>
            </w:tcBorders>
          </w:tcPr>
          <w:p w:rsidR="00F4754B" w:rsidRPr="00FE002E" w:rsidRDefault="00F0756A" w:rsidP="007E2A41">
            <w:pPr>
              <w:pStyle w:val="BodyText1"/>
              <w:spacing w:line="240" w:lineRule="auto"/>
              <w:rPr>
                <w:rFonts w:ascii="Times New Roman" w:hAnsi="Times New Roman"/>
                <w:b/>
                <w:bCs/>
              </w:rPr>
            </w:pPr>
            <w:r>
              <w:rPr>
                <w:rFonts w:ascii="Times New Roman" w:hAnsi="Times New Roman"/>
                <w:b/>
              </w:rPr>
              <w:t xml:space="preserve">(Zusatzinformationen) Außerbilanzielle Posten mit niedrigem Risiko oder außerbilanzielle Posten mit einem Umrechnungsfaktor von </w:t>
            </w:r>
            <w:r w:rsidRPr="00532F3A">
              <w:rPr>
                <w:rFonts w:ascii="Times New Roman" w:hAnsi="Times New Roman"/>
                <w:b/>
              </w:rPr>
              <w:t>0</w:t>
            </w:r>
            <w:r>
              <w:rPr>
                <w:rFonts w:ascii="Times New Roman" w:hAnsi="Times New Roman"/>
                <w:b/>
              </w:rPr>
              <w:t> % beim Solvabilitätskoeffizienten</w:t>
            </w:r>
          </w:p>
          <w:p w:rsidR="00F4754B" w:rsidRPr="00FE002E" w:rsidRDefault="00F4754B" w:rsidP="007E2A41">
            <w:pPr>
              <w:pStyle w:val="BodyText1"/>
              <w:spacing w:line="240" w:lineRule="auto"/>
              <w:rPr>
                <w:rFonts w:ascii="Times New Roman" w:hAnsi="Times New Roman"/>
                <w:b/>
                <w:bCs/>
                <w:u w:val="single"/>
              </w:rPr>
            </w:pPr>
          </w:p>
          <w:p w:rsidR="00F4754B" w:rsidRPr="00FE002E" w:rsidRDefault="00F4754B" w:rsidP="007E2A41">
            <w:pPr>
              <w:pStyle w:val="BodyText1"/>
              <w:spacing w:line="240" w:lineRule="auto"/>
              <w:rPr>
                <w:rFonts w:ascii="Times New Roman" w:hAnsi="Times New Roman"/>
              </w:rPr>
            </w:pPr>
            <w:r>
              <w:rPr>
                <w:rFonts w:ascii="Times New Roman" w:hAnsi="Times New Roman"/>
              </w:rPr>
              <w:t xml:space="preserve">Außerbilanzielle Posten mit niedrigem Risiko gemäß Artikel </w:t>
            </w:r>
            <w:r w:rsidRPr="00532F3A">
              <w:rPr>
                <w:rFonts w:ascii="Times New Roman" w:hAnsi="Times New Roman"/>
              </w:rPr>
              <w:t>111</w:t>
            </w:r>
            <w:r>
              <w:rPr>
                <w:rFonts w:ascii="Times New Roman" w:hAnsi="Times New Roman"/>
              </w:rPr>
              <w:t xml:space="preserve"> CRR und außerbilanzielle Posten mit einem Umrechnungsfaktor von </w:t>
            </w:r>
            <w:r w:rsidRPr="00532F3A">
              <w:rPr>
                <w:rFonts w:ascii="Times New Roman" w:hAnsi="Times New Roman"/>
              </w:rPr>
              <w:t>0</w:t>
            </w:r>
            <w:r>
              <w:rPr>
                <w:rFonts w:ascii="Times New Roman" w:hAnsi="Times New Roman"/>
              </w:rPr>
              <w:t xml:space="preserve"> % gemäß Artikel </w:t>
            </w:r>
            <w:r w:rsidRPr="00532F3A">
              <w:rPr>
                <w:rFonts w:ascii="Times New Roman" w:hAnsi="Times New Roman"/>
              </w:rPr>
              <w:t>166</w:t>
            </w:r>
            <w:r>
              <w:rPr>
                <w:rFonts w:ascii="Times New Roman" w:hAnsi="Times New Roman"/>
              </w:rPr>
              <w:t xml:space="preserve"> CRR.</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6E259E">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4754B" w:rsidRDefault="00F4754B" w:rsidP="00F0756A">
            <w:pPr>
              <w:pStyle w:val="BodyText1"/>
              <w:spacing w:line="240" w:lineRule="auto"/>
              <w:rPr>
                <w:rFonts w:ascii="Times New Roman" w:hAnsi="Times New Roman"/>
                <w:b/>
                <w:bCs/>
              </w:rPr>
            </w:pPr>
            <w:r>
              <w:rPr>
                <w:rFonts w:ascii="Times New Roman" w:hAnsi="Times New Roman"/>
                <w:b/>
              </w:rPr>
              <w:t>Spalte</w:t>
            </w:r>
          </w:p>
          <w:p w:rsidR="00F0756A" w:rsidRPr="00FE002E" w:rsidDel="00C94DF9" w:rsidRDefault="00F0756A" w:rsidP="00F0756A">
            <w:pPr>
              <w:pStyle w:val="BodyText1"/>
              <w:spacing w:line="240" w:lineRule="auto"/>
              <w:rPr>
                <w:rFonts w:ascii="Times New Roman" w:hAnsi="Times New Roman"/>
                <w:b/>
                <w:bCs/>
              </w:rPr>
            </w:pPr>
          </w:p>
        </w:tc>
        <w:tc>
          <w:tcPr>
            <w:tcW w:w="762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4754B" w:rsidRPr="00FE002E" w:rsidRDefault="00F4754B" w:rsidP="00F0756A">
            <w:pPr>
              <w:pStyle w:val="BodyText1"/>
              <w:spacing w:line="240" w:lineRule="auto"/>
              <w:rPr>
                <w:rFonts w:ascii="Times New Roman" w:hAnsi="Times New Roman"/>
                <w:b/>
                <w:bCs/>
              </w:rPr>
            </w:pPr>
            <w:r>
              <w:rPr>
                <w:rFonts w:ascii="Times New Roman" w:hAnsi="Times New Roman"/>
                <w:b/>
              </w:rPr>
              <w:t>Rechtsgrundlagen und Erläuterungen</w:t>
            </w:r>
          </w:p>
          <w:p w:rsidR="002509B1" w:rsidRPr="00FE002E" w:rsidRDefault="002509B1" w:rsidP="00BE6AC4">
            <w:pPr>
              <w:pStyle w:val="BodyText1"/>
              <w:spacing w:line="240" w:lineRule="auto"/>
              <w:rPr>
                <w:rFonts w:ascii="Times New Roman" w:hAnsi="Times New Roman"/>
                <w:b/>
                <w:bCs/>
              </w:rPr>
            </w:pPr>
          </w:p>
        </w:tc>
      </w:tr>
      <w:tr w:rsidR="00F4754B" w:rsidRPr="00FE002E" w:rsidTr="00FC2664">
        <w:tc>
          <w:tcPr>
            <w:tcW w:w="1418" w:type="dxa"/>
            <w:tcBorders>
              <w:top w:val="single" w:sz="4" w:space="0" w:color="auto"/>
              <w:left w:val="single" w:sz="4" w:space="0" w:color="auto"/>
              <w:bottom w:val="single" w:sz="4" w:space="0" w:color="auto"/>
              <w:right w:val="single" w:sz="4" w:space="0" w:color="auto"/>
            </w:tcBorders>
          </w:tcPr>
          <w:p w:rsidR="00F4754B" w:rsidRPr="00FE002E" w:rsidRDefault="00513244" w:rsidP="00F4754B">
            <w:pPr>
              <w:pStyle w:val="BodyText1"/>
              <w:rPr>
                <w:rFonts w:ascii="Times New Roman" w:hAnsi="Times New Roman"/>
                <w:bCs/>
              </w:rPr>
            </w:pPr>
            <w:r w:rsidRPr="00532F3A">
              <w:rPr>
                <w:rFonts w:ascii="Times New Roman" w:hAnsi="Times New Roman"/>
              </w:rPr>
              <w:t>010</w:t>
            </w:r>
          </w:p>
        </w:tc>
        <w:tc>
          <w:tcPr>
            <w:tcW w:w="7620" w:type="dxa"/>
            <w:tcBorders>
              <w:top w:val="single" w:sz="4" w:space="0" w:color="auto"/>
              <w:left w:val="single" w:sz="4" w:space="0" w:color="auto"/>
              <w:bottom w:val="single" w:sz="4" w:space="0" w:color="auto"/>
              <w:right w:val="single" w:sz="4" w:space="0" w:color="auto"/>
            </w:tcBorders>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Bilanzielle und außerbilanzielle Risikopositionen (Risikopositionen nach dem Standardansatz)</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rPr>
            </w:pPr>
            <w:r>
              <w:rPr>
                <w:rFonts w:ascii="Times New Roman" w:hAnsi="Times New Roman"/>
              </w:rPr>
              <w:t xml:space="preserve">Bilanzielle und außerbilanzielle Risikopositionswerte nach Berücksichtigung von Wertberichtigungen, aller Kreditrisikominderungsfaktoren und Kreditumrechnungsfaktoren, wobei die Berechnung nach Teil </w:t>
            </w:r>
            <w:r w:rsidRPr="00532F3A">
              <w:rPr>
                <w:rFonts w:ascii="Times New Roman" w:hAnsi="Times New Roman"/>
              </w:rPr>
              <w:t>3</w:t>
            </w:r>
            <w:r>
              <w:rPr>
                <w:rFonts w:ascii="Times New Roman" w:hAnsi="Times New Roman"/>
              </w:rPr>
              <w:t xml:space="preserve"> Kapitel </w:t>
            </w:r>
            <w:r w:rsidRPr="00532F3A">
              <w:rPr>
                <w:rFonts w:ascii="Times New Roman" w:hAnsi="Times New Roman"/>
              </w:rPr>
              <w:t>2</w:t>
            </w:r>
            <w:r>
              <w:rPr>
                <w:rFonts w:ascii="Times New Roman" w:hAnsi="Times New Roman"/>
              </w:rPr>
              <w:t xml:space="preserve"> Titel II CRR durchgeführt wird. </w:t>
            </w:r>
          </w:p>
          <w:p w:rsidR="002509B1" w:rsidRPr="00FE002E" w:rsidRDefault="002509B1" w:rsidP="007E2A41">
            <w:pPr>
              <w:pStyle w:val="BodyText1"/>
              <w:spacing w:line="240" w:lineRule="auto"/>
              <w:rPr>
                <w:rFonts w:ascii="Times New Roman" w:hAnsi="Times New Roman"/>
              </w:rPr>
            </w:pPr>
          </w:p>
        </w:tc>
      </w:tr>
      <w:tr w:rsidR="00F4754B" w:rsidRPr="00FE002E" w:rsidTr="00FC2664">
        <w:tc>
          <w:tcPr>
            <w:tcW w:w="1418" w:type="dxa"/>
            <w:tcBorders>
              <w:top w:val="single" w:sz="4" w:space="0" w:color="auto"/>
              <w:left w:val="single" w:sz="4" w:space="0" w:color="auto"/>
              <w:bottom w:val="single" w:sz="4" w:space="0" w:color="auto"/>
              <w:right w:val="single" w:sz="4" w:space="0" w:color="auto"/>
            </w:tcBorders>
          </w:tcPr>
          <w:p w:rsidR="00F4754B" w:rsidRPr="00FE002E" w:rsidRDefault="00513244" w:rsidP="00F4754B">
            <w:pPr>
              <w:pStyle w:val="BodyText1"/>
              <w:rPr>
                <w:rFonts w:ascii="Times New Roman" w:hAnsi="Times New Roman"/>
                <w:bCs/>
              </w:rPr>
            </w:pPr>
            <w:r w:rsidRPr="00532F3A">
              <w:rPr>
                <w:rFonts w:ascii="Times New Roman" w:hAnsi="Times New Roman"/>
              </w:rPr>
              <w:t>020</w:t>
            </w:r>
          </w:p>
        </w:tc>
        <w:tc>
          <w:tcPr>
            <w:tcW w:w="7620" w:type="dxa"/>
            <w:tcBorders>
              <w:top w:val="single" w:sz="4" w:space="0" w:color="auto"/>
              <w:left w:val="single" w:sz="4" w:space="0" w:color="auto"/>
              <w:bottom w:val="single" w:sz="4" w:space="0" w:color="auto"/>
              <w:right w:val="single" w:sz="4" w:space="0" w:color="auto"/>
            </w:tcBorders>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Bilanzielle und außerbilanzielle Risikopositionen (Risikopositionen nach dem IRB-Ansatz)</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rPr>
            </w:pPr>
            <w:r>
              <w:rPr>
                <w:rFonts w:ascii="Times New Roman" w:hAnsi="Times New Roman"/>
              </w:rPr>
              <w:t xml:space="preserve">Bilanzielle und außerbilanzielle Risikopositionswerte gemäß Artikel </w:t>
            </w:r>
            <w:r w:rsidRPr="00532F3A">
              <w:rPr>
                <w:rFonts w:ascii="Times New Roman" w:hAnsi="Times New Roman"/>
              </w:rPr>
              <w:t>166</w:t>
            </w:r>
            <w:r>
              <w:rPr>
                <w:rFonts w:ascii="Times New Roman" w:hAnsi="Times New Roman"/>
              </w:rPr>
              <w:t xml:space="preserve"> CRR und Artikel </w:t>
            </w:r>
            <w:r w:rsidRPr="00532F3A">
              <w:rPr>
                <w:rFonts w:ascii="Times New Roman" w:hAnsi="Times New Roman"/>
              </w:rPr>
              <w:t>230</w:t>
            </w:r>
            <w:r>
              <w:rPr>
                <w:rFonts w:ascii="Times New Roman" w:hAnsi="Times New Roman"/>
              </w:rPr>
              <w:t xml:space="preserve"> Absatz </w:t>
            </w:r>
            <w:r w:rsidRPr="00532F3A">
              <w:rPr>
                <w:rFonts w:ascii="Times New Roman" w:hAnsi="Times New Roman"/>
              </w:rPr>
              <w:t>1</w:t>
            </w:r>
            <w:r>
              <w:rPr>
                <w:rFonts w:ascii="Times New Roman" w:hAnsi="Times New Roman"/>
              </w:rPr>
              <w:t xml:space="preserve"> Unterabsatz </w:t>
            </w:r>
            <w:r w:rsidRPr="00532F3A">
              <w:rPr>
                <w:rFonts w:ascii="Times New Roman" w:hAnsi="Times New Roman"/>
              </w:rPr>
              <w:t>2</w:t>
            </w:r>
            <w:r>
              <w:rPr>
                <w:rFonts w:ascii="Times New Roman" w:hAnsi="Times New Roman"/>
              </w:rPr>
              <w:t xml:space="preserve"> Satz </w:t>
            </w:r>
            <w:r w:rsidRPr="00532F3A">
              <w:rPr>
                <w:rFonts w:ascii="Times New Roman" w:hAnsi="Times New Roman"/>
              </w:rPr>
              <w:t>1</w:t>
            </w:r>
            <w:r>
              <w:rPr>
                <w:rFonts w:ascii="Times New Roman" w:hAnsi="Times New Roman"/>
              </w:rPr>
              <w:t xml:space="preserve"> CRR, nach Berücksichtigung der Ab- und Zuflüsse aufgrund von CRM-Verfahren mit Substitutionswirkung auf die Risikoposition.</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rPr>
            </w:pPr>
            <w:r>
              <w:rPr>
                <w:rFonts w:ascii="Times New Roman" w:hAnsi="Times New Roman"/>
              </w:rPr>
              <w:t xml:space="preserve">Auf außerbilanzielle Positionen wenden die Institute die in Artikel </w:t>
            </w:r>
            <w:r w:rsidRPr="00532F3A">
              <w:rPr>
                <w:rFonts w:ascii="Times New Roman" w:hAnsi="Times New Roman"/>
              </w:rPr>
              <w:t>166</w:t>
            </w:r>
            <w:r>
              <w:rPr>
                <w:rFonts w:ascii="Times New Roman" w:hAnsi="Times New Roman"/>
              </w:rPr>
              <w:t xml:space="preserve"> Absätze </w:t>
            </w:r>
            <w:r w:rsidRPr="00532F3A">
              <w:rPr>
                <w:rFonts w:ascii="Times New Roman" w:hAnsi="Times New Roman"/>
              </w:rPr>
              <w:t>8</w:t>
            </w:r>
            <w:r>
              <w:rPr>
                <w:rFonts w:ascii="Times New Roman" w:hAnsi="Times New Roman"/>
              </w:rPr>
              <w:t xml:space="preserve"> bis </w:t>
            </w:r>
            <w:r w:rsidRPr="00532F3A">
              <w:rPr>
                <w:rFonts w:ascii="Times New Roman" w:hAnsi="Times New Roman"/>
              </w:rPr>
              <w:t>10</w:t>
            </w:r>
            <w:r>
              <w:rPr>
                <w:rFonts w:ascii="Times New Roman" w:hAnsi="Times New Roman"/>
              </w:rPr>
              <w:t xml:space="preserve"> CRR festgelegten Umrechnungsfaktoren an.</w:t>
            </w:r>
          </w:p>
          <w:p w:rsidR="002509B1" w:rsidRPr="00FE002E" w:rsidRDefault="002509B1" w:rsidP="007E2A41">
            <w:pPr>
              <w:pStyle w:val="BodyText1"/>
              <w:spacing w:line="240" w:lineRule="auto"/>
              <w:rPr>
                <w:rFonts w:ascii="Times New Roman" w:hAnsi="Times New Roman"/>
                <w:b/>
                <w:bCs/>
              </w:rPr>
            </w:pPr>
          </w:p>
        </w:tc>
      </w:tr>
      <w:tr w:rsidR="00F4754B" w:rsidRPr="00FE002E" w:rsidTr="00FC2664">
        <w:tc>
          <w:tcPr>
            <w:tcW w:w="1418" w:type="dxa"/>
            <w:tcBorders>
              <w:top w:val="single" w:sz="4" w:space="0" w:color="auto"/>
              <w:left w:val="single" w:sz="4" w:space="0" w:color="auto"/>
              <w:bottom w:val="single" w:sz="4" w:space="0" w:color="auto"/>
              <w:right w:val="single" w:sz="4" w:space="0" w:color="auto"/>
            </w:tcBorders>
          </w:tcPr>
          <w:p w:rsidR="00F4754B" w:rsidRPr="00FE002E" w:rsidRDefault="00513244" w:rsidP="00F4754B">
            <w:pPr>
              <w:pStyle w:val="BodyText1"/>
              <w:rPr>
                <w:rFonts w:ascii="Times New Roman" w:hAnsi="Times New Roman"/>
                <w:bCs/>
              </w:rPr>
            </w:pPr>
            <w:r w:rsidRPr="00532F3A">
              <w:rPr>
                <w:rFonts w:ascii="Times New Roman" w:hAnsi="Times New Roman"/>
              </w:rPr>
              <w:t>030</w:t>
            </w:r>
          </w:p>
        </w:tc>
        <w:tc>
          <w:tcPr>
            <w:tcW w:w="7620" w:type="dxa"/>
            <w:tcBorders>
              <w:top w:val="single" w:sz="4" w:space="0" w:color="auto"/>
              <w:left w:val="single" w:sz="4" w:space="0" w:color="auto"/>
              <w:bottom w:val="single" w:sz="4" w:space="0" w:color="auto"/>
              <w:right w:val="single" w:sz="4" w:space="0" w:color="auto"/>
            </w:tcBorders>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Nominalwert</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Die Risikopositionswerte der in Artikel </w:t>
            </w:r>
            <w:r w:rsidRPr="00532F3A">
              <w:rPr>
                <w:rFonts w:ascii="Times New Roman" w:hAnsi="Times New Roman"/>
              </w:rPr>
              <w:t>111</w:t>
            </w:r>
            <w:r>
              <w:rPr>
                <w:rFonts w:ascii="Times New Roman" w:hAnsi="Times New Roman"/>
              </w:rPr>
              <w:t xml:space="preserve"> und </w:t>
            </w:r>
            <w:r w:rsidRPr="00532F3A">
              <w:rPr>
                <w:rFonts w:ascii="Times New Roman" w:hAnsi="Times New Roman"/>
              </w:rPr>
              <w:t>166</w:t>
            </w:r>
            <w:r>
              <w:rPr>
                <w:rFonts w:ascii="Times New Roman" w:hAnsi="Times New Roman"/>
              </w:rPr>
              <w:t xml:space="preserve"> CRR definierten außerbilanziellen Positionen ohne Anwendung der Umrechnungsfaktoren. </w:t>
            </w:r>
          </w:p>
          <w:p w:rsidR="002509B1" w:rsidRPr="00FE002E" w:rsidRDefault="002509B1" w:rsidP="007E2A41">
            <w:pPr>
              <w:pStyle w:val="BodyText1"/>
              <w:spacing w:line="240" w:lineRule="auto"/>
              <w:rPr>
                <w:rFonts w:ascii="Times New Roman" w:hAnsi="Times New Roman"/>
                <w:bCs/>
              </w:rPr>
            </w:pPr>
          </w:p>
        </w:tc>
      </w:tr>
    </w:tbl>
    <w:p w:rsidR="00F4754B" w:rsidRPr="00FE002E" w:rsidRDefault="00F4754B" w:rsidP="00F4754B">
      <w:pPr>
        <w:pStyle w:val="BodyText1"/>
        <w:rPr>
          <w:rFonts w:ascii="Times New Roman" w:hAnsi="Times New Roman"/>
        </w:rPr>
      </w:pPr>
    </w:p>
    <w:p w:rsidR="00217D1F" w:rsidRPr="00FE002E" w:rsidRDefault="00500508" w:rsidP="00500508">
      <w:pPr>
        <w:pStyle w:val="BodyText1"/>
        <w:ind w:left="357" w:hanging="357"/>
        <w:outlineLvl w:val="1"/>
        <w:rPr>
          <w:rFonts w:ascii="Times New Roman" w:hAnsi="Times New Roman"/>
          <w:b/>
        </w:rPr>
      </w:pPr>
      <w:bookmarkStart w:id="71" w:name="_Toc338669922"/>
      <w:bookmarkStart w:id="72" w:name="_Toc338669923"/>
      <w:bookmarkStart w:id="73" w:name="_Toc338669924"/>
      <w:bookmarkStart w:id="74" w:name="_Toc338669925"/>
      <w:bookmarkStart w:id="75" w:name="_Toc338669926"/>
      <w:bookmarkStart w:id="76" w:name="_Toc338669927"/>
      <w:bookmarkStart w:id="77" w:name="_Toc338669928"/>
      <w:bookmarkStart w:id="78" w:name="_Toc351048509"/>
      <w:bookmarkStart w:id="79" w:name="_Toc359414288"/>
      <w:bookmarkStart w:id="80" w:name="_Toc423089073"/>
      <w:bookmarkStart w:id="81" w:name="_Toc322687894"/>
      <w:bookmarkStart w:id="82" w:name="_Toc524078181"/>
      <w:bookmarkEnd w:id="63"/>
      <w:bookmarkEnd w:id="71"/>
      <w:bookmarkEnd w:id="72"/>
      <w:bookmarkEnd w:id="73"/>
      <w:bookmarkEnd w:id="74"/>
      <w:bookmarkEnd w:id="75"/>
      <w:bookmarkEnd w:id="76"/>
      <w:bookmarkEnd w:id="77"/>
      <w:r w:rsidRPr="00532F3A">
        <w:rPr>
          <w:rFonts w:ascii="Times New Roman" w:hAnsi="Times New Roman"/>
          <w:b/>
        </w:rPr>
        <w:t>7</w:t>
      </w:r>
      <w:r>
        <w:rPr>
          <w:rFonts w:ascii="Times New Roman" w:hAnsi="Times New Roman"/>
          <w:b/>
        </w:rPr>
        <w:t>.</w:t>
      </w:r>
      <w:r>
        <w:tab/>
      </w:r>
      <w:r>
        <w:rPr>
          <w:rFonts w:ascii="Times New Roman" w:hAnsi="Times New Roman"/>
          <w:b/>
        </w:rPr>
        <w:t xml:space="preserve">C </w:t>
      </w:r>
      <w:r w:rsidRPr="00532F3A">
        <w:rPr>
          <w:rFonts w:ascii="Times New Roman" w:hAnsi="Times New Roman"/>
          <w:b/>
        </w:rPr>
        <w:t>42</w:t>
      </w:r>
      <w:r>
        <w:rPr>
          <w:rFonts w:ascii="Times New Roman" w:hAnsi="Times New Roman"/>
          <w:b/>
        </w:rPr>
        <w:t>.</w:t>
      </w:r>
      <w:r w:rsidRPr="00532F3A">
        <w:rPr>
          <w:rFonts w:ascii="Times New Roman" w:hAnsi="Times New Roman"/>
          <w:b/>
        </w:rPr>
        <w:t>00</w:t>
      </w:r>
      <w:r>
        <w:rPr>
          <w:rFonts w:ascii="Times New Roman" w:hAnsi="Times New Roman"/>
          <w:b/>
        </w:rPr>
        <w:t xml:space="preserve"> — Alternative Eigenkapitaldefinition</w:t>
      </w:r>
      <w:bookmarkEnd w:id="78"/>
      <w:bookmarkEnd w:id="79"/>
      <w:r>
        <w:rPr>
          <w:rFonts w:ascii="Times New Roman" w:hAnsi="Times New Roman"/>
          <w:b/>
        </w:rPr>
        <w:t xml:space="preserve"> (LR</w:t>
      </w:r>
      <w:r w:rsidRPr="00532F3A">
        <w:rPr>
          <w:rFonts w:ascii="Times New Roman" w:hAnsi="Times New Roman"/>
          <w:b/>
        </w:rPr>
        <w:t>3</w:t>
      </w:r>
      <w:r>
        <w:rPr>
          <w:rFonts w:ascii="Times New Roman" w:hAnsi="Times New Roman"/>
          <w:b/>
        </w:rPr>
        <w:t>)</w:t>
      </w:r>
      <w:bookmarkEnd w:id="80"/>
      <w:bookmarkEnd w:id="82"/>
      <w:r>
        <w:rPr>
          <w:rFonts w:ascii="Times New Roman" w:hAnsi="Times New Roman"/>
          <w:b/>
        </w:rPr>
        <w:t xml:space="preserve"> </w:t>
      </w:r>
      <w:bookmarkEnd w:id="81"/>
    </w:p>
    <w:p w:rsidR="00675587" w:rsidRPr="00FE002E" w:rsidRDefault="00675587" w:rsidP="00675587">
      <w:pPr>
        <w:pStyle w:val="BodyText1"/>
        <w:ind w:left="720"/>
        <w:rPr>
          <w:rFonts w:ascii="Times New Roman" w:hAnsi="Times New Roman"/>
        </w:rPr>
      </w:pPr>
    </w:p>
    <w:p w:rsidR="00675587" w:rsidRPr="00FE002E" w:rsidRDefault="00500508" w:rsidP="00500508">
      <w:pPr>
        <w:pStyle w:val="BodyText1"/>
        <w:spacing w:line="240" w:lineRule="auto"/>
        <w:ind w:left="720" w:hanging="360"/>
        <w:rPr>
          <w:rFonts w:ascii="Times New Roman" w:hAnsi="Times New Roman"/>
        </w:rPr>
      </w:pPr>
      <w:r w:rsidRPr="00532F3A">
        <w:rPr>
          <w:rFonts w:ascii="Times New Roman" w:hAnsi="Times New Roman"/>
        </w:rPr>
        <w:t>27</w:t>
      </w:r>
      <w:r>
        <w:rPr>
          <w:rFonts w:ascii="Times New Roman" w:hAnsi="Times New Roman"/>
        </w:rPr>
        <w:t>.</w:t>
      </w:r>
      <w:r>
        <w:tab/>
      </w:r>
      <w:r>
        <w:rPr>
          <w:rFonts w:ascii="Times New Roman" w:hAnsi="Times New Roman"/>
        </w:rPr>
        <w:t>In Meldebogen LR</w:t>
      </w:r>
      <w:r w:rsidRPr="00532F3A">
        <w:rPr>
          <w:rFonts w:ascii="Times New Roman" w:hAnsi="Times New Roman"/>
        </w:rPr>
        <w:t>3</w:t>
      </w:r>
      <w:r>
        <w:rPr>
          <w:rFonts w:ascii="Times New Roman" w:hAnsi="Times New Roman"/>
        </w:rPr>
        <w:t xml:space="preserve"> sind Angaben zu den zur Überprüfung gemäß Artikel </w:t>
      </w:r>
      <w:r w:rsidRPr="00532F3A">
        <w:rPr>
          <w:rFonts w:ascii="Times New Roman" w:hAnsi="Times New Roman"/>
        </w:rPr>
        <w:t>511</w:t>
      </w:r>
      <w:r>
        <w:rPr>
          <w:rFonts w:ascii="Times New Roman" w:hAnsi="Times New Roman"/>
        </w:rPr>
        <w:t xml:space="preserve"> CRR erforderlichen Kapitalmessgrößen zu liefern.</w:t>
      </w:r>
    </w:p>
    <w:p w:rsidR="00F4754B" w:rsidRPr="00FE002E" w:rsidRDefault="00F4754B" w:rsidP="007E2A41">
      <w:pPr>
        <w:pStyle w:val="BodyText1"/>
        <w:spacing w:line="240" w:lineRule="auto"/>
        <w:ind w:left="720"/>
        <w:rPr>
          <w:rFonts w:ascii="Times New Roman" w:hAnsi="Times New Roman"/>
        </w:rPr>
      </w:pPr>
      <w:r>
        <w:rPr>
          <w:rFonts w:ascii="Times New Roman" w:hAnsi="Times New Roman"/>
        </w:rPr>
        <w:t xml:space="preserve"> </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FE002E" w:rsidTr="00FC2664">
        <w:tc>
          <w:tcPr>
            <w:tcW w:w="1418" w:type="dxa"/>
            <w:shd w:val="clear" w:color="auto" w:fill="D9D9D9"/>
          </w:tcPr>
          <w:p w:rsidR="00F4754B" w:rsidRPr="00FE002E" w:rsidRDefault="00F4754B" w:rsidP="00F4754B">
            <w:pPr>
              <w:pStyle w:val="BodyText1"/>
              <w:rPr>
                <w:rFonts w:ascii="Times New Roman" w:hAnsi="Times New Roman"/>
                <w:b/>
              </w:rPr>
            </w:pPr>
            <w:r>
              <w:rPr>
                <w:rFonts w:ascii="Times New Roman" w:hAnsi="Times New Roman"/>
                <w:b/>
              </w:rPr>
              <w:t xml:space="preserve">Zeile </w:t>
            </w:r>
          </w:p>
          <w:p w:rsidR="00F4754B" w:rsidRPr="00FE002E" w:rsidRDefault="00F4754B" w:rsidP="00F4754B">
            <w:pPr>
              <w:pStyle w:val="BodyText1"/>
              <w:rPr>
                <w:rFonts w:ascii="Times New Roman" w:hAnsi="Times New Roman"/>
                <w:b/>
                <w:bCs/>
                <w:u w:val="single"/>
              </w:rPr>
            </w:pPr>
            <w:r>
              <w:rPr>
                <w:rFonts w:ascii="Times New Roman" w:hAnsi="Times New Roman"/>
                <w:b/>
              </w:rPr>
              <w:t>und Spalte</w:t>
            </w:r>
          </w:p>
        </w:tc>
        <w:tc>
          <w:tcPr>
            <w:tcW w:w="7620" w:type="dxa"/>
            <w:shd w:val="clear" w:color="auto" w:fill="D9D9D9"/>
          </w:tcPr>
          <w:p w:rsidR="00F4754B" w:rsidRPr="00FE002E" w:rsidRDefault="00F4754B" w:rsidP="00F4754B">
            <w:pPr>
              <w:pStyle w:val="BodyText1"/>
              <w:rPr>
                <w:rFonts w:ascii="Times New Roman" w:hAnsi="Times New Roman"/>
                <w:b/>
                <w:bCs/>
                <w:u w:val="single"/>
              </w:rPr>
            </w:pPr>
            <w:r>
              <w:rPr>
                <w:rFonts w:ascii="Times New Roman" w:hAnsi="Times New Roman"/>
                <w:b/>
              </w:rPr>
              <w:t>Rechtsgrundlagen und Erläuterungen</w:t>
            </w:r>
          </w:p>
        </w:tc>
      </w:tr>
      <w:tr w:rsidR="00F4754B" w:rsidRPr="00FE002E" w:rsidTr="00FC2664">
        <w:trPr>
          <w:trHeight w:val="1561"/>
        </w:trPr>
        <w:tc>
          <w:tcPr>
            <w:tcW w:w="1418" w:type="dxa"/>
          </w:tcPr>
          <w:p w:rsidR="00F4754B" w:rsidRPr="00FE002E" w:rsidRDefault="00F4754B" w:rsidP="00F4754B">
            <w:pPr>
              <w:pStyle w:val="BodyText1"/>
              <w:rPr>
                <w:rFonts w:ascii="Times New Roman" w:hAnsi="Times New Roman"/>
                <w:bCs/>
              </w:rPr>
            </w:pPr>
            <w:r>
              <w:rPr>
                <w:rFonts w:ascii="Times New Roman" w:hAnsi="Times New Roman"/>
              </w:rPr>
              <w:lastRenderedPageBreak/>
              <w:t>{</w:t>
            </w:r>
            <w:r w:rsidRPr="00532F3A">
              <w:rPr>
                <w:rFonts w:ascii="Times New Roman" w:hAnsi="Times New Roman"/>
              </w:rPr>
              <w:t>010</w:t>
            </w:r>
            <w:r>
              <w:rPr>
                <w:rFonts w:ascii="Times New Roman" w:hAnsi="Times New Roman"/>
              </w:rPr>
              <w:t>;</w:t>
            </w:r>
            <w:r w:rsidRPr="00532F3A">
              <w:rPr>
                <w:rFonts w:ascii="Times New Roman" w:hAnsi="Times New Roman"/>
              </w:rPr>
              <w:t>010</w:t>
            </w:r>
            <w:r>
              <w:rPr>
                <w:rFonts w:ascii="Times New Roman" w:hAnsi="Times New Roman"/>
              </w:rPr>
              <w:t>}</w:t>
            </w:r>
          </w:p>
        </w:tc>
        <w:tc>
          <w:tcPr>
            <w:tcW w:w="7620" w:type="dxa"/>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Hartes Kernkapital — Definition nach vollständiger Einführung der neuen Bestimmungen </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Artikel </w:t>
            </w:r>
            <w:r w:rsidRPr="00532F3A">
              <w:rPr>
                <w:rFonts w:ascii="Times New Roman" w:hAnsi="Times New Roman"/>
              </w:rPr>
              <w:t>50</w:t>
            </w:r>
            <w:r>
              <w:rPr>
                <w:rFonts w:ascii="Times New Roman" w:hAnsi="Times New Roman"/>
              </w:rPr>
              <w:t xml:space="preserve"> CRR</w:t>
            </w:r>
          </w:p>
          <w:p w:rsidR="00F4754B" w:rsidRPr="00FE002E" w:rsidRDefault="00F4754B" w:rsidP="007E2A41">
            <w:pPr>
              <w:pStyle w:val="BodyText1"/>
              <w:spacing w:line="240" w:lineRule="auto"/>
              <w:rPr>
                <w:rFonts w:ascii="Times New Roman" w:hAnsi="Times New Roman"/>
              </w:rPr>
            </w:pPr>
          </w:p>
          <w:p w:rsidR="00F4754B" w:rsidRPr="00FE002E" w:rsidRDefault="00F4754B" w:rsidP="007A0E3A">
            <w:pPr>
              <w:pStyle w:val="BodyText1"/>
              <w:spacing w:line="240" w:lineRule="auto"/>
              <w:rPr>
                <w:rFonts w:ascii="Times New Roman" w:hAnsi="Times New Roman"/>
                <w:bCs/>
                <w:i/>
              </w:rPr>
            </w:pPr>
            <w:r>
              <w:rPr>
                <w:rFonts w:ascii="Times New Roman" w:hAnsi="Times New Roman"/>
              </w:rPr>
              <w:t xml:space="preserve">Höhe des nach Artikel </w:t>
            </w:r>
            <w:r w:rsidRPr="00532F3A">
              <w:rPr>
                <w:rFonts w:ascii="Times New Roman" w:hAnsi="Times New Roman"/>
              </w:rPr>
              <w:t>50</w:t>
            </w:r>
            <w:r>
              <w:rPr>
                <w:rFonts w:ascii="Times New Roman" w:hAnsi="Times New Roman"/>
              </w:rPr>
              <w:t xml:space="preserve"> CRR berechneten harten Kernkapitals ohne Berücksichtigung der in Teil </w:t>
            </w:r>
            <w:r w:rsidRPr="00532F3A">
              <w:rPr>
                <w:rFonts w:ascii="Times New Roman" w:hAnsi="Times New Roman"/>
              </w:rPr>
              <w:t>10</w:t>
            </w:r>
            <w:r>
              <w:rPr>
                <w:rFonts w:ascii="Times New Roman" w:hAnsi="Times New Roman"/>
              </w:rPr>
              <w:t xml:space="preserve"> Kapitel </w:t>
            </w:r>
            <w:r w:rsidRPr="00532F3A">
              <w:rPr>
                <w:rFonts w:ascii="Times New Roman" w:hAnsi="Times New Roman"/>
              </w:rPr>
              <w:t>1</w:t>
            </w:r>
            <w:r>
              <w:rPr>
                <w:rFonts w:ascii="Times New Roman" w:hAnsi="Times New Roman"/>
              </w:rPr>
              <w:t xml:space="preserve"> und </w:t>
            </w:r>
            <w:r w:rsidRPr="00532F3A">
              <w:rPr>
                <w:rFonts w:ascii="Times New Roman" w:hAnsi="Times New Roman"/>
              </w:rPr>
              <w:t>2</w:t>
            </w:r>
            <w:r>
              <w:rPr>
                <w:rFonts w:ascii="Times New Roman" w:hAnsi="Times New Roman"/>
              </w:rPr>
              <w:t xml:space="preserve"> CRR festgelegten abweichenden Regelungen.</w:t>
            </w:r>
            <w:r>
              <w:rPr>
                <w:rFonts w:ascii="Times New Roman" w:hAnsi="Times New Roman"/>
                <w:b/>
              </w:rPr>
              <w:t xml:space="preserve"> </w:t>
            </w:r>
          </w:p>
        </w:tc>
      </w:tr>
      <w:tr w:rsidR="00F4754B" w:rsidRPr="00FE002E" w:rsidTr="00FC2664">
        <w:trPr>
          <w:trHeight w:val="1561"/>
        </w:trPr>
        <w:tc>
          <w:tcPr>
            <w:tcW w:w="1418" w:type="dxa"/>
          </w:tcPr>
          <w:p w:rsidR="00F4754B" w:rsidRPr="00FE002E" w:rsidRDefault="00F4754B" w:rsidP="00F4754B">
            <w:pPr>
              <w:pStyle w:val="BodyText1"/>
              <w:rPr>
                <w:rFonts w:ascii="Times New Roman" w:hAnsi="Times New Roman"/>
                <w:bCs/>
              </w:rPr>
            </w:pPr>
            <w:r>
              <w:rPr>
                <w:rFonts w:ascii="Times New Roman" w:hAnsi="Times New Roman"/>
              </w:rPr>
              <w:t>{</w:t>
            </w:r>
            <w:r w:rsidRPr="00532F3A">
              <w:rPr>
                <w:rFonts w:ascii="Times New Roman" w:hAnsi="Times New Roman"/>
              </w:rPr>
              <w:t>020</w:t>
            </w:r>
            <w:r>
              <w:rPr>
                <w:rFonts w:ascii="Times New Roman" w:hAnsi="Times New Roman"/>
              </w:rPr>
              <w:t>;</w:t>
            </w:r>
            <w:r w:rsidRPr="00532F3A">
              <w:rPr>
                <w:rFonts w:ascii="Times New Roman" w:hAnsi="Times New Roman"/>
              </w:rPr>
              <w:t>010</w:t>
            </w:r>
            <w:r>
              <w:rPr>
                <w:rFonts w:ascii="Times New Roman" w:hAnsi="Times New Roman"/>
              </w:rPr>
              <w:t>}</w:t>
            </w:r>
          </w:p>
        </w:tc>
        <w:tc>
          <w:tcPr>
            <w:tcW w:w="7620" w:type="dxa"/>
          </w:tcPr>
          <w:p w:rsidR="00F4754B" w:rsidRPr="00FE002E" w:rsidRDefault="00F4754B" w:rsidP="007E2A41">
            <w:pPr>
              <w:pStyle w:val="BodyText1"/>
              <w:spacing w:line="240" w:lineRule="auto"/>
              <w:rPr>
                <w:rFonts w:ascii="Times New Roman" w:hAnsi="Times New Roman"/>
                <w:i/>
              </w:rPr>
            </w:pPr>
            <w:r>
              <w:rPr>
                <w:rFonts w:ascii="Times New Roman" w:hAnsi="Times New Roman"/>
                <w:b/>
              </w:rPr>
              <w:t>Hartes Kernkapital — Übergangsdefinition</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rPr>
            </w:pPr>
            <w:r>
              <w:rPr>
                <w:rFonts w:ascii="Times New Roman" w:hAnsi="Times New Roman"/>
              </w:rPr>
              <w:t xml:space="preserve">Artikel </w:t>
            </w:r>
            <w:r w:rsidRPr="00532F3A">
              <w:rPr>
                <w:rFonts w:ascii="Times New Roman" w:hAnsi="Times New Roman"/>
              </w:rPr>
              <w:t>50</w:t>
            </w:r>
            <w:r>
              <w:rPr>
                <w:rFonts w:ascii="Times New Roman" w:hAnsi="Times New Roman"/>
              </w:rPr>
              <w:t xml:space="preserve"> CRR</w:t>
            </w:r>
          </w:p>
          <w:p w:rsidR="00F4754B" w:rsidRPr="00FE002E" w:rsidRDefault="00F4754B" w:rsidP="007E2A41">
            <w:pPr>
              <w:pStyle w:val="BodyText1"/>
              <w:spacing w:line="240" w:lineRule="auto"/>
              <w:rPr>
                <w:rFonts w:ascii="Times New Roman" w:hAnsi="Times New Roman"/>
              </w:rPr>
            </w:pPr>
          </w:p>
          <w:p w:rsidR="00F4754B" w:rsidRPr="00FE002E" w:rsidRDefault="00F4754B" w:rsidP="007A0E3A">
            <w:pPr>
              <w:pStyle w:val="BodyText1"/>
              <w:spacing w:line="240" w:lineRule="auto"/>
              <w:rPr>
                <w:rFonts w:ascii="Times New Roman" w:hAnsi="Times New Roman"/>
              </w:rPr>
            </w:pPr>
            <w:r>
              <w:rPr>
                <w:rFonts w:ascii="Times New Roman" w:hAnsi="Times New Roman"/>
              </w:rPr>
              <w:t xml:space="preserve">Höhe des nach Artikel </w:t>
            </w:r>
            <w:r w:rsidRPr="00532F3A">
              <w:rPr>
                <w:rFonts w:ascii="Times New Roman" w:hAnsi="Times New Roman"/>
              </w:rPr>
              <w:t>50</w:t>
            </w:r>
            <w:r>
              <w:rPr>
                <w:rFonts w:ascii="Times New Roman" w:hAnsi="Times New Roman"/>
              </w:rPr>
              <w:t xml:space="preserve"> CRR berechneten harten Kernkapitals nach Berücksichtigung der in Teil </w:t>
            </w:r>
            <w:r w:rsidRPr="00532F3A">
              <w:rPr>
                <w:rFonts w:ascii="Times New Roman" w:hAnsi="Times New Roman"/>
              </w:rPr>
              <w:t>10</w:t>
            </w:r>
            <w:r>
              <w:rPr>
                <w:rFonts w:ascii="Times New Roman" w:hAnsi="Times New Roman"/>
              </w:rPr>
              <w:t xml:space="preserve"> Kapitel </w:t>
            </w:r>
            <w:r w:rsidRPr="00532F3A">
              <w:rPr>
                <w:rFonts w:ascii="Times New Roman" w:hAnsi="Times New Roman"/>
              </w:rPr>
              <w:t>1</w:t>
            </w:r>
            <w:r>
              <w:rPr>
                <w:rFonts w:ascii="Times New Roman" w:hAnsi="Times New Roman"/>
              </w:rPr>
              <w:t xml:space="preserve"> und </w:t>
            </w:r>
            <w:r w:rsidRPr="00532F3A">
              <w:rPr>
                <w:rFonts w:ascii="Times New Roman" w:hAnsi="Times New Roman"/>
              </w:rPr>
              <w:t>2</w:t>
            </w:r>
            <w:r>
              <w:rPr>
                <w:rFonts w:ascii="Times New Roman" w:hAnsi="Times New Roman"/>
              </w:rPr>
              <w:t xml:space="preserve"> CRR festgelegten abweichenden Regelungen.</w:t>
            </w:r>
          </w:p>
        </w:tc>
      </w:tr>
      <w:tr w:rsidR="00F4754B" w:rsidRPr="00FE002E" w:rsidTr="00FC2664">
        <w:tc>
          <w:tcPr>
            <w:tcW w:w="1418" w:type="dxa"/>
            <w:tcBorders>
              <w:bottom w:val="single" w:sz="4" w:space="0" w:color="auto"/>
            </w:tcBorders>
          </w:tcPr>
          <w:p w:rsidR="00F4754B" w:rsidRPr="00FE002E" w:rsidRDefault="00F4754B" w:rsidP="00F4754B">
            <w:pPr>
              <w:pStyle w:val="BodyText1"/>
              <w:rPr>
                <w:rFonts w:ascii="Times New Roman" w:hAnsi="Times New Roman"/>
                <w:bCs/>
                <w:u w:val="single"/>
              </w:rPr>
            </w:pPr>
            <w:r>
              <w:rPr>
                <w:rFonts w:ascii="Times New Roman" w:hAnsi="Times New Roman"/>
              </w:rPr>
              <w:t>{</w:t>
            </w:r>
            <w:r w:rsidRPr="00532F3A">
              <w:rPr>
                <w:rFonts w:ascii="Times New Roman" w:hAnsi="Times New Roman"/>
              </w:rPr>
              <w:t>030</w:t>
            </w:r>
            <w:r>
              <w:rPr>
                <w:rFonts w:ascii="Times New Roman" w:hAnsi="Times New Roman"/>
              </w:rPr>
              <w:t>;</w:t>
            </w:r>
            <w:r w:rsidRPr="00532F3A">
              <w:rPr>
                <w:rFonts w:ascii="Times New Roman" w:hAnsi="Times New Roman"/>
              </w:rPr>
              <w:t>010</w:t>
            </w:r>
            <w:r>
              <w:rPr>
                <w:rFonts w:ascii="Times New Roman" w:hAnsi="Times New Roman"/>
              </w:rPr>
              <w:t>}</w:t>
            </w:r>
          </w:p>
        </w:tc>
        <w:tc>
          <w:tcPr>
            <w:tcW w:w="7620" w:type="dxa"/>
            <w:tcBorders>
              <w:bottom w:val="single" w:sz="4" w:space="0" w:color="auto"/>
            </w:tcBorders>
          </w:tcPr>
          <w:p w:rsidR="00F4754B" w:rsidRPr="00FE002E" w:rsidRDefault="00F4754B" w:rsidP="007E2A41">
            <w:pPr>
              <w:pStyle w:val="BodyText1"/>
              <w:spacing w:line="240" w:lineRule="auto"/>
              <w:rPr>
                <w:rFonts w:ascii="Times New Roman" w:hAnsi="Times New Roman"/>
                <w:i/>
              </w:rPr>
            </w:pPr>
            <w:r>
              <w:rPr>
                <w:rFonts w:ascii="Times New Roman" w:hAnsi="Times New Roman"/>
                <w:b/>
              </w:rPr>
              <w:t>Summe Eigenmittel — Definition nach vollständiger Einführung der neuen Bestimmungen</w:t>
            </w:r>
          </w:p>
          <w:p w:rsidR="00F4754B" w:rsidRPr="00FE002E" w:rsidRDefault="00F4754B" w:rsidP="007E2A41">
            <w:pPr>
              <w:pStyle w:val="BodyText1"/>
              <w:spacing w:line="240" w:lineRule="auto"/>
              <w:rPr>
                <w:rFonts w:ascii="Times New Roman" w:hAnsi="Times New Roman"/>
                <w:i/>
                <w:u w:val="single"/>
              </w:rPr>
            </w:pPr>
          </w:p>
          <w:p w:rsidR="00F4754B" w:rsidRPr="00FE002E" w:rsidRDefault="00F4754B" w:rsidP="007E2A41">
            <w:pPr>
              <w:pStyle w:val="BodyText1"/>
              <w:spacing w:line="240" w:lineRule="auto"/>
              <w:rPr>
                <w:rFonts w:ascii="Times New Roman" w:hAnsi="Times New Roman"/>
                <w:i/>
              </w:rPr>
            </w:pPr>
            <w:r>
              <w:rPr>
                <w:rFonts w:ascii="Times New Roman" w:hAnsi="Times New Roman"/>
              </w:rPr>
              <w:t xml:space="preserve">Artikel </w:t>
            </w:r>
            <w:r w:rsidRPr="00532F3A">
              <w:rPr>
                <w:rFonts w:ascii="Times New Roman" w:hAnsi="Times New Roman"/>
              </w:rPr>
              <w:t>72</w:t>
            </w:r>
            <w:r>
              <w:rPr>
                <w:rFonts w:ascii="Times New Roman" w:hAnsi="Times New Roman"/>
              </w:rPr>
              <w:t xml:space="preserve"> CRR</w:t>
            </w:r>
          </w:p>
          <w:p w:rsidR="00F4754B" w:rsidRPr="00FE002E" w:rsidRDefault="00F4754B" w:rsidP="007E2A41">
            <w:pPr>
              <w:pStyle w:val="BodyText1"/>
              <w:spacing w:line="240" w:lineRule="auto"/>
              <w:rPr>
                <w:rFonts w:ascii="Times New Roman" w:hAnsi="Times New Roman"/>
                <w:i/>
                <w:u w:val="single"/>
              </w:rPr>
            </w:pPr>
          </w:p>
          <w:p w:rsidR="00F4754B" w:rsidRPr="00FE002E" w:rsidRDefault="00F4754B" w:rsidP="007E2A41">
            <w:pPr>
              <w:pStyle w:val="BodyText1"/>
              <w:spacing w:line="240" w:lineRule="auto"/>
              <w:rPr>
                <w:rFonts w:ascii="Times New Roman" w:hAnsi="Times New Roman"/>
                <w:i/>
              </w:rPr>
            </w:pPr>
            <w:r>
              <w:rPr>
                <w:rFonts w:ascii="Times New Roman" w:hAnsi="Times New Roman"/>
              </w:rPr>
              <w:t xml:space="preserve">Höhe der nach Artikel </w:t>
            </w:r>
            <w:r w:rsidRPr="00532F3A">
              <w:rPr>
                <w:rFonts w:ascii="Times New Roman" w:hAnsi="Times New Roman"/>
              </w:rPr>
              <w:t>72</w:t>
            </w:r>
            <w:r>
              <w:rPr>
                <w:rFonts w:ascii="Times New Roman" w:hAnsi="Times New Roman"/>
              </w:rPr>
              <w:t xml:space="preserve"> CRR ermittelten Eigenmittel ohne Berücksichtigung der in Teil </w:t>
            </w:r>
            <w:r w:rsidRPr="00532F3A">
              <w:rPr>
                <w:rFonts w:ascii="Times New Roman" w:hAnsi="Times New Roman"/>
              </w:rPr>
              <w:t>10</w:t>
            </w:r>
            <w:r>
              <w:rPr>
                <w:rFonts w:ascii="Times New Roman" w:hAnsi="Times New Roman"/>
              </w:rPr>
              <w:t xml:space="preserve"> Kapitel </w:t>
            </w:r>
            <w:r w:rsidRPr="00532F3A">
              <w:rPr>
                <w:rFonts w:ascii="Times New Roman" w:hAnsi="Times New Roman"/>
              </w:rPr>
              <w:t>1</w:t>
            </w:r>
            <w:r>
              <w:rPr>
                <w:rFonts w:ascii="Times New Roman" w:hAnsi="Times New Roman"/>
              </w:rPr>
              <w:t xml:space="preserve"> und </w:t>
            </w:r>
            <w:r w:rsidRPr="00532F3A">
              <w:rPr>
                <w:rFonts w:ascii="Times New Roman" w:hAnsi="Times New Roman"/>
              </w:rPr>
              <w:t>2</w:t>
            </w:r>
            <w:r>
              <w:rPr>
                <w:rFonts w:ascii="Times New Roman" w:hAnsi="Times New Roman"/>
              </w:rPr>
              <w:t xml:space="preserve"> CRR festgelegten abweichenden Regelungen.</w:t>
            </w:r>
          </w:p>
          <w:p w:rsidR="00F4754B" w:rsidRPr="00FE002E" w:rsidRDefault="00F4754B" w:rsidP="007E2A41">
            <w:pPr>
              <w:pStyle w:val="BodyText1"/>
              <w:spacing w:line="240" w:lineRule="auto"/>
              <w:rPr>
                <w:rFonts w:ascii="Times New Roman" w:hAnsi="Times New Roman"/>
                <w:i/>
                <w:u w:val="single"/>
              </w:rPr>
            </w:pPr>
          </w:p>
        </w:tc>
      </w:tr>
      <w:tr w:rsidR="00F4754B" w:rsidRPr="00FE002E" w:rsidTr="00FC2664">
        <w:tc>
          <w:tcPr>
            <w:tcW w:w="1418" w:type="dxa"/>
            <w:tcBorders>
              <w:bottom w:val="single" w:sz="4" w:space="0" w:color="auto"/>
            </w:tcBorders>
          </w:tcPr>
          <w:p w:rsidR="00F4754B" w:rsidRPr="00FE002E" w:rsidRDefault="00F4754B" w:rsidP="00F4754B">
            <w:pPr>
              <w:pStyle w:val="BodyText1"/>
              <w:rPr>
                <w:rFonts w:ascii="Times New Roman" w:hAnsi="Times New Roman"/>
                <w:bCs/>
              </w:rPr>
            </w:pPr>
            <w:r>
              <w:rPr>
                <w:rFonts w:ascii="Times New Roman" w:hAnsi="Times New Roman"/>
              </w:rPr>
              <w:t>{</w:t>
            </w:r>
            <w:r w:rsidRPr="00532F3A">
              <w:rPr>
                <w:rFonts w:ascii="Times New Roman" w:hAnsi="Times New Roman"/>
              </w:rPr>
              <w:t>040</w:t>
            </w:r>
            <w:r>
              <w:rPr>
                <w:rFonts w:ascii="Times New Roman" w:hAnsi="Times New Roman"/>
              </w:rPr>
              <w:t>;</w:t>
            </w:r>
            <w:r w:rsidRPr="00532F3A">
              <w:rPr>
                <w:rFonts w:ascii="Times New Roman" w:hAnsi="Times New Roman"/>
              </w:rPr>
              <w:t>010</w:t>
            </w:r>
            <w:r>
              <w:rPr>
                <w:rFonts w:ascii="Times New Roman" w:hAnsi="Times New Roman"/>
              </w:rPr>
              <w:t>}</w:t>
            </w:r>
          </w:p>
        </w:tc>
        <w:tc>
          <w:tcPr>
            <w:tcW w:w="7620" w:type="dxa"/>
            <w:tcBorders>
              <w:bottom w:val="single" w:sz="4" w:space="0" w:color="auto"/>
            </w:tcBorders>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Summe Eigenmittel — Übergangsdefinition</w:t>
            </w:r>
          </w:p>
          <w:p w:rsidR="00F4754B" w:rsidRPr="00FE002E" w:rsidRDefault="00F4754B" w:rsidP="007E2A41">
            <w:pPr>
              <w:pStyle w:val="BodyText1"/>
              <w:spacing w:line="240" w:lineRule="auto"/>
              <w:rPr>
                <w:rFonts w:ascii="Times New Roman" w:hAnsi="Times New Roman"/>
                <w:bCs/>
                <w:u w:val="single"/>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Artikel </w:t>
            </w:r>
            <w:r w:rsidRPr="00532F3A">
              <w:rPr>
                <w:rFonts w:ascii="Times New Roman" w:hAnsi="Times New Roman"/>
              </w:rPr>
              <w:t>72</w:t>
            </w:r>
            <w:r>
              <w:rPr>
                <w:rFonts w:ascii="Times New Roman" w:hAnsi="Times New Roman"/>
              </w:rPr>
              <w:t xml:space="preserve"> CRR</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rPr>
            </w:pPr>
            <w:r>
              <w:rPr>
                <w:rFonts w:ascii="Times New Roman" w:hAnsi="Times New Roman"/>
              </w:rPr>
              <w:t xml:space="preserve">Höhe der nach Artikel </w:t>
            </w:r>
            <w:r w:rsidRPr="00532F3A">
              <w:rPr>
                <w:rFonts w:ascii="Times New Roman" w:hAnsi="Times New Roman"/>
              </w:rPr>
              <w:t>72</w:t>
            </w:r>
            <w:r>
              <w:rPr>
                <w:rFonts w:ascii="Times New Roman" w:hAnsi="Times New Roman"/>
              </w:rPr>
              <w:t xml:space="preserve"> CRR ermittelten Eigenmittel nach Berücksichtigung der in Teil </w:t>
            </w:r>
            <w:r w:rsidRPr="00532F3A">
              <w:rPr>
                <w:rFonts w:ascii="Times New Roman" w:hAnsi="Times New Roman"/>
              </w:rPr>
              <w:t>10</w:t>
            </w:r>
            <w:r>
              <w:rPr>
                <w:rFonts w:ascii="Times New Roman" w:hAnsi="Times New Roman"/>
              </w:rPr>
              <w:t xml:space="preserve"> Kapitel </w:t>
            </w:r>
            <w:r w:rsidRPr="00532F3A">
              <w:rPr>
                <w:rFonts w:ascii="Times New Roman" w:hAnsi="Times New Roman"/>
              </w:rPr>
              <w:t>1</w:t>
            </w:r>
            <w:r>
              <w:rPr>
                <w:rFonts w:ascii="Times New Roman" w:hAnsi="Times New Roman"/>
              </w:rPr>
              <w:t xml:space="preserve"> und </w:t>
            </w:r>
            <w:r w:rsidRPr="00532F3A">
              <w:rPr>
                <w:rFonts w:ascii="Times New Roman" w:hAnsi="Times New Roman"/>
              </w:rPr>
              <w:t>2</w:t>
            </w:r>
            <w:r>
              <w:rPr>
                <w:rFonts w:ascii="Times New Roman" w:hAnsi="Times New Roman"/>
              </w:rPr>
              <w:t xml:space="preserve"> CRR festgelegten abweichenden Regelungen.</w:t>
            </w:r>
          </w:p>
          <w:p w:rsidR="00F4754B" w:rsidRPr="00FE002E" w:rsidRDefault="00F4754B" w:rsidP="007E2A41">
            <w:pPr>
              <w:pStyle w:val="BodyText1"/>
              <w:spacing w:line="240" w:lineRule="auto"/>
              <w:rPr>
                <w:rFonts w:ascii="Times New Roman" w:hAnsi="Times New Roman"/>
                <w:bCs/>
                <w:u w:val="single"/>
              </w:rPr>
            </w:pPr>
          </w:p>
        </w:tc>
      </w:tr>
      <w:tr w:rsidR="00F4754B" w:rsidRPr="00FE002E" w:rsidTr="00FC2664">
        <w:tc>
          <w:tcPr>
            <w:tcW w:w="1418" w:type="dxa"/>
          </w:tcPr>
          <w:p w:rsidR="00F4754B" w:rsidRPr="00FE002E" w:rsidRDefault="00F4754B" w:rsidP="00F70A83">
            <w:pPr>
              <w:pStyle w:val="BodyText1"/>
              <w:rPr>
                <w:rFonts w:ascii="Times New Roman" w:hAnsi="Times New Roman"/>
                <w:bCs/>
              </w:rPr>
            </w:pPr>
            <w:r>
              <w:rPr>
                <w:rFonts w:ascii="Times New Roman" w:hAnsi="Times New Roman"/>
              </w:rPr>
              <w:t>{</w:t>
            </w:r>
            <w:r w:rsidRPr="00532F3A">
              <w:rPr>
                <w:rFonts w:ascii="Times New Roman" w:hAnsi="Times New Roman"/>
              </w:rPr>
              <w:t>055</w:t>
            </w:r>
            <w:r>
              <w:rPr>
                <w:rFonts w:ascii="Times New Roman" w:hAnsi="Times New Roman"/>
              </w:rPr>
              <w:t>;</w:t>
            </w:r>
            <w:r w:rsidRPr="00532F3A">
              <w:rPr>
                <w:rFonts w:ascii="Times New Roman" w:hAnsi="Times New Roman"/>
              </w:rPr>
              <w:t>010</w:t>
            </w:r>
            <w:r>
              <w:rPr>
                <w:rFonts w:ascii="Times New Roman" w:hAnsi="Times New Roman"/>
              </w:rPr>
              <w:t>}</w:t>
            </w:r>
          </w:p>
        </w:tc>
        <w:tc>
          <w:tcPr>
            <w:tcW w:w="7620" w:type="dxa"/>
          </w:tcPr>
          <w:p w:rsidR="00F4754B" w:rsidRPr="00FE002E" w:rsidRDefault="00E818E9" w:rsidP="007E2A41">
            <w:pPr>
              <w:pStyle w:val="BodyText1"/>
              <w:spacing w:line="240" w:lineRule="auto"/>
              <w:rPr>
                <w:rFonts w:ascii="Times New Roman" w:hAnsi="Times New Roman"/>
                <w:b/>
                <w:bCs/>
              </w:rPr>
            </w:pPr>
            <w:r>
              <w:rPr>
                <w:rFonts w:ascii="Times New Roman" w:hAnsi="Times New Roman"/>
                <w:b/>
              </w:rPr>
              <w:t>Von Posten des harten Kernkapitals abgezogener Aktivbetrag — Definition nach vollständiger Einführung der neuen Bestimmungen</w:t>
            </w:r>
          </w:p>
          <w:p w:rsidR="00F4754B" w:rsidRPr="00FE002E" w:rsidRDefault="00F4754B" w:rsidP="007E2A41">
            <w:pPr>
              <w:pStyle w:val="BodyText1"/>
              <w:spacing w:line="240" w:lineRule="auto"/>
              <w:rPr>
                <w:rFonts w:ascii="Times New Roman" w:hAnsi="Times New Roman"/>
                <w:bCs/>
                <w:u w:val="single"/>
              </w:rPr>
            </w:pPr>
          </w:p>
          <w:p w:rsidR="00C81710" w:rsidRDefault="00F4754B" w:rsidP="007E2A41">
            <w:pPr>
              <w:pStyle w:val="BodyText1"/>
              <w:spacing w:line="240" w:lineRule="auto"/>
              <w:rPr>
                <w:rFonts w:ascii="Times New Roman" w:hAnsi="Times New Roman"/>
                <w:bCs/>
              </w:rPr>
            </w:pPr>
            <w:r>
              <w:rPr>
                <w:rFonts w:ascii="Times New Roman" w:hAnsi="Times New Roman"/>
              </w:rPr>
              <w:t>Enthält die Wertberichtigungen für Posten des harten Kernkapitals, die durch eine der folgenden Bestimmungen vorgeschrieben sind:</w:t>
            </w:r>
          </w:p>
          <w:p w:rsidR="00C81710" w:rsidRPr="00FD2C06"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 xml:space="preserve">Artikel </w:t>
            </w:r>
            <w:r w:rsidRPr="00532F3A">
              <w:rPr>
                <w:rFonts w:ascii="Times New Roman" w:hAnsi="Times New Roman"/>
              </w:rPr>
              <w:t>32</w:t>
            </w:r>
            <w:r>
              <w:rPr>
                <w:rFonts w:ascii="Times New Roman" w:hAnsi="Times New Roman"/>
              </w:rPr>
              <w:t xml:space="preserve"> bis </w:t>
            </w:r>
            <w:r w:rsidRPr="00532F3A">
              <w:rPr>
                <w:rFonts w:ascii="Times New Roman" w:hAnsi="Times New Roman"/>
              </w:rPr>
              <w:t>35</w:t>
            </w:r>
            <w:r>
              <w:rPr>
                <w:rFonts w:ascii="Times New Roman" w:hAnsi="Times New Roman"/>
              </w:rPr>
              <w:t xml:space="preserve"> CRR oder</w:t>
            </w:r>
          </w:p>
          <w:p w:rsidR="00C81710" w:rsidRPr="006914A2"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 xml:space="preserve">Artikel </w:t>
            </w:r>
            <w:r w:rsidRPr="00532F3A">
              <w:rPr>
                <w:rFonts w:ascii="Times New Roman" w:hAnsi="Times New Roman"/>
              </w:rPr>
              <w:t>36</w:t>
            </w:r>
            <w:r>
              <w:rPr>
                <w:rFonts w:ascii="Times New Roman" w:hAnsi="Times New Roman"/>
              </w:rPr>
              <w:t xml:space="preserve"> bis </w:t>
            </w:r>
            <w:r w:rsidRPr="00532F3A">
              <w:rPr>
                <w:rFonts w:ascii="Times New Roman" w:hAnsi="Times New Roman"/>
              </w:rPr>
              <w:t>47</w:t>
            </w:r>
            <w:r>
              <w:rPr>
                <w:rFonts w:ascii="Times New Roman" w:hAnsi="Times New Roman"/>
              </w:rPr>
              <w:t xml:space="preserve"> CRR,</w:t>
            </w:r>
          </w:p>
          <w:p w:rsidR="007A0E3A" w:rsidRPr="00FD2C06" w:rsidRDefault="007A0E3A" w:rsidP="006914A2">
            <w:pPr>
              <w:pStyle w:val="BodyText1"/>
              <w:spacing w:line="240" w:lineRule="auto"/>
              <w:rPr>
                <w:rFonts w:ascii="Times New Roman" w:hAnsi="Times New Roman"/>
                <w:b/>
                <w:bCs/>
              </w:rPr>
            </w:pPr>
            <w:r>
              <w:rPr>
                <w:rFonts w:ascii="Times New Roman" w:hAnsi="Times New Roman"/>
              </w:rPr>
              <w:t>je nachdem, welche Bestimmung anwendbar ist.</w:t>
            </w:r>
          </w:p>
          <w:p w:rsidR="00C81710" w:rsidRDefault="00C81710" w:rsidP="005556DC">
            <w:pPr>
              <w:pStyle w:val="BodyText1"/>
              <w:spacing w:line="240" w:lineRule="auto"/>
              <w:rPr>
                <w:rFonts w:ascii="Times New Roman" w:hAnsi="Times New Roman"/>
                <w:bCs/>
              </w:rPr>
            </w:pPr>
          </w:p>
          <w:p w:rsidR="00F4754B" w:rsidRPr="00422C76" w:rsidRDefault="00C81710" w:rsidP="00422C76">
            <w:pPr>
              <w:pStyle w:val="BodyText1"/>
              <w:spacing w:line="240" w:lineRule="auto"/>
              <w:rPr>
                <w:rFonts w:ascii="Times New Roman" w:hAnsi="Times New Roman"/>
                <w:b/>
                <w:bCs/>
              </w:rPr>
            </w:pPr>
            <w:r>
              <w:rPr>
                <w:rFonts w:ascii="Times New Roman" w:hAnsi="Times New Roman"/>
              </w:rPr>
              <w:t xml:space="preserve">Die Institute berücksichtigen die in den Artikeln </w:t>
            </w:r>
            <w:r w:rsidRPr="00532F3A">
              <w:rPr>
                <w:rFonts w:ascii="Times New Roman" w:hAnsi="Times New Roman"/>
              </w:rPr>
              <w:t>48</w:t>
            </w:r>
            <w:r>
              <w:rPr>
                <w:rFonts w:ascii="Times New Roman" w:hAnsi="Times New Roman"/>
              </w:rPr>
              <w:t xml:space="preserve">, </w:t>
            </w:r>
            <w:r w:rsidRPr="00532F3A">
              <w:rPr>
                <w:rFonts w:ascii="Times New Roman" w:hAnsi="Times New Roman"/>
              </w:rPr>
              <w:t>49</w:t>
            </w:r>
            <w:r>
              <w:rPr>
                <w:rFonts w:ascii="Times New Roman" w:hAnsi="Times New Roman"/>
              </w:rPr>
              <w:t xml:space="preserve"> und </w:t>
            </w:r>
            <w:r w:rsidRPr="00532F3A">
              <w:rPr>
                <w:rFonts w:ascii="Times New Roman" w:hAnsi="Times New Roman"/>
              </w:rPr>
              <w:t>79</w:t>
            </w:r>
            <w:r>
              <w:rPr>
                <w:rFonts w:ascii="Times New Roman" w:hAnsi="Times New Roman"/>
              </w:rPr>
              <w:t xml:space="preserve"> CRR vorgesehenen Ausnahmen und Alternativen, nicht aber die in Teil </w:t>
            </w:r>
            <w:r w:rsidRPr="00532F3A">
              <w:rPr>
                <w:rFonts w:ascii="Times New Roman" w:hAnsi="Times New Roman"/>
              </w:rPr>
              <w:t>10</w:t>
            </w:r>
            <w:r>
              <w:rPr>
                <w:rFonts w:ascii="Times New Roman" w:hAnsi="Times New Roman"/>
              </w:rPr>
              <w:t xml:space="preserve"> Kapitel </w:t>
            </w:r>
            <w:r w:rsidRPr="00532F3A">
              <w:rPr>
                <w:rFonts w:ascii="Times New Roman" w:hAnsi="Times New Roman"/>
              </w:rPr>
              <w:t>1</w:t>
            </w:r>
            <w:r>
              <w:rPr>
                <w:rFonts w:ascii="Times New Roman" w:hAnsi="Times New Roman"/>
              </w:rPr>
              <w:t xml:space="preserve"> und </w:t>
            </w:r>
            <w:r w:rsidRPr="00532F3A">
              <w:rPr>
                <w:rFonts w:ascii="Times New Roman" w:hAnsi="Times New Roman"/>
              </w:rPr>
              <w:t>2</w:t>
            </w:r>
            <w:r>
              <w:rPr>
                <w:rFonts w:ascii="Times New Roman" w:hAnsi="Times New Roman"/>
              </w:rPr>
              <w:t xml:space="preserve"> CRR niedergelegten abweichenden Regelungen. Um eine Doppelzählung zu vermeiden, geben die Institute bei der Berechnung der Risikopositionswerte in {LRCalc;</w:t>
            </w:r>
            <w:r w:rsidRPr="00532F3A">
              <w:rPr>
                <w:rFonts w:ascii="Times New Roman" w:hAnsi="Times New Roman"/>
              </w:rPr>
              <w:t>10</w:t>
            </w:r>
            <w:r>
              <w:rPr>
                <w:rFonts w:ascii="Times New Roman" w:hAnsi="Times New Roman"/>
              </w:rPr>
              <w:t>;</w:t>
            </w:r>
            <w:r w:rsidRPr="00532F3A">
              <w:rPr>
                <w:rFonts w:ascii="Times New Roman" w:hAnsi="Times New Roman"/>
              </w:rPr>
              <w:t>10</w:t>
            </w:r>
            <w:r>
              <w:rPr>
                <w:rFonts w:ascii="Times New Roman" w:hAnsi="Times New Roman"/>
              </w:rPr>
              <w:t>} bis {LRCalc;</w:t>
            </w:r>
            <w:r w:rsidRPr="00532F3A">
              <w:rPr>
                <w:rFonts w:ascii="Times New Roman" w:hAnsi="Times New Roman"/>
              </w:rPr>
              <w:t>260</w:t>
            </w:r>
            <w:r>
              <w:rPr>
                <w:rFonts w:ascii="Times New Roman" w:hAnsi="Times New Roman"/>
              </w:rPr>
              <w:t>;</w:t>
            </w:r>
            <w:r w:rsidRPr="00532F3A">
              <w:rPr>
                <w:rFonts w:ascii="Times New Roman" w:hAnsi="Times New Roman"/>
              </w:rPr>
              <w:t>10</w:t>
            </w:r>
            <w:r>
              <w:rPr>
                <w:rFonts w:ascii="Times New Roman" w:hAnsi="Times New Roman"/>
              </w:rPr>
              <w:t xml:space="preserve">} weder Anpassungen an, die bereits nach Artikel </w:t>
            </w:r>
            <w:r w:rsidRPr="00532F3A">
              <w:rPr>
                <w:rFonts w:ascii="Times New Roman" w:hAnsi="Times New Roman"/>
              </w:rPr>
              <w:t>111</w:t>
            </w:r>
            <w:r>
              <w:rPr>
                <w:rFonts w:ascii="Times New Roman" w:hAnsi="Times New Roman"/>
              </w:rPr>
              <w:t xml:space="preserve"> CRR vorgenommen wurden, noch solche, die nicht den Abzug eines bestimmten Aktivpostens zur Folge haben.</w:t>
            </w:r>
            <w:r>
              <w:rPr>
                <w:rFonts w:ascii="Times New Roman" w:hAnsi="Times New Roman"/>
                <w:b/>
              </w:rPr>
              <w:t xml:space="preserve"> </w:t>
            </w:r>
          </w:p>
          <w:p w:rsidR="00C81710" w:rsidRDefault="00C81710" w:rsidP="007E2A41">
            <w:pPr>
              <w:pStyle w:val="BodyText1"/>
              <w:spacing w:line="240" w:lineRule="auto"/>
              <w:rPr>
                <w:rFonts w:ascii="Times New Roman" w:hAnsi="Times New Roman"/>
                <w:b/>
                <w:bCs/>
              </w:rPr>
            </w:pPr>
          </w:p>
          <w:p w:rsidR="00C81710" w:rsidRPr="00FE002E" w:rsidRDefault="00C81710" w:rsidP="00C81710">
            <w:pPr>
              <w:pStyle w:val="BodyText1"/>
              <w:spacing w:line="240" w:lineRule="auto"/>
              <w:rPr>
                <w:rFonts w:ascii="Times New Roman" w:hAnsi="Times New Roman"/>
                <w:bCs/>
              </w:rPr>
            </w:pPr>
            <w:r>
              <w:rPr>
                <w:rFonts w:ascii="Times New Roman" w:hAnsi="Times New Roman"/>
              </w:rPr>
              <w:t xml:space="preserve">Da diese Anpassungen die Gesamteigenmittel verringern, sind sie als negativer Wert auszuweisen. </w:t>
            </w:r>
          </w:p>
          <w:p w:rsidR="00F4754B" w:rsidRPr="00FE002E" w:rsidRDefault="00F4754B"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70A83">
            <w:pPr>
              <w:pStyle w:val="BodyText1"/>
              <w:rPr>
                <w:rFonts w:ascii="Times New Roman" w:hAnsi="Times New Roman"/>
                <w:bCs/>
              </w:rPr>
            </w:pPr>
            <w:r>
              <w:rPr>
                <w:rFonts w:ascii="Times New Roman" w:hAnsi="Times New Roman"/>
              </w:rPr>
              <w:t>{</w:t>
            </w:r>
            <w:r w:rsidRPr="00532F3A">
              <w:rPr>
                <w:rFonts w:ascii="Times New Roman" w:hAnsi="Times New Roman"/>
              </w:rPr>
              <w:t>065</w:t>
            </w:r>
            <w:r>
              <w:rPr>
                <w:rFonts w:ascii="Times New Roman" w:hAnsi="Times New Roman"/>
              </w:rPr>
              <w:t>;</w:t>
            </w:r>
            <w:r w:rsidRPr="00532F3A">
              <w:rPr>
                <w:rFonts w:ascii="Times New Roman" w:hAnsi="Times New Roman"/>
              </w:rPr>
              <w:t>010</w:t>
            </w:r>
            <w:r>
              <w:rPr>
                <w:rFonts w:ascii="Times New Roman" w:hAnsi="Times New Roman"/>
              </w:rPr>
              <w:t>}</w:t>
            </w:r>
          </w:p>
        </w:tc>
        <w:tc>
          <w:tcPr>
            <w:tcW w:w="7620" w:type="dxa"/>
          </w:tcPr>
          <w:p w:rsidR="00F4754B" w:rsidRPr="00FE002E" w:rsidRDefault="00E818E9" w:rsidP="007E2A41">
            <w:pPr>
              <w:pStyle w:val="BodyText1"/>
              <w:spacing w:line="240" w:lineRule="auto"/>
              <w:rPr>
                <w:rFonts w:ascii="Times New Roman" w:hAnsi="Times New Roman"/>
                <w:bCs/>
              </w:rPr>
            </w:pPr>
            <w:r>
              <w:rPr>
                <w:rFonts w:ascii="Times New Roman" w:hAnsi="Times New Roman"/>
                <w:b/>
              </w:rPr>
              <w:t>Von Posten des harten Kernkapitals abgezogener Aktivbetrag — Übergangsdefinition</w:t>
            </w:r>
          </w:p>
          <w:p w:rsidR="00F4754B" w:rsidRPr="00FE002E" w:rsidRDefault="00F4754B" w:rsidP="007E2A41">
            <w:pPr>
              <w:pStyle w:val="BodyText1"/>
              <w:spacing w:line="240" w:lineRule="auto"/>
              <w:rPr>
                <w:rFonts w:ascii="Times New Roman" w:hAnsi="Times New Roman"/>
                <w:bCs/>
              </w:rPr>
            </w:pPr>
          </w:p>
          <w:p w:rsidR="00C81710" w:rsidRDefault="00C81710" w:rsidP="00C81710">
            <w:pPr>
              <w:pStyle w:val="BodyText1"/>
              <w:spacing w:line="240" w:lineRule="auto"/>
              <w:rPr>
                <w:rFonts w:ascii="Times New Roman" w:hAnsi="Times New Roman"/>
                <w:bCs/>
              </w:rPr>
            </w:pPr>
            <w:r>
              <w:rPr>
                <w:rFonts w:ascii="Times New Roman" w:hAnsi="Times New Roman"/>
              </w:rPr>
              <w:t>Enthält die Wertberichtigungen für das harte Kernkapital, die durch eine der folgenden Bestimmungen vorgeschrieben sind:</w:t>
            </w:r>
          </w:p>
          <w:p w:rsidR="00C81710" w:rsidRPr="00D74CC1"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 xml:space="preserve">Artikel </w:t>
            </w:r>
            <w:r w:rsidRPr="00532F3A">
              <w:rPr>
                <w:rFonts w:ascii="Times New Roman" w:hAnsi="Times New Roman"/>
              </w:rPr>
              <w:t>32</w:t>
            </w:r>
            <w:r>
              <w:rPr>
                <w:rFonts w:ascii="Times New Roman" w:hAnsi="Times New Roman"/>
              </w:rPr>
              <w:t xml:space="preserve"> bis </w:t>
            </w:r>
            <w:r w:rsidRPr="00532F3A">
              <w:rPr>
                <w:rFonts w:ascii="Times New Roman" w:hAnsi="Times New Roman"/>
              </w:rPr>
              <w:t>35</w:t>
            </w:r>
            <w:r>
              <w:rPr>
                <w:rFonts w:ascii="Times New Roman" w:hAnsi="Times New Roman"/>
              </w:rPr>
              <w:t xml:space="preserve"> CRR oder</w:t>
            </w:r>
          </w:p>
          <w:p w:rsidR="00C81710" w:rsidRPr="006914A2"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 xml:space="preserve">Artikel </w:t>
            </w:r>
            <w:r w:rsidRPr="00532F3A">
              <w:rPr>
                <w:rFonts w:ascii="Times New Roman" w:hAnsi="Times New Roman"/>
              </w:rPr>
              <w:t>36</w:t>
            </w:r>
            <w:r>
              <w:rPr>
                <w:rFonts w:ascii="Times New Roman" w:hAnsi="Times New Roman"/>
              </w:rPr>
              <w:t xml:space="preserve"> bis </w:t>
            </w:r>
            <w:r w:rsidRPr="00532F3A">
              <w:rPr>
                <w:rFonts w:ascii="Times New Roman" w:hAnsi="Times New Roman"/>
              </w:rPr>
              <w:t>47</w:t>
            </w:r>
            <w:r>
              <w:rPr>
                <w:rFonts w:ascii="Times New Roman" w:hAnsi="Times New Roman"/>
              </w:rPr>
              <w:t xml:space="preserve"> CRR,</w:t>
            </w:r>
          </w:p>
          <w:p w:rsidR="007A0E3A" w:rsidRPr="00D74CC1" w:rsidRDefault="007A0E3A" w:rsidP="006914A2">
            <w:pPr>
              <w:pStyle w:val="BodyText1"/>
              <w:spacing w:line="240" w:lineRule="auto"/>
              <w:rPr>
                <w:rFonts w:ascii="Times New Roman" w:hAnsi="Times New Roman"/>
                <w:b/>
                <w:bCs/>
              </w:rPr>
            </w:pPr>
            <w:r>
              <w:rPr>
                <w:rFonts w:ascii="Times New Roman" w:hAnsi="Times New Roman"/>
              </w:rPr>
              <w:t>je nachdem, welche Bestimmung anwendbar ist.</w:t>
            </w:r>
          </w:p>
          <w:p w:rsidR="00C81710" w:rsidRDefault="00C81710" w:rsidP="007E2A41">
            <w:pPr>
              <w:pStyle w:val="BodyText1"/>
              <w:spacing w:line="240" w:lineRule="auto"/>
              <w:rPr>
                <w:rFonts w:ascii="Times New Roman" w:hAnsi="Times New Roman"/>
                <w:bCs/>
              </w:rPr>
            </w:pPr>
          </w:p>
          <w:p w:rsidR="00C81710" w:rsidRPr="00D74CC1" w:rsidRDefault="00C81710" w:rsidP="00C81710">
            <w:pPr>
              <w:pStyle w:val="BodyText1"/>
              <w:spacing w:line="240" w:lineRule="auto"/>
              <w:rPr>
                <w:rFonts w:ascii="Times New Roman" w:hAnsi="Times New Roman"/>
                <w:b/>
                <w:bCs/>
              </w:rPr>
            </w:pPr>
            <w:r>
              <w:rPr>
                <w:rFonts w:ascii="Times New Roman" w:hAnsi="Times New Roman"/>
              </w:rPr>
              <w:t xml:space="preserve">Zusätzlich zu den in Teil </w:t>
            </w:r>
            <w:r w:rsidRPr="00532F3A">
              <w:rPr>
                <w:rFonts w:ascii="Times New Roman" w:hAnsi="Times New Roman"/>
              </w:rPr>
              <w:t>10</w:t>
            </w:r>
            <w:r>
              <w:rPr>
                <w:rFonts w:ascii="Times New Roman" w:hAnsi="Times New Roman"/>
              </w:rPr>
              <w:t xml:space="preserve"> Kapitel </w:t>
            </w:r>
            <w:r w:rsidRPr="00532F3A">
              <w:rPr>
                <w:rFonts w:ascii="Times New Roman" w:hAnsi="Times New Roman"/>
              </w:rPr>
              <w:t>1</w:t>
            </w:r>
            <w:r>
              <w:rPr>
                <w:rFonts w:ascii="Times New Roman" w:hAnsi="Times New Roman"/>
              </w:rPr>
              <w:t xml:space="preserve"> und </w:t>
            </w:r>
            <w:r w:rsidRPr="00532F3A">
              <w:rPr>
                <w:rFonts w:ascii="Times New Roman" w:hAnsi="Times New Roman"/>
              </w:rPr>
              <w:t>2</w:t>
            </w:r>
            <w:r>
              <w:rPr>
                <w:rFonts w:ascii="Times New Roman" w:hAnsi="Times New Roman"/>
              </w:rPr>
              <w:t xml:space="preserve"> CRR niedergelegten abweichenden Regelungen tragen die Institute den in den Artikeln </w:t>
            </w:r>
            <w:r w:rsidRPr="00532F3A">
              <w:rPr>
                <w:rFonts w:ascii="Times New Roman" w:hAnsi="Times New Roman"/>
              </w:rPr>
              <w:t>48</w:t>
            </w:r>
            <w:r>
              <w:rPr>
                <w:rFonts w:ascii="Times New Roman" w:hAnsi="Times New Roman"/>
              </w:rPr>
              <w:t xml:space="preserve">, </w:t>
            </w:r>
            <w:r w:rsidRPr="00532F3A">
              <w:rPr>
                <w:rFonts w:ascii="Times New Roman" w:hAnsi="Times New Roman"/>
              </w:rPr>
              <w:t>49</w:t>
            </w:r>
            <w:r>
              <w:rPr>
                <w:rFonts w:ascii="Times New Roman" w:hAnsi="Times New Roman"/>
              </w:rPr>
              <w:t xml:space="preserve"> und </w:t>
            </w:r>
            <w:r w:rsidRPr="00532F3A">
              <w:rPr>
                <w:rFonts w:ascii="Times New Roman" w:hAnsi="Times New Roman"/>
              </w:rPr>
              <w:t>79</w:t>
            </w:r>
            <w:r>
              <w:rPr>
                <w:rFonts w:ascii="Times New Roman" w:hAnsi="Times New Roman"/>
              </w:rPr>
              <w:t xml:space="preserve"> CRR vorgesehenen Ausnahmen und Alternativen Rechnung. Um eine Doppelzählung zu vermeiden, geben die Institute bei der </w:t>
            </w:r>
            <w:r>
              <w:rPr>
                <w:rFonts w:ascii="Times New Roman" w:hAnsi="Times New Roman"/>
              </w:rPr>
              <w:lastRenderedPageBreak/>
              <w:t>Berechnung der Risikopositionswerte in {LRCalc;</w:t>
            </w:r>
            <w:r w:rsidRPr="00532F3A">
              <w:rPr>
                <w:rFonts w:ascii="Times New Roman" w:hAnsi="Times New Roman"/>
              </w:rPr>
              <w:t>10</w:t>
            </w:r>
            <w:r>
              <w:rPr>
                <w:rFonts w:ascii="Times New Roman" w:hAnsi="Times New Roman"/>
              </w:rPr>
              <w:t>;</w:t>
            </w:r>
            <w:r w:rsidRPr="00532F3A">
              <w:rPr>
                <w:rFonts w:ascii="Times New Roman" w:hAnsi="Times New Roman"/>
              </w:rPr>
              <w:t>10</w:t>
            </w:r>
            <w:r>
              <w:rPr>
                <w:rFonts w:ascii="Times New Roman" w:hAnsi="Times New Roman"/>
              </w:rPr>
              <w:t>} bis {LRCalc;</w:t>
            </w:r>
            <w:r w:rsidRPr="00532F3A">
              <w:rPr>
                <w:rFonts w:ascii="Times New Roman" w:hAnsi="Times New Roman"/>
              </w:rPr>
              <w:t>260</w:t>
            </w:r>
            <w:r>
              <w:rPr>
                <w:rFonts w:ascii="Times New Roman" w:hAnsi="Times New Roman"/>
              </w:rPr>
              <w:t>;</w:t>
            </w:r>
            <w:r w:rsidRPr="00532F3A">
              <w:rPr>
                <w:rFonts w:ascii="Times New Roman" w:hAnsi="Times New Roman"/>
              </w:rPr>
              <w:t>10</w:t>
            </w:r>
            <w:r>
              <w:rPr>
                <w:rFonts w:ascii="Times New Roman" w:hAnsi="Times New Roman"/>
              </w:rPr>
              <w:t xml:space="preserve">} weder Anpassungen an, die bereits nach Artikel </w:t>
            </w:r>
            <w:r w:rsidRPr="00532F3A">
              <w:rPr>
                <w:rFonts w:ascii="Times New Roman" w:hAnsi="Times New Roman"/>
              </w:rPr>
              <w:t>111</w:t>
            </w:r>
            <w:r>
              <w:rPr>
                <w:rFonts w:ascii="Times New Roman" w:hAnsi="Times New Roman"/>
              </w:rPr>
              <w:t xml:space="preserve"> CRR vorgenommen wurden, noch solche, die nicht den Abzug eines bestimmten Aktivpostens zur Folge haben.</w:t>
            </w:r>
            <w:r>
              <w:rPr>
                <w:rFonts w:ascii="Times New Roman" w:hAnsi="Times New Roman"/>
                <w:b/>
              </w:rPr>
              <w:t xml:space="preserve"> </w:t>
            </w:r>
          </w:p>
          <w:p w:rsidR="00C81710" w:rsidRDefault="00C81710" w:rsidP="00C81710">
            <w:pPr>
              <w:pStyle w:val="BodyText1"/>
              <w:spacing w:line="240" w:lineRule="auto"/>
              <w:rPr>
                <w:rFonts w:ascii="Times New Roman" w:hAnsi="Times New Roman"/>
                <w:b/>
                <w:bCs/>
              </w:rPr>
            </w:pPr>
          </w:p>
          <w:p w:rsidR="00C81710" w:rsidRPr="00FE002E" w:rsidRDefault="00C81710" w:rsidP="007E2A41">
            <w:pPr>
              <w:pStyle w:val="BodyText1"/>
              <w:spacing w:line="240" w:lineRule="auto"/>
              <w:rPr>
                <w:rFonts w:ascii="Times New Roman" w:hAnsi="Times New Roman"/>
                <w:bCs/>
                <w:u w:val="single"/>
              </w:rPr>
            </w:pPr>
            <w:r>
              <w:rPr>
                <w:rFonts w:ascii="Times New Roman" w:hAnsi="Times New Roman"/>
              </w:rPr>
              <w:t>Da diese Anpassungen die Gesamteigenmittel verringern, sind sie als negativer Wert auszuweisen.</w:t>
            </w:r>
          </w:p>
        </w:tc>
      </w:tr>
      <w:tr w:rsidR="00F4754B" w:rsidRPr="00FE002E" w:rsidTr="00FC2664">
        <w:tc>
          <w:tcPr>
            <w:tcW w:w="1418" w:type="dxa"/>
          </w:tcPr>
          <w:p w:rsidR="00F4754B" w:rsidRPr="00FE002E" w:rsidRDefault="00F4754B" w:rsidP="00F70A83">
            <w:pPr>
              <w:pStyle w:val="BodyText1"/>
              <w:rPr>
                <w:rFonts w:ascii="Times New Roman" w:hAnsi="Times New Roman"/>
                <w:bCs/>
              </w:rPr>
            </w:pPr>
            <w:r>
              <w:rPr>
                <w:rFonts w:ascii="Times New Roman" w:hAnsi="Times New Roman"/>
              </w:rPr>
              <w:lastRenderedPageBreak/>
              <w:t>{</w:t>
            </w:r>
            <w:r w:rsidRPr="00532F3A">
              <w:rPr>
                <w:rFonts w:ascii="Times New Roman" w:hAnsi="Times New Roman"/>
              </w:rPr>
              <w:t>075</w:t>
            </w:r>
            <w:r>
              <w:rPr>
                <w:rFonts w:ascii="Times New Roman" w:hAnsi="Times New Roman"/>
              </w:rPr>
              <w:t>;</w:t>
            </w:r>
            <w:r w:rsidRPr="00532F3A">
              <w:rPr>
                <w:rFonts w:ascii="Times New Roman" w:hAnsi="Times New Roman"/>
              </w:rPr>
              <w:t>010</w:t>
            </w:r>
            <w:r>
              <w:rPr>
                <w:rFonts w:ascii="Times New Roman" w:hAnsi="Times New Roman"/>
              </w:rPr>
              <w:t>}</w:t>
            </w:r>
          </w:p>
        </w:tc>
        <w:tc>
          <w:tcPr>
            <w:tcW w:w="7620" w:type="dxa"/>
          </w:tcPr>
          <w:p w:rsidR="00F4754B" w:rsidRPr="00FE002E" w:rsidRDefault="00E818E9" w:rsidP="007E2A41">
            <w:pPr>
              <w:pStyle w:val="BodyText1"/>
              <w:spacing w:line="240" w:lineRule="auto"/>
              <w:rPr>
                <w:rFonts w:ascii="Times New Roman" w:hAnsi="Times New Roman"/>
                <w:b/>
                <w:bCs/>
              </w:rPr>
            </w:pPr>
            <w:r>
              <w:rPr>
                <w:rFonts w:ascii="Times New Roman" w:hAnsi="Times New Roman"/>
                <w:b/>
              </w:rPr>
              <w:t>Von Eigenmittelposten abgezogener Aktivbetrag — Definition nach vollständiger Einführung der neuen Bestimmungen</w:t>
            </w:r>
          </w:p>
          <w:p w:rsidR="00F4754B" w:rsidRPr="00FE002E" w:rsidRDefault="00F4754B" w:rsidP="007E2A41">
            <w:pPr>
              <w:pStyle w:val="BodyText1"/>
              <w:spacing w:line="240" w:lineRule="auto"/>
              <w:rPr>
                <w:rFonts w:ascii="Times New Roman" w:hAnsi="Times New Roman"/>
                <w:bCs/>
              </w:rPr>
            </w:pPr>
          </w:p>
          <w:p w:rsidR="00C81710" w:rsidRDefault="00C81710" w:rsidP="00C81710">
            <w:pPr>
              <w:pStyle w:val="BodyText1"/>
              <w:spacing w:line="240" w:lineRule="auto"/>
              <w:rPr>
                <w:rFonts w:ascii="Times New Roman" w:hAnsi="Times New Roman"/>
                <w:bCs/>
              </w:rPr>
            </w:pPr>
            <w:r>
              <w:rPr>
                <w:rFonts w:ascii="Times New Roman" w:hAnsi="Times New Roman"/>
              </w:rPr>
              <w:t>Enthält die Wertberichtigungen für Eigenmittel, die durch eine der folgenden Bestimmungen vorgeschrieben sind:</w:t>
            </w:r>
          </w:p>
          <w:p w:rsidR="00C81710" w:rsidRPr="00D74CC1"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 xml:space="preserve">Artikel </w:t>
            </w:r>
            <w:r w:rsidRPr="00532F3A">
              <w:rPr>
                <w:rFonts w:ascii="Times New Roman" w:hAnsi="Times New Roman"/>
              </w:rPr>
              <w:t>32</w:t>
            </w:r>
            <w:r>
              <w:rPr>
                <w:rFonts w:ascii="Times New Roman" w:hAnsi="Times New Roman"/>
              </w:rPr>
              <w:t xml:space="preserve"> bis </w:t>
            </w:r>
            <w:r w:rsidRPr="00532F3A">
              <w:rPr>
                <w:rFonts w:ascii="Times New Roman" w:hAnsi="Times New Roman"/>
              </w:rPr>
              <w:t>35</w:t>
            </w:r>
            <w:r>
              <w:rPr>
                <w:rFonts w:ascii="Times New Roman" w:hAnsi="Times New Roman"/>
              </w:rPr>
              <w:t xml:space="preserve"> CRR oder</w:t>
            </w:r>
          </w:p>
          <w:p w:rsidR="00C81710" w:rsidRPr="00FD2C06"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 xml:space="preserve">Artikel </w:t>
            </w:r>
            <w:r w:rsidRPr="00532F3A">
              <w:rPr>
                <w:rFonts w:ascii="Times New Roman" w:hAnsi="Times New Roman"/>
              </w:rPr>
              <w:t>36</w:t>
            </w:r>
            <w:r>
              <w:rPr>
                <w:rFonts w:ascii="Times New Roman" w:hAnsi="Times New Roman"/>
              </w:rPr>
              <w:t xml:space="preserve"> bis </w:t>
            </w:r>
            <w:r w:rsidRPr="00532F3A">
              <w:rPr>
                <w:rFonts w:ascii="Times New Roman" w:hAnsi="Times New Roman"/>
              </w:rPr>
              <w:t>47</w:t>
            </w:r>
            <w:r>
              <w:rPr>
                <w:rFonts w:ascii="Times New Roman" w:hAnsi="Times New Roman"/>
              </w:rPr>
              <w:t xml:space="preserve"> CRR oder</w:t>
            </w:r>
          </w:p>
          <w:p w:rsidR="00C81710" w:rsidRPr="00FD2C06"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 xml:space="preserve">Artikel </w:t>
            </w:r>
            <w:r w:rsidRPr="00532F3A">
              <w:rPr>
                <w:rFonts w:ascii="Times New Roman" w:hAnsi="Times New Roman"/>
              </w:rPr>
              <w:t>56</w:t>
            </w:r>
            <w:r>
              <w:rPr>
                <w:rFonts w:ascii="Times New Roman" w:hAnsi="Times New Roman"/>
              </w:rPr>
              <w:t xml:space="preserve"> bis </w:t>
            </w:r>
            <w:r w:rsidRPr="00532F3A">
              <w:rPr>
                <w:rFonts w:ascii="Times New Roman" w:hAnsi="Times New Roman"/>
              </w:rPr>
              <w:t>60</w:t>
            </w:r>
            <w:r>
              <w:rPr>
                <w:rFonts w:ascii="Times New Roman" w:hAnsi="Times New Roman"/>
              </w:rPr>
              <w:t xml:space="preserve"> CRR oder</w:t>
            </w:r>
          </w:p>
          <w:p w:rsidR="00C81710" w:rsidRPr="00877186"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 xml:space="preserve">Artikel </w:t>
            </w:r>
            <w:r w:rsidRPr="00532F3A">
              <w:rPr>
                <w:rFonts w:ascii="Times New Roman" w:hAnsi="Times New Roman"/>
              </w:rPr>
              <w:t>66</w:t>
            </w:r>
            <w:r>
              <w:rPr>
                <w:rFonts w:ascii="Times New Roman" w:hAnsi="Times New Roman"/>
              </w:rPr>
              <w:t xml:space="preserve"> bis </w:t>
            </w:r>
            <w:r w:rsidRPr="00532F3A">
              <w:rPr>
                <w:rFonts w:ascii="Times New Roman" w:hAnsi="Times New Roman"/>
              </w:rPr>
              <w:t>70</w:t>
            </w:r>
            <w:r>
              <w:rPr>
                <w:rFonts w:ascii="Times New Roman" w:hAnsi="Times New Roman"/>
              </w:rPr>
              <w:t xml:space="preserve"> CRR,</w:t>
            </w:r>
          </w:p>
          <w:p w:rsidR="007A0E3A" w:rsidRPr="00D74CC1" w:rsidRDefault="007A0E3A" w:rsidP="00877186">
            <w:pPr>
              <w:pStyle w:val="BodyText1"/>
              <w:spacing w:line="240" w:lineRule="auto"/>
              <w:rPr>
                <w:rFonts w:ascii="Times New Roman" w:hAnsi="Times New Roman"/>
                <w:b/>
                <w:bCs/>
              </w:rPr>
            </w:pPr>
            <w:r>
              <w:rPr>
                <w:rFonts w:ascii="Times New Roman" w:hAnsi="Times New Roman"/>
              </w:rPr>
              <w:t>je nachdem, welche Bestimmung anwendbar ist.</w:t>
            </w:r>
          </w:p>
          <w:p w:rsidR="00C81710" w:rsidRDefault="00C81710" w:rsidP="00C81710">
            <w:pPr>
              <w:pStyle w:val="BodyText1"/>
              <w:spacing w:line="240" w:lineRule="auto"/>
              <w:rPr>
                <w:rFonts w:ascii="Times New Roman" w:hAnsi="Times New Roman"/>
                <w:bCs/>
              </w:rPr>
            </w:pPr>
          </w:p>
          <w:p w:rsidR="00C81710" w:rsidRPr="00D74CC1" w:rsidRDefault="00C81710" w:rsidP="00C81710">
            <w:pPr>
              <w:pStyle w:val="BodyText1"/>
              <w:spacing w:line="240" w:lineRule="auto"/>
              <w:rPr>
                <w:rFonts w:ascii="Times New Roman" w:hAnsi="Times New Roman"/>
                <w:b/>
                <w:bCs/>
              </w:rPr>
            </w:pPr>
            <w:r>
              <w:rPr>
                <w:rFonts w:ascii="Times New Roman" w:hAnsi="Times New Roman"/>
              </w:rPr>
              <w:t xml:space="preserve">Die Institute berücksichtigen die in den Artikeln </w:t>
            </w:r>
            <w:r w:rsidRPr="00532F3A">
              <w:rPr>
                <w:rFonts w:ascii="Times New Roman" w:hAnsi="Times New Roman"/>
              </w:rPr>
              <w:t>48</w:t>
            </w:r>
            <w:r>
              <w:rPr>
                <w:rFonts w:ascii="Times New Roman" w:hAnsi="Times New Roman"/>
              </w:rPr>
              <w:t xml:space="preserve">, </w:t>
            </w:r>
            <w:r w:rsidRPr="00532F3A">
              <w:rPr>
                <w:rFonts w:ascii="Times New Roman" w:hAnsi="Times New Roman"/>
              </w:rPr>
              <w:t>49</w:t>
            </w:r>
            <w:r>
              <w:rPr>
                <w:rFonts w:ascii="Times New Roman" w:hAnsi="Times New Roman"/>
              </w:rPr>
              <w:t xml:space="preserve"> und </w:t>
            </w:r>
            <w:r w:rsidRPr="00532F3A">
              <w:rPr>
                <w:rFonts w:ascii="Times New Roman" w:hAnsi="Times New Roman"/>
              </w:rPr>
              <w:t>79</w:t>
            </w:r>
            <w:r>
              <w:rPr>
                <w:rFonts w:ascii="Times New Roman" w:hAnsi="Times New Roman"/>
              </w:rPr>
              <w:t xml:space="preserve"> CRR vorgesehenen Ausnahmen und Alternativen, nicht aber die in Teil </w:t>
            </w:r>
            <w:r w:rsidRPr="00532F3A">
              <w:rPr>
                <w:rFonts w:ascii="Times New Roman" w:hAnsi="Times New Roman"/>
              </w:rPr>
              <w:t>10</w:t>
            </w:r>
            <w:r>
              <w:rPr>
                <w:rFonts w:ascii="Times New Roman" w:hAnsi="Times New Roman"/>
              </w:rPr>
              <w:t xml:space="preserve"> Kapitel </w:t>
            </w:r>
            <w:r w:rsidRPr="00532F3A">
              <w:rPr>
                <w:rFonts w:ascii="Times New Roman" w:hAnsi="Times New Roman"/>
              </w:rPr>
              <w:t>1</w:t>
            </w:r>
            <w:r>
              <w:rPr>
                <w:rFonts w:ascii="Times New Roman" w:hAnsi="Times New Roman"/>
              </w:rPr>
              <w:t xml:space="preserve"> und </w:t>
            </w:r>
            <w:r w:rsidRPr="00532F3A">
              <w:rPr>
                <w:rFonts w:ascii="Times New Roman" w:hAnsi="Times New Roman"/>
              </w:rPr>
              <w:t>2</w:t>
            </w:r>
            <w:r>
              <w:rPr>
                <w:rFonts w:ascii="Times New Roman" w:hAnsi="Times New Roman"/>
              </w:rPr>
              <w:t xml:space="preserve"> CRR niedergelegten abweichenden Regelungen. Um eine Doppelzählung zu vermeiden, geben die Institute bei der Berechnung der Risikopositionswerte in den Zeilen {LRCalc;</w:t>
            </w:r>
            <w:r w:rsidRPr="00532F3A">
              <w:rPr>
                <w:rFonts w:ascii="Times New Roman" w:hAnsi="Times New Roman"/>
              </w:rPr>
              <w:t>10</w:t>
            </w:r>
            <w:r>
              <w:rPr>
                <w:rFonts w:ascii="Times New Roman" w:hAnsi="Times New Roman"/>
              </w:rPr>
              <w:t>;</w:t>
            </w:r>
            <w:r w:rsidRPr="00532F3A">
              <w:rPr>
                <w:rFonts w:ascii="Times New Roman" w:hAnsi="Times New Roman"/>
              </w:rPr>
              <w:t>10</w:t>
            </w:r>
            <w:r>
              <w:rPr>
                <w:rFonts w:ascii="Times New Roman" w:hAnsi="Times New Roman"/>
              </w:rPr>
              <w:t>} bis {LRCalc;</w:t>
            </w:r>
            <w:r w:rsidRPr="00532F3A">
              <w:rPr>
                <w:rFonts w:ascii="Times New Roman" w:hAnsi="Times New Roman"/>
              </w:rPr>
              <w:t>260</w:t>
            </w:r>
            <w:r>
              <w:rPr>
                <w:rFonts w:ascii="Times New Roman" w:hAnsi="Times New Roman"/>
              </w:rPr>
              <w:t>;</w:t>
            </w:r>
            <w:r w:rsidRPr="00532F3A">
              <w:rPr>
                <w:rFonts w:ascii="Times New Roman" w:hAnsi="Times New Roman"/>
              </w:rPr>
              <w:t>10</w:t>
            </w:r>
            <w:r>
              <w:rPr>
                <w:rFonts w:ascii="Times New Roman" w:hAnsi="Times New Roman"/>
              </w:rPr>
              <w:t xml:space="preserve">} weder Anpassungen an, die bereits nach Artikel </w:t>
            </w:r>
            <w:r w:rsidRPr="00532F3A">
              <w:rPr>
                <w:rFonts w:ascii="Times New Roman" w:hAnsi="Times New Roman"/>
              </w:rPr>
              <w:t>111</w:t>
            </w:r>
            <w:r>
              <w:rPr>
                <w:rFonts w:ascii="Times New Roman" w:hAnsi="Times New Roman"/>
              </w:rPr>
              <w:t xml:space="preserve"> CRR vorgenommen wurden, noch solche, die nicht den Abzug eines bestimmten Aktivpostens zur Folge haben.</w:t>
            </w:r>
            <w:r>
              <w:rPr>
                <w:rFonts w:ascii="Times New Roman" w:hAnsi="Times New Roman"/>
                <w:b/>
              </w:rPr>
              <w:t xml:space="preserve"> </w:t>
            </w:r>
          </w:p>
          <w:p w:rsidR="00C81710" w:rsidRDefault="00C81710" w:rsidP="00C81710">
            <w:pPr>
              <w:pStyle w:val="BodyText1"/>
              <w:spacing w:line="240" w:lineRule="auto"/>
              <w:rPr>
                <w:rFonts w:ascii="Times New Roman" w:hAnsi="Times New Roman"/>
                <w:b/>
                <w:bCs/>
              </w:rPr>
            </w:pPr>
          </w:p>
          <w:p w:rsidR="00C81710" w:rsidRPr="00FE002E" w:rsidRDefault="00C81710" w:rsidP="00C81710">
            <w:pPr>
              <w:pStyle w:val="BodyText1"/>
              <w:spacing w:line="240" w:lineRule="auto"/>
              <w:rPr>
                <w:rFonts w:ascii="Times New Roman" w:hAnsi="Times New Roman"/>
                <w:bCs/>
              </w:rPr>
            </w:pPr>
            <w:r>
              <w:rPr>
                <w:rFonts w:ascii="Times New Roman" w:hAnsi="Times New Roman"/>
              </w:rPr>
              <w:t xml:space="preserve">Da diese Anpassungen die Gesamteigenmittel verringern, sind sie als negativer Wert auszuweisen. </w:t>
            </w:r>
          </w:p>
          <w:p w:rsidR="00F4754B" w:rsidRPr="00FE002E" w:rsidRDefault="00F4754B" w:rsidP="005556DC">
            <w:pPr>
              <w:pStyle w:val="BodyText1"/>
              <w:spacing w:line="240" w:lineRule="auto"/>
              <w:rPr>
                <w:rFonts w:ascii="Times New Roman" w:hAnsi="Times New Roman"/>
                <w:bCs/>
                <w:u w:val="single"/>
              </w:rPr>
            </w:pPr>
          </w:p>
        </w:tc>
      </w:tr>
      <w:tr w:rsidR="00F4754B" w:rsidRPr="00FE002E" w:rsidTr="00FC2664">
        <w:tc>
          <w:tcPr>
            <w:tcW w:w="1418" w:type="dxa"/>
          </w:tcPr>
          <w:p w:rsidR="00F4754B" w:rsidRPr="00FE002E" w:rsidRDefault="00F4754B" w:rsidP="00F70A83">
            <w:pPr>
              <w:pStyle w:val="BodyText1"/>
              <w:rPr>
                <w:rFonts w:ascii="Times New Roman" w:hAnsi="Times New Roman"/>
                <w:bCs/>
              </w:rPr>
            </w:pPr>
            <w:r>
              <w:rPr>
                <w:rFonts w:ascii="Times New Roman" w:hAnsi="Times New Roman"/>
              </w:rPr>
              <w:t>{</w:t>
            </w:r>
            <w:r w:rsidRPr="00532F3A">
              <w:rPr>
                <w:rFonts w:ascii="Times New Roman" w:hAnsi="Times New Roman"/>
              </w:rPr>
              <w:t>085</w:t>
            </w:r>
            <w:r>
              <w:rPr>
                <w:rFonts w:ascii="Times New Roman" w:hAnsi="Times New Roman"/>
              </w:rPr>
              <w:t>,</w:t>
            </w:r>
            <w:r w:rsidRPr="00532F3A">
              <w:rPr>
                <w:rFonts w:ascii="Times New Roman" w:hAnsi="Times New Roman"/>
              </w:rPr>
              <w:t>010</w:t>
            </w:r>
            <w:r>
              <w:rPr>
                <w:rFonts w:ascii="Times New Roman" w:hAnsi="Times New Roman"/>
              </w:rPr>
              <w:t>}</w:t>
            </w:r>
          </w:p>
        </w:tc>
        <w:tc>
          <w:tcPr>
            <w:tcW w:w="7620" w:type="dxa"/>
          </w:tcPr>
          <w:p w:rsidR="00F4754B" w:rsidRPr="00FE002E" w:rsidRDefault="00E818E9" w:rsidP="007E2A41">
            <w:pPr>
              <w:pStyle w:val="BodyText1"/>
              <w:spacing w:line="240" w:lineRule="auto"/>
              <w:rPr>
                <w:rFonts w:ascii="Times New Roman" w:hAnsi="Times New Roman"/>
                <w:bCs/>
              </w:rPr>
            </w:pPr>
            <w:r>
              <w:rPr>
                <w:rFonts w:ascii="Times New Roman" w:hAnsi="Times New Roman"/>
                <w:b/>
              </w:rPr>
              <w:t>Von Eigenmittelposten abgezogener Aktivbetrag — Übergangsdefinition</w:t>
            </w:r>
          </w:p>
          <w:p w:rsidR="00F4754B" w:rsidRDefault="00F4754B" w:rsidP="007E2A41">
            <w:pPr>
              <w:pStyle w:val="BodyText1"/>
              <w:spacing w:line="240" w:lineRule="auto"/>
              <w:rPr>
                <w:rFonts w:ascii="Times New Roman" w:hAnsi="Times New Roman"/>
                <w:bCs/>
              </w:rPr>
            </w:pPr>
          </w:p>
          <w:p w:rsidR="00C81710" w:rsidRDefault="00C81710" w:rsidP="00C81710">
            <w:pPr>
              <w:pStyle w:val="BodyText1"/>
              <w:spacing w:line="240" w:lineRule="auto"/>
              <w:rPr>
                <w:rFonts w:ascii="Times New Roman" w:hAnsi="Times New Roman"/>
                <w:bCs/>
              </w:rPr>
            </w:pPr>
            <w:r>
              <w:rPr>
                <w:rFonts w:ascii="Times New Roman" w:hAnsi="Times New Roman"/>
              </w:rPr>
              <w:t>Enthält die Wertberichtigungen für Eigenmittel, die durch eine der folgenden Bestimmungen vorgeschrieben sind:</w:t>
            </w:r>
          </w:p>
          <w:p w:rsidR="00C81710" w:rsidRPr="00D74CC1"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 xml:space="preserve">Artikel </w:t>
            </w:r>
            <w:r w:rsidRPr="00532F3A">
              <w:rPr>
                <w:rFonts w:ascii="Times New Roman" w:hAnsi="Times New Roman"/>
              </w:rPr>
              <w:t>32</w:t>
            </w:r>
            <w:r>
              <w:rPr>
                <w:rFonts w:ascii="Times New Roman" w:hAnsi="Times New Roman"/>
              </w:rPr>
              <w:t xml:space="preserve"> bis </w:t>
            </w:r>
            <w:r w:rsidRPr="00532F3A">
              <w:rPr>
                <w:rFonts w:ascii="Times New Roman" w:hAnsi="Times New Roman"/>
              </w:rPr>
              <w:t>35</w:t>
            </w:r>
            <w:r>
              <w:rPr>
                <w:rFonts w:ascii="Times New Roman" w:hAnsi="Times New Roman"/>
              </w:rPr>
              <w:t xml:space="preserve"> CRR oder</w:t>
            </w:r>
          </w:p>
          <w:p w:rsidR="00C81710" w:rsidRPr="00D74CC1"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 xml:space="preserve">Artikel </w:t>
            </w:r>
            <w:r w:rsidRPr="00532F3A">
              <w:rPr>
                <w:rFonts w:ascii="Times New Roman" w:hAnsi="Times New Roman"/>
              </w:rPr>
              <w:t>36</w:t>
            </w:r>
            <w:r>
              <w:rPr>
                <w:rFonts w:ascii="Times New Roman" w:hAnsi="Times New Roman"/>
              </w:rPr>
              <w:t xml:space="preserve"> bis </w:t>
            </w:r>
            <w:r w:rsidRPr="00532F3A">
              <w:rPr>
                <w:rFonts w:ascii="Times New Roman" w:hAnsi="Times New Roman"/>
              </w:rPr>
              <w:t>47</w:t>
            </w:r>
            <w:r>
              <w:rPr>
                <w:rFonts w:ascii="Times New Roman" w:hAnsi="Times New Roman"/>
              </w:rPr>
              <w:t xml:space="preserve"> CRR oder</w:t>
            </w:r>
          </w:p>
          <w:p w:rsidR="00C81710" w:rsidRPr="00D74CC1"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 xml:space="preserve">Artikel </w:t>
            </w:r>
            <w:r w:rsidRPr="00532F3A">
              <w:rPr>
                <w:rFonts w:ascii="Times New Roman" w:hAnsi="Times New Roman"/>
              </w:rPr>
              <w:t>56</w:t>
            </w:r>
            <w:r>
              <w:rPr>
                <w:rFonts w:ascii="Times New Roman" w:hAnsi="Times New Roman"/>
              </w:rPr>
              <w:t xml:space="preserve"> bis </w:t>
            </w:r>
            <w:r w:rsidRPr="00532F3A">
              <w:rPr>
                <w:rFonts w:ascii="Times New Roman" w:hAnsi="Times New Roman"/>
              </w:rPr>
              <w:t>60</w:t>
            </w:r>
            <w:r>
              <w:rPr>
                <w:rFonts w:ascii="Times New Roman" w:hAnsi="Times New Roman"/>
              </w:rPr>
              <w:t xml:space="preserve"> CRR oder</w:t>
            </w:r>
          </w:p>
          <w:p w:rsidR="00C81710" w:rsidRPr="00877186"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 xml:space="preserve">Artikel </w:t>
            </w:r>
            <w:r w:rsidRPr="00532F3A">
              <w:rPr>
                <w:rFonts w:ascii="Times New Roman" w:hAnsi="Times New Roman"/>
              </w:rPr>
              <w:t>66</w:t>
            </w:r>
            <w:r>
              <w:rPr>
                <w:rFonts w:ascii="Times New Roman" w:hAnsi="Times New Roman"/>
              </w:rPr>
              <w:t xml:space="preserve"> bis </w:t>
            </w:r>
            <w:r w:rsidRPr="00532F3A">
              <w:rPr>
                <w:rFonts w:ascii="Times New Roman" w:hAnsi="Times New Roman"/>
              </w:rPr>
              <w:t>70</w:t>
            </w:r>
            <w:r>
              <w:rPr>
                <w:rFonts w:ascii="Times New Roman" w:hAnsi="Times New Roman"/>
              </w:rPr>
              <w:t xml:space="preserve"> CRR,</w:t>
            </w:r>
          </w:p>
          <w:p w:rsidR="007A0E3A" w:rsidRPr="00D74CC1" w:rsidRDefault="007A0E3A" w:rsidP="00877186">
            <w:pPr>
              <w:pStyle w:val="BodyText1"/>
              <w:spacing w:line="240" w:lineRule="auto"/>
              <w:rPr>
                <w:rFonts w:ascii="Times New Roman" w:hAnsi="Times New Roman"/>
                <w:b/>
                <w:bCs/>
              </w:rPr>
            </w:pPr>
            <w:r>
              <w:rPr>
                <w:rFonts w:ascii="Times New Roman" w:hAnsi="Times New Roman"/>
              </w:rPr>
              <w:t>je nachdem, welche Bestimmung anwendbar ist.</w:t>
            </w:r>
          </w:p>
          <w:p w:rsidR="00C81710" w:rsidRDefault="00C81710" w:rsidP="00C81710">
            <w:pPr>
              <w:pStyle w:val="BodyText1"/>
              <w:spacing w:line="240" w:lineRule="auto"/>
              <w:rPr>
                <w:rFonts w:ascii="Times New Roman" w:hAnsi="Times New Roman"/>
                <w:bCs/>
              </w:rPr>
            </w:pPr>
          </w:p>
          <w:p w:rsidR="00C81710" w:rsidRPr="00D74CC1" w:rsidRDefault="00C81710" w:rsidP="00C81710">
            <w:pPr>
              <w:pStyle w:val="BodyText1"/>
              <w:spacing w:line="240" w:lineRule="auto"/>
              <w:rPr>
                <w:rFonts w:ascii="Times New Roman" w:hAnsi="Times New Roman"/>
                <w:b/>
                <w:bCs/>
              </w:rPr>
            </w:pPr>
            <w:r>
              <w:rPr>
                <w:rFonts w:ascii="Times New Roman" w:hAnsi="Times New Roman"/>
              </w:rPr>
              <w:t xml:space="preserve">Zusätzlich zu den in Teil </w:t>
            </w:r>
            <w:r w:rsidRPr="00532F3A">
              <w:rPr>
                <w:rFonts w:ascii="Times New Roman" w:hAnsi="Times New Roman"/>
              </w:rPr>
              <w:t>10</w:t>
            </w:r>
            <w:r>
              <w:rPr>
                <w:rFonts w:ascii="Times New Roman" w:hAnsi="Times New Roman"/>
              </w:rPr>
              <w:t xml:space="preserve"> Kapitel </w:t>
            </w:r>
            <w:r w:rsidRPr="00532F3A">
              <w:rPr>
                <w:rFonts w:ascii="Times New Roman" w:hAnsi="Times New Roman"/>
              </w:rPr>
              <w:t>1</w:t>
            </w:r>
            <w:r>
              <w:rPr>
                <w:rFonts w:ascii="Times New Roman" w:hAnsi="Times New Roman"/>
              </w:rPr>
              <w:t xml:space="preserve"> und </w:t>
            </w:r>
            <w:r w:rsidRPr="00532F3A">
              <w:rPr>
                <w:rFonts w:ascii="Times New Roman" w:hAnsi="Times New Roman"/>
              </w:rPr>
              <w:t>2</w:t>
            </w:r>
            <w:r>
              <w:rPr>
                <w:rFonts w:ascii="Times New Roman" w:hAnsi="Times New Roman"/>
              </w:rPr>
              <w:t xml:space="preserve"> CRR niedergelegten abweichenden Regelungen tragen die Institute den in den Artikeln </w:t>
            </w:r>
            <w:r w:rsidRPr="00532F3A">
              <w:rPr>
                <w:rFonts w:ascii="Times New Roman" w:hAnsi="Times New Roman"/>
              </w:rPr>
              <w:t>48</w:t>
            </w:r>
            <w:r>
              <w:rPr>
                <w:rFonts w:ascii="Times New Roman" w:hAnsi="Times New Roman"/>
              </w:rPr>
              <w:t xml:space="preserve">, </w:t>
            </w:r>
            <w:r w:rsidRPr="00532F3A">
              <w:rPr>
                <w:rFonts w:ascii="Times New Roman" w:hAnsi="Times New Roman"/>
              </w:rPr>
              <w:t>49</w:t>
            </w:r>
            <w:r>
              <w:rPr>
                <w:rFonts w:ascii="Times New Roman" w:hAnsi="Times New Roman"/>
              </w:rPr>
              <w:t xml:space="preserve"> und </w:t>
            </w:r>
            <w:r w:rsidRPr="00532F3A">
              <w:rPr>
                <w:rFonts w:ascii="Times New Roman" w:hAnsi="Times New Roman"/>
              </w:rPr>
              <w:t>79</w:t>
            </w:r>
            <w:r>
              <w:rPr>
                <w:rFonts w:ascii="Times New Roman" w:hAnsi="Times New Roman"/>
              </w:rPr>
              <w:t xml:space="preserve"> CRR vorgesehenen Ausnahmen und Alternativen Rechnung. Um eine Doppelzählung zu vermeiden, geben die Institute bei der Berechnung der Risikopositionswerte in {LRCalc;</w:t>
            </w:r>
            <w:r w:rsidRPr="00532F3A">
              <w:rPr>
                <w:rFonts w:ascii="Times New Roman" w:hAnsi="Times New Roman"/>
              </w:rPr>
              <w:t>10</w:t>
            </w:r>
            <w:r>
              <w:rPr>
                <w:rFonts w:ascii="Times New Roman" w:hAnsi="Times New Roman"/>
              </w:rPr>
              <w:t>;</w:t>
            </w:r>
            <w:r w:rsidRPr="00532F3A">
              <w:rPr>
                <w:rFonts w:ascii="Times New Roman" w:hAnsi="Times New Roman"/>
              </w:rPr>
              <w:t>10</w:t>
            </w:r>
            <w:r>
              <w:rPr>
                <w:rFonts w:ascii="Times New Roman" w:hAnsi="Times New Roman"/>
              </w:rPr>
              <w:t>} bis {LRCalc;</w:t>
            </w:r>
            <w:r w:rsidRPr="00532F3A">
              <w:rPr>
                <w:rFonts w:ascii="Times New Roman" w:hAnsi="Times New Roman"/>
              </w:rPr>
              <w:t>260</w:t>
            </w:r>
            <w:r>
              <w:rPr>
                <w:rFonts w:ascii="Times New Roman" w:hAnsi="Times New Roman"/>
              </w:rPr>
              <w:t>;</w:t>
            </w:r>
            <w:r w:rsidRPr="00532F3A">
              <w:rPr>
                <w:rFonts w:ascii="Times New Roman" w:hAnsi="Times New Roman"/>
              </w:rPr>
              <w:t>10</w:t>
            </w:r>
            <w:r>
              <w:rPr>
                <w:rFonts w:ascii="Times New Roman" w:hAnsi="Times New Roman"/>
              </w:rPr>
              <w:t xml:space="preserve">} weder Anpassungen an, die bereits nach Artikel </w:t>
            </w:r>
            <w:r w:rsidRPr="00532F3A">
              <w:rPr>
                <w:rFonts w:ascii="Times New Roman" w:hAnsi="Times New Roman"/>
              </w:rPr>
              <w:t>111</w:t>
            </w:r>
            <w:r>
              <w:rPr>
                <w:rFonts w:ascii="Times New Roman" w:hAnsi="Times New Roman"/>
              </w:rPr>
              <w:t xml:space="preserve"> CRR vorgenommen wurden, noch solche, die nicht den Abzug eines bestimmten Aktivpostens zur Folge haben.</w:t>
            </w:r>
            <w:r>
              <w:rPr>
                <w:rFonts w:ascii="Times New Roman" w:hAnsi="Times New Roman"/>
                <w:b/>
              </w:rPr>
              <w:t xml:space="preserve"> </w:t>
            </w:r>
          </w:p>
          <w:p w:rsidR="00C81710" w:rsidRDefault="00C81710" w:rsidP="00C81710">
            <w:pPr>
              <w:pStyle w:val="BodyText1"/>
              <w:spacing w:line="240" w:lineRule="auto"/>
              <w:rPr>
                <w:rFonts w:ascii="Times New Roman" w:hAnsi="Times New Roman"/>
                <w:b/>
                <w:bCs/>
              </w:rPr>
            </w:pPr>
          </w:p>
          <w:p w:rsidR="00C81710" w:rsidRPr="00FE002E" w:rsidRDefault="00C81710" w:rsidP="00C81710">
            <w:pPr>
              <w:pStyle w:val="BodyText1"/>
              <w:spacing w:line="240" w:lineRule="auto"/>
              <w:rPr>
                <w:rFonts w:ascii="Times New Roman" w:hAnsi="Times New Roman"/>
                <w:bCs/>
              </w:rPr>
            </w:pPr>
            <w:r>
              <w:rPr>
                <w:rFonts w:ascii="Times New Roman" w:hAnsi="Times New Roman"/>
              </w:rPr>
              <w:t xml:space="preserve">Da diese Anpassungen die Gesamteigenmittel verringern, sind sie als negativer Wert auszuweisen. </w:t>
            </w:r>
          </w:p>
          <w:p w:rsidR="002509B1" w:rsidRPr="00FE002E" w:rsidRDefault="002509B1" w:rsidP="005556DC">
            <w:pPr>
              <w:pStyle w:val="BodyText1"/>
              <w:spacing w:line="240" w:lineRule="auto"/>
              <w:rPr>
                <w:rFonts w:ascii="Times New Roman" w:hAnsi="Times New Roman"/>
                <w:bCs/>
              </w:rPr>
            </w:pPr>
          </w:p>
        </w:tc>
      </w:tr>
    </w:tbl>
    <w:p w:rsidR="00217D1F" w:rsidRPr="00FE002E" w:rsidRDefault="00217D1F" w:rsidP="00217D1F">
      <w:pPr>
        <w:pStyle w:val="BodyText1"/>
        <w:ind w:left="567"/>
        <w:rPr>
          <w:rFonts w:ascii="Times New Roman" w:hAnsi="Times New Roman"/>
          <w:b/>
        </w:rPr>
      </w:pPr>
      <w:bookmarkStart w:id="83" w:name="_Toc322687900"/>
      <w:bookmarkStart w:id="84" w:name="_Toc322533879"/>
    </w:p>
    <w:p w:rsidR="00217D1F" w:rsidRPr="00FE002E" w:rsidRDefault="00500508" w:rsidP="00500508">
      <w:pPr>
        <w:pStyle w:val="BodyText1"/>
        <w:ind w:left="357" w:hanging="357"/>
        <w:outlineLvl w:val="1"/>
        <w:rPr>
          <w:rFonts w:ascii="Times New Roman" w:hAnsi="Times New Roman"/>
          <w:b/>
        </w:rPr>
      </w:pPr>
      <w:bookmarkStart w:id="85" w:name="_Toc351048510"/>
      <w:bookmarkStart w:id="86" w:name="_Toc359414289"/>
      <w:bookmarkStart w:id="87" w:name="_Toc423089074"/>
      <w:bookmarkStart w:id="88" w:name="_Toc524078182"/>
      <w:r w:rsidRPr="00532F3A">
        <w:rPr>
          <w:rFonts w:ascii="Times New Roman" w:hAnsi="Times New Roman"/>
          <w:b/>
        </w:rPr>
        <w:t>8</w:t>
      </w:r>
      <w:r>
        <w:rPr>
          <w:rFonts w:ascii="Times New Roman" w:hAnsi="Times New Roman"/>
          <w:b/>
        </w:rPr>
        <w:t>.</w:t>
      </w:r>
      <w:r>
        <w:tab/>
      </w:r>
      <w:r>
        <w:rPr>
          <w:rFonts w:ascii="Times New Roman" w:hAnsi="Times New Roman"/>
          <w:b/>
        </w:rPr>
        <w:t xml:space="preserve">C </w:t>
      </w:r>
      <w:r w:rsidRPr="00532F3A">
        <w:rPr>
          <w:rFonts w:ascii="Times New Roman" w:hAnsi="Times New Roman"/>
          <w:b/>
        </w:rPr>
        <w:t>43</w:t>
      </w:r>
      <w:r>
        <w:rPr>
          <w:rFonts w:ascii="Times New Roman" w:hAnsi="Times New Roman"/>
          <w:b/>
        </w:rPr>
        <w:t>.</w:t>
      </w:r>
      <w:r w:rsidRPr="00532F3A">
        <w:rPr>
          <w:rFonts w:ascii="Times New Roman" w:hAnsi="Times New Roman"/>
          <w:b/>
        </w:rPr>
        <w:t>00</w:t>
      </w:r>
      <w:r>
        <w:rPr>
          <w:rFonts w:ascii="Times New Roman" w:hAnsi="Times New Roman"/>
          <w:b/>
        </w:rPr>
        <w:t xml:space="preserve"> — Alternative Aufgliederung der Bestandteile der Risikomessgröße für die Verschuldungsquote</w:t>
      </w:r>
      <w:bookmarkEnd w:id="83"/>
      <w:bookmarkEnd w:id="85"/>
      <w:bookmarkEnd w:id="86"/>
      <w:r>
        <w:rPr>
          <w:rFonts w:ascii="Times New Roman" w:hAnsi="Times New Roman"/>
          <w:b/>
        </w:rPr>
        <w:t xml:space="preserve"> (LR</w:t>
      </w:r>
      <w:r w:rsidRPr="00532F3A">
        <w:rPr>
          <w:rFonts w:ascii="Times New Roman" w:hAnsi="Times New Roman"/>
          <w:b/>
        </w:rPr>
        <w:t>4</w:t>
      </w:r>
      <w:r>
        <w:rPr>
          <w:rFonts w:ascii="Times New Roman" w:hAnsi="Times New Roman"/>
          <w:b/>
        </w:rPr>
        <w:t>)</w:t>
      </w:r>
      <w:bookmarkEnd w:id="87"/>
      <w:bookmarkEnd w:id="88"/>
    </w:p>
    <w:p w:rsidR="00675587" w:rsidRPr="00FE002E" w:rsidRDefault="00675587" w:rsidP="00675587">
      <w:pPr>
        <w:pStyle w:val="BodyText1"/>
        <w:ind w:left="720"/>
        <w:rPr>
          <w:rFonts w:ascii="Times New Roman" w:hAnsi="Times New Roman"/>
        </w:rPr>
      </w:pPr>
    </w:p>
    <w:p w:rsidR="004E437E" w:rsidRDefault="00500508" w:rsidP="00500508">
      <w:pPr>
        <w:pStyle w:val="BodyText1"/>
        <w:ind w:left="720" w:hanging="360"/>
        <w:rPr>
          <w:rFonts w:ascii="Times New Roman" w:hAnsi="Times New Roman"/>
        </w:rPr>
      </w:pPr>
      <w:r w:rsidRPr="00532F3A">
        <w:rPr>
          <w:rFonts w:ascii="Times New Roman" w:hAnsi="Times New Roman"/>
        </w:rPr>
        <w:t>28</w:t>
      </w:r>
      <w:r>
        <w:rPr>
          <w:rFonts w:ascii="Times New Roman" w:hAnsi="Times New Roman"/>
        </w:rPr>
        <w:t>.</w:t>
      </w:r>
      <w:r>
        <w:tab/>
      </w:r>
      <w:r>
        <w:rPr>
          <w:rFonts w:ascii="Times New Roman" w:hAnsi="Times New Roman"/>
        </w:rPr>
        <w:t>Die Institute melden die Risikopositionswerte für die Verschuldungsquote in LR</w:t>
      </w:r>
      <w:r w:rsidRPr="00532F3A">
        <w:rPr>
          <w:rFonts w:ascii="Times New Roman" w:hAnsi="Times New Roman"/>
        </w:rPr>
        <w:t>4</w:t>
      </w:r>
      <w:r>
        <w:rPr>
          <w:rFonts w:ascii="Times New Roman" w:hAnsi="Times New Roman"/>
        </w:rPr>
        <w:t xml:space="preserve"> ggf. nach Anwendung von Ausnahmen in den folgenden Feldern (LRCalc): {</w:t>
      </w:r>
      <w:r w:rsidRPr="00532F3A">
        <w:rPr>
          <w:rFonts w:ascii="Times New Roman" w:hAnsi="Times New Roman"/>
        </w:rPr>
        <w:t>050</w:t>
      </w:r>
      <w:r>
        <w:rPr>
          <w:rFonts w:ascii="Times New Roman" w:hAnsi="Times New Roman"/>
        </w:rPr>
        <w:t>;</w:t>
      </w:r>
      <w:r w:rsidRPr="00532F3A">
        <w:rPr>
          <w:rFonts w:ascii="Times New Roman" w:hAnsi="Times New Roman"/>
        </w:rPr>
        <w:t>010</w:t>
      </w:r>
      <w:r>
        <w:rPr>
          <w:rFonts w:ascii="Times New Roman" w:hAnsi="Times New Roman"/>
        </w:rPr>
        <w:t>}, {</w:t>
      </w:r>
      <w:r w:rsidRPr="00532F3A">
        <w:rPr>
          <w:rFonts w:ascii="Times New Roman" w:hAnsi="Times New Roman"/>
        </w:rPr>
        <w:t>080</w:t>
      </w:r>
      <w:r>
        <w:rPr>
          <w:rFonts w:ascii="Times New Roman" w:hAnsi="Times New Roman"/>
        </w:rPr>
        <w:t>;</w:t>
      </w:r>
      <w:r w:rsidRPr="00532F3A">
        <w:rPr>
          <w:rFonts w:ascii="Times New Roman" w:hAnsi="Times New Roman"/>
        </w:rPr>
        <w:t>010</w:t>
      </w:r>
      <w:r>
        <w:rPr>
          <w:rFonts w:ascii="Times New Roman" w:hAnsi="Times New Roman"/>
        </w:rPr>
        <w:t>}, {</w:t>
      </w:r>
      <w:r w:rsidRPr="00532F3A">
        <w:rPr>
          <w:rFonts w:ascii="Times New Roman" w:hAnsi="Times New Roman"/>
        </w:rPr>
        <w:t>100</w:t>
      </w:r>
      <w:r>
        <w:rPr>
          <w:rFonts w:ascii="Times New Roman" w:hAnsi="Times New Roman"/>
        </w:rPr>
        <w:t>;</w:t>
      </w:r>
      <w:r w:rsidRPr="00532F3A">
        <w:rPr>
          <w:rFonts w:ascii="Times New Roman" w:hAnsi="Times New Roman"/>
        </w:rPr>
        <w:t>010</w:t>
      </w:r>
      <w:r>
        <w:rPr>
          <w:rFonts w:ascii="Times New Roman" w:hAnsi="Times New Roman"/>
        </w:rPr>
        <w:t>}, {</w:t>
      </w:r>
      <w:r w:rsidRPr="00532F3A">
        <w:rPr>
          <w:rFonts w:ascii="Times New Roman" w:hAnsi="Times New Roman"/>
        </w:rPr>
        <w:t>120</w:t>
      </w:r>
      <w:r>
        <w:rPr>
          <w:rFonts w:ascii="Times New Roman" w:hAnsi="Times New Roman"/>
        </w:rPr>
        <w:t>;</w:t>
      </w:r>
      <w:r w:rsidRPr="00532F3A">
        <w:rPr>
          <w:rFonts w:ascii="Times New Roman" w:hAnsi="Times New Roman"/>
        </w:rPr>
        <w:t>010</w:t>
      </w:r>
      <w:r>
        <w:rPr>
          <w:rFonts w:ascii="Times New Roman" w:hAnsi="Times New Roman"/>
        </w:rPr>
        <w:t>}, {</w:t>
      </w:r>
      <w:r w:rsidRPr="00532F3A">
        <w:rPr>
          <w:rFonts w:ascii="Times New Roman" w:hAnsi="Times New Roman"/>
        </w:rPr>
        <w:t>220</w:t>
      </w:r>
      <w:r>
        <w:rPr>
          <w:rFonts w:ascii="Times New Roman" w:hAnsi="Times New Roman"/>
        </w:rPr>
        <w:t xml:space="preserve">; </w:t>
      </w:r>
      <w:r w:rsidRPr="00532F3A">
        <w:rPr>
          <w:rFonts w:ascii="Times New Roman" w:hAnsi="Times New Roman"/>
        </w:rPr>
        <w:t>010</w:t>
      </w:r>
      <w:r>
        <w:rPr>
          <w:rFonts w:ascii="Times New Roman" w:hAnsi="Times New Roman"/>
        </w:rPr>
        <w:t>}, {</w:t>
      </w:r>
      <w:r w:rsidRPr="00532F3A">
        <w:rPr>
          <w:rFonts w:ascii="Times New Roman" w:hAnsi="Times New Roman"/>
        </w:rPr>
        <w:t>250</w:t>
      </w:r>
      <w:r>
        <w:rPr>
          <w:rFonts w:ascii="Times New Roman" w:hAnsi="Times New Roman"/>
        </w:rPr>
        <w:t>;</w:t>
      </w:r>
      <w:r w:rsidRPr="00532F3A">
        <w:rPr>
          <w:rFonts w:ascii="Times New Roman" w:hAnsi="Times New Roman"/>
        </w:rPr>
        <w:t>010</w:t>
      </w:r>
      <w:r>
        <w:rPr>
          <w:rFonts w:ascii="Times New Roman" w:hAnsi="Times New Roman"/>
        </w:rPr>
        <w:t>} und {</w:t>
      </w:r>
      <w:r w:rsidRPr="00532F3A">
        <w:rPr>
          <w:rFonts w:ascii="Times New Roman" w:hAnsi="Times New Roman"/>
        </w:rPr>
        <w:t>260</w:t>
      </w:r>
      <w:r>
        <w:rPr>
          <w:rFonts w:ascii="Times New Roman" w:hAnsi="Times New Roman"/>
        </w:rPr>
        <w:t>;</w:t>
      </w:r>
      <w:r w:rsidRPr="00532F3A">
        <w:rPr>
          <w:rFonts w:ascii="Times New Roman" w:hAnsi="Times New Roman"/>
        </w:rPr>
        <w:t>010</w:t>
      </w:r>
      <w:r>
        <w:rPr>
          <w:rFonts w:ascii="Times New Roman" w:hAnsi="Times New Roman"/>
        </w:rPr>
        <w:t>}.</w:t>
      </w:r>
    </w:p>
    <w:p w:rsidR="004E437E" w:rsidRPr="004E437E" w:rsidRDefault="004E437E" w:rsidP="00FD2C06">
      <w:pPr>
        <w:pStyle w:val="BodyText1"/>
        <w:ind w:left="720"/>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sidRPr="00532F3A">
        <w:rPr>
          <w:rFonts w:ascii="Times New Roman" w:hAnsi="Times New Roman"/>
        </w:rPr>
        <w:lastRenderedPageBreak/>
        <w:t>29</w:t>
      </w:r>
      <w:r>
        <w:rPr>
          <w:rFonts w:ascii="Times New Roman" w:hAnsi="Times New Roman"/>
        </w:rPr>
        <w:t>.</w:t>
      </w:r>
      <w:r>
        <w:tab/>
      </w:r>
      <w:r>
        <w:rPr>
          <w:rFonts w:ascii="Times New Roman" w:hAnsi="Times New Roman"/>
        </w:rPr>
        <w:t xml:space="preserve">Um eine Doppelzählung zu vermeiden, beachten die Institute die im folgenden Absatz aufgeführte Gleichung: </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sidRPr="00532F3A">
        <w:rPr>
          <w:rFonts w:ascii="Times New Roman" w:hAnsi="Times New Roman"/>
        </w:rPr>
        <w:t>30</w:t>
      </w:r>
      <w:r>
        <w:rPr>
          <w:rFonts w:ascii="Times New Roman" w:hAnsi="Times New Roman"/>
        </w:rPr>
        <w:t>.</w:t>
      </w:r>
      <w:r>
        <w:tab/>
      </w:r>
      <w:r>
        <w:rPr>
          <w:rFonts w:ascii="Times New Roman" w:hAnsi="Times New Roman"/>
        </w:rPr>
        <w:t xml:space="preserve">Die von den Instituten nach Absatz </w:t>
      </w:r>
      <w:r w:rsidRPr="00532F3A">
        <w:rPr>
          <w:rFonts w:ascii="Times New Roman" w:hAnsi="Times New Roman"/>
        </w:rPr>
        <w:t>29</w:t>
      </w:r>
      <w:r>
        <w:rPr>
          <w:rFonts w:ascii="Times New Roman" w:hAnsi="Times New Roman"/>
        </w:rPr>
        <w:t xml:space="preserve"> zu beachtende Gleichung lautet: [{LRCalc;</w:t>
      </w:r>
      <w:r w:rsidRPr="00532F3A">
        <w:rPr>
          <w:rFonts w:ascii="Times New Roman" w:hAnsi="Times New Roman"/>
        </w:rPr>
        <w:t>010</w:t>
      </w:r>
      <w:r>
        <w:rPr>
          <w:rFonts w:ascii="Times New Roman" w:hAnsi="Times New Roman"/>
        </w:rPr>
        <w:t>;</w:t>
      </w:r>
      <w:r w:rsidRPr="00532F3A">
        <w:rPr>
          <w:rFonts w:ascii="Times New Roman" w:hAnsi="Times New Roman"/>
        </w:rPr>
        <w:t>010</w:t>
      </w:r>
      <w:r>
        <w:rPr>
          <w:rFonts w:ascii="Times New Roman" w:hAnsi="Times New Roman"/>
        </w:rPr>
        <w:t>} + {LRCalc;</w:t>
      </w:r>
      <w:r w:rsidRPr="00532F3A">
        <w:rPr>
          <w:rFonts w:ascii="Times New Roman" w:hAnsi="Times New Roman"/>
        </w:rPr>
        <w:t>020</w:t>
      </w:r>
      <w:r>
        <w:rPr>
          <w:rFonts w:ascii="Times New Roman" w:hAnsi="Times New Roman"/>
        </w:rPr>
        <w:t>;</w:t>
      </w:r>
      <w:r w:rsidRPr="00532F3A">
        <w:rPr>
          <w:rFonts w:ascii="Times New Roman" w:hAnsi="Times New Roman"/>
        </w:rPr>
        <w:t>010</w:t>
      </w:r>
      <w:r>
        <w:rPr>
          <w:rFonts w:ascii="Times New Roman" w:hAnsi="Times New Roman"/>
        </w:rPr>
        <w:t>} + {LRCalc;</w:t>
      </w:r>
      <w:r w:rsidRPr="00532F3A">
        <w:rPr>
          <w:rFonts w:ascii="Times New Roman" w:hAnsi="Times New Roman"/>
        </w:rPr>
        <w:t>030</w:t>
      </w:r>
      <w:r>
        <w:rPr>
          <w:rFonts w:ascii="Times New Roman" w:hAnsi="Times New Roman"/>
        </w:rPr>
        <w:t>;</w:t>
      </w:r>
      <w:r w:rsidRPr="00532F3A">
        <w:rPr>
          <w:rFonts w:ascii="Times New Roman" w:hAnsi="Times New Roman"/>
        </w:rPr>
        <w:t>010</w:t>
      </w:r>
      <w:r>
        <w:rPr>
          <w:rFonts w:ascii="Times New Roman" w:hAnsi="Times New Roman"/>
        </w:rPr>
        <w:t>} + {LRCalc;</w:t>
      </w:r>
      <w:r w:rsidRPr="00532F3A">
        <w:rPr>
          <w:rFonts w:ascii="Times New Roman" w:hAnsi="Times New Roman"/>
        </w:rPr>
        <w:t>040</w:t>
      </w:r>
      <w:r>
        <w:rPr>
          <w:rFonts w:ascii="Times New Roman" w:hAnsi="Times New Roman"/>
        </w:rPr>
        <w:t>;</w:t>
      </w:r>
      <w:r w:rsidRPr="00532F3A">
        <w:rPr>
          <w:rFonts w:ascii="Times New Roman" w:hAnsi="Times New Roman"/>
        </w:rPr>
        <w:t>010</w:t>
      </w:r>
      <w:r>
        <w:rPr>
          <w:rFonts w:ascii="Times New Roman" w:hAnsi="Times New Roman"/>
        </w:rPr>
        <w:t>} + {LRCalc;</w:t>
      </w:r>
      <w:r w:rsidRPr="00532F3A">
        <w:rPr>
          <w:rFonts w:ascii="Times New Roman" w:hAnsi="Times New Roman"/>
        </w:rPr>
        <w:t>050</w:t>
      </w:r>
      <w:r>
        <w:rPr>
          <w:rFonts w:ascii="Times New Roman" w:hAnsi="Times New Roman"/>
        </w:rPr>
        <w:t>;</w:t>
      </w:r>
      <w:r w:rsidRPr="00532F3A">
        <w:rPr>
          <w:rFonts w:ascii="Times New Roman" w:hAnsi="Times New Roman"/>
        </w:rPr>
        <w:t>010</w:t>
      </w:r>
      <w:r>
        <w:rPr>
          <w:rFonts w:ascii="Times New Roman" w:hAnsi="Times New Roman"/>
        </w:rPr>
        <w:t>} + {LRCalc;</w:t>
      </w:r>
      <w:r w:rsidRPr="00532F3A">
        <w:rPr>
          <w:rFonts w:ascii="Times New Roman" w:hAnsi="Times New Roman"/>
        </w:rPr>
        <w:t>060</w:t>
      </w:r>
      <w:r>
        <w:rPr>
          <w:rFonts w:ascii="Times New Roman" w:hAnsi="Times New Roman"/>
        </w:rPr>
        <w:t>;</w:t>
      </w:r>
      <w:r w:rsidRPr="00532F3A">
        <w:rPr>
          <w:rFonts w:ascii="Times New Roman" w:hAnsi="Times New Roman"/>
        </w:rPr>
        <w:t>010</w:t>
      </w:r>
      <w:r>
        <w:rPr>
          <w:rFonts w:ascii="Times New Roman" w:hAnsi="Times New Roman"/>
        </w:rPr>
        <w:t>} + {LRCalc;</w:t>
      </w:r>
      <w:r w:rsidRPr="00532F3A">
        <w:rPr>
          <w:rFonts w:ascii="Times New Roman" w:hAnsi="Times New Roman"/>
        </w:rPr>
        <w:t>070</w:t>
      </w:r>
      <w:r>
        <w:rPr>
          <w:rFonts w:ascii="Times New Roman" w:hAnsi="Times New Roman"/>
        </w:rPr>
        <w:t>;</w:t>
      </w:r>
      <w:r w:rsidRPr="00532F3A">
        <w:rPr>
          <w:rFonts w:ascii="Times New Roman" w:hAnsi="Times New Roman"/>
        </w:rPr>
        <w:t>010</w:t>
      </w:r>
      <w:r>
        <w:rPr>
          <w:rFonts w:ascii="Times New Roman" w:hAnsi="Times New Roman"/>
        </w:rPr>
        <w:t>} + {LRCalc;</w:t>
      </w:r>
      <w:r w:rsidRPr="00532F3A">
        <w:rPr>
          <w:rFonts w:ascii="Times New Roman" w:hAnsi="Times New Roman"/>
        </w:rPr>
        <w:t>080</w:t>
      </w:r>
      <w:r>
        <w:rPr>
          <w:rFonts w:ascii="Times New Roman" w:hAnsi="Times New Roman"/>
        </w:rPr>
        <w:t>;</w:t>
      </w:r>
      <w:r w:rsidRPr="00532F3A">
        <w:rPr>
          <w:rFonts w:ascii="Times New Roman" w:hAnsi="Times New Roman"/>
        </w:rPr>
        <w:t>010</w:t>
      </w:r>
      <w:r>
        <w:rPr>
          <w:rFonts w:ascii="Times New Roman" w:hAnsi="Times New Roman"/>
        </w:rPr>
        <w:t>} + {LRCalc;</w:t>
      </w:r>
      <w:r w:rsidRPr="00532F3A">
        <w:rPr>
          <w:rFonts w:ascii="Times New Roman" w:hAnsi="Times New Roman"/>
        </w:rPr>
        <w:t>090</w:t>
      </w:r>
      <w:r>
        <w:rPr>
          <w:rFonts w:ascii="Times New Roman" w:hAnsi="Times New Roman"/>
        </w:rPr>
        <w:t>;</w:t>
      </w:r>
      <w:r w:rsidRPr="00532F3A">
        <w:rPr>
          <w:rFonts w:ascii="Times New Roman" w:hAnsi="Times New Roman"/>
        </w:rPr>
        <w:t>010</w:t>
      </w:r>
      <w:r>
        <w:rPr>
          <w:rFonts w:ascii="Times New Roman" w:hAnsi="Times New Roman"/>
        </w:rPr>
        <w:t>} + {LRCalc;</w:t>
      </w:r>
      <w:r w:rsidRPr="00532F3A">
        <w:rPr>
          <w:rFonts w:ascii="Times New Roman" w:hAnsi="Times New Roman"/>
        </w:rPr>
        <w:t>100</w:t>
      </w:r>
      <w:r>
        <w:rPr>
          <w:rFonts w:ascii="Times New Roman" w:hAnsi="Times New Roman"/>
        </w:rPr>
        <w:t>;</w:t>
      </w:r>
      <w:r w:rsidRPr="00532F3A">
        <w:rPr>
          <w:rFonts w:ascii="Times New Roman" w:hAnsi="Times New Roman"/>
        </w:rPr>
        <w:t>010</w:t>
      </w:r>
      <w:r>
        <w:rPr>
          <w:rFonts w:ascii="Times New Roman" w:hAnsi="Times New Roman"/>
        </w:rPr>
        <w:t>} + {LRCalc;</w:t>
      </w:r>
      <w:r w:rsidRPr="00532F3A">
        <w:rPr>
          <w:rFonts w:ascii="Times New Roman" w:hAnsi="Times New Roman"/>
        </w:rPr>
        <w:t>110</w:t>
      </w:r>
      <w:r>
        <w:rPr>
          <w:rFonts w:ascii="Times New Roman" w:hAnsi="Times New Roman"/>
        </w:rPr>
        <w:t>;</w:t>
      </w:r>
      <w:r w:rsidRPr="00532F3A">
        <w:rPr>
          <w:rFonts w:ascii="Times New Roman" w:hAnsi="Times New Roman"/>
        </w:rPr>
        <w:t>010</w:t>
      </w:r>
      <w:r>
        <w:rPr>
          <w:rFonts w:ascii="Times New Roman" w:hAnsi="Times New Roman"/>
        </w:rPr>
        <w:t>} + {LRCalc;</w:t>
      </w:r>
      <w:r w:rsidRPr="00532F3A">
        <w:rPr>
          <w:rFonts w:ascii="Times New Roman" w:hAnsi="Times New Roman"/>
        </w:rPr>
        <w:t>120</w:t>
      </w:r>
      <w:r>
        <w:rPr>
          <w:rFonts w:ascii="Times New Roman" w:hAnsi="Times New Roman"/>
        </w:rPr>
        <w:t>;</w:t>
      </w:r>
      <w:r w:rsidRPr="00532F3A">
        <w:rPr>
          <w:rFonts w:ascii="Times New Roman" w:hAnsi="Times New Roman"/>
        </w:rPr>
        <w:t>010</w:t>
      </w:r>
      <w:r>
        <w:rPr>
          <w:rFonts w:ascii="Times New Roman" w:hAnsi="Times New Roman"/>
        </w:rPr>
        <w:t>} + {LRCalc;</w:t>
      </w:r>
      <w:r w:rsidRPr="00532F3A">
        <w:rPr>
          <w:rFonts w:ascii="Times New Roman" w:hAnsi="Times New Roman"/>
        </w:rPr>
        <w:t>130</w:t>
      </w:r>
      <w:r>
        <w:rPr>
          <w:rFonts w:ascii="Times New Roman" w:hAnsi="Times New Roman"/>
        </w:rPr>
        <w:t>;</w:t>
      </w:r>
      <w:r w:rsidRPr="00532F3A">
        <w:rPr>
          <w:rFonts w:ascii="Times New Roman" w:hAnsi="Times New Roman"/>
        </w:rPr>
        <w:t>010</w:t>
      </w:r>
      <w:r>
        <w:rPr>
          <w:rFonts w:ascii="Times New Roman" w:hAnsi="Times New Roman"/>
        </w:rPr>
        <w:t>} + {LRCalc;</w:t>
      </w:r>
      <w:r w:rsidRPr="00532F3A">
        <w:rPr>
          <w:rFonts w:ascii="Times New Roman" w:hAnsi="Times New Roman"/>
        </w:rPr>
        <w:t>140</w:t>
      </w:r>
      <w:r>
        <w:rPr>
          <w:rFonts w:ascii="Times New Roman" w:hAnsi="Times New Roman"/>
        </w:rPr>
        <w:t>;</w:t>
      </w:r>
      <w:r w:rsidRPr="00532F3A">
        <w:rPr>
          <w:rFonts w:ascii="Times New Roman" w:hAnsi="Times New Roman"/>
        </w:rPr>
        <w:t>010</w:t>
      </w:r>
      <w:r>
        <w:rPr>
          <w:rFonts w:ascii="Times New Roman" w:hAnsi="Times New Roman"/>
        </w:rPr>
        <w:t>} + {LRCalc;</w:t>
      </w:r>
      <w:r w:rsidRPr="00532F3A">
        <w:rPr>
          <w:rFonts w:ascii="Times New Roman" w:hAnsi="Times New Roman"/>
        </w:rPr>
        <w:t>150</w:t>
      </w:r>
      <w:r>
        <w:rPr>
          <w:rFonts w:ascii="Times New Roman" w:hAnsi="Times New Roman"/>
        </w:rPr>
        <w:t>;</w:t>
      </w:r>
      <w:r w:rsidRPr="00532F3A">
        <w:rPr>
          <w:rFonts w:ascii="Times New Roman" w:hAnsi="Times New Roman"/>
        </w:rPr>
        <w:t>010</w:t>
      </w:r>
      <w:r>
        <w:rPr>
          <w:rFonts w:ascii="Times New Roman" w:hAnsi="Times New Roman"/>
        </w:rPr>
        <w:t>} + {LRCalc;</w:t>
      </w:r>
      <w:r w:rsidRPr="00532F3A">
        <w:rPr>
          <w:rFonts w:ascii="Times New Roman" w:hAnsi="Times New Roman"/>
        </w:rPr>
        <w:t>160</w:t>
      </w:r>
      <w:r>
        <w:rPr>
          <w:rFonts w:ascii="Times New Roman" w:hAnsi="Times New Roman"/>
        </w:rPr>
        <w:t>;</w:t>
      </w:r>
      <w:r w:rsidRPr="00532F3A">
        <w:rPr>
          <w:rFonts w:ascii="Times New Roman" w:hAnsi="Times New Roman"/>
        </w:rPr>
        <w:t>010</w:t>
      </w:r>
      <w:r>
        <w:rPr>
          <w:rFonts w:ascii="Times New Roman" w:hAnsi="Times New Roman"/>
        </w:rPr>
        <w:t>} + {LRCalc;</w:t>
      </w:r>
      <w:r w:rsidRPr="00532F3A">
        <w:rPr>
          <w:rFonts w:ascii="Times New Roman" w:hAnsi="Times New Roman"/>
        </w:rPr>
        <w:t>170</w:t>
      </w:r>
      <w:r>
        <w:rPr>
          <w:rFonts w:ascii="Times New Roman" w:hAnsi="Times New Roman"/>
        </w:rPr>
        <w:t>;</w:t>
      </w:r>
      <w:r w:rsidRPr="00532F3A">
        <w:rPr>
          <w:rFonts w:ascii="Times New Roman" w:hAnsi="Times New Roman"/>
        </w:rPr>
        <w:t>010</w:t>
      </w:r>
      <w:r>
        <w:rPr>
          <w:rFonts w:ascii="Times New Roman" w:hAnsi="Times New Roman"/>
        </w:rPr>
        <w:t>} + {LRCalc;</w:t>
      </w:r>
      <w:r w:rsidRPr="00532F3A">
        <w:rPr>
          <w:rFonts w:ascii="Times New Roman" w:hAnsi="Times New Roman"/>
        </w:rPr>
        <w:t>180</w:t>
      </w:r>
      <w:r>
        <w:rPr>
          <w:rFonts w:ascii="Times New Roman" w:hAnsi="Times New Roman"/>
        </w:rPr>
        <w:t>;</w:t>
      </w:r>
      <w:r w:rsidRPr="00532F3A">
        <w:rPr>
          <w:rFonts w:ascii="Times New Roman" w:hAnsi="Times New Roman"/>
        </w:rPr>
        <w:t>010</w:t>
      </w:r>
      <w:r>
        <w:rPr>
          <w:rFonts w:ascii="Times New Roman" w:hAnsi="Times New Roman"/>
        </w:rPr>
        <w:t>} + {LRCalc;</w:t>
      </w:r>
      <w:r w:rsidRPr="00532F3A">
        <w:rPr>
          <w:rFonts w:ascii="Times New Roman" w:hAnsi="Times New Roman"/>
        </w:rPr>
        <w:t>190</w:t>
      </w:r>
      <w:r>
        <w:rPr>
          <w:rFonts w:ascii="Times New Roman" w:hAnsi="Times New Roman"/>
        </w:rPr>
        <w:t>;</w:t>
      </w:r>
      <w:r w:rsidRPr="00532F3A">
        <w:rPr>
          <w:rFonts w:ascii="Times New Roman" w:hAnsi="Times New Roman"/>
        </w:rPr>
        <w:t>010</w:t>
      </w:r>
      <w:r>
        <w:rPr>
          <w:rFonts w:ascii="Times New Roman" w:hAnsi="Times New Roman"/>
        </w:rPr>
        <w:t>} + {LRCalc;</w:t>
      </w:r>
      <w:r w:rsidRPr="00532F3A">
        <w:rPr>
          <w:rFonts w:ascii="Times New Roman" w:hAnsi="Times New Roman"/>
        </w:rPr>
        <w:t>200</w:t>
      </w:r>
      <w:r>
        <w:rPr>
          <w:rFonts w:ascii="Times New Roman" w:hAnsi="Times New Roman"/>
        </w:rPr>
        <w:t>;</w:t>
      </w:r>
      <w:r w:rsidRPr="00532F3A">
        <w:rPr>
          <w:rFonts w:ascii="Times New Roman" w:hAnsi="Times New Roman"/>
        </w:rPr>
        <w:t>010</w:t>
      </w:r>
      <w:r>
        <w:rPr>
          <w:rFonts w:ascii="Times New Roman" w:hAnsi="Times New Roman"/>
        </w:rPr>
        <w:t>} + {LRCalc;</w:t>
      </w:r>
      <w:r w:rsidRPr="00532F3A">
        <w:rPr>
          <w:rFonts w:ascii="Times New Roman" w:hAnsi="Times New Roman"/>
        </w:rPr>
        <w:t>210</w:t>
      </w:r>
      <w:r>
        <w:rPr>
          <w:rFonts w:ascii="Times New Roman" w:hAnsi="Times New Roman"/>
        </w:rPr>
        <w:t>;</w:t>
      </w:r>
      <w:r w:rsidRPr="00532F3A">
        <w:rPr>
          <w:rFonts w:ascii="Times New Roman" w:hAnsi="Times New Roman"/>
        </w:rPr>
        <w:t>010</w:t>
      </w:r>
      <w:r>
        <w:rPr>
          <w:rFonts w:ascii="Times New Roman" w:hAnsi="Times New Roman"/>
        </w:rPr>
        <w:t>} + {LRCalc;</w:t>
      </w:r>
      <w:r w:rsidRPr="00532F3A">
        <w:rPr>
          <w:rFonts w:ascii="Times New Roman" w:hAnsi="Times New Roman"/>
        </w:rPr>
        <w:t>220</w:t>
      </w:r>
      <w:r>
        <w:rPr>
          <w:rFonts w:ascii="Times New Roman" w:hAnsi="Times New Roman"/>
        </w:rPr>
        <w:t>;</w:t>
      </w:r>
      <w:r w:rsidRPr="00532F3A">
        <w:rPr>
          <w:rFonts w:ascii="Times New Roman" w:hAnsi="Times New Roman"/>
        </w:rPr>
        <w:t>010</w:t>
      </w:r>
      <w:r>
        <w:rPr>
          <w:rFonts w:ascii="Times New Roman" w:hAnsi="Times New Roman"/>
        </w:rPr>
        <w:t>} + {LRCalc;</w:t>
      </w:r>
      <w:r w:rsidRPr="00532F3A">
        <w:rPr>
          <w:rFonts w:ascii="Times New Roman" w:hAnsi="Times New Roman"/>
        </w:rPr>
        <w:t>230</w:t>
      </w:r>
      <w:r>
        <w:rPr>
          <w:rFonts w:ascii="Times New Roman" w:hAnsi="Times New Roman"/>
        </w:rPr>
        <w:t>;</w:t>
      </w:r>
      <w:r w:rsidRPr="00532F3A">
        <w:rPr>
          <w:rFonts w:ascii="Times New Roman" w:hAnsi="Times New Roman"/>
        </w:rPr>
        <w:t>010</w:t>
      </w:r>
      <w:r>
        <w:rPr>
          <w:rFonts w:ascii="Times New Roman" w:hAnsi="Times New Roman"/>
        </w:rPr>
        <w:t>} + {LRCalc;</w:t>
      </w:r>
      <w:r w:rsidRPr="00532F3A">
        <w:rPr>
          <w:rFonts w:ascii="Times New Roman" w:hAnsi="Times New Roman"/>
        </w:rPr>
        <w:t>240</w:t>
      </w:r>
      <w:r>
        <w:rPr>
          <w:rFonts w:ascii="Times New Roman" w:hAnsi="Times New Roman"/>
        </w:rPr>
        <w:t>;</w:t>
      </w:r>
      <w:r w:rsidRPr="00532F3A">
        <w:rPr>
          <w:rFonts w:ascii="Times New Roman" w:hAnsi="Times New Roman"/>
        </w:rPr>
        <w:t>010</w:t>
      </w:r>
      <w:r>
        <w:rPr>
          <w:rFonts w:ascii="Times New Roman" w:hAnsi="Times New Roman"/>
        </w:rPr>
        <w:t>} + {LRCalc;</w:t>
      </w:r>
      <w:r w:rsidRPr="00532F3A">
        <w:rPr>
          <w:rFonts w:ascii="Times New Roman" w:hAnsi="Times New Roman"/>
        </w:rPr>
        <w:t>250</w:t>
      </w:r>
      <w:r>
        <w:rPr>
          <w:rFonts w:ascii="Times New Roman" w:hAnsi="Times New Roman"/>
        </w:rPr>
        <w:t>;</w:t>
      </w:r>
      <w:r w:rsidRPr="00532F3A">
        <w:rPr>
          <w:rFonts w:ascii="Times New Roman" w:hAnsi="Times New Roman"/>
        </w:rPr>
        <w:t>010</w:t>
      </w:r>
      <w:r>
        <w:rPr>
          <w:rFonts w:ascii="Times New Roman" w:hAnsi="Times New Roman"/>
        </w:rPr>
        <w:t>} + {LRCalc;</w:t>
      </w:r>
      <w:r w:rsidRPr="00532F3A">
        <w:rPr>
          <w:rFonts w:ascii="Times New Roman" w:hAnsi="Times New Roman"/>
        </w:rPr>
        <w:t>260</w:t>
      </w:r>
      <w:r>
        <w:rPr>
          <w:rFonts w:ascii="Times New Roman" w:hAnsi="Times New Roman"/>
        </w:rPr>
        <w:t>;</w:t>
      </w:r>
      <w:r w:rsidRPr="00532F3A">
        <w:rPr>
          <w:rFonts w:ascii="Times New Roman" w:hAnsi="Times New Roman"/>
        </w:rPr>
        <w:t>010</w:t>
      </w:r>
      <w:r>
        <w:rPr>
          <w:rFonts w:ascii="Times New Roman" w:hAnsi="Times New Roman"/>
        </w:rPr>
        <w:t>}] = [{LR</w:t>
      </w:r>
      <w:r w:rsidRPr="00532F3A">
        <w:rPr>
          <w:rFonts w:ascii="Times New Roman" w:hAnsi="Times New Roman"/>
        </w:rPr>
        <w:t>4</w:t>
      </w:r>
      <w:r>
        <w:rPr>
          <w:rFonts w:ascii="Times New Roman" w:hAnsi="Times New Roman"/>
        </w:rPr>
        <w:t>;</w:t>
      </w:r>
      <w:r w:rsidRPr="00532F3A">
        <w:rPr>
          <w:rFonts w:ascii="Times New Roman" w:hAnsi="Times New Roman"/>
        </w:rPr>
        <w:t>010</w:t>
      </w:r>
      <w:r>
        <w:rPr>
          <w:rFonts w:ascii="Times New Roman" w:hAnsi="Times New Roman"/>
        </w:rPr>
        <w:t>;</w:t>
      </w:r>
      <w:r w:rsidRPr="00532F3A">
        <w:rPr>
          <w:rFonts w:ascii="Times New Roman" w:hAnsi="Times New Roman"/>
        </w:rPr>
        <w:t>010</w:t>
      </w:r>
      <w:r>
        <w:rPr>
          <w:rFonts w:ascii="Times New Roman" w:hAnsi="Times New Roman"/>
        </w:rPr>
        <w:t>} + {LR</w:t>
      </w:r>
      <w:r w:rsidRPr="00532F3A">
        <w:rPr>
          <w:rFonts w:ascii="Times New Roman" w:hAnsi="Times New Roman"/>
        </w:rPr>
        <w:t>4</w:t>
      </w:r>
      <w:r>
        <w:rPr>
          <w:rFonts w:ascii="Times New Roman" w:hAnsi="Times New Roman"/>
        </w:rPr>
        <w:t>;</w:t>
      </w:r>
      <w:r w:rsidRPr="00532F3A">
        <w:rPr>
          <w:rFonts w:ascii="Times New Roman" w:hAnsi="Times New Roman"/>
        </w:rPr>
        <w:t>040</w:t>
      </w:r>
      <w:r>
        <w:rPr>
          <w:rFonts w:ascii="Times New Roman" w:hAnsi="Times New Roman"/>
        </w:rPr>
        <w:t>;</w:t>
      </w:r>
      <w:r w:rsidRPr="00532F3A">
        <w:rPr>
          <w:rFonts w:ascii="Times New Roman" w:hAnsi="Times New Roman"/>
        </w:rPr>
        <w:t>010</w:t>
      </w:r>
      <w:r>
        <w:rPr>
          <w:rFonts w:ascii="Times New Roman" w:hAnsi="Times New Roman"/>
        </w:rPr>
        <w:t>} + {LR</w:t>
      </w:r>
      <w:r w:rsidRPr="00532F3A">
        <w:rPr>
          <w:rFonts w:ascii="Times New Roman" w:hAnsi="Times New Roman"/>
        </w:rPr>
        <w:t>4</w:t>
      </w:r>
      <w:r>
        <w:rPr>
          <w:rFonts w:ascii="Times New Roman" w:hAnsi="Times New Roman"/>
        </w:rPr>
        <w:t>;</w:t>
      </w:r>
      <w:r w:rsidRPr="00532F3A">
        <w:rPr>
          <w:rFonts w:ascii="Times New Roman" w:hAnsi="Times New Roman"/>
        </w:rPr>
        <w:t>050</w:t>
      </w:r>
      <w:r>
        <w:rPr>
          <w:rFonts w:ascii="Times New Roman" w:hAnsi="Times New Roman"/>
        </w:rPr>
        <w:t>;</w:t>
      </w:r>
      <w:r w:rsidRPr="00532F3A">
        <w:rPr>
          <w:rFonts w:ascii="Times New Roman" w:hAnsi="Times New Roman"/>
        </w:rPr>
        <w:t>010</w:t>
      </w:r>
      <w:r>
        <w:rPr>
          <w:rFonts w:ascii="Times New Roman" w:hAnsi="Times New Roman"/>
        </w:rPr>
        <w:t>} + {LR</w:t>
      </w:r>
      <w:r w:rsidRPr="00532F3A">
        <w:rPr>
          <w:rFonts w:ascii="Times New Roman" w:hAnsi="Times New Roman"/>
        </w:rPr>
        <w:t>4</w:t>
      </w:r>
      <w:r>
        <w:rPr>
          <w:rFonts w:ascii="Times New Roman" w:hAnsi="Times New Roman"/>
        </w:rPr>
        <w:t>;</w:t>
      </w:r>
      <w:r w:rsidRPr="00532F3A">
        <w:rPr>
          <w:rFonts w:ascii="Times New Roman" w:hAnsi="Times New Roman"/>
        </w:rPr>
        <w:t>060</w:t>
      </w:r>
      <w:r>
        <w:rPr>
          <w:rFonts w:ascii="Times New Roman" w:hAnsi="Times New Roman"/>
        </w:rPr>
        <w:t>;</w:t>
      </w:r>
      <w:r w:rsidRPr="00532F3A">
        <w:rPr>
          <w:rFonts w:ascii="Times New Roman" w:hAnsi="Times New Roman"/>
        </w:rPr>
        <w:t>010</w:t>
      </w:r>
      <w:r>
        <w:rPr>
          <w:rFonts w:ascii="Times New Roman" w:hAnsi="Times New Roman"/>
        </w:rPr>
        <w:t>} + {LR</w:t>
      </w:r>
      <w:r w:rsidRPr="00532F3A">
        <w:rPr>
          <w:rFonts w:ascii="Times New Roman" w:hAnsi="Times New Roman"/>
        </w:rPr>
        <w:t>4</w:t>
      </w:r>
      <w:r>
        <w:rPr>
          <w:rFonts w:ascii="Times New Roman" w:hAnsi="Times New Roman"/>
        </w:rPr>
        <w:t>;</w:t>
      </w:r>
      <w:r w:rsidRPr="00532F3A">
        <w:rPr>
          <w:rFonts w:ascii="Times New Roman" w:hAnsi="Times New Roman"/>
        </w:rPr>
        <w:t>065</w:t>
      </w:r>
      <w:r>
        <w:rPr>
          <w:rFonts w:ascii="Times New Roman" w:hAnsi="Times New Roman"/>
        </w:rPr>
        <w:t>;</w:t>
      </w:r>
      <w:r w:rsidRPr="00532F3A">
        <w:rPr>
          <w:rFonts w:ascii="Times New Roman" w:hAnsi="Times New Roman"/>
        </w:rPr>
        <w:t>010</w:t>
      </w:r>
      <w:r>
        <w:rPr>
          <w:rFonts w:ascii="Times New Roman" w:hAnsi="Times New Roman"/>
        </w:rPr>
        <w:t>} + {LR</w:t>
      </w:r>
      <w:r w:rsidRPr="00532F3A">
        <w:rPr>
          <w:rFonts w:ascii="Times New Roman" w:hAnsi="Times New Roman"/>
        </w:rPr>
        <w:t>4</w:t>
      </w:r>
      <w:r>
        <w:rPr>
          <w:rFonts w:ascii="Times New Roman" w:hAnsi="Times New Roman"/>
        </w:rPr>
        <w:t>;</w:t>
      </w:r>
      <w:r w:rsidRPr="00532F3A">
        <w:rPr>
          <w:rFonts w:ascii="Times New Roman" w:hAnsi="Times New Roman"/>
        </w:rPr>
        <w:t>070</w:t>
      </w:r>
      <w:r>
        <w:rPr>
          <w:rFonts w:ascii="Times New Roman" w:hAnsi="Times New Roman"/>
        </w:rPr>
        <w:t>;</w:t>
      </w:r>
      <w:r w:rsidRPr="00532F3A">
        <w:rPr>
          <w:rFonts w:ascii="Times New Roman" w:hAnsi="Times New Roman"/>
        </w:rPr>
        <w:t>010</w:t>
      </w:r>
      <w:r>
        <w:rPr>
          <w:rFonts w:ascii="Times New Roman" w:hAnsi="Times New Roman"/>
        </w:rPr>
        <w:t>} + {LR</w:t>
      </w:r>
      <w:r w:rsidRPr="00532F3A">
        <w:rPr>
          <w:rFonts w:ascii="Times New Roman" w:hAnsi="Times New Roman"/>
        </w:rPr>
        <w:t>4</w:t>
      </w:r>
      <w:r>
        <w:rPr>
          <w:rFonts w:ascii="Times New Roman" w:hAnsi="Times New Roman"/>
        </w:rPr>
        <w:t>;</w:t>
      </w:r>
      <w:r w:rsidRPr="00532F3A">
        <w:rPr>
          <w:rFonts w:ascii="Times New Roman" w:hAnsi="Times New Roman"/>
        </w:rPr>
        <w:t>080</w:t>
      </w:r>
      <w:r>
        <w:rPr>
          <w:rFonts w:ascii="Times New Roman" w:hAnsi="Times New Roman"/>
        </w:rPr>
        <w:t>;</w:t>
      </w:r>
      <w:r w:rsidRPr="00532F3A">
        <w:rPr>
          <w:rFonts w:ascii="Times New Roman" w:hAnsi="Times New Roman"/>
        </w:rPr>
        <w:t>010</w:t>
      </w:r>
      <w:r>
        <w:rPr>
          <w:rFonts w:ascii="Times New Roman" w:hAnsi="Times New Roman"/>
        </w:rPr>
        <w:t>} + {LR</w:t>
      </w:r>
      <w:r w:rsidRPr="00532F3A">
        <w:rPr>
          <w:rFonts w:ascii="Times New Roman" w:hAnsi="Times New Roman"/>
        </w:rPr>
        <w:t>4</w:t>
      </w:r>
      <w:r>
        <w:rPr>
          <w:rFonts w:ascii="Times New Roman" w:hAnsi="Times New Roman"/>
        </w:rPr>
        <w:t>;</w:t>
      </w:r>
      <w:r w:rsidRPr="00532F3A">
        <w:rPr>
          <w:rFonts w:ascii="Times New Roman" w:hAnsi="Times New Roman"/>
        </w:rPr>
        <w:t>080</w:t>
      </w:r>
      <w:r>
        <w:rPr>
          <w:rFonts w:ascii="Times New Roman" w:hAnsi="Times New Roman"/>
        </w:rPr>
        <w:t>;</w:t>
      </w:r>
      <w:r w:rsidRPr="00532F3A">
        <w:rPr>
          <w:rFonts w:ascii="Times New Roman" w:hAnsi="Times New Roman"/>
        </w:rPr>
        <w:t>020</w:t>
      </w:r>
      <w:r>
        <w:rPr>
          <w:rFonts w:ascii="Times New Roman" w:hAnsi="Times New Roman"/>
        </w:rPr>
        <w:t>} + {LR</w:t>
      </w:r>
      <w:r w:rsidRPr="00532F3A">
        <w:rPr>
          <w:rFonts w:ascii="Times New Roman" w:hAnsi="Times New Roman"/>
        </w:rPr>
        <w:t>4</w:t>
      </w:r>
      <w:r>
        <w:rPr>
          <w:rFonts w:ascii="Times New Roman" w:hAnsi="Times New Roman"/>
        </w:rPr>
        <w:t>;</w:t>
      </w:r>
      <w:r w:rsidRPr="00532F3A">
        <w:rPr>
          <w:rFonts w:ascii="Times New Roman" w:hAnsi="Times New Roman"/>
        </w:rPr>
        <w:t>090</w:t>
      </w:r>
      <w:r>
        <w:rPr>
          <w:rFonts w:ascii="Times New Roman" w:hAnsi="Times New Roman"/>
        </w:rPr>
        <w:t>;</w:t>
      </w:r>
      <w:r w:rsidRPr="00532F3A">
        <w:rPr>
          <w:rFonts w:ascii="Times New Roman" w:hAnsi="Times New Roman"/>
        </w:rPr>
        <w:t>010</w:t>
      </w:r>
      <w:r>
        <w:rPr>
          <w:rFonts w:ascii="Times New Roman" w:hAnsi="Times New Roman"/>
        </w:rPr>
        <w:t>} + {LR</w:t>
      </w:r>
      <w:r w:rsidRPr="00532F3A">
        <w:rPr>
          <w:rFonts w:ascii="Times New Roman" w:hAnsi="Times New Roman"/>
        </w:rPr>
        <w:t>4</w:t>
      </w:r>
      <w:r>
        <w:rPr>
          <w:rFonts w:ascii="Times New Roman" w:hAnsi="Times New Roman"/>
        </w:rPr>
        <w:t>;</w:t>
      </w:r>
      <w:r w:rsidRPr="00532F3A">
        <w:rPr>
          <w:rFonts w:ascii="Times New Roman" w:hAnsi="Times New Roman"/>
        </w:rPr>
        <w:t>090</w:t>
      </w:r>
      <w:r>
        <w:rPr>
          <w:rFonts w:ascii="Times New Roman" w:hAnsi="Times New Roman"/>
        </w:rPr>
        <w:t>;</w:t>
      </w:r>
      <w:r w:rsidRPr="00532F3A">
        <w:rPr>
          <w:rFonts w:ascii="Times New Roman" w:hAnsi="Times New Roman"/>
        </w:rPr>
        <w:t>020</w:t>
      </w:r>
      <w:r>
        <w:rPr>
          <w:rFonts w:ascii="Times New Roman" w:hAnsi="Times New Roman"/>
        </w:rPr>
        <w:t>} + {LR</w:t>
      </w:r>
      <w:r w:rsidRPr="00532F3A">
        <w:rPr>
          <w:rFonts w:ascii="Times New Roman" w:hAnsi="Times New Roman"/>
        </w:rPr>
        <w:t>4</w:t>
      </w:r>
      <w:r>
        <w:rPr>
          <w:rFonts w:ascii="Times New Roman" w:hAnsi="Times New Roman"/>
        </w:rPr>
        <w:t>;</w:t>
      </w:r>
      <w:r w:rsidRPr="00532F3A">
        <w:rPr>
          <w:rFonts w:ascii="Times New Roman" w:hAnsi="Times New Roman"/>
        </w:rPr>
        <w:t>140</w:t>
      </w:r>
      <w:r>
        <w:rPr>
          <w:rFonts w:ascii="Times New Roman" w:hAnsi="Times New Roman"/>
        </w:rPr>
        <w:t>;</w:t>
      </w:r>
      <w:r w:rsidRPr="00532F3A">
        <w:rPr>
          <w:rFonts w:ascii="Times New Roman" w:hAnsi="Times New Roman"/>
        </w:rPr>
        <w:t>010</w:t>
      </w:r>
      <w:r>
        <w:rPr>
          <w:rFonts w:ascii="Times New Roman" w:hAnsi="Times New Roman"/>
        </w:rPr>
        <w:t>} + {LR</w:t>
      </w:r>
      <w:r w:rsidRPr="00532F3A">
        <w:rPr>
          <w:rFonts w:ascii="Times New Roman" w:hAnsi="Times New Roman"/>
        </w:rPr>
        <w:t>4</w:t>
      </w:r>
      <w:r>
        <w:rPr>
          <w:rFonts w:ascii="Times New Roman" w:hAnsi="Times New Roman"/>
        </w:rPr>
        <w:t>;</w:t>
      </w:r>
      <w:r w:rsidRPr="00532F3A">
        <w:rPr>
          <w:rFonts w:ascii="Times New Roman" w:hAnsi="Times New Roman"/>
        </w:rPr>
        <w:t>140</w:t>
      </w:r>
      <w:r>
        <w:rPr>
          <w:rFonts w:ascii="Times New Roman" w:hAnsi="Times New Roman"/>
        </w:rPr>
        <w:t>;</w:t>
      </w:r>
      <w:r w:rsidRPr="00532F3A">
        <w:rPr>
          <w:rFonts w:ascii="Times New Roman" w:hAnsi="Times New Roman"/>
        </w:rPr>
        <w:t>020</w:t>
      </w:r>
      <w:r>
        <w:rPr>
          <w:rFonts w:ascii="Times New Roman" w:hAnsi="Times New Roman"/>
        </w:rPr>
        <w:t>} + {LR</w:t>
      </w:r>
      <w:r w:rsidRPr="00532F3A">
        <w:rPr>
          <w:rFonts w:ascii="Times New Roman" w:hAnsi="Times New Roman"/>
        </w:rPr>
        <w:t>4</w:t>
      </w:r>
      <w:r>
        <w:rPr>
          <w:rFonts w:ascii="Times New Roman" w:hAnsi="Times New Roman"/>
        </w:rPr>
        <w:t>;</w:t>
      </w:r>
      <w:r w:rsidRPr="00532F3A">
        <w:rPr>
          <w:rFonts w:ascii="Times New Roman" w:hAnsi="Times New Roman"/>
        </w:rPr>
        <w:t>180</w:t>
      </w:r>
      <w:r>
        <w:rPr>
          <w:rFonts w:ascii="Times New Roman" w:hAnsi="Times New Roman"/>
        </w:rPr>
        <w:t>;</w:t>
      </w:r>
      <w:r w:rsidRPr="00532F3A">
        <w:rPr>
          <w:rFonts w:ascii="Times New Roman" w:hAnsi="Times New Roman"/>
        </w:rPr>
        <w:t>010</w:t>
      </w:r>
      <w:r>
        <w:rPr>
          <w:rFonts w:ascii="Times New Roman" w:hAnsi="Times New Roman"/>
        </w:rPr>
        <w:t>} + {LR</w:t>
      </w:r>
      <w:r w:rsidRPr="00532F3A">
        <w:rPr>
          <w:rFonts w:ascii="Times New Roman" w:hAnsi="Times New Roman"/>
        </w:rPr>
        <w:t>4</w:t>
      </w:r>
      <w:r>
        <w:rPr>
          <w:rFonts w:ascii="Times New Roman" w:hAnsi="Times New Roman"/>
        </w:rPr>
        <w:t>;</w:t>
      </w:r>
      <w:r w:rsidRPr="00532F3A">
        <w:rPr>
          <w:rFonts w:ascii="Times New Roman" w:hAnsi="Times New Roman"/>
        </w:rPr>
        <w:t>180</w:t>
      </w:r>
      <w:r>
        <w:rPr>
          <w:rFonts w:ascii="Times New Roman" w:hAnsi="Times New Roman"/>
        </w:rPr>
        <w:t>;</w:t>
      </w:r>
      <w:r w:rsidRPr="00532F3A">
        <w:rPr>
          <w:rFonts w:ascii="Times New Roman" w:hAnsi="Times New Roman"/>
        </w:rPr>
        <w:t>020</w:t>
      </w:r>
      <w:r>
        <w:rPr>
          <w:rFonts w:ascii="Times New Roman" w:hAnsi="Times New Roman"/>
        </w:rPr>
        <w:t>} + {LR</w:t>
      </w:r>
      <w:r w:rsidRPr="00532F3A">
        <w:rPr>
          <w:rFonts w:ascii="Times New Roman" w:hAnsi="Times New Roman"/>
        </w:rPr>
        <w:t>4</w:t>
      </w:r>
      <w:r>
        <w:rPr>
          <w:rFonts w:ascii="Times New Roman" w:hAnsi="Times New Roman"/>
        </w:rPr>
        <w:t>;</w:t>
      </w:r>
      <w:r w:rsidRPr="00532F3A">
        <w:rPr>
          <w:rFonts w:ascii="Times New Roman" w:hAnsi="Times New Roman"/>
        </w:rPr>
        <w:t>190</w:t>
      </w:r>
      <w:r>
        <w:rPr>
          <w:rFonts w:ascii="Times New Roman" w:hAnsi="Times New Roman"/>
        </w:rPr>
        <w:t>;</w:t>
      </w:r>
      <w:r w:rsidRPr="00532F3A">
        <w:rPr>
          <w:rFonts w:ascii="Times New Roman" w:hAnsi="Times New Roman"/>
        </w:rPr>
        <w:t>010</w:t>
      </w:r>
      <w:r>
        <w:rPr>
          <w:rFonts w:ascii="Times New Roman" w:hAnsi="Times New Roman"/>
        </w:rPr>
        <w:t>} + {LR</w:t>
      </w:r>
      <w:r w:rsidRPr="00532F3A">
        <w:rPr>
          <w:rFonts w:ascii="Times New Roman" w:hAnsi="Times New Roman"/>
        </w:rPr>
        <w:t>4</w:t>
      </w:r>
      <w:r>
        <w:rPr>
          <w:rFonts w:ascii="Times New Roman" w:hAnsi="Times New Roman"/>
        </w:rPr>
        <w:t>;</w:t>
      </w:r>
      <w:r w:rsidRPr="00532F3A">
        <w:rPr>
          <w:rFonts w:ascii="Times New Roman" w:hAnsi="Times New Roman"/>
        </w:rPr>
        <w:t>190</w:t>
      </w:r>
      <w:r>
        <w:rPr>
          <w:rFonts w:ascii="Times New Roman" w:hAnsi="Times New Roman"/>
        </w:rPr>
        <w:t>;</w:t>
      </w:r>
      <w:r w:rsidRPr="00532F3A">
        <w:rPr>
          <w:rFonts w:ascii="Times New Roman" w:hAnsi="Times New Roman"/>
        </w:rPr>
        <w:t>020</w:t>
      </w:r>
      <w:r>
        <w:rPr>
          <w:rFonts w:ascii="Times New Roman" w:hAnsi="Times New Roman"/>
        </w:rPr>
        <w:t>} + {LR</w:t>
      </w:r>
      <w:r w:rsidRPr="00532F3A">
        <w:rPr>
          <w:rFonts w:ascii="Times New Roman" w:hAnsi="Times New Roman"/>
        </w:rPr>
        <w:t>4</w:t>
      </w:r>
      <w:r>
        <w:rPr>
          <w:rFonts w:ascii="Times New Roman" w:hAnsi="Times New Roman"/>
        </w:rPr>
        <w:t>;</w:t>
      </w:r>
      <w:r w:rsidRPr="00532F3A">
        <w:rPr>
          <w:rFonts w:ascii="Times New Roman" w:hAnsi="Times New Roman"/>
        </w:rPr>
        <w:t>210</w:t>
      </w:r>
      <w:r>
        <w:rPr>
          <w:rFonts w:ascii="Times New Roman" w:hAnsi="Times New Roman"/>
        </w:rPr>
        <w:t>;</w:t>
      </w:r>
      <w:r w:rsidRPr="00532F3A">
        <w:rPr>
          <w:rFonts w:ascii="Times New Roman" w:hAnsi="Times New Roman"/>
        </w:rPr>
        <w:t>010</w:t>
      </w:r>
      <w:r>
        <w:rPr>
          <w:rFonts w:ascii="Times New Roman" w:hAnsi="Times New Roman"/>
        </w:rPr>
        <w:t>} + {LR</w:t>
      </w:r>
      <w:r w:rsidRPr="00532F3A">
        <w:rPr>
          <w:rFonts w:ascii="Times New Roman" w:hAnsi="Times New Roman"/>
        </w:rPr>
        <w:t>4</w:t>
      </w:r>
      <w:r>
        <w:rPr>
          <w:rFonts w:ascii="Times New Roman" w:hAnsi="Times New Roman"/>
        </w:rPr>
        <w:t>;</w:t>
      </w:r>
      <w:r w:rsidRPr="00532F3A">
        <w:rPr>
          <w:rFonts w:ascii="Times New Roman" w:hAnsi="Times New Roman"/>
        </w:rPr>
        <w:t>210</w:t>
      </w:r>
      <w:r>
        <w:rPr>
          <w:rFonts w:ascii="Times New Roman" w:hAnsi="Times New Roman"/>
        </w:rPr>
        <w:t>;</w:t>
      </w:r>
      <w:r w:rsidRPr="00532F3A">
        <w:rPr>
          <w:rFonts w:ascii="Times New Roman" w:hAnsi="Times New Roman"/>
        </w:rPr>
        <w:t>020</w:t>
      </w:r>
      <w:r>
        <w:rPr>
          <w:rFonts w:ascii="Times New Roman" w:hAnsi="Times New Roman"/>
        </w:rPr>
        <w:t>} + {LR</w:t>
      </w:r>
      <w:r w:rsidRPr="00532F3A">
        <w:rPr>
          <w:rFonts w:ascii="Times New Roman" w:hAnsi="Times New Roman"/>
        </w:rPr>
        <w:t>4</w:t>
      </w:r>
      <w:r>
        <w:rPr>
          <w:rFonts w:ascii="Times New Roman" w:hAnsi="Times New Roman"/>
        </w:rPr>
        <w:t>;</w:t>
      </w:r>
      <w:r w:rsidRPr="00532F3A">
        <w:rPr>
          <w:rFonts w:ascii="Times New Roman" w:hAnsi="Times New Roman"/>
        </w:rPr>
        <w:t>230</w:t>
      </w:r>
      <w:r>
        <w:rPr>
          <w:rFonts w:ascii="Times New Roman" w:hAnsi="Times New Roman"/>
        </w:rPr>
        <w:t>;</w:t>
      </w:r>
      <w:r w:rsidRPr="00532F3A">
        <w:rPr>
          <w:rFonts w:ascii="Times New Roman" w:hAnsi="Times New Roman"/>
        </w:rPr>
        <w:t>010</w:t>
      </w:r>
      <w:r>
        <w:rPr>
          <w:rFonts w:ascii="Times New Roman" w:hAnsi="Times New Roman"/>
        </w:rPr>
        <w:t>} + {LR</w:t>
      </w:r>
      <w:r w:rsidRPr="00532F3A">
        <w:rPr>
          <w:rFonts w:ascii="Times New Roman" w:hAnsi="Times New Roman"/>
        </w:rPr>
        <w:t>4</w:t>
      </w:r>
      <w:r>
        <w:rPr>
          <w:rFonts w:ascii="Times New Roman" w:hAnsi="Times New Roman"/>
        </w:rPr>
        <w:t>;</w:t>
      </w:r>
      <w:r w:rsidRPr="00532F3A">
        <w:rPr>
          <w:rFonts w:ascii="Times New Roman" w:hAnsi="Times New Roman"/>
        </w:rPr>
        <w:t>230</w:t>
      </w:r>
      <w:r>
        <w:rPr>
          <w:rFonts w:ascii="Times New Roman" w:hAnsi="Times New Roman"/>
        </w:rPr>
        <w:t>;</w:t>
      </w:r>
      <w:r w:rsidRPr="00532F3A">
        <w:rPr>
          <w:rFonts w:ascii="Times New Roman" w:hAnsi="Times New Roman"/>
        </w:rPr>
        <w:t>020</w:t>
      </w:r>
      <w:r>
        <w:rPr>
          <w:rFonts w:ascii="Times New Roman" w:hAnsi="Times New Roman"/>
        </w:rPr>
        <w:t>} + {LR</w:t>
      </w:r>
      <w:r w:rsidRPr="00532F3A">
        <w:rPr>
          <w:rFonts w:ascii="Times New Roman" w:hAnsi="Times New Roman"/>
        </w:rPr>
        <w:t>4</w:t>
      </w:r>
      <w:r>
        <w:rPr>
          <w:rFonts w:ascii="Times New Roman" w:hAnsi="Times New Roman"/>
        </w:rPr>
        <w:t>;</w:t>
      </w:r>
      <w:r w:rsidRPr="00532F3A">
        <w:rPr>
          <w:rFonts w:ascii="Times New Roman" w:hAnsi="Times New Roman"/>
        </w:rPr>
        <w:t>280</w:t>
      </w:r>
      <w:r>
        <w:rPr>
          <w:rFonts w:ascii="Times New Roman" w:hAnsi="Times New Roman"/>
        </w:rPr>
        <w:t>;</w:t>
      </w:r>
      <w:r w:rsidRPr="00532F3A">
        <w:rPr>
          <w:rFonts w:ascii="Times New Roman" w:hAnsi="Times New Roman"/>
        </w:rPr>
        <w:t>010</w:t>
      </w:r>
      <w:r>
        <w:rPr>
          <w:rFonts w:ascii="Times New Roman" w:hAnsi="Times New Roman"/>
        </w:rPr>
        <w:t>} + {LR</w:t>
      </w:r>
      <w:r w:rsidRPr="00532F3A">
        <w:rPr>
          <w:rFonts w:ascii="Times New Roman" w:hAnsi="Times New Roman"/>
        </w:rPr>
        <w:t>4</w:t>
      </w:r>
      <w:r>
        <w:rPr>
          <w:rFonts w:ascii="Times New Roman" w:hAnsi="Times New Roman"/>
        </w:rPr>
        <w:t>;</w:t>
      </w:r>
      <w:r w:rsidRPr="00532F3A">
        <w:rPr>
          <w:rFonts w:ascii="Times New Roman" w:hAnsi="Times New Roman"/>
        </w:rPr>
        <w:t>280</w:t>
      </w:r>
      <w:r>
        <w:rPr>
          <w:rFonts w:ascii="Times New Roman" w:hAnsi="Times New Roman"/>
        </w:rPr>
        <w:t>;</w:t>
      </w:r>
      <w:r w:rsidRPr="00532F3A">
        <w:rPr>
          <w:rFonts w:ascii="Times New Roman" w:hAnsi="Times New Roman"/>
        </w:rPr>
        <w:t>020</w:t>
      </w:r>
      <w:r>
        <w:rPr>
          <w:rFonts w:ascii="Times New Roman" w:hAnsi="Times New Roman"/>
        </w:rPr>
        <w:t>} + {LR</w:t>
      </w:r>
      <w:r w:rsidRPr="00532F3A">
        <w:rPr>
          <w:rFonts w:ascii="Times New Roman" w:hAnsi="Times New Roman"/>
        </w:rPr>
        <w:t>4</w:t>
      </w:r>
      <w:r>
        <w:rPr>
          <w:rFonts w:ascii="Times New Roman" w:hAnsi="Times New Roman"/>
        </w:rPr>
        <w:t>;</w:t>
      </w:r>
      <w:r w:rsidRPr="00532F3A">
        <w:rPr>
          <w:rFonts w:ascii="Times New Roman" w:hAnsi="Times New Roman"/>
        </w:rPr>
        <w:t>290</w:t>
      </w:r>
      <w:r>
        <w:rPr>
          <w:rFonts w:ascii="Times New Roman" w:hAnsi="Times New Roman"/>
        </w:rPr>
        <w:t>;</w:t>
      </w:r>
      <w:r w:rsidRPr="00532F3A">
        <w:rPr>
          <w:rFonts w:ascii="Times New Roman" w:hAnsi="Times New Roman"/>
        </w:rPr>
        <w:t>010</w:t>
      </w:r>
      <w:r>
        <w:rPr>
          <w:rFonts w:ascii="Times New Roman" w:hAnsi="Times New Roman"/>
        </w:rPr>
        <w:t>} + {LR</w:t>
      </w:r>
      <w:r w:rsidRPr="00532F3A">
        <w:rPr>
          <w:rFonts w:ascii="Times New Roman" w:hAnsi="Times New Roman"/>
        </w:rPr>
        <w:t>4</w:t>
      </w:r>
      <w:r>
        <w:rPr>
          <w:rFonts w:ascii="Times New Roman" w:hAnsi="Times New Roman"/>
        </w:rPr>
        <w:t>;</w:t>
      </w:r>
      <w:r w:rsidRPr="00532F3A">
        <w:rPr>
          <w:rFonts w:ascii="Times New Roman" w:hAnsi="Times New Roman"/>
        </w:rPr>
        <w:t>290</w:t>
      </w:r>
      <w:r>
        <w:rPr>
          <w:rFonts w:ascii="Times New Roman" w:hAnsi="Times New Roman"/>
        </w:rPr>
        <w:t>;</w:t>
      </w:r>
      <w:r w:rsidRPr="00532F3A">
        <w:rPr>
          <w:rFonts w:ascii="Times New Roman" w:hAnsi="Times New Roman"/>
        </w:rPr>
        <w:t>020</w:t>
      </w:r>
      <w:r>
        <w:rPr>
          <w:rFonts w:ascii="Times New Roman" w:hAnsi="Times New Roman"/>
        </w:rPr>
        <w:t>}].</w:t>
      </w:r>
    </w:p>
    <w:p w:rsidR="00675587" w:rsidRPr="00FE002E" w:rsidRDefault="00675587" w:rsidP="00675587">
      <w:pPr>
        <w:pStyle w:val="BodyText1"/>
        <w:rPr>
          <w:rFonts w:ascii="Times New Roman" w:hAnsi="Times New Roman"/>
        </w:rPr>
      </w:pPr>
    </w:p>
    <w:tbl>
      <w:tblPr>
        <w:tblW w:w="9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1111"/>
        <w:gridCol w:w="8133"/>
      </w:tblGrid>
      <w:tr w:rsidR="00F4754B" w:rsidRPr="00FE002E" w:rsidTr="0053335C">
        <w:trPr>
          <w:trHeight w:val="297"/>
        </w:trPr>
        <w:tc>
          <w:tcPr>
            <w:tcW w:w="1111" w:type="dxa"/>
            <w:shd w:val="clear" w:color="auto" w:fill="BFBFBF" w:themeFill="background1" w:themeFillShade="BF"/>
          </w:tcPr>
          <w:p w:rsidR="00F4754B" w:rsidRPr="00FE002E" w:rsidRDefault="00F4754B" w:rsidP="00F4754B">
            <w:pPr>
              <w:pStyle w:val="BodyText1"/>
              <w:rPr>
                <w:rFonts w:ascii="Times New Roman" w:hAnsi="Times New Roman"/>
                <w:b/>
                <w:bCs/>
                <w:i/>
              </w:rPr>
            </w:pPr>
            <w:r>
              <w:rPr>
                <w:rFonts w:ascii="Times New Roman" w:hAnsi="Times New Roman"/>
                <w:b/>
              </w:rPr>
              <w:t>Zeile und Spalte</w:t>
            </w:r>
          </w:p>
        </w:tc>
        <w:tc>
          <w:tcPr>
            <w:tcW w:w="8133" w:type="dxa"/>
            <w:shd w:val="clear" w:color="auto" w:fill="BFBFBF" w:themeFill="background1" w:themeFillShade="BF"/>
          </w:tcPr>
          <w:p w:rsidR="00F4754B" w:rsidRPr="00FE002E" w:rsidRDefault="00F4754B" w:rsidP="00F4754B">
            <w:pPr>
              <w:pStyle w:val="BodyText1"/>
              <w:rPr>
                <w:rFonts w:ascii="Times New Roman" w:hAnsi="Times New Roman"/>
                <w:b/>
                <w:bCs/>
                <w:i/>
              </w:rPr>
            </w:pPr>
            <w:r>
              <w:rPr>
                <w:rFonts w:ascii="Times New Roman" w:hAnsi="Times New Roman"/>
                <w:b/>
              </w:rPr>
              <w:t>Rechtsgrundlagen und Erläuterungen</w:t>
            </w:r>
          </w:p>
        </w:tc>
      </w:tr>
      <w:tr w:rsidR="00F4754B" w:rsidRPr="00FE002E" w:rsidTr="0053335C">
        <w:trPr>
          <w:trHeight w:val="445"/>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532F3A">
              <w:rPr>
                <w:rFonts w:ascii="Times New Roman" w:hAnsi="Times New Roman"/>
              </w:rPr>
              <w:t>010</w:t>
            </w:r>
            <w:r>
              <w:rPr>
                <w:rFonts w:ascii="Times New Roman" w:hAnsi="Times New Roman"/>
              </w:rPr>
              <w:t>;</w:t>
            </w:r>
            <w:r w:rsidRPr="00532F3A">
              <w:rPr>
                <w:rFonts w:ascii="Times New Roman" w:hAnsi="Times New Roman"/>
              </w:rPr>
              <w:t>010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Außerbilanzielle Posten; davon — Risikopositionswert für die Verschuldungsquote</w:t>
            </w:r>
          </w:p>
          <w:p w:rsidR="002509B1" w:rsidRPr="00FE002E" w:rsidRDefault="002509B1" w:rsidP="007E2A41">
            <w:pPr>
              <w:pStyle w:val="BodyText1"/>
              <w:spacing w:line="240" w:lineRule="auto"/>
              <w:rPr>
                <w:rFonts w:ascii="Times New Roman" w:hAnsi="Times New Roman"/>
                <w:b/>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Der Risikopositionswert für die Verschuldungsquote, berechnet als Summe aus {LRCalc;</w:t>
            </w:r>
            <w:r w:rsidRPr="00532F3A">
              <w:rPr>
                <w:rFonts w:ascii="Times New Roman" w:hAnsi="Times New Roman"/>
              </w:rPr>
              <w:t>150</w:t>
            </w:r>
            <w:r>
              <w:rPr>
                <w:rFonts w:ascii="Times New Roman" w:hAnsi="Times New Roman"/>
              </w:rPr>
              <w:t>;</w:t>
            </w:r>
            <w:r w:rsidRPr="00532F3A">
              <w:rPr>
                <w:rFonts w:ascii="Times New Roman" w:hAnsi="Times New Roman"/>
              </w:rPr>
              <w:t>010</w:t>
            </w:r>
            <w:r>
              <w:rPr>
                <w:rFonts w:ascii="Times New Roman" w:hAnsi="Times New Roman"/>
              </w:rPr>
              <w:t>}, {LRCalc;</w:t>
            </w:r>
            <w:r w:rsidRPr="00532F3A">
              <w:rPr>
                <w:rFonts w:ascii="Times New Roman" w:hAnsi="Times New Roman"/>
              </w:rPr>
              <w:t>160</w:t>
            </w:r>
            <w:r>
              <w:rPr>
                <w:rFonts w:ascii="Times New Roman" w:hAnsi="Times New Roman"/>
              </w:rPr>
              <w:t>;</w:t>
            </w:r>
            <w:r w:rsidRPr="00532F3A">
              <w:rPr>
                <w:rFonts w:ascii="Times New Roman" w:hAnsi="Times New Roman"/>
              </w:rPr>
              <w:t>010</w:t>
            </w:r>
            <w:r>
              <w:rPr>
                <w:rFonts w:ascii="Times New Roman" w:hAnsi="Times New Roman"/>
              </w:rPr>
              <w:t>}, {LRCalc;</w:t>
            </w:r>
            <w:r w:rsidRPr="00532F3A">
              <w:rPr>
                <w:rFonts w:ascii="Times New Roman" w:hAnsi="Times New Roman"/>
              </w:rPr>
              <w:t>170</w:t>
            </w:r>
            <w:r>
              <w:rPr>
                <w:rFonts w:ascii="Times New Roman" w:hAnsi="Times New Roman"/>
              </w:rPr>
              <w:t>;</w:t>
            </w:r>
            <w:r w:rsidRPr="00532F3A">
              <w:rPr>
                <w:rFonts w:ascii="Times New Roman" w:hAnsi="Times New Roman"/>
              </w:rPr>
              <w:t>010</w:t>
            </w:r>
            <w:r>
              <w:rPr>
                <w:rFonts w:ascii="Times New Roman" w:hAnsi="Times New Roman"/>
              </w:rPr>
              <w:t>} und {LRCalc;</w:t>
            </w:r>
            <w:r w:rsidRPr="00532F3A">
              <w:rPr>
                <w:rFonts w:ascii="Times New Roman" w:hAnsi="Times New Roman"/>
              </w:rPr>
              <w:t>180</w:t>
            </w:r>
            <w:r>
              <w:rPr>
                <w:rFonts w:ascii="Times New Roman" w:hAnsi="Times New Roman"/>
              </w:rPr>
              <w:t>;</w:t>
            </w:r>
            <w:r w:rsidRPr="00532F3A">
              <w:rPr>
                <w:rFonts w:ascii="Times New Roman" w:hAnsi="Times New Roman"/>
              </w:rPr>
              <w:t>010</w:t>
            </w:r>
            <w:r>
              <w:rPr>
                <w:rFonts w:ascii="Times New Roman" w:hAnsi="Times New Roman"/>
              </w:rPr>
              <w:t xml:space="preserve">} ohne die gemäß Artikel </w:t>
            </w:r>
            <w:r w:rsidRPr="00532F3A">
              <w:rPr>
                <w:rFonts w:ascii="Times New Roman" w:hAnsi="Times New Roman"/>
              </w:rPr>
              <w:t>429</w:t>
            </w:r>
            <w:r>
              <w:rPr>
                <w:rFonts w:ascii="Times New Roman" w:hAnsi="Times New Roman"/>
              </w:rPr>
              <w:t xml:space="preserve"> Absatz </w:t>
            </w:r>
            <w:r w:rsidRPr="00532F3A">
              <w:rPr>
                <w:rFonts w:ascii="Times New Roman" w:hAnsi="Times New Roman"/>
              </w:rPr>
              <w:t>7</w:t>
            </w:r>
            <w:r>
              <w:rPr>
                <w:rFonts w:ascii="Times New Roman" w:hAnsi="Times New Roman"/>
              </w:rPr>
              <w:t xml:space="preserve"> CRR ausgenommenen jeweiligen gruppeninternen Risikopositionen (Einzelbasis).</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1179"/>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532F3A">
              <w:rPr>
                <w:rFonts w:ascii="Times New Roman" w:hAnsi="Times New Roman"/>
              </w:rPr>
              <w:t>010</w:t>
            </w:r>
            <w:r>
              <w:rPr>
                <w:rFonts w:ascii="Times New Roman" w:hAnsi="Times New Roman"/>
              </w:rPr>
              <w:t>;</w:t>
            </w:r>
            <w:r w:rsidRPr="00532F3A">
              <w:rPr>
                <w:rFonts w:ascii="Times New Roman" w:hAnsi="Times New Roman"/>
              </w:rPr>
              <w:t>020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Außerbilanzielle Posten; davon — Risikogewichteter Positionsbetrag (RWA, risk-weighted exposure amount)</w:t>
            </w:r>
          </w:p>
          <w:p w:rsidR="002509B1" w:rsidRPr="00FE002E" w:rsidRDefault="002509B1" w:rsidP="007E2A41">
            <w:pPr>
              <w:pStyle w:val="BodyText1"/>
              <w:spacing w:line="240" w:lineRule="auto"/>
              <w:rPr>
                <w:rFonts w:ascii="Times New Roman" w:hAnsi="Times New Roman"/>
                <w:b/>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Der risikogewichtete Risikopositionsbetrag der außerbilanziellen Posten — ohne SFTs und Derivate — nach dem Standardansatz und dem IRB-Ansatz. Für Risikopositionen nach dem Standardansatz ermitteln die Institute den risikogewichteten Positionsbetrag gemäß Teil </w:t>
            </w:r>
            <w:r w:rsidRPr="00532F3A">
              <w:rPr>
                <w:rFonts w:ascii="Times New Roman" w:hAnsi="Times New Roman"/>
              </w:rPr>
              <w:t>3</w:t>
            </w:r>
            <w:r>
              <w:rPr>
                <w:rFonts w:ascii="Times New Roman" w:hAnsi="Times New Roman"/>
              </w:rPr>
              <w:t xml:space="preserve"> Titel II Kapitel </w:t>
            </w:r>
            <w:r w:rsidRPr="00532F3A">
              <w:rPr>
                <w:rFonts w:ascii="Times New Roman" w:hAnsi="Times New Roman"/>
              </w:rPr>
              <w:t>2</w:t>
            </w:r>
            <w:r>
              <w:rPr>
                <w:rFonts w:ascii="Times New Roman" w:hAnsi="Times New Roman"/>
              </w:rPr>
              <w:t xml:space="preserve"> CRR. Für Risikopositionen nach dem IRB-Ansatz ermitteln die Institute den risikogewichteten Positionsbetrag gemäß Teil </w:t>
            </w:r>
            <w:r w:rsidRPr="00532F3A">
              <w:rPr>
                <w:rFonts w:ascii="Times New Roman" w:hAnsi="Times New Roman"/>
              </w:rPr>
              <w:t>3</w:t>
            </w:r>
            <w:r>
              <w:rPr>
                <w:rFonts w:ascii="Times New Roman" w:hAnsi="Times New Roman"/>
              </w:rPr>
              <w:t xml:space="preserve"> Titel II Kapitel </w:t>
            </w:r>
            <w:r w:rsidRPr="00532F3A">
              <w:rPr>
                <w:rFonts w:ascii="Times New Roman" w:hAnsi="Times New Roman"/>
              </w:rPr>
              <w:t>3</w:t>
            </w:r>
            <w:r>
              <w:rPr>
                <w:rFonts w:ascii="Times New Roman" w:hAnsi="Times New Roman"/>
              </w:rPr>
              <w:t xml:space="preserve"> CRR.</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4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532F3A">
              <w:rPr>
                <w:rFonts w:ascii="Times New Roman" w:hAnsi="Times New Roman"/>
              </w:rPr>
              <w:t>020</w:t>
            </w:r>
            <w:r>
              <w:rPr>
                <w:rFonts w:ascii="Times New Roman" w:hAnsi="Times New Roman"/>
              </w:rPr>
              <w:t>;</w:t>
            </w:r>
            <w:r w:rsidRPr="00532F3A">
              <w:rPr>
                <w:rFonts w:ascii="Times New Roman" w:hAnsi="Times New Roman"/>
              </w:rPr>
              <w:t>010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Handelsfinanzierung; davon — Risikopositionswert für die Verschuldungsquote</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Der Risikopositionswert für die Verschuldungsquote in Bezug auf handelsfinanzierungsbezogene außerbilanzielle Posten. Für die in LR</w:t>
            </w:r>
            <w:r w:rsidRPr="00532F3A">
              <w:rPr>
                <w:rFonts w:ascii="Times New Roman" w:hAnsi="Times New Roman"/>
              </w:rPr>
              <w:t>4</w:t>
            </w:r>
            <w:r>
              <w:rPr>
                <w:rFonts w:ascii="Times New Roman" w:hAnsi="Times New Roman"/>
              </w:rPr>
              <w:t xml:space="preserve"> zu meldenden Angaben beziehen sich die handelsfinanzierungsbezogenen außerbilanziellen Posten auf ausgegebene und bestätigte kurzfristige und sich selbst liquidierende Import- und Exportakkreditive und ähnliche Geschäfte.</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1038"/>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532F3A">
              <w:rPr>
                <w:rFonts w:ascii="Times New Roman" w:hAnsi="Times New Roman"/>
              </w:rPr>
              <w:t>020</w:t>
            </w:r>
            <w:r>
              <w:rPr>
                <w:rFonts w:ascii="Times New Roman" w:hAnsi="Times New Roman"/>
              </w:rPr>
              <w:t>;</w:t>
            </w:r>
            <w:r w:rsidRPr="00532F3A">
              <w:rPr>
                <w:rFonts w:ascii="Times New Roman" w:hAnsi="Times New Roman"/>
              </w:rPr>
              <w:t>020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Handelsfinanzierung; davon — Risikogewichteter Positionsbetrag (RWA, risk-weighted exposure amount) </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Der risikogewichtete Risikopositionswert der handelsfinanzierungsbezogenen außerbilanziellen Posten — ohne SFTs und Derivate. Für die in LR</w:t>
            </w:r>
            <w:r w:rsidRPr="00532F3A">
              <w:rPr>
                <w:rFonts w:ascii="Times New Roman" w:hAnsi="Times New Roman"/>
              </w:rPr>
              <w:t>4</w:t>
            </w:r>
            <w:r>
              <w:rPr>
                <w:rFonts w:ascii="Times New Roman" w:hAnsi="Times New Roman"/>
              </w:rPr>
              <w:t xml:space="preserve"> zu meldenden Angaben beziehen sich die handelsfinanzierungsbezogenen außerbilanziellen Posten auf ausgegebene und bestätigte kurzfristige und sich selbst liquidierende Import- und Exportakkreditive und ähnliche Geschäfte.</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1030"/>
        </w:trPr>
        <w:tc>
          <w:tcPr>
            <w:tcW w:w="1111" w:type="dxa"/>
            <w:shd w:val="clear" w:color="auto" w:fill="FFFFFF"/>
          </w:tcPr>
          <w:p w:rsidR="00F4754B" w:rsidRPr="00FE002E" w:rsidRDefault="00F4754B" w:rsidP="00F4754B">
            <w:pPr>
              <w:pStyle w:val="BodyText1"/>
              <w:rPr>
                <w:rFonts w:ascii="Times New Roman" w:hAnsi="Times New Roman"/>
                <w:bCs/>
              </w:rPr>
            </w:pPr>
            <w:r>
              <w:rPr>
                <w:rFonts w:ascii="Times New Roman" w:hAnsi="Times New Roman"/>
              </w:rPr>
              <w:t>{</w:t>
            </w:r>
            <w:r w:rsidRPr="00532F3A">
              <w:rPr>
                <w:rFonts w:ascii="Times New Roman" w:hAnsi="Times New Roman"/>
              </w:rPr>
              <w:t>030</w:t>
            </w:r>
            <w:r>
              <w:rPr>
                <w:rFonts w:ascii="Times New Roman" w:hAnsi="Times New Roman"/>
              </w:rPr>
              <w:t>;</w:t>
            </w:r>
            <w:r w:rsidRPr="00532F3A">
              <w:rPr>
                <w:rFonts w:ascii="Times New Roman" w:hAnsi="Times New Roman"/>
              </w:rPr>
              <w:t>010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Im Rahmen eines öffentlichen Exportkreditversicherungssystems — Risikopositionswert für die Verschuldungsquote</w:t>
            </w:r>
          </w:p>
          <w:p w:rsidR="002509B1" w:rsidRPr="00FE002E" w:rsidRDefault="002509B1" w:rsidP="007E2A41">
            <w:pPr>
              <w:pStyle w:val="BodyText1"/>
              <w:spacing w:line="240" w:lineRule="auto"/>
              <w:rPr>
                <w:rFonts w:ascii="Times New Roman" w:hAnsi="Times New Roman"/>
                <w:b/>
                <w:bCs/>
              </w:rPr>
            </w:pPr>
          </w:p>
          <w:p w:rsidR="001F28E7" w:rsidRDefault="00F4754B" w:rsidP="007E2A41">
            <w:pPr>
              <w:pStyle w:val="BodyText1"/>
              <w:spacing w:line="240" w:lineRule="auto"/>
              <w:rPr>
                <w:rFonts w:ascii="Times New Roman" w:hAnsi="Times New Roman"/>
              </w:rPr>
            </w:pPr>
            <w:r>
              <w:rPr>
                <w:rFonts w:ascii="Times New Roman" w:hAnsi="Times New Roman"/>
              </w:rPr>
              <w:t>Der Risikopositionswert für die Verschuldungsquote in Bezug auf außerbilanzielle Posten, die die Handelsfinanzierung im Rahmen eines öffentlichen Exportkreditversicherungssystems betreffen.</w:t>
            </w:r>
          </w:p>
          <w:p w:rsidR="001F28E7" w:rsidRDefault="001F28E7"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rPr>
            </w:pPr>
            <w:r>
              <w:rPr>
                <w:rFonts w:ascii="Times New Roman" w:hAnsi="Times New Roman"/>
              </w:rPr>
              <w:t>Für die in LR</w:t>
            </w:r>
            <w:r w:rsidRPr="00532F3A">
              <w:rPr>
                <w:rFonts w:ascii="Times New Roman" w:hAnsi="Times New Roman"/>
              </w:rPr>
              <w:t>4</w:t>
            </w:r>
            <w:r>
              <w:rPr>
                <w:rFonts w:ascii="Times New Roman" w:hAnsi="Times New Roman"/>
              </w:rPr>
              <w:t xml:space="preserve"> zu meldenden Angaben bezieht sich der Begriff öffentliches Exportkreditversicherungssystem auf öffentliche Unterstützung, die vom Staat oder einer anderen Stelle, wie zum Beispiel einer Exportversicherungsagentur, in Form von, unter anderem, </w:t>
            </w:r>
            <w:r>
              <w:rPr>
                <w:rFonts w:ascii="Times New Roman" w:hAnsi="Times New Roman"/>
              </w:rPr>
              <w:lastRenderedPageBreak/>
              <w:t xml:space="preserve">Direktkrediten/-finanzierungen, Refinanzierungen, Zinszuschüssen (wenn über die gesamte Laufzeit des Kredits ein Festzinssatz garantiert wird), Finanzierungen von Hilfsmaßnahmen (Kredite und Zuschüsse), Exportkreditversicherungen und -garantien zur Verfügung gestellt wird. </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601"/>
        </w:trPr>
        <w:tc>
          <w:tcPr>
            <w:tcW w:w="1111" w:type="dxa"/>
            <w:shd w:val="clear" w:color="auto" w:fill="FFFFFF"/>
          </w:tcPr>
          <w:p w:rsidR="00F4754B" w:rsidRPr="00FE002E" w:rsidRDefault="00F4754B" w:rsidP="00F4754B">
            <w:pPr>
              <w:pStyle w:val="BodyText1"/>
              <w:rPr>
                <w:rFonts w:ascii="Times New Roman" w:hAnsi="Times New Roman"/>
                <w:bCs/>
              </w:rPr>
            </w:pPr>
            <w:r>
              <w:rPr>
                <w:rFonts w:ascii="Times New Roman" w:hAnsi="Times New Roman"/>
              </w:rPr>
              <w:lastRenderedPageBreak/>
              <w:t>{</w:t>
            </w:r>
            <w:r w:rsidRPr="00532F3A">
              <w:rPr>
                <w:rFonts w:ascii="Times New Roman" w:hAnsi="Times New Roman"/>
              </w:rPr>
              <w:t>030</w:t>
            </w:r>
            <w:r>
              <w:rPr>
                <w:rFonts w:ascii="Times New Roman" w:hAnsi="Times New Roman"/>
              </w:rPr>
              <w:t>;</w:t>
            </w:r>
            <w:r w:rsidRPr="00532F3A">
              <w:rPr>
                <w:rFonts w:ascii="Times New Roman" w:hAnsi="Times New Roman"/>
              </w:rPr>
              <w:t>020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Im Rahmen eines öffentlichen Exportkreditversicherungssystems — Risikogewichteter Positionsbetrag (RWA, risk-weighted exposure amount)</w:t>
            </w:r>
          </w:p>
          <w:p w:rsidR="002509B1" w:rsidRPr="00FE002E" w:rsidRDefault="002509B1" w:rsidP="007E2A41">
            <w:pPr>
              <w:pStyle w:val="BodyText1"/>
              <w:spacing w:line="240" w:lineRule="auto"/>
              <w:rPr>
                <w:rFonts w:ascii="Times New Roman" w:hAnsi="Times New Roman"/>
                <w:b/>
                <w:bCs/>
              </w:rPr>
            </w:pPr>
          </w:p>
          <w:p w:rsidR="001F28E7" w:rsidRDefault="00F4754B" w:rsidP="007E2A41">
            <w:pPr>
              <w:pStyle w:val="BodyText1"/>
              <w:spacing w:line="240" w:lineRule="auto"/>
              <w:rPr>
                <w:rFonts w:ascii="Times New Roman" w:hAnsi="Times New Roman"/>
              </w:rPr>
            </w:pPr>
            <w:r>
              <w:rPr>
                <w:rFonts w:ascii="Times New Roman" w:hAnsi="Times New Roman"/>
              </w:rPr>
              <w:t>Der risikogewichtete Positionswert der außerbilanziellen Posten — ohne SFTs und Derivate —, die die Handelsfinanzierung im Rahmen eines öffentlichen Exportkreditversicherungssystems betreffen.</w:t>
            </w:r>
          </w:p>
          <w:p w:rsidR="001F28E7" w:rsidRDefault="001F28E7"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rPr>
            </w:pPr>
            <w:r>
              <w:rPr>
                <w:rFonts w:ascii="Times New Roman" w:hAnsi="Times New Roman"/>
              </w:rPr>
              <w:t>Für die in LR</w:t>
            </w:r>
            <w:r w:rsidRPr="00532F3A">
              <w:rPr>
                <w:rFonts w:ascii="Times New Roman" w:hAnsi="Times New Roman"/>
              </w:rPr>
              <w:t>4</w:t>
            </w:r>
            <w:r>
              <w:rPr>
                <w:rFonts w:ascii="Times New Roman" w:hAnsi="Times New Roman"/>
              </w:rPr>
              <w:t xml:space="preserve"> zu meldenden Angaben bezieht sich der Begriff öffentliches Exportkreditversicherungssystem auf öffentliche Unterstützung, die vom Staat oder einer anderen Stelle, wie zum Beispiel einer Exportversicherungsagentur, in Form von, unter anderem, Direktkrediten/-finanzierungen, Refinanzierungen, Zinszuschüssen (wenn über die gesamte Laufzeit des Kredits ein Festzinssatz garantiert wird), Finanzierungen von Hilfsmaßnahmen (Kredite und Zuschüsse), Exportkreditversicherungen und -garantien zur Verfügung gestellt wird. </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532F3A">
              <w:rPr>
                <w:rFonts w:ascii="Times New Roman" w:hAnsi="Times New Roman"/>
              </w:rPr>
              <w:t>040</w:t>
            </w:r>
            <w:r>
              <w:rPr>
                <w:rFonts w:ascii="Times New Roman" w:hAnsi="Times New Roman"/>
              </w:rPr>
              <w:t>;</w:t>
            </w:r>
            <w:r w:rsidRPr="00532F3A">
              <w:rPr>
                <w:rFonts w:ascii="Times New Roman" w:hAnsi="Times New Roman"/>
              </w:rPr>
              <w:t>010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Derivate und SFTs, die einer produktübergreifenden Nettingvereinbarung unterliegen — Risikopositionswert für die Verschuldungsquote</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Der Risikopositionswert für die Verschuldungsquote in Bezug auf Derivate und SFTs, falls diese Geschäfte einer produktübergreifenden Nettingvereinbarung im Sinne von Artikel </w:t>
            </w:r>
            <w:r w:rsidRPr="00532F3A">
              <w:rPr>
                <w:rFonts w:ascii="Times New Roman" w:hAnsi="Times New Roman"/>
              </w:rPr>
              <w:t>272</w:t>
            </w:r>
            <w:r>
              <w:rPr>
                <w:rFonts w:ascii="Times New Roman" w:hAnsi="Times New Roman"/>
              </w:rPr>
              <w:t xml:space="preserve"> Nummer </w:t>
            </w:r>
            <w:r w:rsidRPr="00532F3A">
              <w:rPr>
                <w:rFonts w:ascii="Times New Roman" w:hAnsi="Times New Roman"/>
              </w:rPr>
              <w:t>25</w:t>
            </w:r>
            <w:r>
              <w:rPr>
                <w:rFonts w:ascii="Times New Roman" w:hAnsi="Times New Roman"/>
              </w:rPr>
              <w:t xml:space="preserve"> CRR unterliegen.</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Pr>
                <w:rFonts w:ascii="Times New Roman" w:hAnsi="Times New Roman"/>
              </w:rPr>
              <w:t>{</w:t>
            </w:r>
            <w:r w:rsidRPr="00532F3A">
              <w:rPr>
                <w:rFonts w:ascii="Times New Roman" w:hAnsi="Times New Roman"/>
              </w:rPr>
              <w:t>040</w:t>
            </w:r>
            <w:r>
              <w:rPr>
                <w:rFonts w:ascii="Times New Roman" w:hAnsi="Times New Roman"/>
              </w:rPr>
              <w:t>;</w:t>
            </w:r>
            <w:r w:rsidRPr="00532F3A">
              <w:rPr>
                <w:rFonts w:ascii="Times New Roman" w:hAnsi="Times New Roman"/>
              </w:rPr>
              <w:t>020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Derivate und SFTs, die einer produktübergreifenden Nettingvereinbarung unterliegen — Risikogewichteter Positionsbetrag (RWA, risk-weighted exposure amount)</w:t>
            </w:r>
          </w:p>
          <w:p w:rsidR="002509B1" w:rsidRPr="00FE002E" w:rsidRDefault="002509B1" w:rsidP="007E2A41">
            <w:pPr>
              <w:pStyle w:val="BodyText1"/>
              <w:spacing w:line="240" w:lineRule="auto"/>
              <w:rPr>
                <w:rFonts w:ascii="Times New Roman" w:hAnsi="Times New Roman"/>
                <w:b/>
                <w:bCs/>
              </w:rPr>
            </w:pPr>
          </w:p>
          <w:p w:rsidR="002509B1" w:rsidRPr="00FE002E" w:rsidRDefault="00F4754B" w:rsidP="007E2A41">
            <w:pPr>
              <w:pStyle w:val="BodyText1"/>
              <w:spacing w:line="240" w:lineRule="auto"/>
              <w:rPr>
                <w:rFonts w:ascii="Times New Roman" w:hAnsi="Times New Roman"/>
                <w:bCs/>
              </w:rPr>
            </w:pPr>
            <w:r>
              <w:rPr>
                <w:rFonts w:ascii="Times New Roman" w:hAnsi="Times New Roman"/>
              </w:rPr>
              <w:t xml:space="preserve">Die nach Teil </w:t>
            </w:r>
            <w:r w:rsidRPr="00532F3A">
              <w:rPr>
                <w:rFonts w:ascii="Times New Roman" w:hAnsi="Times New Roman"/>
              </w:rPr>
              <w:t>3</w:t>
            </w:r>
            <w:r>
              <w:rPr>
                <w:rFonts w:ascii="Times New Roman" w:hAnsi="Times New Roman"/>
              </w:rPr>
              <w:t xml:space="preserve"> Titel II CRR berechneten risikogewichteten Positionsbeträge in Bezug auf das Kreditrisiko und das Gegenparteiausfallrisiko für Derivate und SFTs, einschließlich der außerbilanziellen, falls diese Geschäfte einer produktübergreifenden Nettingvereinbarung im Sinne von Artikel </w:t>
            </w:r>
            <w:r w:rsidRPr="00532F3A">
              <w:rPr>
                <w:rFonts w:ascii="Times New Roman" w:hAnsi="Times New Roman"/>
              </w:rPr>
              <w:t>272</w:t>
            </w:r>
            <w:r>
              <w:rPr>
                <w:rFonts w:ascii="Times New Roman" w:hAnsi="Times New Roman"/>
              </w:rPr>
              <w:t xml:space="preserve"> Nummer </w:t>
            </w:r>
            <w:r w:rsidRPr="00532F3A">
              <w:rPr>
                <w:rFonts w:ascii="Times New Roman" w:hAnsi="Times New Roman"/>
              </w:rPr>
              <w:t>25</w:t>
            </w:r>
            <w:r>
              <w:rPr>
                <w:rFonts w:ascii="Times New Roman" w:hAnsi="Times New Roman"/>
              </w:rPr>
              <w:t xml:space="preserve"> CRR unterliegen.</w:t>
            </w:r>
          </w:p>
          <w:p w:rsidR="00F4754B" w:rsidRPr="00FE002E" w:rsidRDefault="00F4754B"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Pr>
                <w:rFonts w:ascii="Times New Roman" w:hAnsi="Times New Roman"/>
              </w:rPr>
              <w:t>{</w:t>
            </w:r>
            <w:r w:rsidRPr="00532F3A">
              <w:rPr>
                <w:rFonts w:ascii="Times New Roman" w:hAnsi="Times New Roman"/>
              </w:rPr>
              <w:t>050</w:t>
            </w:r>
            <w:r>
              <w:rPr>
                <w:rFonts w:ascii="Times New Roman" w:hAnsi="Times New Roman"/>
              </w:rPr>
              <w:t>;</w:t>
            </w:r>
            <w:r w:rsidRPr="00532F3A">
              <w:rPr>
                <w:rFonts w:ascii="Times New Roman" w:hAnsi="Times New Roman"/>
              </w:rPr>
              <w:t>010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Derivate, die keiner produktübergreifenden Nettingvereinbarung unterliegen — Risikopositionswert für die Verschuldungsquote</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Der Risikopositionswert für die Verschuldungsquote bei Derivaten, falls diese Geschäfte </w:t>
            </w:r>
            <w:r>
              <w:rPr>
                <w:rFonts w:ascii="Times New Roman" w:hAnsi="Times New Roman"/>
                <w:b/>
                <w:u w:val="single"/>
              </w:rPr>
              <w:t>keiner</w:t>
            </w:r>
            <w:r>
              <w:rPr>
                <w:rFonts w:ascii="Times New Roman" w:hAnsi="Times New Roman"/>
              </w:rPr>
              <w:t xml:space="preserve"> produktübergreifenden Nettingvereinbarung im Sinne von Artikel </w:t>
            </w:r>
            <w:r w:rsidRPr="00532F3A">
              <w:rPr>
                <w:rFonts w:ascii="Times New Roman" w:hAnsi="Times New Roman"/>
              </w:rPr>
              <w:t>272</w:t>
            </w:r>
            <w:r>
              <w:rPr>
                <w:rFonts w:ascii="Times New Roman" w:hAnsi="Times New Roman"/>
              </w:rPr>
              <w:t xml:space="preserve"> Nummer </w:t>
            </w:r>
            <w:r w:rsidRPr="00532F3A">
              <w:rPr>
                <w:rFonts w:ascii="Times New Roman" w:hAnsi="Times New Roman"/>
              </w:rPr>
              <w:t>25</w:t>
            </w:r>
            <w:r>
              <w:rPr>
                <w:rFonts w:ascii="Times New Roman" w:hAnsi="Times New Roman"/>
              </w:rPr>
              <w:t xml:space="preserve"> CRR unterliegen.</w:t>
            </w:r>
          </w:p>
          <w:p w:rsidR="002509B1" w:rsidRPr="00FE002E" w:rsidRDefault="002509B1" w:rsidP="007E2A41">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Pr>
                <w:rFonts w:ascii="Times New Roman" w:hAnsi="Times New Roman"/>
              </w:rPr>
              <w:t>{</w:t>
            </w:r>
            <w:r w:rsidRPr="00532F3A">
              <w:rPr>
                <w:rFonts w:ascii="Times New Roman" w:hAnsi="Times New Roman"/>
              </w:rPr>
              <w:t>050</w:t>
            </w:r>
            <w:r>
              <w:rPr>
                <w:rFonts w:ascii="Times New Roman" w:hAnsi="Times New Roman"/>
              </w:rPr>
              <w:t>;</w:t>
            </w:r>
            <w:r w:rsidRPr="00532F3A">
              <w:rPr>
                <w:rFonts w:ascii="Times New Roman" w:hAnsi="Times New Roman"/>
              </w:rPr>
              <w:t>020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Derivate, die keiner produktübergreifenden Nettingvereinbarung unterliegen — Risikogewichteter Positionsbetrag (RWA, risk-weighted exposure amount)</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Die nach Teil </w:t>
            </w:r>
            <w:r w:rsidRPr="00532F3A">
              <w:rPr>
                <w:rFonts w:ascii="Times New Roman" w:hAnsi="Times New Roman"/>
              </w:rPr>
              <w:t>3</w:t>
            </w:r>
            <w:r>
              <w:rPr>
                <w:rFonts w:ascii="Times New Roman" w:hAnsi="Times New Roman"/>
              </w:rPr>
              <w:t xml:space="preserve"> Titel II CRR berechneten risikogewichteten Positionsbeträge in Bezug auf das Kreditrisiko und das Gegenparteiausfallrisiko für Derivate, einschließlich der außerbilanziellen, falls diese Geschäfte keiner produktübergreifenden Nettingvereinbarung im Sinne von Artikel </w:t>
            </w:r>
            <w:r w:rsidRPr="00532F3A">
              <w:rPr>
                <w:rFonts w:ascii="Times New Roman" w:hAnsi="Times New Roman"/>
              </w:rPr>
              <w:t>272</w:t>
            </w:r>
            <w:r>
              <w:rPr>
                <w:rFonts w:ascii="Times New Roman" w:hAnsi="Times New Roman"/>
              </w:rPr>
              <w:t xml:space="preserve"> Nummer </w:t>
            </w:r>
            <w:r w:rsidRPr="00532F3A">
              <w:rPr>
                <w:rFonts w:ascii="Times New Roman" w:hAnsi="Times New Roman"/>
              </w:rPr>
              <w:t>25</w:t>
            </w:r>
            <w:r>
              <w:rPr>
                <w:rFonts w:ascii="Times New Roman" w:hAnsi="Times New Roman"/>
              </w:rPr>
              <w:t xml:space="preserve"> CRR unterliegen. </w:t>
            </w:r>
          </w:p>
          <w:p w:rsidR="002509B1" w:rsidRPr="00FE002E" w:rsidRDefault="002509B1" w:rsidP="007E2A41">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Pr>
                <w:rFonts w:ascii="Times New Roman" w:hAnsi="Times New Roman"/>
              </w:rPr>
              <w:t>{</w:t>
            </w:r>
            <w:r w:rsidRPr="00532F3A">
              <w:rPr>
                <w:rFonts w:ascii="Times New Roman" w:hAnsi="Times New Roman"/>
              </w:rPr>
              <w:t>060</w:t>
            </w:r>
            <w:r>
              <w:rPr>
                <w:rFonts w:ascii="Times New Roman" w:hAnsi="Times New Roman"/>
              </w:rPr>
              <w:t>;</w:t>
            </w:r>
            <w:r w:rsidRPr="00532F3A">
              <w:rPr>
                <w:rFonts w:ascii="Times New Roman" w:hAnsi="Times New Roman"/>
              </w:rPr>
              <w:t>010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SFTs, die keiner produktübergreifenden Nettingvereinbarung unterliegen — Risikopositionswert für die Verschuldungsquote</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Der Risikopositionswert für die Verschuldungsquote in Bezug auf SFTs, falls diese Geschäfte </w:t>
            </w:r>
            <w:r>
              <w:rPr>
                <w:rFonts w:ascii="Times New Roman" w:hAnsi="Times New Roman"/>
                <w:b/>
                <w:u w:val="single"/>
              </w:rPr>
              <w:t>keiner</w:t>
            </w:r>
            <w:r>
              <w:rPr>
                <w:rFonts w:ascii="Times New Roman" w:hAnsi="Times New Roman"/>
              </w:rPr>
              <w:t xml:space="preserve"> produktübergreifenden Nettingvereinbarung im Sinne von Artikel </w:t>
            </w:r>
            <w:r w:rsidRPr="00532F3A">
              <w:rPr>
                <w:rFonts w:ascii="Times New Roman" w:hAnsi="Times New Roman"/>
              </w:rPr>
              <w:t>272</w:t>
            </w:r>
            <w:r>
              <w:rPr>
                <w:rFonts w:ascii="Times New Roman" w:hAnsi="Times New Roman"/>
              </w:rPr>
              <w:t xml:space="preserve"> Nummer </w:t>
            </w:r>
            <w:r w:rsidRPr="00532F3A">
              <w:rPr>
                <w:rFonts w:ascii="Times New Roman" w:hAnsi="Times New Roman"/>
              </w:rPr>
              <w:t>25</w:t>
            </w:r>
            <w:r>
              <w:rPr>
                <w:rFonts w:ascii="Times New Roman" w:hAnsi="Times New Roman"/>
              </w:rPr>
              <w:t xml:space="preserve"> CRR unterliegen.</w:t>
            </w:r>
          </w:p>
          <w:p w:rsidR="002509B1" w:rsidRPr="00FE002E" w:rsidRDefault="002509B1" w:rsidP="007E2A41">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Pr>
                <w:rFonts w:ascii="Times New Roman" w:hAnsi="Times New Roman"/>
              </w:rPr>
              <w:t>{</w:t>
            </w:r>
            <w:r w:rsidRPr="00532F3A">
              <w:rPr>
                <w:rFonts w:ascii="Times New Roman" w:hAnsi="Times New Roman"/>
              </w:rPr>
              <w:t>060</w:t>
            </w:r>
            <w:r>
              <w:rPr>
                <w:rFonts w:ascii="Times New Roman" w:hAnsi="Times New Roman"/>
              </w:rPr>
              <w:t>;</w:t>
            </w:r>
            <w:r w:rsidRPr="00532F3A">
              <w:rPr>
                <w:rFonts w:ascii="Times New Roman" w:hAnsi="Times New Roman"/>
              </w:rPr>
              <w:t>020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SFTs, die keiner produktübergreifenden Nettingvereinbarung unterliegen — Risikogewichteter Positionsbetrag (RWA, risk-weighted exposure amount)</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lastRenderedPageBreak/>
              <w:t xml:space="preserve">Die nach Teil </w:t>
            </w:r>
            <w:r w:rsidRPr="00532F3A">
              <w:rPr>
                <w:rFonts w:ascii="Times New Roman" w:hAnsi="Times New Roman"/>
              </w:rPr>
              <w:t>3</w:t>
            </w:r>
            <w:r>
              <w:rPr>
                <w:rFonts w:ascii="Times New Roman" w:hAnsi="Times New Roman"/>
              </w:rPr>
              <w:t xml:space="preserve"> Titel II CRR berechneten risikogewichteten Positionsbeträge in Bezug auf das Kreditrisiko und das Gegenparteiausfallrisiko für SFTs, einschließlich der außerbilanziellen, falls diese Geschäfte </w:t>
            </w:r>
            <w:r>
              <w:rPr>
                <w:rFonts w:ascii="Times New Roman" w:hAnsi="Times New Roman"/>
                <w:b/>
                <w:u w:val="single"/>
              </w:rPr>
              <w:t>keiner</w:t>
            </w:r>
            <w:r>
              <w:rPr>
                <w:rFonts w:ascii="Times New Roman" w:hAnsi="Times New Roman"/>
              </w:rPr>
              <w:t xml:space="preserve"> produktübergreifenden Nettingvereinbarung im Sinne von Artikel </w:t>
            </w:r>
            <w:r w:rsidRPr="00532F3A">
              <w:rPr>
                <w:rFonts w:ascii="Times New Roman" w:hAnsi="Times New Roman"/>
              </w:rPr>
              <w:t>272</w:t>
            </w:r>
            <w:r>
              <w:rPr>
                <w:rFonts w:ascii="Times New Roman" w:hAnsi="Times New Roman"/>
              </w:rPr>
              <w:t xml:space="preserve"> Ziffer </w:t>
            </w:r>
            <w:r w:rsidRPr="00532F3A">
              <w:rPr>
                <w:rFonts w:ascii="Times New Roman" w:hAnsi="Times New Roman"/>
              </w:rPr>
              <w:t>25</w:t>
            </w:r>
            <w:r>
              <w:rPr>
                <w:rFonts w:ascii="Times New Roman" w:hAnsi="Times New Roman"/>
              </w:rPr>
              <w:t xml:space="preserve"> CRR unterliegen. </w:t>
            </w:r>
          </w:p>
          <w:p w:rsidR="002509B1" w:rsidRPr="00FE002E" w:rsidRDefault="002509B1" w:rsidP="007E2A41">
            <w:pPr>
              <w:pStyle w:val="BodyText1"/>
              <w:spacing w:line="240" w:lineRule="auto"/>
              <w:rPr>
                <w:rFonts w:ascii="Times New Roman" w:hAnsi="Times New Roman"/>
                <w:b/>
                <w:bCs/>
              </w:rPr>
            </w:pPr>
          </w:p>
        </w:tc>
      </w:tr>
      <w:tr w:rsidR="00465521" w:rsidRPr="00FE002E" w:rsidTr="0053335C">
        <w:trPr>
          <w:trHeight w:val="71"/>
        </w:trPr>
        <w:tc>
          <w:tcPr>
            <w:tcW w:w="1111" w:type="dxa"/>
            <w:shd w:val="clear" w:color="auto" w:fill="FFFFFF"/>
          </w:tcPr>
          <w:p w:rsidR="00465521" w:rsidRPr="00FE002E" w:rsidRDefault="00465521" w:rsidP="00F70A83">
            <w:pPr>
              <w:pStyle w:val="BodyText1"/>
              <w:rPr>
                <w:rFonts w:ascii="Times New Roman" w:hAnsi="Times New Roman"/>
                <w:bCs/>
              </w:rPr>
            </w:pPr>
            <w:r>
              <w:rPr>
                <w:rFonts w:ascii="Times New Roman" w:hAnsi="Times New Roman"/>
              </w:rPr>
              <w:lastRenderedPageBreak/>
              <w:t>{</w:t>
            </w:r>
            <w:r w:rsidRPr="00532F3A">
              <w:rPr>
                <w:rFonts w:ascii="Times New Roman" w:hAnsi="Times New Roman"/>
              </w:rPr>
              <w:t>065</w:t>
            </w:r>
            <w:r>
              <w:rPr>
                <w:rFonts w:ascii="Times New Roman" w:hAnsi="Times New Roman"/>
              </w:rPr>
              <w:t>;</w:t>
            </w:r>
            <w:r w:rsidRPr="00532F3A">
              <w:rPr>
                <w:rFonts w:ascii="Times New Roman" w:hAnsi="Times New Roman"/>
              </w:rPr>
              <w:t>010</w:t>
            </w:r>
            <w:r>
              <w:rPr>
                <w:rFonts w:ascii="Times New Roman" w:hAnsi="Times New Roman"/>
              </w:rPr>
              <w:t>}</w:t>
            </w:r>
          </w:p>
        </w:tc>
        <w:tc>
          <w:tcPr>
            <w:tcW w:w="8133" w:type="dxa"/>
            <w:shd w:val="clear" w:color="auto" w:fill="FFFFFF"/>
          </w:tcPr>
          <w:p w:rsidR="00465521" w:rsidRDefault="004968DF" w:rsidP="007E2A41">
            <w:pPr>
              <w:pStyle w:val="BodyText1"/>
              <w:spacing w:line="240" w:lineRule="auto"/>
              <w:rPr>
                <w:rFonts w:ascii="Times New Roman" w:hAnsi="Times New Roman"/>
                <w:b/>
                <w:bCs/>
              </w:rPr>
            </w:pPr>
            <w:r>
              <w:rPr>
                <w:rFonts w:ascii="Times New Roman" w:hAnsi="Times New Roman"/>
                <w:b/>
              </w:rPr>
              <w:t>Positionsbeträge aus der zusätzlichen Behandlung für Kreditderivate — Risikopositionswert für die Verschuldungsquote</w:t>
            </w:r>
          </w:p>
          <w:p w:rsidR="004968DF" w:rsidRDefault="004968DF" w:rsidP="007E2A41">
            <w:pPr>
              <w:pStyle w:val="BodyText1"/>
              <w:spacing w:line="240" w:lineRule="auto"/>
              <w:rPr>
                <w:rFonts w:ascii="Times New Roman" w:hAnsi="Times New Roman"/>
                <w:b/>
                <w:bCs/>
              </w:rPr>
            </w:pPr>
          </w:p>
          <w:p w:rsidR="004968DF" w:rsidRDefault="000D3973" w:rsidP="00DB61A5">
            <w:pPr>
              <w:pStyle w:val="BodyText1"/>
              <w:spacing w:line="240" w:lineRule="auto"/>
              <w:rPr>
                <w:rFonts w:ascii="Times New Roman" w:hAnsi="Times New Roman"/>
                <w:b/>
                <w:bCs/>
              </w:rPr>
            </w:pPr>
            <w:r>
              <w:rPr>
                <w:rFonts w:ascii="Times New Roman" w:hAnsi="Times New Roman"/>
              </w:rPr>
              <w:t>Entspricht der Differenz zwischen {LRCalc;</w:t>
            </w:r>
            <w:r w:rsidRPr="00532F3A">
              <w:rPr>
                <w:rFonts w:ascii="Times New Roman" w:hAnsi="Times New Roman"/>
              </w:rPr>
              <w:t>130</w:t>
            </w:r>
            <w:r>
              <w:rPr>
                <w:rFonts w:ascii="Times New Roman" w:hAnsi="Times New Roman"/>
              </w:rPr>
              <w:t>;</w:t>
            </w:r>
            <w:r w:rsidRPr="00532F3A">
              <w:rPr>
                <w:rFonts w:ascii="Times New Roman" w:hAnsi="Times New Roman"/>
              </w:rPr>
              <w:t>010</w:t>
            </w:r>
            <w:r>
              <w:rPr>
                <w:rFonts w:ascii="Times New Roman" w:hAnsi="Times New Roman"/>
              </w:rPr>
              <w:t>} und {LRCalc;</w:t>
            </w:r>
            <w:r w:rsidRPr="00532F3A">
              <w:rPr>
                <w:rFonts w:ascii="Times New Roman" w:hAnsi="Times New Roman"/>
              </w:rPr>
              <w:t>140</w:t>
            </w:r>
            <w:r>
              <w:rPr>
                <w:rFonts w:ascii="Times New Roman" w:hAnsi="Times New Roman"/>
              </w:rPr>
              <w:t>;</w:t>
            </w:r>
            <w:r w:rsidRPr="00532F3A">
              <w:rPr>
                <w:rFonts w:ascii="Times New Roman" w:hAnsi="Times New Roman"/>
              </w:rPr>
              <w:t>010</w:t>
            </w:r>
            <w:r>
              <w:rPr>
                <w:rFonts w:ascii="Times New Roman" w:hAnsi="Times New Roman"/>
              </w:rPr>
              <w:t xml:space="preserve">} ohne die gemäß Artikel </w:t>
            </w:r>
            <w:r w:rsidRPr="00532F3A">
              <w:rPr>
                <w:rFonts w:ascii="Times New Roman" w:hAnsi="Times New Roman"/>
              </w:rPr>
              <w:t>429</w:t>
            </w:r>
            <w:r>
              <w:rPr>
                <w:rFonts w:ascii="Times New Roman" w:hAnsi="Times New Roman"/>
              </w:rPr>
              <w:t xml:space="preserve"> Absatz </w:t>
            </w:r>
            <w:r w:rsidRPr="00532F3A">
              <w:rPr>
                <w:rFonts w:ascii="Times New Roman" w:hAnsi="Times New Roman"/>
              </w:rPr>
              <w:t>7</w:t>
            </w:r>
            <w:r>
              <w:rPr>
                <w:rFonts w:ascii="Times New Roman" w:hAnsi="Times New Roman"/>
              </w:rPr>
              <w:t xml:space="preserve"> CRR ausgenommenen jeweiligen gruppeninternen Risikopositionen (Einzelbasis).</w:t>
            </w:r>
            <w:r>
              <w:rPr>
                <w:rFonts w:ascii="Times New Roman" w:hAnsi="Times New Roman"/>
                <w:b/>
              </w:rPr>
              <w:t xml:space="preserve"> </w:t>
            </w:r>
          </w:p>
          <w:p w:rsidR="00EC2C14" w:rsidRPr="00FE002E" w:rsidRDefault="00EC2C14" w:rsidP="00DB61A5">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F70A83">
            <w:pPr>
              <w:pStyle w:val="BodyText1"/>
              <w:rPr>
                <w:rFonts w:ascii="Times New Roman" w:hAnsi="Times New Roman"/>
              </w:rPr>
            </w:pPr>
            <w:r>
              <w:rPr>
                <w:rFonts w:ascii="Times New Roman" w:hAnsi="Times New Roman"/>
              </w:rPr>
              <w:t>{</w:t>
            </w:r>
            <w:r w:rsidRPr="00532F3A">
              <w:rPr>
                <w:rFonts w:ascii="Times New Roman" w:hAnsi="Times New Roman"/>
              </w:rPr>
              <w:t>070</w:t>
            </w:r>
            <w:r>
              <w:rPr>
                <w:rFonts w:ascii="Times New Roman" w:hAnsi="Times New Roman"/>
              </w:rPr>
              <w:t>;</w:t>
            </w:r>
            <w:r w:rsidRPr="00532F3A">
              <w:rPr>
                <w:rFonts w:ascii="Times New Roman" w:hAnsi="Times New Roman"/>
              </w:rPr>
              <w:t>010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Andere dem Handelsbuch zugehörige Vermögenswerte — Risikopositionswert für die Verschuldungsquote</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Der Risikopositionswert für die Verschuldungsquote in Bezug auf die in {LRCalc;</w:t>
            </w:r>
            <w:r w:rsidRPr="00532F3A">
              <w:rPr>
                <w:rFonts w:ascii="Times New Roman" w:hAnsi="Times New Roman"/>
              </w:rPr>
              <w:t>190</w:t>
            </w:r>
            <w:r>
              <w:rPr>
                <w:rFonts w:ascii="Times New Roman" w:hAnsi="Times New Roman"/>
              </w:rPr>
              <w:t>;</w:t>
            </w:r>
            <w:r w:rsidRPr="00532F3A">
              <w:rPr>
                <w:rFonts w:ascii="Times New Roman" w:hAnsi="Times New Roman"/>
              </w:rPr>
              <w:t>010</w:t>
            </w:r>
            <w:r>
              <w:rPr>
                <w:rFonts w:ascii="Times New Roman" w:hAnsi="Times New Roman"/>
              </w:rPr>
              <w:t>} ausgewiesenen Posten, ohne Positionen, die nicht dem Handelsbuch zuzurechnen sind.</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465521">
            <w:pPr>
              <w:pStyle w:val="BodyText1"/>
              <w:rPr>
                <w:rFonts w:ascii="Times New Roman" w:hAnsi="Times New Roman"/>
                <w:bCs/>
              </w:rPr>
            </w:pPr>
            <w:r>
              <w:rPr>
                <w:rFonts w:ascii="Times New Roman" w:hAnsi="Times New Roman"/>
              </w:rPr>
              <w:t>{</w:t>
            </w:r>
            <w:r w:rsidRPr="00532F3A">
              <w:rPr>
                <w:rFonts w:ascii="Times New Roman" w:hAnsi="Times New Roman"/>
              </w:rPr>
              <w:t>070</w:t>
            </w:r>
            <w:r>
              <w:rPr>
                <w:rFonts w:ascii="Times New Roman" w:hAnsi="Times New Roman"/>
              </w:rPr>
              <w:t>;</w:t>
            </w:r>
            <w:r w:rsidRPr="00532F3A">
              <w:rPr>
                <w:rFonts w:ascii="Times New Roman" w:hAnsi="Times New Roman"/>
              </w:rPr>
              <w:t>020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Andere dem Handelsbuch zugehörige Vermögenswerte — Risikogewichteter Positionsbetrag (RWA, risk-weighted exposure amount)</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Eigenmittelanforderungen multipliziert mit </w:t>
            </w:r>
            <w:r w:rsidRPr="00532F3A">
              <w:rPr>
                <w:rFonts w:ascii="Times New Roman" w:hAnsi="Times New Roman"/>
              </w:rPr>
              <w:t>12</w:t>
            </w:r>
            <w:r>
              <w:rPr>
                <w:rFonts w:ascii="Times New Roman" w:hAnsi="Times New Roman"/>
              </w:rPr>
              <w:t>,</w:t>
            </w:r>
            <w:r w:rsidRPr="00532F3A">
              <w:rPr>
                <w:rFonts w:ascii="Times New Roman" w:hAnsi="Times New Roman"/>
              </w:rPr>
              <w:t>5</w:t>
            </w:r>
            <w:r>
              <w:rPr>
                <w:rFonts w:ascii="Times New Roman" w:hAnsi="Times New Roman"/>
              </w:rPr>
              <w:t xml:space="preserve"> in Bezug auf die Positionen, die Teil </w:t>
            </w:r>
            <w:r w:rsidRPr="00532F3A">
              <w:rPr>
                <w:rFonts w:ascii="Times New Roman" w:hAnsi="Times New Roman"/>
              </w:rPr>
              <w:t>3</w:t>
            </w:r>
            <w:r>
              <w:rPr>
                <w:rFonts w:ascii="Times New Roman" w:hAnsi="Times New Roman"/>
              </w:rPr>
              <w:t xml:space="preserve"> Titel IV CRR unterliegen.</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Pr>
                <w:rFonts w:ascii="Times New Roman" w:hAnsi="Times New Roman"/>
              </w:rPr>
              <w:t>{</w:t>
            </w:r>
            <w:r w:rsidRPr="00532F3A">
              <w:rPr>
                <w:rFonts w:ascii="Times New Roman" w:hAnsi="Times New Roman"/>
              </w:rPr>
              <w:t>080</w:t>
            </w:r>
            <w:r>
              <w:rPr>
                <w:rFonts w:ascii="Times New Roman" w:hAnsi="Times New Roman"/>
              </w:rPr>
              <w:t>;</w:t>
            </w:r>
            <w:r w:rsidRPr="00532F3A">
              <w:rPr>
                <w:rFonts w:ascii="Times New Roman" w:hAnsi="Times New Roman"/>
              </w:rPr>
              <w:t>010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Gedeckte Schuldverschreibungen — Risikopositionswert für die Verschuldungsquote — Risikopositionen nach dem Standardansatz</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Der Risikopositionswert für die Verschuldungsquote in Bezug auf Vermögenswerte, bei denen es sich um Risikopositionen in Form gedeckter Schuldverschreibungen im Sinne von Artikel </w:t>
            </w:r>
            <w:r w:rsidRPr="00532F3A">
              <w:rPr>
                <w:rFonts w:ascii="Times New Roman" w:hAnsi="Times New Roman"/>
              </w:rPr>
              <w:t>129</w:t>
            </w:r>
            <w:r>
              <w:rPr>
                <w:rFonts w:ascii="Times New Roman" w:hAnsi="Times New Roman"/>
              </w:rPr>
              <w:t xml:space="preserve"> CRR handelt. </w:t>
            </w:r>
          </w:p>
          <w:p w:rsidR="002509B1" w:rsidRDefault="002509B1" w:rsidP="007E2A41">
            <w:pPr>
              <w:pStyle w:val="BodyText1"/>
              <w:spacing w:line="240" w:lineRule="auto"/>
              <w:rPr>
                <w:rFonts w:ascii="Times New Roman" w:hAnsi="Times New Roman"/>
                <w:bCs/>
              </w:rPr>
            </w:pPr>
          </w:p>
          <w:p w:rsidR="00086A8A" w:rsidRDefault="00086A8A" w:rsidP="007E2A41">
            <w:pPr>
              <w:pStyle w:val="BodyText1"/>
              <w:spacing w:line="240" w:lineRule="auto"/>
              <w:rPr>
                <w:rFonts w:ascii="Times New Roman" w:hAnsi="Times New Roman"/>
                <w:bCs/>
              </w:rPr>
            </w:pPr>
            <w:r>
              <w:rPr>
                <w:rFonts w:ascii="Times New Roman" w:hAnsi="Times New Roman"/>
              </w:rPr>
              <w:t>Die Institute melden die Beträge abzüglich der ausgefallenen Risikopositionen.</w:t>
            </w:r>
          </w:p>
          <w:p w:rsidR="00086A8A" w:rsidRPr="00FE002E" w:rsidRDefault="00086A8A"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w:t>
            </w:r>
            <w:r w:rsidRPr="00532F3A">
              <w:rPr>
                <w:rFonts w:ascii="Times New Roman" w:hAnsi="Times New Roman"/>
              </w:rPr>
              <w:t>080</w:t>
            </w:r>
            <w:r>
              <w:rPr>
                <w:rFonts w:ascii="Times New Roman" w:hAnsi="Times New Roman"/>
              </w:rPr>
              <w:t>;</w:t>
            </w:r>
            <w:r w:rsidRPr="00532F3A">
              <w:rPr>
                <w:rFonts w:ascii="Times New Roman" w:hAnsi="Times New Roman"/>
              </w:rPr>
              <w:t>020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Gedeckte Schuldverschreibungen — Risikopositionswert für die Verschuldungsquote — Risikopositionen nach dem IRB-Ansatz</w:t>
            </w:r>
          </w:p>
          <w:p w:rsidR="002509B1" w:rsidRPr="00FE002E" w:rsidRDefault="002509B1" w:rsidP="007E2A41">
            <w:pPr>
              <w:pStyle w:val="BodyText1"/>
              <w:spacing w:line="240" w:lineRule="auto"/>
              <w:rPr>
                <w:rFonts w:ascii="Times New Roman" w:hAnsi="Times New Roman"/>
                <w:b/>
                <w:bCs/>
              </w:rPr>
            </w:pPr>
          </w:p>
          <w:p w:rsidR="009C4E79" w:rsidRDefault="00F4754B" w:rsidP="007E2A41">
            <w:pPr>
              <w:pStyle w:val="BodyText1"/>
              <w:spacing w:line="240" w:lineRule="auto"/>
              <w:rPr>
                <w:rFonts w:ascii="Times New Roman" w:hAnsi="Times New Roman"/>
                <w:bCs/>
              </w:rPr>
            </w:pPr>
            <w:r>
              <w:rPr>
                <w:rFonts w:ascii="Times New Roman" w:hAnsi="Times New Roman"/>
              </w:rPr>
              <w:t xml:space="preserve">Der Risikopositionswert für die Verschuldungsquote in Bezug auf Vermögenswerte, bei denen es sich um Risikopositionen in Form gedeckter Schuldverschreibungen im Sinne von Artikel </w:t>
            </w:r>
            <w:r w:rsidRPr="00532F3A">
              <w:rPr>
                <w:rFonts w:ascii="Times New Roman" w:hAnsi="Times New Roman"/>
              </w:rPr>
              <w:t>161</w:t>
            </w:r>
            <w:r>
              <w:rPr>
                <w:rFonts w:ascii="Times New Roman" w:hAnsi="Times New Roman"/>
              </w:rPr>
              <w:t xml:space="preserve"> Absatz </w:t>
            </w:r>
            <w:r w:rsidRPr="00532F3A">
              <w:rPr>
                <w:rFonts w:ascii="Times New Roman" w:hAnsi="Times New Roman"/>
              </w:rPr>
              <w:t>1</w:t>
            </w:r>
            <w:r>
              <w:rPr>
                <w:rFonts w:ascii="Times New Roman" w:hAnsi="Times New Roman"/>
              </w:rPr>
              <w:t xml:space="preserve"> Buchstabe d CRR handelt. </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Die Institute melden die Beträge abzüglich der ausgefallenen Risikopositionen.</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w:t>
            </w:r>
            <w:r w:rsidRPr="00532F3A">
              <w:rPr>
                <w:rFonts w:ascii="Times New Roman" w:hAnsi="Times New Roman"/>
              </w:rPr>
              <w:t>080</w:t>
            </w:r>
            <w:r>
              <w:rPr>
                <w:rFonts w:ascii="Times New Roman" w:hAnsi="Times New Roman"/>
              </w:rPr>
              <w:t>;</w:t>
            </w:r>
            <w:r w:rsidRPr="00532F3A">
              <w:rPr>
                <w:rFonts w:ascii="Times New Roman" w:hAnsi="Times New Roman"/>
              </w:rPr>
              <w:t>030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Gedeckte Schuldverschreibungen — Risikogewichteter Positionsbetrag (RWA, risk-weighted exposure amount) — Risikopositionen nach dem Standardansatz</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Der risikogewichtete Positionsbetrag von Vermögenswerten, bei denen es sich um Risikopositionen in Form gedeckter Schuldverschreibungen nach Artikel </w:t>
            </w:r>
            <w:r w:rsidRPr="00532F3A">
              <w:rPr>
                <w:rFonts w:ascii="Times New Roman" w:hAnsi="Times New Roman"/>
              </w:rPr>
              <w:t>129</w:t>
            </w:r>
            <w:r>
              <w:rPr>
                <w:rFonts w:ascii="Times New Roman" w:hAnsi="Times New Roman"/>
              </w:rPr>
              <w:t xml:space="preserve"> CRR handelt. </w:t>
            </w:r>
          </w:p>
          <w:p w:rsidR="00086A8A" w:rsidRPr="00FE002E" w:rsidRDefault="00086A8A" w:rsidP="007E2A41">
            <w:pPr>
              <w:pStyle w:val="BodyText1"/>
              <w:spacing w:line="240" w:lineRule="auto"/>
              <w:rPr>
                <w:rFonts w:ascii="Times New Roman" w:hAnsi="Times New Roman"/>
                <w:bCs/>
              </w:rPr>
            </w:pPr>
          </w:p>
          <w:p w:rsidR="002509B1" w:rsidRDefault="00086A8A" w:rsidP="007E2A41">
            <w:pPr>
              <w:pStyle w:val="BodyText1"/>
              <w:spacing w:line="240" w:lineRule="auto"/>
              <w:rPr>
                <w:rFonts w:ascii="Times New Roman" w:hAnsi="Times New Roman"/>
                <w:b/>
                <w:bCs/>
                <w:u w:val="single"/>
              </w:rPr>
            </w:pPr>
            <w:r>
              <w:rPr>
                <w:rFonts w:ascii="Times New Roman" w:hAnsi="Times New Roman"/>
              </w:rPr>
              <w:t>Die Institute melden die Beträge abzüglich der ausgefallenen Risikopositionen.</w:t>
            </w:r>
          </w:p>
          <w:p w:rsidR="00086A8A" w:rsidRPr="00FE002E" w:rsidRDefault="00086A8A"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w:t>
            </w:r>
            <w:r w:rsidRPr="00532F3A">
              <w:rPr>
                <w:rFonts w:ascii="Times New Roman" w:hAnsi="Times New Roman"/>
              </w:rPr>
              <w:t>080</w:t>
            </w:r>
            <w:r>
              <w:rPr>
                <w:rFonts w:ascii="Times New Roman" w:hAnsi="Times New Roman"/>
              </w:rPr>
              <w:t>;</w:t>
            </w:r>
            <w:r w:rsidRPr="00532F3A">
              <w:rPr>
                <w:rFonts w:ascii="Times New Roman" w:hAnsi="Times New Roman"/>
              </w:rPr>
              <w:t>040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Gedeckte Schuldverschreibungen — Risikogewichteter Positionsbetrag (RWA, risk-weighted exposure amount) — Risikopositionen nach dem IRB-Ansatz</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Der risikogewichtete Positionsbetrag von Vermögenswerten, bei denen es sich um Risikopositionen in Form gedeckter Schuldverschreibungen nach Artikel </w:t>
            </w:r>
            <w:r w:rsidRPr="00532F3A">
              <w:rPr>
                <w:rFonts w:ascii="Times New Roman" w:hAnsi="Times New Roman"/>
              </w:rPr>
              <w:t>161</w:t>
            </w:r>
            <w:r>
              <w:rPr>
                <w:rFonts w:ascii="Times New Roman" w:hAnsi="Times New Roman"/>
              </w:rPr>
              <w:t xml:space="preserve"> Absatz </w:t>
            </w:r>
            <w:r w:rsidRPr="00532F3A">
              <w:rPr>
                <w:rFonts w:ascii="Times New Roman" w:hAnsi="Times New Roman"/>
              </w:rPr>
              <w:t>1</w:t>
            </w:r>
            <w:r>
              <w:rPr>
                <w:rFonts w:ascii="Times New Roman" w:hAnsi="Times New Roman"/>
              </w:rPr>
              <w:t xml:space="preserve"> Buchstabe d der CRR handelt. </w:t>
            </w:r>
          </w:p>
          <w:p w:rsidR="002509B1" w:rsidRDefault="002509B1"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Die Institute melden die Beträge abzüglich der ausgefallenen Risikopositionen.</w:t>
            </w:r>
          </w:p>
          <w:p w:rsidR="009C4E79" w:rsidRPr="00FE002E" w:rsidRDefault="009C4E79"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lastRenderedPageBreak/>
              <w:t>{</w:t>
            </w:r>
            <w:r w:rsidRPr="00532F3A">
              <w:rPr>
                <w:rFonts w:ascii="Times New Roman" w:hAnsi="Times New Roman"/>
              </w:rPr>
              <w:t>090</w:t>
            </w:r>
            <w:r>
              <w:rPr>
                <w:rFonts w:ascii="Times New Roman" w:hAnsi="Times New Roman"/>
              </w:rPr>
              <w:t>,</w:t>
            </w:r>
            <w:r w:rsidRPr="00532F3A">
              <w:rPr>
                <w:rFonts w:ascii="Times New Roman" w:hAnsi="Times New Roman"/>
              </w:rPr>
              <w:t>010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Risikopositionen, die wie Risikopositionen gegenüber Staaten behandelt werden — Risikopositionswert für die Verschuldungsquote — Risikopositionen nach dem Standardansatz</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Summe der Felder {</w:t>
            </w:r>
            <w:r w:rsidRPr="00532F3A">
              <w:rPr>
                <w:rFonts w:ascii="Times New Roman" w:hAnsi="Times New Roman"/>
              </w:rPr>
              <w:t>100</w:t>
            </w:r>
            <w:r>
              <w:rPr>
                <w:rFonts w:ascii="Times New Roman" w:hAnsi="Times New Roman"/>
              </w:rPr>
              <w:t>,</w:t>
            </w:r>
            <w:r w:rsidRPr="00532F3A">
              <w:rPr>
                <w:rFonts w:ascii="Times New Roman" w:hAnsi="Times New Roman"/>
              </w:rPr>
              <w:t>010</w:t>
            </w:r>
            <w:r>
              <w:rPr>
                <w:rFonts w:ascii="Times New Roman" w:hAnsi="Times New Roman"/>
              </w:rPr>
              <w:t>} bis {</w:t>
            </w:r>
            <w:r w:rsidRPr="00532F3A">
              <w:rPr>
                <w:rFonts w:ascii="Times New Roman" w:hAnsi="Times New Roman"/>
              </w:rPr>
              <w:t>130</w:t>
            </w:r>
            <w:r>
              <w:rPr>
                <w:rFonts w:ascii="Times New Roman" w:hAnsi="Times New Roman"/>
              </w:rPr>
              <w:t>,</w:t>
            </w:r>
            <w:r w:rsidRPr="00532F3A">
              <w:rPr>
                <w:rFonts w:ascii="Times New Roman" w:hAnsi="Times New Roman"/>
              </w:rPr>
              <w:t>010</w:t>
            </w:r>
            <w:r>
              <w:rPr>
                <w:rFonts w:ascii="Times New Roman" w:hAnsi="Times New Roman"/>
              </w:rPr>
              <w:t>}.</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Die Institute melden die Beträge abzüglich der ausgefallenen Risikopositionen.</w:t>
            </w:r>
          </w:p>
          <w:p w:rsidR="002509B1" w:rsidRPr="00FE002E" w:rsidRDefault="002509B1" w:rsidP="007E2A41">
            <w:pPr>
              <w:pStyle w:val="BodyText1"/>
              <w:spacing w:line="240" w:lineRule="auto"/>
              <w:rPr>
                <w:rFonts w:ascii="Times New Roman" w:hAnsi="Times New Roman"/>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w:t>
            </w:r>
            <w:r w:rsidRPr="00532F3A">
              <w:rPr>
                <w:rFonts w:ascii="Times New Roman" w:hAnsi="Times New Roman"/>
              </w:rPr>
              <w:t>090</w:t>
            </w:r>
            <w:r>
              <w:rPr>
                <w:rFonts w:ascii="Times New Roman" w:hAnsi="Times New Roman"/>
              </w:rPr>
              <w:t>;</w:t>
            </w:r>
            <w:r w:rsidRPr="00532F3A">
              <w:rPr>
                <w:rFonts w:ascii="Times New Roman" w:hAnsi="Times New Roman"/>
              </w:rPr>
              <w:t>020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Risikopositionen, die wie Risikopositionen gegenüber Staaten behandelt werden — Risikopositionswert für die Verschuldungsquote — Risikopositionen nach dem IRB-Ansatz</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Summe der Felder {</w:t>
            </w:r>
            <w:r w:rsidRPr="00532F3A">
              <w:rPr>
                <w:rFonts w:ascii="Times New Roman" w:hAnsi="Times New Roman"/>
              </w:rPr>
              <w:t>100</w:t>
            </w:r>
            <w:r>
              <w:rPr>
                <w:rFonts w:ascii="Times New Roman" w:hAnsi="Times New Roman"/>
              </w:rPr>
              <w:t>,</w:t>
            </w:r>
            <w:r w:rsidRPr="00532F3A">
              <w:rPr>
                <w:rFonts w:ascii="Times New Roman" w:hAnsi="Times New Roman"/>
              </w:rPr>
              <w:t>020</w:t>
            </w:r>
            <w:r>
              <w:rPr>
                <w:rFonts w:ascii="Times New Roman" w:hAnsi="Times New Roman"/>
              </w:rPr>
              <w:t>} bis {</w:t>
            </w:r>
            <w:r w:rsidRPr="00532F3A">
              <w:rPr>
                <w:rFonts w:ascii="Times New Roman" w:hAnsi="Times New Roman"/>
              </w:rPr>
              <w:t>130</w:t>
            </w:r>
            <w:r>
              <w:rPr>
                <w:rFonts w:ascii="Times New Roman" w:hAnsi="Times New Roman"/>
              </w:rPr>
              <w:t>,</w:t>
            </w:r>
            <w:r w:rsidRPr="00532F3A">
              <w:rPr>
                <w:rFonts w:ascii="Times New Roman" w:hAnsi="Times New Roman"/>
              </w:rPr>
              <w:t>020</w:t>
            </w:r>
            <w:r>
              <w:rPr>
                <w:rFonts w:ascii="Times New Roman" w:hAnsi="Times New Roman"/>
              </w:rPr>
              <w:t>}.</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Die Institute melden die Beträge abzüglich der ausgefallenen Risikopositionen.</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w:t>
            </w:r>
            <w:r w:rsidRPr="00532F3A">
              <w:rPr>
                <w:rFonts w:ascii="Times New Roman" w:hAnsi="Times New Roman"/>
              </w:rPr>
              <w:t>090</w:t>
            </w:r>
            <w:r>
              <w:rPr>
                <w:rFonts w:ascii="Times New Roman" w:hAnsi="Times New Roman"/>
              </w:rPr>
              <w:t>;</w:t>
            </w:r>
            <w:r w:rsidRPr="00532F3A">
              <w:rPr>
                <w:rFonts w:ascii="Times New Roman" w:hAnsi="Times New Roman"/>
              </w:rPr>
              <w:t>030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Risikopositionen, die wie Risikopositionen gegenüber Staaten behandelt werden — Risikogewichteter Positionsbetrag (RWA, risk-weighted exposure amount) — Risikopositionen nach dem Standardansatz</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Summe der Felder {</w:t>
            </w:r>
            <w:r w:rsidRPr="00532F3A">
              <w:rPr>
                <w:rFonts w:ascii="Times New Roman" w:hAnsi="Times New Roman"/>
              </w:rPr>
              <w:t>100</w:t>
            </w:r>
            <w:r>
              <w:rPr>
                <w:rFonts w:ascii="Times New Roman" w:hAnsi="Times New Roman"/>
              </w:rPr>
              <w:t>,</w:t>
            </w:r>
            <w:r w:rsidRPr="00532F3A">
              <w:rPr>
                <w:rFonts w:ascii="Times New Roman" w:hAnsi="Times New Roman"/>
              </w:rPr>
              <w:t>030</w:t>
            </w:r>
            <w:r>
              <w:rPr>
                <w:rFonts w:ascii="Times New Roman" w:hAnsi="Times New Roman"/>
              </w:rPr>
              <w:t>} bis {</w:t>
            </w:r>
            <w:r w:rsidRPr="00532F3A">
              <w:rPr>
                <w:rFonts w:ascii="Times New Roman" w:hAnsi="Times New Roman"/>
              </w:rPr>
              <w:t>130</w:t>
            </w:r>
            <w:r>
              <w:rPr>
                <w:rFonts w:ascii="Times New Roman" w:hAnsi="Times New Roman"/>
              </w:rPr>
              <w:t>,</w:t>
            </w:r>
            <w:r w:rsidRPr="00532F3A">
              <w:rPr>
                <w:rFonts w:ascii="Times New Roman" w:hAnsi="Times New Roman"/>
              </w:rPr>
              <w:t>030</w:t>
            </w:r>
            <w:r>
              <w:rPr>
                <w:rFonts w:ascii="Times New Roman" w:hAnsi="Times New Roman"/>
              </w:rPr>
              <w:t>}.</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Die Institute melden die Beträge abzüglich der ausgefallenen Risikopositionen.</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w:t>
            </w:r>
            <w:r w:rsidRPr="00532F3A">
              <w:rPr>
                <w:rFonts w:ascii="Times New Roman" w:hAnsi="Times New Roman"/>
              </w:rPr>
              <w:t>090</w:t>
            </w:r>
            <w:r>
              <w:rPr>
                <w:rFonts w:ascii="Times New Roman" w:hAnsi="Times New Roman"/>
              </w:rPr>
              <w:t>;</w:t>
            </w:r>
            <w:r w:rsidRPr="00532F3A">
              <w:rPr>
                <w:rFonts w:ascii="Times New Roman" w:hAnsi="Times New Roman"/>
              </w:rPr>
              <w:t>040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Risikopositionen, die wie Risikopositionen gegenüber Staaten behandelt werden — Risikogewichteter Positionsbetrag (RWA, risk-weighted exposure amount) — Risikopositionen nach dem IRB-Ansatz</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Summe der Felder {</w:t>
            </w:r>
            <w:r w:rsidRPr="00532F3A">
              <w:rPr>
                <w:rFonts w:ascii="Times New Roman" w:hAnsi="Times New Roman"/>
              </w:rPr>
              <w:t>100</w:t>
            </w:r>
            <w:r>
              <w:rPr>
                <w:rFonts w:ascii="Times New Roman" w:hAnsi="Times New Roman"/>
              </w:rPr>
              <w:t>,</w:t>
            </w:r>
            <w:r w:rsidRPr="00532F3A">
              <w:rPr>
                <w:rFonts w:ascii="Times New Roman" w:hAnsi="Times New Roman"/>
              </w:rPr>
              <w:t>040</w:t>
            </w:r>
            <w:r>
              <w:rPr>
                <w:rFonts w:ascii="Times New Roman" w:hAnsi="Times New Roman"/>
              </w:rPr>
              <w:t>} bis {</w:t>
            </w:r>
            <w:r w:rsidRPr="00532F3A">
              <w:rPr>
                <w:rFonts w:ascii="Times New Roman" w:hAnsi="Times New Roman"/>
              </w:rPr>
              <w:t>130</w:t>
            </w:r>
            <w:r>
              <w:rPr>
                <w:rFonts w:ascii="Times New Roman" w:hAnsi="Times New Roman"/>
              </w:rPr>
              <w:t>,</w:t>
            </w:r>
            <w:r w:rsidRPr="00532F3A">
              <w:rPr>
                <w:rFonts w:ascii="Times New Roman" w:hAnsi="Times New Roman"/>
              </w:rPr>
              <w:t>040</w:t>
            </w:r>
            <w:r>
              <w:rPr>
                <w:rFonts w:ascii="Times New Roman" w:hAnsi="Times New Roman"/>
              </w:rPr>
              <w:t>}.</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Die Institute melden die Beträge abzüglich der ausgefallenen Risikopositionen.</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532F3A">
              <w:rPr>
                <w:rFonts w:ascii="Times New Roman" w:hAnsi="Times New Roman"/>
              </w:rPr>
              <w:t>100</w:t>
            </w:r>
            <w:r>
              <w:rPr>
                <w:rFonts w:ascii="Times New Roman" w:hAnsi="Times New Roman"/>
              </w:rPr>
              <w:t>;</w:t>
            </w:r>
            <w:r w:rsidRPr="00532F3A">
              <w:rPr>
                <w:rFonts w:ascii="Times New Roman" w:hAnsi="Times New Roman"/>
              </w:rPr>
              <w:t>010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rPr>
            </w:pPr>
            <w:r>
              <w:rPr>
                <w:rFonts w:ascii="Times New Roman" w:hAnsi="Times New Roman"/>
                <w:b/>
              </w:rPr>
              <w:t>Staaten und Zentralbanken</w:t>
            </w:r>
            <w:r>
              <w:rPr>
                <w:rFonts w:ascii="Times New Roman" w:hAnsi="Times New Roman"/>
              </w:rPr>
              <w:t xml:space="preserve"> </w:t>
            </w:r>
            <w:r>
              <w:rPr>
                <w:rFonts w:ascii="Times New Roman" w:hAnsi="Times New Roman"/>
                <w:b/>
              </w:rPr>
              <w:t>— Risikopositionswert für die Verschuldungsquote — Risikopositionen nach dem Standardansatz</w:t>
            </w:r>
          </w:p>
          <w:p w:rsidR="002509B1" w:rsidRPr="00FE002E" w:rsidRDefault="002509B1" w:rsidP="007E2A41">
            <w:pPr>
              <w:pStyle w:val="BodyText1"/>
              <w:spacing w:line="240" w:lineRule="auto"/>
              <w:rPr>
                <w:rFonts w:ascii="Times New Roman" w:hAnsi="Times New Roman"/>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Der Risikopositionswert für die Verschuldungsquote in Bezug auf Vermögenswerte, bei denen es sich um Risikopositionen gegenüber Staaten oder Zentralbanken im Sinne von Artikel </w:t>
            </w:r>
            <w:r w:rsidRPr="00532F3A">
              <w:rPr>
                <w:rFonts w:ascii="Times New Roman" w:hAnsi="Times New Roman"/>
              </w:rPr>
              <w:t>114</w:t>
            </w:r>
            <w:r>
              <w:rPr>
                <w:rFonts w:ascii="Times New Roman" w:hAnsi="Times New Roman"/>
              </w:rPr>
              <w:t xml:space="preserve"> CRR handelt.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Die Institute melden die Beträge abzüglich der ausgefallenen Risikopositionen.</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w:t>
            </w:r>
            <w:r w:rsidRPr="00532F3A">
              <w:rPr>
                <w:rFonts w:ascii="Times New Roman" w:hAnsi="Times New Roman"/>
              </w:rPr>
              <w:t>100</w:t>
            </w:r>
            <w:r>
              <w:rPr>
                <w:rFonts w:ascii="Times New Roman" w:hAnsi="Times New Roman"/>
              </w:rPr>
              <w:t>;</w:t>
            </w:r>
            <w:r w:rsidRPr="00532F3A">
              <w:rPr>
                <w:rFonts w:ascii="Times New Roman" w:hAnsi="Times New Roman"/>
              </w:rPr>
              <w:t>020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rPr>
            </w:pPr>
            <w:r>
              <w:rPr>
                <w:rFonts w:ascii="Times New Roman" w:hAnsi="Times New Roman"/>
                <w:b/>
              </w:rPr>
              <w:t>Staaten und Zentralbanken</w:t>
            </w:r>
            <w:r>
              <w:rPr>
                <w:rFonts w:ascii="Times New Roman" w:hAnsi="Times New Roman"/>
              </w:rPr>
              <w:t xml:space="preserve"> </w:t>
            </w:r>
            <w:r>
              <w:rPr>
                <w:rFonts w:ascii="Times New Roman" w:hAnsi="Times New Roman"/>
                <w:b/>
              </w:rPr>
              <w:t>— Risikopositionswert für die Verschuldungsquote — Risikopositionen nach dem IRB-Ansatz</w:t>
            </w:r>
          </w:p>
          <w:p w:rsidR="002509B1" w:rsidRPr="00FE002E" w:rsidRDefault="002509B1" w:rsidP="007E2A41">
            <w:pPr>
              <w:pStyle w:val="BodyText1"/>
              <w:spacing w:line="240" w:lineRule="auto"/>
              <w:rPr>
                <w:rFonts w:ascii="Times New Roman" w:hAnsi="Times New Roman"/>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Der Risikopositionswert für die Verschuldungsquote in Bezug auf Vermögenswerte, bei denen es sich um Risikopositionen gegenüber Staaten oder Zentralbanken im Sinne von Artikel </w:t>
            </w:r>
            <w:r w:rsidRPr="00532F3A">
              <w:rPr>
                <w:rFonts w:ascii="Times New Roman" w:hAnsi="Times New Roman"/>
              </w:rPr>
              <w:t>147</w:t>
            </w:r>
            <w:r>
              <w:rPr>
                <w:rFonts w:ascii="Times New Roman" w:hAnsi="Times New Roman"/>
              </w:rPr>
              <w:t xml:space="preserve"> Absatz </w:t>
            </w:r>
            <w:r w:rsidRPr="00532F3A">
              <w:rPr>
                <w:rFonts w:ascii="Times New Roman" w:hAnsi="Times New Roman"/>
              </w:rPr>
              <w:t>2</w:t>
            </w:r>
            <w:r>
              <w:rPr>
                <w:rFonts w:ascii="Times New Roman" w:hAnsi="Times New Roman"/>
              </w:rPr>
              <w:t xml:space="preserve"> Buchstabe a CRR handelt. </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Die Institute melden die Beträge abzüglich der ausgefallenen Risikopositionen.</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w:t>
            </w:r>
            <w:r w:rsidRPr="00532F3A">
              <w:rPr>
                <w:rFonts w:ascii="Times New Roman" w:hAnsi="Times New Roman"/>
              </w:rPr>
              <w:t>100</w:t>
            </w:r>
            <w:r>
              <w:rPr>
                <w:rFonts w:ascii="Times New Roman" w:hAnsi="Times New Roman"/>
              </w:rPr>
              <w:t>;</w:t>
            </w:r>
            <w:r w:rsidRPr="00532F3A">
              <w:rPr>
                <w:rFonts w:ascii="Times New Roman" w:hAnsi="Times New Roman"/>
              </w:rPr>
              <w:t>030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rPr>
            </w:pPr>
            <w:r>
              <w:rPr>
                <w:rFonts w:ascii="Times New Roman" w:hAnsi="Times New Roman"/>
                <w:b/>
              </w:rPr>
              <w:t>Staaten und Zentralbanken — Risikogewichteter Positionsbetrag (RWA, risk-weighted exposure amount) — Risikopositionen nach dem Standardansatz</w:t>
            </w:r>
          </w:p>
          <w:p w:rsidR="002509B1" w:rsidRPr="00FE002E" w:rsidRDefault="002509B1" w:rsidP="007E2A41">
            <w:pPr>
              <w:pStyle w:val="BodyText1"/>
              <w:spacing w:line="240" w:lineRule="auto"/>
              <w:rPr>
                <w:rFonts w:ascii="Times New Roman" w:hAnsi="Times New Roman"/>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Der risikogewichtete Positionsbetrag für Vermögenswerte, bei denen es sich um Risikopositionen gegenüber Staaten oder Zentralbanken im Sinne von Artikel </w:t>
            </w:r>
            <w:r w:rsidRPr="00532F3A">
              <w:rPr>
                <w:rFonts w:ascii="Times New Roman" w:hAnsi="Times New Roman"/>
              </w:rPr>
              <w:t>114</w:t>
            </w:r>
            <w:r>
              <w:rPr>
                <w:rFonts w:ascii="Times New Roman" w:hAnsi="Times New Roman"/>
              </w:rPr>
              <w:t xml:space="preserve"> CRR handelt.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Die Institute melden die Beträge abzüglich der ausgefallenen Risikopositionen.</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w:t>
            </w:r>
            <w:r w:rsidRPr="00532F3A">
              <w:rPr>
                <w:rFonts w:ascii="Times New Roman" w:hAnsi="Times New Roman"/>
              </w:rPr>
              <w:t>100</w:t>
            </w:r>
            <w:r>
              <w:rPr>
                <w:rFonts w:ascii="Times New Roman" w:hAnsi="Times New Roman"/>
              </w:rPr>
              <w:t>;</w:t>
            </w:r>
            <w:r w:rsidRPr="00532F3A">
              <w:rPr>
                <w:rFonts w:ascii="Times New Roman" w:hAnsi="Times New Roman"/>
              </w:rPr>
              <w:t>040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rPr>
            </w:pPr>
            <w:r>
              <w:rPr>
                <w:rFonts w:ascii="Times New Roman" w:hAnsi="Times New Roman"/>
                <w:b/>
              </w:rPr>
              <w:t>Staaten und Zentralbanken — Risikogewichteter Positionsbetrag (RWA, risk-weighted exposure amount) — Risikopositionen nach dem IRB-Ansatz</w:t>
            </w:r>
          </w:p>
          <w:p w:rsidR="002509B1" w:rsidRPr="00FE002E" w:rsidRDefault="002509B1" w:rsidP="007E2A41">
            <w:pPr>
              <w:pStyle w:val="BodyText1"/>
              <w:spacing w:line="240" w:lineRule="auto"/>
              <w:rPr>
                <w:rFonts w:ascii="Times New Roman" w:hAnsi="Times New Roman"/>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Der risikogewichtete Positionsbetrag für Vermögenswerte, bei denen es sich um Risikopositionen gegenüber Zentralstaaten oder Zentralbanken im Sinne von Artikel </w:t>
            </w:r>
            <w:r w:rsidRPr="00532F3A">
              <w:rPr>
                <w:rFonts w:ascii="Times New Roman" w:hAnsi="Times New Roman"/>
              </w:rPr>
              <w:t>147</w:t>
            </w:r>
            <w:r>
              <w:rPr>
                <w:rFonts w:ascii="Times New Roman" w:hAnsi="Times New Roman"/>
              </w:rPr>
              <w:t xml:space="preserve"> Absatz </w:t>
            </w:r>
            <w:r w:rsidRPr="00532F3A">
              <w:rPr>
                <w:rFonts w:ascii="Times New Roman" w:hAnsi="Times New Roman"/>
              </w:rPr>
              <w:t>2</w:t>
            </w:r>
            <w:r>
              <w:rPr>
                <w:rFonts w:ascii="Times New Roman" w:hAnsi="Times New Roman"/>
              </w:rPr>
              <w:t xml:space="preserve"> Buchstabe a CRR handelt. </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Die Institute melden die Beträge abzüglich der ausgefallenen Risikopositionen.</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lastRenderedPageBreak/>
              <w:t>{</w:t>
            </w:r>
            <w:r w:rsidRPr="00532F3A">
              <w:rPr>
                <w:rFonts w:ascii="Times New Roman" w:hAnsi="Times New Roman"/>
              </w:rPr>
              <w:t>110</w:t>
            </w:r>
            <w:r>
              <w:rPr>
                <w:rFonts w:ascii="Times New Roman" w:hAnsi="Times New Roman"/>
              </w:rPr>
              <w:t>;</w:t>
            </w:r>
            <w:r w:rsidRPr="00532F3A">
              <w:rPr>
                <w:rFonts w:ascii="Times New Roman" w:hAnsi="Times New Roman"/>
              </w:rPr>
              <w:t>010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Regionale und lokale Gebietskörperschaften, die wie Staaten behandelt werden — Risikopositionswert für die Verschuldungsquote — Risikopositionen nach dem Standardansatz</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Der Risikopositionswert für die Verschuldungsquote in Bezug auf Vermögenswerte, bei denen es sich um Risikopositionen gegenüber regionalen und lokalen Gebietskörperschaften handelt, die gemäß Artikel </w:t>
            </w:r>
            <w:r w:rsidRPr="00532F3A">
              <w:rPr>
                <w:rFonts w:ascii="Times New Roman" w:hAnsi="Times New Roman"/>
              </w:rPr>
              <w:t>115</w:t>
            </w:r>
            <w:r>
              <w:rPr>
                <w:rFonts w:ascii="Times New Roman" w:hAnsi="Times New Roman"/>
              </w:rPr>
              <w:t xml:space="preserve"> Absätze </w:t>
            </w:r>
            <w:r w:rsidRPr="00532F3A">
              <w:rPr>
                <w:rFonts w:ascii="Times New Roman" w:hAnsi="Times New Roman"/>
              </w:rPr>
              <w:t>2</w:t>
            </w:r>
            <w:r>
              <w:rPr>
                <w:rFonts w:ascii="Times New Roman" w:hAnsi="Times New Roman"/>
              </w:rPr>
              <w:t xml:space="preserve"> und </w:t>
            </w:r>
            <w:r w:rsidRPr="00532F3A">
              <w:rPr>
                <w:rFonts w:ascii="Times New Roman" w:hAnsi="Times New Roman"/>
              </w:rPr>
              <w:t>4</w:t>
            </w:r>
            <w:r>
              <w:rPr>
                <w:rFonts w:ascii="Times New Roman" w:hAnsi="Times New Roman"/>
              </w:rPr>
              <w:t xml:space="preserve"> CRR wie Risikopositionen gegenüber Staaten behandelt werden.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Die Institute melden die Beträge abzüglich der ausgefallenen Risikopositionen.</w:t>
            </w:r>
          </w:p>
          <w:p w:rsidR="002509B1" w:rsidRPr="00FE002E" w:rsidRDefault="002509B1" w:rsidP="007E2A41">
            <w:pPr>
              <w:pStyle w:val="BodyText1"/>
              <w:spacing w:line="240" w:lineRule="auto"/>
              <w:rPr>
                <w:rFonts w:ascii="Times New Roman" w:hAnsi="Times New Roman"/>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w:t>
            </w:r>
            <w:r w:rsidRPr="00532F3A">
              <w:rPr>
                <w:rFonts w:ascii="Times New Roman" w:hAnsi="Times New Roman"/>
              </w:rPr>
              <w:t>110</w:t>
            </w:r>
            <w:r>
              <w:rPr>
                <w:rFonts w:ascii="Times New Roman" w:hAnsi="Times New Roman"/>
              </w:rPr>
              <w:t>;</w:t>
            </w:r>
            <w:r w:rsidRPr="00532F3A">
              <w:rPr>
                <w:rFonts w:ascii="Times New Roman" w:hAnsi="Times New Roman"/>
              </w:rPr>
              <w:t>020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Regionale und lokale Gebietskörperschaften, die wie Staaten behandelt werden — Risikopositionswert für die Verschuldungsquote — Risikopositionen nach dem IRB-Ansatz</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Der Risikopositionswert für die Verschuldungsquote in Bezug auf Vermögenswerte, bei denen es sich um Risikopositionen gegenüber regionalen und lokalen Gebietskörperschaften gemäß Artikel </w:t>
            </w:r>
            <w:r w:rsidRPr="00532F3A">
              <w:rPr>
                <w:rFonts w:ascii="Times New Roman" w:hAnsi="Times New Roman"/>
              </w:rPr>
              <w:t>147</w:t>
            </w:r>
            <w:r>
              <w:rPr>
                <w:rFonts w:ascii="Times New Roman" w:hAnsi="Times New Roman"/>
              </w:rPr>
              <w:t xml:space="preserve"> Absatz </w:t>
            </w:r>
            <w:r w:rsidRPr="00532F3A">
              <w:rPr>
                <w:rFonts w:ascii="Times New Roman" w:hAnsi="Times New Roman"/>
              </w:rPr>
              <w:t>3</w:t>
            </w:r>
            <w:r>
              <w:rPr>
                <w:rFonts w:ascii="Times New Roman" w:hAnsi="Times New Roman"/>
              </w:rPr>
              <w:t xml:space="preserve"> Buchstabe a CRR handelt. </w:t>
            </w:r>
          </w:p>
          <w:p w:rsidR="002509B1" w:rsidRDefault="002509B1" w:rsidP="007E2A41">
            <w:pPr>
              <w:pStyle w:val="BodyText1"/>
              <w:spacing w:line="240" w:lineRule="auto"/>
              <w:rPr>
                <w:rFonts w:ascii="Times New Roman" w:hAnsi="Times New Roman"/>
                <w:b/>
                <w:bCs/>
                <w:u w:val="single"/>
              </w:rPr>
            </w:pPr>
          </w:p>
          <w:p w:rsidR="009C4E79" w:rsidRDefault="009C4E79" w:rsidP="007E2A41">
            <w:pPr>
              <w:pStyle w:val="BodyText1"/>
              <w:spacing w:line="240" w:lineRule="auto"/>
              <w:rPr>
                <w:rFonts w:ascii="Times New Roman" w:hAnsi="Times New Roman"/>
                <w:b/>
                <w:bCs/>
                <w:u w:val="single"/>
              </w:rPr>
            </w:pPr>
            <w:r>
              <w:rPr>
                <w:rFonts w:ascii="Times New Roman" w:hAnsi="Times New Roman"/>
              </w:rPr>
              <w:t>Die Institute melden die Beträge abzüglich der ausgefallenen Risikopositionen.</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w:t>
            </w:r>
            <w:r w:rsidRPr="00532F3A">
              <w:rPr>
                <w:rFonts w:ascii="Times New Roman" w:hAnsi="Times New Roman"/>
              </w:rPr>
              <w:t>110</w:t>
            </w:r>
            <w:r>
              <w:rPr>
                <w:rFonts w:ascii="Times New Roman" w:hAnsi="Times New Roman"/>
              </w:rPr>
              <w:t>;</w:t>
            </w:r>
            <w:r w:rsidRPr="00532F3A">
              <w:rPr>
                <w:rFonts w:ascii="Times New Roman" w:hAnsi="Times New Roman"/>
              </w:rPr>
              <w:t>030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Regionale und lokale Gebietskörperschaften, die wie Staaten behandelt werden — Risikogewichteter Positionsbetrag (RWA, risk-weighted exposure amount) — Risikopositionen nach dem Standardansatz</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Der risikogewichtete Positionsbetrag von Vermögenswerten, bei denen es sich um Risikopositionen gegenüber regionalen und lokalen Gebietskörperschaften handelt, die gemäß Artikel </w:t>
            </w:r>
            <w:r w:rsidRPr="00532F3A">
              <w:rPr>
                <w:rFonts w:ascii="Times New Roman" w:hAnsi="Times New Roman"/>
              </w:rPr>
              <w:t>115</w:t>
            </w:r>
            <w:r>
              <w:rPr>
                <w:rFonts w:ascii="Times New Roman" w:hAnsi="Times New Roman"/>
              </w:rPr>
              <w:t xml:space="preserve"> Absätze </w:t>
            </w:r>
            <w:r w:rsidRPr="00532F3A">
              <w:rPr>
                <w:rFonts w:ascii="Times New Roman" w:hAnsi="Times New Roman"/>
              </w:rPr>
              <w:t>2</w:t>
            </w:r>
            <w:r>
              <w:rPr>
                <w:rFonts w:ascii="Times New Roman" w:hAnsi="Times New Roman"/>
              </w:rPr>
              <w:t xml:space="preserve"> und </w:t>
            </w:r>
            <w:r w:rsidRPr="00532F3A">
              <w:rPr>
                <w:rFonts w:ascii="Times New Roman" w:hAnsi="Times New Roman"/>
              </w:rPr>
              <w:t>4</w:t>
            </w:r>
            <w:r>
              <w:rPr>
                <w:rFonts w:ascii="Times New Roman" w:hAnsi="Times New Roman"/>
              </w:rPr>
              <w:t xml:space="preserve"> CRR wie Risikopositionen gegenüber Staaten behandelt werden.</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Die Institute melden die Beträge abzüglich der ausgefallenen Risikopositionen.</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w:t>
            </w:r>
            <w:r w:rsidRPr="00532F3A">
              <w:rPr>
                <w:rFonts w:ascii="Times New Roman" w:hAnsi="Times New Roman"/>
              </w:rPr>
              <w:t>110</w:t>
            </w:r>
            <w:r>
              <w:rPr>
                <w:rFonts w:ascii="Times New Roman" w:hAnsi="Times New Roman"/>
              </w:rPr>
              <w:t>;</w:t>
            </w:r>
            <w:r w:rsidRPr="00532F3A">
              <w:rPr>
                <w:rFonts w:ascii="Times New Roman" w:hAnsi="Times New Roman"/>
              </w:rPr>
              <w:t>040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Regionale und lokale Gebietskörperschaften, die wie Staaten behandelt werden — Risikogewichteter Positionsbetrag (RWA, risk-weighted exposure amount) — Risikopositionen nach dem IRB-Ansatz</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Der risikogewichtete Positionsbetrag von Vermögenswerten, bei denen es sich um Risikopositionen gegenüber regionalen und lokalen Gebietskörperschaften gemäß Artikel </w:t>
            </w:r>
            <w:r w:rsidRPr="00532F3A">
              <w:rPr>
                <w:rFonts w:ascii="Times New Roman" w:hAnsi="Times New Roman"/>
              </w:rPr>
              <w:t>147</w:t>
            </w:r>
            <w:r>
              <w:rPr>
                <w:rFonts w:ascii="Times New Roman" w:hAnsi="Times New Roman"/>
              </w:rPr>
              <w:t xml:space="preserve"> Absatz </w:t>
            </w:r>
            <w:r w:rsidRPr="00532F3A">
              <w:rPr>
                <w:rFonts w:ascii="Times New Roman" w:hAnsi="Times New Roman"/>
              </w:rPr>
              <w:t>3</w:t>
            </w:r>
            <w:r>
              <w:rPr>
                <w:rFonts w:ascii="Times New Roman" w:hAnsi="Times New Roman"/>
              </w:rPr>
              <w:t xml:space="preserve"> Buchstabe a CRR handelt. </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Die Institute melden die Beträge abzüglich der ausgefallenen Risikopositionen.</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532F3A">
              <w:rPr>
                <w:rFonts w:ascii="Times New Roman" w:hAnsi="Times New Roman"/>
              </w:rPr>
              <w:t>120</w:t>
            </w:r>
            <w:r>
              <w:rPr>
                <w:rFonts w:ascii="Times New Roman" w:hAnsi="Times New Roman"/>
              </w:rPr>
              <w:t>;</w:t>
            </w:r>
            <w:r w:rsidRPr="00532F3A">
              <w:rPr>
                <w:rFonts w:ascii="Times New Roman" w:hAnsi="Times New Roman"/>
              </w:rPr>
              <w:t>010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Multilaterale Entwicklungsbanken und internationale Organisationen, die wie Staaten behandelt werden — Risikopositionswert für die Verschuldungsquote — Risikopositionen nach dem Standardansatz</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Der Risikopositionswert für die Verschuldungsquote in Bezug auf Vermögenswerte, bei denen es sich um Risikopositionen gegenüber multilateralen Entwicklungsbanken und internationalen Organisationen gemäß Artikel </w:t>
            </w:r>
            <w:r w:rsidRPr="00532F3A">
              <w:rPr>
                <w:rFonts w:ascii="Times New Roman" w:hAnsi="Times New Roman"/>
              </w:rPr>
              <w:t>117</w:t>
            </w:r>
            <w:r>
              <w:rPr>
                <w:rFonts w:ascii="Times New Roman" w:hAnsi="Times New Roman"/>
              </w:rPr>
              <w:t xml:space="preserve"> Absatz </w:t>
            </w:r>
            <w:r w:rsidRPr="00532F3A">
              <w:rPr>
                <w:rFonts w:ascii="Times New Roman" w:hAnsi="Times New Roman"/>
              </w:rPr>
              <w:t>2</w:t>
            </w:r>
            <w:r>
              <w:rPr>
                <w:rFonts w:ascii="Times New Roman" w:hAnsi="Times New Roman"/>
              </w:rPr>
              <w:t xml:space="preserve"> und Artikel </w:t>
            </w:r>
            <w:r w:rsidRPr="00532F3A">
              <w:rPr>
                <w:rFonts w:ascii="Times New Roman" w:hAnsi="Times New Roman"/>
              </w:rPr>
              <w:t>118</w:t>
            </w:r>
            <w:r>
              <w:rPr>
                <w:rFonts w:ascii="Times New Roman" w:hAnsi="Times New Roman"/>
              </w:rPr>
              <w:t xml:space="preserve"> CRR handelt.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Die Institute melden die Beträge abzüglich der ausgefallenen Risikopositionen.</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Pr>
                <w:rFonts w:ascii="Times New Roman" w:hAnsi="Times New Roman"/>
              </w:rPr>
              <w:t>{</w:t>
            </w:r>
            <w:r w:rsidRPr="00532F3A">
              <w:rPr>
                <w:rFonts w:ascii="Times New Roman" w:hAnsi="Times New Roman"/>
              </w:rPr>
              <w:t>120</w:t>
            </w:r>
            <w:r>
              <w:rPr>
                <w:rFonts w:ascii="Times New Roman" w:hAnsi="Times New Roman"/>
              </w:rPr>
              <w:t>;</w:t>
            </w:r>
            <w:r w:rsidRPr="00532F3A">
              <w:rPr>
                <w:rFonts w:ascii="Times New Roman" w:hAnsi="Times New Roman"/>
              </w:rPr>
              <w:t>020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 xml:space="preserve">Multilaterale Entwicklungsbanken und internationale Organisationen, die wie Staaten behandelt werden — Risikopositionswert für die Verschuldungsquote — Risikopositionen </w:t>
            </w:r>
            <w:r>
              <w:rPr>
                <w:rFonts w:ascii="Times New Roman" w:hAnsi="Times New Roman"/>
                <w:b/>
              </w:rPr>
              <w:lastRenderedPageBreak/>
              <w:t>nach dem IRB-Ansatz</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Der Risikopositionswert für die Verschuldungsquote in Bezug auf Vermögenswerte, bei denen es sich um Risikopositionen gegenüber multilateralen Entwicklungsbanken und internationalen Organisationen gemäß Artikel </w:t>
            </w:r>
            <w:r w:rsidRPr="00532F3A">
              <w:rPr>
                <w:rFonts w:ascii="Times New Roman" w:hAnsi="Times New Roman"/>
              </w:rPr>
              <w:t>147</w:t>
            </w:r>
            <w:r>
              <w:rPr>
                <w:rFonts w:ascii="Times New Roman" w:hAnsi="Times New Roman"/>
              </w:rPr>
              <w:t xml:space="preserve"> Absatz </w:t>
            </w:r>
            <w:r w:rsidRPr="00532F3A">
              <w:rPr>
                <w:rFonts w:ascii="Times New Roman" w:hAnsi="Times New Roman"/>
              </w:rPr>
              <w:t>3</w:t>
            </w:r>
            <w:r>
              <w:rPr>
                <w:rFonts w:ascii="Times New Roman" w:hAnsi="Times New Roman"/>
              </w:rPr>
              <w:t xml:space="preserve"> Buchstaben b und c CRR handelt. </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Die Institute melden die Beträge abzüglich der ausgefallenen Risikopositionen.</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lastRenderedPageBreak/>
              <w:t>{</w:t>
            </w:r>
            <w:r w:rsidRPr="00532F3A">
              <w:rPr>
                <w:rFonts w:ascii="Times New Roman" w:hAnsi="Times New Roman"/>
              </w:rPr>
              <w:t>120</w:t>
            </w:r>
            <w:r>
              <w:rPr>
                <w:rFonts w:ascii="Times New Roman" w:hAnsi="Times New Roman"/>
              </w:rPr>
              <w:t>;</w:t>
            </w:r>
            <w:r w:rsidRPr="00532F3A">
              <w:rPr>
                <w:rFonts w:ascii="Times New Roman" w:hAnsi="Times New Roman"/>
              </w:rPr>
              <w:t>030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Multilaterale Entwicklungsbanken und internationale Organisationen, die wie Staaten behandelt werden — Risikogewichteter Positionsbetrag (RWA, risk-weighted exposure amount) — Risikopositionen nach dem Standardansatz</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Der risikogewichtete Positionsbetrag von Vermögenswerten, bei denen es sich um Risikopositionen gegenüber multilateralen Entwicklungsbanken und internationalen Organisationen gemäß Artikel </w:t>
            </w:r>
            <w:r w:rsidRPr="00532F3A">
              <w:rPr>
                <w:rFonts w:ascii="Times New Roman" w:hAnsi="Times New Roman"/>
              </w:rPr>
              <w:t>117</w:t>
            </w:r>
            <w:r>
              <w:rPr>
                <w:rFonts w:ascii="Times New Roman" w:hAnsi="Times New Roman"/>
              </w:rPr>
              <w:t xml:space="preserve"> Absatz </w:t>
            </w:r>
            <w:r w:rsidRPr="00532F3A">
              <w:rPr>
                <w:rFonts w:ascii="Times New Roman" w:hAnsi="Times New Roman"/>
              </w:rPr>
              <w:t>2</w:t>
            </w:r>
            <w:r>
              <w:rPr>
                <w:rFonts w:ascii="Times New Roman" w:hAnsi="Times New Roman"/>
              </w:rPr>
              <w:t xml:space="preserve"> und Artikel </w:t>
            </w:r>
            <w:r w:rsidRPr="00532F3A">
              <w:rPr>
                <w:rFonts w:ascii="Times New Roman" w:hAnsi="Times New Roman"/>
              </w:rPr>
              <w:t>118</w:t>
            </w:r>
            <w:r>
              <w:rPr>
                <w:rFonts w:ascii="Times New Roman" w:hAnsi="Times New Roman"/>
              </w:rPr>
              <w:t xml:space="preserve"> CRR handelt.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Die Institute melden die Beträge abzüglich der ausgefallenen Risikopositionen.</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bCs/>
              </w:rPr>
            </w:pPr>
            <w:r>
              <w:rPr>
                <w:rFonts w:ascii="Times New Roman" w:hAnsi="Times New Roman"/>
              </w:rPr>
              <w:t>{</w:t>
            </w:r>
            <w:r w:rsidRPr="00532F3A">
              <w:rPr>
                <w:rFonts w:ascii="Times New Roman" w:hAnsi="Times New Roman"/>
              </w:rPr>
              <w:t>120</w:t>
            </w:r>
            <w:r>
              <w:rPr>
                <w:rFonts w:ascii="Times New Roman" w:hAnsi="Times New Roman"/>
              </w:rPr>
              <w:t>;</w:t>
            </w:r>
            <w:r w:rsidRPr="00532F3A">
              <w:rPr>
                <w:rFonts w:ascii="Times New Roman" w:hAnsi="Times New Roman"/>
              </w:rPr>
              <w:t>040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Multilaterale Entwicklungsbanken und internationale Organisationen, die wie Staaten behandelt werden — Risikogewichteter Positionsbetrag (RWA, risk-weighted exposure amount) — Risikopositionen nach dem IRB-Ansatz</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Der risikogewichtete Positionsbetrag von Vermögenswerten, bei denen es sich um Risikopositionen gegenüber multilateralen Entwicklungsbanken und internationalen Organisationen gemäß Artikel </w:t>
            </w:r>
            <w:r w:rsidRPr="00532F3A">
              <w:rPr>
                <w:rFonts w:ascii="Times New Roman" w:hAnsi="Times New Roman"/>
              </w:rPr>
              <w:t>147</w:t>
            </w:r>
            <w:r>
              <w:rPr>
                <w:rFonts w:ascii="Times New Roman" w:hAnsi="Times New Roman"/>
              </w:rPr>
              <w:t xml:space="preserve"> Absatz </w:t>
            </w:r>
            <w:r w:rsidRPr="00532F3A">
              <w:rPr>
                <w:rFonts w:ascii="Times New Roman" w:hAnsi="Times New Roman"/>
              </w:rPr>
              <w:t>3</w:t>
            </w:r>
            <w:r>
              <w:rPr>
                <w:rFonts w:ascii="Times New Roman" w:hAnsi="Times New Roman"/>
              </w:rPr>
              <w:t xml:space="preserve"> Buchstaben b und c CRR handelt. </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Die Institute melden die Beträge abzüglich der ausgefallenen Risikopositionen.</w:t>
            </w:r>
          </w:p>
          <w:p w:rsidR="002509B1" w:rsidRPr="00FE002E" w:rsidRDefault="002509B1" w:rsidP="007E2A41">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Pr>
                <w:rFonts w:ascii="Times New Roman" w:hAnsi="Times New Roman"/>
              </w:rPr>
              <w:t>{</w:t>
            </w:r>
            <w:r w:rsidRPr="00532F3A">
              <w:rPr>
                <w:rFonts w:ascii="Times New Roman" w:hAnsi="Times New Roman"/>
              </w:rPr>
              <w:t>130</w:t>
            </w:r>
            <w:r>
              <w:rPr>
                <w:rFonts w:ascii="Times New Roman" w:hAnsi="Times New Roman"/>
              </w:rPr>
              <w:t>;</w:t>
            </w:r>
            <w:r w:rsidRPr="00532F3A">
              <w:rPr>
                <w:rFonts w:ascii="Times New Roman" w:hAnsi="Times New Roman"/>
              </w:rPr>
              <w:t>010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Öffentliche Stellen, die wie Staaten behandelt werden — Risikopositionswert für die Verschuldungsquote — Risikopositionen nach dem Standardansatz</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Der Risikopositionswert für die Verschuldungsquote in Bezug auf Vermögenswerte, bei denen es sich um Risikopositionen gegenüber öffentlichen Stellen gemäß Artikel </w:t>
            </w:r>
            <w:r w:rsidRPr="00532F3A">
              <w:rPr>
                <w:rFonts w:ascii="Times New Roman" w:hAnsi="Times New Roman"/>
              </w:rPr>
              <w:t>116</w:t>
            </w:r>
            <w:r>
              <w:rPr>
                <w:rFonts w:ascii="Times New Roman" w:hAnsi="Times New Roman"/>
              </w:rPr>
              <w:t xml:space="preserve"> Absatz </w:t>
            </w:r>
            <w:r w:rsidRPr="00532F3A">
              <w:rPr>
                <w:rFonts w:ascii="Times New Roman" w:hAnsi="Times New Roman"/>
              </w:rPr>
              <w:t>4</w:t>
            </w:r>
            <w:r>
              <w:rPr>
                <w:rFonts w:ascii="Times New Roman" w:hAnsi="Times New Roman"/>
              </w:rPr>
              <w:t xml:space="preserve"> CRR handelt.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Die Institute melden die Beträge abzüglich der ausgefallenen Risikopositionen.</w:t>
            </w:r>
          </w:p>
          <w:p w:rsidR="002509B1" w:rsidRPr="00FE002E" w:rsidRDefault="002509B1" w:rsidP="007E2A41">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Pr>
                <w:rFonts w:ascii="Times New Roman" w:hAnsi="Times New Roman"/>
              </w:rPr>
              <w:t>{</w:t>
            </w:r>
            <w:r w:rsidRPr="00532F3A">
              <w:rPr>
                <w:rFonts w:ascii="Times New Roman" w:hAnsi="Times New Roman"/>
              </w:rPr>
              <w:t>130</w:t>
            </w:r>
            <w:r>
              <w:rPr>
                <w:rFonts w:ascii="Times New Roman" w:hAnsi="Times New Roman"/>
              </w:rPr>
              <w:t>;</w:t>
            </w:r>
            <w:r w:rsidRPr="00532F3A">
              <w:rPr>
                <w:rFonts w:ascii="Times New Roman" w:hAnsi="Times New Roman"/>
              </w:rPr>
              <w:t>020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Öffentliche Stellen, die wie Staaten behandelt werden — Risikopositionswert für die Verschuldungsquote — Risikopositionen nach dem IRB-Ansatz</w:t>
            </w:r>
          </w:p>
          <w:p w:rsidR="002509B1" w:rsidRPr="00FE002E" w:rsidRDefault="002509B1" w:rsidP="007E2A41">
            <w:pPr>
              <w:pStyle w:val="BodyText1"/>
              <w:spacing w:line="240" w:lineRule="auto"/>
              <w:rPr>
                <w:rFonts w:ascii="Times New Roman" w:hAnsi="Times New Roman"/>
                <w:b/>
              </w:rPr>
            </w:pPr>
          </w:p>
          <w:p w:rsidR="002509B1" w:rsidRDefault="00F4754B" w:rsidP="007E2A41">
            <w:pPr>
              <w:pStyle w:val="BodyText1"/>
              <w:spacing w:line="240" w:lineRule="auto"/>
              <w:rPr>
                <w:rFonts w:ascii="Times New Roman" w:hAnsi="Times New Roman"/>
                <w:bCs/>
              </w:rPr>
            </w:pPr>
            <w:r>
              <w:rPr>
                <w:rFonts w:ascii="Times New Roman" w:hAnsi="Times New Roman"/>
              </w:rPr>
              <w:t xml:space="preserve">Der Risikopositionsbetrag für die Verschuldungsquote in Bezug auf Vermögenswerte, bei denen es sich um Risikopositionen gegenüber öffentlichen Stellen gemäß Artikel </w:t>
            </w:r>
            <w:r w:rsidRPr="00532F3A">
              <w:rPr>
                <w:rFonts w:ascii="Times New Roman" w:hAnsi="Times New Roman"/>
              </w:rPr>
              <w:t>147</w:t>
            </w:r>
            <w:r>
              <w:rPr>
                <w:rFonts w:ascii="Times New Roman" w:hAnsi="Times New Roman"/>
              </w:rPr>
              <w:t xml:space="preserve"> Absatz </w:t>
            </w:r>
            <w:r w:rsidRPr="00532F3A">
              <w:rPr>
                <w:rFonts w:ascii="Times New Roman" w:hAnsi="Times New Roman"/>
              </w:rPr>
              <w:t>3</w:t>
            </w:r>
            <w:r>
              <w:rPr>
                <w:rFonts w:ascii="Times New Roman" w:hAnsi="Times New Roman"/>
              </w:rPr>
              <w:t xml:space="preserve"> Buchstabe a CRR handelt.</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Die Institute melden die Beträge abzüglich der ausgefallenen Risikopositionen.</w:t>
            </w:r>
          </w:p>
          <w:p w:rsidR="009C4E79" w:rsidRPr="00FE002E" w:rsidRDefault="009C4E79"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532F3A">
              <w:rPr>
                <w:rFonts w:ascii="Times New Roman" w:hAnsi="Times New Roman"/>
              </w:rPr>
              <w:t>130</w:t>
            </w:r>
            <w:r>
              <w:rPr>
                <w:rFonts w:ascii="Times New Roman" w:hAnsi="Times New Roman"/>
              </w:rPr>
              <w:t>;</w:t>
            </w:r>
            <w:r w:rsidRPr="00532F3A">
              <w:rPr>
                <w:rFonts w:ascii="Times New Roman" w:hAnsi="Times New Roman"/>
              </w:rPr>
              <w:t>030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Öffentliche Stellen, die wie Staaten behandelt werden — Risikogewichteter Positionsbetrag (RWA, risk-weighted exposure amount) — Risikopositionen nach dem Standardansatz</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Der risikogewichtete Positionsbetrag von Vermögenswerten, bei denen es sich um Risikopositionen gegenüber öffentlichen Stellen gemäß Artikel </w:t>
            </w:r>
            <w:r w:rsidRPr="00532F3A">
              <w:rPr>
                <w:rFonts w:ascii="Times New Roman" w:hAnsi="Times New Roman"/>
              </w:rPr>
              <w:t>116</w:t>
            </w:r>
            <w:r>
              <w:rPr>
                <w:rFonts w:ascii="Times New Roman" w:hAnsi="Times New Roman"/>
              </w:rPr>
              <w:t xml:space="preserve"> Absatz </w:t>
            </w:r>
            <w:r w:rsidRPr="00532F3A">
              <w:rPr>
                <w:rFonts w:ascii="Times New Roman" w:hAnsi="Times New Roman"/>
              </w:rPr>
              <w:t>4</w:t>
            </w:r>
            <w:r>
              <w:rPr>
                <w:rFonts w:ascii="Times New Roman" w:hAnsi="Times New Roman"/>
              </w:rPr>
              <w:t xml:space="preserve"> CRR handelt. Die Institute melden die Beträge abzüglich der ausgefallenen Risikopositionen.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Die Institute melden die Beträge abzüglich der ausgefallenen Risikopositionen.</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532F3A">
              <w:rPr>
                <w:rFonts w:ascii="Times New Roman" w:hAnsi="Times New Roman"/>
              </w:rPr>
              <w:t>130</w:t>
            </w:r>
            <w:r>
              <w:rPr>
                <w:rFonts w:ascii="Times New Roman" w:hAnsi="Times New Roman"/>
              </w:rPr>
              <w:t>;</w:t>
            </w:r>
            <w:r w:rsidRPr="00532F3A">
              <w:rPr>
                <w:rFonts w:ascii="Times New Roman" w:hAnsi="Times New Roman"/>
              </w:rPr>
              <w:t>040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Öffentliche Stellen, die wie Staaten behandelt werden — Risikogewichteter Positionsbetrag (RWA, risk-weighted exposure amount) — Risikopositionen nach dem IRB-Ansatz</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Der risikogewichtete Positionsbetrag von Vermögenswerten, bei denen es sich um </w:t>
            </w:r>
            <w:r>
              <w:rPr>
                <w:rFonts w:ascii="Times New Roman" w:hAnsi="Times New Roman"/>
              </w:rPr>
              <w:lastRenderedPageBreak/>
              <w:t xml:space="preserve">Risikopositionen gegenüber öffentlichen Stellen gemäß Artikel </w:t>
            </w:r>
            <w:r w:rsidRPr="00532F3A">
              <w:rPr>
                <w:rFonts w:ascii="Times New Roman" w:hAnsi="Times New Roman"/>
              </w:rPr>
              <w:t>147</w:t>
            </w:r>
            <w:r>
              <w:rPr>
                <w:rFonts w:ascii="Times New Roman" w:hAnsi="Times New Roman"/>
              </w:rPr>
              <w:t xml:space="preserve"> Absatz </w:t>
            </w:r>
            <w:r w:rsidRPr="00532F3A">
              <w:rPr>
                <w:rFonts w:ascii="Times New Roman" w:hAnsi="Times New Roman"/>
              </w:rPr>
              <w:t>3</w:t>
            </w:r>
            <w:r>
              <w:rPr>
                <w:rFonts w:ascii="Times New Roman" w:hAnsi="Times New Roman"/>
              </w:rPr>
              <w:t xml:space="preserve"> Buchstabe a CRR handelt. </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Die Institute melden die Beträge abzüglich der ausgefallenen Risikopositionen.</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lastRenderedPageBreak/>
              <w:t>{</w:t>
            </w:r>
            <w:r w:rsidRPr="00532F3A">
              <w:rPr>
                <w:rFonts w:ascii="Times New Roman" w:hAnsi="Times New Roman"/>
              </w:rPr>
              <w:t>140</w:t>
            </w:r>
            <w:r>
              <w:rPr>
                <w:rFonts w:ascii="Times New Roman" w:hAnsi="Times New Roman"/>
              </w:rPr>
              <w:t>;</w:t>
            </w:r>
            <w:r w:rsidRPr="00532F3A">
              <w:rPr>
                <w:rFonts w:ascii="Times New Roman" w:hAnsi="Times New Roman"/>
              </w:rPr>
              <w:t>010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Risikopositionen gegenüber regionalen Gebietskörperschaften, multilateralen Entwicklungsbanken, internationalen Organisationen und öffentlichen Stellen, die </w:t>
            </w:r>
            <w:r>
              <w:rPr>
                <w:rFonts w:ascii="Times New Roman" w:hAnsi="Times New Roman"/>
                <w:b/>
                <w:u w:val="single"/>
              </w:rPr>
              <w:t>nicht</w:t>
            </w:r>
            <w:r>
              <w:rPr>
                <w:rFonts w:ascii="Times New Roman" w:hAnsi="Times New Roman"/>
                <w:b/>
              </w:rPr>
              <w:t xml:space="preserve"> wie Staaten behandelt werden — Risikopositionswert für die Verschuldungsquote — Risikopositionen nach dem Standardansatz</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Summe der Felder {</w:t>
            </w:r>
            <w:r w:rsidRPr="00532F3A">
              <w:rPr>
                <w:rFonts w:ascii="Times New Roman" w:hAnsi="Times New Roman"/>
              </w:rPr>
              <w:t>150</w:t>
            </w:r>
            <w:r>
              <w:rPr>
                <w:rFonts w:ascii="Times New Roman" w:hAnsi="Times New Roman"/>
              </w:rPr>
              <w:t>,</w:t>
            </w:r>
            <w:r w:rsidRPr="00532F3A">
              <w:rPr>
                <w:rFonts w:ascii="Times New Roman" w:hAnsi="Times New Roman"/>
              </w:rPr>
              <w:t>010</w:t>
            </w:r>
            <w:r>
              <w:rPr>
                <w:rFonts w:ascii="Times New Roman" w:hAnsi="Times New Roman"/>
              </w:rPr>
              <w:t>} bis {</w:t>
            </w:r>
            <w:r w:rsidRPr="00532F3A">
              <w:rPr>
                <w:rFonts w:ascii="Times New Roman" w:hAnsi="Times New Roman"/>
              </w:rPr>
              <w:t>170</w:t>
            </w:r>
            <w:r>
              <w:rPr>
                <w:rFonts w:ascii="Times New Roman" w:hAnsi="Times New Roman"/>
              </w:rPr>
              <w:t>,</w:t>
            </w:r>
            <w:r w:rsidRPr="00532F3A">
              <w:rPr>
                <w:rFonts w:ascii="Times New Roman" w:hAnsi="Times New Roman"/>
              </w:rPr>
              <w:t>010</w:t>
            </w:r>
            <w:r>
              <w:rPr>
                <w:rFonts w:ascii="Times New Roman" w:hAnsi="Times New Roman"/>
              </w:rPr>
              <w:t>}.</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Die Institute melden die Beträge abzüglich der ausgefallenen Risikopositionen.</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w:t>
            </w:r>
            <w:r w:rsidRPr="00532F3A">
              <w:rPr>
                <w:rFonts w:ascii="Times New Roman" w:hAnsi="Times New Roman"/>
              </w:rPr>
              <w:t>140</w:t>
            </w:r>
            <w:r>
              <w:rPr>
                <w:rFonts w:ascii="Times New Roman" w:hAnsi="Times New Roman"/>
              </w:rPr>
              <w:t>;</w:t>
            </w:r>
            <w:r w:rsidRPr="00532F3A">
              <w:rPr>
                <w:rFonts w:ascii="Times New Roman" w:hAnsi="Times New Roman"/>
              </w:rPr>
              <w:t>020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Risikopositionen gegenüber regionalen Gebietskörperschaften, multilateralen Entwicklungsbanken, internationalen Organisationen und öffentlichen Stellen, die </w:t>
            </w:r>
            <w:r>
              <w:rPr>
                <w:rFonts w:ascii="Times New Roman" w:hAnsi="Times New Roman"/>
                <w:b/>
                <w:u w:val="single"/>
              </w:rPr>
              <w:t>nicht</w:t>
            </w:r>
            <w:r>
              <w:rPr>
                <w:rFonts w:ascii="Times New Roman" w:hAnsi="Times New Roman"/>
                <w:b/>
              </w:rPr>
              <w:t xml:space="preserve"> wie Staaten behandelt werden — Risikopositionswert für die Verschuldungsquote — Risikopositionen nach dem IRB-Ansatz</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Summe der Felder {</w:t>
            </w:r>
            <w:r w:rsidRPr="00532F3A">
              <w:rPr>
                <w:rFonts w:ascii="Times New Roman" w:hAnsi="Times New Roman"/>
              </w:rPr>
              <w:t>150</w:t>
            </w:r>
            <w:r>
              <w:rPr>
                <w:rFonts w:ascii="Times New Roman" w:hAnsi="Times New Roman"/>
              </w:rPr>
              <w:t>,</w:t>
            </w:r>
            <w:r w:rsidRPr="00532F3A">
              <w:rPr>
                <w:rFonts w:ascii="Times New Roman" w:hAnsi="Times New Roman"/>
              </w:rPr>
              <w:t>020</w:t>
            </w:r>
            <w:r>
              <w:rPr>
                <w:rFonts w:ascii="Times New Roman" w:hAnsi="Times New Roman"/>
              </w:rPr>
              <w:t>} bis {</w:t>
            </w:r>
            <w:r w:rsidRPr="00532F3A">
              <w:rPr>
                <w:rFonts w:ascii="Times New Roman" w:hAnsi="Times New Roman"/>
              </w:rPr>
              <w:t>170</w:t>
            </w:r>
            <w:r>
              <w:rPr>
                <w:rFonts w:ascii="Times New Roman" w:hAnsi="Times New Roman"/>
              </w:rPr>
              <w:t>,</w:t>
            </w:r>
            <w:r w:rsidRPr="00532F3A">
              <w:rPr>
                <w:rFonts w:ascii="Times New Roman" w:hAnsi="Times New Roman"/>
              </w:rPr>
              <w:t>020</w:t>
            </w:r>
            <w:r>
              <w:rPr>
                <w:rFonts w:ascii="Times New Roman" w:hAnsi="Times New Roman"/>
              </w:rPr>
              <w:t>}.</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Die Institute melden die Beträge abzüglich der ausgefallenen Risikopositionen.</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532F3A">
              <w:rPr>
                <w:rFonts w:ascii="Times New Roman" w:hAnsi="Times New Roman"/>
              </w:rPr>
              <w:t>140</w:t>
            </w:r>
            <w:r>
              <w:rPr>
                <w:rFonts w:ascii="Times New Roman" w:hAnsi="Times New Roman"/>
              </w:rPr>
              <w:t>;</w:t>
            </w:r>
            <w:r w:rsidRPr="00532F3A">
              <w:rPr>
                <w:rFonts w:ascii="Times New Roman" w:hAnsi="Times New Roman"/>
              </w:rPr>
              <w:t>030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Risikopositionen gegenüber regionalen Gebietskörperschaften, multilateralen Entwicklungsbanken, internationalen Organisationen und öffentlichen Stellen, die </w:t>
            </w:r>
            <w:r>
              <w:rPr>
                <w:rFonts w:ascii="Times New Roman" w:hAnsi="Times New Roman"/>
                <w:b/>
                <w:u w:val="single"/>
              </w:rPr>
              <w:t>nicht</w:t>
            </w:r>
            <w:r>
              <w:rPr>
                <w:rFonts w:ascii="Times New Roman" w:hAnsi="Times New Roman"/>
                <w:b/>
              </w:rPr>
              <w:t xml:space="preserve"> wie Staaten behandelt werden — Risikogewichteter Positionsbetrag (RWA, risk-weighted exposure amount) — Risikopositionen nach dem Standardansatz</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Summe der Felder {</w:t>
            </w:r>
            <w:r w:rsidRPr="00532F3A">
              <w:rPr>
                <w:rFonts w:ascii="Times New Roman" w:hAnsi="Times New Roman"/>
              </w:rPr>
              <w:t>150</w:t>
            </w:r>
            <w:r>
              <w:rPr>
                <w:rFonts w:ascii="Times New Roman" w:hAnsi="Times New Roman"/>
              </w:rPr>
              <w:t>,</w:t>
            </w:r>
            <w:r w:rsidRPr="00532F3A">
              <w:rPr>
                <w:rFonts w:ascii="Times New Roman" w:hAnsi="Times New Roman"/>
              </w:rPr>
              <w:t>030</w:t>
            </w:r>
            <w:r>
              <w:rPr>
                <w:rFonts w:ascii="Times New Roman" w:hAnsi="Times New Roman"/>
              </w:rPr>
              <w:t>} bis {</w:t>
            </w:r>
            <w:r w:rsidRPr="00532F3A">
              <w:rPr>
                <w:rFonts w:ascii="Times New Roman" w:hAnsi="Times New Roman"/>
              </w:rPr>
              <w:t>170</w:t>
            </w:r>
            <w:r>
              <w:rPr>
                <w:rFonts w:ascii="Times New Roman" w:hAnsi="Times New Roman"/>
              </w:rPr>
              <w:t>,</w:t>
            </w:r>
            <w:r w:rsidRPr="00532F3A">
              <w:rPr>
                <w:rFonts w:ascii="Times New Roman" w:hAnsi="Times New Roman"/>
              </w:rPr>
              <w:t>030</w:t>
            </w:r>
            <w:r>
              <w:rPr>
                <w:rFonts w:ascii="Times New Roman" w:hAnsi="Times New Roman"/>
              </w:rPr>
              <w:t>}.</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Die Institute melden die Beträge abzüglich der ausgefallenen Risikopositionen.</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w:t>
            </w:r>
            <w:r w:rsidRPr="00532F3A">
              <w:rPr>
                <w:rFonts w:ascii="Times New Roman" w:hAnsi="Times New Roman"/>
              </w:rPr>
              <w:t>140</w:t>
            </w:r>
            <w:r>
              <w:rPr>
                <w:rFonts w:ascii="Times New Roman" w:hAnsi="Times New Roman"/>
              </w:rPr>
              <w:t>;</w:t>
            </w:r>
            <w:r w:rsidRPr="00532F3A">
              <w:rPr>
                <w:rFonts w:ascii="Times New Roman" w:hAnsi="Times New Roman"/>
              </w:rPr>
              <w:t>040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Risikopositionen gegenüber regionalen Gebietskörperschaften, multilateralen Entwicklungsbanken, internationalen Organisationen und öffentlichen Stellen, die </w:t>
            </w:r>
            <w:r>
              <w:rPr>
                <w:rFonts w:ascii="Times New Roman" w:hAnsi="Times New Roman"/>
                <w:b/>
                <w:u w:val="single"/>
              </w:rPr>
              <w:t>nicht</w:t>
            </w:r>
            <w:r>
              <w:rPr>
                <w:rFonts w:ascii="Times New Roman" w:hAnsi="Times New Roman"/>
                <w:b/>
              </w:rPr>
              <w:t xml:space="preserve"> wie Staaten behandelt werden — Risikogewichteter Positionsbetrag (RWA, risk-weighted exposure amount) — Risikopositionen nach dem IRB-Ansatz</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Summe der Felder {</w:t>
            </w:r>
            <w:r w:rsidRPr="00532F3A">
              <w:rPr>
                <w:rFonts w:ascii="Times New Roman" w:hAnsi="Times New Roman"/>
              </w:rPr>
              <w:t>150</w:t>
            </w:r>
            <w:r>
              <w:rPr>
                <w:rFonts w:ascii="Times New Roman" w:hAnsi="Times New Roman"/>
              </w:rPr>
              <w:t>,</w:t>
            </w:r>
            <w:r w:rsidRPr="00532F3A">
              <w:rPr>
                <w:rFonts w:ascii="Times New Roman" w:hAnsi="Times New Roman"/>
              </w:rPr>
              <w:t>040</w:t>
            </w:r>
            <w:r>
              <w:rPr>
                <w:rFonts w:ascii="Times New Roman" w:hAnsi="Times New Roman"/>
              </w:rPr>
              <w:t>} bis {</w:t>
            </w:r>
            <w:r w:rsidRPr="00532F3A">
              <w:rPr>
                <w:rFonts w:ascii="Times New Roman" w:hAnsi="Times New Roman"/>
              </w:rPr>
              <w:t>170</w:t>
            </w:r>
            <w:r>
              <w:rPr>
                <w:rFonts w:ascii="Times New Roman" w:hAnsi="Times New Roman"/>
              </w:rPr>
              <w:t>,</w:t>
            </w:r>
            <w:r w:rsidRPr="00532F3A">
              <w:rPr>
                <w:rFonts w:ascii="Times New Roman" w:hAnsi="Times New Roman"/>
              </w:rPr>
              <w:t>040</w:t>
            </w:r>
            <w:r>
              <w:rPr>
                <w:rFonts w:ascii="Times New Roman" w:hAnsi="Times New Roman"/>
              </w:rPr>
              <w:t>}.</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Die Institute melden die Beträge abzüglich der ausgefallenen Risikopositionen.</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532F3A">
              <w:rPr>
                <w:rFonts w:ascii="Times New Roman" w:hAnsi="Times New Roman"/>
              </w:rPr>
              <w:t>150</w:t>
            </w:r>
            <w:r>
              <w:rPr>
                <w:rFonts w:ascii="Times New Roman" w:hAnsi="Times New Roman"/>
              </w:rPr>
              <w:t>;</w:t>
            </w:r>
            <w:r w:rsidRPr="00532F3A">
              <w:rPr>
                <w:rFonts w:ascii="Times New Roman" w:hAnsi="Times New Roman"/>
              </w:rPr>
              <w:t>010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Regionale und lokale Gebietskörperschaften, die </w:t>
            </w:r>
            <w:r>
              <w:rPr>
                <w:rFonts w:ascii="Times New Roman" w:hAnsi="Times New Roman"/>
                <w:b/>
                <w:u w:val="single"/>
              </w:rPr>
              <w:t>nicht</w:t>
            </w:r>
            <w:r>
              <w:rPr>
                <w:rFonts w:ascii="Times New Roman" w:hAnsi="Times New Roman"/>
                <w:b/>
              </w:rPr>
              <w:t xml:space="preserve"> wie Staaten behandelt werden — Risikopositionswert für die Verschuldungsquote — Risikopositionen nach dem Standardansatz</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Der Risikopositionswert für die Verschuldungsquote in Bezug auf Vermögenswerte, bei denen es sich um Risikopositionen gegenüber regionalen und lokalen Gebietskörperschaften handelt, die gemäß Artikel </w:t>
            </w:r>
            <w:r w:rsidRPr="00532F3A">
              <w:rPr>
                <w:rFonts w:ascii="Times New Roman" w:hAnsi="Times New Roman"/>
              </w:rPr>
              <w:t>115</w:t>
            </w:r>
            <w:r>
              <w:rPr>
                <w:rFonts w:ascii="Times New Roman" w:hAnsi="Times New Roman"/>
              </w:rPr>
              <w:t xml:space="preserve"> Absätze </w:t>
            </w:r>
            <w:r w:rsidRPr="00532F3A">
              <w:rPr>
                <w:rFonts w:ascii="Times New Roman" w:hAnsi="Times New Roman"/>
              </w:rPr>
              <w:t>1</w:t>
            </w:r>
            <w:r>
              <w:rPr>
                <w:rFonts w:ascii="Times New Roman" w:hAnsi="Times New Roman"/>
              </w:rPr>
              <w:t xml:space="preserve">, </w:t>
            </w:r>
            <w:r w:rsidRPr="00532F3A">
              <w:rPr>
                <w:rFonts w:ascii="Times New Roman" w:hAnsi="Times New Roman"/>
              </w:rPr>
              <w:t>3</w:t>
            </w:r>
            <w:r>
              <w:rPr>
                <w:rFonts w:ascii="Times New Roman" w:hAnsi="Times New Roman"/>
              </w:rPr>
              <w:t xml:space="preserve"> und </w:t>
            </w:r>
            <w:r w:rsidRPr="00532F3A">
              <w:rPr>
                <w:rFonts w:ascii="Times New Roman" w:hAnsi="Times New Roman"/>
              </w:rPr>
              <w:t>5</w:t>
            </w:r>
            <w:r>
              <w:rPr>
                <w:rFonts w:ascii="Times New Roman" w:hAnsi="Times New Roman"/>
              </w:rPr>
              <w:t xml:space="preserve"> CRR nicht wie Risikopositionen gegenüber Staaten behandelt werden.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Die Institute melden die Beträge abzüglich der ausgefallenen Risikopositionen.</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Pr>
                <w:rFonts w:ascii="Times New Roman" w:hAnsi="Times New Roman"/>
              </w:rPr>
              <w:t>{</w:t>
            </w:r>
            <w:r w:rsidRPr="00532F3A">
              <w:rPr>
                <w:rFonts w:ascii="Times New Roman" w:hAnsi="Times New Roman"/>
              </w:rPr>
              <w:t>150</w:t>
            </w:r>
            <w:r>
              <w:rPr>
                <w:rFonts w:ascii="Times New Roman" w:hAnsi="Times New Roman"/>
              </w:rPr>
              <w:t>;</w:t>
            </w:r>
            <w:r w:rsidRPr="00532F3A">
              <w:rPr>
                <w:rFonts w:ascii="Times New Roman" w:hAnsi="Times New Roman"/>
              </w:rPr>
              <w:t>020</w:t>
            </w:r>
            <w:r>
              <w:rPr>
                <w:rFonts w:ascii="Times New Roman" w:hAnsi="Times New Roman"/>
              </w:rPr>
              <w:t>}</w:t>
            </w:r>
          </w:p>
        </w:tc>
        <w:tc>
          <w:tcPr>
            <w:tcW w:w="8133" w:type="dxa"/>
            <w:shd w:val="clear" w:color="auto" w:fill="FFFFFF"/>
          </w:tcPr>
          <w:p w:rsidR="002509B1" w:rsidRPr="00FE002E" w:rsidRDefault="00F4754B" w:rsidP="007E2A41">
            <w:pPr>
              <w:pStyle w:val="BodyText1"/>
              <w:spacing w:line="240" w:lineRule="auto"/>
              <w:rPr>
                <w:rFonts w:ascii="Times New Roman" w:hAnsi="Times New Roman"/>
                <w:b/>
                <w:bCs/>
              </w:rPr>
            </w:pPr>
            <w:r>
              <w:rPr>
                <w:rFonts w:ascii="Times New Roman" w:hAnsi="Times New Roman"/>
                <w:b/>
              </w:rPr>
              <w:t xml:space="preserve">Regionale und lokale Gebietskörperschaften, die </w:t>
            </w:r>
            <w:r>
              <w:rPr>
                <w:rFonts w:ascii="Times New Roman" w:hAnsi="Times New Roman"/>
                <w:b/>
                <w:u w:val="single"/>
              </w:rPr>
              <w:t>nicht</w:t>
            </w:r>
            <w:r>
              <w:rPr>
                <w:rFonts w:ascii="Times New Roman" w:hAnsi="Times New Roman"/>
                <w:b/>
              </w:rPr>
              <w:t xml:space="preserve"> wie Staaten behandelt werden — Risikopositionswert für die Verschuldungsquote — Risikopositionen nach dem IRB-Ansatz</w:t>
            </w:r>
          </w:p>
          <w:p w:rsidR="00F4754B" w:rsidRPr="00FE002E" w:rsidRDefault="00F4754B" w:rsidP="007E2A41">
            <w:pPr>
              <w:pStyle w:val="BodyText1"/>
              <w:spacing w:line="240" w:lineRule="auto"/>
              <w:rPr>
                <w:rFonts w:ascii="Times New Roman" w:hAnsi="Times New Roman"/>
                <w:b/>
              </w:rPr>
            </w:pPr>
            <w:r>
              <w:rPr>
                <w:rFonts w:ascii="Times New Roman" w:hAnsi="Times New Roman"/>
                <w:b/>
              </w:rPr>
              <w:t xml:space="preserve"> </w:t>
            </w:r>
          </w:p>
          <w:p w:rsidR="002509B1" w:rsidRDefault="00F4754B" w:rsidP="007E2A41">
            <w:pPr>
              <w:pStyle w:val="BodyText1"/>
              <w:spacing w:line="240" w:lineRule="auto"/>
              <w:rPr>
                <w:rFonts w:ascii="Times New Roman" w:hAnsi="Times New Roman"/>
                <w:bCs/>
              </w:rPr>
            </w:pPr>
            <w:r>
              <w:rPr>
                <w:rFonts w:ascii="Times New Roman" w:hAnsi="Times New Roman"/>
              </w:rPr>
              <w:t xml:space="preserve">Der Risikopositionswert für die Verschuldungsquote in Bezug auf Vermögenswerte, bei denen es sich um Risikopositionen gegenüber regionalen und lokalen Gebietskörperschaften handelt, die nicht wie Risikopositionen gegenüber Staaten gemäß Artikel </w:t>
            </w:r>
            <w:r w:rsidRPr="00532F3A">
              <w:rPr>
                <w:rFonts w:ascii="Times New Roman" w:hAnsi="Times New Roman"/>
              </w:rPr>
              <w:t>147</w:t>
            </w:r>
            <w:r>
              <w:rPr>
                <w:rFonts w:ascii="Times New Roman" w:hAnsi="Times New Roman"/>
              </w:rPr>
              <w:t xml:space="preserve"> Absatz </w:t>
            </w:r>
            <w:r w:rsidRPr="00532F3A">
              <w:rPr>
                <w:rFonts w:ascii="Times New Roman" w:hAnsi="Times New Roman"/>
              </w:rPr>
              <w:t>4</w:t>
            </w:r>
            <w:r>
              <w:rPr>
                <w:rFonts w:ascii="Times New Roman" w:hAnsi="Times New Roman"/>
              </w:rPr>
              <w:t xml:space="preserve"> Buchstabe a CRR behandelt werden. </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Die Institute melden die Beträge abzüglich der ausgefallenen Risikopositionen.</w:t>
            </w:r>
          </w:p>
          <w:p w:rsidR="00F4754B" w:rsidRPr="00FE002E" w:rsidDel="00F559E6" w:rsidRDefault="00F4754B" w:rsidP="007E2A41">
            <w:pPr>
              <w:pStyle w:val="BodyText1"/>
              <w:spacing w:line="240" w:lineRule="auto"/>
              <w:rPr>
                <w:rFonts w:ascii="Times New Roman" w:hAnsi="Times New Roman"/>
                <w:b/>
                <w:bCs/>
                <w:u w:val="single"/>
              </w:rPr>
            </w:pPr>
            <w:r>
              <w:rPr>
                <w:rFonts w:ascii="Times New Roman" w:hAnsi="Times New Roman"/>
              </w:rPr>
              <w:t xml:space="preserve"> </w:t>
            </w: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lastRenderedPageBreak/>
              <w:t>{</w:t>
            </w:r>
            <w:r w:rsidRPr="00532F3A">
              <w:rPr>
                <w:rFonts w:ascii="Times New Roman" w:hAnsi="Times New Roman"/>
              </w:rPr>
              <w:t>150</w:t>
            </w:r>
            <w:r>
              <w:rPr>
                <w:rFonts w:ascii="Times New Roman" w:hAnsi="Times New Roman"/>
              </w:rPr>
              <w:t>;</w:t>
            </w:r>
            <w:r w:rsidRPr="00532F3A">
              <w:rPr>
                <w:rFonts w:ascii="Times New Roman" w:hAnsi="Times New Roman"/>
              </w:rPr>
              <w:t>030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Regionale und lokale Gebietskörperschaften, die </w:t>
            </w:r>
            <w:r>
              <w:rPr>
                <w:rFonts w:ascii="Times New Roman" w:hAnsi="Times New Roman"/>
                <w:b/>
                <w:u w:val="single"/>
              </w:rPr>
              <w:t>nicht</w:t>
            </w:r>
            <w:r>
              <w:rPr>
                <w:rFonts w:ascii="Times New Roman" w:hAnsi="Times New Roman"/>
                <w:b/>
              </w:rPr>
              <w:t xml:space="preserve"> wie Staaten behandelt werden — Risikogewichteter Positionsbetrag (RWA, risk-weighted exposure amount) — Risikopositionen nach dem Standardansatz </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Der risikogewichtete Positionsbetrag von Vermögenswerten, bei denen es sich um Risikopositionen gegenüber regionalen und lokalen Gebietskörperschaften handelt, die gemäß Artikel </w:t>
            </w:r>
            <w:r w:rsidRPr="00532F3A">
              <w:rPr>
                <w:rFonts w:ascii="Times New Roman" w:hAnsi="Times New Roman"/>
              </w:rPr>
              <w:t>115</w:t>
            </w:r>
            <w:r>
              <w:rPr>
                <w:rFonts w:ascii="Times New Roman" w:hAnsi="Times New Roman"/>
              </w:rPr>
              <w:t xml:space="preserve"> Absätze </w:t>
            </w:r>
            <w:r w:rsidRPr="00532F3A">
              <w:rPr>
                <w:rFonts w:ascii="Times New Roman" w:hAnsi="Times New Roman"/>
              </w:rPr>
              <w:t>1</w:t>
            </w:r>
            <w:r>
              <w:rPr>
                <w:rFonts w:ascii="Times New Roman" w:hAnsi="Times New Roman"/>
              </w:rPr>
              <w:t xml:space="preserve">, </w:t>
            </w:r>
            <w:r w:rsidRPr="00532F3A">
              <w:rPr>
                <w:rFonts w:ascii="Times New Roman" w:hAnsi="Times New Roman"/>
              </w:rPr>
              <w:t>3</w:t>
            </w:r>
            <w:r>
              <w:rPr>
                <w:rFonts w:ascii="Times New Roman" w:hAnsi="Times New Roman"/>
              </w:rPr>
              <w:t xml:space="preserve"> und </w:t>
            </w:r>
            <w:r w:rsidRPr="00532F3A">
              <w:rPr>
                <w:rFonts w:ascii="Times New Roman" w:hAnsi="Times New Roman"/>
              </w:rPr>
              <w:t>5</w:t>
            </w:r>
            <w:r>
              <w:rPr>
                <w:rFonts w:ascii="Times New Roman" w:hAnsi="Times New Roman"/>
              </w:rPr>
              <w:t xml:space="preserve"> CRR nicht wie Risikopositionen gegenüber Staaten behandelt werden.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Die Institute melden die Beträge abzüglich der ausgefallenen Risikopositionen.</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532F3A">
              <w:rPr>
                <w:rFonts w:ascii="Times New Roman" w:hAnsi="Times New Roman"/>
              </w:rPr>
              <w:t>150</w:t>
            </w:r>
            <w:r>
              <w:rPr>
                <w:rFonts w:ascii="Times New Roman" w:hAnsi="Times New Roman"/>
              </w:rPr>
              <w:t>;</w:t>
            </w:r>
            <w:r w:rsidRPr="00532F3A">
              <w:rPr>
                <w:rFonts w:ascii="Times New Roman" w:hAnsi="Times New Roman"/>
              </w:rPr>
              <w:t>040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Regionale und lokale Gebietskörperschaften, die </w:t>
            </w:r>
            <w:r>
              <w:rPr>
                <w:rFonts w:ascii="Times New Roman" w:hAnsi="Times New Roman"/>
                <w:b/>
                <w:u w:val="single"/>
              </w:rPr>
              <w:t>nicht</w:t>
            </w:r>
            <w:r>
              <w:rPr>
                <w:rFonts w:ascii="Times New Roman" w:hAnsi="Times New Roman"/>
                <w:b/>
              </w:rPr>
              <w:t xml:space="preserve"> wie Staaten behandelt werden — Risikogewichteter Positionsbetrag (RWA, risk-weighted exposure amount) — Risikopositionen nach dem IRB-Ansatz</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Der risikogewichtete Positionsbetrag von Vermögenswerten, bei denen es sich um Risikopositionen gegenüber regionalen und lokalen Gebietskörperschaften handelt, die nicht wie Risikopositionen gegenüber Staaten gemäß Artikel </w:t>
            </w:r>
            <w:r w:rsidRPr="00532F3A">
              <w:rPr>
                <w:rFonts w:ascii="Times New Roman" w:hAnsi="Times New Roman"/>
              </w:rPr>
              <w:t>147</w:t>
            </w:r>
            <w:r>
              <w:rPr>
                <w:rFonts w:ascii="Times New Roman" w:hAnsi="Times New Roman"/>
              </w:rPr>
              <w:t xml:space="preserve"> Absatz </w:t>
            </w:r>
            <w:r w:rsidRPr="00532F3A">
              <w:rPr>
                <w:rFonts w:ascii="Times New Roman" w:hAnsi="Times New Roman"/>
              </w:rPr>
              <w:t>4</w:t>
            </w:r>
            <w:r>
              <w:rPr>
                <w:rFonts w:ascii="Times New Roman" w:hAnsi="Times New Roman"/>
              </w:rPr>
              <w:t xml:space="preserve"> Buchstabe a CRR behandelt werden.</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Die Institute melden die Beträge abzüglich der ausgefallenen Risikopositionen.</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532F3A">
              <w:rPr>
                <w:rFonts w:ascii="Times New Roman" w:hAnsi="Times New Roman"/>
              </w:rPr>
              <w:t>160</w:t>
            </w:r>
            <w:r>
              <w:rPr>
                <w:rFonts w:ascii="Times New Roman" w:hAnsi="Times New Roman"/>
              </w:rPr>
              <w:t>;</w:t>
            </w:r>
            <w:r w:rsidRPr="00532F3A">
              <w:rPr>
                <w:rFonts w:ascii="Times New Roman" w:hAnsi="Times New Roman"/>
              </w:rPr>
              <w:t>010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Multilaterale Entwicklungsbanken, die </w:t>
            </w:r>
            <w:r>
              <w:rPr>
                <w:rFonts w:ascii="Times New Roman" w:hAnsi="Times New Roman"/>
                <w:b/>
                <w:u w:val="single"/>
              </w:rPr>
              <w:t>nicht</w:t>
            </w:r>
            <w:r>
              <w:rPr>
                <w:rFonts w:ascii="Times New Roman" w:hAnsi="Times New Roman"/>
                <w:b/>
              </w:rPr>
              <w:t xml:space="preserve"> wie Staaten behandelt werden — Risikopositionswert für die Verschuldungsquote — Risikopositionen nach dem Standardansatz</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Der Risikopositionswert für die Verschuldungsquote in Bezug auf Vermögenswerte, bei denen es sich um Risikopositionen gegenüber multilateralen Entwicklungsbanken gemäß Artikel </w:t>
            </w:r>
            <w:r w:rsidRPr="00532F3A">
              <w:rPr>
                <w:rFonts w:ascii="Times New Roman" w:hAnsi="Times New Roman"/>
              </w:rPr>
              <w:t>117</w:t>
            </w:r>
            <w:r>
              <w:rPr>
                <w:rFonts w:ascii="Times New Roman" w:hAnsi="Times New Roman"/>
              </w:rPr>
              <w:t xml:space="preserve"> Absätze </w:t>
            </w:r>
            <w:r w:rsidRPr="00532F3A">
              <w:rPr>
                <w:rFonts w:ascii="Times New Roman" w:hAnsi="Times New Roman"/>
              </w:rPr>
              <w:t>1</w:t>
            </w:r>
            <w:r>
              <w:rPr>
                <w:rFonts w:ascii="Times New Roman" w:hAnsi="Times New Roman"/>
              </w:rPr>
              <w:t xml:space="preserve"> und </w:t>
            </w:r>
            <w:r w:rsidRPr="00532F3A">
              <w:rPr>
                <w:rFonts w:ascii="Times New Roman" w:hAnsi="Times New Roman"/>
              </w:rPr>
              <w:t>3</w:t>
            </w:r>
            <w:r>
              <w:rPr>
                <w:rFonts w:ascii="Times New Roman" w:hAnsi="Times New Roman"/>
              </w:rPr>
              <w:t xml:space="preserve"> CRR handelt.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Die Institute melden die Beträge abzüglich der ausgefallenen Risikopositionen.</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w:t>
            </w:r>
            <w:r w:rsidRPr="00532F3A">
              <w:rPr>
                <w:rFonts w:ascii="Times New Roman" w:hAnsi="Times New Roman"/>
              </w:rPr>
              <w:t>160</w:t>
            </w:r>
            <w:r>
              <w:rPr>
                <w:rFonts w:ascii="Times New Roman" w:hAnsi="Times New Roman"/>
              </w:rPr>
              <w:t>;</w:t>
            </w:r>
            <w:r w:rsidRPr="00532F3A">
              <w:rPr>
                <w:rFonts w:ascii="Times New Roman" w:hAnsi="Times New Roman"/>
              </w:rPr>
              <w:t>020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 xml:space="preserve">Multilaterale Entwicklungsbanken, die </w:t>
            </w:r>
            <w:r>
              <w:rPr>
                <w:rFonts w:ascii="Times New Roman" w:hAnsi="Times New Roman"/>
                <w:b/>
                <w:u w:val="single"/>
              </w:rPr>
              <w:t>nicht</w:t>
            </w:r>
            <w:r>
              <w:rPr>
                <w:rFonts w:ascii="Times New Roman" w:hAnsi="Times New Roman"/>
                <w:b/>
              </w:rPr>
              <w:t xml:space="preserve"> wie Staaten behandelt werden — Risikopositionswert für die Verschuldungsquote — Risikopositionen nach dem IRB-Ansatz</w:t>
            </w:r>
          </w:p>
          <w:p w:rsidR="002509B1" w:rsidRPr="00FE002E" w:rsidRDefault="002509B1" w:rsidP="007E2A41">
            <w:pPr>
              <w:pStyle w:val="BodyText1"/>
              <w:spacing w:line="240" w:lineRule="auto"/>
              <w:rPr>
                <w:rFonts w:ascii="Times New Roman" w:hAnsi="Times New Roman"/>
                <w:b/>
              </w:rPr>
            </w:pPr>
          </w:p>
          <w:p w:rsidR="002509B1" w:rsidRDefault="00F4754B" w:rsidP="007E2A41">
            <w:pPr>
              <w:pStyle w:val="BodyText1"/>
              <w:spacing w:line="240" w:lineRule="auto"/>
              <w:rPr>
                <w:rFonts w:ascii="Times New Roman" w:hAnsi="Times New Roman"/>
                <w:bCs/>
              </w:rPr>
            </w:pPr>
            <w:r>
              <w:rPr>
                <w:rFonts w:ascii="Times New Roman" w:hAnsi="Times New Roman"/>
              </w:rPr>
              <w:t xml:space="preserve">Der Risikopositionswert für die Verschuldungsquote in Bezug auf Vermögenswerte, bei denen es sich um Risikopositionen gegenüber multilateralen Entwicklungsbanken handelt, die nicht wie Risikopositionen gegenüber Staaten gemäß Artikel </w:t>
            </w:r>
            <w:r w:rsidRPr="00532F3A">
              <w:rPr>
                <w:rFonts w:ascii="Times New Roman" w:hAnsi="Times New Roman"/>
              </w:rPr>
              <w:t>147</w:t>
            </w:r>
            <w:r>
              <w:rPr>
                <w:rFonts w:ascii="Times New Roman" w:hAnsi="Times New Roman"/>
              </w:rPr>
              <w:t xml:space="preserve"> Absatz </w:t>
            </w:r>
            <w:r w:rsidRPr="00532F3A">
              <w:rPr>
                <w:rFonts w:ascii="Times New Roman" w:hAnsi="Times New Roman"/>
              </w:rPr>
              <w:t>4</w:t>
            </w:r>
            <w:r>
              <w:rPr>
                <w:rFonts w:ascii="Times New Roman" w:hAnsi="Times New Roman"/>
              </w:rPr>
              <w:t xml:space="preserve"> Buchstabe c CRR behandelt werden. </w:t>
            </w:r>
          </w:p>
          <w:p w:rsidR="00315160" w:rsidRDefault="00315160"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Die Institute melden die Beträge abzüglich der ausgefallenen Risikopositionen.</w:t>
            </w:r>
          </w:p>
          <w:p w:rsidR="009C4E79" w:rsidRPr="00FE002E" w:rsidDel="009A4B38"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532F3A">
              <w:rPr>
                <w:rFonts w:ascii="Times New Roman" w:hAnsi="Times New Roman"/>
              </w:rPr>
              <w:t>160</w:t>
            </w:r>
            <w:r>
              <w:rPr>
                <w:rFonts w:ascii="Times New Roman" w:hAnsi="Times New Roman"/>
              </w:rPr>
              <w:t>;</w:t>
            </w:r>
            <w:r w:rsidRPr="00532F3A">
              <w:rPr>
                <w:rFonts w:ascii="Times New Roman" w:hAnsi="Times New Roman"/>
              </w:rPr>
              <w:t>030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Multilaterale Entwicklungsbanken, die </w:t>
            </w:r>
            <w:r>
              <w:rPr>
                <w:rFonts w:ascii="Times New Roman" w:hAnsi="Times New Roman"/>
                <w:b/>
                <w:u w:val="single"/>
              </w:rPr>
              <w:t>nicht</w:t>
            </w:r>
            <w:r>
              <w:rPr>
                <w:rFonts w:ascii="Times New Roman" w:hAnsi="Times New Roman"/>
                <w:b/>
              </w:rPr>
              <w:t xml:space="preserve"> wie Staaten behandelt werden — Risikogewichteter Positionsbetrag (RWA, risk-weighted exposure amount) — Risikopositionen nach dem Standardansatz</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Der risikogewichtete Positionsbetrag von Vermögenswerten, bei denen es sich um Risikopositionen gegenüber multilateralen Entwicklungsbanken gemäß Artikel </w:t>
            </w:r>
            <w:r w:rsidRPr="00532F3A">
              <w:rPr>
                <w:rFonts w:ascii="Times New Roman" w:hAnsi="Times New Roman"/>
              </w:rPr>
              <w:t>117</w:t>
            </w:r>
            <w:r>
              <w:rPr>
                <w:rFonts w:ascii="Times New Roman" w:hAnsi="Times New Roman"/>
              </w:rPr>
              <w:t xml:space="preserve"> Absätze </w:t>
            </w:r>
            <w:r w:rsidRPr="00532F3A">
              <w:rPr>
                <w:rFonts w:ascii="Times New Roman" w:hAnsi="Times New Roman"/>
              </w:rPr>
              <w:t>1</w:t>
            </w:r>
            <w:r>
              <w:rPr>
                <w:rFonts w:ascii="Times New Roman" w:hAnsi="Times New Roman"/>
              </w:rPr>
              <w:t xml:space="preserve"> und </w:t>
            </w:r>
            <w:r w:rsidRPr="00532F3A">
              <w:rPr>
                <w:rFonts w:ascii="Times New Roman" w:hAnsi="Times New Roman"/>
              </w:rPr>
              <w:t>3</w:t>
            </w:r>
            <w:r>
              <w:rPr>
                <w:rFonts w:ascii="Times New Roman" w:hAnsi="Times New Roman"/>
              </w:rPr>
              <w:t xml:space="preserve"> CRR handelt.</w:t>
            </w:r>
          </w:p>
          <w:p w:rsidR="002509B1" w:rsidRDefault="002509B1" w:rsidP="007E2A41">
            <w:pPr>
              <w:pStyle w:val="BodyText1"/>
              <w:spacing w:line="240" w:lineRule="auto"/>
              <w:rPr>
                <w:rFonts w:ascii="Times New Roman" w:hAnsi="Times New Roman"/>
                <w:b/>
                <w:bCs/>
                <w:u w:val="single"/>
              </w:rPr>
            </w:pPr>
          </w:p>
          <w:p w:rsidR="00086A8A" w:rsidRPr="00E5591F" w:rsidRDefault="00086A8A" w:rsidP="007E2A41">
            <w:pPr>
              <w:pStyle w:val="BodyText1"/>
              <w:spacing w:line="240" w:lineRule="auto"/>
              <w:rPr>
                <w:rFonts w:ascii="Times New Roman" w:hAnsi="Times New Roman"/>
                <w:bCs/>
              </w:rPr>
            </w:pPr>
            <w:r>
              <w:rPr>
                <w:rFonts w:ascii="Times New Roman" w:hAnsi="Times New Roman"/>
              </w:rPr>
              <w:t>Die Institute melden die Beträge abzüglich der ausgefallenen Risikopositionen.</w:t>
            </w:r>
          </w:p>
          <w:p w:rsidR="00086A8A" w:rsidRPr="00FE002E" w:rsidRDefault="00086A8A"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532F3A">
              <w:rPr>
                <w:rFonts w:ascii="Times New Roman" w:hAnsi="Times New Roman"/>
              </w:rPr>
              <w:t>160</w:t>
            </w:r>
            <w:r>
              <w:rPr>
                <w:rFonts w:ascii="Times New Roman" w:hAnsi="Times New Roman"/>
              </w:rPr>
              <w:t>;</w:t>
            </w:r>
            <w:r w:rsidRPr="00532F3A">
              <w:rPr>
                <w:rFonts w:ascii="Times New Roman" w:hAnsi="Times New Roman"/>
              </w:rPr>
              <w:t>040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Multilaterale Entwicklungsbanken, die </w:t>
            </w:r>
            <w:r>
              <w:rPr>
                <w:rFonts w:ascii="Times New Roman" w:hAnsi="Times New Roman"/>
                <w:b/>
                <w:u w:val="single"/>
              </w:rPr>
              <w:t>nicht</w:t>
            </w:r>
            <w:r>
              <w:rPr>
                <w:rFonts w:ascii="Times New Roman" w:hAnsi="Times New Roman"/>
                <w:b/>
              </w:rPr>
              <w:t xml:space="preserve"> wie Staaten behandelt werden — Risikogewichteter Positionsbetrag (RWA, risk-weighted exposure amount) — Risikopositionen nach dem IRB-Ansatz</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lastRenderedPageBreak/>
              <w:t xml:space="preserve">Der risikogewichtete Positionsbetrag von Vermögenswerten, bei denen es sich um Risikopositionen gegenüber multilateralen Entwicklungsbanken handelt, die nicht wie Risikopositionen gegenüber Staaten gemäß Artikel </w:t>
            </w:r>
            <w:r w:rsidRPr="00532F3A">
              <w:rPr>
                <w:rFonts w:ascii="Times New Roman" w:hAnsi="Times New Roman"/>
              </w:rPr>
              <w:t>147</w:t>
            </w:r>
            <w:r>
              <w:rPr>
                <w:rFonts w:ascii="Times New Roman" w:hAnsi="Times New Roman"/>
              </w:rPr>
              <w:t xml:space="preserve"> Absatz </w:t>
            </w:r>
            <w:r w:rsidRPr="00532F3A">
              <w:rPr>
                <w:rFonts w:ascii="Times New Roman" w:hAnsi="Times New Roman"/>
              </w:rPr>
              <w:t>4</w:t>
            </w:r>
            <w:r>
              <w:rPr>
                <w:rFonts w:ascii="Times New Roman" w:hAnsi="Times New Roman"/>
              </w:rPr>
              <w:t xml:space="preserve"> Buchstabe c CRR behandelt werden. </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Die Institute melden die Beträge abzüglich der ausgefallenen Risikopositionen.</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Pr>
                <w:rFonts w:ascii="Times New Roman" w:hAnsi="Times New Roman"/>
              </w:rPr>
              <w:lastRenderedPageBreak/>
              <w:t>{</w:t>
            </w:r>
            <w:r w:rsidRPr="00532F3A">
              <w:rPr>
                <w:rFonts w:ascii="Times New Roman" w:hAnsi="Times New Roman"/>
              </w:rPr>
              <w:t>170</w:t>
            </w:r>
            <w:r>
              <w:rPr>
                <w:rFonts w:ascii="Times New Roman" w:hAnsi="Times New Roman"/>
              </w:rPr>
              <w:t>;</w:t>
            </w:r>
            <w:r w:rsidRPr="00532F3A">
              <w:rPr>
                <w:rFonts w:ascii="Times New Roman" w:hAnsi="Times New Roman"/>
              </w:rPr>
              <w:t>010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Öffentliche Stellen, die </w:t>
            </w:r>
            <w:r>
              <w:rPr>
                <w:rFonts w:ascii="Times New Roman" w:hAnsi="Times New Roman"/>
                <w:b/>
                <w:u w:val="single"/>
              </w:rPr>
              <w:t>nicht</w:t>
            </w:r>
            <w:r>
              <w:rPr>
                <w:rFonts w:ascii="Times New Roman" w:hAnsi="Times New Roman"/>
                <w:b/>
              </w:rPr>
              <w:t xml:space="preserve"> wie Staaten behandelt werden — Risikopositionswert für die Verschuldungsquote — Risikopositionen nach dem Standardansatz</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Der Risikopositionswert für die Verschuldungsquote in Bezug auf Vermögenswerte, bei denen es sich um Risikopositionen gegenüber öffentlichen Stellen gemäß Artikel </w:t>
            </w:r>
            <w:r w:rsidRPr="00532F3A">
              <w:rPr>
                <w:rFonts w:ascii="Times New Roman" w:hAnsi="Times New Roman"/>
              </w:rPr>
              <w:t>116</w:t>
            </w:r>
            <w:r>
              <w:rPr>
                <w:rFonts w:ascii="Times New Roman" w:hAnsi="Times New Roman"/>
              </w:rPr>
              <w:t xml:space="preserve"> Absätze </w:t>
            </w:r>
            <w:r w:rsidRPr="00532F3A">
              <w:rPr>
                <w:rFonts w:ascii="Times New Roman" w:hAnsi="Times New Roman"/>
              </w:rPr>
              <w:t>1</w:t>
            </w:r>
            <w:r>
              <w:rPr>
                <w:rFonts w:ascii="Times New Roman" w:hAnsi="Times New Roman"/>
              </w:rPr>
              <w:t xml:space="preserve">, </w:t>
            </w:r>
            <w:r w:rsidRPr="00532F3A">
              <w:rPr>
                <w:rFonts w:ascii="Times New Roman" w:hAnsi="Times New Roman"/>
              </w:rPr>
              <w:t>2</w:t>
            </w:r>
            <w:r>
              <w:rPr>
                <w:rFonts w:ascii="Times New Roman" w:hAnsi="Times New Roman"/>
              </w:rPr>
              <w:t xml:space="preserve">, </w:t>
            </w:r>
            <w:r w:rsidRPr="00532F3A">
              <w:rPr>
                <w:rFonts w:ascii="Times New Roman" w:hAnsi="Times New Roman"/>
              </w:rPr>
              <w:t>3</w:t>
            </w:r>
            <w:r>
              <w:rPr>
                <w:rFonts w:ascii="Times New Roman" w:hAnsi="Times New Roman"/>
              </w:rPr>
              <w:t xml:space="preserve"> und </w:t>
            </w:r>
            <w:r w:rsidRPr="00532F3A">
              <w:rPr>
                <w:rFonts w:ascii="Times New Roman" w:hAnsi="Times New Roman"/>
              </w:rPr>
              <w:t>5</w:t>
            </w:r>
            <w:r>
              <w:rPr>
                <w:rFonts w:ascii="Times New Roman" w:hAnsi="Times New Roman"/>
              </w:rPr>
              <w:t xml:space="preserve"> CRR handelt.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Die Institute melden die Beträge abzüglich der ausgefallenen Risikopositionen.</w:t>
            </w:r>
          </w:p>
          <w:p w:rsidR="002509B1" w:rsidRPr="00FE002E" w:rsidRDefault="002509B1" w:rsidP="007E2A41">
            <w:pPr>
              <w:pStyle w:val="BodyText1"/>
              <w:spacing w:line="240" w:lineRule="auto"/>
              <w:rPr>
                <w:rFonts w:ascii="Times New Roman" w:hAnsi="Times New Roman"/>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w:t>
            </w:r>
            <w:r w:rsidRPr="00532F3A">
              <w:rPr>
                <w:rFonts w:ascii="Times New Roman" w:hAnsi="Times New Roman"/>
              </w:rPr>
              <w:t>170</w:t>
            </w:r>
            <w:r>
              <w:rPr>
                <w:rFonts w:ascii="Times New Roman" w:hAnsi="Times New Roman"/>
              </w:rPr>
              <w:t>;</w:t>
            </w:r>
            <w:r w:rsidRPr="00532F3A">
              <w:rPr>
                <w:rFonts w:ascii="Times New Roman" w:hAnsi="Times New Roman"/>
              </w:rPr>
              <w:t>020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 xml:space="preserve">Öffentliche Stellen, die </w:t>
            </w:r>
            <w:r>
              <w:rPr>
                <w:rFonts w:ascii="Times New Roman" w:hAnsi="Times New Roman"/>
                <w:b/>
                <w:u w:val="single"/>
              </w:rPr>
              <w:t>nicht</w:t>
            </w:r>
            <w:r>
              <w:rPr>
                <w:rFonts w:ascii="Times New Roman" w:hAnsi="Times New Roman"/>
                <w:b/>
              </w:rPr>
              <w:t xml:space="preserve"> wie Staaten behandelt werden — Risikopositionswert für die Verschuldungsquote — Risikopositionen nach dem IRB-Ansatz</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Der Risikopositionswert für die Verschuldungsquote in Bezug auf Vermögenswerte, bei denen es sich um unter Artikel </w:t>
            </w:r>
            <w:r w:rsidRPr="00532F3A">
              <w:rPr>
                <w:rFonts w:ascii="Times New Roman" w:hAnsi="Times New Roman"/>
              </w:rPr>
              <w:t>147</w:t>
            </w:r>
            <w:r>
              <w:rPr>
                <w:rFonts w:ascii="Times New Roman" w:hAnsi="Times New Roman"/>
              </w:rPr>
              <w:t xml:space="preserve"> Absatz </w:t>
            </w:r>
            <w:r w:rsidRPr="00532F3A">
              <w:rPr>
                <w:rFonts w:ascii="Times New Roman" w:hAnsi="Times New Roman"/>
              </w:rPr>
              <w:t>4</w:t>
            </w:r>
            <w:r>
              <w:rPr>
                <w:rFonts w:ascii="Times New Roman" w:hAnsi="Times New Roman"/>
              </w:rPr>
              <w:t xml:space="preserve"> Buchstabe b CRR fallende Risikopositionen gegenüber öffentlichen Stellen handelt, die nicht wie Staaten behandelt werden. </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Die Institute melden die Beträge abzüglich der ausgefallenen Risikopositionen.</w:t>
            </w:r>
          </w:p>
          <w:p w:rsidR="009C4E79" w:rsidRPr="00FE002E" w:rsidDel="00973F19"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532F3A">
              <w:rPr>
                <w:rFonts w:ascii="Times New Roman" w:hAnsi="Times New Roman"/>
              </w:rPr>
              <w:t>170</w:t>
            </w:r>
            <w:r>
              <w:rPr>
                <w:rFonts w:ascii="Times New Roman" w:hAnsi="Times New Roman"/>
              </w:rPr>
              <w:t>;</w:t>
            </w:r>
            <w:r w:rsidRPr="00532F3A">
              <w:rPr>
                <w:rFonts w:ascii="Times New Roman" w:hAnsi="Times New Roman"/>
              </w:rPr>
              <w:t>030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Öffentliche Stellen, die </w:t>
            </w:r>
            <w:r>
              <w:rPr>
                <w:rFonts w:ascii="Times New Roman" w:hAnsi="Times New Roman"/>
                <w:b/>
                <w:u w:val="single"/>
              </w:rPr>
              <w:t>nicht</w:t>
            </w:r>
            <w:r>
              <w:rPr>
                <w:rFonts w:ascii="Times New Roman" w:hAnsi="Times New Roman"/>
                <w:b/>
              </w:rPr>
              <w:t xml:space="preserve"> wie Staaten behandelt werden — Risikogewichteter Positionsbetrag (RWA, risk-weighted exposure amount) — Risikopositionen nach dem Standardansatz</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Der risikogewichtete Positionsbetrag von Vermögenswerten, bei denen es sich um Risikopositionen gegenüber öffentlichen Stellen gemäß Artikel </w:t>
            </w:r>
            <w:r w:rsidRPr="00532F3A">
              <w:rPr>
                <w:rFonts w:ascii="Times New Roman" w:hAnsi="Times New Roman"/>
              </w:rPr>
              <w:t>116</w:t>
            </w:r>
            <w:r>
              <w:rPr>
                <w:rFonts w:ascii="Times New Roman" w:hAnsi="Times New Roman"/>
              </w:rPr>
              <w:t xml:space="preserve"> Absätze </w:t>
            </w:r>
            <w:r w:rsidRPr="00532F3A">
              <w:rPr>
                <w:rFonts w:ascii="Times New Roman" w:hAnsi="Times New Roman"/>
              </w:rPr>
              <w:t>1</w:t>
            </w:r>
            <w:r>
              <w:rPr>
                <w:rFonts w:ascii="Times New Roman" w:hAnsi="Times New Roman"/>
              </w:rPr>
              <w:t xml:space="preserve">, </w:t>
            </w:r>
            <w:r w:rsidRPr="00532F3A">
              <w:rPr>
                <w:rFonts w:ascii="Times New Roman" w:hAnsi="Times New Roman"/>
              </w:rPr>
              <w:t>2</w:t>
            </w:r>
            <w:r>
              <w:rPr>
                <w:rFonts w:ascii="Times New Roman" w:hAnsi="Times New Roman"/>
              </w:rPr>
              <w:t xml:space="preserve">, </w:t>
            </w:r>
            <w:r w:rsidRPr="00532F3A">
              <w:rPr>
                <w:rFonts w:ascii="Times New Roman" w:hAnsi="Times New Roman"/>
              </w:rPr>
              <w:t>3</w:t>
            </w:r>
            <w:r>
              <w:rPr>
                <w:rFonts w:ascii="Times New Roman" w:hAnsi="Times New Roman"/>
              </w:rPr>
              <w:t xml:space="preserve"> und </w:t>
            </w:r>
            <w:r w:rsidRPr="00532F3A">
              <w:rPr>
                <w:rFonts w:ascii="Times New Roman" w:hAnsi="Times New Roman"/>
              </w:rPr>
              <w:t>5</w:t>
            </w:r>
            <w:r>
              <w:rPr>
                <w:rFonts w:ascii="Times New Roman" w:hAnsi="Times New Roman"/>
              </w:rPr>
              <w:t xml:space="preserve"> CRR handelt.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Die Institute melden die Beträge abzüglich der ausgefallenen Risikopositionen.</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532F3A">
              <w:rPr>
                <w:rFonts w:ascii="Times New Roman" w:hAnsi="Times New Roman"/>
              </w:rPr>
              <w:t>170</w:t>
            </w:r>
            <w:r>
              <w:rPr>
                <w:rFonts w:ascii="Times New Roman" w:hAnsi="Times New Roman"/>
              </w:rPr>
              <w:t>;</w:t>
            </w:r>
            <w:r w:rsidRPr="00532F3A">
              <w:rPr>
                <w:rFonts w:ascii="Times New Roman" w:hAnsi="Times New Roman"/>
              </w:rPr>
              <w:t>040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Öffentliche Stellen, die </w:t>
            </w:r>
            <w:r>
              <w:rPr>
                <w:rFonts w:ascii="Times New Roman" w:hAnsi="Times New Roman"/>
                <w:b/>
                <w:u w:val="single"/>
              </w:rPr>
              <w:t>nicht</w:t>
            </w:r>
            <w:r>
              <w:rPr>
                <w:rFonts w:ascii="Times New Roman" w:hAnsi="Times New Roman"/>
                <w:b/>
              </w:rPr>
              <w:t xml:space="preserve"> wie Staaten behandelt werden — Risikogewichteter Positionsbetrag (RWA, risk-weighted exposure amount) — Risikopositionen nach dem IRB-Ansatz</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Der risikogewichtete Positionsbetrag von Vermögenswerten, bei denen es sich um unter Artikel </w:t>
            </w:r>
            <w:r w:rsidRPr="00532F3A">
              <w:rPr>
                <w:rFonts w:ascii="Times New Roman" w:hAnsi="Times New Roman"/>
              </w:rPr>
              <w:t>147</w:t>
            </w:r>
            <w:r>
              <w:rPr>
                <w:rFonts w:ascii="Times New Roman" w:hAnsi="Times New Roman"/>
              </w:rPr>
              <w:t xml:space="preserve"> Absatz </w:t>
            </w:r>
            <w:r w:rsidRPr="00532F3A">
              <w:rPr>
                <w:rFonts w:ascii="Times New Roman" w:hAnsi="Times New Roman"/>
              </w:rPr>
              <w:t>4</w:t>
            </w:r>
            <w:r>
              <w:rPr>
                <w:rFonts w:ascii="Times New Roman" w:hAnsi="Times New Roman"/>
              </w:rPr>
              <w:t xml:space="preserve"> Buchstabe b CRR fallende Risikopositionen gegenüber öffentlichen Stellen handelt, die nicht wie Staaten behandelt werden. </w:t>
            </w:r>
          </w:p>
          <w:p w:rsidR="009C4E79" w:rsidRDefault="009C4E79"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Die Institute melden die Beträge abzüglich der ausgefallenen Risikopositionen.</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532F3A">
              <w:rPr>
                <w:rFonts w:ascii="Times New Roman" w:hAnsi="Times New Roman"/>
              </w:rPr>
              <w:t>180</w:t>
            </w:r>
            <w:r>
              <w:rPr>
                <w:rFonts w:ascii="Times New Roman" w:hAnsi="Times New Roman"/>
              </w:rPr>
              <w:t>;</w:t>
            </w:r>
            <w:r w:rsidRPr="00532F3A">
              <w:rPr>
                <w:rFonts w:ascii="Times New Roman" w:hAnsi="Times New Roman"/>
              </w:rPr>
              <w:t>010</w:t>
            </w:r>
            <w:r>
              <w:rPr>
                <w:rFonts w:ascii="Times New Roman" w:hAnsi="Times New Roman"/>
              </w:rPr>
              <w:t>}</w:t>
            </w:r>
          </w:p>
        </w:tc>
        <w:tc>
          <w:tcPr>
            <w:tcW w:w="8133" w:type="dxa"/>
            <w:shd w:val="clear" w:color="auto" w:fill="FFFFFF"/>
          </w:tcPr>
          <w:p w:rsidR="00F4754B" w:rsidRPr="00706750" w:rsidRDefault="00F4754B" w:rsidP="007E2A41">
            <w:pPr>
              <w:pStyle w:val="BodyText1"/>
              <w:spacing w:line="240" w:lineRule="auto"/>
              <w:rPr>
                <w:rFonts w:ascii="Times New Roman" w:hAnsi="Times New Roman"/>
                <w:b/>
                <w:bCs/>
              </w:rPr>
            </w:pPr>
            <w:r>
              <w:rPr>
                <w:rFonts w:ascii="Times New Roman" w:hAnsi="Times New Roman"/>
                <w:b/>
              </w:rPr>
              <w:t>Institute — Risikopositionswert für die Verschuldungsquote — Risikopositionen nach dem Standardansatz</w:t>
            </w:r>
          </w:p>
          <w:p w:rsidR="002509B1" w:rsidRPr="00706750"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Der Risikopositionswert für die Verschuldungsquote in Bezug auf Vermögenswerte, bei denen es sich um Risikopositionen gegenüber Instituten gemäß Artikel </w:t>
            </w:r>
            <w:r w:rsidRPr="00532F3A">
              <w:rPr>
                <w:rFonts w:ascii="Times New Roman" w:hAnsi="Times New Roman"/>
              </w:rPr>
              <w:t>119</w:t>
            </w:r>
            <w:r>
              <w:rPr>
                <w:rFonts w:ascii="Times New Roman" w:hAnsi="Times New Roman"/>
              </w:rPr>
              <w:t xml:space="preserve"> bis </w:t>
            </w:r>
            <w:r w:rsidRPr="00532F3A">
              <w:rPr>
                <w:rFonts w:ascii="Times New Roman" w:hAnsi="Times New Roman"/>
              </w:rPr>
              <w:t>121</w:t>
            </w:r>
            <w:r>
              <w:rPr>
                <w:rFonts w:ascii="Times New Roman" w:hAnsi="Times New Roman"/>
              </w:rPr>
              <w:t xml:space="preserve"> CRR handelt.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Die Institute melden die Beträge abzüglich der ausgefallenen Risikopositionen.</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w:t>
            </w:r>
            <w:r w:rsidRPr="00532F3A">
              <w:rPr>
                <w:rFonts w:ascii="Times New Roman" w:hAnsi="Times New Roman"/>
              </w:rPr>
              <w:t>180</w:t>
            </w:r>
            <w:r>
              <w:rPr>
                <w:rFonts w:ascii="Times New Roman" w:hAnsi="Times New Roman"/>
              </w:rPr>
              <w:t>;</w:t>
            </w:r>
            <w:r w:rsidRPr="00532F3A">
              <w:rPr>
                <w:rFonts w:ascii="Times New Roman" w:hAnsi="Times New Roman"/>
              </w:rPr>
              <w:t>020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Institute</w:t>
            </w:r>
            <w:r>
              <w:t xml:space="preserve"> </w:t>
            </w:r>
            <w:r>
              <w:rPr>
                <w:rFonts w:ascii="Times New Roman" w:hAnsi="Times New Roman"/>
                <w:b/>
              </w:rPr>
              <w:t>— Risikopositionswert für die Verschuldungsquote — Risikopositionen nach dem IRB-Ansatz</w:t>
            </w:r>
          </w:p>
          <w:p w:rsidR="002509B1" w:rsidRPr="00FE002E" w:rsidRDefault="002509B1"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Der Risikopositionswert für die Verschuldungsquote in Bezug auf Vermögenswerte, bei denen es sich um Risikopositionen gegenüber Instituten gemäß Artikel </w:t>
            </w:r>
            <w:r w:rsidRPr="00532F3A">
              <w:rPr>
                <w:rFonts w:ascii="Times New Roman" w:hAnsi="Times New Roman"/>
              </w:rPr>
              <w:t>147</w:t>
            </w:r>
            <w:r>
              <w:rPr>
                <w:rFonts w:ascii="Times New Roman" w:hAnsi="Times New Roman"/>
              </w:rPr>
              <w:t xml:space="preserve"> Absatz </w:t>
            </w:r>
            <w:r w:rsidRPr="00532F3A">
              <w:rPr>
                <w:rFonts w:ascii="Times New Roman" w:hAnsi="Times New Roman"/>
              </w:rPr>
              <w:t>2</w:t>
            </w:r>
            <w:r>
              <w:rPr>
                <w:rFonts w:ascii="Times New Roman" w:hAnsi="Times New Roman"/>
              </w:rPr>
              <w:t xml:space="preserve"> Buchstabe b CRR handelt und bei denen es sich </w:t>
            </w:r>
            <w:r>
              <w:rPr>
                <w:rFonts w:ascii="Times New Roman" w:hAnsi="Times New Roman"/>
                <w:b/>
                <w:u w:val="single"/>
              </w:rPr>
              <w:t>nicht</w:t>
            </w:r>
            <w:r>
              <w:rPr>
                <w:rFonts w:ascii="Times New Roman" w:hAnsi="Times New Roman"/>
              </w:rPr>
              <w:t xml:space="preserve"> um Risikopositionen in Form gedeckter </w:t>
            </w:r>
            <w:r>
              <w:rPr>
                <w:rFonts w:ascii="Times New Roman" w:hAnsi="Times New Roman"/>
              </w:rPr>
              <w:lastRenderedPageBreak/>
              <w:t xml:space="preserve">Schuldverschreibungen gemäß Artikel </w:t>
            </w:r>
            <w:r w:rsidRPr="00532F3A">
              <w:rPr>
                <w:rFonts w:ascii="Times New Roman" w:hAnsi="Times New Roman"/>
              </w:rPr>
              <w:t>161</w:t>
            </w:r>
            <w:r>
              <w:rPr>
                <w:rFonts w:ascii="Times New Roman" w:hAnsi="Times New Roman"/>
              </w:rPr>
              <w:t xml:space="preserve"> Absatz </w:t>
            </w:r>
            <w:r w:rsidRPr="00532F3A">
              <w:rPr>
                <w:rFonts w:ascii="Times New Roman" w:hAnsi="Times New Roman"/>
              </w:rPr>
              <w:t>1</w:t>
            </w:r>
            <w:r>
              <w:rPr>
                <w:rFonts w:ascii="Times New Roman" w:hAnsi="Times New Roman"/>
              </w:rPr>
              <w:t xml:space="preserve"> Buchstabe d CRR handelt und die </w:t>
            </w:r>
            <w:r>
              <w:rPr>
                <w:rFonts w:ascii="Times New Roman" w:hAnsi="Times New Roman"/>
                <w:b/>
                <w:u w:val="single"/>
              </w:rPr>
              <w:t>nicht</w:t>
            </w:r>
            <w:r>
              <w:rPr>
                <w:rFonts w:ascii="Times New Roman" w:hAnsi="Times New Roman"/>
              </w:rPr>
              <w:t xml:space="preserve"> unter Artikel </w:t>
            </w:r>
            <w:r w:rsidRPr="00532F3A">
              <w:rPr>
                <w:rFonts w:ascii="Times New Roman" w:hAnsi="Times New Roman"/>
              </w:rPr>
              <w:t>147</w:t>
            </w:r>
            <w:r>
              <w:rPr>
                <w:rFonts w:ascii="Times New Roman" w:hAnsi="Times New Roman"/>
              </w:rPr>
              <w:t xml:space="preserve"> Absatz </w:t>
            </w:r>
            <w:r w:rsidRPr="00532F3A">
              <w:rPr>
                <w:rFonts w:ascii="Times New Roman" w:hAnsi="Times New Roman"/>
              </w:rPr>
              <w:t>4</w:t>
            </w:r>
            <w:r>
              <w:rPr>
                <w:rFonts w:ascii="Times New Roman" w:hAnsi="Times New Roman"/>
              </w:rPr>
              <w:t xml:space="preserve"> Buchstaben a bis c CRR fallen.</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Die Institute melden die Beträge abzüglich der ausgefallenen Risikopositionen.</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lastRenderedPageBreak/>
              <w:t>{</w:t>
            </w:r>
            <w:r w:rsidRPr="00532F3A">
              <w:rPr>
                <w:rFonts w:ascii="Times New Roman" w:hAnsi="Times New Roman"/>
              </w:rPr>
              <w:t>180</w:t>
            </w:r>
            <w:r>
              <w:rPr>
                <w:rFonts w:ascii="Times New Roman" w:hAnsi="Times New Roman"/>
              </w:rPr>
              <w:t>;</w:t>
            </w:r>
            <w:r w:rsidRPr="00532F3A">
              <w:rPr>
                <w:rFonts w:ascii="Times New Roman" w:hAnsi="Times New Roman"/>
              </w:rPr>
              <w:t>030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Institute — Risikogewichteter Positionsbetrag (RWA, risk-weighted exposure amount) — Risikopositionen nach dem Standardansatz</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Der risikogewichtete Positionsbetrag von Vermögenswerten, bei denen es sich um Risikopositionen gegenüber Instituten gemäß den Artikeln </w:t>
            </w:r>
            <w:r w:rsidRPr="00532F3A">
              <w:rPr>
                <w:rFonts w:ascii="Times New Roman" w:hAnsi="Times New Roman"/>
              </w:rPr>
              <w:t>119</w:t>
            </w:r>
            <w:r>
              <w:rPr>
                <w:rFonts w:ascii="Times New Roman" w:hAnsi="Times New Roman"/>
              </w:rPr>
              <w:t xml:space="preserve"> bis </w:t>
            </w:r>
            <w:r w:rsidRPr="00532F3A">
              <w:rPr>
                <w:rFonts w:ascii="Times New Roman" w:hAnsi="Times New Roman"/>
              </w:rPr>
              <w:t>121</w:t>
            </w:r>
            <w:r>
              <w:rPr>
                <w:rFonts w:ascii="Times New Roman" w:hAnsi="Times New Roman"/>
              </w:rPr>
              <w:t xml:space="preserve"> CRR handelt.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Die Institute melden die Beträge abzüglich der ausgefallenen Risikopositionen.</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532F3A">
              <w:rPr>
                <w:rFonts w:ascii="Times New Roman" w:hAnsi="Times New Roman"/>
              </w:rPr>
              <w:t>180</w:t>
            </w:r>
            <w:r>
              <w:rPr>
                <w:rFonts w:ascii="Times New Roman" w:hAnsi="Times New Roman"/>
              </w:rPr>
              <w:t>;</w:t>
            </w:r>
            <w:r w:rsidRPr="00532F3A">
              <w:rPr>
                <w:rFonts w:ascii="Times New Roman" w:hAnsi="Times New Roman"/>
              </w:rPr>
              <w:t>040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Institute — Risikogewichteter Positionsbetrag (RWA, risk-weighted exposure amount) — Risikopositionen nach dem IRB-Ansatz</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Der risikogewichtete Positionsbetrag von Vermögenswerten, bei denen es sich um Risikopositionen gegenüber Instituten gemäß Artikel </w:t>
            </w:r>
            <w:r w:rsidRPr="00532F3A">
              <w:rPr>
                <w:rFonts w:ascii="Times New Roman" w:hAnsi="Times New Roman"/>
              </w:rPr>
              <w:t>147</w:t>
            </w:r>
            <w:r>
              <w:rPr>
                <w:rFonts w:ascii="Times New Roman" w:hAnsi="Times New Roman"/>
              </w:rPr>
              <w:t xml:space="preserve"> Absatz </w:t>
            </w:r>
            <w:r w:rsidRPr="00532F3A">
              <w:rPr>
                <w:rFonts w:ascii="Times New Roman" w:hAnsi="Times New Roman"/>
              </w:rPr>
              <w:t>2</w:t>
            </w:r>
            <w:r>
              <w:rPr>
                <w:rFonts w:ascii="Times New Roman" w:hAnsi="Times New Roman"/>
              </w:rPr>
              <w:t xml:space="preserve"> Buchstabe b CRR handelt und bei denen es sich </w:t>
            </w:r>
            <w:r>
              <w:rPr>
                <w:rFonts w:ascii="Times New Roman" w:hAnsi="Times New Roman"/>
                <w:b/>
                <w:u w:val="single"/>
              </w:rPr>
              <w:t>nicht</w:t>
            </w:r>
            <w:r>
              <w:rPr>
                <w:rFonts w:ascii="Times New Roman" w:hAnsi="Times New Roman"/>
              </w:rPr>
              <w:t xml:space="preserve"> um Risikopositionen in Form gedeckter Schuldverschreibungen gemäß Artikel </w:t>
            </w:r>
            <w:r w:rsidRPr="00532F3A">
              <w:rPr>
                <w:rFonts w:ascii="Times New Roman" w:hAnsi="Times New Roman"/>
              </w:rPr>
              <w:t>161</w:t>
            </w:r>
            <w:r>
              <w:rPr>
                <w:rFonts w:ascii="Times New Roman" w:hAnsi="Times New Roman"/>
              </w:rPr>
              <w:t xml:space="preserve"> Absatz </w:t>
            </w:r>
            <w:r w:rsidRPr="00532F3A">
              <w:rPr>
                <w:rFonts w:ascii="Times New Roman" w:hAnsi="Times New Roman"/>
              </w:rPr>
              <w:t>1</w:t>
            </w:r>
            <w:r>
              <w:rPr>
                <w:rFonts w:ascii="Times New Roman" w:hAnsi="Times New Roman"/>
              </w:rPr>
              <w:t xml:space="preserve"> Buchstabe d CRR handelt und die </w:t>
            </w:r>
            <w:r>
              <w:rPr>
                <w:rFonts w:ascii="Times New Roman" w:hAnsi="Times New Roman"/>
                <w:b/>
                <w:u w:val="single"/>
              </w:rPr>
              <w:t>nicht</w:t>
            </w:r>
            <w:r>
              <w:rPr>
                <w:rFonts w:ascii="Times New Roman" w:hAnsi="Times New Roman"/>
              </w:rPr>
              <w:t xml:space="preserve"> unter Artikel </w:t>
            </w:r>
            <w:r w:rsidRPr="00532F3A">
              <w:rPr>
                <w:rFonts w:ascii="Times New Roman" w:hAnsi="Times New Roman"/>
              </w:rPr>
              <w:t>147</w:t>
            </w:r>
            <w:r>
              <w:rPr>
                <w:rFonts w:ascii="Times New Roman" w:hAnsi="Times New Roman"/>
              </w:rPr>
              <w:t xml:space="preserve"> Absatz </w:t>
            </w:r>
            <w:r w:rsidRPr="00532F3A">
              <w:rPr>
                <w:rFonts w:ascii="Times New Roman" w:hAnsi="Times New Roman"/>
              </w:rPr>
              <w:t>4</w:t>
            </w:r>
            <w:r>
              <w:rPr>
                <w:rFonts w:ascii="Times New Roman" w:hAnsi="Times New Roman"/>
              </w:rPr>
              <w:t xml:space="preserve"> Buchstaben a bis c CRR fallen.</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Die Institute melden die Beträge abzüglich der ausgefallenen Risikopositionen.</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Pr>
                <w:rFonts w:ascii="Times New Roman" w:hAnsi="Times New Roman"/>
              </w:rPr>
              <w:t>{</w:t>
            </w:r>
            <w:r w:rsidRPr="00532F3A">
              <w:rPr>
                <w:rFonts w:ascii="Times New Roman" w:hAnsi="Times New Roman"/>
              </w:rPr>
              <w:t>190</w:t>
            </w:r>
            <w:r>
              <w:rPr>
                <w:rFonts w:ascii="Times New Roman" w:hAnsi="Times New Roman"/>
              </w:rPr>
              <w:t>;</w:t>
            </w:r>
            <w:r w:rsidRPr="00532F3A">
              <w:rPr>
                <w:rFonts w:ascii="Times New Roman" w:hAnsi="Times New Roman"/>
              </w:rPr>
              <w:t>010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Durch Grundpfandrechte auf Immobilien besichert; davon — Risikopositionswert für die Verschuldungsquote — Risikopositionen nach dem Standardansatz</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Der Risikopositionswert für die Verschuldungsquote in Bezug auf Vermögenswerte, bei denen es sich um durch Grundpfandrechte auf Immobilien besicherte Risikopositionen gemäß Artikel </w:t>
            </w:r>
            <w:r w:rsidRPr="00532F3A">
              <w:rPr>
                <w:rFonts w:ascii="Times New Roman" w:hAnsi="Times New Roman"/>
              </w:rPr>
              <w:t>124</w:t>
            </w:r>
            <w:r>
              <w:rPr>
                <w:rFonts w:ascii="Times New Roman" w:hAnsi="Times New Roman"/>
              </w:rPr>
              <w:t xml:space="preserve"> CRR handelt.</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Die Institute melden die Beträge abzüglich der ausgefallenen Risikopositionen.</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w:t>
            </w:r>
            <w:r w:rsidRPr="00532F3A">
              <w:rPr>
                <w:rFonts w:ascii="Times New Roman" w:hAnsi="Times New Roman"/>
              </w:rPr>
              <w:t>190</w:t>
            </w:r>
            <w:r>
              <w:rPr>
                <w:rFonts w:ascii="Times New Roman" w:hAnsi="Times New Roman"/>
              </w:rPr>
              <w:t>;</w:t>
            </w:r>
            <w:r w:rsidRPr="00532F3A">
              <w:rPr>
                <w:rFonts w:ascii="Times New Roman" w:hAnsi="Times New Roman"/>
              </w:rPr>
              <w:t>020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Durch Grundpfandrechte auf Immobilien besichert; davon — Risikopositionswert für die Verschuldungsquote — Risikopositionen nach dem IRB-Ansatz</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Der Risikopositionswert für die Verschuldungsquote in Bezug auf Vermögenswerte, bei denen es sich um Risikopositionen gegenüber Unternehmen gemäß Artikel </w:t>
            </w:r>
            <w:r w:rsidRPr="00532F3A">
              <w:rPr>
                <w:rFonts w:ascii="Times New Roman" w:hAnsi="Times New Roman"/>
              </w:rPr>
              <w:t>147</w:t>
            </w:r>
            <w:r>
              <w:rPr>
                <w:rFonts w:ascii="Times New Roman" w:hAnsi="Times New Roman"/>
              </w:rPr>
              <w:t xml:space="preserve"> Absatz </w:t>
            </w:r>
            <w:r w:rsidRPr="00532F3A">
              <w:rPr>
                <w:rFonts w:ascii="Times New Roman" w:hAnsi="Times New Roman"/>
              </w:rPr>
              <w:t>2</w:t>
            </w:r>
            <w:r>
              <w:rPr>
                <w:rFonts w:ascii="Times New Roman" w:hAnsi="Times New Roman"/>
              </w:rPr>
              <w:t xml:space="preserve"> Buchstabe c oder um Risikopositionen aus dem Mengengeschäft gemäß Artikel </w:t>
            </w:r>
            <w:r w:rsidRPr="00532F3A">
              <w:rPr>
                <w:rFonts w:ascii="Times New Roman" w:hAnsi="Times New Roman"/>
              </w:rPr>
              <w:t>147</w:t>
            </w:r>
            <w:r>
              <w:rPr>
                <w:rFonts w:ascii="Times New Roman" w:hAnsi="Times New Roman"/>
              </w:rPr>
              <w:t xml:space="preserve"> Absatz </w:t>
            </w:r>
            <w:r w:rsidRPr="00532F3A">
              <w:rPr>
                <w:rFonts w:ascii="Times New Roman" w:hAnsi="Times New Roman"/>
              </w:rPr>
              <w:t>2</w:t>
            </w:r>
            <w:r>
              <w:rPr>
                <w:rFonts w:ascii="Times New Roman" w:hAnsi="Times New Roman"/>
              </w:rPr>
              <w:t xml:space="preserve"> Buchstabe d CRR handelt, falls diese Risikopositionen durch Grundpfandrechte auf Immobilien gemäß Artikel </w:t>
            </w:r>
            <w:r w:rsidRPr="00532F3A">
              <w:rPr>
                <w:rFonts w:ascii="Times New Roman" w:hAnsi="Times New Roman"/>
              </w:rPr>
              <w:t>199</w:t>
            </w:r>
            <w:r>
              <w:rPr>
                <w:rFonts w:ascii="Times New Roman" w:hAnsi="Times New Roman"/>
              </w:rPr>
              <w:t xml:space="preserve"> Absatz </w:t>
            </w:r>
            <w:r w:rsidRPr="00532F3A">
              <w:rPr>
                <w:rFonts w:ascii="Times New Roman" w:hAnsi="Times New Roman"/>
              </w:rPr>
              <w:t>1</w:t>
            </w:r>
            <w:r>
              <w:rPr>
                <w:rFonts w:ascii="Times New Roman" w:hAnsi="Times New Roman"/>
              </w:rPr>
              <w:t xml:space="preserve"> Buchstabe a CRR besichert sind.</w:t>
            </w:r>
          </w:p>
          <w:p w:rsidR="002509B1" w:rsidRDefault="002509B1"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Die Institute melden die Beträge abzüglich der ausgefallenen Risikopositionen.</w:t>
            </w:r>
          </w:p>
          <w:p w:rsidR="009C4E79" w:rsidRPr="00FE002E" w:rsidRDefault="009C4E79"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532F3A">
              <w:rPr>
                <w:rFonts w:ascii="Times New Roman" w:hAnsi="Times New Roman"/>
              </w:rPr>
              <w:t>190</w:t>
            </w:r>
            <w:r>
              <w:rPr>
                <w:rFonts w:ascii="Times New Roman" w:hAnsi="Times New Roman"/>
              </w:rPr>
              <w:t>;</w:t>
            </w:r>
            <w:r w:rsidRPr="00532F3A">
              <w:rPr>
                <w:rFonts w:ascii="Times New Roman" w:hAnsi="Times New Roman"/>
              </w:rPr>
              <w:t>030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Durch Grundpfandrechte auf Immobilien besichert; davon — Risikogewichteter Positionsbetrag (RWA, risk-weighted exposure amount) — Risikopositionen nach dem Standardansatz</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Der risikogewichtete Positionsbetrag von Vermögenswerten, bei denen es sich um durch Grundpfandrechte auf Immobilien besicherte Risikopositionen gemäß Artikel </w:t>
            </w:r>
            <w:r w:rsidRPr="00532F3A">
              <w:rPr>
                <w:rFonts w:ascii="Times New Roman" w:hAnsi="Times New Roman"/>
              </w:rPr>
              <w:t>124</w:t>
            </w:r>
            <w:r>
              <w:rPr>
                <w:rFonts w:ascii="Times New Roman" w:hAnsi="Times New Roman"/>
              </w:rPr>
              <w:t xml:space="preserve"> CRR handelt.</w:t>
            </w:r>
          </w:p>
          <w:p w:rsidR="002509B1" w:rsidRDefault="002509B1" w:rsidP="007E2A41">
            <w:pPr>
              <w:pStyle w:val="BodyText1"/>
              <w:spacing w:line="240" w:lineRule="auto"/>
              <w:rPr>
                <w:rFonts w:ascii="Times New Roman" w:hAnsi="Times New Roman"/>
                <w:b/>
                <w:bCs/>
                <w:u w:val="single"/>
              </w:rPr>
            </w:pPr>
          </w:p>
          <w:p w:rsidR="00086A8A" w:rsidRPr="00E5591F" w:rsidRDefault="00086A8A" w:rsidP="007E2A41">
            <w:pPr>
              <w:pStyle w:val="BodyText1"/>
              <w:spacing w:line="240" w:lineRule="auto"/>
              <w:rPr>
                <w:rFonts w:ascii="Times New Roman" w:hAnsi="Times New Roman"/>
                <w:bCs/>
              </w:rPr>
            </w:pPr>
            <w:r>
              <w:rPr>
                <w:rFonts w:ascii="Times New Roman" w:hAnsi="Times New Roman"/>
              </w:rPr>
              <w:t>Die Institute melden die Beträge abzüglich der ausgefallenen Risikopositionen.</w:t>
            </w:r>
          </w:p>
          <w:p w:rsidR="00086A8A" w:rsidRPr="00FE002E" w:rsidRDefault="00086A8A"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532F3A">
              <w:rPr>
                <w:rFonts w:ascii="Times New Roman" w:hAnsi="Times New Roman"/>
              </w:rPr>
              <w:t>190</w:t>
            </w:r>
            <w:r>
              <w:rPr>
                <w:rFonts w:ascii="Times New Roman" w:hAnsi="Times New Roman"/>
              </w:rPr>
              <w:t>;</w:t>
            </w:r>
            <w:r w:rsidRPr="00532F3A">
              <w:rPr>
                <w:rFonts w:ascii="Times New Roman" w:hAnsi="Times New Roman"/>
              </w:rPr>
              <w:t>040</w:t>
            </w:r>
            <w:r>
              <w:rPr>
                <w:rFonts w:ascii="Times New Roman" w:hAnsi="Times New Roman"/>
              </w:rPr>
              <w:t>}</w:t>
            </w:r>
          </w:p>
        </w:tc>
        <w:tc>
          <w:tcPr>
            <w:tcW w:w="8133" w:type="dxa"/>
            <w:shd w:val="clear" w:color="auto" w:fill="FFFFFF"/>
          </w:tcPr>
          <w:p w:rsidR="00F4754B" w:rsidRPr="00FE002E" w:rsidRDefault="00F4754B" w:rsidP="00706750">
            <w:pPr>
              <w:pStyle w:val="BodyText1"/>
              <w:tabs>
                <w:tab w:val="left" w:pos="6382"/>
              </w:tabs>
              <w:spacing w:line="240" w:lineRule="auto"/>
              <w:rPr>
                <w:rFonts w:ascii="Times New Roman" w:hAnsi="Times New Roman"/>
                <w:b/>
                <w:bCs/>
              </w:rPr>
            </w:pPr>
            <w:r>
              <w:rPr>
                <w:rFonts w:ascii="Times New Roman" w:hAnsi="Times New Roman"/>
                <w:b/>
              </w:rPr>
              <w:t>Durch Grundpfandrechte auf Immobilien besichert; davon — Risikogewichteter Positionsbetrag (RWA, risk-weighted exposure amount) — Risikopositionen nach dem IRB-Ansatz</w:t>
            </w:r>
            <w:r>
              <w:tab/>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Der risikogewichtete Positionsbetrag von Vermögenswerten, bei denen es sich um Risikopositionen gegenüber Unternehmen gemäß Artikel </w:t>
            </w:r>
            <w:r w:rsidRPr="00532F3A">
              <w:rPr>
                <w:rFonts w:ascii="Times New Roman" w:hAnsi="Times New Roman"/>
              </w:rPr>
              <w:t>147</w:t>
            </w:r>
            <w:r>
              <w:rPr>
                <w:rFonts w:ascii="Times New Roman" w:hAnsi="Times New Roman"/>
              </w:rPr>
              <w:t xml:space="preserve"> Absatz </w:t>
            </w:r>
            <w:r w:rsidRPr="00532F3A">
              <w:rPr>
                <w:rFonts w:ascii="Times New Roman" w:hAnsi="Times New Roman"/>
              </w:rPr>
              <w:t>2</w:t>
            </w:r>
            <w:r>
              <w:rPr>
                <w:rFonts w:ascii="Times New Roman" w:hAnsi="Times New Roman"/>
              </w:rPr>
              <w:t xml:space="preserve"> Buchstabe c oder um </w:t>
            </w:r>
            <w:r>
              <w:rPr>
                <w:rFonts w:ascii="Times New Roman" w:hAnsi="Times New Roman"/>
              </w:rPr>
              <w:lastRenderedPageBreak/>
              <w:t xml:space="preserve">Risikopositionen aus dem Mengengeschäft gemäß Artikel </w:t>
            </w:r>
            <w:r w:rsidRPr="00532F3A">
              <w:rPr>
                <w:rFonts w:ascii="Times New Roman" w:hAnsi="Times New Roman"/>
              </w:rPr>
              <w:t>147</w:t>
            </w:r>
            <w:r>
              <w:rPr>
                <w:rFonts w:ascii="Times New Roman" w:hAnsi="Times New Roman"/>
              </w:rPr>
              <w:t xml:space="preserve"> Absatz </w:t>
            </w:r>
            <w:r w:rsidRPr="00532F3A">
              <w:rPr>
                <w:rFonts w:ascii="Times New Roman" w:hAnsi="Times New Roman"/>
              </w:rPr>
              <w:t>2</w:t>
            </w:r>
            <w:r>
              <w:rPr>
                <w:rFonts w:ascii="Times New Roman" w:hAnsi="Times New Roman"/>
              </w:rPr>
              <w:t xml:space="preserve"> Buchstabe d CRR handelt, falls diese Risikopositionen durch Grundpfandrechte auf Immobilien gemäß Artikel </w:t>
            </w:r>
            <w:r w:rsidRPr="00532F3A">
              <w:rPr>
                <w:rFonts w:ascii="Times New Roman" w:hAnsi="Times New Roman"/>
              </w:rPr>
              <w:t>199</w:t>
            </w:r>
            <w:r>
              <w:rPr>
                <w:rFonts w:ascii="Times New Roman" w:hAnsi="Times New Roman"/>
              </w:rPr>
              <w:t xml:space="preserve"> Absatz </w:t>
            </w:r>
            <w:r w:rsidRPr="00532F3A">
              <w:rPr>
                <w:rFonts w:ascii="Times New Roman" w:hAnsi="Times New Roman"/>
              </w:rPr>
              <w:t>1</w:t>
            </w:r>
            <w:r>
              <w:rPr>
                <w:rFonts w:ascii="Times New Roman" w:hAnsi="Times New Roman"/>
              </w:rPr>
              <w:t xml:space="preserve"> Buchstabe a CRR besichert sind.</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Die Institute melden die Beträge abzüglich der ausgefallenen Risikopositionen.</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Pr>
                <w:rFonts w:ascii="Times New Roman" w:hAnsi="Times New Roman"/>
              </w:rPr>
              <w:lastRenderedPageBreak/>
              <w:t>{</w:t>
            </w:r>
            <w:r w:rsidRPr="00532F3A">
              <w:rPr>
                <w:rFonts w:ascii="Times New Roman" w:hAnsi="Times New Roman"/>
              </w:rPr>
              <w:t>200</w:t>
            </w:r>
            <w:r>
              <w:rPr>
                <w:rFonts w:ascii="Times New Roman" w:hAnsi="Times New Roman"/>
              </w:rPr>
              <w:t>;</w:t>
            </w:r>
            <w:r w:rsidRPr="00532F3A">
              <w:rPr>
                <w:rFonts w:ascii="Times New Roman" w:hAnsi="Times New Roman"/>
              </w:rPr>
              <w:t>010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Durch Grundpfandrechte auf Wohnimmobilien besichert — Risikopositionswert für die Verschuldungsquote — Risikopositionen nach dem Standardansatz</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Der Risikopositionswert für die Verschuldungsquote in Bezug auf Vermögenswerte, bei denen es sich um vollständig durch Grundpfandrechte auf Wohnimmobilien besicherte Risikopositionen gemäß Artikel </w:t>
            </w:r>
            <w:r w:rsidRPr="00532F3A">
              <w:rPr>
                <w:rFonts w:ascii="Times New Roman" w:hAnsi="Times New Roman"/>
              </w:rPr>
              <w:t>125</w:t>
            </w:r>
            <w:r>
              <w:rPr>
                <w:rFonts w:ascii="Times New Roman" w:hAnsi="Times New Roman"/>
              </w:rPr>
              <w:t xml:space="preserve"> CRR handelt.</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Die Institute melden die Beträge abzüglich der ausgefallenen Risikopositionen.</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w:t>
            </w:r>
            <w:r w:rsidRPr="00532F3A">
              <w:rPr>
                <w:rFonts w:ascii="Times New Roman" w:hAnsi="Times New Roman"/>
              </w:rPr>
              <w:t>200</w:t>
            </w:r>
            <w:r>
              <w:rPr>
                <w:rFonts w:ascii="Times New Roman" w:hAnsi="Times New Roman"/>
              </w:rPr>
              <w:t>;</w:t>
            </w:r>
            <w:r w:rsidRPr="00532F3A">
              <w:rPr>
                <w:rFonts w:ascii="Times New Roman" w:hAnsi="Times New Roman"/>
              </w:rPr>
              <w:t>020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Durch Grundpfandrechte auf Wohnimmobilien besichert — Risikopositionswert für die Verschuldungsquote — Risikopositionen nach dem IRB-Ansatz</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Der Risikopositionswert für die Verschuldungsquote in Bezug auf Vermögenswerte, bei denen es sich um Risikopositionen gegenüber Unternehmen gemäß Artikel </w:t>
            </w:r>
            <w:r w:rsidRPr="00532F3A">
              <w:rPr>
                <w:rFonts w:ascii="Times New Roman" w:hAnsi="Times New Roman"/>
              </w:rPr>
              <w:t>147</w:t>
            </w:r>
            <w:r>
              <w:rPr>
                <w:rFonts w:ascii="Times New Roman" w:hAnsi="Times New Roman"/>
              </w:rPr>
              <w:t xml:space="preserve"> Absatz </w:t>
            </w:r>
            <w:r w:rsidRPr="00532F3A">
              <w:rPr>
                <w:rFonts w:ascii="Times New Roman" w:hAnsi="Times New Roman"/>
              </w:rPr>
              <w:t>2</w:t>
            </w:r>
            <w:r>
              <w:rPr>
                <w:rFonts w:ascii="Times New Roman" w:hAnsi="Times New Roman"/>
              </w:rPr>
              <w:t xml:space="preserve"> Buchstabe c oder um Risikopositionen aus dem Mengengeschäft gemäß Artikel </w:t>
            </w:r>
            <w:r w:rsidRPr="00532F3A">
              <w:rPr>
                <w:rFonts w:ascii="Times New Roman" w:hAnsi="Times New Roman"/>
              </w:rPr>
              <w:t>147</w:t>
            </w:r>
            <w:r>
              <w:rPr>
                <w:rFonts w:ascii="Times New Roman" w:hAnsi="Times New Roman"/>
              </w:rPr>
              <w:t xml:space="preserve"> Absatz </w:t>
            </w:r>
            <w:r w:rsidRPr="00532F3A">
              <w:rPr>
                <w:rFonts w:ascii="Times New Roman" w:hAnsi="Times New Roman"/>
              </w:rPr>
              <w:t>2</w:t>
            </w:r>
            <w:r>
              <w:rPr>
                <w:rFonts w:ascii="Times New Roman" w:hAnsi="Times New Roman"/>
              </w:rPr>
              <w:t xml:space="preserve"> Buchstabe d CRR handelt, falls diese Risikopositionen durch Grundpfandrechte auf Wohnimmobilien gemäß Artikel </w:t>
            </w:r>
            <w:r w:rsidRPr="00532F3A">
              <w:rPr>
                <w:rFonts w:ascii="Times New Roman" w:hAnsi="Times New Roman"/>
              </w:rPr>
              <w:t>199</w:t>
            </w:r>
            <w:r>
              <w:rPr>
                <w:rFonts w:ascii="Times New Roman" w:hAnsi="Times New Roman"/>
              </w:rPr>
              <w:t xml:space="preserve"> Absatz </w:t>
            </w:r>
            <w:r w:rsidRPr="00532F3A">
              <w:rPr>
                <w:rFonts w:ascii="Times New Roman" w:hAnsi="Times New Roman"/>
              </w:rPr>
              <w:t>1</w:t>
            </w:r>
            <w:r>
              <w:rPr>
                <w:rFonts w:ascii="Times New Roman" w:hAnsi="Times New Roman"/>
              </w:rPr>
              <w:t xml:space="preserve"> Buchstabe a CRR besichert sind.</w:t>
            </w:r>
          </w:p>
          <w:p w:rsidR="009C4E79" w:rsidRDefault="009C4E79" w:rsidP="007E2A41">
            <w:pPr>
              <w:pStyle w:val="BodyText1"/>
              <w:spacing w:line="240" w:lineRule="auto"/>
              <w:rPr>
                <w:rFonts w:ascii="Times New Roman" w:hAnsi="Times New Roman"/>
                <w:bCs/>
              </w:rPr>
            </w:pPr>
          </w:p>
          <w:p w:rsidR="002509B1" w:rsidRPr="00FE002E" w:rsidDel="003A59D6" w:rsidRDefault="009C4E79" w:rsidP="007E2A41">
            <w:pPr>
              <w:pStyle w:val="BodyText1"/>
              <w:spacing w:line="240" w:lineRule="auto"/>
              <w:rPr>
                <w:rFonts w:ascii="Times New Roman" w:hAnsi="Times New Roman"/>
                <w:b/>
                <w:bCs/>
                <w:u w:val="single"/>
              </w:rPr>
            </w:pPr>
            <w:r>
              <w:rPr>
                <w:rFonts w:ascii="Times New Roman" w:hAnsi="Times New Roman"/>
              </w:rPr>
              <w:t>Die Institute melden die Beträge abzüglich der ausgefallenen Risikopositionen.</w:t>
            </w: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532F3A">
              <w:rPr>
                <w:rFonts w:ascii="Times New Roman" w:hAnsi="Times New Roman"/>
              </w:rPr>
              <w:t>200</w:t>
            </w:r>
            <w:r>
              <w:rPr>
                <w:rFonts w:ascii="Times New Roman" w:hAnsi="Times New Roman"/>
              </w:rPr>
              <w:t>;</w:t>
            </w:r>
            <w:r w:rsidRPr="00532F3A">
              <w:rPr>
                <w:rFonts w:ascii="Times New Roman" w:hAnsi="Times New Roman"/>
              </w:rPr>
              <w:t>030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Durch Grundpfandrechte auf Wohnimmobilien besichert — Risikogewichteter Positionsbetrag (RWA, risk-weighted exposure amount) — Risikopositionen nach dem Standardansatz</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Der risikogewichtete Positionsbetrag von Vermögenswerten, bei denen es sich um vollständig durch Grundpfandrechte auf Wohnimmobilien besicherte Risikopositionen gemäß Artikel </w:t>
            </w:r>
            <w:r w:rsidRPr="00532F3A">
              <w:rPr>
                <w:rFonts w:ascii="Times New Roman" w:hAnsi="Times New Roman"/>
              </w:rPr>
              <w:t>125</w:t>
            </w:r>
            <w:r>
              <w:rPr>
                <w:rFonts w:ascii="Times New Roman" w:hAnsi="Times New Roman"/>
              </w:rPr>
              <w:t xml:space="preserve"> CRR handelt. Die Institute melden die Beträge abzüglich der ausgefallenen Risikopositionen.</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Die Institute melden die Beträge abzüglich der ausgefallenen Risikopositionen.</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Pr>
                <w:rFonts w:ascii="Times New Roman" w:hAnsi="Times New Roman"/>
              </w:rPr>
              <w:t>{</w:t>
            </w:r>
            <w:r w:rsidRPr="00532F3A">
              <w:rPr>
                <w:rFonts w:ascii="Times New Roman" w:hAnsi="Times New Roman"/>
              </w:rPr>
              <w:t>200</w:t>
            </w:r>
            <w:r>
              <w:rPr>
                <w:rFonts w:ascii="Times New Roman" w:hAnsi="Times New Roman"/>
              </w:rPr>
              <w:t>;</w:t>
            </w:r>
            <w:r w:rsidRPr="00532F3A">
              <w:rPr>
                <w:rFonts w:ascii="Times New Roman" w:hAnsi="Times New Roman"/>
              </w:rPr>
              <w:t>040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Durch Grundpfandrechte auf Wohnimmobilien besichert — Risikogewichteter Positionsbetrag (RWA, risk-weighted exposure amount) — Risikopositionen nach dem IRB-Ansatz</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Der risikogewichtete Positionsbetrag von Vermögenswerten, bei denen es sich um Risikopositionen gegenüber Unternehmen gemäß Artikel </w:t>
            </w:r>
            <w:r w:rsidRPr="00532F3A">
              <w:rPr>
                <w:rFonts w:ascii="Times New Roman" w:hAnsi="Times New Roman"/>
              </w:rPr>
              <w:t>147</w:t>
            </w:r>
            <w:r>
              <w:rPr>
                <w:rFonts w:ascii="Times New Roman" w:hAnsi="Times New Roman"/>
              </w:rPr>
              <w:t xml:space="preserve"> Absatz </w:t>
            </w:r>
            <w:r w:rsidRPr="00532F3A">
              <w:rPr>
                <w:rFonts w:ascii="Times New Roman" w:hAnsi="Times New Roman"/>
              </w:rPr>
              <w:t>2</w:t>
            </w:r>
            <w:r>
              <w:rPr>
                <w:rFonts w:ascii="Times New Roman" w:hAnsi="Times New Roman"/>
              </w:rPr>
              <w:t xml:space="preserve"> Buchstabe c oder um Risikopositionen aus dem Mengengeschäft gemäß Artikel </w:t>
            </w:r>
            <w:r w:rsidRPr="00532F3A">
              <w:rPr>
                <w:rFonts w:ascii="Times New Roman" w:hAnsi="Times New Roman"/>
              </w:rPr>
              <w:t>147</w:t>
            </w:r>
            <w:r>
              <w:rPr>
                <w:rFonts w:ascii="Times New Roman" w:hAnsi="Times New Roman"/>
              </w:rPr>
              <w:t xml:space="preserve"> Absatz </w:t>
            </w:r>
            <w:r w:rsidRPr="00532F3A">
              <w:rPr>
                <w:rFonts w:ascii="Times New Roman" w:hAnsi="Times New Roman"/>
              </w:rPr>
              <w:t>2</w:t>
            </w:r>
            <w:r>
              <w:rPr>
                <w:rFonts w:ascii="Times New Roman" w:hAnsi="Times New Roman"/>
              </w:rPr>
              <w:t xml:space="preserve"> Buchstabe d CRR handelt, falls diese Risikopositionen durch Grundpfandrechte auf Wohnimmobilien gemäß Artikel </w:t>
            </w:r>
            <w:r w:rsidRPr="00532F3A">
              <w:rPr>
                <w:rFonts w:ascii="Times New Roman" w:hAnsi="Times New Roman"/>
              </w:rPr>
              <w:t>199</w:t>
            </w:r>
            <w:r>
              <w:rPr>
                <w:rFonts w:ascii="Times New Roman" w:hAnsi="Times New Roman"/>
              </w:rPr>
              <w:t xml:space="preserve"> Absatz </w:t>
            </w:r>
            <w:r w:rsidRPr="00532F3A">
              <w:rPr>
                <w:rFonts w:ascii="Times New Roman" w:hAnsi="Times New Roman"/>
              </w:rPr>
              <w:t>1</w:t>
            </w:r>
            <w:r>
              <w:rPr>
                <w:rFonts w:ascii="Times New Roman" w:hAnsi="Times New Roman"/>
              </w:rPr>
              <w:t xml:space="preserve"> Buchstabe a CRR besichert sind. </w:t>
            </w:r>
          </w:p>
          <w:p w:rsidR="009C4E79" w:rsidRDefault="009C4E79" w:rsidP="007E2A41">
            <w:pPr>
              <w:pStyle w:val="BodyText1"/>
              <w:spacing w:line="240" w:lineRule="auto"/>
              <w:rPr>
                <w:rFonts w:ascii="Times New Roman" w:hAnsi="Times New Roman"/>
                <w:bCs/>
              </w:rPr>
            </w:pPr>
          </w:p>
          <w:p w:rsidR="002509B1" w:rsidRPr="00FE002E" w:rsidRDefault="009C4E79" w:rsidP="007E2A41">
            <w:pPr>
              <w:pStyle w:val="BodyText1"/>
              <w:spacing w:line="240" w:lineRule="auto"/>
              <w:rPr>
                <w:rFonts w:ascii="Times New Roman" w:hAnsi="Times New Roman"/>
                <w:b/>
                <w:bCs/>
                <w:u w:val="single"/>
              </w:rPr>
            </w:pPr>
            <w:r>
              <w:rPr>
                <w:rFonts w:ascii="Times New Roman" w:hAnsi="Times New Roman"/>
              </w:rPr>
              <w:t>Die Institute melden die Beträge abzüglich der ausgefallenen Risikopositionen.</w:t>
            </w: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532F3A">
              <w:rPr>
                <w:rFonts w:ascii="Times New Roman" w:hAnsi="Times New Roman"/>
              </w:rPr>
              <w:t>210</w:t>
            </w:r>
            <w:r>
              <w:rPr>
                <w:rFonts w:ascii="Times New Roman" w:hAnsi="Times New Roman"/>
              </w:rPr>
              <w:t>;</w:t>
            </w:r>
            <w:r w:rsidRPr="00532F3A">
              <w:rPr>
                <w:rFonts w:ascii="Times New Roman" w:hAnsi="Times New Roman"/>
              </w:rPr>
              <w:t>010</w:t>
            </w:r>
            <w:r>
              <w:rPr>
                <w:rFonts w:ascii="Times New Roman" w:hAnsi="Times New Roman"/>
              </w:rPr>
              <w:t>}</w:t>
            </w:r>
          </w:p>
        </w:tc>
        <w:tc>
          <w:tcPr>
            <w:tcW w:w="8133" w:type="dxa"/>
            <w:shd w:val="clear" w:color="auto" w:fill="FFFFFF"/>
          </w:tcPr>
          <w:p w:rsidR="00F4754B" w:rsidRPr="00967213" w:rsidRDefault="00F4754B" w:rsidP="007E2A41">
            <w:pPr>
              <w:pStyle w:val="BodyText1"/>
              <w:spacing w:line="240" w:lineRule="auto"/>
              <w:rPr>
                <w:rFonts w:ascii="Times New Roman" w:hAnsi="Times New Roman"/>
                <w:b/>
                <w:bCs/>
              </w:rPr>
            </w:pPr>
            <w:r>
              <w:rPr>
                <w:rFonts w:ascii="Times New Roman" w:hAnsi="Times New Roman"/>
                <w:b/>
              </w:rPr>
              <w:t>Risikopositionen aus dem Mengengeschäft; davon — Risikopositionswert für die Verschuldungsquote — Risikopositionen nach dem Standardansatz</w:t>
            </w:r>
          </w:p>
          <w:p w:rsidR="002509B1" w:rsidRPr="00967213"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Der Risikopositionswert für die Verschuldungsquote in Bezug auf Vermögenswerte, bei denen es sich um Risikopositionen aus dem Mengengeschäft gemäß Artikel </w:t>
            </w:r>
            <w:r w:rsidRPr="00532F3A">
              <w:rPr>
                <w:rFonts w:ascii="Times New Roman" w:hAnsi="Times New Roman"/>
              </w:rPr>
              <w:t>123</w:t>
            </w:r>
            <w:r>
              <w:rPr>
                <w:rFonts w:ascii="Times New Roman" w:hAnsi="Times New Roman"/>
              </w:rPr>
              <w:t xml:space="preserve"> CRR handelt.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Die Institute melden die Beträge abzüglich der ausgefallenen Risikopositionen.</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w:t>
            </w:r>
            <w:r w:rsidRPr="00532F3A">
              <w:rPr>
                <w:rFonts w:ascii="Times New Roman" w:hAnsi="Times New Roman"/>
              </w:rPr>
              <w:t>210</w:t>
            </w:r>
            <w:r>
              <w:rPr>
                <w:rFonts w:ascii="Times New Roman" w:hAnsi="Times New Roman"/>
              </w:rPr>
              <w:t>;</w:t>
            </w:r>
            <w:r w:rsidRPr="00532F3A">
              <w:rPr>
                <w:rFonts w:ascii="Times New Roman" w:hAnsi="Times New Roman"/>
              </w:rPr>
              <w:t>020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Risikopositionen aus dem Mengengeschäft; davon — Risikopositionswert für die Verschuldungsquote — Risikopositionen nach dem IRB-Ansatz</w:t>
            </w:r>
          </w:p>
          <w:p w:rsidR="002509B1" w:rsidRPr="00FE002E" w:rsidRDefault="002509B1" w:rsidP="007E2A41">
            <w:pPr>
              <w:pStyle w:val="BodyText1"/>
              <w:spacing w:line="240" w:lineRule="auto"/>
              <w:rPr>
                <w:rFonts w:ascii="Times New Roman" w:hAnsi="Times New Roman"/>
                <w:b/>
                <w:bCs/>
              </w:rPr>
            </w:pPr>
          </w:p>
          <w:p w:rsidR="00F4754B" w:rsidRPr="00BB5324" w:rsidRDefault="00F4754B" w:rsidP="007E2A41">
            <w:pPr>
              <w:pStyle w:val="BodyText1"/>
              <w:spacing w:line="240" w:lineRule="auto"/>
              <w:rPr>
                <w:rFonts w:ascii="Times New Roman" w:hAnsi="Times New Roman"/>
                <w:bCs/>
              </w:rPr>
            </w:pPr>
            <w:r>
              <w:rPr>
                <w:rFonts w:ascii="Times New Roman" w:hAnsi="Times New Roman"/>
              </w:rPr>
              <w:t xml:space="preserve">Der Risikopositionswert für die Verschuldungsquote in Bezug auf Vermögenswerte, bei denen es sich um Risikopositionen aus dem Mengengeschäft gemäß Artikel </w:t>
            </w:r>
            <w:r w:rsidRPr="00532F3A">
              <w:rPr>
                <w:rFonts w:ascii="Times New Roman" w:hAnsi="Times New Roman"/>
              </w:rPr>
              <w:t>147</w:t>
            </w:r>
            <w:r>
              <w:rPr>
                <w:rFonts w:ascii="Times New Roman" w:hAnsi="Times New Roman"/>
              </w:rPr>
              <w:t xml:space="preserve"> Absatz </w:t>
            </w:r>
            <w:r w:rsidRPr="00532F3A">
              <w:rPr>
                <w:rFonts w:ascii="Times New Roman" w:hAnsi="Times New Roman"/>
              </w:rPr>
              <w:t>2</w:t>
            </w:r>
            <w:r>
              <w:rPr>
                <w:rFonts w:ascii="Times New Roman" w:hAnsi="Times New Roman"/>
              </w:rPr>
              <w:t xml:space="preserve"> Buchstabe d CRR </w:t>
            </w:r>
            <w:r>
              <w:rPr>
                <w:rFonts w:ascii="Times New Roman" w:hAnsi="Times New Roman"/>
              </w:rPr>
              <w:lastRenderedPageBreak/>
              <w:t xml:space="preserve">handelt, falls diese Risikopositionen </w:t>
            </w:r>
            <w:r>
              <w:rPr>
                <w:rFonts w:ascii="Times New Roman" w:hAnsi="Times New Roman"/>
                <w:b/>
                <w:u w:val="single"/>
              </w:rPr>
              <w:t>nicht</w:t>
            </w:r>
            <w:r>
              <w:rPr>
                <w:rFonts w:ascii="Times New Roman" w:hAnsi="Times New Roman"/>
              </w:rPr>
              <w:t xml:space="preserve"> durch Grundpfandrechte auf Immobilien gemäß Artikel </w:t>
            </w:r>
            <w:r w:rsidRPr="00532F3A">
              <w:rPr>
                <w:rFonts w:ascii="Times New Roman" w:hAnsi="Times New Roman"/>
              </w:rPr>
              <w:t>199</w:t>
            </w:r>
            <w:r>
              <w:rPr>
                <w:rFonts w:ascii="Times New Roman" w:hAnsi="Times New Roman"/>
              </w:rPr>
              <w:t xml:space="preserve"> Absatz </w:t>
            </w:r>
            <w:r w:rsidRPr="00532F3A">
              <w:rPr>
                <w:rFonts w:ascii="Times New Roman" w:hAnsi="Times New Roman"/>
              </w:rPr>
              <w:t>1</w:t>
            </w:r>
            <w:r>
              <w:rPr>
                <w:rFonts w:ascii="Times New Roman" w:hAnsi="Times New Roman"/>
              </w:rPr>
              <w:t xml:space="preserve"> Buchstabe a CRR besichert sind. </w:t>
            </w:r>
          </w:p>
          <w:p w:rsidR="009C4E79" w:rsidRPr="00BB5324" w:rsidRDefault="009C4E79" w:rsidP="007E2A41">
            <w:pPr>
              <w:pStyle w:val="BodyText1"/>
              <w:spacing w:line="240" w:lineRule="auto"/>
              <w:rPr>
                <w:rFonts w:ascii="Times New Roman" w:hAnsi="Times New Roman"/>
                <w:bCs/>
              </w:rPr>
            </w:pPr>
          </w:p>
          <w:p w:rsidR="00086A8A" w:rsidRPr="00FE002E" w:rsidRDefault="009C4E79" w:rsidP="009C4E79">
            <w:pPr>
              <w:pStyle w:val="BodyText1"/>
              <w:spacing w:line="240" w:lineRule="auto"/>
              <w:rPr>
                <w:rFonts w:ascii="Times New Roman" w:hAnsi="Times New Roman"/>
                <w:bCs/>
              </w:rPr>
            </w:pPr>
            <w:r>
              <w:rPr>
                <w:rFonts w:ascii="Times New Roman" w:hAnsi="Times New Roman"/>
              </w:rPr>
              <w:t>Die Institute melden die Beträge abzüglich der ausgefallenen Risikopositionen.</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lastRenderedPageBreak/>
              <w:t>{</w:t>
            </w:r>
            <w:r w:rsidRPr="00532F3A">
              <w:rPr>
                <w:rFonts w:ascii="Times New Roman" w:hAnsi="Times New Roman"/>
              </w:rPr>
              <w:t>210</w:t>
            </w:r>
            <w:r>
              <w:rPr>
                <w:rFonts w:ascii="Times New Roman" w:hAnsi="Times New Roman"/>
              </w:rPr>
              <w:t>;</w:t>
            </w:r>
            <w:r w:rsidRPr="00532F3A">
              <w:rPr>
                <w:rFonts w:ascii="Times New Roman" w:hAnsi="Times New Roman"/>
              </w:rPr>
              <w:t>030</w:t>
            </w:r>
            <w:r>
              <w:rPr>
                <w:rFonts w:ascii="Times New Roman" w:hAnsi="Times New Roman"/>
              </w:rPr>
              <w:t>}</w:t>
            </w:r>
          </w:p>
        </w:tc>
        <w:tc>
          <w:tcPr>
            <w:tcW w:w="8133" w:type="dxa"/>
            <w:shd w:val="clear" w:color="auto" w:fill="FFFFFF"/>
          </w:tcPr>
          <w:p w:rsidR="00F4754B" w:rsidRPr="007129B2" w:rsidRDefault="00F4754B" w:rsidP="007E2A41">
            <w:pPr>
              <w:pStyle w:val="BodyText1"/>
              <w:spacing w:line="240" w:lineRule="auto"/>
              <w:rPr>
                <w:rFonts w:ascii="Times New Roman" w:hAnsi="Times New Roman"/>
                <w:b/>
                <w:bCs/>
              </w:rPr>
            </w:pPr>
            <w:r>
              <w:rPr>
                <w:rFonts w:ascii="Times New Roman" w:hAnsi="Times New Roman"/>
                <w:b/>
              </w:rPr>
              <w:t>Risikopositionen aus dem Mengengeschäft; davon — Risikogewichteter Positionsbetrag (RWA, risk-weighted exposure amount) — Risikopositionen nach dem Standardansatz</w:t>
            </w:r>
          </w:p>
          <w:p w:rsidR="002509B1" w:rsidRPr="007129B2"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Der risikogewichtete Positionsbetrag von Vermögenswerten, bei denen es sich um Risikopositionen aus dem Mengengeschäft gemäß Artikel </w:t>
            </w:r>
            <w:r w:rsidRPr="00532F3A">
              <w:rPr>
                <w:rFonts w:ascii="Times New Roman" w:hAnsi="Times New Roman"/>
              </w:rPr>
              <w:t>123</w:t>
            </w:r>
            <w:r>
              <w:rPr>
                <w:rFonts w:ascii="Times New Roman" w:hAnsi="Times New Roman"/>
              </w:rPr>
              <w:t xml:space="preserve"> CRR handelt.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Die Institute melden die Beträge abzüglich der ausgefallenen Risikopositionen.</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Pr>
                <w:rFonts w:ascii="Times New Roman" w:hAnsi="Times New Roman"/>
              </w:rPr>
              <w:t>{</w:t>
            </w:r>
            <w:r w:rsidRPr="00532F3A">
              <w:rPr>
                <w:rFonts w:ascii="Times New Roman" w:hAnsi="Times New Roman"/>
              </w:rPr>
              <w:t>210</w:t>
            </w:r>
            <w:r>
              <w:rPr>
                <w:rFonts w:ascii="Times New Roman" w:hAnsi="Times New Roman"/>
              </w:rPr>
              <w:t>;</w:t>
            </w:r>
            <w:r w:rsidRPr="00532F3A">
              <w:rPr>
                <w:rFonts w:ascii="Times New Roman" w:hAnsi="Times New Roman"/>
              </w:rPr>
              <w:t>040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Risikopositionen aus dem Mengengeschäft; davon — Risikogewichteter Positionsbetrag (RWA, risk-weighted exposure amount) — Risikopositionen nach dem IRB-Ansatz</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Der risikogewichtete Positionsbetrag von Vermögenswerten, bei denen es sich um Risikopositionen aus dem Mengengeschäft gemäß Artikel </w:t>
            </w:r>
            <w:r w:rsidRPr="00532F3A">
              <w:rPr>
                <w:rFonts w:ascii="Times New Roman" w:hAnsi="Times New Roman"/>
              </w:rPr>
              <w:t>147</w:t>
            </w:r>
            <w:r>
              <w:rPr>
                <w:rFonts w:ascii="Times New Roman" w:hAnsi="Times New Roman"/>
              </w:rPr>
              <w:t xml:space="preserve"> Absatz </w:t>
            </w:r>
            <w:r w:rsidRPr="00532F3A">
              <w:rPr>
                <w:rFonts w:ascii="Times New Roman" w:hAnsi="Times New Roman"/>
              </w:rPr>
              <w:t>2</w:t>
            </w:r>
            <w:r>
              <w:rPr>
                <w:rFonts w:ascii="Times New Roman" w:hAnsi="Times New Roman"/>
              </w:rPr>
              <w:t xml:space="preserve"> Buchstabe d CRR handelt, falls diese Risikopositionen </w:t>
            </w:r>
            <w:r>
              <w:rPr>
                <w:rFonts w:ascii="Times New Roman" w:hAnsi="Times New Roman"/>
                <w:b/>
                <w:u w:val="single"/>
              </w:rPr>
              <w:t>nicht</w:t>
            </w:r>
            <w:r>
              <w:rPr>
                <w:rFonts w:ascii="Times New Roman" w:hAnsi="Times New Roman"/>
              </w:rPr>
              <w:t xml:space="preserve"> durch Grundpfandrechte auf Immobilien gemäß Artikel </w:t>
            </w:r>
            <w:r w:rsidRPr="00532F3A">
              <w:rPr>
                <w:rFonts w:ascii="Times New Roman" w:hAnsi="Times New Roman"/>
              </w:rPr>
              <w:t>199</w:t>
            </w:r>
            <w:r>
              <w:rPr>
                <w:rFonts w:ascii="Times New Roman" w:hAnsi="Times New Roman"/>
              </w:rPr>
              <w:t xml:space="preserve"> Absatz </w:t>
            </w:r>
            <w:r w:rsidRPr="00532F3A">
              <w:rPr>
                <w:rFonts w:ascii="Times New Roman" w:hAnsi="Times New Roman"/>
              </w:rPr>
              <w:t>1</w:t>
            </w:r>
            <w:r>
              <w:rPr>
                <w:rFonts w:ascii="Times New Roman" w:hAnsi="Times New Roman"/>
              </w:rPr>
              <w:t xml:space="preserve"> Buchstabe a CRR besichert sind. </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Die Institute melden die Beträge abzüglich der ausgefallenen Risikopositionen.</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532F3A">
              <w:rPr>
                <w:rFonts w:ascii="Times New Roman" w:hAnsi="Times New Roman"/>
              </w:rPr>
              <w:t>220</w:t>
            </w:r>
            <w:r>
              <w:rPr>
                <w:rFonts w:ascii="Times New Roman" w:hAnsi="Times New Roman"/>
              </w:rPr>
              <w:t>;</w:t>
            </w:r>
            <w:r w:rsidRPr="00532F3A">
              <w:rPr>
                <w:rFonts w:ascii="Times New Roman" w:hAnsi="Times New Roman"/>
              </w:rPr>
              <w:t>010</w:t>
            </w:r>
            <w:r>
              <w:rPr>
                <w:rFonts w:ascii="Times New Roman" w:hAnsi="Times New Roman"/>
              </w:rPr>
              <w:t>}</w:t>
            </w:r>
          </w:p>
        </w:tc>
        <w:tc>
          <w:tcPr>
            <w:tcW w:w="8133" w:type="dxa"/>
            <w:shd w:val="clear" w:color="auto" w:fill="FFFFFF"/>
          </w:tcPr>
          <w:p w:rsidR="00F4754B" w:rsidRPr="00706750" w:rsidRDefault="00F4754B" w:rsidP="007E2A41">
            <w:pPr>
              <w:pStyle w:val="BodyText1"/>
              <w:spacing w:line="240" w:lineRule="auto"/>
              <w:rPr>
                <w:rFonts w:ascii="Times New Roman" w:hAnsi="Times New Roman"/>
                <w:b/>
                <w:bCs/>
              </w:rPr>
            </w:pPr>
            <w:r>
              <w:rPr>
                <w:rFonts w:ascii="Times New Roman" w:hAnsi="Times New Roman"/>
                <w:b/>
              </w:rPr>
              <w:t>Risikopositionen aus dem Mengengeschäft (KMU) — Risikopositionswert für die Verschuldungsquote — Risikopositionen nach dem Standardansatz</w:t>
            </w:r>
          </w:p>
          <w:p w:rsidR="002509B1" w:rsidRPr="00706750"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Der Risikopositionswert für die Verschuldungsquote in Bezug auf Vermögenswerte, bei denen es sich um Risikopositionen aus dem Mengengeschäft gegenüber kleinen und mittleren Unternehmen gemäß Artikel </w:t>
            </w:r>
            <w:r w:rsidRPr="00532F3A">
              <w:rPr>
                <w:rFonts w:ascii="Times New Roman" w:hAnsi="Times New Roman"/>
              </w:rPr>
              <w:t>123</w:t>
            </w:r>
            <w:r>
              <w:rPr>
                <w:rFonts w:ascii="Times New Roman" w:hAnsi="Times New Roman"/>
              </w:rPr>
              <w:t xml:space="preserve"> CRR handelt. </w:t>
            </w:r>
          </w:p>
          <w:p w:rsidR="00BB5324" w:rsidRDefault="00BB5324" w:rsidP="007E2A41">
            <w:pPr>
              <w:pStyle w:val="BodyText1"/>
              <w:spacing w:line="240" w:lineRule="auto"/>
              <w:rPr>
                <w:rFonts w:ascii="Times New Roman" w:hAnsi="Times New Roman"/>
                <w:bCs/>
              </w:rPr>
            </w:pPr>
          </w:p>
          <w:p w:rsidR="004B653A" w:rsidRDefault="004B653A" w:rsidP="007E2A41">
            <w:pPr>
              <w:pStyle w:val="BodyText1"/>
              <w:spacing w:line="240" w:lineRule="auto"/>
              <w:rPr>
                <w:rFonts w:ascii="Times New Roman" w:hAnsi="Times New Roman"/>
                <w:bCs/>
              </w:rPr>
            </w:pPr>
            <w:r>
              <w:rPr>
                <w:rFonts w:ascii="Times New Roman" w:hAnsi="Times New Roman"/>
              </w:rPr>
              <w:t xml:space="preserve">Für dieses Feld gilt die Definition von „kleinen und mittleren Unternehmen“ gemäß Artikel </w:t>
            </w:r>
            <w:r w:rsidRPr="00532F3A">
              <w:rPr>
                <w:rFonts w:ascii="Times New Roman" w:hAnsi="Times New Roman"/>
              </w:rPr>
              <w:t>501</w:t>
            </w:r>
            <w:r>
              <w:rPr>
                <w:rFonts w:ascii="Times New Roman" w:hAnsi="Times New Roman"/>
              </w:rPr>
              <w:t xml:space="preserve"> Absatz </w:t>
            </w:r>
            <w:r w:rsidRPr="00532F3A">
              <w:rPr>
                <w:rFonts w:ascii="Times New Roman" w:hAnsi="Times New Roman"/>
              </w:rPr>
              <w:t>2</w:t>
            </w:r>
            <w:r>
              <w:rPr>
                <w:rFonts w:ascii="Times New Roman" w:hAnsi="Times New Roman"/>
              </w:rPr>
              <w:t xml:space="preserve"> Buchstabe b CRR.</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Die Institute melden die Beträge abzüglich der ausgefallenen Risikopositionen.</w:t>
            </w:r>
          </w:p>
          <w:p w:rsidR="002509B1" w:rsidRPr="00FE002E" w:rsidRDefault="002509B1" w:rsidP="007E2A41">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w:t>
            </w:r>
            <w:r w:rsidRPr="00532F3A">
              <w:rPr>
                <w:rFonts w:ascii="Times New Roman" w:hAnsi="Times New Roman"/>
              </w:rPr>
              <w:t>220</w:t>
            </w:r>
            <w:r>
              <w:rPr>
                <w:rFonts w:ascii="Times New Roman" w:hAnsi="Times New Roman"/>
              </w:rPr>
              <w:t>;</w:t>
            </w:r>
            <w:r w:rsidRPr="00532F3A">
              <w:rPr>
                <w:rFonts w:ascii="Times New Roman" w:hAnsi="Times New Roman"/>
              </w:rPr>
              <w:t>020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Risikopositionen aus dem Mengengeschäft (KMU) — Risikopositionswert für die Verschuldungsquote — Risikopositionen nach dem IRB-Ansatz</w:t>
            </w:r>
          </w:p>
          <w:p w:rsidR="002509B1" w:rsidRPr="00FE002E" w:rsidRDefault="002509B1" w:rsidP="007E2A41">
            <w:pPr>
              <w:pStyle w:val="BodyText1"/>
              <w:spacing w:line="240" w:lineRule="auto"/>
              <w:rPr>
                <w:rFonts w:ascii="Times New Roman" w:hAnsi="Times New Roman"/>
                <w:b/>
                <w:bCs/>
              </w:rPr>
            </w:pPr>
          </w:p>
          <w:p w:rsidR="00315160" w:rsidRDefault="00F4754B" w:rsidP="007E2A41">
            <w:pPr>
              <w:pStyle w:val="BodyText1"/>
              <w:spacing w:line="240" w:lineRule="auto"/>
              <w:rPr>
                <w:rFonts w:ascii="Times New Roman" w:hAnsi="Times New Roman"/>
                <w:bCs/>
              </w:rPr>
            </w:pPr>
            <w:r>
              <w:rPr>
                <w:rFonts w:ascii="Times New Roman" w:hAnsi="Times New Roman"/>
              </w:rPr>
              <w:t xml:space="preserve">Der Risikopositionswert für die Verschuldungsquote in Bezug auf Vermögenswerte, bei denen es sich um Risikopositionen aus dem Mengengeschäft gemäß Artikel </w:t>
            </w:r>
            <w:r w:rsidRPr="00532F3A">
              <w:rPr>
                <w:rFonts w:ascii="Times New Roman" w:hAnsi="Times New Roman"/>
              </w:rPr>
              <w:t>147</w:t>
            </w:r>
            <w:r>
              <w:rPr>
                <w:rFonts w:ascii="Times New Roman" w:hAnsi="Times New Roman"/>
              </w:rPr>
              <w:t xml:space="preserve"> Absatz </w:t>
            </w:r>
            <w:r w:rsidRPr="00532F3A">
              <w:rPr>
                <w:rFonts w:ascii="Times New Roman" w:hAnsi="Times New Roman"/>
              </w:rPr>
              <w:t>2</w:t>
            </w:r>
            <w:r>
              <w:rPr>
                <w:rFonts w:ascii="Times New Roman" w:hAnsi="Times New Roman"/>
              </w:rPr>
              <w:t xml:space="preserve"> Buchstabe d CRR handelt, falls diese Risikopositionen gegenüber kleinen und mittleren Unternehmen bestehen und </w:t>
            </w:r>
            <w:r>
              <w:rPr>
                <w:rFonts w:ascii="Times New Roman" w:hAnsi="Times New Roman"/>
                <w:b/>
                <w:u w:val="single"/>
              </w:rPr>
              <w:t>nicht</w:t>
            </w:r>
            <w:r>
              <w:rPr>
                <w:rFonts w:ascii="Times New Roman" w:hAnsi="Times New Roman"/>
              </w:rPr>
              <w:t xml:space="preserve"> durch Grundpfandrechte auf Immobilien gemäß Artikel </w:t>
            </w:r>
            <w:r w:rsidRPr="00532F3A">
              <w:rPr>
                <w:rFonts w:ascii="Times New Roman" w:hAnsi="Times New Roman"/>
              </w:rPr>
              <w:t>199</w:t>
            </w:r>
            <w:r>
              <w:rPr>
                <w:rFonts w:ascii="Times New Roman" w:hAnsi="Times New Roman"/>
              </w:rPr>
              <w:t xml:space="preserve"> Absatz </w:t>
            </w:r>
            <w:r w:rsidRPr="00532F3A">
              <w:rPr>
                <w:rFonts w:ascii="Times New Roman" w:hAnsi="Times New Roman"/>
              </w:rPr>
              <w:t>1</w:t>
            </w:r>
            <w:r>
              <w:rPr>
                <w:rFonts w:ascii="Times New Roman" w:hAnsi="Times New Roman"/>
              </w:rPr>
              <w:t xml:space="preserve"> Buchstabe a CRR besichert sind.</w:t>
            </w:r>
          </w:p>
          <w:p w:rsidR="00F4754B" w:rsidRPr="00FE002E" w:rsidRDefault="00315160" w:rsidP="007E2A41">
            <w:pPr>
              <w:pStyle w:val="BodyText1"/>
              <w:spacing w:line="240" w:lineRule="auto"/>
              <w:rPr>
                <w:rFonts w:ascii="Times New Roman" w:hAnsi="Times New Roman"/>
                <w:bCs/>
              </w:rPr>
            </w:pPr>
            <w:r>
              <w:rPr>
                <w:rFonts w:ascii="Times New Roman" w:hAnsi="Times New Roman"/>
              </w:rPr>
              <w:t xml:space="preserve"> </w:t>
            </w:r>
          </w:p>
          <w:p w:rsidR="004B653A" w:rsidRDefault="004B653A" w:rsidP="007E2A41">
            <w:pPr>
              <w:pStyle w:val="BodyText1"/>
              <w:spacing w:line="240" w:lineRule="auto"/>
              <w:rPr>
                <w:rFonts w:ascii="Times New Roman" w:hAnsi="Times New Roman"/>
                <w:bCs/>
              </w:rPr>
            </w:pPr>
            <w:r>
              <w:rPr>
                <w:rFonts w:ascii="Times New Roman" w:hAnsi="Times New Roman"/>
              </w:rPr>
              <w:t xml:space="preserve">Für dieses Feld gilt die Definition von „kleinen und mittleren Unternehmen“ gemäß Artikel </w:t>
            </w:r>
            <w:r w:rsidRPr="00532F3A">
              <w:rPr>
                <w:rFonts w:ascii="Times New Roman" w:hAnsi="Times New Roman"/>
              </w:rPr>
              <w:t>501</w:t>
            </w:r>
            <w:r>
              <w:rPr>
                <w:rFonts w:ascii="Times New Roman" w:hAnsi="Times New Roman"/>
              </w:rPr>
              <w:t xml:space="preserve"> Absatz </w:t>
            </w:r>
            <w:r w:rsidRPr="00532F3A">
              <w:rPr>
                <w:rFonts w:ascii="Times New Roman" w:hAnsi="Times New Roman"/>
              </w:rPr>
              <w:t>2</w:t>
            </w:r>
            <w:r>
              <w:rPr>
                <w:rFonts w:ascii="Times New Roman" w:hAnsi="Times New Roman"/>
              </w:rPr>
              <w:t xml:space="preserve"> Buchstabe b CRR.</w:t>
            </w:r>
          </w:p>
          <w:p w:rsidR="009C4E79" w:rsidRDefault="009C4E79" w:rsidP="009C4E79">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Die Institute melden die Beträge abzüglich der ausgefallenen Risikopositionen.</w:t>
            </w:r>
          </w:p>
          <w:p w:rsidR="002509B1" w:rsidRPr="00FE002E" w:rsidDel="00EC6E42"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532F3A">
              <w:rPr>
                <w:rFonts w:ascii="Times New Roman" w:hAnsi="Times New Roman"/>
              </w:rPr>
              <w:t>220</w:t>
            </w:r>
            <w:r>
              <w:rPr>
                <w:rFonts w:ascii="Times New Roman" w:hAnsi="Times New Roman"/>
              </w:rPr>
              <w:t>;</w:t>
            </w:r>
            <w:r w:rsidRPr="00532F3A">
              <w:rPr>
                <w:rFonts w:ascii="Times New Roman" w:hAnsi="Times New Roman"/>
              </w:rPr>
              <w:t>030</w:t>
            </w:r>
            <w:r>
              <w:rPr>
                <w:rFonts w:ascii="Times New Roman" w:hAnsi="Times New Roman"/>
              </w:rPr>
              <w:t>}</w:t>
            </w:r>
          </w:p>
        </w:tc>
        <w:tc>
          <w:tcPr>
            <w:tcW w:w="8133" w:type="dxa"/>
            <w:shd w:val="clear" w:color="auto" w:fill="FFFFFF"/>
          </w:tcPr>
          <w:p w:rsidR="00F4754B" w:rsidRPr="007129B2" w:rsidRDefault="00F4754B" w:rsidP="007E2A41">
            <w:pPr>
              <w:pStyle w:val="BodyText1"/>
              <w:spacing w:line="240" w:lineRule="auto"/>
              <w:rPr>
                <w:rFonts w:ascii="Times New Roman" w:hAnsi="Times New Roman"/>
                <w:b/>
                <w:bCs/>
              </w:rPr>
            </w:pPr>
            <w:r>
              <w:rPr>
                <w:rFonts w:ascii="Times New Roman" w:hAnsi="Times New Roman"/>
                <w:b/>
              </w:rPr>
              <w:t>Risikopositionen aus dem Mengengeschäft (KMU) — Risikogewichteter Positionsbetrag (RWA, risk-weighted exposure amount) — Risikopositionen nach dem Standardansatz</w:t>
            </w:r>
          </w:p>
          <w:p w:rsidR="002509B1" w:rsidRPr="007129B2"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Der risikogewichtete Positionsbetrag von Vermögenswerten, bei denen es sich um Risikopositionen aus dem Mengengeschäft gegenüber kleinen und mittleren Unternehmen gemäß Artikel </w:t>
            </w:r>
            <w:r w:rsidRPr="00532F3A">
              <w:rPr>
                <w:rFonts w:ascii="Times New Roman" w:hAnsi="Times New Roman"/>
              </w:rPr>
              <w:t>123</w:t>
            </w:r>
            <w:r>
              <w:rPr>
                <w:rFonts w:ascii="Times New Roman" w:hAnsi="Times New Roman"/>
              </w:rPr>
              <w:t xml:space="preserve"> CRR handelt. </w:t>
            </w:r>
          </w:p>
          <w:p w:rsidR="00BB5324" w:rsidRDefault="00BB5324" w:rsidP="007E2A41">
            <w:pPr>
              <w:pStyle w:val="BodyText1"/>
              <w:spacing w:line="240" w:lineRule="auto"/>
              <w:rPr>
                <w:rFonts w:ascii="Times New Roman" w:hAnsi="Times New Roman"/>
                <w:bCs/>
              </w:rPr>
            </w:pPr>
          </w:p>
          <w:p w:rsidR="004B653A" w:rsidRDefault="004B653A" w:rsidP="007E2A41">
            <w:pPr>
              <w:pStyle w:val="BodyText1"/>
              <w:spacing w:line="240" w:lineRule="auto"/>
              <w:rPr>
                <w:rFonts w:ascii="Times New Roman" w:hAnsi="Times New Roman"/>
                <w:bCs/>
              </w:rPr>
            </w:pPr>
            <w:r>
              <w:rPr>
                <w:rFonts w:ascii="Times New Roman" w:hAnsi="Times New Roman"/>
              </w:rPr>
              <w:t xml:space="preserve">Für dieses Feld gilt die Definition von „kleinen und mittleren Unternehmen“ gemäß Artikel </w:t>
            </w:r>
            <w:r w:rsidRPr="00532F3A">
              <w:rPr>
                <w:rFonts w:ascii="Times New Roman" w:hAnsi="Times New Roman"/>
              </w:rPr>
              <w:t>501</w:t>
            </w:r>
            <w:r>
              <w:rPr>
                <w:rFonts w:ascii="Times New Roman" w:hAnsi="Times New Roman"/>
              </w:rPr>
              <w:t xml:space="preserve"> Absatz </w:t>
            </w:r>
            <w:r w:rsidRPr="00532F3A">
              <w:rPr>
                <w:rFonts w:ascii="Times New Roman" w:hAnsi="Times New Roman"/>
              </w:rPr>
              <w:t>2</w:t>
            </w:r>
            <w:r>
              <w:rPr>
                <w:rFonts w:ascii="Times New Roman" w:hAnsi="Times New Roman"/>
              </w:rPr>
              <w:t xml:space="preserve"> Buchstabe b CRR.</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lastRenderedPageBreak/>
              <w:t>Die Institute melden die Beträge abzüglich der ausgefallenen Risikopositionen.</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lastRenderedPageBreak/>
              <w:t>{</w:t>
            </w:r>
            <w:r w:rsidRPr="00532F3A">
              <w:rPr>
                <w:rFonts w:ascii="Times New Roman" w:hAnsi="Times New Roman"/>
              </w:rPr>
              <w:t>220</w:t>
            </w:r>
            <w:r>
              <w:rPr>
                <w:rFonts w:ascii="Times New Roman" w:hAnsi="Times New Roman"/>
              </w:rPr>
              <w:t>;</w:t>
            </w:r>
            <w:r w:rsidRPr="00532F3A">
              <w:rPr>
                <w:rFonts w:ascii="Times New Roman" w:hAnsi="Times New Roman"/>
              </w:rPr>
              <w:t>040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Risikopositionen aus dem Mengengeschäft (KMU) — Risikogewichteter Positionsbetrag (RWA, risk-weighted exposure amount) — Risikopositionen nach dem IRB-Ansatz</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Der risikogewichtete Positionsbetrag von Vermögenswerten, bei denen es sich um Risikopositionen aus dem Mengengeschäft gemäß Artikel </w:t>
            </w:r>
            <w:r w:rsidRPr="00532F3A">
              <w:rPr>
                <w:rFonts w:ascii="Times New Roman" w:hAnsi="Times New Roman"/>
              </w:rPr>
              <w:t>147</w:t>
            </w:r>
            <w:r>
              <w:rPr>
                <w:rFonts w:ascii="Times New Roman" w:hAnsi="Times New Roman"/>
              </w:rPr>
              <w:t xml:space="preserve"> Absatz </w:t>
            </w:r>
            <w:r w:rsidRPr="00532F3A">
              <w:rPr>
                <w:rFonts w:ascii="Times New Roman" w:hAnsi="Times New Roman"/>
              </w:rPr>
              <w:t>2</w:t>
            </w:r>
            <w:r>
              <w:rPr>
                <w:rFonts w:ascii="Times New Roman" w:hAnsi="Times New Roman"/>
              </w:rPr>
              <w:t xml:space="preserve"> Buchstabe d CRR handelt, falls diese Risikopositionen gegenüber kleinen und mittleren Unternehmen bestehen und </w:t>
            </w:r>
            <w:r>
              <w:rPr>
                <w:rFonts w:ascii="Times New Roman" w:hAnsi="Times New Roman"/>
                <w:b/>
                <w:u w:val="single"/>
              </w:rPr>
              <w:t>nicht</w:t>
            </w:r>
            <w:r>
              <w:rPr>
                <w:rFonts w:ascii="Times New Roman" w:hAnsi="Times New Roman"/>
              </w:rPr>
              <w:t xml:space="preserve"> durch Grundpfandrechte auf Immobilien gemäß Artikel </w:t>
            </w:r>
            <w:r w:rsidRPr="00532F3A">
              <w:rPr>
                <w:rFonts w:ascii="Times New Roman" w:hAnsi="Times New Roman"/>
              </w:rPr>
              <w:t>199</w:t>
            </w:r>
            <w:r>
              <w:rPr>
                <w:rFonts w:ascii="Times New Roman" w:hAnsi="Times New Roman"/>
              </w:rPr>
              <w:t xml:space="preserve"> Absatz </w:t>
            </w:r>
            <w:r w:rsidRPr="00532F3A">
              <w:rPr>
                <w:rFonts w:ascii="Times New Roman" w:hAnsi="Times New Roman"/>
              </w:rPr>
              <w:t>1</w:t>
            </w:r>
            <w:r>
              <w:rPr>
                <w:rFonts w:ascii="Times New Roman" w:hAnsi="Times New Roman"/>
              </w:rPr>
              <w:t xml:space="preserve"> Buchstabe a CRR besichert sind. </w:t>
            </w:r>
          </w:p>
          <w:p w:rsidR="00BB5324" w:rsidRDefault="00BB5324" w:rsidP="007E2A41">
            <w:pPr>
              <w:pStyle w:val="BodyText1"/>
              <w:spacing w:line="240" w:lineRule="auto"/>
              <w:rPr>
                <w:rFonts w:ascii="Times New Roman" w:hAnsi="Times New Roman"/>
                <w:bCs/>
              </w:rPr>
            </w:pPr>
          </w:p>
          <w:p w:rsidR="004B653A" w:rsidRPr="00FE002E" w:rsidRDefault="004B653A" w:rsidP="007E2A41">
            <w:pPr>
              <w:pStyle w:val="BodyText1"/>
              <w:spacing w:line="240" w:lineRule="auto"/>
              <w:rPr>
                <w:rFonts w:ascii="Times New Roman" w:hAnsi="Times New Roman"/>
                <w:bCs/>
              </w:rPr>
            </w:pPr>
            <w:r>
              <w:rPr>
                <w:rFonts w:ascii="Times New Roman" w:hAnsi="Times New Roman"/>
              </w:rPr>
              <w:t xml:space="preserve">Für dieses Feld gilt die Definition von „kleinen und mittleren Unternehmen“ gemäß Artikel </w:t>
            </w:r>
            <w:r w:rsidRPr="00532F3A">
              <w:rPr>
                <w:rFonts w:ascii="Times New Roman" w:hAnsi="Times New Roman"/>
              </w:rPr>
              <w:t>501</w:t>
            </w:r>
            <w:r>
              <w:rPr>
                <w:rFonts w:ascii="Times New Roman" w:hAnsi="Times New Roman"/>
              </w:rPr>
              <w:t xml:space="preserve"> Absatz </w:t>
            </w:r>
            <w:r w:rsidRPr="00532F3A">
              <w:rPr>
                <w:rFonts w:ascii="Times New Roman" w:hAnsi="Times New Roman"/>
              </w:rPr>
              <w:t>2</w:t>
            </w:r>
            <w:r>
              <w:rPr>
                <w:rFonts w:ascii="Times New Roman" w:hAnsi="Times New Roman"/>
              </w:rPr>
              <w:t xml:space="preserve"> Buchstabe b CRR.</w:t>
            </w:r>
          </w:p>
          <w:p w:rsidR="009C4E79" w:rsidRDefault="009C4E79"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Die Institute melden die Beträge abzüglich der ausgefallenen Risikopositionen.</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532F3A">
              <w:rPr>
                <w:rFonts w:ascii="Times New Roman" w:hAnsi="Times New Roman"/>
              </w:rPr>
              <w:t>230</w:t>
            </w:r>
            <w:r>
              <w:rPr>
                <w:rFonts w:ascii="Times New Roman" w:hAnsi="Times New Roman"/>
              </w:rPr>
              <w:t>;</w:t>
            </w:r>
            <w:r w:rsidRPr="00532F3A">
              <w:rPr>
                <w:rFonts w:ascii="Times New Roman" w:hAnsi="Times New Roman"/>
              </w:rPr>
              <w:t>010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Unternehmen; davon — Risikopositionswert für die Verschuldungsquote — Risikopositionen nach dem Standardansatz</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rPr>
            </w:pPr>
            <w:r>
              <w:rPr>
                <w:rFonts w:ascii="Times New Roman" w:hAnsi="Times New Roman"/>
              </w:rPr>
              <w:t>Summe der Felder {</w:t>
            </w:r>
            <w:r w:rsidRPr="00532F3A">
              <w:rPr>
                <w:rFonts w:ascii="Times New Roman" w:hAnsi="Times New Roman"/>
              </w:rPr>
              <w:t>240</w:t>
            </w:r>
            <w:r>
              <w:rPr>
                <w:rFonts w:ascii="Times New Roman" w:hAnsi="Times New Roman"/>
              </w:rPr>
              <w:t>,</w:t>
            </w:r>
            <w:r w:rsidRPr="00532F3A">
              <w:rPr>
                <w:rFonts w:ascii="Times New Roman" w:hAnsi="Times New Roman"/>
              </w:rPr>
              <w:t>010</w:t>
            </w:r>
            <w:r>
              <w:rPr>
                <w:rFonts w:ascii="Times New Roman" w:hAnsi="Times New Roman"/>
              </w:rPr>
              <w:t>} und {</w:t>
            </w:r>
            <w:r w:rsidRPr="00532F3A">
              <w:rPr>
                <w:rFonts w:ascii="Times New Roman" w:hAnsi="Times New Roman"/>
              </w:rPr>
              <w:t>250</w:t>
            </w:r>
            <w:r>
              <w:rPr>
                <w:rFonts w:ascii="Times New Roman" w:hAnsi="Times New Roman"/>
              </w:rPr>
              <w:t>,</w:t>
            </w:r>
            <w:r w:rsidRPr="00532F3A">
              <w:rPr>
                <w:rFonts w:ascii="Times New Roman" w:hAnsi="Times New Roman"/>
              </w:rPr>
              <w:t>010</w:t>
            </w:r>
            <w:r>
              <w:rPr>
                <w:rFonts w:ascii="Times New Roman" w:hAnsi="Times New Roman"/>
              </w:rPr>
              <w:t>}.</w:t>
            </w:r>
          </w:p>
          <w:p w:rsidR="00086A8A" w:rsidRDefault="00086A8A" w:rsidP="007E2A41">
            <w:pPr>
              <w:pStyle w:val="BodyText1"/>
              <w:spacing w:line="240" w:lineRule="auto"/>
              <w:rPr>
                <w:rFonts w:ascii="Times New Roman" w:hAnsi="Times New Roman"/>
              </w:rPr>
            </w:pPr>
          </w:p>
          <w:p w:rsidR="00086A8A" w:rsidRPr="00FE002E" w:rsidRDefault="00086A8A" w:rsidP="007E2A41">
            <w:pPr>
              <w:pStyle w:val="BodyText1"/>
              <w:spacing w:line="240" w:lineRule="auto"/>
              <w:rPr>
                <w:rFonts w:ascii="Times New Roman" w:hAnsi="Times New Roman"/>
              </w:rPr>
            </w:pPr>
            <w:r>
              <w:rPr>
                <w:rFonts w:ascii="Times New Roman" w:hAnsi="Times New Roman"/>
              </w:rPr>
              <w:t>Die Institute melden die Beträge abzüglich der ausgefallenen Risikopositionen.</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w:t>
            </w:r>
            <w:r w:rsidRPr="00532F3A">
              <w:rPr>
                <w:rFonts w:ascii="Times New Roman" w:hAnsi="Times New Roman"/>
              </w:rPr>
              <w:t>230</w:t>
            </w:r>
            <w:r>
              <w:rPr>
                <w:rFonts w:ascii="Times New Roman" w:hAnsi="Times New Roman"/>
              </w:rPr>
              <w:t>;</w:t>
            </w:r>
            <w:r w:rsidRPr="00532F3A">
              <w:rPr>
                <w:rFonts w:ascii="Times New Roman" w:hAnsi="Times New Roman"/>
              </w:rPr>
              <w:t>020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Unternehmen; davon — Risikopositionswert für die Verschuldungsquote — Risikopositionen nach dem IRB-Ansatz</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Summe der Felder {</w:t>
            </w:r>
            <w:r w:rsidRPr="00532F3A">
              <w:rPr>
                <w:rFonts w:ascii="Times New Roman" w:hAnsi="Times New Roman"/>
              </w:rPr>
              <w:t>240</w:t>
            </w:r>
            <w:r>
              <w:rPr>
                <w:rFonts w:ascii="Times New Roman" w:hAnsi="Times New Roman"/>
              </w:rPr>
              <w:t>,</w:t>
            </w:r>
            <w:r w:rsidRPr="00532F3A">
              <w:rPr>
                <w:rFonts w:ascii="Times New Roman" w:hAnsi="Times New Roman"/>
              </w:rPr>
              <w:t>020</w:t>
            </w:r>
            <w:r>
              <w:rPr>
                <w:rFonts w:ascii="Times New Roman" w:hAnsi="Times New Roman"/>
              </w:rPr>
              <w:t>} und {</w:t>
            </w:r>
            <w:r w:rsidRPr="00532F3A">
              <w:rPr>
                <w:rFonts w:ascii="Times New Roman" w:hAnsi="Times New Roman"/>
              </w:rPr>
              <w:t>250</w:t>
            </w:r>
            <w:r>
              <w:rPr>
                <w:rFonts w:ascii="Times New Roman" w:hAnsi="Times New Roman"/>
              </w:rPr>
              <w:t>,</w:t>
            </w:r>
            <w:r w:rsidRPr="00532F3A">
              <w:rPr>
                <w:rFonts w:ascii="Times New Roman" w:hAnsi="Times New Roman"/>
              </w:rPr>
              <w:t>020</w:t>
            </w:r>
            <w:r>
              <w:rPr>
                <w:rFonts w:ascii="Times New Roman" w:hAnsi="Times New Roman"/>
              </w:rPr>
              <w:t>}.</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Die Institute melden die Beträge abzüglich der ausgefallenen Risikopositionen.</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532F3A">
              <w:rPr>
                <w:rFonts w:ascii="Times New Roman" w:hAnsi="Times New Roman"/>
              </w:rPr>
              <w:t>230</w:t>
            </w:r>
            <w:r>
              <w:rPr>
                <w:rFonts w:ascii="Times New Roman" w:hAnsi="Times New Roman"/>
              </w:rPr>
              <w:t>;</w:t>
            </w:r>
            <w:r w:rsidRPr="00532F3A">
              <w:rPr>
                <w:rFonts w:ascii="Times New Roman" w:hAnsi="Times New Roman"/>
              </w:rPr>
              <w:t>030</w:t>
            </w:r>
            <w:r>
              <w:rPr>
                <w:rFonts w:ascii="Times New Roman" w:hAnsi="Times New Roman"/>
              </w:rPr>
              <w:t>}</w:t>
            </w:r>
          </w:p>
        </w:tc>
        <w:tc>
          <w:tcPr>
            <w:tcW w:w="8133" w:type="dxa"/>
            <w:shd w:val="clear" w:color="auto" w:fill="FFFFFF"/>
          </w:tcPr>
          <w:p w:rsidR="00F4754B" w:rsidRPr="007129B2" w:rsidRDefault="00F4754B" w:rsidP="007E2A41">
            <w:pPr>
              <w:pStyle w:val="BodyText1"/>
              <w:spacing w:line="240" w:lineRule="auto"/>
              <w:rPr>
                <w:rFonts w:ascii="Times New Roman" w:hAnsi="Times New Roman"/>
                <w:b/>
                <w:bCs/>
              </w:rPr>
            </w:pPr>
            <w:r>
              <w:rPr>
                <w:rFonts w:ascii="Times New Roman" w:hAnsi="Times New Roman"/>
                <w:b/>
              </w:rPr>
              <w:t>Unternehmen; davon — Risikogewichteter Positionsbetrag (RWA, risk-weighted exposure amount) — Risikopositionen nach dem Standardansatz</w:t>
            </w:r>
          </w:p>
          <w:p w:rsidR="002509B1" w:rsidRPr="007129B2"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Summe der Felder {</w:t>
            </w:r>
            <w:r w:rsidRPr="00532F3A">
              <w:rPr>
                <w:rFonts w:ascii="Times New Roman" w:hAnsi="Times New Roman"/>
              </w:rPr>
              <w:t>240</w:t>
            </w:r>
            <w:r>
              <w:rPr>
                <w:rFonts w:ascii="Times New Roman" w:hAnsi="Times New Roman"/>
              </w:rPr>
              <w:t>,</w:t>
            </w:r>
            <w:r w:rsidRPr="00532F3A">
              <w:rPr>
                <w:rFonts w:ascii="Times New Roman" w:hAnsi="Times New Roman"/>
              </w:rPr>
              <w:t>030</w:t>
            </w:r>
            <w:r>
              <w:rPr>
                <w:rFonts w:ascii="Times New Roman" w:hAnsi="Times New Roman"/>
              </w:rPr>
              <w:t>} und {</w:t>
            </w:r>
            <w:r w:rsidRPr="00532F3A">
              <w:rPr>
                <w:rFonts w:ascii="Times New Roman" w:hAnsi="Times New Roman"/>
              </w:rPr>
              <w:t>250</w:t>
            </w:r>
            <w:r>
              <w:rPr>
                <w:rFonts w:ascii="Times New Roman" w:hAnsi="Times New Roman"/>
              </w:rPr>
              <w:t>,</w:t>
            </w:r>
            <w:r w:rsidRPr="00532F3A">
              <w:rPr>
                <w:rFonts w:ascii="Times New Roman" w:hAnsi="Times New Roman"/>
              </w:rPr>
              <w:t>030</w:t>
            </w:r>
            <w:r>
              <w:rPr>
                <w:rFonts w:ascii="Times New Roman" w:hAnsi="Times New Roman"/>
              </w:rPr>
              <w:t>}.</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Die Institute melden die Beträge abzüglich der ausgefallenen Risikopositionen.</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532F3A">
              <w:rPr>
                <w:rFonts w:ascii="Times New Roman" w:hAnsi="Times New Roman"/>
              </w:rPr>
              <w:t>230</w:t>
            </w:r>
            <w:r>
              <w:rPr>
                <w:rFonts w:ascii="Times New Roman" w:hAnsi="Times New Roman"/>
              </w:rPr>
              <w:t>;</w:t>
            </w:r>
            <w:r w:rsidRPr="00532F3A">
              <w:rPr>
                <w:rFonts w:ascii="Times New Roman" w:hAnsi="Times New Roman"/>
              </w:rPr>
              <w:t>040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Unternehmen; davon — Risikogewichteter Positionsbetrag (RWA, risk-weighted exposure amount) — Risikopositionen nach dem IRB-Ansatz</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Summe der Felder {</w:t>
            </w:r>
            <w:r w:rsidRPr="00532F3A">
              <w:rPr>
                <w:rFonts w:ascii="Times New Roman" w:hAnsi="Times New Roman"/>
              </w:rPr>
              <w:t>240</w:t>
            </w:r>
            <w:r>
              <w:rPr>
                <w:rFonts w:ascii="Times New Roman" w:hAnsi="Times New Roman"/>
              </w:rPr>
              <w:t>,</w:t>
            </w:r>
            <w:r w:rsidRPr="00532F3A">
              <w:rPr>
                <w:rFonts w:ascii="Times New Roman" w:hAnsi="Times New Roman"/>
              </w:rPr>
              <w:t>040</w:t>
            </w:r>
            <w:r>
              <w:rPr>
                <w:rFonts w:ascii="Times New Roman" w:hAnsi="Times New Roman"/>
              </w:rPr>
              <w:t>} und {</w:t>
            </w:r>
            <w:r w:rsidRPr="00532F3A">
              <w:rPr>
                <w:rFonts w:ascii="Times New Roman" w:hAnsi="Times New Roman"/>
              </w:rPr>
              <w:t>250</w:t>
            </w:r>
            <w:r>
              <w:rPr>
                <w:rFonts w:ascii="Times New Roman" w:hAnsi="Times New Roman"/>
              </w:rPr>
              <w:t>,</w:t>
            </w:r>
            <w:r w:rsidRPr="00532F3A">
              <w:rPr>
                <w:rFonts w:ascii="Times New Roman" w:hAnsi="Times New Roman"/>
              </w:rPr>
              <w:t>040</w:t>
            </w:r>
            <w:r>
              <w:rPr>
                <w:rFonts w:ascii="Times New Roman" w:hAnsi="Times New Roman"/>
              </w:rPr>
              <w:t>}.</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Die Institute melden die Beträge abzüglich der ausgefallenen Risikopositionen.</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532F3A">
              <w:rPr>
                <w:rFonts w:ascii="Times New Roman" w:hAnsi="Times New Roman"/>
              </w:rPr>
              <w:t>240</w:t>
            </w:r>
            <w:r>
              <w:rPr>
                <w:rFonts w:ascii="Times New Roman" w:hAnsi="Times New Roman"/>
              </w:rPr>
              <w:t>;</w:t>
            </w:r>
            <w:r w:rsidRPr="00532F3A">
              <w:rPr>
                <w:rFonts w:ascii="Times New Roman" w:hAnsi="Times New Roman"/>
              </w:rPr>
              <w:t>010</w:t>
            </w:r>
            <w:r>
              <w:rPr>
                <w:rFonts w:ascii="Times New Roman" w:hAnsi="Times New Roman"/>
              </w:rPr>
              <w:t>}</w:t>
            </w:r>
          </w:p>
        </w:tc>
        <w:tc>
          <w:tcPr>
            <w:tcW w:w="8133" w:type="dxa"/>
            <w:shd w:val="clear" w:color="auto" w:fill="FFFFFF"/>
          </w:tcPr>
          <w:p w:rsidR="00F4754B" w:rsidRPr="006F6EA7" w:rsidRDefault="00F4754B" w:rsidP="007E2A41">
            <w:pPr>
              <w:pStyle w:val="BodyText1"/>
              <w:spacing w:line="240" w:lineRule="auto"/>
              <w:rPr>
                <w:rFonts w:ascii="Times New Roman" w:hAnsi="Times New Roman"/>
                <w:b/>
                <w:bCs/>
              </w:rPr>
            </w:pPr>
            <w:r>
              <w:rPr>
                <w:rFonts w:ascii="Times New Roman" w:hAnsi="Times New Roman"/>
                <w:b/>
              </w:rPr>
              <w:t>Finanzunternehmen — Risikopositionswert für die Verschuldungsquote — Risikopositionen nach dem Standardansatz</w:t>
            </w:r>
          </w:p>
          <w:p w:rsidR="002509B1" w:rsidRPr="00706750"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Der Risikopositionswert für die Verschuldungsquote in Bezug auf Vermögenswerte, bei denen es sich um Risikopositionen gegenüber Finanzunternehmen gemäß Artikel </w:t>
            </w:r>
            <w:r w:rsidRPr="00532F3A">
              <w:rPr>
                <w:rFonts w:ascii="Times New Roman" w:hAnsi="Times New Roman"/>
              </w:rPr>
              <w:t>122</w:t>
            </w:r>
            <w:r>
              <w:rPr>
                <w:rFonts w:ascii="Times New Roman" w:hAnsi="Times New Roman"/>
              </w:rPr>
              <w:t xml:space="preserve"> CRR handelt. Für die in LR</w:t>
            </w:r>
            <w:r w:rsidRPr="00532F3A">
              <w:rPr>
                <w:rFonts w:ascii="Times New Roman" w:hAnsi="Times New Roman"/>
              </w:rPr>
              <w:t>4</w:t>
            </w:r>
            <w:r>
              <w:rPr>
                <w:rFonts w:ascii="Times New Roman" w:hAnsi="Times New Roman"/>
              </w:rPr>
              <w:t xml:space="preserve"> zu meldenden Angaben bedeutet der Begriff Finanzunternehmen beaufsichtigte und nicht beaufsichtigte Unternehmen, mit Ausnahme der in {</w:t>
            </w:r>
            <w:r w:rsidRPr="00532F3A">
              <w:rPr>
                <w:rFonts w:ascii="Times New Roman" w:hAnsi="Times New Roman"/>
              </w:rPr>
              <w:t>180</w:t>
            </w:r>
            <w:r>
              <w:rPr>
                <w:rFonts w:ascii="Times New Roman" w:hAnsi="Times New Roman"/>
              </w:rPr>
              <w:t>;</w:t>
            </w:r>
            <w:r w:rsidRPr="00532F3A">
              <w:rPr>
                <w:rFonts w:ascii="Times New Roman" w:hAnsi="Times New Roman"/>
              </w:rPr>
              <w:t>10</w:t>
            </w:r>
            <w:r>
              <w:rPr>
                <w:rFonts w:ascii="Times New Roman" w:hAnsi="Times New Roman"/>
              </w:rPr>
              <w:t xml:space="preserve">} genannten Institute, deren Haupttätigkeit darin besteht, Beteiligungen zu erwerben oder eines oder mehrere der in Anhang I der Richtlinie </w:t>
            </w:r>
            <w:r w:rsidRPr="00532F3A">
              <w:rPr>
                <w:rFonts w:ascii="Times New Roman" w:hAnsi="Times New Roman"/>
              </w:rPr>
              <w:t>2013</w:t>
            </w:r>
            <w:r>
              <w:rPr>
                <w:rFonts w:ascii="Times New Roman" w:hAnsi="Times New Roman"/>
              </w:rPr>
              <w:t>/</w:t>
            </w:r>
            <w:r w:rsidRPr="00532F3A">
              <w:rPr>
                <w:rFonts w:ascii="Times New Roman" w:hAnsi="Times New Roman"/>
              </w:rPr>
              <w:t>36</w:t>
            </w:r>
            <w:r>
              <w:rPr>
                <w:rFonts w:ascii="Times New Roman" w:hAnsi="Times New Roman"/>
              </w:rPr>
              <w:t xml:space="preserve">/EU aufgelisteten Geschäfte zu betreiben, sowie die in Artikel </w:t>
            </w:r>
            <w:r w:rsidRPr="00532F3A">
              <w:rPr>
                <w:rFonts w:ascii="Times New Roman" w:hAnsi="Times New Roman"/>
              </w:rPr>
              <w:t>4</w:t>
            </w:r>
            <w:r>
              <w:rPr>
                <w:rFonts w:ascii="Times New Roman" w:hAnsi="Times New Roman"/>
              </w:rPr>
              <w:t xml:space="preserve"> Absatz </w:t>
            </w:r>
            <w:r w:rsidRPr="00532F3A">
              <w:rPr>
                <w:rFonts w:ascii="Times New Roman" w:hAnsi="Times New Roman"/>
              </w:rPr>
              <w:t>1</w:t>
            </w:r>
            <w:r>
              <w:rPr>
                <w:rFonts w:ascii="Times New Roman" w:hAnsi="Times New Roman"/>
              </w:rPr>
              <w:t xml:space="preserve"> Nummer </w:t>
            </w:r>
            <w:r w:rsidRPr="00532F3A">
              <w:rPr>
                <w:rFonts w:ascii="Times New Roman" w:hAnsi="Times New Roman"/>
              </w:rPr>
              <w:t>27</w:t>
            </w:r>
            <w:r>
              <w:rPr>
                <w:rFonts w:ascii="Times New Roman" w:hAnsi="Times New Roman"/>
              </w:rPr>
              <w:t xml:space="preserve"> CRR definierten Unternehmen, mit Ausnahme der in {</w:t>
            </w:r>
            <w:r w:rsidRPr="00532F3A">
              <w:rPr>
                <w:rFonts w:ascii="Times New Roman" w:hAnsi="Times New Roman"/>
              </w:rPr>
              <w:t>180</w:t>
            </w:r>
            <w:r>
              <w:rPr>
                <w:rFonts w:ascii="Times New Roman" w:hAnsi="Times New Roman"/>
              </w:rPr>
              <w:t>;</w:t>
            </w:r>
            <w:r w:rsidRPr="00532F3A">
              <w:rPr>
                <w:rFonts w:ascii="Times New Roman" w:hAnsi="Times New Roman"/>
              </w:rPr>
              <w:t>10</w:t>
            </w:r>
            <w:r>
              <w:rPr>
                <w:rFonts w:ascii="Times New Roman" w:hAnsi="Times New Roman"/>
              </w:rPr>
              <w:t xml:space="preserve">} genannten Institute.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Die Institute melden die Beträge abzüglich der ausgefallenen Risikopositionen.</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Pr>
                <w:rFonts w:ascii="Times New Roman" w:hAnsi="Times New Roman"/>
              </w:rPr>
              <w:t>{</w:t>
            </w:r>
            <w:r w:rsidRPr="00532F3A">
              <w:rPr>
                <w:rFonts w:ascii="Times New Roman" w:hAnsi="Times New Roman"/>
              </w:rPr>
              <w:t>240</w:t>
            </w:r>
            <w:r>
              <w:rPr>
                <w:rFonts w:ascii="Times New Roman" w:hAnsi="Times New Roman"/>
              </w:rPr>
              <w:t>;</w:t>
            </w:r>
            <w:r w:rsidRPr="00532F3A">
              <w:rPr>
                <w:rFonts w:ascii="Times New Roman" w:hAnsi="Times New Roman"/>
              </w:rPr>
              <w:t>020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Finanzunternehmen — Risikopositionswert für die Verschuldungsquote — Risikopositionen nach dem IRB-Ansatz</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Der Risikopositionswert für die Verschuldungsquote in Bezug auf Vermögenswerte, bei denen es sich um Risikopositionen gegenüber Finanzunternehmen gemäß Artikel </w:t>
            </w:r>
            <w:r w:rsidRPr="00532F3A">
              <w:rPr>
                <w:rFonts w:ascii="Times New Roman" w:hAnsi="Times New Roman"/>
              </w:rPr>
              <w:t>147</w:t>
            </w:r>
            <w:r>
              <w:rPr>
                <w:rFonts w:ascii="Times New Roman" w:hAnsi="Times New Roman"/>
              </w:rPr>
              <w:t xml:space="preserve"> Absatz </w:t>
            </w:r>
            <w:r w:rsidRPr="00532F3A">
              <w:rPr>
                <w:rFonts w:ascii="Times New Roman" w:hAnsi="Times New Roman"/>
              </w:rPr>
              <w:t>2</w:t>
            </w:r>
            <w:r>
              <w:rPr>
                <w:rFonts w:ascii="Times New Roman" w:hAnsi="Times New Roman"/>
              </w:rPr>
              <w:t xml:space="preserve"> Buchstabe c CRR handelt, falls diese Risikopositionen </w:t>
            </w:r>
            <w:r>
              <w:rPr>
                <w:rFonts w:ascii="Times New Roman" w:hAnsi="Times New Roman"/>
                <w:b/>
                <w:u w:val="single"/>
              </w:rPr>
              <w:t>nicht</w:t>
            </w:r>
            <w:r>
              <w:rPr>
                <w:rFonts w:ascii="Times New Roman" w:hAnsi="Times New Roman"/>
              </w:rPr>
              <w:t xml:space="preserve"> durch Grundpfandrechte auf Immobilien gemäß Artikel </w:t>
            </w:r>
            <w:r w:rsidRPr="00532F3A">
              <w:rPr>
                <w:rFonts w:ascii="Times New Roman" w:hAnsi="Times New Roman"/>
              </w:rPr>
              <w:t>199</w:t>
            </w:r>
            <w:r>
              <w:rPr>
                <w:rFonts w:ascii="Times New Roman" w:hAnsi="Times New Roman"/>
              </w:rPr>
              <w:t xml:space="preserve"> Absatz </w:t>
            </w:r>
            <w:r w:rsidRPr="00532F3A">
              <w:rPr>
                <w:rFonts w:ascii="Times New Roman" w:hAnsi="Times New Roman"/>
              </w:rPr>
              <w:t>1</w:t>
            </w:r>
            <w:r>
              <w:rPr>
                <w:rFonts w:ascii="Times New Roman" w:hAnsi="Times New Roman"/>
              </w:rPr>
              <w:t xml:space="preserve"> Buchstabe a CRR besichert sind. Für die in LR</w:t>
            </w:r>
            <w:r w:rsidRPr="00532F3A">
              <w:rPr>
                <w:rFonts w:ascii="Times New Roman" w:hAnsi="Times New Roman"/>
              </w:rPr>
              <w:t>4</w:t>
            </w:r>
            <w:r>
              <w:rPr>
                <w:rFonts w:ascii="Times New Roman" w:hAnsi="Times New Roman"/>
              </w:rPr>
              <w:t xml:space="preserve"> zu meldenden Angaben bedeutet der Begriff Finanzunternehmen beaufsichtigte und nicht beaufsichtigte Unternehmen, mit Ausnahme der in {</w:t>
            </w:r>
            <w:r w:rsidRPr="00532F3A">
              <w:rPr>
                <w:rFonts w:ascii="Times New Roman" w:hAnsi="Times New Roman"/>
              </w:rPr>
              <w:t>180</w:t>
            </w:r>
            <w:r>
              <w:rPr>
                <w:rFonts w:ascii="Times New Roman" w:hAnsi="Times New Roman"/>
              </w:rPr>
              <w:t>;</w:t>
            </w:r>
            <w:r w:rsidRPr="00532F3A">
              <w:rPr>
                <w:rFonts w:ascii="Times New Roman" w:hAnsi="Times New Roman"/>
              </w:rPr>
              <w:t>10</w:t>
            </w:r>
            <w:r>
              <w:rPr>
                <w:rFonts w:ascii="Times New Roman" w:hAnsi="Times New Roman"/>
              </w:rPr>
              <w:t xml:space="preserve">} genannten Institute, deren Haupttätigkeit darin besteht, Beteiligungen zu erwerben oder eines oder mehrere der in Anhang I der Richtlinie </w:t>
            </w:r>
            <w:r w:rsidRPr="00532F3A">
              <w:rPr>
                <w:rFonts w:ascii="Times New Roman" w:hAnsi="Times New Roman"/>
              </w:rPr>
              <w:t>2013</w:t>
            </w:r>
            <w:r>
              <w:rPr>
                <w:rFonts w:ascii="Times New Roman" w:hAnsi="Times New Roman"/>
              </w:rPr>
              <w:t>/</w:t>
            </w:r>
            <w:r w:rsidRPr="00532F3A">
              <w:rPr>
                <w:rFonts w:ascii="Times New Roman" w:hAnsi="Times New Roman"/>
              </w:rPr>
              <w:t>36</w:t>
            </w:r>
            <w:r>
              <w:rPr>
                <w:rFonts w:ascii="Times New Roman" w:hAnsi="Times New Roman"/>
              </w:rPr>
              <w:t xml:space="preserve">/EU aufgelisteten Geschäfte zu betreiben, sowie die in Artikel </w:t>
            </w:r>
            <w:r w:rsidRPr="00532F3A">
              <w:rPr>
                <w:rFonts w:ascii="Times New Roman" w:hAnsi="Times New Roman"/>
              </w:rPr>
              <w:t>4</w:t>
            </w:r>
            <w:r>
              <w:rPr>
                <w:rFonts w:ascii="Times New Roman" w:hAnsi="Times New Roman"/>
              </w:rPr>
              <w:t xml:space="preserve"> Absatz </w:t>
            </w:r>
            <w:r w:rsidRPr="00532F3A">
              <w:rPr>
                <w:rFonts w:ascii="Times New Roman" w:hAnsi="Times New Roman"/>
              </w:rPr>
              <w:t>1</w:t>
            </w:r>
            <w:r>
              <w:rPr>
                <w:rFonts w:ascii="Times New Roman" w:hAnsi="Times New Roman"/>
              </w:rPr>
              <w:t xml:space="preserve"> Nummer </w:t>
            </w:r>
            <w:r w:rsidRPr="00532F3A">
              <w:rPr>
                <w:rFonts w:ascii="Times New Roman" w:hAnsi="Times New Roman"/>
              </w:rPr>
              <w:t>27</w:t>
            </w:r>
            <w:r>
              <w:rPr>
                <w:rFonts w:ascii="Times New Roman" w:hAnsi="Times New Roman"/>
              </w:rPr>
              <w:t xml:space="preserve"> CRR definierten Unternehmen, mit Ausnahme der in {</w:t>
            </w:r>
            <w:r w:rsidRPr="00532F3A">
              <w:rPr>
                <w:rFonts w:ascii="Times New Roman" w:hAnsi="Times New Roman"/>
              </w:rPr>
              <w:t>180</w:t>
            </w:r>
            <w:r>
              <w:rPr>
                <w:rFonts w:ascii="Times New Roman" w:hAnsi="Times New Roman"/>
              </w:rPr>
              <w:t>;</w:t>
            </w:r>
            <w:r w:rsidRPr="00532F3A">
              <w:rPr>
                <w:rFonts w:ascii="Times New Roman" w:hAnsi="Times New Roman"/>
              </w:rPr>
              <w:t>10</w:t>
            </w:r>
            <w:r>
              <w:rPr>
                <w:rFonts w:ascii="Times New Roman" w:hAnsi="Times New Roman"/>
              </w:rPr>
              <w:t xml:space="preserve">} genannten Institute. </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Die Institute melden die Beträge abzüglich der ausgefallenen Risikopositionen.</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lastRenderedPageBreak/>
              <w:t>{</w:t>
            </w:r>
            <w:r w:rsidRPr="00532F3A">
              <w:rPr>
                <w:rFonts w:ascii="Times New Roman" w:hAnsi="Times New Roman"/>
              </w:rPr>
              <w:t>240</w:t>
            </w:r>
            <w:r>
              <w:rPr>
                <w:rFonts w:ascii="Times New Roman" w:hAnsi="Times New Roman"/>
              </w:rPr>
              <w:t>;</w:t>
            </w:r>
            <w:r w:rsidRPr="00532F3A">
              <w:rPr>
                <w:rFonts w:ascii="Times New Roman" w:hAnsi="Times New Roman"/>
              </w:rPr>
              <w:t>030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Finanzunternehmen — Risikogewichteter Positionsbetrag (RWA, risk-weighted exposure amount) — Risikopositionen nach dem Standardansatz</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Der risikogewichtete Positionsbetrag von Vermögenswerten, bei denen es sich um Risikopositionen gegenüber Finanzunternehmen gemäß Artikel </w:t>
            </w:r>
            <w:r w:rsidRPr="00532F3A">
              <w:rPr>
                <w:rFonts w:ascii="Times New Roman" w:hAnsi="Times New Roman"/>
              </w:rPr>
              <w:t>122</w:t>
            </w:r>
            <w:r>
              <w:rPr>
                <w:rFonts w:ascii="Times New Roman" w:hAnsi="Times New Roman"/>
              </w:rPr>
              <w:t xml:space="preserve"> CRR handelt. Für die in LR</w:t>
            </w:r>
            <w:r w:rsidRPr="00532F3A">
              <w:rPr>
                <w:rFonts w:ascii="Times New Roman" w:hAnsi="Times New Roman"/>
              </w:rPr>
              <w:t>4</w:t>
            </w:r>
            <w:r>
              <w:rPr>
                <w:rFonts w:ascii="Times New Roman" w:hAnsi="Times New Roman"/>
              </w:rPr>
              <w:t xml:space="preserve"> zu meldenden Angaben bedeutet der Begriff Finanzunternehmen beaufsichtigte und nicht beaufsichtigte Unternehmen, mit Ausnahme der in {</w:t>
            </w:r>
            <w:r w:rsidRPr="00532F3A">
              <w:rPr>
                <w:rFonts w:ascii="Times New Roman" w:hAnsi="Times New Roman"/>
              </w:rPr>
              <w:t>180</w:t>
            </w:r>
            <w:r>
              <w:rPr>
                <w:rFonts w:ascii="Times New Roman" w:hAnsi="Times New Roman"/>
              </w:rPr>
              <w:t>;</w:t>
            </w:r>
            <w:r w:rsidRPr="00532F3A">
              <w:rPr>
                <w:rFonts w:ascii="Times New Roman" w:hAnsi="Times New Roman"/>
              </w:rPr>
              <w:t>10</w:t>
            </w:r>
            <w:r>
              <w:rPr>
                <w:rFonts w:ascii="Times New Roman" w:hAnsi="Times New Roman"/>
              </w:rPr>
              <w:t xml:space="preserve">} genannten Institute, deren Haupttätigkeit darin besteht, Beteiligungen zu erwerben oder eines oder mehrere der in Anhang I der Richtlinie </w:t>
            </w:r>
            <w:r w:rsidRPr="00532F3A">
              <w:rPr>
                <w:rFonts w:ascii="Times New Roman" w:hAnsi="Times New Roman"/>
              </w:rPr>
              <w:t>2013</w:t>
            </w:r>
            <w:r>
              <w:rPr>
                <w:rFonts w:ascii="Times New Roman" w:hAnsi="Times New Roman"/>
              </w:rPr>
              <w:t>/</w:t>
            </w:r>
            <w:r w:rsidRPr="00532F3A">
              <w:rPr>
                <w:rFonts w:ascii="Times New Roman" w:hAnsi="Times New Roman"/>
              </w:rPr>
              <w:t>36</w:t>
            </w:r>
            <w:r>
              <w:rPr>
                <w:rFonts w:ascii="Times New Roman" w:hAnsi="Times New Roman"/>
              </w:rPr>
              <w:t xml:space="preserve">/EU aufgelisteten Geschäfte zu betreiben, sowie die in Artikel </w:t>
            </w:r>
            <w:r w:rsidRPr="00532F3A">
              <w:rPr>
                <w:rFonts w:ascii="Times New Roman" w:hAnsi="Times New Roman"/>
              </w:rPr>
              <w:t>4</w:t>
            </w:r>
            <w:r>
              <w:rPr>
                <w:rFonts w:ascii="Times New Roman" w:hAnsi="Times New Roman"/>
              </w:rPr>
              <w:t xml:space="preserve"> Absatz </w:t>
            </w:r>
            <w:r w:rsidRPr="00532F3A">
              <w:rPr>
                <w:rFonts w:ascii="Times New Roman" w:hAnsi="Times New Roman"/>
              </w:rPr>
              <w:t>1</w:t>
            </w:r>
            <w:r>
              <w:rPr>
                <w:rFonts w:ascii="Times New Roman" w:hAnsi="Times New Roman"/>
              </w:rPr>
              <w:t xml:space="preserve"> Nummer </w:t>
            </w:r>
            <w:r w:rsidRPr="00532F3A">
              <w:rPr>
                <w:rFonts w:ascii="Times New Roman" w:hAnsi="Times New Roman"/>
              </w:rPr>
              <w:t>27</w:t>
            </w:r>
            <w:r>
              <w:rPr>
                <w:rFonts w:ascii="Times New Roman" w:hAnsi="Times New Roman"/>
              </w:rPr>
              <w:t xml:space="preserve"> CRR definierten Unternehmen, mit Ausnahme der in {</w:t>
            </w:r>
            <w:r w:rsidRPr="00532F3A">
              <w:rPr>
                <w:rFonts w:ascii="Times New Roman" w:hAnsi="Times New Roman"/>
              </w:rPr>
              <w:t>180</w:t>
            </w:r>
            <w:r>
              <w:rPr>
                <w:rFonts w:ascii="Times New Roman" w:hAnsi="Times New Roman"/>
              </w:rPr>
              <w:t>;</w:t>
            </w:r>
            <w:r w:rsidRPr="00532F3A">
              <w:rPr>
                <w:rFonts w:ascii="Times New Roman" w:hAnsi="Times New Roman"/>
              </w:rPr>
              <w:t>10</w:t>
            </w:r>
            <w:r>
              <w:rPr>
                <w:rFonts w:ascii="Times New Roman" w:hAnsi="Times New Roman"/>
              </w:rPr>
              <w:t xml:space="preserve">} genannten Institute.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Die Institute melden die Beträge abzüglich der ausgefallenen Risikopositionen.</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532F3A">
              <w:rPr>
                <w:rFonts w:ascii="Times New Roman" w:hAnsi="Times New Roman"/>
              </w:rPr>
              <w:t>240</w:t>
            </w:r>
            <w:r>
              <w:rPr>
                <w:rFonts w:ascii="Times New Roman" w:hAnsi="Times New Roman"/>
              </w:rPr>
              <w:t>;</w:t>
            </w:r>
            <w:r w:rsidRPr="00532F3A">
              <w:rPr>
                <w:rFonts w:ascii="Times New Roman" w:hAnsi="Times New Roman"/>
              </w:rPr>
              <w:t>040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Finanzunternehmen — Risikogewichteter Positionsbetrag (RWA, risk-weighted exposure amount) — Risikopositionen nach dem Standardansatz</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Der risikogewichtete Positionsbetrag von Vermögenswerten, bei denen es sich um Risikopositionen gegenüber Finanzunternehmen gemäß Artikel </w:t>
            </w:r>
            <w:r w:rsidRPr="00532F3A">
              <w:rPr>
                <w:rFonts w:ascii="Times New Roman" w:hAnsi="Times New Roman"/>
              </w:rPr>
              <w:t>147</w:t>
            </w:r>
            <w:r>
              <w:rPr>
                <w:rFonts w:ascii="Times New Roman" w:hAnsi="Times New Roman"/>
              </w:rPr>
              <w:t xml:space="preserve"> Absatz </w:t>
            </w:r>
            <w:r w:rsidRPr="00532F3A">
              <w:rPr>
                <w:rFonts w:ascii="Times New Roman" w:hAnsi="Times New Roman"/>
              </w:rPr>
              <w:t>2</w:t>
            </w:r>
            <w:r>
              <w:rPr>
                <w:rFonts w:ascii="Times New Roman" w:hAnsi="Times New Roman"/>
              </w:rPr>
              <w:t xml:space="preserve"> Buchstabe c CRR handelt, falls diese Risikopositionen </w:t>
            </w:r>
            <w:r>
              <w:rPr>
                <w:rFonts w:ascii="Times New Roman" w:hAnsi="Times New Roman"/>
                <w:b/>
                <w:u w:val="single"/>
              </w:rPr>
              <w:t>nicht</w:t>
            </w:r>
            <w:r>
              <w:rPr>
                <w:rFonts w:ascii="Times New Roman" w:hAnsi="Times New Roman"/>
              </w:rPr>
              <w:t xml:space="preserve"> durch Grundpfandrechte auf Immobilien gemäß Artikel </w:t>
            </w:r>
            <w:r w:rsidRPr="00532F3A">
              <w:rPr>
                <w:rFonts w:ascii="Times New Roman" w:hAnsi="Times New Roman"/>
              </w:rPr>
              <w:t>199</w:t>
            </w:r>
            <w:r>
              <w:rPr>
                <w:rFonts w:ascii="Times New Roman" w:hAnsi="Times New Roman"/>
              </w:rPr>
              <w:t xml:space="preserve"> Absatz </w:t>
            </w:r>
            <w:r w:rsidRPr="00532F3A">
              <w:rPr>
                <w:rFonts w:ascii="Times New Roman" w:hAnsi="Times New Roman"/>
              </w:rPr>
              <w:t>1</w:t>
            </w:r>
            <w:r>
              <w:rPr>
                <w:rFonts w:ascii="Times New Roman" w:hAnsi="Times New Roman"/>
              </w:rPr>
              <w:t xml:space="preserve"> Buchstabe a CRR besichert sind. Für die in LR</w:t>
            </w:r>
            <w:r w:rsidRPr="00532F3A">
              <w:rPr>
                <w:rFonts w:ascii="Times New Roman" w:hAnsi="Times New Roman"/>
              </w:rPr>
              <w:t>4</w:t>
            </w:r>
            <w:r>
              <w:rPr>
                <w:rFonts w:ascii="Times New Roman" w:hAnsi="Times New Roman"/>
              </w:rPr>
              <w:t xml:space="preserve"> zu meldenden Angaben bedeutet der Begriff Finanzunternehmen beaufsichtigte und nicht beaufsichtigte Unternehmen, mit Ausnahme der in {</w:t>
            </w:r>
            <w:r w:rsidRPr="00532F3A">
              <w:rPr>
                <w:rFonts w:ascii="Times New Roman" w:hAnsi="Times New Roman"/>
              </w:rPr>
              <w:t>180</w:t>
            </w:r>
            <w:r>
              <w:rPr>
                <w:rFonts w:ascii="Times New Roman" w:hAnsi="Times New Roman"/>
              </w:rPr>
              <w:t>;</w:t>
            </w:r>
            <w:r w:rsidRPr="00532F3A">
              <w:rPr>
                <w:rFonts w:ascii="Times New Roman" w:hAnsi="Times New Roman"/>
              </w:rPr>
              <w:t>10</w:t>
            </w:r>
            <w:r>
              <w:rPr>
                <w:rFonts w:ascii="Times New Roman" w:hAnsi="Times New Roman"/>
              </w:rPr>
              <w:t xml:space="preserve">} genannten Institute, deren Haupttätigkeit darin besteht, Beteiligungen zu erwerben oder eines oder mehrere der in Anhang I der Richtlinie </w:t>
            </w:r>
            <w:r w:rsidRPr="00532F3A">
              <w:rPr>
                <w:rFonts w:ascii="Times New Roman" w:hAnsi="Times New Roman"/>
              </w:rPr>
              <w:t>2013</w:t>
            </w:r>
            <w:r>
              <w:rPr>
                <w:rFonts w:ascii="Times New Roman" w:hAnsi="Times New Roman"/>
              </w:rPr>
              <w:t>/</w:t>
            </w:r>
            <w:r w:rsidRPr="00532F3A">
              <w:rPr>
                <w:rFonts w:ascii="Times New Roman" w:hAnsi="Times New Roman"/>
              </w:rPr>
              <w:t>36</w:t>
            </w:r>
            <w:r>
              <w:rPr>
                <w:rFonts w:ascii="Times New Roman" w:hAnsi="Times New Roman"/>
              </w:rPr>
              <w:t xml:space="preserve">/EU aufgelisteten Geschäfte zu betreiben, sowie die in Artikel </w:t>
            </w:r>
            <w:r w:rsidRPr="00532F3A">
              <w:rPr>
                <w:rFonts w:ascii="Times New Roman" w:hAnsi="Times New Roman"/>
              </w:rPr>
              <w:t>4</w:t>
            </w:r>
            <w:r>
              <w:rPr>
                <w:rFonts w:ascii="Times New Roman" w:hAnsi="Times New Roman"/>
              </w:rPr>
              <w:t xml:space="preserve"> Absatz </w:t>
            </w:r>
            <w:r w:rsidRPr="00532F3A">
              <w:rPr>
                <w:rFonts w:ascii="Times New Roman" w:hAnsi="Times New Roman"/>
              </w:rPr>
              <w:t>1</w:t>
            </w:r>
            <w:r>
              <w:rPr>
                <w:rFonts w:ascii="Times New Roman" w:hAnsi="Times New Roman"/>
              </w:rPr>
              <w:t xml:space="preserve"> Nummer </w:t>
            </w:r>
            <w:r w:rsidRPr="00532F3A">
              <w:rPr>
                <w:rFonts w:ascii="Times New Roman" w:hAnsi="Times New Roman"/>
              </w:rPr>
              <w:t>27</w:t>
            </w:r>
            <w:r>
              <w:rPr>
                <w:rFonts w:ascii="Times New Roman" w:hAnsi="Times New Roman"/>
              </w:rPr>
              <w:t xml:space="preserve"> CRR definierten Unternehmen, mit Ausnahme der in {</w:t>
            </w:r>
            <w:r w:rsidRPr="00532F3A">
              <w:rPr>
                <w:rFonts w:ascii="Times New Roman" w:hAnsi="Times New Roman"/>
              </w:rPr>
              <w:t>180</w:t>
            </w:r>
            <w:r>
              <w:rPr>
                <w:rFonts w:ascii="Times New Roman" w:hAnsi="Times New Roman"/>
              </w:rPr>
              <w:t>;</w:t>
            </w:r>
            <w:r w:rsidRPr="00532F3A">
              <w:rPr>
                <w:rFonts w:ascii="Times New Roman" w:hAnsi="Times New Roman"/>
              </w:rPr>
              <w:t>10</w:t>
            </w:r>
            <w:r>
              <w:rPr>
                <w:rFonts w:ascii="Times New Roman" w:hAnsi="Times New Roman"/>
              </w:rPr>
              <w:t xml:space="preserve">} genannten Institute. </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Die Institute melden die Beträge abzüglich der ausgefallenen Risikopositionen.</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532F3A">
              <w:rPr>
                <w:rFonts w:ascii="Times New Roman" w:hAnsi="Times New Roman"/>
              </w:rPr>
              <w:t>250</w:t>
            </w:r>
            <w:r>
              <w:rPr>
                <w:rFonts w:ascii="Times New Roman" w:hAnsi="Times New Roman"/>
              </w:rPr>
              <w:t>;</w:t>
            </w:r>
            <w:r w:rsidRPr="00532F3A">
              <w:rPr>
                <w:rFonts w:ascii="Times New Roman" w:hAnsi="Times New Roman"/>
              </w:rPr>
              <w:t>010</w:t>
            </w:r>
            <w:r>
              <w:rPr>
                <w:rFonts w:ascii="Times New Roman" w:hAnsi="Times New Roman"/>
              </w:rPr>
              <w:t>}</w:t>
            </w:r>
          </w:p>
        </w:tc>
        <w:tc>
          <w:tcPr>
            <w:tcW w:w="8133" w:type="dxa"/>
            <w:shd w:val="clear" w:color="auto" w:fill="FFFFFF"/>
          </w:tcPr>
          <w:p w:rsidR="00F4754B" w:rsidRPr="00BE6AC4" w:rsidRDefault="00CD1DA1" w:rsidP="007E2A41">
            <w:pPr>
              <w:pStyle w:val="BodyText1"/>
              <w:spacing w:line="240" w:lineRule="auto"/>
              <w:rPr>
                <w:rFonts w:ascii="Times New Roman" w:hAnsi="Times New Roman"/>
                <w:b/>
                <w:bCs/>
              </w:rPr>
            </w:pPr>
            <w:r>
              <w:rPr>
                <w:rFonts w:ascii="Times New Roman" w:hAnsi="Times New Roman"/>
                <w:b/>
              </w:rPr>
              <w:t>Nichtfinanzunternehmen; davon — Risikopositionswert für die Verschuldungsquote — Risikopositionen nach dem Standardansatz</w:t>
            </w:r>
          </w:p>
          <w:p w:rsidR="002509B1" w:rsidRPr="00BE6AC4"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Der Risikopositionswert für die Verschuldungsquote in Bezug auf Vermögenswerte, bei denen es sich um Risikopositionen gegenüber </w:t>
            </w:r>
            <w:r>
              <w:rPr>
                <w:rFonts w:ascii="Times New Roman" w:hAnsi="Times New Roman"/>
                <w:b/>
              </w:rPr>
              <w:t>Nicht</w:t>
            </w:r>
            <w:r>
              <w:rPr>
                <w:rFonts w:ascii="Times New Roman" w:hAnsi="Times New Roman"/>
              </w:rPr>
              <w:t xml:space="preserve">finanzunternehmen gemäß Artikel </w:t>
            </w:r>
            <w:r w:rsidRPr="00532F3A">
              <w:rPr>
                <w:rFonts w:ascii="Times New Roman" w:hAnsi="Times New Roman"/>
              </w:rPr>
              <w:t>122</w:t>
            </w:r>
            <w:r>
              <w:rPr>
                <w:rFonts w:ascii="Times New Roman" w:hAnsi="Times New Roman"/>
              </w:rPr>
              <w:t xml:space="preserve"> CRR handelt. </w:t>
            </w:r>
          </w:p>
          <w:p w:rsidR="00FA71DB" w:rsidRDefault="00FA71DB"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r>
              <w:rPr>
                <w:rFonts w:ascii="Times New Roman" w:hAnsi="Times New Roman"/>
              </w:rPr>
              <w:t>Summe der Felder {</w:t>
            </w:r>
            <w:r w:rsidRPr="00532F3A">
              <w:rPr>
                <w:rFonts w:ascii="Times New Roman" w:hAnsi="Times New Roman"/>
              </w:rPr>
              <w:t>260</w:t>
            </w:r>
            <w:r>
              <w:rPr>
                <w:rFonts w:ascii="Times New Roman" w:hAnsi="Times New Roman"/>
              </w:rPr>
              <w:t>,</w:t>
            </w:r>
            <w:r w:rsidRPr="00532F3A">
              <w:rPr>
                <w:rFonts w:ascii="Times New Roman" w:hAnsi="Times New Roman"/>
              </w:rPr>
              <w:t>010</w:t>
            </w:r>
            <w:r>
              <w:rPr>
                <w:rFonts w:ascii="Times New Roman" w:hAnsi="Times New Roman"/>
              </w:rPr>
              <w:t>} und {</w:t>
            </w:r>
            <w:r w:rsidRPr="00532F3A">
              <w:rPr>
                <w:rFonts w:ascii="Times New Roman" w:hAnsi="Times New Roman"/>
              </w:rPr>
              <w:t>270</w:t>
            </w:r>
            <w:r>
              <w:rPr>
                <w:rFonts w:ascii="Times New Roman" w:hAnsi="Times New Roman"/>
              </w:rPr>
              <w:t>,</w:t>
            </w:r>
            <w:r w:rsidRPr="00532F3A">
              <w:rPr>
                <w:rFonts w:ascii="Times New Roman" w:hAnsi="Times New Roman"/>
              </w:rPr>
              <w:t>010</w:t>
            </w:r>
            <w:r>
              <w:rPr>
                <w:rFonts w:ascii="Times New Roman" w:hAnsi="Times New Roman"/>
              </w:rPr>
              <w:t>}.</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Die Institute melden die Beträge abzüglich der ausgefallenen Risikopositionen.</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532F3A">
              <w:rPr>
                <w:rFonts w:ascii="Times New Roman" w:hAnsi="Times New Roman"/>
              </w:rPr>
              <w:t>250</w:t>
            </w:r>
            <w:r>
              <w:rPr>
                <w:rFonts w:ascii="Times New Roman" w:hAnsi="Times New Roman"/>
              </w:rPr>
              <w:t>;</w:t>
            </w:r>
            <w:r w:rsidRPr="00532F3A">
              <w:rPr>
                <w:rFonts w:ascii="Times New Roman" w:hAnsi="Times New Roman"/>
              </w:rPr>
              <w:t>020</w:t>
            </w:r>
            <w:r>
              <w:rPr>
                <w:rFonts w:ascii="Times New Roman" w:hAnsi="Times New Roman"/>
              </w:rPr>
              <w:t>}</w:t>
            </w:r>
          </w:p>
        </w:tc>
        <w:tc>
          <w:tcPr>
            <w:tcW w:w="8133" w:type="dxa"/>
            <w:shd w:val="clear" w:color="auto" w:fill="FFFFFF"/>
          </w:tcPr>
          <w:p w:rsidR="00F4754B" w:rsidRPr="00FE002E" w:rsidRDefault="00CD1DA1" w:rsidP="007E2A41">
            <w:pPr>
              <w:pStyle w:val="BodyText1"/>
              <w:spacing w:line="240" w:lineRule="auto"/>
              <w:rPr>
                <w:rFonts w:ascii="Times New Roman" w:hAnsi="Times New Roman"/>
                <w:b/>
                <w:bCs/>
              </w:rPr>
            </w:pPr>
            <w:r>
              <w:rPr>
                <w:rFonts w:ascii="Times New Roman" w:hAnsi="Times New Roman"/>
                <w:b/>
              </w:rPr>
              <w:t>Nichtfinanzunternehmen; davon — Risikopositionswert für die Verschuldungsquote — Risikopositionen nach dem IRB-Ansatz</w:t>
            </w:r>
          </w:p>
          <w:p w:rsidR="002509B1" w:rsidRPr="00FE002E" w:rsidRDefault="002509B1" w:rsidP="007E2A41">
            <w:pPr>
              <w:pStyle w:val="BodyText1"/>
              <w:spacing w:line="240" w:lineRule="auto"/>
              <w:rPr>
                <w:rFonts w:ascii="Times New Roman" w:hAnsi="Times New Roman"/>
                <w:b/>
                <w:bCs/>
              </w:rPr>
            </w:pPr>
          </w:p>
          <w:p w:rsidR="00FA71DB" w:rsidRDefault="00F4754B" w:rsidP="007E2A41">
            <w:pPr>
              <w:pStyle w:val="BodyText1"/>
              <w:spacing w:line="240" w:lineRule="auto"/>
              <w:rPr>
                <w:rFonts w:ascii="Times New Roman" w:hAnsi="Times New Roman"/>
                <w:bCs/>
              </w:rPr>
            </w:pPr>
            <w:r>
              <w:rPr>
                <w:rFonts w:ascii="Times New Roman" w:hAnsi="Times New Roman"/>
              </w:rPr>
              <w:t xml:space="preserve">Der Risikopositionswert für die Verschuldungsquote in Bezug auf Vermögenswerte, bei denen es sich um Risikopositionen gegenüber </w:t>
            </w:r>
            <w:r>
              <w:rPr>
                <w:rFonts w:ascii="Times New Roman" w:hAnsi="Times New Roman"/>
                <w:b/>
              </w:rPr>
              <w:t>Nicht</w:t>
            </w:r>
            <w:r>
              <w:rPr>
                <w:rFonts w:ascii="Times New Roman" w:hAnsi="Times New Roman"/>
              </w:rPr>
              <w:t xml:space="preserve">finanzunternehmen gemäß Artikel </w:t>
            </w:r>
            <w:r w:rsidRPr="00532F3A">
              <w:rPr>
                <w:rFonts w:ascii="Times New Roman" w:hAnsi="Times New Roman"/>
              </w:rPr>
              <w:t>147</w:t>
            </w:r>
            <w:r>
              <w:rPr>
                <w:rFonts w:ascii="Times New Roman" w:hAnsi="Times New Roman"/>
              </w:rPr>
              <w:t xml:space="preserve"> Absatz </w:t>
            </w:r>
            <w:r w:rsidRPr="00532F3A">
              <w:rPr>
                <w:rFonts w:ascii="Times New Roman" w:hAnsi="Times New Roman"/>
              </w:rPr>
              <w:t>2</w:t>
            </w:r>
            <w:r>
              <w:rPr>
                <w:rFonts w:ascii="Times New Roman" w:hAnsi="Times New Roman"/>
              </w:rPr>
              <w:t xml:space="preserve"> Buchstabe c CRR handelt, falls diese Risikopositionen </w:t>
            </w:r>
            <w:r>
              <w:rPr>
                <w:rFonts w:ascii="Times New Roman" w:hAnsi="Times New Roman"/>
                <w:b/>
                <w:u w:val="single"/>
              </w:rPr>
              <w:t>nicht</w:t>
            </w:r>
            <w:r>
              <w:rPr>
                <w:rFonts w:ascii="Times New Roman" w:hAnsi="Times New Roman"/>
              </w:rPr>
              <w:t xml:space="preserve"> durch Grundpfandrechte auf Immobilien gemäß Artikel </w:t>
            </w:r>
            <w:r w:rsidRPr="00532F3A">
              <w:rPr>
                <w:rFonts w:ascii="Times New Roman" w:hAnsi="Times New Roman"/>
              </w:rPr>
              <w:t>199</w:t>
            </w:r>
            <w:r>
              <w:rPr>
                <w:rFonts w:ascii="Times New Roman" w:hAnsi="Times New Roman"/>
              </w:rPr>
              <w:t xml:space="preserve"> Absatz </w:t>
            </w:r>
            <w:r w:rsidRPr="00532F3A">
              <w:rPr>
                <w:rFonts w:ascii="Times New Roman" w:hAnsi="Times New Roman"/>
              </w:rPr>
              <w:t>1</w:t>
            </w:r>
            <w:r>
              <w:rPr>
                <w:rFonts w:ascii="Times New Roman" w:hAnsi="Times New Roman"/>
              </w:rPr>
              <w:t xml:space="preserve"> Buchstabe a CRR besichert sind. </w:t>
            </w:r>
          </w:p>
          <w:p w:rsidR="00BE6AC4" w:rsidRDefault="00BE6AC4"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lastRenderedPageBreak/>
              <w:t>Summe der Felder {</w:t>
            </w:r>
            <w:r w:rsidRPr="00532F3A">
              <w:rPr>
                <w:rFonts w:ascii="Times New Roman" w:hAnsi="Times New Roman"/>
              </w:rPr>
              <w:t>260</w:t>
            </w:r>
            <w:r>
              <w:rPr>
                <w:rFonts w:ascii="Times New Roman" w:hAnsi="Times New Roman"/>
              </w:rPr>
              <w:t>,</w:t>
            </w:r>
            <w:r w:rsidRPr="00532F3A">
              <w:rPr>
                <w:rFonts w:ascii="Times New Roman" w:hAnsi="Times New Roman"/>
              </w:rPr>
              <w:t>020</w:t>
            </w:r>
            <w:r>
              <w:rPr>
                <w:rFonts w:ascii="Times New Roman" w:hAnsi="Times New Roman"/>
              </w:rPr>
              <w:t>} und {</w:t>
            </w:r>
            <w:r w:rsidRPr="00532F3A">
              <w:rPr>
                <w:rFonts w:ascii="Times New Roman" w:hAnsi="Times New Roman"/>
              </w:rPr>
              <w:t>270</w:t>
            </w:r>
            <w:r>
              <w:rPr>
                <w:rFonts w:ascii="Times New Roman" w:hAnsi="Times New Roman"/>
              </w:rPr>
              <w:t>,</w:t>
            </w:r>
            <w:r w:rsidRPr="00532F3A">
              <w:rPr>
                <w:rFonts w:ascii="Times New Roman" w:hAnsi="Times New Roman"/>
              </w:rPr>
              <w:t>020</w:t>
            </w:r>
            <w:r>
              <w:rPr>
                <w:rFonts w:ascii="Times New Roman" w:hAnsi="Times New Roman"/>
              </w:rPr>
              <w:t>}.</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Die Institute melden die Beträge abzüglich der ausgefallenen Risikopositionen.</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Pr>
                <w:rFonts w:ascii="Times New Roman" w:hAnsi="Times New Roman"/>
              </w:rPr>
              <w:lastRenderedPageBreak/>
              <w:t>{</w:t>
            </w:r>
            <w:r w:rsidRPr="00532F3A">
              <w:rPr>
                <w:rFonts w:ascii="Times New Roman" w:hAnsi="Times New Roman"/>
              </w:rPr>
              <w:t>250</w:t>
            </w:r>
            <w:r>
              <w:rPr>
                <w:rFonts w:ascii="Times New Roman" w:hAnsi="Times New Roman"/>
              </w:rPr>
              <w:t>;</w:t>
            </w:r>
            <w:r w:rsidRPr="00532F3A">
              <w:rPr>
                <w:rFonts w:ascii="Times New Roman" w:hAnsi="Times New Roman"/>
              </w:rPr>
              <w:t>030</w:t>
            </w:r>
            <w:r>
              <w:rPr>
                <w:rFonts w:ascii="Times New Roman" w:hAnsi="Times New Roman"/>
              </w:rPr>
              <w:t>}</w:t>
            </w:r>
          </w:p>
        </w:tc>
        <w:tc>
          <w:tcPr>
            <w:tcW w:w="8133" w:type="dxa"/>
            <w:shd w:val="clear" w:color="auto" w:fill="FFFFFF"/>
          </w:tcPr>
          <w:p w:rsidR="00F4754B" w:rsidRPr="00FE002E" w:rsidRDefault="00CD1DA1" w:rsidP="007E2A41">
            <w:pPr>
              <w:pStyle w:val="BodyText1"/>
              <w:spacing w:line="240" w:lineRule="auto"/>
              <w:rPr>
                <w:rFonts w:ascii="Times New Roman" w:hAnsi="Times New Roman"/>
                <w:b/>
                <w:bCs/>
              </w:rPr>
            </w:pPr>
            <w:r>
              <w:rPr>
                <w:rFonts w:ascii="Times New Roman" w:hAnsi="Times New Roman"/>
                <w:b/>
              </w:rPr>
              <w:t>Nichtfinanzunternehmen; davon — Risikogewichteter Positionsbetrag (RWA, risk-weighted exposure amount) — Risikopositionen nach dem Standardansatz</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Der risikogewichtete Positionsbetrag von Vermögenswerten, bei denen es sich um Risikopositionen gegenüber </w:t>
            </w:r>
            <w:r>
              <w:rPr>
                <w:rFonts w:ascii="Times New Roman" w:hAnsi="Times New Roman"/>
                <w:b/>
              </w:rPr>
              <w:t>Nicht</w:t>
            </w:r>
            <w:r>
              <w:rPr>
                <w:rFonts w:ascii="Times New Roman" w:hAnsi="Times New Roman"/>
              </w:rPr>
              <w:t xml:space="preserve">finanzunternehmen gemäß Artikel </w:t>
            </w:r>
            <w:r w:rsidRPr="00532F3A">
              <w:rPr>
                <w:rFonts w:ascii="Times New Roman" w:hAnsi="Times New Roman"/>
              </w:rPr>
              <w:t>122</w:t>
            </w:r>
            <w:r>
              <w:rPr>
                <w:rFonts w:ascii="Times New Roman" w:hAnsi="Times New Roman"/>
              </w:rPr>
              <w:t xml:space="preserve"> CRR handelt. </w:t>
            </w:r>
          </w:p>
          <w:p w:rsidR="00FA71DB" w:rsidRDefault="00FA71DB"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r>
              <w:rPr>
                <w:rFonts w:ascii="Times New Roman" w:hAnsi="Times New Roman"/>
              </w:rPr>
              <w:t>Summe der Felder {</w:t>
            </w:r>
            <w:r w:rsidRPr="00532F3A">
              <w:rPr>
                <w:rFonts w:ascii="Times New Roman" w:hAnsi="Times New Roman"/>
              </w:rPr>
              <w:t>260</w:t>
            </w:r>
            <w:r>
              <w:rPr>
                <w:rFonts w:ascii="Times New Roman" w:hAnsi="Times New Roman"/>
              </w:rPr>
              <w:t>,</w:t>
            </w:r>
            <w:r w:rsidRPr="00532F3A">
              <w:rPr>
                <w:rFonts w:ascii="Times New Roman" w:hAnsi="Times New Roman"/>
              </w:rPr>
              <w:t>030</w:t>
            </w:r>
            <w:r>
              <w:rPr>
                <w:rFonts w:ascii="Times New Roman" w:hAnsi="Times New Roman"/>
              </w:rPr>
              <w:t>} und {</w:t>
            </w:r>
            <w:r w:rsidRPr="00532F3A">
              <w:rPr>
                <w:rFonts w:ascii="Times New Roman" w:hAnsi="Times New Roman"/>
              </w:rPr>
              <w:t>270</w:t>
            </w:r>
            <w:r>
              <w:rPr>
                <w:rFonts w:ascii="Times New Roman" w:hAnsi="Times New Roman"/>
              </w:rPr>
              <w:t>,</w:t>
            </w:r>
            <w:r w:rsidRPr="00532F3A">
              <w:rPr>
                <w:rFonts w:ascii="Times New Roman" w:hAnsi="Times New Roman"/>
              </w:rPr>
              <w:t>030</w:t>
            </w:r>
            <w:r>
              <w:rPr>
                <w:rFonts w:ascii="Times New Roman" w:hAnsi="Times New Roman"/>
              </w:rPr>
              <w:t>}.</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Die Institute melden die Beträge abzüglich der ausgefallenen Risikopositionen.</w:t>
            </w:r>
          </w:p>
          <w:p w:rsidR="002509B1" w:rsidRPr="00FE002E" w:rsidDel="00504CFF"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bCs/>
              </w:rPr>
            </w:pPr>
            <w:r>
              <w:rPr>
                <w:rFonts w:ascii="Times New Roman" w:hAnsi="Times New Roman"/>
              </w:rPr>
              <w:t>{</w:t>
            </w:r>
            <w:r w:rsidRPr="00532F3A">
              <w:rPr>
                <w:rFonts w:ascii="Times New Roman" w:hAnsi="Times New Roman"/>
              </w:rPr>
              <w:t>250</w:t>
            </w:r>
            <w:r>
              <w:rPr>
                <w:rFonts w:ascii="Times New Roman" w:hAnsi="Times New Roman"/>
              </w:rPr>
              <w:t>;</w:t>
            </w:r>
            <w:r w:rsidRPr="00532F3A">
              <w:rPr>
                <w:rFonts w:ascii="Times New Roman" w:hAnsi="Times New Roman"/>
              </w:rPr>
              <w:t>040</w:t>
            </w:r>
            <w:r>
              <w:rPr>
                <w:rFonts w:ascii="Times New Roman" w:hAnsi="Times New Roman"/>
              </w:rPr>
              <w:t>}</w:t>
            </w:r>
          </w:p>
        </w:tc>
        <w:tc>
          <w:tcPr>
            <w:tcW w:w="8133" w:type="dxa"/>
            <w:shd w:val="clear" w:color="auto" w:fill="FFFFFF"/>
          </w:tcPr>
          <w:p w:rsidR="00F4754B" w:rsidRPr="00FE002E" w:rsidRDefault="00CD1DA1" w:rsidP="007E2A41">
            <w:pPr>
              <w:pStyle w:val="BodyText1"/>
              <w:spacing w:line="240" w:lineRule="auto"/>
              <w:rPr>
                <w:rFonts w:ascii="Times New Roman" w:hAnsi="Times New Roman"/>
                <w:b/>
                <w:bCs/>
              </w:rPr>
            </w:pPr>
            <w:r>
              <w:rPr>
                <w:rFonts w:ascii="Times New Roman" w:hAnsi="Times New Roman"/>
                <w:b/>
              </w:rPr>
              <w:t>Nichtfinanzunternehmen; davon — Risikogewichteter Positionsbetrag (RWA, risk-weighted exposure amount) — Risikopositionen nach dem IRB-Ansatz</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Der risikogewichtete Positionsbetrag von Vermögenswerten, bei denen es sich um Risikopositionen gegenüber </w:t>
            </w:r>
            <w:r>
              <w:rPr>
                <w:rFonts w:ascii="Times New Roman" w:hAnsi="Times New Roman"/>
                <w:b/>
              </w:rPr>
              <w:t>Nicht</w:t>
            </w:r>
            <w:r>
              <w:rPr>
                <w:rFonts w:ascii="Times New Roman" w:hAnsi="Times New Roman"/>
              </w:rPr>
              <w:t xml:space="preserve">finanzunternehmen gemäß Artikel </w:t>
            </w:r>
            <w:r w:rsidRPr="00532F3A">
              <w:rPr>
                <w:rFonts w:ascii="Times New Roman" w:hAnsi="Times New Roman"/>
              </w:rPr>
              <w:t>147</w:t>
            </w:r>
            <w:r>
              <w:rPr>
                <w:rFonts w:ascii="Times New Roman" w:hAnsi="Times New Roman"/>
              </w:rPr>
              <w:t xml:space="preserve"> Absatz </w:t>
            </w:r>
            <w:r w:rsidRPr="00532F3A">
              <w:rPr>
                <w:rFonts w:ascii="Times New Roman" w:hAnsi="Times New Roman"/>
              </w:rPr>
              <w:t>2</w:t>
            </w:r>
            <w:r>
              <w:rPr>
                <w:rFonts w:ascii="Times New Roman" w:hAnsi="Times New Roman"/>
              </w:rPr>
              <w:t xml:space="preserve"> Buchstabe c CRR handelt, falls diese Risikopositionen </w:t>
            </w:r>
            <w:r>
              <w:rPr>
                <w:rFonts w:ascii="Times New Roman" w:hAnsi="Times New Roman"/>
                <w:b/>
                <w:u w:val="single"/>
              </w:rPr>
              <w:t>nicht</w:t>
            </w:r>
            <w:r>
              <w:rPr>
                <w:rFonts w:ascii="Times New Roman" w:hAnsi="Times New Roman"/>
              </w:rPr>
              <w:t xml:space="preserve"> durch Grundpfandrechte auf Immobilien gemäß Artikel </w:t>
            </w:r>
            <w:r w:rsidRPr="00532F3A">
              <w:rPr>
                <w:rFonts w:ascii="Times New Roman" w:hAnsi="Times New Roman"/>
              </w:rPr>
              <w:t>199</w:t>
            </w:r>
            <w:r>
              <w:rPr>
                <w:rFonts w:ascii="Times New Roman" w:hAnsi="Times New Roman"/>
              </w:rPr>
              <w:t xml:space="preserve"> Absatz </w:t>
            </w:r>
            <w:r w:rsidRPr="00532F3A">
              <w:rPr>
                <w:rFonts w:ascii="Times New Roman" w:hAnsi="Times New Roman"/>
              </w:rPr>
              <w:t>1</w:t>
            </w:r>
            <w:r>
              <w:rPr>
                <w:rFonts w:ascii="Times New Roman" w:hAnsi="Times New Roman"/>
              </w:rPr>
              <w:t xml:space="preserve"> Buchstabe a CRR besichert sind. </w:t>
            </w:r>
          </w:p>
          <w:p w:rsidR="00FA71DB" w:rsidRDefault="00FA71DB"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r>
              <w:rPr>
                <w:rFonts w:ascii="Times New Roman" w:hAnsi="Times New Roman"/>
              </w:rPr>
              <w:t>Summe der Felder {</w:t>
            </w:r>
            <w:r w:rsidRPr="00532F3A">
              <w:rPr>
                <w:rFonts w:ascii="Times New Roman" w:hAnsi="Times New Roman"/>
              </w:rPr>
              <w:t>260</w:t>
            </w:r>
            <w:r>
              <w:rPr>
                <w:rFonts w:ascii="Times New Roman" w:hAnsi="Times New Roman"/>
              </w:rPr>
              <w:t>,</w:t>
            </w:r>
            <w:r w:rsidRPr="00532F3A">
              <w:rPr>
                <w:rFonts w:ascii="Times New Roman" w:hAnsi="Times New Roman"/>
              </w:rPr>
              <w:t>040</w:t>
            </w:r>
            <w:r>
              <w:rPr>
                <w:rFonts w:ascii="Times New Roman" w:hAnsi="Times New Roman"/>
              </w:rPr>
              <w:t>} und {</w:t>
            </w:r>
            <w:r w:rsidRPr="00532F3A">
              <w:rPr>
                <w:rFonts w:ascii="Times New Roman" w:hAnsi="Times New Roman"/>
              </w:rPr>
              <w:t>270</w:t>
            </w:r>
            <w:r>
              <w:rPr>
                <w:rFonts w:ascii="Times New Roman" w:hAnsi="Times New Roman"/>
              </w:rPr>
              <w:t>,</w:t>
            </w:r>
            <w:r w:rsidRPr="00532F3A">
              <w:rPr>
                <w:rFonts w:ascii="Times New Roman" w:hAnsi="Times New Roman"/>
              </w:rPr>
              <w:t>040</w:t>
            </w:r>
            <w:r>
              <w:rPr>
                <w:rFonts w:ascii="Times New Roman" w:hAnsi="Times New Roman"/>
              </w:rPr>
              <w:t>}.</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Die Institute melden die Beträge abzüglich der ausgefallenen Risikopositionen.</w:t>
            </w:r>
          </w:p>
          <w:p w:rsidR="002509B1" w:rsidRPr="00FE002E" w:rsidDel="00504CFF"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532F3A">
              <w:rPr>
                <w:rFonts w:ascii="Times New Roman" w:hAnsi="Times New Roman"/>
              </w:rPr>
              <w:t>260</w:t>
            </w:r>
            <w:r>
              <w:rPr>
                <w:rFonts w:ascii="Times New Roman" w:hAnsi="Times New Roman"/>
              </w:rPr>
              <w:t>;</w:t>
            </w:r>
            <w:r w:rsidRPr="00532F3A">
              <w:rPr>
                <w:rFonts w:ascii="Times New Roman" w:hAnsi="Times New Roman"/>
              </w:rPr>
              <w:t>010</w:t>
            </w:r>
            <w:r>
              <w:rPr>
                <w:rFonts w:ascii="Times New Roman" w:hAnsi="Times New Roman"/>
              </w:rPr>
              <w:t>}</w:t>
            </w:r>
          </w:p>
        </w:tc>
        <w:tc>
          <w:tcPr>
            <w:tcW w:w="8133" w:type="dxa"/>
            <w:shd w:val="clear" w:color="auto" w:fill="FFFFFF"/>
          </w:tcPr>
          <w:p w:rsidR="00F4754B" w:rsidRPr="006F6EA7" w:rsidRDefault="00F4754B" w:rsidP="007E2A41">
            <w:pPr>
              <w:pStyle w:val="BodyText1"/>
              <w:spacing w:line="240" w:lineRule="auto"/>
              <w:rPr>
                <w:rFonts w:ascii="Times New Roman" w:hAnsi="Times New Roman"/>
                <w:b/>
                <w:bCs/>
              </w:rPr>
            </w:pPr>
            <w:r>
              <w:rPr>
                <w:rFonts w:ascii="Times New Roman" w:hAnsi="Times New Roman"/>
                <w:b/>
              </w:rPr>
              <w:t>Risikopositionen gegenüber KMU — Risikopositionswert für die Verschuldungsquote — Risikopositionen nach dem Standardansatz</w:t>
            </w:r>
          </w:p>
          <w:p w:rsidR="002509B1" w:rsidRPr="00706750"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Der Risikopositionswert für die Verschuldungsquote in Bezug auf Vermögenswerte, bei denen es sich um Risikopositionen gegenüber Unternehmen in Form von kleinen und mittleren Unternehmen gemäß Artikel </w:t>
            </w:r>
            <w:r w:rsidRPr="00532F3A">
              <w:rPr>
                <w:rFonts w:ascii="Times New Roman" w:hAnsi="Times New Roman"/>
              </w:rPr>
              <w:t>122</w:t>
            </w:r>
            <w:r>
              <w:rPr>
                <w:rFonts w:ascii="Times New Roman" w:hAnsi="Times New Roman"/>
              </w:rPr>
              <w:t xml:space="preserve"> CRR handelt. </w:t>
            </w:r>
          </w:p>
          <w:p w:rsidR="00FA71DB" w:rsidRDefault="00FA71DB" w:rsidP="007E2A41">
            <w:pPr>
              <w:pStyle w:val="BodyText1"/>
              <w:spacing w:line="240" w:lineRule="auto"/>
              <w:rPr>
                <w:rFonts w:ascii="Times New Roman" w:hAnsi="Times New Roman"/>
                <w:bCs/>
              </w:rPr>
            </w:pPr>
          </w:p>
          <w:p w:rsidR="004F39F5" w:rsidRDefault="004F39F5" w:rsidP="007E2A41">
            <w:pPr>
              <w:pStyle w:val="BodyText1"/>
              <w:spacing w:line="240" w:lineRule="auto"/>
              <w:rPr>
                <w:rFonts w:ascii="Times New Roman" w:hAnsi="Times New Roman"/>
                <w:bCs/>
              </w:rPr>
            </w:pPr>
            <w:r>
              <w:rPr>
                <w:rFonts w:ascii="Times New Roman" w:hAnsi="Times New Roman"/>
              </w:rPr>
              <w:t xml:space="preserve">Für dieses Feld gilt die Definition von kleinen und mittleren Unternehmen gemäß Artikel </w:t>
            </w:r>
            <w:r w:rsidRPr="00532F3A">
              <w:rPr>
                <w:rFonts w:ascii="Times New Roman" w:hAnsi="Times New Roman"/>
              </w:rPr>
              <w:t>501</w:t>
            </w:r>
            <w:r>
              <w:rPr>
                <w:rFonts w:ascii="Times New Roman" w:hAnsi="Times New Roman"/>
              </w:rPr>
              <w:t xml:space="preserve"> Absatz </w:t>
            </w:r>
            <w:r w:rsidRPr="00532F3A">
              <w:rPr>
                <w:rFonts w:ascii="Times New Roman" w:hAnsi="Times New Roman"/>
              </w:rPr>
              <w:t>2</w:t>
            </w:r>
            <w:r>
              <w:rPr>
                <w:rFonts w:ascii="Times New Roman" w:hAnsi="Times New Roman"/>
              </w:rPr>
              <w:t xml:space="preserve"> Buchstabe b CRR.</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Die Institute melden die Beträge abzüglich der ausgefallenen Risikopositionen.</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w:t>
            </w:r>
            <w:r w:rsidRPr="00532F3A">
              <w:rPr>
                <w:rFonts w:ascii="Times New Roman" w:hAnsi="Times New Roman"/>
              </w:rPr>
              <w:t>260</w:t>
            </w:r>
            <w:r>
              <w:rPr>
                <w:rFonts w:ascii="Times New Roman" w:hAnsi="Times New Roman"/>
              </w:rPr>
              <w:t>;</w:t>
            </w:r>
            <w:r w:rsidRPr="00532F3A">
              <w:rPr>
                <w:rFonts w:ascii="Times New Roman" w:hAnsi="Times New Roman"/>
              </w:rPr>
              <w:t>020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Risikopositionen gegenüber KMU — Risikopositionswert für die Verschuldungsquote — Risikopositionen nach dem IRB-Ansatz</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Der Risikopositionswert für die Verschuldungsquote in Bezug auf Vermögenswerte, bei denen es sich um Risikopositionen gegenüber Unternehmen gemäß Artikel </w:t>
            </w:r>
            <w:r w:rsidRPr="00532F3A">
              <w:rPr>
                <w:rFonts w:ascii="Times New Roman" w:hAnsi="Times New Roman"/>
              </w:rPr>
              <w:t>147</w:t>
            </w:r>
            <w:r>
              <w:rPr>
                <w:rFonts w:ascii="Times New Roman" w:hAnsi="Times New Roman"/>
              </w:rPr>
              <w:t xml:space="preserve"> Absatz </w:t>
            </w:r>
            <w:r w:rsidRPr="00532F3A">
              <w:rPr>
                <w:rFonts w:ascii="Times New Roman" w:hAnsi="Times New Roman"/>
              </w:rPr>
              <w:t>2</w:t>
            </w:r>
            <w:r>
              <w:rPr>
                <w:rFonts w:ascii="Times New Roman" w:hAnsi="Times New Roman"/>
              </w:rPr>
              <w:t xml:space="preserve"> Buchstabe c CRR handelt, falls diese Risikopositionen gegenüber kleinen und mittleren Unternehmen bestehen und </w:t>
            </w:r>
            <w:r>
              <w:rPr>
                <w:rFonts w:ascii="Times New Roman" w:hAnsi="Times New Roman"/>
                <w:b/>
                <w:u w:val="single"/>
              </w:rPr>
              <w:t>nicht</w:t>
            </w:r>
            <w:r>
              <w:rPr>
                <w:rFonts w:ascii="Times New Roman" w:hAnsi="Times New Roman"/>
              </w:rPr>
              <w:t xml:space="preserve"> durch Grundpfandrechte auf Immobilien gemäß Artikel </w:t>
            </w:r>
            <w:r w:rsidRPr="00532F3A">
              <w:rPr>
                <w:rFonts w:ascii="Times New Roman" w:hAnsi="Times New Roman"/>
              </w:rPr>
              <w:t>199</w:t>
            </w:r>
            <w:r>
              <w:rPr>
                <w:rFonts w:ascii="Times New Roman" w:hAnsi="Times New Roman"/>
              </w:rPr>
              <w:t xml:space="preserve"> Absatz </w:t>
            </w:r>
            <w:r w:rsidRPr="00532F3A">
              <w:rPr>
                <w:rFonts w:ascii="Times New Roman" w:hAnsi="Times New Roman"/>
              </w:rPr>
              <w:t>1</w:t>
            </w:r>
            <w:r>
              <w:rPr>
                <w:rFonts w:ascii="Times New Roman" w:hAnsi="Times New Roman"/>
              </w:rPr>
              <w:t xml:space="preserve"> Buchstabe a CRR besichert sind.</w:t>
            </w:r>
          </w:p>
          <w:p w:rsidR="00FA71DB" w:rsidRDefault="00FA71DB" w:rsidP="007E2A41">
            <w:pPr>
              <w:pStyle w:val="BodyText1"/>
              <w:spacing w:line="240" w:lineRule="auto"/>
              <w:rPr>
                <w:rFonts w:ascii="Times New Roman" w:hAnsi="Times New Roman"/>
                <w:bCs/>
              </w:rPr>
            </w:pPr>
          </w:p>
          <w:p w:rsidR="002509B1" w:rsidRDefault="004F39F5" w:rsidP="007E2A41">
            <w:pPr>
              <w:pStyle w:val="BodyText1"/>
              <w:spacing w:line="240" w:lineRule="auto"/>
              <w:rPr>
                <w:rFonts w:ascii="Times New Roman" w:hAnsi="Times New Roman"/>
                <w:b/>
                <w:bCs/>
                <w:u w:val="single"/>
              </w:rPr>
            </w:pPr>
            <w:r>
              <w:rPr>
                <w:rFonts w:ascii="Times New Roman" w:hAnsi="Times New Roman"/>
              </w:rPr>
              <w:t xml:space="preserve">Für dieses Feld gilt die Definition von „kleinen und mittleren Unternehmen“ gemäß Artikel </w:t>
            </w:r>
            <w:r w:rsidRPr="00532F3A">
              <w:rPr>
                <w:rFonts w:ascii="Times New Roman" w:hAnsi="Times New Roman"/>
              </w:rPr>
              <w:t>501</w:t>
            </w:r>
            <w:r>
              <w:rPr>
                <w:rFonts w:ascii="Times New Roman" w:hAnsi="Times New Roman"/>
              </w:rPr>
              <w:t xml:space="preserve"> Absatz </w:t>
            </w:r>
            <w:r w:rsidRPr="00532F3A">
              <w:rPr>
                <w:rFonts w:ascii="Times New Roman" w:hAnsi="Times New Roman"/>
              </w:rPr>
              <w:t>2</w:t>
            </w:r>
            <w:r>
              <w:rPr>
                <w:rFonts w:ascii="Times New Roman" w:hAnsi="Times New Roman"/>
              </w:rPr>
              <w:t xml:space="preserve"> Buchstabe b CRR.</w:t>
            </w:r>
          </w:p>
          <w:p w:rsidR="009C4E79" w:rsidRDefault="009C4E79"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Die Institute melden die Beträge abzüglich der ausgefallenen Risikopositionen.</w:t>
            </w:r>
          </w:p>
          <w:p w:rsidR="009C4E79" w:rsidRPr="00FE002E" w:rsidDel="00504CFF"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532F3A">
              <w:rPr>
                <w:rFonts w:ascii="Times New Roman" w:hAnsi="Times New Roman"/>
              </w:rPr>
              <w:t>260</w:t>
            </w:r>
            <w:r>
              <w:rPr>
                <w:rFonts w:ascii="Times New Roman" w:hAnsi="Times New Roman"/>
              </w:rPr>
              <w:t>;</w:t>
            </w:r>
            <w:r w:rsidRPr="00532F3A">
              <w:rPr>
                <w:rFonts w:ascii="Times New Roman" w:hAnsi="Times New Roman"/>
              </w:rPr>
              <w:t>030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Risikopositionen gegenüber KMU — Risikogewichteter Positionsbetrag (RWA, risk-weighted exposure amount) — Risikopositionen nach dem Standardansatz</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Der risikogewichtete Positionsbetrag von Vermögenswerten, bei denen es sich um Risikopositionen gegenüber Unternehmen in Form von kleinen und mittleren Unternehmen gemäß Artikel </w:t>
            </w:r>
            <w:r w:rsidRPr="00532F3A">
              <w:rPr>
                <w:rFonts w:ascii="Times New Roman" w:hAnsi="Times New Roman"/>
              </w:rPr>
              <w:t>122</w:t>
            </w:r>
            <w:r>
              <w:rPr>
                <w:rFonts w:ascii="Times New Roman" w:hAnsi="Times New Roman"/>
              </w:rPr>
              <w:t xml:space="preserve"> CRR handelt. </w:t>
            </w:r>
          </w:p>
          <w:p w:rsidR="00FA71DB" w:rsidRDefault="00FA71DB" w:rsidP="007E2A41">
            <w:pPr>
              <w:pStyle w:val="BodyText1"/>
              <w:spacing w:line="240" w:lineRule="auto"/>
              <w:rPr>
                <w:rFonts w:ascii="Times New Roman" w:hAnsi="Times New Roman"/>
                <w:bCs/>
              </w:rPr>
            </w:pPr>
          </w:p>
          <w:p w:rsidR="004F39F5" w:rsidRDefault="004F39F5" w:rsidP="007E2A41">
            <w:pPr>
              <w:pStyle w:val="BodyText1"/>
              <w:spacing w:line="240" w:lineRule="auto"/>
              <w:rPr>
                <w:rFonts w:ascii="Times New Roman" w:hAnsi="Times New Roman"/>
                <w:bCs/>
              </w:rPr>
            </w:pPr>
            <w:r>
              <w:rPr>
                <w:rFonts w:ascii="Times New Roman" w:hAnsi="Times New Roman"/>
              </w:rPr>
              <w:lastRenderedPageBreak/>
              <w:t xml:space="preserve">Für dieses Feld gilt die Definition von „kleinen und mittleren Unternehmen“ gemäß Artikel </w:t>
            </w:r>
            <w:r w:rsidRPr="00532F3A">
              <w:rPr>
                <w:rFonts w:ascii="Times New Roman" w:hAnsi="Times New Roman"/>
              </w:rPr>
              <w:t>501</w:t>
            </w:r>
            <w:r>
              <w:rPr>
                <w:rFonts w:ascii="Times New Roman" w:hAnsi="Times New Roman"/>
              </w:rPr>
              <w:t xml:space="preserve"> Absatz </w:t>
            </w:r>
            <w:r w:rsidRPr="00532F3A">
              <w:rPr>
                <w:rFonts w:ascii="Times New Roman" w:hAnsi="Times New Roman"/>
              </w:rPr>
              <w:t>2</w:t>
            </w:r>
            <w:r>
              <w:rPr>
                <w:rFonts w:ascii="Times New Roman" w:hAnsi="Times New Roman"/>
              </w:rPr>
              <w:t xml:space="preserve"> Buchstabe b CRR.</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Die Institute melden die Beträge abzüglich der ausgefallenen Risikopositionen.</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lastRenderedPageBreak/>
              <w:t>{</w:t>
            </w:r>
            <w:r w:rsidRPr="00532F3A">
              <w:rPr>
                <w:rFonts w:ascii="Times New Roman" w:hAnsi="Times New Roman"/>
              </w:rPr>
              <w:t>260</w:t>
            </w:r>
            <w:r>
              <w:rPr>
                <w:rFonts w:ascii="Times New Roman" w:hAnsi="Times New Roman"/>
              </w:rPr>
              <w:t>;</w:t>
            </w:r>
            <w:r w:rsidRPr="00532F3A">
              <w:rPr>
                <w:rFonts w:ascii="Times New Roman" w:hAnsi="Times New Roman"/>
              </w:rPr>
              <w:t>040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Risikopositionen gegenüber KMU — Risikogewichteter Positionsbetrag (RWA, risk-weighted exposure amount) — Risikopositionen nach dem IRB-Ansatz</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Der risikogewichtete Positionsbetrag von Vermögenswerten, bei denen es sich um Risikopositionen gegenüber Unternehmen gemäß Artikel </w:t>
            </w:r>
            <w:r w:rsidRPr="00532F3A">
              <w:rPr>
                <w:rFonts w:ascii="Times New Roman" w:hAnsi="Times New Roman"/>
              </w:rPr>
              <w:t>147</w:t>
            </w:r>
            <w:r>
              <w:rPr>
                <w:rFonts w:ascii="Times New Roman" w:hAnsi="Times New Roman"/>
              </w:rPr>
              <w:t xml:space="preserve"> Absatz </w:t>
            </w:r>
            <w:r w:rsidRPr="00532F3A">
              <w:rPr>
                <w:rFonts w:ascii="Times New Roman" w:hAnsi="Times New Roman"/>
              </w:rPr>
              <w:t>2</w:t>
            </w:r>
            <w:r>
              <w:rPr>
                <w:rFonts w:ascii="Times New Roman" w:hAnsi="Times New Roman"/>
              </w:rPr>
              <w:t xml:space="preserve"> Buchstabe c CRR handelt, falls diese Risikopositionen gegenüber kleinen und mittleren Unternehmen bestehen und </w:t>
            </w:r>
            <w:r>
              <w:rPr>
                <w:rFonts w:ascii="Times New Roman" w:hAnsi="Times New Roman"/>
                <w:b/>
                <w:u w:val="single"/>
              </w:rPr>
              <w:t>nicht</w:t>
            </w:r>
            <w:r>
              <w:rPr>
                <w:rFonts w:ascii="Times New Roman" w:hAnsi="Times New Roman"/>
              </w:rPr>
              <w:t xml:space="preserve"> durch Grundpfandrechte auf Immobilien gemäß Artikel </w:t>
            </w:r>
            <w:r w:rsidRPr="00532F3A">
              <w:rPr>
                <w:rFonts w:ascii="Times New Roman" w:hAnsi="Times New Roman"/>
              </w:rPr>
              <w:t>199</w:t>
            </w:r>
            <w:r>
              <w:rPr>
                <w:rFonts w:ascii="Times New Roman" w:hAnsi="Times New Roman"/>
              </w:rPr>
              <w:t xml:space="preserve"> Absatz </w:t>
            </w:r>
            <w:r w:rsidRPr="00532F3A">
              <w:rPr>
                <w:rFonts w:ascii="Times New Roman" w:hAnsi="Times New Roman"/>
              </w:rPr>
              <w:t>1</w:t>
            </w:r>
            <w:r>
              <w:rPr>
                <w:rFonts w:ascii="Times New Roman" w:hAnsi="Times New Roman"/>
              </w:rPr>
              <w:t xml:space="preserve"> Buchstabe a CRR besichert sind. </w:t>
            </w:r>
          </w:p>
          <w:p w:rsidR="00FA71DB" w:rsidRDefault="00FA71DB" w:rsidP="007E2A41">
            <w:pPr>
              <w:pStyle w:val="BodyText1"/>
              <w:spacing w:line="240" w:lineRule="auto"/>
              <w:rPr>
                <w:rFonts w:ascii="Times New Roman" w:hAnsi="Times New Roman"/>
                <w:bCs/>
              </w:rPr>
            </w:pPr>
          </w:p>
          <w:p w:rsidR="004F39F5" w:rsidRDefault="004F39F5" w:rsidP="007E2A41">
            <w:pPr>
              <w:pStyle w:val="BodyText1"/>
              <w:spacing w:line="240" w:lineRule="auto"/>
              <w:rPr>
                <w:rFonts w:ascii="Times New Roman" w:hAnsi="Times New Roman"/>
                <w:bCs/>
              </w:rPr>
            </w:pPr>
            <w:r>
              <w:rPr>
                <w:rFonts w:ascii="Times New Roman" w:hAnsi="Times New Roman"/>
              </w:rPr>
              <w:t xml:space="preserve">Für dieses Feld gilt die Definition von „kleinen und mittleren Unternehmen“ gemäß Artikel </w:t>
            </w:r>
            <w:r w:rsidRPr="00532F3A">
              <w:rPr>
                <w:rFonts w:ascii="Times New Roman" w:hAnsi="Times New Roman"/>
              </w:rPr>
              <w:t>501</w:t>
            </w:r>
            <w:r>
              <w:rPr>
                <w:rFonts w:ascii="Times New Roman" w:hAnsi="Times New Roman"/>
              </w:rPr>
              <w:t xml:space="preserve"> Absatz </w:t>
            </w:r>
            <w:r w:rsidRPr="00532F3A">
              <w:rPr>
                <w:rFonts w:ascii="Times New Roman" w:hAnsi="Times New Roman"/>
              </w:rPr>
              <w:t>2</w:t>
            </w:r>
            <w:r>
              <w:rPr>
                <w:rFonts w:ascii="Times New Roman" w:hAnsi="Times New Roman"/>
              </w:rPr>
              <w:t xml:space="preserve"> Buchstabe b CRR.</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Die Institute melden die Beträge abzüglich der ausgefallenen Risikopositionen.</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532F3A">
              <w:rPr>
                <w:rFonts w:ascii="Times New Roman" w:hAnsi="Times New Roman"/>
              </w:rPr>
              <w:t>270</w:t>
            </w:r>
            <w:r>
              <w:rPr>
                <w:rFonts w:ascii="Times New Roman" w:hAnsi="Times New Roman"/>
              </w:rPr>
              <w:t>;</w:t>
            </w:r>
            <w:r w:rsidRPr="00532F3A">
              <w:rPr>
                <w:rFonts w:ascii="Times New Roman" w:hAnsi="Times New Roman"/>
              </w:rPr>
              <w:t>010</w:t>
            </w:r>
            <w:r>
              <w:rPr>
                <w:rFonts w:ascii="Times New Roman" w:hAnsi="Times New Roman"/>
              </w:rPr>
              <w:t>}</w:t>
            </w:r>
          </w:p>
        </w:tc>
        <w:tc>
          <w:tcPr>
            <w:tcW w:w="8133" w:type="dxa"/>
            <w:shd w:val="clear" w:color="auto" w:fill="FFFFFF"/>
          </w:tcPr>
          <w:p w:rsidR="00F4754B" w:rsidRPr="00706750" w:rsidRDefault="00BE6AC4" w:rsidP="007E2A41">
            <w:pPr>
              <w:pStyle w:val="BodyText1"/>
              <w:spacing w:line="240" w:lineRule="auto"/>
              <w:rPr>
                <w:rFonts w:ascii="Times New Roman" w:hAnsi="Times New Roman"/>
                <w:b/>
              </w:rPr>
            </w:pPr>
            <w:r>
              <w:rPr>
                <w:rFonts w:ascii="Times New Roman" w:hAnsi="Times New Roman"/>
                <w:b/>
              </w:rPr>
              <w:t>Risikopositionen gegenüber Unternehmen, bei denen es sich nicht um KMU handelt — Risikopositionswert für die Verschuldungsquote — Risikopositionen nach dem Standardansatz</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Der Risikopositionswert für die Verschuldungsquote in Bezug auf Vermögenswerte, bei denen es sich um Risikopositionen gegenüber Unternehmen gemäß Artikel </w:t>
            </w:r>
            <w:r w:rsidRPr="00532F3A">
              <w:rPr>
                <w:rFonts w:ascii="Times New Roman" w:hAnsi="Times New Roman"/>
              </w:rPr>
              <w:t>122</w:t>
            </w:r>
            <w:r>
              <w:rPr>
                <w:rFonts w:ascii="Times New Roman" w:hAnsi="Times New Roman"/>
              </w:rPr>
              <w:t xml:space="preserve"> CRR handelt, und die nicht in {</w:t>
            </w:r>
            <w:r w:rsidRPr="00532F3A">
              <w:rPr>
                <w:rFonts w:ascii="Times New Roman" w:hAnsi="Times New Roman"/>
              </w:rPr>
              <w:t>230</w:t>
            </w:r>
            <w:r>
              <w:rPr>
                <w:rFonts w:ascii="Times New Roman" w:hAnsi="Times New Roman"/>
              </w:rPr>
              <w:t>;</w:t>
            </w:r>
            <w:r w:rsidRPr="00532F3A">
              <w:rPr>
                <w:rFonts w:ascii="Times New Roman" w:hAnsi="Times New Roman"/>
              </w:rPr>
              <w:t>040</w:t>
            </w:r>
            <w:r>
              <w:rPr>
                <w:rFonts w:ascii="Times New Roman" w:hAnsi="Times New Roman"/>
              </w:rPr>
              <w:t>} und {</w:t>
            </w:r>
            <w:r w:rsidRPr="00532F3A">
              <w:rPr>
                <w:rFonts w:ascii="Times New Roman" w:hAnsi="Times New Roman"/>
              </w:rPr>
              <w:t>250</w:t>
            </w:r>
            <w:r>
              <w:rPr>
                <w:rFonts w:ascii="Times New Roman" w:hAnsi="Times New Roman"/>
              </w:rPr>
              <w:t>;</w:t>
            </w:r>
            <w:r w:rsidRPr="00532F3A">
              <w:rPr>
                <w:rFonts w:ascii="Times New Roman" w:hAnsi="Times New Roman"/>
              </w:rPr>
              <w:t>040</w:t>
            </w:r>
            <w:r>
              <w:rPr>
                <w:rFonts w:ascii="Times New Roman" w:hAnsi="Times New Roman"/>
              </w:rPr>
              <w:t xml:space="preserve">} ausgewiesen werden.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Die Institute melden die Beträge abzüglich der ausgefallenen Risikopositionen.</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532F3A">
              <w:rPr>
                <w:rFonts w:ascii="Times New Roman" w:hAnsi="Times New Roman"/>
              </w:rPr>
              <w:t>270</w:t>
            </w:r>
            <w:r>
              <w:rPr>
                <w:rFonts w:ascii="Times New Roman" w:hAnsi="Times New Roman"/>
              </w:rPr>
              <w:t>;</w:t>
            </w:r>
            <w:r w:rsidRPr="00532F3A">
              <w:rPr>
                <w:rFonts w:ascii="Times New Roman" w:hAnsi="Times New Roman"/>
              </w:rPr>
              <w:t>020</w:t>
            </w:r>
            <w:r>
              <w:rPr>
                <w:rFonts w:ascii="Times New Roman" w:hAnsi="Times New Roman"/>
              </w:rPr>
              <w:t>}</w:t>
            </w:r>
          </w:p>
        </w:tc>
        <w:tc>
          <w:tcPr>
            <w:tcW w:w="8133" w:type="dxa"/>
            <w:shd w:val="clear" w:color="auto" w:fill="FFFFFF"/>
          </w:tcPr>
          <w:p w:rsidR="00F4754B" w:rsidRPr="00FE002E" w:rsidRDefault="00BE6AC4" w:rsidP="007E2A41">
            <w:pPr>
              <w:pStyle w:val="BodyText1"/>
              <w:spacing w:line="240" w:lineRule="auto"/>
              <w:rPr>
                <w:rFonts w:ascii="Times New Roman" w:hAnsi="Times New Roman"/>
                <w:b/>
                <w:bCs/>
              </w:rPr>
            </w:pPr>
            <w:r>
              <w:rPr>
                <w:rFonts w:ascii="Times New Roman" w:hAnsi="Times New Roman"/>
                <w:b/>
              </w:rPr>
              <w:t>Risikopositionen gegenüber Unternehmen, bei denen es sich nicht um KMU handelt — Risikopositionswert für die Verschuldungsquote — Risikopositionen nach dem IRB-Ansatz</w:t>
            </w:r>
          </w:p>
          <w:p w:rsidR="002509B1" w:rsidRPr="00FE002E" w:rsidRDefault="002509B1" w:rsidP="007E2A41">
            <w:pPr>
              <w:pStyle w:val="BodyText1"/>
              <w:spacing w:line="240" w:lineRule="auto"/>
              <w:rPr>
                <w:rFonts w:ascii="Times New Roman" w:hAnsi="Times New Roman"/>
                <w:b/>
                <w:bCs/>
              </w:rPr>
            </w:pPr>
          </w:p>
          <w:p w:rsidR="002509B1" w:rsidRDefault="00F4754B" w:rsidP="007E2A41">
            <w:pPr>
              <w:pStyle w:val="BodyText1"/>
              <w:spacing w:line="240" w:lineRule="auto"/>
              <w:rPr>
                <w:rFonts w:ascii="Times New Roman" w:hAnsi="Times New Roman"/>
                <w:b/>
                <w:bCs/>
                <w:u w:val="single"/>
              </w:rPr>
            </w:pPr>
            <w:r>
              <w:rPr>
                <w:rFonts w:ascii="Times New Roman" w:hAnsi="Times New Roman"/>
              </w:rPr>
              <w:t xml:space="preserve">Der Risikopositionswert für die Verschuldungsquote von Vermögenswerten, bei denen es sich um Risikopositionen gegenüber Unternehmen gemäß Artikel </w:t>
            </w:r>
            <w:r w:rsidRPr="00532F3A">
              <w:rPr>
                <w:rFonts w:ascii="Times New Roman" w:hAnsi="Times New Roman"/>
              </w:rPr>
              <w:t>147</w:t>
            </w:r>
            <w:r>
              <w:rPr>
                <w:rFonts w:ascii="Times New Roman" w:hAnsi="Times New Roman"/>
              </w:rPr>
              <w:t xml:space="preserve"> Absatz </w:t>
            </w:r>
            <w:r w:rsidRPr="00532F3A">
              <w:rPr>
                <w:rFonts w:ascii="Times New Roman" w:hAnsi="Times New Roman"/>
              </w:rPr>
              <w:t>2</w:t>
            </w:r>
            <w:r>
              <w:rPr>
                <w:rFonts w:ascii="Times New Roman" w:hAnsi="Times New Roman"/>
              </w:rPr>
              <w:t xml:space="preserve"> Buchstabe c CRR handelt, falls diese Risikopositionen </w:t>
            </w:r>
            <w:r>
              <w:rPr>
                <w:rFonts w:ascii="Times New Roman" w:hAnsi="Times New Roman"/>
                <w:b/>
                <w:u w:val="single"/>
              </w:rPr>
              <w:t>nicht</w:t>
            </w:r>
            <w:r>
              <w:rPr>
                <w:rFonts w:ascii="Times New Roman" w:hAnsi="Times New Roman"/>
              </w:rPr>
              <w:t xml:space="preserve"> durch Grundpfandrechte auf Immobilien gemäß Artikel </w:t>
            </w:r>
            <w:r w:rsidRPr="00532F3A">
              <w:rPr>
                <w:rFonts w:ascii="Times New Roman" w:hAnsi="Times New Roman"/>
              </w:rPr>
              <w:t>199</w:t>
            </w:r>
            <w:r>
              <w:rPr>
                <w:rFonts w:ascii="Times New Roman" w:hAnsi="Times New Roman"/>
              </w:rPr>
              <w:t xml:space="preserve"> Absatz </w:t>
            </w:r>
            <w:r w:rsidRPr="00532F3A">
              <w:rPr>
                <w:rFonts w:ascii="Times New Roman" w:hAnsi="Times New Roman"/>
              </w:rPr>
              <w:t>1</w:t>
            </w:r>
            <w:r>
              <w:rPr>
                <w:rFonts w:ascii="Times New Roman" w:hAnsi="Times New Roman"/>
              </w:rPr>
              <w:t xml:space="preserve"> Buchstabe a CRR besichert sind, und nicht in {</w:t>
            </w:r>
            <w:r w:rsidRPr="00532F3A">
              <w:rPr>
                <w:rFonts w:ascii="Times New Roman" w:hAnsi="Times New Roman"/>
              </w:rPr>
              <w:t>230</w:t>
            </w:r>
            <w:r>
              <w:rPr>
                <w:rFonts w:ascii="Times New Roman" w:hAnsi="Times New Roman"/>
              </w:rPr>
              <w:t>;</w:t>
            </w:r>
            <w:r w:rsidRPr="00532F3A">
              <w:rPr>
                <w:rFonts w:ascii="Times New Roman" w:hAnsi="Times New Roman"/>
              </w:rPr>
              <w:t>040</w:t>
            </w:r>
            <w:r>
              <w:rPr>
                <w:rFonts w:ascii="Times New Roman" w:hAnsi="Times New Roman"/>
              </w:rPr>
              <w:t>} und {</w:t>
            </w:r>
            <w:r w:rsidRPr="00532F3A">
              <w:rPr>
                <w:rFonts w:ascii="Times New Roman" w:hAnsi="Times New Roman"/>
              </w:rPr>
              <w:t>250</w:t>
            </w:r>
            <w:r>
              <w:rPr>
                <w:rFonts w:ascii="Times New Roman" w:hAnsi="Times New Roman"/>
              </w:rPr>
              <w:t>;</w:t>
            </w:r>
            <w:r w:rsidRPr="00532F3A">
              <w:rPr>
                <w:rFonts w:ascii="Times New Roman" w:hAnsi="Times New Roman"/>
              </w:rPr>
              <w:t>040</w:t>
            </w:r>
            <w:r>
              <w:rPr>
                <w:rFonts w:ascii="Times New Roman" w:hAnsi="Times New Roman"/>
              </w:rPr>
              <w:t xml:space="preserve">} ausgewiesen werden. </w:t>
            </w:r>
          </w:p>
          <w:p w:rsidR="009C4E79" w:rsidRDefault="009C4E79"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Die Institute melden die Beträge abzüglich der ausgefallenen Risikopositionen.</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532F3A">
              <w:rPr>
                <w:rFonts w:ascii="Times New Roman" w:hAnsi="Times New Roman"/>
              </w:rPr>
              <w:t>270</w:t>
            </w:r>
            <w:r>
              <w:rPr>
                <w:rFonts w:ascii="Times New Roman" w:hAnsi="Times New Roman"/>
              </w:rPr>
              <w:t>;</w:t>
            </w:r>
            <w:r w:rsidRPr="00532F3A">
              <w:rPr>
                <w:rFonts w:ascii="Times New Roman" w:hAnsi="Times New Roman"/>
              </w:rPr>
              <w:t>030</w:t>
            </w:r>
            <w:r>
              <w:rPr>
                <w:rFonts w:ascii="Times New Roman" w:hAnsi="Times New Roman"/>
              </w:rPr>
              <w:t>}</w:t>
            </w:r>
          </w:p>
        </w:tc>
        <w:tc>
          <w:tcPr>
            <w:tcW w:w="8133" w:type="dxa"/>
            <w:shd w:val="clear" w:color="auto" w:fill="FFFFFF"/>
          </w:tcPr>
          <w:p w:rsidR="00F4754B" w:rsidRPr="00706750" w:rsidRDefault="00BE6AC4" w:rsidP="007E2A41">
            <w:pPr>
              <w:pStyle w:val="BodyText1"/>
              <w:spacing w:line="240" w:lineRule="auto"/>
              <w:rPr>
                <w:rFonts w:ascii="Times New Roman" w:hAnsi="Times New Roman"/>
                <w:b/>
                <w:bCs/>
              </w:rPr>
            </w:pPr>
            <w:r>
              <w:rPr>
                <w:rFonts w:ascii="Times New Roman" w:hAnsi="Times New Roman"/>
                <w:b/>
              </w:rPr>
              <w:t>Risikopositionen gegenüber Unternehmen, bei denen es sich nicht um KMU handelt — Risikogewichteter Positionsbetrag (RWA, risk-weighted exposure amount) — Risikopositionen nach dem Standardansatz</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Der risikogewichtete Positionsbetrag von Vermögenswerten, bei denen es sich um Risikopositionen gegenüber Unternehmen gemäß Artikel </w:t>
            </w:r>
            <w:r w:rsidRPr="00532F3A">
              <w:rPr>
                <w:rFonts w:ascii="Times New Roman" w:hAnsi="Times New Roman"/>
              </w:rPr>
              <w:t>122</w:t>
            </w:r>
            <w:r>
              <w:rPr>
                <w:rFonts w:ascii="Times New Roman" w:hAnsi="Times New Roman"/>
              </w:rPr>
              <w:t xml:space="preserve"> CRR handelt, und die nicht in {</w:t>
            </w:r>
            <w:r w:rsidRPr="00532F3A">
              <w:rPr>
                <w:rFonts w:ascii="Times New Roman" w:hAnsi="Times New Roman"/>
              </w:rPr>
              <w:t>230</w:t>
            </w:r>
            <w:r>
              <w:rPr>
                <w:rFonts w:ascii="Times New Roman" w:hAnsi="Times New Roman"/>
              </w:rPr>
              <w:t>;</w:t>
            </w:r>
            <w:r w:rsidRPr="00532F3A">
              <w:rPr>
                <w:rFonts w:ascii="Times New Roman" w:hAnsi="Times New Roman"/>
              </w:rPr>
              <w:t>040</w:t>
            </w:r>
            <w:r>
              <w:rPr>
                <w:rFonts w:ascii="Times New Roman" w:hAnsi="Times New Roman"/>
              </w:rPr>
              <w:t>} und {</w:t>
            </w:r>
            <w:r w:rsidRPr="00532F3A">
              <w:rPr>
                <w:rFonts w:ascii="Times New Roman" w:hAnsi="Times New Roman"/>
              </w:rPr>
              <w:t>250</w:t>
            </w:r>
            <w:r>
              <w:rPr>
                <w:rFonts w:ascii="Times New Roman" w:hAnsi="Times New Roman"/>
              </w:rPr>
              <w:t>;</w:t>
            </w:r>
            <w:r w:rsidRPr="00532F3A">
              <w:rPr>
                <w:rFonts w:ascii="Times New Roman" w:hAnsi="Times New Roman"/>
              </w:rPr>
              <w:t>040</w:t>
            </w:r>
            <w:r>
              <w:rPr>
                <w:rFonts w:ascii="Times New Roman" w:hAnsi="Times New Roman"/>
              </w:rPr>
              <w:t xml:space="preserve">} ausgewiesen werden.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Die Institute melden die Beträge abzüglich der ausgefallenen Risikopositionen.</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Pr>
                <w:rFonts w:ascii="Times New Roman" w:hAnsi="Times New Roman"/>
              </w:rPr>
              <w:t>{</w:t>
            </w:r>
            <w:r w:rsidRPr="00532F3A">
              <w:rPr>
                <w:rFonts w:ascii="Times New Roman" w:hAnsi="Times New Roman"/>
              </w:rPr>
              <w:t>270</w:t>
            </w:r>
            <w:r>
              <w:rPr>
                <w:rFonts w:ascii="Times New Roman" w:hAnsi="Times New Roman"/>
              </w:rPr>
              <w:t>;</w:t>
            </w:r>
            <w:r w:rsidRPr="00532F3A">
              <w:rPr>
                <w:rFonts w:ascii="Times New Roman" w:hAnsi="Times New Roman"/>
              </w:rPr>
              <w:t>040</w:t>
            </w:r>
            <w:r>
              <w:rPr>
                <w:rFonts w:ascii="Times New Roman" w:hAnsi="Times New Roman"/>
              </w:rPr>
              <w:t>}</w:t>
            </w:r>
          </w:p>
        </w:tc>
        <w:tc>
          <w:tcPr>
            <w:tcW w:w="8133" w:type="dxa"/>
            <w:shd w:val="clear" w:color="auto" w:fill="FFFFFF"/>
          </w:tcPr>
          <w:p w:rsidR="00F4754B" w:rsidRPr="00FE002E" w:rsidRDefault="00BE6AC4" w:rsidP="007E2A41">
            <w:pPr>
              <w:pStyle w:val="BodyText1"/>
              <w:spacing w:line="240" w:lineRule="auto"/>
              <w:rPr>
                <w:rFonts w:ascii="Times New Roman" w:hAnsi="Times New Roman"/>
                <w:b/>
                <w:bCs/>
              </w:rPr>
            </w:pPr>
            <w:r>
              <w:rPr>
                <w:rFonts w:ascii="Times New Roman" w:hAnsi="Times New Roman"/>
                <w:b/>
              </w:rPr>
              <w:t>Risikopositionen gegenüber Unternehmen, bei denen es sich nicht um KMU handelt — Risikogewichteter Positionsbetrag (RWA, risk-weighted exposure amount) — Risikopositionen nach dem IRB-Ansatz</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Der risikogewichtete Positionsbetrag von Vermögenswerten, bei denen es sich um Risikopositionen gegenüber Unternehmen gemäß Artikel </w:t>
            </w:r>
            <w:r w:rsidRPr="00532F3A">
              <w:rPr>
                <w:rFonts w:ascii="Times New Roman" w:hAnsi="Times New Roman"/>
              </w:rPr>
              <w:t>147</w:t>
            </w:r>
            <w:r>
              <w:rPr>
                <w:rFonts w:ascii="Times New Roman" w:hAnsi="Times New Roman"/>
              </w:rPr>
              <w:t xml:space="preserve"> Absatz </w:t>
            </w:r>
            <w:r w:rsidRPr="00532F3A">
              <w:rPr>
                <w:rFonts w:ascii="Times New Roman" w:hAnsi="Times New Roman"/>
              </w:rPr>
              <w:t>2</w:t>
            </w:r>
            <w:r>
              <w:rPr>
                <w:rFonts w:ascii="Times New Roman" w:hAnsi="Times New Roman"/>
              </w:rPr>
              <w:t xml:space="preserve"> Buchstabe c CRR handelt, falls diese Risikopositionen </w:t>
            </w:r>
            <w:r>
              <w:rPr>
                <w:rFonts w:ascii="Times New Roman" w:hAnsi="Times New Roman"/>
                <w:b/>
                <w:u w:val="single"/>
              </w:rPr>
              <w:t>nicht</w:t>
            </w:r>
            <w:r>
              <w:rPr>
                <w:rFonts w:ascii="Times New Roman" w:hAnsi="Times New Roman"/>
              </w:rPr>
              <w:t xml:space="preserve"> durch Grundpfandrechte auf Immobilien gemäß Artikel </w:t>
            </w:r>
            <w:r w:rsidRPr="00532F3A">
              <w:rPr>
                <w:rFonts w:ascii="Times New Roman" w:hAnsi="Times New Roman"/>
              </w:rPr>
              <w:t>199</w:t>
            </w:r>
            <w:r>
              <w:rPr>
                <w:rFonts w:ascii="Times New Roman" w:hAnsi="Times New Roman"/>
              </w:rPr>
              <w:t xml:space="preserve"> Absatz </w:t>
            </w:r>
            <w:r w:rsidRPr="00532F3A">
              <w:rPr>
                <w:rFonts w:ascii="Times New Roman" w:hAnsi="Times New Roman"/>
              </w:rPr>
              <w:t>1</w:t>
            </w:r>
            <w:r>
              <w:rPr>
                <w:rFonts w:ascii="Times New Roman" w:hAnsi="Times New Roman"/>
              </w:rPr>
              <w:t xml:space="preserve"> Buchstabe a CRR besichert sind, und nicht in {</w:t>
            </w:r>
            <w:r w:rsidRPr="00532F3A">
              <w:rPr>
                <w:rFonts w:ascii="Times New Roman" w:hAnsi="Times New Roman"/>
              </w:rPr>
              <w:t>230</w:t>
            </w:r>
            <w:r>
              <w:rPr>
                <w:rFonts w:ascii="Times New Roman" w:hAnsi="Times New Roman"/>
              </w:rPr>
              <w:t>;</w:t>
            </w:r>
            <w:r w:rsidRPr="00532F3A">
              <w:rPr>
                <w:rFonts w:ascii="Times New Roman" w:hAnsi="Times New Roman"/>
              </w:rPr>
              <w:t>040</w:t>
            </w:r>
            <w:r>
              <w:rPr>
                <w:rFonts w:ascii="Times New Roman" w:hAnsi="Times New Roman"/>
              </w:rPr>
              <w:t>} und {</w:t>
            </w:r>
            <w:r w:rsidRPr="00532F3A">
              <w:rPr>
                <w:rFonts w:ascii="Times New Roman" w:hAnsi="Times New Roman"/>
              </w:rPr>
              <w:t>250</w:t>
            </w:r>
            <w:r>
              <w:rPr>
                <w:rFonts w:ascii="Times New Roman" w:hAnsi="Times New Roman"/>
              </w:rPr>
              <w:t>;</w:t>
            </w:r>
            <w:r w:rsidRPr="00532F3A">
              <w:rPr>
                <w:rFonts w:ascii="Times New Roman" w:hAnsi="Times New Roman"/>
              </w:rPr>
              <w:t>040</w:t>
            </w:r>
            <w:r>
              <w:rPr>
                <w:rFonts w:ascii="Times New Roman" w:hAnsi="Times New Roman"/>
              </w:rPr>
              <w:t xml:space="preserve">} ausgewiesen werden. </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Die Institute melden die Beträge abzüglich der ausgefallenen Risikopositionen.</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Pr>
                <w:rFonts w:ascii="Times New Roman" w:hAnsi="Times New Roman"/>
              </w:rPr>
              <w:lastRenderedPageBreak/>
              <w:t>{</w:t>
            </w:r>
            <w:r w:rsidRPr="00532F3A">
              <w:rPr>
                <w:rFonts w:ascii="Times New Roman" w:hAnsi="Times New Roman"/>
              </w:rPr>
              <w:t>280</w:t>
            </w:r>
            <w:r>
              <w:rPr>
                <w:rFonts w:ascii="Times New Roman" w:hAnsi="Times New Roman"/>
              </w:rPr>
              <w:t>;</w:t>
            </w:r>
            <w:r w:rsidRPr="00532F3A">
              <w:rPr>
                <w:rFonts w:ascii="Times New Roman" w:hAnsi="Times New Roman"/>
              </w:rPr>
              <w:t>010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Ausgefallene Positionen — Risikopositionswert für die Verschuldungsquote — Risikopositionen nach dem Standardansatz</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Der Risikopositionswert für die Verschuldungsquote in Bezug auf Vermögenswerte, bei denen es sich um ausgefallene Risikopositionen handelt, und die somit unter Artikel </w:t>
            </w:r>
            <w:r w:rsidRPr="00532F3A">
              <w:rPr>
                <w:rFonts w:ascii="Times New Roman" w:hAnsi="Times New Roman"/>
              </w:rPr>
              <w:t>127</w:t>
            </w:r>
            <w:r>
              <w:rPr>
                <w:rFonts w:ascii="Times New Roman" w:hAnsi="Times New Roman"/>
              </w:rPr>
              <w:t xml:space="preserve"> CRR fallen. </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w:t>
            </w:r>
            <w:r w:rsidRPr="00532F3A">
              <w:rPr>
                <w:rFonts w:ascii="Times New Roman" w:hAnsi="Times New Roman"/>
              </w:rPr>
              <w:t>280</w:t>
            </w:r>
            <w:r>
              <w:rPr>
                <w:rFonts w:ascii="Times New Roman" w:hAnsi="Times New Roman"/>
              </w:rPr>
              <w:t>;</w:t>
            </w:r>
            <w:r w:rsidRPr="00532F3A">
              <w:rPr>
                <w:rFonts w:ascii="Times New Roman" w:hAnsi="Times New Roman"/>
              </w:rPr>
              <w:t>020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Ausgefallene Positionen — Risikopositionswert für die Verschuldungsquote — Risikopositionen nach dem IRB-Ansatz</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Der Risikopositionswert für die Verschuldungsquote in Bezug auf Vermögenswerte, die in die in Artikel </w:t>
            </w:r>
            <w:r w:rsidRPr="00532F3A">
              <w:rPr>
                <w:rFonts w:ascii="Times New Roman" w:hAnsi="Times New Roman"/>
              </w:rPr>
              <w:t>147</w:t>
            </w:r>
            <w:r>
              <w:rPr>
                <w:rFonts w:ascii="Times New Roman" w:hAnsi="Times New Roman"/>
              </w:rPr>
              <w:t xml:space="preserve"> Absatz </w:t>
            </w:r>
            <w:r w:rsidRPr="00532F3A">
              <w:rPr>
                <w:rFonts w:ascii="Times New Roman" w:hAnsi="Times New Roman"/>
              </w:rPr>
              <w:t>2</w:t>
            </w:r>
            <w:r>
              <w:rPr>
                <w:rFonts w:ascii="Times New Roman" w:hAnsi="Times New Roman"/>
              </w:rPr>
              <w:t xml:space="preserve"> CRR aufgeführten Forderungsklassen eingeordnet werden, falls es zu einem Ausfall gemäß Artikel </w:t>
            </w:r>
            <w:r w:rsidRPr="00532F3A">
              <w:rPr>
                <w:rFonts w:ascii="Times New Roman" w:hAnsi="Times New Roman"/>
              </w:rPr>
              <w:t>178</w:t>
            </w:r>
            <w:r>
              <w:rPr>
                <w:rFonts w:ascii="Times New Roman" w:hAnsi="Times New Roman"/>
              </w:rPr>
              <w:t xml:space="preserve"> CRR gekommen ist. </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532F3A">
              <w:rPr>
                <w:rFonts w:ascii="Times New Roman" w:hAnsi="Times New Roman"/>
              </w:rPr>
              <w:t>280</w:t>
            </w:r>
            <w:r>
              <w:rPr>
                <w:rFonts w:ascii="Times New Roman" w:hAnsi="Times New Roman"/>
              </w:rPr>
              <w:t>;</w:t>
            </w:r>
            <w:r w:rsidRPr="00532F3A">
              <w:rPr>
                <w:rFonts w:ascii="Times New Roman" w:hAnsi="Times New Roman"/>
              </w:rPr>
              <w:t>030</w:t>
            </w:r>
            <w:r>
              <w:rPr>
                <w:rFonts w:ascii="Times New Roman" w:hAnsi="Times New Roman"/>
              </w:rPr>
              <w:t>}</w:t>
            </w:r>
          </w:p>
        </w:tc>
        <w:tc>
          <w:tcPr>
            <w:tcW w:w="8133" w:type="dxa"/>
            <w:shd w:val="clear" w:color="auto" w:fill="FFFFFF"/>
          </w:tcPr>
          <w:p w:rsidR="00F4754B" w:rsidRPr="00BB7DB0" w:rsidRDefault="00F4754B" w:rsidP="007E2A41">
            <w:pPr>
              <w:pStyle w:val="BodyText1"/>
              <w:spacing w:line="240" w:lineRule="auto"/>
              <w:rPr>
                <w:rFonts w:ascii="Times New Roman" w:hAnsi="Times New Roman"/>
                <w:b/>
                <w:bCs/>
              </w:rPr>
            </w:pPr>
            <w:r>
              <w:rPr>
                <w:rFonts w:ascii="Times New Roman" w:hAnsi="Times New Roman"/>
                <w:b/>
              </w:rPr>
              <w:t>Ausgefallene Positionen — Risikogewichteter Positionsbetrag (RWA, risk-weighted exposure amount) — Risikopositionen nach dem Standardansatz</w:t>
            </w:r>
          </w:p>
          <w:p w:rsidR="002509B1" w:rsidRPr="00BB7DB0"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Der risikogewichtete Positionsbetrag von Vermögenswerten, bei denen es sich um ausgefallene Risikopositionen handelt, und die somit unter Artikel </w:t>
            </w:r>
            <w:r w:rsidRPr="00532F3A">
              <w:rPr>
                <w:rFonts w:ascii="Times New Roman" w:hAnsi="Times New Roman"/>
              </w:rPr>
              <w:t>127</w:t>
            </w:r>
            <w:r>
              <w:rPr>
                <w:rFonts w:ascii="Times New Roman" w:hAnsi="Times New Roman"/>
              </w:rPr>
              <w:t xml:space="preserve"> CRR fallen. </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532F3A">
              <w:rPr>
                <w:rFonts w:ascii="Times New Roman" w:hAnsi="Times New Roman"/>
              </w:rPr>
              <w:t>280</w:t>
            </w:r>
            <w:r>
              <w:rPr>
                <w:rFonts w:ascii="Times New Roman" w:hAnsi="Times New Roman"/>
              </w:rPr>
              <w:t>;</w:t>
            </w:r>
            <w:r w:rsidRPr="00532F3A">
              <w:rPr>
                <w:rFonts w:ascii="Times New Roman" w:hAnsi="Times New Roman"/>
              </w:rPr>
              <w:t>040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Ausgefallene Positionen — Risikogewichteter Positionsbetrag (RWA, risk-weighted exposure amount) — Risikopositionen nach dem IRB-Ansatz</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Der risikogewichtete Positionsbetrag von Vermögenswerten, die in die in Artikel </w:t>
            </w:r>
            <w:r w:rsidRPr="00532F3A">
              <w:rPr>
                <w:rFonts w:ascii="Times New Roman" w:hAnsi="Times New Roman"/>
              </w:rPr>
              <w:t>147</w:t>
            </w:r>
            <w:r>
              <w:rPr>
                <w:rFonts w:ascii="Times New Roman" w:hAnsi="Times New Roman"/>
              </w:rPr>
              <w:t xml:space="preserve"> Absatz </w:t>
            </w:r>
            <w:r w:rsidRPr="00532F3A">
              <w:rPr>
                <w:rFonts w:ascii="Times New Roman" w:hAnsi="Times New Roman"/>
              </w:rPr>
              <w:t>2</w:t>
            </w:r>
            <w:r>
              <w:rPr>
                <w:rFonts w:ascii="Times New Roman" w:hAnsi="Times New Roman"/>
              </w:rPr>
              <w:t xml:space="preserve"> CRR aufgeführten Forderungsklassen eingeordnet werden, falls es zu einem Ausfall gemäß Artikel </w:t>
            </w:r>
            <w:r w:rsidRPr="00532F3A">
              <w:rPr>
                <w:rFonts w:ascii="Times New Roman" w:hAnsi="Times New Roman"/>
              </w:rPr>
              <w:t>178</w:t>
            </w:r>
            <w:r>
              <w:rPr>
                <w:rFonts w:ascii="Times New Roman" w:hAnsi="Times New Roman"/>
              </w:rPr>
              <w:t xml:space="preserve"> CRR gekommen ist. </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Pr>
                <w:rFonts w:ascii="Times New Roman" w:hAnsi="Times New Roman"/>
              </w:rPr>
              <w:t>{</w:t>
            </w:r>
            <w:r w:rsidRPr="00532F3A">
              <w:rPr>
                <w:rFonts w:ascii="Times New Roman" w:hAnsi="Times New Roman"/>
              </w:rPr>
              <w:t>290</w:t>
            </w:r>
            <w:r>
              <w:rPr>
                <w:rFonts w:ascii="Times New Roman" w:hAnsi="Times New Roman"/>
              </w:rPr>
              <w:t>;</w:t>
            </w:r>
            <w:r w:rsidRPr="00532F3A">
              <w:rPr>
                <w:rFonts w:ascii="Times New Roman" w:hAnsi="Times New Roman"/>
              </w:rPr>
              <w:t>010</w:t>
            </w:r>
            <w:r>
              <w:rPr>
                <w:rFonts w:ascii="Times New Roman" w:hAnsi="Times New Roman"/>
              </w:rPr>
              <w:t>}</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706750" w:rsidRDefault="00F4754B" w:rsidP="007E2A41">
            <w:pPr>
              <w:pStyle w:val="BodyText1"/>
              <w:spacing w:line="240" w:lineRule="auto"/>
              <w:rPr>
                <w:rFonts w:ascii="Times New Roman" w:hAnsi="Times New Roman"/>
                <w:b/>
                <w:bCs/>
              </w:rPr>
            </w:pPr>
            <w:r>
              <w:rPr>
                <w:rFonts w:ascii="Times New Roman" w:hAnsi="Times New Roman"/>
                <w:b/>
              </w:rPr>
              <w:t>Andere Risikopositionen; davon — Risikopositionswert für die Verschuldungsquote — Risikopositionen nach dem Standardansatz</w:t>
            </w:r>
          </w:p>
          <w:p w:rsidR="002509B1" w:rsidRPr="00FE002E" w:rsidRDefault="002509B1"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Der Risikopositionswert für die Verschuldungsquote in Bezug auf Vermögenswerte, die in die in Artikel </w:t>
            </w:r>
            <w:r w:rsidRPr="00532F3A">
              <w:rPr>
                <w:rFonts w:ascii="Times New Roman" w:hAnsi="Times New Roman"/>
              </w:rPr>
              <w:t>112</w:t>
            </w:r>
            <w:r>
              <w:rPr>
                <w:rFonts w:ascii="Times New Roman" w:hAnsi="Times New Roman"/>
              </w:rPr>
              <w:t xml:space="preserve"> Buchstaben k, m, n, o, p und q CRR aufgeführten Forderungsklassen eingeordnet werden. </w:t>
            </w:r>
          </w:p>
          <w:p w:rsidR="00482670" w:rsidRDefault="00482670" w:rsidP="007E2A41">
            <w:pPr>
              <w:pStyle w:val="BodyText1"/>
              <w:spacing w:line="240" w:lineRule="auto"/>
              <w:rPr>
                <w:rFonts w:ascii="Times New Roman" w:hAnsi="Times New Roman"/>
                <w:bCs/>
              </w:rPr>
            </w:pPr>
          </w:p>
          <w:p w:rsidR="00482670" w:rsidRPr="00FE002E" w:rsidRDefault="00482670" w:rsidP="007E2A41">
            <w:pPr>
              <w:pStyle w:val="BodyText1"/>
              <w:spacing w:line="240" w:lineRule="auto"/>
              <w:rPr>
                <w:rFonts w:ascii="Times New Roman" w:hAnsi="Times New Roman"/>
                <w:bCs/>
              </w:rPr>
            </w:pPr>
            <w:r>
              <w:rPr>
                <w:rFonts w:ascii="Times New Roman" w:hAnsi="Times New Roman"/>
              </w:rPr>
              <w:t xml:space="preserve">Die Institute melden hier von den Eigenmitteln abgezogene Vermögenswerte (z. B. immaterielle Vermögenswerte), die nicht anders eingeordnet werden können, auch wenn eine solche Einordnung für die Bestimmung der risikobasierten Eigenmittelanforderungen in den Spalten {*; </w:t>
            </w:r>
            <w:r w:rsidRPr="00532F3A">
              <w:rPr>
                <w:rFonts w:ascii="Times New Roman" w:hAnsi="Times New Roman"/>
              </w:rPr>
              <w:t>030</w:t>
            </w:r>
            <w:r>
              <w:rPr>
                <w:rFonts w:ascii="Times New Roman" w:hAnsi="Times New Roman"/>
              </w:rPr>
              <w:t xml:space="preserve">} und {*; </w:t>
            </w:r>
            <w:r w:rsidRPr="00532F3A">
              <w:rPr>
                <w:rFonts w:ascii="Times New Roman" w:hAnsi="Times New Roman"/>
              </w:rPr>
              <w:t>040</w:t>
            </w:r>
            <w:r>
              <w:rPr>
                <w:rFonts w:ascii="Times New Roman" w:hAnsi="Times New Roman"/>
              </w:rPr>
              <w:t>} nicht erforderlich ist.</w:t>
            </w:r>
          </w:p>
          <w:p w:rsidR="002509B1" w:rsidRDefault="002509B1" w:rsidP="007E2A41">
            <w:pPr>
              <w:pStyle w:val="BodyText1"/>
              <w:spacing w:line="240" w:lineRule="auto"/>
              <w:rPr>
                <w:rFonts w:ascii="Times New Roman" w:hAnsi="Times New Roman"/>
                <w:bCs/>
              </w:rPr>
            </w:pPr>
          </w:p>
          <w:p w:rsidR="00086A8A" w:rsidRDefault="00086A8A" w:rsidP="007E2A41">
            <w:pPr>
              <w:pStyle w:val="BodyText1"/>
              <w:spacing w:line="240" w:lineRule="auto"/>
              <w:rPr>
                <w:rFonts w:ascii="Times New Roman" w:hAnsi="Times New Roman"/>
                <w:bCs/>
              </w:rPr>
            </w:pPr>
            <w:r>
              <w:rPr>
                <w:rFonts w:ascii="Times New Roman" w:hAnsi="Times New Roman"/>
              </w:rPr>
              <w:t>Die Institute melden die Beträge abzüglich der ausgefallenen Risikopositionen.</w:t>
            </w:r>
          </w:p>
          <w:p w:rsidR="00086A8A" w:rsidRPr="00FE002E" w:rsidRDefault="00086A8A"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532F3A">
              <w:rPr>
                <w:rFonts w:ascii="Times New Roman" w:hAnsi="Times New Roman"/>
              </w:rPr>
              <w:t>290</w:t>
            </w:r>
            <w:r>
              <w:rPr>
                <w:rFonts w:ascii="Times New Roman" w:hAnsi="Times New Roman"/>
              </w:rPr>
              <w:t>;</w:t>
            </w:r>
            <w:r w:rsidRPr="00532F3A">
              <w:rPr>
                <w:rFonts w:ascii="Times New Roman" w:hAnsi="Times New Roman"/>
              </w:rPr>
              <w:t>020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Andere Risikopositionen; davon — Risikopositionswert für die Verschuldungsquote — Risikopositionen nach dem IRB-Ansatz</w:t>
            </w:r>
          </w:p>
          <w:p w:rsidR="002509B1" w:rsidRPr="00FE002E" w:rsidRDefault="002509B1"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Der Risikopositionsbetrag für die Verschuldungsquote in Bezug auf Vermögenswerte, die in die in Artikel </w:t>
            </w:r>
            <w:r w:rsidRPr="00532F3A">
              <w:rPr>
                <w:rFonts w:ascii="Times New Roman" w:hAnsi="Times New Roman"/>
              </w:rPr>
              <w:t>147</w:t>
            </w:r>
            <w:r>
              <w:rPr>
                <w:rFonts w:ascii="Times New Roman" w:hAnsi="Times New Roman"/>
              </w:rPr>
              <w:t xml:space="preserve"> Absatz </w:t>
            </w:r>
            <w:r w:rsidRPr="00532F3A">
              <w:rPr>
                <w:rFonts w:ascii="Times New Roman" w:hAnsi="Times New Roman"/>
              </w:rPr>
              <w:t>2</w:t>
            </w:r>
            <w:r>
              <w:rPr>
                <w:rFonts w:ascii="Times New Roman" w:hAnsi="Times New Roman"/>
              </w:rPr>
              <w:t xml:space="preserve"> Buchstaben e, f und g CRR aufgeführten Forderungsklassen eingeordnet werden. </w:t>
            </w:r>
          </w:p>
          <w:p w:rsidR="00482670" w:rsidRDefault="00482670" w:rsidP="007E2A41">
            <w:pPr>
              <w:pStyle w:val="BodyText1"/>
              <w:spacing w:line="240" w:lineRule="auto"/>
              <w:rPr>
                <w:rFonts w:ascii="Times New Roman" w:hAnsi="Times New Roman"/>
                <w:bCs/>
              </w:rPr>
            </w:pPr>
          </w:p>
          <w:p w:rsidR="00482670" w:rsidRDefault="00482670" w:rsidP="007E2A41">
            <w:pPr>
              <w:pStyle w:val="BodyText1"/>
              <w:spacing w:line="240" w:lineRule="auto"/>
              <w:rPr>
                <w:rFonts w:ascii="Times New Roman" w:hAnsi="Times New Roman"/>
                <w:bCs/>
              </w:rPr>
            </w:pPr>
            <w:r>
              <w:rPr>
                <w:rFonts w:ascii="Times New Roman" w:hAnsi="Times New Roman"/>
              </w:rPr>
              <w:t xml:space="preserve">Die Institute melden hier von den Eigenmitteln abgezogene Vermögenswerte (z. B. immaterielle Vermögenswerte), die nicht anders eingeordnet werden können, auch wenn eine solche Einordnung für die Bestimmung der risikobasierten Eigenmittelanforderungen in den Spalten {*; </w:t>
            </w:r>
            <w:r w:rsidRPr="00532F3A">
              <w:rPr>
                <w:rFonts w:ascii="Times New Roman" w:hAnsi="Times New Roman"/>
              </w:rPr>
              <w:t>030</w:t>
            </w:r>
            <w:r>
              <w:rPr>
                <w:rFonts w:ascii="Times New Roman" w:hAnsi="Times New Roman"/>
              </w:rPr>
              <w:t xml:space="preserve">} und {*; </w:t>
            </w:r>
            <w:r w:rsidRPr="00532F3A">
              <w:rPr>
                <w:rFonts w:ascii="Times New Roman" w:hAnsi="Times New Roman"/>
              </w:rPr>
              <w:t>040</w:t>
            </w:r>
            <w:r>
              <w:rPr>
                <w:rFonts w:ascii="Times New Roman" w:hAnsi="Times New Roman"/>
              </w:rPr>
              <w:t>} nicht erforderlich ist.</w:t>
            </w:r>
          </w:p>
          <w:p w:rsidR="00BB388D" w:rsidRDefault="00BB388D" w:rsidP="007E2A41">
            <w:pPr>
              <w:pStyle w:val="BodyText1"/>
              <w:spacing w:line="240" w:lineRule="auto"/>
              <w:rPr>
                <w:rFonts w:ascii="Times New Roman" w:hAnsi="Times New Roman"/>
                <w:bCs/>
              </w:rPr>
            </w:pPr>
          </w:p>
          <w:p w:rsidR="00BB388D" w:rsidRPr="00FE002E" w:rsidRDefault="00BB388D" w:rsidP="007E2A41">
            <w:pPr>
              <w:pStyle w:val="BodyText1"/>
              <w:spacing w:line="240" w:lineRule="auto"/>
              <w:rPr>
                <w:rFonts w:ascii="Times New Roman" w:hAnsi="Times New Roman"/>
                <w:bCs/>
              </w:rPr>
            </w:pPr>
            <w:r>
              <w:rPr>
                <w:rFonts w:ascii="Times New Roman" w:hAnsi="Times New Roman"/>
              </w:rPr>
              <w:t>Die Institute melden die Beträge abzüglich der ausgefallenen Risikopositionen.</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532F3A">
              <w:rPr>
                <w:rFonts w:ascii="Times New Roman" w:hAnsi="Times New Roman"/>
              </w:rPr>
              <w:t>290</w:t>
            </w:r>
            <w:r>
              <w:rPr>
                <w:rFonts w:ascii="Times New Roman" w:hAnsi="Times New Roman"/>
              </w:rPr>
              <w:t>;</w:t>
            </w:r>
            <w:r w:rsidRPr="00532F3A">
              <w:rPr>
                <w:rFonts w:ascii="Times New Roman" w:hAnsi="Times New Roman"/>
              </w:rPr>
              <w:t>030</w:t>
            </w:r>
            <w:r>
              <w:rPr>
                <w:rFonts w:ascii="Times New Roman" w:hAnsi="Times New Roman"/>
              </w:rPr>
              <w:t>}</w:t>
            </w:r>
          </w:p>
        </w:tc>
        <w:tc>
          <w:tcPr>
            <w:tcW w:w="8133" w:type="dxa"/>
            <w:shd w:val="clear" w:color="auto" w:fill="FFFFFF"/>
          </w:tcPr>
          <w:p w:rsidR="00F4754B" w:rsidRPr="00706750" w:rsidRDefault="00F4754B" w:rsidP="007E2A41">
            <w:pPr>
              <w:pStyle w:val="BodyText1"/>
              <w:spacing w:line="240" w:lineRule="auto"/>
              <w:rPr>
                <w:rFonts w:ascii="Times New Roman" w:hAnsi="Times New Roman"/>
                <w:bCs/>
              </w:rPr>
            </w:pPr>
            <w:r>
              <w:rPr>
                <w:rFonts w:ascii="Times New Roman" w:hAnsi="Times New Roman"/>
                <w:b/>
              </w:rPr>
              <w:t>Andere Risikopositionen; davon — Risikogewichteter Positionsbetrag (RWA, risk-weighted exposure amount) — Risikopositionen nach dem Standardansatz</w:t>
            </w:r>
          </w:p>
          <w:p w:rsidR="002509B1" w:rsidRPr="00FE002E" w:rsidRDefault="002509B1"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Der risikogewichtete Risikopositionswert von Vermögenswerten, die in die in Artikel </w:t>
            </w:r>
            <w:r w:rsidRPr="00532F3A">
              <w:rPr>
                <w:rFonts w:ascii="Times New Roman" w:hAnsi="Times New Roman"/>
              </w:rPr>
              <w:t>112</w:t>
            </w:r>
            <w:r>
              <w:rPr>
                <w:rFonts w:ascii="Times New Roman" w:hAnsi="Times New Roman"/>
              </w:rPr>
              <w:t xml:space="preserve"> Buchstaben k, m, n, o, p und q CRR aufgeführten Forderungsklassen eingeordnet werden.</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Die Institute melden die Beträge abzüglich der ausgefallenen Risikopositionen.</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Pr>
                <w:rFonts w:ascii="Times New Roman" w:hAnsi="Times New Roman"/>
              </w:rPr>
              <w:lastRenderedPageBreak/>
              <w:t>{</w:t>
            </w:r>
            <w:r w:rsidRPr="00532F3A">
              <w:rPr>
                <w:rFonts w:ascii="Times New Roman" w:hAnsi="Times New Roman"/>
              </w:rPr>
              <w:t>290</w:t>
            </w:r>
            <w:r>
              <w:rPr>
                <w:rFonts w:ascii="Times New Roman" w:hAnsi="Times New Roman"/>
              </w:rPr>
              <w:t>;</w:t>
            </w:r>
            <w:r w:rsidRPr="00532F3A">
              <w:rPr>
                <w:rFonts w:ascii="Times New Roman" w:hAnsi="Times New Roman"/>
              </w:rPr>
              <w:t>040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 xml:space="preserve">Andere Risikopositionen; davon — </w:t>
            </w:r>
            <w:r>
              <w:rPr>
                <w:rFonts w:ascii="Times New Roman" w:hAnsi="Times New Roman"/>
              </w:rPr>
              <w:t>Risikogewichteter Positionsbetrag (RWA, risk-weighted exposure amount) — Risikopositionen nach dem IRB-Ansatz</w:t>
            </w:r>
          </w:p>
          <w:p w:rsidR="002509B1" w:rsidRPr="00FE002E" w:rsidRDefault="002509B1"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Der risikogewichtete Risikopositionswert von Vermögenswerten, die in die in Artikel </w:t>
            </w:r>
            <w:r w:rsidRPr="00532F3A">
              <w:rPr>
                <w:rFonts w:ascii="Times New Roman" w:hAnsi="Times New Roman"/>
              </w:rPr>
              <w:t>147</w:t>
            </w:r>
            <w:r>
              <w:rPr>
                <w:rFonts w:ascii="Times New Roman" w:hAnsi="Times New Roman"/>
              </w:rPr>
              <w:t xml:space="preserve"> Absatz </w:t>
            </w:r>
            <w:r w:rsidRPr="00532F3A">
              <w:rPr>
                <w:rFonts w:ascii="Times New Roman" w:hAnsi="Times New Roman"/>
              </w:rPr>
              <w:t>2</w:t>
            </w:r>
            <w:r>
              <w:rPr>
                <w:rFonts w:ascii="Times New Roman" w:hAnsi="Times New Roman"/>
              </w:rPr>
              <w:t xml:space="preserve"> Buchstaben e, f und g CRR aufgeführten Forderungsklassen eingeordnet werden. </w:t>
            </w:r>
          </w:p>
          <w:p w:rsidR="00BB388D" w:rsidRDefault="00BB388D" w:rsidP="007E2A41">
            <w:pPr>
              <w:pStyle w:val="BodyText1"/>
              <w:spacing w:line="240" w:lineRule="auto"/>
              <w:rPr>
                <w:rFonts w:ascii="Times New Roman" w:hAnsi="Times New Roman"/>
                <w:bCs/>
              </w:rPr>
            </w:pPr>
          </w:p>
          <w:p w:rsidR="00BB388D" w:rsidRPr="00FE002E" w:rsidRDefault="00BB388D" w:rsidP="007E2A41">
            <w:pPr>
              <w:pStyle w:val="BodyText1"/>
              <w:spacing w:line="240" w:lineRule="auto"/>
              <w:rPr>
                <w:rFonts w:ascii="Times New Roman" w:hAnsi="Times New Roman"/>
                <w:bCs/>
              </w:rPr>
            </w:pPr>
            <w:r>
              <w:rPr>
                <w:rFonts w:ascii="Times New Roman" w:hAnsi="Times New Roman"/>
              </w:rPr>
              <w:t>Die Institute melden die Beträge abzüglich der ausgefallenen Risikopositionen.</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532F3A">
              <w:rPr>
                <w:rFonts w:ascii="Times New Roman" w:hAnsi="Times New Roman"/>
              </w:rPr>
              <w:t>300</w:t>
            </w:r>
            <w:r>
              <w:rPr>
                <w:rFonts w:ascii="Times New Roman" w:hAnsi="Times New Roman"/>
              </w:rPr>
              <w:t>;</w:t>
            </w:r>
            <w:r w:rsidRPr="00532F3A">
              <w:rPr>
                <w:rFonts w:ascii="Times New Roman" w:hAnsi="Times New Roman"/>
              </w:rPr>
              <w:t>010</w:t>
            </w:r>
            <w:r>
              <w:rPr>
                <w:rFonts w:ascii="Times New Roman" w:hAnsi="Times New Roman"/>
              </w:rPr>
              <w:t>}</w:t>
            </w:r>
          </w:p>
        </w:tc>
        <w:tc>
          <w:tcPr>
            <w:tcW w:w="8133" w:type="dxa"/>
            <w:shd w:val="clear" w:color="auto" w:fill="FFFFFF"/>
          </w:tcPr>
          <w:p w:rsidR="00F4754B" w:rsidRPr="00706750" w:rsidRDefault="00F4754B" w:rsidP="007E2A41">
            <w:pPr>
              <w:pStyle w:val="BodyText1"/>
              <w:spacing w:line="240" w:lineRule="auto"/>
              <w:rPr>
                <w:rFonts w:ascii="Times New Roman" w:hAnsi="Times New Roman"/>
                <w:b/>
                <w:bCs/>
              </w:rPr>
            </w:pPr>
            <w:r>
              <w:rPr>
                <w:rFonts w:ascii="Times New Roman" w:hAnsi="Times New Roman"/>
                <w:b/>
              </w:rPr>
              <w:t>Verbriefungs-Risikopositionen — Risikopositionswert für die Verschuldungsquote — Risikopositionen nach dem Standardansatz</w:t>
            </w:r>
          </w:p>
          <w:p w:rsidR="002509B1" w:rsidRPr="00706750"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Der Risikopositionswert für die Verschuldungsquote in Bezug auf Vermögenswerte, bei denen es sich um Verbriefungs-Risikopositionen gemäß Artikel </w:t>
            </w:r>
            <w:r w:rsidRPr="00532F3A">
              <w:rPr>
                <w:rFonts w:ascii="Times New Roman" w:hAnsi="Times New Roman"/>
              </w:rPr>
              <w:t>112</w:t>
            </w:r>
            <w:r>
              <w:rPr>
                <w:rFonts w:ascii="Times New Roman" w:hAnsi="Times New Roman"/>
              </w:rPr>
              <w:t xml:space="preserve"> Buchstabe m CRR handelt.</w:t>
            </w:r>
          </w:p>
          <w:p w:rsidR="00086A8A" w:rsidRDefault="00086A8A" w:rsidP="007E2A41">
            <w:pPr>
              <w:pStyle w:val="BodyText1"/>
              <w:spacing w:line="240" w:lineRule="auto"/>
              <w:rPr>
                <w:rFonts w:ascii="Times New Roman" w:hAnsi="Times New Roman"/>
                <w:bCs/>
              </w:rPr>
            </w:pPr>
          </w:p>
          <w:p w:rsidR="002509B1" w:rsidRDefault="00086A8A" w:rsidP="007E2A41">
            <w:pPr>
              <w:pStyle w:val="BodyText1"/>
              <w:spacing w:line="240" w:lineRule="auto"/>
              <w:rPr>
                <w:rFonts w:ascii="Times New Roman" w:hAnsi="Times New Roman"/>
                <w:bCs/>
              </w:rPr>
            </w:pPr>
            <w:r>
              <w:rPr>
                <w:rFonts w:ascii="Times New Roman" w:hAnsi="Times New Roman"/>
              </w:rPr>
              <w:t>Die Institute melden die Beträge abzüglich der ausgefallenen Risikopositionen.</w:t>
            </w:r>
          </w:p>
          <w:p w:rsidR="009C4E79" w:rsidRPr="00FE002E" w:rsidRDefault="009C4E79"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w:t>
            </w:r>
            <w:r w:rsidRPr="00532F3A">
              <w:rPr>
                <w:rFonts w:ascii="Times New Roman" w:hAnsi="Times New Roman"/>
              </w:rPr>
              <w:t>300</w:t>
            </w:r>
            <w:r>
              <w:rPr>
                <w:rFonts w:ascii="Times New Roman" w:hAnsi="Times New Roman"/>
              </w:rPr>
              <w:t>;</w:t>
            </w:r>
            <w:r w:rsidRPr="00532F3A">
              <w:rPr>
                <w:rFonts w:ascii="Times New Roman" w:hAnsi="Times New Roman"/>
              </w:rPr>
              <w:t>020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Verbriefungs-Risikopositionen — Risikopositionswert für die Verschuldungsquote — Risikopositionen nach dem IRB-Ansatz</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Der Risikopositionswert für die Verschuldungsquote in Bezug auf Vermögenswerte, bei denen es sich um Verbriefungs-Risikopositionen gemäß Artikel </w:t>
            </w:r>
            <w:r w:rsidRPr="00532F3A">
              <w:rPr>
                <w:rFonts w:ascii="Times New Roman" w:hAnsi="Times New Roman"/>
              </w:rPr>
              <w:t>147</w:t>
            </w:r>
            <w:r>
              <w:rPr>
                <w:rFonts w:ascii="Times New Roman" w:hAnsi="Times New Roman"/>
              </w:rPr>
              <w:t xml:space="preserve"> Absatz </w:t>
            </w:r>
            <w:r w:rsidRPr="00532F3A">
              <w:rPr>
                <w:rFonts w:ascii="Times New Roman" w:hAnsi="Times New Roman"/>
              </w:rPr>
              <w:t>2</w:t>
            </w:r>
            <w:r>
              <w:rPr>
                <w:rFonts w:ascii="Times New Roman" w:hAnsi="Times New Roman"/>
              </w:rPr>
              <w:t xml:space="preserve"> Buchstabe f CRR handelt. Die Institute melden die Beträge abzüglich der ausgefallenen Risikopositionen. </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Die Institute melden die Beträge abzüglich der ausgefallenen Risikopositionen.</w:t>
            </w:r>
          </w:p>
          <w:p w:rsidR="002509B1" w:rsidRPr="00FE002E" w:rsidDel="00B9734C"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532F3A">
              <w:rPr>
                <w:rFonts w:ascii="Times New Roman" w:hAnsi="Times New Roman"/>
              </w:rPr>
              <w:t>300</w:t>
            </w:r>
            <w:r>
              <w:rPr>
                <w:rFonts w:ascii="Times New Roman" w:hAnsi="Times New Roman"/>
              </w:rPr>
              <w:t>;</w:t>
            </w:r>
            <w:r w:rsidRPr="00532F3A">
              <w:rPr>
                <w:rFonts w:ascii="Times New Roman" w:hAnsi="Times New Roman"/>
              </w:rPr>
              <w:t>030</w:t>
            </w:r>
            <w:r>
              <w:rPr>
                <w:rFonts w:ascii="Times New Roman" w:hAnsi="Times New Roman"/>
              </w:rPr>
              <w:t>}</w:t>
            </w:r>
          </w:p>
        </w:tc>
        <w:tc>
          <w:tcPr>
            <w:tcW w:w="8133" w:type="dxa"/>
            <w:shd w:val="clear" w:color="auto" w:fill="FFFFFF"/>
          </w:tcPr>
          <w:p w:rsidR="00F4754B" w:rsidRPr="007129B2" w:rsidRDefault="00F4754B" w:rsidP="007E2A41">
            <w:pPr>
              <w:pStyle w:val="BodyText1"/>
              <w:spacing w:line="240" w:lineRule="auto"/>
              <w:rPr>
                <w:rFonts w:ascii="Times New Roman" w:hAnsi="Times New Roman"/>
                <w:b/>
                <w:bCs/>
              </w:rPr>
            </w:pPr>
            <w:r>
              <w:rPr>
                <w:rFonts w:ascii="Times New Roman" w:hAnsi="Times New Roman"/>
                <w:b/>
              </w:rPr>
              <w:t>Verbriefungs-Risikopositionen — Risikogewichteter Positionsbetrag (RWA, risk-weighted exposure amount) — Risikopositionen nach dem Standardansatz</w:t>
            </w:r>
          </w:p>
          <w:p w:rsidR="002509B1" w:rsidRPr="007129B2"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Der risikogewichtete Positionsbetrag von Vermögenswerten, bei denen es sich um Verbriefungs-Risikopositionen gemäß Artikel </w:t>
            </w:r>
            <w:r w:rsidRPr="00532F3A">
              <w:rPr>
                <w:rFonts w:ascii="Times New Roman" w:hAnsi="Times New Roman"/>
              </w:rPr>
              <w:t>112</w:t>
            </w:r>
            <w:r>
              <w:rPr>
                <w:rFonts w:ascii="Times New Roman" w:hAnsi="Times New Roman"/>
              </w:rPr>
              <w:t xml:space="preserve"> Buchstabe m CRR handelt. Die Institute melden die Beträge abzüglich der ausgefallenen Risikopositionen.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Die Institute melden die Beträge abzüglich der ausgefallenen Risikopositionen.</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532F3A">
              <w:rPr>
                <w:rFonts w:ascii="Times New Roman" w:hAnsi="Times New Roman"/>
              </w:rPr>
              <w:t>300</w:t>
            </w:r>
            <w:r>
              <w:rPr>
                <w:rFonts w:ascii="Times New Roman" w:hAnsi="Times New Roman"/>
              </w:rPr>
              <w:t>;</w:t>
            </w:r>
            <w:r w:rsidRPr="00532F3A">
              <w:rPr>
                <w:rFonts w:ascii="Times New Roman" w:hAnsi="Times New Roman"/>
              </w:rPr>
              <w:t>040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Verbriefungs-Risikopositionen — Risikogewichteter Positionsbetrag (RWA, risk-weighted exposure amount) — Risikopositionen nach dem IRB-Ansatz</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Der risikogewichtete Positionsbetrag von Vermögenswerten, bei denen es sich um Verbriefungs-Risikopositionen gemäß Artikel </w:t>
            </w:r>
            <w:r w:rsidRPr="00532F3A">
              <w:rPr>
                <w:rFonts w:ascii="Times New Roman" w:hAnsi="Times New Roman"/>
              </w:rPr>
              <w:t>147</w:t>
            </w:r>
            <w:r>
              <w:rPr>
                <w:rFonts w:ascii="Times New Roman" w:hAnsi="Times New Roman"/>
              </w:rPr>
              <w:t xml:space="preserve"> Absatz </w:t>
            </w:r>
            <w:r w:rsidRPr="00532F3A">
              <w:rPr>
                <w:rFonts w:ascii="Times New Roman" w:hAnsi="Times New Roman"/>
              </w:rPr>
              <w:t>2</w:t>
            </w:r>
            <w:r>
              <w:rPr>
                <w:rFonts w:ascii="Times New Roman" w:hAnsi="Times New Roman"/>
              </w:rPr>
              <w:t xml:space="preserve"> Buchstabe f CRR handelt. </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Die Institute melden die Beträge abzüglich der ausgefallenen Risikopositionen.</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Pr>
                <w:rFonts w:ascii="Times New Roman" w:hAnsi="Times New Roman"/>
              </w:rPr>
              <w:t>{</w:t>
            </w:r>
            <w:r w:rsidRPr="00532F3A">
              <w:rPr>
                <w:rFonts w:ascii="Times New Roman" w:hAnsi="Times New Roman"/>
              </w:rPr>
              <w:t>310</w:t>
            </w:r>
            <w:r>
              <w:rPr>
                <w:rFonts w:ascii="Times New Roman" w:hAnsi="Times New Roman"/>
              </w:rPr>
              <w:t>;</w:t>
            </w:r>
            <w:r w:rsidRPr="00532F3A">
              <w:rPr>
                <w:rFonts w:ascii="Times New Roman" w:hAnsi="Times New Roman"/>
              </w:rPr>
              <w:t>010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Handelsfinanzierung (Merkposten); davon — Risikopositionswert für die Verschuldungsquote — Risikopositionen nach dem Standardansatz</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Der Risikopositionswert für die Verschuldungsquote in Bezug auf Bilanzposten, die die Kreditvergabe an Ex- oder Importeure von Waren oder Dienstleistungen über Import- und Exportkredite und ähnliche Geschäfte betreffen. </w:t>
            </w:r>
          </w:p>
          <w:p w:rsidR="002509B1" w:rsidRDefault="002509B1" w:rsidP="007E2A41">
            <w:pPr>
              <w:pStyle w:val="BodyText1"/>
              <w:spacing w:line="240" w:lineRule="auto"/>
              <w:rPr>
                <w:rFonts w:ascii="Times New Roman" w:hAnsi="Times New Roman"/>
                <w:bCs/>
              </w:rPr>
            </w:pPr>
          </w:p>
          <w:p w:rsidR="00086A8A" w:rsidRDefault="00086A8A" w:rsidP="007E2A41">
            <w:pPr>
              <w:pStyle w:val="BodyText1"/>
              <w:spacing w:line="240" w:lineRule="auto"/>
              <w:rPr>
                <w:rFonts w:ascii="Times New Roman" w:hAnsi="Times New Roman"/>
                <w:bCs/>
              </w:rPr>
            </w:pPr>
            <w:r>
              <w:rPr>
                <w:rFonts w:ascii="Times New Roman" w:hAnsi="Times New Roman"/>
              </w:rPr>
              <w:t>Die Institute melden die Beträge abzüglich der ausgefallenen Risikopositionen.</w:t>
            </w:r>
          </w:p>
          <w:p w:rsidR="00086A8A" w:rsidRPr="00FE002E" w:rsidRDefault="00086A8A"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w:t>
            </w:r>
            <w:r w:rsidRPr="00532F3A">
              <w:rPr>
                <w:rFonts w:ascii="Times New Roman" w:hAnsi="Times New Roman"/>
              </w:rPr>
              <w:t>310</w:t>
            </w:r>
            <w:r>
              <w:rPr>
                <w:rFonts w:ascii="Times New Roman" w:hAnsi="Times New Roman"/>
              </w:rPr>
              <w:t>;</w:t>
            </w:r>
            <w:r w:rsidRPr="00532F3A">
              <w:rPr>
                <w:rFonts w:ascii="Times New Roman" w:hAnsi="Times New Roman"/>
              </w:rPr>
              <w:t>020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Handelsfinanzierung (Merkposten); davon — Risikopositionswert für die Verschuldungsquote — Risikopositionen nach dem IRB-Ansatz</w:t>
            </w:r>
          </w:p>
          <w:p w:rsidR="002509B1" w:rsidRPr="00FE002E" w:rsidRDefault="002509B1" w:rsidP="007E2A41">
            <w:pPr>
              <w:pStyle w:val="BodyText1"/>
              <w:spacing w:line="240" w:lineRule="auto"/>
              <w:rPr>
                <w:rFonts w:ascii="Times New Roman" w:hAnsi="Times New Roman"/>
                <w:b/>
                <w:bCs/>
              </w:rPr>
            </w:pPr>
          </w:p>
          <w:p w:rsidR="002509B1" w:rsidRDefault="00F4754B" w:rsidP="007E2A41">
            <w:pPr>
              <w:pStyle w:val="BodyText1"/>
              <w:spacing w:line="240" w:lineRule="auto"/>
              <w:rPr>
                <w:rFonts w:ascii="Times New Roman" w:hAnsi="Times New Roman"/>
                <w:b/>
                <w:bCs/>
                <w:u w:val="single"/>
              </w:rPr>
            </w:pPr>
            <w:r>
              <w:rPr>
                <w:rFonts w:ascii="Times New Roman" w:hAnsi="Times New Roman"/>
              </w:rPr>
              <w:t xml:space="preserve">Der Risikopositionsbetrag für die Verschuldungsquote in Bezug auf Bilanzposten, die die Kreditvergabe an Ex- oder Importeure von Waren oder Dienstleistungen über Import- und Exportkredite und ähnliche Geschäfte betreffen. </w:t>
            </w:r>
          </w:p>
          <w:p w:rsidR="00BE6AC4" w:rsidRDefault="00BE6AC4" w:rsidP="009C4E79">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Die Institute melden die Beträge abzüglich der ausgefallenen Risikopositionen.</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lastRenderedPageBreak/>
              <w:t>{</w:t>
            </w:r>
            <w:r w:rsidRPr="00532F3A">
              <w:rPr>
                <w:rFonts w:ascii="Times New Roman" w:hAnsi="Times New Roman"/>
              </w:rPr>
              <w:t>310</w:t>
            </w:r>
            <w:r>
              <w:rPr>
                <w:rFonts w:ascii="Times New Roman" w:hAnsi="Times New Roman"/>
              </w:rPr>
              <w:t>;</w:t>
            </w:r>
            <w:r w:rsidRPr="00532F3A">
              <w:rPr>
                <w:rFonts w:ascii="Times New Roman" w:hAnsi="Times New Roman"/>
              </w:rPr>
              <w:t>030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Handelsfinanzierung (Merkposten); davon — Risikogewichteter Positionsbetrag (RWA, risk-weighted exposure amount) — Risikopositionen nach dem Standardansatz</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Der risikogewichtete Positionswert von Bilanzposten, die die Kreditvergabe an Ex- oder Importeure von Waren oder Dienstleistungen über Import- und Exportkredite und ähnliche Geschäfte betreffen.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Die Institute melden die Beträge abzüglich der ausgefallenen Risikopositionen.</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532F3A">
              <w:rPr>
                <w:rFonts w:ascii="Times New Roman" w:hAnsi="Times New Roman"/>
              </w:rPr>
              <w:t>310</w:t>
            </w:r>
            <w:r>
              <w:rPr>
                <w:rFonts w:ascii="Times New Roman" w:hAnsi="Times New Roman"/>
              </w:rPr>
              <w:t>;</w:t>
            </w:r>
            <w:r w:rsidRPr="00532F3A">
              <w:rPr>
                <w:rFonts w:ascii="Times New Roman" w:hAnsi="Times New Roman"/>
              </w:rPr>
              <w:t>040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Handelsfinanzierung (Merkposten); davon — Risikogewichteter Positionsbetrag (RWA, risk-weighted exposure amount) — Risikopositionen nach dem IRB-Ansatz</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Der risikogewichtete Positionsbetrag von Bilanzposten, die die Kreditvergabe an Ex- oder Importeure von Waren oder Dienstleistungen über Import- und Exportkredite und ähnliche Geschäfte betreffen. </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Die Institute melden die Beträge abzüglich der ausgefallenen Risikopositionen.</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Pr>
                <w:rFonts w:ascii="Times New Roman" w:hAnsi="Times New Roman"/>
              </w:rPr>
              <w:t>{</w:t>
            </w:r>
            <w:r w:rsidRPr="00532F3A">
              <w:rPr>
                <w:rFonts w:ascii="Times New Roman" w:hAnsi="Times New Roman"/>
              </w:rPr>
              <w:t>320</w:t>
            </w:r>
            <w:r>
              <w:rPr>
                <w:rFonts w:ascii="Times New Roman" w:hAnsi="Times New Roman"/>
              </w:rPr>
              <w:t>;</w:t>
            </w:r>
            <w:r w:rsidRPr="00532F3A">
              <w:rPr>
                <w:rFonts w:ascii="Times New Roman" w:hAnsi="Times New Roman"/>
              </w:rPr>
              <w:t>010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Im Rahmen eines öffentlichen Exportkreditversicherungssystems — Risikopositionswert für die Verschuldungsquote — Risikopositionen nach dem Standardansatz</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rPr>
            </w:pPr>
            <w:r>
              <w:rPr>
                <w:rFonts w:ascii="Times New Roman" w:hAnsi="Times New Roman"/>
              </w:rPr>
              <w:t>Der Risikopositionswert für die Verschuldungsquote bei Bilanzposten, die die Handelsfinanzierung im Rahmen eines öffentlichen Exportkreditversicherungssystems betreffen. Für die in LR</w:t>
            </w:r>
            <w:r w:rsidRPr="00532F3A">
              <w:rPr>
                <w:rFonts w:ascii="Times New Roman" w:hAnsi="Times New Roman"/>
              </w:rPr>
              <w:t>4</w:t>
            </w:r>
            <w:r>
              <w:rPr>
                <w:rFonts w:ascii="Times New Roman" w:hAnsi="Times New Roman"/>
              </w:rPr>
              <w:t xml:space="preserve"> zu meldenden Angaben bezieht sich der Begriff öffentliches Exportkreditversicherungssystem auf öffentliche Unterstützung, die vom Staat oder einer anderen Stelle, wie zum Beispiel einer Exportversicherungsagentur, in Form von, unter anderem, Direktkrediten/-finanzierungen, Refinanzierungen, Zinszuschüssen (wenn über die gesamte Laufzeit des Kredits ein Festzinssatz garantiert wird), Finanzierungen von Hilfsmaßnahmen (Kredite und Zuschüsse), Exportkreditversicherungen und -garantien zur Verfügung gestellt wird. </w:t>
            </w:r>
          </w:p>
          <w:p w:rsidR="00086A8A" w:rsidRDefault="00086A8A" w:rsidP="007E2A41">
            <w:pPr>
              <w:pStyle w:val="BodyText1"/>
              <w:spacing w:line="240" w:lineRule="auto"/>
              <w:rPr>
                <w:rFonts w:ascii="Times New Roman" w:hAnsi="Times New Roman"/>
              </w:rPr>
            </w:pPr>
          </w:p>
          <w:p w:rsidR="00086A8A" w:rsidRPr="00FE002E" w:rsidRDefault="00086A8A" w:rsidP="007E2A41">
            <w:pPr>
              <w:pStyle w:val="BodyText1"/>
              <w:spacing w:line="240" w:lineRule="auto"/>
              <w:rPr>
                <w:rFonts w:ascii="Times New Roman" w:hAnsi="Times New Roman"/>
              </w:rPr>
            </w:pPr>
            <w:r>
              <w:rPr>
                <w:rFonts w:ascii="Times New Roman" w:hAnsi="Times New Roman"/>
              </w:rPr>
              <w:t>Die Institute melden die Beträge abzüglich der ausgefallenen Risikopositionen.</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w:t>
            </w:r>
            <w:r w:rsidRPr="00532F3A">
              <w:rPr>
                <w:rFonts w:ascii="Times New Roman" w:hAnsi="Times New Roman"/>
              </w:rPr>
              <w:t>320</w:t>
            </w:r>
            <w:r>
              <w:rPr>
                <w:rFonts w:ascii="Times New Roman" w:hAnsi="Times New Roman"/>
              </w:rPr>
              <w:t>;</w:t>
            </w:r>
            <w:r w:rsidRPr="00532F3A">
              <w:rPr>
                <w:rFonts w:ascii="Times New Roman" w:hAnsi="Times New Roman"/>
              </w:rPr>
              <w:t>020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Im Rahmen eines öffentlichen Exportkreditversicherungssystems — Risikopositionswert für die Verschuldungsquote — Risikopositionen nach dem IRB-Ansatz</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rPr>
            </w:pPr>
            <w:r>
              <w:rPr>
                <w:rFonts w:ascii="Times New Roman" w:hAnsi="Times New Roman"/>
              </w:rPr>
              <w:t>Der Risikopositionsbetrag für die Verschuldungsquote bei Bilanzposten, die die Handelsfinanzierung im Rahmen eines öffentlichen Exportkreditversicherungssystems betreffen. Für die in LR</w:t>
            </w:r>
            <w:r w:rsidRPr="00532F3A">
              <w:rPr>
                <w:rFonts w:ascii="Times New Roman" w:hAnsi="Times New Roman"/>
              </w:rPr>
              <w:t>4</w:t>
            </w:r>
            <w:r>
              <w:rPr>
                <w:rFonts w:ascii="Times New Roman" w:hAnsi="Times New Roman"/>
              </w:rPr>
              <w:t xml:space="preserve"> zu meldenden Angaben bezieht sich der Begriff öffentliches Exportkreditversicherungssystem auf öffentliche Unterstützung, die vom Staat oder einer anderen Stelle, wie zum Beispiel einer Exportversicherungsagentur, in Form von, unter anderem, Direktkrediten/-finanzierungen, Refinanzierungen, Zinszuschüssen (wenn über die gesamte Laufzeit des Kredits ein Festzinssatz garantiert wird), Finanzierungen von Hilfsmaßnahmen (Kredite und Zuschüsse), Exportkreditversicherungen und -garantien zur Verfügung gestellt wird. </w:t>
            </w:r>
          </w:p>
          <w:p w:rsidR="009C4E79" w:rsidRDefault="009C4E79" w:rsidP="007E2A41">
            <w:pPr>
              <w:pStyle w:val="BodyText1"/>
              <w:spacing w:line="240" w:lineRule="auto"/>
              <w:rPr>
                <w:rFonts w:ascii="Times New Roman" w:hAnsi="Times New Roman"/>
              </w:rPr>
            </w:pPr>
          </w:p>
          <w:p w:rsidR="009C4E79" w:rsidRPr="00FE002E" w:rsidRDefault="009C4E79" w:rsidP="007E2A41">
            <w:pPr>
              <w:pStyle w:val="BodyText1"/>
              <w:spacing w:line="240" w:lineRule="auto"/>
              <w:rPr>
                <w:rFonts w:ascii="Times New Roman" w:hAnsi="Times New Roman"/>
              </w:rPr>
            </w:pPr>
            <w:r>
              <w:rPr>
                <w:rFonts w:ascii="Times New Roman" w:hAnsi="Times New Roman"/>
              </w:rPr>
              <w:t>Die Institute melden die Beträge abzüglich der ausgefallenen Risikopositionen.</w:t>
            </w:r>
          </w:p>
          <w:p w:rsidR="002509B1" w:rsidRPr="00FE002E" w:rsidDel="00600AB1"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w:t>
            </w:r>
            <w:r w:rsidRPr="00532F3A">
              <w:rPr>
                <w:rFonts w:ascii="Times New Roman" w:hAnsi="Times New Roman"/>
              </w:rPr>
              <w:t>320</w:t>
            </w:r>
            <w:r>
              <w:rPr>
                <w:rFonts w:ascii="Times New Roman" w:hAnsi="Times New Roman"/>
              </w:rPr>
              <w:t>;</w:t>
            </w:r>
            <w:r w:rsidRPr="00532F3A">
              <w:rPr>
                <w:rFonts w:ascii="Times New Roman" w:hAnsi="Times New Roman"/>
              </w:rPr>
              <w:t>030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Im Rahmen eines öffentlichen Exportkreditversicherungssystems — Risikogewichteter Positionsbetrag (RWA, risk-weighted exposure amount) — Risikopositionen nach dem Standardansatz</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rPr>
            </w:pPr>
            <w:r>
              <w:rPr>
                <w:rFonts w:ascii="Times New Roman" w:hAnsi="Times New Roman"/>
              </w:rPr>
              <w:t>Der risikogewichtete Positionswert der Bilanzposten, die die Handelsfinanzierung im Rahmen eines öffentlichen Exportkreditversicherungssystems betreffen. Für die in LR</w:t>
            </w:r>
            <w:r w:rsidRPr="00532F3A">
              <w:rPr>
                <w:rFonts w:ascii="Times New Roman" w:hAnsi="Times New Roman"/>
              </w:rPr>
              <w:t>4</w:t>
            </w:r>
            <w:r>
              <w:rPr>
                <w:rFonts w:ascii="Times New Roman" w:hAnsi="Times New Roman"/>
              </w:rPr>
              <w:t xml:space="preserve"> zu meldenden </w:t>
            </w:r>
            <w:r>
              <w:rPr>
                <w:rFonts w:ascii="Times New Roman" w:hAnsi="Times New Roman"/>
              </w:rPr>
              <w:lastRenderedPageBreak/>
              <w:t xml:space="preserve">Angaben bezieht sich der Begriff öffentliches Exportkreditversicherungssystem auf öffentliche Unterstützung, die vom Staat oder einer anderen Stelle, wie zum Beispiel einer Exportversicherungsagentur, in Form von, unter anderem, Direktkrediten/-finanzierungen, Refinanzierungen, Zinszuschüssen (wenn über die gesamte Laufzeit des Kredits ein Festzinssatz garantiert wird), Finanzierungen von Hilfsmaßnahmen (Kredite und Zuschüsse), Exportkreditversicherungen und -garantien zur Verfügung gestellt wird. </w:t>
            </w:r>
          </w:p>
          <w:p w:rsidR="00086A8A" w:rsidRDefault="00086A8A" w:rsidP="007E2A41">
            <w:pPr>
              <w:pStyle w:val="BodyText1"/>
              <w:spacing w:line="240" w:lineRule="auto"/>
              <w:rPr>
                <w:rFonts w:ascii="Times New Roman" w:hAnsi="Times New Roman"/>
              </w:rPr>
            </w:pPr>
          </w:p>
          <w:p w:rsidR="00086A8A" w:rsidRPr="00FE002E" w:rsidRDefault="00086A8A" w:rsidP="007E2A41">
            <w:pPr>
              <w:pStyle w:val="BodyText1"/>
              <w:spacing w:line="240" w:lineRule="auto"/>
              <w:rPr>
                <w:rFonts w:ascii="Times New Roman" w:hAnsi="Times New Roman"/>
              </w:rPr>
            </w:pPr>
            <w:r>
              <w:rPr>
                <w:rFonts w:ascii="Times New Roman" w:hAnsi="Times New Roman"/>
              </w:rPr>
              <w:t>Die Institute melden die Beträge abzüglich der ausgefallenen Risikopositionen.</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lastRenderedPageBreak/>
              <w:t>{</w:t>
            </w:r>
            <w:r w:rsidRPr="00532F3A">
              <w:rPr>
                <w:rFonts w:ascii="Times New Roman" w:hAnsi="Times New Roman"/>
              </w:rPr>
              <w:t>320</w:t>
            </w:r>
            <w:r>
              <w:rPr>
                <w:rFonts w:ascii="Times New Roman" w:hAnsi="Times New Roman"/>
              </w:rPr>
              <w:t>;</w:t>
            </w:r>
            <w:r w:rsidRPr="00532F3A">
              <w:rPr>
                <w:rFonts w:ascii="Times New Roman" w:hAnsi="Times New Roman"/>
              </w:rPr>
              <w:t>040</w:t>
            </w:r>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Im Rahmen eines öffentlichen Exportkreditversicherungssystems — Risikogewichteter Positionsbetrag (RWA, risk-weighted exposure amount) — Risikopositionen nach dem IRB-Ansatz</w:t>
            </w:r>
          </w:p>
          <w:p w:rsidR="002509B1" w:rsidRPr="00FE002E" w:rsidRDefault="002509B1" w:rsidP="007E2A41">
            <w:pPr>
              <w:pStyle w:val="BodyText1"/>
              <w:spacing w:line="240" w:lineRule="auto"/>
              <w:rPr>
                <w:rFonts w:ascii="Times New Roman" w:hAnsi="Times New Roman"/>
                <w:b/>
                <w:bCs/>
              </w:rPr>
            </w:pPr>
          </w:p>
          <w:p w:rsidR="009C4E79" w:rsidRDefault="00F4754B" w:rsidP="007E2A41">
            <w:pPr>
              <w:pStyle w:val="BodyText1"/>
              <w:spacing w:line="240" w:lineRule="auto"/>
              <w:rPr>
                <w:rFonts w:ascii="Times New Roman" w:hAnsi="Times New Roman"/>
              </w:rPr>
            </w:pPr>
            <w:r>
              <w:rPr>
                <w:rFonts w:ascii="Times New Roman" w:hAnsi="Times New Roman"/>
              </w:rPr>
              <w:t>Der risikogewichtete Positionsbetrag der Bilanzposten, die die Handelsfinanzierung im Rahmen eines öffentlichen Exportkreditversicherungssystems betreffen. Für die in LR</w:t>
            </w:r>
            <w:r w:rsidRPr="00532F3A">
              <w:rPr>
                <w:rFonts w:ascii="Times New Roman" w:hAnsi="Times New Roman"/>
              </w:rPr>
              <w:t>4</w:t>
            </w:r>
            <w:r>
              <w:rPr>
                <w:rFonts w:ascii="Times New Roman" w:hAnsi="Times New Roman"/>
              </w:rPr>
              <w:t xml:space="preserve"> zu meldenden Angaben bezieht sich der Begriff öffentliches Exportkreditversicherungssystem auf öffentliche Unterstützung, die vom Staat oder einer anderen Stelle, wie zum Beispiel einer Exportversicherungsagentur, in Form von, unter anderem, Direktkrediten/-finanzierungen, Refinanzierungen, Zinszuschüssen (wenn über die gesamte Laufzeit des Kredits ein Festzinssatz garantiert wird), Finanzierungen von Hilfsmaßnahmen (Kredite und Zuschüsse), Exportkreditversicherungen und -garantien zur Verfügung gestellt wird. </w:t>
            </w:r>
          </w:p>
          <w:p w:rsidR="009C4E79" w:rsidRDefault="009C4E79" w:rsidP="007E2A41">
            <w:pPr>
              <w:pStyle w:val="BodyText1"/>
              <w:spacing w:line="240" w:lineRule="auto"/>
              <w:rPr>
                <w:rFonts w:ascii="Times New Roman" w:hAnsi="Times New Roman"/>
              </w:rPr>
            </w:pPr>
          </w:p>
          <w:p w:rsidR="00F4754B" w:rsidRPr="00FE002E" w:rsidRDefault="009C4E79" w:rsidP="007E2A41">
            <w:pPr>
              <w:pStyle w:val="BodyText1"/>
              <w:spacing w:line="240" w:lineRule="auto"/>
              <w:rPr>
                <w:rFonts w:ascii="Times New Roman" w:hAnsi="Times New Roman"/>
              </w:rPr>
            </w:pPr>
            <w:r>
              <w:rPr>
                <w:rFonts w:ascii="Times New Roman" w:hAnsi="Times New Roman"/>
              </w:rPr>
              <w:t>Die Institute melden die Beträge abzüglich der ausgefallenen Risikopositionen.</w:t>
            </w:r>
          </w:p>
          <w:p w:rsidR="002509B1" w:rsidRPr="00FE002E" w:rsidRDefault="002509B1" w:rsidP="007E2A41">
            <w:pPr>
              <w:pStyle w:val="BodyText1"/>
              <w:spacing w:line="240" w:lineRule="auto"/>
              <w:rPr>
                <w:rFonts w:ascii="Times New Roman" w:hAnsi="Times New Roman"/>
                <w:b/>
                <w:bCs/>
                <w:u w:val="single"/>
              </w:rPr>
            </w:pPr>
          </w:p>
        </w:tc>
      </w:tr>
      <w:bookmarkEnd w:id="84"/>
    </w:tbl>
    <w:p w:rsidR="00217D1F" w:rsidRPr="00FE002E" w:rsidRDefault="00F4754B" w:rsidP="00500508">
      <w:pPr>
        <w:pStyle w:val="BodyText1"/>
        <w:ind w:left="357" w:hanging="357"/>
        <w:outlineLvl w:val="1"/>
        <w:rPr>
          <w:rFonts w:ascii="Times New Roman" w:hAnsi="Times New Roman"/>
          <w:b/>
        </w:rPr>
      </w:pPr>
      <w:r>
        <w:br w:type="page"/>
      </w:r>
      <w:bookmarkStart w:id="89" w:name="_Toc351048511"/>
      <w:bookmarkStart w:id="90" w:name="_Toc359414290"/>
      <w:bookmarkStart w:id="91" w:name="_Toc423089075"/>
      <w:bookmarkStart w:id="92" w:name="_Toc524078183"/>
      <w:r w:rsidRPr="00532F3A">
        <w:rPr>
          <w:rFonts w:ascii="Times New Roman" w:hAnsi="Times New Roman"/>
          <w:b/>
        </w:rPr>
        <w:lastRenderedPageBreak/>
        <w:t>9</w:t>
      </w:r>
      <w:r>
        <w:rPr>
          <w:rFonts w:ascii="Times New Roman" w:hAnsi="Times New Roman"/>
          <w:b/>
        </w:rPr>
        <w:t>.</w:t>
      </w:r>
      <w:r>
        <w:tab/>
      </w:r>
      <w:r>
        <w:rPr>
          <w:rFonts w:ascii="Times New Roman" w:hAnsi="Times New Roman"/>
          <w:b/>
        </w:rPr>
        <w:t xml:space="preserve">C </w:t>
      </w:r>
      <w:r w:rsidRPr="00532F3A">
        <w:rPr>
          <w:rFonts w:ascii="Times New Roman" w:hAnsi="Times New Roman"/>
          <w:b/>
        </w:rPr>
        <w:t>44</w:t>
      </w:r>
      <w:r>
        <w:rPr>
          <w:rFonts w:ascii="Times New Roman" w:hAnsi="Times New Roman"/>
          <w:b/>
        </w:rPr>
        <w:t>.</w:t>
      </w:r>
      <w:r w:rsidRPr="00532F3A">
        <w:rPr>
          <w:rFonts w:ascii="Times New Roman" w:hAnsi="Times New Roman"/>
          <w:b/>
        </w:rPr>
        <w:t>00</w:t>
      </w:r>
      <w:r>
        <w:rPr>
          <w:rFonts w:ascii="Times New Roman" w:hAnsi="Times New Roman"/>
          <w:b/>
        </w:rPr>
        <w:t xml:space="preserve"> — Allgemeine Angaben</w:t>
      </w:r>
      <w:bookmarkEnd w:id="89"/>
      <w:bookmarkEnd w:id="90"/>
      <w:r>
        <w:rPr>
          <w:rFonts w:ascii="Times New Roman" w:hAnsi="Times New Roman"/>
          <w:b/>
        </w:rPr>
        <w:t xml:space="preserve"> (LR</w:t>
      </w:r>
      <w:r w:rsidRPr="00532F3A">
        <w:rPr>
          <w:rFonts w:ascii="Times New Roman" w:hAnsi="Times New Roman"/>
          <w:b/>
        </w:rPr>
        <w:t>5</w:t>
      </w:r>
      <w:r>
        <w:rPr>
          <w:rFonts w:ascii="Times New Roman" w:hAnsi="Times New Roman"/>
          <w:b/>
        </w:rPr>
        <w:t>)</w:t>
      </w:r>
      <w:bookmarkEnd w:id="91"/>
      <w:bookmarkEnd w:id="92"/>
    </w:p>
    <w:p w:rsidR="00675587" w:rsidRPr="00FE002E" w:rsidRDefault="00675587" w:rsidP="00675587">
      <w:pPr>
        <w:pStyle w:val="BodyText1"/>
        <w:ind w:left="720"/>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sidRPr="00532F3A">
        <w:rPr>
          <w:rFonts w:ascii="Times New Roman" w:hAnsi="Times New Roman"/>
        </w:rPr>
        <w:t>31</w:t>
      </w:r>
      <w:r>
        <w:rPr>
          <w:rFonts w:ascii="Times New Roman" w:hAnsi="Times New Roman"/>
        </w:rPr>
        <w:t>.</w:t>
      </w:r>
      <w:r>
        <w:tab/>
      </w:r>
      <w:r>
        <w:rPr>
          <w:rFonts w:ascii="Times New Roman" w:hAnsi="Times New Roman"/>
        </w:rPr>
        <w:t>Hier werden zusätzliche Angaben erhoben, um die Tätigkeiten des Instituts und die von diesem gewählten aufsichtlichen Optionen kategorisieren zu können.</w:t>
      </w:r>
    </w:p>
    <w:p w:rsidR="00675587" w:rsidRPr="00FE002E" w:rsidRDefault="00675587" w:rsidP="00675587">
      <w:pPr>
        <w:pStyle w:val="BodyText1"/>
        <w:ind w:left="720"/>
        <w:rPr>
          <w:rFonts w:ascii="Times New Roman" w:hAnsi="Times New Roman"/>
        </w:rPr>
      </w:pP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FE002E" w:rsidTr="00FC2664">
        <w:tc>
          <w:tcPr>
            <w:tcW w:w="1418" w:type="dxa"/>
            <w:shd w:val="clear" w:color="auto" w:fill="D9D9D9"/>
          </w:tcPr>
          <w:p w:rsidR="00F4754B" w:rsidRPr="00FE002E" w:rsidRDefault="00F4754B" w:rsidP="00F4754B">
            <w:pPr>
              <w:pStyle w:val="BodyText1"/>
              <w:rPr>
                <w:rFonts w:ascii="Times New Roman" w:hAnsi="Times New Roman"/>
                <w:b/>
              </w:rPr>
            </w:pPr>
            <w:r>
              <w:rPr>
                <w:rFonts w:ascii="Times New Roman" w:hAnsi="Times New Roman"/>
                <w:b/>
              </w:rPr>
              <w:t xml:space="preserve">Zeile </w:t>
            </w:r>
          </w:p>
          <w:p w:rsidR="00F4754B" w:rsidRPr="00FE002E" w:rsidRDefault="00F4754B" w:rsidP="00F4754B">
            <w:pPr>
              <w:pStyle w:val="BodyText1"/>
              <w:rPr>
                <w:rFonts w:ascii="Times New Roman" w:hAnsi="Times New Roman"/>
                <w:b/>
                <w:bCs/>
              </w:rPr>
            </w:pPr>
            <w:r>
              <w:rPr>
                <w:rFonts w:ascii="Times New Roman" w:hAnsi="Times New Roman"/>
                <w:b/>
              </w:rPr>
              <w:t>und Spalte</w:t>
            </w:r>
          </w:p>
        </w:tc>
        <w:tc>
          <w:tcPr>
            <w:tcW w:w="7620" w:type="dxa"/>
            <w:shd w:val="clear" w:color="auto" w:fill="D9D9D9"/>
          </w:tcPr>
          <w:p w:rsidR="00F4754B" w:rsidRPr="00FE002E" w:rsidRDefault="00F4754B" w:rsidP="00F4754B">
            <w:pPr>
              <w:pStyle w:val="BodyText1"/>
              <w:rPr>
                <w:rFonts w:ascii="Times New Roman" w:hAnsi="Times New Roman"/>
                <w:b/>
                <w:bCs/>
              </w:rPr>
            </w:pPr>
            <w:r>
              <w:rPr>
                <w:rFonts w:ascii="Times New Roman" w:hAnsi="Times New Roman"/>
                <w:b/>
              </w:rPr>
              <w:t>Erläuterungen</w:t>
            </w: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w:t>
            </w:r>
            <w:r w:rsidRPr="00532F3A">
              <w:rPr>
                <w:rFonts w:ascii="Times New Roman" w:hAnsi="Times New Roman"/>
              </w:rPr>
              <w:t>010</w:t>
            </w:r>
            <w:r>
              <w:rPr>
                <w:rFonts w:ascii="Times New Roman" w:hAnsi="Times New Roman"/>
              </w:rPr>
              <w:t>;</w:t>
            </w:r>
            <w:r w:rsidRPr="00532F3A">
              <w:rPr>
                <w:rFonts w:ascii="Times New Roman" w:hAnsi="Times New Roman"/>
              </w:rPr>
              <w:t>010</w:t>
            </w:r>
            <w:r>
              <w:rPr>
                <w:rFonts w:ascii="Times New Roman" w:hAnsi="Times New Roman"/>
              </w:rPr>
              <w:t>}</w:t>
            </w:r>
          </w:p>
        </w:tc>
        <w:tc>
          <w:tcPr>
            <w:tcW w:w="7620" w:type="dxa"/>
          </w:tcPr>
          <w:p w:rsidR="00F4754B" w:rsidRPr="00FE002E" w:rsidRDefault="00F4754B" w:rsidP="002509B1">
            <w:pPr>
              <w:pStyle w:val="BodyText1"/>
              <w:spacing w:line="240" w:lineRule="auto"/>
              <w:rPr>
                <w:rFonts w:ascii="Times New Roman" w:hAnsi="Times New Roman"/>
                <w:b/>
                <w:bCs/>
              </w:rPr>
            </w:pPr>
            <w:r>
              <w:rPr>
                <w:rFonts w:ascii="Times New Roman" w:hAnsi="Times New Roman"/>
                <w:b/>
              </w:rPr>
              <w:t>Unternehmensstruktur des Instituts</w:t>
            </w:r>
          </w:p>
          <w:p w:rsidR="00F4754B" w:rsidRPr="00FE002E" w:rsidRDefault="00F4754B" w:rsidP="002509B1">
            <w:pPr>
              <w:pStyle w:val="BodyText1"/>
              <w:spacing w:line="240" w:lineRule="auto"/>
              <w:rPr>
                <w:rFonts w:ascii="Times New Roman" w:hAnsi="Times New Roman"/>
                <w:bCs/>
              </w:rPr>
            </w:pPr>
          </w:p>
          <w:p w:rsidR="00F4754B" w:rsidRPr="00FE002E" w:rsidRDefault="00F4754B" w:rsidP="002509B1">
            <w:pPr>
              <w:pStyle w:val="BodyText1"/>
              <w:spacing w:line="240" w:lineRule="auto"/>
              <w:rPr>
                <w:rFonts w:ascii="Times New Roman" w:hAnsi="Times New Roman"/>
                <w:bCs/>
              </w:rPr>
            </w:pPr>
            <w:r>
              <w:rPr>
                <w:rFonts w:ascii="Times New Roman" w:hAnsi="Times New Roman"/>
              </w:rPr>
              <w:t>Hier hat das Institut anzugeben, welcher der nachstehend genannten Kategorien es zuzuordnen ist:</w:t>
            </w:r>
          </w:p>
          <w:p w:rsidR="00F4754B" w:rsidRPr="00FE002E" w:rsidRDefault="00500508"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Aktiengesellschaft</w:t>
            </w:r>
          </w:p>
          <w:p w:rsidR="00F4754B" w:rsidRPr="00FE002E" w:rsidRDefault="00500508"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Gegenseitigkeitsgesellschaft/Genossenschaft</w:t>
            </w:r>
          </w:p>
          <w:p w:rsidR="00F4754B" w:rsidRDefault="00500508"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Gesellschaft mit einer anderen Rechtsform als der Aktiengesellschaft</w:t>
            </w:r>
          </w:p>
          <w:p w:rsidR="00BE6AC4" w:rsidRPr="00FE002E" w:rsidRDefault="00BE6AC4" w:rsidP="00BE6AC4">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A1A9C">
            <w:pPr>
              <w:pStyle w:val="BodyText1"/>
              <w:rPr>
                <w:rFonts w:ascii="Times New Roman" w:hAnsi="Times New Roman"/>
                <w:bCs/>
              </w:rPr>
            </w:pPr>
            <w:r>
              <w:rPr>
                <w:rFonts w:ascii="Times New Roman" w:hAnsi="Times New Roman"/>
              </w:rPr>
              <w:t>{</w:t>
            </w:r>
            <w:r w:rsidRPr="00532F3A">
              <w:rPr>
                <w:rFonts w:ascii="Times New Roman" w:hAnsi="Times New Roman"/>
              </w:rPr>
              <w:t>020</w:t>
            </w:r>
            <w:r>
              <w:rPr>
                <w:rFonts w:ascii="Times New Roman" w:hAnsi="Times New Roman"/>
              </w:rPr>
              <w:t>;</w:t>
            </w:r>
            <w:r w:rsidRPr="00532F3A">
              <w:rPr>
                <w:rFonts w:ascii="Times New Roman" w:hAnsi="Times New Roman"/>
              </w:rPr>
              <w:t>010</w:t>
            </w:r>
            <w:r>
              <w:rPr>
                <w:rFonts w:ascii="Times New Roman" w:hAnsi="Times New Roman"/>
              </w:rPr>
              <w:t>}</w:t>
            </w:r>
          </w:p>
        </w:tc>
        <w:tc>
          <w:tcPr>
            <w:tcW w:w="7620" w:type="dxa"/>
          </w:tcPr>
          <w:p w:rsidR="00F4754B" w:rsidRPr="00FE002E" w:rsidRDefault="00F4754B" w:rsidP="002509B1">
            <w:pPr>
              <w:pStyle w:val="BodyText1"/>
              <w:spacing w:line="240" w:lineRule="auto"/>
              <w:rPr>
                <w:rFonts w:ascii="Times New Roman" w:hAnsi="Times New Roman"/>
                <w:b/>
                <w:bCs/>
              </w:rPr>
            </w:pPr>
            <w:r>
              <w:rPr>
                <w:rFonts w:ascii="Times New Roman" w:hAnsi="Times New Roman"/>
                <w:b/>
              </w:rPr>
              <w:t>Behandlung von Derivaten</w:t>
            </w:r>
          </w:p>
          <w:p w:rsidR="00F4754B" w:rsidRPr="00FE002E" w:rsidRDefault="00F4754B" w:rsidP="002509B1">
            <w:pPr>
              <w:pStyle w:val="BodyText1"/>
              <w:spacing w:line="240" w:lineRule="auto"/>
              <w:rPr>
                <w:rFonts w:ascii="Times New Roman" w:hAnsi="Times New Roman"/>
                <w:bCs/>
              </w:rPr>
            </w:pPr>
          </w:p>
          <w:p w:rsidR="00F4754B" w:rsidRPr="00FE002E" w:rsidRDefault="00F4754B" w:rsidP="002509B1">
            <w:pPr>
              <w:pStyle w:val="BodyText1"/>
              <w:spacing w:line="240" w:lineRule="auto"/>
              <w:rPr>
                <w:rFonts w:ascii="Times New Roman" w:hAnsi="Times New Roman"/>
                <w:bCs/>
              </w:rPr>
            </w:pPr>
            <w:r>
              <w:rPr>
                <w:rFonts w:ascii="Times New Roman" w:hAnsi="Times New Roman"/>
              </w:rPr>
              <w:t>Hier hat das Institut anzugeben, nach welchen der unten angegebenen Kategorien aufsichtlicher Regeln es Derivate behandelt:</w:t>
            </w:r>
          </w:p>
          <w:p w:rsidR="00F4754B" w:rsidRPr="00FE002E" w:rsidRDefault="00500508"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Ursprungsrisikomethode</w:t>
            </w:r>
          </w:p>
          <w:p w:rsidR="00F4754B" w:rsidRDefault="00500508"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Marktbewertungsmethode</w:t>
            </w:r>
          </w:p>
          <w:p w:rsidR="00BE6AC4" w:rsidRPr="00FE002E" w:rsidRDefault="00BE6AC4" w:rsidP="00BE6AC4">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A1A9C">
            <w:pPr>
              <w:pStyle w:val="BodyText1"/>
              <w:rPr>
                <w:rFonts w:ascii="Times New Roman" w:hAnsi="Times New Roman"/>
                <w:bCs/>
              </w:rPr>
            </w:pPr>
            <w:r>
              <w:rPr>
                <w:rFonts w:ascii="Times New Roman" w:hAnsi="Times New Roman"/>
              </w:rPr>
              <w:t>{</w:t>
            </w:r>
            <w:r w:rsidRPr="00532F3A">
              <w:rPr>
                <w:rFonts w:ascii="Times New Roman" w:hAnsi="Times New Roman"/>
              </w:rPr>
              <w:t>040</w:t>
            </w:r>
            <w:r>
              <w:rPr>
                <w:rFonts w:ascii="Times New Roman" w:hAnsi="Times New Roman"/>
              </w:rPr>
              <w:t>;</w:t>
            </w:r>
            <w:r w:rsidRPr="00532F3A">
              <w:rPr>
                <w:rFonts w:ascii="Times New Roman" w:hAnsi="Times New Roman"/>
              </w:rPr>
              <w:t>010</w:t>
            </w:r>
            <w:r>
              <w:rPr>
                <w:rFonts w:ascii="Times New Roman" w:hAnsi="Times New Roman"/>
              </w:rPr>
              <w:t>}</w:t>
            </w:r>
          </w:p>
        </w:tc>
        <w:tc>
          <w:tcPr>
            <w:tcW w:w="7620" w:type="dxa"/>
          </w:tcPr>
          <w:p w:rsidR="00F4754B" w:rsidRPr="00FE002E" w:rsidRDefault="00F4754B" w:rsidP="002509B1">
            <w:pPr>
              <w:pStyle w:val="BodyText1"/>
              <w:spacing w:line="240" w:lineRule="auto"/>
              <w:rPr>
                <w:rFonts w:ascii="Times New Roman" w:hAnsi="Times New Roman"/>
                <w:b/>
                <w:bCs/>
              </w:rPr>
            </w:pPr>
            <w:r>
              <w:rPr>
                <w:rFonts w:ascii="Times New Roman" w:hAnsi="Times New Roman"/>
                <w:b/>
              </w:rPr>
              <w:t>Art des Instituts</w:t>
            </w:r>
          </w:p>
          <w:p w:rsidR="00F4754B" w:rsidRPr="00FE002E" w:rsidRDefault="00F4754B" w:rsidP="002509B1">
            <w:pPr>
              <w:pStyle w:val="BodyText1"/>
              <w:spacing w:line="240" w:lineRule="auto"/>
              <w:rPr>
                <w:rFonts w:ascii="Times New Roman" w:hAnsi="Times New Roman"/>
                <w:bCs/>
              </w:rPr>
            </w:pPr>
          </w:p>
          <w:p w:rsidR="00F4754B" w:rsidRPr="00FE002E" w:rsidRDefault="00F4754B" w:rsidP="002509B1">
            <w:pPr>
              <w:pStyle w:val="BodyText1"/>
              <w:spacing w:line="240" w:lineRule="auto"/>
              <w:rPr>
                <w:rFonts w:ascii="Times New Roman" w:hAnsi="Times New Roman"/>
                <w:bCs/>
              </w:rPr>
            </w:pPr>
            <w:r>
              <w:rPr>
                <w:rFonts w:ascii="Times New Roman" w:hAnsi="Times New Roman"/>
              </w:rPr>
              <w:t>Hier hat das Institut anzugeben, welcher der nachstehend genannten Kategorien es zuzuordnen ist:</w:t>
            </w:r>
          </w:p>
          <w:p w:rsidR="00F4754B" w:rsidRPr="00FE002E" w:rsidRDefault="00500508"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Universalbank (Retailgeschäft, Firmenkundengeschäft und Investmentbanking)</w:t>
            </w:r>
          </w:p>
          <w:p w:rsidR="00F4754B" w:rsidRPr="00FE002E" w:rsidRDefault="00500508"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Retailbank/Geschäftsbank</w:t>
            </w:r>
          </w:p>
          <w:p w:rsidR="00F4754B" w:rsidRPr="00FE002E" w:rsidRDefault="00500508"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Investmentbank</w:t>
            </w:r>
          </w:p>
          <w:p w:rsidR="00875832" w:rsidRDefault="00500508"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Spezialfinanzierungen</w:t>
            </w:r>
          </w:p>
          <w:p w:rsidR="00F4754B" w:rsidRDefault="00875832"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anderes Geschäftsmodell</w:t>
            </w:r>
          </w:p>
          <w:p w:rsidR="00BE6AC4" w:rsidRPr="00FE002E" w:rsidRDefault="00BE6AC4" w:rsidP="00BE6AC4">
            <w:pPr>
              <w:pStyle w:val="BodyText1"/>
              <w:spacing w:line="240" w:lineRule="auto"/>
              <w:rPr>
                <w:rFonts w:ascii="Times New Roman" w:hAnsi="Times New Roman"/>
                <w:bCs/>
              </w:rPr>
            </w:pPr>
          </w:p>
        </w:tc>
      </w:tr>
      <w:bookmarkEnd w:id="0"/>
    </w:tbl>
    <w:p w:rsidR="00565261" w:rsidRPr="00C743F2" w:rsidRDefault="00565261" w:rsidP="008717E3">
      <w:pPr>
        <w:pStyle w:val="BodyText1"/>
        <w:ind w:left="567"/>
        <w:rPr>
          <w:rFonts w:ascii="Times New Roman" w:hAnsi="Times New Roman"/>
        </w:rPr>
      </w:pPr>
    </w:p>
    <w:sectPr w:rsidR="00565261" w:rsidRPr="00C743F2" w:rsidSect="005315D3">
      <w:headerReference w:type="default" r:id="rId13"/>
      <w:footerReference w:type="default" r:id="rId14"/>
      <w:headerReference w:type="first" r:id="rId15"/>
      <w:footerReference w:type="first" r:id="rId16"/>
      <w:pgSz w:w="11906" w:h="16838" w:code="9"/>
      <w:pgMar w:top="1522" w:right="1418" w:bottom="1560" w:left="1418" w:header="851" w:footer="141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6A55" w:rsidRDefault="00546A55">
      <w:r>
        <w:separator/>
      </w:r>
    </w:p>
  </w:endnote>
  <w:endnote w:type="continuationSeparator" w:id="0">
    <w:p w:rsidR="00546A55" w:rsidRDefault="00546A55">
      <w:r>
        <w:continuationSeparator/>
      </w:r>
    </w:p>
  </w:endnote>
  <w:endnote w:type="continuationNotice" w:id="1">
    <w:p w:rsidR="00546A55" w:rsidRDefault="00546A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EUAlbertina">
    <w:altName w:val="EU Albertina"/>
    <w:panose1 w:val="00000000000000000000"/>
    <w:charset w:val="CC"/>
    <w:family w:val="auto"/>
    <w:notTrueType/>
    <w:pitch w:val="default"/>
    <w:sig w:usb0="00000001" w:usb1="00000000" w:usb2="00000000" w:usb3="00000000" w:csb0="00000005"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6A55" w:rsidRPr="00A772B4" w:rsidRDefault="00546A55">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Pr>
        <w:rFonts w:ascii="Times New Roman" w:hAnsi="Times New Roman"/>
        <w:noProof/>
      </w:rPr>
      <w:t>44</w:t>
    </w:r>
    <w:r w:rsidRPr="00A772B4">
      <w:rPr>
        <w:rFonts w:ascii="Times New Roman" w:hAnsi="Times New Roman"/>
      </w:rPr>
      <w:fldChar w:fldCharType="end"/>
    </w:r>
  </w:p>
  <w:p w:rsidR="00546A55" w:rsidRDefault="00546A5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8305317"/>
      <w:docPartObj>
        <w:docPartGallery w:val="Page Numbers (Bottom of Page)"/>
        <w:docPartUnique/>
      </w:docPartObj>
    </w:sdtPr>
    <w:sdtEndPr>
      <w:rPr>
        <w:noProof/>
      </w:rPr>
    </w:sdtEndPr>
    <w:sdtContent>
      <w:p w:rsidR="00546A55" w:rsidRDefault="00546A55">
        <w:pPr>
          <w:pStyle w:val="Footer"/>
          <w:jc w:val="center"/>
        </w:pPr>
        <w:r>
          <w:fldChar w:fldCharType="begin"/>
        </w:r>
        <w:r>
          <w:instrText xml:space="preserve"> PAGE   \* MERGEFORMAT </w:instrText>
        </w:r>
        <w:r>
          <w:fldChar w:fldCharType="separate"/>
        </w:r>
        <w:r w:rsidR="00554D48">
          <w:rPr>
            <w:noProof/>
          </w:rPr>
          <w:t>1</w:t>
        </w:r>
        <w:r>
          <w:rPr>
            <w:noProof/>
          </w:rPr>
          <w:fldChar w:fldCharType="end"/>
        </w:r>
      </w:p>
    </w:sdtContent>
  </w:sdt>
  <w:p w:rsidR="00546A55" w:rsidRDefault="00546A5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sz w:val="20"/>
      </w:rPr>
      <w:id w:val="17201704"/>
      <w:docPartObj>
        <w:docPartGallery w:val="Page Numbers (Bottom of Page)"/>
        <w:docPartUnique/>
      </w:docPartObj>
    </w:sdtPr>
    <w:sdtContent>
      <w:p w:rsidR="00546A55" w:rsidRPr="009A78F0" w:rsidRDefault="00546A55" w:rsidP="009A78F0">
        <w:pPr>
          <w:pStyle w:val="Footer"/>
          <w:spacing w:line="240" w:lineRule="auto"/>
          <w:jc w:val="center"/>
          <w:rPr>
            <w:rFonts w:ascii="Times New Roman" w:hAnsi="Times New Roman"/>
            <w:sz w:val="20"/>
          </w:rPr>
        </w:pPr>
        <w:r w:rsidRPr="009A78F0">
          <w:rPr>
            <w:rFonts w:ascii="Times New Roman" w:hAnsi="Times New Roman"/>
            <w:sz w:val="20"/>
          </w:rPr>
          <w:fldChar w:fldCharType="begin"/>
        </w:r>
        <w:r w:rsidRPr="009A78F0">
          <w:rPr>
            <w:rFonts w:ascii="Times New Roman" w:hAnsi="Times New Roman"/>
            <w:sz w:val="20"/>
          </w:rPr>
          <w:instrText xml:space="preserve"> PAGE   \* MERGEFORMAT </w:instrText>
        </w:r>
        <w:r w:rsidRPr="009A78F0">
          <w:rPr>
            <w:rFonts w:ascii="Times New Roman" w:hAnsi="Times New Roman"/>
            <w:sz w:val="20"/>
          </w:rPr>
          <w:fldChar w:fldCharType="separate"/>
        </w:r>
        <w:r w:rsidR="00554D48">
          <w:rPr>
            <w:rFonts w:ascii="Times New Roman" w:hAnsi="Times New Roman"/>
            <w:noProof/>
            <w:sz w:val="20"/>
          </w:rPr>
          <w:t>2</w:t>
        </w:r>
        <w:r w:rsidRPr="009A78F0">
          <w:rPr>
            <w:rFonts w:ascii="Times New Roman" w:hAnsi="Times New Roman"/>
            <w:noProof/>
            <w:sz w:val="20"/>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201700"/>
      <w:docPartObj>
        <w:docPartGallery w:val="Page Numbers (Bottom of Page)"/>
        <w:docPartUnique/>
      </w:docPartObj>
    </w:sdtPr>
    <w:sdtContent>
      <w:p w:rsidR="00546A55" w:rsidRDefault="00546A55">
        <w:pPr>
          <w:pStyle w:val="Footer"/>
          <w:jc w:val="right"/>
        </w:pPr>
        <w:r>
          <w:fldChar w:fldCharType="begin"/>
        </w:r>
        <w:r>
          <w:instrText xml:space="preserve"> PAGE   \* MERGEFORMAT </w:instrText>
        </w:r>
        <w:r>
          <w:fldChar w:fldCharType="separate"/>
        </w:r>
        <w:r>
          <w:rPr>
            <w:noProof/>
          </w:rPr>
          <w:t>44</w:t>
        </w:r>
        <w:r>
          <w:rPr>
            <w:noProof/>
          </w:rPr>
          <w:fldChar w:fldCharType="end"/>
        </w:r>
      </w:p>
    </w:sdtContent>
  </w:sdt>
  <w:p w:rsidR="00546A55" w:rsidRDefault="00546A5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6A55" w:rsidRPr="004D223F" w:rsidRDefault="00546A55" w:rsidP="00C7701D">
      <w:r>
        <w:continuationSeparator/>
      </w:r>
    </w:p>
  </w:footnote>
  <w:footnote w:type="continuationSeparator" w:id="0">
    <w:p w:rsidR="00546A55" w:rsidRDefault="00546A55">
      <w:r>
        <w:continuationSeparator/>
      </w:r>
    </w:p>
  </w:footnote>
  <w:footnote w:type="continuationNotice" w:id="1">
    <w:p w:rsidR="00546A55" w:rsidRDefault="00546A55"/>
  </w:footnote>
  <w:footnote w:id="2">
    <w:p w:rsidR="00546A55" w:rsidRPr="00546A55" w:rsidRDefault="00546A55" w:rsidP="00F4754B">
      <w:pPr>
        <w:pStyle w:val="FootnoteText"/>
        <w:rPr>
          <w:sz w:val="12"/>
          <w:szCs w:val="12"/>
        </w:rPr>
      </w:pPr>
      <w:r>
        <w:rPr>
          <w:rStyle w:val="FootnoteReference"/>
        </w:rPr>
        <w:footnoteRef/>
      </w:r>
      <w:r>
        <w:t xml:space="preserve"> </w:t>
      </w:r>
      <w:r>
        <w:rPr>
          <w:sz w:val="12"/>
        </w:rPr>
        <w:t>Hierzu gehören auch Verbriefungen und Beteiligungspositionen mit Kreditrisiko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6A55" w:rsidRDefault="00546A55">
    <w:pPr>
      <w:pStyle w:val="Header"/>
    </w:pPr>
    <w:r>
      <w:rPr>
        <w:noProof/>
        <w:lang w:val="en-GB" w:eastAsia="en-GB" w:bidi="ar-SA"/>
      </w:rPr>
      <mc:AlternateContent>
        <mc:Choice Requires="wps">
          <w:drawing>
            <wp:anchor distT="4294967294" distB="4294967294" distL="114300" distR="114300" simplePos="0" relativeHeight="251688448" behindDoc="0" locked="0" layoutInCell="1" allowOverlap="1" wp14:anchorId="0D41E113" wp14:editId="33644602">
              <wp:simplePos x="0" y="0"/>
              <wp:positionH relativeFrom="column">
                <wp:posOffset>-14605</wp:posOffset>
              </wp:positionH>
              <wp:positionV relativeFrom="paragraph">
                <wp:posOffset>2539</wp:posOffset>
              </wp:positionV>
              <wp:extent cx="5760085" cy="0"/>
              <wp:effectExtent l="0" t="0" r="12065" b="19050"/>
              <wp:wrapNone/>
              <wp:docPr id="4"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xmlns:o="urn:schemas-microsoft-com:office:office" xmlns:w14="http://schemas.microsoft.com/office/word/2010/wordml" xmlns:v="urn:schemas-microsoft-com:vml" w14:anchorId="4042D745" id="_x0000_t32" coordsize="21600,21600" o:spt="32" o:oned="t" path="m,l21600,21600e" filled="f">
              <v:path arrowok="t" fillok="f" o:connecttype="none"/>
              <o:lock v:ext="edit" shapetype="t"/>
            </v:shapetype>
            <v:shape xmlns:o="urn:schemas-microsoft-com:office:office" xmlns:v="urn:schemas-microsoft-com:vml" id="AutoShape 23" o:spid="_x0000_s1026" type="#_x0000_t32" style="position:absolute;margin-left:-1.15pt;margin-top:.2pt;width:453.55pt;height:0;flip:x;z-index:2516884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" strokecolor="#48748f [3204]"/>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6A55" w:rsidRDefault="00546A55">
    <w:pPr>
      <w:pStyle w:val="Header"/>
      <w:tabs>
        <w:tab w:val="clear" w:pos="8306"/>
        <w:tab w:val="right" w:pos="9072"/>
      </w:tabs>
      <w:jc w:val="right"/>
      <w:rPr>
        <w:noProof/>
      </w:rPr>
    </w:pPr>
    <w:r>
      <w:rPr>
        <w:noProof/>
        <w:lang w:val="en-GB" w:eastAsia="en-GB" w:bidi="ar-SA"/>
      </w:rPr>
      <mc:AlternateContent>
        <mc:Choice Requires="wps">
          <w:drawing>
            <wp:anchor distT="4294967294" distB="4294967294" distL="114300" distR="114300" simplePos="0" relativeHeight="251695616" behindDoc="1" locked="1" layoutInCell="0" allowOverlap="1" wp14:anchorId="28DE85BB" wp14:editId="7BBD29F3">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xmlns:o="urn:schemas-microsoft-com:office:office" xmlns:w14="http://schemas.microsoft.com/office/word/2010/wordml" xmlns:v="urn:schemas-microsoft-com:vml" w14:anchorId="28BB0DC1" id="_x0000_t32" coordsize="21600,21600" o:spt="32" o:oned="t" path="m,l21600,21600e" filled="f">
              <v:path arrowok="t" fillok="f" o:connecttype="none"/>
              <o:lock v:ext="edit" shapetype="t"/>
            </v:shapetype>
            <v:shape xmlns:o="urn:schemas-microsoft-com:office:office" xmlns:v="urn:schemas-microsoft-com:vml"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xmlns:w10="urn:schemas-microsoft-com:office:word" anchorx="page" anchory="page"/>
              <w10:anchorlock xmlns:w10="urn:schemas-microsoft-com:office:word"/>
            </v:shape>
          </w:pict>
        </mc:Fallback>
      </mc:AlternateContent>
    </w:r>
  </w:p>
  <w:p w:rsidR="00546A55" w:rsidRDefault="00546A55">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3">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8">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9">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nsid w:val="33057CB8"/>
    <w:multiLevelType w:val="hybridMultilevel"/>
    <w:tmpl w:val="2698E4A4"/>
    <w:lvl w:ilvl="0" w:tplc="8FD0AD34">
      <w:start w:val="1"/>
      <w:numFmt w:val="decimal"/>
      <w:pStyle w:val="InstructionsText2"/>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13">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4">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6">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8">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2">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6">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7">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2">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5">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6">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7">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0"/>
  </w:num>
  <w:num w:numId="2">
    <w:abstractNumId w:val="8"/>
  </w:num>
  <w:num w:numId="3">
    <w:abstractNumId w:val="15"/>
  </w:num>
  <w:num w:numId="4">
    <w:abstractNumId w:val="7"/>
  </w:num>
  <w:num w:numId="5">
    <w:abstractNumId w:val="2"/>
  </w:num>
  <w:num w:numId="6">
    <w:abstractNumId w:val="36"/>
  </w:num>
  <w:num w:numId="7">
    <w:abstractNumId w:val="1"/>
  </w:num>
  <w:num w:numId="8">
    <w:abstractNumId w:val="24"/>
  </w:num>
  <w:num w:numId="9">
    <w:abstractNumId w:val="35"/>
  </w:num>
  <w:num w:numId="10">
    <w:abstractNumId w:val="16"/>
  </w:num>
  <w:num w:numId="11">
    <w:abstractNumId w:val="30"/>
  </w:num>
  <w:num w:numId="12">
    <w:abstractNumId w:val="14"/>
  </w:num>
  <w:num w:numId="13">
    <w:abstractNumId w:val="34"/>
  </w:num>
  <w:num w:numId="14">
    <w:abstractNumId w:val="6"/>
  </w:num>
  <w:num w:numId="15">
    <w:abstractNumId w:val="25"/>
  </w:num>
  <w:num w:numId="16">
    <w:abstractNumId w:val="13"/>
  </w:num>
  <w:num w:numId="17">
    <w:abstractNumId w:val="21"/>
  </w:num>
  <w:num w:numId="18">
    <w:abstractNumId w:val="11"/>
  </w:num>
  <w:num w:numId="19">
    <w:abstractNumId w:val="28"/>
  </w:num>
  <w:num w:numId="20">
    <w:abstractNumId w:val="23"/>
  </w:num>
  <w:num w:numId="21">
    <w:abstractNumId w:val="12"/>
  </w:num>
  <w:num w:numId="22">
    <w:abstractNumId w:val="20"/>
  </w:num>
  <w:num w:numId="23">
    <w:abstractNumId w:val="31"/>
  </w:num>
  <w:num w:numId="24">
    <w:abstractNumId w:val="4"/>
  </w:num>
  <w:num w:numId="25">
    <w:abstractNumId w:val="26"/>
  </w:num>
  <w:num w:numId="26">
    <w:abstractNumId w:val="37"/>
  </w:num>
  <w:num w:numId="27">
    <w:abstractNumId w:val="29"/>
  </w:num>
  <w:num w:numId="28">
    <w:abstractNumId w:val="18"/>
  </w:num>
  <w:num w:numId="29">
    <w:abstractNumId w:val="27"/>
  </w:num>
  <w:num w:numId="30">
    <w:abstractNumId w:val="38"/>
  </w:num>
  <w:num w:numId="31">
    <w:abstractNumId w:val="10"/>
  </w:num>
  <w:num w:numId="32">
    <w:abstractNumId w:val="19"/>
  </w:num>
  <w:num w:numId="33">
    <w:abstractNumId w:val="12"/>
  </w:num>
  <w:num w:numId="34">
    <w:abstractNumId w:val="12"/>
  </w:num>
  <w:num w:numId="35">
    <w:abstractNumId w:val="12"/>
  </w:num>
  <w:num w:numId="36">
    <w:abstractNumId w:val="33"/>
  </w:num>
  <w:num w:numId="37">
    <w:abstractNumId w:val="12"/>
  </w:num>
  <w:num w:numId="38">
    <w:abstractNumId w:val="32"/>
  </w:num>
  <w:num w:numId="39">
    <w:abstractNumId w:val="17"/>
  </w:num>
  <w:num w:numId="40">
    <w:abstractNumId w:val="9"/>
  </w:num>
  <w:num w:numId="41">
    <w:abstractNumId w:val="12"/>
  </w:num>
  <w:num w:numId="42">
    <w:abstractNumId w:val="12"/>
  </w:num>
  <w:num w:numId="43">
    <w:abstractNumId w:val="3"/>
  </w:num>
  <w:num w:numId="44">
    <w:abstractNumId w:val="22"/>
  </w:num>
  <w:num w:numId="45">
    <w:abstractNumId w:val="5"/>
  </w:num>
  <w:num w:numId="46">
    <w:abstractNumId w:val="12"/>
  </w:num>
  <w:numIdMacAtCleanup w:val="3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RIKSAS Gintaras (FISMA)">
    <w15:presenceInfo w15:providerId="None" w15:userId="GRIKSAS Gintaras (FISM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hyphenationZone w:val="425"/>
  <w:drawingGridHorizontalSpacing w:val="90"/>
  <w:drawingGridVerticalSpacing w:val="181"/>
  <w:displayHorizontalDrawingGridEvery w:val="2"/>
  <w:noPunctuationKerning/>
  <w:characterSpacingControl w:val="doNotCompress"/>
  <w:hdrShapeDefaults>
    <o:shapedefaults v:ext="edit" spidmax="73729" fill="f" fillcolor="white" stroke="f">
      <v:fill color="white" on="f"/>
      <v:stroke on="f"/>
      <v:textbox inset="0,0,0,0"/>
    </o:shapedefaults>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4754B"/>
    <w:rsid w:val="000008C5"/>
    <w:rsid w:val="00000F21"/>
    <w:rsid w:val="00001954"/>
    <w:rsid w:val="00002206"/>
    <w:rsid w:val="00002D30"/>
    <w:rsid w:val="00003BBA"/>
    <w:rsid w:val="0000611B"/>
    <w:rsid w:val="00006CEB"/>
    <w:rsid w:val="0001009B"/>
    <w:rsid w:val="00011618"/>
    <w:rsid w:val="0001167D"/>
    <w:rsid w:val="000163CB"/>
    <w:rsid w:val="00016AFB"/>
    <w:rsid w:val="00017C5E"/>
    <w:rsid w:val="00022D49"/>
    <w:rsid w:val="000236FF"/>
    <w:rsid w:val="00030988"/>
    <w:rsid w:val="00030A95"/>
    <w:rsid w:val="00031FAA"/>
    <w:rsid w:val="00032DC0"/>
    <w:rsid w:val="0003735D"/>
    <w:rsid w:val="00037947"/>
    <w:rsid w:val="0004746E"/>
    <w:rsid w:val="00047A5F"/>
    <w:rsid w:val="000515A8"/>
    <w:rsid w:val="00053DFD"/>
    <w:rsid w:val="00060AEF"/>
    <w:rsid w:val="00060D86"/>
    <w:rsid w:val="00061696"/>
    <w:rsid w:val="00061FBE"/>
    <w:rsid w:val="0006345F"/>
    <w:rsid w:val="00064698"/>
    <w:rsid w:val="0007729E"/>
    <w:rsid w:val="00080B5B"/>
    <w:rsid w:val="00086A8A"/>
    <w:rsid w:val="00087C56"/>
    <w:rsid w:val="00090312"/>
    <w:rsid w:val="00092348"/>
    <w:rsid w:val="000A14BE"/>
    <w:rsid w:val="000A1DC4"/>
    <w:rsid w:val="000A2489"/>
    <w:rsid w:val="000A32B5"/>
    <w:rsid w:val="000A4658"/>
    <w:rsid w:val="000A6437"/>
    <w:rsid w:val="000A6584"/>
    <w:rsid w:val="000A715B"/>
    <w:rsid w:val="000A7286"/>
    <w:rsid w:val="000A78A1"/>
    <w:rsid w:val="000A7B45"/>
    <w:rsid w:val="000B108D"/>
    <w:rsid w:val="000B2DD8"/>
    <w:rsid w:val="000B5761"/>
    <w:rsid w:val="000B74A7"/>
    <w:rsid w:val="000C04BB"/>
    <w:rsid w:val="000C216B"/>
    <w:rsid w:val="000C3F11"/>
    <w:rsid w:val="000C6AAC"/>
    <w:rsid w:val="000D1636"/>
    <w:rsid w:val="000D1827"/>
    <w:rsid w:val="000D3973"/>
    <w:rsid w:val="000D5823"/>
    <w:rsid w:val="000D6138"/>
    <w:rsid w:val="000D64CA"/>
    <w:rsid w:val="000D6823"/>
    <w:rsid w:val="000E083F"/>
    <w:rsid w:val="000E2D94"/>
    <w:rsid w:val="000E4A3F"/>
    <w:rsid w:val="000E4B8D"/>
    <w:rsid w:val="000E5AAE"/>
    <w:rsid w:val="000E62A7"/>
    <w:rsid w:val="000E6617"/>
    <w:rsid w:val="000E715A"/>
    <w:rsid w:val="000F26EF"/>
    <w:rsid w:val="000F4B74"/>
    <w:rsid w:val="000F5F49"/>
    <w:rsid w:val="000F74E8"/>
    <w:rsid w:val="000F7613"/>
    <w:rsid w:val="001005A7"/>
    <w:rsid w:val="00110BC7"/>
    <w:rsid w:val="001133CE"/>
    <w:rsid w:val="00114345"/>
    <w:rsid w:val="0011649C"/>
    <w:rsid w:val="00124715"/>
    <w:rsid w:val="00125BAF"/>
    <w:rsid w:val="00125CA1"/>
    <w:rsid w:val="00127AC7"/>
    <w:rsid w:val="001305CF"/>
    <w:rsid w:val="00130EEF"/>
    <w:rsid w:val="00131057"/>
    <w:rsid w:val="00132069"/>
    <w:rsid w:val="00132855"/>
    <w:rsid w:val="00132A0E"/>
    <w:rsid w:val="00141FF2"/>
    <w:rsid w:val="00142ED4"/>
    <w:rsid w:val="00143338"/>
    <w:rsid w:val="00146CA4"/>
    <w:rsid w:val="00151462"/>
    <w:rsid w:val="00151D33"/>
    <w:rsid w:val="00154FCE"/>
    <w:rsid w:val="001572C1"/>
    <w:rsid w:val="00162ABC"/>
    <w:rsid w:val="00164A3E"/>
    <w:rsid w:val="00166C41"/>
    <w:rsid w:val="00167041"/>
    <w:rsid w:val="00171C3F"/>
    <w:rsid w:val="00171C76"/>
    <w:rsid w:val="001721BF"/>
    <w:rsid w:val="00173FAA"/>
    <w:rsid w:val="0017558C"/>
    <w:rsid w:val="00175A51"/>
    <w:rsid w:val="00180521"/>
    <w:rsid w:val="001807E9"/>
    <w:rsid w:val="00180FB9"/>
    <w:rsid w:val="00181A8D"/>
    <w:rsid w:val="001849BA"/>
    <w:rsid w:val="00184D76"/>
    <w:rsid w:val="00186774"/>
    <w:rsid w:val="00187E4B"/>
    <w:rsid w:val="00193A99"/>
    <w:rsid w:val="00197F19"/>
    <w:rsid w:val="001A2ABA"/>
    <w:rsid w:val="001A46E4"/>
    <w:rsid w:val="001B1458"/>
    <w:rsid w:val="001B2410"/>
    <w:rsid w:val="001B2D84"/>
    <w:rsid w:val="001B34D0"/>
    <w:rsid w:val="001B3BF0"/>
    <w:rsid w:val="001C123F"/>
    <w:rsid w:val="001C2254"/>
    <w:rsid w:val="001C27BF"/>
    <w:rsid w:val="001C50A4"/>
    <w:rsid w:val="001C597D"/>
    <w:rsid w:val="001D1678"/>
    <w:rsid w:val="001D386D"/>
    <w:rsid w:val="001D4A4A"/>
    <w:rsid w:val="001D4EC2"/>
    <w:rsid w:val="001D5CFB"/>
    <w:rsid w:val="001D629F"/>
    <w:rsid w:val="001D6F2F"/>
    <w:rsid w:val="001E4BA5"/>
    <w:rsid w:val="001E58D0"/>
    <w:rsid w:val="001E5F9C"/>
    <w:rsid w:val="001F0676"/>
    <w:rsid w:val="001F0ECD"/>
    <w:rsid w:val="001F28C3"/>
    <w:rsid w:val="001F28E7"/>
    <w:rsid w:val="001F3810"/>
    <w:rsid w:val="001F4281"/>
    <w:rsid w:val="001F7C68"/>
    <w:rsid w:val="001F7D7C"/>
    <w:rsid w:val="002143BB"/>
    <w:rsid w:val="00214915"/>
    <w:rsid w:val="002149E4"/>
    <w:rsid w:val="00214D62"/>
    <w:rsid w:val="002161E2"/>
    <w:rsid w:val="00217B44"/>
    <w:rsid w:val="00217D1F"/>
    <w:rsid w:val="0022597B"/>
    <w:rsid w:val="002262E5"/>
    <w:rsid w:val="002323A0"/>
    <w:rsid w:val="00233A74"/>
    <w:rsid w:val="00235FBA"/>
    <w:rsid w:val="0023791C"/>
    <w:rsid w:val="00237DD1"/>
    <w:rsid w:val="0024092A"/>
    <w:rsid w:val="0024434F"/>
    <w:rsid w:val="0024511B"/>
    <w:rsid w:val="00245CB1"/>
    <w:rsid w:val="002509B1"/>
    <w:rsid w:val="00252F75"/>
    <w:rsid w:val="00253D80"/>
    <w:rsid w:val="00254983"/>
    <w:rsid w:val="00255202"/>
    <w:rsid w:val="002573FC"/>
    <w:rsid w:val="00260D4F"/>
    <w:rsid w:val="00270DBA"/>
    <w:rsid w:val="0027305C"/>
    <w:rsid w:val="0027308B"/>
    <w:rsid w:val="002736E3"/>
    <w:rsid w:val="00275435"/>
    <w:rsid w:val="0027548E"/>
    <w:rsid w:val="00286279"/>
    <w:rsid w:val="00291B93"/>
    <w:rsid w:val="00292FC3"/>
    <w:rsid w:val="0029415C"/>
    <w:rsid w:val="00294990"/>
    <w:rsid w:val="002A07A2"/>
    <w:rsid w:val="002B0879"/>
    <w:rsid w:val="002B34A4"/>
    <w:rsid w:val="002B3FF4"/>
    <w:rsid w:val="002C1F24"/>
    <w:rsid w:val="002C4B54"/>
    <w:rsid w:val="002C5729"/>
    <w:rsid w:val="002C5782"/>
    <w:rsid w:val="002C6479"/>
    <w:rsid w:val="002D2944"/>
    <w:rsid w:val="002E1083"/>
    <w:rsid w:val="002E3728"/>
    <w:rsid w:val="002E3FD6"/>
    <w:rsid w:val="002E6BDF"/>
    <w:rsid w:val="002E6BEF"/>
    <w:rsid w:val="002F2179"/>
    <w:rsid w:val="00300E22"/>
    <w:rsid w:val="0030136E"/>
    <w:rsid w:val="003027FE"/>
    <w:rsid w:val="00302FB6"/>
    <w:rsid w:val="003032DF"/>
    <w:rsid w:val="0030524E"/>
    <w:rsid w:val="003113EE"/>
    <w:rsid w:val="00315160"/>
    <w:rsid w:val="00316050"/>
    <w:rsid w:val="003167BD"/>
    <w:rsid w:val="00316905"/>
    <w:rsid w:val="00317861"/>
    <w:rsid w:val="00321B6C"/>
    <w:rsid w:val="003231FC"/>
    <w:rsid w:val="00324840"/>
    <w:rsid w:val="003260D7"/>
    <w:rsid w:val="003264FC"/>
    <w:rsid w:val="003335A9"/>
    <w:rsid w:val="0033504B"/>
    <w:rsid w:val="003353A9"/>
    <w:rsid w:val="003355CE"/>
    <w:rsid w:val="003358B6"/>
    <w:rsid w:val="003371AF"/>
    <w:rsid w:val="003411F8"/>
    <w:rsid w:val="003418AD"/>
    <w:rsid w:val="0034348F"/>
    <w:rsid w:val="00345499"/>
    <w:rsid w:val="003475AF"/>
    <w:rsid w:val="00352D4B"/>
    <w:rsid w:val="0036007F"/>
    <w:rsid w:val="00360553"/>
    <w:rsid w:val="00361101"/>
    <w:rsid w:val="00373CFA"/>
    <w:rsid w:val="0037735D"/>
    <w:rsid w:val="00384D30"/>
    <w:rsid w:val="00385061"/>
    <w:rsid w:val="00386CDA"/>
    <w:rsid w:val="00387DC5"/>
    <w:rsid w:val="00390B7F"/>
    <w:rsid w:val="00391EF9"/>
    <w:rsid w:val="00392036"/>
    <w:rsid w:val="00393D7A"/>
    <w:rsid w:val="00394D11"/>
    <w:rsid w:val="00395FEB"/>
    <w:rsid w:val="003A3804"/>
    <w:rsid w:val="003A5995"/>
    <w:rsid w:val="003A5B2A"/>
    <w:rsid w:val="003A6DAC"/>
    <w:rsid w:val="003B0909"/>
    <w:rsid w:val="003B09C0"/>
    <w:rsid w:val="003B1279"/>
    <w:rsid w:val="003B2DDA"/>
    <w:rsid w:val="003B3015"/>
    <w:rsid w:val="003B4192"/>
    <w:rsid w:val="003B472A"/>
    <w:rsid w:val="003B555D"/>
    <w:rsid w:val="003B5CD9"/>
    <w:rsid w:val="003C4CC8"/>
    <w:rsid w:val="003C6064"/>
    <w:rsid w:val="003C66FA"/>
    <w:rsid w:val="003C6829"/>
    <w:rsid w:val="003C7E9B"/>
    <w:rsid w:val="003D0536"/>
    <w:rsid w:val="003D118F"/>
    <w:rsid w:val="003E12AE"/>
    <w:rsid w:val="003E1D33"/>
    <w:rsid w:val="003E23B1"/>
    <w:rsid w:val="003E4F6D"/>
    <w:rsid w:val="003F1BF6"/>
    <w:rsid w:val="003F37CB"/>
    <w:rsid w:val="003F598C"/>
    <w:rsid w:val="003F6C06"/>
    <w:rsid w:val="00401A21"/>
    <w:rsid w:val="00404AA3"/>
    <w:rsid w:val="004052F0"/>
    <w:rsid w:val="00406605"/>
    <w:rsid w:val="00407A0F"/>
    <w:rsid w:val="00410E47"/>
    <w:rsid w:val="00413A7F"/>
    <w:rsid w:val="00414EB6"/>
    <w:rsid w:val="004178C8"/>
    <w:rsid w:val="00422C76"/>
    <w:rsid w:val="0042419F"/>
    <w:rsid w:val="00424A0A"/>
    <w:rsid w:val="00424BB8"/>
    <w:rsid w:val="00430CAC"/>
    <w:rsid w:val="00433529"/>
    <w:rsid w:val="00433E1A"/>
    <w:rsid w:val="00434439"/>
    <w:rsid w:val="00436233"/>
    <w:rsid w:val="004379F7"/>
    <w:rsid w:val="0044777F"/>
    <w:rsid w:val="0045378E"/>
    <w:rsid w:val="00453BD6"/>
    <w:rsid w:val="004573B6"/>
    <w:rsid w:val="00460502"/>
    <w:rsid w:val="004612B9"/>
    <w:rsid w:val="004618EC"/>
    <w:rsid w:val="00462168"/>
    <w:rsid w:val="0046231D"/>
    <w:rsid w:val="00463240"/>
    <w:rsid w:val="00465521"/>
    <w:rsid w:val="00467C7D"/>
    <w:rsid w:val="00467F98"/>
    <w:rsid w:val="00470082"/>
    <w:rsid w:val="00470C9E"/>
    <w:rsid w:val="00471639"/>
    <w:rsid w:val="00472209"/>
    <w:rsid w:val="00472EC7"/>
    <w:rsid w:val="00473173"/>
    <w:rsid w:val="00481854"/>
    <w:rsid w:val="00482670"/>
    <w:rsid w:val="004835BD"/>
    <w:rsid w:val="00484555"/>
    <w:rsid w:val="0048526F"/>
    <w:rsid w:val="00492435"/>
    <w:rsid w:val="004968DF"/>
    <w:rsid w:val="004A15F0"/>
    <w:rsid w:val="004A1A27"/>
    <w:rsid w:val="004A296A"/>
    <w:rsid w:val="004A3009"/>
    <w:rsid w:val="004A347E"/>
    <w:rsid w:val="004A4633"/>
    <w:rsid w:val="004A4C19"/>
    <w:rsid w:val="004A5220"/>
    <w:rsid w:val="004A61B4"/>
    <w:rsid w:val="004B331D"/>
    <w:rsid w:val="004B44F1"/>
    <w:rsid w:val="004B5877"/>
    <w:rsid w:val="004B653A"/>
    <w:rsid w:val="004C2CFB"/>
    <w:rsid w:val="004C3560"/>
    <w:rsid w:val="004C587B"/>
    <w:rsid w:val="004C6361"/>
    <w:rsid w:val="004D12DC"/>
    <w:rsid w:val="004D14B5"/>
    <w:rsid w:val="004D223F"/>
    <w:rsid w:val="004D2325"/>
    <w:rsid w:val="004D36F1"/>
    <w:rsid w:val="004D7C73"/>
    <w:rsid w:val="004E100C"/>
    <w:rsid w:val="004E437E"/>
    <w:rsid w:val="004F0C5D"/>
    <w:rsid w:val="004F39F5"/>
    <w:rsid w:val="004F4B70"/>
    <w:rsid w:val="00500508"/>
    <w:rsid w:val="00505096"/>
    <w:rsid w:val="00505AEE"/>
    <w:rsid w:val="00505D21"/>
    <w:rsid w:val="0050602F"/>
    <w:rsid w:val="00510FE5"/>
    <w:rsid w:val="00512342"/>
    <w:rsid w:val="00512B5A"/>
    <w:rsid w:val="00513244"/>
    <w:rsid w:val="00514EAE"/>
    <w:rsid w:val="005170CA"/>
    <w:rsid w:val="00520804"/>
    <w:rsid w:val="005254CB"/>
    <w:rsid w:val="0053018F"/>
    <w:rsid w:val="00530472"/>
    <w:rsid w:val="00530B7F"/>
    <w:rsid w:val="005315D3"/>
    <w:rsid w:val="00531A77"/>
    <w:rsid w:val="00532F3A"/>
    <w:rsid w:val="0053335C"/>
    <w:rsid w:val="005334AA"/>
    <w:rsid w:val="00534FED"/>
    <w:rsid w:val="00540765"/>
    <w:rsid w:val="00542741"/>
    <w:rsid w:val="005441C9"/>
    <w:rsid w:val="00544664"/>
    <w:rsid w:val="00546A55"/>
    <w:rsid w:val="00553B13"/>
    <w:rsid w:val="0055482B"/>
    <w:rsid w:val="00554D48"/>
    <w:rsid w:val="005550ED"/>
    <w:rsid w:val="005556DC"/>
    <w:rsid w:val="00556C46"/>
    <w:rsid w:val="00557776"/>
    <w:rsid w:val="005637C9"/>
    <w:rsid w:val="00564147"/>
    <w:rsid w:val="00564469"/>
    <w:rsid w:val="00565261"/>
    <w:rsid w:val="005706FB"/>
    <w:rsid w:val="00572698"/>
    <w:rsid w:val="0057423E"/>
    <w:rsid w:val="00574827"/>
    <w:rsid w:val="0057624C"/>
    <w:rsid w:val="0057643F"/>
    <w:rsid w:val="00576B1D"/>
    <w:rsid w:val="00580256"/>
    <w:rsid w:val="00583DD0"/>
    <w:rsid w:val="00590FFA"/>
    <w:rsid w:val="00592197"/>
    <w:rsid w:val="0059457E"/>
    <w:rsid w:val="00595A81"/>
    <w:rsid w:val="005A0FE7"/>
    <w:rsid w:val="005A1569"/>
    <w:rsid w:val="005A23B9"/>
    <w:rsid w:val="005A28BE"/>
    <w:rsid w:val="005A5B50"/>
    <w:rsid w:val="005B1C10"/>
    <w:rsid w:val="005C09F7"/>
    <w:rsid w:val="005C1136"/>
    <w:rsid w:val="005C3639"/>
    <w:rsid w:val="005C5A30"/>
    <w:rsid w:val="005C5E78"/>
    <w:rsid w:val="005C6F27"/>
    <w:rsid w:val="005D0068"/>
    <w:rsid w:val="005D5E9E"/>
    <w:rsid w:val="005D7EDA"/>
    <w:rsid w:val="005E11D1"/>
    <w:rsid w:val="005E1C85"/>
    <w:rsid w:val="005E2F5D"/>
    <w:rsid w:val="005E5BB9"/>
    <w:rsid w:val="005E73EB"/>
    <w:rsid w:val="005F2987"/>
    <w:rsid w:val="005F3AC8"/>
    <w:rsid w:val="005F557E"/>
    <w:rsid w:val="005F704F"/>
    <w:rsid w:val="006033AB"/>
    <w:rsid w:val="00603F44"/>
    <w:rsid w:val="00603F66"/>
    <w:rsid w:val="00605108"/>
    <w:rsid w:val="0060766D"/>
    <w:rsid w:val="00607A1B"/>
    <w:rsid w:val="0061104D"/>
    <w:rsid w:val="0061109E"/>
    <w:rsid w:val="006162F0"/>
    <w:rsid w:val="006171B4"/>
    <w:rsid w:val="0062069D"/>
    <w:rsid w:val="00621B0F"/>
    <w:rsid w:val="00625DC4"/>
    <w:rsid w:val="0062777A"/>
    <w:rsid w:val="00627E07"/>
    <w:rsid w:val="00633D3F"/>
    <w:rsid w:val="00634086"/>
    <w:rsid w:val="00634337"/>
    <w:rsid w:val="00637945"/>
    <w:rsid w:val="0064027F"/>
    <w:rsid w:val="00642285"/>
    <w:rsid w:val="006423CC"/>
    <w:rsid w:val="006470A6"/>
    <w:rsid w:val="00650723"/>
    <w:rsid w:val="00652361"/>
    <w:rsid w:val="006537BB"/>
    <w:rsid w:val="00655C0D"/>
    <w:rsid w:val="00657F8D"/>
    <w:rsid w:val="006604D8"/>
    <w:rsid w:val="00661667"/>
    <w:rsid w:val="006622A7"/>
    <w:rsid w:val="00664684"/>
    <w:rsid w:val="006646F1"/>
    <w:rsid w:val="00665BBB"/>
    <w:rsid w:val="0067137A"/>
    <w:rsid w:val="00673A97"/>
    <w:rsid w:val="00675587"/>
    <w:rsid w:val="00675B54"/>
    <w:rsid w:val="00676811"/>
    <w:rsid w:val="00677250"/>
    <w:rsid w:val="0068073E"/>
    <w:rsid w:val="00684A92"/>
    <w:rsid w:val="00687851"/>
    <w:rsid w:val="006914A2"/>
    <w:rsid w:val="00691A5C"/>
    <w:rsid w:val="00691DAA"/>
    <w:rsid w:val="0069203D"/>
    <w:rsid w:val="006944D1"/>
    <w:rsid w:val="00697252"/>
    <w:rsid w:val="006A0010"/>
    <w:rsid w:val="006A0DFB"/>
    <w:rsid w:val="006A2D2A"/>
    <w:rsid w:val="006A32F5"/>
    <w:rsid w:val="006A5A49"/>
    <w:rsid w:val="006A70F4"/>
    <w:rsid w:val="006A79D4"/>
    <w:rsid w:val="006B0C51"/>
    <w:rsid w:val="006B3B83"/>
    <w:rsid w:val="006B3F16"/>
    <w:rsid w:val="006B5730"/>
    <w:rsid w:val="006B5E42"/>
    <w:rsid w:val="006B5EBA"/>
    <w:rsid w:val="006C030C"/>
    <w:rsid w:val="006C0659"/>
    <w:rsid w:val="006C07C1"/>
    <w:rsid w:val="006C0C0A"/>
    <w:rsid w:val="006C1A7F"/>
    <w:rsid w:val="006C69BD"/>
    <w:rsid w:val="006D1BFE"/>
    <w:rsid w:val="006D1C09"/>
    <w:rsid w:val="006D3F98"/>
    <w:rsid w:val="006D7886"/>
    <w:rsid w:val="006D7B47"/>
    <w:rsid w:val="006E1E69"/>
    <w:rsid w:val="006E259E"/>
    <w:rsid w:val="006E2997"/>
    <w:rsid w:val="006E657C"/>
    <w:rsid w:val="006E7944"/>
    <w:rsid w:val="006F0266"/>
    <w:rsid w:val="006F112E"/>
    <w:rsid w:val="006F3775"/>
    <w:rsid w:val="006F4457"/>
    <w:rsid w:val="006F4788"/>
    <w:rsid w:val="006F63EA"/>
    <w:rsid w:val="006F6CC7"/>
    <w:rsid w:val="006F6EA7"/>
    <w:rsid w:val="006F7AAD"/>
    <w:rsid w:val="00700DA6"/>
    <w:rsid w:val="007022DC"/>
    <w:rsid w:val="0070279B"/>
    <w:rsid w:val="00703D5A"/>
    <w:rsid w:val="00706750"/>
    <w:rsid w:val="007100CC"/>
    <w:rsid w:val="007129B2"/>
    <w:rsid w:val="00713ABC"/>
    <w:rsid w:val="00714306"/>
    <w:rsid w:val="007157C8"/>
    <w:rsid w:val="007161DB"/>
    <w:rsid w:val="00716F26"/>
    <w:rsid w:val="00720503"/>
    <w:rsid w:val="00720943"/>
    <w:rsid w:val="00723994"/>
    <w:rsid w:val="00731216"/>
    <w:rsid w:val="00731C96"/>
    <w:rsid w:val="00732A34"/>
    <w:rsid w:val="00732A8A"/>
    <w:rsid w:val="00732FC0"/>
    <w:rsid w:val="007348B9"/>
    <w:rsid w:val="00735D76"/>
    <w:rsid w:val="0074473F"/>
    <w:rsid w:val="007449D7"/>
    <w:rsid w:val="00746D86"/>
    <w:rsid w:val="00750C66"/>
    <w:rsid w:val="00751DEF"/>
    <w:rsid w:val="00754D85"/>
    <w:rsid w:val="007611CF"/>
    <w:rsid w:val="007625FE"/>
    <w:rsid w:val="00765E8F"/>
    <w:rsid w:val="0077078C"/>
    <w:rsid w:val="0077269C"/>
    <w:rsid w:val="00772B95"/>
    <w:rsid w:val="007737A3"/>
    <w:rsid w:val="00773BB8"/>
    <w:rsid w:val="007748A3"/>
    <w:rsid w:val="007749D9"/>
    <w:rsid w:val="0077517E"/>
    <w:rsid w:val="0077565E"/>
    <w:rsid w:val="007772F8"/>
    <w:rsid w:val="0077762D"/>
    <w:rsid w:val="00777EDA"/>
    <w:rsid w:val="0078115E"/>
    <w:rsid w:val="0078134B"/>
    <w:rsid w:val="00781E1E"/>
    <w:rsid w:val="00783CC3"/>
    <w:rsid w:val="00791FF9"/>
    <w:rsid w:val="007934F7"/>
    <w:rsid w:val="00793EE3"/>
    <w:rsid w:val="00794935"/>
    <w:rsid w:val="007A001B"/>
    <w:rsid w:val="007A0B0D"/>
    <w:rsid w:val="007A0E3A"/>
    <w:rsid w:val="007A1271"/>
    <w:rsid w:val="007A4D96"/>
    <w:rsid w:val="007B0654"/>
    <w:rsid w:val="007B37F0"/>
    <w:rsid w:val="007B65AA"/>
    <w:rsid w:val="007B7393"/>
    <w:rsid w:val="007C0838"/>
    <w:rsid w:val="007C09C7"/>
    <w:rsid w:val="007C178B"/>
    <w:rsid w:val="007C27EF"/>
    <w:rsid w:val="007C2D57"/>
    <w:rsid w:val="007C3DF7"/>
    <w:rsid w:val="007C68B3"/>
    <w:rsid w:val="007D227C"/>
    <w:rsid w:val="007D264E"/>
    <w:rsid w:val="007D2D5E"/>
    <w:rsid w:val="007D4B43"/>
    <w:rsid w:val="007D6824"/>
    <w:rsid w:val="007E15B2"/>
    <w:rsid w:val="007E1F46"/>
    <w:rsid w:val="007E2A41"/>
    <w:rsid w:val="007E3631"/>
    <w:rsid w:val="007E52B2"/>
    <w:rsid w:val="007E64C7"/>
    <w:rsid w:val="007E65E8"/>
    <w:rsid w:val="007F3CC5"/>
    <w:rsid w:val="007F4863"/>
    <w:rsid w:val="007F4D50"/>
    <w:rsid w:val="007F58C1"/>
    <w:rsid w:val="007F5C5C"/>
    <w:rsid w:val="007F617B"/>
    <w:rsid w:val="007F737A"/>
    <w:rsid w:val="007F789D"/>
    <w:rsid w:val="007F7E5F"/>
    <w:rsid w:val="00800FD8"/>
    <w:rsid w:val="00801179"/>
    <w:rsid w:val="008011A3"/>
    <w:rsid w:val="008043B3"/>
    <w:rsid w:val="00805DD8"/>
    <w:rsid w:val="00806216"/>
    <w:rsid w:val="00810EDB"/>
    <w:rsid w:val="00811D20"/>
    <w:rsid w:val="008153CE"/>
    <w:rsid w:val="0082289C"/>
    <w:rsid w:val="00823913"/>
    <w:rsid w:val="0082401E"/>
    <w:rsid w:val="0082480F"/>
    <w:rsid w:val="008252BC"/>
    <w:rsid w:val="00825376"/>
    <w:rsid w:val="00826E34"/>
    <w:rsid w:val="00830E69"/>
    <w:rsid w:val="0083234B"/>
    <w:rsid w:val="008345C8"/>
    <w:rsid w:val="0083515B"/>
    <w:rsid w:val="00835E98"/>
    <w:rsid w:val="00836521"/>
    <w:rsid w:val="0083687A"/>
    <w:rsid w:val="00837EA8"/>
    <w:rsid w:val="00837F1A"/>
    <w:rsid w:val="0084062C"/>
    <w:rsid w:val="00840C29"/>
    <w:rsid w:val="008416A0"/>
    <w:rsid w:val="008434F0"/>
    <w:rsid w:val="00844A35"/>
    <w:rsid w:val="0084699F"/>
    <w:rsid w:val="00846CCB"/>
    <w:rsid w:val="00847EDD"/>
    <w:rsid w:val="0085372E"/>
    <w:rsid w:val="00854D51"/>
    <w:rsid w:val="008552F5"/>
    <w:rsid w:val="00855566"/>
    <w:rsid w:val="008646BB"/>
    <w:rsid w:val="0086471C"/>
    <w:rsid w:val="00865326"/>
    <w:rsid w:val="008717E3"/>
    <w:rsid w:val="008725D5"/>
    <w:rsid w:val="00873845"/>
    <w:rsid w:val="00875832"/>
    <w:rsid w:val="00877186"/>
    <w:rsid w:val="00882BCA"/>
    <w:rsid w:val="008838D5"/>
    <w:rsid w:val="00883C1E"/>
    <w:rsid w:val="00884D28"/>
    <w:rsid w:val="008934A4"/>
    <w:rsid w:val="008934D6"/>
    <w:rsid w:val="00897B7D"/>
    <w:rsid w:val="008A0524"/>
    <w:rsid w:val="008A6888"/>
    <w:rsid w:val="008B0457"/>
    <w:rsid w:val="008B54AB"/>
    <w:rsid w:val="008C2320"/>
    <w:rsid w:val="008C4E32"/>
    <w:rsid w:val="008C5950"/>
    <w:rsid w:val="008C5D3D"/>
    <w:rsid w:val="008C7B98"/>
    <w:rsid w:val="008D076A"/>
    <w:rsid w:val="008D5977"/>
    <w:rsid w:val="008D70E9"/>
    <w:rsid w:val="008E267D"/>
    <w:rsid w:val="008E57C0"/>
    <w:rsid w:val="008E5E14"/>
    <w:rsid w:val="008E5EFD"/>
    <w:rsid w:val="008E7068"/>
    <w:rsid w:val="008F4A14"/>
    <w:rsid w:val="008F5AFD"/>
    <w:rsid w:val="008F6658"/>
    <w:rsid w:val="008F79EC"/>
    <w:rsid w:val="00902868"/>
    <w:rsid w:val="0090360B"/>
    <w:rsid w:val="009112BB"/>
    <w:rsid w:val="00913141"/>
    <w:rsid w:val="009140DC"/>
    <w:rsid w:val="0091485A"/>
    <w:rsid w:val="00916C6C"/>
    <w:rsid w:val="009201F5"/>
    <w:rsid w:val="00920B86"/>
    <w:rsid w:val="00922F82"/>
    <w:rsid w:val="009235D8"/>
    <w:rsid w:val="00924DD1"/>
    <w:rsid w:val="009264ED"/>
    <w:rsid w:val="009310D6"/>
    <w:rsid w:val="00932CC4"/>
    <w:rsid w:val="009370D9"/>
    <w:rsid w:val="00943D4A"/>
    <w:rsid w:val="00943EEE"/>
    <w:rsid w:val="00945030"/>
    <w:rsid w:val="009479A1"/>
    <w:rsid w:val="0095041F"/>
    <w:rsid w:val="00950BE9"/>
    <w:rsid w:val="00952538"/>
    <w:rsid w:val="00955105"/>
    <w:rsid w:val="009564BF"/>
    <w:rsid w:val="009622D7"/>
    <w:rsid w:val="00962BDA"/>
    <w:rsid w:val="00967213"/>
    <w:rsid w:val="00970990"/>
    <w:rsid w:val="00970A0D"/>
    <w:rsid w:val="009751DA"/>
    <w:rsid w:val="00976466"/>
    <w:rsid w:val="00976643"/>
    <w:rsid w:val="009832C9"/>
    <w:rsid w:val="009837F5"/>
    <w:rsid w:val="00984DE4"/>
    <w:rsid w:val="009865E6"/>
    <w:rsid w:val="0099040F"/>
    <w:rsid w:val="0099406F"/>
    <w:rsid w:val="00994DCE"/>
    <w:rsid w:val="009958C0"/>
    <w:rsid w:val="009A1D61"/>
    <w:rsid w:val="009A298D"/>
    <w:rsid w:val="009A3377"/>
    <w:rsid w:val="009A78F0"/>
    <w:rsid w:val="009B2324"/>
    <w:rsid w:val="009B7D2C"/>
    <w:rsid w:val="009C086F"/>
    <w:rsid w:val="009C4D9B"/>
    <w:rsid w:val="009C4E79"/>
    <w:rsid w:val="009D1E48"/>
    <w:rsid w:val="009D7791"/>
    <w:rsid w:val="009E077F"/>
    <w:rsid w:val="009E3A9F"/>
    <w:rsid w:val="009E6F32"/>
    <w:rsid w:val="009F40E2"/>
    <w:rsid w:val="009F54CD"/>
    <w:rsid w:val="00A007CB"/>
    <w:rsid w:val="00A04558"/>
    <w:rsid w:val="00A057A8"/>
    <w:rsid w:val="00A05B9C"/>
    <w:rsid w:val="00A12EA5"/>
    <w:rsid w:val="00A13791"/>
    <w:rsid w:val="00A13F81"/>
    <w:rsid w:val="00A141DB"/>
    <w:rsid w:val="00A14C6C"/>
    <w:rsid w:val="00A15D28"/>
    <w:rsid w:val="00A177F0"/>
    <w:rsid w:val="00A2267A"/>
    <w:rsid w:val="00A276D6"/>
    <w:rsid w:val="00A30899"/>
    <w:rsid w:val="00A32213"/>
    <w:rsid w:val="00A332EF"/>
    <w:rsid w:val="00A340C7"/>
    <w:rsid w:val="00A352C2"/>
    <w:rsid w:val="00A36A43"/>
    <w:rsid w:val="00A40786"/>
    <w:rsid w:val="00A442D0"/>
    <w:rsid w:val="00A446E2"/>
    <w:rsid w:val="00A45762"/>
    <w:rsid w:val="00A45B87"/>
    <w:rsid w:val="00A46F6B"/>
    <w:rsid w:val="00A5038E"/>
    <w:rsid w:val="00A50489"/>
    <w:rsid w:val="00A51BD1"/>
    <w:rsid w:val="00A52AE9"/>
    <w:rsid w:val="00A5375E"/>
    <w:rsid w:val="00A5467D"/>
    <w:rsid w:val="00A55C01"/>
    <w:rsid w:val="00A57D1B"/>
    <w:rsid w:val="00A60C43"/>
    <w:rsid w:val="00A60C77"/>
    <w:rsid w:val="00A615BA"/>
    <w:rsid w:val="00A64697"/>
    <w:rsid w:val="00A6512A"/>
    <w:rsid w:val="00A663D7"/>
    <w:rsid w:val="00A67C2D"/>
    <w:rsid w:val="00A743BD"/>
    <w:rsid w:val="00A753F2"/>
    <w:rsid w:val="00A7572B"/>
    <w:rsid w:val="00A759BF"/>
    <w:rsid w:val="00A80007"/>
    <w:rsid w:val="00A8295E"/>
    <w:rsid w:val="00A83AF9"/>
    <w:rsid w:val="00A8587C"/>
    <w:rsid w:val="00A860E1"/>
    <w:rsid w:val="00A867EB"/>
    <w:rsid w:val="00A901E0"/>
    <w:rsid w:val="00A930B0"/>
    <w:rsid w:val="00A97A21"/>
    <w:rsid w:val="00AA005C"/>
    <w:rsid w:val="00AA2D36"/>
    <w:rsid w:val="00AA395E"/>
    <w:rsid w:val="00AA4004"/>
    <w:rsid w:val="00AA44E1"/>
    <w:rsid w:val="00AA473C"/>
    <w:rsid w:val="00AA64ED"/>
    <w:rsid w:val="00AA6D35"/>
    <w:rsid w:val="00AA709C"/>
    <w:rsid w:val="00AA7A07"/>
    <w:rsid w:val="00AB1695"/>
    <w:rsid w:val="00AB2BDD"/>
    <w:rsid w:val="00AB4BC0"/>
    <w:rsid w:val="00AB5052"/>
    <w:rsid w:val="00AB52F3"/>
    <w:rsid w:val="00AB69EE"/>
    <w:rsid w:val="00AC1954"/>
    <w:rsid w:val="00AC2CA3"/>
    <w:rsid w:val="00AC406C"/>
    <w:rsid w:val="00AC7D2C"/>
    <w:rsid w:val="00AD0941"/>
    <w:rsid w:val="00AD319D"/>
    <w:rsid w:val="00AE10DE"/>
    <w:rsid w:val="00AE2798"/>
    <w:rsid w:val="00AE3214"/>
    <w:rsid w:val="00AE424D"/>
    <w:rsid w:val="00AE70B4"/>
    <w:rsid w:val="00AF007D"/>
    <w:rsid w:val="00AF11F1"/>
    <w:rsid w:val="00AF6C6D"/>
    <w:rsid w:val="00AF70A5"/>
    <w:rsid w:val="00AF7A0B"/>
    <w:rsid w:val="00B011A0"/>
    <w:rsid w:val="00B02080"/>
    <w:rsid w:val="00B04987"/>
    <w:rsid w:val="00B07F02"/>
    <w:rsid w:val="00B14A33"/>
    <w:rsid w:val="00B14E1C"/>
    <w:rsid w:val="00B16CF0"/>
    <w:rsid w:val="00B25881"/>
    <w:rsid w:val="00B266E8"/>
    <w:rsid w:val="00B33C3B"/>
    <w:rsid w:val="00B33D65"/>
    <w:rsid w:val="00B34328"/>
    <w:rsid w:val="00B36FA6"/>
    <w:rsid w:val="00B416F0"/>
    <w:rsid w:val="00B41FD3"/>
    <w:rsid w:val="00B43466"/>
    <w:rsid w:val="00B572B5"/>
    <w:rsid w:val="00B60E64"/>
    <w:rsid w:val="00B617F9"/>
    <w:rsid w:val="00B64C27"/>
    <w:rsid w:val="00B73746"/>
    <w:rsid w:val="00B80594"/>
    <w:rsid w:val="00B83F3F"/>
    <w:rsid w:val="00B86FAE"/>
    <w:rsid w:val="00B90346"/>
    <w:rsid w:val="00B90CB5"/>
    <w:rsid w:val="00B9185D"/>
    <w:rsid w:val="00B92777"/>
    <w:rsid w:val="00B92BB0"/>
    <w:rsid w:val="00B95087"/>
    <w:rsid w:val="00B9736E"/>
    <w:rsid w:val="00BA422E"/>
    <w:rsid w:val="00BA59EB"/>
    <w:rsid w:val="00BB31BD"/>
    <w:rsid w:val="00BB388D"/>
    <w:rsid w:val="00BB3FA1"/>
    <w:rsid w:val="00BB4B8A"/>
    <w:rsid w:val="00BB4F8E"/>
    <w:rsid w:val="00BB5324"/>
    <w:rsid w:val="00BB71B3"/>
    <w:rsid w:val="00BB7DB0"/>
    <w:rsid w:val="00BC107F"/>
    <w:rsid w:val="00BC1513"/>
    <w:rsid w:val="00BC2711"/>
    <w:rsid w:val="00BC49E8"/>
    <w:rsid w:val="00BD1CFF"/>
    <w:rsid w:val="00BD24F1"/>
    <w:rsid w:val="00BD608A"/>
    <w:rsid w:val="00BD793A"/>
    <w:rsid w:val="00BD7A36"/>
    <w:rsid w:val="00BE6AC4"/>
    <w:rsid w:val="00BE6E00"/>
    <w:rsid w:val="00BF0C32"/>
    <w:rsid w:val="00BF230D"/>
    <w:rsid w:val="00BF2CB9"/>
    <w:rsid w:val="00BF30BD"/>
    <w:rsid w:val="00BF5AE5"/>
    <w:rsid w:val="00BF6F73"/>
    <w:rsid w:val="00C03080"/>
    <w:rsid w:val="00C0429A"/>
    <w:rsid w:val="00C048A0"/>
    <w:rsid w:val="00C04E9D"/>
    <w:rsid w:val="00C0500B"/>
    <w:rsid w:val="00C06D24"/>
    <w:rsid w:val="00C07EA0"/>
    <w:rsid w:val="00C13FE9"/>
    <w:rsid w:val="00C14323"/>
    <w:rsid w:val="00C150A9"/>
    <w:rsid w:val="00C151ED"/>
    <w:rsid w:val="00C156F7"/>
    <w:rsid w:val="00C1708E"/>
    <w:rsid w:val="00C170A1"/>
    <w:rsid w:val="00C17BEA"/>
    <w:rsid w:val="00C21642"/>
    <w:rsid w:val="00C21DB4"/>
    <w:rsid w:val="00C22792"/>
    <w:rsid w:val="00C23186"/>
    <w:rsid w:val="00C23F6D"/>
    <w:rsid w:val="00C24459"/>
    <w:rsid w:val="00C263AA"/>
    <w:rsid w:val="00C30164"/>
    <w:rsid w:val="00C3241C"/>
    <w:rsid w:val="00C33245"/>
    <w:rsid w:val="00C3404B"/>
    <w:rsid w:val="00C368B6"/>
    <w:rsid w:val="00C368E3"/>
    <w:rsid w:val="00C41835"/>
    <w:rsid w:val="00C44497"/>
    <w:rsid w:val="00C51C1B"/>
    <w:rsid w:val="00C53D72"/>
    <w:rsid w:val="00C54069"/>
    <w:rsid w:val="00C57A31"/>
    <w:rsid w:val="00C60D60"/>
    <w:rsid w:val="00C613F3"/>
    <w:rsid w:val="00C61779"/>
    <w:rsid w:val="00C62E9A"/>
    <w:rsid w:val="00C700A2"/>
    <w:rsid w:val="00C702BB"/>
    <w:rsid w:val="00C71C58"/>
    <w:rsid w:val="00C7343B"/>
    <w:rsid w:val="00C743F2"/>
    <w:rsid w:val="00C7701D"/>
    <w:rsid w:val="00C80164"/>
    <w:rsid w:val="00C80D86"/>
    <w:rsid w:val="00C81710"/>
    <w:rsid w:val="00C817CB"/>
    <w:rsid w:val="00C8493C"/>
    <w:rsid w:val="00C86D33"/>
    <w:rsid w:val="00C90B14"/>
    <w:rsid w:val="00C97698"/>
    <w:rsid w:val="00CA1693"/>
    <w:rsid w:val="00CA3196"/>
    <w:rsid w:val="00CA3F4F"/>
    <w:rsid w:val="00CA50C7"/>
    <w:rsid w:val="00CA5142"/>
    <w:rsid w:val="00CA5546"/>
    <w:rsid w:val="00CA6A32"/>
    <w:rsid w:val="00CA6BB3"/>
    <w:rsid w:val="00CB1B74"/>
    <w:rsid w:val="00CB2F77"/>
    <w:rsid w:val="00CB32B5"/>
    <w:rsid w:val="00CB35C1"/>
    <w:rsid w:val="00CB7EB1"/>
    <w:rsid w:val="00CC02D6"/>
    <w:rsid w:val="00CC11CA"/>
    <w:rsid w:val="00CC1CDF"/>
    <w:rsid w:val="00CC39E9"/>
    <w:rsid w:val="00CC4C32"/>
    <w:rsid w:val="00CC60E6"/>
    <w:rsid w:val="00CC73FC"/>
    <w:rsid w:val="00CD0CA5"/>
    <w:rsid w:val="00CD183A"/>
    <w:rsid w:val="00CD1DA1"/>
    <w:rsid w:val="00CD3444"/>
    <w:rsid w:val="00CD3CAD"/>
    <w:rsid w:val="00CD6982"/>
    <w:rsid w:val="00CD7C54"/>
    <w:rsid w:val="00CE2E03"/>
    <w:rsid w:val="00CE32D9"/>
    <w:rsid w:val="00CE3FB5"/>
    <w:rsid w:val="00CE4259"/>
    <w:rsid w:val="00CE4DFD"/>
    <w:rsid w:val="00CE594E"/>
    <w:rsid w:val="00CF306A"/>
    <w:rsid w:val="00CF3C75"/>
    <w:rsid w:val="00CF4BD1"/>
    <w:rsid w:val="00CF66B5"/>
    <w:rsid w:val="00D00B5A"/>
    <w:rsid w:val="00D01084"/>
    <w:rsid w:val="00D01712"/>
    <w:rsid w:val="00D06A7C"/>
    <w:rsid w:val="00D07F77"/>
    <w:rsid w:val="00D121CF"/>
    <w:rsid w:val="00D12AD3"/>
    <w:rsid w:val="00D12DAF"/>
    <w:rsid w:val="00D1314A"/>
    <w:rsid w:val="00D15CF3"/>
    <w:rsid w:val="00D162AB"/>
    <w:rsid w:val="00D2098D"/>
    <w:rsid w:val="00D23044"/>
    <w:rsid w:val="00D23658"/>
    <w:rsid w:val="00D25AB2"/>
    <w:rsid w:val="00D26C77"/>
    <w:rsid w:val="00D27261"/>
    <w:rsid w:val="00D27375"/>
    <w:rsid w:val="00D32471"/>
    <w:rsid w:val="00D34DD6"/>
    <w:rsid w:val="00D34E3B"/>
    <w:rsid w:val="00D37876"/>
    <w:rsid w:val="00D37F32"/>
    <w:rsid w:val="00D41D29"/>
    <w:rsid w:val="00D43C67"/>
    <w:rsid w:val="00D453EB"/>
    <w:rsid w:val="00D4622E"/>
    <w:rsid w:val="00D50683"/>
    <w:rsid w:val="00D50BF9"/>
    <w:rsid w:val="00D52702"/>
    <w:rsid w:val="00D53A53"/>
    <w:rsid w:val="00D55DF4"/>
    <w:rsid w:val="00D6096D"/>
    <w:rsid w:val="00D63B0D"/>
    <w:rsid w:val="00D648F5"/>
    <w:rsid w:val="00D6607E"/>
    <w:rsid w:val="00D66A5D"/>
    <w:rsid w:val="00D700FC"/>
    <w:rsid w:val="00D70263"/>
    <w:rsid w:val="00D8468F"/>
    <w:rsid w:val="00D84B96"/>
    <w:rsid w:val="00D85101"/>
    <w:rsid w:val="00D85B72"/>
    <w:rsid w:val="00D86A70"/>
    <w:rsid w:val="00D878CB"/>
    <w:rsid w:val="00D87F26"/>
    <w:rsid w:val="00D905E0"/>
    <w:rsid w:val="00D91BC3"/>
    <w:rsid w:val="00D94D86"/>
    <w:rsid w:val="00D97C06"/>
    <w:rsid w:val="00DA2D19"/>
    <w:rsid w:val="00DA48CE"/>
    <w:rsid w:val="00DB01EC"/>
    <w:rsid w:val="00DB033A"/>
    <w:rsid w:val="00DB38A5"/>
    <w:rsid w:val="00DB61A5"/>
    <w:rsid w:val="00DB7DDB"/>
    <w:rsid w:val="00DC235A"/>
    <w:rsid w:val="00DC2C28"/>
    <w:rsid w:val="00DC423C"/>
    <w:rsid w:val="00DD0B71"/>
    <w:rsid w:val="00DD0B97"/>
    <w:rsid w:val="00DD6D69"/>
    <w:rsid w:val="00DE0D29"/>
    <w:rsid w:val="00DE0F90"/>
    <w:rsid w:val="00DE182E"/>
    <w:rsid w:val="00DE1CC9"/>
    <w:rsid w:val="00DE1EB5"/>
    <w:rsid w:val="00DE3017"/>
    <w:rsid w:val="00DE3B51"/>
    <w:rsid w:val="00DE4426"/>
    <w:rsid w:val="00DE522A"/>
    <w:rsid w:val="00DE586C"/>
    <w:rsid w:val="00DE60C3"/>
    <w:rsid w:val="00DE64B2"/>
    <w:rsid w:val="00DE7D0C"/>
    <w:rsid w:val="00DF0DF3"/>
    <w:rsid w:val="00DF20D1"/>
    <w:rsid w:val="00DF379D"/>
    <w:rsid w:val="00DF58DD"/>
    <w:rsid w:val="00DF5A86"/>
    <w:rsid w:val="00DF6990"/>
    <w:rsid w:val="00DF7A39"/>
    <w:rsid w:val="00E01821"/>
    <w:rsid w:val="00E03538"/>
    <w:rsid w:val="00E03C20"/>
    <w:rsid w:val="00E0409F"/>
    <w:rsid w:val="00E04821"/>
    <w:rsid w:val="00E052C6"/>
    <w:rsid w:val="00E10A87"/>
    <w:rsid w:val="00E153DB"/>
    <w:rsid w:val="00E227A1"/>
    <w:rsid w:val="00E22856"/>
    <w:rsid w:val="00E234C7"/>
    <w:rsid w:val="00E24E43"/>
    <w:rsid w:val="00E31D0D"/>
    <w:rsid w:val="00E32E4A"/>
    <w:rsid w:val="00E3420D"/>
    <w:rsid w:val="00E34F87"/>
    <w:rsid w:val="00E41CDC"/>
    <w:rsid w:val="00E43085"/>
    <w:rsid w:val="00E44ED7"/>
    <w:rsid w:val="00E45650"/>
    <w:rsid w:val="00E46E7D"/>
    <w:rsid w:val="00E47748"/>
    <w:rsid w:val="00E5248C"/>
    <w:rsid w:val="00E53091"/>
    <w:rsid w:val="00E5591F"/>
    <w:rsid w:val="00E56D4B"/>
    <w:rsid w:val="00E611A7"/>
    <w:rsid w:val="00E61562"/>
    <w:rsid w:val="00E62134"/>
    <w:rsid w:val="00E66F02"/>
    <w:rsid w:val="00E677C7"/>
    <w:rsid w:val="00E761A1"/>
    <w:rsid w:val="00E77D62"/>
    <w:rsid w:val="00E80DEB"/>
    <w:rsid w:val="00E818E9"/>
    <w:rsid w:val="00E8206D"/>
    <w:rsid w:val="00E82218"/>
    <w:rsid w:val="00E830AC"/>
    <w:rsid w:val="00E86315"/>
    <w:rsid w:val="00E86340"/>
    <w:rsid w:val="00E9143E"/>
    <w:rsid w:val="00E91D94"/>
    <w:rsid w:val="00E940DF"/>
    <w:rsid w:val="00E94154"/>
    <w:rsid w:val="00EA2EE1"/>
    <w:rsid w:val="00EA3F88"/>
    <w:rsid w:val="00EA630C"/>
    <w:rsid w:val="00EA6568"/>
    <w:rsid w:val="00EB0C28"/>
    <w:rsid w:val="00EB6A20"/>
    <w:rsid w:val="00EB7F64"/>
    <w:rsid w:val="00EC2827"/>
    <w:rsid w:val="00EC2C14"/>
    <w:rsid w:val="00EC4D93"/>
    <w:rsid w:val="00EC4E6F"/>
    <w:rsid w:val="00EC6544"/>
    <w:rsid w:val="00ED09F6"/>
    <w:rsid w:val="00ED1F3E"/>
    <w:rsid w:val="00ED6FE2"/>
    <w:rsid w:val="00ED7412"/>
    <w:rsid w:val="00ED76D2"/>
    <w:rsid w:val="00EE00B8"/>
    <w:rsid w:val="00EE6CA0"/>
    <w:rsid w:val="00EE771E"/>
    <w:rsid w:val="00EF2098"/>
    <w:rsid w:val="00EF7B4B"/>
    <w:rsid w:val="00F0756A"/>
    <w:rsid w:val="00F124B4"/>
    <w:rsid w:val="00F1460A"/>
    <w:rsid w:val="00F1797F"/>
    <w:rsid w:val="00F21015"/>
    <w:rsid w:val="00F2347A"/>
    <w:rsid w:val="00F2424E"/>
    <w:rsid w:val="00F25D8A"/>
    <w:rsid w:val="00F27448"/>
    <w:rsid w:val="00F350C0"/>
    <w:rsid w:val="00F35FA2"/>
    <w:rsid w:val="00F36D5B"/>
    <w:rsid w:val="00F413E1"/>
    <w:rsid w:val="00F45CD9"/>
    <w:rsid w:val="00F46A1B"/>
    <w:rsid w:val="00F4754B"/>
    <w:rsid w:val="00F50AD6"/>
    <w:rsid w:val="00F57807"/>
    <w:rsid w:val="00F624B0"/>
    <w:rsid w:val="00F62568"/>
    <w:rsid w:val="00F668B5"/>
    <w:rsid w:val="00F67941"/>
    <w:rsid w:val="00F67A47"/>
    <w:rsid w:val="00F70A83"/>
    <w:rsid w:val="00F71081"/>
    <w:rsid w:val="00F71479"/>
    <w:rsid w:val="00F82D6D"/>
    <w:rsid w:val="00F878FF"/>
    <w:rsid w:val="00F90BC8"/>
    <w:rsid w:val="00F93012"/>
    <w:rsid w:val="00FA1A9C"/>
    <w:rsid w:val="00FA2520"/>
    <w:rsid w:val="00FA578F"/>
    <w:rsid w:val="00FA71DB"/>
    <w:rsid w:val="00FB0537"/>
    <w:rsid w:val="00FB45D7"/>
    <w:rsid w:val="00FC11C1"/>
    <w:rsid w:val="00FC2664"/>
    <w:rsid w:val="00FC2E96"/>
    <w:rsid w:val="00FC35B5"/>
    <w:rsid w:val="00FC43EA"/>
    <w:rsid w:val="00FC5FB0"/>
    <w:rsid w:val="00FC7AB0"/>
    <w:rsid w:val="00FD16FC"/>
    <w:rsid w:val="00FD1C7A"/>
    <w:rsid w:val="00FD2C06"/>
    <w:rsid w:val="00FD350F"/>
    <w:rsid w:val="00FD5C02"/>
    <w:rsid w:val="00FE002E"/>
    <w:rsid w:val="00FE04FF"/>
    <w:rsid w:val="00FE0FF1"/>
    <w:rsid w:val="00FE476F"/>
    <w:rsid w:val="00FF01D7"/>
    <w:rsid w:val="00FF2091"/>
    <w:rsid w:val="00FF27C2"/>
    <w:rsid w:val="00FF3AC1"/>
    <w:rsid w:val="00FF3D86"/>
    <w:rsid w:val="00FF5788"/>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29" fill="f" fillcolor="white" stroke="f">
      <v:fill color="white" on="f"/>
      <v:stroke on="f"/>
      <v:textbox inset="0,0,0,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de-DE"/>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unhideWhenUsed="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able of figures" w:uiPriority="0"/>
    <w:lsdException w:name="footnote reference" w:uiPriority="0" w:qFormat="1"/>
    <w:lsdException w:name="endnote reference" w:uiPriority="1"/>
    <w:lsdException w:name="endnote text" w:uiPriority="1"/>
    <w:lsdException w:name="List Bullet" w:semiHidden="0" w:uiPriority="0" w:unhideWhenUsed="0" w:qFormat="1"/>
    <w:lsdException w:name="Title" w:semiHidden="0" w:uiPriority="10" w:unhideWhenUsed="0" w:qFormat="1"/>
    <w:lsdException w:name="Default Paragraph Font" w:uiPriority="1"/>
    <w:lsdException w:name="Body Text" w:uiPriority="0"/>
    <w:lsdException w:name="Subtitle" w:uiPriority="11"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semiHidden/>
    <w:qFormat/>
    <w:rsid w:val="00825376"/>
    <w:rPr>
      <w:rFonts w:ascii="Arial" w:hAnsi="Arial"/>
      <w:color w:val="000000"/>
      <w:sz w:val="18"/>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de-DE"/>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qFormat/>
    <w:rsid w:val="009310D6"/>
    <w:rPr>
      <w:rFonts w:ascii="Arial" w:hAnsi="Arial"/>
      <w:color w:val="auto"/>
      <w:sz w:val="16"/>
      <w:vertAlign w:val="superscript"/>
    </w:rPr>
  </w:style>
  <w:style w:type="paragraph" w:styleId="FootnoteText">
    <w:name w:val="footnote text"/>
    <w:aliases w:val="Fußnote, Char"/>
    <w:basedOn w:val="Normal"/>
    <w:link w:val="FootnoteTextChar"/>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rsid w:val="0095041F"/>
    <w:rPr>
      <w:rFonts w:ascii="Arial" w:hAnsi="Arial"/>
      <w:color w:val="000000"/>
      <w:sz w:val="18"/>
      <w:lang w:eastAsia="de-DE"/>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de-DE"/>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de-DE"/>
    </w:rPr>
  </w:style>
  <w:style w:type="character" w:customStyle="1" w:styleId="Heading6Char">
    <w:name w:val="Heading 6 Char"/>
    <w:basedOn w:val="DefaultParagraphFont"/>
    <w:link w:val="Heading6"/>
    <w:rsid w:val="00F4754B"/>
    <w:rPr>
      <w:b/>
      <w:bCs/>
      <w:szCs w:val="22"/>
      <w:lang w:eastAsia="de-DE"/>
    </w:rPr>
  </w:style>
  <w:style w:type="character" w:customStyle="1" w:styleId="Heading7Char">
    <w:name w:val="Heading 7 Char"/>
    <w:basedOn w:val="DefaultParagraphFont"/>
    <w:link w:val="Heading7"/>
    <w:rsid w:val="00F4754B"/>
    <w:rPr>
      <w:sz w:val="24"/>
      <w:szCs w:val="24"/>
      <w:lang w:eastAsia="de-DE"/>
    </w:rPr>
  </w:style>
  <w:style w:type="character" w:customStyle="1" w:styleId="Heading8Char">
    <w:name w:val="Heading 8 Char"/>
    <w:basedOn w:val="DefaultParagraphFont"/>
    <w:link w:val="Heading8"/>
    <w:rsid w:val="00F4754B"/>
    <w:rPr>
      <w:i/>
      <w:iCs/>
      <w:sz w:val="24"/>
      <w:szCs w:val="24"/>
      <w:lang w:eastAsia="de-DE"/>
    </w:rPr>
  </w:style>
  <w:style w:type="character" w:customStyle="1" w:styleId="Heading9Char">
    <w:name w:val="Heading 9 Char"/>
    <w:basedOn w:val="DefaultParagraphFont"/>
    <w:link w:val="Heading9"/>
    <w:rsid w:val="00F4754B"/>
    <w:rPr>
      <w:rFonts w:ascii="Verdana" w:hAnsi="Verdana" w:cs="Arial"/>
      <w:szCs w:val="22"/>
      <w:lang w:eastAsia="de-DE"/>
    </w:rPr>
  </w:style>
  <w:style w:type="character" w:customStyle="1" w:styleId="Heading1Char">
    <w:name w:val="Heading 1 Char"/>
    <w:basedOn w:val="DefaultParagraphFont"/>
    <w:link w:val="Heading1"/>
    <w:rsid w:val="00F4754B"/>
    <w:rPr>
      <w:rFonts w:ascii="Arial" w:hAnsi="Arial"/>
      <w:color w:val="48748F" w:themeColor="accent1"/>
      <w:sz w:val="36"/>
      <w:lang w:eastAsia="de-DE"/>
    </w:rPr>
  </w:style>
  <w:style w:type="character" w:customStyle="1" w:styleId="Heading2Char">
    <w:name w:val="Heading 2 Char"/>
    <w:basedOn w:val="DefaultParagraphFont"/>
    <w:link w:val="Heading2"/>
    <w:rsid w:val="00F4754B"/>
    <w:rPr>
      <w:rFonts w:ascii="Arial" w:hAnsi="Arial"/>
      <w:color w:val="48748F" w:themeColor="accent1"/>
      <w:sz w:val="24"/>
      <w:lang w:eastAsia="de-DE"/>
    </w:rPr>
  </w:style>
  <w:style w:type="character" w:customStyle="1" w:styleId="Heading3Char">
    <w:name w:val="Heading 3 Char"/>
    <w:basedOn w:val="DefaultParagraphFont"/>
    <w:link w:val="Heading3"/>
    <w:rsid w:val="00F4754B"/>
    <w:rPr>
      <w:rFonts w:ascii="Arial" w:hAnsi="Arial"/>
      <w:b/>
      <w:color w:val="48748F" w:themeColor="accent1"/>
      <w:szCs w:val="22"/>
      <w:lang w:eastAsia="de-DE"/>
    </w:rPr>
  </w:style>
  <w:style w:type="character" w:customStyle="1" w:styleId="Heading4Char">
    <w:name w:val="Heading 4 Char"/>
    <w:basedOn w:val="DefaultParagraphFont"/>
    <w:link w:val="Heading4"/>
    <w:rsid w:val="00F4754B"/>
    <w:rPr>
      <w:rFonts w:ascii="Arial" w:hAnsi="Arial"/>
      <w:color w:val="48748F" w:themeColor="accent1"/>
      <w:lang w:eastAsia="de-DE"/>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de-DE"/>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de-DE"/>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de-DE"/>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de-DE"/>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de-DE"/>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de-DE"/>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de-DE"/>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sz w:val="20"/>
      <w:szCs w:val="26"/>
      <w:u w:val="single"/>
      <w:lang w:eastAsia="de-DE"/>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de-DE"/>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rPr>
  </w:style>
  <w:style w:type="character" w:customStyle="1" w:styleId="PlainTextChar">
    <w:name w:val="Plain Text Char"/>
    <w:basedOn w:val="DefaultParagraphFont"/>
    <w:link w:val="PlainText"/>
    <w:uiPriority w:val="99"/>
    <w:rsid w:val="00F4754B"/>
    <w:rPr>
      <w:rFonts w:ascii="Verdana" w:hAnsi="Verdana"/>
      <w:lang w:val="de-DE" w:eastAsia="de-DE"/>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de-DE"/>
    </w:rPr>
  </w:style>
  <w:style w:type="paragraph" w:customStyle="1" w:styleId="Revision1">
    <w:name w:val="Revision1"/>
    <w:hidden/>
    <w:uiPriority w:val="99"/>
    <w:semiHidden/>
    <w:rsid w:val="00F4754B"/>
    <w:rPr>
      <w:rFonts w:ascii="Verdana" w:hAnsi="Verdana"/>
      <w:szCs w:val="24"/>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numPr>
        <w:numId w:val="21"/>
      </w:numPr>
      <w:spacing w:after="24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de-DE" w:eastAsia="de-DE" w:bidi="de-DE"/>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de-DE"/>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de-DE"/>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de-DE"/>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de-DE"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de-DE"/>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unhideWhenUsed="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able of figures" w:uiPriority="0"/>
    <w:lsdException w:name="footnote reference" w:uiPriority="0" w:qFormat="1"/>
    <w:lsdException w:name="endnote reference" w:uiPriority="1"/>
    <w:lsdException w:name="endnote text" w:uiPriority="1"/>
    <w:lsdException w:name="List Bullet" w:semiHidden="0" w:uiPriority="0" w:unhideWhenUsed="0" w:qFormat="1"/>
    <w:lsdException w:name="Title" w:semiHidden="0" w:uiPriority="10" w:unhideWhenUsed="0" w:qFormat="1"/>
    <w:lsdException w:name="Default Paragraph Font" w:uiPriority="1"/>
    <w:lsdException w:name="Body Text" w:uiPriority="0"/>
    <w:lsdException w:name="Subtitle" w:uiPriority="11"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semiHidden/>
    <w:qFormat/>
    <w:rsid w:val="00825376"/>
    <w:rPr>
      <w:rFonts w:ascii="Arial" w:hAnsi="Arial"/>
      <w:color w:val="000000"/>
      <w:sz w:val="18"/>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de-DE"/>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qFormat/>
    <w:rsid w:val="009310D6"/>
    <w:rPr>
      <w:rFonts w:ascii="Arial" w:hAnsi="Arial"/>
      <w:color w:val="auto"/>
      <w:sz w:val="16"/>
      <w:vertAlign w:val="superscript"/>
    </w:rPr>
  </w:style>
  <w:style w:type="paragraph" w:styleId="FootnoteText">
    <w:name w:val="footnote text"/>
    <w:aliases w:val="Fußnote, Char"/>
    <w:basedOn w:val="Normal"/>
    <w:link w:val="FootnoteTextChar"/>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rsid w:val="0095041F"/>
    <w:rPr>
      <w:rFonts w:ascii="Arial" w:hAnsi="Arial"/>
      <w:color w:val="000000"/>
      <w:sz w:val="18"/>
      <w:lang w:eastAsia="de-DE"/>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de-DE"/>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de-DE"/>
    </w:rPr>
  </w:style>
  <w:style w:type="character" w:customStyle="1" w:styleId="Heading6Char">
    <w:name w:val="Heading 6 Char"/>
    <w:basedOn w:val="DefaultParagraphFont"/>
    <w:link w:val="Heading6"/>
    <w:rsid w:val="00F4754B"/>
    <w:rPr>
      <w:b/>
      <w:bCs/>
      <w:szCs w:val="22"/>
      <w:lang w:eastAsia="de-DE"/>
    </w:rPr>
  </w:style>
  <w:style w:type="character" w:customStyle="1" w:styleId="Heading7Char">
    <w:name w:val="Heading 7 Char"/>
    <w:basedOn w:val="DefaultParagraphFont"/>
    <w:link w:val="Heading7"/>
    <w:rsid w:val="00F4754B"/>
    <w:rPr>
      <w:sz w:val="24"/>
      <w:szCs w:val="24"/>
      <w:lang w:eastAsia="de-DE"/>
    </w:rPr>
  </w:style>
  <w:style w:type="character" w:customStyle="1" w:styleId="Heading8Char">
    <w:name w:val="Heading 8 Char"/>
    <w:basedOn w:val="DefaultParagraphFont"/>
    <w:link w:val="Heading8"/>
    <w:rsid w:val="00F4754B"/>
    <w:rPr>
      <w:i/>
      <w:iCs/>
      <w:sz w:val="24"/>
      <w:szCs w:val="24"/>
      <w:lang w:eastAsia="de-DE"/>
    </w:rPr>
  </w:style>
  <w:style w:type="character" w:customStyle="1" w:styleId="Heading9Char">
    <w:name w:val="Heading 9 Char"/>
    <w:basedOn w:val="DefaultParagraphFont"/>
    <w:link w:val="Heading9"/>
    <w:rsid w:val="00F4754B"/>
    <w:rPr>
      <w:rFonts w:ascii="Verdana" w:hAnsi="Verdana" w:cs="Arial"/>
      <w:szCs w:val="22"/>
      <w:lang w:eastAsia="de-DE"/>
    </w:rPr>
  </w:style>
  <w:style w:type="character" w:customStyle="1" w:styleId="Heading1Char">
    <w:name w:val="Heading 1 Char"/>
    <w:basedOn w:val="DefaultParagraphFont"/>
    <w:link w:val="Heading1"/>
    <w:rsid w:val="00F4754B"/>
    <w:rPr>
      <w:rFonts w:ascii="Arial" w:hAnsi="Arial"/>
      <w:color w:val="48748F" w:themeColor="accent1"/>
      <w:sz w:val="36"/>
      <w:lang w:eastAsia="de-DE"/>
    </w:rPr>
  </w:style>
  <w:style w:type="character" w:customStyle="1" w:styleId="Heading2Char">
    <w:name w:val="Heading 2 Char"/>
    <w:basedOn w:val="DefaultParagraphFont"/>
    <w:link w:val="Heading2"/>
    <w:rsid w:val="00F4754B"/>
    <w:rPr>
      <w:rFonts w:ascii="Arial" w:hAnsi="Arial"/>
      <w:color w:val="48748F" w:themeColor="accent1"/>
      <w:sz w:val="24"/>
      <w:lang w:eastAsia="de-DE"/>
    </w:rPr>
  </w:style>
  <w:style w:type="character" w:customStyle="1" w:styleId="Heading3Char">
    <w:name w:val="Heading 3 Char"/>
    <w:basedOn w:val="DefaultParagraphFont"/>
    <w:link w:val="Heading3"/>
    <w:rsid w:val="00F4754B"/>
    <w:rPr>
      <w:rFonts w:ascii="Arial" w:hAnsi="Arial"/>
      <w:b/>
      <w:color w:val="48748F" w:themeColor="accent1"/>
      <w:szCs w:val="22"/>
      <w:lang w:eastAsia="de-DE"/>
    </w:rPr>
  </w:style>
  <w:style w:type="character" w:customStyle="1" w:styleId="Heading4Char">
    <w:name w:val="Heading 4 Char"/>
    <w:basedOn w:val="DefaultParagraphFont"/>
    <w:link w:val="Heading4"/>
    <w:rsid w:val="00F4754B"/>
    <w:rPr>
      <w:rFonts w:ascii="Arial" w:hAnsi="Arial"/>
      <w:color w:val="48748F" w:themeColor="accent1"/>
      <w:lang w:eastAsia="de-DE"/>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de-DE"/>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de-DE"/>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de-DE"/>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de-DE"/>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de-DE"/>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de-DE"/>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de-DE"/>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sz w:val="20"/>
      <w:szCs w:val="26"/>
      <w:u w:val="single"/>
      <w:lang w:eastAsia="de-DE"/>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de-DE"/>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rPr>
  </w:style>
  <w:style w:type="character" w:customStyle="1" w:styleId="PlainTextChar">
    <w:name w:val="Plain Text Char"/>
    <w:basedOn w:val="DefaultParagraphFont"/>
    <w:link w:val="PlainText"/>
    <w:uiPriority w:val="99"/>
    <w:rsid w:val="00F4754B"/>
    <w:rPr>
      <w:rFonts w:ascii="Verdana" w:hAnsi="Verdana"/>
      <w:lang w:val="de-DE" w:eastAsia="de-DE"/>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de-DE"/>
    </w:rPr>
  </w:style>
  <w:style w:type="paragraph" w:customStyle="1" w:styleId="Revision1">
    <w:name w:val="Revision1"/>
    <w:hidden/>
    <w:uiPriority w:val="99"/>
    <w:semiHidden/>
    <w:rsid w:val="00F4754B"/>
    <w:rPr>
      <w:rFonts w:ascii="Verdana" w:hAnsi="Verdana"/>
      <w:szCs w:val="24"/>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numPr>
        <w:numId w:val="21"/>
      </w:numPr>
      <w:spacing w:after="24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de-DE" w:eastAsia="de-DE" w:bidi="de-DE"/>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de-DE"/>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de-DE"/>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de-DE"/>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20" Type="http://schemas.microsoft.com/office/2011/relationships/people" Target="people.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D985A6-8A22-44CC-8225-032FF55ECA64}">
  <ds:schemaRefs>
    <ds:schemaRef ds:uri="http://schemas.openxmlformats.org/officeDocument/2006/bibliography"/>
  </ds:schemaRefs>
</ds:datastoreItem>
</file>

<file path=customXml/itemProps2.xml><?xml version="1.0" encoding="utf-8"?>
<ds:datastoreItem xmlns:ds="http://schemas.openxmlformats.org/officeDocument/2006/customXml" ds:itemID="{701C4A6B-6F59-4232-9F28-FC86F6F0F9F8}">
  <ds:schemaRefs>
    <ds:schemaRef ds:uri="http://schemas.openxmlformats.org/officeDocument/2006/bibliography"/>
  </ds:schemaRefs>
</ds:datastoreItem>
</file>

<file path=customXml/itemProps3.xml><?xml version="1.0" encoding="utf-8"?>
<ds:datastoreItem xmlns:ds="http://schemas.openxmlformats.org/officeDocument/2006/customXml" ds:itemID="{5AB1418E-6B62-4912-92C2-2CE41202AE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49</Pages>
  <Words>16462</Words>
  <Characters>119317</Characters>
  <Application>Microsoft Office Word</Application>
  <DocSecurity>0</DocSecurity>
  <Lines>3059</Lines>
  <Paragraphs>1257</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EBA Short Report</vt:lpstr>
      <vt:lpstr>EBA Short Report</vt:lpstr>
      <vt:lpstr>EBA Short Report</vt:lpstr>
    </vt:vector>
  </TitlesOfParts>
  <Company>Microsoft</Company>
  <LinksUpToDate>false</LinksUpToDate>
  <CharactersWithSpaces>134522</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EBA Short Report</dc:title>
  <dc:creator>dchatzimanoli</dc:creator>
  <cp:lastModifiedBy>RUSE Inese (DGT)</cp:lastModifiedBy>
  <cp:revision>14</cp:revision>
  <cp:lastPrinted>2015-04-10T08:05:00Z</cp:lastPrinted>
  <dcterms:created xsi:type="dcterms:W3CDTF">2018-02-06T16:20:00Z</dcterms:created>
  <dcterms:modified xsi:type="dcterms:W3CDTF">2018-09-07T09:15:00Z</dcterms:modified>
</cp:coreProperties>
</file>