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SV</w:t>
      </w:r>
    </w:p>
    <w:p w:rsidR="00FF3ED5" w:rsidRDefault="00FF3ED5" w:rsidP="00A33695">
      <w:pPr>
        <w:jc w:val="center"/>
        <w:rPr>
          <w:rFonts w:ascii="Times New Roman" w:hAnsi="Times New Roman"/>
          <w:b/>
          <w:sz w:val="24"/>
        </w:rPr>
      </w:pPr>
      <w:r>
        <w:rPr>
          <w:rFonts w:ascii="Times New Roman" w:hAnsi="Times New Roman"/>
          <w:b/>
          <w:sz w:val="24"/>
        </w:rPr>
        <w:t>BILAGA IV</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”BILAGA IX</w:t>
      </w:r>
    </w:p>
    <w:p w:rsidR="00DD58A5" w:rsidRDefault="00F41B3A" w:rsidP="00C87CEE">
      <w:pPr>
        <w:jc w:val="center"/>
        <w:rPr>
          <w:rFonts w:ascii="Times New Roman" w:hAnsi="Times New Roman"/>
          <w:b/>
          <w:sz w:val="24"/>
        </w:rPr>
      </w:pPr>
      <w:r>
        <w:rPr>
          <w:rFonts w:ascii="Times New Roman" w:hAnsi="Times New Roman"/>
          <w:b/>
          <w:sz w:val="24"/>
        </w:rPr>
        <w:t xml:space="preserve">INSTRUKTIONER FÖR RAPPORTERING OM STORA EXPONERINGAR OCH </w:t>
      </w:r>
    </w:p>
    <w:p w:rsidR="00C87CEE" w:rsidRPr="00EF13C2" w:rsidRDefault="00F41B3A" w:rsidP="00C87CEE">
      <w:pPr>
        <w:jc w:val="center"/>
        <w:rPr>
          <w:rFonts w:ascii="Times New Roman" w:hAnsi="Times New Roman"/>
          <w:b/>
          <w:sz w:val="24"/>
        </w:rPr>
      </w:pPr>
      <w:r>
        <w:rPr>
          <w:rFonts w:ascii="Times New Roman" w:hAnsi="Times New Roman"/>
          <w:b/>
          <w:sz w:val="24"/>
        </w:rPr>
        <w:t>KONCENTRATIONSRISK</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Innehåll</w:t>
      </w:r>
    </w:p>
    <w:p w:rsidR="003B102B" w:rsidRDefault="003B102B">
      <w:pPr>
        <w:pStyle w:val="TOC2"/>
        <w:rPr>
          <w:rFonts w:asciiTheme="minorHAnsi" w:eastAsiaTheme="minorEastAsia" w:hAnsiTheme="minorHAnsi" w:cstheme="minorBidi"/>
          <w:b w:val="0"/>
          <w:smallCaps w:val="0"/>
          <w:sz w:val="22"/>
          <w:lang w:val="en-GB" w:eastAsia="en-GB"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23748346" w:history="1">
        <w:r w:rsidRPr="00653DAE">
          <w:rPr>
            <w:rStyle w:val="Hyperlink"/>
            <w:rFonts w:ascii="Times New Roman" w:hAnsi="Times New Roman"/>
          </w:rPr>
          <w:t>DEL I: ALLMÄNNA INSTRUKTIONER</w:t>
        </w:r>
        <w:r>
          <w:rPr>
            <w:webHidden/>
          </w:rPr>
          <w:tab/>
        </w:r>
        <w:r>
          <w:rPr>
            <w:webHidden/>
          </w:rPr>
          <w:fldChar w:fldCharType="begin"/>
        </w:r>
        <w:r>
          <w:rPr>
            <w:webHidden/>
          </w:rPr>
          <w:instrText xml:space="preserve"> PAGEREF _Toc523748346 \h </w:instrText>
        </w:r>
        <w:r>
          <w:rPr>
            <w:webHidden/>
          </w:rPr>
        </w:r>
        <w:r>
          <w:rPr>
            <w:webHidden/>
          </w:rPr>
          <w:fldChar w:fldCharType="separate"/>
        </w:r>
        <w:r>
          <w:rPr>
            <w:webHidden/>
          </w:rPr>
          <w:t>2</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47" w:history="1">
        <w:r w:rsidRPr="00653DA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Struktur och praxis</w:t>
        </w:r>
        <w:r>
          <w:rPr>
            <w:webHidden/>
          </w:rPr>
          <w:tab/>
        </w:r>
        <w:r>
          <w:rPr>
            <w:webHidden/>
          </w:rPr>
          <w:fldChar w:fldCharType="begin"/>
        </w:r>
        <w:r>
          <w:rPr>
            <w:webHidden/>
          </w:rPr>
          <w:instrText xml:space="preserve"> PAGEREF _Toc523748347 \h </w:instrText>
        </w:r>
        <w:r>
          <w:rPr>
            <w:webHidden/>
          </w:rPr>
        </w:r>
        <w:r>
          <w:rPr>
            <w:webHidden/>
          </w:rPr>
          <w:fldChar w:fldCharType="separate"/>
        </w:r>
        <w:r>
          <w:rPr>
            <w:webHidden/>
          </w:rPr>
          <w:t>2</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48" w:history="1">
        <w:r w:rsidRPr="00653DAE">
          <w:rPr>
            <w:rStyle w:val="Hyperlink"/>
          </w:rPr>
          <w:t>2.</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Förkortningar</w:t>
        </w:r>
        <w:r>
          <w:rPr>
            <w:webHidden/>
          </w:rPr>
          <w:tab/>
        </w:r>
        <w:r>
          <w:rPr>
            <w:webHidden/>
          </w:rPr>
          <w:fldChar w:fldCharType="begin"/>
        </w:r>
        <w:r>
          <w:rPr>
            <w:webHidden/>
          </w:rPr>
          <w:instrText xml:space="preserve"> PAGEREF _Toc523748348 \h </w:instrText>
        </w:r>
        <w:r>
          <w:rPr>
            <w:webHidden/>
          </w:rPr>
        </w:r>
        <w:r>
          <w:rPr>
            <w:webHidden/>
          </w:rPr>
          <w:fldChar w:fldCharType="separate"/>
        </w:r>
        <w:r>
          <w:rPr>
            <w:webHidden/>
          </w:rPr>
          <w:t>2</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49" w:history="1">
        <w:r w:rsidRPr="00653DAE">
          <w:rPr>
            <w:rStyle w:val="Hyperlink"/>
            <w:rFonts w:ascii="Times New Roman" w:hAnsi="Times New Roman"/>
          </w:rPr>
          <w:t>DEL II: MALLRELATERADE INSTRUKTIONER</w:t>
        </w:r>
        <w:r>
          <w:rPr>
            <w:webHidden/>
          </w:rPr>
          <w:tab/>
        </w:r>
        <w:r>
          <w:rPr>
            <w:webHidden/>
          </w:rPr>
          <w:fldChar w:fldCharType="begin"/>
        </w:r>
        <w:r>
          <w:rPr>
            <w:webHidden/>
          </w:rPr>
          <w:instrText xml:space="preserve"> PAGEREF _Toc523748349 \h </w:instrText>
        </w:r>
        <w:r>
          <w:rPr>
            <w:webHidden/>
          </w:rPr>
        </w:r>
        <w:r>
          <w:rPr>
            <w:webHidden/>
          </w:rPr>
          <w:fldChar w:fldCharType="separate"/>
        </w:r>
        <w:r>
          <w:rPr>
            <w:webHidden/>
          </w:rPr>
          <w:t>3</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0" w:history="1">
        <w:r w:rsidRPr="00653DA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Rapporteringen av stora exponeringar (LE) – omfattning och nivå</w:t>
        </w:r>
        <w:r>
          <w:rPr>
            <w:webHidden/>
          </w:rPr>
          <w:tab/>
        </w:r>
        <w:r>
          <w:rPr>
            <w:webHidden/>
          </w:rPr>
          <w:fldChar w:fldCharType="begin"/>
        </w:r>
        <w:r>
          <w:rPr>
            <w:webHidden/>
          </w:rPr>
          <w:instrText xml:space="preserve"> PAGEREF _Toc523748350 \h </w:instrText>
        </w:r>
        <w:r>
          <w:rPr>
            <w:webHidden/>
          </w:rPr>
        </w:r>
        <w:r>
          <w:rPr>
            <w:webHidden/>
          </w:rPr>
          <w:fldChar w:fldCharType="separate"/>
        </w:r>
        <w:r>
          <w:rPr>
            <w:webHidden/>
          </w:rPr>
          <w:t>3</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1" w:history="1">
        <w:r w:rsidRPr="00653DAE">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LE-mallens struktur</w:t>
        </w:r>
        <w:r>
          <w:rPr>
            <w:webHidden/>
          </w:rPr>
          <w:tab/>
        </w:r>
        <w:r>
          <w:rPr>
            <w:webHidden/>
          </w:rPr>
          <w:fldChar w:fldCharType="begin"/>
        </w:r>
        <w:r>
          <w:rPr>
            <w:webHidden/>
          </w:rPr>
          <w:instrText xml:space="preserve"> PAGEREF _Toc523748351 \h </w:instrText>
        </w:r>
        <w:r>
          <w:rPr>
            <w:webHidden/>
          </w:rPr>
        </w:r>
        <w:r>
          <w:rPr>
            <w:webHidden/>
          </w:rPr>
          <w:fldChar w:fldCharType="separate"/>
        </w:r>
        <w:r>
          <w:rPr>
            <w:webHidden/>
          </w:rPr>
          <w:t>4</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2" w:history="1">
        <w:r w:rsidRPr="00653DAE">
          <w:rPr>
            <w:rStyle w:val="Hyperlink"/>
            <w:rFonts w:ascii="Times New Roman" w:eastAsia="Arial" w:hAnsi="Times New Roman"/>
          </w:rPr>
          <w:t>3.</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Definitioner för LE-rapporteringen grupp av kunder med inbördes anknytning</w:t>
        </w:r>
        <w:r>
          <w:rPr>
            <w:webHidden/>
          </w:rPr>
          <w:tab/>
        </w:r>
        <w:r>
          <w:rPr>
            <w:webHidden/>
          </w:rPr>
          <w:fldChar w:fldCharType="begin"/>
        </w:r>
        <w:r>
          <w:rPr>
            <w:webHidden/>
          </w:rPr>
          <w:instrText xml:space="preserve"> PAGEREF _Toc523748352 \h </w:instrText>
        </w:r>
        <w:r>
          <w:rPr>
            <w:webHidden/>
          </w:rPr>
        </w:r>
        <w:r>
          <w:rPr>
            <w:webHidden/>
          </w:rPr>
          <w:fldChar w:fldCharType="separate"/>
        </w:r>
        <w:r>
          <w:rPr>
            <w:webHidden/>
          </w:rPr>
          <w:t>4</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3" w:history="1">
        <w:r w:rsidRPr="00653DAE">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C 26.00 Mall för gräns för stora exponeringar</w:t>
        </w:r>
        <w:r>
          <w:rPr>
            <w:webHidden/>
          </w:rPr>
          <w:tab/>
        </w:r>
        <w:r>
          <w:rPr>
            <w:webHidden/>
          </w:rPr>
          <w:fldChar w:fldCharType="begin"/>
        </w:r>
        <w:r>
          <w:rPr>
            <w:webHidden/>
          </w:rPr>
          <w:instrText xml:space="preserve"> PAGEREF _Toc523748353 \h </w:instrText>
        </w:r>
        <w:r>
          <w:rPr>
            <w:webHidden/>
          </w:rPr>
        </w:r>
        <w:r>
          <w:rPr>
            <w:webHidden/>
          </w:rPr>
          <w:fldChar w:fldCharType="separate"/>
        </w:r>
        <w:r>
          <w:rPr>
            <w:webHidden/>
          </w:rPr>
          <w:t>5</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4" w:history="1">
        <w:r w:rsidRPr="00653DAE">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Instruktioner för särskilda rader</w:t>
        </w:r>
        <w:r>
          <w:rPr>
            <w:webHidden/>
          </w:rPr>
          <w:tab/>
        </w:r>
        <w:r>
          <w:rPr>
            <w:webHidden/>
          </w:rPr>
          <w:fldChar w:fldCharType="begin"/>
        </w:r>
        <w:r>
          <w:rPr>
            <w:webHidden/>
          </w:rPr>
          <w:instrText xml:space="preserve"> PAGEREF _Toc523748354 \h </w:instrText>
        </w:r>
        <w:r>
          <w:rPr>
            <w:webHidden/>
          </w:rPr>
        </w:r>
        <w:r>
          <w:rPr>
            <w:webHidden/>
          </w:rPr>
          <w:fldChar w:fldCharType="separate"/>
        </w:r>
        <w:r>
          <w:rPr>
            <w:webHidden/>
          </w:rPr>
          <w:t>5</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5" w:history="1">
        <w:r w:rsidRPr="00653DAE">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C 27.00 - Identifiering av motparten (LE1)</w:t>
        </w:r>
        <w:r>
          <w:rPr>
            <w:webHidden/>
          </w:rPr>
          <w:tab/>
        </w:r>
        <w:r>
          <w:rPr>
            <w:webHidden/>
          </w:rPr>
          <w:fldChar w:fldCharType="begin"/>
        </w:r>
        <w:r>
          <w:rPr>
            <w:webHidden/>
          </w:rPr>
          <w:instrText xml:space="preserve"> PAGEREF _Toc523748355 \h </w:instrText>
        </w:r>
        <w:r>
          <w:rPr>
            <w:webHidden/>
          </w:rPr>
        </w:r>
        <w:r>
          <w:rPr>
            <w:webHidden/>
          </w:rPr>
          <w:fldChar w:fldCharType="separate"/>
        </w:r>
        <w:r>
          <w:rPr>
            <w:webHidden/>
          </w:rPr>
          <w:t>6</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6" w:history="1">
        <w:r w:rsidRPr="00653DAE">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_Toc523748356 \h </w:instrText>
        </w:r>
        <w:r>
          <w:rPr>
            <w:webHidden/>
          </w:rPr>
        </w:r>
        <w:r>
          <w:rPr>
            <w:webHidden/>
          </w:rPr>
          <w:fldChar w:fldCharType="separate"/>
        </w:r>
        <w:r>
          <w:rPr>
            <w:webHidden/>
          </w:rPr>
          <w:t>6</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7" w:history="1">
        <w:r w:rsidRPr="00653DAE">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C 28.00 Exponeringar utanför eller i handelslagret (LE2)</w:t>
        </w:r>
        <w:r>
          <w:rPr>
            <w:webHidden/>
          </w:rPr>
          <w:tab/>
        </w:r>
        <w:r>
          <w:rPr>
            <w:webHidden/>
          </w:rPr>
          <w:fldChar w:fldCharType="begin"/>
        </w:r>
        <w:r>
          <w:rPr>
            <w:webHidden/>
          </w:rPr>
          <w:instrText xml:space="preserve"> PAGEREF _Toc523748357 \h </w:instrText>
        </w:r>
        <w:r>
          <w:rPr>
            <w:webHidden/>
          </w:rPr>
        </w:r>
        <w:r>
          <w:rPr>
            <w:webHidden/>
          </w:rPr>
          <w:fldChar w:fldCharType="separate"/>
        </w:r>
        <w:r>
          <w:rPr>
            <w:webHidden/>
          </w:rPr>
          <w:t>8</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8" w:history="1">
        <w:r w:rsidRPr="00653DAE">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_Toc523748358 \h </w:instrText>
        </w:r>
        <w:r>
          <w:rPr>
            <w:webHidden/>
          </w:rPr>
        </w:r>
        <w:r>
          <w:rPr>
            <w:webHidden/>
          </w:rPr>
          <w:fldChar w:fldCharType="separate"/>
        </w:r>
        <w:r>
          <w:rPr>
            <w:webHidden/>
          </w:rPr>
          <w:t>8</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59" w:history="1">
        <w:r w:rsidRPr="00653DAE">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C 29.00 – Uppgifter om exponeringar mot enskilda kunder inom grupper av kunder med inbördes anknytning (LE3)</w:t>
        </w:r>
        <w:r>
          <w:rPr>
            <w:webHidden/>
          </w:rPr>
          <w:tab/>
        </w:r>
        <w:r>
          <w:rPr>
            <w:webHidden/>
          </w:rPr>
          <w:fldChar w:fldCharType="begin"/>
        </w:r>
        <w:r>
          <w:rPr>
            <w:webHidden/>
          </w:rPr>
          <w:instrText xml:space="preserve"> PAGEREF _Toc523748359 \h </w:instrText>
        </w:r>
        <w:r>
          <w:rPr>
            <w:webHidden/>
          </w:rPr>
        </w:r>
        <w:r>
          <w:rPr>
            <w:webHidden/>
          </w:rPr>
          <w:fldChar w:fldCharType="separate"/>
        </w:r>
        <w:r>
          <w:rPr>
            <w:webHidden/>
          </w:rPr>
          <w:t>16</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60" w:history="1">
        <w:r w:rsidRPr="00653DAE">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_Toc523748360 \h </w:instrText>
        </w:r>
        <w:r>
          <w:rPr>
            <w:webHidden/>
          </w:rPr>
        </w:r>
        <w:r>
          <w:rPr>
            <w:webHidden/>
          </w:rPr>
          <w:fldChar w:fldCharType="separate"/>
        </w:r>
        <w:r>
          <w:rPr>
            <w:webHidden/>
          </w:rPr>
          <w:t>16</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61" w:history="1">
        <w:r w:rsidRPr="00653DAE">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C 30.00 – Löptidsintervall för de tio största exponeringarna mot institut och de tio största exponeringarna mot oreglerade enheter i den finansiella sektorn (mallen LE 4)</w:t>
        </w:r>
        <w:r>
          <w:rPr>
            <w:webHidden/>
          </w:rPr>
          <w:tab/>
        </w:r>
        <w:r>
          <w:rPr>
            <w:webHidden/>
          </w:rPr>
          <w:fldChar w:fldCharType="begin"/>
        </w:r>
        <w:r>
          <w:rPr>
            <w:webHidden/>
          </w:rPr>
          <w:instrText xml:space="preserve"> PAGEREF _Toc523748361 \h </w:instrText>
        </w:r>
        <w:r>
          <w:rPr>
            <w:webHidden/>
          </w:rPr>
        </w:r>
        <w:r>
          <w:rPr>
            <w:webHidden/>
          </w:rPr>
          <w:fldChar w:fldCharType="separate"/>
        </w:r>
        <w:r>
          <w:rPr>
            <w:webHidden/>
          </w:rPr>
          <w:t>17</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62" w:history="1">
        <w:r w:rsidRPr="00653DAE">
          <w:rPr>
            <w:rStyle w:val="Hyperlink"/>
            <w:rFonts w:ascii="Times New Roman" w:hAnsi="Times New Roman"/>
          </w:rPr>
          <w:t>8.1.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_Toc523748362 \h </w:instrText>
        </w:r>
        <w:r>
          <w:rPr>
            <w:webHidden/>
          </w:rPr>
        </w:r>
        <w:r>
          <w:rPr>
            <w:webHidden/>
          </w:rPr>
          <w:fldChar w:fldCharType="separate"/>
        </w:r>
        <w:r>
          <w:rPr>
            <w:webHidden/>
          </w:rPr>
          <w:t>17</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63" w:history="1">
        <w:r w:rsidRPr="00653DAE">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C 31.00 -– Löptidsintervall för de tio största exponeringarna mot institut och de tio största exponeringarna mot oreglerade finansiella enheter: Uppgifter om exponeringar mot enskilda kunder inom grupper av kunder med inbördes anknytning (mallen LE5).</w:t>
        </w:r>
        <w:r>
          <w:rPr>
            <w:webHidden/>
          </w:rPr>
          <w:tab/>
        </w:r>
        <w:r>
          <w:rPr>
            <w:webHidden/>
          </w:rPr>
          <w:fldChar w:fldCharType="begin"/>
        </w:r>
        <w:r>
          <w:rPr>
            <w:webHidden/>
          </w:rPr>
          <w:instrText xml:space="preserve"> PAGEREF _Toc523748363 \h </w:instrText>
        </w:r>
        <w:r>
          <w:rPr>
            <w:webHidden/>
          </w:rPr>
        </w:r>
        <w:r>
          <w:rPr>
            <w:webHidden/>
          </w:rPr>
          <w:fldChar w:fldCharType="separate"/>
        </w:r>
        <w:r>
          <w:rPr>
            <w:webHidden/>
          </w:rPr>
          <w:t>19</w:t>
        </w:r>
        <w:r>
          <w:rPr>
            <w:webHidden/>
          </w:rPr>
          <w:fldChar w:fldCharType="end"/>
        </w:r>
      </w:hyperlink>
    </w:p>
    <w:p w:rsidR="003B102B" w:rsidRDefault="003B102B">
      <w:pPr>
        <w:pStyle w:val="TOC2"/>
        <w:rPr>
          <w:rFonts w:asciiTheme="minorHAnsi" w:eastAsiaTheme="minorEastAsia" w:hAnsiTheme="minorHAnsi" w:cstheme="minorBidi"/>
          <w:b w:val="0"/>
          <w:smallCaps w:val="0"/>
          <w:sz w:val="22"/>
          <w:lang w:val="en-GB" w:eastAsia="en-GB" w:bidi="ar-SA"/>
        </w:rPr>
      </w:pPr>
      <w:hyperlink w:anchor="_Toc523748364" w:history="1">
        <w:r w:rsidRPr="00653DAE">
          <w:rPr>
            <w:rStyle w:val="Hyperlink"/>
            <w:rFonts w:ascii="Times New Roman" w:hAnsi="Times New Roman"/>
          </w:rPr>
          <w:t>9.1.</w:t>
        </w:r>
        <w:r>
          <w:rPr>
            <w:rFonts w:asciiTheme="minorHAnsi" w:eastAsiaTheme="minorEastAsia" w:hAnsiTheme="minorHAnsi" w:cstheme="minorBidi"/>
            <w:b w:val="0"/>
            <w:smallCaps w:val="0"/>
            <w:sz w:val="22"/>
            <w:lang w:val="en-GB" w:eastAsia="en-GB" w:bidi="ar-SA"/>
          </w:rPr>
          <w:tab/>
        </w:r>
        <w:r w:rsidRPr="00653DAE">
          <w:rPr>
            <w:rStyle w:val="Hyperlink"/>
            <w:rFonts w:ascii="Times New Roman" w:hAnsi="Times New Roman"/>
          </w:rPr>
          <w:t>Instruktioner för särs</w:t>
        </w:r>
        <w:bookmarkStart w:id="2" w:name="_GoBack"/>
        <w:bookmarkEnd w:id="2"/>
        <w:r w:rsidRPr="00653DAE">
          <w:rPr>
            <w:rStyle w:val="Hyperlink"/>
            <w:rFonts w:ascii="Times New Roman" w:hAnsi="Times New Roman"/>
          </w:rPr>
          <w:t>kilda kolumner</w:t>
        </w:r>
        <w:r>
          <w:rPr>
            <w:webHidden/>
          </w:rPr>
          <w:tab/>
        </w:r>
        <w:r>
          <w:rPr>
            <w:webHidden/>
          </w:rPr>
          <w:fldChar w:fldCharType="begin"/>
        </w:r>
        <w:r>
          <w:rPr>
            <w:webHidden/>
          </w:rPr>
          <w:instrText xml:space="preserve"> PAGEREF _Toc523748364 \h </w:instrText>
        </w:r>
        <w:r>
          <w:rPr>
            <w:webHidden/>
          </w:rPr>
        </w:r>
        <w:r>
          <w:rPr>
            <w:webHidden/>
          </w:rPr>
          <w:fldChar w:fldCharType="separate"/>
        </w:r>
        <w:r>
          <w:rPr>
            <w:webHidden/>
          </w:rPr>
          <w:t>19</w:t>
        </w:r>
        <w:r>
          <w:rPr>
            <w:webHidden/>
          </w:rPr>
          <w:fldChar w:fldCharType="end"/>
        </w:r>
      </w:hyperlink>
    </w:p>
    <w:p w:rsidR="00E15F6E" w:rsidRDefault="003B102B">
      <w:pPr>
        <w:rPr>
          <w:rFonts w:ascii="Times New Roman" w:eastAsia="SimSun" w:hAnsi="Times New Roman"/>
          <w:sz w:val="24"/>
        </w:rPr>
        <w:sectPr w:rsidR="00E15F6E"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3" w:name="_Toc264038394"/>
      <w:bookmarkStart w:id="4" w:name="_Toc393461951"/>
      <w:bookmarkStart w:id="5" w:name="_Toc523748346"/>
      <w:r>
        <w:rPr>
          <w:rFonts w:ascii="Times New Roman" w:hAnsi="Times New Roman"/>
        </w:rPr>
        <w:lastRenderedPageBreak/>
        <w:t>DEL I:</w:t>
      </w:r>
      <w:bookmarkEnd w:id="3"/>
      <w:r>
        <w:rPr>
          <w:rFonts w:ascii="Times New Roman" w:hAnsi="Times New Roman"/>
        </w:rPr>
        <w:t xml:space="preserve"> ALLMÄNNA INSTRUKTIONER</w:t>
      </w:r>
      <w:bookmarkEnd w:id="4"/>
      <w:bookmarkEnd w:id="5"/>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3748347"/>
      <w:r>
        <w:rPr>
          <w:rFonts w:ascii="Times New Roman" w:hAnsi="Times New Roman"/>
          <w:b/>
          <w:sz w:val="24"/>
          <w:u w:val="none"/>
        </w:rPr>
        <w:t>Struktur och praxis</w:t>
      </w:r>
      <w:bookmarkEnd w:id="6"/>
      <w:bookmarkEnd w:id="7"/>
    </w:p>
    <w:p w:rsidR="00393539" w:rsidRPr="0039317F" w:rsidRDefault="00D40975" w:rsidP="0039317F">
      <w:pPr>
        <w:pStyle w:val="InstructionsText2"/>
      </w:pPr>
      <w:bookmarkStart w:id="8" w:name="_Toc264038399"/>
      <w:bookmarkStart w:id="9" w:name="_Toc294018834"/>
      <w:r>
        <w:t>Rapporteringsramen för stora exponeringar (”LE”) ska omfatta sex mallar som inn</w:t>
      </w:r>
      <w:r>
        <w:t>e</w:t>
      </w:r>
      <w:r>
        <w:t>håller följande information:</w:t>
      </w:r>
    </w:p>
    <w:p w:rsidR="00DA54E3" w:rsidRPr="0039317F" w:rsidRDefault="00CC2429" w:rsidP="0039317F">
      <w:pPr>
        <w:pStyle w:val="InstructionsText2"/>
        <w:numPr>
          <w:ilvl w:val="1"/>
          <w:numId w:val="15"/>
        </w:numPr>
        <w:rPr>
          <w:rFonts w:eastAsia="Arial"/>
        </w:rPr>
      </w:pPr>
      <w:r>
        <w:t>Gränser för stora exponeringar.</w:t>
      </w:r>
    </w:p>
    <w:p w:rsidR="00DA54E3" w:rsidRPr="0039317F" w:rsidRDefault="00CC2429" w:rsidP="0039317F">
      <w:pPr>
        <w:pStyle w:val="InstructionsText2"/>
        <w:numPr>
          <w:ilvl w:val="1"/>
          <w:numId w:val="15"/>
        </w:numPr>
        <w:rPr>
          <w:rFonts w:eastAsia="Arial"/>
        </w:rPr>
      </w:pPr>
      <w:r>
        <w:t>Identifiering av motparten (mallen LE1).</w:t>
      </w:r>
    </w:p>
    <w:p w:rsidR="00393539" w:rsidRPr="0039317F" w:rsidRDefault="00CC2429" w:rsidP="0039317F">
      <w:pPr>
        <w:pStyle w:val="InstructionsText2"/>
        <w:numPr>
          <w:ilvl w:val="1"/>
          <w:numId w:val="15"/>
        </w:numPr>
        <w:rPr>
          <w:rFonts w:eastAsia="Arial"/>
        </w:rPr>
      </w:pPr>
      <w:r>
        <w:t xml:space="preserve">Exponeringar utanför eller i handelslagret (mallen LE2). </w:t>
      </w:r>
    </w:p>
    <w:p w:rsidR="00393539" w:rsidRPr="0039317F" w:rsidRDefault="00CC2429" w:rsidP="0039317F">
      <w:pPr>
        <w:pStyle w:val="InstructionsText2"/>
        <w:numPr>
          <w:ilvl w:val="1"/>
          <w:numId w:val="15"/>
        </w:numPr>
        <w:rPr>
          <w:rFonts w:eastAsia="Arial"/>
        </w:rPr>
      </w:pPr>
      <w:r>
        <w:t>Uppgifter om exponeringar mot enskilda kunder inom grupper av kunder med inbördes anknytning (mallen LE3).</w:t>
      </w:r>
    </w:p>
    <w:p w:rsidR="00627430" w:rsidRPr="0039317F" w:rsidRDefault="00CC2429" w:rsidP="0039317F">
      <w:pPr>
        <w:pStyle w:val="InstructionsText2"/>
        <w:numPr>
          <w:ilvl w:val="1"/>
          <w:numId w:val="15"/>
        </w:numPr>
        <w:rPr>
          <w:rFonts w:eastAsia="Arial"/>
        </w:rPr>
      </w:pPr>
      <w:r>
        <w:t xml:space="preserve">Löptidsintervall för de tio största exponeringarna mot institut och de tio största exponeringarna mot oreglerade finansiella enheter (mallen LE4). </w:t>
      </w:r>
    </w:p>
    <w:p w:rsidR="00DA54E3" w:rsidRPr="0039317F" w:rsidRDefault="00CC2429" w:rsidP="0039317F">
      <w:pPr>
        <w:pStyle w:val="InstructionsText2"/>
        <w:numPr>
          <w:ilvl w:val="1"/>
          <w:numId w:val="15"/>
        </w:numPr>
        <w:rPr>
          <w:rFonts w:eastAsia="Arial"/>
        </w:rPr>
      </w:pPr>
      <w:r>
        <w:t>Löptidsintervall för de tio största exponeringarna mot institut och de tio största exponeringarna mot oreglerade finansiella enheter. Uppgifter om exponeringar mot enskilda kunder inom grupper av kunder med inbördes anknytning (mallen LE5).</w:t>
      </w:r>
    </w:p>
    <w:p w:rsidR="003D56DE" w:rsidRPr="0039317F" w:rsidRDefault="00756759" w:rsidP="0039317F">
      <w:pPr>
        <w:pStyle w:val="InstructionsText2"/>
      </w:pPr>
      <w:r>
        <w:t>Instruktionerna omfattar rättsliga hänvisningar samt detaljerad information om vilka uppgifter som ska rapporteras i varje mall.</w:t>
      </w:r>
    </w:p>
    <w:p w:rsidR="00B0191A" w:rsidRPr="0039317F" w:rsidRDefault="003105C6" w:rsidP="0039317F">
      <w:pPr>
        <w:pStyle w:val="InstructionsText2"/>
      </w:pPr>
      <w:r>
        <w:t>Instruktionerna och valideringsreglerna följer den märkningspraxis som anges i fö</w:t>
      </w:r>
      <w:r>
        <w:t>l</w:t>
      </w:r>
      <w:r>
        <w:t xml:space="preserve">jande punkter när det hänvisas till kolumner, rader och celler i mallarna. </w:t>
      </w:r>
    </w:p>
    <w:p w:rsidR="00B0191A" w:rsidRPr="0039317F" w:rsidRDefault="00F36707" w:rsidP="0039317F">
      <w:pPr>
        <w:pStyle w:val="InstructionsText2"/>
      </w:pPr>
      <w:r>
        <w:t>Följande praxis används normalt i instruktioner och valideringsregler: {Mall;Rad;Kolumn}. En asterisk ska användas för att visa att samtliga rapporterade rader har validerats.</w:t>
      </w:r>
    </w:p>
    <w:p w:rsidR="00B0191A" w:rsidRPr="0039317F" w:rsidRDefault="003105C6" w:rsidP="0039317F">
      <w:pPr>
        <w:pStyle w:val="InstructionsText2"/>
        <w:rPr>
          <w:rFonts w:eastAsia="Arial"/>
        </w:rPr>
      </w:pPr>
      <w:r>
        <w:t>När det gäller valideringar inom en mall där endast data inom mallen används avser beteckningarna inte någon mall: {Rad;Kolumn}.</w:t>
      </w:r>
    </w:p>
    <w:p w:rsidR="00B0191A" w:rsidRDefault="006217F1" w:rsidP="0039317F">
      <w:pPr>
        <w:pStyle w:val="InstructionsText2"/>
      </w:pPr>
      <w:r>
        <w:t xml:space="preserve">ABS(Värde): avser det absoluta värdet utan tecken. </w:t>
      </w:r>
      <w:bookmarkEnd w:id="8"/>
      <w:bookmarkEnd w:id="9"/>
      <w:r>
        <w:t>Varje belopp som ökar expon</w:t>
      </w:r>
      <w:r>
        <w:t>e</w:t>
      </w:r>
      <w:r>
        <w:t>ringarna ska rapporteras som ett positivt tal. Varje belopp som minskar exponeringa</w:t>
      </w:r>
      <w:r>
        <w:t>r</w:t>
      </w:r>
      <w:r>
        <w:t>na ska i stället rapporteras som ett negativt tal. Om ett negativt tecken (–) föregår märkningen av en post ska det inte rapporteras något positivt tal för den posten.</w:t>
      </w:r>
    </w:p>
    <w:p w:rsidR="0093135A" w:rsidRPr="0078562D" w:rsidRDefault="0078562D" w:rsidP="0078562D">
      <w:pPr>
        <w:pStyle w:val="Instructionsberschrift2"/>
        <w:numPr>
          <w:ilvl w:val="0"/>
          <w:numId w:val="20"/>
        </w:numPr>
        <w:rPr>
          <w:b/>
        </w:rPr>
      </w:pPr>
      <w:bookmarkStart w:id="10" w:name="_Toc523748348"/>
      <w:r>
        <w:rPr>
          <w:rFonts w:ascii="Times New Roman" w:hAnsi="Times New Roman"/>
          <w:b/>
          <w:sz w:val="24"/>
          <w:u w:val="none"/>
        </w:rPr>
        <w:t>Förkortningar</w:t>
      </w:r>
      <w:bookmarkEnd w:id="10"/>
    </w:p>
    <w:p w:rsidR="0093135A" w:rsidRDefault="0093135A" w:rsidP="0093135A">
      <w:pPr>
        <w:pStyle w:val="InstructionsText2"/>
      </w:pPr>
      <w:r>
        <w:t>I denna bilaga används förkortningen CRR för att beteckna förordning (EU) nr 575/2013.</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3748349"/>
      <w:r>
        <w:rPr>
          <w:rFonts w:ascii="Times New Roman" w:hAnsi="Times New Roman"/>
        </w:rPr>
        <w:lastRenderedPageBreak/>
        <w:t>DEL II: MALLRELATERADE INSTRUKTIONER</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I denna bilaga ska instruktioner för rapporteringen av stora exponeringar också gälla för ra</w:t>
      </w:r>
      <w:r>
        <w:rPr>
          <w:rFonts w:ascii="Times New Roman" w:hAnsi="Times New Roman"/>
          <w:sz w:val="24"/>
        </w:rPr>
        <w:t>p</w:t>
      </w:r>
      <w:r>
        <w:rPr>
          <w:rFonts w:ascii="Times New Roman" w:hAnsi="Times New Roman"/>
          <w:sz w:val="24"/>
        </w:rPr>
        <w:t>porteringen av väsentliga exponeringar enligt artiklarna 9 och 11, och i enlighet med det ti</w:t>
      </w:r>
      <w:r>
        <w:rPr>
          <w:rFonts w:ascii="Times New Roman" w:hAnsi="Times New Roman"/>
          <w:sz w:val="24"/>
        </w:rPr>
        <w:t>l</w:t>
      </w:r>
      <w:r>
        <w:rPr>
          <w:rFonts w:ascii="Times New Roman" w:hAnsi="Times New Roman"/>
          <w:sz w:val="24"/>
        </w:rPr>
        <w:t>lämpningsområde som definieras i de artiklarna.</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3748350"/>
      <w:r>
        <w:rPr>
          <w:rFonts w:ascii="Times New Roman" w:hAnsi="Times New Roman"/>
          <w:b/>
          <w:sz w:val="24"/>
          <w:u w:val="none"/>
        </w:rPr>
        <w:t>Rapporteringen av stora exponeringar (LE) – omfattning och nivå</w:t>
      </w:r>
      <w:bookmarkEnd w:id="14"/>
      <w:bookmarkEnd w:id="15"/>
    </w:p>
    <w:p w:rsidR="000F13EA" w:rsidRPr="0039317F" w:rsidRDefault="000F13EA" w:rsidP="0039317F">
      <w:pPr>
        <w:pStyle w:val="InstructionsText2"/>
        <w:numPr>
          <w:ilvl w:val="0"/>
          <w:numId w:val="27"/>
        </w:numPr>
        <w:rPr>
          <w:rFonts w:eastAsia="Arial"/>
        </w:rPr>
      </w:pPr>
      <w:r>
        <w:t xml:space="preserve">För att rapportera information om stora exponeringar mot kunder eller grupper av kunder med inbördes anknytning i enlighet med artikel 394.1 i förordning (EU) 575/2013 (kapitalkravsförordningen, nedan kallad CRR) på enskild nivå ska instituten använda mallarna LE1, LE2 och LE3. </w:t>
      </w:r>
    </w:p>
    <w:p w:rsidR="00B0191A" w:rsidRPr="0039317F" w:rsidRDefault="000F13EA" w:rsidP="0039317F">
      <w:pPr>
        <w:pStyle w:val="InstructionsText2"/>
        <w:rPr>
          <w:rFonts w:eastAsia="Arial"/>
        </w:rPr>
      </w:pPr>
      <w:r>
        <w:t xml:space="preserve">För att rapportera information om stora exponeringar mot kunder eller grupper av kunder med inbördes anknytning i enlighet med artikel 394.1 i CRR på koncernnivå ska moderinstituten i en medlemsstat använda mallarna LE1, LE2 och LE3. </w:t>
      </w:r>
    </w:p>
    <w:p w:rsidR="00B0191A" w:rsidRPr="0039317F" w:rsidRDefault="00A11FB0" w:rsidP="000F0ADE">
      <w:pPr>
        <w:pStyle w:val="InstructionsText2"/>
        <w:rPr>
          <w:rFonts w:eastAsia="Arial"/>
        </w:rPr>
      </w:pPr>
      <w:r>
        <w:t>Varje stor exponering som har definierats i enlighet med artikel 392 i CRR ska rappo</w:t>
      </w:r>
      <w:r>
        <w:t>r</w:t>
      </w:r>
      <w:r>
        <w:t xml:space="preserve">teras, inklusive de stora exponeringar som inte ska beaktas för att följa den gräns för stora exponeringar som fastställs i artikel 395 i CRR. </w:t>
      </w:r>
    </w:p>
    <w:p w:rsidR="00B0191A" w:rsidRPr="0039317F" w:rsidRDefault="001C7BF0" w:rsidP="000F0ADE">
      <w:pPr>
        <w:pStyle w:val="InstructionsText2"/>
        <w:rPr>
          <w:rFonts w:eastAsia="Arial"/>
        </w:rPr>
      </w:pPr>
      <w:r>
        <w:t>För att rapportera information om de tjugo största exponeringarna mot kunder eller grupper av kunder med inbördes anknytning i enlighet med artikel 394.1 sista menin</w:t>
      </w:r>
      <w:r>
        <w:t>g</w:t>
      </w:r>
      <w:r>
        <w:t>en i CRR på koncernnivå, ska de moderinstitut i en medlemsstat som omfattas av del tre avdelning II kapitel 3 i CRR använda mallarna LE1, LE2 och LE3. Det expon</w:t>
      </w:r>
      <w:r>
        <w:t>e</w:t>
      </w:r>
      <w:r>
        <w:t xml:space="preserve">ringsvärde som följer av att beloppet i kolumn 320 (”Undantagna belopp”) i mallen LE2 dras av från beloppet i kolumn 210 (”Totalt”) i samma mall är det belopp som ska användas för att fastställa dessa tjugo största exponeringar. </w:t>
      </w:r>
    </w:p>
    <w:p w:rsidR="00B0191A" w:rsidRPr="0039317F" w:rsidRDefault="00C1644D">
      <w:pPr>
        <w:pStyle w:val="InstructionsText2"/>
        <w:rPr>
          <w:rFonts w:eastAsia="Arial"/>
        </w:rPr>
      </w:pPr>
      <w:r>
        <w:t>För att rapportera information om de tio största exponeringarna mot institut samt de tio största exponeringarna mot oreglerade enheter i den finansiella sektorn i enlighet med artikel 394.2 a–d i CRR på koncernnivå ska moderinstituten i en medlemsstat använda mallarna LE1, LE2 och LE3. För att rapportera löptidsstrukturen för dessa expon</w:t>
      </w:r>
      <w:r>
        <w:t>e</w:t>
      </w:r>
      <w:r>
        <w:t>ringar i enlighet med artikel 394.2 e i CRR ska moderinstituten i en medlemsstat a</w:t>
      </w:r>
      <w:r>
        <w:t>n</w:t>
      </w:r>
      <w:r>
        <w:t>vända mallarna LE4 och LE5. Det exponeringsvärde som beräknas i kolumn 210 (”Totalt”) i mallen LE2 är det belopp som ska användas för att fastställa dessa tjugo största exponeringar.</w:t>
      </w:r>
    </w:p>
    <w:p w:rsidR="00B0191A" w:rsidRPr="0039317F" w:rsidRDefault="001E0F83">
      <w:pPr>
        <w:pStyle w:val="InstructionsText2"/>
        <w:rPr>
          <w:rFonts w:eastAsia="Arial"/>
        </w:rPr>
      </w:pPr>
      <w:r>
        <w:t>Uppgifterna om stora exponeringar och de relevanta största exponeringarna mot gru</w:t>
      </w:r>
      <w:r>
        <w:t>p</w:t>
      </w:r>
      <w:r>
        <w:t xml:space="preserve">per av kunder med inbördes anknytning samt enskilda kunder som inte ingår i en grupp av kunder med inbördes anknytning ska rapporteras i mallen LE2 (där en grupp av kunder med inbördes anknytning ska rapporteras som en enda exponering). </w:t>
      </w:r>
    </w:p>
    <w:p w:rsidR="00B0191A" w:rsidRPr="0039317F" w:rsidRDefault="008A4511">
      <w:pPr>
        <w:pStyle w:val="InstructionsText2"/>
        <w:rPr>
          <w:rFonts w:eastAsia="Arial"/>
        </w:rPr>
      </w:pPr>
      <w:r>
        <w:t xml:space="preserve">I mallen LE3 ska instituten rapportera uppgifter om exponeringar mot enskilda kunder som ingår i de grupper av kunder med inbördes anknytning som rapporteras i LE2-mallen. Rapporteringen av en exponering mot en enskild kund i LE2-mallen ska inte upprepas i LE3-mallen.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3748351"/>
      <w:r>
        <w:rPr>
          <w:rFonts w:ascii="Times New Roman" w:hAnsi="Times New Roman"/>
          <w:b/>
          <w:sz w:val="24"/>
          <w:u w:val="none"/>
        </w:rPr>
        <w:lastRenderedPageBreak/>
        <w:t>LE-mallens struktur</w:t>
      </w:r>
      <w:bookmarkEnd w:id="16"/>
      <w:bookmarkEnd w:id="17"/>
    </w:p>
    <w:p w:rsidR="00A11EC0" w:rsidRPr="0039317F" w:rsidRDefault="00B945FE" w:rsidP="0039317F">
      <w:pPr>
        <w:pStyle w:val="InstructionsText2"/>
        <w:rPr>
          <w:rFonts w:eastAsia="Arial"/>
        </w:rPr>
      </w:pPr>
      <w:r>
        <w:t>Kolumnerna i LE1-mallen ska ange information gällande identifiering av enskilda kunder eller grupper av kunder med inbördes anknytning som ett institut har en exp</w:t>
      </w:r>
      <w:r>
        <w:t>o</w:t>
      </w:r>
      <w:r>
        <w:t>nering mot.</w:t>
      </w:r>
    </w:p>
    <w:p w:rsidR="00B0191A" w:rsidRPr="0039317F" w:rsidRDefault="009362E7" w:rsidP="0039317F">
      <w:pPr>
        <w:pStyle w:val="InstructionsText2"/>
        <w:rPr>
          <w:rFonts w:eastAsia="Arial"/>
        </w:rPr>
      </w:pPr>
      <w:r>
        <w:t xml:space="preserve">Kolumnerna i mallarna LE2 och LE3 ska ange följande information:   </w:t>
      </w:r>
    </w:p>
    <w:p w:rsidR="00B0191A" w:rsidRPr="0039317F" w:rsidRDefault="001E0F83" w:rsidP="000F0ADE">
      <w:pPr>
        <w:pStyle w:val="InstructionsText2"/>
        <w:numPr>
          <w:ilvl w:val="1"/>
          <w:numId w:val="15"/>
        </w:numPr>
        <w:rPr>
          <w:rFonts w:eastAsia="Arial"/>
        </w:rPr>
      </w:pPr>
      <w:r>
        <w:t>Exponeringsvärdet innan undantagen tillämpats och innan hänsyn har tagits till effekten av kreditriskreduceringen, inklusive den direkta, indirekta expon</w:t>
      </w:r>
      <w:r>
        <w:t>e</w:t>
      </w:r>
      <w:r>
        <w:t>ringen och ytterligare exponeringar som härrör från transaktioner där det finns en exponering mot underliggande tillgångar.</w:t>
      </w:r>
    </w:p>
    <w:p w:rsidR="00B0191A" w:rsidRPr="0039317F" w:rsidRDefault="001E0F83" w:rsidP="000F0ADE">
      <w:pPr>
        <w:pStyle w:val="InstructionsText2"/>
        <w:numPr>
          <w:ilvl w:val="1"/>
          <w:numId w:val="15"/>
        </w:numPr>
        <w:rPr>
          <w:rFonts w:eastAsia="Arial"/>
        </w:rPr>
      </w:pPr>
      <w:r>
        <w:t>Effekten av undantagen och kreditriskreducerande metoder.</w:t>
      </w:r>
    </w:p>
    <w:p w:rsidR="00B0191A" w:rsidRPr="0039317F" w:rsidRDefault="001E0F83">
      <w:pPr>
        <w:pStyle w:val="InstructionsText2"/>
        <w:numPr>
          <w:ilvl w:val="1"/>
          <w:numId w:val="15"/>
        </w:numPr>
        <w:rPr>
          <w:rFonts w:eastAsia="Arial"/>
        </w:rPr>
      </w:pPr>
      <w:r>
        <w:t xml:space="preserve">Exponeringsvärdet efter det att undantagen tillämpats och efter det att hänsyn har tagits till effekten av kreditriskreduceringen, som beräknats enligt artikel 395.1 i CRR. </w:t>
      </w:r>
    </w:p>
    <w:p w:rsidR="00B0191A" w:rsidRPr="0039317F" w:rsidRDefault="00B4530A" w:rsidP="0039317F">
      <w:pPr>
        <w:pStyle w:val="InstructionsText2"/>
        <w:rPr>
          <w:rFonts w:eastAsia="Arial"/>
        </w:rPr>
      </w:pPr>
      <w:r>
        <w:t xml:space="preserve">Kolumnerna i mallarna LE4 och LE5 ska ange information om vilka löptidsintervall som de förväntade förfallobeloppen för de tio största exponeringarna mot institut och de tio största exponeringarna mot oreglerade finansiella enheter ska hänföras till.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3748352"/>
      <w:r>
        <w:rPr>
          <w:rFonts w:ascii="Times New Roman" w:hAnsi="Times New Roman"/>
          <w:b/>
          <w:sz w:val="24"/>
          <w:u w:val="none"/>
        </w:rPr>
        <w:t>Definitioner för LE-rapporteringen grupp av kunder med inbördes anknytning</w:t>
      </w:r>
      <w:bookmarkEnd w:id="18"/>
      <w:bookmarkEnd w:id="19"/>
    </w:p>
    <w:p w:rsidR="001E0F83" w:rsidRPr="0039317F" w:rsidRDefault="00B945FE" w:rsidP="0039317F">
      <w:pPr>
        <w:pStyle w:val="InstructionsText2"/>
        <w:rPr>
          <w:rFonts w:eastAsia="Arial"/>
        </w:rPr>
      </w:pPr>
      <w:r>
        <w:t>Grupp av kunder med inbördes anknytning: definieras i artikel 4.1 39 i CRR.</w:t>
      </w:r>
    </w:p>
    <w:p w:rsidR="00B0191A" w:rsidRPr="0039317F" w:rsidRDefault="00915A9C" w:rsidP="0039317F">
      <w:pPr>
        <w:pStyle w:val="InstructionsText2"/>
        <w:rPr>
          <w:rFonts w:eastAsia="Arial"/>
        </w:rPr>
      </w:pPr>
      <w:r>
        <w:t xml:space="preserve">Oreglerade enheter i den finansiella sektorn: definieras i artikel 142.1 5 i CRR.  </w:t>
      </w:r>
    </w:p>
    <w:p w:rsidR="00B0191A" w:rsidRPr="0039317F" w:rsidRDefault="00D441A7" w:rsidP="0039317F">
      <w:pPr>
        <w:pStyle w:val="InstructionsText2"/>
        <w:rPr>
          <w:rFonts w:eastAsia="Arial"/>
        </w:rPr>
      </w:pPr>
      <w:r>
        <w:t xml:space="preserve">Institut: definieras i artikel 4.1 3 i CRR.  </w:t>
      </w:r>
    </w:p>
    <w:p w:rsidR="00B0191A" w:rsidRPr="0039317F" w:rsidRDefault="009B34D1" w:rsidP="0039317F">
      <w:pPr>
        <w:pStyle w:val="InstructionsText2"/>
        <w:rPr>
          <w:rFonts w:eastAsia="Arial"/>
        </w:rPr>
      </w:pPr>
      <w:r>
        <w:t>Exponeringar mot civilrättsliga sammanslutningar ska rapporteras. Utöver detta ska instituten lägga till den civilrättsliga sammanslutningens kreditbelopp till varje partner skuldsättning. Exponeringar mot civilrättsliga sammanslutningar som innehåller and</w:t>
      </w:r>
      <w:r>
        <w:t>e</w:t>
      </w:r>
      <w:r>
        <w:t xml:space="preserve">lar ska divideras eller fördelas mellan varje partner efter deras respektive andel. Vissa konstruktioner (t.ex. gemensamma konton, oskiftade dödsbon, lån genom ombud) som i själva verket avser civilrättsliga sammanslutningar ska rapporteras på samma sätt som de rapporteras. </w:t>
      </w:r>
    </w:p>
    <w:p w:rsidR="00910E26" w:rsidRPr="0039317F" w:rsidRDefault="00D441A7" w:rsidP="0039317F">
      <w:pPr>
        <w:pStyle w:val="InstructionsText2"/>
        <w:rPr>
          <w:rFonts w:eastAsia="Arial"/>
        </w:rPr>
      </w:pPr>
      <w:r>
        <w:t>Tillgångsposter och poster utanför balansräkningen ska tillämpas utan riskvikter eller grader av risk i enlighet med artikel 389 i CRR. Framför allt ska konverteringsfaktorer för krediter inte tillämpas för poster utanför balansräkningen.</w:t>
      </w:r>
    </w:p>
    <w:p w:rsidR="00B0191A" w:rsidRPr="0039317F" w:rsidRDefault="0039317F" w:rsidP="0039317F">
      <w:pPr>
        <w:pStyle w:val="InstructionsText2"/>
        <w:rPr>
          <w:rFonts w:eastAsia="Arial"/>
        </w:rPr>
      </w:pPr>
      <w:r>
        <w:t xml:space="preserve"> Exponeringar definieras i artikel 389 i CRR och ska avse följande: </w:t>
      </w:r>
    </w:p>
    <w:p w:rsidR="00B0191A" w:rsidRPr="0039317F" w:rsidRDefault="001243C8" w:rsidP="0039317F">
      <w:pPr>
        <w:pStyle w:val="InstructionsText2"/>
        <w:numPr>
          <w:ilvl w:val="1"/>
          <w:numId w:val="15"/>
        </w:numPr>
        <w:rPr>
          <w:rFonts w:eastAsia="Arial"/>
        </w:rPr>
      </w:pPr>
      <w:r>
        <w:t>Varje tillgångspost eller post utanför balansräkningen utanför eller i handel</w:t>
      </w:r>
      <w:r>
        <w:t>s</w:t>
      </w:r>
      <w:r>
        <w:t xml:space="preserve">lagret, inklusive de poster som anges i artikel 400 i CRR, men exklusive poster som omfattas av artikel 390.6 a–d i CRR. </w:t>
      </w:r>
    </w:p>
    <w:p w:rsidR="00B0191A" w:rsidRPr="0039317F" w:rsidRDefault="00AB5AE4" w:rsidP="000F0ADE">
      <w:pPr>
        <w:pStyle w:val="InstructionsText2"/>
        <w:numPr>
          <w:ilvl w:val="1"/>
          <w:numId w:val="15"/>
        </w:numPr>
        <w:rPr>
          <w:rFonts w:eastAsia="Arial"/>
        </w:rPr>
      </w:pPr>
      <w:r>
        <w:t xml:space="preserve">Indirekta exponeringar är exponeringar som hänförs till garantigivaren eller emittenten av säkerheten i stället för till den direkta låntagaren i enlighet med </w:t>
      </w:r>
      <w:r>
        <w:lastRenderedPageBreak/>
        <w:t xml:space="preserve">artikel 403 i CRR. </w:t>
      </w:r>
      <w:r>
        <w:rPr>
          <w:i/>
        </w:rPr>
        <w:t>Definitionerna får inte på något sätt avvika från de defini</w:t>
      </w:r>
      <w:r>
        <w:rPr>
          <w:i/>
        </w:rPr>
        <w:t>t</w:t>
      </w:r>
      <w:r>
        <w:rPr>
          <w:i/>
        </w:rPr>
        <w:t>ioner som ges i den grundläggande rättsakten.</w:t>
      </w:r>
      <w:r>
        <w:t>]</w:t>
      </w:r>
    </w:p>
    <w:p w:rsidR="00B0191A" w:rsidRPr="0039317F" w:rsidRDefault="00F40CD9" w:rsidP="0039317F">
      <w:pPr>
        <w:pStyle w:val="InstructionsText2"/>
        <w:rPr>
          <w:rFonts w:eastAsia="Arial"/>
        </w:rPr>
      </w:pPr>
      <w:r>
        <w:t>Exponeringar mot grupper av kunder med inbördes anknytning ska beräknas i enlighet med artikel 390.5.</w:t>
      </w:r>
    </w:p>
    <w:p w:rsidR="0008722B" w:rsidRPr="0039317F" w:rsidRDefault="008645CF" w:rsidP="0039317F">
      <w:pPr>
        <w:pStyle w:val="InstructionsText2"/>
        <w:rPr>
          <w:rFonts w:eastAsia="Arial"/>
        </w:rPr>
      </w:pPr>
      <w:r>
        <w:t>Det ska vara tillåtet att beakta nettningsavtal när det gäller effekterna av stora expon</w:t>
      </w:r>
      <w:r>
        <w:t>e</w:t>
      </w:r>
      <w:r>
        <w:t>ringars exponeringsvärde i enlighet med artikel 390.1–3 i CRR. Det exponeringsvärde för ett derivatinstrument som ingår i förteckningen i bilaga II i CRR ska fastställas i enlighet med del tre avdelning II kapitel 6, varvid effekterna av avtal om novation och andra nettningsöverenskommelser ska beaktas vid tillämpningen av dessa metoder i enlighet med del tre avdelning II kapitel 6. Exponeringsvärdet för repor, värdepappers- eller råvarulån, långfristiga transaktioner och marginallån kan fastställas antingen i e</w:t>
      </w:r>
      <w:r>
        <w:t>n</w:t>
      </w:r>
      <w:r>
        <w:t>lighet med del tre avdelning II kapitel 4 eller del tre avdelning II kapitel 6. I enlighet med artikel 296 i CRR ska exponeringsvärdet för en enda rättslig förpliktelse som hä</w:t>
      </w:r>
      <w:r>
        <w:t>r</w:t>
      </w:r>
      <w:r>
        <w:t>rör från det produktövergripande nettningsavtalet med en motpart från det rapport</w:t>
      </w:r>
      <w:r>
        <w:t>e</w:t>
      </w:r>
      <w:r>
        <w:t>rande institutet rapporteras som ”andra förpliktelser” i LE-mallarna.</w:t>
      </w:r>
    </w:p>
    <w:p w:rsidR="00AB28E2" w:rsidRPr="0039317F" w:rsidRDefault="001E0F83" w:rsidP="0039317F">
      <w:pPr>
        <w:pStyle w:val="InstructionsText2"/>
        <w:rPr>
          <w:rFonts w:eastAsia="Arial"/>
        </w:rPr>
      </w:pPr>
      <w:r>
        <w:t>Exponeringsvärdet ska beräknas enligt artikel 390 i CRR.</w:t>
      </w:r>
    </w:p>
    <w:p w:rsidR="00B0191A" w:rsidRPr="0039317F" w:rsidRDefault="001E0F83" w:rsidP="0039317F">
      <w:pPr>
        <w:pStyle w:val="InstructionsText2"/>
        <w:rPr>
          <w:rFonts w:eastAsia="Arial"/>
        </w:rPr>
      </w:pPr>
      <w:r>
        <w:t xml:space="preserve">Effekten av att undantag och godtagbar kreditriskreducering tillämpas helt eller delvis för beräkningen av exponeringar med avseende på artikel 395.1 beskrivs i artiklarna 399–403 i CRR. </w:t>
      </w:r>
    </w:p>
    <w:p w:rsidR="00AB28E2" w:rsidRPr="0039317F" w:rsidRDefault="0017740A" w:rsidP="0039317F">
      <w:pPr>
        <w:pStyle w:val="InstructionsText2"/>
        <w:rPr>
          <w:rFonts w:eastAsia="Arial"/>
        </w:rPr>
      </w:pPr>
      <w:r>
        <w:t>Omvända repor som omfattas av rapporteringen för stora exponeringar ska rapporteras i enlighet med artikel 402.3 i CRR. Förutsatt att kriterierna i artikel 402.3 i CRR är uppfyllda ska institutet rapportera stora exponeringar mot varje tredje part motsv</w:t>
      </w:r>
      <w:r>
        <w:t>a</w:t>
      </w:r>
      <w:r>
        <w:t>rande beloppet för det anspråk som motparten till transaktionen har på denna tredje part och inte beloppet för exponeringen mot motparten.</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3748353"/>
      <w:r>
        <w:rPr>
          <w:rFonts w:ascii="Times New Roman" w:hAnsi="Times New Roman"/>
          <w:b/>
          <w:sz w:val="24"/>
          <w:u w:val="none"/>
        </w:rPr>
        <w:t>C 26.00 Mall för gräns för stora exponeringar</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3748354"/>
      <w:r>
        <w:rPr>
          <w:rFonts w:ascii="Times New Roman" w:hAnsi="Times New Roman"/>
          <w:sz w:val="24"/>
        </w:rPr>
        <w:t>Instruktioner för särskilda rader</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Rader</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Icke-institut</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458.2 d ii, 458.10 och 459 b i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tillämpliga beloppsgränsen för andra motparter än institut ska rapport</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ras. Detta belopp är 25 % av det godtagbara kapital som rapporteras i rad 226 i bilaga I mall 4, om inte en restriktivare procentandel tillämpas på grund av tillämpning av nationella åtgärder i enlighet med artikel 458 i CRR eller de delegerade akter som har fastställts i överensstämmelse med artikel 459 b i CRR.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Artiklarna 395.1, 458.2 d ii, 458.10 och 459 b i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tillämpliga beloppsgränsen för motparter som är institut ska rapporteras. Enligt artikel 395.1 i CRR ska detta belopp vara som följer: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Om 25 % av det godtagbara kapitalet överstiger 150 miljoner euro (eller om den behöriga myndigheten har fastställt ett lägre grän</w:t>
            </w:r>
            <w:r>
              <w:rPr>
                <w:rStyle w:val="FormatvorlageInstructionsTabelleText"/>
                <w:rFonts w:ascii="Times New Roman" w:hAnsi="Times New Roman"/>
                <w:sz w:val="24"/>
              </w:rPr>
              <w:t>s</w:t>
            </w:r>
            <w:r>
              <w:rPr>
                <w:rStyle w:val="FormatvorlageInstructionsTabelleText"/>
                <w:rFonts w:ascii="Times New Roman" w:hAnsi="Times New Roman"/>
                <w:sz w:val="24"/>
              </w:rPr>
              <w:t>värde än 150 miljoner euro i enlighet med artikel 395.1 tredje stycket i CRR), ska 25 % av det godtagbara kapitalet rapporteras.</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Om 150 miljoner euro (eller ett lägre gränsvärde som den behöriga myndigheten har fastställt i enlighet med artikel 395.1 tredje stycket i CRR) överstiger 25 % av institutets godtagbara kapital, ska 150 miljoner euro (eller det lägre gränsvärde som fastställts av den behöriga myndigheten) rapporteras. Om institutet har fastställt ett lägre gränsvärde avseende institutets godtagbara kapital i enlighet med artikel 395.1 andra stycket i CRR ska detta gränsvärde rapport</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ras.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Dessa gränsvärden får vara striktare vid tillämpning av nationella åtgärder i enlighet med artikel 396.6 eller artikel 458 i CRR eller europeiska deleg</w:t>
            </w:r>
            <w:r>
              <w:rPr>
                <w:rStyle w:val="FormatvorlageInstructionsTabelleText"/>
                <w:rFonts w:ascii="Times New Roman" w:hAnsi="Times New Roman"/>
                <w:sz w:val="24"/>
              </w:rPr>
              <w:t>e</w:t>
            </w:r>
            <w:r>
              <w:rPr>
                <w:rStyle w:val="FormatvorlageInstructionsTabelleText"/>
                <w:rFonts w:ascii="Times New Roman" w:hAnsi="Times New Roman"/>
                <w:sz w:val="24"/>
              </w:rPr>
              <w:t>rade akter som har antagits i överensstämmelse med artikel 459 b i CRR.</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 i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och 459 a i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är det absoluta gränsvärdet (som rapporteras i rad 020) uttryckt som procent av det godtagbara kapitalet.</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3748355"/>
      <w:r>
        <w:rPr>
          <w:rFonts w:ascii="Times New Roman" w:hAnsi="Times New Roman"/>
          <w:b/>
          <w:sz w:val="24"/>
          <w:u w:val="none"/>
        </w:rPr>
        <w:t>C 27.00 - Identifiering av motparten (LE1)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3748356"/>
      <w:r>
        <w:rPr>
          <w:rFonts w:ascii="Times New Roman" w:hAnsi="Times New Roman"/>
          <w:sz w:val="24"/>
        </w:rPr>
        <w:t>Instruktioner för särskilda kolumner</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Kolumn</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Identifiering av motparten:</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 ska rapportera identifieringen av de motparter för vilka uppgifter lämnas in i någon av mallarna C 28.00–C 31.00. Identifieringen av gruppen av kunder med inbördes anknytning ska inte rapporteras, såvida inte de na</w:t>
            </w:r>
            <w:r>
              <w:rPr>
                <w:rStyle w:val="FormatvorlageInstructionsTabelleText"/>
                <w:rFonts w:ascii="Times New Roman" w:hAnsi="Times New Roman"/>
                <w:sz w:val="24"/>
              </w:rPr>
              <w:t>t</w:t>
            </w:r>
            <w:r>
              <w:rPr>
                <w:rStyle w:val="FormatvorlageInstructionsTabelleText"/>
                <w:rFonts w:ascii="Times New Roman" w:hAnsi="Times New Roman"/>
                <w:sz w:val="24"/>
              </w:rPr>
              <w:t>ionella rapporteringssystemen ger en unik kod för gruppen av kunder med inbördes anknytning.</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Enligt artikel 394.1 a i CRR ska institut rapportera identifieringen av den motpart gentemot vilken de har en stor exponering i enlighet med definitio</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en i artikel 392 i CRR.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Enligt artikel 394.2 a i CRR ska institut rapportera identifieringen av den </w:t>
            </w:r>
            <w:r>
              <w:rPr>
                <w:rStyle w:val="FormatvorlageInstructionsTabelleText"/>
                <w:rFonts w:ascii="Times New Roman" w:hAnsi="Times New Roman"/>
                <w:sz w:val="24"/>
              </w:rPr>
              <w:lastRenderedPageBreak/>
              <w:t>motpart gentemot vilken de har de största exponeringarna (i de fall då mo</w:t>
            </w:r>
            <w:r>
              <w:rPr>
                <w:rStyle w:val="FormatvorlageInstructionsTabelleText"/>
                <w:rFonts w:ascii="Times New Roman" w:hAnsi="Times New Roman"/>
                <w:sz w:val="24"/>
              </w:rPr>
              <w:t>t</w:t>
            </w:r>
            <w:r>
              <w:rPr>
                <w:rStyle w:val="FormatvorlageInstructionsTabelleText"/>
                <w:rFonts w:ascii="Times New Roman" w:hAnsi="Times New Roman"/>
                <w:sz w:val="24"/>
              </w:rPr>
              <w:t>parten är ett institut eller en oreglerad enhet i den finansiella sektorn).</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 identifierar raden och måste vara unik för varje rad i tabellen.</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 skall användas för att identifiera den enskilda motparten. Emellertid är syftet med denna kolumn att koppla uppgift om motpart i C 27.00 med exponeringar som rapporteras i C 28.00–C 31.00. Koden för gruppen av kunder med inbördes anknytning ska inte rapporteras, såvida inte de natio</w:t>
            </w:r>
            <w:r>
              <w:rPr>
                <w:rStyle w:val="FormatvorlageInstructionsTabelleText"/>
                <w:rFonts w:ascii="Times New Roman" w:hAnsi="Times New Roman"/>
                <w:sz w:val="24"/>
              </w:rPr>
              <w:t>n</w:t>
            </w:r>
            <w:r>
              <w:rPr>
                <w:rStyle w:val="FormatvorlageInstructionsTabelleText"/>
                <w:rFonts w:ascii="Times New Roman" w:hAnsi="Times New Roman"/>
                <w:sz w:val="24"/>
              </w:rPr>
              <w:t>ella rapporteringssystemen ger en unik kod för gruppen av kunder med i</w:t>
            </w:r>
            <w:r>
              <w:rPr>
                <w:rStyle w:val="FormatvorlageInstructionsTabelleText"/>
                <w:rFonts w:ascii="Times New Roman" w:hAnsi="Times New Roman"/>
                <w:sz w:val="24"/>
              </w:rPr>
              <w:t>n</w:t>
            </w:r>
            <w:r>
              <w:rPr>
                <w:rStyle w:val="FormatvorlageInstructionsTabelleText"/>
                <w:rFonts w:ascii="Times New Roman" w:hAnsi="Times New Roman"/>
                <w:sz w:val="24"/>
              </w:rPr>
              <w:t>bördes anknytning. Dessa koder ska användas på ett enhetligt sätt över tid.</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Kodens sammansättning fastställs utifrån det nationella rapporteringssyst</w:t>
            </w:r>
            <w:r>
              <w:rPr>
                <w:rStyle w:val="FormatvorlageInstructionsTabelleText"/>
                <w:rFonts w:ascii="Times New Roman" w:hAnsi="Times New Roman"/>
                <w:sz w:val="24"/>
              </w:rPr>
              <w:t>e</w:t>
            </w:r>
            <w:r>
              <w:rPr>
                <w:rStyle w:val="FormatvorlageInstructionsTabelleText"/>
                <w:rFonts w:ascii="Times New Roman" w:hAnsi="Times New Roman"/>
                <w:sz w:val="24"/>
              </w:rPr>
              <w:t>met, om det inte finns en enhetlig kodifiering inom unionen.</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Namn</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Namnet ska motsvara namnet på gruppen när en grupp av kunder med i</w:t>
            </w:r>
            <w:r>
              <w:rPr>
                <w:rStyle w:val="FormatvorlageInstructionsTabelleText"/>
                <w:rFonts w:ascii="Times New Roman" w:hAnsi="Times New Roman"/>
                <w:sz w:val="24"/>
              </w:rPr>
              <w:t>n</w:t>
            </w:r>
            <w:r>
              <w:rPr>
                <w:rStyle w:val="FormatvorlageInstructionsTabelleText"/>
                <w:rFonts w:ascii="Times New Roman" w:hAnsi="Times New Roman"/>
                <w:sz w:val="24"/>
              </w:rPr>
              <w:t>bördes anknytning rapporterats. I alla övriga fall ska namnet motsvara den enskilda motparten.</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en grupp av kunder med inbördes anknytning ska det namn som rappor</w:t>
            </w:r>
            <w:r>
              <w:rPr>
                <w:rStyle w:val="FormatvorlageInstructionsTabelleText"/>
                <w:rFonts w:ascii="Times New Roman" w:hAnsi="Times New Roman"/>
                <w:sz w:val="24"/>
              </w:rPr>
              <w:t>t</w:t>
            </w:r>
            <w:r>
              <w:rPr>
                <w:rStyle w:val="FormatvorlageInstructionsTabelleText"/>
                <w:rFonts w:ascii="Times New Roman" w:hAnsi="Times New Roman"/>
                <w:sz w:val="24"/>
              </w:rPr>
              <w:t>eras vara namnet på moderföretaget eller, när gruppen av kunder med inbö</w:t>
            </w:r>
            <w:r>
              <w:rPr>
                <w:rStyle w:val="FormatvorlageInstructionsTabelleText"/>
                <w:rFonts w:ascii="Times New Roman" w:hAnsi="Times New Roman"/>
                <w:sz w:val="24"/>
              </w:rPr>
              <w:t>r</w:t>
            </w:r>
            <w:r>
              <w:rPr>
                <w:rStyle w:val="FormatvorlageInstructionsTabelleText"/>
                <w:rFonts w:ascii="Times New Roman" w:hAnsi="Times New Roman"/>
                <w:sz w:val="24"/>
              </w:rPr>
              <w:t>des anknytning inte har något moderföretag, gruppens kommersiella betec</w:t>
            </w:r>
            <w:r>
              <w:rPr>
                <w:rStyle w:val="FormatvorlageInstructionsTabelleText"/>
                <w:rFonts w:ascii="Times New Roman" w:hAnsi="Times New Roman"/>
                <w:sz w:val="24"/>
              </w:rPr>
              <w:t>k</w:t>
            </w:r>
            <w:r>
              <w:rPr>
                <w:rStyle w:val="FormatvorlageInstructionsTabelleText"/>
                <w:rFonts w:ascii="Times New Roman" w:hAnsi="Times New Roman"/>
                <w:sz w:val="24"/>
              </w:rPr>
              <w:t>ning.</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LEI-kod</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Motpartens LEI-kod (identifieringskod för juridiska personer).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Motpartens hemvist</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ISO-kod enligt 3166–1 alpha-2 ska användas för motpartens registrering</w:t>
            </w:r>
            <w:r>
              <w:rPr>
                <w:rStyle w:val="FormatvorlageInstructionsTabelleText"/>
                <w:rFonts w:ascii="Times New Roman" w:hAnsi="Times New Roman"/>
                <w:sz w:val="24"/>
              </w:rPr>
              <w:t>s</w:t>
            </w:r>
            <w:r>
              <w:rPr>
                <w:rStyle w:val="FormatvorlageInstructionsTabelleText"/>
                <w:rFonts w:ascii="Times New Roman" w:hAnsi="Times New Roman"/>
                <w:sz w:val="24"/>
              </w:rPr>
              <w:t>land (inklusive pseudo-ISO-koder för internationella organisationer, som finns i den senaste utgåvan av Eurostats anvisningar för uppgifter om beta</w:t>
            </w:r>
            <w:r>
              <w:rPr>
                <w:rStyle w:val="FormatvorlageInstructionsTabelleText"/>
                <w:rFonts w:ascii="Times New Roman" w:hAnsi="Times New Roman"/>
                <w:sz w:val="24"/>
              </w:rPr>
              <w:t>l</w:t>
            </w:r>
            <w:r>
              <w:rPr>
                <w:rStyle w:val="FormatvorlageInstructionsTabelleText"/>
                <w:rFonts w:ascii="Times New Roman" w:hAnsi="Times New Roman"/>
                <w:sz w:val="24"/>
              </w:rPr>
              <w:t xml:space="preserve">ningsbalansen, Balance of Payments Vademecum).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grupper av kunder med inbördes anknytning ska ingen hemvist rapport</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ras.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Motpartens sektor</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sektor ska hänföras till varje motpart på grundval av Finreps näring</w:t>
            </w:r>
            <w:r>
              <w:rPr>
                <w:rStyle w:val="FormatvorlageInstructionsTabelleText"/>
                <w:rFonts w:ascii="Times New Roman" w:hAnsi="Times New Roman"/>
                <w:sz w:val="24"/>
              </w:rPr>
              <w:t>s</w:t>
            </w:r>
            <w:r>
              <w:rPr>
                <w:rStyle w:val="FormatvorlageInstructionsTabelleText"/>
                <w:rFonts w:ascii="Times New Roman" w:hAnsi="Times New Roman"/>
                <w:sz w:val="24"/>
              </w:rPr>
              <w:t>grensklasser:</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Centralbanker</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Offentlig sektor</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Kreditinstitut</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(iv)</w:t>
            </w:r>
            <w:r>
              <w:tab/>
            </w:r>
            <w:r>
              <w:rPr>
                <w:rStyle w:val="FormatvorlageInstructionsTabelleText"/>
                <w:rFonts w:ascii="Times New Roman" w:hAnsi="Times New Roman"/>
                <w:sz w:val="24"/>
              </w:rPr>
              <w:t>Värdepappersföretag enligt definitionen i artikel 4.1 2 i CRR</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Övriga finansiella bolag (exklusive värdepappersföretag)</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Icke-finansiella bolag</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Hushåll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För grupper av kunder med inbördes anknytning ska ingen sektor rapport</w:t>
            </w:r>
            <w:r>
              <w:rPr>
                <w:rStyle w:val="FormatvorlageInstructionsTabelleText"/>
                <w:rFonts w:ascii="Times New Roman" w:hAnsi="Times New Roman"/>
                <w:sz w:val="24"/>
              </w:rPr>
              <w:t>e</w:t>
            </w:r>
            <w:r>
              <w:rPr>
                <w:rStyle w:val="FormatvorlageInstructionsTabelleText"/>
                <w:rFonts w:ascii="Times New Roman" w:hAnsi="Times New Roman"/>
                <w:sz w:val="24"/>
              </w:rPr>
              <w:t>ras.</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Nace-kod</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När det gäller näringsgrenar ska Nace-koderna (Nomenclature statistique des activités économiques dans l’union européenne = statistisk näringsgrensi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delning i Europeiska unionen) användas.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kolumn ska endast tillämpas för motparterna ”Övriga finansiella b</w:t>
            </w:r>
            <w:r>
              <w:rPr>
                <w:rStyle w:val="FormatvorlageInstructionsTabelleText"/>
                <w:rFonts w:ascii="Times New Roman" w:hAnsi="Times New Roman"/>
                <w:sz w:val="24"/>
              </w:rPr>
              <w:t>o</w:t>
            </w:r>
            <w:r>
              <w:rPr>
                <w:rStyle w:val="FormatvorlageInstructionsTabelleText"/>
                <w:rFonts w:ascii="Times New Roman" w:hAnsi="Times New Roman"/>
                <w:sz w:val="24"/>
              </w:rPr>
              <w:t>lag” och ”Icke-finansiella bolag”.  Nace-koder ska användas med detaljering på en nivå för ”Icke-finansiella bolag” (t.ex. ”F – Byggverksamhet”) samt med detaljering på två nivåer för ”Övriga finansiella bolag”, som innehåller separat information om försäkringsverksamhet (t.ex. ”K65 – Försäkring, återförsäkring och pensionsfondsverksamhet utom obligatorisk socialförsä</w:t>
            </w:r>
            <w:r>
              <w:rPr>
                <w:rStyle w:val="FormatvorlageInstructionsTabelleText"/>
                <w:rFonts w:ascii="Times New Roman" w:hAnsi="Times New Roman"/>
                <w:sz w:val="24"/>
              </w:rPr>
              <w:t>k</w:t>
            </w:r>
            <w:r>
              <w:rPr>
                <w:rStyle w:val="FormatvorlageInstructionsTabelleText"/>
                <w:rFonts w:ascii="Times New Roman" w:hAnsi="Times New Roman"/>
                <w:sz w:val="24"/>
              </w:rPr>
              <w:t xml:space="preserve">ring”).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Näringsgrenarna för ”övriga finansiella bolag” och ”icke-finansiella bolag” ska klassificeras på grundval av Finrep-uppdelningen av motparter.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grupper av kunder med inbördes anknytning ska ingen Nace-kod rappo</w:t>
            </w:r>
            <w:r>
              <w:rPr>
                <w:rStyle w:val="FormatvorlageInstructionsTabelleText"/>
                <w:rFonts w:ascii="Times New Roman" w:hAnsi="Times New Roman"/>
                <w:sz w:val="24"/>
              </w:rPr>
              <w:t>r</w:t>
            </w:r>
            <w:r>
              <w:rPr>
                <w:rStyle w:val="FormatvorlageInstructionsTabelleText"/>
                <w:rFonts w:ascii="Times New Roman" w:hAnsi="Times New Roman"/>
                <w:sz w:val="24"/>
              </w:rPr>
              <w:t>teras.</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av motpart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Artikel 394.2 i CRR.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de tio största exponeringarna mot institut och de tio största exponerin</w:t>
            </w:r>
            <w:r>
              <w:rPr>
                <w:rStyle w:val="FormatvorlageInstructionsTabelleText"/>
                <w:rFonts w:ascii="Times New Roman" w:hAnsi="Times New Roman"/>
                <w:sz w:val="24"/>
              </w:rPr>
              <w:t>g</w:t>
            </w:r>
            <w:r>
              <w:rPr>
                <w:rStyle w:val="FormatvorlageInstructionsTabelleText"/>
                <w:rFonts w:ascii="Times New Roman" w:hAnsi="Times New Roman"/>
                <w:sz w:val="24"/>
              </w:rPr>
              <w:t xml:space="preserve">arna mot oreglerade enheter i den finansiella sektorn ska typen av motpart anges med ”I” för institut eller ”U” för oreglerade enheter i den finansiella sektorn.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3748357"/>
      <w:r>
        <w:rPr>
          <w:rFonts w:ascii="Times New Roman" w:hAnsi="Times New Roman"/>
          <w:b/>
          <w:sz w:val="24"/>
          <w:u w:val="none"/>
        </w:rPr>
        <w:t>C 28.00 Exponeringar utanför eller i handelslagret (LE2)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3748358"/>
      <w:r>
        <w:rPr>
          <w:rFonts w:ascii="Times New Roman" w:hAnsi="Times New Roman"/>
          <w:sz w:val="24"/>
        </w:rPr>
        <w:t xml:space="preserve">Instruktioner för särskilda </w:t>
      </w:r>
      <w:bookmarkEnd w:id="30"/>
      <w:bookmarkEnd w:id="31"/>
      <w:r>
        <w:rPr>
          <w:rFonts w:ascii="Times New Roman" w:hAnsi="Times New Roman"/>
          <w:sz w:val="24"/>
        </w:rPr>
        <w:t>kolumner</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Kolumn</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det finns en unik kod tillgänglig på nationell nivå för en grupp av ku</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der med inbördes anknytning ska denna kod rapporteras som koden för gruppen av kunder med inbördes anknytning. Om det inte finns någon unik </w:t>
            </w:r>
            <w:r>
              <w:rPr>
                <w:rStyle w:val="FormatvorlageInstructionsTabelleText"/>
                <w:rFonts w:ascii="Times New Roman" w:hAnsi="Times New Roman"/>
                <w:sz w:val="24"/>
              </w:rPr>
              <w:lastRenderedPageBreak/>
              <w:t>kod på nationell nivå, ska den kod som rapporteras vara koden för moderb</w:t>
            </w:r>
            <w:r>
              <w:rPr>
                <w:rStyle w:val="FormatvorlageInstructionsTabelleText"/>
                <w:rFonts w:ascii="Times New Roman" w:hAnsi="Times New Roman"/>
                <w:sz w:val="24"/>
              </w:rPr>
              <w:t>o</w:t>
            </w:r>
            <w:r>
              <w:rPr>
                <w:rStyle w:val="FormatvorlageInstructionsTabelleText"/>
                <w:rFonts w:ascii="Times New Roman" w:hAnsi="Times New Roman"/>
                <w:sz w:val="24"/>
              </w:rPr>
              <w:t>laget i C 27.00.</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gruppen av kunder med inbördes anknytning inte har något moderför</w:t>
            </w:r>
            <w:r>
              <w:rPr>
                <w:rStyle w:val="FormatvorlageInstructionsTabelleText"/>
                <w:rFonts w:ascii="Times New Roman" w:hAnsi="Times New Roman"/>
                <w:sz w:val="24"/>
              </w:rPr>
              <w:t>e</w:t>
            </w:r>
            <w:r>
              <w:rPr>
                <w:rStyle w:val="FormatvorlageInstructionsTabelleText"/>
                <w:rFonts w:ascii="Times New Roman" w:hAnsi="Times New Roman"/>
                <w:sz w:val="24"/>
              </w:rPr>
              <w:t>tag, ska den kod som rapporteras vara koden för den enskilda enhet som i</w:t>
            </w:r>
            <w:r>
              <w:rPr>
                <w:rStyle w:val="FormatvorlageInstructionsTabelleText"/>
                <w:rFonts w:ascii="Times New Roman" w:hAnsi="Times New Roman"/>
                <w:sz w:val="24"/>
              </w:rPr>
              <w:t>n</w:t>
            </w:r>
            <w:r>
              <w:rPr>
                <w:rStyle w:val="FormatvorlageInstructionsTabelleText"/>
                <w:rFonts w:ascii="Times New Roman" w:hAnsi="Times New Roman"/>
                <w:sz w:val="24"/>
              </w:rPr>
              <w:t>stitutet bedömer vara mest betydande inom gruppen av kunder med inbördes anknytning. I alla övriga fall ska koden motsvara den enskilda motparten.</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Dessa koder ska användas på ett enhetligt sätt över tid.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Kodens sammansättning fastställs utifrån det nationella rapporteringssyst</w:t>
            </w:r>
            <w:r>
              <w:rPr>
                <w:rStyle w:val="FormatvorlageInstructionsTabelleText"/>
                <w:rFonts w:ascii="Times New Roman" w:hAnsi="Times New Roman"/>
                <w:sz w:val="24"/>
              </w:rPr>
              <w:t>e</w:t>
            </w:r>
            <w:r>
              <w:rPr>
                <w:rStyle w:val="FormatvorlageInstructionsTabelleText"/>
                <w:rFonts w:ascii="Times New Roman" w:hAnsi="Times New Roman"/>
                <w:sz w:val="24"/>
              </w:rPr>
              <w:t>met, om det inte finns en enhetlig kodifiering inom EU.</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 eller enskild</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Instituten ska rapportera ”1” för rapportering av exponeringar mot enskilda kunder eller ”2” för rapportering av exponeringar mot grupper av kunder med inbördes anknytning.</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Transaktioner där det finns en exponering mot underliggande til</w:t>
            </w:r>
            <w:r>
              <w:rPr>
                <w:rStyle w:val="InstructionsTabelleberschrift"/>
                <w:rFonts w:ascii="Times New Roman" w:hAnsi="Times New Roman"/>
                <w:sz w:val="24"/>
              </w:rPr>
              <w:t>l</w:t>
            </w:r>
            <w:r>
              <w:rPr>
                <w:rStyle w:val="InstructionsTabelleberschrift"/>
                <w:rFonts w:ascii="Times New Roman" w:hAnsi="Times New Roman"/>
                <w:sz w:val="24"/>
              </w:rPr>
              <w:t xml:space="preserve">gångar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390.7 i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enlighet med de nationella behöriga myndigheternas ytterligare tekniska specifikationer ska ”Ja” rapporteras när institutet har exponeringar mot den rapporterade motparten genom en transaktion där det finns en exponering mot underliggande tillgångar. I annat fall ska ”Nej” rapporteras.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Ursprungliga exponeringar</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Artiklarna 24, 389, 390 och 392 i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dessa kolumner ska institutet rapportera de ursprungliga exponeringarna för direkta exponeringar, indirekta exponeringar och ytterligare exponerin</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ar som härrör från transaktioner där det finns en exponering mot underli</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gande tillgångar.</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Enligt artikel 389 i </w:t>
            </w:r>
            <w:r>
              <w:rPr>
                <w:rStyle w:val="FormatvorlageInstructionsTabelleText"/>
                <w:rFonts w:ascii="Times New Roman" w:hAnsi="Times New Roman"/>
                <w:sz w:val="24"/>
              </w:rPr>
              <w:t>CRR</w:t>
            </w:r>
            <w:r>
              <w:t xml:space="preserve"> ska tillgångsposter och poster utanför balansrä</w:t>
            </w:r>
            <w:r>
              <w:t>k</w:t>
            </w:r>
            <w:r>
              <w:t>ningen tillämpas utan riskvikter eller grader av risk. Framför allt ska konve</w:t>
            </w:r>
            <w:r>
              <w:t>r</w:t>
            </w:r>
            <w:r>
              <w:t xml:space="preserve">teringsfaktorer för krediter inte tillämpas för poster utanför balansräkningen.  </w:t>
            </w:r>
          </w:p>
          <w:p w:rsidR="00B0191A" w:rsidRPr="0039317F" w:rsidRDefault="00B0191A" w:rsidP="0039317F">
            <w:pPr>
              <w:pStyle w:val="InstructionsText"/>
            </w:pPr>
          </w:p>
          <w:p w:rsidR="00B0191A" w:rsidRPr="0039317F" w:rsidRDefault="00BB3751" w:rsidP="0039317F">
            <w:pPr>
              <w:pStyle w:val="InstructionsText"/>
            </w:pPr>
            <w:r>
              <w:t>Dessa kolumner ska innehålla den ursprungliga exponeringen, dvs. expon</w:t>
            </w:r>
            <w:r>
              <w:t>e</w:t>
            </w:r>
            <w:r>
              <w:t>ringsvärdet utan hänsyn till värdejusteringar och avsättningar, som ska dras av i kolumn 210.</w:t>
            </w:r>
          </w:p>
          <w:p w:rsidR="00B0191A" w:rsidRPr="0039317F" w:rsidRDefault="00B0191A" w:rsidP="0039317F">
            <w:pPr>
              <w:pStyle w:val="InstructionsText"/>
            </w:pPr>
          </w:p>
          <w:p w:rsidR="00B0191A" w:rsidRPr="0039317F" w:rsidRDefault="00C92E09" w:rsidP="0039317F">
            <w:pPr>
              <w:pStyle w:val="InstructionsText"/>
            </w:pPr>
            <w:r>
              <w:t xml:space="preserve">Definition och beräkning av exponeringsvärdet fastställs i artiklarna 389 och 390 i </w:t>
            </w:r>
            <w:r>
              <w:rPr>
                <w:rStyle w:val="FormatvorlageInstructionsTabelleText"/>
                <w:rFonts w:ascii="Times New Roman" w:hAnsi="Times New Roman"/>
                <w:sz w:val="24"/>
              </w:rPr>
              <w:t>CRR</w:t>
            </w:r>
            <w:r>
              <w:t>. Värderingen av tillgångsposter och poster utanför balansrä</w:t>
            </w:r>
            <w:r>
              <w:t>k</w:t>
            </w:r>
            <w:r>
              <w:t xml:space="preserve">ningen ska utföras i enlighet med den redovisningsram som institutet ska följa i överensstämmelse med artikel 24 i </w:t>
            </w:r>
            <w:r>
              <w:rPr>
                <w:rStyle w:val="FormatvorlageInstructionsTabelleText"/>
                <w:rFonts w:ascii="Times New Roman" w:hAnsi="Times New Roman"/>
                <w:sz w:val="24"/>
              </w:rPr>
              <w:t>CRR</w:t>
            </w:r>
            <w:r>
              <w:t>.</w:t>
            </w:r>
          </w:p>
          <w:p w:rsidR="00B0191A" w:rsidRPr="0039317F" w:rsidRDefault="00B0191A" w:rsidP="0039317F">
            <w:pPr>
              <w:pStyle w:val="InstructionsText"/>
            </w:pPr>
          </w:p>
          <w:p w:rsidR="00B0191A" w:rsidRPr="0039317F" w:rsidRDefault="00BB3751" w:rsidP="0039317F">
            <w:pPr>
              <w:pStyle w:val="InstructionsText"/>
            </w:pPr>
            <w:r>
              <w:t>Exponeringar som har dragits av från kapitalbasen och som inte är expon</w:t>
            </w:r>
            <w:r>
              <w:t>e</w:t>
            </w:r>
            <w:r>
              <w:t>ringar enligt artikel 390.6 e ska ingå i dessa kolumner. Dessa exponeringar ska dras av i kolumn 200.</w:t>
            </w:r>
          </w:p>
          <w:p w:rsidR="00B0191A" w:rsidRPr="0039317F" w:rsidRDefault="00B0191A" w:rsidP="0039317F">
            <w:pPr>
              <w:pStyle w:val="InstructionsText"/>
            </w:pPr>
          </w:p>
          <w:p w:rsidR="00B0191A" w:rsidRPr="0039317F" w:rsidRDefault="00BB3751" w:rsidP="0039317F">
            <w:pPr>
              <w:pStyle w:val="InstructionsText"/>
            </w:pPr>
            <w:r>
              <w:t xml:space="preserve">De exponeringar som avses i artikel 390.6 a–d i </w:t>
            </w:r>
            <w:r>
              <w:rPr>
                <w:rStyle w:val="FormatvorlageInstructionsTabelleText"/>
                <w:rFonts w:ascii="Times New Roman" w:hAnsi="Times New Roman"/>
                <w:sz w:val="24"/>
              </w:rPr>
              <w:t>CRR</w:t>
            </w:r>
            <w:r>
              <w:t xml:space="preserve"> ska inte ingå i dessa kolumner. </w:t>
            </w:r>
          </w:p>
          <w:p w:rsidR="00B0191A" w:rsidRPr="0039317F" w:rsidRDefault="00B0191A" w:rsidP="0039317F">
            <w:pPr>
              <w:pStyle w:val="InstructionsText"/>
            </w:pPr>
          </w:p>
          <w:p w:rsidR="00B0191A" w:rsidRPr="0039317F" w:rsidRDefault="00BB3751" w:rsidP="0039317F">
            <w:pPr>
              <w:pStyle w:val="InstructionsText"/>
              <w:rPr>
                <w:rFonts w:eastAsia="Arial"/>
              </w:rPr>
            </w:pPr>
            <w:r>
              <w:t>Ursprungliga exponeringar ska omfatta alla tillgångsposter och poster uta</w:t>
            </w:r>
            <w:r>
              <w:t>n</w:t>
            </w:r>
            <w:r>
              <w:t xml:space="preserve">för balansräkningen enligt artikel 400 i </w:t>
            </w:r>
            <w:r>
              <w:rPr>
                <w:rStyle w:val="FormatvorlageInstructionsTabelleText"/>
                <w:rFonts w:ascii="Times New Roman" w:hAnsi="Times New Roman"/>
                <w:sz w:val="24"/>
              </w:rPr>
              <w:t>CRR</w:t>
            </w:r>
            <w:r>
              <w:t>. Undantagen ska dras av i e</w:t>
            </w:r>
            <w:r>
              <w:t>n</w:t>
            </w:r>
            <w:r>
              <w:t xml:space="preserve">lighet med artikel 395.1 i </w:t>
            </w:r>
            <w:r>
              <w:rPr>
                <w:rStyle w:val="FormatvorlageInstructionsTabelleText"/>
                <w:rFonts w:ascii="Times New Roman" w:hAnsi="Times New Roman"/>
                <w:sz w:val="24"/>
              </w:rPr>
              <w:t>CRR</w:t>
            </w:r>
            <w:r>
              <w:t xml:space="preserve"> i kolumn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Exponeringar såväl utanför som i handelslagret ska inkluderas.</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För uppdelningen av exponeringar i finansiella instrument där olika expon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ringar som härrör från nettningsavtal utgör en enskild exponering, ska denna hänföras till det finansiella instrument som motsvarar den huvudtillgång som ingår i nettningsavtalet (se även inledningen).</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ursprunglig exponering</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summan av direkta exponeringar och indirekta e</w:t>
            </w:r>
            <w:r>
              <w:rPr>
                <w:rStyle w:val="InstructionsTabelleberschrift"/>
                <w:rFonts w:ascii="Times New Roman" w:hAnsi="Times New Roman"/>
                <w:b w:val="0"/>
                <w:sz w:val="24"/>
                <w:u w:val="none"/>
              </w:rPr>
              <w:t>x</w:t>
            </w:r>
            <w:r>
              <w:rPr>
                <w:rStyle w:val="InstructionsTabelleberschrift"/>
                <w:rFonts w:ascii="Times New Roman" w:hAnsi="Times New Roman"/>
                <w:b w:val="0"/>
                <w:sz w:val="24"/>
                <w:u w:val="none"/>
              </w:rPr>
              <w:t>poneringar samt ytterligare</w:t>
            </w:r>
            <w:r>
              <w:t xml:space="preserve"> </w:t>
            </w:r>
            <w:r>
              <w:rPr>
                <w:rStyle w:val="FormatvorlageInstructionsTabelleText"/>
                <w:rFonts w:ascii="Times New Roman" w:hAnsi="Times New Roman"/>
                <w:sz w:val="24"/>
              </w:rPr>
              <w:t>exponeringar som härrör från exponeringen mot transaktioner där det finns en exponering mot underliggande tillgångar</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fallerade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i CRR.</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Institutet ska rapportera</w:t>
            </w:r>
            <w:r>
              <w:t xml:space="preserve"> </w:t>
            </w:r>
            <w:r>
              <w:rPr>
                <w:rStyle w:val="FormatvorlageInstructionsTabelleText"/>
                <w:rFonts w:ascii="Times New Roman" w:hAnsi="Times New Roman"/>
                <w:sz w:val="24"/>
              </w:rPr>
              <w:t>hur stor andel av den totala ursprungliga expon</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ringen som motsvarar fallerande exponeringar.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Direkta exponeringar</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Direkta exponeringar ska avse exponeringar på basis av ”direkt låntagare”.</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Skuldinstrument</w:t>
            </w:r>
          </w:p>
          <w:p w:rsidR="00B0191A" w:rsidRPr="00384ADB" w:rsidRDefault="00B0191A" w:rsidP="0039317F">
            <w:pPr>
              <w:pStyle w:val="InstructionsText"/>
            </w:pPr>
          </w:p>
          <w:p w:rsidR="00B0191A" w:rsidRPr="0039317F" w:rsidRDefault="00193DDC" w:rsidP="0039317F">
            <w:pPr>
              <w:pStyle w:val="InstructionsText"/>
            </w:pPr>
            <w:r>
              <w:t>Förordning (EU) nr 1071/2013 (”ECB/2013/33”) bilaga II del 2 tabellen, k</w:t>
            </w:r>
            <w:r>
              <w:t>a</w:t>
            </w:r>
            <w:r>
              <w:t>tegorierna 2 och 3.</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Skuldinstrument ska omfatta räntebärande värdepapper samt lån och fö</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skott.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De instrument som ingår i denna kolumn ska vara de som är kvalificerade som ”lån med ursprunglig löptid upp till ett år/över ett år och upp till fem år/över fem år”, eller ”skuldebrev”, enligt ECB/2013/33.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Repor, värdepappers- och råvarulån (transaktioner för värdepappersfinansi</w:t>
            </w:r>
            <w:r>
              <w:rPr>
                <w:rStyle w:val="FormatvorlageInstructionsTabelleText"/>
                <w:rFonts w:ascii="Times New Roman" w:hAnsi="Times New Roman"/>
                <w:sz w:val="24"/>
              </w:rPr>
              <w:t>e</w:t>
            </w:r>
            <w:r>
              <w:rPr>
                <w:rStyle w:val="FormatvorlageInstructionsTabelleText"/>
                <w:rFonts w:ascii="Times New Roman" w:hAnsi="Times New Roman"/>
                <w:sz w:val="24"/>
              </w:rPr>
              <w:t>ring) och marginalutlåning ska ingå i denna kolumn.</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Egetkapitalinstrument</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ECB/2013/33 bilaga II, del 2, tabellen, kategorierna 4 och 5.</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De instrument som ingår i denna kolumn ska vara de som är kvalificerade som ”Ägarandelar” eller ”Aktier/andelar i investeringsfonder” enligt ECB/2013/33.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Artikel 272.2 och bilaga II i CRR.</w:t>
            </w:r>
          </w:p>
          <w:p w:rsidR="00B0191A" w:rsidRPr="0039317F" w:rsidRDefault="00B0191A" w:rsidP="000F0ADE">
            <w:pPr>
              <w:pStyle w:val="InstructionsText"/>
            </w:pPr>
          </w:p>
          <w:p w:rsidR="00B0191A" w:rsidRPr="0039317F" w:rsidRDefault="009E58B0">
            <w:pPr>
              <w:pStyle w:val="InstructionsText"/>
            </w:pPr>
            <w:r>
              <w:t xml:space="preserve">De instrument som ska rapporteras i denna kolumn ska omfatta derivat som ingår i förteckningen i bilaga II till </w:t>
            </w:r>
            <w:r>
              <w:rPr>
                <w:rStyle w:val="FormatvorlageInstructionsTabelleText"/>
                <w:rFonts w:ascii="Times New Roman" w:hAnsi="Times New Roman"/>
                <w:sz w:val="24"/>
              </w:rPr>
              <w:t>CRR</w:t>
            </w:r>
            <w:r>
              <w:t xml:space="preserve"> samt transaktioner med lång a</w:t>
            </w:r>
            <w:r>
              <w:t>v</w:t>
            </w:r>
            <w:r>
              <w:t xml:space="preserve">vecklingscykel enligt definitionen i artikel 272.2 i </w:t>
            </w:r>
            <w:r>
              <w:rPr>
                <w:rStyle w:val="FormatvorlageInstructionsTabelleText"/>
                <w:rFonts w:ascii="Times New Roman" w:hAnsi="Times New Roman"/>
                <w:sz w:val="24"/>
              </w:rPr>
              <w:t>CRR</w:t>
            </w:r>
            <w:r>
              <w:t xml:space="preserve">. </w:t>
            </w:r>
          </w:p>
          <w:p w:rsidR="00B0191A" w:rsidRPr="0039317F" w:rsidRDefault="00B0191A">
            <w:pPr>
              <w:pStyle w:val="InstructionsText"/>
            </w:pPr>
          </w:p>
          <w:p w:rsidR="00B0191A" w:rsidRPr="0039317F" w:rsidRDefault="00BB3751">
            <w:pPr>
              <w:pStyle w:val="InstructionsText"/>
            </w:pPr>
            <w:r>
              <w:t>Kreditderivat som omfattas av motpartsrisk ska ingå i denna kolumn. Poster utanför balansräkningen</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utanför balansräkningen</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 xml:space="preserve">Bilaga I i </w:t>
            </w:r>
            <w:r>
              <w:rPr>
                <w:rStyle w:val="FormatvorlageInstructionsTabelleText"/>
                <w:rFonts w:ascii="Times New Roman" w:hAnsi="Times New Roman"/>
                <w:sz w:val="24"/>
              </w:rPr>
              <w:t>CRR</w:t>
            </w:r>
            <w:r>
              <w:rPr>
                <w:rFonts w:ascii="Times New Roman" w:hAnsi="Times New Roman"/>
                <w:sz w:val="24"/>
              </w:rPr>
              <w:t>.</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Det värde som ska rapporteras i dessa kolumner ska vara det nominella vä</w:t>
            </w:r>
            <w:r>
              <w:rPr>
                <w:rFonts w:ascii="Times New Roman" w:hAnsi="Times New Roman"/>
                <w:sz w:val="24"/>
              </w:rPr>
              <w:t>r</w:t>
            </w:r>
            <w:r>
              <w:rPr>
                <w:rFonts w:ascii="Times New Roman" w:hAnsi="Times New Roman"/>
                <w:sz w:val="24"/>
              </w:rPr>
              <w:t>det före eventuella minskningar av specifika kreditriskjusteringar och utan tillämpning av konverteringsfaktorer.</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Låneåtaganden</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Bilaga I punkterna 1 c och 1 h, 2 b ii, 3 b i och 4 a i CRR. </w:t>
            </w:r>
          </w:p>
          <w:p w:rsidR="00B0191A" w:rsidRPr="0039317F" w:rsidRDefault="00B0191A">
            <w:pPr>
              <w:pStyle w:val="InstructionsText"/>
            </w:pPr>
          </w:p>
          <w:p w:rsidR="00B0191A" w:rsidRPr="0039317F" w:rsidRDefault="00BB3751">
            <w:pPr>
              <w:pStyle w:val="InstructionsText"/>
            </w:pPr>
            <w:r>
              <w:t xml:space="preserve">Låneåtaganden är fasta åtaganden om att tillhandahålla kredit enligt tidigare fastställda villkor, förutom åtaganden som utgör derivat eftersom dessa kan regleras netto med kontanter eller genom att ett annat finansiellt instrument levereras eller emitteras.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Finansiella garantier</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Bilaga I punkterna 1 a, b och f i CRR.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Finansiella garantier är avtal som kräver att emittenten gör angivna beta</w:t>
            </w:r>
            <w:r>
              <w:rPr>
                <w:rStyle w:val="FormatvorlageInstructionsTabelleText"/>
                <w:rFonts w:ascii="Times New Roman" w:hAnsi="Times New Roman"/>
                <w:sz w:val="24"/>
              </w:rPr>
              <w:t>l</w:t>
            </w:r>
            <w:r>
              <w:rPr>
                <w:rStyle w:val="FormatvorlageInstructionsTabelleText"/>
                <w:rFonts w:ascii="Times New Roman" w:hAnsi="Times New Roman"/>
                <w:sz w:val="24"/>
              </w:rPr>
              <w:t>ningar för att ersätta innehavaren för en förlust denne ådrar sig på grund av att en angiven gäldenär inte fullgör betalning vid förfall enligt de ursprun</w:t>
            </w:r>
            <w:r>
              <w:rPr>
                <w:rStyle w:val="FormatvorlageInstructionsTabelleText"/>
                <w:rFonts w:ascii="Times New Roman" w:hAnsi="Times New Roman"/>
                <w:sz w:val="24"/>
              </w:rPr>
              <w:t>g</w:t>
            </w:r>
            <w:r>
              <w:rPr>
                <w:rStyle w:val="FormatvorlageInstructionsTabelleText"/>
                <w:rFonts w:ascii="Times New Roman" w:hAnsi="Times New Roman"/>
                <w:sz w:val="24"/>
              </w:rPr>
              <w:t>liga eller ändrade villkoren i ett skuldinstrument. Kreditderivat som inte i</w:t>
            </w:r>
            <w:r>
              <w:rPr>
                <w:rStyle w:val="FormatvorlageInstructionsTabelleText"/>
                <w:rFonts w:ascii="Times New Roman" w:hAnsi="Times New Roman"/>
                <w:sz w:val="24"/>
              </w:rPr>
              <w:t>n</w:t>
            </w:r>
            <w:r>
              <w:rPr>
                <w:rStyle w:val="FormatvorlageInstructionsTabelleText"/>
                <w:rFonts w:ascii="Times New Roman" w:hAnsi="Times New Roman"/>
                <w:sz w:val="24"/>
              </w:rPr>
              <w:t>går i kolumnen ”derivat” ska rapporteras i denna kolumn.</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Andra förpliktelser</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Andra förpliktelser är de poster i bilaga I till CRR som inte ingår i ova</w:t>
            </w:r>
            <w:r>
              <w:rPr>
                <w:rStyle w:val="FormatvorlageInstructionsTabelleText"/>
                <w:rFonts w:ascii="Times New Roman" w:hAnsi="Times New Roman"/>
                <w:sz w:val="24"/>
              </w:rPr>
              <w:t>n</w:t>
            </w:r>
            <w:r>
              <w:rPr>
                <w:rStyle w:val="FormatvorlageInstructionsTabelleText"/>
                <w:rFonts w:ascii="Times New Roman" w:hAnsi="Times New Roman"/>
                <w:sz w:val="24"/>
              </w:rPr>
              <w:lastRenderedPageBreak/>
              <w:t>nämnda kategorier. Exponeringsvärdet</w:t>
            </w:r>
            <w:r>
              <w:rPr>
                <w:rFonts w:ascii="Times New Roman" w:hAnsi="Times New Roman"/>
                <w:sz w:val="24"/>
              </w:rPr>
              <w:t xml:space="preserve"> för en enda rättslig förpliktelse som följer av avtal om produktövergripande nettning med en motpart till instit</w:t>
            </w:r>
            <w:r>
              <w:rPr>
                <w:rFonts w:ascii="Times New Roman" w:hAnsi="Times New Roman"/>
                <w:sz w:val="24"/>
              </w:rPr>
              <w:t>u</w:t>
            </w:r>
            <w:r>
              <w:rPr>
                <w:rFonts w:ascii="Times New Roman" w:hAnsi="Times New Roman"/>
                <w:sz w:val="24"/>
              </w:rPr>
              <w:t>tet ska rapporteras i denna kolumn.</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Indirekta exponeringar</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 xml:space="preserve">Artikel 403 i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Enligt artikel 403 i CRR får ett kreditinstitut använda substitutionsmetoden när en exponering gentemot en kund garanterats av en tredje part eller g</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nom säkerhet i form av värdepapper utgivna av en tredje part.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dessa kolumner ska institutet rapportera beloppen för de direkta expon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ringar som ska återföras till garantigivaren eller emittenten av säkerheter, förutsatt att denne skulle ha tilldelats en motsvarande eller lägre riskvikt jämfört med riskvikten för tredje part enligt del tre avdelning II kapitel 2 i CRR. Den skyddade ursprungliga exponeringen som utgör referens (direkt exponering) ska dras av från exponeringen mot den ursprungliga låntagaren i kolumnerna ”Godtagbara kreditriskreducerande metoder”. Den indirekta e</w:t>
            </w:r>
            <w:r>
              <w:rPr>
                <w:rStyle w:val="InstructionsTabelleberschrift"/>
                <w:rFonts w:ascii="Times New Roman" w:hAnsi="Times New Roman"/>
                <w:b w:val="0"/>
                <w:sz w:val="24"/>
                <w:u w:val="none"/>
              </w:rPr>
              <w:t>x</w:t>
            </w:r>
            <w:r>
              <w:rPr>
                <w:rStyle w:val="InstructionsTabelleberschrift"/>
                <w:rFonts w:ascii="Times New Roman" w:hAnsi="Times New Roman"/>
                <w:b w:val="0"/>
                <w:sz w:val="24"/>
                <w:u w:val="none"/>
              </w:rPr>
              <w:t>poneringen ska öka exponeringen mot garantigivaren eller emittenten av s</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kerheter genom substitutionseffekt. Detta ska även gälla för garantier som ges inom en grupp av kunder med inbördes anknytning.</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Insitutet ska rapportera den indirekta exponeringens ursprungliga belopp i den kolumn som motsvarar typen av direkt exponering som garanteras eller omfattas av säkerhet så att, om den den direkta exponering som garanteras är ett skuldinstrument ska t.ex. det belopp för ’Indirekt exponering’ som hä</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förts till garantigivaren rapporteras under kolumnen ’Skuldinstrument’.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Exponeringar som härrör från kreditlänkade obligationer ska också rapport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ras i dessa kolumner enligt artikel 399 i CRR.</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Skuldinstrument</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Egetkapitalinstrument</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kolumn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utanför balansräkningen</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Värdet i dessa kolumner ska vara det nominella värdet före tillämpning av eventuella minskningar av specifika kreditriskjusteringar och konvertering</w:t>
            </w:r>
            <w:r>
              <w:rPr>
                <w:rFonts w:ascii="Times New Roman" w:hAnsi="Times New Roman"/>
                <w:sz w:val="24"/>
              </w:rPr>
              <w:t>s</w:t>
            </w:r>
            <w:r>
              <w:rPr>
                <w:rFonts w:ascii="Times New Roman" w:hAnsi="Times New Roman"/>
                <w:sz w:val="24"/>
              </w:rPr>
              <w:t>faktorer.</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Låneåtaganden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Finansiella garantier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Andra förpliktelser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Ytterligare exponeringar som härrör från transaktioner där det finns en exponering mot underliggande tillgångar</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390.7 i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Ytterligare exponeringar som härrör från transaktioner där det finns en e</w:t>
            </w:r>
            <w:r>
              <w:rPr>
                <w:rStyle w:val="FormatvorlageInstructionsTabelleText"/>
                <w:rFonts w:ascii="Times New Roman" w:hAnsi="Times New Roman"/>
                <w:sz w:val="24"/>
              </w:rPr>
              <w:t>x</w:t>
            </w:r>
            <w:r>
              <w:rPr>
                <w:rStyle w:val="FormatvorlageInstructionsTabelleText"/>
                <w:rFonts w:ascii="Times New Roman" w:hAnsi="Times New Roman"/>
                <w:sz w:val="24"/>
              </w:rPr>
              <w:t>ponering mot underliggande tillgångar.</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Värdejusteringar och avsättningar</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Artiklarna 34, 24, 110 och 111 i CRR.</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Värdejusteringar och avsättningar som ingår i motsvarande redovisningsram (direktiv 86/635/EEG eller förordning (EG) nr 1606/2002) som påverkar värderingen av exponeringar enligt artiklarna 24 och 110 i </w:t>
            </w:r>
            <w:r>
              <w:rPr>
                <w:rStyle w:val="FormatvorlageInstructionsTabelleText"/>
                <w:rFonts w:ascii="Times New Roman" w:hAnsi="Times New Roman"/>
                <w:sz w:val="24"/>
              </w:rPr>
              <w:t>CRR</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Värdejusteringar och avsättningar mot den bruttoexponering som anges i k</w:t>
            </w:r>
            <w:r>
              <w:rPr>
                <w:rStyle w:val="FormatvorlageInstructionsTabelleText"/>
                <w:rFonts w:ascii="Times New Roman" w:hAnsi="Times New Roman"/>
                <w:color w:val="auto"/>
                <w:sz w:val="24"/>
              </w:rPr>
              <w:t>o</w:t>
            </w:r>
            <w:r>
              <w:rPr>
                <w:rStyle w:val="FormatvorlageInstructionsTabelleText"/>
                <w:rFonts w:ascii="Times New Roman" w:hAnsi="Times New Roman"/>
                <w:color w:val="auto"/>
                <w:sz w:val="24"/>
              </w:rPr>
              <w:t>lumn 040 ska rapporteras i denna kolumn.</w:t>
            </w:r>
            <w:r>
              <w:rPr>
                <w:rStyle w:val="FormatvorlageInstructionsTabelleText"/>
                <w:rFonts w:ascii="Times New Roman" w:hAnsi="Times New Roman"/>
                <w:sz w:val="24"/>
              </w:rPr>
              <w:t xml:space="preserve">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Exponeringar som har dragits av från kapitalbasen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Artikel 390.6 e i</w:t>
            </w:r>
            <w:r>
              <w:t xml:space="preserve"> </w:t>
            </w:r>
            <w:r>
              <w:rPr>
                <w:rStyle w:val="FormatvorlageInstructionsTabelleText"/>
                <w:rFonts w:ascii="Times New Roman" w:hAnsi="Times New Roman"/>
                <w:sz w:val="24"/>
              </w:rPr>
              <w:t>CRR</w:t>
            </w:r>
            <w:r>
              <w:t>.</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 xml:space="preserve">Exponeringar som har dragits av från kapitalbasen, som ska inkluderas i de olika kolumnerna för Total ursprunglig exponering, ska rapporteras.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Exponeringsvärde före tillämpning av undantag och kreditriskreduc</w:t>
            </w:r>
            <w:r>
              <w:rPr>
                <w:rStyle w:val="InstructionsTabelleberschrift"/>
                <w:rFonts w:ascii="Times New Roman" w:hAnsi="Times New Roman"/>
                <w:sz w:val="24"/>
              </w:rPr>
              <w:t>e</w:t>
            </w:r>
            <w:r>
              <w:rPr>
                <w:rStyle w:val="InstructionsTabelleberschrift"/>
                <w:rFonts w:ascii="Times New Roman" w:hAnsi="Times New Roman"/>
                <w:sz w:val="24"/>
              </w:rPr>
              <w:t>ring</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 xml:space="preserve">Artikel 394.1 b i </w:t>
            </w:r>
            <w:r>
              <w:rPr>
                <w:rStyle w:val="FormatvorlageInstructionsTabelleText"/>
                <w:rFonts w:ascii="Times New Roman" w:hAnsi="Times New Roman"/>
                <w:sz w:val="24"/>
              </w:rPr>
              <w:t>CRR</w:t>
            </w:r>
            <w:r>
              <w:t>.</w:t>
            </w:r>
          </w:p>
          <w:p w:rsidR="00BB3751" w:rsidRPr="00384ADB" w:rsidRDefault="00BB3751" w:rsidP="0039317F">
            <w:pPr>
              <w:pStyle w:val="InstructionsText"/>
            </w:pPr>
          </w:p>
          <w:p w:rsidR="00BB3751" w:rsidRPr="00384ADB" w:rsidRDefault="008A4511" w:rsidP="0039317F">
            <w:pPr>
              <w:pStyle w:val="InstructionsText"/>
            </w:pPr>
            <w:r>
              <w:t>Institut ska rapportera exponeringsvärdet innan man, i tillämpliga fall, tar hänsyn till effekten av kreditriskreduceringen.</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w:t>
            </w:r>
          </w:p>
          <w:p w:rsidR="00BB3751" w:rsidRPr="0039317F" w:rsidRDefault="00BB3751" w:rsidP="0039317F">
            <w:pPr>
              <w:pStyle w:val="InstructionsText"/>
            </w:pPr>
          </w:p>
          <w:p w:rsidR="00BB3751" w:rsidRPr="0039317F" w:rsidRDefault="00BB3751" w:rsidP="0039317F">
            <w:pPr>
              <w:pStyle w:val="InstructionsText"/>
            </w:pPr>
            <w:r>
              <w:t xml:space="preserve">Exponeringsvärdet som ska rapporteras i denna kolumn ska vara det belopp </w:t>
            </w:r>
            <w:r>
              <w:lastRenderedPageBreak/>
              <w:t xml:space="preserve">som används för att fastställa om en exponering är en stor exponering enligt definitionen i artikel 392 i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BB3751">
            <w:pPr>
              <w:pStyle w:val="InstructionsText"/>
            </w:pPr>
            <w:r>
              <w:t>Detta ska omfatta den ursprungliga exponeringen efter avdrag för värdej</w:t>
            </w:r>
            <w:r>
              <w:t>u</w:t>
            </w:r>
            <w:r>
              <w:t>steringar och avsättningar samt beloppet för de exponeringar som har dragits av från kapitalbasen.</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Verksamhet utanför handelslagret</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Beloppet för verksamhet utanför handelslagret från den totala exponeringen före undantag och kreditriskreducering.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av godtagbart kapital</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4.1.71 b och 395 iCRR.</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Det belopp som ska rapporteras är exponeringsvärdets procentandel före ti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lämpning av undantag och kreditriskreducering som avser institutets godta</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bara kapital enligt definitionen i artikel 4.1.71 b</w:t>
            </w:r>
            <w:r>
              <w:rPr>
                <w:rStyle w:val="FormatvorlageInstructionsTabelleText"/>
                <w:rFonts w:ascii="Times New Roman" w:hAnsi="Times New Roman"/>
                <w:sz w:val="24"/>
              </w:rPr>
              <w:t xml:space="preserve"> i CRR.</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Godtagbara kreditriskreducerande metoder</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399 och 401–403 i CRR. metoder för kreditriskreducering (CRM):</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metoder för kreditriskreducering (CRM): definieras i artikel 4.1 57 i CRR.</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För denna rapportering ska de kreditriskreducerande metoder som har go</w:t>
            </w:r>
            <w:r>
              <w:rPr>
                <w:rStyle w:val="FormatvorlageInstructionsTabelleText"/>
                <w:rFonts w:ascii="Times New Roman" w:hAnsi="Times New Roman"/>
                <w:sz w:val="24"/>
              </w:rPr>
              <w:t>d</w:t>
            </w:r>
            <w:r>
              <w:rPr>
                <w:rStyle w:val="FormatvorlageInstructionsTabelleText"/>
                <w:rFonts w:ascii="Times New Roman" w:hAnsi="Times New Roman"/>
                <w:sz w:val="24"/>
              </w:rPr>
              <w:t>känts enligt del tre avdelning II kapitel 3 och 4 i CRR användas i enlighet med artiklarna 401–403 i CRR.</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kreditriskreducerande metoderna kan ha tre olika effekter i regelsystemet för stora exponeringar: Substitution, annat betalt kreditriskskydd än subst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tutionseffekt, och behandling av fastigheter.</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Substitutionseffekt för godtagbara kreditriskreducerande metoder</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403 i CRR.</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Det belopp</w:t>
            </w:r>
            <w:r>
              <w:t xml:space="preserve"> för betalt och obetalt kreditriskskydd som ska rapporteras i dessa kolumner ska motsvara de exponeringar som har garanterats av en tredje part eller genom säkerhet i form av värdepapper utgivna av en tredje part, när i</w:t>
            </w:r>
            <w:r>
              <w:t>n</w:t>
            </w:r>
            <w:r>
              <w:t>stitutet beslutar att behandla den exponering som garantigivaren eller emi</w:t>
            </w:r>
            <w:r>
              <w:t>t</w:t>
            </w:r>
            <w:r>
              <w:t>tenten av säkerheter ådragit sig.</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Skuldinstrument</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Aktieinstrument</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kolumn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Derivat</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Poster utanför balansräkningen</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Konverteringsfaktorer ska inte tillämpas på värdet i dessa kolumner.</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Låneåtaganden</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Finansiella garantier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Andra förpliktelser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Annat betalt kreditriskskydd än substitutionseffekt</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401 i 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de belopp för betalt kreditriskskydd såsom det def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nieras i artikel 4.58 i CRR som har dragits av från exponeringsvärdet på grund av tillämpning av artikel 401 i CRR.</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Fastigheter</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402 i 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de belopp som har dragits av från exponeringsvärdet på grund av tillämpning av artikel 402 i CRR.</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Undantagna belopp</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400 i CRR.</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Institutet ska rapportera de belopp som har undantagits från regelsystemet för stora exponeringar.</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Exponeringsvärde efter tillämpning av undantag och kreditriskreduc</w:t>
            </w:r>
            <w:r>
              <w:rPr>
                <w:rStyle w:val="InstructionsTabelleberschrift"/>
                <w:rFonts w:ascii="Times New Roman" w:hAnsi="Times New Roman"/>
                <w:sz w:val="24"/>
              </w:rPr>
              <w:t>e</w:t>
            </w:r>
            <w:r>
              <w:rPr>
                <w:rStyle w:val="InstructionsTabelleberschrift"/>
                <w:rFonts w:ascii="Times New Roman" w:hAnsi="Times New Roman"/>
                <w:sz w:val="24"/>
              </w:rPr>
              <w:t>ring</w:t>
            </w:r>
          </w:p>
          <w:p w:rsidR="00BB3751" w:rsidRPr="0039317F" w:rsidRDefault="00BB3751" w:rsidP="0039317F">
            <w:pPr>
              <w:pStyle w:val="InstructionsText"/>
            </w:pPr>
          </w:p>
          <w:p w:rsidR="00BB3751" w:rsidRPr="0039317F" w:rsidRDefault="00BB3751" w:rsidP="0039317F">
            <w:pPr>
              <w:pStyle w:val="InstructionsText"/>
            </w:pPr>
            <w:r>
              <w:t xml:space="preserve">Artikel 394.1 d i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54768B">
            <w:pPr>
              <w:pStyle w:val="InstructionsText"/>
            </w:pPr>
            <w:r>
              <w:t>Institutet ska rapportera exponeringsbeloppet sedan man tagit hänsyn till e</w:t>
            </w:r>
            <w:r>
              <w:t>f</w:t>
            </w:r>
            <w:r>
              <w:t>fekten av undantagen och kreditriskreduceringen, som beräknats enligt art</w:t>
            </w:r>
            <w:r>
              <w:t>i</w:t>
            </w:r>
            <w:r>
              <w:t xml:space="preserve">kel 395.1 i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w:t>
            </w:r>
          </w:p>
          <w:p w:rsidR="00BB3751" w:rsidRPr="00384ADB" w:rsidRDefault="00BB3751" w:rsidP="0039317F">
            <w:pPr>
              <w:pStyle w:val="InstructionsText"/>
            </w:pPr>
          </w:p>
          <w:p w:rsidR="00BB3751" w:rsidRPr="0039317F" w:rsidRDefault="00BB3751" w:rsidP="000F0ADE">
            <w:pPr>
              <w:pStyle w:val="InstructionsText"/>
            </w:pPr>
            <w:r>
              <w:t>Denna kolumn ska omfatta det belopp som ska beaktas för att följa den gräns för stora exponeringar som anges i artikel 395 i CRR.</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Verksamhet utanför handelslagret</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Institutet ska rapportera den totala exponeringen sedan undantag har tillä</w:t>
            </w:r>
            <w:r>
              <w:rPr>
                <w:rStyle w:val="FormatvorlageInstructionsTabelleText"/>
                <w:rFonts w:ascii="Times New Roman" w:hAnsi="Times New Roman"/>
                <w:sz w:val="24"/>
              </w:rPr>
              <w:t>m</w:t>
            </w:r>
            <w:r>
              <w:rPr>
                <w:rStyle w:val="FormatvorlageInstructionsTabelleText"/>
                <w:rFonts w:ascii="Times New Roman" w:hAnsi="Times New Roman"/>
                <w:sz w:val="24"/>
              </w:rPr>
              <w:t>pats och effekten av kreditriskreduceringen utanför handelslagret har bea</w:t>
            </w:r>
            <w:r>
              <w:rPr>
                <w:rStyle w:val="FormatvorlageInstructionsTabelleText"/>
                <w:rFonts w:ascii="Times New Roman" w:hAnsi="Times New Roman"/>
                <w:sz w:val="24"/>
              </w:rPr>
              <w:t>k</w:t>
            </w:r>
            <w:r>
              <w:rPr>
                <w:rStyle w:val="FormatvorlageInstructionsTabelleText"/>
                <w:rFonts w:ascii="Times New Roman" w:hAnsi="Times New Roman"/>
                <w:sz w:val="24"/>
              </w:rPr>
              <w:t>tats.</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av godtagbart kapital</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Institutet ska rapportera exponeringsvärdets procentandel efter tillämpning av undantag och kreditriskreducering som avser institutets godtagbara kap</w:t>
            </w:r>
            <w:r>
              <w:rPr>
                <w:rStyle w:val="FormatvorlageInstructionsTabelleText"/>
                <w:rFonts w:ascii="Times New Roman" w:hAnsi="Times New Roman"/>
                <w:sz w:val="24"/>
              </w:rPr>
              <w:t>i</w:t>
            </w:r>
            <w:r>
              <w:rPr>
                <w:rStyle w:val="FormatvorlageInstructionsTabelleText"/>
                <w:rFonts w:ascii="Times New Roman" w:hAnsi="Times New Roman"/>
                <w:sz w:val="24"/>
              </w:rPr>
              <w:t>tal enligt definitionen i artikel 4.1.71 b i CRR.</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3748359"/>
      <w:r>
        <w:rPr>
          <w:rFonts w:ascii="Times New Roman" w:hAnsi="Times New Roman"/>
          <w:b/>
          <w:sz w:val="24"/>
          <w:u w:val="none"/>
        </w:rPr>
        <w:t>C 29.00 – Uppgifter om exponeringar mot enskilda kunder inom grupper av kunder med inbördes anknytning</w:t>
      </w:r>
      <w:bookmarkEnd w:id="34"/>
      <w:r>
        <w:rPr>
          <w:rFonts w:ascii="Times New Roman" w:hAnsi="Times New Roman"/>
          <w:b/>
          <w:sz w:val="24"/>
          <w:u w:val="none"/>
        </w:rPr>
        <w:t xml:space="preserve"> (LE3)</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3748360"/>
      <w:r>
        <w:rPr>
          <w:rFonts w:ascii="Times New Roman" w:hAnsi="Times New Roman"/>
          <w:sz w:val="24"/>
        </w:rPr>
        <w:t xml:space="preserve">Instruktioner för särskilda </w:t>
      </w:r>
      <w:bookmarkEnd w:id="37"/>
      <w:bookmarkEnd w:id="38"/>
      <w:r>
        <w:rPr>
          <w:rFonts w:ascii="Times New Roman" w:hAnsi="Times New Roman"/>
          <w:sz w:val="24"/>
        </w:rPr>
        <w:t>kolumner</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Kolumn</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I mallen LE3 ska institutet rapportera uppgifter om enskilda kunder som i</w:t>
            </w:r>
            <w:r>
              <w:t>n</w:t>
            </w:r>
            <w:r>
              <w:t xml:space="preserve">går i de grupper av kunder med inbördes anknytning som står med på LE2-mallens rader.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Kolumnerna 010 och 020 är en sammansatt radidentifierare, och måste til</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sammans vara unika för varje rad i tabellen.</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Koden för varje enskild motpart som tillhör grupperna av kunder med inbö</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des anknytning ska rapporteras.</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Gruppkod</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Kolumnerna 010 och 020 är en sammansatt radidentifierare, och måste til</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sammans vara unika för varje rad i tabellen.</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en unik kod för en grupp av kunder med inbördes anknytning är til</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gänglig på nationell nivå, ska denna kod rapporteras. Om det inte finns n</w:t>
            </w:r>
            <w:r>
              <w:rPr>
                <w:rStyle w:val="InstructionsTabelleberschrift"/>
                <w:rFonts w:ascii="Times New Roman" w:hAnsi="Times New Roman"/>
                <w:b w:val="0"/>
                <w:sz w:val="24"/>
                <w:u w:val="none"/>
              </w:rPr>
              <w:t>å</w:t>
            </w:r>
            <w:r>
              <w:rPr>
                <w:rStyle w:val="InstructionsTabelleberschrift"/>
                <w:rFonts w:ascii="Times New Roman" w:hAnsi="Times New Roman"/>
                <w:b w:val="0"/>
                <w:sz w:val="24"/>
                <w:u w:val="none"/>
              </w:rPr>
              <w:t>gon unik kod på nationell nivå, ska den kod som rapporteras ska vara koden som används för rapportering av exponeringar mot gruppen av kunder med inbördes anknytning i C 28.00 (LE2).</w:t>
            </w:r>
          </w:p>
          <w:p w:rsidR="00B0191A" w:rsidRPr="00384ADB" w:rsidRDefault="00D46F08">
            <w:pPr>
              <w:pStyle w:val="InstructionsText"/>
              <w:rPr>
                <w:rStyle w:val="InstructionsTabelleberschrift"/>
                <w:rFonts w:ascii="Times New Roman" w:hAnsi="Times New Roman"/>
                <w:b w:val="0"/>
                <w:sz w:val="24"/>
                <w:u w:val="none"/>
              </w:rPr>
            </w:pPr>
            <w:r>
              <w:lastRenderedPageBreak/>
              <w:t>När en kund ingår i flera olika grupper av kunder med inbördes anknytning, ska den rapporteras tillhöra samtliga grupper av kunder med inbördes a</w:t>
            </w:r>
            <w:r>
              <w:t>n</w:t>
            </w:r>
            <w:r>
              <w:t>knytning.</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Transaktioner där det finns en exponering mot underliggande til</w:t>
            </w:r>
            <w:r>
              <w:rPr>
                <w:rStyle w:val="InstructionsTabelleberschrift"/>
                <w:rFonts w:ascii="Times New Roman" w:hAnsi="Times New Roman"/>
                <w:sz w:val="24"/>
              </w:rPr>
              <w:t>l</w:t>
            </w:r>
            <w:r>
              <w:rPr>
                <w:rStyle w:val="InstructionsTabelleberschrift"/>
                <w:rFonts w:ascii="Times New Roman" w:hAnsi="Times New Roman"/>
                <w:sz w:val="24"/>
              </w:rPr>
              <w:t xml:space="preserve">gångar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030 i mallen LE2.</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Typ av anknytning</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Vilken typ av anknytning som föreligger mellan den enskilda enheten och gruppen av kunder med inbördes anknytning ska anges med hjälp av antin</w:t>
            </w:r>
            <w:r>
              <w:rPr>
                <w:rStyle w:val="FormatvorlageInstructionsTabelleText"/>
                <w:rFonts w:ascii="Times New Roman" w:hAnsi="Times New Roman"/>
                <w:sz w:val="24"/>
              </w:rPr>
              <w:t>g</w:t>
            </w:r>
            <w:r>
              <w:rPr>
                <w:rStyle w:val="FormatvorlageInstructionsTabelleText"/>
                <w:rFonts w:ascii="Times New Roman" w:hAnsi="Times New Roman"/>
                <w:sz w:val="24"/>
              </w:rPr>
              <w:t>en</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vilket avser artikel 4.1.39 a i CRR (kontroll), eller</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vilket avser artikel 4.39 b i CRR (inbördes anknytning).</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När finansiella instrument i mallen LE2 tillhandahålls till hela gruppen av kunder med inbördes anknytning ska de hänföras till de enskilda motparte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na i mallen LE3 i enlighet med institutets affärskriterier.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Övriga instruktioner är desamma som för mallen LE2.</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3748361"/>
      <w:bookmarkEnd w:id="0"/>
      <w:bookmarkEnd w:id="1"/>
      <w:r>
        <w:rPr>
          <w:rFonts w:ascii="Times New Roman" w:hAnsi="Times New Roman"/>
          <w:b/>
          <w:sz w:val="24"/>
          <w:u w:val="none"/>
        </w:rPr>
        <w:t>C 30.00 – Löptidsintervall för de tio största exponeringarna mot institut och de tio största exponeringarna mot oreglerade enheter</w:t>
      </w:r>
      <w:bookmarkEnd w:id="42"/>
      <w:r>
        <w:rPr>
          <w:rFonts w:ascii="Times New Roman" w:hAnsi="Times New Roman"/>
          <w:b/>
          <w:sz w:val="24"/>
          <w:u w:val="none"/>
        </w:rPr>
        <w:t xml:space="preserve"> i den finansiella sektorn (mallen LE 4)</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3748362"/>
      <w:r>
        <w:rPr>
          <w:rFonts w:ascii="Times New Roman" w:hAnsi="Times New Roman"/>
          <w:sz w:val="24"/>
        </w:rPr>
        <w:t>Instruktioner för särskilda kolumner</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Kolumn</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Rättsliga hänvisningar och instruktioner Kod</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010 i mallen LE1.</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Löptidsintervall för exponeringen</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394.2 e i 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Institutet ska rapportera denna information för de tio största exponeringarna mot institut och de tio största exponeringarna mot oreglerade enheter i den finansiella sektorn.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Löptidsintervallen definieras med månadsintervall upp till ett år, med kva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talsintervall från ett år och upp till tre år och med större intervall från tre år och uppåt.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Varje exponeringsvärde före tillämpning av undantag och kreditriskreduc</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 (kolumn 210 i mallen LE2) ska rapporteras med hela det utestående 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loppet i respektive löptidsintervall av dess förväntade återstående löptid. Om en exponering gentemot en kund utgörs av flera separata relationer ska var och en av dessa exponeringsdelar rapporteras med hela det utestående 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loppet i respektive löptidsintervall av dess förväntade återstående löptid.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strument som inte har en fast löptid, t.ex. aktier, ska ingå i kolumnen ”ob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stämd löptid”.</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Exponeringens förväntade löptid ska rapporteras för såväl direkta som ind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rekta exponeringar.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direkta exponeringar ska instruktionerna i löptidsmallen för ytterligare likviditetsmått användas när de förväntade beloppen för skuldinstrument och derivat hänförs till de olika löptidsintervallen i denna mall (se bilaga XXIII till denna förordning).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När det gäller poster utanför balansräkningen ska man utgå från löptiden för den underliggande risken när de förväntade beloppen hänförs till löptidsi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tervall. För avtalad utlåning på termin (forward deposits) innebär detta alltså inlåningens löptidsstruktur, för finansiella garantier, löptiden på den unde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liggande finansiella tillgång, för outnyttjade möjligheter till låneåtaganden, löptiden för lånet och för andra åtaganden, löptiden för åtagandet.</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När det gäller indirekta exponeringar ska fördelningen i löptidsintervall g</w:t>
            </w:r>
            <w:r>
              <w:rPr>
                <w:rStyle w:val="InstructionsTabelleberschrift"/>
                <w:rFonts w:ascii="Times New Roman" w:hAnsi="Times New Roman"/>
                <w:b w:val="0"/>
                <w:sz w:val="24"/>
                <w:u w:val="none"/>
              </w:rPr>
              <w:t>ö</w:t>
            </w:r>
            <w:r>
              <w:rPr>
                <w:rStyle w:val="InstructionsTabelleberschrift"/>
                <w:rFonts w:ascii="Times New Roman" w:hAnsi="Times New Roman"/>
                <w:b w:val="0"/>
                <w:sz w:val="24"/>
                <w:u w:val="none"/>
              </w:rPr>
              <w:t>ras på grundval av löptiden för de garanterade transaktioner som genererar den direkta exponeringen.</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en exponering eller en del av en exponering ska betraktas som infriade och rapporteras i mall C 28.00 (LE 2, kolumn 050) och C 29.00 (LE 3, 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lumn 060), ska den förväntade avvecklingen av den fallerade exponeringen hänföras till respektive löptidsintervall enligt följande:</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den rapporterande enheten, trots fallissemang, har en tydlig tid</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plan för förväntade återbetalningar av exponeringen, ska den hänföra dem till respektive kategorier i enlighet med detta.</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den rapporterande enheten inte har motiverat när uteblivna 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lopp kommer att återbetalas (om någonsin) ska den sortera dem i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tegorin ”obestämd löptid”.</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3748363"/>
      <w:r>
        <w:rPr>
          <w:rFonts w:ascii="Times New Roman" w:hAnsi="Times New Roman"/>
          <w:b/>
          <w:sz w:val="24"/>
          <w:u w:val="none"/>
        </w:rPr>
        <w:lastRenderedPageBreak/>
        <w:t>C 31.00 -– Löptidsintervall för de tio största exponeringarna mot institut och de tio största exponeringarna mot oreglerade finansiella enheter: Uppgifter om expon</w:t>
      </w:r>
      <w:r>
        <w:rPr>
          <w:rFonts w:ascii="Times New Roman" w:hAnsi="Times New Roman"/>
          <w:b/>
          <w:sz w:val="24"/>
          <w:u w:val="none"/>
        </w:rPr>
        <w:t>e</w:t>
      </w:r>
      <w:r>
        <w:rPr>
          <w:rFonts w:ascii="Times New Roman" w:hAnsi="Times New Roman"/>
          <w:b/>
          <w:sz w:val="24"/>
          <w:u w:val="none"/>
        </w:rPr>
        <w:t>ringar mot enskilda kunder inom grupper av kunder med inbördes anknytning (ma</w:t>
      </w:r>
      <w:r>
        <w:rPr>
          <w:rFonts w:ascii="Times New Roman" w:hAnsi="Times New Roman"/>
          <w:b/>
          <w:sz w:val="24"/>
          <w:u w:val="none"/>
        </w:rPr>
        <w:t>l</w:t>
      </w:r>
      <w:r>
        <w:rPr>
          <w:rFonts w:ascii="Times New Roman" w:hAnsi="Times New Roman"/>
          <w:b/>
          <w:sz w:val="24"/>
          <w:u w:val="none"/>
        </w:rPr>
        <w:t>len LE5).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3748364"/>
      <w:r>
        <w:rPr>
          <w:rFonts w:ascii="Times New Roman" w:hAnsi="Times New Roman"/>
          <w:sz w:val="24"/>
        </w:rPr>
        <w:t>Instruktioner för särskilda kolumner</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Kolumn</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I mallen LE5 ska institutet rapportera uppgifter om enskilda motparter som ingår i de grupper av kunder med inbördes anknytning som står med på LE4-mallens rader.</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Kolumnerna 010 och 020 är en sammansatt radidentifierare, och måste til</w:t>
            </w:r>
            <w:r>
              <w:rPr>
                <w:rStyle w:val="FormatvorlageInstructionsTabelleText"/>
                <w:rFonts w:ascii="Times New Roman" w:hAnsi="Times New Roman"/>
                <w:sz w:val="24"/>
              </w:rPr>
              <w:t>l</w:t>
            </w:r>
            <w:r>
              <w:rPr>
                <w:rStyle w:val="FormatvorlageInstructionsTabelleText"/>
                <w:rFonts w:ascii="Times New Roman" w:hAnsi="Times New Roman"/>
                <w:sz w:val="24"/>
              </w:rPr>
              <w:t>sammans vara unika för varje rad i tabellen.</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kolumn 010 i mallen LE3.</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Gruppkod</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Kolumnerna 010 och 020 är en sammansatt radidentifierare, och måste til</w:t>
            </w:r>
            <w:r>
              <w:rPr>
                <w:rStyle w:val="FormatvorlageInstructionsTabelleText"/>
                <w:rFonts w:ascii="Times New Roman" w:hAnsi="Times New Roman"/>
                <w:sz w:val="24"/>
              </w:rPr>
              <w:t>l</w:t>
            </w:r>
            <w:r>
              <w:rPr>
                <w:rStyle w:val="FormatvorlageInstructionsTabelleText"/>
                <w:rFonts w:ascii="Times New Roman" w:hAnsi="Times New Roman"/>
                <w:sz w:val="24"/>
              </w:rPr>
              <w:t>sammans vara unika för varje rad i tabellen.</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kolumn 020 i mallen LE3.</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Löptidsintervall för exponeringarna</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kolumnerna 020–250 i mallen LE4.</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3B102B">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3B102B">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3B102B">
      <w:rPr>
        <w:rFonts w:ascii="Times New Roman" w:hAnsi="Times New Roman"/>
        <w:noProof/>
      </w:rPr>
      <w:t>6</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102B"/>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5F6E"/>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sv-SE" w:eastAsia="sv-SE" w:bidi="sv-S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sv-S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sv-S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sv-S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v-SE"/>
    </w:rPr>
  </w:style>
  <w:style w:type="character" w:customStyle="1" w:styleId="Heading3Char1">
    <w:name w:val="Heading 3 Char1"/>
    <w:link w:val="Heading3"/>
    <w:uiPriority w:val="99"/>
    <w:rsid w:val="001E5A75"/>
    <w:rPr>
      <w:rFonts w:ascii="Arial" w:hAnsi="Arial"/>
      <w:b/>
      <w:szCs w:val="20"/>
      <w:lang w:eastAsia="sv-SE"/>
    </w:rPr>
  </w:style>
  <w:style w:type="character" w:customStyle="1" w:styleId="Heading4Char">
    <w:name w:val="Heading 4 Char"/>
    <w:link w:val="Heading4"/>
    <w:uiPriority w:val="99"/>
    <w:rsid w:val="00DE0962"/>
    <w:rPr>
      <w:rFonts w:ascii="Verdana" w:eastAsia="Times New Roman" w:hAnsi="Verdana"/>
      <w:b/>
      <w:szCs w:val="24"/>
      <w:u w:val="single"/>
      <w:lang w:eastAsia="sv-SE"/>
    </w:rPr>
  </w:style>
  <w:style w:type="character" w:customStyle="1" w:styleId="Heading5Char">
    <w:name w:val="Heading 5 Char"/>
    <w:link w:val="Heading5"/>
    <w:uiPriority w:val="1"/>
    <w:rsid w:val="001E5A75"/>
    <w:rPr>
      <w:rFonts w:ascii="Arial" w:hAnsi="Arial"/>
      <w:b/>
      <w:i/>
      <w:szCs w:val="20"/>
      <w:lang w:eastAsia="sv-SE"/>
    </w:rPr>
  </w:style>
  <w:style w:type="character" w:customStyle="1" w:styleId="Heading6Char">
    <w:name w:val="Heading 6 Char"/>
    <w:link w:val="Heading6"/>
    <w:semiHidden/>
    <w:rsid w:val="001E5A75"/>
    <w:rPr>
      <w:rFonts w:ascii="Times New Roman" w:hAnsi="Times New Roman"/>
      <w:b/>
      <w:bCs/>
      <w:lang w:eastAsia="sv-SE"/>
    </w:rPr>
  </w:style>
  <w:style w:type="character" w:customStyle="1" w:styleId="Heading7Char">
    <w:name w:val="Heading 7 Char"/>
    <w:link w:val="Heading7"/>
    <w:semiHidden/>
    <w:rsid w:val="001E5A75"/>
    <w:rPr>
      <w:rFonts w:ascii="Times New Roman" w:hAnsi="Times New Roman"/>
      <w:sz w:val="24"/>
      <w:szCs w:val="20"/>
      <w:lang w:eastAsia="sv-SE"/>
    </w:rPr>
  </w:style>
  <w:style w:type="character" w:customStyle="1" w:styleId="Heading8Char">
    <w:name w:val="Heading 8 Char"/>
    <w:link w:val="Heading8"/>
    <w:semiHidden/>
    <w:rsid w:val="001E5A75"/>
    <w:rPr>
      <w:rFonts w:ascii="Times New Roman" w:hAnsi="Times New Roman"/>
      <w:i/>
      <w:iCs/>
      <w:sz w:val="24"/>
      <w:szCs w:val="20"/>
      <w:lang w:eastAsia="sv-SE"/>
    </w:rPr>
  </w:style>
  <w:style w:type="character" w:customStyle="1" w:styleId="Heading9Char">
    <w:name w:val="Heading 9 Char"/>
    <w:link w:val="Heading9"/>
    <w:semiHidden/>
    <w:rsid w:val="001E5A75"/>
    <w:rPr>
      <w:rFonts w:ascii="Arial" w:hAnsi="Arial" w:cs="Arial"/>
      <w:lang w:eastAsia="sv-S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sv-S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sv-S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v-SE" w:eastAsia="sv-S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v-S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sv-S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v-S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sv-SE" w:eastAsia="sv-S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sv-S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sv-SE" w:eastAsia="sv-SE" w:bidi="sv-S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v-S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sv-SE" w:eastAsia="sv-SE" w:bidi="sv-S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sv-S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sv-S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sv-S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v-SE"/>
    </w:rPr>
  </w:style>
  <w:style w:type="character" w:customStyle="1" w:styleId="Heading3Char1">
    <w:name w:val="Heading 3 Char1"/>
    <w:link w:val="Heading3"/>
    <w:uiPriority w:val="99"/>
    <w:rsid w:val="001E5A75"/>
    <w:rPr>
      <w:rFonts w:ascii="Arial" w:hAnsi="Arial"/>
      <w:b/>
      <w:szCs w:val="20"/>
      <w:lang w:eastAsia="sv-SE"/>
    </w:rPr>
  </w:style>
  <w:style w:type="character" w:customStyle="1" w:styleId="Heading4Char">
    <w:name w:val="Heading 4 Char"/>
    <w:link w:val="Heading4"/>
    <w:uiPriority w:val="99"/>
    <w:rsid w:val="00DE0962"/>
    <w:rPr>
      <w:rFonts w:ascii="Verdana" w:eastAsia="Times New Roman" w:hAnsi="Verdana"/>
      <w:b/>
      <w:szCs w:val="24"/>
      <w:u w:val="single"/>
      <w:lang w:eastAsia="sv-SE"/>
    </w:rPr>
  </w:style>
  <w:style w:type="character" w:customStyle="1" w:styleId="Heading5Char">
    <w:name w:val="Heading 5 Char"/>
    <w:link w:val="Heading5"/>
    <w:uiPriority w:val="1"/>
    <w:rsid w:val="001E5A75"/>
    <w:rPr>
      <w:rFonts w:ascii="Arial" w:hAnsi="Arial"/>
      <w:b/>
      <w:i/>
      <w:szCs w:val="20"/>
      <w:lang w:eastAsia="sv-SE"/>
    </w:rPr>
  </w:style>
  <w:style w:type="character" w:customStyle="1" w:styleId="Heading6Char">
    <w:name w:val="Heading 6 Char"/>
    <w:link w:val="Heading6"/>
    <w:semiHidden/>
    <w:rsid w:val="001E5A75"/>
    <w:rPr>
      <w:rFonts w:ascii="Times New Roman" w:hAnsi="Times New Roman"/>
      <w:b/>
      <w:bCs/>
      <w:lang w:eastAsia="sv-SE"/>
    </w:rPr>
  </w:style>
  <w:style w:type="character" w:customStyle="1" w:styleId="Heading7Char">
    <w:name w:val="Heading 7 Char"/>
    <w:link w:val="Heading7"/>
    <w:semiHidden/>
    <w:rsid w:val="001E5A75"/>
    <w:rPr>
      <w:rFonts w:ascii="Times New Roman" w:hAnsi="Times New Roman"/>
      <w:sz w:val="24"/>
      <w:szCs w:val="20"/>
      <w:lang w:eastAsia="sv-SE"/>
    </w:rPr>
  </w:style>
  <w:style w:type="character" w:customStyle="1" w:styleId="Heading8Char">
    <w:name w:val="Heading 8 Char"/>
    <w:link w:val="Heading8"/>
    <w:semiHidden/>
    <w:rsid w:val="001E5A75"/>
    <w:rPr>
      <w:rFonts w:ascii="Times New Roman" w:hAnsi="Times New Roman"/>
      <w:i/>
      <w:iCs/>
      <w:sz w:val="24"/>
      <w:szCs w:val="20"/>
      <w:lang w:eastAsia="sv-SE"/>
    </w:rPr>
  </w:style>
  <w:style w:type="character" w:customStyle="1" w:styleId="Heading9Char">
    <w:name w:val="Heading 9 Char"/>
    <w:link w:val="Heading9"/>
    <w:semiHidden/>
    <w:rsid w:val="001E5A75"/>
    <w:rPr>
      <w:rFonts w:ascii="Arial" w:hAnsi="Arial" w:cs="Arial"/>
      <w:lang w:eastAsia="sv-S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sv-S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sv-S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v-SE" w:eastAsia="sv-S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v-S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sv-S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v-S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sv-SE" w:eastAsia="sv-S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sv-S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sv-SE" w:eastAsia="sv-SE" w:bidi="sv-S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v-S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23C53-C35A-481B-B66E-7DF7322AD76D}">
  <ds:schemaRefs>
    <ds:schemaRef ds:uri="http://schemas.openxmlformats.org/officeDocument/2006/bibliography"/>
  </ds:schemaRefs>
</ds:datastoreItem>
</file>

<file path=customXml/itemProps2.xml><?xml version="1.0" encoding="utf-8"?>
<ds:datastoreItem xmlns:ds="http://schemas.openxmlformats.org/officeDocument/2006/customXml" ds:itemID="{61FEBC21-16B6-43FE-8BDD-8F5D6AC1A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5402</Words>
  <Characters>30798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36128</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SPENS Katharina (DGT)</cp:lastModifiedBy>
  <cp:revision>4</cp:revision>
  <dcterms:created xsi:type="dcterms:W3CDTF">2018-06-13T13:34:00Z</dcterms:created>
  <dcterms:modified xsi:type="dcterms:W3CDTF">2018-09-03T12:31:00Z</dcterms:modified>
</cp:coreProperties>
</file>